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0B3CC9" w14:textId="77777777" w:rsidR="00B67D7C" w:rsidRPr="00DE096C" w:rsidRDefault="00B67D7C" w:rsidP="00D45A46">
      <w:pPr>
        <w:shd w:val="clear" w:color="auto" w:fill="FFFFFF"/>
        <w:jc w:val="both"/>
        <w:rPr>
          <w:b/>
          <w:color w:val="002060"/>
          <w:sz w:val="16"/>
          <w:szCs w:val="16"/>
        </w:rPr>
      </w:pPr>
      <w:r w:rsidRPr="00DE096C">
        <w:rPr>
          <w:b/>
          <w:color w:val="002060"/>
          <w:sz w:val="16"/>
          <w:szCs w:val="16"/>
        </w:rPr>
        <w:t>1914</w:t>
      </w:r>
    </w:p>
    <w:p w14:paraId="6C27B293" w14:textId="77777777" w:rsidR="00B67D7C" w:rsidRPr="00DE096C" w:rsidRDefault="00B67D7C" w:rsidP="00D45A46">
      <w:pPr>
        <w:shd w:val="clear" w:color="auto" w:fill="FFFFFF"/>
        <w:jc w:val="both"/>
        <w:rPr>
          <w:bCs/>
          <w:color w:val="002060"/>
          <w:sz w:val="16"/>
          <w:szCs w:val="16"/>
        </w:rPr>
      </w:pPr>
    </w:p>
    <w:p w14:paraId="49FA9D26"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2E6B9C70" w14:textId="77777777" w:rsidR="00B67D7C" w:rsidRPr="00DE096C" w:rsidRDefault="00B67D7C" w:rsidP="00D45A46">
      <w:pPr>
        <w:shd w:val="clear" w:color="auto" w:fill="FFFFFF"/>
        <w:jc w:val="both"/>
        <w:rPr>
          <w:bCs/>
          <w:i/>
          <w:color w:val="002060"/>
          <w:sz w:val="16"/>
          <w:szCs w:val="16"/>
        </w:rPr>
      </w:pPr>
    </w:p>
    <w:p w14:paraId="715D4229" w14:textId="69F7319A" w:rsidR="00B67D7C" w:rsidRPr="00DE096C" w:rsidRDefault="009121A9" w:rsidP="00D45A46">
      <w:pPr>
        <w:shd w:val="clear" w:color="auto" w:fill="FFFFFF"/>
        <w:jc w:val="both"/>
        <w:rPr>
          <w:bCs/>
          <w:color w:val="002060"/>
          <w:sz w:val="16"/>
          <w:szCs w:val="16"/>
        </w:rPr>
      </w:pPr>
      <w:r w:rsidRPr="00DE096C">
        <w:rPr>
          <w:bCs/>
          <w:color w:val="002060"/>
          <w:sz w:val="16"/>
          <w:szCs w:val="16"/>
        </w:rPr>
        <w:t>К</w:t>
      </w:r>
      <w:r w:rsidR="00B67D7C" w:rsidRPr="00DE096C">
        <w:rPr>
          <w:bCs/>
          <w:color w:val="002060"/>
          <w:sz w:val="16"/>
          <w:szCs w:val="16"/>
        </w:rPr>
        <w:t xml:space="preserve"> началу 1914 г. в России была разработана конструкция легкого маневренного самолета, достаточно устойчивого в полете и хорошо управляемого, способного выполнять сложные эволюции в воздухе (318).</w:t>
      </w:r>
    </w:p>
    <w:p w14:paraId="21C0180E" w14:textId="77777777" w:rsidR="00B67D7C" w:rsidRPr="00DE096C" w:rsidRDefault="00B67D7C" w:rsidP="00D45A46">
      <w:pPr>
        <w:shd w:val="clear" w:color="auto" w:fill="FFFFFF"/>
        <w:jc w:val="both"/>
        <w:rPr>
          <w:bCs/>
          <w:color w:val="002060"/>
          <w:sz w:val="16"/>
          <w:szCs w:val="16"/>
        </w:rPr>
      </w:pPr>
    </w:p>
    <w:p w14:paraId="61679FF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К 1914 г. в России выпускали более 500 самолётов в год - это было вдвое больше, чем в Англии, почти столько же, сколько во Франции и в 10 раз больше, чем в США. Толь ко в Германии производилось самолётов в 2,5 раза больше, чем в России (11054).</w:t>
      </w:r>
    </w:p>
    <w:p w14:paraId="5F716AA6" w14:textId="77777777" w:rsidR="00B67D7C" w:rsidRPr="00DE096C" w:rsidRDefault="00B67D7C" w:rsidP="00D45A46">
      <w:pPr>
        <w:shd w:val="clear" w:color="auto" w:fill="FFFFFF"/>
        <w:jc w:val="both"/>
        <w:rPr>
          <w:bCs/>
          <w:color w:val="002060"/>
          <w:sz w:val="16"/>
          <w:szCs w:val="16"/>
        </w:rPr>
      </w:pPr>
    </w:p>
    <w:p w14:paraId="1D1555E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К началу 1914 г. в России была разрешена проблема создания гидросамолета. Моря и океаны, омывающие берега нашей страны, великие русские реки, многочисленные озера являлись прекрасными естественными аэродромами для самолетов, которые могли бы под</w:t>
      </w:r>
      <w:r w:rsidRPr="00DE096C">
        <w:rPr>
          <w:bCs/>
          <w:color w:val="002060"/>
          <w:sz w:val="16"/>
          <w:szCs w:val="16"/>
        </w:rPr>
        <w:softHyphen/>
        <w:t>ниматься и садиться на воду.</w:t>
      </w:r>
    </w:p>
    <w:p w14:paraId="568DFCA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развитии гидросамолетов намечалось два пути:</w:t>
      </w:r>
    </w:p>
    <w:p w14:paraId="2021615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а) установка сухопутного самолета на поплавки вместо колес</w:t>
      </w:r>
      <w:r w:rsidRPr="00DE096C">
        <w:rPr>
          <w:bCs/>
          <w:color w:val="002060"/>
          <w:sz w:val="16"/>
          <w:szCs w:val="16"/>
        </w:rPr>
        <w:softHyphen/>
        <w:t>ных шасси;</w:t>
      </w:r>
    </w:p>
    <w:p w14:paraId="3B9F161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б) постройка специального самолета с фюзеляжем-лодкой, т. е. летающей лодки (318).</w:t>
      </w:r>
    </w:p>
    <w:p w14:paraId="611EB2D6" w14:textId="77777777" w:rsidR="00B67D7C" w:rsidRPr="00DE096C" w:rsidRDefault="00B67D7C" w:rsidP="00D45A46">
      <w:pPr>
        <w:jc w:val="both"/>
        <w:rPr>
          <w:bCs/>
          <w:color w:val="002060"/>
          <w:sz w:val="16"/>
          <w:szCs w:val="16"/>
        </w:rPr>
      </w:pPr>
    </w:p>
    <w:p w14:paraId="4D4003F5" w14:textId="13B6D443"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К 1914 году «Дукс» выпускал: велосипеды, мотоциклеты "Мото-Рев-Дукс", желез-нодорожные дрезины, аэросани, автомобили, сельхоз технику, глиссеры, дирижабли, аэропланы и гидропланы. А.О. "Дукс" владело центральным комплексом зданий в Ямской Слободке, состоящим из двух производственных корпусов, и авиастроителным филиалом на окраине Ходынского аэродрома с четырьмя ангарами для самоле-тов. На фабрике работали 800 рабочих и 71 служащий (11271).</w:t>
      </w:r>
    </w:p>
    <w:p w14:paraId="2BE4B58E" w14:textId="67F9C33D"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Очень интересен и сам по себе Юлий Александрович Меллер, обрусевший немец из Прибалтики. Начало Первой мировой войны застало его в Германии, куда он по-ехал, чтобы поближе познакомиться с производством самолетов в этой стране, и его арестовали как русского шпиона, продержали под арестом некоторое время, а затем обменяли на подданного Германии, попавшего в сходное положение в России. Когда Меллер возвращался в Москву, то на заводе его ждала торжественная встреча, устроенная по инициативе рабочих. Вернувшись в Россию, Меллер сменил фамилию на Брежнев (11271).</w:t>
      </w:r>
    </w:p>
    <w:p w14:paraId="0015E37A"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После неудачи с «Дуксомобилем» автомобильное отделение на «Дуксе» не было закрыто, более того к 1914 году в нём работало 110 человек. К началу войны «Дукс» выпускал на заказ единичные экземпляры 5 моделей легковых 2 модели грузовых авто (11271).</w:t>
      </w:r>
    </w:p>
    <w:p w14:paraId="62C47F75"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Таким образом, «Дукс» за двадцать лет прошёл путь от мелкой мастерской, до крупнейшего машино-строительного предприятия, способного выпускать что угодно, и встав ряд таких заводов как РБВЗ, Лесс-нер, Путиловский, Сормово, Коломенский, которые значительно старше его (11271).</w:t>
      </w:r>
    </w:p>
    <w:p w14:paraId="275A97EE"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Во время война завод всецело поглощен строительством воздухоплавательных аппаратов, и автомоби-лей не выпускает. К окончанию боевых действий «Дукс» – крупнейший в стране производитель аэропланов, главный производитель дирижаблей (11271).</w:t>
      </w:r>
    </w:p>
    <w:p w14:paraId="4D79EF6C" w14:textId="77777777" w:rsidR="009121A9" w:rsidRPr="00DE096C" w:rsidRDefault="009121A9" w:rsidP="00D45A46">
      <w:pPr>
        <w:shd w:val="clear" w:color="auto" w:fill="FFFFFF"/>
        <w:jc w:val="both"/>
        <w:rPr>
          <w:bCs/>
          <w:color w:val="002060"/>
          <w:sz w:val="16"/>
          <w:szCs w:val="16"/>
        </w:rPr>
      </w:pPr>
    </w:p>
    <w:p w14:paraId="1B42F451" w14:textId="3EA7FBF6"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К началу 1914 г. </w:t>
      </w:r>
      <w:r w:rsidR="009121A9" w:rsidRPr="00DE096C">
        <w:rPr>
          <w:bCs/>
          <w:color w:val="002060"/>
          <w:sz w:val="16"/>
          <w:szCs w:val="16"/>
        </w:rPr>
        <w:t xml:space="preserve">завод «Мотор» в Риге </w:t>
      </w:r>
      <w:r w:rsidRPr="00DE096C">
        <w:rPr>
          <w:bCs/>
          <w:color w:val="002060"/>
          <w:sz w:val="16"/>
          <w:szCs w:val="16"/>
        </w:rPr>
        <w:t>производил по 13-14 двигателей в месяц.</w:t>
      </w:r>
    </w:p>
    <w:p w14:paraId="72A390B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1912 г. в Москве создала свой филиал французская фирма «Гном». Выпуск моторов на новом заводе начали в апреле 1913 г. Годом позже там делали по 7-10 двигателей в месяц.</w:t>
      </w:r>
    </w:p>
    <w:p w14:paraId="07F33BF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После начала Первой мировой войны темпы производства авиационных двигателей начали быстро расти. «Гном» в 1915 г. собирал в среднем по 23 штуки в месяц. В том же году после слияния фирм «Гном» и «Ле Рон», завод переименовали в «Гном и Рон». В конце 1916 г. там работало уже более 100 человек. В начале 1917 г. это предприятие делало уже по 40 мо</w:t>
      </w:r>
      <w:r w:rsidRPr="00DE096C">
        <w:rPr>
          <w:bCs/>
          <w:color w:val="002060"/>
          <w:sz w:val="16"/>
          <w:szCs w:val="16"/>
        </w:rPr>
        <w:softHyphen/>
        <w:t>торов ежемесячно, а численность работающих достигла 235 человек.</w:t>
      </w:r>
    </w:p>
    <w:p w14:paraId="194FF58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Завод «Мотор» после начала войны получил крупные заказы, но в 1915 г. из-за подхода немецких войск к Риге его пришлось эвакуировать в Москву. Там производство возобновили, выпуская примерно по 20 дви</w:t>
      </w:r>
      <w:r w:rsidRPr="00DE096C">
        <w:rPr>
          <w:bCs/>
          <w:color w:val="002060"/>
          <w:sz w:val="16"/>
          <w:szCs w:val="16"/>
        </w:rPr>
        <w:softHyphen/>
        <w:t>гателей в месяц. К началу 1917 г. на этом заводе работали 330 человек.</w:t>
      </w:r>
    </w:p>
    <w:p w14:paraId="2B8A24F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июле 1915 г. в Москве создали еще один завод, принадлежавший французской фирме «Сальмсон». С апреля 1916 г. он собирал моторы из импортных деталей. К началу 1917 г. там было около 300 рабочих, а производительность дошла до 100 двигателей в месяц. По количеству продукции это был лучший завод в России.</w:t>
      </w:r>
    </w:p>
    <w:p w14:paraId="6DB9D08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1916 г. делать авиационные моторы стала также Экипажно-автомобильная фабрика П. Ильина в Москве. Но двигателей там изго</w:t>
      </w:r>
      <w:r w:rsidRPr="00DE096C">
        <w:rPr>
          <w:bCs/>
          <w:color w:val="002060"/>
          <w:sz w:val="16"/>
          <w:szCs w:val="16"/>
        </w:rPr>
        <w:softHyphen/>
        <w:t>товили очень немного. С июля того же года Автомобильно-экипажные починочные мастерские общества «Русский Рено» в Петрограде начали собирать моторы «Рено» из французских деталей. Само общество «Рус</w:t>
      </w:r>
      <w:r w:rsidRPr="00DE096C">
        <w:rPr>
          <w:bCs/>
          <w:color w:val="002060"/>
          <w:sz w:val="16"/>
          <w:szCs w:val="16"/>
        </w:rPr>
        <w:softHyphen/>
        <w:t>ский Рено» при этом принадлежало отечественному капиталу.</w:t>
      </w:r>
    </w:p>
    <w:p w14:paraId="0C82BED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Петрограде также функционировали два моторных завода объединения РБВЗ. Один из них, Моторный, был создан на базе оборудования и пер</w:t>
      </w:r>
      <w:r w:rsidRPr="00DE096C">
        <w:rPr>
          <w:bCs/>
          <w:color w:val="002060"/>
          <w:sz w:val="16"/>
          <w:szCs w:val="16"/>
        </w:rPr>
        <w:softHyphen/>
        <w:t>сонала, эвакуированных в 1915 г. с завода РБВЗ в Риге. В Риге в 1914 г. готовились к серийному выпуску моторов РБВЗ-6, но планы были сорваны наступлением германской армии. Поэтому выпуск двигателей начали уже в Петрограде. Второй завод, Механический, делал моторы МРБ-6.</w:t>
      </w:r>
    </w:p>
    <w:p w14:paraId="0EDFFD4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При помощи государственных субсидий акционерное общество «Дюфлон и Константинович» (ДЕКА) в августе 1915 г. приобрело недостроенный завод в Александровске (ныне Запорожье). После расширения он должен был стать крупнейшим моторостроительным предприятием России.</w:t>
      </w:r>
    </w:p>
    <w:p w14:paraId="42041EA0" w14:textId="77777777" w:rsidR="00B67D7C" w:rsidRPr="00DE096C" w:rsidRDefault="00B67D7C" w:rsidP="00D45A46">
      <w:pPr>
        <w:jc w:val="both"/>
        <w:rPr>
          <w:bCs/>
          <w:color w:val="002060"/>
          <w:sz w:val="16"/>
          <w:szCs w:val="16"/>
        </w:rPr>
      </w:pPr>
      <w:r w:rsidRPr="00DE096C">
        <w:rPr>
          <w:bCs/>
          <w:color w:val="002060"/>
          <w:sz w:val="16"/>
          <w:szCs w:val="16"/>
        </w:rPr>
        <w:t>По решению, принятому в феврале 1916 г., на деньги государственных кредитов началось строительство новых автомобильных заводов, часть из которых должна была параллельно производить авиамоторы. Это были «Аксай» в Нахичевани, «Кузнецов, Рябушинский и компания» (АМО) и РБВЗ под Москвой, «Русский Рено» в Рыбинске и завод Акционерного общества воздухоплавания В.А. Лебедева в Ярославле. Велась подготовка к выпуску авиационных двигателей на одном из заводов А.А. Анатра. Все эти предприятия, как и существовавшие ранее, были частными. В 1916 г. начали строительство крупного казенного завода в Херсоне, включавшего моторостроительное производство (11852).</w:t>
      </w:r>
    </w:p>
    <w:p w14:paraId="3317C2CF" w14:textId="77777777" w:rsidR="00B67D7C" w:rsidRPr="00DE096C" w:rsidRDefault="00B67D7C" w:rsidP="00D45A46">
      <w:pPr>
        <w:jc w:val="both"/>
        <w:rPr>
          <w:bCs/>
          <w:color w:val="002060"/>
          <w:sz w:val="16"/>
          <w:szCs w:val="16"/>
        </w:rPr>
      </w:pPr>
    </w:p>
    <w:p w14:paraId="1D207398" w14:textId="4FFB7DD9" w:rsidR="00B67D7C" w:rsidRPr="00DE096C" w:rsidRDefault="009121A9" w:rsidP="00D45A46">
      <w:pPr>
        <w:jc w:val="both"/>
        <w:rPr>
          <w:bCs/>
          <w:color w:val="002060"/>
          <w:sz w:val="16"/>
          <w:szCs w:val="16"/>
        </w:rPr>
      </w:pPr>
      <w:r w:rsidRPr="00DE096C">
        <w:rPr>
          <w:bCs/>
          <w:color w:val="002060"/>
          <w:sz w:val="16"/>
          <w:szCs w:val="16"/>
        </w:rPr>
        <w:t>К</w:t>
      </w:r>
      <w:r w:rsidR="00B67D7C" w:rsidRPr="00DE096C">
        <w:rPr>
          <w:bCs/>
          <w:color w:val="002060"/>
          <w:sz w:val="16"/>
          <w:szCs w:val="16"/>
        </w:rPr>
        <w:t xml:space="preserve"> 1914 г. </w:t>
      </w:r>
      <w:r w:rsidRPr="00DE096C">
        <w:rPr>
          <w:bCs/>
          <w:color w:val="002060"/>
          <w:sz w:val="16"/>
          <w:szCs w:val="16"/>
        </w:rPr>
        <w:t>из-за отсутствия крупных за</w:t>
      </w:r>
      <w:r w:rsidRPr="00DE096C">
        <w:rPr>
          <w:bCs/>
          <w:color w:val="002060"/>
          <w:sz w:val="16"/>
          <w:szCs w:val="16"/>
        </w:rPr>
        <w:softHyphen/>
        <w:t xml:space="preserve">казов военных реально </w:t>
      </w:r>
      <w:r w:rsidR="00B67D7C" w:rsidRPr="00DE096C">
        <w:rPr>
          <w:bCs/>
          <w:color w:val="002060"/>
          <w:sz w:val="16"/>
          <w:szCs w:val="16"/>
        </w:rPr>
        <w:t>«Мотор» выпускал 13-14 двигателей в месяц. Он также делал запасные части к моторам «Гном» (11852).</w:t>
      </w:r>
    </w:p>
    <w:p w14:paraId="00FF5C99" w14:textId="77777777" w:rsidR="00B67D7C" w:rsidRPr="00DE096C" w:rsidRDefault="00B67D7C" w:rsidP="00D45A46">
      <w:pPr>
        <w:jc w:val="both"/>
        <w:rPr>
          <w:bCs/>
          <w:color w:val="002060"/>
          <w:sz w:val="16"/>
          <w:szCs w:val="16"/>
        </w:rPr>
      </w:pPr>
    </w:p>
    <w:p w14:paraId="2CE64935" w14:textId="77777777" w:rsidR="00DF0691" w:rsidRPr="00DE096C" w:rsidRDefault="00DF0691" w:rsidP="00D45A46">
      <w:pPr>
        <w:shd w:val="clear" w:color="auto" w:fill="FFFFFF"/>
        <w:jc w:val="both"/>
        <w:rPr>
          <w:bCs/>
          <w:color w:val="002060"/>
          <w:sz w:val="16"/>
          <w:szCs w:val="16"/>
        </w:rPr>
      </w:pPr>
      <w:r w:rsidRPr="00DE096C">
        <w:rPr>
          <w:bCs/>
          <w:color w:val="002060"/>
          <w:sz w:val="16"/>
          <w:szCs w:val="16"/>
        </w:rPr>
        <w:t>К началу 1914 г. Жуковский обосновал метод расчета лонжеронов крыла в условиях сжимаемых и изгибающих нагрузок. В.П. Ветчинкин в то же время решил задачу учета предварительной затяжки расчалочных тросов. Ему же удалось найти способ расчета лопастей винта на прочность, сконструировав для этой цели маятниковый динамометр, а также аэродинамический расчет самолета на прочность. На базе сделанных научных открытий Н.Е. Жуковский совместно с В.П. Ветчинкиным, А.Н. Туполевым и другими своими учениками организовал огромную практическую работу по расчету основных типов самолетов, состоявших на вооружении русской армии. Она оказала плодотворное влияние на повышение прочности и улучшение качества выпускаемых военных самолетов. Успехи, достигнутые в создании методов, позволили Н.Е. Жуковскому авторитетно решать многие комплексные проблемы оценки качества строившихся самолетов. В 1915 г. генерал-инспектор инженерных войск великий князь Александр Михайлович обратился с письмом к Н.Е. Жуковскому как к «мировому специалисту по аэродинамике». Жуковский, при участии инженера-механика В.П. Ветчинкина и лаборанта Г.И. Лукьянова, опираясь на созданный им научный метод, сделал первый в истории авиации полный аэродинамический расчет многомоторного самолета. В составленном по этому поводу протоколе он категорически подчеркнул, что «даже при принятых наихудших предположениях относительно свойств аэроплана и винтомоторной группы возможен полет аэроплана «Святогор», несущего полную нагрузку в 6,5 т со скоростью более 100 км/ч», а к таким показателям как раз и относились и «Русский Витязь», и «Илья Муромец». Это заявление находилось в полном противоречии с мнением известного английского ученого Ланчестера, который накануне войны в работе «О предельных размерах самолета» считал невыгодным увеличивать размеры аэроплана сверх существующих на тот момент норм. Однако успехи многомоторных кораблей типа «Илья Муромец» стали угрожающим для противников России на то подтверждением. Отбросив теории Ланчестера, за русскими попытались пойти и немцы, и сами англичане. Но, как говорится, техника безопасности писана кровью (23010).</w:t>
      </w:r>
    </w:p>
    <w:p w14:paraId="19933F76" w14:textId="77777777" w:rsidR="00DF0691" w:rsidRPr="00DE096C" w:rsidRDefault="00DF0691" w:rsidP="00D45A46">
      <w:pPr>
        <w:shd w:val="clear" w:color="auto" w:fill="FFFFFF"/>
        <w:jc w:val="both"/>
        <w:rPr>
          <w:bCs/>
          <w:color w:val="002060"/>
          <w:sz w:val="16"/>
          <w:szCs w:val="16"/>
        </w:rPr>
      </w:pPr>
    </w:p>
    <w:p w14:paraId="6F6EB340" w14:textId="77777777" w:rsidR="000446ED" w:rsidRPr="00DE096C" w:rsidRDefault="000446ED" w:rsidP="00D45A46">
      <w:pPr>
        <w:jc w:val="both"/>
        <w:rPr>
          <w:bCs/>
          <w:color w:val="002060"/>
          <w:sz w:val="16"/>
          <w:szCs w:val="16"/>
        </w:rPr>
      </w:pPr>
      <w:r w:rsidRPr="00DE096C">
        <w:rPr>
          <w:bCs/>
          <w:color w:val="002060"/>
          <w:sz w:val="16"/>
          <w:szCs w:val="16"/>
          <w:lang w:bidi="en-US"/>
        </w:rPr>
        <w:t xml:space="preserve">К </w:t>
      </w:r>
      <w:r w:rsidRPr="00DE096C">
        <w:rPr>
          <w:bCs/>
          <w:color w:val="002060"/>
          <w:sz w:val="16"/>
          <w:szCs w:val="16"/>
        </w:rPr>
        <w:t xml:space="preserve">1914 году производство на Дукс достигло 10-12 самолетов в месяц. До войны было выпущено около 150 самолетов. В течение 1916 г. было построено около тридцати </w:t>
      </w:r>
      <w:r w:rsidRPr="00DE096C">
        <w:rPr>
          <w:bCs/>
          <w:color w:val="002060"/>
          <w:sz w:val="16"/>
          <w:szCs w:val="16"/>
        </w:rPr>
        <w:softHyphen/>
        <w:t>восьми, а в течение 1917 г. строилось по сорок пять машин в месяц.</w:t>
      </w:r>
    </w:p>
    <w:p w14:paraId="04DF923E" w14:textId="77777777" w:rsidR="000446ED" w:rsidRPr="00DE096C" w:rsidRDefault="000446ED" w:rsidP="00D45A46">
      <w:pPr>
        <w:jc w:val="both"/>
        <w:rPr>
          <w:bCs/>
          <w:color w:val="002060"/>
          <w:sz w:val="16"/>
          <w:szCs w:val="16"/>
        </w:rPr>
      </w:pPr>
      <w:r w:rsidRPr="00DE096C">
        <w:rPr>
          <w:bCs/>
          <w:color w:val="002060"/>
          <w:sz w:val="16"/>
          <w:szCs w:val="16"/>
        </w:rPr>
        <w:t>Во время войны производство Duks было сосредоточено на Morane D, Morane G (несколько в качестве учебных только к концу 1915 г.), Morane-Saulnier L Parasols (всего около 400 штук на всех заводах), Farman XI и XII, Farman XV (всего восемнадцать). , Фарман XVI (всего 300 на всех заводах), Фарман XX (всего 200 на всех заводах). Farman XXII и XXII bis, Farman XXVII (пятьдесят в 1916 г.), Farman XXXbis (всего 400 на всех заводах), Nieuport IX (модифицированный Nieuport X), Nieuport X и Xbis (двухместные), Nieuport XI, Nieuport XVI (модифицированный Ньюпор XI), Ньюпор XVII (с конца 1916 г.), Ньюпор XXI, Ньюпор XXIII, Ньюпор XXIVbis (несколько на Дуксе) (около 700 на всех заводах), Спад VII (около 100 на всех заводах), Вуазен L (около 100 на всех заводах) 400 на всех заводах), а также Voisin LA, LAS и LBS.</w:t>
      </w:r>
    </w:p>
    <w:p w14:paraId="0FFA0EE5" w14:textId="77777777" w:rsidR="000446ED" w:rsidRPr="00DE096C" w:rsidRDefault="000446ED" w:rsidP="00D45A46">
      <w:pPr>
        <w:jc w:val="both"/>
        <w:rPr>
          <w:bCs/>
          <w:color w:val="002060"/>
          <w:sz w:val="16"/>
          <w:szCs w:val="16"/>
        </w:rPr>
      </w:pPr>
      <w:r w:rsidRPr="00DE096C">
        <w:rPr>
          <w:bCs/>
          <w:color w:val="002060"/>
          <w:sz w:val="16"/>
          <w:szCs w:val="16"/>
        </w:rPr>
        <w:t>Один Canon-Voisin, модифицированный дизайнером В.С. Денисова, был построен в Дюксе (а несколько других пришли из Франции). 18 июня 1917 года Дукс получил заказ от ВМФ на 160 трехместных летающих лодок Телье, но ни одна из них не была построена. 16 августа 1917 года военные заказали пятьдесят учебных Nieuport X, двадцать пять Nieuport XVII и десять Spad VII, большинство из которых считается завершенными.</w:t>
      </w:r>
    </w:p>
    <w:p w14:paraId="071A2DC7" w14:textId="77777777" w:rsidR="000446ED" w:rsidRPr="00DE096C" w:rsidRDefault="000446ED" w:rsidP="00D45A46">
      <w:pPr>
        <w:jc w:val="both"/>
        <w:rPr>
          <w:bCs/>
          <w:color w:val="002060"/>
          <w:sz w:val="16"/>
          <w:szCs w:val="16"/>
        </w:rPr>
      </w:pPr>
      <w:r w:rsidRPr="00DE096C">
        <w:rPr>
          <w:bCs/>
          <w:color w:val="002060"/>
          <w:sz w:val="16"/>
          <w:szCs w:val="16"/>
        </w:rPr>
        <w:lastRenderedPageBreak/>
        <w:t>С 1910 по 1917 год Дукс построил 1733 самолета, из которых 1569 были приняты на вооружение. Производство в 1914 г. составило 180 машин, увеличившись в 1915 г. до 367, 461 в 1916 г. и 543 в 1917 г. В 1914 г. у Дукса было 725 рабочих. В 1915 году это число увеличилось до 850, в 1916 году — до 1575, а в 1917 году — до 2120 рабочих.</w:t>
      </w:r>
    </w:p>
    <w:p w14:paraId="125AE2D1" w14:textId="77777777" w:rsidR="000446ED" w:rsidRPr="00DE096C" w:rsidRDefault="000446ED" w:rsidP="00D45A46">
      <w:pPr>
        <w:jc w:val="both"/>
        <w:rPr>
          <w:bCs/>
          <w:color w:val="002060"/>
          <w:sz w:val="16"/>
          <w:szCs w:val="16"/>
        </w:rPr>
      </w:pPr>
      <w:r w:rsidRPr="00DE096C">
        <w:rPr>
          <w:bCs/>
          <w:color w:val="002060"/>
          <w:sz w:val="16"/>
          <w:szCs w:val="16"/>
        </w:rPr>
        <w:t>Второй филиал Дукса был открыт в 1915 году на Ходынском аэродроме в Москве для сборки самолетов. После прихода к власти большевиков около 300 Sopwith 1 1/2 Strutter было построено на заводе Дукс (ГАЗ № 1) в Москве в период с 1918 по 1923 год.</w:t>
      </w:r>
    </w:p>
    <w:p w14:paraId="43BC3641" w14:textId="77777777" w:rsidR="000446ED" w:rsidRPr="00DE096C" w:rsidRDefault="000446ED" w:rsidP="00D45A46">
      <w:pPr>
        <w:jc w:val="both"/>
        <w:rPr>
          <w:bCs/>
          <w:color w:val="002060"/>
          <w:sz w:val="16"/>
          <w:szCs w:val="16"/>
        </w:rPr>
      </w:pPr>
      <w:r w:rsidRPr="00DE096C">
        <w:rPr>
          <w:bCs/>
          <w:color w:val="002060"/>
          <w:sz w:val="16"/>
          <w:szCs w:val="16"/>
        </w:rPr>
        <w:t>Примеры заказов на самолеты, полученные Duks - с завершенным номером заказа: 5 января 1916 г. - 50 из 50 Nieuport Xis, 100 из 100 Nieuport XXI, 50 из 50 Nieuport XVII, 55 из 200 Farman 30; 22 июня 1917 г. - 10 из 200 Spad VII, 30 из 100 Nieuport XVII, XXI, XXIII (23525).</w:t>
      </w:r>
    </w:p>
    <w:p w14:paraId="267A3CA6" w14:textId="77777777" w:rsidR="000446ED" w:rsidRPr="00DE096C" w:rsidRDefault="000446ED" w:rsidP="00D45A46">
      <w:pPr>
        <w:jc w:val="both"/>
        <w:rPr>
          <w:bCs/>
          <w:color w:val="002060"/>
          <w:sz w:val="16"/>
          <w:szCs w:val="16"/>
        </w:rPr>
      </w:pPr>
    </w:p>
    <w:p w14:paraId="3A756866" w14:textId="77777777" w:rsidR="000446ED" w:rsidRPr="00DE096C" w:rsidRDefault="000446ED" w:rsidP="00D45A46">
      <w:pPr>
        <w:jc w:val="both"/>
        <w:rPr>
          <w:bCs/>
          <w:color w:val="002060"/>
          <w:sz w:val="16"/>
          <w:szCs w:val="16"/>
        </w:rPr>
      </w:pPr>
      <w:r w:rsidRPr="00DE096C">
        <w:rPr>
          <w:bCs/>
          <w:color w:val="002060"/>
          <w:sz w:val="16"/>
          <w:szCs w:val="16"/>
        </w:rPr>
        <w:t>К началу 1914 года В.А. Лебедевым, который получил крупный заказ от Военного министерства на выпуск по лицензии типов Депердюссен Д и Вуазен Л было произведено шестьдесят три моноплана Deperdussin типа D, два из которых, как известно, были модифицированы поплавками для военно-морского флота. В июле 1914 года он начал производство Voisin type L.</w:t>
      </w:r>
    </w:p>
    <w:p w14:paraId="4532DE75" w14:textId="77777777" w:rsidR="000446ED" w:rsidRPr="00DE096C" w:rsidRDefault="000446ED" w:rsidP="00D45A46">
      <w:pPr>
        <w:jc w:val="both"/>
        <w:rPr>
          <w:bCs/>
          <w:color w:val="002060"/>
          <w:sz w:val="16"/>
          <w:szCs w:val="16"/>
        </w:rPr>
      </w:pPr>
      <w:r w:rsidRPr="00DE096C">
        <w:rPr>
          <w:bCs/>
          <w:color w:val="002060"/>
          <w:sz w:val="16"/>
          <w:szCs w:val="16"/>
        </w:rPr>
        <w:t>В апреле 1914 года В.А. Лебедев построил несколько объектов для своего нового авиазавода в Санкт-Петербурге. С 1913 по 1915 год управляющим и техническим руководителем завода Лебедева был В.И. Ярковский. В инженерный состав входили С.Б. Гуревич, Л.Д. Колпаков-Мирошниченко и другие. С июля 1914 по 1918 год главным конструктором Лебедева был Леопольд Михайлович Шкульник (бывший в немецком АГО).</w:t>
      </w:r>
    </w:p>
    <w:p w14:paraId="4B8CFA55" w14:textId="77777777" w:rsidR="000446ED" w:rsidRPr="00DE096C" w:rsidRDefault="000446ED" w:rsidP="00D45A46">
      <w:pPr>
        <w:jc w:val="both"/>
        <w:rPr>
          <w:bCs/>
          <w:color w:val="002060"/>
          <w:sz w:val="16"/>
          <w:szCs w:val="16"/>
        </w:rPr>
      </w:pPr>
      <w:r w:rsidRPr="00DE096C">
        <w:rPr>
          <w:bCs/>
          <w:color w:val="002060"/>
          <w:sz w:val="16"/>
          <w:szCs w:val="16"/>
        </w:rPr>
        <w:t>Старшим пилотом был француз по фамилии Женуар, которого позже сменил Мартин Феодорович Госповский. Серийное строительство всех иностранных самолетов возглавил Василий Иванович Ребиков. Алексей Петрович Гончаров и Василий Яковлевич Михайлов были известны как летчики-испытатели Лебедева.</w:t>
      </w:r>
    </w:p>
    <w:p w14:paraId="7A6C61D2" w14:textId="77777777" w:rsidR="000446ED" w:rsidRPr="00DE096C" w:rsidRDefault="000446ED" w:rsidP="00D45A46">
      <w:pPr>
        <w:jc w:val="both"/>
        <w:rPr>
          <w:bCs/>
          <w:color w:val="002060"/>
          <w:sz w:val="16"/>
          <w:szCs w:val="16"/>
        </w:rPr>
      </w:pPr>
      <w:r w:rsidRPr="00DE096C">
        <w:rPr>
          <w:bCs/>
          <w:color w:val="002060"/>
          <w:sz w:val="16"/>
          <w:szCs w:val="16"/>
        </w:rPr>
        <w:t>В течение 1914 года завод выпустил шестьдесят три Deperdussin с двигателями Gnome мощностью 80 л.с. В июле началось производство Voisins с двигателями Salmson мощностью 130 л.с. К ноябрю 1914 года мастерские Лебедева построили для военных 73 самолета.</w:t>
      </w:r>
    </w:p>
    <w:p w14:paraId="2AF1B86A" w14:textId="77777777" w:rsidR="000446ED" w:rsidRPr="00DE096C" w:rsidRDefault="000446ED" w:rsidP="00D45A46">
      <w:pPr>
        <w:jc w:val="both"/>
        <w:rPr>
          <w:bCs/>
          <w:color w:val="002060"/>
          <w:sz w:val="16"/>
          <w:szCs w:val="16"/>
        </w:rPr>
      </w:pPr>
      <w:r w:rsidRPr="00DE096C">
        <w:rPr>
          <w:bCs/>
          <w:color w:val="002060"/>
          <w:sz w:val="16"/>
          <w:szCs w:val="16"/>
        </w:rPr>
        <w:t>В 1915 году в Пензе был построен специальный гребной цех для их производства по французской лицензии. К концу 1916 года он производил 300 винтов в месяц. При Советах Пензенский завод стал ГАЗом. №7.</w:t>
      </w:r>
    </w:p>
    <w:p w14:paraId="163C8F8E" w14:textId="77777777" w:rsidR="000446ED" w:rsidRPr="00DE096C" w:rsidRDefault="000446ED" w:rsidP="00D45A46">
      <w:pPr>
        <w:jc w:val="both"/>
        <w:rPr>
          <w:bCs/>
          <w:color w:val="002060"/>
          <w:sz w:val="16"/>
          <w:szCs w:val="16"/>
        </w:rPr>
      </w:pPr>
      <w:r w:rsidRPr="00DE096C">
        <w:rPr>
          <w:bCs/>
          <w:color w:val="002060"/>
          <w:sz w:val="16"/>
          <w:szCs w:val="16"/>
        </w:rPr>
        <w:t>С конца 1914 по 1916 год завод Лебедева построил для флота 34 летающие лодки ФБА с моторами Гном-Моносупап 100 л.с. В течение 1915 года было построено около тридцати Morane Saulnier типа L. В 1915 году начались работы по проектированию «Лебедя-7», было построено несколько копий одноместного Sopwith Tabloid.</w:t>
      </w:r>
    </w:p>
    <w:p w14:paraId="2C5BF448" w14:textId="77777777" w:rsidR="000446ED" w:rsidRPr="00DE096C" w:rsidRDefault="000446ED" w:rsidP="00D45A46">
      <w:pPr>
        <w:jc w:val="both"/>
        <w:rPr>
          <w:bCs/>
          <w:color w:val="002060"/>
          <w:sz w:val="16"/>
          <w:szCs w:val="16"/>
        </w:rPr>
      </w:pPr>
      <w:r w:rsidRPr="00DE096C">
        <w:rPr>
          <w:bCs/>
          <w:color w:val="002060"/>
          <w:sz w:val="16"/>
          <w:szCs w:val="16"/>
        </w:rPr>
        <w:t>Вскоре за ним последовал Лебедь-8, копия двухместного немецкого LVG BI. В 1916 году были начаты работы над Лебедем-10 и</w:t>
      </w:r>
    </w:p>
    <w:p w14:paraId="5EB742C0" w14:textId="77777777" w:rsidR="000446ED" w:rsidRPr="00DE096C" w:rsidRDefault="000446ED" w:rsidP="00D45A46">
      <w:pPr>
        <w:jc w:val="both"/>
        <w:rPr>
          <w:bCs/>
          <w:color w:val="002060"/>
          <w:sz w:val="16"/>
          <w:szCs w:val="16"/>
        </w:rPr>
      </w:pPr>
      <w:r w:rsidRPr="00DE096C">
        <w:rPr>
          <w:bCs/>
          <w:color w:val="002060"/>
          <w:sz w:val="16"/>
          <w:szCs w:val="16"/>
        </w:rPr>
        <w:t>Лебедя 11 (оба оригинального дизайна). Всего было построено всего несколько экземпляров каждого типа. Это привело к Лебедю 12.</w:t>
      </w:r>
    </w:p>
    <w:p w14:paraId="37889C5D" w14:textId="77777777" w:rsidR="000446ED" w:rsidRPr="00DE096C" w:rsidRDefault="000446ED" w:rsidP="00D45A46">
      <w:pPr>
        <w:jc w:val="both"/>
        <w:rPr>
          <w:bCs/>
          <w:color w:val="002060"/>
          <w:sz w:val="16"/>
          <w:szCs w:val="16"/>
        </w:rPr>
      </w:pPr>
      <w:r w:rsidRPr="00DE096C">
        <w:rPr>
          <w:bCs/>
          <w:color w:val="002060"/>
          <w:sz w:val="16"/>
          <w:szCs w:val="16"/>
        </w:rPr>
        <w:t>Лебедь-12 был двухместным разведывательным самолетом с двигателем Salmson мощностью 150 л.с. Он был вооружен одним 7,62-мм пулеметом Colt с подвижной установкой, управляемой наблюдателем. Опытный образец был завершен и испытан Поручиком Слепцовым 10 января 1916 года. Заказ на 225 самолетов был получен от Военного министерства 19 апреля.</w:t>
      </w:r>
    </w:p>
    <w:p w14:paraId="0EE362BF" w14:textId="77777777" w:rsidR="000446ED" w:rsidRPr="00DE096C" w:rsidRDefault="000446ED" w:rsidP="00D45A46">
      <w:pPr>
        <w:jc w:val="both"/>
        <w:rPr>
          <w:bCs/>
          <w:color w:val="002060"/>
          <w:sz w:val="16"/>
          <w:szCs w:val="16"/>
        </w:rPr>
      </w:pPr>
      <w:r w:rsidRPr="00DE096C">
        <w:rPr>
          <w:bCs/>
          <w:color w:val="002060"/>
          <w:sz w:val="16"/>
          <w:szCs w:val="16"/>
        </w:rPr>
        <w:t>Первый серийный самолет испытал военный летчик Михайлов 4 августа на Комендантском аэродроме под Петроградом. В течение октября около десяти «Лебедей-12» были переданы военным и действовали на фронте. Пилоты на фронте критиковали «Лебедь-12» за то, что его было трудно восстановить после пикирования, что привело к авариям со смертельным исходом. Экипажам не нравились пары и тепло от выхлопа двигателя, который располагался слишком близко к кабине. Орудийная установка наблюдателя также была плохо спроектирована и позже была заменена улучшенной конструкцией.</w:t>
      </w:r>
    </w:p>
    <w:p w14:paraId="444FED63" w14:textId="77777777" w:rsidR="000446ED" w:rsidRPr="00DE096C" w:rsidRDefault="000446ED" w:rsidP="00D45A46">
      <w:pPr>
        <w:jc w:val="both"/>
        <w:rPr>
          <w:bCs/>
          <w:color w:val="002060"/>
          <w:sz w:val="16"/>
          <w:szCs w:val="16"/>
        </w:rPr>
      </w:pPr>
      <w:r w:rsidRPr="00DE096C">
        <w:rPr>
          <w:bCs/>
          <w:color w:val="002060"/>
          <w:sz w:val="16"/>
          <w:szCs w:val="16"/>
        </w:rPr>
        <w:t>Летом 1917 года «Лебедь-12» подвергся дальнейшей модификации. По новому контракту было заказано 200 самолетов, некоторые из которых были оснащены поплавками или лыжами. К 1 января 1918 года заводы Лебедева построили 218 «Лебедей-12» и 171 комплект запасных частей.</w:t>
      </w:r>
    </w:p>
    <w:p w14:paraId="4952CB0D" w14:textId="77777777" w:rsidR="000446ED" w:rsidRPr="00DE096C" w:rsidRDefault="000446ED" w:rsidP="00D45A46">
      <w:pPr>
        <w:jc w:val="both"/>
        <w:rPr>
          <w:bCs/>
          <w:color w:val="002060"/>
          <w:sz w:val="16"/>
          <w:szCs w:val="16"/>
        </w:rPr>
      </w:pPr>
      <w:r w:rsidRPr="00DE096C">
        <w:rPr>
          <w:bCs/>
          <w:color w:val="002060"/>
          <w:sz w:val="16"/>
          <w:szCs w:val="16"/>
        </w:rPr>
        <w:t>Ранее, в декабре 1914 г., завод Лебедева заключил договор с авиаконструктором В.А. Слесарева на средства богатого помещика и члена ИВАК Е.М. Малынского на постройку слесаревского «Святогора» — большого трехопорного биплана. Два двигателя Renault мощностью 220 л.с. были установлены в январе 1916 года.</w:t>
      </w:r>
    </w:p>
    <w:p w14:paraId="084494A2" w14:textId="77777777" w:rsidR="000446ED" w:rsidRPr="00DE096C" w:rsidRDefault="000446ED" w:rsidP="00D45A46">
      <w:pPr>
        <w:jc w:val="both"/>
        <w:rPr>
          <w:bCs/>
          <w:color w:val="002060"/>
          <w:sz w:val="16"/>
          <w:szCs w:val="16"/>
        </w:rPr>
      </w:pPr>
      <w:r w:rsidRPr="00DE096C">
        <w:rPr>
          <w:bCs/>
          <w:color w:val="002060"/>
          <w:sz w:val="16"/>
          <w:szCs w:val="16"/>
        </w:rPr>
        <w:t>«Святогор» был поврежден в начале ноября 1916 года во время наземных испытаний на аэродроме Комендантский и больше не летал. Было обнаружено, что он превышает бюджет и вес, и финансирование прекратилось. Слесарев погиб в результате дорожно-транспортного происшествия в Петрограде в начале 1921 года.</w:t>
      </w:r>
    </w:p>
    <w:p w14:paraId="4A06B556" w14:textId="77777777" w:rsidR="000446ED" w:rsidRPr="00DE096C" w:rsidRDefault="000446ED" w:rsidP="00D45A46">
      <w:pPr>
        <w:jc w:val="both"/>
        <w:rPr>
          <w:bCs/>
          <w:color w:val="002060"/>
          <w:sz w:val="16"/>
          <w:szCs w:val="16"/>
        </w:rPr>
      </w:pPr>
      <w:r w:rsidRPr="00DE096C">
        <w:rPr>
          <w:bCs/>
          <w:color w:val="002060"/>
          <w:sz w:val="16"/>
          <w:szCs w:val="16"/>
        </w:rPr>
        <w:t>В 1916 году Лебедев открыл в Таганроге большой авиационный магазин. В советское время он был известен как ГАЗ № 10. В 1917 г. Лебедев построил в г. Ярославле крупный металлургический завод по производству автомобильных и авиационных двигателей.</w:t>
      </w:r>
    </w:p>
    <w:p w14:paraId="7E677DB4" w14:textId="77777777" w:rsidR="000446ED" w:rsidRPr="00DE096C" w:rsidRDefault="000446ED" w:rsidP="00D45A46">
      <w:pPr>
        <w:jc w:val="both"/>
        <w:rPr>
          <w:bCs/>
          <w:color w:val="002060"/>
          <w:sz w:val="16"/>
          <w:szCs w:val="16"/>
        </w:rPr>
      </w:pPr>
      <w:r w:rsidRPr="00DE096C">
        <w:rPr>
          <w:bCs/>
          <w:color w:val="002060"/>
          <w:sz w:val="16"/>
          <w:szCs w:val="16"/>
        </w:rPr>
        <w:t>В течение 1915 года завод Лебедева построил два гидросамолета «Депердюссен» и один гидросамолет «Морис Фарман-11». Они также построили несколько двухместных гидросамолетов Лебедев-Морской ЛМ (ВМФ Лебедева), один из которых был отправлен в Ревельскую крепость АО. Другие морские типы включали копии двухместной летающей лодки FBA с двигателем Gnome мощностью 100 л.с.; один тип «ГФ» Лебедева и конструктора Г.А. Фриде, модифицированный Morane Saulnier тип L, переделанный в летающую лодку; одна летающая лодка «Виллиш ВМ-2»; а в декабре 1916 года одна летающая лодка Villish VM-4 с двигателем Rhone HOhp, которую отправили в Бакинскую школу. В июле 1917 года были построены три сухопутных самолета Лебедева «Альбатрос А.8». Завод в Таганроге также производил небольшое количество самолетов.</w:t>
      </w:r>
    </w:p>
    <w:p w14:paraId="634E5DF2" w14:textId="77777777" w:rsidR="000446ED" w:rsidRPr="00DE096C" w:rsidRDefault="000446ED" w:rsidP="00D45A46">
      <w:pPr>
        <w:jc w:val="both"/>
        <w:rPr>
          <w:bCs/>
          <w:color w:val="002060"/>
          <w:sz w:val="16"/>
          <w:szCs w:val="16"/>
        </w:rPr>
      </w:pPr>
      <w:r w:rsidRPr="00DE096C">
        <w:rPr>
          <w:bCs/>
          <w:color w:val="002060"/>
          <w:sz w:val="16"/>
          <w:szCs w:val="16"/>
        </w:rPr>
        <w:t>Летом 1916 г. на заводе Лебедева был построен самолет конструкции Л. Д. Колпакова-Мирошниченко «Кл» — двухместная разведывательная машина с двигателем «Аустро-Даймлер» 100 л.с. Самолет отличался крылом изменяемого угла наклона. Он разбился во время своего первого полета и больше не восстанавливался.</w:t>
      </w:r>
    </w:p>
    <w:p w14:paraId="5076FAFC" w14:textId="77777777" w:rsidR="000446ED" w:rsidRPr="00DE096C" w:rsidRDefault="000446ED" w:rsidP="00D45A46">
      <w:pPr>
        <w:jc w:val="both"/>
        <w:rPr>
          <w:bCs/>
          <w:color w:val="002060"/>
          <w:sz w:val="16"/>
          <w:szCs w:val="16"/>
        </w:rPr>
      </w:pPr>
      <w:r w:rsidRPr="00DE096C">
        <w:rPr>
          <w:bCs/>
          <w:color w:val="002060"/>
          <w:sz w:val="16"/>
          <w:szCs w:val="16"/>
        </w:rPr>
        <w:t>В 1917 году Лебедев получил британскую лицензию на производство Sopwith Pup и Sopwith Camel, но производство так и не началось. Однако известно, что в 1917 году на заводе в Петрограде было построено пять самолетов Sopwith 1 1/2 Strutters.</w:t>
      </w:r>
    </w:p>
    <w:p w14:paraId="7F8768DD" w14:textId="77777777" w:rsidR="000446ED" w:rsidRPr="00DE096C" w:rsidRDefault="000446ED" w:rsidP="00D45A46">
      <w:pPr>
        <w:jc w:val="both"/>
        <w:rPr>
          <w:bCs/>
          <w:color w:val="002060"/>
          <w:sz w:val="16"/>
          <w:szCs w:val="16"/>
        </w:rPr>
      </w:pPr>
      <w:r w:rsidRPr="00DE096C">
        <w:rPr>
          <w:bCs/>
          <w:color w:val="002060"/>
          <w:sz w:val="16"/>
          <w:szCs w:val="16"/>
        </w:rPr>
        <w:t>В течение 1916 г. был достигнут уровень производства 30 самолетов в месяц, а в 1917 г. он вырос примерно до 75 машин в месяц. Заводы Лебедева также ремонтировали трофейные типы «Альбатрос», «Авиатик» и «Румпир». В феврале 1916 г. отремонтированный Rumpier и LVG были отправлены в АО 8-й армии. В течение 1916 г. было отремонтировано около двадцати, в основном «Альбатросов», машин, поступивших в 18-ю КАО, 33-ю КАО, 34-ю КАО, Гренадерскую КАО и 12-ю армию АО.</w:t>
      </w:r>
    </w:p>
    <w:p w14:paraId="08CEE5E4" w14:textId="77777777" w:rsidR="000446ED" w:rsidRPr="00DE096C" w:rsidRDefault="000446ED" w:rsidP="00D45A46">
      <w:pPr>
        <w:jc w:val="both"/>
        <w:rPr>
          <w:bCs/>
          <w:color w:val="002060"/>
          <w:sz w:val="16"/>
          <w:szCs w:val="16"/>
        </w:rPr>
      </w:pPr>
      <w:r w:rsidRPr="00DE096C">
        <w:rPr>
          <w:bCs/>
          <w:color w:val="002060"/>
          <w:sz w:val="16"/>
          <w:szCs w:val="16"/>
        </w:rPr>
        <w:t>Лебедь-17 с двигателем Salmson мощностью 150 л.с. был оригинальной конструкцией С. Б. Гуревича, который был испытан в августе 1917 года. Было построено несколько машин. Известно, что с сентября 1917 г. было поставлено семь «Лебедей-21». К концу войны в ноябре 1917 года было построено 700 самолетов, из них сдано и принято 674. Производство было 47 в 1914 году, 187 в 1915 году, 227 в 1916 году и 213 в 1917 году. В 1916 году было 867 рабочих, а в 1917 году их число увеличилось до 1156. Другие проекты Лебедева включали Лебедь 14 (Lebed Le Grand), со- Совместно с Колпаковым-Мирошниченко был разработан большой трехстоечный биплан с двумя двигателями Salmson мощностью 15 Ом.</w:t>
      </w:r>
    </w:p>
    <w:p w14:paraId="04561C32" w14:textId="77777777" w:rsidR="000446ED" w:rsidRPr="00DE096C" w:rsidRDefault="000446ED" w:rsidP="00D45A46">
      <w:pPr>
        <w:jc w:val="both"/>
        <w:rPr>
          <w:bCs/>
          <w:color w:val="002060"/>
          <w:sz w:val="16"/>
          <w:szCs w:val="16"/>
        </w:rPr>
      </w:pPr>
      <w:r w:rsidRPr="00DE096C">
        <w:rPr>
          <w:bCs/>
          <w:color w:val="002060"/>
          <w:sz w:val="16"/>
          <w:szCs w:val="16"/>
        </w:rPr>
        <w:t>В январе 1916 г. Лебедев сообщил великому князю Александру Михайловичу, что скоро начнутся испытания, но самолет оставался недостроенным до второй половины 1917 г. Недостроенным остался и двухместный биплан «Лебедь-15» с двигателем «Рено» мощностью 225 л.с.</w:t>
      </w:r>
    </w:p>
    <w:p w14:paraId="76845EC3" w14:textId="77777777" w:rsidR="000446ED" w:rsidRPr="00DE096C" w:rsidRDefault="000446ED" w:rsidP="00D45A46">
      <w:pPr>
        <w:jc w:val="both"/>
        <w:rPr>
          <w:bCs/>
          <w:color w:val="002060"/>
          <w:sz w:val="16"/>
          <w:szCs w:val="16"/>
        </w:rPr>
      </w:pPr>
      <w:r w:rsidRPr="00DE096C">
        <w:rPr>
          <w:bCs/>
          <w:color w:val="002060"/>
          <w:sz w:val="16"/>
          <w:szCs w:val="16"/>
        </w:rPr>
        <w:t>В начале 1917 г. был испытан трехместный биплан «Лебедь-16» с двумя двигателями «Рона» мощностью 80 л. Лебедь-17, разработанный совместно с Гуревичем, с одним двигателем Salmson мощностью 150 л.с. Летные испытания он прошел в августе 1917 года. Было построено несколько самолетов, но в серийное производство он так и не пошел.</w:t>
      </w:r>
    </w:p>
    <w:p w14:paraId="4F344C4F" w14:textId="77777777" w:rsidR="000446ED" w:rsidRPr="00DE096C" w:rsidRDefault="000446ED" w:rsidP="00D45A46">
      <w:pPr>
        <w:jc w:val="both"/>
        <w:rPr>
          <w:bCs/>
          <w:color w:val="002060"/>
          <w:sz w:val="16"/>
          <w:szCs w:val="16"/>
        </w:rPr>
      </w:pPr>
      <w:r w:rsidRPr="00DE096C">
        <w:rPr>
          <w:bCs/>
          <w:color w:val="002060"/>
          <w:sz w:val="16"/>
          <w:szCs w:val="16"/>
        </w:rPr>
        <w:t>Двухместный «Лебедь-18» (типа «Альбатрос») с двигателем Fiat мощностью 230 л.с. так и не был построен, так как заказов не поступало. Из-за его плохих характеристик было построено всего семь экземпляров двухместного моноплана «Лебедь-21» с двигателем Salmson мощностью 150 л.с. Лебедь 24 остался проектом из-за непоставки ожидаемых двигателей Fiat и Hispano-Suiza.</w:t>
      </w:r>
    </w:p>
    <w:p w14:paraId="24605B14" w14:textId="77777777" w:rsidR="000446ED" w:rsidRPr="00DE096C" w:rsidRDefault="000446ED" w:rsidP="00D45A46">
      <w:pPr>
        <w:jc w:val="both"/>
        <w:rPr>
          <w:bCs/>
          <w:color w:val="002060"/>
          <w:sz w:val="16"/>
          <w:szCs w:val="16"/>
        </w:rPr>
      </w:pPr>
      <w:r w:rsidRPr="00DE096C">
        <w:rPr>
          <w:bCs/>
          <w:color w:val="002060"/>
          <w:sz w:val="16"/>
          <w:szCs w:val="16"/>
        </w:rPr>
        <w:t>Ниже приведены примеры заказов Лебедева и количество построенных самолетов: 5 июля 1915 г. - пять из пяти «Альбатросов»; 6 сентября 1915 г. - 138 из 150 Вуазен ЛАС; 2 мая 1916 г. - 133 из 225 Вуазен ЛАС, 10 из 10 Лебедей 12 учебных; 25 декабря 1916 г. - один из "Альбатросов" с двигателем "Майбах"; 26 декабря 1916 г. - 14 из 50 Nieuport X; 10 марта 1917 г. - 15 из 60 Nieuport X; 30 мая 1917 г. - ни одного из 200 Лебедей 24; 1917 г., 5 июля - заказ на 140 Sopwith 1/2 Страттерс и 60 Лебедей для школы, неизвестно, были ли они построены.</w:t>
      </w:r>
    </w:p>
    <w:p w14:paraId="1F92C2B8" w14:textId="77777777" w:rsidR="000446ED" w:rsidRPr="00DE096C" w:rsidRDefault="000446ED" w:rsidP="00D45A46">
      <w:pPr>
        <w:jc w:val="both"/>
        <w:rPr>
          <w:bCs/>
          <w:color w:val="002060"/>
          <w:sz w:val="16"/>
          <w:szCs w:val="16"/>
        </w:rPr>
      </w:pPr>
      <w:r w:rsidRPr="00DE096C">
        <w:rPr>
          <w:bCs/>
          <w:color w:val="002060"/>
          <w:sz w:val="16"/>
          <w:szCs w:val="16"/>
        </w:rPr>
        <w:t>В 1917 г., после отречения царя, В.А. Лебедев был избран президентом Всероссийского аэроклуба (ВАК) (бывший ИВАК) и назначен руководителем школы ВАК.</w:t>
      </w:r>
    </w:p>
    <w:p w14:paraId="5C44C603" w14:textId="77777777" w:rsidR="000446ED" w:rsidRPr="00DE096C" w:rsidRDefault="000446ED" w:rsidP="00D45A46">
      <w:pPr>
        <w:jc w:val="both"/>
        <w:rPr>
          <w:bCs/>
          <w:color w:val="002060"/>
          <w:sz w:val="16"/>
          <w:szCs w:val="16"/>
        </w:rPr>
      </w:pPr>
      <w:r w:rsidRPr="00DE096C">
        <w:rPr>
          <w:bCs/>
          <w:color w:val="002060"/>
          <w:sz w:val="16"/>
          <w:szCs w:val="16"/>
        </w:rPr>
        <w:t>После революции большевики объявили его «врагом народа» и национализировали его заводы. Завод в Петрограде был объединен с Р-БВЗ и переименован в ГАЗ №3. Лебедев отправился на юг России, где занимал пост министра торговли и промышленности в правительстве генерала Деникина. В годы Гражданской войны его завод в Таганроге, где фактически располагались мастерские Ф. Моски, строил и ремонтировал самолеты для Добровольческой армии. В ноябре 1920 г. он эмигрировал в Югославию, где росло число белых русских, уехав оттуда в 1926 г. в Париж, который он сделал своим домом. Его вклад во французскую авиационную промышленность был отмечен орденом Почетного легиона. Он умер в Париже 22 февраля 1947 года (23525).</w:t>
      </w:r>
    </w:p>
    <w:p w14:paraId="556D51A2" w14:textId="77777777" w:rsidR="000446ED" w:rsidRPr="00DE096C" w:rsidRDefault="000446ED" w:rsidP="00D45A46">
      <w:pPr>
        <w:jc w:val="both"/>
        <w:rPr>
          <w:bCs/>
          <w:color w:val="002060"/>
          <w:sz w:val="16"/>
          <w:szCs w:val="16"/>
        </w:rPr>
      </w:pPr>
      <w:r w:rsidRPr="00DE096C">
        <w:rPr>
          <w:bCs/>
          <w:color w:val="002060"/>
          <w:sz w:val="16"/>
          <w:szCs w:val="16"/>
        </w:rPr>
        <w:t>В 1910 году Военное министерство России выделило десять миллионов рублей на развитие воздухоплавательного отдела (23525).</w:t>
      </w:r>
    </w:p>
    <w:p w14:paraId="5DE186F2" w14:textId="77777777" w:rsidR="000446ED" w:rsidRPr="00DE096C" w:rsidRDefault="000446ED" w:rsidP="00D45A46">
      <w:pPr>
        <w:jc w:val="both"/>
        <w:rPr>
          <w:bCs/>
          <w:color w:val="002060"/>
          <w:sz w:val="16"/>
          <w:szCs w:val="16"/>
          <w:lang w:bidi="en-US"/>
        </w:rPr>
      </w:pPr>
    </w:p>
    <w:p w14:paraId="3002DC9D" w14:textId="77777777" w:rsidR="000446ED" w:rsidRPr="00DE096C" w:rsidRDefault="000446ED" w:rsidP="00D45A46">
      <w:pPr>
        <w:jc w:val="both"/>
        <w:rPr>
          <w:bCs/>
          <w:color w:val="002060"/>
          <w:sz w:val="16"/>
          <w:szCs w:val="16"/>
        </w:rPr>
      </w:pPr>
      <w:r w:rsidRPr="00DE096C">
        <w:rPr>
          <w:bCs/>
          <w:color w:val="002060"/>
          <w:sz w:val="16"/>
          <w:szCs w:val="16"/>
        </w:rPr>
        <w:t>К началу 1914 г. основу российской военной авиации составляли самолеты «Фарман-16» и «Ньюпор-4». Дальнейшее снабжение военно-воздушного флота бипланами наметили осуществлять самолетами «Фарман-22 бис», а от «ньюпоров» решили отказаться. «Ньюпор-4» показал себя надежным самолетом, способным совершать дальние перелеты и выполнять фигуры высшего пилотажа, но нестандартная система управления перекашиванием крыла (с помощью педалей, а не ручки, как обычно) делала трудным переучивание освоивших его летчиков на новые типы аэропланов (23472).</w:t>
      </w:r>
    </w:p>
    <w:p w14:paraId="78D63FAF" w14:textId="77777777" w:rsidR="000446ED" w:rsidRPr="00DE096C" w:rsidRDefault="000446ED" w:rsidP="00D45A46">
      <w:pPr>
        <w:jc w:val="both"/>
        <w:rPr>
          <w:bCs/>
          <w:color w:val="002060"/>
          <w:sz w:val="16"/>
          <w:szCs w:val="16"/>
        </w:rPr>
      </w:pPr>
    </w:p>
    <w:p w14:paraId="42C3CA0E" w14:textId="77777777" w:rsidR="00DF0691" w:rsidRPr="00DE096C" w:rsidRDefault="00DF0691" w:rsidP="00D45A46">
      <w:pPr>
        <w:jc w:val="both"/>
        <w:rPr>
          <w:bCs/>
          <w:i/>
          <w:color w:val="002060"/>
          <w:sz w:val="16"/>
          <w:szCs w:val="16"/>
        </w:rPr>
      </w:pPr>
      <w:r w:rsidRPr="00DE096C">
        <w:rPr>
          <w:bCs/>
          <w:i/>
          <w:color w:val="002060"/>
          <w:sz w:val="16"/>
          <w:szCs w:val="16"/>
        </w:rPr>
        <w:t>Аэростатостроение:</w:t>
      </w:r>
    </w:p>
    <w:p w14:paraId="6C2B421E" w14:textId="77777777" w:rsidR="00DF0691" w:rsidRPr="00DE096C" w:rsidRDefault="00DF0691" w:rsidP="00D45A46">
      <w:pPr>
        <w:jc w:val="both"/>
        <w:rPr>
          <w:bCs/>
          <w:i/>
          <w:color w:val="002060"/>
          <w:sz w:val="16"/>
          <w:szCs w:val="16"/>
        </w:rPr>
      </w:pPr>
    </w:p>
    <w:p w14:paraId="6CDB3A8E" w14:textId="77777777" w:rsidR="00DF0691" w:rsidRPr="00DE096C" w:rsidRDefault="00DF0691" w:rsidP="00D45A46">
      <w:pPr>
        <w:jc w:val="both"/>
        <w:rPr>
          <w:bCs/>
          <w:color w:val="002060"/>
          <w:sz w:val="16"/>
          <w:szCs w:val="16"/>
        </w:rPr>
      </w:pPr>
      <w:r w:rsidRPr="00DE096C">
        <w:rPr>
          <w:bCs/>
          <w:color w:val="002060"/>
          <w:sz w:val="16"/>
          <w:szCs w:val="16"/>
        </w:rPr>
        <w:lastRenderedPageBreak/>
        <w:t>К 1914 г. отечественные заводы, прежде всего казённые заводы Морского и Военного ведомств, освоили производство дирижаблей мягкого и по</w:t>
      </w:r>
      <w:r w:rsidRPr="00DE096C">
        <w:rPr>
          <w:bCs/>
          <w:color w:val="002060"/>
          <w:sz w:val="16"/>
          <w:szCs w:val="16"/>
        </w:rPr>
        <w:softHyphen/>
        <w:t>лужёсткого типа объёмом до 10 000 м3, но дири</w:t>
      </w:r>
      <w:r w:rsidRPr="00DE096C">
        <w:rPr>
          <w:bCs/>
          <w:color w:val="002060"/>
          <w:sz w:val="16"/>
          <w:szCs w:val="16"/>
        </w:rPr>
        <w:softHyphen/>
        <w:t>жаблестроения как отрасли промышленности со специализированными заводами и конструктор</w:t>
      </w:r>
      <w:r w:rsidRPr="00DE096C">
        <w:rPr>
          <w:bCs/>
          <w:color w:val="002060"/>
          <w:sz w:val="16"/>
          <w:szCs w:val="16"/>
        </w:rPr>
        <w:softHyphen/>
        <w:t>скими бюро создать не удалось.</w:t>
      </w:r>
    </w:p>
    <w:p w14:paraId="31624A5B" w14:textId="77777777" w:rsidR="00DF0691" w:rsidRPr="00DE096C" w:rsidRDefault="00DF0691" w:rsidP="00D45A46">
      <w:pPr>
        <w:jc w:val="both"/>
        <w:rPr>
          <w:bCs/>
          <w:color w:val="002060"/>
          <w:sz w:val="16"/>
          <w:szCs w:val="16"/>
        </w:rPr>
      </w:pPr>
      <w:r w:rsidRPr="00DE096C">
        <w:rPr>
          <w:bCs/>
          <w:color w:val="002060"/>
          <w:sz w:val="16"/>
          <w:szCs w:val="16"/>
        </w:rPr>
        <w:t>Конструктивные особенности отечественных управляемых аэростатов мягкого и полужёстко</w:t>
      </w:r>
      <w:r w:rsidRPr="00DE096C">
        <w:rPr>
          <w:bCs/>
          <w:color w:val="002060"/>
          <w:sz w:val="16"/>
          <w:szCs w:val="16"/>
        </w:rPr>
        <w:softHyphen/>
        <w:t>го типа, характерные и для зарубежных дирижа</w:t>
      </w:r>
      <w:r w:rsidRPr="00DE096C">
        <w:rPr>
          <w:bCs/>
          <w:color w:val="002060"/>
          <w:sz w:val="16"/>
          <w:szCs w:val="16"/>
        </w:rPr>
        <w:softHyphen/>
        <w:t>блей, были следующими:</w:t>
      </w:r>
    </w:p>
    <w:p w14:paraId="22CB46C6" w14:textId="77777777" w:rsidR="00DF0691" w:rsidRPr="00DE096C" w:rsidRDefault="00DF0691" w:rsidP="00D45A46">
      <w:pPr>
        <w:tabs>
          <w:tab w:val="left" w:pos="572"/>
        </w:tabs>
        <w:jc w:val="both"/>
        <w:rPr>
          <w:bCs/>
          <w:color w:val="002060"/>
          <w:sz w:val="16"/>
          <w:szCs w:val="16"/>
        </w:rPr>
      </w:pPr>
      <w:r w:rsidRPr="00DE096C">
        <w:rPr>
          <w:bCs/>
          <w:color w:val="002060"/>
          <w:sz w:val="16"/>
          <w:szCs w:val="16"/>
        </w:rPr>
        <w:t>1. относительно удлинённая оболочка (удли</w:t>
      </w:r>
      <w:r w:rsidRPr="00DE096C">
        <w:rPr>
          <w:bCs/>
          <w:color w:val="002060"/>
          <w:sz w:val="16"/>
          <w:szCs w:val="16"/>
        </w:rPr>
        <w:softHyphen/>
        <w:t>нение в пределах 5,5-6,5);</w:t>
      </w:r>
    </w:p>
    <w:p w14:paraId="6B66D8DE" w14:textId="77777777" w:rsidR="00DF0691" w:rsidRPr="00DE096C" w:rsidRDefault="00DF0691" w:rsidP="00D45A46">
      <w:pPr>
        <w:tabs>
          <w:tab w:val="left" w:pos="572"/>
        </w:tabs>
        <w:jc w:val="both"/>
        <w:rPr>
          <w:bCs/>
          <w:color w:val="002060"/>
          <w:sz w:val="16"/>
          <w:szCs w:val="16"/>
        </w:rPr>
      </w:pPr>
      <w:r w:rsidRPr="00DE096C">
        <w:rPr>
          <w:bCs/>
          <w:color w:val="002060"/>
          <w:sz w:val="16"/>
          <w:szCs w:val="16"/>
        </w:rPr>
        <w:t>2. обтянутая тканью гондола, длина которой составляла более половины длины дирижабля, с плохой аэродинамикой, в том числе и из-за большого числа выступающих деталей;</w:t>
      </w:r>
    </w:p>
    <w:p w14:paraId="639AACAA" w14:textId="77777777" w:rsidR="00DF0691" w:rsidRPr="00DE096C" w:rsidRDefault="00DF0691" w:rsidP="00D45A46">
      <w:pPr>
        <w:tabs>
          <w:tab w:val="left" w:pos="601"/>
        </w:tabs>
        <w:jc w:val="both"/>
        <w:rPr>
          <w:bCs/>
          <w:color w:val="002060"/>
          <w:sz w:val="16"/>
          <w:szCs w:val="16"/>
        </w:rPr>
      </w:pPr>
      <w:r w:rsidRPr="00DE096C">
        <w:rPr>
          <w:bCs/>
          <w:color w:val="002060"/>
          <w:sz w:val="16"/>
          <w:szCs w:val="16"/>
        </w:rPr>
        <w:t>3. подвеска при помощи пояса из прочной материи, идущего вдоль всей оболочки от носа к корме, на котором имелась сложная система «гусиных лапок» для крепления подвесных тро</w:t>
      </w:r>
      <w:r w:rsidRPr="00DE096C">
        <w:rPr>
          <w:bCs/>
          <w:color w:val="002060"/>
          <w:sz w:val="16"/>
          <w:szCs w:val="16"/>
        </w:rPr>
        <w:softHyphen/>
        <w:t>сов гондолы;</w:t>
      </w:r>
    </w:p>
    <w:p w14:paraId="3FDEE4E0" w14:textId="77777777" w:rsidR="00DF0691" w:rsidRPr="00DE096C" w:rsidRDefault="00DF0691" w:rsidP="00D45A46">
      <w:pPr>
        <w:tabs>
          <w:tab w:val="left" w:pos="562"/>
        </w:tabs>
        <w:jc w:val="both"/>
        <w:rPr>
          <w:bCs/>
          <w:color w:val="002060"/>
          <w:sz w:val="16"/>
          <w:szCs w:val="16"/>
        </w:rPr>
      </w:pPr>
      <w:r w:rsidRPr="00DE096C">
        <w:rPr>
          <w:bCs/>
          <w:color w:val="002060"/>
          <w:sz w:val="16"/>
          <w:szCs w:val="16"/>
        </w:rPr>
        <w:t>4. винты, расположенные на консолях по бо</w:t>
      </w:r>
      <w:r w:rsidRPr="00DE096C">
        <w:rPr>
          <w:bCs/>
          <w:color w:val="002060"/>
          <w:sz w:val="16"/>
          <w:szCs w:val="16"/>
        </w:rPr>
        <w:softHyphen/>
        <w:t>кам гондолы, или один большой винт, помещён</w:t>
      </w:r>
      <w:r w:rsidRPr="00DE096C">
        <w:rPr>
          <w:bCs/>
          <w:color w:val="002060"/>
          <w:sz w:val="16"/>
          <w:szCs w:val="16"/>
        </w:rPr>
        <w:softHyphen/>
        <w:t>ный в носу, для передачи мощности к которым требовались трансмиссии (цепи Галля или кар</w:t>
      </w:r>
      <w:r w:rsidRPr="00DE096C">
        <w:rPr>
          <w:bCs/>
          <w:color w:val="002060"/>
          <w:sz w:val="16"/>
          <w:szCs w:val="16"/>
        </w:rPr>
        <w:softHyphen/>
        <w:t>данные валы);</w:t>
      </w:r>
    </w:p>
    <w:p w14:paraId="64FF4D86" w14:textId="77777777" w:rsidR="00DF0691" w:rsidRPr="00DE096C" w:rsidRDefault="00DF0691" w:rsidP="00D45A46">
      <w:pPr>
        <w:tabs>
          <w:tab w:val="left" w:pos="606"/>
        </w:tabs>
        <w:jc w:val="both"/>
        <w:rPr>
          <w:bCs/>
          <w:color w:val="002060"/>
          <w:sz w:val="16"/>
          <w:szCs w:val="16"/>
        </w:rPr>
      </w:pPr>
      <w:r w:rsidRPr="00DE096C">
        <w:rPr>
          <w:bCs/>
          <w:color w:val="002060"/>
          <w:sz w:val="16"/>
          <w:szCs w:val="16"/>
        </w:rPr>
        <w:t>5. баллонеты питались отдельным вентиля</w:t>
      </w:r>
      <w:r w:rsidRPr="00DE096C">
        <w:rPr>
          <w:bCs/>
          <w:color w:val="002060"/>
          <w:sz w:val="16"/>
          <w:szCs w:val="16"/>
        </w:rPr>
        <w:softHyphen/>
        <w:t>тором, установленным в гондоле и приводимым в действие или от основных двигателей дирижа</w:t>
      </w:r>
      <w:r w:rsidRPr="00DE096C">
        <w:rPr>
          <w:bCs/>
          <w:color w:val="002060"/>
          <w:sz w:val="16"/>
          <w:szCs w:val="16"/>
        </w:rPr>
        <w:softHyphen/>
        <w:t>бля, или от специального маломощного мотора;</w:t>
      </w:r>
    </w:p>
    <w:p w14:paraId="314DF9F4" w14:textId="77777777" w:rsidR="00DF0691" w:rsidRPr="00DE096C" w:rsidRDefault="00DF0691" w:rsidP="00D45A46">
      <w:pPr>
        <w:tabs>
          <w:tab w:val="left" w:pos="610"/>
        </w:tabs>
        <w:jc w:val="both"/>
        <w:rPr>
          <w:bCs/>
          <w:color w:val="002060"/>
          <w:sz w:val="16"/>
          <w:szCs w:val="16"/>
        </w:rPr>
      </w:pPr>
      <w:r w:rsidRPr="00DE096C">
        <w:rPr>
          <w:bCs/>
          <w:color w:val="002060"/>
          <w:sz w:val="16"/>
          <w:szCs w:val="16"/>
        </w:rPr>
        <w:t>6. носовое усиление отсутствовало. Всё это чрезвычайно увеличивало лобовое сопротивле</w:t>
      </w:r>
      <w:r w:rsidRPr="00DE096C">
        <w:rPr>
          <w:bCs/>
          <w:color w:val="002060"/>
          <w:sz w:val="16"/>
          <w:szCs w:val="16"/>
        </w:rPr>
        <w:softHyphen/>
        <w:t>ние, а также утяжеляло и усложняло механиче</w:t>
      </w:r>
      <w:r w:rsidRPr="00DE096C">
        <w:rPr>
          <w:bCs/>
          <w:color w:val="002060"/>
          <w:sz w:val="16"/>
          <w:szCs w:val="16"/>
        </w:rPr>
        <w:softHyphen/>
        <w:t>скую часть, увеличивая массу конструкции дири</w:t>
      </w:r>
      <w:r w:rsidRPr="00DE096C">
        <w:rPr>
          <w:bCs/>
          <w:color w:val="002060"/>
          <w:sz w:val="16"/>
          <w:szCs w:val="16"/>
        </w:rPr>
        <w:softHyphen/>
        <w:t>жабля (20120).</w:t>
      </w:r>
    </w:p>
    <w:p w14:paraId="177ACB2D" w14:textId="04013EDE" w:rsidR="00DF0691" w:rsidRPr="00DE096C" w:rsidRDefault="00DF0691" w:rsidP="00D45A46">
      <w:pPr>
        <w:shd w:val="clear" w:color="auto" w:fill="FFFFFF"/>
        <w:jc w:val="both"/>
        <w:rPr>
          <w:bCs/>
          <w:color w:val="002060"/>
          <w:sz w:val="16"/>
          <w:szCs w:val="16"/>
        </w:rPr>
      </w:pPr>
    </w:p>
    <w:p w14:paraId="73C3DE23" w14:textId="77777777" w:rsidR="00DE096C" w:rsidRPr="00B52707" w:rsidRDefault="00DE096C" w:rsidP="00DE096C">
      <w:pPr>
        <w:jc w:val="both"/>
        <w:rPr>
          <w:color w:val="0070C0"/>
          <w:sz w:val="16"/>
          <w:szCs w:val="16"/>
        </w:rPr>
      </w:pPr>
      <w:r w:rsidRPr="00B52707">
        <w:rPr>
          <w:color w:val="0070C0"/>
          <w:sz w:val="16"/>
          <w:szCs w:val="16"/>
        </w:rPr>
        <w:t>К 1914 г. в РИВВФ имелось 9 дирижа</w:t>
      </w:r>
      <w:r w:rsidRPr="00B52707">
        <w:rPr>
          <w:color w:val="0070C0"/>
          <w:sz w:val="16"/>
          <w:szCs w:val="16"/>
        </w:rPr>
        <w:softHyphen/>
        <w:t>блей, из них 7 больших и 2 малых, раз</w:t>
      </w:r>
      <w:r w:rsidRPr="00B52707">
        <w:rPr>
          <w:color w:val="0070C0"/>
          <w:sz w:val="16"/>
          <w:szCs w:val="16"/>
        </w:rPr>
        <w:softHyphen/>
        <w:t>личной конструкции (большая часть по</w:t>
      </w:r>
      <w:r w:rsidRPr="00B52707">
        <w:rPr>
          <w:color w:val="0070C0"/>
          <w:sz w:val="16"/>
          <w:szCs w:val="16"/>
        </w:rPr>
        <w:softHyphen/>
        <w:t>купные, произведенные в Германии и Франции). Они состояли на вооруже</w:t>
      </w:r>
      <w:r w:rsidRPr="00B52707">
        <w:rPr>
          <w:color w:val="0070C0"/>
          <w:sz w:val="16"/>
          <w:szCs w:val="16"/>
        </w:rPr>
        <w:softHyphen/>
        <w:t>нии 4 полевых воздухоплавательных рот и Учебного воздухоплавательного пар</w:t>
      </w:r>
      <w:r w:rsidRPr="00B52707">
        <w:rPr>
          <w:color w:val="0070C0"/>
          <w:sz w:val="16"/>
          <w:szCs w:val="16"/>
        </w:rPr>
        <w:softHyphen/>
        <w:t>ка при Офицерской воздухоплавательной школе. В этих местах были построены эл</w:t>
      </w:r>
      <w:r w:rsidRPr="00B52707">
        <w:rPr>
          <w:color w:val="0070C0"/>
          <w:sz w:val="16"/>
          <w:szCs w:val="16"/>
        </w:rPr>
        <w:softHyphen/>
        <w:t>линги, газогенераторные станции и базы снабжения.</w:t>
      </w:r>
    </w:p>
    <w:p w14:paraId="3C2DE2E5" w14:textId="77777777" w:rsidR="00DE096C" w:rsidRPr="00B52707" w:rsidRDefault="00DE096C" w:rsidP="00DE096C">
      <w:pPr>
        <w:jc w:val="both"/>
        <w:rPr>
          <w:color w:val="0070C0"/>
          <w:sz w:val="16"/>
          <w:szCs w:val="16"/>
        </w:rPr>
      </w:pPr>
      <w:r w:rsidRPr="00B52707">
        <w:rPr>
          <w:color w:val="0070C0"/>
          <w:sz w:val="16"/>
          <w:szCs w:val="16"/>
        </w:rPr>
        <w:t>В военное время к ним должна была добавиться еще 1 полевая рота, форми</w:t>
      </w:r>
      <w:r w:rsidRPr="00B52707">
        <w:rPr>
          <w:color w:val="0070C0"/>
          <w:sz w:val="16"/>
          <w:szCs w:val="16"/>
        </w:rPr>
        <w:softHyphen/>
        <w:t>руемая на базе офицерской воздухопла</w:t>
      </w:r>
      <w:r w:rsidRPr="00B52707">
        <w:rPr>
          <w:color w:val="0070C0"/>
          <w:sz w:val="16"/>
          <w:szCs w:val="16"/>
        </w:rPr>
        <w:softHyphen/>
        <w:t>вательной школы. Планировалось дове</w:t>
      </w:r>
      <w:r w:rsidRPr="00B52707">
        <w:rPr>
          <w:color w:val="0070C0"/>
          <w:sz w:val="16"/>
          <w:szCs w:val="16"/>
        </w:rPr>
        <w:softHyphen/>
        <w:t>сти число больших дирижаблей до 14, для чего в 1914 г. начаты постройки еще дирижаблей.</w:t>
      </w:r>
    </w:p>
    <w:p w14:paraId="47664089" w14:textId="77777777" w:rsidR="00DE096C" w:rsidRPr="00B52707" w:rsidRDefault="00DE096C" w:rsidP="00DE096C">
      <w:pPr>
        <w:jc w:val="both"/>
        <w:rPr>
          <w:color w:val="0070C0"/>
          <w:sz w:val="16"/>
          <w:szCs w:val="16"/>
        </w:rPr>
      </w:pPr>
      <w:r w:rsidRPr="00B52707">
        <w:rPr>
          <w:color w:val="0070C0"/>
          <w:sz w:val="16"/>
          <w:szCs w:val="16"/>
        </w:rPr>
        <w:t>Полевая воздухоплавательная рота, оснащенная управляемыми аэростата</w:t>
      </w:r>
      <w:r w:rsidRPr="00B52707">
        <w:rPr>
          <w:color w:val="0070C0"/>
          <w:sz w:val="16"/>
          <w:szCs w:val="16"/>
        </w:rPr>
        <w:softHyphen/>
        <w:t>ми, имела на вооружении 1-2 дирижа</w:t>
      </w:r>
      <w:r w:rsidRPr="00B52707">
        <w:rPr>
          <w:color w:val="0070C0"/>
          <w:sz w:val="16"/>
          <w:szCs w:val="16"/>
        </w:rPr>
        <w:softHyphen/>
        <w:t>бля. Экипаж большого дирижабля состо</w:t>
      </w:r>
      <w:r w:rsidRPr="00B52707">
        <w:rPr>
          <w:color w:val="0070C0"/>
          <w:sz w:val="16"/>
          <w:szCs w:val="16"/>
        </w:rPr>
        <w:softHyphen/>
        <w:t>ял из 7-20 человек разных военных спе</w:t>
      </w:r>
      <w:r w:rsidRPr="00B52707">
        <w:rPr>
          <w:color w:val="0070C0"/>
          <w:sz w:val="16"/>
          <w:szCs w:val="16"/>
        </w:rPr>
        <w:softHyphen/>
        <w:t>циальностей. Экипаж малого дирижа</w:t>
      </w:r>
      <w:r w:rsidRPr="00B52707">
        <w:rPr>
          <w:color w:val="0070C0"/>
          <w:sz w:val="16"/>
          <w:szCs w:val="16"/>
        </w:rPr>
        <w:softHyphen/>
        <w:t>бля насчитывал 4-5 человек. Каждый экипаж состоял из командира, вахтен</w:t>
      </w:r>
      <w:r w:rsidRPr="00B52707">
        <w:rPr>
          <w:color w:val="0070C0"/>
          <w:sz w:val="16"/>
          <w:szCs w:val="16"/>
        </w:rPr>
        <w:softHyphen/>
        <w:t>ного офицера (ответственного за газо</w:t>
      </w:r>
      <w:r w:rsidRPr="00B52707">
        <w:rPr>
          <w:color w:val="0070C0"/>
          <w:sz w:val="16"/>
          <w:szCs w:val="16"/>
        </w:rPr>
        <w:softHyphen/>
        <w:t>вые баллоны, обтяжку и балласт), офице</w:t>
      </w:r>
      <w:r w:rsidRPr="00B52707">
        <w:rPr>
          <w:color w:val="0070C0"/>
          <w:sz w:val="16"/>
          <w:szCs w:val="16"/>
        </w:rPr>
        <w:softHyphen/>
        <w:t>ра по обслуживанию двигателей (ответст</w:t>
      </w:r>
      <w:r w:rsidRPr="00B52707">
        <w:rPr>
          <w:color w:val="0070C0"/>
          <w:sz w:val="16"/>
          <w:szCs w:val="16"/>
        </w:rPr>
        <w:softHyphen/>
        <w:t>венного за энергоснабжение) и главного рулевого-штурмана.</w:t>
      </w:r>
    </w:p>
    <w:p w14:paraId="38C69D57" w14:textId="178AF31E" w:rsidR="00DE096C" w:rsidRPr="00B52707" w:rsidRDefault="00DE096C" w:rsidP="00DE096C">
      <w:pPr>
        <w:jc w:val="both"/>
        <w:rPr>
          <w:color w:val="0070C0"/>
          <w:sz w:val="16"/>
          <w:szCs w:val="16"/>
        </w:rPr>
      </w:pPr>
      <w:r w:rsidRPr="00B52707">
        <w:rPr>
          <w:color w:val="0070C0"/>
          <w:sz w:val="16"/>
          <w:szCs w:val="16"/>
        </w:rPr>
        <w:t>На борту находилось 1-2 унтер-офи</w:t>
      </w:r>
      <w:r w:rsidRPr="00B52707">
        <w:rPr>
          <w:color w:val="0070C0"/>
          <w:sz w:val="16"/>
          <w:szCs w:val="16"/>
        </w:rPr>
        <w:softHyphen/>
        <w:t>цера, ответственные за связь и, в зави</w:t>
      </w:r>
      <w:r w:rsidRPr="00B52707">
        <w:rPr>
          <w:color w:val="0070C0"/>
          <w:sz w:val="16"/>
          <w:szCs w:val="16"/>
        </w:rPr>
        <w:softHyphen/>
        <w:t>симости от числа моторов, по 1-2 ниж</w:t>
      </w:r>
      <w:r w:rsidRPr="00B52707">
        <w:rPr>
          <w:color w:val="0070C0"/>
          <w:sz w:val="16"/>
          <w:szCs w:val="16"/>
        </w:rPr>
        <w:softHyphen/>
        <w:t>них чина на мотор для его обслужива</w:t>
      </w:r>
      <w:r w:rsidRPr="00B52707">
        <w:rPr>
          <w:color w:val="0070C0"/>
          <w:sz w:val="16"/>
          <w:szCs w:val="16"/>
        </w:rPr>
        <w:softHyphen/>
        <w:t>ния. Кроме того, 1-2 человека обслужи</w:t>
      </w:r>
      <w:r w:rsidRPr="00B52707">
        <w:rPr>
          <w:color w:val="0070C0"/>
          <w:sz w:val="16"/>
          <w:szCs w:val="16"/>
        </w:rPr>
        <w:softHyphen/>
        <w:t>вали оболочки, а двое рулевых отвечали еще и за необходимую высоту полета. Об</w:t>
      </w:r>
      <w:r w:rsidRPr="00B52707">
        <w:rPr>
          <w:color w:val="0070C0"/>
          <w:sz w:val="16"/>
          <w:szCs w:val="16"/>
        </w:rPr>
        <w:softHyphen/>
        <w:t>служивали пулеметы и сбрасывали бомбы стрелки (Дузь. П.Д. История воздухоплавания и авиации в России. М. 1981 г.) (24962)</w:t>
      </w:r>
      <w:r>
        <w:rPr>
          <w:color w:val="0070C0"/>
          <w:sz w:val="16"/>
          <w:szCs w:val="16"/>
        </w:rPr>
        <w:t>.</w:t>
      </w:r>
    </w:p>
    <w:p w14:paraId="368ED6B7" w14:textId="77777777" w:rsidR="00DE096C" w:rsidRPr="00B52707" w:rsidRDefault="00DE096C" w:rsidP="00DE096C">
      <w:pPr>
        <w:jc w:val="both"/>
        <w:rPr>
          <w:color w:val="0070C0"/>
          <w:sz w:val="16"/>
          <w:szCs w:val="16"/>
        </w:rPr>
      </w:pPr>
    </w:p>
    <w:p w14:paraId="06639B7B"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Другие оборонные отрасли:</w:t>
      </w:r>
    </w:p>
    <w:p w14:paraId="3650791A" w14:textId="77777777" w:rsidR="00B67D7C" w:rsidRPr="00DE096C" w:rsidRDefault="00B67D7C" w:rsidP="00D45A46">
      <w:pPr>
        <w:shd w:val="clear" w:color="auto" w:fill="FFFFFF"/>
        <w:jc w:val="both"/>
        <w:rPr>
          <w:bCs/>
          <w:i/>
          <w:color w:val="002060"/>
          <w:sz w:val="16"/>
          <w:szCs w:val="16"/>
        </w:rPr>
      </w:pPr>
    </w:p>
    <w:p w14:paraId="4842B5DC" w14:textId="2A361AEA" w:rsidR="002A7EAE" w:rsidRPr="00DE096C" w:rsidRDefault="002A7EAE" w:rsidP="00D45A46">
      <w:pPr>
        <w:jc w:val="both"/>
        <w:rPr>
          <w:bCs/>
          <w:color w:val="002060"/>
          <w:sz w:val="16"/>
          <w:szCs w:val="16"/>
        </w:rPr>
      </w:pPr>
      <w:r w:rsidRPr="00DE096C">
        <w:rPr>
          <w:bCs/>
          <w:color w:val="002060"/>
          <w:sz w:val="16"/>
          <w:szCs w:val="16"/>
        </w:rPr>
        <w:t xml:space="preserve">К 1914 г. </w:t>
      </w:r>
      <w:r w:rsidR="009121A9" w:rsidRPr="00DE096C">
        <w:rPr>
          <w:bCs/>
          <w:color w:val="002060"/>
          <w:sz w:val="16"/>
          <w:szCs w:val="16"/>
        </w:rPr>
        <w:t xml:space="preserve">Россия </w:t>
      </w:r>
      <w:r w:rsidRPr="00DE096C">
        <w:rPr>
          <w:bCs/>
          <w:color w:val="002060"/>
          <w:sz w:val="16"/>
          <w:szCs w:val="16"/>
        </w:rPr>
        <w:t>оказалась уже на пятом месте «по общему уровню технико-экономического развития» [Симчера 2006: 373, 138–139, 15] хотя в начале ХХ в. Россия «входила в первую мировую тройку» по 40 «ключевым для тех времен» позициям. Ранее место России в мире оценивалось обычно скромнее: она вплотную приблизилась к Франции по абсолютному объему промышленного производства и гораздо дальше отставала при расчетах на душу населения (18408).</w:t>
      </w:r>
    </w:p>
    <w:p w14:paraId="4247837A" w14:textId="77777777" w:rsidR="002A7EAE" w:rsidRPr="00DE096C" w:rsidRDefault="002A7EAE" w:rsidP="00D45A46">
      <w:pPr>
        <w:jc w:val="both"/>
        <w:rPr>
          <w:bCs/>
          <w:color w:val="002060"/>
          <w:sz w:val="16"/>
          <w:szCs w:val="16"/>
        </w:rPr>
      </w:pPr>
    </w:p>
    <w:p w14:paraId="1A85972E" w14:textId="77777777" w:rsidR="00E16ED1" w:rsidRPr="00DE096C" w:rsidRDefault="00E16ED1" w:rsidP="00D45A46">
      <w:pPr>
        <w:pStyle w:val="a00"/>
        <w:spacing w:after="0"/>
        <w:jc w:val="both"/>
        <w:rPr>
          <w:bCs/>
          <w:color w:val="002060"/>
          <w:sz w:val="16"/>
          <w:szCs w:val="16"/>
        </w:rPr>
      </w:pPr>
      <w:r w:rsidRPr="00DE096C">
        <w:rPr>
          <w:bCs/>
          <w:color w:val="002060"/>
          <w:sz w:val="16"/>
          <w:szCs w:val="16"/>
        </w:rPr>
        <w:t>К началу 1914 года в империи оперировала 2181 акционерная компания (без железнодорожных) с общим капиталом 4538 млн рублей. Таких темпов акционерного учредительства не знала ни одна страна мира. 1909 - 1914 гг. стали временем ощутимого прорыва во многих отраслях хозяйства. Два обильных урожая 1909 - 1910 гг. стимулировали хозяйственное развитие (История России. XX век/Боханов А.Н., Горинов М.М., Дмитриенко В.П. и др. М.: Изд-во АСТ, 1996. С. 102,107.) (15135).</w:t>
      </w:r>
    </w:p>
    <w:p w14:paraId="12057151" w14:textId="77777777" w:rsidR="00E16ED1" w:rsidRPr="00DE096C" w:rsidRDefault="00E16ED1" w:rsidP="00D45A46">
      <w:pPr>
        <w:pStyle w:val="a00"/>
        <w:spacing w:after="0"/>
        <w:jc w:val="both"/>
        <w:rPr>
          <w:bCs/>
          <w:color w:val="002060"/>
          <w:sz w:val="16"/>
          <w:szCs w:val="16"/>
        </w:rPr>
      </w:pPr>
    </w:p>
    <w:p w14:paraId="4C8BAEE5" w14:textId="77777777" w:rsidR="002A7EAE" w:rsidRPr="00DE096C" w:rsidRDefault="002A7EAE" w:rsidP="00D45A46">
      <w:pPr>
        <w:pStyle w:val="p1"/>
        <w:spacing w:before="0" w:beforeAutospacing="0" w:after="0" w:afterAutospacing="0"/>
        <w:jc w:val="both"/>
        <w:rPr>
          <w:bCs/>
          <w:color w:val="002060"/>
          <w:sz w:val="16"/>
          <w:szCs w:val="16"/>
        </w:rPr>
      </w:pPr>
      <w:r w:rsidRPr="00DE096C">
        <w:rPr>
          <w:bCs/>
          <w:color w:val="002060"/>
          <w:sz w:val="16"/>
          <w:szCs w:val="16"/>
        </w:rPr>
        <w:t>К 1914 г. на «Русско-Балтийском заводе» в Риге с годовой производительностью менее 100 автомобилей при значительном использовании заграничных материалов, деталей и узлов (до его эвакуации в 1915 г.) в автомобильном отделе числилось 85 рабочих. Как признала Следственная комиссия по делу Сухомлинова, до 1916 г. единственным в России заводом, выпускавшим «самодвижущиеся повозки», оставался «Русско-Балтийский вагонный завод», «производительность которого весьма незначительна» (18409).</w:t>
      </w:r>
    </w:p>
    <w:p w14:paraId="25C15D49" w14:textId="77777777" w:rsidR="002A7EAE" w:rsidRPr="00DE096C" w:rsidRDefault="002A7EAE" w:rsidP="00D45A46">
      <w:pPr>
        <w:pStyle w:val="p1"/>
        <w:spacing w:before="0" w:beforeAutospacing="0" w:after="0" w:afterAutospacing="0"/>
        <w:jc w:val="both"/>
        <w:rPr>
          <w:bCs/>
          <w:color w:val="002060"/>
          <w:sz w:val="16"/>
          <w:szCs w:val="16"/>
        </w:rPr>
      </w:pPr>
    </w:p>
    <w:p w14:paraId="184BCEFB" w14:textId="77777777" w:rsidR="009121A9" w:rsidRPr="00DE096C" w:rsidRDefault="009121A9" w:rsidP="00D45A46">
      <w:pPr>
        <w:jc w:val="both"/>
        <w:rPr>
          <w:bCs/>
          <w:color w:val="002060"/>
          <w:sz w:val="16"/>
          <w:szCs w:val="16"/>
        </w:rPr>
      </w:pPr>
      <w:r w:rsidRPr="00DE096C">
        <w:rPr>
          <w:bCs/>
          <w:color w:val="002060"/>
          <w:sz w:val="16"/>
          <w:szCs w:val="16"/>
        </w:rPr>
        <w:t xml:space="preserve">К 1914 г. в стране насчитывалось 13 тыс. автомобилей 270 иностранных фирм.[26] Доказательством относительной активности России в этой </w:t>
      </w:r>
      <w:r w:rsidRPr="00DE096C">
        <w:rPr>
          <w:rStyle w:val="1"/>
          <w:b w:val="0"/>
          <w:bCs/>
          <w:color w:val="002060"/>
          <w:sz w:val="16"/>
          <w:szCs w:val="16"/>
        </w:rPr>
        <w:t>области может</w:t>
      </w:r>
      <w:r w:rsidRPr="00DE096C">
        <w:rPr>
          <w:bCs/>
          <w:color w:val="002060"/>
          <w:sz w:val="16"/>
          <w:szCs w:val="16"/>
        </w:rPr>
        <w:t xml:space="preserve"> служить тот факт, что первые четыре международные автомобильные выставки (1907, 1908, 1910 и 1913 гг.) состоялись в </w:t>
      </w:r>
      <w:r w:rsidRPr="00DE096C">
        <w:rPr>
          <w:rStyle w:val="1"/>
          <w:b w:val="0"/>
          <w:bCs/>
          <w:color w:val="002060"/>
          <w:sz w:val="16"/>
          <w:szCs w:val="16"/>
        </w:rPr>
        <w:t>нашей стране</w:t>
      </w:r>
      <w:r w:rsidRPr="00DE096C">
        <w:rPr>
          <w:bCs/>
          <w:color w:val="002060"/>
          <w:sz w:val="16"/>
          <w:szCs w:val="16"/>
        </w:rPr>
        <w:t xml:space="preserve">. Несмотря на то, что </w:t>
      </w:r>
      <w:r w:rsidRPr="00DE096C">
        <w:rPr>
          <w:rStyle w:val="10"/>
          <w:bCs/>
          <w:color w:val="002060"/>
          <w:sz w:val="16"/>
          <w:szCs w:val="16"/>
        </w:rPr>
        <w:t>различные промышленные</w:t>
      </w:r>
      <w:r w:rsidRPr="00DE096C">
        <w:rPr>
          <w:bCs/>
          <w:color w:val="002060"/>
          <w:sz w:val="16"/>
          <w:szCs w:val="16"/>
        </w:rPr>
        <w:t xml:space="preserve"> выставки и автомобильные салоны проводились и в </w:t>
      </w:r>
      <w:r w:rsidRPr="00DE096C">
        <w:rPr>
          <w:rStyle w:val="10"/>
          <w:bCs/>
          <w:color w:val="002060"/>
          <w:sz w:val="16"/>
          <w:szCs w:val="16"/>
        </w:rPr>
        <w:t>других странах</w:t>
      </w:r>
      <w:r w:rsidRPr="00DE096C">
        <w:rPr>
          <w:bCs/>
          <w:color w:val="002060"/>
          <w:sz w:val="16"/>
          <w:szCs w:val="16"/>
        </w:rPr>
        <w:t xml:space="preserve">, российские отличались </w:t>
      </w:r>
      <w:r w:rsidRPr="00DE096C">
        <w:rPr>
          <w:rStyle w:val="1"/>
          <w:b w:val="0"/>
          <w:bCs/>
          <w:color w:val="002060"/>
          <w:sz w:val="16"/>
          <w:szCs w:val="16"/>
        </w:rPr>
        <w:t>весьма широкой представительностью</w:t>
      </w:r>
      <w:r w:rsidRPr="00DE096C">
        <w:rPr>
          <w:bCs/>
          <w:color w:val="002060"/>
          <w:sz w:val="16"/>
          <w:szCs w:val="16"/>
        </w:rPr>
        <w:t xml:space="preserve">, великолепием и отличной организацией.[27] Пятая международная автомобильная выставка (1914 г.) проводилась в Париже, и, как отмечают специалисты, на ее организацию существенное </w:t>
      </w:r>
      <w:r w:rsidRPr="00DE096C">
        <w:rPr>
          <w:rStyle w:val="1"/>
          <w:b w:val="0"/>
          <w:bCs/>
          <w:color w:val="002060"/>
          <w:sz w:val="16"/>
          <w:szCs w:val="16"/>
        </w:rPr>
        <w:t>влияние оказали предыдущиероссийские выставки (12098)</w:t>
      </w:r>
      <w:r w:rsidRPr="00DE096C">
        <w:rPr>
          <w:bCs/>
          <w:color w:val="002060"/>
          <w:sz w:val="16"/>
          <w:szCs w:val="16"/>
        </w:rPr>
        <w:t>.</w:t>
      </w:r>
    </w:p>
    <w:p w14:paraId="2F50399E" w14:textId="77777777" w:rsidR="009121A9" w:rsidRPr="00DE096C" w:rsidRDefault="009121A9" w:rsidP="00D45A46">
      <w:pPr>
        <w:jc w:val="both"/>
        <w:rPr>
          <w:bCs/>
          <w:color w:val="002060"/>
          <w:sz w:val="16"/>
          <w:szCs w:val="16"/>
        </w:rPr>
      </w:pPr>
    </w:p>
    <w:p w14:paraId="0624880C" w14:textId="77777777" w:rsidR="002A7EAE" w:rsidRPr="00DE096C" w:rsidRDefault="002A7EAE" w:rsidP="00D45A46">
      <w:pPr>
        <w:pStyle w:val="p1"/>
        <w:spacing w:before="0" w:beforeAutospacing="0" w:after="0" w:afterAutospacing="0"/>
        <w:jc w:val="both"/>
        <w:rPr>
          <w:bCs/>
          <w:color w:val="002060"/>
          <w:sz w:val="16"/>
          <w:szCs w:val="16"/>
        </w:rPr>
      </w:pPr>
      <w:r w:rsidRPr="00DE096C">
        <w:rPr>
          <w:bCs/>
          <w:color w:val="002060"/>
          <w:sz w:val="16"/>
          <w:szCs w:val="16"/>
        </w:rPr>
        <w:t>К 1914 г. практических последствий петербургские опыты по добыванию азотной кислоты путем сжигания воздуха еще не дали, хотя подобного рода производства уже имелись в Норвегии, Швейцарии, Германии и Австрии. Несмотря на неудобства, связанные с длительным хранением, ГАУ было вынуждено все же пополнить запас чилийской селитры.</w:t>
      </w:r>
    </w:p>
    <w:p w14:paraId="4283F59F" w14:textId="77777777" w:rsidR="002A7EAE" w:rsidRPr="00DE096C" w:rsidRDefault="002A7EAE" w:rsidP="00D45A46">
      <w:pPr>
        <w:pStyle w:val="p1"/>
        <w:spacing w:before="0" w:beforeAutospacing="0" w:after="0" w:afterAutospacing="0"/>
        <w:jc w:val="both"/>
        <w:rPr>
          <w:bCs/>
          <w:color w:val="002060"/>
          <w:sz w:val="16"/>
          <w:szCs w:val="16"/>
        </w:rPr>
      </w:pPr>
      <w:r w:rsidRPr="00DE096C">
        <w:rPr>
          <w:bCs/>
          <w:color w:val="002060"/>
          <w:sz w:val="16"/>
          <w:szCs w:val="16"/>
        </w:rPr>
        <w:t>Давать объяснения о положении дела с сырьем для азотной кислоты военному ведомству пришлось при утверждении бюджета на 1914 г. в Государственном совете. Финансовая комиссия верхней палаты на заседании в апреле 1914 г., в разгар пока еще «газетной» войны с Германией, поинтересовалась, «в какой мере военное ведомство обеспечено запасами получаемой через Германию селитры», необходимой для «изготовления бездымного пороха и других взрывчатых веществ». Успокоив Финансовую комиссию сообщением, что имеется двухлетний запас селитры, докладчик по артиллерийской смете П.Ф. Унтербергер добавил, что, по примеру других государств, «у нас тоже в близком будущем ожидается устройство завода для выработки азотной кислоты из воздуха», причем «завод этот устраивается частными предпринимателями на р. Суне». Дело тормозилось, по его словам, жадностью предпринимателей, исчисливших цену пуда азотной кислоты в 4 руб. 85 коп. (пуд кислоты из селитры стоил 3 рубля).</w:t>
      </w:r>
    </w:p>
    <w:p w14:paraId="5B72B69E" w14:textId="77777777" w:rsidR="002A7EAE" w:rsidRPr="00DE096C" w:rsidRDefault="002A7EAE" w:rsidP="00D45A46">
      <w:pPr>
        <w:pStyle w:val="p1"/>
        <w:spacing w:before="0" w:beforeAutospacing="0" w:after="0" w:afterAutospacing="0"/>
        <w:jc w:val="both"/>
        <w:rPr>
          <w:bCs/>
          <w:color w:val="002060"/>
          <w:sz w:val="16"/>
          <w:szCs w:val="16"/>
        </w:rPr>
      </w:pPr>
      <w:r w:rsidRPr="00DE096C">
        <w:rPr>
          <w:bCs/>
          <w:color w:val="002060"/>
          <w:sz w:val="16"/>
          <w:szCs w:val="16"/>
        </w:rPr>
        <w:t>В Финансовой комиссии находили, что «правильнее было бы теперь же приступить к сооружению» не небольшого (опытного), а «завода, рассчитанного на удовлетворение всех потребностей военного ведомства в азотной кислоте», но оказалось, что все-таки еще не раскрыт секрет производства. «Исследование соответствующих вопросов поручено было комиссии под председательством генерала Забудского», отвечал на замечания членов Государственного совета докладчик; произведенные опыты «дали весьма благоприятные результаты, но тем не менее некоторые детали этого дела не вполне еще исследованы и могут быть окончательно выяснены только при постановке опытов в более широком масштабе». Поэтому придется начать «с постройки небольшого опытного завода», чтобы получить «необходимые данные для более широкой постановки в ближайшем же будущем добывания азотной кислоты из воздуха» (18409).</w:t>
      </w:r>
    </w:p>
    <w:p w14:paraId="5AD4ADC7" w14:textId="77777777" w:rsidR="002A7EAE" w:rsidRPr="00DE096C" w:rsidRDefault="002A7EAE" w:rsidP="00D45A46">
      <w:pPr>
        <w:pStyle w:val="p1"/>
        <w:spacing w:before="0" w:beforeAutospacing="0" w:after="0" w:afterAutospacing="0"/>
        <w:jc w:val="both"/>
        <w:rPr>
          <w:bCs/>
          <w:color w:val="002060"/>
          <w:sz w:val="16"/>
          <w:szCs w:val="16"/>
        </w:rPr>
      </w:pPr>
    </w:p>
    <w:p w14:paraId="482AA890" w14:textId="4AB99673" w:rsidR="00B67D7C" w:rsidRPr="00DE096C" w:rsidRDefault="009121A9" w:rsidP="00D45A46">
      <w:pPr>
        <w:jc w:val="both"/>
        <w:rPr>
          <w:bCs/>
          <w:color w:val="002060"/>
          <w:sz w:val="16"/>
          <w:szCs w:val="16"/>
        </w:rPr>
      </w:pPr>
      <w:r w:rsidRPr="00DE096C">
        <w:rPr>
          <w:bCs/>
          <w:color w:val="002060"/>
          <w:sz w:val="16"/>
          <w:szCs w:val="16"/>
        </w:rPr>
        <w:t>К</w:t>
      </w:r>
      <w:r w:rsidR="00B67D7C" w:rsidRPr="00DE096C">
        <w:rPr>
          <w:bCs/>
          <w:color w:val="002060"/>
          <w:sz w:val="16"/>
          <w:szCs w:val="16"/>
        </w:rPr>
        <w:t xml:space="preserve"> 1914</w:t>
      </w:r>
      <w:r w:rsidRPr="00DE096C">
        <w:rPr>
          <w:bCs/>
          <w:color w:val="002060"/>
          <w:sz w:val="16"/>
          <w:szCs w:val="16"/>
        </w:rPr>
        <w:t xml:space="preserve"> </w:t>
      </w:r>
      <w:r w:rsidR="00B67D7C" w:rsidRPr="00DE096C">
        <w:rPr>
          <w:bCs/>
          <w:color w:val="002060"/>
          <w:sz w:val="16"/>
          <w:szCs w:val="16"/>
        </w:rPr>
        <w:t>г.</w:t>
      </w:r>
      <w:r w:rsidRPr="00DE096C">
        <w:rPr>
          <w:bCs/>
          <w:color w:val="002060"/>
          <w:sz w:val="16"/>
          <w:szCs w:val="16"/>
        </w:rPr>
        <w:t xml:space="preserve"> «Товариществом нижегородской машинной фабрики Волжского буксирного и завозного пароходства» построено </w:t>
      </w:r>
      <w:r w:rsidR="00B67D7C" w:rsidRPr="00DE096C">
        <w:rPr>
          <w:bCs/>
          <w:color w:val="002060"/>
          <w:sz w:val="16"/>
          <w:szCs w:val="16"/>
        </w:rPr>
        <w:t>более 250</w:t>
      </w:r>
      <w:r w:rsidRPr="00DE096C">
        <w:rPr>
          <w:bCs/>
          <w:color w:val="002060"/>
          <w:sz w:val="16"/>
          <w:szCs w:val="16"/>
        </w:rPr>
        <w:t xml:space="preserve"> пароходов</w:t>
      </w:r>
      <w:r w:rsidR="00B67D7C" w:rsidRPr="00DE096C">
        <w:rPr>
          <w:bCs/>
          <w:color w:val="002060"/>
          <w:sz w:val="16"/>
          <w:szCs w:val="16"/>
        </w:rPr>
        <w:t xml:space="preserve">. </w:t>
      </w:r>
      <w:r w:rsidRPr="00DE096C">
        <w:rPr>
          <w:bCs/>
          <w:color w:val="002060"/>
          <w:sz w:val="16"/>
          <w:szCs w:val="16"/>
        </w:rPr>
        <w:t xml:space="preserve">(Завод № 112 ИМ. А.А. Жданова НКСП, НКТП, Нижегородская машинная фабрика, Сормовский завод, АО железоделательных, сталелитейных и механических заводов «Сормово», Завод «Красное Сормово» ВСНХ, НКТП, МТМ, МТиТМ, М-5596, ОАО «Судостроительный завод «Красное Сормово» /г. Нижний Новгород, г. Горький/ /г. Нижний Новгород/) </w:t>
      </w:r>
      <w:r w:rsidR="00B67D7C" w:rsidRPr="00DE096C">
        <w:rPr>
          <w:bCs/>
          <w:color w:val="002060"/>
          <w:sz w:val="16"/>
          <w:szCs w:val="16"/>
        </w:rPr>
        <w:t>В 1858г. построен первый отечественный земснаряд для углубления Астраханского порта, в 1903г.- первый речной теплоход «Вандал». Строились железные баржи, судовые механизмы и паровые машины; якорные и рулевые устройства, паровые шпили для линкоров и крейсеров (1910- 14г.); кроме того, паровозы, вагоны, паровые котлы, стальные резервуары.</w:t>
      </w:r>
    </w:p>
    <w:p w14:paraId="279185D0" w14:textId="4CCD89A7" w:rsidR="00B67D7C" w:rsidRPr="00DE096C" w:rsidRDefault="00B67D7C" w:rsidP="00D45A46">
      <w:pPr>
        <w:jc w:val="both"/>
        <w:rPr>
          <w:bCs/>
          <w:color w:val="002060"/>
          <w:sz w:val="16"/>
          <w:szCs w:val="16"/>
        </w:rPr>
      </w:pPr>
      <w:r w:rsidRPr="00DE096C">
        <w:rPr>
          <w:bCs/>
          <w:color w:val="002060"/>
          <w:sz w:val="16"/>
          <w:szCs w:val="16"/>
        </w:rPr>
        <w:t>В 1904</w:t>
      </w:r>
      <w:r w:rsidR="009121A9" w:rsidRPr="00DE096C">
        <w:rPr>
          <w:bCs/>
          <w:color w:val="002060"/>
          <w:sz w:val="16"/>
          <w:szCs w:val="16"/>
        </w:rPr>
        <w:t xml:space="preserve"> </w:t>
      </w:r>
      <w:r w:rsidRPr="00DE096C">
        <w:rPr>
          <w:bCs/>
          <w:color w:val="002060"/>
          <w:sz w:val="16"/>
          <w:szCs w:val="16"/>
        </w:rPr>
        <w:t>г. завод выиграл конкурс на строительство речных канонерских лодок с проектом инженера К.А. Теннисона, 31.10.1904г. заключен контракт на строительство 10 кораблей. Строительство судов велось в большой судояме, в которую во время весеннего паводка впускалась вода, и построенные корабли самостоятельно всплывали и буксировались к достроечной набережной. Имелся 51 мостовой кран.</w:t>
      </w:r>
    </w:p>
    <w:p w14:paraId="14C74CD0" w14:textId="77777777" w:rsidR="00B67D7C" w:rsidRPr="00DE096C" w:rsidRDefault="00B67D7C" w:rsidP="00D45A46">
      <w:pPr>
        <w:jc w:val="both"/>
        <w:rPr>
          <w:bCs/>
          <w:color w:val="002060"/>
          <w:sz w:val="16"/>
          <w:szCs w:val="16"/>
        </w:rPr>
      </w:pPr>
      <w:r w:rsidRPr="00DE096C">
        <w:rPr>
          <w:bCs/>
          <w:color w:val="002060"/>
          <w:sz w:val="16"/>
          <w:szCs w:val="16"/>
        </w:rPr>
        <w:t>В русско-японскую и 1-ю мировую войну Сормовский завод (в 1914 г.- АО железоделательных, сталелитейных и механических заводов «Сормово») выпускал военную технику, вооружение (полевые орудия) и боеприпасы.</w:t>
      </w:r>
    </w:p>
    <w:p w14:paraId="3CDA8FA5" w14:textId="46AA7D39" w:rsidR="00B67D7C" w:rsidRPr="00DE096C" w:rsidRDefault="00B67D7C" w:rsidP="00D45A46">
      <w:pPr>
        <w:jc w:val="both"/>
        <w:rPr>
          <w:bCs/>
          <w:color w:val="002060"/>
          <w:sz w:val="16"/>
          <w:szCs w:val="16"/>
        </w:rPr>
      </w:pPr>
      <w:r w:rsidRPr="00DE096C">
        <w:rPr>
          <w:bCs/>
          <w:color w:val="002060"/>
          <w:sz w:val="16"/>
          <w:szCs w:val="16"/>
        </w:rPr>
        <w:t>В 1900-е</w:t>
      </w:r>
      <w:r w:rsidR="0006581C">
        <w:rPr>
          <w:bCs/>
          <w:color w:val="002060"/>
          <w:sz w:val="16"/>
          <w:szCs w:val="16"/>
        </w:rPr>
        <w:t xml:space="preserve"> </w:t>
      </w:r>
      <w:r w:rsidRPr="00DE096C">
        <w:rPr>
          <w:bCs/>
          <w:color w:val="002060"/>
          <w:sz w:val="16"/>
          <w:szCs w:val="16"/>
        </w:rPr>
        <w:t>г. создано отделение завода в пос. Кокуй на р. Шилке для сборки канонерских лодок, для чего были построены временные стапеля.</w:t>
      </w:r>
    </w:p>
    <w:p w14:paraId="27C57CBE" w14:textId="77777777" w:rsidR="00B67D7C" w:rsidRPr="00DE096C" w:rsidRDefault="00B67D7C" w:rsidP="00D45A46">
      <w:pPr>
        <w:jc w:val="both"/>
        <w:rPr>
          <w:bCs/>
          <w:color w:val="002060"/>
          <w:sz w:val="16"/>
          <w:szCs w:val="16"/>
        </w:rPr>
      </w:pPr>
      <w:r w:rsidRPr="00DE096C">
        <w:rPr>
          <w:bCs/>
          <w:color w:val="002060"/>
          <w:sz w:val="16"/>
          <w:szCs w:val="16"/>
        </w:rPr>
        <w:t>В 1918-20 г. завод занимался ремонтом и вооружением судов Волжской флотилии, строил бронепоезда и плавучие батареи. Затем выпускал паровозы, вагоны, дизеля, буровое оборудование.</w:t>
      </w:r>
    </w:p>
    <w:p w14:paraId="5E4F49A8" w14:textId="77777777" w:rsidR="00B67D7C" w:rsidRPr="00DE096C" w:rsidRDefault="00B67D7C" w:rsidP="00D45A46">
      <w:pPr>
        <w:jc w:val="both"/>
        <w:rPr>
          <w:bCs/>
          <w:color w:val="002060"/>
          <w:sz w:val="16"/>
          <w:szCs w:val="16"/>
        </w:rPr>
      </w:pPr>
      <w:r w:rsidRPr="00DE096C">
        <w:rPr>
          <w:bCs/>
          <w:color w:val="002060"/>
          <w:sz w:val="16"/>
          <w:szCs w:val="16"/>
        </w:rPr>
        <w:t>По решению СНК от 10.08.1919 г. здесь впервые в России освоено производство танков. Для этого на завод из Москвы 29.09.1919 г. передан образец танка "</w:t>
      </w:r>
      <w:r w:rsidRPr="00DE096C">
        <w:rPr>
          <w:bCs/>
          <w:color w:val="002060"/>
          <w:sz w:val="16"/>
          <w:szCs w:val="16"/>
          <w:lang w:val="en-US"/>
        </w:rPr>
        <w:t>Renault</w:t>
      </w:r>
      <w:r w:rsidRPr="00DE096C">
        <w:rPr>
          <w:bCs/>
          <w:color w:val="002060"/>
          <w:sz w:val="16"/>
          <w:szCs w:val="16"/>
        </w:rPr>
        <w:t>". Для его копирования была образована бригада из 4 конструкторов во главе с Н.И. Хрулевым. В помощь им с Ижорского завода командирована «группа брони» из 4 человек под руководством Артемьева. Сборка танков организована в пушечном цехе, 31.08.1920 г. первый отечественный танк «Борец за свободу тов. Ленин» был готов.</w:t>
      </w:r>
    </w:p>
    <w:p w14:paraId="22C99A8F" w14:textId="3B4BEC63" w:rsidR="00B67D7C" w:rsidRPr="00DE096C" w:rsidRDefault="00B67D7C" w:rsidP="00D45A46">
      <w:pPr>
        <w:jc w:val="both"/>
        <w:rPr>
          <w:bCs/>
          <w:color w:val="002060"/>
          <w:sz w:val="16"/>
          <w:szCs w:val="16"/>
        </w:rPr>
      </w:pPr>
      <w:r w:rsidRPr="00DE096C">
        <w:rPr>
          <w:bCs/>
          <w:color w:val="002060"/>
          <w:sz w:val="16"/>
          <w:szCs w:val="16"/>
        </w:rPr>
        <w:t>Пост, президиума губисполкома от 17.11.1922 г. завод переименован в «Красное Сормово», в 1934 г. передан в ведение Главречпрома НКТП, в 1930-е</w:t>
      </w:r>
      <w:r w:rsidR="0006581C">
        <w:rPr>
          <w:bCs/>
          <w:color w:val="002060"/>
          <w:sz w:val="16"/>
          <w:szCs w:val="16"/>
        </w:rPr>
        <w:t xml:space="preserve"> </w:t>
      </w:r>
      <w:r w:rsidRPr="00DE096C">
        <w:rPr>
          <w:bCs/>
          <w:color w:val="002060"/>
          <w:sz w:val="16"/>
          <w:szCs w:val="16"/>
        </w:rPr>
        <w:t>г. получил № 112. В 1939 г. передан в ведение НКСП.</w:t>
      </w:r>
    </w:p>
    <w:p w14:paraId="2B3B2256" w14:textId="77777777" w:rsidR="00B67D7C" w:rsidRPr="00DE096C" w:rsidRDefault="00B67D7C" w:rsidP="00D45A46">
      <w:pPr>
        <w:jc w:val="both"/>
        <w:rPr>
          <w:bCs/>
          <w:color w:val="002060"/>
          <w:sz w:val="16"/>
          <w:szCs w:val="16"/>
        </w:rPr>
      </w:pPr>
      <w:r w:rsidRPr="00DE096C">
        <w:rPr>
          <w:bCs/>
          <w:color w:val="002060"/>
          <w:sz w:val="16"/>
          <w:szCs w:val="16"/>
        </w:rPr>
        <w:lastRenderedPageBreak/>
        <w:t>С 1927 г. начата реконструкция завода, продолжавшаяся и в 1937 г. По проекту заводского технического бюро начато строительство танкеров, с 1931 г. - грузовых теплоходов. С 1932 г. на заводе начато внедрение электросварки, создан специализированный участок. В 1933 г. построен первый цельносварной буксир «Сварщик». Выпускал речные суда, средние и малые ПЛ.</w:t>
      </w:r>
    </w:p>
    <w:p w14:paraId="16A11489" w14:textId="77777777" w:rsidR="00B67D7C" w:rsidRPr="00DE096C" w:rsidRDefault="00B67D7C" w:rsidP="00D45A46">
      <w:pPr>
        <w:jc w:val="both"/>
        <w:rPr>
          <w:bCs/>
          <w:color w:val="002060"/>
          <w:sz w:val="16"/>
          <w:szCs w:val="16"/>
        </w:rPr>
      </w:pPr>
      <w:r w:rsidRPr="00DE096C">
        <w:rPr>
          <w:bCs/>
          <w:color w:val="002060"/>
          <w:sz w:val="16"/>
          <w:szCs w:val="16"/>
        </w:rPr>
        <w:t>Пост. СТО от 15.01.1937 г. и пр. № 0026 от 4.02.1937 г. заводу поручено изготовить в 1937 г. 500 втулок в/винтов ВИШ-5.</w:t>
      </w:r>
    </w:p>
    <w:p w14:paraId="3C9D96B3" w14:textId="77777777" w:rsidR="00B67D7C" w:rsidRPr="00DE096C" w:rsidRDefault="00B67D7C" w:rsidP="00D45A46">
      <w:pPr>
        <w:jc w:val="both"/>
        <w:rPr>
          <w:bCs/>
          <w:color w:val="002060"/>
          <w:sz w:val="16"/>
          <w:szCs w:val="16"/>
        </w:rPr>
      </w:pPr>
      <w:r w:rsidRPr="00DE096C">
        <w:rPr>
          <w:bCs/>
          <w:color w:val="002060"/>
          <w:sz w:val="16"/>
          <w:szCs w:val="16"/>
        </w:rPr>
        <w:t>В соответствии с пост. ГКО № 1сс от 1.07.1941 г. начат выпуск танков Т-34. 9.07.1941 г. вышло постановление ГКО № 82 об обеспечении производства Т-34 на заводе. Для этого за два месяца были спроектированы и построены новые бронекорпусный и бронетермический цехи общей площадью около 28 тыс. м</w:t>
      </w:r>
      <w:r w:rsidRPr="00DE096C">
        <w:rPr>
          <w:bCs/>
          <w:color w:val="002060"/>
          <w:sz w:val="16"/>
          <w:szCs w:val="16"/>
          <w:vertAlign w:val="superscript"/>
        </w:rPr>
        <w:t>2</w:t>
      </w:r>
      <w:r w:rsidRPr="00DE096C">
        <w:rPr>
          <w:bCs/>
          <w:color w:val="002060"/>
          <w:sz w:val="16"/>
          <w:szCs w:val="16"/>
        </w:rPr>
        <w:t>. Пост. ГКО № 1174 от 18.01.1942 г. заводу утвержден ежедневный план выпуска Т-34 в 10 машин. В 1942 г. выпущено 2475 Т-34, в 1943 г. -2885, в 1944 г. - 3896.</w:t>
      </w:r>
    </w:p>
    <w:p w14:paraId="04AB1D15" w14:textId="77777777" w:rsidR="00B67D7C" w:rsidRPr="00DE096C" w:rsidRDefault="00B67D7C" w:rsidP="00D45A46">
      <w:pPr>
        <w:jc w:val="both"/>
        <w:rPr>
          <w:bCs/>
          <w:color w:val="002060"/>
          <w:sz w:val="16"/>
          <w:szCs w:val="16"/>
        </w:rPr>
      </w:pPr>
      <w:r w:rsidRPr="00DE096C">
        <w:rPr>
          <w:bCs/>
          <w:color w:val="002060"/>
          <w:sz w:val="16"/>
          <w:szCs w:val="16"/>
        </w:rPr>
        <w:t>9.07.1942 г. вышло постановление ГКО № 2003 о мерах помощи заводу. К лету 1943 г. литейный участок завода был оборудован под крупномасштабное литье танковых башен, в 06.1943 г. установлены два сварочных автомата Е. Патона. 5.06.1944 г. вышло распоряжение ГКО № 6004 о поставках оборудования для судов с завода.</w:t>
      </w:r>
    </w:p>
    <w:p w14:paraId="3387701E" w14:textId="77777777" w:rsidR="00B67D7C" w:rsidRPr="00DE096C" w:rsidRDefault="00B67D7C" w:rsidP="00D45A46">
      <w:pPr>
        <w:jc w:val="both"/>
        <w:rPr>
          <w:bCs/>
          <w:color w:val="002060"/>
          <w:sz w:val="16"/>
          <w:szCs w:val="16"/>
        </w:rPr>
      </w:pPr>
      <w:r w:rsidRPr="00DE096C">
        <w:rPr>
          <w:bCs/>
          <w:color w:val="002060"/>
          <w:sz w:val="16"/>
          <w:szCs w:val="16"/>
        </w:rPr>
        <w:t>В 09.1941 г. завод передан из НКСП в НКТП (в 1944 г.- еще в НКТП). Кораблестроение прекращено, завод перешел на выпуск танков. После войны завод № 112 вновь передан в МСП. В 1949 г. заводу присвоено имя А.А. Жданова. В 1952 г. - в ведении МТМ, в 1953 г. - МТиТМ.</w:t>
      </w:r>
    </w:p>
    <w:p w14:paraId="6DE4FF4B" w14:textId="77777777" w:rsidR="00B67D7C" w:rsidRPr="00DE096C" w:rsidRDefault="00B67D7C" w:rsidP="00D45A46">
      <w:pPr>
        <w:jc w:val="both"/>
        <w:rPr>
          <w:bCs/>
          <w:color w:val="002060"/>
          <w:sz w:val="16"/>
          <w:szCs w:val="16"/>
        </w:rPr>
      </w:pPr>
      <w:r w:rsidRPr="00DE096C">
        <w:rPr>
          <w:bCs/>
          <w:color w:val="002060"/>
          <w:sz w:val="16"/>
          <w:szCs w:val="16"/>
        </w:rPr>
        <w:t>В соответствии с пост. ГКО № 99сс от 11.07.1941 г. на завод эвакуированы ЦКБ-52 и ЦКБ-18 НКСП, в годы ВОВ сюда эвакуирована также часть завода № 189 НКСП.</w:t>
      </w:r>
      <w:r w:rsidRPr="00DE096C">
        <w:rPr>
          <w:bCs/>
          <w:color w:val="002060"/>
          <w:sz w:val="16"/>
          <w:szCs w:val="16"/>
          <w:vertAlign w:val="superscript"/>
        </w:rPr>
        <w:t>61</w:t>
      </w:r>
    </w:p>
    <w:p w14:paraId="0522DCA2" w14:textId="77777777" w:rsidR="00B67D7C" w:rsidRPr="00DE096C" w:rsidRDefault="00B67D7C" w:rsidP="00D45A46">
      <w:pPr>
        <w:jc w:val="both"/>
        <w:rPr>
          <w:bCs/>
          <w:color w:val="002060"/>
          <w:sz w:val="16"/>
          <w:szCs w:val="16"/>
        </w:rPr>
      </w:pPr>
      <w:r w:rsidRPr="00DE096C">
        <w:rPr>
          <w:bCs/>
          <w:color w:val="002060"/>
          <w:sz w:val="16"/>
          <w:szCs w:val="16"/>
        </w:rPr>
        <w:t>В конце 1942-начале 1943 г. работала группа специалистов НИИ-48 и завода под руководством И. Бурцева по усилению бронирования Т-34, разработана схема экранирования танка навесной броней.</w:t>
      </w:r>
    </w:p>
    <w:p w14:paraId="2576D40C" w14:textId="77777777" w:rsidR="00B67D7C" w:rsidRPr="00DE096C" w:rsidRDefault="00B67D7C" w:rsidP="00D45A46">
      <w:pPr>
        <w:jc w:val="both"/>
        <w:rPr>
          <w:bCs/>
          <w:color w:val="002060"/>
          <w:sz w:val="16"/>
          <w:szCs w:val="16"/>
        </w:rPr>
      </w:pPr>
      <w:r w:rsidRPr="00DE096C">
        <w:rPr>
          <w:bCs/>
          <w:color w:val="002060"/>
          <w:sz w:val="16"/>
          <w:szCs w:val="16"/>
        </w:rPr>
        <w:t>В соответствии с пост. ГКО № 4776 от 15.12.1943 г. на заводе начато производство Т-34-85. Для этого было модернизировано оборудование, литейный цех, зимой 1944 г. на завод направлено 100 молодых специалистов.</w:t>
      </w:r>
    </w:p>
    <w:p w14:paraId="5AB195BE" w14:textId="77777777" w:rsidR="00B67D7C" w:rsidRPr="00DE096C" w:rsidRDefault="00B67D7C" w:rsidP="00D45A46">
      <w:pPr>
        <w:jc w:val="both"/>
        <w:rPr>
          <w:bCs/>
          <w:color w:val="002060"/>
          <w:sz w:val="16"/>
          <w:szCs w:val="16"/>
        </w:rPr>
      </w:pPr>
      <w:r w:rsidRPr="00DE096C">
        <w:rPr>
          <w:bCs/>
          <w:color w:val="002060"/>
          <w:sz w:val="16"/>
          <w:szCs w:val="16"/>
        </w:rPr>
        <w:t>С 1942 г. на заводе работал Р.Е. Алексеев по исследованию подводных крыльев. В 1943 г. по его инициативе образована Гидролаборатория, далее НИГЛ. По пр. МСП от 14.12.1954 г. НИГЛ передана в качестве филиала ЦКБ-19 МСП. Распоряжением Горьковского СНХ от 24.12.1957 г. филиал преобразован в ЦКБ по СПК завода «Красное Сормово». С 1966 г. - самостоятельное ЦКБ по СПК. По пр. МСП № 75/К от 14.02.1968 г. ЦКБ по СПК, разделенное на два КБ «А» и «Б», вновь включено в состав завода.</w:t>
      </w:r>
    </w:p>
    <w:p w14:paraId="69CA7B81" w14:textId="77777777" w:rsidR="00B67D7C" w:rsidRPr="00DE096C" w:rsidRDefault="00B67D7C" w:rsidP="00D45A46">
      <w:pPr>
        <w:jc w:val="both"/>
        <w:rPr>
          <w:bCs/>
          <w:color w:val="002060"/>
          <w:sz w:val="16"/>
          <w:szCs w:val="16"/>
        </w:rPr>
      </w:pPr>
      <w:r w:rsidRPr="00DE096C">
        <w:rPr>
          <w:bCs/>
          <w:color w:val="002060"/>
          <w:sz w:val="16"/>
          <w:szCs w:val="16"/>
        </w:rPr>
        <w:t>6.08.1944 г. вышло постановление ГКО № 6332 о строительстве на заводе танкодрома. При заводе действовало танковое КБ (1948 г.).</w:t>
      </w:r>
    </w:p>
    <w:p w14:paraId="17F0E9C5" w14:textId="77777777" w:rsidR="00B67D7C" w:rsidRPr="00DE096C" w:rsidRDefault="00B67D7C" w:rsidP="00D45A46">
      <w:pPr>
        <w:jc w:val="both"/>
        <w:rPr>
          <w:bCs/>
          <w:color w:val="002060"/>
          <w:sz w:val="16"/>
          <w:szCs w:val="16"/>
        </w:rPr>
      </w:pPr>
      <w:r w:rsidRPr="00DE096C">
        <w:rPr>
          <w:bCs/>
          <w:color w:val="002060"/>
          <w:sz w:val="16"/>
          <w:szCs w:val="16"/>
        </w:rPr>
        <w:t>Пост, правительства № 368 от 19.10.1948 г. заводу предписывалось в 1949 г. изготовить 40 опытных танков Р- 39 и БТР Р-40. Из-за неудовлетворительных результатов, полученных в ходе испытаний директор и и.о. гл. конструктора завода были сняты, работы по плавающему танку переданы на завод № 100.</w:t>
      </w:r>
    </w:p>
    <w:p w14:paraId="1044DF3F" w14:textId="77777777" w:rsidR="00B67D7C" w:rsidRPr="00DE096C" w:rsidRDefault="00B67D7C" w:rsidP="00D45A46">
      <w:pPr>
        <w:jc w:val="both"/>
        <w:rPr>
          <w:bCs/>
          <w:color w:val="002060"/>
          <w:sz w:val="16"/>
          <w:szCs w:val="16"/>
        </w:rPr>
      </w:pPr>
      <w:r w:rsidRPr="00DE096C">
        <w:rPr>
          <w:bCs/>
          <w:color w:val="002060"/>
          <w:sz w:val="16"/>
          <w:szCs w:val="16"/>
        </w:rPr>
        <w:t>В составе завода: цехи: № 5 (1941 г.), № 50 (1942 г.).</w:t>
      </w:r>
    </w:p>
    <w:p w14:paraId="3D351B99" w14:textId="3E380497" w:rsidR="00B67D7C" w:rsidRPr="00DE096C" w:rsidRDefault="00B67D7C" w:rsidP="00D45A46">
      <w:pPr>
        <w:jc w:val="both"/>
        <w:rPr>
          <w:bCs/>
          <w:color w:val="002060"/>
          <w:sz w:val="16"/>
          <w:szCs w:val="16"/>
        </w:rPr>
      </w:pPr>
      <w:r w:rsidRPr="00DE096C">
        <w:rPr>
          <w:bCs/>
          <w:color w:val="002060"/>
          <w:sz w:val="16"/>
          <w:szCs w:val="16"/>
        </w:rPr>
        <w:t>После войны построен новый производственный комплекс для строительства ПЛ: возведен новый эллинг; реконструирован слип, его грузоподъемность увеличена с 2000 до 6000 т; созданы производства для сборки атомных реакторов и обеспечения безопасности при загрузке ядерного топлива и пуска реакторов. Тоннаж и габариты строившихся здесь ПЛ был ограничен размерами шлюзов внутренних водных путей. Был судокорпусный цех № 2 (1956 г.). В 1980-е</w:t>
      </w:r>
      <w:r w:rsidR="0006581C">
        <w:rPr>
          <w:bCs/>
          <w:color w:val="002060"/>
          <w:sz w:val="16"/>
          <w:szCs w:val="16"/>
        </w:rPr>
        <w:t xml:space="preserve"> </w:t>
      </w:r>
      <w:r w:rsidRPr="00DE096C">
        <w:rPr>
          <w:bCs/>
          <w:color w:val="002060"/>
          <w:sz w:val="16"/>
          <w:szCs w:val="16"/>
        </w:rPr>
        <w:t>г. для завода построен новый транспортный комплекс в составе плавсредств пр. 20230 и пр. 20270 и дока пр. 1760ПБ.</w:t>
      </w:r>
    </w:p>
    <w:p w14:paraId="3970A0C3" w14:textId="77777777" w:rsidR="00B67D7C" w:rsidRPr="00DE096C" w:rsidRDefault="00B67D7C" w:rsidP="00D45A46">
      <w:pPr>
        <w:jc w:val="both"/>
        <w:rPr>
          <w:bCs/>
          <w:color w:val="002060"/>
          <w:sz w:val="16"/>
          <w:szCs w:val="16"/>
        </w:rPr>
      </w:pPr>
      <w:r w:rsidRPr="00DE096C">
        <w:rPr>
          <w:bCs/>
          <w:color w:val="002060"/>
          <w:sz w:val="16"/>
          <w:szCs w:val="16"/>
        </w:rPr>
        <w:t>В 1954(3) г. при заводе № 112 МТиТМ на базе КО подводного кораблестроения создано СКВ-112 для сопровождения постройки ПЛ пр. 613. При заводе действовало ЦКБ «п/я Г-4806».</w:t>
      </w:r>
    </w:p>
    <w:p w14:paraId="30D42D0F" w14:textId="69333592" w:rsidR="00B67D7C" w:rsidRPr="00DE096C" w:rsidRDefault="00B67D7C" w:rsidP="00D45A46">
      <w:pPr>
        <w:jc w:val="both"/>
        <w:rPr>
          <w:bCs/>
          <w:color w:val="002060"/>
          <w:sz w:val="16"/>
          <w:szCs w:val="16"/>
        </w:rPr>
      </w:pPr>
      <w:r w:rsidRPr="00DE096C">
        <w:rPr>
          <w:bCs/>
          <w:color w:val="002060"/>
          <w:sz w:val="16"/>
          <w:szCs w:val="16"/>
        </w:rPr>
        <w:t>В 1950-е-60-е</w:t>
      </w:r>
      <w:r w:rsidR="0006581C">
        <w:rPr>
          <w:bCs/>
          <w:color w:val="002060"/>
          <w:sz w:val="16"/>
          <w:szCs w:val="16"/>
        </w:rPr>
        <w:t xml:space="preserve"> </w:t>
      </w:r>
      <w:r w:rsidRPr="00DE096C">
        <w:rPr>
          <w:bCs/>
          <w:color w:val="002060"/>
          <w:sz w:val="16"/>
          <w:szCs w:val="16"/>
        </w:rPr>
        <w:t>г. завод имел сдаточную базу в Баку.</w:t>
      </w:r>
    </w:p>
    <w:p w14:paraId="56D17895" w14:textId="77777777" w:rsidR="00B67D7C" w:rsidRPr="00DE096C" w:rsidRDefault="00B67D7C" w:rsidP="00D45A46">
      <w:pPr>
        <w:jc w:val="both"/>
        <w:rPr>
          <w:bCs/>
          <w:color w:val="002060"/>
          <w:sz w:val="16"/>
          <w:szCs w:val="16"/>
        </w:rPr>
      </w:pPr>
      <w:r w:rsidRPr="00DE096C">
        <w:rPr>
          <w:bCs/>
          <w:color w:val="002060"/>
          <w:sz w:val="16"/>
          <w:szCs w:val="16"/>
        </w:rPr>
        <w:t>По решению МРФ РСФСР 9.09.1958 г. заложено первое серийное СПК пр. 340 «Ракета».</w:t>
      </w:r>
    </w:p>
    <w:p w14:paraId="3D0BC7B1" w14:textId="77777777" w:rsidR="00B67D7C" w:rsidRPr="00DE096C" w:rsidRDefault="00B67D7C" w:rsidP="00D45A46">
      <w:pPr>
        <w:jc w:val="both"/>
        <w:rPr>
          <w:bCs/>
          <w:color w:val="002060"/>
          <w:sz w:val="16"/>
          <w:szCs w:val="16"/>
        </w:rPr>
      </w:pPr>
      <w:r w:rsidRPr="00DE096C">
        <w:rPr>
          <w:bCs/>
          <w:color w:val="002060"/>
          <w:sz w:val="16"/>
          <w:szCs w:val="16"/>
        </w:rPr>
        <w:t>В 2003 г. входил в корпорацию ОМЗ, ГК МНП (2004-08 г.). По решению правительства № 22-р от 9.01.2004 г. и Указу Президента РФ № 1009 от 4.08.2004 г. вошел в число стратегических оборонных предприятий. В 2007 г. планировалось вхождение предприятия в один из 7 создаваемых в России судостроительных холдингов- ОАО «Западный центр судостроения».</w:t>
      </w:r>
    </w:p>
    <w:p w14:paraId="07F8A9CB" w14:textId="77777777" w:rsidR="00B67D7C" w:rsidRPr="00DE096C" w:rsidRDefault="00B67D7C" w:rsidP="00D45A46">
      <w:pPr>
        <w:jc w:val="both"/>
        <w:rPr>
          <w:bCs/>
          <w:color w:val="002060"/>
          <w:sz w:val="16"/>
          <w:szCs w:val="16"/>
        </w:rPr>
      </w:pPr>
      <w:r w:rsidRPr="00DE096C">
        <w:rPr>
          <w:bCs/>
          <w:color w:val="002060"/>
          <w:sz w:val="16"/>
          <w:szCs w:val="16"/>
        </w:rPr>
        <w:t>Производство (2008 г.): торпедные аппараты, подъемно-мачтовые устройства для ПЛ.</w:t>
      </w:r>
    </w:p>
    <w:p w14:paraId="69969813" w14:textId="77777777" w:rsidR="00B67D7C" w:rsidRPr="00DE096C" w:rsidRDefault="00B67D7C" w:rsidP="00D45A46">
      <w:pPr>
        <w:jc w:val="both"/>
        <w:rPr>
          <w:bCs/>
          <w:color w:val="002060"/>
          <w:sz w:val="16"/>
          <w:szCs w:val="16"/>
        </w:rPr>
      </w:pPr>
      <w:r w:rsidRPr="00DE096C">
        <w:rPr>
          <w:bCs/>
          <w:color w:val="002060"/>
          <w:sz w:val="16"/>
          <w:szCs w:val="16"/>
        </w:rPr>
        <w:t>Производственные площади (ВОВ)- 465 тыс. м</w:t>
      </w:r>
      <w:r w:rsidRPr="00DE096C">
        <w:rPr>
          <w:bCs/>
          <w:color w:val="002060"/>
          <w:sz w:val="16"/>
          <w:szCs w:val="16"/>
          <w:vertAlign w:val="superscript"/>
        </w:rPr>
        <w:t>2</w:t>
      </w:r>
      <w:r w:rsidRPr="00DE096C">
        <w:rPr>
          <w:bCs/>
          <w:color w:val="002060"/>
          <w:sz w:val="16"/>
          <w:szCs w:val="16"/>
        </w:rPr>
        <w:t>.</w:t>
      </w:r>
    </w:p>
    <w:p w14:paraId="51550E1B" w14:textId="142A70F8" w:rsidR="00B67D7C" w:rsidRPr="00DE096C" w:rsidRDefault="00B67D7C" w:rsidP="00D45A46">
      <w:pPr>
        <w:jc w:val="both"/>
        <w:rPr>
          <w:bCs/>
          <w:color w:val="002060"/>
          <w:sz w:val="16"/>
          <w:szCs w:val="16"/>
        </w:rPr>
      </w:pPr>
      <w:r w:rsidRPr="00DE096C">
        <w:rPr>
          <w:bCs/>
          <w:color w:val="002060"/>
          <w:sz w:val="16"/>
          <w:szCs w:val="16"/>
        </w:rPr>
        <w:t>Численность персонала (1850-е</w:t>
      </w:r>
      <w:r w:rsidR="0006581C">
        <w:rPr>
          <w:bCs/>
          <w:color w:val="002060"/>
          <w:sz w:val="16"/>
          <w:szCs w:val="16"/>
        </w:rPr>
        <w:t xml:space="preserve"> </w:t>
      </w:r>
      <w:r w:rsidRPr="00DE096C">
        <w:rPr>
          <w:bCs/>
          <w:color w:val="002060"/>
          <w:sz w:val="16"/>
          <w:szCs w:val="16"/>
        </w:rPr>
        <w:t>г.)- более 700 чел., (1914 г.)- более 15 тыс. чел.</w:t>
      </w:r>
    </w:p>
    <w:p w14:paraId="470B0FA7" w14:textId="77777777" w:rsidR="00B67D7C" w:rsidRPr="00DE096C" w:rsidRDefault="00B67D7C" w:rsidP="00D45A46">
      <w:pPr>
        <w:jc w:val="both"/>
        <w:rPr>
          <w:bCs/>
          <w:color w:val="002060"/>
          <w:sz w:val="16"/>
          <w:szCs w:val="16"/>
        </w:rPr>
      </w:pPr>
      <w:r w:rsidRPr="00DE096C">
        <w:rPr>
          <w:bCs/>
          <w:color w:val="002060"/>
          <w:sz w:val="16"/>
          <w:szCs w:val="16"/>
        </w:rPr>
        <w:t>Директор- И. Г. Макаров, (-1941-05.1942 г.)- Д.В. Михалев, (05.1942-49 г.)- Е.Э. Рубинчик (снят), (1955 г.)- Н.Н. Смеляков. Гендиректор (-2002-05 г.-)- Н.С. Жарков.</w:t>
      </w:r>
    </w:p>
    <w:p w14:paraId="0E645E73" w14:textId="77777777" w:rsidR="00B67D7C" w:rsidRPr="00DE096C" w:rsidRDefault="00B67D7C" w:rsidP="00D45A46">
      <w:pPr>
        <w:jc w:val="both"/>
        <w:rPr>
          <w:bCs/>
          <w:color w:val="002060"/>
          <w:sz w:val="16"/>
          <w:szCs w:val="16"/>
        </w:rPr>
      </w:pPr>
      <w:r w:rsidRPr="00DE096C">
        <w:rPr>
          <w:bCs/>
          <w:color w:val="002060"/>
          <w:sz w:val="16"/>
          <w:szCs w:val="16"/>
        </w:rPr>
        <w:t>Заведующий верфью (1920-е)- В.Т. Лебедев.</w:t>
      </w:r>
    </w:p>
    <w:p w14:paraId="3B882104" w14:textId="1E5D5CB6" w:rsidR="00B67D7C" w:rsidRPr="00DE096C" w:rsidRDefault="00B67D7C" w:rsidP="00D45A46">
      <w:pPr>
        <w:jc w:val="both"/>
        <w:rPr>
          <w:bCs/>
          <w:color w:val="002060"/>
          <w:sz w:val="16"/>
          <w:szCs w:val="16"/>
        </w:rPr>
      </w:pPr>
      <w:r w:rsidRPr="00DE096C">
        <w:rPr>
          <w:bCs/>
          <w:color w:val="002060"/>
          <w:sz w:val="16"/>
          <w:szCs w:val="16"/>
        </w:rPr>
        <w:t>Гл. инженер-механик (1901 г.)- Н.В. Кабачинский. Гл. инженер (10.1941 г.)-</w:t>
      </w:r>
      <w:r w:rsidR="0006581C">
        <w:rPr>
          <w:bCs/>
          <w:color w:val="002060"/>
          <w:sz w:val="16"/>
          <w:szCs w:val="16"/>
        </w:rPr>
        <w:t xml:space="preserve"> </w:t>
      </w:r>
      <w:r w:rsidRPr="00DE096C">
        <w:rPr>
          <w:bCs/>
          <w:color w:val="002060"/>
          <w:sz w:val="16"/>
          <w:szCs w:val="16"/>
        </w:rPr>
        <w:t>Г.И. Кузьмин, Н.С. Жарков.</w:t>
      </w:r>
    </w:p>
    <w:p w14:paraId="70677BFA" w14:textId="77777777" w:rsidR="00B67D7C" w:rsidRPr="00DE096C" w:rsidRDefault="00B67D7C" w:rsidP="00D45A46">
      <w:pPr>
        <w:jc w:val="both"/>
        <w:rPr>
          <w:bCs/>
          <w:color w:val="002060"/>
          <w:sz w:val="16"/>
          <w:szCs w:val="16"/>
        </w:rPr>
      </w:pPr>
      <w:r w:rsidRPr="00DE096C">
        <w:rPr>
          <w:bCs/>
          <w:color w:val="002060"/>
          <w:sz w:val="16"/>
          <w:szCs w:val="16"/>
        </w:rPr>
        <w:t>Зам. гл. инженера (1930-е)- В.М. Керичев.</w:t>
      </w:r>
    </w:p>
    <w:p w14:paraId="4D0C2ABE" w14:textId="77777777" w:rsidR="00B67D7C" w:rsidRPr="00DE096C" w:rsidRDefault="00B67D7C" w:rsidP="00D45A46">
      <w:pPr>
        <w:jc w:val="both"/>
        <w:rPr>
          <w:bCs/>
          <w:color w:val="002060"/>
          <w:sz w:val="16"/>
          <w:szCs w:val="16"/>
        </w:rPr>
      </w:pPr>
      <w:r w:rsidRPr="00DE096C">
        <w:rPr>
          <w:bCs/>
          <w:color w:val="002060"/>
          <w:sz w:val="16"/>
          <w:szCs w:val="16"/>
        </w:rPr>
        <w:t>Гл. конструктор (1942 г.-)- В.В. Крылов; и.о. (-1949 г.)- А. Окунев (снят).</w:t>
      </w:r>
    </w:p>
    <w:p w14:paraId="66D09DDA" w14:textId="77777777" w:rsidR="00B67D7C" w:rsidRPr="00DE096C" w:rsidRDefault="00B67D7C" w:rsidP="00D45A46">
      <w:pPr>
        <w:jc w:val="both"/>
        <w:rPr>
          <w:bCs/>
          <w:color w:val="002060"/>
          <w:sz w:val="16"/>
          <w:szCs w:val="16"/>
        </w:rPr>
      </w:pPr>
      <w:r w:rsidRPr="00DE096C">
        <w:rPr>
          <w:bCs/>
          <w:color w:val="002060"/>
          <w:sz w:val="16"/>
          <w:szCs w:val="16"/>
        </w:rPr>
        <w:t>Начальники цехов: судостроительного (1920-е)- В.Т. Садченко.</w:t>
      </w:r>
    </w:p>
    <w:p w14:paraId="6C44A46F" w14:textId="77777777" w:rsidR="00B67D7C" w:rsidRPr="00DE096C" w:rsidRDefault="00B67D7C" w:rsidP="00D45A46">
      <w:pPr>
        <w:jc w:val="both"/>
        <w:rPr>
          <w:bCs/>
          <w:color w:val="002060"/>
          <w:sz w:val="16"/>
          <w:szCs w:val="16"/>
        </w:rPr>
      </w:pPr>
      <w:r w:rsidRPr="00DE096C">
        <w:rPr>
          <w:bCs/>
          <w:color w:val="002060"/>
          <w:sz w:val="16"/>
          <w:szCs w:val="16"/>
        </w:rPr>
        <w:t>Начальники отделов: КО (1941 г.)- В.В. Крылов.</w:t>
      </w:r>
    </w:p>
    <w:p w14:paraId="20653A46" w14:textId="77777777" w:rsidR="00B67D7C" w:rsidRPr="00DE096C" w:rsidRDefault="00B67D7C" w:rsidP="00D45A46">
      <w:pPr>
        <w:jc w:val="both"/>
        <w:rPr>
          <w:bCs/>
          <w:color w:val="002060"/>
          <w:sz w:val="16"/>
          <w:szCs w:val="16"/>
        </w:rPr>
      </w:pPr>
      <w:r w:rsidRPr="00DE096C">
        <w:rPr>
          <w:bCs/>
          <w:color w:val="002060"/>
          <w:sz w:val="16"/>
          <w:szCs w:val="16"/>
        </w:rPr>
        <w:t>Начальники лабораторий: гидродинамической (1.01.1943 г.-)- Р.Е. Алексеев.</w:t>
      </w:r>
    </w:p>
    <w:p w14:paraId="66796452" w14:textId="77777777" w:rsidR="00B67D7C" w:rsidRPr="00DE096C" w:rsidRDefault="00B67D7C" w:rsidP="00D45A46">
      <w:pPr>
        <w:jc w:val="both"/>
        <w:rPr>
          <w:bCs/>
          <w:color w:val="002060"/>
          <w:sz w:val="16"/>
          <w:szCs w:val="16"/>
        </w:rPr>
      </w:pPr>
      <w:r w:rsidRPr="00DE096C">
        <w:rPr>
          <w:bCs/>
          <w:color w:val="002060"/>
          <w:sz w:val="16"/>
          <w:szCs w:val="16"/>
        </w:rPr>
        <w:t>Строители кораблей: (ВОВ)- М.И. Лернер (ПЛ).</w:t>
      </w:r>
    </w:p>
    <w:p w14:paraId="5A0A9646" w14:textId="77777777" w:rsidR="00B67D7C" w:rsidRPr="00DE096C" w:rsidRDefault="00B67D7C" w:rsidP="00D45A46">
      <w:pPr>
        <w:jc w:val="both"/>
        <w:rPr>
          <w:bCs/>
          <w:color w:val="002060"/>
          <w:sz w:val="16"/>
          <w:szCs w:val="16"/>
        </w:rPr>
      </w:pPr>
      <w:r w:rsidRPr="00DE096C">
        <w:rPr>
          <w:bCs/>
          <w:color w:val="002060"/>
          <w:sz w:val="16"/>
          <w:szCs w:val="16"/>
        </w:rPr>
        <w:t>Производство: пароходы: «Орел» (1849-61-)- 60, «Переворот» (-1871), буксирно-пассажирский «Добрый», «Вел. Князь Алексей», «Вел. Князь Кирилл», «Христофор Колумб», «Петр Чайковский» (1897), «Граф» (1904); грузопассажирские типа «Баян», типа «Вел. Княгиня Ольга», «Канавино» (1913), «Люкс» (1913), типа «Военмор Ворошилов» (1933-34)- 4, типа «Иосиф Сталин» «Иосиф Сталин», «Клим Ворошилов», «Вячеслав Молотов», «Михаил Калинин» (1936-37); дноуглубительный снаряд (1858), землечерпалка «Волжская-9» (1900), землечерпательные караваны для Волги, Днепра и Каспия, дизель-электрические землесосы (1935)- 8, (1945-), морские землечерпалки (1930-е); танкеры: «Николай» (1901), «Алейдар Усейнов» (1905); самоходные «Вандал», «Сармат» (1903), «Русь»; типа «Ленин» «Ленин» (1930), «Профинтерн», «Цюрупа», «Агамали-Оглы», «ВКП(б)», «Коминтерн», «Андрей Жданов», «Молотов», «Сталин», «Каганович», «Берия» (1927-35), «Генерал Гази Асланов» (1950), пр. 576Т «Камгэс» (1960); буксиры: 1000 л.с. «Его превосходительство» (1890-е), 500 л.с. «Святогор», морские «Алеша Попович», «Поток-богатырь», «Илья Муромец», «Микула», «Святослав», «Добрыня» (1912), 1200 л.с. типа «Красный шахтер» («Индустриализация») (1929-32)- 4, 300 л.с. типа «Смидович» (1930-е), 150 л.с. (1930-е), сварной 150 л.с. «Сварщик» (1933), 1200 л.с. III серии «Чубарь», «Циолковский»), «Манычстрой», «Микоян» (1934-36)- 7, дизельный 600 л.с. типа «Сергей Киров» (1935); «Коммунальник» (1930-е); 600 л.с. пр. 10 «Красное Сормово» (1948); сухогрузы: теплоход «Данилиха» (1913); типа «Тюрок» «Тюрок» («Куйбышев»), «Азербайджанец», «Чеченец» («Осетин»), «Серго Орджоникидзе» (1931- 36); пр. 570 типа «Инженер Белов» (1960-е)- 1; речные пр. 576 «Шестая пятилетка» (1956), пр. 791 «Профессор Керичев», «Волго-Балт» (1962-); река-море пр. 781 «Балтийский-1» (1961); пр. 1557 «50 лет Советской власти» (1967-)- более 80 (вместе с Волгоградским ССЗ и им. Володарского); пр. 19610 «Волга-4001» (-1990)- 12; служебный теплоход «Максим Горький» (-1934); паромы: железнодорожные «Сталин» (1927), пр. 721 «Советский Азербайджан» (1962-)- 5; баржи: самоходные типа «Абхазия» (1920-е)- 5, типа «Грузия» (1930-34)- 7; бензоналивная типа «Линда» (1948-)- 18, нефтеналивные на 3700 т (1960-е); канонерские лодки: «Бурят», «Монгол», «Орочанин», «Вогул», «Вотяк», «Калмык», «Киргиз», «Корел», «Сибиряк», «Зырянин» (1907-08); ПЛ: III серии «Комсомолец» (02.1930-05.1931); Убис (VII) серии «Семга» (Щ-308) (1930-е); Убис (II) серии «Дельфин» (Щ-309), «Белуха» (Щ-310), «Кумжа» (Щ-311) (1930-е); 1Хбис серии С-7, -8, -9, -10, -11, -12, -13, -14, - 17, -18, -101, -102, -103 (1937-05.1941), С-18, -22, -23, -24, -25, -26 (1945-48), С-15, -16, -19, -20, -21, -104 (1941-, достройка на заводе 638); X серии Щ-322, -323, -324 (1934-36), достройка лодок Коломенского завода Щ-313 (Щ- 421), Щ-314 (Щ-422), Щ-315 (Щ-423, Щ-139) (-1937); серии XII М-57 (М-49), -58, -96, -97 (07.1937-39), -30, -31, - 32, -33, -34, -59, -60, -62, -63 (-48) (-1940), -35, -36, -111, -112, -113, -114, -115, -116, -117, -118, -120 (-1941), М-119, -121, -122 (1942), М-104, -105, -106, -107, -108 (1942-, достройка на заводе 402); пр. 96 XV серии М-214, -218, -219 (1941-, достройка на заводе 402)- всего 11 (9 достраивались на заводе 196); достройка пр. 95 с единым двигателем (ВОВ); пр. 613 (03.1950-12.1951), (1951-56)- 113; пр. 633 (10.1957-12.1959), (1959-61)- 19; пр. 636 «Варшавянка» (2005)- 1 для Китая; пр. 641Б (1972-82)- 18; пр. 651 с КР (1963-68)- 16 (вместе с заводом 189); с ПКР «Аметист» пр. 670А «Скат» К-43 (1967-72)- 11, с КР «Малахит» пр. 670М (1973-80)- 6; пр. 671РТ (1972-)- 7 (вместе с ЛАО); пр. 877 «Варшавянка» («Палтус») (1984-2000)- 21, пр. 877В Б-871 «Алроса» (1988-90); пр. 877Э «Дельфин», «Орел» (1985), пр. 877ЭКМ (1980-е)- всего 11; пр. 945 «Барракуда» (1984); спасательные аппараты пр. 1837 (1970-е), пр. 1837К; глубоководный самоходный аппарат пр. 1855 «Приз» (1986-91)- 4, пр. 18270 «Бестер»; мониторы пр. 1190 «Лазо» («Хасан») (04.1936-, достройка на заводе 368), «Симбирцев» («Перекоп»), «Серышев» («Сиваш») (-1941); ледоколы: «Серго Орджоникидзе» (1936-40); речной «Волга» (1950); пассажирские теплоходы: типа «Леваневский» «Доронин» (1936), «Леваневский» (1937), «Ляпидевский», «Молоков», «Каманин», «Слепнев» (1936-38); типа «Громов» «Громов», «Чкалов», «Беляков», «Байдуков», «Водопьянов», «Коккинаки» (1937); пассажирсие дизельэлектроходы пр. 20 «Ленин» (1958), «Советский Союз» (1959); грузовой теплоход пр. И «Большая Волга» (1948); СПК: пр. 340 «Ракета» (09.1958-), пр. 342 «Метеор» (1959), пр. 330 «Вихрь» (1962), пр. 1708 «Буревестник» (1965); плавучие погрузчики морских ракет пр. 1791 и пр. 1791Р «Кальмар» (1972-80)- 3; танкеры «река-море» пр. 19612А для Мальты (2001-)- 11; сухогрузы «река-море» для Турции (2003-06)- 6; плавдоки: (1934-35), транспортные пр. 768 (1958), пр. 1767, док-понтон пр. 1755 (1960-е); судоподъемные понтоны (1934-35); понтон пр. 755 (1957-);</w:t>
      </w:r>
      <w:r w:rsidRPr="00DE096C">
        <w:rPr>
          <w:bCs/>
          <w:color w:val="002060"/>
          <w:sz w:val="16"/>
          <w:szCs w:val="16"/>
          <w:vertAlign w:val="superscript"/>
        </w:rPr>
        <w:t>115</w:t>
      </w:r>
      <w:r w:rsidRPr="00DE096C">
        <w:rPr>
          <w:bCs/>
          <w:color w:val="002060"/>
          <w:sz w:val="16"/>
          <w:szCs w:val="16"/>
        </w:rPr>
        <w:t xml:space="preserve"> плавучий кран на 250 т «Кер-Оглы» (1960-е, сборка на базе в Баку);</w:t>
      </w:r>
    </w:p>
    <w:p w14:paraId="6333D844" w14:textId="77777777" w:rsidR="00B67D7C" w:rsidRPr="00DE096C" w:rsidRDefault="00B67D7C" w:rsidP="00D45A46">
      <w:pPr>
        <w:jc w:val="both"/>
        <w:rPr>
          <w:bCs/>
          <w:color w:val="002060"/>
          <w:sz w:val="16"/>
          <w:szCs w:val="16"/>
        </w:rPr>
      </w:pPr>
      <w:r w:rsidRPr="00DE096C">
        <w:rPr>
          <w:bCs/>
          <w:color w:val="002060"/>
          <w:sz w:val="16"/>
          <w:szCs w:val="16"/>
        </w:rPr>
        <w:t xml:space="preserve">паровые машины и котлы для крейсера «Очаков» (1901), паровые машины 800 л.с. для шаланд ШМ-4 (1940- 41); дизели: типа МАН (1300 л.с.) для танкеров типа «Ленин» (1920-е), 6БК-43 (350 л.с.) для грузопассажирских судов типа «Иосиф Сталин» (1936); танки: «Русский Рено» (1920-21)- 15, Т-34 (1941-44)- 9338, Т-34-85 (1944-)- всего более 12.000, Р-39 (опытный, 1949); корабельная пушка МК-85 (1946-49); детали для </w:t>
      </w:r>
      <w:r w:rsidRPr="00DE096C">
        <w:rPr>
          <w:bCs/>
          <w:color w:val="002060"/>
          <w:sz w:val="16"/>
          <w:szCs w:val="16"/>
          <w:lang w:val="en-US"/>
        </w:rPr>
        <w:t>PC</w:t>
      </w:r>
      <w:r w:rsidRPr="00DE096C">
        <w:rPr>
          <w:bCs/>
          <w:color w:val="002060"/>
          <w:sz w:val="16"/>
          <w:szCs w:val="16"/>
        </w:rPr>
        <w:t xml:space="preserve"> М-8 (1942); переоборудование: торпедные катера пр. 123К по </w:t>
      </w:r>
      <w:r w:rsidRPr="00DE096C">
        <w:rPr>
          <w:bCs/>
          <w:color w:val="002060"/>
          <w:sz w:val="16"/>
          <w:szCs w:val="16"/>
        </w:rPr>
        <w:lastRenderedPageBreak/>
        <w:t>пр. К123к с подводными крыльями (1950-е)- 5; ПЛ пр. 613: по пр. П613 с КР П-5 (1957); по пр. 644 с КР П-5 (I960)- 6, С-162 пр. 644 по пр. 644Д с П-5Д (08.1960-01.1961); по пр. 665 с КР П-5 (1961-63); по пр. 640 (1957-)- 4; по пр. 613С (I960)- 1; по пр. 666 (1962)- 1.</w:t>
      </w:r>
      <w:r w:rsidRPr="00DE096C">
        <w:rPr>
          <w:bCs/>
          <w:color w:val="002060"/>
          <w:sz w:val="16"/>
          <w:szCs w:val="16"/>
          <w:vertAlign w:val="superscript"/>
        </w:rPr>
        <w:t>ш</w:t>
      </w:r>
    </w:p>
    <w:p w14:paraId="56FC8490" w14:textId="77777777" w:rsidR="00B67D7C" w:rsidRPr="00DE096C" w:rsidRDefault="00B67D7C" w:rsidP="00D45A46">
      <w:pPr>
        <w:jc w:val="both"/>
        <w:rPr>
          <w:bCs/>
          <w:color w:val="002060"/>
          <w:sz w:val="16"/>
          <w:szCs w:val="16"/>
        </w:rPr>
      </w:pPr>
      <w:r w:rsidRPr="00DE096C">
        <w:rPr>
          <w:bCs/>
          <w:color w:val="002060"/>
          <w:sz w:val="16"/>
          <w:szCs w:val="16"/>
        </w:rPr>
        <w:t>Техническое бюро, КБ, СКБ завода «Красное Сормово» В соответствии с пост. СНК от 2.07.1935 г. разработан проект тяжелого монитора для Амура пр. 1190. С 1940 г. проектировалась ПЛ «ОМ» (открытого моря) пр. 98, проект не завершен в связи с началом войны.</w:t>
      </w:r>
    </w:p>
    <w:p w14:paraId="30767CAD" w14:textId="77777777" w:rsidR="00B67D7C" w:rsidRPr="00DE096C" w:rsidRDefault="00B67D7C" w:rsidP="00D45A46">
      <w:pPr>
        <w:jc w:val="both"/>
        <w:rPr>
          <w:bCs/>
          <w:color w:val="002060"/>
          <w:sz w:val="16"/>
          <w:szCs w:val="16"/>
        </w:rPr>
      </w:pPr>
      <w:r w:rsidRPr="00DE096C">
        <w:rPr>
          <w:bCs/>
          <w:color w:val="002060"/>
          <w:sz w:val="16"/>
          <w:szCs w:val="16"/>
        </w:rPr>
        <w:t>В 1953 г. КО подводного кораблестроения КБ завода выделен в самостоятельное СКБ-112.</w:t>
      </w:r>
    </w:p>
    <w:p w14:paraId="4C99D60F" w14:textId="77777777" w:rsidR="00B67D7C" w:rsidRPr="00DE096C" w:rsidRDefault="00B67D7C" w:rsidP="00D45A46">
      <w:pPr>
        <w:jc w:val="both"/>
        <w:rPr>
          <w:bCs/>
          <w:color w:val="002060"/>
          <w:sz w:val="16"/>
          <w:szCs w:val="16"/>
        </w:rPr>
      </w:pPr>
      <w:r w:rsidRPr="00DE096C">
        <w:rPr>
          <w:bCs/>
          <w:color w:val="002060"/>
          <w:sz w:val="16"/>
          <w:szCs w:val="16"/>
        </w:rPr>
        <w:t>Гл. конструкторы: (1936 г.)- В.В. Крылов (пр. 1190), (-1933-58 г.-)- В.М. Керичев («Сварщик», пр. 10, 11, 20, 576, 781, «Волга»), (1960-е)- А.И. Захаров (пр. 1570).</w:t>
      </w:r>
    </w:p>
    <w:p w14:paraId="44B5D5CA" w14:textId="77777777" w:rsidR="00B67D7C" w:rsidRPr="00DE096C" w:rsidRDefault="00B67D7C" w:rsidP="00D45A46">
      <w:pPr>
        <w:jc w:val="both"/>
        <w:rPr>
          <w:bCs/>
          <w:color w:val="002060"/>
          <w:sz w:val="16"/>
          <w:szCs w:val="16"/>
        </w:rPr>
      </w:pPr>
      <w:r w:rsidRPr="00DE096C">
        <w:rPr>
          <w:bCs/>
          <w:color w:val="002060"/>
          <w:sz w:val="16"/>
          <w:szCs w:val="16"/>
        </w:rPr>
        <w:t>Создано: канонерские лодки: типа «Бурят», типа «Вогул» (1904); танкер типа «Ленин» (1926); сухогрузы: типа «Тюрок» (1931); пр. 576 типа «Шестая пятилетка» (1955), пр. 791 типа «Профессор Керичев» (1961); река-море: пр. 781 типа «Балтийский» (1957-59), типа «50 лет Советской власти» (1966), типа «Сормовский»; буксиры: сварной 150 л.с. «Сварщик» (1933); речной теплоход 600 л.с. пр. 10 (1940-е); монитор пр. 1190 (1936); ПЛ: типа «ОМ» пр. 98 (1941); проект морского катера на подводных крыльях (1944);</w:t>
      </w:r>
      <w:r w:rsidRPr="00DE096C">
        <w:rPr>
          <w:bCs/>
          <w:color w:val="002060"/>
          <w:sz w:val="16"/>
          <w:szCs w:val="16"/>
          <w:vertAlign w:val="superscript"/>
        </w:rPr>
        <w:t>61</w:t>
      </w:r>
      <w:r w:rsidRPr="00DE096C">
        <w:rPr>
          <w:bCs/>
          <w:color w:val="002060"/>
          <w:sz w:val="16"/>
          <w:szCs w:val="16"/>
        </w:rPr>
        <w:t xml:space="preserve"> морская землечерпалка (1930-е); грузопассажирское судно типа «Иосиф Сталин» (1936); бензоналивная баржа типа «Линда» (1947-48); грузовой теплоход пр. И типа «Большая Волга» (1948); речной ледокол «Волга» (1950); пассажирский дизель-электроход пр. 20 (1950-е); нефтерудовоз пр. 1570 типа «Нефтерудовоз-1» (1967).</w:t>
      </w:r>
    </w:p>
    <w:p w14:paraId="0ED78625" w14:textId="77777777" w:rsidR="00B67D7C" w:rsidRPr="00DE096C" w:rsidRDefault="00B67D7C" w:rsidP="00D45A46">
      <w:pPr>
        <w:jc w:val="both"/>
        <w:rPr>
          <w:bCs/>
          <w:color w:val="002060"/>
          <w:sz w:val="16"/>
          <w:szCs w:val="16"/>
        </w:rPr>
      </w:pPr>
      <w:r w:rsidRPr="00DE096C">
        <w:rPr>
          <w:bCs/>
          <w:color w:val="002060"/>
          <w:sz w:val="16"/>
          <w:szCs w:val="16"/>
        </w:rPr>
        <w:t>КБ завода № 112 МТМ</w:t>
      </w:r>
    </w:p>
    <w:p w14:paraId="7D41F229" w14:textId="77777777" w:rsidR="00B67D7C" w:rsidRPr="00DE096C" w:rsidRDefault="00B67D7C" w:rsidP="00D45A46">
      <w:pPr>
        <w:jc w:val="both"/>
        <w:rPr>
          <w:bCs/>
          <w:color w:val="002060"/>
          <w:sz w:val="16"/>
          <w:szCs w:val="16"/>
        </w:rPr>
      </w:pPr>
      <w:r w:rsidRPr="00DE096C">
        <w:rPr>
          <w:bCs/>
          <w:color w:val="002060"/>
          <w:sz w:val="16"/>
          <w:szCs w:val="16"/>
        </w:rPr>
        <w:t>Весной 1948 г. КБ было выдано задание на проектирование плавающих танка и БТР. По приказу МТМ № 237 от 16.07.1948 г. опытные образцы танка Р-39 и БТР Р-40 должны быть испытаны к 1.06.1949 г., а пост, правительства № 368 от 19.10.1948 г. предписывалось заводу в 1949 г. изготовить 40 опытных танков и БТР. Из-за неудовлетворительных результатов, полученных в ходе испытаний, работы по плавающему танку были переданы на завод № 100.128</w:t>
      </w:r>
    </w:p>
    <w:p w14:paraId="65F3FBFD" w14:textId="52E066F9" w:rsidR="00B67D7C" w:rsidRPr="00DE096C" w:rsidRDefault="00B67D7C" w:rsidP="00D45A46">
      <w:pPr>
        <w:jc w:val="both"/>
        <w:rPr>
          <w:bCs/>
          <w:color w:val="002060"/>
          <w:sz w:val="16"/>
          <w:szCs w:val="16"/>
        </w:rPr>
      </w:pPr>
      <w:r w:rsidRPr="00DE096C">
        <w:rPr>
          <w:bCs/>
          <w:color w:val="002060"/>
          <w:sz w:val="16"/>
          <w:szCs w:val="16"/>
        </w:rPr>
        <w:t>СКБ-112 НКСП, НКТП, ЦКБ-112, СКБ «Судопроект», ЦКБ «Лазурит», ОАО «ЦКБ «Лазурит» /603003</w:t>
      </w:r>
      <w:r w:rsidR="0006581C">
        <w:rPr>
          <w:bCs/>
          <w:color w:val="002060"/>
          <w:sz w:val="16"/>
          <w:szCs w:val="16"/>
        </w:rPr>
        <w:t xml:space="preserve"> </w:t>
      </w:r>
      <w:r w:rsidRPr="00DE096C">
        <w:rPr>
          <w:bCs/>
          <w:color w:val="002060"/>
          <w:sz w:val="16"/>
          <w:szCs w:val="16"/>
        </w:rPr>
        <w:t>г. Нижний Новгород ул. Свободы, 57 тел. 73-84-00/</w:t>
      </w:r>
    </w:p>
    <w:p w14:paraId="5C1704BB" w14:textId="77777777" w:rsidR="00B67D7C" w:rsidRPr="00DE096C" w:rsidRDefault="00B67D7C" w:rsidP="00D45A46">
      <w:pPr>
        <w:jc w:val="both"/>
        <w:rPr>
          <w:bCs/>
          <w:color w:val="002060"/>
          <w:sz w:val="16"/>
          <w:szCs w:val="16"/>
        </w:rPr>
      </w:pPr>
      <w:r w:rsidRPr="00DE096C">
        <w:rPr>
          <w:bCs/>
          <w:color w:val="002060"/>
          <w:sz w:val="16"/>
          <w:szCs w:val="16"/>
        </w:rPr>
        <w:t>СКБ-112 создано по приказу МТиТМ в 1953 г. на базе КО подводного кораблестроения для адаптации техдокументации по ПЛ пр. 613 к заводским условиям и модернизации этого проекта. В 1966 г. СКБ-112 переименовано в СКБ «Судопроект». В 1974 г. СКБ «Судопроект» переименовано в ЦКБ «Лазурит».</w:t>
      </w:r>
    </w:p>
    <w:p w14:paraId="7A1D6261" w14:textId="77777777" w:rsidR="00B67D7C" w:rsidRPr="00DE096C" w:rsidRDefault="00B67D7C" w:rsidP="00D45A46">
      <w:pPr>
        <w:jc w:val="both"/>
        <w:rPr>
          <w:bCs/>
          <w:color w:val="002060"/>
          <w:sz w:val="16"/>
          <w:szCs w:val="16"/>
        </w:rPr>
      </w:pPr>
      <w:r w:rsidRPr="00DE096C">
        <w:rPr>
          <w:bCs/>
          <w:color w:val="002060"/>
          <w:sz w:val="16"/>
          <w:szCs w:val="16"/>
        </w:rPr>
        <w:t>Пост. СМ СССР № 1454-808сс от 9.08.1955 г. утверждены ТТХ ПЛ пр. 633, пост. № 42-15 от 18.01.1960 г. головная ПЛ пр. 633 пнв. В 04.1957 г. ЦКБ поручено разработать проект переделки ПЛ пр. 613 под 4 ракеты П-5, создан пр. 665. пост. № 993-466 от 30.08.1958 г. утвержден техпроект ПЛ пр. 654. Пост. № 359-129 от 30.04.1965 г. утверждены ТТХ ПЛ-мишени пр. 690.</w:t>
      </w:r>
    </w:p>
    <w:p w14:paraId="54542B62" w14:textId="77777777" w:rsidR="00B67D7C" w:rsidRPr="00DE096C" w:rsidRDefault="00B67D7C" w:rsidP="00D45A46">
      <w:pPr>
        <w:jc w:val="both"/>
        <w:rPr>
          <w:bCs/>
          <w:color w:val="002060"/>
          <w:sz w:val="16"/>
          <w:szCs w:val="16"/>
        </w:rPr>
      </w:pPr>
      <w:r w:rsidRPr="00DE096C">
        <w:rPr>
          <w:bCs/>
          <w:color w:val="002060"/>
          <w:sz w:val="16"/>
          <w:szCs w:val="16"/>
        </w:rPr>
        <w:t>Велись работы по созданию подъемно-мачтовых, выдвижных и заваливающихся устройств, которьми оснащены практически все современные ПЛ. В 1986 г. ЦКБ определено головным по созданию глубоководных водолазных комплексов.</w:t>
      </w:r>
    </w:p>
    <w:p w14:paraId="3C112A17" w14:textId="45F48E51" w:rsidR="00B67D7C" w:rsidRPr="00DE096C" w:rsidRDefault="00B67D7C" w:rsidP="00D45A46">
      <w:pPr>
        <w:jc w:val="both"/>
        <w:rPr>
          <w:bCs/>
          <w:color w:val="002060"/>
          <w:sz w:val="16"/>
          <w:szCs w:val="16"/>
        </w:rPr>
      </w:pPr>
      <w:r w:rsidRPr="00DE096C">
        <w:rPr>
          <w:bCs/>
          <w:color w:val="002060"/>
          <w:sz w:val="16"/>
          <w:szCs w:val="16"/>
        </w:rPr>
        <w:t>В рамках конверсии в 1990-х</w:t>
      </w:r>
      <w:r w:rsidR="0006581C">
        <w:rPr>
          <w:bCs/>
          <w:color w:val="002060"/>
          <w:sz w:val="16"/>
          <w:szCs w:val="16"/>
        </w:rPr>
        <w:t xml:space="preserve"> </w:t>
      </w:r>
      <w:r w:rsidRPr="00DE096C">
        <w:rPr>
          <w:bCs/>
          <w:color w:val="002060"/>
          <w:sz w:val="16"/>
          <w:szCs w:val="16"/>
        </w:rPr>
        <w:t xml:space="preserve">г. велись разработки: технических средств для разведки и добычи полезных ископаемых на морском шельфе; в области гражданского судостроения; медицинской баротехники. В 1991 г. совместно с Канадой проведены проектные разработки научно-исследовательской ПЛ «Оушн Шаттл». В 1991- 92 г. совместно с американской компанией </w:t>
      </w:r>
      <w:r w:rsidRPr="00DE096C">
        <w:rPr>
          <w:bCs/>
          <w:color w:val="002060"/>
          <w:sz w:val="16"/>
          <w:szCs w:val="16"/>
          <w:lang w:val="en-US"/>
        </w:rPr>
        <w:t>SAIC</w:t>
      </w:r>
      <w:r w:rsidRPr="00DE096C">
        <w:rPr>
          <w:bCs/>
          <w:color w:val="002060"/>
          <w:sz w:val="16"/>
          <w:szCs w:val="16"/>
        </w:rPr>
        <w:t xml:space="preserve"> разработано ТЭО подводного комплекса бурения и транспортировки продукции арктических газоконденсатных месторождений. В 1992 г. по заказу «Газпрома» разработаны проекты: изыскательско-водолазного судна, земснаряда с разрыхлителем грунта, земснаряда типа «Хоппер», грунтоотвозного судна с раскрывающимся корпусом.</w:t>
      </w:r>
    </w:p>
    <w:p w14:paraId="798885E0" w14:textId="77777777" w:rsidR="00B67D7C" w:rsidRPr="00DE096C" w:rsidRDefault="00B67D7C" w:rsidP="00D45A46">
      <w:pPr>
        <w:jc w:val="both"/>
        <w:rPr>
          <w:bCs/>
          <w:color w:val="002060"/>
          <w:sz w:val="16"/>
          <w:szCs w:val="16"/>
        </w:rPr>
      </w:pPr>
      <w:r w:rsidRPr="00DE096C">
        <w:rPr>
          <w:bCs/>
          <w:color w:val="002060"/>
          <w:sz w:val="16"/>
          <w:szCs w:val="16"/>
        </w:rPr>
        <w:t>По решению правительства № 22-р от 9.01.2004 г. вошло в перечень стратегических предприятий. Входило в ОМЗ, в 03.2006 г. вошло в ГК МНП.</w:t>
      </w:r>
    </w:p>
    <w:p w14:paraId="0584D432" w14:textId="77777777" w:rsidR="00B67D7C" w:rsidRPr="00DE096C" w:rsidRDefault="00B67D7C" w:rsidP="00D45A46">
      <w:pPr>
        <w:jc w:val="both"/>
        <w:rPr>
          <w:bCs/>
          <w:color w:val="002060"/>
          <w:sz w:val="16"/>
          <w:szCs w:val="16"/>
        </w:rPr>
      </w:pPr>
      <w:r w:rsidRPr="00DE096C">
        <w:rPr>
          <w:bCs/>
          <w:color w:val="002060"/>
          <w:sz w:val="16"/>
          <w:szCs w:val="16"/>
        </w:rPr>
        <w:t>Разработка (2005 г.): комплексы по освоению месторождений нефти и газа.</w:t>
      </w:r>
    </w:p>
    <w:p w14:paraId="53CD3258" w14:textId="77777777" w:rsidR="00B67D7C" w:rsidRPr="00DE096C" w:rsidRDefault="00B67D7C" w:rsidP="00D45A46">
      <w:pPr>
        <w:jc w:val="both"/>
        <w:rPr>
          <w:bCs/>
          <w:color w:val="002060"/>
          <w:sz w:val="16"/>
          <w:szCs w:val="16"/>
        </w:rPr>
      </w:pPr>
      <w:r w:rsidRPr="00DE096C">
        <w:rPr>
          <w:bCs/>
          <w:color w:val="002060"/>
          <w:sz w:val="16"/>
          <w:szCs w:val="16"/>
        </w:rPr>
        <w:t>Гендиректор (-2002-05 г.-)- Н.И. Кваша.</w:t>
      </w:r>
    </w:p>
    <w:p w14:paraId="02112BF2" w14:textId="77777777" w:rsidR="00B67D7C" w:rsidRPr="00DE096C" w:rsidRDefault="00B67D7C" w:rsidP="00D45A46">
      <w:pPr>
        <w:jc w:val="both"/>
        <w:rPr>
          <w:bCs/>
          <w:color w:val="002060"/>
          <w:sz w:val="16"/>
          <w:szCs w:val="16"/>
        </w:rPr>
      </w:pPr>
      <w:r w:rsidRPr="00DE096C">
        <w:rPr>
          <w:bCs/>
          <w:color w:val="002060"/>
          <w:sz w:val="16"/>
          <w:szCs w:val="16"/>
        </w:rPr>
        <w:t>Ген. конструктор (2002 г.)- Н.И. Кваша.</w:t>
      </w:r>
    </w:p>
    <w:p w14:paraId="67CF8B73" w14:textId="13B23377" w:rsidR="00B67D7C" w:rsidRPr="00DE096C" w:rsidRDefault="00B67D7C" w:rsidP="00D45A46">
      <w:pPr>
        <w:jc w:val="both"/>
        <w:rPr>
          <w:bCs/>
          <w:color w:val="002060"/>
          <w:sz w:val="16"/>
          <w:szCs w:val="16"/>
        </w:rPr>
      </w:pPr>
      <w:r w:rsidRPr="00DE096C">
        <w:rPr>
          <w:bCs/>
          <w:color w:val="002060"/>
          <w:sz w:val="16"/>
          <w:szCs w:val="16"/>
        </w:rPr>
        <w:t>Зам. гл. конструктора (2005 г.)-</w:t>
      </w:r>
      <w:r w:rsidR="0006581C">
        <w:rPr>
          <w:bCs/>
          <w:color w:val="002060"/>
          <w:sz w:val="16"/>
          <w:szCs w:val="16"/>
        </w:rPr>
        <w:t xml:space="preserve"> </w:t>
      </w:r>
      <w:r w:rsidRPr="00DE096C">
        <w:rPr>
          <w:bCs/>
          <w:color w:val="002060"/>
          <w:sz w:val="16"/>
          <w:szCs w:val="16"/>
        </w:rPr>
        <w:t>Г. Болонин.</w:t>
      </w:r>
    </w:p>
    <w:p w14:paraId="20259EE3" w14:textId="77777777" w:rsidR="00B67D7C" w:rsidRPr="00DE096C" w:rsidRDefault="00B67D7C" w:rsidP="00D45A46">
      <w:pPr>
        <w:jc w:val="both"/>
        <w:rPr>
          <w:bCs/>
          <w:color w:val="002060"/>
          <w:sz w:val="16"/>
          <w:szCs w:val="16"/>
        </w:rPr>
      </w:pPr>
      <w:r w:rsidRPr="00DE096C">
        <w:rPr>
          <w:bCs/>
          <w:color w:val="002060"/>
          <w:sz w:val="16"/>
          <w:szCs w:val="16"/>
        </w:rPr>
        <w:t>Гл. конструкторы (1939 г.)- В.В. Крылов (пр. 1190), (1954 г.)- З.А. Дерибин (пр. 633), (-1954-56 г.-)- А.И. Ноаров (пр. 633, 654), (1956 г.)- А.И. Аменицкий (пр. 654), (1958 г.)- Б.А Леонтьев (пр. 665), (-1958-66 г.-&gt; С.Н. Якимовский (пр. 613С, 613Ш, 640Ц), А. Постнов, (-1958-67 г.-)- В.П. Воробьев (пр. 670, 670М), А. Г. Лещев (пр. 670М), (1971 г.)- Н.И. Кваша (пр. 945), (-1961-80-е)- Е.В. Крылов (пр. 690,1855).</w:t>
      </w:r>
    </w:p>
    <w:p w14:paraId="5E4D285B" w14:textId="77777777" w:rsidR="00B67D7C" w:rsidRPr="00DE096C" w:rsidRDefault="00B67D7C" w:rsidP="00D45A46">
      <w:pPr>
        <w:jc w:val="both"/>
        <w:rPr>
          <w:bCs/>
          <w:color w:val="002060"/>
          <w:sz w:val="16"/>
          <w:szCs w:val="16"/>
        </w:rPr>
      </w:pPr>
      <w:r w:rsidRPr="00DE096C">
        <w:rPr>
          <w:bCs/>
          <w:color w:val="002060"/>
          <w:sz w:val="16"/>
          <w:szCs w:val="16"/>
        </w:rPr>
        <w:t>Гл. специалист (2005 г.)- А. Постнов.</w:t>
      </w:r>
    </w:p>
    <w:p w14:paraId="5112063F" w14:textId="77777777" w:rsidR="00B67D7C" w:rsidRPr="00DE096C" w:rsidRDefault="00B67D7C" w:rsidP="00D45A46">
      <w:pPr>
        <w:jc w:val="both"/>
        <w:rPr>
          <w:bCs/>
          <w:color w:val="002060"/>
          <w:sz w:val="16"/>
          <w:szCs w:val="16"/>
        </w:rPr>
      </w:pPr>
      <w:r w:rsidRPr="00DE096C">
        <w:rPr>
          <w:bCs/>
          <w:color w:val="002060"/>
          <w:sz w:val="16"/>
          <w:szCs w:val="16"/>
        </w:rPr>
        <w:t>Создано: ПЛ: пр. 613В с увеличенной автономностью (1962), пр. П613 (совместно с ЦКБ-18), спасательная пр. 613С (1958), с повышенным давлением воздуха в системах пр. 613Е (1959), с серебряно-цинковыми аккумуляторами пр. 613М (1950-е), с новой ГАС пр. 613Ш (1960-е), с ПКР «Аметист» пр. 613А и пр. 613АД (1964); средняя торпедная пр. 633 (1954-56, пнв 18.01.1960 г.); РЛ дозора пр. 640 на базе пр. 613 (1955, совместно с ЦКБ-18), пр. 640Ц с системой космической связи (1966); средняя торпедная пр. 654 (1956-58, не реализован); пр. 665 с КР П-5 (1958-); спасательная пр. 666 С-63 (1950-е); лодка-мишень пр. 690 (1961-); спасательная с двумя аппаратами пр. 1837 пр. 940 «Ленок» (1968-75); многоцелевая с комбинированной энергетической установкой, включающей электрохимические генераторы пр. 947 (1971); К-58 пр. 651Э «Нерка» с вспомогательной атомной установкой ВАУ-6 (1980-е); С-273 пр. 613Э «Катран» с воздухонезависимой ЭУ (1989); мишень «Кефаль»; АПЛ: с КР «Аметист» пр. 670 «Скат» (1958-60-е), с КР «Малахит» пр. 670М (1967-72); многоцелевая титановая пр. 945 «Барракуда» (1971-), пр. 945А (1970-е); глубоководные спасательные аппараты: пр. 1837 (1970-е), пр. 1837К, пр. 1839, пр. 1839К (1980-е), самоходные пр. 1855 «Приз», пр. 18270 «Бестер»; транспортный плавучий док пр. 768 (1958), док-понтон пр. 1755 (1960-е); плавучее ремонтное средство для ликвидации аварий на газотрубопроводах; погружающееся судно подводно-технических работ; рыбопромысловые суда пр. 21280, пр. 21640, пр. 91014; блочная ГТ электростанция БГТЭС-9,5; лечебно-реанимационные барокомплексы «Барокс», «Медея» на базе КамАЗ (11982).</w:t>
      </w:r>
    </w:p>
    <w:p w14:paraId="3B867AE6" w14:textId="77777777" w:rsidR="00B67D7C" w:rsidRPr="00DE096C" w:rsidRDefault="00B67D7C" w:rsidP="00D45A46">
      <w:pPr>
        <w:jc w:val="both"/>
        <w:rPr>
          <w:bCs/>
          <w:color w:val="002060"/>
          <w:sz w:val="16"/>
          <w:szCs w:val="16"/>
        </w:rPr>
      </w:pPr>
    </w:p>
    <w:p w14:paraId="4FF3037D" w14:textId="77777777" w:rsidR="00AE694E" w:rsidRPr="00DE096C" w:rsidRDefault="00AE694E" w:rsidP="00D45A46">
      <w:pPr>
        <w:jc w:val="both"/>
        <w:rPr>
          <w:bCs/>
          <w:color w:val="002060"/>
          <w:sz w:val="16"/>
          <w:szCs w:val="16"/>
        </w:rPr>
      </w:pPr>
      <w:r w:rsidRPr="00DE096C">
        <w:rPr>
          <w:bCs/>
          <w:color w:val="002060"/>
          <w:sz w:val="16"/>
          <w:szCs w:val="16"/>
        </w:rPr>
        <w:t>К 1914 г. мощность Ижевского завода по составу оборудования оценивалась следующим образом:</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264"/>
        <w:gridCol w:w="2040"/>
      </w:tblGrid>
      <w:tr w:rsidR="00AE694E" w:rsidRPr="00DE096C" w14:paraId="10F9ED34" w14:textId="77777777" w:rsidTr="00D34AC1">
        <w:tc>
          <w:tcPr>
            <w:tcW w:w="5304" w:type="dxa"/>
            <w:gridSpan w:val="2"/>
          </w:tcPr>
          <w:p w14:paraId="38D9A774" w14:textId="77777777" w:rsidR="00AE694E" w:rsidRPr="00DE096C" w:rsidRDefault="00AE694E" w:rsidP="00D45A46">
            <w:pPr>
              <w:jc w:val="both"/>
              <w:rPr>
                <w:bCs/>
                <w:color w:val="002060"/>
                <w:sz w:val="16"/>
                <w:szCs w:val="16"/>
              </w:rPr>
            </w:pPr>
            <w:r w:rsidRPr="00DE096C">
              <w:rPr>
                <w:bCs/>
                <w:color w:val="002060"/>
                <w:sz w:val="16"/>
                <w:szCs w:val="16"/>
              </w:rPr>
              <w:t>По оружейному заводу:</w:t>
            </w:r>
          </w:p>
        </w:tc>
      </w:tr>
      <w:tr w:rsidR="00AE694E" w:rsidRPr="00DE096C" w14:paraId="1E21D756" w14:textId="77777777" w:rsidTr="00D34AC1">
        <w:tc>
          <w:tcPr>
            <w:tcW w:w="3264" w:type="dxa"/>
          </w:tcPr>
          <w:p w14:paraId="5F0D921F" w14:textId="77777777" w:rsidR="00AE694E" w:rsidRPr="00DE096C" w:rsidRDefault="00AE694E" w:rsidP="00D45A46">
            <w:pPr>
              <w:jc w:val="both"/>
              <w:rPr>
                <w:bCs/>
                <w:color w:val="002060"/>
                <w:sz w:val="16"/>
                <w:szCs w:val="16"/>
              </w:rPr>
            </w:pPr>
            <w:r w:rsidRPr="00DE096C">
              <w:rPr>
                <w:bCs/>
                <w:color w:val="002060"/>
                <w:sz w:val="16"/>
                <w:szCs w:val="16"/>
              </w:rPr>
              <w:t xml:space="preserve">Винтовок </w:t>
            </w:r>
          </w:p>
        </w:tc>
        <w:tc>
          <w:tcPr>
            <w:tcW w:w="2040" w:type="dxa"/>
          </w:tcPr>
          <w:p w14:paraId="26AB8BE0" w14:textId="77777777" w:rsidR="00AE694E" w:rsidRPr="00DE096C" w:rsidRDefault="00AE694E" w:rsidP="00D45A46">
            <w:pPr>
              <w:jc w:val="both"/>
              <w:rPr>
                <w:bCs/>
                <w:color w:val="002060"/>
                <w:sz w:val="16"/>
                <w:szCs w:val="16"/>
              </w:rPr>
            </w:pPr>
            <w:r w:rsidRPr="00DE096C">
              <w:rPr>
                <w:bCs/>
                <w:color w:val="002060"/>
                <w:sz w:val="16"/>
                <w:szCs w:val="16"/>
              </w:rPr>
              <w:t> 120.000 штук в год.</w:t>
            </w:r>
          </w:p>
        </w:tc>
      </w:tr>
      <w:tr w:rsidR="00AE694E" w:rsidRPr="00DE096C" w14:paraId="4D18D09C" w14:textId="77777777" w:rsidTr="00D34AC1">
        <w:tc>
          <w:tcPr>
            <w:tcW w:w="5304" w:type="dxa"/>
            <w:gridSpan w:val="2"/>
          </w:tcPr>
          <w:p w14:paraId="134EB23F" w14:textId="77777777" w:rsidR="00AE694E" w:rsidRPr="00DE096C" w:rsidRDefault="00AE694E" w:rsidP="00D45A46">
            <w:pPr>
              <w:jc w:val="both"/>
              <w:rPr>
                <w:bCs/>
                <w:color w:val="002060"/>
                <w:sz w:val="16"/>
                <w:szCs w:val="16"/>
              </w:rPr>
            </w:pPr>
            <w:r w:rsidRPr="00DE096C">
              <w:rPr>
                <w:bCs/>
                <w:color w:val="002060"/>
                <w:sz w:val="16"/>
                <w:szCs w:val="16"/>
              </w:rPr>
              <w:t>По сталеделательному заводу:</w:t>
            </w:r>
          </w:p>
        </w:tc>
      </w:tr>
      <w:tr w:rsidR="00AE694E" w:rsidRPr="00DE096C" w14:paraId="0E7A5181" w14:textId="77777777" w:rsidTr="00D34AC1">
        <w:tc>
          <w:tcPr>
            <w:tcW w:w="3264" w:type="dxa"/>
          </w:tcPr>
          <w:p w14:paraId="4C07D394" w14:textId="77777777" w:rsidR="00AE694E" w:rsidRPr="00DE096C" w:rsidRDefault="00AE694E" w:rsidP="00D45A46">
            <w:pPr>
              <w:jc w:val="both"/>
              <w:rPr>
                <w:bCs/>
                <w:color w:val="002060"/>
                <w:sz w:val="16"/>
                <w:szCs w:val="16"/>
              </w:rPr>
            </w:pPr>
            <w:r w:rsidRPr="00DE096C">
              <w:rPr>
                <w:bCs/>
                <w:color w:val="002060"/>
                <w:sz w:val="16"/>
                <w:szCs w:val="16"/>
              </w:rPr>
              <w:t xml:space="preserve">Стволов черновых просверленных </w:t>
            </w:r>
          </w:p>
        </w:tc>
        <w:tc>
          <w:tcPr>
            <w:tcW w:w="2040" w:type="dxa"/>
          </w:tcPr>
          <w:p w14:paraId="634CA59D" w14:textId="77777777" w:rsidR="00AE694E" w:rsidRPr="00DE096C" w:rsidRDefault="00AE694E" w:rsidP="00D45A46">
            <w:pPr>
              <w:jc w:val="both"/>
              <w:rPr>
                <w:bCs/>
                <w:color w:val="002060"/>
                <w:sz w:val="16"/>
                <w:szCs w:val="16"/>
              </w:rPr>
            </w:pPr>
            <w:r w:rsidRPr="00DE096C">
              <w:rPr>
                <w:bCs/>
                <w:color w:val="002060"/>
                <w:sz w:val="16"/>
                <w:szCs w:val="16"/>
              </w:rPr>
              <w:t> 133.000 штук в год</w:t>
            </w:r>
          </w:p>
        </w:tc>
      </w:tr>
      <w:tr w:rsidR="00AE694E" w:rsidRPr="00DE096C" w14:paraId="19AA43F7" w14:textId="77777777" w:rsidTr="00D34AC1">
        <w:tc>
          <w:tcPr>
            <w:tcW w:w="3264" w:type="dxa"/>
          </w:tcPr>
          <w:p w14:paraId="059570B3" w14:textId="77777777" w:rsidR="00AE694E" w:rsidRPr="00DE096C" w:rsidRDefault="00AE694E" w:rsidP="00D45A46">
            <w:pPr>
              <w:jc w:val="both"/>
              <w:rPr>
                <w:bCs/>
                <w:color w:val="002060"/>
                <w:sz w:val="16"/>
                <w:szCs w:val="16"/>
              </w:rPr>
            </w:pPr>
            <w:r w:rsidRPr="00DE096C">
              <w:rPr>
                <w:bCs/>
                <w:color w:val="002060"/>
                <w:sz w:val="16"/>
                <w:szCs w:val="16"/>
              </w:rPr>
              <w:t xml:space="preserve">Коробок черновых </w:t>
            </w:r>
          </w:p>
        </w:tc>
        <w:tc>
          <w:tcPr>
            <w:tcW w:w="2040" w:type="dxa"/>
          </w:tcPr>
          <w:p w14:paraId="5111244B" w14:textId="77777777" w:rsidR="00AE694E" w:rsidRPr="00DE096C" w:rsidRDefault="00AE694E" w:rsidP="00D45A46">
            <w:pPr>
              <w:jc w:val="both"/>
              <w:rPr>
                <w:bCs/>
                <w:color w:val="002060"/>
                <w:sz w:val="16"/>
                <w:szCs w:val="16"/>
              </w:rPr>
            </w:pPr>
            <w:r w:rsidRPr="00DE096C">
              <w:rPr>
                <w:bCs/>
                <w:color w:val="002060"/>
                <w:sz w:val="16"/>
                <w:szCs w:val="16"/>
              </w:rPr>
              <w:t> 133.000 штук в год</w:t>
            </w:r>
          </w:p>
        </w:tc>
      </w:tr>
      <w:tr w:rsidR="00AE694E" w:rsidRPr="00DE096C" w14:paraId="1A43465A" w14:textId="77777777" w:rsidTr="00D34AC1">
        <w:tc>
          <w:tcPr>
            <w:tcW w:w="3264" w:type="dxa"/>
          </w:tcPr>
          <w:p w14:paraId="33FE11BB" w14:textId="77777777" w:rsidR="00AE694E" w:rsidRPr="00DE096C" w:rsidRDefault="00AE694E" w:rsidP="00D45A46">
            <w:pPr>
              <w:jc w:val="both"/>
              <w:rPr>
                <w:bCs/>
                <w:color w:val="002060"/>
                <w:sz w:val="16"/>
                <w:szCs w:val="16"/>
              </w:rPr>
            </w:pPr>
            <w:r w:rsidRPr="00DE096C">
              <w:rPr>
                <w:bCs/>
                <w:color w:val="002060"/>
                <w:sz w:val="16"/>
                <w:szCs w:val="16"/>
              </w:rPr>
              <w:t xml:space="preserve">Ленточной стали </w:t>
            </w:r>
          </w:p>
        </w:tc>
        <w:tc>
          <w:tcPr>
            <w:tcW w:w="2040" w:type="dxa"/>
          </w:tcPr>
          <w:p w14:paraId="34FAF2D9" w14:textId="77777777" w:rsidR="00AE694E" w:rsidRPr="00DE096C" w:rsidRDefault="00AE694E" w:rsidP="00D45A46">
            <w:pPr>
              <w:jc w:val="both"/>
              <w:rPr>
                <w:bCs/>
                <w:color w:val="002060"/>
                <w:sz w:val="16"/>
                <w:szCs w:val="16"/>
              </w:rPr>
            </w:pPr>
            <w:r w:rsidRPr="00DE096C">
              <w:rPr>
                <w:bCs/>
                <w:color w:val="002060"/>
                <w:sz w:val="16"/>
                <w:szCs w:val="16"/>
              </w:rPr>
              <w:t> 10.000 пудов</w:t>
            </w:r>
          </w:p>
        </w:tc>
      </w:tr>
      <w:tr w:rsidR="00AE694E" w:rsidRPr="00DE096C" w14:paraId="79CA50AC" w14:textId="77777777" w:rsidTr="00D34AC1">
        <w:tc>
          <w:tcPr>
            <w:tcW w:w="3264" w:type="dxa"/>
          </w:tcPr>
          <w:p w14:paraId="21EEA42B" w14:textId="77777777" w:rsidR="00AE694E" w:rsidRPr="00DE096C" w:rsidRDefault="00AE694E" w:rsidP="00D45A46">
            <w:pPr>
              <w:jc w:val="both"/>
              <w:rPr>
                <w:bCs/>
                <w:color w:val="002060"/>
                <w:sz w:val="16"/>
                <w:szCs w:val="16"/>
              </w:rPr>
            </w:pPr>
            <w:r w:rsidRPr="00DE096C">
              <w:rPr>
                <w:bCs/>
                <w:color w:val="002060"/>
                <w:sz w:val="16"/>
                <w:szCs w:val="16"/>
              </w:rPr>
              <w:t xml:space="preserve">Стали сортовой </w:t>
            </w:r>
          </w:p>
        </w:tc>
        <w:tc>
          <w:tcPr>
            <w:tcW w:w="2040" w:type="dxa"/>
          </w:tcPr>
          <w:p w14:paraId="5B1CC54F" w14:textId="77777777" w:rsidR="00AE694E" w:rsidRPr="00DE096C" w:rsidRDefault="00AE694E" w:rsidP="00D45A46">
            <w:pPr>
              <w:jc w:val="both"/>
              <w:rPr>
                <w:bCs/>
                <w:color w:val="002060"/>
                <w:sz w:val="16"/>
                <w:szCs w:val="16"/>
              </w:rPr>
            </w:pPr>
            <w:r w:rsidRPr="00DE096C">
              <w:rPr>
                <w:bCs/>
                <w:color w:val="002060"/>
                <w:sz w:val="16"/>
                <w:szCs w:val="16"/>
              </w:rPr>
              <w:t> 130.000 пудов</w:t>
            </w:r>
          </w:p>
        </w:tc>
      </w:tr>
      <w:tr w:rsidR="00AE694E" w:rsidRPr="00DE096C" w14:paraId="51499C41" w14:textId="77777777" w:rsidTr="00D34AC1">
        <w:tc>
          <w:tcPr>
            <w:tcW w:w="3264" w:type="dxa"/>
          </w:tcPr>
          <w:p w14:paraId="6185C2AE" w14:textId="77777777" w:rsidR="00AE694E" w:rsidRPr="00DE096C" w:rsidRDefault="00AE694E" w:rsidP="00D45A46">
            <w:pPr>
              <w:jc w:val="both"/>
              <w:rPr>
                <w:bCs/>
                <w:color w:val="002060"/>
                <w:sz w:val="16"/>
                <w:szCs w:val="16"/>
              </w:rPr>
            </w:pPr>
            <w:r w:rsidRPr="00DE096C">
              <w:rPr>
                <w:bCs/>
                <w:color w:val="002060"/>
                <w:sz w:val="16"/>
                <w:szCs w:val="16"/>
              </w:rPr>
              <w:t xml:space="preserve">Проволоки стальной </w:t>
            </w:r>
          </w:p>
        </w:tc>
        <w:tc>
          <w:tcPr>
            <w:tcW w:w="2040" w:type="dxa"/>
          </w:tcPr>
          <w:p w14:paraId="638A7223" w14:textId="77777777" w:rsidR="00AE694E" w:rsidRPr="00DE096C" w:rsidRDefault="00AE694E" w:rsidP="00D45A46">
            <w:pPr>
              <w:jc w:val="both"/>
              <w:rPr>
                <w:bCs/>
                <w:color w:val="002060"/>
                <w:sz w:val="16"/>
                <w:szCs w:val="16"/>
              </w:rPr>
            </w:pPr>
            <w:r w:rsidRPr="00DE096C">
              <w:rPr>
                <w:bCs/>
                <w:color w:val="002060"/>
                <w:sz w:val="16"/>
                <w:szCs w:val="16"/>
              </w:rPr>
              <w:t> 6.600 пудов</w:t>
            </w:r>
          </w:p>
        </w:tc>
      </w:tr>
    </w:tbl>
    <w:p w14:paraId="0FFC46E7" w14:textId="77777777" w:rsidR="00AE694E" w:rsidRPr="00DE096C" w:rsidRDefault="00AE694E" w:rsidP="00D45A46">
      <w:pPr>
        <w:jc w:val="both"/>
        <w:rPr>
          <w:bCs/>
          <w:color w:val="002060"/>
          <w:sz w:val="16"/>
          <w:szCs w:val="16"/>
        </w:rPr>
      </w:pPr>
      <w:r w:rsidRPr="00DE096C">
        <w:rPr>
          <w:bCs/>
          <w:color w:val="002060"/>
          <w:sz w:val="16"/>
          <w:szCs w:val="16"/>
        </w:rPr>
        <w:t>Эти цифры даны из расчета односменной работы.</w:t>
      </w:r>
    </w:p>
    <w:p w14:paraId="5C38C4DD" w14:textId="77777777" w:rsidR="00AE694E" w:rsidRPr="00DE096C" w:rsidRDefault="00AE694E" w:rsidP="00D45A46">
      <w:pPr>
        <w:jc w:val="both"/>
        <w:rPr>
          <w:bCs/>
          <w:color w:val="002060"/>
          <w:sz w:val="16"/>
          <w:szCs w:val="16"/>
        </w:rPr>
      </w:pPr>
      <w:r w:rsidRPr="00DE096C">
        <w:rPr>
          <w:bCs/>
          <w:color w:val="002060"/>
          <w:sz w:val="16"/>
          <w:szCs w:val="16"/>
        </w:rPr>
        <w:t>Еще в 1907 г. Главным артиллерийским управлением был поднят вопрос об усилении мощности сталелитейного Ижевского завода, причем намечено было поднять производительность по черновым стволам и коробкам до 600 000 в год, поставить заново производство 3-дм гранат на 100.000 штук в год. Для этого требовалось произвести ряд крупных строительных и механических работ. Военный совет в 1908 г. принципиально разрешил этот вопрос в утвердительном смысле. Но отпуск кредита на это расширение задержался, и только перед самой войной, в 1913 г., начаты были некоторые работы по расширению, и главная часть их производилась уже во время самой войны в 1914 и 1915 годах.</w:t>
      </w:r>
    </w:p>
    <w:p w14:paraId="08E52DED" w14:textId="77777777" w:rsidR="00AE694E" w:rsidRPr="00DE096C" w:rsidRDefault="00AE694E" w:rsidP="00D45A46">
      <w:pPr>
        <w:jc w:val="both"/>
        <w:rPr>
          <w:bCs/>
          <w:color w:val="002060"/>
          <w:sz w:val="16"/>
          <w:szCs w:val="16"/>
        </w:rPr>
      </w:pPr>
      <w:r w:rsidRPr="00DE096C">
        <w:rPr>
          <w:bCs/>
          <w:color w:val="002060"/>
          <w:sz w:val="16"/>
          <w:szCs w:val="16"/>
        </w:rPr>
        <w:t xml:space="preserve">Техническое состояние оборудования оружейного завода к 1914 г. оценивалось в 30 % износа. </w:t>
      </w:r>
    </w:p>
    <w:p w14:paraId="5B1F9631" w14:textId="77777777" w:rsidR="00AE694E" w:rsidRPr="00DE096C" w:rsidRDefault="00AE694E" w:rsidP="00D45A46">
      <w:pPr>
        <w:jc w:val="both"/>
        <w:rPr>
          <w:bCs/>
          <w:color w:val="002060"/>
          <w:sz w:val="16"/>
          <w:szCs w:val="16"/>
        </w:rPr>
      </w:pPr>
      <w:r w:rsidRPr="00DE096C">
        <w:rPr>
          <w:bCs/>
          <w:color w:val="002060"/>
          <w:sz w:val="16"/>
          <w:szCs w:val="16"/>
        </w:rPr>
        <w:t>Большое число станков, 30-40 %, были устарелых типов.</w:t>
      </w:r>
    </w:p>
    <w:p w14:paraId="65D1BF5F" w14:textId="77777777" w:rsidR="00AE694E" w:rsidRPr="00DE096C" w:rsidRDefault="00AE694E" w:rsidP="00D45A46">
      <w:pPr>
        <w:jc w:val="both"/>
        <w:rPr>
          <w:bCs/>
          <w:color w:val="002060"/>
          <w:sz w:val="16"/>
          <w:szCs w:val="16"/>
        </w:rPr>
      </w:pPr>
      <w:r w:rsidRPr="00DE096C">
        <w:rPr>
          <w:bCs/>
          <w:color w:val="002060"/>
          <w:sz w:val="16"/>
          <w:szCs w:val="16"/>
        </w:rPr>
        <w:t>Так, некоторые механизмы прокатной были установлены еще в 70-х годах. Некоторые производственные станки также имели возраст более 30 лет. Благодаря износу печи Мартена фактически имели мощность, равную около 70 % от номинальной (11329).</w:t>
      </w:r>
    </w:p>
    <w:p w14:paraId="3AA79D18" w14:textId="77777777" w:rsidR="00AE694E" w:rsidRPr="00DE096C" w:rsidRDefault="00AE694E" w:rsidP="00D45A46">
      <w:pPr>
        <w:jc w:val="both"/>
        <w:rPr>
          <w:bCs/>
          <w:color w:val="002060"/>
          <w:sz w:val="16"/>
          <w:szCs w:val="16"/>
        </w:rPr>
      </w:pPr>
    </w:p>
    <w:p w14:paraId="1E6D0E9B" w14:textId="69C298EC" w:rsidR="00E65727" w:rsidRPr="00DE096C" w:rsidRDefault="00E65727" w:rsidP="00D45A46">
      <w:pPr>
        <w:jc w:val="both"/>
        <w:rPr>
          <w:bCs/>
          <w:color w:val="002060"/>
          <w:sz w:val="16"/>
          <w:szCs w:val="16"/>
        </w:rPr>
      </w:pPr>
      <w:r w:rsidRPr="00DE096C">
        <w:rPr>
          <w:bCs/>
          <w:color w:val="002060"/>
          <w:sz w:val="16"/>
          <w:szCs w:val="16"/>
        </w:rPr>
        <w:t xml:space="preserve">К 1914 г. к 200-летию Арсенала, его оборудование представлялось в следующем виде: различных двигателей — 10 шт. общей мощностью в 1400 л.с., моторов — 120 шт., печей, вагранок и прочих устройств — 106, станков различных — 500, прессов, молотов, ножниц и пр. — 50. Общая годовая производительность к этому времени достигала 4 млн рублей. </w:t>
      </w:r>
    </w:p>
    <w:p w14:paraId="58D61C0F" w14:textId="77777777" w:rsidR="00E65727" w:rsidRPr="00DE096C" w:rsidRDefault="00E65727" w:rsidP="00D45A46">
      <w:pPr>
        <w:jc w:val="both"/>
        <w:rPr>
          <w:bCs/>
          <w:color w:val="002060"/>
          <w:sz w:val="16"/>
          <w:szCs w:val="16"/>
        </w:rPr>
      </w:pPr>
      <w:r w:rsidRPr="00DE096C">
        <w:rPr>
          <w:bCs/>
          <w:color w:val="002060"/>
          <w:sz w:val="16"/>
          <w:szCs w:val="16"/>
        </w:rPr>
        <w:t xml:space="preserve">Привести данные о производительности Арсенала за период с 1900 по 1914 г. представляется затруднительным, так как архив Арсенала при эвакуации был растерян. </w:t>
      </w:r>
    </w:p>
    <w:p w14:paraId="28FF5DCB" w14:textId="77777777" w:rsidR="00E65727" w:rsidRPr="00DE096C" w:rsidRDefault="00E65727" w:rsidP="00D45A46">
      <w:pPr>
        <w:jc w:val="both"/>
        <w:rPr>
          <w:bCs/>
          <w:color w:val="002060"/>
          <w:sz w:val="16"/>
          <w:szCs w:val="16"/>
        </w:rPr>
      </w:pPr>
      <w:r w:rsidRPr="00DE096C">
        <w:rPr>
          <w:bCs/>
          <w:color w:val="002060"/>
          <w:sz w:val="16"/>
          <w:szCs w:val="16"/>
        </w:rPr>
        <w:t xml:space="preserve">Что касается войны 1914—1917 гг., то с наступлением ее Арсенал усиленно развернул свои производства, особенно с 1915 года. </w:t>
      </w:r>
    </w:p>
    <w:p w14:paraId="67BDEF43" w14:textId="77777777" w:rsidR="00E65727" w:rsidRPr="00DE096C" w:rsidRDefault="00E65727" w:rsidP="00D45A46">
      <w:pPr>
        <w:jc w:val="both"/>
        <w:rPr>
          <w:bCs/>
          <w:color w:val="002060"/>
          <w:sz w:val="16"/>
          <w:szCs w:val="16"/>
        </w:rPr>
      </w:pPr>
      <w:r w:rsidRPr="00DE096C">
        <w:rPr>
          <w:bCs/>
          <w:color w:val="002060"/>
          <w:sz w:val="16"/>
          <w:szCs w:val="16"/>
        </w:rPr>
        <w:t xml:space="preserve">В течение войны, кроме своей прямой работы, Арсенал был привлечен к изготовлению некоторых военных изделий, не имеющих прямого отношения к арсенальному производству — корпусов ручных гранат, дистанционных трубок для ручных гранат и мн. др. </w:t>
      </w:r>
    </w:p>
    <w:p w14:paraId="7C90D838" w14:textId="77777777" w:rsidR="00E65727" w:rsidRPr="00DE096C" w:rsidRDefault="00E65727" w:rsidP="00D45A46">
      <w:pPr>
        <w:jc w:val="both"/>
        <w:rPr>
          <w:bCs/>
          <w:color w:val="002060"/>
          <w:sz w:val="16"/>
          <w:szCs w:val="16"/>
        </w:rPr>
      </w:pPr>
      <w:r w:rsidRPr="00DE096C">
        <w:rPr>
          <w:bCs/>
          <w:color w:val="002060"/>
          <w:sz w:val="16"/>
          <w:szCs w:val="16"/>
        </w:rPr>
        <w:t xml:space="preserve">Производство за 1914—1917 гг. по основным изделиям выражается следующими цифрами: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040"/>
        <w:gridCol w:w="588"/>
        <w:gridCol w:w="588"/>
        <w:gridCol w:w="681"/>
        <w:gridCol w:w="681"/>
        <w:gridCol w:w="588"/>
        <w:gridCol w:w="588"/>
        <w:gridCol w:w="588"/>
        <w:gridCol w:w="600"/>
      </w:tblGrid>
      <w:tr w:rsidR="00E65727" w:rsidRPr="00DE096C" w14:paraId="3246C8E0" w14:textId="77777777" w:rsidTr="00D34AC1">
        <w:tc>
          <w:tcPr>
            <w:tcW w:w="2040" w:type="dxa"/>
          </w:tcPr>
          <w:p w14:paraId="5BC3D859" w14:textId="77777777" w:rsidR="00E65727" w:rsidRPr="00DE096C" w:rsidRDefault="00E65727" w:rsidP="00D45A46">
            <w:pPr>
              <w:jc w:val="both"/>
              <w:rPr>
                <w:bCs/>
                <w:color w:val="002060"/>
                <w:sz w:val="16"/>
                <w:szCs w:val="16"/>
              </w:rPr>
            </w:pPr>
            <w:r w:rsidRPr="00DE096C">
              <w:rPr>
                <w:bCs/>
                <w:color w:val="002060"/>
                <w:sz w:val="16"/>
                <w:szCs w:val="16"/>
              </w:rPr>
              <w:t> </w:t>
            </w:r>
          </w:p>
        </w:tc>
        <w:tc>
          <w:tcPr>
            <w:tcW w:w="2538" w:type="dxa"/>
            <w:gridSpan w:val="4"/>
          </w:tcPr>
          <w:p w14:paraId="034FBFDA" w14:textId="77777777" w:rsidR="00E65727" w:rsidRPr="00DE096C" w:rsidRDefault="00E65727" w:rsidP="00D45A46">
            <w:pPr>
              <w:jc w:val="both"/>
              <w:rPr>
                <w:bCs/>
                <w:color w:val="002060"/>
                <w:sz w:val="16"/>
                <w:szCs w:val="16"/>
              </w:rPr>
            </w:pPr>
            <w:r w:rsidRPr="00DE096C">
              <w:rPr>
                <w:bCs/>
                <w:color w:val="002060"/>
                <w:sz w:val="16"/>
                <w:szCs w:val="16"/>
              </w:rPr>
              <w:t>Изготовлено новых</w:t>
            </w:r>
          </w:p>
        </w:tc>
        <w:tc>
          <w:tcPr>
            <w:tcW w:w="2364" w:type="dxa"/>
            <w:gridSpan w:val="4"/>
          </w:tcPr>
          <w:p w14:paraId="257FC8CB" w14:textId="77777777" w:rsidR="00E65727" w:rsidRPr="00DE096C" w:rsidRDefault="00E65727" w:rsidP="00D45A46">
            <w:pPr>
              <w:jc w:val="both"/>
              <w:rPr>
                <w:bCs/>
                <w:color w:val="002060"/>
                <w:sz w:val="16"/>
                <w:szCs w:val="16"/>
              </w:rPr>
            </w:pPr>
            <w:r w:rsidRPr="00DE096C">
              <w:rPr>
                <w:bCs/>
                <w:color w:val="002060"/>
                <w:sz w:val="16"/>
                <w:szCs w:val="16"/>
              </w:rPr>
              <w:t>Отремонтировано</w:t>
            </w:r>
          </w:p>
        </w:tc>
      </w:tr>
      <w:tr w:rsidR="00E65727" w:rsidRPr="00DE096C" w14:paraId="193698B6" w14:textId="77777777" w:rsidTr="00D34AC1">
        <w:tc>
          <w:tcPr>
            <w:tcW w:w="2040" w:type="dxa"/>
          </w:tcPr>
          <w:p w14:paraId="6094FB89" w14:textId="77777777" w:rsidR="00E65727" w:rsidRPr="00DE096C" w:rsidRDefault="00E65727" w:rsidP="00D45A46">
            <w:pPr>
              <w:jc w:val="both"/>
              <w:rPr>
                <w:bCs/>
                <w:color w:val="002060"/>
                <w:sz w:val="16"/>
                <w:szCs w:val="16"/>
              </w:rPr>
            </w:pPr>
            <w:r w:rsidRPr="00DE096C">
              <w:rPr>
                <w:bCs/>
                <w:color w:val="002060"/>
                <w:sz w:val="16"/>
                <w:szCs w:val="16"/>
              </w:rPr>
              <w:t> </w:t>
            </w:r>
          </w:p>
        </w:tc>
        <w:tc>
          <w:tcPr>
            <w:tcW w:w="588" w:type="dxa"/>
          </w:tcPr>
          <w:p w14:paraId="4E829F85" w14:textId="77777777" w:rsidR="00E65727" w:rsidRPr="00DE096C" w:rsidRDefault="00E65727" w:rsidP="00D45A46">
            <w:pPr>
              <w:jc w:val="both"/>
              <w:rPr>
                <w:bCs/>
                <w:color w:val="002060"/>
                <w:sz w:val="16"/>
                <w:szCs w:val="16"/>
              </w:rPr>
            </w:pPr>
            <w:r w:rsidRPr="00DE096C">
              <w:rPr>
                <w:bCs/>
                <w:color w:val="002060"/>
                <w:sz w:val="16"/>
                <w:szCs w:val="16"/>
              </w:rPr>
              <w:t>1914</w:t>
            </w:r>
          </w:p>
        </w:tc>
        <w:tc>
          <w:tcPr>
            <w:tcW w:w="588" w:type="dxa"/>
          </w:tcPr>
          <w:p w14:paraId="042E889D" w14:textId="77777777" w:rsidR="00E65727" w:rsidRPr="00DE096C" w:rsidRDefault="00E65727" w:rsidP="00D45A46">
            <w:pPr>
              <w:jc w:val="both"/>
              <w:rPr>
                <w:bCs/>
                <w:color w:val="002060"/>
                <w:sz w:val="16"/>
                <w:szCs w:val="16"/>
              </w:rPr>
            </w:pPr>
            <w:r w:rsidRPr="00DE096C">
              <w:rPr>
                <w:bCs/>
                <w:color w:val="002060"/>
                <w:sz w:val="16"/>
                <w:szCs w:val="16"/>
              </w:rPr>
              <w:t>1915</w:t>
            </w:r>
          </w:p>
        </w:tc>
        <w:tc>
          <w:tcPr>
            <w:tcW w:w="681" w:type="dxa"/>
          </w:tcPr>
          <w:p w14:paraId="083B939B" w14:textId="77777777" w:rsidR="00E65727" w:rsidRPr="00DE096C" w:rsidRDefault="00E65727" w:rsidP="00D45A46">
            <w:pPr>
              <w:jc w:val="both"/>
              <w:rPr>
                <w:bCs/>
                <w:color w:val="002060"/>
                <w:sz w:val="16"/>
                <w:szCs w:val="16"/>
              </w:rPr>
            </w:pPr>
            <w:r w:rsidRPr="00DE096C">
              <w:rPr>
                <w:bCs/>
                <w:color w:val="002060"/>
                <w:sz w:val="16"/>
                <w:szCs w:val="16"/>
              </w:rPr>
              <w:t>1916</w:t>
            </w:r>
          </w:p>
        </w:tc>
        <w:tc>
          <w:tcPr>
            <w:tcW w:w="681" w:type="dxa"/>
          </w:tcPr>
          <w:p w14:paraId="709A46FF" w14:textId="77777777" w:rsidR="00E65727" w:rsidRPr="00DE096C" w:rsidRDefault="00E65727" w:rsidP="00D45A46">
            <w:pPr>
              <w:jc w:val="both"/>
              <w:rPr>
                <w:bCs/>
                <w:color w:val="002060"/>
                <w:sz w:val="16"/>
                <w:szCs w:val="16"/>
              </w:rPr>
            </w:pPr>
            <w:r w:rsidRPr="00DE096C">
              <w:rPr>
                <w:bCs/>
                <w:color w:val="002060"/>
                <w:sz w:val="16"/>
                <w:szCs w:val="16"/>
              </w:rPr>
              <w:t>Итого</w:t>
            </w:r>
          </w:p>
        </w:tc>
        <w:tc>
          <w:tcPr>
            <w:tcW w:w="588" w:type="dxa"/>
          </w:tcPr>
          <w:p w14:paraId="69A28C7C" w14:textId="77777777" w:rsidR="00E65727" w:rsidRPr="00DE096C" w:rsidRDefault="00E65727" w:rsidP="00D45A46">
            <w:pPr>
              <w:jc w:val="both"/>
              <w:rPr>
                <w:bCs/>
                <w:color w:val="002060"/>
                <w:sz w:val="16"/>
                <w:szCs w:val="16"/>
              </w:rPr>
            </w:pPr>
            <w:r w:rsidRPr="00DE096C">
              <w:rPr>
                <w:bCs/>
                <w:color w:val="002060"/>
                <w:sz w:val="16"/>
                <w:szCs w:val="16"/>
              </w:rPr>
              <w:t>1914</w:t>
            </w:r>
          </w:p>
        </w:tc>
        <w:tc>
          <w:tcPr>
            <w:tcW w:w="588" w:type="dxa"/>
          </w:tcPr>
          <w:p w14:paraId="1BF467F6" w14:textId="77777777" w:rsidR="00E65727" w:rsidRPr="00DE096C" w:rsidRDefault="00E65727" w:rsidP="00D45A46">
            <w:pPr>
              <w:jc w:val="both"/>
              <w:rPr>
                <w:bCs/>
                <w:color w:val="002060"/>
                <w:sz w:val="16"/>
                <w:szCs w:val="16"/>
              </w:rPr>
            </w:pPr>
            <w:r w:rsidRPr="00DE096C">
              <w:rPr>
                <w:bCs/>
                <w:color w:val="002060"/>
                <w:sz w:val="16"/>
                <w:szCs w:val="16"/>
              </w:rPr>
              <w:t>1915</w:t>
            </w:r>
          </w:p>
        </w:tc>
        <w:tc>
          <w:tcPr>
            <w:tcW w:w="588" w:type="dxa"/>
          </w:tcPr>
          <w:p w14:paraId="0A4505F6" w14:textId="77777777" w:rsidR="00E65727" w:rsidRPr="00DE096C" w:rsidRDefault="00E65727" w:rsidP="00D45A46">
            <w:pPr>
              <w:jc w:val="both"/>
              <w:rPr>
                <w:bCs/>
                <w:color w:val="002060"/>
                <w:sz w:val="16"/>
                <w:szCs w:val="16"/>
              </w:rPr>
            </w:pPr>
            <w:r w:rsidRPr="00DE096C">
              <w:rPr>
                <w:bCs/>
                <w:color w:val="002060"/>
                <w:sz w:val="16"/>
                <w:szCs w:val="16"/>
              </w:rPr>
              <w:t>1916</w:t>
            </w:r>
          </w:p>
        </w:tc>
        <w:tc>
          <w:tcPr>
            <w:tcW w:w="600" w:type="dxa"/>
          </w:tcPr>
          <w:p w14:paraId="15026DAF" w14:textId="77777777" w:rsidR="00E65727" w:rsidRPr="00DE096C" w:rsidRDefault="00E65727" w:rsidP="00D45A46">
            <w:pPr>
              <w:jc w:val="both"/>
              <w:rPr>
                <w:bCs/>
                <w:color w:val="002060"/>
                <w:sz w:val="16"/>
                <w:szCs w:val="16"/>
              </w:rPr>
            </w:pPr>
            <w:r w:rsidRPr="00DE096C">
              <w:rPr>
                <w:bCs/>
                <w:color w:val="002060"/>
                <w:sz w:val="16"/>
                <w:szCs w:val="16"/>
              </w:rPr>
              <w:t>Итого</w:t>
            </w:r>
          </w:p>
        </w:tc>
      </w:tr>
      <w:tr w:rsidR="00E65727" w:rsidRPr="00DE096C" w14:paraId="78E82FB2" w14:textId="77777777" w:rsidTr="00D34AC1">
        <w:tc>
          <w:tcPr>
            <w:tcW w:w="2040" w:type="dxa"/>
          </w:tcPr>
          <w:p w14:paraId="5E8D3231" w14:textId="77777777" w:rsidR="00E65727" w:rsidRPr="00DE096C" w:rsidRDefault="00E65727" w:rsidP="00D45A46">
            <w:pPr>
              <w:jc w:val="both"/>
              <w:rPr>
                <w:bCs/>
                <w:color w:val="002060"/>
                <w:sz w:val="16"/>
                <w:szCs w:val="16"/>
              </w:rPr>
            </w:pPr>
            <w:r w:rsidRPr="00DE096C">
              <w:rPr>
                <w:bCs/>
                <w:color w:val="002060"/>
                <w:sz w:val="16"/>
                <w:szCs w:val="16"/>
              </w:rPr>
              <w:t>Орудия</w:t>
            </w:r>
          </w:p>
        </w:tc>
        <w:tc>
          <w:tcPr>
            <w:tcW w:w="588" w:type="dxa"/>
          </w:tcPr>
          <w:p w14:paraId="69CB64DB" w14:textId="77777777" w:rsidR="00E65727" w:rsidRPr="00DE096C" w:rsidRDefault="00E65727" w:rsidP="00D45A46">
            <w:pPr>
              <w:jc w:val="both"/>
              <w:rPr>
                <w:bCs/>
                <w:color w:val="002060"/>
                <w:sz w:val="16"/>
                <w:szCs w:val="16"/>
              </w:rPr>
            </w:pPr>
            <w:r w:rsidRPr="00DE096C">
              <w:rPr>
                <w:bCs/>
                <w:color w:val="002060"/>
                <w:sz w:val="16"/>
                <w:szCs w:val="16"/>
              </w:rPr>
              <w:t>—</w:t>
            </w:r>
          </w:p>
        </w:tc>
        <w:tc>
          <w:tcPr>
            <w:tcW w:w="588" w:type="dxa"/>
          </w:tcPr>
          <w:p w14:paraId="3AE90458" w14:textId="77777777" w:rsidR="00E65727" w:rsidRPr="00DE096C" w:rsidRDefault="00E65727" w:rsidP="00D45A46">
            <w:pPr>
              <w:jc w:val="both"/>
              <w:rPr>
                <w:bCs/>
                <w:color w:val="002060"/>
                <w:sz w:val="16"/>
                <w:szCs w:val="16"/>
              </w:rPr>
            </w:pPr>
            <w:r w:rsidRPr="00DE096C">
              <w:rPr>
                <w:bCs/>
                <w:color w:val="002060"/>
                <w:sz w:val="16"/>
                <w:szCs w:val="16"/>
              </w:rPr>
              <w:t>—</w:t>
            </w:r>
          </w:p>
        </w:tc>
        <w:tc>
          <w:tcPr>
            <w:tcW w:w="681" w:type="dxa"/>
          </w:tcPr>
          <w:p w14:paraId="18587532" w14:textId="77777777" w:rsidR="00E65727" w:rsidRPr="00DE096C" w:rsidRDefault="00E65727" w:rsidP="00D45A46">
            <w:pPr>
              <w:jc w:val="both"/>
              <w:rPr>
                <w:bCs/>
                <w:color w:val="002060"/>
                <w:sz w:val="16"/>
                <w:szCs w:val="16"/>
              </w:rPr>
            </w:pPr>
            <w:r w:rsidRPr="00DE096C">
              <w:rPr>
                <w:bCs/>
                <w:color w:val="002060"/>
                <w:sz w:val="16"/>
                <w:szCs w:val="16"/>
              </w:rPr>
              <w:t>—</w:t>
            </w:r>
          </w:p>
        </w:tc>
        <w:tc>
          <w:tcPr>
            <w:tcW w:w="681" w:type="dxa"/>
          </w:tcPr>
          <w:p w14:paraId="1494AEBF" w14:textId="77777777" w:rsidR="00E65727" w:rsidRPr="00DE096C" w:rsidRDefault="00E65727" w:rsidP="00D45A46">
            <w:pPr>
              <w:jc w:val="both"/>
              <w:rPr>
                <w:bCs/>
                <w:color w:val="002060"/>
                <w:sz w:val="16"/>
                <w:szCs w:val="16"/>
              </w:rPr>
            </w:pPr>
            <w:r w:rsidRPr="00DE096C">
              <w:rPr>
                <w:bCs/>
                <w:color w:val="002060"/>
                <w:sz w:val="16"/>
                <w:szCs w:val="16"/>
              </w:rPr>
              <w:t>—</w:t>
            </w:r>
          </w:p>
        </w:tc>
        <w:tc>
          <w:tcPr>
            <w:tcW w:w="588" w:type="dxa"/>
          </w:tcPr>
          <w:p w14:paraId="270095FA" w14:textId="77777777" w:rsidR="00E65727" w:rsidRPr="00DE096C" w:rsidRDefault="00E65727" w:rsidP="00D45A46">
            <w:pPr>
              <w:jc w:val="both"/>
              <w:rPr>
                <w:bCs/>
                <w:color w:val="002060"/>
                <w:sz w:val="16"/>
                <w:szCs w:val="16"/>
              </w:rPr>
            </w:pPr>
            <w:r w:rsidRPr="00DE096C">
              <w:rPr>
                <w:bCs/>
                <w:color w:val="002060"/>
                <w:sz w:val="16"/>
                <w:szCs w:val="16"/>
              </w:rPr>
              <w:t>—</w:t>
            </w:r>
          </w:p>
        </w:tc>
        <w:tc>
          <w:tcPr>
            <w:tcW w:w="588" w:type="dxa"/>
          </w:tcPr>
          <w:p w14:paraId="5C866153" w14:textId="77777777" w:rsidR="00E65727" w:rsidRPr="00DE096C" w:rsidRDefault="00E65727" w:rsidP="00D45A46">
            <w:pPr>
              <w:jc w:val="both"/>
              <w:rPr>
                <w:bCs/>
                <w:color w:val="002060"/>
                <w:sz w:val="16"/>
                <w:szCs w:val="16"/>
              </w:rPr>
            </w:pPr>
            <w:r w:rsidRPr="00DE096C">
              <w:rPr>
                <w:bCs/>
                <w:color w:val="002060"/>
                <w:sz w:val="16"/>
                <w:szCs w:val="16"/>
              </w:rPr>
              <w:t>—</w:t>
            </w:r>
          </w:p>
        </w:tc>
        <w:tc>
          <w:tcPr>
            <w:tcW w:w="588" w:type="dxa"/>
          </w:tcPr>
          <w:p w14:paraId="2A508E43" w14:textId="77777777" w:rsidR="00E65727" w:rsidRPr="00DE096C" w:rsidRDefault="00E65727" w:rsidP="00D45A46">
            <w:pPr>
              <w:jc w:val="both"/>
              <w:rPr>
                <w:bCs/>
                <w:color w:val="002060"/>
                <w:sz w:val="16"/>
                <w:szCs w:val="16"/>
              </w:rPr>
            </w:pPr>
            <w:r w:rsidRPr="00DE096C">
              <w:rPr>
                <w:bCs/>
                <w:color w:val="002060"/>
                <w:sz w:val="16"/>
                <w:szCs w:val="16"/>
              </w:rPr>
              <w:t>167</w:t>
            </w:r>
          </w:p>
        </w:tc>
        <w:tc>
          <w:tcPr>
            <w:tcW w:w="600" w:type="dxa"/>
          </w:tcPr>
          <w:p w14:paraId="6F6E6366" w14:textId="77777777" w:rsidR="00E65727" w:rsidRPr="00DE096C" w:rsidRDefault="00E65727" w:rsidP="00D45A46">
            <w:pPr>
              <w:jc w:val="both"/>
              <w:rPr>
                <w:bCs/>
                <w:color w:val="002060"/>
                <w:sz w:val="16"/>
                <w:szCs w:val="16"/>
              </w:rPr>
            </w:pPr>
            <w:r w:rsidRPr="00DE096C">
              <w:rPr>
                <w:bCs/>
                <w:color w:val="002060"/>
                <w:sz w:val="16"/>
                <w:szCs w:val="16"/>
              </w:rPr>
              <w:t>167</w:t>
            </w:r>
          </w:p>
        </w:tc>
      </w:tr>
      <w:tr w:rsidR="00E65727" w:rsidRPr="00DE096C" w14:paraId="15571985" w14:textId="77777777" w:rsidTr="00D34AC1">
        <w:tc>
          <w:tcPr>
            <w:tcW w:w="2040" w:type="dxa"/>
          </w:tcPr>
          <w:p w14:paraId="7E7AB260" w14:textId="77777777" w:rsidR="00E65727" w:rsidRPr="00DE096C" w:rsidRDefault="00E65727" w:rsidP="00D45A46">
            <w:pPr>
              <w:jc w:val="both"/>
              <w:rPr>
                <w:bCs/>
                <w:color w:val="002060"/>
                <w:sz w:val="16"/>
                <w:szCs w:val="16"/>
              </w:rPr>
            </w:pPr>
            <w:r w:rsidRPr="00DE096C">
              <w:rPr>
                <w:bCs/>
                <w:color w:val="002060"/>
                <w:sz w:val="16"/>
                <w:szCs w:val="16"/>
              </w:rPr>
              <w:t>Лафеты</w:t>
            </w:r>
          </w:p>
        </w:tc>
        <w:tc>
          <w:tcPr>
            <w:tcW w:w="588" w:type="dxa"/>
          </w:tcPr>
          <w:p w14:paraId="441A10AD" w14:textId="77777777" w:rsidR="00E65727" w:rsidRPr="00DE096C" w:rsidRDefault="00E65727" w:rsidP="00D45A46">
            <w:pPr>
              <w:jc w:val="both"/>
              <w:rPr>
                <w:bCs/>
                <w:color w:val="002060"/>
                <w:sz w:val="16"/>
                <w:szCs w:val="16"/>
              </w:rPr>
            </w:pPr>
            <w:r w:rsidRPr="00DE096C">
              <w:rPr>
                <w:bCs/>
                <w:color w:val="002060"/>
                <w:sz w:val="16"/>
                <w:szCs w:val="16"/>
              </w:rPr>
              <w:t>98</w:t>
            </w:r>
          </w:p>
        </w:tc>
        <w:tc>
          <w:tcPr>
            <w:tcW w:w="588" w:type="dxa"/>
          </w:tcPr>
          <w:p w14:paraId="36FE83CE" w14:textId="77777777" w:rsidR="00E65727" w:rsidRPr="00DE096C" w:rsidRDefault="00E65727" w:rsidP="00D45A46">
            <w:pPr>
              <w:jc w:val="both"/>
              <w:rPr>
                <w:bCs/>
                <w:color w:val="002060"/>
                <w:sz w:val="16"/>
                <w:szCs w:val="16"/>
              </w:rPr>
            </w:pPr>
            <w:r w:rsidRPr="00DE096C">
              <w:rPr>
                <w:bCs/>
                <w:color w:val="002060"/>
                <w:sz w:val="16"/>
                <w:szCs w:val="16"/>
              </w:rPr>
              <w:t>114</w:t>
            </w:r>
          </w:p>
        </w:tc>
        <w:tc>
          <w:tcPr>
            <w:tcW w:w="681" w:type="dxa"/>
          </w:tcPr>
          <w:p w14:paraId="5D135033" w14:textId="77777777" w:rsidR="00E65727" w:rsidRPr="00DE096C" w:rsidRDefault="00E65727" w:rsidP="00D45A46">
            <w:pPr>
              <w:jc w:val="both"/>
              <w:rPr>
                <w:bCs/>
                <w:color w:val="002060"/>
                <w:sz w:val="16"/>
                <w:szCs w:val="16"/>
              </w:rPr>
            </w:pPr>
            <w:r w:rsidRPr="00DE096C">
              <w:rPr>
                <w:bCs/>
                <w:color w:val="002060"/>
                <w:sz w:val="16"/>
                <w:szCs w:val="16"/>
              </w:rPr>
              <w:t>107</w:t>
            </w:r>
          </w:p>
        </w:tc>
        <w:tc>
          <w:tcPr>
            <w:tcW w:w="681" w:type="dxa"/>
          </w:tcPr>
          <w:p w14:paraId="48F8909D" w14:textId="77777777" w:rsidR="00E65727" w:rsidRPr="00DE096C" w:rsidRDefault="00E65727" w:rsidP="00D45A46">
            <w:pPr>
              <w:jc w:val="both"/>
              <w:rPr>
                <w:bCs/>
                <w:color w:val="002060"/>
                <w:sz w:val="16"/>
                <w:szCs w:val="16"/>
              </w:rPr>
            </w:pPr>
            <w:r w:rsidRPr="00DE096C">
              <w:rPr>
                <w:bCs/>
                <w:color w:val="002060"/>
                <w:sz w:val="16"/>
                <w:szCs w:val="16"/>
              </w:rPr>
              <w:t>319</w:t>
            </w:r>
          </w:p>
        </w:tc>
        <w:tc>
          <w:tcPr>
            <w:tcW w:w="588" w:type="dxa"/>
          </w:tcPr>
          <w:p w14:paraId="02D0B9F2" w14:textId="77777777" w:rsidR="00E65727" w:rsidRPr="00DE096C" w:rsidRDefault="00E65727" w:rsidP="00D45A46">
            <w:pPr>
              <w:jc w:val="both"/>
              <w:rPr>
                <w:bCs/>
                <w:color w:val="002060"/>
                <w:sz w:val="16"/>
                <w:szCs w:val="16"/>
              </w:rPr>
            </w:pPr>
            <w:r w:rsidRPr="00DE096C">
              <w:rPr>
                <w:bCs/>
                <w:color w:val="002060"/>
                <w:sz w:val="16"/>
                <w:szCs w:val="16"/>
              </w:rPr>
              <w:t>258</w:t>
            </w:r>
          </w:p>
        </w:tc>
        <w:tc>
          <w:tcPr>
            <w:tcW w:w="588" w:type="dxa"/>
          </w:tcPr>
          <w:p w14:paraId="1C7A2367" w14:textId="77777777" w:rsidR="00E65727" w:rsidRPr="00DE096C" w:rsidRDefault="00E65727" w:rsidP="00D45A46">
            <w:pPr>
              <w:jc w:val="both"/>
              <w:rPr>
                <w:bCs/>
                <w:color w:val="002060"/>
                <w:sz w:val="16"/>
                <w:szCs w:val="16"/>
              </w:rPr>
            </w:pPr>
            <w:r w:rsidRPr="00DE096C">
              <w:rPr>
                <w:bCs/>
                <w:color w:val="002060"/>
                <w:sz w:val="16"/>
                <w:szCs w:val="16"/>
              </w:rPr>
              <w:t>449</w:t>
            </w:r>
          </w:p>
        </w:tc>
        <w:tc>
          <w:tcPr>
            <w:tcW w:w="588" w:type="dxa"/>
          </w:tcPr>
          <w:p w14:paraId="14ACD986" w14:textId="77777777" w:rsidR="00E65727" w:rsidRPr="00DE096C" w:rsidRDefault="00E65727" w:rsidP="00D45A46">
            <w:pPr>
              <w:jc w:val="both"/>
              <w:rPr>
                <w:bCs/>
                <w:color w:val="002060"/>
                <w:sz w:val="16"/>
                <w:szCs w:val="16"/>
              </w:rPr>
            </w:pPr>
            <w:r w:rsidRPr="00DE096C">
              <w:rPr>
                <w:bCs/>
                <w:color w:val="002060"/>
                <w:sz w:val="16"/>
                <w:szCs w:val="16"/>
              </w:rPr>
              <w:t>1540</w:t>
            </w:r>
          </w:p>
        </w:tc>
        <w:tc>
          <w:tcPr>
            <w:tcW w:w="600" w:type="dxa"/>
          </w:tcPr>
          <w:p w14:paraId="4621AF83" w14:textId="77777777" w:rsidR="00E65727" w:rsidRPr="00DE096C" w:rsidRDefault="00E65727" w:rsidP="00D45A46">
            <w:pPr>
              <w:jc w:val="both"/>
              <w:rPr>
                <w:bCs/>
                <w:color w:val="002060"/>
                <w:sz w:val="16"/>
                <w:szCs w:val="16"/>
              </w:rPr>
            </w:pPr>
            <w:r w:rsidRPr="00DE096C">
              <w:rPr>
                <w:bCs/>
                <w:color w:val="002060"/>
                <w:sz w:val="16"/>
                <w:szCs w:val="16"/>
              </w:rPr>
              <w:t>2.247</w:t>
            </w:r>
          </w:p>
        </w:tc>
      </w:tr>
      <w:tr w:rsidR="00E65727" w:rsidRPr="00DE096C" w14:paraId="1D0A14DD" w14:textId="77777777" w:rsidTr="00D34AC1">
        <w:tc>
          <w:tcPr>
            <w:tcW w:w="2040" w:type="dxa"/>
          </w:tcPr>
          <w:p w14:paraId="497AD07E" w14:textId="77777777" w:rsidR="00E65727" w:rsidRPr="00DE096C" w:rsidRDefault="00E65727" w:rsidP="00D45A46">
            <w:pPr>
              <w:jc w:val="both"/>
              <w:rPr>
                <w:bCs/>
                <w:color w:val="002060"/>
                <w:sz w:val="16"/>
                <w:szCs w:val="16"/>
              </w:rPr>
            </w:pPr>
            <w:r w:rsidRPr="00DE096C">
              <w:rPr>
                <w:bCs/>
                <w:color w:val="002060"/>
                <w:sz w:val="16"/>
                <w:szCs w:val="16"/>
              </w:rPr>
              <w:t>Передки</w:t>
            </w:r>
          </w:p>
        </w:tc>
        <w:tc>
          <w:tcPr>
            <w:tcW w:w="588" w:type="dxa"/>
          </w:tcPr>
          <w:p w14:paraId="079D4F10" w14:textId="77777777" w:rsidR="00E65727" w:rsidRPr="00DE096C" w:rsidRDefault="00E65727" w:rsidP="00D45A46">
            <w:pPr>
              <w:jc w:val="both"/>
              <w:rPr>
                <w:bCs/>
                <w:color w:val="002060"/>
                <w:sz w:val="16"/>
                <w:szCs w:val="16"/>
              </w:rPr>
            </w:pPr>
            <w:r w:rsidRPr="00DE096C">
              <w:rPr>
                <w:bCs/>
                <w:color w:val="002060"/>
                <w:sz w:val="16"/>
                <w:szCs w:val="16"/>
              </w:rPr>
              <w:t>46</w:t>
            </w:r>
          </w:p>
        </w:tc>
        <w:tc>
          <w:tcPr>
            <w:tcW w:w="588" w:type="dxa"/>
          </w:tcPr>
          <w:p w14:paraId="38EED1C2" w14:textId="77777777" w:rsidR="00E65727" w:rsidRPr="00DE096C" w:rsidRDefault="00E65727" w:rsidP="00D45A46">
            <w:pPr>
              <w:jc w:val="both"/>
              <w:rPr>
                <w:bCs/>
                <w:color w:val="002060"/>
                <w:sz w:val="16"/>
                <w:szCs w:val="16"/>
              </w:rPr>
            </w:pPr>
            <w:r w:rsidRPr="00DE096C">
              <w:rPr>
                <w:bCs/>
                <w:color w:val="002060"/>
                <w:sz w:val="16"/>
                <w:szCs w:val="16"/>
              </w:rPr>
              <w:t>55</w:t>
            </w:r>
          </w:p>
        </w:tc>
        <w:tc>
          <w:tcPr>
            <w:tcW w:w="681" w:type="dxa"/>
          </w:tcPr>
          <w:p w14:paraId="3CF1DB1D" w14:textId="77777777" w:rsidR="00E65727" w:rsidRPr="00DE096C" w:rsidRDefault="00E65727" w:rsidP="00D45A46">
            <w:pPr>
              <w:jc w:val="both"/>
              <w:rPr>
                <w:bCs/>
                <w:color w:val="002060"/>
                <w:sz w:val="16"/>
                <w:szCs w:val="16"/>
              </w:rPr>
            </w:pPr>
            <w:r w:rsidRPr="00DE096C">
              <w:rPr>
                <w:bCs/>
                <w:color w:val="002060"/>
                <w:sz w:val="16"/>
                <w:szCs w:val="16"/>
              </w:rPr>
              <w:t>88</w:t>
            </w:r>
          </w:p>
        </w:tc>
        <w:tc>
          <w:tcPr>
            <w:tcW w:w="681" w:type="dxa"/>
          </w:tcPr>
          <w:p w14:paraId="256FC6FF" w14:textId="77777777" w:rsidR="00E65727" w:rsidRPr="00DE096C" w:rsidRDefault="00E65727" w:rsidP="00D45A46">
            <w:pPr>
              <w:jc w:val="both"/>
              <w:rPr>
                <w:bCs/>
                <w:color w:val="002060"/>
                <w:sz w:val="16"/>
                <w:szCs w:val="16"/>
              </w:rPr>
            </w:pPr>
            <w:r w:rsidRPr="00DE096C">
              <w:rPr>
                <w:bCs/>
                <w:color w:val="002060"/>
                <w:sz w:val="16"/>
                <w:szCs w:val="16"/>
              </w:rPr>
              <w:t>189</w:t>
            </w:r>
          </w:p>
        </w:tc>
        <w:tc>
          <w:tcPr>
            <w:tcW w:w="588" w:type="dxa"/>
          </w:tcPr>
          <w:p w14:paraId="4C31E7D9" w14:textId="77777777" w:rsidR="00E65727" w:rsidRPr="00DE096C" w:rsidRDefault="00E65727" w:rsidP="00D45A46">
            <w:pPr>
              <w:jc w:val="both"/>
              <w:rPr>
                <w:bCs/>
                <w:color w:val="002060"/>
                <w:sz w:val="16"/>
                <w:szCs w:val="16"/>
              </w:rPr>
            </w:pPr>
            <w:r w:rsidRPr="00DE096C">
              <w:rPr>
                <w:bCs/>
                <w:color w:val="002060"/>
                <w:sz w:val="16"/>
                <w:szCs w:val="16"/>
              </w:rPr>
              <w:t>161</w:t>
            </w:r>
          </w:p>
        </w:tc>
        <w:tc>
          <w:tcPr>
            <w:tcW w:w="588" w:type="dxa"/>
          </w:tcPr>
          <w:p w14:paraId="3198470D" w14:textId="77777777" w:rsidR="00E65727" w:rsidRPr="00DE096C" w:rsidRDefault="00E65727" w:rsidP="00D45A46">
            <w:pPr>
              <w:jc w:val="both"/>
              <w:rPr>
                <w:bCs/>
                <w:color w:val="002060"/>
                <w:sz w:val="16"/>
                <w:szCs w:val="16"/>
              </w:rPr>
            </w:pPr>
            <w:r w:rsidRPr="00DE096C">
              <w:rPr>
                <w:bCs/>
                <w:color w:val="002060"/>
                <w:sz w:val="16"/>
                <w:szCs w:val="16"/>
              </w:rPr>
              <w:t>228</w:t>
            </w:r>
          </w:p>
        </w:tc>
        <w:tc>
          <w:tcPr>
            <w:tcW w:w="588" w:type="dxa"/>
          </w:tcPr>
          <w:p w14:paraId="39EA81AF" w14:textId="77777777" w:rsidR="00E65727" w:rsidRPr="00DE096C" w:rsidRDefault="00E65727" w:rsidP="00D45A46">
            <w:pPr>
              <w:jc w:val="both"/>
              <w:rPr>
                <w:bCs/>
                <w:color w:val="002060"/>
                <w:sz w:val="16"/>
                <w:szCs w:val="16"/>
              </w:rPr>
            </w:pPr>
            <w:r w:rsidRPr="00DE096C">
              <w:rPr>
                <w:bCs/>
                <w:color w:val="002060"/>
                <w:sz w:val="16"/>
                <w:szCs w:val="16"/>
              </w:rPr>
              <w:t>80</w:t>
            </w:r>
          </w:p>
        </w:tc>
        <w:tc>
          <w:tcPr>
            <w:tcW w:w="600" w:type="dxa"/>
          </w:tcPr>
          <w:p w14:paraId="747DE6BF" w14:textId="77777777" w:rsidR="00E65727" w:rsidRPr="00DE096C" w:rsidRDefault="00E65727" w:rsidP="00D45A46">
            <w:pPr>
              <w:jc w:val="both"/>
              <w:rPr>
                <w:bCs/>
                <w:color w:val="002060"/>
                <w:sz w:val="16"/>
                <w:szCs w:val="16"/>
              </w:rPr>
            </w:pPr>
            <w:r w:rsidRPr="00DE096C">
              <w:rPr>
                <w:bCs/>
                <w:color w:val="002060"/>
                <w:sz w:val="16"/>
                <w:szCs w:val="16"/>
              </w:rPr>
              <w:t>469</w:t>
            </w:r>
          </w:p>
        </w:tc>
      </w:tr>
      <w:tr w:rsidR="00E65727" w:rsidRPr="00DE096C" w14:paraId="087E2361" w14:textId="77777777" w:rsidTr="00D34AC1">
        <w:tc>
          <w:tcPr>
            <w:tcW w:w="2040" w:type="dxa"/>
          </w:tcPr>
          <w:p w14:paraId="26CF3648" w14:textId="77777777" w:rsidR="00E65727" w:rsidRPr="00DE096C" w:rsidRDefault="00E65727" w:rsidP="00D45A46">
            <w:pPr>
              <w:jc w:val="both"/>
              <w:rPr>
                <w:bCs/>
                <w:color w:val="002060"/>
                <w:sz w:val="16"/>
                <w:szCs w:val="16"/>
              </w:rPr>
            </w:pPr>
            <w:r w:rsidRPr="00DE096C">
              <w:rPr>
                <w:bCs/>
                <w:color w:val="002060"/>
                <w:sz w:val="16"/>
                <w:szCs w:val="16"/>
              </w:rPr>
              <w:lastRenderedPageBreak/>
              <w:t>Зарядные ящики</w:t>
            </w:r>
          </w:p>
        </w:tc>
        <w:tc>
          <w:tcPr>
            <w:tcW w:w="588" w:type="dxa"/>
          </w:tcPr>
          <w:p w14:paraId="76623362" w14:textId="77777777" w:rsidR="00E65727" w:rsidRPr="00DE096C" w:rsidRDefault="00E65727" w:rsidP="00D45A46">
            <w:pPr>
              <w:jc w:val="both"/>
              <w:rPr>
                <w:bCs/>
                <w:color w:val="002060"/>
                <w:sz w:val="16"/>
                <w:szCs w:val="16"/>
              </w:rPr>
            </w:pPr>
            <w:r w:rsidRPr="00DE096C">
              <w:rPr>
                <w:bCs/>
                <w:color w:val="002060"/>
                <w:sz w:val="16"/>
                <w:szCs w:val="16"/>
              </w:rPr>
              <w:t>885</w:t>
            </w:r>
          </w:p>
        </w:tc>
        <w:tc>
          <w:tcPr>
            <w:tcW w:w="588" w:type="dxa"/>
          </w:tcPr>
          <w:p w14:paraId="305A1E87" w14:textId="77777777" w:rsidR="00E65727" w:rsidRPr="00DE096C" w:rsidRDefault="00E65727" w:rsidP="00D45A46">
            <w:pPr>
              <w:jc w:val="both"/>
              <w:rPr>
                <w:bCs/>
                <w:color w:val="002060"/>
                <w:sz w:val="16"/>
                <w:szCs w:val="16"/>
              </w:rPr>
            </w:pPr>
            <w:r w:rsidRPr="00DE096C">
              <w:rPr>
                <w:bCs/>
                <w:color w:val="002060"/>
                <w:sz w:val="16"/>
                <w:szCs w:val="16"/>
              </w:rPr>
              <w:t>772</w:t>
            </w:r>
          </w:p>
        </w:tc>
        <w:tc>
          <w:tcPr>
            <w:tcW w:w="681" w:type="dxa"/>
          </w:tcPr>
          <w:p w14:paraId="0C51F87D" w14:textId="77777777" w:rsidR="00E65727" w:rsidRPr="00DE096C" w:rsidRDefault="00E65727" w:rsidP="00D45A46">
            <w:pPr>
              <w:jc w:val="both"/>
              <w:rPr>
                <w:bCs/>
                <w:color w:val="002060"/>
                <w:sz w:val="16"/>
                <w:szCs w:val="16"/>
              </w:rPr>
            </w:pPr>
            <w:r w:rsidRPr="00DE096C">
              <w:rPr>
                <w:bCs/>
                <w:color w:val="002060"/>
                <w:sz w:val="16"/>
                <w:szCs w:val="16"/>
              </w:rPr>
              <w:t>1.398</w:t>
            </w:r>
          </w:p>
        </w:tc>
        <w:tc>
          <w:tcPr>
            <w:tcW w:w="681" w:type="dxa"/>
          </w:tcPr>
          <w:p w14:paraId="3FB685EA" w14:textId="77777777" w:rsidR="00E65727" w:rsidRPr="00DE096C" w:rsidRDefault="00E65727" w:rsidP="00D45A46">
            <w:pPr>
              <w:jc w:val="both"/>
              <w:rPr>
                <w:bCs/>
                <w:color w:val="002060"/>
                <w:sz w:val="16"/>
                <w:szCs w:val="16"/>
              </w:rPr>
            </w:pPr>
            <w:r w:rsidRPr="00DE096C">
              <w:rPr>
                <w:bCs/>
                <w:color w:val="002060"/>
                <w:sz w:val="16"/>
                <w:szCs w:val="16"/>
              </w:rPr>
              <w:t>3.055</w:t>
            </w:r>
          </w:p>
        </w:tc>
        <w:tc>
          <w:tcPr>
            <w:tcW w:w="588" w:type="dxa"/>
          </w:tcPr>
          <w:p w14:paraId="583C25D1" w14:textId="77777777" w:rsidR="00E65727" w:rsidRPr="00DE096C" w:rsidRDefault="00E65727" w:rsidP="00D45A46">
            <w:pPr>
              <w:jc w:val="both"/>
              <w:rPr>
                <w:bCs/>
                <w:color w:val="002060"/>
                <w:sz w:val="16"/>
                <w:szCs w:val="16"/>
              </w:rPr>
            </w:pPr>
            <w:r w:rsidRPr="00DE096C">
              <w:rPr>
                <w:bCs/>
                <w:color w:val="002060"/>
                <w:sz w:val="16"/>
                <w:szCs w:val="16"/>
              </w:rPr>
              <w:t>107</w:t>
            </w:r>
          </w:p>
        </w:tc>
        <w:tc>
          <w:tcPr>
            <w:tcW w:w="588" w:type="dxa"/>
          </w:tcPr>
          <w:p w14:paraId="1683AB87" w14:textId="77777777" w:rsidR="00E65727" w:rsidRPr="00DE096C" w:rsidRDefault="00E65727" w:rsidP="00D45A46">
            <w:pPr>
              <w:jc w:val="both"/>
              <w:rPr>
                <w:bCs/>
                <w:color w:val="002060"/>
                <w:sz w:val="16"/>
                <w:szCs w:val="16"/>
              </w:rPr>
            </w:pPr>
            <w:r w:rsidRPr="00DE096C">
              <w:rPr>
                <w:bCs/>
                <w:color w:val="002060"/>
                <w:sz w:val="16"/>
                <w:szCs w:val="16"/>
              </w:rPr>
              <w:t>529</w:t>
            </w:r>
          </w:p>
        </w:tc>
        <w:tc>
          <w:tcPr>
            <w:tcW w:w="588" w:type="dxa"/>
          </w:tcPr>
          <w:p w14:paraId="54582366" w14:textId="77777777" w:rsidR="00E65727" w:rsidRPr="00DE096C" w:rsidRDefault="00E65727" w:rsidP="00D45A46">
            <w:pPr>
              <w:jc w:val="both"/>
              <w:rPr>
                <w:bCs/>
                <w:color w:val="002060"/>
                <w:sz w:val="16"/>
                <w:szCs w:val="16"/>
              </w:rPr>
            </w:pPr>
            <w:r w:rsidRPr="00DE096C">
              <w:rPr>
                <w:bCs/>
                <w:color w:val="002060"/>
                <w:sz w:val="16"/>
                <w:szCs w:val="16"/>
              </w:rPr>
              <w:t>91</w:t>
            </w:r>
          </w:p>
        </w:tc>
        <w:tc>
          <w:tcPr>
            <w:tcW w:w="600" w:type="dxa"/>
          </w:tcPr>
          <w:p w14:paraId="5452D339" w14:textId="77777777" w:rsidR="00E65727" w:rsidRPr="00DE096C" w:rsidRDefault="00E65727" w:rsidP="00D45A46">
            <w:pPr>
              <w:jc w:val="both"/>
              <w:rPr>
                <w:bCs/>
                <w:color w:val="002060"/>
                <w:sz w:val="16"/>
                <w:szCs w:val="16"/>
              </w:rPr>
            </w:pPr>
            <w:r w:rsidRPr="00DE096C">
              <w:rPr>
                <w:bCs/>
                <w:color w:val="002060"/>
                <w:sz w:val="16"/>
                <w:szCs w:val="16"/>
              </w:rPr>
              <w:t>727</w:t>
            </w:r>
          </w:p>
        </w:tc>
      </w:tr>
      <w:tr w:rsidR="00E65727" w:rsidRPr="00DE096C" w14:paraId="1E347B37" w14:textId="77777777" w:rsidTr="00D34AC1">
        <w:tc>
          <w:tcPr>
            <w:tcW w:w="2040" w:type="dxa"/>
          </w:tcPr>
          <w:p w14:paraId="6A1FE267" w14:textId="77777777" w:rsidR="00E65727" w:rsidRPr="00DE096C" w:rsidRDefault="00E65727" w:rsidP="00D45A46">
            <w:pPr>
              <w:jc w:val="both"/>
              <w:rPr>
                <w:bCs/>
                <w:color w:val="002060"/>
                <w:sz w:val="16"/>
                <w:szCs w:val="16"/>
              </w:rPr>
            </w:pPr>
            <w:r w:rsidRPr="00DE096C">
              <w:rPr>
                <w:bCs/>
                <w:color w:val="002060"/>
                <w:sz w:val="16"/>
                <w:szCs w:val="16"/>
              </w:rPr>
              <w:t>Двуколки</w:t>
            </w:r>
          </w:p>
        </w:tc>
        <w:tc>
          <w:tcPr>
            <w:tcW w:w="588" w:type="dxa"/>
          </w:tcPr>
          <w:p w14:paraId="643D8306" w14:textId="77777777" w:rsidR="00E65727" w:rsidRPr="00DE096C" w:rsidRDefault="00E65727" w:rsidP="00D45A46">
            <w:pPr>
              <w:jc w:val="both"/>
              <w:rPr>
                <w:bCs/>
                <w:color w:val="002060"/>
                <w:sz w:val="16"/>
                <w:szCs w:val="16"/>
              </w:rPr>
            </w:pPr>
            <w:r w:rsidRPr="00DE096C">
              <w:rPr>
                <w:bCs/>
                <w:color w:val="002060"/>
                <w:sz w:val="16"/>
                <w:szCs w:val="16"/>
              </w:rPr>
              <w:t>315</w:t>
            </w:r>
          </w:p>
        </w:tc>
        <w:tc>
          <w:tcPr>
            <w:tcW w:w="588" w:type="dxa"/>
          </w:tcPr>
          <w:p w14:paraId="26D875D1" w14:textId="77777777" w:rsidR="00E65727" w:rsidRPr="00DE096C" w:rsidRDefault="00E65727" w:rsidP="00D45A46">
            <w:pPr>
              <w:jc w:val="both"/>
              <w:rPr>
                <w:bCs/>
                <w:color w:val="002060"/>
                <w:sz w:val="16"/>
                <w:szCs w:val="16"/>
              </w:rPr>
            </w:pPr>
            <w:r w:rsidRPr="00DE096C">
              <w:rPr>
                <w:bCs/>
                <w:color w:val="002060"/>
                <w:sz w:val="16"/>
                <w:szCs w:val="16"/>
              </w:rPr>
              <w:t>194</w:t>
            </w:r>
          </w:p>
        </w:tc>
        <w:tc>
          <w:tcPr>
            <w:tcW w:w="681" w:type="dxa"/>
          </w:tcPr>
          <w:p w14:paraId="592C9756" w14:textId="77777777" w:rsidR="00E65727" w:rsidRPr="00DE096C" w:rsidRDefault="00E65727" w:rsidP="00D45A46">
            <w:pPr>
              <w:jc w:val="both"/>
              <w:rPr>
                <w:bCs/>
                <w:color w:val="002060"/>
                <w:sz w:val="16"/>
                <w:szCs w:val="16"/>
              </w:rPr>
            </w:pPr>
            <w:r w:rsidRPr="00DE096C">
              <w:rPr>
                <w:bCs/>
                <w:color w:val="002060"/>
                <w:sz w:val="16"/>
                <w:szCs w:val="16"/>
              </w:rPr>
              <w:t>576</w:t>
            </w:r>
          </w:p>
        </w:tc>
        <w:tc>
          <w:tcPr>
            <w:tcW w:w="681" w:type="dxa"/>
          </w:tcPr>
          <w:p w14:paraId="1EB691DD" w14:textId="77777777" w:rsidR="00E65727" w:rsidRPr="00DE096C" w:rsidRDefault="00E65727" w:rsidP="00D45A46">
            <w:pPr>
              <w:jc w:val="both"/>
              <w:rPr>
                <w:bCs/>
                <w:color w:val="002060"/>
                <w:sz w:val="16"/>
                <w:szCs w:val="16"/>
              </w:rPr>
            </w:pPr>
            <w:r w:rsidRPr="00DE096C">
              <w:rPr>
                <w:bCs/>
                <w:color w:val="002060"/>
                <w:sz w:val="16"/>
                <w:szCs w:val="16"/>
              </w:rPr>
              <w:t>1.085</w:t>
            </w:r>
          </w:p>
        </w:tc>
        <w:tc>
          <w:tcPr>
            <w:tcW w:w="588" w:type="dxa"/>
          </w:tcPr>
          <w:p w14:paraId="5D069A09" w14:textId="77777777" w:rsidR="00E65727" w:rsidRPr="00DE096C" w:rsidRDefault="00E65727" w:rsidP="00D45A46">
            <w:pPr>
              <w:jc w:val="both"/>
              <w:rPr>
                <w:bCs/>
                <w:color w:val="002060"/>
                <w:sz w:val="16"/>
                <w:szCs w:val="16"/>
              </w:rPr>
            </w:pPr>
            <w:r w:rsidRPr="00DE096C">
              <w:rPr>
                <w:bCs/>
                <w:color w:val="002060"/>
                <w:sz w:val="16"/>
                <w:szCs w:val="16"/>
              </w:rPr>
              <w:t>16</w:t>
            </w:r>
          </w:p>
        </w:tc>
        <w:tc>
          <w:tcPr>
            <w:tcW w:w="588" w:type="dxa"/>
          </w:tcPr>
          <w:p w14:paraId="6150216F" w14:textId="77777777" w:rsidR="00E65727" w:rsidRPr="00DE096C" w:rsidRDefault="00E65727" w:rsidP="00D45A46">
            <w:pPr>
              <w:jc w:val="both"/>
              <w:rPr>
                <w:bCs/>
                <w:color w:val="002060"/>
                <w:sz w:val="16"/>
                <w:szCs w:val="16"/>
              </w:rPr>
            </w:pPr>
            <w:r w:rsidRPr="00DE096C">
              <w:rPr>
                <w:bCs/>
                <w:color w:val="002060"/>
                <w:sz w:val="16"/>
                <w:szCs w:val="16"/>
              </w:rPr>
              <w:t>18</w:t>
            </w:r>
          </w:p>
        </w:tc>
        <w:tc>
          <w:tcPr>
            <w:tcW w:w="588" w:type="dxa"/>
          </w:tcPr>
          <w:p w14:paraId="5A1F9B2E" w14:textId="77777777" w:rsidR="00E65727" w:rsidRPr="00DE096C" w:rsidRDefault="00E65727" w:rsidP="00D45A46">
            <w:pPr>
              <w:jc w:val="both"/>
              <w:rPr>
                <w:bCs/>
                <w:color w:val="002060"/>
                <w:sz w:val="16"/>
                <w:szCs w:val="16"/>
              </w:rPr>
            </w:pPr>
            <w:r w:rsidRPr="00DE096C">
              <w:rPr>
                <w:bCs/>
                <w:color w:val="002060"/>
                <w:sz w:val="16"/>
                <w:szCs w:val="16"/>
              </w:rPr>
              <w:t>31</w:t>
            </w:r>
          </w:p>
        </w:tc>
        <w:tc>
          <w:tcPr>
            <w:tcW w:w="600" w:type="dxa"/>
          </w:tcPr>
          <w:p w14:paraId="09911738" w14:textId="77777777" w:rsidR="00E65727" w:rsidRPr="00DE096C" w:rsidRDefault="00E65727" w:rsidP="00D45A46">
            <w:pPr>
              <w:jc w:val="both"/>
              <w:rPr>
                <w:bCs/>
                <w:color w:val="002060"/>
                <w:sz w:val="16"/>
                <w:szCs w:val="16"/>
              </w:rPr>
            </w:pPr>
            <w:r w:rsidRPr="00DE096C">
              <w:rPr>
                <w:bCs/>
                <w:color w:val="002060"/>
                <w:sz w:val="16"/>
                <w:szCs w:val="16"/>
              </w:rPr>
              <w:t>65</w:t>
            </w:r>
          </w:p>
        </w:tc>
      </w:tr>
      <w:tr w:rsidR="00E65727" w:rsidRPr="00DE096C" w14:paraId="7A4AA9A7" w14:textId="77777777" w:rsidTr="00D34AC1">
        <w:tc>
          <w:tcPr>
            <w:tcW w:w="2040" w:type="dxa"/>
          </w:tcPr>
          <w:p w14:paraId="5E67A57A" w14:textId="77777777" w:rsidR="00E65727" w:rsidRPr="00DE096C" w:rsidRDefault="00E65727" w:rsidP="00D45A46">
            <w:pPr>
              <w:jc w:val="both"/>
              <w:rPr>
                <w:bCs/>
                <w:color w:val="002060"/>
                <w:sz w:val="16"/>
                <w:szCs w:val="16"/>
              </w:rPr>
            </w:pPr>
            <w:r w:rsidRPr="00DE096C">
              <w:rPr>
                <w:bCs/>
                <w:color w:val="002060"/>
                <w:sz w:val="16"/>
                <w:szCs w:val="16"/>
              </w:rPr>
              <w:t>Повозки</w:t>
            </w:r>
          </w:p>
        </w:tc>
        <w:tc>
          <w:tcPr>
            <w:tcW w:w="588" w:type="dxa"/>
          </w:tcPr>
          <w:p w14:paraId="49441183" w14:textId="77777777" w:rsidR="00E65727" w:rsidRPr="00DE096C" w:rsidRDefault="00E65727" w:rsidP="00D45A46">
            <w:pPr>
              <w:jc w:val="both"/>
              <w:rPr>
                <w:bCs/>
                <w:color w:val="002060"/>
                <w:sz w:val="16"/>
                <w:szCs w:val="16"/>
              </w:rPr>
            </w:pPr>
            <w:r w:rsidRPr="00DE096C">
              <w:rPr>
                <w:bCs/>
                <w:color w:val="002060"/>
                <w:sz w:val="16"/>
                <w:szCs w:val="16"/>
              </w:rPr>
              <w:t>123</w:t>
            </w:r>
          </w:p>
        </w:tc>
        <w:tc>
          <w:tcPr>
            <w:tcW w:w="588" w:type="dxa"/>
          </w:tcPr>
          <w:p w14:paraId="5360A069" w14:textId="77777777" w:rsidR="00E65727" w:rsidRPr="00DE096C" w:rsidRDefault="00E65727" w:rsidP="00D45A46">
            <w:pPr>
              <w:jc w:val="both"/>
              <w:rPr>
                <w:bCs/>
                <w:color w:val="002060"/>
                <w:sz w:val="16"/>
                <w:szCs w:val="16"/>
              </w:rPr>
            </w:pPr>
            <w:r w:rsidRPr="00DE096C">
              <w:rPr>
                <w:bCs/>
                <w:color w:val="002060"/>
                <w:sz w:val="16"/>
                <w:szCs w:val="16"/>
              </w:rPr>
              <w:t>15</w:t>
            </w:r>
          </w:p>
        </w:tc>
        <w:tc>
          <w:tcPr>
            <w:tcW w:w="681" w:type="dxa"/>
          </w:tcPr>
          <w:p w14:paraId="3CF6C379" w14:textId="77777777" w:rsidR="00E65727" w:rsidRPr="00DE096C" w:rsidRDefault="00E65727" w:rsidP="00D45A46">
            <w:pPr>
              <w:jc w:val="both"/>
              <w:rPr>
                <w:bCs/>
                <w:color w:val="002060"/>
                <w:sz w:val="16"/>
                <w:szCs w:val="16"/>
              </w:rPr>
            </w:pPr>
            <w:r w:rsidRPr="00DE096C">
              <w:rPr>
                <w:bCs/>
                <w:color w:val="002060"/>
                <w:sz w:val="16"/>
                <w:szCs w:val="16"/>
              </w:rPr>
              <w:t>—</w:t>
            </w:r>
          </w:p>
        </w:tc>
        <w:tc>
          <w:tcPr>
            <w:tcW w:w="681" w:type="dxa"/>
          </w:tcPr>
          <w:p w14:paraId="61B5BEF0" w14:textId="77777777" w:rsidR="00E65727" w:rsidRPr="00DE096C" w:rsidRDefault="00E65727" w:rsidP="00D45A46">
            <w:pPr>
              <w:jc w:val="both"/>
              <w:rPr>
                <w:bCs/>
                <w:color w:val="002060"/>
                <w:sz w:val="16"/>
                <w:szCs w:val="16"/>
              </w:rPr>
            </w:pPr>
            <w:r w:rsidRPr="00DE096C">
              <w:rPr>
                <w:bCs/>
                <w:color w:val="002060"/>
                <w:sz w:val="16"/>
                <w:szCs w:val="16"/>
              </w:rPr>
              <w:t>138</w:t>
            </w:r>
          </w:p>
        </w:tc>
        <w:tc>
          <w:tcPr>
            <w:tcW w:w="588" w:type="dxa"/>
          </w:tcPr>
          <w:p w14:paraId="146AF00E" w14:textId="77777777" w:rsidR="00E65727" w:rsidRPr="00DE096C" w:rsidRDefault="00E65727" w:rsidP="00D45A46">
            <w:pPr>
              <w:jc w:val="both"/>
              <w:rPr>
                <w:bCs/>
                <w:color w:val="002060"/>
                <w:sz w:val="16"/>
                <w:szCs w:val="16"/>
              </w:rPr>
            </w:pPr>
            <w:r w:rsidRPr="00DE096C">
              <w:rPr>
                <w:bCs/>
                <w:color w:val="002060"/>
                <w:sz w:val="16"/>
                <w:szCs w:val="16"/>
              </w:rPr>
              <w:t>20</w:t>
            </w:r>
          </w:p>
        </w:tc>
        <w:tc>
          <w:tcPr>
            <w:tcW w:w="588" w:type="dxa"/>
          </w:tcPr>
          <w:p w14:paraId="65880E05" w14:textId="77777777" w:rsidR="00E65727" w:rsidRPr="00DE096C" w:rsidRDefault="00E65727" w:rsidP="00D45A46">
            <w:pPr>
              <w:jc w:val="both"/>
              <w:rPr>
                <w:bCs/>
                <w:color w:val="002060"/>
                <w:sz w:val="16"/>
                <w:szCs w:val="16"/>
              </w:rPr>
            </w:pPr>
            <w:r w:rsidRPr="00DE096C">
              <w:rPr>
                <w:bCs/>
                <w:color w:val="002060"/>
                <w:sz w:val="16"/>
                <w:szCs w:val="16"/>
              </w:rPr>
              <w:t>10</w:t>
            </w:r>
          </w:p>
        </w:tc>
        <w:tc>
          <w:tcPr>
            <w:tcW w:w="588" w:type="dxa"/>
          </w:tcPr>
          <w:p w14:paraId="2F8EB3DA" w14:textId="77777777" w:rsidR="00E65727" w:rsidRPr="00DE096C" w:rsidRDefault="00E65727" w:rsidP="00D45A46">
            <w:pPr>
              <w:jc w:val="both"/>
              <w:rPr>
                <w:bCs/>
                <w:color w:val="002060"/>
                <w:sz w:val="16"/>
                <w:szCs w:val="16"/>
              </w:rPr>
            </w:pPr>
            <w:r w:rsidRPr="00DE096C">
              <w:rPr>
                <w:bCs/>
                <w:color w:val="002060"/>
                <w:sz w:val="16"/>
                <w:szCs w:val="16"/>
              </w:rPr>
              <w:t>25</w:t>
            </w:r>
          </w:p>
        </w:tc>
        <w:tc>
          <w:tcPr>
            <w:tcW w:w="600" w:type="dxa"/>
          </w:tcPr>
          <w:p w14:paraId="10968A77" w14:textId="77777777" w:rsidR="00E65727" w:rsidRPr="00DE096C" w:rsidRDefault="00E65727" w:rsidP="00D45A46">
            <w:pPr>
              <w:jc w:val="both"/>
              <w:rPr>
                <w:bCs/>
                <w:color w:val="002060"/>
                <w:sz w:val="16"/>
                <w:szCs w:val="16"/>
              </w:rPr>
            </w:pPr>
            <w:r w:rsidRPr="00DE096C">
              <w:rPr>
                <w:bCs/>
                <w:color w:val="002060"/>
                <w:sz w:val="16"/>
                <w:szCs w:val="16"/>
              </w:rPr>
              <w:t>55</w:t>
            </w:r>
          </w:p>
        </w:tc>
      </w:tr>
      <w:tr w:rsidR="00E65727" w:rsidRPr="00DE096C" w14:paraId="7088FA14" w14:textId="77777777" w:rsidTr="00D34AC1">
        <w:tc>
          <w:tcPr>
            <w:tcW w:w="2040" w:type="dxa"/>
          </w:tcPr>
          <w:p w14:paraId="1D5B753D" w14:textId="77777777" w:rsidR="00E65727" w:rsidRPr="00DE096C" w:rsidRDefault="00E65727" w:rsidP="00D45A46">
            <w:pPr>
              <w:jc w:val="both"/>
              <w:rPr>
                <w:bCs/>
                <w:color w:val="002060"/>
                <w:sz w:val="16"/>
                <w:szCs w:val="16"/>
              </w:rPr>
            </w:pPr>
            <w:r w:rsidRPr="00DE096C">
              <w:rPr>
                <w:bCs/>
                <w:color w:val="002060"/>
                <w:sz w:val="16"/>
                <w:szCs w:val="16"/>
              </w:rPr>
              <w:t>Колеса</w:t>
            </w:r>
          </w:p>
        </w:tc>
        <w:tc>
          <w:tcPr>
            <w:tcW w:w="588" w:type="dxa"/>
          </w:tcPr>
          <w:p w14:paraId="58AD6B84" w14:textId="77777777" w:rsidR="00E65727" w:rsidRPr="00DE096C" w:rsidRDefault="00E65727" w:rsidP="00D45A46">
            <w:pPr>
              <w:jc w:val="both"/>
              <w:rPr>
                <w:bCs/>
                <w:color w:val="002060"/>
                <w:sz w:val="16"/>
                <w:szCs w:val="16"/>
              </w:rPr>
            </w:pPr>
            <w:r w:rsidRPr="00DE096C">
              <w:rPr>
                <w:bCs/>
                <w:color w:val="002060"/>
                <w:sz w:val="16"/>
                <w:szCs w:val="16"/>
              </w:rPr>
              <w:t>9.100</w:t>
            </w:r>
          </w:p>
        </w:tc>
        <w:tc>
          <w:tcPr>
            <w:tcW w:w="588" w:type="dxa"/>
          </w:tcPr>
          <w:p w14:paraId="1002964D" w14:textId="77777777" w:rsidR="00E65727" w:rsidRPr="00DE096C" w:rsidRDefault="00E65727" w:rsidP="00D45A46">
            <w:pPr>
              <w:jc w:val="both"/>
              <w:rPr>
                <w:bCs/>
                <w:color w:val="002060"/>
                <w:sz w:val="16"/>
                <w:szCs w:val="16"/>
              </w:rPr>
            </w:pPr>
            <w:r w:rsidRPr="00DE096C">
              <w:rPr>
                <w:bCs/>
                <w:color w:val="002060"/>
                <w:sz w:val="16"/>
                <w:szCs w:val="16"/>
              </w:rPr>
              <w:t>12.800</w:t>
            </w:r>
          </w:p>
        </w:tc>
        <w:tc>
          <w:tcPr>
            <w:tcW w:w="681" w:type="dxa"/>
          </w:tcPr>
          <w:p w14:paraId="4E4CB84D" w14:textId="77777777" w:rsidR="00E65727" w:rsidRPr="00DE096C" w:rsidRDefault="00E65727" w:rsidP="00D45A46">
            <w:pPr>
              <w:jc w:val="both"/>
              <w:rPr>
                <w:bCs/>
                <w:color w:val="002060"/>
                <w:sz w:val="16"/>
                <w:szCs w:val="16"/>
              </w:rPr>
            </w:pPr>
            <w:r w:rsidRPr="00DE096C">
              <w:rPr>
                <w:bCs/>
                <w:color w:val="002060"/>
                <w:sz w:val="16"/>
                <w:szCs w:val="16"/>
              </w:rPr>
              <w:t>12.500</w:t>
            </w:r>
          </w:p>
        </w:tc>
        <w:tc>
          <w:tcPr>
            <w:tcW w:w="681" w:type="dxa"/>
          </w:tcPr>
          <w:p w14:paraId="704741E1" w14:textId="77777777" w:rsidR="00E65727" w:rsidRPr="00DE096C" w:rsidRDefault="00E65727" w:rsidP="00D45A46">
            <w:pPr>
              <w:jc w:val="both"/>
              <w:rPr>
                <w:bCs/>
                <w:color w:val="002060"/>
                <w:sz w:val="16"/>
                <w:szCs w:val="16"/>
              </w:rPr>
            </w:pPr>
            <w:r w:rsidRPr="00DE096C">
              <w:rPr>
                <w:bCs/>
                <w:color w:val="002060"/>
                <w:sz w:val="16"/>
                <w:szCs w:val="16"/>
              </w:rPr>
              <w:t>34.400</w:t>
            </w:r>
          </w:p>
        </w:tc>
        <w:tc>
          <w:tcPr>
            <w:tcW w:w="588" w:type="dxa"/>
          </w:tcPr>
          <w:p w14:paraId="78B741C1" w14:textId="77777777" w:rsidR="00E65727" w:rsidRPr="00DE096C" w:rsidRDefault="00E65727" w:rsidP="00D45A46">
            <w:pPr>
              <w:jc w:val="both"/>
              <w:rPr>
                <w:bCs/>
                <w:color w:val="002060"/>
                <w:sz w:val="16"/>
                <w:szCs w:val="16"/>
              </w:rPr>
            </w:pPr>
            <w:r w:rsidRPr="00DE096C">
              <w:rPr>
                <w:bCs/>
                <w:color w:val="002060"/>
                <w:sz w:val="16"/>
                <w:szCs w:val="16"/>
              </w:rPr>
              <w:t>206</w:t>
            </w:r>
          </w:p>
        </w:tc>
        <w:tc>
          <w:tcPr>
            <w:tcW w:w="588" w:type="dxa"/>
          </w:tcPr>
          <w:p w14:paraId="29629468" w14:textId="77777777" w:rsidR="00E65727" w:rsidRPr="00DE096C" w:rsidRDefault="00E65727" w:rsidP="00D45A46">
            <w:pPr>
              <w:jc w:val="both"/>
              <w:rPr>
                <w:bCs/>
                <w:color w:val="002060"/>
                <w:sz w:val="16"/>
                <w:szCs w:val="16"/>
              </w:rPr>
            </w:pPr>
            <w:r w:rsidRPr="00DE096C">
              <w:rPr>
                <w:bCs/>
                <w:color w:val="002060"/>
                <w:sz w:val="16"/>
                <w:szCs w:val="16"/>
              </w:rPr>
              <w:t>411</w:t>
            </w:r>
          </w:p>
        </w:tc>
        <w:tc>
          <w:tcPr>
            <w:tcW w:w="588" w:type="dxa"/>
          </w:tcPr>
          <w:p w14:paraId="45E42708" w14:textId="77777777" w:rsidR="00E65727" w:rsidRPr="00DE096C" w:rsidRDefault="00E65727" w:rsidP="00D45A46">
            <w:pPr>
              <w:jc w:val="both"/>
              <w:rPr>
                <w:bCs/>
                <w:color w:val="002060"/>
                <w:sz w:val="16"/>
                <w:szCs w:val="16"/>
              </w:rPr>
            </w:pPr>
            <w:r w:rsidRPr="00DE096C">
              <w:rPr>
                <w:bCs/>
                <w:color w:val="002060"/>
                <w:sz w:val="16"/>
                <w:szCs w:val="16"/>
              </w:rPr>
              <w:t>598</w:t>
            </w:r>
          </w:p>
        </w:tc>
        <w:tc>
          <w:tcPr>
            <w:tcW w:w="600" w:type="dxa"/>
          </w:tcPr>
          <w:p w14:paraId="5CBA4229" w14:textId="77777777" w:rsidR="00E65727" w:rsidRPr="00DE096C" w:rsidRDefault="00E65727" w:rsidP="00D45A46">
            <w:pPr>
              <w:jc w:val="both"/>
              <w:rPr>
                <w:bCs/>
                <w:color w:val="002060"/>
                <w:sz w:val="16"/>
                <w:szCs w:val="16"/>
              </w:rPr>
            </w:pPr>
            <w:r w:rsidRPr="00DE096C">
              <w:rPr>
                <w:bCs/>
                <w:color w:val="002060"/>
                <w:sz w:val="16"/>
                <w:szCs w:val="16"/>
              </w:rPr>
              <w:t>1.200</w:t>
            </w:r>
          </w:p>
        </w:tc>
      </w:tr>
      <w:tr w:rsidR="00E65727" w:rsidRPr="00DE096C" w14:paraId="5E28060E" w14:textId="77777777" w:rsidTr="00D34AC1">
        <w:tc>
          <w:tcPr>
            <w:tcW w:w="2040" w:type="dxa"/>
          </w:tcPr>
          <w:p w14:paraId="51EED3A4" w14:textId="77777777" w:rsidR="00E65727" w:rsidRPr="00DE096C" w:rsidRDefault="00E65727" w:rsidP="00D45A46">
            <w:pPr>
              <w:jc w:val="both"/>
              <w:rPr>
                <w:bCs/>
                <w:color w:val="002060"/>
                <w:sz w:val="16"/>
                <w:szCs w:val="16"/>
              </w:rPr>
            </w:pPr>
            <w:r w:rsidRPr="00DE096C">
              <w:rPr>
                <w:bCs/>
                <w:color w:val="002060"/>
                <w:sz w:val="16"/>
                <w:szCs w:val="16"/>
              </w:rPr>
              <w:t>Основания деревянные для орудий</w:t>
            </w:r>
          </w:p>
        </w:tc>
        <w:tc>
          <w:tcPr>
            <w:tcW w:w="588" w:type="dxa"/>
          </w:tcPr>
          <w:p w14:paraId="523A1684" w14:textId="77777777" w:rsidR="00E65727" w:rsidRPr="00DE096C" w:rsidRDefault="00E65727" w:rsidP="00D45A46">
            <w:pPr>
              <w:jc w:val="both"/>
              <w:rPr>
                <w:bCs/>
                <w:color w:val="002060"/>
                <w:sz w:val="16"/>
                <w:szCs w:val="16"/>
              </w:rPr>
            </w:pPr>
            <w:r w:rsidRPr="00DE096C">
              <w:rPr>
                <w:bCs/>
                <w:color w:val="002060"/>
                <w:sz w:val="16"/>
                <w:szCs w:val="16"/>
              </w:rPr>
              <w:t>—</w:t>
            </w:r>
          </w:p>
        </w:tc>
        <w:tc>
          <w:tcPr>
            <w:tcW w:w="588" w:type="dxa"/>
          </w:tcPr>
          <w:p w14:paraId="197E9AED" w14:textId="77777777" w:rsidR="00E65727" w:rsidRPr="00DE096C" w:rsidRDefault="00E65727" w:rsidP="00D45A46">
            <w:pPr>
              <w:jc w:val="both"/>
              <w:rPr>
                <w:bCs/>
                <w:color w:val="002060"/>
                <w:sz w:val="16"/>
                <w:szCs w:val="16"/>
              </w:rPr>
            </w:pPr>
            <w:r w:rsidRPr="00DE096C">
              <w:rPr>
                <w:bCs/>
                <w:color w:val="002060"/>
                <w:sz w:val="16"/>
                <w:szCs w:val="16"/>
              </w:rPr>
              <w:t>24</w:t>
            </w:r>
          </w:p>
        </w:tc>
        <w:tc>
          <w:tcPr>
            <w:tcW w:w="681" w:type="dxa"/>
          </w:tcPr>
          <w:p w14:paraId="290A28D3" w14:textId="77777777" w:rsidR="00E65727" w:rsidRPr="00DE096C" w:rsidRDefault="00E65727" w:rsidP="00D45A46">
            <w:pPr>
              <w:jc w:val="both"/>
              <w:rPr>
                <w:bCs/>
                <w:color w:val="002060"/>
                <w:sz w:val="16"/>
                <w:szCs w:val="16"/>
              </w:rPr>
            </w:pPr>
            <w:r w:rsidRPr="00DE096C">
              <w:rPr>
                <w:bCs/>
                <w:color w:val="002060"/>
                <w:sz w:val="16"/>
                <w:szCs w:val="16"/>
              </w:rPr>
              <w:t>53</w:t>
            </w:r>
          </w:p>
        </w:tc>
        <w:tc>
          <w:tcPr>
            <w:tcW w:w="681" w:type="dxa"/>
          </w:tcPr>
          <w:p w14:paraId="05CCFF5F" w14:textId="77777777" w:rsidR="00E65727" w:rsidRPr="00DE096C" w:rsidRDefault="00E65727" w:rsidP="00D45A46">
            <w:pPr>
              <w:jc w:val="both"/>
              <w:rPr>
                <w:bCs/>
                <w:color w:val="002060"/>
                <w:sz w:val="16"/>
                <w:szCs w:val="16"/>
              </w:rPr>
            </w:pPr>
            <w:r w:rsidRPr="00DE096C">
              <w:rPr>
                <w:bCs/>
                <w:color w:val="002060"/>
                <w:sz w:val="16"/>
                <w:szCs w:val="16"/>
              </w:rPr>
              <w:t>79</w:t>
            </w:r>
          </w:p>
        </w:tc>
        <w:tc>
          <w:tcPr>
            <w:tcW w:w="588" w:type="dxa"/>
          </w:tcPr>
          <w:p w14:paraId="246D9563" w14:textId="77777777" w:rsidR="00E65727" w:rsidRPr="00DE096C" w:rsidRDefault="00E65727" w:rsidP="00D45A46">
            <w:pPr>
              <w:jc w:val="both"/>
              <w:rPr>
                <w:bCs/>
                <w:color w:val="002060"/>
                <w:sz w:val="16"/>
                <w:szCs w:val="16"/>
              </w:rPr>
            </w:pPr>
            <w:r w:rsidRPr="00DE096C">
              <w:rPr>
                <w:bCs/>
                <w:color w:val="002060"/>
                <w:sz w:val="16"/>
                <w:szCs w:val="16"/>
              </w:rPr>
              <w:t>—</w:t>
            </w:r>
          </w:p>
        </w:tc>
        <w:tc>
          <w:tcPr>
            <w:tcW w:w="588" w:type="dxa"/>
          </w:tcPr>
          <w:p w14:paraId="1B08C172" w14:textId="77777777" w:rsidR="00E65727" w:rsidRPr="00DE096C" w:rsidRDefault="00E65727" w:rsidP="00D45A46">
            <w:pPr>
              <w:jc w:val="both"/>
              <w:rPr>
                <w:bCs/>
                <w:color w:val="002060"/>
                <w:sz w:val="16"/>
                <w:szCs w:val="16"/>
              </w:rPr>
            </w:pPr>
            <w:r w:rsidRPr="00DE096C">
              <w:rPr>
                <w:bCs/>
                <w:color w:val="002060"/>
                <w:sz w:val="16"/>
                <w:szCs w:val="16"/>
              </w:rPr>
              <w:t>—</w:t>
            </w:r>
          </w:p>
        </w:tc>
        <w:tc>
          <w:tcPr>
            <w:tcW w:w="588" w:type="dxa"/>
          </w:tcPr>
          <w:p w14:paraId="39F1FB05" w14:textId="77777777" w:rsidR="00E65727" w:rsidRPr="00DE096C" w:rsidRDefault="00E65727" w:rsidP="00D45A46">
            <w:pPr>
              <w:jc w:val="both"/>
              <w:rPr>
                <w:bCs/>
                <w:color w:val="002060"/>
                <w:sz w:val="16"/>
                <w:szCs w:val="16"/>
              </w:rPr>
            </w:pPr>
            <w:r w:rsidRPr="00DE096C">
              <w:rPr>
                <w:bCs/>
                <w:color w:val="002060"/>
                <w:sz w:val="16"/>
                <w:szCs w:val="16"/>
              </w:rPr>
              <w:t>—</w:t>
            </w:r>
          </w:p>
        </w:tc>
        <w:tc>
          <w:tcPr>
            <w:tcW w:w="600" w:type="dxa"/>
          </w:tcPr>
          <w:p w14:paraId="1337C908" w14:textId="77777777" w:rsidR="00E65727" w:rsidRPr="00DE096C" w:rsidRDefault="00E65727" w:rsidP="00D45A46">
            <w:pPr>
              <w:jc w:val="both"/>
              <w:rPr>
                <w:bCs/>
                <w:color w:val="002060"/>
                <w:sz w:val="16"/>
                <w:szCs w:val="16"/>
              </w:rPr>
            </w:pPr>
            <w:r w:rsidRPr="00DE096C">
              <w:rPr>
                <w:bCs/>
                <w:color w:val="002060"/>
                <w:sz w:val="16"/>
                <w:szCs w:val="16"/>
              </w:rPr>
              <w:t>—</w:t>
            </w:r>
          </w:p>
        </w:tc>
      </w:tr>
      <w:tr w:rsidR="00E65727" w:rsidRPr="00DE096C" w14:paraId="3308A238" w14:textId="77777777" w:rsidTr="00D34AC1">
        <w:tc>
          <w:tcPr>
            <w:tcW w:w="2040" w:type="dxa"/>
          </w:tcPr>
          <w:p w14:paraId="407D323C" w14:textId="77777777" w:rsidR="00E65727" w:rsidRPr="00DE096C" w:rsidRDefault="00E65727" w:rsidP="00D45A46">
            <w:pPr>
              <w:jc w:val="both"/>
              <w:rPr>
                <w:bCs/>
                <w:color w:val="002060"/>
                <w:sz w:val="16"/>
                <w:szCs w:val="16"/>
              </w:rPr>
            </w:pPr>
            <w:r w:rsidRPr="00DE096C">
              <w:rPr>
                <w:bCs/>
                <w:color w:val="002060"/>
                <w:sz w:val="16"/>
                <w:szCs w:val="16"/>
              </w:rPr>
              <w:t>Платформы деревянные под орудия</w:t>
            </w:r>
          </w:p>
        </w:tc>
        <w:tc>
          <w:tcPr>
            <w:tcW w:w="588" w:type="dxa"/>
          </w:tcPr>
          <w:p w14:paraId="1DFCF7E6" w14:textId="77777777" w:rsidR="00E65727" w:rsidRPr="00DE096C" w:rsidRDefault="00E65727" w:rsidP="00D45A46">
            <w:pPr>
              <w:jc w:val="both"/>
              <w:rPr>
                <w:bCs/>
                <w:color w:val="002060"/>
                <w:sz w:val="16"/>
                <w:szCs w:val="16"/>
              </w:rPr>
            </w:pPr>
            <w:r w:rsidRPr="00DE096C">
              <w:rPr>
                <w:bCs/>
                <w:color w:val="002060"/>
                <w:sz w:val="16"/>
                <w:szCs w:val="16"/>
              </w:rPr>
              <w:t>1</w:t>
            </w:r>
          </w:p>
        </w:tc>
        <w:tc>
          <w:tcPr>
            <w:tcW w:w="588" w:type="dxa"/>
          </w:tcPr>
          <w:p w14:paraId="0CBEECB4" w14:textId="77777777" w:rsidR="00E65727" w:rsidRPr="00DE096C" w:rsidRDefault="00E65727" w:rsidP="00D45A46">
            <w:pPr>
              <w:jc w:val="both"/>
              <w:rPr>
                <w:bCs/>
                <w:color w:val="002060"/>
                <w:sz w:val="16"/>
                <w:szCs w:val="16"/>
              </w:rPr>
            </w:pPr>
            <w:r w:rsidRPr="00DE096C">
              <w:rPr>
                <w:bCs/>
                <w:color w:val="002060"/>
                <w:sz w:val="16"/>
                <w:szCs w:val="16"/>
              </w:rPr>
              <w:t>53</w:t>
            </w:r>
          </w:p>
        </w:tc>
        <w:tc>
          <w:tcPr>
            <w:tcW w:w="681" w:type="dxa"/>
          </w:tcPr>
          <w:p w14:paraId="138B6712" w14:textId="77777777" w:rsidR="00E65727" w:rsidRPr="00DE096C" w:rsidRDefault="00E65727" w:rsidP="00D45A46">
            <w:pPr>
              <w:jc w:val="both"/>
              <w:rPr>
                <w:bCs/>
                <w:color w:val="002060"/>
                <w:sz w:val="16"/>
                <w:szCs w:val="16"/>
              </w:rPr>
            </w:pPr>
            <w:r w:rsidRPr="00DE096C">
              <w:rPr>
                <w:bCs/>
                <w:color w:val="002060"/>
                <w:sz w:val="16"/>
                <w:szCs w:val="16"/>
              </w:rPr>
              <w:t>—</w:t>
            </w:r>
          </w:p>
        </w:tc>
        <w:tc>
          <w:tcPr>
            <w:tcW w:w="681" w:type="dxa"/>
          </w:tcPr>
          <w:p w14:paraId="65FDE16C" w14:textId="77777777" w:rsidR="00E65727" w:rsidRPr="00DE096C" w:rsidRDefault="00E65727" w:rsidP="00D45A46">
            <w:pPr>
              <w:jc w:val="both"/>
              <w:rPr>
                <w:bCs/>
                <w:color w:val="002060"/>
                <w:sz w:val="16"/>
                <w:szCs w:val="16"/>
              </w:rPr>
            </w:pPr>
            <w:r w:rsidRPr="00DE096C">
              <w:rPr>
                <w:bCs/>
                <w:color w:val="002060"/>
                <w:sz w:val="16"/>
                <w:szCs w:val="16"/>
              </w:rPr>
              <w:t>54</w:t>
            </w:r>
          </w:p>
        </w:tc>
        <w:tc>
          <w:tcPr>
            <w:tcW w:w="588" w:type="dxa"/>
          </w:tcPr>
          <w:p w14:paraId="57BDDBCD" w14:textId="77777777" w:rsidR="00E65727" w:rsidRPr="00DE096C" w:rsidRDefault="00E65727" w:rsidP="00D45A46">
            <w:pPr>
              <w:jc w:val="both"/>
              <w:rPr>
                <w:bCs/>
                <w:color w:val="002060"/>
                <w:sz w:val="16"/>
                <w:szCs w:val="16"/>
              </w:rPr>
            </w:pPr>
            <w:r w:rsidRPr="00DE096C">
              <w:rPr>
                <w:bCs/>
                <w:color w:val="002060"/>
                <w:sz w:val="16"/>
                <w:szCs w:val="16"/>
              </w:rPr>
              <w:t>—</w:t>
            </w:r>
          </w:p>
        </w:tc>
        <w:tc>
          <w:tcPr>
            <w:tcW w:w="588" w:type="dxa"/>
          </w:tcPr>
          <w:p w14:paraId="29A63312" w14:textId="77777777" w:rsidR="00E65727" w:rsidRPr="00DE096C" w:rsidRDefault="00E65727" w:rsidP="00D45A46">
            <w:pPr>
              <w:jc w:val="both"/>
              <w:rPr>
                <w:bCs/>
                <w:color w:val="002060"/>
                <w:sz w:val="16"/>
                <w:szCs w:val="16"/>
              </w:rPr>
            </w:pPr>
            <w:r w:rsidRPr="00DE096C">
              <w:rPr>
                <w:bCs/>
                <w:color w:val="002060"/>
                <w:sz w:val="16"/>
                <w:szCs w:val="16"/>
              </w:rPr>
              <w:t>—</w:t>
            </w:r>
          </w:p>
        </w:tc>
        <w:tc>
          <w:tcPr>
            <w:tcW w:w="588" w:type="dxa"/>
          </w:tcPr>
          <w:p w14:paraId="68020D15" w14:textId="77777777" w:rsidR="00E65727" w:rsidRPr="00DE096C" w:rsidRDefault="00E65727" w:rsidP="00D45A46">
            <w:pPr>
              <w:jc w:val="both"/>
              <w:rPr>
                <w:bCs/>
                <w:color w:val="002060"/>
                <w:sz w:val="16"/>
                <w:szCs w:val="16"/>
              </w:rPr>
            </w:pPr>
            <w:r w:rsidRPr="00DE096C">
              <w:rPr>
                <w:bCs/>
                <w:color w:val="002060"/>
                <w:sz w:val="16"/>
                <w:szCs w:val="16"/>
              </w:rPr>
              <w:t>—</w:t>
            </w:r>
          </w:p>
        </w:tc>
        <w:tc>
          <w:tcPr>
            <w:tcW w:w="600" w:type="dxa"/>
          </w:tcPr>
          <w:p w14:paraId="31BCCCC6" w14:textId="77777777" w:rsidR="00E65727" w:rsidRPr="00DE096C" w:rsidRDefault="00E65727" w:rsidP="00D45A46">
            <w:pPr>
              <w:jc w:val="both"/>
              <w:rPr>
                <w:bCs/>
                <w:color w:val="002060"/>
                <w:sz w:val="16"/>
                <w:szCs w:val="16"/>
              </w:rPr>
            </w:pPr>
            <w:r w:rsidRPr="00DE096C">
              <w:rPr>
                <w:bCs/>
                <w:color w:val="002060"/>
                <w:sz w:val="16"/>
                <w:szCs w:val="16"/>
              </w:rPr>
              <w:t>—</w:t>
            </w:r>
          </w:p>
        </w:tc>
      </w:tr>
      <w:tr w:rsidR="00E65727" w:rsidRPr="00DE096C" w14:paraId="199B1DD7" w14:textId="77777777" w:rsidTr="00D34AC1">
        <w:tc>
          <w:tcPr>
            <w:tcW w:w="2040" w:type="dxa"/>
          </w:tcPr>
          <w:p w14:paraId="6D441376" w14:textId="77777777" w:rsidR="00E65727" w:rsidRPr="00DE096C" w:rsidRDefault="00E65727" w:rsidP="00D45A46">
            <w:pPr>
              <w:jc w:val="both"/>
              <w:rPr>
                <w:bCs/>
                <w:color w:val="002060"/>
                <w:sz w:val="16"/>
                <w:szCs w:val="16"/>
              </w:rPr>
            </w:pPr>
            <w:r w:rsidRPr="00DE096C">
              <w:rPr>
                <w:bCs/>
                <w:color w:val="002060"/>
                <w:sz w:val="16"/>
                <w:szCs w:val="16"/>
              </w:rPr>
              <w:t>Приспособления для стрельбы без платформ</w:t>
            </w:r>
          </w:p>
        </w:tc>
        <w:tc>
          <w:tcPr>
            <w:tcW w:w="588" w:type="dxa"/>
          </w:tcPr>
          <w:p w14:paraId="67AB7CE4" w14:textId="77777777" w:rsidR="00E65727" w:rsidRPr="00DE096C" w:rsidRDefault="00E65727" w:rsidP="00D45A46">
            <w:pPr>
              <w:jc w:val="both"/>
              <w:rPr>
                <w:bCs/>
                <w:color w:val="002060"/>
                <w:sz w:val="16"/>
                <w:szCs w:val="16"/>
              </w:rPr>
            </w:pPr>
            <w:r w:rsidRPr="00DE096C">
              <w:rPr>
                <w:bCs/>
                <w:color w:val="002060"/>
                <w:sz w:val="16"/>
                <w:szCs w:val="16"/>
              </w:rPr>
              <w:t>—</w:t>
            </w:r>
          </w:p>
        </w:tc>
        <w:tc>
          <w:tcPr>
            <w:tcW w:w="588" w:type="dxa"/>
          </w:tcPr>
          <w:p w14:paraId="38E32DBD" w14:textId="77777777" w:rsidR="00E65727" w:rsidRPr="00DE096C" w:rsidRDefault="00E65727" w:rsidP="00D45A46">
            <w:pPr>
              <w:jc w:val="both"/>
              <w:rPr>
                <w:bCs/>
                <w:color w:val="002060"/>
                <w:sz w:val="16"/>
                <w:szCs w:val="16"/>
              </w:rPr>
            </w:pPr>
            <w:r w:rsidRPr="00DE096C">
              <w:rPr>
                <w:bCs/>
                <w:color w:val="002060"/>
                <w:sz w:val="16"/>
                <w:szCs w:val="16"/>
              </w:rPr>
              <w:t>454</w:t>
            </w:r>
          </w:p>
        </w:tc>
        <w:tc>
          <w:tcPr>
            <w:tcW w:w="681" w:type="dxa"/>
          </w:tcPr>
          <w:p w14:paraId="7E5E8F9C" w14:textId="77777777" w:rsidR="00E65727" w:rsidRPr="00DE096C" w:rsidRDefault="00E65727" w:rsidP="00D45A46">
            <w:pPr>
              <w:jc w:val="both"/>
              <w:rPr>
                <w:bCs/>
                <w:color w:val="002060"/>
                <w:sz w:val="16"/>
                <w:szCs w:val="16"/>
              </w:rPr>
            </w:pPr>
            <w:r w:rsidRPr="00DE096C">
              <w:rPr>
                <w:bCs/>
                <w:color w:val="002060"/>
                <w:sz w:val="16"/>
                <w:szCs w:val="16"/>
              </w:rPr>
              <w:t>828</w:t>
            </w:r>
          </w:p>
        </w:tc>
        <w:tc>
          <w:tcPr>
            <w:tcW w:w="681" w:type="dxa"/>
          </w:tcPr>
          <w:p w14:paraId="0CB85FB7" w14:textId="77777777" w:rsidR="00E65727" w:rsidRPr="00DE096C" w:rsidRDefault="00E65727" w:rsidP="00D45A46">
            <w:pPr>
              <w:jc w:val="both"/>
              <w:rPr>
                <w:bCs/>
                <w:color w:val="002060"/>
                <w:sz w:val="16"/>
                <w:szCs w:val="16"/>
              </w:rPr>
            </w:pPr>
            <w:r w:rsidRPr="00DE096C">
              <w:rPr>
                <w:bCs/>
                <w:color w:val="002060"/>
                <w:sz w:val="16"/>
                <w:szCs w:val="16"/>
              </w:rPr>
              <w:t>1.282</w:t>
            </w:r>
          </w:p>
        </w:tc>
        <w:tc>
          <w:tcPr>
            <w:tcW w:w="588" w:type="dxa"/>
          </w:tcPr>
          <w:p w14:paraId="183CB5B1" w14:textId="77777777" w:rsidR="00E65727" w:rsidRPr="00DE096C" w:rsidRDefault="00E65727" w:rsidP="00D45A46">
            <w:pPr>
              <w:jc w:val="both"/>
              <w:rPr>
                <w:bCs/>
                <w:color w:val="002060"/>
                <w:sz w:val="16"/>
                <w:szCs w:val="16"/>
              </w:rPr>
            </w:pPr>
            <w:r w:rsidRPr="00DE096C">
              <w:rPr>
                <w:bCs/>
                <w:color w:val="002060"/>
                <w:sz w:val="16"/>
                <w:szCs w:val="16"/>
              </w:rPr>
              <w:t>—</w:t>
            </w:r>
          </w:p>
        </w:tc>
        <w:tc>
          <w:tcPr>
            <w:tcW w:w="588" w:type="dxa"/>
          </w:tcPr>
          <w:p w14:paraId="6C130258" w14:textId="77777777" w:rsidR="00E65727" w:rsidRPr="00DE096C" w:rsidRDefault="00E65727" w:rsidP="00D45A46">
            <w:pPr>
              <w:jc w:val="both"/>
              <w:rPr>
                <w:bCs/>
                <w:color w:val="002060"/>
                <w:sz w:val="16"/>
                <w:szCs w:val="16"/>
              </w:rPr>
            </w:pPr>
            <w:r w:rsidRPr="00DE096C">
              <w:rPr>
                <w:bCs/>
                <w:color w:val="002060"/>
                <w:sz w:val="16"/>
                <w:szCs w:val="16"/>
              </w:rPr>
              <w:t>—</w:t>
            </w:r>
          </w:p>
        </w:tc>
        <w:tc>
          <w:tcPr>
            <w:tcW w:w="588" w:type="dxa"/>
          </w:tcPr>
          <w:p w14:paraId="304DC8E7" w14:textId="77777777" w:rsidR="00E65727" w:rsidRPr="00DE096C" w:rsidRDefault="00E65727" w:rsidP="00D45A46">
            <w:pPr>
              <w:jc w:val="both"/>
              <w:rPr>
                <w:bCs/>
                <w:color w:val="002060"/>
                <w:sz w:val="16"/>
                <w:szCs w:val="16"/>
              </w:rPr>
            </w:pPr>
            <w:r w:rsidRPr="00DE096C">
              <w:rPr>
                <w:bCs/>
                <w:color w:val="002060"/>
                <w:sz w:val="16"/>
                <w:szCs w:val="16"/>
              </w:rPr>
              <w:t>—</w:t>
            </w:r>
          </w:p>
        </w:tc>
        <w:tc>
          <w:tcPr>
            <w:tcW w:w="600" w:type="dxa"/>
          </w:tcPr>
          <w:p w14:paraId="33212527" w14:textId="77777777" w:rsidR="00E65727" w:rsidRPr="00DE096C" w:rsidRDefault="00E65727" w:rsidP="00D45A46">
            <w:pPr>
              <w:jc w:val="both"/>
              <w:rPr>
                <w:bCs/>
                <w:color w:val="002060"/>
                <w:sz w:val="16"/>
                <w:szCs w:val="16"/>
              </w:rPr>
            </w:pPr>
            <w:r w:rsidRPr="00DE096C">
              <w:rPr>
                <w:bCs/>
                <w:color w:val="002060"/>
                <w:sz w:val="16"/>
                <w:szCs w:val="16"/>
              </w:rPr>
              <w:t>—</w:t>
            </w:r>
          </w:p>
        </w:tc>
      </w:tr>
      <w:tr w:rsidR="00E65727" w:rsidRPr="00DE096C" w14:paraId="45DE4EF9" w14:textId="77777777" w:rsidTr="00D34AC1">
        <w:tc>
          <w:tcPr>
            <w:tcW w:w="2040" w:type="dxa"/>
          </w:tcPr>
          <w:p w14:paraId="6ED47E52" w14:textId="77777777" w:rsidR="00E65727" w:rsidRPr="00DE096C" w:rsidRDefault="00E65727" w:rsidP="00D45A46">
            <w:pPr>
              <w:jc w:val="both"/>
              <w:rPr>
                <w:bCs/>
                <w:color w:val="002060"/>
                <w:sz w:val="16"/>
                <w:szCs w:val="16"/>
              </w:rPr>
            </w:pPr>
            <w:r w:rsidRPr="00DE096C">
              <w:rPr>
                <w:bCs/>
                <w:color w:val="002060"/>
                <w:sz w:val="16"/>
                <w:szCs w:val="16"/>
              </w:rPr>
              <w:t>Треноги</w:t>
            </w:r>
          </w:p>
        </w:tc>
        <w:tc>
          <w:tcPr>
            <w:tcW w:w="588" w:type="dxa"/>
          </w:tcPr>
          <w:p w14:paraId="68FEF8FC" w14:textId="77777777" w:rsidR="00E65727" w:rsidRPr="00DE096C" w:rsidRDefault="00E65727" w:rsidP="00D45A46">
            <w:pPr>
              <w:jc w:val="both"/>
              <w:rPr>
                <w:bCs/>
                <w:color w:val="002060"/>
                <w:sz w:val="16"/>
                <w:szCs w:val="16"/>
              </w:rPr>
            </w:pPr>
            <w:r w:rsidRPr="00DE096C">
              <w:rPr>
                <w:bCs/>
                <w:color w:val="002060"/>
                <w:sz w:val="16"/>
                <w:szCs w:val="16"/>
              </w:rPr>
              <w:t>962</w:t>
            </w:r>
          </w:p>
        </w:tc>
        <w:tc>
          <w:tcPr>
            <w:tcW w:w="588" w:type="dxa"/>
          </w:tcPr>
          <w:p w14:paraId="18A2DCA7" w14:textId="77777777" w:rsidR="00E65727" w:rsidRPr="00DE096C" w:rsidRDefault="00E65727" w:rsidP="00D45A46">
            <w:pPr>
              <w:jc w:val="both"/>
              <w:rPr>
                <w:bCs/>
                <w:color w:val="002060"/>
                <w:sz w:val="16"/>
                <w:szCs w:val="16"/>
              </w:rPr>
            </w:pPr>
            <w:r w:rsidRPr="00DE096C">
              <w:rPr>
                <w:bCs/>
                <w:color w:val="002060"/>
                <w:sz w:val="16"/>
                <w:szCs w:val="16"/>
              </w:rPr>
              <w:t>1.660</w:t>
            </w:r>
          </w:p>
        </w:tc>
        <w:tc>
          <w:tcPr>
            <w:tcW w:w="681" w:type="dxa"/>
          </w:tcPr>
          <w:p w14:paraId="3AF7A4DF" w14:textId="77777777" w:rsidR="00E65727" w:rsidRPr="00DE096C" w:rsidRDefault="00E65727" w:rsidP="00D45A46">
            <w:pPr>
              <w:jc w:val="both"/>
              <w:rPr>
                <w:bCs/>
                <w:color w:val="002060"/>
                <w:sz w:val="16"/>
                <w:szCs w:val="16"/>
              </w:rPr>
            </w:pPr>
            <w:r w:rsidRPr="00DE096C">
              <w:rPr>
                <w:bCs/>
                <w:color w:val="002060"/>
                <w:sz w:val="16"/>
                <w:szCs w:val="16"/>
              </w:rPr>
              <w:t>635</w:t>
            </w:r>
          </w:p>
        </w:tc>
        <w:tc>
          <w:tcPr>
            <w:tcW w:w="681" w:type="dxa"/>
          </w:tcPr>
          <w:p w14:paraId="497CCD50" w14:textId="77777777" w:rsidR="00E65727" w:rsidRPr="00DE096C" w:rsidRDefault="00E65727" w:rsidP="00D45A46">
            <w:pPr>
              <w:jc w:val="both"/>
              <w:rPr>
                <w:bCs/>
                <w:color w:val="002060"/>
                <w:sz w:val="16"/>
                <w:szCs w:val="16"/>
              </w:rPr>
            </w:pPr>
            <w:r w:rsidRPr="00DE096C">
              <w:rPr>
                <w:bCs/>
                <w:color w:val="002060"/>
                <w:sz w:val="16"/>
                <w:szCs w:val="16"/>
              </w:rPr>
              <w:t>3.257</w:t>
            </w:r>
          </w:p>
        </w:tc>
        <w:tc>
          <w:tcPr>
            <w:tcW w:w="588" w:type="dxa"/>
          </w:tcPr>
          <w:p w14:paraId="53DD48C8" w14:textId="77777777" w:rsidR="00E65727" w:rsidRPr="00DE096C" w:rsidRDefault="00E65727" w:rsidP="00D45A46">
            <w:pPr>
              <w:jc w:val="both"/>
              <w:rPr>
                <w:bCs/>
                <w:color w:val="002060"/>
                <w:sz w:val="16"/>
                <w:szCs w:val="16"/>
              </w:rPr>
            </w:pPr>
            <w:r w:rsidRPr="00DE096C">
              <w:rPr>
                <w:bCs/>
                <w:color w:val="002060"/>
                <w:sz w:val="16"/>
                <w:szCs w:val="16"/>
              </w:rPr>
              <w:t>154</w:t>
            </w:r>
          </w:p>
        </w:tc>
        <w:tc>
          <w:tcPr>
            <w:tcW w:w="588" w:type="dxa"/>
          </w:tcPr>
          <w:p w14:paraId="6B3E0EE0" w14:textId="77777777" w:rsidR="00E65727" w:rsidRPr="00DE096C" w:rsidRDefault="00E65727" w:rsidP="00D45A46">
            <w:pPr>
              <w:jc w:val="both"/>
              <w:rPr>
                <w:bCs/>
                <w:color w:val="002060"/>
                <w:sz w:val="16"/>
                <w:szCs w:val="16"/>
              </w:rPr>
            </w:pPr>
            <w:r w:rsidRPr="00DE096C">
              <w:rPr>
                <w:bCs/>
                <w:color w:val="002060"/>
                <w:sz w:val="16"/>
                <w:szCs w:val="16"/>
              </w:rPr>
              <w:t>32</w:t>
            </w:r>
          </w:p>
        </w:tc>
        <w:tc>
          <w:tcPr>
            <w:tcW w:w="588" w:type="dxa"/>
          </w:tcPr>
          <w:p w14:paraId="46CD88A2" w14:textId="77777777" w:rsidR="00E65727" w:rsidRPr="00DE096C" w:rsidRDefault="00E65727" w:rsidP="00D45A46">
            <w:pPr>
              <w:jc w:val="both"/>
              <w:rPr>
                <w:bCs/>
                <w:color w:val="002060"/>
                <w:sz w:val="16"/>
                <w:szCs w:val="16"/>
              </w:rPr>
            </w:pPr>
            <w:r w:rsidRPr="00DE096C">
              <w:rPr>
                <w:bCs/>
                <w:color w:val="002060"/>
                <w:sz w:val="16"/>
                <w:szCs w:val="16"/>
              </w:rPr>
              <w:t>4</w:t>
            </w:r>
          </w:p>
        </w:tc>
        <w:tc>
          <w:tcPr>
            <w:tcW w:w="600" w:type="dxa"/>
          </w:tcPr>
          <w:p w14:paraId="55FF7FFF" w14:textId="77777777" w:rsidR="00E65727" w:rsidRPr="00DE096C" w:rsidRDefault="00E65727" w:rsidP="00D45A46">
            <w:pPr>
              <w:jc w:val="both"/>
              <w:rPr>
                <w:bCs/>
                <w:color w:val="002060"/>
                <w:sz w:val="16"/>
                <w:szCs w:val="16"/>
              </w:rPr>
            </w:pPr>
            <w:r w:rsidRPr="00DE096C">
              <w:rPr>
                <w:bCs/>
                <w:color w:val="002060"/>
                <w:sz w:val="16"/>
                <w:szCs w:val="16"/>
              </w:rPr>
              <w:t>190</w:t>
            </w:r>
          </w:p>
        </w:tc>
      </w:tr>
      <w:tr w:rsidR="00E65727" w:rsidRPr="00DE096C" w14:paraId="56F6392B" w14:textId="77777777" w:rsidTr="00D34AC1">
        <w:tc>
          <w:tcPr>
            <w:tcW w:w="2040" w:type="dxa"/>
          </w:tcPr>
          <w:p w14:paraId="7C889187" w14:textId="77777777" w:rsidR="00E65727" w:rsidRPr="00DE096C" w:rsidRDefault="00E65727" w:rsidP="00D45A46">
            <w:pPr>
              <w:jc w:val="both"/>
              <w:rPr>
                <w:bCs/>
                <w:color w:val="002060"/>
                <w:sz w:val="16"/>
                <w:szCs w:val="16"/>
              </w:rPr>
            </w:pPr>
            <w:r w:rsidRPr="00DE096C">
              <w:rPr>
                <w:bCs/>
                <w:color w:val="002060"/>
                <w:sz w:val="16"/>
                <w:szCs w:val="16"/>
              </w:rPr>
              <w:t>Седла и амуниция</w:t>
            </w:r>
          </w:p>
        </w:tc>
        <w:tc>
          <w:tcPr>
            <w:tcW w:w="588" w:type="dxa"/>
          </w:tcPr>
          <w:p w14:paraId="1E43D78A" w14:textId="77777777" w:rsidR="00E65727" w:rsidRPr="00DE096C" w:rsidRDefault="00E65727" w:rsidP="00D45A46">
            <w:pPr>
              <w:jc w:val="both"/>
              <w:rPr>
                <w:bCs/>
                <w:color w:val="002060"/>
                <w:sz w:val="16"/>
                <w:szCs w:val="16"/>
              </w:rPr>
            </w:pPr>
            <w:r w:rsidRPr="00DE096C">
              <w:rPr>
                <w:bCs/>
                <w:color w:val="002060"/>
                <w:sz w:val="16"/>
                <w:szCs w:val="16"/>
              </w:rPr>
              <w:t>2.543</w:t>
            </w:r>
          </w:p>
        </w:tc>
        <w:tc>
          <w:tcPr>
            <w:tcW w:w="588" w:type="dxa"/>
          </w:tcPr>
          <w:p w14:paraId="2BB08766" w14:textId="77777777" w:rsidR="00E65727" w:rsidRPr="00DE096C" w:rsidRDefault="00E65727" w:rsidP="00D45A46">
            <w:pPr>
              <w:jc w:val="both"/>
              <w:rPr>
                <w:bCs/>
                <w:color w:val="002060"/>
                <w:sz w:val="16"/>
                <w:szCs w:val="16"/>
              </w:rPr>
            </w:pPr>
            <w:r w:rsidRPr="00DE096C">
              <w:rPr>
                <w:bCs/>
                <w:color w:val="002060"/>
                <w:sz w:val="16"/>
                <w:szCs w:val="16"/>
              </w:rPr>
              <w:t>3.706</w:t>
            </w:r>
          </w:p>
        </w:tc>
        <w:tc>
          <w:tcPr>
            <w:tcW w:w="681" w:type="dxa"/>
          </w:tcPr>
          <w:p w14:paraId="2E472BB9" w14:textId="77777777" w:rsidR="00E65727" w:rsidRPr="00DE096C" w:rsidRDefault="00E65727" w:rsidP="00D45A46">
            <w:pPr>
              <w:jc w:val="both"/>
              <w:rPr>
                <w:bCs/>
                <w:color w:val="002060"/>
                <w:sz w:val="16"/>
                <w:szCs w:val="16"/>
              </w:rPr>
            </w:pPr>
            <w:r w:rsidRPr="00DE096C">
              <w:rPr>
                <w:bCs/>
                <w:color w:val="002060"/>
                <w:sz w:val="16"/>
                <w:szCs w:val="16"/>
              </w:rPr>
              <w:t>1.924</w:t>
            </w:r>
          </w:p>
        </w:tc>
        <w:tc>
          <w:tcPr>
            <w:tcW w:w="681" w:type="dxa"/>
          </w:tcPr>
          <w:p w14:paraId="7B651F9C" w14:textId="77777777" w:rsidR="00E65727" w:rsidRPr="00DE096C" w:rsidRDefault="00E65727" w:rsidP="00D45A46">
            <w:pPr>
              <w:jc w:val="both"/>
              <w:rPr>
                <w:bCs/>
                <w:color w:val="002060"/>
                <w:sz w:val="16"/>
                <w:szCs w:val="16"/>
              </w:rPr>
            </w:pPr>
            <w:r w:rsidRPr="00DE096C">
              <w:rPr>
                <w:bCs/>
                <w:color w:val="002060"/>
                <w:sz w:val="16"/>
                <w:szCs w:val="16"/>
              </w:rPr>
              <w:t>8.173</w:t>
            </w:r>
          </w:p>
        </w:tc>
        <w:tc>
          <w:tcPr>
            <w:tcW w:w="588" w:type="dxa"/>
          </w:tcPr>
          <w:p w14:paraId="717AA7D8" w14:textId="77777777" w:rsidR="00E65727" w:rsidRPr="00DE096C" w:rsidRDefault="00E65727" w:rsidP="00D45A46">
            <w:pPr>
              <w:jc w:val="both"/>
              <w:rPr>
                <w:bCs/>
                <w:color w:val="002060"/>
                <w:sz w:val="16"/>
                <w:szCs w:val="16"/>
              </w:rPr>
            </w:pPr>
            <w:r w:rsidRPr="00DE096C">
              <w:rPr>
                <w:bCs/>
                <w:color w:val="002060"/>
                <w:sz w:val="16"/>
                <w:szCs w:val="16"/>
              </w:rPr>
              <w:t>11</w:t>
            </w:r>
          </w:p>
        </w:tc>
        <w:tc>
          <w:tcPr>
            <w:tcW w:w="588" w:type="dxa"/>
          </w:tcPr>
          <w:p w14:paraId="0985F332" w14:textId="77777777" w:rsidR="00E65727" w:rsidRPr="00DE096C" w:rsidRDefault="00E65727" w:rsidP="00D45A46">
            <w:pPr>
              <w:jc w:val="both"/>
              <w:rPr>
                <w:bCs/>
                <w:color w:val="002060"/>
                <w:sz w:val="16"/>
                <w:szCs w:val="16"/>
              </w:rPr>
            </w:pPr>
            <w:r w:rsidRPr="00DE096C">
              <w:rPr>
                <w:bCs/>
                <w:color w:val="002060"/>
                <w:sz w:val="16"/>
                <w:szCs w:val="16"/>
              </w:rPr>
              <w:t>—</w:t>
            </w:r>
          </w:p>
        </w:tc>
        <w:tc>
          <w:tcPr>
            <w:tcW w:w="588" w:type="dxa"/>
          </w:tcPr>
          <w:p w14:paraId="72CF8407" w14:textId="77777777" w:rsidR="00E65727" w:rsidRPr="00DE096C" w:rsidRDefault="00E65727" w:rsidP="00D45A46">
            <w:pPr>
              <w:jc w:val="both"/>
              <w:rPr>
                <w:bCs/>
                <w:color w:val="002060"/>
                <w:sz w:val="16"/>
                <w:szCs w:val="16"/>
              </w:rPr>
            </w:pPr>
            <w:r w:rsidRPr="00DE096C">
              <w:rPr>
                <w:bCs/>
                <w:color w:val="002060"/>
                <w:sz w:val="16"/>
                <w:szCs w:val="16"/>
              </w:rPr>
              <w:t>—</w:t>
            </w:r>
          </w:p>
        </w:tc>
        <w:tc>
          <w:tcPr>
            <w:tcW w:w="600" w:type="dxa"/>
          </w:tcPr>
          <w:p w14:paraId="1E08E998" w14:textId="77777777" w:rsidR="00E65727" w:rsidRPr="00DE096C" w:rsidRDefault="00E65727" w:rsidP="00D45A46">
            <w:pPr>
              <w:jc w:val="both"/>
              <w:rPr>
                <w:bCs/>
                <w:color w:val="002060"/>
                <w:sz w:val="16"/>
                <w:szCs w:val="16"/>
              </w:rPr>
            </w:pPr>
            <w:r w:rsidRPr="00DE096C">
              <w:rPr>
                <w:bCs/>
                <w:color w:val="002060"/>
                <w:sz w:val="16"/>
                <w:szCs w:val="16"/>
              </w:rPr>
              <w:t>11</w:t>
            </w:r>
          </w:p>
        </w:tc>
      </w:tr>
      <w:tr w:rsidR="00E65727" w:rsidRPr="00DE096C" w14:paraId="1341221B" w14:textId="77777777" w:rsidTr="00D34AC1">
        <w:tc>
          <w:tcPr>
            <w:tcW w:w="2040" w:type="dxa"/>
          </w:tcPr>
          <w:p w14:paraId="3EFC155E" w14:textId="77777777" w:rsidR="00E65727" w:rsidRPr="00DE096C" w:rsidRDefault="00E65727" w:rsidP="00D45A46">
            <w:pPr>
              <w:jc w:val="both"/>
              <w:rPr>
                <w:bCs/>
                <w:color w:val="002060"/>
                <w:sz w:val="16"/>
                <w:szCs w:val="16"/>
              </w:rPr>
            </w:pPr>
            <w:r w:rsidRPr="00DE096C">
              <w:rPr>
                <w:bCs/>
                <w:color w:val="002060"/>
                <w:sz w:val="16"/>
                <w:szCs w:val="16"/>
              </w:rPr>
              <w:t>Корпуса ручных гранат (млн шт.)</w:t>
            </w:r>
          </w:p>
        </w:tc>
        <w:tc>
          <w:tcPr>
            <w:tcW w:w="588" w:type="dxa"/>
          </w:tcPr>
          <w:p w14:paraId="67CC7C74" w14:textId="77777777" w:rsidR="00E65727" w:rsidRPr="00DE096C" w:rsidRDefault="00E65727" w:rsidP="00D45A46">
            <w:pPr>
              <w:jc w:val="both"/>
              <w:rPr>
                <w:bCs/>
                <w:color w:val="002060"/>
                <w:sz w:val="16"/>
                <w:szCs w:val="16"/>
              </w:rPr>
            </w:pPr>
            <w:r w:rsidRPr="00DE096C">
              <w:rPr>
                <w:bCs/>
                <w:color w:val="002060"/>
                <w:sz w:val="16"/>
                <w:szCs w:val="16"/>
              </w:rPr>
              <w:t>0,1</w:t>
            </w:r>
          </w:p>
        </w:tc>
        <w:tc>
          <w:tcPr>
            <w:tcW w:w="588" w:type="dxa"/>
          </w:tcPr>
          <w:p w14:paraId="2ACF6F05" w14:textId="77777777" w:rsidR="00E65727" w:rsidRPr="00DE096C" w:rsidRDefault="00E65727" w:rsidP="00D45A46">
            <w:pPr>
              <w:jc w:val="both"/>
              <w:rPr>
                <w:bCs/>
                <w:color w:val="002060"/>
                <w:sz w:val="16"/>
                <w:szCs w:val="16"/>
              </w:rPr>
            </w:pPr>
            <w:r w:rsidRPr="00DE096C">
              <w:rPr>
                <w:bCs/>
                <w:color w:val="002060"/>
                <w:sz w:val="16"/>
                <w:szCs w:val="16"/>
              </w:rPr>
              <w:t>1,5</w:t>
            </w:r>
          </w:p>
        </w:tc>
        <w:tc>
          <w:tcPr>
            <w:tcW w:w="681" w:type="dxa"/>
          </w:tcPr>
          <w:p w14:paraId="72E2D679" w14:textId="77777777" w:rsidR="00E65727" w:rsidRPr="00DE096C" w:rsidRDefault="00E65727" w:rsidP="00D45A46">
            <w:pPr>
              <w:jc w:val="both"/>
              <w:rPr>
                <w:bCs/>
                <w:color w:val="002060"/>
                <w:sz w:val="16"/>
                <w:szCs w:val="16"/>
              </w:rPr>
            </w:pPr>
            <w:r w:rsidRPr="00DE096C">
              <w:rPr>
                <w:bCs/>
                <w:color w:val="002060"/>
                <w:sz w:val="16"/>
                <w:szCs w:val="16"/>
              </w:rPr>
              <w:t>2,0</w:t>
            </w:r>
          </w:p>
        </w:tc>
        <w:tc>
          <w:tcPr>
            <w:tcW w:w="681" w:type="dxa"/>
          </w:tcPr>
          <w:p w14:paraId="034AE0FD" w14:textId="77777777" w:rsidR="00E65727" w:rsidRPr="00DE096C" w:rsidRDefault="00E65727" w:rsidP="00D45A46">
            <w:pPr>
              <w:jc w:val="both"/>
              <w:rPr>
                <w:bCs/>
                <w:color w:val="002060"/>
                <w:sz w:val="16"/>
                <w:szCs w:val="16"/>
              </w:rPr>
            </w:pPr>
            <w:r w:rsidRPr="00DE096C">
              <w:rPr>
                <w:bCs/>
                <w:color w:val="002060"/>
                <w:sz w:val="16"/>
                <w:szCs w:val="16"/>
              </w:rPr>
              <w:t>3,6</w:t>
            </w:r>
          </w:p>
        </w:tc>
        <w:tc>
          <w:tcPr>
            <w:tcW w:w="588" w:type="dxa"/>
          </w:tcPr>
          <w:p w14:paraId="6AA5F54B" w14:textId="77777777" w:rsidR="00E65727" w:rsidRPr="00DE096C" w:rsidRDefault="00E65727" w:rsidP="00D45A46">
            <w:pPr>
              <w:jc w:val="both"/>
              <w:rPr>
                <w:bCs/>
                <w:color w:val="002060"/>
                <w:sz w:val="16"/>
                <w:szCs w:val="16"/>
              </w:rPr>
            </w:pPr>
            <w:r w:rsidRPr="00DE096C">
              <w:rPr>
                <w:bCs/>
                <w:color w:val="002060"/>
                <w:sz w:val="16"/>
                <w:szCs w:val="16"/>
              </w:rPr>
              <w:t>—</w:t>
            </w:r>
          </w:p>
        </w:tc>
        <w:tc>
          <w:tcPr>
            <w:tcW w:w="588" w:type="dxa"/>
          </w:tcPr>
          <w:p w14:paraId="7BC01E9A" w14:textId="77777777" w:rsidR="00E65727" w:rsidRPr="00DE096C" w:rsidRDefault="00E65727" w:rsidP="00D45A46">
            <w:pPr>
              <w:jc w:val="both"/>
              <w:rPr>
                <w:bCs/>
                <w:color w:val="002060"/>
                <w:sz w:val="16"/>
                <w:szCs w:val="16"/>
              </w:rPr>
            </w:pPr>
            <w:r w:rsidRPr="00DE096C">
              <w:rPr>
                <w:bCs/>
                <w:color w:val="002060"/>
                <w:sz w:val="16"/>
                <w:szCs w:val="16"/>
              </w:rPr>
              <w:t>—</w:t>
            </w:r>
          </w:p>
        </w:tc>
        <w:tc>
          <w:tcPr>
            <w:tcW w:w="588" w:type="dxa"/>
          </w:tcPr>
          <w:p w14:paraId="1463016B" w14:textId="77777777" w:rsidR="00E65727" w:rsidRPr="00DE096C" w:rsidRDefault="00E65727" w:rsidP="00D45A46">
            <w:pPr>
              <w:jc w:val="both"/>
              <w:rPr>
                <w:bCs/>
                <w:color w:val="002060"/>
                <w:sz w:val="16"/>
                <w:szCs w:val="16"/>
              </w:rPr>
            </w:pPr>
            <w:r w:rsidRPr="00DE096C">
              <w:rPr>
                <w:bCs/>
                <w:color w:val="002060"/>
                <w:sz w:val="16"/>
                <w:szCs w:val="16"/>
              </w:rPr>
              <w:t>—</w:t>
            </w:r>
          </w:p>
        </w:tc>
        <w:tc>
          <w:tcPr>
            <w:tcW w:w="600" w:type="dxa"/>
          </w:tcPr>
          <w:p w14:paraId="353A28EF" w14:textId="77777777" w:rsidR="00E65727" w:rsidRPr="00DE096C" w:rsidRDefault="00E65727" w:rsidP="00D45A46">
            <w:pPr>
              <w:jc w:val="both"/>
              <w:rPr>
                <w:bCs/>
                <w:color w:val="002060"/>
                <w:sz w:val="16"/>
                <w:szCs w:val="16"/>
              </w:rPr>
            </w:pPr>
            <w:r w:rsidRPr="00DE096C">
              <w:rPr>
                <w:bCs/>
                <w:color w:val="002060"/>
                <w:sz w:val="16"/>
                <w:szCs w:val="16"/>
              </w:rPr>
              <w:t>—</w:t>
            </w:r>
          </w:p>
        </w:tc>
      </w:tr>
      <w:tr w:rsidR="00E65727" w:rsidRPr="00DE096C" w14:paraId="7D6F79BF" w14:textId="77777777" w:rsidTr="00D34AC1">
        <w:tc>
          <w:tcPr>
            <w:tcW w:w="2040" w:type="dxa"/>
          </w:tcPr>
          <w:p w14:paraId="44C63203" w14:textId="77777777" w:rsidR="00E65727" w:rsidRPr="00DE096C" w:rsidRDefault="00E65727" w:rsidP="00D45A46">
            <w:pPr>
              <w:jc w:val="both"/>
              <w:rPr>
                <w:bCs/>
                <w:color w:val="002060"/>
                <w:sz w:val="16"/>
                <w:szCs w:val="16"/>
              </w:rPr>
            </w:pPr>
            <w:r w:rsidRPr="00DE096C">
              <w:rPr>
                <w:bCs/>
                <w:color w:val="002060"/>
                <w:sz w:val="16"/>
                <w:szCs w:val="16"/>
              </w:rPr>
              <w:t>Втулки капсюльные</w:t>
            </w:r>
          </w:p>
        </w:tc>
        <w:tc>
          <w:tcPr>
            <w:tcW w:w="588" w:type="dxa"/>
          </w:tcPr>
          <w:p w14:paraId="02796C85" w14:textId="77777777" w:rsidR="00E65727" w:rsidRPr="00DE096C" w:rsidRDefault="00E65727" w:rsidP="00D45A46">
            <w:pPr>
              <w:jc w:val="both"/>
              <w:rPr>
                <w:bCs/>
                <w:color w:val="002060"/>
                <w:sz w:val="16"/>
                <w:szCs w:val="16"/>
              </w:rPr>
            </w:pPr>
            <w:r w:rsidRPr="00DE096C">
              <w:rPr>
                <w:bCs/>
                <w:color w:val="002060"/>
                <w:sz w:val="16"/>
                <w:szCs w:val="16"/>
              </w:rPr>
              <w:t>—</w:t>
            </w:r>
          </w:p>
        </w:tc>
        <w:tc>
          <w:tcPr>
            <w:tcW w:w="588" w:type="dxa"/>
          </w:tcPr>
          <w:p w14:paraId="0744CC1D" w14:textId="77777777" w:rsidR="00E65727" w:rsidRPr="00DE096C" w:rsidRDefault="00E65727" w:rsidP="00D45A46">
            <w:pPr>
              <w:jc w:val="both"/>
              <w:rPr>
                <w:bCs/>
                <w:color w:val="002060"/>
                <w:sz w:val="16"/>
                <w:szCs w:val="16"/>
              </w:rPr>
            </w:pPr>
            <w:r w:rsidRPr="00DE096C">
              <w:rPr>
                <w:bCs/>
                <w:color w:val="002060"/>
                <w:sz w:val="16"/>
                <w:szCs w:val="16"/>
              </w:rPr>
              <w:t>84.000</w:t>
            </w:r>
          </w:p>
        </w:tc>
        <w:tc>
          <w:tcPr>
            <w:tcW w:w="681" w:type="dxa"/>
          </w:tcPr>
          <w:p w14:paraId="755724F0" w14:textId="77777777" w:rsidR="00E65727" w:rsidRPr="00DE096C" w:rsidRDefault="00E65727" w:rsidP="00D45A46">
            <w:pPr>
              <w:jc w:val="both"/>
              <w:rPr>
                <w:bCs/>
                <w:color w:val="002060"/>
                <w:sz w:val="16"/>
                <w:szCs w:val="16"/>
              </w:rPr>
            </w:pPr>
            <w:r w:rsidRPr="00DE096C">
              <w:rPr>
                <w:bCs/>
                <w:color w:val="002060"/>
                <w:sz w:val="16"/>
                <w:szCs w:val="16"/>
              </w:rPr>
              <w:t>52.600</w:t>
            </w:r>
          </w:p>
        </w:tc>
        <w:tc>
          <w:tcPr>
            <w:tcW w:w="681" w:type="dxa"/>
          </w:tcPr>
          <w:p w14:paraId="2B31090F" w14:textId="77777777" w:rsidR="00E65727" w:rsidRPr="00DE096C" w:rsidRDefault="00E65727" w:rsidP="00D45A46">
            <w:pPr>
              <w:jc w:val="both"/>
              <w:rPr>
                <w:bCs/>
                <w:color w:val="002060"/>
                <w:sz w:val="16"/>
                <w:szCs w:val="16"/>
              </w:rPr>
            </w:pPr>
            <w:r w:rsidRPr="00DE096C">
              <w:rPr>
                <w:bCs/>
                <w:color w:val="002060"/>
                <w:sz w:val="16"/>
                <w:szCs w:val="16"/>
              </w:rPr>
              <w:t>136.600</w:t>
            </w:r>
          </w:p>
        </w:tc>
        <w:tc>
          <w:tcPr>
            <w:tcW w:w="588" w:type="dxa"/>
          </w:tcPr>
          <w:p w14:paraId="13355526" w14:textId="77777777" w:rsidR="00E65727" w:rsidRPr="00DE096C" w:rsidRDefault="00E65727" w:rsidP="00D45A46">
            <w:pPr>
              <w:jc w:val="both"/>
              <w:rPr>
                <w:bCs/>
                <w:color w:val="002060"/>
                <w:sz w:val="16"/>
                <w:szCs w:val="16"/>
              </w:rPr>
            </w:pPr>
            <w:r w:rsidRPr="00DE096C">
              <w:rPr>
                <w:bCs/>
                <w:color w:val="002060"/>
                <w:sz w:val="16"/>
                <w:szCs w:val="16"/>
              </w:rPr>
              <w:t>—</w:t>
            </w:r>
          </w:p>
        </w:tc>
        <w:tc>
          <w:tcPr>
            <w:tcW w:w="588" w:type="dxa"/>
          </w:tcPr>
          <w:p w14:paraId="00105E56" w14:textId="77777777" w:rsidR="00E65727" w:rsidRPr="00DE096C" w:rsidRDefault="00E65727" w:rsidP="00D45A46">
            <w:pPr>
              <w:jc w:val="both"/>
              <w:rPr>
                <w:bCs/>
                <w:color w:val="002060"/>
                <w:sz w:val="16"/>
                <w:szCs w:val="16"/>
              </w:rPr>
            </w:pPr>
            <w:r w:rsidRPr="00DE096C">
              <w:rPr>
                <w:bCs/>
                <w:color w:val="002060"/>
                <w:sz w:val="16"/>
                <w:szCs w:val="16"/>
              </w:rPr>
              <w:t>—</w:t>
            </w:r>
          </w:p>
        </w:tc>
        <w:tc>
          <w:tcPr>
            <w:tcW w:w="588" w:type="dxa"/>
          </w:tcPr>
          <w:p w14:paraId="0EFFC051" w14:textId="77777777" w:rsidR="00E65727" w:rsidRPr="00DE096C" w:rsidRDefault="00E65727" w:rsidP="00D45A46">
            <w:pPr>
              <w:jc w:val="both"/>
              <w:rPr>
                <w:bCs/>
                <w:color w:val="002060"/>
                <w:sz w:val="16"/>
                <w:szCs w:val="16"/>
              </w:rPr>
            </w:pPr>
            <w:r w:rsidRPr="00DE096C">
              <w:rPr>
                <w:bCs/>
                <w:color w:val="002060"/>
                <w:sz w:val="16"/>
                <w:szCs w:val="16"/>
              </w:rPr>
              <w:t>—</w:t>
            </w:r>
          </w:p>
        </w:tc>
        <w:tc>
          <w:tcPr>
            <w:tcW w:w="600" w:type="dxa"/>
          </w:tcPr>
          <w:p w14:paraId="0481AA50" w14:textId="77777777" w:rsidR="00E65727" w:rsidRPr="00DE096C" w:rsidRDefault="00E65727" w:rsidP="00D45A46">
            <w:pPr>
              <w:jc w:val="both"/>
              <w:rPr>
                <w:bCs/>
                <w:color w:val="002060"/>
                <w:sz w:val="16"/>
                <w:szCs w:val="16"/>
              </w:rPr>
            </w:pPr>
            <w:r w:rsidRPr="00DE096C">
              <w:rPr>
                <w:bCs/>
                <w:color w:val="002060"/>
                <w:sz w:val="16"/>
                <w:szCs w:val="16"/>
              </w:rPr>
              <w:t>—</w:t>
            </w:r>
          </w:p>
        </w:tc>
      </w:tr>
      <w:tr w:rsidR="00E65727" w:rsidRPr="00DE096C" w14:paraId="28B30C6D" w14:textId="77777777" w:rsidTr="00D34AC1">
        <w:tc>
          <w:tcPr>
            <w:tcW w:w="2040" w:type="dxa"/>
          </w:tcPr>
          <w:p w14:paraId="389E955C" w14:textId="77777777" w:rsidR="00E65727" w:rsidRPr="00DE096C" w:rsidRDefault="00E65727" w:rsidP="00D45A46">
            <w:pPr>
              <w:jc w:val="both"/>
              <w:rPr>
                <w:bCs/>
                <w:color w:val="002060"/>
                <w:sz w:val="16"/>
                <w:szCs w:val="16"/>
              </w:rPr>
            </w:pPr>
            <w:r w:rsidRPr="00DE096C">
              <w:rPr>
                <w:bCs/>
                <w:color w:val="002060"/>
                <w:sz w:val="16"/>
                <w:szCs w:val="16"/>
              </w:rPr>
              <w:t>Трубки дистанционные для ручных гранат</w:t>
            </w:r>
          </w:p>
        </w:tc>
        <w:tc>
          <w:tcPr>
            <w:tcW w:w="588" w:type="dxa"/>
          </w:tcPr>
          <w:p w14:paraId="36D4AD55" w14:textId="77777777" w:rsidR="00E65727" w:rsidRPr="00DE096C" w:rsidRDefault="00E65727" w:rsidP="00D45A46">
            <w:pPr>
              <w:jc w:val="both"/>
              <w:rPr>
                <w:bCs/>
                <w:color w:val="002060"/>
                <w:sz w:val="16"/>
                <w:szCs w:val="16"/>
              </w:rPr>
            </w:pPr>
            <w:r w:rsidRPr="00DE096C">
              <w:rPr>
                <w:bCs/>
                <w:color w:val="002060"/>
                <w:sz w:val="16"/>
                <w:szCs w:val="16"/>
              </w:rPr>
              <w:t>—</w:t>
            </w:r>
          </w:p>
        </w:tc>
        <w:tc>
          <w:tcPr>
            <w:tcW w:w="588" w:type="dxa"/>
          </w:tcPr>
          <w:p w14:paraId="180A7797" w14:textId="77777777" w:rsidR="00E65727" w:rsidRPr="00DE096C" w:rsidRDefault="00E65727" w:rsidP="00D45A46">
            <w:pPr>
              <w:jc w:val="both"/>
              <w:rPr>
                <w:bCs/>
                <w:color w:val="002060"/>
                <w:sz w:val="16"/>
                <w:szCs w:val="16"/>
              </w:rPr>
            </w:pPr>
            <w:r w:rsidRPr="00DE096C">
              <w:rPr>
                <w:bCs/>
                <w:color w:val="002060"/>
                <w:sz w:val="16"/>
                <w:szCs w:val="16"/>
              </w:rPr>
              <w:t>—</w:t>
            </w:r>
          </w:p>
        </w:tc>
        <w:tc>
          <w:tcPr>
            <w:tcW w:w="681" w:type="dxa"/>
          </w:tcPr>
          <w:p w14:paraId="649A89EF" w14:textId="77777777" w:rsidR="00E65727" w:rsidRPr="00DE096C" w:rsidRDefault="00E65727" w:rsidP="00D45A46">
            <w:pPr>
              <w:jc w:val="both"/>
              <w:rPr>
                <w:bCs/>
                <w:color w:val="002060"/>
                <w:sz w:val="16"/>
                <w:szCs w:val="16"/>
              </w:rPr>
            </w:pPr>
            <w:r w:rsidRPr="00DE096C">
              <w:rPr>
                <w:bCs/>
                <w:color w:val="002060"/>
                <w:sz w:val="16"/>
                <w:szCs w:val="16"/>
              </w:rPr>
              <w:t>249.050</w:t>
            </w:r>
          </w:p>
        </w:tc>
        <w:tc>
          <w:tcPr>
            <w:tcW w:w="681" w:type="dxa"/>
          </w:tcPr>
          <w:p w14:paraId="17AA8ADD" w14:textId="77777777" w:rsidR="00E65727" w:rsidRPr="00DE096C" w:rsidRDefault="00E65727" w:rsidP="00D45A46">
            <w:pPr>
              <w:jc w:val="both"/>
              <w:rPr>
                <w:bCs/>
                <w:color w:val="002060"/>
                <w:sz w:val="16"/>
                <w:szCs w:val="16"/>
              </w:rPr>
            </w:pPr>
            <w:r w:rsidRPr="00DE096C">
              <w:rPr>
                <w:bCs/>
                <w:color w:val="002060"/>
                <w:sz w:val="16"/>
                <w:szCs w:val="16"/>
              </w:rPr>
              <w:t>249.050</w:t>
            </w:r>
          </w:p>
        </w:tc>
        <w:tc>
          <w:tcPr>
            <w:tcW w:w="588" w:type="dxa"/>
          </w:tcPr>
          <w:p w14:paraId="049E0F7D" w14:textId="77777777" w:rsidR="00E65727" w:rsidRPr="00DE096C" w:rsidRDefault="00E65727" w:rsidP="00D45A46">
            <w:pPr>
              <w:jc w:val="both"/>
              <w:rPr>
                <w:bCs/>
                <w:color w:val="002060"/>
                <w:sz w:val="16"/>
                <w:szCs w:val="16"/>
              </w:rPr>
            </w:pPr>
            <w:r w:rsidRPr="00DE096C">
              <w:rPr>
                <w:bCs/>
                <w:color w:val="002060"/>
                <w:sz w:val="16"/>
                <w:szCs w:val="16"/>
              </w:rPr>
              <w:t>—</w:t>
            </w:r>
          </w:p>
        </w:tc>
        <w:tc>
          <w:tcPr>
            <w:tcW w:w="588" w:type="dxa"/>
          </w:tcPr>
          <w:p w14:paraId="3EC4E1A9" w14:textId="77777777" w:rsidR="00E65727" w:rsidRPr="00DE096C" w:rsidRDefault="00E65727" w:rsidP="00D45A46">
            <w:pPr>
              <w:jc w:val="both"/>
              <w:rPr>
                <w:bCs/>
                <w:color w:val="002060"/>
                <w:sz w:val="16"/>
                <w:szCs w:val="16"/>
              </w:rPr>
            </w:pPr>
            <w:r w:rsidRPr="00DE096C">
              <w:rPr>
                <w:bCs/>
                <w:color w:val="002060"/>
                <w:sz w:val="16"/>
                <w:szCs w:val="16"/>
              </w:rPr>
              <w:t>—</w:t>
            </w:r>
          </w:p>
        </w:tc>
        <w:tc>
          <w:tcPr>
            <w:tcW w:w="588" w:type="dxa"/>
          </w:tcPr>
          <w:p w14:paraId="2211F387" w14:textId="77777777" w:rsidR="00E65727" w:rsidRPr="00DE096C" w:rsidRDefault="00E65727" w:rsidP="00D45A46">
            <w:pPr>
              <w:jc w:val="both"/>
              <w:rPr>
                <w:bCs/>
                <w:color w:val="002060"/>
                <w:sz w:val="16"/>
                <w:szCs w:val="16"/>
              </w:rPr>
            </w:pPr>
            <w:r w:rsidRPr="00DE096C">
              <w:rPr>
                <w:bCs/>
                <w:color w:val="002060"/>
                <w:sz w:val="16"/>
                <w:szCs w:val="16"/>
              </w:rPr>
              <w:t>—</w:t>
            </w:r>
          </w:p>
        </w:tc>
        <w:tc>
          <w:tcPr>
            <w:tcW w:w="600" w:type="dxa"/>
          </w:tcPr>
          <w:p w14:paraId="25B8416F" w14:textId="77777777" w:rsidR="00E65727" w:rsidRPr="00DE096C" w:rsidRDefault="00E65727" w:rsidP="00D45A46">
            <w:pPr>
              <w:jc w:val="both"/>
              <w:rPr>
                <w:bCs/>
                <w:color w:val="002060"/>
                <w:sz w:val="16"/>
                <w:szCs w:val="16"/>
              </w:rPr>
            </w:pPr>
            <w:r w:rsidRPr="00DE096C">
              <w:rPr>
                <w:bCs/>
                <w:color w:val="002060"/>
                <w:sz w:val="16"/>
                <w:szCs w:val="16"/>
              </w:rPr>
              <w:t>—</w:t>
            </w:r>
          </w:p>
        </w:tc>
      </w:tr>
      <w:tr w:rsidR="00E65727" w:rsidRPr="00DE096C" w14:paraId="372B56B4" w14:textId="77777777" w:rsidTr="00D34AC1">
        <w:tc>
          <w:tcPr>
            <w:tcW w:w="2040" w:type="dxa"/>
          </w:tcPr>
          <w:p w14:paraId="77F087E9" w14:textId="77777777" w:rsidR="00E65727" w:rsidRPr="00DE096C" w:rsidRDefault="00E65727" w:rsidP="00D45A46">
            <w:pPr>
              <w:jc w:val="both"/>
              <w:rPr>
                <w:bCs/>
                <w:color w:val="002060"/>
                <w:sz w:val="16"/>
                <w:szCs w:val="16"/>
              </w:rPr>
            </w:pPr>
            <w:r w:rsidRPr="00DE096C">
              <w:rPr>
                <w:bCs/>
                <w:color w:val="002060"/>
                <w:sz w:val="16"/>
                <w:szCs w:val="16"/>
              </w:rPr>
              <w:t>Отливки и поковки разные</w:t>
            </w:r>
          </w:p>
        </w:tc>
        <w:tc>
          <w:tcPr>
            <w:tcW w:w="588" w:type="dxa"/>
          </w:tcPr>
          <w:p w14:paraId="619AFF70" w14:textId="77777777" w:rsidR="00E65727" w:rsidRPr="00DE096C" w:rsidRDefault="00E65727" w:rsidP="00D45A46">
            <w:pPr>
              <w:jc w:val="both"/>
              <w:rPr>
                <w:bCs/>
                <w:color w:val="002060"/>
                <w:sz w:val="16"/>
                <w:szCs w:val="16"/>
              </w:rPr>
            </w:pPr>
            <w:r w:rsidRPr="00DE096C">
              <w:rPr>
                <w:bCs/>
                <w:color w:val="002060"/>
                <w:sz w:val="16"/>
                <w:szCs w:val="16"/>
              </w:rPr>
              <w:t>92.100</w:t>
            </w:r>
          </w:p>
        </w:tc>
        <w:tc>
          <w:tcPr>
            <w:tcW w:w="588" w:type="dxa"/>
          </w:tcPr>
          <w:p w14:paraId="12464707" w14:textId="77777777" w:rsidR="00E65727" w:rsidRPr="00DE096C" w:rsidRDefault="00E65727" w:rsidP="00D45A46">
            <w:pPr>
              <w:jc w:val="both"/>
              <w:rPr>
                <w:bCs/>
                <w:color w:val="002060"/>
                <w:sz w:val="16"/>
                <w:szCs w:val="16"/>
              </w:rPr>
            </w:pPr>
            <w:r w:rsidRPr="00DE096C">
              <w:rPr>
                <w:bCs/>
                <w:color w:val="002060"/>
                <w:sz w:val="16"/>
                <w:szCs w:val="16"/>
              </w:rPr>
              <w:t>88.000</w:t>
            </w:r>
          </w:p>
        </w:tc>
        <w:tc>
          <w:tcPr>
            <w:tcW w:w="681" w:type="dxa"/>
          </w:tcPr>
          <w:p w14:paraId="2D1F9B21" w14:textId="77777777" w:rsidR="00E65727" w:rsidRPr="00DE096C" w:rsidRDefault="00E65727" w:rsidP="00D45A46">
            <w:pPr>
              <w:jc w:val="both"/>
              <w:rPr>
                <w:bCs/>
                <w:color w:val="002060"/>
                <w:sz w:val="16"/>
                <w:szCs w:val="16"/>
              </w:rPr>
            </w:pPr>
            <w:r w:rsidRPr="00DE096C">
              <w:rPr>
                <w:bCs/>
                <w:color w:val="002060"/>
                <w:sz w:val="16"/>
                <w:szCs w:val="16"/>
              </w:rPr>
              <w:t>169.000</w:t>
            </w:r>
          </w:p>
        </w:tc>
        <w:tc>
          <w:tcPr>
            <w:tcW w:w="681" w:type="dxa"/>
          </w:tcPr>
          <w:p w14:paraId="308F14AF" w14:textId="77777777" w:rsidR="00E65727" w:rsidRPr="00DE096C" w:rsidRDefault="00E65727" w:rsidP="00D45A46">
            <w:pPr>
              <w:jc w:val="both"/>
              <w:rPr>
                <w:bCs/>
                <w:color w:val="002060"/>
                <w:sz w:val="16"/>
                <w:szCs w:val="16"/>
              </w:rPr>
            </w:pPr>
            <w:r w:rsidRPr="00DE096C">
              <w:rPr>
                <w:bCs/>
                <w:color w:val="002060"/>
                <w:sz w:val="16"/>
                <w:szCs w:val="16"/>
              </w:rPr>
              <w:t>329.400</w:t>
            </w:r>
          </w:p>
        </w:tc>
        <w:tc>
          <w:tcPr>
            <w:tcW w:w="588" w:type="dxa"/>
          </w:tcPr>
          <w:p w14:paraId="7C19534A" w14:textId="77777777" w:rsidR="00E65727" w:rsidRPr="00DE096C" w:rsidRDefault="00E65727" w:rsidP="00D45A46">
            <w:pPr>
              <w:jc w:val="both"/>
              <w:rPr>
                <w:bCs/>
                <w:color w:val="002060"/>
                <w:sz w:val="16"/>
                <w:szCs w:val="16"/>
              </w:rPr>
            </w:pPr>
            <w:r w:rsidRPr="00DE096C">
              <w:rPr>
                <w:bCs/>
                <w:color w:val="002060"/>
                <w:sz w:val="16"/>
                <w:szCs w:val="16"/>
              </w:rPr>
              <w:t>—</w:t>
            </w:r>
          </w:p>
        </w:tc>
        <w:tc>
          <w:tcPr>
            <w:tcW w:w="588" w:type="dxa"/>
          </w:tcPr>
          <w:p w14:paraId="729D364A" w14:textId="77777777" w:rsidR="00E65727" w:rsidRPr="00DE096C" w:rsidRDefault="00E65727" w:rsidP="00D45A46">
            <w:pPr>
              <w:jc w:val="both"/>
              <w:rPr>
                <w:bCs/>
                <w:color w:val="002060"/>
                <w:sz w:val="16"/>
                <w:szCs w:val="16"/>
              </w:rPr>
            </w:pPr>
            <w:r w:rsidRPr="00DE096C">
              <w:rPr>
                <w:bCs/>
                <w:color w:val="002060"/>
                <w:sz w:val="16"/>
                <w:szCs w:val="16"/>
              </w:rPr>
              <w:t>—</w:t>
            </w:r>
          </w:p>
        </w:tc>
        <w:tc>
          <w:tcPr>
            <w:tcW w:w="588" w:type="dxa"/>
          </w:tcPr>
          <w:p w14:paraId="1438B131" w14:textId="77777777" w:rsidR="00E65727" w:rsidRPr="00DE096C" w:rsidRDefault="00E65727" w:rsidP="00D45A46">
            <w:pPr>
              <w:jc w:val="both"/>
              <w:rPr>
                <w:bCs/>
                <w:color w:val="002060"/>
                <w:sz w:val="16"/>
                <w:szCs w:val="16"/>
              </w:rPr>
            </w:pPr>
            <w:r w:rsidRPr="00DE096C">
              <w:rPr>
                <w:bCs/>
                <w:color w:val="002060"/>
                <w:sz w:val="16"/>
                <w:szCs w:val="16"/>
              </w:rPr>
              <w:t>—</w:t>
            </w:r>
          </w:p>
        </w:tc>
        <w:tc>
          <w:tcPr>
            <w:tcW w:w="600" w:type="dxa"/>
          </w:tcPr>
          <w:p w14:paraId="5DF26576" w14:textId="77777777" w:rsidR="00E65727" w:rsidRPr="00DE096C" w:rsidRDefault="00E65727" w:rsidP="00D45A46">
            <w:pPr>
              <w:jc w:val="both"/>
              <w:rPr>
                <w:bCs/>
                <w:color w:val="002060"/>
                <w:sz w:val="16"/>
                <w:szCs w:val="16"/>
              </w:rPr>
            </w:pPr>
            <w:r w:rsidRPr="00DE096C">
              <w:rPr>
                <w:bCs/>
                <w:color w:val="002060"/>
                <w:sz w:val="16"/>
                <w:szCs w:val="16"/>
              </w:rPr>
              <w:t>—</w:t>
            </w:r>
          </w:p>
        </w:tc>
      </w:tr>
      <w:tr w:rsidR="00E65727" w:rsidRPr="00DE096C" w14:paraId="5C82BC57" w14:textId="77777777" w:rsidTr="00D34AC1">
        <w:tc>
          <w:tcPr>
            <w:tcW w:w="2040" w:type="dxa"/>
          </w:tcPr>
          <w:p w14:paraId="14AA1461" w14:textId="77777777" w:rsidR="00E65727" w:rsidRPr="00DE096C" w:rsidRDefault="00E65727" w:rsidP="00D45A46">
            <w:pPr>
              <w:jc w:val="both"/>
              <w:rPr>
                <w:bCs/>
                <w:color w:val="002060"/>
                <w:sz w:val="16"/>
                <w:szCs w:val="16"/>
              </w:rPr>
            </w:pPr>
            <w:r w:rsidRPr="00DE096C">
              <w:rPr>
                <w:bCs/>
                <w:color w:val="002060"/>
                <w:sz w:val="16"/>
                <w:szCs w:val="16"/>
              </w:rPr>
              <w:t>Установок позиционных системы Розенберга</w:t>
            </w:r>
          </w:p>
        </w:tc>
        <w:tc>
          <w:tcPr>
            <w:tcW w:w="588" w:type="dxa"/>
          </w:tcPr>
          <w:p w14:paraId="5BDC90AC" w14:textId="77777777" w:rsidR="00E65727" w:rsidRPr="00DE096C" w:rsidRDefault="00E65727" w:rsidP="00D45A46">
            <w:pPr>
              <w:jc w:val="both"/>
              <w:rPr>
                <w:bCs/>
                <w:color w:val="002060"/>
                <w:sz w:val="16"/>
                <w:szCs w:val="16"/>
              </w:rPr>
            </w:pPr>
            <w:r w:rsidRPr="00DE096C">
              <w:rPr>
                <w:bCs/>
                <w:color w:val="002060"/>
                <w:sz w:val="16"/>
                <w:szCs w:val="16"/>
              </w:rPr>
              <w:t>31</w:t>
            </w:r>
          </w:p>
        </w:tc>
        <w:tc>
          <w:tcPr>
            <w:tcW w:w="588" w:type="dxa"/>
          </w:tcPr>
          <w:p w14:paraId="37A7029B" w14:textId="77777777" w:rsidR="00E65727" w:rsidRPr="00DE096C" w:rsidRDefault="00E65727" w:rsidP="00D45A46">
            <w:pPr>
              <w:jc w:val="both"/>
              <w:rPr>
                <w:bCs/>
                <w:color w:val="002060"/>
                <w:sz w:val="16"/>
                <w:szCs w:val="16"/>
              </w:rPr>
            </w:pPr>
            <w:r w:rsidRPr="00DE096C">
              <w:rPr>
                <w:bCs/>
                <w:color w:val="002060"/>
                <w:sz w:val="16"/>
                <w:szCs w:val="16"/>
              </w:rPr>
              <w:t>220</w:t>
            </w:r>
          </w:p>
        </w:tc>
        <w:tc>
          <w:tcPr>
            <w:tcW w:w="681" w:type="dxa"/>
          </w:tcPr>
          <w:p w14:paraId="1D1BD245" w14:textId="77777777" w:rsidR="00E65727" w:rsidRPr="00DE096C" w:rsidRDefault="00E65727" w:rsidP="00D45A46">
            <w:pPr>
              <w:jc w:val="both"/>
              <w:rPr>
                <w:bCs/>
                <w:color w:val="002060"/>
                <w:sz w:val="16"/>
                <w:szCs w:val="16"/>
              </w:rPr>
            </w:pPr>
            <w:r w:rsidRPr="00DE096C">
              <w:rPr>
                <w:bCs/>
                <w:color w:val="002060"/>
                <w:sz w:val="16"/>
                <w:szCs w:val="16"/>
              </w:rPr>
              <w:t>58</w:t>
            </w:r>
          </w:p>
        </w:tc>
        <w:tc>
          <w:tcPr>
            <w:tcW w:w="681" w:type="dxa"/>
          </w:tcPr>
          <w:p w14:paraId="4F5E725D" w14:textId="77777777" w:rsidR="00E65727" w:rsidRPr="00DE096C" w:rsidRDefault="00E65727" w:rsidP="00D45A46">
            <w:pPr>
              <w:jc w:val="both"/>
              <w:rPr>
                <w:bCs/>
                <w:color w:val="002060"/>
                <w:sz w:val="16"/>
                <w:szCs w:val="16"/>
              </w:rPr>
            </w:pPr>
            <w:r w:rsidRPr="00DE096C">
              <w:rPr>
                <w:bCs/>
                <w:color w:val="002060"/>
                <w:sz w:val="16"/>
                <w:szCs w:val="16"/>
              </w:rPr>
              <w:t>309</w:t>
            </w:r>
          </w:p>
        </w:tc>
        <w:tc>
          <w:tcPr>
            <w:tcW w:w="588" w:type="dxa"/>
          </w:tcPr>
          <w:p w14:paraId="755636B1" w14:textId="77777777" w:rsidR="00E65727" w:rsidRPr="00DE096C" w:rsidRDefault="00E65727" w:rsidP="00D45A46">
            <w:pPr>
              <w:jc w:val="both"/>
              <w:rPr>
                <w:bCs/>
                <w:color w:val="002060"/>
                <w:sz w:val="16"/>
                <w:szCs w:val="16"/>
              </w:rPr>
            </w:pPr>
            <w:r w:rsidRPr="00DE096C">
              <w:rPr>
                <w:bCs/>
                <w:color w:val="002060"/>
                <w:sz w:val="16"/>
                <w:szCs w:val="16"/>
              </w:rPr>
              <w:t>—</w:t>
            </w:r>
          </w:p>
        </w:tc>
        <w:tc>
          <w:tcPr>
            <w:tcW w:w="588" w:type="dxa"/>
          </w:tcPr>
          <w:p w14:paraId="077D2D80" w14:textId="77777777" w:rsidR="00E65727" w:rsidRPr="00DE096C" w:rsidRDefault="00E65727" w:rsidP="00D45A46">
            <w:pPr>
              <w:jc w:val="both"/>
              <w:rPr>
                <w:bCs/>
                <w:color w:val="002060"/>
                <w:sz w:val="16"/>
                <w:szCs w:val="16"/>
              </w:rPr>
            </w:pPr>
            <w:r w:rsidRPr="00DE096C">
              <w:rPr>
                <w:bCs/>
                <w:color w:val="002060"/>
                <w:sz w:val="16"/>
                <w:szCs w:val="16"/>
              </w:rPr>
              <w:t>—</w:t>
            </w:r>
          </w:p>
        </w:tc>
        <w:tc>
          <w:tcPr>
            <w:tcW w:w="588" w:type="dxa"/>
          </w:tcPr>
          <w:p w14:paraId="68472B17" w14:textId="77777777" w:rsidR="00E65727" w:rsidRPr="00DE096C" w:rsidRDefault="00E65727" w:rsidP="00D45A46">
            <w:pPr>
              <w:jc w:val="both"/>
              <w:rPr>
                <w:bCs/>
                <w:color w:val="002060"/>
                <w:sz w:val="16"/>
                <w:szCs w:val="16"/>
              </w:rPr>
            </w:pPr>
            <w:r w:rsidRPr="00DE096C">
              <w:rPr>
                <w:bCs/>
                <w:color w:val="002060"/>
                <w:sz w:val="16"/>
                <w:szCs w:val="16"/>
              </w:rPr>
              <w:t>—</w:t>
            </w:r>
          </w:p>
        </w:tc>
        <w:tc>
          <w:tcPr>
            <w:tcW w:w="600" w:type="dxa"/>
          </w:tcPr>
          <w:p w14:paraId="0D4CF5EA" w14:textId="77777777" w:rsidR="00E65727" w:rsidRPr="00DE096C" w:rsidRDefault="00E65727" w:rsidP="00D45A46">
            <w:pPr>
              <w:jc w:val="both"/>
              <w:rPr>
                <w:bCs/>
                <w:color w:val="002060"/>
                <w:sz w:val="16"/>
                <w:szCs w:val="16"/>
              </w:rPr>
            </w:pPr>
            <w:r w:rsidRPr="00DE096C">
              <w:rPr>
                <w:bCs/>
                <w:color w:val="002060"/>
                <w:sz w:val="16"/>
                <w:szCs w:val="16"/>
              </w:rPr>
              <w:t>—</w:t>
            </w:r>
          </w:p>
        </w:tc>
      </w:tr>
      <w:tr w:rsidR="00E65727" w:rsidRPr="00DE096C" w14:paraId="26E293F3" w14:textId="77777777" w:rsidTr="00D34AC1">
        <w:tc>
          <w:tcPr>
            <w:tcW w:w="2040" w:type="dxa"/>
          </w:tcPr>
          <w:p w14:paraId="1E804780" w14:textId="77777777" w:rsidR="00E65727" w:rsidRPr="00DE096C" w:rsidRDefault="00E65727" w:rsidP="00D45A46">
            <w:pPr>
              <w:jc w:val="both"/>
              <w:rPr>
                <w:bCs/>
                <w:color w:val="002060"/>
                <w:sz w:val="16"/>
                <w:szCs w:val="16"/>
              </w:rPr>
            </w:pPr>
            <w:r w:rsidRPr="00DE096C">
              <w:rPr>
                <w:bCs/>
                <w:color w:val="002060"/>
                <w:sz w:val="16"/>
                <w:szCs w:val="16"/>
              </w:rPr>
              <w:t>Штыки к австрийским винтовкам</w:t>
            </w:r>
          </w:p>
        </w:tc>
        <w:tc>
          <w:tcPr>
            <w:tcW w:w="588" w:type="dxa"/>
          </w:tcPr>
          <w:p w14:paraId="3A43B093" w14:textId="77777777" w:rsidR="00E65727" w:rsidRPr="00DE096C" w:rsidRDefault="00E65727" w:rsidP="00D45A46">
            <w:pPr>
              <w:jc w:val="both"/>
              <w:rPr>
                <w:bCs/>
                <w:color w:val="002060"/>
                <w:sz w:val="16"/>
                <w:szCs w:val="16"/>
              </w:rPr>
            </w:pPr>
            <w:r w:rsidRPr="00DE096C">
              <w:rPr>
                <w:bCs/>
                <w:color w:val="002060"/>
                <w:sz w:val="16"/>
                <w:szCs w:val="16"/>
              </w:rPr>
              <w:t>—</w:t>
            </w:r>
          </w:p>
        </w:tc>
        <w:tc>
          <w:tcPr>
            <w:tcW w:w="588" w:type="dxa"/>
          </w:tcPr>
          <w:p w14:paraId="51D9BE49" w14:textId="77777777" w:rsidR="00E65727" w:rsidRPr="00DE096C" w:rsidRDefault="00E65727" w:rsidP="00D45A46">
            <w:pPr>
              <w:jc w:val="both"/>
              <w:rPr>
                <w:bCs/>
                <w:color w:val="002060"/>
                <w:sz w:val="16"/>
                <w:szCs w:val="16"/>
              </w:rPr>
            </w:pPr>
            <w:r w:rsidRPr="00DE096C">
              <w:rPr>
                <w:bCs/>
                <w:color w:val="002060"/>
                <w:sz w:val="16"/>
                <w:szCs w:val="16"/>
              </w:rPr>
              <w:t>50.200</w:t>
            </w:r>
          </w:p>
        </w:tc>
        <w:tc>
          <w:tcPr>
            <w:tcW w:w="681" w:type="dxa"/>
          </w:tcPr>
          <w:p w14:paraId="2965C9EB" w14:textId="77777777" w:rsidR="00E65727" w:rsidRPr="00DE096C" w:rsidRDefault="00E65727" w:rsidP="00D45A46">
            <w:pPr>
              <w:jc w:val="both"/>
              <w:rPr>
                <w:bCs/>
                <w:color w:val="002060"/>
                <w:sz w:val="16"/>
                <w:szCs w:val="16"/>
              </w:rPr>
            </w:pPr>
            <w:r w:rsidRPr="00DE096C">
              <w:rPr>
                <w:bCs/>
                <w:color w:val="002060"/>
                <w:sz w:val="16"/>
                <w:szCs w:val="16"/>
              </w:rPr>
              <w:t>—</w:t>
            </w:r>
          </w:p>
        </w:tc>
        <w:tc>
          <w:tcPr>
            <w:tcW w:w="681" w:type="dxa"/>
          </w:tcPr>
          <w:p w14:paraId="40FFF637" w14:textId="77777777" w:rsidR="00E65727" w:rsidRPr="00DE096C" w:rsidRDefault="00E65727" w:rsidP="00D45A46">
            <w:pPr>
              <w:jc w:val="both"/>
              <w:rPr>
                <w:bCs/>
                <w:color w:val="002060"/>
                <w:sz w:val="16"/>
                <w:szCs w:val="16"/>
              </w:rPr>
            </w:pPr>
            <w:r w:rsidRPr="00DE096C">
              <w:rPr>
                <w:bCs/>
                <w:color w:val="002060"/>
                <w:sz w:val="16"/>
                <w:szCs w:val="16"/>
              </w:rPr>
              <w:t>50.200</w:t>
            </w:r>
          </w:p>
        </w:tc>
        <w:tc>
          <w:tcPr>
            <w:tcW w:w="588" w:type="dxa"/>
          </w:tcPr>
          <w:p w14:paraId="36957E83" w14:textId="77777777" w:rsidR="00E65727" w:rsidRPr="00DE096C" w:rsidRDefault="00E65727" w:rsidP="00D45A46">
            <w:pPr>
              <w:jc w:val="both"/>
              <w:rPr>
                <w:bCs/>
                <w:color w:val="002060"/>
                <w:sz w:val="16"/>
                <w:szCs w:val="16"/>
              </w:rPr>
            </w:pPr>
            <w:r w:rsidRPr="00DE096C">
              <w:rPr>
                <w:bCs/>
                <w:color w:val="002060"/>
                <w:sz w:val="16"/>
                <w:szCs w:val="16"/>
              </w:rPr>
              <w:t>—</w:t>
            </w:r>
          </w:p>
        </w:tc>
        <w:tc>
          <w:tcPr>
            <w:tcW w:w="588" w:type="dxa"/>
          </w:tcPr>
          <w:p w14:paraId="20233BF6" w14:textId="77777777" w:rsidR="00E65727" w:rsidRPr="00DE096C" w:rsidRDefault="00E65727" w:rsidP="00D45A46">
            <w:pPr>
              <w:jc w:val="both"/>
              <w:rPr>
                <w:bCs/>
                <w:color w:val="002060"/>
                <w:sz w:val="16"/>
                <w:szCs w:val="16"/>
              </w:rPr>
            </w:pPr>
            <w:r w:rsidRPr="00DE096C">
              <w:rPr>
                <w:bCs/>
                <w:color w:val="002060"/>
                <w:sz w:val="16"/>
                <w:szCs w:val="16"/>
              </w:rPr>
              <w:t>—</w:t>
            </w:r>
          </w:p>
        </w:tc>
        <w:tc>
          <w:tcPr>
            <w:tcW w:w="588" w:type="dxa"/>
          </w:tcPr>
          <w:p w14:paraId="02C01414" w14:textId="77777777" w:rsidR="00E65727" w:rsidRPr="00DE096C" w:rsidRDefault="00E65727" w:rsidP="00D45A46">
            <w:pPr>
              <w:jc w:val="both"/>
              <w:rPr>
                <w:bCs/>
                <w:color w:val="002060"/>
                <w:sz w:val="16"/>
                <w:szCs w:val="16"/>
              </w:rPr>
            </w:pPr>
            <w:r w:rsidRPr="00DE096C">
              <w:rPr>
                <w:bCs/>
                <w:color w:val="002060"/>
                <w:sz w:val="16"/>
                <w:szCs w:val="16"/>
              </w:rPr>
              <w:t>—</w:t>
            </w:r>
          </w:p>
        </w:tc>
        <w:tc>
          <w:tcPr>
            <w:tcW w:w="600" w:type="dxa"/>
          </w:tcPr>
          <w:p w14:paraId="1DCEF03A" w14:textId="77777777" w:rsidR="00E65727" w:rsidRPr="00DE096C" w:rsidRDefault="00E65727" w:rsidP="00D45A46">
            <w:pPr>
              <w:jc w:val="both"/>
              <w:rPr>
                <w:bCs/>
                <w:color w:val="002060"/>
                <w:sz w:val="16"/>
                <w:szCs w:val="16"/>
              </w:rPr>
            </w:pPr>
            <w:r w:rsidRPr="00DE096C">
              <w:rPr>
                <w:bCs/>
                <w:color w:val="002060"/>
                <w:sz w:val="16"/>
                <w:szCs w:val="16"/>
              </w:rPr>
              <w:t>—</w:t>
            </w:r>
          </w:p>
        </w:tc>
      </w:tr>
    </w:tbl>
    <w:p w14:paraId="5D52A891" w14:textId="77777777" w:rsidR="00E65727" w:rsidRPr="00DE096C" w:rsidRDefault="00E65727" w:rsidP="00D45A46">
      <w:pPr>
        <w:jc w:val="both"/>
        <w:rPr>
          <w:bCs/>
          <w:color w:val="002060"/>
          <w:sz w:val="16"/>
          <w:szCs w:val="16"/>
        </w:rPr>
      </w:pPr>
      <w:r w:rsidRPr="00DE096C">
        <w:rPr>
          <w:bCs/>
          <w:color w:val="002060"/>
          <w:sz w:val="16"/>
          <w:szCs w:val="16"/>
        </w:rPr>
        <w:t xml:space="preserve">В таблице предметы производства указаны без подразделения на марки и образцы, ввиду их большого количества. </w:t>
      </w:r>
    </w:p>
    <w:p w14:paraId="4719B3F8" w14:textId="77777777" w:rsidR="00E65727" w:rsidRPr="00DE096C" w:rsidRDefault="00E65727" w:rsidP="00D45A46">
      <w:pPr>
        <w:jc w:val="both"/>
        <w:rPr>
          <w:bCs/>
          <w:color w:val="002060"/>
          <w:sz w:val="16"/>
          <w:szCs w:val="16"/>
        </w:rPr>
      </w:pPr>
      <w:r w:rsidRPr="00DE096C">
        <w:rPr>
          <w:bCs/>
          <w:color w:val="002060"/>
          <w:sz w:val="16"/>
          <w:szCs w:val="16"/>
        </w:rPr>
        <w:t xml:space="preserve">Так, лафеты готовились следующих систем: 3-дм полевые обр. 1900 г. и 1902 г., 3-дм горные обр. 1904 г. и 1909 г., 42-лин. обр. 1910 г., 48-лин. гаубичные обр. 1909 г., 6-дм полевые гаубичные, 6-дм крепостные гаубичные, 42-лин. обр. 1909 года. К названным орудиям также готовились передки и зарядные ящики. </w:t>
      </w:r>
    </w:p>
    <w:p w14:paraId="4019FD25" w14:textId="77777777" w:rsidR="00E65727" w:rsidRPr="00DE096C" w:rsidRDefault="00E65727" w:rsidP="00D45A46">
      <w:pPr>
        <w:jc w:val="both"/>
        <w:rPr>
          <w:bCs/>
          <w:color w:val="002060"/>
          <w:sz w:val="16"/>
          <w:szCs w:val="16"/>
        </w:rPr>
      </w:pPr>
      <w:r w:rsidRPr="00DE096C">
        <w:rPr>
          <w:bCs/>
          <w:color w:val="002060"/>
          <w:sz w:val="16"/>
          <w:szCs w:val="16"/>
        </w:rPr>
        <w:t xml:space="preserve">Что касается ремонта, то здесь к перечисленным русским системам необходимо добавить еще целый ряд иностранных, которые были приняты на вооружение у нас во время войны и ремонтировались Арсеналом. </w:t>
      </w:r>
    </w:p>
    <w:p w14:paraId="40115C4B" w14:textId="77777777" w:rsidR="00E65727" w:rsidRPr="00DE096C" w:rsidRDefault="00E65727" w:rsidP="00D45A46">
      <w:pPr>
        <w:jc w:val="both"/>
        <w:rPr>
          <w:bCs/>
          <w:color w:val="002060"/>
          <w:sz w:val="16"/>
          <w:szCs w:val="16"/>
        </w:rPr>
      </w:pPr>
      <w:r w:rsidRPr="00DE096C">
        <w:rPr>
          <w:bCs/>
          <w:color w:val="002060"/>
          <w:sz w:val="16"/>
          <w:szCs w:val="16"/>
        </w:rPr>
        <w:t xml:space="preserve">За время войны, в целях усиления пропускной способности, мастерские завода были значительно пополнены различным оборудованием (11329). </w:t>
      </w:r>
    </w:p>
    <w:p w14:paraId="750E79A4" w14:textId="77777777" w:rsidR="00E65727" w:rsidRPr="00DE096C" w:rsidRDefault="00E65727" w:rsidP="00D45A46">
      <w:pPr>
        <w:pStyle w:val="a3"/>
        <w:jc w:val="both"/>
        <w:rPr>
          <w:bCs/>
          <w:i w:val="0"/>
          <w:color w:val="002060"/>
          <w:spacing w:val="0"/>
          <w:kern w:val="0"/>
          <w:position w:val="0"/>
          <w:sz w:val="16"/>
          <w:szCs w:val="16"/>
        </w:rPr>
      </w:pPr>
    </w:p>
    <w:p w14:paraId="4B4265AE" w14:textId="77777777" w:rsidR="00AE694E" w:rsidRPr="00DE096C" w:rsidRDefault="00AE694E" w:rsidP="00D45A46">
      <w:pPr>
        <w:jc w:val="both"/>
        <w:rPr>
          <w:bCs/>
          <w:color w:val="002060"/>
          <w:sz w:val="16"/>
          <w:szCs w:val="16"/>
        </w:rPr>
      </w:pPr>
      <w:r w:rsidRPr="00DE096C">
        <w:rPr>
          <w:bCs/>
          <w:color w:val="002060"/>
          <w:sz w:val="16"/>
          <w:szCs w:val="16"/>
        </w:rPr>
        <w:t xml:space="preserve">К 1914 г. Арсенал представлял собой небольшой завод с полезной площадью цехов в 1000 кв. саженей. Расположение завода неудовлетворительно. От железной дороги он отрезан рекой Десной. Через нее имелся только один постоянный, деревянный мост, весьма ветхий. Остальные были плавучие и во время половодья разводились. При этих условиях доставка материалов шла гужом. </w:t>
      </w:r>
    </w:p>
    <w:p w14:paraId="4D439462" w14:textId="77777777" w:rsidR="00AE694E" w:rsidRPr="00DE096C" w:rsidRDefault="00AE694E" w:rsidP="00D45A46">
      <w:pPr>
        <w:jc w:val="both"/>
        <w:rPr>
          <w:bCs/>
          <w:color w:val="002060"/>
          <w:sz w:val="16"/>
          <w:szCs w:val="16"/>
        </w:rPr>
      </w:pPr>
      <w:r w:rsidRPr="00DE096C">
        <w:rPr>
          <w:bCs/>
          <w:color w:val="002060"/>
          <w:sz w:val="16"/>
          <w:szCs w:val="16"/>
        </w:rPr>
        <w:t xml:space="preserve">Затем, завод расположен в центре города и зажат со всех сторон частными владениями, горой и рекой. Поэтому в 1913 г. был поднят вопрос о переносе Арсенала в другое место, а именно — пробное поле Арсенала, расположенное по другую сторону Десны, около 1 версты от станции, и представляющее песчаную большую площадь. Площадь была обследована в отношении водоснабжения и возможности устройства канализации, причем в обоих отношениях участок оказался вполне удовлетворительным. Ввиду этого в 1914 г. приступлено к составлению проекта постройки Арсенала на новом месте. К середине июля 1914 г. проект был закончен. Сметная стоимость постройки определилась в 6,5 млн рублей. </w:t>
      </w:r>
    </w:p>
    <w:p w14:paraId="34A05B14" w14:textId="77777777" w:rsidR="00AE694E" w:rsidRPr="00DE096C" w:rsidRDefault="00AE694E" w:rsidP="00D45A46">
      <w:pPr>
        <w:jc w:val="both"/>
        <w:rPr>
          <w:bCs/>
          <w:color w:val="002060"/>
          <w:sz w:val="16"/>
          <w:szCs w:val="16"/>
        </w:rPr>
      </w:pPr>
      <w:r w:rsidRPr="00DE096C">
        <w:rPr>
          <w:bCs/>
          <w:color w:val="002060"/>
          <w:sz w:val="16"/>
          <w:szCs w:val="16"/>
        </w:rPr>
        <w:t xml:space="preserve">В связи с объявлением войны с Германией кредиты на постройку не были отпущены и дело было отложено. </w:t>
      </w:r>
    </w:p>
    <w:p w14:paraId="06D2E230" w14:textId="77777777" w:rsidR="00AE694E" w:rsidRPr="00DE096C" w:rsidRDefault="00AE694E" w:rsidP="00D45A46">
      <w:pPr>
        <w:jc w:val="both"/>
        <w:rPr>
          <w:bCs/>
          <w:color w:val="002060"/>
          <w:sz w:val="16"/>
          <w:szCs w:val="16"/>
        </w:rPr>
      </w:pPr>
      <w:r w:rsidRPr="00DE096C">
        <w:rPr>
          <w:bCs/>
          <w:color w:val="002060"/>
          <w:sz w:val="16"/>
          <w:szCs w:val="16"/>
        </w:rPr>
        <w:t xml:space="preserve">В начале 1915 г. в связи с усиленными заказами Арсеналу выяснилась необходимость произвести ряд работ по усилению мощности Арсенала, а именно: а) возвести новые постройки: управление Арсенала, электрическую станцию, механическую мастерскую, помещение для тепловой обработки металла, литейную и ряд построек административно-хозяйственного назначения, б) расширить мастерские: слесарно-механическую, столярную, кузнечную и сушильню и в) капитально перестроить старую литейную и др. В общем, путем указанных работ площадь производственных зданий была увеличена больше чем вдвое. </w:t>
      </w:r>
    </w:p>
    <w:p w14:paraId="633C0FB2" w14:textId="77777777" w:rsidR="00AE694E" w:rsidRPr="00DE096C" w:rsidRDefault="00AE694E" w:rsidP="00D45A46">
      <w:pPr>
        <w:jc w:val="both"/>
        <w:rPr>
          <w:bCs/>
          <w:color w:val="002060"/>
          <w:sz w:val="16"/>
          <w:szCs w:val="16"/>
        </w:rPr>
      </w:pPr>
      <w:r w:rsidRPr="00DE096C">
        <w:rPr>
          <w:bCs/>
          <w:color w:val="002060"/>
          <w:sz w:val="16"/>
          <w:szCs w:val="16"/>
        </w:rPr>
        <w:t xml:space="preserve">Расширенная кузница в дальнейшем оказалась тесна, и было решено строить новую. К тому же железная конструкция кузницы имела серьезные дефекты: летом в ней было очень жарко, зимой — холодно. Был составлен проект изменений кузницы. Так как для постройки ее не было места, то был возбужден вопрос об отчуждении в пользу Арсенала соседних участков. Это происходило в самом начале 1917 года. Вспыхнувшая революция остановила дело. </w:t>
      </w:r>
    </w:p>
    <w:p w14:paraId="12330BB7" w14:textId="77777777" w:rsidR="00AE694E" w:rsidRPr="00DE096C" w:rsidRDefault="00AE694E" w:rsidP="00D45A46">
      <w:pPr>
        <w:jc w:val="both"/>
        <w:rPr>
          <w:bCs/>
          <w:color w:val="002060"/>
          <w:sz w:val="16"/>
          <w:szCs w:val="16"/>
        </w:rPr>
      </w:pPr>
      <w:r w:rsidRPr="00DE096C">
        <w:rPr>
          <w:bCs/>
          <w:color w:val="002060"/>
          <w:sz w:val="16"/>
          <w:szCs w:val="16"/>
        </w:rPr>
        <w:t xml:space="preserve">Что касается оборудования, то в течение войны силовая станция, имевшая суммарную мощность 590 л.с., усилена была двумя дизелями общей мощностью 850 лошадиных сил. </w:t>
      </w:r>
    </w:p>
    <w:p w14:paraId="4B551C1C" w14:textId="77777777" w:rsidR="00AE694E" w:rsidRPr="00DE096C" w:rsidRDefault="00AE694E" w:rsidP="00D45A46">
      <w:pPr>
        <w:jc w:val="both"/>
        <w:rPr>
          <w:bCs/>
          <w:color w:val="002060"/>
          <w:sz w:val="16"/>
          <w:szCs w:val="16"/>
        </w:rPr>
      </w:pPr>
      <w:r w:rsidRPr="00DE096C">
        <w:rPr>
          <w:bCs/>
          <w:color w:val="002060"/>
          <w:sz w:val="16"/>
          <w:szCs w:val="16"/>
        </w:rPr>
        <w:t xml:space="preserve">Общая мощность паровых котлов к 1914 г. оценивалась в 650 кв. м поверхности нагрева в центральной станции. Несколько отдельных котлов находились при цехах. Во время войны были установлены дополнительные котлы, суммарно в 416 кв. м поверхности нагрева. </w:t>
      </w:r>
    </w:p>
    <w:p w14:paraId="1B243398" w14:textId="77777777" w:rsidR="00AE694E" w:rsidRPr="00DE096C" w:rsidRDefault="00AE694E" w:rsidP="00D45A46">
      <w:pPr>
        <w:jc w:val="both"/>
        <w:rPr>
          <w:bCs/>
          <w:color w:val="002060"/>
          <w:sz w:val="16"/>
          <w:szCs w:val="16"/>
        </w:rPr>
      </w:pPr>
      <w:r w:rsidRPr="00DE096C">
        <w:rPr>
          <w:bCs/>
          <w:color w:val="002060"/>
          <w:sz w:val="16"/>
          <w:szCs w:val="16"/>
        </w:rPr>
        <w:t xml:space="preserve">Мощность литейной к 1914 г. равнялась при односменной работе в месяц 600 пудов чугуна и 1000 пудов цветных металлов. В 1917 г. мастерская была перенесена в новое помещение. Поставлены вновь: вагранки, для цветных металлов — пламенная печь и печь Моргана. Мощность мастерской усилилась, при односменной работе, в месяц до 6000 пудов чугуна и 2000 пудов цветных металлов. </w:t>
      </w:r>
    </w:p>
    <w:p w14:paraId="56DC0464" w14:textId="77777777" w:rsidR="00AE694E" w:rsidRPr="00DE096C" w:rsidRDefault="00AE694E" w:rsidP="00D45A46">
      <w:pPr>
        <w:jc w:val="both"/>
        <w:rPr>
          <w:bCs/>
          <w:color w:val="002060"/>
          <w:sz w:val="16"/>
          <w:szCs w:val="16"/>
        </w:rPr>
      </w:pPr>
      <w:r w:rsidRPr="00DE096C">
        <w:rPr>
          <w:bCs/>
          <w:color w:val="002060"/>
          <w:sz w:val="16"/>
          <w:szCs w:val="16"/>
        </w:rPr>
        <w:t xml:space="preserve">В 1914 г. механический цех Арсенала имел отделы: инструментальный, токарный, строгальный, прессовой, долбежный, сверлильный и фрезерный, при общем количестве станков около 150. </w:t>
      </w:r>
    </w:p>
    <w:p w14:paraId="51A156AE" w14:textId="77777777" w:rsidR="00AE694E" w:rsidRPr="00DE096C" w:rsidRDefault="00AE694E" w:rsidP="00D45A46">
      <w:pPr>
        <w:jc w:val="both"/>
        <w:rPr>
          <w:bCs/>
          <w:color w:val="002060"/>
          <w:sz w:val="16"/>
          <w:szCs w:val="16"/>
        </w:rPr>
      </w:pPr>
      <w:r w:rsidRPr="00DE096C">
        <w:rPr>
          <w:bCs/>
          <w:color w:val="002060"/>
          <w:sz w:val="16"/>
          <w:szCs w:val="16"/>
        </w:rPr>
        <w:t xml:space="preserve">В 1914—1916 гг. механический цех был значительно усилен постановкой большого числа станков — 166 шт., при коих 40 фрезерных, 80 токарно-винторезных. </w:t>
      </w:r>
    </w:p>
    <w:p w14:paraId="35872FB2" w14:textId="77777777" w:rsidR="00AE694E" w:rsidRPr="00DE096C" w:rsidRDefault="00AE694E" w:rsidP="00D45A46">
      <w:pPr>
        <w:jc w:val="both"/>
        <w:rPr>
          <w:bCs/>
          <w:color w:val="002060"/>
          <w:sz w:val="16"/>
          <w:szCs w:val="16"/>
        </w:rPr>
      </w:pPr>
      <w:r w:rsidRPr="00DE096C">
        <w:rPr>
          <w:bCs/>
          <w:color w:val="002060"/>
          <w:sz w:val="16"/>
          <w:szCs w:val="16"/>
        </w:rPr>
        <w:t xml:space="preserve">В этот период орудийный отдел был переоборудован для перестволения 3-дм скорострельных пушек. Для этой работы было установлено необходимое оборудование — станки, пресса для снимания кожухов и надульников с орудий, электрическая печь и пр. </w:t>
      </w:r>
    </w:p>
    <w:p w14:paraId="1E3D9B61" w14:textId="77777777" w:rsidR="00AE694E" w:rsidRPr="00DE096C" w:rsidRDefault="00AE694E" w:rsidP="00D45A46">
      <w:pPr>
        <w:jc w:val="both"/>
        <w:rPr>
          <w:bCs/>
          <w:color w:val="002060"/>
          <w:sz w:val="16"/>
          <w:szCs w:val="16"/>
        </w:rPr>
      </w:pPr>
      <w:r w:rsidRPr="00DE096C">
        <w:rPr>
          <w:bCs/>
          <w:color w:val="002060"/>
          <w:sz w:val="16"/>
          <w:szCs w:val="16"/>
        </w:rPr>
        <w:t xml:space="preserve">Новые станки для Арсенала, изготовленные в Америке, доставлялись через Англию, Японию, Францию и Швецию. </w:t>
      </w:r>
    </w:p>
    <w:p w14:paraId="3C7E984D" w14:textId="77777777" w:rsidR="00AE694E" w:rsidRPr="00DE096C" w:rsidRDefault="00AE694E" w:rsidP="00D45A46">
      <w:pPr>
        <w:jc w:val="both"/>
        <w:rPr>
          <w:bCs/>
          <w:color w:val="002060"/>
          <w:sz w:val="16"/>
          <w:szCs w:val="16"/>
        </w:rPr>
      </w:pPr>
      <w:r w:rsidRPr="00DE096C">
        <w:rPr>
          <w:bCs/>
          <w:color w:val="002060"/>
          <w:sz w:val="16"/>
          <w:szCs w:val="16"/>
        </w:rPr>
        <w:t xml:space="preserve">Благодаря постановке дополнительного оборудования мощность механического цеха увеличилась почти втрое. При эвакуации Брянского арсенала в 1918 г. в Нижний Новгород наиболее ценное, вновь поставленное оборудование было вывезено туда, но обратно вернулось не все. </w:t>
      </w:r>
    </w:p>
    <w:p w14:paraId="5FA5A76D" w14:textId="77777777" w:rsidR="00AE694E" w:rsidRPr="00DE096C" w:rsidRDefault="00AE694E" w:rsidP="00D45A46">
      <w:pPr>
        <w:jc w:val="both"/>
        <w:rPr>
          <w:bCs/>
          <w:color w:val="002060"/>
          <w:sz w:val="16"/>
          <w:szCs w:val="16"/>
        </w:rPr>
      </w:pPr>
      <w:r w:rsidRPr="00DE096C">
        <w:rPr>
          <w:bCs/>
          <w:color w:val="002060"/>
          <w:sz w:val="16"/>
          <w:szCs w:val="16"/>
        </w:rPr>
        <w:t xml:space="preserve">За время войны сборный цех по площади увеличен более чем в три раза. В таком же масштабе усилена была и столярная мастерская и ремонтно-механический цех, причем оба были укомплектованы добавочным оборудованием. Ремонтно-механический цех в 1915 г. перенесен был в новое помещение. </w:t>
      </w:r>
    </w:p>
    <w:p w14:paraId="7114D830" w14:textId="77777777" w:rsidR="00AE694E" w:rsidRPr="00DE096C" w:rsidRDefault="00AE694E" w:rsidP="00D45A46">
      <w:pPr>
        <w:jc w:val="both"/>
        <w:rPr>
          <w:bCs/>
          <w:color w:val="002060"/>
          <w:sz w:val="16"/>
          <w:szCs w:val="16"/>
        </w:rPr>
      </w:pPr>
      <w:r w:rsidRPr="00DE096C">
        <w:rPr>
          <w:bCs/>
          <w:color w:val="002060"/>
          <w:sz w:val="16"/>
          <w:szCs w:val="16"/>
        </w:rPr>
        <w:t xml:space="preserve">Производственная работа Арсенала, постоянно во время войны усиливаемая, выражалась в следующих цифрах: </w:t>
      </w:r>
    </w:p>
    <w:p w14:paraId="47B6903D" w14:textId="77777777" w:rsidR="00AE694E" w:rsidRPr="00DE096C" w:rsidRDefault="00AE694E" w:rsidP="00D45A46">
      <w:pPr>
        <w:jc w:val="both"/>
        <w:rPr>
          <w:bCs/>
          <w:color w:val="002060"/>
          <w:sz w:val="16"/>
          <w:szCs w:val="16"/>
        </w:rPr>
      </w:pPr>
      <w:r w:rsidRPr="00DE096C">
        <w:rPr>
          <w:bCs/>
          <w:color w:val="002060"/>
          <w:sz w:val="16"/>
          <w:szCs w:val="16"/>
        </w:rPr>
        <w:t xml:space="preserve">За период, предшествующий войне, Арсенал выпустил следующее количество изделий: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652"/>
        <w:gridCol w:w="636"/>
        <w:gridCol w:w="660"/>
        <w:gridCol w:w="636"/>
        <w:gridCol w:w="636"/>
      </w:tblGrid>
      <w:tr w:rsidR="00AE694E" w:rsidRPr="00DE096C" w14:paraId="6C3864E6" w14:textId="77777777" w:rsidTr="00D34AC1">
        <w:tc>
          <w:tcPr>
            <w:tcW w:w="2652" w:type="dxa"/>
          </w:tcPr>
          <w:p w14:paraId="41C85617" w14:textId="77777777" w:rsidR="00AE694E" w:rsidRPr="00DE096C" w:rsidRDefault="00AE694E" w:rsidP="00D45A46">
            <w:pPr>
              <w:jc w:val="both"/>
              <w:rPr>
                <w:bCs/>
                <w:color w:val="002060"/>
                <w:sz w:val="16"/>
                <w:szCs w:val="16"/>
              </w:rPr>
            </w:pPr>
            <w:r w:rsidRPr="00DE096C">
              <w:rPr>
                <w:bCs/>
                <w:color w:val="002060"/>
                <w:sz w:val="16"/>
                <w:szCs w:val="16"/>
              </w:rPr>
              <w:t>Наименование излелий</w:t>
            </w:r>
          </w:p>
        </w:tc>
        <w:tc>
          <w:tcPr>
            <w:tcW w:w="636" w:type="dxa"/>
          </w:tcPr>
          <w:p w14:paraId="3D9B99B5" w14:textId="77777777" w:rsidR="00AE694E" w:rsidRPr="00DE096C" w:rsidRDefault="00AE694E" w:rsidP="00D45A46">
            <w:pPr>
              <w:jc w:val="both"/>
              <w:rPr>
                <w:bCs/>
                <w:color w:val="002060"/>
                <w:sz w:val="16"/>
                <w:szCs w:val="16"/>
              </w:rPr>
            </w:pPr>
            <w:r w:rsidRPr="00DE096C">
              <w:rPr>
                <w:bCs/>
                <w:color w:val="002060"/>
                <w:sz w:val="16"/>
                <w:szCs w:val="16"/>
              </w:rPr>
              <w:t>1910 г.</w:t>
            </w:r>
          </w:p>
        </w:tc>
        <w:tc>
          <w:tcPr>
            <w:tcW w:w="660" w:type="dxa"/>
          </w:tcPr>
          <w:p w14:paraId="15647712" w14:textId="77777777" w:rsidR="00AE694E" w:rsidRPr="00DE096C" w:rsidRDefault="00AE694E" w:rsidP="00D45A46">
            <w:pPr>
              <w:jc w:val="both"/>
              <w:rPr>
                <w:bCs/>
                <w:color w:val="002060"/>
                <w:sz w:val="16"/>
                <w:szCs w:val="16"/>
              </w:rPr>
            </w:pPr>
            <w:r w:rsidRPr="00DE096C">
              <w:rPr>
                <w:bCs/>
                <w:color w:val="002060"/>
                <w:sz w:val="16"/>
                <w:szCs w:val="16"/>
              </w:rPr>
              <w:t>1911 г.</w:t>
            </w:r>
          </w:p>
        </w:tc>
        <w:tc>
          <w:tcPr>
            <w:tcW w:w="636" w:type="dxa"/>
          </w:tcPr>
          <w:p w14:paraId="4A389780" w14:textId="77777777" w:rsidR="00AE694E" w:rsidRPr="00DE096C" w:rsidRDefault="00AE694E" w:rsidP="00D45A46">
            <w:pPr>
              <w:jc w:val="both"/>
              <w:rPr>
                <w:bCs/>
                <w:color w:val="002060"/>
                <w:sz w:val="16"/>
                <w:szCs w:val="16"/>
              </w:rPr>
            </w:pPr>
            <w:r w:rsidRPr="00DE096C">
              <w:rPr>
                <w:bCs/>
                <w:color w:val="002060"/>
                <w:sz w:val="16"/>
                <w:szCs w:val="16"/>
              </w:rPr>
              <w:t>1912 г.</w:t>
            </w:r>
          </w:p>
        </w:tc>
        <w:tc>
          <w:tcPr>
            <w:tcW w:w="636" w:type="dxa"/>
          </w:tcPr>
          <w:p w14:paraId="7818D88C" w14:textId="77777777" w:rsidR="00AE694E" w:rsidRPr="00DE096C" w:rsidRDefault="00AE694E" w:rsidP="00D45A46">
            <w:pPr>
              <w:jc w:val="both"/>
              <w:rPr>
                <w:bCs/>
                <w:color w:val="002060"/>
                <w:sz w:val="16"/>
                <w:szCs w:val="16"/>
              </w:rPr>
            </w:pPr>
            <w:r w:rsidRPr="00DE096C">
              <w:rPr>
                <w:bCs/>
                <w:color w:val="002060"/>
                <w:sz w:val="16"/>
                <w:szCs w:val="16"/>
              </w:rPr>
              <w:t>1913 г.</w:t>
            </w:r>
          </w:p>
        </w:tc>
      </w:tr>
      <w:tr w:rsidR="00AE694E" w:rsidRPr="00DE096C" w14:paraId="5B3EC4CC" w14:textId="77777777" w:rsidTr="00D34AC1">
        <w:tc>
          <w:tcPr>
            <w:tcW w:w="2652" w:type="dxa"/>
          </w:tcPr>
          <w:p w14:paraId="4A83B714" w14:textId="77777777" w:rsidR="00AE694E" w:rsidRPr="00DE096C" w:rsidRDefault="00AE694E" w:rsidP="00D45A46">
            <w:pPr>
              <w:jc w:val="both"/>
              <w:rPr>
                <w:bCs/>
                <w:color w:val="002060"/>
                <w:sz w:val="16"/>
                <w:szCs w:val="16"/>
              </w:rPr>
            </w:pPr>
            <w:r w:rsidRPr="00DE096C">
              <w:rPr>
                <w:bCs/>
                <w:color w:val="002060"/>
                <w:sz w:val="16"/>
                <w:szCs w:val="16"/>
              </w:rPr>
              <w:t>Изготовление полевых зарядных ящиков, ходов</w:t>
            </w:r>
          </w:p>
        </w:tc>
        <w:tc>
          <w:tcPr>
            <w:tcW w:w="636" w:type="dxa"/>
          </w:tcPr>
          <w:p w14:paraId="3A1346EB" w14:textId="77777777" w:rsidR="00AE694E" w:rsidRPr="00DE096C" w:rsidRDefault="00AE694E" w:rsidP="00D45A46">
            <w:pPr>
              <w:jc w:val="both"/>
              <w:rPr>
                <w:bCs/>
                <w:color w:val="002060"/>
                <w:sz w:val="16"/>
                <w:szCs w:val="16"/>
              </w:rPr>
            </w:pPr>
            <w:r w:rsidRPr="00DE096C">
              <w:rPr>
                <w:bCs/>
                <w:color w:val="002060"/>
                <w:sz w:val="16"/>
                <w:szCs w:val="16"/>
              </w:rPr>
              <w:t>83</w:t>
            </w:r>
          </w:p>
        </w:tc>
        <w:tc>
          <w:tcPr>
            <w:tcW w:w="660" w:type="dxa"/>
          </w:tcPr>
          <w:p w14:paraId="1094783F" w14:textId="77777777" w:rsidR="00AE694E" w:rsidRPr="00DE096C" w:rsidRDefault="00AE694E" w:rsidP="00D45A46">
            <w:pPr>
              <w:jc w:val="both"/>
              <w:rPr>
                <w:bCs/>
                <w:color w:val="002060"/>
                <w:sz w:val="16"/>
                <w:szCs w:val="16"/>
              </w:rPr>
            </w:pPr>
            <w:r w:rsidRPr="00DE096C">
              <w:rPr>
                <w:bCs/>
                <w:color w:val="002060"/>
                <w:sz w:val="16"/>
                <w:szCs w:val="16"/>
              </w:rPr>
              <w:t>802</w:t>
            </w:r>
          </w:p>
        </w:tc>
        <w:tc>
          <w:tcPr>
            <w:tcW w:w="636" w:type="dxa"/>
          </w:tcPr>
          <w:p w14:paraId="2AD5B851" w14:textId="77777777" w:rsidR="00AE694E" w:rsidRPr="00DE096C" w:rsidRDefault="00AE694E" w:rsidP="00D45A46">
            <w:pPr>
              <w:jc w:val="both"/>
              <w:rPr>
                <w:bCs/>
                <w:color w:val="002060"/>
                <w:sz w:val="16"/>
                <w:szCs w:val="16"/>
              </w:rPr>
            </w:pPr>
            <w:r w:rsidRPr="00DE096C">
              <w:rPr>
                <w:bCs/>
                <w:color w:val="002060"/>
                <w:sz w:val="16"/>
                <w:szCs w:val="16"/>
              </w:rPr>
              <w:t>101</w:t>
            </w:r>
          </w:p>
        </w:tc>
        <w:tc>
          <w:tcPr>
            <w:tcW w:w="636" w:type="dxa"/>
          </w:tcPr>
          <w:p w14:paraId="640CD470" w14:textId="77777777" w:rsidR="00AE694E" w:rsidRPr="00DE096C" w:rsidRDefault="00AE694E" w:rsidP="00D45A46">
            <w:pPr>
              <w:jc w:val="both"/>
              <w:rPr>
                <w:bCs/>
                <w:color w:val="002060"/>
                <w:sz w:val="16"/>
                <w:szCs w:val="16"/>
              </w:rPr>
            </w:pPr>
            <w:r w:rsidRPr="00DE096C">
              <w:rPr>
                <w:bCs/>
                <w:color w:val="002060"/>
                <w:sz w:val="16"/>
                <w:szCs w:val="16"/>
              </w:rPr>
              <w:t>308</w:t>
            </w:r>
          </w:p>
        </w:tc>
      </w:tr>
      <w:tr w:rsidR="00AE694E" w:rsidRPr="00DE096C" w14:paraId="512139D4" w14:textId="77777777" w:rsidTr="00D34AC1">
        <w:tc>
          <w:tcPr>
            <w:tcW w:w="2652" w:type="dxa"/>
          </w:tcPr>
          <w:p w14:paraId="1210A678" w14:textId="77777777" w:rsidR="00AE694E" w:rsidRPr="00DE096C" w:rsidRDefault="00AE694E" w:rsidP="00D45A46">
            <w:pPr>
              <w:jc w:val="both"/>
              <w:rPr>
                <w:bCs/>
                <w:color w:val="002060"/>
                <w:sz w:val="16"/>
                <w:szCs w:val="16"/>
              </w:rPr>
            </w:pPr>
            <w:r w:rsidRPr="00DE096C">
              <w:rPr>
                <w:bCs/>
                <w:color w:val="002060"/>
                <w:sz w:val="16"/>
                <w:szCs w:val="16"/>
              </w:rPr>
              <w:t>Ремонт полевых зарядных ящиков</w:t>
            </w:r>
          </w:p>
        </w:tc>
        <w:tc>
          <w:tcPr>
            <w:tcW w:w="636" w:type="dxa"/>
          </w:tcPr>
          <w:p w14:paraId="23CF13B3" w14:textId="77777777" w:rsidR="00AE694E" w:rsidRPr="00DE096C" w:rsidRDefault="00AE694E" w:rsidP="00D45A46">
            <w:pPr>
              <w:jc w:val="both"/>
              <w:rPr>
                <w:bCs/>
                <w:color w:val="002060"/>
                <w:sz w:val="16"/>
                <w:szCs w:val="16"/>
              </w:rPr>
            </w:pPr>
            <w:r w:rsidRPr="00DE096C">
              <w:rPr>
                <w:bCs/>
                <w:color w:val="002060"/>
                <w:sz w:val="16"/>
                <w:szCs w:val="16"/>
              </w:rPr>
              <w:t>—</w:t>
            </w:r>
          </w:p>
        </w:tc>
        <w:tc>
          <w:tcPr>
            <w:tcW w:w="660" w:type="dxa"/>
          </w:tcPr>
          <w:p w14:paraId="5A338627" w14:textId="77777777" w:rsidR="00AE694E" w:rsidRPr="00DE096C" w:rsidRDefault="00AE694E" w:rsidP="00D45A46">
            <w:pPr>
              <w:jc w:val="both"/>
              <w:rPr>
                <w:bCs/>
                <w:color w:val="002060"/>
                <w:sz w:val="16"/>
                <w:szCs w:val="16"/>
              </w:rPr>
            </w:pPr>
            <w:r w:rsidRPr="00DE096C">
              <w:rPr>
                <w:bCs/>
                <w:color w:val="002060"/>
                <w:sz w:val="16"/>
                <w:szCs w:val="16"/>
              </w:rPr>
              <w:t>560</w:t>
            </w:r>
          </w:p>
        </w:tc>
        <w:tc>
          <w:tcPr>
            <w:tcW w:w="636" w:type="dxa"/>
          </w:tcPr>
          <w:p w14:paraId="05AE74FE" w14:textId="77777777" w:rsidR="00AE694E" w:rsidRPr="00DE096C" w:rsidRDefault="00AE694E" w:rsidP="00D45A46">
            <w:pPr>
              <w:jc w:val="both"/>
              <w:rPr>
                <w:bCs/>
                <w:color w:val="002060"/>
                <w:sz w:val="16"/>
                <w:szCs w:val="16"/>
              </w:rPr>
            </w:pPr>
            <w:r w:rsidRPr="00DE096C">
              <w:rPr>
                <w:bCs/>
                <w:color w:val="002060"/>
                <w:sz w:val="16"/>
                <w:szCs w:val="16"/>
              </w:rPr>
              <w:t>1.495</w:t>
            </w:r>
          </w:p>
        </w:tc>
        <w:tc>
          <w:tcPr>
            <w:tcW w:w="636" w:type="dxa"/>
          </w:tcPr>
          <w:p w14:paraId="10CADA31" w14:textId="77777777" w:rsidR="00AE694E" w:rsidRPr="00DE096C" w:rsidRDefault="00AE694E" w:rsidP="00D45A46">
            <w:pPr>
              <w:jc w:val="both"/>
              <w:rPr>
                <w:bCs/>
                <w:color w:val="002060"/>
                <w:sz w:val="16"/>
                <w:szCs w:val="16"/>
              </w:rPr>
            </w:pPr>
            <w:r w:rsidRPr="00DE096C">
              <w:rPr>
                <w:bCs/>
                <w:color w:val="002060"/>
                <w:sz w:val="16"/>
                <w:szCs w:val="16"/>
              </w:rPr>
              <w:t>50</w:t>
            </w:r>
          </w:p>
        </w:tc>
      </w:tr>
      <w:tr w:rsidR="00AE694E" w:rsidRPr="00DE096C" w14:paraId="24752996" w14:textId="77777777" w:rsidTr="00D34AC1">
        <w:tc>
          <w:tcPr>
            <w:tcW w:w="2652" w:type="dxa"/>
          </w:tcPr>
          <w:p w14:paraId="02B4646B" w14:textId="77777777" w:rsidR="00AE694E" w:rsidRPr="00DE096C" w:rsidRDefault="00AE694E" w:rsidP="00D45A46">
            <w:pPr>
              <w:jc w:val="both"/>
              <w:rPr>
                <w:bCs/>
                <w:color w:val="002060"/>
                <w:sz w:val="16"/>
                <w:szCs w:val="16"/>
              </w:rPr>
            </w:pPr>
            <w:r w:rsidRPr="00DE096C">
              <w:rPr>
                <w:bCs/>
                <w:color w:val="002060"/>
                <w:sz w:val="16"/>
                <w:szCs w:val="16"/>
              </w:rPr>
              <w:t>Изготовление колес полевых</w:t>
            </w:r>
          </w:p>
        </w:tc>
        <w:tc>
          <w:tcPr>
            <w:tcW w:w="636" w:type="dxa"/>
          </w:tcPr>
          <w:p w14:paraId="5D7D0DA6" w14:textId="77777777" w:rsidR="00AE694E" w:rsidRPr="00DE096C" w:rsidRDefault="00AE694E" w:rsidP="00D45A46">
            <w:pPr>
              <w:jc w:val="both"/>
              <w:rPr>
                <w:bCs/>
                <w:color w:val="002060"/>
                <w:sz w:val="16"/>
                <w:szCs w:val="16"/>
              </w:rPr>
            </w:pPr>
            <w:r w:rsidRPr="00DE096C">
              <w:rPr>
                <w:bCs/>
                <w:color w:val="002060"/>
                <w:sz w:val="16"/>
                <w:szCs w:val="16"/>
              </w:rPr>
              <w:t>—</w:t>
            </w:r>
          </w:p>
        </w:tc>
        <w:tc>
          <w:tcPr>
            <w:tcW w:w="660" w:type="dxa"/>
          </w:tcPr>
          <w:p w14:paraId="21817CAA" w14:textId="77777777" w:rsidR="00AE694E" w:rsidRPr="00DE096C" w:rsidRDefault="00AE694E" w:rsidP="00D45A46">
            <w:pPr>
              <w:jc w:val="both"/>
              <w:rPr>
                <w:bCs/>
                <w:color w:val="002060"/>
                <w:sz w:val="16"/>
                <w:szCs w:val="16"/>
              </w:rPr>
            </w:pPr>
            <w:r w:rsidRPr="00DE096C">
              <w:rPr>
                <w:bCs/>
                <w:color w:val="002060"/>
                <w:sz w:val="16"/>
                <w:szCs w:val="16"/>
              </w:rPr>
              <w:t>1.650</w:t>
            </w:r>
          </w:p>
        </w:tc>
        <w:tc>
          <w:tcPr>
            <w:tcW w:w="636" w:type="dxa"/>
          </w:tcPr>
          <w:p w14:paraId="7F984AB0" w14:textId="77777777" w:rsidR="00AE694E" w:rsidRPr="00DE096C" w:rsidRDefault="00AE694E" w:rsidP="00D45A46">
            <w:pPr>
              <w:jc w:val="both"/>
              <w:rPr>
                <w:bCs/>
                <w:color w:val="002060"/>
                <w:sz w:val="16"/>
                <w:szCs w:val="16"/>
              </w:rPr>
            </w:pPr>
            <w:r w:rsidRPr="00DE096C">
              <w:rPr>
                <w:bCs/>
                <w:color w:val="002060"/>
                <w:sz w:val="16"/>
                <w:szCs w:val="16"/>
              </w:rPr>
              <w:t>2.805</w:t>
            </w:r>
          </w:p>
        </w:tc>
        <w:tc>
          <w:tcPr>
            <w:tcW w:w="636" w:type="dxa"/>
          </w:tcPr>
          <w:p w14:paraId="10764657" w14:textId="77777777" w:rsidR="00AE694E" w:rsidRPr="00DE096C" w:rsidRDefault="00AE694E" w:rsidP="00D45A46">
            <w:pPr>
              <w:jc w:val="both"/>
              <w:rPr>
                <w:bCs/>
                <w:color w:val="002060"/>
                <w:sz w:val="16"/>
                <w:szCs w:val="16"/>
              </w:rPr>
            </w:pPr>
            <w:r w:rsidRPr="00DE096C">
              <w:rPr>
                <w:bCs/>
                <w:color w:val="002060"/>
                <w:sz w:val="16"/>
                <w:szCs w:val="16"/>
              </w:rPr>
              <w:t>180</w:t>
            </w:r>
          </w:p>
        </w:tc>
      </w:tr>
      <w:tr w:rsidR="00AE694E" w:rsidRPr="00DE096C" w14:paraId="6E8F4A34" w14:textId="77777777" w:rsidTr="00D34AC1">
        <w:tc>
          <w:tcPr>
            <w:tcW w:w="2652" w:type="dxa"/>
          </w:tcPr>
          <w:p w14:paraId="3DC918E3" w14:textId="77777777" w:rsidR="00AE694E" w:rsidRPr="00DE096C" w:rsidRDefault="00AE694E" w:rsidP="00D45A46">
            <w:pPr>
              <w:jc w:val="both"/>
              <w:rPr>
                <w:bCs/>
                <w:color w:val="002060"/>
                <w:sz w:val="16"/>
                <w:szCs w:val="16"/>
              </w:rPr>
            </w:pPr>
            <w:r w:rsidRPr="00DE096C">
              <w:rPr>
                <w:bCs/>
                <w:color w:val="002060"/>
                <w:sz w:val="16"/>
                <w:szCs w:val="16"/>
              </w:rPr>
              <w:t>Изготовление колес обозных</w:t>
            </w:r>
          </w:p>
        </w:tc>
        <w:tc>
          <w:tcPr>
            <w:tcW w:w="636" w:type="dxa"/>
          </w:tcPr>
          <w:p w14:paraId="66CC9B8C" w14:textId="77777777" w:rsidR="00AE694E" w:rsidRPr="00DE096C" w:rsidRDefault="00AE694E" w:rsidP="00D45A46">
            <w:pPr>
              <w:jc w:val="both"/>
              <w:rPr>
                <w:bCs/>
                <w:color w:val="002060"/>
                <w:sz w:val="16"/>
                <w:szCs w:val="16"/>
              </w:rPr>
            </w:pPr>
            <w:r w:rsidRPr="00DE096C">
              <w:rPr>
                <w:bCs/>
                <w:color w:val="002060"/>
                <w:sz w:val="16"/>
                <w:szCs w:val="16"/>
              </w:rPr>
              <w:t>—</w:t>
            </w:r>
          </w:p>
        </w:tc>
        <w:tc>
          <w:tcPr>
            <w:tcW w:w="660" w:type="dxa"/>
          </w:tcPr>
          <w:p w14:paraId="527836F4" w14:textId="77777777" w:rsidR="00AE694E" w:rsidRPr="00DE096C" w:rsidRDefault="00AE694E" w:rsidP="00D45A46">
            <w:pPr>
              <w:jc w:val="both"/>
              <w:rPr>
                <w:bCs/>
                <w:color w:val="002060"/>
                <w:sz w:val="16"/>
                <w:szCs w:val="16"/>
              </w:rPr>
            </w:pPr>
            <w:r w:rsidRPr="00DE096C">
              <w:rPr>
                <w:bCs/>
                <w:color w:val="002060"/>
                <w:sz w:val="16"/>
                <w:szCs w:val="16"/>
              </w:rPr>
              <w:t>745</w:t>
            </w:r>
          </w:p>
        </w:tc>
        <w:tc>
          <w:tcPr>
            <w:tcW w:w="636" w:type="dxa"/>
          </w:tcPr>
          <w:p w14:paraId="68E11A76" w14:textId="77777777" w:rsidR="00AE694E" w:rsidRPr="00DE096C" w:rsidRDefault="00AE694E" w:rsidP="00D45A46">
            <w:pPr>
              <w:jc w:val="both"/>
              <w:rPr>
                <w:bCs/>
                <w:color w:val="002060"/>
                <w:sz w:val="16"/>
                <w:szCs w:val="16"/>
              </w:rPr>
            </w:pPr>
            <w:r w:rsidRPr="00DE096C">
              <w:rPr>
                <w:bCs/>
                <w:color w:val="002060"/>
                <w:sz w:val="16"/>
                <w:szCs w:val="16"/>
              </w:rPr>
              <w:t>55</w:t>
            </w:r>
          </w:p>
        </w:tc>
        <w:tc>
          <w:tcPr>
            <w:tcW w:w="636" w:type="dxa"/>
          </w:tcPr>
          <w:p w14:paraId="1EC10952" w14:textId="77777777" w:rsidR="00AE694E" w:rsidRPr="00DE096C" w:rsidRDefault="00AE694E" w:rsidP="00D45A46">
            <w:pPr>
              <w:jc w:val="both"/>
              <w:rPr>
                <w:bCs/>
                <w:color w:val="002060"/>
                <w:sz w:val="16"/>
                <w:szCs w:val="16"/>
              </w:rPr>
            </w:pPr>
            <w:r w:rsidRPr="00DE096C">
              <w:rPr>
                <w:bCs/>
                <w:color w:val="002060"/>
                <w:sz w:val="16"/>
                <w:szCs w:val="16"/>
              </w:rPr>
              <w:t>480</w:t>
            </w:r>
          </w:p>
        </w:tc>
      </w:tr>
      <w:tr w:rsidR="00AE694E" w:rsidRPr="00DE096C" w14:paraId="71935142" w14:textId="77777777" w:rsidTr="00D34AC1">
        <w:tc>
          <w:tcPr>
            <w:tcW w:w="2652" w:type="dxa"/>
          </w:tcPr>
          <w:p w14:paraId="0A1EAEAC" w14:textId="77777777" w:rsidR="00AE694E" w:rsidRPr="00DE096C" w:rsidRDefault="00AE694E" w:rsidP="00D45A46">
            <w:pPr>
              <w:jc w:val="both"/>
              <w:rPr>
                <w:bCs/>
                <w:color w:val="002060"/>
                <w:sz w:val="16"/>
                <w:szCs w:val="16"/>
              </w:rPr>
            </w:pPr>
            <w:r w:rsidRPr="00DE096C">
              <w:rPr>
                <w:bCs/>
                <w:color w:val="002060"/>
                <w:sz w:val="16"/>
                <w:szCs w:val="16"/>
              </w:rPr>
              <w:t>Изготовление колес пулеметных</w:t>
            </w:r>
          </w:p>
        </w:tc>
        <w:tc>
          <w:tcPr>
            <w:tcW w:w="636" w:type="dxa"/>
          </w:tcPr>
          <w:p w14:paraId="561FA0AC" w14:textId="77777777" w:rsidR="00AE694E" w:rsidRPr="00DE096C" w:rsidRDefault="00AE694E" w:rsidP="00D45A46">
            <w:pPr>
              <w:jc w:val="both"/>
              <w:rPr>
                <w:bCs/>
                <w:color w:val="002060"/>
                <w:sz w:val="16"/>
                <w:szCs w:val="16"/>
              </w:rPr>
            </w:pPr>
            <w:r w:rsidRPr="00DE096C">
              <w:rPr>
                <w:bCs/>
                <w:color w:val="002060"/>
                <w:sz w:val="16"/>
                <w:szCs w:val="16"/>
              </w:rPr>
              <w:t>2.995</w:t>
            </w:r>
          </w:p>
        </w:tc>
        <w:tc>
          <w:tcPr>
            <w:tcW w:w="660" w:type="dxa"/>
          </w:tcPr>
          <w:p w14:paraId="1663DC6D" w14:textId="77777777" w:rsidR="00AE694E" w:rsidRPr="00DE096C" w:rsidRDefault="00AE694E" w:rsidP="00D45A46">
            <w:pPr>
              <w:jc w:val="both"/>
              <w:rPr>
                <w:bCs/>
                <w:color w:val="002060"/>
                <w:sz w:val="16"/>
                <w:szCs w:val="16"/>
              </w:rPr>
            </w:pPr>
            <w:r w:rsidRPr="00DE096C">
              <w:rPr>
                <w:bCs/>
                <w:color w:val="002060"/>
                <w:sz w:val="16"/>
                <w:szCs w:val="16"/>
              </w:rPr>
              <w:t>1.165</w:t>
            </w:r>
          </w:p>
        </w:tc>
        <w:tc>
          <w:tcPr>
            <w:tcW w:w="636" w:type="dxa"/>
          </w:tcPr>
          <w:p w14:paraId="100BF155" w14:textId="77777777" w:rsidR="00AE694E" w:rsidRPr="00DE096C" w:rsidRDefault="00AE694E" w:rsidP="00D45A46">
            <w:pPr>
              <w:jc w:val="both"/>
              <w:rPr>
                <w:bCs/>
                <w:color w:val="002060"/>
                <w:sz w:val="16"/>
                <w:szCs w:val="16"/>
              </w:rPr>
            </w:pPr>
            <w:r w:rsidRPr="00DE096C">
              <w:rPr>
                <w:bCs/>
                <w:color w:val="002060"/>
                <w:sz w:val="16"/>
                <w:szCs w:val="16"/>
              </w:rPr>
              <w:t>3.380</w:t>
            </w:r>
          </w:p>
        </w:tc>
        <w:tc>
          <w:tcPr>
            <w:tcW w:w="636" w:type="dxa"/>
          </w:tcPr>
          <w:p w14:paraId="3535F20B" w14:textId="77777777" w:rsidR="00AE694E" w:rsidRPr="00DE096C" w:rsidRDefault="00AE694E" w:rsidP="00D45A46">
            <w:pPr>
              <w:jc w:val="both"/>
              <w:rPr>
                <w:bCs/>
                <w:color w:val="002060"/>
                <w:sz w:val="16"/>
                <w:szCs w:val="16"/>
              </w:rPr>
            </w:pPr>
            <w:r w:rsidRPr="00DE096C">
              <w:rPr>
                <w:bCs/>
                <w:color w:val="002060"/>
                <w:sz w:val="16"/>
                <w:szCs w:val="16"/>
              </w:rPr>
              <w:t>1.130</w:t>
            </w:r>
          </w:p>
        </w:tc>
      </w:tr>
      <w:tr w:rsidR="00AE694E" w:rsidRPr="00DE096C" w14:paraId="680FBA38" w14:textId="77777777" w:rsidTr="00D34AC1">
        <w:tc>
          <w:tcPr>
            <w:tcW w:w="2652" w:type="dxa"/>
          </w:tcPr>
          <w:p w14:paraId="3BA132D5" w14:textId="77777777" w:rsidR="00AE694E" w:rsidRPr="00DE096C" w:rsidRDefault="00AE694E" w:rsidP="00D45A46">
            <w:pPr>
              <w:jc w:val="both"/>
              <w:rPr>
                <w:bCs/>
                <w:color w:val="002060"/>
                <w:sz w:val="16"/>
                <w:szCs w:val="16"/>
              </w:rPr>
            </w:pPr>
            <w:r w:rsidRPr="00DE096C">
              <w:rPr>
                <w:bCs/>
                <w:color w:val="002060"/>
                <w:sz w:val="16"/>
                <w:szCs w:val="16"/>
              </w:rPr>
              <w:t>Ремонт колес</w:t>
            </w:r>
          </w:p>
        </w:tc>
        <w:tc>
          <w:tcPr>
            <w:tcW w:w="636" w:type="dxa"/>
          </w:tcPr>
          <w:p w14:paraId="3227F7E9" w14:textId="77777777" w:rsidR="00AE694E" w:rsidRPr="00DE096C" w:rsidRDefault="00AE694E" w:rsidP="00D45A46">
            <w:pPr>
              <w:jc w:val="both"/>
              <w:rPr>
                <w:bCs/>
                <w:color w:val="002060"/>
                <w:sz w:val="16"/>
                <w:szCs w:val="16"/>
              </w:rPr>
            </w:pPr>
            <w:r w:rsidRPr="00DE096C">
              <w:rPr>
                <w:bCs/>
                <w:color w:val="002060"/>
                <w:sz w:val="16"/>
                <w:szCs w:val="16"/>
              </w:rPr>
              <w:t>—</w:t>
            </w:r>
          </w:p>
        </w:tc>
        <w:tc>
          <w:tcPr>
            <w:tcW w:w="660" w:type="dxa"/>
          </w:tcPr>
          <w:p w14:paraId="425E7A04" w14:textId="77777777" w:rsidR="00AE694E" w:rsidRPr="00DE096C" w:rsidRDefault="00AE694E" w:rsidP="00D45A46">
            <w:pPr>
              <w:jc w:val="both"/>
              <w:rPr>
                <w:bCs/>
                <w:color w:val="002060"/>
                <w:sz w:val="16"/>
                <w:szCs w:val="16"/>
              </w:rPr>
            </w:pPr>
            <w:r w:rsidRPr="00DE096C">
              <w:rPr>
                <w:bCs/>
                <w:color w:val="002060"/>
                <w:sz w:val="16"/>
                <w:szCs w:val="16"/>
              </w:rPr>
              <w:t>910</w:t>
            </w:r>
          </w:p>
        </w:tc>
        <w:tc>
          <w:tcPr>
            <w:tcW w:w="636" w:type="dxa"/>
          </w:tcPr>
          <w:p w14:paraId="3D7BB329" w14:textId="77777777" w:rsidR="00AE694E" w:rsidRPr="00DE096C" w:rsidRDefault="00AE694E" w:rsidP="00D45A46">
            <w:pPr>
              <w:jc w:val="both"/>
              <w:rPr>
                <w:bCs/>
                <w:color w:val="002060"/>
                <w:sz w:val="16"/>
                <w:szCs w:val="16"/>
              </w:rPr>
            </w:pPr>
            <w:r w:rsidRPr="00DE096C">
              <w:rPr>
                <w:bCs/>
                <w:color w:val="002060"/>
                <w:sz w:val="16"/>
                <w:szCs w:val="16"/>
              </w:rPr>
              <w:t>460</w:t>
            </w:r>
          </w:p>
        </w:tc>
        <w:tc>
          <w:tcPr>
            <w:tcW w:w="636" w:type="dxa"/>
          </w:tcPr>
          <w:p w14:paraId="4D94FF37" w14:textId="77777777" w:rsidR="00AE694E" w:rsidRPr="00DE096C" w:rsidRDefault="00AE694E" w:rsidP="00D45A46">
            <w:pPr>
              <w:jc w:val="both"/>
              <w:rPr>
                <w:bCs/>
                <w:color w:val="002060"/>
                <w:sz w:val="16"/>
                <w:szCs w:val="16"/>
              </w:rPr>
            </w:pPr>
            <w:r w:rsidRPr="00DE096C">
              <w:rPr>
                <w:bCs/>
                <w:color w:val="002060"/>
                <w:sz w:val="16"/>
                <w:szCs w:val="16"/>
              </w:rPr>
              <w:t>950</w:t>
            </w:r>
          </w:p>
        </w:tc>
      </w:tr>
      <w:tr w:rsidR="00AE694E" w:rsidRPr="00DE096C" w14:paraId="2B9AE585" w14:textId="77777777" w:rsidTr="00D34AC1">
        <w:tc>
          <w:tcPr>
            <w:tcW w:w="2652" w:type="dxa"/>
          </w:tcPr>
          <w:p w14:paraId="3E67DCFF" w14:textId="77777777" w:rsidR="00AE694E" w:rsidRPr="00DE096C" w:rsidRDefault="00AE694E" w:rsidP="00D45A46">
            <w:pPr>
              <w:jc w:val="both"/>
              <w:rPr>
                <w:bCs/>
                <w:color w:val="002060"/>
                <w:sz w:val="16"/>
                <w:szCs w:val="16"/>
              </w:rPr>
            </w:pPr>
            <w:r w:rsidRPr="00DE096C">
              <w:rPr>
                <w:bCs/>
                <w:color w:val="002060"/>
                <w:sz w:val="16"/>
                <w:szCs w:val="16"/>
              </w:rPr>
              <w:t>Ремонт лафетов</w:t>
            </w:r>
          </w:p>
        </w:tc>
        <w:tc>
          <w:tcPr>
            <w:tcW w:w="636" w:type="dxa"/>
          </w:tcPr>
          <w:p w14:paraId="3195F6A2" w14:textId="77777777" w:rsidR="00AE694E" w:rsidRPr="00DE096C" w:rsidRDefault="00AE694E" w:rsidP="00D45A46">
            <w:pPr>
              <w:jc w:val="both"/>
              <w:rPr>
                <w:bCs/>
                <w:color w:val="002060"/>
                <w:sz w:val="16"/>
                <w:szCs w:val="16"/>
              </w:rPr>
            </w:pPr>
            <w:r w:rsidRPr="00DE096C">
              <w:rPr>
                <w:bCs/>
                <w:color w:val="002060"/>
                <w:sz w:val="16"/>
                <w:szCs w:val="16"/>
              </w:rPr>
              <w:t>725</w:t>
            </w:r>
          </w:p>
        </w:tc>
        <w:tc>
          <w:tcPr>
            <w:tcW w:w="660" w:type="dxa"/>
          </w:tcPr>
          <w:p w14:paraId="61237014" w14:textId="77777777" w:rsidR="00AE694E" w:rsidRPr="00DE096C" w:rsidRDefault="00AE694E" w:rsidP="00D45A46">
            <w:pPr>
              <w:jc w:val="both"/>
              <w:rPr>
                <w:bCs/>
                <w:color w:val="002060"/>
                <w:sz w:val="16"/>
                <w:szCs w:val="16"/>
              </w:rPr>
            </w:pPr>
            <w:r w:rsidRPr="00DE096C">
              <w:rPr>
                <w:bCs/>
                <w:color w:val="002060"/>
                <w:sz w:val="16"/>
                <w:szCs w:val="16"/>
              </w:rPr>
              <w:t>785</w:t>
            </w:r>
          </w:p>
        </w:tc>
        <w:tc>
          <w:tcPr>
            <w:tcW w:w="636" w:type="dxa"/>
          </w:tcPr>
          <w:p w14:paraId="278F9731" w14:textId="77777777" w:rsidR="00AE694E" w:rsidRPr="00DE096C" w:rsidRDefault="00AE694E" w:rsidP="00D45A46">
            <w:pPr>
              <w:jc w:val="both"/>
              <w:rPr>
                <w:bCs/>
                <w:color w:val="002060"/>
                <w:sz w:val="16"/>
                <w:szCs w:val="16"/>
              </w:rPr>
            </w:pPr>
            <w:r w:rsidRPr="00DE096C">
              <w:rPr>
                <w:bCs/>
                <w:color w:val="002060"/>
                <w:sz w:val="16"/>
                <w:szCs w:val="16"/>
              </w:rPr>
              <w:t>15</w:t>
            </w:r>
          </w:p>
        </w:tc>
        <w:tc>
          <w:tcPr>
            <w:tcW w:w="636" w:type="dxa"/>
          </w:tcPr>
          <w:p w14:paraId="4AA80A2B" w14:textId="77777777" w:rsidR="00AE694E" w:rsidRPr="00DE096C" w:rsidRDefault="00AE694E" w:rsidP="00D45A46">
            <w:pPr>
              <w:jc w:val="both"/>
              <w:rPr>
                <w:bCs/>
                <w:color w:val="002060"/>
                <w:sz w:val="16"/>
                <w:szCs w:val="16"/>
              </w:rPr>
            </w:pPr>
            <w:r w:rsidRPr="00DE096C">
              <w:rPr>
                <w:bCs/>
                <w:color w:val="002060"/>
                <w:sz w:val="16"/>
                <w:szCs w:val="16"/>
              </w:rPr>
              <w:t>215</w:t>
            </w:r>
          </w:p>
        </w:tc>
      </w:tr>
      <w:tr w:rsidR="00AE694E" w:rsidRPr="00DE096C" w14:paraId="41E6D899" w14:textId="77777777" w:rsidTr="00D34AC1">
        <w:tc>
          <w:tcPr>
            <w:tcW w:w="2652" w:type="dxa"/>
          </w:tcPr>
          <w:p w14:paraId="7063E73F" w14:textId="77777777" w:rsidR="00AE694E" w:rsidRPr="00DE096C" w:rsidRDefault="00AE694E" w:rsidP="00D45A46">
            <w:pPr>
              <w:jc w:val="both"/>
              <w:rPr>
                <w:bCs/>
                <w:color w:val="002060"/>
                <w:sz w:val="16"/>
                <w:szCs w:val="16"/>
              </w:rPr>
            </w:pPr>
            <w:r w:rsidRPr="00DE096C">
              <w:rPr>
                <w:bCs/>
                <w:color w:val="002060"/>
                <w:sz w:val="16"/>
                <w:szCs w:val="16"/>
              </w:rPr>
              <w:t>Изготовление двуколок</w:t>
            </w:r>
          </w:p>
        </w:tc>
        <w:tc>
          <w:tcPr>
            <w:tcW w:w="636" w:type="dxa"/>
          </w:tcPr>
          <w:p w14:paraId="43AB441D" w14:textId="77777777" w:rsidR="00AE694E" w:rsidRPr="00DE096C" w:rsidRDefault="00AE694E" w:rsidP="00D45A46">
            <w:pPr>
              <w:jc w:val="both"/>
              <w:rPr>
                <w:bCs/>
                <w:color w:val="002060"/>
                <w:sz w:val="16"/>
                <w:szCs w:val="16"/>
              </w:rPr>
            </w:pPr>
            <w:r w:rsidRPr="00DE096C">
              <w:rPr>
                <w:bCs/>
                <w:color w:val="002060"/>
                <w:sz w:val="16"/>
                <w:szCs w:val="16"/>
              </w:rPr>
              <w:t>—</w:t>
            </w:r>
          </w:p>
        </w:tc>
        <w:tc>
          <w:tcPr>
            <w:tcW w:w="660" w:type="dxa"/>
          </w:tcPr>
          <w:p w14:paraId="1C60D97D" w14:textId="77777777" w:rsidR="00AE694E" w:rsidRPr="00DE096C" w:rsidRDefault="00AE694E" w:rsidP="00D45A46">
            <w:pPr>
              <w:jc w:val="both"/>
              <w:rPr>
                <w:bCs/>
                <w:color w:val="002060"/>
                <w:sz w:val="16"/>
                <w:szCs w:val="16"/>
              </w:rPr>
            </w:pPr>
            <w:r w:rsidRPr="00DE096C">
              <w:rPr>
                <w:bCs/>
                <w:color w:val="002060"/>
                <w:sz w:val="16"/>
                <w:szCs w:val="16"/>
              </w:rPr>
              <w:t>90</w:t>
            </w:r>
          </w:p>
        </w:tc>
        <w:tc>
          <w:tcPr>
            <w:tcW w:w="636" w:type="dxa"/>
          </w:tcPr>
          <w:p w14:paraId="4A8458CA" w14:textId="77777777" w:rsidR="00AE694E" w:rsidRPr="00DE096C" w:rsidRDefault="00AE694E" w:rsidP="00D45A46">
            <w:pPr>
              <w:jc w:val="both"/>
              <w:rPr>
                <w:bCs/>
                <w:color w:val="002060"/>
                <w:sz w:val="16"/>
                <w:szCs w:val="16"/>
              </w:rPr>
            </w:pPr>
            <w:r w:rsidRPr="00DE096C">
              <w:rPr>
                <w:bCs/>
                <w:color w:val="002060"/>
                <w:sz w:val="16"/>
                <w:szCs w:val="16"/>
              </w:rPr>
              <w:t>460</w:t>
            </w:r>
          </w:p>
        </w:tc>
        <w:tc>
          <w:tcPr>
            <w:tcW w:w="636" w:type="dxa"/>
          </w:tcPr>
          <w:p w14:paraId="524F290E" w14:textId="77777777" w:rsidR="00AE694E" w:rsidRPr="00DE096C" w:rsidRDefault="00AE694E" w:rsidP="00D45A46">
            <w:pPr>
              <w:jc w:val="both"/>
              <w:rPr>
                <w:bCs/>
                <w:color w:val="002060"/>
                <w:sz w:val="16"/>
                <w:szCs w:val="16"/>
              </w:rPr>
            </w:pPr>
            <w:r w:rsidRPr="00DE096C">
              <w:rPr>
                <w:bCs/>
                <w:color w:val="002060"/>
                <w:sz w:val="16"/>
                <w:szCs w:val="16"/>
              </w:rPr>
              <w:t>680</w:t>
            </w:r>
          </w:p>
        </w:tc>
      </w:tr>
      <w:tr w:rsidR="00AE694E" w:rsidRPr="00DE096C" w14:paraId="08AA6FC9" w14:textId="77777777" w:rsidTr="00D34AC1">
        <w:tc>
          <w:tcPr>
            <w:tcW w:w="2652" w:type="dxa"/>
          </w:tcPr>
          <w:p w14:paraId="50104F9B" w14:textId="77777777" w:rsidR="00AE694E" w:rsidRPr="00DE096C" w:rsidRDefault="00AE694E" w:rsidP="00D45A46">
            <w:pPr>
              <w:jc w:val="both"/>
              <w:rPr>
                <w:bCs/>
                <w:color w:val="002060"/>
                <w:sz w:val="16"/>
                <w:szCs w:val="16"/>
              </w:rPr>
            </w:pPr>
            <w:r w:rsidRPr="00DE096C">
              <w:rPr>
                <w:bCs/>
                <w:color w:val="002060"/>
                <w:sz w:val="16"/>
                <w:szCs w:val="16"/>
              </w:rPr>
              <w:t>Изготовление ящиков для патронных лент</w:t>
            </w:r>
          </w:p>
        </w:tc>
        <w:tc>
          <w:tcPr>
            <w:tcW w:w="636" w:type="dxa"/>
          </w:tcPr>
          <w:p w14:paraId="1CCAC7F9" w14:textId="77777777" w:rsidR="00AE694E" w:rsidRPr="00DE096C" w:rsidRDefault="00AE694E" w:rsidP="00D45A46">
            <w:pPr>
              <w:jc w:val="both"/>
              <w:rPr>
                <w:bCs/>
                <w:color w:val="002060"/>
                <w:sz w:val="16"/>
                <w:szCs w:val="16"/>
              </w:rPr>
            </w:pPr>
            <w:r w:rsidRPr="00DE096C">
              <w:rPr>
                <w:bCs/>
                <w:color w:val="002060"/>
                <w:sz w:val="16"/>
                <w:szCs w:val="16"/>
              </w:rPr>
              <w:t>6.000</w:t>
            </w:r>
          </w:p>
        </w:tc>
        <w:tc>
          <w:tcPr>
            <w:tcW w:w="660" w:type="dxa"/>
          </w:tcPr>
          <w:p w14:paraId="2A666D0E" w14:textId="77777777" w:rsidR="00AE694E" w:rsidRPr="00DE096C" w:rsidRDefault="00AE694E" w:rsidP="00D45A46">
            <w:pPr>
              <w:jc w:val="both"/>
              <w:rPr>
                <w:bCs/>
                <w:color w:val="002060"/>
                <w:sz w:val="16"/>
                <w:szCs w:val="16"/>
              </w:rPr>
            </w:pPr>
            <w:r w:rsidRPr="00DE096C">
              <w:rPr>
                <w:bCs/>
                <w:color w:val="002060"/>
                <w:sz w:val="16"/>
                <w:szCs w:val="16"/>
              </w:rPr>
              <w:t>10.000</w:t>
            </w:r>
          </w:p>
        </w:tc>
        <w:tc>
          <w:tcPr>
            <w:tcW w:w="636" w:type="dxa"/>
          </w:tcPr>
          <w:p w14:paraId="36728482" w14:textId="77777777" w:rsidR="00AE694E" w:rsidRPr="00DE096C" w:rsidRDefault="00AE694E" w:rsidP="00D45A46">
            <w:pPr>
              <w:jc w:val="both"/>
              <w:rPr>
                <w:bCs/>
                <w:color w:val="002060"/>
                <w:sz w:val="16"/>
                <w:szCs w:val="16"/>
              </w:rPr>
            </w:pPr>
            <w:r w:rsidRPr="00DE096C">
              <w:rPr>
                <w:bCs/>
                <w:color w:val="002060"/>
                <w:sz w:val="16"/>
                <w:szCs w:val="16"/>
              </w:rPr>
              <w:t>6.970</w:t>
            </w:r>
          </w:p>
        </w:tc>
        <w:tc>
          <w:tcPr>
            <w:tcW w:w="636" w:type="dxa"/>
          </w:tcPr>
          <w:p w14:paraId="62524192" w14:textId="77777777" w:rsidR="00AE694E" w:rsidRPr="00DE096C" w:rsidRDefault="00AE694E" w:rsidP="00D45A46">
            <w:pPr>
              <w:jc w:val="both"/>
              <w:rPr>
                <w:bCs/>
                <w:color w:val="002060"/>
                <w:sz w:val="16"/>
                <w:szCs w:val="16"/>
              </w:rPr>
            </w:pPr>
            <w:r w:rsidRPr="00DE096C">
              <w:rPr>
                <w:bCs/>
                <w:color w:val="002060"/>
                <w:sz w:val="16"/>
                <w:szCs w:val="16"/>
              </w:rPr>
              <w:t>10.815</w:t>
            </w:r>
          </w:p>
        </w:tc>
      </w:tr>
      <w:tr w:rsidR="00AE694E" w:rsidRPr="00DE096C" w14:paraId="3E9CDE7E" w14:textId="77777777" w:rsidTr="00D34AC1">
        <w:tc>
          <w:tcPr>
            <w:tcW w:w="2652" w:type="dxa"/>
          </w:tcPr>
          <w:p w14:paraId="0D8F1B29" w14:textId="77777777" w:rsidR="00AE694E" w:rsidRPr="00DE096C" w:rsidRDefault="00AE694E" w:rsidP="00D45A46">
            <w:pPr>
              <w:jc w:val="both"/>
              <w:rPr>
                <w:bCs/>
                <w:color w:val="002060"/>
                <w:sz w:val="16"/>
                <w:szCs w:val="16"/>
              </w:rPr>
            </w:pPr>
            <w:r w:rsidRPr="00DE096C">
              <w:rPr>
                <w:bCs/>
                <w:color w:val="002060"/>
                <w:sz w:val="16"/>
                <w:szCs w:val="16"/>
              </w:rPr>
              <w:t>Изготовление ящиков для панорам</w:t>
            </w:r>
          </w:p>
        </w:tc>
        <w:tc>
          <w:tcPr>
            <w:tcW w:w="636" w:type="dxa"/>
          </w:tcPr>
          <w:p w14:paraId="46119CA8" w14:textId="77777777" w:rsidR="00AE694E" w:rsidRPr="00DE096C" w:rsidRDefault="00AE694E" w:rsidP="00D45A46">
            <w:pPr>
              <w:jc w:val="both"/>
              <w:rPr>
                <w:bCs/>
                <w:color w:val="002060"/>
                <w:sz w:val="16"/>
                <w:szCs w:val="16"/>
              </w:rPr>
            </w:pPr>
            <w:r w:rsidRPr="00DE096C">
              <w:rPr>
                <w:bCs/>
                <w:color w:val="002060"/>
                <w:sz w:val="16"/>
                <w:szCs w:val="16"/>
              </w:rPr>
              <w:t>2.500</w:t>
            </w:r>
          </w:p>
        </w:tc>
        <w:tc>
          <w:tcPr>
            <w:tcW w:w="660" w:type="dxa"/>
          </w:tcPr>
          <w:p w14:paraId="2CB3ABAE" w14:textId="77777777" w:rsidR="00AE694E" w:rsidRPr="00DE096C" w:rsidRDefault="00AE694E" w:rsidP="00D45A46">
            <w:pPr>
              <w:jc w:val="both"/>
              <w:rPr>
                <w:bCs/>
                <w:color w:val="002060"/>
                <w:sz w:val="16"/>
                <w:szCs w:val="16"/>
              </w:rPr>
            </w:pPr>
            <w:r w:rsidRPr="00DE096C">
              <w:rPr>
                <w:bCs/>
                <w:color w:val="002060"/>
                <w:sz w:val="16"/>
                <w:szCs w:val="16"/>
              </w:rPr>
              <w:t>2.500</w:t>
            </w:r>
          </w:p>
        </w:tc>
        <w:tc>
          <w:tcPr>
            <w:tcW w:w="636" w:type="dxa"/>
          </w:tcPr>
          <w:p w14:paraId="03CDF31A" w14:textId="77777777" w:rsidR="00AE694E" w:rsidRPr="00DE096C" w:rsidRDefault="00AE694E" w:rsidP="00D45A46">
            <w:pPr>
              <w:jc w:val="both"/>
              <w:rPr>
                <w:bCs/>
                <w:color w:val="002060"/>
                <w:sz w:val="16"/>
                <w:szCs w:val="16"/>
              </w:rPr>
            </w:pPr>
            <w:r w:rsidRPr="00DE096C">
              <w:rPr>
                <w:bCs/>
                <w:color w:val="002060"/>
                <w:sz w:val="16"/>
                <w:szCs w:val="16"/>
              </w:rPr>
              <w:t>—</w:t>
            </w:r>
          </w:p>
        </w:tc>
        <w:tc>
          <w:tcPr>
            <w:tcW w:w="636" w:type="dxa"/>
          </w:tcPr>
          <w:p w14:paraId="0EF3EB77" w14:textId="77777777" w:rsidR="00AE694E" w:rsidRPr="00DE096C" w:rsidRDefault="00AE694E" w:rsidP="00D45A46">
            <w:pPr>
              <w:jc w:val="both"/>
              <w:rPr>
                <w:bCs/>
                <w:color w:val="002060"/>
                <w:sz w:val="16"/>
                <w:szCs w:val="16"/>
              </w:rPr>
            </w:pPr>
            <w:r w:rsidRPr="00DE096C">
              <w:rPr>
                <w:bCs/>
                <w:color w:val="002060"/>
                <w:sz w:val="16"/>
                <w:szCs w:val="16"/>
              </w:rPr>
              <w:t>—</w:t>
            </w:r>
          </w:p>
        </w:tc>
      </w:tr>
      <w:tr w:rsidR="00AE694E" w:rsidRPr="00DE096C" w14:paraId="3F796600" w14:textId="77777777" w:rsidTr="00D34AC1">
        <w:tc>
          <w:tcPr>
            <w:tcW w:w="2652" w:type="dxa"/>
          </w:tcPr>
          <w:p w14:paraId="23104C56" w14:textId="77777777" w:rsidR="00AE694E" w:rsidRPr="00DE096C" w:rsidRDefault="00AE694E" w:rsidP="00D45A46">
            <w:pPr>
              <w:jc w:val="both"/>
              <w:rPr>
                <w:bCs/>
                <w:color w:val="002060"/>
                <w:sz w:val="16"/>
                <w:szCs w:val="16"/>
              </w:rPr>
            </w:pPr>
            <w:r w:rsidRPr="00DE096C">
              <w:rPr>
                <w:bCs/>
                <w:color w:val="002060"/>
                <w:sz w:val="16"/>
                <w:szCs w:val="16"/>
              </w:rPr>
              <w:t>Изготовление патронных вьючных ящиков для 3-дм горной артиллерии</w:t>
            </w:r>
          </w:p>
        </w:tc>
        <w:tc>
          <w:tcPr>
            <w:tcW w:w="636" w:type="dxa"/>
          </w:tcPr>
          <w:p w14:paraId="434D3A70" w14:textId="77777777" w:rsidR="00AE694E" w:rsidRPr="00DE096C" w:rsidRDefault="00AE694E" w:rsidP="00D45A46">
            <w:pPr>
              <w:jc w:val="both"/>
              <w:rPr>
                <w:bCs/>
                <w:color w:val="002060"/>
                <w:sz w:val="16"/>
                <w:szCs w:val="16"/>
              </w:rPr>
            </w:pPr>
            <w:r w:rsidRPr="00DE096C">
              <w:rPr>
                <w:bCs/>
                <w:color w:val="002060"/>
                <w:sz w:val="16"/>
                <w:szCs w:val="16"/>
              </w:rPr>
              <w:t>—</w:t>
            </w:r>
          </w:p>
        </w:tc>
        <w:tc>
          <w:tcPr>
            <w:tcW w:w="660" w:type="dxa"/>
          </w:tcPr>
          <w:p w14:paraId="04C7A133" w14:textId="77777777" w:rsidR="00AE694E" w:rsidRPr="00DE096C" w:rsidRDefault="00AE694E" w:rsidP="00D45A46">
            <w:pPr>
              <w:jc w:val="both"/>
              <w:rPr>
                <w:bCs/>
                <w:color w:val="002060"/>
                <w:sz w:val="16"/>
                <w:szCs w:val="16"/>
              </w:rPr>
            </w:pPr>
            <w:r w:rsidRPr="00DE096C">
              <w:rPr>
                <w:bCs/>
                <w:color w:val="002060"/>
                <w:sz w:val="16"/>
                <w:szCs w:val="16"/>
              </w:rPr>
              <w:t>2.400</w:t>
            </w:r>
          </w:p>
        </w:tc>
        <w:tc>
          <w:tcPr>
            <w:tcW w:w="636" w:type="dxa"/>
          </w:tcPr>
          <w:p w14:paraId="797FD214" w14:textId="77777777" w:rsidR="00AE694E" w:rsidRPr="00DE096C" w:rsidRDefault="00AE694E" w:rsidP="00D45A46">
            <w:pPr>
              <w:jc w:val="both"/>
              <w:rPr>
                <w:bCs/>
                <w:color w:val="002060"/>
                <w:sz w:val="16"/>
                <w:szCs w:val="16"/>
              </w:rPr>
            </w:pPr>
            <w:r w:rsidRPr="00DE096C">
              <w:rPr>
                <w:bCs/>
                <w:color w:val="002060"/>
                <w:sz w:val="16"/>
                <w:szCs w:val="16"/>
              </w:rPr>
              <w:t>1.350</w:t>
            </w:r>
          </w:p>
        </w:tc>
        <w:tc>
          <w:tcPr>
            <w:tcW w:w="636" w:type="dxa"/>
          </w:tcPr>
          <w:p w14:paraId="37AB3E14" w14:textId="77777777" w:rsidR="00AE694E" w:rsidRPr="00DE096C" w:rsidRDefault="00AE694E" w:rsidP="00D45A46">
            <w:pPr>
              <w:jc w:val="both"/>
              <w:rPr>
                <w:bCs/>
                <w:color w:val="002060"/>
                <w:sz w:val="16"/>
                <w:szCs w:val="16"/>
              </w:rPr>
            </w:pPr>
            <w:r w:rsidRPr="00DE096C">
              <w:rPr>
                <w:bCs/>
                <w:color w:val="002060"/>
                <w:sz w:val="16"/>
                <w:szCs w:val="16"/>
              </w:rPr>
              <w:t>—</w:t>
            </w:r>
          </w:p>
        </w:tc>
      </w:tr>
      <w:tr w:rsidR="00AE694E" w:rsidRPr="00DE096C" w14:paraId="246F5018" w14:textId="77777777" w:rsidTr="00D34AC1">
        <w:tc>
          <w:tcPr>
            <w:tcW w:w="2652" w:type="dxa"/>
          </w:tcPr>
          <w:p w14:paraId="2F4AD495" w14:textId="77777777" w:rsidR="00AE694E" w:rsidRPr="00DE096C" w:rsidRDefault="00AE694E" w:rsidP="00D45A46">
            <w:pPr>
              <w:jc w:val="both"/>
              <w:rPr>
                <w:bCs/>
                <w:color w:val="002060"/>
                <w:sz w:val="16"/>
                <w:szCs w:val="16"/>
              </w:rPr>
            </w:pPr>
            <w:r w:rsidRPr="00DE096C">
              <w:rPr>
                <w:bCs/>
                <w:color w:val="002060"/>
                <w:sz w:val="16"/>
                <w:szCs w:val="16"/>
              </w:rPr>
              <w:t>Принадлежности</w:t>
            </w:r>
          </w:p>
        </w:tc>
        <w:tc>
          <w:tcPr>
            <w:tcW w:w="636" w:type="dxa"/>
          </w:tcPr>
          <w:p w14:paraId="64CA3603" w14:textId="77777777" w:rsidR="00AE694E" w:rsidRPr="00DE096C" w:rsidRDefault="00AE694E" w:rsidP="00D45A46">
            <w:pPr>
              <w:jc w:val="both"/>
              <w:rPr>
                <w:bCs/>
                <w:color w:val="002060"/>
                <w:sz w:val="16"/>
                <w:szCs w:val="16"/>
              </w:rPr>
            </w:pPr>
            <w:r w:rsidRPr="00DE096C">
              <w:rPr>
                <w:bCs/>
                <w:color w:val="002060"/>
                <w:sz w:val="16"/>
                <w:szCs w:val="16"/>
              </w:rPr>
              <w:t>135</w:t>
            </w:r>
          </w:p>
        </w:tc>
        <w:tc>
          <w:tcPr>
            <w:tcW w:w="660" w:type="dxa"/>
          </w:tcPr>
          <w:p w14:paraId="3C8701C8" w14:textId="77777777" w:rsidR="00AE694E" w:rsidRPr="00DE096C" w:rsidRDefault="00AE694E" w:rsidP="00D45A46">
            <w:pPr>
              <w:jc w:val="both"/>
              <w:rPr>
                <w:bCs/>
                <w:color w:val="002060"/>
                <w:sz w:val="16"/>
                <w:szCs w:val="16"/>
              </w:rPr>
            </w:pPr>
            <w:r w:rsidRPr="00DE096C">
              <w:rPr>
                <w:bCs/>
                <w:color w:val="002060"/>
                <w:sz w:val="16"/>
                <w:szCs w:val="16"/>
              </w:rPr>
              <w:t>1.640</w:t>
            </w:r>
          </w:p>
        </w:tc>
        <w:tc>
          <w:tcPr>
            <w:tcW w:w="636" w:type="dxa"/>
          </w:tcPr>
          <w:p w14:paraId="225C36B1" w14:textId="77777777" w:rsidR="00AE694E" w:rsidRPr="00DE096C" w:rsidRDefault="00AE694E" w:rsidP="00D45A46">
            <w:pPr>
              <w:jc w:val="both"/>
              <w:rPr>
                <w:bCs/>
                <w:color w:val="002060"/>
                <w:sz w:val="16"/>
                <w:szCs w:val="16"/>
              </w:rPr>
            </w:pPr>
            <w:r w:rsidRPr="00DE096C">
              <w:rPr>
                <w:bCs/>
                <w:color w:val="002060"/>
                <w:sz w:val="16"/>
                <w:szCs w:val="16"/>
              </w:rPr>
              <w:t>28.075</w:t>
            </w:r>
          </w:p>
        </w:tc>
        <w:tc>
          <w:tcPr>
            <w:tcW w:w="636" w:type="dxa"/>
          </w:tcPr>
          <w:p w14:paraId="46AAE065" w14:textId="77777777" w:rsidR="00AE694E" w:rsidRPr="00DE096C" w:rsidRDefault="00AE694E" w:rsidP="00D45A46">
            <w:pPr>
              <w:jc w:val="both"/>
              <w:rPr>
                <w:bCs/>
                <w:color w:val="002060"/>
                <w:sz w:val="16"/>
                <w:szCs w:val="16"/>
              </w:rPr>
            </w:pPr>
            <w:r w:rsidRPr="00DE096C">
              <w:rPr>
                <w:bCs/>
                <w:color w:val="002060"/>
                <w:sz w:val="16"/>
                <w:szCs w:val="16"/>
              </w:rPr>
              <w:t>20.340</w:t>
            </w:r>
          </w:p>
        </w:tc>
      </w:tr>
      <w:tr w:rsidR="00AE694E" w:rsidRPr="00DE096C" w14:paraId="5914F7E3" w14:textId="77777777" w:rsidTr="00D34AC1">
        <w:tc>
          <w:tcPr>
            <w:tcW w:w="2652" w:type="dxa"/>
          </w:tcPr>
          <w:p w14:paraId="5D60748B" w14:textId="77777777" w:rsidR="00AE694E" w:rsidRPr="00DE096C" w:rsidRDefault="00AE694E" w:rsidP="00D45A46">
            <w:pPr>
              <w:jc w:val="both"/>
              <w:rPr>
                <w:bCs/>
                <w:color w:val="002060"/>
                <w:sz w:val="16"/>
                <w:szCs w:val="16"/>
              </w:rPr>
            </w:pPr>
            <w:r w:rsidRPr="00DE096C">
              <w:rPr>
                <w:bCs/>
                <w:color w:val="002060"/>
                <w:sz w:val="16"/>
                <w:szCs w:val="16"/>
              </w:rPr>
              <w:t>Запасные части</w:t>
            </w:r>
          </w:p>
        </w:tc>
        <w:tc>
          <w:tcPr>
            <w:tcW w:w="636" w:type="dxa"/>
          </w:tcPr>
          <w:p w14:paraId="5863F1CE" w14:textId="77777777" w:rsidR="00AE694E" w:rsidRPr="00DE096C" w:rsidRDefault="00AE694E" w:rsidP="00D45A46">
            <w:pPr>
              <w:jc w:val="both"/>
              <w:rPr>
                <w:bCs/>
                <w:color w:val="002060"/>
                <w:sz w:val="16"/>
                <w:szCs w:val="16"/>
              </w:rPr>
            </w:pPr>
            <w:r w:rsidRPr="00DE096C">
              <w:rPr>
                <w:bCs/>
                <w:color w:val="002060"/>
                <w:sz w:val="16"/>
                <w:szCs w:val="16"/>
              </w:rPr>
              <w:t>10.750</w:t>
            </w:r>
          </w:p>
        </w:tc>
        <w:tc>
          <w:tcPr>
            <w:tcW w:w="660" w:type="dxa"/>
          </w:tcPr>
          <w:p w14:paraId="0D40489A" w14:textId="77777777" w:rsidR="00AE694E" w:rsidRPr="00DE096C" w:rsidRDefault="00AE694E" w:rsidP="00D45A46">
            <w:pPr>
              <w:jc w:val="both"/>
              <w:rPr>
                <w:bCs/>
                <w:color w:val="002060"/>
                <w:sz w:val="16"/>
                <w:szCs w:val="16"/>
              </w:rPr>
            </w:pPr>
            <w:r w:rsidRPr="00DE096C">
              <w:rPr>
                <w:bCs/>
                <w:color w:val="002060"/>
                <w:sz w:val="16"/>
                <w:szCs w:val="16"/>
              </w:rPr>
              <w:t>44.320</w:t>
            </w:r>
          </w:p>
        </w:tc>
        <w:tc>
          <w:tcPr>
            <w:tcW w:w="636" w:type="dxa"/>
          </w:tcPr>
          <w:p w14:paraId="762DEA79" w14:textId="77777777" w:rsidR="00AE694E" w:rsidRPr="00DE096C" w:rsidRDefault="00AE694E" w:rsidP="00D45A46">
            <w:pPr>
              <w:jc w:val="both"/>
              <w:rPr>
                <w:bCs/>
                <w:color w:val="002060"/>
                <w:sz w:val="16"/>
                <w:szCs w:val="16"/>
              </w:rPr>
            </w:pPr>
            <w:r w:rsidRPr="00DE096C">
              <w:rPr>
                <w:bCs/>
                <w:color w:val="002060"/>
                <w:sz w:val="16"/>
                <w:szCs w:val="16"/>
              </w:rPr>
              <w:t>26.650</w:t>
            </w:r>
          </w:p>
        </w:tc>
        <w:tc>
          <w:tcPr>
            <w:tcW w:w="636" w:type="dxa"/>
          </w:tcPr>
          <w:p w14:paraId="5A891C71" w14:textId="77777777" w:rsidR="00AE694E" w:rsidRPr="00DE096C" w:rsidRDefault="00AE694E" w:rsidP="00D45A46">
            <w:pPr>
              <w:jc w:val="both"/>
              <w:rPr>
                <w:bCs/>
                <w:color w:val="002060"/>
                <w:sz w:val="16"/>
                <w:szCs w:val="16"/>
              </w:rPr>
            </w:pPr>
            <w:r w:rsidRPr="00DE096C">
              <w:rPr>
                <w:bCs/>
                <w:color w:val="002060"/>
                <w:sz w:val="16"/>
                <w:szCs w:val="16"/>
              </w:rPr>
              <w:t>42.620</w:t>
            </w:r>
          </w:p>
        </w:tc>
      </w:tr>
      <w:tr w:rsidR="00AE694E" w:rsidRPr="00DE096C" w14:paraId="0B8D1890" w14:textId="77777777" w:rsidTr="00D34AC1">
        <w:tc>
          <w:tcPr>
            <w:tcW w:w="2652" w:type="dxa"/>
          </w:tcPr>
          <w:p w14:paraId="14769B54" w14:textId="77777777" w:rsidR="00AE694E" w:rsidRPr="00DE096C" w:rsidRDefault="00AE694E" w:rsidP="00D45A46">
            <w:pPr>
              <w:jc w:val="both"/>
              <w:rPr>
                <w:bCs/>
                <w:color w:val="002060"/>
                <w:sz w:val="16"/>
                <w:szCs w:val="16"/>
              </w:rPr>
            </w:pPr>
            <w:r w:rsidRPr="00DE096C">
              <w:rPr>
                <w:bCs/>
                <w:color w:val="002060"/>
                <w:sz w:val="16"/>
                <w:szCs w:val="16"/>
              </w:rPr>
              <w:t>Изготовление латунных прокладок</w:t>
            </w:r>
          </w:p>
        </w:tc>
        <w:tc>
          <w:tcPr>
            <w:tcW w:w="636" w:type="dxa"/>
          </w:tcPr>
          <w:p w14:paraId="2531B385" w14:textId="77777777" w:rsidR="00AE694E" w:rsidRPr="00DE096C" w:rsidRDefault="00AE694E" w:rsidP="00D45A46">
            <w:pPr>
              <w:jc w:val="both"/>
              <w:rPr>
                <w:bCs/>
                <w:color w:val="002060"/>
                <w:sz w:val="16"/>
                <w:szCs w:val="16"/>
              </w:rPr>
            </w:pPr>
            <w:r w:rsidRPr="00DE096C">
              <w:rPr>
                <w:bCs/>
                <w:color w:val="002060"/>
                <w:sz w:val="16"/>
                <w:szCs w:val="16"/>
              </w:rPr>
              <w:t>42</w:t>
            </w:r>
          </w:p>
        </w:tc>
        <w:tc>
          <w:tcPr>
            <w:tcW w:w="660" w:type="dxa"/>
          </w:tcPr>
          <w:p w14:paraId="7EC0AC29" w14:textId="77777777" w:rsidR="00AE694E" w:rsidRPr="00DE096C" w:rsidRDefault="00AE694E" w:rsidP="00D45A46">
            <w:pPr>
              <w:jc w:val="both"/>
              <w:rPr>
                <w:bCs/>
                <w:color w:val="002060"/>
                <w:sz w:val="16"/>
                <w:szCs w:val="16"/>
              </w:rPr>
            </w:pPr>
            <w:r w:rsidRPr="00DE096C">
              <w:rPr>
                <w:bCs/>
                <w:color w:val="002060"/>
                <w:sz w:val="16"/>
                <w:szCs w:val="16"/>
              </w:rPr>
              <w:t>—</w:t>
            </w:r>
          </w:p>
        </w:tc>
        <w:tc>
          <w:tcPr>
            <w:tcW w:w="636" w:type="dxa"/>
          </w:tcPr>
          <w:p w14:paraId="40999F99" w14:textId="77777777" w:rsidR="00AE694E" w:rsidRPr="00DE096C" w:rsidRDefault="00AE694E" w:rsidP="00D45A46">
            <w:pPr>
              <w:jc w:val="both"/>
              <w:rPr>
                <w:bCs/>
                <w:color w:val="002060"/>
                <w:sz w:val="16"/>
                <w:szCs w:val="16"/>
              </w:rPr>
            </w:pPr>
            <w:r w:rsidRPr="00DE096C">
              <w:rPr>
                <w:bCs/>
                <w:color w:val="002060"/>
                <w:sz w:val="16"/>
                <w:szCs w:val="16"/>
              </w:rPr>
              <w:t>—</w:t>
            </w:r>
          </w:p>
        </w:tc>
        <w:tc>
          <w:tcPr>
            <w:tcW w:w="636" w:type="dxa"/>
          </w:tcPr>
          <w:p w14:paraId="608C906A" w14:textId="77777777" w:rsidR="00AE694E" w:rsidRPr="00DE096C" w:rsidRDefault="00AE694E" w:rsidP="00D45A46">
            <w:pPr>
              <w:jc w:val="both"/>
              <w:rPr>
                <w:bCs/>
                <w:color w:val="002060"/>
                <w:sz w:val="16"/>
                <w:szCs w:val="16"/>
              </w:rPr>
            </w:pPr>
            <w:r w:rsidRPr="00DE096C">
              <w:rPr>
                <w:bCs/>
                <w:color w:val="002060"/>
                <w:sz w:val="16"/>
                <w:szCs w:val="16"/>
              </w:rPr>
              <w:t>—</w:t>
            </w:r>
          </w:p>
        </w:tc>
      </w:tr>
      <w:tr w:rsidR="00AE694E" w:rsidRPr="00DE096C" w14:paraId="1B14E61E" w14:textId="77777777" w:rsidTr="00D34AC1">
        <w:tc>
          <w:tcPr>
            <w:tcW w:w="2652" w:type="dxa"/>
          </w:tcPr>
          <w:p w14:paraId="3EF40EED" w14:textId="77777777" w:rsidR="00AE694E" w:rsidRPr="00DE096C" w:rsidRDefault="00AE694E" w:rsidP="00D45A46">
            <w:pPr>
              <w:jc w:val="both"/>
              <w:rPr>
                <w:bCs/>
                <w:color w:val="002060"/>
                <w:sz w:val="16"/>
                <w:szCs w:val="16"/>
              </w:rPr>
            </w:pPr>
            <w:r w:rsidRPr="00DE096C">
              <w:rPr>
                <w:bCs/>
                <w:color w:val="002060"/>
                <w:sz w:val="16"/>
                <w:szCs w:val="16"/>
              </w:rPr>
              <w:lastRenderedPageBreak/>
              <w:t>Изготовление болтов с гайками</w:t>
            </w:r>
          </w:p>
        </w:tc>
        <w:tc>
          <w:tcPr>
            <w:tcW w:w="636" w:type="dxa"/>
          </w:tcPr>
          <w:p w14:paraId="33ED5FEF" w14:textId="77777777" w:rsidR="00AE694E" w:rsidRPr="00DE096C" w:rsidRDefault="00AE694E" w:rsidP="00D45A46">
            <w:pPr>
              <w:jc w:val="both"/>
              <w:rPr>
                <w:bCs/>
                <w:color w:val="002060"/>
                <w:sz w:val="16"/>
                <w:szCs w:val="16"/>
              </w:rPr>
            </w:pPr>
            <w:r w:rsidRPr="00DE096C">
              <w:rPr>
                <w:bCs/>
                <w:color w:val="002060"/>
                <w:sz w:val="16"/>
                <w:szCs w:val="16"/>
              </w:rPr>
              <w:t>—</w:t>
            </w:r>
          </w:p>
        </w:tc>
        <w:tc>
          <w:tcPr>
            <w:tcW w:w="660" w:type="dxa"/>
          </w:tcPr>
          <w:p w14:paraId="34861264" w14:textId="77777777" w:rsidR="00AE694E" w:rsidRPr="00DE096C" w:rsidRDefault="00AE694E" w:rsidP="00D45A46">
            <w:pPr>
              <w:jc w:val="both"/>
              <w:rPr>
                <w:bCs/>
                <w:color w:val="002060"/>
                <w:sz w:val="16"/>
                <w:szCs w:val="16"/>
              </w:rPr>
            </w:pPr>
            <w:r w:rsidRPr="00DE096C">
              <w:rPr>
                <w:bCs/>
                <w:color w:val="002060"/>
                <w:sz w:val="16"/>
                <w:szCs w:val="16"/>
              </w:rPr>
              <w:t>10.000</w:t>
            </w:r>
          </w:p>
        </w:tc>
        <w:tc>
          <w:tcPr>
            <w:tcW w:w="636" w:type="dxa"/>
          </w:tcPr>
          <w:p w14:paraId="167C5382" w14:textId="77777777" w:rsidR="00AE694E" w:rsidRPr="00DE096C" w:rsidRDefault="00AE694E" w:rsidP="00D45A46">
            <w:pPr>
              <w:jc w:val="both"/>
              <w:rPr>
                <w:bCs/>
                <w:color w:val="002060"/>
                <w:sz w:val="16"/>
                <w:szCs w:val="16"/>
              </w:rPr>
            </w:pPr>
            <w:r w:rsidRPr="00DE096C">
              <w:rPr>
                <w:bCs/>
                <w:color w:val="002060"/>
                <w:sz w:val="16"/>
                <w:szCs w:val="16"/>
              </w:rPr>
              <w:t>—</w:t>
            </w:r>
          </w:p>
        </w:tc>
        <w:tc>
          <w:tcPr>
            <w:tcW w:w="636" w:type="dxa"/>
          </w:tcPr>
          <w:p w14:paraId="3A9C5926" w14:textId="77777777" w:rsidR="00AE694E" w:rsidRPr="00DE096C" w:rsidRDefault="00AE694E" w:rsidP="00D45A46">
            <w:pPr>
              <w:jc w:val="both"/>
              <w:rPr>
                <w:bCs/>
                <w:color w:val="002060"/>
                <w:sz w:val="16"/>
                <w:szCs w:val="16"/>
              </w:rPr>
            </w:pPr>
            <w:r w:rsidRPr="00DE096C">
              <w:rPr>
                <w:bCs/>
                <w:color w:val="002060"/>
                <w:sz w:val="16"/>
                <w:szCs w:val="16"/>
              </w:rPr>
              <w:t>—</w:t>
            </w:r>
          </w:p>
        </w:tc>
      </w:tr>
      <w:tr w:rsidR="00AE694E" w:rsidRPr="00DE096C" w14:paraId="1206EAA4" w14:textId="77777777" w:rsidTr="00D34AC1">
        <w:tc>
          <w:tcPr>
            <w:tcW w:w="2652" w:type="dxa"/>
          </w:tcPr>
          <w:p w14:paraId="0BCCC22D" w14:textId="77777777" w:rsidR="00AE694E" w:rsidRPr="00DE096C" w:rsidRDefault="00AE694E" w:rsidP="00D45A46">
            <w:pPr>
              <w:jc w:val="both"/>
              <w:rPr>
                <w:bCs/>
                <w:color w:val="002060"/>
                <w:sz w:val="16"/>
                <w:szCs w:val="16"/>
              </w:rPr>
            </w:pPr>
            <w:r w:rsidRPr="00DE096C">
              <w:rPr>
                <w:bCs/>
                <w:color w:val="002060"/>
                <w:sz w:val="16"/>
                <w:szCs w:val="16"/>
              </w:rPr>
              <w:t>Изготовление парных повозок обр. 1884 г.</w:t>
            </w:r>
          </w:p>
        </w:tc>
        <w:tc>
          <w:tcPr>
            <w:tcW w:w="636" w:type="dxa"/>
          </w:tcPr>
          <w:p w14:paraId="4941F171" w14:textId="77777777" w:rsidR="00AE694E" w:rsidRPr="00DE096C" w:rsidRDefault="00AE694E" w:rsidP="00D45A46">
            <w:pPr>
              <w:jc w:val="both"/>
              <w:rPr>
                <w:bCs/>
                <w:color w:val="002060"/>
                <w:sz w:val="16"/>
                <w:szCs w:val="16"/>
              </w:rPr>
            </w:pPr>
            <w:r w:rsidRPr="00DE096C">
              <w:rPr>
                <w:bCs/>
                <w:color w:val="002060"/>
                <w:sz w:val="16"/>
                <w:szCs w:val="16"/>
              </w:rPr>
              <w:t>—</w:t>
            </w:r>
          </w:p>
        </w:tc>
        <w:tc>
          <w:tcPr>
            <w:tcW w:w="660" w:type="dxa"/>
          </w:tcPr>
          <w:p w14:paraId="01D865A1" w14:textId="77777777" w:rsidR="00AE694E" w:rsidRPr="00DE096C" w:rsidRDefault="00AE694E" w:rsidP="00D45A46">
            <w:pPr>
              <w:jc w:val="both"/>
              <w:rPr>
                <w:bCs/>
                <w:color w:val="002060"/>
                <w:sz w:val="16"/>
                <w:szCs w:val="16"/>
              </w:rPr>
            </w:pPr>
            <w:r w:rsidRPr="00DE096C">
              <w:rPr>
                <w:bCs/>
                <w:color w:val="002060"/>
                <w:sz w:val="16"/>
                <w:szCs w:val="16"/>
              </w:rPr>
              <w:t>180</w:t>
            </w:r>
          </w:p>
        </w:tc>
        <w:tc>
          <w:tcPr>
            <w:tcW w:w="636" w:type="dxa"/>
          </w:tcPr>
          <w:p w14:paraId="65BF8257" w14:textId="77777777" w:rsidR="00AE694E" w:rsidRPr="00DE096C" w:rsidRDefault="00AE694E" w:rsidP="00D45A46">
            <w:pPr>
              <w:jc w:val="both"/>
              <w:rPr>
                <w:bCs/>
                <w:color w:val="002060"/>
                <w:sz w:val="16"/>
                <w:szCs w:val="16"/>
              </w:rPr>
            </w:pPr>
            <w:r w:rsidRPr="00DE096C">
              <w:rPr>
                <w:bCs/>
                <w:color w:val="002060"/>
                <w:sz w:val="16"/>
                <w:szCs w:val="16"/>
              </w:rPr>
              <w:t>25</w:t>
            </w:r>
          </w:p>
        </w:tc>
        <w:tc>
          <w:tcPr>
            <w:tcW w:w="636" w:type="dxa"/>
          </w:tcPr>
          <w:p w14:paraId="7EF82DED" w14:textId="77777777" w:rsidR="00AE694E" w:rsidRPr="00DE096C" w:rsidRDefault="00AE694E" w:rsidP="00D45A46">
            <w:pPr>
              <w:jc w:val="both"/>
              <w:rPr>
                <w:bCs/>
                <w:color w:val="002060"/>
                <w:sz w:val="16"/>
                <w:szCs w:val="16"/>
              </w:rPr>
            </w:pPr>
            <w:r w:rsidRPr="00DE096C">
              <w:rPr>
                <w:bCs/>
                <w:color w:val="002060"/>
                <w:sz w:val="16"/>
                <w:szCs w:val="16"/>
              </w:rPr>
              <w:t>120</w:t>
            </w:r>
          </w:p>
        </w:tc>
      </w:tr>
      <w:tr w:rsidR="00AE694E" w:rsidRPr="00DE096C" w14:paraId="3422132A" w14:textId="77777777" w:rsidTr="00D34AC1">
        <w:tc>
          <w:tcPr>
            <w:tcW w:w="2652" w:type="dxa"/>
          </w:tcPr>
          <w:p w14:paraId="2E644DB3" w14:textId="77777777" w:rsidR="00AE694E" w:rsidRPr="00DE096C" w:rsidRDefault="00AE694E" w:rsidP="00D45A46">
            <w:pPr>
              <w:jc w:val="both"/>
              <w:rPr>
                <w:bCs/>
                <w:color w:val="002060"/>
                <w:sz w:val="16"/>
                <w:szCs w:val="16"/>
              </w:rPr>
            </w:pPr>
            <w:r w:rsidRPr="00DE096C">
              <w:rPr>
                <w:bCs/>
                <w:color w:val="002060"/>
                <w:sz w:val="16"/>
                <w:szCs w:val="16"/>
              </w:rPr>
              <w:t>Приготовление лотков</w:t>
            </w:r>
          </w:p>
        </w:tc>
        <w:tc>
          <w:tcPr>
            <w:tcW w:w="636" w:type="dxa"/>
          </w:tcPr>
          <w:p w14:paraId="5905A7BD" w14:textId="77777777" w:rsidR="00AE694E" w:rsidRPr="00DE096C" w:rsidRDefault="00AE694E" w:rsidP="00D45A46">
            <w:pPr>
              <w:jc w:val="both"/>
              <w:rPr>
                <w:bCs/>
                <w:color w:val="002060"/>
                <w:sz w:val="16"/>
                <w:szCs w:val="16"/>
              </w:rPr>
            </w:pPr>
            <w:r w:rsidRPr="00DE096C">
              <w:rPr>
                <w:bCs/>
                <w:color w:val="002060"/>
                <w:sz w:val="16"/>
                <w:szCs w:val="16"/>
              </w:rPr>
              <w:t>—</w:t>
            </w:r>
          </w:p>
        </w:tc>
        <w:tc>
          <w:tcPr>
            <w:tcW w:w="660" w:type="dxa"/>
          </w:tcPr>
          <w:p w14:paraId="4900E416" w14:textId="77777777" w:rsidR="00AE694E" w:rsidRPr="00DE096C" w:rsidRDefault="00AE694E" w:rsidP="00D45A46">
            <w:pPr>
              <w:jc w:val="both"/>
              <w:rPr>
                <w:bCs/>
                <w:color w:val="002060"/>
                <w:sz w:val="16"/>
                <w:szCs w:val="16"/>
              </w:rPr>
            </w:pPr>
            <w:r w:rsidRPr="00DE096C">
              <w:rPr>
                <w:bCs/>
                <w:color w:val="002060"/>
                <w:sz w:val="16"/>
                <w:szCs w:val="16"/>
              </w:rPr>
              <w:t> </w:t>
            </w:r>
          </w:p>
        </w:tc>
        <w:tc>
          <w:tcPr>
            <w:tcW w:w="636" w:type="dxa"/>
          </w:tcPr>
          <w:p w14:paraId="423B0572" w14:textId="77777777" w:rsidR="00AE694E" w:rsidRPr="00DE096C" w:rsidRDefault="00AE694E" w:rsidP="00D45A46">
            <w:pPr>
              <w:jc w:val="both"/>
              <w:rPr>
                <w:bCs/>
                <w:color w:val="002060"/>
                <w:sz w:val="16"/>
                <w:szCs w:val="16"/>
              </w:rPr>
            </w:pPr>
            <w:r w:rsidRPr="00DE096C">
              <w:rPr>
                <w:bCs/>
                <w:color w:val="002060"/>
                <w:sz w:val="16"/>
                <w:szCs w:val="16"/>
              </w:rPr>
              <w:t>1.690</w:t>
            </w:r>
          </w:p>
        </w:tc>
        <w:tc>
          <w:tcPr>
            <w:tcW w:w="636" w:type="dxa"/>
          </w:tcPr>
          <w:p w14:paraId="6D4CBE01" w14:textId="77777777" w:rsidR="00AE694E" w:rsidRPr="00DE096C" w:rsidRDefault="00AE694E" w:rsidP="00D45A46">
            <w:pPr>
              <w:jc w:val="both"/>
              <w:rPr>
                <w:bCs/>
                <w:color w:val="002060"/>
                <w:sz w:val="16"/>
                <w:szCs w:val="16"/>
              </w:rPr>
            </w:pPr>
            <w:r w:rsidRPr="00DE096C">
              <w:rPr>
                <w:bCs/>
                <w:color w:val="002060"/>
                <w:sz w:val="16"/>
                <w:szCs w:val="16"/>
              </w:rPr>
              <w:t>—</w:t>
            </w:r>
          </w:p>
        </w:tc>
      </w:tr>
      <w:tr w:rsidR="00AE694E" w:rsidRPr="00DE096C" w14:paraId="3E39BE0C" w14:textId="77777777" w:rsidTr="00D34AC1">
        <w:tc>
          <w:tcPr>
            <w:tcW w:w="2652" w:type="dxa"/>
          </w:tcPr>
          <w:p w14:paraId="1A461431" w14:textId="77777777" w:rsidR="00AE694E" w:rsidRPr="00DE096C" w:rsidRDefault="00AE694E" w:rsidP="00D45A46">
            <w:pPr>
              <w:jc w:val="both"/>
              <w:rPr>
                <w:bCs/>
                <w:color w:val="002060"/>
                <w:sz w:val="16"/>
                <w:szCs w:val="16"/>
              </w:rPr>
            </w:pPr>
            <w:r w:rsidRPr="00DE096C">
              <w:rPr>
                <w:bCs/>
                <w:color w:val="002060"/>
                <w:sz w:val="16"/>
                <w:szCs w:val="16"/>
              </w:rPr>
              <w:t>Изготовление цилиндров для укладки ящиков</w:t>
            </w:r>
          </w:p>
        </w:tc>
        <w:tc>
          <w:tcPr>
            <w:tcW w:w="636" w:type="dxa"/>
          </w:tcPr>
          <w:p w14:paraId="0D815ECA" w14:textId="77777777" w:rsidR="00AE694E" w:rsidRPr="00DE096C" w:rsidRDefault="00AE694E" w:rsidP="00D45A46">
            <w:pPr>
              <w:jc w:val="both"/>
              <w:rPr>
                <w:bCs/>
                <w:color w:val="002060"/>
                <w:sz w:val="16"/>
                <w:szCs w:val="16"/>
              </w:rPr>
            </w:pPr>
            <w:r w:rsidRPr="00DE096C">
              <w:rPr>
                <w:bCs/>
                <w:color w:val="002060"/>
                <w:sz w:val="16"/>
                <w:szCs w:val="16"/>
              </w:rPr>
              <w:t>—</w:t>
            </w:r>
          </w:p>
        </w:tc>
        <w:tc>
          <w:tcPr>
            <w:tcW w:w="660" w:type="dxa"/>
          </w:tcPr>
          <w:p w14:paraId="371E2DB2" w14:textId="77777777" w:rsidR="00AE694E" w:rsidRPr="00DE096C" w:rsidRDefault="00AE694E" w:rsidP="00D45A46">
            <w:pPr>
              <w:jc w:val="both"/>
              <w:rPr>
                <w:bCs/>
                <w:color w:val="002060"/>
                <w:sz w:val="16"/>
                <w:szCs w:val="16"/>
              </w:rPr>
            </w:pPr>
            <w:r w:rsidRPr="00DE096C">
              <w:rPr>
                <w:bCs/>
                <w:color w:val="002060"/>
                <w:sz w:val="16"/>
                <w:szCs w:val="16"/>
              </w:rPr>
              <w:t>—</w:t>
            </w:r>
          </w:p>
        </w:tc>
        <w:tc>
          <w:tcPr>
            <w:tcW w:w="636" w:type="dxa"/>
          </w:tcPr>
          <w:p w14:paraId="1BCBD5FD" w14:textId="77777777" w:rsidR="00AE694E" w:rsidRPr="00DE096C" w:rsidRDefault="00AE694E" w:rsidP="00D45A46">
            <w:pPr>
              <w:jc w:val="both"/>
              <w:rPr>
                <w:bCs/>
                <w:color w:val="002060"/>
                <w:sz w:val="16"/>
                <w:szCs w:val="16"/>
              </w:rPr>
            </w:pPr>
            <w:r w:rsidRPr="00DE096C">
              <w:rPr>
                <w:bCs/>
                <w:color w:val="002060"/>
                <w:sz w:val="16"/>
                <w:szCs w:val="16"/>
              </w:rPr>
              <w:t>1.915</w:t>
            </w:r>
          </w:p>
        </w:tc>
        <w:tc>
          <w:tcPr>
            <w:tcW w:w="636" w:type="dxa"/>
          </w:tcPr>
          <w:p w14:paraId="75DD19F5" w14:textId="77777777" w:rsidR="00AE694E" w:rsidRPr="00DE096C" w:rsidRDefault="00AE694E" w:rsidP="00D45A46">
            <w:pPr>
              <w:jc w:val="both"/>
              <w:rPr>
                <w:bCs/>
                <w:color w:val="002060"/>
                <w:sz w:val="16"/>
                <w:szCs w:val="16"/>
              </w:rPr>
            </w:pPr>
            <w:r w:rsidRPr="00DE096C">
              <w:rPr>
                <w:bCs/>
                <w:color w:val="002060"/>
                <w:sz w:val="16"/>
                <w:szCs w:val="16"/>
              </w:rPr>
              <w:t>1.235</w:t>
            </w:r>
          </w:p>
        </w:tc>
      </w:tr>
    </w:tbl>
    <w:p w14:paraId="483C9785" w14:textId="77777777" w:rsidR="00AE694E" w:rsidRPr="00DE096C" w:rsidRDefault="00AE694E" w:rsidP="00D45A46">
      <w:pPr>
        <w:jc w:val="both"/>
        <w:rPr>
          <w:bCs/>
          <w:color w:val="002060"/>
          <w:sz w:val="16"/>
          <w:szCs w:val="16"/>
        </w:rPr>
      </w:pPr>
      <w:r w:rsidRPr="00DE096C">
        <w:rPr>
          <w:bCs/>
          <w:color w:val="002060"/>
          <w:sz w:val="16"/>
          <w:szCs w:val="16"/>
        </w:rPr>
        <w:t>(11329).</w:t>
      </w:r>
    </w:p>
    <w:p w14:paraId="578D95E4" w14:textId="77777777" w:rsidR="00AE694E" w:rsidRPr="00DE096C" w:rsidRDefault="00AE694E" w:rsidP="00D45A46">
      <w:pPr>
        <w:jc w:val="both"/>
        <w:rPr>
          <w:bCs/>
          <w:color w:val="002060"/>
          <w:sz w:val="16"/>
          <w:szCs w:val="16"/>
        </w:rPr>
      </w:pPr>
    </w:p>
    <w:p w14:paraId="6DBC3E17" w14:textId="77777777" w:rsidR="00AE694E" w:rsidRPr="00DE096C" w:rsidRDefault="00AE694E" w:rsidP="00D45A46">
      <w:pPr>
        <w:jc w:val="both"/>
        <w:rPr>
          <w:bCs/>
          <w:color w:val="002060"/>
          <w:sz w:val="16"/>
          <w:szCs w:val="16"/>
        </w:rPr>
      </w:pPr>
      <w:r w:rsidRPr="00DE096C">
        <w:rPr>
          <w:bCs/>
          <w:color w:val="002060"/>
          <w:sz w:val="16"/>
          <w:szCs w:val="16"/>
        </w:rPr>
        <w:t xml:space="preserve">К 1914 г. пропускная способность завода определялась максимально в 80 000 пудов, а при большом напряжении — до 100 000 пудов в год. Состояние основного капитала завода к этому времени стало мало удовлетворительно: здания стали ветшать, оборудование сильно износилось, во многом устарело и отстало от требований техники того времени. Серьезного ремонта и освежения его не производилось, так как с 1910 г. ГАУ возбудило вопрос о постройке нового порохового завода в Тамбове, а Охтенский решило обратить в опытный завод мощностью до 10 000 пудов в год. Поэтому ремонтировался лишь тот строительный и механический инвентарь, который должен был войти в состав опытного завода. </w:t>
      </w:r>
    </w:p>
    <w:p w14:paraId="69A6F8A1" w14:textId="77777777" w:rsidR="00AE694E" w:rsidRPr="00DE096C" w:rsidRDefault="00AE694E" w:rsidP="00D45A46">
      <w:pPr>
        <w:jc w:val="both"/>
        <w:rPr>
          <w:bCs/>
          <w:color w:val="002060"/>
          <w:sz w:val="16"/>
          <w:szCs w:val="16"/>
        </w:rPr>
      </w:pPr>
      <w:r w:rsidRPr="00DE096C">
        <w:rPr>
          <w:bCs/>
          <w:color w:val="002060"/>
          <w:sz w:val="16"/>
          <w:szCs w:val="16"/>
        </w:rPr>
        <w:t xml:space="preserve">Таким образом, война, объявленная в 1914 г., застала Охтенский завод врасплох, так как он готовился сворачиваться. Само собой разумеется, война потребовала, чтобы завод форсировал производство. Но все пороховые заводы, казенные и частные, при полном напряжении могли удовлетворить потребности фронтов, диктуемые войной, лишь в малой степени. Поэтому распоряжением военного ведомства было спешно предпринято расширение Охтенского завода до мощности 200 000 пудов пороха в год, следовательно, удвоенной против прежнего. В строительный сезон 1915 г. было возведено большое количество новых фабричных зданий. Оборудование в значительной степени усилено аппаратами и механизмами, выписанными из-за границы. Для рабочих построено несколько жилых зданий. Старое оборудование в известной части было освежено. </w:t>
      </w:r>
    </w:p>
    <w:p w14:paraId="459D377E" w14:textId="77777777" w:rsidR="00AE694E" w:rsidRPr="00DE096C" w:rsidRDefault="00AE694E" w:rsidP="00D45A46">
      <w:pPr>
        <w:jc w:val="both"/>
        <w:rPr>
          <w:bCs/>
          <w:color w:val="002060"/>
          <w:sz w:val="16"/>
          <w:szCs w:val="16"/>
        </w:rPr>
      </w:pPr>
      <w:r w:rsidRPr="00DE096C">
        <w:rPr>
          <w:bCs/>
          <w:color w:val="002060"/>
          <w:sz w:val="16"/>
          <w:szCs w:val="16"/>
        </w:rPr>
        <w:t xml:space="preserve">Работы по расширению продолжались в 1916 г., и вновь оборудованные мастерские постепенно вводились в работу. Однако расширение завода в 1917 г. полностью закончено не было как по строительным, так и по механическим работам. Кроме производственных зданий, было возведено много построек хозяйственного значения — складов, сараев, навесов и т.д. </w:t>
      </w:r>
    </w:p>
    <w:p w14:paraId="3B66B20B" w14:textId="77777777" w:rsidR="00AE694E" w:rsidRPr="00DE096C" w:rsidRDefault="00AE694E" w:rsidP="00D45A46">
      <w:pPr>
        <w:jc w:val="both"/>
        <w:rPr>
          <w:bCs/>
          <w:color w:val="002060"/>
          <w:sz w:val="16"/>
          <w:szCs w:val="16"/>
        </w:rPr>
      </w:pPr>
      <w:r w:rsidRPr="00DE096C">
        <w:rPr>
          <w:bCs/>
          <w:color w:val="002060"/>
          <w:sz w:val="16"/>
          <w:szCs w:val="16"/>
        </w:rPr>
        <w:t xml:space="preserve">Пропускная способность Охтенского завода по пороху в 1914 г. была 300-350 пудов в сутки и 8-9 тыс. пудов в месяц. По мере расширения завода она начала возрастать. В 1915 г. она была уже 500-600 пудов в сутки, а в 1916 г. до 700-800 пудов. </w:t>
      </w:r>
    </w:p>
    <w:p w14:paraId="6DC91E98" w14:textId="77777777" w:rsidR="00AE694E" w:rsidRPr="00DE096C" w:rsidRDefault="00AE694E" w:rsidP="00D45A46">
      <w:pPr>
        <w:jc w:val="both"/>
        <w:rPr>
          <w:bCs/>
          <w:color w:val="002060"/>
          <w:sz w:val="16"/>
          <w:szCs w:val="16"/>
        </w:rPr>
      </w:pPr>
      <w:r w:rsidRPr="00DE096C">
        <w:rPr>
          <w:bCs/>
          <w:color w:val="002060"/>
          <w:sz w:val="16"/>
          <w:szCs w:val="16"/>
        </w:rPr>
        <w:t>Особенно усилены были мастерские по изготовлению зарядов, так как завод должен был обращать в заряды не только весь свой порох, но и пороха Шлиссельбургского и Владимирского частных пороховых заводов.</w:t>
      </w:r>
    </w:p>
    <w:p w14:paraId="57A79BD0" w14:textId="77777777" w:rsidR="00AE694E" w:rsidRPr="00DE096C" w:rsidRDefault="00AE694E" w:rsidP="00D45A46">
      <w:pPr>
        <w:jc w:val="both"/>
        <w:rPr>
          <w:bCs/>
          <w:color w:val="002060"/>
          <w:sz w:val="16"/>
          <w:szCs w:val="16"/>
        </w:rPr>
      </w:pPr>
      <w:r w:rsidRPr="00DE096C">
        <w:rPr>
          <w:bCs/>
          <w:color w:val="002060"/>
          <w:sz w:val="16"/>
          <w:szCs w:val="16"/>
        </w:rPr>
        <w:t xml:space="preserve">Число рабочих на пороховых производствах на Охтенском заводе к 1914 г. было около 2000 человек, из коих около 10% были женщины. По мере разворачивания завода рабочая сила соответственно росла и к 1917 г. достигла 6000 человек, причем процент женщин значительно увеличился. </w:t>
      </w:r>
    </w:p>
    <w:p w14:paraId="5411584C" w14:textId="77777777" w:rsidR="00AE694E" w:rsidRPr="00DE096C" w:rsidRDefault="00AE694E" w:rsidP="00D45A46">
      <w:pPr>
        <w:jc w:val="both"/>
        <w:rPr>
          <w:bCs/>
          <w:color w:val="002060"/>
          <w:sz w:val="16"/>
          <w:szCs w:val="16"/>
        </w:rPr>
      </w:pPr>
      <w:r w:rsidRPr="00DE096C">
        <w:rPr>
          <w:bCs/>
          <w:color w:val="002060"/>
          <w:sz w:val="16"/>
          <w:szCs w:val="16"/>
        </w:rPr>
        <w:t xml:space="preserve">Производство в течение большей части войны было прилично обеспечено основными материалами, так как до войны завод всегда обеспечивал себя хлопком, селитрой, колчеданом и пр. примерно на три года, главным образом по линии морских заказов, в этом отношении морское ведомство всегда было очень заботливо. К концу 1916 г. начались затруднения с материалами. Зато с топливом затруднения начались значительно раньше, уже в 1915 году. </w:t>
      </w:r>
    </w:p>
    <w:p w14:paraId="38753E5E" w14:textId="77777777" w:rsidR="00AE694E" w:rsidRPr="00DE096C" w:rsidRDefault="00AE694E" w:rsidP="00D45A46">
      <w:pPr>
        <w:jc w:val="both"/>
        <w:rPr>
          <w:bCs/>
          <w:color w:val="002060"/>
          <w:sz w:val="16"/>
          <w:szCs w:val="16"/>
        </w:rPr>
      </w:pPr>
      <w:r w:rsidRPr="00DE096C">
        <w:rPr>
          <w:bCs/>
          <w:color w:val="002060"/>
          <w:sz w:val="16"/>
          <w:szCs w:val="16"/>
        </w:rPr>
        <w:t xml:space="preserve">До войны завод всегда хорошо был обеспечен рабочими. Во время войны, уже в 1915 г., встречались серьезные затруднения в наборе рабочей силы, несмотря на то, что рабочие шли охотно на заводы благодаря зачислению на особый учет. </w:t>
      </w:r>
    </w:p>
    <w:p w14:paraId="04E65F10" w14:textId="77777777" w:rsidR="00AE694E" w:rsidRPr="00DE096C" w:rsidRDefault="00AE694E" w:rsidP="00D45A46">
      <w:pPr>
        <w:jc w:val="both"/>
        <w:rPr>
          <w:bCs/>
          <w:color w:val="002060"/>
          <w:sz w:val="16"/>
          <w:szCs w:val="16"/>
        </w:rPr>
      </w:pPr>
      <w:r w:rsidRPr="00DE096C">
        <w:rPr>
          <w:bCs/>
          <w:color w:val="002060"/>
          <w:sz w:val="16"/>
          <w:szCs w:val="16"/>
        </w:rPr>
        <w:t>При Охтенском пороховом заводе состоял до 1902 г. капсюльный отдел, присоединенный к нему в 1892 г. и до этого находившийся в составе Петроградского патронного завода. Затем при Охтенском заводе выстроен был в 1895 г. мелинитовый отдел. Поэтому завод с 1895 по 1902 г. носил название "Охтенский завод для выделки пороха и взрывчатых веществ". В 1902 г. капсюльный и мелинитовый отделы были выделены в особый "Охтенский завод взрывчатых веществ" (11329).</w:t>
      </w:r>
    </w:p>
    <w:p w14:paraId="14D9A429" w14:textId="77777777" w:rsidR="00AE694E" w:rsidRPr="00DE096C" w:rsidRDefault="00AE694E" w:rsidP="00D45A46">
      <w:pPr>
        <w:jc w:val="both"/>
        <w:rPr>
          <w:bCs/>
          <w:color w:val="002060"/>
          <w:sz w:val="16"/>
          <w:szCs w:val="16"/>
        </w:rPr>
      </w:pPr>
    </w:p>
    <w:p w14:paraId="3125A57E" w14:textId="3A3692E6" w:rsidR="00B67D7C" w:rsidRPr="00DE096C" w:rsidRDefault="00B67D7C" w:rsidP="00D45A46">
      <w:pPr>
        <w:jc w:val="both"/>
        <w:rPr>
          <w:bCs/>
          <w:color w:val="002060"/>
          <w:sz w:val="16"/>
          <w:szCs w:val="16"/>
        </w:rPr>
      </w:pPr>
      <w:r w:rsidRPr="00DE096C">
        <w:rPr>
          <w:bCs/>
          <w:color w:val="002060"/>
          <w:sz w:val="16"/>
          <w:szCs w:val="16"/>
        </w:rPr>
        <w:t xml:space="preserve">К 1914 г. производительность </w:t>
      </w:r>
      <w:r w:rsidR="009121A9" w:rsidRPr="00DE096C">
        <w:rPr>
          <w:bCs/>
          <w:color w:val="002060"/>
          <w:sz w:val="16"/>
          <w:szCs w:val="16"/>
        </w:rPr>
        <w:t xml:space="preserve">Ижорского </w:t>
      </w:r>
      <w:r w:rsidRPr="00DE096C">
        <w:rPr>
          <w:bCs/>
          <w:color w:val="002060"/>
          <w:sz w:val="16"/>
          <w:szCs w:val="16"/>
        </w:rPr>
        <w:t>завода увеличилась по сравнению с 1908 г., первым годом работы на новых условиях, в пять раз. Полученные заказы обеспечивали броневой отдел Ижорского завода полностью на 1915 и 1916 гг. при условии круглосуточной интенсивной работы. Ижорский завод добился замечательных успехов в производстве брони. В 1914 г. морской министр И.К. Григорович докладывал Николаю II:</w:t>
      </w:r>
    </w:p>
    <w:p w14:paraId="0C4AA7BF" w14:textId="77777777" w:rsidR="00B67D7C" w:rsidRPr="00DE096C" w:rsidRDefault="00B67D7C" w:rsidP="00D45A46">
      <w:pPr>
        <w:pStyle w:val="Blockquote"/>
        <w:spacing w:before="0" w:after="0"/>
        <w:ind w:left="0" w:right="0"/>
        <w:jc w:val="both"/>
        <w:rPr>
          <w:bCs/>
          <w:color w:val="002060"/>
          <w:sz w:val="16"/>
          <w:szCs w:val="16"/>
        </w:rPr>
      </w:pPr>
      <w:r w:rsidRPr="00DE096C">
        <w:rPr>
          <w:bCs/>
          <w:color w:val="002060"/>
          <w:sz w:val="16"/>
          <w:szCs w:val="16"/>
        </w:rPr>
        <w:t>«…на Морском полигоне производились сравнительные опыты плит Ижорского завода с плитами французского завода „Крезо“ и английского „Виккерс“, представивших плиты особой выделки, причем на пробиваемость плиты Ижорско-го завода оказались не ниже плит этих иностранных заводов, но пуд стоимости брони Ижорского завода оказался значительно дешевле стоимости брони заграничных заводов. В истекшем году почти вся броня до 6» включительно изготавливалась не по способу Круппа, а по способу Гантке, причем применение этого способа к валовому производству брони было исполнено самим Ижорским заводом. В ноябре Ижорскому заводу удалось собственными средствами изготовить две плиты по 262,5 мм толщиной, и если результаты испытания этих плит на пробиваемость дадут благоприятные результаты, то явится возможность окончательно вытеснить способ Круппа» ("Всеподданнейший доклад по Морскому Ведомству за 1914 г.", с. 115.)</w:t>
      </w:r>
    </w:p>
    <w:p w14:paraId="2711FD1D" w14:textId="77777777" w:rsidR="00B67D7C" w:rsidRPr="00DE096C" w:rsidRDefault="00B67D7C" w:rsidP="00D45A46">
      <w:pPr>
        <w:jc w:val="both"/>
        <w:rPr>
          <w:bCs/>
          <w:color w:val="002060"/>
          <w:sz w:val="16"/>
          <w:szCs w:val="16"/>
        </w:rPr>
      </w:pPr>
      <w:r w:rsidRPr="00DE096C">
        <w:rPr>
          <w:bCs/>
          <w:color w:val="002060"/>
          <w:sz w:val="16"/>
          <w:szCs w:val="16"/>
        </w:rPr>
        <w:t>В 1914 г. заводом впервые в России были изготовлены и две опытные плиты толщиной по 406 мм (ранее плиты толщиной более 305 мм не изготовлялись). Результаты испытаний этих плит на полигоне были признаны удовлетворительными.</w:t>
      </w:r>
    </w:p>
    <w:p w14:paraId="78281A3F" w14:textId="77777777" w:rsidR="00B67D7C" w:rsidRPr="00DE096C" w:rsidRDefault="00B67D7C" w:rsidP="00D45A46">
      <w:pPr>
        <w:jc w:val="both"/>
        <w:rPr>
          <w:bCs/>
          <w:color w:val="002060"/>
          <w:sz w:val="16"/>
          <w:szCs w:val="16"/>
        </w:rPr>
      </w:pPr>
      <w:r w:rsidRPr="00DE096C">
        <w:rPr>
          <w:bCs/>
          <w:color w:val="002060"/>
          <w:sz w:val="16"/>
          <w:szCs w:val="16"/>
        </w:rPr>
        <w:t>Рост производства брони на Ижорском заводе приведен в таблице 3.3. Благодаря росту и усовершенствованию производства, завод из года в год понижал цену брони, удешевляя таким образом стоимость бронированных судов.</w:t>
      </w:r>
    </w:p>
    <w:p w14:paraId="3583E57D" w14:textId="77777777" w:rsidR="00B67D7C" w:rsidRPr="00DE096C" w:rsidRDefault="00B67D7C" w:rsidP="00D45A46">
      <w:pPr>
        <w:jc w:val="both"/>
        <w:rPr>
          <w:bCs/>
          <w:color w:val="002060"/>
          <w:sz w:val="16"/>
          <w:szCs w:val="16"/>
        </w:rPr>
      </w:pPr>
      <w:r w:rsidRPr="00DE096C">
        <w:rPr>
          <w:bCs/>
          <w:color w:val="002060"/>
          <w:sz w:val="16"/>
          <w:szCs w:val="16"/>
        </w:rPr>
        <w:t>В 1911–1912 гг. на юге России был построен броневой завод частным «Никополь-Мариупольским горным и металлургическим обществом». Он был также оснащен по последнему слову техники и по некоторым параметрам выпускаемых броневых плит даже превосходил Ижорский завод. В 1911 г. Никополь-Мариупольское общество получило заказ в 6800 тыс. руб. на поставку брони для линкора «Екатерина II». Позднее ему было поручено изготовить броню для линейного крейсера «Наварин», а также броневую защиту скосов нижней палубы для всех четырех «измайлов».</w:t>
      </w:r>
    </w:p>
    <w:p w14:paraId="2007B6F7" w14:textId="77777777" w:rsidR="00B67D7C" w:rsidRPr="00DE096C" w:rsidRDefault="00B67D7C" w:rsidP="00D45A46">
      <w:pPr>
        <w:jc w:val="both"/>
        <w:rPr>
          <w:bCs/>
          <w:color w:val="002060"/>
          <w:sz w:val="16"/>
          <w:szCs w:val="16"/>
        </w:rPr>
      </w:pPr>
      <w:r w:rsidRPr="00DE096C">
        <w:rPr>
          <w:bCs/>
          <w:color w:val="002060"/>
          <w:sz w:val="16"/>
          <w:szCs w:val="16"/>
        </w:rPr>
        <w:t>Осенью 1913 г., в связи с требованиями флота об увеличении производства брони для новых кораблей и принятии усовершенствованного способа скрепления плит стыками друг с другом (шпонки типа «клином внаружу» и «ласточкин хвост» из легированной стали), на заводе приступили к интенсивным работам по дооборудованию. Существовавшие мощности, первоначально рассчитанные на выпуск 4 тыс. т цементированной брони в год, были до предела форсированы, что позволило в 1913 г. довести годовую производительность до 6 тыс.т. На расширение производства и пополнение станочного парка дополнительными станками для фигурной строжки кромок плит было ассигновано 1000 тыс. руб. Дооборудование завода закончилось в начале 1915 г. (РГАВМФ, ф.401, оп.1, д. 300, лл.50, 51.).</w:t>
      </w:r>
    </w:p>
    <w:p w14:paraId="6302F14D" w14:textId="77777777" w:rsidR="00B67D7C" w:rsidRPr="00DE096C" w:rsidRDefault="00B67D7C" w:rsidP="00D45A46">
      <w:pPr>
        <w:jc w:val="both"/>
        <w:rPr>
          <w:bCs/>
          <w:color w:val="002060"/>
          <w:sz w:val="16"/>
          <w:szCs w:val="16"/>
        </w:rPr>
      </w:pPr>
      <w:r w:rsidRPr="00DE096C">
        <w:rPr>
          <w:bCs/>
          <w:color w:val="002060"/>
          <w:sz w:val="16"/>
          <w:szCs w:val="16"/>
        </w:rPr>
        <w:t>Подвергнутые кардинальному переоборудованию в 1910–1915 гг., русские бронепрокатные заводы по мощности своих технических средств не уступали лучшим иностранным заводам. Предельные размеры плит, допускавшиеся оборудованием этих заводов в 1916 г., приведены в таблице 3.4.</w:t>
      </w:r>
    </w:p>
    <w:p w14:paraId="02F0136F" w14:textId="77777777" w:rsidR="00B67D7C" w:rsidRPr="00DE096C" w:rsidRDefault="00B67D7C" w:rsidP="00D45A46">
      <w:pPr>
        <w:jc w:val="both"/>
        <w:rPr>
          <w:bCs/>
          <w:color w:val="002060"/>
          <w:sz w:val="16"/>
          <w:szCs w:val="16"/>
        </w:rPr>
      </w:pPr>
      <w:r w:rsidRPr="00DE096C">
        <w:rPr>
          <w:bCs/>
          <w:color w:val="002060"/>
          <w:sz w:val="16"/>
          <w:szCs w:val="16"/>
        </w:rPr>
        <w:t>Таблица 3.3. Рост производства крупповской брони на Ижорском заводе 1908–1914 гг. ("Отчет Морского Министерства за 1914 г.", с. 289.)</w:t>
      </w:r>
    </w:p>
    <w:tbl>
      <w:tblPr>
        <w:tblW w:w="0" w:type="auto"/>
        <w:tblLayout w:type="fixed"/>
        <w:tblCellMar>
          <w:left w:w="0" w:type="dxa"/>
          <w:right w:w="0" w:type="dxa"/>
        </w:tblCellMar>
        <w:tblLook w:val="0000" w:firstRow="0" w:lastRow="0" w:firstColumn="0" w:lastColumn="0" w:noHBand="0" w:noVBand="0"/>
      </w:tblPr>
      <w:tblGrid>
        <w:gridCol w:w="727"/>
        <w:gridCol w:w="4675"/>
        <w:gridCol w:w="3957"/>
      </w:tblGrid>
      <w:tr w:rsidR="00B67D7C" w:rsidRPr="00DE096C" w14:paraId="0BD2BD49" w14:textId="77777777" w:rsidTr="00C2024A">
        <w:tc>
          <w:tcPr>
            <w:tcW w:w="727" w:type="dxa"/>
          </w:tcPr>
          <w:p w14:paraId="4F26317C" w14:textId="77777777" w:rsidR="00B67D7C" w:rsidRPr="00DE096C" w:rsidRDefault="00B67D7C" w:rsidP="00D45A46">
            <w:pPr>
              <w:jc w:val="both"/>
              <w:rPr>
                <w:bCs/>
                <w:color w:val="002060"/>
                <w:sz w:val="16"/>
                <w:szCs w:val="16"/>
              </w:rPr>
            </w:pPr>
            <w:r w:rsidRPr="00DE096C">
              <w:rPr>
                <w:bCs/>
                <w:color w:val="002060"/>
                <w:sz w:val="16"/>
                <w:szCs w:val="16"/>
              </w:rPr>
              <w:t>Год</w:t>
            </w:r>
          </w:p>
        </w:tc>
        <w:tc>
          <w:tcPr>
            <w:tcW w:w="4675" w:type="dxa"/>
          </w:tcPr>
          <w:p w14:paraId="074549AE" w14:textId="77777777" w:rsidR="00B67D7C" w:rsidRPr="00DE096C" w:rsidRDefault="00B67D7C" w:rsidP="00D45A46">
            <w:pPr>
              <w:jc w:val="both"/>
              <w:rPr>
                <w:bCs/>
                <w:color w:val="002060"/>
                <w:sz w:val="16"/>
                <w:szCs w:val="16"/>
              </w:rPr>
            </w:pPr>
            <w:r w:rsidRPr="00DE096C">
              <w:rPr>
                <w:bCs/>
                <w:color w:val="002060"/>
                <w:sz w:val="16"/>
                <w:szCs w:val="16"/>
              </w:rPr>
              <w:t>Всего произведено брони, m</w:t>
            </w:r>
          </w:p>
        </w:tc>
        <w:tc>
          <w:tcPr>
            <w:tcW w:w="3957" w:type="dxa"/>
          </w:tcPr>
          <w:p w14:paraId="08284459" w14:textId="77777777" w:rsidR="00B67D7C" w:rsidRPr="00DE096C" w:rsidRDefault="00B67D7C" w:rsidP="00D45A46">
            <w:pPr>
              <w:jc w:val="both"/>
              <w:rPr>
                <w:bCs/>
                <w:color w:val="002060"/>
                <w:sz w:val="16"/>
                <w:szCs w:val="16"/>
              </w:rPr>
            </w:pPr>
            <w:r w:rsidRPr="00DE096C">
              <w:rPr>
                <w:bCs/>
                <w:color w:val="002060"/>
                <w:sz w:val="16"/>
                <w:szCs w:val="16"/>
              </w:rPr>
              <w:t>Стоимость за 1 т, руб.</w:t>
            </w:r>
          </w:p>
        </w:tc>
      </w:tr>
      <w:tr w:rsidR="00B67D7C" w:rsidRPr="00DE096C" w14:paraId="6CB9AA1C" w14:textId="77777777" w:rsidTr="00C2024A">
        <w:tc>
          <w:tcPr>
            <w:tcW w:w="727" w:type="dxa"/>
          </w:tcPr>
          <w:p w14:paraId="2EB460C7" w14:textId="77777777" w:rsidR="00B67D7C" w:rsidRPr="00DE096C" w:rsidRDefault="00B67D7C" w:rsidP="00D45A46">
            <w:pPr>
              <w:jc w:val="both"/>
              <w:rPr>
                <w:bCs/>
                <w:color w:val="002060"/>
                <w:sz w:val="16"/>
                <w:szCs w:val="16"/>
              </w:rPr>
            </w:pPr>
            <w:r w:rsidRPr="00DE096C">
              <w:rPr>
                <w:bCs/>
                <w:color w:val="002060"/>
                <w:sz w:val="16"/>
                <w:szCs w:val="16"/>
              </w:rPr>
              <w:t>1908</w:t>
            </w:r>
          </w:p>
        </w:tc>
        <w:tc>
          <w:tcPr>
            <w:tcW w:w="4675" w:type="dxa"/>
          </w:tcPr>
          <w:p w14:paraId="58F1822A" w14:textId="77777777" w:rsidR="00B67D7C" w:rsidRPr="00DE096C" w:rsidRDefault="00B67D7C" w:rsidP="00D45A46">
            <w:pPr>
              <w:jc w:val="both"/>
              <w:rPr>
                <w:bCs/>
                <w:color w:val="002060"/>
                <w:sz w:val="16"/>
                <w:szCs w:val="16"/>
              </w:rPr>
            </w:pPr>
            <w:r w:rsidRPr="00DE096C">
              <w:rPr>
                <w:bCs/>
                <w:color w:val="002060"/>
                <w:sz w:val="16"/>
                <w:szCs w:val="16"/>
              </w:rPr>
              <w:t>2415</w:t>
            </w:r>
          </w:p>
        </w:tc>
        <w:tc>
          <w:tcPr>
            <w:tcW w:w="3957" w:type="dxa"/>
          </w:tcPr>
          <w:p w14:paraId="441B7739" w14:textId="77777777" w:rsidR="00B67D7C" w:rsidRPr="00DE096C" w:rsidRDefault="00B67D7C" w:rsidP="00D45A46">
            <w:pPr>
              <w:jc w:val="both"/>
              <w:rPr>
                <w:bCs/>
                <w:color w:val="002060"/>
                <w:sz w:val="16"/>
                <w:szCs w:val="16"/>
              </w:rPr>
            </w:pPr>
            <w:r w:rsidRPr="00DE096C">
              <w:rPr>
                <w:bCs/>
                <w:color w:val="002060"/>
                <w:sz w:val="16"/>
                <w:szCs w:val="16"/>
              </w:rPr>
              <w:t>955</w:t>
            </w:r>
          </w:p>
        </w:tc>
      </w:tr>
      <w:tr w:rsidR="00B67D7C" w:rsidRPr="00DE096C" w14:paraId="7F6DECE9" w14:textId="77777777" w:rsidTr="00C2024A">
        <w:tc>
          <w:tcPr>
            <w:tcW w:w="727" w:type="dxa"/>
          </w:tcPr>
          <w:p w14:paraId="29BFDD4C" w14:textId="77777777" w:rsidR="00B67D7C" w:rsidRPr="00DE096C" w:rsidRDefault="00B67D7C" w:rsidP="00D45A46">
            <w:pPr>
              <w:jc w:val="both"/>
              <w:rPr>
                <w:bCs/>
                <w:color w:val="002060"/>
                <w:sz w:val="16"/>
                <w:szCs w:val="16"/>
              </w:rPr>
            </w:pPr>
            <w:r w:rsidRPr="00DE096C">
              <w:rPr>
                <w:bCs/>
                <w:color w:val="002060"/>
                <w:sz w:val="16"/>
                <w:szCs w:val="16"/>
              </w:rPr>
              <w:t>1909</w:t>
            </w:r>
          </w:p>
        </w:tc>
        <w:tc>
          <w:tcPr>
            <w:tcW w:w="4675" w:type="dxa"/>
          </w:tcPr>
          <w:p w14:paraId="40998074" w14:textId="77777777" w:rsidR="00B67D7C" w:rsidRPr="00DE096C" w:rsidRDefault="00B67D7C" w:rsidP="00D45A46">
            <w:pPr>
              <w:jc w:val="both"/>
              <w:rPr>
                <w:bCs/>
                <w:color w:val="002060"/>
                <w:sz w:val="16"/>
                <w:szCs w:val="16"/>
              </w:rPr>
            </w:pPr>
            <w:r w:rsidRPr="00DE096C">
              <w:rPr>
                <w:bCs/>
                <w:color w:val="002060"/>
                <w:sz w:val="16"/>
                <w:szCs w:val="16"/>
              </w:rPr>
              <w:t>3239</w:t>
            </w:r>
          </w:p>
        </w:tc>
        <w:tc>
          <w:tcPr>
            <w:tcW w:w="3957" w:type="dxa"/>
          </w:tcPr>
          <w:p w14:paraId="5BE1C5CB" w14:textId="77777777" w:rsidR="00B67D7C" w:rsidRPr="00DE096C" w:rsidRDefault="00B67D7C" w:rsidP="00D45A46">
            <w:pPr>
              <w:jc w:val="both"/>
              <w:rPr>
                <w:bCs/>
                <w:color w:val="002060"/>
                <w:sz w:val="16"/>
                <w:szCs w:val="16"/>
              </w:rPr>
            </w:pPr>
            <w:r w:rsidRPr="00DE096C">
              <w:rPr>
                <w:bCs/>
                <w:color w:val="002060"/>
                <w:sz w:val="16"/>
                <w:szCs w:val="16"/>
              </w:rPr>
              <w:t>924</w:t>
            </w:r>
          </w:p>
        </w:tc>
      </w:tr>
      <w:tr w:rsidR="00B67D7C" w:rsidRPr="00DE096C" w14:paraId="3F518D1F" w14:textId="77777777" w:rsidTr="00C2024A">
        <w:tc>
          <w:tcPr>
            <w:tcW w:w="727" w:type="dxa"/>
          </w:tcPr>
          <w:p w14:paraId="3726A3A0" w14:textId="77777777" w:rsidR="00B67D7C" w:rsidRPr="00DE096C" w:rsidRDefault="00B67D7C" w:rsidP="00D45A46">
            <w:pPr>
              <w:jc w:val="both"/>
              <w:rPr>
                <w:bCs/>
                <w:color w:val="002060"/>
                <w:sz w:val="16"/>
                <w:szCs w:val="16"/>
              </w:rPr>
            </w:pPr>
            <w:r w:rsidRPr="00DE096C">
              <w:rPr>
                <w:bCs/>
                <w:color w:val="002060"/>
                <w:sz w:val="16"/>
                <w:szCs w:val="16"/>
              </w:rPr>
              <w:t>1910</w:t>
            </w:r>
          </w:p>
        </w:tc>
        <w:tc>
          <w:tcPr>
            <w:tcW w:w="4675" w:type="dxa"/>
          </w:tcPr>
          <w:p w14:paraId="60600A10" w14:textId="77777777" w:rsidR="00B67D7C" w:rsidRPr="00DE096C" w:rsidRDefault="00B67D7C" w:rsidP="00D45A46">
            <w:pPr>
              <w:jc w:val="both"/>
              <w:rPr>
                <w:bCs/>
                <w:color w:val="002060"/>
                <w:sz w:val="16"/>
                <w:szCs w:val="16"/>
              </w:rPr>
            </w:pPr>
            <w:r w:rsidRPr="00DE096C">
              <w:rPr>
                <w:bCs/>
                <w:color w:val="002060"/>
                <w:sz w:val="16"/>
                <w:szCs w:val="16"/>
              </w:rPr>
              <w:t>4040</w:t>
            </w:r>
          </w:p>
        </w:tc>
        <w:tc>
          <w:tcPr>
            <w:tcW w:w="3957" w:type="dxa"/>
          </w:tcPr>
          <w:p w14:paraId="5F6EF8F4" w14:textId="77777777" w:rsidR="00B67D7C" w:rsidRPr="00DE096C" w:rsidRDefault="00B67D7C" w:rsidP="00D45A46">
            <w:pPr>
              <w:jc w:val="both"/>
              <w:rPr>
                <w:bCs/>
                <w:color w:val="002060"/>
                <w:sz w:val="16"/>
                <w:szCs w:val="16"/>
              </w:rPr>
            </w:pPr>
            <w:r w:rsidRPr="00DE096C">
              <w:rPr>
                <w:bCs/>
                <w:color w:val="002060"/>
                <w:sz w:val="16"/>
                <w:szCs w:val="16"/>
              </w:rPr>
              <w:t>824</w:t>
            </w:r>
          </w:p>
        </w:tc>
      </w:tr>
      <w:tr w:rsidR="00B67D7C" w:rsidRPr="00DE096C" w14:paraId="5F76C883" w14:textId="77777777" w:rsidTr="00C2024A">
        <w:tc>
          <w:tcPr>
            <w:tcW w:w="727" w:type="dxa"/>
          </w:tcPr>
          <w:p w14:paraId="369FA7FE" w14:textId="77777777" w:rsidR="00B67D7C" w:rsidRPr="00DE096C" w:rsidRDefault="00B67D7C" w:rsidP="00D45A46">
            <w:pPr>
              <w:jc w:val="both"/>
              <w:rPr>
                <w:bCs/>
                <w:color w:val="002060"/>
                <w:sz w:val="16"/>
                <w:szCs w:val="16"/>
              </w:rPr>
            </w:pPr>
            <w:r w:rsidRPr="00DE096C">
              <w:rPr>
                <w:bCs/>
                <w:color w:val="002060"/>
                <w:sz w:val="16"/>
                <w:szCs w:val="16"/>
              </w:rPr>
              <w:t>1911</w:t>
            </w:r>
          </w:p>
        </w:tc>
        <w:tc>
          <w:tcPr>
            <w:tcW w:w="4675" w:type="dxa"/>
          </w:tcPr>
          <w:p w14:paraId="25FC8AED" w14:textId="77777777" w:rsidR="00B67D7C" w:rsidRPr="00DE096C" w:rsidRDefault="00B67D7C" w:rsidP="00D45A46">
            <w:pPr>
              <w:jc w:val="both"/>
              <w:rPr>
                <w:bCs/>
                <w:color w:val="002060"/>
                <w:sz w:val="16"/>
                <w:szCs w:val="16"/>
              </w:rPr>
            </w:pPr>
            <w:r w:rsidRPr="00DE096C">
              <w:rPr>
                <w:bCs/>
                <w:color w:val="002060"/>
                <w:sz w:val="16"/>
                <w:szCs w:val="16"/>
              </w:rPr>
              <w:t>6060</w:t>
            </w:r>
          </w:p>
        </w:tc>
        <w:tc>
          <w:tcPr>
            <w:tcW w:w="3957" w:type="dxa"/>
          </w:tcPr>
          <w:p w14:paraId="646A5CCB" w14:textId="77777777" w:rsidR="00B67D7C" w:rsidRPr="00DE096C" w:rsidRDefault="00B67D7C" w:rsidP="00D45A46">
            <w:pPr>
              <w:jc w:val="both"/>
              <w:rPr>
                <w:bCs/>
                <w:color w:val="002060"/>
                <w:sz w:val="16"/>
                <w:szCs w:val="16"/>
              </w:rPr>
            </w:pPr>
            <w:r w:rsidRPr="00DE096C">
              <w:rPr>
                <w:bCs/>
                <w:color w:val="002060"/>
                <w:sz w:val="16"/>
                <w:szCs w:val="16"/>
              </w:rPr>
              <w:t>701</w:t>
            </w:r>
          </w:p>
        </w:tc>
      </w:tr>
      <w:tr w:rsidR="00B67D7C" w:rsidRPr="00DE096C" w14:paraId="4BB2F2F1" w14:textId="77777777" w:rsidTr="00C2024A">
        <w:tc>
          <w:tcPr>
            <w:tcW w:w="727" w:type="dxa"/>
          </w:tcPr>
          <w:p w14:paraId="6AF73197" w14:textId="77777777" w:rsidR="00B67D7C" w:rsidRPr="00DE096C" w:rsidRDefault="00B67D7C" w:rsidP="00D45A46">
            <w:pPr>
              <w:jc w:val="both"/>
              <w:rPr>
                <w:bCs/>
                <w:color w:val="002060"/>
                <w:sz w:val="16"/>
                <w:szCs w:val="16"/>
              </w:rPr>
            </w:pPr>
            <w:r w:rsidRPr="00DE096C">
              <w:rPr>
                <w:bCs/>
                <w:color w:val="002060"/>
                <w:sz w:val="16"/>
                <w:szCs w:val="16"/>
              </w:rPr>
              <w:t>1912</w:t>
            </w:r>
          </w:p>
        </w:tc>
        <w:tc>
          <w:tcPr>
            <w:tcW w:w="4675" w:type="dxa"/>
          </w:tcPr>
          <w:p w14:paraId="28364C31" w14:textId="77777777" w:rsidR="00B67D7C" w:rsidRPr="00DE096C" w:rsidRDefault="00B67D7C" w:rsidP="00D45A46">
            <w:pPr>
              <w:jc w:val="both"/>
              <w:rPr>
                <w:bCs/>
                <w:color w:val="002060"/>
                <w:sz w:val="16"/>
                <w:szCs w:val="16"/>
              </w:rPr>
            </w:pPr>
            <w:r w:rsidRPr="00DE096C">
              <w:rPr>
                <w:bCs/>
                <w:color w:val="002060"/>
                <w:sz w:val="16"/>
                <w:szCs w:val="16"/>
              </w:rPr>
              <w:t>7437</w:t>
            </w:r>
          </w:p>
        </w:tc>
        <w:tc>
          <w:tcPr>
            <w:tcW w:w="3957" w:type="dxa"/>
          </w:tcPr>
          <w:p w14:paraId="4615C1A7" w14:textId="77777777" w:rsidR="00B67D7C" w:rsidRPr="00DE096C" w:rsidRDefault="00B67D7C" w:rsidP="00D45A46">
            <w:pPr>
              <w:jc w:val="both"/>
              <w:rPr>
                <w:bCs/>
                <w:color w:val="002060"/>
                <w:sz w:val="16"/>
                <w:szCs w:val="16"/>
              </w:rPr>
            </w:pPr>
            <w:r w:rsidRPr="00DE096C">
              <w:rPr>
                <w:bCs/>
                <w:color w:val="002060"/>
                <w:sz w:val="16"/>
                <w:szCs w:val="16"/>
              </w:rPr>
              <w:t>641</w:t>
            </w:r>
          </w:p>
        </w:tc>
      </w:tr>
      <w:tr w:rsidR="00B67D7C" w:rsidRPr="00DE096C" w14:paraId="6C1DF4CD" w14:textId="77777777" w:rsidTr="00C2024A">
        <w:tc>
          <w:tcPr>
            <w:tcW w:w="727" w:type="dxa"/>
          </w:tcPr>
          <w:p w14:paraId="2B1EE823" w14:textId="77777777" w:rsidR="00B67D7C" w:rsidRPr="00DE096C" w:rsidRDefault="00B67D7C" w:rsidP="00D45A46">
            <w:pPr>
              <w:jc w:val="both"/>
              <w:rPr>
                <w:bCs/>
                <w:color w:val="002060"/>
                <w:sz w:val="16"/>
                <w:szCs w:val="16"/>
              </w:rPr>
            </w:pPr>
            <w:r w:rsidRPr="00DE096C">
              <w:rPr>
                <w:bCs/>
                <w:color w:val="002060"/>
                <w:sz w:val="16"/>
                <w:szCs w:val="16"/>
              </w:rPr>
              <w:t>1913</w:t>
            </w:r>
          </w:p>
        </w:tc>
        <w:tc>
          <w:tcPr>
            <w:tcW w:w="4675" w:type="dxa"/>
          </w:tcPr>
          <w:p w14:paraId="5BBC3F5C" w14:textId="77777777" w:rsidR="00B67D7C" w:rsidRPr="00DE096C" w:rsidRDefault="00B67D7C" w:rsidP="00D45A46">
            <w:pPr>
              <w:jc w:val="both"/>
              <w:rPr>
                <w:bCs/>
                <w:color w:val="002060"/>
                <w:sz w:val="16"/>
                <w:szCs w:val="16"/>
              </w:rPr>
            </w:pPr>
            <w:r w:rsidRPr="00DE096C">
              <w:rPr>
                <w:bCs/>
                <w:color w:val="002060"/>
                <w:sz w:val="16"/>
                <w:szCs w:val="16"/>
              </w:rPr>
              <w:t>13935</w:t>
            </w:r>
          </w:p>
        </w:tc>
        <w:tc>
          <w:tcPr>
            <w:tcW w:w="3957" w:type="dxa"/>
          </w:tcPr>
          <w:p w14:paraId="5FD7928C" w14:textId="77777777" w:rsidR="00B67D7C" w:rsidRPr="00DE096C" w:rsidRDefault="00B67D7C" w:rsidP="00D45A46">
            <w:pPr>
              <w:jc w:val="both"/>
              <w:rPr>
                <w:bCs/>
                <w:color w:val="002060"/>
                <w:sz w:val="16"/>
                <w:szCs w:val="16"/>
              </w:rPr>
            </w:pPr>
            <w:r w:rsidRPr="00DE096C">
              <w:rPr>
                <w:bCs/>
                <w:color w:val="002060"/>
                <w:sz w:val="16"/>
                <w:szCs w:val="16"/>
              </w:rPr>
              <w:t>622</w:t>
            </w:r>
          </w:p>
        </w:tc>
      </w:tr>
      <w:tr w:rsidR="00B67D7C" w:rsidRPr="00DE096C" w14:paraId="72CFBB94" w14:textId="77777777" w:rsidTr="00C2024A">
        <w:tc>
          <w:tcPr>
            <w:tcW w:w="727" w:type="dxa"/>
          </w:tcPr>
          <w:p w14:paraId="5445448C" w14:textId="77777777" w:rsidR="00B67D7C" w:rsidRPr="00DE096C" w:rsidRDefault="00B67D7C" w:rsidP="00D45A46">
            <w:pPr>
              <w:jc w:val="both"/>
              <w:rPr>
                <w:bCs/>
                <w:color w:val="002060"/>
                <w:sz w:val="16"/>
                <w:szCs w:val="16"/>
              </w:rPr>
            </w:pPr>
            <w:r w:rsidRPr="00DE096C">
              <w:rPr>
                <w:bCs/>
                <w:color w:val="002060"/>
                <w:sz w:val="16"/>
                <w:szCs w:val="16"/>
              </w:rPr>
              <w:t>1914</w:t>
            </w:r>
          </w:p>
        </w:tc>
        <w:tc>
          <w:tcPr>
            <w:tcW w:w="4675" w:type="dxa"/>
          </w:tcPr>
          <w:p w14:paraId="0063943E" w14:textId="77777777" w:rsidR="00B67D7C" w:rsidRPr="00DE096C" w:rsidRDefault="00B67D7C" w:rsidP="00D45A46">
            <w:pPr>
              <w:jc w:val="both"/>
              <w:rPr>
                <w:bCs/>
                <w:color w:val="002060"/>
                <w:sz w:val="16"/>
                <w:szCs w:val="16"/>
              </w:rPr>
            </w:pPr>
            <w:r w:rsidRPr="00DE096C">
              <w:rPr>
                <w:bCs/>
                <w:color w:val="002060"/>
                <w:sz w:val="16"/>
                <w:szCs w:val="16"/>
              </w:rPr>
              <w:t>19056</w:t>
            </w:r>
          </w:p>
        </w:tc>
        <w:tc>
          <w:tcPr>
            <w:tcW w:w="3957" w:type="dxa"/>
          </w:tcPr>
          <w:p w14:paraId="073AB8C9" w14:textId="77777777" w:rsidR="00B67D7C" w:rsidRPr="00DE096C" w:rsidRDefault="00B67D7C" w:rsidP="00D45A46">
            <w:pPr>
              <w:jc w:val="both"/>
              <w:rPr>
                <w:bCs/>
                <w:color w:val="002060"/>
                <w:sz w:val="16"/>
                <w:szCs w:val="16"/>
              </w:rPr>
            </w:pPr>
            <w:r w:rsidRPr="00DE096C">
              <w:rPr>
                <w:bCs/>
                <w:color w:val="002060"/>
                <w:sz w:val="16"/>
                <w:szCs w:val="16"/>
              </w:rPr>
              <w:t>604</w:t>
            </w:r>
          </w:p>
        </w:tc>
      </w:tr>
    </w:tbl>
    <w:p w14:paraId="265C0CB3" w14:textId="77777777" w:rsidR="00B67D7C" w:rsidRPr="00DE096C" w:rsidRDefault="00B67D7C" w:rsidP="00D45A46">
      <w:pPr>
        <w:jc w:val="both"/>
        <w:rPr>
          <w:bCs/>
          <w:color w:val="002060"/>
          <w:sz w:val="16"/>
          <w:szCs w:val="16"/>
        </w:rPr>
      </w:pPr>
      <w:r w:rsidRPr="00DE096C">
        <w:rPr>
          <w:bCs/>
          <w:color w:val="002060"/>
          <w:sz w:val="16"/>
          <w:szCs w:val="16"/>
        </w:rPr>
        <w:t>Таблица 3.4. Размеры и вес плит, допускавшиеся оборудованием русских бронепрокатных заводов в 1916 г. (В.П. Костенко. Броневая защита боевых кораблей, т.2. (рукопись), 1948.с.46.).</w:t>
      </w:r>
    </w:p>
    <w:tbl>
      <w:tblPr>
        <w:tblW w:w="0" w:type="auto"/>
        <w:tblLayout w:type="fixed"/>
        <w:tblCellMar>
          <w:left w:w="0" w:type="dxa"/>
          <w:right w:w="0" w:type="dxa"/>
        </w:tblCellMar>
        <w:tblLook w:val="0000" w:firstRow="0" w:lastRow="0" w:firstColumn="0" w:lastColumn="0" w:noHBand="0" w:noVBand="0"/>
      </w:tblPr>
      <w:tblGrid>
        <w:gridCol w:w="3884"/>
        <w:gridCol w:w="2666"/>
        <w:gridCol w:w="2809"/>
      </w:tblGrid>
      <w:tr w:rsidR="00B67D7C" w:rsidRPr="00DE096C" w14:paraId="72611580" w14:textId="77777777" w:rsidTr="00C2024A">
        <w:tc>
          <w:tcPr>
            <w:tcW w:w="3884" w:type="dxa"/>
          </w:tcPr>
          <w:p w14:paraId="346007F8" w14:textId="77777777" w:rsidR="00B67D7C" w:rsidRPr="00DE096C" w:rsidRDefault="00B67D7C" w:rsidP="00D45A46">
            <w:pPr>
              <w:jc w:val="both"/>
              <w:rPr>
                <w:bCs/>
                <w:color w:val="002060"/>
                <w:sz w:val="16"/>
                <w:szCs w:val="16"/>
              </w:rPr>
            </w:pPr>
            <w:r w:rsidRPr="00DE096C">
              <w:rPr>
                <w:bCs/>
                <w:color w:val="002060"/>
                <w:sz w:val="16"/>
                <w:szCs w:val="16"/>
              </w:rPr>
              <w:t>Параметры</w:t>
            </w:r>
          </w:p>
        </w:tc>
        <w:tc>
          <w:tcPr>
            <w:tcW w:w="2666" w:type="dxa"/>
          </w:tcPr>
          <w:p w14:paraId="631E7FDF" w14:textId="77777777" w:rsidR="00B67D7C" w:rsidRPr="00DE096C" w:rsidRDefault="00B67D7C" w:rsidP="00D45A46">
            <w:pPr>
              <w:jc w:val="both"/>
              <w:rPr>
                <w:bCs/>
                <w:color w:val="002060"/>
                <w:sz w:val="16"/>
                <w:szCs w:val="16"/>
              </w:rPr>
            </w:pPr>
            <w:r w:rsidRPr="00DE096C">
              <w:rPr>
                <w:bCs/>
                <w:color w:val="002060"/>
                <w:sz w:val="16"/>
                <w:szCs w:val="16"/>
              </w:rPr>
              <w:t>Ижорский завод Морского министерства</w:t>
            </w:r>
          </w:p>
        </w:tc>
        <w:tc>
          <w:tcPr>
            <w:tcW w:w="2809" w:type="dxa"/>
          </w:tcPr>
          <w:p w14:paraId="241C727E" w14:textId="77777777" w:rsidR="00B67D7C" w:rsidRPr="00DE096C" w:rsidRDefault="00B67D7C" w:rsidP="00D45A46">
            <w:pPr>
              <w:jc w:val="both"/>
              <w:rPr>
                <w:bCs/>
                <w:color w:val="002060"/>
                <w:sz w:val="16"/>
                <w:szCs w:val="16"/>
              </w:rPr>
            </w:pPr>
            <w:r w:rsidRPr="00DE096C">
              <w:rPr>
                <w:bCs/>
                <w:color w:val="002060"/>
                <w:sz w:val="16"/>
                <w:szCs w:val="16"/>
              </w:rPr>
              <w:t>Завод Никополь-Мариупольского общества</w:t>
            </w:r>
          </w:p>
        </w:tc>
      </w:tr>
      <w:tr w:rsidR="00B67D7C" w:rsidRPr="00DE096C" w14:paraId="2F17B86E" w14:textId="77777777" w:rsidTr="00C2024A">
        <w:tc>
          <w:tcPr>
            <w:tcW w:w="3884" w:type="dxa"/>
          </w:tcPr>
          <w:p w14:paraId="1182C584" w14:textId="77777777" w:rsidR="00B67D7C" w:rsidRPr="00DE096C" w:rsidRDefault="00B67D7C" w:rsidP="00D45A46">
            <w:pPr>
              <w:jc w:val="both"/>
              <w:rPr>
                <w:bCs/>
                <w:color w:val="002060"/>
                <w:sz w:val="16"/>
                <w:szCs w:val="16"/>
              </w:rPr>
            </w:pPr>
            <w:r w:rsidRPr="00DE096C">
              <w:rPr>
                <w:bCs/>
                <w:color w:val="002060"/>
                <w:sz w:val="16"/>
                <w:szCs w:val="16"/>
              </w:rPr>
              <w:t>Предельный вес крупповских цементированных плит, т</w:t>
            </w:r>
          </w:p>
        </w:tc>
        <w:tc>
          <w:tcPr>
            <w:tcW w:w="2666" w:type="dxa"/>
          </w:tcPr>
          <w:p w14:paraId="60E00FB9" w14:textId="77777777" w:rsidR="00B67D7C" w:rsidRPr="00DE096C" w:rsidRDefault="00B67D7C" w:rsidP="00D45A46">
            <w:pPr>
              <w:jc w:val="both"/>
              <w:rPr>
                <w:bCs/>
                <w:color w:val="002060"/>
                <w:sz w:val="16"/>
                <w:szCs w:val="16"/>
              </w:rPr>
            </w:pPr>
            <w:r w:rsidRPr="00DE096C">
              <w:rPr>
                <w:bCs/>
                <w:color w:val="002060"/>
                <w:sz w:val="16"/>
                <w:szCs w:val="16"/>
              </w:rPr>
              <w:t>30</w:t>
            </w:r>
          </w:p>
        </w:tc>
        <w:tc>
          <w:tcPr>
            <w:tcW w:w="2809" w:type="dxa"/>
          </w:tcPr>
          <w:p w14:paraId="0EC823F2" w14:textId="77777777" w:rsidR="00B67D7C" w:rsidRPr="00DE096C" w:rsidRDefault="00B67D7C" w:rsidP="00D45A46">
            <w:pPr>
              <w:jc w:val="both"/>
              <w:rPr>
                <w:bCs/>
                <w:color w:val="002060"/>
                <w:sz w:val="16"/>
                <w:szCs w:val="16"/>
              </w:rPr>
            </w:pPr>
            <w:r w:rsidRPr="00DE096C">
              <w:rPr>
                <w:bCs/>
                <w:color w:val="002060"/>
                <w:sz w:val="16"/>
                <w:szCs w:val="16"/>
              </w:rPr>
              <w:t>30</w:t>
            </w:r>
          </w:p>
        </w:tc>
      </w:tr>
      <w:tr w:rsidR="00B67D7C" w:rsidRPr="00DE096C" w14:paraId="7084A5C8" w14:textId="77777777" w:rsidTr="00C2024A">
        <w:tc>
          <w:tcPr>
            <w:tcW w:w="3884" w:type="dxa"/>
          </w:tcPr>
          <w:p w14:paraId="3C0B32AC" w14:textId="77777777" w:rsidR="00B67D7C" w:rsidRPr="00DE096C" w:rsidRDefault="00B67D7C" w:rsidP="00D45A46">
            <w:pPr>
              <w:jc w:val="both"/>
              <w:rPr>
                <w:bCs/>
                <w:color w:val="002060"/>
                <w:sz w:val="16"/>
                <w:szCs w:val="16"/>
              </w:rPr>
            </w:pPr>
            <w:r w:rsidRPr="00DE096C">
              <w:rPr>
                <w:bCs/>
                <w:color w:val="002060"/>
                <w:sz w:val="16"/>
                <w:szCs w:val="16"/>
              </w:rPr>
              <w:t>Вес единичных плит в исключительных случаях, т</w:t>
            </w:r>
          </w:p>
        </w:tc>
        <w:tc>
          <w:tcPr>
            <w:tcW w:w="2666" w:type="dxa"/>
          </w:tcPr>
          <w:p w14:paraId="14A3BABE" w14:textId="77777777" w:rsidR="00B67D7C" w:rsidRPr="00DE096C" w:rsidRDefault="00B67D7C" w:rsidP="00D45A46">
            <w:pPr>
              <w:jc w:val="both"/>
              <w:rPr>
                <w:bCs/>
                <w:color w:val="002060"/>
                <w:sz w:val="16"/>
                <w:szCs w:val="16"/>
              </w:rPr>
            </w:pPr>
            <w:r w:rsidRPr="00DE096C">
              <w:rPr>
                <w:bCs/>
                <w:color w:val="002060"/>
                <w:sz w:val="16"/>
                <w:szCs w:val="16"/>
              </w:rPr>
              <w:t>45</w:t>
            </w:r>
          </w:p>
        </w:tc>
        <w:tc>
          <w:tcPr>
            <w:tcW w:w="2809" w:type="dxa"/>
          </w:tcPr>
          <w:p w14:paraId="683FBEB9" w14:textId="77777777" w:rsidR="00B67D7C" w:rsidRPr="00DE096C" w:rsidRDefault="00B67D7C" w:rsidP="00D45A46">
            <w:pPr>
              <w:jc w:val="both"/>
              <w:rPr>
                <w:bCs/>
                <w:color w:val="002060"/>
                <w:sz w:val="16"/>
                <w:szCs w:val="16"/>
              </w:rPr>
            </w:pPr>
            <w:r w:rsidRPr="00DE096C">
              <w:rPr>
                <w:bCs/>
                <w:color w:val="002060"/>
                <w:sz w:val="16"/>
                <w:szCs w:val="16"/>
              </w:rPr>
              <w:t>45</w:t>
            </w:r>
          </w:p>
        </w:tc>
      </w:tr>
      <w:tr w:rsidR="00B67D7C" w:rsidRPr="00DE096C" w14:paraId="04781A3A" w14:textId="77777777" w:rsidTr="00C2024A">
        <w:tc>
          <w:tcPr>
            <w:tcW w:w="3884" w:type="dxa"/>
          </w:tcPr>
          <w:p w14:paraId="2BD8DD0C" w14:textId="77777777" w:rsidR="00B67D7C" w:rsidRPr="00DE096C" w:rsidRDefault="00B67D7C" w:rsidP="00D45A46">
            <w:pPr>
              <w:jc w:val="both"/>
              <w:rPr>
                <w:bCs/>
                <w:color w:val="002060"/>
                <w:sz w:val="16"/>
                <w:szCs w:val="16"/>
              </w:rPr>
            </w:pPr>
            <w:r w:rsidRPr="00DE096C">
              <w:rPr>
                <w:bCs/>
                <w:color w:val="002060"/>
                <w:sz w:val="16"/>
                <w:szCs w:val="16"/>
              </w:rPr>
              <w:t>Нормальные размеры плит бортовой и башенной брони, мм</w:t>
            </w:r>
          </w:p>
        </w:tc>
        <w:tc>
          <w:tcPr>
            <w:tcW w:w="2666" w:type="dxa"/>
          </w:tcPr>
          <w:p w14:paraId="39A4E4B6" w14:textId="77777777" w:rsidR="00B67D7C" w:rsidRPr="00DE096C" w:rsidRDefault="00B67D7C" w:rsidP="00D45A46">
            <w:pPr>
              <w:jc w:val="both"/>
              <w:rPr>
                <w:bCs/>
                <w:color w:val="002060"/>
                <w:sz w:val="16"/>
                <w:szCs w:val="16"/>
              </w:rPr>
            </w:pPr>
            <w:r w:rsidRPr="00DE096C">
              <w:rPr>
                <w:bCs/>
                <w:color w:val="002060"/>
                <w:sz w:val="16"/>
                <w:szCs w:val="16"/>
              </w:rPr>
              <w:t>5000x3050</w:t>
            </w:r>
          </w:p>
        </w:tc>
        <w:tc>
          <w:tcPr>
            <w:tcW w:w="2809" w:type="dxa"/>
          </w:tcPr>
          <w:p w14:paraId="05E6DB4F" w14:textId="77777777" w:rsidR="00B67D7C" w:rsidRPr="00DE096C" w:rsidRDefault="00B67D7C" w:rsidP="00D45A46">
            <w:pPr>
              <w:jc w:val="both"/>
              <w:rPr>
                <w:bCs/>
                <w:color w:val="002060"/>
                <w:sz w:val="16"/>
                <w:szCs w:val="16"/>
              </w:rPr>
            </w:pPr>
            <w:r w:rsidRPr="00DE096C">
              <w:rPr>
                <w:bCs/>
                <w:color w:val="002060"/>
                <w:sz w:val="16"/>
                <w:szCs w:val="16"/>
              </w:rPr>
              <w:t>6000x3500</w:t>
            </w:r>
          </w:p>
        </w:tc>
      </w:tr>
      <w:tr w:rsidR="00B67D7C" w:rsidRPr="00DE096C" w14:paraId="696DBE9A" w14:textId="77777777" w:rsidTr="00C2024A">
        <w:tc>
          <w:tcPr>
            <w:tcW w:w="3884" w:type="dxa"/>
          </w:tcPr>
          <w:p w14:paraId="0E92E336" w14:textId="77777777" w:rsidR="00B67D7C" w:rsidRPr="00DE096C" w:rsidRDefault="00B67D7C" w:rsidP="00D45A46">
            <w:pPr>
              <w:jc w:val="both"/>
              <w:rPr>
                <w:bCs/>
                <w:color w:val="002060"/>
                <w:sz w:val="16"/>
                <w:szCs w:val="16"/>
              </w:rPr>
            </w:pPr>
            <w:r w:rsidRPr="00DE096C">
              <w:rPr>
                <w:bCs/>
                <w:color w:val="002060"/>
                <w:sz w:val="16"/>
                <w:szCs w:val="16"/>
              </w:rPr>
              <w:t>Размеры единичных плит в исключительных случаях, мм:</w:t>
            </w:r>
          </w:p>
        </w:tc>
        <w:tc>
          <w:tcPr>
            <w:tcW w:w="2666" w:type="dxa"/>
          </w:tcPr>
          <w:p w14:paraId="342354AD" w14:textId="77777777" w:rsidR="00B67D7C" w:rsidRPr="00DE096C" w:rsidRDefault="00B67D7C" w:rsidP="00D45A46">
            <w:pPr>
              <w:jc w:val="both"/>
              <w:rPr>
                <w:bCs/>
                <w:color w:val="002060"/>
                <w:sz w:val="16"/>
                <w:szCs w:val="16"/>
              </w:rPr>
            </w:pPr>
          </w:p>
        </w:tc>
        <w:tc>
          <w:tcPr>
            <w:tcW w:w="2809" w:type="dxa"/>
          </w:tcPr>
          <w:p w14:paraId="4A744451" w14:textId="77777777" w:rsidR="00B67D7C" w:rsidRPr="00DE096C" w:rsidRDefault="00B67D7C" w:rsidP="00D45A46">
            <w:pPr>
              <w:jc w:val="both"/>
              <w:rPr>
                <w:bCs/>
                <w:color w:val="002060"/>
                <w:sz w:val="16"/>
                <w:szCs w:val="16"/>
              </w:rPr>
            </w:pPr>
          </w:p>
        </w:tc>
      </w:tr>
      <w:tr w:rsidR="00B67D7C" w:rsidRPr="00DE096C" w14:paraId="1B8A22E6" w14:textId="77777777" w:rsidTr="00C2024A">
        <w:tc>
          <w:tcPr>
            <w:tcW w:w="3884" w:type="dxa"/>
          </w:tcPr>
          <w:p w14:paraId="3235F85B" w14:textId="77777777" w:rsidR="00B67D7C" w:rsidRPr="00DE096C" w:rsidRDefault="00B67D7C" w:rsidP="00D45A46">
            <w:pPr>
              <w:jc w:val="both"/>
              <w:rPr>
                <w:bCs/>
                <w:color w:val="002060"/>
                <w:sz w:val="16"/>
                <w:szCs w:val="16"/>
              </w:rPr>
            </w:pPr>
            <w:r w:rsidRPr="00DE096C">
              <w:rPr>
                <w:bCs/>
                <w:color w:val="002060"/>
                <w:sz w:val="16"/>
                <w:szCs w:val="16"/>
              </w:rPr>
              <w:t>крупповских цементированных*</w:t>
            </w:r>
          </w:p>
        </w:tc>
        <w:tc>
          <w:tcPr>
            <w:tcW w:w="2666" w:type="dxa"/>
          </w:tcPr>
          <w:p w14:paraId="5B858FCD" w14:textId="77777777" w:rsidR="00B67D7C" w:rsidRPr="00DE096C" w:rsidRDefault="00B67D7C" w:rsidP="00D45A46">
            <w:pPr>
              <w:jc w:val="both"/>
              <w:rPr>
                <w:bCs/>
                <w:color w:val="002060"/>
                <w:sz w:val="16"/>
                <w:szCs w:val="16"/>
              </w:rPr>
            </w:pPr>
            <w:r w:rsidRPr="00DE096C">
              <w:rPr>
                <w:bCs/>
                <w:color w:val="002060"/>
                <w:sz w:val="16"/>
                <w:szCs w:val="16"/>
              </w:rPr>
              <w:t>5800x3350</w:t>
            </w:r>
          </w:p>
        </w:tc>
        <w:tc>
          <w:tcPr>
            <w:tcW w:w="2809" w:type="dxa"/>
          </w:tcPr>
          <w:p w14:paraId="2DEA9606" w14:textId="77777777" w:rsidR="00B67D7C" w:rsidRPr="00DE096C" w:rsidRDefault="00B67D7C" w:rsidP="00D45A46">
            <w:pPr>
              <w:jc w:val="both"/>
              <w:rPr>
                <w:bCs/>
                <w:color w:val="002060"/>
                <w:sz w:val="16"/>
                <w:szCs w:val="16"/>
              </w:rPr>
            </w:pPr>
            <w:r w:rsidRPr="00DE096C">
              <w:rPr>
                <w:bCs/>
                <w:color w:val="002060"/>
                <w:sz w:val="16"/>
                <w:szCs w:val="16"/>
              </w:rPr>
              <w:t>8500x2400</w:t>
            </w:r>
          </w:p>
        </w:tc>
      </w:tr>
      <w:tr w:rsidR="00B67D7C" w:rsidRPr="00DE096C" w14:paraId="16D4685B" w14:textId="77777777" w:rsidTr="00C2024A">
        <w:tc>
          <w:tcPr>
            <w:tcW w:w="3884" w:type="dxa"/>
          </w:tcPr>
          <w:p w14:paraId="1D69864F" w14:textId="77777777" w:rsidR="00B67D7C" w:rsidRPr="00DE096C" w:rsidRDefault="00B67D7C" w:rsidP="00D45A46">
            <w:pPr>
              <w:jc w:val="both"/>
              <w:rPr>
                <w:bCs/>
                <w:color w:val="002060"/>
                <w:sz w:val="16"/>
                <w:szCs w:val="16"/>
              </w:rPr>
            </w:pPr>
            <w:r w:rsidRPr="00DE096C">
              <w:rPr>
                <w:bCs/>
                <w:color w:val="002060"/>
                <w:sz w:val="16"/>
                <w:szCs w:val="16"/>
              </w:rPr>
              <w:t>палубных, свыше 38 мм</w:t>
            </w:r>
            <w:r w:rsidRPr="00DE096C">
              <w:rPr>
                <w:bCs/>
                <w:color w:val="002060"/>
                <w:sz w:val="16"/>
                <w:szCs w:val="16"/>
                <w:vertAlign w:val="superscript"/>
              </w:rPr>
              <w:t>**</w:t>
            </w:r>
          </w:p>
        </w:tc>
        <w:tc>
          <w:tcPr>
            <w:tcW w:w="2666" w:type="dxa"/>
          </w:tcPr>
          <w:p w14:paraId="74523360" w14:textId="77777777" w:rsidR="00B67D7C" w:rsidRPr="00DE096C" w:rsidRDefault="00B67D7C" w:rsidP="00D45A46">
            <w:pPr>
              <w:jc w:val="both"/>
              <w:rPr>
                <w:bCs/>
                <w:color w:val="002060"/>
                <w:sz w:val="16"/>
                <w:szCs w:val="16"/>
              </w:rPr>
            </w:pPr>
            <w:r w:rsidRPr="00DE096C">
              <w:rPr>
                <w:bCs/>
                <w:color w:val="002060"/>
                <w:sz w:val="16"/>
                <w:szCs w:val="16"/>
              </w:rPr>
              <w:t>8500x3800</w:t>
            </w:r>
          </w:p>
        </w:tc>
        <w:tc>
          <w:tcPr>
            <w:tcW w:w="2809" w:type="dxa"/>
          </w:tcPr>
          <w:p w14:paraId="1089F04D" w14:textId="77777777" w:rsidR="00B67D7C" w:rsidRPr="00DE096C" w:rsidRDefault="00B67D7C" w:rsidP="00D45A46">
            <w:pPr>
              <w:jc w:val="both"/>
              <w:rPr>
                <w:bCs/>
                <w:color w:val="002060"/>
                <w:sz w:val="16"/>
                <w:szCs w:val="16"/>
              </w:rPr>
            </w:pPr>
            <w:r w:rsidRPr="00DE096C">
              <w:rPr>
                <w:bCs/>
                <w:color w:val="002060"/>
                <w:sz w:val="16"/>
                <w:szCs w:val="16"/>
              </w:rPr>
              <w:t>8000x3200</w:t>
            </w:r>
          </w:p>
        </w:tc>
      </w:tr>
      <w:tr w:rsidR="00B67D7C" w:rsidRPr="00DE096C" w14:paraId="28F4995E" w14:textId="77777777" w:rsidTr="00C2024A">
        <w:tc>
          <w:tcPr>
            <w:tcW w:w="3884" w:type="dxa"/>
          </w:tcPr>
          <w:p w14:paraId="6DB42F3E" w14:textId="77777777" w:rsidR="00B67D7C" w:rsidRPr="00DE096C" w:rsidRDefault="00B67D7C" w:rsidP="00D45A46">
            <w:pPr>
              <w:jc w:val="both"/>
              <w:rPr>
                <w:bCs/>
                <w:color w:val="002060"/>
                <w:sz w:val="16"/>
                <w:szCs w:val="16"/>
              </w:rPr>
            </w:pPr>
            <w:r w:rsidRPr="00DE096C">
              <w:rPr>
                <w:bCs/>
                <w:color w:val="002060"/>
                <w:sz w:val="16"/>
                <w:szCs w:val="16"/>
              </w:rPr>
              <w:t>палубных, до 38 мм</w:t>
            </w:r>
          </w:p>
        </w:tc>
        <w:tc>
          <w:tcPr>
            <w:tcW w:w="2666" w:type="dxa"/>
          </w:tcPr>
          <w:p w14:paraId="3485429A" w14:textId="77777777" w:rsidR="00B67D7C" w:rsidRPr="00DE096C" w:rsidRDefault="00B67D7C" w:rsidP="00D45A46">
            <w:pPr>
              <w:jc w:val="both"/>
              <w:rPr>
                <w:bCs/>
                <w:color w:val="002060"/>
                <w:sz w:val="16"/>
                <w:szCs w:val="16"/>
              </w:rPr>
            </w:pPr>
            <w:r w:rsidRPr="00DE096C">
              <w:rPr>
                <w:bCs/>
                <w:color w:val="002060"/>
                <w:sz w:val="16"/>
                <w:szCs w:val="16"/>
              </w:rPr>
              <w:t>6100x2400</w:t>
            </w:r>
          </w:p>
        </w:tc>
        <w:tc>
          <w:tcPr>
            <w:tcW w:w="2809" w:type="dxa"/>
          </w:tcPr>
          <w:p w14:paraId="7758E921" w14:textId="77777777" w:rsidR="00B67D7C" w:rsidRPr="00DE096C" w:rsidRDefault="00B67D7C" w:rsidP="00D45A46">
            <w:pPr>
              <w:jc w:val="both"/>
              <w:rPr>
                <w:bCs/>
                <w:color w:val="002060"/>
                <w:sz w:val="16"/>
                <w:szCs w:val="16"/>
              </w:rPr>
            </w:pPr>
            <w:r w:rsidRPr="00DE096C">
              <w:rPr>
                <w:bCs/>
                <w:color w:val="002060"/>
                <w:sz w:val="16"/>
                <w:szCs w:val="16"/>
              </w:rPr>
              <w:t>8000x2400</w:t>
            </w:r>
          </w:p>
        </w:tc>
      </w:tr>
    </w:tbl>
    <w:p w14:paraId="4AAC60B9" w14:textId="77777777" w:rsidR="00B67D7C" w:rsidRPr="00DE096C" w:rsidRDefault="00B67D7C" w:rsidP="00D45A46">
      <w:pPr>
        <w:jc w:val="both"/>
        <w:rPr>
          <w:bCs/>
          <w:color w:val="002060"/>
          <w:sz w:val="16"/>
          <w:szCs w:val="16"/>
        </w:rPr>
      </w:pPr>
      <w:r w:rsidRPr="00DE096C">
        <w:rPr>
          <w:bCs/>
          <w:color w:val="002060"/>
          <w:sz w:val="16"/>
          <w:szCs w:val="16"/>
        </w:rPr>
        <w:t>Примечания:</w:t>
      </w:r>
    </w:p>
    <w:p w14:paraId="52076E2D" w14:textId="77777777" w:rsidR="00B67D7C" w:rsidRPr="00DE096C" w:rsidRDefault="00B67D7C" w:rsidP="00D45A46">
      <w:pPr>
        <w:jc w:val="both"/>
        <w:rPr>
          <w:bCs/>
          <w:color w:val="002060"/>
          <w:sz w:val="16"/>
          <w:szCs w:val="16"/>
        </w:rPr>
      </w:pPr>
      <w:r w:rsidRPr="00DE096C">
        <w:rPr>
          <w:bCs/>
          <w:color w:val="002060"/>
          <w:sz w:val="16"/>
          <w:szCs w:val="16"/>
        </w:rPr>
        <w:lastRenderedPageBreak/>
        <w:t>* При ширине 2400 мм длина могла быть увеличена до 8800 мм.</w:t>
      </w:r>
    </w:p>
    <w:p w14:paraId="021A8D71" w14:textId="77777777" w:rsidR="00B67D7C" w:rsidRPr="00DE096C" w:rsidRDefault="00B67D7C" w:rsidP="00D45A46">
      <w:pPr>
        <w:jc w:val="both"/>
        <w:rPr>
          <w:bCs/>
          <w:color w:val="002060"/>
          <w:sz w:val="16"/>
          <w:szCs w:val="16"/>
        </w:rPr>
      </w:pPr>
      <w:r w:rsidRPr="00DE096C">
        <w:rPr>
          <w:bCs/>
          <w:color w:val="002060"/>
          <w:sz w:val="16"/>
          <w:szCs w:val="16"/>
        </w:rPr>
        <w:t>** При обрезке на станках длина не свыше 7000 мм (12109).</w:t>
      </w:r>
    </w:p>
    <w:p w14:paraId="4FB0DA67" w14:textId="5DD25808" w:rsidR="00B67D7C" w:rsidRPr="00DE096C" w:rsidRDefault="00B67D7C" w:rsidP="00D45A46">
      <w:pPr>
        <w:jc w:val="both"/>
        <w:rPr>
          <w:bCs/>
          <w:color w:val="002060"/>
          <w:sz w:val="16"/>
          <w:szCs w:val="16"/>
        </w:rPr>
      </w:pPr>
    </w:p>
    <w:p w14:paraId="66E3F2E2" w14:textId="3B854567" w:rsidR="003F0CDD" w:rsidRPr="00DE096C" w:rsidRDefault="003F0CDD" w:rsidP="00D45A46">
      <w:pPr>
        <w:jc w:val="both"/>
        <w:rPr>
          <w:bCs/>
          <w:color w:val="002060"/>
          <w:sz w:val="16"/>
          <w:szCs w:val="16"/>
        </w:rPr>
      </w:pPr>
      <w:r w:rsidRPr="00DE096C">
        <w:rPr>
          <w:bCs/>
          <w:color w:val="002060"/>
          <w:sz w:val="16"/>
          <w:szCs w:val="16"/>
        </w:rPr>
        <w:t>На начало 1914 г. из существовавших судостроительных заводов лишь два (николаевский "Наваль" и петербургский Путиловский завод) имели наряду с верфями отлаженное башенное производство, на других же крупных заводах его только предполагалось создать (Адмиралтейский). Помимо этих предприятий, орудийные башни изготавливал казенный Обуховский завод, а также Металлический завод (ПМЗ) — ведущее предприятие «Компании СПб Металлического завода» (производство орудийных установок, мостов, всевозможных металлоконструкций, верфь эсминцев с 1912 г. («Ижорская»), турбины и котлы).</w:t>
      </w:r>
    </w:p>
    <w:p w14:paraId="51E9B50C" w14:textId="77777777" w:rsidR="003F0CDD" w:rsidRPr="00DE096C" w:rsidRDefault="003F0CDD" w:rsidP="00D45A46">
      <w:pPr>
        <w:jc w:val="both"/>
        <w:rPr>
          <w:bCs/>
          <w:color w:val="002060"/>
          <w:sz w:val="16"/>
          <w:szCs w:val="16"/>
        </w:rPr>
      </w:pPr>
    </w:p>
    <w:p w14:paraId="0EB75C4C" w14:textId="53292577" w:rsidR="003F0CDD" w:rsidRPr="00DE096C" w:rsidRDefault="003F0CDD" w:rsidP="00D45A46">
      <w:pPr>
        <w:jc w:val="both"/>
        <w:rPr>
          <w:bCs/>
          <w:color w:val="002060"/>
          <w:sz w:val="16"/>
          <w:szCs w:val="16"/>
        </w:rPr>
      </w:pPr>
      <w:r w:rsidRPr="00DE096C">
        <w:rPr>
          <w:bCs/>
          <w:color w:val="002060"/>
          <w:sz w:val="16"/>
          <w:szCs w:val="16"/>
        </w:rPr>
        <w:t>К началу 1914 г., было организовано производство во временной мастерской завода. И тогда РАООМП разослало своим будущим партнерам первое извещение:</w:t>
      </w:r>
    </w:p>
    <w:p w14:paraId="2B5C83B0" w14:textId="77777777" w:rsidR="003F0CDD" w:rsidRPr="00DE096C" w:rsidRDefault="003F0CDD" w:rsidP="00D45A46">
      <w:pPr>
        <w:jc w:val="both"/>
        <w:rPr>
          <w:bCs/>
          <w:color w:val="002060"/>
          <w:sz w:val="16"/>
          <w:szCs w:val="16"/>
        </w:rPr>
      </w:pPr>
      <w:r w:rsidRPr="00DE096C">
        <w:rPr>
          <w:bCs/>
          <w:color w:val="002060"/>
          <w:sz w:val="16"/>
          <w:szCs w:val="16"/>
        </w:rPr>
        <w:t xml:space="preserve">Российское </w:t>
      </w:r>
    </w:p>
    <w:p w14:paraId="1734B3A2" w14:textId="77777777" w:rsidR="003F0CDD" w:rsidRPr="00DE096C" w:rsidRDefault="003F0CDD" w:rsidP="00D45A46">
      <w:pPr>
        <w:jc w:val="both"/>
        <w:rPr>
          <w:bCs/>
          <w:color w:val="002060"/>
          <w:sz w:val="16"/>
          <w:szCs w:val="16"/>
        </w:rPr>
      </w:pPr>
      <w:r w:rsidRPr="00DE096C">
        <w:rPr>
          <w:bCs/>
          <w:color w:val="002060"/>
          <w:sz w:val="16"/>
          <w:szCs w:val="16"/>
        </w:rPr>
        <w:t>Акционерное Общество</w:t>
      </w:r>
    </w:p>
    <w:p w14:paraId="5BDC0645" w14:textId="77777777" w:rsidR="003F0CDD" w:rsidRPr="00DE096C" w:rsidRDefault="003F0CDD" w:rsidP="00D45A46">
      <w:pPr>
        <w:jc w:val="both"/>
        <w:rPr>
          <w:bCs/>
          <w:color w:val="002060"/>
          <w:sz w:val="16"/>
          <w:szCs w:val="16"/>
        </w:rPr>
      </w:pPr>
      <w:r w:rsidRPr="00DE096C">
        <w:rPr>
          <w:bCs/>
          <w:color w:val="002060"/>
          <w:sz w:val="16"/>
          <w:szCs w:val="16"/>
        </w:rPr>
        <w:t xml:space="preserve">Оптического и Механического </w:t>
      </w:r>
    </w:p>
    <w:p w14:paraId="22E97CA7" w14:textId="77777777" w:rsidR="003F0CDD" w:rsidRPr="00DE096C" w:rsidRDefault="003F0CDD" w:rsidP="00D45A46">
      <w:pPr>
        <w:jc w:val="both"/>
        <w:rPr>
          <w:bCs/>
          <w:color w:val="002060"/>
          <w:sz w:val="16"/>
          <w:szCs w:val="16"/>
        </w:rPr>
      </w:pPr>
      <w:r w:rsidRPr="00DE096C">
        <w:rPr>
          <w:bCs/>
          <w:color w:val="002060"/>
          <w:sz w:val="16"/>
          <w:szCs w:val="16"/>
        </w:rPr>
        <w:t>Производств</w:t>
      </w:r>
    </w:p>
    <w:p w14:paraId="725FE89C" w14:textId="77777777" w:rsidR="003F0CDD" w:rsidRPr="00DE096C" w:rsidRDefault="003F0CDD" w:rsidP="00D45A46">
      <w:pPr>
        <w:jc w:val="both"/>
        <w:rPr>
          <w:bCs/>
          <w:color w:val="002060"/>
          <w:sz w:val="16"/>
          <w:szCs w:val="16"/>
        </w:rPr>
      </w:pPr>
      <w:r w:rsidRPr="00DE096C">
        <w:rPr>
          <w:bCs/>
          <w:color w:val="002060"/>
          <w:sz w:val="16"/>
          <w:szCs w:val="16"/>
        </w:rPr>
        <w:t>С.-Петербург, Итальянская,21</w:t>
      </w:r>
    </w:p>
    <w:p w14:paraId="646B8F9F" w14:textId="77777777" w:rsidR="003F0CDD" w:rsidRPr="00DE096C" w:rsidRDefault="003F0CDD" w:rsidP="00D45A46">
      <w:pPr>
        <w:jc w:val="both"/>
        <w:rPr>
          <w:bCs/>
          <w:color w:val="002060"/>
          <w:sz w:val="16"/>
          <w:szCs w:val="16"/>
        </w:rPr>
      </w:pPr>
      <w:r w:rsidRPr="00DE096C">
        <w:rPr>
          <w:bCs/>
          <w:color w:val="002060"/>
          <w:sz w:val="16"/>
          <w:szCs w:val="16"/>
        </w:rPr>
        <w:t>Милостевые Государи!</w:t>
      </w:r>
    </w:p>
    <w:p w14:paraId="0D71B6C8" w14:textId="77777777" w:rsidR="003F0CDD" w:rsidRPr="00DE096C" w:rsidRDefault="003F0CDD" w:rsidP="00D45A46">
      <w:pPr>
        <w:jc w:val="both"/>
        <w:rPr>
          <w:bCs/>
          <w:color w:val="002060"/>
          <w:sz w:val="16"/>
          <w:szCs w:val="16"/>
        </w:rPr>
      </w:pPr>
      <w:r w:rsidRPr="00DE096C">
        <w:rPr>
          <w:bCs/>
          <w:color w:val="002060"/>
          <w:sz w:val="16"/>
          <w:szCs w:val="16"/>
        </w:rPr>
        <w:t>Сим имеем честь уведомить Вас, что 4 февраля сего 1914 года открыло свои действия утвержден­ное Правительством - «РОССИЙСКОЕ АКЦИОНЕРНОЕ ОБЩЕСТВО ОПТИЧЕСКОГО И МЕХАНИЧЕСКО­ГО ПРОИЗВОДСТВ» с основным капиталом 1.200.000 рублей. Общество ставит своей задачей развитие русского оптического и точно-механического производств. Для означенной цели Общество строит завод в С.-Петербурге, по Чугунной улице, № 8, на каковом заводе под руководством русских специалистов, русскими рабочими, по возможности из русских материалов будут изготовляться, по мере запроса, все приборы, входящие в область оптического и*точно-механического производств, как то: оптические при­боры для самых разнообразных военных и гражданских целей, фотографические объективы, небольшие астрономические инструменты (специально школьных типов), геодезические инструменты, метеороло­гические приборы, физические и другие приборы, входящие в область точной механики и оптики. Обще­ство ставит также своей задачей разработку изобретений в означенной области, производимых русскими изобретателями. В качестве директора-распорядителя Общества и завода приглашен А.Л. Гершун, которо­му будет принадлежать ближайшее руководство делами и заводом.</w:t>
      </w:r>
    </w:p>
    <w:p w14:paraId="6A6774E1" w14:textId="0BE92297" w:rsidR="003F0CDD" w:rsidRPr="00DE096C" w:rsidRDefault="003F0CDD" w:rsidP="00D45A46">
      <w:pPr>
        <w:jc w:val="both"/>
        <w:rPr>
          <w:bCs/>
          <w:color w:val="002060"/>
          <w:sz w:val="16"/>
          <w:szCs w:val="16"/>
        </w:rPr>
      </w:pPr>
      <w:r w:rsidRPr="00DE096C">
        <w:rPr>
          <w:bCs/>
          <w:color w:val="002060"/>
          <w:sz w:val="16"/>
          <w:szCs w:val="16"/>
        </w:rPr>
        <w:t>Завод общества будет окончательно оборудован к 1 августу 1914 года, но чертежные и вычисли­тельные завода, а также небольшая временная мастерская функционируют уже с начала апреля, а потому Общество уже теперь принимает, как запросы касательно разработок различных приборов, так и заказы на изделия, входящие в область его производства (11869).</w:t>
      </w:r>
    </w:p>
    <w:p w14:paraId="1DFBD427" w14:textId="77777777" w:rsidR="003F0CDD" w:rsidRPr="00DE096C" w:rsidRDefault="003F0CDD" w:rsidP="00D45A46">
      <w:pPr>
        <w:jc w:val="both"/>
        <w:rPr>
          <w:bCs/>
          <w:color w:val="002060"/>
          <w:sz w:val="16"/>
          <w:szCs w:val="16"/>
        </w:rPr>
      </w:pPr>
    </w:p>
    <w:p w14:paraId="664E283B" w14:textId="77777777" w:rsidR="008B18C8" w:rsidRPr="00DE096C" w:rsidRDefault="008B18C8" w:rsidP="00D45A46">
      <w:pPr>
        <w:jc w:val="both"/>
        <w:rPr>
          <w:bCs/>
          <w:color w:val="002060"/>
          <w:sz w:val="16"/>
          <w:szCs w:val="16"/>
        </w:rPr>
      </w:pPr>
      <w:r w:rsidRPr="00DE096C">
        <w:rPr>
          <w:bCs/>
          <w:color w:val="002060"/>
          <w:sz w:val="16"/>
          <w:szCs w:val="16"/>
        </w:rPr>
        <w:t>К началу 1914 года на «Наваль» ОНЗиВ был построен и введен в эксплуатацию плавдок грузоподъёмностью 30000 тонн. Рассказывая о "Навале" стоит заметить, что для сборки подводных лодок Балтийским и Невским заводами были созданы Николаевские филиалы и были перестроены небольшие адмиралтейские эллинги для сборки на них подводных лодок, полностью изготавливавшихся на Петербургских предприятиях (12284).</w:t>
      </w:r>
    </w:p>
    <w:p w14:paraId="5F6A4A21" w14:textId="77777777" w:rsidR="008B18C8" w:rsidRPr="00DE096C" w:rsidRDefault="008B18C8" w:rsidP="00D45A46">
      <w:pPr>
        <w:jc w:val="both"/>
        <w:rPr>
          <w:bCs/>
          <w:color w:val="002060"/>
          <w:sz w:val="16"/>
          <w:szCs w:val="16"/>
        </w:rPr>
      </w:pPr>
    </w:p>
    <w:p w14:paraId="5BB8374A" w14:textId="37578DD3" w:rsidR="00DE096C" w:rsidRPr="00DE096C" w:rsidRDefault="00DE096C" w:rsidP="00DE096C">
      <w:pPr>
        <w:shd w:val="clear" w:color="auto" w:fill="FFFFFF"/>
        <w:jc w:val="both"/>
        <w:rPr>
          <w:bCs/>
          <w:i/>
          <w:color w:val="002060"/>
          <w:sz w:val="16"/>
          <w:szCs w:val="16"/>
        </w:rPr>
      </w:pPr>
      <w:r>
        <w:rPr>
          <w:bCs/>
          <w:i/>
          <w:color w:val="002060"/>
          <w:sz w:val="16"/>
          <w:szCs w:val="16"/>
        </w:rPr>
        <w:t>Авиация</w:t>
      </w:r>
      <w:r w:rsidRPr="00DE096C">
        <w:rPr>
          <w:bCs/>
          <w:i/>
          <w:color w:val="002060"/>
          <w:sz w:val="16"/>
          <w:szCs w:val="16"/>
        </w:rPr>
        <w:t>:</w:t>
      </w:r>
    </w:p>
    <w:p w14:paraId="452E05DF" w14:textId="77777777" w:rsidR="00DE096C" w:rsidRPr="00DE096C" w:rsidRDefault="00DE096C" w:rsidP="00DE096C">
      <w:pPr>
        <w:shd w:val="clear" w:color="auto" w:fill="FFFFFF"/>
        <w:jc w:val="both"/>
        <w:rPr>
          <w:bCs/>
          <w:i/>
          <w:color w:val="002060"/>
          <w:sz w:val="16"/>
          <w:szCs w:val="16"/>
        </w:rPr>
      </w:pPr>
    </w:p>
    <w:p w14:paraId="64FFEEF1" w14:textId="77777777" w:rsidR="00DE096C" w:rsidRPr="00B52707" w:rsidRDefault="00DE096C" w:rsidP="00DE096C">
      <w:pPr>
        <w:jc w:val="both"/>
        <w:rPr>
          <w:color w:val="0070C0"/>
          <w:sz w:val="16"/>
          <w:szCs w:val="16"/>
        </w:rPr>
      </w:pPr>
      <w:r w:rsidRPr="00B52707">
        <w:rPr>
          <w:color w:val="0070C0"/>
          <w:sz w:val="16"/>
          <w:szCs w:val="16"/>
        </w:rPr>
        <w:t>К началу 1914 г., то есть ко времени передачи техни</w:t>
      </w:r>
      <w:r w:rsidRPr="00B52707">
        <w:rPr>
          <w:color w:val="0070C0"/>
          <w:sz w:val="16"/>
          <w:szCs w:val="16"/>
        </w:rPr>
        <w:softHyphen/>
        <w:t>ческих и заготовительных вопросов военного воздухопла</w:t>
      </w:r>
      <w:r w:rsidRPr="00B52707">
        <w:rPr>
          <w:color w:val="0070C0"/>
          <w:sz w:val="16"/>
          <w:szCs w:val="16"/>
        </w:rPr>
        <w:softHyphen/>
        <w:t>вания из ГУГШ в ГВТУ, состояние авиационных частей в отношении снабжения их специальным имуществом было неудовлетворительно: количество аэропланов было недоста</w:t>
      </w:r>
      <w:r w:rsidRPr="00B52707">
        <w:rPr>
          <w:color w:val="0070C0"/>
          <w:sz w:val="16"/>
          <w:szCs w:val="16"/>
        </w:rPr>
        <w:softHyphen/>
        <w:t>точно, аппараты были поношены и притом устаревших си</w:t>
      </w:r>
      <w:r w:rsidRPr="00B52707">
        <w:rPr>
          <w:color w:val="0070C0"/>
          <w:sz w:val="16"/>
          <w:szCs w:val="16"/>
        </w:rPr>
        <w:softHyphen/>
        <w:t>стем; определенного, наиболее удовлетворяющего требова</w:t>
      </w:r>
      <w:r w:rsidRPr="00B52707">
        <w:rPr>
          <w:color w:val="0070C0"/>
          <w:sz w:val="16"/>
          <w:szCs w:val="16"/>
        </w:rPr>
        <w:softHyphen/>
        <w:t>ниям боевой службы, тина аэропланов установлено не было, вопросы о вооружении аэропланов (т. е. вопросы о снабже</w:t>
      </w:r>
      <w:r w:rsidRPr="00B52707">
        <w:rPr>
          <w:color w:val="0070C0"/>
          <w:sz w:val="16"/>
          <w:szCs w:val="16"/>
        </w:rPr>
        <w:softHyphen/>
        <w:t>нии ружьями, пулеметами, бомбами, метательными и зажи</w:t>
      </w:r>
      <w:r w:rsidRPr="00B52707">
        <w:rPr>
          <w:color w:val="0070C0"/>
          <w:sz w:val="16"/>
          <w:szCs w:val="16"/>
        </w:rPr>
        <w:softHyphen/>
        <w:t>гательными снарядами) разработаны не были.</w:t>
      </w:r>
    </w:p>
    <w:p w14:paraId="497E8238" w14:textId="77777777" w:rsidR="00DE096C" w:rsidRPr="00B52707" w:rsidRDefault="00DE096C" w:rsidP="00DE096C">
      <w:pPr>
        <w:jc w:val="both"/>
        <w:rPr>
          <w:color w:val="0070C0"/>
          <w:sz w:val="16"/>
          <w:szCs w:val="16"/>
        </w:rPr>
      </w:pPr>
      <w:r w:rsidRPr="00B52707">
        <w:rPr>
          <w:color w:val="0070C0"/>
          <w:sz w:val="16"/>
          <w:szCs w:val="16"/>
        </w:rPr>
        <w:t>Такое состояние снабжения авиационных частей обя</w:t>
      </w:r>
      <w:r w:rsidRPr="00B52707">
        <w:rPr>
          <w:color w:val="0070C0"/>
          <w:sz w:val="16"/>
          <w:szCs w:val="16"/>
        </w:rPr>
        <w:softHyphen/>
        <w:t>зывало ГВТУ принять самые энергичные меры к устранению перечисленных дефектов и, прежде всего, увеличить коли</w:t>
      </w:r>
      <w:r w:rsidRPr="00B52707">
        <w:rPr>
          <w:color w:val="0070C0"/>
          <w:sz w:val="16"/>
          <w:szCs w:val="16"/>
        </w:rPr>
        <w:softHyphen/>
        <w:t>чество аэропланов, определив предварительно, какие типы их наиболее удовлетворяют требованиям боевой службы (24923).</w:t>
      </w:r>
    </w:p>
    <w:p w14:paraId="1556830D" w14:textId="77777777" w:rsidR="00DE096C" w:rsidRPr="00B52707" w:rsidRDefault="00DE096C" w:rsidP="00DE096C">
      <w:pPr>
        <w:jc w:val="both"/>
        <w:rPr>
          <w:color w:val="0070C0"/>
          <w:sz w:val="16"/>
          <w:szCs w:val="16"/>
        </w:rPr>
      </w:pPr>
    </w:p>
    <w:p w14:paraId="72EEA5E8" w14:textId="77777777" w:rsidR="00C37234" w:rsidRPr="00DE096C" w:rsidRDefault="00C37234" w:rsidP="00D45A46">
      <w:pPr>
        <w:shd w:val="clear" w:color="auto" w:fill="FFFFFF"/>
        <w:jc w:val="both"/>
        <w:rPr>
          <w:bCs/>
          <w:i/>
          <w:color w:val="002060"/>
          <w:sz w:val="16"/>
          <w:szCs w:val="16"/>
        </w:rPr>
      </w:pPr>
      <w:r w:rsidRPr="00DE096C">
        <w:rPr>
          <w:bCs/>
          <w:i/>
          <w:color w:val="002060"/>
          <w:sz w:val="16"/>
          <w:szCs w:val="16"/>
        </w:rPr>
        <w:t>Жизнь и внутреняя политика:</w:t>
      </w:r>
    </w:p>
    <w:p w14:paraId="485FBB1B" w14:textId="77777777" w:rsidR="00C37234" w:rsidRPr="00DE096C" w:rsidRDefault="00C37234" w:rsidP="00D45A46">
      <w:pPr>
        <w:shd w:val="clear" w:color="auto" w:fill="FFFFFF"/>
        <w:jc w:val="both"/>
        <w:rPr>
          <w:bCs/>
          <w:i/>
          <w:color w:val="002060"/>
          <w:sz w:val="16"/>
          <w:szCs w:val="16"/>
        </w:rPr>
      </w:pPr>
    </w:p>
    <w:p w14:paraId="1B99CC68" w14:textId="77777777" w:rsidR="00C37234" w:rsidRPr="00DE096C" w:rsidRDefault="00C37234" w:rsidP="00D45A46">
      <w:pPr>
        <w:jc w:val="both"/>
        <w:rPr>
          <w:bCs/>
          <w:color w:val="002060"/>
          <w:sz w:val="16"/>
          <w:szCs w:val="16"/>
        </w:rPr>
      </w:pPr>
      <w:r w:rsidRPr="00DE096C">
        <w:rPr>
          <w:bCs/>
          <w:color w:val="002060"/>
          <w:sz w:val="16"/>
          <w:szCs w:val="16"/>
        </w:rPr>
        <w:t>На начало 1914 года свободная наличность государственного казначейства постоянно увеличивалась и составила 514,2 млн. руб. (Дьяченко В.П. Советские финансы в первой фазе развития социалистического государства. Ч. 1. - 1917—1925. М.: Госфиниздат, 1947. С. 18.). Правда, за внешним финансовым благополучием скрывалась довольно сложная проблема: в течение многих лет от одной трети до половины всех налоговых поступлений в бюджет составляли доходы от казенной продажи питей (винной монополии) и акцизы с них. Все налоги на потребление составляли в России 86 проц., а на доходы и богатства состоятельного населения лишь 6 проц. В крупнейших военных странах Европы соотношение этих величин было иным: в Англии — 45 и 44 проц., Франции — 63 и 23 проц., и только в Германии — 79 и 7 проц. (Кузовков Д.В. Основные моменты распада и восстановления денежной системы. М.: Изд-во коммунистической академии, 1925. С. 11.) соответственно. Показательно, что близкая по этим цифрам к России Германия не только проиграла войну, но, как и Россия, не избежала революции (11172).</w:t>
      </w:r>
    </w:p>
    <w:p w14:paraId="76438433" w14:textId="77777777" w:rsidR="00C37234" w:rsidRPr="00DE096C" w:rsidRDefault="00C37234" w:rsidP="00D45A46">
      <w:pPr>
        <w:jc w:val="both"/>
        <w:rPr>
          <w:bCs/>
          <w:color w:val="002060"/>
          <w:sz w:val="16"/>
          <w:szCs w:val="16"/>
        </w:rPr>
      </w:pPr>
    </w:p>
    <w:p w14:paraId="504AF724" w14:textId="77777777" w:rsidR="009121A9" w:rsidRPr="00DE096C" w:rsidRDefault="009121A9" w:rsidP="00D45A46">
      <w:pPr>
        <w:shd w:val="clear" w:color="auto" w:fill="FFFFFF"/>
        <w:jc w:val="both"/>
        <w:rPr>
          <w:bCs/>
          <w:i/>
          <w:color w:val="002060"/>
          <w:sz w:val="16"/>
          <w:szCs w:val="16"/>
        </w:rPr>
      </w:pPr>
      <w:r w:rsidRPr="00DE096C">
        <w:rPr>
          <w:bCs/>
          <w:i/>
          <w:color w:val="002060"/>
          <w:sz w:val="16"/>
          <w:szCs w:val="16"/>
        </w:rPr>
        <w:t>Авиация и воздухоплавание Германии:</w:t>
      </w:r>
    </w:p>
    <w:p w14:paraId="66F81078" w14:textId="77777777" w:rsidR="009121A9" w:rsidRPr="00DE096C" w:rsidRDefault="009121A9" w:rsidP="00D45A46">
      <w:pPr>
        <w:shd w:val="clear" w:color="auto" w:fill="FFFFFF"/>
        <w:jc w:val="both"/>
        <w:rPr>
          <w:bCs/>
          <w:i/>
          <w:color w:val="002060"/>
          <w:sz w:val="16"/>
          <w:szCs w:val="16"/>
        </w:rPr>
      </w:pPr>
    </w:p>
    <w:p w14:paraId="559CB71D" w14:textId="77777777" w:rsidR="009121A9" w:rsidRPr="00DE096C" w:rsidRDefault="009121A9" w:rsidP="00D45A46">
      <w:pPr>
        <w:shd w:val="clear" w:color="auto" w:fill="FFFFFF"/>
        <w:jc w:val="both"/>
        <w:rPr>
          <w:bCs/>
          <w:color w:val="002060"/>
          <w:sz w:val="16"/>
          <w:szCs w:val="16"/>
        </w:rPr>
      </w:pPr>
      <w:r w:rsidRPr="00DE096C">
        <w:rPr>
          <w:bCs/>
          <w:color w:val="002060"/>
          <w:sz w:val="16"/>
          <w:szCs w:val="16"/>
        </w:rPr>
        <w:t>К началу 1914 на на заводе фирмы «Альбатрос» в г. Йоханништале под Берлином в серию для Воздушных войск Германии был запущен двухместный разведчик DD 1 (Doppeldecker 1), спроектированный Грохманом, который стал главным конструктором завода в 1913 г. и Эрнст Хейнкельна, под обозначением Альбатрос L 1. Как обычно было в то время, по ходу производства в конструкцию вносились многочисленные изменения, делалось это совершенно хаотично и без отражения в наименовании — о, этот немецкий порядок, ничего понять нельзя! На серийные Альбатросы L 1 ставили моторы «Мерседес» в 75, 100, 105 или 120 л. с. по наличию, они существенно отличались размерами и конструкцией агрегатов, отдельные экземпляры строились в трехместном варианте по спецзаказу. Большинство были трехстоечными бипланами, но некоторые в конце выпуска имели на каждой половине консольных частей бипланной коробки только по две парные стойки, т. е. были бипланами двухстоечными. Альбатрос L 1 имел хорошие летные качества, а в 1914 г. на такой машине был установлен рекорд высоты полета — 4 500 м. Их купила Голландия, шли переговоры о поставках Турции, а также ее недавнему противнику Болгарии (22732).</w:t>
      </w:r>
    </w:p>
    <w:p w14:paraId="7829C679" w14:textId="77777777" w:rsidR="009121A9" w:rsidRPr="00DE096C" w:rsidRDefault="009121A9" w:rsidP="00D45A46">
      <w:pPr>
        <w:shd w:val="clear" w:color="auto" w:fill="FFFFFF"/>
        <w:jc w:val="both"/>
        <w:rPr>
          <w:bCs/>
          <w:color w:val="002060"/>
          <w:sz w:val="16"/>
          <w:szCs w:val="16"/>
        </w:rPr>
      </w:pPr>
    </w:p>
    <w:p w14:paraId="36B75FF6" w14:textId="77777777" w:rsidR="00DE096C" w:rsidRPr="00B52707" w:rsidRDefault="00DE096C" w:rsidP="00DE096C">
      <w:pPr>
        <w:jc w:val="both"/>
        <w:rPr>
          <w:color w:val="0070C0"/>
          <w:sz w:val="16"/>
          <w:szCs w:val="16"/>
        </w:rPr>
      </w:pPr>
      <w:r w:rsidRPr="00B52707">
        <w:rPr>
          <w:color w:val="0070C0"/>
          <w:sz w:val="16"/>
          <w:szCs w:val="16"/>
        </w:rPr>
        <w:t>На рубеже 1914 г. под обозначением Альбатрос L 1 в Германии в серию для Воздушных войск Германии запустили DD 1. Как обычно в то время, по ходу производства в конструкцию вносились многочисленные изменения, делалось это совершенно хаотично и без отражения в наименовании – ох уж этот немецкий порядок, в котором ничего понять нельзя! На серийные Альбатросы L 1 ставили моторы выпуска завода «Мерседес» в 75, 100, 105 или 120 л.с. по наличию, они существенно отличались размерами и конструкцией агрегатов, отдельные экземпляры строились в трехместном варианте по спецзаказу. Большинство сделали трехстоечными бипланами, но некоторые в конце выпуска имели на каждой половине консольных частей коробки крыльев только по две парные стойки, т.е. являлись бипланами двухстоечными.</w:t>
      </w:r>
    </w:p>
    <w:p w14:paraId="33E93FC1" w14:textId="77777777" w:rsidR="00DE096C" w:rsidRPr="00B52707" w:rsidRDefault="00DE096C" w:rsidP="00DE096C">
      <w:pPr>
        <w:jc w:val="both"/>
        <w:rPr>
          <w:color w:val="0070C0"/>
          <w:sz w:val="16"/>
          <w:szCs w:val="16"/>
        </w:rPr>
      </w:pPr>
      <w:r w:rsidRPr="00B52707">
        <w:rPr>
          <w:color w:val="0070C0"/>
          <w:sz w:val="16"/>
          <w:szCs w:val="16"/>
        </w:rPr>
        <w:t>Альбатрос L 1 имел хорошие летные качества, а в 1914 г. на такой машине установили рекорд высоты полета – 4500 м. Значительное их число дали союзнице Австро-Венгрии, несколько штук купила Голландия, шли переговоры о поставках Турции, а также ее недавнему противнику Болгарии (25724).</w:t>
      </w:r>
    </w:p>
    <w:p w14:paraId="163F8B5C" w14:textId="77777777" w:rsidR="00DE096C" w:rsidRPr="00B52707" w:rsidRDefault="00DE096C" w:rsidP="00DE096C">
      <w:pPr>
        <w:jc w:val="both"/>
        <w:rPr>
          <w:color w:val="0070C0"/>
          <w:sz w:val="16"/>
          <w:szCs w:val="16"/>
        </w:rPr>
      </w:pPr>
    </w:p>
    <w:p w14:paraId="338EADB2" w14:textId="3727A68B" w:rsidR="00DE096C" w:rsidRPr="00DE096C" w:rsidRDefault="00DE096C" w:rsidP="00DE096C">
      <w:pPr>
        <w:shd w:val="clear" w:color="auto" w:fill="FFFFFF"/>
        <w:jc w:val="both"/>
        <w:rPr>
          <w:bCs/>
          <w:i/>
          <w:color w:val="002060"/>
          <w:sz w:val="16"/>
          <w:szCs w:val="16"/>
        </w:rPr>
      </w:pPr>
      <w:r w:rsidRPr="00DE096C">
        <w:rPr>
          <w:bCs/>
          <w:i/>
          <w:color w:val="002060"/>
          <w:sz w:val="16"/>
          <w:szCs w:val="16"/>
        </w:rPr>
        <w:t xml:space="preserve">Авиация и воздухоплавание </w:t>
      </w:r>
      <w:r>
        <w:rPr>
          <w:bCs/>
          <w:i/>
          <w:color w:val="002060"/>
          <w:sz w:val="16"/>
          <w:szCs w:val="16"/>
        </w:rPr>
        <w:t>Франции</w:t>
      </w:r>
      <w:r w:rsidRPr="00DE096C">
        <w:rPr>
          <w:bCs/>
          <w:i/>
          <w:color w:val="002060"/>
          <w:sz w:val="16"/>
          <w:szCs w:val="16"/>
        </w:rPr>
        <w:t>:</w:t>
      </w:r>
    </w:p>
    <w:p w14:paraId="03AA5CE2" w14:textId="77777777" w:rsidR="00DE096C" w:rsidRPr="00DE096C" w:rsidRDefault="00DE096C" w:rsidP="00DE096C">
      <w:pPr>
        <w:shd w:val="clear" w:color="auto" w:fill="FFFFFF"/>
        <w:jc w:val="both"/>
        <w:rPr>
          <w:bCs/>
          <w:i/>
          <w:color w:val="002060"/>
          <w:sz w:val="16"/>
          <w:szCs w:val="16"/>
        </w:rPr>
      </w:pPr>
    </w:p>
    <w:p w14:paraId="199CF0B6" w14:textId="77777777" w:rsidR="00DE096C" w:rsidRPr="00B52707" w:rsidRDefault="00DE096C" w:rsidP="00DE096C">
      <w:pPr>
        <w:jc w:val="both"/>
        <w:rPr>
          <w:color w:val="0070C0"/>
          <w:sz w:val="16"/>
          <w:szCs w:val="16"/>
        </w:rPr>
      </w:pPr>
      <w:r w:rsidRPr="00B52707">
        <w:rPr>
          <w:color w:val="0070C0"/>
          <w:sz w:val="16"/>
          <w:szCs w:val="16"/>
        </w:rPr>
        <w:t>К 1914 г. к уставным задачам армейской авиации Франции добавили наблюдение непосредственно за полем боя (разведка предполагала проникновение в тыл противника) и корректировку артогня. Эти действия планировалось вести на направлениях главных операций армии, и возникали резонные вопросы: что может предпринять неприятель, чтобы помешать французской авиации действовать над линией фронта (а это представлялось более чем вероятно), и что надо делать своим авиаторам при появлении в том же районе воздушного противника? Командование на это пока не отвечало ничего.</w:t>
      </w:r>
    </w:p>
    <w:p w14:paraId="34CB4398" w14:textId="77777777" w:rsidR="00DE096C" w:rsidRPr="00B52707" w:rsidRDefault="00DE096C" w:rsidP="00DE096C">
      <w:pPr>
        <w:jc w:val="both"/>
        <w:rPr>
          <w:color w:val="0070C0"/>
          <w:sz w:val="16"/>
          <w:szCs w:val="16"/>
        </w:rPr>
      </w:pPr>
      <w:r w:rsidRPr="00B52707">
        <w:rPr>
          <w:color w:val="0070C0"/>
          <w:sz w:val="16"/>
          <w:szCs w:val="16"/>
        </w:rPr>
        <w:t>Оно не интересовалось задачей борьбы в воздухе, тем не менее, этот вопрос живо обсуждался и многие офицеры французской военной авиации, как и их русские коллеги, утверждали, что воздушные схватки аэропланов неизбежны и готовиться к этому надо загодя. Они на свой страх и риск экспериментировали с использованием автоматических или хотя бы самозарядных пистолетов и карабинов, а также пулеметов. Их всячески поддерживали производители аэропланов. Дело оставалось за командованием военной авиации и за Военным министерством, которые должны такое вооружение узаконить и обеспечить его поставку в лётные части. Причем, в отличие от России, во Франции нехватка такого оружия не ощущалась – его производилось достаточно (25650).</w:t>
      </w:r>
    </w:p>
    <w:p w14:paraId="74ECF103" w14:textId="77777777" w:rsidR="00DE096C" w:rsidRPr="00B52707" w:rsidRDefault="00DE096C" w:rsidP="00DE096C">
      <w:pPr>
        <w:jc w:val="both"/>
        <w:rPr>
          <w:color w:val="0070C0"/>
          <w:sz w:val="16"/>
          <w:szCs w:val="16"/>
        </w:rPr>
      </w:pPr>
    </w:p>
    <w:p w14:paraId="69881D3F" w14:textId="10080A07" w:rsidR="009121A9" w:rsidRPr="00DE096C" w:rsidRDefault="009121A9" w:rsidP="00D45A46">
      <w:pPr>
        <w:jc w:val="both"/>
        <w:rPr>
          <w:bCs/>
          <w:i/>
          <w:iCs/>
          <w:color w:val="002060"/>
          <w:sz w:val="16"/>
          <w:szCs w:val="16"/>
        </w:rPr>
      </w:pPr>
      <w:r w:rsidRPr="00DE096C">
        <w:rPr>
          <w:bCs/>
          <w:i/>
          <w:iCs/>
          <w:color w:val="002060"/>
          <w:sz w:val="16"/>
          <w:szCs w:val="16"/>
        </w:rPr>
        <w:t>Самолетостроение:</w:t>
      </w:r>
    </w:p>
    <w:p w14:paraId="3E938C16" w14:textId="77777777" w:rsidR="009121A9" w:rsidRPr="00DE096C" w:rsidRDefault="009121A9" w:rsidP="00D45A46">
      <w:pPr>
        <w:jc w:val="both"/>
        <w:rPr>
          <w:bCs/>
          <w:i/>
          <w:iCs/>
          <w:color w:val="002060"/>
          <w:sz w:val="16"/>
          <w:szCs w:val="16"/>
        </w:rPr>
      </w:pPr>
    </w:p>
    <w:p w14:paraId="63BE3E85" w14:textId="77777777" w:rsidR="009121A9" w:rsidRPr="00DE096C" w:rsidRDefault="009121A9" w:rsidP="00D45A46">
      <w:pPr>
        <w:shd w:val="clear" w:color="auto" w:fill="FFFFFF"/>
        <w:jc w:val="both"/>
        <w:rPr>
          <w:bCs/>
          <w:color w:val="002060"/>
          <w:sz w:val="16"/>
          <w:szCs w:val="16"/>
        </w:rPr>
      </w:pPr>
      <w:r w:rsidRPr="00DE096C">
        <w:rPr>
          <w:bCs/>
          <w:color w:val="002060"/>
          <w:sz w:val="16"/>
          <w:szCs w:val="16"/>
        </w:rPr>
        <w:lastRenderedPageBreak/>
        <w:t>1 (14) января 1914 г. на основе повышенных требований к самолету предъявленных МГШ, между РБВЗ и командиром Петербургского порта состоялось давно планировавшееся под</w:t>
      </w:r>
      <w:r w:rsidRPr="00DE096C">
        <w:rPr>
          <w:bCs/>
          <w:color w:val="002060"/>
          <w:sz w:val="16"/>
          <w:szCs w:val="16"/>
        </w:rPr>
        <w:softHyphen/>
        <w:t>писание соглашения касательно аппарата с заводским номером 107. По договору машину над</w:t>
      </w:r>
      <w:r w:rsidRPr="00DE096C">
        <w:rPr>
          <w:bCs/>
          <w:color w:val="002060"/>
          <w:sz w:val="16"/>
          <w:szCs w:val="16"/>
        </w:rPr>
        <w:softHyphen/>
        <w:t>лежало превратить в поплавковую, а затем доставить в Либаву не позднее 25 февраля; там она была бы испытана пилотом Р-БВЗ при нахождении в воздухе в течение 2,5 часов или более. Во время этого полета с полезной нагрузкой минимум 1500 кг самолету предстояло под</w:t>
      </w:r>
      <w:r w:rsidRPr="00DE096C">
        <w:rPr>
          <w:bCs/>
          <w:color w:val="002060"/>
          <w:sz w:val="16"/>
          <w:szCs w:val="16"/>
        </w:rPr>
        <w:softHyphen/>
        <w:t>няться до высоты 800 м, после чего два мотора одного борта останавливались для проверки способности аппарата продолжать безопасное движение и при таких обстоятельствах. С тем же грузом гидроаэроплан должен был пройти по воде не менее 10 км, а потом взлететь без помощи извне. В состав специального бортового оборудования включались альтиметр, компас, сухие батареи для питания системы освещения приборов и набор инструментов. Цена аппарата сла</w:t>
      </w:r>
      <w:r w:rsidRPr="00DE096C">
        <w:rPr>
          <w:bCs/>
          <w:color w:val="002060"/>
          <w:sz w:val="16"/>
          <w:szCs w:val="16"/>
        </w:rPr>
        <w:softHyphen/>
        <w:t>галась из сумм в 25,000 рублей за каждые 100 л.с. моторной мощности, но одновременно она могла снижаться на 10,000 рублей за каждые недоданные 150 кг полезной нагрузки, причем "Илья Муромец"вообще не подлежал приемке при полезной нагрузке менее 1000 кг. Контракт являлся условным, т.е. оплачивался по выполнении (2843).</w:t>
      </w:r>
    </w:p>
    <w:p w14:paraId="147168E8" w14:textId="77777777" w:rsidR="009121A9" w:rsidRPr="00DE096C" w:rsidRDefault="009121A9" w:rsidP="00D45A46">
      <w:pPr>
        <w:shd w:val="clear" w:color="auto" w:fill="FFFFFF"/>
        <w:jc w:val="both"/>
        <w:rPr>
          <w:bCs/>
          <w:color w:val="002060"/>
          <w:sz w:val="16"/>
          <w:szCs w:val="16"/>
        </w:rPr>
      </w:pPr>
    </w:p>
    <w:p w14:paraId="34B74903" w14:textId="63BB8D65" w:rsidR="0036357B" w:rsidRPr="00DE096C" w:rsidRDefault="0036357B" w:rsidP="00D45A46">
      <w:pPr>
        <w:jc w:val="both"/>
        <w:rPr>
          <w:bCs/>
          <w:color w:val="002060"/>
          <w:sz w:val="16"/>
          <w:szCs w:val="16"/>
        </w:rPr>
      </w:pPr>
      <w:r w:rsidRPr="00DE096C">
        <w:rPr>
          <w:bCs/>
          <w:color w:val="002060"/>
          <w:sz w:val="16"/>
          <w:szCs w:val="16"/>
        </w:rPr>
        <w:t xml:space="preserve">1 (14) января 1914 года Морской Генеральный штаб потребовал увеличения полезной нагрузки до полутора тонн, на что завод дал согласие, и с РБВЗ был заключен контракт. </w:t>
      </w:r>
    </w:p>
    <w:p w14:paraId="7678CACF" w14:textId="77777777" w:rsidR="0036357B" w:rsidRPr="00DE096C" w:rsidRDefault="0036357B" w:rsidP="00D45A46">
      <w:pPr>
        <w:jc w:val="both"/>
        <w:rPr>
          <w:bCs/>
          <w:color w:val="002060"/>
          <w:sz w:val="16"/>
          <w:szCs w:val="16"/>
        </w:rPr>
      </w:pPr>
      <w:r w:rsidRPr="00DE096C">
        <w:rPr>
          <w:bCs/>
          <w:color w:val="002060"/>
          <w:sz w:val="16"/>
          <w:szCs w:val="16"/>
        </w:rPr>
        <w:t xml:space="preserve">По контракту РБВЗ обязался к 25 февраля 1914 года доставить в Либаву «Илью Муромца» для сдаточных испытаний. Но из-за неготовности в Либаве ангара доставку отложили на 20 марта, но и этот срок был сорван из-за показа 25 марта самолета в полете царю, а позже и румынскому принцу. Гидросамолетом «Илья Муромец» [44] заинтересовались англичане, и 14 апреля министр иностранных дел обратился к морскому министру с просьбой оказать содействие в ознакомлении с самолетом специально командированным лицам. Морской министр предпочел отказать в истинно «английском духе». Он ответил, что «поскольку самолет поступит в распоряжение морского ведомства не ранее июля и поскольку самолет представляет привилегию завода, то осмотр его до этого времени невозможен». </w:t>
      </w:r>
    </w:p>
    <w:p w14:paraId="1309556C" w14:textId="77777777" w:rsidR="0036357B" w:rsidRPr="00DE096C" w:rsidRDefault="0036357B" w:rsidP="00D45A46">
      <w:pPr>
        <w:jc w:val="both"/>
        <w:rPr>
          <w:bCs/>
          <w:color w:val="002060"/>
          <w:sz w:val="16"/>
          <w:szCs w:val="16"/>
        </w:rPr>
      </w:pPr>
      <w:r w:rsidRPr="00DE096C">
        <w:rPr>
          <w:bCs/>
          <w:color w:val="002060"/>
          <w:sz w:val="16"/>
          <w:szCs w:val="16"/>
        </w:rPr>
        <w:t xml:space="preserve">Ввиду того, что многомоторные самолеты Сикорского были еще недостаточно испытаны на суше, а также того, что монополизация строительства их могла невыгодно отразиться на дальнейшем развитии самолетостроения, морское ведомство решило путем объявления конкурса привлечь к разработке проектов больших гидросамолетов не только заводы, но и отдельных лиц. Условия конкурса были следующими: </w:t>
      </w:r>
    </w:p>
    <w:p w14:paraId="681ECB33" w14:textId="77777777" w:rsidR="0036357B" w:rsidRPr="00DE096C" w:rsidRDefault="0036357B" w:rsidP="00D45A46">
      <w:pPr>
        <w:pStyle w:val="Blockquote"/>
        <w:spacing w:before="0" w:after="0"/>
        <w:ind w:left="0" w:right="0"/>
        <w:jc w:val="both"/>
        <w:rPr>
          <w:bCs/>
          <w:color w:val="002060"/>
          <w:sz w:val="16"/>
          <w:szCs w:val="16"/>
        </w:rPr>
      </w:pPr>
      <w:r w:rsidRPr="00DE096C">
        <w:rPr>
          <w:bCs/>
          <w:color w:val="002060"/>
          <w:sz w:val="16"/>
          <w:szCs w:val="16"/>
        </w:rPr>
        <w:t xml:space="preserve">«1. Самолет должен иметь: скорость не менее 100 км/ч, дальность действия 1000 км, полезную нагрузку сверх экипажа и топлива не менее 150 кг, не менее двух моторов, с доступом к ним в полете и пуском без посторонней помощи, двойное управление и места для двух пилотов, двух наблюдателей и механика, установки для пулеметов, рации, прожектора и бомб. </w:t>
      </w:r>
    </w:p>
    <w:p w14:paraId="006661DC" w14:textId="77777777" w:rsidR="0036357B" w:rsidRPr="00DE096C" w:rsidRDefault="0036357B" w:rsidP="00D45A46">
      <w:pPr>
        <w:pStyle w:val="Blockquote"/>
        <w:spacing w:before="0" w:after="0"/>
        <w:ind w:left="0" w:right="0"/>
        <w:jc w:val="both"/>
        <w:rPr>
          <w:bCs/>
          <w:color w:val="002060"/>
          <w:sz w:val="16"/>
          <w:szCs w:val="16"/>
        </w:rPr>
      </w:pPr>
      <w:r w:rsidRPr="00DE096C">
        <w:rPr>
          <w:bCs/>
          <w:color w:val="002060"/>
          <w:sz w:val="16"/>
          <w:szCs w:val="16"/>
        </w:rPr>
        <w:t xml:space="preserve">2. Самолет должен быть мореходен, остойчив, непотопляем и выполнять горизонтальный полет на 2/3 мощности (моторов). </w:t>
      </w:r>
    </w:p>
    <w:p w14:paraId="72C4F1D6" w14:textId="77777777" w:rsidR="0036357B" w:rsidRPr="00DE096C" w:rsidRDefault="0036357B" w:rsidP="00D45A46">
      <w:pPr>
        <w:pStyle w:val="Blockquote"/>
        <w:spacing w:before="0" w:after="0"/>
        <w:ind w:left="0" w:right="0"/>
        <w:jc w:val="both"/>
        <w:rPr>
          <w:bCs/>
          <w:color w:val="002060"/>
          <w:sz w:val="16"/>
          <w:szCs w:val="16"/>
        </w:rPr>
      </w:pPr>
      <w:r w:rsidRPr="00DE096C">
        <w:rPr>
          <w:bCs/>
          <w:color w:val="002060"/>
          <w:sz w:val="16"/>
          <w:szCs w:val="16"/>
        </w:rPr>
        <w:t xml:space="preserve">3. Должны быть представлены все расчеты, чертежи, ясное описание и смета стоимости самолета. </w:t>
      </w:r>
    </w:p>
    <w:p w14:paraId="087E9270" w14:textId="77777777" w:rsidR="0036357B" w:rsidRPr="00DE096C" w:rsidRDefault="0036357B" w:rsidP="00D45A46">
      <w:pPr>
        <w:pStyle w:val="Blockquote"/>
        <w:spacing w:before="0" w:after="0"/>
        <w:ind w:left="0" w:right="0"/>
        <w:jc w:val="both"/>
        <w:rPr>
          <w:bCs/>
          <w:color w:val="002060"/>
          <w:sz w:val="16"/>
          <w:szCs w:val="16"/>
        </w:rPr>
      </w:pPr>
      <w:r w:rsidRPr="00DE096C">
        <w:rPr>
          <w:bCs/>
          <w:color w:val="002060"/>
          <w:sz w:val="16"/>
          <w:szCs w:val="16"/>
        </w:rPr>
        <w:t xml:space="preserve">4. Срок представления проектов — 1 мая 1914 года. </w:t>
      </w:r>
    </w:p>
    <w:p w14:paraId="7AC47F91" w14:textId="77777777" w:rsidR="0036357B" w:rsidRPr="00DE096C" w:rsidRDefault="0036357B" w:rsidP="00D45A46">
      <w:pPr>
        <w:pStyle w:val="Blockquote"/>
        <w:spacing w:before="0" w:after="0"/>
        <w:ind w:left="0" w:right="0"/>
        <w:jc w:val="both"/>
        <w:rPr>
          <w:bCs/>
          <w:color w:val="002060"/>
          <w:sz w:val="16"/>
          <w:szCs w:val="16"/>
        </w:rPr>
      </w:pPr>
      <w:r w:rsidRPr="00DE096C">
        <w:rPr>
          <w:bCs/>
          <w:color w:val="002060"/>
          <w:sz w:val="16"/>
          <w:szCs w:val="16"/>
        </w:rPr>
        <w:t xml:space="preserve">5. Устанавливаются премии: 1-я — 3000 руб., 2-я — 2000 руб., 3-я — 1000 руб. В случае принятия проекта в постройку автору выплачивается по 5000 рублей за каждый построенный самолет. </w:t>
      </w:r>
    </w:p>
    <w:p w14:paraId="5F5ED64F" w14:textId="77777777" w:rsidR="0036357B" w:rsidRPr="00DE096C" w:rsidRDefault="0036357B" w:rsidP="00D45A46">
      <w:pPr>
        <w:pStyle w:val="Blockquote"/>
        <w:spacing w:before="0" w:after="0"/>
        <w:ind w:left="0" w:right="0"/>
        <w:jc w:val="both"/>
        <w:rPr>
          <w:bCs/>
          <w:color w:val="002060"/>
          <w:sz w:val="16"/>
          <w:szCs w:val="16"/>
        </w:rPr>
      </w:pPr>
      <w:r w:rsidRPr="00DE096C">
        <w:rPr>
          <w:bCs/>
          <w:color w:val="002060"/>
          <w:sz w:val="16"/>
          <w:szCs w:val="16"/>
        </w:rPr>
        <w:t>6. Проекты рассматриваются особой комиссией Морского Генерального штаба».</w:t>
      </w:r>
    </w:p>
    <w:p w14:paraId="54507F9F" w14:textId="77777777" w:rsidR="0036357B" w:rsidRPr="00DE096C" w:rsidRDefault="0036357B" w:rsidP="00D45A46">
      <w:pPr>
        <w:jc w:val="both"/>
        <w:rPr>
          <w:bCs/>
          <w:color w:val="002060"/>
          <w:sz w:val="16"/>
          <w:szCs w:val="16"/>
        </w:rPr>
      </w:pPr>
      <w:r w:rsidRPr="00DE096C">
        <w:rPr>
          <w:bCs/>
          <w:color w:val="002060"/>
          <w:sz w:val="16"/>
          <w:szCs w:val="16"/>
        </w:rPr>
        <w:t xml:space="preserve">16 (27) апреля 1914 для выработки технических заданий на гидросамолеты, предназначенные для действий на Балтике, собрался авиационный комитет службы связи Балтийского моря в составе капитана 2 ранга Б. П. Дудорова, летчиков Б. А. Щербачева, В. Е. Зверева, И. И. Кульнева, В. Л. Любицкого, В. А. Литвинова и авиационного инженера П. А. Шишкова. </w:t>
      </w:r>
    </w:p>
    <w:p w14:paraId="2F3CD852" w14:textId="77777777" w:rsidR="0036357B" w:rsidRPr="00DE096C" w:rsidRDefault="0036357B" w:rsidP="00D45A46">
      <w:pPr>
        <w:jc w:val="both"/>
        <w:rPr>
          <w:bCs/>
          <w:color w:val="002060"/>
          <w:sz w:val="16"/>
          <w:szCs w:val="16"/>
        </w:rPr>
      </w:pPr>
      <w:r w:rsidRPr="00DE096C">
        <w:rPr>
          <w:bCs/>
          <w:color w:val="002060"/>
          <w:sz w:val="16"/>
          <w:szCs w:val="16"/>
        </w:rPr>
        <w:t xml:space="preserve">Оперативными задачами морской авиации Балтики комитет считал следующие: </w:t>
      </w:r>
    </w:p>
    <w:p w14:paraId="4C43884C" w14:textId="77777777" w:rsidR="0036357B" w:rsidRPr="00DE096C" w:rsidRDefault="0036357B" w:rsidP="00D45A46">
      <w:pPr>
        <w:jc w:val="both"/>
        <w:rPr>
          <w:bCs/>
          <w:color w:val="002060"/>
          <w:sz w:val="16"/>
          <w:szCs w:val="16"/>
        </w:rPr>
      </w:pPr>
      <w:r w:rsidRPr="00DE096C">
        <w:rPr>
          <w:bCs/>
          <w:color w:val="002060"/>
          <w:sz w:val="16"/>
          <w:szCs w:val="16"/>
        </w:rPr>
        <w:t>— разведку неприятельского флота в пунктах его сосредоточения в Киле и Данциге или на маршрутах перехода неприятельских кораблей в Финский залив;</w:t>
      </w:r>
    </w:p>
    <w:p w14:paraId="55D0A286" w14:textId="77777777" w:rsidR="0036357B" w:rsidRPr="00DE096C" w:rsidRDefault="0036357B" w:rsidP="00D45A46">
      <w:pPr>
        <w:jc w:val="both"/>
        <w:rPr>
          <w:bCs/>
          <w:color w:val="002060"/>
          <w:sz w:val="16"/>
          <w:szCs w:val="16"/>
        </w:rPr>
      </w:pPr>
      <w:r w:rsidRPr="00DE096C">
        <w:rPr>
          <w:bCs/>
          <w:color w:val="002060"/>
          <w:sz w:val="16"/>
          <w:szCs w:val="16"/>
        </w:rPr>
        <w:t xml:space="preserve">— борьбу с воздушными разведчиками противника, главным образом с дирижаблями. </w:t>
      </w:r>
    </w:p>
    <w:p w14:paraId="3FF7E37E" w14:textId="77777777" w:rsidR="0036357B" w:rsidRPr="00DE096C" w:rsidRDefault="0036357B" w:rsidP="00D45A46">
      <w:pPr>
        <w:jc w:val="both"/>
        <w:rPr>
          <w:bCs/>
          <w:color w:val="002060"/>
          <w:sz w:val="16"/>
          <w:szCs w:val="16"/>
        </w:rPr>
      </w:pPr>
      <w:r w:rsidRPr="00DE096C">
        <w:rPr>
          <w:bCs/>
          <w:color w:val="002060"/>
          <w:sz w:val="16"/>
          <w:szCs w:val="16"/>
        </w:rPr>
        <w:t xml:space="preserve">Наилучший результат для решения первой задачи могло дать наблюдение за входом в Балтийское море или у Борнхольма, или по параллели от Либавы до берегов Швеции. Для этого требовались гидросамолеты с радиусом действия не менее 800 км. При невозможности вести разведку столь далеко комитет допускал ограничить разведку от Либавы до Готланда, для чего были нужны машины с радиусом действия не менее 400 км. Для решения второй задачи комитет считал, что нужны самолеты с радиусом действия не менее 250 км и с пулеметом впереди. </w:t>
      </w:r>
    </w:p>
    <w:p w14:paraId="23DF396F" w14:textId="77777777" w:rsidR="0036357B" w:rsidRPr="00DE096C" w:rsidRDefault="0036357B" w:rsidP="00D45A46">
      <w:pPr>
        <w:jc w:val="both"/>
        <w:rPr>
          <w:bCs/>
          <w:color w:val="002060"/>
          <w:sz w:val="16"/>
          <w:szCs w:val="16"/>
        </w:rPr>
      </w:pPr>
      <w:r w:rsidRPr="00DE096C">
        <w:rPr>
          <w:bCs/>
          <w:color w:val="002060"/>
          <w:sz w:val="16"/>
          <w:szCs w:val="16"/>
        </w:rPr>
        <w:t xml:space="preserve">Комитет также считал, что одиночная разведка в море может выполняться только на двухмоторном самолете, а бомбометание по судам противника при современном состоянии техники бомбардировочной авиации — задача второстепенная. </w:t>
      </w:r>
    </w:p>
    <w:p w14:paraId="45AB16F0" w14:textId="77777777" w:rsidR="0036357B" w:rsidRPr="00DE096C" w:rsidRDefault="0036357B" w:rsidP="00D45A46">
      <w:pPr>
        <w:jc w:val="both"/>
        <w:rPr>
          <w:bCs/>
          <w:color w:val="002060"/>
          <w:sz w:val="16"/>
          <w:szCs w:val="16"/>
        </w:rPr>
      </w:pPr>
      <w:r w:rsidRPr="00DE096C">
        <w:rPr>
          <w:bCs/>
          <w:color w:val="002060"/>
          <w:sz w:val="16"/>
          <w:szCs w:val="16"/>
        </w:rPr>
        <w:t xml:space="preserve">Комитет разработал тактико-технические данные гидросамолетов для Балтийского театра. Эти данные и явились исходными для условий конкурса. </w:t>
      </w:r>
    </w:p>
    <w:tbl>
      <w:tblPr>
        <w:tblW w:w="0" w:type="auto"/>
        <w:tblInd w:w="4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5" w:type="dxa"/>
          <w:right w:w="45" w:type="dxa"/>
        </w:tblCellMar>
        <w:tblLook w:val="0000" w:firstRow="0" w:lastRow="0" w:firstColumn="0" w:lastColumn="0" w:noHBand="0" w:noVBand="0"/>
      </w:tblPr>
      <w:tblGrid>
        <w:gridCol w:w="3725"/>
        <w:gridCol w:w="1959"/>
        <w:gridCol w:w="1959"/>
        <w:gridCol w:w="1714"/>
      </w:tblGrid>
      <w:tr w:rsidR="0036357B" w:rsidRPr="00DE096C" w14:paraId="6C365A73" w14:textId="77777777" w:rsidTr="00D34AC1">
        <w:tc>
          <w:tcPr>
            <w:tcW w:w="3725" w:type="dxa"/>
          </w:tcPr>
          <w:p w14:paraId="4F9BD731" w14:textId="77777777" w:rsidR="0036357B" w:rsidRPr="00DE096C" w:rsidRDefault="0036357B" w:rsidP="00D45A46">
            <w:pPr>
              <w:jc w:val="both"/>
              <w:rPr>
                <w:bCs/>
                <w:color w:val="002060"/>
                <w:sz w:val="16"/>
                <w:szCs w:val="16"/>
              </w:rPr>
            </w:pPr>
          </w:p>
        </w:tc>
        <w:tc>
          <w:tcPr>
            <w:tcW w:w="5632" w:type="dxa"/>
            <w:gridSpan w:val="3"/>
          </w:tcPr>
          <w:p w14:paraId="289B631F" w14:textId="77777777" w:rsidR="0036357B" w:rsidRPr="00DE096C" w:rsidRDefault="0036357B" w:rsidP="00D45A46">
            <w:pPr>
              <w:jc w:val="both"/>
              <w:rPr>
                <w:bCs/>
                <w:color w:val="002060"/>
                <w:sz w:val="16"/>
                <w:szCs w:val="16"/>
              </w:rPr>
            </w:pPr>
            <w:r w:rsidRPr="00DE096C">
              <w:rPr>
                <w:bCs/>
                <w:color w:val="002060"/>
                <w:sz w:val="16"/>
                <w:szCs w:val="16"/>
              </w:rPr>
              <w:t>Назначение самолета</w:t>
            </w:r>
          </w:p>
        </w:tc>
      </w:tr>
      <w:tr w:rsidR="0036357B" w:rsidRPr="00DE096C" w14:paraId="005AACB2" w14:textId="77777777" w:rsidTr="00D34AC1">
        <w:tc>
          <w:tcPr>
            <w:tcW w:w="3725" w:type="dxa"/>
          </w:tcPr>
          <w:p w14:paraId="7C38E4D6" w14:textId="77777777" w:rsidR="0036357B" w:rsidRPr="00DE096C" w:rsidRDefault="0036357B" w:rsidP="00D45A46">
            <w:pPr>
              <w:jc w:val="both"/>
              <w:rPr>
                <w:bCs/>
                <w:color w:val="002060"/>
                <w:sz w:val="16"/>
                <w:szCs w:val="16"/>
              </w:rPr>
            </w:pPr>
            <w:r w:rsidRPr="00DE096C">
              <w:rPr>
                <w:bCs/>
                <w:color w:val="002060"/>
                <w:sz w:val="16"/>
                <w:szCs w:val="16"/>
              </w:rPr>
              <w:t>Тактико-технические требования</w:t>
            </w:r>
          </w:p>
        </w:tc>
        <w:tc>
          <w:tcPr>
            <w:tcW w:w="1959" w:type="dxa"/>
          </w:tcPr>
          <w:p w14:paraId="2DAFD7B6" w14:textId="77777777" w:rsidR="0036357B" w:rsidRPr="00DE096C" w:rsidRDefault="0036357B" w:rsidP="00D45A46">
            <w:pPr>
              <w:jc w:val="both"/>
              <w:rPr>
                <w:bCs/>
                <w:color w:val="002060"/>
                <w:sz w:val="16"/>
                <w:szCs w:val="16"/>
              </w:rPr>
            </w:pPr>
            <w:r w:rsidRPr="00DE096C">
              <w:rPr>
                <w:bCs/>
                <w:color w:val="002060"/>
                <w:sz w:val="16"/>
                <w:szCs w:val="16"/>
              </w:rPr>
              <w:t>Дальняя разведка</w:t>
            </w:r>
          </w:p>
        </w:tc>
        <w:tc>
          <w:tcPr>
            <w:tcW w:w="1959" w:type="dxa"/>
          </w:tcPr>
          <w:p w14:paraId="4DF31F3B" w14:textId="77777777" w:rsidR="0036357B" w:rsidRPr="00DE096C" w:rsidRDefault="0036357B" w:rsidP="00D45A46">
            <w:pPr>
              <w:jc w:val="both"/>
              <w:rPr>
                <w:bCs/>
                <w:color w:val="002060"/>
                <w:sz w:val="16"/>
                <w:szCs w:val="16"/>
              </w:rPr>
            </w:pPr>
            <w:r w:rsidRPr="00DE096C">
              <w:rPr>
                <w:bCs/>
                <w:color w:val="002060"/>
                <w:sz w:val="16"/>
                <w:szCs w:val="16"/>
              </w:rPr>
              <w:t>Ближняя разведка</w:t>
            </w:r>
          </w:p>
        </w:tc>
        <w:tc>
          <w:tcPr>
            <w:tcW w:w="1714" w:type="dxa"/>
          </w:tcPr>
          <w:p w14:paraId="03020A88" w14:textId="77777777" w:rsidR="0036357B" w:rsidRPr="00DE096C" w:rsidRDefault="0036357B" w:rsidP="00D45A46">
            <w:pPr>
              <w:jc w:val="both"/>
              <w:rPr>
                <w:bCs/>
                <w:color w:val="002060"/>
                <w:sz w:val="16"/>
                <w:szCs w:val="16"/>
              </w:rPr>
            </w:pPr>
            <w:r w:rsidRPr="00DE096C">
              <w:rPr>
                <w:bCs/>
                <w:color w:val="002060"/>
                <w:sz w:val="16"/>
                <w:szCs w:val="16"/>
              </w:rPr>
              <w:t>Боевой самолет</w:t>
            </w:r>
          </w:p>
        </w:tc>
      </w:tr>
      <w:tr w:rsidR="0036357B" w:rsidRPr="00DE096C" w14:paraId="76EE54E8" w14:textId="77777777" w:rsidTr="00D34AC1">
        <w:tc>
          <w:tcPr>
            <w:tcW w:w="3725" w:type="dxa"/>
          </w:tcPr>
          <w:p w14:paraId="319FDF5E" w14:textId="77777777" w:rsidR="0036357B" w:rsidRPr="00DE096C" w:rsidRDefault="0036357B" w:rsidP="00D45A46">
            <w:pPr>
              <w:jc w:val="both"/>
              <w:rPr>
                <w:bCs/>
                <w:color w:val="002060"/>
                <w:sz w:val="16"/>
                <w:szCs w:val="16"/>
              </w:rPr>
            </w:pPr>
            <w:r w:rsidRPr="00DE096C">
              <w:rPr>
                <w:bCs/>
                <w:color w:val="002060"/>
                <w:sz w:val="16"/>
                <w:szCs w:val="16"/>
              </w:rPr>
              <w:t>Скорость полета, км/ч</w:t>
            </w:r>
          </w:p>
        </w:tc>
        <w:tc>
          <w:tcPr>
            <w:tcW w:w="1959" w:type="dxa"/>
          </w:tcPr>
          <w:p w14:paraId="5D48D42F" w14:textId="77777777" w:rsidR="0036357B" w:rsidRPr="00DE096C" w:rsidRDefault="0036357B" w:rsidP="00D45A46">
            <w:pPr>
              <w:jc w:val="both"/>
              <w:rPr>
                <w:bCs/>
                <w:color w:val="002060"/>
                <w:sz w:val="16"/>
                <w:szCs w:val="16"/>
              </w:rPr>
            </w:pPr>
            <w:r w:rsidRPr="00DE096C">
              <w:rPr>
                <w:bCs/>
                <w:color w:val="002060"/>
                <w:sz w:val="16"/>
                <w:szCs w:val="16"/>
              </w:rPr>
              <w:t>100</w:t>
            </w:r>
          </w:p>
        </w:tc>
        <w:tc>
          <w:tcPr>
            <w:tcW w:w="1959" w:type="dxa"/>
          </w:tcPr>
          <w:p w14:paraId="4E01041D" w14:textId="77777777" w:rsidR="0036357B" w:rsidRPr="00DE096C" w:rsidRDefault="0036357B" w:rsidP="00D45A46">
            <w:pPr>
              <w:jc w:val="both"/>
              <w:rPr>
                <w:bCs/>
                <w:color w:val="002060"/>
                <w:sz w:val="16"/>
                <w:szCs w:val="16"/>
              </w:rPr>
            </w:pPr>
            <w:r w:rsidRPr="00DE096C">
              <w:rPr>
                <w:bCs/>
                <w:color w:val="002060"/>
                <w:sz w:val="16"/>
                <w:szCs w:val="16"/>
              </w:rPr>
              <w:t>100</w:t>
            </w:r>
          </w:p>
        </w:tc>
        <w:tc>
          <w:tcPr>
            <w:tcW w:w="1714" w:type="dxa"/>
          </w:tcPr>
          <w:p w14:paraId="18079BBD" w14:textId="77777777" w:rsidR="0036357B" w:rsidRPr="00DE096C" w:rsidRDefault="0036357B" w:rsidP="00D45A46">
            <w:pPr>
              <w:jc w:val="both"/>
              <w:rPr>
                <w:bCs/>
                <w:color w:val="002060"/>
                <w:sz w:val="16"/>
                <w:szCs w:val="16"/>
              </w:rPr>
            </w:pPr>
            <w:r w:rsidRPr="00DE096C">
              <w:rPr>
                <w:bCs/>
                <w:color w:val="002060"/>
                <w:sz w:val="16"/>
                <w:szCs w:val="16"/>
              </w:rPr>
              <w:t>60</w:t>
            </w:r>
          </w:p>
        </w:tc>
      </w:tr>
      <w:tr w:rsidR="0036357B" w:rsidRPr="00DE096C" w14:paraId="696A01E3" w14:textId="77777777" w:rsidTr="00D34AC1">
        <w:tc>
          <w:tcPr>
            <w:tcW w:w="3725" w:type="dxa"/>
          </w:tcPr>
          <w:p w14:paraId="303C51C7" w14:textId="77777777" w:rsidR="0036357B" w:rsidRPr="00DE096C" w:rsidRDefault="0036357B" w:rsidP="00D45A46">
            <w:pPr>
              <w:jc w:val="both"/>
              <w:rPr>
                <w:bCs/>
                <w:color w:val="002060"/>
                <w:sz w:val="16"/>
                <w:szCs w:val="16"/>
              </w:rPr>
            </w:pPr>
            <w:r w:rsidRPr="00DE096C">
              <w:rPr>
                <w:bCs/>
                <w:color w:val="002060"/>
                <w:sz w:val="16"/>
                <w:szCs w:val="16"/>
              </w:rPr>
              <w:t>Дальность полета, км</w:t>
            </w:r>
          </w:p>
        </w:tc>
        <w:tc>
          <w:tcPr>
            <w:tcW w:w="1959" w:type="dxa"/>
          </w:tcPr>
          <w:p w14:paraId="1519FEC3" w14:textId="77777777" w:rsidR="0036357B" w:rsidRPr="00DE096C" w:rsidRDefault="0036357B" w:rsidP="00D45A46">
            <w:pPr>
              <w:jc w:val="both"/>
              <w:rPr>
                <w:bCs/>
                <w:color w:val="002060"/>
                <w:sz w:val="16"/>
                <w:szCs w:val="16"/>
              </w:rPr>
            </w:pPr>
            <w:r w:rsidRPr="00DE096C">
              <w:rPr>
                <w:bCs/>
                <w:color w:val="002060"/>
                <w:sz w:val="16"/>
                <w:szCs w:val="16"/>
              </w:rPr>
              <w:t>1000</w:t>
            </w:r>
          </w:p>
        </w:tc>
        <w:tc>
          <w:tcPr>
            <w:tcW w:w="1959" w:type="dxa"/>
          </w:tcPr>
          <w:p w14:paraId="214F2C8C" w14:textId="77777777" w:rsidR="0036357B" w:rsidRPr="00DE096C" w:rsidRDefault="0036357B" w:rsidP="00D45A46">
            <w:pPr>
              <w:jc w:val="both"/>
              <w:rPr>
                <w:bCs/>
                <w:color w:val="002060"/>
                <w:sz w:val="16"/>
                <w:szCs w:val="16"/>
              </w:rPr>
            </w:pPr>
            <w:r w:rsidRPr="00DE096C">
              <w:rPr>
                <w:bCs/>
                <w:color w:val="002060"/>
                <w:sz w:val="16"/>
                <w:szCs w:val="16"/>
              </w:rPr>
              <w:t>400</w:t>
            </w:r>
          </w:p>
        </w:tc>
        <w:tc>
          <w:tcPr>
            <w:tcW w:w="1714" w:type="dxa"/>
          </w:tcPr>
          <w:p w14:paraId="756CC90E" w14:textId="77777777" w:rsidR="0036357B" w:rsidRPr="00DE096C" w:rsidRDefault="0036357B" w:rsidP="00D45A46">
            <w:pPr>
              <w:jc w:val="both"/>
              <w:rPr>
                <w:bCs/>
                <w:color w:val="002060"/>
                <w:sz w:val="16"/>
                <w:szCs w:val="16"/>
              </w:rPr>
            </w:pPr>
            <w:r w:rsidRPr="00DE096C">
              <w:rPr>
                <w:bCs/>
                <w:color w:val="002060"/>
                <w:sz w:val="16"/>
                <w:szCs w:val="16"/>
              </w:rPr>
              <w:t>250</w:t>
            </w:r>
          </w:p>
        </w:tc>
      </w:tr>
      <w:tr w:rsidR="0036357B" w:rsidRPr="00DE096C" w14:paraId="13BF49F9" w14:textId="77777777" w:rsidTr="00D34AC1">
        <w:tc>
          <w:tcPr>
            <w:tcW w:w="3725" w:type="dxa"/>
          </w:tcPr>
          <w:p w14:paraId="22D75F92" w14:textId="77777777" w:rsidR="0036357B" w:rsidRPr="00DE096C" w:rsidRDefault="0036357B" w:rsidP="00D45A46">
            <w:pPr>
              <w:jc w:val="both"/>
              <w:rPr>
                <w:bCs/>
                <w:color w:val="002060"/>
                <w:sz w:val="16"/>
                <w:szCs w:val="16"/>
              </w:rPr>
            </w:pPr>
            <w:r w:rsidRPr="00DE096C">
              <w:rPr>
                <w:bCs/>
                <w:color w:val="002060"/>
                <w:sz w:val="16"/>
                <w:szCs w:val="16"/>
              </w:rPr>
              <w:t>Полезная нагрузка, кг</w:t>
            </w:r>
          </w:p>
        </w:tc>
        <w:tc>
          <w:tcPr>
            <w:tcW w:w="1959" w:type="dxa"/>
          </w:tcPr>
          <w:p w14:paraId="3B7A326A" w14:textId="77777777" w:rsidR="0036357B" w:rsidRPr="00DE096C" w:rsidRDefault="0036357B" w:rsidP="00D45A46">
            <w:pPr>
              <w:jc w:val="both"/>
              <w:rPr>
                <w:bCs/>
                <w:color w:val="002060"/>
                <w:sz w:val="16"/>
                <w:szCs w:val="16"/>
              </w:rPr>
            </w:pPr>
            <w:r w:rsidRPr="00DE096C">
              <w:rPr>
                <w:bCs/>
                <w:color w:val="002060"/>
                <w:sz w:val="16"/>
                <w:szCs w:val="16"/>
              </w:rPr>
              <w:t>150</w:t>
            </w:r>
          </w:p>
        </w:tc>
        <w:tc>
          <w:tcPr>
            <w:tcW w:w="1959" w:type="dxa"/>
          </w:tcPr>
          <w:p w14:paraId="59ECE632" w14:textId="77777777" w:rsidR="0036357B" w:rsidRPr="00DE096C" w:rsidRDefault="0036357B" w:rsidP="00D45A46">
            <w:pPr>
              <w:jc w:val="both"/>
              <w:rPr>
                <w:bCs/>
                <w:color w:val="002060"/>
                <w:sz w:val="16"/>
                <w:szCs w:val="16"/>
              </w:rPr>
            </w:pPr>
            <w:r w:rsidRPr="00DE096C">
              <w:rPr>
                <w:bCs/>
                <w:color w:val="002060"/>
                <w:sz w:val="16"/>
                <w:szCs w:val="16"/>
              </w:rPr>
              <w:t>175</w:t>
            </w:r>
          </w:p>
        </w:tc>
        <w:tc>
          <w:tcPr>
            <w:tcW w:w="1714" w:type="dxa"/>
          </w:tcPr>
          <w:p w14:paraId="7047F643" w14:textId="77777777" w:rsidR="0036357B" w:rsidRPr="00DE096C" w:rsidRDefault="0036357B" w:rsidP="00D45A46">
            <w:pPr>
              <w:jc w:val="both"/>
              <w:rPr>
                <w:bCs/>
                <w:color w:val="002060"/>
                <w:sz w:val="16"/>
                <w:szCs w:val="16"/>
              </w:rPr>
            </w:pPr>
            <w:r w:rsidRPr="00DE096C">
              <w:rPr>
                <w:bCs/>
                <w:color w:val="002060"/>
                <w:sz w:val="16"/>
                <w:szCs w:val="16"/>
              </w:rPr>
              <w:t>225</w:t>
            </w:r>
          </w:p>
        </w:tc>
      </w:tr>
      <w:tr w:rsidR="0036357B" w:rsidRPr="00DE096C" w14:paraId="3376073B" w14:textId="77777777" w:rsidTr="00D34AC1">
        <w:tc>
          <w:tcPr>
            <w:tcW w:w="3725" w:type="dxa"/>
          </w:tcPr>
          <w:p w14:paraId="2C85A302" w14:textId="77777777" w:rsidR="0036357B" w:rsidRPr="00DE096C" w:rsidRDefault="0036357B" w:rsidP="00D45A46">
            <w:pPr>
              <w:jc w:val="both"/>
              <w:rPr>
                <w:bCs/>
                <w:color w:val="002060"/>
                <w:sz w:val="16"/>
                <w:szCs w:val="16"/>
              </w:rPr>
            </w:pPr>
            <w:r w:rsidRPr="00DE096C">
              <w:rPr>
                <w:bCs/>
                <w:color w:val="002060"/>
                <w:sz w:val="16"/>
                <w:szCs w:val="16"/>
              </w:rPr>
              <w:t>Число:</w:t>
            </w:r>
          </w:p>
        </w:tc>
        <w:tc>
          <w:tcPr>
            <w:tcW w:w="1959" w:type="dxa"/>
          </w:tcPr>
          <w:p w14:paraId="1DCB5D7E" w14:textId="77777777" w:rsidR="0036357B" w:rsidRPr="00DE096C" w:rsidRDefault="0036357B" w:rsidP="00D45A46">
            <w:pPr>
              <w:jc w:val="both"/>
              <w:rPr>
                <w:bCs/>
                <w:color w:val="002060"/>
                <w:sz w:val="16"/>
                <w:szCs w:val="16"/>
              </w:rPr>
            </w:pPr>
          </w:p>
        </w:tc>
        <w:tc>
          <w:tcPr>
            <w:tcW w:w="1959" w:type="dxa"/>
          </w:tcPr>
          <w:p w14:paraId="1DCE757B" w14:textId="77777777" w:rsidR="0036357B" w:rsidRPr="00DE096C" w:rsidRDefault="0036357B" w:rsidP="00D45A46">
            <w:pPr>
              <w:jc w:val="both"/>
              <w:rPr>
                <w:bCs/>
                <w:color w:val="002060"/>
                <w:sz w:val="16"/>
                <w:szCs w:val="16"/>
              </w:rPr>
            </w:pPr>
          </w:p>
        </w:tc>
        <w:tc>
          <w:tcPr>
            <w:tcW w:w="1714" w:type="dxa"/>
          </w:tcPr>
          <w:p w14:paraId="147DA6D5" w14:textId="77777777" w:rsidR="0036357B" w:rsidRPr="00DE096C" w:rsidRDefault="0036357B" w:rsidP="00D45A46">
            <w:pPr>
              <w:jc w:val="both"/>
              <w:rPr>
                <w:bCs/>
                <w:color w:val="002060"/>
                <w:sz w:val="16"/>
                <w:szCs w:val="16"/>
              </w:rPr>
            </w:pPr>
          </w:p>
        </w:tc>
      </w:tr>
      <w:tr w:rsidR="0036357B" w:rsidRPr="00DE096C" w14:paraId="3FEF0EE5" w14:textId="77777777" w:rsidTr="00D34AC1">
        <w:tc>
          <w:tcPr>
            <w:tcW w:w="3725" w:type="dxa"/>
          </w:tcPr>
          <w:p w14:paraId="520031B5" w14:textId="77777777" w:rsidR="0036357B" w:rsidRPr="00DE096C" w:rsidRDefault="0036357B" w:rsidP="00D45A46">
            <w:pPr>
              <w:jc w:val="both"/>
              <w:rPr>
                <w:bCs/>
                <w:color w:val="002060"/>
                <w:sz w:val="16"/>
                <w:szCs w:val="16"/>
              </w:rPr>
            </w:pPr>
            <w:r w:rsidRPr="00DE096C">
              <w:rPr>
                <w:bCs/>
                <w:color w:val="002060"/>
                <w:sz w:val="16"/>
                <w:szCs w:val="16"/>
              </w:rPr>
              <w:t>двигателей</w:t>
            </w:r>
          </w:p>
        </w:tc>
        <w:tc>
          <w:tcPr>
            <w:tcW w:w="1959" w:type="dxa"/>
          </w:tcPr>
          <w:p w14:paraId="6C7FCD56" w14:textId="77777777" w:rsidR="0036357B" w:rsidRPr="00DE096C" w:rsidRDefault="0036357B" w:rsidP="00D45A46">
            <w:pPr>
              <w:jc w:val="both"/>
              <w:rPr>
                <w:bCs/>
                <w:color w:val="002060"/>
                <w:sz w:val="16"/>
                <w:szCs w:val="16"/>
              </w:rPr>
            </w:pPr>
            <w:r w:rsidRPr="00DE096C">
              <w:rPr>
                <w:bCs/>
                <w:color w:val="002060"/>
                <w:sz w:val="16"/>
                <w:szCs w:val="16"/>
              </w:rPr>
              <w:t>2</w:t>
            </w:r>
          </w:p>
        </w:tc>
        <w:tc>
          <w:tcPr>
            <w:tcW w:w="1959" w:type="dxa"/>
          </w:tcPr>
          <w:p w14:paraId="7DF53B3F" w14:textId="77777777" w:rsidR="0036357B" w:rsidRPr="00DE096C" w:rsidRDefault="0036357B" w:rsidP="00D45A46">
            <w:pPr>
              <w:jc w:val="both"/>
              <w:rPr>
                <w:bCs/>
                <w:color w:val="002060"/>
                <w:sz w:val="16"/>
                <w:szCs w:val="16"/>
              </w:rPr>
            </w:pPr>
            <w:r w:rsidRPr="00DE096C">
              <w:rPr>
                <w:bCs/>
                <w:color w:val="002060"/>
                <w:sz w:val="16"/>
                <w:szCs w:val="16"/>
              </w:rPr>
              <w:t>1</w:t>
            </w:r>
          </w:p>
        </w:tc>
        <w:tc>
          <w:tcPr>
            <w:tcW w:w="1714" w:type="dxa"/>
          </w:tcPr>
          <w:p w14:paraId="43EEEC61" w14:textId="77777777" w:rsidR="0036357B" w:rsidRPr="00DE096C" w:rsidRDefault="0036357B" w:rsidP="00D45A46">
            <w:pPr>
              <w:jc w:val="both"/>
              <w:rPr>
                <w:bCs/>
                <w:color w:val="002060"/>
                <w:sz w:val="16"/>
                <w:szCs w:val="16"/>
              </w:rPr>
            </w:pPr>
            <w:r w:rsidRPr="00DE096C">
              <w:rPr>
                <w:bCs/>
                <w:color w:val="002060"/>
                <w:sz w:val="16"/>
                <w:szCs w:val="16"/>
              </w:rPr>
              <w:t>1</w:t>
            </w:r>
          </w:p>
        </w:tc>
      </w:tr>
      <w:tr w:rsidR="0036357B" w:rsidRPr="00DE096C" w14:paraId="45DDF6BB" w14:textId="77777777" w:rsidTr="00D34AC1">
        <w:tc>
          <w:tcPr>
            <w:tcW w:w="3725" w:type="dxa"/>
          </w:tcPr>
          <w:p w14:paraId="511B2FDF" w14:textId="77777777" w:rsidR="0036357B" w:rsidRPr="00DE096C" w:rsidRDefault="0036357B" w:rsidP="00D45A46">
            <w:pPr>
              <w:jc w:val="both"/>
              <w:rPr>
                <w:bCs/>
                <w:color w:val="002060"/>
                <w:sz w:val="16"/>
                <w:szCs w:val="16"/>
              </w:rPr>
            </w:pPr>
            <w:r w:rsidRPr="00DE096C">
              <w:rPr>
                <w:bCs/>
                <w:color w:val="002060"/>
                <w:sz w:val="16"/>
                <w:szCs w:val="16"/>
              </w:rPr>
              <w:t>летчиков</w:t>
            </w:r>
          </w:p>
        </w:tc>
        <w:tc>
          <w:tcPr>
            <w:tcW w:w="1959" w:type="dxa"/>
          </w:tcPr>
          <w:p w14:paraId="1B085F32" w14:textId="77777777" w:rsidR="0036357B" w:rsidRPr="00DE096C" w:rsidRDefault="0036357B" w:rsidP="00D45A46">
            <w:pPr>
              <w:jc w:val="both"/>
              <w:rPr>
                <w:bCs/>
                <w:color w:val="002060"/>
                <w:sz w:val="16"/>
                <w:szCs w:val="16"/>
              </w:rPr>
            </w:pPr>
            <w:r w:rsidRPr="00DE096C">
              <w:rPr>
                <w:bCs/>
                <w:color w:val="002060"/>
                <w:sz w:val="16"/>
                <w:szCs w:val="16"/>
              </w:rPr>
              <w:t>2</w:t>
            </w:r>
          </w:p>
        </w:tc>
        <w:tc>
          <w:tcPr>
            <w:tcW w:w="1959" w:type="dxa"/>
          </w:tcPr>
          <w:p w14:paraId="2B38CB32" w14:textId="77777777" w:rsidR="0036357B" w:rsidRPr="00DE096C" w:rsidRDefault="0036357B" w:rsidP="00D45A46">
            <w:pPr>
              <w:jc w:val="both"/>
              <w:rPr>
                <w:bCs/>
                <w:color w:val="002060"/>
                <w:sz w:val="16"/>
                <w:szCs w:val="16"/>
              </w:rPr>
            </w:pPr>
            <w:r w:rsidRPr="00DE096C">
              <w:rPr>
                <w:bCs/>
                <w:color w:val="002060"/>
                <w:sz w:val="16"/>
                <w:szCs w:val="16"/>
              </w:rPr>
              <w:t>1</w:t>
            </w:r>
          </w:p>
        </w:tc>
        <w:tc>
          <w:tcPr>
            <w:tcW w:w="1714" w:type="dxa"/>
          </w:tcPr>
          <w:p w14:paraId="3CD80253" w14:textId="77777777" w:rsidR="0036357B" w:rsidRPr="00DE096C" w:rsidRDefault="0036357B" w:rsidP="00D45A46">
            <w:pPr>
              <w:jc w:val="both"/>
              <w:rPr>
                <w:bCs/>
                <w:color w:val="002060"/>
                <w:sz w:val="16"/>
                <w:szCs w:val="16"/>
              </w:rPr>
            </w:pPr>
            <w:r w:rsidRPr="00DE096C">
              <w:rPr>
                <w:bCs/>
                <w:color w:val="002060"/>
                <w:sz w:val="16"/>
                <w:szCs w:val="16"/>
              </w:rPr>
              <w:t>1</w:t>
            </w:r>
          </w:p>
        </w:tc>
      </w:tr>
      <w:tr w:rsidR="0036357B" w:rsidRPr="00DE096C" w14:paraId="3CC3ECB7" w14:textId="77777777" w:rsidTr="00D34AC1">
        <w:tc>
          <w:tcPr>
            <w:tcW w:w="3725" w:type="dxa"/>
          </w:tcPr>
          <w:p w14:paraId="6F4F2FD5" w14:textId="77777777" w:rsidR="0036357B" w:rsidRPr="00DE096C" w:rsidRDefault="0036357B" w:rsidP="00D45A46">
            <w:pPr>
              <w:jc w:val="both"/>
              <w:rPr>
                <w:bCs/>
                <w:color w:val="002060"/>
                <w:sz w:val="16"/>
                <w:szCs w:val="16"/>
              </w:rPr>
            </w:pPr>
            <w:r w:rsidRPr="00DE096C">
              <w:rPr>
                <w:bCs/>
                <w:color w:val="002060"/>
                <w:sz w:val="16"/>
                <w:szCs w:val="16"/>
              </w:rPr>
              <w:t>наблюдателей</w:t>
            </w:r>
          </w:p>
        </w:tc>
        <w:tc>
          <w:tcPr>
            <w:tcW w:w="1959" w:type="dxa"/>
          </w:tcPr>
          <w:p w14:paraId="4BEAFEA8" w14:textId="77777777" w:rsidR="0036357B" w:rsidRPr="00DE096C" w:rsidRDefault="0036357B" w:rsidP="00D45A46">
            <w:pPr>
              <w:jc w:val="both"/>
              <w:rPr>
                <w:bCs/>
                <w:color w:val="002060"/>
                <w:sz w:val="16"/>
                <w:szCs w:val="16"/>
              </w:rPr>
            </w:pPr>
            <w:r w:rsidRPr="00DE096C">
              <w:rPr>
                <w:bCs/>
                <w:color w:val="002060"/>
                <w:sz w:val="16"/>
                <w:szCs w:val="16"/>
              </w:rPr>
              <w:t>2</w:t>
            </w:r>
          </w:p>
        </w:tc>
        <w:tc>
          <w:tcPr>
            <w:tcW w:w="1959" w:type="dxa"/>
          </w:tcPr>
          <w:p w14:paraId="11384BAD" w14:textId="77777777" w:rsidR="0036357B" w:rsidRPr="00DE096C" w:rsidRDefault="0036357B" w:rsidP="00D45A46">
            <w:pPr>
              <w:jc w:val="both"/>
              <w:rPr>
                <w:bCs/>
                <w:color w:val="002060"/>
                <w:sz w:val="16"/>
                <w:szCs w:val="16"/>
              </w:rPr>
            </w:pPr>
            <w:r w:rsidRPr="00DE096C">
              <w:rPr>
                <w:bCs/>
                <w:color w:val="002060"/>
                <w:sz w:val="16"/>
                <w:szCs w:val="16"/>
              </w:rPr>
              <w:t>1</w:t>
            </w:r>
          </w:p>
        </w:tc>
        <w:tc>
          <w:tcPr>
            <w:tcW w:w="1714" w:type="dxa"/>
          </w:tcPr>
          <w:p w14:paraId="37BBDAC1" w14:textId="77777777" w:rsidR="0036357B" w:rsidRPr="00DE096C" w:rsidRDefault="0036357B" w:rsidP="00D45A46">
            <w:pPr>
              <w:jc w:val="both"/>
              <w:rPr>
                <w:bCs/>
                <w:color w:val="002060"/>
                <w:sz w:val="16"/>
                <w:szCs w:val="16"/>
              </w:rPr>
            </w:pPr>
            <w:r w:rsidRPr="00DE096C">
              <w:rPr>
                <w:bCs/>
                <w:color w:val="002060"/>
                <w:sz w:val="16"/>
                <w:szCs w:val="16"/>
              </w:rPr>
              <w:t>1</w:t>
            </w:r>
          </w:p>
        </w:tc>
      </w:tr>
      <w:tr w:rsidR="0036357B" w:rsidRPr="00DE096C" w14:paraId="18CC7E02" w14:textId="77777777" w:rsidTr="00D34AC1">
        <w:tc>
          <w:tcPr>
            <w:tcW w:w="3725" w:type="dxa"/>
          </w:tcPr>
          <w:p w14:paraId="435CF0B6" w14:textId="77777777" w:rsidR="0036357B" w:rsidRPr="00DE096C" w:rsidRDefault="0036357B" w:rsidP="00D45A46">
            <w:pPr>
              <w:jc w:val="both"/>
              <w:rPr>
                <w:bCs/>
                <w:color w:val="002060"/>
                <w:sz w:val="16"/>
                <w:szCs w:val="16"/>
              </w:rPr>
            </w:pPr>
            <w:r w:rsidRPr="00DE096C">
              <w:rPr>
                <w:bCs/>
                <w:color w:val="002060"/>
                <w:sz w:val="16"/>
                <w:szCs w:val="16"/>
              </w:rPr>
              <w:t>Вооружение</w:t>
            </w:r>
          </w:p>
        </w:tc>
        <w:tc>
          <w:tcPr>
            <w:tcW w:w="1959" w:type="dxa"/>
          </w:tcPr>
          <w:p w14:paraId="5F8B53DA" w14:textId="77777777" w:rsidR="0036357B" w:rsidRPr="00DE096C" w:rsidRDefault="0036357B" w:rsidP="00D45A46">
            <w:pPr>
              <w:jc w:val="both"/>
              <w:rPr>
                <w:bCs/>
                <w:color w:val="002060"/>
                <w:sz w:val="16"/>
                <w:szCs w:val="16"/>
              </w:rPr>
            </w:pPr>
            <w:r w:rsidRPr="00DE096C">
              <w:rPr>
                <w:bCs/>
                <w:color w:val="002060"/>
                <w:sz w:val="16"/>
                <w:szCs w:val="16"/>
              </w:rPr>
              <w:t>Пулемет</w:t>
            </w:r>
          </w:p>
        </w:tc>
        <w:tc>
          <w:tcPr>
            <w:tcW w:w="1959" w:type="dxa"/>
          </w:tcPr>
          <w:p w14:paraId="7F1CB4F3" w14:textId="77777777" w:rsidR="0036357B" w:rsidRPr="00DE096C" w:rsidRDefault="0036357B" w:rsidP="00D45A46">
            <w:pPr>
              <w:jc w:val="both"/>
              <w:rPr>
                <w:bCs/>
                <w:color w:val="002060"/>
                <w:sz w:val="16"/>
                <w:szCs w:val="16"/>
              </w:rPr>
            </w:pPr>
            <w:r w:rsidRPr="00DE096C">
              <w:rPr>
                <w:bCs/>
                <w:color w:val="002060"/>
                <w:sz w:val="16"/>
                <w:szCs w:val="16"/>
              </w:rPr>
              <w:t>Пулемет</w:t>
            </w:r>
          </w:p>
        </w:tc>
        <w:tc>
          <w:tcPr>
            <w:tcW w:w="1714" w:type="dxa"/>
          </w:tcPr>
          <w:p w14:paraId="0B56B78E" w14:textId="77777777" w:rsidR="0036357B" w:rsidRPr="00DE096C" w:rsidRDefault="0036357B" w:rsidP="00D45A46">
            <w:pPr>
              <w:jc w:val="both"/>
              <w:rPr>
                <w:bCs/>
                <w:color w:val="002060"/>
                <w:sz w:val="16"/>
                <w:szCs w:val="16"/>
              </w:rPr>
            </w:pPr>
            <w:r w:rsidRPr="00DE096C">
              <w:rPr>
                <w:bCs/>
                <w:color w:val="002060"/>
                <w:sz w:val="16"/>
                <w:szCs w:val="16"/>
              </w:rPr>
              <w:t>Пулемет</w:t>
            </w:r>
          </w:p>
        </w:tc>
      </w:tr>
    </w:tbl>
    <w:p w14:paraId="780AC7C6" w14:textId="77777777" w:rsidR="0036357B" w:rsidRPr="00DE096C" w:rsidRDefault="0036357B" w:rsidP="00D45A46">
      <w:pPr>
        <w:jc w:val="both"/>
        <w:rPr>
          <w:bCs/>
          <w:color w:val="002060"/>
          <w:sz w:val="16"/>
          <w:szCs w:val="16"/>
        </w:rPr>
      </w:pPr>
      <w:r w:rsidRPr="00DE096C">
        <w:rPr>
          <w:bCs/>
          <w:color w:val="002060"/>
          <w:sz w:val="16"/>
          <w:szCs w:val="16"/>
        </w:rPr>
        <w:t xml:space="preserve">Это заседание авиационного комитета характерно тем, что летчики сами, исходя из местных условий и состояния техники, выработали требования, которым должны были отвечать их летательные аппараты. Правда, ставя во главу угла разведку, балтийцы явно ошибались, и это им стало очевидным довольно скоро. </w:t>
      </w:r>
    </w:p>
    <w:p w14:paraId="509EE7D9" w14:textId="77777777" w:rsidR="0036357B" w:rsidRPr="00DE096C" w:rsidRDefault="0036357B" w:rsidP="00D45A46">
      <w:pPr>
        <w:jc w:val="both"/>
        <w:rPr>
          <w:bCs/>
          <w:color w:val="002060"/>
          <w:sz w:val="16"/>
          <w:szCs w:val="16"/>
        </w:rPr>
      </w:pPr>
    </w:p>
    <w:p w14:paraId="13703F45" w14:textId="77777777" w:rsidR="009121A9" w:rsidRPr="00DE096C" w:rsidRDefault="009121A9" w:rsidP="00D45A46">
      <w:pPr>
        <w:jc w:val="both"/>
        <w:rPr>
          <w:bCs/>
          <w:i/>
          <w:color w:val="002060"/>
          <w:sz w:val="16"/>
          <w:szCs w:val="16"/>
        </w:rPr>
      </w:pPr>
      <w:r w:rsidRPr="00DE096C">
        <w:rPr>
          <w:bCs/>
          <w:i/>
          <w:color w:val="002060"/>
          <w:sz w:val="16"/>
          <w:szCs w:val="16"/>
        </w:rPr>
        <w:t>Аэростатостроение:</w:t>
      </w:r>
    </w:p>
    <w:p w14:paraId="5437F482" w14:textId="77777777" w:rsidR="009121A9" w:rsidRPr="00DE096C" w:rsidRDefault="009121A9" w:rsidP="00D45A46">
      <w:pPr>
        <w:jc w:val="both"/>
        <w:rPr>
          <w:bCs/>
          <w:i/>
          <w:color w:val="002060"/>
          <w:sz w:val="16"/>
          <w:szCs w:val="16"/>
        </w:rPr>
      </w:pPr>
    </w:p>
    <w:p w14:paraId="01AC1325" w14:textId="53975F98" w:rsidR="009121A9" w:rsidRPr="00DE096C" w:rsidRDefault="009121A9" w:rsidP="00D45A46">
      <w:pPr>
        <w:jc w:val="both"/>
        <w:rPr>
          <w:bCs/>
          <w:color w:val="002060"/>
          <w:sz w:val="16"/>
          <w:szCs w:val="16"/>
        </w:rPr>
      </w:pPr>
      <w:r w:rsidRPr="00DE096C">
        <w:rPr>
          <w:bCs/>
          <w:color w:val="002060"/>
          <w:sz w:val="16"/>
          <w:szCs w:val="16"/>
        </w:rPr>
        <w:t xml:space="preserve">К 1 (14) января 1914 г. по общей кубатуре дирижаблей (63 080 м3) Россия занимала четвертое место в мире. Первое место принадлежало Германии (244 100 м3), второе — Франции (116 600 м3), третье — Италии (71 265 м3). Таким образом, Россия опередила в этой области Англию, Австрию и Японию </w:t>
      </w:r>
      <w:bookmarkStart w:id="0" w:name="ftn21"/>
      <w:r w:rsidRPr="00DE096C">
        <w:rPr>
          <w:bCs/>
          <w:color w:val="002060"/>
          <w:sz w:val="16"/>
          <w:szCs w:val="16"/>
        </w:rPr>
        <w:fldChar w:fldCharType="begin"/>
      </w:r>
      <w:r w:rsidRPr="00DE096C">
        <w:rPr>
          <w:bCs/>
          <w:color w:val="002060"/>
          <w:sz w:val="16"/>
          <w:szCs w:val="16"/>
        </w:rPr>
        <w:instrText xml:space="preserve"> HYPERLINK "http://alternathistory.org.ua/pervye-russkie-dirizhabli-v-period-1904-1914-gg" \l "ftnref21" </w:instrText>
      </w:r>
      <w:r w:rsidRPr="00DE096C">
        <w:rPr>
          <w:bCs/>
          <w:color w:val="002060"/>
          <w:sz w:val="16"/>
          <w:szCs w:val="16"/>
        </w:rPr>
      </w:r>
      <w:r w:rsidRPr="00DE096C">
        <w:rPr>
          <w:bCs/>
          <w:color w:val="002060"/>
          <w:sz w:val="16"/>
          <w:szCs w:val="16"/>
        </w:rPr>
        <w:fldChar w:fldCharType="separate"/>
      </w:r>
      <w:r w:rsidRPr="00DE096C">
        <w:rPr>
          <w:bCs/>
          <w:color w:val="002060"/>
          <w:sz w:val="16"/>
          <w:szCs w:val="16"/>
        </w:rPr>
        <w:t>[ Taschenbuch der Luftflotten, 1914, с. 103.]</w:t>
      </w:r>
      <w:r w:rsidRPr="00DE096C">
        <w:rPr>
          <w:bCs/>
          <w:color w:val="002060"/>
          <w:sz w:val="16"/>
          <w:szCs w:val="16"/>
        </w:rPr>
        <w:fldChar w:fldCharType="end"/>
      </w:r>
      <w:bookmarkEnd w:id="0"/>
      <w:r w:rsidRPr="00DE096C">
        <w:rPr>
          <w:bCs/>
          <w:color w:val="002060"/>
          <w:sz w:val="16"/>
          <w:szCs w:val="16"/>
        </w:rPr>
        <w:t>. За пятилетие (1908—1913) в России было построено семь дирижаблей и приобретено за границей восемь дирижаблей. К началу первой мировой войны 1914—1918 гг. Россия располагала уже достаточно совершенными установками для сбрасывания бомб. Военные дирижабли призваны были бомбить узловые станции и переправы противника, уничтожать военные заводы, разрушать корабли на верфях, уничтожать эллинги, сжигать угольные склады в военных гаванях, уничтожать склады в тылу противника, бомбить морские суда и вести глубокую разведку на море. Таковы основные задачи, ставившиеся перед дирижаблями русским Генеральным штабом. (15503).</w:t>
      </w:r>
    </w:p>
    <w:p w14:paraId="416725D8" w14:textId="77777777" w:rsidR="009121A9" w:rsidRPr="00DE096C" w:rsidRDefault="009121A9" w:rsidP="00D45A46">
      <w:pPr>
        <w:jc w:val="both"/>
        <w:rPr>
          <w:bCs/>
          <w:color w:val="002060"/>
          <w:sz w:val="16"/>
          <w:szCs w:val="16"/>
        </w:rPr>
      </w:pPr>
    </w:p>
    <w:p w14:paraId="2D239A2D" w14:textId="5BF78C3F" w:rsidR="009121A9" w:rsidRPr="00DE096C" w:rsidRDefault="009121A9" w:rsidP="00D45A46">
      <w:pPr>
        <w:shd w:val="clear" w:color="auto" w:fill="FFFFFF"/>
        <w:jc w:val="both"/>
        <w:rPr>
          <w:bCs/>
          <w:color w:val="002060"/>
          <w:sz w:val="16"/>
          <w:szCs w:val="16"/>
        </w:rPr>
      </w:pPr>
      <w:r w:rsidRPr="00DE096C">
        <w:rPr>
          <w:bCs/>
          <w:color w:val="002060"/>
          <w:sz w:val="16"/>
          <w:szCs w:val="16"/>
        </w:rPr>
        <w:t>К 1 (14) января 1914 г. по общей кубатуре дирижаблей (63080 м</w:t>
      </w:r>
      <w:r w:rsidRPr="00DE096C">
        <w:rPr>
          <w:bCs/>
          <w:color w:val="002060"/>
          <w:sz w:val="16"/>
          <w:szCs w:val="16"/>
          <w:vertAlign w:val="superscript"/>
        </w:rPr>
        <w:t>3</w:t>
      </w:r>
      <w:r w:rsidRPr="00DE096C">
        <w:rPr>
          <w:bCs/>
          <w:color w:val="002060"/>
          <w:sz w:val="16"/>
          <w:szCs w:val="16"/>
        </w:rPr>
        <w:t>) Россия занимала четвер</w:t>
      </w:r>
      <w:r w:rsidRPr="00DE096C">
        <w:rPr>
          <w:bCs/>
          <w:color w:val="002060"/>
          <w:sz w:val="16"/>
          <w:szCs w:val="16"/>
        </w:rPr>
        <w:softHyphen/>
        <w:t>тое место в мире. Первое место принадлежало Германии (244100 м</w:t>
      </w:r>
      <w:r w:rsidRPr="00DE096C">
        <w:rPr>
          <w:bCs/>
          <w:color w:val="002060"/>
          <w:sz w:val="16"/>
          <w:szCs w:val="16"/>
          <w:vertAlign w:val="superscript"/>
        </w:rPr>
        <w:t>3</w:t>
      </w:r>
      <w:r w:rsidRPr="00DE096C">
        <w:rPr>
          <w:bCs/>
          <w:color w:val="002060"/>
          <w:sz w:val="16"/>
          <w:szCs w:val="16"/>
        </w:rPr>
        <w:t>), второе —Франции (116600м</w:t>
      </w:r>
      <w:r w:rsidRPr="00DE096C">
        <w:rPr>
          <w:bCs/>
          <w:color w:val="002060"/>
          <w:sz w:val="16"/>
          <w:szCs w:val="16"/>
          <w:vertAlign w:val="superscript"/>
        </w:rPr>
        <w:t>8</w:t>
      </w:r>
      <w:r w:rsidRPr="00DE096C">
        <w:rPr>
          <w:bCs/>
          <w:color w:val="002060"/>
          <w:sz w:val="16"/>
          <w:szCs w:val="16"/>
        </w:rPr>
        <w:t>), третье — Италии {71 265 м</w:t>
      </w:r>
      <w:r w:rsidRPr="00DE096C">
        <w:rPr>
          <w:bCs/>
          <w:color w:val="002060"/>
          <w:sz w:val="16"/>
          <w:szCs w:val="16"/>
          <w:vertAlign w:val="superscript"/>
        </w:rPr>
        <w:t>3</w:t>
      </w:r>
      <w:r w:rsidRPr="00DE096C">
        <w:rPr>
          <w:bCs/>
          <w:color w:val="002060"/>
          <w:sz w:val="16"/>
          <w:szCs w:val="16"/>
        </w:rPr>
        <w:t>). Таким образом, Россия опередила в этой области Анг</w:t>
      </w:r>
      <w:r w:rsidRPr="00DE096C">
        <w:rPr>
          <w:bCs/>
          <w:color w:val="002060"/>
          <w:sz w:val="16"/>
          <w:szCs w:val="16"/>
        </w:rPr>
        <w:softHyphen/>
        <w:t>лию, Австрию и Японию (11042,165).</w:t>
      </w:r>
    </w:p>
    <w:p w14:paraId="49DE7E7F" w14:textId="77777777" w:rsidR="009121A9" w:rsidRPr="00DE096C" w:rsidRDefault="009121A9" w:rsidP="00D45A46">
      <w:pPr>
        <w:shd w:val="clear" w:color="auto" w:fill="FFFFFF"/>
        <w:jc w:val="both"/>
        <w:rPr>
          <w:bCs/>
          <w:color w:val="002060"/>
          <w:sz w:val="16"/>
          <w:szCs w:val="16"/>
        </w:rPr>
      </w:pPr>
    </w:p>
    <w:p w14:paraId="26CA11DB"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w:t>
      </w:r>
    </w:p>
    <w:p w14:paraId="311BD70D" w14:textId="77777777" w:rsidR="00B67D7C" w:rsidRPr="00DE096C" w:rsidRDefault="00B67D7C" w:rsidP="00D45A46">
      <w:pPr>
        <w:shd w:val="clear" w:color="auto" w:fill="FFFFFF"/>
        <w:jc w:val="both"/>
        <w:rPr>
          <w:bCs/>
          <w:i/>
          <w:color w:val="002060"/>
          <w:sz w:val="16"/>
          <w:szCs w:val="16"/>
        </w:rPr>
      </w:pPr>
    </w:p>
    <w:p w14:paraId="1415D50F" w14:textId="046A726E" w:rsidR="00C2024A" w:rsidRPr="00DE096C" w:rsidRDefault="00C2024A" w:rsidP="00D45A46">
      <w:pPr>
        <w:jc w:val="both"/>
        <w:rPr>
          <w:bCs/>
          <w:color w:val="002060"/>
          <w:sz w:val="16"/>
          <w:szCs w:val="16"/>
        </w:rPr>
      </w:pPr>
      <w:r w:rsidRPr="00DE096C">
        <w:rPr>
          <w:bCs/>
          <w:color w:val="002060"/>
          <w:sz w:val="16"/>
          <w:szCs w:val="16"/>
        </w:rPr>
        <w:t xml:space="preserve">С 1 </w:t>
      </w:r>
      <w:r w:rsidR="009121A9" w:rsidRPr="00DE096C">
        <w:rPr>
          <w:bCs/>
          <w:color w:val="002060"/>
          <w:sz w:val="16"/>
          <w:szCs w:val="16"/>
        </w:rPr>
        <w:t xml:space="preserve">(14) </w:t>
      </w:r>
      <w:r w:rsidRPr="00DE096C">
        <w:rPr>
          <w:bCs/>
          <w:color w:val="002060"/>
          <w:sz w:val="16"/>
          <w:szCs w:val="16"/>
        </w:rPr>
        <w:t>января 1914 г. при ОВШ для повышения технической подготовки офицеров, поступающих в ГВАШ из неинженерных частей, работали трехмесячные теоретические курсы (19566).</w:t>
      </w:r>
    </w:p>
    <w:p w14:paraId="249B50EE" w14:textId="77777777" w:rsidR="00C2024A" w:rsidRPr="00DE096C" w:rsidRDefault="00C2024A" w:rsidP="00D45A46">
      <w:pPr>
        <w:jc w:val="both"/>
        <w:rPr>
          <w:bCs/>
          <w:color w:val="002060"/>
          <w:sz w:val="16"/>
          <w:szCs w:val="16"/>
        </w:rPr>
      </w:pPr>
    </w:p>
    <w:p w14:paraId="44DD7840" w14:textId="77777777" w:rsidR="009C16F9" w:rsidRPr="00DE096C" w:rsidRDefault="009C16F9" w:rsidP="00D45A46">
      <w:pPr>
        <w:jc w:val="both"/>
        <w:rPr>
          <w:bCs/>
          <w:color w:val="002060"/>
          <w:sz w:val="16"/>
          <w:szCs w:val="16"/>
        </w:rPr>
      </w:pPr>
      <w:r w:rsidRPr="00DE096C">
        <w:rPr>
          <w:bCs/>
          <w:color w:val="002060"/>
          <w:sz w:val="16"/>
          <w:szCs w:val="16"/>
        </w:rPr>
        <w:t>1 (14) января 1914 начинает работать авиалиния Санкт - Петербург-Tampa Airboat между Санкт - Петербурга и Тампа, штат Флорида, став первой авиакомпанией , которая обеспечивает регулярные авиарейсы. Энтони Jannus перевозит пассажиров на ЛЛ Benoist XIV. AC Pheil стал первым пассажиром авиакомпании (20337).</w:t>
      </w:r>
    </w:p>
    <w:p w14:paraId="7F5B1A18" w14:textId="77777777" w:rsidR="009C16F9" w:rsidRPr="00DE096C" w:rsidRDefault="009C16F9" w:rsidP="00D45A46">
      <w:pPr>
        <w:jc w:val="both"/>
        <w:rPr>
          <w:bCs/>
          <w:color w:val="002060"/>
          <w:sz w:val="16"/>
          <w:szCs w:val="16"/>
        </w:rPr>
      </w:pPr>
    </w:p>
    <w:p w14:paraId="571F4E20" w14:textId="7FED6C0D" w:rsidR="00955729" w:rsidRPr="00DE096C" w:rsidRDefault="00955729" w:rsidP="00D45A46">
      <w:pPr>
        <w:jc w:val="both"/>
        <w:rPr>
          <w:bCs/>
          <w:color w:val="002060"/>
          <w:sz w:val="16"/>
          <w:szCs w:val="16"/>
        </w:rPr>
      </w:pPr>
      <w:r w:rsidRPr="00DE096C">
        <w:rPr>
          <w:bCs/>
          <w:color w:val="002060"/>
          <w:sz w:val="16"/>
          <w:szCs w:val="16"/>
        </w:rPr>
        <w:t xml:space="preserve">На 1 (14) января 1914 г. статистика по обследованию причин части катастроф приводит следующие данные: </w:t>
      </w:r>
    </w:p>
    <w:p w14:paraId="670513E3" w14:textId="77777777" w:rsidR="00955729" w:rsidRPr="00DE096C" w:rsidRDefault="00955729" w:rsidP="00D45A46">
      <w:pPr>
        <w:pStyle w:val="Blockquote"/>
        <w:spacing w:before="0" w:after="0"/>
        <w:ind w:left="0" w:right="0"/>
        <w:jc w:val="both"/>
        <w:rPr>
          <w:bCs/>
          <w:color w:val="002060"/>
          <w:sz w:val="16"/>
          <w:szCs w:val="16"/>
        </w:rPr>
      </w:pPr>
      <w:r w:rsidRPr="00DE096C">
        <w:rPr>
          <w:bCs/>
          <w:color w:val="002060"/>
          <w:sz w:val="16"/>
          <w:szCs w:val="16"/>
        </w:rPr>
        <w:t>По вине летчика — 99 (47%)</w:t>
      </w:r>
    </w:p>
    <w:p w14:paraId="48D8EBBE" w14:textId="77777777" w:rsidR="00955729" w:rsidRPr="00DE096C" w:rsidRDefault="00955729" w:rsidP="00D45A46">
      <w:pPr>
        <w:pStyle w:val="Blockquote"/>
        <w:spacing w:before="0" w:after="0"/>
        <w:ind w:left="0" w:right="0"/>
        <w:jc w:val="both"/>
        <w:rPr>
          <w:bCs/>
          <w:color w:val="002060"/>
          <w:sz w:val="16"/>
          <w:szCs w:val="16"/>
        </w:rPr>
      </w:pPr>
      <w:r w:rsidRPr="00DE096C">
        <w:rPr>
          <w:bCs/>
          <w:color w:val="002060"/>
          <w:sz w:val="16"/>
          <w:szCs w:val="16"/>
        </w:rPr>
        <w:t>Вследствие атмосферных условий — 48 (23%)</w:t>
      </w:r>
    </w:p>
    <w:p w14:paraId="44D8B0AA" w14:textId="77777777" w:rsidR="00955729" w:rsidRPr="00DE096C" w:rsidRDefault="00955729" w:rsidP="00D45A46">
      <w:pPr>
        <w:pStyle w:val="Blockquote"/>
        <w:spacing w:before="0" w:after="0"/>
        <w:ind w:left="0" w:right="0"/>
        <w:jc w:val="both"/>
        <w:rPr>
          <w:bCs/>
          <w:color w:val="002060"/>
          <w:sz w:val="16"/>
          <w:szCs w:val="16"/>
        </w:rPr>
      </w:pPr>
      <w:r w:rsidRPr="00DE096C">
        <w:rPr>
          <w:bCs/>
          <w:color w:val="002060"/>
          <w:sz w:val="16"/>
          <w:szCs w:val="16"/>
        </w:rPr>
        <w:t>От дефектности аэроплана в полете — 15 (16,5%)</w:t>
      </w:r>
    </w:p>
    <w:p w14:paraId="47FE3F07" w14:textId="77777777" w:rsidR="00955729" w:rsidRPr="00DE096C" w:rsidRDefault="00955729" w:rsidP="00D45A46">
      <w:pPr>
        <w:pStyle w:val="Blockquote"/>
        <w:spacing w:before="0" w:after="0"/>
        <w:ind w:left="0" w:right="0"/>
        <w:jc w:val="both"/>
        <w:rPr>
          <w:bCs/>
          <w:color w:val="002060"/>
          <w:sz w:val="16"/>
          <w:szCs w:val="16"/>
        </w:rPr>
      </w:pPr>
      <w:r w:rsidRPr="00DE096C">
        <w:rPr>
          <w:bCs/>
          <w:color w:val="002060"/>
          <w:sz w:val="16"/>
          <w:szCs w:val="16"/>
        </w:rPr>
        <w:t>От несовершенства конструкции — 16 (7,4%)</w:t>
      </w:r>
    </w:p>
    <w:p w14:paraId="7FC4BE24" w14:textId="77777777" w:rsidR="00955729" w:rsidRPr="00DE096C" w:rsidRDefault="00955729" w:rsidP="00D45A46">
      <w:pPr>
        <w:pStyle w:val="Blockquote"/>
        <w:spacing w:before="0" w:after="0"/>
        <w:ind w:left="0" w:right="0"/>
        <w:jc w:val="both"/>
        <w:rPr>
          <w:bCs/>
          <w:color w:val="002060"/>
          <w:sz w:val="16"/>
          <w:szCs w:val="16"/>
        </w:rPr>
      </w:pPr>
      <w:r w:rsidRPr="00DE096C">
        <w:rPr>
          <w:bCs/>
          <w:color w:val="002060"/>
          <w:sz w:val="16"/>
          <w:szCs w:val="16"/>
        </w:rPr>
        <w:t>От столкновения в воздухе — 12 (6%) [71]</w:t>
      </w:r>
    </w:p>
    <w:p w14:paraId="39BF59AC" w14:textId="77777777" w:rsidR="00955729" w:rsidRPr="00DE096C" w:rsidRDefault="00955729" w:rsidP="00D45A46">
      <w:pPr>
        <w:jc w:val="both"/>
        <w:rPr>
          <w:bCs/>
          <w:color w:val="002060"/>
          <w:sz w:val="16"/>
          <w:szCs w:val="16"/>
        </w:rPr>
      </w:pPr>
      <w:r w:rsidRPr="00DE096C">
        <w:rPr>
          <w:bCs/>
          <w:color w:val="002060"/>
          <w:sz w:val="16"/>
          <w:szCs w:val="16"/>
        </w:rPr>
        <w:t xml:space="preserve">В войну авиация вступала без особой уверенности в надежности воздушных путей. В боевых условиях при отсутствии аэродромных удобств мирного времени необходимо было считаться с большими потерями в личном составе и материальной части. Так как в 1914 г. истребительной авиации еще не было, а маневренные </w:t>
      </w:r>
      <w:r w:rsidRPr="00DE096C">
        <w:rPr>
          <w:bCs/>
          <w:color w:val="002060"/>
          <w:sz w:val="16"/>
          <w:szCs w:val="16"/>
        </w:rPr>
        <w:lastRenderedPageBreak/>
        <w:t>опыты не давали сколько-нибудь удовлетворительных надежд на возможность сбивания самолетов огнем с земли, то наибольшей опасностью для летчиков и наибольшим препятствием для выполнения задач в военных условиях нужно было считать именно самый процесс полета, а не боевые действия в воздухе. Самолеты, которые надеялись сбивать противника в воздушном бою, «дав струю», не могли рассчитывать на непрерывность работы вследствие атмосферных условий. [72] ((11335)).</w:t>
      </w:r>
    </w:p>
    <w:p w14:paraId="7CDFF937" w14:textId="77777777" w:rsidR="00955729" w:rsidRPr="00DE096C" w:rsidRDefault="00955729" w:rsidP="00D45A46">
      <w:pPr>
        <w:shd w:val="clear" w:color="auto" w:fill="FFFFFF"/>
        <w:jc w:val="both"/>
        <w:rPr>
          <w:bCs/>
          <w:color w:val="002060"/>
          <w:sz w:val="16"/>
          <w:szCs w:val="16"/>
        </w:rPr>
      </w:pPr>
    </w:p>
    <w:p w14:paraId="22661F06" w14:textId="464DC5F5" w:rsidR="00DF0691" w:rsidRPr="00DE096C" w:rsidRDefault="00DF0691" w:rsidP="00D45A46">
      <w:pPr>
        <w:pStyle w:val="a3"/>
        <w:jc w:val="both"/>
        <w:rPr>
          <w:bCs/>
          <w:color w:val="002060"/>
          <w:spacing w:val="0"/>
          <w:kern w:val="0"/>
          <w:position w:val="0"/>
          <w:sz w:val="16"/>
          <w:szCs w:val="16"/>
        </w:rPr>
      </w:pPr>
      <w:r w:rsidRPr="00DE096C">
        <w:rPr>
          <w:bCs/>
          <w:color w:val="002060"/>
          <w:spacing w:val="0"/>
          <w:kern w:val="0"/>
          <w:position w:val="0"/>
          <w:sz w:val="16"/>
          <w:szCs w:val="16"/>
        </w:rPr>
        <w:t>Воздухоплавание:</w:t>
      </w:r>
    </w:p>
    <w:p w14:paraId="42C0EF3D" w14:textId="77777777" w:rsidR="00DF0691" w:rsidRPr="00DE096C" w:rsidRDefault="00DF0691" w:rsidP="00D45A46">
      <w:pPr>
        <w:pStyle w:val="a3"/>
        <w:jc w:val="both"/>
        <w:rPr>
          <w:bCs/>
          <w:color w:val="002060"/>
          <w:spacing w:val="0"/>
          <w:kern w:val="0"/>
          <w:position w:val="0"/>
          <w:sz w:val="16"/>
          <w:szCs w:val="16"/>
        </w:rPr>
      </w:pPr>
    </w:p>
    <w:p w14:paraId="6A144978" w14:textId="77777777" w:rsidR="00DF0691" w:rsidRPr="00DE096C" w:rsidRDefault="00DF0691" w:rsidP="00D45A46">
      <w:pPr>
        <w:pStyle w:val="book"/>
        <w:spacing w:before="0" w:beforeAutospacing="0" w:after="0" w:afterAutospacing="0"/>
        <w:jc w:val="both"/>
        <w:rPr>
          <w:bCs/>
          <w:color w:val="002060"/>
          <w:sz w:val="16"/>
          <w:szCs w:val="16"/>
        </w:rPr>
      </w:pPr>
      <w:r w:rsidRPr="00DE096C">
        <w:rPr>
          <w:bCs/>
          <w:color w:val="002060"/>
          <w:sz w:val="16"/>
          <w:szCs w:val="16"/>
        </w:rPr>
        <w:t>К 1 (14) января 1914 г. тот же Сухомлинов признал необходимым уничтожить воз</w:t>
      </w:r>
      <w:r w:rsidRPr="00DE096C">
        <w:rPr>
          <w:bCs/>
          <w:color w:val="002060"/>
          <w:sz w:val="16"/>
          <w:szCs w:val="16"/>
        </w:rPr>
        <w:softHyphen/>
        <w:t>духоплавательную часть в Главном Управлении Гене</w:t>
      </w:r>
      <w:r w:rsidRPr="00DE096C">
        <w:rPr>
          <w:bCs/>
          <w:color w:val="002060"/>
          <w:sz w:val="16"/>
          <w:szCs w:val="16"/>
        </w:rPr>
        <w:softHyphen/>
        <w:t>рального штаба и передать его (воздухоплавательное дело</w:t>
      </w:r>
      <w:r w:rsidRPr="00DE096C">
        <w:rPr>
          <w:rStyle w:val="6"/>
          <w:bCs/>
          <w:color w:val="002060"/>
          <w:sz w:val="16"/>
          <w:szCs w:val="16"/>
        </w:rPr>
        <w:t>)</w:t>
      </w:r>
      <w:r w:rsidRPr="00DE096C">
        <w:rPr>
          <w:bCs/>
          <w:color w:val="002060"/>
          <w:sz w:val="16"/>
          <w:szCs w:val="16"/>
        </w:rPr>
        <w:t xml:space="preserve"> вместе с другими отраслями Инженер</w:t>
      </w:r>
      <w:r w:rsidRPr="00DE096C">
        <w:rPr>
          <w:bCs/>
          <w:color w:val="002060"/>
          <w:sz w:val="16"/>
          <w:szCs w:val="16"/>
        </w:rPr>
        <w:softHyphen/>
        <w:t>ного дела — железнодорожным и автомобильным — вновь в Главное Инженерное Управление (20120).</w:t>
      </w:r>
    </w:p>
    <w:p w14:paraId="2753751C" w14:textId="77777777" w:rsidR="00DF0691" w:rsidRPr="00DE096C" w:rsidRDefault="00DF0691" w:rsidP="00D45A46">
      <w:pPr>
        <w:pStyle w:val="book"/>
        <w:spacing w:before="0" w:beforeAutospacing="0" w:after="0" w:afterAutospacing="0"/>
        <w:jc w:val="both"/>
        <w:rPr>
          <w:bCs/>
          <w:color w:val="002060"/>
          <w:sz w:val="16"/>
          <w:szCs w:val="16"/>
        </w:rPr>
      </w:pPr>
    </w:p>
    <w:p w14:paraId="4B896A60" w14:textId="6218EF89" w:rsidR="009C16F9" w:rsidRPr="00DE096C" w:rsidRDefault="009C16F9" w:rsidP="00D45A46">
      <w:pPr>
        <w:pStyle w:val="a3"/>
        <w:jc w:val="both"/>
        <w:rPr>
          <w:bCs/>
          <w:color w:val="002060"/>
          <w:spacing w:val="0"/>
          <w:kern w:val="0"/>
          <w:position w:val="0"/>
          <w:sz w:val="16"/>
          <w:szCs w:val="16"/>
        </w:rPr>
      </w:pPr>
      <w:bookmarkStart w:id="1" w:name="_Hlk52629906"/>
      <w:r w:rsidRPr="00DE096C">
        <w:rPr>
          <w:bCs/>
          <w:color w:val="002060"/>
          <w:spacing w:val="0"/>
          <w:kern w:val="0"/>
          <w:position w:val="0"/>
          <w:sz w:val="16"/>
          <w:szCs w:val="16"/>
        </w:rPr>
        <w:t>Жизнь и внутренняя политика:</w:t>
      </w:r>
    </w:p>
    <w:p w14:paraId="71C2D471" w14:textId="77777777" w:rsidR="009C16F9" w:rsidRPr="00DE096C" w:rsidRDefault="009C16F9" w:rsidP="00D45A46">
      <w:pPr>
        <w:pStyle w:val="a3"/>
        <w:jc w:val="both"/>
        <w:rPr>
          <w:bCs/>
          <w:color w:val="002060"/>
          <w:spacing w:val="0"/>
          <w:kern w:val="0"/>
          <w:position w:val="0"/>
          <w:sz w:val="16"/>
          <w:szCs w:val="16"/>
        </w:rPr>
      </w:pPr>
    </w:p>
    <w:p w14:paraId="5853C406" w14:textId="7BC8F389" w:rsidR="009C16F9" w:rsidRPr="00DE096C" w:rsidRDefault="009121A9" w:rsidP="00D45A46">
      <w:pPr>
        <w:pStyle w:val="af3"/>
        <w:rPr>
          <w:rFonts w:ascii="Times New Roman" w:hAnsi="Times New Roman" w:cs="Times New Roman"/>
          <w:bCs/>
          <w:color w:val="002060"/>
          <w:sz w:val="16"/>
          <w:szCs w:val="16"/>
          <w:shd w:val="clear" w:color="auto" w:fill="FFFFFF"/>
        </w:rPr>
      </w:pPr>
      <w:r w:rsidRPr="00DE096C">
        <w:rPr>
          <w:rFonts w:ascii="Times New Roman" w:hAnsi="Times New Roman" w:cs="Times New Roman"/>
          <w:bCs/>
          <w:color w:val="002060"/>
          <w:sz w:val="16"/>
          <w:szCs w:val="16"/>
          <w:shd w:val="clear" w:color="auto" w:fill="FFFFFF"/>
        </w:rPr>
        <w:t>Н</w:t>
      </w:r>
      <w:r w:rsidR="009C16F9" w:rsidRPr="00DE096C">
        <w:rPr>
          <w:rFonts w:ascii="Times New Roman" w:hAnsi="Times New Roman" w:cs="Times New Roman"/>
          <w:bCs/>
          <w:color w:val="002060"/>
          <w:sz w:val="16"/>
          <w:szCs w:val="16"/>
        </w:rPr>
        <w:t xml:space="preserve">а 1 (14) января 1914 г. в стране насчитывалось 50 коммерческих банков, 319 городских и 1108 обществ взаимного кредита. Активно работали сословные корпоративные банки – Крестьянский поземельный и Дворянский земельный </w:t>
      </w:r>
      <w:r w:rsidR="009C16F9" w:rsidRPr="00DE096C">
        <w:rPr>
          <w:rFonts w:ascii="Times New Roman" w:hAnsi="Times New Roman" w:cs="Times New Roman"/>
          <w:bCs/>
          <w:color w:val="002060"/>
          <w:sz w:val="16"/>
          <w:szCs w:val="16"/>
          <w:shd w:val="clear" w:color="auto" w:fill="FFFFFF"/>
        </w:rPr>
        <w:t>(20057).</w:t>
      </w:r>
    </w:p>
    <w:p w14:paraId="2093F239" w14:textId="77777777" w:rsidR="009C16F9" w:rsidRPr="00DE096C" w:rsidRDefault="009C16F9" w:rsidP="00D45A46">
      <w:pPr>
        <w:pStyle w:val="book"/>
        <w:spacing w:before="0" w:beforeAutospacing="0" w:after="0" w:afterAutospacing="0"/>
        <w:jc w:val="both"/>
        <w:rPr>
          <w:bCs/>
          <w:color w:val="002060"/>
          <w:sz w:val="16"/>
          <w:szCs w:val="16"/>
        </w:rPr>
      </w:pPr>
    </w:p>
    <w:bookmarkEnd w:id="1"/>
    <w:p w14:paraId="757C81F1"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 и воздухоплавание Франции:</w:t>
      </w:r>
    </w:p>
    <w:p w14:paraId="4491DF54" w14:textId="77777777" w:rsidR="00B67D7C" w:rsidRPr="00DE096C" w:rsidRDefault="00B67D7C" w:rsidP="00D45A46">
      <w:pPr>
        <w:shd w:val="clear" w:color="auto" w:fill="FFFFFF"/>
        <w:jc w:val="both"/>
        <w:rPr>
          <w:bCs/>
          <w:i/>
          <w:color w:val="002060"/>
          <w:sz w:val="16"/>
          <w:szCs w:val="16"/>
        </w:rPr>
      </w:pPr>
    </w:p>
    <w:p w14:paraId="2B317F32" w14:textId="77777777" w:rsidR="00B67D7C" w:rsidRPr="00DE096C" w:rsidRDefault="00B67D7C" w:rsidP="00D45A46">
      <w:pPr>
        <w:jc w:val="both"/>
        <w:rPr>
          <w:bCs/>
          <w:color w:val="002060"/>
          <w:sz w:val="16"/>
          <w:szCs w:val="16"/>
        </w:rPr>
      </w:pPr>
      <w:r w:rsidRPr="00DE096C">
        <w:rPr>
          <w:bCs/>
          <w:color w:val="002060"/>
          <w:sz w:val="16"/>
          <w:szCs w:val="16"/>
        </w:rPr>
        <w:t>К 1 (14) января 1914 года по общему объему своих дирижаблей (116 600 куб. м) Франция находилась на втором месте в мире, уступая лишь Германии. Начало войны в августе 1914 года застигло французское воздухоплавание в состоянии почти абсолютной неподготовленности к ведению боевых действий. И это несмотря на то, что воздухоплаванием во Франции занимались уже давно и на эти [321] цели были израсходованы большие деньги. Весь парк управляемых аэростатов мягкого типа, которые находились в распоряжении сухопутной армии, устарел. До войны жесткие дирижабли во Франции не получили развития (11324).</w:t>
      </w:r>
    </w:p>
    <w:p w14:paraId="24E9674D" w14:textId="77777777" w:rsidR="00B67D7C" w:rsidRPr="00DE096C" w:rsidRDefault="00B67D7C" w:rsidP="00D45A46">
      <w:pPr>
        <w:pStyle w:val="a3"/>
        <w:jc w:val="both"/>
        <w:rPr>
          <w:bCs/>
          <w:i w:val="0"/>
          <w:color w:val="002060"/>
          <w:spacing w:val="0"/>
          <w:kern w:val="0"/>
          <w:position w:val="0"/>
          <w:sz w:val="16"/>
          <w:szCs w:val="16"/>
        </w:rPr>
      </w:pPr>
    </w:p>
    <w:p w14:paraId="292CA90D" w14:textId="6733D5CA"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1 (14) января 1914 года летчик Марк Пурп отправился в воздушный рейд по маршруту Каир-Хартум-Каир, протяженностью 4400 км, который он с успехом закончил 3 февраля. Столь значительные успехи побудили авиационную компанию Гремаха Уайта, расположенную в Хендоне, купить лицензию на производство самолета "Моран-Солнье" тип Н. До начала войны там построили и передали в RFC 34 машины, предназначенные для обучения летного состава. А общее количество построенных во Франции "Моранов" типов Н и G составило 94 машины. Причем последние строились в двух вариантах - GA и GB, отличавшиеся моторами "Рон" 80 л. с. на первом и "Гном" 80 л. с. на втором. В 1913 году появилась новая модификация "Морана" - тип L несколько необычного вида из-за своего крыла, поднятого высоко над фюзеляжем. Такая компоновка впоследствии получила название "парасоль" (буквально "зонтик"). Новый самолет являлся развитием типа G, имел аналогичный фюзеляж и крыло такого же размаха. Крыло было поднято для улучшения обзора вниз. Тип L стал самым массовым из "Моранов" (построено более 600 экземпляров) (11265).</w:t>
      </w:r>
    </w:p>
    <w:p w14:paraId="315E146A" w14:textId="77777777" w:rsidR="00B67D7C" w:rsidRPr="00DE096C" w:rsidRDefault="00B67D7C" w:rsidP="00D45A46">
      <w:pPr>
        <w:pStyle w:val="a3"/>
        <w:jc w:val="both"/>
        <w:rPr>
          <w:bCs/>
          <w:i w:val="0"/>
          <w:color w:val="002060"/>
          <w:spacing w:val="0"/>
          <w:kern w:val="0"/>
          <w:position w:val="0"/>
          <w:sz w:val="16"/>
          <w:szCs w:val="16"/>
        </w:rPr>
      </w:pPr>
    </w:p>
    <w:p w14:paraId="5041750E" w14:textId="304EA1B9" w:rsidR="009C16F9" w:rsidRPr="00DE096C" w:rsidRDefault="009C16F9" w:rsidP="00D45A46">
      <w:pPr>
        <w:shd w:val="clear" w:color="auto" w:fill="FFFFFF"/>
        <w:jc w:val="both"/>
        <w:rPr>
          <w:bCs/>
          <w:i/>
          <w:color w:val="002060"/>
          <w:sz w:val="16"/>
          <w:szCs w:val="16"/>
        </w:rPr>
      </w:pPr>
      <w:r w:rsidRPr="00DE096C">
        <w:rPr>
          <w:bCs/>
          <w:i/>
          <w:color w:val="002060"/>
          <w:sz w:val="16"/>
          <w:szCs w:val="16"/>
        </w:rPr>
        <w:t>Авиация и воздухоплавание Англии:</w:t>
      </w:r>
    </w:p>
    <w:p w14:paraId="7A348143" w14:textId="77777777" w:rsidR="009C16F9" w:rsidRPr="00DE096C" w:rsidRDefault="009C16F9" w:rsidP="00D45A46">
      <w:pPr>
        <w:shd w:val="clear" w:color="auto" w:fill="FFFFFF"/>
        <w:jc w:val="both"/>
        <w:rPr>
          <w:bCs/>
          <w:i/>
          <w:color w:val="002060"/>
          <w:sz w:val="16"/>
          <w:szCs w:val="16"/>
        </w:rPr>
      </w:pPr>
    </w:p>
    <w:p w14:paraId="4C7E4EFE" w14:textId="77777777" w:rsidR="00DE096C" w:rsidRPr="00B52707" w:rsidRDefault="00DE096C" w:rsidP="00DE096C">
      <w:pPr>
        <w:jc w:val="both"/>
        <w:rPr>
          <w:color w:val="0070C0"/>
          <w:sz w:val="16"/>
          <w:szCs w:val="16"/>
        </w:rPr>
      </w:pPr>
      <w:r w:rsidRPr="00B52707">
        <w:rPr>
          <w:rStyle w:val="ab"/>
          <w:rFonts w:ascii="Times New Roman" w:hAnsi="Times New Roman"/>
          <w:color w:val="0070C0"/>
          <w:spacing w:val="0"/>
          <w:sz w:val="16"/>
          <w:szCs w:val="16"/>
        </w:rPr>
        <w:t>1 (14) ян</w:t>
      </w:r>
      <w:r w:rsidRPr="00B52707">
        <w:rPr>
          <w:rStyle w:val="ab"/>
          <w:rFonts w:ascii="Times New Roman" w:hAnsi="Times New Roman"/>
          <w:color w:val="0070C0"/>
          <w:spacing w:val="0"/>
          <w:sz w:val="16"/>
          <w:szCs w:val="16"/>
        </w:rPr>
        <w:softHyphen/>
        <w:t>варя 1914 г. летчик М. Пурп отправился в воздушный рейд по маршруту Каир—Хартум—Каир протяженностью 4400 км, который он с успехом закончил 3 февраля. Столь значительные успехи побудили Великобританию купить лицензию на самолет «Моран-Солнье» тип Н (25675).</w:t>
      </w:r>
    </w:p>
    <w:p w14:paraId="24A9497B" w14:textId="77777777" w:rsidR="00DE096C" w:rsidRPr="00B52707" w:rsidRDefault="00DE096C" w:rsidP="00DE096C">
      <w:pPr>
        <w:jc w:val="both"/>
        <w:rPr>
          <w:color w:val="0070C0"/>
          <w:sz w:val="16"/>
          <w:szCs w:val="16"/>
        </w:rPr>
      </w:pPr>
    </w:p>
    <w:p w14:paraId="6A755270" w14:textId="03EAABDD" w:rsidR="00DE096C" w:rsidRPr="00DE096C" w:rsidRDefault="00DE096C" w:rsidP="00DE096C">
      <w:pPr>
        <w:shd w:val="clear" w:color="auto" w:fill="FFFFFF"/>
        <w:jc w:val="both"/>
        <w:rPr>
          <w:bCs/>
          <w:i/>
          <w:color w:val="002060"/>
          <w:sz w:val="16"/>
          <w:szCs w:val="16"/>
        </w:rPr>
      </w:pPr>
      <w:r w:rsidRPr="00DE096C">
        <w:rPr>
          <w:bCs/>
          <w:i/>
          <w:color w:val="002060"/>
          <w:sz w:val="16"/>
          <w:szCs w:val="16"/>
        </w:rPr>
        <w:t xml:space="preserve">Авиация и воздухоплавание </w:t>
      </w:r>
      <w:r>
        <w:rPr>
          <w:bCs/>
          <w:i/>
          <w:color w:val="002060"/>
          <w:sz w:val="16"/>
          <w:szCs w:val="16"/>
        </w:rPr>
        <w:t>Франции</w:t>
      </w:r>
      <w:r w:rsidRPr="00DE096C">
        <w:rPr>
          <w:bCs/>
          <w:i/>
          <w:color w:val="002060"/>
          <w:sz w:val="16"/>
          <w:szCs w:val="16"/>
        </w:rPr>
        <w:t>:</w:t>
      </w:r>
    </w:p>
    <w:p w14:paraId="31E87F69" w14:textId="77777777" w:rsidR="00DE096C" w:rsidRPr="00DE096C" w:rsidRDefault="00DE096C" w:rsidP="00DE096C">
      <w:pPr>
        <w:shd w:val="clear" w:color="auto" w:fill="FFFFFF"/>
        <w:jc w:val="both"/>
        <w:rPr>
          <w:bCs/>
          <w:i/>
          <w:color w:val="002060"/>
          <w:sz w:val="16"/>
          <w:szCs w:val="16"/>
        </w:rPr>
      </w:pPr>
    </w:p>
    <w:p w14:paraId="3D65CA37" w14:textId="77777777" w:rsidR="00DE096C" w:rsidRPr="00B52707" w:rsidRDefault="00DE096C" w:rsidP="00DE096C">
      <w:pPr>
        <w:jc w:val="both"/>
        <w:rPr>
          <w:color w:val="0070C0"/>
          <w:sz w:val="16"/>
          <w:szCs w:val="16"/>
        </w:rPr>
      </w:pPr>
      <w:r w:rsidRPr="00B52707">
        <w:rPr>
          <w:color w:val="0070C0"/>
          <w:sz w:val="16"/>
          <w:szCs w:val="16"/>
        </w:rPr>
        <w:t>2 (15) января 1914 года в видах проверки заявлений г. Жапуара начальник Генерального Штаба послал запрос относительно фирмы Депердюссен нашему военному агенту в Парнасе, полк. Игнатьеву. Последний сообщил, что, по наведенным справкам, французское военное министерство считает названную фирму вполне надежной и что она бле</w:t>
      </w:r>
      <w:r w:rsidRPr="00B52707">
        <w:rPr>
          <w:color w:val="0070C0"/>
          <w:sz w:val="16"/>
          <w:szCs w:val="16"/>
        </w:rPr>
        <w:softHyphen/>
        <w:t>стяще выполняет заказы, почему в будущем может рассчи</w:t>
      </w:r>
      <w:r w:rsidRPr="00B52707">
        <w:rPr>
          <w:color w:val="0070C0"/>
          <w:sz w:val="16"/>
          <w:szCs w:val="16"/>
        </w:rPr>
        <w:softHyphen/>
        <w:t>тывать па военные заказы. Затем 5 марта 1914 года после заседания Технического Комитета ГВТ.У вновь запросило Игнатьева, действительно ли французским военным ведом</w:t>
      </w:r>
      <w:r w:rsidRPr="00B52707">
        <w:rPr>
          <w:color w:val="0070C0"/>
          <w:sz w:val="16"/>
          <w:szCs w:val="16"/>
        </w:rPr>
        <w:softHyphen/>
        <w:t>ством в 1914 году будут даны заказы фирме Депердюссен, на что последовал ответ, что фирме Депердюссен так же, как и другим фирмам, в течение 1914 года заказано будет от 10 до 20 аппаратов на предмет пополнения существующих эскадрилий. Только после этого наше военное ведомство решило заказать аэропланы системы Депердюссен.</w:t>
      </w:r>
    </w:p>
    <w:p w14:paraId="050B7E78" w14:textId="77777777" w:rsidR="00DE096C" w:rsidRPr="00B52707" w:rsidRDefault="00DE096C" w:rsidP="00DE096C">
      <w:pPr>
        <w:jc w:val="both"/>
        <w:rPr>
          <w:color w:val="0070C0"/>
          <w:sz w:val="16"/>
          <w:szCs w:val="16"/>
        </w:rPr>
      </w:pPr>
      <w:r w:rsidRPr="00B52707">
        <w:rPr>
          <w:color w:val="0070C0"/>
          <w:sz w:val="16"/>
          <w:szCs w:val="16"/>
        </w:rPr>
        <w:t>Таким образом, вследствие заключения Технического Комитета, для снабжения наших авиационных отрядов из числа новых, еще недостаточно испытанных, систем были выбраны системы: Депердюссен, Моран-Парасоль и Вуазен (24923).</w:t>
      </w:r>
    </w:p>
    <w:p w14:paraId="24FF76F2" w14:textId="77777777" w:rsidR="00DE096C" w:rsidRPr="00B52707" w:rsidRDefault="00DE096C" w:rsidP="00DE096C">
      <w:pPr>
        <w:jc w:val="both"/>
        <w:rPr>
          <w:color w:val="0070C0"/>
          <w:sz w:val="16"/>
          <w:szCs w:val="16"/>
        </w:rPr>
      </w:pPr>
    </w:p>
    <w:p w14:paraId="2063FC95" w14:textId="77777777" w:rsidR="00DE096C" w:rsidRPr="00DE096C" w:rsidRDefault="00DE096C" w:rsidP="00DE096C">
      <w:pPr>
        <w:shd w:val="clear" w:color="auto" w:fill="FFFFFF"/>
        <w:jc w:val="both"/>
        <w:rPr>
          <w:bCs/>
          <w:i/>
          <w:color w:val="002060"/>
          <w:sz w:val="16"/>
          <w:szCs w:val="16"/>
        </w:rPr>
      </w:pPr>
      <w:r w:rsidRPr="00DE096C">
        <w:rPr>
          <w:bCs/>
          <w:i/>
          <w:color w:val="002060"/>
          <w:sz w:val="16"/>
          <w:szCs w:val="16"/>
        </w:rPr>
        <w:t>Авиация и воздухоплавание Англии:</w:t>
      </w:r>
    </w:p>
    <w:p w14:paraId="36DD9DA5" w14:textId="77777777" w:rsidR="00DE096C" w:rsidRPr="00DE096C" w:rsidRDefault="00DE096C" w:rsidP="00DE096C">
      <w:pPr>
        <w:shd w:val="clear" w:color="auto" w:fill="FFFFFF"/>
        <w:jc w:val="both"/>
        <w:rPr>
          <w:bCs/>
          <w:i/>
          <w:color w:val="002060"/>
          <w:sz w:val="16"/>
          <w:szCs w:val="16"/>
        </w:rPr>
      </w:pPr>
    </w:p>
    <w:p w14:paraId="6EF5A1A6" w14:textId="77777777" w:rsidR="00DE096C" w:rsidRPr="00DE096C" w:rsidRDefault="00DE096C" w:rsidP="00DE096C">
      <w:pPr>
        <w:jc w:val="both"/>
        <w:rPr>
          <w:bCs/>
          <w:color w:val="002060"/>
          <w:sz w:val="16"/>
          <w:szCs w:val="16"/>
        </w:rPr>
      </w:pPr>
      <w:r w:rsidRPr="00DE096C">
        <w:rPr>
          <w:bCs/>
          <w:color w:val="002060"/>
          <w:sz w:val="16"/>
          <w:szCs w:val="16"/>
        </w:rPr>
        <w:t>2 (15) января 1914 Трехоук Дэвис, летящая в качестве пассажира в самолете, пилотируемом британским летчиком Густавом Хамелем, становится первой женщиной, выполнившей мертвую петлю (20337).</w:t>
      </w:r>
    </w:p>
    <w:p w14:paraId="60474DEC" w14:textId="77777777" w:rsidR="00DE096C" w:rsidRPr="00DE096C" w:rsidRDefault="00DE096C" w:rsidP="00DE096C">
      <w:pPr>
        <w:jc w:val="both"/>
        <w:rPr>
          <w:bCs/>
          <w:color w:val="002060"/>
          <w:sz w:val="16"/>
          <w:szCs w:val="16"/>
        </w:rPr>
      </w:pPr>
    </w:p>
    <w:p w14:paraId="70B55646" w14:textId="7C40E298" w:rsidR="00EF3360" w:rsidRPr="00DE096C" w:rsidRDefault="00EF3360" w:rsidP="00D45A46">
      <w:pPr>
        <w:pStyle w:val="a3"/>
        <w:jc w:val="both"/>
        <w:rPr>
          <w:bCs/>
          <w:color w:val="002060"/>
          <w:spacing w:val="0"/>
          <w:kern w:val="0"/>
          <w:position w:val="0"/>
          <w:sz w:val="16"/>
          <w:szCs w:val="16"/>
        </w:rPr>
      </w:pPr>
      <w:r w:rsidRPr="00DE096C">
        <w:rPr>
          <w:bCs/>
          <w:color w:val="002060"/>
          <w:spacing w:val="0"/>
          <w:kern w:val="0"/>
          <w:position w:val="0"/>
          <w:sz w:val="16"/>
          <w:szCs w:val="16"/>
        </w:rPr>
        <w:t>Авиация:</w:t>
      </w:r>
    </w:p>
    <w:p w14:paraId="76E9554E" w14:textId="77777777" w:rsidR="00EF3360" w:rsidRPr="00DE096C" w:rsidRDefault="00EF3360" w:rsidP="00D45A46">
      <w:pPr>
        <w:pStyle w:val="a3"/>
        <w:jc w:val="both"/>
        <w:rPr>
          <w:bCs/>
          <w:color w:val="002060"/>
          <w:spacing w:val="0"/>
          <w:kern w:val="0"/>
          <w:position w:val="0"/>
          <w:sz w:val="16"/>
          <w:szCs w:val="16"/>
        </w:rPr>
      </w:pPr>
    </w:p>
    <w:p w14:paraId="707A809A" w14:textId="34CF3473" w:rsidR="00EF3360" w:rsidRPr="00DE096C" w:rsidRDefault="00DE096C" w:rsidP="00D45A46">
      <w:pPr>
        <w:jc w:val="both"/>
        <w:rPr>
          <w:bCs/>
          <w:color w:val="002060"/>
          <w:sz w:val="16"/>
          <w:szCs w:val="16"/>
          <w:lang w:bidi="en-US"/>
        </w:rPr>
      </w:pPr>
      <w:r>
        <w:rPr>
          <w:bCs/>
          <w:color w:val="002060"/>
          <w:sz w:val="16"/>
          <w:szCs w:val="16"/>
          <w:lang w:bidi="en-US"/>
        </w:rPr>
        <w:t>3 (</w:t>
      </w:r>
      <w:r w:rsidR="00EF3360" w:rsidRPr="00DE096C">
        <w:rPr>
          <w:bCs/>
          <w:color w:val="002060"/>
          <w:sz w:val="16"/>
          <w:szCs w:val="16"/>
          <w:lang w:bidi="en-US"/>
        </w:rPr>
        <w:t>16</w:t>
      </w:r>
      <w:r>
        <w:rPr>
          <w:bCs/>
          <w:color w:val="002060"/>
          <w:sz w:val="16"/>
          <w:szCs w:val="16"/>
          <w:lang w:bidi="en-US"/>
        </w:rPr>
        <w:t>)</w:t>
      </w:r>
      <w:r w:rsidR="00EF3360" w:rsidRPr="00DE096C">
        <w:rPr>
          <w:bCs/>
          <w:color w:val="002060"/>
          <w:sz w:val="16"/>
          <w:szCs w:val="16"/>
          <w:lang w:bidi="en-US"/>
        </w:rPr>
        <w:t xml:space="preserve"> января 1914 г. Военным ведомством был издан Приказ № 4, которым была введена специальная форма одежды для военной авиации, как парадная, так и летняя. Раньше первые военные летчики, почти сплошь офицеры, носили форму родов войск, из которых они пришли, преобладали артиллеристы и инженеры, а также гвардейцы. Летному составу были выданы кожаные шлемы, складная фуражка, кожаная куртка, суконная куртка, широкие кожаные штаны и кожаные перчатки (23525).</w:t>
      </w:r>
    </w:p>
    <w:p w14:paraId="26A48A1C" w14:textId="77777777" w:rsidR="00EF3360" w:rsidRPr="00DE096C" w:rsidRDefault="00EF3360" w:rsidP="00D45A46">
      <w:pPr>
        <w:jc w:val="both"/>
        <w:rPr>
          <w:bCs/>
          <w:color w:val="002060"/>
          <w:sz w:val="16"/>
          <w:szCs w:val="16"/>
        </w:rPr>
      </w:pPr>
    </w:p>
    <w:p w14:paraId="0142054C" w14:textId="77BBB3B0"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Самолетостроение:</w:t>
      </w:r>
    </w:p>
    <w:p w14:paraId="5CD1DF78" w14:textId="77777777" w:rsidR="00B67D7C" w:rsidRPr="00DE096C" w:rsidRDefault="00B67D7C" w:rsidP="00D45A46">
      <w:pPr>
        <w:pStyle w:val="a3"/>
        <w:jc w:val="both"/>
        <w:rPr>
          <w:bCs/>
          <w:color w:val="002060"/>
          <w:spacing w:val="0"/>
          <w:kern w:val="0"/>
          <w:position w:val="0"/>
          <w:sz w:val="16"/>
          <w:szCs w:val="16"/>
        </w:rPr>
      </w:pPr>
    </w:p>
    <w:p w14:paraId="7A76D489" w14:textId="75B00238" w:rsidR="00B67D7C" w:rsidRPr="00DE096C" w:rsidRDefault="00B67D7C" w:rsidP="00D45A46">
      <w:pPr>
        <w:shd w:val="clear" w:color="auto" w:fill="FFFFFF"/>
        <w:jc w:val="both"/>
        <w:rPr>
          <w:bCs/>
          <w:color w:val="002060"/>
          <w:sz w:val="16"/>
          <w:szCs w:val="16"/>
        </w:rPr>
      </w:pPr>
      <w:r w:rsidRPr="00DE096C">
        <w:rPr>
          <w:bCs/>
          <w:color w:val="002060"/>
          <w:sz w:val="16"/>
          <w:szCs w:val="16"/>
        </w:rPr>
        <w:t>4 (17) января 1914 г. от Службы связи Черного моря поступил запрос о выделении для опытов 1 станции «Французского радиоэлектрического общества» (ЗоаёЧё Ргап$а1$е Кас1юё1ес11^ие), 1 германской станции «Телефункен» (Те1еГипкеп) и 2 станций «системы Морского Ведомства». Двадцать четвертого мая и. д. электротехника Северного воздушного района мичман В. Н. Сахаров докла</w:t>
      </w:r>
      <w:r w:rsidRPr="00DE096C">
        <w:rPr>
          <w:bCs/>
          <w:color w:val="002060"/>
          <w:sz w:val="16"/>
          <w:szCs w:val="16"/>
        </w:rPr>
        <w:softHyphen/>
        <w:t>дывал заведующему авиацией Службы связи инженеру-механику лейтенанту И. И. Стаховскому:</w:t>
      </w:r>
    </w:p>
    <w:p w14:paraId="3BC47E3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 &lt;...&gt;Мною вполне закончена установка на гидроаэроплане № 14 радиотелеграфной передаточной станции французской системы, которая в испытаниях, произведенных 14,19,23 и 24 мая сего года показала себя вполне безопасной в пожарном отношении, своей сетью и проводкой не препятствующей органам управления &lt;...&gt;, а также не бьющей и не дающей искру при касании к металлическим частям во время работы. &lt;...&gt; Вышеозначенная радио</w:t>
      </w:r>
      <w:r w:rsidRPr="00DE096C">
        <w:rPr>
          <w:bCs/>
          <w:color w:val="002060"/>
          <w:sz w:val="16"/>
          <w:szCs w:val="16"/>
        </w:rPr>
        <w:softHyphen/>
        <w:t>станция, может быть снята и установлена вновь на гидроаэроплане в промежуток времени не более двух часов» (2807).</w:t>
      </w:r>
    </w:p>
    <w:p w14:paraId="7C29B8FF" w14:textId="02F2F162" w:rsidR="00B67D7C" w:rsidRPr="00DE096C" w:rsidRDefault="00B67D7C" w:rsidP="00D45A46">
      <w:pPr>
        <w:shd w:val="clear" w:color="auto" w:fill="FFFFFF"/>
        <w:jc w:val="both"/>
        <w:rPr>
          <w:bCs/>
          <w:color w:val="002060"/>
          <w:sz w:val="16"/>
          <w:szCs w:val="16"/>
        </w:rPr>
      </w:pPr>
    </w:p>
    <w:p w14:paraId="0043F3D7" w14:textId="77777777" w:rsidR="009C16F9" w:rsidRPr="00DE096C" w:rsidRDefault="009C16F9" w:rsidP="00D45A46">
      <w:pPr>
        <w:shd w:val="clear" w:color="auto" w:fill="FFFFFF"/>
        <w:jc w:val="both"/>
        <w:rPr>
          <w:bCs/>
          <w:i/>
          <w:color w:val="002060"/>
          <w:sz w:val="16"/>
          <w:szCs w:val="16"/>
        </w:rPr>
      </w:pPr>
      <w:r w:rsidRPr="00DE096C">
        <w:rPr>
          <w:bCs/>
          <w:i/>
          <w:color w:val="002060"/>
          <w:sz w:val="16"/>
          <w:szCs w:val="16"/>
        </w:rPr>
        <w:t>Авиация и воздухоплавание Англии:</w:t>
      </w:r>
    </w:p>
    <w:p w14:paraId="49EE20BF" w14:textId="77777777" w:rsidR="009C16F9" w:rsidRPr="00DE096C" w:rsidRDefault="009C16F9" w:rsidP="00D45A46">
      <w:pPr>
        <w:shd w:val="clear" w:color="auto" w:fill="FFFFFF"/>
        <w:jc w:val="both"/>
        <w:rPr>
          <w:bCs/>
          <w:i/>
          <w:color w:val="002060"/>
          <w:sz w:val="16"/>
          <w:szCs w:val="16"/>
        </w:rPr>
      </w:pPr>
    </w:p>
    <w:p w14:paraId="2710D5F5" w14:textId="77777777" w:rsidR="009C16F9" w:rsidRPr="00DE096C" w:rsidRDefault="009C16F9" w:rsidP="00D45A46">
      <w:pPr>
        <w:jc w:val="both"/>
        <w:rPr>
          <w:bCs/>
          <w:color w:val="002060"/>
          <w:sz w:val="16"/>
          <w:szCs w:val="16"/>
        </w:rPr>
      </w:pPr>
      <w:r w:rsidRPr="00DE096C">
        <w:rPr>
          <w:bCs/>
          <w:color w:val="002060"/>
          <w:sz w:val="16"/>
          <w:szCs w:val="16"/>
        </w:rPr>
        <w:t>4 (17) января 1914 S.E.2 передали 5-й эскадрилье RFC, где он вызвал восторг. Еще бы — он не только прекрасно летал, но и выглядел гораздо красивее самых новых французских конструкций, которые тогда считались эталоном. Такой вид все истребители мира обретут лишь лет через пять-десять…</w:t>
      </w:r>
    </w:p>
    <w:p w14:paraId="4BECD6CB" w14:textId="77777777" w:rsidR="009C16F9" w:rsidRPr="00DE096C" w:rsidRDefault="009C16F9" w:rsidP="00D45A46">
      <w:pPr>
        <w:jc w:val="both"/>
        <w:rPr>
          <w:bCs/>
          <w:color w:val="002060"/>
          <w:sz w:val="16"/>
          <w:szCs w:val="16"/>
        </w:rPr>
      </w:pPr>
      <w:r w:rsidRPr="00DE096C">
        <w:rPr>
          <w:bCs/>
          <w:color w:val="002060"/>
          <w:sz w:val="16"/>
          <w:szCs w:val="16"/>
        </w:rPr>
        <w:t>В апреле 1914 г. S.E.2 был возвращен на фирму и доработан под руководством нового главного конструктора Генри Фолланда — в январе де Хэвилленда «соблазнили» должностью инспектора по самолетам в Инспекционном директорате аэронавтики. Фолланд сделал машине новую хвостовую часть с деревянным каркасом и полотняной обшивкой вместо фанерного монокока. Это был шаг назад в угоду простоте серийного производства, которое так и не началось, зато новые стойки бипланной коробки овального сечения с заменой обычной проволоки растяжек сплющенной (RAF-wire) имели меньшее аэродинамическое сопротивление. «Скаут» встретил войну в 3-й эскадрилье RFC и 17 октября 1914 г. отправился на Французский фронт, но это будет потом, а пока главным продуктом фирмы стала куда более примитивная машина (22734).</w:t>
      </w:r>
    </w:p>
    <w:p w14:paraId="57F90BD3" w14:textId="77777777" w:rsidR="009C16F9" w:rsidRPr="00DE096C" w:rsidRDefault="009C16F9" w:rsidP="00D45A46">
      <w:pPr>
        <w:jc w:val="both"/>
        <w:rPr>
          <w:bCs/>
          <w:color w:val="002060"/>
          <w:sz w:val="16"/>
          <w:szCs w:val="16"/>
        </w:rPr>
      </w:pPr>
    </w:p>
    <w:p w14:paraId="2C2FD78E" w14:textId="315A502B" w:rsidR="00DE096C" w:rsidRPr="00DE096C" w:rsidRDefault="00DE096C" w:rsidP="00DE096C">
      <w:pPr>
        <w:jc w:val="both"/>
        <w:rPr>
          <w:bCs/>
          <w:i/>
          <w:color w:val="002060"/>
          <w:sz w:val="16"/>
          <w:szCs w:val="16"/>
        </w:rPr>
      </w:pPr>
      <w:r>
        <w:rPr>
          <w:bCs/>
          <w:i/>
          <w:color w:val="002060"/>
          <w:sz w:val="16"/>
          <w:szCs w:val="16"/>
        </w:rPr>
        <w:t>Авиация</w:t>
      </w:r>
      <w:r w:rsidRPr="00DE096C">
        <w:rPr>
          <w:bCs/>
          <w:i/>
          <w:color w:val="002060"/>
          <w:sz w:val="16"/>
          <w:szCs w:val="16"/>
        </w:rPr>
        <w:t>:</w:t>
      </w:r>
    </w:p>
    <w:p w14:paraId="426D3455" w14:textId="77777777" w:rsidR="00DE096C" w:rsidRPr="00DE096C" w:rsidRDefault="00DE096C" w:rsidP="00DE096C">
      <w:pPr>
        <w:jc w:val="both"/>
        <w:rPr>
          <w:bCs/>
          <w:i/>
          <w:color w:val="002060"/>
          <w:sz w:val="16"/>
          <w:szCs w:val="16"/>
        </w:rPr>
      </w:pPr>
    </w:p>
    <w:p w14:paraId="77582788" w14:textId="77777777" w:rsidR="00DE096C" w:rsidRPr="00B52707" w:rsidRDefault="00DE096C" w:rsidP="00DE096C">
      <w:pPr>
        <w:jc w:val="both"/>
        <w:rPr>
          <w:color w:val="0070C0"/>
          <w:sz w:val="16"/>
          <w:szCs w:val="16"/>
        </w:rPr>
      </w:pPr>
      <w:r w:rsidRPr="00B52707">
        <w:rPr>
          <w:rStyle w:val="ab"/>
          <w:rFonts w:ascii="Times New Roman" w:hAnsi="Times New Roman"/>
          <w:color w:val="0070C0"/>
          <w:spacing w:val="0"/>
          <w:sz w:val="16"/>
          <w:szCs w:val="16"/>
        </w:rPr>
        <w:lastRenderedPageBreak/>
        <w:t>5 (18) января 1914 г. в связи с усилившимся беспокойством в обществе Совет министров был вынужден дать разрешение Морскому ведомству на организацию поисков Г.Я. Седо</w:t>
      </w:r>
      <w:r w:rsidRPr="00B52707">
        <w:rPr>
          <w:rStyle w:val="ab"/>
          <w:rFonts w:ascii="Times New Roman" w:hAnsi="Times New Roman"/>
          <w:color w:val="0070C0"/>
          <w:spacing w:val="0"/>
          <w:sz w:val="16"/>
          <w:szCs w:val="16"/>
        </w:rPr>
        <w:softHyphen/>
        <w:t>ва. Непосредственное выполнение задачи возложили на Главное гидрографическое управление (ГГУ). Предстояло обследовать громадный район полярных льдов вдоль всего западного побережья Новой Земли и возле Земли Франца- Иосифа. По инициативе начальника этого управления генерал-лейтенанта М.Е. Ждапко был поставлен вопрос о привлечении авиации к поискам пропавших полярников, в том числе и из экспедиций В.Л. Русанова и Г.Л. Брусилова. Пилотом пригласили поручика по Адмиралтейству Я.И. Нагурского, о котором незадолго перед тем газета «Новое время» писала как о способном и смелом лётчике (25653).</w:t>
      </w:r>
    </w:p>
    <w:p w14:paraId="0BF1815F" w14:textId="77777777" w:rsidR="00DE096C" w:rsidRPr="00B52707" w:rsidRDefault="00DE096C" w:rsidP="00DE096C">
      <w:pPr>
        <w:jc w:val="both"/>
        <w:rPr>
          <w:color w:val="0070C0"/>
          <w:sz w:val="16"/>
          <w:szCs w:val="16"/>
        </w:rPr>
      </w:pPr>
    </w:p>
    <w:p w14:paraId="4AFCE1D1" w14:textId="77777777" w:rsidR="00DE096C" w:rsidRPr="00B52707" w:rsidRDefault="00DE096C" w:rsidP="00DE096C">
      <w:pPr>
        <w:jc w:val="both"/>
        <w:rPr>
          <w:color w:val="0070C0"/>
          <w:sz w:val="16"/>
          <w:szCs w:val="16"/>
        </w:rPr>
      </w:pPr>
      <w:r w:rsidRPr="00B52707">
        <w:rPr>
          <w:rStyle w:val="ab"/>
          <w:rFonts w:ascii="Times New Roman" w:hAnsi="Times New Roman"/>
          <w:color w:val="0070C0"/>
          <w:spacing w:val="0"/>
          <w:sz w:val="16"/>
          <w:szCs w:val="16"/>
        </w:rPr>
        <w:t>5 (18) января 1914 г. поручика Я.И. Нагурского вызвали к начальнику ГГУ М.Е. Ждаико. Тот поинтересовался у него, возможно ли применение в Арктике аэропланов, способных садиться на воду и снег. После некоторого размышления и илот ответил.: «Скорее всего, они могут быть использованы в полярных усло</w:t>
      </w:r>
      <w:r w:rsidRPr="00B52707">
        <w:rPr>
          <w:rStyle w:val="ab"/>
          <w:rFonts w:ascii="Times New Roman" w:hAnsi="Times New Roman"/>
          <w:color w:val="0070C0"/>
          <w:spacing w:val="0"/>
          <w:sz w:val="16"/>
          <w:szCs w:val="16"/>
        </w:rPr>
        <w:softHyphen/>
        <w:t>виях». Тогда М.Е. Ждаико предложил: «Вы подумайте еще об этом и подготовьте материал для конкретного разговора на эту тему. Прощу обратить внимание на тип машины и на организацию лётной части».</w:t>
      </w:r>
    </w:p>
    <w:p w14:paraId="626FF3A1" w14:textId="77777777" w:rsidR="00DE096C" w:rsidRPr="00B52707" w:rsidRDefault="00DE096C" w:rsidP="00DE096C">
      <w:pPr>
        <w:jc w:val="both"/>
        <w:rPr>
          <w:color w:val="0070C0"/>
          <w:sz w:val="16"/>
          <w:szCs w:val="16"/>
        </w:rPr>
      </w:pPr>
      <w:r w:rsidRPr="00B52707">
        <w:rPr>
          <w:rStyle w:val="ab"/>
          <w:rFonts w:ascii="Times New Roman" w:hAnsi="Times New Roman"/>
          <w:color w:val="0070C0"/>
          <w:spacing w:val="0"/>
          <w:sz w:val="16"/>
          <w:szCs w:val="16"/>
        </w:rPr>
        <w:t>Я.Н. Нагурский с энтузиазмом принял предложение. Тогда он ещё не знал, что судьба уготовила ему вписать одну из самых славных страниц в историю российской Полярной авиации. В тот же день Совет министров принял решение об организации полярной экспедиции (25653).</w:t>
      </w:r>
    </w:p>
    <w:p w14:paraId="7BE2461F" w14:textId="77777777" w:rsidR="00DE096C" w:rsidRPr="00B52707" w:rsidRDefault="00DE096C" w:rsidP="00DE096C">
      <w:pPr>
        <w:jc w:val="both"/>
        <w:rPr>
          <w:color w:val="0070C0"/>
          <w:sz w:val="16"/>
          <w:szCs w:val="16"/>
        </w:rPr>
      </w:pPr>
    </w:p>
    <w:p w14:paraId="3030CA75" w14:textId="77777777" w:rsidR="005428AB" w:rsidRPr="00DE096C" w:rsidRDefault="005428AB" w:rsidP="00D45A46">
      <w:pPr>
        <w:jc w:val="both"/>
        <w:rPr>
          <w:bCs/>
          <w:i/>
          <w:color w:val="002060"/>
          <w:sz w:val="16"/>
          <w:szCs w:val="16"/>
        </w:rPr>
      </w:pPr>
      <w:r w:rsidRPr="00DE096C">
        <w:rPr>
          <w:bCs/>
          <w:i/>
          <w:color w:val="002060"/>
          <w:sz w:val="16"/>
          <w:szCs w:val="16"/>
        </w:rPr>
        <w:t>Самолетостроение:</w:t>
      </w:r>
    </w:p>
    <w:p w14:paraId="5AD3A4DF" w14:textId="77777777" w:rsidR="005428AB" w:rsidRPr="00DE096C" w:rsidRDefault="005428AB" w:rsidP="00D45A46">
      <w:pPr>
        <w:jc w:val="both"/>
        <w:rPr>
          <w:bCs/>
          <w:i/>
          <w:color w:val="002060"/>
          <w:sz w:val="16"/>
          <w:szCs w:val="16"/>
        </w:rPr>
      </w:pPr>
    </w:p>
    <w:p w14:paraId="0468EBF6" w14:textId="77777777" w:rsidR="005428AB" w:rsidRPr="00DE096C" w:rsidRDefault="005428AB" w:rsidP="00D45A46">
      <w:pPr>
        <w:pStyle w:val="2"/>
        <w:spacing w:before="0" w:after="0"/>
        <w:jc w:val="both"/>
        <w:rPr>
          <w:b w:val="0"/>
          <w:bCs/>
          <w:color w:val="002060"/>
          <w:sz w:val="16"/>
          <w:szCs w:val="16"/>
        </w:rPr>
      </w:pPr>
      <w:r w:rsidRPr="00DE096C">
        <w:rPr>
          <w:b w:val="0"/>
          <w:bCs/>
          <w:color w:val="002060"/>
          <w:sz w:val="16"/>
          <w:szCs w:val="16"/>
        </w:rPr>
        <w:t>В начале января 1914 генерал Шишкевич послал на «Дукс» указание ставить на самолеты 2,7-мм броню: «Из представленных вами 2-х образцов брони для аэропланов, толщиной 2,7 мм и 3,2 мм, удовлетворил своему назначению образец брони, толщиной в 2,7 мм, таким образом на изготовляемых вами аэропланах должны бьггь установлены брони представленного нами образца толщиной в 2,7.мм.» Увы, по независящим от «Дукса» причинам на этом фактически закончилась напряженная работа по созданию бронированных боевых самолетов, указание Шишкевича по поводу 2,7-мм брони стало последним его реальным вкладом в области развития боевой авиации. 25 декабря 1913 г. генерал-майора Шишкевича назначили генерал-квартирмейстером штаба Одесского военного округа и дальше развитием военной авиации он не занимался. Истинная причина отлучения от авиации «коснувшегося неба» генерала пока неясна. Печальным итогом его назначения в Одессу стал Циркуляр Главного штаба от 23 января 1914 г. о расформировании Воздухоплавательной части ГУ ГШ. Вместо нее в составе Главного военно-технического управления (ГВТУ, начальник — генерал-лейтенант барон Е.Э.Ропп) образовали</w:t>
      </w:r>
      <w:r w:rsidRPr="00DE096C">
        <w:rPr>
          <w:b w:val="0"/>
          <w:bCs/>
          <w:color w:val="002060"/>
          <w:sz w:val="16"/>
          <w:szCs w:val="16"/>
        </w:rPr>
        <w:t> </w:t>
      </w:r>
      <w:r w:rsidRPr="00DE096C">
        <w:rPr>
          <w:b w:val="0"/>
          <w:bCs/>
          <w:color w:val="002060"/>
          <w:sz w:val="16"/>
          <w:szCs w:val="16"/>
        </w:rPr>
        <w:t>Технический отдел, возглавляемый генерал-майором И.М.Болотовым, в полном соответствии с своей фамилией затянувшим военную авиацию в «болото» (15464).</w:t>
      </w:r>
    </w:p>
    <w:p w14:paraId="4830F3E4" w14:textId="77777777" w:rsidR="005428AB" w:rsidRPr="00DE096C" w:rsidRDefault="005428AB" w:rsidP="00D45A46">
      <w:pPr>
        <w:pStyle w:val="2"/>
        <w:spacing w:before="0" w:after="0"/>
        <w:jc w:val="both"/>
        <w:rPr>
          <w:b w:val="0"/>
          <w:bCs/>
          <w:color w:val="002060"/>
          <w:sz w:val="16"/>
          <w:szCs w:val="16"/>
        </w:rPr>
      </w:pPr>
    </w:p>
    <w:p w14:paraId="19093C29"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Другие оборонные отрасли:</w:t>
      </w:r>
    </w:p>
    <w:p w14:paraId="1255AB91" w14:textId="77777777" w:rsidR="00B67D7C" w:rsidRPr="00DE096C" w:rsidRDefault="00B67D7C" w:rsidP="00D45A46">
      <w:pPr>
        <w:shd w:val="clear" w:color="auto" w:fill="FFFFFF"/>
        <w:jc w:val="both"/>
        <w:rPr>
          <w:bCs/>
          <w:i/>
          <w:color w:val="002060"/>
          <w:sz w:val="16"/>
          <w:szCs w:val="16"/>
        </w:rPr>
      </w:pPr>
    </w:p>
    <w:p w14:paraId="49DABBAB" w14:textId="05CC170C" w:rsidR="00B67D7C" w:rsidRPr="00DE096C" w:rsidRDefault="009121A9"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начале января 1914 г. </w:t>
      </w:r>
      <w:r w:rsidRPr="00DE096C">
        <w:rPr>
          <w:bCs/>
          <w:color w:val="002060"/>
          <w:sz w:val="16"/>
          <w:szCs w:val="16"/>
        </w:rPr>
        <w:t>на Адмиралтейском заводе была принята возможность одновременного изготовления трехорудийных 16" башен на два корабля, считая по четыре башни на каждом</w:t>
      </w:r>
      <w:r w:rsidR="00B958ED" w:rsidRPr="00DE096C">
        <w:rPr>
          <w:bCs/>
          <w:color w:val="002060"/>
          <w:sz w:val="16"/>
          <w:szCs w:val="16"/>
        </w:rPr>
        <w:t xml:space="preserve"> и п</w:t>
      </w:r>
      <w:r w:rsidRPr="00DE096C">
        <w:rPr>
          <w:bCs/>
          <w:color w:val="002060"/>
          <w:sz w:val="16"/>
          <w:szCs w:val="16"/>
        </w:rPr>
        <w:t>одготовленный проект был рассмотрен</w:t>
      </w:r>
      <w:r w:rsidR="00B958ED" w:rsidRPr="00DE096C">
        <w:rPr>
          <w:bCs/>
          <w:color w:val="002060"/>
          <w:sz w:val="16"/>
          <w:szCs w:val="16"/>
        </w:rPr>
        <w:t>.</w:t>
      </w:r>
      <w:r w:rsidRPr="00DE096C">
        <w:rPr>
          <w:bCs/>
          <w:color w:val="002060"/>
          <w:sz w:val="16"/>
          <w:szCs w:val="16"/>
        </w:rPr>
        <w:t xml:space="preserve"> </w:t>
      </w:r>
      <w:r w:rsidR="00B67D7C" w:rsidRPr="00DE096C">
        <w:rPr>
          <w:bCs/>
          <w:color w:val="002060"/>
          <w:sz w:val="16"/>
          <w:szCs w:val="16"/>
        </w:rPr>
        <w:t>Проектом предусматривались: сборочная мастерская размерами 138x30 (в свету) х15 м (от пола до нижней точки крана) и котельная 139x22x15 м. Крановое оборудование включало два крана по 100 т. в нижнем уровне и два крана в 20 и 10 т. в верхнем уровне в сборочной мастерской, один 30-т. и два 5 т. консольных крана в механической, и 30-т. и 20-т. мостовые краны в котельной мастерской (ЦИА СПб, ф. 1434, oп. 1. д. 1827, л. З.) (12109).</w:t>
      </w:r>
    </w:p>
    <w:p w14:paraId="675E6CDB" w14:textId="77777777" w:rsidR="00B67D7C" w:rsidRPr="00DE096C" w:rsidRDefault="00B67D7C" w:rsidP="00D45A46">
      <w:pPr>
        <w:jc w:val="both"/>
        <w:rPr>
          <w:bCs/>
          <w:color w:val="002060"/>
          <w:sz w:val="16"/>
          <w:szCs w:val="16"/>
        </w:rPr>
      </w:pPr>
    </w:p>
    <w:p w14:paraId="09B2E430" w14:textId="655F2381" w:rsidR="00B67D7C" w:rsidRPr="00DE096C" w:rsidRDefault="00B67D7C" w:rsidP="00D45A46">
      <w:pPr>
        <w:jc w:val="both"/>
        <w:rPr>
          <w:bCs/>
          <w:color w:val="002060"/>
          <w:sz w:val="16"/>
          <w:szCs w:val="16"/>
        </w:rPr>
      </w:pPr>
      <w:r w:rsidRPr="00DE096C">
        <w:rPr>
          <w:bCs/>
          <w:color w:val="002060"/>
          <w:sz w:val="16"/>
          <w:szCs w:val="16"/>
        </w:rPr>
        <w:t xml:space="preserve">В начале января 1914 года </w:t>
      </w:r>
      <w:r w:rsidR="00B958ED" w:rsidRPr="00DE096C">
        <w:rPr>
          <w:bCs/>
          <w:color w:val="002060"/>
          <w:sz w:val="16"/>
          <w:szCs w:val="16"/>
        </w:rPr>
        <w:t xml:space="preserve">на Адмиралтейском заводе </w:t>
      </w:r>
      <w:r w:rsidRPr="00DE096C">
        <w:rPr>
          <w:bCs/>
          <w:color w:val="002060"/>
          <w:sz w:val="16"/>
          <w:szCs w:val="16"/>
        </w:rPr>
        <w:t>начались работы по постройке кессона в строящемся здании башенной мастерской для сборки башен (с исполнением работы к июлю 1914 года). Этот кессон должен был иметь вид круглого колодца с внутренним диаметром 11,8 м и глубиной 8 м. В 1914 году на Большом Сальном Буяне были снесены склады торговых заданий (каменные постройки конца XVIII в.) и начато строительство цехов башенного отдела. Общая площадь застройки составляла более 14 тыс.м2. Таким образом, в ходе технического перевооружения 1912-1914 гг. под потребности крупных морских программ Адмиралтейский судостроительный завод становился передовым многопрофильным предприятием. Хотя и принужденный кооперироваться в таком сложном деле, как строительство линкоров-дредноутов, с другими специализированными предприятиями (12284).</w:t>
      </w:r>
    </w:p>
    <w:p w14:paraId="2EE8BF82" w14:textId="77777777" w:rsidR="00B67D7C" w:rsidRPr="00DE096C" w:rsidRDefault="00B67D7C" w:rsidP="00D45A46">
      <w:pPr>
        <w:jc w:val="both"/>
        <w:rPr>
          <w:bCs/>
          <w:color w:val="002060"/>
          <w:sz w:val="16"/>
          <w:szCs w:val="16"/>
        </w:rPr>
      </w:pPr>
    </w:p>
    <w:p w14:paraId="7D39C1E4" w14:textId="6E3B0743" w:rsidR="00EF3360" w:rsidRPr="00DE096C" w:rsidRDefault="00EF3360" w:rsidP="00D45A46">
      <w:pPr>
        <w:jc w:val="both"/>
        <w:rPr>
          <w:bCs/>
          <w:i/>
          <w:color w:val="002060"/>
          <w:sz w:val="16"/>
          <w:szCs w:val="16"/>
        </w:rPr>
      </w:pPr>
      <w:r w:rsidRPr="00DE096C">
        <w:rPr>
          <w:bCs/>
          <w:i/>
          <w:color w:val="002060"/>
          <w:sz w:val="16"/>
          <w:szCs w:val="16"/>
        </w:rPr>
        <w:t>Морская авиация:</w:t>
      </w:r>
    </w:p>
    <w:p w14:paraId="711D4494" w14:textId="77777777" w:rsidR="00EF3360" w:rsidRPr="00DE096C" w:rsidRDefault="00EF3360" w:rsidP="00D45A46">
      <w:pPr>
        <w:jc w:val="both"/>
        <w:rPr>
          <w:bCs/>
          <w:i/>
          <w:color w:val="002060"/>
          <w:sz w:val="16"/>
          <w:szCs w:val="16"/>
        </w:rPr>
      </w:pPr>
    </w:p>
    <w:p w14:paraId="0ADCD203" w14:textId="77777777" w:rsidR="00EF3360" w:rsidRPr="00DE096C" w:rsidRDefault="00EF3360" w:rsidP="00D45A46">
      <w:pPr>
        <w:jc w:val="both"/>
        <w:rPr>
          <w:bCs/>
          <w:color w:val="002060"/>
          <w:sz w:val="16"/>
          <w:szCs w:val="16"/>
        </w:rPr>
      </w:pPr>
      <w:r w:rsidRPr="00DE096C">
        <w:rPr>
          <w:bCs/>
          <w:color w:val="002060"/>
          <w:sz w:val="16"/>
          <w:szCs w:val="16"/>
          <w:lang w:bidi="en-US"/>
        </w:rPr>
        <w:t>В начале января 1914 г. командующий Черноморским флотом адмирал А. А. Эбергард приказал возложить на морскую авиацию ведение морской разведки, обнаружение минных заграждений и подводных лодок противника, а также бомбардировку кораблей противника (23525).</w:t>
      </w:r>
    </w:p>
    <w:p w14:paraId="54717476" w14:textId="77777777" w:rsidR="00EF3360" w:rsidRPr="00DE096C" w:rsidRDefault="00EF3360" w:rsidP="00D45A46">
      <w:pPr>
        <w:jc w:val="both"/>
        <w:rPr>
          <w:bCs/>
          <w:color w:val="002060"/>
          <w:sz w:val="16"/>
          <w:szCs w:val="16"/>
          <w:lang w:bidi="en-US"/>
        </w:rPr>
      </w:pPr>
    </w:p>
    <w:p w14:paraId="3207AF4D" w14:textId="2BD04CC1" w:rsidR="00F16B25" w:rsidRPr="00DE096C" w:rsidRDefault="00F16B25" w:rsidP="00D45A46">
      <w:pPr>
        <w:jc w:val="both"/>
        <w:rPr>
          <w:bCs/>
          <w:i/>
          <w:color w:val="002060"/>
          <w:sz w:val="16"/>
          <w:szCs w:val="16"/>
        </w:rPr>
      </w:pPr>
      <w:r w:rsidRPr="00DE096C">
        <w:rPr>
          <w:bCs/>
          <w:i/>
          <w:color w:val="002060"/>
          <w:sz w:val="16"/>
          <w:szCs w:val="16"/>
        </w:rPr>
        <w:t>Другие оборонные отрасли:</w:t>
      </w:r>
    </w:p>
    <w:p w14:paraId="6BDCE4FA" w14:textId="77777777" w:rsidR="00F16B25" w:rsidRPr="00DE096C" w:rsidRDefault="00F16B25" w:rsidP="00D45A46">
      <w:pPr>
        <w:jc w:val="both"/>
        <w:rPr>
          <w:bCs/>
          <w:i/>
          <w:color w:val="002060"/>
          <w:sz w:val="16"/>
          <w:szCs w:val="16"/>
        </w:rPr>
      </w:pPr>
    </w:p>
    <w:p w14:paraId="14493A04" w14:textId="1807EDE5" w:rsidR="00F16B25" w:rsidRPr="00DE096C" w:rsidRDefault="00F16B25" w:rsidP="00D45A46">
      <w:pPr>
        <w:pStyle w:val="p1"/>
        <w:spacing w:before="0" w:beforeAutospacing="0" w:after="0" w:afterAutospacing="0"/>
        <w:jc w:val="both"/>
        <w:rPr>
          <w:bCs/>
          <w:color w:val="002060"/>
          <w:sz w:val="16"/>
          <w:szCs w:val="16"/>
        </w:rPr>
      </w:pPr>
      <w:r w:rsidRPr="00DE096C">
        <w:rPr>
          <w:bCs/>
          <w:color w:val="002060"/>
          <w:sz w:val="16"/>
          <w:szCs w:val="16"/>
        </w:rPr>
        <w:t xml:space="preserve">8 </w:t>
      </w:r>
      <w:r w:rsidR="00B958ED" w:rsidRPr="00DE096C">
        <w:rPr>
          <w:bCs/>
          <w:color w:val="002060"/>
          <w:sz w:val="16"/>
          <w:szCs w:val="16"/>
        </w:rPr>
        <w:t xml:space="preserve">(21) </w:t>
      </w:r>
      <w:r w:rsidRPr="00DE096C">
        <w:rPr>
          <w:bCs/>
          <w:color w:val="002060"/>
          <w:sz w:val="16"/>
          <w:szCs w:val="16"/>
        </w:rPr>
        <w:t>января 1914 г. завод Пузырева сгорел («пострадал от огня», по выражению Купера — Льюиса), а вскоре умер и его хозяин. От имени малолетних наследников Пузырева остатками предприятия распоряжался их опекун Л.Н. Чернушевич.</w:t>
      </w:r>
    </w:p>
    <w:p w14:paraId="58437435" w14:textId="77777777" w:rsidR="00F16B25" w:rsidRPr="00DE096C" w:rsidRDefault="00F16B25" w:rsidP="00D45A46">
      <w:pPr>
        <w:pStyle w:val="p1"/>
        <w:spacing w:before="0" w:beforeAutospacing="0" w:after="0" w:afterAutospacing="0"/>
        <w:jc w:val="both"/>
        <w:rPr>
          <w:bCs/>
          <w:color w:val="002060"/>
          <w:sz w:val="16"/>
          <w:szCs w:val="16"/>
        </w:rPr>
      </w:pPr>
      <w:r w:rsidRPr="00DE096C">
        <w:rPr>
          <w:bCs/>
          <w:color w:val="002060"/>
          <w:sz w:val="16"/>
          <w:szCs w:val="16"/>
        </w:rPr>
        <w:t>Он попытался возродить автомобильное производство на новом месте, на Волге, и весной 1916 г. купил в Симбирске пришедший в упадок старый чугунолитейный завод М.В. Андреева[145] за 600 тысяч руб. (вместе с землей). В мае 1916 г. началось сооружение моторного завода (двигатели для автомобилей, самолетов и подводных лодок). К осени 1916 г. фирма «Л.Н. Чернушевич и наследники И.П. Пузырева» построила главный корпус для размещения литейной, кузницы, производственных цехов, испытательной станции, а также формовочной, сушилки и машинного отделения. Из Петрограда были доставлены образцы двигателей и часть станков, установлены небольшие нефтяные двигатели и электрогенератор — и на этом у хозяев кончились деньги. После недолгих попыток организовать силами 50 рабочих ремонт автомобилей и изготовление деталей карбюраторов владельцы в августе 1917 г. объявили о продаже своего завода (18366).</w:t>
      </w:r>
    </w:p>
    <w:p w14:paraId="2ECDFD68" w14:textId="77777777" w:rsidR="00F16B25" w:rsidRPr="00DE096C" w:rsidRDefault="00F16B25" w:rsidP="00D45A46">
      <w:pPr>
        <w:pStyle w:val="p1"/>
        <w:spacing w:before="0" w:beforeAutospacing="0" w:after="0" w:afterAutospacing="0"/>
        <w:jc w:val="both"/>
        <w:rPr>
          <w:bCs/>
          <w:color w:val="002060"/>
          <w:sz w:val="16"/>
          <w:szCs w:val="16"/>
        </w:rPr>
      </w:pPr>
    </w:p>
    <w:p w14:paraId="2F7F44B1" w14:textId="6A32E3CF" w:rsidR="00F16B25" w:rsidRPr="00DE096C" w:rsidRDefault="00F16B25" w:rsidP="00D45A46">
      <w:pPr>
        <w:pStyle w:val="p1"/>
        <w:spacing w:before="0" w:beforeAutospacing="0" w:after="0" w:afterAutospacing="0"/>
        <w:jc w:val="both"/>
        <w:rPr>
          <w:bCs/>
          <w:color w:val="002060"/>
          <w:sz w:val="16"/>
          <w:szCs w:val="16"/>
        </w:rPr>
      </w:pPr>
      <w:r w:rsidRPr="00DE096C">
        <w:rPr>
          <w:bCs/>
          <w:color w:val="002060"/>
          <w:sz w:val="16"/>
          <w:szCs w:val="16"/>
        </w:rPr>
        <w:t xml:space="preserve">8 </w:t>
      </w:r>
      <w:r w:rsidR="00B958ED" w:rsidRPr="00DE096C">
        <w:rPr>
          <w:bCs/>
          <w:color w:val="002060"/>
          <w:sz w:val="16"/>
          <w:szCs w:val="16"/>
        </w:rPr>
        <w:t xml:space="preserve">(21) </w:t>
      </w:r>
      <w:r w:rsidRPr="00DE096C">
        <w:rPr>
          <w:bCs/>
          <w:color w:val="002060"/>
          <w:sz w:val="16"/>
          <w:szCs w:val="16"/>
        </w:rPr>
        <w:t>января 1914 г. завод Пузырева сгорел («пострадал от огня», по выражению Купера — Льюиса), а вскоре умер и его хозяин.</w:t>
      </w:r>
    </w:p>
    <w:p w14:paraId="407AFFD6" w14:textId="77777777" w:rsidR="00F16B25" w:rsidRPr="00DE096C" w:rsidRDefault="00F16B25" w:rsidP="00D45A46">
      <w:pPr>
        <w:pStyle w:val="p1"/>
        <w:spacing w:before="0" w:beforeAutospacing="0" w:after="0" w:afterAutospacing="0"/>
        <w:jc w:val="both"/>
        <w:rPr>
          <w:bCs/>
          <w:color w:val="002060"/>
          <w:sz w:val="16"/>
          <w:szCs w:val="16"/>
        </w:rPr>
      </w:pPr>
      <w:r w:rsidRPr="00DE096C">
        <w:rPr>
          <w:bCs/>
          <w:color w:val="002060"/>
          <w:sz w:val="16"/>
          <w:szCs w:val="16"/>
        </w:rPr>
        <w:t>От имени малолетних наследников Пузырева остатками предприятия распоряжался их опекун Л.Н. Чернушевич.</w:t>
      </w:r>
    </w:p>
    <w:p w14:paraId="49B57DCC" w14:textId="77777777" w:rsidR="00F16B25" w:rsidRPr="00DE096C" w:rsidRDefault="00F16B25" w:rsidP="00D45A46">
      <w:pPr>
        <w:pStyle w:val="p1"/>
        <w:spacing w:before="0" w:beforeAutospacing="0" w:after="0" w:afterAutospacing="0"/>
        <w:jc w:val="both"/>
        <w:rPr>
          <w:bCs/>
          <w:color w:val="002060"/>
          <w:sz w:val="16"/>
          <w:szCs w:val="16"/>
        </w:rPr>
      </w:pPr>
      <w:r w:rsidRPr="00DE096C">
        <w:rPr>
          <w:bCs/>
          <w:color w:val="002060"/>
          <w:sz w:val="16"/>
          <w:szCs w:val="16"/>
        </w:rPr>
        <w:t>Он попытался возродить автомобильное производство на новом месте, на Волге, и весной 1916 г. купил в Симбирске пришедший в упадок старый чугунолитейный завод М.В. Андреева за 600 тысяч руб. (вместе с землей). В мае 1916 г. началось сооружение моторного завода (двигатели для автомобилей, самолетов и подводных лодок). К осени 1916 г. фирма «Л.Н. Чернушевич и наследники И.П. Пузы-рева» построила главный корпус для размещения литейной, кузницы, производственных цехов, испытательной станции, а также формовочной, сушилки и машинного отделения. Из Петрограда были доставлены образцы двигателей и часть станков, установлены небольшие нефтяные двигатели и электрогенератор — и на этом у хозяев кончились деньги. После недолгих попыток организовать силами 50 рабочих ремонт автомобилей и изготовление деталей карбюраторов владельцы в августе 1917 г. объявили о продаже своего завода (18409).</w:t>
      </w:r>
    </w:p>
    <w:p w14:paraId="52A7D8C5" w14:textId="77777777" w:rsidR="00F16B25" w:rsidRPr="00DE096C" w:rsidRDefault="00F16B25" w:rsidP="00D45A46">
      <w:pPr>
        <w:pStyle w:val="p1"/>
        <w:spacing w:before="0" w:beforeAutospacing="0" w:after="0" w:afterAutospacing="0"/>
        <w:jc w:val="both"/>
        <w:rPr>
          <w:bCs/>
          <w:color w:val="002060"/>
          <w:sz w:val="16"/>
          <w:szCs w:val="16"/>
        </w:rPr>
      </w:pPr>
    </w:p>
    <w:p w14:paraId="5379CF52" w14:textId="3C5C4A5B" w:rsidR="00EF3360" w:rsidRPr="00DE096C" w:rsidRDefault="00EF3360" w:rsidP="00D45A46">
      <w:pPr>
        <w:jc w:val="both"/>
        <w:rPr>
          <w:bCs/>
          <w:color w:val="002060"/>
          <w:sz w:val="16"/>
          <w:szCs w:val="16"/>
        </w:rPr>
      </w:pPr>
      <w:r w:rsidRPr="00DE096C">
        <w:rPr>
          <w:bCs/>
          <w:color w:val="002060"/>
          <w:sz w:val="16"/>
          <w:szCs w:val="16"/>
        </w:rPr>
        <w:t>8 (21) января 1914 г. завод Пузырева сгорел («пострадал от огня», по выражению Купера—Лью</w:t>
      </w:r>
      <w:r w:rsidRPr="00DE096C">
        <w:rPr>
          <w:bCs/>
          <w:color w:val="002060"/>
          <w:sz w:val="16"/>
          <w:szCs w:val="16"/>
        </w:rPr>
        <w:softHyphen/>
        <w:t>иса), а вскоре умер и его хозяин (Шугуров Л.М., Ширшов В.П. Автомобили страны Советов. М., 1983. С. 17—18; Шугуров Л.М. Автомобили России и СССР. Ч. 1. С 45—46).</w:t>
      </w:r>
    </w:p>
    <w:p w14:paraId="0313556F" w14:textId="77777777" w:rsidR="00EF3360" w:rsidRPr="00DE096C" w:rsidRDefault="00EF3360" w:rsidP="00D45A46">
      <w:pPr>
        <w:jc w:val="both"/>
        <w:rPr>
          <w:bCs/>
          <w:color w:val="002060"/>
          <w:sz w:val="16"/>
          <w:szCs w:val="16"/>
        </w:rPr>
      </w:pPr>
      <w:r w:rsidRPr="00DE096C">
        <w:rPr>
          <w:bCs/>
          <w:color w:val="002060"/>
          <w:sz w:val="16"/>
          <w:szCs w:val="16"/>
        </w:rPr>
        <w:t>От имени малолетних наследников Пузырева остатка</w:t>
      </w:r>
      <w:r w:rsidRPr="00DE096C">
        <w:rPr>
          <w:bCs/>
          <w:color w:val="002060"/>
          <w:sz w:val="16"/>
          <w:szCs w:val="16"/>
        </w:rPr>
        <w:softHyphen/>
        <w:t>ми предприятия распоряжался их опекун Л.Н. Чернушевич.</w:t>
      </w:r>
    </w:p>
    <w:p w14:paraId="17C1323B" w14:textId="77777777" w:rsidR="00EF3360" w:rsidRPr="00DE096C" w:rsidRDefault="00EF3360" w:rsidP="00D45A46">
      <w:pPr>
        <w:pStyle w:val="af7"/>
        <w:spacing w:line="240" w:lineRule="auto"/>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Он попытался возродить автомобильное производство на новом месте, на Волге, и весной 1916 г. купил в Симбир</w:t>
      </w:r>
      <w:r w:rsidRPr="00DE096C">
        <w:rPr>
          <w:rFonts w:ascii="Times New Roman" w:hAnsi="Times New Roman" w:cs="Times New Roman"/>
          <w:bCs/>
          <w:color w:val="002060"/>
          <w:sz w:val="16"/>
          <w:szCs w:val="16"/>
        </w:rPr>
        <w:softHyphen/>
        <w:t>ске пришедший в упадок старый чугунолитейный завод М.В. Андреева за 600 тысяч руб. (вместе с землей). В мае 1916 г. началось сооружение моторного завода (двигатели для автомобилей, самолетов и подводных лодок). К осени 1916 г. фирма «Л.Н. Чернушевич и наследники И.П. Пузырева» построила главный корпус для размещения литей</w:t>
      </w:r>
      <w:r w:rsidRPr="00DE096C">
        <w:rPr>
          <w:rFonts w:ascii="Times New Roman" w:hAnsi="Times New Roman" w:cs="Times New Roman"/>
          <w:bCs/>
          <w:color w:val="002060"/>
          <w:sz w:val="16"/>
          <w:szCs w:val="16"/>
        </w:rPr>
        <w:softHyphen/>
        <w:t>ной, кузницы, производственных цехов, испытательной станции, а также формовочной, сушилки и машинного от</w:t>
      </w:r>
      <w:r w:rsidRPr="00DE096C">
        <w:rPr>
          <w:rFonts w:ascii="Times New Roman" w:hAnsi="Times New Roman" w:cs="Times New Roman"/>
          <w:bCs/>
          <w:color w:val="002060"/>
          <w:sz w:val="16"/>
          <w:szCs w:val="16"/>
        </w:rPr>
        <w:softHyphen/>
        <w:t>деления. Из Петрограда были доставлены образцы двига</w:t>
      </w:r>
      <w:r w:rsidRPr="00DE096C">
        <w:rPr>
          <w:rFonts w:ascii="Times New Roman" w:hAnsi="Times New Roman" w:cs="Times New Roman"/>
          <w:bCs/>
          <w:color w:val="002060"/>
          <w:sz w:val="16"/>
          <w:szCs w:val="16"/>
        </w:rPr>
        <w:softHyphen/>
        <w:t>телей и часть станков, установлены небольшие нефтяные двигатели и электрогенератор — и на этом у хозяев кончи</w:t>
      </w:r>
      <w:r w:rsidRPr="00DE096C">
        <w:rPr>
          <w:rFonts w:ascii="Times New Roman" w:hAnsi="Times New Roman" w:cs="Times New Roman"/>
          <w:bCs/>
          <w:color w:val="002060"/>
          <w:sz w:val="16"/>
          <w:szCs w:val="16"/>
        </w:rPr>
        <w:softHyphen/>
        <w:t>лись деньги. После недолгих попыток организовать силами 50 рабочих ремонт автомобилей и изготовление деталей карбюраторов владельцы в августе 1917 г. объявили о про</w:t>
      </w:r>
      <w:r w:rsidRPr="00DE096C">
        <w:rPr>
          <w:rFonts w:ascii="Times New Roman" w:hAnsi="Times New Roman" w:cs="Times New Roman"/>
          <w:bCs/>
          <w:color w:val="002060"/>
          <w:sz w:val="16"/>
          <w:szCs w:val="16"/>
        </w:rPr>
        <w:softHyphen/>
        <w:t>даже своего завода (К тому времени завод долгое время не работал, обследование по</w:t>
      </w:r>
      <w:r w:rsidRPr="00DE096C">
        <w:rPr>
          <w:rFonts w:ascii="Times New Roman" w:hAnsi="Times New Roman" w:cs="Times New Roman"/>
          <w:bCs/>
          <w:color w:val="002060"/>
          <w:sz w:val="16"/>
          <w:szCs w:val="16"/>
        </w:rPr>
        <w:softHyphen/>
        <w:t>казало, что заброшенные заводские корпуса разрушались, «литейная не имеет крыши и заросла кустарником», оборудование ржавело, пропали медные части и приводные ремни; сохранившиеся устаревшие станки были непригодны для точных работ; Ефимов Ю.Д. Указ. соч. С. 48—50) (23452).</w:t>
      </w:r>
    </w:p>
    <w:p w14:paraId="69B0D009" w14:textId="77777777" w:rsidR="00EF3360" w:rsidRPr="00DE096C" w:rsidRDefault="00EF3360" w:rsidP="00D45A46">
      <w:pPr>
        <w:jc w:val="both"/>
        <w:rPr>
          <w:bCs/>
          <w:color w:val="002060"/>
          <w:sz w:val="16"/>
          <w:szCs w:val="16"/>
        </w:rPr>
      </w:pPr>
    </w:p>
    <w:p w14:paraId="0C33D95B"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3C263F17" w14:textId="77777777" w:rsidR="00B67D7C" w:rsidRPr="00DE096C" w:rsidRDefault="00B67D7C" w:rsidP="00D45A46">
      <w:pPr>
        <w:shd w:val="clear" w:color="auto" w:fill="FFFFFF"/>
        <w:jc w:val="both"/>
        <w:rPr>
          <w:bCs/>
          <w:i/>
          <w:color w:val="002060"/>
          <w:sz w:val="16"/>
          <w:szCs w:val="16"/>
        </w:rPr>
      </w:pPr>
    </w:p>
    <w:p w14:paraId="0B328E93" w14:textId="749039AA" w:rsidR="00B958ED" w:rsidRPr="00DE096C" w:rsidRDefault="00B958ED" w:rsidP="00D45A46">
      <w:pPr>
        <w:shd w:val="clear" w:color="auto" w:fill="FFFFFF"/>
        <w:jc w:val="both"/>
        <w:rPr>
          <w:bCs/>
          <w:color w:val="002060"/>
          <w:sz w:val="16"/>
          <w:szCs w:val="16"/>
        </w:rPr>
      </w:pPr>
      <w:r w:rsidRPr="00DE096C">
        <w:rPr>
          <w:bCs/>
          <w:color w:val="002060"/>
          <w:sz w:val="16"/>
          <w:szCs w:val="16"/>
        </w:rPr>
        <w:t>11 (24) января 1914 г. был подписан контракт на ИМ.</w:t>
      </w:r>
    </w:p>
    <w:p w14:paraId="7FA7E23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Сведения о контракте на гидроплан "Илья Муромец"</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B67D7C" w:rsidRPr="00DE096C" w14:paraId="554180F0" w14:textId="77777777" w:rsidTr="00C2024A">
        <w:tc>
          <w:tcPr>
            <w:tcW w:w="4788" w:type="dxa"/>
            <w:shd w:val="clear" w:color="auto" w:fill="FFFFFF"/>
          </w:tcPr>
          <w:p w14:paraId="669D8BDA" w14:textId="77777777" w:rsidR="00B67D7C" w:rsidRPr="00DE096C" w:rsidRDefault="00B67D7C" w:rsidP="00D45A46">
            <w:pPr>
              <w:jc w:val="both"/>
              <w:rPr>
                <w:bCs/>
                <w:color w:val="002060"/>
                <w:sz w:val="16"/>
                <w:szCs w:val="16"/>
              </w:rPr>
            </w:pPr>
            <w:r w:rsidRPr="00DE096C">
              <w:rPr>
                <w:bCs/>
                <w:color w:val="002060"/>
                <w:sz w:val="16"/>
                <w:szCs w:val="16"/>
              </w:rPr>
              <w:t>Дата контракта</w:t>
            </w:r>
          </w:p>
        </w:tc>
        <w:tc>
          <w:tcPr>
            <w:tcW w:w="4788" w:type="dxa"/>
            <w:shd w:val="clear" w:color="auto" w:fill="FFFFFF"/>
          </w:tcPr>
          <w:p w14:paraId="450B156B" w14:textId="77777777" w:rsidR="00B67D7C" w:rsidRPr="00DE096C" w:rsidRDefault="00B67D7C" w:rsidP="00D45A46">
            <w:pPr>
              <w:jc w:val="both"/>
              <w:rPr>
                <w:bCs/>
                <w:color w:val="002060"/>
                <w:sz w:val="16"/>
                <w:szCs w:val="16"/>
              </w:rPr>
            </w:pPr>
            <w:r w:rsidRPr="00DE096C">
              <w:rPr>
                <w:bCs/>
                <w:color w:val="002060"/>
                <w:sz w:val="16"/>
                <w:szCs w:val="16"/>
              </w:rPr>
              <w:t>Январь 11 (24) 1914</w:t>
            </w:r>
          </w:p>
        </w:tc>
      </w:tr>
      <w:tr w:rsidR="00B67D7C" w:rsidRPr="00DE096C" w14:paraId="4C5566A7" w14:textId="77777777" w:rsidTr="00C2024A">
        <w:tc>
          <w:tcPr>
            <w:tcW w:w="4788" w:type="dxa"/>
            <w:shd w:val="clear" w:color="auto" w:fill="FFFFFF"/>
          </w:tcPr>
          <w:p w14:paraId="4CFC5393" w14:textId="77777777" w:rsidR="00B67D7C" w:rsidRPr="00DE096C" w:rsidRDefault="00B67D7C" w:rsidP="00D45A46">
            <w:pPr>
              <w:jc w:val="both"/>
              <w:rPr>
                <w:bCs/>
                <w:color w:val="002060"/>
                <w:sz w:val="16"/>
                <w:szCs w:val="16"/>
              </w:rPr>
            </w:pPr>
            <w:r w:rsidRPr="00DE096C">
              <w:rPr>
                <w:bCs/>
                <w:color w:val="002060"/>
                <w:sz w:val="16"/>
                <w:szCs w:val="16"/>
              </w:rPr>
              <w:t>Число заказанных аэропланов</w:t>
            </w:r>
          </w:p>
        </w:tc>
        <w:tc>
          <w:tcPr>
            <w:tcW w:w="4788" w:type="dxa"/>
            <w:shd w:val="clear" w:color="auto" w:fill="FFFFFF"/>
          </w:tcPr>
          <w:p w14:paraId="071F06D2" w14:textId="77777777" w:rsidR="00B67D7C" w:rsidRPr="00DE096C" w:rsidRDefault="00B67D7C" w:rsidP="00D45A46">
            <w:pPr>
              <w:jc w:val="both"/>
              <w:rPr>
                <w:bCs/>
                <w:color w:val="002060"/>
                <w:sz w:val="16"/>
                <w:szCs w:val="16"/>
              </w:rPr>
            </w:pPr>
            <w:r w:rsidRPr="00DE096C">
              <w:rPr>
                <w:bCs/>
                <w:color w:val="002060"/>
                <w:sz w:val="16"/>
                <w:szCs w:val="16"/>
              </w:rPr>
              <w:t>1</w:t>
            </w:r>
          </w:p>
        </w:tc>
      </w:tr>
      <w:tr w:rsidR="00B67D7C" w:rsidRPr="00DE096C" w14:paraId="65CAFF4E" w14:textId="77777777" w:rsidTr="00C2024A">
        <w:tc>
          <w:tcPr>
            <w:tcW w:w="4788" w:type="dxa"/>
            <w:shd w:val="clear" w:color="auto" w:fill="FFFFFF"/>
          </w:tcPr>
          <w:p w14:paraId="034FEFA3" w14:textId="77777777" w:rsidR="00B67D7C" w:rsidRPr="00DE096C" w:rsidRDefault="00B67D7C" w:rsidP="00D45A46">
            <w:pPr>
              <w:jc w:val="both"/>
              <w:rPr>
                <w:bCs/>
                <w:color w:val="002060"/>
                <w:sz w:val="16"/>
                <w:szCs w:val="16"/>
              </w:rPr>
            </w:pPr>
            <w:r w:rsidRPr="00DE096C">
              <w:rPr>
                <w:bCs/>
                <w:color w:val="002060"/>
                <w:sz w:val="16"/>
                <w:szCs w:val="16"/>
              </w:rPr>
              <w:t>Заводские номера сданных аэропланов</w:t>
            </w:r>
          </w:p>
        </w:tc>
        <w:tc>
          <w:tcPr>
            <w:tcW w:w="4788" w:type="dxa"/>
            <w:shd w:val="clear" w:color="auto" w:fill="FFFFFF"/>
          </w:tcPr>
          <w:p w14:paraId="2CA8E0F6" w14:textId="77777777" w:rsidR="00B67D7C" w:rsidRPr="00DE096C" w:rsidRDefault="00B67D7C" w:rsidP="00D45A46">
            <w:pPr>
              <w:jc w:val="both"/>
              <w:rPr>
                <w:bCs/>
                <w:color w:val="002060"/>
                <w:sz w:val="16"/>
                <w:szCs w:val="16"/>
              </w:rPr>
            </w:pPr>
            <w:r w:rsidRPr="00DE096C">
              <w:rPr>
                <w:bCs/>
                <w:color w:val="002060"/>
                <w:sz w:val="16"/>
                <w:szCs w:val="16"/>
              </w:rPr>
              <w:t>107</w:t>
            </w:r>
          </w:p>
        </w:tc>
      </w:tr>
      <w:tr w:rsidR="00B67D7C" w:rsidRPr="00DE096C" w14:paraId="3C4E2363" w14:textId="77777777" w:rsidTr="00C2024A">
        <w:tc>
          <w:tcPr>
            <w:tcW w:w="4788" w:type="dxa"/>
            <w:shd w:val="clear" w:color="auto" w:fill="FFFFFF"/>
          </w:tcPr>
          <w:p w14:paraId="37B13E2F" w14:textId="77777777" w:rsidR="00B67D7C" w:rsidRPr="00DE096C" w:rsidRDefault="00B67D7C" w:rsidP="00D45A46">
            <w:pPr>
              <w:jc w:val="both"/>
              <w:rPr>
                <w:bCs/>
                <w:color w:val="002060"/>
                <w:sz w:val="16"/>
                <w:szCs w:val="16"/>
              </w:rPr>
            </w:pPr>
            <w:r w:rsidRPr="00DE096C">
              <w:rPr>
                <w:bCs/>
                <w:color w:val="002060"/>
                <w:sz w:val="16"/>
                <w:szCs w:val="16"/>
              </w:rPr>
              <w:lastRenderedPageBreak/>
              <w:t>Условия:</w:t>
            </w:r>
          </w:p>
        </w:tc>
        <w:tc>
          <w:tcPr>
            <w:tcW w:w="4788" w:type="dxa"/>
            <w:shd w:val="clear" w:color="auto" w:fill="FFFFFF"/>
          </w:tcPr>
          <w:p w14:paraId="25AB6BAA" w14:textId="77777777" w:rsidR="00B67D7C" w:rsidRPr="00DE096C" w:rsidRDefault="00B67D7C" w:rsidP="00D45A46">
            <w:pPr>
              <w:jc w:val="both"/>
              <w:rPr>
                <w:bCs/>
                <w:color w:val="002060"/>
                <w:sz w:val="16"/>
                <w:szCs w:val="16"/>
              </w:rPr>
            </w:pPr>
            <w:r w:rsidRPr="00DE096C">
              <w:rPr>
                <w:bCs/>
                <w:color w:val="002060"/>
                <w:sz w:val="16"/>
                <w:szCs w:val="16"/>
              </w:rPr>
              <w:t xml:space="preserve"> 25.000 руб. за каждые 100 л.с. мощности моторов, срок переделки и доставки в Либаву 25 февраля 1914 г. (выполнен к маю 1914 г., задержка не по вине фирмы). Примечания: моторы от Р-БВЗ (2843).</w:t>
            </w:r>
          </w:p>
        </w:tc>
      </w:tr>
    </w:tbl>
    <w:p w14:paraId="1CB06382" w14:textId="77777777" w:rsidR="00B67D7C" w:rsidRPr="00DE096C" w:rsidRDefault="00B67D7C" w:rsidP="00D45A46">
      <w:pPr>
        <w:shd w:val="clear" w:color="auto" w:fill="FFFFFF"/>
        <w:jc w:val="both"/>
        <w:rPr>
          <w:bCs/>
          <w:color w:val="002060"/>
          <w:sz w:val="16"/>
          <w:szCs w:val="16"/>
        </w:rPr>
      </w:pPr>
    </w:p>
    <w:p w14:paraId="089C64B5" w14:textId="4CD020F8" w:rsidR="00B67D7C" w:rsidRPr="00DE096C" w:rsidRDefault="00B67D7C" w:rsidP="00D45A46">
      <w:pPr>
        <w:jc w:val="both"/>
        <w:rPr>
          <w:bCs/>
          <w:color w:val="002060"/>
          <w:sz w:val="16"/>
          <w:szCs w:val="16"/>
        </w:rPr>
      </w:pPr>
      <w:r w:rsidRPr="00DE096C">
        <w:rPr>
          <w:bCs/>
          <w:color w:val="002060"/>
          <w:sz w:val="16"/>
          <w:szCs w:val="16"/>
        </w:rPr>
        <w:t xml:space="preserve">11 </w:t>
      </w:r>
      <w:r w:rsidR="00B958ED" w:rsidRPr="00DE096C">
        <w:rPr>
          <w:bCs/>
          <w:color w:val="002060"/>
          <w:sz w:val="16"/>
          <w:szCs w:val="16"/>
        </w:rPr>
        <w:t xml:space="preserve">(24) </w:t>
      </w:r>
      <w:r w:rsidRPr="00DE096C">
        <w:rPr>
          <w:bCs/>
          <w:color w:val="002060"/>
          <w:sz w:val="16"/>
          <w:szCs w:val="16"/>
        </w:rPr>
        <w:t>января 1914 года командир Санкт-Петербургского (военно-морского) порта и компания РБВЗ утвердили контракт о продаже флоту первого "Ильи Муромца" в поплавковом варианте. При испытаниях аэроплану надлежало иметь полезную нагрузку не менее 1500 кг,"подняться на высоту в 800 метров, продержаться в воздухе не менее двух с половиной часов, обладать способностью продолжать полёт при двух выключенных моторах (с одного борта). Кроме того, аппарат должен был пройти по воде не менее 10 км и затем взлететь без всякой помощи извне.</w:t>
      </w:r>
    </w:p>
    <w:p w14:paraId="72D01AA4" w14:textId="77777777" w:rsidR="00B67D7C" w:rsidRPr="00DE096C" w:rsidRDefault="00B67D7C" w:rsidP="00D45A46">
      <w:pPr>
        <w:jc w:val="both"/>
        <w:rPr>
          <w:bCs/>
          <w:color w:val="002060"/>
          <w:sz w:val="16"/>
          <w:szCs w:val="16"/>
        </w:rPr>
      </w:pPr>
      <w:r w:rsidRPr="00DE096C">
        <w:rPr>
          <w:bCs/>
          <w:color w:val="002060"/>
          <w:sz w:val="16"/>
          <w:szCs w:val="16"/>
        </w:rPr>
        <w:t>Два мотора "Сальмсон" мощностью по 200 л.с. были поставлены у фюзеляжа; два мотора "Аргус" мощностью по 115 л.с. заняли места у более отдалённых крыльевых стоек. Чтобы уберечь "Аргусы", а главное, их пропеллеры от действия брызг, эти двигатели были смонтированы на высоких подмо- торных рамах.</w:t>
      </w:r>
    </w:p>
    <w:p w14:paraId="349AE9D5" w14:textId="77777777" w:rsidR="00B67D7C" w:rsidRPr="00DE096C" w:rsidRDefault="00B67D7C" w:rsidP="00D45A46">
      <w:pPr>
        <w:jc w:val="both"/>
        <w:rPr>
          <w:bCs/>
          <w:color w:val="002060"/>
          <w:sz w:val="16"/>
          <w:szCs w:val="16"/>
        </w:rPr>
      </w:pPr>
      <w:r w:rsidRPr="00DE096C">
        <w:rPr>
          <w:bCs/>
          <w:color w:val="002060"/>
          <w:sz w:val="16"/>
          <w:szCs w:val="16"/>
        </w:rPr>
        <w:t>Аппарат был оборудован двумя главными и хвостовым поплавками. Плоскодонные, безреданные и короткие поплавки имели ясеневую конструкцию и фанерную обшивку Для крепления главных поплавков под центральными моторами конструктор применил шнуровую резиновую амортизацию. Упругая подвеска берегла аппарат от слишком сильных сотрясений при глиссировании и позволяла осуществлять движение по воде при небольшом волнении.</w:t>
      </w:r>
    </w:p>
    <w:p w14:paraId="36096BB8" w14:textId="77777777" w:rsidR="00B67D7C" w:rsidRPr="00DE096C" w:rsidRDefault="00B67D7C" w:rsidP="00D45A46">
      <w:pPr>
        <w:jc w:val="both"/>
        <w:rPr>
          <w:bCs/>
          <w:color w:val="002060"/>
          <w:sz w:val="16"/>
          <w:szCs w:val="16"/>
        </w:rPr>
      </w:pPr>
      <w:r w:rsidRPr="00DE096C">
        <w:rPr>
          <w:bCs/>
          <w:color w:val="002060"/>
          <w:sz w:val="16"/>
          <w:szCs w:val="16"/>
        </w:rPr>
        <w:t>Местом для испытаний была выбрана 1-я авиационная станция в Порту императора Александра 111 (Либава). Из-за неготовности большого ангара в исполнении заказа и проведении опытов произошла задержка. Согласно другой версии, дело было в том, что правление РБВЗ стремилась показать "Илью Муромца" российскому императору и ру мынскому принцу.</w:t>
      </w:r>
    </w:p>
    <w:p w14:paraId="2276356E" w14:textId="77777777" w:rsidR="00B67D7C" w:rsidRPr="00DE096C" w:rsidRDefault="00B67D7C" w:rsidP="00D45A46">
      <w:pPr>
        <w:jc w:val="both"/>
        <w:rPr>
          <w:bCs/>
          <w:color w:val="002060"/>
          <w:sz w:val="16"/>
          <w:szCs w:val="16"/>
        </w:rPr>
      </w:pPr>
      <w:r w:rsidRPr="00DE096C">
        <w:rPr>
          <w:bCs/>
          <w:color w:val="002060"/>
          <w:sz w:val="16"/>
          <w:szCs w:val="16"/>
        </w:rPr>
        <w:t>Первый 12-минутный сдаточный полёт был выполнен 14 мая 1914 года. "Муромцем" по очереди управляли Сикорский и лейтенант Г.И. Лавров. Позднее Лавров продолжил опыты, а Сикорский уехал в Петербург.</w:t>
      </w:r>
    </w:p>
    <w:p w14:paraId="2BEC90A8" w14:textId="77777777" w:rsidR="00B67D7C" w:rsidRPr="00DE096C" w:rsidRDefault="00B67D7C" w:rsidP="00D45A46">
      <w:pPr>
        <w:jc w:val="both"/>
        <w:rPr>
          <w:bCs/>
          <w:color w:val="002060"/>
          <w:sz w:val="16"/>
          <w:szCs w:val="16"/>
        </w:rPr>
      </w:pPr>
      <w:r w:rsidRPr="00DE096C">
        <w:rPr>
          <w:bCs/>
          <w:color w:val="002060"/>
          <w:sz w:val="16"/>
          <w:szCs w:val="16"/>
        </w:rPr>
        <w:t>Гидроаэроплан показал удовлетворительную мореходность и хорошую управляемость на воде, так как пилот помимо рулей мог "играть" тягой моторов. Вертикальная скорость (скороподъёмность) была небольшой: подъём на высоту в 2000 метров занял целый час. Сыграло роль значительное воздушное сопротивление, оказываемое моторами "Сальмсон" и поплавками.</w:t>
      </w:r>
    </w:p>
    <w:p w14:paraId="2D7652C0" w14:textId="77777777" w:rsidR="00B67D7C" w:rsidRPr="00DE096C" w:rsidRDefault="00B67D7C" w:rsidP="00D45A46">
      <w:pPr>
        <w:jc w:val="both"/>
        <w:rPr>
          <w:bCs/>
          <w:color w:val="002060"/>
          <w:sz w:val="16"/>
          <w:szCs w:val="16"/>
        </w:rPr>
      </w:pPr>
      <w:r w:rsidRPr="00DE096C">
        <w:rPr>
          <w:bCs/>
          <w:color w:val="002060"/>
          <w:sz w:val="16"/>
          <w:szCs w:val="16"/>
        </w:rPr>
        <w:t>Несмотря на конструктивные недостатки, 14 июля поплавковый "Илья Муромец" был принят в казну и стал собственностью Балтийского флота. В ночь на 17 июля была объявлена мобилизация, и в согласии с мобилизационным планом в середине того же дня Лавров направил аэроплан на 2-ю морскую авиационную станцию, расположенную на полуострове Папенгольм у селения Кильконд (остров Эзель). Из-за плохой погоды, или из-за технических неполадок перелёт был прерван: Лавров решил посадить машину в Эзельской бухте Карал (приблизительно в 105 км по прямой от Кильконда).</w:t>
      </w:r>
    </w:p>
    <w:p w14:paraId="2F5161CC" w14:textId="77777777" w:rsidR="00B67D7C" w:rsidRPr="00DE096C" w:rsidRDefault="00B67D7C" w:rsidP="00D45A46">
      <w:pPr>
        <w:jc w:val="both"/>
        <w:rPr>
          <w:bCs/>
          <w:color w:val="002060"/>
          <w:sz w:val="16"/>
          <w:szCs w:val="16"/>
        </w:rPr>
      </w:pPr>
      <w:r w:rsidRPr="00DE096C">
        <w:rPr>
          <w:bCs/>
          <w:color w:val="002060"/>
          <w:sz w:val="16"/>
          <w:szCs w:val="16"/>
        </w:rPr>
        <w:t>В бухте Карал уже находилась неисправная летающая лодка лейтенанта И.И. Кульнева. 18 июля с 2-й авиационной станции на помощь авиаторам выступила ремонтная команда, однако известие о войне с Германией, начавшейся 19 июля, застало Лаврова на месте вынужденной посадки. Запись, сделанная 21 июля в вахтенном журнале 2-й морской авиационной станции, проливает свет на дальнейшие события. "Аппарат "Илья Муромец", - сообщает журнал, - под командою лейтенанта Лаврова вышел, руля по воде, из бухты Карал, испугавшись миноносцев неприятеля. Т.к. уйти за неисправностью моторов не мог, открыли баки с бензином, подожгли, а поплавки изпоруби- ли. Люди вернулись на рыбацкой лодке" .</w:t>
      </w:r>
    </w:p>
    <w:p w14:paraId="6021A4FA" w14:textId="77777777" w:rsidR="00B67D7C" w:rsidRPr="00DE096C" w:rsidRDefault="00B67D7C" w:rsidP="00D45A46">
      <w:pPr>
        <w:jc w:val="both"/>
        <w:rPr>
          <w:bCs/>
          <w:color w:val="002060"/>
          <w:sz w:val="16"/>
          <w:szCs w:val="16"/>
        </w:rPr>
      </w:pPr>
      <w:r w:rsidRPr="00DE096C">
        <w:rPr>
          <w:bCs/>
          <w:color w:val="002060"/>
          <w:sz w:val="16"/>
          <w:szCs w:val="16"/>
        </w:rPr>
        <w:t>Слух о том, что Лавров уничтожил машину, чтобы скрыть следы технической некомпетентности и грубой посадки, не заслуживает серьёзного внимания. Вполне очевидно, что ответственность за поломку аппарата была бы меньшей, нежели ответственность за сожжение его.</w:t>
      </w:r>
    </w:p>
    <w:p w14:paraId="05C2EACF" w14:textId="77777777" w:rsidR="00B67D7C" w:rsidRPr="00DE096C" w:rsidRDefault="00B67D7C" w:rsidP="00D45A46">
      <w:pPr>
        <w:jc w:val="both"/>
        <w:rPr>
          <w:bCs/>
          <w:color w:val="002060"/>
          <w:sz w:val="16"/>
          <w:szCs w:val="16"/>
        </w:rPr>
      </w:pPr>
      <w:r w:rsidRPr="00DE096C">
        <w:rPr>
          <w:bCs/>
          <w:color w:val="002060"/>
          <w:sz w:val="16"/>
          <w:szCs w:val="16"/>
        </w:rPr>
        <w:t xml:space="preserve">Суда, замеченные с берега, не были неприятельскими. С учётом этого обстоятельства потеря "Ильи Муромца", причинившая флоту ущерб в размере не менее 170 000 рублей, выглядела особенно неприглядной. Командующий флотом негодовал и хотел отдать Лаврова под суд, но заступничество Ду- дорова спасло офицера от такого позора. Ду- доров убедил командующего в том, что было бы неверным ожидать многого от опытной машины и что утрата её не ослабила морские силы. Что касается денег, то их, как известно, в военное время не считают (12041). </w:t>
      </w:r>
    </w:p>
    <w:p w14:paraId="21B6AE77" w14:textId="77777777" w:rsidR="00B67D7C" w:rsidRPr="00DE096C" w:rsidRDefault="00B67D7C" w:rsidP="00D45A46">
      <w:pPr>
        <w:jc w:val="both"/>
        <w:rPr>
          <w:bCs/>
          <w:color w:val="002060"/>
          <w:sz w:val="16"/>
          <w:szCs w:val="16"/>
        </w:rPr>
      </w:pPr>
    </w:p>
    <w:p w14:paraId="7CD60762" w14:textId="6510C2A0" w:rsidR="00EF3360" w:rsidRPr="00DE096C" w:rsidRDefault="00EF3360" w:rsidP="00D45A46">
      <w:pPr>
        <w:jc w:val="both"/>
        <w:rPr>
          <w:bCs/>
          <w:color w:val="002060"/>
          <w:sz w:val="16"/>
          <w:szCs w:val="16"/>
        </w:rPr>
      </w:pPr>
      <w:r w:rsidRPr="00DE096C">
        <w:rPr>
          <w:bCs/>
          <w:color w:val="002060"/>
          <w:sz w:val="16"/>
          <w:szCs w:val="16"/>
          <w:lang w:bidi="en-US"/>
        </w:rPr>
        <w:t xml:space="preserve">11 (24) января 1914 г. Р-БВЗ получил заказ ВМФ на один ИФ «Муромец» на поплавках для Балтийского флота. Он будет иметь обозначение </w:t>
      </w:r>
      <w:r w:rsidRPr="00DE096C">
        <w:rPr>
          <w:bCs/>
          <w:color w:val="002060"/>
          <w:sz w:val="16"/>
          <w:szCs w:val="16"/>
          <w:lang w:val="en-US" w:bidi="en-US"/>
        </w:rPr>
        <w:t>IM</w:t>
      </w:r>
      <w:r w:rsidRPr="00DE096C">
        <w:rPr>
          <w:bCs/>
          <w:color w:val="002060"/>
          <w:sz w:val="16"/>
          <w:szCs w:val="16"/>
          <w:lang w:bidi="en-US"/>
        </w:rPr>
        <w:t xml:space="preserve"> </w:t>
      </w:r>
      <w:r w:rsidRPr="00DE096C">
        <w:rPr>
          <w:bCs/>
          <w:color w:val="002060"/>
          <w:sz w:val="16"/>
          <w:szCs w:val="16"/>
          <w:lang w:val="en-US" w:bidi="en-US"/>
        </w:rPr>
        <w:t>A</w:t>
      </w:r>
      <w:r w:rsidRPr="00DE096C">
        <w:rPr>
          <w:bCs/>
          <w:color w:val="002060"/>
          <w:sz w:val="16"/>
          <w:szCs w:val="16"/>
          <w:lang w:bidi="en-US"/>
        </w:rPr>
        <w:t>-1 завод №. 107 (23525).</w:t>
      </w:r>
    </w:p>
    <w:p w14:paraId="39E63B1B" w14:textId="77777777" w:rsidR="00EF3360" w:rsidRPr="00DE096C" w:rsidRDefault="00EF3360" w:rsidP="00D45A46">
      <w:pPr>
        <w:jc w:val="both"/>
        <w:rPr>
          <w:bCs/>
          <w:color w:val="002060"/>
          <w:sz w:val="16"/>
          <w:szCs w:val="16"/>
        </w:rPr>
      </w:pPr>
    </w:p>
    <w:p w14:paraId="50764211" w14:textId="166A22E9" w:rsidR="00EF3360" w:rsidRPr="00DE096C" w:rsidRDefault="00EF3360" w:rsidP="00D45A46">
      <w:pPr>
        <w:jc w:val="both"/>
        <w:rPr>
          <w:bCs/>
          <w:color w:val="002060"/>
          <w:sz w:val="16"/>
          <w:szCs w:val="16"/>
        </w:rPr>
      </w:pPr>
      <w:r w:rsidRPr="00DE096C">
        <w:rPr>
          <w:bCs/>
          <w:color w:val="002060"/>
          <w:sz w:val="16"/>
          <w:szCs w:val="16"/>
        </w:rPr>
        <w:t>11 (24) января 1914 г. начальник Санкт-Петербургского порта заключил контракт с Р-БВЗ на отправку № 107 в Либаву к 10 марта.</w:t>
      </w:r>
    </w:p>
    <w:p w14:paraId="63D1560C" w14:textId="77777777" w:rsidR="00EF3360" w:rsidRPr="00DE096C" w:rsidRDefault="00EF3360" w:rsidP="00D45A46">
      <w:pPr>
        <w:jc w:val="both"/>
        <w:rPr>
          <w:bCs/>
          <w:color w:val="002060"/>
          <w:sz w:val="16"/>
          <w:szCs w:val="16"/>
        </w:rPr>
      </w:pPr>
      <w:r w:rsidRPr="00DE096C">
        <w:rPr>
          <w:bCs/>
          <w:color w:val="002060"/>
          <w:sz w:val="16"/>
          <w:szCs w:val="16"/>
        </w:rPr>
        <w:t>Он прибыл туда по железной дороге в апреле. 27 мая 1914 г. IM № 107 совершил свой первый полет в Либаве, пилотируемый 1.1. Сикорский и морской летчик лейтенант Г.И. Лавров. Он был оснащен двумя двигателями Salmson мощностью 190 л.с. и двумя двигателями Argus мощностью 115 л.с.</w:t>
      </w:r>
    </w:p>
    <w:p w14:paraId="70DEFC53" w14:textId="77777777" w:rsidR="00EF3360" w:rsidRPr="00DE096C" w:rsidRDefault="00EF3360" w:rsidP="00D45A46">
      <w:pPr>
        <w:jc w:val="both"/>
        <w:rPr>
          <w:bCs/>
          <w:color w:val="002060"/>
          <w:sz w:val="16"/>
          <w:szCs w:val="16"/>
        </w:rPr>
      </w:pPr>
      <w:r w:rsidRPr="00DE096C">
        <w:rPr>
          <w:bCs/>
          <w:color w:val="002060"/>
          <w:sz w:val="16"/>
          <w:szCs w:val="16"/>
        </w:rPr>
        <w:t>26 мая 1914 г. командование Балтийского флота высказало сомнения в целесообразности заказа еще двух гидросамолетов ИМ. 29-го военно-морской министр согласился. 27 июля гидросамолет «Илья Муромец»</w:t>
      </w:r>
    </w:p>
    <w:p w14:paraId="3582E08F" w14:textId="77777777" w:rsidR="00EF3360" w:rsidRPr="00DE096C" w:rsidRDefault="00EF3360" w:rsidP="00D45A46">
      <w:pPr>
        <w:jc w:val="both"/>
        <w:rPr>
          <w:bCs/>
          <w:color w:val="002060"/>
          <w:sz w:val="16"/>
          <w:szCs w:val="16"/>
        </w:rPr>
      </w:pPr>
      <w:r w:rsidRPr="00DE096C">
        <w:rPr>
          <w:bCs/>
          <w:color w:val="002060"/>
          <w:sz w:val="16"/>
          <w:szCs w:val="16"/>
        </w:rPr>
        <w:t>№ 107 был принят флотом. В первые дни войны он вылетел на военно-морскую авиабазу в Килконде на острове Эзель, но вместо этого приземлился в Цереле, где в октябре экипаж сжег свою машину при приближении того, что считалось вражеским военным кораблем.</w:t>
      </w:r>
    </w:p>
    <w:p w14:paraId="78ED90B5" w14:textId="77777777" w:rsidR="00EF3360" w:rsidRPr="00DE096C" w:rsidRDefault="00EF3360" w:rsidP="00D45A46">
      <w:pPr>
        <w:jc w:val="both"/>
        <w:rPr>
          <w:bCs/>
          <w:color w:val="002060"/>
          <w:sz w:val="16"/>
          <w:szCs w:val="16"/>
        </w:rPr>
      </w:pPr>
      <w:r w:rsidRPr="00DE096C">
        <w:rPr>
          <w:bCs/>
          <w:color w:val="002060"/>
          <w:sz w:val="16"/>
          <w:szCs w:val="16"/>
        </w:rPr>
        <w:t>27 июня 1914 г. Морской штаб заявил, что гидросамолет ИМ может быть использован вместо морских дирижаблей, поскольку стоимость дирижабля составляла 500 000 рублей плюс один миллион рублей за его навес, а стоимость ИМ теперь составляла 90 000 рублей. . Больше ничего с этой идеей сделано не было.</w:t>
      </w:r>
    </w:p>
    <w:p w14:paraId="4CD569E3" w14:textId="77777777" w:rsidR="00EF3360" w:rsidRPr="00DE096C" w:rsidRDefault="00EF3360" w:rsidP="00D45A46">
      <w:pPr>
        <w:jc w:val="both"/>
        <w:rPr>
          <w:bCs/>
          <w:color w:val="002060"/>
          <w:sz w:val="16"/>
          <w:szCs w:val="16"/>
        </w:rPr>
      </w:pPr>
      <w:r w:rsidRPr="00DE096C">
        <w:rPr>
          <w:bCs/>
          <w:color w:val="002060"/>
          <w:sz w:val="16"/>
          <w:szCs w:val="16"/>
        </w:rPr>
        <w:t>Вскоре последовал самолет Сикорского № 128, новый тип «В» (Бех), совершивший полет 4 июня 1914 года в Санкт-Петербурге с десятью людьми на высоте 3200 метров. Рано утром 30 июня Сикорский вылетел в свой исторический 1100-километровый перелет в Киев. По возвращении Сикорского в июле. Царь Николай II почтил это событие, назвав самолет Кораблей Киевским. В ходе войны в серии «Илья Муромец» будет ряд будущих кораблей «Киевский».</w:t>
      </w:r>
    </w:p>
    <w:p w14:paraId="324C064D" w14:textId="77777777" w:rsidR="00EF3360" w:rsidRPr="00DE096C" w:rsidRDefault="00EF3360" w:rsidP="00D45A46">
      <w:pPr>
        <w:jc w:val="both"/>
        <w:rPr>
          <w:bCs/>
          <w:color w:val="002060"/>
          <w:sz w:val="16"/>
          <w:szCs w:val="16"/>
        </w:rPr>
      </w:pPr>
      <w:r w:rsidRPr="00DE096C">
        <w:rPr>
          <w:bCs/>
          <w:color w:val="002060"/>
          <w:sz w:val="16"/>
          <w:szCs w:val="16"/>
        </w:rPr>
        <w:t>Для поставки авиадвигателей, в первую очередь для «Ильи Муромца», фирма Шидловского Р-БВЗ открыла в Санкт-Петербурге (позже Петрограде) два авиамоторных завода, получивших название Р-БМЗ (Русско-Балтийский моторный завод). Они сосредоточились на двух моделях: модифицированном Argus мощностью 140 л.с., известном как MRB-6, и модифицированном Benz мощностью 150 л.с., известном как RBVZ-6. конструкции В. В. Киреева. 5 мая 1916 года завод получил заказ на 300 двигателей. Вероятно, 200 штук были построены на объектах в Петрограде и подмосковных Филях.</w:t>
      </w:r>
    </w:p>
    <w:p w14:paraId="299A93D6" w14:textId="77777777" w:rsidR="00EF3360" w:rsidRPr="00DE096C" w:rsidRDefault="00EF3360" w:rsidP="00D45A46">
      <w:pPr>
        <w:jc w:val="both"/>
        <w:rPr>
          <w:bCs/>
          <w:color w:val="002060"/>
          <w:sz w:val="16"/>
          <w:szCs w:val="16"/>
        </w:rPr>
      </w:pPr>
      <w:r w:rsidRPr="00DE096C">
        <w:rPr>
          <w:bCs/>
          <w:color w:val="002060"/>
          <w:sz w:val="16"/>
          <w:szCs w:val="16"/>
        </w:rPr>
        <w:t>В июле 1914 г. Главком российского Генерального штаба заказал Р-БВЗ десять «Ильев Муромцев» (ИМ) с поставкой к марту 1915 г. Стоимость каждого самолета составляла около рупий. 150 000. Сикорский предвидел заказ и уже начал производственные планы.</w:t>
      </w:r>
    </w:p>
    <w:p w14:paraId="2A2646BF" w14:textId="77777777" w:rsidR="00EF3360" w:rsidRPr="00DE096C" w:rsidRDefault="00EF3360" w:rsidP="00D45A46">
      <w:pPr>
        <w:jc w:val="both"/>
        <w:rPr>
          <w:bCs/>
          <w:color w:val="002060"/>
          <w:sz w:val="16"/>
          <w:szCs w:val="16"/>
        </w:rPr>
      </w:pPr>
      <w:r w:rsidRPr="00DE096C">
        <w:rPr>
          <w:bCs/>
          <w:color w:val="002060"/>
          <w:sz w:val="16"/>
          <w:szCs w:val="16"/>
        </w:rPr>
        <w:t>31 августа Р-БВЗ передал армии два Ильи Муромца, ИМ Киевский (№ 128) и ИМ-I (№ 135). Вскоре за ними последуют другие корабли этой исторической серии.</w:t>
      </w:r>
    </w:p>
    <w:p w14:paraId="1974C43D" w14:textId="77777777" w:rsidR="00EF3360" w:rsidRPr="00DE096C" w:rsidRDefault="00EF3360" w:rsidP="00D45A46">
      <w:pPr>
        <w:jc w:val="both"/>
        <w:rPr>
          <w:bCs/>
          <w:color w:val="002060"/>
          <w:sz w:val="16"/>
          <w:szCs w:val="16"/>
        </w:rPr>
      </w:pPr>
      <w:r w:rsidRPr="00DE096C">
        <w:rPr>
          <w:bCs/>
          <w:color w:val="002060"/>
          <w:sz w:val="16"/>
          <w:szCs w:val="16"/>
        </w:rPr>
        <w:t>Производство на Р-БВЗ во время войны было почти полностью сосредоточено на различных типах Sikorsky. Насколько известно, было построено 85 IM, один «А», шесть «В», 18 «В», 55 «Г», три «Д» и два «Е», по крайней мере половина из них — учебные. Еще три «Ги» были построены красными во время Гражданской войны. В сентябре 1915 года Центральное военно-техническое управление заказало восемнадцать С-16. Поставки начались в середине января 1916 года. Всего было построено тридцать три истребителя С-16 по цене около 9500 рублей (около 5000 долларов) каждый.</w:t>
      </w:r>
    </w:p>
    <w:p w14:paraId="2F990A23" w14:textId="77777777" w:rsidR="00EF3360" w:rsidRPr="00DE096C" w:rsidRDefault="00EF3360" w:rsidP="00D45A46">
      <w:pPr>
        <w:jc w:val="both"/>
        <w:rPr>
          <w:bCs/>
          <w:color w:val="002060"/>
          <w:sz w:val="16"/>
          <w:szCs w:val="16"/>
        </w:rPr>
      </w:pPr>
      <w:r w:rsidRPr="00DE096C">
        <w:rPr>
          <w:bCs/>
          <w:color w:val="002060"/>
          <w:sz w:val="16"/>
          <w:szCs w:val="16"/>
        </w:rPr>
        <w:t>С октября 1912 по апрель 1914 года Р-БВЗ произвел 38 французских самолетов Farmans и Nieuport IV. В 1910-1913 годах на Р-БВЗ было построено около 100 самолетов, с 1914 по 1917 год было построено около 140 самолетов. Не все из них были приняты.</w:t>
      </w:r>
    </w:p>
    <w:p w14:paraId="1D26C07A" w14:textId="77777777" w:rsidR="00EF3360" w:rsidRPr="00DE096C" w:rsidRDefault="00EF3360" w:rsidP="00D45A46">
      <w:pPr>
        <w:jc w:val="both"/>
        <w:rPr>
          <w:bCs/>
          <w:color w:val="002060"/>
          <w:sz w:val="16"/>
          <w:szCs w:val="16"/>
        </w:rPr>
      </w:pPr>
      <w:r w:rsidRPr="00DE096C">
        <w:rPr>
          <w:bCs/>
          <w:color w:val="002060"/>
          <w:sz w:val="16"/>
          <w:szCs w:val="16"/>
        </w:rPr>
        <w:t>К началу 1917 года производство выросло до шести ИМ и 30-40 самолетов других типов в месяц. В 1914 г. насчитывалось 270 рабочих, в 1915 г. их число возросло до 400, в 1916 г. — до 478, а в марте 1917 г. — до 475. На авиамоторном заводе в Петрограде (сдача началась в ноябре 1916 г.) было 266 рабочих в 1916 г. и 430 в 1917.</w:t>
      </w:r>
    </w:p>
    <w:p w14:paraId="72B2C10A" w14:textId="77777777" w:rsidR="00EF3360" w:rsidRPr="00DE096C" w:rsidRDefault="00EF3360" w:rsidP="00D45A46">
      <w:pPr>
        <w:jc w:val="both"/>
        <w:rPr>
          <w:bCs/>
          <w:color w:val="002060"/>
          <w:sz w:val="16"/>
          <w:szCs w:val="16"/>
        </w:rPr>
      </w:pPr>
      <w:r w:rsidRPr="00DE096C">
        <w:rPr>
          <w:bCs/>
          <w:color w:val="002060"/>
          <w:sz w:val="16"/>
          <w:szCs w:val="16"/>
        </w:rPr>
        <w:t>Директором авиационного завода Р-БВЗ в 1916-1918 годах был Витольд Ярковский, бывший директор завода Щетинина в 1915-1916 годах и завода Лебедева в 1913-1915 годах.</w:t>
      </w:r>
    </w:p>
    <w:p w14:paraId="4EA489BA" w14:textId="77777777" w:rsidR="00EF3360" w:rsidRPr="00DE096C" w:rsidRDefault="00EF3360" w:rsidP="00D45A46">
      <w:pPr>
        <w:jc w:val="both"/>
        <w:rPr>
          <w:bCs/>
          <w:color w:val="002060"/>
          <w:sz w:val="16"/>
          <w:szCs w:val="16"/>
        </w:rPr>
      </w:pPr>
      <w:r w:rsidRPr="00DE096C">
        <w:rPr>
          <w:bCs/>
          <w:color w:val="002060"/>
          <w:sz w:val="16"/>
          <w:szCs w:val="16"/>
        </w:rPr>
        <w:t>М. В. Шидловский и его сын Михаил были застрелены красногвардейцами 14 января 1921 г. при попытке бегства через границу в Финляндию (23125).</w:t>
      </w:r>
    </w:p>
    <w:p w14:paraId="19449065" w14:textId="77777777" w:rsidR="00EF3360" w:rsidRPr="00DE096C" w:rsidRDefault="00EF3360" w:rsidP="00D45A46">
      <w:pPr>
        <w:jc w:val="both"/>
        <w:rPr>
          <w:bCs/>
          <w:color w:val="002060"/>
          <w:sz w:val="16"/>
          <w:szCs w:val="16"/>
        </w:rPr>
      </w:pPr>
    </w:p>
    <w:p w14:paraId="784FC599" w14:textId="77777777" w:rsidR="00F16B25" w:rsidRPr="00DE096C" w:rsidRDefault="00F16B25" w:rsidP="00D45A46">
      <w:pPr>
        <w:jc w:val="both"/>
        <w:rPr>
          <w:bCs/>
          <w:i/>
          <w:color w:val="002060"/>
          <w:sz w:val="16"/>
          <w:szCs w:val="16"/>
        </w:rPr>
      </w:pPr>
      <w:r w:rsidRPr="00DE096C">
        <w:rPr>
          <w:bCs/>
          <w:i/>
          <w:color w:val="002060"/>
          <w:sz w:val="16"/>
          <w:szCs w:val="16"/>
        </w:rPr>
        <w:t>Авиация и воздухоплавание Англии:</w:t>
      </w:r>
    </w:p>
    <w:p w14:paraId="275C6B88" w14:textId="77777777" w:rsidR="00F16B25" w:rsidRPr="00DE096C" w:rsidRDefault="00F16B25" w:rsidP="00D45A46">
      <w:pPr>
        <w:jc w:val="both"/>
        <w:rPr>
          <w:bCs/>
          <w:i/>
          <w:color w:val="002060"/>
          <w:sz w:val="16"/>
          <w:szCs w:val="16"/>
        </w:rPr>
      </w:pPr>
    </w:p>
    <w:p w14:paraId="1F95F815" w14:textId="77777777" w:rsidR="00F16B25" w:rsidRPr="00DE096C" w:rsidRDefault="00F16B25" w:rsidP="00D45A46">
      <w:pPr>
        <w:jc w:val="both"/>
        <w:rPr>
          <w:bCs/>
          <w:color w:val="002060"/>
          <w:sz w:val="16"/>
          <w:szCs w:val="16"/>
        </w:rPr>
      </w:pPr>
      <w:r w:rsidRPr="00DE096C">
        <w:rPr>
          <w:bCs/>
          <w:color w:val="002060"/>
          <w:sz w:val="16"/>
          <w:szCs w:val="16"/>
        </w:rPr>
        <w:t xml:space="preserve">13 (26) января в 1914 году первый легкий разведчик-бомбардировщик </w:t>
      </w:r>
      <w:hyperlink r:id="rId5" w:tgtFrame="_blank" w:history="1">
        <w:r w:rsidRPr="00DE096C">
          <w:rPr>
            <w:bCs/>
            <w:color w:val="002060"/>
            <w:sz w:val="16"/>
            <w:szCs w:val="16"/>
          </w:rPr>
          <w:t xml:space="preserve">«R.E.5» </w:t>
        </w:r>
      </w:hyperlink>
      <w:r w:rsidRPr="00DE096C">
        <w:rPr>
          <w:bCs/>
          <w:color w:val="002060"/>
          <w:sz w:val="16"/>
          <w:szCs w:val="16"/>
        </w:rPr>
        <w:t>передан Королевским ВВС (Flying Department). А всего до начала Первой мировой успели поставить еще 15 машин (15021).</w:t>
      </w:r>
    </w:p>
    <w:p w14:paraId="575AEF88" w14:textId="77777777" w:rsidR="00F16B25" w:rsidRPr="00DE096C" w:rsidRDefault="00F16B25" w:rsidP="00D45A46">
      <w:pPr>
        <w:jc w:val="both"/>
        <w:rPr>
          <w:bCs/>
          <w:color w:val="002060"/>
          <w:sz w:val="16"/>
          <w:szCs w:val="16"/>
        </w:rPr>
      </w:pPr>
    </w:p>
    <w:p w14:paraId="56A40D32" w14:textId="77777777" w:rsidR="00B67D7C" w:rsidRPr="00DE096C" w:rsidRDefault="00B67D7C" w:rsidP="00D45A46">
      <w:pPr>
        <w:jc w:val="both"/>
        <w:rPr>
          <w:bCs/>
          <w:i/>
          <w:color w:val="002060"/>
          <w:sz w:val="16"/>
          <w:szCs w:val="16"/>
        </w:rPr>
      </w:pPr>
      <w:r w:rsidRPr="00DE096C">
        <w:rPr>
          <w:bCs/>
          <w:i/>
          <w:color w:val="002060"/>
          <w:sz w:val="16"/>
          <w:szCs w:val="16"/>
        </w:rPr>
        <w:t>Армия:</w:t>
      </w:r>
    </w:p>
    <w:p w14:paraId="6E9B1A5E" w14:textId="77777777" w:rsidR="00B67D7C" w:rsidRPr="00DE096C" w:rsidRDefault="00B67D7C" w:rsidP="00D45A46">
      <w:pPr>
        <w:jc w:val="both"/>
        <w:rPr>
          <w:bCs/>
          <w:i/>
          <w:color w:val="002060"/>
          <w:sz w:val="16"/>
          <w:szCs w:val="16"/>
        </w:rPr>
      </w:pPr>
    </w:p>
    <w:p w14:paraId="36435811" w14:textId="25CD8B0B"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14 </w:t>
      </w:r>
      <w:r w:rsidR="00B958ED" w:rsidRPr="00DE096C">
        <w:rPr>
          <w:bCs/>
          <w:color w:val="002060"/>
          <w:sz w:val="16"/>
          <w:szCs w:val="16"/>
        </w:rPr>
        <w:t xml:space="preserve">(28) </w:t>
      </w:r>
      <w:r w:rsidRPr="00DE096C">
        <w:rPr>
          <w:bCs/>
          <w:color w:val="002060"/>
          <w:sz w:val="16"/>
          <w:szCs w:val="16"/>
        </w:rPr>
        <w:t xml:space="preserve">января 1914 г. </w:t>
      </w:r>
      <w:r w:rsidR="00B958ED" w:rsidRPr="00DE096C">
        <w:rPr>
          <w:bCs/>
          <w:color w:val="002060"/>
          <w:sz w:val="16"/>
          <w:szCs w:val="16"/>
        </w:rPr>
        <w:t>Плеве, который по своей инициативе передал из НЗ в учебную автороту ещё один мотоцикл фирмы РМ с двигателем мощно</w:t>
      </w:r>
      <w:r w:rsidR="00B958ED" w:rsidRPr="00DE096C">
        <w:rPr>
          <w:bCs/>
          <w:color w:val="002060"/>
          <w:sz w:val="16"/>
          <w:szCs w:val="16"/>
        </w:rPr>
        <w:softHyphen/>
        <w:t xml:space="preserve">стью 4,5 л.с., </w:t>
      </w:r>
      <w:r w:rsidRPr="00DE096C">
        <w:rPr>
          <w:bCs/>
          <w:color w:val="002060"/>
          <w:sz w:val="16"/>
          <w:szCs w:val="16"/>
        </w:rPr>
        <w:t>сообщил об этом Военному ми</w:t>
      </w:r>
      <w:r w:rsidRPr="00DE096C">
        <w:rPr>
          <w:bCs/>
          <w:color w:val="002060"/>
          <w:sz w:val="16"/>
          <w:szCs w:val="16"/>
        </w:rPr>
        <w:softHyphen/>
        <w:t>нистру [2.19].</w:t>
      </w:r>
    </w:p>
    <w:p w14:paraId="509661D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военном ведомстве осознали полезность мотоциклов и от</w:t>
      </w:r>
      <w:r w:rsidRPr="00DE096C">
        <w:rPr>
          <w:bCs/>
          <w:color w:val="002060"/>
          <w:sz w:val="16"/>
          <w:szCs w:val="16"/>
        </w:rPr>
        <w:softHyphen/>
        <w:t>несли их к инженерным средствам, для обеспечения армии кото</w:t>
      </w:r>
      <w:r w:rsidRPr="00DE096C">
        <w:rPr>
          <w:bCs/>
          <w:color w:val="002060"/>
          <w:sz w:val="16"/>
          <w:szCs w:val="16"/>
        </w:rPr>
        <w:softHyphen/>
        <w:t>рыми требовалось создать в системе управления вооружённых сил особый руководящий орган, что узаконил Генштаб Прика</w:t>
      </w:r>
      <w:r w:rsidRPr="00DE096C">
        <w:rPr>
          <w:bCs/>
          <w:color w:val="002060"/>
          <w:sz w:val="16"/>
          <w:szCs w:val="16"/>
        </w:rPr>
        <w:softHyphen/>
        <w:t>зом № 666, утверждённым Государем 20 декабря 1913 г. В нём для обеспечения вооружённых сил инженерными средствами, в том числе и мотоциклами, предписывалось создать Главное во</w:t>
      </w:r>
      <w:r w:rsidRPr="00DE096C">
        <w:rPr>
          <w:bCs/>
          <w:color w:val="002060"/>
          <w:sz w:val="16"/>
          <w:szCs w:val="16"/>
        </w:rPr>
        <w:softHyphen/>
        <w:t>енно-техническое управление - ГВТУ [2.20]. Поначалу его дея</w:t>
      </w:r>
      <w:r w:rsidRPr="00DE096C">
        <w:rPr>
          <w:bCs/>
          <w:color w:val="002060"/>
          <w:sz w:val="16"/>
          <w:szCs w:val="16"/>
        </w:rPr>
        <w:softHyphen/>
        <w:t xml:space="preserve">тельность по обеспечению русской армии мотоциклами не была интенсивной, ведь к началу войны в русской армии было около 100 экземпляров [2.21]. </w:t>
      </w:r>
      <w:r w:rsidRPr="00DE096C">
        <w:rPr>
          <w:bCs/>
          <w:color w:val="002060"/>
          <w:sz w:val="16"/>
          <w:szCs w:val="16"/>
        </w:rPr>
        <w:lastRenderedPageBreak/>
        <w:t>Приобрести мотоциклы с помощью ГВТУ первым решил Санкт-Петербургский военный округ. Заявку на получение 60 мотоциклов одобрили 14 июля 1914 г. Однако из-за неотлаженности механизма приобретения этой техники и вскоре начавшейся Первой мировой войны её не испол</w:t>
      </w:r>
      <w:r w:rsidRPr="00DE096C">
        <w:rPr>
          <w:bCs/>
          <w:color w:val="002060"/>
          <w:sz w:val="16"/>
          <w:szCs w:val="16"/>
        </w:rPr>
        <w:softHyphen/>
        <w:t>нили [2.22].</w:t>
      </w:r>
    </w:p>
    <w:p w14:paraId="34342A8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Предполагалось снабжать войска импортными мотоциклами, поскольку к тому времени в России мотоциклы не выпускали в достаточном количестве. Чтобы составить представление о при</w:t>
      </w:r>
      <w:r w:rsidRPr="00DE096C">
        <w:rPr>
          <w:bCs/>
          <w:color w:val="002060"/>
          <w:sz w:val="16"/>
          <w:szCs w:val="16"/>
        </w:rPr>
        <w:softHyphen/>
        <w:t>годности различных иномарок для обеспечения армии, требова</w:t>
      </w:r>
      <w:r w:rsidRPr="00DE096C">
        <w:rPr>
          <w:bCs/>
          <w:color w:val="002060"/>
          <w:sz w:val="16"/>
          <w:szCs w:val="16"/>
        </w:rPr>
        <w:softHyphen/>
        <w:t>лось организовать их испытания. В стране не было научно-иссле</w:t>
      </w:r>
      <w:r w:rsidRPr="00DE096C">
        <w:rPr>
          <w:bCs/>
          <w:color w:val="002060"/>
          <w:sz w:val="16"/>
          <w:szCs w:val="16"/>
        </w:rPr>
        <w:softHyphen/>
        <w:t>довательских учреждений, и ГВТУ решило проводить испыта</w:t>
      </w:r>
      <w:r w:rsidRPr="00DE096C">
        <w:rPr>
          <w:bCs/>
          <w:color w:val="002060"/>
          <w:sz w:val="16"/>
          <w:szCs w:val="16"/>
        </w:rPr>
        <w:softHyphen/>
        <w:t>тельные мотопробеги по замкнутым маршрутам, когда места старта и финиша совпадают (11429).</w:t>
      </w:r>
    </w:p>
    <w:p w14:paraId="50506A70" w14:textId="77777777" w:rsidR="00B67D7C" w:rsidRPr="00DE096C" w:rsidRDefault="00B67D7C" w:rsidP="00D45A46">
      <w:pPr>
        <w:shd w:val="clear" w:color="auto" w:fill="FFFFFF"/>
        <w:jc w:val="both"/>
        <w:rPr>
          <w:bCs/>
          <w:color w:val="002060"/>
          <w:sz w:val="16"/>
          <w:szCs w:val="16"/>
        </w:rPr>
      </w:pPr>
    </w:p>
    <w:p w14:paraId="38102C05"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w:t>
      </w:r>
    </w:p>
    <w:p w14:paraId="5F7593C8" w14:textId="77777777" w:rsidR="00B67D7C" w:rsidRPr="00DE096C" w:rsidRDefault="00B67D7C" w:rsidP="00D45A46">
      <w:pPr>
        <w:shd w:val="clear" w:color="auto" w:fill="FFFFFF"/>
        <w:jc w:val="both"/>
        <w:rPr>
          <w:bCs/>
          <w:i/>
          <w:color w:val="002060"/>
          <w:sz w:val="16"/>
          <w:szCs w:val="16"/>
        </w:rPr>
      </w:pPr>
    </w:p>
    <w:p w14:paraId="3CB342F0" w14:textId="53F8639C" w:rsidR="00B67D7C" w:rsidRPr="00DE096C" w:rsidRDefault="00B67D7C" w:rsidP="00D45A46">
      <w:pPr>
        <w:jc w:val="both"/>
        <w:rPr>
          <w:bCs/>
          <w:color w:val="002060"/>
          <w:sz w:val="16"/>
          <w:szCs w:val="16"/>
        </w:rPr>
      </w:pPr>
      <w:r w:rsidRPr="00DE096C">
        <w:rPr>
          <w:bCs/>
          <w:color w:val="002060"/>
          <w:sz w:val="16"/>
          <w:szCs w:val="16"/>
        </w:rPr>
        <w:t xml:space="preserve">18 (31) января 1914 года </w:t>
      </w:r>
      <w:r w:rsidR="00B958ED" w:rsidRPr="00DE096C">
        <w:rPr>
          <w:bCs/>
          <w:color w:val="002060"/>
          <w:sz w:val="16"/>
          <w:szCs w:val="16"/>
        </w:rPr>
        <w:t xml:space="preserve">в связи с усилившимся беспокойством общественности совет министров был вынужден </w:t>
      </w:r>
      <w:r w:rsidRPr="00DE096C">
        <w:rPr>
          <w:bCs/>
          <w:color w:val="002060"/>
          <w:sz w:val="16"/>
          <w:szCs w:val="16"/>
        </w:rPr>
        <w:t>дать разрешение морскому ведомству на организацию поисков экспедиции Г. Я. Седова. Непосредственное выполнение задачи было возложено на Главное гидрографическое управление. Предстояло обследовать громадный район полярных льдов вдоль всего западного побережья Новой Земли, а также у Земли Франца-Иосифа. На совещаниях в Главном гидрографическом управлении моряки высказали мысль об использовании для этой цели аэроплана, способного садиться на воду и снег. Пилотом пригласили поручика Я. И. Нагурского, который с энтузиазмом принял назначение. Летчику было предложено поехать во Францию и подобрать для себя наиболее подходящий гидросамолет.</w:t>
      </w:r>
    </w:p>
    <w:p w14:paraId="441BBE83" w14:textId="77777777" w:rsidR="00B67D7C" w:rsidRPr="00DE096C" w:rsidRDefault="00B67D7C" w:rsidP="00D45A46">
      <w:pPr>
        <w:shd w:val="clear" w:color="auto" w:fill="FFFFFF"/>
        <w:jc w:val="both"/>
        <w:rPr>
          <w:bCs/>
          <w:i/>
          <w:color w:val="002060"/>
          <w:sz w:val="16"/>
          <w:szCs w:val="16"/>
        </w:rPr>
      </w:pPr>
    </w:p>
    <w:p w14:paraId="05FF02BB" w14:textId="376C4A82" w:rsidR="009C16F9" w:rsidRPr="00DE096C" w:rsidRDefault="009C16F9" w:rsidP="00D45A46">
      <w:pPr>
        <w:shd w:val="clear" w:color="auto" w:fill="FFFFFF"/>
        <w:jc w:val="both"/>
        <w:rPr>
          <w:bCs/>
          <w:i/>
          <w:color w:val="002060"/>
          <w:sz w:val="16"/>
          <w:szCs w:val="16"/>
        </w:rPr>
      </w:pPr>
      <w:r w:rsidRPr="00DE096C">
        <w:rPr>
          <w:bCs/>
          <w:i/>
          <w:color w:val="002060"/>
          <w:sz w:val="16"/>
          <w:szCs w:val="16"/>
        </w:rPr>
        <w:t>Авиация и воздухоплавание Англии:</w:t>
      </w:r>
    </w:p>
    <w:p w14:paraId="23188000" w14:textId="77777777" w:rsidR="009C16F9" w:rsidRPr="00DE096C" w:rsidRDefault="009C16F9" w:rsidP="00D45A46">
      <w:pPr>
        <w:shd w:val="clear" w:color="auto" w:fill="FFFFFF"/>
        <w:jc w:val="both"/>
        <w:rPr>
          <w:bCs/>
          <w:i/>
          <w:color w:val="002060"/>
          <w:sz w:val="16"/>
          <w:szCs w:val="16"/>
        </w:rPr>
      </w:pPr>
    </w:p>
    <w:p w14:paraId="7D5CF76B" w14:textId="77777777" w:rsidR="009C16F9" w:rsidRPr="00DE096C" w:rsidRDefault="009C16F9" w:rsidP="00D45A46">
      <w:pPr>
        <w:jc w:val="both"/>
        <w:rPr>
          <w:bCs/>
          <w:color w:val="002060"/>
          <w:sz w:val="16"/>
          <w:szCs w:val="16"/>
        </w:rPr>
      </w:pPr>
      <w:r w:rsidRPr="00DE096C">
        <w:rPr>
          <w:bCs/>
          <w:color w:val="002060"/>
          <w:sz w:val="16"/>
          <w:szCs w:val="16"/>
        </w:rPr>
        <w:t>19 января (1 февраля) 1914 Американский аэроклуб объявляет о планах спонсировать кругосветную авиагонку (20337).</w:t>
      </w:r>
    </w:p>
    <w:p w14:paraId="728CBE87" w14:textId="77777777" w:rsidR="009C16F9" w:rsidRPr="00DE096C" w:rsidRDefault="009C16F9" w:rsidP="00D45A46">
      <w:pPr>
        <w:jc w:val="both"/>
        <w:rPr>
          <w:bCs/>
          <w:color w:val="002060"/>
          <w:sz w:val="16"/>
          <w:szCs w:val="16"/>
        </w:rPr>
      </w:pPr>
    </w:p>
    <w:p w14:paraId="35D094E5" w14:textId="150DE1CF" w:rsidR="00AF67E6" w:rsidRPr="00DE096C" w:rsidRDefault="00AF67E6" w:rsidP="00D45A46">
      <w:pPr>
        <w:shd w:val="clear" w:color="auto" w:fill="FFFFFF"/>
        <w:jc w:val="both"/>
        <w:rPr>
          <w:bCs/>
          <w:i/>
          <w:color w:val="002060"/>
          <w:sz w:val="16"/>
          <w:szCs w:val="16"/>
        </w:rPr>
      </w:pPr>
      <w:r w:rsidRPr="00DE096C">
        <w:rPr>
          <w:bCs/>
          <w:i/>
          <w:color w:val="002060"/>
          <w:sz w:val="16"/>
          <w:szCs w:val="16"/>
        </w:rPr>
        <w:t>Авиация и воздухоплавание Германии:</w:t>
      </w:r>
    </w:p>
    <w:p w14:paraId="1DECDD5A" w14:textId="77777777" w:rsidR="00AF67E6" w:rsidRPr="00DE096C" w:rsidRDefault="00AF67E6" w:rsidP="00D45A46">
      <w:pPr>
        <w:shd w:val="clear" w:color="auto" w:fill="FFFFFF"/>
        <w:jc w:val="both"/>
        <w:rPr>
          <w:bCs/>
          <w:i/>
          <w:color w:val="002060"/>
          <w:sz w:val="16"/>
          <w:szCs w:val="16"/>
        </w:rPr>
      </w:pPr>
    </w:p>
    <w:p w14:paraId="55FB6CFB" w14:textId="77777777" w:rsidR="00AF67E6" w:rsidRPr="00DE096C" w:rsidRDefault="00AF67E6" w:rsidP="00D45A46">
      <w:pPr>
        <w:jc w:val="both"/>
        <w:rPr>
          <w:bCs/>
          <w:color w:val="002060"/>
          <w:sz w:val="16"/>
          <w:szCs w:val="16"/>
        </w:rPr>
      </w:pPr>
      <w:r w:rsidRPr="00DE096C">
        <w:rPr>
          <w:bCs/>
          <w:color w:val="002060"/>
          <w:sz w:val="16"/>
          <w:szCs w:val="16"/>
        </w:rPr>
        <w:t>21 января (3 февраля) 1914 немецкий авиатор Бруно Лангер устанавливает новый рекорд продолжительности полета, пролетая без остановок 14 часов 7 минут (20337).</w:t>
      </w:r>
    </w:p>
    <w:p w14:paraId="2990C29C" w14:textId="77777777" w:rsidR="00AF67E6" w:rsidRPr="00DE096C" w:rsidRDefault="00AF67E6" w:rsidP="00D45A46">
      <w:pPr>
        <w:jc w:val="both"/>
        <w:rPr>
          <w:bCs/>
          <w:color w:val="002060"/>
          <w:sz w:val="16"/>
          <w:szCs w:val="16"/>
        </w:rPr>
      </w:pPr>
    </w:p>
    <w:p w14:paraId="776892CF"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w:t>
      </w:r>
    </w:p>
    <w:p w14:paraId="01D50CA2" w14:textId="77777777" w:rsidR="00B67D7C" w:rsidRPr="00DE096C" w:rsidRDefault="00B67D7C" w:rsidP="00D45A46">
      <w:pPr>
        <w:shd w:val="clear" w:color="auto" w:fill="FFFFFF"/>
        <w:jc w:val="both"/>
        <w:rPr>
          <w:bCs/>
          <w:i/>
          <w:color w:val="002060"/>
          <w:sz w:val="16"/>
          <w:szCs w:val="16"/>
        </w:rPr>
      </w:pPr>
    </w:p>
    <w:p w14:paraId="41ED1A76" w14:textId="1E30CE08"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23 января </w:t>
      </w:r>
      <w:r w:rsidR="00B958ED" w:rsidRPr="00DE096C">
        <w:rPr>
          <w:bCs/>
          <w:color w:val="002060"/>
          <w:sz w:val="16"/>
          <w:szCs w:val="16"/>
        </w:rPr>
        <w:t xml:space="preserve">(5 февраля) </w:t>
      </w:r>
      <w:r w:rsidRPr="00DE096C">
        <w:rPr>
          <w:bCs/>
          <w:color w:val="002060"/>
          <w:sz w:val="16"/>
          <w:szCs w:val="16"/>
        </w:rPr>
        <w:t>1914</w:t>
      </w:r>
      <w:r w:rsidR="00B958ED" w:rsidRPr="00DE096C">
        <w:rPr>
          <w:bCs/>
          <w:color w:val="002060"/>
          <w:sz w:val="16"/>
          <w:szCs w:val="16"/>
        </w:rPr>
        <w:t xml:space="preserve"> </w:t>
      </w:r>
      <w:r w:rsidRPr="00DE096C">
        <w:rPr>
          <w:bCs/>
          <w:color w:val="002060"/>
          <w:sz w:val="16"/>
          <w:szCs w:val="16"/>
        </w:rPr>
        <w:t xml:space="preserve">г. </w:t>
      </w:r>
      <w:r w:rsidR="00B958ED" w:rsidRPr="00DE096C">
        <w:rPr>
          <w:bCs/>
          <w:color w:val="002060"/>
          <w:sz w:val="16"/>
          <w:szCs w:val="16"/>
        </w:rPr>
        <w:t>вышел Циркуляр Глав</w:t>
      </w:r>
      <w:r w:rsidR="00B958ED" w:rsidRPr="00DE096C">
        <w:rPr>
          <w:bCs/>
          <w:color w:val="002060"/>
          <w:sz w:val="16"/>
          <w:szCs w:val="16"/>
        </w:rPr>
        <w:softHyphen/>
        <w:t xml:space="preserve">ного штаба </w:t>
      </w:r>
      <w:r w:rsidRPr="00DE096C">
        <w:rPr>
          <w:bCs/>
          <w:color w:val="002060"/>
          <w:sz w:val="16"/>
          <w:szCs w:val="16"/>
        </w:rPr>
        <w:t>о расформировании Воздухоплавательной части ГУ ГШ.</w:t>
      </w:r>
    </w:p>
    <w:p w14:paraId="3CB05D3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Дальнейшее развитие авиации продолжало осуществляться согласно «Большой про</w:t>
      </w:r>
      <w:r w:rsidRPr="00DE096C">
        <w:rPr>
          <w:bCs/>
          <w:color w:val="002060"/>
          <w:sz w:val="16"/>
          <w:szCs w:val="16"/>
        </w:rPr>
        <w:softHyphen/>
        <w:t xml:space="preserve">грамме по усилению русской армии», одобренной Николаем </w:t>
      </w:r>
      <w:r w:rsidRPr="00DE096C">
        <w:rPr>
          <w:bCs/>
          <w:color w:val="002060"/>
          <w:sz w:val="16"/>
          <w:szCs w:val="16"/>
          <w:lang w:val="en-US"/>
        </w:rPr>
        <w:t>II</w:t>
      </w:r>
      <w:r w:rsidRPr="00DE096C">
        <w:rPr>
          <w:bCs/>
          <w:color w:val="002060"/>
          <w:sz w:val="16"/>
          <w:szCs w:val="16"/>
        </w:rPr>
        <w:t>22 октября 1913г., так как «Общий план организации воздухоплавания и авиации в армии» включили в нее в каче</w:t>
      </w:r>
      <w:r w:rsidRPr="00DE096C">
        <w:rPr>
          <w:bCs/>
          <w:color w:val="002060"/>
          <w:sz w:val="16"/>
          <w:szCs w:val="16"/>
        </w:rPr>
        <w:softHyphen/>
        <w:t>стве составной части. Незадолго до войны, 24 июня 1914 года, «Большую программу...» утвердила Дума, и она стала законом (Елисеев С.П. Организационное строительство военной авиации России... С. 30-31.)</w:t>
      </w:r>
      <w:r w:rsidRPr="00DE096C">
        <w:rPr>
          <w:bCs/>
          <w:color w:val="002060"/>
          <w:sz w:val="16"/>
          <w:szCs w:val="16"/>
          <w:vertAlign w:val="superscript"/>
        </w:rPr>
        <w:t>9</w:t>
      </w:r>
      <w:r w:rsidRPr="00DE096C">
        <w:rPr>
          <w:bCs/>
          <w:color w:val="002060"/>
          <w:sz w:val="16"/>
          <w:szCs w:val="16"/>
        </w:rPr>
        <w:t>.</w:t>
      </w:r>
    </w:p>
    <w:p w14:paraId="54F49C8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Рассредоточение функций по управлению авиацией между высшими министерскими структурами создавало предпосылки к снижению темпов формирования авиаотрядов и другим неурядицам, начавшим проявляться сразу после выхода в свет циркуляра Глав</w:t>
      </w:r>
      <w:r w:rsidRPr="00DE096C">
        <w:rPr>
          <w:bCs/>
          <w:color w:val="002060"/>
          <w:sz w:val="16"/>
          <w:szCs w:val="16"/>
        </w:rPr>
        <w:softHyphen/>
        <w:t>ного штаба об упразднении Воздухоплавательной части ГУ ГШ. В составе ГВТУ, его на</w:t>
      </w:r>
      <w:r w:rsidRPr="00DE096C">
        <w:rPr>
          <w:bCs/>
          <w:color w:val="002060"/>
          <w:sz w:val="16"/>
          <w:szCs w:val="16"/>
        </w:rPr>
        <w:softHyphen/>
        <w:t>чальником стал генерал-лейтенант барон Е.Э. Ропп, организовали Технический отдел под управлением генерал-майора И.М. Болотова, который в полном соответствии с своей фамилией затянул военную авиацию в «болото».</w:t>
      </w:r>
    </w:p>
    <w:p w14:paraId="4726FFC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Прежде всего, так и не решенным оставался вопрос о выборе типа самолёта для ка</w:t>
      </w:r>
      <w:r w:rsidRPr="00DE096C">
        <w:rPr>
          <w:bCs/>
          <w:color w:val="002060"/>
          <w:sz w:val="16"/>
          <w:szCs w:val="16"/>
        </w:rPr>
        <w:softHyphen/>
        <w:t>ждого из четырех видов авиаотрядов. В феврале 1914 г. в докладе «в Технический ко</w:t>
      </w:r>
      <w:r w:rsidRPr="00DE096C">
        <w:rPr>
          <w:bCs/>
          <w:color w:val="002060"/>
          <w:sz w:val="16"/>
          <w:szCs w:val="16"/>
        </w:rPr>
        <w:softHyphen/>
        <w:t>митет управления о типах самолётов, необходимых для военного воздушного флота, их оборудовании и вооружении» генерал Болотов отмечал, что для одно- и двухместных самолётов «полезны сравнительно легкие ружья, допускающие действовать по летатель</w:t>
      </w:r>
      <w:r w:rsidRPr="00DE096C">
        <w:rPr>
          <w:bCs/>
          <w:color w:val="002060"/>
          <w:sz w:val="16"/>
          <w:szCs w:val="16"/>
        </w:rPr>
        <w:softHyphen/>
        <w:t>ным аппаратам противника широко разлетающимся скопом пуль (картечи) с руки...» Во</w:t>
      </w:r>
      <w:r w:rsidRPr="00DE096C">
        <w:rPr>
          <w:bCs/>
          <w:color w:val="002060"/>
          <w:sz w:val="16"/>
          <w:szCs w:val="16"/>
        </w:rPr>
        <w:softHyphen/>
        <w:t>оружать новые авиационные «горе-стратеги» предлагали «только большие самолёты типа «Илья Муромец»». В отношении радиотелеграфа и других наработок, выполненных в свое время Воздухоплавательной частью, предлагалось следующее: «Ввиду неимения окончательного решения о броне, бомбах и телеграфе и принимая во внимание, что за</w:t>
      </w:r>
      <w:r w:rsidRPr="00DE096C">
        <w:rPr>
          <w:bCs/>
          <w:color w:val="002060"/>
          <w:sz w:val="16"/>
          <w:szCs w:val="16"/>
        </w:rPr>
        <w:softHyphen/>
        <w:t>казываемые аппараты служат свой срок в два года, при настоящем заказе не принимать во внимание этих потребностей, кроме съёмной брони, но не на всех аппаратах».</w:t>
      </w:r>
    </w:p>
    <w:p w14:paraId="3E2F495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Предложения генерала Болотова трижды (4, 11 и 18 марта 1914 г.) рассматривались на заседаниях Технического комитета ГВТУ. На них из-за межведомственных трений отсутствовали представители Генштаба, в том числе и бывший начальник Воздухоплава</w:t>
      </w:r>
      <w:r w:rsidRPr="00DE096C">
        <w:rPr>
          <w:bCs/>
          <w:color w:val="002060"/>
          <w:sz w:val="16"/>
          <w:szCs w:val="16"/>
        </w:rPr>
        <w:softHyphen/>
        <w:t>тельной части Шишкевич. В результате обсуждения вопроса «О типах...» пришли к вы</w:t>
      </w:r>
      <w:r w:rsidRPr="00DE096C">
        <w:rPr>
          <w:bCs/>
          <w:color w:val="002060"/>
          <w:sz w:val="16"/>
          <w:szCs w:val="16"/>
        </w:rPr>
        <w:softHyphen/>
        <w:t>воду, что следует заказать для полевых (армейских) и крепостных отрядов самолёты: «Вуазен», «Сикорский-Х» и «Фарман-ХХИ», а для корпусных отрядов — «Депердюссен», «Моран-Парасоль» и «Сикорский-Х1». Для отрядов особого назначения предусматрива</w:t>
      </w:r>
      <w:r w:rsidRPr="00DE096C">
        <w:rPr>
          <w:bCs/>
          <w:color w:val="002060"/>
          <w:sz w:val="16"/>
          <w:szCs w:val="16"/>
        </w:rPr>
        <w:softHyphen/>
        <w:t>лось сделать заказы на одноместные «Моран-Сольнье».</w:t>
      </w:r>
    </w:p>
    <w:p w14:paraId="371E46F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Так менее чем за полгода, обозначив «новую позицию» в вопросе о вооружении лета</w:t>
      </w:r>
      <w:r w:rsidRPr="00DE096C">
        <w:rPr>
          <w:bCs/>
          <w:color w:val="002060"/>
          <w:sz w:val="16"/>
          <w:szCs w:val="16"/>
        </w:rPr>
        <w:softHyphen/>
        <w:t>тельных аппаратов, «похоронили» пионерские работы по вооружению и бронированию са</w:t>
      </w:r>
      <w:r w:rsidRPr="00DE096C">
        <w:rPr>
          <w:bCs/>
          <w:color w:val="002060"/>
          <w:sz w:val="16"/>
          <w:szCs w:val="16"/>
        </w:rPr>
        <w:softHyphen/>
        <w:t>молётов, проводившиеся в 1912-1913 гг. под руководством Шишкевича. Понятно, что при таком подходе Шишкевичу уже не было места в новой структуре ГВТУ. Печальным итогом стало то, что начавшуюся летом 1914 г. Первую мировую войну русская боевая авиация встретила невооруженной, что и заставило П.Н. Нестерова пожертвовать собой, совершая первый в мире воздушный таран.</w:t>
      </w:r>
    </w:p>
    <w:p w14:paraId="1F95EEF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Вероятно, именно это имел в виду В.Б. Шавров, когда писал, что «с первых же дней войны стали сказываться тяжёлые просчеты, преступные упущения и крупнейшие не</w:t>
      </w:r>
      <w:r w:rsidRPr="00DE096C">
        <w:rPr>
          <w:bCs/>
          <w:color w:val="002060"/>
          <w:sz w:val="16"/>
          <w:szCs w:val="16"/>
        </w:rPr>
        <w:softHyphen/>
        <w:t>достатки в руководстве русской авиацией...» (Шавров В.Б. История конструкций самолётов в СССР до 1938 г. М., 1978. С. 151.)</w:t>
      </w:r>
      <w:r w:rsidRPr="00DE096C">
        <w:rPr>
          <w:bCs/>
          <w:color w:val="002060"/>
          <w:sz w:val="16"/>
          <w:szCs w:val="16"/>
          <w:vertAlign w:val="superscript"/>
        </w:rPr>
        <w:t>10</w:t>
      </w:r>
      <w:r w:rsidRPr="00DE096C">
        <w:rPr>
          <w:bCs/>
          <w:color w:val="002060"/>
          <w:sz w:val="16"/>
          <w:szCs w:val="16"/>
        </w:rPr>
        <w:t>.</w:t>
      </w:r>
    </w:p>
    <w:p w14:paraId="55FE37A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Кстати, именно М.И. Шишкевич высказал мысль о целесообразности 30-суточного ареста Нестерова за выполнение «мертвой петли«. Так что не все было гладко у «ге</w:t>
      </w:r>
      <w:r w:rsidRPr="00DE096C">
        <w:rPr>
          <w:bCs/>
          <w:color w:val="002060"/>
          <w:sz w:val="16"/>
          <w:szCs w:val="16"/>
        </w:rPr>
        <w:softHyphen/>
        <w:t>нерала от авиации« с перспективами её развития. Но в целом его деятельность на по</w:t>
      </w:r>
      <w:r w:rsidRPr="00DE096C">
        <w:rPr>
          <w:bCs/>
          <w:color w:val="002060"/>
          <w:sz w:val="16"/>
          <w:szCs w:val="16"/>
        </w:rPr>
        <w:softHyphen/>
        <w:t>сту начальника Воздухоплавательной части ГУ ГШ в 1912-1913 гг. следует оценивать весьма высоко. Несколько слов о его дальнейшей судьбе.</w:t>
      </w:r>
    </w:p>
    <w:p w14:paraId="14A9D00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Во время первой мировой войны Шишкевич служил начальником штаба 7-й, 11-й и Дунайской армий, 2 декабря 1916г. стал начальником штаба Румынского фронта. В ян</w:t>
      </w:r>
      <w:r w:rsidRPr="00DE096C">
        <w:rPr>
          <w:bCs/>
          <w:color w:val="002060"/>
          <w:sz w:val="16"/>
          <w:szCs w:val="16"/>
        </w:rPr>
        <w:softHyphen/>
        <w:t>варе 1916 г. получил звание генерал-лейтенанта и 16 августа 1916 г. был награжден ор</w:t>
      </w:r>
      <w:r w:rsidRPr="00DE096C">
        <w:rPr>
          <w:bCs/>
          <w:color w:val="002060"/>
          <w:sz w:val="16"/>
          <w:szCs w:val="16"/>
        </w:rPr>
        <w:softHyphen/>
        <w:t>деном Св. Георгия 4-й степени. 29 апреля 1917 г. 55-летний генерал по болезни был «зачислен в резерв чинов«, а приказом по Московскому округу от 27 ноября 1917 г. уволен в отставку. Проживал в Москве по адресу Остоженка, д. 10, кв. 11 (РГВИА. Ф. 409ПС. Д. 151-522. 76)</w:t>
      </w:r>
      <w:r w:rsidRPr="00DE096C">
        <w:rPr>
          <w:bCs/>
          <w:color w:val="002060"/>
          <w:sz w:val="16"/>
          <w:szCs w:val="16"/>
          <w:vertAlign w:val="superscript"/>
        </w:rPr>
        <w:t>11</w:t>
      </w:r>
      <w:r w:rsidRPr="00DE096C">
        <w:rPr>
          <w:bCs/>
          <w:color w:val="002060"/>
          <w:sz w:val="16"/>
          <w:szCs w:val="16"/>
        </w:rPr>
        <w:t>.</w:t>
      </w:r>
    </w:p>
    <w:p w14:paraId="519F0FA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С этого адреса 14 июня 1918 г. в пенсионный отдел Главного штаба он отправил про</w:t>
      </w:r>
      <w:r w:rsidRPr="00DE096C">
        <w:rPr>
          <w:bCs/>
          <w:color w:val="002060"/>
          <w:sz w:val="16"/>
          <w:szCs w:val="16"/>
        </w:rPr>
        <w:softHyphen/>
        <w:t>шение о назначении пенсии. В течение месяца ранее служившему в МВО боевому ге</w:t>
      </w:r>
      <w:r w:rsidRPr="00DE096C">
        <w:rPr>
          <w:bCs/>
          <w:color w:val="002060"/>
          <w:sz w:val="16"/>
          <w:szCs w:val="16"/>
        </w:rPr>
        <w:softHyphen/>
        <w:t>нералу и кавалеру назначили пенсию из военной эмеритальной кассы и из Московской казенной палаты. По довоенным меркам сумма в 3600 руб. (2097+1503) могла считать</w:t>
      </w:r>
      <w:r w:rsidRPr="00DE096C">
        <w:rPr>
          <w:bCs/>
          <w:color w:val="002060"/>
          <w:sz w:val="16"/>
          <w:szCs w:val="16"/>
        </w:rPr>
        <w:softHyphen/>
        <w:t>ся вполне достаточной, но дело происходило в середине 1918 г.! Даже удивительно, что ещё функционировали финансовые структуры старого военного ведомства. Пенсионное дело Шишкевича закрыли 23 июля 1918 г., и неизвестно, получал ли от советской вла</w:t>
      </w:r>
      <w:r w:rsidRPr="00DE096C">
        <w:rPr>
          <w:bCs/>
          <w:color w:val="002060"/>
          <w:sz w:val="16"/>
          <w:szCs w:val="16"/>
        </w:rPr>
        <w:softHyphen/>
        <w:t>сти какие-либо выплаты царский генерал. Впрочем, в условиях бешеной инфляции во время гражданской войны этой суммы могло не хватить и на коробок спичек.</w:t>
      </w:r>
    </w:p>
    <w:p w14:paraId="5E2996A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Сведений о последних годах жизни первого генерала от авиации М.И. Шишкевича пока не найдено (11696).</w:t>
      </w:r>
    </w:p>
    <w:p w14:paraId="7C86261D" w14:textId="77777777" w:rsidR="00B67D7C" w:rsidRPr="00DE096C" w:rsidRDefault="00B67D7C" w:rsidP="00D45A46">
      <w:pPr>
        <w:shd w:val="clear" w:color="auto" w:fill="FFFFFF"/>
        <w:jc w:val="both"/>
        <w:rPr>
          <w:bCs/>
          <w:color w:val="002060"/>
          <w:sz w:val="16"/>
          <w:szCs w:val="16"/>
        </w:rPr>
      </w:pPr>
    </w:p>
    <w:p w14:paraId="41711A60" w14:textId="60690466" w:rsidR="00F16B25" w:rsidRPr="00DE096C" w:rsidRDefault="00F16B25" w:rsidP="00D45A46">
      <w:pPr>
        <w:pStyle w:val="2"/>
        <w:spacing w:before="0" w:after="0"/>
        <w:jc w:val="both"/>
        <w:rPr>
          <w:b w:val="0"/>
          <w:bCs/>
          <w:color w:val="002060"/>
          <w:sz w:val="16"/>
          <w:szCs w:val="16"/>
        </w:rPr>
      </w:pPr>
      <w:r w:rsidRPr="00DE096C">
        <w:rPr>
          <w:b w:val="0"/>
          <w:bCs/>
          <w:color w:val="002060"/>
          <w:sz w:val="16"/>
          <w:szCs w:val="16"/>
        </w:rPr>
        <w:t xml:space="preserve">23 января </w:t>
      </w:r>
      <w:r w:rsidR="00B958ED" w:rsidRPr="00DE096C">
        <w:rPr>
          <w:b w:val="0"/>
          <w:bCs/>
          <w:color w:val="002060"/>
          <w:sz w:val="16"/>
          <w:szCs w:val="16"/>
        </w:rPr>
        <w:t xml:space="preserve">(5 февраля) </w:t>
      </w:r>
      <w:r w:rsidRPr="00DE096C">
        <w:rPr>
          <w:b w:val="0"/>
          <w:bCs/>
          <w:color w:val="002060"/>
          <w:sz w:val="16"/>
          <w:szCs w:val="16"/>
        </w:rPr>
        <w:t>1914 г. вышел Циркуляр Главного штаба о расформировании Воздухоплавательной части ГУ ГШ. Вместо нее в составе Главного военно-технического управления (ГВТУ, начальник — генерал-лейтенант барон Е.Э.Ропп) образовали</w:t>
      </w:r>
      <w:r w:rsidRPr="00DE096C">
        <w:rPr>
          <w:b w:val="0"/>
          <w:bCs/>
          <w:color w:val="002060"/>
          <w:sz w:val="16"/>
          <w:szCs w:val="16"/>
        </w:rPr>
        <w:t> </w:t>
      </w:r>
      <w:r w:rsidRPr="00DE096C">
        <w:rPr>
          <w:b w:val="0"/>
          <w:bCs/>
          <w:color w:val="002060"/>
          <w:sz w:val="16"/>
          <w:szCs w:val="16"/>
        </w:rPr>
        <w:t>Технический отдел, возглавляемый генерал-майором И.М.Болотовым, в полном соответствии с своей фамилией затянувшим военную авиацию в «болото» (15464).</w:t>
      </w:r>
    </w:p>
    <w:p w14:paraId="2B0DA7D2" w14:textId="77777777" w:rsidR="00F16B25" w:rsidRPr="00DE096C" w:rsidRDefault="00F16B25" w:rsidP="00D45A46">
      <w:pPr>
        <w:pStyle w:val="2"/>
        <w:spacing w:before="0" w:after="0"/>
        <w:jc w:val="both"/>
        <w:rPr>
          <w:b w:val="0"/>
          <w:bCs/>
          <w:color w:val="002060"/>
          <w:sz w:val="16"/>
          <w:szCs w:val="16"/>
        </w:rPr>
      </w:pPr>
    </w:p>
    <w:p w14:paraId="1BCF731B" w14:textId="3C51C409" w:rsidR="00466BFF" w:rsidRPr="00DE096C" w:rsidRDefault="00466BFF" w:rsidP="00D45A46">
      <w:pPr>
        <w:jc w:val="both"/>
        <w:rPr>
          <w:bCs/>
          <w:i/>
          <w:color w:val="002060"/>
          <w:sz w:val="16"/>
          <w:szCs w:val="16"/>
        </w:rPr>
      </w:pPr>
      <w:r w:rsidRPr="00DE096C">
        <w:rPr>
          <w:bCs/>
          <w:i/>
          <w:color w:val="002060"/>
          <w:sz w:val="16"/>
          <w:szCs w:val="16"/>
        </w:rPr>
        <w:t>Воздухоплавание:</w:t>
      </w:r>
    </w:p>
    <w:p w14:paraId="3735915B" w14:textId="77777777" w:rsidR="00466BFF" w:rsidRPr="00DE096C" w:rsidRDefault="00466BFF" w:rsidP="00D45A46">
      <w:pPr>
        <w:jc w:val="both"/>
        <w:rPr>
          <w:bCs/>
          <w:i/>
          <w:color w:val="002060"/>
          <w:sz w:val="16"/>
          <w:szCs w:val="16"/>
        </w:rPr>
      </w:pPr>
    </w:p>
    <w:p w14:paraId="27DA6FBA" w14:textId="77777777" w:rsidR="00466BFF" w:rsidRPr="00DE096C" w:rsidRDefault="00466BFF" w:rsidP="00D45A46">
      <w:pPr>
        <w:jc w:val="both"/>
        <w:rPr>
          <w:bCs/>
          <w:color w:val="002060"/>
          <w:sz w:val="16"/>
          <w:szCs w:val="16"/>
        </w:rPr>
      </w:pPr>
      <w:r w:rsidRPr="00DE096C">
        <w:rPr>
          <w:bCs/>
          <w:color w:val="002060"/>
          <w:sz w:val="16"/>
          <w:szCs w:val="16"/>
        </w:rPr>
        <w:t>23 января (5 февраля) 1914 г. близ ст. Бисерть Пермской губ. приземлились немецкие воздухоплаватели Г.Берлинер, А.Гаазе и А.Николай, вылетевшие на воз</w:t>
      </w:r>
      <w:r w:rsidRPr="00DE096C">
        <w:rPr>
          <w:bCs/>
          <w:color w:val="002060"/>
          <w:sz w:val="16"/>
          <w:szCs w:val="16"/>
        </w:rPr>
        <w:softHyphen/>
        <w:t>душном шаре из Берлина в рекордный полет на дальность. При посадке их задержали как шпионов, а затем предали суду за перелет границы без разрешения. Судебная палата приговорила воздухоплавателей к тюремному заключению на полтора года каждого после внесения залога в размере 6000 рублей, все трое были освобождены и отправлены в Берлин, а воздушный шар был конфискован .Так полицейские власти отне</w:t>
      </w:r>
      <w:r w:rsidRPr="00DE096C">
        <w:rPr>
          <w:bCs/>
          <w:color w:val="002060"/>
          <w:sz w:val="16"/>
          <w:szCs w:val="16"/>
        </w:rPr>
        <w:softHyphen/>
        <w:t>слись к воздухоплавателям-спортсменам, установившим мировой рекорд дальности полета.</w:t>
      </w:r>
    </w:p>
    <w:p w14:paraId="01FCFFFA" w14:textId="77777777" w:rsidR="00466BFF" w:rsidRPr="00DE096C" w:rsidRDefault="00466BFF" w:rsidP="00D45A46">
      <w:pPr>
        <w:jc w:val="both"/>
        <w:rPr>
          <w:bCs/>
          <w:color w:val="002060"/>
          <w:sz w:val="16"/>
          <w:szCs w:val="16"/>
        </w:rPr>
      </w:pPr>
      <w:r w:rsidRPr="00DE096C">
        <w:rPr>
          <w:bCs/>
          <w:color w:val="002060"/>
          <w:sz w:val="16"/>
          <w:szCs w:val="16"/>
        </w:rPr>
        <w:t>/"Искры", 1914 № 16; "Аэро", 1914 № 8,9/ (23320).</w:t>
      </w:r>
    </w:p>
    <w:p w14:paraId="61F4BF48" w14:textId="77777777" w:rsidR="00466BFF" w:rsidRPr="00DE096C" w:rsidRDefault="00466BFF" w:rsidP="00D45A46">
      <w:pPr>
        <w:jc w:val="both"/>
        <w:rPr>
          <w:bCs/>
          <w:color w:val="002060"/>
          <w:sz w:val="16"/>
          <w:szCs w:val="16"/>
        </w:rPr>
      </w:pPr>
    </w:p>
    <w:p w14:paraId="45EC000D" w14:textId="007F859D" w:rsidR="007A0148" w:rsidRPr="00DE096C" w:rsidRDefault="007A0148" w:rsidP="00D45A46">
      <w:pPr>
        <w:jc w:val="both"/>
        <w:rPr>
          <w:bCs/>
          <w:i/>
          <w:color w:val="002060"/>
          <w:sz w:val="16"/>
          <w:szCs w:val="16"/>
        </w:rPr>
      </w:pPr>
      <w:r w:rsidRPr="00DE096C">
        <w:rPr>
          <w:bCs/>
          <w:i/>
          <w:color w:val="002060"/>
          <w:sz w:val="16"/>
          <w:szCs w:val="16"/>
        </w:rPr>
        <w:t>Авиация и воздухоплавание Франции:</w:t>
      </w:r>
    </w:p>
    <w:p w14:paraId="09CAC79F" w14:textId="77777777" w:rsidR="007A0148" w:rsidRPr="00DE096C" w:rsidRDefault="007A0148" w:rsidP="00D45A46">
      <w:pPr>
        <w:jc w:val="both"/>
        <w:rPr>
          <w:bCs/>
          <w:i/>
          <w:color w:val="002060"/>
          <w:sz w:val="16"/>
          <w:szCs w:val="16"/>
        </w:rPr>
      </w:pPr>
    </w:p>
    <w:p w14:paraId="4358CA85" w14:textId="77777777" w:rsidR="007A0148" w:rsidRPr="00DE096C" w:rsidRDefault="007A0148" w:rsidP="00D45A46">
      <w:pPr>
        <w:jc w:val="both"/>
        <w:rPr>
          <w:bCs/>
          <w:color w:val="002060"/>
          <w:sz w:val="16"/>
          <w:szCs w:val="16"/>
        </w:rPr>
      </w:pPr>
      <w:r w:rsidRPr="00DE096C">
        <w:rPr>
          <w:bCs/>
          <w:color w:val="002060"/>
          <w:sz w:val="16"/>
          <w:szCs w:val="16"/>
        </w:rPr>
        <w:t xml:space="preserve">24 января (6 февраля) в 1914 году французский легкий бомбардировщик </w:t>
      </w:r>
      <w:hyperlink r:id="rId6" w:tgtFrame="_blank" w:history="1">
        <w:r w:rsidRPr="00DE096C">
          <w:rPr>
            <w:bCs/>
            <w:color w:val="002060"/>
            <w:sz w:val="16"/>
            <w:szCs w:val="16"/>
          </w:rPr>
          <w:t xml:space="preserve">« Schmitt 7» </w:t>
        </w:r>
      </w:hyperlink>
      <w:r w:rsidRPr="00DE096C">
        <w:rPr>
          <w:bCs/>
          <w:color w:val="002060"/>
          <w:sz w:val="16"/>
          <w:szCs w:val="16"/>
        </w:rPr>
        <w:t xml:space="preserve">с четырьмя пассажирами достиг высоты высота 2 750 м. «Schmitt 7» - крупный биплан со 160-сильным двухрядным ротативным мотором "Гном" и механизмом, изменяющим угол установки крыльев относительно продольной оси фюзеляжа. Самолет оказался вполне удачным. Именно на нем уже упоминавшийся летчик Гаро установил несколько мировых рекордов, зафиксированных следующим образом: Полет с тремя пассажирами: подъем на 3225 м (2 марта 1914 года); дистанция полета 67 км (24 мая 1914 года); продолжительность - 4 часа 3 минуты (2 июля 1914 года). Полет с четырьмя пассажирами: высота 2 750 м (6 февраля 1914 года); высота 3 050 м (25 февраля 1914 года); максимальная скорость 110 км/ч (10 июня 1914 года). В тот же день аэроплан установил еще один рекорд - за 1 час пролетел 107,58 км. Полет с пятью пассажирами: продолжительность 1 час 24 минуты; дистанция </w:t>
      </w:r>
      <w:r w:rsidRPr="00DE096C">
        <w:rPr>
          <w:bCs/>
          <w:color w:val="002060"/>
          <w:sz w:val="16"/>
          <w:szCs w:val="16"/>
        </w:rPr>
        <w:lastRenderedPageBreak/>
        <w:t>150 км; скорость: 107,15 км/ ч. Все рекорды установлены 10 июня 1914 года. 22 апреля 1914 года Гаро преодолел 100 км за 56 минут 44 секунды с шестью пассажирами на борту (15032).</w:t>
      </w:r>
    </w:p>
    <w:p w14:paraId="405E2D27" w14:textId="77777777" w:rsidR="007A0148" w:rsidRPr="00DE096C" w:rsidRDefault="007A0148" w:rsidP="00D45A46">
      <w:pPr>
        <w:jc w:val="both"/>
        <w:rPr>
          <w:bCs/>
          <w:color w:val="002060"/>
          <w:sz w:val="16"/>
          <w:szCs w:val="16"/>
        </w:rPr>
      </w:pPr>
    </w:p>
    <w:p w14:paraId="093DDDD8" w14:textId="77777777" w:rsidR="00AF67E6" w:rsidRPr="00DE096C" w:rsidRDefault="00AF67E6" w:rsidP="00D45A46">
      <w:pPr>
        <w:jc w:val="both"/>
        <w:rPr>
          <w:bCs/>
          <w:color w:val="002060"/>
          <w:sz w:val="16"/>
          <w:szCs w:val="16"/>
        </w:rPr>
      </w:pPr>
      <w:r w:rsidRPr="00DE096C">
        <w:rPr>
          <w:bCs/>
          <w:color w:val="002060"/>
          <w:sz w:val="16"/>
          <w:szCs w:val="16"/>
        </w:rPr>
        <w:t>24 января (6 февраля) 1914 - Французский легкий бомбардировщик Schmitt 7 с четырьмя пассажирами достиг высоты высота 2 750 м. Schmitt 7 - крупный биплан со 160-сильным двухрядным ротативным мотором "Гном" и механизмом, изменяющим угол установки крыльев относительно продольной оси фюзеляжа. Самолет оказался вполне удачным. Именно на нем уже упоминавшийся летчик Гаро установил несколько мировых рекордов (22632).</w:t>
      </w:r>
    </w:p>
    <w:p w14:paraId="25746583" w14:textId="77777777" w:rsidR="00AF67E6" w:rsidRPr="00DE096C" w:rsidRDefault="00AF67E6" w:rsidP="00D45A46">
      <w:pPr>
        <w:jc w:val="both"/>
        <w:rPr>
          <w:bCs/>
          <w:color w:val="002060"/>
          <w:sz w:val="16"/>
          <w:szCs w:val="16"/>
        </w:rPr>
      </w:pPr>
    </w:p>
    <w:p w14:paraId="3E226425" w14:textId="33530D52" w:rsidR="00BD4D8C" w:rsidRPr="00DE096C" w:rsidRDefault="00BD4D8C" w:rsidP="00D45A46">
      <w:pPr>
        <w:shd w:val="clear" w:color="auto" w:fill="FFFFFF"/>
        <w:jc w:val="both"/>
        <w:rPr>
          <w:bCs/>
          <w:i/>
          <w:color w:val="002060"/>
          <w:sz w:val="16"/>
          <w:szCs w:val="16"/>
        </w:rPr>
      </w:pPr>
      <w:r w:rsidRPr="00DE096C">
        <w:rPr>
          <w:bCs/>
          <w:i/>
          <w:color w:val="002060"/>
          <w:sz w:val="16"/>
          <w:szCs w:val="16"/>
        </w:rPr>
        <w:t>Воздухоплавание:</w:t>
      </w:r>
    </w:p>
    <w:p w14:paraId="4868A799" w14:textId="77777777" w:rsidR="00BD4D8C" w:rsidRPr="00DE096C" w:rsidRDefault="00BD4D8C" w:rsidP="00D45A46">
      <w:pPr>
        <w:shd w:val="clear" w:color="auto" w:fill="FFFFFF"/>
        <w:jc w:val="both"/>
        <w:rPr>
          <w:bCs/>
          <w:i/>
          <w:color w:val="002060"/>
          <w:sz w:val="16"/>
          <w:szCs w:val="16"/>
        </w:rPr>
      </w:pPr>
    </w:p>
    <w:p w14:paraId="3AA5B0EC" w14:textId="7B1C42A0" w:rsidR="00BD4D8C" w:rsidRPr="00DE096C" w:rsidRDefault="00BD4D8C" w:rsidP="00D45A46">
      <w:pPr>
        <w:jc w:val="both"/>
        <w:rPr>
          <w:bCs/>
          <w:color w:val="002060"/>
          <w:sz w:val="16"/>
          <w:szCs w:val="16"/>
        </w:rPr>
      </w:pPr>
      <w:r w:rsidRPr="00DE096C">
        <w:rPr>
          <w:bCs/>
          <w:color w:val="002060"/>
          <w:sz w:val="16"/>
          <w:szCs w:val="16"/>
        </w:rPr>
        <w:t>25 января (7 февраля) 1914 г. сформировали Технический отдел ГВТУ в составе Воздухоплавательно-автомобильной части (из двух отделений: автомо</w:t>
      </w:r>
      <w:r w:rsidRPr="00DE096C">
        <w:rPr>
          <w:bCs/>
          <w:color w:val="002060"/>
          <w:sz w:val="16"/>
          <w:szCs w:val="16"/>
        </w:rPr>
        <w:softHyphen/>
        <w:t>бильного и воздухоплавательного) и отделений (железнодорожного и по снабжению инженер</w:t>
      </w:r>
      <w:r w:rsidRPr="00DE096C">
        <w:rPr>
          <w:bCs/>
          <w:color w:val="002060"/>
          <w:sz w:val="16"/>
          <w:szCs w:val="16"/>
        </w:rPr>
        <w:softHyphen/>
        <w:t>ным имуществом войск и складов) (20120).</w:t>
      </w:r>
    </w:p>
    <w:p w14:paraId="01812D32" w14:textId="77777777" w:rsidR="00BD4D8C" w:rsidRPr="00DE096C" w:rsidRDefault="00BD4D8C" w:rsidP="00D45A46">
      <w:pPr>
        <w:shd w:val="clear" w:color="auto" w:fill="FFFFFF"/>
        <w:jc w:val="both"/>
        <w:rPr>
          <w:bCs/>
          <w:color w:val="002060"/>
          <w:sz w:val="16"/>
          <w:szCs w:val="16"/>
        </w:rPr>
      </w:pPr>
    </w:p>
    <w:p w14:paraId="77BC8E6D" w14:textId="25321F8A" w:rsidR="00AF67E6" w:rsidRPr="00DE096C" w:rsidRDefault="00AF67E6" w:rsidP="00D45A46">
      <w:pPr>
        <w:jc w:val="both"/>
        <w:rPr>
          <w:bCs/>
          <w:i/>
          <w:color w:val="002060"/>
          <w:sz w:val="16"/>
          <w:szCs w:val="16"/>
        </w:rPr>
      </w:pPr>
      <w:r w:rsidRPr="00DE096C">
        <w:rPr>
          <w:bCs/>
          <w:i/>
          <w:color w:val="002060"/>
          <w:sz w:val="16"/>
          <w:szCs w:val="16"/>
        </w:rPr>
        <w:t>Авиация и воздухоплавание Германии:</w:t>
      </w:r>
    </w:p>
    <w:p w14:paraId="17B0F52B" w14:textId="77777777" w:rsidR="00AF67E6" w:rsidRPr="00DE096C" w:rsidRDefault="00AF67E6" w:rsidP="00D45A46">
      <w:pPr>
        <w:jc w:val="both"/>
        <w:rPr>
          <w:bCs/>
          <w:i/>
          <w:color w:val="002060"/>
          <w:sz w:val="16"/>
          <w:szCs w:val="16"/>
        </w:rPr>
      </w:pPr>
    </w:p>
    <w:p w14:paraId="16FE3F12" w14:textId="77777777" w:rsidR="00AF67E6" w:rsidRPr="00DE096C" w:rsidRDefault="00AF67E6" w:rsidP="00D45A46">
      <w:pPr>
        <w:jc w:val="both"/>
        <w:rPr>
          <w:bCs/>
          <w:color w:val="002060"/>
          <w:sz w:val="16"/>
          <w:szCs w:val="16"/>
        </w:rPr>
      </w:pPr>
      <w:r w:rsidRPr="00DE096C">
        <w:rPr>
          <w:bCs/>
          <w:color w:val="002060"/>
          <w:sz w:val="16"/>
          <w:szCs w:val="16"/>
        </w:rPr>
        <w:t>25 января (7 февраля) 1914 Карл Ингольд устанавливает новый мировой рекорд по продолжительности полета, пролетая без остановок 16 часов 20 минут на биплане Aviatik. Рейс из Мюлуза в Мюнхен, Германия, преодолевает расстояние 1700 км (1056 миль) (20337).</w:t>
      </w:r>
    </w:p>
    <w:p w14:paraId="32C64B1D" w14:textId="77777777" w:rsidR="00AF67E6" w:rsidRPr="00DE096C" w:rsidRDefault="00AF67E6" w:rsidP="00D45A46">
      <w:pPr>
        <w:jc w:val="both"/>
        <w:rPr>
          <w:bCs/>
          <w:color w:val="002060"/>
          <w:sz w:val="16"/>
          <w:szCs w:val="16"/>
        </w:rPr>
      </w:pPr>
    </w:p>
    <w:p w14:paraId="77F70D07"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5BBBB9E8" w14:textId="77777777" w:rsidR="00B67D7C" w:rsidRPr="00DE096C" w:rsidRDefault="00B67D7C" w:rsidP="00D45A46">
      <w:pPr>
        <w:shd w:val="clear" w:color="auto" w:fill="FFFFFF"/>
        <w:jc w:val="both"/>
        <w:rPr>
          <w:bCs/>
          <w:i/>
          <w:color w:val="002060"/>
          <w:sz w:val="16"/>
          <w:szCs w:val="16"/>
        </w:rPr>
      </w:pPr>
    </w:p>
    <w:p w14:paraId="4BD7D691" w14:textId="5D25827A" w:rsidR="00F16B25" w:rsidRPr="00DE096C" w:rsidRDefault="00F16B25" w:rsidP="00D45A46">
      <w:pPr>
        <w:jc w:val="both"/>
        <w:rPr>
          <w:bCs/>
          <w:color w:val="002060"/>
          <w:sz w:val="16"/>
          <w:szCs w:val="16"/>
        </w:rPr>
      </w:pPr>
      <w:r w:rsidRPr="00DE096C">
        <w:rPr>
          <w:bCs/>
          <w:color w:val="002060"/>
          <w:sz w:val="16"/>
          <w:szCs w:val="16"/>
        </w:rPr>
        <w:t xml:space="preserve">26 января </w:t>
      </w:r>
      <w:r w:rsidR="00422413" w:rsidRPr="00DE096C">
        <w:rPr>
          <w:bCs/>
          <w:color w:val="002060"/>
          <w:sz w:val="16"/>
          <w:szCs w:val="16"/>
        </w:rPr>
        <w:t xml:space="preserve">(8 февраля) </w:t>
      </w:r>
      <w:r w:rsidRPr="00DE096C">
        <w:rPr>
          <w:bCs/>
          <w:color w:val="002060"/>
          <w:sz w:val="16"/>
          <w:szCs w:val="16"/>
        </w:rPr>
        <w:t xml:space="preserve">в 1914 году </w:t>
      </w:r>
      <w:r w:rsidR="00422413" w:rsidRPr="00DE096C">
        <w:rPr>
          <w:bCs/>
          <w:color w:val="002060"/>
          <w:sz w:val="16"/>
          <w:szCs w:val="16"/>
        </w:rPr>
        <w:t xml:space="preserve">состоялся </w:t>
      </w:r>
      <w:r w:rsidRPr="00DE096C">
        <w:rPr>
          <w:bCs/>
          <w:color w:val="002060"/>
          <w:sz w:val="16"/>
          <w:szCs w:val="16"/>
        </w:rPr>
        <w:t>первый полет многомоторного бомбардировщика «Илья Муромец» И.И.Сикорского. Самолет "Илья Муромец", построенный в октябре 1913 г., представлял собой биплан с прочным фюзеляжем, в носовой части которого имелась застекленная кабина с электрическим освещением и обогревом. Для облегчения конструкции в задней части корпуса использовалась фанерная обшивка. Большое верхнее крыло опиралось на шесть верхних стоек. В начале 1914 г. начался серийный выпуск самолетов Сикорского. В промышленном варианте "Илья Муромец" отличался меньшими размерами и более мощными двигателями, поэтому максимальная скорость его составила 100 км/ч. а высота - 3000 м (15021).</w:t>
      </w:r>
    </w:p>
    <w:p w14:paraId="324F57FC" w14:textId="77777777" w:rsidR="00F16B25" w:rsidRPr="00DE096C" w:rsidRDefault="00F16B25" w:rsidP="00D45A46">
      <w:pPr>
        <w:jc w:val="both"/>
        <w:rPr>
          <w:bCs/>
          <w:color w:val="002060"/>
          <w:sz w:val="16"/>
          <w:szCs w:val="16"/>
        </w:rPr>
      </w:pPr>
    </w:p>
    <w:p w14:paraId="28EF3A30" w14:textId="77777777" w:rsidR="00B67D7C" w:rsidRPr="00DE096C" w:rsidRDefault="00B67D7C" w:rsidP="00D45A46">
      <w:pPr>
        <w:jc w:val="both"/>
        <w:rPr>
          <w:bCs/>
          <w:color w:val="002060"/>
          <w:sz w:val="16"/>
          <w:szCs w:val="16"/>
        </w:rPr>
      </w:pPr>
      <w:r w:rsidRPr="00DE096C">
        <w:rPr>
          <w:bCs/>
          <w:color w:val="002060"/>
          <w:sz w:val="16"/>
          <w:szCs w:val="16"/>
        </w:rPr>
        <w:t>26 января (8 февраля) 1914 г. наконец удалось совершить первый полет по кругу. С этого дня и началось триумфальное шествие "Ильи Муромца" по небесным дорогам. 11 февраля самолет стартовал с Корпусного аэродрома в сторону Пулкова. Обойдя высоты, он развернулся, дошел до Охты, потом пролетел вдоль Невского и Каменноостровского проспектов, сделал круг над Комендантским аэродромом и затем вернулся на свой аэродром (11294).</w:t>
      </w:r>
    </w:p>
    <w:p w14:paraId="7C97FC88" w14:textId="77777777" w:rsidR="00B67D7C" w:rsidRPr="00DE096C" w:rsidRDefault="00B67D7C" w:rsidP="00D45A46">
      <w:pPr>
        <w:jc w:val="both"/>
        <w:rPr>
          <w:bCs/>
          <w:color w:val="002060"/>
          <w:sz w:val="16"/>
          <w:szCs w:val="16"/>
        </w:rPr>
      </w:pPr>
    </w:p>
    <w:p w14:paraId="73A73279" w14:textId="29007620" w:rsidR="00B67D7C" w:rsidRPr="00DE096C" w:rsidRDefault="00B67D7C" w:rsidP="00D45A46">
      <w:pPr>
        <w:jc w:val="both"/>
        <w:rPr>
          <w:bCs/>
          <w:color w:val="002060"/>
          <w:sz w:val="16"/>
          <w:szCs w:val="16"/>
        </w:rPr>
      </w:pPr>
      <w:r w:rsidRPr="00DE096C">
        <w:rPr>
          <w:bCs/>
          <w:color w:val="002060"/>
          <w:sz w:val="16"/>
          <w:szCs w:val="16"/>
        </w:rPr>
        <w:t xml:space="preserve">26 января </w:t>
      </w:r>
      <w:r w:rsidR="00422413" w:rsidRPr="00DE096C">
        <w:rPr>
          <w:bCs/>
          <w:color w:val="002060"/>
          <w:sz w:val="16"/>
          <w:szCs w:val="16"/>
        </w:rPr>
        <w:t xml:space="preserve">(8 февраля) </w:t>
      </w:r>
      <w:r w:rsidRPr="00DE096C">
        <w:rPr>
          <w:bCs/>
          <w:color w:val="002060"/>
          <w:sz w:val="16"/>
          <w:szCs w:val="16"/>
        </w:rPr>
        <w:t>1914 года Сикорский сделал несколько кругов над Корпусным аэродромом, имея на борту четырёх пассажиров. Самолёт вёл себя в воздухе удовлетворительно, с брошенным штурвалом продолжал невозмутимо следовать в заданном направлении, усилия в управлении были вполне приемлемыми.</w:t>
      </w:r>
    </w:p>
    <w:p w14:paraId="70483D52" w14:textId="77777777" w:rsidR="00B67D7C" w:rsidRPr="00DE096C" w:rsidRDefault="00B67D7C" w:rsidP="00D45A46">
      <w:pPr>
        <w:jc w:val="both"/>
        <w:rPr>
          <w:bCs/>
          <w:color w:val="002060"/>
          <w:sz w:val="16"/>
          <w:szCs w:val="16"/>
        </w:rPr>
      </w:pPr>
      <w:r w:rsidRPr="00DE096C">
        <w:rPr>
          <w:bCs/>
          <w:color w:val="002060"/>
          <w:sz w:val="16"/>
          <w:szCs w:val="16"/>
        </w:rPr>
        <w:t>В январе-марте 1914 года было выполнено большое количество полётов, установлено несколько мировых рекордов по поднятию груза и количеству пассажиров на борту (16 человек плюс собака). В ходе этих полётов величавый гигант стал привычным явлением в столичном небе. Публика самого высшего сорта посещала Комендантский аэродром, наблюдая за взлётом и посадкой, а наиболее смелые решались и на полёт, благо конструктор и руководство аэродрома не отказывали им в этом.</w:t>
      </w:r>
    </w:p>
    <w:p w14:paraId="1E656C40" w14:textId="77777777" w:rsidR="00B67D7C" w:rsidRPr="00DE096C" w:rsidRDefault="00B67D7C" w:rsidP="00D45A46">
      <w:pPr>
        <w:jc w:val="both"/>
        <w:rPr>
          <w:bCs/>
          <w:color w:val="002060"/>
          <w:sz w:val="16"/>
          <w:szCs w:val="16"/>
        </w:rPr>
      </w:pPr>
      <w:r w:rsidRPr="00DE096C">
        <w:rPr>
          <w:bCs/>
          <w:color w:val="002060"/>
          <w:sz w:val="16"/>
          <w:szCs w:val="16"/>
        </w:rPr>
        <w:t>В ходе полётов конструктор продолжал вносить изменения. В феврале внешние двигатели были несколько приподняты относительно внутренних и установлены на новых моторамах из деревянных брусьев. Им сменили и радиаторы, которые установили горизонтально, увеличив площадь поверхности теплообмена. Это решение позволило улучшить работу двигателей, сделав её безотказной на более продолжительный срок. В таком виде самолёт продолжил испытания.</w:t>
      </w:r>
    </w:p>
    <w:p w14:paraId="33F697A9" w14:textId="77777777" w:rsidR="00B67D7C" w:rsidRPr="00DE096C" w:rsidRDefault="00B67D7C" w:rsidP="00D45A46">
      <w:pPr>
        <w:jc w:val="both"/>
        <w:rPr>
          <w:bCs/>
          <w:color w:val="002060"/>
          <w:sz w:val="16"/>
          <w:szCs w:val="16"/>
        </w:rPr>
      </w:pPr>
      <w:r w:rsidRPr="00DE096C">
        <w:rPr>
          <w:bCs/>
          <w:color w:val="002060"/>
          <w:sz w:val="16"/>
          <w:szCs w:val="16"/>
        </w:rPr>
        <w:t>К марту Сикорский вполне освоил пилотирование "Муромца" на различных режимах и решился на определение полных возможностей своего детища. В ходе полётов были последовательно остановлены один, два и даже три двигателя. Полёг продолжался, лишь усилия на педалях несколько возрастали ввиду необходимости парировать разворачивающий момент. Техники и члены экипажа выходили на крыло, перемешались от двигателя к двигателю. В одном из полётов к крайнему мотору прошли даже два человека. Все эти перемещения никоим образом не сказались на устойчивости самолёта - расчёт конструктора на высокую инертность тяжёлого самолёта, как определяющий фактор устойчивости в воздухе, оправдался полностью!</w:t>
      </w:r>
    </w:p>
    <w:p w14:paraId="16250204" w14:textId="77777777" w:rsidR="00B67D7C" w:rsidRPr="00DE096C" w:rsidRDefault="00B67D7C" w:rsidP="00D45A46">
      <w:pPr>
        <w:jc w:val="both"/>
        <w:rPr>
          <w:bCs/>
          <w:color w:val="002060"/>
          <w:sz w:val="16"/>
          <w:szCs w:val="16"/>
        </w:rPr>
      </w:pPr>
      <w:r w:rsidRPr="00DE096C">
        <w:rPr>
          <w:bCs/>
          <w:color w:val="002060"/>
          <w:sz w:val="16"/>
          <w:szCs w:val="16"/>
        </w:rPr>
        <w:t>В конце февраля из Франции прибыли заказанные там самые мощные на тот момент авиационные двигатели - 14-цилиндровые двойные звёзды водяного охлаждения "Сальмсон" 2М7 в 200 л.с. Было решено установить их вместо внутренних "Аргусов", внешние "Аргусы" в 100 л.с. заменили на новые в 115 л.с. Более мощные "Сальмсоны" потребовали очередного увеличения площади радиаторов и их сделали двухсекционными, установив секции с двух сторон за двигателем. 14 марта "Муромец" с обновлённой силовой установкой выполнил первый полёт. После операции по пересадке "пламенного сердца" воздушный богатырь будто напился живой воды. Разбег сократился наполовину, набор высоты принял весьма интенсивный характер, скорость ощутимо возросла. В таком виде самолёт стал ещё более "лакомым кусочком" для военных. Но первыми свои права на гиганта заявили моряки...(12041).</w:t>
      </w:r>
    </w:p>
    <w:p w14:paraId="24CB2234" w14:textId="77777777" w:rsidR="00B67D7C" w:rsidRPr="00DE096C" w:rsidRDefault="00B67D7C" w:rsidP="00D45A46">
      <w:pPr>
        <w:jc w:val="both"/>
        <w:rPr>
          <w:bCs/>
          <w:color w:val="002060"/>
          <w:sz w:val="16"/>
          <w:szCs w:val="16"/>
        </w:rPr>
      </w:pPr>
    </w:p>
    <w:p w14:paraId="43E6B87F" w14:textId="11827345" w:rsidR="00537EDD" w:rsidRPr="00DE096C" w:rsidRDefault="00537EDD" w:rsidP="00D45A46">
      <w:pPr>
        <w:jc w:val="both"/>
        <w:rPr>
          <w:bCs/>
          <w:color w:val="002060"/>
          <w:sz w:val="16"/>
          <w:szCs w:val="16"/>
        </w:rPr>
      </w:pPr>
      <w:r w:rsidRPr="00DE096C">
        <w:rPr>
          <w:bCs/>
          <w:color w:val="002060"/>
          <w:sz w:val="16"/>
          <w:szCs w:val="16"/>
        </w:rPr>
        <w:t>26 января (8 февраля) 1914 г. наконец удалось совершить первый полет ИМ по кругу. С этого дня и началось триумфальное шествие «Ильи Муромца» по небесным дорогам (24177).</w:t>
      </w:r>
    </w:p>
    <w:p w14:paraId="0540CA9D" w14:textId="77777777" w:rsidR="00537EDD" w:rsidRPr="00DE096C" w:rsidRDefault="00537EDD" w:rsidP="00D45A46">
      <w:pPr>
        <w:jc w:val="both"/>
        <w:rPr>
          <w:bCs/>
          <w:color w:val="002060"/>
          <w:sz w:val="16"/>
          <w:szCs w:val="16"/>
        </w:rPr>
      </w:pPr>
    </w:p>
    <w:p w14:paraId="1FEBFB0F"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Жизнь и внутреняя политика:</w:t>
      </w:r>
    </w:p>
    <w:p w14:paraId="3B0B43F1" w14:textId="77777777" w:rsidR="00B67D7C" w:rsidRPr="00DE096C" w:rsidRDefault="00B67D7C" w:rsidP="00D45A46">
      <w:pPr>
        <w:shd w:val="clear" w:color="auto" w:fill="FFFFFF"/>
        <w:jc w:val="both"/>
        <w:rPr>
          <w:bCs/>
          <w:i/>
          <w:color w:val="002060"/>
          <w:sz w:val="16"/>
          <w:szCs w:val="16"/>
        </w:rPr>
      </w:pPr>
    </w:p>
    <w:p w14:paraId="3A3A580E" w14:textId="36A4E637" w:rsidR="00B67D7C" w:rsidRPr="00DE096C" w:rsidRDefault="00B67D7C" w:rsidP="00D45A46">
      <w:pPr>
        <w:jc w:val="both"/>
        <w:rPr>
          <w:bCs/>
          <w:color w:val="002060"/>
          <w:sz w:val="16"/>
          <w:szCs w:val="16"/>
        </w:rPr>
      </w:pPr>
      <w:r w:rsidRPr="00DE096C">
        <w:rPr>
          <w:bCs/>
          <w:color w:val="002060"/>
          <w:sz w:val="16"/>
          <w:szCs w:val="16"/>
        </w:rPr>
        <w:t xml:space="preserve">26 января </w:t>
      </w:r>
      <w:r w:rsidR="00422413" w:rsidRPr="00DE096C">
        <w:rPr>
          <w:bCs/>
          <w:color w:val="002060"/>
          <w:sz w:val="16"/>
          <w:szCs w:val="16"/>
        </w:rPr>
        <w:t xml:space="preserve">(8 февраля) </w:t>
      </w:r>
      <w:r w:rsidRPr="00DE096C">
        <w:rPr>
          <w:bCs/>
          <w:color w:val="002060"/>
          <w:sz w:val="16"/>
          <w:szCs w:val="16"/>
        </w:rPr>
        <w:t>1914</w:t>
      </w:r>
    </w:p>
    <w:p w14:paraId="6B50F351" w14:textId="77777777" w:rsidR="00B67D7C" w:rsidRPr="00DE096C" w:rsidRDefault="00B67D7C" w:rsidP="00D45A46">
      <w:pPr>
        <w:jc w:val="both"/>
        <w:rPr>
          <w:bCs/>
          <w:color w:val="002060"/>
          <w:sz w:val="16"/>
          <w:szCs w:val="16"/>
        </w:rPr>
      </w:pPr>
      <w:r w:rsidRPr="00DE096C">
        <w:rPr>
          <w:bCs/>
          <w:color w:val="002060"/>
          <w:sz w:val="16"/>
          <w:szCs w:val="16"/>
        </w:rPr>
        <w:t>По вопросу о мерах борьбы с хулиганством</w:t>
      </w:r>
    </w:p>
    <w:p w14:paraId="1B93494A" w14:textId="77777777" w:rsidR="00B67D7C" w:rsidRPr="00DE096C" w:rsidRDefault="00B67D7C" w:rsidP="00D45A46">
      <w:pPr>
        <w:jc w:val="both"/>
        <w:rPr>
          <w:bCs/>
          <w:color w:val="002060"/>
          <w:sz w:val="16"/>
          <w:szCs w:val="16"/>
        </w:rPr>
      </w:pPr>
      <w:r w:rsidRPr="00DE096C">
        <w:rPr>
          <w:bCs/>
          <w:color w:val="002060"/>
          <w:sz w:val="16"/>
          <w:szCs w:val="16"/>
        </w:rPr>
        <w:t xml:space="preserve">За последние годы наблюдается, преимущественно в сельских местностях, неуклонно возрастающее развитие распущенности, безудержного озорства и нравственного одичания, обычно объединяемых под общим наименованием "хулиганство". Не поддаваясь сколько-нибудь точному и твердому определению и выражаясь в разного рода проявлениях, свидетельствующих о полном отрицании каких-либо авторитетов, о пренебрежении к правилам нравственности, о неуважении к личным правам и собственности частных лиц и вообще о печальном падении добрых нравов в некоторой части населения, главным образом молодежи, хулиганские выходки нередко приводят и к крупным преступлениям, оканчиваясь нанесением ран, убийствами, поджогами и т. п. В настоящее время борьба с хулиганской распущенностью ведется в порядке как административного воздействия, так и судебной репрессии. Опыт убеждает, однако, что принимаемые в этой области МВД предупредительные меры, преимущественно полицейского характера, хотя и оказывают в отдельных случаях сдерживающее влияние на хулиганство, но далеко недостаточно, чтобы пресечь его в самом корне... </w:t>
      </w:r>
    </w:p>
    <w:p w14:paraId="7C6F4DDB" w14:textId="77777777" w:rsidR="00B67D7C" w:rsidRPr="00DE096C" w:rsidRDefault="00B67D7C" w:rsidP="00D45A46">
      <w:pPr>
        <w:jc w:val="both"/>
        <w:rPr>
          <w:bCs/>
          <w:color w:val="002060"/>
          <w:sz w:val="16"/>
          <w:szCs w:val="16"/>
        </w:rPr>
      </w:pPr>
      <w:r w:rsidRPr="00DE096C">
        <w:rPr>
          <w:bCs/>
          <w:color w:val="002060"/>
          <w:sz w:val="16"/>
          <w:szCs w:val="16"/>
        </w:rPr>
        <w:t xml:space="preserve">Собранный материал был рассмотрен в особом междуведомственном совещании, причем совещание это наметило ряд мер: 1) усиление уголовной репрессии против хулиганства и, в частности, усиление наказуемости хулиганских деяний, а равно ускорение судебного производства по проступкам хулиганского характера; 2) изменение действующего порядка удаления вредных и порочных членов из обществ сельских обывателей; 3) скорейшее преобразование полиции; 4) энергичная борьба с пьянством; 5) устройство — при условии отнесения части расходов на счет казны — работных домов с принудительным трудом; 6) содействие развитию кустарных промыслов; 7) распространение профессионального образования; 8) усиление религиозно-воспитательной стороны обучения в народных школах; 9) оживление приходской жизни; 10) устройство разумных развлечений в деревне и, в частности, поднятие нравственного уровня печатных произведений, проникающих ныне в изобилии в сельскую среду. </w:t>
      </w:r>
    </w:p>
    <w:p w14:paraId="550AD0AE" w14:textId="77777777" w:rsidR="00B67D7C" w:rsidRPr="00DE096C" w:rsidRDefault="00B67D7C" w:rsidP="00D45A46">
      <w:pPr>
        <w:jc w:val="both"/>
        <w:rPr>
          <w:bCs/>
          <w:color w:val="002060"/>
          <w:sz w:val="16"/>
          <w:szCs w:val="16"/>
        </w:rPr>
      </w:pPr>
      <w:r w:rsidRPr="00DE096C">
        <w:rPr>
          <w:bCs/>
          <w:color w:val="002060"/>
          <w:sz w:val="16"/>
          <w:szCs w:val="16"/>
        </w:rPr>
        <w:t>Из решения Совета министров Российской империи, особая папка, 1914 г. (11652).</w:t>
      </w:r>
    </w:p>
    <w:p w14:paraId="1AF48273" w14:textId="77777777" w:rsidR="00B67D7C" w:rsidRPr="00DE096C" w:rsidRDefault="00B67D7C" w:rsidP="00D45A46">
      <w:pPr>
        <w:jc w:val="both"/>
        <w:rPr>
          <w:bCs/>
          <w:color w:val="002060"/>
          <w:sz w:val="16"/>
          <w:szCs w:val="16"/>
        </w:rPr>
      </w:pPr>
    </w:p>
    <w:p w14:paraId="6461BC61" w14:textId="77777777" w:rsidR="00AF67E6" w:rsidRPr="00DE096C" w:rsidRDefault="00AF67E6" w:rsidP="00D45A46">
      <w:pPr>
        <w:jc w:val="both"/>
        <w:rPr>
          <w:bCs/>
          <w:i/>
          <w:color w:val="002060"/>
          <w:sz w:val="16"/>
          <w:szCs w:val="16"/>
        </w:rPr>
      </w:pPr>
      <w:r w:rsidRPr="00DE096C">
        <w:rPr>
          <w:bCs/>
          <w:i/>
          <w:color w:val="002060"/>
          <w:sz w:val="16"/>
          <w:szCs w:val="16"/>
        </w:rPr>
        <w:t>Авиация и воздухоплавание Германии:</w:t>
      </w:r>
    </w:p>
    <w:p w14:paraId="1484B2D4" w14:textId="77777777" w:rsidR="00AF67E6" w:rsidRPr="00DE096C" w:rsidRDefault="00AF67E6" w:rsidP="00D45A46">
      <w:pPr>
        <w:jc w:val="both"/>
        <w:rPr>
          <w:bCs/>
          <w:i/>
          <w:color w:val="002060"/>
          <w:sz w:val="16"/>
          <w:szCs w:val="16"/>
        </w:rPr>
      </w:pPr>
    </w:p>
    <w:p w14:paraId="57471211" w14:textId="77777777" w:rsidR="00AF67E6" w:rsidRPr="00DE096C" w:rsidRDefault="00AF67E6" w:rsidP="00D45A46">
      <w:pPr>
        <w:jc w:val="both"/>
        <w:rPr>
          <w:bCs/>
          <w:color w:val="002060"/>
          <w:sz w:val="16"/>
          <w:szCs w:val="16"/>
        </w:rPr>
      </w:pPr>
      <w:r w:rsidRPr="00DE096C">
        <w:rPr>
          <w:bCs/>
          <w:color w:val="002060"/>
          <w:sz w:val="16"/>
          <w:szCs w:val="16"/>
        </w:rPr>
        <w:t>26-29 января (8–10) февраля 1914 Берлинер, Хаазе и Николай перелетают 3053 км (1896 миль) на своем свободном аэростате из Биттерфельда в Пермь. Этот рекорд держится до 1950 года (20337).</w:t>
      </w:r>
    </w:p>
    <w:p w14:paraId="5C8D0DD6" w14:textId="77777777" w:rsidR="00AF67E6" w:rsidRPr="00DE096C" w:rsidRDefault="00AF67E6" w:rsidP="00D45A46">
      <w:pPr>
        <w:jc w:val="both"/>
        <w:rPr>
          <w:bCs/>
          <w:color w:val="002060"/>
          <w:sz w:val="16"/>
          <w:szCs w:val="16"/>
        </w:rPr>
      </w:pPr>
    </w:p>
    <w:p w14:paraId="68821C9B" w14:textId="663DADD4" w:rsidR="00AF67E6" w:rsidRPr="00DE096C" w:rsidRDefault="00AF67E6" w:rsidP="00D45A46">
      <w:pPr>
        <w:jc w:val="both"/>
        <w:rPr>
          <w:bCs/>
          <w:i/>
          <w:color w:val="002060"/>
          <w:sz w:val="16"/>
          <w:szCs w:val="16"/>
        </w:rPr>
      </w:pPr>
      <w:r w:rsidRPr="00DE096C">
        <w:rPr>
          <w:bCs/>
          <w:i/>
          <w:color w:val="002060"/>
          <w:sz w:val="16"/>
          <w:szCs w:val="16"/>
        </w:rPr>
        <w:t>Авиация и воздухоплавание за рубежом:</w:t>
      </w:r>
    </w:p>
    <w:p w14:paraId="629050A1" w14:textId="77777777" w:rsidR="00AF67E6" w:rsidRPr="00DE096C" w:rsidRDefault="00AF67E6" w:rsidP="00D45A46">
      <w:pPr>
        <w:jc w:val="both"/>
        <w:rPr>
          <w:bCs/>
          <w:i/>
          <w:color w:val="002060"/>
          <w:sz w:val="16"/>
          <w:szCs w:val="16"/>
        </w:rPr>
      </w:pPr>
    </w:p>
    <w:p w14:paraId="47EFF121" w14:textId="77777777" w:rsidR="00AF67E6" w:rsidRPr="00DE096C" w:rsidRDefault="00AF67E6" w:rsidP="00D45A46">
      <w:pPr>
        <w:jc w:val="both"/>
        <w:rPr>
          <w:bCs/>
          <w:color w:val="002060"/>
          <w:sz w:val="16"/>
          <w:szCs w:val="16"/>
        </w:rPr>
      </w:pPr>
      <w:r w:rsidRPr="00DE096C">
        <w:rPr>
          <w:bCs/>
          <w:color w:val="002060"/>
          <w:sz w:val="16"/>
          <w:szCs w:val="16"/>
        </w:rPr>
        <w:t>27 января (9 февраля) 1914 - Лейтенант армии США Генри Пост (Henry Burnet Post) установил рекорды высоты США, достигнув 12 140 футов. Во время спуска на гидроплане Wright Model CH разрушилось крыло и самолет упал в залив Сан-Диего, лейтенант погиб (22629).</w:t>
      </w:r>
    </w:p>
    <w:p w14:paraId="5B025AA0" w14:textId="77777777" w:rsidR="00AF67E6" w:rsidRPr="00DE096C" w:rsidRDefault="00AF67E6" w:rsidP="00D45A46">
      <w:pPr>
        <w:jc w:val="both"/>
        <w:rPr>
          <w:bCs/>
          <w:color w:val="002060"/>
          <w:sz w:val="16"/>
          <w:szCs w:val="16"/>
        </w:rPr>
      </w:pPr>
    </w:p>
    <w:p w14:paraId="313D2416"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119E1D36" w14:textId="77777777" w:rsidR="00B67D7C" w:rsidRPr="00DE096C" w:rsidRDefault="00B67D7C" w:rsidP="00D45A46">
      <w:pPr>
        <w:shd w:val="clear" w:color="auto" w:fill="FFFFFF"/>
        <w:jc w:val="both"/>
        <w:rPr>
          <w:bCs/>
          <w:i/>
          <w:color w:val="002060"/>
          <w:sz w:val="16"/>
          <w:szCs w:val="16"/>
        </w:rPr>
      </w:pPr>
    </w:p>
    <w:p w14:paraId="79D3637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28 января (10 февраля) 1914 Утро России сообщало по поводу русского аэроплана, разрабатываемого под руководством Н.Е.Ж.: “проект закончен и будет демонстрироваться на предстоящем воздухоплавательном съезде”</w:t>
      </w:r>
    </w:p>
    <w:p w14:paraId="3D9B33E1" w14:textId="77777777" w:rsidR="00B67D7C" w:rsidRPr="00DE096C" w:rsidRDefault="00B67D7C" w:rsidP="00D45A46">
      <w:pPr>
        <w:shd w:val="clear" w:color="auto" w:fill="FFFFFF"/>
        <w:jc w:val="both"/>
        <w:rPr>
          <w:bCs/>
          <w:color w:val="002060"/>
          <w:sz w:val="16"/>
          <w:szCs w:val="16"/>
        </w:rPr>
      </w:pPr>
    </w:p>
    <w:p w14:paraId="033ACA15" w14:textId="63498A7A" w:rsidR="00BD4D8C" w:rsidRPr="00DE096C" w:rsidRDefault="00BD4D8C" w:rsidP="00D45A46">
      <w:pPr>
        <w:shd w:val="clear" w:color="auto" w:fill="FFFFFF"/>
        <w:jc w:val="both"/>
        <w:rPr>
          <w:bCs/>
          <w:i/>
          <w:color w:val="002060"/>
          <w:sz w:val="16"/>
          <w:szCs w:val="16"/>
        </w:rPr>
      </w:pPr>
      <w:r w:rsidRPr="00DE096C">
        <w:rPr>
          <w:bCs/>
          <w:i/>
          <w:color w:val="002060"/>
          <w:sz w:val="16"/>
          <w:szCs w:val="16"/>
        </w:rPr>
        <w:t>Аэростатостроение:</w:t>
      </w:r>
    </w:p>
    <w:p w14:paraId="01673424" w14:textId="77777777" w:rsidR="00BD4D8C" w:rsidRPr="00DE096C" w:rsidRDefault="00BD4D8C" w:rsidP="00D45A46">
      <w:pPr>
        <w:shd w:val="clear" w:color="auto" w:fill="FFFFFF"/>
        <w:jc w:val="both"/>
        <w:rPr>
          <w:bCs/>
          <w:i/>
          <w:color w:val="002060"/>
          <w:sz w:val="16"/>
          <w:szCs w:val="16"/>
        </w:rPr>
      </w:pPr>
    </w:p>
    <w:p w14:paraId="4414D6F4" w14:textId="532CF376" w:rsidR="00BD4D8C" w:rsidRPr="00DE096C" w:rsidRDefault="00BD4D8C" w:rsidP="00D45A46">
      <w:pPr>
        <w:jc w:val="both"/>
        <w:rPr>
          <w:bCs/>
          <w:color w:val="002060"/>
          <w:sz w:val="16"/>
          <w:szCs w:val="16"/>
        </w:rPr>
      </w:pPr>
      <w:r w:rsidRPr="00DE096C">
        <w:rPr>
          <w:rStyle w:val="43"/>
          <w:rFonts w:ascii="Times New Roman" w:hAnsi="Times New Roman" w:cs="Times New Roman"/>
          <w:bCs/>
          <w:color w:val="002060"/>
          <w:w w:val="100"/>
          <w:sz w:val="16"/>
          <w:szCs w:val="16"/>
        </w:rPr>
        <w:t>28 января (10 февраля) 1914 г. на основании решения Во</w:t>
      </w:r>
      <w:r w:rsidRPr="00DE096C">
        <w:rPr>
          <w:rStyle w:val="43"/>
          <w:rFonts w:ascii="Times New Roman" w:hAnsi="Times New Roman" w:cs="Times New Roman"/>
          <w:bCs/>
          <w:color w:val="002060"/>
          <w:w w:val="100"/>
          <w:sz w:val="16"/>
          <w:szCs w:val="16"/>
        </w:rPr>
        <w:softHyphen/>
        <w:t>енного Совета от 7 декабря 1913 г. ГВТУ заклю</w:t>
      </w:r>
      <w:r w:rsidRPr="00DE096C">
        <w:rPr>
          <w:rStyle w:val="43"/>
          <w:rFonts w:ascii="Times New Roman" w:hAnsi="Times New Roman" w:cs="Times New Roman"/>
          <w:bCs/>
          <w:color w:val="002060"/>
          <w:w w:val="100"/>
          <w:sz w:val="16"/>
          <w:szCs w:val="16"/>
        </w:rPr>
        <w:softHyphen/>
        <w:t>чило контракт с Ижорским заводом на построй</w:t>
      </w:r>
      <w:r w:rsidRPr="00DE096C">
        <w:rPr>
          <w:rStyle w:val="43"/>
          <w:rFonts w:ascii="Times New Roman" w:hAnsi="Times New Roman" w:cs="Times New Roman"/>
          <w:bCs/>
          <w:color w:val="002060"/>
          <w:w w:val="100"/>
          <w:sz w:val="16"/>
          <w:szCs w:val="16"/>
        </w:rPr>
        <w:softHyphen/>
        <w:t>ку «Воздушного крейсера». Он должен был иметь длину 130 м, высоту 28 м, не менее двух двигателей мощностью по 250 л.с., скорость — 83 км/ч, высоту подъёма — 2500 м, запас горю</w:t>
      </w:r>
      <w:r w:rsidRPr="00DE096C">
        <w:rPr>
          <w:rStyle w:val="43"/>
          <w:rFonts w:ascii="Times New Roman" w:hAnsi="Times New Roman" w:cs="Times New Roman"/>
          <w:bCs/>
          <w:color w:val="002060"/>
          <w:w w:val="100"/>
          <w:sz w:val="16"/>
          <w:szCs w:val="16"/>
        </w:rPr>
        <w:softHyphen/>
        <w:t>чего на 20 часов полёта при полной скорости. Дирижабль должен был поднимать в гондоле ко</w:t>
      </w:r>
      <w:r w:rsidRPr="00DE096C">
        <w:rPr>
          <w:rStyle w:val="43"/>
          <w:rFonts w:ascii="Times New Roman" w:hAnsi="Times New Roman" w:cs="Times New Roman"/>
          <w:bCs/>
          <w:color w:val="002060"/>
          <w:w w:val="100"/>
          <w:sz w:val="16"/>
          <w:szCs w:val="16"/>
        </w:rPr>
        <w:softHyphen/>
        <w:t>манду, дополнительно включавшую двух наблю</w:t>
      </w:r>
      <w:r w:rsidRPr="00DE096C">
        <w:rPr>
          <w:rStyle w:val="43"/>
          <w:rFonts w:ascii="Times New Roman" w:hAnsi="Times New Roman" w:cs="Times New Roman"/>
          <w:bCs/>
          <w:color w:val="002060"/>
          <w:w w:val="100"/>
          <w:sz w:val="16"/>
          <w:szCs w:val="16"/>
        </w:rPr>
        <w:softHyphen/>
        <w:t>дателей, не занятых управлением, телеграфиста и пулемётчиков, иметь не менее 2-3 пулемётов с трёхтысячным запасов патронов и запасными частями для каждого пулемёта, радиотелеграф</w:t>
      </w:r>
      <w:r w:rsidRPr="00DE096C">
        <w:rPr>
          <w:rStyle w:val="43"/>
          <w:rFonts w:ascii="Times New Roman" w:hAnsi="Times New Roman" w:cs="Times New Roman"/>
          <w:bCs/>
          <w:color w:val="002060"/>
          <w:w w:val="100"/>
          <w:sz w:val="16"/>
          <w:szCs w:val="16"/>
        </w:rPr>
        <w:softHyphen/>
        <w:t>ную станцию, способную действовать на 300 км, прожектор. Общая стоимость дирижабля оцени</w:t>
      </w:r>
      <w:r w:rsidRPr="00DE096C">
        <w:rPr>
          <w:rStyle w:val="43"/>
          <w:rFonts w:ascii="Times New Roman" w:hAnsi="Times New Roman" w:cs="Times New Roman"/>
          <w:bCs/>
          <w:color w:val="002060"/>
          <w:w w:val="100"/>
          <w:sz w:val="16"/>
          <w:szCs w:val="16"/>
        </w:rPr>
        <w:softHyphen/>
        <w:t>валась в 410 тыс. рублей (20120).</w:t>
      </w:r>
    </w:p>
    <w:p w14:paraId="6E872854" w14:textId="77777777" w:rsidR="00BD4D8C" w:rsidRPr="00DE096C" w:rsidRDefault="00BD4D8C" w:rsidP="00D45A46">
      <w:pPr>
        <w:jc w:val="both"/>
        <w:rPr>
          <w:bCs/>
          <w:color w:val="002060"/>
          <w:sz w:val="16"/>
          <w:szCs w:val="16"/>
        </w:rPr>
      </w:pPr>
    </w:p>
    <w:p w14:paraId="06221762"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Воздухоплавание:</w:t>
      </w:r>
    </w:p>
    <w:p w14:paraId="64E7B981" w14:textId="77777777" w:rsidR="00B67D7C" w:rsidRPr="00DE096C" w:rsidRDefault="00B67D7C" w:rsidP="00D45A46">
      <w:pPr>
        <w:shd w:val="clear" w:color="auto" w:fill="FFFFFF"/>
        <w:jc w:val="both"/>
        <w:rPr>
          <w:bCs/>
          <w:i/>
          <w:color w:val="002060"/>
          <w:sz w:val="16"/>
          <w:szCs w:val="16"/>
        </w:rPr>
      </w:pPr>
    </w:p>
    <w:p w14:paraId="28C47ED4" w14:textId="77777777" w:rsidR="00B67D7C" w:rsidRPr="00DE096C" w:rsidRDefault="00B67D7C" w:rsidP="00D45A46">
      <w:pPr>
        <w:shd w:val="clear" w:color="auto" w:fill="FFFFFF"/>
        <w:jc w:val="both"/>
        <w:rPr>
          <w:bCs/>
          <w:i/>
          <w:color w:val="002060"/>
          <w:sz w:val="16"/>
          <w:szCs w:val="16"/>
        </w:rPr>
      </w:pPr>
      <w:r w:rsidRPr="00DE096C">
        <w:rPr>
          <w:bCs/>
          <w:color w:val="002060"/>
          <w:sz w:val="16"/>
          <w:szCs w:val="16"/>
        </w:rPr>
        <w:t xml:space="preserve">28 января (10 февраля) 1914 близ станции Бисерть Пермской губернии приземлились немецкие воздухоплаватели Берлинер, Гаазе и Николаи,выле-звшие на воздушном шаре из Берлина в рекордный полет на далъ-)ть. При посадке их задержали как шпионов, а затем предали суду перелет границы без разрешения. Судебная палата приговорила оздухоплавателей к тюремному заключению на полтора года каждого. После внесения залога.в размере 6000 рублей все трое были свобоадены и отправлены в Берлин,а воздушный шар был конфискован </w:t>
      </w:r>
      <w:r w:rsidRPr="00DE096C">
        <w:rPr>
          <w:bCs/>
          <w:i/>
          <w:color w:val="002060"/>
          <w:sz w:val="16"/>
          <w:szCs w:val="16"/>
        </w:rPr>
        <w:t>("Искры .1914, № 16; "Аэро</w:t>
      </w:r>
      <w:r w:rsidRPr="00DE096C">
        <w:rPr>
          <w:bCs/>
          <w:i/>
          <w:color w:val="002060"/>
          <w:sz w:val="16"/>
          <w:szCs w:val="16"/>
          <w:vertAlign w:val="superscript"/>
        </w:rPr>
        <w:t>п</w:t>
      </w:r>
      <w:r w:rsidRPr="00DE096C">
        <w:rPr>
          <w:bCs/>
          <w:i/>
          <w:color w:val="002060"/>
          <w:sz w:val="16"/>
          <w:szCs w:val="16"/>
        </w:rPr>
        <w:t>. 1914, № 8 и 9).</w:t>
      </w:r>
    </w:p>
    <w:p w14:paraId="15425340" w14:textId="77777777" w:rsidR="00B67D7C" w:rsidRPr="00DE096C" w:rsidRDefault="00B67D7C" w:rsidP="00D45A46">
      <w:pPr>
        <w:shd w:val="clear" w:color="auto" w:fill="FFFFFF"/>
        <w:jc w:val="both"/>
        <w:rPr>
          <w:bCs/>
          <w:i/>
          <w:color w:val="002060"/>
          <w:sz w:val="16"/>
          <w:szCs w:val="16"/>
        </w:rPr>
      </w:pPr>
    </w:p>
    <w:p w14:paraId="2C8075A0"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572D3784" w14:textId="77777777" w:rsidR="00B67D7C" w:rsidRPr="00DE096C" w:rsidRDefault="00B67D7C" w:rsidP="00D45A46">
      <w:pPr>
        <w:shd w:val="clear" w:color="auto" w:fill="FFFFFF"/>
        <w:jc w:val="both"/>
        <w:rPr>
          <w:bCs/>
          <w:i/>
          <w:color w:val="002060"/>
          <w:sz w:val="16"/>
          <w:szCs w:val="16"/>
        </w:rPr>
      </w:pPr>
    </w:p>
    <w:p w14:paraId="7CB7AC3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29 января (11 февраля) 1914 "Илья Муромец" под управлением И.И.Сикорского с 6 пассажирами на борту совершил первый продолжительный полот 43 мин., достигнув при этом высоты 500 м. Во время полета вто</w:t>
      </w:r>
      <w:r w:rsidRPr="00DE096C">
        <w:rPr>
          <w:bCs/>
          <w:color w:val="002060"/>
          <w:sz w:val="16"/>
          <w:szCs w:val="16"/>
        </w:rPr>
        <w:softHyphen/>
        <w:t>рой пилот - Г.В.Янковский выходил на верхнюю палубу фюзеляжа для испытания устойчивости самолета ("Новое время". 1914 г. 30 января).</w:t>
      </w:r>
    </w:p>
    <w:p w14:paraId="2D570EC7" w14:textId="77777777" w:rsidR="00B67D7C" w:rsidRPr="00DE096C" w:rsidRDefault="00B67D7C" w:rsidP="00D45A46">
      <w:pPr>
        <w:shd w:val="clear" w:color="auto" w:fill="FFFFFF"/>
        <w:jc w:val="both"/>
        <w:rPr>
          <w:bCs/>
          <w:color w:val="002060"/>
          <w:sz w:val="16"/>
          <w:szCs w:val="16"/>
        </w:rPr>
      </w:pPr>
    </w:p>
    <w:p w14:paraId="2392B725" w14:textId="46BCB476" w:rsidR="00333FA0" w:rsidRPr="00DE096C" w:rsidRDefault="00333FA0" w:rsidP="00D45A46">
      <w:pPr>
        <w:jc w:val="both"/>
        <w:rPr>
          <w:bCs/>
          <w:color w:val="002060"/>
          <w:sz w:val="16"/>
          <w:szCs w:val="16"/>
        </w:rPr>
      </w:pPr>
      <w:r w:rsidRPr="00DE096C">
        <w:rPr>
          <w:bCs/>
          <w:color w:val="002060"/>
          <w:sz w:val="16"/>
          <w:szCs w:val="16"/>
        </w:rPr>
        <w:t>29 января (1</w:t>
      </w:r>
      <w:r w:rsidR="00422413" w:rsidRPr="00DE096C">
        <w:rPr>
          <w:bCs/>
          <w:color w:val="002060"/>
          <w:sz w:val="16"/>
          <w:szCs w:val="16"/>
        </w:rPr>
        <w:t>1</w:t>
      </w:r>
      <w:r w:rsidRPr="00DE096C">
        <w:rPr>
          <w:bCs/>
          <w:color w:val="002060"/>
          <w:sz w:val="16"/>
          <w:szCs w:val="16"/>
        </w:rPr>
        <w:t xml:space="preserve"> февраля) 1914 г. "Илья Муромец” под управлением Сикорского с 6 пассажирами на борту совершил первый продолжительный полет - 43 мин. достигнув при этом высоты 500 м. Во время полета второй пилот Г.В.Янковский выходил на верхнюю палубу фюзеляжа для испытания устойчивости самолета.</w:t>
      </w:r>
    </w:p>
    <w:p w14:paraId="4E88D03F" w14:textId="77777777" w:rsidR="00333FA0" w:rsidRPr="00DE096C" w:rsidRDefault="00333FA0" w:rsidP="00D45A46">
      <w:pPr>
        <w:jc w:val="both"/>
        <w:rPr>
          <w:bCs/>
          <w:color w:val="002060"/>
          <w:sz w:val="16"/>
          <w:szCs w:val="16"/>
        </w:rPr>
      </w:pPr>
      <w:r w:rsidRPr="00DE096C">
        <w:rPr>
          <w:bCs/>
          <w:color w:val="002060"/>
          <w:sz w:val="16"/>
          <w:szCs w:val="16"/>
        </w:rPr>
        <w:t>/"Новое время" 30 янв. 1914 г./ (23320).</w:t>
      </w:r>
    </w:p>
    <w:p w14:paraId="71A9D780" w14:textId="77777777" w:rsidR="00333FA0" w:rsidRPr="00DE096C" w:rsidRDefault="00333FA0" w:rsidP="00D45A46">
      <w:pPr>
        <w:jc w:val="both"/>
        <w:rPr>
          <w:bCs/>
          <w:color w:val="002060"/>
          <w:sz w:val="16"/>
          <w:szCs w:val="16"/>
        </w:rPr>
      </w:pPr>
    </w:p>
    <w:p w14:paraId="33D26C26" w14:textId="46553D91" w:rsidR="00507EFA" w:rsidRPr="00DE096C" w:rsidRDefault="00507EFA" w:rsidP="00D45A46">
      <w:pPr>
        <w:jc w:val="both"/>
        <w:rPr>
          <w:bCs/>
          <w:color w:val="002060"/>
          <w:sz w:val="16"/>
          <w:szCs w:val="16"/>
        </w:rPr>
      </w:pPr>
      <w:r w:rsidRPr="00DE096C">
        <w:rPr>
          <w:bCs/>
          <w:color w:val="002060"/>
          <w:sz w:val="16"/>
          <w:szCs w:val="16"/>
        </w:rPr>
        <w:t>29 января (11 февраля) 1914 г самолет ИМ стартовал с Корпусного аэродрома в сторону Пулкова. Обойдя высоты, он развернулся, до</w:t>
      </w:r>
      <w:r w:rsidRPr="00DE096C">
        <w:rPr>
          <w:bCs/>
          <w:color w:val="002060"/>
          <w:sz w:val="16"/>
          <w:szCs w:val="16"/>
        </w:rPr>
        <w:softHyphen/>
        <w:t>шел до Охты, потом пролетел вдоль Невского и Каменноостровского проспектов, сделал круг над Комендант</w:t>
      </w:r>
      <w:r w:rsidRPr="00DE096C">
        <w:rPr>
          <w:bCs/>
          <w:color w:val="002060"/>
          <w:sz w:val="16"/>
          <w:szCs w:val="16"/>
        </w:rPr>
        <w:softHyphen/>
        <w:t>ским аэродромом и затем вернулся на свой аэродром (24177).</w:t>
      </w:r>
    </w:p>
    <w:p w14:paraId="2A8BAE65" w14:textId="77777777" w:rsidR="00507EFA" w:rsidRPr="00DE096C" w:rsidRDefault="00507EFA" w:rsidP="00D45A46">
      <w:pPr>
        <w:jc w:val="both"/>
        <w:rPr>
          <w:bCs/>
          <w:color w:val="002060"/>
          <w:sz w:val="16"/>
          <w:szCs w:val="16"/>
          <w:lang w:bidi="ru-RU"/>
        </w:rPr>
      </w:pPr>
    </w:p>
    <w:p w14:paraId="3CA2AE76" w14:textId="77777777" w:rsidR="007D4BF7" w:rsidRPr="00DE096C" w:rsidRDefault="007D4BF7" w:rsidP="00D45A46">
      <w:pPr>
        <w:jc w:val="both"/>
        <w:rPr>
          <w:bCs/>
          <w:i/>
          <w:color w:val="002060"/>
          <w:sz w:val="16"/>
          <w:szCs w:val="16"/>
        </w:rPr>
      </w:pPr>
      <w:r w:rsidRPr="00DE096C">
        <w:rPr>
          <w:bCs/>
          <w:i/>
          <w:color w:val="002060"/>
          <w:sz w:val="16"/>
          <w:szCs w:val="16"/>
        </w:rPr>
        <w:t>Авиация и воздухоплавание Франции:</w:t>
      </w:r>
    </w:p>
    <w:p w14:paraId="480BCAEB" w14:textId="77777777" w:rsidR="007D4BF7" w:rsidRPr="00DE096C" w:rsidRDefault="007D4BF7" w:rsidP="00D45A46">
      <w:pPr>
        <w:jc w:val="both"/>
        <w:rPr>
          <w:bCs/>
          <w:i/>
          <w:color w:val="002060"/>
          <w:sz w:val="16"/>
          <w:szCs w:val="16"/>
        </w:rPr>
      </w:pPr>
    </w:p>
    <w:p w14:paraId="07748259" w14:textId="77777777" w:rsidR="007D4BF7" w:rsidRPr="00DE096C" w:rsidRDefault="007D4BF7" w:rsidP="00D45A46">
      <w:pPr>
        <w:jc w:val="both"/>
        <w:rPr>
          <w:bCs/>
          <w:color w:val="002060"/>
          <w:sz w:val="16"/>
          <w:szCs w:val="16"/>
        </w:rPr>
      </w:pPr>
      <w:r w:rsidRPr="00DE096C">
        <w:rPr>
          <w:bCs/>
          <w:color w:val="002060"/>
          <w:sz w:val="16"/>
          <w:szCs w:val="16"/>
        </w:rPr>
        <w:t>29 января (11 февраля) в 1914 году первый авиаполет над Монбланом в Альпах (15037).</w:t>
      </w:r>
    </w:p>
    <w:p w14:paraId="1BB9562B" w14:textId="77777777" w:rsidR="007D4BF7" w:rsidRPr="00DE096C" w:rsidRDefault="007D4BF7" w:rsidP="00D45A46">
      <w:pPr>
        <w:jc w:val="both"/>
        <w:rPr>
          <w:bCs/>
          <w:color w:val="002060"/>
          <w:sz w:val="16"/>
          <w:szCs w:val="16"/>
        </w:rPr>
      </w:pPr>
    </w:p>
    <w:p w14:paraId="302B6E30" w14:textId="77777777" w:rsidR="007D4BF7" w:rsidRPr="00DE096C" w:rsidRDefault="007D4BF7" w:rsidP="00D45A46">
      <w:pPr>
        <w:jc w:val="both"/>
        <w:rPr>
          <w:bCs/>
          <w:color w:val="002060"/>
          <w:sz w:val="16"/>
          <w:szCs w:val="16"/>
        </w:rPr>
      </w:pPr>
      <w:r w:rsidRPr="00DE096C">
        <w:rPr>
          <w:bCs/>
          <w:color w:val="002060"/>
          <w:sz w:val="16"/>
          <w:szCs w:val="16"/>
        </w:rPr>
        <w:t>29 января (11 февраля) 1914 в Вийакубле у Парижа представителям ВВС Франции в полете был показан самолет Депердюссен тип ТТ «вооруженный» опытный, самолет-истребитель. Тип ТТ был доработан на фирме «Депердюссен» под руководством пилота и инженера М. Луазо (M. Loiseau) по типу самолета тип В с вооружением. Его пилотировал л-т Морис Прево (летчик-испытатель фирмы), а огонь из пулемета вел Луазо. Самолет Тип ТТ и так страдал недостаточной устойчивостью, а когда летнаб в передней кабине вставал, она еще более ухудшалась – появлялась «перекрестная связь» неустойчивости по курсу и тангажу. Установка не была принята на вооружение, однако впоследствии именно такое решение в ходе I мировой войны станет одним из двух основных типов установки вооружения на самолетах-истребителях (23094).</w:t>
      </w:r>
    </w:p>
    <w:p w14:paraId="0D2EF49E" w14:textId="77777777" w:rsidR="007D4BF7" w:rsidRPr="00DE096C" w:rsidRDefault="007D4BF7" w:rsidP="00D45A46">
      <w:pPr>
        <w:jc w:val="both"/>
        <w:rPr>
          <w:bCs/>
          <w:color w:val="002060"/>
          <w:sz w:val="16"/>
          <w:szCs w:val="16"/>
        </w:rPr>
      </w:pPr>
    </w:p>
    <w:p w14:paraId="5D6B0852" w14:textId="77777777" w:rsidR="007D4BF7" w:rsidRPr="00DE096C" w:rsidRDefault="007D4BF7" w:rsidP="00D45A46">
      <w:pPr>
        <w:jc w:val="both"/>
        <w:rPr>
          <w:bCs/>
          <w:i/>
          <w:color w:val="002060"/>
          <w:sz w:val="16"/>
          <w:szCs w:val="16"/>
        </w:rPr>
      </w:pPr>
      <w:r w:rsidRPr="00DE096C">
        <w:rPr>
          <w:bCs/>
          <w:i/>
          <w:color w:val="002060"/>
          <w:sz w:val="16"/>
          <w:szCs w:val="16"/>
        </w:rPr>
        <w:t>Авиация и воздухоплавание Германии:</w:t>
      </w:r>
    </w:p>
    <w:p w14:paraId="6E2B1118" w14:textId="77777777" w:rsidR="007D4BF7" w:rsidRPr="00DE096C" w:rsidRDefault="007D4BF7" w:rsidP="00D45A46">
      <w:pPr>
        <w:jc w:val="both"/>
        <w:rPr>
          <w:bCs/>
          <w:i/>
          <w:color w:val="002060"/>
          <w:sz w:val="16"/>
          <w:szCs w:val="16"/>
        </w:rPr>
      </w:pPr>
    </w:p>
    <w:p w14:paraId="053BC7B9" w14:textId="77777777" w:rsidR="007D4BF7" w:rsidRPr="00DE096C" w:rsidRDefault="007D4BF7" w:rsidP="00D45A46">
      <w:pPr>
        <w:jc w:val="both"/>
        <w:rPr>
          <w:bCs/>
          <w:color w:val="002060"/>
          <w:sz w:val="16"/>
          <w:szCs w:val="16"/>
        </w:rPr>
      </w:pPr>
      <w:r w:rsidRPr="00DE096C">
        <w:rPr>
          <w:bCs/>
          <w:color w:val="002060"/>
          <w:sz w:val="16"/>
          <w:szCs w:val="16"/>
        </w:rPr>
        <w:t>29 января (11 февраля) 1914 на биплане LFG Roland Pfeilflieger немецкий летчик Бруно Лангер пытается побить рекорд продолжительности полета, установленный Карлом Ингольдом 7 февраля, но ему не хватает 20 минут, и он приземляется в Кройце после 16 часов непрерывного полета (20337).</w:t>
      </w:r>
    </w:p>
    <w:p w14:paraId="6169BD60" w14:textId="77777777" w:rsidR="007D4BF7" w:rsidRPr="00DE096C" w:rsidRDefault="007D4BF7" w:rsidP="00D45A46">
      <w:pPr>
        <w:jc w:val="both"/>
        <w:rPr>
          <w:bCs/>
          <w:color w:val="002060"/>
          <w:sz w:val="16"/>
          <w:szCs w:val="16"/>
        </w:rPr>
      </w:pPr>
    </w:p>
    <w:p w14:paraId="3092FC6B" w14:textId="77777777" w:rsidR="007D4BF7" w:rsidRPr="00DE096C" w:rsidRDefault="007D4BF7" w:rsidP="00D45A46">
      <w:pPr>
        <w:jc w:val="both"/>
        <w:rPr>
          <w:bCs/>
          <w:color w:val="002060"/>
          <w:sz w:val="16"/>
          <w:szCs w:val="16"/>
        </w:rPr>
      </w:pPr>
      <w:r w:rsidRPr="00DE096C">
        <w:rPr>
          <w:bCs/>
          <w:color w:val="002060"/>
          <w:sz w:val="16"/>
          <w:szCs w:val="16"/>
        </w:rPr>
        <w:t>29 января (11 февраля) 1914 - (28 января ст.ст.) Рекорд дальности для воздушных шаров установлен Гансом Берлинером, Александром Гаазе и Арнольдом Николаи, которые пролетеле 3040 км от Биттерфельда возде Берлина до села Киргишан, расположенного недалеко от Бисертского завода Красноуфимского уезда Пермской губернии (22601).</w:t>
      </w:r>
    </w:p>
    <w:p w14:paraId="11EA67F8" w14:textId="77777777" w:rsidR="007D4BF7" w:rsidRPr="00DE096C" w:rsidRDefault="007D4BF7" w:rsidP="00D45A46">
      <w:pPr>
        <w:jc w:val="both"/>
        <w:rPr>
          <w:bCs/>
          <w:color w:val="002060"/>
          <w:sz w:val="16"/>
          <w:szCs w:val="16"/>
        </w:rPr>
      </w:pPr>
    </w:p>
    <w:p w14:paraId="7FDEBCBC"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1EFB6D56" w14:textId="77777777" w:rsidR="00B67D7C" w:rsidRPr="00DE096C" w:rsidRDefault="00B67D7C" w:rsidP="00D45A46">
      <w:pPr>
        <w:shd w:val="clear" w:color="auto" w:fill="FFFFFF"/>
        <w:jc w:val="both"/>
        <w:rPr>
          <w:bCs/>
          <w:i/>
          <w:color w:val="002060"/>
          <w:sz w:val="16"/>
          <w:szCs w:val="16"/>
        </w:rPr>
      </w:pPr>
    </w:p>
    <w:p w14:paraId="2E9E4B98" w14:textId="092B8E83" w:rsidR="00B67D7C" w:rsidRPr="00DE096C" w:rsidRDefault="00422413" w:rsidP="00D45A46">
      <w:pPr>
        <w:shd w:val="clear" w:color="auto" w:fill="FFFFFF"/>
        <w:jc w:val="both"/>
        <w:rPr>
          <w:bCs/>
          <w:color w:val="002060"/>
          <w:sz w:val="16"/>
          <w:szCs w:val="16"/>
        </w:rPr>
      </w:pPr>
      <w:r w:rsidRPr="00DE096C">
        <w:rPr>
          <w:bCs/>
          <w:color w:val="002060"/>
          <w:sz w:val="16"/>
          <w:szCs w:val="16"/>
        </w:rPr>
        <w:t>30 января (</w:t>
      </w:r>
      <w:r w:rsidR="00B67D7C" w:rsidRPr="00DE096C">
        <w:rPr>
          <w:bCs/>
          <w:color w:val="002060"/>
          <w:sz w:val="16"/>
          <w:szCs w:val="16"/>
        </w:rPr>
        <w:t>12 февраля</w:t>
      </w:r>
      <w:r w:rsidRPr="00DE096C">
        <w:rPr>
          <w:bCs/>
          <w:color w:val="002060"/>
          <w:sz w:val="16"/>
          <w:szCs w:val="16"/>
        </w:rPr>
        <w:t>) 1914 г., согласно российскому журналу «Воздухоплаватель»: «И. И. Сикорс</w:t>
      </w:r>
      <w:r w:rsidRPr="00DE096C">
        <w:rPr>
          <w:bCs/>
          <w:color w:val="002060"/>
          <w:sz w:val="16"/>
          <w:szCs w:val="16"/>
        </w:rPr>
        <w:softHyphen/>
        <w:t xml:space="preserve">кий поставил </w:t>
      </w:r>
      <w:r w:rsidR="00B67D7C" w:rsidRPr="00DE096C">
        <w:rPr>
          <w:bCs/>
          <w:color w:val="002060"/>
          <w:sz w:val="16"/>
          <w:szCs w:val="16"/>
        </w:rPr>
        <w:t>на своем «Илье Муромце» два новых мировых рекорда на число пассажиров и на грузоподъемность... Во время этого полета И. И. Сикорский выходил на передний балкон корабля, а летчик Раевский как раз снял его снизу, с аэродрома...» (11425).</w:t>
      </w:r>
    </w:p>
    <w:p w14:paraId="09C6C769" w14:textId="77777777" w:rsidR="00B67D7C" w:rsidRPr="00DE096C" w:rsidRDefault="00B67D7C" w:rsidP="00D45A46">
      <w:pPr>
        <w:shd w:val="clear" w:color="auto" w:fill="FFFFFF"/>
        <w:jc w:val="both"/>
        <w:rPr>
          <w:bCs/>
          <w:color w:val="002060"/>
          <w:sz w:val="16"/>
          <w:szCs w:val="16"/>
        </w:rPr>
      </w:pPr>
    </w:p>
    <w:p w14:paraId="318B6EFE" w14:textId="62120EC4" w:rsidR="00507EFA" w:rsidRPr="00DE096C" w:rsidRDefault="00507EFA" w:rsidP="00D45A46">
      <w:pPr>
        <w:jc w:val="both"/>
        <w:rPr>
          <w:bCs/>
          <w:color w:val="002060"/>
          <w:sz w:val="16"/>
          <w:szCs w:val="16"/>
        </w:rPr>
      </w:pPr>
      <w:r w:rsidRPr="00DE096C">
        <w:rPr>
          <w:bCs/>
          <w:color w:val="002060"/>
          <w:sz w:val="16"/>
          <w:szCs w:val="16"/>
        </w:rPr>
        <w:t xml:space="preserve">30 января (12 февраля) </w:t>
      </w:r>
      <w:r w:rsidRPr="00DE096C">
        <w:rPr>
          <w:bCs/>
          <w:color w:val="002060"/>
          <w:sz w:val="16"/>
          <w:szCs w:val="16"/>
          <w:lang w:bidi="ru-RU"/>
        </w:rPr>
        <w:t>1914 г. «ИМ» №107, управляемый Сикорским, под</w:t>
      </w:r>
      <w:r w:rsidRPr="00DE096C">
        <w:rPr>
          <w:bCs/>
          <w:color w:val="002060"/>
          <w:sz w:val="16"/>
          <w:szCs w:val="16"/>
          <w:lang w:bidi="ru-RU"/>
        </w:rPr>
        <w:softHyphen/>
        <w:t>нял в воздух 16 человек — вес поднятого груза составил 1290 кг. Удачные испытания впечатляюще воз</w:t>
      </w:r>
      <w:r w:rsidRPr="00DE096C">
        <w:rPr>
          <w:bCs/>
          <w:color w:val="002060"/>
          <w:sz w:val="16"/>
          <w:szCs w:val="16"/>
          <w:lang w:bidi="ru-RU"/>
        </w:rPr>
        <w:softHyphen/>
        <w:t>действовали на Главное Военно-Техничес</w:t>
      </w:r>
      <w:r w:rsidRPr="00DE096C">
        <w:rPr>
          <w:bCs/>
          <w:color w:val="002060"/>
          <w:sz w:val="16"/>
          <w:szCs w:val="16"/>
          <w:lang w:bidi="ru-RU"/>
        </w:rPr>
        <w:softHyphen/>
        <w:t>кое управление, которое 12 мая 1914 г. за</w:t>
      </w:r>
      <w:r w:rsidRPr="00DE096C">
        <w:rPr>
          <w:bCs/>
          <w:color w:val="002060"/>
          <w:sz w:val="16"/>
          <w:szCs w:val="16"/>
          <w:lang w:bidi="ru-RU"/>
        </w:rPr>
        <w:softHyphen/>
        <w:t>ключило контракт с РБВЗ на поставку 10 самолетов типа «Илья Муромец» для нужд военной авиации (23374).</w:t>
      </w:r>
    </w:p>
    <w:p w14:paraId="4D2DE68E" w14:textId="77777777" w:rsidR="00507EFA" w:rsidRPr="00DE096C" w:rsidRDefault="00507EFA" w:rsidP="00D45A46">
      <w:pPr>
        <w:jc w:val="both"/>
        <w:rPr>
          <w:bCs/>
          <w:color w:val="002060"/>
          <w:sz w:val="16"/>
          <w:szCs w:val="16"/>
        </w:rPr>
      </w:pPr>
    </w:p>
    <w:p w14:paraId="74F2BF15" w14:textId="66E5AA00" w:rsidR="00507EFA" w:rsidRPr="00DE096C" w:rsidRDefault="00507EFA" w:rsidP="00D45A46">
      <w:pPr>
        <w:jc w:val="both"/>
        <w:rPr>
          <w:bCs/>
          <w:color w:val="002060"/>
          <w:sz w:val="16"/>
          <w:szCs w:val="16"/>
        </w:rPr>
      </w:pPr>
      <w:r w:rsidRPr="00DE096C">
        <w:rPr>
          <w:bCs/>
          <w:color w:val="002060"/>
          <w:sz w:val="16"/>
          <w:szCs w:val="16"/>
        </w:rPr>
        <w:t>30 января (12 февраля) 1914 г. «Муромец» установил мировой рекорд по максимальному количеству пассажиров, поднятых на борту самолета. На «Муромце» находились 16 чело</w:t>
      </w:r>
      <w:r w:rsidRPr="00DE096C">
        <w:rPr>
          <w:bCs/>
          <w:color w:val="002060"/>
          <w:sz w:val="16"/>
          <w:szCs w:val="16"/>
        </w:rPr>
        <w:softHyphen/>
        <w:t>век и аэродромный пес с невинной кличкой Шкалик. Поднятый полезный груз составил 1290 кг. Это было выдающееся достижение, которое отметила пресса: «Наш талантливый летчик-конструктор И. И. Сикор</w:t>
      </w:r>
      <w:r w:rsidRPr="00DE096C">
        <w:rPr>
          <w:bCs/>
          <w:color w:val="002060"/>
          <w:sz w:val="16"/>
          <w:szCs w:val="16"/>
        </w:rPr>
        <w:softHyphen/>
        <w:t>ский поставил 12 февраля на своем «Илье Муромце» два новых мировых рекорда — на число пассажиров и на грузоподъемность. В этот день он совершил два поле</w:t>
      </w:r>
      <w:r w:rsidRPr="00DE096C">
        <w:rPr>
          <w:bCs/>
          <w:color w:val="002060"/>
          <w:sz w:val="16"/>
          <w:szCs w:val="16"/>
        </w:rPr>
        <w:softHyphen/>
        <w:t>та. Первый полет был как бы подготовительным ко вто</w:t>
      </w:r>
      <w:r w:rsidRPr="00DE096C">
        <w:rPr>
          <w:bCs/>
          <w:color w:val="002060"/>
          <w:sz w:val="16"/>
          <w:szCs w:val="16"/>
        </w:rPr>
        <w:softHyphen/>
        <w:t>рому рекордному. Сперва И. И. Сикорский взял восемь человек пассажиров. С Корпусного аэродрома воздуш</w:t>
      </w:r>
      <w:r w:rsidRPr="00DE096C">
        <w:rPr>
          <w:bCs/>
          <w:color w:val="002060"/>
          <w:sz w:val="16"/>
          <w:szCs w:val="16"/>
        </w:rPr>
        <w:softHyphen/>
        <w:t>ный корабль легко поднялся на высоту пятисот метров и большим кругом пролетел до Пулкова и обратно. Весь полет продолжался 40 мин. За рулями сидели вновь обученные управлению «Ильей Муромцем» морской летчик Г. И. Лавров и летчик Янковский... Ко второму полету И. И. Сикорский приготовился не сразу. Он хо</w:t>
      </w:r>
      <w:r w:rsidRPr="00DE096C">
        <w:rPr>
          <w:bCs/>
          <w:color w:val="002060"/>
          <w:sz w:val="16"/>
          <w:szCs w:val="16"/>
        </w:rPr>
        <w:softHyphen/>
        <w:t>тел взять на корабль только четырнадцать человек и, действительно взявши столько народу и первого в мире четвероногого пассажира — собаку Шкалика, поднялся на пробу в воздух. Три небольших круга над аэродромом убедили его, что аппарат идет более чем легко. Тогда И. И. Сикорский спустился после шестиминутного пребывания в воздухе, забрал к себе еще двух ос</w:t>
      </w:r>
      <w:r w:rsidRPr="00DE096C">
        <w:rPr>
          <w:bCs/>
          <w:color w:val="002060"/>
          <w:sz w:val="16"/>
          <w:szCs w:val="16"/>
        </w:rPr>
        <w:softHyphen/>
        <w:t>тавшихся внизу и с шестнадцатью взрослыми людьми вторично поднялся на воздух. «Илья Муромец» летал над аэродромом и Пулковом 17 мин и благополучно спустился с высоты 200 м. Пассажиры — человек де</w:t>
      </w:r>
      <w:r w:rsidRPr="00DE096C">
        <w:rPr>
          <w:bCs/>
          <w:color w:val="002060"/>
          <w:sz w:val="16"/>
          <w:szCs w:val="16"/>
        </w:rPr>
        <w:softHyphen/>
        <w:t>сять военных летчиков, пилоты и служащие Русско- Балтийского завода были в восторге. Два комиссара аэроклуба запротоколировали этот полет для отправле</w:t>
      </w:r>
      <w:r w:rsidRPr="00DE096C">
        <w:rPr>
          <w:bCs/>
          <w:color w:val="002060"/>
          <w:sz w:val="16"/>
          <w:szCs w:val="16"/>
        </w:rPr>
        <w:softHyphen/>
        <w:t>ния в бюро Международной воздухоплавательной феде</w:t>
      </w:r>
      <w:r w:rsidRPr="00DE096C">
        <w:rPr>
          <w:bCs/>
          <w:color w:val="002060"/>
          <w:sz w:val="16"/>
          <w:szCs w:val="16"/>
        </w:rPr>
        <w:softHyphen/>
        <w:t>рации в Париже. Такого числа пассажиров никто из мировых летчиков не поднимал. Самое большое число было 13 человек у Бреге, но он схитрил, набравши чуть ли не мальчиков по семи, по восьми лет, и продержался в воздухе всего лишь несколько секунд, причем летел по прямой линии. Вообще, при всех предыдущих по</w:t>
      </w:r>
      <w:r w:rsidRPr="00DE096C">
        <w:rPr>
          <w:bCs/>
          <w:color w:val="002060"/>
          <w:sz w:val="16"/>
          <w:szCs w:val="16"/>
        </w:rPr>
        <w:softHyphen/>
        <w:t>пытках иностранных авиаторов взять на аппарат более шести человек аппарат мог держаться в воздухе не бо</w:t>
      </w:r>
      <w:r w:rsidRPr="00DE096C">
        <w:rPr>
          <w:bCs/>
          <w:color w:val="002060"/>
          <w:sz w:val="16"/>
          <w:szCs w:val="16"/>
        </w:rPr>
        <w:softHyphen/>
        <w:t>лее нескольких секунд и совершенно не мог сделать виража. Общий вес взятого «Ильей Муромцем» груза 77 пудов 38 фунтов» (24177) .</w:t>
      </w:r>
    </w:p>
    <w:p w14:paraId="1F997F3E" w14:textId="77777777" w:rsidR="00507EFA" w:rsidRPr="00DE096C" w:rsidRDefault="00507EFA" w:rsidP="00D45A46">
      <w:pPr>
        <w:jc w:val="both"/>
        <w:rPr>
          <w:bCs/>
          <w:color w:val="002060"/>
          <w:sz w:val="16"/>
          <w:szCs w:val="16"/>
        </w:rPr>
      </w:pPr>
    </w:p>
    <w:p w14:paraId="29DCBBAC" w14:textId="77777777" w:rsidR="00F16B25" w:rsidRPr="00DE096C" w:rsidRDefault="00F16B25" w:rsidP="00D45A46">
      <w:pPr>
        <w:jc w:val="both"/>
        <w:rPr>
          <w:bCs/>
          <w:i/>
          <w:color w:val="002060"/>
          <w:sz w:val="16"/>
          <w:szCs w:val="16"/>
        </w:rPr>
      </w:pPr>
      <w:r w:rsidRPr="00DE096C">
        <w:rPr>
          <w:bCs/>
          <w:i/>
          <w:color w:val="002060"/>
          <w:sz w:val="16"/>
          <w:szCs w:val="16"/>
        </w:rPr>
        <w:t>Другие оборонные отрасли:</w:t>
      </w:r>
    </w:p>
    <w:p w14:paraId="141875A0" w14:textId="77777777" w:rsidR="00F16B25" w:rsidRPr="00DE096C" w:rsidRDefault="00F16B25" w:rsidP="00D45A46">
      <w:pPr>
        <w:jc w:val="both"/>
        <w:rPr>
          <w:bCs/>
          <w:i/>
          <w:color w:val="002060"/>
          <w:sz w:val="16"/>
          <w:szCs w:val="16"/>
        </w:rPr>
      </w:pPr>
    </w:p>
    <w:p w14:paraId="09654130" w14:textId="6179E80F" w:rsidR="00F16B25" w:rsidRPr="00DE096C" w:rsidRDefault="00F16B25" w:rsidP="00D45A46">
      <w:pPr>
        <w:pStyle w:val="p1"/>
        <w:spacing w:before="0" w:beforeAutospacing="0" w:after="0" w:afterAutospacing="0"/>
        <w:jc w:val="both"/>
        <w:rPr>
          <w:bCs/>
          <w:color w:val="002060"/>
          <w:sz w:val="16"/>
          <w:szCs w:val="16"/>
        </w:rPr>
      </w:pPr>
      <w:r w:rsidRPr="00DE096C">
        <w:rPr>
          <w:bCs/>
          <w:color w:val="002060"/>
          <w:sz w:val="16"/>
          <w:szCs w:val="16"/>
        </w:rPr>
        <w:t xml:space="preserve">30 января </w:t>
      </w:r>
      <w:r w:rsidR="007D4BF7" w:rsidRPr="00DE096C">
        <w:rPr>
          <w:bCs/>
          <w:color w:val="002060"/>
          <w:sz w:val="16"/>
          <w:szCs w:val="16"/>
        </w:rPr>
        <w:t xml:space="preserve">(12 февраля) </w:t>
      </w:r>
      <w:r w:rsidRPr="00DE096C">
        <w:rPr>
          <w:bCs/>
          <w:color w:val="002060"/>
          <w:sz w:val="16"/>
          <w:szCs w:val="16"/>
        </w:rPr>
        <w:t>1914 г. ГАУ уведомило Военный совет, что в дальнейшем, «по решении вопроса о постройке», потребуется «кредит на разработку проектов завода для добывания азотной кислоты из воздуха». (В Германии уже с сентября 1913 г. началось промышленное производство азотной кислоты на заводе BASF в Оппау близ Людвигсхафена (18409).</w:t>
      </w:r>
    </w:p>
    <w:p w14:paraId="0C827B8C" w14:textId="77777777" w:rsidR="00F16B25" w:rsidRPr="00DE096C" w:rsidRDefault="00F16B25" w:rsidP="00D45A46">
      <w:pPr>
        <w:pStyle w:val="p1"/>
        <w:spacing w:before="0" w:beforeAutospacing="0" w:after="0" w:afterAutospacing="0"/>
        <w:jc w:val="both"/>
        <w:rPr>
          <w:bCs/>
          <w:color w:val="002060"/>
          <w:sz w:val="16"/>
          <w:szCs w:val="16"/>
        </w:rPr>
      </w:pPr>
      <w:r w:rsidRPr="00DE096C">
        <w:rPr>
          <w:bCs/>
          <w:color w:val="002060"/>
          <w:sz w:val="16"/>
          <w:szCs w:val="16"/>
        </w:rPr>
        <w:t xml:space="preserve">В середине 1914 артиллеристам вновь и вновь причиняла беспокойство частная инициатива, пробивавшаяся через другие ведомства. «МПС, в ведении которого находились Сунские водопады, запросило заключение военного ведомства о возможности передачи этих водопадов частным предпринимателям, — припоминал </w:t>
      </w:r>
      <w:r w:rsidRPr="00DE096C">
        <w:rPr>
          <w:bCs/>
          <w:color w:val="002060"/>
          <w:sz w:val="16"/>
          <w:szCs w:val="16"/>
        </w:rPr>
        <w:lastRenderedPageBreak/>
        <w:t>Кузьмин-Караваев. — Я представил военному министру проект ответа министру путей сообщения с протестом… так как дешевая энергия р. Суны потребуется для проектируемого казенного кислотного завода». Сухомлинов согласился с мнением ГАУ «и ответ был послан». Но через несколько месяцев от ГАУ потребовали «подробную справку» о положении дела с «искусственной добычей воздушной азотной кислоты», и обрисовавшаяся картина дала повод для резолюции помощника военного министра (очевидно, уже Вернандера) «о недопустимости отдавать обширный водный бассейн с водопадами в руки военного ведомства»: оно «с делом не справится, а лишь воспрепятствует частным лицам устроить мощную гидравлическую станцию, имеющую государственное значение». Кузьмин-Караваев, а затем и Сапожников отправились с личными докладами к помощнику военного министра, но не смогли его переубедить, и Сухомлинов приказал «уведомить МПС о неимении препятствий» для сдачи водопадов в аренду (18409).</w:t>
      </w:r>
    </w:p>
    <w:p w14:paraId="04CA6AAD" w14:textId="77777777" w:rsidR="00F16B25" w:rsidRPr="00DE096C" w:rsidRDefault="00F16B25" w:rsidP="00D45A46">
      <w:pPr>
        <w:pStyle w:val="p1"/>
        <w:spacing w:before="0" w:beforeAutospacing="0" w:after="0" w:afterAutospacing="0"/>
        <w:jc w:val="both"/>
        <w:rPr>
          <w:bCs/>
          <w:color w:val="002060"/>
          <w:sz w:val="16"/>
          <w:szCs w:val="16"/>
        </w:rPr>
      </w:pPr>
    </w:p>
    <w:p w14:paraId="0D74B8FC" w14:textId="28FF134B" w:rsidR="00537EDD" w:rsidRPr="00DE096C" w:rsidRDefault="00537EDD" w:rsidP="00D45A46">
      <w:pPr>
        <w:pStyle w:val="af7"/>
        <w:spacing w:line="240" w:lineRule="auto"/>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30 января (12 февраля) 1914 г. ГАУ уведомило Военный совет, что в дальнейшем, «по ре</w:t>
      </w:r>
      <w:r w:rsidRPr="00DE096C">
        <w:rPr>
          <w:rFonts w:ascii="Times New Roman" w:hAnsi="Times New Roman" w:cs="Times New Roman"/>
          <w:bCs/>
          <w:color w:val="002060"/>
          <w:sz w:val="16"/>
          <w:szCs w:val="16"/>
        </w:rPr>
        <w:softHyphen/>
        <w:t>шении вопроса о постройке», потребуется «кредит на раз</w:t>
      </w:r>
      <w:r w:rsidRPr="00DE096C">
        <w:rPr>
          <w:rFonts w:ascii="Times New Roman" w:hAnsi="Times New Roman" w:cs="Times New Roman"/>
          <w:bCs/>
          <w:color w:val="002060"/>
          <w:sz w:val="16"/>
          <w:szCs w:val="16"/>
        </w:rPr>
        <w:softHyphen/>
        <w:t>работку проектов завода для добывания азотной кислоты из воздуха» (В Германии уже с сентября 1913 г. началось про</w:t>
      </w:r>
      <w:r w:rsidRPr="00DE096C">
        <w:rPr>
          <w:rFonts w:ascii="Times New Roman" w:hAnsi="Times New Roman" w:cs="Times New Roman"/>
          <w:bCs/>
          <w:color w:val="002060"/>
          <w:sz w:val="16"/>
          <w:szCs w:val="16"/>
        </w:rPr>
        <w:softHyphen/>
        <w:t>мышленное производство азотной кислоты на заводе BASF в Оппау близ Людвигсхафена (РГВИА. Ф</w:t>
      </w:r>
      <w:r w:rsidRPr="00DE096C">
        <w:rPr>
          <w:rFonts w:ascii="Times New Roman" w:hAnsi="Times New Roman" w:cs="Times New Roman"/>
          <w:bCs/>
          <w:color w:val="002060"/>
          <w:sz w:val="16"/>
          <w:szCs w:val="16"/>
          <w:lang w:val="en-US"/>
        </w:rPr>
        <w:t xml:space="preserve">. 504. </w:t>
      </w:r>
      <w:r w:rsidRPr="00DE096C">
        <w:rPr>
          <w:rFonts w:ascii="Times New Roman" w:hAnsi="Times New Roman" w:cs="Times New Roman"/>
          <w:bCs/>
          <w:color w:val="002060"/>
          <w:sz w:val="16"/>
          <w:szCs w:val="16"/>
        </w:rPr>
        <w:t>Оп</w:t>
      </w:r>
      <w:r w:rsidRPr="00DE096C">
        <w:rPr>
          <w:rFonts w:ascii="Times New Roman" w:hAnsi="Times New Roman" w:cs="Times New Roman"/>
          <w:bCs/>
          <w:color w:val="002060"/>
          <w:sz w:val="16"/>
          <w:szCs w:val="16"/>
          <w:lang w:val="en-US"/>
        </w:rPr>
        <w:t xml:space="preserve">. 8. </w:t>
      </w:r>
      <w:r w:rsidRPr="00DE096C">
        <w:rPr>
          <w:rFonts w:ascii="Times New Roman" w:hAnsi="Times New Roman" w:cs="Times New Roman"/>
          <w:bCs/>
          <w:color w:val="002060"/>
          <w:sz w:val="16"/>
          <w:szCs w:val="16"/>
        </w:rPr>
        <w:t>Д</w:t>
      </w:r>
      <w:r w:rsidRPr="00DE096C">
        <w:rPr>
          <w:rFonts w:ascii="Times New Roman" w:hAnsi="Times New Roman" w:cs="Times New Roman"/>
          <w:bCs/>
          <w:color w:val="002060"/>
          <w:sz w:val="16"/>
          <w:szCs w:val="16"/>
          <w:lang w:val="en-US"/>
        </w:rPr>
        <w:t xml:space="preserve">. 2391. </w:t>
      </w:r>
      <w:r w:rsidRPr="00DE096C">
        <w:rPr>
          <w:rFonts w:ascii="Times New Roman" w:hAnsi="Times New Roman" w:cs="Times New Roman"/>
          <w:bCs/>
          <w:color w:val="002060"/>
          <w:sz w:val="16"/>
          <w:szCs w:val="16"/>
        </w:rPr>
        <w:t>Л</w:t>
      </w:r>
      <w:r w:rsidRPr="00DE096C">
        <w:rPr>
          <w:rFonts w:ascii="Times New Roman" w:hAnsi="Times New Roman" w:cs="Times New Roman"/>
          <w:bCs/>
          <w:color w:val="002060"/>
          <w:sz w:val="16"/>
          <w:szCs w:val="16"/>
          <w:lang w:val="en-US"/>
        </w:rPr>
        <w:t xml:space="preserve">. 441, 448 </w:t>
      </w:r>
      <w:r w:rsidRPr="00DE096C">
        <w:rPr>
          <w:rFonts w:ascii="Times New Roman" w:hAnsi="Times New Roman" w:cs="Times New Roman"/>
          <w:bCs/>
          <w:color w:val="002060"/>
          <w:sz w:val="16"/>
          <w:szCs w:val="16"/>
        </w:rPr>
        <w:t>и</w:t>
      </w:r>
      <w:r w:rsidRPr="00DE096C">
        <w:rPr>
          <w:rFonts w:ascii="Times New Roman" w:hAnsi="Times New Roman" w:cs="Times New Roman"/>
          <w:bCs/>
          <w:color w:val="002060"/>
          <w:sz w:val="16"/>
          <w:szCs w:val="16"/>
          <w:lang w:val="en-US"/>
        </w:rPr>
        <w:t xml:space="preserve"> </w:t>
      </w:r>
      <w:r w:rsidRPr="00DE096C">
        <w:rPr>
          <w:rFonts w:ascii="Times New Roman" w:hAnsi="Times New Roman" w:cs="Times New Roman"/>
          <w:bCs/>
          <w:color w:val="002060"/>
          <w:sz w:val="16"/>
          <w:szCs w:val="16"/>
        </w:rPr>
        <w:t>об</w:t>
      </w:r>
      <w:r w:rsidRPr="00DE096C">
        <w:rPr>
          <w:rFonts w:ascii="Times New Roman" w:hAnsi="Times New Roman" w:cs="Times New Roman"/>
          <w:bCs/>
          <w:color w:val="002060"/>
          <w:sz w:val="16"/>
          <w:szCs w:val="16"/>
          <w:lang w:val="en-US"/>
        </w:rPr>
        <w:t xml:space="preserve">., 451 </w:t>
      </w:r>
      <w:r w:rsidRPr="00DE096C">
        <w:rPr>
          <w:rFonts w:ascii="Times New Roman" w:hAnsi="Times New Roman" w:cs="Times New Roman"/>
          <w:bCs/>
          <w:color w:val="002060"/>
          <w:sz w:val="16"/>
          <w:szCs w:val="16"/>
        </w:rPr>
        <w:t>и</w:t>
      </w:r>
      <w:r w:rsidRPr="00DE096C">
        <w:rPr>
          <w:rFonts w:ascii="Times New Roman" w:hAnsi="Times New Roman" w:cs="Times New Roman"/>
          <w:bCs/>
          <w:color w:val="002060"/>
          <w:sz w:val="16"/>
          <w:szCs w:val="16"/>
          <w:lang w:val="en-US"/>
        </w:rPr>
        <w:t xml:space="preserve"> </w:t>
      </w:r>
      <w:r w:rsidRPr="00DE096C">
        <w:rPr>
          <w:rFonts w:ascii="Times New Roman" w:hAnsi="Times New Roman" w:cs="Times New Roman"/>
          <w:bCs/>
          <w:color w:val="002060"/>
          <w:sz w:val="16"/>
          <w:szCs w:val="16"/>
        </w:rPr>
        <w:t>об</w:t>
      </w:r>
      <w:r w:rsidRPr="00DE096C">
        <w:rPr>
          <w:rFonts w:ascii="Times New Roman" w:hAnsi="Times New Roman" w:cs="Times New Roman"/>
          <w:bCs/>
          <w:color w:val="002060"/>
          <w:sz w:val="16"/>
          <w:szCs w:val="16"/>
          <w:lang w:val="en-US"/>
        </w:rPr>
        <w:t xml:space="preserve">.; </w:t>
      </w:r>
      <w:r w:rsidRPr="00DE096C">
        <w:rPr>
          <w:rFonts w:ascii="Times New Roman" w:hAnsi="Times New Roman" w:cs="Times New Roman"/>
          <w:bCs/>
          <w:color w:val="002060"/>
          <w:sz w:val="16"/>
          <w:szCs w:val="16"/>
          <w:lang w:val="en-US" w:bidi="en-US"/>
        </w:rPr>
        <w:t xml:space="preserve">Mauersberg </w:t>
      </w:r>
      <w:r w:rsidRPr="00DE096C">
        <w:rPr>
          <w:rFonts w:ascii="Times New Roman" w:hAnsi="Times New Roman" w:cs="Times New Roman"/>
          <w:bCs/>
          <w:color w:val="002060"/>
          <w:sz w:val="16"/>
          <w:szCs w:val="16"/>
        </w:rPr>
        <w:t>Н</w:t>
      </w:r>
      <w:r w:rsidRPr="00DE096C">
        <w:rPr>
          <w:rFonts w:ascii="Times New Roman" w:hAnsi="Times New Roman" w:cs="Times New Roman"/>
          <w:bCs/>
          <w:color w:val="002060"/>
          <w:sz w:val="16"/>
          <w:szCs w:val="16"/>
          <w:lang w:val="en-US"/>
        </w:rPr>
        <w:t xml:space="preserve">. </w:t>
      </w:r>
      <w:r w:rsidRPr="00DE096C">
        <w:rPr>
          <w:rFonts w:ascii="Times New Roman" w:hAnsi="Times New Roman" w:cs="Times New Roman"/>
          <w:bCs/>
          <w:color w:val="002060"/>
          <w:sz w:val="16"/>
          <w:szCs w:val="16"/>
          <w:lang w:val="en-US" w:bidi="en-US"/>
        </w:rPr>
        <w:t>Deutsche Industrien im Zeitgeschehen eines Jahrhun- derts. Stuttgart</w:t>
      </w:r>
      <w:r w:rsidRPr="00DE096C">
        <w:rPr>
          <w:rFonts w:ascii="Times New Roman" w:hAnsi="Times New Roman" w:cs="Times New Roman"/>
          <w:bCs/>
          <w:color w:val="002060"/>
          <w:sz w:val="16"/>
          <w:szCs w:val="16"/>
          <w:lang w:bidi="en-US"/>
        </w:rPr>
        <w:t xml:space="preserve">, 1966. </w:t>
      </w:r>
      <w:r w:rsidRPr="00DE096C">
        <w:rPr>
          <w:rFonts w:ascii="Times New Roman" w:hAnsi="Times New Roman" w:cs="Times New Roman"/>
          <w:bCs/>
          <w:color w:val="002060"/>
          <w:sz w:val="16"/>
          <w:szCs w:val="16"/>
          <w:lang w:val="en-US" w:bidi="en-US"/>
        </w:rPr>
        <w:t>S</w:t>
      </w:r>
      <w:r w:rsidRPr="00DE096C">
        <w:rPr>
          <w:rFonts w:ascii="Times New Roman" w:hAnsi="Times New Roman" w:cs="Times New Roman"/>
          <w:bCs/>
          <w:color w:val="002060"/>
          <w:sz w:val="16"/>
          <w:szCs w:val="16"/>
          <w:lang w:bidi="en-US"/>
        </w:rPr>
        <w:t>. 322</w:t>
      </w:r>
      <w:r w:rsidRPr="00DE096C">
        <w:rPr>
          <w:rFonts w:ascii="Times New Roman" w:hAnsi="Times New Roman" w:cs="Times New Roman"/>
          <w:bCs/>
          <w:color w:val="002060"/>
          <w:sz w:val="16"/>
          <w:szCs w:val="16"/>
        </w:rPr>
        <w:t>) (23452).</w:t>
      </w:r>
    </w:p>
    <w:p w14:paraId="51E954A4" w14:textId="77777777" w:rsidR="00537EDD" w:rsidRPr="00DE096C" w:rsidRDefault="00537EDD" w:rsidP="00D45A46">
      <w:pPr>
        <w:pStyle w:val="af7"/>
        <w:spacing w:line="240" w:lineRule="auto"/>
        <w:jc w:val="both"/>
        <w:rPr>
          <w:rFonts w:ascii="Times New Roman" w:hAnsi="Times New Roman" w:cs="Times New Roman"/>
          <w:bCs/>
          <w:color w:val="002060"/>
          <w:sz w:val="16"/>
          <w:szCs w:val="16"/>
        </w:rPr>
      </w:pPr>
    </w:p>
    <w:p w14:paraId="06D3CAB7"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06147513" w14:textId="77777777" w:rsidR="00B67D7C" w:rsidRPr="00DE096C" w:rsidRDefault="00B67D7C" w:rsidP="00D45A46">
      <w:pPr>
        <w:shd w:val="clear" w:color="auto" w:fill="FFFFFF"/>
        <w:jc w:val="both"/>
        <w:rPr>
          <w:bCs/>
          <w:i/>
          <w:color w:val="002060"/>
          <w:sz w:val="16"/>
          <w:szCs w:val="16"/>
        </w:rPr>
      </w:pPr>
    </w:p>
    <w:p w14:paraId="2BA769A8" w14:textId="7CEBF3CF" w:rsidR="00B67D7C" w:rsidRPr="00DE096C" w:rsidRDefault="00B67D7C" w:rsidP="00D45A46">
      <w:pPr>
        <w:pStyle w:val="13"/>
        <w:spacing w:before="0" w:after="0"/>
        <w:jc w:val="both"/>
        <w:rPr>
          <w:bCs/>
          <w:color w:val="002060"/>
          <w:sz w:val="16"/>
          <w:szCs w:val="16"/>
        </w:rPr>
      </w:pPr>
      <w:r w:rsidRPr="00DE096C">
        <w:rPr>
          <w:bCs/>
          <w:color w:val="002060"/>
          <w:sz w:val="16"/>
          <w:szCs w:val="16"/>
        </w:rPr>
        <w:t xml:space="preserve">31 января </w:t>
      </w:r>
      <w:r w:rsidR="00033BD8" w:rsidRPr="00DE096C">
        <w:rPr>
          <w:bCs/>
          <w:color w:val="002060"/>
          <w:sz w:val="16"/>
          <w:szCs w:val="16"/>
        </w:rPr>
        <w:t xml:space="preserve">(13 февраля) </w:t>
      </w:r>
      <w:r w:rsidRPr="00DE096C">
        <w:rPr>
          <w:bCs/>
          <w:color w:val="002060"/>
          <w:sz w:val="16"/>
          <w:szCs w:val="16"/>
        </w:rPr>
        <w:t xml:space="preserve">1914 г. был подписан контракт № 2560/144 </w:t>
      </w:r>
      <w:r w:rsidR="006C0078" w:rsidRPr="00DE096C">
        <w:rPr>
          <w:bCs/>
          <w:color w:val="002060"/>
          <w:sz w:val="16"/>
          <w:szCs w:val="16"/>
        </w:rPr>
        <w:t xml:space="preserve">с Червоненской мастерской </w:t>
      </w:r>
      <w:r w:rsidRPr="00DE096C">
        <w:rPr>
          <w:bCs/>
          <w:color w:val="002060"/>
          <w:sz w:val="16"/>
          <w:szCs w:val="16"/>
        </w:rPr>
        <w:t>на поставку к 31 июля того же года восьми аэропланов типа «Фарман XXII» с 80-сильными двигателями «Гном» (предусматривалась также возможность использования моторов «Калеп» либо «Клерже»). Цену одного самолета установили в 9 000 руб., а общая сумма контракта, включая комплекты запчастей, составила 93 034 руб. 40 коп. Был жестко определен лимит на импортные комплектующие — для каждого аэроплана таковых позволялось закупить не более, чем на 800 руб.</w:t>
      </w:r>
    </w:p>
    <w:p w14:paraId="508D0CED" w14:textId="77777777" w:rsidR="00B67D7C" w:rsidRPr="00DE096C" w:rsidRDefault="00B67D7C" w:rsidP="00D45A46">
      <w:pPr>
        <w:pStyle w:val="13"/>
        <w:spacing w:before="0" w:after="0"/>
        <w:jc w:val="both"/>
        <w:rPr>
          <w:bCs/>
          <w:color w:val="002060"/>
          <w:sz w:val="16"/>
          <w:szCs w:val="16"/>
        </w:rPr>
      </w:pPr>
      <w:r w:rsidRPr="00DE096C">
        <w:rPr>
          <w:bCs/>
          <w:color w:val="002060"/>
          <w:sz w:val="16"/>
          <w:szCs w:val="16"/>
        </w:rPr>
        <w:t xml:space="preserve">К контракту прилагались технические условия на «Фарман XXII», один из первых пунктов которых гласил: «Аппараты должны быть поставлены во всем сходно с прилагаемым при сем чертежом», а далее, естественно, оговаривались положенные допуски. В этом документе также содержались описание конструкции самолета, требования к необходимым для его изготовления материалам и ряд других важных моментов. В частности, указывалось: </w:t>
      </w:r>
      <w:r w:rsidRPr="00DE096C">
        <w:rPr>
          <w:rStyle w:val="10"/>
          <w:rFonts w:eastAsiaTheme="majorEastAsia"/>
          <w:bCs/>
          <w:color w:val="002060"/>
          <w:sz w:val="16"/>
          <w:szCs w:val="16"/>
        </w:rPr>
        <w:t>«Все операции по изготовлению и сборке производятся под наблюдением офицеров, назначенных Воздухоплавательной частью...»</w:t>
      </w:r>
      <w:r w:rsidRPr="00DE096C">
        <w:rPr>
          <w:bCs/>
          <w:color w:val="002060"/>
          <w:sz w:val="16"/>
          <w:szCs w:val="16"/>
        </w:rPr>
        <w:t xml:space="preserve"> Согласно контракту, сдавать самолеты предстояло в Червонном, а в технических условиях был определен порядок выполнения испытательных полетов. При этом оговариваюсь, что они проводятся </w:t>
      </w:r>
      <w:r w:rsidRPr="00DE096C">
        <w:rPr>
          <w:rStyle w:val="10"/>
          <w:rFonts w:eastAsiaTheme="majorEastAsia"/>
          <w:bCs/>
          <w:color w:val="002060"/>
          <w:sz w:val="16"/>
          <w:szCs w:val="16"/>
        </w:rPr>
        <w:t>«перед комиссией или приемщиками, решения которых безапелляционны, всецело за счет и риск поставщика...»</w:t>
      </w:r>
      <w:r w:rsidRPr="00DE096C">
        <w:rPr>
          <w:bCs/>
          <w:color w:val="002060"/>
          <w:sz w:val="16"/>
          <w:szCs w:val="16"/>
        </w:rPr>
        <w:t xml:space="preserve"> Сами испытания состояли из т. н. полета на грузоподъемность (требовалось с полной полетной массой набрать высоту 500 м за 12 мин) и полета на продолжительность, во время которого следовало «не касаться земли» в течение 1,5 ч. После посадки </w:t>
      </w:r>
      <w:r w:rsidRPr="00DE096C">
        <w:rPr>
          <w:rStyle w:val="10"/>
          <w:rFonts w:eastAsiaTheme="majorEastAsia"/>
          <w:bCs/>
          <w:color w:val="002060"/>
          <w:sz w:val="16"/>
          <w:szCs w:val="16"/>
        </w:rPr>
        <w:t>«должно быть констатировано осмотром, что аппарат может повторить полет без каких-либо исправлений»</w:t>
      </w:r>
      <w:r w:rsidRPr="00DE096C">
        <w:rPr>
          <w:bCs/>
          <w:color w:val="002060"/>
          <w:sz w:val="16"/>
          <w:szCs w:val="16"/>
        </w:rPr>
        <w:t>.</w:t>
      </w:r>
    </w:p>
    <w:p w14:paraId="4E35B118" w14:textId="77777777" w:rsidR="00B67D7C" w:rsidRPr="00DE096C" w:rsidRDefault="00B67D7C" w:rsidP="00D45A46">
      <w:pPr>
        <w:pStyle w:val="13"/>
        <w:spacing w:before="0" w:after="0"/>
        <w:jc w:val="both"/>
        <w:rPr>
          <w:bCs/>
          <w:color w:val="002060"/>
          <w:sz w:val="16"/>
          <w:szCs w:val="16"/>
        </w:rPr>
      </w:pPr>
      <w:r w:rsidRPr="00DE096C">
        <w:rPr>
          <w:bCs/>
          <w:color w:val="002060"/>
          <w:sz w:val="16"/>
          <w:szCs w:val="16"/>
        </w:rPr>
        <w:t xml:space="preserve">На оригинале контракта, хранящемся в Российском государственном военно-историческом архиве, стоит пометка: «Принято 8 — все». Таким образом, первый контракт Червоннских мастерских был выполнен, хотя установленные сроки выдержать не удалось, и сдача самолетов затянулась до весны 1915 г. Интересно, что в январе того года братья Фарман уполномочили своего земляка Пишофа войти с Терещенко </w:t>
      </w:r>
      <w:r w:rsidRPr="00DE096C">
        <w:rPr>
          <w:rStyle w:val="10"/>
          <w:rFonts w:eastAsiaTheme="majorEastAsia"/>
          <w:bCs/>
          <w:color w:val="002060"/>
          <w:sz w:val="16"/>
          <w:szCs w:val="16"/>
        </w:rPr>
        <w:t>«в соглашение относительно оплаты лиценса»</w:t>
      </w:r>
      <w:r w:rsidRPr="00DE096C">
        <w:rPr>
          <w:bCs/>
          <w:color w:val="002060"/>
          <w:sz w:val="16"/>
          <w:szCs w:val="16"/>
        </w:rPr>
        <w:t xml:space="preserve"> на построенные самолеты их разработки. Не прошло и месяца, как такая оплата была выполнена. Следует также отметить, что, кроме указанных выше восьми «Фарманов XXII», военные получили от Терещенко еще 2 аэроплана этого же типа. Достоверно известно, что один из них был французской постройки. Вероятно, эти самолеты лишь собрали или отремонтировали в Червонном.</w:t>
      </w:r>
    </w:p>
    <w:p w14:paraId="7CD7CD1E" w14:textId="77777777" w:rsidR="00B67D7C" w:rsidRPr="00DE096C" w:rsidRDefault="00B67D7C" w:rsidP="00D45A46">
      <w:pPr>
        <w:pStyle w:val="13"/>
        <w:spacing w:before="0" w:after="0"/>
        <w:jc w:val="both"/>
        <w:rPr>
          <w:bCs/>
          <w:color w:val="002060"/>
          <w:sz w:val="16"/>
          <w:szCs w:val="16"/>
        </w:rPr>
      </w:pPr>
      <w:r w:rsidRPr="00DE096C">
        <w:rPr>
          <w:bCs/>
          <w:color w:val="002060"/>
          <w:sz w:val="16"/>
          <w:szCs w:val="16"/>
        </w:rPr>
        <w:t>1914 г. мастерские Терещенко стали именоваться Червоннским аэропланным заводом. Его директором значился Пишоф, непосредственным начальником которого был Вашкевич. Терещенко в рутинную работу предприятия практически не вмешивался, занимаясь проблемами, определявшими пути стратегического развития. Хотя основная ставка была сделана на серийное производство французских машин, попытки добиться успеха с собственными разработками не прекращались. В начале 1914 г. был построен самолет «Терещенко №6», являвшийся дальнейшим развитием «Терещенко №5». На нем впервые в России применили мотор «Рон» мощностью 60 л.с, который был гораздо надежнее более распространенного «Гнома». Согласно отчету о летных испытаниях, опубликованному в журнале «Автомобильная жизнь и авиация», аппарат показал неплохие летные характеристики: скорость — 120 км/ч, время подъема на 500 м. — 3,5 мин. В том же году построили два самолета «Терещенко №5бис», один из которых оснастили 60-сильным «Роном», а другой — «Гномом» мощностью 80 л.с. Очевидно, на одном из этих аэропланов отрабатывали установку рядного двигателя жидкостного охлаждения, скорее всего, 50-сильного «Мерседеса» (известно, что он в Червонном был). Однако от эксплуатации аппарата с таким мотором отказались.</w:t>
      </w:r>
    </w:p>
    <w:p w14:paraId="7DE4EB36" w14:textId="77777777" w:rsidR="00B67D7C" w:rsidRPr="00DE096C" w:rsidRDefault="00B67D7C" w:rsidP="00D45A46">
      <w:pPr>
        <w:pStyle w:val="13"/>
        <w:spacing w:before="0" w:after="0"/>
        <w:jc w:val="both"/>
        <w:rPr>
          <w:bCs/>
          <w:color w:val="002060"/>
          <w:sz w:val="16"/>
          <w:szCs w:val="16"/>
        </w:rPr>
      </w:pPr>
      <w:r w:rsidRPr="00DE096C">
        <w:rPr>
          <w:bCs/>
          <w:color w:val="002060"/>
          <w:sz w:val="16"/>
          <w:szCs w:val="16"/>
        </w:rPr>
        <w:t xml:space="preserve">6-10 июня 1914 г. Пишоф выполнил на самолете «Терещенко №5бис» с мотором «Рон» перелет по маршруту: Червонное-Городище-Кагарлык-Киев-Червонное, преодолев в общей сложности 492 версты за 4 ч 29 мин полетного времени, причем не пользуясь услугами механика. Сохранилось подробное описание этого вояжа, сделанное самим авиатором. Из него следует, что с наибольшими сложностями он столкнулся 8 июня при перелете из Кагарлыка в Киев, который проходил при сильном ветре, дожде и низкой облачности. Вскоре после старта Пишоф потерял ориентировку и вынужден был вернуться на место взлета, чтобы </w:t>
      </w:r>
      <w:r w:rsidRPr="00DE096C">
        <w:rPr>
          <w:rStyle w:val="10"/>
          <w:rFonts w:eastAsiaTheme="majorEastAsia"/>
          <w:bCs/>
          <w:color w:val="002060"/>
          <w:sz w:val="16"/>
          <w:szCs w:val="16"/>
        </w:rPr>
        <w:t>«путем расспроса окружающих»</w:t>
      </w:r>
      <w:r w:rsidRPr="00DE096C">
        <w:rPr>
          <w:bCs/>
          <w:color w:val="002060"/>
          <w:sz w:val="16"/>
          <w:szCs w:val="16"/>
        </w:rPr>
        <w:t xml:space="preserve"> определить правильное направление полета. Большую часть пути пришлось идти в облаках, </w:t>
      </w:r>
      <w:r w:rsidRPr="00DE096C">
        <w:rPr>
          <w:rStyle w:val="10"/>
          <w:rFonts w:eastAsiaTheme="majorEastAsia"/>
          <w:bCs/>
          <w:color w:val="002060"/>
          <w:sz w:val="16"/>
          <w:szCs w:val="16"/>
        </w:rPr>
        <w:t>«несмотря на то, что находился на высоте не больше 200 м»</w:t>
      </w:r>
      <w:r w:rsidRPr="00DE096C">
        <w:rPr>
          <w:bCs/>
          <w:color w:val="002060"/>
          <w:sz w:val="16"/>
          <w:szCs w:val="16"/>
        </w:rPr>
        <w:t xml:space="preserve">. Самолет сильно болтало. Тем не менее, через 41 минуту полета Пишоф благополучно «спустился на Киевском военном аэродроме». Подводя итоги перелета, он констатировал: </w:t>
      </w:r>
      <w:r w:rsidRPr="00DE096C">
        <w:rPr>
          <w:rStyle w:val="10"/>
          <w:rFonts w:eastAsiaTheme="majorEastAsia"/>
          <w:bCs/>
          <w:color w:val="002060"/>
          <w:sz w:val="16"/>
          <w:szCs w:val="16"/>
        </w:rPr>
        <w:t>«В течение всего путешествия аппарат и мотор были в полной исправности, несмотря на то, что спускаться приходилось на незнакомую и крайне неудобную местность и аппарат вынужден был находиться целую ночь на открытом воздухе под дождем. Этим было положено начало распространения частного туризма в России на русском аэроплане»</w:t>
      </w:r>
      <w:r w:rsidRPr="00DE096C">
        <w:rPr>
          <w:bCs/>
          <w:color w:val="002060"/>
          <w:sz w:val="16"/>
          <w:szCs w:val="16"/>
        </w:rPr>
        <w:t>.</w:t>
      </w:r>
    </w:p>
    <w:p w14:paraId="5220656F" w14:textId="77777777" w:rsidR="00B67D7C" w:rsidRPr="00DE096C" w:rsidRDefault="00B67D7C" w:rsidP="00D45A46">
      <w:pPr>
        <w:pStyle w:val="13"/>
        <w:spacing w:before="0" w:after="0"/>
        <w:jc w:val="both"/>
        <w:rPr>
          <w:bCs/>
          <w:color w:val="002060"/>
          <w:sz w:val="16"/>
          <w:szCs w:val="16"/>
        </w:rPr>
      </w:pPr>
      <w:r w:rsidRPr="00DE096C">
        <w:rPr>
          <w:bCs/>
          <w:color w:val="002060"/>
          <w:sz w:val="16"/>
          <w:szCs w:val="16"/>
        </w:rPr>
        <w:t>Но самолетам Терещенко не суждено было служить для воздушных прогулок — началась война, и оба аппарата приобрели военные. Согласно хранящимся в ЦГИАКУ документам, «Терещенко № 5бис» с мотором «Рон» был сдан в сентябре 1914г., а его собрат с двигателем «Гном» — в январе 1915 г. Известно, что второй самолет проходил фронтовые испытания. В своих отчетах военные летчики отмечали его сносную управляемость, однако крыло мешало обзору нижней полусферы, что усложняло его использование в качестве разведчика.</w:t>
      </w:r>
    </w:p>
    <w:p w14:paraId="3FE0460A" w14:textId="77777777" w:rsidR="00B67D7C" w:rsidRPr="00DE096C" w:rsidRDefault="00B67D7C" w:rsidP="00D45A46">
      <w:pPr>
        <w:pStyle w:val="13"/>
        <w:spacing w:before="0" w:after="0"/>
        <w:jc w:val="both"/>
        <w:rPr>
          <w:bCs/>
          <w:color w:val="002060"/>
          <w:sz w:val="16"/>
          <w:szCs w:val="16"/>
        </w:rPr>
      </w:pPr>
      <w:r w:rsidRPr="00DE096C">
        <w:rPr>
          <w:bCs/>
          <w:color w:val="002060"/>
          <w:sz w:val="16"/>
          <w:szCs w:val="16"/>
        </w:rPr>
        <w:t>вот у французского двухместного аэроплана «Моран-парасоль» такого недостатка не было. Контракт за № 1792/1179 на производство двух таких самолетов «улучшенного образца» был подписан с военным ведомством еще 3 апреля 1914 г. Стоимость одного самолета составляла 8800 руб., а общая сумма сделки, включая цену двух повозок для транспортировки самолетов, превысила 21 000 руб. Аэропланы следовало изготовить за 5 месяцев, но сделать этого так и не удалось. Началось с того, что в конце июля заказанные во Франции комплектующие при перевозке через Германию задержали местные власти. Вызволить их не смогли, как и приобрести новые. Далее в дело вмешалась фирма «Моран-Солнье». Ее представитель, угрожая судом, заявил протест против внесения любых «улучшений» в фирменную конструкцию. А ведь это предусматривал один из пунктов контракта. В конце концов, в апреле 1915 г. Терещенко пришлось обратиться в военное ведомство с просьбой расторгнуть этот контракт. Причем он указывал, что по принятым обязательствам на 1914 г. Червоннский завод должен был изготовить 10 самолетов: 8 «Фарманов» и 2 «Морана», а реально сдал даже больше: 10 «Фарманов» и 2 «одноместных моноплана Терещенко».</w:t>
      </w:r>
    </w:p>
    <w:p w14:paraId="19EBCAFF" w14:textId="77777777" w:rsidR="00B67D7C" w:rsidRPr="00DE096C" w:rsidRDefault="00B67D7C" w:rsidP="00D45A46">
      <w:pPr>
        <w:pStyle w:val="13"/>
        <w:spacing w:before="0" w:after="0"/>
        <w:jc w:val="both"/>
        <w:rPr>
          <w:bCs/>
          <w:color w:val="002060"/>
          <w:sz w:val="16"/>
          <w:szCs w:val="16"/>
        </w:rPr>
      </w:pPr>
      <w:r w:rsidRPr="00DE096C">
        <w:rPr>
          <w:bCs/>
          <w:color w:val="002060"/>
          <w:sz w:val="16"/>
          <w:szCs w:val="16"/>
        </w:rPr>
        <w:t>Серийные заказы способствовали дальнейшему расширению предприятия, количество работающих на котором в 1914 г. достигло 120 человек, а в сентябре 1915 г. в списках на получение зарплаты одних только мастеровых значилось 186 человек. Постоянно улучшалась оснащенность завода, в частности, были приобретены штамповочный пресс, несколько различных станков, 2 сварочных аппарата. Годовая производительность оценивалась в 50 аэропланов. Что касается выпуска самолетов в дальнейшем, то, к сожалению, исследованные источники не позволяют раскрыть этот вопрос полностью. Например, известно, что Червоннский завод перешел к постройке учебных аппаратов «Фарман XVI», причем в конструкцию их вносились определенные изменения, а это затрудняло эксплуатацию — к ним не подходили некоторые запчасти, выпущенные другими предприятиями.</w:t>
      </w:r>
    </w:p>
    <w:p w14:paraId="05D7588E" w14:textId="77777777" w:rsidR="00B67D7C" w:rsidRPr="00DE096C" w:rsidRDefault="00B67D7C" w:rsidP="00D45A46">
      <w:pPr>
        <w:pStyle w:val="13"/>
        <w:spacing w:before="0" w:after="0"/>
        <w:jc w:val="both"/>
        <w:rPr>
          <w:bCs/>
          <w:color w:val="002060"/>
          <w:sz w:val="16"/>
          <w:szCs w:val="16"/>
        </w:rPr>
      </w:pPr>
      <w:r w:rsidRPr="00DE096C">
        <w:rPr>
          <w:bCs/>
          <w:color w:val="002060"/>
          <w:sz w:val="16"/>
          <w:szCs w:val="16"/>
        </w:rPr>
        <w:t>Червонном продолжали вести проектные работы. Благодаря усилиям Григорьева, был сконструирован биплан «Терещенко №7» с расположенными рядом в одной кабине двумя сиденьями, оснащенный мотором «Гном Моносупап» мощностью 100 л.с. Достроить самолет в Червонном не успели, т.к. осенью 1915 г., в связи с приближением линии фронта, завод пришлось эвакуировать.</w:t>
      </w:r>
    </w:p>
    <w:p w14:paraId="316CF0BD" w14:textId="77777777" w:rsidR="00B67D7C" w:rsidRPr="00DE096C" w:rsidRDefault="00B67D7C" w:rsidP="00D45A46">
      <w:pPr>
        <w:pStyle w:val="13"/>
        <w:spacing w:before="0" w:after="0"/>
        <w:jc w:val="both"/>
        <w:rPr>
          <w:bCs/>
          <w:color w:val="002060"/>
          <w:sz w:val="16"/>
          <w:szCs w:val="16"/>
        </w:rPr>
      </w:pPr>
      <w:r w:rsidRPr="00DE096C">
        <w:rPr>
          <w:bCs/>
          <w:color w:val="002060"/>
          <w:sz w:val="16"/>
          <w:szCs w:val="16"/>
        </w:rPr>
        <w:t xml:space="preserve">Терещенко в это время выехал во Францию в составе комиссии </w:t>
      </w:r>
      <w:r w:rsidRPr="00DE096C">
        <w:rPr>
          <w:rStyle w:val="10"/>
          <w:rFonts w:eastAsiaTheme="majorEastAsia"/>
          <w:bCs/>
          <w:color w:val="002060"/>
          <w:sz w:val="16"/>
          <w:szCs w:val="16"/>
        </w:rPr>
        <w:t>«по заготовке авиационного и автомобильного имущества»</w:t>
      </w:r>
      <w:r w:rsidRPr="00DE096C">
        <w:rPr>
          <w:bCs/>
          <w:color w:val="002060"/>
          <w:sz w:val="16"/>
          <w:szCs w:val="16"/>
        </w:rPr>
        <w:t xml:space="preserve">. Пишоф перебрался в Одессу на </w:t>
      </w:r>
      <w:hyperlink r:id="rId7" w:history="1">
        <w:r w:rsidRPr="00DE096C">
          <w:rPr>
            <w:rStyle w:val="11"/>
            <w:rFonts w:eastAsiaTheme="majorEastAsia"/>
            <w:bCs/>
            <w:color w:val="002060"/>
            <w:sz w:val="16"/>
            <w:szCs w:val="16"/>
          </w:rPr>
          <w:t>завод Анатры</w:t>
        </w:r>
      </w:hyperlink>
      <w:r w:rsidRPr="00DE096C">
        <w:rPr>
          <w:bCs/>
          <w:color w:val="002060"/>
          <w:sz w:val="16"/>
          <w:szCs w:val="16"/>
        </w:rPr>
        <w:t>. Иордан пошел на военную службу и был назначен начальником авиационной базы 8-й армии. Поэтому основные заботы, связанные с эвакуацией, легли на плечи Вашкевича и других служащих главной конторы Терещенко. Была предпринята попытка перебазировать завод в Киев и при этом значительно расширить его, т.к. военные уведомили, что на дальнейшие заказы можно рассчитывать, лишь обеспечив выпуск около 150 самолетов в год. Разработали предварительный план, предусматривавший приобретение земельного участка площадью не менее 1500 кв. саженей, постройку новых производственных зданий и увеличение персонала до 368 человек. Сумма расходов на организационный период определили в 23100 руб. Но по неясным причинам этот план не реализовали. Зато в Киеве, в мастерских КПИ, удалось достроить аэроплан «Терещенко №7».</w:t>
      </w:r>
    </w:p>
    <w:p w14:paraId="3B5C627E" w14:textId="77777777" w:rsidR="00B67D7C" w:rsidRPr="00DE096C" w:rsidRDefault="00B67D7C" w:rsidP="00D45A46">
      <w:pPr>
        <w:pStyle w:val="13"/>
        <w:spacing w:before="0" w:after="0"/>
        <w:jc w:val="both"/>
        <w:rPr>
          <w:bCs/>
          <w:color w:val="002060"/>
          <w:sz w:val="16"/>
          <w:szCs w:val="16"/>
        </w:rPr>
      </w:pPr>
      <w:r w:rsidRPr="00DE096C">
        <w:rPr>
          <w:bCs/>
          <w:color w:val="002060"/>
          <w:sz w:val="16"/>
          <w:szCs w:val="16"/>
        </w:rPr>
        <w:t xml:space="preserve">Практически все имущество завода вывезли в Москву и разместили на Ходынском поле. Начались переговоры о его продаже с акционерным обществом «Дукс». 3 октября 1915 г. «Дукс» направил в главную контору Терещенко письмо, в котором предлагал выплатить за все это добро, включая 15 аппаратов «Фарман XVI» (очевидно, в различной степени готовности), 111000 руб. Однако Терещенко решил распорядиться самолетами сам. В декабре 1915 г., находясь в Париже, он выдал доверенность на ведение всех дел по продаже военному ведомству этих аэропланов своему представителю А.И. Гуляницкому. И тому удалось провести такую сделку. Причем ряд должностных лиц, рассчитывавших на получение мзды, оказался обделенным. Свидетельство тому находим в письме Григорьева к Вашкевичу, </w:t>
      </w:r>
      <w:r w:rsidRPr="00DE096C">
        <w:rPr>
          <w:bCs/>
          <w:color w:val="002060"/>
          <w:sz w:val="16"/>
          <w:szCs w:val="16"/>
        </w:rPr>
        <w:lastRenderedPageBreak/>
        <w:t>написанному в Москве 28 сентября 1916 г. «По всему видно, что здешняя публика весьма восстановлена против имени Терещенко и всего, что от него исходит, видимо, за то, что труды и возможное их содействие по делу сдачи 15 «Фарманов» прошли для них без ожидаемых результатов».</w:t>
      </w:r>
    </w:p>
    <w:p w14:paraId="623B61D3" w14:textId="77777777" w:rsidR="00B67D7C" w:rsidRPr="00DE096C" w:rsidRDefault="00B67D7C" w:rsidP="00D45A46">
      <w:pPr>
        <w:pStyle w:val="13"/>
        <w:spacing w:before="0" w:after="0"/>
        <w:jc w:val="both"/>
        <w:rPr>
          <w:bCs/>
          <w:color w:val="002060"/>
          <w:sz w:val="16"/>
          <w:szCs w:val="16"/>
        </w:rPr>
      </w:pPr>
      <w:r w:rsidRPr="00DE096C">
        <w:rPr>
          <w:bCs/>
          <w:color w:val="002060"/>
          <w:sz w:val="16"/>
          <w:szCs w:val="16"/>
        </w:rPr>
        <w:t xml:space="preserve">В это время основные хлопоты Григорьева в Москве были связаны с предстоящими испытаниями аэроплана «Терещенко № 7». В том же письме он пишет, что это дело </w:t>
      </w:r>
      <w:r w:rsidRPr="00DE096C">
        <w:rPr>
          <w:rStyle w:val="10"/>
          <w:rFonts w:eastAsiaTheme="majorEastAsia"/>
          <w:bCs/>
          <w:color w:val="002060"/>
          <w:sz w:val="16"/>
          <w:szCs w:val="16"/>
        </w:rPr>
        <w:t>«будет стоить больших денег, и не потому, что аппарат негодный хотим сделать годным..., а потому, что нужно победить нашу русскую... инертность ко всему новому, возникшую уже, вероятно, у некоторых недоброжелателей на почве возможной конкуренции...»</w:t>
      </w:r>
      <w:r w:rsidRPr="00DE096C">
        <w:rPr>
          <w:bCs/>
          <w:color w:val="002060"/>
          <w:sz w:val="16"/>
          <w:szCs w:val="16"/>
        </w:rPr>
        <w:t xml:space="preserve">Надо сказать, что военные к этому самолету относились благосклонно, и в 1917 г. он успешно прошел испытания. Однако запустить его в серийное производство на каком-либо заводе не удалось. </w:t>
      </w:r>
    </w:p>
    <w:p w14:paraId="1B24C4A1" w14:textId="77777777" w:rsidR="00B67D7C" w:rsidRPr="00DE096C" w:rsidRDefault="00B67D7C" w:rsidP="00D45A46">
      <w:pPr>
        <w:pStyle w:val="13"/>
        <w:spacing w:before="0" w:after="0"/>
        <w:jc w:val="both"/>
        <w:rPr>
          <w:bCs/>
          <w:color w:val="002060"/>
          <w:sz w:val="16"/>
          <w:szCs w:val="16"/>
        </w:rPr>
      </w:pPr>
      <w:r w:rsidRPr="00DE096C">
        <w:rPr>
          <w:bCs/>
          <w:color w:val="002060"/>
          <w:sz w:val="16"/>
          <w:szCs w:val="16"/>
        </w:rPr>
        <w:t xml:space="preserve">Еще одним наследием Червоннского завода стал поезд-мастерская. Он был сформирован с использованием части оборудования предприятия и полностью за счет Терещенко, из средств которого даже выплачивалось денежное содержание руководящему составу. Например, за 1916 г. начальник поезда коллежский асессор С.Т.Самсонов получил 3600 руб., а заведующий мастерской подпоручик А.С.Ларионов — 3000 руб. Осенью 1915 г. мастерская прибыла в Москву. Для ее развертывания были необходимы помещения, которые подыскали далеко не сразу, и работу начали прямо под открытым небом, невзирая на холод, дождь, а потом и снег. Личный состав освоил ремонт самолетов и моторов самых разных типов, возвратив в строй в течение года 250 аэропланов и 70 двигателей. Эту работу высоко оценил начальник Управления военного воздушного флота (УВВФ) генерал-майор Пневский, выразивший «исключительную благодарность» руководящему звену поезда, а также объявивший свое спасибо «молодцам рабочим и нижним чинам». Как следует из приказа по УВВФ № 152 от 19 декабря 1916г., </w:t>
      </w:r>
      <w:r w:rsidRPr="00DE096C">
        <w:rPr>
          <w:rStyle w:val="10"/>
          <w:rFonts w:eastAsiaTheme="majorEastAsia"/>
          <w:bCs/>
          <w:color w:val="002060"/>
          <w:sz w:val="16"/>
          <w:szCs w:val="16"/>
        </w:rPr>
        <w:t>«Согласно указания Августейшего Полевого Генерал-инспектора Военного Воздушного Флота, поезд мастерская Его Императорского Величества Великого Князя Александра Михайловича Червоннского авиационного завода Федора Федоровича Терещенко oтправляется в состав действующей армии»</w:t>
      </w:r>
      <w:r w:rsidRPr="00DE096C">
        <w:rPr>
          <w:bCs/>
          <w:color w:val="002060"/>
          <w:sz w:val="16"/>
          <w:szCs w:val="16"/>
        </w:rPr>
        <w:t>. Через 2 недели Терещенко лично возглавил поезд. Действия передвижной мастерской во фронтовых условиях тоже оказались успешными. За руководство ею и другие заслуги в годы войны Федор Федорович был награжден орденами Св. Владимира 4-й степени и Св. Анны 2-й степени.</w:t>
      </w:r>
    </w:p>
    <w:p w14:paraId="6C981A52" w14:textId="77777777" w:rsidR="00B67D7C" w:rsidRPr="00DE096C" w:rsidRDefault="00B67D7C" w:rsidP="00D45A46">
      <w:pPr>
        <w:pStyle w:val="13"/>
        <w:spacing w:before="0" w:after="0"/>
        <w:jc w:val="both"/>
        <w:rPr>
          <w:bCs/>
          <w:color w:val="002060"/>
          <w:sz w:val="16"/>
          <w:szCs w:val="16"/>
        </w:rPr>
      </w:pPr>
      <w:r w:rsidRPr="00DE096C">
        <w:rPr>
          <w:bCs/>
          <w:color w:val="002060"/>
          <w:sz w:val="16"/>
          <w:szCs w:val="16"/>
        </w:rPr>
        <w:t>ам Червоннский завод все-таки был продан «Дуксу». В конце 1915 г. — начале 1916 г. этой фирме передали различное оборудование, включая 15 станков, авиационные материалы, готовые изделия и т.п. на сумму 86039 руб. Остатки имущества ликвидированного предприятия П.Т.Замлилый еще длительное время распродавал в розницу. В частности, 22 мая 1916 г. он предложил приобрести моторы «Мерседес» в 50 л.с. и «Австро-Даймлер» в 40 л.с, а также различные запчасти к двигателям «Гном». Обращение осталось без ответа. Последнее упоминание о предприятии Tepeщенко датировано 18 января 1917 г., когда приобрело «наличной покупкой» (то есть без заключения контракта) из остатков имущества Червоннского завода один комплект запчастей к «Фарману XVI».</w:t>
      </w:r>
    </w:p>
    <w:p w14:paraId="2236A0B8" w14:textId="77777777" w:rsidR="00B67D7C" w:rsidRPr="00DE096C" w:rsidRDefault="00B67D7C" w:rsidP="00D45A46">
      <w:pPr>
        <w:pStyle w:val="13"/>
        <w:spacing w:before="0" w:after="0"/>
        <w:jc w:val="both"/>
        <w:rPr>
          <w:bCs/>
          <w:color w:val="002060"/>
          <w:sz w:val="16"/>
          <w:szCs w:val="16"/>
        </w:rPr>
      </w:pPr>
      <w:r w:rsidRPr="00DE096C">
        <w:rPr>
          <w:bCs/>
          <w:color w:val="002060"/>
          <w:sz w:val="16"/>
          <w:szCs w:val="16"/>
        </w:rPr>
        <w:t>После прихода в Украину советской власти имение Червонное было национализировано. О восстановлении там авиационного завода никто не помышлял, хотя все производственные помещения сохранялись довольно долго и были разобраны после Второй мировой войны. О судьбе самого Терещенко долгие годы на родине ничего не знали даже исследователи, занимавшиеся историей этой семьи. Лишь несколько лет назад, благодаря ycилиям киевского историка В.В.Ковалинского стало известно, что Федор Федорович эмигрировал во Францию и жил в Париже до своей кончины 30 января 1950 г. (12252)</w:t>
      </w:r>
    </w:p>
    <w:p w14:paraId="24C08019" w14:textId="77777777" w:rsidR="00B67D7C" w:rsidRPr="00DE096C" w:rsidRDefault="00B67D7C" w:rsidP="00D45A46">
      <w:pPr>
        <w:jc w:val="both"/>
        <w:rPr>
          <w:bCs/>
          <w:i/>
          <w:color w:val="002060"/>
          <w:sz w:val="16"/>
          <w:szCs w:val="16"/>
        </w:rPr>
      </w:pPr>
    </w:p>
    <w:p w14:paraId="56AF9205" w14:textId="77777777" w:rsidR="00033BD8" w:rsidRPr="00DE096C" w:rsidRDefault="00033BD8" w:rsidP="00D45A46">
      <w:pPr>
        <w:shd w:val="clear" w:color="auto" w:fill="FFFFFF"/>
        <w:jc w:val="both"/>
        <w:rPr>
          <w:bCs/>
          <w:color w:val="002060"/>
          <w:sz w:val="16"/>
          <w:szCs w:val="16"/>
        </w:rPr>
      </w:pPr>
      <w:r w:rsidRPr="00DE096C">
        <w:rPr>
          <w:bCs/>
          <w:color w:val="002060"/>
          <w:sz w:val="16"/>
          <w:szCs w:val="16"/>
        </w:rPr>
        <w:t>31 января (13 февраля) 1914 г. был подписан контракт № 2560/144 на поставку к 31 июля того же года восьми аэропланов , типа «Фарман XXII» с 80-сильными двигате лями «Гном» (предусматривалась также возможность использования моторов «Ка-леп» либо «Клерже»). Цену одного самолета установили в 9 000 руб., а общая сумма кон</w:t>
      </w:r>
      <w:r w:rsidRPr="00DE096C">
        <w:rPr>
          <w:bCs/>
          <w:color w:val="002060"/>
          <w:sz w:val="16"/>
          <w:szCs w:val="16"/>
        </w:rPr>
        <w:softHyphen/>
        <w:t>тракта, включая комплекты запчастей, со</w:t>
      </w:r>
      <w:r w:rsidRPr="00DE096C">
        <w:rPr>
          <w:bCs/>
          <w:color w:val="002060"/>
          <w:sz w:val="16"/>
          <w:szCs w:val="16"/>
        </w:rPr>
        <w:softHyphen/>
        <w:t>ставила 93 034 руб. 40 коп. Был жестко оп</w:t>
      </w:r>
      <w:r w:rsidRPr="00DE096C">
        <w:rPr>
          <w:bCs/>
          <w:color w:val="002060"/>
          <w:sz w:val="16"/>
          <w:szCs w:val="16"/>
        </w:rPr>
        <w:softHyphen/>
        <w:t>ределен лимит на импортные комплектую</w:t>
      </w:r>
      <w:r w:rsidRPr="00DE096C">
        <w:rPr>
          <w:bCs/>
          <w:color w:val="002060"/>
          <w:sz w:val="16"/>
          <w:szCs w:val="16"/>
        </w:rPr>
        <w:softHyphen/>
        <w:t>щие — для каждого аэроплана таковых поз</w:t>
      </w:r>
      <w:r w:rsidRPr="00DE096C">
        <w:rPr>
          <w:bCs/>
          <w:color w:val="002060"/>
          <w:sz w:val="16"/>
          <w:szCs w:val="16"/>
        </w:rPr>
        <w:softHyphen/>
        <w:t xml:space="preserve">волялось закупить не более, чем на 800 руб. К контракту прилагались технические условия на «Фарман XXII», один из первых пунктов которых гласил: </w:t>
      </w:r>
      <w:r w:rsidRPr="00DE096C">
        <w:rPr>
          <w:bCs/>
          <w:i/>
          <w:color w:val="002060"/>
          <w:sz w:val="16"/>
          <w:szCs w:val="16"/>
        </w:rPr>
        <w:t>«Аппараты должны быть поставлены во всем сходно с прилага</w:t>
      </w:r>
      <w:r w:rsidRPr="00DE096C">
        <w:rPr>
          <w:bCs/>
          <w:i/>
          <w:color w:val="002060"/>
          <w:sz w:val="16"/>
          <w:szCs w:val="16"/>
        </w:rPr>
        <w:softHyphen/>
        <w:t xml:space="preserve">емым при сем чертежом», </w:t>
      </w:r>
      <w:r w:rsidRPr="00DE096C">
        <w:rPr>
          <w:bCs/>
          <w:color w:val="002060"/>
          <w:sz w:val="16"/>
          <w:szCs w:val="16"/>
        </w:rPr>
        <w:t>а далее, естест</w:t>
      </w:r>
      <w:r w:rsidRPr="00DE096C">
        <w:rPr>
          <w:bCs/>
          <w:color w:val="002060"/>
          <w:sz w:val="16"/>
          <w:szCs w:val="16"/>
        </w:rPr>
        <w:softHyphen/>
        <w:t>венно, оговаривались положенные допуски. В этом документе также содержались опи</w:t>
      </w:r>
      <w:r w:rsidRPr="00DE096C">
        <w:rPr>
          <w:bCs/>
          <w:color w:val="002060"/>
          <w:sz w:val="16"/>
          <w:szCs w:val="16"/>
        </w:rPr>
        <w:softHyphen/>
        <w:t>сание конструкции самолета, требования к необходимым для его изготовления мате</w:t>
      </w:r>
      <w:r w:rsidRPr="00DE096C">
        <w:rPr>
          <w:bCs/>
          <w:color w:val="002060"/>
          <w:sz w:val="16"/>
          <w:szCs w:val="16"/>
        </w:rPr>
        <w:softHyphen/>
        <w:t xml:space="preserve">риалам и ряд других важных моментов. В частности, указывалось: </w:t>
      </w:r>
      <w:r w:rsidRPr="00DE096C">
        <w:rPr>
          <w:bCs/>
          <w:i/>
          <w:color w:val="002060"/>
          <w:sz w:val="16"/>
          <w:szCs w:val="16"/>
        </w:rPr>
        <w:t>«Все операции по изготовлению и сборке производятся под наблюдением офицеров, назначенных Воз</w:t>
      </w:r>
      <w:r w:rsidRPr="00DE096C">
        <w:rPr>
          <w:bCs/>
          <w:i/>
          <w:color w:val="002060"/>
          <w:sz w:val="16"/>
          <w:szCs w:val="16"/>
        </w:rPr>
        <w:softHyphen/>
        <w:t xml:space="preserve">духоплавательной частью...» </w:t>
      </w:r>
      <w:r w:rsidRPr="00DE096C">
        <w:rPr>
          <w:bCs/>
          <w:color w:val="002060"/>
          <w:sz w:val="16"/>
          <w:szCs w:val="16"/>
        </w:rPr>
        <w:t>Согласно кон</w:t>
      </w:r>
      <w:r w:rsidRPr="00DE096C">
        <w:rPr>
          <w:bCs/>
          <w:color w:val="002060"/>
          <w:sz w:val="16"/>
          <w:szCs w:val="16"/>
        </w:rPr>
        <w:softHyphen/>
        <w:t>тракту, сдавать самолеты предстояло в Червонном, а в технических условиях был определен порядок выполнения испыта</w:t>
      </w:r>
      <w:r w:rsidRPr="00DE096C">
        <w:rPr>
          <w:bCs/>
          <w:color w:val="002060"/>
          <w:sz w:val="16"/>
          <w:szCs w:val="16"/>
        </w:rPr>
        <w:softHyphen/>
        <w:t xml:space="preserve">тельных полетов. При этом оговаривалось, что они проводятся </w:t>
      </w:r>
      <w:r w:rsidRPr="00DE096C">
        <w:rPr>
          <w:bCs/>
          <w:i/>
          <w:color w:val="002060"/>
          <w:sz w:val="16"/>
          <w:szCs w:val="16"/>
        </w:rPr>
        <w:t>«перед комиссией или приемщиками, решения которых безапел</w:t>
      </w:r>
      <w:r w:rsidRPr="00DE096C">
        <w:rPr>
          <w:bCs/>
          <w:i/>
          <w:color w:val="002060"/>
          <w:sz w:val="16"/>
          <w:szCs w:val="16"/>
        </w:rPr>
        <w:softHyphen/>
        <w:t>ляционны, всецело за счет и риск постав</w:t>
      </w:r>
      <w:r w:rsidRPr="00DE096C">
        <w:rPr>
          <w:bCs/>
          <w:i/>
          <w:color w:val="002060"/>
          <w:sz w:val="16"/>
          <w:szCs w:val="16"/>
        </w:rPr>
        <w:softHyphen/>
        <w:t xml:space="preserve">щика...» </w:t>
      </w:r>
      <w:r w:rsidRPr="00DE096C">
        <w:rPr>
          <w:bCs/>
          <w:color w:val="002060"/>
          <w:sz w:val="16"/>
          <w:szCs w:val="16"/>
        </w:rPr>
        <w:t>Сами испытания состояли из т. н. полета на грузоподъемность (требовалось с полной полетной массой набрать высоту 500 м за 12 мин) и полета на продолжитель</w:t>
      </w:r>
      <w:r w:rsidRPr="00DE096C">
        <w:rPr>
          <w:bCs/>
          <w:color w:val="002060"/>
          <w:sz w:val="16"/>
          <w:szCs w:val="16"/>
        </w:rPr>
        <w:softHyphen/>
        <w:t xml:space="preserve">ность, во время которого следовало </w:t>
      </w:r>
      <w:r w:rsidRPr="00DE096C">
        <w:rPr>
          <w:bCs/>
          <w:i/>
          <w:color w:val="002060"/>
          <w:sz w:val="16"/>
          <w:szCs w:val="16"/>
        </w:rPr>
        <w:t>«не касаться земли» в течение 1,5ч. После посад</w:t>
      </w:r>
      <w:r w:rsidRPr="00DE096C">
        <w:rPr>
          <w:bCs/>
          <w:i/>
          <w:color w:val="002060"/>
          <w:sz w:val="16"/>
          <w:szCs w:val="16"/>
        </w:rPr>
        <w:softHyphen/>
        <w:t>ки «должно быть констатировано осмотром, что аппарат может повторить полет без ка</w:t>
      </w:r>
      <w:r w:rsidRPr="00DE096C">
        <w:rPr>
          <w:bCs/>
          <w:i/>
          <w:color w:val="002060"/>
          <w:sz w:val="16"/>
          <w:szCs w:val="16"/>
        </w:rPr>
        <w:softHyphen/>
        <w:t>ких-либо исправлений».</w:t>
      </w:r>
    </w:p>
    <w:p w14:paraId="2881B471" w14:textId="77777777" w:rsidR="00033BD8" w:rsidRPr="00DE096C" w:rsidRDefault="00033BD8" w:rsidP="00D45A46">
      <w:pPr>
        <w:shd w:val="clear" w:color="auto" w:fill="FFFFFF"/>
        <w:jc w:val="both"/>
        <w:rPr>
          <w:bCs/>
          <w:color w:val="002060"/>
          <w:sz w:val="16"/>
          <w:szCs w:val="16"/>
        </w:rPr>
      </w:pPr>
      <w:r w:rsidRPr="00DE096C">
        <w:rPr>
          <w:bCs/>
          <w:color w:val="002060"/>
          <w:sz w:val="16"/>
          <w:szCs w:val="16"/>
        </w:rPr>
        <w:t>На оригинале контракта, хранящемся в Российском государственном военно-исто</w:t>
      </w:r>
      <w:r w:rsidRPr="00DE096C">
        <w:rPr>
          <w:bCs/>
          <w:color w:val="002060"/>
          <w:sz w:val="16"/>
          <w:szCs w:val="16"/>
        </w:rPr>
        <w:softHyphen/>
        <w:t xml:space="preserve">рическом архиве, стоит пометка: </w:t>
      </w:r>
      <w:r w:rsidRPr="00DE096C">
        <w:rPr>
          <w:bCs/>
          <w:i/>
          <w:color w:val="002060"/>
          <w:sz w:val="16"/>
          <w:szCs w:val="16"/>
        </w:rPr>
        <w:t xml:space="preserve">«Принято 8 — все». </w:t>
      </w:r>
      <w:r w:rsidRPr="00DE096C">
        <w:rPr>
          <w:bCs/>
          <w:color w:val="002060"/>
          <w:sz w:val="16"/>
          <w:szCs w:val="16"/>
        </w:rPr>
        <w:t>Таким образом, первый контракт Червоннских мастерских был выполнен, хотя установленные сроки выдержать не удалось, и сдача самолетов затянулась до весны 1915г. Интересно, что в январе того года братья Фарман уполномочили своего земля</w:t>
      </w:r>
      <w:r w:rsidRPr="00DE096C">
        <w:rPr>
          <w:bCs/>
          <w:color w:val="002060"/>
          <w:sz w:val="16"/>
          <w:szCs w:val="16"/>
        </w:rPr>
        <w:softHyphen/>
        <w:t xml:space="preserve">ка Пишофа войти с Терещенко </w:t>
      </w:r>
      <w:r w:rsidRPr="00DE096C">
        <w:rPr>
          <w:bCs/>
          <w:i/>
          <w:color w:val="002060"/>
          <w:sz w:val="16"/>
          <w:szCs w:val="16"/>
        </w:rPr>
        <w:t>«в соглаше</w:t>
      </w:r>
      <w:r w:rsidRPr="00DE096C">
        <w:rPr>
          <w:bCs/>
          <w:i/>
          <w:color w:val="002060"/>
          <w:sz w:val="16"/>
          <w:szCs w:val="16"/>
        </w:rPr>
        <w:softHyphen/>
        <w:t xml:space="preserve">ние относительно оплаты лиценса» </w:t>
      </w:r>
      <w:r w:rsidRPr="00DE096C">
        <w:rPr>
          <w:bCs/>
          <w:color w:val="002060"/>
          <w:sz w:val="16"/>
          <w:szCs w:val="16"/>
        </w:rPr>
        <w:t>на по</w:t>
      </w:r>
      <w:r w:rsidRPr="00DE096C">
        <w:rPr>
          <w:bCs/>
          <w:color w:val="002060"/>
          <w:sz w:val="16"/>
          <w:szCs w:val="16"/>
        </w:rPr>
        <w:softHyphen/>
        <w:t>строенные самолеты их разработки. Не прошло и месяца, как такая оплата была выполнена. Следует также отметить, что, кроме указанных выше восьми «Фарма-новХХП», военные получили от Терещенко еще 2 аэроплана этого же типа. Достоверно известно, что один из них был французской постройки. Вероятно, эти самолеты лишь собрали или отремонтировали в Червонном (11217).</w:t>
      </w:r>
    </w:p>
    <w:p w14:paraId="12F418BD" w14:textId="77777777" w:rsidR="00033BD8" w:rsidRPr="00DE096C" w:rsidRDefault="00033BD8" w:rsidP="00D45A46">
      <w:pPr>
        <w:shd w:val="clear" w:color="auto" w:fill="FFFFFF"/>
        <w:jc w:val="both"/>
        <w:rPr>
          <w:bCs/>
          <w:color w:val="002060"/>
          <w:sz w:val="16"/>
          <w:szCs w:val="16"/>
        </w:rPr>
      </w:pPr>
    </w:p>
    <w:p w14:paraId="07FEFCFA" w14:textId="4CAA3B3C"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w:t>
      </w:r>
    </w:p>
    <w:p w14:paraId="5C3BB7A5" w14:textId="77777777" w:rsidR="00B67D7C" w:rsidRPr="00DE096C" w:rsidRDefault="00B67D7C" w:rsidP="00D45A46">
      <w:pPr>
        <w:shd w:val="clear" w:color="auto" w:fill="FFFFFF"/>
        <w:jc w:val="both"/>
        <w:rPr>
          <w:bCs/>
          <w:i/>
          <w:color w:val="002060"/>
          <w:sz w:val="16"/>
          <w:szCs w:val="16"/>
        </w:rPr>
      </w:pPr>
    </w:p>
    <w:p w14:paraId="7A0110F3" w14:textId="77777777" w:rsidR="00B67D7C" w:rsidRPr="00DE096C" w:rsidRDefault="00B67D7C" w:rsidP="00D45A46">
      <w:pPr>
        <w:jc w:val="both"/>
        <w:rPr>
          <w:bCs/>
          <w:color w:val="002060"/>
          <w:sz w:val="16"/>
          <w:szCs w:val="16"/>
        </w:rPr>
      </w:pPr>
      <w:r w:rsidRPr="00DE096C">
        <w:rPr>
          <w:bCs/>
          <w:color w:val="002060"/>
          <w:sz w:val="16"/>
          <w:szCs w:val="16"/>
        </w:rPr>
        <w:t>31 января (13 февраля) 1914 года состоялось высочайшее утверждение о прекращении деятельности воздухоплавательной части ГУ ГШ, которое совпало по времени с переходом авиаотрядов на новые штаты. Теперь штат «авиационного отряда воздухоплавательной роты» заменялся штатами авиаотрядов четырех категорий: полевого (армейского), корпусного, крепостного и особого назначения (РГВИА. Ф. 493. Оп. 2. Д. 4. Л. 228—235.).</w:t>
      </w:r>
    </w:p>
    <w:p w14:paraId="15F43C95" w14:textId="77777777" w:rsidR="00B67D7C" w:rsidRPr="00DE096C" w:rsidRDefault="00B67D7C" w:rsidP="00D45A46">
      <w:pPr>
        <w:jc w:val="both"/>
        <w:rPr>
          <w:bCs/>
          <w:color w:val="002060"/>
          <w:sz w:val="16"/>
          <w:szCs w:val="16"/>
        </w:rPr>
      </w:pPr>
      <w:r w:rsidRPr="00DE096C">
        <w:rPr>
          <w:bCs/>
          <w:color w:val="002060"/>
          <w:sz w:val="16"/>
          <w:szCs w:val="16"/>
        </w:rPr>
        <w:t>При разработке новых штатов и табелей был учтен опыт участия авиации в маневрах, прошедших в 1911—1913 годах. В частности, использовались отчеты о них, составленные полковником Н.С. Батюшиным (ВВО), штабс-капитаном П.Н. Нестеровым (КВО) (РГВИА Ф. 1859. Оп. 1. Д. 254. Л. 3, 4, 18—38; Ф. 6079. Оп. 1. Д. 4. Л. 7 .) и др.</w:t>
      </w:r>
    </w:p>
    <w:p w14:paraId="55C4CECF" w14:textId="77777777" w:rsidR="00B67D7C" w:rsidRPr="00DE096C" w:rsidRDefault="00B67D7C" w:rsidP="00D45A46">
      <w:pPr>
        <w:jc w:val="both"/>
        <w:rPr>
          <w:bCs/>
          <w:color w:val="002060"/>
          <w:sz w:val="16"/>
          <w:szCs w:val="16"/>
        </w:rPr>
      </w:pPr>
      <w:r w:rsidRPr="00DE096C">
        <w:rPr>
          <w:bCs/>
          <w:color w:val="002060"/>
          <w:sz w:val="16"/>
          <w:szCs w:val="16"/>
        </w:rPr>
        <w:t>Следует отметить, что отряды в организационно-штатном отношении имели небольшие отличия друг от друга, так как проблема выбора типа самолета для каждого из них, т.е. четырех категорий, по существу пока еще не была решена (11167).</w:t>
      </w:r>
    </w:p>
    <w:p w14:paraId="7A3EBB41" w14:textId="77777777" w:rsidR="00B67D7C" w:rsidRPr="00DE096C" w:rsidRDefault="00B67D7C" w:rsidP="00D45A46">
      <w:pPr>
        <w:jc w:val="both"/>
        <w:rPr>
          <w:bCs/>
          <w:color w:val="002060"/>
          <w:sz w:val="16"/>
          <w:szCs w:val="16"/>
        </w:rPr>
      </w:pPr>
    </w:p>
    <w:p w14:paraId="2583B960" w14:textId="1758DBEE" w:rsidR="00507EFA" w:rsidRPr="00DE096C" w:rsidRDefault="00507EFA" w:rsidP="00D45A46">
      <w:pPr>
        <w:jc w:val="both"/>
        <w:rPr>
          <w:bCs/>
          <w:color w:val="002060"/>
          <w:sz w:val="16"/>
          <w:szCs w:val="16"/>
        </w:rPr>
      </w:pPr>
      <w:r w:rsidRPr="00DE096C">
        <w:rPr>
          <w:bCs/>
          <w:color w:val="002060"/>
          <w:sz w:val="16"/>
          <w:szCs w:val="16"/>
          <w:lang w:bidi="en-US"/>
        </w:rPr>
        <w:t>31 января (13 февраля) 1914 г. военное министерство утвердило Таблицы организации и оснащения военной авиации, согласно которым в каждом КАО и одном полевом АО должно быть по шесть самолетов, еще шесть в резерве. В каждом Крепостном АО должно было быть по восемь машин, еще восемь в резерве. Резервы для всех КАО и Полевых АО хранить на складах авиационных компаний, а резервы для Крепостных АО хранить на складах Крепости.</w:t>
      </w:r>
    </w:p>
    <w:p w14:paraId="496B4EF2" w14:textId="77777777" w:rsidR="00507EFA" w:rsidRPr="00DE096C" w:rsidRDefault="00507EFA" w:rsidP="00D45A46">
      <w:pPr>
        <w:jc w:val="both"/>
        <w:rPr>
          <w:bCs/>
          <w:color w:val="002060"/>
          <w:sz w:val="16"/>
          <w:szCs w:val="16"/>
        </w:rPr>
      </w:pPr>
      <w:r w:rsidRPr="00DE096C">
        <w:rPr>
          <w:bCs/>
          <w:color w:val="002060"/>
          <w:sz w:val="16"/>
          <w:szCs w:val="16"/>
          <w:lang w:bidi="en-US"/>
        </w:rPr>
        <w:t>В корпусном и полевом АО должно было быть пять пилотов-офицеров и два пилота-сержанта, а в АО крепости должно было быть шесть пилотов-офицеров и три пилота-сержанта. Лишь в мае наблюдатели были включены в штатные расписания, когда начальник Генерального штаба убедил военное министерство включить их и выделить средства на их обучение.</w:t>
      </w:r>
    </w:p>
    <w:p w14:paraId="34C08729" w14:textId="77777777" w:rsidR="00507EFA" w:rsidRPr="00DE096C" w:rsidRDefault="00507EFA" w:rsidP="00D45A46">
      <w:pPr>
        <w:jc w:val="both"/>
        <w:rPr>
          <w:bCs/>
          <w:color w:val="002060"/>
          <w:sz w:val="16"/>
          <w:szCs w:val="16"/>
        </w:rPr>
      </w:pPr>
      <w:r w:rsidRPr="00DE096C">
        <w:rPr>
          <w:bCs/>
          <w:color w:val="002060"/>
          <w:sz w:val="16"/>
          <w:szCs w:val="16"/>
          <w:lang w:bidi="en-US"/>
        </w:rPr>
        <w:t>Для проектируемых тридцати КАО и одного полевого АО должно было быть 186 самолетов на действительной службе плюс еще 186 в резерве. Восемь крепостных АО должны были иметь шестьдесят четыре машины для боевой службы и еще шестьдесят четыре в резерве (23525).</w:t>
      </w:r>
    </w:p>
    <w:p w14:paraId="590E034A" w14:textId="77777777" w:rsidR="00507EFA" w:rsidRPr="00DE096C" w:rsidRDefault="00507EFA" w:rsidP="00D45A46">
      <w:pPr>
        <w:jc w:val="both"/>
        <w:rPr>
          <w:bCs/>
          <w:color w:val="002060"/>
          <w:sz w:val="16"/>
          <w:szCs w:val="16"/>
          <w:lang w:bidi="en-US"/>
        </w:rPr>
      </w:pPr>
    </w:p>
    <w:p w14:paraId="09A10E18" w14:textId="1A43E5D3" w:rsidR="00507EFA" w:rsidRPr="00DE096C" w:rsidRDefault="00507EFA" w:rsidP="00D45A46">
      <w:pPr>
        <w:jc w:val="both"/>
        <w:rPr>
          <w:bCs/>
          <w:color w:val="002060"/>
          <w:sz w:val="16"/>
          <w:szCs w:val="16"/>
        </w:rPr>
      </w:pPr>
      <w:r w:rsidRPr="00DE096C">
        <w:rPr>
          <w:bCs/>
          <w:color w:val="002060"/>
          <w:sz w:val="16"/>
          <w:szCs w:val="16"/>
          <w:lang w:bidi="en-US"/>
        </w:rPr>
        <w:t>31 января (13 февраля) 1914 г. было издано Положение о создании в составе авиационных компаний следующих подразделений: (там, где известно, указаны даты фактического образования); в составе 1-й авиационной роты в Санкт-Петербурге - 5-я КАО (13 февраля), 16-я КАО (14 марта) и 22-я КАО (14 марта); в составе 6-й авиационной роты в Одессе - 7-я КАО, 8-я КАО, 24-я КАО и 25-я КАО (все на 14 марта); в составе 5-й авиационной роты у Броницы - 13-я КАО, 17-я КАО и Гренадерская КАО (все на 15 марта); в составе 4-й авиационной роты в Лиде - 2-я КАО, 3-я КАО, 4-я КАО, 6-я КАО, 10-я КАО, 20-я КАО и 21-я КАО (все на 23 марта); АО «Севастопольская крепость»; 1-й Сибирский КАО в Иркутске; Сибирская крепость АО в Спасском; 5-й Сибирский КАО в Хабаровске; и 4-й Сибирский КАО (21 февраля) в Чите.</w:t>
      </w:r>
    </w:p>
    <w:p w14:paraId="02A66AE4" w14:textId="77777777" w:rsidR="00507EFA" w:rsidRPr="00DE096C" w:rsidRDefault="00507EFA" w:rsidP="00D45A46">
      <w:pPr>
        <w:jc w:val="both"/>
        <w:rPr>
          <w:bCs/>
          <w:color w:val="002060"/>
          <w:sz w:val="16"/>
          <w:szCs w:val="16"/>
        </w:rPr>
      </w:pPr>
      <w:r w:rsidRPr="00DE096C">
        <w:rPr>
          <w:bCs/>
          <w:color w:val="002060"/>
          <w:sz w:val="16"/>
          <w:szCs w:val="16"/>
          <w:lang w:bidi="en-US"/>
        </w:rPr>
        <w:t>Также было приказано сформировать следующие новые авиационные части: 2-я авиационная рота в Брест-Литовске с дирижаблями (сформирована 25 февраля); Брест-Литовская авиационная рота с аэростатами (образована 25 февраля); Сибирская воздухоплавательная компания в Спасском с дирижаблями (сформирована 21 февраля); Владивостокская крепостная воздухоплавательная рота с аэростатами (сформирована 21 февраля); Свеаборгская авиационная компания с аэростатами (образована 10 апреля);</w:t>
      </w:r>
    </w:p>
    <w:p w14:paraId="455F5AD6" w14:textId="77777777" w:rsidR="00507EFA" w:rsidRPr="00DE096C" w:rsidRDefault="00507EFA" w:rsidP="00D45A46">
      <w:pPr>
        <w:jc w:val="both"/>
        <w:rPr>
          <w:bCs/>
          <w:color w:val="002060"/>
          <w:sz w:val="16"/>
          <w:szCs w:val="16"/>
        </w:rPr>
      </w:pPr>
      <w:r w:rsidRPr="00DE096C">
        <w:rPr>
          <w:bCs/>
          <w:color w:val="002060"/>
          <w:sz w:val="16"/>
          <w:szCs w:val="16"/>
          <w:lang w:bidi="en-US"/>
        </w:rPr>
        <w:t>4-я воздухоплавательная рота стала воздухоплавательной ротой Ковенской крепости; Брест-Литовский воздухоплавательный батальон; Сибирский воздухоплавательный батальон; 3-я воздухоплавательная рота и 4-я Сибирская воздухоплавательная рота должны были быть расформированы 13 апреля; 5-я воздухоплавательная рота стала воздухоплавательной ротой Гродненской крепости.</w:t>
      </w:r>
    </w:p>
    <w:p w14:paraId="762C8B73" w14:textId="77777777" w:rsidR="00507EFA" w:rsidRPr="00DE096C" w:rsidRDefault="00507EFA" w:rsidP="00D45A46">
      <w:pPr>
        <w:jc w:val="both"/>
        <w:rPr>
          <w:bCs/>
          <w:color w:val="002060"/>
          <w:sz w:val="16"/>
          <w:szCs w:val="16"/>
        </w:rPr>
      </w:pPr>
      <w:r w:rsidRPr="00DE096C">
        <w:rPr>
          <w:bCs/>
          <w:color w:val="002060"/>
          <w:sz w:val="16"/>
          <w:szCs w:val="16"/>
          <w:lang w:bidi="en-US"/>
        </w:rPr>
        <w:t>6-я воздухоплавательная рота стала Осовецкой крепостной воздухоплавательной ротой с дирижаблями «Голуб», «Ястреб», «Кобчик» и «Сокол»; 9-я воздухоплавательная рота стала 3-й воздухоплавательной ротой в Лиде; 10-я авиационная рота стала 4-й авиационной ротой в Бердичеве; 11-я воздухоплавательная рота стала Новогеоргиевской крепостной воздухоплавательной ротой; 1-я Кавказская воздухоплавательная рота стала Карсской крепостной воздухоплавательной ротой.</w:t>
      </w:r>
    </w:p>
    <w:p w14:paraId="25EEA51A" w14:textId="77777777" w:rsidR="00507EFA" w:rsidRPr="00DE096C" w:rsidRDefault="00507EFA" w:rsidP="00D45A46">
      <w:pPr>
        <w:jc w:val="both"/>
        <w:rPr>
          <w:bCs/>
          <w:color w:val="002060"/>
          <w:sz w:val="16"/>
          <w:szCs w:val="16"/>
        </w:rPr>
      </w:pPr>
      <w:r w:rsidRPr="00DE096C">
        <w:rPr>
          <w:bCs/>
          <w:color w:val="002060"/>
          <w:sz w:val="16"/>
          <w:szCs w:val="16"/>
          <w:lang w:bidi="en-US"/>
        </w:rPr>
        <w:t>14-я КАО, 15-я КАО, 19-я КАО и 23-я КАО дислоцировались в Варшаве, а</w:t>
      </w:r>
    </w:p>
    <w:p w14:paraId="4F40A6B1" w14:textId="77777777" w:rsidR="00507EFA" w:rsidRPr="00DE096C" w:rsidRDefault="00507EFA" w:rsidP="00D45A46">
      <w:pPr>
        <w:jc w:val="both"/>
        <w:rPr>
          <w:bCs/>
          <w:color w:val="002060"/>
          <w:sz w:val="16"/>
          <w:szCs w:val="16"/>
          <w:lang w:bidi="en-US"/>
        </w:rPr>
      </w:pPr>
      <w:r w:rsidRPr="00DE096C">
        <w:rPr>
          <w:bCs/>
          <w:color w:val="002060"/>
          <w:sz w:val="16"/>
          <w:szCs w:val="16"/>
          <w:lang w:bidi="en-US"/>
        </w:rPr>
        <w:t>9-й КАО, 11-й КАО, 12-й КАО и 3-й полевой АО базировались в Киеве (23525).</w:t>
      </w:r>
    </w:p>
    <w:p w14:paraId="7E47C2BE" w14:textId="77777777" w:rsidR="00507EFA" w:rsidRPr="00DE096C" w:rsidRDefault="00507EFA" w:rsidP="00D45A46">
      <w:pPr>
        <w:jc w:val="both"/>
        <w:rPr>
          <w:bCs/>
          <w:color w:val="002060"/>
          <w:sz w:val="16"/>
          <w:szCs w:val="16"/>
        </w:rPr>
      </w:pPr>
    </w:p>
    <w:p w14:paraId="605ECA51" w14:textId="77777777" w:rsidR="00D14FF4" w:rsidRPr="00B52707" w:rsidRDefault="00D14FF4" w:rsidP="00D14FF4">
      <w:pPr>
        <w:jc w:val="both"/>
        <w:rPr>
          <w:color w:val="0070C0"/>
          <w:sz w:val="16"/>
          <w:szCs w:val="16"/>
        </w:rPr>
      </w:pPr>
      <w:r w:rsidRPr="00B52707">
        <w:rPr>
          <w:color w:val="0070C0"/>
          <w:sz w:val="16"/>
          <w:szCs w:val="16"/>
        </w:rPr>
        <w:t>31 января (13 февраля) 1914 года были установлен штаты личного состава авиационных отрядов. По этим штатам полагалось иметь в каждом корпусном и полевом отряде по 5 офицеров-летчиков (в том числе начальник отряда) и по 2 солдата-летчика, а в каждом крепостном отряде — по 6 офицеров-летчиков (в том числе начальник отряда) и по 3 солдата-летчика.</w:t>
      </w:r>
    </w:p>
    <w:p w14:paraId="2F846735" w14:textId="77777777" w:rsidR="00D14FF4" w:rsidRPr="00B52707" w:rsidRDefault="00D14FF4" w:rsidP="00D14FF4">
      <w:pPr>
        <w:jc w:val="both"/>
        <w:rPr>
          <w:color w:val="0070C0"/>
          <w:sz w:val="16"/>
          <w:szCs w:val="16"/>
        </w:rPr>
      </w:pPr>
      <w:r w:rsidRPr="00B52707">
        <w:rPr>
          <w:color w:val="0070C0"/>
          <w:sz w:val="16"/>
          <w:szCs w:val="16"/>
        </w:rPr>
        <w:t>Что касается летчиков-наблюдателей, то необходимость их сознавалась еще до войны, и соответственно этому ГУГШ были испрошены, а положением Военного Совета от 8 мая 1914 г. отпущены, средства на прикомандирование к авиа</w:t>
      </w:r>
      <w:r w:rsidRPr="00B52707">
        <w:rPr>
          <w:color w:val="0070C0"/>
          <w:sz w:val="16"/>
          <w:szCs w:val="16"/>
        </w:rPr>
        <w:softHyphen/>
        <w:t>ционным отрядам для соответствующей подготовки офицеров, которых предполагалось включить в штаты авиационных отрядов по числу младших офицеров-летчиков. Однако, мера эта до об'явления войны осуществлена не была, и отряды выступили на театр военных действий без наблю</w:t>
      </w:r>
      <w:r w:rsidRPr="00B52707">
        <w:rPr>
          <w:color w:val="0070C0"/>
          <w:sz w:val="16"/>
          <w:szCs w:val="16"/>
        </w:rPr>
        <w:softHyphen/>
        <w:t>дателей (34923).</w:t>
      </w:r>
    </w:p>
    <w:p w14:paraId="057837AC" w14:textId="77777777" w:rsidR="00D14FF4" w:rsidRPr="00B52707" w:rsidRDefault="00D14FF4" w:rsidP="00D14FF4">
      <w:pPr>
        <w:jc w:val="both"/>
        <w:rPr>
          <w:color w:val="0070C0"/>
          <w:sz w:val="16"/>
          <w:szCs w:val="16"/>
        </w:rPr>
      </w:pPr>
    </w:p>
    <w:p w14:paraId="6FFC65AC" w14:textId="77777777" w:rsidR="00D14FF4" w:rsidRPr="00B52707" w:rsidRDefault="00D14FF4" w:rsidP="00D14FF4">
      <w:pPr>
        <w:jc w:val="both"/>
        <w:rPr>
          <w:color w:val="0070C0"/>
          <w:sz w:val="16"/>
          <w:szCs w:val="16"/>
        </w:rPr>
      </w:pPr>
      <w:r w:rsidRPr="00B52707">
        <w:rPr>
          <w:color w:val="0070C0"/>
          <w:sz w:val="16"/>
          <w:szCs w:val="16"/>
        </w:rPr>
        <w:t>31 января (13 февраля) 1914 г. были вве</w:t>
      </w:r>
      <w:r w:rsidRPr="00B52707">
        <w:rPr>
          <w:color w:val="0070C0"/>
          <w:sz w:val="16"/>
          <w:szCs w:val="16"/>
        </w:rPr>
        <w:softHyphen/>
        <w:t>дены новые штаты авиаотрядов. Теперь, штат «авиационного отряда воздухо</w:t>
      </w:r>
      <w:r w:rsidRPr="00B52707">
        <w:rPr>
          <w:color w:val="0070C0"/>
          <w:sz w:val="16"/>
          <w:szCs w:val="16"/>
        </w:rPr>
        <w:softHyphen/>
        <w:t>плавательной роты» заменялся штатами авиаотрядов четырех категорий: полево</w:t>
      </w:r>
      <w:r w:rsidRPr="00B52707">
        <w:rPr>
          <w:color w:val="0070C0"/>
          <w:sz w:val="16"/>
          <w:szCs w:val="16"/>
        </w:rPr>
        <w:softHyphen/>
        <w:t>го (армейского), корпусного, крепостно</w:t>
      </w:r>
      <w:r w:rsidRPr="00B52707">
        <w:rPr>
          <w:color w:val="0070C0"/>
          <w:sz w:val="16"/>
          <w:szCs w:val="16"/>
        </w:rPr>
        <w:softHyphen/>
        <w:t>го и особого назначения (РГВИА. Фонд 493 опись 2 дело 4).</w:t>
      </w:r>
    </w:p>
    <w:p w14:paraId="40D56D6C" w14:textId="77777777" w:rsidR="00D14FF4" w:rsidRPr="00B52707" w:rsidRDefault="00D14FF4" w:rsidP="00D14FF4">
      <w:pPr>
        <w:jc w:val="both"/>
        <w:rPr>
          <w:color w:val="0070C0"/>
          <w:sz w:val="16"/>
          <w:szCs w:val="16"/>
        </w:rPr>
      </w:pPr>
      <w:r w:rsidRPr="00B52707">
        <w:rPr>
          <w:color w:val="0070C0"/>
          <w:sz w:val="16"/>
          <w:szCs w:val="16"/>
        </w:rPr>
        <w:t>Следует отметить, что отряды в ор</w:t>
      </w:r>
      <w:r w:rsidRPr="00B52707">
        <w:rPr>
          <w:color w:val="0070C0"/>
          <w:sz w:val="16"/>
          <w:szCs w:val="16"/>
        </w:rPr>
        <w:softHyphen/>
        <w:t>ганизационно-штатном отношении име</w:t>
      </w:r>
      <w:r w:rsidRPr="00B52707">
        <w:rPr>
          <w:color w:val="0070C0"/>
          <w:sz w:val="16"/>
          <w:szCs w:val="16"/>
        </w:rPr>
        <w:softHyphen/>
        <w:t>ли небольшие отличия друг от друга, так как проблема выбора типа самоле</w:t>
      </w:r>
      <w:r w:rsidRPr="00B52707">
        <w:rPr>
          <w:color w:val="0070C0"/>
          <w:sz w:val="16"/>
          <w:szCs w:val="16"/>
        </w:rPr>
        <w:softHyphen/>
        <w:t>та для каждого из них, т.е. четырех катего</w:t>
      </w:r>
      <w:r w:rsidRPr="00B52707">
        <w:rPr>
          <w:color w:val="0070C0"/>
          <w:sz w:val="16"/>
          <w:szCs w:val="16"/>
        </w:rPr>
        <w:softHyphen/>
        <w:t>рий, пока еще не была решена.</w:t>
      </w:r>
    </w:p>
    <w:p w14:paraId="56D39E7A" w14:textId="77777777" w:rsidR="00D14FF4" w:rsidRPr="00B52707" w:rsidRDefault="00D14FF4" w:rsidP="00D14FF4">
      <w:pPr>
        <w:jc w:val="both"/>
        <w:rPr>
          <w:color w:val="0070C0"/>
          <w:sz w:val="16"/>
          <w:szCs w:val="16"/>
        </w:rPr>
      </w:pPr>
      <w:r w:rsidRPr="00B52707">
        <w:rPr>
          <w:color w:val="0070C0"/>
          <w:sz w:val="16"/>
          <w:szCs w:val="16"/>
        </w:rPr>
        <w:t>В результате обсуждения вопро</w:t>
      </w:r>
      <w:r w:rsidRPr="00B52707">
        <w:rPr>
          <w:color w:val="0070C0"/>
          <w:sz w:val="16"/>
          <w:szCs w:val="16"/>
        </w:rPr>
        <w:softHyphen/>
        <w:t>са «о типах» пришли выводу, что сле</w:t>
      </w:r>
      <w:r w:rsidRPr="00B52707">
        <w:rPr>
          <w:color w:val="0070C0"/>
          <w:sz w:val="16"/>
          <w:szCs w:val="16"/>
        </w:rPr>
        <w:softHyphen/>
        <w:t>дует заказать для полевых (армейских) и крепостных отрядов самолеты «Voisin L / LA», «Сикорский С-10» и «Farman HF.16 / HF.22», для корпусных - «Deperdussin Type D», «Morane-Saulnier Type L Parasol» и «Сикорский С-11», для отрядов особого назначения - од</w:t>
      </w:r>
      <w:r w:rsidRPr="00B52707">
        <w:rPr>
          <w:color w:val="0070C0"/>
          <w:sz w:val="16"/>
          <w:szCs w:val="16"/>
        </w:rPr>
        <w:softHyphen/>
        <w:t>номестный «Morane-Saulnier Type G/H» (РГВИА. Фонд 802 опись 4 дело 2223). (24962).</w:t>
      </w:r>
    </w:p>
    <w:p w14:paraId="0F738AC9" w14:textId="77777777" w:rsidR="00D14FF4" w:rsidRPr="00B52707" w:rsidRDefault="00D14FF4" w:rsidP="00D14FF4">
      <w:pPr>
        <w:jc w:val="both"/>
        <w:rPr>
          <w:color w:val="0070C0"/>
          <w:sz w:val="16"/>
          <w:szCs w:val="16"/>
        </w:rPr>
      </w:pPr>
    </w:p>
    <w:p w14:paraId="53095F61" w14:textId="77777777" w:rsidR="00F16B25" w:rsidRPr="00DE096C" w:rsidRDefault="00F16B25" w:rsidP="00D45A46">
      <w:pPr>
        <w:jc w:val="both"/>
        <w:rPr>
          <w:bCs/>
          <w:i/>
          <w:color w:val="002060"/>
          <w:sz w:val="16"/>
          <w:szCs w:val="16"/>
        </w:rPr>
      </w:pPr>
      <w:r w:rsidRPr="00DE096C">
        <w:rPr>
          <w:bCs/>
          <w:i/>
          <w:color w:val="002060"/>
          <w:sz w:val="16"/>
          <w:szCs w:val="16"/>
        </w:rPr>
        <w:t>Внешняя политика:</w:t>
      </w:r>
    </w:p>
    <w:p w14:paraId="299CE8C7" w14:textId="77777777" w:rsidR="00F16B25" w:rsidRPr="00DE096C" w:rsidRDefault="00F16B25" w:rsidP="00D45A46">
      <w:pPr>
        <w:jc w:val="both"/>
        <w:rPr>
          <w:bCs/>
          <w:i/>
          <w:color w:val="002060"/>
          <w:sz w:val="16"/>
          <w:szCs w:val="16"/>
        </w:rPr>
      </w:pPr>
    </w:p>
    <w:p w14:paraId="039ADA49" w14:textId="77777777" w:rsidR="00F16B25" w:rsidRPr="00DE096C" w:rsidRDefault="00F16B25" w:rsidP="00D45A46">
      <w:pPr>
        <w:pStyle w:val="2"/>
        <w:spacing w:before="0" w:after="0"/>
        <w:jc w:val="both"/>
        <w:rPr>
          <w:b w:val="0"/>
          <w:bCs/>
          <w:color w:val="002060"/>
          <w:sz w:val="16"/>
          <w:szCs w:val="16"/>
        </w:rPr>
      </w:pPr>
      <w:r w:rsidRPr="00DE096C">
        <w:rPr>
          <w:b w:val="0"/>
          <w:bCs/>
          <w:color w:val="002060"/>
          <w:sz w:val="16"/>
          <w:szCs w:val="16"/>
        </w:rPr>
        <w:t>В конце января 1914 г. повторный пролет членов Немецкого воздухоплавательного общества под командой инженера Берлинера на аэростате стал причиной ареста по подозрению в шпионаже — в снаряжении обнаружили фотоаппарат со множеством использованных фотопластинок, инструкцию по выпуску почтовых голубей с военных аэростатов и другое имущество, которое можно было посчитать шпионским. Суд отверг обвинения в шпионаже и за незаконный перелет границы каждого из аэронавтов приговорили к одиночному заключению сроком на четыре месяца и два дня (15464).</w:t>
      </w:r>
    </w:p>
    <w:p w14:paraId="66B4DAA4" w14:textId="77777777" w:rsidR="00F16B25" w:rsidRPr="00DE096C" w:rsidRDefault="00F16B25" w:rsidP="00D45A46">
      <w:pPr>
        <w:pStyle w:val="2"/>
        <w:spacing w:before="0" w:after="0"/>
        <w:jc w:val="both"/>
        <w:rPr>
          <w:b w:val="0"/>
          <w:bCs/>
          <w:color w:val="002060"/>
          <w:sz w:val="16"/>
          <w:szCs w:val="16"/>
        </w:rPr>
      </w:pPr>
    </w:p>
    <w:p w14:paraId="4334A14A"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551C7A4F" w14:textId="77777777" w:rsidR="00B67D7C" w:rsidRPr="00DE096C" w:rsidRDefault="00B67D7C" w:rsidP="00D45A46">
      <w:pPr>
        <w:shd w:val="clear" w:color="auto" w:fill="FFFFFF"/>
        <w:jc w:val="both"/>
        <w:rPr>
          <w:bCs/>
          <w:i/>
          <w:color w:val="002060"/>
          <w:sz w:val="16"/>
          <w:szCs w:val="16"/>
        </w:rPr>
      </w:pPr>
    </w:p>
    <w:p w14:paraId="408D0E27" w14:textId="20F823EE" w:rsidR="00B67D7C" w:rsidRPr="00DE096C" w:rsidRDefault="00033BD8" w:rsidP="00D45A46">
      <w:pPr>
        <w:shd w:val="clear" w:color="auto" w:fill="FFFFFF"/>
        <w:jc w:val="both"/>
        <w:rPr>
          <w:bCs/>
          <w:color w:val="002060"/>
          <w:sz w:val="16"/>
          <w:szCs w:val="16"/>
        </w:rPr>
      </w:pPr>
      <w:r w:rsidRPr="00DE096C">
        <w:rPr>
          <w:bCs/>
          <w:color w:val="002060"/>
          <w:sz w:val="16"/>
          <w:szCs w:val="16"/>
        </w:rPr>
        <w:t>В</w:t>
      </w:r>
      <w:r w:rsidR="00B67D7C" w:rsidRPr="00DE096C">
        <w:rPr>
          <w:bCs/>
          <w:color w:val="002060"/>
          <w:sz w:val="16"/>
          <w:szCs w:val="16"/>
        </w:rPr>
        <w:t xml:space="preserve"> январе 1914 г. Главное военно-техническое управление и загрузило все отечественные заводы по</w:t>
      </w:r>
      <w:r w:rsidR="00B67D7C" w:rsidRPr="00DE096C">
        <w:rPr>
          <w:bCs/>
          <w:color w:val="002060"/>
          <w:sz w:val="16"/>
          <w:szCs w:val="16"/>
        </w:rPr>
        <w:softHyphen/>
        <w:t>стройкой самолетов и двигателей, но к началу первой мировой войны выписанные заводами материалы и двигатели не были по</w:t>
      </w:r>
      <w:r w:rsidR="00B67D7C" w:rsidRPr="00DE096C">
        <w:rPr>
          <w:bCs/>
          <w:color w:val="002060"/>
          <w:sz w:val="16"/>
          <w:szCs w:val="16"/>
        </w:rPr>
        <w:softHyphen/>
        <w:t>лучены из-за границы, и ни один из заказанных заводам самолетов новых конструкций построен в срок не был. Некоторые же по</w:t>
      </w:r>
      <w:r w:rsidR="00B67D7C" w:rsidRPr="00DE096C">
        <w:rPr>
          <w:bCs/>
          <w:color w:val="002060"/>
          <w:sz w:val="16"/>
          <w:szCs w:val="16"/>
        </w:rPr>
        <w:softHyphen/>
        <w:t>строенные аппараты (Депердюссен) не были приняты на воору</w:t>
      </w:r>
      <w:r w:rsidR="00B67D7C" w:rsidRPr="00DE096C">
        <w:rPr>
          <w:bCs/>
          <w:color w:val="002060"/>
          <w:sz w:val="16"/>
          <w:szCs w:val="16"/>
        </w:rPr>
        <w:softHyphen/>
        <w:t>жение (11042,241).</w:t>
      </w:r>
    </w:p>
    <w:p w14:paraId="7E64C5C1" w14:textId="77777777" w:rsidR="00B67D7C" w:rsidRPr="00DE096C" w:rsidRDefault="00B67D7C" w:rsidP="00D45A46">
      <w:pPr>
        <w:shd w:val="clear" w:color="auto" w:fill="FFFFFF"/>
        <w:jc w:val="both"/>
        <w:rPr>
          <w:bCs/>
          <w:color w:val="002060"/>
          <w:sz w:val="16"/>
          <w:szCs w:val="16"/>
        </w:rPr>
      </w:pPr>
    </w:p>
    <w:p w14:paraId="5B962A2D" w14:textId="77777777" w:rsidR="00033BD8" w:rsidRPr="00DE096C" w:rsidRDefault="00033BD8" w:rsidP="00D45A46">
      <w:pPr>
        <w:jc w:val="both"/>
        <w:rPr>
          <w:bCs/>
          <w:color w:val="002060"/>
          <w:sz w:val="16"/>
          <w:szCs w:val="16"/>
        </w:rPr>
      </w:pPr>
      <w:r w:rsidRPr="00DE096C">
        <w:rPr>
          <w:bCs/>
          <w:color w:val="002060"/>
          <w:sz w:val="16"/>
          <w:szCs w:val="16"/>
        </w:rPr>
        <w:t>В январе 1914 г. крестьянину А.Федорову выдана привилегия на 5-моторный аэроплан. До того времени ни один конструктор не предусматривая столь «большого количества моторов на самолет. Проект осуществи» не был (23320).</w:t>
      </w:r>
    </w:p>
    <w:p w14:paraId="2ADCD95D" w14:textId="77777777" w:rsidR="00033BD8" w:rsidRPr="00DE096C" w:rsidRDefault="00033BD8" w:rsidP="00D45A46">
      <w:pPr>
        <w:shd w:val="clear" w:color="auto" w:fill="FFFFFF"/>
        <w:jc w:val="both"/>
        <w:rPr>
          <w:bCs/>
          <w:i/>
          <w:color w:val="002060"/>
          <w:sz w:val="16"/>
          <w:szCs w:val="16"/>
        </w:rPr>
      </w:pPr>
    </w:p>
    <w:p w14:paraId="0A1A1B27" w14:textId="77777777" w:rsidR="000B7998" w:rsidRPr="00B52707" w:rsidRDefault="000B7998" w:rsidP="000B7998">
      <w:pPr>
        <w:jc w:val="both"/>
        <w:rPr>
          <w:color w:val="0070C0"/>
          <w:sz w:val="16"/>
          <w:szCs w:val="16"/>
        </w:rPr>
      </w:pPr>
      <w:r w:rsidRPr="00B52707">
        <w:rPr>
          <w:color w:val="0070C0"/>
          <w:sz w:val="16"/>
          <w:szCs w:val="16"/>
        </w:rPr>
        <w:t>В январе 1914 г. генералы во главе с военным министром генерал-адъютантом В.А. Сухомлиновым начали вести переговоры с В.М. Шидловским на предмет приобретения «муромцев» для оснащения авиаотрядов армии (24965).</w:t>
      </w:r>
    </w:p>
    <w:p w14:paraId="2690533A" w14:textId="77777777" w:rsidR="000B7998" w:rsidRPr="00B52707" w:rsidRDefault="000B7998" w:rsidP="000B7998">
      <w:pPr>
        <w:jc w:val="both"/>
        <w:rPr>
          <w:color w:val="0070C0"/>
          <w:sz w:val="16"/>
          <w:szCs w:val="16"/>
        </w:rPr>
      </w:pPr>
    </w:p>
    <w:p w14:paraId="12689A7F" w14:textId="77777777" w:rsidR="009038B0" w:rsidRPr="00DE096C" w:rsidRDefault="009038B0" w:rsidP="00D45A46">
      <w:pPr>
        <w:jc w:val="both"/>
        <w:rPr>
          <w:bCs/>
          <w:color w:val="002060"/>
          <w:sz w:val="16"/>
          <w:szCs w:val="16"/>
        </w:rPr>
      </w:pPr>
      <w:bookmarkStart w:id="2" w:name="_Hlk117159417"/>
      <w:bookmarkStart w:id="3" w:name="_Hlk117159558"/>
      <w:r w:rsidRPr="00DE096C">
        <w:rPr>
          <w:bCs/>
          <w:color w:val="002060"/>
          <w:sz w:val="16"/>
          <w:szCs w:val="16"/>
        </w:rPr>
        <w:t xml:space="preserve">В январе 1914 года был облетан самолет Ще-1 на лыжном шасси, после чего завод Щетинина получил заказ на строительство еще 5 аэропланов. Самолеты официально обозначались Щ-1 по названию завода С.С.Щетинина. Летающая лодка Щ-1 летала, в общем удовлетворительно, но требовалась ее дальнейшая доработка, повышение ее летных качеств. Следующей за Щ-1 летающей лодкой Григоровича стала Щ-2 (Морской второй) - более крупная, тоже двухместная, с двигателем Калеп в 80 л. с. Размеры и площадь крыльев были значительно увеличены, обводы лодки сильно изменены. Хвостовая часть трехгранного сечения (вершиной вверх) была приподнята на хвосте. Угол продольной килеватости был очень мал, редан вогнут и невысок. Под хвостом была пристроена на шарнирах лыжа. Коробка крыльев, установленная над корпусом лодки, монтировалась на стойках мотоустановки на высоте 100 мм над лодкой. Стабилизатор был сильно увеличен. Впервые в России постройка корпуса лодки Щ-2 производилась на стапеле килем вверх. Построено всего 2 самолета. Первый построили в середине июля 1914 года, и 1 августа начались испытания в Гребном порту. Они закончились катастрофой, летчик П.В.Евсюков погиб. Второй был сдан флоту в сентябре 1914 года после доработки. Летал на Черноморском флоте. За Щ-2 последовала летающая лодка Щ-3. Это было видоизменение самолета Щ-2 с двигателем Гном-Моносупап в 100 л. с. Корпус лодки оставлен прежний, но еще раз был изменен профиль крыльев. Полеты показали, что улучшений по сравнению с лодкой Щ-2 не получилось. Неудовлетворительной была мореходность. После опытной лодки Щ-3 была выпушена серийная летающая лодка Щ-4. Этот гидросамолет являлся видоизменением Щ-3 с тем же двигателем. Был изменен профиль крыльев и незначительно - корпус лодки. Редан был вогнутый, низкий, угол продольной килеватости очень малый. Стабилизатор был сделан с изменяемым в полете углом установки, для чего служил винтовой подъемник под его передней кромкой. Работы проводились осенью 1914-1915 гг. Все проведенные изменения дали некоторое улучшение и после испытаний, проведенных в Севастополе, летающая лодка Щ-4 была принята морским ведомством в шести экземплярах на Черноморском флоте к февралю 1915 года. </w:t>
      </w:r>
    </w:p>
    <w:p w14:paraId="51FBAB5D" w14:textId="77777777" w:rsidR="009038B0" w:rsidRPr="00DE096C" w:rsidRDefault="009038B0" w:rsidP="00D45A46">
      <w:pPr>
        <w:jc w:val="both"/>
        <w:rPr>
          <w:bCs/>
          <w:color w:val="002060"/>
          <w:sz w:val="16"/>
          <w:szCs w:val="16"/>
        </w:rPr>
      </w:pPr>
      <w:r w:rsidRPr="00DE096C">
        <w:rPr>
          <w:bCs/>
          <w:color w:val="002060"/>
          <w:sz w:val="16"/>
          <w:szCs w:val="16"/>
        </w:rPr>
        <w:t xml:space="preserve">ЛТХ: Размах крыльев - 13.68 м, длинна 8 м, площадь крыла 33.5 м.кв., масса пустого самолета 420 кг, нормальная взлетная 820 кг, на аппараты ставились моторы Гном мощностью 80 л.с., макс.скорость 90 км/ч, крейсерская скорость 70 км/ч, дальность полета 220-250 км, потолок 2000 м, экипаж 2 человека, вооружение: не предусматривалось, с началом войны ставились пулеметы Максим на импровизированной установке или ружье-пулеметы Мадсены или Федорова обр.1913 года. Пилоты могли брать 15-30 кг бомб в кабину (12284). </w:t>
      </w:r>
    </w:p>
    <w:p w14:paraId="3EE9F596" w14:textId="77777777" w:rsidR="009038B0" w:rsidRPr="00DE096C" w:rsidRDefault="009038B0" w:rsidP="00D45A46">
      <w:pPr>
        <w:jc w:val="both"/>
        <w:rPr>
          <w:bCs/>
          <w:color w:val="002060"/>
          <w:sz w:val="16"/>
          <w:szCs w:val="16"/>
        </w:rPr>
      </w:pPr>
    </w:p>
    <w:bookmarkEnd w:id="2"/>
    <w:bookmarkEnd w:id="3"/>
    <w:p w14:paraId="7A207EA9" w14:textId="77777777" w:rsidR="00537EDD" w:rsidRPr="00DE096C" w:rsidRDefault="00537EDD" w:rsidP="00D45A46">
      <w:pPr>
        <w:jc w:val="both"/>
        <w:rPr>
          <w:bCs/>
          <w:color w:val="002060"/>
          <w:sz w:val="16"/>
          <w:szCs w:val="16"/>
        </w:rPr>
      </w:pPr>
      <w:r w:rsidRPr="00DE096C">
        <w:rPr>
          <w:bCs/>
          <w:color w:val="002060"/>
          <w:sz w:val="16"/>
          <w:szCs w:val="16"/>
        </w:rPr>
        <w:t>В январе 1914 г. Терещенко сумел получить контракт на восемь «Фарман-22 бис». Его мастерские, переименованные в авиазавод, располагали к этому времени пятью металлорежущими и пятью деревообрабатывающими станками, ток для которых вырабатывал локомобиль мощностью 10 л. с. На заводе в 1913 г. трудилось около 25 человек, его директором был французский конструктор А. Пишоф, а испытателем самолетов — известная актриса и летчица Л.А. Галанчикова. После успешного выполнения первого заказа в 1915 г. штат предприятия увеличился до 120 человек. Но просуществовал завод недолго: осенью 1915 г. в связи с приближением линии фронта его эвакуировали в Москву, на «Дукс». Терещенко же организовал на свои деньги поезд-мастерскую, рабочие которого вернули в строй более 200 поврежденных самолетов. Они же закончили сборку 15 «Фарман-15», изготовление которых начиналось еще в Червонном (23472).</w:t>
      </w:r>
    </w:p>
    <w:p w14:paraId="4BA810E8" w14:textId="77777777" w:rsidR="00537EDD" w:rsidRPr="00DE096C" w:rsidRDefault="00537EDD" w:rsidP="00D45A46">
      <w:pPr>
        <w:jc w:val="both"/>
        <w:rPr>
          <w:bCs/>
          <w:color w:val="002060"/>
          <w:sz w:val="16"/>
          <w:szCs w:val="16"/>
        </w:rPr>
      </w:pPr>
    </w:p>
    <w:p w14:paraId="7B038A46"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Другие оборонные отрасли:</w:t>
      </w:r>
    </w:p>
    <w:p w14:paraId="51DCA7B9" w14:textId="77777777" w:rsidR="00B67D7C" w:rsidRPr="00DE096C" w:rsidRDefault="00B67D7C" w:rsidP="00D45A46">
      <w:pPr>
        <w:shd w:val="clear" w:color="auto" w:fill="FFFFFF"/>
        <w:jc w:val="both"/>
        <w:rPr>
          <w:bCs/>
          <w:i/>
          <w:color w:val="002060"/>
          <w:sz w:val="16"/>
          <w:szCs w:val="16"/>
        </w:rPr>
      </w:pPr>
    </w:p>
    <w:p w14:paraId="191B4DA2" w14:textId="5EB94050" w:rsidR="00B67D7C" w:rsidRPr="00DE096C" w:rsidRDefault="00BF4F39"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январе 1914 г. было образовано особое Междуведомственное совещание, которое признало дооборудование </w:t>
      </w:r>
      <w:r w:rsidRPr="00DE096C">
        <w:rPr>
          <w:bCs/>
          <w:color w:val="002060"/>
          <w:sz w:val="16"/>
          <w:szCs w:val="16"/>
        </w:rPr>
        <w:t xml:space="preserve">Пермских заводов </w:t>
      </w:r>
      <w:r w:rsidR="00B67D7C" w:rsidRPr="00DE096C">
        <w:rPr>
          <w:bCs/>
          <w:color w:val="002060"/>
          <w:sz w:val="16"/>
          <w:szCs w:val="16"/>
        </w:rPr>
        <w:t>необходимым, и постановило вести реконструкцию для производства дальнобойных орудий в две очереди — сначала наладить выпуск двенадцати 14" орудий в год и параллельно «силами инофирмы» провести дооборудование для производства 16" пушек. На роль этой инофирмы претендовали два кандидата — французская фирма «Шнейдер» и английская «Армстронг-Уитворт».</w:t>
      </w:r>
    </w:p>
    <w:p w14:paraId="477E0922" w14:textId="77777777" w:rsidR="00B67D7C" w:rsidRPr="00DE096C" w:rsidRDefault="00B67D7C" w:rsidP="00D45A46">
      <w:pPr>
        <w:jc w:val="both"/>
        <w:rPr>
          <w:bCs/>
          <w:color w:val="002060"/>
          <w:sz w:val="16"/>
          <w:szCs w:val="16"/>
        </w:rPr>
      </w:pPr>
      <w:r w:rsidRPr="00DE096C">
        <w:rPr>
          <w:bCs/>
          <w:color w:val="002060"/>
          <w:sz w:val="16"/>
          <w:szCs w:val="16"/>
        </w:rPr>
        <w:t>Междуведомственное совещание работало в течение всего января 1914 г. В проекте, предложенном фирмой «Шнейдер», были выявлены значительные недостатки. Во-первых, при оборудовании первой очереди производства мощности отдела дальнобойных орудий оказывались в состоянии исполнять лишь 7–8 пушек 14" или 16" калибра, что получалось "несогласно с заданиями Совещания" (12 орудий). Кроме того, французы в своем проекте планировали долгосрочное (12-летнее!) "техническое руководство" работой Пермских заводов, причем не только в части производства самих крупнокалиберных орудий, но также и снарядов к ним. Французский проект был на 200 тыс. руб. дороже английского, при этом значительная часть стоимости относилась за счет завода, что также не соответствовало заданию. Наконец, Совещание выразило мнение, что по отношению к поставленной задаче, т. е. постройке и оборудованию нового завода для производства крупных пушек, фирма «Армстронг» представляется более удобной ввиду того, что она сама готовит станки для выделки крупных орудий и имеет опыт устройства новых артиллерийских заводов в различных странах» (РГАВМФ, ф.401, оп.1, д. 477, п. 107.). (К этому времени в Италии уже начал успешно действовать артиллерийский завод фирмы «Ансальдо», сооруженный и оснащенный этой британской компанией). Совещание постановило заключить контракт с английской фирмой и поручить ей разработать подробный рабочий проект оснащения Пермских заводов оборудованием для производства 16" орудий, а также войти в Совет министров с запросом о выдаче дополнительных ассигнований для проведения работ по оборудованию второй очереди. Вопрос, казалось бы, был решен.</w:t>
      </w:r>
    </w:p>
    <w:p w14:paraId="4931298E" w14:textId="77777777" w:rsidR="00B67D7C" w:rsidRPr="00DE096C" w:rsidRDefault="00B67D7C" w:rsidP="00D45A46">
      <w:pPr>
        <w:jc w:val="both"/>
        <w:rPr>
          <w:bCs/>
          <w:color w:val="002060"/>
          <w:sz w:val="16"/>
          <w:szCs w:val="16"/>
        </w:rPr>
      </w:pPr>
      <w:r w:rsidRPr="00DE096C">
        <w:rPr>
          <w:bCs/>
          <w:color w:val="002060"/>
          <w:sz w:val="16"/>
          <w:szCs w:val="16"/>
        </w:rPr>
        <w:t xml:space="preserve">Однако в дело вмешались политики. Французская сторона подняла шум, что "английские фирмы прибрали к рукам все крупные заказы" по модернизации русской судостроительной промышленности, в то время как Франция не для того размещала у себя значительные русские займы, чтобы эти деньги текли в чужой карман. В России вынуждены были пойти на попятную. Фирме «Шнейдер» была обещана передача заказа на орудийный завод на следующих условиях: станки английского типа, или иные «не менее высокого и испытанного в России достоинства», годовое производство первой очереди — 12 орудий, затвор — системы «Виккерс» и — твердые гарантии по неустойкам. Французы поспешили согласиться. Вопрос с передачей заказа фирме «Шнейдер» был решен, и президент Франции Р. Пуанкаре </w:t>
      </w:r>
      <w:r w:rsidRPr="00DE096C">
        <w:rPr>
          <w:bCs/>
          <w:color w:val="002060"/>
          <w:sz w:val="16"/>
          <w:szCs w:val="16"/>
        </w:rPr>
        <w:lastRenderedPageBreak/>
        <w:t>перед его визитом в Россию в июле 1914 г. сделал в своем дневнике пометку: «Пермское дело — поблагодарить» (B.И. Бовыкин. Из истории проникновения иностранного капитала в Россию ("Пермское дело") // Научные доклады и сообщения Высшей школы. Исторические науки, № 1, 1958, с. 66–73.).</w:t>
      </w:r>
    </w:p>
    <w:p w14:paraId="7E13FC02" w14:textId="77777777" w:rsidR="00B67D7C" w:rsidRPr="00DE096C" w:rsidRDefault="00B67D7C" w:rsidP="00D45A46">
      <w:pPr>
        <w:jc w:val="both"/>
        <w:rPr>
          <w:bCs/>
          <w:color w:val="002060"/>
          <w:sz w:val="16"/>
          <w:szCs w:val="16"/>
        </w:rPr>
      </w:pPr>
      <w:r w:rsidRPr="00DE096C">
        <w:rPr>
          <w:bCs/>
          <w:color w:val="002060"/>
          <w:sz w:val="16"/>
          <w:szCs w:val="16"/>
        </w:rPr>
        <w:t>Замкнуть «большую тройку» артиллерийских заводов должен был вновь создаваемый завод в Царицыне. Контрагентом выступало Русское акционерное общество артиллерийских заводов, которое, в свою очередь, планировало заключить договор на проектирование завода, поставку оборудования и пуск производства с английской фирмой «Виккерс»</w:t>
      </w:r>
      <w:hyperlink w:anchor="c_24" w:history="1">
        <w:r w:rsidRPr="00DE096C">
          <w:rPr>
            <w:rStyle w:val="11"/>
            <w:bCs/>
            <w:color w:val="002060"/>
            <w:sz w:val="16"/>
            <w:szCs w:val="16"/>
            <w:vertAlign w:val="superscript"/>
          </w:rPr>
          <w:t>{24}</w:t>
        </w:r>
      </w:hyperlink>
      <w:r w:rsidRPr="00DE096C">
        <w:rPr>
          <w:bCs/>
          <w:color w:val="002060"/>
          <w:sz w:val="16"/>
          <w:szCs w:val="16"/>
        </w:rPr>
        <w:t>. Компания к тому времени уже зарекомендовала себя как давний и добрый партнер Морского министерства в самых разнообразных вопросах, от постройки военных кораблей на своих верфях и участия в конкурсном проектировании, до консультаций и технического перевооружения русских судостроительных заводов. Контракт Морского министерства с РАОАЗ, срок действия которого был определен с 1 августа 1913 г. по 1 января 1926 г., включал первый заказ на 36 14"/52 орудий, 30 8"/50 и 101 130мм/55 пушек, причем оговаривалось, что из первых 24 орудия могли быть изготовлены на заводах фирмы «Виккерс» в Англии. Для производства оставшихся орудий контрагент обязывался построить и оборудовать артиллерийский завод в Царицыне, мощность которого рассчитывалась для «выделки морских и крепостных, скрепленных цилиндрами орудий, от 5» до 16" при длине последних в 50 калибров, не позднее как к 1 сентября 1915 г.". Завод должен был быть оборудован для выделки ежегодно, в одну дневную смену, не менее чем 12 орудий 16" калибра и 50 орудий от 5" до 8" включительно (РГАВМФ, ф.401, оп.1, д. 184, лл.401–410.).</w:t>
      </w:r>
    </w:p>
    <w:p w14:paraId="5FB7C73F" w14:textId="77777777" w:rsidR="00B67D7C" w:rsidRPr="00DE096C" w:rsidRDefault="00B67D7C" w:rsidP="00D45A46">
      <w:pPr>
        <w:jc w:val="both"/>
        <w:rPr>
          <w:bCs/>
          <w:color w:val="002060"/>
          <w:sz w:val="16"/>
          <w:szCs w:val="16"/>
        </w:rPr>
      </w:pPr>
      <w:r w:rsidRPr="00DE096C">
        <w:rPr>
          <w:bCs/>
          <w:color w:val="002060"/>
          <w:sz w:val="16"/>
          <w:szCs w:val="16"/>
        </w:rPr>
        <w:t>Фирма «Виккерс», в свою очередь, являлась одним из крупнейших акционеров Царицынского артиллерийского завода, и была заинтересована в скорейшем окончании постройки и пуске этого предприятия. Заказанные в Англии станки и другие предметы оборудования в связи с начавшейся вскоре войной поступали в Россию с большим опозданием. Однако в целом по состоянию на июль 1916 г. сооружение и оснащение завода находились в высокой степени готовности, и вступление в строй первой очереди планировалось на весну 1917 г. (РГАВМФ, ф.401, оп.2, д. 818, лл.89–93.). Конечно, к тому времени вопрос о серийном изготовлении 14" и 16" морских орудий уже не стоял, и поэтому самое большое, для чего предполагалось немедленно задействовать завод, было производство короткоствольных армейских 12" и 16" гаубиц.</w:t>
      </w:r>
    </w:p>
    <w:p w14:paraId="286392BB" w14:textId="77777777" w:rsidR="00B67D7C" w:rsidRPr="00DE096C" w:rsidRDefault="00B67D7C" w:rsidP="00D45A46">
      <w:pPr>
        <w:jc w:val="both"/>
        <w:rPr>
          <w:bCs/>
          <w:color w:val="002060"/>
          <w:sz w:val="16"/>
          <w:szCs w:val="16"/>
        </w:rPr>
      </w:pPr>
      <w:r w:rsidRPr="00DE096C">
        <w:rPr>
          <w:bCs/>
          <w:color w:val="002060"/>
          <w:sz w:val="16"/>
          <w:szCs w:val="16"/>
        </w:rPr>
        <w:t>Комплектование Царицынского завода оборудованием практически прекратилось после марта 1917 г., когда английский союзник в связи со сменой власти в России приостановил поставки «до прояснения картины». В подобном же положении оказался еще ряд спешно оснащаемых в России оборонных производств (Ижорский и Ревдинский заводы, Ревельский порт, плавмастерская «Анадырь» и др.) (РГАВМФ, ф.401, оп.6, д. 1251, л.151.). Настоятельные требования русской стороны о возобновлении поставок оборудования позволили летом 1917 г. несколько сдвинуть дело, однако полностью укомплектовать завод оборудованием в связи со вскоре развернувшимися в России бурными событиями так и не удалось.</w:t>
      </w:r>
    </w:p>
    <w:p w14:paraId="0F00D76B" w14:textId="77777777" w:rsidR="00B67D7C" w:rsidRPr="00DE096C" w:rsidRDefault="00B67D7C" w:rsidP="00D45A46">
      <w:pPr>
        <w:jc w:val="both"/>
        <w:rPr>
          <w:bCs/>
          <w:color w:val="002060"/>
          <w:sz w:val="16"/>
          <w:szCs w:val="16"/>
        </w:rPr>
      </w:pPr>
      <w:r w:rsidRPr="00DE096C">
        <w:rPr>
          <w:bCs/>
          <w:color w:val="002060"/>
          <w:sz w:val="16"/>
          <w:szCs w:val="16"/>
        </w:rPr>
        <w:t>Однако сооружаемому в дни первой мировой войны в Царицыне артиллерийскому заводу все же довелось принять участие в изготовлении главного калибра для отечественных линкоров, правда, уже в советское время. В 30-е гг. завод (он получил название «Баррикады») все же был пущен в ход, и в 1939–1940 гг. на нем изготовили одно опытное и двенадцать серийных 1б"/50 орудий для строившихся линкоров класса «Советский Союз».</w:t>
      </w:r>
    </w:p>
    <w:p w14:paraId="2E54E24A" w14:textId="77777777" w:rsidR="00B67D7C" w:rsidRPr="00DE096C" w:rsidRDefault="00B67D7C" w:rsidP="00D45A46">
      <w:pPr>
        <w:jc w:val="both"/>
        <w:rPr>
          <w:bCs/>
          <w:color w:val="002060"/>
          <w:sz w:val="16"/>
          <w:szCs w:val="16"/>
        </w:rPr>
      </w:pPr>
      <w:r w:rsidRPr="00DE096C">
        <w:rPr>
          <w:bCs/>
          <w:color w:val="002060"/>
          <w:sz w:val="16"/>
          <w:szCs w:val="16"/>
        </w:rPr>
        <w:t>Полностью программа развертывания производства самых современных тяжелых орудий в России предусматривала изготовление их до пятидесяти единиц в год для нужд как флота, так и армии. Подобный уровень производства соответствовал первоклассным мировым стандартам, однако программа эта, в связи с драматическими событиями, вскоре постигшими Россию, осуществлена полностью не была (12109).</w:t>
      </w:r>
    </w:p>
    <w:p w14:paraId="0979F020" w14:textId="77777777" w:rsidR="00B67D7C" w:rsidRPr="00DE096C" w:rsidRDefault="00B67D7C" w:rsidP="00D45A46">
      <w:pPr>
        <w:jc w:val="both"/>
        <w:rPr>
          <w:bCs/>
          <w:color w:val="002060"/>
          <w:sz w:val="16"/>
          <w:szCs w:val="16"/>
        </w:rPr>
      </w:pPr>
    </w:p>
    <w:p w14:paraId="25FDBACB" w14:textId="77777777" w:rsidR="007A0148" w:rsidRPr="00DE096C" w:rsidRDefault="007A0148" w:rsidP="00D45A46">
      <w:pPr>
        <w:pStyle w:val="ae"/>
        <w:spacing w:before="0" w:beforeAutospacing="0" w:after="0" w:afterAutospacing="0"/>
        <w:jc w:val="both"/>
        <w:rPr>
          <w:bCs/>
          <w:color w:val="002060"/>
          <w:sz w:val="16"/>
          <w:szCs w:val="16"/>
        </w:rPr>
      </w:pPr>
      <w:r w:rsidRPr="00DE096C">
        <w:rPr>
          <w:bCs/>
          <w:color w:val="002060"/>
          <w:sz w:val="16"/>
          <w:szCs w:val="16"/>
        </w:rPr>
        <w:t>В январе 1914 г. было окончательно решено оборудовать Пермский завод с расчетом изготовления 16-дюймовых орудий. Пока шла затяжная ведомственная грызня, завод оказался к началу войны совсем необорудованным для производства даже легких орудий. Через год после начала войны Пермский завод, по заключению обследовавшей его комиссии, не походил на мощный артиллерийский завод европейского типа (18524).</w:t>
      </w:r>
    </w:p>
    <w:p w14:paraId="11F3B5F2" w14:textId="77777777" w:rsidR="007A0148" w:rsidRPr="00DE096C" w:rsidRDefault="007A0148" w:rsidP="00D45A46">
      <w:pPr>
        <w:pStyle w:val="ae"/>
        <w:spacing w:before="0" w:beforeAutospacing="0" w:after="0" w:afterAutospacing="0"/>
        <w:jc w:val="both"/>
        <w:rPr>
          <w:bCs/>
          <w:color w:val="002060"/>
          <w:sz w:val="16"/>
          <w:szCs w:val="16"/>
        </w:rPr>
      </w:pPr>
    </w:p>
    <w:p w14:paraId="1C77133A" w14:textId="4EFCF18F" w:rsidR="00616069" w:rsidRPr="00DE096C" w:rsidRDefault="00616069" w:rsidP="00D45A46">
      <w:pPr>
        <w:jc w:val="both"/>
        <w:rPr>
          <w:bCs/>
          <w:color w:val="002060"/>
          <w:sz w:val="16"/>
          <w:szCs w:val="16"/>
        </w:rPr>
      </w:pPr>
      <w:r w:rsidRPr="00DE096C">
        <w:rPr>
          <w:bCs/>
          <w:color w:val="002060"/>
          <w:sz w:val="16"/>
          <w:szCs w:val="16"/>
        </w:rPr>
        <w:t>В январе 1914года РАОА3 начал строительство кирпичного завода, а через шесть месяцев завод уже вырабатывал по 15 тысяч кирпичей в день. По тем же причинам, но несколько позже, было принято решение о строительстве собственного лесопильного завода.</w:t>
      </w:r>
    </w:p>
    <w:p w14:paraId="1F296C38" w14:textId="77777777" w:rsidR="00616069" w:rsidRPr="00DE096C" w:rsidRDefault="00616069" w:rsidP="00D45A46">
      <w:pPr>
        <w:jc w:val="both"/>
        <w:rPr>
          <w:bCs/>
          <w:color w:val="002060"/>
          <w:sz w:val="16"/>
          <w:szCs w:val="16"/>
        </w:rPr>
      </w:pPr>
      <w:r w:rsidRPr="00DE096C">
        <w:rPr>
          <w:bCs/>
          <w:color w:val="002060"/>
          <w:sz w:val="16"/>
          <w:szCs w:val="16"/>
        </w:rPr>
        <w:t>Основным строительным объектом были главные механические мастерские, позже названные большой орудийной мастерской с литерой «N» (в 1930–2008 годы до передачи «Красному Октябрю» – цех № 1).</w:t>
      </w:r>
    </w:p>
    <w:p w14:paraId="13295326" w14:textId="77777777" w:rsidR="00616069" w:rsidRPr="00DE096C" w:rsidRDefault="00616069" w:rsidP="00D45A46">
      <w:pPr>
        <w:jc w:val="both"/>
        <w:rPr>
          <w:bCs/>
          <w:color w:val="002060"/>
          <w:sz w:val="16"/>
          <w:szCs w:val="16"/>
        </w:rPr>
      </w:pPr>
      <w:r w:rsidRPr="00DE096C">
        <w:rPr>
          <w:bCs/>
          <w:color w:val="002060"/>
          <w:sz w:val="16"/>
          <w:szCs w:val="16"/>
        </w:rPr>
        <w:t>Строительство здания, начатое в начале октября 1913 года, в основном было завершено через год, когда уже шла установка станков.</w:t>
      </w:r>
    </w:p>
    <w:p w14:paraId="33679220" w14:textId="77777777" w:rsidR="00616069" w:rsidRPr="00DE096C" w:rsidRDefault="00616069" w:rsidP="00D45A46">
      <w:pPr>
        <w:jc w:val="both"/>
        <w:rPr>
          <w:bCs/>
          <w:color w:val="002060"/>
          <w:sz w:val="16"/>
          <w:szCs w:val="16"/>
        </w:rPr>
      </w:pPr>
      <w:r w:rsidRPr="00DE096C">
        <w:rPr>
          <w:bCs/>
          <w:color w:val="002060"/>
          <w:sz w:val="16"/>
          <w:szCs w:val="16"/>
        </w:rPr>
        <w:t>Наиболее трудоемкими при строительстве зданий мастерских были изготовление несущих металлоконструкций и мостовых кранов. Заказы на их изготовление начали выдаваться с середины 1913 года и оформлялись по мере готовности чертежей, их согласования с Виккерсом практически год. К изготовлению этих сооружений были привлечены практически все крупные металлические предприятия страны: Санкт Петербургский металлический завод, Коломенский машиностроительный, Брянский рельсопрокатный, железоделательный и механический, железоделательные, сталелитейные и механические заводы «Сормово», Царицынский металлургический завод Донецко-Юрьевского общества. Первый пункт договора о начале строительства завода не позже первого октября 1913 года был выполнен. Комиссия подтвердила, что РАОАЗ выполняет свое обещание. К середине 1914 года работы по строительству завода велись полномасштабно и с привлечением большого числа рабочих. К этому времени на заводе работало около тысячи собственных рабочих и около полутора тысяч привлеченных подрядчиками со стороны. Было решено провести торжественную закладку завода.</w:t>
      </w:r>
    </w:p>
    <w:p w14:paraId="275DADBE" w14:textId="77777777" w:rsidR="00616069" w:rsidRPr="00DE096C" w:rsidRDefault="00616069" w:rsidP="00D45A46">
      <w:pPr>
        <w:jc w:val="both"/>
        <w:rPr>
          <w:bCs/>
          <w:color w:val="002060"/>
          <w:sz w:val="16"/>
          <w:szCs w:val="16"/>
        </w:rPr>
      </w:pPr>
      <w:r w:rsidRPr="00DE096C">
        <w:rPr>
          <w:bCs/>
          <w:color w:val="002060"/>
          <w:sz w:val="16"/>
          <w:szCs w:val="16"/>
        </w:rPr>
        <w:t>Сначала это событие было намечено на апрель 1914 года. Затем несколько раз откладывали. И, наконец, назначили на 13 (27 – по новому стилю) июня 1914 года.</w:t>
      </w:r>
    </w:p>
    <w:p w14:paraId="4FDF1CE0" w14:textId="77777777" w:rsidR="00616069" w:rsidRPr="00DE096C" w:rsidRDefault="00616069" w:rsidP="00D45A46">
      <w:pPr>
        <w:jc w:val="both"/>
        <w:rPr>
          <w:bCs/>
          <w:color w:val="002060"/>
          <w:sz w:val="16"/>
          <w:szCs w:val="16"/>
        </w:rPr>
      </w:pPr>
      <w:r w:rsidRPr="00DE096C">
        <w:rPr>
          <w:bCs/>
          <w:color w:val="002060"/>
          <w:sz w:val="16"/>
          <w:szCs w:val="16"/>
        </w:rPr>
        <w:t>Приглашения были разосланы многим важным персонам: Военному и Морскому министрам, великим князьям. К приезду готовились. Были с деланы парадная деревянная лестница от волжского причала, по пути следования гостей арки, украшенные цветами, праздничные павильоны для угощения, большой деревянный план-макет завода. Гости прибыли из Царицына на двух пароходах – «Верблюд» и «Калева». Среди них не было приглашенных ни министров, ни великих князей. Однако празднование почтили своим присутствием помощник (заместитель) Морского министра вице адмирал Н. В. Бубнов, начальник главного управления кораблестроения вице адмирал Н.Н. Муравьев, начальник главного артиллерийского управления генерал лейтенант Д. Д. Кузьмин-Караваев, губернатор Саратовской губернии А. А.Ширинский Шахматов. В празднование были вовлечены и рабочие, которым выдавались красные рубахи и платки, 50 копеек и бесплатный обед. Но вскоре о празднике старались не вспоминать. Через месяц – 15 (28) июля в страну пришла беда, грянула мировая война, позже названная Первой. Поначалу правлению казалось, что война может помочь в ускорении строительства военного завода, стоимость работ может снизиться, а основные проблемы будут в нехватке рабочих рук при этом. Однако прогноз оказался неверным. Хотя в целом мобилизация, безусловно, создала дефицит рабочих рук – с завода были призваны около 800 рабочих, особого дефицита рабочих рук на заводе не ощущалось. А вот цены поползли вверх, в первую очередь как раз на рабочую силу. Но наиболее серьезные проблемы, связанные с войной, подошли с другой стороны.</w:t>
      </w:r>
    </w:p>
    <w:p w14:paraId="3D63A8D3" w14:textId="77777777" w:rsidR="00616069" w:rsidRPr="00DE096C" w:rsidRDefault="00616069" w:rsidP="00D45A46">
      <w:pPr>
        <w:jc w:val="both"/>
        <w:rPr>
          <w:bCs/>
          <w:color w:val="002060"/>
          <w:sz w:val="16"/>
          <w:szCs w:val="16"/>
        </w:rPr>
      </w:pPr>
      <w:r w:rsidRPr="00DE096C">
        <w:rPr>
          <w:bCs/>
          <w:color w:val="002060"/>
          <w:sz w:val="16"/>
          <w:szCs w:val="16"/>
        </w:rPr>
        <w:t>Значительно выросший потенциал российской промышленности позволял выполнять многие заказы РАОАЗ, но в значительной степени в кооперации с западными фирмами. Особенно это касалось электрооборудования. Одна за другой компании (РЭАО «Динамо», «Всемирная электрическая компания», РАО «Сименс-Шукерт» и др.) стали снимать с себя ответственность за соблюдение сроков поставки оборудования, а иногда ставили под сомнение саму поставку. Нарушилось железнодорожное сообщение.</w:t>
      </w:r>
    </w:p>
    <w:p w14:paraId="33506C43" w14:textId="77777777" w:rsidR="00616069" w:rsidRPr="00DE096C" w:rsidRDefault="00616069" w:rsidP="00D45A46">
      <w:pPr>
        <w:jc w:val="both"/>
        <w:rPr>
          <w:bCs/>
          <w:color w:val="002060"/>
          <w:sz w:val="16"/>
          <w:szCs w:val="16"/>
        </w:rPr>
      </w:pPr>
      <w:r w:rsidRPr="00DE096C">
        <w:rPr>
          <w:bCs/>
          <w:color w:val="002060"/>
          <w:sz w:val="16"/>
          <w:szCs w:val="16"/>
        </w:rPr>
        <w:t>Предприятия партнеры в Польше, Прибалтике не могли отгрузить готовую продукцию, так как приоритет отдавался военным грузам.</w:t>
      </w:r>
    </w:p>
    <w:p w14:paraId="2F56165D" w14:textId="77777777" w:rsidR="00616069" w:rsidRPr="00DE096C" w:rsidRDefault="00616069" w:rsidP="00D45A46">
      <w:pPr>
        <w:jc w:val="both"/>
        <w:rPr>
          <w:bCs/>
          <w:color w:val="002060"/>
          <w:sz w:val="16"/>
          <w:szCs w:val="16"/>
        </w:rPr>
      </w:pPr>
      <w:r w:rsidRPr="00DE096C">
        <w:rPr>
          <w:bCs/>
          <w:color w:val="002060"/>
          <w:sz w:val="16"/>
          <w:szCs w:val="16"/>
        </w:rPr>
        <w:t>Правление РАОАЗ было вынуждено обратиться за помощью к военному и морскому министрам, чтобы грузы в адрес царицынского завода рассматривались как военные. Не сразу, но такого решения удалось добиться. Но самая серьезная проблема оказалась в доставках импортных грузов, основными поставщиками которых были английские предприятия.</w:t>
      </w:r>
    </w:p>
    <w:p w14:paraId="14A4C754" w14:textId="77777777" w:rsidR="00616069" w:rsidRPr="00DE096C" w:rsidRDefault="00616069" w:rsidP="00D45A46">
      <w:pPr>
        <w:jc w:val="both"/>
        <w:rPr>
          <w:bCs/>
          <w:color w:val="002060"/>
          <w:sz w:val="16"/>
          <w:szCs w:val="16"/>
        </w:rPr>
      </w:pPr>
      <w:r w:rsidRPr="00DE096C">
        <w:rPr>
          <w:bCs/>
          <w:color w:val="002060"/>
          <w:sz w:val="16"/>
          <w:szCs w:val="16"/>
        </w:rPr>
        <w:t xml:space="preserve">Еще до начала боевых действий Турция, </w:t>
      </w:r>
      <w:r w:rsidRPr="00DE096C">
        <w:rPr>
          <w:bCs/>
          <w:color w:val="002060"/>
          <w:sz w:val="16"/>
          <w:szCs w:val="16"/>
          <w:lang w:val="en-US"/>
        </w:rPr>
        <w:t>c</w:t>
      </w:r>
      <w:r w:rsidRPr="00DE096C">
        <w:rPr>
          <w:bCs/>
          <w:color w:val="002060"/>
          <w:sz w:val="16"/>
          <w:szCs w:val="16"/>
        </w:rPr>
        <w:t>оюзник Германии в Первой мировой войне, задержала первое судно «Патмос» со станками, отправленное из Англии в Новороссийск. Специальные орудийные станки были конфискованы и установлены на турецком орудийном заводе. Так, наиболее короткий путь через Средиземное и Черное моря в Новороссийск был закрыт. Был закрыт путь и в прибалтийские порты – СанктПетербург, Ригу, Виндаву (Вентспилс) (12632).</w:t>
      </w:r>
    </w:p>
    <w:p w14:paraId="107F9751" w14:textId="77777777" w:rsidR="00616069" w:rsidRPr="00DE096C" w:rsidRDefault="00616069" w:rsidP="00D45A46">
      <w:pPr>
        <w:jc w:val="both"/>
        <w:rPr>
          <w:bCs/>
          <w:color w:val="002060"/>
          <w:sz w:val="16"/>
          <w:szCs w:val="16"/>
        </w:rPr>
      </w:pPr>
    </w:p>
    <w:p w14:paraId="20B1073D" w14:textId="131CCC1E" w:rsidR="00616069" w:rsidRPr="00DE096C" w:rsidRDefault="00616069" w:rsidP="00D45A46">
      <w:pPr>
        <w:jc w:val="both"/>
        <w:rPr>
          <w:bCs/>
          <w:color w:val="002060"/>
          <w:sz w:val="16"/>
          <w:szCs w:val="16"/>
        </w:rPr>
      </w:pPr>
      <w:r w:rsidRPr="00DE096C">
        <w:rPr>
          <w:bCs/>
          <w:color w:val="002060"/>
          <w:sz w:val="16"/>
          <w:szCs w:val="16"/>
        </w:rPr>
        <w:t>По январь 1914 г. с марта 1911 г.</w:t>
      </w:r>
      <w:r w:rsidR="0006581C">
        <w:rPr>
          <w:bCs/>
          <w:color w:val="002060"/>
          <w:sz w:val="16"/>
          <w:szCs w:val="16"/>
        </w:rPr>
        <w:t xml:space="preserve"> </w:t>
      </w:r>
      <w:r w:rsidRPr="00DE096C">
        <w:rPr>
          <w:bCs/>
          <w:color w:val="002060"/>
          <w:sz w:val="16"/>
          <w:szCs w:val="16"/>
        </w:rPr>
        <w:t>РАЗИПП Пузырева в общей сложности изготовил 38 автомобилей (12098).</w:t>
      </w:r>
    </w:p>
    <w:p w14:paraId="426F6436" w14:textId="77777777" w:rsidR="00616069" w:rsidRPr="00DE096C" w:rsidRDefault="00616069" w:rsidP="00D45A46">
      <w:pPr>
        <w:jc w:val="both"/>
        <w:rPr>
          <w:bCs/>
          <w:color w:val="002060"/>
          <w:sz w:val="16"/>
          <w:szCs w:val="16"/>
        </w:rPr>
      </w:pPr>
    </w:p>
    <w:p w14:paraId="4D97C13B"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w:t>
      </w:r>
    </w:p>
    <w:p w14:paraId="51DCD6BD" w14:textId="77777777" w:rsidR="00B67D7C" w:rsidRPr="00DE096C" w:rsidRDefault="00B67D7C" w:rsidP="00D45A46">
      <w:pPr>
        <w:shd w:val="clear" w:color="auto" w:fill="FFFFFF"/>
        <w:jc w:val="both"/>
        <w:rPr>
          <w:bCs/>
          <w:i/>
          <w:color w:val="002060"/>
          <w:sz w:val="16"/>
          <w:szCs w:val="16"/>
        </w:rPr>
      </w:pPr>
    </w:p>
    <w:p w14:paraId="2026F67D" w14:textId="6D046011" w:rsidR="00B67D7C" w:rsidRPr="00DE096C" w:rsidRDefault="00BF4F39" w:rsidP="00D45A46">
      <w:pPr>
        <w:shd w:val="clear" w:color="auto" w:fill="FFFFFF"/>
        <w:jc w:val="both"/>
        <w:rPr>
          <w:bCs/>
          <w:color w:val="002060"/>
          <w:sz w:val="16"/>
          <w:szCs w:val="16"/>
        </w:rPr>
      </w:pPr>
      <w:r w:rsidRPr="00DE096C">
        <w:rPr>
          <w:bCs/>
          <w:color w:val="002060"/>
          <w:sz w:val="16"/>
          <w:szCs w:val="16"/>
        </w:rPr>
        <w:t>В</w:t>
      </w:r>
      <w:r w:rsidR="00B67D7C" w:rsidRPr="00DE096C">
        <w:rPr>
          <w:bCs/>
          <w:color w:val="002060"/>
          <w:sz w:val="16"/>
          <w:szCs w:val="16"/>
        </w:rPr>
        <w:t xml:space="preserve"> ян</w:t>
      </w:r>
      <w:r w:rsidR="00B67D7C" w:rsidRPr="00DE096C">
        <w:rPr>
          <w:bCs/>
          <w:color w:val="002060"/>
          <w:sz w:val="16"/>
          <w:szCs w:val="16"/>
        </w:rPr>
        <w:softHyphen/>
        <w:t xml:space="preserve">варе 1914 года, </w:t>
      </w:r>
      <w:r w:rsidRPr="00DE096C">
        <w:rPr>
          <w:bCs/>
          <w:color w:val="002060"/>
          <w:sz w:val="16"/>
          <w:szCs w:val="16"/>
        </w:rPr>
        <w:t xml:space="preserve">приняв решение стать летчиком, Крутень </w:t>
      </w:r>
      <w:r w:rsidR="00B67D7C" w:rsidRPr="00DE096C">
        <w:rPr>
          <w:bCs/>
          <w:color w:val="002060"/>
          <w:sz w:val="16"/>
          <w:szCs w:val="16"/>
        </w:rPr>
        <w:t>по рекомендации Нестерова, посту</w:t>
      </w:r>
      <w:r w:rsidR="00B67D7C" w:rsidRPr="00DE096C">
        <w:rPr>
          <w:bCs/>
          <w:color w:val="002060"/>
          <w:sz w:val="16"/>
          <w:szCs w:val="16"/>
        </w:rPr>
        <w:softHyphen/>
        <w:t>пает в Гатчинскую военную авиационную школу, куда принимали преимущественно артиллеристов и сапе</w:t>
      </w:r>
      <w:r w:rsidR="00B67D7C" w:rsidRPr="00DE096C">
        <w:rPr>
          <w:bCs/>
          <w:color w:val="002060"/>
          <w:sz w:val="16"/>
          <w:szCs w:val="16"/>
        </w:rPr>
        <w:softHyphen/>
        <w:t>ров как более подготовленных технически офицеров. Во время обучения Евграф Николаевич проявил способности опытного пилота. Так, в августе 1914 года он выполнил на самолете «Фарман-16» две петли Нестерова и, выключив двигатель, благополучно при</w:t>
      </w:r>
      <w:r w:rsidR="00B67D7C" w:rsidRPr="00DE096C">
        <w:rPr>
          <w:bCs/>
          <w:color w:val="002060"/>
          <w:sz w:val="16"/>
          <w:szCs w:val="16"/>
        </w:rPr>
        <w:softHyphen/>
        <w:t>землился (553).</w:t>
      </w:r>
    </w:p>
    <w:p w14:paraId="11CAED7C" w14:textId="77777777" w:rsidR="00B67D7C" w:rsidRPr="00DE096C" w:rsidRDefault="00B67D7C" w:rsidP="00D45A46">
      <w:pPr>
        <w:shd w:val="clear" w:color="auto" w:fill="FFFFFF"/>
        <w:jc w:val="both"/>
        <w:rPr>
          <w:bCs/>
          <w:color w:val="002060"/>
          <w:sz w:val="16"/>
          <w:szCs w:val="16"/>
        </w:rPr>
      </w:pPr>
    </w:p>
    <w:p w14:paraId="310559E2" w14:textId="77777777" w:rsidR="007A0148" w:rsidRPr="00DE096C" w:rsidRDefault="007A0148" w:rsidP="00D45A46">
      <w:pPr>
        <w:jc w:val="both"/>
        <w:rPr>
          <w:bCs/>
          <w:color w:val="002060"/>
          <w:sz w:val="16"/>
          <w:szCs w:val="16"/>
        </w:rPr>
      </w:pPr>
      <w:r w:rsidRPr="00DE096C">
        <w:rPr>
          <w:bCs/>
          <w:color w:val="002060"/>
          <w:sz w:val="16"/>
          <w:szCs w:val="16"/>
        </w:rPr>
        <w:t>С января 1914 г. до начала войны поступление топлива прекратилось, и авиачасти использовали бензин, заготовленный воздухоплавательной частью ГУ ГШ в 1912 – 1913 гг. Не был решен также вопрос, какое из Главных управлений должно руководить специальной (боевой) подготовкой авиаотрядов (19566).</w:t>
      </w:r>
    </w:p>
    <w:p w14:paraId="3555F08B" w14:textId="77777777" w:rsidR="007A0148" w:rsidRPr="00DE096C" w:rsidRDefault="007A0148" w:rsidP="00D45A46">
      <w:pPr>
        <w:jc w:val="both"/>
        <w:rPr>
          <w:bCs/>
          <w:color w:val="002060"/>
          <w:sz w:val="16"/>
          <w:szCs w:val="16"/>
        </w:rPr>
      </w:pPr>
    </w:p>
    <w:p w14:paraId="630CE388" w14:textId="77777777" w:rsidR="00537EDD" w:rsidRPr="00DE096C" w:rsidRDefault="00537EDD" w:rsidP="00D45A46">
      <w:pPr>
        <w:jc w:val="both"/>
        <w:rPr>
          <w:bCs/>
          <w:color w:val="002060"/>
          <w:sz w:val="16"/>
          <w:szCs w:val="16"/>
        </w:rPr>
      </w:pPr>
      <w:r w:rsidRPr="00DE096C">
        <w:rPr>
          <w:bCs/>
          <w:color w:val="002060"/>
          <w:sz w:val="16"/>
          <w:szCs w:val="16"/>
          <w:lang w:bidi="en-US"/>
        </w:rPr>
        <w:t>В течение января 1914 г. в Офицерской воздухоплавательной школе в Санкт-Петербурге подполковник Муромцев читал курсы аэрофотосъемки, а подполковник Агапов вел курсы радиотехники.</w:t>
      </w:r>
    </w:p>
    <w:p w14:paraId="0081B64C" w14:textId="77777777" w:rsidR="00537EDD" w:rsidRPr="00DE096C" w:rsidRDefault="00537EDD" w:rsidP="00D45A46">
      <w:pPr>
        <w:jc w:val="both"/>
        <w:rPr>
          <w:bCs/>
          <w:color w:val="002060"/>
          <w:sz w:val="16"/>
          <w:szCs w:val="16"/>
        </w:rPr>
      </w:pPr>
    </w:p>
    <w:p w14:paraId="76294007" w14:textId="548C1D75" w:rsidR="00537EDD" w:rsidRPr="00DE096C" w:rsidRDefault="00537EDD" w:rsidP="00D45A46">
      <w:pPr>
        <w:shd w:val="clear" w:color="auto" w:fill="FFFFFF"/>
        <w:jc w:val="both"/>
        <w:rPr>
          <w:bCs/>
          <w:i/>
          <w:color w:val="002060"/>
          <w:sz w:val="16"/>
          <w:szCs w:val="16"/>
        </w:rPr>
      </w:pPr>
      <w:r w:rsidRPr="00DE096C">
        <w:rPr>
          <w:bCs/>
          <w:i/>
          <w:color w:val="002060"/>
          <w:sz w:val="16"/>
          <w:szCs w:val="16"/>
        </w:rPr>
        <w:lastRenderedPageBreak/>
        <w:t>Морская авиация:</w:t>
      </w:r>
    </w:p>
    <w:p w14:paraId="0080E39F" w14:textId="77777777" w:rsidR="00537EDD" w:rsidRPr="00DE096C" w:rsidRDefault="00537EDD" w:rsidP="00D45A46">
      <w:pPr>
        <w:shd w:val="clear" w:color="auto" w:fill="FFFFFF"/>
        <w:jc w:val="both"/>
        <w:rPr>
          <w:bCs/>
          <w:i/>
          <w:color w:val="002060"/>
          <w:sz w:val="16"/>
          <w:szCs w:val="16"/>
        </w:rPr>
      </w:pPr>
    </w:p>
    <w:p w14:paraId="6BA903DB" w14:textId="77777777" w:rsidR="00537EDD" w:rsidRPr="00DE096C" w:rsidRDefault="00537EDD" w:rsidP="00D45A46">
      <w:pPr>
        <w:jc w:val="both"/>
        <w:rPr>
          <w:bCs/>
          <w:color w:val="002060"/>
          <w:sz w:val="16"/>
          <w:szCs w:val="16"/>
          <w:lang w:bidi="en-US"/>
        </w:rPr>
      </w:pPr>
      <w:r w:rsidRPr="00DE096C">
        <w:rPr>
          <w:bCs/>
          <w:color w:val="002060"/>
          <w:sz w:val="16"/>
          <w:szCs w:val="16"/>
          <w:lang w:bidi="en-US"/>
        </w:rPr>
        <w:t xml:space="preserve">В январе 1914 года в Севастопольском военно-морском аэронавигационном депо теперь было одиннадцать пилотов, один Вуазен-Каннар, семь гидросамолетов </w:t>
      </w:r>
      <w:r w:rsidRPr="00DE096C">
        <w:rPr>
          <w:bCs/>
          <w:color w:val="002060"/>
          <w:sz w:val="16"/>
          <w:szCs w:val="16"/>
          <w:lang w:val="en-US" w:bidi="en-US"/>
        </w:rPr>
        <w:t>Curtiss</w:t>
      </w:r>
      <w:r w:rsidRPr="00DE096C">
        <w:rPr>
          <w:bCs/>
          <w:color w:val="002060"/>
          <w:sz w:val="16"/>
          <w:szCs w:val="16"/>
          <w:lang w:bidi="en-US"/>
        </w:rPr>
        <w:t xml:space="preserve"> модели </w:t>
      </w:r>
      <w:r w:rsidRPr="00DE096C">
        <w:rPr>
          <w:bCs/>
          <w:color w:val="002060"/>
          <w:sz w:val="16"/>
          <w:szCs w:val="16"/>
          <w:lang w:val="en-US" w:bidi="en-US"/>
        </w:rPr>
        <w:t>E</w:t>
      </w:r>
      <w:r w:rsidRPr="00DE096C">
        <w:rPr>
          <w:bCs/>
          <w:color w:val="002060"/>
          <w:sz w:val="16"/>
          <w:szCs w:val="16"/>
          <w:lang w:bidi="en-US"/>
        </w:rPr>
        <w:t xml:space="preserve">, два гидросамолета </w:t>
      </w:r>
      <w:r w:rsidRPr="00DE096C">
        <w:rPr>
          <w:bCs/>
          <w:color w:val="002060"/>
          <w:sz w:val="16"/>
          <w:szCs w:val="16"/>
          <w:lang w:val="en-US" w:bidi="en-US"/>
        </w:rPr>
        <w:t>Curtiss</w:t>
      </w:r>
      <w:r w:rsidRPr="00DE096C">
        <w:rPr>
          <w:bCs/>
          <w:color w:val="002060"/>
          <w:sz w:val="16"/>
          <w:szCs w:val="16"/>
          <w:lang w:bidi="en-US"/>
        </w:rPr>
        <w:t xml:space="preserve"> модели </w:t>
      </w:r>
      <w:r w:rsidRPr="00DE096C">
        <w:rPr>
          <w:bCs/>
          <w:color w:val="002060"/>
          <w:sz w:val="16"/>
          <w:szCs w:val="16"/>
          <w:lang w:val="en-US" w:bidi="en-US"/>
        </w:rPr>
        <w:t>D</w:t>
      </w:r>
      <w:r w:rsidRPr="00DE096C">
        <w:rPr>
          <w:bCs/>
          <w:color w:val="002060"/>
          <w:sz w:val="16"/>
          <w:szCs w:val="16"/>
          <w:lang w:bidi="en-US"/>
        </w:rPr>
        <w:t xml:space="preserve"> и одна летающая лодка </w:t>
      </w:r>
      <w:r w:rsidRPr="00DE096C">
        <w:rPr>
          <w:bCs/>
          <w:color w:val="002060"/>
          <w:sz w:val="16"/>
          <w:szCs w:val="16"/>
          <w:lang w:val="en-US" w:bidi="en-US"/>
        </w:rPr>
        <w:t>Curtiss</w:t>
      </w:r>
      <w:r w:rsidRPr="00DE096C">
        <w:rPr>
          <w:bCs/>
          <w:color w:val="002060"/>
          <w:sz w:val="16"/>
          <w:szCs w:val="16"/>
          <w:lang w:bidi="en-US"/>
        </w:rPr>
        <w:t xml:space="preserve"> (23525).</w:t>
      </w:r>
    </w:p>
    <w:p w14:paraId="4E05D222" w14:textId="77777777" w:rsidR="00537EDD" w:rsidRPr="00DE096C" w:rsidRDefault="00537EDD" w:rsidP="00D45A46">
      <w:pPr>
        <w:jc w:val="both"/>
        <w:rPr>
          <w:bCs/>
          <w:color w:val="002060"/>
          <w:sz w:val="16"/>
          <w:szCs w:val="16"/>
        </w:rPr>
      </w:pPr>
    </w:p>
    <w:p w14:paraId="505B452E" w14:textId="77777777" w:rsidR="00537EDD" w:rsidRPr="00DE096C" w:rsidRDefault="00537EDD" w:rsidP="00D45A46">
      <w:pPr>
        <w:jc w:val="both"/>
        <w:rPr>
          <w:bCs/>
          <w:color w:val="002060"/>
          <w:sz w:val="16"/>
          <w:szCs w:val="16"/>
          <w:lang w:bidi="en-US"/>
        </w:rPr>
      </w:pPr>
      <w:r w:rsidRPr="00DE096C">
        <w:rPr>
          <w:bCs/>
          <w:color w:val="002060"/>
          <w:sz w:val="16"/>
          <w:szCs w:val="16"/>
          <w:lang w:bidi="en-US"/>
        </w:rPr>
        <w:t>В течение января и февраля 1914 г. на Черноморском флоте проводились испытания гидросамолетов, работающих с крейсером «Кагул». Планировалось переоборудовать еще одно судно «Алмаз» в авианосец, способный нести две летающие лодки (23525).</w:t>
      </w:r>
    </w:p>
    <w:p w14:paraId="5879E5F4" w14:textId="77777777" w:rsidR="00537EDD" w:rsidRPr="00DE096C" w:rsidRDefault="00537EDD" w:rsidP="00D45A46">
      <w:pPr>
        <w:jc w:val="both"/>
        <w:rPr>
          <w:bCs/>
          <w:color w:val="002060"/>
          <w:sz w:val="16"/>
          <w:szCs w:val="16"/>
        </w:rPr>
      </w:pPr>
    </w:p>
    <w:p w14:paraId="57779F3A" w14:textId="77777777" w:rsidR="00537EDD" w:rsidRPr="00DE096C" w:rsidRDefault="00537EDD" w:rsidP="00D45A46">
      <w:pPr>
        <w:jc w:val="both"/>
        <w:rPr>
          <w:bCs/>
          <w:color w:val="002060"/>
          <w:sz w:val="16"/>
          <w:szCs w:val="16"/>
          <w:lang w:bidi="en-US"/>
        </w:rPr>
      </w:pPr>
      <w:r w:rsidRPr="00DE096C">
        <w:rPr>
          <w:bCs/>
          <w:color w:val="002060"/>
          <w:sz w:val="16"/>
          <w:szCs w:val="16"/>
          <w:lang w:bidi="en-US"/>
        </w:rPr>
        <w:t>В январе 1914 г. в составе Балтийского флота было восемь летчиков-офицеров, тринадцать нижних летчиков, тридцать девять человек, шесть гидросамолетов и одна летающая лодка. Морским летчикам разрешалось носить специальный значок на правой стороне формы (23525).</w:t>
      </w:r>
    </w:p>
    <w:p w14:paraId="232448E4" w14:textId="77777777" w:rsidR="00537EDD" w:rsidRPr="00DE096C" w:rsidRDefault="00537EDD" w:rsidP="00D45A46">
      <w:pPr>
        <w:jc w:val="both"/>
        <w:rPr>
          <w:bCs/>
          <w:color w:val="002060"/>
          <w:sz w:val="16"/>
          <w:szCs w:val="16"/>
        </w:rPr>
      </w:pPr>
    </w:p>
    <w:p w14:paraId="6FCA8D3D" w14:textId="6C395630" w:rsidR="00537EDD" w:rsidRPr="00DE096C" w:rsidRDefault="00537EDD" w:rsidP="00D45A46">
      <w:pPr>
        <w:shd w:val="clear" w:color="auto" w:fill="FFFFFF"/>
        <w:jc w:val="both"/>
        <w:rPr>
          <w:bCs/>
          <w:i/>
          <w:color w:val="002060"/>
          <w:sz w:val="16"/>
          <w:szCs w:val="16"/>
        </w:rPr>
      </w:pPr>
      <w:r w:rsidRPr="00DE096C">
        <w:rPr>
          <w:bCs/>
          <w:i/>
          <w:color w:val="002060"/>
          <w:sz w:val="16"/>
          <w:szCs w:val="16"/>
        </w:rPr>
        <w:t>Воздухоплавание:</w:t>
      </w:r>
    </w:p>
    <w:p w14:paraId="3DE792CF" w14:textId="77777777" w:rsidR="00537EDD" w:rsidRPr="00DE096C" w:rsidRDefault="00537EDD" w:rsidP="00D45A46">
      <w:pPr>
        <w:shd w:val="clear" w:color="auto" w:fill="FFFFFF"/>
        <w:jc w:val="both"/>
        <w:rPr>
          <w:bCs/>
          <w:i/>
          <w:color w:val="002060"/>
          <w:sz w:val="16"/>
          <w:szCs w:val="16"/>
        </w:rPr>
      </w:pPr>
    </w:p>
    <w:p w14:paraId="07506B4A" w14:textId="77777777" w:rsidR="00537EDD" w:rsidRPr="00DE096C" w:rsidRDefault="00537EDD" w:rsidP="00D45A46">
      <w:pPr>
        <w:jc w:val="both"/>
        <w:rPr>
          <w:bCs/>
          <w:color w:val="002060"/>
          <w:sz w:val="16"/>
          <w:szCs w:val="16"/>
          <w:lang w:bidi="en-US"/>
        </w:rPr>
      </w:pPr>
      <w:r w:rsidRPr="00DE096C">
        <w:rPr>
          <w:bCs/>
          <w:color w:val="002060"/>
          <w:sz w:val="16"/>
          <w:szCs w:val="16"/>
          <w:lang w:bidi="en-US"/>
        </w:rPr>
        <w:t>В январе 1914 года Россия занимала четвертое место в мире по количеству дирижаблей, но к началу войны большинство из них технически устарело. Лишь четыре из них — «Кондор», «Беркут», «Астра» и «Альбатрос» — выполнили несколько задач военного времени, но низкая скорость (35–55 км/ч) и устаревшая конструкция делали их уязвимыми в полевых условиях (23525).</w:t>
      </w:r>
    </w:p>
    <w:p w14:paraId="3330AD68" w14:textId="77777777" w:rsidR="00537EDD" w:rsidRPr="00DE096C" w:rsidRDefault="00537EDD" w:rsidP="00D45A46">
      <w:pPr>
        <w:jc w:val="both"/>
        <w:rPr>
          <w:bCs/>
          <w:color w:val="002060"/>
          <w:sz w:val="16"/>
          <w:szCs w:val="16"/>
          <w:lang w:bidi="en-US"/>
        </w:rPr>
      </w:pPr>
    </w:p>
    <w:p w14:paraId="3B3490FD" w14:textId="77777777" w:rsidR="000B7998" w:rsidRPr="00B52707" w:rsidRDefault="000B7998" w:rsidP="000B7998">
      <w:pPr>
        <w:jc w:val="both"/>
        <w:rPr>
          <w:color w:val="0070C0"/>
          <w:sz w:val="16"/>
          <w:szCs w:val="16"/>
        </w:rPr>
      </w:pPr>
      <w:r w:rsidRPr="00B52707">
        <w:rPr>
          <w:color w:val="0070C0"/>
          <w:sz w:val="16"/>
          <w:szCs w:val="16"/>
        </w:rPr>
        <w:t>По состоянию на январь 1914 г. дири</w:t>
      </w:r>
      <w:r w:rsidRPr="00B52707">
        <w:rPr>
          <w:color w:val="0070C0"/>
          <w:sz w:val="16"/>
          <w:szCs w:val="16"/>
        </w:rPr>
        <w:softHyphen/>
        <w:t>жабли имелись в:</w:t>
      </w:r>
    </w:p>
    <w:p w14:paraId="6AAB0210" w14:textId="77777777" w:rsidR="000B7998" w:rsidRPr="00B52707" w:rsidRDefault="000B7998" w:rsidP="000B7998">
      <w:pPr>
        <w:jc w:val="both"/>
        <w:rPr>
          <w:color w:val="0070C0"/>
          <w:sz w:val="16"/>
          <w:szCs w:val="16"/>
        </w:rPr>
      </w:pPr>
      <w:bookmarkStart w:id="4" w:name="bookmark73"/>
      <w:bookmarkEnd w:id="4"/>
      <w:r w:rsidRPr="00B52707">
        <w:rPr>
          <w:color w:val="0070C0"/>
          <w:sz w:val="16"/>
          <w:szCs w:val="16"/>
        </w:rPr>
        <w:t>- 2-й воздухоплавательной роте (г. Брест-Литовск) - дирижабли «Кондор» (объём 9 600м3) и «Бер</w:t>
      </w:r>
      <w:r w:rsidRPr="00B52707">
        <w:rPr>
          <w:color w:val="0070C0"/>
          <w:sz w:val="16"/>
          <w:szCs w:val="16"/>
        </w:rPr>
        <w:softHyphen/>
        <w:t>кут» (объём 2140 м3);</w:t>
      </w:r>
    </w:p>
    <w:p w14:paraId="3D7B1CF1" w14:textId="77777777" w:rsidR="000B7998" w:rsidRPr="00B52707" w:rsidRDefault="000B7998" w:rsidP="000B7998">
      <w:pPr>
        <w:jc w:val="both"/>
        <w:rPr>
          <w:color w:val="0070C0"/>
          <w:sz w:val="16"/>
          <w:szCs w:val="16"/>
        </w:rPr>
      </w:pPr>
      <w:bookmarkStart w:id="5" w:name="bookmark74"/>
      <w:bookmarkEnd w:id="5"/>
      <w:r w:rsidRPr="00B52707">
        <w:rPr>
          <w:color w:val="0070C0"/>
          <w:sz w:val="16"/>
          <w:szCs w:val="16"/>
        </w:rPr>
        <w:t>- 3-й воздухоплавательной роте (г. Лида) - дирижабли «Астра» (объ</w:t>
      </w:r>
      <w:r w:rsidRPr="00B52707">
        <w:rPr>
          <w:color w:val="0070C0"/>
          <w:sz w:val="16"/>
          <w:szCs w:val="16"/>
        </w:rPr>
        <w:softHyphen/>
        <w:t>ём 9800 м3) и «Голубь» (объём 2270 м3);</w:t>
      </w:r>
    </w:p>
    <w:p w14:paraId="3712306E" w14:textId="77777777" w:rsidR="000B7998" w:rsidRPr="00B52707" w:rsidRDefault="000B7998" w:rsidP="000B7998">
      <w:pPr>
        <w:jc w:val="both"/>
        <w:rPr>
          <w:color w:val="0070C0"/>
          <w:sz w:val="16"/>
          <w:szCs w:val="16"/>
        </w:rPr>
      </w:pPr>
      <w:bookmarkStart w:id="6" w:name="bookmark75"/>
      <w:bookmarkEnd w:id="6"/>
      <w:r w:rsidRPr="00B52707">
        <w:rPr>
          <w:color w:val="0070C0"/>
          <w:sz w:val="16"/>
          <w:szCs w:val="16"/>
        </w:rPr>
        <w:t>- 4-й воздухоплавательной роте (г. Бердичев) - дирижабль «Буре</w:t>
      </w:r>
      <w:r w:rsidRPr="00B52707">
        <w:rPr>
          <w:color w:val="0070C0"/>
          <w:sz w:val="16"/>
          <w:szCs w:val="16"/>
        </w:rPr>
        <w:softHyphen/>
        <w:t>вестник» (объём 10 000 м3);</w:t>
      </w:r>
    </w:p>
    <w:p w14:paraId="4FD8AE7F" w14:textId="77777777" w:rsidR="000B7998" w:rsidRPr="00B52707" w:rsidRDefault="000B7998" w:rsidP="000B7998">
      <w:pPr>
        <w:jc w:val="both"/>
        <w:rPr>
          <w:color w:val="0070C0"/>
          <w:sz w:val="16"/>
          <w:szCs w:val="16"/>
        </w:rPr>
      </w:pPr>
      <w:r w:rsidRPr="00B52707">
        <w:rPr>
          <w:color w:val="0070C0"/>
          <w:sz w:val="16"/>
          <w:szCs w:val="16"/>
        </w:rPr>
        <w:t>- Учебном воздухоплавательном парке (в военное время - 12-я воз</w:t>
      </w:r>
      <w:r w:rsidRPr="00B52707">
        <w:rPr>
          <w:color w:val="0070C0"/>
          <w:sz w:val="16"/>
          <w:szCs w:val="16"/>
        </w:rPr>
        <w:softHyphen/>
        <w:t>духоплавательная рота), при Офи</w:t>
      </w:r>
      <w:r w:rsidRPr="00B52707">
        <w:rPr>
          <w:color w:val="0070C0"/>
          <w:sz w:val="16"/>
          <w:szCs w:val="16"/>
        </w:rPr>
        <w:softHyphen/>
        <w:t>церской воздухоплавательной школе (с. Салази близ г. Гатчи</w:t>
      </w:r>
      <w:r w:rsidRPr="00B52707">
        <w:rPr>
          <w:color w:val="0070C0"/>
          <w:sz w:val="16"/>
          <w:szCs w:val="16"/>
        </w:rPr>
        <w:softHyphen/>
        <w:t>ны) - дирижабли «Альбатрос» (объ</w:t>
      </w:r>
      <w:r w:rsidRPr="00B52707">
        <w:rPr>
          <w:color w:val="0070C0"/>
          <w:sz w:val="16"/>
          <w:szCs w:val="16"/>
        </w:rPr>
        <w:softHyphen/>
        <w:t>ём 10 000 м3) и «Ястреб» (объём 2800 м3).</w:t>
      </w:r>
    </w:p>
    <w:p w14:paraId="46AB235D" w14:textId="77777777" w:rsidR="000B7998" w:rsidRPr="00B52707" w:rsidRDefault="000B7998" w:rsidP="000B7998">
      <w:pPr>
        <w:jc w:val="both"/>
        <w:rPr>
          <w:color w:val="0070C0"/>
          <w:sz w:val="16"/>
          <w:szCs w:val="16"/>
        </w:rPr>
      </w:pPr>
      <w:r w:rsidRPr="00B52707">
        <w:rPr>
          <w:color w:val="0070C0"/>
          <w:sz w:val="16"/>
          <w:szCs w:val="16"/>
        </w:rPr>
        <w:t>Так же имелись дирижабли «Со</w:t>
      </w:r>
      <w:r w:rsidRPr="00B52707">
        <w:rPr>
          <w:color w:val="0070C0"/>
          <w:sz w:val="16"/>
          <w:szCs w:val="16"/>
        </w:rPr>
        <w:softHyphen/>
        <w:t>кол» (объём 2500 м3), «Кречет» (объ</w:t>
      </w:r>
      <w:r w:rsidRPr="00B52707">
        <w:rPr>
          <w:color w:val="0070C0"/>
          <w:sz w:val="16"/>
          <w:szCs w:val="16"/>
        </w:rPr>
        <w:softHyphen/>
        <w:t>ём 33 000 м3), «Лебедь» (объём 9600 м3), «Коршун» (объём 12 000 м3) (Дузь П.Д. История воздухоплавания и авиации в России. М. 1981 г.).</w:t>
      </w:r>
    </w:p>
    <w:p w14:paraId="2E788FD6" w14:textId="77777777" w:rsidR="000B7998" w:rsidRPr="00B52707" w:rsidRDefault="000B7998" w:rsidP="000B7998">
      <w:pPr>
        <w:jc w:val="both"/>
        <w:rPr>
          <w:color w:val="0070C0"/>
          <w:sz w:val="16"/>
          <w:szCs w:val="16"/>
        </w:rPr>
      </w:pPr>
      <w:r w:rsidRPr="00B52707">
        <w:rPr>
          <w:color w:val="0070C0"/>
          <w:sz w:val="16"/>
          <w:szCs w:val="16"/>
        </w:rPr>
        <w:t>Значительные штаты требовались и для наземного обслуживания, напри</w:t>
      </w:r>
      <w:r w:rsidRPr="00B52707">
        <w:rPr>
          <w:color w:val="0070C0"/>
          <w:sz w:val="16"/>
          <w:szCs w:val="16"/>
        </w:rPr>
        <w:softHyphen/>
        <w:t>мер, для поднятия в воздух и заведе</w:t>
      </w:r>
      <w:r w:rsidRPr="00B52707">
        <w:rPr>
          <w:color w:val="0070C0"/>
          <w:sz w:val="16"/>
          <w:szCs w:val="16"/>
        </w:rPr>
        <w:softHyphen/>
        <w:t>ния в ангар при сильных порывах ве</w:t>
      </w:r>
      <w:r w:rsidRPr="00B52707">
        <w:rPr>
          <w:color w:val="0070C0"/>
          <w:sz w:val="16"/>
          <w:szCs w:val="16"/>
        </w:rPr>
        <w:softHyphen/>
        <w:t>тра требовались усилия до 200 человек, удерживавших дирижабль за ванты. На</w:t>
      </w:r>
      <w:r w:rsidRPr="00B52707">
        <w:rPr>
          <w:color w:val="0070C0"/>
          <w:sz w:val="16"/>
          <w:szCs w:val="16"/>
        </w:rPr>
        <w:softHyphen/>
        <w:t>земный технический персонал состоял обычно из 20-25 человек для большого и 8-10 человек для малого дирижабля (24962).</w:t>
      </w:r>
    </w:p>
    <w:p w14:paraId="6232D18B" w14:textId="77777777" w:rsidR="000B7998" w:rsidRPr="00B52707" w:rsidRDefault="000B7998" w:rsidP="000B7998">
      <w:pPr>
        <w:jc w:val="both"/>
        <w:rPr>
          <w:color w:val="0070C0"/>
          <w:sz w:val="16"/>
          <w:szCs w:val="16"/>
        </w:rPr>
      </w:pPr>
    </w:p>
    <w:p w14:paraId="3CF9DC3D" w14:textId="48995891"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 и воздухоплавание Германии:</w:t>
      </w:r>
    </w:p>
    <w:p w14:paraId="5882DE89" w14:textId="77777777" w:rsidR="00B67D7C" w:rsidRPr="00DE096C" w:rsidRDefault="00B67D7C" w:rsidP="00D45A46">
      <w:pPr>
        <w:shd w:val="clear" w:color="auto" w:fill="FFFFFF"/>
        <w:jc w:val="both"/>
        <w:rPr>
          <w:bCs/>
          <w:i/>
          <w:color w:val="002060"/>
          <w:sz w:val="16"/>
          <w:szCs w:val="16"/>
        </w:rPr>
      </w:pPr>
    </w:p>
    <w:p w14:paraId="2FA00776" w14:textId="77777777" w:rsidR="00B67D7C" w:rsidRPr="00DE096C" w:rsidRDefault="00B67D7C" w:rsidP="00D45A46">
      <w:pPr>
        <w:jc w:val="both"/>
        <w:rPr>
          <w:bCs/>
          <w:color w:val="002060"/>
          <w:sz w:val="16"/>
          <w:szCs w:val="16"/>
        </w:rPr>
      </w:pPr>
      <w:r w:rsidRPr="00DE096C">
        <w:rPr>
          <w:bCs/>
          <w:color w:val="002060"/>
          <w:sz w:val="16"/>
          <w:szCs w:val="16"/>
        </w:rPr>
        <w:t xml:space="preserve">В январе 1914 года Германия по общему объему (244 000 куб. м) и по боевым качествам своих дирижаблей обладала самым мощным воздухоплавательным флотом в мире. К ведению боевых операций на суше были готовы шесть жестких дирижаблей фирмы «Цеппелин»: Z-IV (эллинг в Кенигсберге), Z-V (Познань), Z-VI (Кельн), Z-VII (Баден), Z-VIII (Трир), Z-IX (Дюссельдорф); два мобилизованных гражданских транспортных цеппелина «Саксония» (Франкфурт-на-Майне), «Ганза» (Йоганнистале); один дирижабль SL-2 (Лигнице) и три нежестких «Парсеваля» (PL-2, PL-3, PL-4). Вдоль западной границы была построена система воздухоплавательных баз и аэродромов. Кроме них, имелся ряд военных и [93] частных эллингов для дирижаблей жесткого типа в Меце, Дрездене, Алленштейне, Готе, Иоганнистале и Лейпциге. Строились эллинги близ Дюссельдорфа, Бонна, Дармштадта, Мангейма, Фридрихсхафена, Ганновера, Шнейдемюля и Ютербога. Некоторые из них имели собственные газодобывающие заводы. Из-за того что ввод и вывод дирижаблей, особенно больших, при боковом ветре более 6 м/с был небезопасен, потребовалось иметь поворотные эллинги, которыми можно было пользоваться при любом направлении ветра. Началась постройка семи таких новых сооружений, но вскоре все работы были приостановлены. </w:t>
      </w:r>
    </w:p>
    <w:p w14:paraId="294AFD9B" w14:textId="77777777" w:rsidR="00B67D7C" w:rsidRPr="00DE096C" w:rsidRDefault="00B67D7C" w:rsidP="00D45A46">
      <w:pPr>
        <w:jc w:val="both"/>
        <w:rPr>
          <w:bCs/>
          <w:color w:val="002060"/>
          <w:sz w:val="16"/>
          <w:szCs w:val="16"/>
        </w:rPr>
      </w:pPr>
      <w:r w:rsidRPr="00DE096C">
        <w:rPr>
          <w:bCs/>
          <w:color w:val="002060"/>
          <w:sz w:val="16"/>
          <w:szCs w:val="16"/>
        </w:rPr>
        <w:t>Германское морское управляемое воздухоплавание вступило в войну, имея в составе лишь один боеготовный L-3, гражданский цеппелин «Виктория-Луиза», один полужесткий дирижабль системы Гросс-Базенах «Милитэр» M-IV, который был передан из армии и базировался в Киле, и два мягких «Парсеваля», предназначенных для учебы и тренировок экипажей (11324).</w:t>
      </w:r>
    </w:p>
    <w:p w14:paraId="3CEFDE94" w14:textId="77777777" w:rsidR="00B67D7C" w:rsidRPr="00DE096C" w:rsidRDefault="00B67D7C" w:rsidP="00D45A46">
      <w:pPr>
        <w:shd w:val="clear" w:color="auto" w:fill="FFFFFF"/>
        <w:jc w:val="both"/>
        <w:rPr>
          <w:bCs/>
          <w:i/>
          <w:color w:val="002060"/>
          <w:sz w:val="16"/>
          <w:szCs w:val="16"/>
        </w:rPr>
      </w:pPr>
    </w:p>
    <w:p w14:paraId="593AA13E" w14:textId="77777777" w:rsidR="007A0148" w:rsidRPr="00DE096C" w:rsidRDefault="007A0148" w:rsidP="00D45A46">
      <w:pPr>
        <w:jc w:val="both"/>
        <w:rPr>
          <w:bCs/>
          <w:i/>
          <w:color w:val="002060"/>
          <w:sz w:val="16"/>
          <w:szCs w:val="16"/>
        </w:rPr>
      </w:pPr>
      <w:r w:rsidRPr="00DE096C">
        <w:rPr>
          <w:bCs/>
          <w:i/>
          <w:color w:val="002060"/>
          <w:sz w:val="16"/>
          <w:szCs w:val="16"/>
        </w:rPr>
        <w:t>Авиация и воздухоплавание Франции:</w:t>
      </w:r>
    </w:p>
    <w:p w14:paraId="39489A52" w14:textId="77777777" w:rsidR="007A0148" w:rsidRPr="00DE096C" w:rsidRDefault="007A0148" w:rsidP="00D45A46">
      <w:pPr>
        <w:jc w:val="both"/>
        <w:rPr>
          <w:bCs/>
          <w:i/>
          <w:color w:val="002060"/>
          <w:sz w:val="16"/>
          <w:szCs w:val="16"/>
        </w:rPr>
      </w:pPr>
    </w:p>
    <w:p w14:paraId="31550A9D" w14:textId="77777777" w:rsidR="007A0148" w:rsidRPr="00DE096C" w:rsidRDefault="007A0148" w:rsidP="00D45A46">
      <w:pPr>
        <w:jc w:val="both"/>
        <w:rPr>
          <w:bCs/>
          <w:color w:val="002060"/>
          <w:sz w:val="16"/>
          <w:szCs w:val="16"/>
        </w:rPr>
      </w:pPr>
      <w:r w:rsidRPr="00DE096C">
        <w:rPr>
          <w:bCs/>
          <w:color w:val="002060"/>
          <w:sz w:val="16"/>
          <w:szCs w:val="16"/>
        </w:rPr>
        <w:t xml:space="preserve">В январе 1914 г. самолёт </w:t>
      </w:r>
      <w:r w:rsidRPr="00DE096C">
        <w:rPr>
          <w:bCs/>
          <w:color w:val="002060"/>
          <w:sz w:val="16"/>
          <w:szCs w:val="16"/>
          <w:lang w:val="en-US"/>
        </w:rPr>
        <w:t>Benoist</w:t>
      </w:r>
      <w:r w:rsidRPr="00DE096C">
        <w:rPr>
          <w:bCs/>
          <w:color w:val="002060"/>
          <w:sz w:val="16"/>
          <w:szCs w:val="16"/>
        </w:rPr>
        <w:t xml:space="preserve"> XIV первым в мире начад регулярные пассажирские авиаперевозки (15834).</w:t>
      </w:r>
    </w:p>
    <w:p w14:paraId="2685062C" w14:textId="77777777" w:rsidR="007A0148" w:rsidRPr="00DE096C" w:rsidRDefault="007A0148" w:rsidP="00D45A46">
      <w:pPr>
        <w:jc w:val="both"/>
        <w:rPr>
          <w:bCs/>
          <w:color w:val="002060"/>
          <w:sz w:val="16"/>
          <w:szCs w:val="16"/>
        </w:rPr>
      </w:pPr>
    </w:p>
    <w:p w14:paraId="64B45256" w14:textId="77777777" w:rsidR="000B7998" w:rsidRPr="00B52707" w:rsidRDefault="000B7998" w:rsidP="000B7998">
      <w:pPr>
        <w:jc w:val="both"/>
        <w:rPr>
          <w:color w:val="0070C0"/>
          <w:sz w:val="16"/>
          <w:szCs w:val="16"/>
        </w:rPr>
      </w:pPr>
      <w:r w:rsidRPr="00B52707">
        <w:rPr>
          <w:color w:val="0070C0"/>
          <w:sz w:val="16"/>
          <w:szCs w:val="16"/>
        </w:rPr>
        <w:t>В январе 1914 г. должность Главного конструктора предприятия Ньюпор занял морской инженер по образованию и авиатор «от бога» Густав Деляж (25025).</w:t>
      </w:r>
    </w:p>
    <w:p w14:paraId="74C78774" w14:textId="77777777" w:rsidR="000B7998" w:rsidRPr="00B52707" w:rsidRDefault="000B7998" w:rsidP="000B7998">
      <w:pPr>
        <w:jc w:val="both"/>
        <w:rPr>
          <w:color w:val="0070C0"/>
          <w:sz w:val="16"/>
          <w:szCs w:val="16"/>
        </w:rPr>
      </w:pPr>
    </w:p>
    <w:p w14:paraId="25A461A8" w14:textId="77777777" w:rsidR="000B7998" w:rsidRPr="00B52707" w:rsidRDefault="000B7998" w:rsidP="000B7998">
      <w:pPr>
        <w:jc w:val="both"/>
        <w:rPr>
          <w:color w:val="0070C0"/>
          <w:sz w:val="16"/>
          <w:szCs w:val="16"/>
        </w:rPr>
      </w:pPr>
      <w:r w:rsidRPr="00B52707">
        <w:rPr>
          <w:color w:val="0070C0"/>
          <w:sz w:val="16"/>
          <w:szCs w:val="16"/>
        </w:rPr>
        <w:t>В январе 1914 г. на посты главного конструктора – технического директора и директора Главного департамента самолетов фирмы «Ньюпор» взамен космополита со швейцарским и немецким паспортами Франца Шнейдера пришел новый человек – инженер с пилотским бреве Поль-Густав Деляж. От предшественников ему в наследство досталось несколько монопланов, самыми последними из которых являлись Ньюпор Х и XI– с номерами римскими цифрами, «потомки» первенцев фирмы, типов II и IV.</w:t>
      </w:r>
    </w:p>
    <w:p w14:paraId="2E432EE4" w14:textId="77777777" w:rsidR="000B7998" w:rsidRPr="00B52707" w:rsidRDefault="000B7998" w:rsidP="000B7998">
      <w:pPr>
        <w:jc w:val="both"/>
        <w:rPr>
          <w:color w:val="0070C0"/>
          <w:sz w:val="16"/>
          <w:szCs w:val="16"/>
        </w:rPr>
      </w:pPr>
      <w:r w:rsidRPr="00B52707">
        <w:rPr>
          <w:color w:val="0070C0"/>
          <w:sz w:val="16"/>
          <w:szCs w:val="16"/>
        </w:rPr>
        <w:t>Французское Морское министерство заказало несколько 80-сильных Ньюпор Х на поплавках, а армия – на колесах, но с двухрядным ротативным мотором Гном «Дубль Омега» в 160 л.с., новым капотом и обтекаемым коком винта. Экипаж защищала броня из 3-мм сталеникелевых листов, а летнаб имел пулемет. Все это выглядело весьма прогрессивно, однако двигатель «Дубль Омега» оставался ненадежен и строился штучно, и при всем том даже с ним летные данные «блиндированного Ньюпора» оставляли желать лучшего. И дело заключалось не только в весе 18-цилиндрового «чуда техники» и брони.</w:t>
      </w:r>
    </w:p>
    <w:p w14:paraId="626AB7E5" w14:textId="77777777" w:rsidR="000B7998" w:rsidRPr="00B52707" w:rsidRDefault="000B7998" w:rsidP="000B7998">
      <w:pPr>
        <w:jc w:val="both"/>
        <w:rPr>
          <w:color w:val="0070C0"/>
          <w:sz w:val="16"/>
          <w:szCs w:val="16"/>
        </w:rPr>
      </w:pPr>
      <w:r w:rsidRPr="00B52707">
        <w:rPr>
          <w:color w:val="0070C0"/>
          <w:sz w:val="16"/>
          <w:szCs w:val="16"/>
        </w:rPr>
        <w:t>Деляж сравнил аэродинамическое качество, отношение сопротивления и подъемной силы биплана и моноплана при разных располагаемых мощностях силовой установки, и определил, что уже при ста лошадиных силах первый может иметь лучшие летные данные. Казалось бы, два крыла со стойками и растяжками между ними заведомо дадут большие сопротивление и вес, но правильный расчет позволял сделать наоборот. Бипланная коробка получалась меньше в размахе и жестче при меньшем количестве растяжек (кстати, делать монопланы без них тогда тоже не умели), а стойки нужно ставить только между фюзеляжем и центропланом (тогда эту конструкцию называли «кабан» от французского слова “cabane” – «домик») и на концах крыльев. Это давало двойную выгоду: если биплан будет легче моноплана, то и площадь крыльев его можно сделать меньше, выиграв еще и в весе и в общем аэродинамическом сопротивлении, хотя его индуктивная составляющая на двух крыльях обычно выше, чем на одном (25758).</w:t>
      </w:r>
    </w:p>
    <w:p w14:paraId="331DA894" w14:textId="77777777" w:rsidR="000B7998" w:rsidRPr="00B52707" w:rsidRDefault="000B7998" w:rsidP="000B7998">
      <w:pPr>
        <w:jc w:val="both"/>
        <w:rPr>
          <w:color w:val="0070C0"/>
          <w:sz w:val="16"/>
          <w:szCs w:val="16"/>
        </w:rPr>
      </w:pPr>
    </w:p>
    <w:p w14:paraId="3124C0CF" w14:textId="77777777" w:rsidR="000B7998" w:rsidRPr="00DE096C" w:rsidRDefault="000B7998" w:rsidP="000B7998">
      <w:pPr>
        <w:jc w:val="both"/>
        <w:rPr>
          <w:bCs/>
          <w:i/>
          <w:color w:val="002060"/>
          <w:sz w:val="16"/>
          <w:szCs w:val="16"/>
        </w:rPr>
      </w:pPr>
      <w:r w:rsidRPr="00DE096C">
        <w:rPr>
          <w:bCs/>
          <w:i/>
          <w:color w:val="002060"/>
          <w:sz w:val="16"/>
          <w:szCs w:val="16"/>
        </w:rPr>
        <w:t>Самолетостроение:</w:t>
      </w:r>
    </w:p>
    <w:p w14:paraId="6A059A3E" w14:textId="77777777" w:rsidR="000B7998" w:rsidRPr="00DE096C" w:rsidRDefault="000B7998" w:rsidP="000B7998">
      <w:pPr>
        <w:jc w:val="both"/>
        <w:rPr>
          <w:bCs/>
          <w:i/>
          <w:color w:val="002060"/>
          <w:sz w:val="16"/>
          <w:szCs w:val="16"/>
        </w:rPr>
      </w:pPr>
    </w:p>
    <w:p w14:paraId="219A1C58" w14:textId="77777777" w:rsidR="000B7998" w:rsidRPr="00DE096C" w:rsidRDefault="000B7998" w:rsidP="000B7998">
      <w:pPr>
        <w:jc w:val="both"/>
        <w:rPr>
          <w:bCs/>
          <w:color w:val="002060"/>
          <w:sz w:val="16"/>
          <w:szCs w:val="16"/>
        </w:rPr>
      </w:pPr>
      <w:r w:rsidRPr="00DE096C">
        <w:rPr>
          <w:bCs/>
          <w:color w:val="002060"/>
          <w:sz w:val="16"/>
          <w:szCs w:val="16"/>
        </w:rPr>
        <w:t>В январе-марте 1914 года на ИМ было выполнено большое количество полётов, установлено несколько мировых рекордов по поднятию груза и количеству пассажиров на борту (16 человек плюс собака). В ходе этих полётов величавый гигант стал привычным явлением в столичном небе. Публика самого высшего сорта посещала Комендантский аэродром, наблюдая за взлётом и посадкой, а наиболее смелые решались и на полёт, благо конструктор и руководство аэродрома не отказывали им в этом.</w:t>
      </w:r>
    </w:p>
    <w:p w14:paraId="303E154A" w14:textId="77777777" w:rsidR="000B7998" w:rsidRPr="00DE096C" w:rsidRDefault="000B7998" w:rsidP="000B7998">
      <w:pPr>
        <w:jc w:val="both"/>
        <w:rPr>
          <w:bCs/>
          <w:color w:val="002060"/>
          <w:sz w:val="16"/>
          <w:szCs w:val="16"/>
        </w:rPr>
      </w:pPr>
      <w:r w:rsidRPr="00DE096C">
        <w:rPr>
          <w:bCs/>
          <w:color w:val="002060"/>
          <w:sz w:val="16"/>
          <w:szCs w:val="16"/>
        </w:rPr>
        <w:t>В ходе полётов конструктор продолжал вносить изменения. В феврале внешние двигатели были несколько приподняты относительно внутренних и установлены на новых моторамах из деревянных брусьев. Им сменили и радиаторы, которые установили горизонтально, увеличив площадь поверхности теплообмена. Это решение позволило улучшить работу двигателей, сделав её безотказной на более продолжительный срок. В таком виде самолёт продолжил испытания.</w:t>
      </w:r>
    </w:p>
    <w:p w14:paraId="58C38FFF" w14:textId="77777777" w:rsidR="000B7998" w:rsidRPr="00DE096C" w:rsidRDefault="000B7998" w:rsidP="000B7998">
      <w:pPr>
        <w:jc w:val="both"/>
        <w:rPr>
          <w:bCs/>
          <w:color w:val="002060"/>
          <w:sz w:val="16"/>
          <w:szCs w:val="16"/>
        </w:rPr>
      </w:pPr>
      <w:r w:rsidRPr="00DE096C">
        <w:rPr>
          <w:bCs/>
          <w:color w:val="002060"/>
          <w:sz w:val="16"/>
          <w:szCs w:val="16"/>
        </w:rPr>
        <w:t>К марту Сикорский вполне освоил пилотирование "Муромца" на различных режимах и решился на определение полных возможностей своего детища. В ходе полётов были последовательно остановлены один, два и даже три двигателя. Полёг продолжался, лишь усилия на педалях несколько возрастали ввиду необходимости парировать разворачивающий момент. Техники и члены экипажа выходили на крыло, перемешались от двигателя к двигателю. В одном из полётов к крайнему мотору прошли даже два человека. Все эти перемещения никоим образом не сказались на устойчивости самолёта - расчёт конструктора на высокую инертность тяжёлого самолёта, как определяющий фактор устойчивости в воздухе, оправдался полностью!</w:t>
      </w:r>
    </w:p>
    <w:p w14:paraId="61781ADA" w14:textId="77777777" w:rsidR="000B7998" w:rsidRPr="00DE096C" w:rsidRDefault="000B7998" w:rsidP="000B7998">
      <w:pPr>
        <w:jc w:val="both"/>
        <w:rPr>
          <w:bCs/>
          <w:color w:val="002060"/>
          <w:sz w:val="16"/>
          <w:szCs w:val="16"/>
        </w:rPr>
      </w:pPr>
      <w:r w:rsidRPr="00DE096C">
        <w:rPr>
          <w:bCs/>
          <w:color w:val="002060"/>
          <w:sz w:val="16"/>
          <w:szCs w:val="16"/>
        </w:rPr>
        <w:t xml:space="preserve">В конце февраля из Франции прибыли заказанные там самые мощные на тот момент авиационные двигатели - 14-цилиндровые двойные звёзды водяного охлаждения "Сальмсон" 2М7 в 200 л.с. Было решено установить их вместо внутренних "Аргусов", внешние "Аргусы" в 100 л.с. заменили на новые в 115 л.с. Более мощные "Сальмсоны" потребовали очередного увеличения площади радиаторов и их сделали двухсекционными, установив секции с двух сторон за двигателем. 14 марта "Муромец" с обновлённой силовой установкой выполнил первый полёт. После операции по пересадке "пламенного сердца" воздушный богатырь будто напился живой </w:t>
      </w:r>
      <w:r w:rsidRPr="00DE096C">
        <w:rPr>
          <w:bCs/>
          <w:color w:val="002060"/>
          <w:sz w:val="16"/>
          <w:szCs w:val="16"/>
        </w:rPr>
        <w:lastRenderedPageBreak/>
        <w:t>воды. Разбег сократился наполовину, набор высоты принял весьма интенсивный характер, скорость ощутимо возросла. В таком виде самолёт стал ещё более "лакомым кусочком" для военных. Но первыми свои права на гиганта заявили моряки...(12041).</w:t>
      </w:r>
    </w:p>
    <w:p w14:paraId="57AB08A4" w14:textId="77777777" w:rsidR="000B7998" w:rsidRPr="00DE096C" w:rsidRDefault="000B7998" w:rsidP="000B7998">
      <w:pPr>
        <w:jc w:val="both"/>
        <w:rPr>
          <w:bCs/>
          <w:color w:val="002060"/>
          <w:sz w:val="16"/>
          <w:szCs w:val="16"/>
        </w:rPr>
      </w:pPr>
    </w:p>
    <w:p w14:paraId="4BBE484B" w14:textId="77777777" w:rsidR="007A0148" w:rsidRPr="00DE096C" w:rsidRDefault="007A0148" w:rsidP="00D45A46">
      <w:pPr>
        <w:jc w:val="both"/>
        <w:rPr>
          <w:bCs/>
          <w:i/>
          <w:color w:val="002060"/>
          <w:sz w:val="16"/>
          <w:szCs w:val="16"/>
        </w:rPr>
      </w:pPr>
      <w:r w:rsidRPr="00DE096C">
        <w:rPr>
          <w:bCs/>
          <w:i/>
          <w:color w:val="002060"/>
          <w:sz w:val="16"/>
          <w:szCs w:val="16"/>
        </w:rPr>
        <w:t>Самолетостроение:</w:t>
      </w:r>
    </w:p>
    <w:p w14:paraId="5DE84694" w14:textId="77777777" w:rsidR="007A0148" w:rsidRPr="00DE096C" w:rsidRDefault="007A0148" w:rsidP="00D45A46">
      <w:pPr>
        <w:jc w:val="both"/>
        <w:rPr>
          <w:bCs/>
          <w:i/>
          <w:color w:val="002060"/>
          <w:sz w:val="16"/>
          <w:szCs w:val="16"/>
        </w:rPr>
      </w:pPr>
    </w:p>
    <w:p w14:paraId="32E873BC" w14:textId="77777777" w:rsidR="007A0148" w:rsidRPr="00DE096C" w:rsidRDefault="007A0148" w:rsidP="00D45A46">
      <w:pPr>
        <w:shd w:val="clear" w:color="auto" w:fill="FFFFFF"/>
        <w:jc w:val="both"/>
        <w:rPr>
          <w:bCs/>
          <w:color w:val="002060"/>
          <w:sz w:val="16"/>
          <w:szCs w:val="16"/>
        </w:rPr>
      </w:pPr>
      <w:r w:rsidRPr="00DE096C">
        <w:rPr>
          <w:bCs/>
          <w:color w:val="002060"/>
          <w:sz w:val="16"/>
          <w:szCs w:val="16"/>
        </w:rPr>
        <w:t>В начале 1914 г. конкурсный 1913 г. «Моран-Сольнье» тип G был освоен заводом Дукс и успел еще до войны попасть в авиаотряд П. Н.Нестерова. В том же году в России появился двухместный разведчик «Моран-парасоль» тип L без элеронов (с «гошированием» — перекашиванием крыльев), а в 1915 г. — тип Р с элеронами. Для 1914—1915 гг. тип L обладал неплохими летными качествами и превосходил аналогичные немецкие самолеты, летчики его любили. Скорость с «Гномом» или «Роном» в 80 л. с. составляла 127 км/ч, На « Дуксе » построили около 400 экземпляров, в конце войны тип L широко применяли как учебный и тренировочный. Последние экземпляры в летном состоянии дожили до 1925 г. Появившийся вслед за ним «Моран-парасоль Р» (иначе «Моран четвертый» или «Морчет») с «Роном» в 110—120 л. с. и с элеронами взамен перекашивания неожиданно оказался весьма строгим в пилотировании. Несмотря на значительно возросшие летные данные, у летчиков он не пользовался популярностью. На « Дуксе » его не строили, ограничившись сборкой нескольких французских экземпляров. За «зонтиками» («Моран-парасолями») в 1916 г. из Франции последовал одноместный истребитель-среднеплан «Моран-монокок» или «Мормон» с «Роном» в 120 л. с. (иногда в 110 л. с). На лопастях ставили отсекатели пуль, поскольку синхронизатора не было. Французский самолет, закупленный в небольшом количестве, был сложным в пилотировании, в 1917 г. на « Дуксе » построили лишь пробный экземпляр. Уменьшенной копией «монокока» с «Роном» в 80 л. с. стал «Моран N». Площадь крыльев не превышала 11,0 м². Его начинали строить на « Дуксе » еще в 1916 г., но по неясным причинам не закончили. В единственном экземпляре в 1917 г. построили на « Дуксе » совсем нехарактерный для фирмы «Моран-Сольнье» одностоечный биплан — двухместный разведчик. Его так и называли «Моран-биплан» или «Морбип». Фюзеляж по конструкции повторял «Моран-Монокок», двигатель — «Рон» в 110 л. с. Отличительной особенностью было наличие двух синхронных пулеметов «Виккерс» (15219).</w:t>
      </w:r>
    </w:p>
    <w:p w14:paraId="1AACB037" w14:textId="77777777" w:rsidR="007A0148" w:rsidRPr="00DE096C" w:rsidRDefault="007A0148" w:rsidP="00D45A46">
      <w:pPr>
        <w:shd w:val="clear" w:color="auto" w:fill="FFFFFF"/>
        <w:jc w:val="both"/>
        <w:rPr>
          <w:bCs/>
          <w:color w:val="002060"/>
          <w:sz w:val="16"/>
          <w:szCs w:val="16"/>
        </w:rPr>
      </w:pPr>
    </w:p>
    <w:p w14:paraId="252DEC42" w14:textId="77777777" w:rsidR="00BF4F39" w:rsidRPr="00DE096C" w:rsidRDefault="00BF4F39" w:rsidP="00D45A46">
      <w:pPr>
        <w:shd w:val="clear" w:color="auto" w:fill="FFFFFF"/>
        <w:jc w:val="both"/>
        <w:rPr>
          <w:bCs/>
          <w:color w:val="002060"/>
          <w:sz w:val="16"/>
          <w:szCs w:val="16"/>
        </w:rPr>
      </w:pPr>
      <w:r w:rsidRPr="00DE096C">
        <w:rPr>
          <w:bCs/>
          <w:color w:val="002060"/>
          <w:sz w:val="16"/>
          <w:szCs w:val="16"/>
        </w:rPr>
        <w:t>В начале 1914 г. конкурсный 1913 г. «Моран-Сольнье» тип С, освоен</w:t>
      </w:r>
      <w:r w:rsidRPr="00DE096C">
        <w:rPr>
          <w:bCs/>
          <w:color w:val="002060"/>
          <w:sz w:val="16"/>
          <w:szCs w:val="16"/>
        </w:rPr>
        <w:softHyphen/>
        <w:t>ный «Дуксом», успел еще до войны попасть в авиаотряд П.Н.Нестерова, на нем он и совершил свой первый в мире воздушный таран. Вскоре в России появился двухместный разведчик «Моран-парасоль» тип Ь, в 1915 г. — тип Р. В 1914—1915 гг. тип Ь с неплохи</w:t>
      </w:r>
      <w:r w:rsidRPr="00DE096C">
        <w:rPr>
          <w:bCs/>
          <w:color w:val="002060"/>
          <w:sz w:val="16"/>
          <w:szCs w:val="16"/>
        </w:rPr>
        <w:softHyphen/>
        <w:t>ми летными качествами превосходил аналогичные немец</w:t>
      </w:r>
      <w:r w:rsidRPr="00DE096C">
        <w:rPr>
          <w:bCs/>
          <w:color w:val="002060"/>
          <w:sz w:val="16"/>
          <w:szCs w:val="16"/>
        </w:rPr>
        <w:softHyphen/>
        <w:t>кие самолеты, летчики его любили. На «Дуксе» построили около 400 машин, в конце войны этот тип широко применя</w:t>
      </w:r>
      <w:r w:rsidRPr="00DE096C">
        <w:rPr>
          <w:bCs/>
          <w:color w:val="002060"/>
          <w:sz w:val="16"/>
          <w:szCs w:val="16"/>
        </w:rPr>
        <w:softHyphen/>
        <w:t>ли как учебно-тренировочный. Последние экземпляры в летном состоянии дожили до 1925 г. (9651).</w:t>
      </w:r>
    </w:p>
    <w:p w14:paraId="6DCD5792" w14:textId="77777777" w:rsidR="00BF4F39" w:rsidRPr="00DE096C" w:rsidRDefault="00BF4F39" w:rsidP="00D45A46">
      <w:pPr>
        <w:shd w:val="clear" w:color="auto" w:fill="FFFFFF"/>
        <w:jc w:val="both"/>
        <w:rPr>
          <w:bCs/>
          <w:color w:val="002060"/>
          <w:sz w:val="16"/>
          <w:szCs w:val="16"/>
        </w:rPr>
      </w:pPr>
      <w:r w:rsidRPr="00DE096C">
        <w:rPr>
          <w:bCs/>
          <w:color w:val="002060"/>
          <w:sz w:val="16"/>
          <w:szCs w:val="16"/>
        </w:rPr>
        <w:t>Появившийся затем «Моран-парасоль Р» («Моран чет</w:t>
      </w:r>
      <w:r w:rsidRPr="00DE096C">
        <w:rPr>
          <w:bCs/>
          <w:color w:val="002060"/>
          <w:sz w:val="16"/>
          <w:szCs w:val="16"/>
        </w:rPr>
        <w:softHyphen/>
        <w:t>вертый» или «Морчет») с «Роном» в 110—120 л.с. был весьма строг в пилотировании и не пользовался популяр</w:t>
      </w:r>
      <w:r w:rsidRPr="00DE096C">
        <w:rPr>
          <w:bCs/>
          <w:color w:val="002060"/>
          <w:sz w:val="16"/>
          <w:szCs w:val="16"/>
        </w:rPr>
        <w:softHyphen/>
        <w:t>ностью. Вслед за «зонтиками» («парасолями») в 1916 г. построили одноместный истребитель-среднеплан «Моран-монокок». На лопастях стояли отсекатели пуль. Самолет оказался сложным в пилотировании, в 1917 г. на «Дуксе» построили только пробный экземпляр. Умень</w:t>
      </w:r>
      <w:r w:rsidRPr="00DE096C">
        <w:rPr>
          <w:bCs/>
          <w:color w:val="002060"/>
          <w:sz w:val="16"/>
          <w:szCs w:val="16"/>
        </w:rPr>
        <w:softHyphen/>
        <w:t>шенной копией «монокока» с двигателем «Рон» в 80 л.с. стал «Моран» тип N. Его начали строить еще в 1916 г., но по неясным причинам не закончили. В единственном экземпляре в 1917 г. на «Дуксе» построили нехарактерный для фирмы «Моран-Сольнье» одностоечный биплан — двухместный разведчик с двумя синхронными пулеметами.</w:t>
      </w:r>
    </w:p>
    <w:p w14:paraId="79A573B2" w14:textId="77777777" w:rsidR="00BF4F39" w:rsidRPr="00DE096C" w:rsidRDefault="00BF4F39" w:rsidP="00D45A46">
      <w:pPr>
        <w:shd w:val="clear" w:color="auto" w:fill="FFFFFF"/>
        <w:jc w:val="both"/>
        <w:rPr>
          <w:bCs/>
          <w:color w:val="002060"/>
          <w:sz w:val="16"/>
          <w:szCs w:val="16"/>
        </w:rPr>
      </w:pPr>
      <w:r w:rsidRPr="00DE096C">
        <w:rPr>
          <w:bCs/>
          <w:color w:val="002060"/>
          <w:sz w:val="16"/>
          <w:szCs w:val="16"/>
        </w:rPr>
        <w:t>Всего в 1914—1917 гг. завод выпустил около 400 «Мо</w:t>
      </w:r>
      <w:r w:rsidRPr="00DE096C">
        <w:rPr>
          <w:bCs/>
          <w:color w:val="002060"/>
          <w:sz w:val="16"/>
          <w:szCs w:val="16"/>
        </w:rPr>
        <w:softHyphen/>
        <w:t>ранов» всех типов. На одном из «Моранов-монококов» в 8-м корпусном авиаотряде в 1917 г. воевал племянник Ю.А. и И.А.Меллеров, будущий летчик-испытатель заво</w:t>
      </w:r>
      <w:r w:rsidRPr="00DE096C">
        <w:rPr>
          <w:bCs/>
          <w:color w:val="002060"/>
          <w:sz w:val="16"/>
          <w:szCs w:val="16"/>
        </w:rPr>
        <w:softHyphen/>
        <w:t>да № 1 А.Н.Екатов.</w:t>
      </w:r>
    </w:p>
    <w:p w14:paraId="5B547703" w14:textId="77777777" w:rsidR="00BF4F39" w:rsidRPr="00DE096C" w:rsidRDefault="00BF4F39" w:rsidP="00D45A46">
      <w:pPr>
        <w:shd w:val="clear" w:color="auto" w:fill="FFFFFF"/>
        <w:jc w:val="both"/>
        <w:rPr>
          <w:bCs/>
          <w:color w:val="002060"/>
          <w:sz w:val="16"/>
          <w:szCs w:val="16"/>
        </w:rPr>
      </w:pPr>
      <w:r w:rsidRPr="00DE096C">
        <w:rPr>
          <w:bCs/>
          <w:color w:val="002060"/>
          <w:sz w:val="16"/>
          <w:szCs w:val="16"/>
        </w:rPr>
        <w:t>Осенью 1913 г. на конкурс военных аэропланов прилетел француз Одемар на «Моране-Сольнье». За один день он выполнил лишь не</w:t>
      </w:r>
      <w:r w:rsidRPr="00DE096C">
        <w:rPr>
          <w:bCs/>
          <w:color w:val="002060"/>
          <w:sz w:val="16"/>
          <w:szCs w:val="16"/>
        </w:rPr>
        <w:softHyphen/>
        <w:t>большую часть программы и занял 4-е место. Его самолет предназначался для акробатических полетов и сразу же стал объектом копирования.</w:t>
      </w:r>
    </w:p>
    <w:p w14:paraId="526697F6" w14:textId="77777777" w:rsidR="00BF4F39" w:rsidRPr="00DE096C" w:rsidRDefault="00BF4F39" w:rsidP="00D45A46">
      <w:pPr>
        <w:shd w:val="clear" w:color="auto" w:fill="FFFFFF"/>
        <w:jc w:val="both"/>
        <w:rPr>
          <w:bCs/>
          <w:color w:val="002060"/>
          <w:sz w:val="16"/>
          <w:szCs w:val="16"/>
        </w:rPr>
      </w:pPr>
      <w:r w:rsidRPr="00DE096C">
        <w:rPr>
          <w:bCs/>
          <w:color w:val="002060"/>
          <w:sz w:val="16"/>
          <w:szCs w:val="16"/>
        </w:rPr>
        <w:t>Петля Нестерова указала основное направление развития спортивной авиации, многие летчики сразу же начали учиться высшему пилотажу. Шеф-пилот «Дукса» А.Габер-Влынский оказался во Франции для обучения «петлям и полетам вниз головой» по персональному приглашению хо</w:t>
      </w:r>
      <w:r w:rsidRPr="00DE096C">
        <w:rPr>
          <w:bCs/>
          <w:color w:val="002060"/>
          <w:sz w:val="16"/>
          <w:szCs w:val="16"/>
        </w:rPr>
        <w:softHyphen/>
        <w:t>зяина фирмы Леона Морана. Заключая в Москве контрак</w:t>
      </w:r>
      <w:r w:rsidRPr="00DE096C">
        <w:rPr>
          <w:bCs/>
          <w:color w:val="002060"/>
          <w:sz w:val="16"/>
          <w:szCs w:val="16"/>
        </w:rPr>
        <w:softHyphen/>
        <w:t>ты на постройку «Моранов» на «Дуксе», француз был вос</w:t>
      </w:r>
      <w:r w:rsidRPr="00DE096C">
        <w:rPr>
          <w:bCs/>
          <w:color w:val="002060"/>
          <w:sz w:val="16"/>
          <w:szCs w:val="16"/>
        </w:rPr>
        <w:softHyphen/>
        <w:t>хищен искусством летчика. Поездку субсидировал Меллер (9651).</w:t>
      </w:r>
    </w:p>
    <w:p w14:paraId="44E0AB75" w14:textId="77777777" w:rsidR="00BF4F39" w:rsidRPr="00DE096C" w:rsidRDefault="00BF4F39" w:rsidP="00D45A46">
      <w:pPr>
        <w:shd w:val="clear" w:color="auto" w:fill="FFFFFF"/>
        <w:jc w:val="both"/>
        <w:rPr>
          <w:bCs/>
          <w:color w:val="002060"/>
          <w:sz w:val="16"/>
          <w:szCs w:val="16"/>
        </w:rPr>
      </w:pPr>
    </w:p>
    <w:p w14:paraId="5D24F75A" w14:textId="77777777" w:rsidR="00BF4F39" w:rsidRPr="00DE096C" w:rsidRDefault="00BF4F39" w:rsidP="00D45A46">
      <w:pPr>
        <w:shd w:val="clear" w:color="auto" w:fill="FFFFFF"/>
        <w:jc w:val="both"/>
        <w:rPr>
          <w:bCs/>
          <w:color w:val="002060"/>
          <w:sz w:val="16"/>
          <w:szCs w:val="16"/>
        </w:rPr>
      </w:pPr>
      <w:r w:rsidRPr="00DE096C">
        <w:rPr>
          <w:bCs/>
          <w:color w:val="002060"/>
          <w:sz w:val="16"/>
          <w:szCs w:val="16"/>
        </w:rPr>
        <w:t>В самом начале 1914 г. Шишкевич послал на «Дукс» указание об установке на самолёте брони толщиною 2,7 мм (11696).</w:t>
      </w:r>
    </w:p>
    <w:p w14:paraId="6E32198D" w14:textId="77777777" w:rsidR="00BF4F39" w:rsidRPr="00DE096C" w:rsidRDefault="00BF4F39" w:rsidP="00D45A46">
      <w:pPr>
        <w:shd w:val="clear" w:color="auto" w:fill="FFFFFF"/>
        <w:jc w:val="both"/>
        <w:rPr>
          <w:bCs/>
          <w:color w:val="002060"/>
          <w:sz w:val="16"/>
          <w:szCs w:val="16"/>
        </w:rPr>
      </w:pPr>
    </w:p>
    <w:p w14:paraId="1A98A718" w14:textId="77777777" w:rsidR="007A0148" w:rsidRPr="00DE096C" w:rsidRDefault="007A0148" w:rsidP="00D45A46">
      <w:pPr>
        <w:pStyle w:val="2"/>
        <w:spacing w:before="0" w:after="0"/>
        <w:jc w:val="both"/>
        <w:rPr>
          <w:b w:val="0"/>
          <w:bCs/>
          <w:color w:val="002060"/>
          <w:sz w:val="16"/>
          <w:szCs w:val="16"/>
        </w:rPr>
      </w:pPr>
      <w:r w:rsidRPr="00DE096C">
        <w:rPr>
          <w:b w:val="0"/>
          <w:bCs/>
          <w:color w:val="002060"/>
          <w:sz w:val="16"/>
          <w:szCs w:val="16"/>
        </w:rPr>
        <w:t>В начале 1914 в обзоре русской авиации за 1913 г. отмечалось: «...В настоящее время авиация в России стоит уже на крепких ногах и даже отделилась от западно-европейского течения и теперь идет по собственному пути. Наша зависимость от Запада и от Франции, в частности, почти совсем миновала.» Огромная заслуга в этом достижении принадлежит «Дуксу», к началу войны прочно занявшему лидирующие позиции в отечественном самолетостроении и подготовившему техническую базу для крупносерийного производства.. Если в 1911—1913 гг. завод построил 137 самолетов, то в 1914 г. — уже 190, ежемесячный выпуск достигал 12—15 машин. Для сравнения, «основной конкурент» — ПРТВ в 1911—1913 гг. построил 134 самолета, в 1914 г. — 110 (15464).</w:t>
      </w:r>
    </w:p>
    <w:p w14:paraId="6D4F00B5" w14:textId="77777777" w:rsidR="007A0148" w:rsidRPr="00DE096C" w:rsidRDefault="007A0148" w:rsidP="00D45A46">
      <w:pPr>
        <w:pStyle w:val="2"/>
        <w:spacing w:before="0" w:after="0"/>
        <w:jc w:val="both"/>
        <w:rPr>
          <w:b w:val="0"/>
          <w:bCs/>
          <w:color w:val="002060"/>
          <w:sz w:val="16"/>
          <w:szCs w:val="16"/>
        </w:rPr>
      </w:pPr>
    </w:p>
    <w:p w14:paraId="5BAE00D7" w14:textId="77777777" w:rsidR="00BF4F39" w:rsidRPr="00DE096C" w:rsidRDefault="00BF4F39" w:rsidP="00D45A46">
      <w:pPr>
        <w:shd w:val="clear" w:color="auto" w:fill="FFFFFF"/>
        <w:jc w:val="both"/>
        <w:rPr>
          <w:bCs/>
          <w:color w:val="002060"/>
          <w:sz w:val="16"/>
          <w:szCs w:val="16"/>
        </w:rPr>
      </w:pPr>
      <w:r w:rsidRPr="00DE096C">
        <w:rPr>
          <w:bCs/>
          <w:color w:val="002060"/>
          <w:sz w:val="16"/>
          <w:szCs w:val="16"/>
        </w:rPr>
        <w:t>В начале 1914 г. Александр Александрович Безобразов задумал построить оригинальный одноместный военный аэроплан. Моска стал его напарником и выполнил основную часть проектно-конструкторской работы (15219).</w:t>
      </w:r>
    </w:p>
    <w:p w14:paraId="3D632CEB" w14:textId="77777777" w:rsidR="00BF4F39" w:rsidRPr="00DE096C" w:rsidRDefault="00BF4F39" w:rsidP="00D45A46">
      <w:pPr>
        <w:shd w:val="clear" w:color="auto" w:fill="FFFFFF"/>
        <w:jc w:val="both"/>
        <w:rPr>
          <w:bCs/>
          <w:color w:val="002060"/>
          <w:sz w:val="16"/>
          <w:szCs w:val="16"/>
        </w:rPr>
      </w:pPr>
    </w:p>
    <w:p w14:paraId="0ADB1A6A" w14:textId="77777777" w:rsidR="007A0148" w:rsidRPr="00DE096C" w:rsidRDefault="007A0148" w:rsidP="00D45A46">
      <w:pPr>
        <w:pStyle w:val="2"/>
        <w:spacing w:before="0" w:after="0"/>
        <w:jc w:val="both"/>
        <w:rPr>
          <w:b w:val="0"/>
          <w:bCs/>
          <w:color w:val="002060"/>
          <w:sz w:val="16"/>
          <w:szCs w:val="16"/>
        </w:rPr>
      </w:pPr>
      <w:r w:rsidRPr="00DE096C">
        <w:rPr>
          <w:b w:val="0"/>
          <w:bCs/>
          <w:color w:val="002060"/>
          <w:sz w:val="16"/>
          <w:szCs w:val="16"/>
        </w:rPr>
        <w:t>В начале 1914 г. Безобразов задумал построить оригинальный одноместный военный аэроплан. Моска стал его напарником и выполнил основную часть проектно-конструкторской работы.</w:t>
      </w:r>
    </w:p>
    <w:p w14:paraId="12911553" w14:textId="77777777" w:rsidR="007A0148" w:rsidRPr="00DE096C" w:rsidRDefault="007A0148" w:rsidP="00D45A46">
      <w:pPr>
        <w:pStyle w:val="2"/>
        <w:spacing w:before="0" w:after="0"/>
        <w:jc w:val="both"/>
        <w:rPr>
          <w:b w:val="0"/>
          <w:bCs/>
          <w:color w:val="002060"/>
          <w:sz w:val="16"/>
          <w:szCs w:val="16"/>
        </w:rPr>
      </w:pPr>
      <w:r w:rsidRPr="00DE096C">
        <w:rPr>
          <w:b w:val="0"/>
          <w:bCs/>
          <w:color w:val="002060"/>
          <w:sz w:val="16"/>
          <w:szCs w:val="16"/>
        </w:rPr>
        <w:t>Самолет был задуман весьма необычный — скоростной и маневренный, к тому же малозаметный с земли на фоне неба. Поэтому очень своеобразной оказалась и его конструкция. По первоначальному проекту двигатель должен был располагаться в фюзеляже с удлиненным валом к винту (как позже у американской «Аэрокобры»), так достигалась обтекаемая веретенообразная форма фюзеляжа. Летчик располагался в закрытой кабине без фонаря, обзор обеспечивался прозрачными окнами в бортах и сверху и через перископ вперед. Проблемы с валом и центровкой в итоге привели к традиционной компоновке — кабина пилота размещалась за двигателем «Анзани» в 60 л.с., позже поставили «Гном» в 80 л.с. По аэродинамической схеме это был триплан-тандем без горизонтального оперения с большим выносом и большим удлинением крыльев. Для малой заметности с земли хорды крыльев не превышали 0,5 м. Рули высоты находились в средней части нижнего крыла.</w:t>
      </w:r>
    </w:p>
    <w:p w14:paraId="62EBC932" w14:textId="77777777" w:rsidR="007A0148" w:rsidRPr="00DE096C" w:rsidRDefault="007A0148" w:rsidP="00D45A46">
      <w:pPr>
        <w:pStyle w:val="2"/>
        <w:spacing w:before="0" w:after="0"/>
        <w:jc w:val="both"/>
        <w:rPr>
          <w:b w:val="0"/>
          <w:bCs/>
          <w:color w:val="002060"/>
          <w:sz w:val="16"/>
          <w:szCs w:val="16"/>
        </w:rPr>
      </w:pPr>
      <w:r w:rsidRPr="00DE096C">
        <w:rPr>
          <w:b w:val="0"/>
          <w:bCs/>
          <w:color w:val="002060"/>
          <w:sz w:val="16"/>
          <w:szCs w:val="16"/>
        </w:rPr>
        <w:t>До войны самолет закончить не успели, в августе 1914 г. Безобразов отбыл на фронт. Моска достроил триплан и 2 октября 1914 г. сам поднял его в воздух. После первых удачных полетов по просьбе Моска московский губернатор Муравьев 7 октября послал Великому князю Александру Михайловичу телеграмму: «Сегодня было в Москве первое испытание нового летательного аппарата тримоноплана прапорщика Александра Александровича Безобразова, удачный полет сразу по окончании постройки без предварительных проб». Однако, несмотря на обещания губернатора оказать всемерную поддержку и «быстро устроить большую мастерскую для исполнения заказов», военное ведомство самолетом не заинтересовалось.</w:t>
      </w:r>
    </w:p>
    <w:p w14:paraId="0A927E46" w14:textId="77777777" w:rsidR="007A0148" w:rsidRPr="00DE096C" w:rsidRDefault="007A0148" w:rsidP="00D45A46">
      <w:pPr>
        <w:pStyle w:val="2"/>
        <w:spacing w:before="0" w:after="0"/>
        <w:jc w:val="both"/>
        <w:rPr>
          <w:b w:val="0"/>
          <w:bCs/>
          <w:color w:val="002060"/>
          <w:sz w:val="16"/>
          <w:szCs w:val="16"/>
        </w:rPr>
      </w:pPr>
      <w:r w:rsidRPr="00DE096C">
        <w:rPr>
          <w:b w:val="0"/>
          <w:bCs/>
          <w:color w:val="002060"/>
          <w:sz w:val="16"/>
          <w:szCs w:val="16"/>
        </w:rPr>
        <w:t>Тем временем Безобразова на фронте тяжело ранили и после лечения в начале 1915 г. откомандировали в Севастополь для продолжения работ над самолетом, его триплан перевезли туда еще в декабре 1914 г. Изобретатель занимался переделками и доводками весь год, в конце 1915 г. законченный самолет вновь поднялся в воздух. В июне 1916 г. корнет Безобразов был откомандирован в Москву и «прибыл в школу 15 июля 1916 г. из Севастопольской Военной Авиационной школы со своей мастерской впредь до особого распоряжения.»</w:t>
      </w:r>
    </w:p>
    <w:p w14:paraId="3103079E" w14:textId="77777777" w:rsidR="007A0148" w:rsidRPr="00DE096C" w:rsidRDefault="007A0148" w:rsidP="00D45A46">
      <w:pPr>
        <w:pStyle w:val="2"/>
        <w:spacing w:before="0" w:after="0"/>
        <w:jc w:val="both"/>
        <w:rPr>
          <w:b w:val="0"/>
          <w:bCs/>
          <w:color w:val="002060"/>
          <w:sz w:val="16"/>
          <w:szCs w:val="16"/>
        </w:rPr>
      </w:pPr>
      <w:r w:rsidRPr="00DE096C">
        <w:rPr>
          <w:b w:val="0"/>
          <w:bCs/>
          <w:color w:val="002060"/>
          <w:sz w:val="16"/>
          <w:szCs w:val="16"/>
        </w:rPr>
        <w:t>На Ходынве триплан испытывал фронтовой летчик И.А.Орлов, 16 июня 1916 г. одержавший свою вторую победу в воздухе. 6 августа на взлете из-за поломки оси колес самолет скапотировал и был основательно поврежден. Будущий ас Орлов отправился на фронт, затем уехал воевать во Францию, а Безобразову ничего не оставалось делать, как восстанавливать триплан. К февралю 1917 г. машину он отремонтировал, но было уже поздно. Дальнейшая судьба уникального самолета, одного из шести построенных в России трипланов, неизвестна (15464).</w:t>
      </w:r>
    </w:p>
    <w:p w14:paraId="5C47F71D" w14:textId="77777777" w:rsidR="007A0148" w:rsidRPr="00DE096C" w:rsidRDefault="007A0148" w:rsidP="00D45A46">
      <w:pPr>
        <w:pStyle w:val="2"/>
        <w:spacing w:before="0" w:after="0"/>
        <w:jc w:val="both"/>
        <w:rPr>
          <w:b w:val="0"/>
          <w:bCs/>
          <w:color w:val="002060"/>
          <w:sz w:val="16"/>
          <w:szCs w:val="16"/>
        </w:rPr>
      </w:pPr>
    </w:p>
    <w:p w14:paraId="7851D41D" w14:textId="77777777" w:rsidR="00BF4F39" w:rsidRPr="00DE096C" w:rsidRDefault="00BF4F39" w:rsidP="00D45A46">
      <w:pPr>
        <w:jc w:val="both"/>
        <w:rPr>
          <w:bCs/>
          <w:color w:val="002060"/>
          <w:sz w:val="16"/>
          <w:szCs w:val="16"/>
        </w:rPr>
      </w:pPr>
      <w:r w:rsidRPr="00DE096C">
        <w:rPr>
          <w:bCs/>
          <w:color w:val="002060"/>
          <w:sz w:val="16"/>
          <w:szCs w:val="16"/>
        </w:rPr>
        <w:t>В начале 1914 г. офицер русской армии А. А. Безобразов с помощью итальянца Ф. Моска построил оригинальный триплан без горизонтального оперения и предложил использовать его для борьбы с самолетами врага. Он был облетан только 2 октября 1914 г., когда Безобразов был на фронте. Вернувшись после ранения в Москву, он обнаружил, что Моска переписал мастерскую на свое имя. Военное министерство помогло Безобразову в испытаниях и доводке самолета, которая шла до 1917 г., однако самолет так и не был запущен в серию — его летные данные оказались хуже, чем у бипланов. Путь простого увеличения числа крыльев вовсе не обязательно вел к успеху, тем не менее в 1916 г. этим занялись сразу в нескольких странах (22781).</w:t>
      </w:r>
    </w:p>
    <w:p w14:paraId="76434834" w14:textId="77777777" w:rsidR="00BF4F39" w:rsidRPr="00DE096C" w:rsidRDefault="00BF4F39" w:rsidP="00D45A46">
      <w:pPr>
        <w:jc w:val="both"/>
        <w:rPr>
          <w:bCs/>
          <w:color w:val="002060"/>
          <w:sz w:val="16"/>
          <w:szCs w:val="16"/>
        </w:rPr>
      </w:pPr>
    </w:p>
    <w:p w14:paraId="4FDFEEA6" w14:textId="77777777" w:rsidR="007A0148" w:rsidRPr="00DE096C" w:rsidRDefault="007A0148" w:rsidP="00D45A46">
      <w:pPr>
        <w:pStyle w:val="2"/>
        <w:spacing w:before="0" w:after="0"/>
        <w:jc w:val="both"/>
        <w:rPr>
          <w:b w:val="0"/>
          <w:bCs/>
          <w:color w:val="002060"/>
          <w:sz w:val="16"/>
          <w:szCs w:val="16"/>
        </w:rPr>
      </w:pPr>
      <w:r w:rsidRPr="00DE096C">
        <w:rPr>
          <w:b w:val="0"/>
          <w:bCs/>
          <w:color w:val="002060"/>
          <w:sz w:val="16"/>
          <w:szCs w:val="16"/>
        </w:rPr>
        <w:t>В начале 1914 г. из-за косности руководителей ГВТУ все одно- и двухместные самолеты разоружили (15464).</w:t>
      </w:r>
    </w:p>
    <w:p w14:paraId="5CD32B59" w14:textId="77777777" w:rsidR="007A0148" w:rsidRPr="00DE096C" w:rsidRDefault="007A0148" w:rsidP="00D45A46">
      <w:pPr>
        <w:pStyle w:val="2"/>
        <w:spacing w:before="0" w:after="0"/>
        <w:jc w:val="both"/>
        <w:rPr>
          <w:b w:val="0"/>
          <w:bCs/>
          <w:color w:val="002060"/>
          <w:sz w:val="16"/>
          <w:szCs w:val="16"/>
        </w:rPr>
      </w:pPr>
    </w:p>
    <w:p w14:paraId="2C32D564" w14:textId="77777777" w:rsidR="007A0148" w:rsidRPr="00DE096C" w:rsidRDefault="007A0148" w:rsidP="00D45A46">
      <w:pPr>
        <w:pStyle w:val="2"/>
        <w:spacing w:before="0" w:after="0"/>
        <w:jc w:val="both"/>
        <w:rPr>
          <w:b w:val="0"/>
          <w:bCs/>
          <w:color w:val="002060"/>
          <w:sz w:val="16"/>
          <w:szCs w:val="16"/>
        </w:rPr>
      </w:pPr>
      <w:r w:rsidRPr="00DE096C">
        <w:rPr>
          <w:b w:val="0"/>
          <w:bCs/>
          <w:color w:val="002060"/>
          <w:sz w:val="16"/>
          <w:szCs w:val="16"/>
        </w:rPr>
        <w:t>В начале 1914 г. Дукс освоил выпуск «Моран-Сольнье» тип G (конкурсный 1913 г.) и они успели еще до войны попасть в авиаотряд П.Н.Нестерова (15464).</w:t>
      </w:r>
    </w:p>
    <w:p w14:paraId="353131EC" w14:textId="77777777" w:rsidR="007A0148" w:rsidRPr="00DE096C" w:rsidRDefault="007A0148" w:rsidP="00D45A46">
      <w:pPr>
        <w:pStyle w:val="2"/>
        <w:spacing w:before="0" w:after="0"/>
        <w:jc w:val="both"/>
        <w:rPr>
          <w:b w:val="0"/>
          <w:bCs/>
          <w:color w:val="002060"/>
          <w:sz w:val="16"/>
          <w:szCs w:val="16"/>
        </w:rPr>
      </w:pPr>
    </w:p>
    <w:p w14:paraId="6294A30A" w14:textId="77777777" w:rsidR="00F22A85" w:rsidRPr="00DE096C" w:rsidRDefault="00F22A85" w:rsidP="00D45A46">
      <w:pPr>
        <w:jc w:val="both"/>
        <w:rPr>
          <w:bCs/>
          <w:color w:val="002060"/>
          <w:sz w:val="16"/>
          <w:szCs w:val="16"/>
          <w:lang w:bidi="ru-RU"/>
        </w:rPr>
      </w:pPr>
      <w:r w:rsidRPr="00DE096C">
        <w:rPr>
          <w:bCs/>
          <w:color w:val="002060"/>
          <w:sz w:val="16"/>
          <w:szCs w:val="16"/>
          <w:lang w:bidi="ru-RU"/>
        </w:rPr>
        <w:t>В начале 1914 года было со</w:t>
      </w:r>
      <w:r w:rsidRPr="00DE096C">
        <w:rPr>
          <w:bCs/>
          <w:color w:val="002060"/>
          <w:sz w:val="16"/>
          <w:szCs w:val="16"/>
          <w:lang w:bidi="ru-RU"/>
        </w:rPr>
        <w:softHyphen/>
        <w:t>общено, что проект «русского самолета национального типа» окончен. Далее, однако, никаких сообщений о «русском националь</w:t>
      </w:r>
      <w:r w:rsidRPr="00DE096C">
        <w:rPr>
          <w:bCs/>
          <w:color w:val="002060"/>
          <w:sz w:val="16"/>
          <w:szCs w:val="16"/>
          <w:lang w:bidi="ru-RU"/>
        </w:rPr>
        <w:softHyphen/>
        <w:t>ном самолете» не появляется, зато Слесарев в рекордные сроки разрабатывает «Святого</w:t>
      </w:r>
      <w:r w:rsidRPr="00DE096C">
        <w:rPr>
          <w:bCs/>
          <w:color w:val="002060"/>
          <w:sz w:val="16"/>
          <w:szCs w:val="16"/>
          <w:lang w:bidi="ru-RU"/>
        </w:rPr>
        <w:softHyphen/>
        <w:t>ра» (21288).</w:t>
      </w:r>
    </w:p>
    <w:p w14:paraId="7B3FA094" w14:textId="77777777" w:rsidR="00F22A85" w:rsidRPr="00DE096C" w:rsidRDefault="00F22A85" w:rsidP="00D45A46">
      <w:pPr>
        <w:jc w:val="both"/>
        <w:rPr>
          <w:bCs/>
          <w:color w:val="002060"/>
          <w:sz w:val="16"/>
          <w:szCs w:val="16"/>
          <w:lang w:bidi="ru-RU"/>
        </w:rPr>
      </w:pPr>
    </w:p>
    <w:p w14:paraId="6613658C" w14:textId="46D8702C" w:rsidR="00F22A85" w:rsidRPr="00DE096C" w:rsidRDefault="00BF4F39" w:rsidP="00D45A46">
      <w:pPr>
        <w:shd w:val="clear" w:color="auto" w:fill="FFFFFF"/>
        <w:jc w:val="both"/>
        <w:rPr>
          <w:bCs/>
          <w:color w:val="002060"/>
          <w:sz w:val="16"/>
          <w:szCs w:val="16"/>
        </w:rPr>
      </w:pPr>
      <w:r w:rsidRPr="00DE096C">
        <w:rPr>
          <w:bCs/>
          <w:color w:val="002060"/>
          <w:sz w:val="16"/>
          <w:szCs w:val="16"/>
        </w:rPr>
        <w:t>В</w:t>
      </w:r>
      <w:r w:rsidR="00F22A85" w:rsidRPr="00DE096C">
        <w:rPr>
          <w:bCs/>
          <w:color w:val="002060"/>
          <w:sz w:val="16"/>
          <w:szCs w:val="16"/>
        </w:rPr>
        <w:t xml:space="preserve"> начале 1914 г., военное министерство разместило на немногочисленных русских авиационных заводах заказы на постройку 400 самоле</w:t>
      </w:r>
      <w:r w:rsidR="00F22A85" w:rsidRPr="00DE096C">
        <w:rPr>
          <w:bCs/>
          <w:color w:val="002060"/>
          <w:sz w:val="16"/>
          <w:szCs w:val="16"/>
        </w:rPr>
        <w:softHyphen/>
        <w:t>тов. Большую же часть самолетов, моторов и необходимых мате</w:t>
      </w:r>
      <w:r w:rsidR="00F22A85" w:rsidRPr="00DE096C">
        <w:rPr>
          <w:bCs/>
          <w:color w:val="002060"/>
          <w:sz w:val="16"/>
          <w:szCs w:val="16"/>
        </w:rPr>
        <w:softHyphen/>
        <w:t>риалов царское правительство рассчитывало получить за грани</w:t>
      </w:r>
      <w:r w:rsidR="00F22A85" w:rsidRPr="00DE096C">
        <w:rPr>
          <w:bCs/>
          <w:color w:val="002060"/>
          <w:sz w:val="16"/>
          <w:szCs w:val="16"/>
        </w:rPr>
        <w:softHyphen/>
        <w:t xml:space="preserve">цей, заключив соответствующие соглашения с французским </w:t>
      </w:r>
      <w:r w:rsidR="00F22A85" w:rsidRPr="00DE096C">
        <w:rPr>
          <w:bCs/>
          <w:color w:val="002060"/>
          <w:sz w:val="16"/>
          <w:szCs w:val="16"/>
        </w:rPr>
        <w:lastRenderedPageBreak/>
        <w:t>воен</w:t>
      </w:r>
      <w:r w:rsidR="00F22A85" w:rsidRPr="00DE096C">
        <w:rPr>
          <w:bCs/>
          <w:color w:val="002060"/>
          <w:sz w:val="16"/>
          <w:szCs w:val="16"/>
        </w:rPr>
        <w:softHyphen/>
        <w:t>ным ведомством и промышленниками. Однако, как только началась война, надежды царского прави</w:t>
      </w:r>
      <w:r w:rsidR="00F22A85" w:rsidRPr="00DE096C">
        <w:rPr>
          <w:bCs/>
          <w:color w:val="002060"/>
          <w:sz w:val="16"/>
          <w:szCs w:val="16"/>
        </w:rPr>
        <w:softHyphen/>
        <w:t>тельства на помощь «союзников» лопнули. Некоторая часть за</w:t>
      </w:r>
      <w:r w:rsidR="00F22A85" w:rsidRPr="00DE096C">
        <w:rPr>
          <w:bCs/>
          <w:color w:val="002060"/>
          <w:sz w:val="16"/>
          <w:szCs w:val="16"/>
        </w:rPr>
        <w:softHyphen/>
        <w:t>купленных материалов и моторов была конфискована Германией на пути к русской границе, а большая часть материалов и мото</w:t>
      </w:r>
      <w:r w:rsidR="00F22A85" w:rsidRPr="00DE096C">
        <w:rPr>
          <w:bCs/>
          <w:color w:val="002060"/>
          <w:sz w:val="16"/>
          <w:szCs w:val="16"/>
        </w:rPr>
        <w:softHyphen/>
        <w:t>ров, предусмотренная соглашением, вовсе не была выслана «союзниками». В результате из 400 самолетов, которых с нетер</w:t>
      </w:r>
      <w:r w:rsidR="00F22A85" w:rsidRPr="00DE096C">
        <w:rPr>
          <w:bCs/>
          <w:color w:val="002060"/>
          <w:sz w:val="16"/>
          <w:szCs w:val="16"/>
        </w:rPr>
        <w:softHyphen/>
        <w:t>пением ждали в авиационных частях, испытывавших острый не</w:t>
      </w:r>
      <w:r w:rsidR="00F22A85" w:rsidRPr="00DE096C">
        <w:rPr>
          <w:bCs/>
          <w:color w:val="002060"/>
          <w:sz w:val="16"/>
          <w:szCs w:val="16"/>
        </w:rPr>
        <w:softHyphen/>
        <w:t>достаток в материальной части, к октябрю 1914 г. оказалось возможным продолжать постройку только 242 самолетов (430).</w:t>
      </w:r>
    </w:p>
    <w:p w14:paraId="112B9B48" w14:textId="77777777" w:rsidR="00F22A85" w:rsidRPr="00DE096C" w:rsidRDefault="00F22A85" w:rsidP="00D45A46">
      <w:pPr>
        <w:shd w:val="clear" w:color="auto" w:fill="FFFFFF"/>
        <w:jc w:val="both"/>
        <w:rPr>
          <w:bCs/>
          <w:color w:val="002060"/>
          <w:sz w:val="16"/>
          <w:szCs w:val="16"/>
        </w:rPr>
      </w:pPr>
    </w:p>
    <w:p w14:paraId="2AC24B68" w14:textId="793EC7B8" w:rsidR="00F22A85" w:rsidRPr="00DE096C" w:rsidRDefault="00BF4F39" w:rsidP="00D45A46">
      <w:pPr>
        <w:shd w:val="clear" w:color="auto" w:fill="FFFFFF"/>
        <w:jc w:val="both"/>
        <w:rPr>
          <w:bCs/>
          <w:color w:val="002060"/>
          <w:sz w:val="16"/>
          <w:szCs w:val="16"/>
        </w:rPr>
      </w:pPr>
      <w:r w:rsidRPr="00DE096C">
        <w:rPr>
          <w:bCs/>
          <w:color w:val="002060"/>
          <w:sz w:val="16"/>
          <w:szCs w:val="16"/>
        </w:rPr>
        <w:t>В</w:t>
      </w:r>
      <w:r w:rsidR="00F22A85" w:rsidRPr="00DE096C">
        <w:rPr>
          <w:bCs/>
          <w:color w:val="002060"/>
          <w:sz w:val="16"/>
          <w:szCs w:val="16"/>
        </w:rPr>
        <w:t xml:space="preserve"> самом начале 1914 года </w:t>
      </w:r>
      <w:r w:rsidRPr="00DE096C">
        <w:rPr>
          <w:bCs/>
          <w:color w:val="002060"/>
          <w:sz w:val="16"/>
          <w:szCs w:val="16"/>
        </w:rPr>
        <w:t>был построен самолет Т-6, который отличался от Т-5 бис более совер</w:t>
      </w:r>
      <w:r w:rsidRPr="00DE096C">
        <w:rPr>
          <w:bCs/>
          <w:color w:val="002060"/>
          <w:sz w:val="16"/>
          <w:szCs w:val="16"/>
        </w:rPr>
        <w:softHyphen/>
        <w:t xml:space="preserve">шенным двигателем «Рон» в 60 л.с. — первым «Роном», примененным на отечественных самолетах, и дуговым шасси депердюссеновского типа, </w:t>
      </w:r>
      <w:r w:rsidR="00F22A85" w:rsidRPr="00DE096C">
        <w:rPr>
          <w:bCs/>
          <w:color w:val="002060"/>
          <w:sz w:val="16"/>
          <w:szCs w:val="16"/>
        </w:rPr>
        <w:t>и при испытани</w:t>
      </w:r>
      <w:r w:rsidR="00F22A85" w:rsidRPr="00DE096C">
        <w:rPr>
          <w:bCs/>
          <w:color w:val="002060"/>
          <w:sz w:val="16"/>
          <w:szCs w:val="16"/>
        </w:rPr>
        <w:softHyphen/>
        <w:t>ях показал неплохие летные качества: скорость 120 км/ч, время подъема на 500 м — 3,5 минуты. Самолет Терещенко и Григорьева (Т-7, в других источниках Г-7) по схеме представлял собой двухмест</w:t>
      </w:r>
      <w:r w:rsidR="00F22A85" w:rsidRPr="00DE096C">
        <w:rPr>
          <w:bCs/>
          <w:color w:val="002060"/>
          <w:sz w:val="16"/>
          <w:szCs w:val="16"/>
        </w:rPr>
        <w:softHyphen/>
        <w:t>ный одностоечный фюзеляжный биплан с рядным расположением сидений пилотов. Двигатель «Гном-Моносупап» в 100 л.с. Коробка крыльев с большим углом стреловидности в плане оборудована специаль</w:t>
      </w:r>
      <w:r w:rsidR="00F22A85" w:rsidRPr="00DE096C">
        <w:rPr>
          <w:bCs/>
          <w:color w:val="002060"/>
          <w:sz w:val="16"/>
          <w:szCs w:val="16"/>
        </w:rPr>
        <w:softHyphen/>
        <w:t>ным устройством, позволяющим менять угол уста</w:t>
      </w:r>
      <w:r w:rsidR="00F22A85" w:rsidRPr="00DE096C">
        <w:rPr>
          <w:bCs/>
          <w:color w:val="002060"/>
          <w:sz w:val="16"/>
          <w:szCs w:val="16"/>
        </w:rPr>
        <w:softHyphen/>
        <w:t>новки крыла в полете путем поворота вокруг узлов передних лонжеронов. Верхние крылья без центро</w:t>
      </w:r>
      <w:r w:rsidR="00F22A85" w:rsidRPr="00DE096C">
        <w:rPr>
          <w:bCs/>
          <w:color w:val="002060"/>
          <w:sz w:val="16"/>
          <w:szCs w:val="16"/>
        </w:rPr>
        <w:softHyphen/>
        <w:t>плана стыковались по оси самолета на вершине четы-рехстоечного кабана. Строительство этого самолета было начато в Чер</w:t>
      </w:r>
      <w:r w:rsidR="00F22A85" w:rsidRPr="00DE096C">
        <w:rPr>
          <w:bCs/>
          <w:color w:val="002060"/>
          <w:sz w:val="16"/>
          <w:szCs w:val="16"/>
        </w:rPr>
        <w:softHyphen/>
        <w:t>вонном, а после продажи завода московской фирме «Дукс» завершено в авиамастерских КПИ в августе 1916 года. После окончания постройки самолет был отправлен в Москву для проведения испытаний. Само</w:t>
      </w:r>
      <w:r w:rsidR="00F22A85" w:rsidRPr="00DE096C">
        <w:rPr>
          <w:bCs/>
          <w:color w:val="002060"/>
          <w:sz w:val="16"/>
          <w:szCs w:val="16"/>
        </w:rPr>
        <w:softHyphen/>
        <w:t>лет летал хорошо, но конструкторам предложили улучшить систему управления. После внесения незначительных изменений в 1917 году самолет снова испытан, на этот раз в Кие</w:t>
      </w:r>
      <w:r w:rsidR="00F22A85" w:rsidRPr="00DE096C">
        <w:rPr>
          <w:bCs/>
          <w:color w:val="002060"/>
          <w:sz w:val="16"/>
          <w:szCs w:val="16"/>
        </w:rPr>
        <w:softHyphen/>
        <w:t>ве. Испытания прошли успешно, однако при посад</w:t>
      </w:r>
      <w:r w:rsidR="00F22A85" w:rsidRPr="00DE096C">
        <w:rPr>
          <w:bCs/>
          <w:color w:val="002060"/>
          <w:sz w:val="16"/>
          <w:szCs w:val="16"/>
        </w:rPr>
        <w:softHyphen/>
        <w:t>ке самолет сел на песок, повредив при этом шасси и двигатель. Дальнейшие испытания не проводились. События в Украине, связанные с революцией и на</w:t>
      </w:r>
      <w:r w:rsidR="00F22A85" w:rsidRPr="00DE096C">
        <w:rPr>
          <w:bCs/>
          <w:color w:val="002060"/>
          <w:sz w:val="16"/>
          <w:szCs w:val="16"/>
        </w:rPr>
        <w:softHyphen/>
        <w:t>чавшейся гражданской войной, не дали возможнос</w:t>
      </w:r>
      <w:r w:rsidR="00F22A85" w:rsidRPr="00DE096C">
        <w:rPr>
          <w:bCs/>
          <w:color w:val="002060"/>
          <w:sz w:val="16"/>
          <w:szCs w:val="16"/>
        </w:rPr>
        <w:softHyphen/>
        <w:t>ти завершить доводку самолета (553).</w:t>
      </w:r>
    </w:p>
    <w:p w14:paraId="7AD38FBF" w14:textId="77777777" w:rsidR="00F22A85" w:rsidRPr="00DE096C" w:rsidRDefault="00F22A85" w:rsidP="00D45A46">
      <w:pPr>
        <w:shd w:val="clear" w:color="auto" w:fill="FFFFFF"/>
        <w:jc w:val="both"/>
        <w:rPr>
          <w:bCs/>
          <w:color w:val="002060"/>
          <w:sz w:val="16"/>
          <w:szCs w:val="16"/>
        </w:rPr>
      </w:pPr>
    </w:p>
    <w:p w14:paraId="1F1C82BA" w14:textId="77777777" w:rsidR="00E16ED1" w:rsidRPr="00DE096C" w:rsidRDefault="00E16ED1" w:rsidP="00D45A46">
      <w:pPr>
        <w:shd w:val="clear" w:color="auto" w:fill="FFFFFF"/>
        <w:jc w:val="both"/>
        <w:rPr>
          <w:bCs/>
          <w:color w:val="002060"/>
          <w:sz w:val="16"/>
          <w:szCs w:val="16"/>
        </w:rPr>
      </w:pPr>
      <w:r w:rsidRPr="00DE096C">
        <w:rPr>
          <w:bCs/>
          <w:color w:val="002060"/>
          <w:sz w:val="16"/>
          <w:szCs w:val="16"/>
        </w:rPr>
        <w:t>В начале 1914 г. был построен самолет «Терещенко № 6», являв</w:t>
      </w:r>
      <w:r w:rsidRPr="00DE096C">
        <w:rPr>
          <w:bCs/>
          <w:color w:val="002060"/>
          <w:sz w:val="16"/>
          <w:szCs w:val="16"/>
        </w:rPr>
        <w:softHyphen/>
        <w:t>шийся дальнейшим развитием «Терещен</w:t>
      </w:r>
      <w:r w:rsidRPr="00DE096C">
        <w:rPr>
          <w:bCs/>
          <w:color w:val="002060"/>
          <w:sz w:val="16"/>
          <w:szCs w:val="16"/>
        </w:rPr>
        <w:softHyphen/>
        <w:t>ко № 5». На нем впервые в России приме</w:t>
      </w:r>
      <w:r w:rsidRPr="00DE096C">
        <w:rPr>
          <w:bCs/>
          <w:color w:val="002060"/>
          <w:sz w:val="16"/>
          <w:szCs w:val="16"/>
        </w:rPr>
        <w:softHyphen/>
        <w:t>нили мотор «Рон» мощностью 60 л.с., кото</w:t>
      </w:r>
      <w:r w:rsidRPr="00DE096C">
        <w:rPr>
          <w:bCs/>
          <w:color w:val="002060"/>
          <w:sz w:val="16"/>
          <w:szCs w:val="16"/>
        </w:rPr>
        <w:softHyphen/>
        <w:t>рый был гораздо надежнее более распрост</w:t>
      </w:r>
      <w:r w:rsidRPr="00DE096C">
        <w:rPr>
          <w:bCs/>
          <w:color w:val="002060"/>
          <w:sz w:val="16"/>
          <w:szCs w:val="16"/>
        </w:rPr>
        <w:softHyphen/>
        <w:t>раненного «Гнома». Согласно отчету о лет</w:t>
      </w:r>
      <w:r w:rsidRPr="00DE096C">
        <w:rPr>
          <w:bCs/>
          <w:color w:val="002060"/>
          <w:sz w:val="16"/>
          <w:szCs w:val="16"/>
        </w:rPr>
        <w:softHyphen/>
        <w:t>ных испытаниях, опубликованному в журна</w:t>
      </w:r>
      <w:r w:rsidRPr="00DE096C">
        <w:rPr>
          <w:bCs/>
          <w:color w:val="002060"/>
          <w:sz w:val="16"/>
          <w:szCs w:val="16"/>
        </w:rPr>
        <w:softHyphen/>
        <w:t>ле «Автомобильная жизнь и авиация», аппа</w:t>
      </w:r>
      <w:r w:rsidRPr="00DE096C">
        <w:rPr>
          <w:bCs/>
          <w:color w:val="002060"/>
          <w:sz w:val="16"/>
          <w:szCs w:val="16"/>
        </w:rPr>
        <w:softHyphen/>
        <w:t>рат показал неплохие летные характеристи</w:t>
      </w:r>
      <w:r w:rsidRPr="00DE096C">
        <w:rPr>
          <w:bCs/>
          <w:color w:val="002060"/>
          <w:sz w:val="16"/>
          <w:szCs w:val="16"/>
        </w:rPr>
        <w:softHyphen/>
        <w:t>ки: скорость — 120 км/ч, время подъема на 500 м — 3,5 мин. В том же году построили два самолета «Терещенко № 5бис», один из которых оснастили 60-сильным «Роном», а другой — «Гномом» мощностью 80 л.с. Оче</w:t>
      </w:r>
      <w:r w:rsidRPr="00DE096C">
        <w:rPr>
          <w:bCs/>
          <w:color w:val="002060"/>
          <w:sz w:val="16"/>
          <w:szCs w:val="16"/>
        </w:rPr>
        <w:softHyphen/>
        <w:t>видно, на одном из этих аэропланов отра</w:t>
      </w:r>
      <w:r w:rsidRPr="00DE096C">
        <w:rPr>
          <w:bCs/>
          <w:color w:val="002060"/>
          <w:sz w:val="16"/>
          <w:szCs w:val="16"/>
        </w:rPr>
        <w:softHyphen/>
        <w:t>батывали установку рядного двигателя жидкостного охлаждения, скорее всего, 50-сильного «Мерседеса» (известно, что он в Червонном был). Однако от эксплуатации аппарата с таким мотором отказались (11217).</w:t>
      </w:r>
    </w:p>
    <w:p w14:paraId="23CFD0DF" w14:textId="77777777" w:rsidR="00E16ED1" w:rsidRPr="00DE096C" w:rsidRDefault="00E16ED1" w:rsidP="00D45A46">
      <w:pPr>
        <w:shd w:val="clear" w:color="auto" w:fill="FFFFFF"/>
        <w:jc w:val="both"/>
        <w:rPr>
          <w:bCs/>
          <w:color w:val="002060"/>
          <w:sz w:val="16"/>
          <w:szCs w:val="16"/>
        </w:rPr>
      </w:pPr>
    </w:p>
    <w:p w14:paraId="4C6812BA" w14:textId="77777777" w:rsidR="00622C1F" w:rsidRPr="00B52707" w:rsidRDefault="00622C1F" w:rsidP="00622C1F">
      <w:pPr>
        <w:jc w:val="both"/>
        <w:rPr>
          <w:color w:val="0070C0"/>
          <w:sz w:val="16"/>
          <w:szCs w:val="16"/>
        </w:rPr>
      </w:pPr>
      <w:r w:rsidRPr="00B52707">
        <w:rPr>
          <w:color w:val="0070C0"/>
          <w:sz w:val="16"/>
          <w:szCs w:val="16"/>
        </w:rPr>
        <w:t>В начале 1914 г. на авиапроизводстве РБВЗ, которое полностью ввело в строй корпуса на Строгановской набережной с дерево</w:t>
      </w:r>
      <w:r w:rsidRPr="00B52707">
        <w:rPr>
          <w:color w:val="0070C0"/>
          <w:sz w:val="16"/>
          <w:szCs w:val="16"/>
        </w:rPr>
        <w:softHyphen/>
        <w:t>обрабатывающим цехом, столярной, сборочной, слесарной, автогенно-сварочной, обойной и ма</w:t>
      </w:r>
      <w:r w:rsidRPr="00B52707">
        <w:rPr>
          <w:color w:val="0070C0"/>
          <w:sz w:val="16"/>
          <w:szCs w:val="16"/>
        </w:rPr>
        <w:softHyphen/>
        <w:t>лярной мастерскими. труди</w:t>
      </w:r>
      <w:r w:rsidRPr="00B52707">
        <w:rPr>
          <w:color w:val="0070C0"/>
          <w:sz w:val="16"/>
          <w:szCs w:val="16"/>
        </w:rPr>
        <w:softHyphen/>
        <w:t>лось 270 человек (24866).</w:t>
      </w:r>
    </w:p>
    <w:p w14:paraId="4FA34BA7" w14:textId="77777777" w:rsidR="00622C1F" w:rsidRPr="00B52707" w:rsidRDefault="00622C1F" w:rsidP="00622C1F">
      <w:pPr>
        <w:jc w:val="both"/>
        <w:rPr>
          <w:color w:val="0070C0"/>
          <w:sz w:val="16"/>
          <w:szCs w:val="16"/>
        </w:rPr>
      </w:pPr>
    </w:p>
    <w:p w14:paraId="469A1697" w14:textId="77777777" w:rsidR="00622C1F" w:rsidRPr="00B52707" w:rsidRDefault="00622C1F" w:rsidP="00622C1F">
      <w:pPr>
        <w:jc w:val="both"/>
        <w:rPr>
          <w:color w:val="0070C0"/>
          <w:sz w:val="16"/>
          <w:szCs w:val="16"/>
        </w:rPr>
      </w:pPr>
      <w:r w:rsidRPr="00B52707">
        <w:rPr>
          <w:color w:val="0070C0"/>
          <w:sz w:val="16"/>
          <w:szCs w:val="16"/>
        </w:rPr>
        <w:t>В начале 1914 г. заводом Анатра был получен заказ на выпуск самолетов Моран тип Ж (Моран Ж, Моран-Солнье, Моран М, «Морже») для ИВФ России. В том же году было построено предположительно около 15 самолетов – их выпуск был ограничен, поскольку предприятие оказалось загружено производством самолетов др. типов, в т.ч. собственной разработки (25442).</w:t>
      </w:r>
    </w:p>
    <w:p w14:paraId="20617F4A" w14:textId="77777777" w:rsidR="00622C1F" w:rsidRPr="00B52707" w:rsidRDefault="00622C1F" w:rsidP="00622C1F">
      <w:pPr>
        <w:jc w:val="both"/>
        <w:rPr>
          <w:color w:val="0070C0"/>
          <w:sz w:val="16"/>
          <w:szCs w:val="16"/>
        </w:rPr>
      </w:pPr>
    </w:p>
    <w:p w14:paraId="213E90B8" w14:textId="6072B4C9" w:rsidR="00F22A85" w:rsidRPr="00DE096C" w:rsidRDefault="00E16ED1" w:rsidP="00D45A46">
      <w:pPr>
        <w:shd w:val="clear" w:color="auto" w:fill="FFFFFF"/>
        <w:jc w:val="both"/>
        <w:rPr>
          <w:bCs/>
          <w:color w:val="002060"/>
          <w:sz w:val="16"/>
          <w:szCs w:val="16"/>
        </w:rPr>
      </w:pPr>
      <w:r w:rsidRPr="00DE096C">
        <w:rPr>
          <w:bCs/>
          <w:color w:val="002060"/>
          <w:sz w:val="16"/>
          <w:szCs w:val="16"/>
        </w:rPr>
        <w:t>В</w:t>
      </w:r>
      <w:r w:rsidR="00F22A85" w:rsidRPr="00DE096C">
        <w:rPr>
          <w:bCs/>
          <w:color w:val="002060"/>
          <w:sz w:val="16"/>
          <w:szCs w:val="16"/>
        </w:rPr>
        <w:t xml:space="preserve"> начале 1914 г. </w:t>
      </w:r>
      <w:r w:rsidRPr="00DE096C">
        <w:rPr>
          <w:bCs/>
          <w:color w:val="002060"/>
          <w:sz w:val="16"/>
          <w:szCs w:val="16"/>
        </w:rPr>
        <w:t>произ</w:t>
      </w:r>
      <w:r w:rsidRPr="00DE096C">
        <w:rPr>
          <w:bCs/>
          <w:color w:val="002060"/>
          <w:sz w:val="16"/>
          <w:szCs w:val="16"/>
        </w:rPr>
        <w:softHyphen/>
        <w:t xml:space="preserve">водственные мощности нового предприятия А.А. Анатра были и оставались столь незначительными, что </w:t>
      </w:r>
      <w:r w:rsidR="00F22A85" w:rsidRPr="00DE096C">
        <w:rPr>
          <w:bCs/>
          <w:color w:val="002060"/>
          <w:sz w:val="16"/>
          <w:szCs w:val="16"/>
        </w:rPr>
        <w:t>оно даже не числилось в списке строителей аэропланов. В последовавшие годы А.А. Анатра, призвав на помощь нескольких способных инженеров, включая В.Н. Хи-они и француза Е.А. Декампа, значительно укрепил свои позиции и успешно выпускал лицензионные "Фарманы", "Вуазены", "Ньюпоры" и "Мораны", а также самолеты собствен</w:t>
      </w:r>
      <w:r w:rsidR="00F22A85" w:rsidRPr="00DE096C">
        <w:rPr>
          <w:bCs/>
          <w:color w:val="002060"/>
          <w:sz w:val="16"/>
          <w:szCs w:val="16"/>
        </w:rPr>
        <w:softHyphen/>
        <w:t>ных марок — "Анаде", "Анакле", "Анасаль", "Анадва" и "Вуазен" Иванова. В отличие от некоторых других производителей, он тратил значительные суммы на конструирование, по</w:t>
      </w:r>
      <w:r w:rsidR="00F22A85" w:rsidRPr="00DE096C">
        <w:rPr>
          <w:bCs/>
          <w:color w:val="002060"/>
          <w:sz w:val="16"/>
          <w:szCs w:val="16"/>
        </w:rPr>
        <w:softHyphen/>
        <w:t>стройку и испытание относительно многочисленных опытных прототипов, среди которых бы</w:t>
      </w:r>
      <w:r w:rsidR="00F22A85" w:rsidRPr="00DE096C">
        <w:rPr>
          <w:bCs/>
          <w:color w:val="002060"/>
          <w:sz w:val="16"/>
          <w:szCs w:val="16"/>
        </w:rPr>
        <w:softHyphen/>
        <w:t>ли "Анамон", "Анатра Д" трехмоторный и "Анадис", не считая моделей, пошедших в серию, и нереализованных проектов. К 1916 г. завод в Одессе располагал следующими цехами: слесарным и штамповочным - на Канатной улице, сборочным и сварочным - на Стрельбищ</w:t>
      </w:r>
      <w:r w:rsidR="00F22A85" w:rsidRPr="00DE096C">
        <w:rPr>
          <w:bCs/>
          <w:color w:val="002060"/>
          <w:sz w:val="16"/>
          <w:szCs w:val="16"/>
        </w:rPr>
        <w:softHyphen/>
        <w:t>ном поле, механической обработки - на Французском бульваре, деревообделочным - возле Пересыпи; старые же мастерские находились в западной части города у ипподрома. По всей видимости, такая разбросанность производственных площадок не только мешала слаженной работе предприятия, но и не могла быть устранена в условиях Одессы. Так или нет, но в том же 1916 г. Анатра основал филиал в Симферополе, построив там большие механиче</w:t>
      </w:r>
      <w:r w:rsidR="00F22A85" w:rsidRPr="00DE096C">
        <w:rPr>
          <w:bCs/>
          <w:color w:val="002060"/>
          <w:sz w:val="16"/>
          <w:szCs w:val="16"/>
        </w:rPr>
        <w:softHyphen/>
        <w:t>ское, сборочное и деревообделочное отделения. В 1917 г. месячный выпуск аэропланов до</w:t>
      </w:r>
      <w:r w:rsidR="00F22A85" w:rsidRPr="00DE096C">
        <w:rPr>
          <w:bCs/>
          <w:color w:val="002060"/>
          <w:sz w:val="16"/>
          <w:szCs w:val="16"/>
        </w:rPr>
        <w:softHyphen/>
        <w:t>стигал 50 единиц, но, несмотря на то, что фирма превратилась в крупнейшего авиационного производителя в районе Черного моря, никакого заметного интереса к созданию морских аппаратов ею проявлено не было, скорее всего оттого, что компания опоздала заявить о себе, опоздала к распределению крупных заказов. Все же несколько проектов существовали и о них речь впереди.</w:t>
      </w:r>
    </w:p>
    <w:p w14:paraId="78429FE8" w14:textId="77777777" w:rsidR="00F22A85" w:rsidRPr="00DE096C" w:rsidRDefault="00F22A85" w:rsidP="00D45A46">
      <w:pPr>
        <w:jc w:val="both"/>
        <w:rPr>
          <w:bCs/>
          <w:color w:val="002060"/>
          <w:sz w:val="16"/>
          <w:szCs w:val="16"/>
        </w:rPr>
      </w:pPr>
      <w:r w:rsidRPr="00DE096C">
        <w:rPr>
          <w:bCs/>
          <w:color w:val="002060"/>
          <w:sz w:val="16"/>
          <w:szCs w:val="16"/>
        </w:rPr>
        <w:t>После падения Временного правительства и во время германской и австро-венгерской ок</w:t>
      </w:r>
      <w:r w:rsidRPr="00DE096C">
        <w:rPr>
          <w:bCs/>
          <w:color w:val="002060"/>
          <w:sz w:val="16"/>
          <w:szCs w:val="16"/>
        </w:rPr>
        <w:softHyphen/>
        <w:t>купации и союзнической интервенции в 1918-1919 г.г. предприятия А.А. Анатра продолжали свою деятельность, хотя и в меньших объемах, но почти прекратили ее с приходом совет</w:t>
      </w:r>
      <w:r w:rsidRPr="00DE096C">
        <w:rPr>
          <w:bCs/>
          <w:color w:val="002060"/>
          <w:sz w:val="16"/>
          <w:szCs w:val="16"/>
        </w:rPr>
        <w:softHyphen/>
        <w:t>ской власти в период 1920-1921 г.г. Получив название ГАЗ (Государственный авиационный завод) №7, часть бывшего одесского завода была вновь открыта 21 мая 1924 г., но прора</w:t>
      </w:r>
      <w:r w:rsidRPr="00DE096C">
        <w:rPr>
          <w:bCs/>
          <w:color w:val="002060"/>
          <w:sz w:val="16"/>
          <w:szCs w:val="16"/>
        </w:rPr>
        <w:softHyphen/>
        <w:t>ботала недолго. Симферопольский филиал — теперь ГАЗ №15, использовался в качестве ре</w:t>
      </w:r>
      <w:r w:rsidRPr="00DE096C">
        <w:rPr>
          <w:bCs/>
          <w:color w:val="002060"/>
          <w:sz w:val="16"/>
          <w:szCs w:val="16"/>
        </w:rPr>
        <w:softHyphen/>
        <w:t>монтных мастерских до 1922 г. и, таким образом, протянул при новом режиме еще меньше (2843).</w:t>
      </w:r>
    </w:p>
    <w:p w14:paraId="2EFD88E9" w14:textId="77777777" w:rsidR="00F22A85" w:rsidRPr="00DE096C" w:rsidRDefault="00F22A85" w:rsidP="00D45A46">
      <w:pPr>
        <w:jc w:val="both"/>
        <w:rPr>
          <w:bCs/>
          <w:color w:val="002060"/>
          <w:sz w:val="16"/>
          <w:szCs w:val="16"/>
        </w:rPr>
      </w:pPr>
    </w:p>
    <w:p w14:paraId="4F7A0F69" w14:textId="77777777" w:rsidR="00F22A85" w:rsidRPr="00DE096C" w:rsidRDefault="00F22A85" w:rsidP="00D45A46">
      <w:pPr>
        <w:jc w:val="both"/>
        <w:rPr>
          <w:bCs/>
          <w:color w:val="002060"/>
          <w:sz w:val="16"/>
          <w:szCs w:val="16"/>
        </w:rPr>
      </w:pPr>
      <w:r w:rsidRPr="00DE096C">
        <w:rPr>
          <w:bCs/>
          <w:color w:val="002060"/>
          <w:sz w:val="16"/>
          <w:szCs w:val="16"/>
        </w:rPr>
        <w:t>В начале 1914 года четырехмоторный самолет конструкции инженера И. Сикорского "Илья Муромец" поднял 1280 кг полезной нагрузки и продержался в воздухе 5 часов на максимальной высоте 2000 м. Достигнутая скорость полета составила 100 км/ч. На таком фоне достоинства крайне уязвимых дирижаблей выглядели достаточно сомнительно.</w:t>
      </w:r>
    </w:p>
    <w:p w14:paraId="18AE14E6" w14:textId="77777777" w:rsidR="00F22A85" w:rsidRPr="00DE096C" w:rsidRDefault="00F22A85" w:rsidP="00D45A46">
      <w:pPr>
        <w:jc w:val="both"/>
        <w:rPr>
          <w:bCs/>
          <w:color w:val="002060"/>
          <w:sz w:val="16"/>
          <w:szCs w:val="16"/>
        </w:rPr>
      </w:pPr>
      <w:r w:rsidRPr="00DE096C">
        <w:rPr>
          <w:bCs/>
          <w:color w:val="002060"/>
          <w:sz w:val="16"/>
          <w:szCs w:val="16"/>
        </w:rPr>
        <w:t>И в России прежде всего заботились о пополнении парка аэропланов.</w:t>
      </w:r>
    </w:p>
    <w:p w14:paraId="696488A7" w14:textId="77777777" w:rsidR="00F22A85" w:rsidRPr="00DE096C" w:rsidRDefault="00F22A85" w:rsidP="00D45A46">
      <w:pPr>
        <w:jc w:val="both"/>
        <w:rPr>
          <w:bCs/>
          <w:color w:val="002060"/>
          <w:sz w:val="16"/>
          <w:szCs w:val="16"/>
        </w:rPr>
      </w:pPr>
      <w:r w:rsidRPr="00DE096C">
        <w:rPr>
          <w:bCs/>
          <w:color w:val="002060"/>
          <w:sz w:val="16"/>
          <w:szCs w:val="16"/>
        </w:rPr>
        <w:t>Сейчас мало кому известно, что в Первую мировую войну Россия вступила, имея наибольшее количество аэропланов из всех воюющих держав (11203).</w:t>
      </w:r>
    </w:p>
    <w:p w14:paraId="50DB6B59" w14:textId="77777777" w:rsidR="00F22A85" w:rsidRPr="00DE096C" w:rsidRDefault="00F22A85" w:rsidP="00D45A46">
      <w:pPr>
        <w:jc w:val="both"/>
        <w:rPr>
          <w:bCs/>
          <w:color w:val="002060"/>
          <w:sz w:val="16"/>
          <w:szCs w:val="16"/>
        </w:rPr>
      </w:pPr>
    </w:p>
    <w:p w14:paraId="0CB218C4" w14:textId="7BEBDB5F" w:rsidR="00F22A85" w:rsidRPr="00DE096C" w:rsidRDefault="00E16ED1" w:rsidP="00D45A46">
      <w:pPr>
        <w:shd w:val="clear" w:color="auto" w:fill="FFFFFF"/>
        <w:jc w:val="both"/>
        <w:rPr>
          <w:bCs/>
          <w:color w:val="002060"/>
          <w:sz w:val="16"/>
          <w:szCs w:val="16"/>
        </w:rPr>
      </w:pPr>
      <w:r w:rsidRPr="00DE096C">
        <w:rPr>
          <w:bCs/>
          <w:color w:val="002060"/>
          <w:sz w:val="16"/>
          <w:szCs w:val="16"/>
        </w:rPr>
        <w:t>В</w:t>
      </w:r>
      <w:r w:rsidR="00F22A85" w:rsidRPr="00DE096C">
        <w:rPr>
          <w:bCs/>
          <w:color w:val="002060"/>
          <w:sz w:val="16"/>
          <w:szCs w:val="16"/>
        </w:rPr>
        <w:t xml:space="preserve"> начале 1914г., когда флот договорился с РБВЗ о продаже прототипа «Ильи Муромца», о радиотелеграфе заговорили снова. Двадцать первого февраля Непенин просил помощника начальника минного отдела ГУК прислать из Радиотелеграфного депо их собственной конструкции станцию, которую планировали испытать на борту гиганта Сикорско-го. В будущем для переговоров с воздушными разведчиками намечалось построить при радиостанцию Либаве мачту высотой 55 м, а пока... пока, вероятно, дело так и не двинулось вперед (2807).</w:t>
      </w:r>
    </w:p>
    <w:p w14:paraId="276CCC1B" w14:textId="77777777" w:rsidR="00F22A85" w:rsidRPr="00DE096C" w:rsidRDefault="00F22A85" w:rsidP="00D45A46">
      <w:pPr>
        <w:shd w:val="clear" w:color="auto" w:fill="FFFFFF"/>
        <w:jc w:val="both"/>
        <w:rPr>
          <w:bCs/>
          <w:color w:val="002060"/>
          <w:sz w:val="16"/>
          <w:szCs w:val="16"/>
        </w:rPr>
      </w:pPr>
    </w:p>
    <w:p w14:paraId="0DB914DB" w14:textId="77777777" w:rsidR="00F22A85" w:rsidRPr="00DE096C" w:rsidRDefault="00F22A85" w:rsidP="00D45A46">
      <w:pPr>
        <w:shd w:val="clear" w:color="auto" w:fill="FFFFFF"/>
        <w:jc w:val="both"/>
        <w:rPr>
          <w:bCs/>
          <w:color w:val="002060"/>
          <w:sz w:val="16"/>
          <w:szCs w:val="16"/>
        </w:rPr>
      </w:pPr>
      <w:r w:rsidRPr="00DE096C">
        <w:rPr>
          <w:bCs/>
          <w:color w:val="002060"/>
          <w:sz w:val="16"/>
          <w:szCs w:val="16"/>
        </w:rPr>
        <w:t>В начале 1914 года Нестеров при помо</w:t>
      </w:r>
      <w:r w:rsidRPr="00DE096C">
        <w:rPr>
          <w:bCs/>
          <w:color w:val="002060"/>
          <w:sz w:val="16"/>
          <w:szCs w:val="16"/>
        </w:rPr>
        <w:softHyphen/>
        <w:t>щи старшего механика отряда Г.М.Нелидова моди</w:t>
      </w:r>
      <w:r w:rsidRPr="00DE096C">
        <w:rPr>
          <w:bCs/>
          <w:color w:val="002060"/>
          <w:sz w:val="16"/>
          <w:szCs w:val="16"/>
        </w:rPr>
        <w:softHyphen/>
        <w:t>фицировал самолет «Ньюпор-4»: укоротил фюзеляж на 0,7 м, снял вертикальное оперение, рули высоты были оставлены, но их размах сильно увеличили и ввели большую площадь аэродинамической компен</w:t>
      </w:r>
      <w:r w:rsidRPr="00DE096C">
        <w:rPr>
          <w:bCs/>
          <w:color w:val="002060"/>
          <w:sz w:val="16"/>
          <w:szCs w:val="16"/>
        </w:rPr>
        <w:softHyphen/>
        <w:t>сации. На этом самолете выполнили несколько ис</w:t>
      </w:r>
      <w:r w:rsidRPr="00DE096C">
        <w:rPr>
          <w:bCs/>
          <w:color w:val="002060"/>
          <w:sz w:val="16"/>
          <w:szCs w:val="16"/>
        </w:rPr>
        <w:softHyphen/>
        <w:t>пытательных полетов продолжительностью около часа, из которых стало ясно, что предлагаемая Нестеровым схема имела существенные недостатки. О дальнейших испытаниях этого аппарата данных нет. В 1913 году Нестеров разработал опытную кон</w:t>
      </w:r>
      <w:r w:rsidRPr="00DE096C">
        <w:rPr>
          <w:bCs/>
          <w:color w:val="002060"/>
          <w:sz w:val="16"/>
          <w:szCs w:val="16"/>
        </w:rPr>
        <w:softHyphen/>
        <w:t>струкцию семицилиндрового двигателя мощностью 120 л.с. воздушного охлаждения. Затем авиатор за</w:t>
      </w:r>
      <w:r w:rsidRPr="00DE096C">
        <w:rPr>
          <w:bCs/>
          <w:color w:val="002060"/>
          <w:sz w:val="16"/>
          <w:szCs w:val="16"/>
        </w:rPr>
        <w:softHyphen/>
        <w:t>нимался строительством одноместного скоростного самолета, закончить который помешала начавшаяся война. Обладая глубокими знаниями в области матема</w:t>
      </w:r>
      <w:r w:rsidRPr="00DE096C">
        <w:rPr>
          <w:bCs/>
          <w:color w:val="002060"/>
          <w:sz w:val="16"/>
          <w:szCs w:val="16"/>
        </w:rPr>
        <w:softHyphen/>
        <w:t>тики и механики, имея достаточный пилотажцый опыт, П.Н.Нестеров теоретически обосновал возмож</w:t>
      </w:r>
      <w:r w:rsidRPr="00DE096C">
        <w:rPr>
          <w:bCs/>
          <w:color w:val="002060"/>
          <w:sz w:val="16"/>
          <w:szCs w:val="16"/>
        </w:rPr>
        <w:softHyphen/>
        <w:t>ность выполнения глубоких виражей и осуществил их на практике. В своей работе «О взаимодействии рулей глубины и направления при значительных уг</w:t>
      </w:r>
      <w:r w:rsidRPr="00DE096C">
        <w:rPr>
          <w:bCs/>
          <w:color w:val="002060"/>
          <w:sz w:val="16"/>
          <w:szCs w:val="16"/>
        </w:rPr>
        <w:softHyphen/>
        <w:t>лах крена» он первым доказал, что во время выпол</w:t>
      </w:r>
      <w:r w:rsidRPr="00DE096C">
        <w:rPr>
          <w:bCs/>
          <w:color w:val="002060"/>
          <w:sz w:val="16"/>
          <w:szCs w:val="16"/>
        </w:rPr>
        <w:softHyphen/>
        <w:t>нения виражей с креном более 45° происходит изме</w:t>
      </w:r>
      <w:r w:rsidRPr="00DE096C">
        <w:rPr>
          <w:bCs/>
          <w:color w:val="002060"/>
          <w:sz w:val="16"/>
          <w:szCs w:val="16"/>
        </w:rPr>
        <w:softHyphen/>
        <w:t>нение работы рулей: руль высоты выполняет функ</w:t>
      </w:r>
      <w:r w:rsidRPr="00DE096C">
        <w:rPr>
          <w:bCs/>
          <w:color w:val="002060"/>
          <w:sz w:val="16"/>
          <w:szCs w:val="16"/>
        </w:rPr>
        <w:softHyphen/>
        <w:t>ции руля направления, а руль направления — руля высоты. После назначения Нестерова командиром отряда он ввел обучение полетам с глубокими вира</w:t>
      </w:r>
      <w:r w:rsidRPr="00DE096C">
        <w:rPr>
          <w:bCs/>
          <w:color w:val="002060"/>
          <w:sz w:val="16"/>
          <w:szCs w:val="16"/>
        </w:rPr>
        <w:softHyphen/>
        <w:t>жами и посадку с выключенным двигателем на зара</w:t>
      </w:r>
      <w:r w:rsidRPr="00DE096C">
        <w:rPr>
          <w:bCs/>
          <w:color w:val="002060"/>
          <w:sz w:val="16"/>
          <w:szCs w:val="16"/>
        </w:rPr>
        <w:softHyphen/>
        <w:t>нее намеченную площадку (553).</w:t>
      </w:r>
    </w:p>
    <w:p w14:paraId="1061C4C4" w14:textId="77777777" w:rsidR="00F22A85" w:rsidRPr="00DE096C" w:rsidRDefault="00F22A85" w:rsidP="00D45A46">
      <w:pPr>
        <w:shd w:val="clear" w:color="auto" w:fill="FFFFFF"/>
        <w:jc w:val="both"/>
        <w:rPr>
          <w:bCs/>
          <w:color w:val="002060"/>
          <w:sz w:val="16"/>
          <w:szCs w:val="16"/>
        </w:rPr>
      </w:pPr>
    </w:p>
    <w:p w14:paraId="2E2666D2" w14:textId="77777777" w:rsidR="00537EDD" w:rsidRPr="00DE096C" w:rsidRDefault="00537EDD" w:rsidP="00D45A46">
      <w:pPr>
        <w:jc w:val="both"/>
        <w:rPr>
          <w:bCs/>
          <w:color w:val="002060"/>
          <w:sz w:val="16"/>
          <w:szCs w:val="16"/>
        </w:rPr>
      </w:pPr>
      <w:r w:rsidRPr="00DE096C">
        <w:rPr>
          <w:bCs/>
          <w:color w:val="002060"/>
          <w:sz w:val="16"/>
          <w:szCs w:val="16"/>
          <w:lang w:bidi="ru-RU"/>
        </w:rPr>
        <w:t>В начале 1914 г. опытный «Илья Муромец» № 107 совершил ряд успешных полетов, среди которых значились рекордные достижения грузоподъемности. 12 февраля 1914 г. «ИМ» №107, управляемый Сикорским, под</w:t>
      </w:r>
      <w:r w:rsidRPr="00DE096C">
        <w:rPr>
          <w:bCs/>
          <w:color w:val="002060"/>
          <w:sz w:val="16"/>
          <w:szCs w:val="16"/>
          <w:lang w:bidi="ru-RU"/>
        </w:rPr>
        <w:softHyphen/>
        <w:t>нял в воздух 16 человек — вес поднятого груза составил 1290 кг. Удачные испытания впечатляюще воз</w:t>
      </w:r>
      <w:r w:rsidRPr="00DE096C">
        <w:rPr>
          <w:bCs/>
          <w:color w:val="002060"/>
          <w:sz w:val="16"/>
          <w:szCs w:val="16"/>
          <w:lang w:bidi="ru-RU"/>
        </w:rPr>
        <w:softHyphen/>
        <w:t>действовали на Главное Военно-Техничес</w:t>
      </w:r>
      <w:r w:rsidRPr="00DE096C">
        <w:rPr>
          <w:bCs/>
          <w:color w:val="002060"/>
          <w:sz w:val="16"/>
          <w:szCs w:val="16"/>
          <w:lang w:bidi="ru-RU"/>
        </w:rPr>
        <w:softHyphen/>
        <w:t>кое управление, которое 12 мая 1914 г. за</w:t>
      </w:r>
      <w:r w:rsidRPr="00DE096C">
        <w:rPr>
          <w:bCs/>
          <w:color w:val="002060"/>
          <w:sz w:val="16"/>
          <w:szCs w:val="16"/>
          <w:lang w:bidi="ru-RU"/>
        </w:rPr>
        <w:softHyphen/>
        <w:t>ключило контракт с РБВЗ на поставку 10 самолетов типа «Илья Муромец» для нужд военной авиации (23374).</w:t>
      </w:r>
    </w:p>
    <w:p w14:paraId="12433F3D" w14:textId="77777777" w:rsidR="00537EDD" w:rsidRPr="00DE096C" w:rsidRDefault="00537EDD" w:rsidP="00D45A46">
      <w:pPr>
        <w:jc w:val="both"/>
        <w:rPr>
          <w:bCs/>
          <w:color w:val="002060"/>
          <w:sz w:val="16"/>
          <w:szCs w:val="16"/>
        </w:rPr>
      </w:pPr>
    </w:p>
    <w:p w14:paraId="38DDBC6F" w14:textId="77777777" w:rsidR="00537EDD" w:rsidRPr="00DE096C" w:rsidRDefault="00537EDD" w:rsidP="00D45A46">
      <w:pPr>
        <w:jc w:val="both"/>
        <w:rPr>
          <w:bCs/>
          <w:color w:val="002060"/>
          <w:sz w:val="16"/>
          <w:szCs w:val="16"/>
        </w:rPr>
      </w:pPr>
      <w:r w:rsidRPr="00DE096C">
        <w:rPr>
          <w:bCs/>
          <w:color w:val="002060"/>
          <w:sz w:val="16"/>
          <w:szCs w:val="16"/>
        </w:rPr>
        <w:t>В начале 1914 г. авиационное отделение РБВЗ полностью ввело в строй корпуса на Стограновской набережной с деревообделочным цехом, столярной, сборочной, слесарной, автогенно-сварочной, обойной и малярной мастерскими и там трудилось 270 человек (23474).</w:t>
      </w:r>
    </w:p>
    <w:p w14:paraId="2D92CDC9" w14:textId="77777777" w:rsidR="00537EDD" w:rsidRPr="00DE096C" w:rsidRDefault="00537EDD" w:rsidP="009157E4">
      <w:pPr>
        <w:rPr>
          <w:color w:val="002060"/>
          <w:sz w:val="16"/>
          <w:szCs w:val="16"/>
        </w:rPr>
      </w:pPr>
    </w:p>
    <w:p w14:paraId="73ED5B3A" w14:textId="77777777" w:rsidR="00537EDD" w:rsidRPr="00DE096C" w:rsidRDefault="00537EDD" w:rsidP="009157E4">
      <w:pPr>
        <w:rPr>
          <w:color w:val="002060"/>
          <w:sz w:val="16"/>
          <w:szCs w:val="16"/>
        </w:rPr>
      </w:pPr>
      <w:r w:rsidRPr="00DE096C">
        <w:rPr>
          <w:color w:val="002060"/>
          <w:sz w:val="16"/>
          <w:szCs w:val="16"/>
        </w:rPr>
        <w:t>В начале 1914 г. Пороховщиков и Ф.Е. Моска привлекались к проектированию триплана Безобразова. Его завод в Риге занимался экспериментальными проектами, в том числе первым русским танком, бомбами и другим оружием. Завод также производил винты и колеса для самолетов. 22 августа 1915 года он получил заказ на два своих оригинальных проекта, оба из которых были завершены.</w:t>
      </w:r>
    </w:p>
    <w:p w14:paraId="73D1BDA6" w14:textId="77777777" w:rsidR="00537EDD" w:rsidRPr="00DE096C" w:rsidRDefault="00537EDD" w:rsidP="009157E4">
      <w:pPr>
        <w:rPr>
          <w:color w:val="002060"/>
          <w:sz w:val="16"/>
          <w:szCs w:val="16"/>
        </w:rPr>
      </w:pPr>
      <w:r w:rsidRPr="00DE096C">
        <w:rPr>
          <w:color w:val="002060"/>
          <w:sz w:val="16"/>
          <w:szCs w:val="16"/>
        </w:rPr>
        <w:t>Приближение немецких войск в 1915 году вынудило его перенести свой завод в Петроград, где был построен завод по производству самолетов. Считается, что было построено несколько Morane Saulniers. В 1917 г. был получен заказ от военного министерства на его учебный Р-4, толкающий биплан с двигателем Гном/Рона мощностью 8 л.с.</w:t>
      </w:r>
    </w:p>
    <w:p w14:paraId="506573A1" w14:textId="77777777" w:rsidR="00537EDD" w:rsidRPr="00DE096C" w:rsidRDefault="00537EDD" w:rsidP="009157E4">
      <w:pPr>
        <w:rPr>
          <w:color w:val="002060"/>
          <w:sz w:val="16"/>
          <w:szCs w:val="16"/>
        </w:rPr>
      </w:pPr>
      <w:r w:rsidRPr="00DE096C">
        <w:rPr>
          <w:color w:val="002060"/>
          <w:sz w:val="16"/>
          <w:szCs w:val="16"/>
        </w:rPr>
        <w:t>В 1914 году на его заводе работало пятьдесят рабочих, в 1915 году их число сократилось до сорока, затем в 1916 году их число увеличилось до девяноста семи, а в 1917 году - до 110. 22 августа 1917 года завод получил заказ на десять Morane G, но ни один из них не был завершен.</w:t>
      </w:r>
    </w:p>
    <w:p w14:paraId="5F11B7BC" w14:textId="77777777" w:rsidR="00537EDD" w:rsidRPr="00DE096C" w:rsidRDefault="00537EDD" w:rsidP="009157E4">
      <w:pPr>
        <w:rPr>
          <w:color w:val="002060"/>
          <w:sz w:val="16"/>
          <w:szCs w:val="16"/>
        </w:rPr>
      </w:pPr>
      <w:r w:rsidRPr="00DE096C">
        <w:rPr>
          <w:color w:val="002060"/>
          <w:sz w:val="16"/>
          <w:szCs w:val="16"/>
        </w:rPr>
        <w:lastRenderedPageBreak/>
        <w:t>В 1918 г. красные закрыли завод, и Пороховщиков уехал жить в Москву. В начале 1930-х он был заключен в тюрьму по неизвестным обвинениям. Он был казнен в конце 1930-х годов.</w:t>
      </w:r>
    </w:p>
    <w:p w14:paraId="45C295BE" w14:textId="77777777" w:rsidR="00537EDD" w:rsidRPr="00DE096C" w:rsidRDefault="00537EDD" w:rsidP="009157E4">
      <w:pPr>
        <w:rPr>
          <w:color w:val="002060"/>
          <w:sz w:val="16"/>
          <w:szCs w:val="16"/>
        </w:rPr>
      </w:pPr>
    </w:p>
    <w:p w14:paraId="54F769D2" w14:textId="74CDD841" w:rsidR="00537EDD" w:rsidRPr="00DE096C" w:rsidRDefault="00537EDD" w:rsidP="00D45A46">
      <w:pPr>
        <w:jc w:val="both"/>
        <w:rPr>
          <w:bCs/>
          <w:color w:val="002060"/>
          <w:sz w:val="16"/>
          <w:szCs w:val="16"/>
          <w:lang w:bidi="ru-RU"/>
        </w:rPr>
      </w:pPr>
      <w:r w:rsidRPr="00DE096C">
        <w:rPr>
          <w:bCs/>
          <w:color w:val="002060"/>
          <w:sz w:val="16"/>
          <w:szCs w:val="16"/>
          <w:lang w:bidi="ru-RU"/>
        </w:rPr>
        <w:t>В начале 1914 г</w:t>
      </w:r>
      <w:r w:rsidR="0006581C">
        <w:rPr>
          <w:bCs/>
          <w:color w:val="002060"/>
          <w:sz w:val="16"/>
          <w:szCs w:val="16"/>
          <w:lang w:bidi="ru-RU"/>
        </w:rPr>
        <w:t xml:space="preserve"> </w:t>
      </w:r>
      <w:r w:rsidRPr="00DE096C">
        <w:rPr>
          <w:bCs/>
          <w:color w:val="002060"/>
          <w:sz w:val="16"/>
          <w:szCs w:val="16"/>
          <w:lang w:bidi="ru-RU"/>
        </w:rPr>
        <w:t>Моска предложил совместную работу офицер кавалерии А. А. Безобразов, начинавший тогда строить в своих мастерских самолет-триплан. В начале войны, когда А. А. Безобразов отбыл на фронт, а Ф. Э. Моска договорился с Военным ведомством о выполнения заказа на 75 экземпляров учебного самолета «Фарман</w:t>
      </w:r>
      <w:r w:rsidRPr="00DE096C">
        <w:rPr>
          <w:bCs/>
          <w:color w:val="002060"/>
          <w:sz w:val="16"/>
          <w:szCs w:val="16"/>
          <w:lang w:bidi="en-US"/>
        </w:rPr>
        <w:t>-</w:t>
      </w:r>
      <w:r w:rsidRPr="00DE096C">
        <w:rPr>
          <w:bCs/>
          <w:color w:val="002060"/>
          <w:sz w:val="16"/>
          <w:szCs w:val="16"/>
          <w:lang w:val="en-US" w:bidi="en-US"/>
        </w:rPr>
        <w:t>IV</w:t>
      </w:r>
      <w:r w:rsidRPr="00DE096C">
        <w:rPr>
          <w:bCs/>
          <w:color w:val="002060"/>
          <w:sz w:val="16"/>
          <w:szCs w:val="16"/>
          <w:lang w:bidi="en-US"/>
        </w:rPr>
        <w:t xml:space="preserve">», </w:t>
      </w:r>
      <w:r w:rsidRPr="00DE096C">
        <w:rPr>
          <w:bCs/>
          <w:color w:val="002060"/>
          <w:sz w:val="16"/>
          <w:szCs w:val="16"/>
          <w:lang w:bidi="ru-RU"/>
        </w:rPr>
        <w:t>получил авансы и начал самостоятельное производство. К середине 1916 г. на заводе «Моска» заказ на 75 «Фарманов» был выполнен. Кроме постройки этих самолетов, Ф. Э. Моска стал заниматься опытным самолетостроением. В этом деле ему существенно помог военный приемщик на заводе штабс-капитан Н. И. Быстрицкий, который явился соавтором самолетов «МБ» и «МБ бис», выпущенных за два прошедших года.</w:t>
      </w:r>
    </w:p>
    <w:p w14:paraId="32A3884A" w14:textId="77777777" w:rsidR="00537EDD" w:rsidRPr="00DE096C" w:rsidRDefault="00537EDD" w:rsidP="00D45A46">
      <w:pPr>
        <w:jc w:val="both"/>
        <w:rPr>
          <w:bCs/>
          <w:color w:val="002060"/>
          <w:sz w:val="16"/>
          <w:szCs w:val="16"/>
        </w:rPr>
      </w:pPr>
      <w:r w:rsidRPr="00DE096C">
        <w:rPr>
          <w:bCs/>
          <w:color w:val="002060"/>
          <w:sz w:val="16"/>
          <w:szCs w:val="16"/>
          <w:lang w:bidi="ru-RU"/>
        </w:rPr>
        <w:t>Самолёт «МБ бис» получился удачным. Он хорошо летал, и результаты его летных испытаний показали полное соответствие аппарата боевым требованиям. Кроме того, он имел малые габариты, мог складываться и был удобен для транспортировки. Крыло и оперение складывались для перевозки самолета на своих колесах по дорогам. Это позволяло скрытно доставлять аэроплан к месту боевых действий. Подготовку к боевому вылету два механика могли произвести за 25-30 минут. Многим нравилось, что сложенные самолеты занимали мало места, даже для хранения на заводском дворе по мере их выкатки из сборочного цеха. Пилоты предпочитали этот самолёт за высокую скорость горизонтального полёта, равную 130-135 км/час, и скорость набора высоты до 4200 м. Причём первые 2000 м он набирал за 8,3 минуты. Масса самолёта равнялась 787 кг, размах крыла 7,9 м, длина 6,1 м, мотор «Гном»-80 л. с. Военное ведомство субсидировало Ф. Моске 50 тыс. рублей с расчётом, что заказ в 325 истребителей будет выполнен к 1 июня 1917 г. Для выполнения намеченных работ пришлось расширить и дооборудовать завод. Работы велись таким образом, чтобы в 1917 г. довести регулярный месячный выпуск до 30-35 самолетов. Однако удалось достичь лишь 15 самолетов в месяц. К концу мая 1917 г. завод сдал только 25 машин. Хозяин завода обращался в Военное ведомство с просьбой отсрочить выполнение заказа и снизить выпуск самолетов до 10 единиц в месяц по причинам подорожания материалов и отсутствия рабочих рук. До начала 1918 г. было построено чуть больше полусотни истребителей «МБ бис». После отъезда Франческо Эвджисто Моски осенью 1917 г. на родину завод выпустил еще несколько экземпляров этого самолета, используя импортные двигатели, которые оставались на заводских складах. Время использования истребителей «МБ бис» составляет почти шесть лет от 1916 по 1921 гг. Применялись они и во время Гражданской войны. Несколько таких самолетов построили на заводе «Моска» уже после 1918 г. (23485).</w:t>
      </w:r>
    </w:p>
    <w:p w14:paraId="46B0410B" w14:textId="77777777" w:rsidR="00537EDD" w:rsidRPr="00DE096C" w:rsidRDefault="00537EDD" w:rsidP="00D45A46">
      <w:pPr>
        <w:jc w:val="both"/>
        <w:rPr>
          <w:bCs/>
          <w:color w:val="002060"/>
          <w:sz w:val="16"/>
          <w:szCs w:val="16"/>
        </w:rPr>
      </w:pPr>
    </w:p>
    <w:p w14:paraId="72BC2BBE" w14:textId="77777777" w:rsidR="00537EDD" w:rsidRPr="00DE096C" w:rsidRDefault="00537EDD" w:rsidP="00D45A46">
      <w:pPr>
        <w:jc w:val="both"/>
        <w:rPr>
          <w:bCs/>
          <w:color w:val="002060"/>
          <w:sz w:val="16"/>
          <w:szCs w:val="16"/>
        </w:rPr>
      </w:pPr>
      <w:r w:rsidRPr="00DE096C">
        <w:rPr>
          <w:bCs/>
          <w:color w:val="002060"/>
          <w:sz w:val="16"/>
          <w:szCs w:val="16"/>
        </w:rPr>
        <w:t>В начале 1914 г. управляющий заводом «Первого Российского Товарищества Воздухоплавания» (ПРТВ, он же – «Щетинин и Ко.» или «Гамаюн») в Санкт-Петербурге (с 31 августа 1914 г. – Петроград) Дмитрий Павлович Григорович предложил руководству заняться разработкой и постройкой гидросамолетов, нужда в которых ощущалась, а отечественных серийных образцов не было и удовлетворялись потребности зарождающегося Императорского Флота России за счет закупок во Франции и в Америке за валюту. Владелец предприятия С.С. Щетинин инициативу поддержал, ожидая на большие заказы в т.ч. и от отечественного Морского ведомства на волне роста международной напряженности.</w:t>
      </w:r>
    </w:p>
    <w:p w14:paraId="37E715AE" w14:textId="77777777" w:rsidR="00537EDD" w:rsidRPr="00DE096C" w:rsidRDefault="00537EDD" w:rsidP="00D45A46">
      <w:pPr>
        <w:jc w:val="both"/>
        <w:rPr>
          <w:bCs/>
          <w:color w:val="002060"/>
          <w:sz w:val="16"/>
          <w:szCs w:val="16"/>
        </w:rPr>
      </w:pPr>
      <w:r w:rsidRPr="00DE096C">
        <w:rPr>
          <w:bCs/>
          <w:color w:val="002060"/>
          <w:sz w:val="16"/>
          <w:szCs w:val="16"/>
        </w:rPr>
        <w:t>К разработке гидросамолета М-2 Д.П. Григорович приступил немедленно после одобрения его предложения, что было сделано, по-видимому, просто устно на совещании у владельца предприятия С.С. Щетинина.</w:t>
      </w:r>
    </w:p>
    <w:p w14:paraId="37377F37" w14:textId="77777777" w:rsidR="00537EDD" w:rsidRPr="00DE096C" w:rsidRDefault="00537EDD" w:rsidP="00D45A46">
      <w:pPr>
        <w:jc w:val="both"/>
        <w:rPr>
          <w:bCs/>
          <w:color w:val="002060"/>
          <w:sz w:val="16"/>
          <w:szCs w:val="16"/>
        </w:rPr>
      </w:pPr>
      <w:r w:rsidRPr="00DE096C">
        <w:rPr>
          <w:bCs/>
          <w:color w:val="002060"/>
          <w:sz w:val="16"/>
          <w:szCs w:val="16"/>
        </w:rPr>
        <w:t>При разработке этого самолета выпускалась полноценная конструкторская документация не путем обмера «прототипа», а заново с учетом опыта строительства самолета М-1. Хот речь о копировании М-1 не шла, новый проект делался как прямое развитие этого аппарата с сохранением компоновки и применяемых материалов, но с перепроверкой и со значительными улучшениями всех узлов и агрегатов и с разработкой новой технологии производства, что Григорович делал самостоятельно.</w:t>
      </w:r>
    </w:p>
    <w:p w14:paraId="67183400" w14:textId="77777777" w:rsidR="00537EDD" w:rsidRPr="00DE096C" w:rsidRDefault="00537EDD" w:rsidP="00D45A46">
      <w:pPr>
        <w:jc w:val="both"/>
        <w:rPr>
          <w:bCs/>
          <w:color w:val="002060"/>
          <w:sz w:val="16"/>
          <w:szCs w:val="16"/>
        </w:rPr>
      </w:pPr>
      <w:r w:rsidRPr="00DE096C">
        <w:rPr>
          <w:bCs/>
          <w:color w:val="002060"/>
          <w:sz w:val="16"/>
          <w:szCs w:val="16"/>
        </w:rPr>
        <w:t>Размерность самолета М-2 в сравнении с М-1 значительно увеличена и предприняты меры к существенному улучшению мореходности – насколько это позволяло водоизмещение лодки и мощность ее двигателя.</w:t>
      </w:r>
    </w:p>
    <w:p w14:paraId="268FC7BB" w14:textId="77777777" w:rsidR="00537EDD" w:rsidRPr="00DE096C" w:rsidRDefault="00537EDD" w:rsidP="00D45A46">
      <w:pPr>
        <w:jc w:val="both"/>
        <w:rPr>
          <w:bCs/>
          <w:color w:val="002060"/>
          <w:sz w:val="16"/>
          <w:szCs w:val="16"/>
        </w:rPr>
      </w:pPr>
      <w:r w:rsidRPr="00DE096C">
        <w:rPr>
          <w:bCs/>
          <w:color w:val="002060"/>
          <w:sz w:val="16"/>
          <w:szCs w:val="16"/>
        </w:rPr>
        <w:t>Общие особенности конструкции, применяемые материалы и технологии:</w:t>
      </w:r>
    </w:p>
    <w:p w14:paraId="74EE21B4" w14:textId="77777777" w:rsidR="00537EDD" w:rsidRPr="00DE096C" w:rsidRDefault="00537EDD" w:rsidP="00D45A46">
      <w:pPr>
        <w:jc w:val="both"/>
        <w:rPr>
          <w:bCs/>
          <w:color w:val="002060"/>
          <w:sz w:val="16"/>
          <w:szCs w:val="16"/>
        </w:rPr>
      </w:pPr>
      <w:r w:rsidRPr="00DE096C">
        <w:rPr>
          <w:bCs/>
          <w:color w:val="002060"/>
          <w:sz w:val="16"/>
          <w:szCs w:val="16"/>
        </w:rPr>
        <w:t>- как и М-1, проект М-2 разработан как летающая лодка – полутораплан классической аэродинамической схемы;</w:t>
      </w:r>
    </w:p>
    <w:p w14:paraId="6E8FEF3F" w14:textId="77777777" w:rsidR="00537EDD" w:rsidRPr="00DE096C" w:rsidRDefault="00537EDD" w:rsidP="00D45A46">
      <w:pPr>
        <w:jc w:val="both"/>
        <w:rPr>
          <w:bCs/>
          <w:color w:val="002060"/>
          <w:sz w:val="16"/>
          <w:szCs w:val="16"/>
        </w:rPr>
      </w:pPr>
      <w:r w:rsidRPr="00DE096C">
        <w:rPr>
          <w:bCs/>
          <w:color w:val="002060"/>
          <w:sz w:val="16"/>
          <w:szCs w:val="16"/>
        </w:rPr>
        <w:t>- конструкция каркаса деревянная, в основном из массива ясеня (полуфабрикаты – бруски, доски, рейки с предварительной пропиткой антисептиком и просушкой на вытяжке или в штабеле) и фанеры, применение металла – ограниченное, см. ниже;</w:t>
      </w:r>
    </w:p>
    <w:p w14:paraId="22DA43A4" w14:textId="77777777" w:rsidR="00537EDD" w:rsidRPr="00DE096C" w:rsidRDefault="00537EDD" w:rsidP="00D45A46">
      <w:pPr>
        <w:jc w:val="both"/>
        <w:rPr>
          <w:bCs/>
          <w:color w:val="002060"/>
          <w:sz w:val="16"/>
          <w:szCs w:val="16"/>
        </w:rPr>
      </w:pPr>
      <w:r w:rsidRPr="00DE096C">
        <w:rPr>
          <w:bCs/>
          <w:color w:val="002060"/>
          <w:sz w:val="16"/>
          <w:szCs w:val="16"/>
        </w:rPr>
        <w:t>- все стойки установки мотора, бипланной коробки крыльев, оперения и поддерживающих поплавков – стальные тонкостенные трубы круглого и сплющенного сечения;</w:t>
      </w:r>
    </w:p>
    <w:p w14:paraId="2A61B8E1" w14:textId="77777777" w:rsidR="00537EDD" w:rsidRPr="00DE096C" w:rsidRDefault="00537EDD" w:rsidP="00D45A46">
      <w:pPr>
        <w:jc w:val="both"/>
        <w:rPr>
          <w:bCs/>
          <w:color w:val="002060"/>
          <w:sz w:val="16"/>
          <w:szCs w:val="16"/>
        </w:rPr>
      </w:pPr>
      <w:r w:rsidRPr="00DE096C">
        <w:rPr>
          <w:bCs/>
          <w:color w:val="002060"/>
          <w:sz w:val="16"/>
          <w:szCs w:val="16"/>
        </w:rPr>
        <w:t>- для моторамы (см. ниже) использована листовая сталь;</w:t>
      </w:r>
    </w:p>
    <w:p w14:paraId="01FE6277" w14:textId="77777777" w:rsidR="00537EDD" w:rsidRPr="00DE096C" w:rsidRDefault="00537EDD" w:rsidP="00D45A46">
      <w:pPr>
        <w:jc w:val="both"/>
        <w:rPr>
          <w:bCs/>
          <w:color w:val="002060"/>
          <w:sz w:val="16"/>
          <w:szCs w:val="16"/>
        </w:rPr>
      </w:pPr>
      <w:r w:rsidRPr="00DE096C">
        <w:rPr>
          <w:bCs/>
          <w:color w:val="002060"/>
          <w:sz w:val="16"/>
          <w:szCs w:val="16"/>
        </w:rPr>
        <w:t>- для местных усилений использованы кницы из фанеры или низкоуглеродистой легированной стали;</w:t>
      </w:r>
    </w:p>
    <w:p w14:paraId="171410BA" w14:textId="77777777" w:rsidR="00537EDD" w:rsidRPr="00DE096C" w:rsidRDefault="00537EDD" w:rsidP="00D45A46">
      <w:pPr>
        <w:jc w:val="both"/>
        <w:rPr>
          <w:bCs/>
          <w:color w:val="002060"/>
          <w:sz w:val="16"/>
          <w:szCs w:val="16"/>
        </w:rPr>
      </w:pPr>
      <w:r w:rsidRPr="00DE096C">
        <w:rPr>
          <w:bCs/>
          <w:color w:val="002060"/>
          <w:sz w:val="16"/>
          <w:szCs w:val="16"/>
        </w:rPr>
        <w:t>- для растяжек и проводки управления использованы тонкие стальные канаты с предварительным их промасливанием;</w:t>
      </w:r>
    </w:p>
    <w:p w14:paraId="77D26A77" w14:textId="77777777" w:rsidR="00537EDD" w:rsidRPr="00DE096C" w:rsidRDefault="00537EDD" w:rsidP="00D45A46">
      <w:pPr>
        <w:jc w:val="both"/>
        <w:rPr>
          <w:bCs/>
          <w:color w:val="002060"/>
          <w:sz w:val="16"/>
          <w:szCs w:val="16"/>
        </w:rPr>
      </w:pPr>
      <w:r w:rsidRPr="00DE096C">
        <w:rPr>
          <w:bCs/>
          <w:color w:val="002060"/>
          <w:sz w:val="16"/>
          <w:szCs w:val="16"/>
        </w:rPr>
        <w:t>- сборка деревянных деталей – на клею с креплением латунными гвоздями и самонарезающим винтами, металлических в местах со слабым и средним уровнем нагрузки – на заклепках, в сильно нагруженных местах (установка мотора, стыковые узлы крупных агрегатов) и соединения деревянных деталей с металлическими – на болтах (для лодки подробнее см. ниже);</w:t>
      </w:r>
    </w:p>
    <w:p w14:paraId="5E4B3F3B" w14:textId="77777777" w:rsidR="00537EDD" w:rsidRPr="00DE096C" w:rsidRDefault="00537EDD" w:rsidP="00D45A46">
      <w:pPr>
        <w:jc w:val="both"/>
        <w:rPr>
          <w:bCs/>
          <w:color w:val="002060"/>
          <w:sz w:val="16"/>
          <w:szCs w:val="16"/>
        </w:rPr>
      </w:pPr>
      <w:r w:rsidRPr="00DE096C">
        <w:rPr>
          <w:bCs/>
          <w:color w:val="002060"/>
          <w:sz w:val="16"/>
          <w:szCs w:val="16"/>
        </w:rPr>
        <w:t>- полотняная обшивка везде крепится к каркасу водостойкими нитками вне стапеля, при пропитке обшивки эмалитом он укрепляет и швы;</w:t>
      </w:r>
    </w:p>
    <w:p w14:paraId="07C598C6" w14:textId="77777777" w:rsidR="00537EDD" w:rsidRPr="00DE096C" w:rsidRDefault="00537EDD" w:rsidP="00D45A46">
      <w:pPr>
        <w:jc w:val="both"/>
        <w:rPr>
          <w:bCs/>
          <w:color w:val="002060"/>
          <w:sz w:val="16"/>
          <w:szCs w:val="16"/>
        </w:rPr>
      </w:pPr>
      <w:r w:rsidRPr="00DE096C">
        <w:rPr>
          <w:bCs/>
          <w:color w:val="002060"/>
          <w:sz w:val="16"/>
          <w:szCs w:val="16"/>
        </w:rPr>
        <w:t>- сборка всех агрегатов выполняется в стапелях, очень простых, но надежно фиксирующих все установочные размеры основных силовых деталей;</w:t>
      </w:r>
    </w:p>
    <w:p w14:paraId="42828B58" w14:textId="77777777" w:rsidR="00537EDD" w:rsidRPr="00DE096C" w:rsidRDefault="00537EDD" w:rsidP="00D45A46">
      <w:pPr>
        <w:jc w:val="both"/>
        <w:rPr>
          <w:bCs/>
          <w:color w:val="002060"/>
          <w:sz w:val="16"/>
          <w:szCs w:val="16"/>
        </w:rPr>
      </w:pPr>
      <w:r w:rsidRPr="00DE096C">
        <w:rPr>
          <w:bCs/>
          <w:color w:val="002060"/>
          <w:sz w:val="16"/>
          <w:szCs w:val="16"/>
        </w:rPr>
        <w:t>- сборка лодки впервые в России производится килем вверх, что улучшило качество изготовления днища – самой ответственной ее части;</w:t>
      </w:r>
    </w:p>
    <w:p w14:paraId="25287747" w14:textId="77777777" w:rsidR="00537EDD" w:rsidRPr="00DE096C" w:rsidRDefault="00537EDD" w:rsidP="00D45A46">
      <w:pPr>
        <w:jc w:val="both"/>
        <w:rPr>
          <w:bCs/>
          <w:color w:val="002060"/>
          <w:sz w:val="16"/>
          <w:szCs w:val="16"/>
        </w:rPr>
      </w:pPr>
      <w:r w:rsidRPr="00DE096C">
        <w:rPr>
          <w:bCs/>
          <w:color w:val="002060"/>
          <w:sz w:val="16"/>
          <w:szCs w:val="16"/>
        </w:rPr>
        <w:t>- обшивка лодки и поддерживающих поплавков – фанера, остальное – полотно на нитролаке эмалит, который давал натяжку и сравнительно хорошую устойчивость к воздействию воды (при необходимости замены обшивки не реже одного раза в сезон);</w:t>
      </w:r>
    </w:p>
    <w:p w14:paraId="1C749D23" w14:textId="77777777" w:rsidR="00537EDD" w:rsidRPr="00DE096C" w:rsidRDefault="00537EDD" w:rsidP="00D45A46">
      <w:pPr>
        <w:jc w:val="both"/>
        <w:rPr>
          <w:bCs/>
          <w:color w:val="002060"/>
          <w:sz w:val="16"/>
          <w:szCs w:val="16"/>
        </w:rPr>
      </w:pPr>
      <w:r w:rsidRPr="00DE096C">
        <w:rPr>
          <w:bCs/>
          <w:color w:val="002060"/>
          <w:sz w:val="16"/>
          <w:szCs w:val="16"/>
        </w:rPr>
        <w:t>- растяжки и тросы управления натягиваются тандерами, которые контрятся проволокой после проверки силы натяжения на звук («тон струны» должен быть высоким и ровным);</w:t>
      </w:r>
    </w:p>
    <w:p w14:paraId="40BCFFFC" w14:textId="77777777" w:rsidR="00537EDD" w:rsidRPr="00DE096C" w:rsidRDefault="00537EDD" w:rsidP="00D45A46">
      <w:pPr>
        <w:jc w:val="both"/>
        <w:rPr>
          <w:bCs/>
          <w:color w:val="002060"/>
          <w:sz w:val="16"/>
          <w:szCs w:val="16"/>
        </w:rPr>
      </w:pPr>
      <w:r w:rsidRPr="00DE096C">
        <w:rPr>
          <w:bCs/>
          <w:color w:val="002060"/>
          <w:sz w:val="16"/>
          <w:szCs w:val="16"/>
        </w:rPr>
        <w:t>- в конструкции самолета этого самолета и последующих были предусмотрены такелажные узлы для подъема его краном и швартовки.</w:t>
      </w:r>
    </w:p>
    <w:p w14:paraId="2DB55032" w14:textId="77777777" w:rsidR="00537EDD" w:rsidRPr="00DE096C" w:rsidRDefault="00537EDD" w:rsidP="00D45A46">
      <w:pPr>
        <w:jc w:val="both"/>
        <w:rPr>
          <w:bCs/>
          <w:color w:val="002060"/>
          <w:sz w:val="16"/>
          <w:szCs w:val="16"/>
        </w:rPr>
      </w:pPr>
      <w:r w:rsidRPr="00DE096C">
        <w:rPr>
          <w:bCs/>
          <w:color w:val="002060"/>
          <w:sz w:val="16"/>
          <w:szCs w:val="16"/>
        </w:rPr>
        <w:t>Силовая установка:</w:t>
      </w:r>
    </w:p>
    <w:p w14:paraId="1FD26C5A" w14:textId="77777777" w:rsidR="00537EDD" w:rsidRPr="00DE096C" w:rsidRDefault="00537EDD" w:rsidP="00D45A46">
      <w:pPr>
        <w:jc w:val="both"/>
        <w:rPr>
          <w:bCs/>
          <w:color w:val="002060"/>
          <w:sz w:val="16"/>
          <w:szCs w:val="16"/>
        </w:rPr>
      </w:pPr>
      <w:r w:rsidRPr="00DE096C">
        <w:rPr>
          <w:bCs/>
          <w:color w:val="002060"/>
          <w:sz w:val="16"/>
          <w:szCs w:val="16"/>
        </w:rPr>
        <w:t>- 7-цилиндровый ротативный мотор воздушного охлаждения Клерже 7Z мощностью 80 л.с. (производства французской фирмы Clerget-Blin et Cie.) установлен между крыльями;</w:t>
      </w:r>
    </w:p>
    <w:p w14:paraId="66937888" w14:textId="77777777" w:rsidR="00537EDD" w:rsidRPr="00DE096C" w:rsidRDefault="00537EDD" w:rsidP="00D45A46">
      <w:pPr>
        <w:jc w:val="both"/>
        <w:rPr>
          <w:bCs/>
          <w:color w:val="002060"/>
          <w:sz w:val="16"/>
          <w:szCs w:val="16"/>
        </w:rPr>
      </w:pPr>
      <w:r w:rsidRPr="00DE096C">
        <w:rPr>
          <w:bCs/>
          <w:color w:val="002060"/>
          <w:sz w:val="16"/>
          <w:szCs w:val="16"/>
        </w:rPr>
        <w:t>- регулирование мощности выполняется поворотом дроссельной заслонки карбюратора установленным на праом борту кабины рычагом через тросовую поводку (по др. данным – одним тросом в боуденовской проводке);</w:t>
      </w:r>
    </w:p>
    <w:p w14:paraId="4283F051" w14:textId="77777777" w:rsidR="00537EDD" w:rsidRPr="00DE096C" w:rsidRDefault="00537EDD" w:rsidP="00D45A46">
      <w:pPr>
        <w:jc w:val="both"/>
        <w:rPr>
          <w:bCs/>
          <w:color w:val="002060"/>
          <w:sz w:val="16"/>
          <w:szCs w:val="16"/>
        </w:rPr>
      </w:pPr>
      <w:r w:rsidRPr="00DE096C">
        <w:rPr>
          <w:bCs/>
          <w:color w:val="002060"/>
          <w:sz w:val="16"/>
          <w:szCs w:val="16"/>
        </w:rPr>
        <w:t>- воздушный винт двухлопастный толкающий – обычный для того времени деревянный;</w:t>
      </w:r>
    </w:p>
    <w:p w14:paraId="5AA73761" w14:textId="77777777" w:rsidR="00537EDD" w:rsidRPr="00DE096C" w:rsidRDefault="00537EDD" w:rsidP="00D45A46">
      <w:pPr>
        <w:jc w:val="both"/>
        <w:rPr>
          <w:bCs/>
          <w:color w:val="002060"/>
          <w:sz w:val="16"/>
          <w:szCs w:val="16"/>
        </w:rPr>
      </w:pPr>
      <w:r w:rsidRPr="00DE096C">
        <w:rPr>
          <w:bCs/>
          <w:color w:val="002060"/>
          <w:sz w:val="16"/>
          <w:szCs w:val="16"/>
        </w:rPr>
        <w:t>- двигатель крепится к бипланной коробке крыльев через хвостовик своего неподвижного коленчатого вала к листовой раме (т.н. «толь») на задней А-образной стойке «кабана» бипланной коробки крыльев, а вращающимся валом винта через подшипник – к раме, крепящейся за этой стойкой наклонно назад и состоящей из двух подкосов и двух продольных труб;</w:t>
      </w:r>
    </w:p>
    <w:p w14:paraId="5C0469EA" w14:textId="77777777" w:rsidR="00537EDD" w:rsidRPr="00DE096C" w:rsidRDefault="00537EDD" w:rsidP="00D45A46">
      <w:pPr>
        <w:jc w:val="both"/>
        <w:rPr>
          <w:bCs/>
          <w:color w:val="002060"/>
          <w:sz w:val="16"/>
          <w:szCs w:val="16"/>
        </w:rPr>
      </w:pPr>
      <w:r w:rsidRPr="00DE096C">
        <w:rPr>
          <w:bCs/>
          <w:color w:val="002060"/>
          <w:sz w:val="16"/>
          <w:szCs w:val="16"/>
        </w:rPr>
        <w:t>- задние А-образные стойки «кабана», как более нагруженные, подкреплены четырьмя раскосами – двумя наклонными в продольной плоскости и двумя скрещивающимися в поперечной;</w:t>
      </w:r>
    </w:p>
    <w:p w14:paraId="30602281" w14:textId="77777777" w:rsidR="00537EDD" w:rsidRPr="00DE096C" w:rsidRDefault="00537EDD" w:rsidP="00D45A46">
      <w:pPr>
        <w:jc w:val="both"/>
        <w:rPr>
          <w:bCs/>
          <w:color w:val="002060"/>
          <w:sz w:val="16"/>
          <w:szCs w:val="16"/>
        </w:rPr>
      </w:pPr>
      <w:r w:rsidRPr="00DE096C">
        <w:rPr>
          <w:bCs/>
          <w:color w:val="002060"/>
          <w:sz w:val="16"/>
          <w:szCs w:val="16"/>
        </w:rPr>
        <w:t>- запуск мотора – заводной рукояткой, насаженной на вал, проходящий под валом крепления мотора и соединенный с его подвижным картером зубчатой передачей;</w:t>
      </w:r>
    </w:p>
    <w:p w14:paraId="7318894D" w14:textId="77777777" w:rsidR="00537EDD" w:rsidRPr="00DE096C" w:rsidRDefault="00537EDD" w:rsidP="00D45A46">
      <w:pPr>
        <w:jc w:val="both"/>
        <w:rPr>
          <w:bCs/>
          <w:color w:val="002060"/>
          <w:sz w:val="16"/>
          <w:szCs w:val="16"/>
        </w:rPr>
      </w:pPr>
      <w:r w:rsidRPr="00DE096C">
        <w:rPr>
          <w:bCs/>
          <w:color w:val="002060"/>
          <w:sz w:val="16"/>
          <w:szCs w:val="16"/>
        </w:rPr>
        <w:t>- топливная система состоит из основного бака с заливной горловиной и сливным краном, расходного бака, соединительных шлангов, насоса, перекрывного крана и раматуры, обратных клапанов нет;</w:t>
      </w:r>
    </w:p>
    <w:p w14:paraId="0F583208" w14:textId="77777777" w:rsidR="00537EDD" w:rsidRPr="00DE096C" w:rsidRDefault="00537EDD" w:rsidP="00D45A46">
      <w:pPr>
        <w:jc w:val="both"/>
        <w:rPr>
          <w:bCs/>
          <w:color w:val="002060"/>
          <w:sz w:val="16"/>
          <w:szCs w:val="16"/>
        </w:rPr>
      </w:pPr>
      <w:r w:rsidRPr="00DE096C">
        <w:rPr>
          <w:bCs/>
          <w:color w:val="002060"/>
          <w:sz w:val="16"/>
          <w:szCs w:val="16"/>
        </w:rPr>
        <w:t>- топливо подается под создаваемым над ним ручным насосом давлением из основного бака за сиденьем летчиков в фюзеляже в расходный бак под верхним крылом, откуда в мотор идет самотеком;</w:t>
      </w:r>
    </w:p>
    <w:p w14:paraId="4584157A" w14:textId="77777777" w:rsidR="00537EDD" w:rsidRPr="00DE096C" w:rsidRDefault="00537EDD" w:rsidP="00D45A46">
      <w:pPr>
        <w:jc w:val="both"/>
        <w:rPr>
          <w:bCs/>
          <w:color w:val="002060"/>
          <w:sz w:val="16"/>
          <w:szCs w:val="16"/>
        </w:rPr>
      </w:pPr>
      <w:r w:rsidRPr="00DE096C">
        <w:rPr>
          <w:bCs/>
          <w:color w:val="002060"/>
          <w:sz w:val="16"/>
          <w:szCs w:val="16"/>
        </w:rPr>
        <w:t>- баки паянные латунные;</w:t>
      </w:r>
    </w:p>
    <w:p w14:paraId="7738C87A" w14:textId="77777777" w:rsidR="00537EDD" w:rsidRPr="00DE096C" w:rsidRDefault="00537EDD" w:rsidP="00D45A46">
      <w:pPr>
        <w:jc w:val="both"/>
        <w:rPr>
          <w:bCs/>
          <w:color w:val="002060"/>
          <w:sz w:val="16"/>
          <w:szCs w:val="16"/>
        </w:rPr>
      </w:pPr>
      <w:r w:rsidRPr="00DE096C">
        <w:rPr>
          <w:bCs/>
          <w:color w:val="002060"/>
          <w:sz w:val="16"/>
          <w:szCs w:val="16"/>
        </w:rPr>
        <w:t>- система наддува т дренажа – в расходном баке, через который выполняется и наддув, и дренаж основного.</w:t>
      </w:r>
    </w:p>
    <w:p w14:paraId="586FE462" w14:textId="77777777" w:rsidR="00537EDD" w:rsidRPr="00DE096C" w:rsidRDefault="00537EDD" w:rsidP="00D45A46">
      <w:pPr>
        <w:jc w:val="both"/>
        <w:rPr>
          <w:bCs/>
          <w:color w:val="002060"/>
          <w:sz w:val="16"/>
          <w:szCs w:val="16"/>
        </w:rPr>
      </w:pPr>
      <w:r w:rsidRPr="00DE096C">
        <w:rPr>
          <w:bCs/>
          <w:color w:val="002060"/>
          <w:sz w:val="16"/>
          <w:szCs w:val="16"/>
        </w:rPr>
        <w:t>Бипланная коробка крыльев:</w:t>
      </w:r>
    </w:p>
    <w:p w14:paraId="57996B60" w14:textId="77777777" w:rsidR="00537EDD" w:rsidRPr="00DE096C" w:rsidRDefault="00537EDD" w:rsidP="00D45A46">
      <w:pPr>
        <w:jc w:val="both"/>
        <w:rPr>
          <w:bCs/>
          <w:color w:val="002060"/>
          <w:sz w:val="16"/>
          <w:szCs w:val="16"/>
        </w:rPr>
      </w:pPr>
      <w:r w:rsidRPr="00DE096C">
        <w:rPr>
          <w:bCs/>
          <w:color w:val="002060"/>
          <w:sz w:val="16"/>
          <w:szCs w:val="16"/>
        </w:rPr>
        <w:t>- бипланная коробка крыльев двухстоечная с незначительным выносом верхнего крыла (только за счет меньших хорд нижнего);</w:t>
      </w:r>
    </w:p>
    <w:p w14:paraId="33B931AB" w14:textId="77777777" w:rsidR="00537EDD" w:rsidRPr="00DE096C" w:rsidRDefault="00537EDD" w:rsidP="00D45A46">
      <w:pPr>
        <w:jc w:val="both"/>
        <w:rPr>
          <w:bCs/>
          <w:color w:val="002060"/>
          <w:sz w:val="16"/>
          <w:szCs w:val="16"/>
        </w:rPr>
      </w:pPr>
      <w:r w:rsidRPr="00DE096C">
        <w:rPr>
          <w:bCs/>
          <w:color w:val="002060"/>
          <w:sz w:val="16"/>
          <w:szCs w:val="16"/>
        </w:rPr>
        <w:t>- профиль крыльев тонкий выпукло-вогнутый, отличался от примененного на М-1, углы установки крыльев положительные одинаковые (что не совсем рационально), чем у нижнего, поперечное V не предусмотрено;</w:t>
      </w:r>
    </w:p>
    <w:p w14:paraId="62B34742" w14:textId="77777777" w:rsidR="00537EDD" w:rsidRPr="00DE096C" w:rsidRDefault="00537EDD" w:rsidP="00D45A46">
      <w:pPr>
        <w:jc w:val="both"/>
        <w:rPr>
          <w:bCs/>
          <w:color w:val="002060"/>
          <w:sz w:val="16"/>
          <w:szCs w:val="16"/>
        </w:rPr>
      </w:pPr>
      <w:r w:rsidRPr="00DE096C">
        <w:rPr>
          <w:bCs/>
          <w:color w:val="002060"/>
          <w:sz w:val="16"/>
          <w:szCs w:val="16"/>
        </w:rPr>
        <w:t>- консоли верхнего и нижнего крыльев имеют подобную трапециевидную форму, отличаясь размерами (верхнее по размаху и хордам больше нижнего), они импеют незначительное обратное сужение (т.е. корневые их хорды меньше концевых) и небольшую прямую стреловидность по кромкам, которая увеличивается по задней кромке элеронов на верхнем крыле, хорды которых больше расширяются к законцовкам, углы в законцовках по передним кромкам скруглены, а по задним кромкам подрезаны;</w:t>
      </w:r>
    </w:p>
    <w:p w14:paraId="12C19C86" w14:textId="77777777" w:rsidR="00537EDD" w:rsidRPr="00DE096C" w:rsidRDefault="00537EDD" w:rsidP="00D45A46">
      <w:pPr>
        <w:jc w:val="both"/>
        <w:rPr>
          <w:bCs/>
          <w:color w:val="002060"/>
          <w:sz w:val="16"/>
          <w:szCs w:val="16"/>
        </w:rPr>
      </w:pPr>
      <w:r w:rsidRPr="00DE096C">
        <w:rPr>
          <w:bCs/>
          <w:color w:val="002060"/>
          <w:sz w:val="16"/>
          <w:szCs w:val="16"/>
        </w:rPr>
        <w:t>- вырез в верхнем крыле для обеспечения зазора с диском воздушного винта сделан с радиусами (на М-1 имел прямые углы);</w:t>
      </w:r>
    </w:p>
    <w:p w14:paraId="289E8996" w14:textId="77777777" w:rsidR="00537EDD" w:rsidRPr="00DE096C" w:rsidRDefault="00537EDD" w:rsidP="00D45A46">
      <w:pPr>
        <w:jc w:val="both"/>
        <w:rPr>
          <w:bCs/>
          <w:color w:val="002060"/>
          <w:sz w:val="16"/>
          <w:szCs w:val="16"/>
        </w:rPr>
      </w:pPr>
      <w:r w:rsidRPr="00DE096C">
        <w:rPr>
          <w:bCs/>
          <w:color w:val="002060"/>
          <w:sz w:val="16"/>
          <w:szCs w:val="16"/>
        </w:rPr>
        <w:t>- верхнее и нижнее крылья состоят каждое из двух консолей и имеют подобную конструкцию за исключением размеров и установки элеронов (только на верхнем крыле);</w:t>
      </w:r>
    </w:p>
    <w:p w14:paraId="65110F37" w14:textId="77777777" w:rsidR="00537EDD" w:rsidRPr="00DE096C" w:rsidRDefault="00537EDD" w:rsidP="00D45A46">
      <w:pPr>
        <w:jc w:val="both"/>
        <w:rPr>
          <w:bCs/>
          <w:color w:val="002060"/>
          <w:sz w:val="16"/>
          <w:szCs w:val="16"/>
        </w:rPr>
      </w:pPr>
      <w:r w:rsidRPr="00DE096C">
        <w:rPr>
          <w:bCs/>
          <w:color w:val="002060"/>
          <w:sz w:val="16"/>
          <w:szCs w:val="16"/>
        </w:rPr>
        <w:lastRenderedPageBreak/>
        <w:t>- силовой набор консоли крыла состоит из двух лонжеронов, стенки за задним л-ном, реек по передним кромкам и законцовкам, силовых и нормальных нервюр, а также внутренних раскосов, верхнее крыло отличается тем, что стенка идет только между вырезами под воздушный винт и элероны, где хвостики нервюр укорочены – такая конструкция осталась и в дальнейшем на всех одномоторных летающих лодках Григоровича с деревянным планером;</w:t>
      </w:r>
    </w:p>
    <w:p w14:paraId="5A819502" w14:textId="77777777" w:rsidR="00537EDD" w:rsidRPr="00DE096C" w:rsidRDefault="00537EDD" w:rsidP="00D45A46">
      <w:pPr>
        <w:jc w:val="both"/>
        <w:rPr>
          <w:bCs/>
          <w:color w:val="002060"/>
          <w:sz w:val="16"/>
          <w:szCs w:val="16"/>
        </w:rPr>
      </w:pPr>
      <w:r w:rsidRPr="00DE096C">
        <w:rPr>
          <w:bCs/>
          <w:color w:val="002060"/>
          <w:sz w:val="16"/>
          <w:szCs w:val="16"/>
        </w:rPr>
        <w:t>- все лонжероны, стенки и нервюры балочные, их пояса изготовлены из реек, а стенки – из фанеры, причем отверстия облегчения круглой формы сделаны только в рядовых нервюрах (которых в каркасе большинство);</w:t>
      </w:r>
    </w:p>
    <w:p w14:paraId="383E5A60" w14:textId="77777777" w:rsidR="00537EDD" w:rsidRPr="00DE096C" w:rsidRDefault="00537EDD" w:rsidP="00D45A46">
      <w:pPr>
        <w:jc w:val="both"/>
        <w:rPr>
          <w:bCs/>
          <w:color w:val="002060"/>
          <w:sz w:val="16"/>
          <w:szCs w:val="16"/>
        </w:rPr>
      </w:pPr>
      <w:r w:rsidRPr="00DE096C">
        <w:rPr>
          <w:bCs/>
          <w:color w:val="002060"/>
          <w:sz w:val="16"/>
          <w:szCs w:val="16"/>
        </w:rPr>
        <w:t>- лонжероны и стенки консолей крыльев установлены параллельно их передним кромкам;</w:t>
      </w:r>
    </w:p>
    <w:p w14:paraId="4B1DD6E3" w14:textId="77777777" w:rsidR="00537EDD" w:rsidRPr="00DE096C" w:rsidRDefault="00537EDD" w:rsidP="00D45A46">
      <w:pPr>
        <w:jc w:val="both"/>
        <w:rPr>
          <w:bCs/>
          <w:color w:val="002060"/>
          <w:sz w:val="16"/>
          <w:szCs w:val="16"/>
        </w:rPr>
      </w:pPr>
      <w:r w:rsidRPr="00DE096C">
        <w:rPr>
          <w:bCs/>
          <w:color w:val="002060"/>
          <w:sz w:val="16"/>
          <w:szCs w:val="16"/>
        </w:rPr>
        <w:t>- нервюры крыльев и элеронов установлены по потоку;</w:t>
      </w:r>
    </w:p>
    <w:p w14:paraId="52C99D47" w14:textId="77777777" w:rsidR="00537EDD" w:rsidRPr="00DE096C" w:rsidRDefault="00537EDD" w:rsidP="00D45A46">
      <w:pPr>
        <w:jc w:val="both"/>
        <w:rPr>
          <w:bCs/>
          <w:color w:val="002060"/>
          <w:sz w:val="16"/>
          <w:szCs w:val="16"/>
        </w:rPr>
      </w:pPr>
      <w:r w:rsidRPr="00DE096C">
        <w:rPr>
          <w:bCs/>
          <w:color w:val="002060"/>
          <w:sz w:val="16"/>
          <w:szCs w:val="16"/>
        </w:rPr>
        <w:t>- задние кромки (ЗК) консолей крыльев и элеронов мягкие, образованы тонкими канатиками, пущенными по законцовкам нервюр, к которым пришиваются полотнища обшивок;</w:t>
      </w:r>
    </w:p>
    <w:p w14:paraId="1BA38C54" w14:textId="77777777" w:rsidR="00537EDD" w:rsidRPr="00DE096C" w:rsidRDefault="00537EDD" w:rsidP="00D45A46">
      <w:pPr>
        <w:jc w:val="both"/>
        <w:rPr>
          <w:bCs/>
          <w:color w:val="002060"/>
          <w:sz w:val="16"/>
          <w:szCs w:val="16"/>
        </w:rPr>
      </w:pPr>
      <w:r w:rsidRPr="00DE096C">
        <w:rPr>
          <w:bCs/>
          <w:color w:val="002060"/>
          <w:sz w:val="16"/>
          <w:szCs w:val="16"/>
        </w:rPr>
        <w:t>- жесткость консолей крыла обеспечена внутренними растяжками, натянутыми в плоскости их хорд Х-образно;</w:t>
      </w:r>
    </w:p>
    <w:p w14:paraId="6C4B3CB1" w14:textId="77777777" w:rsidR="00537EDD" w:rsidRPr="00DE096C" w:rsidRDefault="00537EDD" w:rsidP="00D45A46">
      <w:pPr>
        <w:jc w:val="both"/>
        <w:rPr>
          <w:bCs/>
          <w:color w:val="002060"/>
          <w:sz w:val="16"/>
          <w:szCs w:val="16"/>
        </w:rPr>
      </w:pPr>
      <w:r w:rsidRPr="00DE096C">
        <w:rPr>
          <w:bCs/>
          <w:color w:val="002060"/>
          <w:sz w:val="16"/>
          <w:szCs w:val="16"/>
        </w:rPr>
        <w:t>- силовой набор элеронов состоит из лонжерона, продольной стенки, полных и неполных нервюр, а также раскосов;</w:t>
      </w:r>
    </w:p>
    <w:p w14:paraId="1D644BC3" w14:textId="77777777" w:rsidR="00537EDD" w:rsidRPr="00DE096C" w:rsidRDefault="00537EDD" w:rsidP="00D45A46">
      <w:pPr>
        <w:jc w:val="both"/>
        <w:rPr>
          <w:bCs/>
          <w:color w:val="002060"/>
          <w:sz w:val="16"/>
          <w:szCs w:val="16"/>
        </w:rPr>
      </w:pPr>
      <w:r w:rsidRPr="00DE096C">
        <w:rPr>
          <w:bCs/>
          <w:color w:val="002060"/>
          <w:sz w:val="16"/>
          <w:szCs w:val="16"/>
        </w:rPr>
        <w:t>- элероны навешиваются к задним лонжеронам верхнего крыла на простейших петлях;</w:t>
      </w:r>
    </w:p>
    <w:p w14:paraId="2BBB3C40" w14:textId="77777777" w:rsidR="00537EDD" w:rsidRPr="00DE096C" w:rsidRDefault="00537EDD" w:rsidP="00D45A46">
      <w:pPr>
        <w:jc w:val="both"/>
        <w:rPr>
          <w:bCs/>
          <w:color w:val="002060"/>
          <w:sz w:val="16"/>
          <w:szCs w:val="16"/>
        </w:rPr>
      </w:pPr>
      <w:r w:rsidRPr="00DE096C">
        <w:rPr>
          <w:bCs/>
          <w:color w:val="002060"/>
          <w:sz w:val="16"/>
          <w:szCs w:val="16"/>
        </w:rPr>
        <w:t>- консоли крыльев (верхние – уже с навешенными элеронами) стыкуются между собой по лонжеронам надетыми на них трубами так, что между ними остается зазор (на верхнем крыле он был небольшой и зашивался, а на нижнем был больше ширины фюзеляжа и был открытым);</w:t>
      </w:r>
    </w:p>
    <w:p w14:paraId="490336DF" w14:textId="77777777" w:rsidR="00537EDD" w:rsidRPr="00DE096C" w:rsidRDefault="00537EDD" w:rsidP="00D45A46">
      <w:pPr>
        <w:jc w:val="both"/>
        <w:rPr>
          <w:bCs/>
          <w:color w:val="002060"/>
          <w:sz w:val="16"/>
          <w:szCs w:val="16"/>
        </w:rPr>
      </w:pPr>
      <w:r w:rsidRPr="00DE096C">
        <w:rPr>
          <w:bCs/>
          <w:color w:val="002060"/>
          <w:sz w:val="16"/>
          <w:szCs w:val="16"/>
        </w:rPr>
        <w:t>- в средней части крылья соединяются между собой кабаном из двух A-образных стоек, соединенных продольными стержнями;</w:t>
      </w:r>
    </w:p>
    <w:p w14:paraId="1B5CD7C4" w14:textId="77777777" w:rsidR="00537EDD" w:rsidRPr="00DE096C" w:rsidRDefault="00537EDD" w:rsidP="00D45A46">
      <w:pPr>
        <w:jc w:val="both"/>
        <w:rPr>
          <w:bCs/>
          <w:color w:val="002060"/>
          <w:sz w:val="16"/>
          <w:szCs w:val="16"/>
        </w:rPr>
      </w:pPr>
      <w:r w:rsidRPr="00DE096C">
        <w:rPr>
          <w:bCs/>
          <w:color w:val="002060"/>
          <w:sz w:val="16"/>
          <w:szCs w:val="16"/>
        </w:rPr>
        <w:t>- по консолям крылья соединяются между собой двумя парными (II-образными) стойками с каждой стороны от плоскости симметрии самолета (ПСС);</w:t>
      </w:r>
    </w:p>
    <w:p w14:paraId="53CE2A02" w14:textId="77777777" w:rsidR="00537EDD" w:rsidRPr="00DE096C" w:rsidRDefault="00537EDD" w:rsidP="00D45A46">
      <w:pPr>
        <w:jc w:val="both"/>
        <w:rPr>
          <w:bCs/>
          <w:color w:val="002060"/>
          <w:sz w:val="16"/>
          <w:szCs w:val="16"/>
        </w:rPr>
      </w:pPr>
      <w:r w:rsidRPr="00DE096C">
        <w:rPr>
          <w:bCs/>
          <w:color w:val="002060"/>
          <w:sz w:val="16"/>
          <w:szCs w:val="16"/>
        </w:rPr>
        <w:t>- бипланная коробка крыльев крепится к фюзеляжу безмоментными узлами на четырех выступающих вниз под нижнее крыло концах А-образных стоек «кабана» и подкосов мотоустановки, которые имеют длину около 100 мм, причем передние стойки длиннее задних и крылья установлены с положительным углом заклинения по отношению к строительной горизонтали фюзеляжа (СГФ) и ватерлинии лодки (ВЛ);</w:t>
      </w:r>
    </w:p>
    <w:p w14:paraId="272E6439" w14:textId="77777777" w:rsidR="00537EDD" w:rsidRPr="00DE096C" w:rsidRDefault="00537EDD" w:rsidP="00D45A46">
      <w:pPr>
        <w:jc w:val="both"/>
        <w:rPr>
          <w:bCs/>
          <w:color w:val="002060"/>
          <w:sz w:val="16"/>
          <w:szCs w:val="16"/>
        </w:rPr>
      </w:pPr>
      <w:r w:rsidRPr="00DE096C">
        <w:rPr>
          <w:bCs/>
          <w:color w:val="002060"/>
          <w:sz w:val="16"/>
          <w:szCs w:val="16"/>
        </w:rPr>
        <w:t>- жесткость бипланной коробки крыльев и ее установки на фюзеляж обеспечена сложной системой растяжек, которые проложены в продольной и поперечной плоскостях и выходят и на верхнюю поверхность верхнего крыла с помощью шпренгелей, установленных на высоких стойках в виде перевернутой буквы V – они должны были работать на восприятие возникающих на верхнем крыле и на бипланной коробке в целом изгибающих и крутящих моментов ;</w:t>
      </w:r>
    </w:p>
    <w:p w14:paraId="39C79BD9" w14:textId="77777777" w:rsidR="00537EDD" w:rsidRPr="00DE096C" w:rsidRDefault="00537EDD" w:rsidP="00D45A46">
      <w:pPr>
        <w:jc w:val="both"/>
        <w:rPr>
          <w:bCs/>
          <w:color w:val="002060"/>
          <w:sz w:val="16"/>
          <w:szCs w:val="16"/>
        </w:rPr>
      </w:pPr>
      <w:r w:rsidRPr="00DE096C">
        <w:rPr>
          <w:bCs/>
          <w:color w:val="002060"/>
          <w:sz w:val="16"/>
          <w:szCs w:val="16"/>
        </w:rPr>
        <w:t>- растяжки бипланной коробки (как и оперения) крепятся своими отогнутыми в нужном направлении вильчатыми или ушковыми наконечниками к проушинам фигурно вырезанных стальных пластин («пауков»), которые ставятся на деревянный каркас на болтах, в те «пауки», к которым крепятся еще и стойки бипланной коробки крыльев, вварены проушины из стальных листов и для них.</w:t>
      </w:r>
    </w:p>
    <w:p w14:paraId="39B2B610" w14:textId="77777777" w:rsidR="00537EDD" w:rsidRPr="00DE096C" w:rsidRDefault="00537EDD" w:rsidP="00D45A46">
      <w:pPr>
        <w:jc w:val="both"/>
        <w:rPr>
          <w:bCs/>
          <w:color w:val="002060"/>
          <w:sz w:val="16"/>
          <w:szCs w:val="16"/>
        </w:rPr>
      </w:pPr>
      <w:r w:rsidRPr="00DE096C">
        <w:rPr>
          <w:bCs/>
          <w:color w:val="002060"/>
          <w:sz w:val="16"/>
          <w:szCs w:val="16"/>
        </w:rPr>
        <w:t>Фюзеляж:</w:t>
      </w:r>
    </w:p>
    <w:p w14:paraId="17FF62AD" w14:textId="77777777" w:rsidR="00537EDD" w:rsidRPr="00DE096C" w:rsidRDefault="00537EDD" w:rsidP="00D45A46">
      <w:pPr>
        <w:jc w:val="both"/>
        <w:rPr>
          <w:bCs/>
          <w:color w:val="002060"/>
          <w:sz w:val="16"/>
          <w:szCs w:val="16"/>
        </w:rPr>
      </w:pPr>
      <w:r w:rsidRPr="00DE096C">
        <w:rPr>
          <w:bCs/>
          <w:color w:val="002060"/>
          <w:sz w:val="16"/>
          <w:szCs w:val="16"/>
        </w:rPr>
        <w:t>- лодочного типа с прямой хвостовой балкой, по конструкции полностью отличался от самолета М-1, будучи гораздо более совершенным;</w:t>
      </w:r>
    </w:p>
    <w:p w14:paraId="3B7938AD" w14:textId="77777777" w:rsidR="00537EDD" w:rsidRPr="00DE096C" w:rsidRDefault="00537EDD" w:rsidP="00D45A46">
      <w:pPr>
        <w:jc w:val="both"/>
        <w:rPr>
          <w:bCs/>
          <w:color w:val="002060"/>
          <w:sz w:val="16"/>
          <w:szCs w:val="16"/>
        </w:rPr>
      </w:pPr>
      <w:r w:rsidRPr="00DE096C">
        <w:rPr>
          <w:bCs/>
          <w:color w:val="002060"/>
          <w:sz w:val="16"/>
          <w:szCs w:val="16"/>
        </w:rPr>
        <w:t>- лодка имеет один редан, расположенный примерно под прямым углом к СГФ, днище в носовой части слабокилеватое с острыми скулами, от кабины до редана форма его сильно вогнутая, дальше сечения хвостовой балки близки к треугольнику, обращенному основанием вверх;</w:t>
      </w:r>
    </w:p>
    <w:p w14:paraId="348016AC" w14:textId="77777777" w:rsidR="00537EDD" w:rsidRPr="00DE096C" w:rsidRDefault="00537EDD" w:rsidP="00D45A46">
      <w:pPr>
        <w:jc w:val="both"/>
        <w:rPr>
          <w:bCs/>
          <w:color w:val="002060"/>
          <w:sz w:val="16"/>
          <w:szCs w:val="16"/>
        </w:rPr>
      </w:pPr>
      <w:r w:rsidRPr="00DE096C">
        <w:rPr>
          <w:bCs/>
          <w:color w:val="002060"/>
          <w:sz w:val="16"/>
          <w:szCs w:val="16"/>
        </w:rPr>
        <w:t>- верхняя палуба корпуса имеет незначительно выпуклые конические обводы, что улучшило его аэродинамику и обеспечило быстрое скатывание воды при захлестывании корпуса волной;</w:t>
      </w:r>
    </w:p>
    <w:p w14:paraId="30F28573" w14:textId="77777777" w:rsidR="00537EDD" w:rsidRPr="00DE096C" w:rsidRDefault="00537EDD" w:rsidP="00D45A46">
      <w:pPr>
        <w:jc w:val="both"/>
        <w:rPr>
          <w:bCs/>
          <w:color w:val="002060"/>
          <w:sz w:val="16"/>
          <w:szCs w:val="16"/>
        </w:rPr>
      </w:pPr>
      <w:r w:rsidRPr="00DE096C">
        <w:rPr>
          <w:bCs/>
          <w:color w:val="002060"/>
          <w:sz w:val="16"/>
          <w:szCs w:val="16"/>
        </w:rPr>
        <w:t>- лодка собирается как единый агрегат на латунных винтах и свинцовых белилах, заменявших клей, некоторые места дополнительно промазывались «морским клеем» – раствором творога в нашатырном спирте, высоконагруженные места усилены кницами;</w:t>
      </w:r>
    </w:p>
    <w:p w14:paraId="62F652C2" w14:textId="77777777" w:rsidR="00537EDD" w:rsidRPr="00DE096C" w:rsidRDefault="00537EDD" w:rsidP="00D45A46">
      <w:pPr>
        <w:jc w:val="both"/>
        <w:rPr>
          <w:bCs/>
          <w:color w:val="002060"/>
          <w:sz w:val="16"/>
          <w:szCs w:val="16"/>
        </w:rPr>
      </w:pPr>
      <w:r w:rsidRPr="00DE096C">
        <w:rPr>
          <w:bCs/>
          <w:color w:val="002060"/>
          <w:sz w:val="16"/>
          <w:szCs w:val="16"/>
        </w:rPr>
        <w:t>- винтов от 10 до 15 тысяч штук (точное число определялось по месту и необходимости) и на их установку отвертками требовалась работа бригады в течение нескольких дней (забивать шурупы молотком для ускорения дела категорически запрещено);</w:t>
      </w:r>
    </w:p>
    <w:p w14:paraId="1ED1CF58" w14:textId="77777777" w:rsidR="00537EDD" w:rsidRPr="00DE096C" w:rsidRDefault="00537EDD" w:rsidP="00D45A46">
      <w:pPr>
        <w:jc w:val="both"/>
        <w:rPr>
          <w:bCs/>
          <w:color w:val="002060"/>
          <w:sz w:val="16"/>
          <w:szCs w:val="16"/>
        </w:rPr>
      </w:pPr>
      <w:r w:rsidRPr="00DE096C">
        <w:rPr>
          <w:bCs/>
          <w:color w:val="002060"/>
          <w:sz w:val="16"/>
          <w:szCs w:val="16"/>
        </w:rPr>
        <w:t>- силовой набор лодки состоит из пяти продольных бимсов и трех в хвостовой частях, вертикальных и раскосных шпангоутов, а также работающей обшивки (в расчет прочности она не включалась, тем не менее воспринимала все нагрузки своими касательными напряжениями, значительно увеличивая прочность лодки, как это было в деревянных судах, например, шлюпках);</w:t>
      </w:r>
    </w:p>
    <w:p w14:paraId="720C27E6" w14:textId="77777777" w:rsidR="00537EDD" w:rsidRPr="00DE096C" w:rsidRDefault="00537EDD" w:rsidP="00D45A46">
      <w:pPr>
        <w:jc w:val="both"/>
        <w:rPr>
          <w:bCs/>
          <w:color w:val="002060"/>
          <w:sz w:val="16"/>
          <w:szCs w:val="16"/>
        </w:rPr>
      </w:pPr>
      <w:r w:rsidRPr="00DE096C">
        <w:rPr>
          <w:bCs/>
          <w:color w:val="002060"/>
          <w:sz w:val="16"/>
          <w:szCs w:val="16"/>
        </w:rPr>
        <w:t>- шпангоуты изготавливались из отдельных брусков – они заводились в стапель по его рубильникам, обрезались по месту и соединялись кницами;</w:t>
      </w:r>
    </w:p>
    <w:p w14:paraId="5763A6F4" w14:textId="77777777" w:rsidR="00537EDD" w:rsidRPr="00DE096C" w:rsidRDefault="00537EDD" w:rsidP="00D45A46">
      <w:pPr>
        <w:jc w:val="both"/>
        <w:rPr>
          <w:bCs/>
          <w:color w:val="002060"/>
          <w:sz w:val="16"/>
          <w:szCs w:val="16"/>
        </w:rPr>
      </w:pPr>
      <w:r w:rsidRPr="00DE096C">
        <w:rPr>
          <w:bCs/>
          <w:color w:val="002060"/>
          <w:sz w:val="16"/>
          <w:szCs w:val="16"/>
        </w:rPr>
        <w:t>- в нижней части лодки у редана под прямым углом к ПСС установлена труба для монтажа лыжного шасси, см. ниже;</w:t>
      </w:r>
    </w:p>
    <w:p w14:paraId="2508B6FC" w14:textId="77777777" w:rsidR="00537EDD" w:rsidRPr="00DE096C" w:rsidRDefault="00537EDD" w:rsidP="00D45A46">
      <w:pPr>
        <w:jc w:val="both"/>
        <w:rPr>
          <w:bCs/>
          <w:color w:val="002060"/>
          <w:sz w:val="16"/>
          <w:szCs w:val="16"/>
        </w:rPr>
      </w:pPr>
      <w:r w:rsidRPr="00DE096C">
        <w:rPr>
          <w:bCs/>
          <w:color w:val="002060"/>
          <w:sz w:val="16"/>
          <w:szCs w:val="16"/>
        </w:rPr>
        <w:t>- обшивка фанерная, переменной толщины в зависимости от нагрузок в данном месте;</w:t>
      </w:r>
    </w:p>
    <w:p w14:paraId="5A609AF1" w14:textId="77777777" w:rsidR="00537EDD" w:rsidRPr="00DE096C" w:rsidRDefault="00537EDD" w:rsidP="00D45A46">
      <w:pPr>
        <w:jc w:val="both"/>
        <w:rPr>
          <w:bCs/>
          <w:color w:val="002060"/>
          <w:sz w:val="16"/>
          <w:szCs w:val="16"/>
        </w:rPr>
      </w:pPr>
      <w:r w:rsidRPr="00DE096C">
        <w:rPr>
          <w:bCs/>
          <w:color w:val="002060"/>
          <w:sz w:val="16"/>
          <w:szCs w:val="16"/>
        </w:rPr>
        <w:t>- внешняя поверхность лодки покрыта бесцветным лаком, внутренняя – олифой для защиты от сырости;</w:t>
      </w:r>
    </w:p>
    <w:p w14:paraId="4724EEA2" w14:textId="77777777" w:rsidR="00537EDD" w:rsidRPr="00DE096C" w:rsidRDefault="00537EDD" w:rsidP="00D45A46">
      <w:pPr>
        <w:jc w:val="both"/>
        <w:rPr>
          <w:bCs/>
          <w:color w:val="002060"/>
          <w:sz w:val="16"/>
          <w:szCs w:val="16"/>
        </w:rPr>
      </w:pPr>
      <w:r w:rsidRPr="00DE096C">
        <w:rPr>
          <w:bCs/>
          <w:color w:val="002060"/>
          <w:sz w:val="16"/>
          <w:szCs w:val="16"/>
        </w:rPr>
        <w:t>- кабина экипажа открытая с размещением двух сидений бок о бок, что было удобно для прямого сообщения между летчиком и наблюдателем, ветровой козырек и заголовник не предусмотрены.</w:t>
      </w:r>
    </w:p>
    <w:p w14:paraId="6EE3A9F2" w14:textId="77777777" w:rsidR="00537EDD" w:rsidRPr="00DE096C" w:rsidRDefault="00537EDD" w:rsidP="00D45A46">
      <w:pPr>
        <w:jc w:val="both"/>
        <w:rPr>
          <w:bCs/>
          <w:color w:val="002060"/>
          <w:sz w:val="16"/>
          <w:szCs w:val="16"/>
        </w:rPr>
      </w:pPr>
      <w:r w:rsidRPr="00DE096C">
        <w:rPr>
          <w:bCs/>
          <w:color w:val="002060"/>
          <w:sz w:val="16"/>
          <w:szCs w:val="16"/>
        </w:rPr>
        <w:t>Оперение:</w:t>
      </w:r>
    </w:p>
    <w:p w14:paraId="2EFB94BD" w14:textId="77777777" w:rsidR="00537EDD" w:rsidRPr="00DE096C" w:rsidRDefault="00537EDD" w:rsidP="00D45A46">
      <w:pPr>
        <w:jc w:val="both"/>
        <w:rPr>
          <w:bCs/>
          <w:color w:val="002060"/>
          <w:sz w:val="16"/>
          <w:szCs w:val="16"/>
        </w:rPr>
      </w:pPr>
      <w:r w:rsidRPr="00DE096C">
        <w:rPr>
          <w:bCs/>
          <w:color w:val="002060"/>
          <w:sz w:val="16"/>
          <w:szCs w:val="16"/>
        </w:rPr>
        <w:t>- однокилевое, расположено на хвостовой части корпуса – лодки;</w:t>
      </w:r>
    </w:p>
    <w:p w14:paraId="0485D8D3" w14:textId="77777777" w:rsidR="00537EDD" w:rsidRPr="00DE096C" w:rsidRDefault="00537EDD" w:rsidP="00D45A46">
      <w:pPr>
        <w:jc w:val="both"/>
        <w:rPr>
          <w:bCs/>
          <w:color w:val="002060"/>
          <w:sz w:val="16"/>
          <w:szCs w:val="16"/>
        </w:rPr>
      </w:pPr>
      <w:r w:rsidRPr="00DE096C">
        <w:rPr>
          <w:bCs/>
          <w:color w:val="002060"/>
          <w:sz w:val="16"/>
          <w:szCs w:val="16"/>
        </w:rPr>
        <w:t>- профиль горизонтального и вертикального оперения (ГО и ВО) плоский по неподвижным частям и клиновидный по рулям, радиусы кромок определены трубами каркаса;</w:t>
      </w:r>
    </w:p>
    <w:p w14:paraId="1DDBD90B" w14:textId="77777777" w:rsidR="00537EDD" w:rsidRPr="00DE096C" w:rsidRDefault="00537EDD" w:rsidP="00D45A46">
      <w:pPr>
        <w:jc w:val="both"/>
        <w:rPr>
          <w:bCs/>
          <w:color w:val="002060"/>
          <w:sz w:val="16"/>
          <w:szCs w:val="16"/>
        </w:rPr>
      </w:pPr>
      <w:r w:rsidRPr="00DE096C">
        <w:rPr>
          <w:bCs/>
          <w:color w:val="002060"/>
          <w:sz w:val="16"/>
          <w:szCs w:val="16"/>
        </w:rPr>
        <w:t>- ГО трапециевидной в плане формы с треугольным вырезом в РВ для обеспечения поворота РН;</w:t>
      </w:r>
    </w:p>
    <w:p w14:paraId="16222BED" w14:textId="77777777" w:rsidR="00537EDD" w:rsidRPr="00DE096C" w:rsidRDefault="00537EDD" w:rsidP="00D45A46">
      <w:pPr>
        <w:jc w:val="both"/>
        <w:rPr>
          <w:bCs/>
          <w:color w:val="002060"/>
          <w:sz w:val="16"/>
          <w:szCs w:val="16"/>
        </w:rPr>
      </w:pPr>
      <w:r w:rsidRPr="00DE096C">
        <w:rPr>
          <w:bCs/>
          <w:color w:val="002060"/>
          <w:sz w:val="16"/>
          <w:szCs w:val="16"/>
        </w:rPr>
        <w:t>- ГО состоит из стабилизатора и руля высоты (РВ), его относительная площадь по сравнению с самолетом М-1 увеличена;</w:t>
      </w:r>
    </w:p>
    <w:p w14:paraId="37FBEE07" w14:textId="77777777" w:rsidR="00537EDD" w:rsidRPr="00DE096C" w:rsidRDefault="00537EDD" w:rsidP="00D45A46">
      <w:pPr>
        <w:jc w:val="both"/>
        <w:rPr>
          <w:bCs/>
          <w:color w:val="002060"/>
          <w:sz w:val="16"/>
          <w:szCs w:val="16"/>
        </w:rPr>
      </w:pPr>
      <w:r w:rsidRPr="00DE096C">
        <w:rPr>
          <w:bCs/>
          <w:color w:val="002060"/>
          <w:sz w:val="16"/>
          <w:szCs w:val="16"/>
        </w:rPr>
        <w:t>- каркас стабилизатора состоит из лонжерона, кромки, передний участок которой служит вспомогательным лонжероном, а концевые – нервюрами, а также нервюр, установленных по потоку;</w:t>
      </w:r>
    </w:p>
    <w:p w14:paraId="56E74E98" w14:textId="77777777" w:rsidR="00537EDD" w:rsidRPr="00DE096C" w:rsidRDefault="00537EDD" w:rsidP="00D45A46">
      <w:pPr>
        <w:jc w:val="both"/>
        <w:rPr>
          <w:bCs/>
          <w:color w:val="002060"/>
          <w:sz w:val="16"/>
          <w:szCs w:val="16"/>
        </w:rPr>
      </w:pPr>
      <w:r w:rsidRPr="00DE096C">
        <w:rPr>
          <w:bCs/>
          <w:color w:val="002060"/>
          <w:sz w:val="16"/>
          <w:szCs w:val="16"/>
        </w:rPr>
        <w:t>- РВ состоит из двух половин, объединенных общим главным лонжероном, остальной каркас каждого пера РВ свой – кромка, вспомогательный лонжерон и нервюры, пущенные по потоку;</w:t>
      </w:r>
    </w:p>
    <w:p w14:paraId="02BF0513" w14:textId="77777777" w:rsidR="00537EDD" w:rsidRPr="00DE096C" w:rsidRDefault="00537EDD" w:rsidP="00D45A46">
      <w:pPr>
        <w:jc w:val="both"/>
        <w:rPr>
          <w:bCs/>
          <w:color w:val="002060"/>
          <w:sz w:val="16"/>
          <w:szCs w:val="16"/>
        </w:rPr>
      </w:pPr>
      <w:r w:rsidRPr="00DE096C">
        <w:rPr>
          <w:bCs/>
          <w:color w:val="002060"/>
          <w:sz w:val="16"/>
          <w:szCs w:val="16"/>
        </w:rPr>
        <w:t>- ВО состоит из киля и руля направления (РН);</w:t>
      </w:r>
    </w:p>
    <w:p w14:paraId="753253EF" w14:textId="77777777" w:rsidR="00537EDD" w:rsidRPr="00DE096C" w:rsidRDefault="00537EDD" w:rsidP="00D45A46">
      <w:pPr>
        <w:jc w:val="both"/>
        <w:rPr>
          <w:bCs/>
          <w:color w:val="002060"/>
          <w:sz w:val="16"/>
          <w:szCs w:val="16"/>
        </w:rPr>
      </w:pPr>
      <w:r w:rsidRPr="00DE096C">
        <w:rPr>
          <w:bCs/>
          <w:color w:val="002060"/>
          <w:sz w:val="16"/>
          <w:szCs w:val="16"/>
        </w:rPr>
        <w:t>- нижняя часть киля до стабилизатора на виде в плане имеет прямоугольную форму, а верхняя – треугольника, причем его основание меньше хорды нижней части;</w:t>
      </w:r>
    </w:p>
    <w:p w14:paraId="26CAF436" w14:textId="77777777" w:rsidR="00537EDD" w:rsidRPr="00DE096C" w:rsidRDefault="00537EDD" w:rsidP="00D45A46">
      <w:pPr>
        <w:jc w:val="both"/>
        <w:rPr>
          <w:bCs/>
          <w:color w:val="002060"/>
          <w:sz w:val="16"/>
          <w:szCs w:val="16"/>
        </w:rPr>
      </w:pPr>
      <w:r w:rsidRPr="00DE096C">
        <w:rPr>
          <w:bCs/>
          <w:color w:val="002060"/>
          <w:sz w:val="16"/>
          <w:szCs w:val="16"/>
        </w:rPr>
        <w:t>- силовой набор киля состоит из главного лонжерона, кромки и двух нервюр – корневой и проходящей между прямоугольной и треугольной частями;</w:t>
      </w:r>
    </w:p>
    <w:p w14:paraId="530773E3" w14:textId="77777777" w:rsidR="00537EDD" w:rsidRPr="00DE096C" w:rsidRDefault="00537EDD" w:rsidP="00D45A46">
      <w:pPr>
        <w:jc w:val="both"/>
        <w:rPr>
          <w:bCs/>
          <w:color w:val="002060"/>
          <w:sz w:val="16"/>
          <w:szCs w:val="16"/>
        </w:rPr>
      </w:pPr>
      <w:r w:rsidRPr="00DE096C">
        <w:rPr>
          <w:bCs/>
          <w:color w:val="002060"/>
          <w:sz w:val="16"/>
          <w:szCs w:val="16"/>
        </w:rPr>
        <w:t>- РН имеет на виде в плане имеет форму параллелограмма с сильно скругленным верхним задним углом;</w:t>
      </w:r>
    </w:p>
    <w:p w14:paraId="5FF5B51D" w14:textId="77777777" w:rsidR="00537EDD" w:rsidRPr="00DE096C" w:rsidRDefault="00537EDD" w:rsidP="00D45A46">
      <w:pPr>
        <w:jc w:val="both"/>
        <w:rPr>
          <w:bCs/>
          <w:color w:val="002060"/>
          <w:sz w:val="16"/>
          <w:szCs w:val="16"/>
        </w:rPr>
      </w:pPr>
      <w:r w:rsidRPr="00DE096C">
        <w:rPr>
          <w:bCs/>
          <w:color w:val="002060"/>
          <w:sz w:val="16"/>
          <w:szCs w:val="16"/>
        </w:rPr>
        <w:t>- силовой набор подобен РН;</w:t>
      </w:r>
    </w:p>
    <w:p w14:paraId="7031F7B8" w14:textId="77777777" w:rsidR="00537EDD" w:rsidRPr="00DE096C" w:rsidRDefault="00537EDD" w:rsidP="00D45A46">
      <w:pPr>
        <w:jc w:val="both"/>
        <w:rPr>
          <w:bCs/>
          <w:color w:val="002060"/>
          <w:sz w:val="16"/>
          <w:szCs w:val="16"/>
        </w:rPr>
      </w:pPr>
      <w:r w:rsidRPr="00DE096C">
        <w:rPr>
          <w:bCs/>
          <w:color w:val="002060"/>
          <w:sz w:val="16"/>
          <w:szCs w:val="16"/>
        </w:rPr>
        <w:t>- киль крепится лонжеронами к каркасу ХЧФ на безмоментных узлах (крепление их труб при этом работает на изгиб);</w:t>
      </w:r>
    </w:p>
    <w:p w14:paraId="47F9340C" w14:textId="77777777" w:rsidR="00537EDD" w:rsidRPr="00DE096C" w:rsidRDefault="00537EDD" w:rsidP="00D45A46">
      <w:pPr>
        <w:jc w:val="both"/>
        <w:rPr>
          <w:bCs/>
          <w:color w:val="002060"/>
          <w:sz w:val="16"/>
          <w:szCs w:val="16"/>
        </w:rPr>
      </w:pPr>
      <w:r w:rsidRPr="00DE096C">
        <w:rPr>
          <w:bCs/>
          <w:color w:val="002060"/>
          <w:sz w:val="16"/>
          <w:szCs w:val="16"/>
        </w:rPr>
        <w:t>- стабилизатор крепится лонжероном и кромкой к лонжерону и кромке киля в зоне его верхней нервюры и подкосами (по одному с каждой стороны от ПСС к хвостовой балке на безмоментных узлах (крепление труб лонжеронов при этом работает на изгиб);</w:t>
      </w:r>
    </w:p>
    <w:p w14:paraId="3E4E80E8" w14:textId="77777777" w:rsidR="00537EDD" w:rsidRPr="00DE096C" w:rsidRDefault="00537EDD" w:rsidP="00D45A46">
      <w:pPr>
        <w:jc w:val="both"/>
        <w:rPr>
          <w:bCs/>
          <w:color w:val="002060"/>
          <w:sz w:val="16"/>
          <w:szCs w:val="16"/>
        </w:rPr>
      </w:pPr>
      <w:r w:rsidRPr="00DE096C">
        <w:rPr>
          <w:bCs/>
          <w:color w:val="002060"/>
          <w:sz w:val="16"/>
          <w:szCs w:val="16"/>
        </w:rPr>
        <w:t>- жесткость установки оперения обеспечена растяжками и натяжением тросов управления, которые протянуты снаружи ХЧФ через шпренгели – один на передней кромке стабилизатора по ПСС и два на его главном заднем л-не.</w:t>
      </w:r>
    </w:p>
    <w:p w14:paraId="64B4283C" w14:textId="77777777" w:rsidR="00537EDD" w:rsidRPr="00DE096C" w:rsidRDefault="00537EDD" w:rsidP="00D45A46">
      <w:pPr>
        <w:jc w:val="both"/>
        <w:rPr>
          <w:bCs/>
          <w:color w:val="002060"/>
          <w:sz w:val="16"/>
          <w:szCs w:val="16"/>
        </w:rPr>
      </w:pPr>
      <w:r w:rsidRPr="00DE096C">
        <w:rPr>
          <w:bCs/>
          <w:color w:val="002060"/>
          <w:sz w:val="16"/>
          <w:szCs w:val="16"/>
        </w:rPr>
        <w:t>Система управления:</w:t>
      </w:r>
    </w:p>
    <w:p w14:paraId="6E786B79" w14:textId="77777777" w:rsidR="00537EDD" w:rsidRPr="00DE096C" w:rsidRDefault="00537EDD" w:rsidP="00D45A46">
      <w:pPr>
        <w:jc w:val="both"/>
        <w:rPr>
          <w:bCs/>
          <w:color w:val="002060"/>
          <w:sz w:val="16"/>
          <w:szCs w:val="16"/>
        </w:rPr>
      </w:pPr>
      <w:r w:rsidRPr="00DE096C">
        <w:rPr>
          <w:bCs/>
          <w:color w:val="002060"/>
          <w:sz w:val="16"/>
          <w:szCs w:val="16"/>
        </w:rPr>
        <w:t>- состоит из трех независимых каналов – тангажа и крена путем отклонения РВ и элеронов ручкой управления самолетом (РУС), а также рыскания с управлением РН педалями;</w:t>
      </w:r>
    </w:p>
    <w:p w14:paraId="1CBFED75" w14:textId="77777777" w:rsidR="00537EDD" w:rsidRPr="00DE096C" w:rsidRDefault="00537EDD" w:rsidP="00D45A46">
      <w:pPr>
        <w:jc w:val="both"/>
        <w:rPr>
          <w:bCs/>
          <w:color w:val="002060"/>
          <w:sz w:val="16"/>
          <w:szCs w:val="16"/>
        </w:rPr>
      </w:pPr>
      <w:r w:rsidRPr="00DE096C">
        <w:rPr>
          <w:bCs/>
          <w:color w:val="002060"/>
          <w:sz w:val="16"/>
          <w:szCs w:val="16"/>
        </w:rPr>
        <w:t>- пост управления один – напротив левого кресла кабины;</w:t>
      </w:r>
    </w:p>
    <w:p w14:paraId="0A055595" w14:textId="77777777" w:rsidR="00537EDD" w:rsidRPr="00DE096C" w:rsidRDefault="00537EDD" w:rsidP="00D45A46">
      <w:pPr>
        <w:jc w:val="both"/>
        <w:rPr>
          <w:bCs/>
          <w:color w:val="002060"/>
          <w:sz w:val="16"/>
          <w:szCs w:val="16"/>
        </w:rPr>
      </w:pPr>
      <w:r w:rsidRPr="00DE096C">
        <w:rPr>
          <w:bCs/>
          <w:color w:val="002060"/>
          <w:sz w:val="16"/>
          <w:szCs w:val="16"/>
        </w:rPr>
        <w:t>- проводка управления тросовая, почти вся проходит вне агрегатов самолета.</w:t>
      </w:r>
    </w:p>
    <w:p w14:paraId="09B0F1D3" w14:textId="77777777" w:rsidR="00537EDD" w:rsidRPr="00DE096C" w:rsidRDefault="00537EDD" w:rsidP="00D45A46">
      <w:pPr>
        <w:jc w:val="both"/>
        <w:rPr>
          <w:bCs/>
          <w:color w:val="002060"/>
          <w:sz w:val="16"/>
          <w:szCs w:val="16"/>
        </w:rPr>
      </w:pPr>
      <w:r w:rsidRPr="00DE096C">
        <w:rPr>
          <w:bCs/>
          <w:color w:val="002060"/>
          <w:sz w:val="16"/>
          <w:szCs w:val="16"/>
        </w:rPr>
        <w:t>Взлетно-посадочные устройства:</w:t>
      </w:r>
    </w:p>
    <w:p w14:paraId="6439E412" w14:textId="77777777" w:rsidR="00537EDD" w:rsidRPr="00DE096C" w:rsidRDefault="00537EDD" w:rsidP="00D45A46">
      <w:pPr>
        <w:jc w:val="both"/>
        <w:rPr>
          <w:bCs/>
          <w:color w:val="002060"/>
          <w:sz w:val="16"/>
          <w:szCs w:val="16"/>
        </w:rPr>
      </w:pPr>
      <w:r w:rsidRPr="00DE096C">
        <w:rPr>
          <w:bCs/>
          <w:color w:val="002060"/>
          <w:sz w:val="16"/>
          <w:szCs w:val="16"/>
        </w:rPr>
        <w:t>- под ХЧФ установлена «лопата» – пластина на шарнирах, которая отклоняется без участия пилота резиновым «буфером», который должен был смягчать качание лодки на волне;</w:t>
      </w:r>
    </w:p>
    <w:p w14:paraId="1BEF7E21" w14:textId="77777777" w:rsidR="00537EDD" w:rsidRPr="00DE096C" w:rsidRDefault="00537EDD" w:rsidP="00D45A46">
      <w:pPr>
        <w:jc w:val="both"/>
        <w:rPr>
          <w:bCs/>
          <w:color w:val="002060"/>
          <w:sz w:val="16"/>
          <w:szCs w:val="16"/>
        </w:rPr>
      </w:pPr>
      <w:r w:rsidRPr="00DE096C">
        <w:rPr>
          <w:bCs/>
          <w:color w:val="002060"/>
          <w:sz w:val="16"/>
          <w:szCs w:val="16"/>
        </w:rPr>
        <w:t>- поддерживающие поплавки имеют каплевидную форму на виде сбоку и переменное прямоугольное сечение;</w:t>
      </w:r>
    </w:p>
    <w:p w14:paraId="4DC66791" w14:textId="77777777" w:rsidR="00537EDD" w:rsidRPr="00DE096C" w:rsidRDefault="00537EDD" w:rsidP="00D45A46">
      <w:pPr>
        <w:jc w:val="both"/>
        <w:rPr>
          <w:bCs/>
          <w:color w:val="002060"/>
          <w:sz w:val="16"/>
          <w:szCs w:val="16"/>
        </w:rPr>
      </w:pPr>
      <w:r w:rsidRPr="00DE096C">
        <w:rPr>
          <w:bCs/>
          <w:color w:val="002060"/>
          <w:sz w:val="16"/>
          <w:szCs w:val="16"/>
        </w:rPr>
        <w:t>- силовой набор поплавков состоит из бимсов по скулам и шпангоутов;</w:t>
      </w:r>
    </w:p>
    <w:p w14:paraId="4F800CA0" w14:textId="77777777" w:rsidR="00537EDD" w:rsidRPr="00DE096C" w:rsidRDefault="00537EDD" w:rsidP="00D45A46">
      <w:pPr>
        <w:jc w:val="both"/>
        <w:rPr>
          <w:bCs/>
          <w:color w:val="002060"/>
          <w:sz w:val="16"/>
          <w:szCs w:val="16"/>
        </w:rPr>
      </w:pPr>
      <w:r w:rsidRPr="00DE096C">
        <w:rPr>
          <w:bCs/>
          <w:color w:val="002060"/>
          <w:sz w:val="16"/>
          <w:szCs w:val="16"/>
        </w:rPr>
        <w:t>- поддерживающие поплавки крепятся к лонжеронам нижнего крыла каждый на четырех стержнях, образующих с их каркасом раму, жесткость которой обеспечена растяжками;</w:t>
      </w:r>
    </w:p>
    <w:p w14:paraId="7E7145FD" w14:textId="77777777" w:rsidR="00537EDD" w:rsidRPr="00DE096C" w:rsidRDefault="00537EDD" w:rsidP="00D45A46">
      <w:pPr>
        <w:jc w:val="both"/>
        <w:rPr>
          <w:bCs/>
          <w:color w:val="002060"/>
          <w:sz w:val="16"/>
          <w:szCs w:val="16"/>
        </w:rPr>
      </w:pPr>
      <w:r w:rsidRPr="00DE096C">
        <w:rPr>
          <w:bCs/>
          <w:color w:val="002060"/>
          <w:sz w:val="16"/>
          <w:szCs w:val="16"/>
        </w:rPr>
        <w:t>- для полетов зимой с аэродромов со снежным или с ледовым покрытием предусмотрена установка съемного лыжного шасси, см. ниже.</w:t>
      </w:r>
    </w:p>
    <w:p w14:paraId="5A970261" w14:textId="77777777" w:rsidR="00537EDD" w:rsidRPr="00DE096C" w:rsidRDefault="00537EDD" w:rsidP="00D45A46">
      <w:pPr>
        <w:jc w:val="both"/>
        <w:rPr>
          <w:bCs/>
          <w:color w:val="002060"/>
          <w:sz w:val="16"/>
          <w:szCs w:val="16"/>
        </w:rPr>
      </w:pPr>
      <w:r w:rsidRPr="00DE096C">
        <w:rPr>
          <w:bCs/>
          <w:color w:val="002060"/>
          <w:sz w:val="16"/>
          <w:szCs w:val="16"/>
        </w:rPr>
        <w:t>Зимнее съемное лыжное шасси:</w:t>
      </w:r>
    </w:p>
    <w:p w14:paraId="6E432CA9" w14:textId="77777777" w:rsidR="00537EDD" w:rsidRPr="00DE096C" w:rsidRDefault="00537EDD" w:rsidP="00D45A46">
      <w:pPr>
        <w:jc w:val="both"/>
        <w:rPr>
          <w:bCs/>
          <w:color w:val="002060"/>
          <w:sz w:val="16"/>
          <w:szCs w:val="16"/>
        </w:rPr>
      </w:pPr>
      <w:r w:rsidRPr="00DE096C">
        <w:rPr>
          <w:bCs/>
          <w:color w:val="002060"/>
          <w:sz w:val="16"/>
          <w:szCs w:val="16"/>
        </w:rPr>
        <w:t>- трехопорное, состоит из двух главных и хвостовой опор;</w:t>
      </w:r>
    </w:p>
    <w:p w14:paraId="22153F0A" w14:textId="77777777" w:rsidR="00537EDD" w:rsidRPr="00DE096C" w:rsidRDefault="00537EDD" w:rsidP="00D45A46">
      <w:pPr>
        <w:jc w:val="both"/>
        <w:rPr>
          <w:bCs/>
          <w:color w:val="002060"/>
          <w:sz w:val="16"/>
          <w:szCs w:val="16"/>
        </w:rPr>
      </w:pPr>
      <w:r w:rsidRPr="00DE096C">
        <w:rPr>
          <w:bCs/>
          <w:color w:val="002060"/>
          <w:sz w:val="16"/>
          <w:szCs w:val="16"/>
        </w:rPr>
        <w:t>- ООШ состоят из трубы, которая продевалась сквозь трубу большего диаметра в нижней части лодки у редана (см. конструкция фюзеляжа), на которую шарнирно одевались две лыжи на длинных пирамидальных кронштейнах, лыжи уравновешивались шнурами, амортизации не было;</w:t>
      </w:r>
    </w:p>
    <w:p w14:paraId="24202EFD" w14:textId="77777777" w:rsidR="00537EDD" w:rsidRPr="00DE096C" w:rsidRDefault="00537EDD" w:rsidP="00D45A46">
      <w:pPr>
        <w:jc w:val="both"/>
        <w:rPr>
          <w:bCs/>
          <w:color w:val="002060"/>
          <w:sz w:val="16"/>
          <w:szCs w:val="16"/>
        </w:rPr>
      </w:pPr>
      <w:r w:rsidRPr="00DE096C">
        <w:rPr>
          <w:bCs/>
          <w:color w:val="002060"/>
          <w:sz w:val="16"/>
          <w:szCs w:val="16"/>
        </w:rPr>
        <w:t>- под хвостовой балкой устанавливалась третья малая лыжа подобно основным.</w:t>
      </w:r>
    </w:p>
    <w:p w14:paraId="01B756E9" w14:textId="77777777" w:rsidR="00537EDD" w:rsidRPr="00DE096C" w:rsidRDefault="00537EDD" w:rsidP="00D45A46">
      <w:pPr>
        <w:jc w:val="both"/>
        <w:rPr>
          <w:bCs/>
          <w:color w:val="002060"/>
          <w:sz w:val="16"/>
          <w:szCs w:val="16"/>
        </w:rPr>
      </w:pPr>
      <w:r w:rsidRPr="00DE096C">
        <w:rPr>
          <w:bCs/>
          <w:color w:val="002060"/>
          <w:sz w:val="16"/>
          <w:szCs w:val="16"/>
        </w:rPr>
        <w:t>В первой половине лета 1914 г. проект представлен собранной на заводе ПРТВ комиссии, состоящей, по-видимому только из руководства предприятия и прикрепленного к заводу летчика-приемщика Военного ведомства, которые оценили его положительно, и заводу заказано строительство пяти таких самолетов (23594).</w:t>
      </w:r>
    </w:p>
    <w:p w14:paraId="718DE88E" w14:textId="77777777" w:rsidR="00537EDD" w:rsidRPr="00DE096C" w:rsidRDefault="00537EDD" w:rsidP="00D45A46">
      <w:pPr>
        <w:jc w:val="both"/>
        <w:rPr>
          <w:bCs/>
          <w:color w:val="002060"/>
          <w:sz w:val="16"/>
          <w:szCs w:val="16"/>
          <w:lang w:bidi="ru-RU"/>
        </w:rPr>
      </w:pPr>
    </w:p>
    <w:p w14:paraId="6C1F8D77" w14:textId="77777777" w:rsidR="00537EDD" w:rsidRPr="00DE096C" w:rsidRDefault="00537EDD" w:rsidP="00D45A46">
      <w:pPr>
        <w:jc w:val="both"/>
        <w:rPr>
          <w:bCs/>
          <w:color w:val="002060"/>
          <w:sz w:val="16"/>
          <w:szCs w:val="16"/>
        </w:rPr>
      </w:pPr>
      <w:r w:rsidRPr="00DE096C">
        <w:rPr>
          <w:bCs/>
          <w:color w:val="002060"/>
          <w:sz w:val="16"/>
          <w:szCs w:val="16"/>
          <w:lang w:bidi="ru-RU"/>
        </w:rPr>
        <w:lastRenderedPageBreak/>
        <w:t>В начале 1914 года было со</w:t>
      </w:r>
      <w:r w:rsidRPr="00DE096C">
        <w:rPr>
          <w:bCs/>
          <w:color w:val="002060"/>
          <w:sz w:val="16"/>
          <w:szCs w:val="16"/>
          <w:lang w:bidi="ru-RU"/>
        </w:rPr>
        <w:softHyphen/>
        <w:t>общено, что проект «комиссии по выработ</w:t>
      </w:r>
      <w:r w:rsidRPr="00DE096C">
        <w:rPr>
          <w:bCs/>
          <w:color w:val="002060"/>
          <w:sz w:val="16"/>
          <w:szCs w:val="16"/>
          <w:lang w:bidi="ru-RU"/>
        </w:rPr>
        <w:softHyphen/>
        <w:t>ке проекта русского самолета национального типа», работавшей с 1911 г. Н.Е. Жуковский, окончен. Ранее периодически в печати проскальзыва</w:t>
      </w:r>
      <w:r w:rsidRPr="00DE096C">
        <w:rPr>
          <w:bCs/>
          <w:color w:val="002060"/>
          <w:sz w:val="16"/>
          <w:szCs w:val="16"/>
          <w:lang w:bidi="ru-RU"/>
        </w:rPr>
        <w:softHyphen/>
        <w:t>ли сообщения о том, что работы над ним про</w:t>
      </w:r>
      <w:r w:rsidRPr="00DE096C">
        <w:rPr>
          <w:bCs/>
          <w:color w:val="002060"/>
          <w:sz w:val="16"/>
          <w:szCs w:val="16"/>
          <w:lang w:bidi="ru-RU"/>
        </w:rPr>
        <w:softHyphen/>
        <w:t>должаются, однако, далее никаких сообщений о «русском националь</w:t>
      </w:r>
      <w:r w:rsidRPr="00DE096C">
        <w:rPr>
          <w:bCs/>
          <w:color w:val="002060"/>
          <w:sz w:val="16"/>
          <w:szCs w:val="16"/>
          <w:lang w:bidi="ru-RU"/>
        </w:rPr>
        <w:softHyphen/>
        <w:t>ном самолете» не появляется, зато Слесарев в рекордные сроки разрабатывает «Святого</w:t>
      </w:r>
      <w:r w:rsidRPr="00DE096C">
        <w:rPr>
          <w:bCs/>
          <w:color w:val="002060"/>
          <w:sz w:val="16"/>
          <w:szCs w:val="16"/>
          <w:lang w:bidi="ru-RU"/>
        </w:rPr>
        <w:softHyphen/>
        <w:t>ра». Вопрос, в какой степени «Святогор» и «русский национальный самолет» тожде</w:t>
      </w:r>
      <w:r w:rsidRPr="00DE096C">
        <w:rPr>
          <w:bCs/>
          <w:color w:val="002060"/>
          <w:sz w:val="16"/>
          <w:szCs w:val="16"/>
          <w:lang w:bidi="ru-RU"/>
        </w:rPr>
        <w:softHyphen/>
        <w:t>ственны, пока еще ждет своего исследовате</w:t>
      </w:r>
      <w:r w:rsidRPr="00DE096C">
        <w:rPr>
          <w:bCs/>
          <w:color w:val="002060"/>
          <w:sz w:val="16"/>
          <w:szCs w:val="16"/>
          <w:lang w:bidi="ru-RU"/>
        </w:rPr>
        <w:softHyphen/>
        <w:t>ля (21288).</w:t>
      </w:r>
    </w:p>
    <w:p w14:paraId="11830525" w14:textId="77777777" w:rsidR="00537EDD" w:rsidRPr="00DE096C" w:rsidRDefault="00537EDD" w:rsidP="00D45A46">
      <w:pPr>
        <w:jc w:val="both"/>
        <w:rPr>
          <w:bCs/>
          <w:color w:val="002060"/>
          <w:sz w:val="16"/>
          <w:szCs w:val="16"/>
        </w:rPr>
      </w:pPr>
    </w:p>
    <w:p w14:paraId="3B550759"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Другие оборонные отрасли:</w:t>
      </w:r>
    </w:p>
    <w:p w14:paraId="4807A84A" w14:textId="77777777" w:rsidR="00B67D7C" w:rsidRPr="00DE096C" w:rsidRDefault="00B67D7C" w:rsidP="00D45A46">
      <w:pPr>
        <w:shd w:val="clear" w:color="auto" w:fill="FFFFFF"/>
        <w:jc w:val="both"/>
        <w:rPr>
          <w:bCs/>
          <w:i/>
          <w:color w:val="002060"/>
          <w:sz w:val="16"/>
          <w:szCs w:val="16"/>
        </w:rPr>
      </w:pPr>
    </w:p>
    <w:p w14:paraId="5EB3505C" w14:textId="77777777" w:rsidR="007A0148" w:rsidRPr="00DE096C" w:rsidRDefault="007A0148" w:rsidP="00D45A46">
      <w:pPr>
        <w:jc w:val="both"/>
        <w:rPr>
          <w:bCs/>
          <w:color w:val="002060"/>
          <w:sz w:val="16"/>
          <w:szCs w:val="16"/>
        </w:rPr>
      </w:pPr>
      <w:r w:rsidRPr="00DE096C">
        <w:rPr>
          <w:bCs/>
          <w:color w:val="002060"/>
          <w:sz w:val="16"/>
          <w:szCs w:val="16"/>
        </w:rPr>
        <w:t>В начале 1914 года завод РБВЗ выпустил третью модель легкового автомобиля "Е-15-35", которым планировалось заменить устаревшую модель "С". Двигатель модели "Е15-35" рабочим объемом 3684 см3 развивал мощность 35 л. с. при 1500 об/мин. Это позволяло машине, снаряженная масса которой не превышала 1500 кг (напомним, у "С24-40"-1950 кг), достигать скорости 75 км/ч. Автомобиль, естественно, оказался на 25% экономичней, чем модель "С24-40",- расходовал 18 л бензина на 100 км пути. С начала 1914 года практически вся продукция завода направляется в армию. Главные модели - легковые автомобили С24-40, К12-20, легкие грузовики М24-40 и грузовики Т-40-65. Фактически выпуск достиг 2-2.5 автомобилей в день. Нна базе шасси, выпускавшихся на заводе с 1913 года, для армии строились пулеметные и пушечные бронеавтомобили.</w:t>
      </w:r>
    </w:p>
    <w:tbl>
      <w:tblPr>
        <w:tblW w:w="0" w:type="auto"/>
        <w:tblCellMar>
          <w:left w:w="0" w:type="dxa"/>
          <w:right w:w="0" w:type="dxa"/>
        </w:tblCellMar>
        <w:tblLook w:val="04A0" w:firstRow="1" w:lastRow="0" w:firstColumn="1" w:lastColumn="0" w:noHBand="0" w:noVBand="1"/>
      </w:tblPr>
      <w:tblGrid>
        <w:gridCol w:w="1551"/>
        <w:gridCol w:w="320"/>
        <w:gridCol w:w="320"/>
        <w:gridCol w:w="320"/>
        <w:gridCol w:w="320"/>
        <w:gridCol w:w="320"/>
        <w:gridCol w:w="320"/>
        <w:gridCol w:w="395"/>
      </w:tblGrid>
      <w:tr w:rsidR="007A0148" w:rsidRPr="00DE096C" w14:paraId="4624EA4F" w14:textId="77777777" w:rsidTr="00607F21">
        <w:tc>
          <w:tcPr>
            <w:tcW w:w="0" w:type="auto"/>
            <w:tcBorders>
              <w:top w:val="nil"/>
              <w:left w:val="nil"/>
              <w:bottom w:val="nil"/>
              <w:right w:val="nil"/>
            </w:tcBorders>
            <w:vAlign w:val="bottom"/>
            <w:hideMark/>
          </w:tcPr>
          <w:p w14:paraId="201ED0A3" w14:textId="77777777" w:rsidR="007A0148" w:rsidRPr="00DE096C" w:rsidRDefault="007A0148" w:rsidP="00D45A46">
            <w:pPr>
              <w:jc w:val="both"/>
              <w:rPr>
                <w:bCs/>
                <w:color w:val="002060"/>
                <w:sz w:val="16"/>
                <w:szCs w:val="16"/>
              </w:rPr>
            </w:pPr>
            <w:r w:rsidRPr="00DE096C">
              <w:rPr>
                <w:bCs/>
                <w:color w:val="002060"/>
                <w:sz w:val="16"/>
                <w:szCs w:val="16"/>
              </w:rPr>
              <w:t>Название предприятия</w:t>
            </w:r>
          </w:p>
        </w:tc>
        <w:tc>
          <w:tcPr>
            <w:tcW w:w="0" w:type="auto"/>
            <w:tcBorders>
              <w:top w:val="nil"/>
              <w:left w:val="nil"/>
              <w:bottom w:val="nil"/>
              <w:right w:val="nil"/>
            </w:tcBorders>
            <w:vAlign w:val="bottom"/>
            <w:hideMark/>
          </w:tcPr>
          <w:p w14:paraId="5936B051" w14:textId="77777777" w:rsidR="007A0148" w:rsidRPr="00DE096C" w:rsidRDefault="007A0148" w:rsidP="00D45A46">
            <w:pPr>
              <w:jc w:val="both"/>
              <w:rPr>
                <w:bCs/>
                <w:color w:val="002060"/>
                <w:sz w:val="16"/>
                <w:szCs w:val="16"/>
              </w:rPr>
            </w:pPr>
            <w:r w:rsidRPr="00DE096C">
              <w:rPr>
                <w:bCs/>
                <w:color w:val="002060"/>
                <w:sz w:val="16"/>
                <w:szCs w:val="16"/>
              </w:rPr>
              <w:t>1909</w:t>
            </w:r>
          </w:p>
        </w:tc>
        <w:tc>
          <w:tcPr>
            <w:tcW w:w="0" w:type="auto"/>
            <w:tcBorders>
              <w:top w:val="nil"/>
              <w:left w:val="nil"/>
              <w:bottom w:val="nil"/>
              <w:right w:val="nil"/>
            </w:tcBorders>
            <w:vAlign w:val="bottom"/>
            <w:hideMark/>
          </w:tcPr>
          <w:p w14:paraId="2216E89F" w14:textId="77777777" w:rsidR="007A0148" w:rsidRPr="00DE096C" w:rsidRDefault="007A0148" w:rsidP="00D45A46">
            <w:pPr>
              <w:jc w:val="both"/>
              <w:rPr>
                <w:bCs/>
                <w:color w:val="002060"/>
                <w:sz w:val="16"/>
                <w:szCs w:val="16"/>
              </w:rPr>
            </w:pPr>
            <w:r w:rsidRPr="00DE096C">
              <w:rPr>
                <w:bCs/>
                <w:color w:val="002060"/>
                <w:sz w:val="16"/>
                <w:szCs w:val="16"/>
              </w:rPr>
              <w:t>1910</w:t>
            </w:r>
          </w:p>
        </w:tc>
        <w:tc>
          <w:tcPr>
            <w:tcW w:w="0" w:type="auto"/>
            <w:tcBorders>
              <w:top w:val="nil"/>
              <w:left w:val="nil"/>
              <w:bottom w:val="nil"/>
              <w:right w:val="nil"/>
            </w:tcBorders>
            <w:vAlign w:val="bottom"/>
            <w:hideMark/>
          </w:tcPr>
          <w:p w14:paraId="63E6E364" w14:textId="77777777" w:rsidR="007A0148" w:rsidRPr="00DE096C" w:rsidRDefault="007A0148" w:rsidP="00D45A46">
            <w:pPr>
              <w:jc w:val="both"/>
              <w:rPr>
                <w:bCs/>
                <w:color w:val="002060"/>
                <w:sz w:val="16"/>
                <w:szCs w:val="16"/>
              </w:rPr>
            </w:pPr>
            <w:r w:rsidRPr="00DE096C">
              <w:rPr>
                <w:bCs/>
                <w:color w:val="002060"/>
                <w:sz w:val="16"/>
                <w:szCs w:val="16"/>
              </w:rPr>
              <w:t>1911</w:t>
            </w:r>
          </w:p>
        </w:tc>
        <w:tc>
          <w:tcPr>
            <w:tcW w:w="0" w:type="auto"/>
            <w:tcBorders>
              <w:top w:val="nil"/>
              <w:left w:val="nil"/>
              <w:bottom w:val="nil"/>
              <w:right w:val="nil"/>
            </w:tcBorders>
            <w:vAlign w:val="bottom"/>
            <w:hideMark/>
          </w:tcPr>
          <w:p w14:paraId="2BAE660B" w14:textId="77777777" w:rsidR="007A0148" w:rsidRPr="00DE096C" w:rsidRDefault="007A0148" w:rsidP="00D45A46">
            <w:pPr>
              <w:jc w:val="both"/>
              <w:rPr>
                <w:bCs/>
                <w:color w:val="002060"/>
                <w:sz w:val="16"/>
                <w:szCs w:val="16"/>
              </w:rPr>
            </w:pPr>
            <w:r w:rsidRPr="00DE096C">
              <w:rPr>
                <w:bCs/>
                <w:color w:val="002060"/>
                <w:sz w:val="16"/>
                <w:szCs w:val="16"/>
              </w:rPr>
              <w:t>1912</w:t>
            </w:r>
          </w:p>
        </w:tc>
        <w:tc>
          <w:tcPr>
            <w:tcW w:w="0" w:type="auto"/>
            <w:tcBorders>
              <w:top w:val="nil"/>
              <w:left w:val="nil"/>
              <w:bottom w:val="nil"/>
              <w:right w:val="nil"/>
            </w:tcBorders>
            <w:vAlign w:val="bottom"/>
            <w:hideMark/>
          </w:tcPr>
          <w:p w14:paraId="5C8D915B" w14:textId="77777777" w:rsidR="007A0148" w:rsidRPr="00DE096C" w:rsidRDefault="007A0148" w:rsidP="00D45A46">
            <w:pPr>
              <w:jc w:val="both"/>
              <w:rPr>
                <w:bCs/>
                <w:color w:val="002060"/>
                <w:sz w:val="16"/>
                <w:szCs w:val="16"/>
              </w:rPr>
            </w:pPr>
            <w:r w:rsidRPr="00DE096C">
              <w:rPr>
                <w:bCs/>
                <w:color w:val="002060"/>
                <w:sz w:val="16"/>
                <w:szCs w:val="16"/>
              </w:rPr>
              <w:t>1913</w:t>
            </w:r>
          </w:p>
        </w:tc>
        <w:tc>
          <w:tcPr>
            <w:tcW w:w="0" w:type="auto"/>
            <w:tcBorders>
              <w:top w:val="nil"/>
              <w:left w:val="nil"/>
              <w:bottom w:val="nil"/>
              <w:right w:val="nil"/>
            </w:tcBorders>
            <w:vAlign w:val="bottom"/>
            <w:hideMark/>
          </w:tcPr>
          <w:p w14:paraId="3E0E3656" w14:textId="77777777" w:rsidR="007A0148" w:rsidRPr="00DE096C" w:rsidRDefault="007A0148" w:rsidP="00D45A46">
            <w:pPr>
              <w:jc w:val="both"/>
              <w:rPr>
                <w:bCs/>
                <w:color w:val="002060"/>
                <w:sz w:val="16"/>
                <w:szCs w:val="16"/>
              </w:rPr>
            </w:pPr>
            <w:r w:rsidRPr="00DE096C">
              <w:rPr>
                <w:bCs/>
                <w:color w:val="002060"/>
                <w:sz w:val="16"/>
                <w:szCs w:val="16"/>
              </w:rPr>
              <w:t>1914</w:t>
            </w:r>
          </w:p>
        </w:tc>
        <w:tc>
          <w:tcPr>
            <w:tcW w:w="0" w:type="auto"/>
            <w:tcBorders>
              <w:top w:val="nil"/>
              <w:left w:val="nil"/>
              <w:bottom w:val="nil"/>
              <w:right w:val="nil"/>
            </w:tcBorders>
            <w:vAlign w:val="bottom"/>
            <w:hideMark/>
          </w:tcPr>
          <w:p w14:paraId="424758C2" w14:textId="77777777" w:rsidR="007A0148" w:rsidRPr="00DE096C" w:rsidRDefault="007A0148" w:rsidP="00D45A46">
            <w:pPr>
              <w:jc w:val="both"/>
              <w:rPr>
                <w:bCs/>
                <w:color w:val="002060"/>
                <w:sz w:val="16"/>
                <w:szCs w:val="16"/>
              </w:rPr>
            </w:pPr>
            <w:r w:rsidRPr="00DE096C">
              <w:rPr>
                <w:bCs/>
                <w:color w:val="002060"/>
                <w:sz w:val="16"/>
                <w:szCs w:val="16"/>
              </w:rPr>
              <w:t>Всего</w:t>
            </w:r>
          </w:p>
        </w:tc>
      </w:tr>
      <w:tr w:rsidR="007A0148" w:rsidRPr="00DE096C" w14:paraId="1F9CCE43" w14:textId="77777777" w:rsidTr="00607F21">
        <w:tc>
          <w:tcPr>
            <w:tcW w:w="0" w:type="auto"/>
            <w:tcBorders>
              <w:top w:val="nil"/>
              <w:left w:val="nil"/>
              <w:bottom w:val="nil"/>
              <w:right w:val="nil"/>
            </w:tcBorders>
            <w:vAlign w:val="bottom"/>
            <w:hideMark/>
          </w:tcPr>
          <w:p w14:paraId="113DBEC1" w14:textId="77777777" w:rsidR="007A0148" w:rsidRPr="00DE096C" w:rsidRDefault="007A0148" w:rsidP="00D45A46">
            <w:pPr>
              <w:jc w:val="both"/>
              <w:rPr>
                <w:bCs/>
                <w:color w:val="002060"/>
                <w:sz w:val="16"/>
                <w:szCs w:val="16"/>
              </w:rPr>
            </w:pPr>
            <w:r w:rsidRPr="00DE096C">
              <w:rPr>
                <w:bCs/>
                <w:color w:val="002060"/>
                <w:sz w:val="16"/>
                <w:szCs w:val="16"/>
              </w:rPr>
              <w:t>"РБВЗ"</w:t>
            </w:r>
          </w:p>
        </w:tc>
        <w:tc>
          <w:tcPr>
            <w:tcW w:w="0" w:type="auto"/>
            <w:tcBorders>
              <w:top w:val="nil"/>
              <w:left w:val="nil"/>
              <w:bottom w:val="nil"/>
              <w:right w:val="nil"/>
            </w:tcBorders>
            <w:vAlign w:val="bottom"/>
            <w:hideMark/>
          </w:tcPr>
          <w:p w14:paraId="08CBB4BA" w14:textId="77777777" w:rsidR="007A0148" w:rsidRPr="00DE096C" w:rsidRDefault="007A0148" w:rsidP="00D45A46">
            <w:pPr>
              <w:jc w:val="both"/>
              <w:rPr>
                <w:bCs/>
                <w:color w:val="002060"/>
                <w:sz w:val="16"/>
                <w:szCs w:val="16"/>
              </w:rPr>
            </w:pPr>
            <w:r w:rsidRPr="00DE096C">
              <w:rPr>
                <w:bCs/>
                <w:color w:val="002060"/>
                <w:sz w:val="16"/>
                <w:szCs w:val="16"/>
              </w:rPr>
              <w:t>46</w:t>
            </w:r>
          </w:p>
        </w:tc>
        <w:tc>
          <w:tcPr>
            <w:tcW w:w="0" w:type="auto"/>
            <w:tcBorders>
              <w:top w:val="nil"/>
              <w:left w:val="nil"/>
              <w:bottom w:val="nil"/>
              <w:right w:val="nil"/>
            </w:tcBorders>
            <w:vAlign w:val="bottom"/>
            <w:hideMark/>
          </w:tcPr>
          <w:p w14:paraId="09E10968" w14:textId="77777777" w:rsidR="007A0148" w:rsidRPr="00DE096C" w:rsidRDefault="007A0148" w:rsidP="00D45A46">
            <w:pPr>
              <w:jc w:val="both"/>
              <w:rPr>
                <w:bCs/>
                <w:color w:val="002060"/>
                <w:sz w:val="16"/>
                <w:szCs w:val="16"/>
              </w:rPr>
            </w:pPr>
            <w:r w:rsidRPr="00DE096C">
              <w:rPr>
                <w:bCs/>
                <w:color w:val="002060"/>
                <w:sz w:val="16"/>
                <w:szCs w:val="16"/>
              </w:rPr>
              <w:t>141</w:t>
            </w:r>
          </w:p>
        </w:tc>
        <w:tc>
          <w:tcPr>
            <w:tcW w:w="0" w:type="auto"/>
            <w:tcBorders>
              <w:top w:val="nil"/>
              <w:left w:val="nil"/>
              <w:bottom w:val="nil"/>
              <w:right w:val="nil"/>
            </w:tcBorders>
            <w:vAlign w:val="bottom"/>
            <w:hideMark/>
          </w:tcPr>
          <w:p w14:paraId="19329959" w14:textId="77777777" w:rsidR="007A0148" w:rsidRPr="00DE096C" w:rsidRDefault="007A0148" w:rsidP="00D45A46">
            <w:pPr>
              <w:jc w:val="both"/>
              <w:rPr>
                <w:bCs/>
                <w:color w:val="002060"/>
                <w:sz w:val="16"/>
                <w:szCs w:val="16"/>
              </w:rPr>
            </w:pPr>
            <w:r w:rsidRPr="00DE096C">
              <w:rPr>
                <w:bCs/>
                <w:color w:val="002060"/>
                <w:sz w:val="16"/>
                <w:szCs w:val="16"/>
              </w:rPr>
              <w:t>331</w:t>
            </w:r>
          </w:p>
        </w:tc>
        <w:tc>
          <w:tcPr>
            <w:tcW w:w="0" w:type="auto"/>
            <w:tcBorders>
              <w:top w:val="nil"/>
              <w:left w:val="nil"/>
              <w:bottom w:val="nil"/>
              <w:right w:val="nil"/>
            </w:tcBorders>
            <w:vAlign w:val="bottom"/>
            <w:hideMark/>
          </w:tcPr>
          <w:p w14:paraId="4531B882" w14:textId="77777777" w:rsidR="007A0148" w:rsidRPr="00DE096C" w:rsidRDefault="007A0148" w:rsidP="00D45A46">
            <w:pPr>
              <w:jc w:val="both"/>
              <w:rPr>
                <w:bCs/>
                <w:color w:val="002060"/>
                <w:sz w:val="16"/>
                <w:szCs w:val="16"/>
              </w:rPr>
            </w:pPr>
            <w:r w:rsidRPr="00DE096C">
              <w:rPr>
                <w:bCs/>
                <w:color w:val="002060"/>
                <w:sz w:val="16"/>
                <w:szCs w:val="16"/>
              </w:rPr>
              <w:t>419</w:t>
            </w:r>
          </w:p>
        </w:tc>
        <w:tc>
          <w:tcPr>
            <w:tcW w:w="0" w:type="auto"/>
            <w:tcBorders>
              <w:top w:val="nil"/>
              <w:left w:val="nil"/>
              <w:bottom w:val="nil"/>
              <w:right w:val="nil"/>
            </w:tcBorders>
            <w:vAlign w:val="bottom"/>
            <w:hideMark/>
          </w:tcPr>
          <w:p w14:paraId="1F803084" w14:textId="77777777" w:rsidR="007A0148" w:rsidRPr="00DE096C" w:rsidRDefault="007A0148" w:rsidP="00D45A46">
            <w:pPr>
              <w:jc w:val="both"/>
              <w:rPr>
                <w:bCs/>
                <w:color w:val="002060"/>
                <w:sz w:val="16"/>
                <w:szCs w:val="16"/>
              </w:rPr>
            </w:pPr>
            <w:r w:rsidRPr="00DE096C">
              <w:rPr>
                <w:bCs/>
                <w:color w:val="002060"/>
                <w:sz w:val="16"/>
                <w:szCs w:val="16"/>
              </w:rPr>
              <w:t>663</w:t>
            </w:r>
          </w:p>
        </w:tc>
        <w:tc>
          <w:tcPr>
            <w:tcW w:w="0" w:type="auto"/>
            <w:tcBorders>
              <w:top w:val="nil"/>
              <w:left w:val="nil"/>
              <w:bottom w:val="nil"/>
              <w:right w:val="nil"/>
            </w:tcBorders>
            <w:vAlign w:val="bottom"/>
            <w:hideMark/>
          </w:tcPr>
          <w:p w14:paraId="13D1F0E7" w14:textId="77777777" w:rsidR="007A0148" w:rsidRPr="00DE096C" w:rsidRDefault="007A0148" w:rsidP="00D45A46">
            <w:pPr>
              <w:jc w:val="both"/>
              <w:rPr>
                <w:bCs/>
                <w:color w:val="002060"/>
                <w:sz w:val="16"/>
                <w:szCs w:val="16"/>
              </w:rPr>
            </w:pPr>
            <w:r w:rsidRPr="00DE096C">
              <w:rPr>
                <w:bCs/>
                <w:color w:val="002060"/>
                <w:sz w:val="16"/>
                <w:szCs w:val="16"/>
              </w:rPr>
              <w:t>949</w:t>
            </w:r>
          </w:p>
        </w:tc>
        <w:tc>
          <w:tcPr>
            <w:tcW w:w="0" w:type="auto"/>
            <w:tcBorders>
              <w:top w:val="nil"/>
              <w:left w:val="nil"/>
              <w:bottom w:val="nil"/>
              <w:right w:val="nil"/>
            </w:tcBorders>
            <w:vAlign w:val="bottom"/>
            <w:hideMark/>
          </w:tcPr>
          <w:p w14:paraId="78138330" w14:textId="77777777" w:rsidR="007A0148" w:rsidRPr="00DE096C" w:rsidRDefault="007A0148" w:rsidP="00D45A46">
            <w:pPr>
              <w:jc w:val="both"/>
              <w:rPr>
                <w:bCs/>
                <w:color w:val="002060"/>
                <w:sz w:val="16"/>
                <w:szCs w:val="16"/>
              </w:rPr>
            </w:pPr>
            <w:r w:rsidRPr="00DE096C">
              <w:rPr>
                <w:bCs/>
                <w:color w:val="002060"/>
                <w:sz w:val="16"/>
                <w:szCs w:val="16"/>
              </w:rPr>
              <w:t>2449</w:t>
            </w:r>
          </w:p>
        </w:tc>
      </w:tr>
    </w:tbl>
    <w:p w14:paraId="5DA1A3B3" w14:textId="77777777" w:rsidR="007A0148" w:rsidRPr="00DE096C" w:rsidRDefault="007A0148" w:rsidP="00D45A46">
      <w:pPr>
        <w:jc w:val="both"/>
        <w:rPr>
          <w:bCs/>
          <w:color w:val="002060"/>
          <w:sz w:val="16"/>
          <w:szCs w:val="16"/>
        </w:rPr>
      </w:pPr>
      <w:r w:rsidRPr="00DE096C">
        <w:rPr>
          <w:bCs/>
          <w:color w:val="002060"/>
          <w:sz w:val="16"/>
          <w:szCs w:val="16"/>
        </w:rPr>
        <w:t>(18376).</w:t>
      </w:r>
    </w:p>
    <w:p w14:paraId="1D11EF2F" w14:textId="77777777" w:rsidR="007A0148" w:rsidRPr="00DE096C" w:rsidRDefault="007A0148" w:rsidP="00D45A46">
      <w:pPr>
        <w:jc w:val="both"/>
        <w:rPr>
          <w:bCs/>
          <w:color w:val="002060"/>
          <w:sz w:val="16"/>
          <w:szCs w:val="16"/>
        </w:rPr>
      </w:pPr>
    </w:p>
    <w:p w14:paraId="2687D3E9" w14:textId="41936F8A" w:rsidR="00B67D7C" w:rsidRPr="00DE096C" w:rsidRDefault="00B67D7C" w:rsidP="00D45A46">
      <w:pPr>
        <w:jc w:val="both"/>
        <w:rPr>
          <w:bCs/>
          <w:color w:val="002060"/>
          <w:sz w:val="16"/>
          <w:szCs w:val="16"/>
        </w:rPr>
      </w:pPr>
      <w:r w:rsidRPr="00DE096C">
        <w:rPr>
          <w:bCs/>
          <w:color w:val="002060"/>
          <w:sz w:val="16"/>
          <w:szCs w:val="16"/>
        </w:rPr>
        <w:t xml:space="preserve">В начале 1914 г. для постройки </w:t>
      </w:r>
      <w:r w:rsidR="00616069" w:rsidRPr="00DE096C">
        <w:rPr>
          <w:bCs/>
          <w:color w:val="002060"/>
          <w:sz w:val="16"/>
          <w:szCs w:val="16"/>
        </w:rPr>
        <w:t xml:space="preserve">пороховой завод для нужд флота </w:t>
      </w:r>
      <w:r w:rsidRPr="00DE096C">
        <w:rPr>
          <w:bCs/>
          <w:color w:val="002060"/>
          <w:sz w:val="16"/>
          <w:szCs w:val="16"/>
        </w:rPr>
        <w:t xml:space="preserve">был приобретен у частновладельцев участок земли площадью 9200 десятин близ ст. Черусти Нижегородской железной дороги. </w:t>
      </w:r>
      <w:r w:rsidR="00616069" w:rsidRPr="00DE096C">
        <w:rPr>
          <w:bCs/>
          <w:color w:val="002060"/>
          <w:sz w:val="16"/>
          <w:szCs w:val="16"/>
        </w:rPr>
        <w:t>После переговоров инженера Охтенского завода С.А. Броунса с различными акционерными обществами было получено предложение О-ва механических, трубочных и гильзовых заводов П.В. Барановского взять это дело на себя. Основные условия соглашений заключались в следующем. Общество строит пороховой завод по заданиям и под контролем морского ведомства, причем директором завода приглашается Броунс. В течение пяти лет заводу гарантируются определенные заказы на морские пороха, после чего завод, за выплатой Обществу условленной суммы, переходит в собственность морского ведомства.</w:t>
      </w:r>
    </w:p>
    <w:p w14:paraId="43D96890" w14:textId="77777777" w:rsidR="00B67D7C" w:rsidRPr="00DE096C" w:rsidRDefault="00B67D7C" w:rsidP="00D45A46">
      <w:pPr>
        <w:jc w:val="both"/>
        <w:rPr>
          <w:bCs/>
          <w:color w:val="002060"/>
          <w:sz w:val="16"/>
          <w:szCs w:val="16"/>
        </w:rPr>
      </w:pPr>
      <w:r w:rsidRPr="00DE096C">
        <w:rPr>
          <w:bCs/>
          <w:color w:val="002060"/>
          <w:sz w:val="16"/>
          <w:szCs w:val="16"/>
        </w:rPr>
        <w:t>Оборудование для завода в начале 1914 г. было заказано Обществом Барановского в Германии, причем срок доставки назначен был 1 августа того же года. Однако начавшаяся война разрушила все планы Общества. Из Германии оборудование, конечно, не прибыло, и 50% заплаченных за него Обществом денег пропало. Постройка временно была прекращена (11329).</w:t>
      </w:r>
    </w:p>
    <w:p w14:paraId="068D2AC4" w14:textId="77777777" w:rsidR="00B67D7C" w:rsidRPr="00DE096C" w:rsidRDefault="00B67D7C" w:rsidP="00D45A46">
      <w:pPr>
        <w:pStyle w:val="a3"/>
        <w:jc w:val="both"/>
        <w:rPr>
          <w:bCs/>
          <w:i w:val="0"/>
          <w:color w:val="002060"/>
          <w:spacing w:val="0"/>
          <w:kern w:val="0"/>
          <w:position w:val="0"/>
          <w:sz w:val="16"/>
          <w:szCs w:val="16"/>
        </w:rPr>
      </w:pPr>
    </w:p>
    <w:p w14:paraId="70AE5B7F" w14:textId="68F4157F" w:rsidR="00B67D7C" w:rsidRPr="00DE096C" w:rsidRDefault="00616069" w:rsidP="00D45A46">
      <w:pPr>
        <w:pStyle w:val="Iauiue"/>
        <w:widowControl/>
        <w:jc w:val="both"/>
        <w:rPr>
          <w:bCs/>
          <w:color w:val="002060"/>
          <w:sz w:val="16"/>
          <w:szCs w:val="16"/>
        </w:rPr>
      </w:pPr>
      <w:r w:rsidRPr="00DE096C">
        <w:rPr>
          <w:bCs/>
          <w:color w:val="002060"/>
          <w:sz w:val="16"/>
          <w:szCs w:val="16"/>
        </w:rPr>
        <w:t>В</w:t>
      </w:r>
      <w:r w:rsidR="00B67D7C" w:rsidRPr="00DE096C">
        <w:rPr>
          <w:bCs/>
          <w:color w:val="002060"/>
          <w:sz w:val="16"/>
          <w:szCs w:val="16"/>
        </w:rPr>
        <w:t xml:space="preserve"> начале 1914 г. начальник Офицерской стрелко</w:t>
      </w:r>
      <w:r w:rsidR="00B67D7C" w:rsidRPr="00DE096C">
        <w:rPr>
          <w:bCs/>
          <w:color w:val="002060"/>
          <w:sz w:val="16"/>
          <w:szCs w:val="16"/>
        </w:rPr>
        <w:softHyphen/>
        <w:t>вой школы генерал-майор Н. М. Филатов высказывался о пользе создания забронированных автомобилей, воору</w:t>
      </w:r>
      <w:r w:rsidR="00B67D7C" w:rsidRPr="00DE096C">
        <w:rPr>
          <w:bCs/>
          <w:color w:val="002060"/>
          <w:sz w:val="16"/>
          <w:szCs w:val="16"/>
        </w:rPr>
        <w:softHyphen/>
        <w:t>женных артиллерийским орудием, которые смогли бы при</w:t>
      </w:r>
      <w:r w:rsidR="00B67D7C" w:rsidRPr="00DE096C">
        <w:rPr>
          <w:bCs/>
          <w:color w:val="002060"/>
          <w:sz w:val="16"/>
          <w:szCs w:val="16"/>
        </w:rPr>
        <w:softHyphen/>
        <w:t>меняться для усиления огневой мощи наступающих войск прямо в линии атакующей пехоты. Он считал, что указан</w:t>
      </w:r>
      <w:r w:rsidR="00B67D7C" w:rsidRPr="00DE096C">
        <w:rPr>
          <w:bCs/>
          <w:color w:val="002060"/>
          <w:sz w:val="16"/>
          <w:szCs w:val="16"/>
        </w:rPr>
        <w:softHyphen/>
        <w:t>ные бронеавтомобили способны точным огнем проделы</w:t>
      </w:r>
      <w:r w:rsidR="00B67D7C" w:rsidRPr="00DE096C">
        <w:rPr>
          <w:bCs/>
          <w:color w:val="002060"/>
          <w:sz w:val="16"/>
          <w:szCs w:val="16"/>
        </w:rPr>
        <w:softHyphen/>
        <w:t>вать проходы в заграждениях, уничтожать вражеские огне</w:t>
      </w:r>
      <w:r w:rsidR="00B67D7C" w:rsidRPr="00DE096C">
        <w:rPr>
          <w:bCs/>
          <w:color w:val="002060"/>
          <w:sz w:val="16"/>
          <w:szCs w:val="16"/>
        </w:rPr>
        <w:softHyphen/>
        <w:t>вые точки, а также бороться со скоплениями пехоты и ка</w:t>
      </w:r>
      <w:r w:rsidR="00B67D7C" w:rsidRPr="00DE096C">
        <w:rPr>
          <w:bCs/>
          <w:color w:val="002060"/>
          <w:sz w:val="16"/>
          <w:szCs w:val="16"/>
        </w:rPr>
        <w:softHyphen/>
        <w:t>валерии, которые противник будет бросать в контратаки для восстановления своего положения (11417).</w:t>
      </w:r>
    </w:p>
    <w:p w14:paraId="6BF8FD1D" w14:textId="77777777" w:rsidR="00B67D7C" w:rsidRPr="00DE096C" w:rsidRDefault="00B67D7C" w:rsidP="00D45A46">
      <w:pPr>
        <w:pStyle w:val="Iauiue"/>
        <w:widowControl/>
        <w:jc w:val="both"/>
        <w:rPr>
          <w:bCs/>
          <w:color w:val="002060"/>
          <w:sz w:val="16"/>
          <w:szCs w:val="16"/>
        </w:rPr>
      </w:pPr>
    </w:p>
    <w:p w14:paraId="3630E02B" w14:textId="06BB217E" w:rsidR="00B67D7C" w:rsidRPr="00DE096C" w:rsidRDefault="001F7457"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начале 1914 г. </w:t>
      </w:r>
      <w:r w:rsidRPr="00DE096C">
        <w:rPr>
          <w:bCs/>
          <w:color w:val="002060"/>
          <w:sz w:val="16"/>
          <w:szCs w:val="16"/>
        </w:rPr>
        <w:t xml:space="preserve">общие производственные возможности Обуховского завода </w:t>
      </w:r>
      <w:r w:rsidR="00B67D7C" w:rsidRPr="00DE096C">
        <w:rPr>
          <w:bCs/>
          <w:color w:val="002060"/>
          <w:sz w:val="16"/>
          <w:szCs w:val="16"/>
        </w:rPr>
        <w:t>характеризовались следующими цифрами. Годовая производительность сталеплавильных печей составляла 41 тыс. т орудийной стали (при весе болванки до 65 т), 1,6 тыс. т фасонной стали (при весе отливок до 44 т). Ковальные средства позволяли отковать 11,5 тыс. т стали в год. Наиболее крупные пресса имели мощность 7500-, 3000-, 1500- и 800 т. Станочный парк одного лишь пушечного отдела составлял 405 станков. К середине 1914 г. Обуховский завод являлся оборудованным по последнему слову техники предприятием-гигантом, работавшим и развивавшимся «полным усиленным ходом». Мощный фундамент широкомасштабных морских программ обеспечил заводу невиданно высокие темпы развития. Площадь, занимаемая предприятием к этому времени, возросла до 147,7 га. Число инженеров, техников и рабочих составляло почти 5500 человек. Обуховский завод производил орудия всех калибров, башенные установки, станки, лафеты, учебные стволы, снаряды всех калибров, торпеды, приборы управления к ним («приборы Обри»), оптические прицелы, трубы, панорамы, бинокли, всевозможных сортов высокого качества стальные, медные и чугунные отливки, простые и фасонные поковки, металлопрокат, разнообразные стальные конструкции, а также производил ремонт всех видов артиллерийской техники. (Каптерев Н.А. Обуховский сталелитейный завод. — СПб, 1913. с.72.)</w:t>
      </w:r>
    </w:p>
    <w:p w14:paraId="0C14B342" w14:textId="77777777" w:rsidR="00B67D7C" w:rsidRPr="00DE096C" w:rsidRDefault="00B67D7C" w:rsidP="00D45A46">
      <w:pPr>
        <w:jc w:val="both"/>
        <w:rPr>
          <w:bCs/>
          <w:color w:val="002060"/>
          <w:sz w:val="16"/>
          <w:szCs w:val="16"/>
        </w:rPr>
      </w:pPr>
      <w:r w:rsidRPr="00DE096C">
        <w:rPr>
          <w:bCs/>
          <w:color w:val="002060"/>
          <w:sz w:val="16"/>
          <w:szCs w:val="16"/>
        </w:rPr>
        <w:t>К 1914 г. резкое повышение калибра тяжелых морских орудий и огромное увеличение их дульной энергии заставили искать пути увеличения прочности орудийных стволов. Выход был найден в переходе на среднелегированную хромоникелевую сталь с пределом упругости 4500 кг/см против 3500 кг/см у общепринятых тогда в орудийном производстве углеродистых сталей. Это технологическое новшество, совместно с планируемым в ближайшем будущем переходом к поточному изготовлению 16", а затем, возможно, и орудий еще более крупных калибров, не оставляло при подготовке к их производству никакого иного пути, кроме как очередное, третье по счету, крупное расширение Обуховского завода.</w:t>
      </w:r>
    </w:p>
    <w:p w14:paraId="112D9218" w14:textId="77777777" w:rsidR="00B67D7C" w:rsidRPr="00DE096C" w:rsidRDefault="00B67D7C" w:rsidP="00D45A46">
      <w:pPr>
        <w:jc w:val="both"/>
        <w:rPr>
          <w:bCs/>
          <w:color w:val="002060"/>
          <w:sz w:val="16"/>
          <w:szCs w:val="16"/>
        </w:rPr>
      </w:pPr>
      <w:r w:rsidRPr="00DE096C">
        <w:rPr>
          <w:bCs/>
          <w:color w:val="002060"/>
          <w:sz w:val="16"/>
          <w:szCs w:val="16"/>
        </w:rPr>
        <w:t>Весной 1914 г. завод совместно с артиллерийским отделом ГУК подготовил подробный план наращивания своих производственных мощностей, с указанием сроков и необходимых для этого ассигнований. В нем говорилось:</w:t>
      </w:r>
    </w:p>
    <w:p w14:paraId="1C4A4F27" w14:textId="77777777" w:rsidR="00B67D7C" w:rsidRPr="00DE096C" w:rsidRDefault="00B67D7C" w:rsidP="00D45A46">
      <w:pPr>
        <w:pStyle w:val="Blockquote"/>
        <w:spacing w:before="0" w:after="0"/>
        <w:ind w:left="0" w:right="0"/>
        <w:jc w:val="both"/>
        <w:rPr>
          <w:bCs/>
          <w:color w:val="002060"/>
          <w:sz w:val="16"/>
          <w:szCs w:val="16"/>
        </w:rPr>
      </w:pPr>
      <w:r w:rsidRPr="00DE096C">
        <w:rPr>
          <w:bCs/>
          <w:color w:val="002060"/>
          <w:sz w:val="16"/>
          <w:szCs w:val="16"/>
        </w:rPr>
        <w:t>"… изготовление орудий 14" и в особенности 16" калибра из хромоникелевой стали на Обуховском сталелитейном заводе при наличии имеющихся средств должно быть в настоящее время признано несоответствующим требованиям которые предъявлены к изделиям столь решающего значения в деле государственной обороны…</w:t>
      </w:r>
    </w:p>
    <w:p w14:paraId="69CB59FE" w14:textId="77777777" w:rsidR="00B67D7C" w:rsidRPr="00DE096C" w:rsidRDefault="00B67D7C" w:rsidP="00D45A46">
      <w:pPr>
        <w:pStyle w:val="Blockquote"/>
        <w:spacing w:before="0" w:after="0"/>
        <w:ind w:left="0" w:right="0"/>
        <w:jc w:val="both"/>
        <w:rPr>
          <w:bCs/>
          <w:color w:val="002060"/>
          <w:sz w:val="16"/>
          <w:szCs w:val="16"/>
        </w:rPr>
      </w:pPr>
      <w:r w:rsidRPr="00DE096C">
        <w:rPr>
          <w:bCs/>
          <w:color w:val="002060"/>
          <w:sz w:val="16"/>
          <w:szCs w:val="16"/>
        </w:rPr>
        <w:t>Мартеновский отдел сталелитейной мастерской располагает тремя печами: двумя по 30 т и одной пятнадцатитонной, что позволяет отливать болванку для внутренней трубы из двух печей для 14" орудия и для 16" орудия даже из всех трех печей. Такой способ отливки болванки для наиболее ответственной части орудия нельзя признать приемлемым, ибо им не только обуславливается высокий процент брака, но, что самое главное, способ этот не гарантирует при валовом производстве ни доброкачественности отливки, ни ее прочности. Представляется поэтому настоятельно необходимым сооружение новой печи достаточной вместимости для отливки из нее одной болванки наибольшего веса. Печь в 60–65 т была бы достаточна, ибо с перегрузкой в 10 т из нее можно отлить требуемую болванку в 75 т и с недогрузкой в 15 т она давала бы, при достаточно экономичном ходе, болванку около 40–45 т. Для отливок болванок меньшего размера по условиям производства необходимы еще две печи в 40 и 25 т…</w:t>
      </w:r>
    </w:p>
    <w:p w14:paraId="39484269" w14:textId="77777777" w:rsidR="00B67D7C" w:rsidRPr="00DE096C" w:rsidRDefault="00B67D7C" w:rsidP="00D45A46">
      <w:pPr>
        <w:jc w:val="both"/>
        <w:rPr>
          <w:bCs/>
          <w:color w:val="002060"/>
          <w:sz w:val="16"/>
          <w:szCs w:val="16"/>
        </w:rPr>
      </w:pPr>
      <w:r w:rsidRPr="00DE096C">
        <w:rPr>
          <w:bCs/>
          <w:color w:val="002060"/>
          <w:sz w:val="16"/>
          <w:szCs w:val="16"/>
        </w:rPr>
        <w:t>Такое оборудование по сравнению с действующим в настоящее время не является преувеличением, если принять во внимание, что 60-тонная печь предположена к сооружению самых крупных калибров артиллерии 16" и 14" пушек и является, таким образом, при наибольшей нагрузке печью специального назначения" (Законопроект Морского министерства, представленный в Государственную думу 17 августа 1914 г., "Об отпуске сверхсметного кредита на дополнительное оборудование Обуховского сталелитейного завода в связи с изготовлением 14- и 16-дм. орудий из хромоникелевой стали, башенных установок для орудий до 16-дм. калибра и увеличением снарядного производства". с. 2, 3. РГАВМФ, ф.401, оп. 2, д. 617, лл. 70, 71.).</w:t>
      </w:r>
    </w:p>
    <w:p w14:paraId="24288785" w14:textId="77777777" w:rsidR="00B67D7C" w:rsidRPr="00DE096C" w:rsidRDefault="00B67D7C" w:rsidP="00D45A46">
      <w:pPr>
        <w:jc w:val="both"/>
        <w:rPr>
          <w:bCs/>
          <w:color w:val="002060"/>
          <w:sz w:val="16"/>
          <w:szCs w:val="16"/>
        </w:rPr>
      </w:pPr>
      <w:r w:rsidRPr="00DE096C">
        <w:rPr>
          <w:bCs/>
          <w:color w:val="002060"/>
          <w:sz w:val="16"/>
          <w:szCs w:val="16"/>
        </w:rPr>
        <w:t>Что касается цехов пушечного отдела, то они были уже в основном приспособлены к сооружению 16" орудий и свободно могли выполнить предусмотренные для Обуховского завода программы при условии не очень значительных затрат на два токарных станка, могущих обрабатывать орудия весом до 115 т.</w:t>
      </w:r>
    </w:p>
    <w:p w14:paraId="41E3B6D5" w14:textId="77777777" w:rsidR="00B67D7C" w:rsidRPr="00DE096C" w:rsidRDefault="00B67D7C" w:rsidP="00D45A46">
      <w:pPr>
        <w:jc w:val="both"/>
        <w:rPr>
          <w:bCs/>
          <w:color w:val="002060"/>
          <w:sz w:val="16"/>
          <w:szCs w:val="16"/>
        </w:rPr>
      </w:pPr>
      <w:r w:rsidRPr="00DE096C">
        <w:rPr>
          <w:bCs/>
          <w:color w:val="002060"/>
          <w:sz w:val="16"/>
          <w:szCs w:val="16"/>
        </w:rPr>
        <w:t>Кроме коренного переоборудования сталелитейной мастерской и дооборудования пушечной, планировалось также сооружение снарядной мастерской с полным оборудованием и дооборудование снаряднозакалочной, постройка нового чугунолитейного цеха и цеха скорострельной артиллерии. Помимо этого, было предусмотрено строительство нового здания и полное переоборудование заводской лаборатории.</w:t>
      </w:r>
    </w:p>
    <w:p w14:paraId="57E9E816" w14:textId="77777777" w:rsidR="00B67D7C" w:rsidRPr="00DE096C" w:rsidRDefault="00B67D7C" w:rsidP="00D45A46">
      <w:pPr>
        <w:jc w:val="both"/>
        <w:rPr>
          <w:bCs/>
          <w:color w:val="002060"/>
          <w:sz w:val="16"/>
          <w:szCs w:val="16"/>
        </w:rPr>
      </w:pPr>
      <w:r w:rsidRPr="00DE096C">
        <w:rPr>
          <w:bCs/>
          <w:color w:val="002060"/>
          <w:sz w:val="16"/>
          <w:szCs w:val="16"/>
        </w:rPr>
        <w:t>И, наконец, было запланировано расширение башенного отдела завода, необходимое для производства новых больших башен. Существовавший котельный цех, расположенный в противоположной части завода, в силу ограниченности его размеров и малой мощности грузоподъемных механизмов не мог изготавливать поворотные столы четырехорудийных 16" установок. Помимо этого, перемещение подобных крупных конструкций через весь завод было невозможным ввиду недостаточности железнодорожного габарита. Поэтому новым планом расширения завода предусматривалось возведение нового цеха заготовки башенных конструкций рядом с прокатным и сборочным цехами, сосредотачивавшее, таким образом, все башенное производство на едином участке. Сборочный цех, оборудованный по предшествующему плану расширения завода одним 150-тонным краном, предполагалось оснастить вторым таким же краном. Помимо этого, было решено реконструировать подкрановые пути и построить бассейн для подачи барж, на которых окончательно готовые части башен сплавлялись вниз по Неве к верфям для установки их на корабли.</w:t>
      </w:r>
    </w:p>
    <w:p w14:paraId="4379849C" w14:textId="77777777" w:rsidR="00B67D7C" w:rsidRPr="00DE096C" w:rsidRDefault="00B67D7C" w:rsidP="00D45A46">
      <w:pPr>
        <w:jc w:val="both"/>
        <w:rPr>
          <w:bCs/>
          <w:color w:val="002060"/>
          <w:sz w:val="16"/>
          <w:szCs w:val="16"/>
        </w:rPr>
      </w:pPr>
      <w:r w:rsidRPr="00DE096C">
        <w:rPr>
          <w:bCs/>
          <w:color w:val="002060"/>
          <w:sz w:val="16"/>
          <w:szCs w:val="16"/>
        </w:rPr>
        <w:t>Затраты на дооборудование Обуховского завода под программу серийного производства 16" орудий, их установок и снарядов были исчислены в 6623 тыс. руб. Работы, в соответствии со степенью их срочности, разбивались на два этапа — 1914–1915 гг. и 1916 г., и были рассчитаны на три года. В объяснительной записке к проекту говорилось, что «…часть переустройства, обусловленная необходимостью приступить через 1,5–2 года к валовому производству 16» пушек и башенных к ним установок, должна вестись возможно ускоренным порядком, а потому нужные на эту часть переустройства средства должны быть отпущены в первую очередь…», причем имелось в виду, что «…переустройство осложняется необходимостью не задерживать текущее производство даже на самое короткое время» (Законопроект Морского министерства, представленный в Государственную думу 17 августа 1914 г., "Об отпуске сверхсметного кредита на дополнительное оборудование Обуховского сталелитейного завода в связи с изготовлением 14- и 16-дм. орудий из хромоникелевой стали, башенных установок для орудий до 16-дм. калибра и увеличением снарядного производства". с. 2, 3. РГАВМФ, ф.401, оп. 2, д. 617, лл. 70, 71.).</w:t>
      </w:r>
    </w:p>
    <w:p w14:paraId="27E12EBD" w14:textId="77777777" w:rsidR="00B67D7C" w:rsidRPr="00DE096C" w:rsidRDefault="00B67D7C" w:rsidP="00D45A46">
      <w:pPr>
        <w:jc w:val="both"/>
        <w:rPr>
          <w:bCs/>
          <w:color w:val="002060"/>
          <w:sz w:val="16"/>
          <w:szCs w:val="16"/>
        </w:rPr>
      </w:pPr>
      <w:r w:rsidRPr="00DE096C">
        <w:rPr>
          <w:bCs/>
          <w:color w:val="002060"/>
          <w:sz w:val="16"/>
          <w:szCs w:val="16"/>
        </w:rPr>
        <w:t xml:space="preserve">Запрос в Думу «Об отпуске сверхсметного кредита на дополнительное оборудование Обуховского сталелитейного завода в связи с изготовлением 14» и 16 орудий из хромоникелевой стали, башенных установок для орудий 16" калибра и увеличения снарядного производства" (так полностью именовался законопроект) был подан </w:t>
      </w:r>
      <w:r w:rsidRPr="00DE096C">
        <w:rPr>
          <w:bCs/>
          <w:color w:val="002060"/>
          <w:sz w:val="16"/>
          <w:szCs w:val="16"/>
        </w:rPr>
        <w:lastRenderedPageBreak/>
        <w:t>И.К. Григоровичем 17 августа 1914 г., т. е. когда уже началась война. Принятие новых программ строительства линкоров было приостановлено, как тогда полагали, на время, но жизнь показала, что навсегда. Однако даже в тяжелые годы войны 1914–1918 гг. на перегруженном срочными заказами армии и флота Обуховском заводе пытались по возможности следовать предвоенному плану реконструкции. Так, в 1916 г. была «приведена в действие законченная сооружением новая башенная мастерская для монтажа трехорудийных башен для 16" пушек». Помимо этого, существенно было расширено производство стали, но полностью программа развития завода по плану 1914 г. реализована не была. ("Доклад по Морскому министерству за 1916 г.", с. 127.)</w:t>
      </w:r>
    </w:p>
    <w:p w14:paraId="04CAC8E1" w14:textId="77777777" w:rsidR="00B67D7C" w:rsidRPr="00DE096C" w:rsidRDefault="00B67D7C" w:rsidP="00D45A46">
      <w:pPr>
        <w:jc w:val="both"/>
        <w:rPr>
          <w:bCs/>
          <w:color w:val="002060"/>
          <w:sz w:val="16"/>
          <w:szCs w:val="16"/>
        </w:rPr>
      </w:pPr>
      <w:r w:rsidRPr="00DE096C">
        <w:rPr>
          <w:bCs/>
          <w:color w:val="002060"/>
          <w:sz w:val="16"/>
          <w:szCs w:val="16"/>
        </w:rPr>
        <w:t>Вторым казенным заводом, предположенным для изготовления крупных морских орудий, должен был стать Пермский артиллерийский завод, до этого производивший лишь мелкие и средние орудия для Военного ведомства, станки для них и снаряды. Предложения о перевооружении Пермских заводов составлялись Горным ведомством в 1910-1911 гг., когда наибольшим перспективным калибром морской артиллерии считался калибр 14". Эти предложения одобрил Совет министров, и Законом от 23 июня 1913 г. было определено отпустить средства на перевооружение Пермских пушечных заводов для изготовления предметов артиллерийского вооружения и оборудования полигона при заводе на общую сумму в 10628 тыс. руб., причем главная часть ассигнований в размере 4831 тыс. руб. имела назначение установить на Пермских заводах оборудование для производства орудий самых крупных калибров до 12 штук в год (12109).</w:t>
      </w:r>
    </w:p>
    <w:p w14:paraId="72890666" w14:textId="77777777" w:rsidR="00B67D7C" w:rsidRPr="00DE096C" w:rsidRDefault="00B67D7C" w:rsidP="00D45A46">
      <w:pPr>
        <w:jc w:val="both"/>
        <w:rPr>
          <w:bCs/>
          <w:color w:val="002060"/>
          <w:sz w:val="16"/>
          <w:szCs w:val="16"/>
        </w:rPr>
      </w:pPr>
    </w:p>
    <w:p w14:paraId="0DC76CC5" w14:textId="77777777" w:rsidR="00B67D7C" w:rsidRPr="00DE096C" w:rsidRDefault="00B67D7C" w:rsidP="00D45A46">
      <w:pPr>
        <w:jc w:val="both"/>
        <w:rPr>
          <w:bCs/>
          <w:color w:val="002060"/>
          <w:sz w:val="16"/>
          <w:szCs w:val="16"/>
        </w:rPr>
      </w:pPr>
      <w:r w:rsidRPr="00DE096C">
        <w:rPr>
          <w:bCs/>
          <w:color w:val="002060"/>
          <w:sz w:val="16"/>
          <w:szCs w:val="16"/>
        </w:rPr>
        <w:t>В планах Морского министерства касающихся крупносерийного строительства новых линкоров вопрос о производстве большого количества тяжелых орудий являлся особенно актуальным. Начиная с 70-х гг. XIX в., когда появились нарезные казнозарядные орудия, русский флот в разработке и производстве этого сложнейшего для тех дней оружия традиционно шел в ногу со временем. Однако, несмотря на передовой характер отечественной научно-технической мысли, производственные возможности России были скромнее чем в других морских державах, и в начале XX в. в стране имелся лишь один завод, где могли производиться орудия крупных калибров.</w:t>
      </w:r>
    </w:p>
    <w:p w14:paraId="36A482D4" w14:textId="77777777" w:rsidR="00B67D7C" w:rsidRPr="00DE096C" w:rsidRDefault="00B67D7C" w:rsidP="00D45A46">
      <w:pPr>
        <w:jc w:val="both"/>
        <w:rPr>
          <w:bCs/>
          <w:color w:val="002060"/>
          <w:sz w:val="16"/>
          <w:szCs w:val="16"/>
        </w:rPr>
      </w:pPr>
      <w:r w:rsidRPr="00DE096C">
        <w:rPr>
          <w:bCs/>
          <w:color w:val="002060"/>
          <w:sz w:val="16"/>
          <w:szCs w:val="16"/>
        </w:rPr>
        <w:t>Между тем, быстрое развитие химии, металлургии и металлообработки, а также вызванный русско-японской войной пересмотр взглядов на роль и место крупнокалиберных орудий в морском бою вызвали быстрое развитие и совершенствование тяжелой корабельной артиллерии. Этот процесс, начатый в 1905 г. разработкой более мощных и совершенных моделей общепринятых тогда 12" орудий, непрерывно шел все последующие 15 лет. Размеры, конструкция и технология производства тяжелых артиллерийских систем все более усложнялись. Так, полная технология выделки 14"/52 русского морского орудия «образца 1912 г.» насчитывала в общей сложности 30 групп операций, а общее время его изготовления при этом составляло около года. Таким образом, количественный и качественный скачек в развитии морской артиллерии требовал создания для вооружения флота мощной производственной отрасли, несравнимо превосходящей существовавшие на 1909 г. возможности. Для оснащения всех предполагавшихся по «Закону о флоте» линейных судов требовалось произвести за период 1916–1929 гг. не менее 200 орудий 14"-16" (а часть из них, весьма вероятно, и более крупного) калибра, т. е. примерно по 20 стволов в год. Принимая во внимание необходимость предусмотрения хотя бы половинного числа запасных орудий для кораблей, а также нужды армии и береговой обороны, это число следовало увеличить почти вдвое, а производить по 40 крупнокалиберных орудий в год было под силу только очень подготовленной промышленности.</w:t>
      </w:r>
    </w:p>
    <w:p w14:paraId="603BE0DF" w14:textId="77777777" w:rsidR="00B67D7C" w:rsidRPr="00DE096C" w:rsidRDefault="00B67D7C" w:rsidP="00D45A46">
      <w:pPr>
        <w:jc w:val="both"/>
        <w:rPr>
          <w:bCs/>
          <w:color w:val="002060"/>
          <w:sz w:val="16"/>
          <w:szCs w:val="16"/>
        </w:rPr>
      </w:pPr>
      <w:r w:rsidRPr="00DE096C">
        <w:rPr>
          <w:bCs/>
          <w:color w:val="002060"/>
          <w:sz w:val="16"/>
          <w:szCs w:val="16"/>
        </w:rPr>
        <w:t>Русское Морское министерство очень хорошо понимало всю важность и сложность предстоящей задачи. В соответствии с будущими потребностями флота для этой цели были запланированы следующие мероприятия: во-первых, еще раз существенно расширить Обуховский завод, во-вторых, подготовить к производству подобных калибров казенные Пермские пушечные заводы Горного ведомства. Однако и два завода проблему полностью не решали, поэтому было решено, в-третьих, соорудить новый артиллерийский завод в Царицыне, за постройку которого бралось Русское акционерное общество артиллерийских заводов (РАОАЗ), заручившись поддержкой известной британской фирмы «Виккерс». В основе предполагаемого нового строительства орудийных заводов в Перми и Царицыне лежала и еще одна причина, больше политико-экономического свойства: будущее новое производство крупнокалиберных орудий находились бы там значительно глубже в тылу, чем существовавший Обуховский завод, а производственные мощности были бы намного более приближены к топливу и сырью — в первом случае Урала, во втором — Криворожско-Донецкого бассейна. И хотя сроки на обустройство новых заводов были отпущены очень сжатые, на начало 1914 г. единственным предприятием, которое реально изготавливало тяжелые орудия для всех строившихся в то время русских линкоров, был Обуховский завод.</w:t>
      </w:r>
    </w:p>
    <w:p w14:paraId="742EAD64" w14:textId="77777777" w:rsidR="00B67D7C" w:rsidRPr="00DE096C" w:rsidRDefault="00B67D7C" w:rsidP="00D45A46">
      <w:pPr>
        <w:jc w:val="both"/>
        <w:rPr>
          <w:bCs/>
          <w:color w:val="002060"/>
          <w:sz w:val="16"/>
          <w:szCs w:val="16"/>
        </w:rPr>
      </w:pPr>
      <w:r w:rsidRPr="00DE096C">
        <w:rPr>
          <w:bCs/>
          <w:color w:val="002060"/>
          <w:sz w:val="16"/>
          <w:szCs w:val="16"/>
        </w:rPr>
        <w:t>Таблица 3.1. Расчет времени на изготовление одного 14"/52 орудия, час</w:t>
      </w:r>
    </w:p>
    <w:tbl>
      <w:tblPr>
        <w:tblW w:w="0" w:type="auto"/>
        <w:tblLayout w:type="fixed"/>
        <w:tblCellMar>
          <w:left w:w="0" w:type="dxa"/>
          <w:right w:w="0" w:type="dxa"/>
        </w:tblCellMar>
        <w:tblLook w:val="0000" w:firstRow="0" w:lastRow="0" w:firstColumn="0" w:lastColumn="0" w:noHBand="0" w:noVBand="0"/>
      </w:tblPr>
      <w:tblGrid>
        <w:gridCol w:w="9036"/>
        <w:gridCol w:w="323"/>
      </w:tblGrid>
      <w:tr w:rsidR="00B67D7C" w:rsidRPr="00DE096C" w14:paraId="1B8A7AFA" w14:textId="77777777" w:rsidTr="00C2024A">
        <w:tc>
          <w:tcPr>
            <w:tcW w:w="9036" w:type="dxa"/>
          </w:tcPr>
          <w:p w14:paraId="3DBEC220" w14:textId="77777777" w:rsidR="00B67D7C" w:rsidRPr="00DE096C" w:rsidRDefault="00B67D7C" w:rsidP="00D45A46">
            <w:pPr>
              <w:jc w:val="both"/>
              <w:rPr>
                <w:bCs/>
                <w:color w:val="002060"/>
                <w:sz w:val="16"/>
                <w:szCs w:val="16"/>
              </w:rPr>
            </w:pPr>
            <w:r w:rsidRPr="00DE096C">
              <w:rPr>
                <w:bCs/>
                <w:color w:val="002060"/>
                <w:sz w:val="16"/>
                <w:szCs w:val="16"/>
              </w:rPr>
              <w:t>Установка поковки трубы в центра, проверка кривизны, обдирка нагрубо, заточка грубого сверления, обрезка концов</w:t>
            </w:r>
          </w:p>
        </w:tc>
        <w:tc>
          <w:tcPr>
            <w:tcW w:w="323" w:type="dxa"/>
          </w:tcPr>
          <w:p w14:paraId="5A2A1592" w14:textId="77777777" w:rsidR="00B67D7C" w:rsidRPr="00DE096C" w:rsidRDefault="00B67D7C" w:rsidP="00D45A46">
            <w:pPr>
              <w:jc w:val="both"/>
              <w:rPr>
                <w:bCs/>
                <w:color w:val="002060"/>
                <w:sz w:val="16"/>
                <w:szCs w:val="16"/>
              </w:rPr>
            </w:pPr>
            <w:r w:rsidRPr="00DE096C">
              <w:rPr>
                <w:bCs/>
                <w:color w:val="002060"/>
                <w:sz w:val="16"/>
                <w:szCs w:val="16"/>
              </w:rPr>
              <w:t>124</w:t>
            </w:r>
          </w:p>
        </w:tc>
      </w:tr>
      <w:tr w:rsidR="00B67D7C" w:rsidRPr="00DE096C" w14:paraId="16D1D325" w14:textId="77777777" w:rsidTr="00C2024A">
        <w:tc>
          <w:tcPr>
            <w:tcW w:w="9036" w:type="dxa"/>
          </w:tcPr>
          <w:p w14:paraId="2A9C82BE" w14:textId="77777777" w:rsidR="00B67D7C" w:rsidRPr="00DE096C" w:rsidRDefault="00B67D7C" w:rsidP="00D45A46">
            <w:pPr>
              <w:jc w:val="both"/>
              <w:rPr>
                <w:bCs/>
                <w:color w:val="002060"/>
                <w:sz w:val="16"/>
                <w:szCs w:val="16"/>
              </w:rPr>
            </w:pPr>
            <w:r w:rsidRPr="00DE096C">
              <w:rPr>
                <w:bCs/>
                <w:color w:val="002060"/>
                <w:sz w:val="16"/>
                <w:szCs w:val="16"/>
              </w:rPr>
              <w:t>Сверление трубы нагрубо</w:t>
            </w:r>
          </w:p>
        </w:tc>
        <w:tc>
          <w:tcPr>
            <w:tcW w:w="323" w:type="dxa"/>
          </w:tcPr>
          <w:p w14:paraId="51507629" w14:textId="77777777" w:rsidR="00B67D7C" w:rsidRPr="00DE096C" w:rsidRDefault="00B67D7C" w:rsidP="00D45A46">
            <w:pPr>
              <w:jc w:val="both"/>
              <w:rPr>
                <w:bCs/>
                <w:color w:val="002060"/>
                <w:sz w:val="16"/>
                <w:szCs w:val="16"/>
              </w:rPr>
            </w:pPr>
            <w:r w:rsidRPr="00DE096C">
              <w:rPr>
                <w:bCs/>
                <w:color w:val="002060"/>
                <w:sz w:val="16"/>
                <w:szCs w:val="16"/>
              </w:rPr>
              <w:t>170</w:t>
            </w:r>
          </w:p>
        </w:tc>
      </w:tr>
      <w:tr w:rsidR="00B67D7C" w:rsidRPr="00DE096C" w14:paraId="55855151" w14:textId="77777777" w:rsidTr="00C2024A">
        <w:tc>
          <w:tcPr>
            <w:tcW w:w="9036" w:type="dxa"/>
          </w:tcPr>
          <w:p w14:paraId="0A9DFA87" w14:textId="77777777" w:rsidR="00B67D7C" w:rsidRPr="00DE096C" w:rsidRDefault="00B67D7C" w:rsidP="00D45A46">
            <w:pPr>
              <w:jc w:val="both"/>
              <w:rPr>
                <w:bCs/>
                <w:color w:val="002060"/>
                <w:sz w:val="16"/>
                <w:szCs w:val="16"/>
              </w:rPr>
            </w:pPr>
            <w:r w:rsidRPr="00DE096C">
              <w:rPr>
                <w:bCs/>
                <w:color w:val="002060"/>
                <w:sz w:val="16"/>
                <w:szCs w:val="16"/>
              </w:rPr>
              <w:t>Предварительное сверление канала</w:t>
            </w:r>
          </w:p>
        </w:tc>
        <w:tc>
          <w:tcPr>
            <w:tcW w:w="323" w:type="dxa"/>
          </w:tcPr>
          <w:p w14:paraId="69A0B67A" w14:textId="77777777" w:rsidR="00B67D7C" w:rsidRPr="00DE096C" w:rsidRDefault="00B67D7C" w:rsidP="00D45A46">
            <w:pPr>
              <w:jc w:val="both"/>
              <w:rPr>
                <w:bCs/>
                <w:color w:val="002060"/>
                <w:sz w:val="16"/>
                <w:szCs w:val="16"/>
              </w:rPr>
            </w:pPr>
            <w:r w:rsidRPr="00DE096C">
              <w:rPr>
                <w:bCs/>
                <w:color w:val="002060"/>
                <w:sz w:val="16"/>
                <w:szCs w:val="16"/>
              </w:rPr>
              <w:t>162</w:t>
            </w:r>
          </w:p>
        </w:tc>
      </w:tr>
      <w:tr w:rsidR="00B67D7C" w:rsidRPr="00DE096C" w14:paraId="5CF642FC" w14:textId="77777777" w:rsidTr="00C2024A">
        <w:tc>
          <w:tcPr>
            <w:tcW w:w="9036" w:type="dxa"/>
          </w:tcPr>
          <w:p w14:paraId="768D78F3" w14:textId="77777777" w:rsidR="00B67D7C" w:rsidRPr="00DE096C" w:rsidRDefault="00B67D7C" w:rsidP="00D45A46">
            <w:pPr>
              <w:jc w:val="both"/>
              <w:rPr>
                <w:bCs/>
                <w:color w:val="002060"/>
                <w:sz w:val="16"/>
                <w:szCs w:val="16"/>
              </w:rPr>
            </w:pPr>
            <w:r w:rsidRPr="00DE096C">
              <w:rPr>
                <w:bCs/>
                <w:color w:val="002060"/>
                <w:sz w:val="16"/>
                <w:szCs w:val="16"/>
              </w:rPr>
              <w:t>Сверление канала начисто</w:t>
            </w:r>
          </w:p>
        </w:tc>
        <w:tc>
          <w:tcPr>
            <w:tcW w:w="323" w:type="dxa"/>
          </w:tcPr>
          <w:p w14:paraId="2C65EB07" w14:textId="77777777" w:rsidR="00B67D7C" w:rsidRPr="00DE096C" w:rsidRDefault="00B67D7C" w:rsidP="00D45A46">
            <w:pPr>
              <w:jc w:val="both"/>
              <w:rPr>
                <w:bCs/>
                <w:color w:val="002060"/>
                <w:sz w:val="16"/>
                <w:szCs w:val="16"/>
              </w:rPr>
            </w:pPr>
            <w:r w:rsidRPr="00DE096C">
              <w:rPr>
                <w:bCs/>
                <w:color w:val="002060"/>
                <w:sz w:val="16"/>
                <w:szCs w:val="16"/>
              </w:rPr>
              <w:t>220</w:t>
            </w:r>
          </w:p>
        </w:tc>
      </w:tr>
      <w:tr w:rsidR="00B67D7C" w:rsidRPr="00DE096C" w14:paraId="6B6D2019" w14:textId="77777777" w:rsidTr="00C2024A">
        <w:tc>
          <w:tcPr>
            <w:tcW w:w="9036" w:type="dxa"/>
          </w:tcPr>
          <w:p w14:paraId="6E749669" w14:textId="77777777" w:rsidR="00B67D7C" w:rsidRPr="00DE096C" w:rsidRDefault="00B67D7C" w:rsidP="00D45A46">
            <w:pPr>
              <w:jc w:val="both"/>
              <w:rPr>
                <w:bCs/>
                <w:color w:val="002060"/>
                <w:sz w:val="16"/>
                <w:szCs w:val="16"/>
              </w:rPr>
            </w:pPr>
            <w:r w:rsidRPr="00DE096C">
              <w:rPr>
                <w:bCs/>
                <w:color w:val="002060"/>
                <w:sz w:val="16"/>
                <w:szCs w:val="16"/>
              </w:rPr>
              <w:t>Расточка каморы</w:t>
            </w:r>
          </w:p>
        </w:tc>
        <w:tc>
          <w:tcPr>
            <w:tcW w:w="323" w:type="dxa"/>
          </w:tcPr>
          <w:p w14:paraId="09BB2452" w14:textId="77777777" w:rsidR="00B67D7C" w:rsidRPr="00DE096C" w:rsidRDefault="00B67D7C" w:rsidP="00D45A46">
            <w:pPr>
              <w:jc w:val="both"/>
              <w:rPr>
                <w:bCs/>
                <w:color w:val="002060"/>
                <w:sz w:val="16"/>
                <w:szCs w:val="16"/>
              </w:rPr>
            </w:pPr>
            <w:r w:rsidRPr="00DE096C">
              <w:rPr>
                <w:bCs/>
                <w:color w:val="002060"/>
                <w:sz w:val="16"/>
                <w:szCs w:val="16"/>
              </w:rPr>
              <w:t>120</w:t>
            </w:r>
          </w:p>
        </w:tc>
      </w:tr>
      <w:tr w:rsidR="00B67D7C" w:rsidRPr="00DE096C" w14:paraId="1CDDBA14" w14:textId="77777777" w:rsidTr="00C2024A">
        <w:tc>
          <w:tcPr>
            <w:tcW w:w="9036" w:type="dxa"/>
          </w:tcPr>
          <w:p w14:paraId="547555C4" w14:textId="77777777" w:rsidR="00B67D7C" w:rsidRPr="00DE096C" w:rsidRDefault="00B67D7C" w:rsidP="00D45A46">
            <w:pPr>
              <w:jc w:val="both"/>
              <w:rPr>
                <w:bCs/>
                <w:color w:val="002060"/>
                <w:sz w:val="16"/>
                <w:szCs w:val="16"/>
              </w:rPr>
            </w:pPr>
            <w:r w:rsidRPr="00DE096C">
              <w:rPr>
                <w:bCs/>
                <w:color w:val="002060"/>
                <w:sz w:val="16"/>
                <w:szCs w:val="16"/>
              </w:rPr>
              <w:t>Обточка трубы под цилиндры первого ряда</w:t>
            </w:r>
          </w:p>
        </w:tc>
        <w:tc>
          <w:tcPr>
            <w:tcW w:w="323" w:type="dxa"/>
          </w:tcPr>
          <w:p w14:paraId="3468359E" w14:textId="77777777" w:rsidR="00B67D7C" w:rsidRPr="00DE096C" w:rsidRDefault="00B67D7C" w:rsidP="00D45A46">
            <w:pPr>
              <w:jc w:val="both"/>
              <w:rPr>
                <w:bCs/>
                <w:color w:val="002060"/>
                <w:sz w:val="16"/>
                <w:szCs w:val="16"/>
              </w:rPr>
            </w:pPr>
            <w:r w:rsidRPr="00DE096C">
              <w:rPr>
                <w:bCs/>
                <w:color w:val="002060"/>
                <w:sz w:val="16"/>
                <w:szCs w:val="16"/>
              </w:rPr>
              <w:t>300</w:t>
            </w:r>
          </w:p>
        </w:tc>
      </w:tr>
      <w:tr w:rsidR="00B67D7C" w:rsidRPr="00DE096C" w14:paraId="21E19679" w14:textId="77777777" w:rsidTr="00C2024A">
        <w:tc>
          <w:tcPr>
            <w:tcW w:w="9036" w:type="dxa"/>
          </w:tcPr>
          <w:p w14:paraId="01385647" w14:textId="77777777" w:rsidR="00B67D7C" w:rsidRPr="00DE096C" w:rsidRDefault="00B67D7C" w:rsidP="00D45A46">
            <w:pPr>
              <w:jc w:val="both"/>
              <w:rPr>
                <w:bCs/>
                <w:color w:val="002060"/>
                <w:sz w:val="16"/>
                <w:szCs w:val="16"/>
              </w:rPr>
            </w:pPr>
            <w:r w:rsidRPr="00DE096C">
              <w:rPr>
                <w:bCs/>
                <w:color w:val="002060"/>
                <w:sz w:val="16"/>
                <w:szCs w:val="16"/>
              </w:rPr>
              <w:t>Скрепление цилиндров первого ряда</w:t>
            </w:r>
          </w:p>
        </w:tc>
        <w:tc>
          <w:tcPr>
            <w:tcW w:w="323" w:type="dxa"/>
          </w:tcPr>
          <w:p w14:paraId="6952A06E" w14:textId="77777777" w:rsidR="00B67D7C" w:rsidRPr="00DE096C" w:rsidRDefault="00B67D7C" w:rsidP="00D45A46">
            <w:pPr>
              <w:jc w:val="both"/>
              <w:rPr>
                <w:bCs/>
                <w:color w:val="002060"/>
                <w:sz w:val="16"/>
                <w:szCs w:val="16"/>
              </w:rPr>
            </w:pPr>
            <w:r w:rsidRPr="00DE096C">
              <w:rPr>
                <w:bCs/>
                <w:color w:val="002060"/>
                <w:sz w:val="16"/>
                <w:szCs w:val="16"/>
              </w:rPr>
              <w:t>38</w:t>
            </w:r>
          </w:p>
        </w:tc>
      </w:tr>
      <w:tr w:rsidR="00B67D7C" w:rsidRPr="00DE096C" w14:paraId="5DA19248" w14:textId="77777777" w:rsidTr="00C2024A">
        <w:tc>
          <w:tcPr>
            <w:tcW w:w="9036" w:type="dxa"/>
          </w:tcPr>
          <w:p w14:paraId="66565E38" w14:textId="77777777" w:rsidR="00B67D7C" w:rsidRPr="00DE096C" w:rsidRDefault="00B67D7C" w:rsidP="00D45A46">
            <w:pPr>
              <w:jc w:val="both"/>
              <w:rPr>
                <w:bCs/>
                <w:color w:val="002060"/>
                <w:sz w:val="16"/>
                <w:szCs w:val="16"/>
              </w:rPr>
            </w:pPr>
            <w:r w:rsidRPr="00DE096C">
              <w:rPr>
                <w:bCs/>
                <w:color w:val="002060"/>
                <w:sz w:val="16"/>
                <w:szCs w:val="16"/>
              </w:rPr>
              <w:t>Проверка кривизны трубы, чеканка стыков цилиндров</w:t>
            </w:r>
          </w:p>
        </w:tc>
        <w:tc>
          <w:tcPr>
            <w:tcW w:w="323" w:type="dxa"/>
          </w:tcPr>
          <w:p w14:paraId="1A698860" w14:textId="77777777" w:rsidR="00B67D7C" w:rsidRPr="00DE096C" w:rsidRDefault="00B67D7C" w:rsidP="00D45A46">
            <w:pPr>
              <w:jc w:val="both"/>
              <w:rPr>
                <w:bCs/>
                <w:color w:val="002060"/>
                <w:sz w:val="16"/>
                <w:szCs w:val="16"/>
              </w:rPr>
            </w:pPr>
            <w:r w:rsidRPr="00DE096C">
              <w:rPr>
                <w:bCs/>
                <w:color w:val="002060"/>
                <w:sz w:val="16"/>
                <w:szCs w:val="16"/>
              </w:rPr>
              <w:t>120</w:t>
            </w:r>
          </w:p>
        </w:tc>
      </w:tr>
      <w:tr w:rsidR="00B67D7C" w:rsidRPr="00DE096C" w14:paraId="1E84594C" w14:textId="77777777" w:rsidTr="00C2024A">
        <w:tc>
          <w:tcPr>
            <w:tcW w:w="9036" w:type="dxa"/>
          </w:tcPr>
          <w:p w14:paraId="1A75B1F8" w14:textId="77777777" w:rsidR="00B67D7C" w:rsidRPr="00DE096C" w:rsidRDefault="00B67D7C" w:rsidP="00D45A46">
            <w:pPr>
              <w:jc w:val="both"/>
              <w:rPr>
                <w:bCs/>
                <w:color w:val="002060"/>
                <w:sz w:val="16"/>
                <w:szCs w:val="16"/>
              </w:rPr>
            </w:pPr>
            <w:r w:rsidRPr="00DE096C">
              <w:rPr>
                <w:bCs/>
                <w:color w:val="002060"/>
                <w:sz w:val="16"/>
                <w:szCs w:val="16"/>
              </w:rPr>
              <w:t>Обточка трубы под цилиндры второго ряда</w:t>
            </w:r>
          </w:p>
        </w:tc>
        <w:tc>
          <w:tcPr>
            <w:tcW w:w="323" w:type="dxa"/>
          </w:tcPr>
          <w:p w14:paraId="30393A75" w14:textId="77777777" w:rsidR="00B67D7C" w:rsidRPr="00DE096C" w:rsidRDefault="00B67D7C" w:rsidP="00D45A46">
            <w:pPr>
              <w:jc w:val="both"/>
              <w:rPr>
                <w:bCs/>
                <w:color w:val="002060"/>
                <w:sz w:val="16"/>
                <w:szCs w:val="16"/>
              </w:rPr>
            </w:pPr>
            <w:r w:rsidRPr="00DE096C">
              <w:rPr>
                <w:bCs/>
                <w:color w:val="002060"/>
                <w:sz w:val="16"/>
                <w:szCs w:val="16"/>
              </w:rPr>
              <w:t>244</w:t>
            </w:r>
          </w:p>
        </w:tc>
      </w:tr>
      <w:tr w:rsidR="00B67D7C" w:rsidRPr="00DE096C" w14:paraId="4793281F" w14:textId="77777777" w:rsidTr="00C2024A">
        <w:tc>
          <w:tcPr>
            <w:tcW w:w="9036" w:type="dxa"/>
          </w:tcPr>
          <w:p w14:paraId="56627454" w14:textId="77777777" w:rsidR="00B67D7C" w:rsidRPr="00DE096C" w:rsidRDefault="00B67D7C" w:rsidP="00D45A46">
            <w:pPr>
              <w:jc w:val="both"/>
              <w:rPr>
                <w:bCs/>
                <w:color w:val="002060"/>
                <w:sz w:val="16"/>
                <w:szCs w:val="16"/>
              </w:rPr>
            </w:pPr>
            <w:r w:rsidRPr="00DE096C">
              <w:rPr>
                <w:bCs/>
                <w:color w:val="002060"/>
                <w:sz w:val="16"/>
                <w:szCs w:val="16"/>
              </w:rPr>
              <w:t>Скрепление цилиндров второго ряда</w:t>
            </w:r>
          </w:p>
        </w:tc>
        <w:tc>
          <w:tcPr>
            <w:tcW w:w="323" w:type="dxa"/>
          </w:tcPr>
          <w:p w14:paraId="1A158B71" w14:textId="77777777" w:rsidR="00B67D7C" w:rsidRPr="00DE096C" w:rsidRDefault="00B67D7C" w:rsidP="00D45A46">
            <w:pPr>
              <w:jc w:val="both"/>
              <w:rPr>
                <w:bCs/>
                <w:color w:val="002060"/>
                <w:sz w:val="16"/>
                <w:szCs w:val="16"/>
              </w:rPr>
            </w:pPr>
            <w:r w:rsidRPr="00DE096C">
              <w:rPr>
                <w:bCs/>
                <w:color w:val="002060"/>
                <w:sz w:val="16"/>
                <w:szCs w:val="16"/>
              </w:rPr>
              <w:t>29</w:t>
            </w:r>
          </w:p>
        </w:tc>
      </w:tr>
      <w:tr w:rsidR="00B67D7C" w:rsidRPr="00DE096C" w14:paraId="46BEED28" w14:textId="77777777" w:rsidTr="00C2024A">
        <w:tc>
          <w:tcPr>
            <w:tcW w:w="9036" w:type="dxa"/>
          </w:tcPr>
          <w:p w14:paraId="7376FE55" w14:textId="77777777" w:rsidR="00B67D7C" w:rsidRPr="00DE096C" w:rsidRDefault="00B67D7C" w:rsidP="00D45A46">
            <w:pPr>
              <w:jc w:val="both"/>
              <w:rPr>
                <w:bCs/>
                <w:color w:val="002060"/>
                <w:sz w:val="16"/>
                <w:szCs w:val="16"/>
              </w:rPr>
            </w:pPr>
            <w:r w:rsidRPr="00DE096C">
              <w:rPr>
                <w:bCs/>
                <w:color w:val="002060"/>
                <w:sz w:val="16"/>
                <w:szCs w:val="16"/>
              </w:rPr>
              <w:t>Обточка трубы под цилиндры третьего ряда</w:t>
            </w:r>
          </w:p>
        </w:tc>
        <w:tc>
          <w:tcPr>
            <w:tcW w:w="323" w:type="dxa"/>
          </w:tcPr>
          <w:p w14:paraId="3707F140" w14:textId="77777777" w:rsidR="00B67D7C" w:rsidRPr="00DE096C" w:rsidRDefault="00B67D7C" w:rsidP="00D45A46">
            <w:pPr>
              <w:jc w:val="both"/>
              <w:rPr>
                <w:bCs/>
                <w:color w:val="002060"/>
                <w:sz w:val="16"/>
                <w:szCs w:val="16"/>
              </w:rPr>
            </w:pPr>
            <w:r w:rsidRPr="00DE096C">
              <w:rPr>
                <w:bCs/>
                <w:color w:val="002060"/>
                <w:sz w:val="16"/>
                <w:szCs w:val="16"/>
              </w:rPr>
              <w:t>184</w:t>
            </w:r>
          </w:p>
        </w:tc>
      </w:tr>
      <w:tr w:rsidR="00B67D7C" w:rsidRPr="00DE096C" w14:paraId="06005C3A" w14:textId="77777777" w:rsidTr="00C2024A">
        <w:tc>
          <w:tcPr>
            <w:tcW w:w="9036" w:type="dxa"/>
          </w:tcPr>
          <w:p w14:paraId="259CE742" w14:textId="77777777" w:rsidR="00B67D7C" w:rsidRPr="00DE096C" w:rsidRDefault="00B67D7C" w:rsidP="00D45A46">
            <w:pPr>
              <w:jc w:val="both"/>
              <w:rPr>
                <w:bCs/>
                <w:color w:val="002060"/>
                <w:sz w:val="16"/>
                <w:szCs w:val="16"/>
              </w:rPr>
            </w:pPr>
            <w:r w:rsidRPr="00DE096C">
              <w:rPr>
                <w:bCs/>
                <w:color w:val="002060"/>
                <w:sz w:val="16"/>
                <w:szCs w:val="16"/>
              </w:rPr>
              <w:t>Скрепление цилиндров третьего ряда</w:t>
            </w:r>
          </w:p>
        </w:tc>
        <w:tc>
          <w:tcPr>
            <w:tcW w:w="323" w:type="dxa"/>
          </w:tcPr>
          <w:p w14:paraId="0F608CA5" w14:textId="77777777" w:rsidR="00B67D7C" w:rsidRPr="00DE096C" w:rsidRDefault="00B67D7C" w:rsidP="00D45A46">
            <w:pPr>
              <w:jc w:val="both"/>
              <w:rPr>
                <w:bCs/>
                <w:color w:val="002060"/>
                <w:sz w:val="16"/>
                <w:szCs w:val="16"/>
              </w:rPr>
            </w:pPr>
            <w:r w:rsidRPr="00DE096C">
              <w:rPr>
                <w:bCs/>
                <w:color w:val="002060"/>
                <w:sz w:val="16"/>
                <w:szCs w:val="16"/>
              </w:rPr>
              <w:t>20</w:t>
            </w:r>
          </w:p>
        </w:tc>
      </w:tr>
      <w:tr w:rsidR="00B67D7C" w:rsidRPr="00DE096C" w14:paraId="708DE595" w14:textId="77777777" w:rsidTr="00C2024A">
        <w:tc>
          <w:tcPr>
            <w:tcW w:w="9036" w:type="dxa"/>
          </w:tcPr>
          <w:p w14:paraId="56DEDF15" w14:textId="77777777" w:rsidR="00B67D7C" w:rsidRPr="00DE096C" w:rsidRDefault="00B67D7C" w:rsidP="00D45A46">
            <w:pPr>
              <w:jc w:val="both"/>
              <w:rPr>
                <w:bCs/>
                <w:color w:val="002060"/>
                <w:sz w:val="16"/>
                <w:szCs w:val="16"/>
              </w:rPr>
            </w:pPr>
            <w:r w:rsidRPr="00DE096C">
              <w:rPr>
                <w:bCs/>
                <w:color w:val="002060"/>
                <w:sz w:val="16"/>
                <w:szCs w:val="16"/>
              </w:rPr>
              <w:t>Обточка под кожух</w:t>
            </w:r>
          </w:p>
        </w:tc>
        <w:tc>
          <w:tcPr>
            <w:tcW w:w="323" w:type="dxa"/>
          </w:tcPr>
          <w:p w14:paraId="3F210371" w14:textId="77777777" w:rsidR="00B67D7C" w:rsidRPr="00DE096C" w:rsidRDefault="00B67D7C" w:rsidP="00D45A46">
            <w:pPr>
              <w:jc w:val="both"/>
              <w:rPr>
                <w:bCs/>
                <w:color w:val="002060"/>
                <w:sz w:val="16"/>
                <w:szCs w:val="16"/>
              </w:rPr>
            </w:pPr>
            <w:r w:rsidRPr="00DE096C">
              <w:rPr>
                <w:bCs/>
                <w:color w:val="002060"/>
                <w:sz w:val="16"/>
                <w:szCs w:val="16"/>
              </w:rPr>
              <w:t>218</w:t>
            </w:r>
          </w:p>
        </w:tc>
      </w:tr>
      <w:tr w:rsidR="00B67D7C" w:rsidRPr="00DE096C" w14:paraId="13764A35" w14:textId="77777777" w:rsidTr="00C2024A">
        <w:tc>
          <w:tcPr>
            <w:tcW w:w="9036" w:type="dxa"/>
          </w:tcPr>
          <w:p w14:paraId="0EAD75AD" w14:textId="77777777" w:rsidR="00B67D7C" w:rsidRPr="00DE096C" w:rsidRDefault="00B67D7C" w:rsidP="00D45A46">
            <w:pPr>
              <w:jc w:val="both"/>
              <w:rPr>
                <w:bCs/>
                <w:color w:val="002060"/>
                <w:sz w:val="16"/>
                <w:szCs w:val="16"/>
              </w:rPr>
            </w:pPr>
            <w:r w:rsidRPr="00DE096C">
              <w:rPr>
                <w:bCs/>
                <w:color w:val="002060"/>
                <w:sz w:val="16"/>
                <w:szCs w:val="16"/>
              </w:rPr>
              <w:t>Скрепление кожухом</w:t>
            </w:r>
          </w:p>
        </w:tc>
        <w:tc>
          <w:tcPr>
            <w:tcW w:w="323" w:type="dxa"/>
          </w:tcPr>
          <w:p w14:paraId="2F881ABB" w14:textId="77777777" w:rsidR="00B67D7C" w:rsidRPr="00DE096C" w:rsidRDefault="00B67D7C" w:rsidP="00D45A46">
            <w:pPr>
              <w:jc w:val="both"/>
              <w:rPr>
                <w:bCs/>
                <w:color w:val="002060"/>
                <w:sz w:val="16"/>
                <w:szCs w:val="16"/>
              </w:rPr>
            </w:pPr>
            <w:r w:rsidRPr="00DE096C">
              <w:rPr>
                <w:bCs/>
                <w:color w:val="002060"/>
                <w:sz w:val="16"/>
                <w:szCs w:val="16"/>
              </w:rPr>
              <w:t>18</w:t>
            </w:r>
          </w:p>
        </w:tc>
      </w:tr>
      <w:tr w:rsidR="00B67D7C" w:rsidRPr="00DE096C" w14:paraId="0875DFFE" w14:textId="77777777" w:rsidTr="00C2024A">
        <w:tc>
          <w:tcPr>
            <w:tcW w:w="9036" w:type="dxa"/>
          </w:tcPr>
          <w:p w14:paraId="3C0997AA" w14:textId="77777777" w:rsidR="00B67D7C" w:rsidRPr="00DE096C" w:rsidRDefault="00B67D7C" w:rsidP="00D45A46">
            <w:pPr>
              <w:jc w:val="both"/>
              <w:rPr>
                <w:bCs/>
                <w:color w:val="002060"/>
                <w:sz w:val="16"/>
                <w:szCs w:val="16"/>
              </w:rPr>
            </w:pPr>
            <w:r w:rsidRPr="00DE096C">
              <w:rPr>
                <w:bCs/>
                <w:color w:val="002060"/>
                <w:sz w:val="16"/>
                <w:szCs w:val="16"/>
              </w:rPr>
              <w:t>Обточка поверху, обрезка дула, заточка фаски для нарезки канала</w:t>
            </w:r>
          </w:p>
        </w:tc>
        <w:tc>
          <w:tcPr>
            <w:tcW w:w="323" w:type="dxa"/>
          </w:tcPr>
          <w:p w14:paraId="570C2860" w14:textId="77777777" w:rsidR="00B67D7C" w:rsidRPr="00DE096C" w:rsidRDefault="00B67D7C" w:rsidP="00D45A46">
            <w:pPr>
              <w:jc w:val="both"/>
              <w:rPr>
                <w:bCs/>
                <w:color w:val="002060"/>
                <w:sz w:val="16"/>
                <w:szCs w:val="16"/>
              </w:rPr>
            </w:pPr>
            <w:r w:rsidRPr="00DE096C">
              <w:rPr>
                <w:bCs/>
                <w:color w:val="002060"/>
                <w:sz w:val="16"/>
                <w:szCs w:val="16"/>
              </w:rPr>
              <w:t>416</w:t>
            </w:r>
          </w:p>
        </w:tc>
      </w:tr>
      <w:tr w:rsidR="00B67D7C" w:rsidRPr="00DE096C" w14:paraId="698014FB" w14:textId="77777777" w:rsidTr="00C2024A">
        <w:tc>
          <w:tcPr>
            <w:tcW w:w="9036" w:type="dxa"/>
          </w:tcPr>
          <w:p w14:paraId="2D1EC314" w14:textId="77777777" w:rsidR="00B67D7C" w:rsidRPr="00DE096C" w:rsidRDefault="00B67D7C" w:rsidP="00D45A46">
            <w:pPr>
              <w:jc w:val="both"/>
              <w:rPr>
                <w:bCs/>
                <w:color w:val="002060"/>
                <w:sz w:val="16"/>
                <w:szCs w:val="16"/>
              </w:rPr>
            </w:pPr>
            <w:r w:rsidRPr="00DE096C">
              <w:rPr>
                <w:bCs/>
                <w:color w:val="002060"/>
                <w:sz w:val="16"/>
                <w:szCs w:val="16"/>
              </w:rPr>
              <w:t>Нарезка под казенник, обточка под перекрывающие кольца</w:t>
            </w:r>
          </w:p>
        </w:tc>
        <w:tc>
          <w:tcPr>
            <w:tcW w:w="323" w:type="dxa"/>
          </w:tcPr>
          <w:p w14:paraId="102EABC3" w14:textId="77777777" w:rsidR="00B67D7C" w:rsidRPr="00DE096C" w:rsidRDefault="00B67D7C" w:rsidP="00D45A46">
            <w:pPr>
              <w:jc w:val="both"/>
              <w:rPr>
                <w:bCs/>
                <w:color w:val="002060"/>
                <w:sz w:val="16"/>
                <w:szCs w:val="16"/>
              </w:rPr>
            </w:pPr>
            <w:r w:rsidRPr="00DE096C">
              <w:rPr>
                <w:bCs/>
                <w:color w:val="002060"/>
                <w:sz w:val="16"/>
                <w:szCs w:val="16"/>
              </w:rPr>
              <w:t>176</w:t>
            </w:r>
          </w:p>
        </w:tc>
      </w:tr>
      <w:tr w:rsidR="00B67D7C" w:rsidRPr="00DE096C" w14:paraId="37BC267D" w14:textId="77777777" w:rsidTr="00C2024A">
        <w:tc>
          <w:tcPr>
            <w:tcW w:w="9036" w:type="dxa"/>
          </w:tcPr>
          <w:p w14:paraId="71B1C369" w14:textId="77777777" w:rsidR="00B67D7C" w:rsidRPr="00DE096C" w:rsidRDefault="00B67D7C" w:rsidP="00D45A46">
            <w:pPr>
              <w:jc w:val="both"/>
              <w:rPr>
                <w:bCs/>
                <w:color w:val="002060"/>
                <w:sz w:val="16"/>
                <w:szCs w:val="16"/>
              </w:rPr>
            </w:pPr>
            <w:r w:rsidRPr="00DE096C">
              <w:rPr>
                <w:bCs/>
                <w:color w:val="002060"/>
                <w:sz w:val="16"/>
                <w:szCs w:val="16"/>
              </w:rPr>
              <w:t>Полировка кожуха</w:t>
            </w:r>
          </w:p>
        </w:tc>
        <w:tc>
          <w:tcPr>
            <w:tcW w:w="323" w:type="dxa"/>
          </w:tcPr>
          <w:p w14:paraId="4BA2985E" w14:textId="77777777" w:rsidR="00B67D7C" w:rsidRPr="00DE096C" w:rsidRDefault="00B67D7C" w:rsidP="00D45A46">
            <w:pPr>
              <w:jc w:val="both"/>
              <w:rPr>
                <w:bCs/>
                <w:color w:val="002060"/>
                <w:sz w:val="16"/>
                <w:szCs w:val="16"/>
              </w:rPr>
            </w:pPr>
            <w:r w:rsidRPr="00DE096C">
              <w:rPr>
                <w:bCs/>
                <w:color w:val="002060"/>
                <w:sz w:val="16"/>
                <w:szCs w:val="16"/>
              </w:rPr>
              <w:t>50</w:t>
            </w:r>
          </w:p>
        </w:tc>
      </w:tr>
      <w:tr w:rsidR="00B67D7C" w:rsidRPr="00DE096C" w14:paraId="7BA8677C" w14:textId="77777777" w:rsidTr="00C2024A">
        <w:tc>
          <w:tcPr>
            <w:tcW w:w="9036" w:type="dxa"/>
          </w:tcPr>
          <w:p w14:paraId="481D692B" w14:textId="77777777" w:rsidR="00B67D7C" w:rsidRPr="00DE096C" w:rsidRDefault="00B67D7C" w:rsidP="00D45A46">
            <w:pPr>
              <w:jc w:val="both"/>
              <w:rPr>
                <w:bCs/>
                <w:color w:val="002060"/>
                <w:sz w:val="16"/>
                <w:szCs w:val="16"/>
              </w:rPr>
            </w:pPr>
            <w:r w:rsidRPr="00DE096C">
              <w:rPr>
                <w:bCs/>
                <w:color w:val="002060"/>
                <w:sz w:val="16"/>
                <w:szCs w:val="16"/>
              </w:rPr>
              <w:t>Полировка орудия под нарезку канала</w:t>
            </w:r>
          </w:p>
        </w:tc>
        <w:tc>
          <w:tcPr>
            <w:tcW w:w="323" w:type="dxa"/>
          </w:tcPr>
          <w:p w14:paraId="2B5875B5" w14:textId="77777777" w:rsidR="00B67D7C" w:rsidRPr="00DE096C" w:rsidRDefault="00B67D7C" w:rsidP="00D45A46">
            <w:pPr>
              <w:jc w:val="both"/>
              <w:rPr>
                <w:bCs/>
                <w:color w:val="002060"/>
                <w:sz w:val="16"/>
                <w:szCs w:val="16"/>
              </w:rPr>
            </w:pPr>
            <w:r w:rsidRPr="00DE096C">
              <w:rPr>
                <w:bCs/>
                <w:color w:val="002060"/>
                <w:sz w:val="16"/>
                <w:szCs w:val="16"/>
              </w:rPr>
              <w:t>60</w:t>
            </w:r>
          </w:p>
        </w:tc>
      </w:tr>
      <w:tr w:rsidR="00B67D7C" w:rsidRPr="00DE096C" w14:paraId="42855CBC" w14:textId="77777777" w:rsidTr="00C2024A">
        <w:tc>
          <w:tcPr>
            <w:tcW w:w="9036" w:type="dxa"/>
          </w:tcPr>
          <w:p w14:paraId="0696EBDF" w14:textId="77777777" w:rsidR="00B67D7C" w:rsidRPr="00DE096C" w:rsidRDefault="00B67D7C" w:rsidP="00D45A46">
            <w:pPr>
              <w:jc w:val="both"/>
              <w:rPr>
                <w:bCs/>
                <w:color w:val="002060"/>
                <w:sz w:val="16"/>
                <w:szCs w:val="16"/>
              </w:rPr>
            </w:pPr>
            <w:r w:rsidRPr="00DE096C">
              <w:rPr>
                <w:bCs/>
                <w:color w:val="002060"/>
                <w:sz w:val="16"/>
                <w:szCs w:val="16"/>
              </w:rPr>
              <w:t>Нарезка канала орудия</w:t>
            </w:r>
          </w:p>
        </w:tc>
        <w:tc>
          <w:tcPr>
            <w:tcW w:w="323" w:type="dxa"/>
          </w:tcPr>
          <w:p w14:paraId="66E38C2C" w14:textId="77777777" w:rsidR="00B67D7C" w:rsidRPr="00DE096C" w:rsidRDefault="00B67D7C" w:rsidP="00D45A46">
            <w:pPr>
              <w:jc w:val="both"/>
              <w:rPr>
                <w:bCs/>
                <w:color w:val="002060"/>
                <w:sz w:val="16"/>
                <w:szCs w:val="16"/>
              </w:rPr>
            </w:pPr>
            <w:r w:rsidRPr="00DE096C">
              <w:rPr>
                <w:bCs/>
                <w:color w:val="002060"/>
                <w:sz w:val="16"/>
                <w:szCs w:val="16"/>
              </w:rPr>
              <w:t>207</w:t>
            </w:r>
          </w:p>
        </w:tc>
      </w:tr>
      <w:tr w:rsidR="00B67D7C" w:rsidRPr="00DE096C" w14:paraId="60CFF112" w14:textId="77777777" w:rsidTr="00C2024A">
        <w:tc>
          <w:tcPr>
            <w:tcW w:w="9036" w:type="dxa"/>
          </w:tcPr>
          <w:p w14:paraId="11436F97" w14:textId="77777777" w:rsidR="00B67D7C" w:rsidRPr="00DE096C" w:rsidRDefault="00B67D7C" w:rsidP="00D45A46">
            <w:pPr>
              <w:jc w:val="both"/>
              <w:rPr>
                <w:bCs/>
                <w:color w:val="002060"/>
                <w:sz w:val="16"/>
                <w:szCs w:val="16"/>
              </w:rPr>
            </w:pPr>
            <w:r w:rsidRPr="00DE096C">
              <w:rPr>
                <w:bCs/>
                <w:color w:val="002060"/>
                <w:sz w:val="16"/>
                <w:szCs w:val="16"/>
              </w:rPr>
              <w:t>Расточка кожуха</w:t>
            </w:r>
          </w:p>
        </w:tc>
        <w:tc>
          <w:tcPr>
            <w:tcW w:w="323" w:type="dxa"/>
          </w:tcPr>
          <w:p w14:paraId="631CBEC8" w14:textId="77777777" w:rsidR="00B67D7C" w:rsidRPr="00DE096C" w:rsidRDefault="00B67D7C" w:rsidP="00D45A46">
            <w:pPr>
              <w:jc w:val="both"/>
              <w:rPr>
                <w:bCs/>
                <w:color w:val="002060"/>
                <w:sz w:val="16"/>
                <w:szCs w:val="16"/>
              </w:rPr>
            </w:pPr>
            <w:r w:rsidRPr="00DE096C">
              <w:rPr>
                <w:bCs/>
                <w:color w:val="002060"/>
                <w:sz w:val="16"/>
                <w:szCs w:val="16"/>
              </w:rPr>
              <w:t>139</w:t>
            </w:r>
          </w:p>
        </w:tc>
      </w:tr>
      <w:tr w:rsidR="00B67D7C" w:rsidRPr="00DE096C" w14:paraId="39D37097" w14:textId="77777777" w:rsidTr="00C2024A">
        <w:tc>
          <w:tcPr>
            <w:tcW w:w="9036" w:type="dxa"/>
          </w:tcPr>
          <w:p w14:paraId="24602764" w14:textId="77777777" w:rsidR="00B67D7C" w:rsidRPr="00DE096C" w:rsidRDefault="00B67D7C" w:rsidP="00D45A46">
            <w:pPr>
              <w:jc w:val="both"/>
              <w:rPr>
                <w:bCs/>
                <w:color w:val="002060"/>
                <w:sz w:val="16"/>
                <w:szCs w:val="16"/>
              </w:rPr>
            </w:pPr>
            <w:r w:rsidRPr="00DE096C">
              <w:rPr>
                <w:bCs/>
                <w:color w:val="002060"/>
                <w:sz w:val="16"/>
                <w:szCs w:val="16"/>
              </w:rPr>
              <w:t>Обмер канала после нарезки</w:t>
            </w:r>
          </w:p>
        </w:tc>
        <w:tc>
          <w:tcPr>
            <w:tcW w:w="323" w:type="dxa"/>
          </w:tcPr>
          <w:p w14:paraId="17D3F7BB" w14:textId="77777777" w:rsidR="00B67D7C" w:rsidRPr="00DE096C" w:rsidRDefault="00B67D7C" w:rsidP="00D45A46">
            <w:pPr>
              <w:jc w:val="both"/>
              <w:rPr>
                <w:bCs/>
                <w:color w:val="002060"/>
                <w:sz w:val="16"/>
                <w:szCs w:val="16"/>
              </w:rPr>
            </w:pPr>
            <w:r w:rsidRPr="00DE096C">
              <w:rPr>
                <w:bCs/>
                <w:color w:val="002060"/>
                <w:sz w:val="16"/>
                <w:szCs w:val="16"/>
              </w:rPr>
              <w:t>18</w:t>
            </w:r>
          </w:p>
        </w:tc>
      </w:tr>
      <w:tr w:rsidR="00B67D7C" w:rsidRPr="00DE096C" w14:paraId="60978F75" w14:textId="77777777" w:rsidTr="00C2024A">
        <w:tc>
          <w:tcPr>
            <w:tcW w:w="9036" w:type="dxa"/>
          </w:tcPr>
          <w:p w14:paraId="7F931869" w14:textId="77777777" w:rsidR="00B67D7C" w:rsidRPr="00DE096C" w:rsidRDefault="00B67D7C" w:rsidP="00D45A46">
            <w:pPr>
              <w:jc w:val="both"/>
              <w:rPr>
                <w:bCs/>
                <w:color w:val="002060"/>
                <w:sz w:val="16"/>
                <w:szCs w:val="16"/>
              </w:rPr>
            </w:pPr>
            <w:r w:rsidRPr="00DE096C">
              <w:rPr>
                <w:bCs/>
                <w:color w:val="002060"/>
                <w:sz w:val="16"/>
                <w:szCs w:val="16"/>
              </w:rPr>
              <w:t>Зачистка и подготовка орудия к сдаче на стрельбу</w:t>
            </w:r>
          </w:p>
        </w:tc>
        <w:tc>
          <w:tcPr>
            <w:tcW w:w="323" w:type="dxa"/>
          </w:tcPr>
          <w:p w14:paraId="491C5FE4" w14:textId="77777777" w:rsidR="00B67D7C" w:rsidRPr="00DE096C" w:rsidRDefault="00B67D7C" w:rsidP="00D45A46">
            <w:pPr>
              <w:jc w:val="both"/>
              <w:rPr>
                <w:bCs/>
                <w:color w:val="002060"/>
                <w:sz w:val="16"/>
                <w:szCs w:val="16"/>
              </w:rPr>
            </w:pPr>
            <w:r w:rsidRPr="00DE096C">
              <w:rPr>
                <w:bCs/>
                <w:color w:val="002060"/>
                <w:sz w:val="16"/>
                <w:szCs w:val="16"/>
              </w:rPr>
              <w:t>7</w:t>
            </w:r>
          </w:p>
        </w:tc>
      </w:tr>
      <w:tr w:rsidR="00B67D7C" w:rsidRPr="00DE096C" w14:paraId="48120F07" w14:textId="77777777" w:rsidTr="00C2024A">
        <w:tc>
          <w:tcPr>
            <w:tcW w:w="9036" w:type="dxa"/>
          </w:tcPr>
          <w:p w14:paraId="31676F58" w14:textId="77777777" w:rsidR="00B67D7C" w:rsidRPr="00DE096C" w:rsidRDefault="00B67D7C" w:rsidP="00D45A46">
            <w:pPr>
              <w:jc w:val="both"/>
              <w:rPr>
                <w:bCs/>
                <w:color w:val="002060"/>
                <w:sz w:val="16"/>
                <w:szCs w:val="16"/>
              </w:rPr>
            </w:pPr>
            <w:r w:rsidRPr="00DE096C">
              <w:rPr>
                <w:bCs/>
                <w:color w:val="002060"/>
                <w:sz w:val="16"/>
                <w:szCs w:val="16"/>
              </w:rPr>
              <w:t>Определение перевеса</w:t>
            </w:r>
          </w:p>
        </w:tc>
        <w:tc>
          <w:tcPr>
            <w:tcW w:w="323" w:type="dxa"/>
          </w:tcPr>
          <w:p w14:paraId="682755C3" w14:textId="77777777" w:rsidR="00B67D7C" w:rsidRPr="00DE096C" w:rsidRDefault="00B67D7C" w:rsidP="00D45A46">
            <w:pPr>
              <w:jc w:val="both"/>
              <w:rPr>
                <w:bCs/>
                <w:color w:val="002060"/>
                <w:sz w:val="16"/>
                <w:szCs w:val="16"/>
              </w:rPr>
            </w:pPr>
            <w:r w:rsidRPr="00DE096C">
              <w:rPr>
                <w:bCs/>
                <w:color w:val="002060"/>
                <w:sz w:val="16"/>
                <w:szCs w:val="16"/>
              </w:rPr>
              <w:t>3</w:t>
            </w:r>
          </w:p>
        </w:tc>
      </w:tr>
      <w:tr w:rsidR="00B67D7C" w:rsidRPr="00DE096C" w14:paraId="791F4828" w14:textId="77777777" w:rsidTr="00C2024A">
        <w:tc>
          <w:tcPr>
            <w:tcW w:w="9036" w:type="dxa"/>
          </w:tcPr>
          <w:p w14:paraId="77D75CAD" w14:textId="77777777" w:rsidR="00B67D7C" w:rsidRPr="00DE096C" w:rsidRDefault="00B67D7C" w:rsidP="00D45A46">
            <w:pPr>
              <w:jc w:val="both"/>
              <w:rPr>
                <w:bCs/>
                <w:color w:val="002060"/>
                <w:sz w:val="16"/>
                <w:szCs w:val="16"/>
              </w:rPr>
            </w:pPr>
            <w:r w:rsidRPr="00DE096C">
              <w:rPr>
                <w:bCs/>
                <w:color w:val="002060"/>
                <w:sz w:val="16"/>
                <w:szCs w:val="16"/>
              </w:rPr>
              <w:t>Исправление перевеса подточкой</w:t>
            </w:r>
          </w:p>
        </w:tc>
        <w:tc>
          <w:tcPr>
            <w:tcW w:w="323" w:type="dxa"/>
          </w:tcPr>
          <w:p w14:paraId="1C0B5096" w14:textId="77777777" w:rsidR="00B67D7C" w:rsidRPr="00DE096C" w:rsidRDefault="00B67D7C" w:rsidP="00D45A46">
            <w:pPr>
              <w:jc w:val="both"/>
              <w:rPr>
                <w:bCs/>
                <w:color w:val="002060"/>
                <w:sz w:val="16"/>
                <w:szCs w:val="16"/>
              </w:rPr>
            </w:pPr>
            <w:r w:rsidRPr="00DE096C">
              <w:rPr>
                <w:bCs/>
                <w:color w:val="002060"/>
                <w:sz w:val="16"/>
                <w:szCs w:val="16"/>
              </w:rPr>
              <w:t>25</w:t>
            </w:r>
          </w:p>
        </w:tc>
      </w:tr>
      <w:tr w:rsidR="00B67D7C" w:rsidRPr="00DE096C" w14:paraId="102B8CC4" w14:textId="77777777" w:rsidTr="00C2024A">
        <w:tc>
          <w:tcPr>
            <w:tcW w:w="9036" w:type="dxa"/>
          </w:tcPr>
          <w:p w14:paraId="4020132D" w14:textId="77777777" w:rsidR="00B67D7C" w:rsidRPr="00DE096C" w:rsidRDefault="00B67D7C" w:rsidP="00D45A46">
            <w:pPr>
              <w:jc w:val="both"/>
              <w:rPr>
                <w:bCs/>
                <w:color w:val="002060"/>
                <w:sz w:val="16"/>
                <w:szCs w:val="16"/>
              </w:rPr>
            </w:pPr>
            <w:r w:rsidRPr="00DE096C">
              <w:rPr>
                <w:bCs/>
                <w:color w:val="002060"/>
                <w:sz w:val="16"/>
                <w:szCs w:val="16"/>
              </w:rPr>
              <w:t>Полировка орудия для стрельбы</w:t>
            </w:r>
          </w:p>
        </w:tc>
        <w:tc>
          <w:tcPr>
            <w:tcW w:w="323" w:type="dxa"/>
          </w:tcPr>
          <w:p w14:paraId="298C8DE0" w14:textId="77777777" w:rsidR="00B67D7C" w:rsidRPr="00DE096C" w:rsidRDefault="00B67D7C" w:rsidP="00D45A46">
            <w:pPr>
              <w:jc w:val="both"/>
              <w:rPr>
                <w:bCs/>
                <w:color w:val="002060"/>
                <w:sz w:val="16"/>
                <w:szCs w:val="16"/>
              </w:rPr>
            </w:pPr>
            <w:r w:rsidRPr="00DE096C">
              <w:rPr>
                <w:bCs/>
                <w:color w:val="002060"/>
                <w:sz w:val="16"/>
                <w:szCs w:val="16"/>
              </w:rPr>
              <w:t>30</w:t>
            </w:r>
          </w:p>
        </w:tc>
      </w:tr>
      <w:tr w:rsidR="00B67D7C" w:rsidRPr="00DE096C" w14:paraId="24595936" w14:textId="77777777" w:rsidTr="00C2024A">
        <w:tc>
          <w:tcPr>
            <w:tcW w:w="9036" w:type="dxa"/>
          </w:tcPr>
          <w:p w14:paraId="71C3EC21" w14:textId="77777777" w:rsidR="00B67D7C" w:rsidRPr="00DE096C" w:rsidRDefault="00B67D7C" w:rsidP="00D45A46">
            <w:pPr>
              <w:jc w:val="both"/>
              <w:rPr>
                <w:bCs/>
                <w:color w:val="002060"/>
                <w:sz w:val="16"/>
                <w:szCs w:val="16"/>
              </w:rPr>
            </w:pPr>
            <w:r w:rsidRPr="00DE096C">
              <w:rPr>
                <w:bCs/>
                <w:color w:val="002060"/>
                <w:sz w:val="16"/>
                <w:szCs w:val="16"/>
              </w:rPr>
              <w:t>Шлифовка нарезов до стрельбы</w:t>
            </w:r>
          </w:p>
        </w:tc>
        <w:tc>
          <w:tcPr>
            <w:tcW w:w="323" w:type="dxa"/>
          </w:tcPr>
          <w:p w14:paraId="04469F49" w14:textId="77777777" w:rsidR="00B67D7C" w:rsidRPr="00DE096C" w:rsidRDefault="00B67D7C" w:rsidP="00D45A46">
            <w:pPr>
              <w:jc w:val="both"/>
              <w:rPr>
                <w:bCs/>
                <w:color w:val="002060"/>
                <w:sz w:val="16"/>
                <w:szCs w:val="16"/>
              </w:rPr>
            </w:pPr>
            <w:r w:rsidRPr="00DE096C">
              <w:rPr>
                <w:bCs/>
                <w:color w:val="002060"/>
                <w:sz w:val="16"/>
                <w:szCs w:val="16"/>
              </w:rPr>
              <w:t>81</w:t>
            </w:r>
          </w:p>
        </w:tc>
      </w:tr>
      <w:tr w:rsidR="00B67D7C" w:rsidRPr="00DE096C" w14:paraId="5DB6D145" w14:textId="77777777" w:rsidTr="00C2024A">
        <w:tc>
          <w:tcPr>
            <w:tcW w:w="9036" w:type="dxa"/>
          </w:tcPr>
          <w:p w14:paraId="12C02E1C" w14:textId="77777777" w:rsidR="00B67D7C" w:rsidRPr="00DE096C" w:rsidRDefault="00B67D7C" w:rsidP="00D45A46">
            <w:pPr>
              <w:jc w:val="both"/>
              <w:rPr>
                <w:bCs/>
                <w:color w:val="002060"/>
                <w:sz w:val="16"/>
                <w:szCs w:val="16"/>
              </w:rPr>
            </w:pPr>
            <w:r w:rsidRPr="00DE096C">
              <w:rPr>
                <w:bCs/>
                <w:color w:val="002060"/>
                <w:sz w:val="16"/>
                <w:szCs w:val="16"/>
              </w:rPr>
              <w:t>Сдача на стрельбу</w:t>
            </w:r>
          </w:p>
        </w:tc>
        <w:tc>
          <w:tcPr>
            <w:tcW w:w="323" w:type="dxa"/>
          </w:tcPr>
          <w:p w14:paraId="71B59234" w14:textId="77777777" w:rsidR="00B67D7C" w:rsidRPr="00DE096C" w:rsidRDefault="00B67D7C" w:rsidP="00D45A46">
            <w:pPr>
              <w:jc w:val="both"/>
              <w:rPr>
                <w:bCs/>
                <w:color w:val="002060"/>
                <w:sz w:val="16"/>
                <w:szCs w:val="16"/>
              </w:rPr>
            </w:pPr>
            <w:r w:rsidRPr="00DE096C">
              <w:rPr>
                <w:bCs/>
                <w:color w:val="002060"/>
                <w:sz w:val="16"/>
                <w:szCs w:val="16"/>
              </w:rPr>
              <w:t>45</w:t>
            </w:r>
          </w:p>
        </w:tc>
      </w:tr>
      <w:tr w:rsidR="00B67D7C" w:rsidRPr="00DE096C" w14:paraId="1BCE2ABB" w14:textId="77777777" w:rsidTr="00C2024A">
        <w:tc>
          <w:tcPr>
            <w:tcW w:w="9036" w:type="dxa"/>
          </w:tcPr>
          <w:p w14:paraId="498731FC" w14:textId="77777777" w:rsidR="00B67D7C" w:rsidRPr="00DE096C" w:rsidRDefault="00B67D7C" w:rsidP="00D45A46">
            <w:pPr>
              <w:jc w:val="both"/>
              <w:rPr>
                <w:bCs/>
                <w:color w:val="002060"/>
                <w:sz w:val="16"/>
                <w:szCs w:val="16"/>
              </w:rPr>
            </w:pPr>
            <w:r w:rsidRPr="00DE096C">
              <w:rPr>
                <w:bCs/>
                <w:color w:val="002060"/>
                <w:sz w:val="16"/>
                <w:szCs w:val="16"/>
              </w:rPr>
              <w:t>Шлифовка нарезов после стрельбы</w:t>
            </w:r>
          </w:p>
        </w:tc>
        <w:tc>
          <w:tcPr>
            <w:tcW w:w="323" w:type="dxa"/>
          </w:tcPr>
          <w:p w14:paraId="62957C4B" w14:textId="77777777" w:rsidR="00B67D7C" w:rsidRPr="00DE096C" w:rsidRDefault="00B67D7C" w:rsidP="00D45A46">
            <w:pPr>
              <w:jc w:val="both"/>
              <w:rPr>
                <w:bCs/>
                <w:color w:val="002060"/>
                <w:sz w:val="16"/>
                <w:szCs w:val="16"/>
              </w:rPr>
            </w:pPr>
            <w:r w:rsidRPr="00DE096C">
              <w:rPr>
                <w:bCs/>
                <w:color w:val="002060"/>
                <w:sz w:val="16"/>
                <w:szCs w:val="16"/>
              </w:rPr>
              <w:t>117</w:t>
            </w:r>
          </w:p>
        </w:tc>
      </w:tr>
      <w:tr w:rsidR="00B67D7C" w:rsidRPr="00DE096C" w14:paraId="30270FB7" w14:textId="77777777" w:rsidTr="00C2024A">
        <w:tc>
          <w:tcPr>
            <w:tcW w:w="9036" w:type="dxa"/>
          </w:tcPr>
          <w:p w14:paraId="4F4A0779" w14:textId="77777777" w:rsidR="00B67D7C" w:rsidRPr="00DE096C" w:rsidRDefault="00B67D7C" w:rsidP="00D45A46">
            <w:pPr>
              <w:jc w:val="both"/>
              <w:rPr>
                <w:bCs/>
                <w:color w:val="002060"/>
                <w:sz w:val="16"/>
                <w:szCs w:val="16"/>
              </w:rPr>
            </w:pPr>
            <w:r w:rsidRPr="00DE096C">
              <w:rPr>
                <w:bCs/>
                <w:color w:val="002060"/>
                <w:sz w:val="16"/>
                <w:szCs w:val="16"/>
              </w:rPr>
              <w:t>Полировка орудия для сдачи, окончательная сдача орудия</w:t>
            </w:r>
          </w:p>
        </w:tc>
        <w:tc>
          <w:tcPr>
            <w:tcW w:w="323" w:type="dxa"/>
          </w:tcPr>
          <w:p w14:paraId="660D87FE" w14:textId="77777777" w:rsidR="00B67D7C" w:rsidRPr="00DE096C" w:rsidRDefault="00B67D7C" w:rsidP="00D45A46">
            <w:pPr>
              <w:jc w:val="both"/>
              <w:rPr>
                <w:bCs/>
                <w:color w:val="002060"/>
                <w:sz w:val="16"/>
                <w:szCs w:val="16"/>
              </w:rPr>
            </w:pPr>
            <w:r w:rsidRPr="00DE096C">
              <w:rPr>
                <w:bCs/>
                <w:color w:val="002060"/>
                <w:sz w:val="16"/>
                <w:szCs w:val="16"/>
              </w:rPr>
              <w:t>45</w:t>
            </w:r>
          </w:p>
        </w:tc>
      </w:tr>
      <w:tr w:rsidR="00B67D7C" w:rsidRPr="00DE096C" w14:paraId="2C28E526" w14:textId="77777777" w:rsidTr="00C2024A">
        <w:tc>
          <w:tcPr>
            <w:tcW w:w="9036" w:type="dxa"/>
          </w:tcPr>
          <w:p w14:paraId="65929D4B" w14:textId="77777777" w:rsidR="00B67D7C" w:rsidRPr="00DE096C" w:rsidRDefault="00B67D7C" w:rsidP="00D45A46">
            <w:pPr>
              <w:jc w:val="both"/>
              <w:rPr>
                <w:bCs/>
                <w:color w:val="002060"/>
                <w:sz w:val="16"/>
                <w:szCs w:val="16"/>
              </w:rPr>
            </w:pPr>
            <w:r w:rsidRPr="00DE096C">
              <w:rPr>
                <w:bCs/>
                <w:color w:val="002060"/>
                <w:sz w:val="16"/>
                <w:szCs w:val="16"/>
              </w:rPr>
              <w:t>Всего: 3386</w:t>
            </w:r>
          </w:p>
        </w:tc>
        <w:tc>
          <w:tcPr>
            <w:tcW w:w="323" w:type="dxa"/>
          </w:tcPr>
          <w:p w14:paraId="44A940D4" w14:textId="77777777" w:rsidR="00B67D7C" w:rsidRPr="00DE096C" w:rsidRDefault="00B67D7C" w:rsidP="00D45A46">
            <w:pPr>
              <w:jc w:val="both"/>
              <w:rPr>
                <w:bCs/>
                <w:color w:val="002060"/>
                <w:sz w:val="16"/>
                <w:szCs w:val="16"/>
              </w:rPr>
            </w:pPr>
          </w:p>
        </w:tc>
      </w:tr>
    </w:tbl>
    <w:p w14:paraId="37EBBE5E" w14:textId="77777777" w:rsidR="00B67D7C" w:rsidRPr="00DE096C" w:rsidRDefault="00B67D7C" w:rsidP="00D45A46">
      <w:pPr>
        <w:jc w:val="both"/>
        <w:rPr>
          <w:bCs/>
          <w:color w:val="002060"/>
          <w:sz w:val="16"/>
          <w:szCs w:val="16"/>
        </w:rPr>
      </w:pPr>
      <w:r w:rsidRPr="00DE096C">
        <w:rPr>
          <w:bCs/>
          <w:color w:val="002060"/>
          <w:sz w:val="16"/>
          <w:szCs w:val="16"/>
        </w:rPr>
        <w:t>Источник:</w:t>
      </w:r>
    </w:p>
    <w:p w14:paraId="69F2F4A3" w14:textId="77777777" w:rsidR="00B67D7C" w:rsidRPr="00DE096C" w:rsidRDefault="00B67D7C" w:rsidP="00D45A46">
      <w:pPr>
        <w:jc w:val="both"/>
        <w:rPr>
          <w:bCs/>
          <w:color w:val="002060"/>
          <w:sz w:val="16"/>
          <w:szCs w:val="16"/>
        </w:rPr>
      </w:pPr>
      <w:r w:rsidRPr="00DE096C">
        <w:rPr>
          <w:bCs/>
          <w:color w:val="002060"/>
          <w:sz w:val="16"/>
          <w:szCs w:val="16"/>
        </w:rPr>
        <w:t>«Дело о проектировании и изготовлении орудий больших калибров» (РГАВМФ. ф. 421, оп.2, д. 2042, лл. 147–148). При двусменной работе (9+9=18 час в сутки) для изготовления одного 14"/52 орудия требовалось 188 дней, или свыше шести месяцев (без учета затрат времени на отливку и ковку заготовок внутренней трубы, скрепляющих цилиндров и кожуха)».</w:t>
      </w:r>
    </w:p>
    <w:p w14:paraId="289FFEE9" w14:textId="77777777" w:rsidR="00B67D7C" w:rsidRPr="00DE096C" w:rsidRDefault="00B67D7C" w:rsidP="00D45A46">
      <w:pPr>
        <w:jc w:val="both"/>
        <w:rPr>
          <w:bCs/>
          <w:color w:val="002060"/>
          <w:sz w:val="16"/>
          <w:szCs w:val="16"/>
        </w:rPr>
      </w:pPr>
      <w:r w:rsidRPr="00DE096C">
        <w:rPr>
          <w:bCs/>
          <w:color w:val="002060"/>
          <w:sz w:val="16"/>
          <w:szCs w:val="16"/>
        </w:rPr>
        <w:t>Учреждение этого завода, относящееся к началу 1860-х гг., было вызвано необходимостью освоения производства в России стальных нарезных орудий, и тем самым вывода дела обороны государства из зависимости от иностранных изготовителей и поставщиков артиллерии новейших систем. Орудийный завод был основан промышленником Н.И.Путиловым и талантливым инженером-металлургом П.М.Обуховым, предложившим новый способ литья стали, который по испытании пробных орудий был признан не уступающим способу Круппа. Морское министерство решило полностью перейти на изготовление орудий по способу Обухова, производство которых обходилось втрое дешевле, чем закупка крупповских. Благодаря получившей поддержку инициативе, в 1863 г. в 12 км от Петербурга, выше по течению Невы, был построен новый завод. В 1865 г. он перешел в казну, и с 1872 г. приступил к изготовлению крупнокалиберных орудий для броненосцев. Первоначальная цель Обуховского завода — снабжение флота артиллерией к середине 90-х гг. XIX в. оказалась намного превзойденной. Завод стал обеспечивать орудиями Военное министерство и основал целый ряд сопутствующих производств — изготавливал морские и сухопутные станки и башни, наладил выпуск снарядов, мин и торпед. Вплоть до начала 10-х гг. XX в. он оставался многопрофильным предприятием, и помимо предметов артиллерийского вооружения выпускал самые разнообразные отливки, а также бортовую, палубную и башенную броню. За полвека своего существования Обуховский завод вооружил артиллерией весь флот России и почти половину ее армии, изготовив со дня основания по 1 июля 1912 г. 13203 орудия разных калибров (от 37мм до 16"). (Шацилло К.Ф. Государство и монополии в военной промышленности России (конец XIX в. — 1914 г.). — М.: Наука, 1992. с. 75.)</w:t>
      </w:r>
    </w:p>
    <w:p w14:paraId="1D03077D" w14:textId="77777777" w:rsidR="00B67D7C" w:rsidRPr="00DE096C" w:rsidRDefault="00B67D7C" w:rsidP="00D45A46">
      <w:pPr>
        <w:jc w:val="both"/>
        <w:rPr>
          <w:bCs/>
          <w:color w:val="002060"/>
          <w:sz w:val="16"/>
          <w:szCs w:val="16"/>
        </w:rPr>
      </w:pPr>
      <w:r w:rsidRPr="00DE096C">
        <w:rPr>
          <w:bCs/>
          <w:color w:val="002060"/>
          <w:sz w:val="16"/>
          <w:szCs w:val="16"/>
        </w:rPr>
        <w:t xml:space="preserve">После окончания русско-японской войны загрузка завода резко упала. Несмотря на уменьшившееся количество заказов и существенное снижение прибыли, Обуховский завод продолжал интенсивно реконструировать ряд своих производств (электросталелитейное, пушечное и снарядное), что диктовалось необходимостью </w:t>
      </w:r>
      <w:r w:rsidRPr="00DE096C">
        <w:rPr>
          <w:bCs/>
          <w:color w:val="002060"/>
          <w:sz w:val="16"/>
          <w:szCs w:val="16"/>
        </w:rPr>
        <w:lastRenderedPageBreak/>
        <w:t>следования быстрому прогрессу в артиллерийской технике. В связи с этим у завода образовались крупные долги, значительно затруднявшие его дальнейшую деятельность. В соответствии с программой строительства дредноутов класса «Севастополь», Обуховскому заводу отводилась роль ведущего предприятия по изготовлению артиллерии, и в 1910–1911 гг. было отпущено 2751 тыс. руб. на погашение задолженности. Одновременно в июне 1911 г. на расширение сталелитейного, пушечного и снарядного производства было ассигновано 1657 тыс. руб., а на возведение и оборудование цеха трехорудийных 12" башен — 366 тыс. руб. Для оснащения дополнительных "отделений" (цехов) пушечного производства были заняты площади, освободившиеся после передачи броневого отдела вместе с оборудованием на Ижорский завод. Развернувшиеся в середине 1911 г. работы полностью завершились к февралю следующего, 1912 г. Был введен в действие новый цех ("IX отделение") пушечной мастерской, который, вместе с бывшей бронезакалочной ("X отделение"), оборудовали крупнейшими станками зарубежной поставки. Выросли цеха — башенный, оснащенный четырьмя крупными кессонами для одновременной сборки полного комплекта орудийных установок для линейного корабля, и новый снаряднозакалочный. До реконструкции Обуховский завод мог выпускать лишь 12 12" орудий в год, после расширения годовое производство 12"/52 орудий "образца 1908 г." на нем было доведено до 36 орудий (фактически за 1912 г. было изготовлено 40 12"/52 орудий).</w:t>
      </w:r>
    </w:p>
    <w:p w14:paraId="18430DE5" w14:textId="77777777" w:rsidR="00B67D7C" w:rsidRPr="00DE096C" w:rsidRDefault="00B67D7C" w:rsidP="00D45A46">
      <w:pPr>
        <w:jc w:val="both"/>
        <w:rPr>
          <w:bCs/>
          <w:color w:val="002060"/>
          <w:sz w:val="16"/>
          <w:szCs w:val="16"/>
        </w:rPr>
      </w:pPr>
      <w:r w:rsidRPr="00DE096C">
        <w:rPr>
          <w:bCs/>
          <w:color w:val="002060"/>
          <w:sz w:val="16"/>
          <w:szCs w:val="16"/>
        </w:rPr>
        <w:t>Однако очень скоро увеличение калибра линкорных орудий и запланированное крупное производство 14" пушек для будущих линейных крейсеров потребовало дальнейшего развития производства. В конце 1911 г., в самый разгар работ по переоборудованию, на Обуховском заводе по требованию Морского министерства были разработаны и составлены сметы для расширения завода под крупносерийное производство 14" пушек — 36 штук в год для флота и 12 для армии. 23 июня 1912 г. Обуховскому заводу на эти цели был ассигнован кредит в размере 3175 тыс. руб., после чего немедленно приступили к выполнению необходимых работ, срок окончания которых был намечен на начало 1914 г.</w:t>
      </w:r>
    </w:p>
    <w:p w14:paraId="5F78C89B" w14:textId="77777777" w:rsidR="00B67D7C" w:rsidRPr="00DE096C" w:rsidRDefault="00B67D7C" w:rsidP="00D45A46">
      <w:pPr>
        <w:jc w:val="both"/>
        <w:rPr>
          <w:bCs/>
          <w:color w:val="002060"/>
          <w:sz w:val="16"/>
          <w:szCs w:val="16"/>
        </w:rPr>
      </w:pPr>
      <w:r w:rsidRPr="00DE096C">
        <w:rPr>
          <w:bCs/>
          <w:color w:val="002060"/>
          <w:sz w:val="16"/>
          <w:szCs w:val="16"/>
        </w:rPr>
        <w:t>В июле 1913 г. было дополнительно ассигновано 750 тыс. руб. на расширение сборочного башенного цеха для возможности изготовления в нем 14" трехорудийных башен для линейных крейсеров (установка мостового крана в 150 т, некоторых крупных станков, и пр.). Весь 1913 г. прошел в напряженной работе. Весной 1914 г. новое дооборудование завода было полностью завершено. Обуховский завод представлял собой передовое артиллерийское производство, обладавшее широкими возможностями. Он был способен ежегодно изготавливать 72 12"/52 орудия, или соответствующее число орудий 14" — 16" калибра (первых до 48, вторых до 12), а также до 180 орудий средних калибров. Существенно было расширено и производство снарядов -1600 16" калибра или 2000 14" калибра, из которых 25 % в обоих случаях могли быть бронебойными; 3200 снарядов 12" калибра или 8000 снарядов 8" калибра, и, помимо этого, огромное количество снарядов для средней артиллерии.</w:t>
      </w:r>
    </w:p>
    <w:p w14:paraId="37B4C7EA" w14:textId="77777777" w:rsidR="00B67D7C" w:rsidRPr="00DE096C" w:rsidRDefault="00B67D7C" w:rsidP="00D45A46">
      <w:pPr>
        <w:jc w:val="both"/>
        <w:rPr>
          <w:bCs/>
          <w:color w:val="002060"/>
          <w:sz w:val="16"/>
          <w:szCs w:val="16"/>
        </w:rPr>
      </w:pPr>
      <w:r w:rsidRPr="00DE096C">
        <w:rPr>
          <w:bCs/>
          <w:color w:val="002060"/>
          <w:sz w:val="16"/>
          <w:szCs w:val="16"/>
        </w:rPr>
        <w:t>На Обуховском заводе был образован оптико-механический отдел, где изготавливались для флота орудийные прицелы и перископы, а также производился ремонт и поверка крупных базисных дальномеров британской компании «Барр и Струд», с которой завод с 1911 г. состоял в соглашении.</w:t>
      </w:r>
    </w:p>
    <w:p w14:paraId="2D661B2C" w14:textId="77777777" w:rsidR="00B67D7C" w:rsidRPr="00DE096C" w:rsidRDefault="00B67D7C" w:rsidP="00D45A46">
      <w:pPr>
        <w:jc w:val="both"/>
        <w:rPr>
          <w:bCs/>
          <w:color w:val="002060"/>
          <w:sz w:val="16"/>
          <w:szCs w:val="16"/>
        </w:rPr>
      </w:pPr>
      <w:r w:rsidRPr="00DE096C">
        <w:rPr>
          <w:bCs/>
          <w:color w:val="002060"/>
          <w:sz w:val="16"/>
          <w:szCs w:val="16"/>
        </w:rPr>
        <w:t>Основная часть работ по разработке предметов артиллерийского вооружения и оснащения, производившихся на заводе, была сосредоточена в заводской Минно-артиллерийской технической конторе, образованной в 1908 г. Заведовал ей инженер В.В. Поляков. В состав этого проектного подразделения входило 70 инженеров, конструкторов и чертежников (12109).</w:t>
      </w:r>
    </w:p>
    <w:p w14:paraId="412D458B" w14:textId="77777777" w:rsidR="00B67D7C" w:rsidRPr="00DE096C" w:rsidRDefault="00B67D7C" w:rsidP="00D45A46">
      <w:pPr>
        <w:jc w:val="both"/>
        <w:rPr>
          <w:bCs/>
          <w:color w:val="002060"/>
          <w:sz w:val="16"/>
          <w:szCs w:val="16"/>
        </w:rPr>
      </w:pPr>
    </w:p>
    <w:p w14:paraId="0381584F" w14:textId="1040529A" w:rsidR="00B67D7C" w:rsidRPr="00DE096C" w:rsidRDefault="00B67D7C" w:rsidP="00D45A46">
      <w:pPr>
        <w:jc w:val="both"/>
        <w:rPr>
          <w:bCs/>
          <w:color w:val="002060"/>
          <w:sz w:val="16"/>
          <w:szCs w:val="16"/>
        </w:rPr>
      </w:pPr>
      <w:r w:rsidRPr="00DE096C">
        <w:rPr>
          <w:bCs/>
          <w:color w:val="002060"/>
          <w:sz w:val="16"/>
          <w:szCs w:val="16"/>
        </w:rPr>
        <w:t>В начале 1914 года в результате слияния двух компаний ("Нобель" и "Лесснер"), в Ревеле было организовано акционерное общество "Ноблесснер", специализировавшееся на постройке подводных лодок. Инициаторами его создания выступили директор завода Лесснера, изготавливавшего минное вооружение для подводных лодок, М.С. Плотников, поддержанный Э.Л. Нобелем, завод которого строил двигатели Дизеля, в том числе и для подводных лодок; финансовую поддержку обещал Учетно-ссудный банк. В середине 1912 года, когда были выданы технические условия на проектирование подводных лодок, у общества "Ноблесснер" не было даже земельного участка для строительства будущего завода. Участок вблизи Ревеля приобрели только в октябре 1912 года, строительные работы начались засыпкой прилегающей акватории на берегу Минной гавани, напротив завода "Вольта". Выбор этого места не был случайным. Владельцы "Вольта" вошли в состав акционеров "Ноблесснера", а завод выполнял заказы судостроителей по поставкам электрооборудования для сходивших со стапелей подводных лодок. Стапели для постройки подводных лодок были готовы лишь осенью 1914 года. Первый заказ на строительство ПЛ по "экстренной программе судостроения" был получен на следующий год</w:t>
      </w:r>
      <w:r w:rsidR="001F7457" w:rsidRPr="00DE096C">
        <w:rPr>
          <w:bCs/>
          <w:color w:val="002060"/>
          <w:sz w:val="16"/>
          <w:szCs w:val="16"/>
        </w:rPr>
        <w:t xml:space="preserve"> (12284)</w:t>
      </w:r>
      <w:r w:rsidRPr="00DE096C">
        <w:rPr>
          <w:bCs/>
          <w:color w:val="002060"/>
          <w:sz w:val="16"/>
          <w:szCs w:val="16"/>
        </w:rPr>
        <w:t>.</w:t>
      </w:r>
    </w:p>
    <w:p w14:paraId="32439E55" w14:textId="77777777" w:rsidR="001F7457" w:rsidRPr="00DE096C" w:rsidRDefault="001F7457" w:rsidP="00D45A46">
      <w:pPr>
        <w:jc w:val="both"/>
        <w:rPr>
          <w:bCs/>
          <w:color w:val="002060"/>
          <w:sz w:val="16"/>
          <w:szCs w:val="16"/>
        </w:rPr>
      </w:pPr>
    </w:p>
    <w:p w14:paraId="14257CEF" w14:textId="0EAD87E9" w:rsidR="00B67D7C" w:rsidRPr="00DE096C" w:rsidRDefault="00B67D7C" w:rsidP="00D45A46">
      <w:pPr>
        <w:jc w:val="both"/>
        <w:rPr>
          <w:bCs/>
          <w:color w:val="002060"/>
          <w:sz w:val="16"/>
          <w:szCs w:val="16"/>
        </w:rPr>
      </w:pPr>
      <w:r w:rsidRPr="00DE096C">
        <w:rPr>
          <w:bCs/>
          <w:color w:val="002060"/>
          <w:sz w:val="16"/>
          <w:szCs w:val="16"/>
        </w:rPr>
        <w:t xml:space="preserve">Военным судостроением занималось также "Акционерное общество механических и судостроительных заводов Беккер и КR" находящееся в Риге. Акционерное общество либавских железоделательных и сталелитейных заводов в начале 1913 года добилось заказа на строительство пяти миноносцев типа "Яростный". Для создания судостроительной базы Общество весной 1913 года приобретает два предприятия - Ревельский металлический завод и Рижский судостроительный завод "Ланге и сын". С этого времени оно становится одним из крупнейших комбинированных предприятий России и получает новое название "Акционерное общество металлургических, механических и судостроительных заводов Бекера и К". Для строительства эскадренных миноносцев стапеля были модернизированы и проведена техническая реконструкция всего предприятия. Техническую помощь в строительстве новой верфи оказывали германская фирма "Вулкан", а также швейцарская фирма "Браун-Бовери". Турбинная и котельная мастерские могли строить турбины типа "Браун-Бовери-Парсонс" и водотрубные котлы системы адмиралтейского типа для эскадренных миноносцев и крейсеров. Стапели и все мастерские соединялись между собой рельсовыми путями. Впоследствии значительною роль в делах предприятия стали играть крупнейшие русские банки: Азовско-Донской промышленный, Петербургский частный коммерческий и Русский торгово-промышленный. В конце 1913 года было заложено 5 эскадренных миноносцев типа "Яростный". </w:t>
      </w:r>
    </w:p>
    <w:p w14:paraId="7D369312" w14:textId="77777777" w:rsidR="00B67D7C" w:rsidRPr="00DE096C" w:rsidRDefault="00B67D7C" w:rsidP="00D45A46">
      <w:pPr>
        <w:jc w:val="both"/>
        <w:rPr>
          <w:bCs/>
          <w:color w:val="002060"/>
          <w:sz w:val="16"/>
          <w:szCs w:val="16"/>
        </w:rPr>
      </w:pPr>
      <w:r w:rsidRPr="00DE096C">
        <w:rPr>
          <w:bCs/>
          <w:color w:val="002060"/>
          <w:sz w:val="16"/>
          <w:szCs w:val="16"/>
        </w:rPr>
        <w:t xml:space="preserve">В 1912 году фирма "Шихау" по соглашению с морским министерством проступила к постройке стапелей для сборки в России серии эскадренных миноносцев, заказ на которые был получен осенью 1912 года. Ведущим доводом для морского министерства послужило значительное снижение цены за корабль. Для организации предприятия в окрестности Риги на правом берегу р. Западной Двины у Мюльграбенского протока (Милгравский канал) был приобретен обширный участок и получено разрешение на строительство верфи. Директор строительных работ К.Кнаппель и весь персонал инженеров и мастеров были полностью приглашены с верфи "Шихау" в Эльбинге. На участке предполагалось разместить шесть стапелей для эскадренных миноносцев, судостроительную и машиностроительную мастерские, электростанцию, кузницу, плаз и поселок для рабочих. Достроечный бассейн планировалось соорудить в Мюльграбенском протоке, укрепив его берега сваями. Для доставки железнодорожных вагонов со станции Старый Мюльграбен через проток решено было использовать специальный ледокольный паром. Причальная стенка сооружалась на месте старой пароходной пристани вблизи стапелей. Сроки окончания всех строительных работ на верфи устанавливались на конец 1913 года. 5 эсминцев типа "Ведущий" были заложены на этой верфи в июле 1913 года. Всего заказ составил 9 кораблей, из которых 4, предназначенные для Дальнего востока, изготавливались целиком в Германии и затем отправлялись на Дальний восток. </w:t>
      </w:r>
    </w:p>
    <w:p w14:paraId="31B506DC" w14:textId="77777777" w:rsidR="00B67D7C" w:rsidRPr="00DE096C" w:rsidRDefault="00B67D7C" w:rsidP="00D45A46">
      <w:pPr>
        <w:jc w:val="both"/>
        <w:rPr>
          <w:bCs/>
          <w:color w:val="002060"/>
          <w:sz w:val="16"/>
          <w:szCs w:val="16"/>
        </w:rPr>
      </w:pPr>
      <w:r w:rsidRPr="00DE096C">
        <w:rPr>
          <w:bCs/>
          <w:color w:val="002060"/>
          <w:sz w:val="16"/>
          <w:szCs w:val="16"/>
        </w:rPr>
        <w:t xml:space="preserve">Черноморские судостроительные предприятия </w:t>
      </w:r>
    </w:p>
    <w:p w14:paraId="08D5005D" w14:textId="77777777" w:rsidR="00B67D7C" w:rsidRPr="00DE096C" w:rsidRDefault="00B67D7C" w:rsidP="00D45A46">
      <w:pPr>
        <w:jc w:val="both"/>
        <w:rPr>
          <w:bCs/>
          <w:color w:val="002060"/>
          <w:sz w:val="16"/>
          <w:szCs w:val="16"/>
        </w:rPr>
      </w:pPr>
      <w:r w:rsidRPr="00DE096C">
        <w:rPr>
          <w:bCs/>
          <w:color w:val="002060"/>
          <w:sz w:val="16"/>
          <w:szCs w:val="16"/>
        </w:rPr>
        <w:t xml:space="preserve">В 1907 году "Наваль" получил первый заказ на турбинные корабли. Для строительства 900 тонных кораблей был выполнен ряд работ модернизации существующих стапелей. Была построена дизель-компрессорная станция и внедрена в широких масштабах пневматическая клёпка, сверловка, рубка и чеканка взамен ручных работ. На следующий год предприятие получило заказ на строительство 2-х линейных кораблей типа "Императрица Мария". Следует отметить, что строительство головного корабля было поручено Николаевскому адмиралтейству. Сроки строительства на адмиралтействе линейного корабля оказались запредельными и после спуска на воду корабля, морское министерство по субконтракту передало достройку корабля "Навалю" и заключило с ним соглашение о бесплатной аренде большей части Николаевского адмиралтейства сроком до 1937 года. Получив крупный кредит от Санкт-Петербургского международного коммерческого банка, "Наваль" полностью реорганизовал предприятие. Уже в 1911 году завод получил заказ на строительство серии эскадренных миноносцев типа "С" и еще одного линейного корабля. При этом строительство эсминцев шло достаточно быстрыми темпами. Последний эсминец был сдан флоту к весне 1915 года. </w:t>
      </w:r>
    </w:p>
    <w:p w14:paraId="6E7BAC79" w14:textId="77777777" w:rsidR="00B67D7C" w:rsidRPr="00DE096C" w:rsidRDefault="00B67D7C" w:rsidP="00D45A46">
      <w:pPr>
        <w:jc w:val="both"/>
        <w:rPr>
          <w:bCs/>
          <w:color w:val="002060"/>
          <w:sz w:val="16"/>
          <w:szCs w:val="16"/>
        </w:rPr>
      </w:pPr>
      <w:r w:rsidRPr="00DE096C">
        <w:rPr>
          <w:bCs/>
          <w:color w:val="002060"/>
          <w:sz w:val="16"/>
          <w:szCs w:val="16"/>
        </w:rPr>
        <w:t xml:space="preserve">Стоит отметить, что "Наваль" был построен сравнительно недавно с помощью известной английской фирмы "Торникрофт". На громадной территории завода все цехи и мастерские были размещены по так называемому веерному типу, т. е. в один ряд, их связывали общие рельсовые пути, доступные со стороны берега р. Южный Буг. Судостроительный отдел занимал обширную прибрежную полосу, на которой располагались семь открытых стапелей для строительства судов среднего и малого водоизмещения и огромный двойной крытый эллинг, в котором можно было одновременно строить два судна любого водоизмещения. Благодаря рациональному размещению судостроительных мастерских, новейшему станочному парку и отличному крановому оборудованию Николаевскому заводу удалось достичь быстрых сроков постройки кораблей. Так стапельный период "Строгого" составил около 6 месяцев, а полностью вошел в строй корабль спустя полтора года с момента закладки. </w:t>
      </w:r>
    </w:p>
    <w:p w14:paraId="36A0DFC8" w14:textId="77777777" w:rsidR="001F7457" w:rsidRPr="00DE096C" w:rsidRDefault="00B67D7C" w:rsidP="00D45A46">
      <w:pPr>
        <w:jc w:val="both"/>
        <w:rPr>
          <w:bCs/>
          <w:color w:val="002060"/>
          <w:sz w:val="16"/>
          <w:szCs w:val="16"/>
        </w:rPr>
      </w:pPr>
      <w:r w:rsidRPr="00DE096C">
        <w:rPr>
          <w:bCs/>
          <w:color w:val="002060"/>
          <w:sz w:val="16"/>
          <w:szCs w:val="16"/>
        </w:rPr>
        <w:t xml:space="preserve">В 1911 году контрольный пакет акций завода "Наваль", принадлежавший бельгийской фирме, перешел в собственность Санкт-Петербургского международного коммерческого банка. Следствием этого стало преобразование ОНЗиВ в русское акционерное общество под тем же названием. В 1913 году на предприятии были начаты постройкой 2 крейсера для Черноморского флота. </w:t>
      </w:r>
    </w:p>
    <w:p w14:paraId="5F5074DC" w14:textId="77777777" w:rsidR="001F7457" w:rsidRPr="00DE096C" w:rsidRDefault="001F7457" w:rsidP="00D45A46">
      <w:pPr>
        <w:jc w:val="both"/>
        <w:rPr>
          <w:bCs/>
          <w:color w:val="002060"/>
          <w:sz w:val="16"/>
          <w:szCs w:val="16"/>
        </w:rPr>
      </w:pPr>
    </w:p>
    <w:p w14:paraId="1556BE21" w14:textId="1BFFF921" w:rsidR="00F22A85" w:rsidRPr="00DE096C" w:rsidRDefault="00F22A85" w:rsidP="00D45A46">
      <w:pPr>
        <w:jc w:val="both"/>
        <w:rPr>
          <w:bCs/>
          <w:i/>
          <w:iCs/>
          <w:color w:val="002060"/>
          <w:sz w:val="16"/>
          <w:szCs w:val="16"/>
        </w:rPr>
      </w:pPr>
      <w:r w:rsidRPr="00DE096C">
        <w:rPr>
          <w:bCs/>
          <w:i/>
          <w:iCs/>
          <w:color w:val="002060"/>
          <w:sz w:val="16"/>
          <w:szCs w:val="16"/>
        </w:rPr>
        <w:t>Авиация:</w:t>
      </w:r>
    </w:p>
    <w:p w14:paraId="1D9D37F0" w14:textId="77777777" w:rsidR="00F22A85" w:rsidRPr="00DE096C" w:rsidRDefault="00F22A85" w:rsidP="00D45A46">
      <w:pPr>
        <w:jc w:val="both"/>
        <w:rPr>
          <w:bCs/>
          <w:i/>
          <w:iCs/>
          <w:color w:val="002060"/>
          <w:sz w:val="16"/>
          <w:szCs w:val="16"/>
        </w:rPr>
      </w:pPr>
    </w:p>
    <w:p w14:paraId="167246BD" w14:textId="77777777" w:rsidR="00F22A85" w:rsidRPr="00DE096C" w:rsidRDefault="00F22A85" w:rsidP="00D45A46">
      <w:pPr>
        <w:jc w:val="both"/>
        <w:rPr>
          <w:bCs/>
          <w:color w:val="002060"/>
          <w:sz w:val="16"/>
          <w:szCs w:val="16"/>
        </w:rPr>
      </w:pPr>
      <w:r w:rsidRPr="00DE096C">
        <w:rPr>
          <w:bCs/>
          <w:color w:val="002060"/>
          <w:sz w:val="16"/>
          <w:szCs w:val="16"/>
          <w:shd w:val="clear" w:color="auto" w:fill="FFFFFF"/>
        </w:rPr>
        <w:t>В начале 1914 г. прошла реорганизация воздухоплавательных частей. К началу Первой мировой войны действовали воздухоплавательные роты: № 2-4, Сибирская и крепостные - Брест-Литовская, Владивостокская, Гродненская, Карсская, Ковенская, Новогеоргиевская, Осовецкая, а также Свеаборгское крепостное воздухоплавательное отделение (с 1915 г. - рота). С объявлением мобилизации началось формирование новых воздухоплавательных рот (19947).</w:t>
      </w:r>
    </w:p>
    <w:p w14:paraId="391090D6" w14:textId="77777777" w:rsidR="00F22A85" w:rsidRPr="00DE096C" w:rsidRDefault="00F22A85" w:rsidP="00D45A46">
      <w:pPr>
        <w:jc w:val="both"/>
        <w:rPr>
          <w:bCs/>
          <w:color w:val="002060"/>
          <w:sz w:val="16"/>
          <w:szCs w:val="16"/>
        </w:rPr>
      </w:pPr>
    </w:p>
    <w:p w14:paraId="4B9122DB" w14:textId="77777777" w:rsidR="00F22A85" w:rsidRPr="00DE096C" w:rsidRDefault="00F22A85" w:rsidP="00D45A46">
      <w:pPr>
        <w:jc w:val="both"/>
        <w:rPr>
          <w:bCs/>
          <w:color w:val="002060"/>
          <w:sz w:val="16"/>
          <w:szCs w:val="16"/>
        </w:rPr>
      </w:pPr>
      <w:r w:rsidRPr="00DE096C">
        <w:rPr>
          <w:bCs/>
          <w:color w:val="002060"/>
          <w:sz w:val="16"/>
          <w:szCs w:val="16"/>
        </w:rPr>
        <w:t xml:space="preserve">В начале 1914 г., в авиароты высылались радиопередатчики и радиоприемники. Так заведующий техническими средствами Главного военно-технического управления (ГВТУ) подполковник Золотовский докладывал в Штаб ВГК, что «до войны в период времени с 10 апреля по 10 мая 1914 г. в авиароты было выслано 12 передаточных и 4 приемных специальных аэропланных радиостанций французской системы Руво с районом действия до 80 км. Тогда же, весной 1914 г., была выработана программа </w:t>
      </w:r>
      <w:r w:rsidRPr="00DE096C">
        <w:rPr>
          <w:bCs/>
          <w:color w:val="002060"/>
          <w:sz w:val="16"/>
          <w:szCs w:val="16"/>
        </w:rPr>
        <w:lastRenderedPageBreak/>
        <w:t>отправных данных для разработки нашими заводами необходимых радиостанций. В основу требований к аэропланным радиостанциям было положено следующее: дальность действия до 10–12 верст, вес около 18 кг, на аэропланах устанавливаются только передающие радиостанции, которые не должны вызывать каких-либо конструктивных дополнений в аэропланах» (19951).</w:t>
      </w:r>
    </w:p>
    <w:p w14:paraId="19F2FF7B" w14:textId="77777777" w:rsidR="00F22A85" w:rsidRPr="00DE096C" w:rsidRDefault="00F22A85" w:rsidP="00D45A46">
      <w:pPr>
        <w:jc w:val="both"/>
        <w:rPr>
          <w:bCs/>
          <w:color w:val="002060"/>
          <w:sz w:val="16"/>
          <w:szCs w:val="16"/>
        </w:rPr>
      </w:pPr>
    </w:p>
    <w:p w14:paraId="1A3FD5F2" w14:textId="77777777" w:rsidR="00F22A85" w:rsidRPr="00DE096C" w:rsidRDefault="00F22A85" w:rsidP="00D45A46">
      <w:pPr>
        <w:jc w:val="both"/>
        <w:rPr>
          <w:bCs/>
          <w:color w:val="002060"/>
          <w:sz w:val="16"/>
          <w:szCs w:val="16"/>
        </w:rPr>
      </w:pPr>
      <w:r w:rsidRPr="00DE096C">
        <w:rPr>
          <w:bCs/>
          <w:color w:val="002060"/>
          <w:sz w:val="16"/>
          <w:szCs w:val="16"/>
        </w:rPr>
        <w:t>В начале 1914 г. спортивный комитет ИВАК решил присваивать права пилотов-аэронавтов офицерам, окончившим ОВШ. «Офицеры эти, хотя и не выполняют ценза, требуемого правила</w:t>
      </w:r>
      <w:r w:rsidRPr="00DE096C">
        <w:rPr>
          <w:bCs/>
          <w:color w:val="002060"/>
          <w:sz w:val="16"/>
          <w:szCs w:val="16"/>
        </w:rPr>
        <w:softHyphen/>
        <w:t>ми международной воздухоплавательной федера</w:t>
      </w:r>
      <w:r w:rsidRPr="00DE096C">
        <w:rPr>
          <w:bCs/>
          <w:color w:val="002060"/>
          <w:sz w:val="16"/>
          <w:szCs w:val="16"/>
        </w:rPr>
        <w:softHyphen/>
        <w:t>ции для получения звания пилота на сферических аэростатах, но зато они должны совершить значи</w:t>
      </w:r>
      <w:r w:rsidRPr="00DE096C">
        <w:rPr>
          <w:bCs/>
          <w:color w:val="002060"/>
          <w:sz w:val="16"/>
          <w:szCs w:val="16"/>
        </w:rPr>
        <w:softHyphen/>
        <w:t>тельное число подъёмов на змейковых аппаратах и несколько полётов на дирижаблях. Кроме того, они проходят целый курс теории и ряд практических занятий по материальной части шаров».</w:t>
      </w:r>
    </w:p>
    <w:p w14:paraId="1DFF6A9A" w14:textId="77777777" w:rsidR="00F22A85" w:rsidRPr="00DE096C" w:rsidRDefault="00F22A85" w:rsidP="00D45A46">
      <w:pPr>
        <w:jc w:val="both"/>
        <w:rPr>
          <w:bCs/>
          <w:color w:val="002060"/>
          <w:sz w:val="16"/>
          <w:szCs w:val="16"/>
        </w:rPr>
      </w:pPr>
      <w:r w:rsidRPr="00DE096C">
        <w:rPr>
          <w:bCs/>
          <w:color w:val="002060"/>
          <w:sz w:val="16"/>
          <w:szCs w:val="16"/>
        </w:rPr>
        <w:t>К подготовке пилотов-воздухоплавателей в ИВАК приступили в 1910 г. после приобре</w:t>
      </w:r>
      <w:r w:rsidRPr="00DE096C">
        <w:rPr>
          <w:bCs/>
          <w:color w:val="002060"/>
          <w:sz w:val="16"/>
          <w:szCs w:val="16"/>
        </w:rPr>
        <w:softHyphen/>
        <w:t>тения у ТРАРМ двух аэростатов объёмом по 1437 м3 «Треугольник» и «Василий Корн». Полё</w:t>
      </w:r>
      <w:r w:rsidRPr="00DE096C">
        <w:rPr>
          <w:bCs/>
          <w:color w:val="002060"/>
          <w:sz w:val="16"/>
          <w:szCs w:val="16"/>
        </w:rPr>
        <w:softHyphen/>
        <w:t>ты проводились в С.-Петербурге по воскресным дням в 9.00 с газового завода Общества столично</w:t>
      </w:r>
      <w:r w:rsidRPr="00DE096C">
        <w:rPr>
          <w:bCs/>
          <w:color w:val="002060"/>
          <w:sz w:val="16"/>
          <w:szCs w:val="16"/>
        </w:rPr>
        <w:softHyphen/>
        <w:t>го освещения на Обводном канале. Члены ИВАК, совершавшие полёты для получения звания пи</w:t>
      </w:r>
      <w:r w:rsidRPr="00DE096C">
        <w:rPr>
          <w:bCs/>
          <w:color w:val="002060"/>
          <w:sz w:val="16"/>
          <w:szCs w:val="16"/>
        </w:rPr>
        <w:softHyphen/>
        <w:t>лота (Д.В Фельдберг, А.Н. Срединский, С.С. Усов, Н.А. Рынин, В.А. Бутлеров, Г.М. Юрман) имели право выполнять их вне общей очереди. Взнос за полёт составлял 50 рублей при условии, что в нём принимают участие три пассажира. При меньшем числе пассажиров взнос каждого из них возрастал, чтобы компенсировать ИВАК расходы на полёт.</w:t>
      </w:r>
    </w:p>
    <w:p w14:paraId="6AA94692" w14:textId="77777777" w:rsidR="00F22A85" w:rsidRPr="00DE096C" w:rsidRDefault="00F22A85" w:rsidP="00D45A46">
      <w:pPr>
        <w:jc w:val="both"/>
        <w:rPr>
          <w:bCs/>
          <w:color w:val="002060"/>
          <w:sz w:val="16"/>
          <w:szCs w:val="16"/>
        </w:rPr>
      </w:pPr>
      <w:r w:rsidRPr="00DE096C">
        <w:rPr>
          <w:bCs/>
          <w:color w:val="002060"/>
          <w:sz w:val="16"/>
          <w:szCs w:val="16"/>
        </w:rPr>
        <w:t>Начиная с 6 июня 1910 г. в течение пяти месяцев состоялось 15 полётов. С.И. Одинцову, А.Н. Срединскому и Н.А. Рынину по результатам полётов выдали дипломы пилотов-воздухоплавателей.</w:t>
      </w:r>
    </w:p>
    <w:p w14:paraId="7B054AD1" w14:textId="77777777" w:rsidR="00F22A85" w:rsidRPr="00DE096C" w:rsidRDefault="00F22A85" w:rsidP="00D45A46">
      <w:pPr>
        <w:jc w:val="both"/>
        <w:rPr>
          <w:bCs/>
          <w:color w:val="002060"/>
          <w:sz w:val="16"/>
          <w:szCs w:val="16"/>
        </w:rPr>
      </w:pPr>
      <w:r w:rsidRPr="00DE096C">
        <w:rPr>
          <w:bCs/>
          <w:color w:val="002060"/>
          <w:sz w:val="16"/>
          <w:szCs w:val="16"/>
        </w:rPr>
        <w:t>Как проходила подготовка пилота-воздухо</w:t>
      </w:r>
      <w:r w:rsidRPr="00DE096C">
        <w:rPr>
          <w:bCs/>
          <w:color w:val="002060"/>
          <w:sz w:val="16"/>
          <w:szCs w:val="16"/>
        </w:rPr>
        <w:softHyphen/>
        <w:t>плавателя ИВАК можно узнать из серии статей «В воздушном океане» известного деятеля отече</w:t>
      </w:r>
      <w:r w:rsidRPr="00DE096C">
        <w:rPr>
          <w:bCs/>
          <w:color w:val="002060"/>
          <w:sz w:val="16"/>
          <w:szCs w:val="16"/>
        </w:rPr>
        <w:softHyphen/>
        <w:t>ственной авиации преподавателя С.-Петербург</w:t>
      </w:r>
      <w:r w:rsidRPr="00DE096C">
        <w:rPr>
          <w:bCs/>
          <w:color w:val="002060"/>
          <w:sz w:val="16"/>
          <w:szCs w:val="16"/>
        </w:rPr>
        <w:softHyphen/>
        <w:t>ского института инженеров путей сообщения Николая Алексеевича Рынина. Считая, что для преподавания теории воздухоплавания и авиа</w:t>
      </w:r>
      <w:r w:rsidRPr="00DE096C">
        <w:rPr>
          <w:bCs/>
          <w:color w:val="002060"/>
          <w:sz w:val="16"/>
          <w:szCs w:val="16"/>
        </w:rPr>
        <w:softHyphen/>
        <w:t>ции необходимо самому уметь выполнять полё</w:t>
      </w:r>
      <w:r w:rsidRPr="00DE096C">
        <w:rPr>
          <w:bCs/>
          <w:color w:val="002060"/>
          <w:sz w:val="16"/>
          <w:szCs w:val="16"/>
        </w:rPr>
        <w:softHyphen/>
        <w:t>ты, он поставил себе целью освоить технику пи</w:t>
      </w:r>
      <w:r w:rsidRPr="00DE096C">
        <w:rPr>
          <w:bCs/>
          <w:color w:val="002060"/>
          <w:sz w:val="16"/>
          <w:szCs w:val="16"/>
        </w:rPr>
        <w:softHyphen/>
        <w:t>лотирования всех типов летательных аппаратов (20120).</w:t>
      </w:r>
    </w:p>
    <w:p w14:paraId="151436D4" w14:textId="77777777" w:rsidR="00F22A85" w:rsidRPr="00DE096C" w:rsidRDefault="00F22A85" w:rsidP="00D45A46">
      <w:pPr>
        <w:jc w:val="both"/>
        <w:rPr>
          <w:bCs/>
          <w:color w:val="002060"/>
          <w:sz w:val="16"/>
          <w:szCs w:val="16"/>
        </w:rPr>
      </w:pPr>
    </w:p>
    <w:p w14:paraId="43882314" w14:textId="77777777" w:rsidR="00F22A85" w:rsidRPr="00DE096C" w:rsidRDefault="00F22A85" w:rsidP="00D45A46">
      <w:pPr>
        <w:jc w:val="both"/>
        <w:rPr>
          <w:bCs/>
          <w:color w:val="002060"/>
          <w:sz w:val="16"/>
          <w:szCs w:val="16"/>
        </w:rPr>
      </w:pPr>
      <w:r w:rsidRPr="00DE096C">
        <w:rPr>
          <w:bCs/>
          <w:color w:val="002060"/>
          <w:sz w:val="16"/>
          <w:szCs w:val="16"/>
        </w:rPr>
        <w:t>В начале 1914 г. из членов ИВАК и посторонних лиц на полёты аэростатов записалось 17 человек. Интерес к спортивным полётам на аэростатах в ИВАК неуклонно падал. Это привело к тому, что отечественные рекорды, установленные на Все</w:t>
      </w:r>
      <w:r w:rsidRPr="00DE096C">
        <w:rPr>
          <w:bCs/>
          <w:color w:val="002060"/>
          <w:sz w:val="16"/>
          <w:szCs w:val="16"/>
        </w:rPr>
        <w:softHyphen/>
        <w:t>российском празднике воздухоплавания, были превзойдены только в советскую эпоху (20120).</w:t>
      </w:r>
    </w:p>
    <w:p w14:paraId="58B69BB8" w14:textId="77777777" w:rsidR="00F22A85" w:rsidRPr="00DE096C" w:rsidRDefault="00F22A85" w:rsidP="00D45A46">
      <w:pPr>
        <w:jc w:val="both"/>
        <w:rPr>
          <w:bCs/>
          <w:color w:val="002060"/>
          <w:sz w:val="16"/>
          <w:szCs w:val="16"/>
        </w:rPr>
      </w:pPr>
    </w:p>
    <w:p w14:paraId="11E538F2"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Морская авиация:</w:t>
      </w:r>
    </w:p>
    <w:p w14:paraId="21C654A3" w14:textId="77777777" w:rsidR="00B67D7C" w:rsidRPr="00DE096C" w:rsidRDefault="00B67D7C" w:rsidP="00D45A46">
      <w:pPr>
        <w:shd w:val="clear" w:color="auto" w:fill="FFFFFF"/>
        <w:jc w:val="both"/>
        <w:rPr>
          <w:bCs/>
          <w:i/>
          <w:color w:val="002060"/>
          <w:sz w:val="16"/>
          <w:szCs w:val="16"/>
        </w:rPr>
      </w:pPr>
    </w:p>
    <w:p w14:paraId="50A9B7F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начале 1914 г. на Черноморском флоте впервые были проведены эксперименты с размещением самолетов на кораблях (11107).</w:t>
      </w:r>
    </w:p>
    <w:p w14:paraId="1A02AABD" w14:textId="77777777" w:rsidR="00B67D7C" w:rsidRPr="00DE096C" w:rsidRDefault="00B67D7C" w:rsidP="00D45A46">
      <w:pPr>
        <w:shd w:val="clear" w:color="auto" w:fill="FFFFFF"/>
        <w:jc w:val="both"/>
        <w:rPr>
          <w:bCs/>
          <w:color w:val="002060"/>
          <w:sz w:val="16"/>
          <w:szCs w:val="16"/>
        </w:rPr>
      </w:pPr>
    </w:p>
    <w:p w14:paraId="735CD6BE" w14:textId="77777777" w:rsidR="00B67D7C" w:rsidRPr="00DE096C" w:rsidRDefault="00B67D7C" w:rsidP="00D45A46">
      <w:pPr>
        <w:jc w:val="both"/>
        <w:rPr>
          <w:bCs/>
          <w:color w:val="002060"/>
          <w:sz w:val="16"/>
          <w:szCs w:val="16"/>
        </w:rPr>
      </w:pPr>
      <w:r w:rsidRPr="00DE096C">
        <w:rPr>
          <w:bCs/>
          <w:color w:val="002060"/>
          <w:sz w:val="16"/>
          <w:szCs w:val="16"/>
        </w:rPr>
        <w:t>В начале 1914 года адмирал А.А. Эбергард поставил перед авиацией флота Черного моря задачи, значительно выходившие за рамки функций службы связи, чему есть подтверждение. «Главными боевыми задачами морской авиации Черноморского флота ставятся: 1. Разведка в море, опираясь на плавучую базу или береговую станцию. 2. Открытие минных заграждений и провод через них нашего флота. 3. Открытие неприятельских подводных лодок, указание их места нашему флоту и атака их бросанием бомб. 4. Атака неприятельских надводных судов бросанием бомб» (Российский государственный архив Военно-морского флота (РГА ВМФ). Ф. 609. Оп. 1. Д. 846. Л. 81.). Еще тогда, в самом начале 1914 года, адмирал А.А. Эбергард предопределил будущее развитие морской авиации в интересах Черноморского флота как создание в первую очередь авиации корабельного базирования, переоборудование ряда судов флота под плавучие базы авиации — авианесущие корабли и использование части черноморской авиации для обороны районов базирования — авиации прибрежного действия.</w:t>
      </w:r>
    </w:p>
    <w:p w14:paraId="4BA73F2B" w14:textId="77777777" w:rsidR="00B67D7C" w:rsidRPr="00DE096C" w:rsidRDefault="00B67D7C" w:rsidP="00D45A46">
      <w:pPr>
        <w:jc w:val="both"/>
        <w:rPr>
          <w:bCs/>
          <w:color w:val="002060"/>
          <w:sz w:val="16"/>
          <w:szCs w:val="16"/>
        </w:rPr>
      </w:pPr>
      <w:r w:rsidRPr="00DE096C">
        <w:rPr>
          <w:bCs/>
          <w:color w:val="002060"/>
          <w:sz w:val="16"/>
          <w:szCs w:val="16"/>
        </w:rPr>
        <w:t>С согласия адмирала увидел свет и один из первых документов, направленных в Морской генеральный штаб, в котором был поставлен вопрос о выделении черноморской авиации из службы связи флота. Его подготовил заведующий авиацией службы связи Черного моря лейтенант И.И. Стаховский. «В настоящее время, — говорилось в документе, — наша морская авиация совмещена со службою связи. Подобное ее положение было вполне рационально до тех пор, пока она, находясь в зачаточном состоянии, могла лишь выполнять задачи, возложенные на нее службою связи. Поэтому и нынешняя организация морской авиации главным образом предусматривает службу гидроаэропланов на береговых наблюдательных постах. Не умаляя важного значения подобного применения гидроаэропланов, нельзя, однако, забывать о том, что морская авиация, так же, как и всякие другие морские учреждения, должна иметь главной своей целью обслуживание боевого флота» (РГА ВМФ. Ф. 610. Оп. 1. Д. 117. Л. 5 об.).</w:t>
      </w:r>
    </w:p>
    <w:p w14:paraId="6A2F301B" w14:textId="77777777" w:rsidR="00B67D7C" w:rsidRPr="00DE096C" w:rsidRDefault="00B67D7C" w:rsidP="00D45A46">
      <w:pPr>
        <w:jc w:val="both"/>
        <w:rPr>
          <w:bCs/>
          <w:color w:val="002060"/>
          <w:sz w:val="16"/>
          <w:szCs w:val="16"/>
        </w:rPr>
      </w:pPr>
      <w:r w:rsidRPr="00DE096C">
        <w:rPr>
          <w:bCs/>
          <w:color w:val="002060"/>
          <w:sz w:val="16"/>
          <w:szCs w:val="16"/>
        </w:rPr>
        <w:t>Следовательно, еще перед войной адмирал Эбергард предвидел применение в недалеком будущем авиации не только для ведения воздушной разведки, а рассматривал ее как перспективное боевое средство флота. Именно по его указанию на флоте незадолго до начала Первой мировой войны проводились опыты по приданию аэропланам функций боевого летательного аппарата. С февраля 1914 года в Черном море велись опытные бомбометания с гидроаэропланов, которые дали вполне удовлетворительные результаты. Метание авиационных бомб с летательного аппарата с открытым сиденьем пилота и без прицела производились с высот до 600 м, а с прицельным приспособлением — с высоты 800 м (Там же. Ф. 418. Оп. 1. Д. 1924. Л. 3.). В то время на Балтике вопросами бомбометания не занимались вовсе (Там же. Д. 1934. Л. 4.).</w:t>
      </w:r>
    </w:p>
    <w:p w14:paraId="2F5573B2" w14:textId="77777777" w:rsidR="00B67D7C" w:rsidRPr="00DE096C" w:rsidRDefault="00B67D7C" w:rsidP="00D45A46">
      <w:pPr>
        <w:jc w:val="both"/>
        <w:rPr>
          <w:bCs/>
          <w:color w:val="002060"/>
          <w:sz w:val="16"/>
          <w:szCs w:val="16"/>
        </w:rPr>
      </w:pPr>
      <w:r w:rsidRPr="00DE096C">
        <w:rPr>
          <w:bCs/>
          <w:color w:val="002060"/>
          <w:sz w:val="16"/>
          <w:szCs w:val="16"/>
        </w:rPr>
        <w:t>В результате проводившихся на Черноморском флоте испытаний постепенно трансформировались взгляды на практическое применение морской авиации и у руководства российского Морского министерства. Адмирал А.А.Эбергард первым из флотских руководителей обозначил морской авиации не только обеспечивающие, но и ударные задачи. Подтверждением правильности выбранного им курса стали первые удачные боевые вылеты морской авиации Черного моря в кампании 1914 года (11177).</w:t>
      </w:r>
    </w:p>
    <w:p w14:paraId="7C443F1D" w14:textId="77777777" w:rsidR="00B67D7C" w:rsidRPr="00DE096C" w:rsidRDefault="00B67D7C" w:rsidP="00D45A46">
      <w:pPr>
        <w:shd w:val="clear" w:color="auto" w:fill="FFFFFF"/>
        <w:jc w:val="both"/>
        <w:rPr>
          <w:bCs/>
          <w:color w:val="002060"/>
          <w:sz w:val="16"/>
          <w:szCs w:val="16"/>
        </w:rPr>
      </w:pPr>
    </w:p>
    <w:p w14:paraId="21800602" w14:textId="77777777" w:rsidR="00537EDD" w:rsidRPr="00DE096C" w:rsidRDefault="00537EDD" w:rsidP="00D45A46">
      <w:pPr>
        <w:jc w:val="both"/>
        <w:rPr>
          <w:bCs/>
          <w:color w:val="002060"/>
          <w:sz w:val="16"/>
          <w:szCs w:val="16"/>
        </w:rPr>
      </w:pPr>
      <w:r w:rsidRPr="00DE096C">
        <w:rPr>
          <w:bCs/>
          <w:color w:val="002060"/>
          <w:sz w:val="16"/>
          <w:szCs w:val="16"/>
          <w:lang w:bidi="en-US"/>
        </w:rPr>
        <w:t>В начале 1914 года Балтийский флот разработал план создания военно-морской авиабазы 1-го класса в Дегере на Аландских островах и базы 2-го класса в Лапвике, к востоку от Ханго на финском побережье (23525).</w:t>
      </w:r>
    </w:p>
    <w:p w14:paraId="4773382B" w14:textId="77777777" w:rsidR="00537EDD" w:rsidRPr="00DE096C" w:rsidRDefault="00537EDD" w:rsidP="00D45A46">
      <w:pPr>
        <w:jc w:val="both"/>
        <w:rPr>
          <w:bCs/>
          <w:color w:val="002060"/>
          <w:sz w:val="16"/>
          <w:szCs w:val="16"/>
          <w:lang w:bidi="ru-RU"/>
        </w:rPr>
      </w:pPr>
    </w:p>
    <w:p w14:paraId="2A3EA15D" w14:textId="77777777" w:rsidR="00537EDD" w:rsidRPr="00DE096C" w:rsidRDefault="00537EDD" w:rsidP="00D45A46">
      <w:pPr>
        <w:jc w:val="both"/>
        <w:rPr>
          <w:bCs/>
          <w:color w:val="002060"/>
          <w:sz w:val="16"/>
          <w:szCs w:val="16"/>
        </w:rPr>
      </w:pPr>
      <w:r w:rsidRPr="00DE096C">
        <w:rPr>
          <w:bCs/>
          <w:color w:val="002060"/>
          <w:sz w:val="16"/>
          <w:szCs w:val="16"/>
        </w:rPr>
        <w:t>В начале 1914 года состоялись первые успешные опы</w:t>
      </w:r>
      <w:r w:rsidRPr="00DE096C">
        <w:rPr>
          <w:bCs/>
          <w:color w:val="002060"/>
          <w:sz w:val="16"/>
          <w:szCs w:val="16"/>
        </w:rPr>
        <w:softHyphen/>
        <w:t>ты по подъему «Кертисса» на палубу корабля и спуска</w:t>
      </w:r>
      <w:r w:rsidRPr="00DE096C">
        <w:rPr>
          <w:bCs/>
          <w:color w:val="002060"/>
          <w:sz w:val="16"/>
          <w:szCs w:val="16"/>
          <w:lang w:bidi="en-US"/>
        </w:rPr>
        <w:t xml:space="preserve"> </w:t>
      </w:r>
      <w:r w:rsidRPr="00DE096C">
        <w:rPr>
          <w:bCs/>
          <w:color w:val="002060"/>
          <w:sz w:val="16"/>
          <w:szCs w:val="16"/>
        </w:rPr>
        <w:t>его на воду. В качества авиаматки использовался крей</w:t>
      </w:r>
      <w:r w:rsidRPr="00DE096C">
        <w:rPr>
          <w:bCs/>
          <w:color w:val="002060"/>
          <w:sz w:val="16"/>
          <w:szCs w:val="16"/>
        </w:rPr>
        <w:softHyphen/>
        <w:t>сер «Кагул», спуск и подъем самолета осуществлялся с помощью стальной балки и лебедки. В этих эксперимен</w:t>
      </w:r>
      <w:r w:rsidRPr="00DE096C">
        <w:rPr>
          <w:bCs/>
          <w:color w:val="002060"/>
          <w:sz w:val="16"/>
          <w:szCs w:val="16"/>
        </w:rPr>
        <w:softHyphen/>
        <w:t>тах принимали участие пилоты Утгоф и фон Эссен.</w:t>
      </w:r>
    </w:p>
    <w:p w14:paraId="3FC13B29" w14:textId="77777777" w:rsidR="00537EDD" w:rsidRPr="00DE096C" w:rsidRDefault="00537EDD" w:rsidP="00D45A46">
      <w:pPr>
        <w:jc w:val="both"/>
        <w:rPr>
          <w:bCs/>
          <w:color w:val="002060"/>
          <w:sz w:val="16"/>
          <w:szCs w:val="16"/>
        </w:rPr>
      </w:pPr>
      <w:r w:rsidRPr="00DE096C">
        <w:rPr>
          <w:bCs/>
          <w:color w:val="002060"/>
          <w:sz w:val="16"/>
          <w:szCs w:val="16"/>
        </w:rPr>
        <w:t>Тогда же летчики начали тренироваться в сбросе бомб по надводным целям. Пудовая бомба подвешива</w:t>
      </w:r>
      <w:r w:rsidRPr="00DE096C">
        <w:rPr>
          <w:bCs/>
          <w:color w:val="002060"/>
          <w:sz w:val="16"/>
          <w:szCs w:val="16"/>
        </w:rPr>
        <w:softHyphen/>
        <w:t>лась под крылом самолета, момент сброса определялся «на глаз» (23545).</w:t>
      </w:r>
    </w:p>
    <w:p w14:paraId="73076D95" w14:textId="77777777" w:rsidR="00537EDD" w:rsidRPr="00DE096C" w:rsidRDefault="00537EDD" w:rsidP="00D45A46">
      <w:pPr>
        <w:jc w:val="both"/>
        <w:rPr>
          <w:bCs/>
          <w:color w:val="002060"/>
          <w:sz w:val="16"/>
          <w:szCs w:val="16"/>
          <w:lang w:bidi="en-US"/>
        </w:rPr>
      </w:pPr>
    </w:p>
    <w:p w14:paraId="6078A931" w14:textId="77777777" w:rsidR="00B67D7C" w:rsidRPr="00DE096C" w:rsidRDefault="00B67D7C" w:rsidP="00D45A46">
      <w:pPr>
        <w:jc w:val="both"/>
        <w:rPr>
          <w:bCs/>
          <w:i/>
          <w:color w:val="002060"/>
          <w:sz w:val="16"/>
          <w:szCs w:val="16"/>
        </w:rPr>
      </w:pPr>
      <w:r w:rsidRPr="00DE096C">
        <w:rPr>
          <w:bCs/>
          <w:i/>
          <w:color w:val="002060"/>
          <w:sz w:val="16"/>
          <w:szCs w:val="16"/>
        </w:rPr>
        <w:t>Авиация и воздухоплавание Франции:</w:t>
      </w:r>
    </w:p>
    <w:p w14:paraId="0FFF94FF" w14:textId="77777777" w:rsidR="00B67D7C" w:rsidRPr="00DE096C" w:rsidRDefault="00B67D7C" w:rsidP="00D45A46">
      <w:pPr>
        <w:jc w:val="both"/>
        <w:rPr>
          <w:bCs/>
          <w:i/>
          <w:color w:val="002060"/>
          <w:sz w:val="16"/>
          <w:szCs w:val="16"/>
        </w:rPr>
      </w:pPr>
    </w:p>
    <w:p w14:paraId="7BB114EB" w14:textId="77777777" w:rsidR="0005651E" w:rsidRPr="00B52707" w:rsidRDefault="0005651E" w:rsidP="0005651E">
      <w:pPr>
        <w:jc w:val="both"/>
        <w:rPr>
          <w:color w:val="0070C0"/>
          <w:sz w:val="16"/>
          <w:szCs w:val="16"/>
        </w:rPr>
      </w:pPr>
      <w:r w:rsidRPr="00B52707">
        <w:rPr>
          <w:color w:val="0070C0"/>
          <w:sz w:val="16"/>
          <w:szCs w:val="16"/>
        </w:rPr>
        <w:t>В самом начале 1914 г. на заводе в Бийанкуре пошла в серию очередная модель Анри Фармана – H.F.XX, которая отличалась от своего прототипа H.F.XVI лишь более рациональным каркасом: из него убрали некоторые детали, не выполнявшие своих функций, какие-то силовые элементы облегчили, а недостаточно прочные наоборот усилили. «Двадцатка» уже не являлась простой модификацией «номера шестнадцатого», однако и нового ничего в развитие своей «линейки типов» не привнесла. Для собственного, швейцарского, греческого и российского военных министерств их сделали буквально по нескольку штук, поскольку уже в первой половине 1914 г. появилась усовершенствованная модель H.F.XXI, но и она продержалась в производстве недолго – весной облетали первый H.F.XXII.</w:t>
      </w:r>
    </w:p>
    <w:p w14:paraId="537C744E" w14:textId="77777777" w:rsidR="0005651E" w:rsidRPr="00B52707" w:rsidRDefault="0005651E" w:rsidP="0005651E">
      <w:pPr>
        <w:jc w:val="both"/>
        <w:rPr>
          <w:color w:val="0070C0"/>
          <w:sz w:val="16"/>
          <w:szCs w:val="16"/>
        </w:rPr>
      </w:pPr>
      <w:r w:rsidRPr="00B52707">
        <w:rPr>
          <w:color w:val="0070C0"/>
          <w:sz w:val="16"/>
          <w:szCs w:val="16"/>
        </w:rPr>
        <w:t>Важнейшими отличиями этого аэроплана стали крыло увеличенного размаха, удлиненная хвостовая ферма и новое шасси – вечно ломавшиеся деревянные N-образные стойки заменили U-образными гнутыми из стальных труб на сварке, а снижавшие скорость и высоту полета тяжелые противокапотажные лыжи, которые все равно не спасали неумелого пилота и только мешали опытному, сняли. Гондола экипажа наконец-то получила простейшие приспособления для аэрофотосъемки и бомбометания. Именно этот самолет пошел в большую серию и для французской авиации, и на экспорт.</w:t>
      </w:r>
    </w:p>
    <w:p w14:paraId="6886B4C4" w14:textId="77777777" w:rsidR="0005651E" w:rsidRPr="00B52707" w:rsidRDefault="0005651E" w:rsidP="0005651E">
      <w:pPr>
        <w:jc w:val="both"/>
        <w:rPr>
          <w:color w:val="0070C0"/>
          <w:sz w:val="16"/>
          <w:szCs w:val="16"/>
        </w:rPr>
      </w:pPr>
      <w:r w:rsidRPr="00B52707">
        <w:rPr>
          <w:color w:val="0070C0"/>
          <w:sz w:val="16"/>
          <w:szCs w:val="16"/>
        </w:rPr>
        <w:t>В России всех три модели строили по лицензии заводы «Первого Российского Товарищества Воздухоплавания» в Санкт-Петербурге и «Анатра» в Одессе под обозначением Ф-20, Ф-21 и Ф-22, причем остановленное после выполнения первого заказа производство Ф-22 с началом войны пришлось возобновить. Оно шло до 1917 г., а затем уже при советской власти его опять начали в 1921 г. на бывшем заводе «Анатра», переименованном в ГАЗ-11. Таким образом, по 1922 г. в нашей стране сделали более 200 таких машин.</w:t>
      </w:r>
    </w:p>
    <w:p w14:paraId="12D1BAA4" w14:textId="77777777" w:rsidR="0005651E" w:rsidRPr="00B52707" w:rsidRDefault="0005651E" w:rsidP="0005651E">
      <w:pPr>
        <w:jc w:val="both"/>
        <w:rPr>
          <w:color w:val="0070C0"/>
          <w:sz w:val="16"/>
          <w:szCs w:val="16"/>
        </w:rPr>
      </w:pPr>
      <w:r w:rsidRPr="00B52707">
        <w:rPr>
          <w:color w:val="0070C0"/>
          <w:sz w:val="16"/>
          <w:szCs w:val="16"/>
        </w:rPr>
        <w:t>Самолеты этих типов комплектовались маломощными ротативными моторами Гном «Лямбда» или Рон 9С мощностью 80 л.с. и поскольку они получились ничуть не легче модели H.F.XVI, преимуществ в летных данных за исключением дальности и продолжительности полета не получили. Но часть машин с индексом “bis” имела 100-сильные «Моносупапы» и хотя они весили больше, скорость выросла на 27-28 км/ч, а скороподъемность – вдвое. Их модификация с поплавковым шасси именовалась H.F.XXII.H (25650).</w:t>
      </w:r>
    </w:p>
    <w:p w14:paraId="12F1ED96" w14:textId="77777777" w:rsidR="0005651E" w:rsidRPr="00B52707" w:rsidRDefault="0005651E" w:rsidP="0005651E">
      <w:pPr>
        <w:jc w:val="both"/>
        <w:rPr>
          <w:color w:val="0070C0"/>
          <w:sz w:val="16"/>
          <w:szCs w:val="16"/>
        </w:rPr>
      </w:pPr>
    </w:p>
    <w:p w14:paraId="66345C52" w14:textId="77777777" w:rsidR="0005651E" w:rsidRPr="00B52707" w:rsidRDefault="0005651E" w:rsidP="0005651E">
      <w:pPr>
        <w:jc w:val="both"/>
        <w:rPr>
          <w:color w:val="0070C0"/>
          <w:sz w:val="16"/>
          <w:szCs w:val="16"/>
        </w:rPr>
      </w:pPr>
      <w:r w:rsidRPr="00B52707">
        <w:rPr>
          <w:color w:val="0070C0"/>
          <w:sz w:val="16"/>
          <w:szCs w:val="16"/>
        </w:rPr>
        <w:t>В начале 1914 г. Моран заключает контракт с немецким самолетостроительным заводом «Пфальц», передавая ему производственную лицензию, чертежи и летный образец самолета Тип L«Парасоль». Пройдет всего несколько месяцев, и с построенными по французским чертежам аэропланами Пфальц A I французские пилоты встретятся в воздушных боях (25650).</w:t>
      </w:r>
    </w:p>
    <w:p w14:paraId="01C6A4E9" w14:textId="77777777" w:rsidR="0005651E" w:rsidRPr="00B52707" w:rsidRDefault="0005651E" w:rsidP="0005651E">
      <w:pPr>
        <w:jc w:val="both"/>
        <w:rPr>
          <w:color w:val="0070C0"/>
          <w:sz w:val="16"/>
          <w:szCs w:val="16"/>
        </w:rPr>
      </w:pPr>
    </w:p>
    <w:p w14:paraId="3CB1406F" w14:textId="77777777" w:rsidR="0005651E" w:rsidRPr="00B52707" w:rsidRDefault="0005651E" w:rsidP="0005651E">
      <w:pPr>
        <w:jc w:val="both"/>
        <w:rPr>
          <w:color w:val="0070C0"/>
          <w:sz w:val="16"/>
          <w:szCs w:val="16"/>
        </w:rPr>
      </w:pPr>
      <w:r w:rsidRPr="00B52707">
        <w:rPr>
          <w:color w:val="0070C0"/>
          <w:sz w:val="16"/>
          <w:szCs w:val="16"/>
        </w:rPr>
        <w:lastRenderedPageBreak/>
        <w:t>В начале 1914 года Франция имела в строю 600 самолётов и 300 военных лётчиков». Фон Гёпнер писал свои мемуары по свежей памяти сразу после окончания Империалистической мировой войны на основании документов немецкого Генштаба, а не фантазировал – как видим, хвалёная немецкая разведка сильно ошибалась. Не менее преувеличивала она и достижения французских авиаконструкторов – летные качества аэропланов, поступавших в строевые части, обычно далеко недотягивали до рекордных показателей, которые всячески рекламировались их производителями (25650).</w:t>
      </w:r>
    </w:p>
    <w:p w14:paraId="7701A83B" w14:textId="77777777" w:rsidR="0005651E" w:rsidRPr="00B52707" w:rsidRDefault="0005651E" w:rsidP="0005651E">
      <w:pPr>
        <w:jc w:val="both"/>
        <w:rPr>
          <w:color w:val="0070C0"/>
          <w:sz w:val="16"/>
          <w:szCs w:val="16"/>
        </w:rPr>
      </w:pPr>
    </w:p>
    <w:p w14:paraId="5B03A618" w14:textId="654C1CE5" w:rsidR="00B67D7C" w:rsidRPr="00DE096C" w:rsidRDefault="00B67D7C" w:rsidP="00D45A46">
      <w:pPr>
        <w:jc w:val="both"/>
        <w:rPr>
          <w:bCs/>
          <w:color w:val="002060"/>
          <w:sz w:val="16"/>
          <w:szCs w:val="16"/>
        </w:rPr>
      </w:pPr>
      <w:r w:rsidRPr="00DE096C">
        <w:rPr>
          <w:bCs/>
          <w:color w:val="002060"/>
          <w:sz w:val="16"/>
          <w:szCs w:val="16"/>
        </w:rPr>
        <w:t>В начале 1914 года Франция имела в строю 600 самолетов и 300 военных летчиков. Деятельное участие многочисленных авиационных отрядов в маневрах, начиная с 1911 года, и в особенности большое количество корректировок артиллерийских стрельб, проведенных с самолетов, дали возможность накопить в этом отношении богатый опыт, нашедший незамедлительное отражение в инструкциях и наставлениях. Неожиданный успех в применении самолетов для отыскания замаскированных неприятельских батарей, о чем поначалу даже не помышляли, привел к полному перевороту в тактике французской артиллерии (11282).</w:t>
      </w:r>
    </w:p>
    <w:p w14:paraId="3607CE0C" w14:textId="77777777" w:rsidR="00B67D7C" w:rsidRPr="00DE096C" w:rsidRDefault="00B67D7C" w:rsidP="00D45A46">
      <w:pPr>
        <w:jc w:val="both"/>
        <w:rPr>
          <w:bCs/>
          <w:color w:val="002060"/>
          <w:sz w:val="16"/>
          <w:szCs w:val="16"/>
        </w:rPr>
      </w:pPr>
    </w:p>
    <w:p w14:paraId="64786857" w14:textId="497F2393" w:rsidR="00B67D7C" w:rsidRPr="00DE096C" w:rsidRDefault="00B67D7C" w:rsidP="00D45A46">
      <w:pPr>
        <w:jc w:val="both"/>
        <w:rPr>
          <w:bCs/>
          <w:i/>
          <w:color w:val="002060"/>
          <w:sz w:val="16"/>
          <w:szCs w:val="16"/>
        </w:rPr>
      </w:pPr>
      <w:r w:rsidRPr="00DE096C">
        <w:rPr>
          <w:bCs/>
          <w:i/>
          <w:color w:val="002060"/>
          <w:sz w:val="16"/>
          <w:szCs w:val="16"/>
        </w:rPr>
        <w:t xml:space="preserve">Авиация и воздухоплавание </w:t>
      </w:r>
      <w:r w:rsidR="00537EDD" w:rsidRPr="00DE096C">
        <w:rPr>
          <w:bCs/>
          <w:i/>
          <w:color w:val="002060"/>
          <w:sz w:val="16"/>
          <w:szCs w:val="16"/>
        </w:rPr>
        <w:t>Германии</w:t>
      </w:r>
      <w:r w:rsidRPr="00DE096C">
        <w:rPr>
          <w:bCs/>
          <w:i/>
          <w:color w:val="002060"/>
          <w:sz w:val="16"/>
          <w:szCs w:val="16"/>
        </w:rPr>
        <w:t>:</w:t>
      </w:r>
    </w:p>
    <w:p w14:paraId="7A47C478" w14:textId="77777777" w:rsidR="00B67D7C" w:rsidRPr="00DE096C" w:rsidRDefault="00B67D7C" w:rsidP="00D45A46">
      <w:pPr>
        <w:jc w:val="both"/>
        <w:rPr>
          <w:bCs/>
          <w:i/>
          <w:color w:val="002060"/>
          <w:sz w:val="16"/>
          <w:szCs w:val="16"/>
        </w:rPr>
      </w:pPr>
    </w:p>
    <w:p w14:paraId="496BA4DA" w14:textId="77777777" w:rsidR="00537EDD" w:rsidRPr="00DE096C" w:rsidRDefault="00537EDD" w:rsidP="00D45A46">
      <w:pPr>
        <w:jc w:val="both"/>
        <w:rPr>
          <w:bCs/>
          <w:color w:val="002060"/>
          <w:sz w:val="16"/>
          <w:szCs w:val="16"/>
        </w:rPr>
      </w:pPr>
      <w:r w:rsidRPr="00DE096C">
        <w:rPr>
          <w:bCs/>
          <w:color w:val="002060"/>
          <w:sz w:val="16"/>
          <w:szCs w:val="16"/>
          <w:lang w:bidi="ru-RU"/>
        </w:rPr>
        <w:t>В начале 1914 г. под руководством немецкого конструктора Эрнста Хейнкеля был сконструирован двухместный невоору</w:t>
      </w:r>
      <w:r w:rsidRPr="00DE096C">
        <w:rPr>
          <w:bCs/>
          <w:color w:val="002060"/>
          <w:sz w:val="16"/>
          <w:szCs w:val="16"/>
          <w:lang w:bidi="ru-RU"/>
        </w:rPr>
        <w:softHyphen/>
        <w:t xml:space="preserve">женный биплан «Альбатрос Б.1» </w:t>
      </w:r>
      <w:r w:rsidRPr="00DE096C">
        <w:rPr>
          <w:bCs/>
          <w:color w:val="002060"/>
          <w:sz w:val="16"/>
          <w:szCs w:val="16"/>
          <w:lang w:bidi="en-US"/>
        </w:rPr>
        <w:t>(</w:t>
      </w:r>
      <w:r w:rsidRPr="00DE096C">
        <w:rPr>
          <w:bCs/>
          <w:color w:val="002060"/>
          <w:sz w:val="16"/>
          <w:szCs w:val="16"/>
          <w:lang w:val="en-US" w:bidi="en-US"/>
        </w:rPr>
        <w:t>Albatros</w:t>
      </w:r>
      <w:r w:rsidRPr="00DE096C">
        <w:rPr>
          <w:bCs/>
          <w:color w:val="002060"/>
          <w:sz w:val="16"/>
          <w:szCs w:val="16"/>
          <w:lang w:bidi="en-US"/>
        </w:rPr>
        <w:t xml:space="preserve"> </w:t>
      </w:r>
      <w:r w:rsidRPr="00DE096C">
        <w:rPr>
          <w:bCs/>
          <w:color w:val="002060"/>
          <w:sz w:val="16"/>
          <w:szCs w:val="16"/>
          <w:lang w:bidi="ru-RU"/>
        </w:rPr>
        <w:t>В.1), который с успехом использовался в начальный период войны. Следом за трехстоечным Б.1 появляется двухстоечный вариант Б.И, в ходе дальнейшего совершенствования превратившийся в разведчик и бомбарди</w:t>
      </w:r>
      <w:r w:rsidRPr="00DE096C">
        <w:rPr>
          <w:bCs/>
          <w:color w:val="002060"/>
          <w:sz w:val="16"/>
          <w:szCs w:val="16"/>
          <w:lang w:bidi="ru-RU"/>
        </w:rPr>
        <w:softHyphen/>
        <w:t>ровщик «Альбатрос Ц» (23374).</w:t>
      </w:r>
    </w:p>
    <w:p w14:paraId="41A01D88" w14:textId="77777777" w:rsidR="00537EDD" w:rsidRPr="00DE096C" w:rsidRDefault="00537EDD" w:rsidP="00D45A46">
      <w:pPr>
        <w:jc w:val="both"/>
        <w:rPr>
          <w:bCs/>
          <w:color w:val="002060"/>
          <w:sz w:val="16"/>
          <w:szCs w:val="16"/>
          <w:lang w:bidi="ru-RU"/>
        </w:rPr>
      </w:pPr>
    </w:p>
    <w:p w14:paraId="5907A613" w14:textId="77777777" w:rsidR="002D4795" w:rsidRPr="00B52707" w:rsidRDefault="002D4795" w:rsidP="002D4795">
      <w:pPr>
        <w:jc w:val="both"/>
        <w:rPr>
          <w:color w:val="0070C0"/>
          <w:sz w:val="16"/>
          <w:szCs w:val="16"/>
        </w:rPr>
      </w:pPr>
      <w:r w:rsidRPr="00B52707">
        <w:rPr>
          <w:color w:val="0070C0"/>
          <w:sz w:val="16"/>
          <w:szCs w:val="16"/>
        </w:rPr>
        <w:t>В начале 1914 г. один из Р-14 фирмы «Авиатик» улетел в экспедицию в Германскую Юго-Западную Африку (ныне Намибия) и 19 мая пилот Вилли Трюк добрался до селения Карибиб в центральной части колонии, став первым покорителем небес в тех далеких краях. Правда, большую часть пути до Черного континента и дальше вглубь него пока проделали не по воздуху.</w:t>
      </w:r>
    </w:p>
    <w:p w14:paraId="157B0384" w14:textId="77777777" w:rsidR="002D4795" w:rsidRPr="00B52707" w:rsidRDefault="002D4795" w:rsidP="002D4795">
      <w:pPr>
        <w:jc w:val="both"/>
        <w:rPr>
          <w:color w:val="0070C0"/>
          <w:sz w:val="16"/>
          <w:szCs w:val="16"/>
        </w:rPr>
      </w:pPr>
      <w:r w:rsidRPr="00B52707">
        <w:rPr>
          <w:color w:val="0070C0"/>
          <w:sz w:val="16"/>
          <w:szCs w:val="16"/>
        </w:rPr>
        <w:t>Заказ от своего Военного министерства и успех на Венском авиационном празднике в июне 1914 г. возбудил интерес к продукции фирмы и у иностранцев: 25 самолетов Р.14 купила Австро-Венгрия, а фирма «Вайзер унд Зонн» предложила открыть в Вене филиал «Австро-Венгерский авиазавод Авиатик» специально для выпуска этого самолета. Несколько Р.14 приобрела Бельгия, один – Швейцария, дюжину заказала Болгария. (25724).</w:t>
      </w:r>
    </w:p>
    <w:p w14:paraId="2B42A5E9" w14:textId="77777777" w:rsidR="002D4795" w:rsidRPr="00B52707" w:rsidRDefault="002D4795" w:rsidP="002D4795">
      <w:pPr>
        <w:jc w:val="both"/>
        <w:rPr>
          <w:color w:val="0070C0"/>
          <w:sz w:val="16"/>
          <w:szCs w:val="16"/>
        </w:rPr>
      </w:pPr>
    </w:p>
    <w:p w14:paraId="3417BEAB" w14:textId="77777777" w:rsidR="00537EDD" w:rsidRPr="00DE096C" w:rsidRDefault="00537EDD" w:rsidP="00D45A46">
      <w:pPr>
        <w:jc w:val="both"/>
        <w:rPr>
          <w:bCs/>
          <w:i/>
          <w:color w:val="002060"/>
          <w:sz w:val="16"/>
          <w:szCs w:val="16"/>
        </w:rPr>
      </w:pPr>
      <w:r w:rsidRPr="00DE096C">
        <w:rPr>
          <w:bCs/>
          <w:i/>
          <w:color w:val="002060"/>
          <w:sz w:val="16"/>
          <w:szCs w:val="16"/>
        </w:rPr>
        <w:t>Авиация и воздухоплавание Англии:</w:t>
      </w:r>
    </w:p>
    <w:p w14:paraId="0DFA6DFB" w14:textId="77777777" w:rsidR="00537EDD" w:rsidRPr="00DE096C" w:rsidRDefault="00537EDD" w:rsidP="00D45A46">
      <w:pPr>
        <w:jc w:val="both"/>
        <w:rPr>
          <w:bCs/>
          <w:i/>
          <w:color w:val="002060"/>
          <w:sz w:val="16"/>
          <w:szCs w:val="16"/>
        </w:rPr>
      </w:pPr>
    </w:p>
    <w:p w14:paraId="2E491AE4" w14:textId="5AA82BAD" w:rsidR="00B67D7C" w:rsidRPr="00DE096C" w:rsidRDefault="00B67D7C" w:rsidP="00D45A46">
      <w:pPr>
        <w:jc w:val="both"/>
        <w:rPr>
          <w:bCs/>
          <w:color w:val="002060"/>
          <w:sz w:val="16"/>
          <w:szCs w:val="16"/>
        </w:rPr>
      </w:pPr>
      <w:r w:rsidRPr="00DE096C">
        <w:rPr>
          <w:bCs/>
          <w:color w:val="002060"/>
          <w:sz w:val="16"/>
          <w:szCs w:val="16"/>
        </w:rPr>
        <w:t xml:space="preserve">В начале 1914 года, после перевода дирижаблей, оборудования и персонала из Королевского летного корпуса, британская морская авиация имела в своем составе 7 дирижаблей разнообразных конструкций. Среди них находился и один нежесткий «Парсеваль». В Италии был заказан полужесткий «Форланини». Завод для изготовления дирижаблей (Королевский воздухоплавательный завод) был построен в Кардингтоне. Для ведения боевых действий предназначались «Парсеваль», «Астра-Торрес» и «Бета», остальные использовались для учебных целей. Весь личный состав состоял в то время из 198 человек, включая 24 офицера (11324). </w:t>
      </w:r>
    </w:p>
    <w:p w14:paraId="45997ADD" w14:textId="77777777" w:rsidR="00B67D7C" w:rsidRPr="00DE096C" w:rsidRDefault="00B67D7C" w:rsidP="00D45A46">
      <w:pPr>
        <w:shd w:val="clear" w:color="auto" w:fill="FFFFFF"/>
        <w:jc w:val="both"/>
        <w:rPr>
          <w:bCs/>
          <w:i/>
          <w:color w:val="002060"/>
          <w:sz w:val="16"/>
          <w:szCs w:val="16"/>
        </w:rPr>
      </w:pPr>
    </w:p>
    <w:p w14:paraId="26273920" w14:textId="77777777" w:rsidR="00F22A85" w:rsidRPr="00DE096C" w:rsidRDefault="00F22A85" w:rsidP="00D45A46">
      <w:pPr>
        <w:jc w:val="both"/>
        <w:rPr>
          <w:bCs/>
          <w:color w:val="002060"/>
          <w:sz w:val="16"/>
          <w:szCs w:val="16"/>
        </w:rPr>
      </w:pPr>
      <w:r w:rsidRPr="00DE096C">
        <w:rPr>
          <w:bCs/>
          <w:color w:val="002060"/>
          <w:sz w:val="16"/>
          <w:szCs w:val="16"/>
        </w:rPr>
        <w:t>В начале 1914 г. был построен Головной самолет серии, но приемка машин началась только весной, а сдача в 7-ю эскадрилью RFC — летом. Вся первая партия из шести аппаратов была закончена к 26 июня 1914 г.</w:t>
      </w:r>
    </w:p>
    <w:p w14:paraId="49C7524C" w14:textId="77777777" w:rsidR="00F22A85" w:rsidRPr="00DE096C" w:rsidRDefault="00F22A85" w:rsidP="00D45A46">
      <w:pPr>
        <w:jc w:val="both"/>
        <w:rPr>
          <w:bCs/>
          <w:color w:val="002060"/>
          <w:sz w:val="16"/>
          <w:szCs w:val="16"/>
        </w:rPr>
      </w:pPr>
      <w:r w:rsidRPr="00DE096C">
        <w:rPr>
          <w:bCs/>
          <w:color w:val="002060"/>
          <w:sz w:val="16"/>
          <w:szCs w:val="16"/>
        </w:rPr>
        <w:t>Уже первый серийный «Сопвич Таблоид» получил новый капот мотора, вырез в верхнем центроплане для обзора вперед и вверх. Наконец, к цельноповоротному рулю направления добавили неподвижный киль. На строящихся первых шести машинах доработки продолжались, и самой главной был вынос вперед верхнего крыла, что потребовало поставить наклонно параллельно стойкам бипланной коробки и первые рамы фермы фюзеляжа (22734).</w:t>
      </w:r>
    </w:p>
    <w:p w14:paraId="7EAD06FF" w14:textId="77777777" w:rsidR="00F22A85" w:rsidRPr="00DE096C" w:rsidRDefault="00F22A85" w:rsidP="00D45A46">
      <w:pPr>
        <w:jc w:val="both"/>
        <w:rPr>
          <w:bCs/>
          <w:color w:val="002060"/>
          <w:sz w:val="16"/>
          <w:szCs w:val="16"/>
        </w:rPr>
      </w:pPr>
    </w:p>
    <w:p w14:paraId="4EF25939" w14:textId="77777777" w:rsidR="00F22A85" w:rsidRPr="00DE096C" w:rsidRDefault="00F22A85" w:rsidP="00D45A46">
      <w:pPr>
        <w:jc w:val="both"/>
        <w:rPr>
          <w:bCs/>
          <w:color w:val="002060"/>
          <w:sz w:val="16"/>
          <w:szCs w:val="16"/>
        </w:rPr>
      </w:pPr>
      <w:r w:rsidRPr="00DE096C">
        <w:rPr>
          <w:bCs/>
          <w:color w:val="002060"/>
          <w:sz w:val="16"/>
          <w:szCs w:val="16"/>
        </w:rPr>
        <w:t>В начале 1914 г. конструктору Арчибальду Лоу поручили переделать один из построенных экземпляров в усовершенствованный E.F.B.5 и, не дожидаясь облета, летом 1914 г. заложили серию из 50 таких машин на заводе в Крейфорде. От опытного, помимо отсутствия в индексе литеры «Е», они отличались лишь гондолой экипажа и оперением, потому строились быстро. Головной облетали 14 июля, за две недели до начала войны, но первый заказ Адмиралтейство выдало только 14 августа, а Военное министерство Великобритании, по одним данным, одновременно с Адмиралтейством, а по другим — лишь 19 сентября (22757).</w:t>
      </w:r>
    </w:p>
    <w:p w14:paraId="4255D1D3" w14:textId="77777777" w:rsidR="00F22A85" w:rsidRPr="00DE096C" w:rsidRDefault="00F22A85" w:rsidP="00D45A46">
      <w:pPr>
        <w:jc w:val="both"/>
        <w:rPr>
          <w:bCs/>
          <w:color w:val="002060"/>
          <w:sz w:val="16"/>
          <w:szCs w:val="16"/>
        </w:rPr>
      </w:pPr>
    </w:p>
    <w:p w14:paraId="715F57A0" w14:textId="24FB8E0F" w:rsidR="00F22A85" w:rsidRPr="00DE096C" w:rsidRDefault="00F22A85" w:rsidP="00D45A46">
      <w:pPr>
        <w:jc w:val="both"/>
        <w:rPr>
          <w:bCs/>
          <w:color w:val="002060"/>
          <w:sz w:val="16"/>
          <w:szCs w:val="16"/>
        </w:rPr>
      </w:pPr>
      <w:r w:rsidRPr="00DE096C">
        <w:rPr>
          <w:bCs/>
          <w:color w:val="002060"/>
          <w:sz w:val="16"/>
          <w:szCs w:val="16"/>
        </w:rPr>
        <w:t>В начале 1914 г. на фирме «Мартинсайд» (Martin-Handasyde Limited) был задуман спортивный самолет по типу только что появившегося биплана Сопвич «Таблоид» (первый полет – 27.11.13 г.), но в одноместной компоновке с уменьшенными размерами для повышения летных данных – прежде всего, скорости для участия в гонках – будущий S.1 «Скаут». Самолет был спроектирован под руководством Г. Мартина (H.P. Martin), который выполнил основную часть инженерной работы.</w:t>
      </w:r>
      <w:r w:rsidR="0006581C">
        <w:rPr>
          <w:bCs/>
          <w:color w:val="002060"/>
          <w:sz w:val="16"/>
          <w:szCs w:val="16"/>
        </w:rPr>
        <w:t xml:space="preserve"> </w:t>
      </w:r>
      <w:r w:rsidRPr="00DE096C">
        <w:rPr>
          <w:bCs/>
          <w:color w:val="002060"/>
          <w:sz w:val="16"/>
          <w:szCs w:val="16"/>
        </w:rPr>
        <w:t xml:space="preserve"> Но уже на стадии проектирования рассматривалось его военное применение, и руководство фирмы предлагало его Военному министерству и Адмиралтейству.</w:t>
      </w:r>
    </w:p>
    <w:p w14:paraId="71B19C5E" w14:textId="77777777" w:rsidR="00F22A85" w:rsidRPr="00DE096C" w:rsidRDefault="00F22A85" w:rsidP="00D45A46">
      <w:pPr>
        <w:jc w:val="both"/>
        <w:rPr>
          <w:bCs/>
          <w:color w:val="002060"/>
          <w:sz w:val="16"/>
          <w:szCs w:val="16"/>
        </w:rPr>
      </w:pPr>
      <w:r w:rsidRPr="00DE096C">
        <w:rPr>
          <w:bCs/>
          <w:color w:val="002060"/>
          <w:sz w:val="16"/>
          <w:szCs w:val="16"/>
        </w:rPr>
        <w:t>По его требованию самолет должен быть двухместным и иметь экипаж в составе пилота и летчика-наблюдателя, но был сделан с одноместной кабиной, оставаясь несколько крупнее и тяжелее «Таблоида». С другой стороны, новая конструкция стала гораздо прогрессивнее прототипа в части системы управления, получив элероны (на самолете «Таблоид» в том виде, в котором в то время он существовал, применялось перекашивание задних кромок крыла – «гоширование»), а оперение было разделено на неподвижные стабилизатор и киль и подвижные рули высоты и направления, что значительно улучшало пилотажные качества самолета (23099).</w:t>
      </w:r>
    </w:p>
    <w:p w14:paraId="45C8BD1B" w14:textId="77777777" w:rsidR="00F22A85" w:rsidRPr="00DE096C" w:rsidRDefault="00F22A85" w:rsidP="00D45A46">
      <w:pPr>
        <w:jc w:val="both"/>
        <w:rPr>
          <w:bCs/>
          <w:color w:val="002060"/>
          <w:sz w:val="16"/>
          <w:szCs w:val="16"/>
        </w:rPr>
      </w:pPr>
    </w:p>
    <w:p w14:paraId="2C0B488D" w14:textId="77777777" w:rsidR="00B67D7C" w:rsidRPr="00DE096C" w:rsidRDefault="00B67D7C" w:rsidP="00D45A46">
      <w:pPr>
        <w:jc w:val="both"/>
        <w:rPr>
          <w:bCs/>
          <w:i/>
          <w:color w:val="002060"/>
          <w:sz w:val="16"/>
          <w:szCs w:val="16"/>
        </w:rPr>
      </w:pPr>
      <w:r w:rsidRPr="00DE096C">
        <w:rPr>
          <w:bCs/>
          <w:i/>
          <w:color w:val="002060"/>
          <w:sz w:val="16"/>
          <w:szCs w:val="16"/>
        </w:rPr>
        <w:t>Авиация и воздухоплавание за рубежом:</w:t>
      </w:r>
    </w:p>
    <w:p w14:paraId="47EB2203" w14:textId="77777777" w:rsidR="00B67D7C" w:rsidRPr="00DE096C" w:rsidRDefault="00B67D7C" w:rsidP="00D45A46">
      <w:pPr>
        <w:jc w:val="both"/>
        <w:rPr>
          <w:bCs/>
          <w:i/>
          <w:color w:val="002060"/>
          <w:sz w:val="16"/>
          <w:szCs w:val="16"/>
        </w:rPr>
      </w:pPr>
    </w:p>
    <w:p w14:paraId="087499D0" w14:textId="77777777" w:rsidR="00C37234" w:rsidRPr="00DE096C" w:rsidRDefault="00C37234"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В начале 1914 года Франция располагала 141 самолетом, Великобритания - 113, Россия -145, Бельгия - 23, а Германия и Австро-Венгрия - 268. Франция на 2 августа 1914 года располагала 500 подготовленными пилотами, то есть небо над полем боя было еще пустынным. Редкие самолеты враждующих сторон если и встречались, то на приличном расстоянии друг от друга. Очевидно, такое положение дел долго сохраняться не могло. Противника следовало уничтожать и в воздухе (11262).</w:t>
      </w:r>
    </w:p>
    <w:p w14:paraId="7C3D6713" w14:textId="77777777" w:rsidR="00C37234" w:rsidRPr="00DE096C" w:rsidRDefault="00C37234" w:rsidP="00D45A46">
      <w:pPr>
        <w:pStyle w:val="a3"/>
        <w:jc w:val="both"/>
        <w:rPr>
          <w:bCs/>
          <w:i w:val="0"/>
          <w:color w:val="002060"/>
          <w:spacing w:val="0"/>
          <w:kern w:val="0"/>
          <w:position w:val="0"/>
          <w:sz w:val="16"/>
          <w:szCs w:val="16"/>
        </w:rPr>
      </w:pPr>
    </w:p>
    <w:p w14:paraId="2284B04C" w14:textId="77777777" w:rsidR="00B67D7C" w:rsidRPr="00DE096C" w:rsidRDefault="00B67D7C" w:rsidP="00D45A46">
      <w:pPr>
        <w:jc w:val="both"/>
        <w:rPr>
          <w:bCs/>
          <w:color w:val="002060"/>
          <w:sz w:val="16"/>
          <w:szCs w:val="16"/>
        </w:rPr>
      </w:pPr>
      <w:r w:rsidRPr="00DE096C">
        <w:rPr>
          <w:bCs/>
          <w:color w:val="002060"/>
          <w:sz w:val="16"/>
          <w:szCs w:val="16"/>
        </w:rPr>
        <w:t>В начале 1914 года общий объем итальянских дирижаблей составлял 71 265 куб. м, и по этому показателю страна занимала третье место в мире (11324).</w:t>
      </w:r>
    </w:p>
    <w:p w14:paraId="576C19F7" w14:textId="77777777" w:rsidR="00B67D7C" w:rsidRPr="00DE096C" w:rsidRDefault="00B67D7C" w:rsidP="00D45A46">
      <w:pPr>
        <w:jc w:val="both"/>
        <w:rPr>
          <w:bCs/>
          <w:i/>
          <w:color w:val="002060"/>
          <w:sz w:val="16"/>
          <w:szCs w:val="16"/>
        </w:rPr>
      </w:pPr>
    </w:p>
    <w:p w14:paraId="692D0812" w14:textId="77777777" w:rsidR="007A0148" w:rsidRPr="00DE096C" w:rsidRDefault="007A0148" w:rsidP="00D45A46">
      <w:pPr>
        <w:jc w:val="both"/>
        <w:rPr>
          <w:bCs/>
          <w:i/>
          <w:color w:val="002060"/>
          <w:sz w:val="16"/>
          <w:szCs w:val="16"/>
        </w:rPr>
      </w:pPr>
      <w:r w:rsidRPr="00DE096C">
        <w:rPr>
          <w:bCs/>
          <w:i/>
          <w:color w:val="002060"/>
          <w:sz w:val="16"/>
          <w:szCs w:val="16"/>
        </w:rPr>
        <w:t>Другие оборонные отрасли:</w:t>
      </w:r>
    </w:p>
    <w:p w14:paraId="7F9B9797" w14:textId="77777777" w:rsidR="007A0148" w:rsidRPr="00DE096C" w:rsidRDefault="007A0148" w:rsidP="00D45A46">
      <w:pPr>
        <w:jc w:val="both"/>
        <w:rPr>
          <w:bCs/>
          <w:i/>
          <w:color w:val="002060"/>
          <w:sz w:val="16"/>
          <w:szCs w:val="16"/>
        </w:rPr>
      </w:pPr>
    </w:p>
    <w:p w14:paraId="0F138221" w14:textId="77777777" w:rsidR="007A0148" w:rsidRPr="00DE096C" w:rsidRDefault="007A0148" w:rsidP="00D45A46">
      <w:pPr>
        <w:jc w:val="both"/>
        <w:rPr>
          <w:bCs/>
          <w:color w:val="002060"/>
          <w:sz w:val="16"/>
          <w:szCs w:val="16"/>
        </w:rPr>
      </w:pPr>
      <w:r w:rsidRPr="00DE096C">
        <w:rPr>
          <w:bCs/>
          <w:color w:val="002060"/>
          <w:sz w:val="16"/>
          <w:szCs w:val="16"/>
        </w:rPr>
        <w:t>К февралю 1914 года фабрика Ильина поставила всю партию из 24 автомобилей для российских посольств в Европе (18376).</w:t>
      </w:r>
    </w:p>
    <w:p w14:paraId="7A73F2A4" w14:textId="77777777" w:rsidR="007A0148" w:rsidRPr="00DE096C" w:rsidRDefault="007A0148" w:rsidP="00D45A46">
      <w:pPr>
        <w:jc w:val="both"/>
        <w:rPr>
          <w:bCs/>
          <w:color w:val="002060"/>
          <w:sz w:val="16"/>
          <w:szCs w:val="16"/>
        </w:rPr>
      </w:pPr>
    </w:p>
    <w:p w14:paraId="4D3088CB" w14:textId="77777777" w:rsidR="00B67D7C" w:rsidRPr="00DE096C" w:rsidRDefault="00B67D7C" w:rsidP="00D45A46">
      <w:pPr>
        <w:jc w:val="both"/>
        <w:rPr>
          <w:bCs/>
          <w:i/>
          <w:color w:val="002060"/>
          <w:sz w:val="16"/>
          <w:szCs w:val="16"/>
        </w:rPr>
      </w:pPr>
      <w:r w:rsidRPr="00DE096C">
        <w:rPr>
          <w:bCs/>
          <w:i/>
          <w:color w:val="002060"/>
          <w:sz w:val="16"/>
          <w:szCs w:val="16"/>
        </w:rPr>
        <w:t>Другие оборонные отрасли:</w:t>
      </w:r>
    </w:p>
    <w:p w14:paraId="59FCC077" w14:textId="77777777" w:rsidR="00B67D7C" w:rsidRPr="00DE096C" w:rsidRDefault="00B67D7C" w:rsidP="00D45A46">
      <w:pPr>
        <w:jc w:val="both"/>
        <w:rPr>
          <w:bCs/>
          <w:i/>
          <w:color w:val="002060"/>
          <w:sz w:val="16"/>
          <w:szCs w:val="16"/>
        </w:rPr>
      </w:pPr>
    </w:p>
    <w:p w14:paraId="50708493" w14:textId="77777777" w:rsidR="00B67D7C" w:rsidRPr="00DE096C" w:rsidRDefault="00B67D7C" w:rsidP="00D45A46">
      <w:pPr>
        <w:jc w:val="both"/>
        <w:rPr>
          <w:bCs/>
          <w:color w:val="002060"/>
          <w:sz w:val="16"/>
          <w:szCs w:val="16"/>
        </w:rPr>
      </w:pPr>
      <w:r w:rsidRPr="00DE096C">
        <w:rPr>
          <w:bCs/>
          <w:color w:val="002060"/>
          <w:sz w:val="16"/>
          <w:szCs w:val="16"/>
        </w:rPr>
        <w:t>1 (14) февраля 1914 - императорское Российское Автомобильное Общество (ИРАО) получило исключительное право присваивать автомобильным соревнованиям, проводившимся в России, статус всероссийских (11275).</w:t>
      </w:r>
    </w:p>
    <w:p w14:paraId="079AD219" w14:textId="77777777" w:rsidR="00B67D7C" w:rsidRPr="00DE096C" w:rsidRDefault="00B67D7C" w:rsidP="00D45A46">
      <w:pPr>
        <w:jc w:val="both"/>
        <w:rPr>
          <w:bCs/>
          <w:i/>
          <w:color w:val="002060"/>
          <w:sz w:val="16"/>
          <w:szCs w:val="16"/>
        </w:rPr>
      </w:pPr>
    </w:p>
    <w:p w14:paraId="1A2BE44E" w14:textId="0FD4E7AE" w:rsidR="00507EFA" w:rsidRPr="00DE096C" w:rsidRDefault="00507EFA" w:rsidP="00D45A46">
      <w:pPr>
        <w:jc w:val="both"/>
        <w:rPr>
          <w:bCs/>
          <w:i/>
          <w:color w:val="002060"/>
          <w:sz w:val="16"/>
          <w:szCs w:val="16"/>
        </w:rPr>
      </w:pPr>
      <w:r w:rsidRPr="00DE096C">
        <w:rPr>
          <w:bCs/>
          <w:i/>
          <w:color w:val="002060"/>
          <w:sz w:val="16"/>
          <w:szCs w:val="16"/>
        </w:rPr>
        <w:t>Авиация:</w:t>
      </w:r>
    </w:p>
    <w:p w14:paraId="20AC61F0" w14:textId="77777777" w:rsidR="00507EFA" w:rsidRPr="00DE096C" w:rsidRDefault="00507EFA" w:rsidP="00D45A46">
      <w:pPr>
        <w:jc w:val="both"/>
        <w:rPr>
          <w:bCs/>
          <w:i/>
          <w:color w:val="002060"/>
          <w:sz w:val="16"/>
          <w:szCs w:val="16"/>
        </w:rPr>
      </w:pPr>
    </w:p>
    <w:p w14:paraId="75C8B342" w14:textId="043FF485" w:rsidR="00507EFA" w:rsidRPr="00DE096C" w:rsidRDefault="00507EFA" w:rsidP="00D45A46">
      <w:pPr>
        <w:jc w:val="both"/>
        <w:rPr>
          <w:bCs/>
          <w:color w:val="002060"/>
          <w:sz w:val="16"/>
          <w:szCs w:val="16"/>
          <w:lang w:bidi="en-US"/>
        </w:rPr>
      </w:pPr>
      <w:r w:rsidRPr="00DE096C">
        <w:rPr>
          <w:bCs/>
          <w:color w:val="002060"/>
          <w:sz w:val="16"/>
          <w:szCs w:val="16"/>
          <w:lang w:bidi="en-US"/>
        </w:rPr>
        <w:t>1 (14) февраля 1914 г. был издан приказ о создании АО «Гродненская крепость», которое 13 марта 1915 г. стало 28-м КАО (23525).</w:t>
      </w:r>
    </w:p>
    <w:p w14:paraId="2F91DBE5" w14:textId="77777777" w:rsidR="00507EFA" w:rsidRPr="00DE096C" w:rsidRDefault="00507EFA" w:rsidP="00D45A46">
      <w:pPr>
        <w:jc w:val="both"/>
        <w:rPr>
          <w:bCs/>
          <w:color w:val="002060"/>
          <w:sz w:val="16"/>
          <w:szCs w:val="16"/>
        </w:rPr>
      </w:pPr>
    </w:p>
    <w:p w14:paraId="597AC2A0" w14:textId="20E23232" w:rsidR="00B67D7C" w:rsidRPr="00DE096C" w:rsidRDefault="00B67D7C" w:rsidP="00D45A46">
      <w:pPr>
        <w:jc w:val="both"/>
        <w:rPr>
          <w:bCs/>
          <w:i/>
          <w:color w:val="002060"/>
          <w:sz w:val="16"/>
          <w:szCs w:val="16"/>
        </w:rPr>
      </w:pPr>
      <w:r w:rsidRPr="00DE096C">
        <w:rPr>
          <w:bCs/>
          <w:i/>
          <w:color w:val="002060"/>
          <w:sz w:val="16"/>
          <w:szCs w:val="16"/>
        </w:rPr>
        <w:t>Самолетостроение:</w:t>
      </w:r>
    </w:p>
    <w:p w14:paraId="55896125" w14:textId="77777777" w:rsidR="00B67D7C" w:rsidRPr="00DE096C" w:rsidRDefault="00B67D7C" w:rsidP="00D45A46">
      <w:pPr>
        <w:jc w:val="both"/>
        <w:rPr>
          <w:bCs/>
          <w:i/>
          <w:color w:val="002060"/>
          <w:sz w:val="16"/>
          <w:szCs w:val="16"/>
        </w:rPr>
      </w:pPr>
    </w:p>
    <w:p w14:paraId="1260AD4C" w14:textId="5965C16C"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4 (17) февраля 1914 г. Авиационный комитет </w:t>
      </w:r>
      <w:r w:rsidR="00C37234" w:rsidRPr="00DE096C">
        <w:rPr>
          <w:bCs/>
          <w:color w:val="002060"/>
          <w:sz w:val="16"/>
          <w:szCs w:val="16"/>
        </w:rPr>
        <w:t xml:space="preserve">Черного моря </w:t>
      </w:r>
      <w:r w:rsidRPr="00DE096C">
        <w:rPr>
          <w:bCs/>
          <w:color w:val="002060"/>
          <w:sz w:val="16"/>
          <w:szCs w:val="16"/>
        </w:rPr>
        <w:t>обсудил спецификации к С-10, при</w:t>
      </w:r>
      <w:r w:rsidRPr="00DE096C">
        <w:rPr>
          <w:bCs/>
          <w:color w:val="002060"/>
          <w:sz w:val="16"/>
          <w:szCs w:val="16"/>
        </w:rPr>
        <w:softHyphen/>
        <w:t>сланные фирмой, и выработал встречные условия. Пилоты считали необходимым внести улучшения в конструкцию и, в частности, констатировали, что передние лонжероны крыль</w:t>
      </w:r>
      <w:r w:rsidRPr="00DE096C">
        <w:rPr>
          <w:bCs/>
          <w:color w:val="002060"/>
          <w:sz w:val="16"/>
          <w:szCs w:val="16"/>
        </w:rPr>
        <w:softHyphen/>
        <w:t>ев стоило изготавливать из сплошных ясеневых брусьев с последующей фрезеровкой для экономии веса, тогда как задние коробчатые лонжероны собирались бы из фанерных стенок толщиной около 6 мм и полок из американской сосны. Крылья и прочие поверхности дол</w:t>
      </w:r>
      <w:r w:rsidRPr="00DE096C">
        <w:rPr>
          <w:bCs/>
          <w:color w:val="002060"/>
          <w:sz w:val="16"/>
          <w:szCs w:val="16"/>
        </w:rPr>
        <w:softHyphen/>
        <w:t>жны были обтягиваться тонким перкалем или льняным полотном, а потом лакироваться. Каждый основной поплавок длиной около 4 м, шириной в среднем около 0,6 м и высотой от 0,28 до 0,35 м имел бы обшивку из фанерных листов толщиной от 4-5 мм (бока) до 8 мм (днище), при шпангоутах из 3-мм фанеры. Его внутренние изолированные отсеки объ</w:t>
      </w:r>
      <w:r w:rsidRPr="00DE096C">
        <w:rPr>
          <w:bCs/>
          <w:color w:val="002060"/>
          <w:sz w:val="16"/>
          <w:szCs w:val="16"/>
        </w:rPr>
        <w:softHyphen/>
        <w:t>емом не более 100 литров должны были обеспечивать плавучесть аппарата при затоплении любых двух из них; все внутренние поверхности лакировались бы не менее 1 раза, а внеш</w:t>
      </w:r>
      <w:r w:rsidRPr="00DE096C">
        <w:rPr>
          <w:bCs/>
          <w:color w:val="002060"/>
          <w:sz w:val="16"/>
          <w:szCs w:val="16"/>
        </w:rPr>
        <w:softHyphen/>
        <w:t>ние — не менее 3-х. Особые полозки, прикрепленные к днищу поплавков, призывались для их защиты при вытаскивании машины на берег, а стойки понтонов предлагалось делать не деревянными, но из профильных стальных труб. Все металлические поверхности были лу</w:t>
      </w:r>
      <w:r w:rsidRPr="00DE096C">
        <w:rPr>
          <w:bCs/>
          <w:color w:val="002060"/>
          <w:sz w:val="16"/>
          <w:szCs w:val="16"/>
        </w:rPr>
        <w:softHyphen/>
        <w:t>женными, крашенными или никелированными, а тросы — оцинкованными или гальванизи</w:t>
      </w:r>
      <w:r w:rsidRPr="00DE096C">
        <w:rPr>
          <w:bCs/>
          <w:color w:val="002060"/>
          <w:sz w:val="16"/>
          <w:szCs w:val="16"/>
        </w:rPr>
        <w:softHyphen/>
        <w:t>рованными. Мотор обязательно оснащался бы надежным самопуском, в то время как воз</w:t>
      </w:r>
      <w:r w:rsidRPr="00DE096C">
        <w:rPr>
          <w:bCs/>
          <w:color w:val="002060"/>
          <w:sz w:val="16"/>
          <w:szCs w:val="16"/>
        </w:rPr>
        <w:softHyphen/>
        <w:t>душный винт обтягивался полотном для защиты от влаги и брызг. Все тросы управления планировалось сделать двойными. Наконец, в целом гидроаэроплан был обязан выдерживать волнение от 0,5 до 1 м и ветер от 6 до 12 м/с (2843).</w:t>
      </w:r>
    </w:p>
    <w:p w14:paraId="21E502D2" w14:textId="77777777" w:rsidR="00B67D7C" w:rsidRPr="00DE096C" w:rsidRDefault="00B67D7C" w:rsidP="00D45A46">
      <w:pPr>
        <w:shd w:val="clear" w:color="auto" w:fill="FFFFFF"/>
        <w:jc w:val="both"/>
        <w:rPr>
          <w:bCs/>
          <w:color w:val="002060"/>
          <w:sz w:val="16"/>
          <w:szCs w:val="16"/>
        </w:rPr>
      </w:pPr>
    </w:p>
    <w:p w14:paraId="69A9ED55"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lastRenderedPageBreak/>
        <w:t>Другие оборонные отрасли:</w:t>
      </w:r>
    </w:p>
    <w:p w14:paraId="3702B4D0" w14:textId="77777777" w:rsidR="00B67D7C" w:rsidRPr="00DE096C" w:rsidRDefault="00B67D7C" w:rsidP="00D45A46">
      <w:pPr>
        <w:shd w:val="clear" w:color="auto" w:fill="FFFFFF"/>
        <w:jc w:val="both"/>
        <w:rPr>
          <w:bCs/>
          <w:i/>
          <w:color w:val="002060"/>
          <w:sz w:val="16"/>
          <w:szCs w:val="16"/>
        </w:rPr>
      </w:pPr>
    </w:p>
    <w:p w14:paraId="40CF365E" w14:textId="61C71E6A" w:rsidR="00C37234" w:rsidRPr="00DE096C" w:rsidRDefault="00C37234" w:rsidP="00D45A46">
      <w:pPr>
        <w:jc w:val="both"/>
        <w:rPr>
          <w:bCs/>
          <w:color w:val="002060"/>
          <w:sz w:val="16"/>
          <w:szCs w:val="16"/>
        </w:rPr>
      </w:pPr>
      <w:r w:rsidRPr="00DE096C">
        <w:rPr>
          <w:bCs/>
          <w:color w:val="002060"/>
          <w:sz w:val="16"/>
          <w:szCs w:val="16"/>
        </w:rPr>
        <w:t xml:space="preserve">4 (17) февраля сего 1914 года </w:t>
      </w:r>
    </w:p>
    <w:p w14:paraId="11DDFE22" w14:textId="1953D997" w:rsidR="00B67D7C" w:rsidRPr="00DE096C" w:rsidRDefault="00B67D7C" w:rsidP="00D45A46">
      <w:pPr>
        <w:jc w:val="both"/>
        <w:rPr>
          <w:bCs/>
          <w:color w:val="002060"/>
          <w:sz w:val="16"/>
          <w:szCs w:val="16"/>
        </w:rPr>
      </w:pPr>
      <w:r w:rsidRPr="00DE096C">
        <w:rPr>
          <w:bCs/>
          <w:color w:val="002060"/>
          <w:sz w:val="16"/>
          <w:szCs w:val="16"/>
        </w:rPr>
        <w:t xml:space="preserve">Российское </w:t>
      </w:r>
    </w:p>
    <w:p w14:paraId="0C6B1DD2" w14:textId="77777777" w:rsidR="00B67D7C" w:rsidRPr="00DE096C" w:rsidRDefault="00B67D7C" w:rsidP="00D45A46">
      <w:pPr>
        <w:jc w:val="both"/>
        <w:rPr>
          <w:bCs/>
          <w:color w:val="002060"/>
          <w:sz w:val="16"/>
          <w:szCs w:val="16"/>
        </w:rPr>
      </w:pPr>
      <w:r w:rsidRPr="00DE096C">
        <w:rPr>
          <w:bCs/>
          <w:color w:val="002060"/>
          <w:sz w:val="16"/>
          <w:szCs w:val="16"/>
        </w:rPr>
        <w:t>Акционерное Общество</w:t>
      </w:r>
    </w:p>
    <w:p w14:paraId="0463AF00" w14:textId="77777777" w:rsidR="00B67D7C" w:rsidRPr="00DE096C" w:rsidRDefault="00B67D7C" w:rsidP="00D45A46">
      <w:pPr>
        <w:jc w:val="both"/>
        <w:rPr>
          <w:bCs/>
          <w:color w:val="002060"/>
          <w:sz w:val="16"/>
          <w:szCs w:val="16"/>
        </w:rPr>
      </w:pPr>
      <w:r w:rsidRPr="00DE096C">
        <w:rPr>
          <w:bCs/>
          <w:color w:val="002060"/>
          <w:sz w:val="16"/>
          <w:szCs w:val="16"/>
        </w:rPr>
        <w:t xml:space="preserve">Оптического и Механического </w:t>
      </w:r>
    </w:p>
    <w:p w14:paraId="7F3D3ED4" w14:textId="77777777" w:rsidR="00B67D7C" w:rsidRPr="00DE096C" w:rsidRDefault="00B67D7C" w:rsidP="00D45A46">
      <w:pPr>
        <w:jc w:val="both"/>
        <w:rPr>
          <w:bCs/>
          <w:color w:val="002060"/>
          <w:sz w:val="16"/>
          <w:szCs w:val="16"/>
        </w:rPr>
      </w:pPr>
      <w:r w:rsidRPr="00DE096C">
        <w:rPr>
          <w:bCs/>
          <w:color w:val="002060"/>
          <w:sz w:val="16"/>
          <w:szCs w:val="16"/>
        </w:rPr>
        <w:t>Производств</w:t>
      </w:r>
    </w:p>
    <w:p w14:paraId="6BA0552E" w14:textId="77777777" w:rsidR="00B67D7C" w:rsidRPr="00DE096C" w:rsidRDefault="00B67D7C" w:rsidP="00D45A46">
      <w:pPr>
        <w:jc w:val="both"/>
        <w:rPr>
          <w:bCs/>
          <w:color w:val="002060"/>
          <w:sz w:val="16"/>
          <w:szCs w:val="16"/>
        </w:rPr>
      </w:pPr>
      <w:r w:rsidRPr="00DE096C">
        <w:rPr>
          <w:bCs/>
          <w:color w:val="002060"/>
          <w:sz w:val="16"/>
          <w:szCs w:val="16"/>
        </w:rPr>
        <w:t>С.-Петербург, Итальянская,21</w:t>
      </w:r>
    </w:p>
    <w:p w14:paraId="00F0C3D2" w14:textId="77777777" w:rsidR="00B67D7C" w:rsidRPr="00DE096C" w:rsidRDefault="00B67D7C" w:rsidP="00D45A46">
      <w:pPr>
        <w:jc w:val="both"/>
        <w:rPr>
          <w:bCs/>
          <w:color w:val="002060"/>
          <w:sz w:val="16"/>
          <w:szCs w:val="16"/>
        </w:rPr>
      </w:pPr>
      <w:r w:rsidRPr="00DE096C">
        <w:rPr>
          <w:bCs/>
          <w:color w:val="002060"/>
          <w:sz w:val="16"/>
          <w:szCs w:val="16"/>
        </w:rPr>
        <w:t>Милостевые Государи!</w:t>
      </w:r>
    </w:p>
    <w:p w14:paraId="2F94F761" w14:textId="77777777" w:rsidR="00B67D7C" w:rsidRPr="00DE096C" w:rsidRDefault="00B67D7C" w:rsidP="00D45A46">
      <w:pPr>
        <w:jc w:val="both"/>
        <w:rPr>
          <w:bCs/>
          <w:color w:val="002060"/>
          <w:sz w:val="16"/>
          <w:szCs w:val="16"/>
        </w:rPr>
      </w:pPr>
      <w:r w:rsidRPr="00DE096C">
        <w:rPr>
          <w:bCs/>
          <w:color w:val="002060"/>
          <w:sz w:val="16"/>
          <w:szCs w:val="16"/>
        </w:rPr>
        <w:t>Сим имеем честь уведомить Вас, что 4 февраля сего 1914 года открыло свои действия утвержден­ное Правительством - «РОССИЙСКОЕ АКЦИОНЕРНОЕ ОБЩЕСТВО ОПТИЧЕСКОГО И МЕХАНИЧЕСКО­ГО ПРОИЗВОДСТВ» с основным капиталом 1.200.000 рублей. Общество ставит своей задачей развитие русского оптического и точно-механического производств. Для означенной цели Общество строит завод в С.-Петербурге, по Чугунной улице, № 8, на каковом заводе под руководством русских специалистов, русскими рабочими, по возможности из русских материалов будут изготовляться, по мере запроса, все приборы, входящие в область оптического и*точно-механического производств, как то: оптические при­боры для самых разнообразных военных и гражданских целей, фотографические объективы, небольшие астрономические инструменты (специально школьных типов), геодезические инструменты, метеороло­гические приборы, физические и другие приборы, входящие в область точной механики и оптики. Обще­ство ставит также своей задачей разработку изобретений в означенной области, производимых русскими изобретателями. В качестве директора-распорядителя Общества и завода приглашен А.Л. Гершун, которо­му будет принадлежать ближайшее руководство делами и заводом.</w:t>
      </w:r>
    </w:p>
    <w:p w14:paraId="00E2FE8A" w14:textId="77777777" w:rsidR="00B67D7C" w:rsidRPr="00DE096C" w:rsidRDefault="00B67D7C" w:rsidP="00D45A46">
      <w:pPr>
        <w:jc w:val="both"/>
        <w:rPr>
          <w:bCs/>
          <w:color w:val="002060"/>
          <w:sz w:val="16"/>
          <w:szCs w:val="16"/>
        </w:rPr>
      </w:pPr>
      <w:r w:rsidRPr="00DE096C">
        <w:rPr>
          <w:bCs/>
          <w:color w:val="002060"/>
          <w:sz w:val="16"/>
          <w:szCs w:val="16"/>
        </w:rPr>
        <w:t>Завод общества будет окончательно оборудован к 1 августу 1914 года, но чертежные и вычисли­тельные завода, а также небольшая временная мастерская функционируют уже с начала апреля, а потому Общество уже теперь принимает, как запросы касательно разработок различных приборов, так и заказы на изделия, входящие в область его производства.</w:t>
      </w:r>
    </w:p>
    <w:p w14:paraId="1F4B98E3" w14:textId="77777777" w:rsidR="00B67D7C" w:rsidRPr="00DE096C" w:rsidRDefault="00B67D7C" w:rsidP="00D45A46">
      <w:pPr>
        <w:jc w:val="both"/>
        <w:rPr>
          <w:bCs/>
          <w:color w:val="002060"/>
          <w:sz w:val="16"/>
          <w:szCs w:val="16"/>
        </w:rPr>
      </w:pPr>
      <w:r w:rsidRPr="00DE096C">
        <w:rPr>
          <w:bCs/>
          <w:color w:val="002060"/>
          <w:sz w:val="16"/>
          <w:szCs w:val="16"/>
        </w:rPr>
        <w:t>Уведомляя о вышеизложенном, Общество надеется, что как Правительственные Учреждения, так и частные учреждения поддержат русское начинание в области оптики и точной механики своими поруче­ниями и заказами, к наиболее совершенному и быстрому выполнению которых Обществом будут прило­жены все старания.</w:t>
      </w:r>
    </w:p>
    <w:p w14:paraId="323506C2" w14:textId="77777777" w:rsidR="00B67D7C" w:rsidRPr="00DE096C" w:rsidRDefault="00B67D7C" w:rsidP="00D45A46">
      <w:pPr>
        <w:jc w:val="both"/>
        <w:rPr>
          <w:bCs/>
          <w:i/>
          <w:color w:val="002060"/>
          <w:sz w:val="16"/>
          <w:szCs w:val="16"/>
        </w:rPr>
      </w:pPr>
      <w:r w:rsidRPr="00DE096C">
        <w:rPr>
          <w:bCs/>
          <w:i/>
          <w:color w:val="002060"/>
          <w:sz w:val="16"/>
          <w:szCs w:val="16"/>
        </w:rPr>
        <w:t>Правление</w:t>
      </w:r>
    </w:p>
    <w:p w14:paraId="37511658" w14:textId="77777777" w:rsidR="00B67D7C" w:rsidRPr="00DE096C" w:rsidRDefault="00B67D7C" w:rsidP="00D45A46">
      <w:pPr>
        <w:jc w:val="both"/>
        <w:rPr>
          <w:bCs/>
          <w:i/>
          <w:color w:val="002060"/>
          <w:sz w:val="16"/>
          <w:szCs w:val="16"/>
        </w:rPr>
      </w:pPr>
      <w:r w:rsidRPr="00DE096C">
        <w:rPr>
          <w:bCs/>
          <w:i/>
          <w:color w:val="002060"/>
          <w:sz w:val="16"/>
          <w:szCs w:val="16"/>
        </w:rPr>
        <w:t xml:space="preserve">«Российского Акционерного Общества </w:t>
      </w:r>
    </w:p>
    <w:p w14:paraId="3CD30DF4" w14:textId="77777777" w:rsidR="00B67D7C" w:rsidRPr="00DE096C" w:rsidRDefault="00B67D7C" w:rsidP="00D45A46">
      <w:pPr>
        <w:jc w:val="both"/>
        <w:rPr>
          <w:bCs/>
          <w:i/>
          <w:color w:val="002060"/>
          <w:sz w:val="16"/>
          <w:szCs w:val="16"/>
        </w:rPr>
      </w:pPr>
      <w:r w:rsidRPr="00DE096C">
        <w:rPr>
          <w:bCs/>
          <w:i/>
          <w:color w:val="002060"/>
          <w:sz w:val="16"/>
          <w:szCs w:val="16"/>
        </w:rPr>
        <w:t>Оптических и Механических Производств»</w:t>
      </w:r>
    </w:p>
    <w:p w14:paraId="07CB1745" w14:textId="77777777" w:rsidR="00B67D7C" w:rsidRPr="00DE096C" w:rsidRDefault="00B67D7C" w:rsidP="00D45A46">
      <w:pPr>
        <w:jc w:val="both"/>
        <w:rPr>
          <w:bCs/>
          <w:color w:val="002060"/>
          <w:sz w:val="16"/>
          <w:szCs w:val="16"/>
        </w:rPr>
      </w:pPr>
      <w:r w:rsidRPr="00DE096C">
        <w:rPr>
          <w:bCs/>
          <w:i/>
          <w:color w:val="002060"/>
          <w:sz w:val="16"/>
          <w:szCs w:val="16"/>
        </w:rPr>
        <w:t>(четыре подписи, без расшифровки)</w:t>
      </w:r>
    </w:p>
    <w:p w14:paraId="331A3C42" w14:textId="669BF5E6" w:rsidR="00B67D7C" w:rsidRPr="00DE096C" w:rsidRDefault="00B67D7C" w:rsidP="00D45A46">
      <w:pPr>
        <w:jc w:val="both"/>
        <w:rPr>
          <w:bCs/>
          <w:color w:val="002060"/>
          <w:sz w:val="16"/>
          <w:szCs w:val="16"/>
        </w:rPr>
      </w:pPr>
      <w:r w:rsidRPr="00DE096C">
        <w:rPr>
          <w:bCs/>
          <w:color w:val="002060"/>
          <w:sz w:val="16"/>
          <w:szCs w:val="16"/>
        </w:rPr>
        <w:t>Эта дата - 4 феврвля 1914 года по старому стилю - считаются днем рождения первого оптического завода России</w:t>
      </w:r>
      <w:r w:rsidR="00C37234" w:rsidRPr="00DE096C">
        <w:rPr>
          <w:bCs/>
          <w:color w:val="002060"/>
          <w:sz w:val="16"/>
          <w:szCs w:val="16"/>
        </w:rPr>
        <w:t xml:space="preserve"> </w:t>
      </w:r>
      <w:r w:rsidRPr="00DE096C">
        <w:rPr>
          <w:bCs/>
          <w:color w:val="002060"/>
          <w:sz w:val="16"/>
          <w:szCs w:val="16"/>
        </w:rPr>
        <w:t>(11869).</w:t>
      </w:r>
    </w:p>
    <w:p w14:paraId="10867CB5" w14:textId="77777777" w:rsidR="00B67D7C" w:rsidRPr="00DE096C" w:rsidRDefault="00B67D7C" w:rsidP="00D45A46">
      <w:pPr>
        <w:jc w:val="both"/>
        <w:rPr>
          <w:bCs/>
          <w:color w:val="002060"/>
          <w:sz w:val="16"/>
          <w:szCs w:val="16"/>
        </w:rPr>
      </w:pPr>
    </w:p>
    <w:p w14:paraId="2902AC1B" w14:textId="5E04B9B0" w:rsidR="00B67D7C" w:rsidRPr="00DE096C" w:rsidRDefault="00B67D7C" w:rsidP="00D45A46">
      <w:pPr>
        <w:jc w:val="both"/>
        <w:rPr>
          <w:bCs/>
          <w:color w:val="002060"/>
          <w:sz w:val="16"/>
          <w:szCs w:val="16"/>
        </w:rPr>
      </w:pPr>
      <w:r w:rsidRPr="00DE096C">
        <w:rPr>
          <w:bCs/>
          <w:color w:val="002060"/>
          <w:sz w:val="16"/>
          <w:szCs w:val="16"/>
        </w:rPr>
        <w:t>С 4</w:t>
      </w:r>
      <w:r w:rsidR="00C37234" w:rsidRPr="00DE096C">
        <w:rPr>
          <w:bCs/>
          <w:color w:val="002060"/>
          <w:sz w:val="16"/>
          <w:szCs w:val="16"/>
        </w:rPr>
        <w:t xml:space="preserve"> (17) февраля </w:t>
      </w:r>
      <w:r w:rsidRPr="00DE096C">
        <w:rPr>
          <w:bCs/>
          <w:color w:val="002060"/>
          <w:sz w:val="16"/>
          <w:szCs w:val="16"/>
        </w:rPr>
        <w:t xml:space="preserve">1914 г. </w:t>
      </w:r>
      <w:r w:rsidR="00C37234" w:rsidRPr="00DE096C">
        <w:rPr>
          <w:bCs/>
          <w:color w:val="002060"/>
          <w:sz w:val="16"/>
          <w:szCs w:val="16"/>
        </w:rPr>
        <w:t>РАО ОМП</w:t>
      </w:r>
      <w:r w:rsidRPr="00DE096C">
        <w:rPr>
          <w:bCs/>
          <w:color w:val="002060"/>
          <w:sz w:val="16"/>
          <w:szCs w:val="16"/>
        </w:rPr>
        <w:t xml:space="preserve"> начало действовать. </w:t>
      </w:r>
      <w:r w:rsidR="00C37234" w:rsidRPr="00DE096C">
        <w:rPr>
          <w:bCs/>
          <w:color w:val="002060"/>
          <w:sz w:val="16"/>
          <w:szCs w:val="16"/>
        </w:rPr>
        <w:t xml:space="preserve">(Завод № 349 ИМ. ОГПУ НКВ, </w:t>
      </w:r>
      <w:r w:rsidR="00C37234" w:rsidRPr="00DE096C">
        <w:rPr>
          <w:bCs/>
          <w:color w:val="002060"/>
          <w:sz w:val="16"/>
          <w:szCs w:val="16"/>
          <w:lang w:val="en-US"/>
        </w:rPr>
        <w:t>MB</w:t>
      </w:r>
      <w:r w:rsidR="00C37234" w:rsidRPr="00DE096C">
        <w:rPr>
          <w:bCs/>
          <w:color w:val="002060"/>
          <w:sz w:val="16"/>
          <w:szCs w:val="16"/>
        </w:rPr>
        <w:t>, п/я 412, Оптико-механический завод Российского АО оптического и механического производств (РАО ОМП), Завод Оптического и Механического Производств, Ленинградский Государственный оптический завод (ГОЗ) № 95 Главметалла, Завод № 95 морских и сухопутных оптических приборов, ГОЗ ВСНХ, Государственный оптико- механический завод (ГОМЗ) им. ОГПУ ВСНХ, НКТП, НКОП, НКВ, МОП, Ленинградское объединение оптико-механических производств (ЛООМП) ЛенСНХ, МОП, Трижды ордена Ленина Ленинградское оптико-механическое объединение (ЛОМО) им. Ленина МОП, ОАО «ЛОМО» / г. Санкт-Петербург ул. Чугунная, 8 (1914 г.)/ /194044</w:t>
      </w:r>
      <w:r w:rsidR="0006581C">
        <w:rPr>
          <w:bCs/>
          <w:color w:val="002060"/>
          <w:sz w:val="16"/>
          <w:szCs w:val="16"/>
        </w:rPr>
        <w:t xml:space="preserve"> </w:t>
      </w:r>
      <w:r w:rsidR="00C37234" w:rsidRPr="00DE096C">
        <w:rPr>
          <w:bCs/>
          <w:color w:val="002060"/>
          <w:sz w:val="16"/>
          <w:szCs w:val="16"/>
        </w:rPr>
        <w:t xml:space="preserve">г. Ленинград, Санкт-Петербург ул. Чугунная, 20 тел. 248-52-42/) </w:t>
      </w:r>
      <w:r w:rsidRPr="00DE096C">
        <w:rPr>
          <w:bCs/>
          <w:color w:val="002060"/>
          <w:sz w:val="16"/>
          <w:szCs w:val="16"/>
        </w:rPr>
        <w:t>Полностью завод вступил в строй в 08.1914 г.</w:t>
      </w:r>
    </w:p>
    <w:p w14:paraId="66916132" w14:textId="77777777" w:rsidR="00B67D7C" w:rsidRPr="00DE096C" w:rsidRDefault="00B67D7C" w:rsidP="00D45A46">
      <w:pPr>
        <w:jc w:val="both"/>
        <w:rPr>
          <w:bCs/>
          <w:color w:val="002060"/>
          <w:sz w:val="16"/>
          <w:szCs w:val="16"/>
        </w:rPr>
      </w:pPr>
      <w:r w:rsidRPr="00DE096C">
        <w:rPr>
          <w:bCs/>
          <w:color w:val="002060"/>
          <w:sz w:val="16"/>
          <w:szCs w:val="16"/>
        </w:rPr>
        <w:t>Первым изделием, разработанным и построенным на заводе, стал прибор для проверки прицельных линий пушек. Производство прицелов, дальномеров, перископов, буссолей, детонаторных трубок. Выпускались также оптические и оптико-механические приборы гражданского назначения - фотографические объективы, небольшие астрономические инструменты, геодезические и метеорологические приборы.</w:t>
      </w:r>
    </w:p>
    <w:p w14:paraId="724AAFC0" w14:textId="77777777" w:rsidR="00B67D7C" w:rsidRPr="00DE096C" w:rsidRDefault="00B67D7C" w:rsidP="00D45A46">
      <w:pPr>
        <w:jc w:val="both"/>
        <w:rPr>
          <w:bCs/>
          <w:color w:val="002060"/>
          <w:sz w:val="16"/>
          <w:szCs w:val="16"/>
        </w:rPr>
      </w:pPr>
      <w:r w:rsidRPr="00DE096C">
        <w:rPr>
          <w:bCs/>
          <w:color w:val="002060"/>
          <w:sz w:val="16"/>
          <w:szCs w:val="16"/>
        </w:rPr>
        <w:t>В соответствии с декретом от 28.06.1918 г. предприятие было национализировано, передано в ведение Районного правления заводов точной механики СНХ Северного района (с 02.1920 г. Петроградский СНХ) и получило название Завод Оптического и Механического Производств. В 1919 г. завод был официально закрыт, хотя в реальности выпуск продукции продолжался. В 1920 г. завод вновь заработал.</w:t>
      </w:r>
    </w:p>
    <w:p w14:paraId="36454ADE" w14:textId="77777777" w:rsidR="00B67D7C" w:rsidRPr="00DE096C" w:rsidRDefault="00B67D7C" w:rsidP="00D45A46">
      <w:pPr>
        <w:jc w:val="both"/>
        <w:rPr>
          <w:bCs/>
          <w:color w:val="002060"/>
          <w:sz w:val="16"/>
          <w:szCs w:val="16"/>
        </w:rPr>
      </w:pPr>
      <w:r w:rsidRPr="00DE096C">
        <w:rPr>
          <w:bCs/>
          <w:color w:val="002060"/>
          <w:sz w:val="16"/>
          <w:szCs w:val="16"/>
        </w:rPr>
        <w:t>В 09.1921 г. предприятие получило название Государственный оптический завод (ГОЗ) № 95, в 1922 г. - завод № 95 морских и сухопутных оптических приборов, в 1923 г. - ГОЗ. В 1924 г. - в ведении ГУВП ВСНХ. В 1925 г. завод вошел в состав ТОМП, в 01.1931 г. - в ВООМП Главметалла. С 1931 г. - Государственный оптико- механический завод (ГОМЗ) им. ОГПУ. По пр. № 09с от 23.01.1937 г. завод передан в ведение 9ГУ НКОП, приказом № 69 от 23.02.1937 г. утвержден Устав завода. В 02.1939 г. ГОМЗ 9ГУ передан в ведение 9ГУ НКВ. В 06.1940 г. завод № 349 им. ОГПУ - в ведении 2ГУ НКВ. Имел наименование «п/я 412».</w:t>
      </w:r>
    </w:p>
    <w:p w14:paraId="1B55F2B4" w14:textId="77777777" w:rsidR="00B67D7C" w:rsidRPr="00DE096C" w:rsidRDefault="00B67D7C" w:rsidP="00D45A46">
      <w:pPr>
        <w:jc w:val="both"/>
        <w:rPr>
          <w:bCs/>
          <w:color w:val="002060"/>
          <w:sz w:val="16"/>
          <w:szCs w:val="16"/>
        </w:rPr>
      </w:pPr>
      <w:r w:rsidRPr="00DE096C">
        <w:rPr>
          <w:bCs/>
          <w:color w:val="002060"/>
          <w:sz w:val="16"/>
          <w:szCs w:val="16"/>
        </w:rPr>
        <w:t>В 1918 г. был создан первый отечественный кинопроекционный аппарат «Русь» (И.П. Миеттинен и Л. Г. Титов). Помимо оптических приборов выпускал стекла для очков, гири, утюги, лопаты, коловороты, щипцы для завивки волос. Производство перископов для флота (единственное в стране), фотопулеметов. В 1928 г. создан первый стереодальномер (</w:t>
      </w:r>
      <w:r w:rsidRPr="00DE096C">
        <w:rPr>
          <w:bCs/>
          <w:color w:val="002060"/>
          <w:sz w:val="16"/>
          <w:szCs w:val="16"/>
          <w:lang w:val="en-US"/>
        </w:rPr>
        <w:t>B</w:t>
      </w:r>
      <w:r w:rsidRPr="00DE096C">
        <w:rPr>
          <w:bCs/>
          <w:color w:val="002060"/>
          <w:sz w:val="16"/>
          <w:szCs w:val="16"/>
        </w:rPr>
        <w:t>.</w:t>
      </w:r>
      <w:r w:rsidRPr="00DE096C">
        <w:rPr>
          <w:bCs/>
          <w:color w:val="002060"/>
          <w:sz w:val="16"/>
          <w:szCs w:val="16"/>
          <w:lang w:val="en-US"/>
        </w:rPr>
        <w:t>C</w:t>
      </w:r>
      <w:r w:rsidRPr="00DE096C">
        <w:rPr>
          <w:bCs/>
          <w:color w:val="002060"/>
          <w:sz w:val="16"/>
          <w:szCs w:val="16"/>
        </w:rPr>
        <w:t>. Игнатовский). В 08.1929 г. началась реконструкция завода, состоялась закладка новых корпусов. С 1930 г. - производство первого в СССР массового любительского фотоаппарата «Фотокор № 1», в 1930-32 г. выпущено 27811 шт.</w:t>
      </w:r>
      <w:r w:rsidRPr="00DE096C">
        <w:rPr>
          <w:bCs/>
          <w:color w:val="002060"/>
          <w:sz w:val="16"/>
          <w:szCs w:val="16"/>
          <w:vertAlign w:val="superscript"/>
        </w:rPr>
        <w:t>147</w:t>
      </w:r>
      <w:r w:rsidRPr="00DE096C">
        <w:rPr>
          <w:bCs/>
          <w:color w:val="002060"/>
          <w:sz w:val="16"/>
          <w:szCs w:val="16"/>
        </w:rPr>
        <w:t xml:space="preserve"> С 1933 г. фотоаппараты выпускались с затворами собственного изготовления (по типу Варио). Распоряжением Главточмаша НКТП № 4 от 3.02.1934 г. заводу поручено изготовить 15 опытных мультиприставок для фотоаппарата (конструктора Любимова) для их испытания.</w:t>
      </w:r>
    </w:p>
    <w:p w14:paraId="4B4CA4E1" w14:textId="204478CE" w:rsidR="00B67D7C" w:rsidRPr="00DE096C" w:rsidRDefault="00B67D7C" w:rsidP="00D45A46">
      <w:pPr>
        <w:jc w:val="both"/>
        <w:rPr>
          <w:bCs/>
          <w:color w:val="002060"/>
          <w:sz w:val="16"/>
          <w:szCs w:val="16"/>
        </w:rPr>
      </w:pPr>
      <w:r w:rsidRPr="00DE096C">
        <w:rPr>
          <w:bCs/>
          <w:color w:val="002060"/>
          <w:sz w:val="16"/>
          <w:szCs w:val="16"/>
        </w:rPr>
        <w:t>В 1930-е</w:t>
      </w:r>
      <w:r w:rsidR="0006581C">
        <w:rPr>
          <w:bCs/>
          <w:color w:val="002060"/>
          <w:sz w:val="16"/>
          <w:szCs w:val="16"/>
        </w:rPr>
        <w:t xml:space="preserve"> </w:t>
      </w:r>
      <w:r w:rsidRPr="00DE096C">
        <w:rPr>
          <w:bCs/>
          <w:color w:val="002060"/>
          <w:sz w:val="16"/>
          <w:szCs w:val="16"/>
        </w:rPr>
        <w:t>г. разработаны стационарные киноаппараты ТОМП-1, -3, -4; фотокинопулеметы, бомбардировочные и стрелковые турельные прицелы (А.Я. Симановский). В 1933 г. начат выпуск измерительных приборов для металлообработки - микролюксов. В 1939 г. созданы первая ручная киносъемочная камера КС-5 для хроникальных съемок и камера ЦКС-1 для съемки цветных фильмов.</w:t>
      </w:r>
    </w:p>
    <w:p w14:paraId="565E1C23" w14:textId="77777777" w:rsidR="00B67D7C" w:rsidRPr="00DE096C" w:rsidRDefault="00B67D7C" w:rsidP="00D45A46">
      <w:pPr>
        <w:jc w:val="both"/>
        <w:rPr>
          <w:bCs/>
          <w:color w:val="002060"/>
          <w:sz w:val="16"/>
          <w:szCs w:val="16"/>
        </w:rPr>
      </w:pPr>
      <w:r w:rsidRPr="00DE096C">
        <w:rPr>
          <w:bCs/>
          <w:color w:val="002060"/>
          <w:sz w:val="16"/>
          <w:szCs w:val="16"/>
        </w:rPr>
        <w:t>С 1929 г. на заводе начались разработка и изготовление астрономических приборов (Н. Г. Пономарев). В 1934 г. на ГОМЗе создана астромастерская.</w:t>
      </w:r>
    </w:p>
    <w:p w14:paraId="736A40BB" w14:textId="77777777" w:rsidR="00B67D7C" w:rsidRPr="00DE096C" w:rsidRDefault="00B67D7C" w:rsidP="00D45A46">
      <w:pPr>
        <w:jc w:val="both"/>
        <w:rPr>
          <w:bCs/>
          <w:color w:val="002060"/>
          <w:sz w:val="16"/>
          <w:szCs w:val="16"/>
        </w:rPr>
      </w:pPr>
      <w:r w:rsidRPr="00DE096C">
        <w:rPr>
          <w:bCs/>
          <w:color w:val="002060"/>
          <w:sz w:val="16"/>
          <w:szCs w:val="16"/>
        </w:rPr>
        <w:t>По пр. ВТОМП № 253с от 14.02.1936 г. весь персонал по конструированию и разработке техпроцесса по затвору во главе с Захарьевским переведен на завод «Прогресс». Расп. № 935с от 23.06.1936 г. туда же переданы импортные приборы: широкоугольный коллиматор, машинка для сушки ТО-6, 2 фотоаппарата с объективами Индустар-135, оптическая скамья; разработаны и изготовлены фрезы и зубострогальные резцы для изготовления зубчатых шестерен; переведен техноло г.</w:t>
      </w:r>
    </w:p>
    <w:p w14:paraId="4E4233DA" w14:textId="77777777" w:rsidR="00B67D7C" w:rsidRPr="00DE096C" w:rsidRDefault="00B67D7C" w:rsidP="00D45A46">
      <w:pPr>
        <w:jc w:val="both"/>
        <w:rPr>
          <w:bCs/>
          <w:color w:val="002060"/>
          <w:sz w:val="16"/>
          <w:szCs w:val="16"/>
        </w:rPr>
      </w:pPr>
      <w:r w:rsidRPr="00DE096C">
        <w:rPr>
          <w:bCs/>
          <w:color w:val="002060"/>
          <w:sz w:val="16"/>
          <w:szCs w:val="16"/>
        </w:rPr>
        <w:t>Пр. № 327с от 28.02.1936 г. заводу поручено изготовить фотообъективы: «Индустар-12»; пробную партию к 15.03.1936 г., до конца года - 300 шт.; «Индустар-9» - в 1936 г. 100 шт.; «Триар-10» - в 10.1936 г. головную партию 10 шт. Пр. № 1363с от 10.09.1936 г. «в связи с тем, что объектив 0-6, выпускаемый заводом для АФА, не обеспечивает съемку на больших высотах», заводу поручено изготовить к 10.09.1936 г. опытные образцы объектива «Индустар-13». Пр. № 197с от 2.06.1938 г. заводу поручено к 15.09.1938 г. изготовить установочную серию объективов «Ортопротар».</w:t>
      </w:r>
    </w:p>
    <w:p w14:paraId="5CCC1E04" w14:textId="77777777" w:rsidR="00B67D7C" w:rsidRPr="00DE096C" w:rsidRDefault="00B67D7C" w:rsidP="00D45A46">
      <w:pPr>
        <w:jc w:val="both"/>
        <w:rPr>
          <w:bCs/>
          <w:color w:val="002060"/>
          <w:sz w:val="16"/>
          <w:szCs w:val="16"/>
        </w:rPr>
      </w:pPr>
      <w:r w:rsidRPr="00DE096C">
        <w:rPr>
          <w:bCs/>
          <w:color w:val="002060"/>
          <w:sz w:val="16"/>
          <w:szCs w:val="16"/>
        </w:rPr>
        <w:t>Приказом НКТП № 151сс от 16.05.1936 г. ГОМЗ им. ОГПУ определен головным по изготовлению стабилизированных визирных постов (СВП) МПУАЗО-СО для боевых кораблей. Пр. ВТОМП № 809с от 29.05/2.06.1936 г. поручено разработать и изготовить: в 04.1937 г. трехокулярный визир центральной наводки ВЦН-22; проект торпедного инклинометра ПМР-21 к 1.09.1936 г.; проект оптической передачи магнитного компаса по образцу фирмы «Аскания» к 1.09.1936 г.; перископ для ПЛ ПА-11 в 4-м квартале 1937 г. Распоряжением № 02сс от 22/25.12.1936 г. заводу поручено изготовить к 04.1937 г. три стереодальномера ДМ-6 для крейсера «Киров»; приказом НКОП № 06с от 14.01.1937 г. - изготовить в 1937-38 г. 72 СВП и 72 стереодальномера ДМ-3. В 1938 г. разработаны антивибрационные приспособления для дальномеров.</w:t>
      </w:r>
    </w:p>
    <w:p w14:paraId="1DA867E8" w14:textId="77777777" w:rsidR="00B67D7C" w:rsidRPr="00DE096C" w:rsidRDefault="00B67D7C" w:rsidP="00D45A46">
      <w:pPr>
        <w:jc w:val="both"/>
        <w:rPr>
          <w:bCs/>
          <w:color w:val="002060"/>
          <w:sz w:val="16"/>
          <w:szCs w:val="16"/>
        </w:rPr>
      </w:pPr>
      <w:r w:rsidRPr="00DE096C">
        <w:rPr>
          <w:bCs/>
          <w:color w:val="002060"/>
          <w:sz w:val="16"/>
          <w:szCs w:val="16"/>
        </w:rPr>
        <w:t>22.02.1937 г. вышел приказ № 039 об организации на заводе базы по стандартизации и взаимозаменяемости по оптико-механическому производству; по пр. № 197с от 2.06.1938 г. требовалось организовать на заводе опытную базу 9ГУ по нормализации; с 5.06.1938 г. организовать на заводе ОГМ и передать ему ремонтный цех.</w:t>
      </w:r>
    </w:p>
    <w:p w14:paraId="60A6EAB3" w14:textId="77777777" w:rsidR="00B67D7C" w:rsidRPr="00DE096C" w:rsidRDefault="00B67D7C" w:rsidP="00D45A46">
      <w:pPr>
        <w:jc w:val="both"/>
        <w:rPr>
          <w:bCs/>
          <w:color w:val="002060"/>
          <w:sz w:val="16"/>
          <w:szCs w:val="16"/>
        </w:rPr>
      </w:pPr>
      <w:r w:rsidRPr="00DE096C">
        <w:rPr>
          <w:bCs/>
          <w:color w:val="002060"/>
          <w:sz w:val="16"/>
          <w:szCs w:val="16"/>
        </w:rPr>
        <w:t>В соответствии с распоряжением СНК № 1720-рс от 19.06.1941 г. и приказом НКАП № 558с от 24.06.1941 г. заводу № 349 переданы опытные работы и оборудование по прицельным приборам ликвидированного НИИ-22.</w:t>
      </w:r>
    </w:p>
    <w:p w14:paraId="7E86B070" w14:textId="4C0D1156" w:rsidR="00B67D7C" w:rsidRPr="00DE096C" w:rsidRDefault="00B67D7C" w:rsidP="00D45A46">
      <w:pPr>
        <w:jc w:val="both"/>
        <w:rPr>
          <w:bCs/>
          <w:color w:val="002060"/>
          <w:sz w:val="16"/>
          <w:szCs w:val="16"/>
        </w:rPr>
      </w:pPr>
      <w:r w:rsidRPr="00DE096C">
        <w:rPr>
          <w:bCs/>
          <w:color w:val="002060"/>
          <w:sz w:val="16"/>
          <w:szCs w:val="16"/>
        </w:rPr>
        <w:t>По Постановлению ГКО № 99сс от 11.07.1941 г. завод частично эвакуирован в</w:t>
      </w:r>
      <w:r w:rsidR="0006581C">
        <w:rPr>
          <w:bCs/>
          <w:color w:val="002060"/>
          <w:sz w:val="16"/>
          <w:szCs w:val="16"/>
        </w:rPr>
        <w:t xml:space="preserve"> </w:t>
      </w:r>
      <w:r w:rsidRPr="00DE096C">
        <w:rPr>
          <w:bCs/>
          <w:color w:val="002060"/>
          <w:sz w:val="16"/>
          <w:szCs w:val="16"/>
        </w:rPr>
        <w:t>г. Казань на площадку строящегося завода № 237 НКВ, ГКБ и Казанского Государственного университета.</w:t>
      </w:r>
      <w:r w:rsidRPr="00DE096C">
        <w:rPr>
          <w:bCs/>
          <w:color w:val="002060"/>
          <w:sz w:val="16"/>
          <w:szCs w:val="16"/>
          <w:vertAlign w:val="superscript"/>
        </w:rPr>
        <w:t>47</w:t>
      </w:r>
      <w:r w:rsidRPr="00DE096C">
        <w:rPr>
          <w:bCs/>
          <w:color w:val="002060"/>
          <w:sz w:val="16"/>
          <w:szCs w:val="16"/>
        </w:rPr>
        <w:t xml:space="preserve"> С 21.07 по 17.08.1941 г. было вывезено около половины оборудования и почти треть рабочих с семьями. Уже через 4 месяца после эвакуации начался выпуск продукции на новом месте. Некоторые цеха были эвакуированы в Самарканд, Омск, Новосибирск. Продолжил работу завод и в Ленинграде: производил прицелы, панорамы, взрыватели для снарядов, штыки, корпуса гранат, снаряды для 45-мм орудий, ремонт военных оптических приборов. В 03.1942 г. на заводе создали лабораторию по изготовлению хвойного экстракта. В 05.1942</w:t>
      </w:r>
      <w:r w:rsidR="0006581C">
        <w:rPr>
          <w:bCs/>
          <w:color w:val="002060"/>
          <w:sz w:val="16"/>
          <w:szCs w:val="16"/>
        </w:rPr>
        <w:t xml:space="preserve"> </w:t>
      </w:r>
      <w:r w:rsidRPr="00DE096C">
        <w:rPr>
          <w:bCs/>
          <w:color w:val="002060"/>
          <w:sz w:val="16"/>
          <w:szCs w:val="16"/>
        </w:rPr>
        <w:t>г. часть оборудования была вывезена в Волхов, где начал действовать филиал завода. В 1944 г. началось восстановление завода, пострадавшего от обстрелов, были введены в действие литейный, энергетический, деревообделочный корпуса.</w:t>
      </w:r>
    </w:p>
    <w:p w14:paraId="102BA99C" w14:textId="77777777" w:rsidR="00B67D7C" w:rsidRPr="00DE096C" w:rsidRDefault="00B67D7C" w:rsidP="00D45A46">
      <w:pPr>
        <w:jc w:val="both"/>
        <w:rPr>
          <w:bCs/>
          <w:color w:val="002060"/>
          <w:sz w:val="16"/>
          <w:szCs w:val="16"/>
        </w:rPr>
      </w:pPr>
      <w:r w:rsidRPr="00DE096C">
        <w:rPr>
          <w:bCs/>
          <w:color w:val="002060"/>
          <w:sz w:val="16"/>
          <w:szCs w:val="16"/>
        </w:rPr>
        <w:t>С 1944 г. начат выпуск оптиметров и ультраоптиметров, возобновлен выпуск киноаппаратуры. В 1946 г. восстановлен астроцех.</w:t>
      </w:r>
    </w:p>
    <w:p w14:paraId="76166EF4" w14:textId="77777777" w:rsidR="00B67D7C" w:rsidRPr="00DE096C" w:rsidRDefault="00B67D7C" w:rsidP="00D45A46">
      <w:pPr>
        <w:jc w:val="both"/>
        <w:rPr>
          <w:bCs/>
          <w:color w:val="002060"/>
          <w:sz w:val="16"/>
          <w:szCs w:val="16"/>
        </w:rPr>
      </w:pPr>
      <w:r w:rsidRPr="00DE096C">
        <w:rPr>
          <w:bCs/>
          <w:color w:val="002060"/>
          <w:sz w:val="16"/>
          <w:szCs w:val="16"/>
        </w:rPr>
        <w:t xml:space="preserve">В 1945 г. ГОМЗу передана часть оборудования и кадров ликвидированного ЛОМЗ № 350. С 1946 г. завод - в ведении </w:t>
      </w:r>
      <w:r w:rsidRPr="00DE096C">
        <w:rPr>
          <w:bCs/>
          <w:color w:val="002060"/>
          <w:sz w:val="16"/>
          <w:szCs w:val="16"/>
          <w:lang w:val="en-US"/>
        </w:rPr>
        <w:t>MB</w:t>
      </w:r>
      <w:r w:rsidRPr="00DE096C">
        <w:rPr>
          <w:bCs/>
          <w:color w:val="002060"/>
          <w:sz w:val="16"/>
          <w:szCs w:val="16"/>
        </w:rPr>
        <w:t>, с 1957 г. -ЛенСНХ.</w:t>
      </w:r>
    </w:p>
    <w:p w14:paraId="55AB8A10" w14:textId="5218A459" w:rsidR="00B67D7C" w:rsidRPr="00DE096C" w:rsidRDefault="00B67D7C" w:rsidP="00D45A46">
      <w:pPr>
        <w:jc w:val="both"/>
        <w:rPr>
          <w:bCs/>
          <w:color w:val="002060"/>
          <w:sz w:val="16"/>
          <w:szCs w:val="16"/>
        </w:rPr>
      </w:pPr>
      <w:r w:rsidRPr="00DE096C">
        <w:rPr>
          <w:bCs/>
          <w:color w:val="002060"/>
          <w:sz w:val="16"/>
          <w:szCs w:val="16"/>
        </w:rPr>
        <w:t>В конце 1940-х</w:t>
      </w:r>
      <w:r w:rsidR="0006581C">
        <w:rPr>
          <w:bCs/>
          <w:color w:val="002060"/>
          <w:sz w:val="16"/>
          <w:szCs w:val="16"/>
        </w:rPr>
        <w:t xml:space="preserve"> </w:t>
      </w:r>
      <w:r w:rsidRPr="00DE096C">
        <w:rPr>
          <w:bCs/>
          <w:color w:val="002060"/>
          <w:sz w:val="16"/>
          <w:szCs w:val="16"/>
        </w:rPr>
        <w:t>г. на ГОМЗе было создано КБ морского приборостроения. В 1956 году было организовано КБ перископостроения. В 1963 г. на их базе было создано единое ЦКБ.</w:t>
      </w:r>
    </w:p>
    <w:p w14:paraId="30DC78BB" w14:textId="77777777" w:rsidR="00B67D7C" w:rsidRPr="00DE096C" w:rsidRDefault="00B67D7C" w:rsidP="00D45A46">
      <w:pPr>
        <w:jc w:val="both"/>
        <w:rPr>
          <w:bCs/>
          <w:color w:val="002060"/>
          <w:sz w:val="16"/>
          <w:szCs w:val="16"/>
        </w:rPr>
      </w:pPr>
      <w:r w:rsidRPr="00DE096C">
        <w:rPr>
          <w:bCs/>
          <w:color w:val="002060"/>
          <w:sz w:val="16"/>
          <w:szCs w:val="16"/>
        </w:rPr>
        <w:lastRenderedPageBreak/>
        <w:t>В 1960 г. завод № 349 вновь получил название ГОМЗ им. ОГПУ, в его состав вошел Завод делительных головок. Пост. Ленсовнархоза № 273 от 2.10(11). 1962 г. на базе ГОМЗ, заводов «КИНАП», ООМЗ и «Прогресс» создано Ленинградское объединение оптико-механических производств (ЛООМП), получившее с 1.01.1965 г. имя ЛОМО (Ленинградское оптико-механическое объединение). В 1974 г. объединению присвоено имя Ленина.</w:t>
      </w:r>
    </w:p>
    <w:p w14:paraId="15106D83" w14:textId="77777777" w:rsidR="00B67D7C" w:rsidRPr="00DE096C" w:rsidRDefault="00B67D7C" w:rsidP="00D45A46">
      <w:pPr>
        <w:jc w:val="both"/>
        <w:rPr>
          <w:bCs/>
          <w:color w:val="002060"/>
          <w:sz w:val="16"/>
          <w:szCs w:val="16"/>
        </w:rPr>
      </w:pPr>
      <w:r w:rsidRPr="00DE096C">
        <w:rPr>
          <w:bCs/>
          <w:color w:val="002060"/>
          <w:sz w:val="16"/>
          <w:szCs w:val="16"/>
        </w:rPr>
        <w:t>После войны продолжено производство оптических приборов для ВМФ. Выпускались комплексы управления огнем для надводных кораблей.</w:t>
      </w:r>
    </w:p>
    <w:p w14:paraId="3245EA52" w14:textId="77777777" w:rsidR="00B67D7C" w:rsidRPr="00DE096C" w:rsidRDefault="00B67D7C" w:rsidP="00D45A46">
      <w:pPr>
        <w:jc w:val="both"/>
        <w:rPr>
          <w:bCs/>
          <w:color w:val="002060"/>
          <w:sz w:val="16"/>
          <w:szCs w:val="16"/>
        </w:rPr>
      </w:pPr>
      <w:r w:rsidRPr="00DE096C">
        <w:rPr>
          <w:bCs/>
          <w:color w:val="002060"/>
          <w:sz w:val="16"/>
          <w:szCs w:val="16"/>
        </w:rPr>
        <w:t>В 1952 году ГОМЗ выполнил заказ по оснащению оптическими приборами МГУ.</w:t>
      </w:r>
    </w:p>
    <w:p w14:paraId="3F3B1A50" w14:textId="2F615523" w:rsidR="00B67D7C" w:rsidRPr="00DE096C" w:rsidRDefault="00B67D7C" w:rsidP="00D45A46">
      <w:pPr>
        <w:jc w:val="both"/>
        <w:rPr>
          <w:bCs/>
          <w:color w:val="002060"/>
          <w:sz w:val="16"/>
          <w:szCs w:val="16"/>
        </w:rPr>
      </w:pPr>
      <w:r w:rsidRPr="00DE096C">
        <w:rPr>
          <w:bCs/>
          <w:color w:val="002060"/>
          <w:sz w:val="16"/>
          <w:szCs w:val="16"/>
        </w:rPr>
        <w:t>В 1950-е</w:t>
      </w:r>
      <w:r w:rsidR="0006581C">
        <w:rPr>
          <w:bCs/>
          <w:color w:val="002060"/>
          <w:sz w:val="16"/>
          <w:szCs w:val="16"/>
        </w:rPr>
        <w:t xml:space="preserve"> </w:t>
      </w:r>
      <w:r w:rsidRPr="00DE096C">
        <w:rPr>
          <w:bCs/>
          <w:color w:val="002060"/>
          <w:sz w:val="16"/>
          <w:szCs w:val="16"/>
        </w:rPr>
        <w:t>г. на ГОМЗе начались работы по электронно-оптическим взрывателям для УРВВ. В конце 1950-х</w:t>
      </w:r>
      <w:r w:rsidR="0006581C">
        <w:rPr>
          <w:bCs/>
          <w:color w:val="002060"/>
          <w:sz w:val="16"/>
          <w:szCs w:val="16"/>
        </w:rPr>
        <w:t xml:space="preserve"> </w:t>
      </w:r>
      <w:r w:rsidRPr="00DE096C">
        <w:rPr>
          <w:bCs/>
          <w:color w:val="002060"/>
          <w:sz w:val="16"/>
          <w:szCs w:val="16"/>
        </w:rPr>
        <w:t>г. для развития этих работ создано СКБ-1712. В 1960-е</w:t>
      </w:r>
      <w:r w:rsidR="0006581C">
        <w:rPr>
          <w:bCs/>
          <w:color w:val="002060"/>
          <w:sz w:val="16"/>
          <w:szCs w:val="16"/>
        </w:rPr>
        <w:t xml:space="preserve"> </w:t>
      </w:r>
      <w:r w:rsidRPr="00DE096C">
        <w:rPr>
          <w:bCs/>
          <w:color w:val="002060"/>
          <w:sz w:val="16"/>
          <w:szCs w:val="16"/>
        </w:rPr>
        <w:t>г. для их производства создан специализированный цех № 82.</w:t>
      </w:r>
    </w:p>
    <w:p w14:paraId="596D56B0" w14:textId="1846C738" w:rsidR="00B67D7C" w:rsidRPr="00DE096C" w:rsidRDefault="00B67D7C" w:rsidP="00D45A46">
      <w:pPr>
        <w:jc w:val="both"/>
        <w:rPr>
          <w:bCs/>
          <w:color w:val="002060"/>
          <w:sz w:val="16"/>
          <w:szCs w:val="16"/>
        </w:rPr>
      </w:pPr>
      <w:r w:rsidRPr="00DE096C">
        <w:rPr>
          <w:bCs/>
          <w:color w:val="002060"/>
          <w:sz w:val="16"/>
          <w:szCs w:val="16"/>
        </w:rPr>
        <w:t>В начале 1960-х</w:t>
      </w:r>
      <w:r w:rsidR="0006581C">
        <w:rPr>
          <w:bCs/>
          <w:color w:val="002060"/>
          <w:sz w:val="16"/>
          <w:szCs w:val="16"/>
        </w:rPr>
        <w:t xml:space="preserve"> </w:t>
      </w:r>
      <w:r w:rsidRPr="00DE096C">
        <w:rPr>
          <w:bCs/>
          <w:color w:val="002060"/>
          <w:sz w:val="16"/>
          <w:szCs w:val="16"/>
        </w:rPr>
        <w:t>г. открыто направление космического приборостроения. Первым было разработано изделие ОТ-2. В 1997 г. успешно испытан первый космический телескоп.</w:t>
      </w:r>
    </w:p>
    <w:p w14:paraId="52A37FCB" w14:textId="77777777" w:rsidR="00B67D7C" w:rsidRPr="00DE096C" w:rsidRDefault="00B67D7C" w:rsidP="00D45A46">
      <w:pPr>
        <w:jc w:val="both"/>
        <w:rPr>
          <w:bCs/>
          <w:color w:val="002060"/>
          <w:sz w:val="16"/>
          <w:szCs w:val="16"/>
        </w:rPr>
      </w:pPr>
      <w:r w:rsidRPr="00DE096C">
        <w:rPr>
          <w:bCs/>
          <w:color w:val="002060"/>
          <w:sz w:val="16"/>
          <w:szCs w:val="16"/>
        </w:rPr>
        <w:t>В 1963 г. на ЛООМП организовано специализированное КБ по разработке лазерных приборов. В 1965 г. на ЛОМО был созданы первые в СССР промышленные лазеры ГОР-0,2 и ГОС. В 1968 г. создан первый отечественный лазерный дальномер-прицел ДВУ-2.</w:t>
      </w:r>
    </w:p>
    <w:p w14:paraId="656A7120" w14:textId="60E1943D" w:rsidR="00B67D7C" w:rsidRPr="00DE096C" w:rsidRDefault="00B67D7C" w:rsidP="00D45A46">
      <w:pPr>
        <w:jc w:val="both"/>
        <w:rPr>
          <w:bCs/>
          <w:color w:val="002060"/>
          <w:sz w:val="16"/>
          <w:szCs w:val="16"/>
        </w:rPr>
      </w:pPr>
      <w:r w:rsidRPr="00DE096C">
        <w:rPr>
          <w:bCs/>
          <w:color w:val="002060"/>
          <w:sz w:val="16"/>
          <w:szCs w:val="16"/>
        </w:rPr>
        <w:t>В конце 1970-х</w:t>
      </w:r>
      <w:r w:rsidR="0006581C">
        <w:rPr>
          <w:bCs/>
          <w:color w:val="002060"/>
          <w:sz w:val="16"/>
          <w:szCs w:val="16"/>
        </w:rPr>
        <w:t xml:space="preserve"> </w:t>
      </w:r>
      <w:r w:rsidRPr="00DE096C">
        <w:rPr>
          <w:bCs/>
          <w:color w:val="002060"/>
          <w:sz w:val="16"/>
          <w:szCs w:val="16"/>
        </w:rPr>
        <w:t>г. с НПО «Красногвардеец» на ЛОМО было передано направление операционных микроскопов и эндоскопов.</w:t>
      </w:r>
    </w:p>
    <w:p w14:paraId="3F82C56C" w14:textId="3F24B465" w:rsidR="00B67D7C" w:rsidRPr="00DE096C" w:rsidRDefault="00B67D7C" w:rsidP="00D45A46">
      <w:pPr>
        <w:jc w:val="both"/>
        <w:rPr>
          <w:bCs/>
          <w:color w:val="002060"/>
          <w:sz w:val="16"/>
          <w:szCs w:val="16"/>
        </w:rPr>
      </w:pPr>
      <w:r w:rsidRPr="00DE096C">
        <w:rPr>
          <w:bCs/>
          <w:color w:val="002060"/>
          <w:sz w:val="16"/>
          <w:szCs w:val="16"/>
        </w:rPr>
        <w:t>В 1990-е</w:t>
      </w:r>
      <w:r w:rsidR="0006581C">
        <w:rPr>
          <w:bCs/>
          <w:color w:val="002060"/>
          <w:sz w:val="16"/>
          <w:szCs w:val="16"/>
        </w:rPr>
        <w:t xml:space="preserve"> </w:t>
      </w:r>
      <w:r w:rsidRPr="00DE096C">
        <w:rPr>
          <w:bCs/>
          <w:color w:val="002060"/>
          <w:sz w:val="16"/>
          <w:szCs w:val="16"/>
        </w:rPr>
        <w:t>г. появился ряд новых направлений: наблюдательные приборы; оптико-электронные системы для подсчета голосов избирателей; светодиодные светофоры, приборы для обеспечения безопасности взлета и посадки самолетов.</w:t>
      </w:r>
    </w:p>
    <w:p w14:paraId="16DC9030" w14:textId="77777777" w:rsidR="00B67D7C" w:rsidRPr="00DE096C" w:rsidRDefault="00B67D7C" w:rsidP="00D45A46">
      <w:pPr>
        <w:jc w:val="both"/>
        <w:rPr>
          <w:bCs/>
          <w:color w:val="002060"/>
          <w:sz w:val="16"/>
          <w:szCs w:val="16"/>
        </w:rPr>
      </w:pPr>
      <w:r w:rsidRPr="00DE096C">
        <w:rPr>
          <w:bCs/>
          <w:color w:val="002060"/>
          <w:sz w:val="16"/>
          <w:szCs w:val="16"/>
        </w:rPr>
        <w:t xml:space="preserve">В 1990 г.- </w:t>
      </w:r>
      <w:r w:rsidRPr="00DE096C">
        <w:rPr>
          <w:bCs/>
          <w:color w:val="002060"/>
          <w:sz w:val="16"/>
          <w:szCs w:val="16"/>
          <w:lang w:val="en-US"/>
        </w:rPr>
        <w:t>JIOMO</w:t>
      </w:r>
      <w:r w:rsidRPr="00DE096C">
        <w:rPr>
          <w:bCs/>
          <w:color w:val="002060"/>
          <w:sz w:val="16"/>
          <w:szCs w:val="16"/>
        </w:rPr>
        <w:t>МОП. 24.06.1993 г. предприятие акционировано и преобразовано в АООТ, с 1996 г. - ОАО «ЛОМО».</w:t>
      </w:r>
    </w:p>
    <w:p w14:paraId="26942DA6" w14:textId="77777777" w:rsidR="00B67D7C" w:rsidRPr="00DE096C" w:rsidRDefault="00B67D7C" w:rsidP="00D45A46">
      <w:pPr>
        <w:jc w:val="both"/>
        <w:rPr>
          <w:bCs/>
          <w:color w:val="002060"/>
          <w:sz w:val="16"/>
          <w:szCs w:val="16"/>
        </w:rPr>
      </w:pPr>
      <w:r w:rsidRPr="00DE096C">
        <w:rPr>
          <w:bCs/>
          <w:color w:val="002060"/>
          <w:sz w:val="16"/>
          <w:szCs w:val="16"/>
        </w:rPr>
        <w:t>Разработка и производство (2002 г.): приборы астрокоррекции и ориентации КА, визуально-фотографические приборы для станций «Салют», «Мир»; зеркально-линзовые объективы для телескопов, космические телескопы; микроскопы: биологические, люминесцентные, металлографические, поляризационные, стереоскопические, операционные; медтехника (гастроэндоскопы, бронхоскопы, колоноскопы); спектрофотометры.</w:t>
      </w:r>
    </w:p>
    <w:p w14:paraId="1DA7F33A" w14:textId="77777777" w:rsidR="00B67D7C" w:rsidRPr="00DE096C" w:rsidRDefault="00B67D7C" w:rsidP="00D45A46">
      <w:pPr>
        <w:jc w:val="both"/>
        <w:rPr>
          <w:bCs/>
          <w:color w:val="002060"/>
          <w:sz w:val="16"/>
          <w:szCs w:val="16"/>
        </w:rPr>
      </w:pPr>
      <w:r w:rsidRPr="00DE096C">
        <w:rPr>
          <w:bCs/>
          <w:color w:val="002060"/>
          <w:sz w:val="16"/>
          <w:szCs w:val="16"/>
        </w:rPr>
        <w:t xml:space="preserve">В состав </w:t>
      </w:r>
      <w:r w:rsidRPr="00DE096C">
        <w:rPr>
          <w:bCs/>
          <w:color w:val="002060"/>
          <w:sz w:val="16"/>
          <w:szCs w:val="16"/>
          <w:lang w:val="en-US"/>
        </w:rPr>
        <w:t>JIOMO</w:t>
      </w:r>
      <w:r w:rsidRPr="00DE096C">
        <w:rPr>
          <w:bCs/>
          <w:color w:val="002060"/>
          <w:sz w:val="16"/>
          <w:szCs w:val="16"/>
        </w:rPr>
        <w:t>входили (2002 г.)- ЦКБ, научно-производственные комплексы, специализированные производства, испытательныи центр, корпоративный центр, отделы.</w:t>
      </w:r>
    </w:p>
    <w:p w14:paraId="4F2ABB35" w14:textId="77777777" w:rsidR="00B67D7C" w:rsidRPr="00DE096C" w:rsidRDefault="00B67D7C" w:rsidP="00D45A46">
      <w:pPr>
        <w:jc w:val="both"/>
        <w:rPr>
          <w:bCs/>
          <w:color w:val="002060"/>
          <w:sz w:val="16"/>
          <w:szCs w:val="16"/>
        </w:rPr>
      </w:pPr>
      <w:r w:rsidRPr="00DE096C">
        <w:rPr>
          <w:bCs/>
          <w:color w:val="002060"/>
          <w:sz w:val="16"/>
          <w:szCs w:val="16"/>
        </w:rPr>
        <w:t>Численность персонала: (1914 г.)- около 80 чел., (1915 г.)- около 300 чел., (1916 г.)- 900 чел., (1925 г.)- 256 рабочих, (1927 г.)- 700 рабочих, (1928 г.)- 1007 чел., (1929 г.)- 1218 чел., (1930 г.)- 2340 чел., (1931 г.)- 4223 чел., (1932 г.)- 4220 рабочих, (1942 г.)- 2600 чел.</w:t>
      </w:r>
    </w:p>
    <w:p w14:paraId="355CB081" w14:textId="456E9A2A" w:rsidR="00B67D7C" w:rsidRPr="00DE096C" w:rsidRDefault="00B67D7C" w:rsidP="00D45A46">
      <w:pPr>
        <w:jc w:val="both"/>
        <w:rPr>
          <w:bCs/>
          <w:color w:val="002060"/>
          <w:sz w:val="16"/>
          <w:szCs w:val="16"/>
        </w:rPr>
      </w:pPr>
      <w:r w:rsidRPr="00DE096C">
        <w:rPr>
          <w:bCs/>
          <w:color w:val="002060"/>
          <w:sz w:val="16"/>
          <w:szCs w:val="16"/>
        </w:rPr>
        <w:t>Директор (1914-15 г.)- А.Л. Гершун, (1915-18 г.)- М. Таубер, (1918-20 г.)-</w:t>
      </w:r>
      <w:r w:rsidR="0006581C">
        <w:rPr>
          <w:bCs/>
          <w:color w:val="002060"/>
          <w:sz w:val="16"/>
          <w:szCs w:val="16"/>
        </w:rPr>
        <w:t xml:space="preserve"> </w:t>
      </w:r>
      <w:r w:rsidRPr="00DE096C">
        <w:rPr>
          <w:bCs/>
          <w:color w:val="002060"/>
          <w:sz w:val="16"/>
          <w:szCs w:val="16"/>
        </w:rPr>
        <w:t>Г.В. Отт, (1920-24 г.)- Л. Г. Титов, (1924-25 г.)- М.В. Жандаров, (1925-28 г.)- В. Г. Николаев, (1928 г.)- А.Т. Трофимов, (1929-ЗО г.)-</w:t>
      </w:r>
      <w:r w:rsidR="0006581C">
        <w:rPr>
          <w:bCs/>
          <w:color w:val="002060"/>
          <w:sz w:val="16"/>
          <w:szCs w:val="16"/>
        </w:rPr>
        <w:t xml:space="preserve"> </w:t>
      </w:r>
      <w:r w:rsidRPr="00DE096C">
        <w:rPr>
          <w:bCs/>
          <w:color w:val="002060"/>
          <w:sz w:val="16"/>
          <w:szCs w:val="16"/>
        </w:rPr>
        <w:t>Г.В. Вольный, (1930-32 г.)- В.В. Тимофеев, (1932-39 г.)- И.А. Уваров, (1939-41 г.)- А.Ф. Соловьев, (08.1941-51 г.)- В.Н. Семенов, (1951-61 г.)- М.П. Панфилов (затем- зампредседателя Ленсовнархоза), (1961-62 г.)- И.И. Васильев. Гендиректор (11.12.1962-86 г.)- М.П. Панфилов, (1986-92 г.)- Д.В. Сергеев, (1992-12.1997 г.)- И.И. Клебанов, (12.1997-2005 г.-)- А.С. Кобицкий (председатель правления ЛОМО).</w:t>
      </w:r>
    </w:p>
    <w:p w14:paraId="3FEC0CF2" w14:textId="59E96D4E" w:rsidR="00B67D7C" w:rsidRPr="00DE096C" w:rsidRDefault="00B67D7C" w:rsidP="00D45A46">
      <w:pPr>
        <w:jc w:val="both"/>
        <w:rPr>
          <w:bCs/>
          <w:color w:val="002060"/>
          <w:sz w:val="16"/>
          <w:szCs w:val="16"/>
        </w:rPr>
      </w:pPr>
      <w:r w:rsidRPr="00DE096C">
        <w:rPr>
          <w:bCs/>
          <w:color w:val="002060"/>
          <w:sz w:val="16"/>
          <w:szCs w:val="16"/>
        </w:rPr>
        <w:t xml:space="preserve">1-й зам. Гендиректора (2004 г.)- </w:t>
      </w:r>
      <w:r w:rsidRPr="00DE096C">
        <w:rPr>
          <w:bCs/>
          <w:color w:val="002060"/>
          <w:sz w:val="16"/>
          <w:szCs w:val="16"/>
          <w:lang w:val="en-US"/>
        </w:rPr>
        <w:t>A</w:t>
      </w:r>
      <w:r w:rsidRPr="00DE096C">
        <w:rPr>
          <w:bCs/>
          <w:color w:val="002060"/>
          <w:sz w:val="16"/>
          <w:szCs w:val="16"/>
        </w:rPr>
        <w:t>.</w:t>
      </w:r>
      <w:r w:rsidRPr="00DE096C">
        <w:rPr>
          <w:bCs/>
          <w:color w:val="002060"/>
          <w:sz w:val="16"/>
          <w:szCs w:val="16"/>
          <w:lang w:val="en-US"/>
        </w:rPr>
        <w:t>M</w:t>
      </w:r>
      <w:r w:rsidRPr="00DE096C">
        <w:rPr>
          <w:bCs/>
          <w:color w:val="002060"/>
          <w:sz w:val="16"/>
          <w:szCs w:val="16"/>
        </w:rPr>
        <w:t>. Аронов. Зам. директора (-01.1934-06.1935 г.-)-</w:t>
      </w:r>
      <w:r w:rsidR="0006581C">
        <w:rPr>
          <w:bCs/>
          <w:color w:val="002060"/>
          <w:sz w:val="16"/>
          <w:szCs w:val="16"/>
        </w:rPr>
        <w:t xml:space="preserve"> </w:t>
      </w:r>
      <w:r w:rsidRPr="00DE096C">
        <w:rPr>
          <w:bCs/>
          <w:color w:val="002060"/>
          <w:sz w:val="16"/>
          <w:szCs w:val="16"/>
        </w:rPr>
        <w:t xml:space="preserve">Г.З. Матюхин, (1938 г.)- Котляр, (09.1938 г.)- А.Ф. Соловьев. Зам. гендиректора: по технологии (1990-е)- В.И. Верхоглаз; по коммерческим вопросам (2002 г.)- </w:t>
      </w:r>
      <w:r w:rsidRPr="00DE096C">
        <w:rPr>
          <w:bCs/>
          <w:color w:val="002060"/>
          <w:sz w:val="16"/>
          <w:szCs w:val="16"/>
          <w:lang w:val="en-US"/>
        </w:rPr>
        <w:t>A</w:t>
      </w:r>
      <w:r w:rsidRPr="00DE096C">
        <w:rPr>
          <w:bCs/>
          <w:color w:val="002060"/>
          <w:sz w:val="16"/>
          <w:szCs w:val="16"/>
        </w:rPr>
        <w:t>.</w:t>
      </w:r>
      <w:r w:rsidRPr="00DE096C">
        <w:rPr>
          <w:bCs/>
          <w:color w:val="002060"/>
          <w:sz w:val="16"/>
          <w:szCs w:val="16"/>
          <w:lang w:val="en-US"/>
        </w:rPr>
        <w:t>M</w:t>
      </w:r>
      <w:r w:rsidRPr="00DE096C">
        <w:rPr>
          <w:bCs/>
          <w:color w:val="002060"/>
          <w:sz w:val="16"/>
          <w:szCs w:val="16"/>
        </w:rPr>
        <w:t>. Аронов.</w:t>
      </w:r>
    </w:p>
    <w:p w14:paraId="5DB96FB6" w14:textId="77777777" w:rsidR="00B67D7C" w:rsidRPr="00DE096C" w:rsidRDefault="00B67D7C" w:rsidP="00D45A46">
      <w:pPr>
        <w:jc w:val="both"/>
        <w:rPr>
          <w:bCs/>
          <w:color w:val="002060"/>
          <w:sz w:val="16"/>
          <w:szCs w:val="16"/>
        </w:rPr>
      </w:pPr>
      <w:r w:rsidRPr="00DE096C">
        <w:rPr>
          <w:bCs/>
          <w:color w:val="002060"/>
          <w:sz w:val="16"/>
          <w:szCs w:val="16"/>
        </w:rPr>
        <w:t>Директор: технический (1933 г.)- А.П. Знаменский, (07.2004 г.-)- В.О. Никифоров; коммерческий (1990-е)- А.С. Кобицкий; комплекса ТИП (-1992 г.)- И.И. Клебанов; по маркетингу и продажам (1990-е-2004 г.-)- С.В. Шнуров; по производству и экономике (2004 г.)- М.И. Баганов (начальник производства); по производству и продажам (- 2005-06 г.-)- К.А. Василов; по персоналу и экономической безопасности (2004 г.)- А.Ю. Грузин; по управлению корпоративным имуществом (2004 г.)- М.А. Зверева; по производству и экономике (2004 г.)- М.И. Козлова.</w:t>
      </w:r>
    </w:p>
    <w:p w14:paraId="2DFF841E" w14:textId="77777777" w:rsidR="00B67D7C" w:rsidRPr="00DE096C" w:rsidRDefault="00B67D7C" w:rsidP="00D45A46">
      <w:pPr>
        <w:jc w:val="both"/>
        <w:rPr>
          <w:bCs/>
          <w:color w:val="002060"/>
          <w:sz w:val="16"/>
          <w:szCs w:val="16"/>
        </w:rPr>
      </w:pPr>
      <w:r w:rsidRPr="00DE096C">
        <w:rPr>
          <w:bCs/>
          <w:color w:val="002060"/>
          <w:sz w:val="16"/>
          <w:szCs w:val="16"/>
        </w:rPr>
        <w:t>Зам. технического директора: (02.1935 г.)- Соловьев; по оборонной продукции (2004 г.)- Н.Ю. Шустов.</w:t>
      </w:r>
    </w:p>
    <w:p w14:paraId="3E7C350F" w14:textId="77777777" w:rsidR="00B67D7C" w:rsidRPr="00DE096C" w:rsidRDefault="00B67D7C" w:rsidP="00D45A46">
      <w:pPr>
        <w:jc w:val="both"/>
        <w:rPr>
          <w:bCs/>
          <w:color w:val="002060"/>
          <w:sz w:val="16"/>
          <w:szCs w:val="16"/>
        </w:rPr>
      </w:pPr>
      <w:r w:rsidRPr="00DE096C">
        <w:rPr>
          <w:bCs/>
          <w:color w:val="002060"/>
          <w:sz w:val="16"/>
          <w:szCs w:val="16"/>
        </w:rPr>
        <w:t>Гл. инженер (-09-12.1938 г.-)- А.Ф. Соловьев, И.И. Клебанов.</w:t>
      </w:r>
    </w:p>
    <w:p w14:paraId="3E0C6933" w14:textId="77777777" w:rsidR="00B67D7C" w:rsidRPr="00DE096C" w:rsidRDefault="00B67D7C" w:rsidP="00D45A46">
      <w:pPr>
        <w:jc w:val="both"/>
        <w:rPr>
          <w:bCs/>
          <w:color w:val="002060"/>
          <w:sz w:val="16"/>
          <w:szCs w:val="16"/>
        </w:rPr>
      </w:pPr>
      <w:r w:rsidRPr="00DE096C">
        <w:rPr>
          <w:bCs/>
          <w:color w:val="002060"/>
          <w:sz w:val="16"/>
          <w:szCs w:val="16"/>
        </w:rPr>
        <w:t>Гл. конструктор (12.1938 г.)- Гуляев.</w:t>
      </w:r>
    </w:p>
    <w:p w14:paraId="7D2CA0D1" w14:textId="77777777" w:rsidR="00B67D7C" w:rsidRPr="00DE096C" w:rsidRDefault="00B67D7C" w:rsidP="00D45A46">
      <w:pPr>
        <w:jc w:val="both"/>
        <w:rPr>
          <w:bCs/>
          <w:color w:val="002060"/>
          <w:sz w:val="16"/>
          <w:szCs w:val="16"/>
        </w:rPr>
      </w:pPr>
      <w:r w:rsidRPr="00DE096C">
        <w:rPr>
          <w:bCs/>
          <w:color w:val="002060"/>
          <w:sz w:val="16"/>
          <w:szCs w:val="16"/>
        </w:rPr>
        <w:t>Гл. технолог (12.1938 г.)- Миньков. Гл. энергетик (1950-е)- С.Ф. Соболев. Гл. механик (09.1937 г.)- И.Л. Путвинский.</w:t>
      </w:r>
    </w:p>
    <w:p w14:paraId="34226338" w14:textId="77777777" w:rsidR="00B67D7C" w:rsidRPr="00DE096C" w:rsidRDefault="00B67D7C" w:rsidP="00D45A46">
      <w:pPr>
        <w:jc w:val="both"/>
        <w:rPr>
          <w:bCs/>
          <w:color w:val="002060"/>
          <w:sz w:val="16"/>
          <w:szCs w:val="16"/>
        </w:rPr>
      </w:pPr>
      <w:r w:rsidRPr="00DE096C">
        <w:rPr>
          <w:bCs/>
          <w:color w:val="002060"/>
          <w:sz w:val="16"/>
          <w:szCs w:val="16"/>
        </w:rPr>
        <w:t>Зам. гл. технолога (12.1938 г.)- Брусиловский.</w:t>
      </w:r>
    </w:p>
    <w:p w14:paraId="26452766" w14:textId="77777777" w:rsidR="00B67D7C" w:rsidRPr="00DE096C" w:rsidRDefault="00B67D7C" w:rsidP="00D45A46">
      <w:pPr>
        <w:jc w:val="both"/>
        <w:rPr>
          <w:bCs/>
          <w:color w:val="002060"/>
          <w:sz w:val="16"/>
          <w:szCs w:val="16"/>
        </w:rPr>
      </w:pPr>
      <w:r w:rsidRPr="00DE096C">
        <w:rPr>
          <w:bCs/>
          <w:color w:val="002060"/>
          <w:sz w:val="16"/>
          <w:szCs w:val="16"/>
        </w:rPr>
        <w:t>Начальники управлений: финансово-инвестиционного (07.2004 г.-)- П.Л. Кочин; общественных связей (-2005- 06 г.-)- Н.В. Константинова.</w:t>
      </w:r>
    </w:p>
    <w:p w14:paraId="4605358B" w14:textId="77777777" w:rsidR="00B67D7C" w:rsidRPr="00DE096C" w:rsidRDefault="00B67D7C" w:rsidP="00D45A46">
      <w:pPr>
        <w:jc w:val="both"/>
        <w:rPr>
          <w:bCs/>
          <w:color w:val="002060"/>
          <w:sz w:val="16"/>
          <w:szCs w:val="16"/>
        </w:rPr>
      </w:pPr>
      <w:r w:rsidRPr="00DE096C">
        <w:rPr>
          <w:bCs/>
          <w:color w:val="002060"/>
          <w:sz w:val="16"/>
          <w:szCs w:val="16"/>
        </w:rPr>
        <w:t>Гл. конструкторы: (-1960-76 г.-)- Б.К. Иоаннисиани (ЗТШ, БТА), (1983 г.)- А.Н. Великожон (космический телескоп).</w:t>
      </w:r>
    </w:p>
    <w:p w14:paraId="50E3E5E5" w14:textId="77777777" w:rsidR="00B67D7C" w:rsidRPr="00DE096C" w:rsidRDefault="00B67D7C" w:rsidP="00D45A46">
      <w:pPr>
        <w:jc w:val="both"/>
        <w:rPr>
          <w:bCs/>
          <w:color w:val="002060"/>
          <w:sz w:val="16"/>
          <w:szCs w:val="16"/>
        </w:rPr>
      </w:pPr>
      <w:r w:rsidRPr="00DE096C">
        <w:rPr>
          <w:bCs/>
          <w:color w:val="002060"/>
          <w:sz w:val="16"/>
          <w:szCs w:val="16"/>
        </w:rPr>
        <w:t>Начальники цехов: механического (12.1934 г.)- Путтинг; механосборочного (-1962 г.)- Л.И. Вороничев; опытного (12.1938 г.)- Дианов.</w:t>
      </w:r>
    </w:p>
    <w:p w14:paraId="51F75835" w14:textId="77777777" w:rsidR="00B67D7C" w:rsidRPr="00DE096C" w:rsidRDefault="00B67D7C" w:rsidP="00D45A46">
      <w:pPr>
        <w:jc w:val="both"/>
        <w:rPr>
          <w:bCs/>
          <w:color w:val="002060"/>
          <w:sz w:val="16"/>
          <w:szCs w:val="16"/>
        </w:rPr>
      </w:pPr>
      <w:r w:rsidRPr="00DE096C">
        <w:rPr>
          <w:bCs/>
          <w:color w:val="002060"/>
          <w:sz w:val="16"/>
          <w:szCs w:val="16"/>
        </w:rPr>
        <w:t>Зам. начальника цеха: Л.И. Вороничев.</w:t>
      </w:r>
    </w:p>
    <w:p w14:paraId="18FFD72D" w14:textId="59D174A7" w:rsidR="00B67D7C" w:rsidRPr="00DE096C" w:rsidRDefault="00B67D7C" w:rsidP="00D45A46">
      <w:pPr>
        <w:jc w:val="both"/>
        <w:rPr>
          <w:bCs/>
          <w:color w:val="002060"/>
          <w:sz w:val="16"/>
          <w:szCs w:val="16"/>
        </w:rPr>
      </w:pPr>
      <w:r w:rsidRPr="00DE096C">
        <w:rPr>
          <w:bCs/>
          <w:color w:val="002060"/>
          <w:sz w:val="16"/>
          <w:szCs w:val="16"/>
        </w:rPr>
        <w:t>Начальники отделов: ППО (12.1934 г.)- Миньков; финансового (3.10.1937 г.-)-</w:t>
      </w:r>
      <w:r w:rsidR="0006581C">
        <w:rPr>
          <w:bCs/>
          <w:color w:val="002060"/>
          <w:sz w:val="16"/>
          <w:szCs w:val="16"/>
        </w:rPr>
        <w:t xml:space="preserve"> </w:t>
      </w:r>
      <w:r w:rsidRPr="00DE096C">
        <w:rPr>
          <w:bCs/>
          <w:color w:val="002060"/>
          <w:sz w:val="16"/>
          <w:szCs w:val="16"/>
        </w:rPr>
        <w:t>Г.В. Брин; подготовки кадров (02.1935 г.)- Минглинник.</w:t>
      </w:r>
    </w:p>
    <w:p w14:paraId="29EE9EBC" w14:textId="77777777" w:rsidR="00B67D7C" w:rsidRPr="00DE096C" w:rsidRDefault="00B67D7C" w:rsidP="00D45A46">
      <w:pPr>
        <w:jc w:val="both"/>
        <w:rPr>
          <w:bCs/>
          <w:color w:val="002060"/>
          <w:sz w:val="16"/>
          <w:szCs w:val="16"/>
        </w:rPr>
      </w:pPr>
      <w:r w:rsidRPr="00DE096C">
        <w:rPr>
          <w:bCs/>
          <w:color w:val="002060"/>
          <w:sz w:val="16"/>
          <w:szCs w:val="16"/>
        </w:rPr>
        <w:t>Зам. начальника снабжения (01.1935 г.)- Гревцов.</w:t>
      </w:r>
    </w:p>
    <w:p w14:paraId="424C4D6A" w14:textId="77777777" w:rsidR="00B67D7C" w:rsidRPr="00DE096C" w:rsidRDefault="00B67D7C" w:rsidP="00D45A46">
      <w:pPr>
        <w:jc w:val="both"/>
        <w:rPr>
          <w:bCs/>
          <w:color w:val="002060"/>
          <w:sz w:val="16"/>
          <w:szCs w:val="16"/>
        </w:rPr>
      </w:pPr>
      <w:r w:rsidRPr="00DE096C">
        <w:rPr>
          <w:bCs/>
          <w:color w:val="002060"/>
          <w:sz w:val="16"/>
          <w:szCs w:val="16"/>
        </w:rPr>
        <w:t>Руководители лабораторий: фотолаборатории (1930 г.)- А.А. Ворожбит; органической микроскопии (1960-е)- И.Л. Зарубина.</w:t>
      </w:r>
    </w:p>
    <w:p w14:paraId="0442C16A" w14:textId="77777777" w:rsidR="00B67D7C" w:rsidRPr="00DE096C" w:rsidRDefault="00B67D7C" w:rsidP="00D45A46">
      <w:pPr>
        <w:jc w:val="both"/>
        <w:rPr>
          <w:bCs/>
          <w:color w:val="002060"/>
          <w:sz w:val="16"/>
          <w:szCs w:val="16"/>
        </w:rPr>
      </w:pPr>
      <w:r w:rsidRPr="00DE096C">
        <w:rPr>
          <w:bCs/>
          <w:color w:val="002060"/>
          <w:sz w:val="16"/>
          <w:szCs w:val="16"/>
        </w:rPr>
        <w:t xml:space="preserve">Начальники бюро: вычислительного (1928 г.)- </w:t>
      </w:r>
      <w:r w:rsidRPr="00DE096C">
        <w:rPr>
          <w:bCs/>
          <w:color w:val="002060"/>
          <w:sz w:val="16"/>
          <w:szCs w:val="16"/>
          <w:lang w:val="en-US"/>
        </w:rPr>
        <w:t>B</w:t>
      </w:r>
      <w:r w:rsidRPr="00DE096C">
        <w:rPr>
          <w:bCs/>
          <w:color w:val="002060"/>
          <w:sz w:val="16"/>
          <w:szCs w:val="16"/>
        </w:rPr>
        <w:t>.</w:t>
      </w:r>
      <w:r w:rsidRPr="00DE096C">
        <w:rPr>
          <w:bCs/>
          <w:color w:val="002060"/>
          <w:sz w:val="16"/>
          <w:szCs w:val="16"/>
          <w:lang w:val="en-US"/>
        </w:rPr>
        <w:t>C</w:t>
      </w:r>
      <w:r w:rsidRPr="00DE096C">
        <w:rPr>
          <w:bCs/>
          <w:color w:val="002060"/>
          <w:sz w:val="16"/>
          <w:szCs w:val="16"/>
        </w:rPr>
        <w:t>. Игнатовский; ТНБ (12.1934 г.)- Котляр; ПРБ (12.1934 г.)- Ардашников; технологического- И.И. Клебанов; КБ- И.И. Клебанов. Заведующий исследовательской секцией (12.1934 г.)- Дымский. Руководитель конструкторской группы (12.1938 г.)- Касаткин.</w:t>
      </w:r>
    </w:p>
    <w:p w14:paraId="1002B430" w14:textId="77777777" w:rsidR="00B67D7C" w:rsidRPr="00DE096C" w:rsidRDefault="00B67D7C" w:rsidP="00D45A46">
      <w:pPr>
        <w:jc w:val="both"/>
        <w:rPr>
          <w:bCs/>
          <w:color w:val="002060"/>
          <w:sz w:val="16"/>
          <w:szCs w:val="16"/>
        </w:rPr>
      </w:pPr>
      <w:r w:rsidRPr="00DE096C">
        <w:rPr>
          <w:bCs/>
          <w:i/>
          <w:color w:val="002060"/>
          <w:sz w:val="16"/>
          <w:szCs w:val="16"/>
        </w:rPr>
        <w:t>Создано:</w:t>
      </w:r>
      <w:r w:rsidRPr="00DE096C">
        <w:rPr>
          <w:bCs/>
          <w:color w:val="002060"/>
          <w:sz w:val="16"/>
          <w:szCs w:val="16"/>
        </w:rPr>
        <w:t xml:space="preserve"> кинопроекционные аппараты: «Русь» (1918), стационарный ТОМП-4, КЗС-1 (1934), кинопередвижки: «ГОЗ», звуковая «ГЕКОРД» (1934); кинокамеры: КС-5 (1939), для цветных фильмов ЦКС-1 (1939); видеомагнитофон (1959); фотоувеличитель (1934); фотоаппараты: зеркальный «Спорт» (1934), «Турист» (1935); экспедиционные целостаты для наблюдения солнечного затмения, оптический комплекс Ленинградского планетария; телескопы: астрограф для Пулковской обсерватории, АЗТ-11 (1950-е, диаметр зеркала 1,25 м), ЗТШ для Крымской обсерватории (1960, 2,6 м- самый крупный в Европе), ЗТА для Армении, Большой Азимутальный Телескоп для Зеленчукской обсерватории (БТА, 1976, 6 м- крупнейший в мире), АЗТ-22, АЗТ-24, АЗТ-27, любительский «Астел» (1990-е); зрительные трубы «Капитан» и «Колибри» (1990-е); микроскопы: универсальный измерительный УИМ-21 (1945), МИКМЕД-1, МИКМЕД-2, БИОЛАМ, поляризационный ПОЛАМ, металлографический МЕТАМ, измерительный МИИ-4, микротвердомер ПМГ-ЗМ, спектрофотометр- микроскоп МСФУ-К, сравнения криминалистический МСК, стереоскопический МССО-1 (1980-е); спектрограф (1947); монохроматор УМ-1 (1940-е); спектрофотометр СФ-39, спектральные вычислительные комплексы КСВУ, фотоэлектрические системы МФС-7, МФС-8, ДФС-51, автоматизированные спектрометры СФ-56 и ИКС-40 (1980-е); сверхлегкий зеркально-линзовый объектив для КА ОТ-2 (1960-е); стереодальномеры морские (1928), ДМ-6 (1937), ДМ-3 (1937); лазерный дальномер-прицел ДВУ-2 (1968), станция лазерной подсветки комплекса «Крона» (1970-е); танковые прицелы «Обь», «Иртыш» (1970-е), приборы для ЗРАК «Тунгуска», «Шишка», ЗРК «Стрела-10», системы управления огнем; ГСН для ПЗРК «Стрела-2», «Игла», управляемых снарядов «Краснополь»; приборы ночного видения «Эльф», «Рекон», «ОНВ-1» (1994); лазеры: промышленные ГОР-0,2, ГОС (1965); медицинский «Пульсар-ЮООМ», для физических исследований «МИЛ-20»; безопасные для глаз БЛМ-1, БЛМ-1Т (1999), МИ-1, МИ-10 (2003); сканер избирательных бюллетеней СИБ (1995), комплекс обработки избирательных бюллетеней КОИБ (2001);</w:t>
      </w:r>
    </w:p>
    <w:p w14:paraId="52C73D26" w14:textId="77777777" w:rsidR="00B67D7C" w:rsidRPr="00DE096C" w:rsidRDefault="00B67D7C" w:rsidP="00D45A46">
      <w:pPr>
        <w:jc w:val="both"/>
        <w:rPr>
          <w:bCs/>
          <w:color w:val="002060"/>
          <w:sz w:val="16"/>
          <w:szCs w:val="16"/>
        </w:rPr>
      </w:pPr>
      <w:r w:rsidRPr="00DE096C">
        <w:rPr>
          <w:bCs/>
          <w:i/>
          <w:color w:val="002060"/>
          <w:sz w:val="16"/>
          <w:szCs w:val="16"/>
        </w:rPr>
        <w:t>Производство: дальномеры:</w:t>
      </w:r>
      <w:r w:rsidRPr="00DE096C">
        <w:rPr>
          <w:bCs/>
          <w:color w:val="002060"/>
          <w:sz w:val="16"/>
          <w:szCs w:val="16"/>
        </w:rPr>
        <w:t xml:space="preserve"> ДМ-1,5, -3, -4, -6, -8 (1937) визир центральной наводки ВМЦ-2, торпедный инклинометр (1937); стабилизированный визирный пост СВП (1937); тумбы ДМ-3, ДМ-4, ПАУ-22, РВП-1, ВБК-1 (1938);</w:t>
      </w:r>
      <w:r w:rsidRPr="00DE096C">
        <w:rPr>
          <w:bCs/>
          <w:i/>
          <w:color w:val="002060"/>
          <w:sz w:val="16"/>
          <w:szCs w:val="16"/>
        </w:rPr>
        <w:t xml:space="preserve"> перископы для ПЛ:</w:t>
      </w:r>
      <w:r w:rsidRPr="00DE096C">
        <w:rPr>
          <w:bCs/>
          <w:color w:val="002060"/>
          <w:sz w:val="16"/>
          <w:szCs w:val="16"/>
        </w:rPr>
        <w:t xml:space="preserve"> атаки ПА-7,5, -8,5, -9, зенитные, специальный ПС-7, «С», «Д» (1937), ПАУ-22, ПЕР-27, -40, ОПБ-2м (1938);</w:t>
      </w:r>
      <w:r w:rsidRPr="00DE096C">
        <w:rPr>
          <w:bCs/>
          <w:i/>
          <w:color w:val="002060"/>
          <w:sz w:val="16"/>
          <w:szCs w:val="16"/>
        </w:rPr>
        <w:t xml:space="preserve"> прицелы:</w:t>
      </w:r>
      <w:r w:rsidRPr="00DE096C">
        <w:rPr>
          <w:bCs/>
          <w:color w:val="002060"/>
          <w:sz w:val="16"/>
          <w:szCs w:val="16"/>
        </w:rPr>
        <w:t xml:space="preserve"> ПАЛ-22 (1937), винтовочный оптический «ПЕ» (1943-44)- 1974; танковые «Обь», «Иртыш», авиационные; перископы (1930-е); измерительный комплекс контроля траекторий ракет «Кубань»; приборы для ЗРАК «Тунгуска», «Шилка», ЗРК «Стрела-10»; ГСН для ПЗРК «Стрела-2», «Игла», управляемых снарядов «Краснополь»; электронно-оптические взрыватели: «Аист-2» (1968-83), «Сокол-М» (-1980-е), «Бекас-2» (-1980-е); прибор ночного видения «Рекон-4» (2004);</w:t>
      </w:r>
    </w:p>
    <w:p w14:paraId="4081BEFC" w14:textId="77777777" w:rsidR="00B67D7C" w:rsidRPr="00DE096C" w:rsidRDefault="00B67D7C" w:rsidP="00D45A46">
      <w:pPr>
        <w:jc w:val="both"/>
        <w:rPr>
          <w:bCs/>
          <w:color w:val="002060"/>
          <w:sz w:val="16"/>
          <w:szCs w:val="16"/>
        </w:rPr>
      </w:pPr>
      <w:r w:rsidRPr="00DE096C">
        <w:rPr>
          <w:bCs/>
          <w:i/>
          <w:color w:val="002060"/>
          <w:sz w:val="16"/>
          <w:szCs w:val="16"/>
        </w:rPr>
        <w:t>фотоаппараты:</w:t>
      </w:r>
      <w:r w:rsidRPr="00DE096C">
        <w:rPr>
          <w:bCs/>
          <w:color w:val="002060"/>
          <w:sz w:val="16"/>
          <w:szCs w:val="16"/>
        </w:rPr>
        <w:t xml:space="preserve"> «Фотокор» (1930-41) ~1 млн., «Спорт» (1935-41) ~20 000, «Турист» (1934-41), «Лилипут» (1937-40)- 15.000, «Малютка» (1939-40), «Репортер» (1939-41), «Смена» (1939-41), «Комсомолец» (1946-51)- 306.743, «Любитель» (1949-56)- 1.361.110, «Любитель-2 (1955-80)- 2.232.245, -166 (1976-81)- 69120, -166В (1980- 90)- 906.248, -166У» (1983-96)- 412.187, «Момент» (1952-54)- 9000, «Смена» (1954-60)- 1.774.847, «Смена-2 (1955-62)- 1.579.326, -6 (1961-69)- 1.992.546, -8 и -8М (1963-95)- 21.041.191, -СИМВОЛ (1971-91)- 4.181.469, -19 (1985-89)- 10033, -35 (1980-95)- 839.109, -РАПИД», «Спутник» (1955-74)- 84063, «Ленинград» (1956-66)- 76385, «Юность» (1957-60)- 51026, «Восход» (1964-69)- 59225, «Сокол» (1966-84)- 298.855, </w:t>
      </w:r>
      <w:r w:rsidRPr="00DE096C">
        <w:rPr>
          <w:bCs/>
          <w:color w:val="002060"/>
          <w:sz w:val="16"/>
          <w:szCs w:val="16"/>
          <w:lang w:val="en-US"/>
        </w:rPr>
        <w:t>SL</w:t>
      </w:r>
      <w:r w:rsidRPr="00DE096C">
        <w:rPr>
          <w:bCs/>
          <w:color w:val="002060"/>
          <w:sz w:val="16"/>
          <w:szCs w:val="16"/>
        </w:rPr>
        <w:t>(1968-77)- 597.935, ЛОМО-135ВС (1975-82)- 85902, -135М (1981-84)- 89500, -компакт (1983-2000)- 1.214.475, -компакт-автомат (- 2004), «Электра-112» (1980-84)- 22800, «Алмаз-102 (1980-84)- 63, -103» (1980-86)- 9508, «3</w:t>
      </w:r>
      <w:r w:rsidRPr="00DE096C">
        <w:rPr>
          <w:bCs/>
          <w:color w:val="002060"/>
          <w:sz w:val="16"/>
          <w:szCs w:val="16"/>
          <w:lang w:val="en-US"/>
        </w:rPr>
        <w:t>eHHT</w:t>
      </w:r>
      <w:r w:rsidRPr="00DE096C">
        <w:rPr>
          <w:bCs/>
          <w:color w:val="002060"/>
          <w:sz w:val="16"/>
          <w:szCs w:val="16"/>
        </w:rPr>
        <w:t>-35</w:t>
      </w:r>
      <w:r w:rsidRPr="00DE096C">
        <w:rPr>
          <w:bCs/>
          <w:color w:val="002060"/>
          <w:sz w:val="16"/>
          <w:szCs w:val="16"/>
          <w:lang w:val="en-US"/>
        </w:rPr>
        <w:t>F</w:t>
      </w:r>
      <w:r w:rsidRPr="00DE096C">
        <w:rPr>
          <w:bCs/>
          <w:color w:val="002060"/>
          <w:sz w:val="16"/>
          <w:szCs w:val="16"/>
        </w:rPr>
        <w:t>(1987-92)- 75620, -35</w:t>
      </w:r>
      <w:r w:rsidRPr="00DE096C">
        <w:rPr>
          <w:bCs/>
          <w:color w:val="002060"/>
          <w:sz w:val="16"/>
          <w:szCs w:val="16"/>
          <w:lang w:val="en-US"/>
        </w:rPr>
        <w:t>F</w:t>
      </w:r>
      <w:r w:rsidRPr="00DE096C">
        <w:rPr>
          <w:bCs/>
          <w:color w:val="002060"/>
          <w:sz w:val="16"/>
          <w:szCs w:val="16"/>
        </w:rPr>
        <w:t>-1 (1992-93)- 4805; фотообъективы: для АФА 0-6 (1936), «Индустар-, -12, -13» (1936), «Триар-10» (1936), «Ортопротар» (1938); киноаппарат ТОМП № 4 (1928-32)- 8061; кинопередвижка ГОЗ (1928-32)- 36247; микроскопы: офтальмологические «Линза-МТ, -МТ4» (1970-е); МИКМЕД-1, -2, БИОЛАМ, поляризационный ПОЛАМ, металлографический МЕТАМ, измерительный МИИ-4, микротвердомер ПМТ-ЗМ, спектрофотометр- микроскоп МСФУ-К, сравнения криминалистический МСК, стереоскопический МССО-1 (1980-е); импульсный фотометр ФИ-2 для измерения дальности видимости на аэродромах, лазерный датчик облаков ДОЛ-1 (2002); телескоп АЗТ-ЗЗВМ (2004); поляризационные микроскопы (2005), видеоэндоскопы (2005).</w:t>
      </w:r>
    </w:p>
    <w:p w14:paraId="4C889DC4" w14:textId="77777777" w:rsidR="00B67D7C" w:rsidRPr="00DE096C" w:rsidRDefault="00B67D7C" w:rsidP="00D45A46">
      <w:pPr>
        <w:jc w:val="both"/>
        <w:rPr>
          <w:bCs/>
          <w:color w:val="002060"/>
          <w:sz w:val="16"/>
          <w:szCs w:val="16"/>
        </w:rPr>
      </w:pPr>
      <w:r w:rsidRPr="00DE096C">
        <w:rPr>
          <w:bCs/>
          <w:color w:val="002060"/>
          <w:sz w:val="16"/>
          <w:szCs w:val="16"/>
        </w:rPr>
        <w:t>КБ морского приборостроения</w:t>
      </w:r>
    </w:p>
    <w:p w14:paraId="30194856" w14:textId="77777777" w:rsidR="00B67D7C" w:rsidRPr="00DE096C" w:rsidRDefault="00B67D7C" w:rsidP="00D45A46">
      <w:pPr>
        <w:jc w:val="both"/>
        <w:rPr>
          <w:bCs/>
          <w:color w:val="002060"/>
          <w:sz w:val="16"/>
          <w:szCs w:val="16"/>
        </w:rPr>
      </w:pPr>
      <w:r w:rsidRPr="00DE096C">
        <w:rPr>
          <w:bCs/>
          <w:color w:val="002060"/>
          <w:sz w:val="16"/>
          <w:szCs w:val="16"/>
        </w:rPr>
        <w:t>Руководитель (1950 г.)- И.А. Шошин.</w:t>
      </w:r>
    </w:p>
    <w:p w14:paraId="54F8E6CE" w14:textId="77777777" w:rsidR="00B67D7C" w:rsidRPr="00DE096C" w:rsidRDefault="00B67D7C" w:rsidP="00D45A46">
      <w:pPr>
        <w:jc w:val="both"/>
        <w:rPr>
          <w:bCs/>
          <w:color w:val="002060"/>
          <w:sz w:val="16"/>
          <w:szCs w:val="16"/>
        </w:rPr>
      </w:pPr>
      <w:r w:rsidRPr="00DE096C">
        <w:rPr>
          <w:bCs/>
          <w:i/>
          <w:color w:val="002060"/>
          <w:sz w:val="16"/>
          <w:szCs w:val="16"/>
        </w:rPr>
        <w:t>Создано:</w:t>
      </w:r>
      <w:r w:rsidRPr="00DE096C">
        <w:rPr>
          <w:bCs/>
          <w:color w:val="002060"/>
          <w:sz w:val="16"/>
          <w:szCs w:val="16"/>
        </w:rPr>
        <w:t xml:space="preserve"> дальномер ДМС-3 (1950 г.).</w:t>
      </w:r>
    </w:p>
    <w:p w14:paraId="6BBB4553" w14:textId="77777777" w:rsidR="00B67D7C" w:rsidRPr="00DE096C" w:rsidRDefault="00B67D7C" w:rsidP="00D45A46">
      <w:pPr>
        <w:jc w:val="both"/>
        <w:rPr>
          <w:bCs/>
          <w:color w:val="002060"/>
          <w:sz w:val="16"/>
          <w:szCs w:val="16"/>
        </w:rPr>
      </w:pPr>
      <w:r w:rsidRPr="00DE096C">
        <w:rPr>
          <w:bCs/>
          <w:color w:val="002060"/>
          <w:sz w:val="16"/>
          <w:szCs w:val="16"/>
        </w:rPr>
        <w:t>КБ пернскопостроения</w:t>
      </w:r>
    </w:p>
    <w:p w14:paraId="0A5F6EDA" w14:textId="77777777" w:rsidR="00B67D7C" w:rsidRPr="00DE096C" w:rsidRDefault="00B67D7C" w:rsidP="00D45A46">
      <w:pPr>
        <w:jc w:val="both"/>
        <w:rPr>
          <w:bCs/>
          <w:color w:val="002060"/>
          <w:sz w:val="16"/>
          <w:szCs w:val="16"/>
        </w:rPr>
      </w:pPr>
      <w:r w:rsidRPr="00DE096C">
        <w:rPr>
          <w:bCs/>
          <w:color w:val="002060"/>
          <w:sz w:val="16"/>
          <w:szCs w:val="16"/>
        </w:rPr>
        <w:t>Создано в 1956 г. для оснащения оптическими приборами подводного флота.</w:t>
      </w:r>
    </w:p>
    <w:p w14:paraId="0A2C51AD" w14:textId="77777777" w:rsidR="00B67D7C" w:rsidRPr="00DE096C" w:rsidRDefault="00B67D7C" w:rsidP="00D45A46">
      <w:pPr>
        <w:jc w:val="both"/>
        <w:rPr>
          <w:bCs/>
          <w:color w:val="002060"/>
          <w:sz w:val="16"/>
          <w:szCs w:val="16"/>
        </w:rPr>
      </w:pPr>
      <w:r w:rsidRPr="00DE096C">
        <w:rPr>
          <w:bCs/>
          <w:i/>
          <w:color w:val="002060"/>
          <w:sz w:val="16"/>
          <w:szCs w:val="16"/>
        </w:rPr>
        <w:t>Создано:</w:t>
      </w:r>
      <w:r w:rsidRPr="00DE096C">
        <w:rPr>
          <w:bCs/>
          <w:color w:val="002060"/>
          <w:sz w:val="16"/>
          <w:szCs w:val="16"/>
        </w:rPr>
        <w:t xml:space="preserve"> перископ «Лира» (конец 1950-х).</w:t>
      </w:r>
    </w:p>
    <w:p w14:paraId="61462154" w14:textId="77777777" w:rsidR="00B67D7C" w:rsidRPr="00DE096C" w:rsidRDefault="00B67D7C" w:rsidP="00D45A46">
      <w:pPr>
        <w:jc w:val="both"/>
        <w:rPr>
          <w:bCs/>
          <w:color w:val="002060"/>
          <w:sz w:val="16"/>
          <w:szCs w:val="16"/>
        </w:rPr>
      </w:pPr>
      <w:r w:rsidRPr="00DE096C">
        <w:rPr>
          <w:bCs/>
          <w:color w:val="002060"/>
          <w:sz w:val="16"/>
          <w:szCs w:val="16"/>
        </w:rPr>
        <w:t>СКБ-1712, СКБ-1718, СКБ-1720</w:t>
      </w:r>
    </w:p>
    <w:p w14:paraId="5A79784B" w14:textId="4F739045" w:rsidR="00B67D7C" w:rsidRPr="00DE096C" w:rsidRDefault="00B67D7C" w:rsidP="00D45A46">
      <w:pPr>
        <w:jc w:val="both"/>
        <w:rPr>
          <w:bCs/>
          <w:color w:val="002060"/>
          <w:sz w:val="16"/>
          <w:szCs w:val="16"/>
        </w:rPr>
      </w:pPr>
      <w:r w:rsidRPr="00DE096C">
        <w:rPr>
          <w:bCs/>
          <w:color w:val="002060"/>
          <w:sz w:val="16"/>
          <w:szCs w:val="16"/>
        </w:rPr>
        <w:lastRenderedPageBreak/>
        <w:t>Создано в конце 1950-х</w:t>
      </w:r>
      <w:r w:rsidR="0006581C">
        <w:rPr>
          <w:bCs/>
          <w:color w:val="002060"/>
          <w:sz w:val="16"/>
          <w:szCs w:val="16"/>
        </w:rPr>
        <w:t xml:space="preserve"> </w:t>
      </w:r>
      <w:r w:rsidRPr="00DE096C">
        <w:rPr>
          <w:bCs/>
          <w:color w:val="002060"/>
          <w:sz w:val="16"/>
          <w:szCs w:val="16"/>
        </w:rPr>
        <w:t>г. при ГОМЗ для работ по электронно-оптическим взрывателям для УРВВ. В его состав вошли несколько НИЛ и конструкторских групп. Начальником назначен С.Ф. Соболев (до этого- гл. энергетик ГОМЗ). Затем СКБ-1712 вошло в состав СКБ-1720, а позднее- в СКБ-1718, занимавшееся морской тематикой.</w:t>
      </w:r>
    </w:p>
    <w:p w14:paraId="0108BADA" w14:textId="77777777" w:rsidR="00B67D7C" w:rsidRPr="00DE096C" w:rsidRDefault="00B67D7C" w:rsidP="00D45A46">
      <w:pPr>
        <w:jc w:val="both"/>
        <w:rPr>
          <w:bCs/>
          <w:color w:val="002060"/>
          <w:sz w:val="16"/>
          <w:szCs w:val="16"/>
        </w:rPr>
      </w:pPr>
      <w:r w:rsidRPr="00DE096C">
        <w:rPr>
          <w:bCs/>
          <w:color w:val="002060"/>
          <w:sz w:val="16"/>
          <w:szCs w:val="16"/>
        </w:rPr>
        <w:t>Работы: НИР «Заря» по проверке технических решений при создании оптического взрывателя «123».</w:t>
      </w:r>
    </w:p>
    <w:p w14:paraId="46F4FC5C" w14:textId="77777777" w:rsidR="00B67D7C" w:rsidRPr="00DE096C" w:rsidRDefault="00B67D7C" w:rsidP="00D45A46">
      <w:pPr>
        <w:jc w:val="both"/>
        <w:rPr>
          <w:bCs/>
          <w:color w:val="002060"/>
          <w:sz w:val="16"/>
          <w:szCs w:val="16"/>
        </w:rPr>
      </w:pPr>
      <w:r w:rsidRPr="00DE096C">
        <w:rPr>
          <w:bCs/>
          <w:color w:val="002060"/>
          <w:sz w:val="16"/>
          <w:szCs w:val="16"/>
        </w:rPr>
        <w:t>Начальник (конец 1950-х-)- С.Ф. Соболев.</w:t>
      </w:r>
    </w:p>
    <w:p w14:paraId="3F8233FC" w14:textId="77777777" w:rsidR="00B67D7C" w:rsidRPr="00DE096C" w:rsidRDefault="00B67D7C" w:rsidP="00D45A46">
      <w:pPr>
        <w:jc w:val="both"/>
        <w:rPr>
          <w:bCs/>
          <w:color w:val="002060"/>
          <w:sz w:val="16"/>
          <w:szCs w:val="16"/>
        </w:rPr>
      </w:pPr>
      <w:r w:rsidRPr="00DE096C">
        <w:rPr>
          <w:bCs/>
          <w:color w:val="002060"/>
          <w:sz w:val="16"/>
          <w:szCs w:val="16"/>
        </w:rPr>
        <w:t>Зам. начальника (конец 1950-х-)- А.И. Кузнецов (начальник НИЛ).</w:t>
      </w:r>
    </w:p>
    <w:p w14:paraId="01111255" w14:textId="77777777" w:rsidR="00B67D7C" w:rsidRPr="00DE096C" w:rsidRDefault="00B67D7C" w:rsidP="00D45A46">
      <w:pPr>
        <w:jc w:val="both"/>
        <w:rPr>
          <w:bCs/>
          <w:color w:val="002060"/>
          <w:sz w:val="16"/>
          <w:szCs w:val="16"/>
        </w:rPr>
      </w:pPr>
      <w:r w:rsidRPr="00DE096C">
        <w:rPr>
          <w:bCs/>
          <w:color w:val="002060"/>
          <w:sz w:val="16"/>
          <w:szCs w:val="16"/>
        </w:rPr>
        <w:t>Ведущие конструкторы: (1950-е)- М.В. Куликов («121»).</w:t>
      </w:r>
    </w:p>
    <w:p w14:paraId="06F8FACF" w14:textId="77777777" w:rsidR="00B67D7C" w:rsidRPr="00DE096C" w:rsidRDefault="00B67D7C" w:rsidP="00D45A46">
      <w:pPr>
        <w:jc w:val="both"/>
        <w:rPr>
          <w:bCs/>
          <w:color w:val="002060"/>
          <w:sz w:val="16"/>
          <w:szCs w:val="16"/>
        </w:rPr>
      </w:pPr>
      <w:r w:rsidRPr="00DE096C">
        <w:rPr>
          <w:bCs/>
          <w:i/>
          <w:color w:val="002060"/>
          <w:sz w:val="16"/>
          <w:szCs w:val="16"/>
        </w:rPr>
        <w:t>Создано:</w:t>
      </w:r>
      <w:r w:rsidRPr="00DE096C">
        <w:rPr>
          <w:bCs/>
          <w:color w:val="002060"/>
          <w:sz w:val="16"/>
          <w:szCs w:val="16"/>
        </w:rPr>
        <w:t xml:space="preserve"> электронно-оптические взрыватели: «121» для К-80, «Аист-2» для Р-40 (пнв в 1971 г.), «123» «Сокол- М» для Р-4 (пнв в 1973 г.), «245» «Бекас-2» для Р-40 (пнв в 1983 г.).</w:t>
      </w:r>
    </w:p>
    <w:p w14:paraId="18BA85F5" w14:textId="77777777" w:rsidR="00B67D7C" w:rsidRPr="00DE096C" w:rsidRDefault="00B67D7C" w:rsidP="00D45A46">
      <w:pPr>
        <w:jc w:val="both"/>
        <w:rPr>
          <w:bCs/>
          <w:color w:val="002060"/>
          <w:sz w:val="16"/>
          <w:szCs w:val="16"/>
        </w:rPr>
      </w:pPr>
      <w:r w:rsidRPr="00DE096C">
        <w:rPr>
          <w:bCs/>
          <w:color w:val="002060"/>
          <w:sz w:val="16"/>
          <w:szCs w:val="16"/>
        </w:rPr>
        <w:t>ЦКБ ЛООМП</w:t>
      </w:r>
    </w:p>
    <w:p w14:paraId="46B1D42B" w14:textId="77777777" w:rsidR="00B67D7C" w:rsidRPr="00DE096C" w:rsidRDefault="00B67D7C" w:rsidP="00D45A46">
      <w:pPr>
        <w:jc w:val="both"/>
        <w:rPr>
          <w:bCs/>
          <w:color w:val="002060"/>
          <w:sz w:val="16"/>
          <w:szCs w:val="16"/>
        </w:rPr>
      </w:pPr>
      <w:r w:rsidRPr="00DE096C">
        <w:rPr>
          <w:bCs/>
          <w:color w:val="002060"/>
          <w:sz w:val="16"/>
          <w:szCs w:val="16"/>
        </w:rPr>
        <w:t>Единое ЦКБ было создано в 1963 г.</w:t>
      </w:r>
    </w:p>
    <w:p w14:paraId="2F2554BE" w14:textId="77777777" w:rsidR="00B67D7C" w:rsidRPr="00DE096C" w:rsidRDefault="00B67D7C" w:rsidP="00D45A46">
      <w:pPr>
        <w:jc w:val="both"/>
        <w:rPr>
          <w:bCs/>
          <w:color w:val="002060"/>
          <w:sz w:val="16"/>
          <w:szCs w:val="16"/>
        </w:rPr>
      </w:pPr>
      <w:r w:rsidRPr="00DE096C">
        <w:rPr>
          <w:bCs/>
          <w:color w:val="002060"/>
          <w:sz w:val="16"/>
          <w:szCs w:val="16"/>
        </w:rPr>
        <w:t xml:space="preserve">Начальник (1963 г.-)- </w:t>
      </w:r>
      <w:r w:rsidRPr="00DE096C">
        <w:rPr>
          <w:bCs/>
          <w:color w:val="002060"/>
          <w:sz w:val="16"/>
          <w:szCs w:val="16"/>
          <w:lang w:val="en-US"/>
        </w:rPr>
        <w:t>P</w:t>
      </w:r>
      <w:r w:rsidRPr="00DE096C">
        <w:rPr>
          <w:bCs/>
          <w:color w:val="002060"/>
          <w:sz w:val="16"/>
          <w:szCs w:val="16"/>
        </w:rPr>
        <w:t>.</w:t>
      </w:r>
      <w:r w:rsidRPr="00DE096C">
        <w:rPr>
          <w:bCs/>
          <w:color w:val="002060"/>
          <w:sz w:val="16"/>
          <w:szCs w:val="16"/>
          <w:lang w:val="en-US"/>
        </w:rPr>
        <w:t>M</w:t>
      </w:r>
      <w:r w:rsidRPr="00DE096C">
        <w:rPr>
          <w:bCs/>
          <w:color w:val="002060"/>
          <w:sz w:val="16"/>
          <w:szCs w:val="16"/>
        </w:rPr>
        <w:t>. Кашерининов, О.С. Богданович, О.А. Артамонов, В.А. Зверев, А.Н. Великожон, Б.И. Утенков.</w:t>
      </w:r>
    </w:p>
    <w:p w14:paraId="4630DA62" w14:textId="77777777" w:rsidR="00B67D7C" w:rsidRPr="00DE096C" w:rsidRDefault="00B67D7C" w:rsidP="00D45A46">
      <w:pPr>
        <w:jc w:val="both"/>
        <w:rPr>
          <w:bCs/>
          <w:color w:val="002060"/>
          <w:sz w:val="16"/>
          <w:szCs w:val="16"/>
        </w:rPr>
      </w:pPr>
      <w:r w:rsidRPr="00DE096C">
        <w:rPr>
          <w:bCs/>
          <w:color w:val="002060"/>
          <w:sz w:val="16"/>
          <w:szCs w:val="16"/>
        </w:rPr>
        <w:t>Завод киноаппаратуры «Кинап», Ленинградский государственный завод киноаппаратуры</w:t>
      </w:r>
    </w:p>
    <w:p w14:paraId="5B36C7E1" w14:textId="77777777" w:rsidR="00B67D7C" w:rsidRPr="00DE096C" w:rsidRDefault="00B67D7C" w:rsidP="00D45A46">
      <w:pPr>
        <w:jc w:val="both"/>
        <w:rPr>
          <w:bCs/>
          <w:color w:val="002060"/>
          <w:sz w:val="16"/>
          <w:szCs w:val="16"/>
        </w:rPr>
      </w:pPr>
      <w:r w:rsidRPr="00DE096C">
        <w:rPr>
          <w:bCs/>
          <w:color w:val="002060"/>
          <w:sz w:val="16"/>
          <w:szCs w:val="16"/>
        </w:rPr>
        <w:t>«Кинап» («Л енкинап»)</w:t>
      </w:r>
    </w:p>
    <w:p w14:paraId="5F9EDA41" w14:textId="77777777" w:rsidR="00B67D7C" w:rsidRPr="00DE096C" w:rsidRDefault="00B67D7C" w:rsidP="00D45A46">
      <w:pPr>
        <w:jc w:val="both"/>
        <w:rPr>
          <w:bCs/>
          <w:color w:val="002060"/>
          <w:sz w:val="16"/>
          <w:szCs w:val="16"/>
        </w:rPr>
      </w:pPr>
      <w:r w:rsidRPr="00DE096C">
        <w:rPr>
          <w:bCs/>
          <w:color w:val="002060"/>
          <w:sz w:val="16"/>
          <w:szCs w:val="16"/>
        </w:rPr>
        <w:t>/ г. Ленинград Кондратьевский пр., 21/</w:t>
      </w:r>
    </w:p>
    <w:p w14:paraId="6C27CF72" w14:textId="77777777" w:rsidR="00B67D7C" w:rsidRPr="00DE096C" w:rsidRDefault="00B67D7C" w:rsidP="00D45A46">
      <w:pPr>
        <w:jc w:val="both"/>
        <w:rPr>
          <w:bCs/>
          <w:color w:val="002060"/>
          <w:sz w:val="16"/>
          <w:szCs w:val="16"/>
        </w:rPr>
      </w:pPr>
      <w:r w:rsidRPr="00DE096C">
        <w:rPr>
          <w:bCs/>
          <w:color w:val="002060"/>
          <w:sz w:val="16"/>
          <w:szCs w:val="16"/>
        </w:rPr>
        <w:t>В 1926 г. были открыты две киноремонтные мастерские. Кроме ремонтных работ, они занимались выпуском несложной аппаратуры для киностудий и киносети. В 02.1931 г. на базе мастерских создан завод киноаппаратуры «Кинап» Союзкино. Первоначально располагался в помещениях мастерской на ул. Правды и в одном из корпусов завода «Красный арсенал». Весной 1932 г. завод получил собственное помещение на Кондратьевском проспекте, 21. В 1934 г. завод передан в ведение Всесоюзного треста «Киномехпром», в 1939 г. - ГУ киномеханической промышленности Комитета по делам кинематографии.</w:t>
      </w:r>
    </w:p>
    <w:p w14:paraId="4E4E2E77" w14:textId="77777777" w:rsidR="00B67D7C" w:rsidRPr="00DE096C" w:rsidRDefault="00B67D7C" w:rsidP="00D45A46">
      <w:pPr>
        <w:jc w:val="both"/>
        <w:rPr>
          <w:bCs/>
          <w:color w:val="002060"/>
          <w:sz w:val="16"/>
          <w:szCs w:val="16"/>
        </w:rPr>
      </w:pPr>
      <w:r w:rsidRPr="00DE096C">
        <w:rPr>
          <w:bCs/>
          <w:color w:val="002060"/>
          <w:sz w:val="16"/>
          <w:szCs w:val="16"/>
        </w:rPr>
        <w:t>Вначале выпускал звукомонтажные столы, прожектора, динамомашины, моторы, чистильные машины, ртутные выпрямители. Затем завод был перепрофилирован на производство аппаратуры звукозаписи и звуковоспроизведения. С началом войны выпускал детали для пистолетов-пулеметов, редукторы для вывода бомбардировщиков из пикирования, пиропатроны для ракетных снарядов, огнеметы.</w:t>
      </w:r>
    </w:p>
    <w:p w14:paraId="2859745B" w14:textId="0A37AE62" w:rsidR="00B67D7C" w:rsidRPr="00DE096C" w:rsidRDefault="00B67D7C" w:rsidP="00D45A46">
      <w:pPr>
        <w:jc w:val="both"/>
        <w:rPr>
          <w:bCs/>
          <w:color w:val="002060"/>
          <w:sz w:val="16"/>
          <w:szCs w:val="16"/>
        </w:rPr>
      </w:pPr>
      <w:r w:rsidRPr="00DE096C">
        <w:rPr>
          <w:bCs/>
          <w:color w:val="002060"/>
          <w:sz w:val="16"/>
          <w:szCs w:val="16"/>
        </w:rPr>
        <w:t>В 1942 г. завод полностью эвакуирован в города Белово (по другой информации-</w:t>
      </w:r>
      <w:r w:rsidR="0006581C">
        <w:rPr>
          <w:bCs/>
          <w:color w:val="002060"/>
          <w:sz w:val="16"/>
          <w:szCs w:val="16"/>
        </w:rPr>
        <w:t xml:space="preserve"> </w:t>
      </w:r>
      <w:r w:rsidRPr="00DE096C">
        <w:rPr>
          <w:bCs/>
          <w:color w:val="002060"/>
          <w:sz w:val="16"/>
          <w:szCs w:val="16"/>
        </w:rPr>
        <w:t>г. Басов'</w:t>
      </w:r>
      <w:r w:rsidRPr="00DE096C">
        <w:rPr>
          <w:bCs/>
          <w:color w:val="002060"/>
          <w:sz w:val="16"/>
          <w:szCs w:val="16"/>
          <w:vertAlign w:val="superscript"/>
        </w:rPr>
        <w:t>31</w:t>
      </w:r>
      <w:r w:rsidRPr="00DE096C">
        <w:rPr>
          <w:bCs/>
          <w:color w:val="002060"/>
          <w:sz w:val="16"/>
          <w:szCs w:val="16"/>
        </w:rPr>
        <w:t>) и Самарканд. В 1944 г., после снятия блокады, завод начал восстанавливаться.</w:t>
      </w:r>
    </w:p>
    <w:p w14:paraId="0AD19AD5" w14:textId="77777777" w:rsidR="00B67D7C" w:rsidRPr="00DE096C" w:rsidRDefault="00B67D7C" w:rsidP="00D45A46">
      <w:pPr>
        <w:jc w:val="both"/>
        <w:rPr>
          <w:bCs/>
          <w:color w:val="002060"/>
          <w:sz w:val="16"/>
          <w:szCs w:val="16"/>
        </w:rPr>
      </w:pPr>
      <w:r w:rsidRPr="00DE096C">
        <w:rPr>
          <w:bCs/>
          <w:color w:val="002060"/>
          <w:sz w:val="16"/>
          <w:szCs w:val="16"/>
        </w:rPr>
        <w:t>С 1946 г. Ленинградский государственный завод киноаппаратуры «Кинап» - в ведении Министерства кинематографии, с 1953 г. - Министерства культуры, с 06.1957 г. - Управления приборостроительной промышленности ЛенСНХ, далее - Управления машиностроения ЛенСНХ.</w:t>
      </w:r>
    </w:p>
    <w:p w14:paraId="262D93B4" w14:textId="77777777" w:rsidR="00B67D7C" w:rsidRPr="00DE096C" w:rsidRDefault="00B67D7C" w:rsidP="00D45A46">
      <w:pPr>
        <w:jc w:val="both"/>
        <w:rPr>
          <w:bCs/>
          <w:color w:val="002060"/>
          <w:sz w:val="16"/>
          <w:szCs w:val="16"/>
        </w:rPr>
      </w:pPr>
      <w:r w:rsidRPr="00DE096C">
        <w:rPr>
          <w:bCs/>
          <w:color w:val="002060"/>
          <w:sz w:val="16"/>
          <w:szCs w:val="16"/>
        </w:rPr>
        <w:t>В 1952 г. при заводе сформировано Опытное Конструкторско-технологическое бюро (ОКТБ).</w:t>
      </w:r>
    </w:p>
    <w:p w14:paraId="3D882E51" w14:textId="77777777" w:rsidR="00B67D7C" w:rsidRPr="00DE096C" w:rsidRDefault="00B67D7C" w:rsidP="00D45A46">
      <w:pPr>
        <w:jc w:val="both"/>
        <w:rPr>
          <w:bCs/>
          <w:color w:val="002060"/>
          <w:sz w:val="16"/>
          <w:szCs w:val="16"/>
        </w:rPr>
      </w:pPr>
      <w:r w:rsidRPr="00DE096C">
        <w:rPr>
          <w:bCs/>
          <w:color w:val="002060"/>
          <w:sz w:val="16"/>
          <w:szCs w:val="16"/>
        </w:rPr>
        <w:t>В 1959 г. в состав завода «Кинап» вошел ЛОМЗ (бывший Химико-фармацевтический завод № 2). 2.10.1962 г. завод «Кинап» вошел в Ленинградское объединение оптико-механических производств (ЛООМП).</w:t>
      </w:r>
    </w:p>
    <w:p w14:paraId="2C65AFAB" w14:textId="788EDE2D" w:rsidR="00B67D7C" w:rsidRPr="00DE096C" w:rsidRDefault="00B67D7C" w:rsidP="00D45A46">
      <w:pPr>
        <w:jc w:val="both"/>
        <w:rPr>
          <w:bCs/>
          <w:color w:val="002060"/>
          <w:sz w:val="16"/>
          <w:szCs w:val="16"/>
        </w:rPr>
      </w:pPr>
      <w:r w:rsidRPr="00DE096C">
        <w:rPr>
          <w:bCs/>
          <w:color w:val="002060"/>
          <w:sz w:val="16"/>
          <w:szCs w:val="16"/>
        </w:rPr>
        <w:t>В начале 1960-х</w:t>
      </w:r>
      <w:r w:rsidR="0006581C">
        <w:rPr>
          <w:bCs/>
          <w:color w:val="002060"/>
          <w:sz w:val="16"/>
          <w:szCs w:val="16"/>
        </w:rPr>
        <w:t xml:space="preserve"> </w:t>
      </w:r>
      <w:r w:rsidRPr="00DE096C">
        <w:rPr>
          <w:bCs/>
          <w:color w:val="002060"/>
          <w:sz w:val="16"/>
          <w:szCs w:val="16"/>
        </w:rPr>
        <w:t>г. выпущен комплект звукотехнического оборудования для Дворца съездов (</w:t>
      </w:r>
      <w:r w:rsidRPr="00DE096C">
        <w:rPr>
          <w:bCs/>
          <w:color w:val="002060"/>
          <w:sz w:val="16"/>
          <w:szCs w:val="16"/>
          <w:lang w:val="en-US"/>
        </w:rPr>
        <w:t>P</w:t>
      </w:r>
      <w:r w:rsidRPr="00DE096C">
        <w:rPr>
          <w:bCs/>
          <w:color w:val="002060"/>
          <w:sz w:val="16"/>
          <w:szCs w:val="16"/>
        </w:rPr>
        <w:t>.</w:t>
      </w:r>
      <w:r w:rsidRPr="00DE096C">
        <w:rPr>
          <w:bCs/>
          <w:color w:val="002060"/>
          <w:sz w:val="16"/>
          <w:szCs w:val="16"/>
          <w:lang w:val="en-US"/>
        </w:rPr>
        <w:t>M</w:t>
      </w:r>
      <w:r w:rsidRPr="00DE096C">
        <w:rPr>
          <w:bCs/>
          <w:color w:val="002060"/>
          <w:sz w:val="16"/>
          <w:szCs w:val="16"/>
        </w:rPr>
        <w:t>. Кашерининов, Н.Т. Гордиенко).</w:t>
      </w:r>
    </w:p>
    <w:p w14:paraId="54110F95" w14:textId="77777777" w:rsidR="00B67D7C" w:rsidRPr="00DE096C" w:rsidRDefault="00B67D7C" w:rsidP="00D45A46">
      <w:pPr>
        <w:jc w:val="both"/>
        <w:rPr>
          <w:bCs/>
          <w:color w:val="002060"/>
          <w:sz w:val="16"/>
          <w:szCs w:val="16"/>
        </w:rPr>
      </w:pPr>
      <w:r w:rsidRPr="00DE096C">
        <w:rPr>
          <w:bCs/>
          <w:color w:val="002060"/>
          <w:sz w:val="16"/>
          <w:szCs w:val="16"/>
        </w:rPr>
        <w:t>Численность персонала (1932 г.)- 300 чел.</w:t>
      </w:r>
    </w:p>
    <w:p w14:paraId="2D8FA684" w14:textId="77777777" w:rsidR="00B67D7C" w:rsidRPr="00DE096C" w:rsidRDefault="00B67D7C" w:rsidP="00D45A46">
      <w:pPr>
        <w:jc w:val="both"/>
        <w:rPr>
          <w:bCs/>
          <w:color w:val="002060"/>
          <w:sz w:val="16"/>
          <w:szCs w:val="16"/>
        </w:rPr>
      </w:pPr>
      <w:r w:rsidRPr="00DE096C">
        <w:rPr>
          <w:bCs/>
          <w:color w:val="002060"/>
          <w:sz w:val="16"/>
          <w:szCs w:val="16"/>
        </w:rPr>
        <w:t xml:space="preserve">Директор (1931-34 г.)- В.Ф. Сакман, (1939-40 г.)- Д.Е. Тесленко, (1945-49 г.)- </w:t>
      </w:r>
      <w:r w:rsidRPr="00DE096C">
        <w:rPr>
          <w:bCs/>
          <w:color w:val="002060"/>
          <w:sz w:val="16"/>
          <w:szCs w:val="16"/>
          <w:lang w:val="en-US"/>
        </w:rPr>
        <w:t>B</w:t>
      </w:r>
      <w:r w:rsidRPr="00DE096C">
        <w:rPr>
          <w:bCs/>
          <w:color w:val="002060"/>
          <w:sz w:val="16"/>
          <w:szCs w:val="16"/>
        </w:rPr>
        <w:t>.</w:t>
      </w:r>
      <w:r w:rsidRPr="00DE096C">
        <w:rPr>
          <w:bCs/>
          <w:color w:val="002060"/>
          <w:sz w:val="16"/>
          <w:szCs w:val="16"/>
          <w:lang w:val="en-US"/>
        </w:rPr>
        <w:t>C</w:t>
      </w:r>
      <w:r w:rsidRPr="00DE096C">
        <w:rPr>
          <w:bCs/>
          <w:color w:val="002060"/>
          <w:sz w:val="16"/>
          <w:szCs w:val="16"/>
        </w:rPr>
        <w:t>. Балабанович, (1950-62 г.)- С.М. Кузнецов.</w:t>
      </w:r>
    </w:p>
    <w:p w14:paraId="7AF3D231" w14:textId="071F74CD" w:rsidR="00B67D7C" w:rsidRPr="00DE096C" w:rsidRDefault="00B67D7C" w:rsidP="00D45A46">
      <w:pPr>
        <w:jc w:val="both"/>
        <w:rPr>
          <w:bCs/>
          <w:color w:val="002060"/>
          <w:sz w:val="16"/>
          <w:szCs w:val="16"/>
        </w:rPr>
      </w:pPr>
      <w:r w:rsidRPr="00DE096C">
        <w:rPr>
          <w:bCs/>
          <w:color w:val="002060"/>
          <w:sz w:val="16"/>
          <w:szCs w:val="16"/>
        </w:rPr>
        <w:t>Гл. инженер (1930-е</w:t>
      </w:r>
      <w:r w:rsidR="0006581C">
        <w:rPr>
          <w:bCs/>
          <w:color w:val="002060"/>
          <w:sz w:val="16"/>
          <w:szCs w:val="16"/>
        </w:rPr>
        <w:t xml:space="preserve"> </w:t>
      </w:r>
      <w:r w:rsidRPr="00DE096C">
        <w:rPr>
          <w:bCs/>
          <w:color w:val="002060"/>
          <w:sz w:val="16"/>
          <w:szCs w:val="16"/>
        </w:rPr>
        <w:t>г.)-</w:t>
      </w:r>
      <w:r w:rsidRPr="00DE096C">
        <w:rPr>
          <w:bCs/>
          <w:i/>
          <w:color w:val="002060"/>
          <w:sz w:val="16"/>
          <w:szCs w:val="16"/>
        </w:rPr>
        <w:t xml:space="preserve"> ИМ.</w:t>
      </w:r>
      <w:r w:rsidRPr="00DE096C">
        <w:rPr>
          <w:bCs/>
          <w:color w:val="002060"/>
          <w:sz w:val="16"/>
          <w:szCs w:val="16"/>
        </w:rPr>
        <w:t xml:space="preserve"> Саенко, (1960-е</w:t>
      </w:r>
      <w:r w:rsidR="0006581C">
        <w:rPr>
          <w:bCs/>
          <w:color w:val="002060"/>
          <w:sz w:val="16"/>
          <w:szCs w:val="16"/>
        </w:rPr>
        <w:t xml:space="preserve"> </w:t>
      </w:r>
      <w:r w:rsidRPr="00DE096C">
        <w:rPr>
          <w:bCs/>
          <w:color w:val="002060"/>
          <w:sz w:val="16"/>
          <w:szCs w:val="16"/>
        </w:rPr>
        <w:t xml:space="preserve">г.)- </w:t>
      </w:r>
      <w:r w:rsidRPr="00DE096C">
        <w:rPr>
          <w:bCs/>
          <w:color w:val="002060"/>
          <w:sz w:val="16"/>
          <w:szCs w:val="16"/>
          <w:lang w:val="en-US"/>
        </w:rPr>
        <w:t>P</w:t>
      </w:r>
      <w:r w:rsidRPr="00DE096C">
        <w:rPr>
          <w:bCs/>
          <w:color w:val="002060"/>
          <w:sz w:val="16"/>
          <w:szCs w:val="16"/>
        </w:rPr>
        <w:t>.</w:t>
      </w:r>
      <w:r w:rsidRPr="00DE096C">
        <w:rPr>
          <w:bCs/>
          <w:color w:val="002060"/>
          <w:sz w:val="16"/>
          <w:szCs w:val="16"/>
          <w:lang w:val="en-US"/>
        </w:rPr>
        <w:t>M</w:t>
      </w:r>
      <w:r w:rsidRPr="00DE096C">
        <w:rPr>
          <w:bCs/>
          <w:color w:val="002060"/>
          <w:sz w:val="16"/>
          <w:szCs w:val="16"/>
        </w:rPr>
        <w:t>. Кашерининов.</w:t>
      </w:r>
    </w:p>
    <w:p w14:paraId="76D3A380" w14:textId="77777777" w:rsidR="00B67D7C" w:rsidRPr="00DE096C" w:rsidRDefault="00B67D7C" w:rsidP="00D45A46">
      <w:pPr>
        <w:jc w:val="both"/>
        <w:rPr>
          <w:bCs/>
          <w:color w:val="002060"/>
          <w:sz w:val="16"/>
          <w:szCs w:val="16"/>
        </w:rPr>
      </w:pPr>
      <w:r w:rsidRPr="00DE096C">
        <w:rPr>
          <w:bCs/>
          <w:i/>
          <w:color w:val="002060"/>
          <w:sz w:val="16"/>
          <w:szCs w:val="16"/>
        </w:rPr>
        <w:t>Производство:</w:t>
      </w:r>
      <w:r w:rsidRPr="00DE096C">
        <w:rPr>
          <w:bCs/>
          <w:color w:val="002060"/>
          <w:sz w:val="16"/>
          <w:szCs w:val="16"/>
        </w:rPr>
        <w:t xml:space="preserve"> звукозаписывающие аппараты: СГК-7 (1932), «Кинап» (1932); киносъемочная камера (1933); проявочные машины (1934); видеомагнитофоны ГКНТ (1959-), «Электрон-2», ВМ-403; магнитофон «Ритм- Репортер»; бортовая аппаратура для КР «Комета» (1953-).</w:t>
      </w:r>
    </w:p>
    <w:p w14:paraId="30344F86" w14:textId="77777777" w:rsidR="00B67D7C" w:rsidRPr="00DE096C" w:rsidRDefault="00B67D7C" w:rsidP="00D45A46">
      <w:pPr>
        <w:jc w:val="both"/>
        <w:rPr>
          <w:bCs/>
          <w:color w:val="002060"/>
          <w:sz w:val="16"/>
          <w:szCs w:val="16"/>
        </w:rPr>
      </w:pPr>
      <w:r w:rsidRPr="00DE096C">
        <w:rPr>
          <w:bCs/>
          <w:color w:val="002060"/>
          <w:sz w:val="16"/>
          <w:szCs w:val="16"/>
        </w:rPr>
        <w:t>Опытное Конструкторско-технологическое бюро (ОКТБ) при заводе «Кинап»</w:t>
      </w:r>
    </w:p>
    <w:p w14:paraId="61DBA26B" w14:textId="77777777" w:rsidR="00B67D7C" w:rsidRPr="00DE096C" w:rsidRDefault="00B67D7C" w:rsidP="00D45A46">
      <w:pPr>
        <w:jc w:val="both"/>
        <w:rPr>
          <w:bCs/>
          <w:color w:val="002060"/>
          <w:sz w:val="16"/>
          <w:szCs w:val="16"/>
        </w:rPr>
      </w:pPr>
      <w:r w:rsidRPr="00DE096C">
        <w:rPr>
          <w:bCs/>
          <w:color w:val="002060"/>
          <w:sz w:val="16"/>
          <w:szCs w:val="16"/>
        </w:rPr>
        <w:t>Сформировано при заводе в 1952 г. для обеспечения серийного производства аппаратуры самонаведения К-1 УР «КС» системы «Комета».</w:t>
      </w:r>
    </w:p>
    <w:p w14:paraId="41F2BB70" w14:textId="77777777" w:rsidR="00B67D7C" w:rsidRPr="00DE096C" w:rsidRDefault="00B67D7C" w:rsidP="00D45A46">
      <w:pPr>
        <w:jc w:val="both"/>
        <w:rPr>
          <w:bCs/>
          <w:color w:val="002060"/>
          <w:sz w:val="16"/>
          <w:szCs w:val="16"/>
        </w:rPr>
      </w:pPr>
      <w:r w:rsidRPr="00DE096C">
        <w:rPr>
          <w:bCs/>
          <w:color w:val="002060"/>
          <w:sz w:val="16"/>
          <w:szCs w:val="16"/>
        </w:rPr>
        <w:t>В 1956 г. ОКТБ вошло в состав ОКБ-283 МАП.</w:t>
      </w:r>
    </w:p>
    <w:p w14:paraId="180D85FE" w14:textId="77777777" w:rsidR="00B67D7C" w:rsidRPr="00DE096C" w:rsidRDefault="00B67D7C" w:rsidP="00D45A46">
      <w:pPr>
        <w:jc w:val="both"/>
        <w:rPr>
          <w:bCs/>
          <w:color w:val="002060"/>
          <w:sz w:val="16"/>
          <w:szCs w:val="16"/>
        </w:rPr>
      </w:pPr>
      <w:r w:rsidRPr="00DE096C">
        <w:rPr>
          <w:bCs/>
          <w:color w:val="002060"/>
          <w:sz w:val="16"/>
          <w:szCs w:val="16"/>
        </w:rPr>
        <w:t>Начальник (-1957 г.)- А.Н. Амромин.</w:t>
      </w:r>
    </w:p>
    <w:p w14:paraId="59DA0DA1" w14:textId="77777777" w:rsidR="00B67D7C" w:rsidRPr="00DE096C" w:rsidRDefault="00B67D7C" w:rsidP="00D45A46">
      <w:pPr>
        <w:jc w:val="both"/>
        <w:rPr>
          <w:bCs/>
          <w:color w:val="002060"/>
          <w:sz w:val="16"/>
          <w:szCs w:val="16"/>
        </w:rPr>
      </w:pPr>
      <w:r w:rsidRPr="00DE096C">
        <w:rPr>
          <w:bCs/>
          <w:color w:val="002060"/>
          <w:sz w:val="16"/>
          <w:szCs w:val="16"/>
        </w:rPr>
        <w:t>Завод «Гидропривод» НКСС, Ленинградский государственный завод делительных головок /г. Ленинград/</w:t>
      </w:r>
    </w:p>
    <w:p w14:paraId="1D49C7B6" w14:textId="77777777" w:rsidR="00B67D7C" w:rsidRPr="00DE096C" w:rsidRDefault="00B67D7C" w:rsidP="00D45A46">
      <w:pPr>
        <w:jc w:val="both"/>
        <w:rPr>
          <w:bCs/>
          <w:color w:val="002060"/>
          <w:sz w:val="16"/>
          <w:szCs w:val="16"/>
        </w:rPr>
      </w:pPr>
      <w:r w:rsidRPr="00DE096C">
        <w:rPr>
          <w:bCs/>
          <w:color w:val="002060"/>
          <w:sz w:val="16"/>
          <w:szCs w:val="16"/>
        </w:rPr>
        <w:t>Завод «Гидропривод» создан в 1941 г. в ведении НКСС, после начала войны завод (или его часть) эвакуирован в Москву. В 12.1941 г. на базе этой части планировалось организовать самостоятельный завод в ведении ЗГУ НКМВ.</w:t>
      </w:r>
    </w:p>
    <w:p w14:paraId="327F4C03" w14:textId="77777777" w:rsidR="00B67D7C" w:rsidRPr="00DE096C" w:rsidRDefault="00B67D7C" w:rsidP="00D45A46">
      <w:pPr>
        <w:jc w:val="both"/>
        <w:rPr>
          <w:bCs/>
          <w:color w:val="002060"/>
          <w:sz w:val="16"/>
          <w:szCs w:val="16"/>
        </w:rPr>
      </w:pPr>
      <w:r w:rsidRPr="00DE096C">
        <w:rPr>
          <w:bCs/>
          <w:color w:val="002060"/>
          <w:sz w:val="16"/>
          <w:szCs w:val="16"/>
        </w:rPr>
        <w:t>В 1945 г. завод «Гидропривод» переименован в Ленинградский государственный завод делительных головок. С 06.1957 г. завод - в ведении Управления общего машиностроения ЛенСНХ. В 1960 г. вошел в ГОМЗ.</w:t>
      </w:r>
      <w:r w:rsidRPr="00DE096C">
        <w:rPr>
          <w:bCs/>
          <w:color w:val="002060"/>
          <w:sz w:val="16"/>
          <w:szCs w:val="16"/>
          <w:vertAlign w:val="superscript"/>
        </w:rPr>
        <w:t xml:space="preserve">ш </w:t>
      </w:r>
      <w:r w:rsidRPr="00DE096C">
        <w:rPr>
          <w:bCs/>
          <w:color w:val="002060"/>
          <w:sz w:val="16"/>
          <w:szCs w:val="16"/>
        </w:rPr>
        <w:t>Опытный оптико-механический завод (ООМЗ) НКМП РСФСР, ММП РСФСР</w:t>
      </w:r>
    </w:p>
    <w:p w14:paraId="5893E016" w14:textId="77777777" w:rsidR="00B67D7C" w:rsidRPr="00DE096C" w:rsidRDefault="00B67D7C" w:rsidP="00D45A46">
      <w:pPr>
        <w:jc w:val="both"/>
        <w:rPr>
          <w:bCs/>
          <w:color w:val="002060"/>
          <w:sz w:val="16"/>
          <w:szCs w:val="16"/>
        </w:rPr>
      </w:pPr>
      <w:r w:rsidRPr="00DE096C">
        <w:rPr>
          <w:bCs/>
          <w:color w:val="002060"/>
          <w:sz w:val="16"/>
          <w:szCs w:val="16"/>
        </w:rPr>
        <w:t>Опытные производственные мастерские ЦНИЛ камней-самоцветов треста «Русские самоцветы» организованы в 1936 г., в 1937 г. выделились в самостоятельное предприятие в ведении треста «Русские самоцветы».</w:t>
      </w:r>
    </w:p>
    <w:p w14:paraId="3C089365" w14:textId="77777777" w:rsidR="00B67D7C" w:rsidRPr="00DE096C" w:rsidRDefault="00B67D7C" w:rsidP="00D45A46">
      <w:pPr>
        <w:jc w:val="both"/>
        <w:rPr>
          <w:bCs/>
          <w:color w:val="002060"/>
          <w:sz w:val="16"/>
          <w:szCs w:val="16"/>
        </w:rPr>
      </w:pPr>
      <w:r w:rsidRPr="00DE096C">
        <w:rPr>
          <w:bCs/>
          <w:color w:val="002060"/>
          <w:sz w:val="16"/>
          <w:szCs w:val="16"/>
        </w:rPr>
        <w:t>В соответствии с пост. ГКО № 99сс от 11.07.1941 г. Оптико-механический завод НКОМ (возможно, это он) подлежал эвакуации в Томск на площадку спирто-водочного завода. В 1942 г. мастерские были законсервированы.</w:t>
      </w:r>
    </w:p>
    <w:p w14:paraId="300B56A5" w14:textId="77777777" w:rsidR="00B67D7C" w:rsidRPr="00DE096C" w:rsidRDefault="00B67D7C" w:rsidP="00D45A46">
      <w:pPr>
        <w:jc w:val="both"/>
        <w:rPr>
          <w:bCs/>
          <w:color w:val="002060"/>
          <w:sz w:val="16"/>
          <w:szCs w:val="16"/>
        </w:rPr>
      </w:pPr>
      <w:r w:rsidRPr="00DE096C">
        <w:rPr>
          <w:bCs/>
          <w:color w:val="002060"/>
          <w:sz w:val="16"/>
          <w:szCs w:val="16"/>
        </w:rPr>
        <w:t>По приказу НКМП РСФСР от 1.11.1945 г. мастерские восстановлены Опытный оптико-механический завод (ООМЗ) треста «Русские самоцветы». В 06.1957 г. завод передан в ведение Управления машиностроения ЛенСНХ. В 1962 г. завод вошел в ЛООМП как производство № 4.</w:t>
      </w:r>
    </w:p>
    <w:p w14:paraId="3E07C053" w14:textId="77777777" w:rsidR="00B67D7C" w:rsidRPr="00DE096C" w:rsidRDefault="00B67D7C" w:rsidP="00D45A46">
      <w:pPr>
        <w:jc w:val="both"/>
        <w:rPr>
          <w:bCs/>
          <w:color w:val="002060"/>
          <w:sz w:val="16"/>
          <w:szCs w:val="16"/>
        </w:rPr>
      </w:pPr>
      <w:r w:rsidRPr="00DE096C">
        <w:rPr>
          <w:bCs/>
          <w:color w:val="002060"/>
          <w:sz w:val="16"/>
          <w:szCs w:val="16"/>
        </w:rPr>
        <w:t>Ленинградский оптико-механический завод (ЛОМЗ)</w:t>
      </w:r>
    </w:p>
    <w:p w14:paraId="4A69F576" w14:textId="77777777" w:rsidR="00B67D7C" w:rsidRPr="00DE096C" w:rsidRDefault="00B67D7C" w:rsidP="00D45A46">
      <w:pPr>
        <w:jc w:val="both"/>
        <w:rPr>
          <w:bCs/>
          <w:color w:val="002060"/>
          <w:sz w:val="16"/>
          <w:szCs w:val="16"/>
        </w:rPr>
      </w:pPr>
      <w:r w:rsidRPr="00DE096C">
        <w:rPr>
          <w:bCs/>
          <w:color w:val="002060"/>
          <w:sz w:val="16"/>
          <w:szCs w:val="16"/>
        </w:rPr>
        <w:t>Бывший Химико-фармацевтический завод № 2. В 1959 г. вошел в состав КИНАПа.</w:t>
      </w:r>
    </w:p>
    <w:p w14:paraId="5DFA8A61" w14:textId="77777777" w:rsidR="00B67D7C" w:rsidRPr="00DE096C" w:rsidRDefault="00B67D7C" w:rsidP="00D45A46">
      <w:pPr>
        <w:jc w:val="both"/>
        <w:rPr>
          <w:bCs/>
          <w:color w:val="002060"/>
          <w:sz w:val="16"/>
          <w:szCs w:val="16"/>
        </w:rPr>
      </w:pPr>
      <w:r w:rsidRPr="00DE096C">
        <w:rPr>
          <w:bCs/>
          <w:color w:val="002060"/>
          <w:sz w:val="16"/>
          <w:szCs w:val="16"/>
        </w:rPr>
        <w:t>Ленинградский государственный оптико-механический завод № 350 НКВ,</w:t>
      </w:r>
    </w:p>
    <w:p w14:paraId="6F9B9542" w14:textId="77777777" w:rsidR="00B67D7C" w:rsidRPr="00DE096C" w:rsidRDefault="00B67D7C" w:rsidP="00D45A46">
      <w:pPr>
        <w:jc w:val="both"/>
        <w:rPr>
          <w:bCs/>
          <w:color w:val="002060"/>
          <w:sz w:val="16"/>
          <w:szCs w:val="16"/>
        </w:rPr>
      </w:pPr>
      <w:r w:rsidRPr="00DE096C">
        <w:rPr>
          <w:bCs/>
          <w:color w:val="002060"/>
          <w:sz w:val="16"/>
          <w:szCs w:val="16"/>
        </w:rPr>
        <w:t>Ленинградский оптико-механический завод (ЛОМЗ) ВСНХ, НКТП, НКОП, НКВ</w:t>
      </w:r>
    </w:p>
    <w:p w14:paraId="3EBA0601" w14:textId="48E446CD" w:rsidR="00B67D7C" w:rsidRPr="00DE096C" w:rsidRDefault="00B67D7C" w:rsidP="00D45A46">
      <w:pPr>
        <w:jc w:val="both"/>
        <w:rPr>
          <w:bCs/>
          <w:color w:val="002060"/>
          <w:sz w:val="16"/>
          <w:szCs w:val="16"/>
        </w:rPr>
      </w:pPr>
      <w:r w:rsidRPr="00DE096C">
        <w:rPr>
          <w:bCs/>
          <w:color w:val="002060"/>
          <w:sz w:val="16"/>
          <w:szCs w:val="16"/>
        </w:rPr>
        <w:t>/с. Александрова Володарского р-на Ленинградской обл. Берговский пер., 3 (1932 г.);</w:t>
      </w:r>
      <w:r w:rsidR="0006581C">
        <w:rPr>
          <w:bCs/>
          <w:color w:val="002060"/>
          <w:sz w:val="16"/>
          <w:szCs w:val="16"/>
        </w:rPr>
        <w:t xml:space="preserve"> </w:t>
      </w:r>
      <w:r w:rsidRPr="00DE096C">
        <w:rPr>
          <w:bCs/>
          <w:color w:val="002060"/>
          <w:sz w:val="16"/>
          <w:szCs w:val="16"/>
        </w:rPr>
        <w:t>г. Новосибирск/</w:t>
      </w:r>
    </w:p>
    <w:p w14:paraId="0185261D" w14:textId="77777777" w:rsidR="00B67D7C" w:rsidRPr="00DE096C" w:rsidRDefault="00B67D7C" w:rsidP="00D45A46">
      <w:pPr>
        <w:jc w:val="both"/>
        <w:rPr>
          <w:bCs/>
          <w:color w:val="002060"/>
          <w:sz w:val="16"/>
          <w:szCs w:val="16"/>
        </w:rPr>
      </w:pPr>
      <w:r w:rsidRPr="00DE096C">
        <w:rPr>
          <w:bCs/>
          <w:color w:val="002060"/>
          <w:sz w:val="16"/>
          <w:szCs w:val="16"/>
        </w:rPr>
        <w:t>ЛОМЗ образован по приказу ГВПУ ВСНХ от 27.02.1930 г. на базе оптических мастерских (отдела) завода «Большевик» в ведении ВООМП ВСНХ. В 1932 г. передан в ведение НКТП, в 12.1936 г. - НКОП. По пр. № 09с от 23.01.1937 г. завод передан в ведение 9ГУ НКОП, приказом № 69 от 23.02.1937 г. утвержден Устав завода. В 02.1939 г. ЛОМЗ 9ГУ передан в ведение 9ГУ НКВ. В 1940 г. переименован в ЛОМЗ № 350, в 06.1940 г. - в ведении 2ГУ НКВ.</w:t>
      </w:r>
    </w:p>
    <w:p w14:paraId="6C13E087" w14:textId="77777777" w:rsidR="00B67D7C" w:rsidRPr="00DE096C" w:rsidRDefault="00B67D7C" w:rsidP="00D45A46">
      <w:pPr>
        <w:jc w:val="both"/>
        <w:rPr>
          <w:bCs/>
          <w:color w:val="002060"/>
          <w:sz w:val="16"/>
          <w:szCs w:val="16"/>
        </w:rPr>
      </w:pPr>
      <w:r w:rsidRPr="00DE096C">
        <w:rPr>
          <w:bCs/>
          <w:color w:val="002060"/>
          <w:sz w:val="16"/>
          <w:szCs w:val="16"/>
        </w:rPr>
        <w:t>Распоряжением ВТОМП № 933с от 23.06.1936 г. заводу предписано: закончить и предать на «Прогресс» чертежи Б-13; командировать на завод на 2 месяца одного технолога; выделить приборы - динаметр Рамсдена, динаметр для проверки удаления входного зрачка, прибор для поверки параллакса; коллиматор для проверки разрешающей силы.</w:t>
      </w:r>
    </w:p>
    <w:p w14:paraId="51998B83" w14:textId="77777777" w:rsidR="00B67D7C" w:rsidRPr="00DE096C" w:rsidRDefault="00B67D7C" w:rsidP="00D45A46">
      <w:pPr>
        <w:jc w:val="both"/>
        <w:rPr>
          <w:bCs/>
          <w:color w:val="002060"/>
          <w:sz w:val="16"/>
          <w:szCs w:val="16"/>
        </w:rPr>
      </w:pPr>
      <w:r w:rsidRPr="00DE096C">
        <w:rPr>
          <w:bCs/>
          <w:color w:val="002060"/>
          <w:sz w:val="16"/>
          <w:szCs w:val="16"/>
        </w:rPr>
        <w:t>Расп. № 02сс от 22/25.12.1936 г. заводу поручено изготовить к 04.1937 г. 3 комплекта прицелов и визиров командира башни МК-3-180 и 2 комплекта визиров стабилизированного поста наводки для крейсера «Киров»; приказом НКОП № 06с от 14.01.1937 г. - изготовить в 1937-38 г. 72 комплекта визиров для стабилизированных визирных постов (СВП) МПУАЗО-СО боевых кораблей. По пр. № 197с от 2.06.1938 г. требовалось к 1.07.1938 г. изготовить опытные образцы модернизированных прицелов ШБ и БИ. По пр. № 229сс от 1.07.1938 г. требовалось изготовить (совместно с ГОИ) 15 штуфен-фотометров для завода № 395.</w:t>
      </w:r>
    </w:p>
    <w:p w14:paraId="0A89F856" w14:textId="77777777" w:rsidR="00B67D7C" w:rsidRPr="00DE096C" w:rsidRDefault="00B67D7C" w:rsidP="00D45A46">
      <w:pPr>
        <w:jc w:val="both"/>
        <w:rPr>
          <w:bCs/>
          <w:color w:val="002060"/>
          <w:sz w:val="16"/>
          <w:szCs w:val="16"/>
        </w:rPr>
      </w:pPr>
      <w:r w:rsidRPr="00DE096C">
        <w:rPr>
          <w:bCs/>
          <w:color w:val="002060"/>
          <w:sz w:val="16"/>
          <w:szCs w:val="16"/>
        </w:rPr>
        <w:t>В 1936-38 г. при заводе действовало КБ.</w:t>
      </w:r>
    </w:p>
    <w:p w14:paraId="6A08A340" w14:textId="6FC6A01E" w:rsidR="00B67D7C" w:rsidRPr="00DE096C" w:rsidRDefault="00B67D7C" w:rsidP="00D45A46">
      <w:pPr>
        <w:jc w:val="both"/>
        <w:rPr>
          <w:bCs/>
          <w:color w:val="002060"/>
          <w:sz w:val="16"/>
          <w:szCs w:val="16"/>
        </w:rPr>
      </w:pPr>
      <w:r w:rsidRPr="00DE096C">
        <w:rPr>
          <w:bCs/>
          <w:color w:val="002060"/>
          <w:sz w:val="16"/>
          <w:szCs w:val="16"/>
        </w:rPr>
        <w:t>По Постановлению ГКО № 99сс от 11.07.1941 г. завод эвакуирован в</w:t>
      </w:r>
      <w:r w:rsidR="0006581C">
        <w:rPr>
          <w:bCs/>
          <w:color w:val="002060"/>
          <w:sz w:val="16"/>
          <w:szCs w:val="16"/>
        </w:rPr>
        <w:t xml:space="preserve"> </w:t>
      </w:r>
      <w:r w:rsidRPr="00DE096C">
        <w:rPr>
          <w:bCs/>
          <w:color w:val="002060"/>
          <w:sz w:val="16"/>
          <w:szCs w:val="16"/>
        </w:rPr>
        <w:t>г. Новосибирск в помещения Инженерно- строительного и Сельскохозяйственного институтов и продолжил действовать под прежним номером.</w:t>
      </w:r>
      <w:r w:rsidRPr="00DE096C">
        <w:rPr>
          <w:bCs/>
          <w:color w:val="002060"/>
          <w:sz w:val="16"/>
          <w:szCs w:val="16"/>
          <w:vertAlign w:val="superscript"/>
        </w:rPr>
        <w:t>47</w:t>
      </w:r>
    </w:p>
    <w:p w14:paraId="686BCE4D" w14:textId="77777777" w:rsidR="00B67D7C" w:rsidRPr="00DE096C" w:rsidRDefault="00B67D7C" w:rsidP="00D45A46">
      <w:pPr>
        <w:jc w:val="both"/>
        <w:rPr>
          <w:bCs/>
          <w:color w:val="002060"/>
          <w:sz w:val="16"/>
          <w:szCs w:val="16"/>
        </w:rPr>
      </w:pPr>
      <w:r w:rsidRPr="00DE096C">
        <w:rPr>
          <w:bCs/>
          <w:color w:val="002060"/>
          <w:sz w:val="16"/>
          <w:szCs w:val="16"/>
        </w:rPr>
        <w:t>В 1945 г. завод № 350 ликвидирован; оборудование и кадры переданы заводам № 69 и № 349 НКВ. Площадка завода в Ленинграде со зданиями и сооружениями была передана заводу «Большевик».</w:t>
      </w:r>
      <w:r w:rsidRPr="00DE096C">
        <w:rPr>
          <w:bCs/>
          <w:color w:val="002060"/>
          <w:sz w:val="16"/>
          <w:szCs w:val="16"/>
          <w:vertAlign w:val="superscript"/>
        </w:rPr>
        <w:t>131</w:t>
      </w:r>
    </w:p>
    <w:p w14:paraId="0AD64A13" w14:textId="77777777" w:rsidR="00B67D7C" w:rsidRPr="00DE096C" w:rsidRDefault="00B67D7C" w:rsidP="00D45A46">
      <w:pPr>
        <w:jc w:val="both"/>
        <w:rPr>
          <w:bCs/>
          <w:color w:val="002060"/>
          <w:sz w:val="16"/>
          <w:szCs w:val="16"/>
        </w:rPr>
      </w:pPr>
      <w:r w:rsidRPr="00DE096C">
        <w:rPr>
          <w:bCs/>
          <w:color w:val="002060"/>
          <w:sz w:val="16"/>
          <w:szCs w:val="16"/>
        </w:rPr>
        <w:t>Численность персонала (1929 г.)- 513 чел., (1930 г.)- 673 чел., (1931 г.)- 1465 чел., (1935 г.)- 1226 чел.</w:t>
      </w:r>
    </w:p>
    <w:p w14:paraId="59E4762B" w14:textId="77777777" w:rsidR="00B67D7C" w:rsidRPr="00DE096C" w:rsidRDefault="00B67D7C" w:rsidP="00D45A46">
      <w:pPr>
        <w:jc w:val="both"/>
        <w:rPr>
          <w:bCs/>
          <w:color w:val="002060"/>
          <w:sz w:val="16"/>
          <w:szCs w:val="16"/>
        </w:rPr>
      </w:pPr>
      <w:r w:rsidRPr="00DE096C">
        <w:rPr>
          <w:bCs/>
          <w:color w:val="002060"/>
          <w:sz w:val="16"/>
          <w:szCs w:val="16"/>
        </w:rPr>
        <w:t>Директор (-01-8.08.1934; 01-06.1935 г.)- Е.Б. Крившхкий, (8.08.1934 г.-&gt; А.К. Шиндер; и.о. (1.07.1935 г.-&gt; С.И. Фрейберг; (05.1936 г.)- Матвеев, (-12.1936-20.08.1937 г.)- М.А. Цикановский, (20.08.1937-05.1938 г.-)- Ш.И. Ступельман.</w:t>
      </w:r>
    </w:p>
    <w:p w14:paraId="2C964376" w14:textId="77777777" w:rsidR="00B67D7C" w:rsidRPr="00DE096C" w:rsidRDefault="00B67D7C" w:rsidP="00D45A46">
      <w:pPr>
        <w:jc w:val="both"/>
        <w:rPr>
          <w:bCs/>
          <w:color w:val="002060"/>
          <w:sz w:val="16"/>
          <w:szCs w:val="16"/>
        </w:rPr>
      </w:pPr>
      <w:r w:rsidRPr="00DE096C">
        <w:rPr>
          <w:bCs/>
          <w:color w:val="002060"/>
          <w:sz w:val="16"/>
          <w:szCs w:val="16"/>
        </w:rPr>
        <w:t>Зам. директора по техчасти (07.1934 г.)- С.И. Фрейбер г.</w:t>
      </w:r>
    </w:p>
    <w:p w14:paraId="1BA6D8AA" w14:textId="77777777" w:rsidR="00B67D7C" w:rsidRPr="00DE096C" w:rsidRDefault="00B67D7C" w:rsidP="00D45A46">
      <w:pPr>
        <w:jc w:val="both"/>
        <w:rPr>
          <w:bCs/>
          <w:color w:val="002060"/>
          <w:sz w:val="16"/>
          <w:szCs w:val="16"/>
        </w:rPr>
      </w:pPr>
      <w:r w:rsidRPr="00DE096C">
        <w:rPr>
          <w:bCs/>
          <w:color w:val="002060"/>
          <w:sz w:val="16"/>
          <w:szCs w:val="16"/>
        </w:rPr>
        <w:t>Технический директор (-09.1934-07.1935 г.-)- С.И. Фрейбер г.</w:t>
      </w:r>
    </w:p>
    <w:p w14:paraId="6AD2C095" w14:textId="77777777" w:rsidR="00B67D7C" w:rsidRPr="00DE096C" w:rsidRDefault="00B67D7C" w:rsidP="00D45A46">
      <w:pPr>
        <w:jc w:val="both"/>
        <w:rPr>
          <w:bCs/>
          <w:color w:val="002060"/>
          <w:sz w:val="16"/>
          <w:szCs w:val="16"/>
        </w:rPr>
      </w:pPr>
      <w:r w:rsidRPr="00DE096C">
        <w:rPr>
          <w:bCs/>
          <w:color w:val="002060"/>
          <w:sz w:val="16"/>
          <w:szCs w:val="16"/>
        </w:rPr>
        <w:t>Начальники цехов: механического (12.1934 г.)- Клячкин; литейного (12.1934 г.)- Линз.</w:t>
      </w:r>
    </w:p>
    <w:p w14:paraId="3232F144" w14:textId="77777777" w:rsidR="00B67D7C" w:rsidRPr="00DE096C" w:rsidRDefault="00B67D7C" w:rsidP="00D45A46">
      <w:pPr>
        <w:jc w:val="both"/>
        <w:rPr>
          <w:bCs/>
          <w:color w:val="002060"/>
          <w:sz w:val="16"/>
          <w:szCs w:val="16"/>
        </w:rPr>
      </w:pPr>
      <w:r w:rsidRPr="00DE096C">
        <w:rPr>
          <w:bCs/>
          <w:color w:val="002060"/>
          <w:sz w:val="16"/>
          <w:szCs w:val="16"/>
        </w:rPr>
        <w:t>Зам. начальника цеха: опытного (06.1936 г.)- Гольдфайн.</w:t>
      </w:r>
    </w:p>
    <w:p w14:paraId="675E8F26" w14:textId="77777777" w:rsidR="00B67D7C" w:rsidRPr="00DE096C" w:rsidRDefault="00B67D7C" w:rsidP="00D45A46">
      <w:pPr>
        <w:jc w:val="both"/>
        <w:rPr>
          <w:bCs/>
          <w:color w:val="002060"/>
          <w:sz w:val="16"/>
          <w:szCs w:val="16"/>
        </w:rPr>
      </w:pPr>
      <w:r w:rsidRPr="00DE096C">
        <w:rPr>
          <w:bCs/>
          <w:color w:val="002060"/>
          <w:sz w:val="16"/>
          <w:szCs w:val="16"/>
        </w:rPr>
        <w:t>Начальники отделов: подготовки производства (12.1934 г.)- Пер. Начальник снабжения (01.1935 г.)- Таттоли.</w:t>
      </w:r>
    </w:p>
    <w:p w14:paraId="31A68FA7" w14:textId="77777777" w:rsidR="00B67D7C" w:rsidRPr="00DE096C" w:rsidRDefault="00B67D7C" w:rsidP="00D45A46">
      <w:pPr>
        <w:jc w:val="both"/>
        <w:rPr>
          <w:bCs/>
          <w:color w:val="002060"/>
          <w:sz w:val="16"/>
          <w:szCs w:val="16"/>
        </w:rPr>
      </w:pPr>
      <w:r w:rsidRPr="00DE096C">
        <w:rPr>
          <w:bCs/>
          <w:color w:val="002060"/>
          <w:sz w:val="16"/>
          <w:szCs w:val="16"/>
        </w:rPr>
        <w:t>Заведующие бюро: ТНБ (12.1934 г.)- Меклер; БОТ механического цеха (12.1934 г.)- Вельский.</w:t>
      </w:r>
    </w:p>
    <w:p w14:paraId="5DE1D441" w14:textId="77777777" w:rsidR="00B67D7C" w:rsidRPr="00DE096C" w:rsidRDefault="00B67D7C" w:rsidP="00D45A46">
      <w:pPr>
        <w:jc w:val="both"/>
        <w:rPr>
          <w:bCs/>
          <w:color w:val="002060"/>
          <w:sz w:val="16"/>
          <w:szCs w:val="16"/>
        </w:rPr>
      </w:pPr>
      <w:r w:rsidRPr="00DE096C">
        <w:rPr>
          <w:bCs/>
          <w:i/>
          <w:color w:val="002060"/>
          <w:sz w:val="16"/>
          <w:szCs w:val="16"/>
        </w:rPr>
        <w:t>Производство: визиры:</w:t>
      </w:r>
      <w:r w:rsidRPr="00DE096C">
        <w:rPr>
          <w:bCs/>
          <w:color w:val="002060"/>
          <w:sz w:val="16"/>
          <w:szCs w:val="16"/>
        </w:rPr>
        <w:t xml:space="preserve"> целеуказания ВЦУ, наклона оси цапф ВНЦ, командира башни ВМК и ПЕР-4, МК-3- 130 и МК-3-180, ночного целеуказания ВНЦН, зенитного целеуказания ВЦУ-3, вертикальной и горизонтальной наводки и спаренный панорамный для поста управления МПУАЗО, наводки постов, управления огнем и постов стабилизации СПН (1937);</w:t>
      </w:r>
      <w:r w:rsidRPr="00DE096C">
        <w:rPr>
          <w:bCs/>
          <w:i/>
          <w:color w:val="002060"/>
          <w:sz w:val="16"/>
          <w:szCs w:val="16"/>
        </w:rPr>
        <w:t xml:space="preserve"> прицелы:</w:t>
      </w:r>
      <w:r w:rsidRPr="00DE096C">
        <w:rPr>
          <w:bCs/>
          <w:color w:val="002060"/>
          <w:sz w:val="16"/>
          <w:szCs w:val="16"/>
        </w:rPr>
        <w:t xml:space="preserve"> танковый ПТ-1 (1936), к башенным установкам МБ-2-130, для артсистем ПЛ Б-24, торпедных аппаратов (1937), бомбардировочные (ВОВ); бинокли: 6x30 (1928-32)- 21462, (ВОВ); телескопическая прицельная труба ТПТ 3x9 (1937); монокуляры, панорамы (1930-е); приборы ЗЮ, Б-4, стилоскоп, ПО-1, БИ, ШБ-1, МВШ, ТПТ (1938); готовальни (1928-32)- 45576.</w:t>
      </w:r>
    </w:p>
    <w:p w14:paraId="3B98B29B" w14:textId="77777777" w:rsidR="00B67D7C" w:rsidRPr="00DE096C" w:rsidRDefault="00B67D7C" w:rsidP="00D45A46">
      <w:pPr>
        <w:jc w:val="both"/>
        <w:rPr>
          <w:bCs/>
          <w:color w:val="002060"/>
          <w:sz w:val="16"/>
          <w:szCs w:val="16"/>
        </w:rPr>
      </w:pPr>
      <w:r w:rsidRPr="00DE096C">
        <w:rPr>
          <w:bCs/>
          <w:color w:val="002060"/>
          <w:sz w:val="16"/>
          <w:szCs w:val="16"/>
        </w:rPr>
        <w:t>КБ ЛОМЗ</w:t>
      </w:r>
    </w:p>
    <w:p w14:paraId="6C08BAD9" w14:textId="77777777" w:rsidR="00B67D7C" w:rsidRPr="00DE096C" w:rsidRDefault="00B67D7C" w:rsidP="00D45A46">
      <w:pPr>
        <w:jc w:val="both"/>
        <w:rPr>
          <w:bCs/>
          <w:color w:val="002060"/>
          <w:sz w:val="16"/>
          <w:szCs w:val="16"/>
        </w:rPr>
      </w:pPr>
      <w:r w:rsidRPr="00DE096C">
        <w:rPr>
          <w:bCs/>
          <w:color w:val="002060"/>
          <w:sz w:val="16"/>
          <w:szCs w:val="16"/>
        </w:rPr>
        <w:lastRenderedPageBreak/>
        <w:t>Распоряжением ВТОМГ1 № 696с от 15.05.1936 г. А.Ф. Колосову и Гальперину поручено включиться в работу по созданию силовой синхронной установки для 100-мм зенитной установки Б-34, проводимой на заводе «Большевик».</w:t>
      </w:r>
    </w:p>
    <w:p w14:paraId="25F50F2B" w14:textId="77777777" w:rsidR="00B67D7C" w:rsidRPr="00DE096C" w:rsidRDefault="00B67D7C" w:rsidP="00D45A46">
      <w:pPr>
        <w:jc w:val="both"/>
        <w:rPr>
          <w:bCs/>
          <w:color w:val="002060"/>
          <w:sz w:val="16"/>
          <w:szCs w:val="16"/>
        </w:rPr>
      </w:pPr>
      <w:r w:rsidRPr="00DE096C">
        <w:rPr>
          <w:bCs/>
          <w:color w:val="002060"/>
          <w:sz w:val="16"/>
          <w:szCs w:val="16"/>
        </w:rPr>
        <w:t>По пр. ВТОМП № 890с от 16.06.1936 г. А.Ф. Колосов и конструкторы Н.В. Сафонов и Д.И. Скорняков командированы на завод «Прогресс» для организации Бюро по проектированию и разработке стабилизированного поста МПУАЗО.</w:t>
      </w:r>
    </w:p>
    <w:p w14:paraId="4553B3AC" w14:textId="77777777" w:rsidR="00B67D7C" w:rsidRPr="00DE096C" w:rsidRDefault="00B67D7C" w:rsidP="00D45A46">
      <w:pPr>
        <w:jc w:val="both"/>
        <w:rPr>
          <w:bCs/>
          <w:color w:val="002060"/>
          <w:sz w:val="16"/>
          <w:szCs w:val="16"/>
        </w:rPr>
      </w:pPr>
      <w:r w:rsidRPr="00DE096C">
        <w:rPr>
          <w:bCs/>
          <w:color w:val="002060"/>
          <w:sz w:val="16"/>
          <w:szCs w:val="16"/>
        </w:rPr>
        <w:t>По пр. № 197с от 2.06.1938 г. требовалось к 1.08.1938 г. организовать при КБ опытный цех.</w:t>
      </w:r>
    </w:p>
    <w:p w14:paraId="3720992A" w14:textId="77777777" w:rsidR="00B67D7C" w:rsidRPr="00DE096C" w:rsidRDefault="00B67D7C" w:rsidP="00D45A46">
      <w:pPr>
        <w:jc w:val="both"/>
        <w:rPr>
          <w:bCs/>
          <w:color w:val="002060"/>
          <w:sz w:val="16"/>
          <w:szCs w:val="16"/>
        </w:rPr>
      </w:pPr>
      <w:r w:rsidRPr="00DE096C">
        <w:rPr>
          <w:bCs/>
          <w:color w:val="002060"/>
          <w:sz w:val="16"/>
          <w:szCs w:val="16"/>
        </w:rPr>
        <w:t>Начальник (-06.1936 г.)- А.Ф. Колосов, (07.1936 г.)- Гальперин (11982).</w:t>
      </w:r>
    </w:p>
    <w:p w14:paraId="2C1F3A57" w14:textId="450DDCCB" w:rsidR="00CD398C" w:rsidRPr="00DE096C" w:rsidRDefault="00CD398C" w:rsidP="00D45A46">
      <w:pPr>
        <w:jc w:val="both"/>
        <w:rPr>
          <w:bCs/>
          <w:color w:val="002060"/>
          <w:sz w:val="16"/>
          <w:szCs w:val="16"/>
        </w:rPr>
      </w:pPr>
    </w:p>
    <w:p w14:paraId="4D430343" w14:textId="454FB7C4" w:rsidR="008B55AB" w:rsidRPr="00DE096C" w:rsidRDefault="008B55AB" w:rsidP="00D45A46">
      <w:pPr>
        <w:jc w:val="both"/>
        <w:rPr>
          <w:bCs/>
          <w:color w:val="002060"/>
          <w:sz w:val="16"/>
          <w:szCs w:val="16"/>
        </w:rPr>
      </w:pPr>
      <w:r w:rsidRPr="00DE096C">
        <w:rPr>
          <w:bCs/>
          <w:color w:val="002060"/>
          <w:sz w:val="16"/>
          <w:szCs w:val="16"/>
        </w:rPr>
        <w:t>4 (17) февраля в 1914 году "Открыло свои действия" Российское акционерное общество оптического и механического производств. В 1914 году был построен завод на Чугунной улице - с 1921 года Государственный оптический завод, затем - Государственный оптико-механический завод. В 1962 году при создании ЛОМО вошел в его состав (15043).</w:t>
      </w:r>
    </w:p>
    <w:p w14:paraId="1EE1030C" w14:textId="77777777" w:rsidR="008B55AB" w:rsidRPr="00DE096C" w:rsidRDefault="008B55AB" w:rsidP="00D45A46">
      <w:pPr>
        <w:jc w:val="both"/>
        <w:rPr>
          <w:bCs/>
          <w:color w:val="002060"/>
          <w:sz w:val="16"/>
          <w:szCs w:val="16"/>
        </w:rPr>
      </w:pPr>
    </w:p>
    <w:p w14:paraId="6E0F8A6D" w14:textId="77777777" w:rsidR="00CB5A1B" w:rsidRPr="00DE096C" w:rsidRDefault="00CB5A1B" w:rsidP="00D45A46">
      <w:pPr>
        <w:shd w:val="clear" w:color="auto" w:fill="FFFFFF"/>
        <w:jc w:val="both"/>
        <w:rPr>
          <w:bCs/>
          <w:i/>
          <w:color w:val="002060"/>
          <w:sz w:val="16"/>
          <w:szCs w:val="16"/>
        </w:rPr>
      </w:pPr>
      <w:r w:rsidRPr="00DE096C">
        <w:rPr>
          <w:bCs/>
          <w:i/>
          <w:color w:val="002060"/>
          <w:sz w:val="16"/>
          <w:szCs w:val="16"/>
        </w:rPr>
        <w:t>Самолетостроение:</w:t>
      </w:r>
    </w:p>
    <w:p w14:paraId="653E5E19" w14:textId="77777777" w:rsidR="00CB5A1B" w:rsidRPr="00DE096C" w:rsidRDefault="00CB5A1B" w:rsidP="00D45A46">
      <w:pPr>
        <w:shd w:val="clear" w:color="auto" w:fill="FFFFFF"/>
        <w:jc w:val="both"/>
        <w:rPr>
          <w:bCs/>
          <w:i/>
          <w:color w:val="002060"/>
          <w:sz w:val="16"/>
          <w:szCs w:val="16"/>
        </w:rPr>
      </w:pPr>
    </w:p>
    <w:p w14:paraId="23237AD8" w14:textId="4F7F0405" w:rsidR="00CB5A1B" w:rsidRPr="00DE096C" w:rsidRDefault="00CB5A1B" w:rsidP="00D45A46">
      <w:pPr>
        <w:shd w:val="clear" w:color="auto" w:fill="FFFFFF"/>
        <w:jc w:val="both"/>
        <w:rPr>
          <w:bCs/>
          <w:color w:val="002060"/>
          <w:sz w:val="16"/>
          <w:szCs w:val="16"/>
        </w:rPr>
      </w:pPr>
      <w:r w:rsidRPr="00DE096C">
        <w:rPr>
          <w:bCs/>
          <w:color w:val="002060"/>
          <w:sz w:val="16"/>
          <w:szCs w:val="16"/>
        </w:rPr>
        <w:t xml:space="preserve">5 </w:t>
      </w:r>
      <w:r w:rsidR="00C37234" w:rsidRPr="00DE096C">
        <w:rPr>
          <w:bCs/>
          <w:color w:val="002060"/>
          <w:sz w:val="16"/>
          <w:szCs w:val="16"/>
        </w:rPr>
        <w:t xml:space="preserve">(18) </w:t>
      </w:r>
      <w:r w:rsidRPr="00DE096C">
        <w:rPr>
          <w:bCs/>
          <w:color w:val="002060"/>
          <w:sz w:val="16"/>
          <w:szCs w:val="16"/>
        </w:rPr>
        <w:t xml:space="preserve">февраля 1914 </w:t>
      </w:r>
      <w:r w:rsidR="00834BC4" w:rsidRPr="00DE096C">
        <w:rPr>
          <w:bCs/>
          <w:color w:val="002060"/>
          <w:sz w:val="16"/>
          <w:szCs w:val="16"/>
        </w:rPr>
        <w:t xml:space="preserve">поступило </w:t>
      </w:r>
      <w:r w:rsidR="00C37234" w:rsidRPr="00DE096C">
        <w:rPr>
          <w:bCs/>
          <w:color w:val="002060"/>
          <w:sz w:val="16"/>
          <w:szCs w:val="16"/>
        </w:rPr>
        <w:t>предложени</w:t>
      </w:r>
      <w:r w:rsidR="00834BC4" w:rsidRPr="00DE096C">
        <w:rPr>
          <w:bCs/>
          <w:color w:val="002060"/>
          <w:sz w:val="16"/>
          <w:szCs w:val="16"/>
        </w:rPr>
        <w:t>е</w:t>
      </w:r>
      <w:r w:rsidR="00C37234" w:rsidRPr="00DE096C">
        <w:rPr>
          <w:bCs/>
          <w:color w:val="002060"/>
          <w:sz w:val="16"/>
          <w:szCs w:val="16"/>
        </w:rPr>
        <w:t xml:space="preserve"> на приобретение готовых аэропланов со стороны акционер</w:t>
      </w:r>
      <w:r w:rsidR="00C37234" w:rsidRPr="00DE096C">
        <w:rPr>
          <w:bCs/>
          <w:color w:val="002060"/>
          <w:sz w:val="16"/>
          <w:szCs w:val="16"/>
        </w:rPr>
        <w:softHyphen/>
        <w:t>ного общества «Дукс» Ю. А. Меллера</w:t>
      </w:r>
      <w:r w:rsidR="00834BC4" w:rsidRPr="00DE096C">
        <w:rPr>
          <w:bCs/>
          <w:color w:val="002060"/>
          <w:sz w:val="16"/>
          <w:szCs w:val="16"/>
        </w:rPr>
        <w:t>:</w:t>
      </w:r>
      <w:r w:rsidR="0006581C">
        <w:rPr>
          <w:bCs/>
          <w:color w:val="002060"/>
          <w:sz w:val="16"/>
          <w:szCs w:val="16"/>
        </w:rPr>
        <w:t xml:space="preserve"> </w:t>
      </w:r>
      <w:r w:rsidRPr="00DE096C">
        <w:rPr>
          <w:bCs/>
          <w:color w:val="002060"/>
          <w:sz w:val="16"/>
          <w:szCs w:val="16"/>
        </w:rPr>
        <w:t>один аэроплан двухме</w:t>
      </w:r>
      <w:r w:rsidRPr="00DE096C">
        <w:rPr>
          <w:bCs/>
          <w:color w:val="002060"/>
          <w:sz w:val="16"/>
          <w:szCs w:val="16"/>
        </w:rPr>
        <w:softHyphen/>
        <w:t>стный системы «Ньюпор» с 70-сильным мотором за 7500 руб., один аэроплан, двухмест</w:t>
      </w:r>
      <w:r w:rsidRPr="00DE096C">
        <w:rPr>
          <w:bCs/>
          <w:color w:val="002060"/>
          <w:sz w:val="16"/>
          <w:szCs w:val="16"/>
        </w:rPr>
        <w:softHyphen/>
        <w:t>ный, с мотором «Гном» в 80 сил за 8 тыс. руб., один аэроплан учебный системы Депер-дюссена с мотором в 50 сил за 6500 рублей.</w:t>
      </w:r>
    </w:p>
    <w:p w14:paraId="232C8451" w14:textId="472A21A6" w:rsidR="00CB5A1B" w:rsidRPr="00DE096C" w:rsidRDefault="00CB5A1B" w:rsidP="00D45A46">
      <w:pPr>
        <w:shd w:val="clear" w:color="auto" w:fill="FFFFFF"/>
        <w:jc w:val="both"/>
        <w:rPr>
          <w:bCs/>
          <w:color w:val="002060"/>
          <w:sz w:val="16"/>
          <w:szCs w:val="16"/>
        </w:rPr>
      </w:pPr>
      <w:r w:rsidRPr="00DE096C">
        <w:rPr>
          <w:bCs/>
          <w:color w:val="002060"/>
          <w:sz w:val="16"/>
          <w:szCs w:val="16"/>
        </w:rPr>
        <w:t xml:space="preserve">Второе предложение </w:t>
      </w:r>
      <w:r w:rsidR="00834BC4" w:rsidRPr="00DE096C">
        <w:rPr>
          <w:bCs/>
          <w:color w:val="002060"/>
          <w:sz w:val="16"/>
          <w:szCs w:val="16"/>
        </w:rPr>
        <w:t xml:space="preserve">от </w:t>
      </w:r>
      <w:r w:rsidRPr="00DE096C">
        <w:rPr>
          <w:bCs/>
          <w:color w:val="002060"/>
          <w:sz w:val="16"/>
          <w:szCs w:val="16"/>
        </w:rPr>
        <w:t>Одесск</w:t>
      </w:r>
      <w:r w:rsidR="00834BC4" w:rsidRPr="00DE096C">
        <w:rPr>
          <w:bCs/>
          <w:color w:val="002060"/>
          <w:sz w:val="16"/>
          <w:szCs w:val="16"/>
        </w:rPr>
        <w:t>ого</w:t>
      </w:r>
      <w:r w:rsidRPr="00DE096C">
        <w:rPr>
          <w:bCs/>
          <w:color w:val="002060"/>
          <w:sz w:val="16"/>
          <w:szCs w:val="16"/>
        </w:rPr>
        <w:t xml:space="preserve"> аэроклуб</w:t>
      </w:r>
      <w:r w:rsidR="00834BC4" w:rsidRPr="00DE096C">
        <w:rPr>
          <w:bCs/>
          <w:color w:val="002060"/>
          <w:sz w:val="16"/>
          <w:szCs w:val="16"/>
        </w:rPr>
        <w:t>а</w:t>
      </w:r>
      <w:r w:rsidRPr="00DE096C">
        <w:rPr>
          <w:bCs/>
          <w:color w:val="002060"/>
          <w:sz w:val="16"/>
          <w:szCs w:val="16"/>
        </w:rPr>
        <w:t xml:space="preserve"> </w:t>
      </w:r>
      <w:r w:rsidR="00834BC4" w:rsidRPr="00DE096C">
        <w:rPr>
          <w:bCs/>
          <w:color w:val="002060"/>
          <w:sz w:val="16"/>
          <w:szCs w:val="16"/>
        </w:rPr>
        <w:t xml:space="preserve">был предложен </w:t>
      </w:r>
      <w:r w:rsidRPr="00DE096C">
        <w:rPr>
          <w:bCs/>
          <w:color w:val="002060"/>
          <w:sz w:val="16"/>
          <w:szCs w:val="16"/>
        </w:rPr>
        <w:t>од</w:t>
      </w:r>
      <w:r w:rsidR="00834BC4" w:rsidRPr="00DE096C">
        <w:rPr>
          <w:bCs/>
          <w:color w:val="002060"/>
          <w:sz w:val="16"/>
          <w:szCs w:val="16"/>
        </w:rPr>
        <w:t>ин</w:t>
      </w:r>
      <w:r w:rsidRPr="00DE096C">
        <w:rPr>
          <w:bCs/>
          <w:color w:val="002060"/>
          <w:sz w:val="16"/>
          <w:szCs w:val="16"/>
        </w:rPr>
        <w:t xml:space="preserve"> аэроплан системы «Фармана» № 22 бис за 9 тыс. рублей.</w:t>
      </w:r>
    </w:p>
    <w:p w14:paraId="7DDCD4B7" w14:textId="77777777" w:rsidR="00CB5A1B" w:rsidRPr="00DE096C" w:rsidRDefault="00CB5A1B" w:rsidP="00D45A46">
      <w:pPr>
        <w:shd w:val="clear" w:color="auto" w:fill="FFFFFF"/>
        <w:jc w:val="both"/>
        <w:rPr>
          <w:bCs/>
          <w:color w:val="002060"/>
          <w:sz w:val="16"/>
          <w:szCs w:val="16"/>
        </w:rPr>
      </w:pPr>
      <w:r w:rsidRPr="00DE096C">
        <w:rPr>
          <w:bCs/>
          <w:color w:val="002060"/>
          <w:sz w:val="16"/>
          <w:szCs w:val="16"/>
        </w:rPr>
        <w:t>При даче настоящего заказа на основании мотивов, изложенных в представлении Главного управления Генерального штаба от 25 октября 1913 г. за № 4203**, вышепои</w:t>
      </w:r>
      <w:r w:rsidRPr="00DE096C">
        <w:rPr>
          <w:bCs/>
          <w:color w:val="002060"/>
          <w:sz w:val="16"/>
          <w:szCs w:val="16"/>
        </w:rPr>
        <w:softHyphen/>
        <w:t>менованным фирмам полагалось бы предоставить установку на заказываемых аппаратах наряду с моторами «Гном» точно так же установку моторов систем «Клерже» и «Калеп», ограничив число моторов двух последних типов 25 % от общего числа заказываемых ап</w:t>
      </w:r>
      <w:r w:rsidRPr="00DE096C">
        <w:rPr>
          <w:bCs/>
          <w:color w:val="002060"/>
          <w:sz w:val="16"/>
          <w:szCs w:val="16"/>
        </w:rPr>
        <w:softHyphen/>
        <w:t>паратов с ротационными моторами.</w:t>
      </w:r>
    </w:p>
    <w:p w14:paraId="1BD960A7" w14:textId="77777777" w:rsidR="00CB5A1B" w:rsidRPr="00DE096C" w:rsidRDefault="00CB5A1B" w:rsidP="00D45A46">
      <w:pPr>
        <w:shd w:val="clear" w:color="auto" w:fill="FFFFFF"/>
        <w:jc w:val="both"/>
        <w:rPr>
          <w:bCs/>
          <w:color w:val="002060"/>
          <w:sz w:val="16"/>
          <w:szCs w:val="16"/>
        </w:rPr>
      </w:pPr>
      <w:r w:rsidRPr="00DE096C">
        <w:rPr>
          <w:bCs/>
          <w:color w:val="002060"/>
          <w:sz w:val="16"/>
          <w:szCs w:val="16"/>
        </w:rPr>
        <w:t>Уплату заводам денег за выполнение настоящего заказа полагалось бы производить на основаниях, утвержденных Военным советом по журналу от 2 ноября 1913 г., т. е. уплачи</w:t>
      </w:r>
      <w:r w:rsidRPr="00DE096C">
        <w:rPr>
          <w:bCs/>
          <w:color w:val="002060"/>
          <w:sz w:val="16"/>
          <w:szCs w:val="16"/>
        </w:rPr>
        <w:softHyphen/>
        <w:t>вать заводам по испытании и приемке для него каждого двигателя и по получении от него сохранной расписки половину стоимости соответственного аэроплана; четверть стоимос</w:t>
      </w:r>
      <w:r w:rsidRPr="00DE096C">
        <w:rPr>
          <w:bCs/>
          <w:color w:val="002060"/>
          <w:sz w:val="16"/>
          <w:szCs w:val="16"/>
        </w:rPr>
        <w:softHyphen/>
        <w:t>ти уплачивать по окончательном изготовлении аэроплана и освидетельствовании его на заводе и последнюю четверть стоимости аппарата выдавать по приемке аэроплана в поле</w:t>
      </w:r>
      <w:r w:rsidRPr="00DE096C">
        <w:rPr>
          <w:bCs/>
          <w:color w:val="002060"/>
          <w:sz w:val="16"/>
          <w:szCs w:val="16"/>
        </w:rPr>
        <w:softHyphen/>
        <w:t>те, его укупорке и сдаче заводом для отправки на железную дорогу или представлении соответственной квитанции о сдачи его в центральный воздухоплавательный склад.</w:t>
      </w:r>
    </w:p>
    <w:p w14:paraId="7D5D96FE" w14:textId="77777777" w:rsidR="00CB5A1B" w:rsidRPr="00DE096C" w:rsidRDefault="00CB5A1B" w:rsidP="00D45A46">
      <w:pPr>
        <w:shd w:val="clear" w:color="auto" w:fill="FFFFFF"/>
        <w:jc w:val="both"/>
        <w:rPr>
          <w:bCs/>
          <w:color w:val="002060"/>
          <w:sz w:val="16"/>
          <w:szCs w:val="16"/>
        </w:rPr>
      </w:pPr>
      <w:r w:rsidRPr="00DE096C">
        <w:rPr>
          <w:bCs/>
          <w:color w:val="002060"/>
          <w:sz w:val="16"/>
          <w:szCs w:val="16"/>
        </w:rPr>
        <w:t>За аппараты, поставленные без моторов, полагалось бы уплачивать первую половину стоимости аппарата по окончании его постройки и по освидетельствовании его на заво</w:t>
      </w:r>
      <w:r w:rsidRPr="00DE096C">
        <w:rPr>
          <w:bCs/>
          <w:color w:val="002060"/>
          <w:sz w:val="16"/>
          <w:szCs w:val="16"/>
        </w:rPr>
        <w:softHyphen/>
        <w:t>де, вторую же половину уплачивать по испытании этих аппаратов в полете с принадлежа</w:t>
      </w:r>
      <w:r w:rsidRPr="00DE096C">
        <w:rPr>
          <w:bCs/>
          <w:color w:val="002060"/>
          <w:sz w:val="16"/>
          <w:szCs w:val="16"/>
        </w:rPr>
        <w:softHyphen/>
        <w:t>щим казне мотором, их приемке, укупорке и сдаче заводом на железную дорогу для отправки или представлении соответственной квитанции центрального воздухоплава</w:t>
      </w:r>
      <w:r w:rsidRPr="00DE096C">
        <w:rPr>
          <w:bCs/>
          <w:color w:val="002060"/>
          <w:sz w:val="16"/>
          <w:szCs w:val="16"/>
        </w:rPr>
        <w:softHyphen/>
        <w:t>тельного склада.</w:t>
      </w:r>
    </w:p>
    <w:p w14:paraId="0A76948C" w14:textId="77777777" w:rsidR="00CB5A1B" w:rsidRPr="00DE096C" w:rsidRDefault="00CB5A1B" w:rsidP="00D45A46">
      <w:pPr>
        <w:shd w:val="clear" w:color="auto" w:fill="FFFFFF"/>
        <w:jc w:val="both"/>
        <w:rPr>
          <w:bCs/>
          <w:color w:val="002060"/>
          <w:sz w:val="16"/>
          <w:szCs w:val="16"/>
        </w:rPr>
      </w:pPr>
      <w:r w:rsidRPr="00DE096C">
        <w:rPr>
          <w:bCs/>
          <w:color w:val="002060"/>
          <w:sz w:val="16"/>
          <w:szCs w:val="16"/>
        </w:rPr>
        <w:t>Уплату денег за аппараты, изготовленные за границей, полагалось бы производить следующим порядком: одну треть всей стоимости каждого аэроплана — при представле</w:t>
      </w:r>
      <w:r w:rsidRPr="00DE096C">
        <w:rPr>
          <w:bCs/>
          <w:color w:val="002060"/>
          <w:sz w:val="16"/>
          <w:szCs w:val="16"/>
        </w:rPr>
        <w:softHyphen/>
        <w:t>нии железнодорожных документов или засвидетельствованных копий с них об отправле</w:t>
      </w:r>
      <w:r w:rsidRPr="00DE096C">
        <w:rPr>
          <w:bCs/>
          <w:color w:val="002060"/>
          <w:sz w:val="16"/>
          <w:szCs w:val="16"/>
        </w:rPr>
        <w:softHyphen/>
        <w:t>нии аппаратов с завода и две трети — после их окончательной сдачи в полете,, укупорки и сдаче на железную дорогу для отправки. От внесения залога фирма освобождается.</w:t>
      </w:r>
    </w:p>
    <w:p w14:paraId="022D8585" w14:textId="77777777" w:rsidR="00CB5A1B" w:rsidRPr="00DE096C" w:rsidRDefault="00CB5A1B" w:rsidP="00D45A46">
      <w:pPr>
        <w:shd w:val="clear" w:color="auto" w:fill="FFFFFF"/>
        <w:jc w:val="both"/>
        <w:rPr>
          <w:bCs/>
          <w:color w:val="002060"/>
          <w:sz w:val="16"/>
          <w:szCs w:val="16"/>
        </w:rPr>
      </w:pPr>
      <w:r w:rsidRPr="00DE096C">
        <w:rPr>
          <w:bCs/>
          <w:color w:val="002060"/>
          <w:sz w:val="16"/>
          <w:szCs w:val="16"/>
        </w:rPr>
        <w:t>Что касается цен, предположенных к заготовке, то следует заметить, что они для аэропланов системы «Депердюссена» с его запасными частями и для запасных частей аппаратов Фармана № 22 бис те же, что и в последнем заказе, разрешенном Военным советом в декабре 1913 года. Цены же на аппараты системы «Моран-Сольнье» (Парасоль) приняты те же, что и для Депердюссена, а на обыкновенный и одноместный аппарат и запасные части — несколько дешевле вследствие более простой конструкции их.</w:t>
      </w:r>
    </w:p>
    <w:p w14:paraId="2767FDCF" w14:textId="77777777" w:rsidR="00CB5A1B" w:rsidRPr="00DE096C" w:rsidRDefault="00CB5A1B" w:rsidP="00D45A46">
      <w:pPr>
        <w:shd w:val="clear" w:color="auto" w:fill="FFFFFF"/>
        <w:jc w:val="both"/>
        <w:rPr>
          <w:bCs/>
          <w:color w:val="002060"/>
          <w:sz w:val="16"/>
          <w:szCs w:val="16"/>
        </w:rPr>
      </w:pPr>
      <w:r w:rsidRPr="00DE096C">
        <w:rPr>
          <w:bCs/>
          <w:color w:val="002060"/>
          <w:sz w:val="16"/>
          <w:szCs w:val="16"/>
        </w:rPr>
        <w:t>Стоимость аэропланов системы «Фармана» № 22 бис со 100-сильными одноклапан-ными моторами «Гном» определена путем увеличения стоимости этого аэроплана, кото</w:t>
      </w:r>
      <w:r w:rsidRPr="00DE096C">
        <w:rPr>
          <w:bCs/>
          <w:color w:val="002060"/>
          <w:sz w:val="16"/>
          <w:szCs w:val="16"/>
        </w:rPr>
        <w:softHyphen/>
        <w:t>рый ранее заказывался с 80-сильным мотором, на разницу стоимости 100-сильного мо</w:t>
      </w:r>
      <w:r w:rsidRPr="00DE096C">
        <w:rPr>
          <w:bCs/>
          <w:color w:val="002060"/>
          <w:sz w:val="16"/>
          <w:szCs w:val="16"/>
        </w:rPr>
        <w:softHyphen/>
        <w:t>тора этой новой системы, и может быть признана не преувеличенной.</w:t>
      </w:r>
    </w:p>
    <w:p w14:paraId="5B80B468" w14:textId="77777777" w:rsidR="00CB5A1B" w:rsidRPr="00DE096C" w:rsidRDefault="00CB5A1B" w:rsidP="00D45A46">
      <w:pPr>
        <w:shd w:val="clear" w:color="auto" w:fill="FFFFFF"/>
        <w:jc w:val="both"/>
        <w:rPr>
          <w:bCs/>
          <w:color w:val="002060"/>
          <w:sz w:val="16"/>
          <w:szCs w:val="16"/>
        </w:rPr>
      </w:pPr>
      <w:r w:rsidRPr="00DE096C">
        <w:rPr>
          <w:bCs/>
          <w:color w:val="002060"/>
          <w:sz w:val="16"/>
          <w:szCs w:val="16"/>
        </w:rPr>
        <w:t>Стоимость аэропланов системы «Сикорского» хотя и более примерно на 1 тыс, руб. соответственных аппаратов других систем, но ввиду его более сложной конструкции и в целях поощрения разработки русских систем аэропланов можно было бы признать ее приемлемой.</w:t>
      </w:r>
    </w:p>
    <w:p w14:paraId="7395F230" w14:textId="77777777" w:rsidR="00CB5A1B" w:rsidRPr="00DE096C" w:rsidRDefault="00CB5A1B" w:rsidP="00D45A46">
      <w:pPr>
        <w:shd w:val="clear" w:color="auto" w:fill="FFFFFF"/>
        <w:jc w:val="both"/>
        <w:rPr>
          <w:bCs/>
          <w:color w:val="002060"/>
          <w:sz w:val="16"/>
          <w:szCs w:val="16"/>
        </w:rPr>
      </w:pPr>
      <w:r w:rsidRPr="00DE096C">
        <w:rPr>
          <w:bCs/>
          <w:color w:val="002060"/>
          <w:sz w:val="16"/>
          <w:szCs w:val="16"/>
        </w:rPr>
        <w:t>Стоимость учебных аэропланов без моторов, которые представляют [собой] в сущно</w:t>
      </w:r>
      <w:r w:rsidRPr="00DE096C">
        <w:rPr>
          <w:bCs/>
          <w:color w:val="002060"/>
          <w:sz w:val="16"/>
          <w:szCs w:val="16"/>
        </w:rPr>
        <w:softHyphen/>
        <w:t>сти тот же строевой аппарат, даже с некоторыми добавочными частями (лишнее колесо), составляет примерно иену строевого аппарата, если вычесть из нее стоимость мотора. Эту стоимость надо считать правильной.</w:t>
      </w:r>
    </w:p>
    <w:p w14:paraId="5A7917AB" w14:textId="77777777" w:rsidR="00CB5A1B" w:rsidRPr="00DE096C" w:rsidRDefault="00CB5A1B" w:rsidP="00D45A46">
      <w:pPr>
        <w:shd w:val="clear" w:color="auto" w:fill="FFFFFF"/>
        <w:jc w:val="both"/>
        <w:rPr>
          <w:bCs/>
          <w:color w:val="002060"/>
          <w:sz w:val="16"/>
          <w:szCs w:val="16"/>
        </w:rPr>
      </w:pPr>
      <w:r w:rsidRPr="00DE096C">
        <w:rPr>
          <w:bCs/>
          <w:color w:val="002060"/>
          <w:sz w:val="16"/>
          <w:szCs w:val="16"/>
        </w:rPr>
        <w:t>Стоимость аппаратов системы «Вуазена». как несущих более мощный мотор и пред</w:t>
      </w:r>
      <w:r w:rsidRPr="00DE096C">
        <w:rPr>
          <w:bCs/>
          <w:color w:val="002060"/>
          <w:sz w:val="16"/>
          <w:szCs w:val="16"/>
        </w:rPr>
        <w:softHyphen/>
        <w:t>ставляющих по конструкции сложную систему, надо считать соответственной; различие же в стоимости между аппаратами заграничного изготовления и строящимися в России составляет уплата за право постройки, определенная фирмой Вуазена в 3 тыс, франков с каждого аппарата, построенного в России.</w:t>
      </w:r>
    </w:p>
    <w:p w14:paraId="728DDB40" w14:textId="77777777" w:rsidR="00CB5A1B" w:rsidRPr="00DE096C" w:rsidRDefault="00CB5A1B" w:rsidP="00D45A46">
      <w:pPr>
        <w:shd w:val="clear" w:color="auto" w:fill="FFFFFF"/>
        <w:jc w:val="both"/>
        <w:rPr>
          <w:bCs/>
          <w:color w:val="002060"/>
          <w:sz w:val="16"/>
          <w:szCs w:val="16"/>
        </w:rPr>
      </w:pPr>
      <w:r w:rsidRPr="00DE096C">
        <w:rPr>
          <w:bCs/>
          <w:color w:val="002060"/>
          <w:sz w:val="16"/>
          <w:szCs w:val="16"/>
        </w:rPr>
        <w:t>Стоимость комплектов запасных частей к аэропланам, как уже было сказано выше, нельзя признать преувеличенной, так как она или равна, или ниже [цен], ранее утверж</w:t>
      </w:r>
      <w:r w:rsidRPr="00DE096C">
        <w:rPr>
          <w:bCs/>
          <w:color w:val="002060"/>
          <w:sz w:val="16"/>
          <w:szCs w:val="16"/>
        </w:rPr>
        <w:softHyphen/>
        <w:t>денных к заказу Военным советом.</w:t>
      </w:r>
    </w:p>
    <w:p w14:paraId="4721282D" w14:textId="77777777" w:rsidR="00CB5A1B" w:rsidRPr="00DE096C" w:rsidRDefault="00CB5A1B" w:rsidP="00D45A46">
      <w:pPr>
        <w:shd w:val="clear" w:color="auto" w:fill="FFFFFF"/>
        <w:jc w:val="both"/>
        <w:rPr>
          <w:bCs/>
          <w:color w:val="002060"/>
          <w:sz w:val="16"/>
          <w:szCs w:val="16"/>
        </w:rPr>
      </w:pPr>
      <w:r w:rsidRPr="00DE096C">
        <w:rPr>
          <w:bCs/>
          <w:color w:val="002060"/>
          <w:sz w:val="16"/>
          <w:szCs w:val="16"/>
        </w:rPr>
        <w:t>При выполнении настоящей заготовки русскими заводами является необходимость разрешить им выписку из-за границы некоторых мелких частей и материалов, не имею</w:t>
      </w:r>
      <w:r w:rsidRPr="00DE096C">
        <w:rPr>
          <w:bCs/>
          <w:color w:val="002060"/>
          <w:sz w:val="16"/>
          <w:szCs w:val="16"/>
        </w:rPr>
        <w:softHyphen/>
        <w:t>щихся в России, по примерному расчету не свыше 800 руб. на аэроплан, а также приобре</w:t>
      </w:r>
      <w:r w:rsidRPr="00DE096C">
        <w:rPr>
          <w:bCs/>
          <w:color w:val="002060"/>
          <w:sz w:val="16"/>
          <w:szCs w:val="16"/>
        </w:rPr>
        <w:softHyphen/>
        <w:t>сти часть необходимых моторов, превышающую по сроку поставки аппаратов произво</w:t>
      </w:r>
      <w:r w:rsidRPr="00DE096C">
        <w:rPr>
          <w:bCs/>
          <w:color w:val="002060"/>
          <w:sz w:val="16"/>
          <w:szCs w:val="16"/>
        </w:rPr>
        <w:softHyphen/>
        <w:t>дительность русских заводов Калепа в Риге и отделения «Гном» в Москве, а также мото</w:t>
      </w:r>
      <w:r w:rsidRPr="00DE096C">
        <w:rPr>
          <w:bCs/>
          <w:color w:val="002060"/>
          <w:sz w:val="16"/>
          <w:szCs w:val="16"/>
        </w:rPr>
        <w:softHyphen/>
        <w:t>ров систем, вовсе не изготовляемых пока в России, как-то: «Клерже». «Гном» однокла-панный и «Сальмсон».</w:t>
      </w:r>
    </w:p>
    <w:p w14:paraId="5E0F1EFC" w14:textId="77777777" w:rsidR="00CB5A1B" w:rsidRPr="00DE096C" w:rsidRDefault="00CB5A1B" w:rsidP="00D45A46">
      <w:pPr>
        <w:shd w:val="clear" w:color="auto" w:fill="FFFFFF"/>
        <w:jc w:val="both"/>
        <w:rPr>
          <w:bCs/>
          <w:color w:val="002060"/>
          <w:sz w:val="16"/>
          <w:szCs w:val="16"/>
        </w:rPr>
      </w:pPr>
      <w:r w:rsidRPr="00DE096C">
        <w:rPr>
          <w:bCs/>
          <w:color w:val="002060"/>
          <w:sz w:val="16"/>
          <w:szCs w:val="16"/>
        </w:rPr>
        <w:t xml:space="preserve">Согласие Министерства </w:t>
      </w:r>
      <w:r w:rsidRPr="00DE096C">
        <w:rPr>
          <w:bCs/>
          <w:smallCaps/>
          <w:color w:val="002060"/>
          <w:sz w:val="16"/>
          <w:szCs w:val="16"/>
        </w:rPr>
        <w:t xml:space="preserve">торговли </w:t>
      </w:r>
      <w:r w:rsidRPr="00DE096C">
        <w:rPr>
          <w:bCs/>
          <w:color w:val="002060"/>
          <w:sz w:val="16"/>
          <w:szCs w:val="16"/>
        </w:rPr>
        <w:t>и промышленности на приобретение за границей опытных аэропланов и вышеупомянутых предметов имеется.</w:t>
      </w:r>
    </w:p>
    <w:p w14:paraId="0524A52F" w14:textId="77777777" w:rsidR="00CB5A1B" w:rsidRPr="00DE096C" w:rsidRDefault="00CB5A1B" w:rsidP="00D45A46">
      <w:pPr>
        <w:shd w:val="clear" w:color="auto" w:fill="FFFFFF"/>
        <w:jc w:val="both"/>
        <w:rPr>
          <w:bCs/>
          <w:color w:val="002060"/>
          <w:sz w:val="16"/>
          <w:szCs w:val="16"/>
        </w:rPr>
      </w:pPr>
      <w:r w:rsidRPr="00DE096C">
        <w:rPr>
          <w:bCs/>
          <w:color w:val="002060"/>
          <w:sz w:val="16"/>
          <w:szCs w:val="16"/>
        </w:rPr>
        <w:t>За заготовлением заказанных аэропланов и винтов к ним и для производства испыта</w:t>
      </w:r>
      <w:r w:rsidRPr="00DE096C">
        <w:rPr>
          <w:bCs/>
          <w:color w:val="002060"/>
          <w:sz w:val="16"/>
          <w:szCs w:val="16"/>
        </w:rPr>
        <w:softHyphen/>
        <w:t>ний двигателей является необходимым, ввиду ответственной службы этих предметов, установить технический надзор подобно тому, как это производилось до настоящего времени по исполняемым ныне заказам.</w:t>
      </w:r>
    </w:p>
    <w:p w14:paraId="69E1A44F" w14:textId="77777777" w:rsidR="00CB5A1B" w:rsidRPr="00DE096C" w:rsidRDefault="00CB5A1B" w:rsidP="00D45A46">
      <w:pPr>
        <w:shd w:val="clear" w:color="auto" w:fill="FFFFFF"/>
        <w:jc w:val="both"/>
        <w:rPr>
          <w:bCs/>
          <w:color w:val="002060"/>
          <w:sz w:val="16"/>
          <w:szCs w:val="16"/>
        </w:rPr>
      </w:pPr>
      <w:r w:rsidRPr="00DE096C">
        <w:rPr>
          <w:bCs/>
          <w:color w:val="002060"/>
          <w:sz w:val="16"/>
          <w:szCs w:val="16"/>
        </w:rPr>
        <w:t>Для этой цели полагалось бы назначить 8 подготовленных к сему офицеров, пре</w:t>
      </w:r>
      <w:r w:rsidRPr="00DE096C">
        <w:rPr>
          <w:bCs/>
          <w:color w:val="002060"/>
          <w:sz w:val="16"/>
          <w:szCs w:val="16"/>
        </w:rPr>
        <w:softHyphen/>
        <w:t>имущественно из военных летчиков (на 4 аэропланостроительных завода: на завод «Гном» в Москве, на завод «Калеп» в Риге, на русский завод воздушных винтов и на завод Вуазе</w:t>
      </w:r>
      <w:r w:rsidRPr="00DE096C">
        <w:rPr>
          <w:bCs/>
          <w:color w:val="002060"/>
          <w:sz w:val="16"/>
          <w:szCs w:val="16"/>
        </w:rPr>
        <w:softHyphen/>
        <w:t>на во Франции) с выдачей каждому из них по 80 руб. в месяц.</w:t>
      </w:r>
    </w:p>
    <w:p w14:paraId="1069594C" w14:textId="77777777" w:rsidR="00CB5A1B" w:rsidRPr="00DE096C" w:rsidRDefault="00CB5A1B" w:rsidP="00D45A46">
      <w:pPr>
        <w:shd w:val="clear" w:color="auto" w:fill="FFFFFF"/>
        <w:jc w:val="both"/>
        <w:rPr>
          <w:bCs/>
          <w:color w:val="002060"/>
          <w:sz w:val="16"/>
          <w:szCs w:val="16"/>
        </w:rPr>
      </w:pPr>
      <w:r w:rsidRPr="00DE096C">
        <w:rPr>
          <w:bCs/>
          <w:color w:val="002060"/>
          <w:sz w:val="16"/>
          <w:szCs w:val="16"/>
        </w:rPr>
        <w:t>На выдачу таковых денег на командирование наблюдающих и членов комиссии на заводы, расположенные вне Петербурга и за границей, на доставку запасных частей из Франции со страховкой их, на расходы по приемке аэропланов заграничной постройки в России, на печатание чертежей, бланок*, технических условий, на выполнение перево</w:t>
      </w:r>
      <w:r w:rsidRPr="00DE096C">
        <w:rPr>
          <w:bCs/>
          <w:color w:val="002060"/>
          <w:sz w:val="16"/>
          <w:szCs w:val="16"/>
        </w:rPr>
        <w:softHyphen/>
        <w:t>дов с иностранных языков и на прочие мелкие расходы, вызываемые настоящей заготов</w:t>
      </w:r>
      <w:r w:rsidRPr="00DE096C">
        <w:rPr>
          <w:bCs/>
          <w:color w:val="002060"/>
          <w:sz w:val="16"/>
          <w:szCs w:val="16"/>
        </w:rPr>
        <w:softHyphen/>
        <w:t>кой, полагалось бы разрешить техническому отделу Главного военно-технического уп</w:t>
      </w:r>
      <w:r w:rsidRPr="00DE096C">
        <w:rPr>
          <w:bCs/>
          <w:color w:val="002060"/>
          <w:sz w:val="16"/>
          <w:szCs w:val="16"/>
        </w:rPr>
        <w:softHyphen/>
        <w:t>равления израсходовать до 19 тыс. рублей.</w:t>
      </w:r>
    </w:p>
    <w:p w14:paraId="34936FFB" w14:textId="77777777" w:rsidR="00CB5A1B" w:rsidRPr="00DE096C" w:rsidRDefault="00CB5A1B" w:rsidP="00D45A46">
      <w:pPr>
        <w:shd w:val="clear" w:color="auto" w:fill="FFFFFF"/>
        <w:jc w:val="both"/>
        <w:rPr>
          <w:bCs/>
          <w:color w:val="002060"/>
          <w:sz w:val="16"/>
          <w:szCs w:val="16"/>
        </w:rPr>
      </w:pPr>
      <w:r w:rsidRPr="00DE096C">
        <w:rPr>
          <w:bCs/>
          <w:color w:val="002060"/>
          <w:sz w:val="16"/>
          <w:szCs w:val="16"/>
        </w:rPr>
        <w:t>ЗАКОН: статья 78, книга 1 Свода военых постановлений 1869 г., издание 3.</w:t>
      </w:r>
    </w:p>
    <w:p w14:paraId="173BD2F1" w14:textId="77777777" w:rsidR="00CB5A1B" w:rsidRPr="00DE096C" w:rsidRDefault="00CB5A1B" w:rsidP="00D45A46">
      <w:pPr>
        <w:shd w:val="clear" w:color="auto" w:fill="FFFFFF"/>
        <w:jc w:val="both"/>
        <w:rPr>
          <w:bCs/>
          <w:color w:val="002060"/>
          <w:sz w:val="16"/>
          <w:szCs w:val="16"/>
        </w:rPr>
      </w:pPr>
      <w:r w:rsidRPr="00DE096C">
        <w:rPr>
          <w:bCs/>
          <w:color w:val="002060"/>
          <w:sz w:val="16"/>
          <w:szCs w:val="16"/>
        </w:rPr>
        <w:t>&lt;...&gt;</w:t>
      </w:r>
    </w:p>
    <w:p w14:paraId="6D182A76" w14:textId="77777777" w:rsidR="00CB5A1B" w:rsidRPr="00DE096C" w:rsidRDefault="00CB5A1B" w:rsidP="00D45A46">
      <w:pPr>
        <w:shd w:val="clear" w:color="auto" w:fill="FFFFFF"/>
        <w:jc w:val="both"/>
        <w:rPr>
          <w:bCs/>
          <w:color w:val="002060"/>
          <w:sz w:val="16"/>
          <w:szCs w:val="16"/>
        </w:rPr>
      </w:pPr>
      <w:r w:rsidRPr="00DE096C">
        <w:rPr>
          <w:bCs/>
          <w:color w:val="002060"/>
          <w:sz w:val="16"/>
          <w:szCs w:val="16"/>
        </w:rPr>
        <w:t>За начальника Главного военно-технического управления генерал-лейтенант Иванов</w:t>
      </w:r>
    </w:p>
    <w:p w14:paraId="5321D293" w14:textId="77777777" w:rsidR="00CB5A1B" w:rsidRPr="00DE096C" w:rsidRDefault="00CB5A1B" w:rsidP="00D45A46">
      <w:pPr>
        <w:shd w:val="clear" w:color="auto" w:fill="FFFFFF"/>
        <w:jc w:val="both"/>
        <w:rPr>
          <w:bCs/>
          <w:color w:val="002060"/>
          <w:sz w:val="16"/>
          <w:szCs w:val="16"/>
        </w:rPr>
      </w:pPr>
      <w:r w:rsidRPr="00DE096C">
        <w:rPr>
          <w:bCs/>
          <w:color w:val="002060"/>
          <w:sz w:val="16"/>
          <w:szCs w:val="16"/>
        </w:rPr>
        <w:t>Начальник отдела генерал-майор Болотов</w:t>
      </w:r>
    </w:p>
    <w:p w14:paraId="539825D8" w14:textId="77777777" w:rsidR="00CB5A1B" w:rsidRPr="00DE096C" w:rsidRDefault="00CB5A1B" w:rsidP="00D45A46">
      <w:pPr>
        <w:shd w:val="clear" w:color="auto" w:fill="FFFFFF"/>
        <w:jc w:val="both"/>
        <w:rPr>
          <w:bCs/>
          <w:color w:val="002060"/>
          <w:sz w:val="16"/>
          <w:szCs w:val="16"/>
        </w:rPr>
      </w:pPr>
      <w:r w:rsidRPr="00DE096C">
        <w:rPr>
          <w:bCs/>
          <w:color w:val="002060"/>
          <w:sz w:val="16"/>
          <w:szCs w:val="16"/>
        </w:rPr>
        <w:t>Пометы: «Доложить Военному совету 29 марта 1914 г.»; «Утверждено, но относитель</w:t>
      </w:r>
      <w:r w:rsidRPr="00DE096C">
        <w:rPr>
          <w:bCs/>
          <w:color w:val="002060"/>
          <w:sz w:val="16"/>
          <w:szCs w:val="16"/>
        </w:rPr>
        <w:softHyphen/>
        <w:t>но заказа аппаратов Вуазена и мелких частей за границей другим заводам испросить высочайшее соизволение».</w:t>
      </w:r>
    </w:p>
    <w:p w14:paraId="0EF0C483" w14:textId="77777777" w:rsidR="00CB5A1B" w:rsidRPr="00DE096C" w:rsidRDefault="00CB5A1B" w:rsidP="00D45A46">
      <w:pPr>
        <w:shd w:val="clear" w:color="auto" w:fill="FFFFFF"/>
        <w:jc w:val="both"/>
        <w:rPr>
          <w:bCs/>
          <w:color w:val="002060"/>
          <w:sz w:val="16"/>
          <w:szCs w:val="16"/>
        </w:rPr>
      </w:pPr>
      <w:r w:rsidRPr="00DE096C">
        <w:rPr>
          <w:bCs/>
          <w:color w:val="002060"/>
          <w:sz w:val="16"/>
          <w:szCs w:val="16"/>
        </w:rPr>
        <w:t>РГВИА. Ф. 29. Оп. 3. Д. 861. Л. 28-33 об. Подлинник (10707).</w:t>
      </w:r>
    </w:p>
    <w:p w14:paraId="45AF7E6D" w14:textId="77777777" w:rsidR="00CB5A1B" w:rsidRPr="00DE096C" w:rsidRDefault="00CB5A1B" w:rsidP="00D45A46">
      <w:pPr>
        <w:shd w:val="clear" w:color="auto" w:fill="FFFFFF"/>
        <w:jc w:val="both"/>
        <w:rPr>
          <w:bCs/>
          <w:color w:val="002060"/>
          <w:sz w:val="16"/>
          <w:szCs w:val="16"/>
        </w:rPr>
      </w:pPr>
    </w:p>
    <w:p w14:paraId="682C841B" w14:textId="42F21CB8" w:rsidR="002D4795" w:rsidRPr="00DE096C" w:rsidRDefault="002D4795" w:rsidP="002D4795">
      <w:pPr>
        <w:shd w:val="clear" w:color="auto" w:fill="FFFFFF"/>
        <w:jc w:val="both"/>
        <w:rPr>
          <w:bCs/>
          <w:i/>
          <w:color w:val="002060"/>
          <w:sz w:val="16"/>
          <w:szCs w:val="16"/>
        </w:rPr>
      </w:pPr>
      <w:r w:rsidRPr="00DE096C">
        <w:rPr>
          <w:bCs/>
          <w:i/>
          <w:color w:val="002060"/>
          <w:sz w:val="16"/>
          <w:szCs w:val="16"/>
        </w:rPr>
        <w:t>Авиация:</w:t>
      </w:r>
    </w:p>
    <w:p w14:paraId="0ED4E51D" w14:textId="77777777" w:rsidR="002D4795" w:rsidRPr="00DE096C" w:rsidRDefault="002D4795" w:rsidP="002D4795">
      <w:pPr>
        <w:shd w:val="clear" w:color="auto" w:fill="FFFFFF"/>
        <w:jc w:val="both"/>
        <w:rPr>
          <w:bCs/>
          <w:i/>
          <w:color w:val="002060"/>
          <w:sz w:val="16"/>
          <w:szCs w:val="16"/>
        </w:rPr>
      </w:pPr>
    </w:p>
    <w:p w14:paraId="6CF8E382" w14:textId="7FDF0CBD" w:rsidR="00507EFA" w:rsidRPr="00DE096C" w:rsidRDefault="00507EFA" w:rsidP="00D45A46">
      <w:pPr>
        <w:jc w:val="both"/>
        <w:rPr>
          <w:bCs/>
          <w:color w:val="002060"/>
          <w:sz w:val="16"/>
          <w:szCs w:val="16"/>
        </w:rPr>
      </w:pPr>
      <w:r w:rsidRPr="00DE096C">
        <w:rPr>
          <w:bCs/>
          <w:color w:val="002060"/>
          <w:sz w:val="16"/>
          <w:szCs w:val="16"/>
          <w:lang w:bidi="en-US"/>
        </w:rPr>
        <w:t>8 (21) февраля 1914 г. был издан приказ о создании Владивостокского крепостного АО, которое 17 апреля 1915 года стало 2-м Сибирским КАО (23525).</w:t>
      </w:r>
    </w:p>
    <w:p w14:paraId="233CE5C5" w14:textId="77777777" w:rsidR="00507EFA" w:rsidRPr="00DE096C" w:rsidRDefault="00507EFA" w:rsidP="00D45A46">
      <w:pPr>
        <w:jc w:val="both"/>
        <w:rPr>
          <w:bCs/>
          <w:color w:val="002060"/>
          <w:sz w:val="16"/>
          <w:szCs w:val="16"/>
        </w:rPr>
      </w:pPr>
    </w:p>
    <w:p w14:paraId="5F0562EB" w14:textId="1C277A94" w:rsidR="00CB5A1B" w:rsidRPr="00DE096C" w:rsidRDefault="00CB5A1B" w:rsidP="00D45A46">
      <w:pPr>
        <w:shd w:val="clear" w:color="auto" w:fill="FFFFFF"/>
        <w:jc w:val="both"/>
        <w:rPr>
          <w:bCs/>
          <w:i/>
          <w:color w:val="002060"/>
          <w:sz w:val="16"/>
          <w:szCs w:val="16"/>
        </w:rPr>
      </w:pPr>
      <w:r w:rsidRPr="00DE096C">
        <w:rPr>
          <w:bCs/>
          <w:i/>
          <w:color w:val="002060"/>
          <w:sz w:val="16"/>
          <w:szCs w:val="16"/>
        </w:rPr>
        <w:t>Авиация и воздухоплавание Франции:</w:t>
      </w:r>
    </w:p>
    <w:p w14:paraId="6CB0B6BF" w14:textId="77777777" w:rsidR="00CB5A1B" w:rsidRPr="00DE096C" w:rsidRDefault="00CB5A1B" w:rsidP="00D45A46">
      <w:pPr>
        <w:shd w:val="clear" w:color="auto" w:fill="FFFFFF"/>
        <w:jc w:val="both"/>
        <w:rPr>
          <w:bCs/>
          <w:i/>
          <w:color w:val="002060"/>
          <w:sz w:val="16"/>
          <w:szCs w:val="16"/>
        </w:rPr>
      </w:pPr>
    </w:p>
    <w:p w14:paraId="3F824524" w14:textId="4B4B48DC" w:rsidR="00CB5A1B" w:rsidRPr="00DE096C" w:rsidRDefault="00507EFA" w:rsidP="00D45A46">
      <w:pPr>
        <w:jc w:val="both"/>
        <w:rPr>
          <w:bCs/>
          <w:color w:val="002060"/>
          <w:sz w:val="16"/>
          <w:szCs w:val="16"/>
        </w:rPr>
      </w:pPr>
      <w:r w:rsidRPr="00DE096C">
        <w:rPr>
          <w:bCs/>
          <w:color w:val="002060"/>
          <w:sz w:val="16"/>
          <w:szCs w:val="16"/>
        </w:rPr>
        <w:t>8</w:t>
      </w:r>
      <w:r w:rsidR="00CB5A1B" w:rsidRPr="00DE096C">
        <w:rPr>
          <w:bCs/>
          <w:color w:val="002060"/>
          <w:sz w:val="16"/>
          <w:szCs w:val="16"/>
        </w:rPr>
        <w:t xml:space="preserve"> (21) февраля 1914 г. авиацию Франции вновь передали из подчинения сухопутных войск в ведение Военного министерства. Но так не формировались устойчивые связи между летными частями и армейскими штабами, в интересах которых пилоты должны были работать, и вновь авиаторы оказались прикреплены к пехоте.</w:t>
      </w:r>
    </w:p>
    <w:p w14:paraId="03A3486E" w14:textId="77777777" w:rsidR="00CB5A1B" w:rsidRPr="00DE096C" w:rsidRDefault="00CB5A1B" w:rsidP="00D45A46">
      <w:pPr>
        <w:jc w:val="both"/>
        <w:rPr>
          <w:bCs/>
          <w:color w:val="002060"/>
          <w:sz w:val="16"/>
          <w:szCs w:val="16"/>
        </w:rPr>
      </w:pPr>
      <w:r w:rsidRPr="00DE096C">
        <w:rPr>
          <w:bCs/>
          <w:color w:val="002060"/>
          <w:sz w:val="16"/>
          <w:szCs w:val="16"/>
        </w:rPr>
        <w:t>К 1914 г. к уставным задачам армейской авиации были добавлены наблюдение непосредственно за полем боя (разведка предполагала проникновение в тыл противника) и корректировка артиллерийского огня. Эти действия планировалось вести на направлениях главных операций армии, и возникали резонные вопросы: что делать при появлении в том же районе воздушного противника (а это было более чем вероятно) и что может предпринять неприятель, чтобы помешать французской авиации действовать над линией фронта? Командованию на это ответить пока было нечего.</w:t>
      </w:r>
    </w:p>
    <w:p w14:paraId="2A1E48FA" w14:textId="77777777" w:rsidR="00CB5A1B" w:rsidRPr="00DE096C" w:rsidRDefault="00CB5A1B" w:rsidP="00D45A46">
      <w:pPr>
        <w:jc w:val="both"/>
        <w:rPr>
          <w:bCs/>
          <w:color w:val="002060"/>
          <w:sz w:val="16"/>
          <w:szCs w:val="16"/>
        </w:rPr>
      </w:pPr>
      <w:r w:rsidRPr="00DE096C">
        <w:rPr>
          <w:bCs/>
          <w:color w:val="002060"/>
          <w:sz w:val="16"/>
          <w:szCs w:val="16"/>
        </w:rPr>
        <w:t>Оно не интересовалось задачей борьбы в воздухе, тем не менее этот вопрос живо обсуждался, и многие офицеры французской военной авиации, как и их русские коллеги, утверждали, что бои аэропланов неизбежны и к этому надо готовиться загодя (22737).</w:t>
      </w:r>
    </w:p>
    <w:p w14:paraId="66E26E51" w14:textId="77777777" w:rsidR="00CB5A1B" w:rsidRPr="00DE096C" w:rsidRDefault="00CB5A1B" w:rsidP="00D45A46">
      <w:pPr>
        <w:jc w:val="both"/>
        <w:rPr>
          <w:bCs/>
          <w:color w:val="002060"/>
          <w:sz w:val="16"/>
          <w:szCs w:val="16"/>
        </w:rPr>
      </w:pPr>
    </w:p>
    <w:p w14:paraId="39CB67D0" w14:textId="77777777" w:rsidR="00AC4E16" w:rsidRPr="00B52707" w:rsidRDefault="00AC4E16" w:rsidP="00AC4E16">
      <w:pPr>
        <w:jc w:val="both"/>
        <w:rPr>
          <w:color w:val="0070C0"/>
          <w:sz w:val="16"/>
          <w:szCs w:val="16"/>
        </w:rPr>
      </w:pPr>
      <w:r w:rsidRPr="00B52707">
        <w:rPr>
          <w:color w:val="0070C0"/>
          <w:sz w:val="16"/>
          <w:szCs w:val="16"/>
        </w:rPr>
        <w:t>8 (21) февраля 1914 г. во Франции ВВС вновь передали из подчинения сухопутных войск в прямое ведение Военного министерства. Но так не формировались устойчивые связи между летными частями и армейскими штабами, в интересах которых пилоты собирались работать, и вновь авиаторы оказались прикреплены к пехоте (25650).</w:t>
      </w:r>
    </w:p>
    <w:p w14:paraId="4B5A56ED" w14:textId="77777777" w:rsidR="00AC4E16" w:rsidRPr="00B52707" w:rsidRDefault="00AC4E16" w:rsidP="00AC4E16">
      <w:pPr>
        <w:jc w:val="both"/>
        <w:rPr>
          <w:color w:val="0070C0"/>
          <w:sz w:val="16"/>
          <w:szCs w:val="16"/>
        </w:rPr>
      </w:pPr>
    </w:p>
    <w:p w14:paraId="2A15A0D5" w14:textId="5D031F91" w:rsidR="00530145" w:rsidRPr="00DE096C" w:rsidRDefault="00530145" w:rsidP="00D45A46">
      <w:pPr>
        <w:shd w:val="clear" w:color="auto" w:fill="FFFFFF"/>
        <w:jc w:val="both"/>
        <w:rPr>
          <w:bCs/>
          <w:i/>
          <w:color w:val="002060"/>
          <w:sz w:val="16"/>
          <w:szCs w:val="16"/>
        </w:rPr>
      </w:pPr>
      <w:r w:rsidRPr="00DE096C">
        <w:rPr>
          <w:bCs/>
          <w:i/>
          <w:color w:val="002060"/>
          <w:sz w:val="16"/>
          <w:szCs w:val="16"/>
        </w:rPr>
        <w:t>Авиация и воздухоплавание Англии:</w:t>
      </w:r>
    </w:p>
    <w:p w14:paraId="1AC7C381" w14:textId="77777777" w:rsidR="00530145" w:rsidRPr="00DE096C" w:rsidRDefault="00530145" w:rsidP="00D45A46">
      <w:pPr>
        <w:shd w:val="clear" w:color="auto" w:fill="FFFFFF"/>
        <w:jc w:val="both"/>
        <w:rPr>
          <w:bCs/>
          <w:i/>
          <w:color w:val="002060"/>
          <w:sz w:val="16"/>
          <w:szCs w:val="16"/>
        </w:rPr>
      </w:pPr>
    </w:p>
    <w:p w14:paraId="505D42FC" w14:textId="77777777" w:rsidR="00530145" w:rsidRPr="00DE096C" w:rsidRDefault="00530145" w:rsidP="00D45A46">
      <w:pPr>
        <w:jc w:val="both"/>
        <w:rPr>
          <w:bCs/>
          <w:color w:val="002060"/>
          <w:sz w:val="16"/>
          <w:szCs w:val="16"/>
        </w:rPr>
      </w:pPr>
      <w:r w:rsidRPr="00DE096C">
        <w:rPr>
          <w:bCs/>
          <w:color w:val="002060"/>
          <w:sz w:val="16"/>
          <w:szCs w:val="16"/>
        </w:rPr>
        <w:t>В начале февраля 1914 г. пилот фирмы «Сопвич» Пикстон первым в Великобритании выполнил «мертвую петлю» на Сопвич Таблоид. Правда, верхняя точка фигуры вышла на высоте где-то 900…1 200 м, а утро было очень солнечным, что мешало наблюдению, и с земли эволюцию никто не видел четко — пришлось просто принять на веру слова Пикстона (22734).</w:t>
      </w:r>
    </w:p>
    <w:p w14:paraId="24DF948A" w14:textId="77777777" w:rsidR="00530145" w:rsidRPr="00DE096C" w:rsidRDefault="00530145" w:rsidP="00D45A46">
      <w:pPr>
        <w:jc w:val="both"/>
        <w:rPr>
          <w:bCs/>
          <w:color w:val="002060"/>
          <w:sz w:val="16"/>
          <w:szCs w:val="16"/>
        </w:rPr>
      </w:pPr>
    </w:p>
    <w:p w14:paraId="05566E44" w14:textId="77777777" w:rsidR="002D4795" w:rsidRPr="00B52707" w:rsidRDefault="002D4795" w:rsidP="002D4795">
      <w:pPr>
        <w:jc w:val="both"/>
        <w:rPr>
          <w:color w:val="0070C0"/>
          <w:sz w:val="16"/>
          <w:szCs w:val="16"/>
        </w:rPr>
      </w:pPr>
      <w:r w:rsidRPr="00B52707">
        <w:rPr>
          <w:color w:val="0070C0"/>
          <w:sz w:val="16"/>
          <w:szCs w:val="16"/>
        </w:rPr>
        <w:t>В начале февраля 1914 г. пилот фирмы «Сопвич» Пикстон первым в Великобритании выполнил на Сопвич «Таблоид» «мертвую петлю». Правда, верхняя точка фигуры вышла на высоте где-то 900…1200 м, а утро оказалось очень солнечным и это мешало наблюдению, с земли эволюцию никто не видел четко, и пришлось просто принять на веру слова Пикстона (25679).</w:t>
      </w:r>
    </w:p>
    <w:p w14:paraId="5FD0CDAA" w14:textId="77777777" w:rsidR="002D4795" w:rsidRPr="00B52707" w:rsidRDefault="002D4795" w:rsidP="002D4795">
      <w:pPr>
        <w:jc w:val="both"/>
        <w:rPr>
          <w:color w:val="0070C0"/>
          <w:sz w:val="16"/>
          <w:szCs w:val="16"/>
        </w:rPr>
      </w:pPr>
    </w:p>
    <w:p w14:paraId="380EFBE0"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Армия:</w:t>
      </w:r>
    </w:p>
    <w:p w14:paraId="31E18F80" w14:textId="77777777" w:rsidR="00B67D7C" w:rsidRPr="00DE096C" w:rsidRDefault="00B67D7C" w:rsidP="00D45A46">
      <w:pPr>
        <w:shd w:val="clear" w:color="auto" w:fill="FFFFFF"/>
        <w:jc w:val="both"/>
        <w:rPr>
          <w:bCs/>
          <w:i/>
          <w:color w:val="002060"/>
          <w:sz w:val="16"/>
          <w:szCs w:val="16"/>
        </w:rPr>
      </w:pPr>
    </w:p>
    <w:p w14:paraId="09E76282" w14:textId="6CFB8231" w:rsidR="00B67D7C" w:rsidRPr="00DE096C" w:rsidRDefault="00B67D7C" w:rsidP="00D45A46">
      <w:pPr>
        <w:jc w:val="both"/>
        <w:rPr>
          <w:bCs/>
          <w:color w:val="002060"/>
          <w:sz w:val="16"/>
          <w:szCs w:val="16"/>
        </w:rPr>
      </w:pPr>
      <w:r w:rsidRPr="00DE096C">
        <w:rPr>
          <w:bCs/>
          <w:color w:val="002060"/>
          <w:sz w:val="16"/>
          <w:szCs w:val="16"/>
        </w:rPr>
        <w:t xml:space="preserve">8 </w:t>
      </w:r>
      <w:r w:rsidR="00834BC4" w:rsidRPr="00DE096C">
        <w:rPr>
          <w:bCs/>
          <w:color w:val="002060"/>
          <w:sz w:val="16"/>
          <w:szCs w:val="16"/>
        </w:rPr>
        <w:t xml:space="preserve">(21) </w:t>
      </w:r>
      <w:r w:rsidRPr="00DE096C">
        <w:rPr>
          <w:bCs/>
          <w:color w:val="002060"/>
          <w:sz w:val="16"/>
          <w:szCs w:val="16"/>
        </w:rPr>
        <w:t>февраля 1914 года</w:t>
      </w:r>
      <w:r w:rsidR="00834BC4" w:rsidRPr="00DE096C">
        <w:rPr>
          <w:bCs/>
          <w:color w:val="002060"/>
          <w:sz w:val="16"/>
          <w:szCs w:val="16"/>
        </w:rPr>
        <w:t xml:space="preserve"> План войны, разработанный штабом Тихоокеанского флота и доработанный МГШ, был утвержден морским министром</w:t>
      </w:r>
      <w:r w:rsidRPr="00DE096C">
        <w:rPr>
          <w:bCs/>
          <w:color w:val="002060"/>
          <w:sz w:val="16"/>
          <w:szCs w:val="16"/>
        </w:rPr>
        <w:t>:</w:t>
      </w:r>
    </w:p>
    <w:p w14:paraId="0CBAD299" w14:textId="77777777" w:rsidR="00B67D7C" w:rsidRPr="00DE096C" w:rsidRDefault="00B67D7C" w:rsidP="00D45A46">
      <w:pPr>
        <w:jc w:val="both"/>
        <w:rPr>
          <w:bCs/>
          <w:color w:val="002060"/>
          <w:sz w:val="16"/>
          <w:szCs w:val="16"/>
        </w:rPr>
      </w:pPr>
      <w:r w:rsidRPr="00DE096C">
        <w:rPr>
          <w:bCs/>
          <w:color w:val="002060"/>
          <w:sz w:val="16"/>
          <w:szCs w:val="16"/>
        </w:rPr>
        <w:t xml:space="preserve">1) в отношении военно-политической обстановки план предполагал: </w:t>
      </w:r>
    </w:p>
    <w:p w14:paraId="762DE1FD" w14:textId="77777777" w:rsidR="00B67D7C" w:rsidRPr="00DE096C" w:rsidRDefault="00B67D7C" w:rsidP="00D45A46">
      <w:pPr>
        <w:jc w:val="both"/>
        <w:rPr>
          <w:bCs/>
          <w:color w:val="002060"/>
          <w:sz w:val="16"/>
          <w:szCs w:val="16"/>
        </w:rPr>
      </w:pPr>
      <w:r w:rsidRPr="00DE096C">
        <w:rPr>
          <w:bCs/>
          <w:color w:val="002060"/>
          <w:sz w:val="16"/>
          <w:szCs w:val="16"/>
        </w:rPr>
        <w:t xml:space="preserve">а) "Англия и Япония находятся в военно-политическом союзе. При этом стоит отметить о крайне высокой задолженности японского правительства Лондону, что делает японцев вполне зависимыми от воли Британского правительства. Следовательно, мировое политическое положение ставит Россию в необходимость быть готовой к борьбе на Дальнем востоке с Англо-Японской коалицией при возможном вмешательстве отдельных китайских военноначальников на стороне коалиции. Япония в свою очередь, находясь под влиянием Англии, и обуреваемая реваншисткими настроениями вполне может, пользуясь тем, что Россия втянута в Европейскую войну, решится на новую войну, чтобы вернуть утерянные по ее мнению территории и вернуть свои поколебленные позиции в Китае. Кроме того, японцы, в состоянии пользуясь беззащитностью германских островных колоний, оккупировать их. </w:t>
      </w:r>
    </w:p>
    <w:p w14:paraId="59439FC5" w14:textId="77777777" w:rsidR="00B67D7C" w:rsidRPr="00DE096C" w:rsidRDefault="00B67D7C" w:rsidP="00D45A46">
      <w:pPr>
        <w:jc w:val="both"/>
        <w:rPr>
          <w:bCs/>
          <w:color w:val="002060"/>
          <w:sz w:val="16"/>
          <w:szCs w:val="16"/>
        </w:rPr>
      </w:pPr>
      <w:r w:rsidRPr="00DE096C">
        <w:rPr>
          <w:bCs/>
          <w:color w:val="002060"/>
          <w:sz w:val="16"/>
          <w:szCs w:val="16"/>
        </w:rPr>
        <w:t xml:space="preserve">б) Германия окажет содействие своими Дальневосточными морскими силами, для чего в настоящее время в б. Улисса под Владивостоком оборудуется пункт базирования для германской Дальневосточной эскадры. </w:t>
      </w:r>
    </w:p>
    <w:p w14:paraId="125521F5" w14:textId="77777777" w:rsidR="00B67D7C" w:rsidRPr="00DE096C" w:rsidRDefault="00B67D7C" w:rsidP="00D45A46">
      <w:pPr>
        <w:jc w:val="both"/>
        <w:rPr>
          <w:bCs/>
          <w:color w:val="002060"/>
          <w:sz w:val="16"/>
          <w:szCs w:val="16"/>
        </w:rPr>
      </w:pPr>
      <w:r w:rsidRPr="00DE096C">
        <w:rPr>
          <w:bCs/>
          <w:color w:val="002060"/>
          <w:sz w:val="16"/>
          <w:szCs w:val="16"/>
        </w:rPr>
        <w:t xml:space="preserve">в) особенностью нашего стратегического положения является необходимость делить силы и ресурсы между Японским и Желтым морями. При этом, в случае начала военных действий противник с легкостью прервет наиболее кратчайший путь между нашими портами-крепостями Владивостоком и Порт-Артуром. </w:t>
      </w:r>
    </w:p>
    <w:p w14:paraId="6704823A" w14:textId="77777777" w:rsidR="00B67D7C" w:rsidRPr="00DE096C" w:rsidRDefault="00B67D7C" w:rsidP="00D45A46">
      <w:pPr>
        <w:jc w:val="both"/>
        <w:rPr>
          <w:bCs/>
          <w:color w:val="002060"/>
          <w:sz w:val="16"/>
          <w:szCs w:val="16"/>
        </w:rPr>
      </w:pPr>
      <w:r w:rsidRPr="00DE096C">
        <w:rPr>
          <w:bCs/>
          <w:color w:val="002060"/>
          <w:sz w:val="16"/>
          <w:szCs w:val="16"/>
        </w:rPr>
        <w:t xml:space="preserve">2) Стратегические задачи флоту ставились следующие: </w:t>
      </w:r>
    </w:p>
    <w:p w14:paraId="3304DD30" w14:textId="77777777" w:rsidR="00B67D7C" w:rsidRPr="00DE096C" w:rsidRDefault="00B67D7C" w:rsidP="00D45A46">
      <w:pPr>
        <w:jc w:val="both"/>
        <w:rPr>
          <w:bCs/>
          <w:color w:val="002060"/>
          <w:sz w:val="16"/>
          <w:szCs w:val="16"/>
        </w:rPr>
      </w:pPr>
      <w:r w:rsidRPr="00DE096C">
        <w:rPr>
          <w:bCs/>
          <w:color w:val="002060"/>
          <w:sz w:val="16"/>
          <w:szCs w:val="16"/>
        </w:rPr>
        <w:t xml:space="preserve">а) обеспечить любой возможной ценой защиту Владивостока, который является основой приморской обороны на Дальнем востоке, крушение которого неминуемо приведет к потере наших Дальневосточных земель, таких как Сахалин, Камчатка и Приморье и проигрышу войны в целом. </w:t>
      </w:r>
    </w:p>
    <w:p w14:paraId="5CA6466A" w14:textId="77777777" w:rsidR="00B67D7C" w:rsidRPr="00DE096C" w:rsidRDefault="00B67D7C" w:rsidP="00D45A46">
      <w:pPr>
        <w:jc w:val="both"/>
        <w:rPr>
          <w:bCs/>
          <w:color w:val="002060"/>
          <w:sz w:val="16"/>
          <w:szCs w:val="16"/>
        </w:rPr>
      </w:pPr>
      <w:r w:rsidRPr="00DE096C">
        <w:rPr>
          <w:bCs/>
          <w:color w:val="002060"/>
          <w:sz w:val="16"/>
          <w:szCs w:val="16"/>
        </w:rPr>
        <w:t xml:space="preserve">б) максимально затруднить воинские перевозки японской армии с островов на материк, при выборе маршрута перевозок, как в прошедшую войну. Сорвать возможную высадку десанта на севере Кореи либо в Приморьи, с целью прямой атаки на Владивосток. </w:t>
      </w:r>
    </w:p>
    <w:p w14:paraId="71E83163" w14:textId="77777777" w:rsidR="00B67D7C" w:rsidRPr="00DE096C" w:rsidRDefault="00B67D7C" w:rsidP="00D45A46">
      <w:pPr>
        <w:jc w:val="both"/>
        <w:rPr>
          <w:bCs/>
          <w:color w:val="002060"/>
          <w:sz w:val="16"/>
          <w:szCs w:val="16"/>
        </w:rPr>
      </w:pPr>
      <w:r w:rsidRPr="00DE096C">
        <w:rPr>
          <w:bCs/>
          <w:color w:val="002060"/>
          <w:sz w:val="16"/>
          <w:szCs w:val="16"/>
        </w:rPr>
        <w:t xml:space="preserve">в) в акватории Японского моря у западного побережья Японии все возможные силы направить на атаку и уничтожение неприятельского каботажа и рыболовства методом постановки минных заграждений на судоходных путях и в районах интенсивно рыболовства, а так же путем поисковых операций крейсерско-миноносных сил и подплава. </w:t>
      </w:r>
    </w:p>
    <w:p w14:paraId="73BB9DD8" w14:textId="77777777" w:rsidR="00B67D7C" w:rsidRPr="00DE096C" w:rsidRDefault="00B67D7C" w:rsidP="00D45A46">
      <w:pPr>
        <w:jc w:val="both"/>
        <w:rPr>
          <w:bCs/>
          <w:color w:val="002060"/>
          <w:sz w:val="16"/>
          <w:szCs w:val="16"/>
        </w:rPr>
      </w:pPr>
      <w:r w:rsidRPr="00DE096C">
        <w:rPr>
          <w:bCs/>
          <w:color w:val="002060"/>
          <w:sz w:val="16"/>
          <w:szCs w:val="16"/>
        </w:rPr>
        <w:t xml:space="preserve">г) вспомогательные крейсера, а также тяжелые рейдеры планировалось направить для нанесения ударов по прибрежным водам восточного побережья Японии, а так же по судоходным путям, ведущим из САСШ, Индии и Европы. </w:t>
      </w:r>
    </w:p>
    <w:p w14:paraId="7FA36379" w14:textId="77777777" w:rsidR="00B67D7C" w:rsidRPr="00DE096C" w:rsidRDefault="00B67D7C" w:rsidP="00D45A46">
      <w:pPr>
        <w:jc w:val="both"/>
        <w:rPr>
          <w:bCs/>
          <w:color w:val="002060"/>
          <w:sz w:val="16"/>
          <w:szCs w:val="16"/>
        </w:rPr>
      </w:pPr>
      <w:r w:rsidRPr="00DE096C">
        <w:rPr>
          <w:bCs/>
          <w:color w:val="002060"/>
          <w:sz w:val="16"/>
          <w:szCs w:val="16"/>
        </w:rPr>
        <w:t xml:space="preserve">3) Политические цели. </w:t>
      </w:r>
    </w:p>
    <w:p w14:paraId="3A2C0A79" w14:textId="77777777" w:rsidR="00B67D7C" w:rsidRPr="00DE096C" w:rsidRDefault="00B67D7C" w:rsidP="00D45A46">
      <w:pPr>
        <w:jc w:val="both"/>
        <w:rPr>
          <w:bCs/>
          <w:color w:val="002060"/>
          <w:sz w:val="16"/>
          <w:szCs w:val="16"/>
        </w:rPr>
      </w:pPr>
      <w:r w:rsidRPr="00DE096C">
        <w:rPr>
          <w:bCs/>
          <w:color w:val="002060"/>
          <w:sz w:val="16"/>
          <w:szCs w:val="16"/>
        </w:rPr>
        <w:t xml:space="preserve">"Главной целью Российской политики в данной ситуации являлось бы удержание Японии от войны с нами и соответственно обороны своих границ. Но ввиду малой вероятности данного исхода, целесообразным представляется сконцентрировать усилия на достижении с японцами мирного соглашения после нанесения ей серьезного ущерба, прежде всего способом блокады побережья и угрозы возникновения голода и разгрома японских сухопутных войск высаженных на материк. </w:t>
      </w:r>
    </w:p>
    <w:p w14:paraId="469AA4FD" w14:textId="77777777" w:rsidR="00B67D7C" w:rsidRPr="00DE096C" w:rsidRDefault="00B67D7C" w:rsidP="00D45A46">
      <w:pPr>
        <w:jc w:val="both"/>
        <w:rPr>
          <w:bCs/>
          <w:color w:val="002060"/>
          <w:sz w:val="16"/>
          <w:szCs w:val="16"/>
        </w:rPr>
      </w:pPr>
      <w:r w:rsidRPr="00DE096C">
        <w:rPr>
          <w:bCs/>
          <w:color w:val="002060"/>
          <w:sz w:val="16"/>
          <w:szCs w:val="16"/>
        </w:rPr>
        <w:t xml:space="preserve">4) Силы и средства. </w:t>
      </w:r>
    </w:p>
    <w:p w14:paraId="35B8605E" w14:textId="77777777" w:rsidR="00B67D7C" w:rsidRPr="00DE096C" w:rsidRDefault="00B67D7C" w:rsidP="00D45A46">
      <w:pPr>
        <w:jc w:val="both"/>
        <w:rPr>
          <w:bCs/>
          <w:color w:val="002060"/>
          <w:sz w:val="16"/>
          <w:szCs w:val="16"/>
        </w:rPr>
      </w:pPr>
      <w:r w:rsidRPr="00DE096C">
        <w:rPr>
          <w:bCs/>
          <w:color w:val="002060"/>
          <w:sz w:val="16"/>
          <w:szCs w:val="16"/>
        </w:rPr>
        <w:t xml:space="preserve">План на май 1914 года учитывал следующие силы: </w:t>
      </w:r>
    </w:p>
    <w:p w14:paraId="7D55C38C" w14:textId="77777777" w:rsidR="00B67D7C" w:rsidRPr="00DE096C" w:rsidRDefault="00B67D7C" w:rsidP="00D45A46">
      <w:pPr>
        <w:jc w:val="both"/>
        <w:rPr>
          <w:bCs/>
          <w:color w:val="002060"/>
          <w:sz w:val="16"/>
          <w:szCs w:val="16"/>
        </w:rPr>
      </w:pPr>
      <w:r w:rsidRPr="00DE096C">
        <w:rPr>
          <w:bCs/>
          <w:color w:val="002060"/>
          <w:sz w:val="16"/>
          <w:szCs w:val="16"/>
        </w:rPr>
        <w:t xml:space="preserve">Владивосток </w:t>
      </w:r>
    </w:p>
    <w:p w14:paraId="5E3BC40C" w14:textId="77777777" w:rsidR="00B67D7C" w:rsidRPr="00DE096C" w:rsidRDefault="00B67D7C" w:rsidP="00D45A46">
      <w:pPr>
        <w:jc w:val="both"/>
        <w:rPr>
          <w:bCs/>
          <w:color w:val="002060"/>
          <w:sz w:val="16"/>
          <w:szCs w:val="16"/>
        </w:rPr>
      </w:pPr>
      <w:r w:rsidRPr="00DE096C">
        <w:rPr>
          <w:bCs/>
          <w:color w:val="002060"/>
          <w:sz w:val="16"/>
          <w:szCs w:val="16"/>
        </w:rPr>
        <w:t xml:space="preserve">Дивизия линейных кораблей: </w:t>
      </w:r>
    </w:p>
    <w:p w14:paraId="35DCF9AB" w14:textId="77777777" w:rsidR="00B67D7C" w:rsidRPr="00DE096C" w:rsidRDefault="00B67D7C" w:rsidP="00D45A46">
      <w:pPr>
        <w:jc w:val="both"/>
        <w:rPr>
          <w:bCs/>
          <w:color w:val="002060"/>
          <w:sz w:val="16"/>
          <w:szCs w:val="16"/>
        </w:rPr>
      </w:pPr>
      <w:r w:rsidRPr="00DE096C">
        <w:rPr>
          <w:bCs/>
          <w:color w:val="002060"/>
          <w:sz w:val="16"/>
          <w:szCs w:val="16"/>
        </w:rPr>
        <w:t xml:space="preserve">Флагман: ЛК "Ретвизан". </w:t>
      </w:r>
    </w:p>
    <w:p w14:paraId="7962F1E1" w14:textId="77777777" w:rsidR="00B67D7C" w:rsidRPr="00DE096C" w:rsidRDefault="00B67D7C" w:rsidP="00D45A46">
      <w:pPr>
        <w:jc w:val="both"/>
        <w:rPr>
          <w:bCs/>
          <w:color w:val="002060"/>
          <w:sz w:val="16"/>
          <w:szCs w:val="16"/>
        </w:rPr>
      </w:pPr>
      <w:r w:rsidRPr="00DE096C">
        <w:rPr>
          <w:bCs/>
          <w:color w:val="002060"/>
          <w:sz w:val="16"/>
          <w:szCs w:val="16"/>
        </w:rPr>
        <w:t xml:space="preserve">1-я бригада лин. кор. </w:t>
      </w:r>
    </w:p>
    <w:p w14:paraId="63E63FFE" w14:textId="77777777" w:rsidR="00B67D7C" w:rsidRPr="00DE096C" w:rsidRDefault="00B67D7C" w:rsidP="00D45A46">
      <w:pPr>
        <w:jc w:val="both"/>
        <w:rPr>
          <w:bCs/>
          <w:color w:val="002060"/>
          <w:sz w:val="16"/>
          <w:szCs w:val="16"/>
        </w:rPr>
      </w:pPr>
      <w:r w:rsidRPr="00DE096C">
        <w:rPr>
          <w:bCs/>
          <w:color w:val="002060"/>
          <w:sz w:val="16"/>
          <w:szCs w:val="16"/>
        </w:rPr>
        <w:t xml:space="preserve">"Суворов", "Имп.Александр III", "Бородино". </w:t>
      </w:r>
    </w:p>
    <w:p w14:paraId="1331EBD6" w14:textId="77777777" w:rsidR="00B67D7C" w:rsidRPr="00DE096C" w:rsidRDefault="00B67D7C" w:rsidP="00D45A46">
      <w:pPr>
        <w:jc w:val="both"/>
        <w:rPr>
          <w:bCs/>
          <w:color w:val="002060"/>
          <w:sz w:val="16"/>
          <w:szCs w:val="16"/>
        </w:rPr>
      </w:pPr>
      <w:r w:rsidRPr="00DE096C">
        <w:rPr>
          <w:bCs/>
          <w:color w:val="002060"/>
          <w:sz w:val="16"/>
          <w:szCs w:val="16"/>
        </w:rPr>
        <w:t xml:space="preserve">2-я бригада лин. кор. </w:t>
      </w:r>
    </w:p>
    <w:p w14:paraId="7D312E2E" w14:textId="77777777" w:rsidR="00B67D7C" w:rsidRPr="00DE096C" w:rsidRDefault="00B67D7C" w:rsidP="00D45A46">
      <w:pPr>
        <w:jc w:val="both"/>
        <w:rPr>
          <w:bCs/>
          <w:color w:val="002060"/>
          <w:sz w:val="16"/>
          <w:szCs w:val="16"/>
        </w:rPr>
      </w:pPr>
      <w:r w:rsidRPr="00DE096C">
        <w:rPr>
          <w:bCs/>
          <w:color w:val="002060"/>
          <w:sz w:val="16"/>
          <w:szCs w:val="16"/>
        </w:rPr>
        <w:t xml:space="preserve">"Цесаревич", "Орел", "Слава". </w:t>
      </w:r>
    </w:p>
    <w:p w14:paraId="62C598D0" w14:textId="77777777" w:rsidR="00B67D7C" w:rsidRPr="00DE096C" w:rsidRDefault="00B67D7C" w:rsidP="00D45A46">
      <w:pPr>
        <w:jc w:val="both"/>
        <w:rPr>
          <w:bCs/>
          <w:color w:val="002060"/>
          <w:sz w:val="16"/>
          <w:szCs w:val="16"/>
        </w:rPr>
      </w:pPr>
      <w:r w:rsidRPr="00DE096C">
        <w:rPr>
          <w:bCs/>
          <w:color w:val="002060"/>
          <w:sz w:val="16"/>
          <w:szCs w:val="16"/>
        </w:rPr>
        <w:t xml:space="preserve">1-я бригада крейсеров </w:t>
      </w:r>
    </w:p>
    <w:p w14:paraId="51845860" w14:textId="77777777" w:rsidR="00B67D7C" w:rsidRPr="00DE096C" w:rsidRDefault="00B67D7C" w:rsidP="00D45A46">
      <w:pPr>
        <w:jc w:val="both"/>
        <w:rPr>
          <w:bCs/>
          <w:color w:val="002060"/>
          <w:sz w:val="16"/>
          <w:szCs w:val="16"/>
        </w:rPr>
      </w:pPr>
      <w:r w:rsidRPr="00DE096C">
        <w:rPr>
          <w:bCs/>
          <w:color w:val="002060"/>
          <w:sz w:val="16"/>
          <w:szCs w:val="16"/>
        </w:rPr>
        <w:t xml:space="preserve">"Рюрик", "Адмирал Нахимов", "Адмирал Корнилов", "Боярин". </w:t>
      </w:r>
    </w:p>
    <w:p w14:paraId="5D3F3B88" w14:textId="77777777" w:rsidR="00B67D7C" w:rsidRPr="00DE096C" w:rsidRDefault="00B67D7C" w:rsidP="00D45A46">
      <w:pPr>
        <w:jc w:val="both"/>
        <w:rPr>
          <w:bCs/>
          <w:color w:val="002060"/>
          <w:sz w:val="16"/>
          <w:szCs w:val="16"/>
        </w:rPr>
      </w:pPr>
      <w:r w:rsidRPr="00DE096C">
        <w:rPr>
          <w:bCs/>
          <w:color w:val="002060"/>
          <w:sz w:val="16"/>
          <w:szCs w:val="16"/>
        </w:rPr>
        <w:t xml:space="preserve">2-я бригада крейсеров </w:t>
      </w:r>
    </w:p>
    <w:p w14:paraId="5DDBB662" w14:textId="77777777" w:rsidR="00B67D7C" w:rsidRPr="00DE096C" w:rsidRDefault="00B67D7C" w:rsidP="00D45A46">
      <w:pPr>
        <w:jc w:val="both"/>
        <w:rPr>
          <w:bCs/>
          <w:color w:val="002060"/>
          <w:sz w:val="16"/>
          <w:szCs w:val="16"/>
        </w:rPr>
      </w:pPr>
      <w:r w:rsidRPr="00DE096C">
        <w:rPr>
          <w:bCs/>
          <w:color w:val="002060"/>
          <w:sz w:val="16"/>
          <w:szCs w:val="16"/>
        </w:rPr>
        <w:t xml:space="preserve">"Баян", "Адмирал Макаров", "Олег", "Богатырь" </w:t>
      </w:r>
    </w:p>
    <w:p w14:paraId="50F0AF9B" w14:textId="77777777" w:rsidR="00B67D7C" w:rsidRPr="00DE096C" w:rsidRDefault="00B67D7C" w:rsidP="00D45A46">
      <w:pPr>
        <w:jc w:val="both"/>
        <w:rPr>
          <w:bCs/>
          <w:color w:val="002060"/>
          <w:sz w:val="16"/>
          <w:szCs w:val="16"/>
        </w:rPr>
      </w:pPr>
      <w:r w:rsidRPr="00DE096C">
        <w:rPr>
          <w:bCs/>
          <w:color w:val="002060"/>
          <w:sz w:val="16"/>
          <w:szCs w:val="16"/>
        </w:rPr>
        <w:t xml:space="preserve">3-я бригада крейсеров </w:t>
      </w:r>
    </w:p>
    <w:p w14:paraId="3C8DBDA0" w14:textId="77777777" w:rsidR="00B67D7C" w:rsidRPr="00DE096C" w:rsidRDefault="00B67D7C" w:rsidP="00D45A46">
      <w:pPr>
        <w:jc w:val="both"/>
        <w:rPr>
          <w:bCs/>
          <w:color w:val="002060"/>
          <w:sz w:val="16"/>
          <w:szCs w:val="16"/>
        </w:rPr>
      </w:pPr>
      <w:r w:rsidRPr="00DE096C">
        <w:rPr>
          <w:bCs/>
          <w:color w:val="002060"/>
          <w:sz w:val="16"/>
          <w:szCs w:val="16"/>
        </w:rPr>
        <w:t xml:space="preserve">"Пересвет", "Победа", "Громобой", "Россия". </w:t>
      </w:r>
    </w:p>
    <w:p w14:paraId="24B087AE" w14:textId="77777777" w:rsidR="00B67D7C" w:rsidRPr="00DE096C" w:rsidRDefault="00B67D7C" w:rsidP="00D45A46">
      <w:pPr>
        <w:jc w:val="both"/>
        <w:rPr>
          <w:bCs/>
          <w:color w:val="002060"/>
          <w:sz w:val="16"/>
          <w:szCs w:val="16"/>
        </w:rPr>
      </w:pPr>
      <w:r w:rsidRPr="00DE096C">
        <w:rPr>
          <w:bCs/>
          <w:color w:val="002060"/>
          <w:sz w:val="16"/>
          <w:szCs w:val="16"/>
        </w:rPr>
        <w:t xml:space="preserve">Минная дивизия </w:t>
      </w:r>
    </w:p>
    <w:p w14:paraId="2351EEE9" w14:textId="77777777" w:rsidR="00B67D7C" w:rsidRPr="00DE096C" w:rsidRDefault="00B67D7C" w:rsidP="00D45A46">
      <w:pPr>
        <w:jc w:val="both"/>
        <w:rPr>
          <w:bCs/>
          <w:color w:val="002060"/>
          <w:sz w:val="16"/>
          <w:szCs w:val="16"/>
        </w:rPr>
      </w:pPr>
      <w:r w:rsidRPr="00DE096C">
        <w:rPr>
          <w:bCs/>
          <w:color w:val="002060"/>
          <w:sz w:val="16"/>
          <w:szCs w:val="16"/>
        </w:rPr>
        <w:t xml:space="preserve">Флагман: "Светлана" </w:t>
      </w:r>
    </w:p>
    <w:p w14:paraId="19472C2D" w14:textId="77777777" w:rsidR="00B67D7C" w:rsidRPr="00DE096C" w:rsidRDefault="00B67D7C" w:rsidP="00D45A46">
      <w:pPr>
        <w:jc w:val="both"/>
        <w:rPr>
          <w:bCs/>
          <w:color w:val="002060"/>
          <w:sz w:val="16"/>
          <w:szCs w:val="16"/>
        </w:rPr>
      </w:pPr>
      <w:r w:rsidRPr="00DE096C">
        <w:rPr>
          <w:bCs/>
          <w:color w:val="002060"/>
          <w:sz w:val="16"/>
          <w:szCs w:val="16"/>
        </w:rPr>
        <w:t xml:space="preserve">1, 2, 3, 4, 5, 6, 7, 8 дивизионы эсминцев </w:t>
      </w:r>
    </w:p>
    <w:p w14:paraId="5A76716B" w14:textId="77777777" w:rsidR="00B67D7C" w:rsidRPr="00DE096C" w:rsidRDefault="00B67D7C" w:rsidP="00D45A46">
      <w:pPr>
        <w:jc w:val="both"/>
        <w:rPr>
          <w:bCs/>
          <w:color w:val="002060"/>
          <w:sz w:val="16"/>
          <w:szCs w:val="16"/>
        </w:rPr>
      </w:pPr>
      <w:r w:rsidRPr="00DE096C">
        <w:rPr>
          <w:bCs/>
          <w:color w:val="002060"/>
          <w:sz w:val="16"/>
          <w:szCs w:val="16"/>
        </w:rPr>
        <w:t xml:space="preserve">(30 эсминцев, из них 14 с ходом не менее 28 узлов). </w:t>
      </w:r>
    </w:p>
    <w:p w14:paraId="0CEA031F" w14:textId="77777777" w:rsidR="00B67D7C" w:rsidRPr="00DE096C" w:rsidRDefault="00B67D7C" w:rsidP="00D45A46">
      <w:pPr>
        <w:jc w:val="both"/>
        <w:rPr>
          <w:bCs/>
          <w:color w:val="002060"/>
          <w:sz w:val="16"/>
          <w:szCs w:val="16"/>
        </w:rPr>
      </w:pPr>
      <w:r w:rsidRPr="00DE096C">
        <w:rPr>
          <w:bCs/>
          <w:color w:val="002060"/>
          <w:sz w:val="16"/>
          <w:szCs w:val="16"/>
        </w:rPr>
        <w:t xml:space="preserve">Бригада подплава (6 подводных лодок и морского класса и 6 прибрежного) </w:t>
      </w:r>
    </w:p>
    <w:p w14:paraId="0886694C" w14:textId="77777777" w:rsidR="00B67D7C" w:rsidRPr="00DE096C" w:rsidRDefault="00B67D7C" w:rsidP="00D45A46">
      <w:pPr>
        <w:jc w:val="both"/>
        <w:rPr>
          <w:bCs/>
          <w:color w:val="002060"/>
          <w:sz w:val="16"/>
          <w:szCs w:val="16"/>
        </w:rPr>
      </w:pPr>
      <w:r w:rsidRPr="00DE096C">
        <w:rPr>
          <w:bCs/>
          <w:color w:val="002060"/>
          <w:sz w:val="16"/>
          <w:szCs w:val="16"/>
        </w:rPr>
        <w:t xml:space="preserve">Отряд катеров (6 минных моторных катеров) </w:t>
      </w:r>
    </w:p>
    <w:p w14:paraId="27824275" w14:textId="77777777" w:rsidR="00B67D7C" w:rsidRPr="00DE096C" w:rsidRDefault="00B67D7C" w:rsidP="00D45A46">
      <w:pPr>
        <w:jc w:val="both"/>
        <w:rPr>
          <w:bCs/>
          <w:color w:val="002060"/>
          <w:sz w:val="16"/>
          <w:szCs w:val="16"/>
        </w:rPr>
      </w:pPr>
      <w:r w:rsidRPr="00DE096C">
        <w:rPr>
          <w:bCs/>
          <w:color w:val="002060"/>
          <w:sz w:val="16"/>
          <w:szCs w:val="16"/>
        </w:rPr>
        <w:t xml:space="preserve">Бригада пограничных судов (по мобилизации становятся вспомогательными крейсерами-истребителями торговли) </w:t>
      </w:r>
    </w:p>
    <w:p w14:paraId="4B3C3EAC" w14:textId="77777777" w:rsidR="00B67D7C" w:rsidRPr="00DE096C" w:rsidRDefault="00B67D7C" w:rsidP="00D45A46">
      <w:pPr>
        <w:jc w:val="both"/>
        <w:rPr>
          <w:bCs/>
          <w:color w:val="002060"/>
          <w:sz w:val="16"/>
          <w:szCs w:val="16"/>
        </w:rPr>
      </w:pPr>
      <w:r w:rsidRPr="00DE096C">
        <w:rPr>
          <w:bCs/>
          <w:color w:val="002060"/>
          <w:sz w:val="16"/>
          <w:szCs w:val="16"/>
        </w:rPr>
        <w:t xml:space="preserve">Вспомогательные суда и суда охраны рейда </w:t>
      </w:r>
    </w:p>
    <w:p w14:paraId="613D20DA" w14:textId="77777777" w:rsidR="00B67D7C" w:rsidRPr="00DE096C" w:rsidRDefault="00B67D7C" w:rsidP="00D45A46">
      <w:pPr>
        <w:jc w:val="both"/>
        <w:rPr>
          <w:bCs/>
          <w:color w:val="002060"/>
          <w:sz w:val="16"/>
          <w:szCs w:val="16"/>
        </w:rPr>
      </w:pPr>
      <w:r w:rsidRPr="00DE096C">
        <w:rPr>
          <w:bCs/>
          <w:color w:val="002060"/>
          <w:sz w:val="16"/>
          <w:szCs w:val="16"/>
        </w:rPr>
        <w:t xml:space="preserve">Всего: 9 линейных кораблей-додредноутов, 7 броненосных крейсеров, 5 крейсеров, 30 эсминцеы, 12 подводных лодок, 6 моторных минных катеров. Кроме того, с Балтики на Дальний Восток готовился к выходу линейный крейсер "Дмитрий Донской", еще один крейсер этого же типа находился на испытаниях. </w:t>
      </w:r>
    </w:p>
    <w:p w14:paraId="01223945" w14:textId="77777777" w:rsidR="00B67D7C" w:rsidRPr="00DE096C" w:rsidRDefault="00B67D7C" w:rsidP="00D45A46">
      <w:pPr>
        <w:jc w:val="both"/>
        <w:rPr>
          <w:bCs/>
          <w:color w:val="002060"/>
          <w:sz w:val="16"/>
          <w:szCs w:val="16"/>
        </w:rPr>
      </w:pPr>
      <w:r w:rsidRPr="00DE096C">
        <w:rPr>
          <w:bCs/>
          <w:color w:val="002060"/>
          <w:sz w:val="16"/>
          <w:szCs w:val="16"/>
        </w:rPr>
        <w:t xml:space="preserve">Порт-Артур </w:t>
      </w:r>
    </w:p>
    <w:p w14:paraId="18FBB907" w14:textId="77777777" w:rsidR="00B67D7C" w:rsidRPr="00DE096C" w:rsidRDefault="00B67D7C" w:rsidP="00D45A46">
      <w:pPr>
        <w:jc w:val="both"/>
        <w:rPr>
          <w:bCs/>
          <w:color w:val="002060"/>
          <w:sz w:val="16"/>
          <w:szCs w:val="16"/>
        </w:rPr>
      </w:pPr>
      <w:r w:rsidRPr="00DE096C">
        <w:rPr>
          <w:bCs/>
          <w:color w:val="002060"/>
          <w:sz w:val="16"/>
          <w:szCs w:val="16"/>
        </w:rPr>
        <w:t xml:space="preserve">Бригада береговой обороны </w:t>
      </w:r>
    </w:p>
    <w:p w14:paraId="0BF5F46D" w14:textId="77777777" w:rsidR="00B67D7C" w:rsidRPr="00DE096C" w:rsidRDefault="00B67D7C" w:rsidP="00D45A46">
      <w:pPr>
        <w:jc w:val="both"/>
        <w:rPr>
          <w:bCs/>
          <w:color w:val="002060"/>
          <w:sz w:val="16"/>
          <w:szCs w:val="16"/>
        </w:rPr>
      </w:pPr>
      <w:r w:rsidRPr="00DE096C">
        <w:rPr>
          <w:bCs/>
          <w:color w:val="002060"/>
          <w:sz w:val="16"/>
          <w:szCs w:val="16"/>
        </w:rPr>
        <w:t xml:space="preserve">"Адмирал Ушаков", "Адмирал Синявин", "Генерал-адмирал Апраксин", "Храбрый", "Грозящий" </w:t>
      </w:r>
    </w:p>
    <w:p w14:paraId="75AE9F05" w14:textId="77777777" w:rsidR="00B67D7C" w:rsidRPr="00DE096C" w:rsidRDefault="00B67D7C" w:rsidP="00D45A46">
      <w:pPr>
        <w:jc w:val="both"/>
        <w:rPr>
          <w:bCs/>
          <w:color w:val="002060"/>
          <w:sz w:val="16"/>
          <w:szCs w:val="16"/>
        </w:rPr>
      </w:pPr>
      <w:r w:rsidRPr="00DE096C">
        <w:rPr>
          <w:bCs/>
          <w:color w:val="002060"/>
          <w:sz w:val="16"/>
          <w:szCs w:val="16"/>
        </w:rPr>
        <w:t xml:space="preserve">Бригада крейсеров </w:t>
      </w:r>
    </w:p>
    <w:p w14:paraId="47178BD3" w14:textId="77777777" w:rsidR="00B67D7C" w:rsidRPr="00DE096C" w:rsidRDefault="00B67D7C" w:rsidP="00D45A46">
      <w:pPr>
        <w:jc w:val="both"/>
        <w:rPr>
          <w:bCs/>
          <w:color w:val="002060"/>
          <w:sz w:val="16"/>
          <w:szCs w:val="16"/>
        </w:rPr>
      </w:pPr>
      <w:r w:rsidRPr="00DE096C">
        <w:rPr>
          <w:bCs/>
          <w:color w:val="002060"/>
          <w:sz w:val="16"/>
          <w:szCs w:val="16"/>
        </w:rPr>
        <w:t xml:space="preserve">"Аскольд", "Жемчуг", "Изумруд". </w:t>
      </w:r>
    </w:p>
    <w:p w14:paraId="6D5BE967" w14:textId="77777777" w:rsidR="00B67D7C" w:rsidRPr="00DE096C" w:rsidRDefault="00B67D7C" w:rsidP="00D45A46">
      <w:pPr>
        <w:jc w:val="both"/>
        <w:rPr>
          <w:bCs/>
          <w:color w:val="002060"/>
          <w:sz w:val="16"/>
          <w:szCs w:val="16"/>
        </w:rPr>
      </w:pPr>
      <w:r w:rsidRPr="00DE096C">
        <w:rPr>
          <w:bCs/>
          <w:color w:val="002060"/>
          <w:sz w:val="16"/>
          <w:szCs w:val="16"/>
        </w:rPr>
        <w:t xml:space="preserve">Минная бригада </w:t>
      </w:r>
    </w:p>
    <w:p w14:paraId="7A1606C1" w14:textId="77777777" w:rsidR="00B67D7C" w:rsidRPr="00DE096C" w:rsidRDefault="00B67D7C" w:rsidP="00D45A46">
      <w:pPr>
        <w:jc w:val="both"/>
        <w:rPr>
          <w:bCs/>
          <w:color w:val="002060"/>
          <w:sz w:val="16"/>
          <w:szCs w:val="16"/>
        </w:rPr>
      </w:pPr>
      <w:r w:rsidRPr="00DE096C">
        <w:rPr>
          <w:bCs/>
          <w:color w:val="002060"/>
          <w:sz w:val="16"/>
          <w:szCs w:val="16"/>
        </w:rPr>
        <w:t xml:space="preserve">Флагман: "Новик" </w:t>
      </w:r>
    </w:p>
    <w:p w14:paraId="3A0E2182" w14:textId="77777777" w:rsidR="00B67D7C" w:rsidRPr="00DE096C" w:rsidRDefault="00B67D7C" w:rsidP="00D45A46">
      <w:pPr>
        <w:jc w:val="both"/>
        <w:rPr>
          <w:bCs/>
          <w:color w:val="002060"/>
          <w:sz w:val="16"/>
          <w:szCs w:val="16"/>
        </w:rPr>
      </w:pPr>
      <w:r w:rsidRPr="00DE096C">
        <w:rPr>
          <w:bCs/>
          <w:color w:val="002060"/>
          <w:sz w:val="16"/>
          <w:szCs w:val="16"/>
        </w:rPr>
        <w:t xml:space="preserve">9, 10, 11, 12 дивизионы эсминцев (17 эсминцев). </w:t>
      </w:r>
    </w:p>
    <w:p w14:paraId="4B285AC2" w14:textId="77777777" w:rsidR="00B67D7C" w:rsidRPr="00DE096C" w:rsidRDefault="00B67D7C" w:rsidP="00D45A46">
      <w:pPr>
        <w:jc w:val="both"/>
        <w:rPr>
          <w:bCs/>
          <w:color w:val="002060"/>
          <w:sz w:val="16"/>
          <w:szCs w:val="16"/>
        </w:rPr>
      </w:pPr>
      <w:r w:rsidRPr="00DE096C">
        <w:rPr>
          <w:bCs/>
          <w:color w:val="002060"/>
          <w:sz w:val="16"/>
          <w:szCs w:val="16"/>
        </w:rPr>
        <w:t xml:space="preserve">Дивизион подплава (6 прибрежных лодок) </w:t>
      </w:r>
    </w:p>
    <w:p w14:paraId="662E98D8" w14:textId="77777777" w:rsidR="00B67D7C" w:rsidRPr="00DE096C" w:rsidRDefault="00B67D7C" w:rsidP="00D45A46">
      <w:pPr>
        <w:jc w:val="both"/>
        <w:rPr>
          <w:bCs/>
          <w:color w:val="002060"/>
          <w:sz w:val="16"/>
          <w:szCs w:val="16"/>
        </w:rPr>
      </w:pPr>
      <w:r w:rsidRPr="00DE096C">
        <w:rPr>
          <w:bCs/>
          <w:color w:val="002060"/>
          <w:sz w:val="16"/>
          <w:szCs w:val="16"/>
        </w:rPr>
        <w:t xml:space="preserve">Отряд моторных катеров (13 моторных минных катеров) </w:t>
      </w:r>
    </w:p>
    <w:p w14:paraId="24AA848A" w14:textId="77777777" w:rsidR="00B67D7C" w:rsidRPr="00DE096C" w:rsidRDefault="00B67D7C" w:rsidP="00D45A46">
      <w:pPr>
        <w:jc w:val="both"/>
        <w:rPr>
          <w:bCs/>
          <w:color w:val="002060"/>
          <w:sz w:val="16"/>
          <w:szCs w:val="16"/>
        </w:rPr>
      </w:pPr>
      <w:r w:rsidRPr="00DE096C">
        <w:rPr>
          <w:bCs/>
          <w:color w:val="002060"/>
          <w:sz w:val="16"/>
          <w:szCs w:val="16"/>
        </w:rPr>
        <w:t xml:space="preserve">Вспомогательные суда и суда охраны рейда. </w:t>
      </w:r>
    </w:p>
    <w:p w14:paraId="3CAB7574" w14:textId="77777777" w:rsidR="00B67D7C" w:rsidRPr="00DE096C" w:rsidRDefault="00B67D7C" w:rsidP="00D45A46">
      <w:pPr>
        <w:jc w:val="both"/>
        <w:rPr>
          <w:bCs/>
          <w:color w:val="002060"/>
          <w:sz w:val="16"/>
          <w:szCs w:val="16"/>
        </w:rPr>
      </w:pPr>
      <w:r w:rsidRPr="00DE096C">
        <w:rPr>
          <w:bCs/>
          <w:color w:val="002060"/>
          <w:sz w:val="16"/>
          <w:szCs w:val="16"/>
        </w:rPr>
        <w:t xml:space="preserve">Всего: 3 броненосца береговой обороны, 2 канонерских лодки, 5 крейсеров, 17 эсминцев, 6 подводных лодок, 13 моторных торпедных катеров. </w:t>
      </w:r>
    </w:p>
    <w:p w14:paraId="18C5BC62" w14:textId="77777777" w:rsidR="00B67D7C" w:rsidRPr="00DE096C" w:rsidRDefault="00B67D7C" w:rsidP="00D45A46">
      <w:pPr>
        <w:jc w:val="both"/>
        <w:rPr>
          <w:bCs/>
          <w:color w:val="002060"/>
          <w:sz w:val="16"/>
          <w:szCs w:val="16"/>
        </w:rPr>
      </w:pPr>
      <w:r w:rsidRPr="00DE096C">
        <w:rPr>
          <w:bCs/>
          <w:color w:val="002060"/>
          <w:sz w:val="16"/>
          <w:szCs w:val="16"/>
        </w:rPr>
        <w:t xml:space="preserve">Задачами отдельных частей флота являлись: </w:t>
      </w:r>
    </w:p>
    <w:p w14:paraId="74D8BBE3" w14:textId="77777777" w:rsidR="00B67D7C" w:rsidRPr="00DE096C" w:rsidRDefault="00B67D7C" w:rsidP="00D45A46">
      <w:pPr>
        <w:jc w:val="both"/>
        <w:rPr>
          <w:bCs/>
          <w:color w:val="002060"/>
          <w:sz w:val="16"/>
          <w:szCs w:val="16"/>
        </w:rPr>
      </w:pPr>
      <w:r w:rsidRPr="00DE096C">
        <w:rPr>
          <w:bCs/>
          <w:color w:val="002060"/>
          <w:sz w:val="16"/>
          <w:szCs w:val="16"/>
        </w:rPr>
        <w:t xml:space="preserve">Владивосток </w:t>
      </w:r>
    </w:p>
    <w:p w14:paraId="39ACEDD3" w14:textId="77777777" w:rsidR="00B67D7C" w:rsidRPr="00DE096C" w:rsidRDefault="00B67D7C" w:rsidP="00D45A46">
      <w:pPr>
        <w:jc w:val="both"/>
        <w:rPr>
          <w:bCs/>
          <w:color w:val="002060"/>
          <w:sz w:val="16"/>
          <w:szCs w:val="16"/>
        </w:rPr>
      </w:pPr>
      <w:r w:rsidRPr="00DE096C">
        <w:rPr>
          <w:bCs/>
          <w:color w:val="002060"/>
          <w:sz w:val="16"/>
          <w:szCs w:val="16"/>
        </w:rPr>
        <w:t xml:space="preserve">На дивизию линейных кораблей возлагалось дальнее прикрытие минно-заградительной операции проводимой силами мобилизованных заградителей на подступах к Владивостоку. Практически это охранение сводилось к выдвижению линейных кораблей на 100 миль к юго-юго-востоку от острова Русский на все время, пока минные заградители будут выполнять свои работы, причем, в случае появления неприятеля, на дивизию возлагалась обязанность не допускать его до кромки минных заграждений. Если же это были бы главные силы противника, то дивизия должна была отступать к кромке минных полей, стараясь своим маневрированием выиграть как можно больше времени. По окончании работ заградителей и минной дивизии дивизия линейных кораблей уходит в пролив Босфор восточный, где становится по специальной диспозиции, принимая все меры охранения и находясь в полной готовности к немедленному выходу на позицию. При этом предполагается, что 1-я бригада выходит для прикрытия западного фланга позиции, а 2-я бригада восточного. Флагман остается в резерве. При наступлении противника на позицию бригада </w:t>
      </w:r>
      <w:r w:rsidRPr="00DE096C">
        <w:rPr>
          <w:bCs/>
          <w:color w:val="002060"/>
          <w:sz w:val="16"/>
          <w:szCs w:val="16"/>
        </w:rPr>
        <w:lastRenderedPageBreak/>
        <w:t xml:space="preserve">заблаговременно выходит к намеченным рубежам маневрирования и, находясь позади минного заграждения, принимает решительный бой. После выполнения мероприятий по обеспечению обороноспособности крепости Владивосток, дивизию линейных кораблей планировалось использовать, кроме целей обороны крепости, для дальнего прикрытия наступательных минно-заградительных операций и активных действий крейсерско-миноносных сил. В случае стремления высадить на подступах к Владивостоку неприятельский десант предполагалось использовать всю дивизию в ходе совместной операции сил флота по уничтожению десантных транспортов, согласно отдельного плана. </w:t>
      </w:r>
    </w:p>
    <w:p w14:paraId="3A2C82F5" w14:textId="77777777" w:rsidR="00B67D7C" w:rsidRPr="00DE096C" w:rsidRDefault="00B67D7C" w:rsidP="00D45A46">
      <w:pPr>
        <w:jc w:val="both"/>
        <w:rPr>
          <w:bCs/>
          <w:color w:val="002060"/>
          <w:sz w:val="16"/>
          <w:szCs w:val="16"/>
        </w:rPr>
      </w:pPr>
      <w:r w:rsidRPr="00DE096C">
        <w:rPr>
          <w:bCs/>
          <w:color w:val="002060"/>
          <w:sz w:val="16"/>
          <w:szCs w:val="16"/>
        </w:rPr>
        <w:t xml:space="preserve">На 1-ю бригаду крейсеров и лидер минной дивизии, как на самые быстроходные крейсера, в период выполнения минно-заградительной операции на подступах к Владивостоку возлагалось развертывание разведочной завесы на удалении 200-250 миль к югу и к юго-востоку от острова Русский и поддержание там возможно большей бдительности, дабы заблаговременно обнаружить противника. Основной задачей разведочной завесы крейсеров являлось обнаружение главных сил противника. Однако задача эта являлась чрезвычайно трудной, особенно имея в виду, что сначала могли появиться броненосные крейсера. Крейсерам вменялось в обязанность не допустить легкие крейсера и миноносцы неприятеля в район работы минных заградителей, не отвлекаясь, однако, от своей основной задачи; что же касается броненосных крейсеров, противника, то бригаде вменялось в обязанность по возможности путем маневрирования и боя на больших дистанциях затруднить их продвижение, не принимая здесь решительного столкновения; наконец, в случае невозможности удержаться на линии завесы, а также в случае появления главных сил противника крейсера должны медленно отходить навстречу дивизии линейных кораблей и 3-й бригаде крейсеров, не теряя связи с неприятелем. В случае наступления последнего к позиции бригаде вменялось в обязанность, перейдя в районы безопасного маневрирования под защиту береговых батарей, совместно с главными силами флота принять решительный бой с противником. В течение всей разведывательной операции крейсера должны были находиться в самой тесной связи с командованием, главными силами флота, а также с фланговыми наблюдательными постами. После выполнения минно-заградительной операции крейсера планировали использовать раздельно для выполнения набеговых операций и активных минных постановок в прилегающих к Японии водах, с каковой целью полежали формированию 4 маневренных группы: </w:t>
      </w:r>
    </w:p>
    <w:p w14:paraId="58A8B989" w14:textId="77777777" w:rsidR="00B67D7C" w:rsidRPr="00DE096C" w:rsidRDefault="00B67D7C" w:rsidP="00D45A46">
      <w:pPr>
        <w:jc w:val="both"/>
        <w:rPr>
          <w:bCs/>
          <w:color w:val="002060"/>
          <w:sz w:val="16"/>
          <w:szCs w:val="16"/>
        </w:rPr>
      </w:pPr>
      <w:r w:rsidRPr="00DE096C">
        <w:rPr>
          <w:bCs/>
          <w:color w:val="002060"/>
          <w:sz w:val="16"/>
          <w:szCs w:val="16"/>
        </w:rPr>
        <w:t xml:space="preserve">Крейсера "Светлана" и 4-й ДЭМ - должны были, используя в качестве пунктов базирования Корсаков пост и Николаевск, проводить активные минные постановки на подходах к крупным портам острова Хоккайдо, действуя согласно призовому праву в отношении нейтральных судов, имеющих на борту военную контрабанду, уничтожать британские и японские торговые суда, а также японские каботажные и рыболовные суда. В случае встречи с военными судами противника предполагалось, используя преимущество в ходе в случае своего огневого превосходства уничтожать противника, либо отходить в случае превосходства противника. Порядок действий в случае встречи с линейным крейсером "Конго" изложен в приказе командующего флота "О действиях крейсерско-миноносных сил в особых ситуациях". </w:t>
      </w:r>
    </w:p>
    <w:p w14:paraId="5BE29003" w14:textId="77777777" w:rsidR="00B67D7C" w:rsidRPr="00DE096C" w:rsidRDefault="00B67D7C" w:rsidP="00D45A46">
      <w:pPr>
        <w:jc w:val="both"/>
        <w:rPr>
          <w:bCs/>
          <w:color w:val="002060"/>
          <w:sz w:val="16"/>
          <w:szCs w:val="16"/>
        </w:rPr>
      </w:pPr>
      <w:r w:rsidRPr="00DE096C">
        <w:rPr>
          <w:bCs/>
          <w:color w:val="002060"/>
          <w:sz w:val="16"/>
          <w:szCs w:val="16"/>
        </w:rPr>
        <w:t xml:space="preserve">Крейсера "Рюрик", "Адмирал Нахимов", "Адмирал Корнилов" и 1-й, 2-й, 3-й ДЭМ соответственно, планировалось использовать у западного побережья Японии (о-ва Кюсю, Хонсю); на ближних подступах, и непосредственно в самом Цусимском проливе; вдоль восточного побережья Кореи - с целью постановки наступательных минных заграждений и минных банок на подходах к крупным портам и военно-морским базам, а также в районах интенсивного судоходства и рыболовства. Помимо осуществления поисковых и набеговых операций, крейсера должны были действовать согласно призовому праву в отношении нейтральных судов имеющих на борту военную контрабанду, уничтожать британские и японские торговые суда, а также японские каботажные и рыболовные суда. В случае встречи с военными судами противника предполагалось, используя преимущество в ходе в случае своего огневого превосходства уничтожать противника либо отходить в случае превосходства противника. </w:t>
      </w:r>
    </w:p>
    <w:p w14:paraId="1DBBBBBA" w14:textId="77777777" w:rsidR="00B67D7C" w:rsidRPr="00DE096C" w:rsidRDefault="00B67D7C" w:rsidP="00D45A46">
      <w:pPr>
        <w:jc w:val="both"/>
        <w:rPr>
          <w:bCs/>
          <w:color w:val="002060"/>
          <w:sz w:val="16"/>
          <w:szCs w:val="16"/>
        </w:rPr>
      </w:pPr>
      <w:r w:rsidRPr="00DE096C">
        <w:rPr>
          <w:bCs/>
          <w:color w:val="002060"/>
          <w:sz w:val="16"/>
          <w:szCs w:val="16"/>
        </w:rPr>
        <w:t xml:space="preserve">На 2-ю бригаду крейсеров возлагались достаточно ограниченные задачи. Так ей вменялась обязанность во взаимодействии с дивизией линейных кораблей выдвинуться к югу от острова Русский, и, перейдя в подчинение командира дивизии линкоров, оказывать им содействие, в том числе отражая атаки минных сил противника. При необходимости по плану командующего флотом не исключалось использование бригады для выполнения постановок минных банок на подходах к острову Русский. По окончании минно-заградительной операции на бригаду возлагалась задача проведения разведки на удаление до 100 миль от острова Русский, выполнение минно-заградительных операций, в том числе наступательных на больших удалениях от крепости, охрана подступов к крепости от действий крейсерско-миноносных сил противника. В случае стремления высадить на подступах к Владивостоку неприятельский десант предполагалось использовать крейсера совместно с линейными кораблями в ходе совместной операции сил флота по уничтожению десантных транспортов, согласно отдельного плана. </w:t>
      </w:r>
    </w:p>
    <w:p w14:paraId="461D92FB" w14:textId="77777777" w:rsidR="00B67D7C" w:rsidRPr="00DE096C" w:rsidRDefault="00B67D7C" w:rsidP="00D45A46">
      <w:pPr>
        <w:jc w:val="both"/>
        <w:rPr>
          <w:bCs/>
          <w:color w:val="002060"/>
          <w:sz w:val="16"/>
          <w:szCs w:val="16"/>
        </w:rPr>
      </w:pPr>
      <w:r w:rsidRPr="00DE096C">
        <w:rPr>
          <w:bCs/>
          <w:color w:val="002060"/>
          <w:sz w:val="16"/>
          <w:szCs w:val="16"/>
        </w:rPr>
        <w:t xml:space="preserve">На 3-ю бригаду крейсеров возлагались также достаточно ограниченные задачи. Так ей вменялась обязанность во взаимодействии с дивизией линейных кораблей выдвинуться к югу от острова Русский, и, перейдя в подчинение командира дивизии линкоров оказывать им содействие, в том числе отражая атаки минных сил противника. При необходимости по плану командующего флотом не исключалось использование бригады для выполнения постановок минных банок на подходах к острову Русский. По окончании минно-заградительной операции бригаду предполагалось использовать для охраны подступов к крепости от действий крейсерско-миноносных сил противника и противостояние совместно с дивизией линкоров главным силам противника, для дальнего прикрытия наступательных минно-заградительных операций и активных действий крейсерско-миноносных сил. В случае стремления высадить на подступах к Владивостоку неприятельский десант предполагалось использовать крейсера совместно с линейными кораблями в ходе совместной операции сил флота по уничтожению десантных транспортов, согласно отдельного плана. </w:t>
      </w:r>
    </w:p>
    <w:p w14:paraId="779C7ACD" w14:textId="77777777" w:rsidR="00B67D7C" w:rsidRPr="00DE096C" w:rsidRDefault="00B67D7C" w:rsidP="00D45A46">
      <w:pPr>
        <w:jc w:val="both"/>
        <w:rPr>
          <w:bCs/>
          <w:color w:val="002060"/>
          <w:sz w:val="16"/>
          <w:szCs w:val="16"/>
        </w:rPr>
      </w:pPr>
      <w:r w:rsidRPr="00DE096C">
        <w:rPr>
          <w:bCs/>
          <w:color w:val="002060"/>
          <w:sz w:val="16"/>
          <w:szCs w:val="16"/>
        </w:rPr>
        <w:t xml:space="preserve">На минную дивизию возлагались следующие задачи: несение дозорной службы, сопровождение линейных кораблей, крейсеров и минных заградителей, выполнение отдельных минных постановок в прибрежных водах. В зависимости от образа действий противника, на дивизию могла быть возложена задача атаковать неприятеля ночью торпедами при подходе его к крепости. Кроме того, во время самого сражения на подступах к Владивостоку дивизия, смотря по обстоятельствам, должна была быть использована для противодействия миноносцам противника, для обстрела и уничтожения его тралящего каравана и для других целей. Кроме того, для активных действий против неприятеля совместно со своими крейсерами планировалось выделить 1-4 -е дивизионы эсминцев. 8-й дивизион эсминцев предполагалось в случае необходимости перевести в Корсаков пост, с целью обеспечения постановки вспомогательными заградителями минных заграждений в б. Анива и на подходах к м.Крильон и Анива. После чего дивизиону ставилась задача по несению дозорной службы в Лаперузовом проливе. </w:t>
      </w:r>
    </w:p>
    <w:p w14:paraId="491FFF96" w14:textId="77777777" w:rsidR="00B67D7C" w:rsidRPr="00DE096C" w:rsidRDefault="00B67D7C" w:rsidP="00D45A46">
      <w:pPr>
        <w:jc w:val="both"/>
        <w:rPr>
          <w:bCs/>
          <w:color w:val="002060"/>
          <w:sz w:val="16"/>
          <w:szCs w:val="16"/>
        </w:rPr>
      </w:pPr>
      <w:r w:rsidRPr="00DE096C">
        <w:rPr>
          <w:bCs/>
          <w:color w:val="002060"/>
          <w:sz w:val="16"/>
          <w:szCs w:val="16"/>
        </w:rPr>
        <w:t xml:space="preserve">Бригада заградителей формировалась по мобилизации и состояла из вспомогательных судов флота оборудованных минными рельсами для постановки минных заграждений. На бригаду ставилась задача постановки оборонительных минных заграждений на подходах к Владивостоку, Николаевску, Корсакову посту. </w:t>
      </w:r>
    </w:p>
    <w:p w14:paraId="6B9CF3BB" w14:textId="77777777" w:rsidR="00B67D7C" w:rsidRPr="00DE096C" w:rsidRDefault="00B67D7C" w:rsidP="00D45A46">
      <w:pPr>
        <w:jc w:val="both"/>
        <w:rPr>
          <w:bCs/>
          <w:color w:val="002060"/>
          <w:sz w:val="16"/>
          <w:szCs w:val="16"/>
        </w:rPr>
      </w:pPr>
      <w:r w:rsidRPr="00DE096C">
        <w:rPr>
          <w:bCs/>
          <w:color w:val="002060"/>
          <w:sz w:val="16"/>
          <w:szCs w:val="16"/>
        </w:rPr>
        <w:t xml:space="preserve">На бригаду подводных лодок возлагалась задача прикрытия минно-заградительной операции, скрытная постановка минных банок на входных фарватерах японских военно-морских баз, ведение разведки на подступах к ним, поиск и уничтожение неприятельских военных судов. </w:t>
      </w:r>
    </w:p>
    <w:p w14:paraId="7F3F4FC1" w14:textId="77777777" w:rsidR="00B67D7C" w:rsidRPr="00DE096C" w:rsidRDefault="00B67D7C" w:rsidP="00D45A46">
      <w:pPr>
        <w:jc w:val="both"/>
        <w:rPr>
          <w:bCs/>
          <w:color w:val="002060"/>
          <w:sz w:val="16"/>
          <w:szCs w:val="16"/>
        </w:rPr>
      </w:pPr>
      <w:r w:rsidRPr="00DE096C">
        <w:rPr>
          <w:bCs/>
          <w:color w:val="002060"/>
          <w:sz w:val="16"/>
          <w:szCs w:val="16"/>
        </w:rPr>
        <w:t xml:space="preserve">На отряд пограничных судов в случае мобилизации возлагалась задача принять на борт и установить артиллерию, минные аппараты, запасы и укомплектоваться. После чего уже вспомогательные крейсера подлежали посылке в океан для действий согласно призовому праву в отношении нейтральных судов имеющих на борту военную контрабанду, уничтожения британских и японских торговых судов, а также японских каботажных и рыболовных судов на торговых путях, а также в прибрежных водах Японии. </w:t>
      </w:r>
    </w:p>
    <w:p w14:paraId="3AE3A503" w14:textId="77777777" w:rsidR="00B67D7C" w:rsidRPr="00DE096C" w:rsidRDefault="00B67D7C" w:rsidP="00D45A46">
      <w:pPr>
        <w:jc w:val="both"/>
        <w:rPr>
          <w:bCs/>
          <w:color w:val="002060"/>
          <w:sz w:val="16"/>
          <w:szCs w:val="16"/>
        </w:rPr>
      </w:pPr>
      <w:r w:rsidRPr="00DE096C">
        <w:rPr>
          <w:bCs/>
          <w:color w:val="002060"/>
          <w:sz w:val="16"/>
          <w:szCs w:val="16"/>
        </w:rPr>
        <w:t xml:space="preserve">На службу связи флота возлагалась задача по перехвату и дешифровании переговоров Японского и Британского флотов с целью анализа, выявления закономерностей и прогнозирования выходов в море и проведения последними наступательных операций. </w:t>
      </w:r>
    </w:p>
    <w:p w14:paraId="4A3E2E58" w14:textId="77777777" w:rsidR="00B67D7C" w:rsidRPr="00DE096C" w:rsidRDefault="00B67D7C" w:rsidP="00D45A46">
      <w:pPr>
        <w:jc w:val="both"/>
        <w:rPr>
          <w:bCs/>
          <w:color w:val="002060"/>
          <w:sz w:val="16"/>
          <w:szCs w:val="16"/>
        </w:rPr>
      </w:pPr>
      <w:r w:rsidRPr="00DE096C">
        <w:rPr>
          <w:bCs/>
          <w:color w:val="002060"/>
          <w:sz w:val="16"/>
          <w:szCs w:val="16"/>
        </w:rPr>
        <w:t xml:space="preserve">Порт-Артур </w:t>
      </w:r>
    </w:p>
    <w:p w14:paraId="4E84C008" w14:textId="77777777" w:rsidR="00B67D7C" w:rsidRPr="00DE096C" w:rsidRDefault="00B67D7C" w:rsidP="00D45A46">
      <w:pPr>
        <w:jc w:val="both"/>
        <w:rPr>
          <w:bCs/>
          <w:color w:val="002060"/>
          <w:sz w:val="16"/>
          <w:szCs w:val="16"/>
        </w:rPr>
      </w:pPr>
      <w:r w:rsidRPr="00DE096C">
        <w:rPr>
          <w:bCs/>
          <w:color w:val="002060"/>
          <w:sz w:val="16"/>
          <w:szCs w:val="16"/>
        </w:rPr>
        <w:t xml:space="preserve">На бригаду береговой обороны возлагались следующие задачи: оборона морской крепости Порт-Артур во взаимодействии с береговыми батареями и крейсерами и минной бригадой. Оказание артиллерийской поддержки своим военно-сухопутным силам на флангах Цзинчжоуской укрепленной линии. Пресечение попыток неприятельских сил высадить десанты непосредственно на территории Квантунского полуострова. </w:t>
      </w:r>
    </w:p>
    <w:p w14:paraId="55C7D97B" w14:textId="77777777" w:rsidR="00B67D7C" w:rsidRPr="00DE096C" w:rsidRDefault="00B67D7C" w:rsidP="00D45A46">
      <w:pPr>
        <w:jc w:val="both"/>
        <w:rPr>
          <w:bCs/>
          <w:color w:val="002060"/>
          <w:sz w:val="16"/>
          <w:szCs w:val="16"/>
        </w:rPr>
      </w:pPr>
      <w:r w:rsidRPr="00DE096C">
        <w:rPr>
          <w:bCs/>
          <w:color w:val="002060"/>
          <w:sz w:val="16"/>
          <w:szCs w:val="16"/>
        </w:rPr>
        <w:t xml:space="preserve">На бригаду крейсеров возлагались достаточно ограниченные задачи. Так ей вменялась обязанность во взаимодействии с бригадой береговой обороны прикрыть проведение силами вспомогательных минных заградителей и минной бригады проведение оборонительных минных постановок. Далее планировалось силами бригады в сопровождении эсминцев поставить наступательные минные заграждения в устье р. Ялу и у Бицзыво. После чего планировалось использовать крейсера для охраны подстпов к крепости, обеспечения развертывания и возвращения легких сил и при необходимости проведения минных постановок. Из состава бригады крейсеров и минной бригады формировалась быстроходная маневренная группа в составе крейсера "Боярин" и 9 ДЭМ для выполнения разведки, наступательных заградительных операций и поисковых операций. </w:t>
      </w:r>
    </w:p>
    <w:p w14:paraId="6EEF3712" w14:textId="77777777" w:rsidR="00B67D7C" w:rsidRPr="00DE096C" w:rsidRDefault="00B67D7C" w:rsidP="00D45A46">
      <w:pPr>
        <w:jc w:val="both"/>
        <w:rPr>
          <w:bCs/>
          <w:color w:val="002060"/>
          <w:sz w:val="16"/>
          <w:szCs w:val="16"/>
        </w:rPr>
      </w:pPr>
      <w:r w:rsidRPr="00DE096C">
        <w:rPr>
          <w:bCs/>
          <w:color w:val="002060"/>
          <w:sz w:val="16"/>
          <w:szCs w:val="16"/>
        </w:rPr>
        <w:t xml:space="preserve">На минную бригаду возлагались следующие задачи: несение дозорной службы, сопровождение крейсеров и броненосцев береговой обороны, выполнение как оборонительных, так и наступательных отдельных минных постановок. В зависимости от образа действий противника, на бригаду могла быть возложена задача атаковать неприятеля ночью торпедами при его подходе к крепости. Кроме того, во время самого сражения на подступах к Порт-Артуру бригада, смотря по обстоятельствам, должна была быть использована для противодействия миноносцам противника, для обстрела и уничтожения его тралящего каравана и для других целей. Кроме того, для активных действий против неприятеля совместно с быстроходным крейсером "Боярин" планировалось выделить 9-й дивизион эсминцев. </w:t>
      </w:r>
    </w:p>
    <w:p w14:paraId="6A20A340" w14:textId="77777777" w:rsidR="00B67D7C" w:rsidRPr="00DE096C" w:rsidRDefault="00B67D7C" w:rsidP="00D45A46">
      <w:pPr>
        <w:jc w:val="both"/>
        <w:rPr>
          <w:bCs/>
          <w:color w:val="002060"/>
          <w:sz w:val="16"/>
          <w:szCs w:val="16"/>
        </w:rPr>
      </w:pPr>
      <w:r w:rsidRPr="00DE096C">
        <w:rPr>
          <w:bCs/>
          <w:color w:val="002060"/>
          <w:sz w:val="16"/>
          <w:szCs w:val="16"/>
        </w:rPr>
        <w:t xml:space="preserve">На дивизион подводных лодок возлагалась задача обороны крепости путем проведения минных атак против военных и транспортных судов противника. Не исключалось и использование подводных лодок в наступательных действиях, но с целью сохранения ограниченного моторесурса предполагалось буксировать лодки миноносцами к районам проведения атак. </w:t>
      </w:r>
    </w:p>
    <w:p w14:paraId="0123B5E1" w14:textId="77777777" w:rsidR="00B67D7C" w:rsidRPr="00DE096C" w:rsidRDefault="00B67D7C" w:rsidP="00D45A46">
      <w:pPr>
        <w:jc w:val="both"/>
        <w:rPr>
          <w:bCs/>
          <w:color w:val="002060"/>
          <w:sz w:val="16"/>
          <w:szCs w:val="16"/>
        </w:rPr>
      </w:pPr>
      <w:r w:rsidRPr="00DE096C">
        <w:rPr>
          <w:bCs/>
          <w:color w:val="002060"/>
          <w:sz w:val="16"/>
          <w:szCs w:val="16"/>
        </w:rPr>
        <w:t xml:space="preserve">Германские военно-морские силы на Дальнем Востоке </w:t>
      </w:r>
    </w:p>
    <w:p w14:paraId="5205343B" w14:textId="77777777" w:rsidR="00B67D7C" w:rsidRPr="00DE096C" w:rsidRDefault="00B67D7C" w:rsidP="00D45A46">
      <w:pPr>
        <w:jc w:val="both"/>
        <w:rPr>
          <w:bCs/>
          <w:color w:val="002060"/>
          <w:sz w:val="16"/>
          <w:szCs w:val="16"/>
        </w:rPr>
      </w:pPr>
      <w:r w:rsidRPr="00DE096C">
        <w:rPr>
          <w:bCs/>
          <w:color w:val="002060"/>
          <w:sz w:val="16"/>
          <w:szCs w:val="16"/>
        </w:rPr>
        <w:t xml:space="preserve">Согласно русско-германским морским соглашениям в случае угрозы начала военных действий предполагался переход германских сил под оперативный контроль командующего Тихоокеанским флотом. При этом для пришедших в 1913 году на русский Дальний восток 5 линкоров-додредноутов типа "Брауншвейг" была подготовлена для стоянки б.Уллисс. Использовать линкоры предполагалось в качестве 3-й бригады эскадры линейных кораблей. Крейсерская же эскадра оставалась в Циндао, так как в случае угрозы возникновения боевых действий, крейсера предстояло использовать против вражеских коммуникаций. Для обеспечения </w:t>
      </w:r>
      <w:r w:rsidRPr="00DE096C">
        <w:rPr>
          <w:bCs/>
          <w:color w:val="002060"/>
          <w:sz w:val="16"/>
          <w:szCs w:val="16"/>
        </w:rPr>
        <w:lastRenderedPageBreak/>
        <w:t xml:space="preserve">бесперебойной связи и управления командующему флота, командирам дивизии и бригад линейных кораблей и броненосных крейсеров, командирам бригад крейсеров и дивизионов миноносцев командируются офицеры германского флота в качестве офицеров связи. Русские офицеры связи командируются в штабы командующего германской эскадры и на все линкоры и крейсера. В случае возникновения угрозы военных действий русско-германские силы на Дальнем Востоке переходят на использования специального шифра "Ост". </w:t>
      </w:r>
    </w:p>
    <w:p w14:paraId="2CB19DD1" w14:textId="77777777" w:rsidR="00B67D7C" w:rsidRPr="00DE096C" w:rsidRDefault="00B67D7C" w:rsidP="00D45A46">
      <w:pPr>
        <w:jc w:val="both"/>
        <w:rPr>
          <w:bCs/>
          <w:color w:val="002060"/>
          <w:sz w:val="16"/>
          <w:szCs w:val="16"/>
        </w:rPr>
      </w:pPr>
      <w:r w:rsidRPr="00DE096C">
        <w:rPr>
          <w:bCs/>
          <w:color w:val="002060"/>
          <w:sz w:val="16"/>
          <w:szCs w:val="16"/>
        </w:rPr>
        <w:t xml:space="preserve">Заключение </w:t>
      </w:r>
    </w:p>
    <w:p w14:paraId="72AB447B" w14:textId="6BC45C7C" w:rsidR="00B67D7C" w:rsidRPr="00DE096C" w:rsidRDefault="00B67D7C" w:rsidP="00D45A46">
      <w:pPr>
        <w:jc w:val="both"/>
        <w:rPr>
          <w:bCs/>
          <w:color w:val="002060"/>
          <w:sz w:val="16"/>
          <w:szCs w:val="16"/>
        </w:rPr>
      </w:pPr>
      <w:r w:rsidRPr="00DE096C">
        <w:rPr>
          <w:bCs/>
          <w:color w:val="002060"/>
          <w:sz w:val="16"/>
          <w:szCs w:val="16"/>
        </w:rPr>
        <w:t>Планы стратегического развертывания и использования Тихоокеанского флота опирались, прежде всего, на опыт победоносной русско-японской войны и предусматривали в целом активный образ действий. Формулируя задачи флота, морской генеральный штаб особо указывал, что главной задачей является принуждение Японии к миру на условии статуса кво. Тем не менее, следует отметить, что в рамках плана предусматривались достаточно жесткие блокадные действия сил Тихоокеанского флота и германских сил на Дальнем востоке, ставящие себе целью провоцирование голода и беспорядков в японской метрополии. Опорой же для операций русско-германских сил становилась морская крепость Владивосток, в укрепление которой были вложены за прошедшие с момента окончании русско-японской войны 10 лет, колоссальные средства. Достаточно сказать, что именно на острове Русский была установлена единственная на тот момент в России 14" береговая батарея. Кроме того, фланги крепости были усилены 12" башенными батареями. Получила развитие и гидроавиция. Так к концу 1913 года была создана гидроавиастанция под Владивостоком (12284).</w:t>
      </w:r>
    </w:p>
    <w:p w14:paraId="2F6F14BA" w14:textId="77777777" w:rsidR="00B67D7C" w:rsidRPr="00DE096C" w:rsidRDefault="00B67D7C" w:rsidP="00D45A46">
      <w:pPr>
        <w:jc w:val="both"/>
        <w:rPr>
          <w:bCs/>
          <w:color w:val="002060"/>
          <w:sz w:val="16"/>
          <w:szCs w:val="16"/>
        </w:rPr>
      </w:pPr>
    </w:p>
    <w:p w14:paraId="556DD950" w14:textId="77777777" w:rsidR="007A0148" w:rsidRPr="00DE096C" w:rsidRDefault="007A0148" w:rsidP="00D45A46">
      <w:pPr>
        <w:shd w:val="clear" w:color="auto" w:fill="FFFFFF"/>
        <w:jc w:val="both"/>
        <w:rPr>
          <w:bCs/>
          <w:i/>
          <w:color w:val="002060"/>
          <w:sz w:val="16"/>
          <w:szCs w:val="16"/>
        </w:rPr>
      </w:pPr>
      <w:r w:rsidRPr="00DE096C">
        <w:rPr>
          <w:bCs/>
          <w:i/>
          <w:color w:val="002060"/>
          <w:sz w:val="16"/>
          <w:szCs w:val="16"/>
        </w:rPr>
        <w:t>Авиация:</w:t>
      </w:r>
    </w:p>
    <w:p w14:paraId="7236A83A" w14:textId="77777777" w:rsidR="007A0148" w:rsidRPr="00DE096C" w:rsidRDefault="007A0148" w:rsidP="00D45A46">
      <w:pPr>
        <w:shd w:val="clear" w:color="auto" w:fill="FFFFFF"/>
        <w:jc w:val="both"/>
        <w:rPr>
          <w:bCs/>
          <w:i/>
          <w:color w:val="002060"/>
          <w:sz w:val="16"/>
          <w:szCs w:val="16"/>
        </w:rPr>
      </w:pPr>
    </w:p>
    <w:p w14:paraId="35E0B4ED" w14:textId="64CB39E5" w:rsidR="007A0148" w:rsidRPr="00DE096C" w:rsidRDefault="007A0148" w:rsidP="00D45A46">
      <w:pPr>
        <w:jc w:val="both"/>
        <w:rPr>
          <w:bCs/>
          <w:color w:val="002060"/>
          <w:sz w:val="16"/>
          <w:szCs w:val="16"/>
        </w:rPr>
      </w:pPr>
      <w:r w:rsidRPr="00DE096C">
        <w:rPr>
          <w:bCs/>
          <w:color w:val="002060"/>
          <w:sz w:val="16"/>
          <w:szCs w:val="16"/>
        </w:rPr>
        <w:t xml:space="preserve">9 </w:t>
      </w:r>
      <w:r w:rsidR="00025019" w:rsidRPr="00DE096C">
        <w:rPr>
          <w:bCs/>
          <w:color w:val="002060"/>
          <w:sz w:val="16"/>
          <w:szCs w:val="16"/>
        </w:rPr>
        <w:t xml:space="preserve">(22) </w:t>
      </w:r>
      <w:r w:rsidRPr="00DE096C">
        <w:rPr>
          <w:bCs/>
          <w:color w:val="002060"/>
          <w:sz w:val="16"/>
          <w:szCs w:val="16"/>
        </w:rPr>
        <w:t>февраля 1914 г. начальник ГВТУ писал Военному министру: «Я полагаю, что тот орган, который снабжает войска техническими средствами, должен и делом применения их руководить, на что Военный министр В.А. Сухомлинов ответил, что ведению ГВТУ подлежат: общее руководство технической подготовкой, учет материальных запасов, наблюдение за совершенствованием специального имущества, утверждение учебных программ и рассмотрение отчетов по специальному техническому обучению, а ведению ГУ ГШ подлежит «проверка, насколько подготовка этих частей отвечает тем требованиям, кои будут предъявлены к ним как в мирное, так и в военное время, при совместном их действии с частями других родов войск» (19566).</w:t>
      </w:r>
    </w:p>
    <w:p w14:paraId="0889CBAE" w14:textId="77777777" w:rsidR="007A0148" w:rsidRPr="00DE096C" w:rsidRDefault="007A0148" w:rsidP="00D45A46">
      <w:pPr>
        <w:jc w:val="both"/>
        <w:rPr>
          <w:bCs/>
          <w:color w:val="002060"/>
          <w:sz w:val="16"/>
          <w:szCs w:val="16"/>
        </w:rPr>
      </w:pPr>
    </w:p>
    <w:p w14:paraId="2957950C"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w:t>
      </w:r>
    </w:p>
    <w:p w14:paraId="1FFDC81A" w14:textId="77777777" w:rsidR="00B67D7C" w:rsidRPr="00DE096C" w:rsidRDefault="00B67D7C" w:rsidP="00D45A46">
      <w:pPr>
        <w:shd w:val="clear" w:color="auto" w:fill="FFFFFF"/>
        <w:jc w:val="both"/>
        <w:rPr>
          <w:bCs/>
          <w:i/>
          <w:color w:val="002060"/>
          <w:sz w:val="16"/>
          <w:szCs w:val="16"/>
        </w:rPr>
      </w:pPr>
    </w:p>
    <w:p w14:paraId="65F23FA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10 (23) февраля 1914 года Киевское общество воздухо</w:t>
      </w:r>
      <w:r w:rsidRPr="00DE096C">
        <w:rPr>
          <w:bCs/>
          <w:color w:val="002060"/>
          <w:sz w:val="16"/>
          <w:szCs w:val="16"/>
        </w:rPr>
        <w:softHyphen/>
        <w:t>плавания чествовало П.Н.Нестерова за научную разработку вопроса о глубо</w:t>
      </w:r>
      <w:r w:rsidRPr="00DE096C">
        <w:rPr>
          <w:bCs/>
          <w:color w:val="002060"/>
          <w:sz w:val="16"/>
          <w:szCs w:val="16"/>
        </w:rPr>
        <w:softHyphen/>
        <w:t>ких кренах и за совершен</w:t>
      </w:r>
      <w:r w:rsidRPr="00DE096C">
        <w:rPr>
          <w:bCs/>
          <w:color w:val="002060"/>
          <w:sz w:val="16"/>
          <w:szCs w:val="16"/>
        </w:rPr>
        <w:softHyphen/>
        <w:t>ную им «мертвую петлю», присудив ему золотую ме</w:t>
      </w:r>
      <w:r w:rsidRPr="00DE096C">
        <w:rPr>
          <w:bCs/>
          <w:color w:val="002060"/>
          <w:sz w:val="16"/>
          <w:szCs w:val="16"/>
        </w:rPr>
        <w:softHyphen/>
        <w:t>даль общества. Позже Киев</w:t>
      </w:r>
      <w:r w:rsidRPr="00DE096C">
        <w:rPr>
          <w:bCs/>
          <w:color w:val="002060"/>
          <w:sz w:val="16"/>
          <w:szCs w:val="16"/>
        </w:rPr>
        <w:softHyphen/>
        <w:t>ское городское самоуправ</w:t>
      </w:r>
      <w:r w:rsidRPr="00DE096C">
        <w:rPr>
          <w:bCs/>
          <w:color w:val="002060"/>
          <w:sz w:val="16"/>
          <w:szCs w:val="16"/>
        </w:rPr>
        <w:softHyphen/>
        <w:t>ление от имени города Кие</w:t>
      </w:r>
      <w:r w:rsidRPr="00DE096C">
        <w:rPr>
          <w:bCs/>
          <w:color w:val="002060"/>
          <w:sz w:val="16"/>
          <w:szCs w:val="16"/>
        </w:rPr>
        <w:softHyphen/>
        <w:t>ва вручает отважному пилоту-новатору памятный золотой жетон, с которым Нестеров никогда не расста</w:t>
      </w:r>
      <w:r w:rsidRPr="00DE096C">
        <w:rPr>
          <w:bCs/>
          <w:color w:val="002060"/>
          <w:sz w:val="16"/>
          <w:szCs w:val="16"/>
        </w:rPr>
        <w:softHyphen/>
        <w:t>вался.</w:t>
      </w:r>
    </w:p>
    <w:p w14:paraId="1980919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После объявления вой</w:t>
      </w:r>
      <w:r w:rsidRPr="00DE096C">
        <w:rPr>
          <w:bCs/>
          <w:color w:val="002060"/>
          <w:sz w:val="16"/>
          <w:szCs w:val="16"/>
        </w:rPr>
        <w:softHyphen/>
        <w:t>ны Нестеров вместе со сво</w:t>
      </w:r>
      <w:r w:rsidRPr="00DE096C">
        <w:rPr>
          <w:bCs/>
          <w:color w:val="002060"/>
          <w:sz w:val="16"/>
          <w:szCs w:val="16"/>
        </w:rPr>
        <w:softHyphen/>
        <w:t>им авиаотрядом 26 июля 1914 года отбыл из Киева в действующую армию. 11 авиаотряд принимал участие во взятии Львова, причем Нестеров лично совершил ряд воздушных разведок Львова, произвел одну из первых бомбардировок приспособленными для этого артиллерийскими снарядами (553).</w:t>
      </w:r>
    </w:p>
    <w:p w14:paraId="745EBA0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К 1914 году всю «огневую мощь» аэропланов со</w:t>
      </w:r>
      <w:r w:rsidRPr="00DE096C">
        <w:rPr>
          <w:bCs/>
          <w:color w:val="002060"/>
          <w:sz w:val="16"/>
          <w:szCs w:val="16"/>
        </w:rPr>
        <w:softHyphen/>
        <w:t>ставляли личные револьверы летчиков. Встретившись в воздухе, противники обменивались редкими выстре</w:t>
      </w:r>
      <w:r w:rsidRPr="00DE096C">
        <w:rPr>
          <w:bCs/>
          <w:color w:val="002060"/>
          <w:sz w:val="16"/>
          <w:szCs w:val="16"/>
        </w:rPr>
        <w:softHyphen/>
        <w:t>лами или, поднявшись выше вражеского самолета, сб</w:t>
      </w:r>
      <w:r w:rsidRPr="00DE096C">
        <w:rPr>
          <w:bCs/>
          <w:color w:val="002060"/>
          <w:sz w:val="16"/>
          <w:szCs w:val="16"/>
        </w:rPr>
        <w:softHyphen/>
        <w:t>расывали на тот бомбы. Подобный способ ведения воздушного боя был крайне неэффективен, а снаб</w:t>
      </w:r>
      <w:r w:rsidRPr="00DE096C">
        <w:rPr>
          <w:bCs/>
          <w:color w:val="002060"/>
          <w:sz w:val="16"/>
          <w:szCs w:val="16"/>
        </w:rPr>
        <w:softHyphen/>
        <w:t>дить аэропланы пулеметами правительства воюющих держав, в том числе и России, не спешили.</w:t>
      </w:r>
    </w:p>
    <w:p w14:paraId="71138CC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Выход из сложившегося положения Нестеров пытался найти, оснастив самолеты своего отряда ря</w:t>
      </w:r>
      <w:r w:rsidRPr="00DE096C">
        <w:rPr>
          <w:bCs/>
          <w:color w:val="002060"/>
          <w:sz w:val="16"/>
          <w:szCs w:val="16"/>
        </w:rPr>
        <w:softHyphen/>
        <w:t>дом приспособлений собственной конструкции.</w:t>
      </w:r>
    </w:p>
    <w:p w14:paraId="160BF62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Для разрушения оболочки дирижабля установил в хвостовой части аэроплана «нож-пилу», а для пора</w:t>
      </w:r>
      <w:r w:rsidRPr="00DE096C">
        <w:rPr>
          <w:bCs/>
          <w:color w:val="002060"/>
          <w:sz w:val="16"/>
          <w:szCs w:val="16"/>
        </w:rPr>
        <w:softHyphen/>
        <w:t>жения воздушного винта неприятельского самолета — длинный трос с грузом на конце в виде «кошки». Кроме того, для воздушного боя Петр Николаевич придумал боевой маневр «таран» (553).</w:t>
      </w:r>
    </w:p>
    <w:p w14:paraId="63EFCE06" w14:textId="77777777" w:rsidR="00B67D7C" w:rsidRPr="00DE096C" w:rsidRDefault="00B67D7C" w:rsidP="00D45A46">
      <w:pPr>
        <w:shd w:val="clear" w:color="auto" w:fill="FFFFFF"/>
        <w:jc w:val="both"/>
        <w:rPr>
          <w:bCs/>
          <w:color w:val="002060"/>
          <w:sz w:val="16"/>
          <w:szCs w:val="16"/>
        </w:rPr>
      </w:pPr>
    </w:p>
    <w:p w14:paraId="49BD208E" w14:textId="7F8ED78C" w:rsidR="005E3A34" w:rsidRPr="00DE096C" w:rsidRDefault="005E3A34" w:rsidP="00D45A46">
      <w:pPr>
        <w:shd w:val="clear" w:color="auto" w:fill="FFFFFF"/>
        <w:jc w:val="both"/>
        <w:rPr>
          <w:bCs/>
          <w:i/>
          <w:color w:val="002060"/>
          <w:sz w:val="16"/>
          <w:szCs w:val="16"/>
        </w:rPr>
      </w:pPr>
      <w:r w:rsidRPr="00DE096C">
        <w:rPr>
          <w:bCs/>
          <w:i/>
          <w:color w:val="002060"/>
          <w:sz w:val="16"/>
          <w:szCs w:val="16"/>
        </w:rPr>
        <w:t>Авиация и воздухоплавание Англии:</w:t>
      </w:r>
    </w:p>
    <w:p w14:paraId="7796B50F" w14:textId="77777777" w:rsidR="005E3A34" w:rsidRPr="00DE096C" w:rsidRDefault="005E3A34" w:rsidP="00D45A46">
      <w:pPr>
        <w:shd w:val="clear" w:color="auto" w:fill="FFFFFF"/>
        <w:jc w:val="both"/>
        <w:rPr>
          <w:bCs/>
          <w:i/>
          <w:color w:val="002060"/>
          <w:sz w:val="16"/>
          <w:szCs w:val="16"/>
        </w:rPr>
      </w:pPr>
    </w:p>
    <w:p w14:paraId="62119716" w14:textId="77777777" w:rsidR="005E3A34" w:rsidRPr="00DE096C" w:rsidRDefault="005E3A34" w:rsidP="00D45A46">
      <w:pPr>
        <w:jc w:val="both"/>
        <w:rPr>
          <w:bCs/>
          <w:color w:val="002060"/>
          <w:sz w:val="16"/>
          <w:szCs w:val="16"/>
        </w:rPr>
      </w:pPr>
      <w:r w:rsidRPr="00DE096C">
        <w:rPr>
          <w:bCs/>
          <w:color w:val="002060"/>
          <w:sz w:val="16"/>
          <w:szCs w:val="16"/>
        </w:rPr>
        <w:t>10 (23) февраля 1914 первый полет Бристоль скаут (20337).</w:t>
      </w:r>
    </w:p>
    <w:p w14:paraId="57DE1BBB" w14:textId="77777777" w:rsidR="005E3A34" w:rsidRPr="00DE096C" w:rsidRDefault="005E3A34" w:rsidP="00D45A46">
      <w:pPr>
        <w:jc w:val="both"/>
        <w:rPr>
          <w:bCs/>
          <w:color w:val="002060"/>
          <w:sz w:val="16"/>
          <w:szCs w:val="16"/>
        </w:rPr>
      </w:pPr>
    </w:p>
    <w:p w14:paraId="01BFA66F"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3060932B" w14:textId="77777777" w:rsidR="00B67D7C" w:rsidRPr="00DE096C" w:rsidRDefault="00B67D7C" w:rsidP="00D45A46">
      <w:pPr>
        <w:shd w:val="clear" w:color="auto" w:fill="FFFFFF"/>
        <w:jc w:val="both"/>
        <w:rPr>
          <w:bCs/>
          <w:i/>
          <w:color w:val="002060"/>
          <w:sz w:val="16"/>
          <w:szCs w:val="16"/>
        </w:rPr>
      </w:pPr>
    </w:p>
    <w:p w14:paraId="03FA9DD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11 (24) февраля 1914 г. «Дукс» проинспектировала комиссия ГВТУ с уча</w:t>
      </w:r>
      <w:r w:rsidRPr="00DE096C">
        <w:rPr>
          <w:bCs/>
          <w:color w:val="002060"/>
          <w:sz w:val="16"/>
          <w:szCs w:val="16"/>
        </w:rPr>
        <w:softHyphen/>
        <w:t>стием представителя фирмы инженера Жануара с целью определения качества деталей, изготовленных заводом по военному заказу. В акте отмечалось высокое качество продукции:</w:t>
      </w:r>
    </w:p>
    <w:p w14:paraId="4086C51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 По сличении обтянутых материей крыльев завода «Дукс» с... образцом крыла конкурсного аппарата... тако</w:t>
      </w:r>
      <w:r w:rsidRPr="00DE096C">
        <w:rPr>
          <w:bCs/>
          <w:color w:val="002060"/>
          <w:sz w:val="16"/>
          <w:szCs w:val="16"/>
        </w:rPr>
        <w:softHyphen/>
        <w:t>вые оказались изготовленными в полном соответствии с помянутым образцом... В отношении доброкачественности материалов и чистоты работы, крылья завода «Дукс» зна</w:t>
      </w:r>
      <w:r w:rsidRPr="00DE096C">
        <w:rPr>
          <w:bCs/>
          <w:color w:val="002060"/>
          <w:sz w:val="16"/>
          <w:szCs w:val="16"/>
        </w:rPr>
        <w:softHyphen/>
        <w:t>чительно превосходят французский образец.</w:t>
      </w:r>
    </w:p>
    <w:p w14:paraId="0D4481E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 ...Крыло изготовления завода «Дукс» легче образцо</w:t>
      </w:r>
      <w:r w:rsidRPr="00DE096C">
        <w:rPr>
          <w:bCs/>
          <w:color w:val="002060"/>
          <w:sz w:val="16"/>
          <w:szCs w:val="16"/>
        </w:rPr>
        <w:softHyphen/>
        <w:t>вого на 3 фунта...</w:t>
      </w:r>
    </w:p>
    <w:p w14:paraId="1837BC9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3. ...Изготовленные заводом «Дукс» дуги шасси, при высоких качествах материала и работы, оказались легче образцовых на 2 1/4 фунта».</w:t>
      </w:r>
    </w:p>
    <w:p w14:paraId="2D4A4ED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После такой высокой оценки Ю.А.Меллер послал на</w:t>
      </w:r>
      <w:r w:rsidRPr="00DE096C">
        <w:rPr>
          <w:bCs/>
          <w:color w:val="002060"/>
          <w:sz w:val="16"/>
          <w:szCs w:val="16"/>
        </w:rPr>
        <w:softHyphen/>
        <w:t>чальнику вновь образованного ГВТУ письмо. Докладывая о состоянии и качестве постройки самолетов на «Дуксе», он сообщал о готовности завода принять от военного ве</w:t>
      </w:r>
      <w:r w:rsidRPr="00DE096C">
        <w:rPr>
          <w:bCs/>
          <w:color w:val="002060"/>
          <w:sz w:val="16"/>
          <w:szCs w:val="16"/>
        </w:rPr>
        <w:softHyphen/>
        <w:t>домства дополнительные заказы на постройку самолетов: «Аэропланы работы общества «Дукс» в военных отрядах, школах и в Отделе воздушного флота признаны лучшими... Все русские рекорды поставлены на наших аппаратах...»</w:t>
      </w:r>
    </w:p>
    <w:p w14:paraId="16BE3B4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При этом Меллер считал несправедливым распределение заказов, при котором заводу «Дукс» досталось бы около 100 «Моранов» и «Фарманов», а на долю конкурентов пришлось бы: ПРТВ — 80 «Депердюссенов» и «Фарма</w:t>
      </w:r>
      <w:r w:rsidRPr="00DE096C">
        <w:rPr>
          <w:bCs/>
          <w:color w:val="002060"/>
          <w:sz w:val="16"/>
          <w:szCs w:val="16"/>
        </w:rPr>
        <w:softHyphen/>
        <w:t>нов», заводу В.А.Лебедева — 35 «Депердюссенов».</w:t>
      </w:r>
    </w:p>
    <w:p w14:paraId="1AF4279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Любопытно, что владелец «Дукса» фактически отказы</w:t>
      </w:r>
      <w:r w:rsidRPr="00DE096C">
        <w:rPr>
          <w:bCs/>
          <w:color w:val="002060"/>
          <w:sz w:val="16"/>
          <w:szCs w:val="16"/>
        </w:rPr>
        <w:softHyphen/>
        <w:t>вался от новых «Депердюссенов», предпочитая им давно освоенные «Фарманы». Похоже, что несмотря на столь лестный недавний отзыв, дела с постройкой «Депердюссе</w:t>
      </w:r>
      <w:r w:rsidRPr="00DE096C">
        <w:rPr>
          <w:bCs/>
          <w:color w:val="002060"/>
          <w:sz w:val="16"/>
          <w:szCs w:val="16"/>
        </w:rPr>
        <w:softHyphen/>
        <w:t>нов» шли далеко не благополучно (9651).</w:t>
      </w:r>
    </w:p>
    <w:p w14:paraId="239EE8A7" w14:textId="77777777" w:rsidR="00B67D7C" w:rsidRPr="00DE096C" w:rsidRDefault="00B67D7C" w:rsidP="00D45A46">
      <w:pPr>
        <w:shd w:val="clear" w:color="auto" w:fill="FFFFFF"/>
        <w:jc w:val="both"/>
        <w:rPr>
          <w:bCs/>
          <w:color w:val="002060"/>
          <w:sz w:val="16"/>
          <w:szCs w:val="16"/>
        </w:rPr>
      </w:pPr>
    </w:p>
    <w:p w14:paraId="225015A1" w14:textId="6D02A809" w:rsidR="00477188" w:rsidRPr="00DE096C" w:rsidRDefault="00477188" w:rsidP="00D45A46">
      <w:pPr>
        <w:pStyle w:val="ae"/>
        <w:shd w:val="clear" w:color="auto" w:fill="FFFFFF"/>
        <w:spacing w:before="0" w:beforeAutospacing="0" w:after="0" w:afterAutospacing="0"/>
        <w:jc w:val="both"/>
        <w:rPr>
          <w:bCs/>
          <w:color w:val="002060"/>
          <w:sz w:val="16"/>
          <w:szCs w:val="16"/>
        </w:rPr>
      </w:pPr>
      <w:r w:rsidRPr="00DE096C">
        <w:rPr>
          <w:bCs/>
          <w:color w:val="002060"/>
          <w:sz w:val="16"/>
          <w:szCs w:val="16"/>
        </w:rPr>
        <w:t xml:space="preserve">11 </w:t>
      </w:r>
      <w:r w:rsidR="00025019" w:rsidRPr="00DE096C">
        <w:rPr>
          <w:bCs/>
          <w:color w:val="002060"/>
          <w:sz w:val="16"/>
          <w:szCs w:val="16"/>
        </w:rPr>
        <w:t xml:space="preserve">(24) </w:t>
      </w:r>
      <w:r w:rsidRPr="00DE096C">
        <w:rPr>
          <w:bCs/>
          <w:color w:val="002060"/>
          <w:sz w:val="16"/>
          <w:szCs w:val="16"/>
        </w:rPr>
        <w:t>февраля 1914 года на завод Дукс, которому в 1913 году дали задание изготовить 10 «Фарманов» и «Депердюссенов», часть из который оснастили русскими моторами «Калеп», изготовленными в Риге, была направлена комиссия военно-технического управления. Она составила акт, отметив высокое качество работ. Было замечено, что дуксовские крылья легче и прочнее французских. Дуги шасси также значительно легче и совершеннее. Комиссия согласилась с предложением завода допустить для фанерной обшивки фезюляжей вместо африканского тополя отечественную липу, что удешевит изделия (19826).</w:t>
      </w:r>
    </w:p>
    <w:p w14:paraId="755A757C" w14:textId="77777777" w:rsidR="00477188" w:rsidRPr="00DE096C" w:rsidRDefault="00477188" w:rsidP="00D45A46">
      <w:pPr>
        <w:pStyle w:val="ae"/>
        <w:shd w:val="clear" w:color="auto" w:fill="FFFFFF"/>
        <w:spacing w:before="0" w:beforeAutospacing="0" w:after="0" w:afterAutospacing="0"/>
        <w:jc w:val="both"/>
        <w:rPr>
          <w:bCs/>
          <w:color w:val="002060"/>
          <w:sz w:val="16"/>
          <w:szCs w:val="16"/>
        </w:rPr>
      </w:pPr>
    </w:p>
    <w:p w14:paraId="2A5A1880" w14:textId="163B9947" w:rsidR="007A0148" w:rsidRPr="00DE096C" w:rsidRDefault="007A0148" w:rsidP="00D45A46">
      <w:pPr>
        <w:pStyle w:val="2"/>
        <w:spacing w:before="0" w:after="0"/>
        <w:jc w:val="both"/>
        <w:rPr>
          <w:b w:val="0"/>
          <w:bCs/>
          <w:color w:val="002060"/>
          <w:sz w:val="16"/>
          <w:szCs w:val="16"/>
        </w:rPr>
      </w:pPr>
      <w:r w:rsidRPr="00DE096C">
        <w:rPr>
          <w:b w:val="0"/>
          <w:bCs/>
          <w:color w:val="002060"/>
          <w:sz w:val="16"/>
          <w:szCs w:val="16"/>
        </w:rPr>
        <w:t xml:space="preserve">11 </w:t>
      </w:r>
      <w:r w:rsidR="00025019" w:rsidRPr="00DE096C">
        <w:rPr>
          <w:b w:val="0"/>
          <w:bCs/>
          <w:color w:val="002060"/>
          <w:sz w:val="16"/>
          <w:szCs w:val="16"/>
        </w:rPr>
        <w:t xml:space="preserve">(24) </w:t>
      </w:r>
      <w:r w:rsidRPr="00DE096C">
        <w:rPr>
          <w:b w:val="0"/>
          <w:bCs/>
          <w:color w:val="002060"/>
          <w:sz w:val="16"/>
          <w:szCs w:val="16"/>
        </w:rPr>
        <w:t xml:space="preserve">февраля 1914 г. завод «Дукс» проинспектировала комиссия военно-технического управления с участием представителя французской фирмы </w:t>
      </w:r>
      <w:r w:rsidRPr="00DE096C">
        <w:rPr>
          <w:b w:val="0"/>
          <w:bCs/>
          <w:color w:val="002060"/>
          <w:sz w:val="16"/>
          <w:szCs w:val="16"/>
          <w:lang w:val="en-US"/>
        </w:rPr>
        <w:t>SPAD</w:t>
      </w:r>
      <w:r w:rsidRPr="00DE096C">
        <w:rPr>
          <w:b w:val="0"/>
          <w:bCs/>
          <w:color w:val="002060"/>
          <w:sz w:val="16"/>
          <w:szCs w:val="16"/>
        </w:rPr>
        <w:t xml:space="preserve"> инженера Жануара. В ее задачи входил осмотр и определение качества деталей самолетов, изготовленных заводом по военному заказу. В составленном акте отмечалось высокое качество продукции:</w:t>
      </w:r>
    </w:p>
    <w:p w14:paraId="5D6AA31E" w14:textId="77777777" w:rsidR="007A0148" w:rsidRPr="00DE096C" w:rsidRDefault="007A0148" w:rsidP="00D45A46">
      <w:pPr>
        <w:pStyle w:val="2"/>
        <w:spacing w:before="0" w:after="0"/>
        <w:jc w:val="both"/>
        <w:rPr>
          <w:b w:val="0"/>
          <w:bCs/>
          <w:color w:val="002060"/>
          <w:sz w:val="16"/>
          <w:szCs w:val="16"/>
        </w:rPr>
      </w:pPr>
      <w:r w:rsidRPr="00DE096C">
        <w:rPr>
          <w:b w:val="0"/>
          <w:bCs/>
          <w:color w:val="002060"/>
          <w:sz w:val="16"/>
          <w:szCs w:val="16"/>
        </w:rPr>
        <w:t>«1. По сличении обтянутых материей крыльев завода «Дукс» с имеющимся там образцом крыла конкурсного аппарата 1913 года, таковые оказались изготовленными в полном соответствии с помянутым образцом как по конструкции, так и по общему характеру выделки. При этом, в отношении доброкачественности материалов и чистоты работы, крылья завода «Дукс» значительно превосходят французский образец.</w:t>
      </w:r>
    </w:p>
    <w:p w14:paraId="5F008DB6" w14:textId="77777777" w:rsidR="007A0148" w:rsidRPr="00DE096C" w:rsidRDefault="007A0148" w:rsidP="00D45A46">
      <w:pPr>
        <w:pStyle w:val="2"/>
        <w:spacing w:before="0" w:after="0"/>
        <w:jc w:val="both"/>
        <w:rPr>
          <w:b w:val="0"/>
          <w:bCs/>
          <w:color w:val="002060"/>
          <w:sz w:val="16"/>
          <w:szCs w:val="16"/>
        </w:rPr>
      </w:pPr>
      <w:r w:rsidRPr="00DE096C">
        <w:rPr>
          <w:b w:val="0"/>
          <w:bCs/>
          <w:color w:val="002060"/>
          <w:sz w:val="16"/>
          <w:szCs w:val="16"/>
        </w:rPr>
        <w:t>2. Данные взвешивания показали, что крыло изготовления завода «Дукс» легче образцового на 3 фунта, означенная разница представляется вполне объяснимою, принимая во внимание колебание удельных весов даже для одной и той же породы дерева, в зависимости от условий месторождения леса.</w:t>
      </w:r>
      <w:r w:rsidRPr="00DE096C">
        <w:rPr>
          <w:b w:val="0"/>
          <w:bCs/>
          <w:color w:val="002060"/>
          <w:sz w:val="16"/>
          <w:szCs w:val="16"/>
        </w:rPr>
        <w:t> </w:t>
      </w:r>
    </w:p>
    <w:p w14:paraId="33497AD3" w14:textId="77777777" w:rsidR="007A0148" w:rsidRPr="00DE096C" w:rsidRDefault="007A0148" w:rsidP="00D45A46">
      <w:pPr>
        <w:pStyle w:val="2"/>
        <w:spacing w:before="0" w:after="0"/>
        <w:jc w:val="both"/>
        <w:rPr>
          <w:b w:val="0"/>
          <w:bCs/>
          <w:color w:val="002060"/>
          <w:sz w:val="16"/>
          <w:szCs w:val="16"/>
        </w:rPr>
      </w:pPr>
      <w:r w:rsidRPr="00DE096C">
        <w:rPr>
          <w:b w:val="0"/>
          <w:bCs/>
          <w:color w:val="002060"/>
          <w:sz w:val="16"/>
          <w:szCs w:val="16"/>
        </w:rPr>
        <w:t>3. Равным образом и по тем же вышеуказанным причинам, изготовленные заводом «Дукс» дуги шасси, при высоких качествах материала и работы, оказались легче образцовых на ? фунта.</w:t>
      </w:r>
    </w:p>
    <w:p w14:paraId="24F9C639" w14:textId="77777777" w:rsidR="007A0148" w:rsidRPr="00DE096C" w:rsidRDefault="007A0148" w:rsidP="00D45A46">
      <w:pPr>
        <w:pStyle w:val="2"/>
        <w:spacing w:before="0" w:after="0"/>
        <w:jc w:val="both"/>
        <w:rPr>
          <w:b w:val="0"/>
          <w:bCs/>
          <w:color w:val="002060"/>
          <w:sz w:val="16"/>
          <w:szCs w:val="16"/>
        </w:rPr>
      </w:pPr>
      <w:r w:rsidRPr="00DE096C">
        <w:rPr>
          <w:b w:val="0"/>
          <w:bCs/>
          <w:color w:val="002060"/>
          <w:sz w:val="16"/>
          <w:szCs w:val="16"/>
        </w:rPr>
        <w:t>4. По возбужденному заводом вопросу о породе дерева для фанерной обшивки фюзеляжа, признано возможным допустить употребление для этой цели липы вместо африканского тополя, как сие вообще разрешено для прочих частей аэроплана; предложение же завода применить для помянутой фанеры клеи — отклонено, вследствие хрупкости этой породы и несоответствия ее для означенных поделок.» (15464).</w:t>
      </w:r>
    </w:p>
    <w:p w14:paraId="1D363CD2" w14:textId="77777777" w:rsidR="007A0148" w:rsidRPr="00DE096C" w:rsidRDefault="007A0148" w:rsidP="00D45A46">
      <w:pPr>
        <w:pStyle w:val="2"/>
        <w:spacing w:before="0" w:after="0"/>
        <w:jc w:val="both"/>
        <w:rPr>
          <w:b w:val="0"/>
          <w:bCs/>
          <w:color w:val="002060"/>
          <w:sz w:val="16"/>
          <w:szCs w:val="16"/>
        </w:rPr>
      </w:pPr>
    </w:p>
    <w:p w14:paraId="44C7FC09" w14:textId="06D9D21E" w:rsidR="00B67D7C" w:rsidRPr="00DE096C" w:rsidRDefault="00B67D7C" w:rsidP="00D45A46">
      <w:pPr>
        <w:shd w:val="clear" w:color="auto" w:fill="FFFFFF"/>
        <w:jc w:val="both"/>
        <w:rPr>
          <w:bCs/>
          <w:color w:val="002060"/>
          <w:sz w:val="16"/>
          <w:szCs w:val="16"/>
        </w:rPr>
      </w:pPr>
      <w:r w:rsidRPr="00DE096C">
        <w:rPr>
          <w:bCs/>
          <w:color w:val="002060"/>
          <w:sz w:val="16"/>
          <w:szCs w:val="16"/>
        </w:rPr>
        <w:t>11-13 (24-2</w:t>
      </w:r>
      <w:r w:rsidR="00025019" w:rsidRPr="00DE096C">
        <w:rPr>
          <w:bCs/>
          <w:color w:val="002060"/>
          <w:sz w:val="16"/>
          <w:szCs w:val="16"/>
        </w:rPr>
        <w:t>6</w:t>
      </w:r>
      <w:r w:rsidRPr="00DE096C">
        <w:rPr>
          <w:bCs/>
          <w:color w:val="002060"/>
          <w:sz w:val="16"/>
          <w:szCs w:val="16"/>
        </w:rPr>
        <w:t>) февраля 1914 И.И.Сикорский на самолете "Илья Муромец” со</w:t>
      </w:r>
      <w:r w:rsidRPr="00DE096C">
        <w:rPr>
          <w:bCs/>
          <w:color w:val="002060"/>
          <w:sz w:val="16"/>
          <w:szCs w:val="16"/>
        </w:rPr>
        <w:softHyphen/>
        <w:t>вершил три выдающихся полета: 11-го поднял 14 пассажиров на высоту 200 м , 12-го поднял 15 пассажиров с собакой на высоту 300 м, что явилось новым мировым рекордом, так как с таким количеством пассажиров еще никто не поднимался. Полет продолжался 18 минут. 13-го поднял 7 пассажиров на высоту 950 м и держался в воздухе 2 ч. 6 мин., что также было мировым достижением как по высоте, так и по продолжительности полета с таким количеством пассажиров. ("Речь". 1914 г. 13 февраля; "Новое время</w:t>
      </w:r>
      <w:r w:rsidRPr="00DE096C">
        <w:rPr>
          <w:bCs/>
          <w:color w:val="002060"/>
          <w:sz w:val="16"/>
          <w:szCs w:val="16"/>
          <w:vertAlign w:val="superscript"/>
        </w:rPr>
        <w:t>1</w:t>
      </w:r>
      <w:r w:rsidRPr="00DE096C">
        <w:rPr>
          <w:bCs/>
          <w:color w:val="002060"/>
          <w:sz w:val="16"/>
          <w:szCs w:val="16"/>
        </w:rPr>
        <w:t>''. 1914 г. 15 февраля; "Воздухоплаватель". 1914 г. февраль-март).</w:t>
      </w:r>
    </w:p>
    <w:p w14:paraId="471CC481" w14:textId="77777777" w:rsidR="00B67D7C" w:rsidRPr="00DE096C" w:rsidRDefault="00B67D7C" w:rsidP="00D45A46">
      <w:pPr>
        <w:shd w:val="clear" w:color="auto" w:fill="FFFFFF"/>
        <w:jc w:val="both"/>
        <w:rPr>
          <w:bCs/>
          <w:color w:val="002060"/>
          <w:sz w:val="16"/>
          <w:szCs w:val="16"/>
        </w:rPr>
      </w:pPr>
    </w:p>
    <w:p w14:paraId="3F395F48" w14:textId="77777777" w:rsidR="0039627F" w:rsidRPr="00DE096C" w:rsidRDefault="0039627F" w:rsidP="00D45A46">
      <w:pPr>
        <w:jc w:val="both"/>
        <w:rPr>
          <w:bCs/>
          <w:color w:val="002060"/>
          <w:sz w:val="16"/>
          <w:szCs w:val="16"/>
        </w:rPr>
      </w:pPr>
      <w:r w:rsidRPr="00DE096C">
        <w:rPr>
          <w:bCs/>
          <w:color w:val="002060"/>
          <w:sz w:val="16"/>
          <w:szCs w:val="16"/>
        </w:rPr>
        <w:t>11-13 (23-26) февраля 1914 г. летчик И.И.Сикорский на самолете ««Илья Муромец» совершил три выдающихся полета :11-го поднял 14 пассажиров на вы</w:t>
      </w:r>
      <w:r w:rsidRPr="00DE096C">
        <w:rPr>
          <w:bCs/>
          <w:color w:val="002060"/>
          <w:sz w:val="16"/>
          <w:szCs w:val="16"/>
        </w:rPr>
        <w:softHyphen/>
        <w:t>соту 200 м, что было мировым рекордом грузопод"емности; 12-го под</w:t>
      </w:r>
      <w:r w:rsidRPr="00DE096C">
        <w:rPr>
          <w:bCs/>
          <w:color w:val="002060"/>
          <w:sz w:val="16"/>
          <w:szCs w:val="16"/>
        </w:rPr>
        <w:softHyphen/>
        <w:t>нял 15 пассажиров с собакой на высоту 300м ,что было новым миро</w:t>
      </w:r>
      <w:r w:rsidRPr="00DE096C">
        <w:rPr>
          <w:bCs/>
          <w:color w:val="002060"/>
          <w:sz w:val="16"/>
          <w:szCs w:val="16"/>
        </w:rPr>
        <w:softHyphen/>
        <w:t xml:space="preserve">вым рекордом, так как с таким </w:t>
      </w:r>
      <w:r w:rsidRPr="00DE096C">
        <w:rPr>
          <w:bCs/>
          <w:color w:val="002060"/>
          <w:sz w:val="16"/>
          <w:szCs w:val="16"/>
        </w:rPr>
        <w:lastRenderedPageBreak/>
        <w:t>количеством пассажиров еще никто не поднимался. Полет продолжался 18 минут. 13-го поднял 7 пассажиров на высоту 950 м и держался в воздухе 2 ч. 6 мин., что также было мировым достижением как по высоте, так и по продолжительности по</w:t>
      </w:r>
      <w:r w:rsidRPr="00DE096C">
        <w:rPr>
          <w:bCs/>
          <w:color w:val="002060"/>
          <w:sz w:val="16"/>
          <w:szCs w:val="16"/>
        </w:rPr>
        <w:softHyphen/>
        <w:t>лета с таким количеством пассажиров»</w:t>
      </w:r>
    </w:p>
    <w:p w14:paraId="1709159D" w14:textId="77777777" w:rsidR="0039627F" w:rsidRPr="00DE096C" w:rsidRDefault="0039627F" w:rsidP="00D45A46">
      <w:pPr>
        <w:jc w:val="both"/>
        <w:rPr>
          <w:bCs/>
          <w:color w:val="002060"/>
          <w:sz w:val="16"/>
          <w:szCs w:val="16"/>
        </w:rPr>
      </w:pPr>
      <w:r w:rsidRPr="00DE096C">
        <w:rPr>
          <w:bCs/>
          <w:color w:val="002060"/>
          <w:sz w:val="16"/>
          <w:szCs w:val="16"/>
        </w:rPr>
        <w:t>/«Речь» за 13 февр., «Новое время»» за 15 февр. 1914 г. «Воздухо</w:t>
      </w:r>
      <w:r w:rsidRPr="00DE096C">
        <w:rPr>
          <w:bCs/>
          <w:color w:val="002060"/>
          <w:sz w:val="16"/>
          <w:szCs w:val="16"/>
        </w:rPr>
        <w:softHyphen/>
        <w:t>плаватель» за февр.-март 1914 г»; Архив Центр .Дома авиации и ПВО/ (23320).</w:t>
      </w:r>
    </w:p>
    <w:p w14:paraId="528EF450" w14:textId="77777777" w:rsidR="0039627F" w:rsidRPr="00DE096C" w:rsidRDefault="0039627F" w:rsidP="00D45A46">
      <w:pPr>
        <w:jc w:val="both"/>
        <w:rPr>
          <w:bCs/>
          <w:color w:val="002060"/>
          <w:sz w:val="16"/>
          <w:szCs w:val="16"/>
        </w:rPr>
      </w:pPr>
    </w:p>
    <w:p w14:paraId="44B6EAD8" w14:textId="77777777" w:rsidR="005E3A34" w:rsidRPr="00DE096C" w:rsidRDefault="005E3A34" w:rsidP="00D45A46">
      <w:pPr>
        <w:shd w:val="clear" w:color="auto" w:fill="FFFFFF"/>
        <w:jc w:val="both"/>
        <w:rPr>
          <w:bCs/>
          <w:i/>
          <w:color w:val="002060"/>
          <w:sz w:val="16"/>
          <w:szCs w:val="16"/>
        </w:rPr>
      </w:pPr>
      <w:r w:rsidRPr="00DE096C">
        <w:rPr>
          <w:bCs/>
          <w:i/>
          <w:color w:val="002060"/>
          <w:sz w:val="16"/>
          <w:szCs w:val="16"/>
        </w:rPr>
        <w:t>Авиация и воздухоплавание Англии:</w:t>
      </w:r>
    </w:p>
    <w:p w14:paraId="385C2F5E" w14:textId="77777777" w:rsidR="005E3A34" w:rsidRPr="00DE096C" w:rsidRDefault="005E3A34" w:rsidP="00D45A46">
      <w:pPr>
        <w:shd w:val="clear" w:color="auto" w:fill="FFFFFF"/>
        <w:jc w:val="both"/>
        <w:rPr>
          <w:bCs/>
          <w:i/>
          <w:color w:val="002060"/>
          <w:sz w:val="16"/>
          <w:szCs w:val="16"/>
        </w:rPr>
      </w:pPr>
    </w:p>
    <w:p w14:paraId="25F5BBF9" w14:textId="77777777" w:rsidR="005E3A34" w:rsidRPr="00DE096C" w:rsidRDefault="005E3A34" w:rsidP="00D45A46">
      <w:pPr>
        <w:jc w:val="both"/>
        <w:rPr>
          <w:bCs/>
          <w:color w:val="002060"/>
          <w:sz w:val="16"/>
          <w:szCs w:val="16"/>
        </w:rPr>
      </w:pPr>
      <w:r w:rsidRPr="00DE096C">
        <w:rPr>
          <w:bCs/>
          <w:color w:val="002060"/>
          <w:sz w:val="16"/>
          <w:szCs w:val="16"/>
        </w:rPr>
        <w:t>11 (24) февраля 1914 г. в ходе испытаний F.E.2. «Тип 1913 г.» Рональдом Кемпом машина рухнула с высоты 150 м, пассажир Хайнс погиб, а пилот чудом остался жив.</w:t>
      </w:r>
    </w:p>
    <w:p w14:paraId="5F3910E7" w14:textId="77777777" w:rsidR="005E3A34" w:rsidRPr="00DE096C" w:rsidRDefault="005E3A34" w:rsidP="00D45A46">
      <w:pPr>
        <w:jc w:val="both"/>
        <w:rPr>
          <w:bCs/>
          <w:color w:val="002060"/>
          <w:sz w:val="16"/>
          <w:szCs w:val="16"/>
        </w:rPr>
      </w:pPr>
      <w:r w:rsidRPr="00DE096C">
        <w:rPr>
          <w:bCs/>
          <w:color w:val="002060"/>
          <w:sz w:val="16"/>
          <w:szCs w:val="16"/>
        </w:rPr>
        <w:t>F.E.2. «Тип 1913 г.» был построен в 1913 г. на заводе RAF и получил ряд изменений: округлые законцовки крыльев, новое оперение, состоящее из овального цельноповоротного киля, стабилизатора и руля высоты, а также гондолу экипажа с улучшенной обтекаемостью.</w:t>
      </w:r>
    </w:p>
    <w:p w14:paraId="2B4A58C4" w14:textId="77777777" w:rsidR="005E3A34" w:rsidRPr="00DE096C" w:rsidRDefault="005E3A34" w:rsidP="00D45A46">
      <w:pPr>
        <w:jc w:val="both"/>
        <w:rPr>
          <w:bCs/>
          <w:color w:val="002060"/>
          <w:sz w:val="16"/>
          <w:szCs w:val="16"/>
        </w:rPr>
      </w:pPr>
      <w:r w:rsidRPr="00DE096C">
        <w:rPr>
          <w:bCs/>
          <w:color w:val="002060"/>
          <w:sz w:val="16"/>
          <w:szCs w:val="16"/>
        </w:rPr>
        <w:t>В этом самолете проявились все недостатки схемы с толкающим винтом, но рост скорости до 118 км/ч был слишком заманчив, чтобы отказаться от ее дальнейшего использования. Тем более что задачу создать вооруженный аэроплан с завода никто не снимал. Именно на его основе англичанами будет сделан «скаут» F.E.2a — самолет, предназначенный равным образом для разведки, бомбардировки и борьбы с аэропланами противника (22734).</w:t>
      </w:r>
    </w:p>
    <w:p w14:paraId="5E3C31CA" w14:textId="77777777" w:rsidR="005E3A34" w:rsidRPr="00DE096C" w:rsidRDefault="005E3A34" w:rsidP="00D45A46">
      <w:pPr>
        <w:jc w:val="both"/>
        <w:rPr>
          <w:bCs/>
          <w:color w:val="002060"/>
          <w:sz w:val="16"/>
          <w:szCs w:val="16"/>
        </w:rPr>
      </w:pPr>
    </w:p>
    <w:p w14:paraId="35AB5D89"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0A300DFD" w14:textId="77777777" w:rsidR="00B67D7C" w:rsidRPr="00DE096C" w:rsidRDefault="00B67D7C" w:rsidP="00D45A46">
      <w:pPr>
        <w:shd w:val="clear" w:color="auto" w:fill="FFFFFF"/>
        <w:jc w:val="both"/>
        <w:rPr>
          <w:bCs/>
          <w:i/>
          <w:color w:val="002060"/>
          <w:sz w:val="16"/>
          <w:szCs w:val="16"/>
        </w:rPr>
      </w:pPr>
    </w:p>
    <w:p w14:paraId="709565BE" w14:textId="507AB034" w:rsidR="00B67D7C" w:rsidRPr="00DE096C" w:rsidRDefault="00B67D7C" w:rsidP="00D45A46">
      <w:pPr>
        <w:shd w:val="clear" w:color="auto" w:fill="FFFFFF"/>
        <w:jc w:val="both"/>
        <w:rPr>
          <w:bCs/>
          <w:color w:val="002060"/>
          <w:sz w:val="16"/>
          <w:szCs w:val="16"/>
        </w:rPr>
      </w:pPr>
      <w:r w:rsidRPr="00DE096C">
        <w:rPr>
          <w:bCs/>
          <w:color w:val="002060"/>
          <w:sz w:val="16"/>
          <w:szCs w:val="16"/>
        </w:rPr>
        <w:t>12 (25) февраля1914 г.</w:t>
      </w:r>
      <w:r w:rsidR="00025019" w:rsidRPr="00DE096C">
        <w:rPr>
          <w:bCs/>
          <w:color w:val="002060"/>
          <w:sz w:val="16"/>
          <w:szCs w:val="16"/>
        </w:rPr>
        <w:t xml:space="preserve"> на самолете «Илья Муромец» был установлен рекорд, </w:t>
      </w:r>
      <w:r w:rsidRPr="00DE096C">
        <w:rPr>
          <w:bCs/>
          <w:color w:val="002060"/>
          <w:sz w:val="16"/>
          <w:szCs w:val="16"/>
        </w:rPr>
        <w:t>когда на самолете был совершен полет с 15 пассажирами и собакой, оставался непревзойденным до 1919 г (318).</w:t>
      </w:r>
    </w:p>
    <w:p w14:paraId="2E6D2B20" w14:textId="77777777" w:rsidR="00B67D7C" w:rsidRPr="00DE096C" w:rsidRDefault="00B67D7C" w:rsidP="00D45A46">
      <w:pPr>
        <w:jc w:val="both"/>
        <w:rPr>
          <w:bCs/>
          <w:color w:val="002060"/>
          <w:sz w:val="16"/>
          <w:szCs w:val="16"/>
        </w:rPr>
      </w:pPr>
    </w:p>
    <w:p w14:paraId="004956D4" w14:textId="77777777" w:rsidR="00955729" w:rsidRPr="00DE096C" w:rsidRDefault="00955729" w:rsidP="00D45A46">
      <w:pPr>
        <w:jc w:val="both"/>
        <w:rPr>
          <w:bCs/>
          <w:color w:val="002060"/>
          <w:sz w:val="16"/>
          <w:szCs w:val="16"/>
        </w:rPr>
      </w:pPr>
      <w:r w:rsidRPr="00DE096C">
        <w:rPr>
          <w:bCs/>
          <w:color w:val="002060"/>
          <w:sz w:val="16"/>
          <w:szCs w:val="16"/>
        </w:rPr>
        <w:t>12 (25 по н.ст.) февраля 1914 г. на самолете «Илья Муромец» (С-22, ИМ зав. № А-1 или Б-1, № 107) экз. № 1, тяжелый дальний бомбардировщик и разведчик, большой транспортный самолет был совершен полет с 16-ю пассажирами (в то время в их число включался и пилот) и собакой на борту (общая масса платной нагрузки составила 1290 кг (23574)).</w:t>
      </w:r>
    </w:p>
    <w:p w14:paraId="1894B2D3" w14:textId="77777777" w:rsidR="00955729" w:rsidRPr="00DE096C" w:rsidRDefault="00955729" w:rsidP="00D45A46">
      <w:pPr>
        <w:jc w:val="both"/>
        <w:rPr>
          <w:bCs/>
          <w:color w:val="002060"/>
          <w:sz w:val="16"/>
          <w:szCs w:val="16"/>
          <w:lang w:bidi="ru-RU"/>
        </w:rPr>
      </w:pPr>
    </w:p>
    <w:p w14:paraId="2D1C4344" w14:textId="77777777" w:rsidR="00B67D7C" w:rsidRPr="00DE096C" w:rsidRDefault="00B67D7C" w:rsidP="00D45A46">
      <w:pPr>
        <w:jc w:val="both"/>
        <w:rPr>
          <w:bCs/>
          <w:color w:val="002060"/>
          <w:sz w:val="16"/>
          <w:szCs w:val="16"/>
        </w:rPr>
      </w:pPr>
      <w:r w:rsidRPr="00DE096C">
        <w:rPr>
          <w:bCs/>
          <w:color w:val="002060"/>
          <w:sz w:val="16"/>
          <w:szCs w:val="16"/>
        </w:rPr>
        <w:t xml:space="preserve">12 (25) февраля 1914 г. "Муромец" установил мировой рекорд по максимальному количеству пассажиров, поднятых на борту самолета. На "Муромце" находились 16 человек и аэродромный пес с невинной кличкой Шкалик. Поднятый полезный груз составил 1290 кг. Это было выдающееся достижение, которое отметила пресса: </w:t>
      </w:r>
    </w:p>
    <w:p w14:paraId="304D5CF9" w14:textId="77777777" w:rsidR="00B67D7C" w:rsidRPr="00DE096C" w:rsidRDefault="00B67D7C" w:rsidP="00D45A46">
      <w:pPr>
        <w:jc w:val="both"/>
        <w:rPr>
          <w:bCs/>
          <w:color w:val="002060"/>
          <w:sz w:val="16"/>
          <w:szCs w:val="16"/>
        </w:rPr>
      </w:pPr>
      <w:r w:rsidRPr="00DE096C">
        <w:rPr>
          <w:bCs/>
          <w:color w:val="002060"/>
          <w:sz w:val="16"/>
          <w:szCs w:val="16"/>
        </w:rPr>
        <w:t>"Наш талантливый летчик-конструктор И. И. Сикорский поставил 12 февраля на своем "Илье Муромце" два новых мировых рекорда - на число пассажиров и на грузоподъемность. В этот день он совершил два полета. Первый полет был как бы подготовительным ко второму рекордному. Сперва И. И. Сикорский взял восемь человек пассажиров. С Корпусного аэродрома воздушный корабль легко поднялся на высоту пятисот метров и большим кругом пролетел до Пулкова и обратно. Весь полет продолжался 40 мин. За рулями сидели вновь обученные управлению "Ильей Муромцем" морской летчик Г. И. Лавров и летчик Янковский ... Ко второму полету И. И. Сикорский приготовился не сразу. Он хотел взять на корабль только четырнадцать человек и, действительно взявши столько народу и первого в мире четвероногого пассажира - собаку Шкалика, поднялся на пробу в воздух. Три небольших круга над аэродромом убедили его, что аппарат идет более чем легко. Тогда И. И. Сикорский спустился после шестиминутного пребывания в воздухе, забрал к себе еще двух оставшихся внизу и с шестнадцатью взрослыми людьми вторично поднялся на воздух. "Илья Муромец" летал над аэродромом и Пулковом 17 мин и благополучно спустился с высоты 200 м. Пассажиры - человек десять военных летчиков, пилоты и служащие Русско-Балтийского завода были в восторге. Два комиссара аэроклуба запротоколировали этот полет для отправления в бюро Международной воздухоплавательной федерации в Париже. Такого числа пассажиров никто из мировых летчиков не поднимал. Самое большое число было 13 человек у Бреге, но он схитрил, набравши чуть ли не мальчиков по семи, по восьми лет, и продержался в воздухе всего лишь несколько секунд, причем летел по прямой линии. Вообще, при всех предыдущих попытках иностранных авиаторов взять на аппарат более шести человек аппарат мог держаться в воздухе не более нескольких секунд и совершенно не мог сделать виража. Общий вес взятого "Ильей Муромцем" груза 77 пудов 38 фунтов". [Воздухоплаватель. 1914. № 3. С. 238-239. Аэро- и автомобильная жизнь. 1914. № 6. С. 21.] (11294).</w:t>
      </w:r>
    </w:p>
    <w:p w14:paraId="22F48B0F" w14:textId="77777777" w:rsidR="00B67D7C" w:rsidRPr="00DE096C" w:rsidRDefault="00B67D7C" w:rsidP="00D45A46">
      <w:pPr>
        <w:jc w:val="both"/>
        <w:rPr>
          <w:bCs/>
          <w:color w:val="002060"/>
          <w:sz w:val="16"/>
          <w:szCs w:val="16"/>
        </w:rPr>
      </w:pPr>
    </w:p>
    <w:p w14:paraId="1A8786AF" w14:textId="4C94A37B"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12 </w:t>
      </w:r>
      <w:r w:rsidR="00025019" w:rsidRPr="00DE096C">
        <w:rPr>
          <w:bCs/>
          <w:color w:val="002060"/>
          <w:sz w:val="16"/>
          <w:szCs w:val="16"/>
        </w:rPr>
        <w:t xml:space="preserve">(25) </w:t>
      </w:r>
      <w:r w:rsidRPr="00DE096C">
        <w:rPr>
          <w:bCs/>
          <w:color w:val="002060"/>
          <w:sz w:val="16"/>
          <w:szCs w:val="16"/>
        </w:rPr>
        <w:t xml:space="preserve">февраля </w:t>
      </w:r>
      <w:r w:rsidR="00025019" w:rsidRPr="00DE096C">
        <w:rPr>
          <w:bCs/>
          <w:color w:val="002060"/>
          <w:sz w:val="16"/>
          <w:szCs w:val="16"/>
        </w:rPr>
        <w:t xml:space="preserve">1914 г., согласно российскому журналу «Воздухоплаватель» </w:t>
      </w:r>
      <w:r w:rsidRPr="00DE096C">
        <w:rPr>
          <w:bCs/>
          <w:color w:val="002060"/>
          <w:sz w:val="16"/>
          <w:szCs w:val="16"/>
        </w:rPr>
        <w:t>«Иль</w:t>
      </w:r>
      <w:r w:rsidR="00025019" w:rsidRPr="00DE096C">
        <w:rPr>
          <w:bCs/>
          <w:color w:val="002060"/>
          <w:sz w:val="16"/>
          <w:szCs w:val="16"/>
        </w:rPr>
        <w:t>я</w:t>
      </w:r>
      <w:r w:rsidRPr="00DE096C">
        <w:rPr>
          <w:bCs/>
          <w:color w:val="002060"/>
          <w:sz w:val="16"/>
          <w:szCs w:val="16"/>
        </w:rPr>
        <w:t xml:space="preserve"> Муром</w:t>
      </w:r>
      <w:r w:rsidR="00025019" w:rsidRPr="00DE096C">
        <w:rPr>
          <w:bCs/>
          <w:color w:val="002060"/>
          <w:sz w:val="16"/>
          <w:szCs w:val="16"/>
        </w:rPr>
        <w:t>е</w:t>
      </w:r>
      <w:r w:rsidRPr="00DE096C">
        <w:rPr>
          <w:bCs/>
          <w:color w:val="002060"/>
          <w:sz w:val="16"/>
          <w:szCs w:val="16"/>
        </w:rPr>
        <w:t xml:space="preserve">ц» </w:t>
      </w:r>
      <w:r w:rsidR="00025019" w:rsidRPr="00DE096C">
        <w:rPr>
          <w:bCs/>
          <w:color w:val="002060"/>
          <w:sz w:val="16"/>
          <w:szCs w:val="16"/>
        </w:rPr>
        <w:t xml:space="preserve">установил </w:t>
      </w:r>
      <w:r w:rsidRPr="00DE096C">
        <w:rPr>
          <w:bCs/>
          <w:color w:val="002060"/>
          <w:sz w:val="16"/>
          <w:szCs w:val="16"/>
        </w:rPr>
        <w:t>два новых мировых рекорда на число пассажиров и на грузоподъемность... Во время этого полета И. И. Сикорский выходил на передний балкон корабля, а летчик Раевский как раз снял его снизу, с аэродрома...» (11425).</w:t>
      </w:r>
    </w:p>
    <w:p w14:paraId="5C469EF2" w14:textId="77777777" w:rsidR="00B67D7C" w:rsidRPr="00DE096C" w:rsidRDefault="00B67D7C" w:rsidP="00D45A46">
      <w:pPr>
        <w:shd w:val="clear" w:color="auto" w:fill="FFFFFF"/>
        <w:jc w:val="both"/>
        <w:rPr>
          <w:bCs/>
          <w:color w:val="002060"/>
          <w:sz w:val="16"/>
          <w:szCs w:val="16"/>
        </w:rPr>
      </w:pPr>
    </w:p>
    <w:p w14:paraId="5FE7B565" w14:textId="425BB9D6" w:rsidR="007A0148" w:rsidRPr="00DE096C" w:rsidRDefault="007A0148" w:rsidP="00D45A46">
      <w:pPr>
        <w:jc w:val="both"/>
        <w:rPr>
          <w:bCs/>
          <w:color w:val="002060"/>
          <w:sz w:val="16"/>
          <w:szCs w:val="16"/>
        </w:rPr>
      </w:pPr>
      <w:r w:rsidRPr="00DE096C">
        <w:rPr>
          <w:bCs/>
          <w:color w:val="002060"/>
          <w:sz w:val="16"/>
          <w:szCs w:val="16"/>
        </w:rPr>
        <w:t xml:space="preserve">12 </w:t>
      </w:r>
      <w:r w:rsidR="00025019" w:rsidRPr="00DE096C">
        <w:rPr>
          <w:bCs/>
          <w:color w:val="002060"/>
          <w:sz w:val="16"/>
          <w:szCs w:val="16"/>
        </w:rPr>
        <w:t xml:space="preserve">(25) </w:t>
      </w:r>
      <w:r w:rsidRPr="00DE096C">
        <w:rPr>
          <w:bCs/>
          <w:color w:val="002060"/>
          <w:sz w:val="16"/>
          <w:szCs w:val="16"/>
        </w:rPr>
        <w:t>февраля в 1914 году установлен мировой рекорд по максимальному количеству пассажиров на борту самолета - 16 человек, на самолете "Илья Муромец" конструкции Сикорского. По тем временам — невиданное достижение (15038).</w:t>
      </w:r>
    </w:p>
    <w:p w14:paraId="5726DE7F" w14:textId="77777777" w:rsidR="007A0148" w:rsidRPr="00DE096C" w:rsidRDefault="007A0148" w:rsidP="00D45A46">
      <w:pPr>
        <w:jc w:val="both"/>
        <w:rPr>
          <w:bCs/>
          <w:color w:val="002060"/>
          <w:sz w:val="16"/>
          <w:szCs w:val="16"/>
        </w:rPr>
      </w:pPr>
    </w:p>
    <w:p w14:paraId="0932A32E" w14:textId="77777777" w:rsidR="007A0148" w:rsidRPr="00DE096C" w:rsidRDefault="007A0148" w:rsidP="00D45A46">
      <w:pPr>
        <w:jc w:val="both"/>
        <w:rPr>
          <w:bCs/>
          <w:i/>
          <w:color w:val="002060"/>
          <w:sz w:val="16"/>
          <w:szCs w:val="16"/>
        </w:rPr>
      </w:pPr>
      <w:r w:rsidRPr="00DE096C">
        <w:rPr>
          <w:bCs/>
          <w:i/>
          <w:color w:val="002060"/>
          <w:sz w:val="16"/>
          <w:szCs w:val="16"/>
        </w:rPr>
        <w:t>Жизнь и внутренняя политика:</w:t>
      </w:r>
    </w:p>
    <w:p w14:paraId="76AAC48B" w14:textId="77777777" w:rsidR="007A0148" w:rsidRPr="00DE096C" w:rsidRDefault="007A0148" w:rsidP="00D45A46">
      <w:pPr>
        <w:jc w:val="both"/>
        <w:rPr>
          <w:bCs/>
          <w:i/>
          <w:color w:val="002060"/>
          <w:sz w:val="16"/>
          <w:szCs w:val="16"/>
        </w:rPr>
      </w:pPr>
    </w:p>
    <w:p w14:paraId="1043087A" w14:textId="753E726B" w:rsidR="007A0148" w:rsidRPr="00DE096C" w:rsidRDefault="007A0148" w:rsidP="00D45A46">
      <w:pPr>
        <w:jc w:val="both"/>
        <w:rPr>
          <w:bCs/>
          <w:color w:val="002060"/>
          <w:sz w:val="16"/>
          <w:szCs w:val="16"/>
        </w:rPr>
      </w:pPr>
      <w:r w:rsidRPr="00DE096C">
        <w:rPr>
          <w:bCs/>
          <w:color w:val="002060"/>
          <w:sz w:val="16"/>
          <w:szCs w:val="16"/>
        </w:rPr>
        <w:t xml:space="preserve">12 </w:t>
      </w:r>
      <w:r w:rsidR="00025019" w:rsidRPr="00DE096C">
        <w:rPr>
          <w:bCs/>
          <w:color w:val="002060"/>
          <w:sz w:val="16"/>
          <w:szCs w:val="16"/>
        </w:rPr>
        <w:t xml:space="preserve">(25) </w:t>
      </w:r>
      <w:r w:rsidRPr="00DE096C">
        <w:rPr>
          <w:bCs/>
          <w:color w:val="002060"/>
          <w:sz w:val="16"/>
          <w:szCs w:val="16"/>
        </w:rPr>
        <w:t>февраля в 1914 году И.Л.Горемыкин сменяет В.Н.Коковцова на посту председателя Совета Министров (15038).</w:t>
      </w:r>
    </w:p>
    <w:p w14:paraId="76A8ED16" w14:textId="77777777" w:rsidR="007A0148" w:rsidRPr="00DE096C" w:rsidRDefault="007A0148" w:rsidP="00D45A46">
      <w:pPr>
        <w:jc w:val="both"/>
        <w:rPr>
          <w:bCs/>
          <w:color w:val="002060"/>
          <w:sz w:val="16"/>
          <w:szCs w:val="16"/>
        </w:rPr>
      </w:pPr>
    </w:p>
    <w:p w14:paraId="499C4ABF" w14:textId="77777777" w:rsidR="007A0148" w:rsidRPr="00DE096C" w:rsidRDefault="007A0148" w:rsidP="00D45A46">
      <w:pPr>
        <w:jc w:val="both"/>
        <w:rPr>
          <w:bCs/>
          <w:i/>
          <w:color w:val="002060"/>
          <w:sz w:val="16"/>
          <w:szCs w:val="16"/>
        </w:rPr>
      </w:pPr>
      <w:r w:rsidRPr="00DE096C">
        <w:rPr>
          <w:bCs/>
          <w:i/>
          <w:color w:val="002060"/>
          <w:sz w:val="16"/>
          <w:szCs w:val="16"/>
        </w:rPr>
        <w:t>Авиация и воздухоплавание Франции:</w:t>
      </w:r>
    </w:p>
    <w:p w14:paraId="0BEC4EA4" w14:textId="77777777" w:rsidR="007A0148" w:rsidRPr="00DE096C" w:rsidRDefault="007A0148" w:rsidP="00D45A46">
      <w:pPr>
        <w:jc w:val="both"/>
        <w:rPr>
          <w:bCs/>
          <w:i/>
          <w:color w:val="002060"/>
          <w:sz w:val="16"/>
          <w:szCs w:val="16"/>
        </w:rPr>
      </w:pPr>
    </w:p>
    <w:p w14:paraId="0391A779" w14:textId="77777777" w:rsidR="007A0148" w:rsidRPr="00DE096C" w:rsidRDefault="007A0148" w:rsidP="00D45A46">
      <w:pPr>
        <w:jc w:val="both"/>
        <w:rPr>
          <w:bCs/>
          <w:color w:val="002060"/>
          <w:sz w:val="16"/>
          <w:szCs w:val="16"/>
        </w:rPr>
      </w:pPr>
      <w:r w:rsidRPr="00DE096C">
        <w:rPr>
          <w:bCs/>
          <w:color w:val="002060"/>
          <w:sz w:val="16"/>
          <w:szCs w:val="16"/>
        </w:rPr>
        <w:t xml:space="preserve">12 (25) февраля в 1914 году летчик Гаро установил мировой рекорд, достигнув высоты 3 050 метров на аэроплане «Шмитта №7» </w:t>
      </w:r>
      <w:hyperlink r:id="rId8" w:tgtFrame="_blank" w:history="1">
        <w:r w:rsidRPr="00DE096C">
          <w:rPr>
            <w:bCs/>
            <w:color w:val="002060"/>
            <w:sz w:val="16"/>
            <w:szCs w:val="16"/>
          </w:rPr>
          <w:t xml:space="preserve">«Schmitt 7», </w:t>
        </w:r>
      </w:hyperlink>
      <w:r w:rsidRPr="00DE096C">
        <w:rPr>
          <w:bCs/>
          <w:color w:val="002060"/>
          <w:sz w:val="16"/>
          <w:szCs w:val="16"/>
        </w:rPr>
        <w:t>это был крупный биплан со 160-сильным двухрядным ротативным мотором "Гном" и механизмом, изменяющим угол установки крыльев относительно продольной оси фюзеляжа. Именно этот рекордный "Шмитт-7" в июле 1914 года победил на конкурсе аэропланов военного назначения и стал прототипом бомбардировщика, принятого на вооружение французской авиации (15051).</w:t>
      </w:r>
    </w:p>
    <w:p w14:paraId="05D281C9" w14:textId="77777777" w:rsidR="007A0148" w:rsidRPr="00DE096C" w:rsidRDefault="007A0148" w:rsidP="00D45A46">
      <w:pPr>
        <w:jc w:val="both"/>
        <w:rPr>
          <w:bCs/>
          <w:color w:val="002060"/>
          <w:sz w:val="16"/>
          <w:szCs w:val="16"/>
        </w:rPr>
      </w:pPr>
    </w:p>
    <w:p w14:paraId="38DEA634" w14:textId="77777777" w:rsidR="00551167" w:rsidRPr="00DE096C" w:rsidRDefault="00551167" w:rsidP="00D45A46">
      <w:pPr>
        <w:jc w:val="both"/>
        <w:rPr>
          <w:bCs/>
          <w:color w:val="002060"/>
          <w:sz w:val="16"/>
          <w:szCs w:val="16"/>
        </w:rPr>
      </w:pPr>
      <w:r w:rsidRPr="00DE096C">
        <w:rPr>
          <w:bCs/>
          <w:color w:val="002060"/>
          <w:sz w:val="16"/>
          <w:szCs w:val="16"/>
        </w:rPr>
        <w:t>12 (25) февраля 1914 - Летчик Гаро установил мировой рекорд, достигнув высоты 3 050 метров на аэроплане Шмитта No.7 «Schmitt 7», это был крупный биплан со 160-сильным двухрядным ротативным мотором "Гном" и механизмом, изменяющим угол установки крыльев относительно продольной оси фюзеляжа. Именно этот рекордный "Шмитт-7" в июле 1914 года победил на конкурсе аэропланов военного назначения и стал прототипом бомбардировщика, принятого на вооружение французской авиации (22587).</w:t>
      </w:r>
    </w:p>
    <w:p w14:paraId="509AFDBE" w14:textId="77777777" w:rsidR="00551167" w:rsidRPr="00DE096C" w:rsidRDefault="00551167" w:rsidP="00D45A46">
      <w:pPr>
        <w:jc w:val="both"/>
        <w:rPr>
          <w:bCs/>
          <w:color w:val="002060"/>
          <w:sz w:val="16"/>
          <w:szCs w:val="16"/>
        </w:rPr>
      </w:pPr>
    </w:p>
    <w:p w14:paraId="77C9B1AA" w14:textId="0ED0686D" w:rsidR="00B67D7C" w:rsidRPr="00DE096C" w:rsidRDefault="00B67D7C" w:rsidP="00D45A46">
      <w:pPr>
        <w:jc w:val="both"/>
        <w:rPr>
          <w:bCs/>
          <w:i/>
          <w:color w:val="002060"/>
          <w:sz w:val="16"/>
          <w:szCs w:val="16"/>
        </w:rPr>
      </w:pPr>
      <w:r w:rsidRPr="00DE096C">
        <w:rPr>
          <w:bCs/>
          <w:i/>
          <w:color w:val="002060"/>
          <w:sz w:val="16"/>
          <w:szCs w:val="16"/>
        </w:rPr>
        <w:t>Морская авиация:</w:t>
      </w:r>
    </w:p>
    <w:p w14:paraId="0FB1C910" w14:textId="77777777" w:rsidR="00B67D7C" w:rsidRPr="00DE096C" w:rsidRDefault="00B67D7C" w:rsidP="00D45A46">
      <w:pPr>
        <w:jc w:val="both"/>
        <w:rPr>
          <w:bCs/>
          <w:i/>
          <w:color w:val="002060"/>
          <w:sz w:val="16"/>
          <w:szCs w:val="16"/>
        </w:rPr>
      </w:pPr>
    </w:p>
    <w:p w14:paraId="327B197E" w14:textId="02EFFF60" w:rsidR="00B67D7C" w:rsidRPr="00DE096C" w:rsidRDefault="00B67D7C" w:rsidP="00D45A46">
      <w:pPr>
        <w:shd w:val="clear" w:color="auto" w:fill="FFFFFF"/>
        <w:jc w:val="both"/>
        <w:rPr>
          <w:bCs/>
          <w:color w:val="002060"/>
          <w:sz w:val="16"/>
          <w:szCs w:val="16"/>
        </w:rPr>
      </w:pPr>
      <w:r w:rsidRPr="00DE096C">
        <w:rPr>
          <w:bCs/>
          <w:color w:val="002060"/>
          <w:sz w:val="16"/>
          <w:szCs w:val="16"/>
        </w:rPr>
        <w:t>14 (27) февраля 1914 года</w:t>
      </w:r>
      <w:r w:rsidR="00025019" w:rsidRPr="00DE096C">
        <w:rPr>
          <w:bCs/>
          <w:color w:val="002060"/>
          <w:sz w:val="16"/>
          <w:szCs w:val="16"/>
        </w:rPr>
        <w:t>, замещавший начальника Морского генштаба капитан 1 ран</w:t>
      </w:r>
      <w:r w:rsidR="00025019" w:rsidRPr="00DE096C">
        <w:rPr>
          <w:bCs/>
          <w:color w:val="002060"/>
          <w:sz w:val="16"/>
          <w:szCs w:val="16"/>
        </w:rPr>
        <w:softHyphen/>
        <w:t xml:space="preserve">га Ненюков, </w:t>
      </w:r>
      <w:r w:rsidRPr="00DE096C">
        <w:rPr>
          <w:bCs/>
          <w:color w:val="002060"/>
          <w:sz w:val="16"/>
          <w:szCs w:val="16"/>
        </w:rPr>
        <w:t>передал адмиралу Григоро</w:t>
      </w:r>
      <w:r w:rsidRPr="00DE096C">
        <w:rPr>
          <w:bCs/>
          <w:color w:val="002060"/>
          <w:sz w:val="16"/>
          <w:szCs w:val="16"/>
        </w:rPr>
        <w:softHyphen/>
        <w:t>вичу семь фотоснимков с эпизодами спуска на воду, взлетов в небо и подъема на борт крейсера «Кагул» поплавкового гид</w:t>
      </w:r>
      <w:r w:rsidRPr="00DE096C">
        <w:rPr>
          <w:bCs/>
          <w:color w:val="002060"/>
          <w:sz w:val="16"/>
          <w:szCs w:val="16"/>
        </w:rPr>
        <w:softHyphen/>
        <w:t>роплана. Полностью одобряя предложения адмирала Эбергарда об установке подобного оборудования на однотипный крейсер «Память «Меркурия» и несколько иного на яхту «Алмаз», сам Ненюков назвал эти меры «резким шагом вперед в орга</w:t>
      </w:r>
      <w:r w:rsidRPr="00DE096C">
        <w:rPr>
          <w:bCs/>
          <w:color w:val="002060"/>
          <w:sz w:val="16"/>
          <w:szCs w:val="16"/>
        </w:rPr>
        <w:softHyphen/>
        <w:t>низации судовой разведки». Министр разрешил переоборудо</w:t>
      </w:r>
      <w:r w:rsidRPr="00DE096C">
        <w:rPr>
          <w:bCs/>
          <w:color w:val="002060"/>
          <w:sz w:val="16"/>
          <w:szCs w:val="16"/>
        </w:rPr>
        <w:softHyphen/>
        <w:t>вать крейсер за счет кредита, отпущенного на создание Потий-ской воздушной станции, заметив, что вопрос о яхте рассмотрит при посещении флота.</w:t>
      </w:r>
    </w:p>
    <w:p w14:paraId="378DD6D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Месяцем позже получения черноморцами разрешения на переоборудование транспортного судна для проведения опы</w:t>
      </w:r>
      <w:r w:rsidRPr="00DE096C">
        <w:rPr>
          <w:bCs/>
          <w:color w:val="002060"/>
          <w:sz w:val="16"/>
          <w:szCs w:val="16"/>
        </w:rPr>
        <w:softHyphen/>
        <w:t>тов с гидропланами, желание приспособить для этого боевой корабль выразили балтийцы. Командующий флотом адми</w:t>
      </w:r>
      <w:r w:rsidRPr="00DE096C">
        <w:rPr>
          <w:bCs/>
          <w:color w:val="002060"/>
          <w:sz w:val="16"/>
          <w:szCs w:val="16"/>
        </w:rPr>
        <w:softHyphen/>
        <w:t>рал Н. Эссен предложил установить авиационные принадлеж</w:t>
      </w:r>
      <w:r w:rsidRPr="00DE096C">
        <w:rPr>
          <w:bCs/>
          <w:color w:val="002060"/>
          <w:sz w:val="16"/>
          <w:szCs w:val="16"/>
        </w:rPr>
        <w:softHyphen/>
        <w:t>ности на новых броненосных крейсерах «Паллада» и «Баян» с таким условием, что проводимые работы не ограничат их участия в боевой подготовке.</w:t>
      </w:r>
    </w:p>
    <w:p w14:paraId="57777DF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На основании данного министром разрешения, начальник Главного управления кораблестроения поручил Адмирал</w:t>
      </w:r>
      <w:r w:rsidRPr="00DE096C">
        <w:rPr>
          <w:bCs/>
          <w:color w:val="002060"/>
          <w:sz w:val="16"/>
          <w:szCs w:val="16"/>
        </w:rPr>
        <w:softHyphen/>
        <w:t>тейскому судостроительному заводу изготовить и установить такие принадлежности на крейсере «Паллада». Мастерам за</w:t>
      </w:r>
      <w:r w:rsidRPr="00DE096C">
        <w:rPr>
          <w:bCs/>
          <w:color w:val="002060"/>
          <w:sz w:val="16"/>
          <w:szCs w:val="16"/>
        </w:rPr>
        <w:softHyphen/>
        <w:t>вода следовало выполнить указания ответственных за это дело корабельного инженера П. Шишкова, являвшегося членом авиационного комитета флота, и опытного пилота лейтенанта П. Ваксмута.</w:t>
      </w:r>
    </w:p>
    <w:p w14:paraId="1E28961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Работы начались с опозданием, осуществить их в намечен</w:t>
      </w:r>
      <w:r w:rsidRPr="00DE096C">
        <w:rPr>
          <w:bCs/>
          <w:color w:val="002060"/>
          <w:sz w:val="16"/>
          <w:szCs w:val="16"/>
        </w:rPr>
        <w:softHyphen/>
        <w:t>ный срок не удалось. Более того, 23 ноября 1913 года, во вре</w:t>
      </w:r>
      <w:r w:rsidRPr="00DE096C">
        <w:rPr>
          <w:bCs/>
          <w:color w:val="002060"/>
          <w:sz w:val="16"/>
          <w:szCs w:val="16"/>
        </w:rPr>
        <w:softHyphen/>
        <w:t>мя испытательного полета гидроплан «С-10» потерпел ава</w:t>
      </w:r>
      <w:r w:rsidRPr="00DE096C">
        <w:rPr>
          <w:bCs/>
          <w:color w:val="002060"/>
          <w:sz w:val="16"/>
          <w:szCs w:val="16"/>
        </w:rPr>
        <w:softHyphen/>
        <w:t>рию. Петр Ваксмут разбился насмерть, Павел Шишков получил ранения. Это происшествие стало причиной остановки работ.</w:t>
      </w:r>
    </w:p>
    <w:p w14:paraId="1611F78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начале Первой мировой войны моряков Балтики потряс</w:t>
      </w:r>
      <w:r w:rsidRPr="00DE096C">
        <w:rPr>
          <w:bCs/>
          <w:color w:val="002060"/>
          <w:sz w:val="16"/>
          <w:szCs w:val="16"/>
        </w:rPr>
        <w:softHyphen/>
        <w:t>ла совершенно неожиданная крупная потеря: 10 октября 1914 года крейсер «Паллада» погиб со всем экипажем в результа</w:t>
      </w:r>
      <w:r w:rsidRPr="00DE096C">
        <w:rPr>
          <w:bCs/>
          <w:color w:val="002060"/>
          <w:sz w:val="16"/>
          <w:szCs w:val="16"/>
        </w:rPr>
        <w:softHyphen/>
        <w:t>те торпедной атаки германской подводной лодки (11283).</w:t>
      </w:r>
    </w:p>
    <w:p w14:paraId="4A509D80" w14:textId="77777777" w:rsidR="00B67D7C" w:rsidRPr="00DE096C" w:rsidRDefault="00B67D7C" w:rsidP="00D45A46">
      <w:pPr>
        <w:shd w:val="clear" w:color="auto" w:fill="FFFFFF"/>
        <w:jc w:val="both"/>
        <w:rPr>
          <w:bCs/>
          <w:color w:val="002060"/>
          <w:sz w:val="16"/>
          <w:szCs w:val="16"/>
        </w:rPr>
      </w:pPr>
    </w:p>
    <w:p w14:paraId="11B71397"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37774466" w14:textId="77777777" w:rsidR="00B67D7C" w:rsidRPr="00DE096C" w:rsidRDefault="00B67D7C" w:rsidP="00D45A46">
      <w:pPr>
        <w:shd w:val="clear" w:color="auto" w:fill="FFFFFF"/>
        <w:jc w:val="both"/>
        <w:rPr>
          <w:bCs/>
          <w:i/>
          <w:color w:val="002060"/>
          <w:sz w:val="16"/>
          <w:szCs w:val="16"/>
        </w:rPr>
      </w:pPr>
    </w:p>
    <w:p w14:paraId="7587CDE6" w14:textId="77777777" w:rsidR="00B67D7C" w:rsidRPr="00DE096C" w:rsidRDefault="00B67D7C" w:rsidP="00D45A46">
      <w:pPr>
        <w:jc w:val="both"/>
        <w:rPr>
          <w:bCs/>
          <w:color w:val="002060"/>
          <w:sz w:val="16"/>
          <w:szCs w:val="16"/>
        </w:rPr>
      </w:pPr>
      <w:r w:rsidRPr="00DE096C">
        <w:rPr>
          <w:bCs/>
          <w:color w:val="002060"/>
          <w:sz w:val="16"/>
          <w:szCs w:val="16"/>
        </w:rPr>
        <w:t>15 (28) февраля 1914 - Военным Советом утверждено представление Главного военного технического управления на изготовление 10 самолетов «Илья Муромец» И.И. Сикорского.</w:t>
      </w:r>
    </w:p>
    <w:p w14:paraId="75F2F061" w14:textId="51DA2DCD" w:rsidR="00B67D7C" w:rsidRPr="00DE096C" w:rsidRDefault="00B67D7C" w:rsidP="00D45A46">
      <w:pPr>
        <w:jc w:val="both"/>
        <w:rPr>
          <w:bCs/>
          <w:color w:val="002060"/>
          <w:sz w:val="16"/>
          <w:szCs w:val="16"/>
        </w:rPr>
      </w:pPr>
    </w:p>
    <w:p w14:paraId="3A1BE23F" w14:textId="3A927486" w:rsidR="008B55AB" w:rsidRPr="00DE096C" w:rsidRDefault="008B55AB" w:rsidP="00D45A46">
      <w:pPr>
        <w:jc w:val="both"/>
        <w:rPr>
          <w:bCs/>
          <w:i/>
          <w:iCs/>
          <w:color w:val="002060"/>
          <w:sz w:val="16"/>
          <w:szCs w:val="16"/>
        </w:rPr>
      </w:pPr>
      <w:r w:rsidRPr="00DE096C">
        <w:rPr>
          <w:bCs/>
          <w:i/>
          <w:iCs/>
          <w:color w:val="002060"/>
          <w:sz w:val="16"/>
          <w:szCs w:val="16"/>
        </w:rPr>
        <w:t>Другие оборонные отрасли:</w:t>
      </w:r>
    </w:p>
    <w:p w14:paraId="13E251EB" w14:textId="77777777" w:rsidR="008B55AB" w:rsidRPr="00DE096C" w:rsidRDefault="008B55AB" w:rsidP="00D45A46">
      <w:pPr>
        <w:jc w:val="both"/>
        <w:rPr>
          <w:bCs/>
          <w:i/>
          <w:iCs/>
          <w:color w:val="002060"/>
          <w:sz w:val="16"/>
          <w:szCs w:val="16"/>
        </w:rPr>
      </w:pPr>
    </w:p>
    <w:p w14:paraId="03FCB4F3" w14:textId="1B3B6D3B" w:rsidR="007B0CF3" w:rsidRPr="00DE096C" w:rsidRDefault="007B0CF3" w:rsidP="00D45A46">
      <w:pPr>
        <w:pStyle w:val="2"/>
        <w:spacing w:before="0" w:after="0"/>
        <w:jc w:val="both"/>
        <w:rPr>
          <w:b w:val="0"/>
          <w:bCs/>
          <w:color w:val="002060"/>
          <w:sz w:val="16"/>
          <w:szCs w:val="16"/>
        </w:rPr>
      </w:pPr>
      <w:r w:rsidRPr="00DE096C">
        <w:rPr>
          <w:b w:val="0"/>
          <w:bCs/>
          <w:color w:val="002060"/>
          <w:sz w:val="16"/>
          <w:szCs w:val="16"/>
        </w:rPr>
        <w:t xml:space="preserve">15 </w:t>
      </w:r>
      <w:r w:rsidR="008B55AB" w:rsidRPr="00DE096C">
        <w:rPr>
          <w:b w:val="0"/>
          <w:bCs/>
          <w:color w:val="002060"/>
          <w:sz w:val="16"/>
          <w:szCs w:val="16"/>
        </w:rPr>
        <w:t xml:space="preserve">(28) </w:t>
      </w:r>
      <w:r w:rsidRPr="00DE096C">
        <w:rPr>
          <w:b w:val="0"/>
          <w:bCs/>
          <w:color w:val="002060"/>
          <w:sz w:val="16"/>
          <w:szCs w:val="16"/>
        </w:rPr>
        <w:t>февраля 1914 г. Меллер, который вплоть до начала войны постоянно совершенствовал конструкции аэросаней и регулярно сам их демонстрировал и рекламировал, разъез</w:t>
      </w:r>
      <w:r w:rsidR="008B55AB" w:rsidRPr="00DE096C">
        <w:rPr>
          <w:b w:val="0"/>
          <w:bCs/>
          <w:color w:val="002060"/>
          <w:sz w:val="16"/>
          <w:szCs w:val="16"/>
        </w:rPr>
        <w:t>жал</w:t>
      </w:r>
      <w:r w:rsidRPr="00DE096C">
        <w:rPr>
          <w:b w:val="0"/>
          <w:bCs/>
          <w:color w:val="002060"/>
          <w:sz w:val="16"/>
          <w:szCs w:val="16"/>
        </w:rPr>
        <w:t xml:space="preserve"> по Ходынке во время проведения авиационного «митинга» (15464)</w:t>
      </w:r>
    </w:p>
    <w:p w14:paraId="10B67D8F" w14:textId="77777777" w:rsidR="007B0CF3" w:rsidRPr="00DE096C" w:rsidRDefault="007B0CF3" w:rsidP="00D45A46">
      <w:pPr>
        <w:pStyle w:val="2"/>
        <w:spacing w:before="0" w:after="0"/>
        <w:jc w:val="both"/>
        <w:rPr>
          <w:b w:val="0"/>
          <w:bCs/>
          <w:color w:val="002060"/>
          <w:sz w:val="16"/>
          <w:szCs w:val="16"/>
        </w:rPr>
      </w:pPr>
    </w:p>
    <w:p w14:paraId="43FBA207" w14:textId="77777777" w:rsidR="00B67D7C" w:rsidRPr="00DE096C" w:rsidRDefault="00B67D7C" w:rsidP="00D45A46">
      <w:pPr>
        <w:jc w:val="both"/>
        <w:rPr>
          <w:bCs/>
          <w:i/>
          <w:color w:val="002060"/>
          <w:sz w:val="16"/>
          <w:szCs w:val="16"/>
        </w:rPr>
      </w:pPr>
      <w:r w:rsidRPr="00DE096C">
        <w:rPr>
          <w:bCs/>
          <w:i/>
          <w:color w:val="002060"/>
          <w:sz w:val="16"/>
          <w:szCs w:val="16"/>
        </w:rPr>
        <w:t>Авиация:</w:t>
      </w:r>
    </w:p>
    <w:p w14:paraId="2783C089" w14:textId="77777777" w:rsidR="00B67D7C" w:rsidRPr="00DE096C" w:rsidRDefault="00B67D7C" w:rsidP="00D45A46">
      <w:pPr>
        <w:jc w:val="both"/>
        <w:rPr>
          <w:bCs/>
          <w:i/>
          <w:color w:val="002060"/>
          <w:sz w:val="16"/>
          <w:szCs w:val="16"/>
        </w:rPr>
      </w:pPr>
    </w:p>
    <w:p w14:paraId="047E010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15 (28) февраля 1914 в Москве, на Ходынском аэродроме проводились опыты с воздушными змеями системы Кропачева. Змейковый "поезд" из 8-9 змеев с корзиной поднимал на высоту 45-50 м. За день на змеях поднялось 20 пассажиров ("Известия Николаевской военной академии". 1914,стр. 582-583).</w:t>
      </w:r>
    </w:p>
    <w:p w14:paraId="70F9C799" w14:textId="77777777" w:rsidR="00B67D7C" w:rsidRPr="00DE096C" w:rsidRDefault="00B67D7C" w:rsidP="00D45A46">
      <w:pPr>
        <w:shd w:val="clear" w:color="auto" w:fill="FFFFFF"/>
        <w:jc w:val="both"/>
        <w:rPr>
          <w:bCs/>
          <w:color w:val="002060"/>
          <w:sz w:val="16"/>
          <w:szCs w:val="16"/>
        </w:rPr>
      </w:pPr>
    </w:p>
    <w:p w14:paraId="76CF29F3" w14:textId="40616355" w:rsidR="00190D1D" w:rsidRPr="00DE096C" w:rsidRDefault="00190D1D" w:rsidP="00D45A46">
      <w:pPr>
        <w:jc w:val="both"/>
        <w:rPr>
          <w:bCs/>
          <w:color w:val="002060"/>
          <w:sz w:val="16"/>
          <w:szCs w:val="16"/>
        </w:rPr>
      </w:pPr>
      <w:r w:rsidRPr="00DE096C">
        <w:rPr>
          <w:bCs/>
          <w:color w:val="002060"/>
          <w:sz w:val="16"/>
          <w:szCs w:val="16"/>
        </w:rPr>
        <w:t>15 (28) февраля 1814 г. в Москве, на Ходын</w:t>
      </w:r>
      <w:r w:rsidR="00F45966" w:rsidRPr="00DE096C">
        <w:rPr>
          <w:bCs/>
          <w:color w:val="002060"/>
          <w:sz w:val="16"/>
          <w:szCs w:val="16"/>
        </w:rPr>
        <w:t>с</w:t>
      </w:r>
      <w:r w:rsidRPr="00DE096C">
        <w:rPr>
          <w:bCs/>
          <w:color w:val="002060"/>
          <w:sz w:val="16"/>
          <w:szCs w:val="16"/>
        </w:rPr>
        <w:t>ком аэродроме проводились опыты о воздушными змеями системы Кропачева. Змейковый "поезд” из 8-9 змеев с корзиной поднимал наблюдателя на высоту 45-50 м. Ха день на змеях поднялось 20 пассажиров.</w:t>
      </w:r>
    </w:p>
    <w:p w14:paraId="0489460B" w14:textId="77777777" w:rsidR="00190D1D" w:rsidRPr="00DE096C" w:rsidRDefault="00190D1D" w:rsidP="00D45A46">
      <w:pPr>
        <w:jc w:val="both"/>
        <w:rPr>
          <w:bCs/>
          <w:color w:val="002060"/>
          <w:sz w:val="16"/>
          <w:szCs w:val="16"/>
        </w:rPr>
      </w:pPr>
      <w:r w:rsidRPr="00DE096C">
        <w:rPr>
          <w:bCs/>
          <w:color w:val="002060"/>
          <w:sz w:val="16"/>
          <w:szCs w:val="16"/>
        </w:rPr>
        <w:t>/"Известия Николаевской военной академии", 1914, стр.582-83/ (23320).</w:t>
      </w:r>
    </w:p>
    <w:p w14:paraId="2150C3BA" w14:textId="77777777" w:rsidR="00190D1D" w:rsidRPr="00DE096C" w:rsidRDefault="00190D1D" w:rsidP="00D45A46">
      <w:pPr>
        <w:jc w:val="both"/>
        <w:rPr>
          <w:bCs/>
          <w:color w:val="002060"/>
          <w:sz w:val="16"/>
          <w:szCs w:val="16"/>
        </w:rPr>
      </w:pPr>
    </w:p>
    <w:p w14:paraId="396B2DEC" w14:textId="77777777" w:rsidR="007B0CF3" w:rsidRPr="00DE096C" w:rsidRDefault="007B0CF3" w:rsidP="00D45A46">
      <w:pPr>
        <w:jc w:val="both"/>
        <w:rPr>
          <w:bCs/>
          <w:i/>
          <w:color w:val="002060"/>
          <w:sz w:val="16"/>
          <w:szCs w:val="16"/>
        </w:rPr>
      </w:pPr>
      <w:r w:rsidRPr="00DE096C">
        <w:rPr>
          <w:bCs/>
          <w:i/>
          <w:color w:val="002060"/>
          <w:sz w:val="16"/>
          <w:szCs w:val="16"/>
        </w:rPr>
        <w:t>Жизнь и внутренняя политика:</w:t>
      </w:r>
    </w:p>
    <w:p w14:paraId="5FCD7B98" w14:textId="77777777" w:rsidR="007B0CF3" w:rsidRPr="00DE096C" w:rsidRDefault="007B0CF3" w:rsidP="00D45A46">
      <w:pPr>
        <w:jc w:val="both"/>
        <w:rPr>
          <w:bCs/>
          <w:i/>
          <w:color w:val="002060"/>
          <w:sz w:val="16"/>
          <w:szCs w:val="16"/>
        </w:rPr>
      </w:pPr>
    </w:p>
    <w:p w14:paraId="690B4D49" w14:textId="49B5C27E" w:rsidR="007B0CF3" w:rsidRPr="00DE096C" w:rsidRDefault="007B0CF3" w:rsidP="00D45A46">
      <w:pPr>
        <w:jc w:val="both"/>
        <w:rPr>
          <w:bCs/>
          <w:color w:val="002060"/>
          <w:sz w:val="16"/>
          <w:szCs w:val="16"/>
        </w:rPr>
      </w:pPr>
      <w:r w:rsidRPr="00DE096C">
        <w:rPr>
          <w:bCs/>
          <w:color w:val="002060"/>
          <w:sz w:val="16"/>
          <w:szCs w:val="16"/>
        </w:rPr>
        <w:t xml:space="preserve">15 </w:t>
      </w:r>
      <w:r w:rsidR="008B55AB" w:rsidRPr="00DE096C">
        <w:rPr>
          <w:bCs/>
          <w:color w:val="002060"/>
          <w:sz w:val="16"/>
          <w:szCs w:val="16"/>
        </w:rPr>
        <w:t xml:space="preserve">(18) </w:t>
      </w:r>
      <w:r w:rsidRPr="00DE096C">
        <w:rPr>
          <w:bCs/>
          <w:color w:val="002060"/>
          <w:sz w:val="16"/>
          <w:szCs w:val="16"/>
        </w:rPr>
        <w:t>февраля в 1914 году император Николай II объявил о начале кампании против чрезмерного потребления алкоголя (15041).</w:t>
      </w:r>
    </w:p>
    <w:p w14:paraId="71A0C5E7" w14:textId="77777777" w:rsidR="007B0CF3" w:rsidRPr="00DE096C" w:rsidRDefault="007B0CF3" w:rsidP="00D45A46">
      <w:pPr>
        <w:jc w:val="both"/>
        <w:rPr>
          <w:bCs/>
          <w:color w:val="002060"/>
          <w:sz w:val="16"/>
          <w:szCs w:val="16"/>
        </w:rPr>
      </w:pPr>
    </w:p>
    <w:p w14:paraId="320E1771" w14:textId="053B9C5E" w:rsidR="00551167" w:rsidRPr="00DE096C" w:rsidRDefault="00551167" w:rsidP="00D45A46">
      <w:pPr>
        <w:jc w:val="both"/>
        <w:rPr>
          <w:bCs/>
          <w:i/>
          <w:color w:val="002060"/>
          <w:sz w:val="16"/>
          <w:szCs w:val="16"/>
        </w:rPr>
      </w:pPr>
      <w:r w:rsidRPr="00DE096C">
        <w:rPr>
          <w:bCs/>
          <w:i/>
          <w:color w:val="002060"/>
          <w:sz w:val="16"/>
          <w:szCs w:val="16"/>
        </w:rPr>
        <w:t>Авиация и воздухоплавание за рубежом:</w:t>
      </w:r>
    </w:p>
    <w:p w14:paraId="61A6284F" w14:textId="77777777" w:rsidR="00551167" w:rsidRPr="00DE096C" w:rsidRDefault="00551167" w:rsidP="00D45A46">
      <w:pPr>
        <w:jc w:val="both"/>
        <w:rPr>
          <w:bCs/>
          <w:i/>
          <w:color w:val="002060"/>
          <w:sz w:val="16"/>
          <w:szCs w:val="16"/>
        </w:rPr>
      </w:pPr>
    </w:p>
    <w:p w14:paraId="2FC91F0F" w14:textId="089D9D45" w:rsidR="00551167" w:rsidRPr="00DE096C" w:rsidRDefault="00551167" w:rsidP="00D45A46">
      <w:pPr>
        <w:jc w:val="both"/>
        <w:rPr>
          <w:bCs/>
          <w:color w:val="002060"/>
          <w:sz w:val="16"/>
          <w:szCs w:val="16"/>
        </w:rPr>
      </w:pPr>
      <w:r w:rsidRPr="00DE096C">
        <w:rPr>
          <w:bCs/>
          <w:color w:val="002060"/>
          <w:sz w:val="16"/>
          <w:szCs w:val="16"/>
        </w:rPr>
        <w:t xml:space="preserve">15 (28) февраля-16 февраля (1 марта) 1914 г. </w:t>
      </w:r>
      <w:r w:rsidR="008B55AB" w:rsidRPr="00DE096C">
        <w:rPr>
          <w:bCs/>
          <w:color w:val="002060"/>
          <w:sz w:val="16"/>
          <w:szCs w:val="16"/>
        </w:rPr>
        <w:t xml:space="preserve">на проходившем </w:t>
      </w:r>
      <w:r w:rsidRPr="00DE096C">
        <w:rPr>
          <w:bCs/>
          <w:color w:val="002060"/>
          <w:sz w:val="16"/>
          <w:szCs w:val="16"/>
        </w:rPr>
        <w:t>в Копенгагене заседании Международной поляр</w:t>
      </w:r>
      <w:r w:rsidRPr="00DE096C">
        <w:rPr>
          <w:bCs/>
          <w:color w:val="002060"/>
          <w:sz w:val="16"/>
          <w:szCs w:val="16"/>
        </w:rPr>
        <w:softHyphen/>
        <w:t>ной комиссии научного воздухоплавания был намечен обширный план наблюдений в поляр</w:t>
      </w:r>
      <w:r w:rsidRPr="00DE096C">
        <w:rPr>
          <w:bCs/>
          <w:color w:val="002060"/>
          <w:sz w:val="16"/>
          <w:szCs w:val="16"/>
        </w:rPr>
        <w:softHyphen/>
        <w:t>ной области. Россия планировала снарядить три экспедиции: в Малые Кармакулы (Новая Земля), в Якутск и оттуда выделить добавочную в Верхо</w:t>
      </w:r>
      <w:r w:rsidRPr="00DE096C">
        <w:rPr>
          <w:bCs/>
          <w:color w:val="002060"/>
          <w:sz w:val="16"/>
          <w:szCs w:val="16"/>
        </w:rPr>
        <w:softHyphen/>
        <w:t>янск — область континентального полюса холо</w:t>
      </w:r>
      <w:r w:rsidRPr="00DE096C">
        <w:rPr>
          <w:bCs/>
          <w:color w:val="002060"/>
          <w:sz w:val="16"/>
          <w:szCs w:val="16"/>
        </w:rPr>
        <w:softHyphen/>
        <w:t>да. Намечалось создание шаропилотных станций в Александровске-на-Мурмане, Архангельске, на о. Вайгач и в Обдорске, на что были «ассигнованы в законодательном порядке необходимые сред</w:t>
      </w:r>
      <w:r w:rsidRPr="00DE096C">
        <w:rPr>
          <w:bCs/>
          <w:color w:val="002060"/>
          <w:sz w:val="16"/>
          <w:szCs w:val="16"/>
        </w:rPr>
        <w:softHyphen/>
        <w:t>ства». Война помешала выполнению этих планов (20120).</w:t>
      </w:r>
    </w:p>
    <w:p w14:paraId="51B9619B" w14:textId="77777777" w:rsidR="00551167" w:rsidRPr="00DE096C" w:rsidRDefault="00551167" w:rsidP="00D45A46">
      <w:pPr>
        <w:jc w:val="both"/>
        <w:rPr>
          <w:bCs/>
          <w:color w:val="002060"/>
          <w:sz w:val="16"/>
          <w:szCs w:val="16"/>
        </w:rPr>
      </w:pPr>
    </w:p>
    <w:p w14:paraId="05CBCF4E" w14:textId="24AD910E" w:rsidR="00F45966" w:rsidRPr="00DE096C" w:rsidRDefault="00F45966" w:rsidP="00D45A46">
      <w:pPr>
        <w:jc w:val="both"/>
        <w:rPr>
          <w:bCs/>
          <w:i/>
          <w:color w:val="002060"/>
          <w:sz w:val="16"/>
          <w:szCs w:val="16"/>
        </w:rPr>
      </w:pPr>
      <w:r w:rsidRPr="00DE096C">
        <w:rPr>
          <w:bCs/>
          <w:i/>
          <w:color w:val="002060"/>
          <w:sz w:val="16"/>
          <w:szCs w:val="16"/>
        </w:rPr>
        <w:t>Авиация:</w:t>
      </w:r>
    </w:p>
    <w:p w14:paraId="0711210F" w14:textId="77777777" w:rsidR="00F45966" w:rsidRPr="00DE096C" w:rsidRDefault="00F45966" w:rsidP="00D45A46">
      <w:pPr>
        <w:jc w:val="both"/>
        <w:rPr>
          <w:bCs/>
          <w:i/>
          <w:color w:val="002060"/>
          <w:sz w:val="16"/>
          <w:szCs w:val="16"/>
        </w:rPr>
      </w:pPr>
    </w:p>
    <w:p w14:paraId="372DE92F" w14:textId="2874CA92" w:rsidR="00F45966" w:rsidRPr="00DE096C" w:rsidRDefault="00F45966" w:rsidP="00D45A46">
      <w:pPr>
        <w:jc w:val="both"/>
        <w:rPr>
          <w:bCs/>
          <w:color w:val="002060"/>
          <w:sz w:val="16"/>
          <w:szCs w:val="16"/>
        </w:rPr>
      </w:pPr>
      <w:r w:rsidRPr="00DE096C">
        <w:rPr>
          <w:bCs/>
          <w:color w:val="002060"/>
          <w:sz w:val="16"/>
          <w:szCs w:val="16"/>
          <w:lang w:bidi="en-US"/>
        </w:rPr>
        <w:t>К 16 февраля (1 марта) 1914 г. было сформировано шесть авиационных рот (их командиры подчинялись начальникам штабов соответствующих военных округов): 1-я авиационная рота (в Санкт-Петербурге) - командир Полковник Герман; 2-я авиационная рота (переведена из Севастополя в Варшаву) - командир Полковник Лихачев; 3-я авиационная рота (в Киеве) - командир Подполковник Боресков; 4-я авиационная рота (в Лиде) (сформирована 23 марта) - командир Капитан Рещиков; 5-я авиационная рота (в Броннице) (сформирована 15 марта) - командир - капитан Нижевский; 6-я авиационная рота (в Одессе) (сформирована 14 марта) - командир неизвестен (23525).</w:t>
      </w:r>
    </w:p>
    <w:p w14:paraId="77577468" w14:textId="77777777" w:rsidR="00F45966" w:rsidRPr="00DE096C" w:rsidRDefault="00F45966" w:rsidP="00D45A46">
      <w:pPr>
        <w:jc w:val="both"/>
        <w:rPr>
          <w:bCs/>
          <w:color w:val="002060"/>
          <w:sz w:val="16"/>
          <w:szCs w:val="16"/>
          <w:lang w:bidi="ru-RU"/>
        </w:rPr>
      </w:pPr>
    </w:p>
    <w:p w14:paraId="60CB03CF" w14:textId="76DC9370" w:rsidR="00575BAA" w:rsidRPr="00DE096C" w:rsidRDefault="00575BAA" w:rsidP="00D45A46">
      <w:pPr>
        <w:jc w:val="both"/>
        <w:rPr>
          <w:bCs/>
          <w:i/>
          <w:color w:val="002060"/>
          <w:sz w:val="16"/>
          <w:szCs w:val="16"/>
        </w:rPr>
      </w:pPr>
      <w:r w:rsidRPr="00DE096C">
        <w:rPr>
          <w:bCs/>
          <w:i/>
          <w:color w:val="002060"/>
          <w:sz w:val="16"/>
          <w:szCs w:val="16"/>
        </w:rPr>
        <w:t>Авиация и воздухоплавание Франции:</w:t>
      </w:r>
    </w:p>
    <w:p w14:paraId="675E1522" w14:textId="77777777" w:rsidR="00575BAA" w:rsidRPr="00DE096C" w:rsidRDefault="00575BAA" w:rsidP="00D45A46">
      <w:pPr>
        <w:jc w:val="both"/>
        <w:rPr>
          <w:bCs/>
          <w:i/>
          <w:color w:val="002060"/>
          <w:sz w:val="16"/>
          <w:szCs w:val="16"/>
        </w:rPr>
      </w:pPr>
    </w:p>
    <w:p w14:paraId="1F5D99A3" w14:textId="77777777" w:rsidR="00575BAA" w:rsidRPr="00DE096C" w:rsidRDefault="00575BAA" w:rsidP="00D45A46">
      <w:pPr>
        <w:jc w:val="both"/>
        <w:rPr>
          <w:bCs/>
          <w:color w:val="002060"/>
          <w:sz w:val="16"/>
          <w:szCs w:val="16"/>
        </w:rPr>
      </w:pPr>
      <w:r w:rsidRPr="00DE096C">
        <w:rPr>
          <w:bCs/>
          <w:color w:val="002060"/>
          <w:sz w:val="16"/>
          <w:szCs w:val="16"/>
        </w:rPr>
        <w:t>17 февраля (2 марта) в 1914 году французский пилот Роллан Гаро, на биплане Поля Шмита «Schmitt 7», установил мировой рекорд: полет с тремя пассажирами на высоту 3225 метров (15056).</w:t>
      </w:r>
    </w:p>
    <w:p w14:paraId="64DBC559" w14:textId="77777777" w:rsidR="00575BAA" w:rsidRPr="00DE096C" w:rsidRDefault="00575BAA" w:rsidP="00D45A46">
      <w:pPr>
        <w:jc w:val="both"/>
        <w:rPr>
          <w:bCs/>
          <w:color w:val="002060"/>
          <w:sz w:val="16"/>
          <w:szCs w:val="16"/>
        </w:rPr>
      </w:pPr>
    </w:p>
    <w:p w14:paraId="1060A72E" w14:textId="77777777" w:rsidR="00551167" w:rsidRPr="00DE096C" w:rsidRDefault="00551167" w:rsidP="00D45A46">
      <w:pPr>
        <w:jc w:val="both"/>
        <w:rPr>
          <w:bCs/>
          <w:color w:val="002060"/>
          <w:sz w:val="16"/>
          <w:szCs w:val="16"/>
        </w:rPr>
      </w:pPr>
      <w:r w:rsidRPr="00DE096C">
        <w:rPr>
          <w:bCs/>
          <w:color w:val="002060"/>
          <w:sz w:val="16"/>
          <w:szCs w:val="16"/>
        </w:rPr>
        <w:t>17 февраля (2 марта) 1914 - Французский пилот Роллан Гаро, на биплане Поля Шмита «Schmitt 7», установил мировой рекорд: полет с тремя пассажирами на высоту 3225 метров (22581).</w:t>
      </w:r>
    </w:p>
    <w:p w14:paraId="66FA3EFD" w14:textId="77777777" w:rsidR="00551167" w:rsidRPr="00DE096C" w:rsidRDefault="00551167" w:rsidP="00D45A46">
      <w:pPr>
        <w:jc w:val="both"/>
        <w:rPr>
          <w:bCs/>
          <w:color w:val="002060"/>
          <w:sz w:val="16"/>
          <w:szCs w:val="16"/>
        </w:rPr>
      </w:pPr>
    </w:p>
    <w:p w14:paraId="3581551C" w14:textId="77777777" w:rsidR="00551167" w:rsidRPr="00DE096C" w:rsidRDefault="00551167" w:rsidP="00D45A46">
      <w:pPr>
        <w:jc w:val="both"/>
        <w:rPr>
          <w:bCs/>
          <w:i/>
          <w:color w:val="002060"/>
          <w:sz w:val="16"/>
          <w:szCs w:val="16"/>
        </w:rPr>
      </w:pPr>
      <w:r w:rsidRPr="00DE096C">
        <w:rPr>
          <w:bCs/>
          <w:i/>
          <w:color w:val="002060"/>
          <w:sz w:val="16"/>
          <w:szCs w:val="16"/>
        </w:rPr>
        <w:t>Авиация и воздухоплавание за рубежом:</w:t>
      </w:r>
    </w:p>
    <w:p w14:paraId="3DAAE931" w14:textId="77777777" w:rsidR="00551167" w:rsidRPr="00DE096C" w:rsidRDefault="00551167" w:rsidP="00D45A46">
      <w:pPr>
        <w:jc w:val="both"/>
        <w:rPr>
          <w:bCs/>
          <w:i/>
          <w:color w:val="002060"/>
          <w:sz w:val="16"/>
          <w:szCs w:val="16"/>
        </w:rPr>
      </w:pPr>
    </w:p>
    <w:p w14:paraId="456C802F" w14:textId="77777777" w:rsidR="00551167" w:rsidRPr="00DE096C" w:rsidRDefault="00551167" w:rsidP="00D45A46">
      <w:pPr>
        <w:jc w:val="both"/>
        <w:rPr>
          <w:bCs/>
          <w:color w:val="002060"/>
          <w:sz w:val="16"/>
          <w:szCs w:val="16"/>
        </w:rPr>
      </w:pPr>
      <w:r w:rsidRPr="00DE096C">
        <w:rPr>
          <w:bCs/>
          <w:color w:val="002060"/>
          <w:sz w:val="16"/>
          <w:szCs w:val="16"/>
        </w:rPr>
        <w:t>18 февраля (1 марта) 1914 пионер аргентинской авиации Хорхе Ньюбери (р. 1875) погиб в авиакатастрофе в Эстансия «Лос Тамариндос» при выполнении высшего пилотажа перед попыткой пересечь Анды по воздуху (20337).</w:t>
      </w:r>
    </w:p>
    <w:p w14:paraId="6E7E5C38" w14:textId="77777777" w:rsidR="00551167" w:rsidRPr="00DE096C" w:rsidRDefault="00551167" w:rsidP="00D45A46">
      <w:pPr>
        <w:jc w:val="both"/>
        <w:rPr>
          <w:bCs/>
          <w:color w:val="002060"/>
          <w:sz w:val="16"/>
          <w:szCs w:val="16"/>
        </w:rPr>
      </w:pPr>
    </w:p>
    <w:p w14:paraId="5E2EDDF1" w14:textId="77777777" w:rsidR="00575BAA" w:rsidRPr="00DE096C" w:rsidRDefault="00575BAA" w:rsidP="00D45A46">
      <w:pPr>
        <w:jc w:val="both"/>
        <w:rPr>
          <w:bCs/>
          <w:i/>
          <w:color w:val="002060"/>
          <w:sz w:val="16"/>
          <w:szCs w:val="16"/>
        </w:rPr>
      </w:pPr>
      <w:r w:rsidRPr="00DE096C">
        <w:rPr>
          <w:bCs/>
          <w:i/>
          <w:color w:val="002060"/>
          <w:sz w:val="16"/>
          <w:szCs w:val="16"/>
        </w:rPr>
        <w:t>Другие оборонные отрасли:</w:t>
      </w:r>
    </w:p>
    <w:p w14:paraId="470554FF" w14:textId="77777777" w:rsidR="00575BAA" w:rsidRPr="00DE096C" w:rsidRDefault="00575BAA" w:rsidP="00D45A46">
      <w:pPr>
        <w:jc w:val="both"/>
        <w:rPr>
          <w:bCs/>
          <w:i/>
          <w:color w:val="002060"/>
          <w:sz w:val="16"/>
          <w:szCs w:val="16"/>
        </w:rPr>
      </w:pPr>
    </w:p>
    <w:p w14:paraId="329A8A70" w14:textId="200045A8" w:rsidR="00575BAA" w:rsidRPr="00DE096C" w:rsidRDefault="00575BAA" w:rsidP="00D45A46">
      <w:pPr>
        <w:jc w:val="both"/>
        <w:rPr>
          <w:bCs/>
          <w:color w:val="002060"/>
          <w:sz w:val="16"/>
          <w:szCs w:val="16"/>
        </w:rPr>
      </w:pPr>
      <w:r w:rsidRPr="00DE096C">
        <w:rPr>
          <w:bCs/>
          <w:color w:val="002060"/>
          <w:sz w:val="16"/>
          <w:szCs w:val="16"/>
        </w:rPr>
        <w:t xml:space="preserve">19 февраля </w:t>
      </w:r>
      <w:r w:rsidR="00E61298" w:rsidRPr="00DE096C">
        <w:rPr>
          <w:bCs/>
          <w:color w:val="002060"/>
          <w:sz w:val="16"/>
          <w:szCs w:val="16"/>
        </w:rPr>
        <w:t xml:space="preserve">(2 марта) </w:t>
      </w:r>
      <w:r w:rsidRPr="00DE096C">
        <w:rPr>
          <w:bCs/>
          <w:color w:val="002060"/>
          <w:sz w:val="16"/>
          <w:szCs w:val="16"/>
        </w:rPr>
        <w:t>1914 г. вышло решение Адмиралтейств-Совета об освобождении контрагентов Морского ведомства от внесения залога в обеспечение исправного выполнения контрактов, что способствовало привлечению частных компаний. Однако фирмы несли перед заказчиком ответственность всем своим имуществом на основании свидетельств о производительности, ежегодно выдаваемых им фабричными инспекторами4. Это решение было подтверждено новыми разрешениями Адмиралтейств-Совета 26 июня 1914 г.5 и 21 января 1916 г. (18297).</w:t>
      </w:r>
    </w:p>
    <w:p w14:paraId="6DBDAF52" w14:textId="77777777" w:rsidR="00575BAA" w:rsidRPr="00DE096C" w:rsidRDefault="00575BAA" w:rsidP="00D45A46">
      <w:pPr>
        <w:jc w:val="both"/>
        <w:rPr>
          <w:bCs/>
          <w:color w:val="002060"/>
          <w:sz w:val="16"/>
          <w:szCs w:val="16"/>
        </w:rPr>
      </w:pPr>
    </w:p>
    <w:p w14:paraId="20FBC551"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75CD76E2" w14:textId="77777777" w:rsidR="00B67D7C" w:rsidRPr="00DE096C" w:rsidRDefault="00B67D7C" w:rsidP="00D45A46">
      <w:pPr>
        <w:shd w:val="clear" w:color="auto" w:fill="FFFFFF"/>
        <w:jc w:val="both"/>
        <w:rPr>
          <w:bCs/>
          <w:i/>
          <w:color w:val="002060"/>
          <w:sz w:val="16"/>
          <w:szCs w:val="16"/>
        </w:rPr>
      </w:pPr>
    </w:p>
    <w:p w14:paraId="6656C0B9" w14:textId="457CF794" w:rsidR="00B67D7C" w:rsidRPr="00DE096C" w:rsidRDefault="00B67D7C" w:rsidP="00D45A46">
      <w:pPr>
        <w:shd w:val="clear" w:color="auto" w:fill="FFFFFF"/>
        <w:jc w:val="both"/>
        <w:rPr>
          <w:bCs/>
          <w:color w:val="002060"/>
          <w:sz w:val="16"/>
          <w:szCs w:val="16"/>
        </w:rPr>
      </w:pPr>
      <w:r w:rsidRPr="00DE096C">
        <w:rPr>
          <w:bCs/>
          <w:color w:val="002060"/>
          <w:sz w:val="16"/>
          <w:szCs w:val="16"/>
        </w:rPr>
        <w:t>20 февраля (5 марта) 1914 г. командующий Черноморским флотом адмирал А. А. Эбергард, делясь с начальником МГШ мыслями о необходимости оснащения аэропланов радиотелеграфными станциями, писал о том, что не следовало гнаться за универсальностью этих средств связи. По его мнению, для больших аппаратов типа «Илья Муромец» надлежало иметь установки дальнего действия, питаемые специальными генераторами, приводимыми в рабочее состояние вспомогательными моторами на борту воздушных кораблей. Станции гидроаэропланов прибрежного базирования, призванных выполнять опе</w:t>
      </w:r>
      <w:r w:rsidRPr="00DE096C">
        <w:rPr>
          <w:bCs/>
          <w:color w:val="002060"/>
          <w:sz w:val="16"/>
          <w:szCs w:val="16"/>
        </w:rPr>
        <w:softHyphen/>
        <w:t>ративно-тактические задачи, обладали бы средним радиусом и работали бы от самолетных аккумулято</w:t>
      </w:r>
      <w:r w:rsidRPr="00DE096C">
        <w:rPr>
          <w:bCs/>
          <w:color w:val="002060"/>
          <w:sz w:val="16"/>
          <w:szCs w:val="16"/>
        </w:rPr>
        <w:softHyphen/>
        <w:t>ров, как и станции самого ближнего действия, находящиеся на корабельных летательных аппаратах. Эбергард просил принять необходимые меры к заказу соответствующего оборудования (2807).</w:t>
      </w:r>
    </w:p>
    <w:p w14:paraId="292C6687" w14:textId="77777777" w:rsidR="00B67D7C" w:rsidRPr="00DE096C" w:rsidRDefault="00B67D7C" w:rsidP="00D45A46">
      <w:pPr>
        <w:shd w:val="clear" w:color="auto" w:fill="FFFFFF"/>
        <w:jc w:val="both"/>
        <w:rPr>
          <w:bCs/>
          <w:color w:val="002060"/>
          <w:sz w:val="16"/>
          <w:szCs w:val="16"/>
        </w:rPr>
      </w:pPr>
    </w:p>
    <w:p w14:paraId="27662369"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146928DF" w14:textId="77777777" w:rsidR="00B67D7C" w:rsidRPr="00DE096C" w:rsidRDefault="00B67D7C" w:rsidP="00D45A46">
      <w:pPr>
        <w:shd w:val="clear" w:color="auto" w:fill="FFFFFF"/>
        <w:jc w:val="both"/>
        <w:rPr>
          <w:bCs/>
          <w:i/>
          <w:color w:val="002060"/>
          <w:sz w:val="16"/>
          <w:szCs w:val="16"/>
        </w:rPr>
      </w:pPr>
    </w:p>
    <w:p w14:paraId="2151AF8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21 февраля (6 марта) 1914 г. Ч.М.Кеннеди и В.А.Слесарев подали в Главное Военно-техническое управление (ГВТУ) военного министер</w:t>
      </w:r>
      <w:r w:rsidRPr="00DE096C">
        <w:rPr>
          <w:bCs/>
          <w:color w:val="002060"/>
          <w:sz w:val="16"/>
          <w:szCs w:val="16"/>
        </w:rPr>
        <w:softHyphen/>
        <w:t>ства "прошение" (ЦГВИА, ф. 802, оп. 4, д. 2223, л. 190-193) с предложением постройки бипла</w:t>
      </w:r>
      <w:r w:rsidRPr="00DE096C">
        <w:rPr>
          <w:bCs/>
          <w:color w:val="002060"/>
          <w:sz w:val="16"/>
          <w:szCs w:val="16"/>
        </w:rPr>
        <w:softHyphen/>
        <w:t>на "Кеннеди" № 2 со следующими параметрами: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B67D7C" w:rsidRPr="00DE096C" w14:paraId="6AF00C93" w14:textId="77777777" w:rsidTr="00C2024A">
        <w:tc>
          <w:tcPr>
            <w:tcW w:w="4788" w:type="dxa"/>
            <w:shd w:val="clear" w:color="auto" w:fill="FFFFFF"/>
          </w:tcPr>
          <w:p w14:paraId="55C8AB6F" w14:textId="77777777" w:rsidR="00B67D7C" w:rsidRPr="00DE096C" w:rsidRDefault="00B67D7C" w:rsidP="00D45A46">
            <w:pPr>
              <w:jc w:val="both"/>
              <w:rPr>
                <w:bCs/>
                <w:color w:val="002060"/>
                <w:sz w:val="16"/>
                <w:szCs w:val="16"/>
              </w:rPr>
            </w:pPr>
            <w:r w:rsidRPr="00DE096C">
              <w:rPr>
                <w:bCs/>
                <w:color w:val="002060"/>
                <w:sz w:val="16"/>
                <w:szCs w:val="16"/>
              </w:rPr>
              <w:t>размах верхнего крыла</w:t>
            </w:r>
          </w:p>
        </w:tc>
        <w:tc>
          <w:tcPr>
            <w:tcW w:w="4788" w:type="dxa"/>
            <w:shd w:val="clear" w:color="auto" w:fill="FFFFFF"/>
          </w:tcPr>
          <w:p w14:paraId="0E659ACB" w14:textId="77777777" w:rsidR="00B67D7C" w:rsidRPr="00DE096C" w:rsidRDefault="00B67D7C" w:rsidP="00D45A46">
            <w:pPr>
              <w:jc w:val="both"/>
              <w:rPr>
                <w:bCs/>
                <w:color w:val="002060"/>
                <w:sz w:val="16"/>
                <w:szCs w:val="16"/>
              </w:rPr>
            </w:pPr>
            <w:r w:rsidRPr="00DE096C">
              <w:rPr>
                <w:bCs/>
                <w:color w:val="002060"/>
                <w:sz w:val="16"/>
                <w:szCs w:val="16"/>
              </w:rPr>
              <w:t xml:space="preserve"> 36 м,</w:t>
            </w:r>
          </w:p>
        </w:tc>
      </w:tr>
      <w:tr w:rsidR="00B67D7C" w:rsidRPr="00DE096C" w14:paraId="0BD1AD25" w14:textId="77777777" w:rsidTr="00C2024A">
        <w:tc>
          <w:tcPr>
            <w:tcW w:w="4788" w:type="dxa"/>
            <w:shd w:val="clear" w:color="auto" w:fill="FFFFFF"/>
          </w:tcPr>
          <w:p w14:paraId="161F5166" w14:textId="77777777" w:rsidR="00B67D7C" w:rsidRPr="00DE096C" w:rsidRDefault="00B67D7C" w:rsidP="00D45A46">
            <w:pPr>
              <w:jc w:val="both"/>
              <w:rPr>
                <w:bCs/>
                <w:color w:val="002060"/>
                <w:sz w:val="16"/>
                <w:szCs w:val="16"/>
              </w:rPr>
            </w:pPr>
            <w:r w:rsidRPr="00DE096C">
              <w:rPr>
                <w:bCs/>
                <w:color w:val="002060"/>
                <w:sz w:val="16"/>
                <w:szCs w:val="16"/>
              </w:rPr>
              <w:t>общая площадь крыльев</w:t>
            </w:r>
          </w:p>
        </w:tc>
        <w:tc>
          <w:tcPr>
            <w:tcW w:w="4788" w:type="dxa"/>
            <w:shd w:val="clear" w:color="auto" w:fill="FFFFFF"/>
          </w:tcPr>
          <w:p w14:paraId="4A828268" w14:textId="77777777" w:rsidR="00B67D7C" w:rsidRPr="00DE096C" w:rsidRDefault="00B67D7C" w:rsidP="00D45A46">
            <w:pPr>
              <w:jc w:val="both"/>
              <w:rPr>
                <w:bCs/>
                <w:color w:val="002060"/>
                <w:sz w:val="16"/>
                <w:szCs w:val="16"/>
              </w:rPr>
            </w:pPr>
            <w:r w:rsidRPr="00DE096C">
              <w:rPr>
                <w:bCs/>
                <w:color w:val="002060"/>
                <w:sz w:val="16"/>
                <w:szCs w:val="16"/>
              </w:rPr>
              <w:t xml:space="preserve"> 184,5,</w:t>
            </w:r>
          </w:p>
        </w:tc>
      </w:tr>
      <w:tr w:rsidR="00B67D7C" w:rsidRPr="00DE096C" w14:paraId="3AD97D3C" w14:textId="77777777" w:rsidTr="00C2024A">
        <w:tc>
          <w:tcPr>
            <w:tcW w:w="4788" w:type="dxa"/>
            <w:shd w:val="clear" w:color="auto" w:fill="FFFFFF"/>
          </w:tcPr>
          <w:p w14:paraId="05EC245C" w14:textId="77777777" w:rsidR="00B67D7C" w:rsidRPr="00DE096C" w:rsidRDefault="00B67D7C" w:rsidP="00D45A46">
            <w:pPr>
              <w:jc w:val="both"/>
              <w:rPr>
                <w:bCs/>
                <w:color w:val="002060"/>
                <w:sz w:val="16"/>
                <w:szCs w:val="16"/>
              </w:rPr>
            </w:pPr>
            <w:r w:rsidRPr="00DE096C">
              <w:rPr>
                <w:bCs/>
                <w:color w:val="002060"/>
                <w:sz w:val="16"/>
                <w:szCs w:val="16"/>
              </w:rPr>
              <w:t>длина корпуса</w:t>
            </w:r>
          </w:p>
        </w:tc>
        <w:tc>
          <w:tcPr>
            <w:tcW w:w="4788" w:type="dxa"/>
            <w:shd w:val="clear" w:color="auto" w:fill="FFFFFF"/>
          </w:tcPr>
          <w:p w14:paraId="4F3B8E93" w14:textId="77777777" w:rsidR="00B67D7C" w:rsidRPr="00DE096C" w:rsidRDefault="00B67D7C" w:rsidP="00D45A46">
            <w:pPr>
              <w:jc w:val="both"/>
              <w:rPr>
                <w:bCs/>
                <w:color w:val="002060"/>
                <w:sz w:val="16"/>
                <w:szCs w:val="16"/>
              </w:rPr>
            </w:pPr>
            <w:r w:rsidRPr="00DE096C">
              <w:rPr>
                <w:bCs/>
                <w:color w:val="002060"/>
                <w:sz w:val="16"/>
                <w:szCs w:val="16"/>
              </w:rPr>
              <w:t xml:space="preserve"> 19,65 м,</w:t>
            </w:r>
          </w:p>
        </w:tc>
      </w:tr>
      <w:tr w:rsidR="00B67D7C" w:rsidRPr="00DE096C" w14:paraId="19881009" w14:textId="77777777" w:rsidTr="00C2024A">
        <w:tc>
          <w:tcPr>
            <w:tcW w:w="4788" w:type="dxa"/>
            <w:shd w:val="clear" w:color="auto" w:fill="FFFFFF"/>
          </w:tcPr>
          <w:p w14:paraId="44A64CD9" w14:textId="77777777" w:rsidR="00B67D7C" w:rsidRPr="00DE096C" w:rsidRDefault="00B67D7C" w:rsidP="00D45A46">
            <w:pPr>
              <w:jc w:val="both"/>
              <w:rPr>
                <w:bCs/>
                <w:color w:val="002060"/>
                <w:sz w:val="16"/>
                <w:szCs w:val="16"/>
              </w:rPr>
            </w:pPr>
            <w:r w:rsidRPr="00DE096C">
              <w:rPr>
                <w:bCs/>
                <w:color w:val="002060"/>
                <w:sz w:val="16"/>
                <w:szCs w:val="16"/>
              </w:rPr>
              <w:t xml:space="preserve">высота самолета </w:t>
            </w:r>
          </w:p>
        </w:tc>
        <w:tc>
          <w:tcPr>
            <w:tcW w:w="4788" w:type="dxa"/>
            <w:shd w:val="clear" w:color="auto" w:fill="FFFFFF"/>
          </w:tcPr>
          <w:p w14:paraId="3ADF09CF" w14:textId="77777777" w:rsidR="00B67D7C" w:rsidRPr="00DE096C" w:rsidRDefault="00B67D7C" w:rsidP="00D45A46">
            <w:pPr>
              <w:jc w:val="both"/>
              <w:rPr>
                <w:bCs/>
                <w:color w:val="002060"/>
                <w:sz w:val="16"/>
                <w:szCs w:val="16"/>
              </w:rPr>
            </w:pPr>
            <w:r w:rsidRPr="00DE096C">
              <w:rPr>
                <w:bCs/>
                <w:color w:val="002060"/>
                <w:sz w:val="16"/>
                <w:szCs w:val="16"/>
              </w:rPr>
              <w:t>6 м,</w:t>
            </w:r>
          </w:p>
        </w:tc>
      </w:tr>
      <w:tr w:rsidR="00B67D7C" w:rsidRPr="00DE096C" w14:paraId="6DA419A8" w14:textId="77777777" w:rsidTr="00C2024A">
        <w:tc>
          <w:tcPr>
            <w:tcW w:w="4788" w:type="dxa"/>
            <w:shd w:val="clear" w:color="auto" w:fill="FFFFFF"/>
          </w:tcPr>
          <w:p w14:paraId="13DBE7D6" w14:textId="77777777" w:rsidR="00B67D7C" w:rsidRPr="00DE096C" w:rsidRDefault="00B67D7C" w:rsidP="00D45A46">
            <w:pPr>
              <w:jc w:val="both"/>
              <w:rPr>
                <w:bCs/>
                <w:color w:val="002060"/>
                <w:sz w:val="16"/>
                <w:szCs w:val="16"/>
              </w:rPr>
            </w:pPr>
            <w:r w:rsidRPr="00DE096C">
              <w:rPr>
                <w:bCs/>
                <w:color w:val="002060"/>
                <w:sz w:val="16"/>
                <w:szCs w:val="16"/>
              </w:rPr>
              <w:t>диаметр винтов</w:t>
            </w:r>
          </w:p>
        </w:tc>
        <w:tc>
          <w:tcPr>
            <w:tcW w:w="4788" w:type="dxa"/>
            <w:shd w:val="clear" w:color="auto" w:fill="FFFFFF"/>
          </w:tcPr>
          <w:p w14:paraId="7659C9EA" w14:textId="77777777" w:rsidR="00B67D7C" w:rsidRPr="00DE096C" w:rsidRDefault="00B67D7C" w:rsidP="00D45A46">
            <w:pPr>
              <w:jc w:val="both"/>
              <w:rPr>
                <w:bCs/>
                <w:color w:val="002060"/>
                <w:sz w:val="16"/>
                <w:szCs w:val="16"/>
              </w:rPr>
            </w:pPr>
            <w:r w:rsidRPr="00DE096C">
              <w:rPr>
                <w:bCs/>
                <w:color w:val="002060"/>
                <w:sz w:val="16"/>
                <w:szCs w:val="16"/>
              </w:rPr>
              <w:t xml:space="preserve"> 7 м,</w:t>
            </w:r>
          </w:p>
        </w:tc>
      </w:tr>
      <w:tr w:rsidR="00B67D7C" w:rsidRPr="00DE096C" w14:paraId="083D8DBF" w14:textId="77777777" w:rsidTr="00C2024A">
        <w:tc>
          <w:tcPr>
            <w:tcW w:w="4788" w:type="dxa"/>
            <w:shd w:val="clear" w:color="auto" w:fill="FFFFFF"/>
          </w:tcPr>
          <w:p w14:paraId="4B79216A" w14:textId="77777777" w:rsidR="00B67D7C" w:rsidRPr="00DE096C" w:rsidRDefault="00B67D7C" w:rsidP="00D45A46">
            <w:pPr>
              <w:jc w:val="both"/>
              <w:rPr>
                <w:bCs/>
                <w:color w:val="002060"/>
                <w:sz w:val="16"/>
                <w:szCs w:val="16"/>
              </w:rPr>
            </w:pPr>
            <w:r w:rsidRPr="00DE096C">
              <w:rPr>
                <w:bCs/>
                <w:color w:val="002060"/>
                <w:sz w:val="16"/>
                <w:szCs w:val="16"/>
              </w:rPr>
              <w:t>шаг винтов</w:t>
            </w:r>
          </w:p>
        </w:tc>
        <w:tc>
          <w:tcPr>
            <w:tcW w:w="4788" w:type="dxa"/>
            <w:shd w:val="clear" w:color="auto" w:fill="FFFFFF"/>
          </w:tcPr>
          <w:p w14:paraId="0103C231" w14:textId="77777777" w:rsidR="00B67D7C" w:rsidRPr="00DE096C" w:rsidRDefault="00B67D7C" w:rsidP="00D45A46">
            <w:pPr>
              <w:jc w:val="both"/>
              <w:rPr>
                <w:bCs/>
                <w:color w:val="002060"/>
                <w:sz w:val="16"/>
                <w:szCs w:val="16"/>
              </w:rPr>
            </w:pPr>
            <w:r w:rsidRPr="00DE096C">
              <w:rPr>
                <w:bCs/>
                <w:color w:val="002060"/>
                <w:sz w:val="16"/>
                <w:szCs w:val="16"/>
              </w:rPr>
              <w:t xml:space="preserve"> 8,05 м,</w:t>
            </w:r>
          </w:p>
        </w:tc>
      </w:tr>
      <w:tr w:rsidR="00B67D7C" w:rsidRPr="00DE096C" w14:paraId="336DF103" w14:textId="77777777" w:rsidTr="00C2024A">
        <w:tc>
          <w:tcPr>
            <w:tcW w:w="4788" w:type="dxa"/>
            <w:shd w:val="clear" w:color="auto" w:fill="FFFFFF"/>
          </w:tcPr>
          <w:p w14:paraId="3C7397DA" w14:textId="77777777" w:rsidR="00B67D7C" w:rsidRPr="00DE096C" w:rsidRDefault="00B67D7C" w:rsidP="00D45A46">
            <w:pPr>
              <w:jc w:val="both"/>
              <w:rPr>
                <w:bCs/>
                <w:color w:val="002060"/>
                <w:sz w:val="16"/>
                <w:szCs w:val="16"/>
              </w:rPr>
            </w:pPr>
            <w:r w:rsidRPr="00DE096C">
              <w:rPr>
                <w:bCs/>
                <w:color w:val="002060"/>
                <w:sz w:val="16"/>
                <w:szCs w:val="16"/>
              </w:rPr>
              <w:t xml:space="preserve">частота вращения винтов </w:t>
            </w:r>
          </w:p>
        </w:tc>
        <w:tc>
          <w:tcPr>
            <w:tcW w:w="4788" w:type="dxa"/>
            <w:shd w:val="clear" w:color="auto" w:fill="FFFFFF"/>
          </w:tcPr>
          <w:p w14:paraId="399565C4" w14:textId="77777777" w:rsidR="00B67D7C" w:rsidRPr="00DE096C" w:rsidRDefault="00B67D7C" w:rsidP="00D45A46">
            <w:pPr>
              <w:jc w:val="both"/>
              <w:rPr>
                <w:bCs/>
                <w:color w:val="002060"/>
                <w:sz w:val="16"/>
                <w:szCs w:val="16"/>
              </w:rPr>
            </w:pPr>
            <w:r w:rsidRPr="00DE096C">
              <w:rPr>
                <w:bCs/>
                <w:color w:val="002060"/>
                <w:sz w:val="16"/>
                <w:szCs w:val="16"/>
              </w:rPr>
              <w:t>272 об/мин,</w:t>
            </w:r>
          </w:p>
        </w:tc>
      </w:tr>
      <w:tr w:rsidR="00B67D7C" w:rsidRPr="00DE096C" w14:paraId="53F588AC" w14:textId="77777777" w:rsidTr="00C2024A">
        <w:tc>
          <w:tcPr>
            <w:tcW w:w="4788" w:type="dxa"/>
            <w:shd w:val="clear" w:color="auto" w:fill="FFFFFF"/>
          </w:tcPr>
          <w:p w14:paraId="1BC3CDA5" w14:textId="77777777" w:rsidR="00B67D7C" w:rsidRPr="00DE096C" w:rsidRDefault="00B67D7C" w:rsidP="00D45A46">
            <w:pPr>
              <w:jc w:val="both"/>
              <w:rPr>
                <w:bCs/>
                <w:color w:val="002060"/>
                <w:sz w:val="16"/>
                <w:szCs w:val="16"/>
              </w:rPr>
            </w:pPr>
            <w:r w:rsidRPr="00DE096C">
              <w:rPr>
                <w:bCs/>
                <w:color w:val="002060"/>
                <w:sz w:val="16"/>
                <w:szCs w:val="16"/>
              </w:rPr>
              <w:t>мощность двигателей "Мерседес-Даймлер"</w:t>
            </w:r>
          </w:p>
        </w:tc>
        <w:tc>
          <w:tcPr>
            <w:tcW w:w="4788" w:type="dxa"/>
            <w:shd w:val="clear" w:color="auto" w:fill="FFFFFF"/>
          </w:tcPr>
          <w:p w14:paraId="41B4E658" w14:textId="77777777" w:rsidR="00B67D7C" w:rsidRPr="00DE096C" w:rsidRDefault="00B67D7C" w:rsidP="00D45A46">
            <w:pPr>
              <w:jc w:val="both"/>
              <w:rPr>
                <w:bCs/>
                <w:color w:val="002060"/>
                <w:sz w:val="16"/>
                <w:szCs w:val="16"/>
              </w:rPr>
            </w:pPr>
            <w:r w:rsidRPr="00DE096C">
              <w:rPr>
                <w:bCs/>
                <w:color w:val="002060"/>
                <w:sz w:val="16"/>
                <w:szCs w:val="16"/>
              </w:rPr>
              <w:t>2x240 л.о.</w:t>
            </w:r>
          </w:p>
        </w:tc>
      </w:tr>
      <w:tr w:rsidR="00B67D7C" w:rsidRPr="00DE096C" w14:paraId="11F8A1B0" w14:textId="77777777" w:rsidTr="00C2024A">
        <w:tc>
          <w:tcPr>
            <w:tcW w:w="4788" w:type="dxa"/>
            <w:shd w:val="clear" w:color="auto" w:fill="FFFFFF"/>
          </w:tcPr>
          <w:p w14:paraId="0D890C00" w14:textId="77777777" w:rsidR="00B67D7C" w:rsidRPr="00DE096C" w:rsidRDefault="00B67D7C" w:rsidP="00D45A46">
            <w:pPr>
              <w:jc w:val="both"/>
              <w:rPr>
                <w:bCs/>
                <w:color w:val="002060"/>
                <w:sz w:val="16"/>
                <w:szCs w:val="16"/>
              </w:rPr>
            </w:pPr>
            <w:r w:rsidRPr="00DE096C">
              <w:rPr>
                <w:bCs/>
                <w:color w:val="002060"/>
                <w:sz w:val="16"/>
                <w:szCs w:val="16"/>
              </w:rPr>
              <w:t>вес конструкции,</w:t>
            </w:r>
          </w:p>
        </w:tc>
        <w:tc>
          <w:tcPr>
            <w:tcW w:w="4788" w:type="dxa"/>
            <w:shd w:val="clear" w:color="auto" w:fill="FFFFFF"/>
          </w:tcPr>
          <w:p w14:paraId="5D9E037C" w14:textId="77777777" w:rsidR="00B67D7C" w:rsidRPr="00DE096C" w:rsidRDefault="00B67D7C" w:rsidP="00D45A46">
            <w:pPr>
              <w:jc w:val="both"/>
              <w:rPr>
                <w:bCs/>
                <w:color w:val="002060"/>
                <w:sz w:val="16"/>
                <w:szCs w:val="16"/>
              </w:rPr>
            </w:pPr>
            <w:r w:rsidRPr="00DE096C">
              <w:rPr>
                <w:bCs/>
                <w:color w:val="002060"/>
                <w:sz w:val="16"/>
                <w:szCs w:val="16"/>
              </w:rPr>
              <w:t>3800 кг,</w:t>
            </w:r>
          </w:p>
        </w:tc>
      </w:tr>
      <w:tr w:rsidR="00B67D7C" w:rsidRPr="00DE096C" w14:paraId="1E526C43" w14:textId="77777777" w:rsidTr="00C2024A">
        <w:tc>
          <w:tcPr>
            <w:tcW w:w="4788" w:type="dxa"/>
            <w:shd w:val="clear" w:color="auto" w:fill="FFFFFF"/>
          </w:tcPr>
          <w:p w14:paraId="0A5F9729" w14:textId="77777777" w:rsidR="00B67D7C" w:rsidRPr="00DE096C" w:rsidRDefault="00B67D7C" w:rsidP="00D45A46">
            <w:pPr>
              <w:jc w:val="both"/>
              <w:rPr>
                <w:bCs/>
                <w:color w:val="002060"/>
                <w:sz w:val="16"/>
                <w:szCs w:val="16"/>
              </w:rPr>
            </w:pPr>
            <w:r w:rsidRPr="00DE096C">
              <w:rPr>
                <w:bCs/>
                <w:color w:val="002060"/>
                <w:sz w:val="16"/>
                <w:szCs w:val="16"/>
              </w:rPr>
              <w:t>вес полезной наг рузки,</w:t>
            </w:r>
          </w:p>
        </w:tc>
        <w:tc>
          <w:tcPr>
            <w:tcW w:w="4788" w:type="dxa"/>
            <w:shd w:val="clear" w:color="auto" w:fill="FFFFFF"/>
          </w:tcPr>
          <w:p w14:paraId="1036B88B" w14:textId="77777777" w:rsidR="00B67D7C" w:rsidRPr="00DE096C" w:rsidRDefault="00B67D7C" w:rsidP="00D45A46">
            <w:pPr>
              <w:jc w:val="both"/>
              <w:rPr>
                <w:bCs/>
                <w:color w:val="002060"/>
                <w:sz w:val="16"/>
                <w:szCs w:val="16"/>
              </w:rPr>
            </w:pPr>
            <w:r w:rsidRPr="00DE096C">
              <w:rPr>
                <w:bCs/>
                <w:color w:val="002060"/>
                <w:sz w:val="16"/>
                <w:szCs w:val="16"/>
              </w:rPr>
              <w:t>2500 кг,</w:t>
            </w:r>
          </w:p>
        </w:tc>
      </w:tr>
      <w:tr w:rsidR="00B67D7C" w:rsidRPr="00DE096C" w14:paraId="2BE204B8" w14:textId="77777777" w:rsidTr="00C2024A">
        <w:tc>
          <w:tcPr>
            <w:tcW w:w="4788" w:type="dxa"/>
            <w:shd w:val="clear" w:color="auto" w:fill="FFFFFF"/>
          </w:tcPr>
          <w:p w14:paraId="5B100FEB" w14:textId="77777777" w:rsidR="00B67D7C" w:rsidRPr="00DE096C" w:rsidRDefault="00B67D7C" w:rsidP="00D45A46">
            <w:pPr>
              <w:jc w:val="both"/>
              <w:rPr>
                <w:bCs/>
                <w:color w:val="002060"/>
                <w:sz w:val="16"/>
                <w:szCs w:val="16"/>
              </w:rPr>
            </w:pPr>
            <w:r w:rsidRPr="00DE096C">
              <w:rPr>
                <w:bCs/>
                <w:color w:val="002060"/>
                <w:sz w:val="16"/>
                <w:szCs w:val="16"/>
              </w:rPr>
              <w:t>скорость полета</w:t>
            </w:r>
          </w:p>
        </w:tc>
        <w:tc>
          <w:tcPr>
            <w:tcW w:w="4788" w:type="dxa"/>
            <w:shd w:val="clear" w:color="auto" w:fill="FFFFFF"/>
          </w:tcPr>
          <w:p w14:paraId="123F9273" w14:textId="77777777" w:rsidR="00B67D7C" w:rsidRPr="00DE096C" w:rsidRDefault="00B67D7C" w:rsidP="00D45A46">
            <w:pPr>
              <w:jc w:val="both"/>
              <w:rPr>
                <w:bCs/>
                <w:color w:val="002060"/>
                <w:sz w:val="16"/>
                <w:szCs w:val="16"/>
              </w:rPr>
            </w:pPr>
            <w:r w:rsidRPr="00DE096C">
              <w:rPr>
                <w:bCs/>
                <w:color w:val="002060"/>
                <w:sz w:val="16"/>
                <w:szCs w:val="16"/>
              </w:rPr>
              <w:t>90 км/ч,</w:t>
            </w:r>
          </w:p>
        </w:tc>
      </w:tr>
      <w:tr w:rsidR="00B67D7C" w:rsidRPr="00DE096C" w14:paraId="3180D0E5" w14:textId="77777777" w:rsidTr="00C2024A">
        <w:tc>
          <w:tcPr>
            <w:tcW w:w="4788" w:type="dxa"/>
            <w:shd w:val="clear" w:color="auto" w:fill="FFFFFF"/>
          </w:tcPr>
          <w:p w14:paraId="18DBD080" w14:textId="77777777" w:rsidR="00B67D7C" w:rsidRPr="00DE096C" w:rsidRDefault="00B67D7C" w:rsidP="00D45A46">
            <w:pPr>
              <w:jc w:val="both"/>
              <w:rPr>
                <w:bCs/>
                <w:color w:val="002060"/>
                <w:sz w:val="16"/>
                <w:szCs w:val="16"/>
              </w:rPr>
            </w:pPr>
            <w:r w:rsidRPr="00DE096C">
              <w:rPr>
                <w:bCs/>
                <w:color w:val="002060"/>
                <w:sz w:val="16"/>
                <w:szCs w:val="16"/>
              </w:rPr>
              <w:t>время набора 1000м</w:t>
            </w:r>
          </w:p>
        </w:tc>
        <w:tc>
          <w:tcPr>
            <w:tcW w:w="4788" w:type="dxa"/>
            <w:shd w:val="clear" w:color="auto" w:fill="FFFFFF"/>
          </w:tcPr>
          <w:p w14:paraId="43DA872E" w14:textId="77777777" w:rsidR="00B67D7C" w:rsidRPr="00DE096C" w:rsidRDefault="00B67D7C" w:rsidP="00D45A46">
            <w:pPr>
              <w:jc w:val="both"/>
              <w:rPr>
                <w:bCs/>
                <w:color w:val="002060"/>
                <w:sz w:val="16"/>
                <w:szCs w:val="16"/>
              </w:rPr>
            </w:pPr>
            <w:r w:rsidRPr="00DE096C">
              <w:rPr>
                <w:bCs/>
                <w:color w:val="002060"/>
                <w:sz w:val="16"/>
                <w:szCs w:val="16"/>
              </w:rPr>
              <w:t xml:space="preserve"> 25 мин (11069).</w:t>
            </w:r>
          </w:p>
        </w:tc>
      </w:tr>
    </w:tbl>
    <w:p w14:paraId="35DAAB39" w14:textId="77777777" w:rsidR="00B67D7C" w:rsidRPr="00DE096C" w:rsidRDefault="00B67D7C" w:rsidP="00D45A46">
      <w:pPr>
        <w:shd w:val="clear" w:color="auto" w:fill="FFFFFF"/>
        <w:jc w:val="both"/>
        <w:rPr>
          <w:bCs/>
          <w:color w:val="002060"/>
          <w:sz w:val="16"/>
          <w:szCs w:val="16"/>
        </w:rPr>
      </w:pPr>
    </w:p>
    <w:p w14:paraId="20E76EDE"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w:t>
      </w:r>
    </w:p>
    <w:p w14:paraId="69950739" w14:textId="77777777" w:rsidR="00B67D7C" w:rsidRPr="00DE096C" w:rsidRDefault="00B67D7C" w:rsidP="00D45A46">
      <w:pPr>
        <w:shd w:val="clear" w:color="auto" w:fill="FFFFFF"/>
        <w:jc w:val="both"/>
        <w:rPr>
          <w:bCs/>
          <w:i/>
          <w:color w:val="002060"/>
          <w:sz w:val="16"/>
          <w:szCs w:val="16"/>
        </w:rPr>
      </w:pPr>
    </w:p>
    <w:p w14:paraId="154307F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21 февраля (6 мартя) 1914 Всероссийский аэроклуб создал особую медицинскую комиссию из врачей и заинтересованных лиц для изучения влияния полетов на организм человека. В состав комиссии вошли известные врачи из Военно-медицинской академии русского хирургического Общества, Общества петербургских врачей и ряда других столичных медицинских обществ и учреждений. Начатые интересные работа были прерваны в связи с начавшейся войной. (Ежегодник ИВАК за 1915 г.,стр.13).</w:t>
      </w:r>
    </w:p>
    <w:p w14:paraId="4795B55F" w14:textId="77777777" w:rsidR="00B67D7C" w:rsidRPr="00DE096C" w:rsidRDefault="00B67D7C" w:rsidP="00D45A46">
      <w:pPr>
        <w:shd w:val="clear" w:color="auto" w:fill="FFFFFF"/>
        <w:jc w:val="both"/>
        <w:rPr>
          <w:bCs/>
          <w:color w:val="002060"/>
          <w:sz w:val="16"/>
          <w:szCs w:val="16"/>
        </w:rPr>
      </w:pPr>
    </w:p>
    <w:p w14:paraId="305ED87C" w14:textId="77777777" w:rsidR="00E61298" w:rsidRPr="00DE096C" w:rsidRDefault="00E61298" w:rsidP="00D45A46">
      <w:pPr>
        <w:jc w:val="both"/>
        <w:rPr>
          <w:bCs/>
          <w:color w:val="002060"/>
          <w:sz w:val="16"/>
          <w:szCs w:val="16"/>
        </w:rPr>
      </w:pPr>
      <w:r w:rsidRPr="00DE096C">
        <w:rPr>
          <w:bCs/>
          <w:color w:val="002060"/>
          <w:sz w:val="16"/>
          <w:szCs w:val="16"/>
        </w:rPr>
        <w:t>21 Февраля (6 марта) 1913 г. Всероссийский аэроклуб создал особую медицинскую комиссию из врачей и заинтересованных лиц для изучения влияния полетов на организм человека. В состав комиссии вошли известные ученые Военно-медицинской академии, Русского хирургического О-ва, О-ва петербургских врачей и ряда других столичных медицинских обществ и учреждений. Начатые интересные работы были прерваны в связи с начавшейся войной.</w:t>
      </w:r>
    </w:p>
    <w:p w14:paraId="41A3E2EA" w14:textId="77777777" w:rsidR="00E61298" w:rsidRPr="00DE096C" w:rsidRDefault="00E61298" w:rsidP="00D45A46">
      <w:pPr>
        <w:jc w:val="both"/>
        <w:rPr>
          <w:bCs/>
          <w:color w:val="002060"/>
          <w:sz w:val="16"/>
          <w:szCs w:val="16"/>
        </w:rPr>
      </w:pPr>
      <w:r w:rsidRPr="00DE096C">
        <w:rPr>
          <w:bCs/>
          <w:color w:val="002060"/>
          <w:sz w:val="16"/>
          <w:szCs w:val="16"/>
        </w:rPr>
        <w:t>/Ежегодник ИВАК за 1915 г. стр. 13/ (23320).</w:t>
      </w:r>
    </w:p>
    <w:p w14:paraId="47450AFE" w14:textId="77777777" w:rsidR="00E61298" w:rsidRPr="00DE096C" w:rsidRDefault="00E61298" w:rsidP="00D45A46">
      <w:pPr>
        <w:jc w:val="both"/>
        <w:rPr>
          <w:bCs/>
          <w:color w:val="002060"/>
          <w:sz w:val="16"/>
          <w:szCs w:val="16"/>
        </w:rPr>
      </w:pPr>
    </w:p>
    <w:p w14:paraId="555BD627"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3F336B70" w14:textId="77777777" w:rsidR="00B67D7C" w:rsidRPr="00DE096C" w:rsidRDefault="00B67D7C" w:rsidP="00D45A46">
      <w:pPr>
        <w:shd w:val="clear" w:color="auto" w:fill="FFFFFF"/>
        <w:jc w:val="both"/>
        <w:rPr>
          <w:bCs/>
          <w:i/>
          <w:color w:val="002060"/>
          <w:sz w:val="16"/>
          <w:szCs w:val="16"/>
        </w:rPr>
      </w:pPr>
    </w:p>
    <w:p w14:paraId="32AD764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23 февраля (8 марта) 1914 В Московском университете организовано чтение лекций для офицеров-летчиков Московским обществом воздухоплавания под руководством Н. Е. Жуковского (1137).</w:t>
      </w:r>
    </w:p>
    <w:p w14:paraId="439FBD1D" w14:textId="77777777" w:rsidR="00B67D7C" w:rsidRPr="00DE096C" w:rsidRDefault="00B67D7C" w:rsidP="00D45A46">
      <w:pPr>
        <w:shd w:val="clear" w:color="auto" w:fill="FFFFFF"/>
        <w:jc w:val="both"/>
        <w:rPr>
          <w:bCs/>
          <w:color w:val="002060"/>
          <w:sz w:val="16"/>
          <w:szCs w:val="16"/>
        </w:rPr>
      </w:pPr>
    </w:p>
    <w:p w14:paraId="6226DF45" w14:textId="77777777" w:rsidR="00575BAA" w:rsidRPr="00DE096C" w:rsidRDefault="00575BAA" w:rsidP="00D45A46">
      <w:pPr>
        <w:jc w:val="both"/>
        <w:rPr>
          <w:bCs/>
          <w:color w:val="002060"/>
          <w:sz w:val="16"/>
          <w:szCs w:val="16"/>
        </w:rPr>
      </w:pPr>
      <w:r w:rsidRPr="00DE096C">
        <w:rPr>
          <w:bCs/>
          <w:color w:val="002060"/>
          <w:sz w:val="16"/>
          <w:szCs w:val="16"/>
        </w:rPr>
        <w:t>С 23 февраля 1914 г. В Московском университете Московское общество воздухоплавания организовало чтение лекций для офицеров, желающих пройти обучение на летчиков. Руководил работой этих курсов профессор Н.Е. Жуковский (19566).</w:t>
      </w:r>
    </w:p>
    <w:p w14:paraId="08503CD3" w14:textId="77777777" w:rsidR="00575BAA" w:rsidRPr="00DE096C" w:rsidRDefault="00575BAA" w:rsidP="00D45A46">
      <w:pPr>
        <w:jc w:val="both"/>
        <w:rPr>
          <w:bCs/>
          <w:color w:val="002060"/>
          <w:sz w:val="16"/>
          <w:szCs w:val="16"/>
        </w:rPr>
      </w:pPr>
    </w:p>
    <w:p w14:paraId="093A2D91"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Другие оборонные отрасли:</w:t>
      </w:r>
    </w:p>
    <w:p w14:paraId="17F2CF06" w14:textId="77777777" w:rsidR="00B67D7C" w:rsidRPr="00DE096C" w:rsidRDefault="00B67D7C" w:rsidP="00D45A46">
      <w:pPr>
        <w:shd w:val="clear" w:color="auto" w:fill="FFFFFF"/>
        <w:jc w:val="both"/>
        <w:rPr>
          <w:bCs/>
          <w:i/>
          <w:color w:val="002060"/>
          <w:sz w:val="16"/>
          <w:szCs w:val="16"/>
        </w:rPr>
      </w:pPr>
    </w:p>
    <w:p w14:paraId="458C79D3" w14:textId="16811212" w:rsidR="00B67D7C" w:rsidRPr="00DE096C" w:rsidRDefault="00B67D7C" w:rsidP="00D45A46">
      <w:pPr>
        <w:jc w:val="both"/>
        <w:rPr>
          <w:bCs/>
          <w:color w:val="002060"/>
          <w:sz w:val="16"/>
          <w:szCs w:val="16"/>
        </w:rPr>
      </w:pPr>
      <w:r w:rsidRPr="00DE096C">
        <w:rPr>
          <w:bCs/>
          <w:color w:val="002060"/>
          <w:sz w:val="16"/>
          <w:szCs w:val="16"/>
        </w:rPr>
        <w:t xml:space="preserve">23 февраля </w:t>
      </w:r>
      <w:r w:rsidR="008F77BC" w:rsidRPr="00DE096C">
        <w:rPr>
          <w:bCs/>
          <w:color w:val="002060"/>
          <w:sz w:val="16"/>
          <w:szCs w:val="16"/>
        </w:rPr>
        <w:t xml:space="preserve">(8 марта) </w:t>
      </w:r>
      <w:r w:rsidRPr="00DE096C">
        <w:rPr>
          <w:bCs/>
          <w:color w:val="002060"/>
          <w:sz w:val="16"/>
          <w:szCs w:val="16"/>
        </w:rPr>
        <w:t>1914 года в газете "Ведомости Санкт - Петербургского Градоначальства"</w:t>
      </w:r>
      <w:r w:rsidR="008F77BC" w:rsidRPr="00DE096C">
        <w:rPr>
          <w:bCs/>
          <w:color w:val="002060"/>
          <w:sz w:val="16"/>
          <w:szCs w:val="16"/>
        </w:rPr>
        <w:t xml:space="preserve"> было опубликовало извещение о начале своей деятельности правление общества.</w:t>
      </w:r>
    </w:p>
    <w:p w14:paraId="392A69AC" w14:textId="77777777" w:rsidR="00B67D7C" w:rsidRPr="00DE096C" w:rsidRDefault="00B67D7C" w:rsidP="00D45A46">
      <w:pPr>
        <w:jc w:val="both"/>
        <w:rPr>
          <w:bCs/>
          <w:color w:val="002060"/>
          <w:sz w:val="16"/>
          <w:szCs w:val="16"/>
        </w:rPr>
      </w:pPr>
      <w:r w:rsidRPr="00DE096C">
        <w:rPr>
          <w:bCs/>
          <w:color w:val="002060"/>
          <w:sz w:val="16"/>
          <w:szCs w:val="16"/>
        </w:rPr>
        <w:t xml:space="preserve">Вспоминает Леонид Гаврилович Титов, ставший впоследствии первым директором завода после Октябрьской революции 1917г.: </w:t>
      </w:r>
    </w:p>
    <w:p w14:paraId="2B24B30B" w14:textId="77777777" w:rsidR="00B67D7C" w:rsidRPr="00DE096C" w:rsidRDefault="00B67D7C" w:rsidP="00D45A46">
      <w:pPr>
        <w:jc w:val="both"/>
        <w:rPr>
          <w:bCs/>
          <w:iCs/>
          <w:color w:val="002060"/>
          <w:sz w:val="16"/>
          <w:szCs w:val="16"/>
        </w:rPr>
      </w:pPr>
      <w:r w:rsidRPr="00DE096C">
        <w:rPr>
          <w:bCs/>
          <w:iCs/>
          <w:color w:val="002060"/>
          <w:sz w:val="16"/>
          <w:szCs w:val="16"/>
        </w:rPr>
        <w:t>Я поступил на Оптический завод по приглашению проф. АЛ.Гершуна еще в то время, когда завод был только в проекте.</w:t>
      </w:r>
    </w:p>
    <w:p w14:paraId="39F57261" w14:textId="77777777" w:rsidR="00B67D7C" w:rsidRPr="00DE096C" w:rsidRDefault="00B67D7C" w:rsidP="00D45A46">
      <w:pPr>
        <w:jc w:val="both"/>
        <w:rPr>
          <w:bCs/>
          <w:iCs/>
          <w:color w:val="002060"/>
          <w:sz w:val="16"/>
          <w:szCs w:val="16"/>
        </w:rPr>
      </w:pPr>
      <w:r w:rsidRPr="00DE096C">
        <w:rPr>
          <w:bCs/>
          <w:iCs/>
          <w:color w:val="002060"/>
          <w:sz w:val="16"/>
          <w:szCs w:val="16"/>
        </w:rPr>
        <w:t>...в начале 1914 г. была уже устроена временная мастерская, где главным образом занимались ремонтом приборов и была конструкторская ячейка, в частности, там работал АБ. Павский.</w:t>
      </w:r>
    </w:p>
    <w:p w14:paraId="1831D4B9" w14:textId="77777777" w:rsidR="00B67D7C" w:rsidRPr="00DE096C" w:rsidRDefault="00B67D7C" w:rsidP="00D45A46">
      <w:pPr>
        <w:jc w:val="both"/>
        <w:rPr>
          <w:bCs/>
          <w:iCs/>
          <w:color w:val="002060"/>
          <w:sz w:val="16"/>
          <w:szCs w:val="16"/>
        </w:rPr>
      </w:pPr>
      <w:r w:rsidRPr="00DE096C">
        <w:rPr>
          <w:bCs/>
          <w:iCs/>
          <w:color w:val="002060"/>
          <w:sz w:val="16"/>
          <w:szCs w:val="16"/>
        </w:rPr>
        <w:t>Из посторонних инженеров были приглашены двое: ЕМ. Алтухов и я. Несмотря на то, что нам было поручено оборудование, устройство и планирование завода, уже с первого дня поступления пришлось заняться конструкторскими и даже производственными работами.</w:t>
      </w:r>
    </w:p>
    <w:p w14:paraId="4ABA7CBF" w14:textId="77777777" w:rsidR="00B67D7C" w:rsidRPr="00DE096C" w:rsidRDefault="00B67D7C" w:rsidP="00D45A46">
      <w:pPr>
        <w:jc w:val="both"/>
        <w:rPr>
          <w:bCs/>
          <w:iCs/>
          <w:color w:val="002060"/>
          <w:sz w:val="16"/>
          <w:szCs w:val="16"/>
        </w:rPr>
      </w:pPr>
      <w:r w:rsidRPr="00DE096C">
        <w:rPr>
          <w:bCs/>
          <w:iCs/>
          <w:color w:val="002060"/>
          <w:sz w:val="16"/>
          <w:szCs w:val="16"/>
        </w:rPr>
        <w:t>Был спроектирован прибор для наблюдения солнечной короны (в тот год было полное солнечное затмение), прибор для объективного наблюдения дифракционных явлений и, наконец, прибор для прицельной линии пушек.</w:t>
      </w:r>
    </w:p>
    <w:p w14:paraId="6F50866C" w14:textId="77777777" w:rsidR="00B67D7C" w:rsidRPr="00DE096C" w:rsidRDefault="00B67D7C" w:rsidP="00D45A46">
      <w:pPr>
        <w:jc w:val="both"/>
        <w:rPr>
          <w:bCs/>
          <w:iCs/>
          <w:color w:val="002060"/>
          <w:sz w:val="16"/>
          <w:szCs w:val="16"/>
        </w:rPr>
      </w:pPr>
      <w:r w:rsidRPr="00DE096C">
        <w:rPr>
          <w:bCs/>
          <w:iCs/>
          <w:color w:val="002060"/>
          <w:sz w:val="16"/>
          <w:szCs w:val="16"/>
        </w:rPr>
        <w:t>Первые два прибора пришлось строить в мастерских Главной палаты мер и весов (ныне ВИСМ), где я тоже работал, некоторые работы выполнять даже на дому (например, серебрение).</w:t>
      </w:r>
    </w:p>
    <w:p w14:paraId="7F41D1AB" w14:textId="77777777" w:rsidR="00B67D7C" w:rsidRPr="00DE096C" w:rsidRDefault="00B67D7C" w:rsidP="00D45A46">
      <w:pPr>
        <w:jc w:val="both"/>
        <w:rPr>
          <w:bCs/>
          <w:color w:val="002060"/>
          <w:sz w:val="16"/>
          <w:szCs w:val="16"/>
        </w:rPr>
      </w:pPr>
      <w:r w:rsidRPr="00DE096C">
        <w:rPr>
          <w:bCs/>
          <w:color w:val="002060"/>
          <w:sz w:val="16"/>
          <w:szCs w:val="16"/>
        </w:rPr>
        <w:t>Третий же прибор был изготовлен уже позднее, на Чугунной улице. Это был первый прибор, построенный ГОМЗом...</w:t>
      </w:r>
    </w:p>
    <w:p w14:paraId="1B1597D1" w14:textId="77777777" w:rsidR="00B67D7C" w:rsidRPr="00DE096C" w:rsidRDefault="00B67D7C" w:rsidP="00D45A46">
      <w:pPr>
        <w:jc w:val="both"/>
        <w:rPr>
          <w:bCs/>
          <w:color w:val="002060"/>
          <w:sz w:val="16"/>
          <w:szCs w:val="16"/>
        </w:rPr>
      </w:pPr>
      <w:r w:rsidRPr="00DE096C">
        <w:rPr>
          <w:bCs/>
          <w:color w:val="002060"/>
          <w:sz w:val="16"/>
          <w:szCs w:val="16"/>
        </w:rPr>
        <w:t>В Правление РАООМПа помимо АЛ. Меллера, К.К. Ракусы-Сущевского вошли И.И. Перони и М.М. Таубер. Михаил Таубер, уроженец России, привез рекомендации из Мюнхена и Швейцарии от акционерной компании «Штайхель и Сыновья». С 1897 г. по 1905 г. он работал в счетном бюро, а затем возглав­лял венские оптико-механические мастерские компании, занимая должность технического руководите­ля. В качестве научного работника он занимался, главным образом, расчетом объективов и зрительных труб, окуляров и других оптических систем. (М.М. Таубер стал помощником А.Л. Гершуна, а после его смерти был назначен управляющим.)</w:t>
      </w:r>
    </w:p>
    <w:p w14:paraId="266DE8CC" w14:textId="77777777" w:rsidR="00B67D7C" w:rsidRPr="00DE096C" w:rsidRDefault="00B67D7C" w:rsidP="00D45A46">
      <w:pPr>
        <w:jc w:val="both"/>
        <w:rPr>
          <w:bCs/>
          <w:color w:val="002060"/>
          <w:sz w:val="16"/>
          <w:szCs w:val="16"/>
        </w:rPr>
      </w:pPr>
      <w:r w:rsidRPr="00DE096C">
        <w:rPr>
          <w:bCs/>
          <w:color w:val="002060"/>
          <w:sz w:val="16"/>
          <w:szCs w:val="16"/>
        </w:rPr>
        <w:t>Началось оснащение предприятия. Завод получал оборудование и материалы со всего мира: опти­ческие станки и оптическое стекло — от фирмы «Парра Мантуа», токарные и фрезерные станки — от фирмы «Шухардт и Шутте» и от Путиловских заводов, электромонтажное оборудование — от фирмы «Сименс и Шуккерт», сталь — со сталелитейного завода в Америке, делительная машина — из Женевы.</w:t>
      </w:r>
    </w:p>
    <w:p w14:paraId="6188929B" w14:textId="77777777" w:rsidR="00B67D7C" w:rsidRPr="00DE096C" w:rsidRDefault="00B67D7C" w:rsidP="00D45A46">
      <w:pPr>
        <w:jc w:val="both"/>
        <w:rPr>
          <w:bCs/>
          <w:color w:val="002060"/>
          <w:sz w:val="16"/>
          <w:szCs w:val="16"/>
        </w:rPr>
      </w:pPr>
      <w:r w:rsidRPr="00DE096C">
        <w:rPr>
          <w:bCs/>
          <w:color w:val="002060"/>
          <w:sz w:val="16"/>
          <w:szCs w:val="16"/>
        </w:rPr>
        <w:t>Основными заказчиками РАООМПа стали Главное артиллерийское управление и Главное управле­ние кораблестроения Военного ведомства. На завод для исполнения военных заказов был прислан упол­номоченный от Военного ведомства полковник Дмитриев. (Таким образом, с самого начала на оптико-механическом заводе была создана технологическая служба военной приемки, которая существовала в течение всей истории предприятия и существует по сей день.)</w:t>
      </w:r>
    </w:p>
    <w:p w14:paraId="4F6D1C80" w14:textId="77777777" w:rsidR="00B67D7C" w:rsidRPr="00DE096C" w:rsidRDefault="00B67D7C" w:rsidP="00D45A46">
      <w:pPr>
        <w:jc w:val="both"/>
        <w:rPr>
          <w:bCs/>
          <w:color w:val="002060"/>
          <w:sz w:val="16"/>
          <w:szCs w:val="16"/>
        </w:rPr>
      </w:pPr>
      <w:r w:rsidRPr="00DE096C">
        <w:rPr>
          <w:bCs/>
          <w:color w:val="002060"/>
          <w:sz w:val="16"/>
          <w:szCs w:val="16"/>
        </w:rPr>
        <w:t>Завод выпускал прицелы, перископы для подлодок, стереотрубы, приборы для проверки прицель­ных линий, ремонтировал дальномеры и другие оптические приборы. Помимо основного профиля, был начат выпуск еще одного вида военной продукции — детонаторных трубок. Эти заказы от Главного ар­тиллерийского управления осуществлял уполномоченный по заготовлению снарядов генерал Банков.</w:t>
      </w:r>
    </w:p>
    <w:p w14:paraId="27EB2C53" w14:textId="77777777" w:rsidR="00B67D7C" w:rsidRPr="00DE096C" w:rsidRDefault="00B67D7C" w:rsidP="00D45A46">
      <w:pPr>
        <w:jc w:val="both"/>
        <w:rPr>
          <w:bCs/>
          <w:color w:val="002060"/>
          <w:sz w:val="16"/>
          <w:szCs w:val="16"/>
        </w:rPr>
      </w:pPr>
      <w:r w:rsidRPr="00DE096C">
        <w:rPr>
          <w:bCs/>
          <w:color w:val="002060"/>
          <w:sz w:val="16"/>
          <w:szCs w:val="16"/>
        </w:rPr>
        <w:t>Петроград 3-го Июля 1915 г.</w:t>
      </w:r>
    </w:p>
    <w:p w14:paraId="04102D1F" w14:textId="77777777" w:rsidR="00B67D7C" w:rsidRPr="00DE096C" w:rsidRDefault="00B67D7C" w:rsidP="00D45A46">
      <w:pPr>
        <w:jc w:val="both"/>
        <w:rPr>
          <w:bCs/>
          <w:color w:val="002060"/>
          <w:sz w:val="16"/>
          <w:szCs w:val="16"/>
        </w:rPr>
      </w:pPr>
      <w:r w:rsidRPr="00DE096C">
        <w:rPr>
          <w:bCs/>
          <w:i/>
          <w:color w:val="002060"/>
          <w:sz w:val="16"/>
          <w:szCs w:val="16"/>
        </w:rPr>
        <w:t>Правление Российского Акционерного Общества Оптического и Механического Произ­водств настоящею доверенностью уполномочивает Потомственного дворянина Сигизмунда Мартыновича ВРОНСКОГО заключить и подписать с Генералом БАНКОВЫМ, Уполномочен­ным Главного Артиллерийского Управления по изготовлению снарядов французского образца, договор на поставку 300 000 трубок для трехдюймовых гранат системы Шнейдер, для каковой цели ему предоставляет право исполнить все формальности и совершить все, что окажется по вышеуказанному делу необходимым.</w:t>
      </w:r>
    </w:p>
    <w:p w14:paraId="7B9F9DE1" w14:textId="77777777" w:rsidR="00B67D7C" w:rsidRPr="00DE096C" w:rsidRDefault="00B67D7C" w:rsidP="00D45A46">
      <w:pPr>
        <w:jc w:val="both"/>
        <w:rPr>
          <w:bCs/>
          <w:color w:val="002060"/>
          <w:sz w:val="16"/>
          <w:szCs w:val="16"/>
        </w:rPr>
      </w:pPr>
      <w:r w:rsidRPr="00DE096C">
        <w:rPr>
          <w:bCs/>
          <w:i/>
          <w:color w:val="002060"/>
          <w:sz w:val="16"/>
          <w:szCs w:val="16"/>
        </w:rPr>
        <w:t>К. Ракуса-Сущевский</w:t>
      </w:r>
    </w:p>
    <w:p w14:paraId="3578B39B" w14:textId="77777777" w:rsidR="00B67D7C" w:rsidRPr="00DE096C" w:rsidRDefault="00B67D7C" w:rsidP="00D45A46">
      <w:pPr>
        <w:jc w:val="both"/>
        <w:rPr>
          <w:bCs/>
          <w:color w:val="002060"/>
          <w:sz w:val="16"/>
          <w:szCs w:val="16"/>
        </w:rPr>
      </w:pPr>
      <w:r w:rsidRPr="00DE096C">
        <w:rPr>
          <w:bCs/>
          <w:color w:val="002060"/>
          <w:sz w:val="16"/>
          <w:szCs w:val="16"/>
        </w:rPr>
        <w:t>Чистая прибыль завода за 1915 г. составила 233 342 руб. 86 коп, за 1916 г. — 1 054 000 руб. Росли объемы производства, рос и завод. Если в 1915 г. здесь работало около 300 человек, то в 1916 г. уже 900.</w:t>
      </w:r>
    </w:p>
    <w:p w14:paraId="728F0651" w14:textId="77777777" w:rsidR="00B67D7C" w:rsidRPr="00DE096C" w:rsidRDefault="00B67D7C" w:rsidP="00D45A46">
      <w:pPr>
        <w:jc w:val="both"/>
        <w:rPr>
          <w:bCs/>
          <w:color w:val="002060"/>
          <w:sz w:val="16"/>
          <w:szCs w:val="16"/>
        </w:rPr>
      </w:pPr>
      <w:r w:rsidRPr="00DE096C">
        <w:rPr>
          <w:bCs/>
          <w:color w:val="002060"/>
          <w:sz w:val="16"/>
          <w:szCs w:val="16"/>
        </w:rPr>
        <w:t>РАООМП даже в условиях войны развивалось стабильно, и на 1916 г. была назначена первая эмис­сия акций. Обществом было заказано 660 листов ценных бумаг, в том числе 100 листов по 5000 руб., 230 листов по 2500 руб. и 100 листов по 100 руб. Интересно, что на купонах для выдачи дивидендов были указаны годы: «1916-1924».</w:t>
      </w:r>
    </w:p>
    <w:p w14:paraId="73F2366D" w14:textId="77777777" w:rsidR="00B67D7C" w:rsidRPr="00DE096C" w:rsidRDefault="00B67D7C" w:rsidP="00D45A46">
      <w:pPr>
        <w:jc w:val="both"/>
        <w:rPr>
          <w:bCs/>
          <w:color w:val="002060"/>
          <w:sz w:val="16"/>
          <w:szCs w:val="16"/>
        </w:rPr>
      </w:pPr>
      <w:r w:rsidRPr="00DE096C">
        <w:rPr>
          <w:bCs/>
          <w:color w:val="002060"/>
          <w:sz w:val="16"/>
          <w:szCs w:val="16"/>
        </w:rPr>
        <w:t>Производство на заводе имело высокий уровень для своего времени, а приборы, которые здесь изготавливались, отвечали всем необходимым техническим характеристикам. Не случайно в 1916 г. ака­демик А.Н. Крылов разместил здесь свой заказ на стереотрубы (11869).</w:t>
      </w:r>
    </w:p>
    <w:p w14:paraId="2E1EEE1B" w14:textId="77777777" w:rsidR="00B67D7C" w:rsidRPr="00DE096C" w:rsidRDefault="00B67D7C" w:rsidP="00D45A46">
      <w:pPr>
        <w:jc w:val="both"/>
        <w:rPr>
          <w:bCs/>
          <w:color w:val="002060"/>
          <w:sz w:val="16"/>
          <w:szCs w:val="16"/>
        </w:rPr>
      </w:pPr>
    </w:p>
    <w:p w14:paraId="73A15B0C"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Жизнь и внутреняя политика:</w:t>
      </w:r>
    </w:p>
    <w:p w14:paraId="102EC204" w14:textId="77777777" w:rsidR="00B67D7C" w:rsidRPr="00DE096C" w:rsidRDefault="00B67D7C" w:rsidP="00D45A46">
      <w:pPr>
        <w:shd w:val="clear" w:color="auto" w:fill="FFFFFF"/>
        <w:jc w:val="both"/>
        <w:rPr>
          <w:bCs/>
          <w:i/>
          <w:color w:val="002060"/>
          <w:sz w:val="16"/>
          <w:szCs w:val="16"/>
        </w:rPr>
      </w:pPr>
    </w:p>
    <w:p w14:paraId="6CD5C13B" w14:textId="75AAB76A" w:rsidR="00B67D7C" w:rsidRPr="00DE096C" w:rsidRDefault="00B67D7C" w:rsidP="00D45A46">
      <w:pPr>
        <w:jc w:val="both"/>
        <w:rPr>
          <w:bCs/>
          <w:color w:val="002060"/>
          <w:sz w:val="16"/>
          <w:szCs w:val="16"/>
        </w:rPr>
      </w:pPr>
      <w:r w:rsidRPr="00DE096C">
        <w:rPr>
          <w:bCs/>
          <w:color w:val="002060"/>
          <w:sz w:val="16"/>
          <w:szCs w:val="16"/>
        </w:rPr>
        <w:t xml:space="preserve">23 февраля </w:t>
      </w:r>
      <w:r w:rsidR="008F77BC" w:rsidRPr="00DE096C">
        <w:rPr>
          <w:bCs/>
          <w:color w:val="002060"/>
          <w:sz w:val="16"/>
          <w:szCs w:val="16"/>
        </w:rPr>
        <w:t xml:space="preserve">(8 марта) </w:t>
      </w:r>
      <w:r w:rsidRPr="00DE096C">
        <w:rPr>
          <w:bCs/>
          <w:color w:val="002060"/>
          <w:sz w:val="16"/>
          <w:szCs w:val="16"/>
        </w:rPr>
        <w:t>1914</w:t>
      </w:r>
      <w:r w:rsidR="008F77BC" w:rsidRPr="00DE096C">
        <w:rPr>
          <w:bCs/>
          <w:color w:val="002060"/>
          <w:sz w:val="16"/>
          <w:szCs w:val="16"/>
        </w:rPr>
        <w:t xml:space="preserve"> г.</w:t>
      </w:r>
    </w:p>
    <w:p w14:paraId="5F62F3F6" w14:textId="77777777" w:rsidR="00B67D7C" w:rsidRPr="00DE096C" w:rsidRDefault="00B67D7C" w:rsidP="00D45A46">
      <w:pPr>
        <w:jc w:val="both"/>
        <w:rPr>
          <w:bCs/>
          <w:color w:val="002060"/>
          <w:sz w:val="16"/>
          <w:szCs w:val="16"/>
        </w:rPr>
      </w:pPr>
      <w:r w:rsidRPr="00DE096C">
        <w:rPr>
          <w:bCs/>
          <w:color w:val="002060"/>
          <w:sz w:val="16"/>
          <w:szCs w:val="16"/>
        </w:rPr>
        <w:t>Об устройстве в Европейской России шоссейных дорог государственного значения</w:t>
      </w:r>
    </w:p>
    <w:p w14:paraId="72360433" w14:textId="77777777" w:rsidR="00B67D7C" w:rsidRPr="00DE096C" w:rsidRDefault="00B67D7C" w:rsidP="00D45A46">
      <w:pPr>
        <w:jc w:val="both"/>
        <w:rPr>
          <w:bCs/>
          <w:color w:val="002060"/>
          <w:sz w:val="16"/>
          <w:szCs w:val="16"/>
        </w:rPr>
      </w:pPr>
      <w:r w:rsidRPr="00DE096C">
        <w:rPr>
          <w:bCs/>
          <w:color w:val="002060"/>
          <w:sz w:val="16"/>
          <w:szCs w:val="16"/>
        </w:rPr>
        <w:t xml:space="preserve">Вызвавшие за последние годы крупные затраты из средств казны мероприятия по развитию отечественной железнодорожной сети и по улучшению водных путей отодвинули на задний план заботы об оборудовании страны шоссейными дорогами. Не считая сооружения стратегических шоссе в губерниях Царства Польского и в Закавказье, можно сказать, что деятельность правительства в области последнеуказанного строительства почти вовсе прекратилась с 1874 года, и в результате в Европейской России имеется в настоящее время всего 17 054 версты шоссейных дорог, обрывающихся на севере у гор. Выборга, на северо-востоке — у Ярославля, на востоке — у Нижнего Новгорода и Рязани, на юго-востоке — у Воронежа и, наконец, на юге и юго-западе — у Харькова, Киева и Житомира. Между тем во многих местностях грунтовые тракты поныне продолжают удерживать немалое движение и грузооборот. Несомненно, что приведение этих путей в благоустроенное состояние представляется вопросом первостепенной важности, значение коего усугубляется современным развитием автомобильных сообщений. Опыт Западной Европы доказывает, что и в местностях с вполне разработанной железнодорожной сетью наиболее мощный экономический и культурный подъем достигается при наличии удовлетворительных шоссейных дорог. А так как наше земское дорожное строительство даже при широком ему воспособлении из средств казны по необходимости долго еще сосредоточиваться будет на сооружении местных подъездных путей малого протяжения, то очевидно, что шоссейное строительство в более крупном масштабе возможно лишь при условии, если государство возьмет эту задачу на себя... </w:t>
      </w:r>
    </w:p>
    <w:p w14:paraId="1D4BFE95" w14:textId="77777777" w:rsidR="00B67D7C" w:rsidRPr="00DE096C" w:rsidRDefault="00B67D7C" w:rsidP="00D45A46">
      <w:pPr>
        <w:jc w:val="both"/>
        <w:rPr>
          <w:bCs/>
          <w:color w:val="002060"/>
          <w:sz w:val="16"/>
          <w:szCs w:val="16"/>
        </w:rPr>
      </w:pPr>
      <w:r w:rsidRPr="00DE096C">
        <w:rPr>
          <w:bCs/>
          <w:color w:val="002060"/>
          <w:sz w:val="16"/>
          <w:szCs w:val="16"/>
        </w:rPr>
        <w:t xml:space="preserve">Руководствуясь изложенным, Совет Министров положил: </w:t>
      </w:r>
    </w:p>
    <w:p w14:paraId="07725CE5" w14:textId="77777777" w:rsidR="00B67D7C" w:rsidRPr="00DE096C" w:rsidRDefault="00B67D7C" w:rsidP="00D45A46">
      <w:pPr>
        <w:jc w:val="both"/>
        <w:rPr>
          <w:bCs/>
          <w:color w:val="002060"/>
          <w:sz w:val="16"/>
          <w:szCs w:val="16"/>
        </w:rPr>
      </w:pPr>
      <w:r w:rsidRPr="00DE096C">
        <w:rPr>
          <w:bCs/>
          <w:color w:val="002060"/>
          <w:sz w:val="16"/>
          <w:szCs w:val="16"/>
        </w:rPr>
        <w:t xml:space="preserve">I. Признать очередной задачей правительства оборудование Европейской России сетью шоссейных дорог государственного значения. </w:t>
      </w:r>
    </w:p>
    <w:p w14:paraId="49626A99" w14:textId="77777777" w:rsidR="00B67D7C" w:rsidRPr="00DE096C" w:rsidRDefault="00B67D7C" w:rsidP="00D45A46">
      <w:pPr>
        <w:jc w:val="both"/>
        <w:rPr>
          <w:bCs/>
          <w:color w:val="002060"/>
          <w:sz w:val="16"/>
          <w:szCs w:val="16"/>
        </w:rPr>
      </w:pPr>
      <w:r w:rsidRPr="00DE096C">
        <w:rPr>
          <w:bCs/>
          <w:color w:val="002060"/>
          <w:sz w:val="16"/>
          <w:szCs w:val="16"/>
        </w:rPr>
        <w:t xml:space="preserve">II. Предоставить Министру Путей Сообщения распорядиться возобновлением занятий образованного при высочайше вверенном ему ведомстве междуведомственного совещания для обсуждения схемы сети и общих направлений отдельных магистралей. </w:t>
      </w:r>
    </w:p>
    <w:p w14:paraId="5FA04C44" w14:textId="77777777" w:rsidR="00B67D7C" w:rsidRPr="00DE096C" w:rsidRDefault="00B67D7C" w:rsidP="00D45A46">
      <w:pPr>
        <w:jc w:val="both"/>
        <w:rPr>
          <w:bCs/>
          <w:color w:val="002060"/>
          <w:sz w:val="16"/>
          <w:szCs w:val="16"/>
        </w:rPr>
      </w:pPr>
      <w:r w:rsidRPr="00DE096C">
        <w:rPr>
          <w:bCs/>
          <w:color w:val="002060"/>
          <w:sz w:val="16"/>
          <w:szCs w:val="16"/>
        </w:rPr>
        <w:t>Из решения Совета министров, особая папка, 1914 г. (11652).</w:t>
      </w:r>
    </w:p>
    <w:p w14:paraId="239AC0FE" w14:textId="77777777" w:rsidR="00B67D7C" w:rsidRPr="00DE096C" w:rsidRDefault="00B67D7C" w:rsidP="00D45A46">
      <w:pPr>
        <w:jc w:val="both"/>
        <w:rPr>
          <w:bCs/>
          <w:color w:val="002060"/>
          <w:sz w:val="16"/>
          <w:szCs w:val="16"/>
        </w:rPr>
      </w:pPr>
    </w:p>
    <w:p w14:paraId="02EAA685" w14:textId="77777777" w:rsidR="00575BAA" w:rsidRPr="00DE096C" w:rsidRDefault="00575BAA" w:rsidP="00D45A46">
      <w:pPr>
        <w:jc w:val="both"/>
        <w:rPr>
          <w:bCs/>
          <w:i/>
          <w:color w:val="002060"/>
          <w:sz w:val="16"/>
          <w:szCs w:val="16"/>
        </w:rPr>
      </w:pPr>
      <w:r w:rsidRPr="00DE096C">
        <w:rPr>
          <w:bCs/>
          <w:i/>
          <w:color w:val="002060"/>
          <w:sz w:val="16"/>
          <w:szCs w:val="16"/>
        </w:rPr>
        <w:t>За рубежом:</w:t>
      </w:r>
    </w:p>
    <w:p w14:paraId="7F02F269" w14:textId="77777777" w:rsidR="00575BAA" w:rsidRPr="00DE096C" w:rsidRDefault="00575BAA" w:rsidP="00D45A46">
      <w:pPr>
        <w:jc w:val="both"/>
        <w:rPr>
          <w:bCs/>
          <w:color w:val="002060"/>
          <w:sz w:val="16"/>
          <w:szCs w:val="16"/>
        </w:rPr>
      </w:pPr>
    </w:p>
    <w:p w14:paraId="2F1AABE5" w14:textId="77777777" w:rsidR="00575BAA" w:rsidRPr="00DE096C" w:rsidRDefault="00575BAA" w:rsidP="00D45A46">
      <w:pPr>
        <w:jc w:val="both"/>
        <w:rPr>
          <w:bCs/>
          <w:color w:val="002060"/>
          <w:sz w:val="16"/>
          <w:szCs w:val="16"/>
        </w:rPr>
      </w:pPr>
      <w:r w:rsidRPr="00DE096C">
        <w:rPr>
          <w:bCs/>
          <w:color w:val="002060"/>
          <w:sz w:val="16"/>
          <w:szCs w:val="16"/>
        </w:rPr>
        <w:t xml:space="preserve">23 февраля (8 марта) в 1914 году установлено празднование Международного женского дня именно 8 марта. Вообще решение о ежегодном праздновании Международного женского дня было принято на 2-й Международной конференции социалисток в Копенгагене в 1910 году по предложению Клары Цеткин. Впервые проводился в 1911 в Германии, Австрии, Швейцарии и Дании; в России - в 1913 в Санкт-Петербурге. До 1914 отмечался в разных странах в различные числа марта. Традиция празднования Международного женского дня 8 марта стала укрепляться повсеместно после того, как в 1914 женщины Австрии, Венгрии, Германии, Нидерландов, России, США, Швейцарии и других стран отметили его именно в этот день. 8 марта 1917 трудящиеся Петрограда по призыву Санкт-Петербургского комитета большевиков отметили Международный женский день политическими митингами и демонстрациями, которые стали вехой в развитии массового движения, </w:t>
      </w:r>
      <w:r w:rsidRPr="00DE096C">
        <w:rPr>
          <w:bCs/>
          <w:color w:val="002060"/>
          <w:sz w:val="16"/>
          <w:szCs w:val="16"/>
        </w:rPr>
        <w:lastRenderedPageBreak/>
        <w:t>важным событием Февральской буржуазно-демократической революции 1917. Указом Президиума Верховного Совета СССР от 8 мая 1965 Международный женский день 8 марта объявлен в СССР нерабочим днём "в ознаменование выдающихся заслуг советских женщин в коммунистическом строительстве, в защите Родины в годы Великой Отечественной войны, их героизма и самоотверженности на фронте и в тылу, а также отмечая большой вклад женщин в укрепление дружбы между народами и борьбу за мир". Эта традиция сохранена в России и после распада СССР (15062).</w:t>
      </w:r>
    </w:p>
    <w:p w14:paraId="2D414370" w14:textId="77777777" w:rsidR="00575BAA" w:rsidRPr="00DE096C" w:rsidRDefault="00575BAA" w:rsidP="00D45A46">
      <w:pPr>
        <w:jc w:val="both"/>
        <w:rPr>
          <w:bCs/>
          <w:color w:val="002060"/>
          <w:sz w:val="16"/>
          <w:szCs w:val="16"/>
        </w:rPr>
      </w:pPr>
    </w:p>
    <w:p w14:paraId="3BC4F1F6"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0D832EC8" w14:textId="77777777" w:rsidR="00B67D7C" w:rsidRPr="00DE096C" w:rsidRDefault="00B67D7C" w:rsidP="00D45A46">
      <w:pPr>
        <w:shd w:val="clear" w:color="auto" w:fill="FFFFFF"/>
        <w:jc w:val="both"/>
        <w:rPr>
          <w:bCs/>
          <w:i/>
          <w:color w:val="002060"/>
          <w:sz w:val="16"/>
          <w:szCs w:val="16"/>
        </w:rPr>
      </w:pPr>
    </w:p>
    <w:p w14:paraId="7CA65BE9" w14:textId="335C1D95" w:rsidR="00575BAA" w:rsidRPr="00DE096C" w:rsidRDefault="00575BAA" w:rsidP="00D45A46">
      <w:pPr>
        <w:jc w:val="both"/>
        <w:rPr>
          <w:bCs/>
          <w:color w:val="002060"/>
          <w:sz w:val="16"/>
          <w:szCs w:val="16"/>
        </w:rPr>
      </w:pPr>
      <w:r w:rsidRPr="00DE096C">
        <w:rPr>
          <w:bCs/>
          <w:color w:val="002060"/>
          <w:sz w:val="16"/>
          <w:szCs w:val="16"/>
        </w:rPr>
        <w:t xml:space="preserve">25 февраля </w:t>
      </w:r>
      <w:r w:rsidR="008F77BC" w:rsidRPr="00DE096C">
        <w:rPr>
          <w:bCs/>
          <w:color w:val="002060"/>
          <w:sz w:val="16"/>
          <w:szCs w:val="16"/>
        </w:rPr>
        <w:t xml:space="preserve">(10 марта) </w:t>
      </w:r>
      <w:r w:rsidRPr="00DE096C">
        <w:rPr>
          <w:bCs/>
          <w:color w:val="002060"/>
          <w:sz w:val="16"/>
          <w:szCs w:val="16"/>
        </w:rPr>
        <w:t>в 1914 году И.И.Сикорский на своем самолете "Илья Муромец" установил 14 мировых рекордов продолжительности полета - 18 минут и высоты - 300 м с 8-15 пассажирами (15051).</w:t>
      </w:r>
    </w:p>
    <w:p w14:paraId="1520EEC3" w14:textId="77777777" w:rsidR="00575BAA" w:rsidRPr="00DE096C" w:rsidRDefault="00575BAA" w:rsidP="00D45A46">
      <w:pPr>
        <w:jc w:val="both"/>
        <w:rPr>
          <w:bCs/>
          <w:color w:val="002060"/>
          <w:sz w:val="16"/>
          <w:szCs w:val="16"/>
        </w:rPr>
      </w:pPr>
    </w:p>
    <w:p w14:paraId="1C677382" w14:textId="77777777" w:rsidR="00B67D7C" w:rsidRPr="00DE096C" w:rsidRDefault="00B67D7C" w:rsidP="00D45A46">
      <w:pPr>
        <w:jc w:val="both"/>
        <w:rPr>
          <w:bCs/>
          <w:i/>
          <w:color w:val="002060"/>
          <w:sz w:val="16"/>
          <w:szCs w:val="16"/>
        </w:rPr>
      </w:pPr>
      <w:r w:rsidRPr="00DE096C">
        <w:rPr>
          <w:bCs/>
          <w:i/>
          <w:color w:val="002060"/>
          <w:sz w:val="16"/>
          <w:szCs w:val="16"/>
        </w:rPr>
        <w:t>Самолетостроение:</w:t>
      </w:r>
    </w:p>
    <w:p w14:paraId="47C6F9D3" w14:textId="77777777" w:rsidR="00B67D7C" w:rsidRPr="00DE096C" w:rsidRDefault="00B67D7C" w:rsidP="00D45A46">
      <w:pPr>
        <w:jc w:val="both"/>
        <w:rPr>
          <w:bCs/>
          <w:i/>
          <w:color w:val="002060"/>
          <w:sz w:val="16"/>
          <w:szCs w:val="16"/>
        </w:rPr>
      </w:pPr>
    </w:p>
    <w:p w14:paraId="376AE4F3" w14:textId="2420C5AA" w:rsidR="00575BAA" w:rsidRPr="00DE096C" w:rsidRDefault="00575BAA" w:rsidP="00D45A46">
      <w:pPr>
        <w:jc w:val="both"/>
        <w:rPr>
          <w:bCs/>
          <w:color w:val="002060"/>
          <w:sz w:val="16"/>
          <w:szCs w:val="16"/>
        </w:rPr>
      </w:pPr>
      <w:r w:rsidRPr="00DE096C">
        <w:rPr>
          <w:bCs/>
          <w:color w:val="002060"/>
          <w:sz w:val="16"/>
          <w:szCs w:val="16"/>
        </w:rPr>
        <w:t xml:space="preserve">26 февраля </w:t>
      </w:r>
      <w:r w:rsidR="00BD72E1" w:rsidRPr="00DE096C">
        <w:rPr>
          <w:bCs/>
          <w:color w:val="002060"/>
          <w:sz w:val="16"/>
          <w:szCs w:val="16"/>
        </w:rPr>
        <w:t xml:space="preserve">(11 марта) </w:t>
      </w:r>
      <w:r w:rsidRPr="00DE096C">
        <w:rPr>
          <w:bCs/>
          <w:color w:val="002060"/>
          <w:sz w:val="16"/>
          <w:szCs w:val="16"/>
        </w:rPr>
        <w:t>в 1914 году И.И.Сикорский на своем самолете "Илья Муромец" установил 4 мировых рекордов продолжительности полета - 2 часа 6 минут и высоты - 950 м с 5-7 пассажирами. Первый полет состоялся 26 января 1914 года. Самолет "Илья Муромец", построенный в октябре 1913 г., представлял собой биплан с прочным фюзеляжем, в носовой части которого имелась застекленная кабина с электрическим освещением и обогревом. Для облегчения конструкции в задней части корпуса использовалась фанерная обшивка. Большое верхнее крыло опиралось на шесть верхних стоек. В начале 1914 г. начался серийный выпуск самолетов Сикорского. В промышленном варианте "Илья Муромец" отличался меньшими размерами и более мощными двигателями, поэтому максимальная скорость его составила 100 км/ч. а высота - 3000 м (15052).</w:t>
      </w:r>
    </w:p>
    <w:p w14:paraId="1ADE1B31" w14:textId="77777777" w:rsidR="00575BAA" w:rsidRPr="00DE096C" w:rsidRDefault="00575BAA" w:rsidP="00D45A46">
      <w:pPr>
        <w:jc w:val="both"/>
        <w:rPr>
          <w:bCs/>
          <w:color w:val="002060"/>
          <w:sz w:val="16"/>
          <w:szCs w:val="16"/>
        </w:rPr>
      </w:pPr>
    </w:p>
    <w:p w14:paraId="55C5E344" w14:textId="2B4E0CCD"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26 февраля </w:t>
      </w:r>
      <w:r w:rsidR="00BD72E1" w:rsidRPr="00DE096C">
        <w:rPr>
          <w:bCs/>
          <w:color w:val="002060"/>
          <w:sz w:val="16"/>
          <w:szCs w:val="16"/>
        </w:rPr>
        <w:t xml:space="preserve">(11 марта) </w:t>
      </w:r>
      <w:r w:rsidRPr="00DE096C">
        <w:rPr>
          <w:bCs/>
          <w:color w:val="002060"/>
          <w:sz w:val="16"/>
          <w:szCs w:val="16"/>
        </w:rPr>
        <w:t xml:space="preserve">1914 г. </w:t>
      </w:r>
      <w:r w:rsidR="00BD72E1" w:rsidRPr="00DE096C">
        <w:rPr>
          <w:bCs/>
          <w:color w:val="002060"/>
          <w:sz w:val="16"/>
          <w:szCs w:val="16"/>
        </w:rPr>
        <w:t>было</w:t>
      </w:r>
      <w:r w:rsidRPr="00DE096C">
        <w:rPr>
          <w:bCs/>
          <w:color w:val="002060"/>
          <w:sz w:val="16"/>
          <w:szCs w:val="16"/>
        </w:rPr>
        <w:t xml:space="preserve"> </w:t>
      </w:r>
      <w:r w:rsidR="00BD72E1" w:rsidRPr="00DE096C">
        <w:rPr>
          <w:bCs/>
          <w:color w:val="002060"/>
          <w:sz w:val="16"/>
          <w:szCs w:val="16"/>
        </w:rPr>
        <w:t>п</w:t>
      </w:r>
      <w:r w:rsidRPr="00DE096C">
        <w:rPr>
          <w:bCs/>
          <w:color w:val="002060"/>
          <w:sz w:val="16"/>
          <w:szCs w:val="16"/>
        </w:rPr>
        <w:t>редставление ГВТУ в Военный совет о заказе 10 аэропланов типа «Илья Муромец» № 520</w:t>
      </w:r>
    </w:p>
    <w:p w14:paraId="23AC97F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Секретно</w:t>
      </w:r>
    </w:p>
    <w:p w14:paraId="2F4DFC8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Следствием широкого развития авиации в современных армиях явилось увеличение количества задач, которые предположено в военное время возлагать на аэропланы.</w:t>
      </w:r>
    </w:p>
    <w:p w14:paraId="5DDC8F5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С другой стороны, сознание, что одним из первых актов войны может явиться столк</w:t>
      </w:r>
      <w:r w:rsidRPr="00DE096C">
        <w:rPr>
          <w:bCs/>
          <w:color w:val="002060"/>
          <w:sz w:val="16"/>
          <w:szCs w:val="16"/>
        </w:rPr>
        <w:softHyphen/>
        <w:t>новение воздушных флотов двух воюющих сторон, в связи с желанием возможно более увеличить способность воздушного флота к активным действиям как по воздушным, так и по наземным целям, вызвало к жизни целый ряд требований, предъявляемых военны</w:t>
      </w:r>
      <w:r w:rsidRPr="00DE096C">
        <w:rPr>
          <w:bCs/>
          <w:color w:val="002060"/>
          <w:sz w:val="16"/>
          <w:szCs w:val="16"/>
        </w:rPr>
        <w:softHyphen/>
        <w:t>ми ведомствами всех западноевропейских держав к современным аэропланам.</w:t>
      </w:r>
    </w:p>
    <w:p w14:paraId="717307F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Однако возложение на аэропланы выполнения разнообразных задач в силу необхо</w:t>
      </w:r>
      <w:r w:rsidRPr="00DE096C">
        <w:rPr>
          <w:bCs/>
          <w:color w:val="002060"/>
          <w:sz w:val="16"/>
          <w:szCs w:val="16"/>
        </w:rPr>
        <w:softHyphen/>
        <w:t>димости требует от этих аппаратов различных свойств, которые современная техника не в состоянии совместить в одном общем типе аппаратов.</w:t>
      </w:r>
    </w:p>
    <w:p w14:paraId="6504898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Так, если для хорошего разведывательного аппарата требуются главным образом хоро</w:t>
      </w:r>
      <w:r w:rsidRPr="00DE096C">
        <w:rPr>
          <w:bCs/>
          <w:color w:val="002060"/>
          <w:sz w:val="16"/>
          <w:szCs w:val="16"/>
        </w:rPr>
        <w:softHyphen/>
        <w:t>шее поле зрения и удобство наблюдения, при требовании значительной скорости пере</w:t>
      </w:r>
      <w:r w:rsidRPr="00DE096C">
        <w:rPr>
          <w:bCs/>
          <w:color w:val="002060"/>
          <w:sz w:val="16"/>
          <w:szCs w:val="16"/>
        </w:rPr>
        <w:softHyphen/>
        <w:t>движения и относительной легкости аппарата, дающей ему особо для него важную уверт</w:t>
      </w:r>
      <w:r w:rsidRPr="00DE096C">
        <w:rPr>
          <w:bCs/>
          <w:color w:val="002060"/>
          <w:sz w:val="16"/>
          <w:szCs w:val="16"/>
        </w:rPr>
        <w:softHyphen/>
        <w:t>ливость, то задачи аэроплана, предназначенного для активных действий, требуют от него как главного совершенно нового качества— особо значительной грузоподъемности.</w:t>
      </w:r>
    </w:p>
    <w:p w14:paraId="7A1C1BD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Поэтому для удовлетворения возлагаемых на авиационные аппараты разных по ха</w:t>
      </w:r>
      <w:r w:rsidRPr="00DE096C">
        <w:rPr>
          <w:bCs/>
          <w:color w:val="002060"/>
          <w:sz w:val="16"/>
          <w:szCs w:val="16"/>
        </w:rPr>
        <w:softHyphen/>
        <w:t>рактеру задач не представляется уже возможным удовлетворяться имеющимися в насто</w:t>
      </w:r>
      <w:r w:rsidRPr="00DE096C">
        <w:rPr>
          <w:bCs/>
          <w:color w:val="002060"/>
          <w:sz w:val="16"/>
          <w:szCs w:val="16"/>
        </w:rPr>
        <w:softHyphen/>
        <w:t>ящее время вполне разработанными типами относительно легких, хотя бы и весьма бы</w:t>
      </w:r>
      <w:r w:rsidRPr="00DE096C">
        <w:rPr>
          <w:bCs/>
          <w:color w:val="002060"/>
          <w:sz w:val="16"/>
          <w:szCs w:val="16"/>
        </w:rPr>
        <w:softHyphen/>
        <w:t>стрых аэропланов, приспособленных главным образом для разведки, а необходимо изыс</w:t>
      </w:r>
      <w:r w:rsidRPr="00DE096C">
        <w:rPr>
          <w:bCs/>
          <w:color w:val="002060"/>
          <w:sz w:val="16"/>
          <w:szCs w:val="16"/>
        </w:rPr>
        <w:softHyphen/>
        <w:t>кать средство удовлетворить тем весьма сложным требованиям, которые вызываются пред</w:t>
      </w:r>
      <w:r w:rsidRPr="00DE096C">
        <w:rPr>
          <w:bCs/>
          <w:color w:val="002060"/>
          <w:sz w:val="16"/>
          <w:szCs w:val="16"/>
        </w:rPr>
        <w:softHyphen/>
        <w:t>положением возлагать на аэропланы выполнение задач активного характера. Они требу</w:t>
      </w:r>
      <w:r w:rsidRPr="00DE096C">
        <w:rPr>
          <w:bCs/>
          <w:color w:val="002060"/>
          <w:sz w:val="16"/>
          <w:szCs w:val="16"/>
        </w:rPr>
        <w:softHyphen/>
        <w:t>ют следующих особенностей аппаратов:</w:t>
      </w:r>
    </w:p>
    <w:p w14:paraId="2365CCB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а) установки на них солидной брони;</w:t>
      </w:r>
    </w:p>
    <w:p w14:paraId="136C7EC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б) вооружения их пулеметами или даже малокалиберными скорострельными пушками;</w:t>
      </w:r>
    </w:p>
    <w:p w14:paraId="44474A8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снабжения их радиотелеграфом;</w:t>
      </w:r>
    </w:p>
    <w:p w14:paraId="7E03723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г) снабжения их бомбометами с солидным запасом снарядов для метания;</w:t>
      </w:r>
    </w:p>
    <w:p w14:paraId="654178E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д) обеспечения их запасами горючего материала на продолжительное время полета 8-10 часов);</w:t>
      </w:r>
    </w:p>
    <w:p w14:paraId="1BC8165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е) оборудования аэропланов фотографическими аппаратами и разного рода прибора</w:t>
      </w:r>
      <w:r w:rsidRPr="00DE096C">
        <w:rPr>
          <w:bCs/>
          <w:color w:val="002060"/>
          <w:sz w:val="16"/>
          <w:szCs w:val="16"/>
        </w:rPr>
        <w:softHyphen/>
        <w:t>ми, необходимыми для продолжительных ночных полетов, как-то: прожекторами, ком</w:t>
      </w:r>
      <w:r w:rsidRPr="00DE096C">
        <w:rPr>
          <w:bCs/>
          <w:color w:val="002060"/>
          <w:sz w:val="16"/>
          <w:szCs w:val="16"/>
        </w:rPr>
        <w:softHyphen/>
        <w:t>пасами, показателями скорости и проч.</w:t>
      </w:r>
    </w:p>
    <w:p w14:paraId="660E4BC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Как указано было выше, современные аэропланы не в состоянии выполнить все пере</w:t>
      </w:r>
      <w:r w:rsidRPr="00DE096C">
        <w:rPr>
          <w:bCs/>
          <w:color w:val="002060"/>
          <w:sz w:val="16"/>
          <w:szCs w:val="16"/>
        </w:rPr>
        <w:softHyphen/>
        <w:t>численные требования, так как для этого требуется грузоподъемность, далеко превосхо</w:t>
      </w:r>
      <w:r w:rsidRPr="00DE096C">
        <w:rPr>
          <w:bCs/>
          <w:color w:val="002060"/>
          <w:sz w:val="16"/>
          <w:szCs w:val="16"/>
        </w:rPr>
        <w:softHyphen/>
        <w:t>дящая все установленные до настоящего времени рекорды.</w:t>
      </w:r>
    </w:p>
    <w:p w14:paraId="4D7D8C9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Единственным типом аппарата, который, по-видимому, мог бы выполнить намечен</w:t>
      </w:r>
      <w:r w:rsidRPr="00DE096C">
        <w:rPr>
          <w:bCs/>
          <w:color w:val="002060"/>
          <w:sz w:val="16"/>
          <w:szCs w:val="16"/>
        </w:rPr>
        <w:softHyphen/>
        <w:t>ные требования, может явиться аппарат, подобный аэрсУплану «Илья Муромец», како</w:t>
      </w:r>
      <w:r w:rsidRPr="00DE096C">
        <w:rPr>
          <w:bCs/>
          <w:color w:val="002060"/>
          <w:sz w:val="16"/>
          <w:szCs w:val="16"/>
        </w:rPr>
        <w:softHyphen/>
        <w:t>вой построен в виде опыта акционерным обществом Русско-Балтийского вагонного за</w:t>
      </w:r>
      <w:r w:rsidRPr="00DE096C">
        <w:rPr>
          <w:bCs/>
          <w:color w:val="002060"/>
          <w:sz w:val="16"/>
          <w:szCs w:val="16"/>
        </w:rPr>
        <w:softHyphen/>
        <w:t>вода и в последнее время совершал с этою последней целью ряд полетов с аэродрома 1-й авиационной роты.</w:t>
      </w:r>
    </w:p>
    <w:p w14:paraId="6486AC3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Вследствие всего изложенного и по приказанию помощника военного министра о внесении представления в Военный совет о заказе десяти штук аппаратов подобного типа, Главным военно-техническим управлением было запрошено правление акцио</w:t>
      </w:r>
      <w:r w:rsidRPr="00DE096C">
        <w:rPr>
          <w:bCs/>
          <w:color w:val="002060"/>
          <w:sz w:val="16"/>
          <w:szCs w:val="16"/>
        </w:rPr>
        <w:softHyphen/>
        <w:t>нерного общества Русско-Балтийского вагонного завода об условиях, на которых этот завод мог бы принять на себя выполнение этого заказа.</w:t>
      </w:r>
    </w:p>
    <w:p w14:paraId="1D8A428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Акционерное общество Русско-Балтийского вагонного завода заявлением своим от 26 сего февраля сообщило, что оно согласно поставить 10 аппаратов системы «Илья Му</w:t>
      </w:r>
      <w:r w:rsidRPr="00DE096C">
        <w:rPr>
          <w:bCs/>
          <w:color w:val="002060"/>
          <w:sz w:val="16"/>
          <w:szCs w:val="16"/>
        </w:rPr>
        <w:softHyphen/>
        <w:t>ромец» на следующих условиях:</w:t>
      </w:r>
    </w:p>
    <w:p w14:paraId="5C28035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Аппараты должны быть доставлены в указанное военным ведомством место в Пе</w:t>
      </w:r>
      <w:r w:rsidRPr="00DE096C">
        <w:rPr>
          <w:bCs/>
          <w:color w:val="002060"/>
          <w:sz w:val="16"/>
          <w:szCs w:val="16"/>
        </w:rPr>
        <w:softHyphen/>
        <w:t>тербурге в срок не позже 10 месяцев со дня заключения контракта на поставку этих аппаратов.</w:t>
      </w:r>
    </w:p>
    <w:p w14:paraId="06163FC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Испытания готовых аппаратов производятся пилотом завода за страх и счет завода.</w:t>
      </w:r>
    </w:p>
    <w:p w14:paraId="1E99C78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На каждом аппарате должен быть произведен один полет продолжительностью не менее 2,5 часов.</w:t>
      </w:r>
    </w:p>
    <w:p w14:paraId="0C895BA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Полезная нагрузка каждого аппарата во время полета должна быть не менее 90 пудов. В полезный груз аппарата входят: бензин, масло, пассажиры, предметы и приборы, не имеющие непосредственного отношения к полету.</w:t>
      </w:r>
    </w:p>
    <w:p w14:paraId="0C8D803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Во время полетов аппарат должен достигать высоты не менее восьмисот метров.</w:t>
      </w:r>
    </w:p>
    <w:p w14:paraId="2B7D7FF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Гарантированная скорость каждого аппарата должна быть не менее 85 верст в час.</w:t>
      </w:r>
    </w:p>
    <w:p w14:paraId="08A2545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Скорость подъема аппарата на высоту 500 м должна быть не более 15 минут.</w:t>
      </w:r>
    </w:p>
    <w:p w14:paraId="56893C0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Сдача аппаратов производится с бензином и маслом от военного ведомства, причем завод уплачивает за то количество их, которое будет им израсходовано при сдаче.</w:t>
      </w:r>
    </w:p>
    <w:p w14:paraId="69D0D6D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Каждый аппарат должен быть снабжен четырьмя, пятью или шестью моторами (тип коих предоставляется на усмотрение завода) общей мощностью около 600 лошадиных сил, с отклонением от этого до 10 %; мощность двигателей определяется по сертификату завода, изготовляющего эти двигатели.</w:t>
      </w:r>
    </w:p>
    <w:p w14:paraId="0BD00C4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Цена каждого аппарата— 150 тыс. рублей.</w:t>
      </w:r>
    </w:p>
    <w:p w14:paraId="4774669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Помимо других предметов, которые могут быть даны по желанию военного ведомства и по отдельному условию с ним, аппарат снабжается одним альтиметром, одним компа</w:t>
      </w:r>
      <w:r w:rsidRPr="00DE096C">
        <w:rPr>
          <w:bCs/>
          <w:color w:val="002060"/>
          <w:sz w:val="16"/>
          <w:szCs w:val="16"/>
        </w:rPr>
        <w:softHyphen/>
        <w:t>сом (авиационным), одним оборудованием электрического освещения для освещения приборов (сухие батареи) и одним набором инструментов.</w:t>
      </w:r>
    </w:p>
    <w:p w14:paraId="578FDA4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Вопрос о броне не предусматривался.</w:t>
      </w:r>
    </w:p>
    <w:p w14:paraId="44B5136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Для установления постоянного наблюдения за изготовлением означенного заказа представляется необходимым на Русско-Балтийском вагонном заводе иметь особых на</w:t>
      </w:r>
      <w:r w:rsidRPr="00DE096C">
        <w:rPr>
          <w:bCs/>
          <w:color w:val="002060"/>
          <w:sz w:val="16"/>
          <w:szCs w:val="16"/>
        </w:rPr>
        <w:softHyphen/>
        <w:t>блюдающих из летчиков, а посему полагалось бы оставить в распоряжении технического отдела ГВТУ сумму не свыше 3 тыс. руб. для оплаты расходов по наблюдению, изготовле</w:t>
      </w:r>
      <w:r w:rsidRPr="00DE096C">
        <w:rPr>
          <w:bCs/>
          <w:color w:val="002060"/>
          <w:sz w:val="16"/>
          <w:szCs w:val="16"/>
        </w:rPr>
        <w:softHyphen/>
        <w:t>нию чертежей, технических условий и на прочие расходы, связанные с настоящей заго</w:t>
      </w:r>
      <w:r w:rsidRPr="00DE096C">
        <w:rPr>
          <w:bCs/>
          <w:color w:val="002060"/>
          <w:sz w:val="16"/>
          <w:szCs w:val="16"/>
        </w:rPr>
        <w:softHyphen/>
        <w:t>товкою.</w:t>
      </w:r>
    </w:p>
    <w:p w14:paraId="71B6592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ЗАКОН: ст. 78, кн. I Свода военных постановлений 1869 г., изд. 3-е.</w:t>
      </w:r>
    </w:p>
    <w:p w14:paraId="7B879F0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Представляя изложенное, по приказанию помощника военного министра, на благо</w:t>
      </w:r>
      <w:r w:rsidRPr="00DE096C">
        <w:rPr>
          <w:bCs/>
          <w:color w:val="002060"/>
          <w:sz w:val="16"/>
          <w:szCs w:val="16"/>
        </w:rPr>
        <w:softHyphen/>
        <w:t>усмотрение Военного совета, я полагал бы:</w:t>
      </w:r>
    </w:p>
    <w:p w14:paraId="1CED030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МНЕНИЕ: 1) Заказать акционерному обществу Русско-Балтийского вагонного заво</w:t>
      </w:r>
      <w:r w:rsidRPr="00DE096C">
        <w:rPr>
          <w:bCs/>
          <w:color w:val="002060"/>
          <w:sz w:val="16"/>
          <w:szCs w:val="16"/>
        </w:rPr>
        <w:softHyphen/>
        <w:t>да на предложенных этим заводом условиях 10 аэропланов за общую сумму 1 млн. 500 тыс. рублей.</w:t>
      </w:r>
    </w:p>
    <w:p w14:paraId="4B98CBA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 Разрешить израсходовать техническому отделу ГВТУ не свыше 3 тыс. руб. на опла</w:t>
      </w:r>
      <w:r w:rsidRPr="00DE096C">
        <w:rPr>
          <w:bCs/>
          <w:color w:val="002060"/>
          <w:sz w:val="16"/>
          <w:szCs w:val="16"/>
        </w:rPr>
        <w:softHyphen/>
        <w:t>ту наблюдения, изготовление чертежей, технических условий и прочие мелкие расходы, связанные с настоящей заготовкой.</w:t>
      </w:r>
    </w:p>
    <w:p w14:paraId="3FCA79E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3) Потребный на выполнение означенной меры расход в сумме 1 млн. 503 тыс. руб. отне</w:t>
      </w:r>
      <w:r w:rsidRPr="00DE096C">
        <w:rPr>
          <w:bCs/>
          <w:color w:val="002060"/>
          <w:sz w:val="16"/>
          <w:szCs w:val="16"/>
        </w:rPr>
        <w:softHyphen/>
        <w:t>сти на § 1 чрезвычайной сметы Главного инженерного управления 1913 и 1914 годов'</w:t>
      </w:r>
      <w:r w:rsidRPr="00DE096C">
        <w:rPr>
          <w:bCs/>
          <w:color w:val="002060"/>
          <w:sz w:val="16"/>
          <w:szCs w:val="16"/>
          <w:vertAlign w:val="superscript"/>
        </w:rPr>
        <w:t>71</w:t>
      </w:r>
      <w:r w:rsidRPr="00DE096C">
        <w:rPr>
          <w:bCs/>
          <w:color w:val="002060"/>
          <w:sz w:val="16"/>
          <w:szCs w:val="16"/>
        </w:rPr>
        <w:t>. Приложение: заявление Русско- Балтийского вагонного завода за №4636*.</w:t>
      </w:r>
    </w:p>
    <w:p w14:paraId="55B436E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Начальник Главного военно-технического управления генерал-лейтенант барон Ропп</w:t>
      </w:r>
    </w:p>
    <w:p w14:paraId="7DAB833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Начальник отдела генерал-майор Болотов РГВИА. Ф. 29. Оп. 3. Д. 861. Л. 5-7. Подлинник (10707).</w:t>
      </w:r>
    </w:p>
    <w:p w14:paraId="37D62834" w14:textId="77777777" w:rsidR="00B67D7C" w:rsidRPr="00DE096C" w:rsidRDefault="00B67D7C" w:rsidP="00D45A46">
      <w:pPr>
        <w:shd w:val="clear" w:color="auto" w:fill="FFFFFF"/>
        <w:jc w:val="both"/>
        <w:rPr>
          <w:bCs/>
          <w:color w:val="002060"/>
          <w:sz w:val="16"/>
          <w:szCs w:val="16"/>
        </w:rPr>
      </w:pPr>
    </w:p>
    <w:p w14:paraId="4166B92F" w14:textId="77777777" w:rsidR="00507EFA" w:rsidRPr="00DE096C" w:rsidRDefault="00507EFA" w:rsidP="00D45A46">
      <w:pPr>
        <w:jc w:val="both"/>
        <w:rPr>
          <w:bCs/>
          <w:color w:val="002060"/>
          <w:sz w:val="16"/>
          <w:szCs w:val="16"/>
        </w:rPr>
      </w:pPr>
      <w:r w:rsidRPr="00DE096C">
        <w:rPr>
          <w:bCs/>
          <w:color w:val="002060"/>
          <w:sz w:val="16"/>
          <w:szCs w:val="16"/>
        </w:rPr>
        <w:t>26 февраля 1914 Представление ГВТУ в Военный совет о заказе 10 аэропланов типа «Илья Муромец» № 520</w:t>
      </w:r>
    </w:p>
    <w:p w14:paraId="1CDB22E8" w14:textId="77777777" w:rsidR="00507EFA" w:rsidRPr="00DE096C" w:rsidRDefault="00507EFA" w:rsidP="00D45A46">
      <w:pPr>
        <w:jc w:val="both"/>
        <w:rPr>
          <w:bCs/>
          <w:color w:val="002060"/>
          <w:sz w:val="16"/>
          <w:szCs w:val="16"/>
        </w:rPr>
      </w:pPr>
      <w:r w:rsidRPr="00DE096C">
        <w:rPr>
          <w:bCs/>
          <w:color w:val="002060"/>
          <w:sz w:val="16"/>
          <w:szCs w:val="16"/>
        </w:rPr>
        <w:t>Секретно</w:t>
      </w:r>
    </w:p>
    <w:p w14:paraId="1DD6E82A" w14:textId="77777777" w:rsidR="00507EFA" w:rsidRPr="00DE096C" w:rsidRDefault="00507EFA" w:rsidP="00D45A46">
      <w:pPr>
        <w:jc w:val="both"/>
        <w:rPr>
          <w:bCs/>
          <w:color w:val="002060"/>
          <w:sz w:val="16"/>
          <w:szCs w:val="16"/>
        </w:rPr>
      </w:pPr>
      <w:r w:rsidRPr="00DE096C">
        <w:rPr>
          <w:bCs/>
          <w:color w:val="002060"/>
          <w:sz w:val="16"/>
          <w:szCs w:val="16"/>
        </w:rPr>
        <w:t>Следствием широкого развития авиации в современных армиях явилось увеличение количества задач, которые предположено в военное время возлагать на аэропланы.</w:t>
      </w:r>
    </w:p>
    <w:p w14:paraId="58954A7B" w14:textId="77777777" w:rsidR="00507EFA" w:rsidRPr="00DE096C" w:rsidRDefault="00507EFA" w:rsidP="00D45A46">
      <w:pPr>
        <w:jc w:val="both"/>
        <w:rPr>
          <w:bCs/>
          <w:color w:val="002060"/>
          <w:sz w:val="16"/>
          <w:szCs w:val="16"/>
        </w:rPr>
      </w:pPr>
      <w:r w:rsidRPr="00DE096C">
        <w:rPr>
          <w:bCs/>
          <w:color w:val="002060"/>
          <w:sz w:val="16"/>
          <w:szCs w:val="16"/>
        </w:rPr>
        <w:lastRenderedPageBreak/>
        <w:t>С другой стороны, сознание, что одним из первых актов войны может явиться столкновение воздушных флотов двух воюющих сторон, в связи с желанием возможно более увеличить способность воздушного флота к активным действиям как по воздушным, так и по наземным целям, вызвало к жизни целый ряд требований, предъявляемых военными ведомствами всех западноевропейских держав к современным аэропланам.</w:t>
      </w:r>
    </w:p>
    <w:p w14:paraId="72572580" w14:textId="77777777" w:rsidR="00507EFA" w:rsidRPr="00DE096C" w:rsidRDefault="00507EFA" w:rsidP="00D45A46">
      <w:pPr>
        <w:jc w:val="both"/>
        <w:rPr>
          <w:bCs/>
          <w:color w:val="002060"/>
          <w:sz w:val="16"/>
          <w:szCs w:val="16"/>
        </w:rPr>
      </w:pPr>
      <w:r w:rsidRPr="00DE096C">
        <w:rPr>
          <w:bCs/>
          <w:color w:val="002060"/>
          <w:sz w:val="16"/>
          <w:szCs w:val="16"/>
        </w:rPr>
        <w:t>Однако возложение на аэропланы выполнения разнообразных задач в силу необходимости требует от этих аппаратов различных свойств, которые современная техника не в состоянии совместить в одном общем типе аппаратов.</w:t>
      </w:r>
    </w:p>
    <w:p w14:paraId="14469105" w14:textId="77777777" w:rsidR="00507EFA" w:rsidRPr="00DE096C" w:rsidRDefault="00507EFA" w:rsidP="00D45A46">
      <w:pPr>
        <w:jc w:val="both"/>
        <w:rPr>
          <w:bCs/>
          <w:color w:val="002060"/>
          <w:sz w:val="16"/>
          <w:szCs w:val="16"/>
        </w:rPr>
      </w:pPr>
      <w:r w:rsidRPr="00DE096C">
        <w:rPr>
          <w:bCs/>
          <w:color w:val="002060"/>
          <w:sz w:val="16"/>
          <w:szCs w:val="16"/>
        </w:rPr>
        <w:t>Так, если для хорошего разведывательного аппарата требуются главным образом хорошее поле зрения и удобство наблюдения, при требовании значительной скорости передвижения и относительной легкости аппарата, дающей ему особо для него важную увертливость, то задачи аэроплана, предназначенного для активных действий, требуют от него как главного совершенно нового качества — особо значительной рузоподъемности.</w:t>
      </w:r>
    </w:p>
    <w:p w14:paraId="7236277C" w14:textId="77777777" w:rsidR="00507EFA" w:rsidRPr="00DE096C" w:rsidRDefault="00507EFA" w:rsidP="00D45A46">
      <w:pPr>
        <w:jc w:val="both"/>
        <w:rPr>
          <w:bCs/>
          <w:color w:val="002060"/>
          <w:sz w:val="16"/>
          <w:szCs w:val="16"/>
        </w:rPr>
      </w:pPr>
      <w:r w:rsidRPr="00DE096C">
        <w:rPr>
          <w:bCs/>
          <w:color w:val="002060"/>
          <w:sz w:val="16"/>
          <w:szCs w:val="16"/>
        </w:rPr>
        <w:t>Поэтому для удовлетворения возлагаемых на авиационные аппараты разных по характеру задач не представляется уже возможным удовлетворяться имеющимися в настоящее время вполне разработанными типами относительно легких, хотя бы и весьма быстрых аэропланов, приспособленных главным образом для разведки, а необходимо изыскать средство удовлетворить тем весьма сложным требованиям, которые вызываются предположением возлагать на аэропланы выполнение задач активного характера. Они требуют следующих особенностей аппаратов:</w:t>
      </w:r>
    </w:p>
    <w:p w14:paraId="2295A281" w14:textId="77777777" w:rsidR="00507EFA" w:rsidRPr="00DE096C" w:rsidRDefault="00507EFA" w:rsidP="00D45A46">
      <w:pPr>
        <w:jc w:val="both"/>
        <w:rPr>
          <w:bCs/>
          <w:color w:val="002060"/>
          <w:sz w:val="16"/>
          <w:szCs w:val="16"/>
        </w:rPr>
      </w:pPr>
      <w:r w:rsidRPr="00DE096C">
        <w:rPr>
          <w:bCs/>
          <w:color w:val="002060"/>
          <w:sz w:val="16"/>
          <w:szCs w:val="16"/>
        </w:rPr>
        <w:t>а) установки на них солидной брони;</w:t>
      </w:r>
    </w:p>
    <w:p w14:paraId="6187FC6A" w14:textId="77777777" w:rsidR="00507EFA" w:rsidRPr="00DE096C" w:rsidRDefault="00507EFA" w:rsidP="00D45A46">
      <w:pPr>
        <w:jc w:val="both"/>
        <w:rPr>
          <w:bCs/>
          <w:color w:val="002060"/>
          <w:sz w:val="16"/>
          <w:szCs w:val="16"/>
        </w:rPr>
      </w:pPr>
      <w:r w:rsidRPr="00DE096C">
        <w:rPr>
          <w:bCs/>
          <w:color w:val="002060"/>
          <w:sz w:val="16"/>
          <w:szCs w:val="16"/>
        </w:rPr>
        <w:t>б) вооружения их пулеметами или даже малокалиберными скорострельными пушками;</w:t>
      </w:r>
    </w:p>
    <w:p w14:paraId="38EB4846" w14:textId="77777777" w:rsidR="00507EFA" w:rsidRPr="00DE096C" w:rsidRDefault="00507EFA" w:rsidP="00D45A46">
      <w:pPr>
        <w:jc w:val="both"/>
        <w:rPr>
          <w:bCs/>
          <w:color w:val="002060"/>
          <w:sz w:val="16"/>
          <w:szCs w:val="16"/>
        </w:rPr>
      </w:pPr>
      <w:r w:rsidRPr="00DE096C">
        <w:rPr>
          <w:bCs/>
          <w:color w:val="002060"/>
          <w:sz w:val="16"/>
          <w:szCs w:val="16"/>
        </w:rPr>
        <w:t>в) снабжения их радиотелеграфом;</w:t>
      </w:r>
    </w:p>
    <w:p w14:paraId="35407022" w14:textId="77777777" w:rsidR="00507EFA" w:rsidRPr="00DE096C" w:rsidRDefault="00507EFA" w:rsidP="00D45A46">
      <w:pPr>
        <w:jc w:val="both"/>
        <w:rPr>
          <w:bCs/>
          <w:color w:val="002060"/>
          <w:sz w:val="16"/>
          <w:szCs w:val="16"/>
        </w:rPr>
      </w:pPr>
      <w:r w:rsidRPr="00DE096C">
        <w:rPr>
          <w:bCs/>
          <w:color w:val="002060"/>
          <w:sz w:val="16"/>
          <w:szCs w:val="16"/>
        </w:rPr>
        <w:t>г) снабжения их бомбометами с солидным запасом снарядов для метания;</w:t>
      </w:r>
    </w:p>
    <w:p w14:paraId="041AA5DE" w14:textId="77777777" w:rsidR="00507EFA" w:rsidRPr="00DE096C" w:rsidRDefault="00507EFA" w:rsidP="00D45A46">
      <w:pPr>
        <w:jc w:val="both"/>
        <w:rPr>
          <w:bCs/>
          <w:color w:val="002060"/>
          <w:sz w:val="16"/>
          <w:szCs w:val="16"/>
        </w:rPr>
      </w:pPr>
      <w:r w:rsidRPr="00DE096C">
        <w:rPr>
          <w:bCs/>
          <w:color w:val="002060"/>
          <w:sz w:val="16"/>
          <w:szCs w:val="16"/>
        </w:rPr>
        <w:t>д) обеспечения их запасами горючего материала на продолжительное время полета (8—10 часов);</w:t>
      </w:r>
    </w:p>
    <w:p w14:paraId="0D59DD24" w14:textId="77777777" w:rsidR="00507EFA" w:rsidRPr="00DE096C" w:rsidRDefault="00507EFA" w:rsidP="00D45A46">
      <w:pPr>
        <w:jc w:val="both"/>
        <w:rPr>
          <w:bCs/>
          <w:color w:val="002060"/>
          <w:sz w:val="16"/>
          <w:szCs w:val="16"/>
        </w:rPr>
      </w:pPr>
      <w:r w:rsidRPr="00DE096C">
        <w:rPr>
          <w:bCs/>
          <w:color w:val="002060"/>
          <w:sz w:val="16"/>
          <w:szCs w:val="16"/>
        </w:rPr>
        <w:t>е) оборудования аэропланов фотографическими аппаратами и разного рода приборами, необходимыми для продолжительных ночных полетов, как-то: прожекторами, компасами, показателями скорости и проч.</w:t>
      </w:r>
    </w:p>
    <w:p w14:paraId="4B8556FD" w14:textId="77777777" w:rsidR="00507EFA" w:rsidRPr="00DE096C" w:rsidRDefault="00507EFA" w:rsidP="00D45A46">
      <w:pPr>
        <w:jc w:val="both"/>
        <w:rPr>
          <w:bCs/>
          <w:color w:val="002060"/>
          <w:sz w:val="16"/>
          <w:szCs w:val="16"/>
        </w:rPr>
      </w:pPr>
      <w:r w:rsidRPr="00DE096C">
        <w:rPr>
          <w:bCs/>
          <w:color w:val="002060"/>
          <w:sz w:val="16"/>
          <w:szCs w:val="16"/>
        </w:rPr>
        <w:t>Как указано было выше, современные аэропланы не в состоянии выполнить все перечисленные требования, так как для этого требуется грузоподъемность, далеко превосходящая все установленные до настоящего времени рекорды.</w:t>
      </w:r>
    </w:p>
    <w:p w14:paraId="5567087E" w14:textId="77777777" w:rsidR="00507EFA" w:rsidRPr="00DE096C" w:rsidRDefault="00507EFA" w:rsidP="00D45A46">
      <w:pPr>
        <w:jc w:val="both"/>
        <w:rPr>
          <w:bCs/>
          <w:color w:val="002060"/>
          <w:sz w:val="16"/>
          <w:szCs w:val="16"/>
        </w:rPr>
      </w:pPr>
      <w:r w:rsidRPr="00DE096C">
        <w:rPr>
          <w:bCs/>
          <w:color w:val="002060"/>
          <w:sz w:val="16"/>
          <w:szCs w:val="16"/>
        </w:rPr>
        <w:t>Единственным типом аппарата, который, по-видимому, мог бы выполнить намеченные требования, может явиться аппарат, подббньій аэроплану «Илья Муромец», каковой построен в виде опыта акционерным обществом Русско-Балтийского вагонного завода и в последнее время совершал с этою последней целью ряд полетов с аэродрома 1-й авиационной роты.</w:t>
      </w:r>
    </w:p>
    <w:p w14:paraId="6CBDA8C8" w14:textId="77777777" w:rsidR="00507EFA" w:rsidRPr="00DE096C" w:rsidRDefault="00507EFA" w:rsidP="00D45A46">
      <w:pPr>
        <w:jc w:val="both"/>
        <w:rPr>
          <w:bCs/>
          <w:color w:val="002060"/>
          <w:sz w:val="16"/>
          <w:szCs w:val="16"/>
        </w:rPr>
      </w:pPr>
      <w:r w:rsidRPr="00DE096C">
        <w:rPr>
          <w:bCs/>
          <w:color w:val="002060"/>
          <w:sz w:val="16"/>
          <w:szCs w:val="16"/>
        </w:rPr>
        <w:t>Вследствие всего изложенного и по приказанию помощника военного министра о внесении представления в Военный совет о заказе десяти штук аппаратов подобного типа, Главным военно-техническим управлением было запрошено правление акционерного общества Русско-Балтийского вагонного завода об условиях, на которых этот завод мог бы принять на себя выполнение этого заказа.</w:t>
      </w:r>
    </w:p>
    <w:p w14:paraId="4300E6C9" w14:textId="77777777" w:rsidR="00507EFA" w:rsidRPr="00DE096C" w:rsidRDefault="00507EFA" w:rsidP="00D45A46">
      <w:pPr>
        <w:jc w:val="both"/>
        <w:rPr>
          <w:bCs/>
          <w:color w:val="002060"/>
          <w:sz w:val="16"/>
          <w:szCs w:val="16"/>
        </w:rPr>
      </w:pPr>
      <w:r w:rsidRPr="00DE096C">
        <w:rPr>
          <w:bCs/>
          <w:color w:val="002060"/>
          <w:sz w:val="16"/>
          <w:szCs w:val="16"/>
        </w:rPr>
        <w:t>Акционерное общество Русско-Балтийского' вагонного завода заявлением своим от 26 сего февраля сообщило, что оно согласно поставить 10 аппаратов системы «Илья Муромец» на следующих условиях:</w:t>
      </w:r>
    </w:p>
    <w:p w14:paraId="14A276AD" w14:textId="77777777" w:rsidR="00507EFA" w:rsidRPr="00DE096C" w:rsidRDefault="00507EFA" w:rsidP="00D45A46">
      <w:pPr>
        <w:jc w:val="both"/>
        <w:rPr>
          <w:bCs/>
          <w:color w:val="002060"/>
          <w:sz w:val="16"/>
          <w:szCs w:val="16"/>
        </w:rPr>
      </w:pPr>
      <w:r w:rsidRPr="00DE096C">
        <w:rPr>
          <w:bCs/>
          <w:color w:val="002060"/>
          <w:sz w:val="16"/>
          <w:szCs w:val="16"/>
        </w:rPr>
        <w:t>Аппараты должны быть доставлены в указанное военным ведомством место в Петербурге в срок не позже 10 месяцев со дня заключения контракта на Поставку этих аппаратов.</w:t>
      </w:r>
    </w:p>
    <w:p w14:paraId="37AF9387" w14:textId="77777777" w:rsidR="00507EFA" w:rsidRPr="00DE096C" w:rsidRDefault="00507EFA" w:rsidP="00D45A46">
      <w:pPr>
        <w:jc w:val="both"/>
        <w:rPr>
          <w:bCs/>
          <w:color w:val="002060"/>
          <w:sz w:val="16"/>
          <w:szCs w:val="16"/>
        </w:rPr>
      </w:pPr>
      <w:r w:rsidRPr="00DE096C">
        <w:rPr>
          <w:bCs/>
          <w:color w:val="002060"/>
          <w:sz w:val="16"/>
          <w:szCs w:val="16"/>
        </w:rPr>
        <w:t>Испытания готовых аппаратов производятся пилотом завода за страх и счет завода.</w:t>
      </w:r>
    </w:p>
    <w:p w14:paraId="65BB8339" w14:textId="77777777" w:rsidR="00507EFA" w:rsidRPr="00DE096C" w:rsidRDefault="00507EFA" w:rsidP="00D45A46">
      <w:pPr>
        <w:jc w:val="both"/>
        <w:rPr>
          <w:bCs/>
          <w:color w:val="002060"/>
          <w:sz w:val="16"/>
          <w:szCs w:val="16"/>
        </w:rPr>
      </w:pPr>
      <w:r w:rsidRPr="00DE096C">
        <w:rPr>
          <w:bCs/>
          <w:color w:val="002060"/>
          <w:sz w:val="16"/>
          <w:szCs w:val="16"/>
        </w:rPr>
        <w:t>На каждом аппарате должен быть произведен один полет продолжительностью не менее 2,5 часов.</w:t>
      </w:r>
    </w:p>
    <w:p w14:paraId="65A61219" w14:textId="77777777" w:rsidR="00507EFA" w:rsidRPr="00DE096C" w:rsidRDefault="00507EFA" w:rsidP="00D45A46">
      <w:pPr>
        <w:jc w:val="both"/>
        <w:rPr>
          <w:bCs/>
          <w:color w:val="002060"/>
          <w:sz w:val="16"/>
          <w:szCs w:val="16"/>
        </w:rPr>
      </w:pPr>
      <w:r w:rsidRPr="00DE096C">
        <w:rPr>
          <w:bCs/>
          <w:color w:val="002060"/>
          <w:sz w:val="16"/>
          <w:szCs w:val="16"/>
        </w:rPr>
        <w:t>Полезная нагрузка каждого аппарата во время полета должна быть не менее 90 пудов. В полезный груз аппарата входят: бензин, масло, пассажиры, предметы и приборы, не имеющие непосредственного отношения к полету.</w:t>
      </w:r>
    </w:p>
    <w:p w14:paraId="2F11349B" w14:textId="77777777" w:rsidR="00507EFA" w:rsidRPr="00DE096C" w:rsidRDefault="00507EFA" w:rsidP="00D45A46">
      <w:pPr>
        <w:jc w:val="both"/>
        <w:rPr>
          <w:bCs/>
          <w:color w:val="002060"/>
          <w:sz w:val="16"/>
          <w:szCs w:val="16"/>
        </w:rPr>
      </w:pPr>
      <w:r w:rsidRPr="00DE096C">
        <w:rPr>
          <w:bCs/>
          <w:color w:val="002060"/>
          <w:sz w:val="16"/>
          <w:szCs w:val="16"/>
        </w:rPr>
        <w:t>Во время полетов аппарат должен достигать высоты не менее восьмисот метров.</w:t>
      </w:r>
    </w:p>
    <w:p w14:paraId="421BEAE3" w14:textId="77777777" w:rsidR="00507EFA" w:rsidRPr="00DE096C" w:rsidRDefault="00507EFA" w:rsidP="00D45A46">
      <w:pPr>
        <w:jc w:val="both"/>
        <w:rPr>
          <w:bCs/>
          <w:color w:val="002060"/>
          <w:sz w:val="16"/>
          <w:szCs w:val="16"/>
        </w:rPr>
      </w:pPr>
      <w:r w:rsidRPr="00DE096C">
        <w:rPr>
          <w:bCs/>
          <w:color w:val="002060"/>
          <w:sz w:val="16"/>
          <w:szCs w:val="16"/>
        </w:rPr>
        <w:t>Гарантированная скорость каждого аппарата должна быть не менее 85 верст в час.</w:t>
      </w:r>
    </w:p>
    <w:p w14:paraId="440ED25E" w14:textId="77777777" w:rsidR="00507EFA" w:rsidRPr="00DE096C" w:rsidRDefault="00507EFA" w:rsidP="00D45A46">
      <w:pPr>
        <w:jc w:val="both"/>
        <w:rPr>
          <w:bCs/>
          <w:color w:val="002060"/>
          <w:sz w:val="16"/>
          <w:szCs w:val="16"/>
        </w:rPr>
      </w:pPr>
      <w:r w:rsidRPr="00DE096C">
        <w:rPr>
          <w:bCs/>
          <w:color w:val="002060"/>
          <w:sz w:val="16"/>
          <w:szCs w:val="16"/>
        </w:rPr>
        <w:t>Скорость подъема аппарата на высоту 500 м должна быть не более 15 минут.</w:t>
      </w:r>
    </w:p>
    <w:p w14:paraId="07A93A11" w14:textId="77777777" w:rsidR="00507EFA" w:rsidRPr="00DE096C" w:rsidRDefault="00507EFA" w:rsidP="00D45A46">
      <w:pPr>
        <w:jc w:val="both"/>
        <w:rPr>
          <w:bCs/>
          <w:color w:val="002060"/>
          <w:sz w:val="16"/>
          <w:szCs w:val="16"/>
        </w:rPr>
      </w:pPr>
      <w:r w:rsidRPr="00DE096C">
        <w:rPr>
          <w:bCs/>
          <w:color w:val="002060"/>
          <w:sz w:val="16"/>
          <w:szCs w:val="16"/>
        </w:rPr>
        <w:t>Сдача аппаратов производится с бензином и маслом от военного ведомства, причем завод уплачивает за то количество их, которое будет им израсходовано при сдаче.</w:t>
      </w:r>
    </w:p>
    <w:p w14:paraId="02255075" w14:textId="77777777" w:rsidR="00507EFA" w:rsidRPr="00DE096C" w:rsidRDefault="00507EFA" w:rsidP="00D45A46">
      <w:pPr>
        <w:jc w:val="both"/>
        <w:rPr>
          <w:bCs/>
          <w:color w:val="002060"/>
          <w:sz w:val="16"/>
          <w:szCs w:val="16"/>
        </w:rPr>
      </w:pPr>
      <w:r w:rsidRPr="00DE096C">
        <w:rPr>
          <w:bCs/>
          <w:color w:val="002060"/>
          <w:sz w:val="16"/>
          <w:szCs w:val="16"/>
        </w:rPr>
        <w:t>Каждый аппарат должен быть снабжен четырьмя, пятью или шестью моторами (тип коих предоставляется на усмотрение завода) общей мощностью около 600 лошадиных сил, с отклонением от этого до 10 %\ мощность двигателей определяется по сертификату завода, изготовляющего эти двигатели.</w:t>
      </w:r>
    </w:p>
    <w:p w14:paraId="6C8C4768" w14:textId="77777777" w:rsidR="00507EFA" w:rsidRPr="00DE096C" w:rsidRDefault="00507EFA" w:rsidP="00D45A46">
      <w:pPr>
        <w:jc w:val="both"/>
        <w:rPr>
          <w:bCs/>
          <w:color w:val="002060"/>
          <w:sz w:val="16"/>
          <w:szCs w:val="16"/>
        </w:rPr>
      </w:pPr>
      <w:r w:rsidRPr="00DE096C">
        <w:rPr>
          <w:bCs/>
          <w:color w:val="002060"/>
          <w:sz w:val="16"/>
          <w:szCs w:val="16"/>
        </w:rPr>
        <w:t>Цена каждого аппарата — 150 тыс. рублей.</w:t>
      </w:r>
    </w:p>
    <w:p w14:paraId="5C9C55BF" w14:textId="77777777" w:rsidR="00507EFA" w:rsidRPr="00DE096C" w:rsidRDefault="00507EFA" w:rsidP="00D45A46">
      <w:pPr>
        <w:jc w:val="both"/>
        <w:rPr>
          <w:bCs/>
          <w:color w:val="002060"/>
          <w:sz w:val="16"/>
          <w:szCs w:val="16"/>
        </w:rPr>
      </w:pPr>
      <w:r w:rsidRPr="00DE096C">
        <w:rPr>
          <w:bCs/>
          <w:color w:val="002060"/>
          <w:sz w:val="16"/>
          <w:szCs w:val="16"/>
        </w:rPr>
        <w:t>Помимо других предметов, которые могут быть даны по желанию военного ведомства и по отдельному условию с ним, аппарат снабжается одним альтиметром, одним компасом (авиационным), одним оборудованием электрического освещения для освещения приборов (сухие батареи) и одним набором инструментов.</w:t>
      </w:r>
    </w:p>
    <w:p w14:paraId="74925F9E" w14:textId="77777777" w:rsidR="00507EFA" w:rsidRPr="00DE096C" w:rsidRDefault="00507EFA" w:rsidP="00D45A46">
      <w:pPr>
        <w:jc w:val="both"/>
        <w:rPr>
          <w:bCs/>
          <w:color w:val="002060"/>
          <w:sz w:val="16"/>
          <w:szCs w:val="16"/>
        </w:rPr>
      </w:pPr>
      <w:r w:rsidRPr="00DE096C">
        <w:rPr>
          <w:bCs/>
          <w:color w:val="002060"/>
          <w:sz w:val="16"/>
          <w:szCs w:val="16"/>
        </w:rPr>
        <w:t>Вопрос о броне не предусматривался.</w:t>
      </w:r>
    </w:p>
    <w:p w14:paraId="2E6B2B6F" w14:textId="77777777" w:rsidR="00507EFA" w:rsidRPr="00DE096C" w:rsidRDefault="00507EFA" w:rsidP="00D45A46">
      <w:pPr>
        <w:jc w:val="both"/>
        <w:rPr>
          <w:bCs/>
          <w:color w:val="002060"/>
          <w:sz w:val="16"/>
          <w:szCs w:val="16"/>
        </w:rPr>
      </w:pPr>
      <w:r w:rsidRPr="00DE096C">
        <w:rPr>
          <w:bCs/>
          <w:color w:val="002060"/>
          <w:sz w:val="16"/>
          <w:szCs w:val="16"/>
        </w:rPr>
        <w:t>Для установления постоянного наблюдения за изготовлением означенного заказа представляется необходимым на Русско-Балтийском вагонном заводе иметь особых наблюдающих из летчиков, а посему полагалось бы оставить в распоряжении технического отдела ГВТУ сумму не свыше 3 тыс. руб. для оплаты расходов по наблюдению, изготовлению чертежей, технических условий и на прочие расходы, связанные с настоящей заготовкою.</w:t>
      </w:r>
    </w:p>
    <w:p w14:paraId="606DFEB0" w14:textId="77777777" w:rsidR="00507EFA" w:rsidRPr="00DE096C" w:rsidRDefault="00507EFA" w:rsidP="00D45A46">
      <w:pPr>
        <w:jc w:val="both"/>
        <w:rPr>
          <w:bCs/>
          <w:color w:val="002060"/>
          <w:sz w:val="16"/>
          <w:szCs w:val="16"/>
        </w:rPr>
      </w:pPr>
      <w:r w:rsidRPr="00DE096C">
        <w:rPr>
          <w:bCs/>
          <w:color w:val="002060"/>
          <w:sz w:val="16"/>
          <w:szCs w:val="16"/>
        </w:rPr>
        <w:t>Представляя изложенное, по приказанию помощника военного министра, на благоусмотрение Военного совета, я полагал бы:</w:t>
      </w:r>
    </w:p>
    <w:p w14:paraId="76D09D12" w14:textId="77777777" w:rsidR="00507EFA" w:rsidRPr="00DE096C" w:rsidRDefault="00507EFA" w:rsidP="00D45A46">
      <w:pPr>
        <w:jc w:val="both"/>
        <w:rPr>
          <w:bCs/>
          <w:color w:val="002060"/>
          <w:sz w:val="16"/>
          <w:szCs w:val="16"/>
        </w:rPr>
      </w:pPr>
      <w:r w:rsidRPr="00DE096C">
        <w:rPr>
          <w:bCs/>
          <w:color w:val="002060"/>
          <w:sz w:val="16"/>
          <w:szCs w:val="16"/>
        </w:rPr>
        <w:t>МНЕНИЕ: 1) Заказать акционерному обществу Русско-Балтийского вагонного завода на предложенных этим заводом условиях 10 аэропланов за общую сумму 1 млн. 500 тыс. рублей.</w:t>
      </w:r>
    </w:p>
    <w:p w14:paraId="3C26B466" w14:textId="77777777" w:rsidR="00507EFA" w:rsidRPr="00DE096C" w:rsidRDefault="00507EFA" w:rsidP="00D45A46">
      <w:pPr>
        <w:jc w:val="both"/>
        <w:rPr>
          <w:bCs/>
          <w:color w:val="002060"/>
          <w:sz w:val="16"/>
          <w:szCs w:val="16"/>
        </w:rPr>
      </w:pPr>
      <w:r w:rsidRPr="00DE096C">
        <w:rPr>
          <w:bCs/>
          <w:color w:val="002060"/>
          <w:sz w:val="16"/>
          <w:szCs w:val="16"/>
        </w:rPr>
        <w:t>2) Разрешить израсходовать техническому отделу ГВТУ не свыше 3 тыс. руб. на оплату наблюдения, изготовление чертежей, технических условий и прочие мелкие расходы, связанные с настоящей заготовкой.</w:t>
      </w:r>
    </w:p>
    <w:p w14:paraId="33E38672" w14:textId="77777777" w:rsidR="00507EFA" w:rsidRPr="00DE096C" w:rsidRDefault="00507EFA" w:rsidP="00D45A46">
      <w:pPr>
        <w:jc w:val="both"/>
        <w:rPr>
          <w:bCs/>
          <w:color w:val="002060"/>
          <w:sz w:val="16"/>
          <w:szCs w:val="16"/>
        </w:rPr>
      </w:pPr>
      <w:r w:rsidRPr="00DE096C">
        <w:rPr>
          <w:bCs/>
          <w:color w:val="002060"/>
          <w:sz w:val="16"/>
          <w:szCs w:val="16"/>
        </w:rPr>
        <w:t>3) Потребный на выполнение означенной меры расход в сумме 1 млн. 503 тыс. руб. отнести на § 1 чрезвычайной сметы Главного инженерного управления 1913 и 1914 годов.</w:t>
      </w:r>
    </w:p>
    <w:p w14:paraId="3AA991A4" w14:textId="77777777" w:rsidR="00507EFA" w:rsidRPr="00DE096C" w:rsidRDefault="00507EFA" w:rsidP="00D45A46">
      <w:pPr>
        <w:jc w:val="both"/>
        <w:rPr>
          <w:bCs/>
          <w:color w:val="002060"/>
          <w:sz w:val="16"/>
          <w:szCs w:val="16"/>
        </w:rPr>
      </w:pPr>
      <w:r w:rsidRPr="00DE096C">
        <w:rPr>
          <w:bCs/>
          <w:color w:val="002060"/>
          <w:sz w:val="16"/>
          <w:szCs w:val="16"/>
        </w:rPr>
        <w:t>Приложение: заявление РуССКО-Балтийского вагонного завода за № 4636*.</w:t>
      </w:r>
    </w:p>
    <w:p w14:paraId="16450C55" w14:textId="77777777" w:rsidR="00507EFA" w:rsidRPr="00DE096C" w:rsidRDefault="00507EFA" w:rsidP="00D45A46">
      <w:pPr>
        <w:jc w:val="both"/>
        <w:rPr>
          <w:bCs/>
          <w:color w:val="002060"/>
          <w:sz w:val="16"/>
          <w:szCs w:val="16"/>
        </w:rPr>
      </w:pPr>
      <w:r w:rsidRPr="00DE096C">
        <w:rPr>
          <w:bCs/>
          <w:color w:val="002060"/>
          <w:sz w:val="16"/>
          <w:szCs w:val="16"/>
        </w:rPr>
        <w:t>Начальник Главного военно-технического управления генерал-лейтенант барон Ропп</w:t>
      </w:r>
    </w:p>
    <w:p w14:paraId="71F6E4DA" w14:textId="77777777" w:rsidR="00507EFA" w:rsidRPr="00DE096C" w:rsidRDefault="00507EFA" w:rsidP="00D45A46">
      <w:pPr>
        <w:jc w:val="both"/>
        <w:rPr>
          <w:bCs/>
          <w:color w:val="002060"/>
          <w:sz w:val="16"/>
          <w:szCs w:val="16"/>
        </w:rPr>
      </w:pPr>
      <w:r w:rsidRPr="00DE096C">
        <w:rPr>
          <w:bCs/>
          <w:color w:val="002060"/>
          <w:sz w:val="16"/>
          <w:szCs w:val="16"/>
        </w:rPr>
        <w:t>Начальник отдела генерал-майор Болотов</w:t>
      </w:r>
    </w:p>
    <w:p w14:paraId="27B68671" w14:textId="77777777" w:rsidR="00507EFA" w:rsidRPr="00DE096C" w:rsidRDefault="00507EFA" w:rsidP="00D45A46">
      <w:pPr>
        <w:jc w:val="both"/>
        <w:rPr>
          <w:bCs/>
          <w:color w:val="002060"/>
          <w:sz w:val="16"/>
          <w:szCs w:val="16"/>
        </w:rPr>
      </w:pPr>
      <w:r w:rsidRPr="00DE096C">
        <w:rPr>
          <w:bCs/>
          <w:color w:val="002060"/>
          <w:sz w:val="16"/>
          <w:szCs w:val="16"/>
        </w:rPr>
        <w:t>ЗАКОН: сг. 78, кн. I Свода военных постановлений 1869 г., изд. 3-е.</w:t>
      </w:r>
    </w:p>
    <w:p w14:paraId="205071A6" w14:textId="77777777" w:rsidR="00507EFA" w:rsidRPr="00DE096C" w:rsidRDefault="00507EFA" w:rsidP="00D45A46">
      <w:pPr>
        <w:jc w:val="both"/>
        <w:rPr>
          <w:bCs/>
          <w:color w:val="002060"/>
          <w:sz w:val="16"/>
          <w:szCs w:val="16"/>
        </w:rPr>
      </w:pPr>
      <w:r w:rsidRPr="00DE096C">
        <w:rPr>
          <w:bCs/>
          <w:color w:val="002060"/>
          <w:sz w:val="16"/>
          <w:szCs w:val="16"/>
        </w:rPr>
        <w:t>РГВИА. Ф. 291 ОйЛ, Д. 861. Л. Щ. Подлинник (23618).</w:t>
      </w:r>
    </w:p>
    <w:p w14:paraId="4924A38D" w14:textId="77777777" w:rsidR="00507EFA" w:rsidRPr="00DE096C" w:rsidRDefault="00507EFA" w:rsidP="00D45A46">
      <w:pPr>
        <w:jc w:val="both"/>
        <w:rPr>
          <w:bCs/>
          <w:color w:val="002060"/>
          <w:sz w:val="16"/>
          <w:szCs w:val="16"/>
        </w:rPr>
      </w:pPr>
    </w:p>
    <w:p w14:paraId="7D2A48B5" w14:textId="36C1FBB4" w:rsidR="00507EFA" w:rsidRPr="00DE096C" w:rsidRDefault="00507EFA" w:rsidP="00D45A46">
      <w:pPr>
        <w:jc w:val="both"/>
        <w:rPr>
          <w:bCs/>
          <w:i/>
          <w:color w:val="002060"/>
          <w:sz w:val="16"/>
          <w:szCs w:val="16"/>
        </w:rPr>
      </w:pPr>
      <w:r w:rsidRPr="00DE096C">
        <w:rPr>
          <w:bCs/>
          <w:i/>
          <w:color w:val="002060"/>
          <w:sz w:val="16"/>
          <w:szCs w:val="16"/>
        </w:rPr>
        <w:t>Другие оборонные отрасли:</w:t>
      </w:r>
    </w:p>
    <w:p w14:paraId="22BF137E" w14:textId="77777777" w:rsidR="00507EFA" w:rsidRPr="00DE096C" w:rsidRDefault="00507EFA" w:rsidP="00D45A46">
      <w:pPr>
        <w:jc w:val="both"/>
        <w:rPr>
          <w:bCs/>
          <w:i/>
          <w:color w:val="002060"/>
          <w:sz w:val="16"/>
          <w:szCs w:val="16"/>
        </w:rPr>
      </w:pPr>
    </w:p>
    <w:p w14:paraId="175BA0E4" w14:textId="77777777" w:rsidR="00507EFA" w:rsidRPr="00DE096C" w:rsidRDefault="00507EFA" w:rsidP="00D45A46">
      <w:pPr>
        <w:jc w:val="both"/>
        <w:rPr>
          <w:bCs/>
          <w:color w:val="002060"/>
          <w:sz w:val="16"/>
          <w:szCs w:val="16"/>
        </w:rPr>
      </w:pPr>
      <w:r w:rsidRPr="00DE096C">
        <w:rPr>
          <w:bCs/>
          <w:color w:val="002060"/>
          <w:sz w:val="16"/>
          <w:szCs w:val="16"/>
        </w:rPr>
        <w:t>26 февраля 1914 г. через МПС и ГАУ добивалось концессии «Товарищество электрохимической промышленности» (представителем его выступал инженер Зенгер) (РГВИА. Ф. 29. Оп. 3. Д. 736. Л. 1-2, 5)). Дело тор</w:t>
      </w:r>
      <w:r w:rsidRPr="00DE096C">
        <w:rPr>
          <w:bCs/>
          <w:color w:val="002060"/>
          <w:sz w:val="16"/>
          <w:szCs w:val="16"/>
        </w:rPr>
        <w:softHyphen/>
        <w:t>мозилось, по его словам, жадностью предпринимателей, исчисливших цену пуда азотной кислоты в 4 руб. 85 коп. (пуд кислоты из селитры стоил 3 рубля) (23452).</w:t>
      </w:r>
    </w:p>
    <w:p w14:paraId="313815AF" w14:textId="77777777" w:rsidR="00507EFA" w:rsidRPr="00DE096C" w:rsidRDefault="00507EFA" w:rsidP="00D45A46">
      <w:pPr>
        <w:jc w:val="both"/>
        <w:rPr>
          <w:bCs/>
          <w:color w:val="002060"/>
          <w:sz w:val="16"/>
          <w:szCs w:val="16"/>
        </w:rPr>
      </w:pPr>
    </w:p>
    <w:p w14:paraId="565229AE" w14:textId="5A34481B" w:rsidR="00BD72E1" w:rsidRPr="00DE096C" w:rsidRDefault="00BD72E1" w:rsidP="00D45A46">
      <w:pPr>
        <w:jc w:val="both"/>
        <w:rPr>
          <w:bCs/>
          <w:i/>
          <w:color w:val="002060"/>
          <w:sz w:val="16"/>
          <w:szCs w:val="16"/>
        </w:rPr>
      </w:pPr>
      <w:r w:rsidRPr="00DE096C">
        <w:rPr>
          <w:bCs/>
          <w:i/>
          <w:color w:val="002060"/>
          <w:sz w:val="16"/>
          <w:szCs w:val="16"/>
        </w:rPr>
        <w:t>Авиация:</w:t>
      </w:r>
    </w:p>
    <w:p w14:paraId="2915E023" w14:textId="77777777" w:rsidR="00BD72E1" w:rsidRPr="00DE096C" w:rsidRDefault="00BD72E1" w:rsidP="00D45A46">
      <w:pPr>
        <w:jc w:val="both"/>
        <w:rPr>
          <w:bCs/>
          <w:i/>
          <w:color w:val="002060"/>
          <w:sz w:val="16"/>
          <w:szCs w:val="16"/>
        </w:rPr>
      </w:pPr>
    </w:p>
    <w:p w14:paraId="00642705" w14:textId="7F912863" w:rsidR="00BD72E1" w:rsidRPr="00DE096C" w:rsidRDefault="00BD72E1" w:rsidP="00D45A46">
      <w:pPr>
        <w:jc w:val="both"/>
        <w:rPr>
          <w:bCs/>
          <w:color w:val="002060"/>
          <w:sz w:val="16"/>
          <w:szCs w:val="16"/>
        </w:rPr>
      </w:pPr>
      <w:r w:rsidRPr="00DE096C">
        <w:rPr>
          <w:bCs/>
          <w:color w:val="002060"/>
          <w:sz w:val="16"/>
          <w:szCs w:val="16"/>
        </w:rPr>
        <w:t>26 февраля (11 марта) 1913 г. организатор и начальник русского авиационного отряда, принимавшего участие в Балканской войне в рядах болгарской армии, С. С. Щетинин был приглашен в болгарское посольство, где ему было объявлено, что царь Фердинанд пожаловал всем без исключения лицам, входившим в состав этого отряда, знаки отличия Народного ордена. С. С. Щетинин получил Народный орден за военные заслуги 5-й степени с мечами и с короной. Летчики П. В. Евсюков и Ф. Ф. Колчин — тот же орден, но без короны. Летчик Я. И. Седов, а также уже скончавшийся бывший инструктор воздухоплавательной школы Всероссийского аэроклуба Н. Д. Костин, находившийся в плену в Адрианополе, награждены Народным орденом за военные заслуги 6-й степени, такой же орден получили механики и монтеры Дегтерев, Щербаков, Тарасов, Иванов, Коровкин и Сикурчинский (11334).</w:t>
      </w:r>
    </w:p>
    <w:p w14:paraId="1D398F4F" w14:textId="77777777" w:rsidR="00BD72E1" w:rsidRPr="00DE096C" w:rsidRDefault="00BD72E1" w:rsidP="00D45A46">
      <w:pPr>
        <w:jc w:val="both"/>
        <w:rPr>
          <w:bCs/>
          <w:i/>
          <w:color w:val="002060"/>
          <w:sz w:val="16"/>
          <w:szCs w:val="16"/>
        </w:rPr>
      </w:pPr>
    </w:p>
    <w:p w14:paraId="370E392E" w14:textId="77777777" w:rsidR="00B67D7C" w:rsidRPr="00DE096C" w:rsidRDefault="00B67D7C" w:rsidP="00D45A46">
      <w:pPr>
        <w:jc w:val="both"/>
        <w:rPr>
          <w:bCs/>
          <w:i/>
          <w:color w:val="002060"/>
          <w:sz w:val="16"/>
          <w:szCs w:val="16"/>
        </w:rPr>
      </w:pPr>
      <w:r w:rsidRPr="00DE096C">
        <w:rPr>
          <w:bCs/>
          <w:i/>
          <w:color w:val="002060"/>
          <w:sz w:val="16"/>
          <w:szCs w:val="16"/>
        </w:rPr>
        <w:t>Авиация:</w:t>
      </w:r>
    </w:p>
    <w:p w14:paraId="37B45F66" w14:textId="77777777" w:rsidR="00B67D7C" w:rsidRPr="00DE096C" w:rsidRDefault="00B67D7C" w:rsidP="00D45A46">
      <w:pPr>
        <w:jc w:val="both"/>
        <w:rPr>
          <w:bCs/>
          <w:i/>
          <w:color w:val="002060"/>
          <w:sz w:val="16"/>
          <w:szCs w:val="16"/>
        </w:rPr>
      </w:pPr>
    </w:p>
    <w:p w14:paraId="1DBC93B0" w14:textId="2D40B66F" w:rsidR="00B67D7C" w:rsidRPr="00DE096C" w:rsidRDefault="00B67D7C" w:rsidP="00D45A46">
      <w:pPr>
        <w:jc w:val="both"/>
        <w:rPr>
          <w:bCs/>
          <w:color w:val="002060"/>
          <w:sz w:val="16"/>
          <w:szCs w:val="16"/>
        </w:rPr>
      </w:pPr>
      <w:r w:rsidRPr="00DE096C">
        <w:rPr>
          <w:bCs/>
          <w:color w:val="002060"/>
          <w:sz w:val="16"/>
          <w:szCs w:val="16"/>
        </w:rPr>
        <w:t xml:space="preserve">27 февраля (12 марта) 1914 г. </w:t>
      </w:r>
      <w:r w:rsidR="00BD72E1" w:rsidRPr="00DE096C">
        <w:rPr>
          <w:bCs/>
          <w:color w:val="002060"/>
          <w:sz w:val="16"/>
          <w:szCs w:val="16"/>
        </w:rPr>
        <w:t xml:space="preserve">в N 14027 "Биржевых Ведомостей" была напечатана статья, названная в тексте "Мы готовы" </w:t>
      </w:r>
      <w:r w:rsidRPr="00DE096C">
        <w:rPr>
          <w:bCs/>
          <w:color w:val="002060"/>
          <w:sz w:val="16"/>
          <w:szCs w:val="16"/>
        </w:rPr>
        <w:t>под заголовком "Россия хочет мира, но готова к войне". Приводим ее целиком:"Мы получили из безупречного источника сведения, не оставляющие сомнений, что Россия, по воле своего верховного вождя поднявшая боевую мощь армии, не думает о войне, но готова ко всяким случайностям.</w:t>
      </w:r>
    </w:p>
    <w:p w14:paraId="667A934A" w14:textId="77777777" w:rsidR="00B67D7C" w:rsidRPr="00DE096C" w:rsidRDefault="00B67D7C" w:rsidP="00D45A46">
      <w:pPr>
        <w:jc w:val="both"/>
        <w:rPr>
          <w:bCs/>
          <w:color w:val="002060"/>
          <w:sz w:val="16"/>
          <w:szCs w:val="16"/>
        </w:rPr>
      </w:pPr>
      <w:r w:rsidRPr="00DE096C">
        <w:rPr>
          <w:bCs/>
          <w:color w:val="002060"/>
          <w:sz w:val="16"/>
          <w:szCs w:val="16"/>
        </w:rPr>
        <w:t>“Не забыто и воздухоплавание. В русской армии, как и в большинстве европейских, наибольшее значение придается аэропланам, а не дирижаблям, требующим весьма многого, в особенности в военное время. Тип аэропланов еще окончательно не решен, но кто же не знает о великолепных результатах аппаратов Сикорского, этих воздушных дредноутов русской армии. Это именно дредноуты, а не маленькие разведчики” (11190).</w:t>
      </w:r>
    </w:p>
    <w:p w14:paraId="07715B3F" w14:textId="77777777" w:rsidR="00B67D7C" w:rsidRPr="00DE096C" w:rsidRDefault="00B67D7C" w:rsidP="00D45A46">
      <w:pPr>
        <w:jc w:val="both"/>
        <w:rPr>
          <w:bCs/>
          <w:color w:val="002060"/>
          <w:sz w:val="16"/>
          <w:szCs w:val="16"/>
        </w:rPr>
      </w:pPr>
    </w:p>
    <w:p w14:paraId="22C63FCD" w14:textId="77777777" w:rsidR="00B67D7C" w:rsidRPr="00DE096C" w:rsidRDefault="00B67D7C" w:rsidP="00D45A46">
      <w:pPr>
        <w:jc w:val="both"/>
        <w:rPr>
          <w:bCs/>
          <w:i/>
          <w:color w:val="002060"/>
          <w:sz w:val="16"/>
          <w:szCs w:val="16"/>
        </w:rPr>
      </w:pPr>
      <w:r w:rsidRPr="00DE096C">
        <w:rPr>
          <w:bCs/>
          <w:i/>
          <w:color w:val="002060"/>
          <w:sz w:val="16"/>
          <w:szCs w:val="16"/>
        </w:rPr>
        <w:lastRenderedPageBreak/>
        <w:t>Самолетостроение:</w:t>
      </w:r>
    </w:p>
    <w:p w14:paraId="2A8A72FE" w14:textId="77777777" w:rsidR="00B67D7C" w:rsidRPr="00DE096C" w:rsidRDefault="00B67D7C" w:rsidP="00D45A46">
      <w:pPr>
        <w:jc w:val="both"/>
        <w:rPr>
          <w:bCs/>
          <w:i/>
          <w:color w:val="002060"/>
          <w:sz w:val="16"/>
          <w:szCs w:val="16"/>
        </w:rPr>
      </w:pPr>
    </w:p>
    <w:p w14:paraId="1C6A33B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28 февраля (13 марта) 1914 Военный Совет утвердил представление Главного военного тех</w:t>
      </w:r>
      <w:r w:rsidRPr="00DE096C">
        <w:rPr>
          <w:bCs/>
          <w:color w:val="002060"/>
          <w:sz w:val="16"/>
          <w:szCs w:val="16"/>
        </w:rPr>
        <w:softHyphen/>
        <w:t>нического управления о заказе РБВЗ 10 самолетов «Илья Муро</w:t>
      </w:r>
      <w:r w:rsidRPr="00DE096C">
        <w:rPr>
          <w:bCs/>
          <w:color w:val="002060"/>
          <w:sz w:val="16"/>
          <w:szCs w:val="16"/>
        </w:rPr>
        <w:softHyphen/>
        <w:t>мец» И. И. Сикорского (1137).</w:t>
      </w:r>
    </w:p>
    <w:p w14:paraId="314FE614" w14:textId="77777777" w:rsidR="00B67D7C" w:rsidRPr="00DE096C" w:rsidRDefault="00B67D7C" w:rsidP="00D45A46">
      <w:pPr>
        <w:shd w:val="clear" w:color="auto" w:fill="FFFFFF"/>
        <w:jc w:val="both"/>
        <w:rPr>
          <w:bCs/>
          <w:color w:val="002060"/>
          <w:sz w:val="16"/>
          <w:szCs w:val="16"/>
        </w:rPr>
      </w:pPr>
    </w:p>
    <w:p w14:paraId="613A4FE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28 февраля 1914г. Военный Совет утвердил представление Главного военного технического управления о заказе РБВЗ 10 самолётов «Илья Муромец» И. И. Сикорского (11425).</w:t>
      </w:r>
    </w:p>
    <w:p w14:paraId="15173093" w14:textId="77777777" w:rsidR="00B67D7C" w:rsidRPr="00DE096C" w:rsidRDefault="00B67D7C" w:rsidP="00D45A46">
      <w:pPr>
        <w:shd w:val="clear" w:color="auto" w:fill="FFFFFF"/>
        <w:jc w:val="both"/>
        <w:rPr>
          <w:bCs/>
          <w:color w:val="002060"/>
          <w:sz w:val="16"/>
          <w:szCs w:val="16"/>
        </w:rPr>
      </w:pPr>
    </w:p>
    <w:p w14:paraId="35AF35F8" w14:textId="77777777" w:rsidR="00575BAA" w:rsidRPr="00DE096C" w:rsidRDefault="00575BAA" w:rsidP="00D45A46">
      <w:pPr>
        <w:jc w:val="both"/>
        <w:rPr>
          <w:bCs/>
          <w:color w:val="002060"/>
          <w:sz w:val="16"/>
          <w:szCs w:val="16"/>
        </w:rPr>
      </w:pPr>
      <w:r w:rsidRPr="00DE096C">
        <w:rPr>
          <w:bCs/>
          <w:color w:val="002060"/>
          <w:sz w:val="16"/>
          <w:szCs w:val="16"/>
        </w:rPr>
        <w:t>28 февраля в 1914 году Военным Советом утверждено представление Главного военного технического управления на изготовление 10 самолетов «Илья Муромец» И.И.Сикорского (15054).</w:t>
      </w:r>
    </w:p>
    <w:p w14:paraId="1DB63846" w14:textId="77777777" w:rsidR="00575BAA" w:rsidRPr="00DE096C" w:rsidRDefault="00575BAA" w:rsidP="00D45A46">
      <w:pPr>
        <w:jc w:val="both"/>
        <w:rPr>
          <w:bCs/>
          <w:color w:val="002060"/>
          <w:sz w:val="16"/>
          <w:szCs w:val="16"/>
        </w:rPr>
      </w:pPr>
    </w:p>
    <w:p w14:paraId="72998C59" w14:textId="77777777" w:rsidR="00B67D7C" w:rsidRPr="00DE096C" w:rsidRDefault="00B67D7C" w:rsidP="00D45A46">
      <w:pPr>
        <w:jc w:val="both"/>
        <w:rPr>
          <w:bCs/>
          <w:color w:val="002060"/>
          <w:sz w:val="16"/>
          <w:szCs w:val="16"/>
        </w:rPr>
      </w:pPr>
      <w:r w:rsidRPr="00DE096C">
        <w:rPr>
          <w:bCs/>
          <w:color w:val="002060"/>
          <w:sz w:val="16"/>
          <w:szCs w:val="16"/>
        </w:rPr>
        <w:t>28 февраля (13 марта) 1914 года Военный Совет утвердил представление Главного военного технического управления о заказе РБВЗ 10 "Муромцев"</w:t>
      </w:r>
    </w:p>
    <w:p w14:paraId="07AA3802" w14:textId="77777777" w:rsidR="00B67D7C" w:rsidRPr="00DE096C" w:rsidRDefault="00B67D7C" w:rsidP="00D45A46">
      <w:pPr>
        <w:jc w:val="both"/>
        <w:rPr>
          <w:bCs/>
          <w:color w:val="002060"/>
          <w:sz w:val="16"/>
          <w:szCs w:val="16"/>
        </w:rPr>
      </w:pPr>
    </w:p>
    <w:p w14:paraId="28335A01" w14:textId="77777777" w:rsidR="00B67D7C" w:rsidRPr="00DE096C" w:rsidRDefault="00B67D7C" w:rsidP="00D45A46">
      <w:pPr>
        <w:jc w:val="both"/>
        <w:rPr>
          <w:bCs/>
          <w:color w:val="002060"/>
          <w:sz w:val="16"/>
          <w:szCs w:val="16"/>
        </w:rPr>
      </w:pPr>
      <w:r w:rsidRPr="00DE096C">
        <w:rPr>
          <w:bCs/>
          <w:color w:val="002060"/>
          <w:sz w:val="16"/>
          <w:szCs w:val="16"/>
        </w:rPr>
        <w:t>28 февраля (13 марта) 1914 года Военный Совет утвердил представление Главного военного технического управления о заказе РБВЗ 10 "Муромцев", а 16-17 июня второй самолет этого типа - "Илья Муромец Киевский" - под управлением И.Сикорского совершил рекордный перелет Санкт-Перербург - Киев с одной промежуточной посадков в Орше. 1280 км было преодолено за 13 часов 5 минут. В ходе серийной постройки, продолжапвшейся до конца войны, самолет неоднократно модернизировался, менялись двигатели, усиливалось бомбардировочное и пулеметное свооружение. Всего было построено 79 самолетов типа "Илья Муромец" серий "Б", "Г", "Д" и "Е" (11184).</w:t>
      </w:r>
    </w:p>
    <w:p w14:paraId="55109175" w14:textId="77777777" w:rsidR="00B67D7C" w:rsidRPr="00DE096C" w:rsidRDefault="00B67D7C" w:rsidP="00D45A46">
      <w:pPr>
        <w:jc w:val="both"/>
        <w:rPr>
          <w:bCs/>
          <w:color w:val="002060"/>
          <w:sz w:val="16"/>
          <w:szCs w:val="16"/>
        </w:rPr>
      </w:pPr>
    </w:p>
    <w:p w14:paraId="25795296" w14:textId="4AB6992C" w:rsidR="00771FF4" w:rsidRPr="00DE096C" w:rsidRDefault="00771FF4" w:rsidP="00D45A46">
      <w:pPr>
        <w:jc w:val="both"/>
        <w:rPr>
          <w:bCs/>
          <w:color w:val="002060"/>
          <w:sz w:val="16"/>
          <w:szCs w:val="16"/>
        </w:rPr>
      </w:pPr>
      <w:r w:rsidRPr="00DE096C">
        <w:rPr>
          <w:bCs/>
          <w:color w:val="002060"/>
          <w:sz w:val="16"/>
          <w:szCs w:val="16"/>
          <w:lang w:bidi="en-US"/>
        </w:rPr>
        <w:t>28 февраля (13 марта) 1914 г Военное министерство подтвердило рекомендацию ЦМТД заказать у Р-БВЗ десять четырехмоторных бомбардировщиков «Илья Муромец». Стоимость оценивалась в 100 000 рублей за штуку (около 50 000 долларов США) (23525).</w:t>
      </w:r>
    </w:p>
    <w:p w14:paraId="3A61FE6A" w14:textId="77777777" w:rsidR="00771FF4" w:rsidRPr="00DE096C" w:rsidRDefault="00771FF4" w:rsidP="00D45A46">
      <w:pPr>
        <w:jc w:val="both"/>
        <w:rPr>
          <w:bCs/>
          <w:color w:val="002060"/>
          <w:sz w:val="16"/>
          <w:szCs w:val="16"/>
          <w:lang w:bidi="en-US"/>
        </w:rPr>
      </w:pPr>
    </w:p>
    <w:p w14:paraId="77A91F1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28 февраля (13 марта) 1914 Московские ведомости сообщали: Н.Е.Ж. совместно с группой лиц разработал проект русского аэроплана, доклад о котором будет сделан на предстоящем воздухоплавательном съезде в Петербурге.</w:t>
      </w:r>
    </w:p>
    <w:p w14:paraId="2E1A197C" w14:textId="77777777" w:rsidR="00B67D7C" w:rsidRPr="00DE096C" w:rsidRDefault="00B67D7C" w:rsidP="00D45A46">
      <w:pPr>
        <w:shd w:val="clear" w:color="auto" w:fill="FFFFFF"/>
        <w:jc w:val="both"/>
        <w:rPr>
          <w:bCs/>
          <w:color w:val="002060"/>
          <w:sz w:val="16"/>
          <w:szCs w:val="16"/>
        </w:rPr>
      </w:pPr>
    </w:p>
    <w:p w14:paraId="3A506E02" w14:textId="44266C74"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28 февраля (13 марта) 1914 в Петербурге испытывался самолет </w:t>
      </w:r>
      <w:r w:rsidRPr="00DE096C">
        <w:rPr>
          <w:bCs/>
          <w:color w:val="002060"/>
          <w:sz w:val="16"/>
          <w:szCs w:val="16"/>
          <w:vertAlign w:val="superscript"/>
        </w:rPr>
        <w:t>п</w:t>
      </w:r>
      <w:r w:rsidRPr="00DE096C">
        <w:rPr>
          <w:bCs/>
          <w:color w:val="002060"/>
          <w:sz w:val="16"/>
          <w:szCs w:val="16"/>
        </w:rPr>
        <w:t>Нъюпор-4", остроенный в аэродинамической лаборатории Политехнического института с изменениями,</w:t>
      </w:r>
      <w:r w:rsidR="00955AA4" w:rsidRPr="00DE096C">
        <w:rPr>
          <w:bCs/>
          <w:color w:val="002060"/>
          <w:sz w:val="16"/>
          <w:szCs w:val="16"/>
        </w:rPr>
        <w:t xml:space="preserve"> </w:t>
      </w:r>
      <w:r w:rsidRPr="00DE096C">
        <w:rPr>
          <w:bCs/>
          <w:color w:val="002060"/>
          <w:sz w:val="16"/>
          <w:szCs w:val="16"/>
        </w:rPr>
        <w:t>внесенными инженером В.А.Слесаревым. Новый Ньюпор" под управлением поручика Бориса Владимировича Макеева оказал скорость на 10-15 км/час больше, чем обычный "Ньюпор" ("Известия Николаевской военной академии".1914,стр.768).</w:t>
      </w:r>
    </w:p>
    <w:p w14:paraId="3A9912E7" w14:textId="77777777" w:rsidR="00B67D7C" w:rsidRPr="00DE096C" w:rsidRDefault="00B67D7C" w:rsidP="00D45A46">
      <w:pPr>
        <w:shd w:val="clear" w:color="auto" w:fill="FFFFFF"/>
        <w:jc w:val="both"/>
        <w:rPr>
          <w:bCs/>
          <w:color w:val="002060"/>
          <w:sz w:val="16"/>
          <w:szCs w:val="16"/>
        </w:rPr>
      </w:pPr>
    </w:p>
    <w:p w14:paraId="64B0FFEE" w14:textId="77777777" w:rsidR="00955AA4" w:rsidRPr="00DE096C" w:rsidRDefault="00955AA4" w:rsidP="00D45A46">
      <w:pPr>
        <w:jc w:val="both"/>
        <w:rPr>
          <w:bCs/>
          <w:color w:val="002060"/>
          <w:sz w:val="16"/>
          <w:szCs w:val="16"/>
        </w:rPr>
      </w:pPr>
      <w:r w:rsidRPr="00DE096C">
        <w:rPr>
          <w:bCs/>
          <w:color w:val="002060"/>
          <w:sz w:val="16"/>
          <w:szCs w:val="16"/>
        </w:rPr>
        <w:t>28 февраля (13 марта) 1914 г. в Петербурге испытывался самолет Ньюпор-4, построенный в аэродинамической лаборатории Политехнического института с изменениями, внесенными инженером В.А.Слесаревым. Новый Ньюпор под управлением поручика Бориса Владимировича Макеева показал ско</w:t>
      </w:r>
      <w:r w:rsidRPr="00DE096C">
        <w:rPr>
          <w:bCs/>
          <w:color w:val="002060"/>
          <w:sz w:val="16"/>
          <w:szCs w:val="16"/>
        </w:rPr>
        <w:softHyphen/>
        <w:t>рость на 10-15 км/час больше, чем o6ычный Ньюпор.</w:t>
      </w:r>
    </w:p>
    <w:p w14:paraId="75572952" w14:textId="77777777" w:rsidR="00955AA4" w:rsidRPr="00DE096C" w:rsidRDefault="00955AA4" w:rsidP="00D45A46">
      <w:pPr>
        <w:jc w:val="both"/>
        <w:rPr>
          <w:bCs/>
          <w:color w:val="002060"/>
          <w:sz w:val="16"/>
          <w:szCs w:val="16"/>
        </w:rPr>
      </w:pPr>
      <w:r w:rsidRPr="00DE096C">
        <w:rPr>
          <w:bCs/>
          <w:color w:val="002060"/>
          <w:sz w:val="16"/>
          <w:szCs w:val="16"/>
        </w:rPr>
        <w:t>/«Известия Николаевской военной академии», 1914 стр.768/ (23320).</w:t>
      </w:r>
    </w:p>
    <w:p w14:paraId="2BD92327" w14:textId="77777777" w:rsidR="00955AA4" w:rsidRPr="00DE096C" w:rsidRDefault="00955AA4" w:rsidP="00D45A46">
      <w:pPr>
        <w:jc w:val="both"/>
        <w:rPr>
          <w:bCs/>
          <w:color w:val="002060"/>
          <w:sz w:val="16"/>
          <w:szCs w:val="16"/>
        </w:rPr>
      </w:pPr>
    </w:p>
    <w:p w14:paraId="1D76E908" w14:textId="77777777" w:rsidR="00B67D7C" w:rsidRPr="00DE096C" w:rsidRDefault="00B67D7C" w:rsidP="00D45A46">
      <w:pPr>
        <w:jc w:val="both"/>
        <w:rPr>
          <w:bCs/>
          <w:i/>
          <w:color w:val="002060"/>
          <w:sz w:val="16"/>
          <w:szCs w:val="16"/>
        </w:rPr>
      </w:pPr>
      <w:r w:rsidRPr="00DE096C">
        <w:rPr>
          <w:bCs/>
          <w:i/>
          <w:color w:val="002060"/>
          <w:sz w:val="16"/>
          <w:szCs w:val="16"/>
        </w:rPr>
        <w:t>Другие оборонные отрасли:</w:t>
      </w:r>
    </w:p>
    <w:p w14:paraId="75D6ABD3" w14:textId="77777777" w:rsidR="00B67D7C" w:rsidRPr="00DE096C" w:rsidRDefault="00B67D7C" w:rsidP="00D45A46">
      <w:pPr>
        <w:jc w:val="both"/>
        <w:rPr>
          <w:bCs/>
          <w:i/>
          <w:color w:val="002060"/>
          <w:sz w:val="16"/>
          <w:szCs w:val="16"/>
        </w:rPr>
      </w:pPr>
    </w:p>
    <w:p w14:paraId="478AA846" w14:textId="77777777" w:rsidR="00B67D7C" w:rsidRPr="00DE096C" w:rsidRDefault="00B67D7C" w:rsidP="00D45A46">
      <w:pPr>
        <w:jc w:val="both"/>
        <w:rPr>
          <w:bCs/>
          <w:color w:val="002060"/>
          <w:sz w:val="16"/>
          <w:szCs w:val="16"/>
        </w:rPr>
      </w:pPr>
      <w:r w:rsidRPr="00DE096C">
        <w:rPr>
          <w:bCs/>
          <w:color w:val="002060"/>
          <w:sz w:val="16"/>
          <w:szCs w:val="16"/>
        </w:rPr>
        <w:t>28 (13 марта) февраля 1914 - состоялись зимние автомобильные гонки по льду из Санкт-Петербурга в Кронштадт. Среди пятнадцати участников победу одержал А. Верн на Hupmobile. Соревнования явились предтечей современных зимних гонок на ипподроме (11275).</w:t>
      </w:r>
    </w:p>
    <w:p w14:paraId="2D66718D" w14:textId="77777777" w:rsidR="00B67D7C" w:rsidRPr="00DE096C" w:rsidRDefault="00B67D7C" w:rsidP="00D45A46">
      <w:pPr>
        <w:jc w:val="both"/>
        <w:rPr>
          <w:bCs/>
          <w:color w:val="002060"/>
          <w:sz w:val="16"/>
          <w:szCs w:val="16"/>
        </w:rPr>
      </w:pPr>
    </w:p>
    <w:p w14:paraId="4E1F0C2F" w14:textId="77777777" w:rsidR="00B67D7C" w:rsidRPr="00DE096C" w:rsidRDefault="00B67D7C" w:rsidP="00D45A46">
      <w:pPr>
        <w:jc w:val="both"/>
        <w:rPr>
          <w:bCs/>
          <w:i/>
          <w:color w:val="002060"/>
          <w:sz w:val="16"/>
          <w:szCs w:val="16"/>
        </w:rPr>
      </w:pPr>
      <w:r w:rsidRPr="00DE096C">
        <w:rPr>
          <w:bCs/>
          <w:i/>
          <w:color w:val="002060"/>
          <w:sz w:val="16"/>
          <w:szCs w:val="16"/>
        </w:rPr>
        <w:t>Авиация:</w:t>
      </w:r>
    </w:p>
    <w:p w14:paraId="18233860" w14:textId="77777777" w:rsidR="00B67D7C" w:rsidRPr="00DE096C" w:rsidRDefault="00B67D7C" w:rsidP="00D45A46">
      <w:pPr>
        <w:jc w:val="both"/>
        <w:rPr>
          <w:bCs/>
          <w:i/>
          <w:color w:val="002060"/>
          <w:sz w:val="16"/>
          <w:szCs w:val="16"/>
        </w:rPr>
      </w:pPr>
    </w:p>
    <w:p w14:paraId="1A36716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28 февраля (13 марта) 1914 в помещении ВАК открылись платные курсы авиа-и воздухоплавания, организованные аэроклубом для ознакомления всех желающих с современным состоянием авиации и воздухоплавания и пропаганды идей авиации и воздухоплавания. Чтение акций по истории авиации и воздухоплавания начал организатор инициатор курсов полковник В.Ф.Найденов.Чтением лекций были заняты также проф. Н.А.Рынин, Н.А.Яцук, В.А.Лебедев, А.Е.Раевский, Н.И.Утешев и др. Было принято 80 слушателей с платой 50 руб. за полный курс (до 9 мая). Занятия проводились два раза в неделю. ("Новое время". 1914 г. 1 марта).</w:t>
      </w:r>
    </w:p>
    <w:p w14:paraId="35AA1F11" w14:textId="77777777" w:rsidR="00B67D7C" w:rsidRPr="00DE096C" w:rsidRDefault="00B67D7C" w:rsidP="00D45A46">
      <w:pPr>
        <w:shd w:val="clear" w:color="auto" w:fill="FFFFFF"/>
        <w:jc w:val="both"/>
        <w:rPr>
          <w:bCs/>
          <w:color w:val="002060"/>
          <w:sz w:val="16"/>
          <w:szCs w:val="16"/>
        </w:rPr>
      </w:pPr>
    </w:p>
    <w:p w14:paraId="3DB80A89" w14:textId="77777777" w:rsidR="00955AA4" w:rsidRPr="00DE096C" w:rsidRDefault="00955AA4" w:rsidP="00D45A46">
      <w:pPr>
        <w:jc w:val="both"/>
        <w:rPr>
          <w:bCs/>
          <w:color w:val="002060"/>
          <w:sz w:val="16"/>
          <w:szCs w:val="16"/>
        </w:rPr>
      </w:pPr>
      <w:r w:rsidRPr="00DE096C">
        <w:rPr>
          <w:bCs/>
          <w:color w:val="002060"/>
          <w:sz w:val="16"/>
          <w:szCs w:val="16"/>
        </w:rPr>
        <w:t>28 февраля (13 марта) 1914 г. в помещении ВАКа открылись платные курсы авиации и воздухоплавания, организованные аэроклубом для ознакомления всех желающих с современным состоянием авиации и воздухоплавания и пропаганды идей авиации и воздухоплавания. Чтение лекций по ис</w:t>
      </w:r>
      <w:r w:rsidRPr="00DE096C">
        <w:rPr>
          <w:bCs/>
          <w:color w:val="002060"/>
          <w:sz w:val="16"/>
          <w:szCs w:val="16"/>
        </w:rPr>
        <w:softHyphen/>
        <w:t>тории авиации и воздухоплавания начал организатор и инициатор курсов полковник В.Ф.Найденов. Чтением лекций были заняты также проф. Рынин, Н.А.Яцук, В.А.Лебедев, А.Е.Раевский, Н.И.Утешев и др. Было принято 80 слушателей с платой от 450 руб. за полный курс /до 9 мая/. Занятия проводились два раза в неделю.</w:t>
      </w:r>
    </w:p>
    <w:p w14:paraId="5878F73F" w14:textId="77777777" w:rsidR="00955AA4" w:rsidRPr="00DE096C" w:rsidRDefault="00955AA4" w:rsidP="00D45A46">
      <w:pPr>
        <w:jc w:val="both"/>
        <w:rPr>
          <w:bCs/>
          <w:color w:val="002060"/>
          <w:sz w:val="16"/>
          <w:szCs w:val="16"/>
        </w:rPr>
      </w:pPr>
      <w:r w:rsidRPr="00DE096C">
        <w:rPr>
          <w:bCs/>
          <w:color w:val="002060"/>
          <w:sz w:val="16"/>
          <w:szCs w:val="16"/>
        </w:rPr>
        <w:t>/"Новое время" за 1 марта 1914 г./ (23320).</w:t>
      </w:r>
    </w:p>
    <w:p w14:paraId="33B1FEAF" w14:textId="77777777" w:rsidR="00955AA4" w:rsidRPr="00DE096C" w:rsidRDefault="00955AA4" w:rsidP="00D45A46">
      <w:pPr>
        <w:jc w:val="both"/>
        <w:rPr>
          <w:bCs/>
          <w:color w:val="002060"/>
          <w:sz w:val="16"/>
          <w:szCs w:val="16"/>
        </w:rPr>
      </w:pPr>
    </w:p>
    <w:p w14:paraId="5A76990E" w14:textId="77777777" w:rsidR="00B67D7C" w:rsidRPr="00DE096C" w:rsidRDefault="00B67D7C" w:rsidP="00D45A46">
      <w:pPr>
        <w:jc w:val="both"/>
        <w:rPr>
          <w:bCs/>
          <w:i/>
          <w:color w:val="002060"/>
          <w:sz w:val="16"/>
          <w:szCs w:val="16"/>
        </w:rPr>
      </w:pPr>
      <w:r w:rsidRPr="00DE096C">
        <w:rPr>
          <w:bCs/>
          <w:i/>
          <w:color w:val="002060"/>
          <w:sz w:val="16"/>
          <w:szCs w:val="16"/>
        </w:rPr>
        <w:t>Самолетостроение:</w:t>
      </w:r>
    </w:p>
    <w:p w14:paraId="12DA8BAD" w14:textId="77777777" w:rsidR="00B67D7C" w:rsidRPr="00DE096C" w:rsidRDefault="00B67D7C" w:rsidP="00D45A46">
      <w:pPr>
        <w:jc w:val="both"/>
        <w:rPr>
          <w:bCs/>
          <w:i/>
          <w:color w:val="002060"/>
          <w:sz w:val="16"/>
          <w:szCs w:val="16"/>
        </w:rPr>
      </w:pPr>
    </w:p>
    <w:p w14:paraId="652D1A4D" w14:textId="77777777" w:rsidR="00575BAA" w:rsidRPr="00DE096C" w:rsidRDefault="00575BAA" w:rsidP="00D45A46">
      <w:pPr>
        <w:pStyle w:val="2"/>
        <w:spacing w:before="0" w:after="0"/>
        <w:jc w:val="both"/>
        <w:rPr>
          <w:b w:val="0"/>
          <w:bCs/>
          <w:color w:val="002060"/>
          <w:sz w:val="16"/>
          <w:szCs w:val="16"/>
        </w:rPr>
      </w:pPr>
      <w:r w:rsidRPr="00DE096C">
        <w:rPr>
          <w:b w:val="0"/>
          <w:bCs/>
          <w:color w:val="002060"/>
          <w:sz w:val="16"/>
          <w:szCs w:val="16"/>
        </w:rPr>
        <w:t>В конце февраля 1914 г. Жуковский сообщил о результатах испытаний орнитоптера М.Т.Смурова, начавшихся на аэродроме МОВ осенью 1913 г.: «При 60 ударах крыльев в минуту развивалась сила тяги порывами и достигала 16 килограммов. При этом заметной подъемной силы не наблюдалось. Крылья приводились в движение бензиновым двигателем в 3 лошадиные силы. Сам же аппарат стоял на колесах, под которыми были подложены доски. Изобретателем при этом было указано, что крылья аппарата были им (при помощи изменяющих натяжение пружин) отрегулированы на наибольшую тягу по горизонтальному направлению, а не на подъем. На основании этого испытания экспертная комиссия предложила изобретателю дождаться зимы для безопасности опытов, поставить аппарат на лыжи и испытать, спускаясь под горку, как планер с машущими крыльями.»</w:t>
      </w:r>
    </w:p>
    <w:p w14:paraId="0E56ED7E" w14:textId="77777777" w:rsidR="00575BAA" w:rsidRPr="00DE096C" w:rsidRDefault="00575BAA" w:rsidP="00D45A46">
      <w:pPr>
        <w:pStyle w:val="2"/>
        <w:spacing w:before="0" w:after="0"/>
        <w:jc w:val="both"/>
        <w:rPr>
          <w:b w:val="0"/>
          <w:bCs/>
          <w:color w:val="002060"/>
          <w:sz w:val="16"/>
          <w:szCs w:val="16"/>
        </w:rPr>
      </w:pPr>
    </w:p>
    <w:p w14:paraId="37E1B55E" w14:textId="77777777" w:rsidR="00575BAA" w:rsidRPr="00DE096C" w:rsidRDefault="00575BAA" w:rsidP="00D45A46">
      <w:pPr>
        <w:pStyle w:val="2"/>
        <w:spacing w:before="0" w:after="0"/>
        <w:jc w:val="both"/>
        <w:rPr>
          <w:b w:val="0"/>
          <w:bCs/>
          <w:color w:val="002060"/>
          <w:sz w:val="16"/>
          <w:szCs w:val="16"/>
        </w:rPr>
      </w:pPr>
      <w:r w:rsidRPr="00DE096C">
        <w:rPr>
          <w:b w:val="0"/>
          <w:bCs/>
          <w:color w:val="002060"/>
          <w:sz w:val="16"/>
          <w:szCs w:val="16"/>
        </w:rPr>
        <w:t>В конце февраля 1914 в докладе «в Технический комитет управления о типах самолетах, необходимых для военного воздушного флота, их оборудовании и вооружении» И.М.Болотов отмечал: «Не отрицая желательности обратить каждый аэроплан, помимо своей прямой цели разведчика, в грозное для неприятельского воздушного флота наступательное оружие, обеспечив его, в то же время, броней от возможных поражений, приходится сознаться, что современное развитие авиации не даст возможности удовлетворительно разрешить эту задачу. Таким образом, стремление к снабжению аэроплана самыми разнообразными средствами борьбы и защиты может привести к потере аппаратом современного типа своих качеств, как хорошо летательного прибора... Не отрицая, однако, совершенно той пользы, которую может, в исключительных обстоятельствах погоды или особой необходимости, принести некоторая защита летчика (но не пассажира) легкой броней, представляется возможным снабдить разведочные аэропланы легкой съемной броней, которая будет применяться летчиками лишь в тех исключительных случаях, когда это может дать лишний шанс для успешного выполнения данной задачи. Особого вооружения разведочные аэропланы также не должны иметь, однако каждому аппарату до настоящего времени присваивается как принадлежность, два пистолета Маузера с соответствующим количеством патронов, которые, если будет это необходимо, могут быть взяты в полет. Таким образом, давая в большинстве случаев в распоряжение летчика легкий необремененный излишним грузом аэроплан, ему в то же время предоставляется возможность воспользоваться в особых случаях, когда он найдет нужным, легкой броней и вооружением.»</w:t>
      </w:r>
    </w:p>
    <w:p w14:paraId="68F7B2A2" w14:textId="77777777" w:rsidR="00575BAA" w:rsidRPr="00DE096C" w:rsidRDefault="00575BAA" w:rsidP="00D45A46">
      <w:pPr>
        <w:pStyle w:val="2"/>
        <w:spacing w:before="0" w:after="0"/>
        <w:jc w:val="both"/>
        <w:rPr>
          <w:b w:val="0"/>
          <w:bCs/>
          <w:color w:val="002060"/>
          <w:sz w:val="16"/>
          <w:szCs w:val="16"/>
        </w:rPr>
      </w:pPr>
      <w:r w:rsidRPr="00DE096C">
        <w:rPr>
          <w:b w:val="0"/>
          <w:bCs/>
          <w:color w:val="002060"/>
          <w:sz w:val="16"/>
          <w:szCs w:val="16"/>
        </w:rPr>
        <w:t>Ссылаясь на мнение неназванных им лиц, «несмотря на их совершенное разногласие» (а их ответов в деле не обнаружено), генерал-майор Болотов считал установку брони на аэропланах «еще преждевременной, и если существование ее допускается некоторыми лицами (преимущественно из летчиков), то лишь в виде съемной...» и пришел «к заключению: а) что броню на современных аэропланах надо считать неуместной и, как паллиатив, в случае настойчивого требования, ее надлежит делать съемною...» В итоге Технический отдел ГВТУ, уточняя «количество и разнообразие систем аэропланов, желательных для предстоящего заказа», решил, что «...ввиду неимения окончательного решения о броне, бомбах и телеграфе и принимая во внимание, что заказываемые аппараты выслужат свой срок в два года, при настоящем заказе не принято во внимание этих потребностей, кроме съемной брони, но не на всех аппаратах.» И это менее чем за полгода до начала войны! (15464).</w:t>
      </w:r>
    </w:p>
    <w:p w14:paraId="018CE8BE" w14:textId="77777777" w:rsidR="00575BAA" w:rsidRPr="00DE096C" w:rsidRDefault="00575BAA" w:rsidP="00D45A46">
      <w:pPr>
        <w:pStyle w:val="2"/>
        <w:spacing w:before="0" w:after="0"/>
        <w:jc w:val="both"/>
        <w:rPr>
          <w:b w:val="0"/>
          <w:bCs/>
          <w:color w:val="002060"/>
          <w:sz w:val="16"/>
          <w:szCs w:val="16"/>
        </w:rPr>
      </w:pPr>
    </w:p>
    <w:p w14:paraId="15C9661E" w14:textId="38A4CF9C" w:rsidR="00B67D7C" w:rsidRPr="00DE096C" w:rsidRDefault="00BD72E1" w:rsidP="00D45A46">
      <w:pPr>
        <w:shd w:val="clear" w:color="auto" w:fill="FFFFFF"/>
        <w:jc w:val="both"/>
        <w:rPr>
          <w:bCs/>
          <w:color w:val="002060"/>
          <w:sz w:val="16"/>
          <w:szCs w:val="16"/>
        </w:rPr>
      </w:pPr>
      <w:r w:rsidRPr="00DE096C">
        <w:rPr>
          <w:bCs/>
          <w:color w:val="002060"/>
          <w:sz w:val="16"/>
          <w:szCs w:val="16"/>
        </w:rPr>
        <w:t>Н</w:t>
      </w:r>
      <w:r w:rsidR="00B67D7C" w:rsidRPr="00DE096C">
        <w:rPr>
          <w:bCs/>
          <w:color w:val="002060"/>
          <w:sz w:val="16"/>
          <w:szCs w:val="16"/>
        </w:rPr>
        <w:t>а конец фев</w:t>
      </w:r>
      <w:r w:rsidR="00B67D7C" w:rsidRPr="00DE096C">
        <w:rPr>
          <w:bCs/>
          <w:color w:val="002060"/>
          <w:sz w:val="16"/>
          <w:szCs w:val="16"/>
        </w:rPr>
        <w:softHyphen/>
        <w:t xml:space="preserve">раля 1914 г. </w:t>
      </w:r>
      <w:r w:rsidRPr="00DE096C">
        <w:rPr>
          <w:bCs/>
          <w:color w:val="002060"/>
          <w:sz w:val="16"/>
          <w:szCs w:val="16"/>
        </w:rPr>
        <w:t xml:space="preserve">планировавшийся </w:t>
      </w:r>
      <w:r w:rsidR="00B67D7C" w:rsidRPr="00DE096C">
        <w:rPr>
          <w:bCs/>
          <w:color w:val="002060"/>
          <w:sz w:val="16"/>
          <w:szCs w:val="16"/>
        </w:rPr>
        <w:t>демонстрационный полёт поплавкового самолёта «Илья Муромец» с модифицированной силовой установкой (два двигателя «Сальмсон мощностью по 200 л.с. и два «Аргуса» по 115 л.с.) из-за того, что ангары в Либаве к фев</w:t>
      </w:r>
      <w:r w:rsidR="00B67D7C" w:rsidRPr="00DE096C">
        <w:rPr>
          <w:bCs/>
          <w:color w:val="002060"/>
          <w:sz w:val="16"/>
          <w:szCs w:val="16"/>
        </w:rPr>
        <w:softHyphen/>
        <w:t>ралю не построили, и по ряду дру</w:t>
      </w:r>
      <w:r w:rsidR="00B67D7C" w:rsidRPr="00DE096C">
        <w:rPr>
          <w:bCs/>
          <w:color w:val="002060"/>
          <w:sz w:val="16"/>
          <w:szCs w:val="16"/>
        </w:rPr>
        <w:softHyphen/>
        <w:t>гих причин, состоялся только 14 мая 1914 г. Пилотировали самолет И.И. Сикорский и лейтенант Г.И. Лавров. Морские летчики-офицеры, отко</w:t>
      </w:r>
      <w:r w:rsidR="00B67D7C" w:rsidRPr="00DE096C">
        <w:rPr>
          <w:bCs/>
          <w:color w:val="002060"/>
          <w:sz w:val="16"/>
          <w:szCs w:val="16"/>
        </w:rPr>
        <w:softHyphen/>
        <w:t>мандированные в Либаву для ос</w:t>
      </w:r>
      <w:r w:rsidR="00B67D7C" w:rsidRPr="00DE096C">
        <w:rPr>
          <w:bCs/>
          <w:color w:val="002060"/>
          <w:sz w:val="16"/>
          <w:szCs w:val="16"/>
        </w:rPr>
        <w:softHyphen/>
        <w:t>мотра новой машины, отметили в отчёте: "Первый гидроплан «Илья Муромец» представляет из себя сухопутный аэроплан, поставленный на поплавки (два центральных и один добавочный под хвостом). Аппарат после небольшого разбе</w:t>
      </w:r>
      <w:r w:rsidR="00B67D7C" w:rsidRPr="00DE096C">
        <w:rPr>
          <w:bCs/>
          <w:color w:val="002060"/>
          <w:sz w:val="16"/>
          <w:szCs w:val="16"/>
        </w:rPr>
        <w:softHyphen/>
        <w:t>га по воде легко взлетел, летал 12 минут и отлично сел. Управляемость на воде хорошая, ибо кроме рулей можно пользоваться разницей обо</w:t>
      </w:r>
      <w:r w:rsidR="00B67D7C" w:rsidRPr="00DE096C">
        <w:rPr>
          <w:bCs/>
          <w:color w:val="002060"/>
          <w:sz w:val="16"/>
          <w:szCs w:val="16"/>
        </w:rPr>
        <w:softHyphen/>
        <w:t>ротов моторов с той и другой сто</w:t>
      </w:r>
      <w:r w:rsidR="00B67D7C" w:rsidRPr="00DE096C">
        <w:rPr>
          <w:bCs/>
          <w:color w:val="002060"/>
          <w:sz w:val="16"/>
          <w:szCs w:val="16"/>
        </w:rPr>
        <w:softHyphen/>
        <w:t>роны ".</w:t>
      </w:r>
    </w:p>
    <w:p w14:paraId="6A5F3D0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lastRenderedPageBreak/>
        <w:t>Завод тем временем приступил к строительству самолётов для во</w:t>
      </w:r>
      <w:r w:rsidRPr="00DE096C">
        <w:rPr>
          <w:bCs/>
          <w:color w:val="002060"/>
          <w:sz w:val="16"/>
          <w:szCs w:val="16"/>
        </w:rPr>
        <w:softHyphen/>
        <w:t>енного ведомства, которое весной 1914 г. заказало десять машин со сроком поставки в марте следую</w:t>
      </w:r>
      <w:r w:rsidRPr="00DE096C">
        <w:rPr>
          <w:bCs/>
          <w:color w:val="002060"/>
          <w:sz w:val="16"/>
          <w:szCs w:val="16"/>
        </w:rPr>
        <w:softHyphen/>
        <w:t>щего года, выплачивая за каждый по 150 тыс. руб. (морское ведом</w:t>
      </w:r>
      <w:r w:rsidRPr="00DE096C">
        <w:rPr>
          <w:bCs/>
          <w:color w:val="002060"/>
          <w:sz w:val="16"/>
          <w:szCs w:val="16"/>
        </w:rPr>
        <w:softHyphen/>
        <w:t>ство предлагало на 60 тыс. рублей меньше).</w:t>
      </w:r>
    </w:p>
    <w:p w14:paraId="62B425DE" w14:textId="77777777" w:rsidR="00B67D7C" w:rsidRPr="00DE096C" w:rsidRDefault="00B67D7C" w:rsidP="00D45A46">
      <w:pPr>
        <w:pStyle w:val="a4"/>
        <w:spacing w:before="0" w:after="0"/>
        <w:jc w:val="both"/>
        <w:rPr>
          <w:bCs/>
          <w:color w:val="002060"/>
          <w:sz w:val="16"/>
          <w:szCs w:val="16"/>
        </w:rPr>
      </w:pPr>
      <w:r w:rsidRPr="00DE096C">
        <w:rPr>
          <w:bCs/>
          <w:color w:val="002060"/>
          <w:sz w:val="16"/>
          <w:szCs w:val="16"/>
        </w:rPr>
        <w:t>Эпопея с единственным поплав</w:t>
      </w:r>
      <w:r w:rsidRPr="00DE096C">
        <w:rPr>
          <w:bCs/>
          <w:color w:val="002060"/>
          <w:sz w:val="16"/>
          <w:szCs w:val="16"/>
        </w:rPr>
        <w:softHyphen/>
        <w:t>ковым самолетом закончилась без</w:t>
      </w:r>
      <w:r w:rsidRPr="00DE096C">
        <w:rPr>
          <w:bCs/>
          <w:color w:val="002060"/>
          <w:sz w:val="16"/>
          <w:szCs w:val="16"/>
        </w:rPr>
        <w:softHyphen/>
        <w:t>дарно. 16 июня 1914 г. из-за угро</w:t>
      </w:r>
      <w:r w:rsidRPr="00DE096C">
        <w:rPr>
          <w:bCs/>
          <w:color w:val="002060"/>
          <w:sz w:val="16"/>
          <w:szCs w:val="16"/>
        </w:rPr>
        <w:softHyphen/>
        <w:t>зы войны, решили перевести Либав-скую воздушную станцию на о. Эзель. На миноносцах «Искусный» и «Прозорливый» вывезли авиаци</w:t>
      </w:r>
      <w:r w:rsidRPr="00DE096C">
        <w:rPr>
          <w:bCs/>
          <w:color w:val="002060"/>
          <w:sz w:val="16"/>
          <w:szCs w:val="16"/>
        </w:rPr>
        <w:softHyphen/>
        <w:t>онное имущество, летчики Щерба-чев, Липгардт, Литвинов и Кульнев перегнали самолёты на о. Эзель. Экипаж самолёта «Илья Муромец» получил приказ перелететь в Киль-конд. Однако из-за встречного вет</w:t>
      </w:r>
      <w:r w:rsidRPr="00DE096C">
        <w:rPr>
          <w:bCs/>
          <w:color w:val="002060"/>
          <w:sz w:val="16"/>
          <w:szCs w:val="16"/>
        </w:rPr>
        <w:softHyphen/>
        <w:t>ра по маршруту полёта, расход топлива превысил расчётный и пи</w:t>
      </w:r>
      <w:r w:rsidRPr="00DE096C">
        <w:rPr>
          <w:bCs/>
          <w:color w:val="002060"/>
          <w:sz w:val="16"/>
          <w:szCs w:val="16"/>
        </w:rPr>
        <w:softHyphen/>
        <w:t>лотировавший самолёт лейтенант Лавров вынужден был произвести вынужденную посадку в бухте Ка</w:t>
      </w:r>
      <w:r w:rsidRPr="00DE096C">
        <w:rPr>
          <w:bCs/>
          <w:color w:val="002060"/>
          <w:sz w:val="16"/>
          <w:szCs w:val="16"/>
        </w:rPr>
        <w:softHyphen/>
        <w:t>рал на о. Эзель. Здесь его и заста</w:t>
      </w:r>
      <w:r w:rsidRPr="00DE096C">
        <w:rPr>
          <w:bCs/>
          <w:color w:val="002060"/>
          <w:sz w:val="16"/>
          <w:szCs w:val="16"/>
        </w:rPr>
        <w:softHyphen/>
        <w:t>ло известие о начале войны. Из записи в вахтенном журнале 2-й морской станции в Кильконде сле</w:t>
      </w:r>
      <w:r w:rsidRPr="00DE096C">
        <w:rPr>
          <w:bCs/>
          <w:color w:val="002060"/>
          <w:sz w:val="16"/>
          <w:szCs w:val="16"/>
        </w:rPr>
        <w:softHyphen/>
        <w:t>дует: «Аппарат «Илья Муромец» под командою лейтенанта Лаврова вышел, руля по воде, из бухты Ка</w:t>
      </w:r>
      <w:r w:rsidRPr="00DE096C">
        <w:rPr>
          <w:bCs/>
          <w:color w:val="002060"/>
          <w:sz w:val="16"/>
          <w:szCs w:val="16"/>
        </w:rPr>
        <w:softHyphen/>
        <w:t>рал, испугавшись миноносцев не</w:t>
      </w:r>
      <w:r w:rsidRPr="00DE096C">
        <w:rPr>
          <w:bCs/>
          <w:color w:val="002060"/>
          <w:sz w:val="16"/>
          <w:szCs w:val="16"/>
        </w:rPr>
        <w:softHyphen/>
        <w:t>приятеля так как уйти за неисправ</w:t>
      </w:r>
      <w:r w:rsidRPr="00DE096C">
        <w:rPr>
          <w:bCs/>
          <w:color w:val="002060"/>
          <w:sz w:val="16"/>
          <w:szCs w:val="16"/>
        </w:rPr>
        <w:softHyphen/>
        <w:t>ностью моторов не мог, открыли бак с бензином, подожгли, а поплавки изпорубили. Люди вернулись на рыбацкой шлюпке». Лавров принял приближающиеся посыльные суда Дирекции маяков и лоций, снимаю</w:t>
      </w:r>
      <w:r w:rsidRPr="00DE096C">
        <w:rPr>
          <w:bCs/>
          <w:color w:val="002060"/>
          <w:sz w:val="16"/>
          <w:szCs w:val="16"/>
        </w:rPr>
        <w:softHyphen/>
        <w:t>щие вехи за немецкие миноносцы. Лавров отправился в Ревель и едва избежал вполне заслуженного суда. Спасло его заступничество капита</w:t>
      </w:r>
      <w:r w:rsidRPr="00DE096C">
        <w:rPr>
          <w:bCs/>
          <w:color w:val="002060"/>
          <w:sz w:val="16"/>
          <w:szCs w:val="16"/>
        </w:rPr>
        <w:softHyphen/>
        <w:t>на 2-го ранга Б.П.Дудорова и дру</w:t>
      </w:r>
      <w:r w:rsidRPr="00DE096C">
        <w:rPr>
          <w:bCs/>
          <w:color w:val="002060"/>
          <w:sz w:val="16"/>
          <w:szCs w:val="16"/>
        </w:rPr>
        <w:softHyphen/>
        <w:t>гих офицеров, а флотское руковод</w:t>
      </w:r>
      <w:r w:rsidRPr="00DE096C">
        <w:rPr>
          <w:bCs/>
          <w:color w:val="002060"/>
          <w:sz w:val="16"/>
          <w:szCs w:val="16"/>
        </w:rPr>
        <w:softHyphen/>
        <w:t>ство попросило Морской генераль</w:t>
      </w:r>
      <w:r w:rsidRPr="00DE096C">
        <w:rPr>
          <w:bCs/>
          <w:color w:val="002060"/>
          <w:sz w:val="16"/>
          <w:szCs w:val="16"/>
        </w:rPr>
        <w:softHyphen/>
        <w:t>ный штаб выделить дирижабль в ка</w:t>
      </w:r>
      <w:r w:rsidRPr="00DE096C">
        <w:rPr>
          <w:bCs/>
          <w:color w:val="002060"/>
          <w:sz w:val="16"/>
          <w:szCs w:val="16"/>
        </w:rPr>
        <w:softHyphen/>
        <w:t>честве компенсации за уничтоженный самолёт. Их просьбу удовлет</w:t>
      </w:r>
      <w:r w:rsidRPr="00DE096C">
        <w:rPr>
          <w:bCs/>
          <w:color w:val="002060"/>
          <w:sz w:val="16"/>
          <w:szCs w:val="16"/>
        </w:rPr>
        <w:softHyphen/>
        <w:t>ворили, но военное ведомство пе</w:t>
      </w:r>
      <w:r w:rsidRPr="00DE096C">
        <w:rPr>
          <w:bCs/>
          <w:color w:val="002060"/>
          <w:sz w:val="16"/>
          <w:szCs w:val="16"/>
        </w:rPr>
        <w:softHyphen/>
        <w:t>редало не дирижабль, а старый уп</w:t>
      </w:r>
      <w:r w:rsidRPr="00DE096C">
        <w:rPr>
          <w:bCs/>
          <w:color w:val="002060"/>
          <w:sz w:val="16"/>
          <w:szCs w:val="16"/>
        </w:rPr>
        <w:softHyphen/>
        <w:t>равляемый аэростат. Балтийцы не</w:t>
      </w:r>
      <w:r w:rsidRPr="00DE096C">
        <w:rPr>
          <w:bCs/>
          <w:color w:val="002060"/>
          <w:sz w:val="16"/>
          <w:szCs w:val="16"/>
        </w:rPr>
        <w:softHyphen/>
        <w:t>которое время с ним помучились. Имелись основание полагать, что авторство идеи получить дирижабль принадлежит пытавшемуся реаби</w:t>
      </w:r>
      <w:r w:rsidRPr="00DE096C">
        <w:rPr>
          <w:bCs/>
          <w:color w:val="002060"/>
          <w:sz w:val="16"/>
          <w:szCs w:val="16"/>
        </w:rPr>
        <w:softHyphen/>
        <w:t>литироваться Лаврову. В конечном итоге почли за благо для упрежде</w:t>
      </w:r>
      <w:r w:rsidRPr="00DE096C">
        <w:rPr>
          <w:bCs/>
          <w:color w:val="002060"/>
          <w:sz w:val="16"/>
          <w:szCs w:val="16"/>
        </w:rPr>
        <w:softHyphen/>
        <w:t>ния обнаружения морских объектов поднимать в окрестностях Ревеля змейковый аэростат, выделяемый военным ведомством. Со временем, по-видимому, наступило озарение и понимание, что многомоторный самолёт способен решать задачи над морем, действуя с береговых аэродромов более эффективно, чем управляемый аэростат или дири</w:t>
      </w:r>
      <w:r w:rsidRPr="00DE096C">
        <w:rPr>
          <w:bCs/>
          <w:color w:val="002060"/>
          <w:sz w:val="16"/>
          <w:szCs w:val="16"/>
        </w:rPr>
        <w:softHyphen/>
        <w:t>жабль. Но самолётов М-22 флот так и не получил.</w:t>
      </w:r>
    </w:p>
    <w:p w14:paraId="341D975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Из приведенного следует, что сотрудничество с РБВЗ практичес</w:t>
      </w:r>
      <w:r w:rsidRPr="00DE096C">
        <w:rPr>
          <w:bCs/>
          <w:color w:val="002060"/>
          <w:sz w:val="16"/>
          <w:szCs w:val="16"/>
        </w:rPr>
        <w:softHyphen/>
        <w:t>ки ничего морской авиации не дало. Полученные пять самолетов С-Ю «Гидро» оказались недоработанны</w:t>
      </w:r>
      <w:r w:rsidRPr="00DE096C">
        <w:rPr>
          <w:bCs/>
          <w:color w:val="002060"/>
          <w:sz w:val="16"/>
          <w:szCs w:val="16"/>
        </w:rPr>
        <w:softHyphen/>
        <w:t>ми и к 1916 г. в боевом составе уже ;не числились. Впоследствии И.И. Сикорский безуспешно пытался оборудовать поплавками самолеты С-16 и С-20. В то же время (в 1911 - 1913 гг.) для морской авиации за</w:t>
      </w:r>
      <w:r w:rsidRPr="00DE096C">
        <w:rPr>
          <w:bCs/>
          <w:color w:val="002060"/>
          <w:sz w:val="16"/>
          <w:szCs w:val="16"/>
        </w:rPr>
        <w:softHyphen/>
        <w:t>купались самолеты французского и американского производства: по-</w:t>
      </w:r>
    </w:p>
    <w:p w14:paraId="6E44528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плавковые «Вуазен-Канар», «Мо-ран», «Фарман», «Кертисс-Р» и ле</w:t>
      </w:r>
      <w:r w:rsidRPr="00DE096C">
        <w:rPr>
          <w:bCs/>
          <w:color w:val="002060"/>
          <w:sz w:val="16"/>
          <w:szCs w:val="16"/>
        </w:rPr>
        <w:softHyphen/>
        <w:t>тающие лодки «Левек», «Кертисс-К» и «Р.В.А.-С», (последний, впослед</w:t>
      </w:r>
      <w:r w:rsidRPr="00DE096C">
        <w:rPr>
          <w:bCs/>
          <w:color w:val="002060"/>
          <w:sz w:val="16"/>
          <w:szCs w:val="16"/>
        </w:rPr>
        <w:softHyphen/>
        <w:t>ствии выпускался на заводе Лебе</w:t>
      </w:r>
      <w:r w:rsidRPr="00DE096C">
        <w:rPr>
          <w:bCs/>
          <w:color w:val="002060"/>
          <w:sz w:val="16"/>
          <w:szCs w:val="16"/>
        </w:rPr>
        <w:softHyphen/>
        <w:t>дева под обозначением Ф.Б.А.). Вместе с тем поступали и сухопут</w:t>
      </w:r>
      <w:r w:rsidRPr="00DE096C">
        <w:rPr>
          <w:bCs/>
          <w:color w:val="002060"/>
          <w:sz w:val="16"/>
          <w:szCs w:val="16"/>
        </w:rPr>
        <w:softHyphen/>
        <w:t>ные самолеты, часть которых с усердием, заслуживающим лучшего применения, устанавливали на по</w:t>
      </w:r>
      <w:r w:rsidRPr="00DE096C">
        <w:rPr>
          <w:bCs/>
          <w:color w:val="002060"/>
          <w:sz w:val="16"/>
          <w:szCs w:val="16"/>
        </w:rPr>
        <w:softHyphen/>
        <w:t>плавки (11759).</w:t>
      </w:r>
    </w:p>
    <w:p w14:paraId="4E1DED8A" w14:textId="77777777" w:rsidR="00B67D7C" w:rsidRPr="00DE096C" w:rsidRDefault="00B67D7C" w:rsidP="00D45A46">
      <w:pPr>
        <w:shd w:val="clear" w:color="auto" w:fill="FFFFFF"/>
        <w:jc w:val="both"/>
        <w:rPr>
          <w:bCs/>
          <w:color w:val="002060"/>
          <w:sz w:val="16"/>
          <w:szCs w:val="16"/>
        </w:rPr>
      </w:pPr>
    </w:p>
    <w:p w14:paraId="40A7E11A" w14:textId="20F55EDF" w:rsidR="00B67D7C" w:rsidRPr="00DE096C" w:rsidRDefault="00B67D7C" w:rsidP="00D45A46">
      <w:pPr>
        <w:jc w:val="both"/>
        <w:rPr>
          <w:bCs/>
          <w:color w:val="002060"/>
          <w:sz w:val="16"/>
          <w:szCs w:val="16"/>
        </w:rPr>
      </w:pPr>
      <w:r w:rsidRPr="00DE096C">
        <w:rPr>
          <w:bCs/>
          <w:color w:val="002060"/>
          <w:sz w:val="16"/>
          <w:szCs w:val="16"/>
        </w:rPr>
        <w:t xml:space="preserve">В конце февраля </w:t>
      </w:r>
      <w:r w:rsidR="00BD72E1" w:rsidRPr="00DE096C">
        <w:rPr>
          <w:bCs/>
          <w:color w:val="002060"/>
          <w:sz w:val="16"/>
          <w:szCs w:val="16"/>
        </w:rPr>
        <w:t xml:space="preserve">1914 г. </w:t>
      </w:r>
      <w:r w:rsidRPr="00DE096C">
        <w:rPr>
          <w:bCs/>
          <w:color w:val="002060"/>
          <w:sz w:val="16"/>
          <w:szCs w:val="16"/>
        </w:rPr>
        <w:t>из Франции прибыли заказанные там самые мощные на тот момент авиационные двигатели - 14-цилиндровые двойные звёзды водяного охлаждения "Сальмсон" 2М7 в 200 л.с. Было решено установить их вместо внутренних "Аргусов", внешние "Аргусы" в 100 л.с. заменили на новые в 115 л.с. Более мощные "Сальмсоны" потребовали очередного увеличения площади радиаторов и их сделали двухсекционными, установив секции с двух сторон за двигателем. 14 марта "Муромец" с обновлённой силовой установкой выполнил первый полёт. После операции по пересадке "пламенного сердца" воздушный богатырь будто напился живой воды. Разбег сократился наполовину, набор высоты принял весьма интенсивный характер, скорость ощутимо возросла. В таком виде самолёт стал ещё более "лакомым кусочком" для военных. Но первыми свои права на гиганта заявили моряки...(12041).</w:t>
      </w:r>
    </w:p>
    <w:p w14:paraId="0373898D" w14:textId="77777777" w:rsidR="00B67D7C" w:rsidRPr="00DE096C" w:rsidRDefault="00B67D7C" w:rsidP="00D45A46">
      <w:pPr>
        <w:jc w:val="both"/>
        <w:rPr>
          <w:bCs/>
          <w:color w:val="002060"/>
          <w:sz w:val="16"/>
          <w:szCs w:val="16"/>
        </w:rPr>
      </w:pPr>
    </w:p>
    <w:p w14:paraId="0270974E" w14:textId="77777777" w:rsidR="00B67D7C" w:rsidRPr="00DE096C" w:rsidRDefault="00B67D7C" w:rsidP="00D45A46">
      <w:pPr>
        <w:jc w:val="both"/>
        <w:rPr>
          <w:bCs/>
          <w:i/>
          <w:color w:val="002060"/>
          <w:sz w:val="16"/>
          <w:szCs w:val="16"/>
        </w:rPr>
      </w:pPr>
      <w:r w:rsidRPr="00DE096C">
        <w:rPr>
          <w:bCs/>
          <w:i/>
          <w:color w:val="002060"/>
          <w:sz w:val="16"/>
          <w:szCs w:val="16"/>
        </w:rPr>
        <w:t>Самолетостроение:</w:t>
      </w:r>
    </w:p>
    <w:p w14:paraId="34693DD7" w14:textId="77777777" w:rsidR="00B67D7C" w:rsidRPr="00DE096C" w:rsidRDefault="00B67D7C" w:rsidP="00D45A46">
      <w:pPr>
        <w:jc w:val="both"/>
        <w:rPr>
          <w:bCs/>
          <w:i/>
          <w:color w:val="002060"/>
          <w:sz w:val="16"/>
          <w:szCs w:val="16"/>
        </w:rPr>
      </w:pPr>
    </w:p>
    <w:p w14:paraId="447624EB" w14:textId="77777777" w:rsidR="00575BAA" w:rsidRPr="00DE096C" w:rsidRDefault="00575BAA" w:rsidP="00D45A46">
      <w:pPr>
        <w:pStyle w:val="2"/>
        <w:spacing w:before="0" w:after="0"/>
        <w:jc w:val="both"/>
        <w:rPr>
          <w:b w:val="0"/>
          <w:bCs/>
          <w:color w:val="002060"/>
          <w:sz w:val="16"/>
          <w:szCs w:val="16"/>
        </w:rPr>
      </w:pPr>
      <w:r w:rsidRPr="00DE096C">
        <w:rPr>
          <w:b w:val="0"/>
          <w:bCs/>
          <w:color w:val="002060"/>
          <w:sz w:val="16"/>
          <w:szCs w:val="16"/>
        </w:rPr>
        <w:t>В феврале 1914 г. в докладе Е.Э.Роппа в Военный совет о заказе самолетов «Илья Муромец» говорилось: «вопрос о броне не предусматривался» (15464).</w:t>
      </w:r>
    </w:p>
    <w:p w14:paraId="0373249D" w14:textId="77777777" w:rsidR="00575BAA" w:rsidRPr="00DE096C" w:rsidRDefault="00575BAA" w:rsidP="00D45A46">
      <w:pPr>
        <w:pStyle w:val="2"/>
        <w:spacing w:before="0" w:after="0"/>
        <w:jc w:val="both"/>
        <w:rPr>
          <w:b w:val="0"/>
          <w:bCs/>
          <w:color w:val="002060"/>
          <w:sz w:val="16"/>
          <w:szCs w:val="16"/>
        </w:rPr>
      </w:pPr>
    </w:p>
    <w:p w14:paraId="0165F398" w14:textId="77777777" w:rsidR="00473AB9" w:rsidRPr="00DE096C" w:rsidRDefault="00473AB9" w:rsidP="00473AB9">
      <w:pPr>
        <w:pStyle w:val="a00"/>
        <w:spacing w:after="0"/>
        <w:jc w:val="both"/>
        <w:rPr>
          <w:bCs/>
          <w:color w:val="002060"/>
          <w:sz w:val="16"/>
          <w:szCs w:val="16"/>
        </w:rPr>
      </w:pPr>
      <w:r w:rsidRPr="00DE096C">
        <w:rPr>
          <w:bCs/>
          <w:color w:val="002060"/>
          <w:sz w:val="16"/>
          <w:szCs w:val="16"/>
        </w:rPr>
        <w:t>В феврале 1914 года И.И. Сикорский произвел облет нового корабля «Илья Муромец» (с 4 моторами «Аргус» по 140 л.с.)26. В Европе сообщения из России о создании тяжелых самолетов были встречены с удивлением и восхищением, а кое-где - с недоверием и нескрываемым раздражением (15135).</w:t>
      </w:r>
    </w:p>
    <w:p w14:paraId="3F3EBE19" w14:textId="77777777" w:rsidR="00473AB9" w:rsidRPr="00DE096C" w:rsidRDefault="00473AB9" w:rsidP="00473AB9">
      <w:pPr>
        <w:pStyle w:val="p1"/>
        <w:spacing w:before="0" w:beforeAutospacing="0" w:after="0" w:afterAutospacing="0"/>
        <w:jc w:val="both"/>
        <w:rPr>
          <w:bCs/>
          <w:color w:val="002060"/>
          <w:sz w:val="16"/>
          <w:szCs w:val="16"/>
        </w:rPr>
      </w:pPr>
    </w:p>
    <w:p w14:paraId="28D0964D" w14:textId="77777777" w:rsidR="00473AB9" w:rsidRPr="00B52707" w:rsidRDefault="00473AB9" w:rsidP="00473AB9">
      <w:pPr>
        <w:jc w:val="both"/>
        <w:rPr>
          <w:color w:val="0070C0"/>
          <w:sz w:val="16"/>
          <w:szCs w:val="16"/>
        </w:rPr>
      </w:pPr>
      <w:r w:rsidRPr="00B52707">
        <w:rPr>
          <w:color w:val="0070C0"/>
          <w:sz w:val="16"/>
          <w:szCs w:val="16"/>
        </w:rPr>
        <w:t>До февраля 1914 Сикорский производил облет Муромца и ввел некоторые поправки в регулировке, а в феврале уже начал производить систематические полеты и ставить новые рекорды по грузоподъемности и продолжительности полета с пассажирами. К началу мая все неполадки были устранены, и Сикорский начал готовиться к перелету Петербург - Киев и обратно. Для этого он обучал полетам на «муромце» своего товарища по Морскому корпусу военно-морского летчика лейтенанта Г.И. Лаврова и инструктора Гатчинской авиашколы штабс-капитана Пруссиса. Одновременно принимал участие в полетах и помощник начальника Гатчинской авиашколы штабс-капитан Г.Г. Горшков. Лавров дополнительно выполнял функции штурмана (24965).</w:t>
      </w:r>
    </w:p>
    <w:p w14:paraId="6522E0C3" w14:textId="77777777" w:rsidR="00473AB9" w:rsidRPr="00B52707" w:rsidRDefault="00473AB9" w:rsidP="00473AB9">
      <w:pPr>
        <w:jc w:val="both"/>
        <w:rPr>
          <w:color w:val="0070C0"/>
          <w:sz w:val="16"/>
          <w:szCs w:val="16"/>
        </w:rPr>
      </w:pPr>
    </w:p>
    <w:p w14:paraId="73505B52" w14:textId="266CF573" w:rsidR="00575BAA" w:rsidRPr="00DE096C" w:rsidRDefault="00575BAA" w:rsidP="00D45A46">
      <w:pPr>
        <w:pStyle w:val="2"/>
        <w:spacing w:before="0" w:after="0"/>
        <w:jc w:val="both"/>
        <w:rPr>
          <w:b w:val="0"/>
          <w:bCs/>
          <w:color w:val="002060"/>
          <w:sz w:val="16"/>
          <w:szCs w:val="16"/>
        </w:rPr>
      </w:pPr>
      <w:r w:rsidRPr="00DE096C">
        <w:rPr>
          <w:b w:val="0"/>
          <w:bCs/>
          <w:color w:val="002060"/>
          <w:sz w:val="16"/>
          <w:szCs w:val="16"/>
        </w:rPr>
        <w:t>В феврале 1914 г. в «Аэро» промелькнуло сообщение, что «группой русских ученых специалистов во главе с Н.Е.Жуковским закончен детально разработанный проект постройки русского аэроплана». Но дальнейшая его судьба неизвестна, во всяком случае в апреле 1914 г. в Петербурге на Ill-м Воздухоплавательном съезде проект уже не обсуждали. Одной из причин могло стать интенсивное развитие высшего пилотажа и ожидавшийся на IV-й Петербургской неделе «бенефис» мертвой петли. Если, как считал П.Н.Нестеров, «в воздухе везде опора», то «русскому аэроплану» (как и всякому другому) автоматическая устойчивость была не нужна. Возможно, практической реализации проекта просто помешала первая мировая война (15464).</w:t>
      </w:r>
    </w:p>
    <w:p w14:paraId="6CCC5325" w14:textId="77777777" w:rsidR="00575BAA" w:rsidRPr="00DE096C" w:rsidRDefault="00575BAA" w:rsidP="00D45A46">
      <w:pPr>
        <w:pStyle w:val="2"/>
        <w:spacing w:before="0" w:after="0"/>
        <w:jc w:val="both"/>
        <w:rPr>
          <w:b w:val="0"/>
          <w:bCs/>
          <w:color w:val="002060"/>
          <w:sz w:val="16"/>
          <w:szCs w:val="16"/>
        </w:rPr>
      </w:pPr>
    </w:p>
    <w:p w14:paraId="4A144295" w14:textId="77777777" w:rsidR="00B67D7C" w:rsidRPr="00DE096C" w:rsidRDefault="00B67D7C" w:rsidP="00D45A46">
      <w:pPr>
        <w:jc w:val="both"/>
        <w:rPr>
          <w:bCs/>
          <w:color w:val="002060"/>
          <w:sz w:val="16"/>
          <w:szCs w:val="16"/>
        </w:rPr>
      </w:pPr>
      <w:r w:rsidRPr="00DE096C">
        <w:rPr>
          <w:bCs/>
          <w:color w:val="002060"/>
          <w:sz w:val="16"/>
          <w:szCs w:val="16"/>
        </w:rPr>
        <w:t>В феврале 1914 года технический отдел ГВТУ попыталось решить проблему выбора типа самолета для каждого из четырех категорий авиаотрядов: полевого (армейского), корпусного, крепостного и особого назначения них, подготовив для обсуждения в техническом комитете того же ведомства доклад о современных типах военных самолетов и обозначив новые позиции в вопросе о вооружении летательных аппаратов. Указывалось, например, что вооружать целесообразно только большие самолеты типа «Илья Муромец». В отношении радиотелеграфа и других наработок, выполненных в свое время воздухоплавательной частью ГУ ГШ, предлагалось следующее: «Ввиду неимения окончательного решения о броне, бомбах и телеграфе и принимая во внимание, что заказываемые аппараты служат свой срок в два года, при настоящем заказе не принимать во внимание этих потребностей, кроме съемной брони, но не на всех аппаратах» (РГВИА Ф. 493. Оп. 10. Д. 151. Л. 4.). В результате обсуждения вопроса «о типах» пришли к выводу, что следует заказать для полевых (армейских) и крепостных отрядов самолеты «Вуазен», «Сикорский-Х» и «Фарман-ХХII», для корпусных — «Депердюссен», «Моран-Парасоль» и «Сикорский-XI», для отрядов особого назначения — одноместный «Моран-Сольнье» (РГВИА Ф. 802. Оп. 4. Д. 2223. Л. 20.).</w:t>
      </w:r>
    </w:p>
    <w:p w14:paraId="064B2340" w14:textId="77777777" w:rsidR="00B67D7C" w:rsidRPr="00DE096C" w:rsidRDefault="00B67D7C" w:rsidP="00D45A46">
      <w:pPr>
        <w:jc w:val="both"/>
        <w:rPr>
          <w:bCs/>
          <w:color w:val="002060"/>
          <w:sz w:val="16"/>
          <w:szCs w:val="16"/>
        </w:rPr>
      </w:pPr>
    </w:p>
    <w:p w14:paraId="0B940EE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феврале 1914 г. военное министерство заказало Русско-Балтийскому вагонному за</w:t>
      </w:r>
      <w:r w:rsidRPr="00DE096C">
        <w:rPr>
          <w:bCs/>
          <w:color w:val="002060"/>
          <w:sz w:val="16"/>
          <w:szCs w:val="16"/>
        </w:rPr>
        <w:softHyphen/>
        <w:t>воду 10 самолетов "Илья Муромец", который в полетах весной это</w:t>
      </w:r>
      <w:r w:rsidRPr="00DE096C">
        <w:rPr>
          <w:bCs/>
          <w:color w:val="002060"/>
          <w:sz w:val="16"/>
          <w:szCs w:val="16"/>
        </w:rPr>
        <w:softHyphen/>
        <w:t>го года чуть ли не ежедневно устанавливал все новые мировые рекорды, а после весьма успешного перелета Петербург-Киев и об</w:t>
      </w:r>
      <w:r w:rsidRPr="00DE096C">
        <w:rPr>
          <w:bCs/>
          <w:color w:val="002060"/>
          <w:sz w:val="16"/>
          <w:szCs w:val="16"/>
        </w:rPr>
        <w:softHyphen/>
        <w:t>ратно (в июне) ГВГУ пересмотрело требования к тяжелым самолетам, так что судьба проектов "Кеннеди" № 2 и бомбардировщика ЯГ-1 так и осталась "без последствий" (11069).</w:t>
      </w:r>
    </w:p>
    <w:p w14:paraId="4A0CF77B" w14:textId="77777777" w:rsidR="00B67D7C" w:rsidRPr="00DE096C" w:rsidRDefault="00B67D7C" w:rsidP="00D45A46">
      <w:pPr>
        <w:shd w:val="clear" w:color="auto" w:fill="FFFFFF"/>
        <w:jc w:val="both"/>
        <w:rPr>
          <w:bCs/>
          <w:color w:val="002060"/>
          <w:sz w:val="16"/>
          <w:szCs w:val="16"/>
        </w:rPr>
      </w:pPr>
    </w:p>
    <w:p w14:paraId="499A2889" w14:textId="77777777" w:rsidR="00710A14" w:rsidRPr="00DE096C" w:rsidRDefault="00710A14" w:rsidP="00D45A46">
      <w:pPr>
        <w:jc w:val="both"/>
        <w:rPr>
          <w:bCs/>
          <w:color w:val="002060"/>
          <w:sz w:val="16"/>
          <w:szCs w:val="16"/>
        </w:rPr>
      </w:pPr>
      <w:bookmarkStart w:id="7" w:name="_Hlk117155999"/>
      <w:bookmarkStart w:id="8" w:name="_Hlk117156091"/>
      <w:bookmarkStart w:id="9" w:name="_Hlk117156490"/>
      <w:r w:rsidRPr="00DE096C">
        <w:rPr>
          <w:bCs/>
          <w:color w:val="002060"/>
          <w:sz w:val="16"/>
          <w:szCs w:val="16"/>
        </w:rPr>
        <w:t xml:space="preserve">В феврале 1914 г. вне текущих контрактов РБВЗ был построен второй экземпляр ИМ, на котором были более мощные "Аргусы" - 2 по 125 и 2 по 140 сил. Корабль получил впоследствии почетное наименование "Киевский" в честь знаменательного апрельского перелета Петербург-Киев-Ново-Сокольники-Петербург. Первыми пилотами воздушных кораблей стали инструкторы Гатчинской авиашколы, которых учил вождению конструктор Сикорский на корабле "Киевском", ставшем учебным. В мае школа приобрела наличной покупкой этот "Муромец". Корабль получил N II (12284). </w:t>
      </w:r>
    </w:p>
    <w:p w14:paraId="3A11F2AE" w14:textId="77777777" w:rsidR="00710A14" w:rsidRPr="00DE096C" w:rsidRDefault="00710A14" w:rsidP="00D45A46">
      <w:pPr>
        <w:jc w:val="both"/>
        <w:rPr>
          <w:bCs/>
          <w:color w:val="002060"/>
          <w:sz w:val="16"/>
          <w:szCs w:val="16"/>
        </w:rPr>
      </w:pPr>
    </w:p>
    <w:bookmarkEnd w:id="7"/>
    <w:bookmarkEnd w:id="8"/>
    <w:bookmarkEnd w:id="9"/>
    <w:p w14:paraId="6443C43E" w14:textId="33635B8D" w:rsidR="00B67D7C" w:rsidRPr="00DE096C" w:rsidRDefault="00B67D7C" w:rsidP="00D45A46">
      <w:pPr>
        <w:jc w:val="both"/>
        <w:rPr>
          <w:bCs/>
          <w:color w:val="002060"/>
          <w:sz w:val="16"/>
          <w:szCs w:val="16"/>
        </w:rPr>
      </w:pPr>
      <w:r w:rsidRPr="00DE096C">
        <w:rPr>
          <w:bCs/>
          <w:color w:val="002060"/>
          <w:sz w:val="16"/>
          <w:szCs w:val="16"/>
        </w:rPr>
        <w:t xml:space="preserve">В феврале 1914 года </w:t>
      </w:r>
      <w:r w:rsidR="00BD72E1" w:rsidRPr="00DE096C">
        <w:rPr>
          <w:bCs/>
          <w:color w:val="002060"/>
          <w:sz w:val="16"/>
          <w:szCs w:val="16"/>
        </w:rPr>
        <w:t>А. А. Безобразов</w:t>
      </w:r>
      <w:r w:rsidRPr="00DE096C">
        <w:rPr>
          <w:bCs/>
          <w:color w:val="002060"/>
          <w:sz w:val="16"/>
          <w:szCs w:val="16"/>
        </w:rPr>
        <w:t xml:space="preserve"> показал свой проект известному итальянскому летчику-спортсмену Франческо Моска, который приехал в Россию на ловлю счастья в 1912 году. Тогда он поддался заманчивому предложению русских летчиков Макса фон Лерхе и Георгия Янковского построить вместе самолет ЛЯМ. Франческо Моска стал фактически соавтором Безобразова в создании вышеупомянутого «тримоноплана», взяв на свои плечи значительную часть конструкторской работы.</w:t>
      </w:r>
    </w:p>
    <w:p w14:paraId="16CC7284" w14:textId="77777777" w:rsidR="00B67D7C" w:rsidRPr="00DE096C" w:rsidRDefault="00B67D7C" w:rsidP="00D45A46">
      <w:pPr>
        <w:jc w:val="both"/>
        <w:rPr>
          <w:bCs/>
          <w:color w:val="002060"/>
          <w:sz w:val="16"/>
          <w:szCs w:val="16"/>
        </w:rPr>
      </w:pPr>
      <w:r w:rsidRPr="00DE096C">
        <w:rPr>
          <w:bCs/>
          <w:color w:val="002060"/>
          <w:sz w:val="16"/>
          <w:szCs w:val="16"/>
        </w:rPr>
        <w:t xml:space="preserve">Летающих «этажерок» с тремя и большим числом крыльев на заре развития авиации было немало. Если не все они, то наверняка большинство из них не имели принципиального отличия от самолетов других схем с аэродинамической точки зрения. Для обеспечения продольной устойчивости и управляемости они были наделены горизонтальным оперением, установленным на большом удалении (плече) от центра тяжести аппарата. В рассматриваемом случае триплан хвостового горизонтального оперения не имел, «представлял собой редкую схему трехкрылого тандема с большим выносом крыльев по горизонтальной оси и небольшим разносом по высоте трипланной коробки. Все крылья имели одинаковую базовую геометрию и профиль. По виду в плане каждое из них напоминало растянутую в стороны букву «М» с постоянной хордой профиля на 60% размаха равной 0,5 м. Концевые участки от внутренних обрезов элеронов имели расширяющуюся форму при виде в плане и стреловидные законцовки с концевыми заострениями. На переломе стреловидности по передним кромкам были введены закругления, что придавало каждому несущему элементу форму птичьего крыла. Профиль для крыльев был выбран треугольный с вершиной на 35% хорды со слегка вогнутой нижней поверхностью. Конструктивно каждое крыло состояло из двух половин. Переднее и заднее крылья имели стык частей в плоскости симметрии аэроплана, а среднее крыло состояло из пары укороченных половин, которые крепились к фюзеляжу по его бортам. Заднее крыло имело жесткую заделку к хвостовой части корпуса в виде Y-образного кабана. Все крылья были связаны между собой четырьмя продольными балками, сделанными из стальных труб овального поперечного сечения. Трубы располагались попарно на 30% и 60% размаха. Балки имели заделку на ус по низу висящего переднего крыла и поверху заднего опертого крыла. Через среднее крыло они проходили насквозь, закрепленные к его лонжеронам с помощью металлических фланцев эллиптической формы. Концевые заделки всех четырех продольных </w:t>
      </w:r>
      <w:r w:rsidRPr="00DE096C">
        <w:rPr>
          <w:bCs/>
          <w:color w:val="002060"/>
          <w:sz w:val="16"/>
          <w:szCs w:val="16"/>
        </w:rPr>
        <w:lastRenderedPageBreak/>
        <w:t>силовых элементов трипланной коробки имели аналогичные фланцевые фитинги. В зонах крепления крыльев к балкам (по виду спереди последние напоминали стойки) их профиль был пронизан вертикальными шпренгелями для проводки верхних и нижних тросов управления элеронами. Заделки шпренгелей были стянуты поверху лентами-расчалками с высоким четырехстержневым фюзеляжным кабаном, а понизу — со стойками шасси. Кроме того, была устроена диагональная расчалочная сеть для стяжки заделок балок в крыльях между собой за исключением заделки центрального шпренгеля переднего крыла, проводке лент к которому мешал вращающийся пропеллер.</w:t>
      </w:r>
    </w:p>
    <w:p w14:paraId="3C51EC53" w14:textId="77777777" w:rsidR="00B67D7C" w:rsidRPr="00DE096C" w:rsidRDefault="00B67D7C" w:rsidP="00D45A46">
      <w:pPr>
        <w:jc w:val="both"/>
        <w:rPr>
          <w:bCs/>
          <w:color w:val="002060"/>
          <w:sz w:val="16"/>
          <w:szCs w:val="16"/>
        </w:rPr>
      </w:pPr>
      <w:r w:rsidRPr="00DE096C">
        <w:rPr>
          <w:bCs/>
          <w:color w:val="002060"/>
          <w:sz w:val="16"/>
          <w:szCs w:val="16"/>
        </w:rPr>
        <w:t>Шасси состояло из двух П-образных стоек, к которым крепились нижние изогнутые перекладины, необходимые для установки колесной оси и связки с ней посредством резинового шнурового амортизатора. Фюзеляж начинался с кожуха, закрывающего мотор «Гном» (80 л. с.) французских конструкторов Сегена и Люке, далее был устроен отсек, занятый центральной трансмиссией двигателя, над которой были установлены топливный и масляный баки.</w:t>
      </w:r>
    </w:p>
    <w:p w14:paraId="2DE3F2BC" w14:textId="77777777" w:rsidR="00B67D7C" w:rsidRPr="00DE096C" w:rsidRDefault="00B67D7C" w:rsidP="00D45A46">
      <w:pPr>
        <w:jc w:val="both"/>
        <w:rPr>
          <w:bCs/>
          <w:color w:val="002060"/>
          <w:sz w:val="16"/>
          <w:szCs w:val="16"/>
        </w:rPr>
      </w:pPr>
      <w:r w:rsidRPr="00DE096C">
        <w:rPr>
          <w:bCs/>
          <w:color w:val="002060"/>
          <w:sz w:val="16"/>
          <w:szCs w:val="16"/>
        </w:rPr>
        <w:t>По первоначальному проекту мотор должен был быть установлен в середине фюзеляжа с прокладкой длинного вала к переднему тянущему винту. Сиденье летчика при этом Безобразов задумал установить за двигателем в закрытой остекленной кабине с перископом, что придавало бы фюзеляжу обтекаемую веретенообразную форму. Но опытный компаньон Ф. Моска возразил ему, и самолет строился с нормальным фюзеляжем, при котором летчик имел бы круговой обзор из открытой кабины. Передний борт рабочего места пилота, на верху которого был установлен прозрачный козырек из целлулоида, был приподнят над верхними лонжеронами фюзеляжа на коническом выпуклом гаргроте. Такое возвышение было заведено для установки перед глазами авиатора необходимых полетных приборов. За спинкой сиденья пилота (аэроплан был одноместным) внутри суживающейся по ширине и высоте хвостовой части корпуса были расчалены по диагоналям 5 прямоугольных шпангоутов, обшитых фанерой и обтянутых полотном.</w:t>
      </w:r>
    </w:p>
    <w:p w14:paraId="1CE3F42F" w14:textId="77777777" w:rsidR="00B67D7C" w:rsidRPr="00DE096C" w:rsidRDefault="00B67D7C" w:rsidP="00D45A46">
      <w:pPr>
        <w:jc w:val="both"/>
        <w:rPr>
          <w:bCs/>
          <w:color w:val="002060"/>
          <w:sz w:val="16"/>
          <w:szCs w:val="16"/>
        </w:rPr>
      </w:pPr>
      <w:r w:rsidRPr="00DE096C">
        <w:rPr>
          <w:bCs/>
          <w:color w:val="002060"/>
          <w:sz w:val="16"/>
          <w:szCs w:val="16"/>
        </w:rPr>
        <w:t>А. А. Безобразов неоднократно высказывал сожаление о том, что не воплотил в жизнь свой замысел об обтекаемом круглом фюзеляже, но Ф. Э. Моска неоднократно возвращал его к текущей реальности. В условиях примитивной производственной базы, размещенной в сарае-мастерской (у Ходынского поля), хороший монокок выклеить было практически невозможно. К тому же вскоре началась германская война, и утраченные иллюзии пришлось предать забвению.</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680"/>
        <w:gridCol w:w="4680"/>
      </w:tblGrid>
      <w:tr w:rsidR="00B67D7C" w:rsidRPr="00DE096C" w14:paraId="690D4573" w14:textId="77777777" w:rsidTr="00C2024A">
        <w:tc>
          <w:tcPr>
            <w:tcW w:w="9360" w:type="dxa"/>
            <w:gridSpan w:val="2"/>
          </w:tcPr>
          <w:p w14:paraId="701B7967" w14:textId="77777777" w:rsidR="00B67D7C" w:rsidRPr="00DE096C" w:rsidRDefault="00B67D7C" w:rsidP="00D45A46">
            <w:pPr>
              <w:jc w:val="both"/>
              <w:rPr>
                <w:bCs/>
                <w:color w:val="002060"/>
                <w:sz w:val="16"/>
                <w:szCs w:val="16"/>
              </w:rPr>
            </w:pPr>
            <w:r w:rsidRPr="00DE096C">
              <w:rPr>
                <w:bCs/>
                <w:color w:val="002060"/>
                <w:sz w:val="16"/>
                <w:szCs w:val="16"/>
              </w:rPr>
              <w:t>Основные летно-тактические характеристики «Триплана» А. А. Безобразова (Другое обозначение «Тримоноплан»)</w:t>
            </w:r>
          </w:p>
        </w:tc>
      </w:tr>
      <w:tr w:rsidR="00B67D7C" w:rsidRPr="00DE096C" w14:paraId="4F5D803F" w14:textId="77777777" w:rsidTr="00C2024A">
        <w:tc>
          <w:tcPr>
            <w:tcW w:w="4680" w:type="dxa"/>
          </w:tcPr>
          <w:p w14:paraId="3D2E2F4F" w14:textId="77777777" w:rsidR="00B67D7C" w:rsidRPr="00DE096C" w:rsidRDefault="00B67D7C" w:rsidP="00D45A46">
            <w:pPr>
              <w:jc w:val="both"/>
              <w:rPr>
                <w:bCs/>
                <w:color w:val="002060"/>
                <w:sz w:val="16"/>
                <w:szCs w:val="16"/>
              </w:rPr>
            </w:pPr>
            <w:r w:rsidRPr="00DE096C">
              <w:rPr>
                <w:bCs/>
                <w:color w:val="002060"/>
                <w:sz w:val="16"/>
                <w:szCs w:val="16"/>
              </w:rPr>
              <w:t>Двигатель</w:t>
            </w:r>
          </w:p>
        </w:tc>
        <w:tc>
          <w:tcPr>
            <w:tcW w:w="4680" w:type="dxa"/>
          </w:tcPr>
          <w:p w14:paraId="2FD9BE12" w14:textId="77777777" w:rsidR="00B67D7C" w:rsidRPr="00DE096C" w:rsidRDefault="00B67D7C" w:rsidP="00D45A46">
            <w:pPr>
              <w:jc w:val="both"/>
              <w:rPr>
                <w:bCs/>
                <w:color w:val="002060"/>
                <w:sz w:val="16"/>
                <w:szCs w:val="16"/>
              </w:rPr>
            </w:pPr>
          </w:p>
        </w:tc>
      </w:tr>
      <w:tr w:rsidR="00B67D7C" w:rsidRPr="00DE096C" w14:paraId="112C0E6E" w14:textId="77777777" w:rsidTr="00C2024A">
        <w:tc>
          <w:tcPr>
            <w:tcW w:w="4680" w:type="dxa"/>
          </w:tcPr>
          <w:p w14:paraId="510DC435" w14:textId="77777777" w:rsidR="00B67D7C" w:rsidRPr="00DE096C" w:rsidRDefault="00B67D7C" w:rsidP="00D45A46">
            <w:pPr>
              <w:jc w:val="both"/>
              <w:rPr>
                <w:bCs/>
                <w:color w:val="002060"/>
                <w:sz w:val="16"/>
                <w:szCs w:val="16"/>
              </w:rPr>
            </w:pPr>
            <w:r w:rsidRPr="00DE096C">
              <w:rPr>
                <w:bCs/>
                <w:color w:val="002060"/>
                <w:sz w:val="16"/>
                <w:szCs w:val="16"/>
              </w:rPr>
              <w:t>Мощность максимальная, л. с.</w:t>
            </w:r>
          </w:p>
        </w:tc>
        <w:tc>
          <w:tcPr>
            <w:tcW w:w="4680" w:type="dxa"/>
          </w:tcPr>
          <w:p w14:paraId="182CFE7F" w14:textId="77777777" w:rsidR="00B67D7C" w:rsidRPr="00DE096C" w:rsidRDefault="00B67D7C" w:rsidP="00D45A46">
            <w:pPr>
              <w:jc w:val="both"/>
              <w:rPr>
                <w:bCs/>
                <w:color w:val="002060"/>
                <w:sz w:val="16"/>
                <w:szCs w:val="16"/>
              </w:rPr>
            </w:pPr>
            <w:r w:rsidRPr="00DE096C">
              <w:rPr>
                <w:bCs/>
                <w:color w:val="002060"/>
                <w:sz w:val="16"/>
                <w:szCs w:val="16"/>
              </w:rPr>
              <w:t>80</w:t>
            </w:r>
          </w:p>
        </w:tc>
      </w:tr>
      <w:tr w:rsidR="00B67D7C" w:rsidRPr="00DE096C" w14:paraId="71AC7E56" w14:textId="77777777" w:rsidTr="00C2024A">
        <w:tc>
          <w:tcPr>
            <w:tcW w:w="4680" w:type="dxa"/>
          </w:tcPr>
          <w:p w14:paraId="62323F97" w14:textId="77777777" w:rsidR="00B67D7C" w:rsidRPr="00DE096C" w:rsidRDefault="00B67D7C" w:rsidP="00D45A46">
            <w:pPr>
              <w:jc w:val="both"/>
              <w:rPr>
                <w:bCs/>
                <w:color w:val="002060"/>
                <w:sz w:val="16"/>
                <w:szCs w:val="16"/>
              </w:rPr>
            </w:pPr>
            <w:r w:rsidRPr="00DE096C">
              <w:rPr>
                <w:bCs/>
                <w:color w:val="002060"/>
                <w:sz w:val="16"/>
                <w:szCs w:val="16"/>
              </w:rPr>
              <w:t>Скорость максимальная, км/ч</w:t>
            </w:r>
          </w:p>
        </w:tc>
        <w:tc>
          <w:tcPr>
            <w:tcW w:w="4680" w:type="dxa"/>
          </w:tcPr>
          <w:p w14:paraId="3CBE7573" w14:textId="77777777" w:rsidR="00B67D7C" w:rsidRPr="00DE096C" w:rsidRDefault="00B67D7C" w:rsidP="00D45A46">
            <w:pPr>
              <w:jc w:val="both"/>
              <w:rPr>
                <w:bCs/>
                <w:color w:val="002060"/>
                <w:sz w:val="16"/>
                <w:szCs w:val="16"/>
              </w:rPr>
            </w:pPr>
            <w:r w:rsidRPr="00DE096C">
              <w:rPr>
                <w:bCs/>
                <w:color w:val="002060"/>
                <w:sz w:val="16"/>
                <w:szCs w:val="16"/>
              </w:rPr>
              <w:t>100</w:t>
            </w:r>
          </w:p>
        </w:tc>
      </w:tr>
      <w:tr w:rsidR="00B67D7C" w:rsidRPr="00DE096C" w14:paraId="43E1DABB" w14:textId="77777777" w:rsidTr="00C2024A">
        <w:tc>
          <w:tcPr>
            <w:tcW w:w="4680" w:type="dxa"/>
          </w:tcPr>
          <w:p w14:paraId="0177A6FA" w14:textId="77777777" w:rsidR="00B67D7C" w:rsidRPr="00DE096C" w:rsidRDefault="00B67D7C" w:rsidP="00D45A46">
            <w:pPr>
              <w:jc w:val="both"/>
              <w:rPr>
                <w:bCs/>
                <w:color w:val="002060"/>
                <w:sz w:val="16"/>
                <w:szCs w:val="16"/>
              </w:rPr>
            </w:pPr>
            <w:r w:rsidRPr="00DE096C">
              <w:rPr>
                <w:bCs/>
                <w:color w:val="002060"/>
                <w:sz w:val="16"/>
                <w:szCs w:val="16"/>
              </w:rPr>
              <w:t>Потолок практический, м</w:t>
            </w:r>
          </w:p>
        </w:tc>
        <w:tc>
          <w:tcPr>
            <w:tcW w:w="4680" w:type="dxa"/>
          </w:tcPr>
          <w:p w14:paraId="664D7080" w14:textId="77777777" w:rsidR="00B67D7C" w:rsidRPr="00DE096C" w:rsidRDefault="00B67D7C" w:rsidP="00D45A46">
            <w:pPr>
              <w:jc w:val="both"/>
              <w:rPr>
                <w:bCs/>
                <w:color w:val="002060"/>
                <w:sz w:val="16"/>
                <w:szCs w:val="16"/>
              </w:rPr>
            </w:pPr>
            <w:r w:rsidRPr="00DE096C">
              <w:rPr>
                <w:bCs/>
                <w:color w:val="002060"/>
                <w:sz w:val="16"/>
                <w:szCs w:val="16"/>
              </w:rPr>
              <w:t>2000</w:t>
            </w:r>
          </w:p>
        </w:tc>
      </w:tr>
      <w:tr w:rsidR="00B67D7C" w:rsidRPr="00DE096C" w14:paraId="5737E3A4" w14:textId="77777777" w:rsidTr="00C2024A">
        <w:tc>
          <w:tcPr>
            <w:tcW w:w="4680" w:type="dxa"/>
          </w:tcPr>
          <w:p w14:paraId="4A912361" w14:textId="77777777" w:rsidR="00B67D7C" w:rsidRPr="00DE096C" w:rsidRDefault="00B67D7C" w:rsidP="00D45A46">
            <w:pPr>
              <w:jc w:val="both"/>
              <w:rPr>
                <w:bCs/>
                <w:color w:val="002060"/>
                <w:sz w:val="16"/>
                <w:szCs w:val="16"/>
              </w:rPr>
            </w:pPr>
            <w:r w:rsidRPr="00DE096C">
              <w:rPr>
                <w:bCs/>
                <w:color w:val="002060"/>
                <w:sz w:val="16"/>
                <w:szCs w:val="16"/>
              </w:rPr>
              <w:t>Продолжительность полета, ч</w:t>
            </w:r>
          </w:p>
        </w:tc>
        <w:tc>
          <w:tcPr>
            <w:tcW w:w="4680" w:type="dxa"/>
          </w:tcPr>
          <w:p w14:paraId="3D072C36" w14:textId="77777777" w:rsidR="00B67D7C" w:rsidRPr="00DE096C" w:rsidRDefault="00B67D7C" w:rsidP="00D45A46">
            <w:pPr>
              <w:jc w:val="both"/>
              <w:rPr>
                <w:bCs/>
                <w:color w:val="002060"/>
                <w:sz w:val="16"/>
                <w:szCs w:val="16"/>
              </w:rPr>
            </w:pPr>
            <w:r w:rsidRPr="00DE096C">
              <w:rPr>
                <w:bCs/>
                <w:color w:val="002060"/>
                <w:sz w:val="16"/>
                <w:szCs w:val="16"/>
              </w:rPr>
              <w:t>2</w:t>
            </w:r>
          </w:p>
        </w:tc>
      </w:tr>
      <w:tr w:rsidR="00B67D7C" w:rsidRPr="00DE096C" w14:paraId="3F2A3C53" w14:textId="77777777" w:rsidTr="00C2024A">
        <w:tc>
          <w:tcPr>
            <w:tcW w:w="4680" w:type="dxa"/>
          </w:tcPr>
          <w:p w14:paraId="1624E41F" w14:textId="77777777" w:rsidR="00B67D7C" w:rsidRPr="00DE096C" w:rsidRDefault="00B67D7C" w:rsidP="00D45A46">
            <w:pPr>
              <w:jc w:val="both"/>
              <w:rPr>
                <w:bCs/>
                <w:color w:val="002060"/>
                <w:sz w:val="16"/>
                <w:szCs w:val="16"/>
              </w:rPr>
            </w:pPr>
            <w:r w:rsidRPr="00DE096C">
              <w:rPr>
                <w:bCs/>
                <w:color w:val="002060"/>
                <w:sz w:val="16"/>
                <w:szCs w:val="16"/>
              </w:rPr>
              <w:t>Площадь крыльев, м</w:t>
            </w:r>
            <w:r w:rsidRPr="00DE096C">
              <w:rPr>
                <w:bCs/>
                <w:color w:val="002060"/>
                <w:sz w:val="16"/>
                <w:szCs w:val="16"/>
                <w:vertAlign w:val="superscript"/>
              </w:rPr>
              <w:t>2</w:t>
            </w:r>
          </w:p>
        </w:tc>
        <w:tc>
          <w:tcPr>
            <w:tcW w:w="4680" w:type="dxa"/>
          </w:tcPr>
          <w:p w14:paraId="20502F10" w14:textId="77777777" w:rsidR="00B67D7C" w:rsidRPr="00DE096C" w:rsidRDefault="00B67D7C" w:rsidP="00D45A46">
            <w:pPr>
              <w:jc w:val="both"/>
              <w:rPr>
                <w:bCs/>
                <w:color w:val="002060"/>
                <w:sz w:val="16"/>
                <w:szCs w:val="16"/>
              </w:rPr>
            </w:pPr>
            <w:r w:rsidRPr="00DE096C">
              <w:rPr>
                <w:bCs/>
                <w:color w:val="002060"/>
                <w:sz w:val="16"/>
                <w:szCs w:val="16"/>
              </w:rPr>
              <w:t>17</w:t>
            </w:r>
          </w:p>
        </w:tc>
      </w:tr>
      <w:tr w:rsidR="00B67D7C" w:rsidRPr="00DE096C" w14:paraId="3F62F470" w14:textId="77777777" w:rsidTr="00C2024A">
        <w:tc>
          <w:tcPr>
            <w:tcW w:w="4680" w:type="dxa"/>
          </w:tcPr>
          <w:p w14:paraId="525908E1" w14:textId="77777777" w:rsidR="00B67D7C" w:rsidRPr="00DE096C" w:rsidRDefault="00B67D7C" w:rsidP="00D45A46">
            <w:pPr>
              <w:jc w:val="both"/>
              <w:rPr>
                <w:bCs/>
                <w:color w:val="002060"/>
                <w:sz w:val="16"/>
                <w:szCs w:val="16"/>
              </w:rPr>
            </w:pPr>
            <w:r w:rsidRPr="00DE096C">
              <w:rPr>
                <w:bCs/>
                <w:color w:val="002060"/>
                <w:sz w:val="16"/>
                <w:szCs w:val="16"/>
              </w:rPr>
              <w:t>Взлетный вес, кг</w:t>
            </w:r>
          </w:p>
        </w:tc>
        <w:tc>
          <w:tcPr>
            <w:tcW w:w="4680" w:type="dxa"/>
          </w:tcPr>
          <w:p w14:paraId="3CB67994" w14:textId="77777777" w:rsidR="00B67D7C" w:rsidRPr="00DE096C" w:rsidRDefault="00B67D7C" w:rsidP="00D45A46">
            <w:pPr>
              <w:jc w:val="both"/>
              <w:rPr>
                <w:bCs/>
                <w:color w:val="002060"/>
                <w:sz w:val="16"/>
                <w:szCs w:val="16"/>
              </w:rPr>
            </w:pPr>
            <w:r w:rsidRPr="00DE096C">
              <w:rPr>
                <w:bCs/>
                <w:color w:val="002060"/>
                <w:sz w:val="16"/>
                <w:szCs w:val="16"/>
              </w:rPr>
              <w:t>547</w:t>
            </w:r>
          </w:p>
        </w:tc>
      </w:tr>
      <w:tr w:rsidR="00B67D7C" w:rsidRPr="00DE096C" w14:paraId="78B81C86" w14:textId="77777777" w:rsidTr="00C2024A">
        <w:tc>
          <w:tcPr>
            <w:tcW w:w="4680" w:type="dxa"/>
          </w:tcPr>
          <w:p w14:paraId="52484613" w14:textId="77777777" w:rsidR="00B67D7C" w:rsidRPr="00DE096C" w:rsidRDefault="00B67D7C" w:rsidP="00D45A46">
            <w:pPr>
              <w:jc w:val="both"/>
              <w:rPr>
                <w:bCs/>
                <w:color w:val="002060"/>
                <w:sz w:val="16"/>
                <w:szCs w:val="16"/>
              </w:rPr>
            </w:pPr>
            <w:r w:rsidRPr="00DE096C">
              <w:rPr>
                <w:bCs/>
                <w:color w:val="002060"/>
                <w:sz w:val="16"/>
                <w:szCs w:val="16"/>
              </w:rPr>
              <w:t>Вес пустого самолета, кг</w:t>
            </w:r>
          </w:p>
        </w:tc>
        <w:tc>
          <w:tcPr>
            <w:tcW w:w="4680" w:type="dxa"/>
          </w:tcPr>
          <w:p w14:paraId="39B53B7E" w14:textId="77777777" w:rsidR="00B67D7C" w:rsidRPr="00DE096C" w:rsidRDefault="00B67D7C" w:rsidP="00D45A46">
            <w:pPr>
              <w:jc w:val="both"/>
              <w:rPr>
                <w:bCs/>
                <w:color w:val="002060"/>
                <w:sz w:val="16"/>
                <w:szCs w:val="16"/>
              </w:rPr>
            </w:pPr>
            <w:r w:rsidRPr="00DE096C">
              <w:rPr>
                <w:bCs/>
                <w:color w:val="002060"/>
                <w:sz w:val="16"/>
                <w:szCs w:val="16"/>
              </w:rPr>
              <w:t>388</w:t>
            </w:r>
          </w:p>
        </w:tc>
      </w:tr>
      <w:tr w:rsidR="00B67D7C" w:rsidRPr="00DE096C" w14:paraId="2272924A" w14:textId="77777777" w:rsidTr="00C2024A">
        <w:tc>
          <w:tcPr>
            <w:tcW w:w="4680" w:type="dxa"/>
          </w:tcPr>
          <w:p w14:paraId="4A2B3305" w14:textId="77777777" w:rsidR="00B67D7C" w:rsidRPr="00DE096C" w:rsidRDefault="00B67D7C" w:rsidP="00D45A46">
            <w:pPr>
              <w:jc w:val="both"/>
              <w:rPr>
                <w:bCs/>
                <w:color w:val="002060"/>
                <w:sz w:val="16"/>
                <w:szCs w:val="16"/>
              </w:rPr>
            </w:pPr>
            <w:r w:rsidRPr="00DE096C">
              <w:rPr>
                <w:bCs/>
                <w:color w:val="002060"/>
                <w:sz w:val="16"/>
                <w:szCs w:val="16"/>
              </w:rPr>
              <w:t>Запас топлива, кг</w:t>
            </w:r>
          </w:p>
        </w:tc>
        <w:tc>
          <w:tcPr>
            <w:tcW w:w="4680" w:type="dxa"/>
          </w:tcPr>
          <w:p w14:paraId="765127D8" w14:textId="77777777" w:rsidR="00B67D7C" w:rsidRPr="00DE096C" w:rsidRDefault="00B67D7C" w:rsidP="00D45A46">
            <w:pPr>
              <w:jc w:val="both"/>
              <w:rPr>
                <w:bCs/>
                <w:color w:val="002060"/>
                <w:sz w:val="16"/>
                <w:szCs w:val="16"/>
              </w:rPr>
            </w:pPr>
            <w:r w:rsidRPr="00DE096C">
              <w:rPr>
                <w:bCs/>
                <w:color w:val="002060"/>
                <w:sz w:val="16"/>
                <w:szCs w:val="16"/>
              </w:rPr>
              <w:t>70</w:t>
            </w:r>
          </w:p>
        </w:tc>
      </w:tr>
      <w:tr w:rsidR="00B67D7C" w:rsidRPr="00DE096C" w14:paraId="5E91270F" w14:textId="77777777" w:rsidTr="00C2024A">
        <w:tc>
          <w:tcPr>
            <w:tcW w:w="4680" w:type="dxa"/>
          </w:tcPr>
          <w:p w14:paraId="2062EE70" w14:textId="77777777" w:rsidR="00B67D7C" w:rsidRPr="00DE096C" w:rsidRDefault="00B67D7C" w:rsidP="00D45A46">
            <w:pPr>
              <w:jc w:val="both"/>
              <w:rPr>
                <w:bCs/>
                <w:color w:val="002060"/>
                <w:sz w:val="16"/>
                <w:szCs w:val="16"/>
              </w:rPr>
            </w:pPr>
            <w:r w:rsidRPr="00DE096C">
              <w:rPr>
                <w:bCs/>
                <w:color w:val="002060"/>
                <w:sz w:val="16"/>
                <w:szCs w:val="16"/>
              </w:rPr>
              <w:t>Удельная нагрузка на крылья, кг/м</w:t>
            </w:r>
            <w:r w:rsidRPr="00DE096C">
              <w:rPr>
                <w:bCs/>
                <w:color w:val="002060"/>
                <w:sz w:val="16"/>
                <w:szCs w:val="16"/>
                <w:vertAlign w:val="superscript"/>
              </w:rPr>
              <w:t xml:space="preserve">2 </w:t>
            </w:r>
          </w:p>
        </w:tc>
        <w:tc>
          <w:tcPr>
            <w:tcW w:w="4680" w:type="dxa"/>
          </w:tcPr>
          <w:p w14:paraId="0E61F217" w14:textId="77777777" w:rsidR="00B67D7C" w:rsidRPr="00DE096C" w:rsidRDefault="00B67D7C" w:rsidP="00D45A46">
            <w:pPr>
              <w:jc w:val="both"/>
              <w:rPr>
                <w:bCs/>
                <w:color w:val="002060"/>
                <w:sz w:val="16"/>
                <w:szCs w:val="16"/>
              </w:rPr>
            </w:pPr>
            <w:r w:rsidRPr="00DE096C">
              <w:rPr>
                <w:bCs/>
                <w:color w:val="002060"/>
                <w:sz w:val="16"/>
                <w:szCs w:val="16"/>
              </w:rPr>
              <w:t>32,2</w:t>
            </w:r>
          </w:p>
        </w:tc>
      </w:tr>
      <w:tr w:rsidR="00B67D7C" w:rsidRPr="00DE096C" w14:paraId="0A59119F" w14:textId="77777777" w:rsidTr="00C2024A">
        <w:tc>
          <w:tcPr>
            <w:tcW w:w="4680" w:type="dxa"/>
          </w:tcPr>
          <w:p w14:paraId="019447F7" w14:textId="77777777" w:rsidR="00B67D7C" w:rsidRPr="00DE096C" w:rsidRDefault="00B67D7C" w:rsidP="00D45A46">
            <w:pPr>
              <w:jc w:val="both"/>
              <w:rPr>
                <w:bCs/>
                <w:color w:val="002060"/>
                <w:sz w:val="16"/>
                <w:szCs w:val="16"/>
              </w:rPr>
            </w:pPr>
            <w:r w:rsidRPr="00DE096C">
              <w:rPr>
                <w:bCs/>
                <w:color w:val="002060"/>
                <w:sz w:val="16"/>
                <w:szCs w:val="16"/>
              </w:rPr>
              <w:t>Удельная нагрузка на мощность, кг/л. с.</w:t>
            </w:r>
          </w:p>
        </w:tc>
        <w:tc>
          <w:tcPr>
            <w:tcW w:w="4680" w:type="dxa"/>
          </w:tcPr>
          <w:p w14:paraId="30997638" w14:textId="77777777" w:rsidR="00B67D7C" w:rsidRPr="00DE096C" w:rsidRDefault="00B67D7C" w:rsidP="00D45A46">
            <w:pPr>
              <w:jc w:val="both"/>
              <w:rPr>
                <w:bCs/>
                <w:color w:val="002060"/>
                <w:sz w:val="16"/>
                <w:szCs w:val="16"/>
              </w:rPr>
            </w:pPr>
            <w:r w:rsidRPr="00DE096C">
              <w:rPr>
                <w:bCs/>
                <w:color w:val="002060"/>
                <w:sz w:val="16"/>
                <w:szCs w:val="16"/>
              </w:rPr>
              <w:t>6,85</w:t>
            </w:r>
          </w:p>
        </w:tc>
      </w:tr>
      <w:tr w:rsidR="00B67D7C" w:rsidRPr="00DE096C" w14:paraId="64DCD225" w14:textId="77777777" w:rsidTr="00C2024A">
        <w:tc>
          <w:tcPr>
            <w:tcW w:w="4680" w:type="dxa"/>
          </w:tcPr>
          <w:p w14:paraId="1605C67C" w14:textId="77777777" w:rsidR="00B67D7C" w:rsidRPr="00DE096C" w:rsidRDefault="00B67D7C" w:rsidP="00D45A46">
            <w:pPr>
              <w:jc w:val="both"/>
              <w:rPr>
                <w:bCs/>
                <w:color w:val="002060"/>
                <w:sz w:val="16"/>
                <w:szCs w:val="16"/>
              </w:rPr>
            </w:pPr>
            <w:r w:rsidRPr="00DE096C">
              <w:rPr>
                <w:bCs/>
                <w:color w:val="002060"/>
                <w:sz w:val="16"/>
                <w:szCs w:val="16"/>
              </w:rPr>
              <w:t>Весовая отдача, %</w:t>
            </w:r>
          </w:p>
        </w:tc>
        <w:tc>
          <w:tcPr>
            <w:tcW w:w="4680" w:type="dxa"/>
          </w:tcPr>
          <w:p w14:paraId="769C4A57" w14:textId="77777777" w:rsidR="00B67D7C" w:rsidRPr="00DE096C" w:rsidRDefault="00B67D7C" w:rsidP="00D45A46">
            <w:pPr>
              <w:jc w:val="both"/>
              <w:rPr>
                <w:bCs/>
                <w:color w:val="002060"/>
                <w:sz w:val="16"/>
                <w:szCs w:val="16"/>
              </w:rPr>
            </w:pPr>
            <w:r w:rsidRPr="00DE096C">
              <w:rPr>
                <w:bCs/>
                <w:color w:val="002060"/>
                <w:sz w:val="16"/>
                <w:szCs w:val="16"/>
              </w:rPr>
              <w:t>29,1</w:t>
            </w:r>
          </w:p>
        </w:tc>
      </w:tr>
    </w:tbl>
    <w:p w14:paraId="0676B248" w14:textId="77777777" w:rsidR="00B67D7C" w:rsidRPr="00DE096C" w:rsidRDefault="00B67D7C" w:rsidP="00D45A46">
      <w:pPr>
        <w:jc w:val="both"/>
        <w:rPr>
          <w:bCs/>
          <w:color w:val="002060"/>
          <w:sz w:val="16"/>
          <w:szCs w:val="16"/>
        </w:rPr>
      </w:pPr>
      <w:r w:rsidRPr="00DE096C">
        <w:rPr>
          <w:bCs/>
          <w:color w:val="002060"/>
          <w:sz w:val="16"/>
          <w:szCs w:val="16"/>
        </w:rPr>
        <w:t>Постройка аэроплана была закончена к октябрю 1914 года, через месяц после начала боевых действий на фронте. Безобразов видел в своем творении одноместный истребитель. Его сотоварищ такого мнения не разделял, полагая, что их птеродактиль интересен как чисто экспериментальный летательный аппарат. Первый полет, к изумлению многих авиаторов, Ф. Моска произвел весьма успешно, не делая никаких предварительных пробежек и подлетов. На аэродроме поднялся сильный ветер, когда пилот выруливал от места стоянки, чтобы побегать по травке туда-сюда. Почувствовав, что машина сама просится в небо, летчик дал газ и аэроплан легко, словно бабочка, вспорхнул вверх метров на 50—70. Совершив три устойчивых виража на высоте 200—250 м вокруг места старта, Моска приземлился. Цветов и музыки не было - никто не ожидал в этот день, что эта «паутина» полетит.</w:t>
      </w:r>
    </w:p>
    <w:p w14:paraId="12A229A8" w14:textId="77777777" w:rsidR="00B67D7C" w:rsidRPr="00DE096C" w:rsidRDefault="00B67D7C" w:rsidP="00D45A46">
      <w:pPr>
        <w:jc w:val="both"/>
        <w:rPr>
          <w:bCs/>
          <w:color w:val="002060"/>
          <w:sz w:val="16"/>
          <w:szCs w:val="16"/>
        </w:rPr>
      </w:pPr>
      <w:r w:rsidRPr="00DE096C">
        <w:rPr>
          <w:bCs/>
          <w:color w:val="002060"/>
          <w:sz w:val="16"/>
          <w:szCs w:val="16"/>
        </w:rPr>
        <w:t>Столь знаменательному событию А. А. Безобразов порадоваться не мог, поскольку в первых числах сентября он был уже на фронте как кадровый офицер. Вернуться к делам ему пришлось только в декабре 1914 года. После тяжелого ранения он длительное время пролежал в госпитале. Его «тримоноплан» в эту пору был переброшен в Крым (поближе к летной погоде), где в Севастопольской авиационной школе Ф. Моска продолжал его испытания и доводку. А. А. Безобразов прибыл в Крым в январе 1915 года и уже без Моски на протяжении всего 1915 года продолжал переделки и усовершенствования аппарата, пока в июне следующего года вновь не прибыл в Москву. 6 августа 1916 года летчик И. А. Орлов потерпел аварию при попытке взлета. Из-за поломки колесной оси аэроплан клюнул носом и перевернулся на спину. Ремонт «триплана» был закончен к марту 1917 года. Дальнейшие опыты с аэропланом были приостановлены. Установка и тип оружия на гипотетическом истребителе А. А. Безобразова не известны (11918).</w:t>
      </w:r>
    </w:p>
    <w:p w14:paraId="7224E007" w14:textId="77777777" w:rsidR="00B67D7C" w:rsidRPr="00DE096C" w:rsidRDefault="00B67D7C" w:rsidP="00D45A46">
      <w:pPr>
        <w:jc w:val="both"/>
        <w:rPr>
          <w:bCs/>
          <w:color w:val="002060"/>
          <w:sz w:val="16"/>
          <w:szCs w:val="16"/>
        </w:rPr>
      </w:pPr>
    </w:p>
    <w:p w14:paraId="6FD0F6C0" w14:textId="2E2E9ACF" w:rsidR="00E2202D" w:rsidRPr="00DE096C" w:rsidRDefault="00E2202D" w:rsidP="00D45A46">
      <w:pPr>
        <w:jc w:val="both"/>
        <w:rPr>
          <w:bCs/>
          <w:i/>
          <w:color w:val="002060"/>
          <w:sz w:val="16"/>
          <w:szCs w:val="16"/>
        </w:rPr>
      </w:pPr>
      <w:r w:rsidRPr="00DE096C">
        <w:rPr>
          <w:bCs/>
          <w:i/>
          <w:color w:val="002060"/>
          <w:sz w:val="16"/>
          <w:szCs w:val="16"/>
        </w:rPr>
        <w:t>Аэростатостроение:</w:t>
      </w:r>
    </w:p>
    <w:p w14:paraId="477ED70F" w14:textId="77777777" w:rsidR="00E2202D" w:rsidRPr="00DE096C" w:rsidRDefault="00E2202D" w:rsidP="00D45A46">
      <w:pPr>
        <w:jc w:val="both"/>
        <w:rPr>
          <w:bCs/>
          <w:i/>
          <w:color w:val="002060"/>
          <w:sz w:val="16"/>
          <w:szCs w:val="16"/>
        </w:rPr>
      </w:pPr>
    </w:p>
    <w:p w14:paraId="680D3D5A" w14:textId="77777777" w:rsidR="00E2202D" w:rsidRPr="00DE096C" w:rsidRDefault="00E2202D" w:rsidP="00D45A46">
      <w:pPr>
        <w:jc w:val="both"/>
        <w:rPr>
          <w:bCs/>
          <w:color w:val="002060"/>
          <w:sz w:val="16"/>
          <w:szCs w:val="16"/>
        </w:rPr>
      </w:pPr>
      <w:r w:rsidRPr="00DE096C">
        <w:rPr>
          <w:bCs/>
          <w:color w:val="002060"/>
          <w:sz w:val="16"/>
          <w:szCs w:val="16"/>
          <w:lang w:bidi="en-US"/>
        </w:rPr>
        <w:t xml:space="preserve">В </w:t>
      </w:r>
      <w:r w:rsidRPr="00DE096C">
        <w:rPr>
          <w:bCs/>
          <w:color w:val="002060"/>
          <w:sz w:val="16"/>
          <w:szCs w:val="16"/>
        </w:rPr>
        <w:t>феврале 1914 года Ижорский завод достраивал нежесткий дирижабль «Кондор» (23525).</w:t>
      </w:r>
    </w:p>
    <w:p w14:paraId="5EF79CE8" w14:textId="77777777" w:rsidR="00E2202D" w:rsidRPr="00DE096C" w:rsidRDefault="00E2202D" w:rsidP="00D45A46">
      <w:pPr>
        <w:jc w:val="both"/>
        <w:rPr>
          <w:bCs/>
          <w:color w:val="002060"/>
          <w:sz w:val="16"/>
          <w:szCs w:val="16"/>
        </w:rPr>
      </w:pPr>
      <w:r w:rsidRPr="00DE096C">
        <w:rPr>
          <w:bCs/>
          <w:color w:val="002060"/>
          <w:sz w:val="16"/>
          <w:szCs w:val="16"/>
        </w:rPr>
        <w:t>В 1916-1917 годах экспериментировали с идеями создания бомбардировщиков, но из них ничего не вышло. Планы создания жесткого дирижабля под названием «Воздушный крейзер» так и не были реализованы. Ижорский завод, возможно, производил некоторые двигатели для морской авиации, в 1916 году — «Испано-Сюиза», в 1918 году — двигатели «Либерти» (23625).</w:t>
      </w:r>
    </w:p>
    <w:p w14:paraId="5C4B49BF" w14:textId="77777777" w:rsidR="00E2202D" w:rsidRPr="00DE096C" w:rsidRDefault="00E2202D" w:rsidP="00D45A46">
      <w:pPr>
        <w:jc w:val="both"/>
        <w:rPr>
          <w:bCs/>
          <w:color w:val="002060"/>
          <w:sz w:val="16"/>
          <w:szCs w:val="16"/>
        </w:rPr>
      </w:pPr>
    </w:p>
    <w:p w14:paraId="4F58F994" w14:textId="77777777" w:rsidR="00E2202D" w:rsidRPr="00DE096C" w:rsidRDefault="00E2202D" w:rsidP="00D45A46">
      <w:pPr>
        <w:jc w:val="both"/>
        <w:rPr>
          <w:bCs/>
          <w:color w:val="002060"/>
          <w:sz w:val="16"/>
          <w:szCs w:val="16"/>
        </w:rPr>
      </w:pPr>
      <w:r w:rsidRPr="00DE096C">
        <w:rPr>
          <w:bCs/>
          <w:color w:val="002060"/>
          <w:sz w:val="16"/>
          <w:szCs w:val="16"/>
          <w:lang w:bidi="en-US"/>
        </w:rPr>
        <w:t>Считается, что в феврале 1914 г. Россия разместила во Франции заказ на один дирижабль типа «Астра-Торрес» (23 000 м), но сомнительно, что он когда-либо был доставлен. Другой заказ был сделан на дирижабль «</w:t>
      </w:r>
      <w:r w:rsidRPr="00DE096C">
        <w:rPr>
          <w:bCs/>
          <w:color w:val="002060"/>
          <w:sz w:val="16"/>
          <w:szCs w:val="16"/>
          <w:lang w:val="en-US" w:bidi="en-US"/>
        </w:rPr>
        <w:t>Clement</w:t>
      </w:r>
      <w:r w:rsidRPr="00DE096C">
        <w:rPr>
          <w:bCs/>
          <w:color w:val="002060"/>
          <w:sz w:val="16"/>
          <w:szCs w:val="16"/>
          <w:lang w:bidi="en-US"/>
        </w:rPr>
        <w:t>-</w:t>
      </w:r>
      <w:r w:rsidRPr="00DE096C">
        <w:rPr>
          <w:bCs/>
          <w:color w:val="002060"/>
          <w:sz w:val="16"/>
          <w:szCs w:val="16"/>
          <w:lang w:val="en-US" w:bidi="en-US"/>
        </w:rPr>
        <w:t>Bayard</w:t>
      </w:r>
      <w:r w:rsidRPr="00DE096C">
        <w:rPr>
          <w:bCs/>
          <w:color w:val="002060"/>
          <w:sz w:val="16"/>
          <w:szCs w:val="16"/>
          <w:lang w:bidi="en-US"/>
        </w:rPr>
        <w:t xml:space="preserve"> </w:t>
      </w:r>
      <w:r w:rsidRPr="00DE096C">
        <w:rPr>
          <w:bCs/>
          <w:color w:val="002060"/>
          <w:sz w:val="16"/>
          <w:szCs w:val="16"/>
          <w:lang w:val="en-US" w:bidi="en-US"/>
        </w:rPr>
        <w:t>CB</w:t>
      </w:r>
      <w:r w:rsidRPr="00DE096C">
        <w:rPr>
          <w:bCs/>
          <w:color w:val="002060"/>
          <w:sz w:val="16"/>
          <w:szCs w:val="16"/>
          <w:lang w:bidi="en-US"/>
        </w:rPr>
        <w:t>.</w:t>
      </w:r>
      <w:r w:rsidRPr="00DE096C">
        <w:rPr>
          <w:bCs/>
          <w:color w:val="002060"/>
          <w:sz w:val="16"/>
          <w:szCs w:val="16"/>
          <w:lang w:val="en-US" w:bidi="en-US"/>
        </w:rPr>
        <w:t>VI</w:t>
      </w:r>
      <w:r w:rsidRPr="00DE096C">
        <w:rPr>
          <w:bCs/>
          <w:color w:val="002060"/>
          <w:sz w:val="16"/>
          <w:szCs w:val="16"/>
          <w:lang w:bidi="en-US"/>
        </w:rPr>
        <w:t xml:space="preserve">» (10 000 м </w:t>
      </w:r>
      <w:r w:rsidRPr="00DE096C">
        <w:rPr>
          <w:bCs/>
          <w:color w:val="002060"/>
          <w:sz w:val="16"/>
          <w:szCs w:val="16"/>
          <w:vertAlign w:val="superscript"/>
          <w:lang w:bidi="en-US"/>
        </w:rPr>
        <w:t xml:space="preserve">3 </w:t>
      </w:r>
      <w:r w:rsidRPr="00DE096C">
        <w:rPr>
          <w:bCs/>
          <w:color w:val="002060"/>
          <w:sz w:val="16"/>
          <w:szCs w:val="16"/>
          <w:lang w:bidi="en-US"/>
        </w:rPr>
        <w:t>), который, возможно, был поставлен в 1914 году, но о его службе в военное время ничего не известно.</w:t>
      </w:r>
    </w:p>
    <w:p w14:paraId="236B90C3" w14:textId="77777777" w:rsidR="00E2202D" w:rsidRPr="00DE096C" w:rsidRDefault="00E2202D" w:rsidP="00D45A46">
      <w:pPr>
        <w:jc w:val="both"/>
        <w:rPr>
          <w:bCs/>
          <w:color w:val="002060"/>
          <w:sz w:val="16"/>
          <w:szCs w:val="16"/>
          <w:lang w:bidi="ru-RU"/>
        </w:rPr>
      </w:pPr>
    </w:p>
    <w:p w14:paraId="0BB3701F" w14:textId="3E97254D" w:rsidR="00575BAA" w:rsidRPr="00DE096C" w:rsidRDefault="00575BAA" w:rsidP="00D45A46">
      <w:pPr>
        <w:jc w:val="both"/>
        <w:rPr>
          <w:bCs/>
          <w:i/>
          <w:color w:val="002060"/>
          <w:sz w:val="16"/>
          <w:szCs w:val="16"/>
        </w:rPr>
      </w:pPr>
      <w:r w:rsidRPr="00DE096C">
        <w:rPr>
          <w:bCs/>
          <w:i/>
          <w:color w:val="002060"/>
          <w:sz w:val="16"/>
          <w:szCs w:val="16"/>
        </w:rPr>
        <w:t>Другие оборонные отрасли:</w:t>
      </w:r>
    </w:p>
    <w:p w14:paraId="7DE1073C" w14:textId="77777777" w:rsidR="00575BAA" w:rsidRPr="00DE096C" w:rsidRDefault="00575BAA" w:rsidP="00D45A46">
      <w:pPr>
        <w:jc w:val="both"/>
        <w:rPr>
          <w:bCs/>
          <w:i/>
          <w:color w:val="002060"/>
          <w:sz w:val="16"/>
          <w:szCs w:val="16"/>
        </w:rPr>
      </w:pPr>
    </w:p>
    <w:p w14:paraId="3CDF8EEB" w14:textId="77777777" w:rsidR="00575BAA" w:rsidRPr="00DE096C" w:rsidRDefault="00575BAA" w:rsidP="00D45A46">
      <w:pPr>
        <w:pStyle w:val="p1"/>
        <w:spacing w:before="0" w:beforeAutospacing="0" w:after="0" w:afterAutospacing="0"/>
        <w:jc w:val="both"/>
        <w:rPr>
          <w:bCs/>
          <w:color w:val="002060"/>
          <w:sz w:val="16"/>
          <w:szCs w:val="16"/>
        </w:rPr>
      </w:pPr>
      <w:r w:rsidRPr="00DE096C">
        <w:rPr>
          <w:bCs/>
          <w:color w:val="002060"/>
          <w:sz w:val="16"/>
          <w:szCs w:val="16"/>
        </w:rPr>
        <w:t>В феврале 1914 г. наконец дошло дело и до учреждения в России оптико-механического завода «солидной фирмой», как ставила вопрос еще в 1905 г. комиссия ГАУ. Такой фирмой оказалась французская «Шнейдер и К</w:t>
      </w:r>
      <w:r w:rsidRPr="00DE096C">
        <w:rPr>
          <w:bCs/>
          <w:color w:val="002060"/>
          <w:sz w:val="16"/>
          <w:szCs w:val="16"/>
          <w:vertAlign w:val="superscript"/>
        </w:rPr>
        <w:t>0</w:t>
      </w:r>
      <w:r w:rsidRPr="00DE096C">
        <w:rPr>
          <w:bCs/>
          <w:color w:val="002060"/>
          <w:sz w:val="16"/>
          <w:szCs w:val="16"/>
        </w:rPr>
        <w:t>», основавшая «Российское а. о. оптических и механических производств», причем часть его акций досталась фирме «Барр и Струд» в обмен на право выпускать дальномеры (воспользоваться лицензией петроградской фирме помешало открытие военных действий в 1914 г.). Начало своей деятельности новое общество ознаменовало тем, что переманило в организуемое предприятие из Обуховского завода несколько видных специалистов, включая заведующего оптическим отделом А.Л. Гершуна (ум. 26 мая 1915 г.), Коро и главного вычислителя, а также часть рабочих. Первое время там работали иностранные специалисты, но с началом войны и этот завод лишился «нескольких опытных мастеровых и мастеров завода — германских, австрийских подданных», отправленных в лагеря; среди оставшихся «94% были русские». ГАУ уже 25 августа 1914 г. обратилось в ГУГШ с просьбой вернуть высланных из Риги мастеров и направить на завод Акционерного общества к Гершуну. Без этих специалистов встречается «затруднение в производстве технических выкладок и в точном изготовлении пробных стекол, так как подготовленных русских мастеров не имеется».</w:t>
      </w:r>
    </w:p>
    <w:p w14:paraId="677AAC9A" w14:textId="77777777" w:rsidR="00575BAA" w:rsidRPr="00DE096C" w:rsidRDefault="00575BAA" w:rsidP="00D45A46">
      <w:pPr>
        <w:pStyle w:val="p1"/>
        <w:spacing w:before="0" w:beforeAutospacing="0" w:after="0" w:afterAutospacing="0"/>
        <w:jc w:val="both"/>
        <w:rPr>
          <w:bCs/>
          <w:color w:val="002060"/>
          <w:sz w:val="16"/>
          <w:szCs w:val="16"/>
        </w:rPr>
      </w:pPr>
      <w:r w:rsidRPr="00DE096C">
        <w:rPr>
          <w:bCs/>
          <w:color w:val="002060"/>
          <w:sz w:val="16"/>
          <w:szCs w:val="16"/>
        </w:rPr>
        <w:t>По мнению Королькова, новое Общество, обладавшее значительными средствами, старалось «монополизировать оптическую промышленность, задавив другие мелкие заводы и пытаясь купить оборудование завода Герца». Заводу предстояло перейти к выпуску перископов, прицелов, зрительных труб, морских биноклей, стереотруб (18409).</w:t>
      </w:r>
    </w:p>
    <w:p w14:paraId="683C8AFA" w14:textId="77777777" w:rsidR="00575BAA" w:rsidRPr="00DE096C" w:rsidRDefault="00575BAA" w:rsidP="00D45A46">
      <w:pPr>
        <w:pStyle w:val="p1"/>
        <w:spacing w:before="0" w:beforeAutospacing="0" w:after="0" w:afterAutospacing="0"/>
        <w:jc w:val="both"/>
        <w:rPr>
          <w:bCs/>
          <w:color w:val="002060"/>
          <w:sz w:val="16"/>
          <w:szCs w:val="16"/>
        </w:rPr>
      </w:pPr>
    </w:p>
    <w:p w14:paraId="18CFE361" w14:textId="77777777" w:rsidR="00E2202D" w:rsidRPr="00DE096C" w:rsidRDefault="00E2202D" w:rsidP="00D45A46">
      <w:pPr>
        <w:pStyle w:val="af7"/>
        <w:spacing w:line="240" w:lineRule="auto"/>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В феврале 1914 г. французская «Шнейдер и Ко» осно</w:t>
      </w:r>
      <w:r w:rsidRPr="00DE096C">
        <w:rPr>
          <w:rFonts w:ascii="Times New Roman" w:hAnsi="Times New Roman" w:cs="Times New Roman"/>
          <w:bCs/>
          <w:color w:val="002060"/>
          <w:sz w:val="16"/>
          <w:szCs w:val="16"/>
        </w:rPr>
        <w:softHyphen/>
        <w:t>вала «Российское а. о. оптических и механических производств», причем часть его акций досталась фирме «Барр и Струд» в обмен на право выпускать дальномеры (воспользоваться лицензией петроградской фирме помеша</w:t>
      </w:r>
      <w:r w:rsidRPr="00DE096C">
        <w:rPr>
          <w:rFonts w:ascii="Times New Roman" w:hAnsi="Times New Roman" w:cs="Times New Roman"/>
          <w:bCs/>
          <w:color w:val="002060"/>
          <w:sz w:val="16"/>
          <w:szCs w:val="16"/>
        </w:rPr>
        <w:softHyphen/>
        <w:t xml:space="preserve">ло открытие военных действий в 1914 г.) (РГВИА. Ф. 369. </w:t>
      </w:r>
      <w:r w:rsidRPr="00DE096C">
        <w:rPr>
          <w:rFonts w:ascii="Times New Roman" w:hAnsi="Times New Roman" w:cs="Times New Roman"/>
          <w:bCs/>
          <w:color w:val="002060"/>
          <w:sz w:val="16"/>
          <w:szCs w:val="16"/>
          <w:lang w:val="en-US" w:bidi="en-US"/>
        </w:rPr>
        <w:t>On</w:t>
      </w:r>
      <w:r w:rsidRPr="00DE096C">
        <w:rPr>
          <w:rFonts w:ascii="Times New Roman" w:hAnsi="Times New Roman" w:cs="Times New Roman"/>
          <w:bCs/>
          <w:color w:val="002060"/>
          <w:sz w:val="16"/>
          <w:szCs w:val="16"/>
          <w:lang w:bidi="en-US"/>
        </w:rPr>
        <w:t xml:space="preserve">. </w:t>
      </w:r>
      <w:r w:rsidRPr="00DE096C">
        <w:rPr>
          <w:rFonts w:ascii="Times New Roman" w:hAnsi="Times New Roman" w:cs="Times New Roman"/>
          <w:bCs/>
          <w:color w:val="002060"/>
          <w:sz w:val="16"/>
          <w:szCs w:val="16"/>
        </w:rPr>
        <w:t>1. Д. 166. Л. 35—36. Законопроект Военного министерства «Об отпуске средств на постройку казенного завода оп</w:t>
      </w:r>
      <w:r w:rsidRPr="00DE096C">
        <w:rPr>
          <w:rFonts w:ascii="Times New Roman" w:hAnsi="Times New Roman" w:cs="Times New Roman"/>
          <w:bCs/>
          <w:color w:val="002060"/>
          <w:sz w:val="16"/>
          <w:szCs w:val="16"/>
        </w:rPr>
        <w:softHyphen/>
        <w:t>тических приборов», 31.Х. 1916. Договор с фирмой «Барр и Струд» об установке производства дальномеров на строящемся заводе в Изюме разрабатывался ГАУ в апреле 1917 г. (Там же. Ф</w:t>
      </w:r>
      <w:r w:rsidRPr="00DE096C">
        <w:rPr>
          <w:rFonts w:ascii="Times New Roman" w:hAnsi="Times New Roman" w:cs="Times New Roman"/>
          <w:bCs/>
          <w:color w:val="002060"/>
          <w:sz w:val="16"/>
          <w:szCs w:val="16"/>
          <w:lang w:val="en-US"/>
        </w:rPr>
        <w:t xml:space="preserve">. 504. </w:t>
      </w:r>
      <w:r w:rsidRPr="00DE096C">
        <w:rPr>
          <w:rFonts w:ascii="Times New Roman" w:hAnsi="Times New Roman" w:cs="Times New Roman"/>
          <w:bCs/>
          <w:color w:val="002060"/>
          <w:sz w:val="16"/>
          <w:szCs w:val="16"/>
        </w:rPr>
        <w:t>Оп</w:t>
      </w:r>
      <w:r w:rsidRPr="00DE096C">
        <w:rPr>
          <w:rFonts w:ascii="Times New Roman" w:hAnsi="Times New Roman" w:cs="Times New Roman"/>
          <w:bCs/>
          <w:color w:val="002060"/>
          <w:sz w:val="16"/>
          <w:szCs w:val="16"/>
          <w:lang w:val="en-US"/>
        </w:rPr>
        <w:t xml:space="preserve">. 10. </w:t>
      </w:r>
      <w:r w:rsidRPr="00DE096C">
        <w:rPr>
          <w:rFonts w:ascii="Times New Roman" w:hAnsi="Times New Roman" w:cs="Times New Roman"/>
          <w:bCs/>
          <w:color w:val="002060"/>
          <w:sz w:val="16"/>
          <w:szCs w:val="16"/>
        </w:rPr>
        <w:t>Д</w:t>
      </w:r>
      <w:r w:rsidRPr="00DE096C">
        <w:rPr>
          <w:rFonts w:ascii="Times New Roman" w:hAnsi="Times New Roman" w:cs="Times New Roman"/>
          <w:bCs/>
          <w:color w:val="002060"/>
          <w:sz w:val="16"/>
          <w:szCs w:val="16"/>
          <w:lang w:val="en-US"/>
        </w:rPr>
        <w:t xml:space="preserve">. 64. </w:t>
      </w:r>
      <w:r w:rsidRPr="00DE096C">
        <w:rPr>
          <w:rFonts w:ascii="Times New Roman" w:hAnsi="Times New Roman" w:cs="Times New Roman"/>
          <w:bCs/>
          <w:color w:val="002060"/>
          <w:sz w:val="16"/>
          <w:szCs w:val="16"/>
        </w:rPr>
        <w:t>Л</w:t>
      </w:r>
      <w:r w:rsidRPr="00DE096C">
        <w:rPr>
          <w:rFonts w:ascii="Times New Roman" w:hAnsi="Times New Roman" w:cs="Times New Roman"/>
          <w:bCs/>
          <w:color w:val="002060"/>
          <w:sz w:val="16"/>
          <w:szCs w:val="16"/>
          <w:lang w:val="en-US"/>
        </w:rPr>
        <w:t xml:space="preserve">. 18); </w:t>
      </w:r>
      <w:r w:rsidRPr="00DE096C">
        <w:rPr>
          <w:rFonts w:ascii="Times New Roman" w:hAnsi="Times New Roman" w:cs="Times New Roman"/>
          <w:bCs/>
          <w:color w:val="002060"/>
          <w:sz w:val="16"/>
          <w:szCs w:val="16"/>
          <w:lang w:val="en-US" w:bidi="en-US"/>
        </w:rPr>
        <w:t>Williams M.E.W. The Precision Makers. A History of the Instruments Industry in Britain and France, 1870—1939. London</w:t>
      </w:r>
      <w:r w:rsidRPr="00DE096C">
        <w:rPr>
          <w:rFonts w:ascii="Times New Roman" w:hAnsi="Times New Roman" w:cs="Times New Roman"/>
          <w:bCs/>
          <w:color w:val="002060"/>
          <w:sz w:val="16"/>
          <w:szCs w:val="16"/>
          <w:lang w:bidi="en-US"/>
        </w:rPr>
        <w:t xml:space="preserve">; </w:t>
      </w:r>
      <w:r w:rsidRPr="00DE096C">
        <w:rPr>
          <w:rFonts w:ascii="Times New Roman" w:hAnsi="Times New Roman" w:cs="Times New Roman"/>
          <w:bCs/>
          <w:color w:val="002060"/>
          <w:sz w:val="16"/>
          <w:szCs w:val="16"/>
          <w:lang w:val="en-US" w:bidi="en-US"/>
        </w:rPr>
        <w:t>N</w:t>
      </w:r>
      <w:r w:rsidRPr="00DE096C">
        <w:rPr>
          <w:rFonts w:ascii="Times New Roman" w:hAnsi="Times New Roman" w:cs="Times New Roman"/>
          <w:bCs/>
          <w:color w:val="002060"/>
          <w:sz w:val="16"/>
          <w:szCs w:val="16"/>
          <w:lang w:bidi="en-US"/>
        </w:rPr>
        <w:t>.</w:t>
      </w:r>
      <w:r w:rsidRPr="00DE096C">
        <w:rPr>
          <w:rFonts w:ascii="Times New Roman" w:hAnsi="Times New Roman" w:cs="Times New Roman"/>
          <w:bCs/>
          <w:color w:val="002060"/>
          <w:sz w:val="16"/>
          <w:szCs w:val="16"/>
          <w:lang w:val="en-US" w:bidi="en-US"/>
        </w:rPr>
        <w:t>Y</w:t>
      </w:r>
      <w:r w:rsidRPr="00DE096C">
        <w:rPr>
          <w:rFonts w:ascii="Times New Roman" w:hAnsi="Times New Roman" w:cs="Times New Roman"/>
          <w:bCs/>
          <w:color w:val="002060"/>
          <w:sz w:val="16"/>
          <w:szCs w:val="16"/>
          <w:lang w:bidi="en-US"/>
        </w:rPr>
        <w:t xml:space="preserve">., 1994. </w:t>
      </w:r>
      <w:r w:rsidRPr="00DE096C">
        <w:rPr>
          <w:rFonts w:ascii="Times New Roman" w:hAnsi="Times New Roman" w:cs="Times New Roman"/>
          <w:bCs/>
          <w:color w:val="002060"/>
          <w:sz w:val="16"/>
          <w:szCs w:val="16"/>
          <w:lang w:val="en-US" w:bidi="en-US"/>
        </w:rPr>
        <w:t>P</w:t>
      </w:r>
      <w:r w:rsidRPr="00DE096C">
        <w:rPr>
          <w:rFonts w:ascii="Times New Roman" w:hAnsi="Times New Roman" w:cs="Times New Roman"/>
          <w:bCs/>
          <w:color w:val="002060"/>
          <w:sz w:val="16"/>
          <w:szCs w:val="16"/>
          <w:lang w:bidi="en-US"/>
        </w:rPr>
        <w:t>. 45, 55</w:t>
      </w:r>
      <w:r w:rsidRPr="00DE096C">
        <w:rPr>
          <w:rFonts w:ascii="Times New Roman" w:hAnsi="Times New Roman" w:cs="Times New Roman"/>
          <w:bCs/>
          <w:color w:val="002060"/>
          <w:sz w:val="16"/>
          <w:szCs w:val="16"/>
        </w:rPr>
        <w:t>). Начало своей деятельности новое общество ознаменовало тем, что пере</w:t>
      </w:r>
      <w:r w:rsidRPr="00DE096C">
        <w:rPr>
          <w:rFonts w:ascii="Times New Roman" w:hAnsi="Times New Roman" w:cs="Times New Roman"/>
          <w:bCs/>
          <w:color w:val="002060"/>
          <w:sz w:val="16"/>
          <w:szCs w:val="16"/>
        </w:rPr>
        <w:softHyphen/>
        <w:t>манило в организуемое предприятие из Обуховского завода несколько видных специалистов, включая заведующего оп</w:t>
      </w:r>
      <w:r w:rsidRPr="00DE096C">
        <w:rPr>
          <w:rFonts w:ascii="Times New Roman" w:hAnsi="Times New Roman" w:cs="Times New Roman"/>
          <w:bCs/>
          <w:color w:val="002060"/>
          <w:sz w:val="16"/>
          <w:szCs w:val="16"/>
        </w:rPr>
        <w:softHyphen/>
        <w:t>тическим отделом А.Л. Гершуна (ум. 26 мая 1915 г.), Коро и главного вычислителя, а также часть рабочих. Первое время там работали иностранные специалисты, но с на</w:t>
      </w:r>
      <w:r w:rsidRPr="00DE096C">
        <w:rPr>
          <w:rFonts w:ascii="Times New Roman" w:hAnsi="Times New Roman" w:cs="Times New Roman"/>
          <w:bCs/>
          <w:color w:val="002060"/>
          <w:sz w:val="16"/>
          <w:szCs w:val="16"/>
        </w:rPr>
        <w:softHyphen/>
        <w:t>чалом войны и этот завод лишился «нескольких опытных мастеровых и мастеров завода — германских, австрийских подданных», отправленных в лагеря; среди оставшихся «94% были русские». ГАУ уже 25 августа 1914 г. обратилось в ГУГШ с просьбой вернуть высланных из Риги мастеров и направить на завод Акционерного общества к Гершуну. Без этих специалистов встречается «затруднение в произ</w:t>
      </w:r>
      <w:r w:rsidRPr="00DE096C">
        <w:rPr>
          <w:rFonts w:ascii="Times New Roman" w:hAnsi="Times New Roman" w:cs="Times New Roman"/>
          <w:bCs/>
          <w:color w:val="002060"/>
          <w:sz w:val="16"/>
          <w:szCs w:val="16"/>
        </w:rPr>
        <w:softHyphen/>
        <w:t>водстве технических выкладок и в точном изготовлении пробных стекол, так как подготовленных русских мастеров не имеется» (23452).</w:t>
      </w:r>
    </w:p>
    <w:p w14:paraId="7A52B98E" w14:textId="77777777" w:rsidR="00E2202D" w:rsidRPr="00DE096C" w:rsidRDefault="00E2202D" w:rsidP="00D45A46">
      <w:pPr>
        <w:jc w:val="both"/>
        <w:rPr>
          <w:bCs/>
          <w:color w:val="002060"/>
          <w:sz w:val="16"/>
          <w:szCs w:val="16"/>
        </w:rPr>
      </w:pPr>
    </w:p>
    <w:p w14:paraId="75AC7C66" w14:textId="77777777" w:rsidR="00575BAA" w:rsidRPr="00DE096C" w:rsidRDefault="00575BAA" w:rsidP="00D45A46">
      <w:pPr>
        <w:jc w:val="both"/>
        <w:rPr>
          <w:bCs/>
          <w:color w:val="002060"/>
          <w:sz w:val="16"/>
          <w:szCs w:val="16"/>
        </w:rPr>
      </w:pPr>
      <w:r w:rsidRPr="00DE096C">
        <w:rPr>
          <w:bCs/>
          <w:color w:val="002060"/>
          <w:sz w:val="16"/>
          <w:szCs w:val="16"/>
        </w:rPr>
        <w:lastRenderedPageBreak/>
        <w:t>В феврале 1914 г. начальник Технического отдела ГВТУ генерал-майор Болотов направил для обсуждения в Технический комитет ГВТУ доклад с новыми предложениями о типах военных самолетов. В них сразу обозначилась новая позиция в вопросе о вооружении летательных аппаратов. Болотов указывал, что вооружать нужно только большие самолеты «Илья Муромец». В отношении радиотелеграфа и других доработок он предлагал: «Ввиду неимения окончательного решения о броне, бомбах и телеграфе и принимая во внимание, что заказываемые аппараты служат свой срок в два года, при настоящем заказе не принимать во внимание этих потребностей, кроме съемной брони, но не на всех аппаратах» (19566).</w:t>
      </w:r>
    </w:p>
    <w:p w14:paraId="752D3E40" w14:textId="77777777" w:rsidR="00575BAA" w:rsidRPr="00DE096C" w:rsidRDefault="00575BAA" w:rsidP="00D45A46">
      <w:pPr>
        <w:jc w:val="both"/>
        <w:rPr>
          <w:bCs/>
          <w:color w:val="002060"/>
          <w:sz w:val="16"/>
          <w:szCs w:val="16"/>
        </w:rPr>
      </w:pPr>
    </w:p>
    <w:p w14:paraId="63BA1E59" w14:textId="77777777" w:rsidR="00575BAA" w:rsidRPr="00DE096C" w:rsidRDefault="00575BAA" w:rsidP="00D45A46">
      <w:pPr>
        <w:jc w:val="both"/>
        <w:rPr>
          <w:bCs/>
          <w:color w:val="002060"/>
          <w:sz w:val="16"/>
          <w:szCs w:val="16"/>
        </w:rPr>
      </w:pPr>
      <w:r w:rsidRPr="00DE096C">
        <w:rPr>
          <w:bCs/>
          <w:color w:val="002060"/>
          <w:sz w:val="16"/>
          <w:szCs w:val="16"/>
        </w:rPr>
        <w:t>В феврале 1914 г. Артиллерийский комитет принимает решение в дальнейшем заказывать фирме «Л.М. Эриксона» только новый тип станции, которая получила наименование «узловой телефонный аппарат Эриксона для полевой артиллерии» (18297).</w:t>
      </w:r>
    </w:p>
    <w:p w14:paraId="762B3B55" w14:textId="77777777" w:rsidR="00575BAA" w:rsidRPr="00DE096C" w:rsidRDefault="00575BAA" w:rsidP="00D45A46">
      <w:pPr>
        <w:jc w:val="both"/>
        <w:rPr>
          <w:bCs/>
          <w:color w:val="002060"/>
          <w:sz w:val="16"/>
          <w:szCs w:val="16"/>
        </w:rPr>
      </w:pPr>
    </w:p>
    <w:p w14:paraId="76B0DEEF" w14:textId="77777777" w:rsidR="00473AB9" w:rsidRPr="00B52707" w:rsidRDefault="00473AB9" w:rsidP="00473AB9">
      <w:pPr>
        <w:jc w:val="both"/>
        <w:rPr>
          <w:color w:val="0070C0"/>
          <w:sz w:val="16"/>
          <w:szCs w:val="16"/>
        </w:rPr>
      </w:pPr>
      <w:r w:rsidRPr="00B52707">
        <w:rPr>
          <w:color w:val="0070C0"/>
          <w:sz w:val="16"/>
          <w:szCs w:val="16"/>
        </w:rPr>
        <w:t>В феврале 1914 года «Руссо-Балт» с приспо</w:t>
      </w:r>
      <w:r w:rsidRPr="00B52707">
        <w:rPr>
          <w:color w:val="0070C0"/>
          <w:sz w:val="16"/>
          <w:szCs w:val="16"/>
        </w:rPr>
        <w:softHyphen/>
        <w:t>соблениями Кегресса испытывался в окрест</w:t>
      </w:r>
      <w:r w:rsidRPr="00B52707">
        <w:rPr>
          <w:color w:val="0070C0"/>
          <w:sz w:val="16"/>
          <w:szCs w:val="16"/>
        </w:rPr>
        <w:softHyphen/>
        <w:t>ностях Петербурга по маршрутам Царское Село - Павловск - Царское Село и Царское Село - Луга - Царское Село общей протя</w:t>
      </w:r>
      <w:r w:rsidRPr="00B52707">
        <w:rPr>
          <w:color w:val="0070C0"/>
          <w:sz w:val="16"/>
          <w:szCs w:val="16"/>
        </w:rPr>
        <w:softHyphen/>
        <w:t>женностью 260 верст. При этом машина лег</w:t>
      </w:r>
      <w:r w:rsidRPr="00B52707">
        <w:rPr>
          <w:color w:val="0070C0"/>
          <w:sz w:val="16"/>
          <w:szCs w:val="16"/>
        </w:rPr>
        <w:softHyphen/>
        <w:t>ко двигалась по целине, преодолевала канавы и кустарник, развивая скорость до 35 верст в час, а по шоссе - до 55 верст в час (25008).</w:t>
      </w:r>
    </w:p>
    <w:p w14:paraId="7A657F31" w14:textId="77777777" w:rsidR="00473AB9" w:rsidRPr="00B52707" w:rsidRDefault="00473AB9" w:rsidP="00473AB9">
      <w:pPr>
        <w:jc w:val="both"/>
        <w:rPr>
          <w:color w:val="0070C0"/>
          <w:sz w:val="16"/>
          <w:szCs w:val="16"/>
        </w:rPr>
      </w:pPr>
    </w:p>
    <w:p w14:paraId="73902782"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w:t>
      </w:r>
    </w:p>
    <w:p w14:paraId="7C489B56" w14:textId="77777777" w:rsidR="00B67D7C" w:rsidRPr="00DE096C" w:rsidRDefault="00B67D7C" w:rsidP="00D45A46">
      <w:pPr>
        <w:shd w:val="clear" w:color="auto" w:fill="FFFFFF"/>
        <w:jc w:val="both"/>
        <w:rPr>
          <w:bCs/>
          <w:i/>
          <w:color w:val="002060"/>
          <w:sz w:val="16"/>
          <w:szCs w:val="16"/>
        </w:rPr>
      </w:pPr>
    </w:p>
    <w:p w14:paraId="087C2EDA" w14:textId="77777777" w:rsidR="00B67D7C" w:rsidRPr="00DE096C" w:rsidRDefault="00B67D7C" w:rsidP="00D45A46">
      <w:pPr>
        <w:pStyle w:val="a3"/>
        <w:jc w:val="both"/>
        <w:rPr>
          <w:bCs/>
          <w:color w:val="002060"/>
          <w:spacing w:val="0"/>
          <w:position w:val="0"/>
          <w:sz w:val="16"/>
          <w:szCs w:val="16"/>
        </w:rPr>
      </w:pPr>
      <w:r w:rsidRPr="00DE096C">
        <w:rPr>
          <w:bCs/>
          <w:i w:val="0"/>
          <w:color w:val="002060"/>
          <w:spacing w:val="0"/>
          <w:position w:val="0"/>
          <w:sz w:val="16"/>
          <w:szCs w:val="16"/>
        </w:rPr>
        <w:t>В феврале 1914 награждены знаком отличия болгарского "народного ордена" летчики П.В.Евсюков, Ф.Ф.Колчин, Я.И.Седов, Н.Д.Костин, м</w:t>
      </w:r>
      <w:r w:rsidRPr="00DE096C">
        <w:rPr>
          <w:bCs/>
          <w:color w:val="002060"/>
          <w:spacing w:val="0"/>
          <w:position w:val="0"/>
          <w:sz w:val="16"/>
          <w:szCs w:val="16"/>
        </w:rPr>
        <w:t>еханики Дегтярев, Щербаков, Тарасов, Иванов, Коровкин и Сикуртинский, участвовавшие в качестве добровольцев в Балканской войне. ("Известия Николаевской военной академии".1914,стр.582.</w:t>
      </w:r>
    </w:p>
    <w:p w14:paraId="1F1E175F" w14:textId="77777777" w:rsidR="00B67D7C" w:rsidRPr="00DE096C" w:rsidRDefault="00B67D7C" w:rsidP="00D45A46">
      <w:pPr>
        <w:pStyle w:val="a3"/>
        <w:jc w:val="both"/>
        <w:rPr>
          <w:bCs/>
          <w:color w:val="002060"/>
          <w:spacing w:val="0"/>
          <w:position w:val="0"/>
          <w:sz w:val="16"/>
          <w:szCs w:val="16"/>
        </w:rPr>
      </w:pPr>
    </w:p>
    <w:p w14:paraId="76A88D4D" w14:textId="77777777" w:rsidR="00523A16" w:rsidRPr="00DE096C" w:rsidRDefault="00523A16" w:rsidP="00D45A46">
      <w:pPr>
        <w:jc w:val="both"/>
        <w:rPr>
          <w:bCs/>
          <w:color w:val="002060"/>
          <w:sz w:val="16"/>
          <w:szCs w:val="16"/>
        </w:rPr>
      </w:pPr>
      <w:r w:rsidRPr="00DE096C">
        <w:rPr>
          <w:bCs/>
          <w:color w:val="002060"/>
          <w:sz w:val="16"/>
          <w:szCs w:val="16"/>
        </w:rPr>
        <w:t>В феврале 1914 г. были награждены знаком отличия болгарского «народного ор</w:t>
      </w:r>
      <w:r w:rsidRPr="00DE096C">
        <w:rPr>
          <w:bCs/>
          <w:color w:val="002060"/>
          <w:sz w:val="16"/>
          <w:szCs w:val="16"/>
        </w:rPr>
        <w:softHyphen/>
        <w:t>дена» летчики П.В.Евсюков, Ф.Ф.Колчин, Я.Л.Седов, Н.Д.Костин и ме</w:t>
      </w:r>
      <w:r w:rsidRPr="00DE096C">
        <w:rPr>
          <w:bCs/>
          <w:color w:val="002060"/>
          <w:sz w:val="16"/>
          <w:szCs w:val="16"/>
        </w:rPr>
        <w:softHyphen/>
        <w:t>ханики Дегтярев, Щербаков, Тарасов, Иванов, Коровкин и Сикуртинский, участвовавшие в качестве добровольцев в Балканской войне».</w:t>
      </w:r>
    </w:p>
    <w:p w14:paraId="3B41C858" w14:textId="77777777" w:rsidR="00523A16" w:rsidRPr="00DE096C" w:rsidRDefault="00523A16" w:rsidP="00D45A46">
      <w:pPr>
        <w:jc w:val="both"/>
        <w:rPr>
          <w:bCs/>
          <w:color w:val="002060"/>
          <w:sz w:val="16"/>
          <w:szCs w:val="16"/>
        </w:rPr>
      </w:pPr>
      <w:r w:rsidRPr="00DE096C">
        <w:rPr>
          <w:bCs/>
          <w:color w:val="002060"/>
          <w:sz w:val="16"/>
          <w:szCs w:val="16"/>
        </w:rPr>
        <w:t>/«Известия Николаевской военной академии», 1914, стр. 682/ (23320).</w:t>
      </w:r>
    </w:p>
    <w:p w14:paraId="65AFBE18" w14:textId="77777777" w:rsidR="00523A16" w:rsidRPr="00DE096C" w:rsidRDefault="00523A16" w:rsidP="00D45A46">
      <w:pPr>
        <w:jc w:val="both"/>
        <w:rPr>
          <w:bCs/>
          <w:color w:val="002060"/>
          <w:sz w:val="16"/>
          <w:szCs w:val="16"/>
        </w:rPr>
      </w:pPr>
    </w:p>
    <w:p w14:paraId="1BEF1606" w14:textId="05BBF430" w:rsidR="00B67D7C" w:rsidRPr="00DE096C" w:rsidRDefault="00B67D7C" w:rsidP="00D45A46">
      <w:pPr>
        <w:shd w:val="clear" w:color="auto" w:fill="FFFFFF"/>
        <w:jc w:val="both"/>
        <w:rPr>
          <w:bCs/>
          <w:color w:val="002060"/>
          <w:sz w:val="16"/>
          <w:szCs w:val="16"/>
        </w:rPr>
      </w:pPr>
      <w:r w:rsidRPr="00DE096C">
        <w:rPr>
          <w:bCs/>
          <w:color w:val="002060"/>
          <w:sz w:val="16"/>
          <w:szCs w:val="16"/>
        </w:rPr>
        <w:t>В феврале 1914 г. в докладе «в Технический ко</w:t>
      </w:r>
      <w:r w:rsidRPr="00DE096C">
        <w:rPr>
          <w:bCs/>
          <w:color w:val="002060"/>
          <w:sz w:val="16"/>
          <w:szCs w:val="16"/>
        </w:rPr>
        <w:softHyphen/>
        <w:t>митет управления о типах самолётов, необходимых для военного воздушного флота, их оборудовании и вооружении» генерал Болотов отмечал, что для одно- и двухместных самолётов «полезны сравнительно легкие ружья, допускающие действовать по летатель</w:t>
      </w:r>
      <w:r w:rsidRPr="00DE096C">
        <w:rPr>
          <w:bCs/>
          <w:color w:val="002060"/>
          <w:sz w:val="16"/>
          <w:szCs w:val="16"/>
        </w:rPr>
        <w:softHyphen/>
        <w:t>ным аппаратам противника широко разлетающимся скопом пуль (картечи) с руки...» Во</w:t>
      </w:r>
      <w:r w:rsidRPr="00DE096C">
        <w:rPr>
          <w:bCs/>
          <w:color w:val="002060"/>
          <w:sz w:val="16"/>
          <w:szCs w:val="16"/>
        </w:rPr>
        <w:softHyphen/>
        <w:t>оружать новые авиационные «горе-стратеги» предлагали «только большие самолёты типа «Илья Муромец»». В отношении радиотелеграфа и других наработок, выполненных в свое время Воздухоплавательной частью, предлагалось следующее: «Ввиду неимения окончательного решения о броне, бомбах и телеграфе и принимая во внимание, что за</w:t>
      </w:r>
      <w:r w:rsidRPr="00DE096C">
        <w:rPr>
          <w:bCs/>
          <w:color w:val="002060"/>
          <w:sz w:val="16"/>
          <w:szCs w:val="16"/>
        </w:rPr>
        <w:softHyphen/>
        <w:t>казываемые аппараты служат свой срок в два года, при настоящем заказе не принимать во внимание этих потребностей, кроме съёмной брони, но не на всех аппаратах».</w:t>
      </w:r>
    </w:p>
    <w:p w14:paraId="3E2C973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Предложения генерала Болотова трижды (4, 11 и 18 марта 1914 г.) рассматривались на заседаниях Технического комитета ГВТУ. На них из-за межведомственных трений отсутствовали представители Генштаба, в том числе и бывший начальник Воздухоплава</w:t>
      </w:r>
      <w:r w:rsidRPr="00DE096C">
        <w:rPr>
          <w:bCs/>
          <w:color w:val="002060"/>
          <w:sz w:val="16"/>
          <w:szCs w:val="16"/>
        </w:rPr>
        <w:softHyphen/>
        <w:t>тельной части Шишкевич. В результате обсуждения вопроса «О типах...» пришли к вы</w:t>
      </w:r>
      <w:r w:rsidRPr="00DE096C">
        <w:rPr>
          <w:bCs/>
          <w:color w:val="002060"/>
          <w:sz w:val="16"/>
          <w:szCs w:val="16"/>
        </w:rPr>
        <w:softHyphen/>
        <w:t>воду, что следует заказать для полевых (армейских) и крепостных отрядов самолёты: «Вуазен», «Сикорский-Х» и «Фарман-ХХИ», а для корпусных отрядов — «Депердюссен», «Моран-Парасоль» и «Сикорский-Х1». Для отрядов особого назначения предусматрива</w:t>
      </w:r>
      <w:r w:rsidRPr="00DE096C">
        <w:rPr>
          <w:bCs/>
          <w:color w:val="002060"/>
          <w:sz w:val="16"/>
          <w:szCs w:val="16"/>
        </w:rPr>
        <w:softHyphen/>
        <w:t>лось сделать заказы на одноместные «Моран-Сольнье».</w:t>
      </w:r>
    </w:p>
    <w:p w14:paraId="4FB19A7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Так менее чем за полгода, обозначив «новую позицию» в вопросе о вооружении лета</w:t>
      </w:r>
      <w:r w:rsidRPr="00DE096C">
        <w:rPr>
          <w:bCs/>
          <w:color w:val="002060"/>
          <w:sz w:val="16"/>
          <w:szCs w:val="16"/>
        </w:rPr>
        <w:softHyphen/>
        <w:t>тельных аппаратов, «похоронили» пионерские работы по вооружению и бронированию са</w:t>
      </w:r>
      <w:r w:rsidRPr="00DE096C">
        <w:rPr>
          <w:bCs/>
          <w:color w:val="002060"/>
          <w:sz w:val="16"/>
          <w:szCs w:val="16"/>
        </w:rPr>
        <w:softHyphen/>
        <w:t>молётов, проводившиеся в 1912-1913 гг. под руководством Шишкевича. Понятно, что при таком подходе Шишкевичу уже не было места в новой структуре ГВТУ. Печальным итогом стало то, что начавшуюся летом 1914 г. Первую мировую войну русская боевая авиация встретила невооруженной, что и заставило П.Н. Нестерова пожертвовать собой, совершая первый в мире воздушный таран.</w:t>
      </w:r>
    </w:p>
    <w:p w14:paraId="6B802C6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Вероятно, именно это имел в виду В.Б. Шавров, когда писал, что «с первых же дней войны стали сказываться тяжёлые просчеты, преступные упущения и крупнейшие не</w:t>
      </w:r>
      <w:r w:rsidRPr="00DE096C">
        <w:rPr>
          <w:bCs/>
          <w:color w:val="002060"/>
          <w:sz w:val="16"/>
          <w:szCs w:val="16"/>
        </w:rPr>
        <w:softHyphen/>
        <w:t>достатки в руководстве русской авиацией...» (Шавров В.Б. История конструкций самолётов в СССР до 1938 г. М., 1978. С. 151.)</w:t>
      </w:r>
      <w:r w:rsidRPr="00DE096C">
        <w:rPr>
          <w:bCs/>
          <w:color w:val="002060"/>
          <w:sz w:val="16"/>
          <w:szCs w:val="16"/>
          <w:vertAlign w:val="superscript"/>
        </w:rPr>
        <w:t>10</w:t>
      </w:r>
      <w:r w:rsidRPr="00DE096C">
        <w:rPr>
          <w:bCs/>
          <w:color w:val="002060"/>
          <w:sz w:val="16"/>
          <w:szCs w:val="16"/>
        </w:rPr>
        <w:t>.</w:t>
      </w:r>
    </w:p>
    <w:p w14:paraId="2F3590A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Кстати, именно М.И. Шишкевич высказал мысль о целесообразности 30-суточного ареста Нестерова за выполнение «мертвой петли«. Так что не все было гладко у «ге</w:t>
      </w:r>
      <w:r w:rsidRPr="00DE096C">
        <w:rPr>
          <w:bCs/>
          <w:color w:val="002060"/>
          <w:sz w:val="16"/>
          <w:szCs w:val="16"/>
        </w:rPr>
        <w:softHyphen/>
        <w:t>нерала от авиации« с перспективами её развития. Но в целом его деятельность на по</w:t>
      </w:r>
      <w:r w:rsidRPr="00DE096C">
        <w:rPr>
          <w:bCs/>
          <w:color w:val="002060"/>
          <w:sz w:val="16"/>
          <w:szCs w:val="16"/>
        </w:rPr>
        <w:softHyphen/>
        <w:t>сту начальника Воздухоплавательной части ГУ ГШ в 1912-1913 гг. следует оценивать весьма высоко. Несколько слов о его дальнейшей судьбе.</w:t>
      </w:r>
    </w:p>
    <w:p w14:paraId="34FBAAC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Во время первой мировой войны Шишкевич служил начальником штаба 7-й, 11-й и Дунайской армий, 2 декабря 1916г. стал начальником штаба Румынского фронта. В ян</w:t>
      </w:r>
      <w:r w:rsidRPr="00DE096C">
        <w:rPr>
          <w:bCs/>
          <w:color w:val="002060"/>
          <w:sz w:val="16"/>
          <w:szCs w:val="16"/>
        </w:rPr>
        <w:softHyphen/>
        <w:t>варе 1916 г. получил звание генерал-лейтенанта и 16 августа 1916 г. был награжден ор</w:t>
      </w:r>
      <w:r w:rsidRPr="00DE096C">
        <w:rPr>
          <w:bCs/>
          <w:color w:val="002060"/>
          <w:sz w:val="16"/>
          <w:szCs w:val="16"/>
        </w:rPr>
        <w:softHyphen/>
        <w:t>деном Св. Георгия 4-й степени. 29 апреля 1917 г. 55-летний генерал по болезни был «зачислен в резерв чинов«, а приказом по Московскому округу от 27 ноября 1917 г. уволен в отставку. Проживал в Москве по адресу Остоженка, д. 10, кв. 11 (РГВИА. Ф. 409ПС. Д. 151-522. 76)</w:t>
      </w:r>
      <w:r w:rsidRPr="00DE096C">
        <w:rPr>
          <w:bCs/>
          <w:color w:val="002060"/>
          <w:sz w:val="16"/>
          <w:szCs w:val="16"/>
          <w:vertAlign w:val="superscript"/>
        </w:rPr>
        <w:t>11</w:t>
      </w:r>
      <w:r w:rsidRPr="00DE096C">
        <w:rPr>
          <w:bCs/>
          <w:color w:val="002060"/>
          <w:sz w:val="16"/>
          <w:szCs w:val="16"/>
        </w:rPr>
        <w:t>.</w:t>
      </w:r>
    </w:p>
    <w:p w14:paraId="35D3E9D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С этого адреса 14 июня 1918 г. в пенсионный отдел Главного штаба он отправил про</w:t>
      </w:r>
      <w:r w:rsidRPr="00DE096C">
        <w:rPr>
          <w:bCs/>
          <w:color w:val="002060"/>
          <w:sz w:val="16"/>
          <w:szCs w:val="16"/>
        </w:rPr>
        <w:softHyphen/>
        <w:t>шение о назначении пенсии. В течение месяца ранее служившему в МВО боевому ге</w:t>
      </w:r>
      <w:r w:rsidRPr="00DE096C">
        <w:rPr>
          <w:bCs/>
          <w:color w:val="002060"/>
          <w:sz w:val="16"/>
          <w:szCs w:val="16"/>
        </w:rPr>
        <w:softHyphen/>
        <w:t>нералу и кавалеру назначили пенсию из военной эмеритальной кассы и из Московской казенной палаты. По довоенным меркам сумма в 3600 руб. (2097+1503) могла считать</w:t>
      </w:r>
      <w:r w:rsidRPr="00DE096C">
        <w:rPr>
          <w:bCs/>
          <w:color w:val="002060"/>
          <w:sz w:val="16"/>
          <w:szCs w:val="16"/>
        </w:rPr>
        <w:softHyphen/>
        <w:t>ся вполне достаточной, но дело происходило в середине 1918 г.! Даже удивительно, что ещё функционировали финансовые структуры старого военного ведомства. Пенсионное дело Шишкевича закрыли 23 июля 1918 г., и неизвестно, получал ли от советской вла</w:t>
      </w:r>
      <w:r w:rsidRPr="00DE096C">
        <w:rPr>
          <w:bCs/>
          <w:color w:val="002060"/>
          <w:sz w:val="16"/>
          <w:szCs w:val="16"/>
        </w:rPr>
        <w:softHyphen/>
        <w:t>сти какие-либо выплаты царский генерал. Впрочем, в условиях бешеной инфляции во время гражданской войны этой суммы могло не хватить и на коробок спичек.</w:t>
      </w:r>
    </w:p>
    <w:p w14:paraId="1DBEAA8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Сведений о последних годах жизни первого генерала от авиации М.И. Шишкевича пока не найдено (11696).</w:t>
      </w:r>
    </w:p>
    <w:p w14:paraId="36A0090E" w14:textId="77777777" w:rsidR="00B67D7C" w:rsidRPr="00DE096C" w:rsidRDefault="00B67D7C" w:rsidP="00D45A46">
      <w:pPr>
        <w:shd w:val="clear" w:color="auto" w:fill="FFFFFF"/>
        <w:jc w:val="both"/>
        <w:rPr>
          <w:bCs/>
          <w:color w:val="002060"/>
          <w:sz w:val="16"/>
          <w:szCs w:val="16"/>
        </w:rPr>
      </w:pPr>
    </w:p>
    <w:p w14:paraId="34883108"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Морская авиация:</w:t>
      </w:r>
    </w:p>
    <w:p w14:paraId="67CDDCAA" w14:textId="77777777" w:rsidR="00B67D7C" w:rsidRPr="00DE096C" w:rsidRDefault="00B67D7C" w:rsidP="00D45A46">
      <w:pPr>
        <w:shd w:val="clear" w:color="auto" w:fill="FFFFFF"/>
        <w:jc w:val="both"/>
        <w:rPr>
          <w:bCs/>
          <w:i/>
          <w:color w:val="002060"/>
          <w:sz w:val="16"/>
          <w:szCs w:val="16"/>
        </w:rPr>
      </w:pPr>
    </w:p>
    <w:p w14:paraId="5F976103" w14:textId="77777777" w:rsidR="00B67D7C" w:rsidRPr="00DE096C" w:rsidRDefault="00B67D7C" w:rsidP="00D45A46">
      <w:pPr>
        <w:jc w:val="both"/>
        <w:rPr>
          <w:bCs/>
          <w:color w:val="002060"/>
          <w:sz w:val="16"/>
          <w:szCs w:val="16"/>
        </w:rPr>
      </w:pPr>
      <w:r w:rsidRPr="00DE096C">
        <w:rPr>
          <w:bCs/>
          <w:color w:val="002060"/>
          <w:sz w:val="16"/>
          <w:szCs w:val="16"/>
        </w:rPr>
        <w:t>С февраля 1914 года в Черном море велись опытные бомбометания с гидроаэропланов, которые дали вполне удовлетворительные результаты. Метание авиационных бомб с летательного аппарата с открытым сиденьем пилота и без прицела производились с высот до 600 м, а с прицельным приспособлением — с высоты 800 м (Там же. Ф. 418. Оп. 1. Д. 1924. Л. 3.). В то время на Балтике вопросами бомбометания не занимались вовсе (Там же. Д. 1934. Л. 4.). В результате проводившихся на Черноморском флоте испытаний постепенно трансформировались взгляды на практическое применение морской авиации и у руководства российского Морского министерства. Адмирал А.А.Эбергард первым из флотских руководителей обозначил морской авиации не только обеспечивающие, но и ударные задачи. Подтверждением правильности выбранного им курса стали первые удачные боевые вылеты морской авиации Черного моря в кампании 1914 года (11177).</w:t>
      </w:r>
    </w:p>
    <w:p w14:paraId="4D71A893" w14:textId="77777777" w:rsidR="00B67D7C" w:rsidRPr="00DE096C" w:rsidRDefault="00B67D7C" w:rsidP="00D45A46">
      <w:pPr>
        <w:shd w:val="clear" w:color="auto" w:fill="FFFFFF"/>
        <w:jc w:val="both"/>
        <w:rPr>
          <w:bCs/>
          <w:color w:val="002060"/>
          <w:sz w:val="16"/>
          <w:szCs w:val="16"/>
        </w:rPr>
      </w:pPr>
    </w:p>
    <w:p w14:paraId="49E85313" w14:textId="673F159B" w:rsidR="00B67D7C" w:rsidRPr="00DE096C" w:rsidRDefault="00015396" w:rsidP="00D45A46">
      <w:pPr>
        <w:pStyle w:val="a5"/>
        <w:rPr>
          <w:bCs/>
          <w:color w:val="002060"/>
          <w:sz w:val="16"/>
          <w:szCs w:val="16"/>
          <w:lang w:val="ru-RU"/>
        </w:rPr>
      </w:pPr>
      <w:r w:rsidRPr="00DE096C">
        <w:rPr>
          <w:bCs/>
          <w:color w:val="002060"/>
          <w:sz w:val="16"/>
          <w:szCs w:val="16"/>
          <w:lang w:val="ru-RU"/>
        </w:rPr>
        <w:t>В</w:t>
      </w:r>
      <w:r w:rsidR="00B67D7C" w:rsidRPr="00DE096C">
        <w:rPr>
          <w:bCs/>
          <w:color w:val="002060"/>
          <w:sz w:val="16"/>
          <w:szCs w:val="16"/>
          <w:lang w:val="ru-RU"/>
        </w:rPr>
        <w:t xml:space="preserve"> феврале 1914 г. </w:t>
      </w:r>
      <w:r w:rsidRPr="00DE096C">
        <w:rPr>
          <w:bCs/>
          <w:color w:val="002060"/>
          <w:sz w:val="16"/>
          <w:szCs w:val="16"/>
          <w:lang w:val="ru-RU"/>
        </w:rPr>
        <w:t>Заместитель начальника Морс</w:t>
      </w:r>
      <w:r w:rsidRPr="00DE096C">
        <w:rPr>
          <w:bCs/>
          <w:color w:val="002060"/>
          <w:sz w:val="16"/>
          <w:szCs w:val="16"/>
          <w:lang w:val="ru-RU"/>
        </w:rPr>
        <w:softHyphen/>
        <w:t xml:space="preserve">кого генерального штаба капитан 1-го ранга Д.В. Ненюков </w:t>
      </w:r>
      <w:r w:rsidR="00B67D7C" w:rsidRPr="00DE096C">
        <w:rPr>
          <w:bCs/>
          <w:color w:val="002060"/>
          <w:sz w:val="16"/>
          <w:szCs w:val="16"/>
          <w:lang w:val="ru-RU"/>
        </w:rPr>
        <w:t>доложил морскому министру об опытах на крейсере «Кагул», «Память Меркурия» и яхте «Алмаз» с гидроаэропланами. К докладу прилагались семь фотографий подъёма и спуска гидросамолётов си</w:t>
      </w:r>
      <w:r w:rsidR="00B67D7C" w:rsidRPr="00DE096C">
        <w:rPr>
          <w:bCs/>
          <w:color w:val="002060"/>
          <w:sz w:val="16"/>
          <w:szCs w:val="16"/>
          <w:lang w:val="ru-RU"/>
        </w:rPr>
        <w:softHyphen/>
        <w:t>стемы «Кертисс» на крейсер «Кагул» (11925).</w:t>
      </w:r>
    </w:p>
    <w:p w14:paraId="70C7DFA8" w14:textId="77777777" w:rsidR="00B67D7C" w:rsidRPr="00DE096C" w:rsidRDefault="00B67D7C" w:rsidP="00D45A46">
      <w:pPr>
        <w:pStyle w:val="a5"/>
        <w:rPr>
          <w:bCs/>
          <w:color w:val="002060"/>
          <w:sz w:val="16"/>
          <w:szCs w:val="16"/>
          <w:lang w:val="ru-RU"/>
        </w:rPr>
      </w:pPr>
    </w:p>
    <w:p w14:paraId="3EDC357B"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 и воздухоплавание Германии:</w:t>
      </w:r>
    </w:p>
    <w:p w14:paraId="20FC767E" w14:textId="77777777" w:rsidR="00B67D7C" w:rsidRPr="00DE096C" w:rsidRDefault="00B67D7C" w:rsidP="00D45A46">
      <w:pPr>
        <w:shd w:val="clear" w:color="auto" w:fill="FFFFFF"/>
        <w:jc w:val="both"/>
        <w:rPr>
          <w:bCs/>
          <w:i/>
          <w:color w:val="002060"/>
          <w:sz w:val="16"/>
          <w:szCs w:val="16"/>
        </w:rPr>
      </w:pPr>
    </w:p>
    <w:p w14:paraId="105A8C34" w14:textId="5CB48D0C" w:rsidR="00B67D7C" w:rsidRPr="00DE096C" w:rsidRDefault="007128E9"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феврале 1914 года</w:t>
      </w:r>
      <w:r w:rsidRPr="00DE096C">
        <w:rPr>
          <w:bCs/>
          <w:color w:val="002060"/>
          <w:sz w:val="16"/>
          <w:szCs w:val="16"/>
        </w:rPr>
        <w:t xml:space="preserve"> впервые взлетел дирижабль SL-2 объемом 25 000 куб. м (позднее увеличенного до 27 400 куб. м) Шютте</w:t>
      </w:r>
      <w:r w:rsidR="00B67D7C" w:rsidRPr="00DE096C">
        <w:rPr>
          <w:bCs/>
          <w:color w:val="002060"/>
          <w:sz w:val="16"/>
          <w:szCs w:val="16"/>
        </w:rPr>
        <w:t xml:space="preserve">, успешно прошел войсковые испытания и был принят армией. </w:t>
      </w:r>
    </w:p>
    <w:p w14:paraId="1593F4B5" w14:textId="19B5298A" w:rsidR="007128E9" w:rsidRPr="00DE096C" w:rsidRDefault="007128E9" w:rsidP="00D45A46">
      <w:pPr>
        <w:jc w:val="both"/>
        <w:rPr>
          <w:bCs/>
          <w:color w:val="002060"/>
          <w:sz w:val="16"/>
          <w:szCs w:val="16"/>
        </w:rPr>
      </w:pPr>
      <w:r w:rsidRPr="00DE096C">
        <w:rPr>
          <w:bCs/>
          <w:color w:val="002060"/>
          <w:sz w:val="16"/>
          <w:szCs w:val="16"/>
        </w:rPr>
        <w:t>При постройке следующего дирижабля SL-2 объемом 25 000 куб. м (позднее увеличенного до 27 400 куб. м) Шютте заимствовал систему цеппелина со шпангоутами и лонжеронами. Он сохранил совершенную аэродинамическую форму и деревянную конструкцию каркаса, киль поместил внутри корпуса, оставил и простое хвостовое оперение. Впервые было применено размещение двигателей по отдельным гондолам — две под корпусом и две по бортам. В каждой моторной гондоле находился двигатель «Мерседес» мощностью 180 л. с. с толкающим воздушным винтом. Полезная нагрузка [88] SL-2 достигала 6200 кг, а скорость 88,3 км/ч. Командир, штурман, радист и рулевой теперь находились в отдельной безмоторной гондоле.</w:t>
      </w:r>
    </w:p>
    <w:p w14:paraId="7CC164DA" w14:textId="77777777" w:rsidR="00B67D7C" w:rsidRPr="00DE096C" w:rsidRDefault="00B67D7C" w:rsidP="00D45A46">
      <w:pPr>
        <w:jc w:val="both"/>
        <w:rPr>
          <w:bCs/>
          <w:color w:val="002060"/>
          <w:sz w:val="16"/>
          <w:szCs w:val="16"/>
        </w:rPr>
      </w:pPr>
      <w:r w:rsidRPr="00DE096C">
        <w:rPr>
          <w:bCs/>
          <w:color w:val="002060"/>
          <w:sz w:val="16"/>
          <w:szCs w:val="16"/>
        </w:rPr>
        <w:t xml:space="preserve">Доктор Рюль, один из деятельных помощников профессора Шютте по постройке дирижаблей, в 1919 году в своем докладе в Амстердамском инженерном институте сказал следующее: «Выдающаяся заслуга Цеппелина и его сотрудников в том, что они впервые построили жесткий воздушный корабль. Дальнейшему развитию жестких дирижаблей до степени их теперешнего совершенства, однако, с особенным успехом способствовали верфи «Шютте-Ланц», и важнейшие пункты, на которые работы этого завода оказали существенное влияние, сводятся к следующему. 1. Выгодная форма (без цилиндрической части) с наименьшим лобовым сопротивлением. 2. Однопланные стабилизаторы и рули. 3. Нежесткая подвеска гондол. 4. Расположение воздушных винтов непосредственно за гондолой, с прямой передачей от вала мотора. 5. Расположенный внутри каркаса коридор. 6. Боковые гондолы. 7. Отвод газа из корабля через шахты наверх. Эти признаки (кроме пункта 3), присущие теперь всем жестким воздушным кораблям, впервые были совмещены на воздушном корабле SL-2, совершившем свой первый полет в феврале 1914 года. В этом смысле SL-2 проложил новый путь для строительства воздушных кораблей всего мира». Тем не менее многие специалисты оспаривали это утверждение доктора </w:t>
      </w:r>
      <w:r w:rsidRPr="00DE096C">
        <w:rPr>
          <w:bCs/>
          <w:color w:val="002060"/>
          <w:sz w:val="16"/>
          <w:szCs w:val="16"/>
        </w:rPr>
        <w:lastRenderedPageBreak/>
        <w:t>Рюля, считая, что в большинстве пунктов оно является дискуссионным. Сотрудники Цеппелина были убеждены, что идея почти всех перечисленных выше усовершенствований принадлежит не компании «Шютте-Ланц», а самому Цеппелину и его ближайшим помощникам (11324).</w:t>
      </w:r>
    </w:p>
    <w:p w14:paraId="224707B8" w14:textId="77777777" w:rsidR="00B67D7C" w:rsidRPr="00DE096C" w:rsidRDefault="00B67D7C" w:rsidP="00D45A46">
      <w:pPr>
        <w:jc w:val="both"/>
        <w:rPr>
          <w:bCs/>
          <w:i/>
          <w:color w:val="002060"/>
          <w:sz w:val="16"/>
          <w:szCs w:val="16"/>
        </w:rPr>
      </w:pPr>
    </w:p>
    <w:p w14:paraId="19FFCF86" w14:textId="77777777" w:rsidR="00B67D7C" w:rsidRPr="00DE096C" w:rsidRDefault="00B67D7C" w:rsidP="00D45A46">
      <w:pPr>
        <w:jc w:val="both"/>
        <w:rPr>
          <w:bCs/>
          <w:i/>
          <w:color w:val="002060"/>
          <w:sz w:val="16"/>
          <w:szCs w:val="16"/>
        </w:rPr>
      </w:pPr>
      <w:r w:rsidRPr="00DE096C">
        <w:rPr>
          <w:bCs/>
          <w:i/>
          <w:color w:val="002060"/>
          <w:sz w:val="16"/>
          <w:szCs w:val="16"/>
        </w:rPr>
        <w:t>Авиация и воздухоплавание за рубежом:</w:t>
      </w:r>
    </w:p>
    <w:p w14:paraId="05C90B92" w14:textId="77777777" w:rsidR="00B67D7C" w:rsidRPr="00DE096C" w:rsidRDefault="00B67D7C" w:rsidP="00D45A46">
      <w:pPr>
        <w:jc w:val="both"/>
        <w:rPr>
          <w:bCs/>
          <w:i/>
          <w:color w:val="002060"/>
          <w:sz w:val="16"/>
          <w:szCs w:val="16"/>
        </w:rPr>
      </w:pPr>
    </w:p>
    <w:p w14:paraId="1D89158D" w14:textId="4884355E" w:rsidR="00B67D7C" w:rsidRPr="00DE096C" w:rsidRDefault="007128E9"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феврале 1914 г. 33-лет</w:t>
      </w:r>
      <w:r w:rsidR="00B67D7C" w:rsidRPr="00DE096C">
        <w:rPr>
          <w:bCs/>
          <w:color w:val="002060"/>
          <w:sz w:val="16"/>
          <w:szCs w:val="16"/>
        </w:rPr>
        <w:softHyphen/>
        <w:t>ний капитан итальянской армии Алессандро Гуидони подвесил под «Фарман» с 80-сильным двигателем «Гном» торпеду и успешно сбросил её. Правда, «Фарман» был сухопут</w:t>
      </w:r>
      <w:r w:rsidR="00B67D7C" w:rsidRPr="00DE096C">
        <w:rPr>
          <w:bCs/>
          <w:color w:val="002060"/>
          <w:sz w:val="16"/>
          <w:szCs w:val="16"/>
        </w:rPr>
        <w:softHyphen/>
        <w:t>ным, на колёсном шасси, и к воп</w:t>
      </w:r>
      <w:r w:rsidR="00B67D7C" w:rsidRPr="00DE096C">
        <w:rPr>
          <w:bCs/>
          <w:color w:val="002060"/>
          <w:sz w:val="16"/>
          <w:szCs w:val="16"/>
        </w:rPr>
        <w:softHyphen/>
        <w:t>росу о первенстве морских торпе</w:t>
      </w:r>
      <w:r w:rsidR="00B67D7C" w:rsidRPr="00DE096C">
        <w:rPr>
          <w:bCs/>
          <w:color w:val="002060"/>
          <w:sz w:val="16"/>
          <w:szCs w:val="16"/>
        </w:rPr>
        <w:softHyphen/>
        <w:t>доносцев отношения не имеет.</w:t>
      </w:r>
    </w:p>
    <w:p w14:paraId="2F0C70FB" w14:textId="77777777" w:rsidR="00B67D7C" w:rsidRPr="00DE096C" w:rsidRDefault="00B67D7C" w:rsidP="00D45A46">
      <w:pPr>
        <w:jc w:val="both"/>
        <w:rPr>
          <w:bCs/>
          <w:color w:val="002060"/>
          <w:sz w:val="16"/>
          <w:szCs w:val="16"/>
        </w:rPr>
      </w:pPr>
      <w:r w:rsidRPr="00DE096C">
        <w:rPr>
          <w:bCs/>
          <w:color w:val="002060"/>
          <w:sz w:val="16"/>
          <w:szCs w:val="16"/>
        </w:rPr>
        <w:t>Но в том же 1914 г. Гуидони со</w:t>
      </w:r>
      <w:r w:rsidRPr="00DE096C">
        <w:rPr>
          <w:bCs/>
          <w:color w:val="002060"/>
          <w:sz w:val="16"/>
          <w:szCs w:val="16"/>
        </w:rPr>
        <w:softHyphen/>
        <w:t>здал гидросамолёт специальной конструкции.</w:t>
      </w:r>
    </w:p>
    <w:p w14:paraId="0B570DDA" w14:textId="77777777" w:rsidR="00B67D7C" w:rsidRPr="00DE096C" w:rsidRDefault="00B67D7C" w:rsidP="00D45A46">
      <w:pPr>
        <w:jc w:val="both"/>
        <w:rPr>
          <w:bCs/>
          <w:color w:val="002060"/>
          <w:sz w:val="16"/>
          <w:szCs w:val="16"/>
        </w:rPr>
      </w:pPr>
      <w:r w:rsidRPr="00DE096C">
        <w:rPr>
          <w:bCs/>
          <w:color w:val="002060"/>
          <w:sz w:val="16"/>
          <w:szCs w:val="16"/>
        </w:rPr>
        <w:t>Это был расчалочный моноплан на двух больших поплавках. Для облегчения взлёта под поплавками были установлены подводные кры</w:t>
      </w:r>
      <w:r w:rsidRPr="00DE096C">
        <w:rPr>
          <w:bCs/>
          <w:color w:val="002060"/>
          <w:sz w:val="16"/>
          <w:szCs w:val="16"/>
        </w:rPr>
        <w:softHyphen/>
        <w:t>лья.</w:t>
      </w:r>
    </w:p>
    <w:p w14:paraId="25BB0E4F" w14:textId="77777777" w:rsidR="00B67D7C" w:rsidRPr="00DE096C" w:rsidRDefault="00B67D7C" w:rsidP="00D45A46">
      <w:pPr>
        <w:jc w:val="both"/>
        <w:rPr>
          <w:bCs/>
          <w:color w:val="002060"/>
          <w:sz w:val="16"/>
          <w:szCs w:val="16"/>
        </w:rPr>
      </w:pPr>
      <w:r w:rsidRPr="00DE096C">
        <w:rPr>
          <w:bCs/>
          <w:color w:val="002060"/>
          <w:sz w:val="16"/>
          <w:szCs w:val="16"/>
        </w:rPr>
        <w:t xml:space="preserve">Экипаж - всего один человек. Два мотора </w:t>
      </w:r>
      <w:r w:rsidRPr="00DE096C">
        <w:rPr>
          <w:bCs/>
          <w:color w:val="002060"/>
          <w:sz w:val="16"/>
          <w:szCs w:val="16"/>
          <w:lang w:val="en-US"/>
        </w:rPr>
        <w:t>Gnome</w:t>
      </w:r>
      <w:r w:rsidRPr="00DE096C">
        <w:rPr>
          <w:bCs/>
          <w:color w:val="002060"/>
          <w:sz w:val="16"/>
          <w:szCs w:val="16"/>
        </w:rPr>
        <w:t>по 160 л.с. были установлены в фюзеляже носками друг к другу и вращали винты, «про</w:t>
      </w:r>
      <w:r w:rsidRPr="00DE096C">
        <w:rPr>
          <w:bCs/>
          <w:color w:val="002060"/>
          <w:sz w:val="16"/>
          <w:szCs w:val="16"/>
        </w:rPr>
        <w:softHyphen/>
        <w:t>резающие» фюзеляж. Хвостовая часть держалась только на трубе, проходящей через валы винтов, и на расчалках.</w:t>
      </w:r>
    </w:p>
    <w:p w14:paraId="1420A353" w14:textId="77777777" w:rsidR="00B67D7C" w:rsidRPr="00DE096C" w:rsidRDefault="00B67D7C" w:rsidP="00D45A46">
      <w:pPr>
        <w:jc w:val="both"/>
        <w:rPr>
          <w:bCs/>
          <w:color w:val="002060"/>
          <w:sz w:val="16"/>
          <w:szCs w:val="16"/>
        </w:rPr>
      </w:pPr>
      <w:r w:rsidRPr="00DE096C">
        <w:rPr>
          <w:bCs/>
          <w:color w:val="002060"/>
          <w:sz w:val="16"/>
          <w:szCs w:val="16"/>
        </w:rPr>
        <w:t>Подобная конструкция была поз</w:t>
      </w:r>
      <w:r w:rsidRPr="00DE096C">
        <w:rPr>
          <w:bCs/>
          <w:color w:val="002060"/>
          <w:sz w:val="16"/>
          <w:szCs w:val="16"/>
        </w:rPr>
        <w:softHyphen/>
        <w:t>же применена в американских са</w:t>
      </w:r>
      <w:r w:rsidRPr="00DE096C">
        <w:rPr>
          <w:bCs/>
          <w:color w:val="002060"/>
          <w:sz w:val="16"/>
          <w:szCs w:val="16"/>
        </w:rPr>
        <w:softHyphen/>
        <w:t xml:space="preserve">молётах </w:t>
      </w:r>
      <w:r w:rsidRPr="00DE096C">
        <w:rPr>
          <w:bCs/>
          <w:color w:val="002060"/>
          <w:sz w:val="16"/>
          <w:szCs w:val="16"/>
          <w:lang w:val="en-US"/>
        </w:rPr>
        <w:t>GallaudetD</w:t>
      </w:r>
      <w:r w:rsidRPr="00DE096C">
        <w:rPr>
          <w:bCs/>
          <w:color w:val="002060"/>
          <w:sz w:val="16"/>
          <w:szCs w:val="16"/>
        </w:rPr>
        <w:t xml:space="preserve">-2 и </w:t>
      </w:r>
      <w:r w:rsidRPr="00DE096C">
        <w:rPr>
          <w:bCs/>
          <w:color w:val="002060"/>
          <w:sz w:val="16"/>
          <w:szCs w:val="16"/>
          <w:lang w:val="en-US"/>
        </w:rPr>
        <w:t>D</w:t>
      </w:r>
      <w:r w:rsidRPr="00DE096C">
        <w:rPr>
          <w:bCs/>
          <w:color w:val="002060"/>
          <w:sz w:val="16"/>
          <w:szCs w:val="16"/>
        </w:rPr>
        <w:t>-4</w:t>
      </w:r>
    </w:p>
    <w:p w14:paraId="43266A97" w14:textId="77777777" w:rsidR="00B67D7C" w:rsidRPr="00DE096C" w:rsidRDefault="00B67D7C" w:rsidP="00D45A46">
      <w:pPr>
        <w:jc w:val="both"/>
        <w:rPr>
          <w:bCs/>
          <w:color w:val="002060"/>
          <w:sz w:val="16"/>
          <w:szCs w:val="16"/>
        </w:rPr>
      </w:pPr>
      <w:r w:rsidRPr="00DE096C">
        <w:rPr>
          <w:bCs/>
          <w:color w:val="002060"/>
          <w:sz w:val="16"/>
          <w:szCs w:val="16"/>
        </w:rPr>
        <w:t>Итальянский самолёт был успеш</w:t>
      </w:r>
      <w:r w:rsidRPr="00DE096C">
        <w:rPr>
          <w:bCs/>
          <w:color w:val="002060"/>
          <w:sz w:val="16"/>
          <w:szCs w:val="16"/>
        </w:rPr>
        <w:softHyphen/>
        <w:t>но испытан, но на вооружение его не приняли. Он не получил и специ</w:t>
      </w:r>
      <w:r w:rsidRPr="00DE096C">
        <w:rPr>
          <w:bCs/>
          <w:color w:val="002060"/>
          <w:sz w:val="16"/>
          <w:szCs w:val="16"/>
        </w:rPr>
        <w:softHyphen/>
        <w:t>ального обозначения, так и остав</w:t>
      </w:r>
      <w:r w:rsidRPr="00DE096C">
        <w:rPr>
          <w:bCs/>
          <w:color w:val="002060"/>
          <w:sz w:val="16"/>
          <w:szCs w:val="16"/>
        </w:rPr>
        <w:softHyphen/>
        <w:t xml:space="preserve">шись в истории авиации как </w:t>
      </w:r>
      <w:r w:rsidRPr="00DE096C">
        <w:rPr>
          <w:bCs/>
          <w:color w:val="002060"/>
          <w:sz w:val="16"/>
          <w:szCs w:val="16"/>
          <w:lang w:val="en-US"/>
        </w:rPr>
        <w:t>Guidoniidrosilurante</w:t>
      </w:r>
      <w:r w:rsidRPr="00DE096C">
        <w:rPr>
          <w:bCs/>
          <w:color w:val="002060"/>
          <w:sz w:val="16"/>
          <w:szCs w:val="16"/>
        </w:rPr>
        <w:t>(гидросамолёт-торпе</w:t>
      </w:r>
      <w:r w:rsidRPr="00DE096C">
        <w:rPr>
          <w:bCs/>
          <w:color w:val="002060"/>
          <w:sz w:val="16"/>
          <w:szCs w:val="16"/>
        </w:rPr>
        <w:softHyphen/>
        <w:t>доносец Гуидони).</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069"/>
        <w:gridCol w:w="1176"/>
        <w:gridCol w:w="1133"/>
        <w:gridCol w:w="1090"/>
        <w:gridCol w:w="1267"/>
      </w:tblGrid>
      <w:tr w:rsidR="00B67D7C" w:rsidRPr="00DE096C" w14:paraId="2E1D92DE" w14:textId="77777777" w:rsidTr="00C2024A">
        <w:trPr>
          <w:trHeight w:val="494"/>
        </w:trPr>
        <w:tc>
          <w:tcPr>
            <w:tcW w:w="2069" w:type="dxa"/>
            <w:shd w:val="clear" w:color="auto" w:fill="FFFFFF"/>
          </w:tcPr>
          <w:p w14:paraId="33D3E89D" w14:textId="77777777" w:rsidR="00B67D7C" w:rsidRPr="00DE096C" w:rsidRDefault="00B67D7C" w:rsidP="00D45A46">
            <w:pPr>
              <w:jc w:val="both"/>
              <w:rPr>
                <w:bCs/>
                <w:color w:val="002060"/>
                <w:sz w:val="16"/>
                <w:szCs w:val="16"/>
              </w:rPr>
            </w:pPr>
            <w:r w:rsidRPr="00DE096C">
              <w:rPr>
                <w:bCs/>
                <w:color w:val="002060"/>
                <w:sz w:val="16"/>
                <w:szCs w:val="16"/>
              </w:rPr>
              <w:t>Модель</w:t>
            </w:r>
          </w:p>
        </w:tc>
        <w:tc>
          <w:tcPr>
            <w:tcW w:w="1176" w:type="dxa"/>
            <w:shd w:val="clear" w:color="auto" w:fill="FFFFFF"/>
          </w:tcPr>
          <w:p w14:paraId="638FACFE" w14:textId="77777777" w:rsidR="00B67D7C" w:rsidRPr="00DE096C" w:rsidRDefault="00B67D7C" w:rsidP="00D45A46">
            <w:pPr>
              <w:jc w:val="both"/>
              <w:rPr>
                <w:bCs/>
                <w:color w:val="002060"/>
                <w:sz w:val="16"/>
                <w:szCs w:val="16"/>
              </w:rPr>
            </w:pPr>
            <w:r w:rsidRPr="00DE096C">
              <w:rPr>
                <w:bCs/>
                <w:color w:val="002060"/>
                <w:sz w:val="16"/>
                <w:szCs w:val="16"/>
                <w:lang w:val="en-US"/>
              </w:rPr>
              <w:t>Guidoni Seaplane</w:t>
            </w:r>
          </w:p>
        </w:tc>
        <w:tc>
          <w:tcPr>
            <w:tcW w:w="1133" w:type="dxa"/>
            <w:shd w:val="clear" w:color="auto" w:fill="FFFFFF"/>
          </w:tcPr>
          <w:p w14:paraId="19EC83F0" w14:textId="77777777" w:rsidR="00B67D7C" w:rsidRPr="00DE096C" w:rsidRDefault="00B67D7C" w:rsidP="00D45A46">
            <w:pPr>
              <w:jc w:val="both"/>
              <w:rPr>
                <w:bCs/>
                <w:color w:val="002060"/>
                <w:sz w:val="16"/>
                <w:szCs w:val="16"/>
              </w:rPr>
            </w:pPr>
            <w:r w:rsidRPr="00DE096C">
              <w:rPr>
                <w:bCs/>
                <w:color w:val="002060"/>
                <w:sz w:val="16"/>
                <w:szCs w:val="16"/>
                <w:lang w:val="en-US"/>
              </w:rPr>
              <w:t xml:space="preserve">Short </w:t>
            </w:r>
            <w:r w:rsidRPr="00DE096C">
              <w:rPr>
                <w:bCs/>
                <w:color w:val="002060"/>
                <w:sz w:val="16"/>
                <w:szCs w:val="16"/>
              </w:rPr>
              <w:t>184</w:t>
            </w:r>
          </w:p>
        </w:tc>
        <w:tc>
          <w:tcPr>
            <w:tcW w:w="1090" w:type="dxa"/>
            <w:shd w:val="clear" w:color="auto" w:fill="FFFFFF"/>
          </w:tcPr>
          <w:p w14:paraId="218E44BD" w14:textId="77777777" w:rsidR="00B67D7C" w:rsidRPr="00DE096C" w:rsidRDefault="00B67D7C" w:rsidP="00D45A46">
            <w:pPr>
              <w:jc w:val="both"/>
              <w:rPr>
                <w:bCs/>
                <w:color w:val="002060"/>
                <w:sz w:val="16"/>
                <w:szCs w:val="16"/>
              </w:rPr>
            </w:pPr>
            <w:r w:rsidRPr="00DE096C">
              <w:rPr>
                <w:bCs/>
                <w:color w:val="002060"/>
                <w:sz w:val="16"/>
                <w:szCs w:val="16"/>
                <w:lang w:val="en-US"/>
              </w:rPr>
              <w:t xml:space="preserve">AD. </w:t>
            </w:r>
            <w:r w:rsidRPr="00DE096C">
              <w:rPr>
                <w:bCs/>
                <w:color w:val="002060"/>
                <w:sz w:val="16"/>
                <w:szCs w:val="16"/>
              </w:rPr>
              <w:t>1000</w:t>
            </w:r>
          </w:p>
        </w:tc>
        <w:tc>
          <w:tcPr>
            <w:tcW w:w="1267" w:type="dxa"/>
            <w:shd w:val="clear" w:color="auto" w:fill="FFFFFF"/>
          </w:tcPr>
          <w:p w14:paraId="69EFC320" w14:textId="77777777" w:rsidR="00B67D7C" w:rsidRPr="00DE096C" w:rsidRDefault="00B67D7C" w:rsidP="00D45A46">
            <w:pPr>
              <w:jc w:val="both"/>
              <w:rPr>
                <w:bCs/>
                <w:color w:val="002060"/>
                <w:sz w:val="16"/>
                <w:szCs w:val="16"/>
              </w:rPr>
            </w:pPr>
            <w:r w:rsidRPr="00DE096C">
              <w:rPr>
                <w:bCs/>
                <w:color w:val="002060"/>
                <w:sz w:val="16"/>
                <w:szCs w:val="16"/>
              </w:rPr>
              <w:t>ГАСН</w:t>
            </w:r>
          </w:p>
        </w:tc>
      </w:tr>
      <w:tr w:rsidR="00B67D7C" w:rsidRPr="00DE096C" w14:paraId="60E44E0C" w14:textId="77777777" w:rsidTr="00C2024A">
        <w:trPr>
          <w:trHeight w:val="648"/>
        </w:trPr>
        <w:tc>
          <w:tcPr>
            <w:tcW w:w="2069" w:type="dxa"/>
            <w:shd w:val="clear" w:color="auto" w:fill="FFFFFF"/>
          </w:tcPr>
          <w:p w14:paraId="3F982C3C" w14:textId="77777777" w:rsidR="00B67D7C" w:rsidRPr="00DE096C" w:rsidRDefault="00B67D7C" w:rsidP="00D45A46">
            <w:pPr>
              <w:jc w:val="both"/>
              <w:rPr>
                <w:bCs/>
                <w:color w:val="002060"/>
                <w:sz w:val="16"/>
                <w:szCs w:val="16"/>
              </w:rPr>
            </w:pPr>
            <w:r w:rsidRPr="00DE096C">
              <w:rPr>
                <w:bCs/>
                <w:color w:val="002060"/>
                <w:sz w:val="16"/>
                <w:szCs w:val="16"/>
              </w:rPr>
              <w:t>Первый полёт</w:t>
            </w:r>
          </w:p>
        </w:tc>
        <w:tc>
          <w:tcPr>
            <w:tcW w:w="1176" w:type="dxa"/>
            <w:shd w:val="clear" w:color="auto" w:fill="FFFFFF"/>
          </w:tcPr>
          <w:p w14:paraId="4BE5CE9E" w14:textId="77777777" w:rsidR="00B67D7C" w:rsidRPr="00DE096C" w:rsidRDefault="00B67D7C" w:rsidP="00D45A46">
            <w:pPr>
              <w:jc w:val="both"/>
              <w:rPr>
                <w:bCs/>
                <w:color w:val="002060"/>
                <w:sz w:val="16"/>
                <w:szCs w:val="16"/>
              </w:rPr>
            </w:pPr>
          </w:p>
        </w:tc>
        <w:tc>
          <w:tcPr>
            <w:tcW w:w="1133" w:type="dxa"/>
            <w:shd w:val="clear" w:color="auto" w:fill="FFFFFF"/>
          </w:tcPr>
          <w:p w14:paraId="4A344E8D" w14:textId="77777777" w:rsidR="00B67D7C" w:rsidRPr="00DE096C" w:rsidRDefault="00B67D7C" w:rsidP="00D45A46">
            <w:pPr>
              <w:jc w:val="both"/>
              <w:rPr>
                <w:bCs/>
                <w:color w:val="002060"/>
                <w:sz w:val="16"/>
                <w:szCs w:val="16"/>
              </w:rPr>
            </w:pPr>
            <w:r w:rsidRPr="00DE096C">
              <w:rPr>
                <w:bCs/>
                <w:color w:val="002060"/>
                <w:sz w:val="16"/>
                <w:szCs w:val="16"/>
              </w:rPr>
              <w:t>07.1915</w:t>
            </w:r>
          </w:p>
        </w:tc>
        <w:tc>
          <w:tcPr>
            <w:tcW w:w="1090" w:type="dxa"/>
            <w:shd w:val="clear" w:color="auto" w:fill="FFFFFF"/>
          </w:tcPr>
          <w:p w14:paraId="53B6582E" w14:textId="77777777" w:rsidR="00B67D7C" w:rsidRPr="00DE096C" w:rsidRDefault="00B67D7C" w:rsidP="00D45A46">
            <w:pPr>
              <w:jc w:val="both"/>
              <w:rPr>
                <w:bCs/>
                <w:color w:val="002060"/>
                <w:sz w:val="16"/>
                <w:szCs w:val="16"/>
              </w:rPr>
            </w:pPr>
            <w:r w:rsidRPr="00DE096C">
              <w:rPr>
                <w:bCs/>
                <w:color w:val="002060"/>
                <w:sz w:val="16"/>
                <w:szCs w:val="16"/>
              </w:rPr>
              <w:t>Построен 03.1915, не летал</w:t>
            </w:r>
          </w:p>
        </w:tc>
        <w:tc>
          <w:tcPr>
            <w:tcW w:w="1267" w:type="dxa"/>
            <w:shd w:val="clear" w:color="auto" w:fill="FFFFFF"/>
          </w:tcPr>
          <w:p w14:paraId="1561B834" w14:textId="77777777" w:rsidR="00B67D7C" w:rsidRPr="00DE096C" w:rsidRDefault="00B67D7C" w:rsidP="00D45A46">
            <w:pPr>
              <w:jc w:val="both"/>
              <w:rPr>
                <w:bCs/>
                <w:color w:val="002060"/>
                <w:sz w:val="16"/>
                <w:szCs w:val="16"/>
              </w:rPr>
            </w:pPr>
            <w:r w:rsidRPr="00DE096C">
              <w:rPr>
                <w:bCs/>
                <w:color w:val="002060"/>
                <w:sz w:val="16"/>
                <w:szCs w:val="16"/>
              </w:rPr>
              <w:t>24.08.1917</w:t>
            </w:r>
          </w:p>
        </w:tc>
      </w:tr>
      <w:tr w:rsidR="00B67D7C" w:rsidRPr="00DE096C" w14:paraId="7F68F02B" w14:textId="77777777" w:rsidTr="00C2024A">
        <w:trPr>
          <w:trHeight w:val="221"/>
        </w:trPr>
        <w:tc>
          <w:tcPr>
            <w:tcW w:w="2069" w:type="dxa"/>
            <w:shd w:val="clear" w:color="auto" w:fill="FFFFFF"/>
          </w:tcPr>
          <w:p w14:paraId="3193142D" w14:textId="77777777" w:rsidR="00B67D7C" w:rsidRPr="00DE096C" w:rsidRDefault="00B67D7C" w:rsidP="00D45A46">
            <w:pPr>
              <w:jc w:val="both"/>
              <w:rPr>
                <w:bCs/>
                <w:color w:val="002060"/>
                <w:sz w:val="16"/>
                <w:szCs w:val="16"/>
              </w:rPr>
            </w:pPr>
            <w:r w:rsidRPr="00DE096C">
              <w:rPr>
                <w:bCs/>
                <w:color w:val="002060"/>
                <w:sz w:val="16"/>
                <w:szCs w:val="16"/>
              </w:rPr>
              <w:t>Боевая нагрузка</w:t>
            </w:r>
          </w:p>
        </w:tc>
        <w:tc>
          <w:tcPr>
            <w:tcW w:w="1176" w:type="dxa"/>
            <w:shd w:val="clear" w:color="auto" w:fill="FFFFFF"/>
          </w:tcPr>
          <w:p w14:paraId="7279D8D0" w14:textId="77777777" w:rsidR="00B67D7C" w:rsidRPr="00DE096C" w:rsidRDefault="00B67D7C" w:rsidP="00D45A46">
            <w:pPr>
              <w:jc w:val="both"/>
              <w:rPr>
                <w:bCs/>
                <w:color w:val="002060"/>
                <w:sz w:val="16"/>
                <w:szCs w:val="16"/>
              </w:rPr>
            </w:pPr>
            <w:r w:rsidRPr="00DE096C">
              <w:rPr>
                <w:bCs/>
                <w:color w:val="002060"/>
                <w:sz w:val="16"/>
                <w:szCs w:val="16"/>
              </w:rPr>
              <w:t>357мм</w:t>
            </w:r>
          </w:p>
        </w:tc>
        <w:tc>
          <w:tcPr>
            <w:tcW w:w="1133" w:type="dxa"/>
            <w:shd w:val="clear" w:color="auto" w:fill="FFFFFF"/>
          </w:tcPr>
          <w:p w14:paraId="477F94EE" w14:textId="77777777" w:rsidR="00B67D7C" w:rsidRPr="00DE096C" w:rsidRDefault="00B67D7C" w:rsidP="00D45A46">
            <w:pPr>
              <w:jc w:val="both"/>
              <w:rPr>
                <w:bCs/>
                <w:color w:val="002060"/>
                <w:sz w:val="16"/>
                <w:szCs w:val="16"/>
              </w:rPr>
            </w:pPr>
            <w:r w:rsidRPr="00DE096C">
              <w:rPr>
                <w:bCs/>
                <w:color w:val="002060"/>
                <w:sz w:val="16"/>
                <w:szCs w:val="16"/>
              </w:rPr>
              <w:t>357мм</w:t>
            </w:r>
          </w:p>
        </w:tc>
        <w:tc>
          <w:tcPr>
            <w:tcW w:w="1090" w:type="dxa"/>
            <w:shd w:val="clear" w:color="auto" w:fill="FFFFFF"/>
          </w:tcPr>
          <w:p w14:paraId="0481418F" w14:textId="77777777" w:rsidR="00B67D7C" w:rsidRPr="00DE096C" w:rsidRDefault="00B67D7C" w:rsidP="00D45A46">
            <w:pPr>
              <w:jc w:val="both"/>
              <w:rPr>
                <w:bCs/>
                <w:color w:val="002060"/>
                <w:sz w:val="16"/>
                <w:szCs w:val="16"/>
              </w:rPr>
            </w:pPr>
            <w:r w:rsidRPr="00DE096C">
              <w:rPr>
                <w:bCs/>
                <w:color w:val="002060"/>
                <w:sz w:val="16"/>
                <w:szCs w:val="16"/>
              </w:rPr>
              <w:t>357мм</w:t>
            </w:r>
          </w:p>
        </w:tc>
        <w:tc>
          <w:tcPr>
            <w:tcW w:w="1267" w:type="dxa"/>
            <w:shd w:val="clear" w:color="auto" w:fill="FFFFFF"/>
          </w:tcPr>
          <w:p w14:paraId="6DBCCF48" w14:textId="77777777" w:rsidR="00B67D7C" w:rsidRPr="00DE096C" w:rsidRDefault="00B67D7C" w:rsidP="00D45A46">
            <w:pPr>
              <w:jc w:val="both"/>
              <w:rPr>
                <w:bCs/>
                <w:color w:val="002060"/>
                <w:sz w:val="16"/>
                <w:szCs w:val="16"/>
              </w:rPr>
            </w:pPr>
            <w:r w:rsidRPr="00DE096C">
              <w:rPr>
                <w:bCs/>
                <w:color w:val="002060"/>
                <w:sz w:val="16"/>
                <w:szCs w:val="16"/>
              </w:rPr>
              <w:t>450мм</w:t>
            </w:r>
          </w:p>
        </w:tc>
      </w:tr>
      <w:tr w:rsidR="00B67D7C" w:rsidRPr="00DE096C" w14:paraId="0FC9D587" w14:textId="77777777" w:rsidTr="00C2024A">
        <w:trPr>
          <w:trHeight w:val="240"/>
        </w:trPr>
        <w:tc>
          <w:tcPr>
            <w:tcW w:w="2069" w:type="dxa"/>
            <w:shd w:val="clear" w:color="auto" w:fill="FFFFFF"/>
          </w:tcPr>
          <w:p w14:paraId="77D29AED" w14:textId="77777777" w:rsidR="00B67D7C" w:rsidRPr="00DE096C" w:rsidRDefault="00B67D7C" w:rsidP="00D45A46">
            <w:pPr>
              <w:jc w:val="both"/>
              <w:rPr>
                <w:bCs/>
                <w:color w:val="002060"/>
                <w:sz w:val="16"/>
                <w:szCs w:val="16"/>
              </w:rPr>
            </w:pPr>
            <w:r w:rsidRPr="00DE096C">
              <w:rPr>
                <w:bCs/>
                <w:color w:val="002060"/>
                <w:sz w:val="16"/>
                <w:szCs w:val="16"/>
              </w:rPr>
              <w:t>(торпеда)</w:t>
            </w:r>
          </w:p>
        </w:tc>
        <w:tc>
          <w:tcPr>
            <w:tcW w:w="1176" w:type="dxa"/>
            <w:shd w:val="clear" w:color="auto" w:fill="FFFFFF"/>
          </w:tcPr>
          <w:p w14:paraId="658E794C" w14:textId="77777777" w:rsidR="00B67D7C" w:rsidRPr="00DE096C" w:rsidRDefault="00B67D7C" w:rsidP="00D45A46">
            <w:pPr>
              <w:jc w:val="both"/>
              <w:rPr>
                <w:bCs/>
                <w:color w:val="002060"/>
                <w:sz w:val="16"/>
                <w:szCs w:val="16"/>
              </w:rPr>
            </w:pPr>
          </w:p>
        </w:tc>
        <w:tc>
          <w:tcPr>
            <w:tcW w:w="1133" w:type="dxa"/>
            <w:shd w:val="clear" w:color="auto" w:fill="FFFFFF"/>
          </w:tcPr>
          <w:p w14:paraId="25D0348C" w14:textId="77777777" w:rsidR="00B67D7C" w:rsidRPr="00DE096C" w:rsidRDefault="00B67D7C" w:rsidP="00D45A46">
            <w:pPr>
              <w:jc w:val="both"/>
              <w:rPr>
                <w:bCs/>
                <w:color w:val="002060"/>
                <w:sz w:val="16"/>
                <w:szCs w:val="16"/>
              </w:rPr>
            </w:pPr>
          </w:p>
        </w:tc>
        <w:tc>
          <w:tcPr>
            <w:tcW w:w="1090" w:type="dxa"/>
            <w:shd w:val="clear" w:color="auto" w:fill="FFFFFF"/>
          </w:tcPr>
          <w:p w14:paraId="3F7CB3D4" w14:textId="77777777" w:rsidR="00B67D7C" w:rsidRPr="00DE096C" w:rsidRDefault="00B67D7C" w:rsidP="00D45A46">
            <w:pPr>
              <w:jc w:val="both"/>
              <w:rPr>
                <w:bCs/>
                <w:color w:val="002060"/>
                <w:sz w:val="16"/>
                <w:szCs w:val="16"/>
              </w:rPr>
            </w:pPr>
          </w:p>
        </w:tc>
        <w:tc>
          <w:tcPr>
            <w:tcW w:w="1267" w:type="dxa"/>
            <w:shd w:val="clear" w:color="auto" w:fill="FFFFFF"/>
          </w:tcPr>
          <w:p w14:paraId="2E0BA51B" w14:textId="77777777" w:rsidR="00B67D7C" w:rsidRPr="00DE096C" w:rsidRDefault="00B67D7C" w:rsidP="00D45A46">
            <w:pPr>
              <w:jc w:val="both"/>
              <w:rPr>
                <w:bCs/>
                <w:color w:val="002060"/>
                <w:sz w:val="16"/>
                <w:szCs w:val="16"/>
              </w:rPr>
            </w:pPr>
          </w:p>
        </w:tc>
      </w:tr>
      <w:tr w:rsidR="00B67D7C" w:rsidRPr="00DE096C" w14:paraId="4AF69C24" w14:textId="77777777" w:rsidTr="00C2024A">
        <w:trPr>
          <w:trHeight w:val="211"/>
        </w:trPr>
        <w:tc>
          <w:tcPr>
            <w:tcW w:w="2069" w:type="dxa"/>
            <w:shd w:val="clear" w:color="auto" w:fill="FFFFFF"/>
          </w:tcPr>
          <w:p w14:paraId="4D1151EA" w14:textId="77777777" w:rsidR="00B67D7C" w:rsidRPr="00DE096C" w:rsidRDefault="00B67D7C" w:rsidP="00D45A46">
            <w:pPr>
              <w:jc w:val="both"/>
              <w:rPr>
                <w:bCs/>
                <w:color w:val="002060"/>
                <w:sz w:val="16"/>
                <w:szCs w:val="16"/>
              </w:rPr>
            </w:pPr>
            <w:r w:rsidRPr="00DE096C">
              <w:rPr>
                <w:bCs/>
                <w:color w:val="002060"/>
                <w:sz w:val="16"/>
                <w:szCs w:val="16"/>
              </w:rPr>
              <w:t>Двигатели</w:t>
            </w:r>
          </w:p>
        </w:tc>
        <w:tc>
          <w:tcPr>
            <w:tcW w:w="1176" w:type="dxa"/>
            <w:shd w:val="clear" w:color="auto" w:fill="FFFFFF"/>
          </w:tcPr>
          <w:p w14:paraId="2C806EDA" w14:textId="77777777" w:rsidR="00B67D7C" w:rsidRPr="00DE096C" w:rsidRDefault="00B67D7C" w:rsidP="00D45A46">
            <w:pPr>
              <w:jc w:val="both"/>
              <w:rPr>
                <w:bCs/>
                <w:color w:val="002060"/>
                <w:sz w:val="16"/>
                <w:szCs w:val="16"/>
              </w:rPr>
            </w:pPr>
            <w:r w:rsidRPr="00DE096C">
              <w:rPr>
                <w:bCs/>
                <w:color w:val="002060"/>
                <w:sz w:val="16"/>
                <w:szCs w:val="16"/>
                <w:lang w:val="en-US"/>
              </w:rPr>
              <w:t>Gnome</w:t>
            </w:r>
          </w:p>
        </w:tc>
        <w:tc>
          <w:tcPr>
            <w:tcW w:w="1133" w:type="dxa"/>
            <w:shd w:val="clear" w:color="auto" w:fill="FFFFFF"/>
          </w:tcPr>
          <w:p w14:paraId="562969CD" w14:textId="77777777" w:rsidR="00B67D7C" w:rsidRPr="00DE096C" w:rsidRDefault="00B67D7C" w:rsidP="00D45A46">
            <w:pPr>
              <w:jc w:val="both"/>
              <w:rPr>
                <w:bCs/>
                <w:color w:val="002060"/>
                <w:sz w:val="16"/>
                <w:szCs w:val="16"/>
              </w:rPr>
            </w:pPr>
            <w:r w:rsidRPr="00DE096C">
              <w:rPr>
                <w:bCs/>
                <w:color w:val="002060"/>
                <w:sz w:val="16"/>
                <w:szCs w:val="16"/>
                <w:lang w:val="en-US"/>
              </w:rPr>
              <w:t>Sunbeam</w:t>
            </w:r>
          </w:p>
        </w:tc>
        <w:tc>
          <w:tcPr>
            <w:tcW w:w="1090" w:type="dxa"/>
            <w:shd w:val="clear" w:color="auto" w:fill="FFFFFF"/>
          </w:tcPr>
          <w:p w14:paraId="0DCCB7B1" w14:textId="77777777" w:rsidR="00B67D7C" w:rsidRPr="00DE096C" w:rsidRDefault="00B67D7C" w:rsidP="00D45A46">
            <w:pPr>
              <w:jc w:val="both"/>
              <w:rPr>
                <w:bCs/>
                <w:color w:val="002060"/>
                <w:sz w:val="16"/>
                <w:szCs w:val="16"/>
              </w:rPr>
            </w:pPr>
            <w:r w:rsidRPr="00DE096C">
              <w:rPr>
                <w:bCs/>
                <w:color w:val="002060"/>
                <w:sz w:val="16"/>
                <w:szCs w:val="16"/>
                <w:lang w:val="en-US"/>
              </w:rPr>
              <w:t>Sunbeam</w:t>
            </w:r>
          </w:p>
        </w:tc>
        <w:tc>
          <w:tcPr>
            <w:tcW w:w="1267" w:type="dxa"/>
            <w:shd w:val="clear" w:color="auto" w:fill="FFFFFF"/>
          </w:tcPr>
          <w:p w14:paraId="01AFA918" w14:textId="77777777" w:rsidR="00B67D7C" w:rsidRPr="00DE096C" w:rsidRDefault="00B67D7C" w:rsidP="00D45A46">
            <w:pPr>
              <w:jc w:val="both"/>
              <w:rPr>
                <w:bCs/>
                <w:color w:val="002060"/>
                <w:sz w:val="16"/>
                <w:szCs w:val="16"/>
              </w:rPr>
            </w:pPr>
            <w:r w:rsidRPr="00DE096C">
              <w:rPr>
                <w:bCs/>
                <w:color w:val="002060"/>
                <w:sz w:val="16"/>
                <w:szCs w:val="16"/>
                <w:lang w:val="en-US"/>
              </w:rPr>
              <w:t xml:space="preserve">Renault </w:t>
            </w:r>
            <w:r w:rsidRPr="00DE096C">
              <w:rPr>
                <w:bCs/>
                <w:color w:val="002060"/>
                <w:sz w:val="16"/>
                <w:szCs w:val="16"/>
              </w:rPr>
              <w:t xml:space="preserve">8 </w:t>
            </w:r>
            <w:r w:rsidRPr="00DE096C">
              <w:rPr>
                <w:bCs/>
                <w:color w:val="002060"/>
                <w:sz w:val="16"/>
                <w:szCs w:val="16"/>
                <w:lang w:val="en-US"/>
              </w:rPr>
              <w:t>Gd,</w:t>
            </w:r>
          </w:p>
        </w:tc>
      </w:tr>
      <w:tr w:rsidR="00B67D7C" w:rsidRPr="00DE096C" w14:paraId="1F8B0B41" w14:textId="77777777" w:rsidTr="00C2024A">
        <w:trPr>
          <w:trHeight w:val="206"/>
        </w:trPr>
        <w:tc>
          <w:tcPr>
            <w:tcW w:w="2069" w:type="dxa"/>
            <w:shd w:val="clear" w:color="auto" w:fill="FFFFFF"/>
          </w:tcPr>
          <w:p w14:paraId="71D0E12D" w14:textId="77777777" w:rsidR="00B67D7C" w:rsidRPr="00DE096C" w:rsidRDefault="00B67D7C" w:rsidP="00D45A46">
            <w:pPr>
              <w:jc w:val="both"/>
              <w:rPr>
                <w:bCs/>
                <w:color w:val="002060"/>
                <w:sz w:val="16"/>
                <w:szCs w:val="16"/>
              </w:rPr>
            </w:pPr>
          </w:p>
        </w:tc>
        <w:tc>
          <w:tcPr>
            <w:tcW w:w="1176" w:type="dxa"/>
            <w:shd w:val="clear" w:color="auto" w:fill="FFFFFF"/>
          </w:tcPr>
          <w:p w14:paraId="755B72DB" w14:textId="77777777" w:rsidR="00B67D7C" w:rsidRPr="00DE096C" w:rsidRDefault="00B67D7C" w:rsidP="00D45A46">
            <w:pPr>
              <w:jc w:val="both"/>
              <w:rPr>
                <w:bCs/>
                <w:color w:val="002060"/>
                <w:sz w:val="16"/>
                <w:szCs w:val="16"/>
              </w:rPr>
            </w:pPr>
            <w:r w:rsidRPr="00DE096C">
              <w:rPr>
                <w:bCs/>
                <w:color w:val="002060"/>
                <w:sz w:val="16"/>
                <w:szCs w:val="16"/>
                <w:lang w:val="en-US"/>
              </w:rPr>
              <w:t>Double</w:t>
            </w:r>
          </w:p>
        </w:tc>
        <w:tc>
          <w:tcPr>
            <w:tcW w:w="1133" w:type="dxa"/>
            <w:shd w:val="clear" w:color="auto" w:fill="FFFFFF"/>
          </w:tcPr>
          <w:p w14:paraId="505230F8" w14:textId="77777777" w:rsidR="00B67D7C" w:rsidRPr="00DE096C" w:rsidRDefault="00B67D7C" w:rsidP="00D45A46">
            <w:pPr>
              <w:jc w:val="both"/>
              <w:rPr>
                <w:bCs/>
                <w:color w:val="002060"/>
                <w:sz w:val="16"/>
                <w:szCs w:val="16"/>
              </w:rPr>
            </w:pPr>
            <w:r w:rsidRPr="00DE096C">
              <w:rPr>
                <w:bCs/>
                <w:color w:val="002060"/>
                <w:sz w:val="16"/>
                <w:szCs w:val="16"/>
                <w:lang w:val="en-US"/>
              </w:rPr>
              <w:t>Maori,</w:t>
            </w:r>
          </w:p>
        </w:tc>
        <w:tc>
          <w:tcPr>
            <w:tcW w:w="1090" w:type="dxa"/>
            <w:shd w:val="clear" w:color="auto" w:fill="FFFFFF"/>
          </w:tcPr>
          <w:p w14:paraId="7C2D8C35" w14:textId="77777777" w:rsidR="00B67D7C" w:rsidRPr="00DE096C" w:rsidRDefault="00B67D7C" w:rsidP="00D45A46">
            <w:pPr>
              <w:jc w:val="both"/>
              <w:rPr>
                <w:bCs/>
                <w:color w:val="002060"/>
                <w:sz w:val="16"/>
                <w:szCs w:val="16"/>
              </w:rPr>
            </w:pPr>
            <w:r w:rsidRPr="00DE096C">
              <w:rPr>
                <w:bCs/>
                <w:color w:val="002060"/>
                <w:sz w:val="16"/>
                <w:szCs w:val="16"/>
                <w:lang w:val="en-US"/>
              </w:rPr>
              <w:t>Cossack</w:t>
            </w:r>
            <w:r w:rsidRPr="00DE096C">
              <w:rPr>
                <w:bCs/>
                <w:color w:val="002060"/>
                <w:sz w:val="16"/>
                <w:szCs w:val="16"/>
              </w:rPr>
              <w:t>,</w:t>
            </w:r>
          </w:p>
        </w:tc>
        <w:tc>
          <w:tcPr>
            <w:tcW w:w="1267" w:type="dxa"/>
            <w:shd w:val="clear" w:color="auto" w:fill="FFFFFF"/>
          </w:tcPr>
          <w:p w14:paraId="7A68BF97" w14:textId="77777777" w:rsidR="00B67D7C" w:rsidRPr="00DE096C" w:rsidRDefault="00B67D7C" w:rsidP="00D45A46">
            <w:pPr>
              <w:jc w:val="both"/>
              <w:rPr>
                <w:bCs/>
                <w:color w:val="002060"/>
                <w:sz w:val="16"/>
                <w:szCs w:val="16"/>
              </w:rPr>
            </w:pPr>
            <w:r w:rsidRPr="00DE096C">
              <w:rPr>
                <w:bCs/>
                <w:color w:val="002060"/>
                <w:sz w:val="16"/>
                <w:szCs w:val="16"/>
              </w:rPr>
              <w:t>2*220 л. с.</w:t>
            </w:r>
          </w:p>
        </w:tc>
      </w:tr>
      <w:tr w:rsidR="00B67D7C" w:rsidRPr="00DE096C" w14:paraId="33ABEF72" w14:textId="77777777" w:rsidTr="00C2024A">
        <w:trPr>
          <w:trHeight w:val="211"/>
        </w:trPr>
        <w:tc>
          <w:tcPr>
            <w:tcW w:w="2069" w:type="dxa"/>
            <w:shd w:val="clear" w:color="auto" w:fill="FFFFFF"/>
          </w:tcPr>
          <w:p w14:paraId="343B78C8" w14:textId="77777777" w:rsidR="00B67D7C" w:rsidRPr="00DE096C" w:rsidRDefault="00B67D7C" w:rsidP="00D45A46">
            <w:pPr>
              <w:jc w:val="both"/>
              <w:rPr>
                <w:bCs/>
                <w:color w:val="002060"/>
                <w:sz w:val="16"/>
                <w:szCs w:val="16"/>
              </w:rPr>
            </w:pPr>
          </w:p>
        </w:tc>
        <w:tc>
          <w:tcPr>
            <w:tcW w:w="1176" w:type="dxa"/>
            <w:shd w:val="clear" w:color="auto" w:fill="FFFFFF"/>
          </w:tcPr>
          <w:p w14:paraId="68956506" w14:textId="77777777" w:rsidR="00B67D7C" w:rsidRPr="00DE096C" w:rsidRDefault="00B67D7C" w:rsidP="00D45A46">
            <w:pPr>
              <w:jc w:val="both"/>
              <w:rPr>
                <w:bCs/>
                <w:color w:val="002060"/>
                <w:sz w:val="16"/>
                <w:szCs w:val="16"/>
              </w:rPr>
            </w:pPr>
            <w:r w:rsidRPr="00DE096C">
              <w:rPr>
                <w:bCs/>
                <w:color w:val="002060"/>
                <w:sz w:val="16"/>
                <w:szCs w:val="16"/>
                <w:lang w:val="en-US"/>
              </w:rPr>
              <w:t>Lambda,</w:t>
            </w:r>
          </w:p>
        </w:tc>
        <w:tc>
          <w:tcPr>
            <w:tcW w:w="1133" w:type="dxa"/>
            <w:shd w:val="clear" w:color="auto" w:fill="FFFFFF"/>
          </w:tcPr>
          <w:p w14:paraId="46518540" w14:textId="77777777" w:rsidR="00B67D7C" w:rsidRPr="00DE096C" w:rsidRDefault="00B67D7C" w:rsidP="00D45A46">
            <w:pPr>
              <w:jc w:val="both"/>
              <w:rPr>
                <w:bCs/>
                <w:color w:val="002060"/>
                <w:sz w:val="16"/>
                <w:szCs w:val="16"/>
              </w:rPr>
            </w:pPr>
            <w:r w:rsidRPr="00DE096C">
              <w:rPr>
                <w:bCs/>
                <w:color w:val="002060"/>
                <w:sz w:val="16"/>
                <w:szCs w:val="16"/>
              </w:rPr>
              <w:t>1*260 л.с.</w:t>
            </w:r>
          </w:p>
        </w:tc>
        <w:tc>
          <w:tcPr>
            <w:tcW w:w="1090" w:type="dxa"/>
            <w:shd w:val="clear" w:color="auto" w:fill="FFFFFF"/>
          </w:tcPr>
          <w:p w14:paraId="4071BB92" w14:textId="77777777" w:rsidR="00B67D7C" w:rsidRPr="00DE096C" w:rsidRDefault="00B67D7C" w:rsidP="00D45A46">
            <w:pPr>
              <w:jc w:val="both"/>
              <w:rPr>
                <w:bCs/>
                <w:color w:val="002060"/>
                <w:sz w:val="16"/>
                <w:szCs w:val="16"/>
              </w:rPr>
            </w:pPr>
            <w:r w:rsidRPr="00DE096C">
              <w:rPr>
                <w:bCs/>
                <w:color w:val="002060"/>
                <w:sz w:val="16"/>
                <w:szCs w:val="16"/>
              </w:rPr>
              <w:t>3*320 л. с.</w:t>
            </w:r>
          </w:p>
        </w:tc>
        <w:tc>
          <w:tcPr>
            <w:tcW w:w="1267" w:type="dxa"/>
            <w:shd w:val="clear" w:color="auto" w:fill="FFFFFF"/>
          </w:tcPr>
          <w:p w14:paraId="6635A947" w14:textId="77777777" w:rsidR="00B67D7C" w:rsidRPr="00DE096C" w:rsidRDefault="00B67D7C" w:rsidP="00D45A46">
            <w:pPr>
              <w:jc w:val="both"/>
              <w:rPr>
                <w:bCs/>
                <w:color w:val="002060"/>
                <w:sz w:val="16"/>
                <w:szCs w:val="16"/>
              </w:rPr>
            </w:pPr>
          </w:p>
        </w:tc>
      </w:tr>
      <w:tr w:rsidR="00B67D7C" w:rsidRPr="00DE096C" w14:paraId="6CC6247A" w14:textId="77777777" w:rsidTr="00C2024A">
        <w:trPr>
          <w:trHeight w:val="221"/>
        </w:trPr>
        <w:tc>
          <w:tcPr>
            <w:tcW w:w="2069" w:type="dxa"/>
            <w:shd w:val="clear" w:color="auto" w:fill="FFFFFF"/>
          </w:tcPr>
          <w:p w14:paraId="660DBC68" w14:textId="77777777" w:rsidR="00B67D7C" w:rsidRPr="00DE096C" w:rsidRDefault="00B67D7C" w:rsidP="00D45A46">
            <w:pPr>
              <w:jc w:val="both"/>
              <w:rPr>
                <w:bCs/>
                <w:color w:val="002060"/>
                <w:sz w:val="16"/>
                <w:szCs w:val="16"/>
              </w:rPr>
            </w:pPr>
          </w:p>
        </w:tc>
        <w:tc>
          <w:tcPr>
            <w:tcW w:w="1176" w:type="dxa"/>
            <w:shd w:val="clear" w:color="auto" w:fill="FFFFFF"/>
          </w:tcPr>
          <w:p w14:paraId="3801D360" w14:textId="77777777" w:rsidR="00B67D7C" w:rsidRPr="00DE096C" w:rsidRDefault="00B67D7C" w:rsidP="00D45A46">
            <w:pPr>
              <w:jc w:val="both"/>
              <w:rPr>
                <w:bCs/>
                <w:color w:val="002060"/>
                <w:sz w:val="16"/>
                <w:szCs w:val="16"/>
              </w:rPr>
            </w:pPr>
            <w:r w:rsidRPr="00DE096C">
              <w:rPr>
                <w:bCs/>
                <w:color w:val="002060"/>
                <w:sz w:val="16"/>
                <w:szCs w:val="16"/>
              </w:rPr>
              <w:t>2*160 л.с.</w:t>
            </w:r>
          </w:p>
        </w:tc>
        <w:tc>
          <w:tcPr>
            <w:tcW w:w="1133" w:type="dxa"/>
            <w:shd w:val="clear" w:color="auto" w:fill="FFFFFF"/>
          </w:tcPr>
          <w:p w14:paraId="3916CB70" w14:textId="77777777" w:rsidR="00B67D7C" w:rsidRPr="00DE096C" w:rsidRDefault="00B67D7C" w:rsidP="00D45A46">
            <w:pPr>
              <w:jc w:val="both"/>
              <w:rPr>
                <w:bCs/>
                <w:color w:val="002060"/>
                <w:sz w:val="16"/>
                <w:szCs w:val="16"/>
              </w:rPr>
            </w:pPr>
          </w:p>
        </w:tc>
        <w:tc>
          <w:tcPr>
            <w:tcW w:w="1090" w:type="dxa"/>
            <w:shd w:val="clear" w:color="auto" w:fill="FFFFFF"/>
          </w:tcPr>
          <w:p w14:paraId="3A875F0E" w14:textId="77777777" w:rsidR="00B67D7C" w:rsidRPr="00DE096C" w:rsidRDefault="00B67D7C" w:rsidP="00D45A46">
            <w:pPr>
              <w:jc w:val="both"/>
              <w:rPr>
                <w:bCs/>
                <w:color w:val="002060"/>
                <w:sz w:val="16"/>
                <w:szCs w:val="16"/>
              </w:rPr>
            </w:pPr>
          </w:p>
        </w:tc>
        <w:tc>
          <w:tcPr>
            <w:tcW w:w="1267" w:type="dxa"/>
            <w:shd w:val="clear" w:color="auto" w:fill="FFFFFF"/>
          </w:tcPr>
          <w:p w14:paraId="76566DFB" w14:textId="77777777" w:rsidR="00B67D7C" w:rsidRPr="00DE096C" w:rsidRDefault="00B67D7C" w:rsidP="00D45A46">
            <w:pPr>
              <w:jc w:val="both"/>
              <w:rPr>
                <w:bCs/>
                <w:color w:val="002060"/>
                <w:sz w:val="16"/>
                <w:szCs w:val="16"/>
              </w:rPr>
            </w:pPr>
          </w:p>
        </w:tc>
      </w:tr>
      <w:tr w:rsidR="00B67D7C" w:rsidRPr="00DE096C" w14:paraId="1B0F3A5F" w14:textId="77777777" w:rsidTr="00C2024A">
        <w:trPr>
          <w:trHeight w:val="240"/>
        </w:trPr>
        <w:tc>
          <w:tcPr>
            <w:tcW w:w="2069" w:type="dxa"/>
            <w:shd w:val="clear" w:color="auto" w:fill="FFFFFF"/>
          </w:tcPr>
          <w:p w14:paraId="0872448D" w14:textId="77777777" w:rsidR="00B67D7C" w:rsidRPr="00DE096C" w:rsidRDefault="00B67D7C" w:rsidP="00D45A46">
            <w:pPr>
              <w:jc w:val="both"/>
              <w:rPr>
                <w:bCs/>
                <w:color w:val="002060"/>
                <w:sz w:val="16"/>
                <w:szCs w:val="16"/>
              </w:rPr>
            </w:pPr>
            <w:r w:rsidRPr="00DE096C">
              <w:rPr>
                <w:bCs/>
                <w:color w:val="002060"/>
                <w:sz w:val="16"/>
                <w:szCs w:val="16"/>
              </w:rPr>
              <w:t>Взлётный вес, кг</w:t>
            </w:r>
          </w:p>
        </w:tc>
        <w:tc>
          <w:tcPr>
            <w:tcW w:w="1176" w:type="dxa"/>
            <w:shd w:val="clear" w:color="auto" w:fill="FFFFFF"/>
          </w:tcPr>
          <w:p w14:paraId="22BC7BD0" w14:textId="77777777" w:rsidR="00B67D7C" w:rsidRPr="00DE096C" w:rsidRDefault="00B67D7C" w:rsidP="00D45A46">
            <w:pPr>
              <w:jc w:val="both"/>
              <w:rPr>
                <w:bCs/>
                <w:color w:val="002060"/>
                <w:sz w:val="16"/>
                <w:szCs w:val="16"/>
              </w:rPr>
            </w:pPr>
            <w:r w:rsidRPr="00DE096C">
              <w:rPr>
                <w:bCs/>
                <w:color w:val="002060"/>
                <w:sz w:val="16"/>
                <w:szCs w:val="16"/>
              </w:rPr>
              <w:t>2800</w:t>
            </w:r>
          </w:p>
        </w:tc>
        <w:tc>
          <w:tcPr>
            <w:tcW w:w="1133" w:type="dxa"/>
            <w:shd w:val="clear" w:color="auto" w:fill="FFFFFF"/>
          </w:tcPr>
          <w:p w14:paraId="33E6A2F2" w14:textId="77777777" w:rsidR="00B67D7C" w:rsidRPr="00DE096C" w:rsidRDefault="00B67D7C" w:rsidP="00D45A46">
            <w:pPr>
              <w:jc w:val="both"/>
              <w:rPr>
                <w:bCs/>
                <w:color w:val="002060"/>
                <w:sz w:val="16"/>
                <w:szCs w:val="16"/>
              </w:rPr>
            </w:pPr>
            <w:r w:rsidRPr="00DE096C">
              <w:rPr>
                <w:bCs/>
                <w:color w:val="002060"/>
                <w:sz w:val="16"/>
                <w:szCs w:val="16"/>
              </w:rPr>
              <w:t>2430</w:t>
            </w:r>
          </w:p>
        </w:tc>
        <w:tc>
          <w:tcPr>
            <w:tcW w:w="1090" w:type="dxa"/>
            <w:shd w:val="clear" w:color="auto" w:fill="FFFFFF"/>
          </w:tcPr>
          <w:p w14:paraId="3205E339" w14:textId="77777777" w:rsidR="00B67D7C" w:rsidRPr="00DE096C" w:rsidRDefault="00B67D7C" w:rsidP="00D45A46">
            <w:pPr>
              <w:jc w:val="both"/>
              <w:rPr>
                <w:bCs/>
                <w:color w:val="002060"/>
                <w:sz w:val="16"/>
                <w:szCs w:val="16"/>
              </w:rPr>
            </w:pPr>
          </w:p>
        </w:tc>
        <w:tc>
          <w:tcPr>
            <w:tcW w:w="1267" w:type="dxa"/>
            <w:shd w:val="clear" w:color="auto" w:fill="FFFFFF"/>
          </w:tcPr>
          <w:p w14:paraId="26EADC39" w14:textId="77777777" w:rsidR="00B67D7C" w:rsidRPr="00DE096C" w:rsidRDefault="00B67D7C" w:rsidP="00D45A46">
            <w:pPr>
              <w:jc w:val="both"/>
              <w:rPr>
                <w:bCs/>
                <w:color w:val="002060"/>
                <w:sz w:val="16"/>
                <w:szCs w:val="16"/>
              </w:rPr>
            </w:pPr>
          </w:p>
        </w:tc>
      </w:tr>
      <w:tr w:rsidR="00B67D7C" w:rsidRPr="00DE096C" w14:paraId="5A845811" w14:textId="77777777" w:rsidTr="00C2024A">
        <w:trPr>
          <w:trHeight w:val="245"/>
        </w:trPr>
        <w:tc>
          <w:tcPr>
            <w:tcW w:w="2069" w:type="dxa"/>
            <w:shd w:val="clear" w:color="auto" w:fill="FFFFFF"/>
          </w:tcPr>
          <w:p w14:paraId="323F02D0" w14:textId="77777777" w:rsidR="00B67D7C" w:rsidRPr="00DE096C" w:rsidRDefault="00B67D7C" w:rsidP="00D45A46">
            <w:pPr>
              <w:jc w:val="both"/>
              <w:rPr>
                <w:bCs/>
                <w:color w:val="002060"/>
                <w:sz w:val="16"/>
                <w:szCs w:val="16"/>
              </w:rPr>
            </w:pPr>
            <w:r w:rsidRPr="00DE096C">
              <w:rPr>
                <w:bCs/>
                <w:color w:val="002060"/>
                <w:sz w:val="16"/>
                <w:szCs w:val="16"/>
              </w:rPr>
              <w:t>Размах крыла, м</w:t>
            </w:r>
          </w:p>
        </w:tc>
        <w:tc>
          <w:tcPr>
            <w:tcW w:w="1176" w:type="dxa"/>
            <w:shd w:val="clear" w:color="auto" w:fill="FFFFFF"/>
          </w:tcPr>
          <w:p w14:paraId="365BB729" w14:textId="77777777" w:rsidR="00B67D7C" w:rsidRPr="00DE096C" w:rsidRDefault="00B67D7C" w:rsidP="00D45A46">
            <w:pPr>
              <w:jc w:val="both"/>
              <w:rPr>
                <w:bCs/>
                <w:color w:val="002060"/>
                <w:sz w:val="16"/>
                <w:szCs w:val="16"/>
              </w:rPr>
            </w:pPr>
            <w:r w:rsidRPr="00DE096C">
              <w:rPr>
                <w:bCs/>
                <w:color w:val="002060"/>
                <w:sz w:val="16"/>
                <w:szCs w:val="16"/>
              </w:rPr>
              <w:t>19</w:t>
            </w:r>
          </w:p>
        </w:tc>
        <w:tc>
          <w:tcPr>
            <w:tcW w:w="1133" w:type="dxa"/>
            <w:shd w:val="clear" w:color="auto" w:fill="FFFFFF"/>
          </w:tcPr>
          <w:p w14:paraId="778E7250" w14:textId="77777777" w:rsidR="00B67D7C" w:rsidRPr="00DE096C" w:rsidRDefault="00B67D7C" w:rsidP="00D45A46">
            <w:pPr>
              <w:jc w:val="both"/>
              <w:rPr>
                <w:bCs/>
                <w:color w:val="002060"/>
                <w:sz w:val="16"/>
                <w:szCs w:val="16"/>
              </w:rPr>
            </w:pPr>
            <w:r w:rsidRPr="00DE096C">
              <w:rPr>
                <w:bCs/>
                <w:color w:val="002060"/>
                <w:sz w:val="16"/>
                <w:szCs w:val="16"/>
              </w:rPr>
              <w:t>19,35</w:t>
            </w:r>
          </w:p>
        </w:tc>
        <w:tc>
          <w:tcPr>
            <w:tcW w:w="1090" w:type="dxa"/>
            <w:shd w:val="clear" w:color="auto" w:fill="FFFFFF"/>
          </w:tcPr>
          <w:p w14:paraId="2EC45FC6" w14:textId="77777777" w:rsidR="00B67D7C" w:rsidRPr="00DE096C" w:rsidRDefault="00B67D7C" w:rsidP="00D45A46">
            <w:pPr>
              <w:jc w:val="both"/>
              <w:rPr>
                <w:bCs/>
                <w:color w:val="002060"/>
                <w:sz w:val="16"/>
                <w:szCs w:val="16"/>
              </w:rPr>
            </w:pPr>
            <w:r w:rsidRPr="00DE096C">
              <w:rPr>
                <w:bCs/>
                <w:color w:val="002060"/>
                <w:sz w:val="16"/>
                <w:szCs w:val="16"/>
              </w:rPr>
              <w:t>35,05</w:t>
            </w:r>
          </w:p>
        </w:tc>
        <w:tc>
          <w:tcPr>
            <w:tcW w:w="1267" w:type="dxa"/>
            <w:shd w:val="clear" w:color="auto" w:fill="FFFFFF"/>
          </w:tcPr>
          <w:p w14:paraId="3E9AFA62" w14:textId="77777777" w:rsidR="00B67D7C" w:rsidRPr="00DE096C" w:rsidRDefault="00B67D7C" w:rsidP="00D45A46">
            <w:pPr>
              <w:jc w:val="both"/>
              <w:rPr>
                <w:bCs/>
                <w:color w:val="002060"/>
                <w:sz w:val="16"/>
                <w:szCs w:val="16"/>
              </w:rPr>
            </w:pPr>
            <w:r w:rsidRPr="00DE096C">
              <w:rPr>
                <w:bCs/>
                <w:color w:val="002060"/>
                <w:sz w:val="16"/>
                <w:szCs w:val="16"/>
              </w:rPr>
              <w:t>28</w:t>
            </w:r>
          </w:p>
        </w:tc>
      </w:tr>
      <w:tr w:rsidR="00B67D7C" w:rsidRPr="00DE096C" w14:paraId="781AFF54" w14:textId="77777777" w:rsidTr="00C2024A">
        <w:trPr>
          <w:trHeight w:val="240"/>
        </w:trPr>
        <w:tc>
          <w:tcPr>
            <w:tcW w:w="2069" w:type="dxa"/>
            <w:shd w:val="clear" w:color="auto" w:fill="FFFFFF"/>
          </w:tcPr>
          <w:p w14:paraId="2233758B" w14:textId="77777777" w:rsidR="00B67D7C" w:rsidRPr="00DE096C" w:rsidRDefault="00B67D7C" w:rsidP="00D45A46">
            <w:pPr>
              <w:jc w:val="both"/>
              <w:rPr>
                <w:bCs/>
                <w:color w:val="002060"/>
                <w:sz w:val="16"/>
                <w:szCs w:val="16"/>
              </w:rPr>
            </w:pPr>
            <w:r w:rsidRPr="00DE096C">
              <w:rPr>
                <w:bCs/>
                <w:color w:val="002060"/>
                <w:sz w:val="16"/>
                <w:szCs w:val="16"/>
              </w:rPr>
              <w:t>Длина, м</w:t>
            </w:r>
          </w:p>
        </w:tc>
        <w:tc>
          <w:tcPr>
            <w:tcW w:w="1176" w:type="dxa"/>
            <w:shd w:val="clear" w:color="auto" w:fill="FFFFFF"/>
          </w:tcPr>
          <w:p w14:paraId="2B312885" w14:textId="77777777" w:rsidR="00B67D7C" w:rsidRPr="00DE096C" w:rsidRDefault="00B67D7C" w:rsidP="00D45A46">
            <w:pPr>
              <w:jc w:val="both"/>
              <w:rPr>
                <w:bCs/>
                <w:color w:val="002060"/>
                <w:sz w:val="16"/>
                <w:szCs w:val="16"/>
              </w:rPr>
            </w:pPr>
            <w:r w:rsidRPr="00DE096C">
              <w:rPr>
                <w:bCs/>
                <w:color w:val="002060"/>
                <w:sz w:val="16"/>
                <w:szCs w:val="16"/>
              </w:rPr>
              <w:t>15</w:t>
            </w:r>
          </w:p>
        </w:tc>
        <w:tc>
          <w:tcPr>
            <w:tcW w:w="1133" w:type="dxa"/>
            <w:shd w:val="clear" w:color="auto" w:fill="FFFFFF"/>
          </w:tcPr>
          <w:p w14:paraId="17EC33AF" w14:textId="77777777" w:rsidR="00B67D7C" w:rsidRPr="00DE096C" w:rsidRDefault="00B67D7C" w:rsidP="00D45A46">
            <w:pPr>
              <w:jc w:val="both"/>
              <w:rPr>
                <w:bCs/>
                <w:color w:val="002060"/>
                <w:sz w:val="16"/>
                <w:szCs w:val="16"/>
              </w:rPr>
            </w:pPr>
            <w:r w:rsidRPr="00DE096C">
              <w:rPr>
                <w:bCs/>
                <w:color w:val="002060"/>
                <w:sz w:val="16"/>
                <w:szCs w:val="16"/>
              </w:rPr>
              <w:t>12,4:</w:t>
            </w:r>
          </w:p>
        </w:tc>
        <w:tc>
          <w:tcPr>
            <w:tcW w:w="1090" w:type="dxa"/>
            <w:shd w:val="clear" w:color="auto" w:fill="FFFFFF"/>
          </w:tcPr>
          <w:p w14:paraId="5B879158" w14:textId="77777777" w:rsidR="00B67D7C" w:rsidRPr="00DE096C" w:rsidRDefault="00B67D7C" w:rsidP="00D45A46">
            <w:pPr>
              <w:jc w:val="both"/>
              <w:rPr>
                <w:bCs/>
                <w:color w:val="002060"/>
                <w:sz w:val="16"/>
                <w:szCs w:val="16"/>
              </w:rPr>
            </w:pPr>
          </w:p>
        </w:tc>
        <w:tc>
          <w:tcPr>
            <w:tcW w:w="1267" w:type="dxa"/>
            <w:shd w:val="clear" w:color="auto" w:fill="FFFFFF"/>
          </w:tcPr>
          <w:p w14:paraId="7ADFD5D3" w14:textId="77777777" w:rsidR="00B67D7C" w:rsidRPr="00DE096C" w:rsidRDefault="00B67D7C" w:rsidP="00D45A46">
            <w:pPr>
              <w:jc w:val="both"/>
              <w:rPr>
                <w:bCs/>
                <w:color w:val="002060"/>
                <w:sz w:val="16"/>
                <w:szCs w:val="16"/>
              </w:rPr>
            </w:pPr>
            <w:r w:rsidRPr="00DE096C">
              <w:rPr>
                <w:bCs/>
                <w:color w:val="002060"/>
                <w:sz w:val="16"/>
                <w:szCs w:val="16"/>
              </w:rPr>
              <w:t>14,5</w:t>
            </w:r>
          </w:p>
        </w:tc>
      </w:tr>
      <w:tr w:rsidR="00B67D7C" w:rsidRPr="00DE096C" w14:paraId="702E8AEB" w14:textId="77777777" w:rsidTr="00C2024A">
        <w:trPr>
          <w:trHeight w:val="235"/>
        </w:trPr>
        <w:tc>
          <w:tcPr>
            <w:tcW w:w="2069" w:type="dxa"/>
            <w:shd w:val="clear" w:color="auto" w:fill="FFFFFF"/>
          </w:tcPr>
          <w:p w14:paraId="3EC22723" w14:textId="77777777" w:rsidR="00B67D7C" w:rsidRPr="00DE096C" w:rsidRDefault="00B67D7C" w:rsidP="00D45A46">
            <w:pPr>
              <w:jc w:val="both"/>
              <w:rPr>
                <w:bCs/>
                <w:color w:val="002060"/>
                <w:sz w:val="16"/>
                <w:szCs w:val="16"/>
              </w:rPr>
            </w:pPr>
            <w:r w:rsidRPr="00DE096C">
              <w:rPr>
                <w:bCs/>
                <w:color w:val="002060"/>
                <w:sz w:val="16"/>
                <w:szCs w:val="16"/>
              </w:rPr>
              <w:t>Площадь крыла, м</w:t>
            </w:r>
            <w:r w:rsidRPr="00DE096C">
              <w:rPr>
                <w:bCs/>
                <w:color w:val="002060"/>
                <w:sz w:val="16"/>
                <w:szCs w:val="16"/>
                <w:vertAlign w:val="superscript"/>
              </w:rPr>
              <w:t>2</w:t>
            </w:r>
          </w:p>
        </w:tc>
        <w:tc>
          <w:tcPr>
            <w:tcW w:w="1176" w:type="dxa"/>
            <w:shd w:val="clear" w:color="auto" w:fill="FFFFFF"/>
          </w:tcPr>
          <w:p w14:paraId="396439AA" w14:textId="77777777" w:rsidR="00B67D7C" w:rsidRPr="00DE096C" w:rsidRDefault="00B67D7C" w:rsidP="00D45A46">
            <w:pPr>
              <w:jc w:val="both"/>
              <w:rPr>
                <w:bCs/>
                <w:color w:val="002060"/>
                <w:sz w:val="16"/>
                <w:szCs w:val="16"/>
              </w:rPr>
            </w:pPr>
            <w:r w:rsidRPr="00DE096C">
              <w:rPr>
                <w:bCs/>
                <w:color w:val="002060"/>
                <w:sz w:val="16"/>
                <w:szCs w:val="16"/>
              </w:rPr>
              <w:t>70</w:t>
            </w:r>
          </w:p>
        </w:tc>
        <w:tc>
          <w:tcPr>
            <w:tcW w:w="1133" w:type="dxa"/>
            <w:shd w:val="clear" w:color="auto" w:fill="FFFFFF"/>
          </w:tcPr>
          <w:p w14:paraId="55050154" w14:textId="77777777" w:rsidR="00B67D7C" w:rsidRPr="00DE096C" w:rsidRDefault="00B67D7C" w:rsidP="00D45A46">
            <w:pPr>
              <w:jc w:val="both"/>
              <w:rPr>
                <w:bCs/>
                <w:color w:val="002060"/>
                <w:sz w:val="16"/>
                <w:szCs w:val="16"/>
              </w:rPr>
            </w:pPr>
            <w:r w:rsidRPr="00DE096C">
              <w:rPr>
                <w:bCs/>
                <w:color w:val="002060"/>
                <w:sz w:val="16"/>
                <w:szCs w:val="16"/>
              </w:rPr>
              <w:t>64</w:t>
            </w:r>
          </w:p>
        </w:tc>
        <w:tc>
          <w:tcPr>
            <w:tcW w:w="1090" w:type="dxa"/>
            <w:shd w:val="clear" w:color="auto" w:fill="FFFFFF"/>
          </w:tcPr>
          <w:p w14:paraId="3C10D3CD" w14:textId="77777777" w:rsidR="00B67D7C" w:rsidRPr="00DE096C" w:rsidRDefault="00B67D7C" w:rsidP="00D45A46">
            <w:pPr>
              <w:jc w:val="both"/>
              <w:rPr>
                <w:bCs/>
                <w:color w:val="002060"/>
                <w:sz w:val="16"/>
                <w:szCs w:val="16"/>
              </w:rPr>
            </w:pPr>
          </w:p>
        </w:tc>
        <w:tc>
          <w:tcPr>
            <w:tcW w:w="1267" w:type="dxa"/>
            <w:shd w:val="clear" w:color="auto" w:fill="FFFFFF"/>
          </w:tcPr>
          <w:p w14:paraId="6C9A229B" w14:textId="77777777" w:rsidR="00B67D7C" w:rsidRPr="00DE096C" w:rsidRDefault="00B67D7C" w:rsidP="00D45A46">
            <w:pPr>
              <w:jc w:val="both"/>
              <w:rPr>
                <w:bCs/>
                <w:color w:val="002060"/>
                <w:sz w:val="16"/>
                <w:szCs w:val="16"/>
              </w:rPr>
            </w:pPr>
            <w:r w:rsidRPr="00DE096C">
              <w:rPr>
                <w:bCs/>
                <w:color w:val="002060"/>
                <w:sz w:val="16"/>
                <w:szCs w:val="16"/>
              </w:rPr>
              <w:t>150</w:t>
            </w:r>
          </w:p>
        </w:tc>
      </w:tr>
      <w:tr w:rsidR="00B67D7C" w:rsidRPr="00DE096C" w14:paraId="49BFFF8B" w14:textId="77777777" w:rsidTr="00C2024A">
        <w:trPr>
          <w:trHeight w:val="245"/>
        </w:trPr>
        <w:tc>
          <w:tcPr>
            <w:tcW w:w="2069" w:type="dxa"/>
            <w:shd w:val="clear" w:color="auto" w:fill="FFFFFF"/>
          </w:tcPr>
          <w:p w14:paraId="449447E4" w14:textId="77777777" w:rsidR="00B67D7C" w:rsidRPr="00DE096C" w:rsidRDefault="00B67D7C" w:rsidP="00D45A46">
            <w:pPr>
              <w:jc w:val="both"/>
              <w:rPr>
                <w:bCs/>
                <w:color w:val="002060"/>
                <w:sz w:val="16"/>
                <w:szCs w:val="16"/>
              </w:rPr>
            </w:pPr>
            <w:r w:rsidRPr="00DE096C">
              <w:rPr>
                <w:bCs/>
                <w:color w:val="002060"/>
                <w:sz w:val="16"/>
                <w:szCs w:val="16"/>
              </w:rPr>
              <w:t>Макс, скорость, км/ч</w:t>
            </w:r>
          </w:p>
        </w:tc>
        <w:tc>
          <w:tcPr>
            <w:tcW w:w="1176" w:type="dxa"/>
            <w:shd w:val="clear" w:color="auto" w:fill="FFFFFF"/>
          </w:tcPr>
          <w:p w14:paraId="0796CCAC" w14:textId="77777777" w:rsidR="00B67D7C" w:rsidRPr="00DE096C" w:rsidRDefault="00B67D7C" w:rsidP="00D45A46">
            <w:pPr>
              <w:jc w:val="both"/>
              <w:rPr>
                <w:bCs/>
                <w:color w:val="002060"/>
                <w:sz w:val="16"/>
                <w:szCs w:val="16"/>
              </w:rPr>
            </w:pPr>
          </w:p>
        </w:tc>
        <w:tc>
          <w:tcPr>
            <w:tcW w:w="1133" w:type="dxa"/>
            <w:shd w:val="clear" w:color="auto" w:fill="FFFFFF"/>
          </w:tcPr>
          <w:p w14:paraId="3F36A9F7" w14:textId="77777777" w:rsidR="00B67D7C" w:rsidRPr="00DE096C" w:rsidRDefault="00B67D7C" w:rsidP="00D45A46">
            <w:pPr>
              <w:jc w:val="both"/>
              <w:rPr>
                <w:bCs/>
                <w:color w:val="002060"/>
                <w:sz w:val="16"/>
                <w:szCs w:val="16"/>
              </w:rPr>
            </w:pPr>
            <w:r w:rsidRPr="00DE096C">
              <w:rPr>
                <w:bCs/>
                <w:color w:val="002060"/>
                <w:sz w:val="16"/>
                <w:szCs w:val="16"/>
              </w:rPr>
              <w:t>142</w:t>
            </w:r>
          </w:p>
        </w:tc>
        <w:tc>
          <w:tcPr>
            <w:tcW w:w="1090" w:type="dxa"/>
            <w:shd w:val="clear" w:color="auto" w:fill="FFFFFF"/>
          </w:tcPr>
          <w:p w14:paraId="2F234D83" w14:textId="77777777" w:rsidR="00B67D7C" w:rsidRPr="00DE096C" w:rsidRDefault="00B67D7C" w:rsidP="00D45A46">
            <w:pPr>
              <w:jc w:val="both"/>
              <w:rPr>
                <w:bCs/>
                <w:color w:val="002060"/>
                <w:sz w:val="16"/>
                <w:szCs w:val="16"/>
              </w:rPr>
            </w:pPr>
          </w:p>
        </w:tc>
        <w:tc>
          <w:tcPr>
            <w:tcW w:w="1267" w:type="dxa"/>
            <w:shd w:val="clear" w:color="auto" w:fill="FFFFFF"/>
          </w:tcPr>
          <w:p w14:paraId="786159D4" w14:textId="77777777" w:rsidR="00B67D7C" w:rsidRPr="00DE096C" w:rsidRDefault="00B67D7C" w:rsidP="00D45A46">
            <w:pPr>
              <w:jc w:val="both"/>
              <w:rPr>
                <w:bCs/>
                <w:color w:val="002060"/>
                <w:sz w:val="16"/>
                <w:szCs w:val="16"/>
              </w:rPr>
            </w:pPr>
            <w:r w:rsidRPr="00DE096C">
              <w:rPr>
                <w:bCs/>
                <w:color w:val="002060"/>
                <w:sz w:val="16"/>
                <w:szCs w:val="16"/>
              </w:rPr>
              <w:t>110</w:t>
            </w:r>
          </w:p>
        </w:tc>
      </w:tr>
      <w:tr w:rsidR="00B67D7C" w:rsidRPr="00DE096C" w14:paraId="538623A2" w14:textId="77777777" w:rsidTr="00C2024A">
        <w:trPr>
          <w:trHeight w:val="230"/>
        </w:trPr>
        <w:tc>
          <w:tcPr>
            <w:tcW w:w="2069" w:type="dxa"/>
            <w:shd w:val="clear" w:color="auto" w:fill="FFFFFF"/>
          </w:tcPr>
          <w:p w14:paraId="65BB5621" w14:textId="77777777" w:rsidR="00B67D7C" w:rsidRPr="00DE096C" w:rsidRDefault="00B67D7C" w:rsidP="00D45A46">
            <w:pPr>
              <w:jc w:val="both"/>
              <w:rPr>
                <w:bCs/>
                <w:color w:val="002060"/>
                <w:sz w:val="16"/>
                <w:szCs w:val="16"/>
              </w:rPr>
            </w:pPr>
            <w:r w:rsidRPr="00DE096C">
              <w:rPr>
                <w:bCs/>
                <w:color w:val="002060"/>
                <w:sz w:val="16"/>
                <w:szCs w:val="16"/>
              </w:rPr>
              <w:t>Дальность, км</w:t>
            </w:r>
          </w:p>
        </w:tc>
        <w:tc>
          <w:tcPr>
            <w:tcW w:w="1176" w:type="dxa"/>
            <w:shd w:val="clear" w:color="auto" w:fill="FFFFFF"/>
          </w:tcPr>
          <w:p w14:paraId="5EE419A3" w14:textId="77777777" w:rsidR="00B67D7C" w:rsidRPr="00DE096C" w:rsidRDefault="00B67D7C" w:rsidP="00D45A46">
            <w:pPr>
              <w:jc w:val="both"/>
              <w:rPr>
                <w:bCs/>
                <w:color w:val="002060"/>
                <w:sz w:val="16"/>
                <w:szCs w:val="16"/>
              </w:rPr>
            </w:pPr>
          </w:p>
        </w:tc>
        <w:tc>
          <w:tcPr>
            <w:tcW w:w="1133" w:type="dxa"/>
            <w:shd w:val="clear" w:color="auto" w:fill="FFFFFF"/>
          </w:tcPr>
          <w:p w14:paraId="6FB86066" w14:textId="77777777" w:rsidR="00B67D7C" w:rsidRPr="00DE096C" w:rsidRDefault="00B67D7C" w:rsidP="00D45A46">
            <w:pPr>
              <w:jc w:val="both"/>
              <w:rPr>
                <w:bCs/>
                <w:color w:val="002060"/>
                <w:sz w:val="16"/>
                <w:szCs w:val="16"/>
              </w:rPr>
            </w:pPr>
            <w:r w:rsidRPr="00DE096C">
              <w:rPr>
                <w:bCs/>
                <w:color w:val="002060"/>
                <w:sz w:val="16"/>
                <w:szCs w:val="16"/>
              </w:rPr>
              <w:t>330</w:t>
            </w:r>
          </w:p>
        </w:tc>
        <w:tc>
          <w:tcPr>
            <w:tcW w:w="1090" w:type="dxa"/>
            <w:shd w:val="clear" w:color="auto" w:fill="FFFFFF"/>
          </w:tcPr>
          <w:p w14:paraId="0F570F43" w14:textId="77777777" w:rsidR="00B67D7C" w:rsidRPr="00DE096C" w:rsidRDefault="00B67D7C" w:rsidP="00D45A46">
            <w:pPr>
              <w:jc w:val="both"/>
              <w:rPr>
                <w:bCs/>
                <w:color w:val="002060"/>
                <w:sz w:val="16"/>
                <w:szCs w:val="16"/>
              </w:rPr>
            </w:pPr>
          </w:p>
        </w:tc>
        <w:tc>
          <w:tcPr>
            <w:tcW w:w="1267" w:type="dxa"/>
            <w:shd w:val="clear" w:color="auto" w:fill="FFFFFF"/>
          </w:tcPr>
          <w:p w14:paraId="19F12787" w14:textId="77777777" w:rsidR="00B67D7C" w:rsidRPr="00DE096C" w:rsidRDefault="00B67D7C" w:rsidP="00D45A46">
            <w:pPr>
              <w:jc w:val="both"/>
              <w:rPr>
                <w:bCs/>
                <w:color w:val="002060"/>
                <w:sz w:val="16"/>
                <w:szCs w:val="16"/>
              </w:rPr>
            </w:pPr>
          </w:p>
        </w:tc>
      </w:tr>
      <w:tr w:rsidR="00B67D7C" w:rsidRPr="00DE096C" w14:paraId="6EB1EB15" w14:textId="77777777" w:rsidTr="00C2024A">
        <w:trPr>
          <w:trHeight w:val="230"/>
        </w:trPr>
        <w:tc>
          <w:tcPr>
            <w:tcW w:w="2069" w:type="dxa"/>
            <w:shd w:val="clear" w:color="auto" w:fill="FFFFFF"/>
          </w:tcPr>
          <w:p w14:paraId="5C11E387" w14:textId="77777777" w:rsidR="00B67D7C" w:rsidRPr="00DE096C" w:rsidRDefault="00B67D7C" w:rsidP="00D45A46">
            <w:pPr>
              <w:jc w:val="both"/>
              <w:rPr>
                <w:bCs/>
                <w:color w:val="002060"/>
                <w:sz w:val="16"/>
                <w:szCs w:val="16"/>
              </w:rPr>
            </w:pPr>
            <w:r w:rsidRPr="00DE096C">
              <w:rPr>
                <w:bCs/>
                <w:color w:val="002060"/>
                <w:sz w:val="16"/>
                <w:szCs w:val="16"/>
              </w:rPr>
              <w:t>Потолок, м</w:t>
            </w:r>
          </w:p>
        </w:tc>
        <w:tc>
          <w:tcPr>
            <w:tcW w:w="1176" w:type="dxa"/>
            <w:shd w:val="clear" w:color="auto" w:fill="FFFFFF"/>
          </w:tcPr>
          <w:p w14:paraId="35529E8A" w14:textId="77777777" w:rsidR="00B67D7C" w:rsidRPr="00DE096C" w:rsidRDefault="00B67D7C" w:rsidP="00D45A46">
            <w:pPr>
              <w:jc w:val="both"/>
              <w:rPr>
                <w:bCs/>
                <w:color w:val="002060"/>
                <w:sz w:val="16"/>
                <w:szCs w:val="16"/>
              </w:rPr>
            </w:pPr>
          </w:p>
        </w:tc>
        <w:tc>
          <w:tcPr>
            <w:tcW w:w="1133" w:type="dxa"/>
            <w:shd w:val="clear" w:color="auto" w:fill="FFFFFF"/>
          </w:tcPr>
          <w:p w14:paraId="3D98EE92" w14:textId="77777777" w:rsidR="00B67D7C" w:rsidRPr="00DE096C" w:rsidRDefault="00B67D7C" w:rsidP="00D45A46">
            <w:pPr>
              <w:jc w:val="both"/>
              <w:rPr>
                <w:bCs/>
                <w:color w:val="002060"/>
                <w:sz w:val="16"/>
                <w:szCs w:val="16"/>
              </w:rPr>
            </w:pPr>
            <w:r w:rsidRPr="00DE096C">
              <w:rPr>
                <w:bCs/>
                <w:color w:val="002060"/>
                <w:sz w:val="16"/>
                <w:szCs w:val="16"/>
              </w:rPr>
              <w:t>2750</w:t>
            </w:r>
          </w:p>
        </w:tc>
        <w:tc>
          <w:tcPr>
            <w:tcW w:w="1090" w:type="dxa"/>
            <w:shd w:val="clear" w:color="auto" w:fill="FFFFFF"/>
          </w:tcPr>
          <w:p w14:paraId="2F053A18" w14:textId="77777777" w:rsidR="00B67D7C" w:rsidRPr="00DE096C" w:rsidRDefault="00B67D7C" w:rsidP="00D45A46">
            <w:pPr>
              <w:jc w:val="both"/>
              <w:rPr>
                <w:bCs/>
                <w:color w:val="002060"/>
                <w:sz w:val="16"/>
                <w:szCs w:val="16"/>
              </w:rPr>
            </w:pPr>
          </w:p>
        </w:tc>
        <w:tc>
          <w:tcPr>
            <w:tcW w:w="1267" w:type="dxa"/>
            <w:shd w:val="clear" w:color="auto" w:fill="FFFFFF"/>
          </w:tcPr>
          <w:p w14:paraId="76928980" w14:textId="77777777" w:rsidR="00B67D7C" w:rsidRPr="00DE096C" w:rsidRDefault="00B67D7C" w:rsidP="00D45A46">
            <w:pPr>
              <w:jc w:val="both"/>
              <w:rPr>
                <w:bCs/>
                <w:color w:val="002060"/>
                <w:sz w:val="16"/>
                <w:szCs w:val="16"/>
              </w:rPr>
            </w:pPr>
          </w:p>
        </w:tc>
      </w:tr>
      <w:tr w:rsidR="00B67D7C" w:rsidRPr="00DE096C" w14:paraId="36956E36" w14:textId="77777777" w:rsidTr="00C2024A">
        <w:trPr>
          <w:trHeight w:val="293"/>
        </w:trPr>
        <w:tc>
          <w:tcPr>
            <w:tcW w:w="2069" w:type="dxa"/>
            <w:shd w:val="clear" w:color="auto" w:fill="FFFFFF"/>
          </w:tcPr>
          <w:p w14:paraId="3A9480F0" w14:textId="77777777" w:rsidR="00B67D7C" w:rsidRPr="00DE096C" w:rsidRDefault="00B67D7C" w:rsidP="00D45A46">
            <w:pPr>
              <w:jc w:val="both"/>
              <w:rPr>
                <w:bCs/>
                <w:color w:val="002060"/>
                <w:sz w:val="16"/>
                <w:szCs w:val="16"/>
              </w:rPr>
            </w:pPr>
            <w:r w:rsidRPr="00DE096C">
              <w:rPr>
                <w:bCs/>
                <w:color w:val="002060"/>
                <w:sz w:val="16"/>
                <w:szCs w:val="16"/>
              </w:rPr>
              <w:t>Экипаж, чел</w:t>
            </w:r>
          </w:p>
        </w:tc>
        <w:tc>
          <w:tcPr>
            <w:tcW w:w="1176" w:type="dxa"/>
            <w:shd w:val="clear" w:color="auto" w:fill="FFFFFF"/>
          </w:tcPr>
          <w:p w14:paraId="6E2337D9" w14:textId="77777777" w:rsidR="00B67D7C" w:rsidRPr="00DE096C" w:rsidRDefault="00B67D7C" w:rsidP="00D45A46">
            <w:pPr>
              <w:jc w:val="both"/>
              <w:rPr>
                <w:bCs/>
                <w:color w:val="002060"/>
                <w:sz w:val="16"/>
                <w:szCs w:val="16"/>
              </w:rPr>
            </w:pPr>
            <w:r w:rsidRPr="00DE096C">
              <w:rPr>
                <w:bCs/>
                <w:color w:val="002060"/>
                <w:sz w:val="16"/>
                <w:szCs w:val="16"/>
              </w:rPr>
              <w:t>1</w:t>
            </w:r>
          </w:p>
        </w:tc>
        <w:tc>
          <w:tcPr>
            <w:tcW w:w="1133" w:type="dxa"/>
            <w:shd w:val="clear" w:color="auto" w:fill="FFFFFF"/>
          </w:tcPr>
          <w:p w14:paraId="582276AB" w14:textId="77777777" w:rsidR="00B67D7C" w:rsidRPr="00DE096C" w:rsidRDefault="00B67D7C" w:rsidP="00D45A46">
            <w:pPr>
              <w:jc w:val="both"/>
              <w:rPr>
                <w:bCs/>
                <w:color w:val="002060"/>
                <w:sz w:val="16"/>
                <w:szCs w:val="16"/>
              </w:rPr>
            </w:pPr>
            <w:r w:rsidRPr="00DE096C">
              <w:rPr>
                <w:bCs/>
                <w:color w:val="002060"/>
                <w:sz w:val="16"/>
                <w:szCs w:val="16"/>
              </w:rPr>
              <w:t>2</w:t>
            </w:r>
          </w:p>
        </w:tc>
        <w:tc>
          <w:tcPr>
            <w:tcW w:w="1090" w:type="dxa"/>
            <w:shd w:val="clear" w:color="auto" w:fill="FFFFFF"/>
          </w:tcPr>
          <w:p w14:paraId="3D2F5B42" w14:textId="77777777" w:rsidR="00B67D7C" w:rsidRPr="00DE096C" w:rsidRDefault="00B67D7C" w:rsidP="00D45A46">
            <w:pPr>
              <w:jc w:val="both"/>
              <w:rPr>
                <w:bCs/>
                <w:color w:val="002060"/>
                <w:sz w:val="16"/>
                <w:szCs w:val="16"/>
              </w:rPr>
            </w:pPr>
            <w:r w:rsidRPr="00DE096C">
              <w:rPr>
                <w:bCs/>
                <w:color w:val="002060"/>
                <w:sz w:val="16"/>
                <w:szCs w:val="16"/>
              </w:rPr>
              <w:t>5</w:t>
            </w:r>
          </w:p>
        </w:tc>
        <w:tc>
          <w:tcPr>
            <w:tcW w:w="1267" w:type="dxa"/>
            <w:shd w:val="clear" w:color="auto" w:fill="FFFFFF"/>
          </w:tcPr>
          <w:p w14:paraId="5CCCC459" w14:textId="77777777" w:rsidR="00B67D7C" w:rsidRPr="00DE096C" w:rsidRDefault="00B67D7C" w:rsidP="00D45A46">
            <w:pPr>
              <w:jc w:val="both"/>
              <w:rPr>
                <w:bCs/>
                <w:color w:val="002060"/>
                <w:sz w:val="16"/>
                <w:szCs w:val="16"/>
              </w:rPr>
            </w:pPr>
            <w:r w:rsidRPr="00DE096C">
              <w:rPr>
                <w:bCs/>
                <w:color w:val="002060"/>
                <w:sz w:val="16"/>
                <w:szCs w:val="16"/>
              </w:rPr>
              <w:t>5</w:t>
            </w:r>
          </w:p>
        </w:tc>
      </w:tr>
    </w:tbl>
    <w:p w14:paraId="1DB1EC54" w14:textId="77777777" w:rsidR="00B67D7C" w:rsidRPr="00DE096C" w:rsidRDefault="00B67D7C" w:rsidP="00D45A46">
      <w:pPr>
        <w:jc w:val="both"/>
        <w:rPr>
          <w:bCs/>
          <w:color w:val="002060"/>
          <w:sz w:val="16"/>
          <w:szCs w:val="16"/>
        </w:rPr>
      </w:pPr>
      <w:r w:rsidRPr="00DE096C">
        <w:rPr>
          <w:bCs/>
          <w:color w:val="002060"/>
          <w:sz w:val="16"/>
          <w:szCs w:val="16"/>
        </w:rPr>
        <w:t>(11873).</w:t>
      </w:r>
    </w:p>
    <w:p w14:paraId="4DC41CC5" w14:textId="77777777" w:rsidR="00B67D7C" w:rsidRPr="00DE096C" w:rsidRDefault="00B67D7C" w:rsidP="00D45A46">
      <w:pPr>
        <w:jc w:val="both"/>
        <w:rPr>
          <w:bCs/>
          <w:color w:val="002060"/>
          <w:sz w:val="16"/>
          <w:szCs w:val="16"/>
        </w:rPr>
      </w:pPr>
    </w:p>
    <w:p w14:paraId="77908BA1" w14:textId="77777777" w:rsidR="00B67D7C" w:rsidRPr="00DE096C" w:rsidRDefault="00B67D7C" w:rsidP="00D45A46">
      <w:pPr>
        <w:jc w:val="both"/>
        <w:rPr>
          <w:bCs/>
          <w:i/>
          <w:color w:val="002060"/>
          <w:sz w:val="16"/>
          <w:szCs w:val="16"/>
        </w:rPr>
      </w:pPr>
      <w:r w:rsidRPr="00DE096C">
        <w:rPr>
          <w:bCs/>
          <w:i/>
          <w:color w:val="002060"/>
          <w:sz w:val="16"/>
          <w:szCs w:val="16"/>
        </w:rPr>
        <w:t>Самолетостроение:</w:t>
      </w:r>
    </w:p>
    <w:p w14:paraId="7F498610" w14:textId="77777777" w:rsidR="00B67D7C" w:rsidRPr="00DE096C" w:rsidRDefault="00B67D7C" w:rsidP="00D45A46">
      <w:pPr>
        <w:jc w:val="both"/>
        <w:rPr>
          <w:bCs/>
          <w:i/>
          <w:color w:val="002060"/>
          <w:sz w:val="16"/>
          <w:szCs w:val="16"/>
        </w:rPr>
      </w:pPr>
    </w:p>
    <w:p w14:paraId="42A90747" w14:textId="77777777" w:rsidR="00B67D7C" w:rsidRPr="00DE096C" w:rsidRDefault="00B67D7C" w:rsidP="00D45A46">
      <w:pPr>
        <w:jc w:val="both"/>
        <w:rPr>
          <w:bCs/>
          <w:color w:val="002060"/>
          <w:sz w:val="16"/>
          <w:szCs w:val="16"/>
        </w:rPr>
      </w:pPr>
      <w:r w:rsidRPr="00DE096C">
        <w:rPr>
          <w:bCs/>
          <w:color w:val="002060"/>
          <w:sz w:val="16"/>
          <w:szCs w:val="16"/>
        </w:rPr>
        <w:t xml:space="preserve">В течение февраля и марта 1914 г. было совершено несколько десятков полетов ИМ общей продолжительностью 23 ч. Эти полеты вызвали большой интерес. На аэродром приезжала масса народу. Многие воочию хотели убедиться в существовании большого воздушного корабля. </w:t>
      </w:r>
    </w:p>
    <w:p w14:paraId="6989052F" w14:textId="77777777" w:rsidR="00B67D7C" w:rsidRPr="00DE096C" w:rsidRDefault="00B67D7C" w:rsidP="00D45A46">
      <w:pPr>
        <w:jc w:val="both"/>
        <w:rPr>
          <w:bCs/>
          <w:color w:val="002060"/>
          <w:sz w:val="16"/>
          <w:szCs w:val="16"/>
        </w:rPr>
      </w:pPr>
      <w:r w:rsidRPr="00DE096C">
        <w:rPr>
          <w:bCs/>
          <w:color w:val="002060"/>
          <w:sz w:val="16"/>
          <w:szCs w:val="16"/>
        </w:rPr>
        <w:t>Журналисты посещали Сикорского, всем хотелось узнать мнение знаменитого конструктора о дальнейшем развитии авиации. В интервью отмечалось, что авиация будет делиться на легкую и тяжелую. Легкие самолеты должны иметь большую скорость и меньший радиус действия. Тяжелые же машины "разрешат проблему частного воздухоплавания ... и позволят осуществить идею надежного, регулярного и постоянного полета, так как они бесконечно менее зависят от погоды, нагрузки и условий полета, чем аппараты маленькие" (11294).</w:t>
      </w:r>
    </w:p>
    <w:p w14:paraId="4898C679" w14:textId="77777777" w:rsidR="00B67D7C" w:rsidRPr="00DE096C" w:rsidRDefault="00B67D7C" w:rsidP="00D45A46">
      <w:pPr>
        <w:jc w:val="both"/>
        <w:rPr>
          <w:bCs/>
          <w:color w:val="002060"/>
          <w:sz w:val="16"/>
          <w:szCs w:val="16"/>
        </w:rPr>
      </w:pPr>
    </w:p>
    <w:p w14:paraId="79407078" w14:textId="77777777" w:rsidR="00E2202D" w:rsidRPr="00DE096C" w:rsidRDefault="00E2202D" w:rsidP="00D45A46">
      <w:pPr>
        <w:jc w:val="both"/>
        <w:rPr>
          <w:bCs/>
          <w:color w:val="002060"/>
          <w:sz w:val="16"/>
          <w:szCs w:val="16"/>
        </w:rPr>
      </w:pPr>
      <w:r w:rsidRPr="00DE096C">
        <w:rPr>
          <w:bCs/>
          <w:color w:val="002060"/>
          <w:sz w:val="16"/>
          <w:szCs w:val="16"/>
        </w:rPr>
        <w:t>В течение февраля и марта 1914 г. на ИМ было совершено не</w:t>
      </w:r>
      <w:r w:rsidRPr="00DE096C">
        <w:rPr>
          <w:bCs/>
          <w:color w:val="002060"/>
          <w:sz w:val="16"/>
          <w:szCs w:val="16"/>
        </w:rPr>
        <w:softHyphen/>
        <w:t>сколько десятков полетов общей продолжительностью 23 ч. Эти полеты вызвали большой интерес. На аэродром приезжала масса народу. Многие воочию хотели убедить</w:t>
      </w:r>
      <w:r w:rsidRPr="00DE096C">
        <w:rPr>
          <w:bCs/>
          <w:color w:val="002060"/>
          <w:sz w:val="16"/>
          <w:szCs w:val="16"/>
        </w:rPr>
        <w:softHyphen/>
        <w:t>ся в существовании большого воздушного корабля.</w:t>
      </w:r>
    </w:p>
    <w:p w14:paraId="3827B23E" w14:textId="77777777" w:rsidR="00E2202D" w:rsidRPr="00DE096C" w:rsidRDefault="00E2202D" w:rsidP="00D45A46">
      <w:pPr>
        <w:jc w:val="both"/>
        <w:rPr>
          <w:bCs/>
          <w:color w:val="002060"/>
          <w:sz w:val="16"/>
          <w:szCs w:val="16"/>
        </w:rPr>
      </w:pPr>
      <w:r w:rsidRPr="00DE096C">
        <w:rPr>
          <w:bCs/>
          <w:color w:val="002060"/>
          <w:sz w:val="16"/>
          <w:szCs w:val="16"/>
        </w:rPr>
        <w:t>Журналисты посещали Сикорского, всем хотелось уз</w:t>
      </w:r>
      <w:r w:rsidRPr="00DE096C">
        <w:rPr>
          <w:bCs/>
          <w:color w:val="002060"/>
          <w:sz w:val="16"/>
          <w:szCs w:val="16"/>
        </w:rPr>
        <w:softHyphen/>
        <w:t>нать мнение знаменитого конструктора о дальнейшем развитии авиации. В интервью отмечалось, что авиация будет делиться на легкую и тяжелую. Легкие самолеты должны иметь большую скорость и меньший радиус действия. Тяжелые же машины «разрешат проблему частного воздухоплавания... и позволят осуществить идею надежного, регулярного и постоянного полета, так как они бесконечно менее зависят от погоды нагрузки и условий полета, чем аппараты маленькие» (24177).</w:t>
      </w:r>
    </w:p>
    <w:p w14:paraId="65EDB7BB" w14:textId="77777777" w:rsidR="00E2202D" w:rsidRPr="00DE096C" w:rsidRDefault="00E2202D" w:rsidP="00D45A46">
      <w:pPr>
        <w:jc w:val="both"/>
        <w:rPr>
          <w:bCs/>
          <w:color w:val="002060"/>
          <w:sz w:val="16"/>
          <w:szCs w:val="16"/>
        </w:rPr>
      </w:pPr>
    </w:p>
    <w:p w14:paraId="2802E71A" w14:textId="77777777" w:rsidR="004A07A6" w:rsidRPr="00DE096C" w:rsidRDefault="004A07A6" w:rsidP="00D45A46">
      <w:pPr>
        <w:jc w:val="both"/>
        <w:rPr>
          <w:bCs/>
          <w:i/>
          <w:color w:val="002060"/>
          <w:sz w:val="16"/>
          <w:szCs w:val="16"/>
        </w:rPr>
      </w:pPr>
      <w:r w:rsidRPr="00DE096C">
        <w:rPr>
          <w:bCs/>
          <w:i/>
          <w:color w:val="002060"/>
          <w:sz w:val="16"/>
          <w:szCs w:val="16"/>
        </w:rPr>
        <w:t>Другие оборонные отрасли:</w:t>
      </w:r>
    </w:p>
    <w:p w14:paraId="12688D71" w14:textId="77777777" w:rsidR="004A07A6" w:rsidRPr="00DE096C" w:rsidRDefault="004A07A6" w:rsidP="00D45A46">
      <w:pPr>
        <w:jc w:val="both"/>
        <w:rPr>
          <w:bCs/>
          <w:i/>
          <w:color w:val="002060"/>
          <w:sz w:val="16"/>
          <w:szCs w:val="16"/>
        </w:rPr>
      </w:pPr>
    </w:p>
    <w:p w14:paraId="5006D5FB" w14:textId="77777777" w:rsidR="004A07A6" w:rsidRPr="00DE096C" w:rsidRDefault="004A07A6" w:rsidP="00D45A46">
      <w:pPr>
        <w:jc w:val="both"/>
        <w:rPr>
          <w:bCs/>
          <w:color w:val="002060"/>
          <w:sz w:val="16"/>
          <w:szCs w:val="16"/>
        </w:rPr>
      </w:pPr>
      <w:r w:rsidRPr="00DE096C">
        <w:rPr>
          <w:bCs/>
          <w:color w:val="002060"/>
          <w:sz w:val="16"/>
          <w:szCs w:val="16"/>
        </w:rPr>
        <w:t>В феврале и июле 1914 г. (с обязательством начать поставку с апреля 1916 г.) Путиловскому заводу заказали 315 42-лин. (107-мм) тяжелых пушек (при потребности в 808 таких орудий); фактически этот завод дал с июня по декабрь 1916 г. 50 и в 1917 г. еще 20) (18408).</w:t>
      </w:r>
    </w:p>
    <w:p w14:paraId="314BE549" w14:textId="77777777" w:rsidR="004A07A6" w:rsidRPr="00DE096C" w:rsidRDefault="004A07A6" w:rsidP="00D45A46">
      <w:pPr>
        <w:jc w:val="both"/>
        <w:rPr>
          <w:bCs/>
          <w:color w:val="002060"/>
          <w:sz w:val="16"/>
          <w:szCs w:val="16"/>
        </w:rPr>
      </w:pPr>
    </w:p>
    <w:p w14:paraId="7E721F3B" w14:textId="77777777" w:rsidR="000458DE" w:rsidRPr="00DE096C" w:rsidRDefault="000458DE" w:rsidP="00D45A46">
      <w:pPr>
        <w:shd w:val="clear" w:color="auto" w:fill="FFFFFF"/>
        <w:jc w:val="both"/>
        <w:rPr>
          <w:bCs/>
          <w:i/>
          <w:color w:val="002060"/>
          <w:sz w:val="16"/>
          <w:szCs w:val="16"/>
        </w:rPr>
      </w:pPr>
      <w:r w:rsidRPr="00DE096C">
        <w:rPr>
          <w:bCs/>
          <w:i/>
          <w:color w:val="002060"/>
          <w:sz w:val="16"/>
          <w:szCs w:val="16"/>
        </w:rPr>
        <w:t>Самолетостроение:</w:t>
      </w:r>
    </w:p>
    <w:p w14:paraId="7B250DD2" w14:textId="77777777" w:rsidR="000458DE" w:rsidRPr="00DE096C" w:rsidRDefault="000458DE" w:rsidP="00D45A46">
      <w:pPr>
        <w:shd w:val="clear" w:color="auto" w:fill="FFFFFF"/>
        <w:jc w:val="both"/>
        <w:rPr>
          <w:bCs/>
          <w:i/>
          <w:color w:val="002060"/>
          <w:sz w:val="16"/>
          <w:szCs w:val="16"/>
        </w:rPr>
      </w:pPr>
    </w:p>
    <w:p w14:paraId="188C35F9" w14:textId="67A75512" w:rsidR="000458DE" w:rsidRPr="00DE096C" w:rsidRDefault="000458DE" w:rsidP="00D45A46">
      <w:pPr>
        <w:jc w:val="both"/>
        <w:rPr>
          <w:bCs/>
          <w:color w:val="002060"/>
          <w:sz w:val="16"/>
          <w:szCs w:val="16"/>
        </w:rPr>
      </w:pPr>
      <w:r w:rsidRPr="00DE096C">
        <w:rPr>
          <w:bCs/>
          <w:color w:val="002060"/>
          <w:sz w:val="16"/>
          <w:szCs w:val="16"/>
        </w:rPr>
        <w:t>Зимой 1913-1914 гг., пПрактически сразу после того, как 107-й был переделан в поплавковый и передан военным морякам, на РБВЗ приступили к постройке новой машины. Она получила заводской номер 128 и, хотя в конструкцию были внесены изменения, сохранила название "Илья Муромец", которое было решено закрепить как наименование типа. Позднее стали использовать и обозначение модификации литерами русского алфавита. Первая модификация получила обозначение А, или тип А. К ней относился аппарат за № 107 во всех трёх ипостасях.</w:t>
      </w:r>
    </w:p>
    <w:p w14:paraId="55FF424F" w14:textId="77777777" w:rsidR="000458DE" w:rsidRPr="00DE096C" w:rsidRDefault="000458DE" w:rsidP="00D45A46">
      <w:pPr>
        <w:jc w:val="both"/>
        <w:rPr>
          <w:bCs/>
          <w:color w:val="002060"/>
          <w:sz w:val="16"/>
          <w:szCs w:val="16"/>
        </w:rPr>
      </w:pPr>
      <w:r w:rsidRPr="00DE096C">
        <w:rPr>
          <w:bCs/>
          <w:color w:val="002060"/>
          <w:sz w:val="16"/>
          <w:szCs w:val="16"/>
        </w:rPr>
        <w:t>128-й аппарат постройки воздухоплавательного отделения РБВЗ стал первым самолётом модификации Б. Отличия от модификации А заключались, преимущественно, в устройстве фюзеляжа. При сохранении обшей силовой схемы он стал короче на 1,5 метра за счёт исключения "хозяйственного" отсека (кладовой и капитанской каюты). В бортах исчезли круглые "корабельные" иллюминаторы. На средней части фюзеляжа сохранилась огороженная площадка, равно как и "орудийная площадка" перед кабиной.</w:t>
      </w:r>
    </w:p>
    <w:p w14:paraId="3C9FBB06" w14:textId="77777777" w:rsidR="000458DE" w:rsidRPr="00DE096C" w:rsidRDefault="000458DE" w:rsidP="00D45A46">
      <w:pPr>
        <w:jc w:val="both"/>
        <w:rPr>
          <w:bCs/>
          <w:color w:val="002060"/>
          <w:sz w:val="16"/>
          <w:szCs w:val="16"/>
        </w:rPr>
      </w:pPr>
      <w:r w:rsidRPr="00DE096C">
        <w:rPr>
          <w:bCs/>
          <w:color w:val="002060"/>
          <w:sz w:val="16"/>
          <w:szCs w:val="16"/>
        </w:rPr>
        <w:t>Силовая установка нового воздушного корабля состояла из четырёх двигателей: двух внутренних "Аргус" As.IV мощностью по 140 л.с. и двух внешних "Аргус" As.IIl по 125 л.с. Индивидуальные латунные баки остались на прежних местах, а вот радиаторы были основательно переделаны - им увеличили площадь и установили за двигателями поперёк потока с наклоном вперёд. Условия обдува заметно улучшились.</w:t>
      </w:r>
    </w:p>
    <w:p w14:paraId="56D6A55A" w14:textId="77777777" w:rsidR="000458DE" w:rsidRPr="00DE096C" w:rsidRDefault="000458DE" w:rsidP="00D45A46">
      <w:pPr>
        <w:jc w:val="both"/>
        <w:rPr>
          <w:bCs/>
          <w:color w:val="002060"/>
          <w:sz w:val="16"/>
          <w:szCs w:val="16"/>
        </w:rPr>
      </w:pPr>
      <w:r w:rsidRPr="00DE096C">
        <w:rPr>
          <w:bCs/>
          <w:color w:val="002060"/>
          <w:sz w:val="16"/>
          <w:szCs w:val="16"/>
        </w:rPr>
        <w:t>"Киевский" N° 128.</w:t>
      </w:r>
      <w:r w:rsidRPr="00DE096C">
        <w:rPr>
          <w:bCs/>
          <w:color w:val="002060"/>
          <w:sz w:val="16"/>
          <w:szCs w:val="16"/>
        </w:rPr>
        <w:tab/>
        <w:t>Радикальной переделке подверглась хвостовая опора шасси. Применённый на 107-м пулемётная площадка аппарате классический костыль показал себя не самым лучшим образом, зарываясь в мягкий грунт Комендантского аэродрома. Было решено вернуться к хвостовой лыже "а'ля Русский Витязь", несколько переработав конструкцию. Под двумя предпоследними фюзеляжными шпангоутами установили V-образные стойки, вершины которых были соединены перекладиной. Два полоза хвостовой опоры крепились к двум V-образным стойкам, вершины которых так же были соединены перекладиной. Перекладина опоры располагалась над перекладиной стоек и была примотана к ней по концам двумя резиновыми шнурами-амортизаторами. При появлении нагрузки на хвостовую опору шнуры растягивались. Такая конструкция обеспечивала большую площадь контакта и не давала "зарываться" в грунт. Она сохранилась и на более поздних машинах модификации Б.</w:t>
      </w:r>
    </w:p>
    <w:p w14:paraId="0392552D" w14:textId="77777777" w:rsidR="000458DE" w:rsidRPr="00DE096C" w:rsidRDefault="000458DE" w:rsidP="00D45A46">
      <w:pPr>
        <w:jc w:val="both"/>
        <w:rPr>
          <w:bCs/>
          <w:color w:val="002060"/>
          <w:sz w:val="16"/>
          <w:szCs w:val="16"/>
        </w:rPr>
      </w:pPr>
      <w:r w:rsidRPr="00DE096C">
        <w:rPr>
          <w:bCs/>
          <w:color w:val="002060"/>
          <w:sz w:val="16"/>
          <w:szCs w:val="16"/>
        </w:rPr>
        <w:t xml:space="preserve">Как видим, Сикорский в целом определился с конструкцией и устройством своего самолёта-богатыря. Надо было думать о повышении престижа агГпарата. Установленные ранее самолётом № 107 рекорды (в том числе и мировые) хоть и будоражили мнение мировой авиационной публики, в самой России отклика в </w:t>
      </w:r>
      <w:r w:rsidRPr="00DE096C">
        <w:rPr>
          <w:bCs/>
          <w:color w:val="002060"/>
          <w:sz w:val="16"/>
          <w:szCs w:val="16"/>
        </w:rPr>
        <w:lastRenderedPageBreak/>
        <w:t>правящих кругах не нашли. Как ни странно, противодействие было встречено именно в коридорах власти - многие члены Государственной Думы вдруг начали радеть о сбережении государственных средств, которые могут просто "улететь на ветер".,.</w:t>
      </w:r>
    </w:p>
    <w:p w14:paraId="1FDA4CE8" w14:textId="75BE80E6" w:rsidR="000458DE" w:rsidRPr="00DE096C" w:rsidRDefault="000458DE" w:rsidP="00D45A46">
      <w:pPr>
        <w:jc w:val="both"/>
        <w:rPr>
          <w:bCs/>
          <w:color w:val="002060"/>
          <w:sz w:val="16"/>
          <w:szCs w:val="16"/>
        </w:rPr>
      </w:pPr>
      <w:r w:rsidRPr="00DE096C">
        <w:rPr>
          <w:bCs/>
          <w:color w:val="002060"/>
          <w:sz w:val="16"/>
          <w:szCs w:val="16"/>
        </w:rPr>
        <w:t>Аргумент был выдвинут просто "непробиваемый" - аппарат господина Сикорско го не может подняться выше 1000 метров, а подобная высота явно недостаточна для аппарата военного назначения. И это при том, что Военное ведомство было согласно закупать "Муромцы" в любом виде, ведь подобных аппаратов ни у противников, ни у союзников не было даже в задумках!</w:t>
      </w:r>
      <w:r w:rsidR="002922CF" w:rsidRPr="00DE096C">
        <w:rPr>
          <w:bCs/>
          <w:color w:val="002060"/>
          <w:sz w:val="16"/>
          <w:szCs w:val="16"/>
        </w:rPr>
        <w:t xml:space="preserve"> (12041).</w:t>
      </w:r>
    </w:p>
    <w:p w14:paraId="6A17AE2D" w14:textId="77777777" w:rsidR="000458DE" w:rsidRPr="00DE096C" w:rsidRDefault="000458DE" w:rsidP="00D45A46">
      <w:pPr>
        <w:jc w:val="both"/>
        <w:rPr>
          <w:bCs/>
          <w:color w:val="002060"/>
          <w:sz w:val="16"/>
          <w:szCs w:val="16"/>
        </w:rPr>
      </w:pPr>
    </w:p>
    <w:p w14:paraId="633A8C15" w14:textId="77777777" w:rsidR="00F45966" w:rsidRPr="00DE096C" w:rsidRDefault="00F45966" w:rsidP="00D45A46">
      <w:pPr>
        <w:shd w:val="clear" w:color="auto" w:fill="FFFFFF"/>
        <w:jc w:val="both"/>
        <w:rPr>
          <w:bCs/>
          <w:i/>
          <w:color w:val="002060"/>
          <w:sz w:val="16"/>
          <w:szCs w:val="16"/>
        </w:rPr>
      </w:pPr>
      <w:r w:rsidRPr="00DE096C">
        <w:rPr>
          <w:bCs/>
          <w:i/>
          <w:color w:val="002060"/>
          <w:sz w:val="16"/>
          <w:szCs w:val="16"/>
        </w:rPr>
        <w:t>Самолетостроение:</w:t>
      </w:r>
    </w:p>
    <w:p w14:paraId="581CE5E2" w14:textId="77777777" w:rsidR="00F45966" w:rsidRPr="00DE096C" w:rsidRDefault="00F45966" w:rsidP="00D45A46">
      <w:pPr>
        <w:shd w:val="clear" w:color="auto" w:fill="FFFFFF"/>
        <w:jc w:val="both"/>
        <w:rPr>
          <w:bCs/>
          <w:i/>
          <w:color w:val="002060"/>
          <w:sz w:val="16"/>
          <w:szCs w:val="16"/>
        </w:rPr>
      </w:pPr>
    </w:p>
    <w:p w14:paraId="39C41DA0" w14:textId="77777777" w:rsidR="00F45966" w:rsidRPr="00DE096C" w:rsidRDefault="00F45966" w:rsidP="00D45A46">
      <w:pPr>
        <w:jc w:val="both"/>
        <w:rPr>
          <w:bCs/>
          <w:color w:val="002060"/>
          <w:sz w:val="16"/>
          <w:szCs w:val="16"/>
        </w:rPr>
      </w:pPr>
      <w:r w:rsidRPr="00DE096C">
        <w:rPr>
          <w:bCs/>
          <w:color w:val="002060"/>
          <w:sz w:val="16"/>
          <w:szCs w:val="16"/>
        </w:rPr>
        <w:t>К весне 1914 г. на заводе Щетинина вдвое увеличили число станков и построили новый сборочный корпус, число работающих достигло 400 человек (23472).</w:t>
      </w:r>
    </w:p>
    <w:p w14:paraId="33B16642" w14:textId="77777777" w:rsidR="00F45966" w:rsidRPr="00DE096C" w:rsidRDefault="00F45966" w:rsidP="00D45A46">
      <w:pPr>
        <w:jc w:val="both"/>
        <w:rPr>
          <w:bCs/>
          <w:color w:val="002060"/>
          <w:sz w:val="16"/>
          <w:szCs w:val="16"/>
        </w:rPr>
      </w:pPr>
    </w:p>
    <w:p w14:paraId="678034D8" w14:textId="77777777" w:rsidR="00217D4E" w:rsidRPr="00B52707" w:rsidRDefault="00217D4E" w:rsidP="00217D4E">
      <w:pPr>
        <w:jc w:val="both"/>
        <w:rPr>
          <w:color w:val="0070C0"/>
          <w:sz w:val="16"/>
          <w:szCs w:val="16"/>
        </w:rPr>
      </w:pPr>
      <w:r w:rsidRPr="00B52707">
        <w:rPr>
          <w:color w:val="0070C0"/>
          <w:sz w:val="16"/>
          <w:szCs w:val="16"/>
        </w:rPr>
        <w:t>К весне 1914 г. на заводе С. С. Щетинина вдвое увеличили число станков и построили но</w:t>
      </w:r>
      <w:r w:rsidRPr="00B52707">
        <w:rPr>
          <w:color w:val="0070C0"/>
          <w:sz w:val="16"/>
          <w:szCs w:val="16"/>
        </w:rPr>
        <w:softHyphen/>
        <w:t>вый сборочный корпус, число работающих до</w:t>
      </w:r>
      <w:r w:rsidRPr="00B52707">
        <w:rPr>
          <w:color w:val="0070C0"/>
          <w:sz w:val="16"/>
          <w:szCs w:val="16"/>
        </w:rPr>
        <w:softHyphen/>
        <w:t>стигло 400 человек (24966).</w:t>
      </w:r>
    </w:p>
    <w:p w14:paraId="3C783FC0" w14:textId="77777777" w:rsidR="00217D4E" w:rsidRPr="00B52707" w:rsidRDefault="00217D4E" w:rsidP="00217D4E">
      <w:pPr>
        <w:jc w:val="both"/>
        <w:rPr>
          <w:color w:val="0070C0"/>
          <w:sz w:val="16"/>
          <w:szCs w:val="16"/>
        </w:rPr>
      </w:pPr>
    </w:p>
    <w:p w14:paraId="37ACB15E" w14:textId="77777777" w:rsidR="00F45966" w:rsidRPr="00DE096C" w:rsidRDefault="00F45966" w:rsidP="00D45A46">
      <w:pPr>
        <w:jc w:val="both"/>
        <w:rPr>
          <w:bCs/>
          <w:color w:val="002060"/>
          <w:sz w:val="16"/>
          <w:szCs w:val="16"/>
          <w:lang w:bidi="ru-RU"/>
        </w:rPr>
      </w:pPr>
      <w:r w:rsidRPr="00DE096C">
        <w:rPr>
          <w:bCs/>
          <w:color w:val="002060"/>
          <w:sz w:val="16"/>
          <w:szCs w:val="16"/>
          <w:lang w:bidi="ru-RU"/>
        </w:rPr>
        <w:t>К весне 1914 г. военное ведомство получило от завода Сергея Щетинина, известного как «Первое российское товарищество воздухоплавания», около сотни самолётов (23485).</w:t>
      </w:r>
    </w:p>
    <w:p w14:paraId="771D303F" w14:textId="77777777" w:rsidR="00F45966" w:rsidRPr="00DE096C" w:rsidRDefault="00F45966" w:rsidP="00D45A46">
      <w:pPr>
        <w:jc w:val="both"/>
        <w:rPr>
          <w:bCs/>
          <w:color w:val="002060"/>
          <w:sz w:val="16"/>
          <w:szCs w:val="16"/>
          <w:lang w:bidi="ru-RU"/>
        </w:rPr>
      </w:pPr>
    </w:p>
    <w:p w14:paraId="0F3549B9" w14:textId="77777777" w:rsidR="00CC31C0" w:rsidRPr="00DE096C" w:rsidRDefault="00CC31C0" w:rsidP="00D45A46">
      <w:pPr>
        <w:pStyle w:val="a3"/>
        <w:jc w:val="both"/>
        <w:rPr>
          <w:bCs/>
          <w:color w:val="002060"/>
          <w:spacing w:val="0"/>
          <w:kern w:val="0"/>
          <w:position w:val="0"/>
          <w:sz w:val="16"/>
          <w:szCs w:val="16"/>
        </w:rPr>
      </w:pPr>
      <w:r w:rsidRPr="00DE096C">
        <w:rPr>
          <w:bCs/>
          <w:color w:val="002060"/>
          <w:spacing w:val="0"/>
          <w:kern w:val="0"/>
          <w:position w:val="0"/>
          <w:sz w:val="16"/>
          <w:szCs w:val="16"/>
        </w:rPr>
        <w:t>Армия:</w:t>
      </w:r>
    </w:p>
    <w:p w14:paraId="0A59E8D8" w14:textId="77777777" w:rsidR="00CC31C0" w:rsidRPr="00DE096C" w:rsidRDefault="00CC31C0" w:rsidP="00D45A46">
      <w:pPr>
        <w:pStyle w:val="a3"/>
        <w:jc w:val="both"/>
        <w:rPr>
          <w:bCs/>
          <w:color w:val="002060"/>
          <w:spacing w:val="0"/>
          <w:kern w:val="0"/>
          <w:position w:val="0"/>
          <w:sz w:val="16"/>
          <w:szCs w:val="16"/>
        </w:rPr>
      </w:pPr>
    </w:p>
    <w:p w14:paraId="36466782" w14:textId="77777777" w:rsidR="00CC31C0" w:rsidRPr="00DE096C" w:rsidRDefault="00CC31C0" w:rsidP="00D45A46">
      <w:pPr>
        <w:jc w:val="both"/>
        <w:rPr>
          <w:bCs/>
          <w:color w:val="002060"/>
          <w:sz w:val="16"/>
          <w:szCs w:val="16"/>
        </w:rPr>
      </w:pPr>
      <w:r w:rsidRPr="00DE096C">
        <w:rPr>
          <w:bCs/>
          <w:color w:val="002060"/>
          <w:sz w:val="16"/>
          <w:szCs w:val="16"/>
        </w:rPr>
        <w:t>К весне 1915 года структура воздушной обороны из авиации, артиллерии, наблюдательных постов разворачивается в городах Ломжи, Остроленки и Ново-Георгиевской крепости (Польша) (11163).</w:t>
      </w:r>
    </w:p>
    <w:p w14:paraId="45FDB32E" w14:textId="77777777" w:rsidR="00CC31C0" w:rsidRPr="00DE096C" w:rsidRDefault="00CC31C0" w:rsidP="00D45A46">
      <w:pPr>
        <w:jc w:val="both"/>
        <w:rPr>
          <w:bCs/>
          <w:color w:val="002060"/>
          <w:sz w:val="16"/>
          <w:szCs w:val="16"/>
        </w:rPr>
      </w:pPr>
    </w:p>
    <w:p w14:paraId="47A7F8F6" w14:textId="04A55C0E"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1206CE3C" w14:textId="77777777" w:rsidR="00B67D7C" w:rsidRPr="00DE096C" w:rsidRDefault="00B67D7C" w:rsidP="00D45A46">
      <w:pPr>
        <w:shd w:val="clear" w:color="auto" w:fill="FFFFFF"/>
        <w:jc w:val="both"/>
        <w:rPr>
          <w:bCs/>
          <w:i/>
          <w:color w:val="002060"/>
          <w:sz w:val="16"/>
          <w:szCs w:val="16"/>
        </w:rPr>
      </w:pPr>
    </w:p>
    <w:p w14:paraId="2BA94F4A" w14:textId="77777777" w:rsidR="00B67D7C" w:rsidRPr="00DE096C" w:rsidRDefault="00B67D7C" w:rsidP="00D45A46">
      <w:pPr>
        <w:jc w:val="both"/>
        <w:rPr>
          <w:bCs/>
          <w:color w:val="002060"/>
          <w:sz w:val="16"/>
          <w:szCs w:val="16"/>
        </w:rPr>
      </w:pPr>
      <w:r w:rsidRPr="00DE096C">
        <w:rPr>
          <w:bCs/>
          <w:color w:val="002060"/>
          <w:sz w:val="16"/>
          <w:szCs w:val="16"/>
        </w:rPr>
        <w:t>К марту Сикорский вполне освоил пилотирование "Муромца" на различных режимах и решился на определение полных возможностей своего детища. В ходе полётов были последовательно остановлены один, два и даже три двигателя. Полёг продолжался, лишь усилия на педалях несколько возрастали ввиду необходимости парировать разворачивающий момент. Техники и члены экипажа выходили на крыло, перемешались от двигателя к двигателю. В одном из полётов к крайнему мотору прошли даже два человека. Все эти перемещения никоим образом не сказались на устойчивости самолёта - расчёт конструктора на высокую инертность тяжёлого самолёта, как определяющий фактор устойчивости в воздухе, оправдался полностью!</w:t>
      </w:r>
    </w:p>
    <w:p w14:paraId="1953926B" w14:textId="77777777" w:rsidR="00B67D7C" w:rsidRPr="00DE096C" w:rsidRDefault="00B67D7C" w:rsidP="00D45A46">
      <w:pPr>
        <w:jc w:val="both"/>
        <w:rPr>
          <w:bCs/>
          <w:color w:val="002060"/>
          <w:sz w:val="16"/>
          <w:szCs w:val="16"/>
        </w:rPr>
      </w:pPr>
      <w:r w:rsidRPr="00DE096C">
        <w:rPr>
          <w:bCs/>
          <w:color w:val="002060"/>
          <w:sz w:val="16"/>
          <w:szCs w:val="16"/>
        </w:rPr>
        <w:t>В конце февраля из Франции прибыли заказанные там самые мощные на тот момент авиационные двигатели - 14-цилиндровые двойные звёзды водяного охлаждения "Сальмсон" 2М7 в 200 л.с. Было решено установить их вместо внутренних "Аргусов", внешние "Аргусы" в 100 л.с. заменили на новые в 115 л.с. Более мощные "Сальмсоны" потребовали очередного увеличения площади радиаторов и их сделали двухсекционными, установив секции с двух сторон за двигателем. 14 марта "Муромец" с обновлённой силовой установкой выполнил первый полёт. После операции по пересадке "пламенного сердца" воздушный богатырь будто напился живой воды. Разбег сократился наполовину, набор высоты принял весьма интенсивный характер, скорость ощутимо возросла. В таком виде самолёт стал ещё более "лакомым кусочком" для военных. Но первыми свои права на гиганта заявили моряки...(12041).</w:t>
      </w:r>
    </w:p>
    <w:p w14:paraId="3624BFC1" w14:textId="77777777" w:rsidR="00B67D7C" w:rsidRPr="00DE096C" w:rsidRDefault="00B67D7C" w:rsidP="00D45A46">
      <w:pPr>
        <w:jc w:val="both"/>
        <w:rPr>
          <w:bCs/>
          <w:color w:val="002060"/>
          <w:sz w:val="16"/>
          <w:szCs w:val="16"/>
        </w:rPr>
      </w:pPr>
    </w:p>
    <w:p w14:paraId="688AD120" w14:textId="77777777" w:rsidR="00F45966" w:rsidRPr="00DE096C" w:rsidRDefault="00F45966" w:rsidP="00D45A46">
      <w:pPr>
        <w:jc w:val="both"/>
        <w:rPr>
          <w:bCs/>
          <w:color w:val="002060"/>
          <w:sz w:val="16"/>
          <w:szCs w:val="16"/>
        </w:rPr>
      </w:pPr>
      <w:r w:rsidRPr="00DE096C">
        <w:rPr>
          <w:bCs/>
          <w:color w:val="002060"/>
          <w:sz w:val="16"/>
          <w:szCs w:val="16"/>
        </w:rPr>
        <w:t>К марту 1914 г. московский авиазавод передал военным еще 55 «фарманов», на РБВЗ к началу войны изготовили 20 «Фарман-22» (23472).</w:t>
      </w:r>
    </w:p>
    <w:p w14:paraId="3085B3F5" w14:textId="77777777" w:rsidR="00F45966" w:rsidRPr="00DE096C" w:rsidRDefault="00F45966" w:rsidP="00D45A46">
      <w:pPr>
        <w:jc w:val="both"/>
        <w:rPr>
          <w:bCs/>
          <w:color w:val="002060"/>
          <w:sz w:val="16"/>
          <w:szCs w:val="16"/>
        </w:rPr>
      </w:pPr>
    </w:p>
    <w:p w14:paraId="3CEF2B96" w14:textId="77777777" w:rsidR="00217D4E" w:rsidRPr="00B52707" w:rsidRDefault="00217D4E" w:rsidP="00217D4E">
      <w:pPr>
        <w:jc w:val="both"/>
        <w:rPr>
          <w:color w:val="0070C0"/>
          <w:sz w:val="16"/>
          <w:szCs w:val="16"/>
        </w:rPr>
      </w:pPr>
      <w:r w:rsidRPr="00B52707">
        <w:rPr>
          <w:color w:val="0070C0"/>
          <w:sz w:val="16"/>
          <w:szCs w:val="16"/>
        </w:rPr>
        <w:t>К марту 1914 г. московский авиазавод «Дукс» передал военным еще 55 «Фарманов», на РБВЗ к началу войны изготовили 20 «Фарман-ХХП». ПРТВ, задержавшийся с выпуском «Ньюпор-4» и «Фарман-VII», получил заказ на новые модели «Фарманов» только в апреле 1914 г. и сдал эту про</w:t>
      </w:r>
      <w:r w:rsidRPr="00B52707">
        <w:rPr>
          <w:color w:val="0070C0"/>
          <w:sz w:val="16"/>
          <w:szCs w:val="16"/>
        </w:rPr>
        <w:softHyphen/>
        <w:t>дукцию уже после начала Первой мировой войны (24966).</w:t>
      </w:r>
    </w:p>
    <w:p w14:paraId="3E67DBBB" w14:textId="77777777" w:rsidR="00217D4E" w:rsidRPr="00B52707" w:rsidRDefault="00217D4E" w:rsidP="00217D4E">
      <w:pPr>
        <w:jc w:val="both"/>
        <w:rPr>
          <w:color w:val="0070C0"/>
          <w:sz w:val="16"/>
          <w:szCs w:val="16"/>
        </w:rPr>
      </w:pPr>
    </w:p>
    <w:p w14:paraId="3ADD2163"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50569760" w14:textId="77777777" w:rsidR="00B67D7C" w:rsidRPr="00DE096C" w:rsidRDefault="00B67D7C" w:rsidP="00D45A46">
      <w:pPr>
        <w:shd w:val="clear" w:color="auto" w:fill="FFFFFF"/>
        <w:jc w:val="both"/>
        <w:rPr>
          <w:bCs/>
          <w:i/>
          <w:color w:val="002060"/>
          <w:sz w:val="16"/>
          <w:szCs w:val="16"/>
        </w:rPr>
      </w:pPr>
    </w:p>
    <w:p w14:paraId="24FA117F" w14:textId="77777777" w:rsidR="00B67D7C" w:rsidRPr="00DE096C" w:rsidRDefault="00D7677E" w:rsidP="00D45A46">
      <w:pPr>
        <w:pStyle w:val="a5"/>
        <w:rPr>
          <w:bCs/>
          <w:color w:val="002060"/>
          <w:sz w:val="16"/>
          <w:szCs w:val="16"/>
          <w:lang w:val="ru-RU"/>
        </w:rPr>
      </w:pPr>
      <w:r w:rsidRPr="00DE096C">
        <w:rPr>
          <w:bCs/>
          <w:color w:val="002060"/>
          <w:sz w:val="16"/>
          <w:szCs w:val="16"/>
          <w:lang w:val="ru-RU"/>
        </w:rPr>
        <w:t>1 (14) марта 1914 - триплан Безобразоваю</w:t>
      </w:r>
      <w:r w:rsidR="00B67D7C" w:rsidRPr="00DE096C">
        <w:rPr>
          <w:bCs/>
          <w:color w:val="002060"/>
          <w:sz w:val="16"/>
          <w:szCs w:val="16"/>
          <w:lang w:val="ru-RU"/>
        </w:rPr>
        <w:t>.</w:t>
      </w:r>
      <w:r w:rsidRPr="00DE096C">
        <w:rPr>
          <w:bCs/>
          <w:color w:val="002060"/>
          <w:sz w:val="16"/>
          <w:szCs w:val="16"/>
          <w:lang w:val="ru-RU"/>
        </w:rPr>
        <w:t xml:space="preserve"> </w:t>
      </w:r>
      <w:r w:rsidR="00B67D7C" w:rsidRPr="00DE096C">
        <w:rPr>
          <w:bCs/>
          <w:color w:val="002060"/>
          <w:sz w:val="16"/>
          <w:szCs w:val="16"/>
          <w:lang w:val="ru-RU"/>
        </w:rPr>
        <w:t>Три узкие несущие плоскости по замыслу ав</w:t>
      </w:r>
      <w:r w:rsidR="00B67D7C" w:rsidRPr="00DE096C">
        <w:rPr>
          <w:bCs/>
          <w:color w:val="002060"/>
          <w:sz w:val="16"/>
          <w:szCs w:val="16"/>
          <w:lang w:val="ru-RU"/>
        </w:rPr>
        <w:softHyphen/>
        <w:t>тора - Александра Александровича Безобразова - должны были при достаточном обзо</w:t>
      </w:r>
      <w:r w:rsidR="00B67D7C" w:rsidRPr="00DE096C">
        <w:rPr>
          <w:bCs/>
          <w:color w:val="002060"/>
          <w:sz w:val="16"/>
          <w:szCs w:val="16"/>
          <w:lang w:val="ru-RU"/>
        </w:rPr>
        <w:softHyphen/>
        <w:t>ре обеспечить высокую устойчивость и мане</w:t>
      </w:r>
      <w:r w:rsidR="00B67D7C" w:rsidRPr="00DE096C">
        <w:rPr>
          <w:bCs/>
          <w:color w:val="002060"/>
          <w:sz w:val="16"/>
          <w:szCs w:val="16"/>
          <w:lang w:val="ru-RU"/>
        </w:rPr>
        <w:softHyphen/>
        <w:t>вренность триплана на всем диапазоне полетных скоростей. Ширина каждого из трех крыль</w:t>
      </w:r>
      <w:r w:rsidR="00B67D7C" w:rsidRPr="00DE096C">
        <w:rPr>
          <w:bCs/>
          <w:color w:val="002060"/>
          <w:sz w:val="16"/>
          <w:szCs w:val="16"/>
          <w:lang w:val="ru-RU"/>
        </w:rPr>
        <w:softHyphen/>
        <w:t>ев ма значительной части размаха составляла всего 500 мм, профиль сечения применялся почти треугольный, с острой передней кромкой. В первоначальном проекте Безобразов пред</w:t>
      </w:r>
      <w:r w:rsidR="00B67D7C" w:rsidRPr="00DE096C">
        <w:rPr>
          <w:bCs/>
          <w:color w:val="002060"/>
          <w:sz w:val="16"/>
          <w:szCs w:val="16"/>
          <w:lang w:val="ru-RU"/>
        </w:rPr>
        <w:softHyphen/>
        <w:t>усматривал размещение двигателя в центре ве</w:t>
      </w:r>
      <w:r w:rsidR="00B67D7C" w:rsidRPr="00DE096C">
        <w:rPr>
          <w:bCs/>
          <w:color w:val="002060"/>
          <w:sz w:val="16"/>
          <w:szCs w:val="16"/>
          <w:lang w:val="ru-RU"/>
        </w:rPr>
        <w:softHyphen/>
        <w:t>ретенообразного, хорошо обтекаемого фюзеля</w:t>
      </w:r>
      <w:r w:rsidR="00B67D7C" w:rsidRPr="00DE096C">
        <w:rPr>
          <w:bCs/>
          <w:color w:val="002060"/>
          <w:sz w:val="16"/>
          <w:szCs w:val="16"/>
          <w:lang w:val="ru-RU"/>
        </w:rPr>
        <w:softHyphen/>
        <w:t>жа, с использованием удлиненного вала к тяну</w:t>
      </w:r>
      <w:r w:rsidR="00B67D7C" w:rsidRPr="00DE096C">
        <w:rPr>
          <w:bCs/>
          <w:color w:val="002060"/>
          <w:sz w:val="16"/>
          <w:szCs w:val="16"/>
          <w:lang w:val="ru-RU"/>
        </w:rPr>
        <w:softHyphen/>
        <w:t>щему воздушному винту. Летчика предполага</w:t>
      </w:r>
      <w:r w:rsidR="00B67D7C" w:rsidRPr="00DE096C">
        <w:rPr>
          <w:bCs/>
          <w:color w:val="002060"/>
          <w:sz w:val="16"/>
          <w:szCs w:val="16"/>
          <w:lang w:val="ru-RU"/>
        </w:rPr>
        <w:softHyphen/>
        <w:t>лось разместить в закрытой кабине с остеклени</w:t>
      </w:r>
      <w:r w:rsidR="00B67D7C" w:rsidRPr="00DE096C">
        <w:rPr>
          <w:bCs/>
          <w:color w:val="002060"/>
          <w:sz w:val="16"/>
          <w:szCs w:val="16"/>
          <w:lang w:val="ru-RU"/>
        </w:rPr>
        <w:softHyphen/>
        <w:t>ем по бортам и сверху фюзеляжа, дополнитель</w:t>
      </w:r>
      <w:r w:rsidR="00B67D7C" w:rsidRPr="00DE096C">
        <w:rPr>
          <w:bCs/>
          <w:color w:val="002060"/>
          <w:sz w:val="16"/>
          <w:szCs w:val="16"/>
          <w:lang w:val="ru-RU"/>
        </w:rPr>
        <w:softHyphen/>
        <w:t>ный обзор обеспечивался при помощи специ</w:t>
      </w:r>
      <w:r w:rsidR="00B67D7C" w:rsidRPr="00DE096C">
        <w:rPr>
          <w:bCs/>
          <w:color w:val="002060"/>
          <w:sz w:val="16"/>
          <w:szCs w:val="16"/>
          <w:lang w:val="ru-RU"/>
        </w:rPr>
        <w:softHyphen/>
        <w:t>ального перископа. Разрешить столь ориги</w:t>
      </w:r>
      <w:r w:rsidR="00B67D7C" w:rsidRPr="00DE096C">
        <w:rPr>
          <w:bCs/>
          <w:color w:val="002060"/>
          <w:sz w:val="16"/>
          <w:szCs w:val="16"/>
          <w:lang w:val="ru-RU"/>
        </w:rPr>
        <w:softHyphen/>
        <w:t>нальные предложения на практике оказалось нереально, поэтому фюзеляж самолета.</w:t>
      </w:r>
    </w:p>
    <w:p w14:paraId="287E03E3" w14:textId="77777777" w:rsidR="00B67D7C" w:rsidRPr="00DE096C" w:rsidRDefault="00B67D7C" w:rsidP="00D45A46">
      <w:pPr>
        <w:jc w:val="both"/>
        <w:rPr>
          <w:bCs/>
          <w:color w:val="002060"/>
          <w:sz w:val="16"/>
          <w:szCs w:val="16"/>
        </w:rPr>
      </w:pPr>
      <w:r w:rsidRPr="00DE096C">
        <w:rPr>
          <w:bCs/>
          <w:color w:val="002060"/>
          <w:sz w:val="16"/>
          <w:szCs w:val="16"/>
        </w:rPr>
        <w:t>Безобразова строился по обычной, распростра</w:t>
      </w:r>
      <w:r w:rsidRPr="00DE096C">
        <w:rPr>
          <w:bCs/>
          <w:color w:val="002060"/>
          <w:sz w:val="16"/>
          <w:szCs w:val="16"/>
        </w:rPr>
        <w:softHyphen/>
        <w:t>ненной методике, с размещением двигателя «Анзани» 60 л.с. (затем «Гном» 80 л.с.) в носо</w:t>
      </w:r>
      <w:r w:rsidRPr="00DE096C">
        <w:rPr>
          <w:bCs/>
          <w:color w:val="002060"/>
          <w:sz w:val="16"/>
          <w:szCs w:val="16"/>
        </w:rPr>
        <w:softHyphen/>
        <w:t>вой части фюзеляжа. Двигатель был куплен у Ивана Орлова, который в свою очередь привез его с Парижской выставки 1911-1912 г.г. (11972).</w:t>
      </w:r>
    </w:p>
    <w:p w14:paraId="0567F1A3" w14:textId="77777777" w:rsidR="00B67D7C" w:rsidRPr="00DE096C" w:rsidRDefault="00B67D7C" w:rsidP="00D45A46">
      <w:pPr>
        <w:jc w:val="both"/>
        <w:rPr>
          <w:bCs/>
          <w:color w:val="002060"/>
          <w:sz w:val="16"/>
          <w:szCs w:val="16"/>
        </w:rPr>
      </w:pPr>
    </w:p>
    <w:p w14:paraId="182C960E" w14:textId="0301AC8E" w:rsidR="00771FF4" w:rsidRPr="00DE096C" w:rsidRDefault="00771FF4" w:rsidP="00D45A46">
      <w:pPr>
        <w:jc w:val="both"/>
        <w:rPr>
          <w:bCs/>
          <w:color w:val="002060"/>
          <w:sz w:val="16"/>
          <w:szCs w:val="16"/>
        </w:rPr>
      </w:pPr>
      <w:r w:rsidRPr="00DE096C">
        <w:rPr>
          <w:bCs/>
          <w:color w:val="002060"/>
          <w:sz w:val="16"/>
          <w:szCs w:val="16"/>
          <w:lang w:bidi="ru-RU"/>
        </w:rPr>
        <w:t>К 1 (14) марта 1914 г. началась постройка ап</w:t>
      </w:r>
      <w:r w:rsidRPr="00DE096C">
        <w:rPr>
          <w:bCs/>
          <w:color w:val="002060"/>
          <w:sz w:val="16"/>
          <w:szCs w:val="16"/>
          <w:lang w:bidi="ru-RU"/>
        </w:rPr>
        <w:softHyphen/>
        <w:t>парата, определяемого Безобразовым как «тримоноплан тип 1». К этому времени при участии итальянского авиатора-конструк</w:t>
      </w:r>
      <w:r w:rsidRPr="00DE096C">
        <w:rPr>
          <w:bCs/>
          <w:color w:val="002060"/>
          <w:sz w:val="16"/>
          <w:szCs w:val="16"/>
          <w:lang w:bidi="ru-RU"/>
        </w:rPr>
        <w:softHyphen/>
        <w:t>тора Ф. Моска и чертежника Маршанова был разработан проект самолета и постро</w:t>
      </w:r>
      <w:r w:rsidRPr="00DE096C">
        <w:rPr>
          <w:bCs/>
          <w:color w:val="002060"/>
          <w:sz w:val="16"/>
          <w:szCs w:val="16"/>
          <w:lang w:bidi="ru-RU"/>
        </w:rPr>
        <w:softHyphen/>
        <w:t>ена его модель.</w:t>
      </w:r>
    </w:p>
    <w:p w14:paraId="018561CB" w14:textId="77777777" w:rsidR="00771FF4" w:rsidRPr="00DE096C" w:rsidRDefault="00771FF4" w:rsidP="00D45A46">
      <w:pPr>
        <w:jc w:val="both"/>
        <w:rPr>
          <w:bCs/>
          <w:color w:val="002060"/>
          <w:sz w:val="16"/>
          <w:szCs w:val="16"/>
          <w:lang w:bidi="ru-RU"/>
        </w:rPr>
      </w:pPr>
      <w:r w:rsidRPr="00DE096C">
        <w:rPr>
          <w:bCs/>
          <w:color w:val="002060"/>
          <w:sz w:val="16"/>
          <w:szCs w:val="16"/>
          <w:lang w:bidi="ru-RU"/>
        </w:rPr>
        <w:t>Три узкие несущие плоскости по замыс</w:t>
      </w:r>
      <w:r w:rsidRPr="00DE096C">
        <w:rPr>
          <w:bCs/>
          <w:color w:val="002060"/>
          <w:sz w:val="16"/>
          <w:szCs w:val="16"/>
          <w:lang w:bidi="ru-RU"/>
        </w:rPr>
        <w:softHyphen/>
        <w:t>лу автора должны были при достаточном обзоре обеспечить высокую устойчивость и маневренность триплана на всем диапа</w:t>
      </w:r>
      <w:r w:rsidRPr="00DE096C">
        <w:rPr>
          <w:bCs/>
          <w:color w:val="002060"/>
          <w:sz w:val="16"/>
          <w:szCs w:val="16"/>
          <w:lang w:bidi="ru-RU"/>
        </w:rPr>
        <w:softHyphen/>
        <w:t>зоне полетных скоростей. Ширина каждого из трех крыльев на значительной части размаха составляла всего 500 мм, профиль поперечного сечения применялся почти треугольный, с острой передней кромкой. В первоначальном проекте Безобразов предусматривал размещение двигателя в центре веретенообразного, хорошо обте</w:t>
      </w:r>
      <w:r w:rsidRPr="00DE096C">
        <w:rPr>
          <w:bCs/>
          <w:color w:val="002060"/>
          <w:sz w:val="16"/>
          <w:szCs w:val="16"/>
          <w:lang w:bidi="ru-RU"/>
        </w:rPr>
        <w:softHyphen/>
        <w:t>каемого фюзеляжа, с использованием уд</w:t>
      </w:r>
      <w:r w:rsidRPr="00DE096C">
        <w:rPr>
          <w:bCs/>
          <w:color w:val="002060"/>
          <w:sz w:val="16"/>
          <w:szCs w:val="16"/>
          <w:lang w:bidi="ru-RU"/>
        </w:rPr>
        <w:softHyphen/>
        <w:t>линенного вала к тянущему воздушному винту. Летчика предполагалось разместить в закрытой кабине с остеклением по бор</w:t>
      </w:r>
      <w:r w:rsidRPr="00DE096C">
        <w:rPr>
          <w:bCs/>
          <w:color w:val="002060"/>
          <w:sz w:val="16"/>
          <w:szCs w:val="16"/>
          <w:lang w:bidi="ru-RU"/>
        </w:rPr>
        <w:softHyphen/>
        <w:t>там и сверху фюзеляжа, дополнительный обзор обеспечивался при помощи специ</w:t>
      </w:r>
      <w:r w:rsidRPr="00DE096C">
        <w:rPr>
          <w:bCs/>
          <w:color w:val="002060"/>
          <w:sz w:val="16"/>
          <w:szCs w:val="16"/>
          <w:lang w:bidi="ru-RU"/>
        </w:rPr>
        <w:softHyphen/>
        <w:t>ального перископа. Разрешить столь ори</w:t>
      </w:r>
      <w:r w:rsidRPr="00DE096C">
        <w:rPr>
          <w:bCs/>
          <w:color w:val="002060"/>
          <w:sz w:val="16"/>
          <w:szCs w:val="16"/>
          <w:lang w:bidi="ru-RU"/>
        </w:rPr>
        <w:softHyphen/>
        <w:t>гинальные предложения на практике оказа</w:t>
      </w:r>
      <w:r w:rsidRPr="00DE096C">
        <w:rPr>
          <w:bCs/>
          <w:color w:val="002060"/>
          <w:sz w:val="16"/>
          <w:szCs w:val="16"/>
          <w:lang w:bidi="ru-RU"/>
        </w:rPr>
        <w:softHyphen/>
        <w:t>лось затруднительно, поэтому фюзеляж самолета Безобразова строился по обыч</w:t>
      </w:r>
      <w:r w:rsidRPr="00DE096C">
        <w:rPr>
          <w:bCs/>
          <w:color w:val="002060"/>
          <w:sz w:val="16"/>
          <w:szCs w:val="16"/>
          <w:lang w:bidi="ru-RU"/>
        </w:rPr>
        <w:softHyphen/>
        <w:t>ной, распространенной методике, с разме</w:t>
      </w:r>
      <w:r w:rsidRPr="00DE096C">
        <w:rPr>
          <w:bCs/>
          <w:color w:val="002060"/>
          <w:sz w:val="16"/>
          <w:szCs w:val="16"/>
          <w:lang w:bidi="ru-RU"/>
        </w:rPr>
        <w:softHyphen/>
        <w:t>щением двигателя «Анзани» 60 л.с. (затем «Гном» 80 л.с.) в носовой части фюзеляжа. Двигатель «Анзани» был куплен у другого авиационного энтузиаста — Ивана Орлова, который в свою очередь привез его с Па</w:t>
      </w:r>
      <w:r w:rsidRPr="00DE096C">
        <w:rPr>
          <w:bCs/>
          <w:color w:val="002060"/>
          <w:sz w:val="16"/>
          <w:szCs w:val="16"/>
          <w:lang w:bidi="ru-RU"/>
        </w:rPr>
        <w:softHyphen/>
        <w:t>рижской выставки 1911—12 гг. (23374).</w:t>
      </w:r>
    </w:p>
    <w:p w14:paraId="75055FE4" w14:textId="77777777" w:rsidR="00771FF4" w:rsidRPr="00DE096C" w:rsidRDefault="00771FF4" w:rsidP="00D45A46">
      <w:pPr>
        <w:jc w:val="both"/>
        <w:rPr>
          <w:bCs/>
          <w:color w:val="002060"/>
          <w:sz w:val="16"/>
          <w:szCs w:val="16"/>
          <w:lang w:bidi="ru-RU"/>
        </w:rPr>
      </w:pPr>
    </w:p>
    <w:p w14:paraId="114F4878" w14:textId="3F38A71C" w:rsidR="00B67D7C" w:rsidRPr="00DE096C" w:rsidRDefault="00B67D7C" w:rsidP="00D45A46">
      <w:pPr>
        <w:shd w:val="clear" w:color="auto" w:fill="FFFFFF"/>
        <w:jc w:val="both"/>
        <w:rPr>
          <w:bCs/>
          <w:i/>
          <w:color w:val="002060"/>
          <w:sz w:val="16"/>
          <w:szCs w:val="16"/>
        </w:rPr>
      </w:pPr>
      <w:r w:rsidRPr="00DE096C">
        <w:rPr>
          <w:bCs/>
          <w:i/>
          <w:color w:val="002060"/>
          <w:sz w:val="16"/>
          <w:szCs w:val="16"/>
        </w:rPr>
        <w:t>Другие оборонные отрасли:</w:t>
      </w:r>
    </w:p>
    <w:p w14:paraId="299BE888" w14:textId="77777777" w:rsidR="00B67D7C" w:rsidRPr="00DE096C" w:rsidRDefault="00B67D7C" w:rsidP="00D45A46">
      <w:pPr>
        <w:shd w:val="clear" w:color="auto" w:fill="FFFFFF"/>
        <w:jc w:val="both"/>
        <w:rPr>
          <w:bCs/>
          <w:i/>
          <w:color w:val="002060"/>
          <w:sz w:val="16"/>
          <w:szCs w:val="16"/>
        </w:rPr>
      </w:pPr>
    </w:p>
    <w:p w14:paraId="3D7D1488" w14:textId="5E7FB015" w:rsidR="00B67D7C" w:rsidRPr="00DE096C" w:rsidRDefault="00B67D7C" w:rsidP="00D45A46">
      <w:pPr>
        <w:jc w:val="both"/>
        <w:rPr>
          <w:bCs/>
          <w:color w:val="002060"/>
          <w:sz w:val="16"/>
          <w:szCs w:val="16"/>
        </w:rPr>
      </w:pPr>
      <w:r w:rsidRPr="00DE096C">
        <w:rPr>
          <w:bCs/>
          <w:color w:val="002060"/>
          <w:sz w:val="16"/>
          <w:szCs w:val="16"/>
        </w:rPr>
        <w:t xml:space="preserve">1 </w:t>
      </w:r>
      <w:r w:rsidR="002A06B1" w:rsidRPr="00DE096C">
        <w:rPr>
          <w:bCs/>
          <w:color w:val="002060"/>
          <w:sz w:val="16"/>
          <w:szCs w:val="16"/>
        </w:rPr>
        <w:t xml:space="preserve">(14) </w:t>
      </w:r>
      <w:r w:rsidRPr="00DE096C">
        <w:rPr>
          <w:bCs/>
          <w:color w:val="002060"/>
          <w:sz w:val="16"/>
          <w:szCs w:val="16"/>
        </w:rPr>
        <w:t xml:space="preserve">марта 1914 г. </w:t>
      </w:r>
      <w:r w:rsidR="002A06B1" w:rsidRPr="00DE096C">
        <w:rPr>
          <w:bCs/>
          <w:color w:val="002060"/>
          <w:sz w:val="16"/>
          <w:szCs w:val="16"/>
        </w:rPr>
        <w:t xml:space="preserve">подробно излагая планы развития завода для изготовления снарядов, начальник Ижорского завода </w:t>
      </w:r>
      <w:r w:rsidRPr="00DE096C">
        <w:rPr>
          <w:bCs/>
          <w:color w:val="002060"/>
          <w:sz w:val="16"/>
          <w:szCs w:val="16"/>
        </w:rPr>
        <w:t>докладывал в артиллерийский отдел ГУК:</w:t>
      </w:r>
    </w:p>
    <w:p w14:paraId="02897E33" w14:textId="77777777" w:rsidR="00B67D7C" w:rsidRPr="00DE096C" w:rsidRDefault="00B67D7C" w:rsidP="00D45A46">
      <w:pPr>
        <w:pStyle w:val="Blockquote"/>
        <w:spacing w:before="0" w:after="0"/>
        <w:ind w:left="0" w:right="0"/>
        <w:jc w:val="both"/>
        <w:rPr>
          <w:bCs/>
          <w:color w:val="002060"/>
          <w:sz w:val="16"/>
          <w:szCs w:val="16"/>
        </w:rPr>
      </w:pPr>
      <w:r w:rsidRPr="00DE096C">
        <w:rPr>
          <w:bCs/>
          <w:color w:val="002060"/>
          <w:sz w:val="16"/>
          <w:szCs w:val="16"/>
        </w:rPr>
        <w:t>"…после ознакомления с производством снарядов на одном из лучших английских заводов командированным инженером, выяснилась необходимость войти в соглашение с этим заводом. К тому же выяснилась необходимость сложной термообработки снарядов, что в общем составило дополнительный расход в 320 тыс. руб., добавочный расход за техническое содействие инофирме и вознаграждение 570 тыс. руб. Выяснилась также необходимость усиления пресса для штамповки снарядов вместо предполагаемых 1200 т. до 2000 т., что опять вызвало значительное увеличение стоимости прессового отделения… (РГАВМФ, ф.401, оп.2, д. 617, л. 3-12.).</w:t>
      </w:r>
    </w:p>
    <w:p w14:paraId="6FBB275E" w14:textId="77777777" w:rsidR="00B67D7C" w:rsidRPr="00DE096C" w:rsidRDefault="00B67D7C" w:rsidP="00D45A46">
      <w:pPr>
        <w:jc w:val="both"/>
        <w:rPr>
          <w:bCs/>
          <w:color w:val="002060"/>
          <w:sz w:val="16"/>
          <w:szCs w:val="16"/>
        </w:rPr>
      </w:pPr>
      <w:r w:rsidRPr="00DE096C">
        <w:rPr>
          <w:bCs/>
          <w:color w:val="002060"/>
          <w:sz w:val="16"/>
          <w:szCs w:val="16"/>
        </w:rPr>
        <w:t>Годовое производство снарядов на Ижорском заводе планировалось довести при односменной работе до 1500 16" калибра или 1800 14" калибра, не считая снарядов для орудий меньших калибров. Полная смета на переоборудование завода для этих целей исчислялась 3545 тыс. руб. Было запланировано установить новые гидравлические прессы, станки для обработки снарядов, закалочные отделения и печи, построить новый цех площадью 31 тыс. м</w:t>
      </w:r>
      <w:r w:rsidRPr="00DE096C">
        <w:rPr>
          <w:bCs/>
          <w:color w:val="002060"/>
          <w:sz w:val="16"/>
          <w:szCs w:val="16"/>
          <w:vertAlign w:val="superscript"/>
        </w:rPr>
        <w:t>2</w:t>
      </w:r>
      <w:r w:rsidRPr="00DE096C">
        <w:rPr>
          <w:bCs/>
          <w:color w:val="002060"/>
          <w:sz w:val="16"/>
          <w:szCs w:val="16"/>
        </w:rPr>
        <w:t xml:space="preserve"> многие вспомогательные сооружения. Всего же Морское министерство планировало на трех казенных заводах (Обуховском, Ижорском и Пермском) изготавливать не менее 6000 16" снарядов ежегодно (РГАВМФ, ф.401, оп.2, д. 617, л. 30.) (12109).</w:t>
      </w:r>
    </w:p>
    <w:p w14:paraId="79E22DDE" w14:textId="77777777" w:rsidR="00B67D7C" w:rsidRPr="00DE096C" w:rsidRDefault="00B67D7C" w:rsidP="00D45A46">
      <w:pPr>
        <w:jc w:val="both"/>
        <w:rPr>
          <w:bCs/>
          <w:color w:val="002060"/>
          <w:sz w:val="16"/>
          <w:szCs w:val="16"/>
        </w:rPr>
      </w:pPr>
    </w:p>
    <w:p w14:paraId="0439DD88" w14:textId="77777777" w:rsidR="003D172F" w:rsidRPr="00DE096C" w:rsidRDefault="003D172F" w:rsidP="00D45A46">
      <w:pPr>
        <w:shd w:val="clear" w:color="auto" w:fill="FFFFFF"/>
        <w:jc w:val="both"/>
        <w:rPr>
          <w:bCs/>
          <w:i/>
          <w:color w:val="002060"/>
          <w:sz w:val="16"/>
          <w:szCs w:val="16"/>
        </w:rPr>
      </w:pPr>
      <w:r w:rsidRPr="00DE096C">
        <w:rPr>
          <w:bCs/>
          <w:i/>
          <w:color w:val="002060"/>
          <w:sz w:val="16"/>
          <w:szCs w:val="16"/>
        </w:rPr>
        <w:t>Авиация:</w:t>
      </w:r>
    </w:p>
    <w:p w14:paraId="3AF464B3" w14:textId="77777777" w:rsidR="003D172F" w:rsidRPr="00DE096C" w:rsidRDefault="003D172F" w:rsidP="00D45A46">
      <w:pPr>
        <w:shd w:val="clear" w:color="auto" w:fill="FFFFFF"/>
        <w:jc w:val="both"/>
        <w:rPr>
          <w:bCs/>
          <w:i/>
          <w:color w:val="002060"/>
          <w:sz w:val="16"/>
          <w:szCs w:val="16"/>
        </w:rPr>
      </w:pPr>
    </w:p>
    <w:p w14:paraId="33BDB1F2" w14:textId="754925DF" w:rsidR="00C47A60" w:rsidRPr="00DE096C" w:rsidRDefault="00C47A60" w:rsidP="00D45A46">
      <w:pPr>
        <w:jc w:val="both"/>
        <w:rPr>
          <w:bCs/>
          <w:color w:val="002060"/>
          <w:sz w:val="16"/>
          <w:szCs w:val="16"/>
          <w:lang w:bidi="en-US"/>
        </w:rPr>
      </w:pPr>
      <w:r w:rsidRPr="00DE096C">
        <w:rPr>
          <w:bCs/>
          <w:color w:val="002060"/>
          <w:sz w:val="16"/>
          <w:szCs w:val="16"/>
          <w:lang w:bidi="en-US"/>
        </w:rPr>
        <w:t>1 (14) марта 1914 г. были созданы следующие подразделения; 7-й КАО, 8-й КАО, 16-й КАО, 22-й КАО, 24-й КАО и 25-й КАО, за которыми 15 марта последовали 13-й КАО, 17-й КАО и Гренадерский КАО (23525).</w:t>
      </w:r>
    </w:p>
    <w:p w14:paraId="0F6052EE" w14:textId="77777777" w:rsidR="00C47A60" w:rsidRPr="00DE096C" w:rsidRDefault="00C47A60" w:rsidP="00D45A46">
      <w:pPr>
        <w:jc w:val="both"/>
        <w:rPr>
          <w:bCs/>
          <w:color w:val="002060"/>
          <w:sz w:val="16"/>
          <w:szCs w:val="16"/>
        </w:rPr>
      </w:pPr>
    </w:p>
    <w:p w14:paraId="4CC80D01" w14:textId="77777777" w:rsidR="003D172F" w:rsidRPr="00DE096C" w:rsidRDefault="003D172F" w:rsidP="00D45A46">
      <w:pPr>
        <w:shd w:val="clear" w:color="auto" w:fill="FFFFFF"/>
        <w:jc w:val="both"/>
        <w:rPr>
          <w:bCs/>
          <w:color w:val="002060"/>
          <w:sz w:val="16"/>
          <w:szCs w:val="16"/>
        </w:rPr>
      </w:pPr>
      <w:r w:rsidRPr="00DE096C">
        <w:rPr>
          <w:bCs/>
          <w:color w:val="002060"/>
          <w:sz w:val="16"/>
          <w:szCs w:val="16"/>
        </w:rPr>
        <w:t>1 (14) марта 1914 Начальник XI корпусного авиаотряда П.Н.Нестеров на колете "Нъюпор-4" с механиком Руденко совершил выдающийся бесросадочный перелет из Киева в Одессу, пройдя расстояние 480 км за 13ч.5 мин. при средней скорости 150 км/чао. Столь большую скорость Нестеров получил, используя сильный попутный ветер, что в свою очередь усложняло полет, делая его трудным и утомительным ("Одесский листок". 1914 г. 2 марта; "Одесские новости. 1914 г. 4 марта).</w:t>
      </w:r>
    </w:p>
    <w:p w14:paraId="31A7C15F" w14:textId="77777777" w:rsidR="003D172F" w:rsidRPr="00DE096C" w:rsidRDefault="003D172F" w:rsidP="00D45A46">
      <w:pPr>
        <w:shd w:val="clear" w:color="auto" w:fill="FFFFFF"/>
        <w:jc w:val="both"/>
        <w:rPr>
          <w:bCs/>
          <w:color w:val="002060"/>
          <w:sz w:val="16"/>
          <w:szCs w:val="16"/>
        </w:rPr>
      </w:pPr>
    </w:p>
    <w:p w14:paraId="0BB22378" w14:textId="77777777" w:rsidR="003D172F" w:rsidRPr="00DE096C" w:rsidRDefault="003D172F" w:rsidP="00D45A46">
      <w:pPr>
        <w:jc w:val="both"/>
        <w:rPr>
          <w:bCs/>
          <w:color w:val="002060"/>
          <w:sz w:val="16"/>
          <w:szCs w:val="16"/>
        </w:rPr>
      </w:pPr>
      <w:r w:rsidRPr="00DE096C">
        <w:rPr>
          <w:bCs/>
          <w:color w:val="002060"/>
          <w:sz w:val="16"/>
          <w:szCs w:val="16"/>
        </w:rPr>
        <w:lastRenderedPageBreak/>
        <w:t>1 (14) марта 1914 г. Начальник XI корпусного авиаотряда П.Н.Нестеров на самолете Ньюпор-4 с механиком Руденко совершил выдающийся беспо</w:t>
      </w:r>
      <w:r w:rsidRPr="00DE096C">
        <w:rPr>
          <w:bCs/>
          <w:color w:val="002060"/>
          <w:sz w:val="16"/>
          <w:szCs w:val="16"/>
        </w:rPr>
        <w:softHyphen/>
        <w:t>садочный перелет из Киева в Одессу, пройдя расстояние 480 км за 3 ч. б мин.при средней скорости 150 км/час .Столь большую скорость Нестеров получил,используя сильный попутный ветер,что в свою очередь усложняло по лет, делая его неустойчивым и утомительным.</w:t>
      </w:r>
    </w:p>
    <w:p w14:paraId="4C0770C9" w14:textId="77777777" w:rsidR="003D172F" w:rsidRPr="00DE096C" w:rsidRDefault="003D172F" w:rsidP="00D45A46">
      <w:pPr>
        <w:jc w:val="both"/>
        <w:rPr>
          <w:bCs/>
          <w:color w:val="002060"/>
          <w:sz w:val="16"/>
          <w:szCs w:val="16"/>
        </w:rPr>
      </w:pPr>
      <w:r w:rsidRPr="00DE096C">
        <w:rPr>
          <w:bCs/>
          <w:color w:val="002060"/>
          <w:sz w:val="16"/>
          <w:szCs w:val="16"/>
        </w:rPr>
        <w:t>/«Одесский листок» за 2 марта 1914; Е.Ф.Бурче Нестеров, 1935/ (23320).</w:t>
      </w:r>
    </w:p>
    <w:p w14:paraId="547E9FB7" w14:textId="77777777" w:rsidR="003D172F" w:rsidRPr="00DE096C" w:rsidRDefault="003D172F" w:rsidP="00D45A46">
      <w:pPr>
        <w:jc w:val="both"/>
        <w:rPr>
          <w:bCs/>
          <w:color w:val="002060"/>
          <w:sz w:val="16"/>
          <w:szCs w:val="16"/>
        </w:rPr>
      </w:pPr>
    </w:p>
    <w:p w14:paraId="18C22160" w14:textId="77777777" w:rsidR="003D172F" w:rsidRPr="00DE096C" w:rsidRDefault="003D172F" w:rsidP="00D45A46">
      <w:pPr>
        <w:pStyle w:val="2"/>
        <w:spacing w:before="0" w:after="0"/>
        <w:jc w:val="both"/>
        <w:rPr>
          <w:b w:val="0"/>
          <w:bCs/>
          <w:color w:val="002060"/>
          <w:sz w:val="16"/>
          <w:szCs w:val="16"/>
        </w:rPr>
      </w:pPr>
      <w:r w:rsidRPr="00DE096C">
        <w:rPr>
          <w:b w:val="0"/>
          <w:bCs/>
          <w:color w:val="002060"/>
          <w:sz w:val="16"/>
          <w:szCs w:val="16"/>
        </w:rPr>
        <w:t>1 (14) марта 1914 г. Нестеров с механиком Руденко при штормовом попутном ветре на «Ньюпоре-IV» без посадки перелетел из Киева в Одессу, пройдя 480 км за 3 час 9 мин. (15464).</w:t>
      </w:r>
    </w:p>
    <w:p w14:paraId="6A8716F2" w14:textId="77777777" w:rsidR="003D172F" w:rsidRPr="00DE096C" w:rsidRDefault="003D172F" w:rsidP="00D45A46">
      <w:pPr>
        <w:pStyle w:val="2"/>
        <w:spacing w:before="0" w:after="0"/>
        <w:jc w:val="both"/>
        <w:rPr>
          <w:b w:val="0"/>
          <w:bCs/>
          <w:color w:val="002060"/>
          <w:sz w:val="16"/>
          <w:szCs w:val="16"/>
        </w:rPr>
      </w:pPr>
    </w:p>
    <w:p w14:paraId="5B882F28" w14:textId="77777777" w:rsidR="003D172F" w:rsidRPr="00DE096C" w:rsidRDefault="003D172F" w:rsidP="00D45A46">
      <w:pPr>
        <w:jc w:val="both"/>
        <w:rPr>
          <w:bCs/>
          <w:color w:val="002060"/>
          <w:sz w:val="16"/>
          <w:szCs w:val="16"/>
        </w:rPr>
      </w:pPr>
      <w:r w:rsidRPr="00DE096C">
        <w:rPr>
          <w:bCs/>
          <w:color w:val="002060"/>
          <w:sz w:val="16"/>
          <w:szCs w:val="16"/>
        </w:rPr>
        <w:t>1 (14) марта в 1914 году русский летчик П.Нестеров совершил первый авиаперелет из Киева в Одессу (15068).</w:t>
      </w:r>
    </w:p>
    <w:p w14:paraId="12860B4B" w14:textId="77777777" w:rsidR="003D172F" w:rsidRPr="00DE096C" w:rsidRDefault="003D172F" w:rsidP="00D45A46">
      <w:pPr>
        <w:jc w:val="both"/>
        <w:rPr>
          <w:bCs/>
          <w:color w:val="002060"/>
          <w:sz w:val="16"/>
          <w:szCs w:val="16"/>
        </w:rPr>
      </w:pPr>
    </w:p>
    <w:p w14:paraId="3B6BF617" w14:textId="77777777" w:rsidR="003D172F" w:rsidRPr="00DE096C" w:rsidRDefault="003D172F" w:rsidP="00D45A46">
      <w:pPr>
        <w:jc w:val="both"/>
        <w:rPr>
          <w:bCs/>
          <w:color w:val="002060"/>
          <w:sz w:val="16"/>
          <w:szCs w:val="16"/>
        </w:rPr>
      </w:pPr>
      <w:r w:rsidRPr="00DE096C">
        <w:rPr>
          <w:bCs/>
          <w:color w:val="002060"/>
          <w:sz w:val="16"/>
          <w:szCs w:val="16"/>
        </w:rPr>
        <w:t>1 (14) марта 1914 г. в Петербурге, в составе 1-й авиационной роты сформиро</w:t>
      </w:r>
      <w:r w:rsidRPr="00DE096C">
        <w:rPr>
          <w:bCs/>
          <w:color w:val="002060"/>
          <w:sz w:val="16"/>
          <w:szCs w:val="16"/>
        </w:rPr>
        <w:softHyphen/>
        <w:t>ваны 22-й корпусной авиаотряд и 1-й отряд особого назначения, впоследствии переименованный в 16-й корпусной авиаотряд.</w:t>
      </w:r>
    </w:p>
    <w:p w14:paraId="37CCB2E3" w14:textId="77777777" w:rsidR="003D172F" w:rsidRPr="00DE096C" w:rsidRDefault="003D172F" w:rsidP="00D45A46">
      <w:pPr>
        <w:jc w:val="both"/>
        <w:rPr>
          <w:bCs/>
          <w:color w:val="002060"/>
          <w:sz w:val="16"/>
          <w:szCs w:val="16"/>
        </w:rPr>
      </w:pPr>
      <w:r w:rsidRPr="00DE096C">
        <w:rPr>
          <w:bCs/>
          <w:color w:val="002060"/>
          <w:sz w:val="16"/>
          <w:szCs w:val="16"/>
        </w:rPr>
        <w:t>В Одессе из личного состава 4-й Сибирской воздухоплаватель</w:t>
      </w:r>
      <w:r w:rsidRPr="00DE096C">
        <w:rPr>
          <w:bCs/>
          <w:color w:val="002060"/>
          <w:sz w:val="16"/>
          <w:szCs w:val="16"/>
        </w:rPr>
        <w:softHyphen/>
        <w:t>ной роты сформирована 6-я авиационная рота.</w:t>
      </w:r>
    </w:p>
    <w:p w14:paraId="42F782D6" w14:textId="77777777" w:rsidR="003D172F" w:rsidRPr="00DE096C" w:rsidRDefault="003D172F" w:rsidP="00D45A46">
      <w:pPr>
        <w:jc w:val="both"/>
        <w:rPr>
          <w:bCs/>
          <w:color w:val="002060"/>
          <w:sz w:val="16"/>
          <w:szCs w:val="16"/>
        </w:rPr>
      </w:pPr>
      <w:r w:rsidRPr="00DE096C">
        <w:rPr>
          <w:bCs/>
          <w:color w:val="002060"/>
          <w:sz w:val="16"/>
          <w:szCs w:val="16"/>
        </w:rPr>
        <w:t>/Предписание Отдела по устройству и службе войск ГУГШ от 18 марта 1914 г. № 882/ (23320).</w:t>
      </w:r>
    </w:p>
    <w:p w14:paraId="2C631373" w14:textId="77777777" w:rsidR="003D172F" w:rsidRPr="00DE096C" w:rsidRDefault="003D172F" w:rsidP="00D45A46">
      <w:pPr>
        <w:shd w:val="clear" w:color="auto" w:fill="FFFFFF"/>
        <w:jc w:val="both"/>
        <w:rPr>
          <w:bCs/>
          <w:i/>
          <w:color w:val="002060"/>
          <w:sz w:val="16"/>
          <w:szCs w:val="16"/>
        </w:rPr>
      </w:pPr>
    </w:p>
    <w:p w14:paraId="3FDF9AB3" w14:textId="0C97B904" w:rsidR="001F75FA" w:rsidRPr="00DE096C" w:rsidRDefault="001F75FA" w:rsidP="00D45A46">
      <w:pPr>
        <w:shd w:val="clear" w:color="auto" w:fill="FFFFFF"/>
        <w:jc w:val="both"/>
        <w:rPr>
          <w:bCs/>
          <w:i/>
          <w:color w:val="002060"/>
          <w:sz w:val="16"/>
          <w:szCs w:val="16"/>
        </w:rPr>
      </w:pPr>
      <w:r w:rsidRPr="00DE096C">
        <w:rPr>
          <w:bCs/>
          <w:i/>
          <w:color w:val="002060"/>
          <w:sz w:val="16"/>
          <w:szCs w:val="16"/>
        </w:rPr>
        <w:t>Самолетостроение:</w:t>
      </w:r>
    </w:p>
    <w:p w14:paraId="7AEED883" w14:textId="77777777" w:rsidR="001F75FA" w:rsidRPr="00DE096C" w:rsidRDefault="001F75FA" w:rsidP="00D45A46">
      <w:pPr>
        <w:shd w:val="clear" w:color="auto" w:fill="FFFFFF"/>
        <w:jc w:val="both"/>
        <w:rPr>
          <w:bCs/>
          <w:i/>
          <w:color w:val="002060"/>
          <w:sz w:val="16"/>
          <w:szCs w:val="16"/>
        </w:rPr>
      </w:pPr>
    </w:p>
    <w:p w14:paraId="33A18B98" w14:textId="77777777" w:rsidR="001F75FA" w:rsidRPr="00DE096C" w:rsidRDefault="001F75FA" w:rsidP="00D45A46">
      <w:pPr>
        <w:jc w:val="both"/>
        <w:rPr>
          <w:bCs/>
          <w:color w:val="002060"/>
          <w:sz w:val="16"/>
          <w:szCs w:val="16"/>
        </w:rPr>
      </w:pPr>
      <w:r w:rsidRPr="00DE096C">
        <w:rPr>
          <w:bCs/>
          <w:color w:val="002060"/>
          <w:sz w:val="16"/>
          <w:szCs w:val="16"/>
        </w:rPr>
        <w:t xml:space="preserve">2 (15) марта 1914 года лично Сикорским вместе со старшим лейтенантом Лавровым был облетан первый корабль ИМ, изготовленный для морского ведомства. Машина имела следующие отличия от опытного корабля. Вместо 100-сильных "Аргусов" были установлены "Майбахи" по 180 л.с. Сухопутное шасси было заменено на гидро: два поплавка крепились по одному под средними моторами к специальным стойкам шасси на резиновых шнурах-амортизаторах, третий же был хвостовой. Торпеда типа "Л" подвешивалась на усовершенствованной подвеске. Штат для флотских аэропланов был утвержден следующий: командир корабля, помощник, минный офицер, 1-2 механика. На аппарат полагалось вооружение из пулемета Максима в носовой части, и 1-2 ружей-пулеметов Мадсена или Федорова обр.1913 года. Для того чтобы отличить от аппаратов заказанных военным ведомством с мая 1914 года все имевшиеся ИМ получили дополнительное обозначение "М" - морской. Всего к 1 июня 1914 года было принято флотом 8 кораблей (III, IV, V, VI, VII, VIII, IX, X). Командирами кораблей распоряжением морского министра утверждались Лавров, Римский-Корсаков, Литвинов, Григорьев, Потемкин, Гессе, Воронцов, Иванов. 1 мая сформирован отдельный дивизион воздушных кораблей, командиром которого назначен капитан 2 ранга Додоров. Аэропланы собирались, облетывались и затем вновь разбирались и отправлялись на Черноморский флот, где к тому времени была организована гидростанция. В заключение стоит заметить, что первый успешный сброс учебной торпеды типа "Л" с корабля V был выполнен 2 мая 1914 года. Кроме этого, для Дивизиона в мае испытали тяжелые бомбы представлявшие собой переделанные 10" фугасные снаряды с трубкой мгновенного действия и приваренными стабилизаторами. Несколько таких бомб испытали в море в 12-14 мая 1914 года, и хотя в судно мишень не попали из 5 сброшенных бомб ни разу, самая ближайшая, разорвалась в 10 метрах от борта, нанеся серъезные осколочных повреждений. Испытания признали успешным и заготовили партию из 30 бомб силами Севастопольского арсенала. Бомба предназначена была для сброса с минной подвески. </w:t>
      </w:r>
    </w:p>
    <w:p w14:paraId="57752873" w14:textId="77777777" w:rsidR="001F75FA" w:rsidRPr="00DE096C" w:rsidRDefault="001F75FA" w:rsidP="00D45A46">
      <w:pPr>
        <w:jc w:val="both"/>
        <w:rPr>
          <w:bCs/>
          <w:color w:val="002060"/>
          <w:sz w:val="16"/>
          <w:szCs w:val="16"/>
        </w:rPr>
      </w:pPr>
      <w:r w:rsidRPr="00DE096C">
        <w:rPr>
          <w:bCs/>
          <w:color w:val="002060"/>
          <w:sz w:val="16"/>
          <w:szCs w:val="16"/>
        </w:rPr>
        <w:t>Из заказа военного ведомства первый аппарат был готов только к началу июня и получил наименование XV. Отличием армейских "Муромцев", а они так и обозначались по документам "ИМ-А", было использование более дешевых и менее мощных "Аргусов" мощностью 140 л.с. Военное ведомство, в отличие от морского, считало поначалу главным предназначением аппарата ведение разведки. Военное ведомство в июле 1914 года утвердило штат "Команды для аэроплана типа Илья Муромец, состоявшей из 4 офицеров, 1 военного чиновника и 40 нижних чинов. На аппарат предполагалось мощное вооружение: 37 мм пушка Гочкиса, 2 пулемета "Максим", 2 ружья-пулемета "Мадсен" и 2 пистолетов "Маузер"(от установки пушки отказались быстро). Один корабль приравнивался к полевому отряду и придавался штабам армий и фронтов. Командиром 2-го воздушного корабля был назначен штабс-капитан Е.В.Руднев, 15-го поручик А.В.Панкратьев (12284).</w:t>
      </w:r>
    </w:p>
    <w:p w14:paraId="449DA2A3" w14:textId="77777777" w:rsidR="001F75FA" w:rsidRPr="00DE096C" w:rsidRDefault="001F75FA" w:rsidP="00D45A46">
      <w:pPr>
        <w:jc w:val="both"/>
        <w:rPr>
          <w:bCs/>
          <w:color w:val="002060"/>
          <w:sz w:val="16"/>
          <w:szCs w:val="16"/>
        </w:rPr>
      </w:pPr>
    </w:p>
    <w:p w14:paraId="7506A3FE" w14:textId="003E8E89" w:rsidR="009B46D9" w:rsidRPr="00DE096C" w:rsidRDefault="009B46D9" w:rsidP="00D45A46">
      <w:pPr>
        <w:shd w:val="clear" w:color="auto" w:fill="FFFFFF"/>
        <w:jc w:val="both"/>
        <w:rPr>
          <w:bCs/>
          <w:i/>
          <w:color w:val="002060"/>
          <w:sz w:val="16"/>
          <w:szCs w:val="16"/>
        </w:rPr>
      </w:pPr>
      <w:r w:rsidRPr="00DE096C">
        <w:rPr>
          <w:bCs/>
          <w:i/>
          <w:color w:val="002060"/>
          <w:sz w:val="16"/>
          <w:szCs w:val="16"/>
        </w:rPr>
        <w:t>Авиация:</w:t>
      </w:r>
    </w:p>
    <w:p w14:paraId="1ACE3B57" w14:textId="77777777" w:rsidR="009B46D9" w:rsidRPr="00DE096C" w:rsidRDefault="009B46D9" w:rsidP="00D45A46">
      <w:pPr>
        <w:shd w:val="clear" w:color="auto" w:fill="FFFFFF"/>
        <w:jc w:val="both"/>
        <w:rPr>
          <w:bCs/>
          <w:i/>
          <w:color w:val="002060"/>
          <w:sz w:val="16"/>
          <w:szCs w:val="16"/>
        </w:rPr>
      </w:pPr>
    </w:p>
    <w:p w14:paraId="62085024" w14:textId="77777777" w:rsidR="003D172F" w:rsidRPr="00DE096C" w:rsidRDefault="003D172F" w:rsidP="00D45A46">
      <w:pPr>
        <w:jc w:val="both"/>
        <w:rPr>
          <w:bCs/>
          <w:color w:val="002060"/>
          <w:sz w:val="16"/>
          <w:szCs w:val="16"/>
        </w:rPr>
      </w:pPr>
      <w:r w:rsidRPr="00DE096C">
        <w:rPr>
          <w:bCs/>
          <w:color w:val="002060"/>
          <w:sz w:val="16"/>
          <w:szCs w:val="16"/>
        </w:rPr>
        <w:t>2 (15) марта 1914 г. в Бронницах /под Москвой/ сформирована 5-я авиацион</w:t>
      </w:r>
      <w:r w:rsidRPr="00DE096C">
        <w:rPr>
          <w:bCs/>
          <w:color w:val="002060"/>
          <w:sz w:val="16"/>
          <w:szCs w:val="16"/>
        </w:rPr>
        <w:softHyphen/>
        <w:t>ная рота, в состав которой вошли гренадерский, 13-й и 17-й корпу</w:t>
      </w:r>
      <w:r w:rsidRPr="00DE096C">
        <w:rPr>
          <w:bCs/>
          <w:color w:val="002060"/>
          <w:sz w:val="16"/>
          <w:szCs w:val="16"/>
        </w:rPr>
        <w:softHyphen/>
        <w:t>сные авиационные отряды.</w:t>
      </w:r>
    </w:p>
    <w:p w14:paraId="73F75941" w14:textId="77777777" w:rsidR="003D172F" w:rsidRPr="00DE096C" w:rsidRDefault="003D172F" w:rsidP="00D45A46">
      <w:pPr>
        <w:jc w:val="both"/>
        <w:rPr>
          <w:bCs/>
          <w:color w:val="002060"/>
          <w:sz w:val="16"/>
          <w:szCs w:val="16"/>
        </w:rPr>
      </w:pPr>
      <w:r w:rsidRPr="00DE096C">
        <w:rPr>
          <w:bCs/>
          <w:color w:val="002060"/>
          <w:sz w:val="16"/>
          <w:szCs w:val="16"/>
        </w:rPr>
        <w:t>/Предписание Отдела по устройству и службе войск ГУГШ от 18 марта 1914 г. № 882/ (23320).</w:t>
      </w:r>
    </w:p>
    <w:p w14:paraId="73280D31" w14:textId="77777777" w:rsidR="003D172F" w:rsidRPr="00DE096C" w:rsidRDefault="003D172F" w:rsidP="00D45A46">
      <w:pPr>
        <w:jc w:val="both"/>
        <w:rPr>
          <w:bCs/>
          <w:color w:val="002060"/>
          <w:sz w:val="16"/>
          <w:szCs w:val="16"/>
        </w:rPr>
      </w:pPr>
    </w:p>
    <w:p w14:paraId="74C73A04" w14:textId="28A80155" w:rsidR="009B46D9" w:rsidRPr="00DE096C" w:rsidRDefault="002A06B1" w:rsidP="00D45A46">
      <w:pPr>
        <w:jc w:val="both"/>
        <w:rPr>
          <w:bCs/>
          <w:color w:val="002060"/>
          <w:sz w:val="16"/>
          <w:szCs w:val="16"/>
        </w:rPr>
      </w:pPr>
      <w:r w:rsidRPr="00DE096C">
        <w:rPr>
          <w:bCs/>
          <w:color w:val="002060"/>
          <w:sz w:val="16"/>
          <w:szCs w:val="16"/>
        </w:rPr>
        <w:t>К</w:t>
      </w:r>
      <w:r w:rsidR="009B46D9" w:rsidRPr="00DE096C">
        <w:rPr>
          <w:bCs/>
          <w:color w:val="002060"/>
          <w:sz w:val="16"/>
          <w:szCs w:val="16"/>
        </w:rPr>
        <w:t xml:space="preserve"> 2 (15) марта 1914 г. в результате нескольких лет соревнования были получены следующие рекордные достижения, характеризующие положение авиационного дела в разных странах (поскольку рекорды вообще могут его характеризовать): [67] </w:t>
      </w:r>
    </w:p>
    <w:tbl>
      <w:tblPr>
        <w:tblW w:w="0" w:type="auto"/>
        <w:tblInd w:w="4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8" w:type="dxa"/>
          <w:right w:w="48" w:type="dxa"/>
        </w:tblCellMar>
        <w:tblLook w:val="0000" w:firstRow="0" w:lastRow="0" w:firstColumn="0" w:lastColumn="0" w:noHBand="0" w:noVBand="0"/>
      </w:tblPr>
      <w:tblGrid>
        <w:gridCol w:w="6028"/>
        <w:gridCol w:w="3331"/>
      </w:tblGrid>
      <w:tr w:rsidR="009B46D9" w:rsidRPr="00DE096C" w14:paraId="7D959A06" w14:textId="77777777" w:rsidTr="00607F21">
        <w:tc>
          <w:tcPr>
            <w:tcW w:w="9359" w:type="dxa"/>
            <w:gridSpan w:val="2"/>
          </w:tcPr>
          <w:p w14:paraId="1A099B40" w14:textId="77777777" w:rsidR="009B46D9" w:rsidRPr="00DE096C" w:rsidRDefault="009B46D9" w:rsidP="00D45A46">
            <w:pPr>
              <w:jc w:val="both"/>
              <w:rPr>
                <w:bCs/>
                <w:color w:val="002060"/>
                <w:sz w:val="16"/>
                <w:szCs w:val="16"/>
              </w:rPr>
            </w:pPr>
            <w:r w:rsidRPr="00DE096C">
              <w:rPr>
                <w:bCs/>
                <w:i/>
                <w:color w:val="002060"/>
                <w:sz w:val="16"/>
                <w:szCs w:val="16"/>
              </w:rPr>
              <w:t>АЭРОПЛАНЫ</w:t>
            </w:r>
          </w:p>
        </w:tc>
      </w:tr>
      <w:tr w:rsidR="009B46D9" w:rsidRPr="00DE096C" w14:paraId="6FA8399F" w14:textId="77777777" w:rsidTr="00607F21">
        <w:tc>
          <w:tcPr>
            <w:tcW w:w="9359" w:type="dxa"/>
            <w:gridSpan w:val="2"/>
          </w:tcPr>
          <w:p w14:paraId="6F42C5B9" w14:textId="77777777" w:rsidR="009B46D9" w:rsidRPr="00DE096C" w:rsidRDefault="009B46D9" w:rsidP="00D45A46">
            <w:pPr>
              <w:jc w:val="both"/>
              <w:rPr>
                <w:bCs/>
                <w:color w:val="002060"/>
                <w:sz w:val="16"/>
                <w:szCs w:val="16"/>
              </w:rPr>
            </w:pPr>
            <w:r w:rsidRPr="00DE096C">
              <w:rPr>
                <w:bCs/>
                <w:i/>
                <w:color w:val="002060"/>
                <w:sz w:val="16"/>
                <w:szCs w:val="16"/>
              </w:rPr>
              <w:t>Скорость.</w:t>
            </w:r>
            <w:r w:rsidRPr="00DE096C">
              <w:rPr>
                <w:bCs/>
                <w:color w:val="002060"/>
                <w:sz w:val="16"/>
                <w:szCs w:val="16"/>
              </w:rPr>
              <w:t xml:space="preserve"> Наибольшая скорость в час по замкнутому кругу в 5 км </w:t>
            </w:r>
          </w:p>
        </w:tc>
      </w:tr>
      <w:tr w:rsidR="009B46D9" w:rsidRPr="00DE096C" w14:paraId="4AA6D3FE" w14:textId="77777777" w:rsidTr="00607F21">
        <w:tc>
          <w:tcPr>
            <w:tcW w:w="6028" w:type="dxa"/>
          </w:tcPr>
          <w:p w14:paraId="23B78CDD" w14:textId="77777777" w:rsidR="009B46D9" w:rsidRPr="00DE096C" w:rsidRDefault="009B46D9" w:rsidP="00D45A46">
            <w:pPr>
              <w:jc w:val="both"/>
              <w:rPr>
                <w:bCs/>
                <w:color w:val="002060"/>
                <w:sz w:val="16"/>
                <w:szCs w:val="16"/>
              </w:rPr>
            </w:pPr>
            <w:r w:rsidRPr="00DE096C">
              <w:rPr>
                <w:bCs/>
                <w:color w:val="002060"/>
                <w:sz w:val="16"/>
                <w:szCs w:val="16"/>
              </w:rPr>
              <w:t xml:space="preserve">Один пилот: М. Прево (Франция, 29/IX 1913) </w:t>
            </w:r>
          </w:p>
        </w:tc>
        <w:tc>
          <w:tcPr>
            <w:tcW w:w="3331" w:type="dxa"/>
          </w:tcPr>
          <w:p w14:paraId="53A3B6C0" w14:textId="77777777" w:rsidR="009B46D9" w:rsidRPr="00DE096C" w:rsidRDefault="009B46D9" w:rsidP="00D45A46">
            <w:pPr>
              <w:jc w:val="both"/>
              <w:rPr>
                <w:bCs/>
                <w:color w:val="002060"/>
                <w:sz w:val="16"/>
                <w:szCs w:val="16"/>
              </w:rPr>
            </w:pPr>
            <w:r w:rsidRPr="00DE096C">
              <w:rPr>
                <w:bCs/>
                <w:color w:val="002060"/>
                <w:sz w:val="16"/>
                <w:szCs w:val="16"/>
              </w:rPr>
              <w:t xml:space="preserve">203 км 850 м </w:t>
            </w:r>
          </w:p>
        </w:tc>
      </w:tr>
      <w:tr w:rsidR="009B46D9" w:rsidRPr="00DE096C" w14:paraId="4123942D" w14:textId="77777777" w:rsidTr="00607F21">
        <w:tc>
          <w:tcPr>
            <w:tcW w:w="6028" w:type="dxa"/>
          </w:tcPr>
          <w:p w14:paraId="7D1F94DB" w14:textId="77777777" w:rsidR="009B46D9" w:rsidRPr="00DE096C" w:rsidRDefault="009B46D9" w:rsidP="00D45A46">
            <w:pPr>
              <w:jc w:val="both"/>
              <w:rPr>
                <w:bCs/>
                <w:color w:val="002060"/>
                <w:sz w:val="16"/>
                <w:szCs w:val="16"/>
              </w:rPr>
            </w:pPr>
            <w:r w:rsidRPr="00DE096C">
              <w:rPr>
                <w:bCs/>
                <w:color w:val="002060"/>
                <w:sz w:val="16"/>
                <w:szCs w:val="16"/>
              </w:rPr>
              <w:t xml:space="preserve">С 1 пассажиром: Леганье (Франция, 20/VII 1913 г.) </w:t>
            </w:r>
          </w:p>
        </w:tc>
        <w:tc>
          <w:tcPr>
            <w:tcW w:w="3331" w:type="dxa"/>
          </w:tcPr>
          <w:p w14:paraId="3F9E90BE" w14:textId="77777777" w:rsidR="009B46D9" w:rsidRPr="00DE096C" w:rsidRDefault="009B46D9" w:rsidP="00D45A46">
            <w:pPr>
              <w:jc w:val="both"/>
              <w:rPr>
                <w:bCs/>
                <w:color w:val="002060"/>
                <w:sz w:val="16"/>
                <w:szCs w:val="16"/>
              </w:rPr>
            </w:pPr>
            <w:r w:rsidRPr="00DE096C">
              <w:rPr>
                <w:bCs/>
                <w:color w:val="002060"/>
                <w:sz w:val="16"/>
                <w:szCs w:val="16"/>
              </w:rPr>
              <w:t xml:space="preserve">135 км 952 м </w:t>
            </w:r>
          </w:p>
        </w:tc>
      </w:tr>
      <w:tr w:rsidR="009B46D9" w:rsidRPr="00DE096C" w14:paraId="04D5AA2E" w14:textId="77777777" w:rsidTr="00607F21">
        <w:tc>
          <w:tcPr>
            <w:tcW w:w="6028" w:type="dxa"/>
          </w:tcPr>
          <w:p w14:paraId="0CF8634F" w14:textId="77777777" w:rsidR="009B46D9" w:rsidRPr="00DE096C" w:rsidRDefault="009B46D9" w:rsidP="00D45A46">
            <w:pPr>
              <w:jc w:val="both"/>
              <w:rPr>
                <w:bCs/>
                <w:color w:val="002060"/>
                <w:sz w:val="16"/>
                <w:szCs w:val="16"/>
              </w:rPr>
            </w:pPr>
            <w:r w:rsidRPr="00DE096C">
              <w:rPr>
                <w:bCs/>
                <w:color w:val="002060"/>
                <w:sz w:val="16"/>
                <w:szCs w:val="16"/>
              </w:rPr>
              <w:t xml:space="preserve">С 2 пассажирами: Э. Ньюпор (Франция, 9 /III 1911 г.) </w:t>
            </w:r>
          </w:p>
        </w:tc>
        <w:tc>
          <w:tcPr>
            <w:tcW w:w="3331" w:type="dxa"/>
          </w:tcPr>
          <w:p w14:paraId="300682D3" w14:textId="77777777" w:rsidR="009B46D9" w:rsidRPr="00DE096C" w:rsidRDefault="009B46D9" w:rsidP="00D45A46">
            <w:pPr>
              <w:jc w:val="both"/>
              <w:rPr>
                <w:bCs/>
                <w:color w:val="002060"/>
                <w:sz w:val="16"/>
                <w:szCs w:val="16"/>
              </w:rPr>
            </w:pPr>
            <w:r w:rsidRPr="00DE096C">
              <w:rPr>
                <w:bCs/>
                <w:color w:val="002060"/>
                <w:sz w:val="16"/>
                <w:szCs w:val="16"/>
              </w:rPr>
              <w:t xml:space="preserve">102 км 855 м </w:t>
            </w:r>
          </w:p>
        </w:tc>
      </w:tr>
      <w:tr w:rsidR="009B46D9" w:rsidRPr="00DE096C" w14:paraId="798F618D" w14:textId="77777777" w:rsidTr="00607F21">
        <w:tc>
          <w:tcPr>
            <w:tcW w:w="6028" w:type="dxa"/>
          </w:tcPr>
          <w:p w14:paraId="13EE4BCE" w14:textId="77777777" w:rsidR="009B46D9" w:rsidRPr="00DE096C" w:rsidRDefault="009B46D9" w:rsidP="00D45A46">
            <w:pPr>
              <w:jc w:val="both"/>
              <w:rPr>
                <w:bCs/>
                <w:color w:val="002060"/>
                <w:sz w:val="16"/>
                <w:szCs w:val="16"/>
              </w:rPr>
            </w:pPr>
            <w:r w:rsidRPr="00DE096C">
              <w:rPr>
                <w:bCs/>
                <w:color w:val="002060"/>
                <w:sz w:val="16"/>
                <w:szCs w:val="16"/>
              </w:rPr>
              <w:t xml:space="preserve">С 3 пассажирами Бюссон (Франция, 10/111 1911 г.) </w:t>
            </w:r>
          </w:p>
        </w:tc>
        <w:tc>
          <w:tcPr>
            <w:tcW w:w="3331" w:type="dxa"/>
          </w:tcPr>
          <w:p w14:paraId="37DECDF1" w14:textId="77777777" w:rsidR="009B46D9" w:rsidRPr="00DE096C" w:rsidRDefault="009B46D9" w:rsidP="00D45A46">
            <w:pPr>
              <w:jc w:val="both"/>
              <w:rPr>
                <w:bCs/>
                <w:color w:val="002060"/>
                <w:sz w:val="16"/>
                <w:szCs w:val="16"/>
              </w:rPr>
            </w:pPr>
            <w:r w:rsidRPr="00DE096C">
              <w:rPr>
                <w:bCs/>
                <w:color w:val="002060"/>
                <w:sz w:val="16"/>
                <w:szCs w:val="16"/>
              </w:rPr>
              <w:t xml:space="preserve">96 км 308 м </w:t>
            </w:r>
          </w:p>
        </w:tc>
      </w:tr>
      <w:tr w:rsidR="009B46D9" w:rsidRPr="00DE096C" w14:paraId="0B2E8569" w14:textId="77777777" w:rsidTr="00607F21">
        <w:tc>
          <w:tcPr>
            <w:tcW w:w="6028" w:type="dxa"/>
          </w:tcPr>
          <w:p w14:paraId="0C9E579C" w14:textId="77777777" w:rsidR="009B46D9" w:rsidRPr="00DE096C" w:rsidRDefault="009B46D9" w:rsidP="00D45A46">
            <w:pPr>
              <w:jc w:val="both"/>
              <w:rPr>
                <w:bCs/>
                <w:color w:val="002060"/>
                <w:sz w:val="16"/>
                <w:szCs w:val="16"/>
              </w:rPr>
            </w:pPr>
            <w:r w:rsidRPr="00DE096C">
              <w:rPr>
                <w:bCs/>
                <w:color w:val="002060"/>
                <w:sz w:val="16"/>
                <w:szCs w:val="16"/>
              </w:rPr>
              <w:t xml:space="preserve">С 4 пассажирами Бюссон (Франция, 10 III 1911 г.) </w:t>
            </w:r>
          </w:p>
        </w:tc>
        <w:tc>
          <w:tcPr>
            <w:tcW w:w="3331" w:type="dxa"/>
          </w:tcPr>
          <w:p w14:paraId="3193B90A" w14:textId="77777777" w:rsidR="009B46D9" w:rsidRPr="00DE096C" w:rsidRDefault="009B46D9" w:rsidP="00D45A46">
            <w:pPr>
              <w:jc w:val="both"/>
              <w:rPr>
                <w:bCs/>
                <w:color w:val="002060"/>
                <w:sz w:val="16"/>
                <w:szCs w:val="16"/>
              </w:rPr>
            </w:pPr>
            <w:r w:rsidRPr="00DE096C">
              <w:rPr>
                <w:bCs/>
                <w:color w:val="002060"/>
                <w:sz w:val="16"/>
                <w:szCs w:val="16"/>
              </w:rPr>
              <w:t xml:space="preserve">87 км 251 м </w:t>
            </w:r>
          </w:p>
        </w:tc>
      </w:tr>
      <w:tr w:rsidR="009B46D9" w:rsidRPr="00DE096C" w14:paraId="780DA36D" w14:textId="77777777" w:rsidTr="00607F21">
        <w:tc>
          <w:tcPr>
            <w:tcW w:w="6028" w:type="dxa"/>
          </w:tcPr>
          <w:p w14:paraId="12C0B948" w14:textId="77777777" w:rsidR="009B46D9" w:rsidRPr="00DE096C" w:rsidRDefault="009B46D9" w:rsidP="00D45A46">
            <w:pPr>
              <w:jc w:val="both"/>
              <w:rPr>
                <w:bCs/>
                <w:color w:val="002060"/>
                <w:sz w:val="16"/>
                <w:szCs w:val="16"/>
              </w:rPr>
            </w:pPr>
            <w:r w:rsidRPr="00DE096C">
              <w:rPr>
                <w:bCs/>
                <w:i/>
                <w:color w:val="002060"/>
                <w:sz w:val="16"/>
                <w:szCs w:val="16"/>
              </w:rPr>
              <w:t>В России</w:t>
            </w:r>
          </w:p>
        </w:tc>
        <w:tc>
          <w:tcPr>
            <w:tcW w:w="3331" w:type="dxa"/>
          </w:tcPr>
          <w:p w14:paraId="0690B21C" w14:textId="77777777" w:rsidR="009B46D9" w:rsidRPr="00DE096C" w:rsidRDefault="009B46D9" w:rsidP="00D45A46">
            <w:pPr>
              <w:jc w:val="both"/>
              <w:rPr>
                <w:bCs/>
                <w:color w:val="002060"/>
                <w:sz w:val="16"/>
                <w:szCs w:val="16"/>
              </w:rPr>
            </w:pPr>
          </w:p>
        </w:tc>
      </w:tr>
      <w:tr w:rsidR="009B46D9" w:rsidRPr="00DE096C" w14:paraId="5B352F1D" w14:textId="77777777" w:rsidTr="00607F21">
        <w:tc>
          <w:tcPr>
            <w:tcW w:w="6028" w:type="dxa"/>
          </w:tcPr>
          <w:p w14:paraId="3E4382D6" w14:textId="77777777" w:rsidR="009B46D9" w:rsidRPr="00DE096C" w:rsidRDefault="009B46D9" w:rsidP="00D45A46">
            <w:pPr>
              <w:jc w:val="both"/>
              <w:rPr>
                <w:bCs/>
                <w:color w:val="002060"/>
                <w:sz w:val="16"/>
                <w:szCs w:val="16"/>
              </w:rPr>
            </w:pPr>
            <w:r w:rsidRPr="00DE096C">
              <w:rPr>
                <w:bCs/>
                <w:color w:val="002060"/>
                <w:sz w:val="16"/>
                <w:szCs w:val="16"/>
              </w:rPr>
              <w:t xml:space="preserve">Скоростных рекордов установлено не было. </w:t>
            </w:r>
          </w:p>
        </w:tc>
        <w:tc>
          <w:tcPr>
            <w:tcW w:w="3331" w:type="dxa"/>
          </w:tcPr>
          <w:p w14:paraId="3EFF177F" w14:textId="77777777" w:rsidR="009B46D9" w:rsidRPr="00DE096C" w:rsidRDefault="009B46D9" w:rsidP="00D45A46">
            <w:pPr>
              <w:jc w:val="both"/>
              <w:rPr>
                <w:bCs/>
                <w:color w:val="002060"/>
                <w:sz w:val="16"/>
                <w:szCs w:val="16"/>
              </w:rPr>
            </w:pPr>
          </w:p>
        </w:tc>
      </w:tr>
      <w:tr w:rsidR="009B46D9" w:rsidRPr="00DE096C" w14:paraId="70497963" w14:textId="77777777" w:rsidTr="00607F21">
        <w:tc>
          <w:tcPr>
            <w:tcW w:w="9359" w:type="dxa"/>
            <w:gridSpan w:val="2"/>
          </w:tcPr>
          <w:p w14:paraId="225D4C6B" w14:textId="77777777" w:rsidR="009B46D9" w:rsidRPr="00DE096C" w:rsidRDefault="009B46D9" w:rsidP="00D45A46">
            <w:pPr>
              <w:jc w:val="both"/>
              <w:rPr>
                <w:bCs/>
                <w:color w:val="002060"/>
                <w:sz w:val="16"/>
                <w:szCs w:val="16"/>
              </w:rPr>
            </w:pPr>
            <w:r w:rsidRPr="00DE096C">
              <w:rPr>
                <w:bCs/>
                <w:color w:val="002060"/>
                <w:sz w:val="16"/>
                <w:szCs w:val="16"/>
              </w:rPr>
              <w:t xml:space="preserve">Дистанция (без остановок по замкнутому кругу) </w:t>
            </w:r>
          </w:p>
        </w:tc>
      </w:tr>
      <w:tr w:rsidR="009B46D9" w:rsidRPr="00DE096C" w14:paraId="007586A2" w14:textId="77777777" w:rsidTr="00607F21">
        <w:tc>
          <w:tcPr>
            <w:tcW w:w="6028" w:type="dxa"/>
          </w:tcPr>
          <w:p w14:paraId="4DC2C6F8" w14:textId="77777777" w:rsidR="009B46D9" w:rsidRPr="00DE096C" w:rsidRDefault="009B46D9" w:rsidP="00D45A46">
            <w:pPr>
              <w:jc w:val="both"/>
              <w:rPr>
                <w:bCs/>
                <w:color w:val="002060"/>
                <w:sz w:val="16"/>
                <w:szCs w:val="16"/>
              </w:rPr>
            </w:pPr>
            <w:r w:rsidRPr="00DE096C">
              <w:rPr>
                <w:bCs/>
                <w:color w:val="002060"/>
                <w:sz w:val="16"/>
                <w:szCs w:val="16"/>
              </w:rPr>
              <w:t xml:space="preserve">Один пилот: Сеген (Франция, 13/Х 1913 г.) </w:t>
            </w:r>
          </w:p>
        </w:tc>
        <w:tc>
          <w:tcPr>
            <w:tcW w:w="3331" w:type="dxa"/>
          </w:tcPr>
          <w:p w14:paraId="4458099C" w14:textId="77777777" w:rsidR="009B46D9" w:rsidRPr="00DE096C" w:rsidRDefault="009B46D9" w:rsidP="00D45A46">
            <w:pPr>
              <w:jc w:val="both"/>
              <w:rPr>
                <w:bCs/>
                <w:color w:val="002060"/>
                <w:sz w:val="16"/>
                <w:szCs w:val="16"/>
              </w:rPr>
            </w:pPr>
            <w:r w:rsidRPr="00DE096C">
              <w:rPr>
                <w:bCs/>
                <w:color w:val="002060"/>
                <w:sz w:val="16"/>
                <w:szCs w:val="16"/>
              </w:rPr>
              <w:t xml:space="preserve">1040 км </w:t>
            </w:r>
          </w:p>
        </w:tc>
      </w:tr>
      <w:tr w:rsidR="009B46D9" w:rsidRPr="00DE096C" w14:paraId="1A61DFE3" w14:textId="77777777" w:rsidTr="00607F21">
        <w:tc>
          <w:tcPr>
            <w:tcW w:w="6028" w:type="dxa"/>
          </w:tcPr>
          <w:p w14:paraId="37BAA9FA" w14:textId="77777777" w:rsidR="009B46D9" w:rsidRPr="00DE096C" w:rsidRDefault="009B46D9" w:rsidP="00D45A46">
            <w:pPr>
              <w:jc w:val="both"/>
              <w:rPr>
                <w:bCs/>
                <w:color w:val="002060"/>
                <w:sz w:val="16"/>
                <w:szCs w:val="16"/>
              </w:rPr>
            </w:pPr>
            <w:r w:rsidRPr="00DE096C">
              <w:rPr>
                <w:bCs/>
                <w:color w:val="002060"/>
                <w:sz w:val="16"/>
                <w:szCs w:val="16"/>
              </w:rPr>
              <w:t xml:space="preserve">С 1 пассажиром: Гювйо (Франция, 11 /II 1913 г.) </w:t>
            </w:r>
          </w:p>
        </w:tc>
        <w:tc>
          <w:tcPr>
            <w:tcW w:w="3331" w:type="dxa"/>
          </w:tcPr>
          <w:p w14:paraId="0F17AD59" w14:textId="77777777" w:rsidR="009B46D9" w:rsidRPr="00DE096C" w:rsidRDefault="009B46D9" w:rsidP="00D45A46">
            <w:pPr>
              <w:jc w:val="both"/>
              <w:rPr>
                <w:bCs/>
                <w:color w:val="002060"/>
                <w:sz w:val="16"/>
                <w:szCs w:val="16"/>
              </w:rPr>
            </w:pPr>
            <w:r w:rsidRPr="00DE096C">
              <w:rPr>
                <w:bCs/>
                <w:color w:val="002060"/>
                <w:sz w:val="16"/>
                <w:szCs w:val="16"/>
              </w:rPr>
              <w:t xml:space="preserve">410 км </w:t>
            </w:r>
          </w:p>
        </w:tc>
      </w:tr>
      <w:tr w:rsidR="009B46D9" w:rsidRPr="00DE096C" w14:paraId="774529BB" w14:textId="77777777" w:rsidTr="00607F21">
        <w:tc>
          <w:tcPr>
            <w:tcW w:w="6028" w:type="dxa"/>
          </w:tcPr>
          <w:p w14:paraId="37D6D5EA" w14:textId="77777777" w:rsidR="009B46D9" w:rsidRPr="00DE096C" w:rsidRDefault="009B46D9" w:rsidP="00D45A46">
            <w:pPr>
              <w:jc w:val="both"/>
              <w:rPr>
                <w:bCs/>
                <w:color w:val="002060"/>
                <w:sz w:val="16"/>
                <w:szCs w:val="16"/>
              </w:rPr>
            </w:pPr>
            <w:r w:rsidRPr="00DE096C">
              <w:rPr>
                <w:bCs/>
                <w:color w:val="002060"/>
                <w:sz w:val="16"/>
                <w:szCs w:val="16"/>
              </w:rPr>
              <w:t xml:space="preserve">C 2–4 пассажирами: Шамель (Франция, 15/IV 1913 г.) </w:t>
            </w:r>
          </w:p>
        </w:tc>
        <w:tc>
          <w:tcPr>
            <w:tcW w:w="3331" w:type="dxa"/>
          </w:tcPr>
          <w:p w14:paraId="47D952AA" w14:textId="77777777" w:rsidR="009B46D9" w:rsidRPr="00DE096C" w:rsidRDefault="009B46D9" w:rsidP="00D45A46">
            <w:pPr>
              <w:jc w:val="both"/>
              <w:rPr>
                <w:bCs/>
                <w:color w:val="002060"/>
                <w:sz w:val="16"/>
                <w:szCs w:val="16"/>
              </w:rPr>
            </w:pPr>
            <w:r w:rsidRPr="00DE096C">
              <w:rPr>
                <w:bCs/>
                <w:color w:val="002060"/>
                <w:sz w:val="16"/>
                <w:szCs w:val="16"/>
              </w:rPr>
              <w:t xml:space="preserve">250 км </w:t>
            </w:r>
          </w:p>
        </w:tc>
      </w:tr>
      <w:tr w:rsidR="009B46D9" w:rsidRPr="00DE096C" w14:paraId="5CA8C14A" w14:textId="77777777" w:rsidTr="00607F21">
        <w:tc>
          <w:tcPr>
            <w:tcW w:w="9359" w:type="dxa"/>
            <w:gridSpan w:val="2"/>
          </w:tcPr>
          <w:p w14:paraId="335EF34E" w14:textId="77777777" w:rsidR="009B46D9" w:rsidRPr="00DE096C" w:rsidRDefault="009B46D9" w:rsidP="00D45A46">
            <w:pPr>
              <w:jc w:val="both"/>
              <w:rPr>
                <w:bCs/>
                <w:color w:val="002060"/>
                <w:sz w:val="16"/>
                <w:szCs w:val="16"/>
              </w:rPr>
            </w:pPr>
            <w:r w:rsidRPr="00DE096C">
              <w:rPr>
                <w:bCs/>
                <w:i/>
                <w:color w:val="002060"/>
                <w:sz w:val="16"/>
                <w:szCs w:val="16"/>
              </w:rPr>
              <w:t>В России</w:t>
            </w:r>
          </w:p>
        </w:tc>
      </w:tr>
      <w:tr w:rsidR="009B46D9" w:rsidRPr="00DE096C" w14:paraId="51C90E7E" w14:textId="77777777" w:rsidTr="00607F21">
        <w:tc>
          <w:tcPr>
            <w:tcW w:w="6028" w:type="dxa"/>
          </w:tcPr>
          <w:p w14:paraId="510C1870" w14:textId="77777777" w:rsidR="009B46D9" w:rsidRPr="00DE096C" w:rsidRDefault="009B46D9" w:rsidP="00D45A46">
            <w:pPr>
              <w:jc w:val="both"/>
              <w:rPr>
                <w:bCs/>
                <w:color w:val="002060"/>
                <w:sz w:val="16"/>
                <w:szCs w:val="16"/>
              </w:rPr>
            </w:pPr>
            <w:r w:rsidRPr="00DE096C">
              <w:rPr>
                <w:bCs/>
                <w:color w:val="002060"/>
                <w:sz w:val="16"/>
                <w:szCs w:val="16"/>
              </w:rPr>
              <w:t xml:space="preserve">Один пилот: Руднев (СПБ, 11/IХ 1910 г.) </w:t>
            </w:r>
          </w:p>
        </w:tc>
        <w:tc>
          <w:tcPr>
            <w:tcW w:w="3331" w:type="dxa"/>
          </w:tcPr>
          <w:p w14:paraId="58125162" w14:textId="77777777" w:rsidR="009B46D9" w:rsidRPr="00DE096C" w:rsidRDefault="009B46D9" w:rsidP="00D45A46">
            <w:pPr>
              <w:jc w:val="both"/>
              <w:rPr>
                <w:bCs/>
                <w:color w:val="002060"/>
                <w:sz w:val="16"/>
                <w:szCs w:val="16"/>
              </w:rPr>
            </w:pPr>
            <w:r w:rsidRPr="00DE096C">
              <w:rPr>
                <w:bCs/>
                <w:color w:val="002060"/>
                <w:sz w:val="16"/>
                <w:szCs w:val="16"/>
              </w:rPr>
              <w:t xml:space="preserve">456 км </w:t>
            </w:r>
          </w:p>
        </w:tc>
      </w:tr>
      <w:tr w:rsidR="009B46D9" w:rsidRPr="00DE096C" w14:paraId="7D75E4E4" w14:textId="77777777" w:rsidTr="00607F21">
        <w:tc>
          <w:tcPr>
            <w:tcW w:w="6028" w:type="dxa"/>
          </w:tcPr>
          <w:p w14:paraId="293DD536" w14:textId="77777777" w:rsidR="009B46D9" w:rsidRPr="00DE096C" w:rsidRDefault="009B46D9" w:rsidP="00D45A46">
            <w:pPr>
              <w:jc w:val="both"/>
              <w:rPr>
                <w:bCs/>
                <w:color w:val="002060"/>
                <w:sz w:val="16"/>
                <w:szCs w:val="16"/>
              </w:rPr>
            </w:pPr>
            <w:r w:rsidRPr="00DE096C">
              <w:rPr>
                <w:bCs/>
                <w:color w:val="002060"/>
                <w:sz w:val="16"/>
                <w:szCs w:val="16"/>
              </w:rPr>
              <w:t xml:space="preserve">С 1 пассажиром: Лебедев (СПБ, 15/V 1911 г.) </w:t>
            </w:r>
          </w:p>
        </w:tc>
        <w:tc>
          <w:tcPr>
            <w:tcW w:w="3331" w:type="dxa"/>
          </w:tcPr>
          <w:p w14:paraId="44293F80" w14:textId="77777777" w:rsidR="009B46D9" w:rsidRPr="00DE096C" w:rsidRDefault="009B46D9" w:rsidP="00D45A46">
            <w:pPr>
              <w:jc w:val="both"/>
              <w:rPr>
                <w:bCs/>
                <w:color w:val="002060"/>
                <w:sz w:val="16"/>
                <w:szCs w:val="16"/>
              </w:rPr>
            </w:pPr>
            <w:r w:rsidRPr="00DE096C">
              <w:rPr>
                <w:bCs/>
                <w:color w:val="002060"/>
                <w:sz w:val="16"/>
                <w:szCs w:val="16"/>
              </w:rPr>
              <w:t xml:space="preserve">94 км </w:t>
            </w:r>
          </w:p>
        </w:tc>
      </w:tr>
      <w:tr w:rsidR="009B46D9" w:rsidRPr="00DE096C" w14:paraId="5A68DADC" w14:textId="77777777" w:rsidTr="00607F21">
        <w:tc>
          <w:tcPr>
            <w:tcW w:w="6028" w:type="dxa"/>
          </w:tcPr>
          <w:p w14:paraId="2EDB0567" w14:textId="77777777" w:rsidR="009B46D9" w:rsidRPr="00DE096C" w:rsidRDefault="009B46D9" w:rsidP="00D45A46">
            <w:pPr>
              <w:jc w:val="both"/>
              <w:rPr>
                <w:bCs/>
                <w:color w:val="002060"/>
                <w:sz w:val="16"/>
                <w:szCs w:val="16"/>
              </w:rPr>
            </w:pPr>
            <w:r w:rsidRPr="00DE096C">
              <w:rPr>
                <w:bCs/>
                <w:color w:val="002060"/>
                <w:sz w:val="16"/>
                <w:szCs w:val="16"/>
              </w:rPr>
              <w:t xml:space="preserve">С 2 пассажирами: Руднев (СПБ, 21/IX 1910 г.) </w:t>
            </w:r>
          </w:p>
        </w:tc>
        <w:tc>
          <w:tcPr>
            <w:tcW w:w="3331" w:type="dxa"/>
          </w:tcPr>
          <w:p w14:paraId="236AFC96" w14:textId="77777777" w:rsidR="009B46D9" w:rsidRPr="00DE096C" w:rsidRDefault="009B46D9" w:rsidP="00D45A46">
            <w:pPr>
              <w:jc w:val="both"/>
              <w:rPr>
                <w:bCs/>
                <w:color w:val="002060"/>
                <w:sz w:val="16"/>
                <w:szCs w:val="16"/>
              </w:rPr>
            </w:pPr>
            <w:r w:rsidRPr="00DE096C">
              <w:rPr>
                <w:bCs/>
                <w:color w:val="002060"/>
                <w:sz w:val="16"/>
                <w:szCs w:val="16"/>
              </w:rPr>
              <w:t xml:space="preserve">35 км </w:t>
            </w:r>
          </w:p>
        </w:tc>
      </w:tr>
      <w:tr w:rsidR="009B46D9" w:rsidRPr="00DE096C" w14:paraId="56223E98" w14:textId="77777777" w:rsidTr="00607F21">
        <w:tc>
          <w:tcPr>
            <w:tcW w:w="9359" w:type="dxa"/>
            <w:gridSpan w:val="2"/>
          </w:tcPr>
          <w:p w14:paraId="03A117FF" w14:textId="77777777" w:rsidR="009B46D9" w:rsidRPr="00DE096C" w:rsidRDefault="009B46D9" w:rsidP="00D45A46">
            <w:pPr>
              <w:jc w:val="both"/>
              <w:rPr>
                <w:bCs/>
                <w:color w:val="002060"/>
                <w:sz w:val="16"/>
                <w:szCs w:val="16"/>
              </w:rPr>
            </w:pPr>
            <w:r w:rsidRPr="00DE096C">
              <w:rPr>
                <w:bCs/>
                <w:color w:val="002060"/>
                <w:sz w:val="16"/>
                <w:szCs w:val="16"/>
              </w:rPr>
              <w:t xml:space="preserve">Дистанция (по прямой линии без остановок) </w:t>
            </w:r>
          </w:p>
        </w:tc>
      </w:tr>
      <w:tr w:rsidR="009B46D9" w:rsidRPr="00DE096C" w14:paraId="7ECEFBAC" w14:textId="77777777" w:rsidTr="00607F21">
        <w:tc>
          <w:tcPr>
            <w:tcW w:w="6028" w:type="dxa"/>
          </w:tcPr>
          <w:p w14:paraId="7AC82675" w14:textId="77777777" w:rsidR="009B46D9" w:rsidRPr="00DE096C" w:rsidRDefault="009B46D9" w:rsidP="00D45A46">
            <w:pPr>
              <w:jc w:val="both"/>
              <w:rPr>
                <w:bCs/>
                <w:color w:val="002060"/>
                <w:sz w:val="16"/>
                <w:szCs w:val="16"/>
              </w:rPr>
            </w:pPr>
            <w:r w:rsidRPr="00DE096C">
              <w:rPr>
                <w:bCs/>
                <w:color w:val="002060"/>
                <w:sz w:val="16"/>
                <w:szCs w:val="16"/>
              </w:rPr>
              <w:t xml:space="preserve">Один пилот: Штефлер (Германия, 16/IX 1913 г.) </w:t>
            </w:r>
          </w:p>
        </w:tc>
        <w:tc>
          <w:tcPr>
            <w:tcW w:w="3331" w:type="dxa"/>
          </w:tcPr>
          <w:p w14:paraId="6B783D27" w14:textId="77777777" w:rsidR="009B46D9" w:rsidRPr="00DE096C" w:rsidRDefault="009B46D9" w:rsidP="00D45A46">
            <w:pPr>
              <w:jc w:val="both"/>
              <w:rPr>
                <w:bCs/>
                <w:color w:val="002060"/>
                <w:sz w:val="16"/>
                <w:szCs w:val="16"/>
              </w:rPr>
            </w:pPr>
            <w:r w:rsidRPr="00DE096C">
              <w:rPr>
                <w:bCs/>
                <w:color w:val="002060"/>
                <w:sz w:val="16"/>
                <w:szCs w:val="16"/>
              </w:rPr>
              <w:t xml:space="preserve">1100 км </w:t>
            </w:r>
          </w:p>
        </w:tc>
      </w:tr>
      <w:tr w:rsidR="009B46D9" w:rsidRPr="00DE096C" w14:paraId="1238F4CF" w14:textId="77777777" w:rsidTr="00607F21">
        <w:tc>
          <w:tcPr>
            <w:tcW w:w="6028" w:type="dxa"/>
          </w:tcPr>
          <w:p w14:paraId="6599F516" w14:textId="77777777" w:rsidR="009B46D9" w:rsidRPr="00DE096C" w:rsidRDefault="009B46D9" w:rsidP="00D45A46">
            <w:pPr>
              <w:jc w:val="both"/>
              <w:rPr>
                <w:bCs/>
                <w:color w:val="002060"/>
                <w:sz w:val="16"/>
                <w:szCs w:val="16"/>
              </w:rPr>
            </w:pPr>
            <w:r w:rsidRPr="00DE096C">
              <w:rPr>
                <w:bCs/>
                <w:color w:val="002060"/>
                <w:sz w:val="16"/>
                <w:szCs w:val="16"/>
              </w:rPr>
              <w:t xml:space="preserve">С 1 пассажиром: Деруа (Италия, 17/VII 1913 г.) </w:t>
            </w:r>
          </w:p>
        </w:tc>
        <w:tc>
          <w:tcPr>
            <w:tcW w:w="3331" w:type="dxa"/>
          </w:tcPr>
          <w:p w14:paraId="5E5C33B8" w14:textId="77777777" w:rsidR="009B46D9" w:rsidRPr="00DE096C" w:rsidRDefault="009B46D9" w:rsidP="00D45A46">
            <w:pPr>
              <w:jc w:val="both"/>
              <w:rPr>
                <w:bCs/>
                <w:color w:val="002060"/>
                <w:sz w:val="16"/>
                <w:szCs w:val="16"/>
              </w:rPr>
            </w:pPr>
            <w:r w:rsidRPr="00DE096C">
              <w:rPr>
                <w:bCs/>
                <w:color w:val="002060"/>
                <w:sz w:val="16"/>
                <w:szCs w:val="16"/>
              </w:rPr>
              <w:t xml:space="preserve">806 км </w:t>
            </w:r>
          </w:p>
        </w:tc>
      </w:tr>
      <w:tr w:rsidR="009B46D9" w:rsidRPr="00DE096C" w14:paraId="6E60690F" w14:textId="77777777" w:rsidTr="00607F21">
        <w:tc>
          <w:tcPr>
            <w:tcW w:w="6028" w:type="dxa"/>
          </w:tcPr>
          <w:p w14:paraId="2E14704F" w14:textId="77777777" w:rsidR="009B46D9" w:rsidRPr="00DE096C" w:rsidRDefault="009B46D9" w:rsidP="00D45A46">
            <w:pPr>
              <w:jc w:val="both"/>
              <w:rPr>
                <w:bCs/>
                <w:color w:val="002060"/>
                <w:sz w:val="16"/>
                <w:szCs w:val="16"/>
              </w:rPr>
            </w:pPr>
            <w:r w:rsidRPr="00DE096C">
              <w:rPr>
                <w:bCs/>
                <w:i/>
                <w:color w:val="002060"/>
                <w:sz w:val="16"/>
                <w:szCs w:val="16"/>
              </w:rPr>
              <w:t>В России</w:t>
            </w:r>
          </w:p>
        </w:tc>
        <w:tc>
          <w:tcPr>
            <w:tcW w:w="3331" w:type="dxa"/>
          </w:tcPr>
          <w:p w14:paraId="612548A2" w14:textId="77777777" w:rsidR="009B46D9" w:rsidRPr="00DE096C" w:rsidRDefault="009B46D9" w:rsidP="00D45A46">
            <w:pPr>
              <w:jc w:val="both"/>
              <w:rPr>
                <w:bCs/>
                <w:color w:val="002060"/>
                <w:sz w:val="16"/>
                <w:szCs w:val="16"/>
              </w:rPr>
            </w:pPr>
          </w:p>
        </w:tc>
      </w:tr>
      <w:tr w:rsidR="009B46D9" w:rsidRPr="00DE096C" w14:paraId="7D890664" w14:textId="77777777" w:rsidTr="00607F21">
        <w:tc>
          <w:tcPr>
            <w:tcW w:w="6028" w:type="dxa"/>
          </w:tcPr>
          <w:p w14:paraId="03AB481C" w14:textId="77777777" w:rsidR="009B46D9" w:rsidRPr="00DE096C" w:rsidRDefault="009B46D9" w:rsidP="00D45A46">
            <w:pPr>
              <w:jc w:val="both"/>
              <w:rPr>
                <w:bCs/>
                <w:color w:val="002060"/>
                <w:sz w:val="16"/>
                <w:szCs w:val="16"/>
              </w:rPr>
            </w:pPr>
            <w:r w:rsidRPr="00DE096C">
              <w:rPr>
                <w:bCs/>
                <w:i/>
                <w:color w:val="002060"/>
                <w:sz w:val="16"/>
                <w:szCs w:val="16"/>
              </w:rPr>
              <w:t>С 1</w:t>
            </w:r>
            <w:r w:rsidRPr="00DE096C">
              <w:rPr>
                <w:bCs/>
                <w:color w:val="002060"/>
                <w:sz w:val="16"/>
                <w:szCs w:val="16"/>
              </w:rPr>
              <w:t xml:space="preserve"> пассажиром: Михайлов (4/ХП 1913 г.) </w:t>
            </w:r>
          </w:p>
        </w:tc>
        <w:tc>
          <w:tcPr>
            <w:tcW w:w="3331" w:type="dxa"/>
          </w:tcPr>
          <w:p w14:paraId="5CF9FDC3" w14:textId="77777777" w:rsidR="009B46D9" w:rsidRPr="00DE096C" w:rsidRDefault="009B46D9" w:rsidP="00D45A46">
            <w:pPr>
              <w:jc w:val="both"/>
              <w:rPr>
                <w:bCs/>
                <w:color w:val="002060"/>
                <w:sz w:val="16"/>
                <w:szCs w:val="16"/>
              </w:rPr>
            </w:pPr>
            <w:r w:rsidRPr="00DE096C">
              <w:rPr>
                <w:bCs/>
                <w:color w:val="002060"/>
                <w:sz w:val="16"/>
                <w:szCs w:val="16"/>
              </w:rPr>
              <w:t xml:space="preserve">480 км </w:t>
            </w:r>
          </w:p>
        </w:tc>
      </w:tr>
      <w:tr w:rsidR="009B46D9" w:rsidRPr="00DE096C" w14:paraId="4E58C4EE" w14:textId="77777777" w:rsidTr="00607F21">
        <w:tc>
          <w:tcPr>
            <w:tcW w:w="9359" w:type="dxa"/>
            <w:gridSpan w:val="2"/>
          </w:tcPr>
          <w:p w14:paraId="0CC72165" w14:textId="77777777" w:rsidR="009B46D9" w:rsidRPr="00DE096C" w:rsidRDefault="009B46D9" w:rsidP="00D45A46">
            <w:pPr>
              <w:jc w:val="both"/>
              <w:rPr>
                <w:bCs/>
                <w:color w:val="002060"/>
                <w:sz w:val="16"/>
                <w:szCs w:val="16"/>
              </w:rPr>
            </w:pPr>
            <w:r w:rsidRPr="00DE096C">
              <w:rPr>
                <w:bCs/>
                <w:color w:val="002060"/>
                <w:sz w:val="16"/>
                <w:szCs w:val="16"/>
              </w:rPr>
              <w:t xml:space="preserve">Продолжительность (без остановки по замкнутому кругу) </w:t>
            </w:r>
          </w:p>
        </w:tc>
      </w:tr>
      <w:tr w:rsidR="009B46D9" w:rsidRPr="00DE096C" w14:paraId="60B06CEA" w14:textId="77777777" w:rsidTr="00607F21">
        <w:tc>
          <w:tcPr>
            <w:tcW w:w="6028" w:type="dxa"/>
          </w:tcPr>
          <w:p w14:paraId="3E87C2DE" w14:textId="77777777" w:rsidR="009B46D9" w:rsidRPr="00DE096C" w:rsidRDefault="009B46D9" w:rsidP="00D45A46">
            <w:pPr>
              <w:jc w:val="both"/>
              <w:rPr>
                <w:bCs/>
                <w:color w:val="002060"/>
                <w:sz w:val="16"/>
                <w:szCs w:val="16"/>
              </w:rPr>
            </w:pPr>
            <w:r w:rsidRPr="00DE096C">
              <w:rPr>
                <w:bCs/>
                <w:color w:val="002060"/>
                <w:sz w:val="16"/>
                <w:szCs w:val="16"/>
              </w:rPr>
              <w:t xml:space="preserve">Один пилот: Тянгер (Германия, 3 II 1914 г.) </w:t>
            </w:r>
          </w:p>
        </w:tc>
        <w:tc>
          <w:tcPr>
            <w:tcW w:w="3331" w:type="dxa"/>
          </w:tcPr>
          <w:p w14:paraId="794B8168" w14:textId="77777777" w:rsidR="009B46D9" w:rsidRPr="00DE096C" w:rsidRDefault="009B46D9" w:rsidP="00D45A46">
            <w:pPr>
              <w:jc w:val="both"/>
              <w:rPr>
                <w:bCs/>
                <w:color w:val="002060"/>
                <w:sz w:val="16"/>
                <w:szCs w:val="16"/>
              </w:rPr>
            </w:pPr>
            <w:r w:rsidRPr="00DE096C">
              <w:rPr>
                <w:bCs/>
                <w:color w:val="002060"/>
                <w:sz w:val="16"/>
                <w:szCs w:val="16"/>
              </w:rPr>
              <w:t xml:space="preserve">14 ч. 07 м. </w:t>
            </w:r>
          </w:p>
        </w:tc>
      </w:tr>
      <w:tr w:rsidR="009B46D9" w:rsidRPr="00DE096C" w14:paraId="7A8FCE07" w14:textId="77777777" w:rsidTr="00607F21">
        <w:tc>
          <w:tcPr>
            <w:tcW w:w="6028" w:type="dxa"/>
          </w:tcPr>
          <w:p w14:paraId="6B4F29D7" w14:textId="77777777" w:rsidR="009B46D9" w:rsidRPr="00DE096C" w:rsidRDefault="009B46D9" w:rsidP="00D45A46">
            <w:pPr>
              <w:jc w:val="both"/>
              <w:rPr>
                <w:bCs/>
                <w:color w:val="002060"/>
                <w:sz w:val="16"/>
                <w:szCs w:val="16"/>
              </w:rPr>
            </w:pPr>
            <w:r w:rsidRPr="00DE096C">
              <w:rPr>
                <w:bCs/>
                <w:color w:val="002060"/>
                <w:sz w:val="16"/>
                <w:szCs w:val="16"/>
              </w:rPr>
              <w:t xml:space="preserve">С 1 пассажиром: Гобер (Франция, 30/VIII 1913 г.) </w:t>
            </w:r>
          </w:p>
        </w:tc>
        <w:tc>
          <w:tcPr>
            <w:tcW w:w="3331" w:type="dxa"/>
          </w:tcPr>
          <w:p w14:paraId="57051F54" w14:textId="77777777" w:rsidR="009B46D9" w:rsidRPr="00DE096C" w:rsidRDefault="009B46D9" w:rsidP="00D45A46">
            <w:pPr>
              <w:jc w:val="both"/>
              <w:rPr>
                <w:bCs/>
                <w:color w:val="002060"/>
                <w:sz w:val="16"/>
                <w:szCs w:val="16"/>
              </w:rPr>
            </w:pPr>
            <w:r w:rsidRPr="00DE096C">
              <w:rPr>
                <w:bCs/>
                <w:color w:val="002060"/>
                <w:sz w:val="16"/>
                <w:szCs w:val="16"/>
              </w:rPr>
              <w:t xml:space="preserve">6 ч. 42 м. 49 с. </w:t>
            </w:r>
          </w:p>
        </w:tc>
      </w:tr>
      <w:tr w:rsidR="009B46D9" w:rsidRPr="00DE096C" w14:paraId="2D411C61" w14:textId="77777777" w:rsidTr="00607F21">
        <w:tc>
          <w:tcPr>
            <w:tcW w:w="6028" w:type="dxa"/>
          </w:tcPr>
          <w:p w14:paraId="79DFCDB0" w14:textId="77777777" w:rsidR="009B46D9" w:rsidRPr="00DE096C" w:rsidRDefault="009B46D9" w:rsidP="00D45A46">
            <w:pPr>
              <w:jc w:val="both"/>
              <w:rPr>
                <w:bCs/>
                <w:color w:val="002060"/>
                <w:sz w:val="16"/>
                <w:szCs w:val="16"/>
              </w:rPr>
            </w:pPr>
            <w:r w:rsidRPr="00DE096C">
              <w:rPr>
                <w:bCs/>
                <w:color w:val="002060"/>
                <w:sz w:val="16"/>
                <w:szCs w:val="16"/>
              </w:rPr>
              <w:t xml:space="preserve">С 2 пассажирами: Ширмейстер (Германия, 12/ VI 1913 г.) </w:t>
            </w:r>
          </w:p>
        </w:tc>
        <w:tc>
          <w:tcPr>
            <w:tcW w:w="3331" w:type="dxa"/>
          </w:tcPr>
          <w:p w14:paraId="19E2CF8D" w14:textId="77777777" w:rsidR="009B46D9" w:rsidRPr="00DE096C" w:rsidRDefault="009B46D9" w:rsidP="00D45A46">
            <w:pPr>
              <w:jc w:val="both"/>
              <w:rPr>
                <w:bCs/>
                <w:color w:val="002060"/>
                <w:sz w:val="16"/>
                <w:szCs w:val="16"/>
              </w:rPr>
            </w:pPr>
            <w:r w:rsidRPr="00DE096C">
              <w:rPr>
                <w:bCs/>
                <w:color w:val="002060"/>
                <w:sz w:val="16"/>
                <w:szCs w:val="16"/>
              </w:rPr>
              <w:t xml:space="preserve">6 ч. 16 м. </w:t>
            </w:r>
          </w:p>
        </w:tc>
      </w:tr>
      <w:tr w:rsidR="009B46D9" w:rsidRPr="00DE096C" w14:paraId="5145B20F" w14:textId="77777777" w:rsidTr="00607F21">
        <w:tc>
          <w:tcPr>
            <w:tcW w:w="6028" w:type="dxa"/>
          </w:tcPr>
          <w:p w14:paraId="35EA8C02" w14:textId="77777777" w:rsidR="009B46D9" w:rsidRPr="00DE096C" w:rsidRDefault="009B46D9" w:rsidP="00D45A46">
            <w:pPr>
              <w:jc w:val="both"/>
              <w:rPr>
                <w:bCs/>
                <w:color w:val="002060"/>
                <w:sz w:val="16"/>
                <w:szCs w:val="16"/>
              </w:rPr>
            </w:pPr>
            <w:r w:rsidRPr="00DE096C">
              <w:rPr>
                <w:bCs/>
                <w:color w:val="002060"/>
                <w:sz w:val="16"/>
                <w:szCs w:val="16"/>
              </w:rPr>
              <w:t xml:space="preserve">С 3 пассажирами: Гзель (Германия, 4 IX 1913 г.) </w:t>
            </w:r>
          </w:p>
        </w:tc>
        <w:tc>
          <w:tcPr>
            <w:tcW w:w="3331" w:type="dxa"/>
          </w:tcPr>
          <w:p w14:paraId="0209E93E" w14:textId="77777777" w:rsidR="009B46D9" w:rsidRPr="00DE096C" w:rsidRDefault="009B46D9" w:rsidP="00D45A46">
            <w:pPr>
              <w:jc w:val="both"/>
              <w:rPr>
                <w:bCs/>
                <w:color w:val="002060"/>
                <w:sz w:val="16"/>
                <w:szCs w:val="16"/>
              </w:rPr>
            </w:pPr>
            <w:r w:rsidRPr="00DE096C">
              <w:rPr>
                <w:bCs/>
                <w:color w:val="002060"/>
                <w:sz w:val="16"/>
                <w:szCs w:val="16"/>
              </w:rPr>
              <w:t xml:space="preserve">3 ч. 11 м. </w:t>
            </w:r>
          </w:p>
        </w:tc>
      </w:tr>
      <w:tr w:rsidR="009B46D9" w:rsidRPr="00DE096C" w14:paraId="473EDBBA" w14:textId="77777777" w:rsidTr="00607F21">
        <w:tc>
          <w:tcPr>
            <w:tcW w:w="6028" w:type="dxa"/>
          </w:tcPr>
          <w:p w14:paraId="79CCCEAD" w14:textId="77777777" w:rsidR="009B46D9" w:rsidRPr="00DE096C" w:rsidRDefault="009B46D9" w:rsidP="00D45A46">
            <w:pPr>
              <w:jc w:val="both"/>
              <w:rPr>
                <w:bCs/>
                <w:color w:val="002060"/>
                <w:sz w:val="16"/>
                <w:szCs w:val="16"/>
              </w:rPr>
            </w:pPr>
            <w:r w:rsidRPr="00DE096C">
              <w:rPr>
                <w:bCs/>
                <w:color w:val="002060"/>
                <w:sz w:val="16"/>
                <w:szCs w:val="16"/>
              </w:rPr>
              <w:t xml:space="preserve">С 3 пассажирами: Шамчель (Орлеан, 15/IV 1913 г.) </w:t>
            </w:r>
          </w:p>
        </w:tc>
        <w:tc>
          <w:tcPr>
            <w:tcW w:w="3331" w:type="dxa"/>
          </w:tcPr>
          <w:p w14:paraId="4121C2E6" w14:textId="77777777" w:rsidR="009B46D9" w:rsidRPr="00DE096C" w:rsidRDefault="009B46D9" w:rsidP="00D45A46">
            <w:pPr>
              <w:jc w:val="both"/>
              <w:rPr>
                <w:bCs/>
                <w:color w:val="002060"/>
                <w:sz w:val="16"/>
                <w:szCs w:val="16"/>
              </w:rPr>
            </w:pPr>
            <w:r w:rsidRPr="00DE096C">
              <w:rPr>
                <w:bCs/>
                <w:color w:val="002060"/>
                <w:sz w:val="16"/>
                <w:szCs w:val="16"/>
              </w:rPr>
              <w:t xml:space="preserve">3 ч. 01 м. </w:t>
            </w:r>
          </w:p>
        </w:tc>
      </w:tr>
      <w:tr w:rsidR="009B46D9" w:rsidRPr="00DE096C" w14:paraId="788968C6" w14:textId="77777777" w:rsidTr="00607F21">
        <w:tc>
          <w:tcPr>
            <w:tcW w:w="6028" w:type="dxa"/>
          </w:tcPr>
          <w:p w14:paraId="5180572B" w14:textId="77777777" w:rsidR="009B46D9" w:rsidRPr="00DE096C" w:rsidRDefault="009B46D9" w:rsidP="00D45A46">
            <w:pPr>
              <w:jc w:val="both"/>
              <w:rPr>
                <w:bCs/>
                <w:color w:val="002060"/>
                <w:sz w:val="16"/>
                <w:szCs w:val="16"/>
              </w:rPr>
            </w:pPr>
            <w:r w:rsidRPr="00DE096C">
              <w:rPr>
                <w:bCs/>
                <w:color w:val="002060"/>
                <w:sz w:val="16"/>
                <w:szCs w:val="16"/>
              </w:rPr>
              <w:t xml:space="preserve">С 8–9 пассажирами Уайт (Англия, 8/IX 1913 г.) </w:t>
            </w:r>
          </w:p>
        </w:tc>
        <w:tc>
          <w:tcPr>
            <w:tcW w:w="3331" w:type="dxa"/>
          </w:tcPr>
          <w:p w14:paraId="439CFC57" w14:textId="77777777" w:rsidR="009B46D9" w:rsidRPr="00DE096C" w:rsidRDefault="009B46D9" w:rsidP="00D45A46">
            <w:pPr>
              <w:jc w:val="both"/>
              <w:rPr>
                <w:bCs/>
                <w:color w:val="002060"/>
                <w:sz w:val="16"/>
                <w:szCs w:val="16"/>
              </w:rPr>
            </w:pPr>
            <w:r w:rsidRPr="00DE096C">
              <w:rPr>
                <w:bCs/>
                <w:color w:val="002060"/>
                <w:sz w:val="16"/>
                <w:szCs w:val="16"/>
              </w:rPr>
              <w:t xml:space="preserve">20 м. </w:t>
            </w:r>
          </w:p>
        </w:tc>
      </w:tr>
      <w:tr w:rsidR="009B46D9" w:rsidRPr="00DE096C" w14:paraId="1D5E76A7" w14:textId="77777777" w:rsidTr="00607F21">
        <w:tc>
          <w:tcPr>
            <w:tcW w:w="6028" w:type="dxa"/>
          </w:tcPr>
          <w:p w14:paraId="4A856598" w14:textId="77777777" w:rsidR="009B46D9" w:rsidRPr="00DE096C" w:rsidRDefault="009B46D9" w:rsidP="00D45A46">
            <w:pPr>
              <w:jc w:val="both"/>
              <w:rPr>
                <w:bCs/>
                <w:color w:val="002060"/>
                <w:sz w:val="16"/>
                <w:szCs w:val="16"/>
              </w:rPr>
            </w:pPr>
            <w:r w:rsidRPr="00DE096C">
              <w:rPr>
                <w:bCs/>
                <w:i/>
                <w:color w:val="002060"/>
                <w:sz w:val="16"/>
                <w:szCs w:val="16"/>
              </w:rPr>
              <w:t>В России</w:t>
            </w:r>
          </w:p>
        </w:tc>
        <w:tc>
          <w:tcPr>
            <w:tcW w:w="3331" w:type="dxa"/>
          </w:tcPr>
          <w:p w14:paraId="7A97672F" w14:textId="77777777" w:rsidR="009B46D9" w:rsidRPr="00DE096C" w:rsidRDefault="009B46D9" w:rsidP="00D45A46">
            <w:pPr>
              <w:jc w:val="both"/>
              <w:rPr>
                <w:bCs/>
                <w:color w:val="002060"/>
                <w:sz w:val="16"/>
                <w:szCs w:val="16"/>
              </w:rPr>
            </w:pPr>
          </w:p>
        </w:tc>
      </w:tr>
      <w:tr w:rsidR="009B46D9" w:rsidRPr="00DE096C" w14:paraId="166F9401" w14:textId="77777777" w:rsidTr="00607F21">
        <w:tc>
          <w:tcPr>
            <w:tcW w:w="6028" w:type="dxa"/>
          </w:tcPr>
          <w:p w14:paraId="4BFAB2D1" w14:textId="77777777" w:rsidR="009B46D9" w:rsidRPr="00DE096C" w:rsidRDefault="009B46D9" w:rsidP="00D45A46">
            <w:pPr>
              <w:jc w:val="both"/>
              <w:rPr>
                <w:bCs/>
                <w:color w:val="002060"/>
                <w:sz w:val="16"/>
                <w:szCs w:val="16"/>
              </w:rPr>
            </w:pPr>
            <w:r w:rsidRPr="00DE096C">
              <w:rPr>
                <w:bCs/>
                <w:color w:val="002060"/>
                <w:sz w:val="16"/>
                <w:szCs w:val="16"/>
              </w:rPr>
              <w:t xml:space="preserve">Один пилот: Руднев (СПБ, 11 /IX 1910 г.) </w:t>
            </w:r>
          </w:p>
        </w:tc>
        <w:tc>
          <w:tcPr>
            <w:tcW w:w="3331" w:type="dxa"/>
          </w:tcPr>
          <w:p w14:paraId="6BAAE712" w14:textId="77777777" w:rsidR="009B46D9" w:rsidRPr="00DE096C" w:rsidRDefault="009B46D9" w:rsidP="00D45A46">
            <w:pPr>
              <w:jc w:val="both"/>
              <w:rPr>
                <w:bCs/>
                <w:color w:val="002060"/>
                <w:sz w:val="16"/>
                <w:szCs w:val="16"/>
              </w:rPr>
            </w:pPr>
            <w:r w:rsidRPr="00DE096C">
              <w:rPr>
                <w:bCs/>
                <w:i/>
                <w:color w:val="002060"/>
                <w:sz w:val="16"/>
                <w:szCs w:val="16"/>
              </w:rPr>
              <w:t>2 ч.</w:t>
            </w:r>
            <w:r w:rsidRPr="00DE096C">
              <w:rPr>
                <w:bCs/>
                <w:color w:val="002060"/>
                <w:sz w:val="16"/>
                <w:szCs w:val="16"/>
              </w:rPr>
              <w:t xml:space="preserve">. 25 м. </w:t>
            </w:r>
          </w:p>
        </w:tc>
      </w:tr>
      <w:tr w:rsidR="009B46D9" w:rsidRPr="00DE096C" w14:paraId="26B76FD8" w14:textId="77777777" w:rsidTr="00607F21">
        <w:tc>
          <w:tcPr>
            <w:tcW w:w="6028" w:type="dxa"/>
          </w:tcPr>
          <w:p w14:paraId="518DA495" w14:textId="77777777" w:rsidR="009B46D9" w:rsidRPr="00DE096C" w:rsidRDefault="009B46D9" w:rsidP="00D45A46">
            <w:pPr>
              <w:jc w:val="both"/>
              <w:rPr>
                <w:bCs/>
                <w:color w:val="002060"/>
                <w:sz w:val="16"/>
                <w:szCs w:val="16"/>
              </w:rPr>
            </w:pPr>
            <w:r w:rsidRPr="00DE096C">
              <w:rPr>
                <w:bCs/>
                <w:color w:val="002060"/>
                <w:sz w:val="16"/>
                <w:szCs w:val="16"/>
              </w:rPr>
              <w:t xml:space="preserve">С 5–7 пассажирами: Сикорский (Россия, 26/II 1914 г.) </w:t>
            </w:r>
          </w:p>
        </w:tc>
        <w:tc>
          <w:tcPr>
            <w:tcW w:w="3331" w:type="dxa"/>
          </w:tcPr>
          <w:p w14:paraId="41EFC723" w14:textId="77777777" w:rsidR="009B46D9" w:rsidRPr="00DE096C" w:rsidRDefault="009B46D9" w:rsidP="00D45A46">
            <w:pPr>
              <w:jc w:val="both"/>
              <w:rPr>
                <w:bCs/>
                <w:color w:val="002060"/>
                <w:sz w:val="16"/>
                <w:szCs w:val="16"/>
              </w:rPr>
            </w:pPr>
            <w:r w:rsidRPr="00DE096C">
              <w:rPr>
                <w:bCs/>
                <w:i/>
                <w:color w:val="002060"/>
                <w:sz w:val="16"/>
                <w:szCs w:val="16"/>
              </w:rPr>
              <w:t>2 ч.</w:t>
            </w:r>
            <w:r w:rsidRPr="00DE096C">
              <w:rPr>
                <w:bCs/>
                <w:color w:val="002060"/>
                <w:sz w:val="16"/>
                <w:szCs w:val="16"/>
              </w:rPr>
              <w:t xml:space="preserve"> 06 м. </w:t>
            </w:r>
          </w:p>
        </w:tc>
      </w:tr>
      <w:tr w:rsidR="009B46D9" w:rsidRPr="00DE096C" w14:paraId="30767EA1" w14:textId="77777777" w:rsidTr="00607F21">
        <w:tc>
          <w:tcPr>
            <w:tcW w:w="6028" w:type="dxa"/>
          </w:tcPr>
          <w:p w14:paraId="664A7B0C" w14:textId="77777777" w:rsidR="009B46D9" w:rsidRPr="00DE096C" w:rsidRDefault="009B46D9" w:rsidP="00D45A46">
            <w:pPr>
              <w:jc w:val="both"/>
              <w:rPr>
                <w:bCs/>
                <w:color w:val="002060"/>
                <w:sz w:val="16"/>
                <w:szCs w:val="16"/>
              </w:rPr>
            </w:pPr>
            <w:r w:rsidRPr="00DE096C">
              <w:rPr>
                <w:bCs/>
                <w:color w:val="002060"/>
                <w:sz w:val="16"/>
                <w:szCs w:val="16"/>
              </w:rPr>
              <w:t xml:space="preserve">С 10–15 пассажирами: (Россия, 15/11 1914 г.) </w:t>
            </w:r>
          </w:p>
        </w:tc>
        <w:tc>
          <w:tcPr>
            <w:tcW w:w="3331" w:type="dxa"/>
          </w:tcPr>
          <w:p w14:paraId="525F636F" w14:textId="77777777" w:rsidR="009B46D9" w:rsidRPr="00DE096C" w:rsidRDefault="009B46D9" w:rsidP="00D45A46">
            <w:pPr>
              <w:jc w:val="both"/>
              <w:rPr>
                <w:bCs/>
                <w:color w:val="002060"/>
                <w:sz w:val="16"/>
                <w:szCs w:val="16"/>
              </w:rPr>
            </w:pPr>
            <w:r w:rsidRPr="00DE096C">
              <w:rPr>
                <w:bCs/>
                <w:color w:val="002060"/>
                <w:sz w:val="16"/>
                <w:szCs w:val="16"/>
              </w:rPr>
              <w:t xml:space="preserve">18 м. [68] </w:t>
            </w:r>
          </w:p>
        </w:tc>
      </w:tr>
      <w:tr w:rsidR="009B46D9" w:rsidRPr="00DE096C" w14:paraId="7C46441E" w14:textId="77777777" w:rsidTr="00607F21">
        <w:tc>
          <w:tcPr>
            <w:tcW w:w="9359" w:type="dxa"/>
            <w:gridSpan w:val="2"/>
          </w:tcPr>
          <w:p w14:paraId="4CE4B024" w14:textId="77777777" w:rsidR="009B46D9" w:rsidRPr="00DE096C" w:rsidRDefault="009B46D9" w:rsidP="00D45A46">
            <w:pPr>
              <w:jc w:val="both"/>
              <w:rPr>
                <w:bCs/>
                <w:color w:val="002060"/>
                <w:sz w:val="16"/>
                <w:szCs w:val="16"/>
              </w:rPr>
            </w:pPr>
            <w:r w:rsidRPr="00DE096C">
              <w:rPr>
                <w:bCs/>
                <w:color w:val="002060"/>
                <w:sz w:val="16"/>
                <w:szCs w:val="16"/>
              </w:rPr>
              <w:t xml:space="preserve">Высота </w:t>
            </w:r>
          </w:p>
        </w:tc>
      </w:tr>
      <w:tr w:rsidR="009B46D9" w:rsidRPr="00DE096C" w14:paraId="6D444771" w14:textId="77777777" w:rsidTr="00607F21">
        <w:tc>
          <w:tcPr>
            <w:tcW w:w="6028" w:type="dxa"/>
          </w:tcPr>
          <w:p w14:paraId="2EB03A72" w14:textId="77777777" w:rsidR="009B46D9" w:rsidRPr="00DE096C" w:rsidRDefault="009B46D9" w:rsidP="00D45A46">
            <w:pPr>
              <w:jc w:val="both"/>
              <w:rPr>
                <w:bCs/>
                <w:color w:val="002060"/>
                <w:sz w:val="16"/>
                <w:szCs w:val="16"/>
              </w:rPr>
            </w:pPr>
            <w:r w:rsidRPr="00DE096C">
              <w:rPr>
                <w:bCs/>
                <w:color w:val="002060"/>
                <w:sz w:val="16"/>
                <w:szCs w:val="16"/>
              </w:rPr>
              <w:t xml:space="preserve">Один пилот: Ньюбери (Аргентина,19/II 1914 г.) </w:t>
            </w:r>
          </w:p>
        </w:tc>
        <w:tc>
          <w:tcPr>
            <w:tcW w:w="3331" w:type="dxa"/>
          </w:tcPr>
          <w:p w14:paraId="39BEF185" w14:textId="77777777" w:rsidR="009B46D9" w:rsidRPr="00DE096C" w:rsidRDefault="009B46D9" w:rsidP="00D45A46">
            <w:pPr>
              <w:jc w:val="both"/>
              <w:rPr>
                <w:bCs/>
                <w:color w:val="002060"/>
                <w:sz w:val="16"/>
                <w:szCs w:val="16"/>
              </w:rPr>
            </w:pPr>
            <w:r w:rsidRPr="00DE096C">
              <w:rPr>
                <w:bCs/>
                <w:color w:val="002060"/>
                <w:sz w:val="16"/>
                <w:szCs w:val="16"/>
              </w:rPr>
              <w:t xml:space="preserve">6250 м </w:t>
            </w:r>
          </w:p>
        </w:tc>
      </w:tr>
      <w:tr w:rsidR="009B46D9" w:rsidRPr="00DE096C" w14:paraId="0F77B039" w14:textId="77777777" w:rsidTr="00607F21">
        <w:tc>
          <w:tcPr>
            <w:tcW w:w="6028" w:type="dxa"/>
          </w:tcPr>
          <w:p w14:paraId="6F75A8DE" w14:textId="77777777" w:rsidR="009B46D9" w:rsidRPr="00DE096C" w:rsidRDefault="009B46D9" w:rsidP="00D45A46">
            <w:pPr>
              <w:jc w:val="both"/>
              <w:rPr>
                <w:bCs/>
                <w:color w:val="002060"/>
                <w:sz w:val="16"/>
                <w:szCs w:val="16"/>
              </w:rPr>
            </w:pPr>
            <w:r w:rsidRPr="00DE096C">
              <w:rPr>
                <w:bCs/>
                <w:color w:val="002060"/>
                <w:sz w:val="16"/>
                <w:szCs w:val="16"/>
              </w:rPr>
              <w:t xml:space="preserve">Один пилот: Леганье (Франция, 27/ХП 1913 г.) </w:t>
            </w:r>
          </w:p>
        </w:tc>
        <w:tc>
          <w:tcPr>
            <w:tcW w:w="3331" w:type="dxa"/>
          </w:tcPr>
          <w:p w14:paraId="0FDC3F5E" w14:textId="77777777" w:rsidR="009B46D9" w:rsidRPr="00DE096C" w:rsidRDefault="009B46D9" w:rsidP="00D45A46">
            <w:pPr>
              <w:jc w:val="both"/>
              <w:rPr>
                <w:bCs/>
                <w:color w:val="002060"/>
                <w:sz w:val="16"/>
                <w:szCs w:val="16"/>
              </w:rPr>
            </w:pPr>
            <w:r w:rsidRPr="00DE096C">
              <w:rPr>
                <w:bCs/>
                <w:color w:val="002060"/>
                <w:sz w:val="16"/>
                <w:szCs w:val="16"/>
              </w:rPr>
              <w:t xml:space="preserve">6150 м </w:t>
            </w:r>
          </w:p>
        </w:tc>
      </w:tr>
      <w:tr w:rsidR="009B46D9" w:rsidRPr="00DE096C" w14:paraId="088FA489" w14:textId="77777777" w:rsidTr="00607F21">
        <w:tc>
          <w:tcPr>
            <w:tcW w:w="6028" w:type="dxa"/>
          </w:tcPr>
          <w:p w14:paraId="7DB04196" w14:textId="77777777" w:rsidR="009B46D9" w:rsidRPr="00DE096C" w:rsidRDefault="009B46D9" w:rsidP="00D45A46">
            <w:pPr>
              <w:jc w:val="both"/>
              <w:rPr>
                <w:bCs/>
                <w:color w:val="002060"/>
                <w:sz w:val="16"/>
                <w:szCs w:val="16"/>
              </w:rPr>
            </w:pPr>
            <w:r w:rsidRPr="00DE096C">
              <w:rPr>
                <w:bCs/>
                <w:color w:val="002060"/>
                <w:sz w:val="16"/>
                <w:szCs w:val="16"/>
              </w:rPr>
              <w:lastRenderedPageBreak/>
              <w:t xml:space="preserve">С 1 пассажиром: Перейон (Франция, 3/VI 1913 г.) </w:t>
            </w:r>
          </w:p>
        </w:tc>
        <w:tc>
          <w:tcPr>
            <w:tcW w:w="3331" w:type="dxa"/>
          </w:tcPr>
          <w:p w14:paraId="6DD11140" w14:textId="77777777" w:rsidR="009B46D9" w:rsidRPr="00DE096C" w:rsidRDefault="009B46D9" w:rsidP="00D45A46">
            <w:pPr>
              <w:jc w:val="both"/>
              <w:rPr>
                <w:bCs/>
                <w:color w:val="002060"/>
                <w:sz w:val="16"/>
                <w:szCs w:val="16"/>
              </w:rPr>
            </w:pPr>
            <w:r w:rsidRPr="00DE096C">
              <w:rPr>
                <w:bCs/>
                <w:color w:val="002060"/>
                <w:sz w:val="16"/>
                <w:szCs w:val="16"/>
              </w:rPr>
              <w:t xml:space="preserve">4 960 м </w:t>
            </w:r>
          </w:p>
        </w:tc>
      </w:tr>
      <w:tr w:rsidR="009B46D9" w:rsidRPr="00DE096C" w14:paraId="1F5BA561" w14:textId="77777777" w:rsidTr="00607F21">
        <w:tc>
          <w:tcPr>
            <w:tcW w:w="6028" w:type="dxa"/>
          </w:tcPr>
          <w:p w14:paraId="09A7DEFC" w14:textId="77777777" w:rsidR="009B46D9" w:rsidRPr="00DE096C" w:rsidRDefault="009B46D9" w:rsidP="00D45A46">
            <w:pPr>
              <w:jc w:val="both"/>
              <w:rPr>
                <w:bCs/>
                <w:color w:val="002060"/>
                <w:sz w:val="16"/>
                <w:szCs w:val="16"/>
              </w:rPr>
            </w:pPr>
            <w:r w:rsidRPr="00DE096C">
              <w:rPr>
                <w:bCs/>
                <w:color w:val="002060"/>
                <w:sz w:val="16"/>
                <w:szCs w:val="16"/>
              </w:rPr>
              <w:t xml:space="preserve">С 2 пассажирами: Ильнер (Австрия, 17/VI 1913 г.) </w:t>
            </w:r>
          </w:p>
        </w:tc>
        <w:tc>
          <w:tcPr>
            <w:tcW w:w="3331" w:type="dxa"/>
          </w:tcPr>
          <w:p w14:paraId="08221A67" w14:textId="77777777" w:rsidR="009B46D9" w:rsidRPr="00DE096C" w:rsidRDefault="009B46D9" w:rsidP="00D45A46">
            <w:pPr>
              <w:jc w:val="both"/>
              <w:rPr>
                <w:bCs/>
                <w:color w:val="002060"/>
                <w:sz w:val="16"/>
                <w:szCs w:val="16"/>
              </w:rPr>
            </w:pPr>
            <w:r w:rsidRPr="00DE096C">
              <w:rPr>
                <w:bCs/>
                <w:color w:val="002060"/>
                <w:sz w:val="16"/>
                <w:szCs w:val="16"/>
              </w:rPr>
              <w:t xml:space="preserve">5011 м </w:t>
            </w:r>
          </w:p>
        </w:tc>
      </w:tr>
      <w:tr w:rsidR="009B46D9" w:rsidRPr="00DE096C" w14:paraId="499DF8AE" w14:textId="77777777" w:rsidTr="00607F21">
        <w:tc>
          <w:tcPr>
            <w:tcW w:w="6028" w:type="dxa"/>
          </w:tcPr>
          <w:p w14:paraId="19E44A6A" w14:textId="77777777" w:rsidR="009B46D9" w:rsidRPr="00DE096C" w:rsidRDefault="009B46D9" w:rsidP="00D45A46">
            <w:pPr>
              <w:jc w:val="both"/>
              <w:rPr>
                <w:bCs/>
                <w:color w:val="002060"/>
                <w:sz w:val="16"/>
                <w:szCs w:val="16"/>
              </w:rPr>
            </w:pPr>
            <w:r w:rsidRPr="00DE096C">
              <w:rPr>
                <w:bCs/>
                <w:color w:val="002060"/>
                <w:sz w:val="16"/>
                <w:szCs w:val="16"/>
              </w:rPr>
              <w:t xml:space="preserve">С 3 пассажирами: Гар (Франция, 2/III 1914 г.) </w:t>
            </w:r>
          </w:p>
        </w:tc>
        <w:tc>
          <w:tcPr>
            <w:tcW w:w="3331" w:type="dxa"/>
          </w:tcPr>
          <w:p w14:paraId="6607859E" w14:textId="77777777" w:rsidR="009B46D9" w:rsidRPr="00DE096C" w:rsidRDefault="009B46D9" w:rsidP="00D45A46">
            <w:pPr>
              <w:jc w:val="both"/>
              <w:rPr>
                <w:bCs/>
                <w:color w:val="002060"/>
                <w:sz w:val="16"/>
                <w:szCs w:val="16"/>
              </w:rPr>
            </w:pPr>
            <w:r w:rsidRPr="00DE096C">
              <w:rPr>
                <w:bCs/>
                <w:color w:val="002060"/>
                <w:sz w:val="16"/>
                <w:szCs w:val="16"/>
              </w:rPr>
              <w:t xml:space="preserve">3 225 м </w:t>
            </w:r>
          </w:p>
        </w:tc>
      </w:tr>
      <w:tr w:rsidR="009B46D9" w:rsidRPr="00DE096C" w14:paraId="418CC497" w14:textId="77777777" w:rsidTr="00607F21">
        <w:tc>
          <w:tcPr>
            <w:tcW w:w="6028" w:type="dxa"/>
          </w:tcPr>
          <w:p w14:paraId="4C5A15D5" w14:textId="77777777" w:rsidR="009B46D9" w:rsidRPr="00DE096C" w:rsidRDefault="009B46D9" w:rsidP="00D45A46">
            <w:pPr>
              <w:jc w:val="both"/>
              <w:rPr>
                <w:bCs/>
                <w:color w:val="002060"/>
                <w:sz w:val="16"/>
                <w:szCs w:val="16"/>
              </w:rPr>
            </w:pPr>
            <w:r w:rsidRPr="00DE096C">
              <w:rPr>
                <w:bCs/>
                <w:color w:val="002060"/>
                <w:sz w:val="16"/>
                <w:szCs w:val="16"/>
              </w:rPr>
              <w:t xml:space="preserve">С 4 пассажирами: (Франция, 25/II 1914 г.) </w:t>
            </w:r>
          </w:p>
        </w:tc>
        <w:tc>
          <w:tcPr>
            <w:tcW w:w="3331" w:type="dxa"/>
          </w:tcPr>
          <w:p w14:paraId="3704786D" w14:textId="77777777" w:rsidR="009B46D9" w:rsidRPr="00DE096C" w:rsidRDefault="009B46D9" w:rsidP="00D45A46">
            <w:pPr>
              <w:jc w:val="both"/>
              <w:rPr>
                <w:bCs/>
                <w:color w:val="002060"/>
                <w:sz w:val="16"/>
                <w:szCs w:val="16"/>
              </w:rPr>
            </w:pPr>
            <w:r w:rsidRPr="00DE096C">
              <w:rPr>
                <w:bCs/>
                <w:color w:val="002060"/>
                <w:sz w:val="16"/>
                <w:szCs w:val="16"/>
              </w:rPr>
              <w:t xml:space="preserve">3 050 м </w:t>
            </w:r>
          </w:p>
        </w:tc>
      </w:tr>
      <w:tr w:rsidR="009B46D9" w:rsidRPr="00DE096C" w14:paraId="3DB8B915" w14:textId="77777777" w:rsidTr="00607F21">
        <w:tc>
          <w:tcPr>
            <w:tcW w:w="6028" w:type="dxa"/>
          </w:tcPr>
          <w:p w14:paraId="505EAA46" w14:textId="77777777" w:rsidR="009B46D9" w:rsidRPr="00DE096C" w:rsidRDefault="009B46D9" w:rsidP="00D45A46">
            <w:pPr>
              <w:jc w:val="both"/>
              <w:rPr>
                <w:bCs/>
                <w:color w:val="002060"/>
                <w:sz w:val="16"/>
                <w:szCs w:val="16"/>
              </w:rPr>
            </w:pPr>
            <w:r w:rsidRPr="00DE096C">
              <w:rPr>
                <w:bCs/>
                <w:color w:val="002060"/>
                <w:sz w:val="16"/>
                <w:szCs w:val="16"/>
              </w:rPr>
              <w:t xml:space="preserve">С 5 пассажирами: (Франция, 31/I 1014 г.) </w:t>
            </w:r>
          </w:p>
        </w:tc>
        <w:tc>
          <w:tcPr>
            <w:tcW w:w="3331" w:type="dxa"/>
          </w:tcPr>
          <w:p w14:paraId="5AB71BF7" w14:textId="77777777" w:rsidR="009B46D9" w:rsidRPr="00DE096C" w:rsidRDefault="009B46D9" w:rsidP="00D45A46">
            <w:pPr>
              <w:jc w:val="both"/>
              <w:rPr>
                <w:bCs/>
                <w:color w:val="002060"/>
                <w:sz w:val="16"/>
                <w:szCs w:val="16"/>
              </w:rPr>
            </w:pPr>
            <w:r w:rsidRPr="00DE096C">
              <w:rPr>
                <w:bCs/>
                <w:color w:val="002060"/>
                <w:sz w:val="16"/>
                <w:szCs w:val="16"/>
              </w:rPr>
              <w:t xml:space="preserve">2 250 м </w:t>
            </w:r>
          </w:p>
        </w:tc>
      </w:tr>
      <w:tr w:rsidR="009B46D9" w:rsidRPr="00DE096C" w14:paraId="0CB8FC51" w14:textId="77777777" w:rsidTr="00607F21">
        <w:tc>
          <w:tcPr>
            <w:tcW w:w="6028" w:type="dxa"/>
          </w:tcPr>
          <w:p w14:paraId="72A1391C" w14:textId="77777777" w:rsidR="009B46D9" w:rsidRPr="00DE096C" w:rsidRDefault="009B46D9" w:rsidP="00D45A46">
            <w:pPr>
              <w:jc w:val="both"/>
              <w:rPr>
                <w:bCs/>
                <w:color w:val="002060"/>
                <w:sz w:val="16"/>
                <w:szCs w:val="16"/>
              </w:rPr>
            </w:pPr>
            <w:r w:rsidRPr="00DE096C">
              <w:rPr>
                <w:bCs/>
                <w:color w:val="002060"/>
                <w:sz w:val="16"/>
                <w:szCs w:val="16"/>
              </w:rPr>
              <w:t xml:space="preserve">С 6 пассажирами: (Франция, 31 /I 1914 г.) </w:t>
            </w:r>
          </w:p>
        </w:tc>
        <w:tc>
          <w:tcPr>
            <w:tcW w:w="3331" w:type="dxa"/>
          </w:tcPr>
          <w:p w14:paraId="2E18E940" w14:textId="77777777" w:rsidR="009B46D9" w:rsidRPr="00DE096C" w:rsidRDefault="009B46D9" w:rsidP="00D45A46">
            <w:pPr>
              <w:jc w:val="both"/>
              <w:rPr>
                <w:bCs/>
                <w:color w:val="002060"/>
                <w:sz w:val="16"/>
                <w:szCs w:val="16"/>
              </w:rPr>
            </w:pPr>
            <w:r w:rsidRPr="00DE096C">
              <w:rPr>
                <w:bCs/>
                <w:color w:val="002060"/>
                <w:sz w:val="16"/>
                <w:szCs w:val="16"/>
              </w:rPr>
              <w:t xml:space="preserve">1 850 м </w:t>
            </w:r>
          </w:p>
        </w:tc>
      </w:tr>
      <w:tr w:rsidR="009B46D9" w:rsidRPr="00DE096C" w14:paraId="0975DC4D" w14:textId="77777777" w:rsidTr="00607F21">
        <w:tc>
          <w:tcPr>
            <w:tcW w:w="6028" w:type="dxa"/>
          </w:tcPr>
          <w:p w14:paraId="2FB46E84" w14:textId="77777777" w:rsidR="009B46D9" w:rsidRPr="00DE096C" w:rsidRDefault="009B46D9" w:rsidP="00D45A46">
            <w:pPr>
              <w:jc w:val="both"/>
              <w:rPr>
                <w:bCs/>
                <w:color w:val="002060"/>
                <w:sz w:val="16"/>
                <w:szCs w:val="16"/>
              </w:rPr>
            </w:pPr>
            <w:r w:rsidRPr="00DE096C">
              <w:rPr>
                <w:bCs/>
                <w:i/>
                <w:color w:val="002060"/>
                <w:sz w:val="16"/>
                <w:szCs w:val="16"/>
              </w:rPr>
              <w:t>В России</w:t>
            </w:r>
          </w:p>
        </w:tc>
        <w:tc>
          <w:tcPr>
            <w:tcW w:w="3331" w:type="dxa"/>
          </w:tcPr>
          <w:p w14:paraId="3800958C" w14:textId="77777777" w:rsidR="009B46D9" w:rsidRPr="00DE096C" w:rsidRDefault="009B46D9" w:rsidP="00D45A46">
            <w:pPr>
              <w:jc w:val="both"/>
              <w:rPr>
                <w:bCs/>
                <w:color w:val="002060"/>
                <w:sz w:val="16"/>
                <w:szCs w:val="16"/>
              </w:rPr>
            </w:pPr>
          </w:p>
        </w:tc>
      </w:tr>
      <w:tr w:rsidR="009B46D9" w:rsidRPr="00DE096C" w14:paraId="35E9AB5C" w14:textId="77777777" w:rsidTr="00607F21">
        <w:tc>
          <w:tcPr>
            <w:tcW w:w="6028" w:type="dxa"/>
          </w:tcPr>
          <w:p w14:paraId="0991318B" w14:textId="77777777" w:rsidR="009B46D9" w:rsidRPr="00DE096C" w:rsidRDefault="009B46D9" w:rsidP="00D45A46">
            <w:pPr>
              <w:jc w:val="both"/>
              <w:rPr>
                <w:bCs/>
                <w:color w:val="002060"/>
                <w:sz w:val="16"/>
                <w:szCs w:val="16"/>
              </w:rPr>
            </w:pPr>
            <w:r w:rsidRPr="00DE096C">
              <w:rPr>
                <w:bCs/>
                <w:color w:val="002060"/>
                <w:sz w:val="16"/>
                <w:szCs w:val="16"/>
              </w:rPr>
              <w:t xml:space="preserve">Один пилот Алехнович (СПБ, 9/VII 1913 г.) </w:t>
            </w:r>
          </w:p>
        </w:tc>
        <w:tc>
          <w:tcPr>
            <w:tcW w:w="3331" w:type="dxa"/>
          </w:tcPr>
          <w:p w14:paraId="2226647C" w14:textId="77777777" w:rsidR="009B46D9" w:rsidRPr="00DE096C" w:rsidRDefault="009B46D9" w:rsidP="00D45A46">
            <w:pPr>
              <w:jc w:val="both"/>
              <w:rPr>
                <w:bCs/>
                <w:color w:val="002060"/>
                <w:sz w:val="16"/>
                <w:szCs w:val="16"/>
              </w:rPr>
            </w:pPr>
            <w:r w:rsidRPr="00DE096C">
              <w:rPr>
                <w:bCs/>
                <w:color w:val="002060"/>
                <w:sz w:val="16"/>
                <w:szCs w:val="16"/>
              </w:rPr>
              <w:t xml:space="preserve">3 300 м </w:t>
            </w:r>
          </w:p>
        </w:tc>
      </w:tr>
      <w:tr w:rsidR="009B46D9" w:rsidRPr="00DE096C" w14:paraId="3D7E025E" w14:textId="77777777" w:rsidTr="00607F21">
        <w:tc>
          <w:tcPr>
            <w:tcW w:w="6028" w:type="dxa"/>
          </w:tcPr>
          <w:p w14:paraId="605FB8BE" w14:textId="77777777" w:rsidR="009B46D9" w:rsidRPr="00DE096C" w:rsidRDefault="009B46D9" w:rsidP="00D45A46">
            <w:pPr>
              <w:jc w:val="both"/>
              <w:rPr>
                <w:bCs/>
                <w:color w:val="002060"/>
                <w:sz w:val="16"/>
                <w:szCs w:val="16"/>
              </w:rPr>
            </w:pPr>
            <w:r w:rsidRPr="00DE096C">
              <w:rPr>
                <w:bCs/>
                <w:color w:val="002060"/>
                <w:sz w:val="16"/>
                <w:szCs w:val="16"/>
              </w:rPr>
              <w:t xml:space="preserve">С 7 пассажирами: Сикорский (Россия, 26/II 1914 г.) </w:t>
            </w:r>
          </w:p>
        </w:tc>
        <w:tc>
          <w:tcPr>
            <w:tcW w:w="3331" w:type="dxa"/>
          </w:tcPr>
          <w:p w14:paraId="533F466F" w14:textId="77777777" w:rsidR="009B46D9" w:rsidRPr="00DE096C" w:rsidRDefault="009B46D9" w:rsidP="00D45A46">
            <w:pPr>
              <w:jc w:val="both"/>
              <w:rPr>
                <w:bCs/>
                <w:color w:val="002060"/>
                <w:sz w:val="16"/>
                <w:szCs w:val="16"/>
              </w:rPr>
            </w:pPr>
            <w:r w:rsidRPr="00DE096C">
              <w:rPr>
                <w:bCs/>
                <w:color w:val="002060"/>
                <w:sz w:val="16"/>
                <w:szCs w:val="16"/>
              </w:rPr>
              <w:t xml:space="preserve">950 м </w:t>
            </w:r>
          </w:p>
        </w:tc>
      </w:tr>
      <w:tr w:rsidR="009B46D9" w:rsidRPr="00DE096C" w14:paraId="0A7ACFEB" w14:textId="77777777" w:rsidTr="00607F21">
        <w:tc>
          <w:tcPr>
            <w:tcW w:w="6028" w:type="dxa"/>
          </w:tcPr>
          <w:p w14:paraId="262D9529" w14:textId="77777777" w:rsidR="009B46D9" w:rsidRPr="00DE096C" w:rsidRDefault="009B46D9" w:rsidP="00D45A46">
            <w:pPr>
              <w:jc w:val="both"/>
              <w:rPr>
                <w:bCs/>
                <w:color w:val="002060"/>
                <w:sz w:val="16"/>
                <w:szCs w:val="16"/>
              </w:rPr>
            </w:pPr>
            <w:r w:rsidRPr="00DE096C">
              <w:rPr>
                <w:bCs/>
                <w:color w:val="002060"/>
                <w:sz w:val="16"/>
                <w:szCs w:val="16"/>
              </w:rPr>
              <w:t xml:space="preserve">С 8–15 пассажирами: Сикорский (Россия, 25/II 1914 г.) </w:t>
            </w:r>
          </w:p>
        </w:tc>
        <w:tc>
          <w:tcPr>
            <w:tcW w:w="3331" w:type="dxa"/>
          </w:tcPr>
          <w:p w14:paraId="3DC00489" w14:textId="77777777" w:rsidR="009B46D9" w:rsidRPr="00DE096C" w:rsidRDefault="009B46D9" w:rsidP="00D45A46">
            <w:pPr>
              <w:jc w:val="both"/>
              <w:rPr>
                <w:bCs/>
                <w:color w:val="002060"/>
                <w:sz w:val="16"/>
                <w:szCs w:val="16"/>
              </w:rPr>
            </w:pPr>
            <w:r w:rsidRPr="00DE096C">
              <w:rPr>
                <w:bCs/>
                <w:color w:val="002060"/>
                <w:sz w:val="16"/>
                <w:szCs w:val="16"/>
              </w:rPr>
              <w:t xml:space="preserve">300 м </w:t>
            </w:r>
          </w:p>
        </w:tc>
      </w:tr>
      <w:tr w:rsidR="009B46D9" w:rsidRPr="00DE096C" w14:paraId="6E7700AA" w14:textId="77777777" w:rsidTr="00607F21">
        <w:tc>
          <w:tcPr>
            <w:tcW w:w="9359" w:type="dxa"/>
            <w:gridSpan w:val="2"/>
          </w:tcPr>
          <w:p w14:paraId="24871D2D" w14:textId="77777777" w:rsidR="009B46D9" w:rsidRPr="00DE096C" w:rsidRDefault="009B46D9" w:rsidP="00D45A46">
            <w:pPr>
              <w:jc w:val="both"/>
              <w:rPr>
                <w:bCs/>
                <w:color w:val="002060"/>
                <w:sz w:val="16"/>
                <w:szCs w:val="16"/>
              </w:rPr>
            </w:pPr>
            <w:r w:rsidRPr="00DE096C">
              <w:rPr>
                <w:bCs/>
                <w:color w:val="002060"/>
                <w:sz w:val="16"/>
                <w:szCs w:val="16"/>
              </w:rPr>
              <w:t xml:space="preserve">Продолжительность (без остановок вне аэродрома) </w:t>
            </w:r>
          </w:p>
        </w:tc>
      </w:tr>
      <w:tr w:rsidR="009B46D9" w:rsidRPr="00DE096C" w14:paraId="139E698A" w14:textId="77777777" w:rsidTr="00607F21">
        <w:tc>
          <w:tcPr>
            <w:tcW w:w="6028" w:type="dxa"/>
          </w:tcPr>
          <w:p w14:paraId="6661783C" w14:textId="77777777" w:rsidR="009B46D9" w:rsidRPr="00DE096C" w:rsidRDefault="009B46D9" w:rsidP="00D45A46">
            <w:pPr>
              <w:jc w:val="both"/>
              <w:rPr>
                <w:bCs/>
                <w:color w:val="002060"/>
                <w:sz w:val="16"/>
                <w:szCs w:val="16"/>
              </w:rPr>
            </w:pPr>
            <w:r w:rsidRPr="00DE096C">
              <w:rPr>
                <w:bCs/>
                <w:color w:val="002060"/>
                <w:sz w:val="16"/>
                <w:szCs w:val="16"/>
              </w:rPr>
              <w:t xml:space="preserve">Один пилот: Ингольд (Германия, 7/II 1914 г.) </w:t>
            </w:r>
          </w:p>
        </w:tc>
        <w:tc>
          <w:tcPr>
            <w:tcW w:w="3331" w:type="dxa"/>
          </w:tcPr>
          <w:p w14:paraId="444E8703" w14:textId="77777777" w:rsidR="009B46D9" w:rsidRPr="00DE096C" w:rsidRDefault="009B46D9" w:rsidP="00D45A46">
            <w:pPr>
              <w:jc w:val="both"/>
              <w:rPr>
                <w:bCs/>
                <w:color w:val="002060"/>
                <w:sz w:val="16"/>
                <w:szCs w:val="16"/>
              </w:rPr>
            </w:pPr>
            <w:r w:rsidRPr="00DE096C">
              <w:rPr>
                <w:bCs/>
                <w:color w:val="002060"/>
                <w:sz w:val="16"/>
                <w:szCs w:val="16"/>
              </w:rPr>
              <w:t xml:space="preserve">16 ч. 22 м. </w:t>
            </w:r>
          </w:p>
        </w:tc>
      </w:tr>
      <w:tr w:rsidR="009B46D9" w:rsidRPr="00DE096C" w14:paraId="152E82E7" w14:textId="77777777" w:rsidTr="00607F21">
        <w:tc>
          <w:tcPr>
            <w:tcW w:w="6028" w:type="dxa"/>
          </w:tcPr>
          <w:p w14:paraId="3F4398BE" w14:textId="77777777" w:rsidR="009B46D9" w:rsidRPr="00DE096C" w:rsidRDefault="009B46D9" w:rsidP="00D45A46">
            <w:pPr>
              <w:jc w:val="both"/>
              <w:rPr>
                <w:bCs/>
                <w:color w:val="002060"/>
                <w:sz w:val="16"/>
                <w:szCs w:val="16"/>
              </w:rPr>
            </w:pPr>
            <w:r w:rsidRPr="00DE096C">
              <w:rPr>
                <w:bCs/>
                <w:color w:val="002060"/>
                <w:sz w:val="16"/>
                <w:szCs w:val="16"/>
              </w:rPr>
              <w:t xml:space="preserve">С 1 пассажиром: Ляйч (Германия, 28/Х 1913 г.) </w:t>
            </w:r>
          </w:p>
        </w:tc>
        <w:tc>
          <w:tcPr>
            <w:tcW w:w="3331" w:type="dxa"/>
          </w:tcPr>
          <w:p w14:paraId="1F47810D" w14:textId="77777777" w:rsidR="009B46D9" w:rsidRPr="00DE096C" w:rsidRDefault="009B46D9" w:rsidP="00D45A46">
            <w:pPr>
              <w:jc w:val="both"/>
              <w:rPr>
                <w:bCs/>
                <w:color w:val="002060"/>
                <w:sz w:val="16"/>
                <w:szCs w:val="16"/>
              </w:rPr>
            </w:pPr>
            <w:r w:rsidRPr="00DE096C">
              <w:rPr>
                <w:bCs/>
                <w:color w:val="002060"/>
                <w:sz w:val="16"/>
                <w:szCs w:val="16"/>
              </w:rPr>
              <w:t xml:space="preserve">9 ч. 23 м. </w:t>
            </w:r>
          </w:p>
        </w:tc>
      </w:tr>
      <w:tr w:rsidR="009B46D9" w:rsidRPr="00DE096C" w14:paraId="106D62CA" w14:textId="77777777" w:rsidTr="00607F21">
        <w:tc>
          <w:tcPr>
            <w:tcW w:w="6028" w:type="dxa"/>
          </w:tcPr>
          <w:p w14:paraId="34608DB8" w14:textId="77777777" w:rsidR="009B46D9" w:rsidRPr="00DE096C" w:rsidRDefault="009B46D9" w:rsidP="00D45A46">
            <w:pPr>
              <w:jc w:val="both"/>
              <w:rPr>
                <w:bCs/>
                <w:color w:val="002060"/>
                <w:sz w:val="16"/>
                <w:szCs w:val="16"/>
              </w:rPr>
            </w:pPr>
            <w:r w:rsidRPr="00DE096C">
              <w:rPr>
                <w:bCs/>
                <w:i/>
                <w:color w:val="002060"/>
                <w:sz w:val="16"/>
                <w:szCs w:val="16"/>
              </w:rPr>
              <w:t>В России</w:t>
            </w:r>
          </w:p>
        </w:tc>
        <w:tc>
          <w:tcPr>
            <w:tcW w:w="3331" w:type="dxa"/>
          </w:tcPr>
          <w:p w14:paraId="77298F5A" w14:textId="77777777" w:rsidR="009B46D9" w:rsidRPr="00DE096C" w:rsidRDefault="009B46D9" w:rsidP="00D45A46">
            <w:pPr>
              <w:jc w:val="both"/>
              <w:rPr>
                <w:bCs/>
                <w:color w:val="002060"/>
                <w:sz w:val="16"/>
                <w:szCs w:val="16"/>
              </w:rPr>
            </w:pPr>
          </w:p>
        </w:tc>
      </w:tr>
      <w:tr w:rsidR="009B46D9" w:rsidRPr="00DE096C" w14:paraId="6923479B" w14:textId="77777777" w:rsidTr="00607F21">
        <w:tc>
          <w:tcPr>
            <w:tcW w:w="6028" w:type="dxa"/>
          </w:tcPr>
          <w:p w14:paraId="4F7392DC" w14:textId="77777777" w:rsidR="009B46D9" w:rsidRPr="00DE096C" w:rsidRDefault="009B46D9" w:rsidP="00D45A46">
            <w:pPr>
              <w:jc w:val="both"/>
              <w:rPr>
                <w:bCs/>
                <w:color w:val="002060"/>
                <w:sz w:val="16"/>
                <w:szCs w:val="16"/>
              </w:rPr>
            </w:pPr>
            <w:r w:rsidRPr="00DE096C">
              <w:rPr>
                <w:bCs/>
                <w:i/>
                <w:color w:val="002060"/>
                <w:sz w:val="16"/>
                <w:szCs w:val="16"/>
              </w:rPr>
              <w:t>С</w:t>
            </w:r>
            <w:r w:rsidRPr="00DE096C">
              <w:rPr>
                <w:bCs/>
                <w:color w:val="002060"/>
                <w:sz w:val="16"/>
                <w:szCs w:val="16"/>
              </w:rPr>
              <w:t xml:space="preserve"> 1 пассажиром: Михайлов (4 XII 1913 г.) </w:t>
            </w:r>
          </w:p>
        </w:tc>
        <w:tc>
          <w:tcPr>
            <w:tcW w:w="3331" w:type="dxa"/>
          </w:tcPr>
          <w:p w14:paraId="1FD5D399" w14:textId="77777777" w:rsidR="009B46D9" w:rsidRPr="00DE096C" w:rsidRDefault="009B46D9" w:rsidP="00D45A46">
            <w:pPr>
              <w:jc w:val="both"/>
              <w:rPr>
                <w:bCs/>
                <w:color w:val="002060"/>
                <w:sz w:val="16"/>
                <w:szCs w:val="16"/>
              </w:rPr>
            </w:pPr>
            <w:r w:rsidRPr="00DE096C">
              <w:rPr>
                <w:bCs/>
                <w:color w:val="002060"/>
                <w:sz w:val="16"/>
                <w:szCs w:val="16"/>
              </w:rPr>
              <w:t xml:space="preserve">4 ч. 52 м. </w:t>
            </w:r>
          </w:p>
        </w:tc>
      </w:tr>
      <w:tr w:rsidR="009B46D9" w:rsidRPr="00DE096C" w14:paraId="6745B84E" w14:textId="77777777" w:rsidTr="00607F21">
        <w:tc>
          <w:tcPr>
            <w:tcW w:w="9359" w:type="dxa"/>
            <w:gridSpan w:val="2"/>
          </w:tcPr>
          <w:p w14:paraId="097EF9E7" w14:textId="77777777" w:rsidR="009B46D9" w:rsidRPr="00DE096C" w:rsidRDefault="009B46D9" w:rsidP="00D45A46">
            <w:pPr>
              <w:jc w:val="both"/>
              <w:rPr>
                <w:bCs/>
                <w:color w:val="002060"/>
                <w:sz w:val="16"/>
                <w:szCs w:val="16"/>
              </w:rPr>
            </w:pPr>
            <w:r w:rsidRPr="00DE096C">
              <w:rPr>
                <w:bCs/>
                <w:i/>
                <w:color w:val="002060"/>
                <w:sz w:val="16"/>
                <w:szCs w:val="16"/>
              </w:rPr>
              <w:t>Дистанция(за сутки между конечными пунктами)</w:t>
            </w:r>
          </w:p>
        </w:tc>
      </w:tr>
      <w:tr w:rsidR="009B46D9" w:rsidRPr="00DE096C" w14:paraId="32BD1D87" w14:textId="77777777" w:rsidTr="00607F21">
        <w:tc>
          <w:tcPr>
            <w:tcW w:w="6028" w:type="dxa"/>
          </w:tcPr>
          <w:p w14:paraId="78BC7AAC" w14:textId="77777777" w:rsidR="009B46D9" w:rsidRPr="00DE096C" w:rsidRDefault="009B46D9" w:rsidP="00D45A46">
            <w:pPr>
              <w:jc w:val="both"/>
              <w:rPr>
                <w:bCs/>
                <w:color w:val="002060"/>
                <w:sz w:val="16"/>
                <w:szCs w:val="16"/>
              </w:rPr>
            </w:pPr>
            <w:r w:rsidRPr="00DE096C">
              <w:rPr>
                <w:bCs/>
                <w:color w:val="002060"/>
                <w:sz w:val="16"/>
                <w:szCs w:val="16"/>
              </w:rPr>
              <w:t xml:space="preserve">Один пилот: Брендежон (Франция, 10/VII 1913 г.) </w:t>
            </w:r>
          </w:p>
        </w:tc>
        <w:tc>
          <w:tcPr>
            <w:tcW w:w="3331" w:type="dxa"/>
          </w:tcPr>
          <w:p w14:paraId="71BB1FBA" w14:textId="77777777" w:rsidR="009B46D9" w:rsidRPr="00DE096C" w:rsidRDefault="009B46D9" w:rsidP="00D45A46">
            <w:pPr>
              <w:jc w:val="both"/>
              <w:rPr>
                <w:bCs/>
                <w:color w:val="002060"/>
                <w:sz w:val="16"/>
                <w:szCs w:val="16"/>
              </w:rPr>
            </w:pPr>
            <w:r w:rsidRPr="00DE096C">
              <w:rPr>
                <w:bCs/>
                <w:color w:val="002060"/>
                <w:sz w:val="16"/>
                <w:szCs w:val="16"/>
              </w:rPr>
              <w:t xml:space="preserve">1 383 км </w:t>
            </w:r>
          </w:p>
        </w:tc>
      </w:tr>
      <w:tr w:rsidR="009B46D9" w:rsidRPr="00DE096C" w14:paraId="0FA4152B" w14:textId="77777777" w:rsidTr="00607F21">
        <w:tc>
          <w:tcPr>
            <w:tcW w:w="6028" w:type="dxa"/>
          </w:tcPr>
          <w:p w14:paraId="1C22A0BB" w14:textId="77777777" w:rsidR="009B46D9" w:rsidRPr="00DE096C" w:rsidRDefault="009B46D9" w:rsidP="00D45A46">
            <w:pPr>
              <w:jc w:val="both"/>
              <w:rPr>
                <w:bCs/>
                <w:color w:val="002060"/>
                <w:sz w:val="16"/>
                <w:szCs w:val="16"/>
              </w:rPr>
            </w:pPr>
            <w:r w:rsidRPr="00DE096C">
              <w:rPr>
                <w:bCs/>
                <w:color w:val="002060"/>
                <w:sz w:val="16"/>
                <w:szCs w:val="16"/>
              </w:rPr>
              <w:t xml:space="preserve">С 1 пассажиром: Жоли (Германия, 22/VII 1913 г.) </w:t>
            </w:r>
          </w:p>
        </w:tc>
        <w:tc>
          <w:tcPr>
            <w:tcW w:w="3331" w:type="dxa"/>
          </w:tcPr>
          <w:p w14:paraId="777CF3DB" w14:textId="77777777" w:rsidR="009B46D9" w:rsidRPr="00DE096C" w:rsidRDefault="009B46D9" w:rsidP="00D45A46">
            <w:pPr>
              <w:jc w:val="both"/>
              <w:rPr>
                <w:bCs/>
                <w:color w:val="002060"/>
                <w:sz w:val="16"/>
                <w:szCs w:val="16"/>
              </w:rPr>
            </w:pPr>
            <w:r w:rsidRPr="00DE096C">
              <w:rPr>
                <w:bCs/>
                <w:color w:val="002060"/>
                <w:sz w:val="16"/>
                <w:szCs w:val="16"/>
              </w:rPr>
              <w:t xml:space="preserve">1000 км </w:t>
            </w:r>
          </w:p>
        </w:tc>
      </w:tr>
      <w:tr w:rsidR="009B46D9" w:rsidRPr="00DE096C" w14:paraId="346A6F91" w14:textId="77777777" w:rsidTr="00607F21">
        <w:tc>
          <w:tcPr>
            <w:tcW w:w="6028" w:type="dxa"/>
          </w:tcPr>
          <w:p w14:paraId="24CCC8CC" w14:textId="77777777" w:rsidR="009B46D9" w:rsidRPr="00DE096C" w:rsidRDefault="009B46D9" w:rsidP="00D45A46">
            <w:pPr>
              <w:jc w:val="both"/>
              <w:rPr>
                <w:bCs/>
                <w:color w:val="002060"/>
                <w:sz w:val="16"/>
                <w:szCs w:val="16"/>
              </w:rPr>
            </w:pPr>
            <w:r w:rsidRPr="00DE096C">
              <w:rPr>
                <w:bCs/>
                <w:i/>
                <w:color w:val="002060"/>
                <w:sz w:val="16"/>
                <w:szCs w:val="16"/>
              </w:rPr>
              <w:t>В России</w:t>
            </w:r>
          </w:p>
        </w:tc>
        <w:tc>
          <w:tcPr>
            <w:tcW w:w="3331" w:type="dxa"/>
          </w:tcPr>
          <w:p w14:paraId="5F3FFA19" w14:textId="77777777" w:rsidR="009B46D9" w:rsidRPr="00DE096C" w:rsidRDefault="009B46D9" w:rsidP="00D45A46">
            <w:pPr>
              <w:jc w:val="both"/>
              <w:rPr>
                <w:bCs/>
                <w:color w:val="002060"/>
                <w:sz w:val="16"/>
                <w:szCs w:val="16"/>
              </w:rPr>
            </w:pPr>
          </w:p>
        </w:tc>
      </w:tr>
      <w:tr w:rsidR="009B46D9" w:rsidRPr="00DE096C" w14:paraId="7CC91EDA" w14:textId="77777777" w:rsidTr="00607F21">
        <w:tc>
          <w:tcPr>
            <w:tcW w:w="6028" w:type="dxa"/>
          </w:tcPr>
          <w:p w14:paraId="7246E963" w14:textId="77777777" w:rsidR="009B46D9" w:rsidRPr="00DE096C" w:rsidRDefault="009B46D9" w:rsidP="00D45A46">
            <w:pPr>
              <w:jc w:val="both"/>
              <w:rPr>
                <w:bCs/>
                <w:color w:val="002060"/>
                <w:sz w:val="16"/>
                <w:szCs w:val="16"/>
              </w:rPr>
            </w:pPr>
            <w:r w:rsidRPr="00DE096C">
              <w:rPr>
                <w:bCs/>
                <w:color w:val="002060"/>
                <w:sz w:val="16"/>
                <w:szCs w:val="16"/>
              </w:rPr>
              <w:t xml:space="preserve">Один нилот: Самойло (СПБ, Москва, 29/IV 1913 г.) </w:t>
            </w:r>
          </w:p>
        </w:tc>
        <w:tc>
          <w:tcPr>
            <w:tcW w:w="3331" w:type="dxa"/>
          </w:tcPr>
          <w:p w14:paraId="25746165" w14:textId="77777777" w:rsidR="009B46D9" w:rsidRPr="00DE096C" w:rsidRDefault="009B46D9" w:rsidP="00D45A46">
            <w:pPr>
              <w:jc w:val="both"/>
              <w:rPr>
                <w:bCs/>
                <w:color w:val="002060"/>
                <w:sz w:val="16"/>
                <w:szCs w:val="16"/>
              </w:rPr>
            </w:pPr>
            <w:r w:rsidRPr="00DE096C">
              <w:rPr>
                <w:bCs/>
                <w:color w:val="002060"/>
                <w:sz w:val="16"/>
                <w:szCs w:val="16"/>
              </w:rPr>
              <w:t xml:space="preserve">640 км </w:t>
            </w:r>
          </w:p>
        </w:tc>
      </w:tr>
      <w:tr w:rsidR="009B46D9" w:rsidRPr="00DE096C" w14:paraId="300BD2D0" w14:textId="77777777" w:rsidTr="00607F21">
        <w:tc>
          <w:tcPr>
            <w:tcW w:w="6028" w:type="dxa"/>
          </w:tcPr>
          <w:p w14:paraId="4AB1961E" w14:textId="77777777" w:rsidR="009B46D9" w:rsidRPr="00DE096C" w:rsidRDefault="009B46D9" w:rsidP="00D45A46">
            <w:pPr>
              <w:jc w:val="both"/>
              <w:rPr>
                <w:bCs/>
                <w:color w:val="002060"/>
                <w:sz w:val="16"/>
                <w:szCs w:val="16"/>
              </w:rPr>
            </w:pPr>
            <w:r w:rsidRPr="00DE096C">
              <w:rPr>
                <w:bCs/>
                <w:color w:val="002060"/>
                <w:sz w:val="16"/>
                <w:szCs w:val="16"/>
              </w:rPr>
              <w:t xml:space="preserve">С 1 пассажиром: Михайлов (СПБ, Тверь, 4/ХII 191 3 г.) </w:t>
            </w:r>
          </w:p>
        </w:tc>
        <w:tc>
          <w:tcPr>
            <w:tcW w:w="3331" w:type="dxa"/>
          </w:tcPr>
          <w:p w14:paraId="19D8DFBB" w14:textId="77777777" w:rsidR="009B46D9" w:rsidRPr="00DE096C" w:rsidRDefault="009B46D9" w:rsidP="00D45A46">
            <w:pPr>
              <w:jc w:val="both"/>
              <w:rPr>
                <w:bCs/>
                <w:color w:val="002060"/>
                <w:sz w:val="16"/>
                <w:szCs w:val="16"/>
              </w:rPr>
            </w:pPr>
            <w:r w:rsidRPr="00DE096C">
              <w:rPr>
                <w:bCs/>
                <w:color w:val="002060"/>
                <w:sz w:val="16"/>
                <w:szCs w:val="16"/>
              </w:rPr>
              <w:t xml:space="preserve">480 км </w:t>
            </w:r>
          </w:p>
        </w:tc>
      </w:tr>
      <w:tr w:rsidR="009B46D9" w:rsidRPr="00DE096C" w14:paraId="24B9ADA0" w14:textId="77777777" w:rsidTr="00607F21">
        <w:tc>
          <w:tcPr>
            <w:tcW w:w="9359" w:type="dxa"/>
            <w:gridSpan w:val="2"/>
          </w:tcPr>
          <w:p w14:paraId="50A35326" w14:textId="77777777" w:rsidR="009B46D9" w:rsidRPr="00DE096C" w:rsidRDefault="009B46D9" w:rsidP="00D45A46">
            <w:pPr>
              <w:jc w:val="both"/>
              <w:rPr>
                <w:bCs/>
                <w:color w:val="002060"/>
                <w:sz w:val="16"/>
                <w:szCs w:val="16"/>
              </w:rPr>
            </w:pPr>
            <w:r w:rsidRPr="00DE096C">
              <w:rPr>
                <w:bCs/>
                <w:color w:val="002060"/>
                <w:sz w:val="16"/>
                <w:szCs w:val="16"/>
              </w:rPr>
              <w:t xml:space="preserve">Дистанция (за сутки вне аэродрома по пройденному маршруту) </w:t>
            </w:r>
          </w:p>
        </w:tc>
      </w:tr>
      <w:tr w:rsidR="009B46D9" w:rsidRPr="00DE096C" w14:paraId="3E64A33D" w14:textId="77777777" w:rsidTr="00607F21">
        <w:tc>
          <w:tcPr>
            <w:tcW w:w="6028" w:type="dxa"/>
          </w:tcPr>
          <w:p w14:paraId="02469E48" w14:textId="77777777" w:rsidR="009B46D9" w:rsidRPr="00DE096C" w:rsidRDefault="009B46D9" w:rsidP="00D45A46">
            <w:pPr>
              <w:jc w:val="both"/>
              <w:rPr>
                <w:bCs/>
                <w:color w:val="002060"/>
                <w:sz w:val="16"/>
                <w:szCs w:val="16"/>
              </w:rPr>
            </w:pPr>
            <w:r w:rsidRPr="00DE096C">
              <w:rPr>
                <w:bCs/>
                <w:color w:val="002060"/>
                <w:sz w:val="16"/>
                <w:szCs w:val="16"/>
              </w:rPr>
              <w:t xml:space="preserve">Один пилот: Штефлер (Германия, 14/X 1913 г.) </w:t>
            </w:r>
          </w:p>
        </w:tc>
        <w:tc>
          <w:tcPr>
            <w:tcW w:w="3331" w:type="dxa"/>
          </w:tcPr>
          <w:p w14:paraId="6A32EABF" w14:textId="77777777" w:rsidR="009B46D9" w:rsidRPr="00DE096C" w:rsidRDefault="009B46D9" w:rsidP="00D45A46">
            <w:pPr>
              <w:jc w:val="both"/>
              <w:rPr>
                <w:bCs/>
                <w:color w:val="002060"/>
                <w:sz w:val="16"/>
                <w:szCs w:val="16"/>
              </w:rPr>
            </w:pPr>
            <w:r w:rsidRPr="00DE096C">
              <w:rPr>
                <w:bCs/>
                <w:color w:val="002060"/>
                <w:sz w:val="16"/>
                <w:szCs w:val="16"/>
              </w:rPr>
              <w:t xml:space="preserve">2160 км </w:t>
            </w:r>
          </w:p>
        </w:tc>
      </w:tr>
      <w:tr w:rsidR="009B46D9" w:rsidRPr="00DE096C" w14:paraId="76D73C71" w14:textId="77777777" w:rsidTr="00607F21">
        <w:tc>
          <w:tcPr>
            <w:tcW w:w="6028" w:type="dxa"/>
          </w:tcPr>
          <w:p w14:paraId="35D743B0" w14:textId="77777777" w:rsidR="009B46D9" w:rsidRPr="00DE096C" w:rsidRDefault="009B46D9" w:rsidP="00D45A46">
            <w:pPr>
              <w:jc w:val="both"/>
              <w:rPr>
                <w:bCs/>
                <w:color w:val="002060"/>
                <w:sz w:val="16"/>
                <w:szCs w:val="16"/>
              </w:rPr>
            </w:pPr>
            <w:r w:rsidRPr="00DE096C">
              <w:rPr>
                <w:bCs/>
                <w:color w:val="002060"/>
                <w:sz w:val="16"/>
                <w:szCs w:val="16"/>
              </w:rPr>
              <w:t xml:space="preserve">С 1 пассажиром: Телен (Германия, 14/Х 1913 г.) </w:t>
            </w:r>
          </w:p>
        </w:tc>
        <w:tc>
          <w:tcPr>
            <w:tcW w:w="3331" w:type="dxa"/>
          </w:tcPr>
          <w:p w14:paraId="1E4C7954" w14:textId="77777777" w:rsidR="009B46D9" w:rsidRPr="00DE096C" w:rsidRDefault="009B46D9" w:rsidP="00D45A46">
            <w:pPr>
              <w:jc w:val="both"/>
              <w:rPr>
                <w:bCs/>
                <w:color w:val="002060"/>
                <w:sz w:val="16"/>
                <w:szCs w:val="16"/>
              </w:rPr>
            </w:pPr>
            <w:r w:rsidRPr="00DE096C">
              <w:rPr>
                <w:bCs/>
                <w:color w:val="002060"/>
                <w:sz w:val="16"/>
                <w:szCs w:val="16"/>
              </w:rPr>
              <w:t xml:space="preserve">1 330 км </w:t>
            </w:r>
          </w:p>
        </w:tc>
      </w:tr>
      <w:tr w:rsidR="009B46D9" w:rsidRPr="00DE096C" w14:paraId="34CF3FAB" w14:textId="77777777" w:rsidTr="00607F21">
        <w:tc>
          <w:tcPr>
            <w:tcW w:w="6028" w:type="dxa"/>
          </w:tcPr>
          <w:p w14:paraId="3A36AC58" w14:textId="77777777" w:rsidR="009B46D9" w:rsidRPr="00DE096C" w:rsidRDefault="009B46D9" w:rsidP="00D45A46">
            <w:pPr>
              <w:jc w:val="both"/>
              <w:rPr>
                <w:bCs/>
                <w:color w:val="002060"/>
                <w:sz w:val="16"/>
                <w:szCs w:val="16"/>
              </w:rPr>
            </w:pPr>
            <w:r w:rsidRPr="00DE096C">
              <w:rPr>
                <w:bCs/>
                <w:i/>
                <w:color w:val="002060"/>
                <w:sz w:val="16"/>
                <w:szCs w:val="16"/>
              </w:rPr>
              <w:t>В России</w:t>
            </w:r>
          </w:p>
        </w:tc>
        <w:tc>
          <w:tcPr>
            <w:tcW w:w="3331" w:type="dxa"/>
          </w:tcPr>
          <w:p w14:paraId="5E7E7805" w14:textId="77777777" w:rsidR="009B46D9" w:rsidRPr="00DE096C" w:rsidRDefault="009B46D9" w:rsidP="00D45A46">
            <w:pPr>
              <w:jc w:val="both"/>
              <w:rPr>
                <w:bCs/>
                <w:color w:val="002060"/>
                <w:sz w:val="16"/>
                <w:szCs w:val="16"/>
              </w:rPr>
            </w:pPr>
          </w:p>
        </w:tc>
      </w:tr>
      <w:tr w:rsidR="009B46D9" w:rsidRPr="00DE096C" w14:paraId="733B09CC" w14:textId="77777777" w:rsidTr="00607F21">
        <w:tc>
          <w:tcPr>
            <w:tcW w:w="6028" w:type="dxa"/>
          </w:tcPr>
          <w:p w14:paraId="0DCA5386" w14:textId="77777777" w:rsidR="009B46D9" w:rsidRPr="00DE096C" w:rsidRDefault="009B46D9" w:rsidP="00D45A46">
            <w:pPr>
              <w:jc w:val="both"/>
              <w:rPr>
                <w:bCs/>
                <w:color w:val="002060"/>
                <w:sz w:val="16"/>
                <w:szCs w:val="16"/>
              </w:rPr>
            </w:pPr>
            <w:r w:rsidRPr="00DE096C">
              <w:rPr>
                <w:bCs/>
                <w:color w:val="002060"/>
                <w:sz w:val="16"/>
                <w:szCs w:val="16"/>
              </w:rPr>
              <w:t xml:space="preserve">Один пилот: Васильев (СПБ, Подсолнечная, 10/ VI 1911 г.) </w:t>
            </w:r>
          </w:p>
        </w:tc>
        <w:tc>
          <w:tcPr>
            <w:tcW w:w="3331" w:type="dxa"/>
          </w:tcPr>
          <w:p w14:paraId="25F2EB56" w14:textId="77777777" w:rsidR="009B46D9" w:rsidRPr="00DE096C" w:rsidRDefault="009B46D9" w:rsidP="00D45A46">
            <w:pPr>
              <w:jc w:val="both"/>
              <w:rPr>
                <w:bCs/>
                <w:color w:val="002060"/>
                <w:sz w:val="16"/>
                <w:szCs w:val="16"/>
              </w:rPr>
            </w:pPr>
            <w:r w:rsidRPr="00DE096C">
              <w:rPr>
                <w:bCs/>
                <w:color w:val="002060"/>
                <w:sz w:val="16"/>
                <w:szCs w:val="16"/>
              </w:rPr>
              <w:t xml:space="preserve">667 км </w:t>
            </w:r>
          </w:p>
        </w:tc>
      </w:tr>
      <w:tr w:rsidR="009B46D9" w:rsidRPr="00DE096C" w14:paraId="40DD7E47" w14:textId="77777777" w:rsidTr="00607F21">
        <w:tc>
          <w:tcPr>
            <w:tcW w:w="6028" w:type="dxa"/>
          </w:tcPr>
          <w:p w14:paraId="3AF3C2DB" w14:textId="77777777" w:rsidR="009B46D9" w:rsidRPr="00DE096C" w:rsidRDefault="009B46D9" w:rsidP="00D45A46">
            <w:pPr>
              <w:jc w:val="both"/>
              <w:rPr>
                <w:bCs/>
                <w:color w:val="002060"/>
                <w:sz w:val="16"/>
                <w:szCs w:val="16"/>
              </w:rPr>
            </w:pPr>
            <w:r w:rsidRPr="00DE096C">
              <w:rPr>
                <w:bCs/>
                <w:color w:val="002060"/>
                <w:sz w:val="16"/>
                <w:szCs w:val="16"/>
              </w:rPr>
              <w:t xml:space="preserve">С 1 пассажиром: Михайлов (СПБ, Тверь, 4 /VII 1913 г.) </w:t>
            </w:r>
          </w:p>
        </w:tc>
        <w:tc>
          <w:tcPr>
            <w:tcW w:w="3331" w:type="dxa"/>
          </w:tcPr>
          <w:p w14:paraId="34872D31" w14:textId="77777777" w:rsidR="009B46D9" w:rsidRPr="00DE096C" w:rsidRDefault="009B46D9" w:rsidP="00D45A46">
            <w:pPr>
              <w:jc w:val="both"/>
              <w:rPr>
                <w:bCs/>
                <w:color w:val="002060"/>
                <w:sz w:val="16"/>
                <w:szCs w:val="16"/>
              </w:rPr>
            </w:pPr>
            <w:r w:rsidRPr="00DE096C">
              <w:rPr>
                <w:bCs/>
                <w:color w:val="002060"/>
                <w:sz w:val="16"/>
                <w:szCs w:val="16"/>
              </w:rPr>
              <w:t xml:space="preserve">480 км [69] </w:t>
            </w:r>
          </w:p>
        </w:tc>
      </w:tr>
    </w:tbl>
    <w:p w14:paraId="0C423C98" w14:textId="77777777" w:rsidR="009B46D9" w:rsidRPr="00DE096C" w:rsidRDefault="009B46D9" w:rsidP="00D45A46">
      <w:pPr>
        <w:jc w:val="both"/>
        <w:rPr>
          <w:bCs/>
          <w:color w:val="002060"/>
          <w:sz w:val="16"/>
          <w:szCs w:val="16"/>
          <w:lang w:val="en-US"/>
        </w:rPr>
      </w:pPr>
      <w:r w:rsidRPr="00DE096C">
        <w:rPr>
          <w:bCs/>
          <w:color w:val="002060"/>
          <w:sz w:val="16"/>
          <w:szCs w:val="16"/>
          <w:lang w:val="en-US"/>
        </w:rPr>
        <w:t>(11335).</w:t>
      </w:r>
    </w:p>
    <w:p w14:paraId="641B3BAE" w14:textId="64DCFB93" w:rsidR="009B46D9" w:rsidRPr="00DE096C" w:rsidRDefault="009B46D9" w:rsidP="00D45A46">
      <w:pPr>
        <w:jc w:val="both"/>
        <w:rPr>
          <w:bCs/>
          <w:color w:val="002060"/>
          <w:sz w:val="16"/>
          <w:szCs w:val="16"/>
        </w:rPr>
      </w:pPr>
    </w:p>
    <w:p w14:paraId="21ADA14B" w14:textId="3857EA24" w:rsidR="00F25610" w:rsidRPr="00DE096C" w:rsidRDefault="00F25610" w:rsidP="00D45A46">
      <w:pPr>
        <w:shd w:val="clear" w:color="auto" w:fill="FFFFFF"/>
        <w:jc w:val="both"/>
        <w:rPr>
          <w:bCs/>
          <w:i/>
          <w:color w:val="002060"/>
          <w:sz w:val="16"/>
          <w:szCs w:val="16"/>
        </w:rPr>
      </w:pPr>
      <w:r w:rsidRPr="00DE096C">
        <w:rPr>
          <w:bCs/>
          <w:i/>
          <w:color w:val="002060"/>
          <w:sz w:val="16"/>
          <w:szCs w:val="16"/>
        </w:rPr>
        <w:t>Авиация и воздухоплавание Англии:</w:t>
      </w:r>
    </w:p>
    <w:p w14:paraId="1D117D9C" w14:textId="77777777" w:rsidR="00F25610" w:rsidRPr="00DE096C" w:rsidRDefault="00F25610" w:rsidP="00D45A46">
      <w:pPr>
        <w:shd w:val="clear" w:color="auto" w:fill="FFFFFF"/>
        <w:jc w:val="both"/>
        <w:rPr>
          <w:bCs/>
          <w:i/>
          <w:color w:val="002060"/>
          <w:sz w:val="16"/>
          <w:szCs w:val="16"/>
        </w:rPr>
      </w:pPr>
    </w:p>
    <w:p w14:paraId="570D939F" w14:textId="77777777" w:rsidR="00F25610" w:rsidRPr="00DE096C" w:rsidRDefault="00F25610" w:rsidP="00D45A46">
      <w:pPr>
        <w:jc w:val="both"/>
        <w:rPr>
          <w:bCs/>
          <w:color w:val="002060"/>
          <w:sz w:val="16"/>
          <w:szCs w:val="16"/>
        </w:rPr>
      </w:pPr>
      <w:r w:rsidRPr="00DE096C">
        <w:rPr>
          <w:bCs/>
          <w:color w:val="002060"/>
          <w:sz w:val="16"/>
          <w:szCs w:val="16"/>
        </w:rPr>
        <w:t xml:space="preserve">3 (16) марта 1914 г. в Лондоне «Аэрошоу Олимпия» самым маленьким из представленных аэропланов был биплан Бристоль «Бэби». Фирма начинала с выпуска «Фарманов» в 1910 г. и теперь упорно строила собственные конструкции, собрав в Отделе Х ряд талантливых инженеров — Джордж Челленджер, Арчибальд Лоу, Анри Коанда, Фрэнк Барнуэлл станут авторитетами в области авиации. «Бэби» был спроектирован Барнуэллом и построен на заводе фирмы в предместье Бристоля Филтоне. Чтобы привлечь заказчиков в погонах, он, как и другие подобные машины, был представлен под названием «Скаут». Его облетал заводской пилот Бастид буквально накануне выставки 23 февраля, и теперь фирма активно рекламировала аппарат и спортсменам, и военным. Свой первый серийный заказ «Бристоль» получил именно от них, но не своих, а русских — восемь «Фарманов» пошли Гатчинской авиашколе. А британское Военное министерство в ответ на обещания не работать с иностранцами в обмен на хоть какой-то заказ отмалчивалось, потому немецкий филиал «Дойче Бристоль Верке» с капиталом 200 000 марок пока исправно работал на потенциального противника </w:t>
      </w:r>
    </w:p>
    <w:p w14:paraId="3EE51AE5" w14:textId="77777777" w:rsidR="00F25610" w:rsidRPr="00DE096C" w:rsidRDefault="00F25610" w:rsidP="00D45A46">
      <w:pPr>
        <w:jc w:val="both"/>
        <w:rPr>
          <w:bCs/>
          <w:color w:val="002060"/>
          <w:sz w:val="16"/>
          <w:szCs w:val="16"/>
        </w:rPr>
      </w:pPr>
      <w:r w:rsidRPr="00DE096C">
        <w:rPr>
          <w:bCs/>
          <w:color w:val="002060"/>
          <w:sz w:val="16"/>
          <w:szCs w:val="16"/>
        </w:rPr>
        <w:t>«Скаут» хорошо летал, — конечно, скоростью 153 км/ч уже никого нельзя было удивить, но получили ее с устаревшим маломощным мотором Гном 9 всего в 80 сил, снятым со старого самолета! После выставки поставили увеличенное крыло и убедили руководство RFC посмотреть машину. Ее показал Бастид 14 мая, выжав 157 км/ч и уступив только «Таблоиду» со стосильным мотором. Но заказа провинциальная фирма не получила. Не повезло ей и в Воздушном дерби 6 июня — из-за тумана полет «Скаута» не зачли, зато его купил летавший в той гонке на «Моране» лорд Кербери. Дал он всего 400 фунтов, отказавшись от подержанного мотора, но пожелал еще два комплектных по «хорошей» цене. При попытке пересечь Ла-Манш в гонке «Лондон — Париж — Лондон» 7 июля Кербери на первом «Скауте» едва не убился, но не расстроился, а стал ждать двух новых (22759).</w:t>
      </w:r>
    </w:p>
    <w:p w14:paraId="76459EC0" w14:textId="77777777" w:rsidR="00F25610" w:rsidRPr="00DE096C" w:rsidRDefault="00F25610" w:rsidP="00D45A46">
      <w:pPr>
        <w:jc w:val="both"/>
        <w:rPr>
          <w:bCs/>
          <w:color w:val="002060"/>
          <w:sz w:val="16"/>
          <w:szCs w:val="16"/>
        </w:rPr>
      </w:pPr>
    </w:p>
    <w:p w14:paraId="03CD5F5A"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78CFAAB3" w14:textId="77777777" w:rsidR="00B67D7C" w:rsidRPr="00DE096C" w:rsidRDefault="00B67D7C" w:rsidP="00D45A46">
      <w:pPr>
        <w:shd w:val="clear" w:color="auto" w:fill="FFFFFF"/>
        <w:jc w:val="both"/>
        <w:rPr>
          <w:bCs/>
          <w:i/>
          <w:color w:val="002060"/>
          <w:sz w:val="16"/>
          <w:szCs w:val="16"/>
        </w:rPr>
      </w:pPr>
    </w:p>
    <w:p w14:paraId="51D49F4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4 (17) марта 1914 Проект "Кеннеди" № 2 Ч.М.Кеннеди и В.А.Слесарев был передан на заключение военному ин</w:t>
      </w:r>
      <w:r w:rsidRPr="00DE096C">
        <w:rPr>
          <w:bCs/>
          <w:color w:val="002060"/>
          <w:sz w:val="16"/>
          <w:szCs w:val="16"/>
        </w:rPr>
        <w:softHyphen/>
        <w:t>женеру, профессору Николаевской инженерной академии генерал-лейтенанту Н.Л.Кирпичеву, одобрившему его (ЦГВИА, ф. 802, оп. 4, д. 2223, л. 189) (11069).</w:t>
      </w:r>
    </w:p>
    <w:p w14:paraId="64EEF8D9" w14:textId="77777777" w:rsidR="00B67D7C" w:rsidRPr="00DE096C" w:rsidRDefault="00B67D7C" w:rsidP="00D45A46">
      <w:pPr>
        <w:shd w:val="clear" w:color="auto" w:fill="FFFFFF"/>
        <w:jc w:val="both"/>
        <w:rPr>
          <w:bCs/>
          <w:color w:val="002060"/>
          <w:sz w:val="16"/>
          <w:szCs w:val="16"/>
        </w:rPr>
      </w:pPr>
    </w:p>
    <w:p w14:paraId="3CCA167A" w14:textId="3EC50D8A" w:rsidR="00B67D7C" w:rsidRPr="00DE096C" w:rsidRDefault="00B67D7C" w:rsidP="00D45A46">
      <w:pPr>
        <w:shd w:val="clear" w:color="auto" w:fill="FFFFFF"/>
        <w:jc w:val="both"/>
        <w:rPr>
          <w:bCs/>
          <w:color w:val="002060"/>
          <w:sz w:val="16"/>
          <w:szCs w:val="16"/>
        </w:rPr>
      </w:pPr>
      <w:r w:rsidRPr="00DE096C">
        <w:rPr>
          <w:bCs/>
          <w:color w:val="002060"/>
          <w:sz w:val="16"/>
          <w:szCs w:val="16"/>
        </w:rPr>
        <w:t>4</w:t>
      </w:r>
      <w:r w:rsidR="002A06B1" w:rsidRPr="00DE096C">
        <w:rPr>
          <w:bCs/>
          <w:color w:val="002060"/>
          <w:sz w:val="16"/>
          <w:szCs w:val="16"/>
        </w:rPr>
        <w:t xml:space="preserve"> (17)</w:t>
      </w:r>
      <w:r w:rsidRPr="00DE096C">
        <w:rPr>
          <w:bCs/>
          <w:color w:val="002060"/>
          <w:sz w:val="16"/>
          <w:szCs w:val="16"/>
        </w:rPr>
        <w:t xml:space="preserve">, 11 </w:t>
      </w:r>
      <w:r w:rsidR="002A06B1" w:rsidRPr="00DE096C">
        <w:rPr>
          <w:bCs/>
          <w:color w:val="002060"/>
          <w:sz w:val="16"/>
          <w:szCs w:val="16"/>
        </w:rPr>
        <w:t xml:space="preserve">(24) </w:t>
      </w:r>
      <w:r w:rsidRPr="00DE096C">
        <w:rPr>
          <w:bCs/>
          <w:color w:val="002060"/>
          <w:sz w:val="16"/>
          <w:szCs w:val="16"/>
        </w:rPr>
        <w:t xml:space="preserve">и 18 </w:t>
      </w:r>
      <w:r w:rsidR="002A06B1" w:rsidRPr="00DE096C">
        <w:rPr>
          <w:bCs/>
          <w:color w:val="002060"/>
          <w:sz w:val="16"/>
          <w:szCs w:val="16"/>
        </w:rPr>
        <w:t xml:space="preserve">(31) </w:t>
      </w:r>
      <w:r w:rsidRPr="00DE096C">
        <w:rPr>
          <w:bCs/>
          <w:color w:val="002060"/>
          <w:sz w:val="16"/>
          <w:szCs w:val="16"/>
        </w:rPr>
        <w:t xml:space="preserve">марта 1914 г. </w:t>
      </w:r>
      <w:r w:rsidR="002A06B1" w:rsidRPr="00DE096C">
        <w:rPr>
          <w:bCs/>
          <w:color w:val="002060"/>
          <w:sz w:val="16"/>
          <w:szCs w:val="16"/>
        </w:rPr>
        <w:t xml:space="preserve">февральские предложения генерала Болотова трижды </w:t>
      </w:r>
      <w:r w:rsidRPr="00DE096C">
        <w:rPr>
          <w:bCs/>
          <w:color w:val="002060"/>
          <w:sz w:val="16"/>
          <w:szCs w:val="16"/>
        </w:rPr>
        <w:t>рассматривались на заседаниях Технического комитета ГВТУ. На них из-за межведомственных трений отсутствовали представители Генштаба, в том числе и бывший начальник Воздухоплава</w:t>
      </w:r>
      <w:r w:rsidRPr="00DE096C">
        <w:rPr>
          <w:bCs/>
          <w:color w:val="002060"/>
          <w:sz w:val="16"/>
          <w:szCs w:val="16"/>
        </w:rPr>
        <w:softHyphen/>
        <w:t>тельной части Шишкевич. В результате обсуждения вопроса «О типах...» пришли к вы</w:t>
      </w:r>
      <w:r w:rsidRPr="00DE096C">
        <w:rPr>
          <w:bCs/>
          <w:color w:val="002060"/>
          <w:sz w:val="16"/>
          <w:szCs w:val="16"/>
        </w:rPr>
        <w:softHyphen/>
        <w:t>воду, что следует заказать для полевых (армейских) и крепостных отрядов самолёты: «Вуазен», «Сикорский-Х» и «Фарман-ХХИ», а для корпусных отрядов — «Депердюссен», «Моран-Парасоль» и «Сикорский-Х1». Для отрядов особого назначения предусматрива</w:t>
      </w:r>
      <w:r w:rsidRPr="00DE096C">
        <w:rPr>
          <w:bCs/>
          <w:color w:val="002060"/>
          <w:sz w:val="16"/>
          <w:szCs w:val="16"/>
        </w:rPr>
        <w:softHyphen/>
        <w:t>лось сделать заказы на одноместные «Моран-Сольнье».</w:t>
      </w:r>
    </w:p>
    <w:p w14:paraId="2FCD08A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Так менее чем за полгода, обозначив «новую позицию» в вопросе о вооружении лета</w:t>
      </w:r>
      <w:r w:rsidRPr="00DE096C">
        <w:rPr>
          <w:bCs/>
          <w:color w:val="002060"/>
          <w:sz w:val="16"/>
          <w:szCs w:val="16"/>
        </w:rPr>
        <w:softHyphen/>
        <w:t>тельных аппаратов, «похоронили» пионерские работы по вооружению и бронированию са</w:t>
      </w:r>
      <w:r w:rsidRPr="00DE096C">
        <w:rPr>
          <w:bCs/>
          <w:color w:val="002060"/>
          <w:sz w:val="16"/>
          <w:szCs w:val="16"/>
        </w:rPr>
        <w:softHyphen/>
        <w:t>молётов, проводившиеся в 1912-1913 гг. под руководством Шишкевича. Понятно, что при таком подходе Шишкевичу уже не было места в новой структуре ГВТУ. Печальным итогом стало то, что начавшуюся летом 1914 г. Первую мировую войну русская боевая авиация встретила невооруженной, что и заставило П.Н. Нестерова пожертвовать собой, совершая первый в мире воздушный таран.</w:t>
      </w:r>
    </w:p>
    <w:p w14:paraId="67D0FF2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Вероятно, именно это имел в виду В.Б. Шавров, когда писал, что «с первых же дней войны стали сказываться тяжёлые просчеты, преступные упущения и крупнейшие не</w:t>
      </w:r>
      <w:r w:rsidRPr="00DE096C">
        <w:rPr>
          <w:bCs/>
          <w:color w:val="002060"/>
          <w:sz w:val="16"/>
          <w:szCs w:val="16"/>
        </w:rPr>
        <w:softHyphen/>
        <w:t>достатки в руководстве русской авиацией...» (Шавров В.Б. История конструкций самолётов в СССР до 1938 г. М., 1978. С. 151.)</w:t>
      </w:r>
      <w:r w:rsidRPr="00DE096C">
        <w:rPr>
          <w:bCs/>
          <w:color w:val="002060"/>
          <w:sz w:val="16"/>
          <w:szCs w:val="16"/>
          <w:vertAlign w:val="superscript"/>
        </w:rPr>
        <w:t>10</w:t>
      </w:r>
      <w:r w:rsidRPr="00DE096C">
        <w:rPr>
          <w:bCs/>
          <w:color w:val="002060"/>
          <w:sz w:val="16"/>
          <w:szCs w:val="16"/>
        </w:rPr>
        <w:t>.</w:t>
      </w:r>
    </w:p>
    <w:p w14:paraId="57DA306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Кстати, именно М.И. Шишкевич высказал мысль о целесообразности 30-суточного ареста Нестерова за выполнение «мертвой петли«. Так что не все было гладко у «ге</w:t>
      </w:r>
      <w:r w:rsidRPr="00DE096C">
        <w:rPr>
          <w:bCs/>
          <w:color w:val="002060"/>
          <w:sz w:val="16"/>
          <w:szCs w:val="16"/>
        </w:rPr>
        <w:softHyphen/>
        <w:t>нерала от авиации« с перспективами её развития. Но в целом его деятельность на по</w:t>
      </w:r>
      <w:r w:rsidRPr="00DE096C">
        <w:rPr>
          <w:bCs/>
          <w:color w:val="002060"/>
          <w:sz w:val="16"/>
          <w:szCs w:val="16"/>
        </w:rPr>
        <w:softHyphen/>
        <w:t>сту начальника Воздухоплавательной части ГУ ГШ в 1912-1913 гг. следует оценивать весьма высоко. Несколько слов о его дальнейшей судьбе.</w:t>
      </w:r>
    </w:p>
    <w:p w14:paraId="687F84B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Во время первой мировой войны Шишкевич служил начальником штаба 7-й, 11-й и Дунайской армий, 2 декабря 1916г. стал начальником штаба Румынского фронта. В ян</w:t>
      </w:r>
      <w:r w:rsidRPr="00DE096C">
        <w:rPr>
          <w:bCs/>
          <w:color w:val="002060"/>
          <w:sz w:val="16"/>
          <w:szCs w:val="16"/>
        </w:rPr>
        <w:softHyphen/>
        <w:t>варе 1916 г. получил звание генерал-лейтенанта и 16 августа 1916 г. был награжден ор</w:t>
      </w:r>
      <w:r w:rsidRPr="00DE096C">
        <w:rPr>
          <w:bCs/>
          <w:color w:val="002060"/>
          <w:sz w:val="16"/>
          <w:szCs w:val="16"/>
        </w:rPr>
        <w:softHyphen/>
        <w:t>деном Св. Георгия 4-й степени. 29 апреля 1917 г. 55-летний генерал по болезни был «зачислен в резерв чинов«, а приказом по Московскому округу от 27 ноября 1917 г. уволен в отставку. Проживал в Москве по адресу Остоженка, д. 10, кв. 11 (РГВИА. Ф. 409ПС. Д. 151-522. 76)</w:t>
      </w:r>
      <w:r w:rsidRPr="00DE096C">
        <w:rPr>
          <w:bCs/>
          <w:color w:val="002060"/>
          <w:sz w:val="16"/>
          <w:szCs w:val="16"/>
          <w:vertAlign w:val="superscript"/>
        </w:rPr>
        <w:t>11</w:t>
      </w:r>
      <w:r w:rsidRPr="00DE096C">
        <w:rPr>
          <w:bCs/>
          <w:color w:val="002060"/>
          <w:sz w:val="16"/>
          <w:szCs w:val="16"/>
        </w:rPr>
        <w:t>.</w:t>
      </w:r>
    </w:p>
    <w:p w14:paraId="7F13E54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С этого адреса 14 июня 1918 г. в пенсионный отдел Главного штаба он отправил про</w:t>
      </w:r>
      <w:r w:rsidRPr="00DE096C">
        <w:rPr>
          <w:bCs/>
          <w:color w:val="002060"/>
          <w:sz w:val="16"/>
          <w:szCs w:val="16"/>
        </w:rPr>
        <w:softHyphen/>
        <w:t>шение о назначении пенсии. В течение месяца ранее служившему в МВО боевому ге</w:t>
      </w:r>
      <w:r w:rsidRPr="00DE096C">
        <w:rPr>
          <w:bCs/>
          <w:color w:val="002060"/>
          <w:sz w:val="16"/>
          <w:szCs w:val="16"/>
        </w:rPr>
        <w:softHyphen/>
        <w:t>нералу и кавалеру назначили пенсию из военной эмеритальной кассы и из Московской казенной палаты. По довоенным меркам сумма в 3600 руб. (2097+1503) могла считать</w:t>
      </w:r>
      <w:r w:rsidRPr="00DE096C">
        <w:rPr>
          <w:bCs/>
          <w:color w:val="002060"/>
          <w:sz w:val="16"/>
          <w:szCs w:val="16"/>
        </w:rPr>
        <w:softHyphen/>
        <w:t>ся вполне достаточной, но дело происходило в середине 1918 г.! Даже удивительно, что ещё функционировали финансовые структуры старого военного ведомства. Пенсионное дело Шишкевича закрыли 23 июля 1918 г., и неизвестно, получал ли от советской вла</w:t>
      </w:r>
      <w:r w:rsidRPr="00DE096C">
        <w:rPr>
          <w:bCs/>
          <w:color w:val="002060"/>
          <w:sz w:val="16"/>
          <w:szCs w:val="16"/>
        </w:rPr>
        <w:softHyphen/>
        <w:t>сти какие-либо выплаты царский генерал. Впрочем, в условиях бешеной инфляции во время гражданской войны этой суммы могло не хватить и на коробок спичек.</w:t>
      </w:r>
    </w:p>
    <w:p w14:paraId="3950C65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Сведений о последних годах жизни первого генерала от авиации М.И. Шишкевича пока не найдено (11696).</w:t>
      </w:r>
    </w:p>
    <w:p w14:paraId="6AD5CBBF" w14:textId="77777777" w:rsidR="00B67D7C" w:rsidRPr="00DE096C" w:rsidRDefault="00B67D7C" w:rsidP="00D45A46">
      <w:pPr>
        <w:shd w:val="clear" w:color="auto" w:fill="FFFFFF"/>
        <w:jc w:val="both"/>
        <w:rPr>
          <w:bCs/>
          <w:color w:val="002060"/>
          <w:sz w:val="16"/>
          <w:szCs w:val="16"/>
        </w:rPr>
      </w:pPr>
    </w:p>
    <w:p w14:paraId="26F65DEB" w14:textId="67B6559B" w:rsidR="009B46D9" w:rsidRPr="00DE096C" w:rsidRDefault="009B46D9" w:rsidP="00D45A46">
      <w:pPr>
        <w:jc w:val="both"/>
        <w:rPr>
          <w:bCs/>
          <w:color w:val="002060"/>
          <w:sz w:val="16"/>
          <w:szCs w:val="16"/>
        </w:rPr>
      </w:pPr>
      <w:r w:rsidRPr="00DE096C">
        <w:rPr>
          <w:bCs/>
          <w:color w:val="002060"/>
          <w:sz w:val="16"/>
          <w:szCs w:val="16"/>
        </w:rPr>
        <w:t>4</w:t>
      </w:r>
      <w:r w:rsidR="002A06B1" w:rsidRPr="00DE096C">
        <w:rPr>
          <w:bCs/>
          <w:color w:val="002060"/>
          <w:sz w:val="16"/>
          <w:szCs w:val="16"/>
        </w:rPr>
        <w:t xml:space="preserve"> (17)</w:t>
      </w:r>
      <w:r w:rsidRPr="00DE096C">
        <w:rPr>
          <w:bCs/>
          <w:color w:val="002060"/>
          <w:sz w:val="16"/>
          <w:szCs w:val="16"/>
        </w:rPr>
        <w:t xml:space="preserve">, 11 </w:t>
      </w:r>
      <w:r w:rsidR="002A06B1" w:rsidRPr="00DE096C">
        <w:rPr>
          <w:bCs/>
          <w:color w:val="002060"/>
          <w:sz w:val="16"/>
          <w:szCs w:val="16"/>
        </w:rPr>
        <w:t xml:space="preserve">(24) </w:t>
      </w:r>
      <w:r w:rsidRPr="00DE096C">
        <w:rPr>
          <w:bCs/>
          <w:color w:val="002060"/>
          <w:sz w:val="16"/>
          <w:szCs w:val="16"/>
        </w:rPr>
        <w:t xml:space="preserve">и 18 </w:t>
      </w:r>
      <w:r w:rsidR="002A06B1" w:rsidRPr="00DE096C">
        <w:rPr>
          <w:bCs/>
          <w:color w:val="002060"/>
          <w:sz w:val="16"/>
          <w:szCs w:val="16"/>
        </w:rPr>
        <w:t xml:space="preserve">(31) </w:t>
      </w:r>
      <w:r w:rsidRPr="00DE096C">
        <w:rPr>
          <w:bCs/>
          <w:color w:val="002060"/>
          <w:sz w:val="16"/>
          <w:szCs w:val="16"/>
        </w:rPr>
        <w:t xml:space="preserve">марта 1914 г. на заседаниях Технического комитета ГВТУ февральские предложения генерала Болотова были рассмотрены. На них из-за межведомственных трений отсутствовали представители ГШ. В результате обсуждения вопроса «О типах» пришли к выводу, что следует заказать для полевых (армейских) и крепостных отрядов «Вуазен», «Сикорский-Х» и «Фарман-ХХII», для корпусных отрядов – «Депердюссен», «Моран-Парасоль» и «Сикорский-XI», а для отрядов особого назначения – одноместный «Моран-Сольнье». Примечательно, что кроме иностранных типов решено было заказать и самолеты конструкции И.И. Сикорского, что нельзя не оценить положительно, особенно в плане тенденциозного освещения истории авиации в литературе советского времени. В ней Военное министерство и ГВТУ, как его часть, необоснованно обвиняются в приверженности иностранным образцам авиатехники. Однако документы свидетельствуют, что </w:t>
      </w:r>
      <w:r w:rsidRPr="00DE096C">
        <w:rPr>
          <w:bCs/>
          <w:color w:val="002060"/>
          <w:sz w:val="16"/>
          <w:szCs w:val="16"/>
        </w:rPr>
        <w:lastRenderedPageBreak/>
        <w:t>военное ведомство почти во всех случаях лоббировало серийное производство отечественных авиационных изобретений и особенно тех, которые должны были строиться из отечественных материалов. Заводы же предпочитали осваивать производство «чужих» самолетов, так как это было дешевле и менее рискованно. Например, Технический комитет в марте 1914 г. принял решение заказать 48 «Депердюссенов», 42 «Моран-Парасоля» и 42 «Сикорских-XI». Из четырех ведущих авиазаводов за изготовление отечественных самолетов взялся только завод РБВЗ, на котором И.И. Сикорский работал главным конструктором. Однако через несколько дней правление завода попросило перенести выполнение этого заказа на более поздний срок. Тогда Технический комитет уменьшил заказ до 12 самолетов, но и они не были изготовлены. Все это привело к тому, что только около десяти русских типов самолетов нашли применение (и то ограниченное) в Первой мировой войне. Среди них особое место занимают дальний бомбардировщик-разведчик «Илья Муромец» и летающие лодки Д.П. Григоровича.</w:t>
      </w:r>
    </w:p>
    <w:p w14:paraId="547DB9D7" w14:textId="77777777" w:rsidR="009B46D9" w:rsidRPr="00DE096C" w:rsidRDefault="009B46D9" w:rsidP="00D45A46">
      <w:pPr>
        <w:jc w:val="both"/>
        <w:rPr>
          <w:bCs/>
          <w:color w:val="002060"/>
          <w:sz w:val="16"/>
          <w:szCs w:val="16"/>
        </w:rPr>
      </w:pPr>
      <w:r w:rsidRPr="00DE096C">
        <w:rPr>
          <w:bCs/>
          <w:color w:val="002060"/>
          <w:sz w:val="16"/>
          <w:szCs w:val="16"/>
        </w:rPr>
        <w:t>При выборе типов Технический комитет руководствовался опытом французской авиации, в которой избранные самолеты уже стояли на вооружении. Таким образом, стратегия организационного строительства системы авиационно-технического и тылового обеспечения зарождающейся военной авиации России ориентировалась в основном на французский опыт снабжения и эксплуатации авиационной техники. Это было обусловлено преобладанием в Авиационной службе русской армии импортной авиационной техники (19566).</w:t>
      </w:r>
    </w:p>
    <w:p w14:paraId="764F5328" w14:textId="77777777" w:rsidR="009B46D9" w:rsidRPr="00DE096C" w:rsidRDefault="009B46D9" w:rsidP="00D45A46">
      <w:pPr>
        <w:jc w:val="both"/>
        <w:rPr>
          <w:bCs/>
          <w:color w:val="002060"/>
          <w:sz w:val="16"/>
          <w:szCs w:val="16"/>
        </w:rPr>
      </w:pPr>
    </w:p>
    <w:p w14:paraId="410C8643" w14:textId="3586E592" w:rsidR="00C47A60" w:rsidRPr="00DE096C" w:rsidRDefault="00C47A60" w:rsidP="00D45A46">
      <w:pPr>
        <w:jc w:val="both"/>
        <w:rPr>
          <w:bCs/>
          <w:color w:val="002060"/>
          <w:sz w:val="16"/>
          <w:szCs w:val="16"/>
        </w:rPr>
      </w:pPr>
      <w:r w:rsidRPr="00DE096C">
        <w:rPr>
          <w:bCs/>
          <w:color w:val="002060"/>
          <w:sz w:val="16"/>
          <w:szCs w:val="16"/>
          <w:lang w:bidi="en-US"/>
        </w:rPr>
        <w:t>4 (17) марта 1914 г. Технический комитет ЦМТД провел совещание о пригодности типов самолетов, подлежащих заказу на военную службу. Представитель Генштаба не удосужился присутствовать на этом важном совещании (23525).</w:t>
      </w:r>
    </w:p>
    <w:p w14:paraId="188797E0" w14:textId="77777777" w:rsidR="00C47A60" w:rsidRPr="00DE096C" w:rsidRDefault="00C47A60" w:rsidP="00D45A46">
      <w:pPr>
        <w:jc w:val="both"/>
        <w:rPr>
          <w:bCs/>
          <w:color w:val="002060"/>
          <w:sz w:val="16"/>
          <w:szCs w:val="16"/>
          <w:lang w:bidi="en-US"/>
        </w:rPr>
      </w:pPr>
    </w:p>
    <w:p w14:paraId="31390375" w14:textId="77777777" w:rsidR="00217D4E" w:rsidRPr="00B52707" w:rsidRDefault="00217D4E" w:rsidP="00217D4E">
      <w:pPr>
        <w:jc w:val="both"/>
        <w:rPr>
          <w:color w:val="0070C0"/>
          <w:sz w:val="16"/>
          <w:szCs w:val="16"/>
        </w:rPr>
      </w:pPr>
      <w:r w:rsidRPr="00B52707">
        <w:rPr>
          <w:color w:val="0070C0"/>
          <w:sz w:val="16"/>
          <w:szCs w:val="16"/>
        </w:rPr>
        <w:t>4 (17) марта 1914 г. в первое заседание Технического Комитета ГВТУ были приглашены не только постоянные и совещательные члены технического комитета, но также летчики и посторонние военному ве</w:t>
      </w:r>
      <w:r w:rsidRPr="00B52707">
        <w:rPr>
          <w:color w:val="0070C0"/>
          <w:sz w:val="16"/>
          <w:szCs w:val="16"/>
        </w:rPr>
        <w:softHyphen/>
        <w:t>домству компетентные лица. Однако, представитель ГУГШ, в ведении которого незадолго перед тем находились все вопросы военного воздухоплавания и которое ближайшим образом должно было быть заинтересовано в выборе той или иной системы аэропланов, в этом заседании не присут</w:t>
      </w:r>
      <w:r w:rsidRPr="00B52707">
        <w:rPr>
          <w:color w:val="0070C0"/>
          <w:sz w:val="16"/>
          <w:szCs w:val="16"/>
        </w:rPr>
        <w:softHyphen/>
        <w:t>ствовал.</w:t>
      </w:r>
    </w:p>
    <w:p w14:paraId="73467598" w14:textId="77777777" w:rsidR="00217D4E" w:rsidRPr="00B52707" w:rsidRDefault="00217D4E" w:rsidP="00217D4E">
      <w:pPr>
        <w:jc w:val="both"/>
        <w:rPr>
          <w:color w:val="0070C0"/>
          <w:sz w:val="16"/>
          <w:szCs w:val="16"/>
        </w:rPr>
      </w:pPr>
      <w:r w:rsidRPr="00B52707">
        <w:rPr>
          <w:color w:val="0070C0"/>
          <w:sz w:val="16"/>
          <w:szCs w:val="16"/>
        </w:rPr>
        <w:t>Разобрав достоинства и недостатки различных систем аэропланов, Технический Комитет пришел к следующим выводам:</w:t>
      </w:r>
    </w:p>
    <w:p w14:paraId="711A3D1B" w14:textId="77777777" w:rsidR="00217D4E" w:rsidRPr="00B52707" w:rsidRDefault="00217D4E" w:rsidP="00217D4E">
      <w:pPr>
        <w:jc w:val="both"/>
        <w:rPr>
          <w:color w:val="0070C0"/>
          <w:sz w:val="16"/>
          <w:szCs w:val="16"/>
        </w:rPr>
      </w:pPr>
      <w:bookmarkStart w:id="10" w:name="bookmark98"/>
      <w:bookmarkEnd w:id="10"/>
      <w:r w:rsidRPr="00B52707">
        <w:rPr>
          <w:color w:val="0070C0"/>
          <w:sz w:val="16"/>
          <w:szCs w:val="16"/>
        </w:rPr>
        <w:t>На снабжение авиационных отрядов одной и той же категории могут допускаться аэропланы различных систем, с тем, чтобы в каждом отдельном авиационном отряде и, по возможности, во всех отрядах одной армии аэропланы были одного и того же типа и системы.</w:t>
      </w:r>
    </w:p>
    <w:p w14:paraId="16A71C70" w14:textId="77777777" w:rsidR="00217D4E" w:rsidRPr="00B52707" w:rsidRDefault="00217D4E" w:rsidP="00217D4E">
      <w:pPr>
        <w:jc w:val="both"/>
        <w:rPr>
          <w:color w:val="0070C0"/>
          <w:sz w:val="16"/>
          <w:szCs w:val="16"/>
        </w:rPr>
      </w:pPr>
      <w:bookmarkStart w:id="11" w:name="bookmark99"/>
      <w:bookmarkEnd w:id="11"/>
      <w:r w:rsidRPr="00B52707">
        <w:rPr>
          <w:color w:val="0070C0"/>
          <w:sz w:val="16"/>
          <w:szCs w:val="16"/>
        </w:rPr>
        <w:t>Для снабжения корпусных авиационных отрядов наметить монопланы: Сикорский XI, Депердюссен и Моран- Парасоль, с тем, чтобы окончательное решение этого во</w:t>
      </w:r>
      <w:r w:rsidRPr="00B52707">
        <w:rPr>
          <w:color w:val="0070C0"/>
          <w:sz w:val="16"/>
          <w:szCs w:val="16"/>
        </w:rPr>
        <w:softHyphen/>
        <w:t>проса состоялось после испытания в полете первого из этих аэропланов.</w:t>
      </w:r>
    </w:p>
    <w:p w14:paraId="23FAB042" w14:textId="77777777" w:rsidR="00217D4E" w:rsidRPr="00B52707" w:rsidRDefault="00217D4E" w:rsidP="00217D4E">
      <w:pPr>
        <w:jc w:val="both"/>
        <w:rPr>
          <w:color w:val="0070C0"/>
          <w:sz w:val="16"/>
          <w:szCs w:val="16"/>
        </w:rPr>
      </w:pPr>
      <w:bookmarkStart w:id="12" w:name="bookmark100"/>
      <w:bookmarkEnd w:id="12"/>
      <w:r w:rsidRPr="00B52707">
        <w:rPr>
          <w:color w:val="0070C0"/>
          <w:sz w:val="16"/>
          <w:szCs w:val="16"/>
        </w:rPr>
        <w:t>Для снабжения крепостных и полевых авиационных отрядов следует заказать 14 аэропланов системы Вуазен, прочее же число аппаратов заказать типов: Сикорский X и Фармап XXII, в равных между собою количествах.</w:t>
      </w:r>
    </w:p>
    <w:p w14:paraId="634896F6" w14:textId="77777777" w:rsidR="00217D4E" w:rsidRPr="00B52707" w:rsidRDefault="00217D4E" w:rsidP="00217D4E">
      <w:pPr>
        <w:jc w:val="both"/>
        <w:rPr>
          <w:color w:val="0070C0"/>
          <w:sz w:val="16"/>
          <w:szCs w:val="16"/>
        </w:rPr>
      </w:pPr>
      <w:bookmarkStart w:id="13" w:name="bookmark101"/>
      <w:bookmarkEnd w:id="13"/>
      <w:r w:rsidRPr="00B52707">
        <w:rPr>
          <w:color w:val="0070C0"/>
          <w:sz w:val="16"/>
          <w:szCs w:val="16"/>
        </w:rPr>
        <w:t>Для снабжения отрядов особого назначения сле</w:t>
      </w:r>
      <w:r w:rsidRPr="00B52707">
        <w:rPr>
          <w:color w:val="0070C0"/>
          <w:sz w:val="16"/>
          <w:szCs w:val="16"/>
        </w:rPr>
        <w:softHyphen/>
        <w:t>дует заказать одноместные аэропланы системы Моран- Сольнье.</w:t>
      </w:r>
    </w:p>
    <w:p w14:paraId="72D4440A" w14:textId="77777777" w:rsidR="00217D4E" w:rsidRPr="00B52707" w:rsidRDefault="00217D4E" w:rsidP="00217D4E">
      <w:pPr>
        <w:jc w:val="both"/>
        <w:rPr>
          <w:color w:val="0070C0"/>
          <w:sz w:val="16"/>
          <w:szCs w:val="16"/>
        </w:rPr>
      </w:pPr>
      <w:bookmarkStart w:id="14" w:name="bookmark102"/>
      <w:bookmarkEnd w:id="14"/>
      <w:r w:rsidRPr="00B52707">
        <w:rPr>
          <w:color w:val="0070C0"/>
          <w:sz w:val="16"/>
          <w:szCs w:val="16"/>
        </w:rPr>
        <w:t>Для практического ознакомления желательно при</w:t>
      </w:r>
      <w:r w:rsidRPr="00B52707">
        <w:rPr>
          <w:color w:val="0070C0"/>
          <w:sz w:val="16"/>
          <w:szCs w:val="16"/>
        </w:rPr>
        <w:softHyphen/>
        <w:t>обрести 2 аэроплана системы Сопвич, 2—системы поручика Кованько и 2—системы Румплер-ТаубеJ) (24923).</w:t>
      </w:r>
    </w:p>
    <w:p w14:paraId="54432A51" w14:textId="77777777" w:rsidR="00217D4E" w:rsidRPr="00B52707" w:rsidRDefault="00217D4E" w:rsidP="00217D4E">
      <w:pPr>
        <w:jc w:val="both"/>
        <w:rPr>
          <w:color w:val="0070C0"/>
          <w:sz w:val="16"/>
          <w:szCs w:val="16"/>
        </w:rPr>
      </w:pPr>
    </w:p>
    <w:p w14:paraId="2FBB5AD7" w14:textId="50F5E8A5" w:rsidR="00217D4E" w:rsidRPr="00B52707" w:rsidRDefault="00217D4E" w:rsidP="00217D4E">
      <w:pPr>
        <w:jc w:val="both"/>
        <w:rPr>
          <w:color w:val="0070C0"/>
          <w:sz w:val="16"/>
          <w:szCs w:val="16"/>
        </w:rPr>
      </w:pPr>
      <w:r w:rsidRPr="00B52707">
        <w:rPr>
          <w:color w:val="0070C0"/>
          <w:sz w:val="16"/>
          <w:szCs w:val="16"/>
        </w:rPr>
        <w:t xml:space="preserve">4 </w:t>
      </w:r>
      <w:r>
        <w:rPr>
          <w:color w:val="0070C0"/>
          <w:sz w:val="16"/>
          <w:szCs w:val="16"/>
        </w:rPr>
        <w:t xml:space="preserve">(17) </w:t>
      </w:r>
      <w:r w:rsidRPr="00B52707">
        <w:rPr>
          <w:color w:val="0070C0"/>
          <w:sz w:val="16"/>
          <w:szCs w:val="16"/>
        </w:rPr>
        <w:t>марта 1914 г Выписка из журнала «Технического комитета ГВТУ» (Главное Военное Техническое Управление) сообщала, что «броня на малых одно- и двухместных аэропланах признана не только бесполезной, но даже вредной». Пулеметы, бомбы и другое вооружение "уместны только для тяжелых самолетов «Илья Муромец». Для «малых аппаратов» рекомендовано «ручное огнестрельное оружие картечного действия» (автоматические ружья) (25147).</w:t>
      </w:r>
    </w:p>
    <w:p w14:paraId="4198B5C9" w14:textId="77777777" w:rsidR="00217D4E" w:rsidRPr="00B52707" w:rsidRDefault="00217D4E" w:rsidP="00217D4E">
      <w:pPr>
        <w:jc w:val="both"/>
        <w:rPr>
          <w:color w:val="0070C0"/>
          <w:sz w:val="16"/>
          <w:szCs w:val="16"/>
        </w:rPr>
      </w:pPr>
    </w:p>
    <w:p w14:paraId="5C360E81"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w:t>
      </w:r>
    </w:p>
    <w:p w14:paraId="20D75723" w14:textId="77777777" w:rsidR="00B67D7C" w:rsidRPr="00DE096C" w:rsidRDefault="00B67D7C" w:rsidP="00D45A46">
      <w:pPr>
        <w:shd w:val="clear" w:color="auto" w:fill="FFFFFF"/>
        <w:jc w:val="both"/>
        <w:rPr>
          <w:bCs/>
          <w:i/>
          <w:color w:val="002060"/>
          <w:sz w:val="16"/>
          <w:szCs w:val="16"/>
        </w:rPr>
      </w:pPr>
    </w:p>
    <w:p w14:paraId="00369F4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5 (18) марта 1914 П.Н.Нестеров перелетел из Одессы в Севастополь посадками в Николаеве и Перекопе, где выступил перед инструкторами и учениками школы с докладом. (Групповой фотоснимок).</w:t>
      </w:r>
    </w:p>
    <w:p w14:paraId="4A88234E" w14:textId="77777777" w:rsidR="00B67D7C" w:rsidRPr="00DE096C" w:rsidRDefault="00B67D7C" w:rsidP="00D45A46">
      <w:pPr>
        <w:shd w:val="clear" w:color="auto" w:fill="FFFFFF"/>
        <w:jc w:val="both"/>
        <w:rPr>
          <w:bCs/>
          <w:color w:val="002060"/>
          <w:sz w:val="16"/>
          <w:szCs w:val="16"/>
        </w:rPr>
      </w:pPr>
    </w:p>
    <w:p w14:paraId="0CD86438" w14:textId="77777777" w:rsidR="003D172F" w:rsidRPr="00DE096C" w:rsidRDefault="003D172F" w:rsidP="00D45A46">
      <w:pPr>
        <w:jc w:val="both"/>
        <w:rPr>
          <w:bCs/>
          <w:color w:val="002060"/>
          <w:sz w:val="16"/>
          <w:szCs w:val="16"/>
        </w:rPr>
      </w:pPr>
      <w:r w:rsidRPr="00DE096C">
        <w:rPr>
          <w:bCs/>
          <w:color w:val="002060"/>
          <w:sz w:val="16"/>
          <w:szCs w:val="16"/>
        </w:rPr>
        <w:t>5 (18) марта 1914 г, П.Н.Нестеров перелетел из Одессы в Севастополь /с по</w:t>
      </w:r>
      <w:r w:rsidRPr="00DE096C">
        <w:rPr>
          <w:bCs/>
          <w:color w:val="002060"/>
          <w:sz w:val="16"/>
          <w:szCs w:val="16"/>
        </w:rPr>
        <w:softHyphen/>
        <w:t>садками в Николаеве и Перекопе/, где выступил пред инструкторами и учениками школы с докладом о своих методах пилотирования и с демонстра</w:t>
      </w:r>
      <w:r w:rsidRPr="00DE096C">
        <w:rPr>
          <w:bCs/>
          <w:color w:val="002060"/>
          <w:sz w:val="16"/>
          <w:szCs w:val="16"/>
        </w:rPr>
        <w:softHyphen/>
        <w:t>цией глубоких виражей и скольжений на крыло.</w:t>
      </w:r>
    </w:p>
    <w:p w14:paraId="648972DC" w14:textId="3291BE46" w:rsidR="003D172F" w:rsidRPr="00DE096C" w:rsidRDefault="003D172F" w:rsidP="00D45A46">
      <w:pPr>
        <w:jc w:val="both"/>
        <w:rPr>
          <w:bCs/>
          <w:color w:val="002060"/>
          <w:sz w:val="16"/>
          <w:szCs w:val="16"/>
        </w:rPr>
      </w:pPr>
      <w:r w:rsidRPr="00DE096C">
        <w:rPr>
          <w:bCs/>
          <w:color w:val="002060"/>
          <w:sz w:val="16"/>
          <w:szCs w:val="16"/>
        </w:rPr>
        <w:t>/Е.Ф.Бурче. Нестеров, 1955/ (23320).</w:t>
      </w:r>
    </w:p>
    <w:p w14:paraId="43DD207B" w14:textId="77777777" w:rsidR="003D172F" w:rsidRPr="00DE096C" w:rsidRDefault="003D172F" w:rsidP="00D45A46">
      <w:pPr>
        <w:shd w:val="clear" w:color="auto" w:fill="FFFFFF"/>
        <w:jc w:val="both"/>
        <w:rPr>
          <w:bCs/>
          <w:i/>
          <w:color w:val="002060"/>
          <w:sz w:val="16"/>
          <w:szCs w:val="16"/>
        </w:rPr>
      </w:pPr>
    </w:p>
    <w:p w14:paraId="63BF44FF" w14:textId="08085CCF"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w:t>
      </w:r>
    </w:p>
    <w:p w14:paraId="3BC6D4D0" w14:textId="77777777" w:rsidR="00B67D7C" w:rsidRPr="00DE096C" w:rsidRDefault="00B67D7C" w:rsidP="00D45A46">
      <w:pPr>
        <w:shd w:val="clear" w:color="auto" w:fill="FFFFFF"/>
        <w:jc w:val="both"/>
        <w:rPr>
          <w:bCs/>
          <w:i/>
          <w:color w:val="002060"/>
          <w:sz w:val="16"/>
          <w:szCs w:val="16"/>
        </w:rPr>
      </w:pPr>
    </w:p>
    <w:p w14:paraId="4F5D9A23" w14:textId="77777777" w:rsidR="006661AB" w:rsidRPr="00DE096C" w:rsidRDefault="006661AB" w:rsidP="00D45A46">
      <w:pPr>
        <w:jc w:val="both"/>
        <w:rPr>
          <w:bCs/>
          <w:color w:val="002060"/>
          <w:sz w:val="16"/>
          <w:szCs w:val="16"/>
        </w:rPr>
      </w:pPr>
      <w:r w:rsidRPr="00DE096C">
        <w:rPr>
          <w:bCs/>
          <w:color w:val="002060"/>
          <w:sz w:val="16"/>
          <w:szCs w:val="16"/>
        </w:rPr>
        <w:t xml:space="preserve">7 (20) марта 1914 года после отправки обоих «Грандов» на Черное море и облета их там, флотскими летчиками к востоку от Фороса был выполнен первый сброс торпеды типа "Л". В начале мая корабль I был передан для дальнейшего использования в Севастопольскую авиашколу. Корабль II продолжал использоваться в основном в учебных целях в Дивизионе воздушных кораблей. </w:t>
      </w:r>
    </w:p>
    <w:p w14:paraId="54EF0588" w14:textId="77777777" w:rsidR="006661AB" w:rsidRPr="00DE096C" w:rsidRDefault="006661AB" w:rsidP="00D45A46">
      <w:pPr>
        <w:jc w:val="both"/>
        <w:rPr>
          <w:bCs/>
          <w:color w:val="002060"/>
          <w:sz w:val="16"/>
          <w:szCs w:val="16"/>
        </w:rPr>
      </w:pPr>
      <w:r w:rsidRPr="00DE096C">
        <w:rPr>
          <w:bCs/>
          <w:color w:val="002060"/>
          <w:sz w:val="16"/>
          <w:szCs w:val="16"/>
        </w:rPr>
        <w:t xml:space="preserve">Летная эксплуатация построенных "Грандов" дала огромный объем информации. На базе полученных знаний и опыта эксплуатации первого "Гранда" уже строилась другая, более совершенная машина. Так русский "Гранд" стал родоначальником всех многомоторных тяжелых самолетов в мире. В заключении стоит заметить что распоряжением морского министра аэропланы следовало именовать "Большой Балтийский I и II". </w:t>
      </w:r>
    </w:p>
    <w:p w14:paraId="70B423EC" w14:textId="77777777" w:rsidR="006661AB" w:rsidRPr="00DE096C" w:rsidRDefault="006661AB" w:rsidP="00D45A46">
      <w:pPr>
        <w:jc w:val="both"/>
        <w:rPr>
          <w:bCs/>
          <w:color w:val="002060"/>
          <w:sz w:val="16"/>
          <w:szCs w:val="16"/>
        </w:rPr>
      </w:pPr>
      <w:r w:rsidRPr="00DE096C">
        <w:rPr>
          <w:bCs/>
          <w:color w:val="002060"/>
          <w:sz w:val="16"/>
          <w:szCs w:val="16"/>
        </w:rPr>
        <w:t xml:space="preserve">ЛТХ: размах крыльев - 27/22 м, длинна 20 м, площадь крыла 120 м.кв., масса пустого самолета 3500 кг, нормальная взлетная 4200 кг, 4 мотора "Аргус" по 100 л.с., макс.скорость 90 км/ч, крейсерская скорость 70 км/ч, дальность 270 км, экипаж 2-7 человек, вооружение: 1-2 ружья пулемета Мадсена, в начале лета в ходе мобилизации июня минная подвеска с кораблей сняты и заменены на сооруженную в севастопольских мастерских импровизированную кассету для сброса бомб (12284). </w:t>
      </w:r>
    </w:p>
    <w:p w14:paraId="49D2F5B1" w14:textId="77777777" w:rsidR="006661AB" w:rsidRPr="00DE096C" w:rsidRDefault="006661AB" w:rsidP="00D45A46">
      <w:pPr>
        <w:jc w:val="both"/>
        <w:rPr>
          <w:bCs/>
          <w:color w:val="002060"/>
          <w:sz w:val="16"/>
          <w:szCs w:val="16"/>
        </w:rPr>
      </w:pPr>
    </w:p>
    <w:p w14:paraId="55DEF1C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7 (20) марта 1914 в Севастопольской авиашколе во время тренировочного полета на самолете "Ньюпор-4" разбился инструктор школы штабс-капитан Дмитрий Георгиевич Андреади.</w:t>
      </w:r>
    </w:p>
    <w:p w14:paraId="64EF0ED3" w14:textId="77777777" w:rsidR="00B67D7C" w:rsidRPr="00DE096C" w:rsidRDefault="00B67D7C" w:rsidP="00D45A46">
      <w:pPr>
        <w:shd w:val="clear" w:color="auto" w:fill="FFFFFF"/>
        <w:jc w:val="both"/>
        <w:rPr>
          <w:bCs/>
          <w:i/>
          <w:color w:val="002060"/>
          <w:sz w:val="16"/>
          <w:szCs w:val="16"/>
        </w:rPr>
      </w:pPr>
      <w:r w:rsidRPr="00DE096C">
        <w:rPr>
          <w:bCs/>
          <w:color w:val="002060"/>
          <w:sz w:val="16"/>
          <w:szCs w:val="16"/>
        </w:rPr>
        <w:t xml:space="preserve">Д.Г.Андреади родился в 1884 году в Симферополе.В 1911 го-окончил Севастопольскую школу и остался там инструктором.Из-|стностъ получил в 1912 году своим перелетом из Севастополя в Петербург, а также участием в первых маневрах с применением авиации </w:t>
      </w:r>
      <w:r w:rsidRPr="00DE096C">
        <w:rPr>
          <w:bCs/>
          <w:i/>
          <w:color w:val="002060"/>
          <w:sz w:val="16"/>
          <w:szCs w:val="16"/>
        </w:rPr>
        <w:t>("Новое время". 1914 г. 16 марта;"Одесский листок". 1914 г. 8 марта).</w:t>
      </w:r>
    </w:p>
    <w:p w14:paraId="4218AE30" w14:textId="77777777" w:rsidR="00B67D7C" w:rsidRPr="00DE096C" w:rsidRDefault="00B67D7C" w:rsidP="00D45A46">
      <w:pPr>
        <w:shd w:val="clear" w:color="auto" w:fill="FFFFFF"/>
        <w:jc w:val="both"/>
        <w:rPr>
          <w:bCs/>
          <w:i/>
          <w:color w:val="002060"/>
          <w:sz w:val="16"/>
          <w:szCs w:val="16"/>
        </w:rPr>
      </w:pPr>
    </w:p>
    <w:p w14:paraId="35AF687E" w14:textId="77777777" w:rsidR="003D172F" w:rsidRPr="00DE096C" w:rsidRDefault="003D172F" w:rsidP="00D45A46">
      <w:pPr>
        <w:jc w:val="both"/>
        <w:rPr>
          <w:bCs/>
          <w:color w:val="002060"/>
          <w:sz w:val="16"/>
          <w:szCs w:val="16"/>
        </w:rPr>
      </w:pPr>
      <w:r w:rsidRPr="00DE096C">
        <w:rPr>
          <w:bCs/>
          <w:color w:val="002060"/>
          <w:sz w:val="16"/>
          <w:szCs w:val="16"/>
        </w:rPr>
        <w:t>7 (20) марта 1914 г. в Севастопольской авиашколе во время тренировочного полета на самолете Ньюпор—4 разбился инструктор школы штабс-ка</w:t>
      </w:r>
      <w:r w:rsidRPr="00DE096C">
        <w:rPr>
          <w:bCs/>
          <w:color w:val="002060"/>
          <w:sz w:val="16"/>
          <w:szCs w:val="16"/>
        </w:rPr>
        <w:softHyphen/>
        <w:t>питан Дмитрий Георгиевич Андреади. Андреади родился в 1884 году в Симферополе. В 1911 году окончил Севастопольскую школу и остался там инструктором. Изве</w:t>
      </w:r>
      <w:r w:rsidRPr="00DE096C">
        <w:rPr>
          <w:bCs/>
          <w:color w:val="002060"/>
          <w:sz w:val="16"/>
          <w:szCs w:val="16"/>
        </w:rPr>
        <w:softHyphen/>
        <w:t>стность получил в 1912 году своим перелетом из Севастополя в Петербург, а такие участием в первых маневрах с применеием авиации</w:t>
      </w:r>
    </w:p>
    <w:p w14:paraId="25486F02" w14:textId="726E0C35" w:rsidR="003D172F" w:rsidRPr="00DE096C" w:rsidRDefault="003D172F" w:rsidP="00D45A46">
      <w:pPr>
        <w:jc w:val="both"/>
        <w:rPr>
          <w:bCs/>
          <w:color w:val="002060"/>
          <w:sz w:val="16"/>
          <w:szCs w:val="16"/>
        </w:rPr>
      </w:pPr>
      <w:r w:rsidRPr="00DE096C">
        <w:rPr>
          <w:bCs/>
          <w:color w:val="002060"/>
          <w:sz w:val="16"/>
          <w:szCs w:val="16"/>
        </w:rPr>
        <w:t>/«Новое время» за 16 марта 1914 г.; "Одесский листок" 8.3.14/ (23320).</w:t>
      </w:r>
    </w:p>
    <w:p w14:paraId="66D77345" w14:textId="77777777" w:rsidR="003D172F" w:rsidRPr="00DE096C" w:rsidRDefault="003D172F" w:rsidP="00D45A46">
      <w:pPr>
        <w:jc w:val="both"/>
        <w:rPr>
          <w:bCs/>
          <w:color w:val="002060"/>
          <w:sz w:val="16"/>
          <w:szCs w:val="16"/>
        </w:rPr>
      </w:pPr>
    </w:p>
    <w:p w14:paraId="36298792" w14:textId="77777777" w:rsidR="00C47A60" w:rsidRPr="00DE096C" w:rsidRDefault="00C47A60" w:rsidP="00D45A46">
      <w:pPr>
        <w:jc w:val="both"/>
        <w:rPr>
          <w:bCs/>
          <w:color w:val="002060"/>
          <w:sz w:val="16"/>
          <w:szCs w:val="16"/>
          <w:lang w:bidi="en-US"/>
        </w:rPr>
      </w:pPr>
      <w:r w:rsidRPr="00DE096C">
        <w:rPr>
          <w:bCs/>
          <w:color w:val="002060"/>
          <w:sz w:val="16"/>
          <w:szCs w:val="16"/>
          <w:lang w:bidi="en-US"/>
        </w:rPr>
        <w:t>21 марта 1914 г. был создан АО «Севастопольская крепость». 13 марта 1915 года он стал 30-м КАО (23525).</w:t>
      </w:r>
    </w:p>
    <w:p w14:paraId="7242BE15" w14:textId="77777777" w:rsidR="00C47A60" w:rsidRPr="00DE096C" w:rsidRDefault="00C47A60" w:rsidP="00D45A46">
      <w:pPr>
        <w:jc w:val="both"/>
        <w:rPr>
          <w:bCs/>
          <w:color w:val="002060"/>
          <w:sz w:val="16"/>
          <w:szCs w:val="16"/>
        </w:rPr>
      </w:pPr>
    </w:p>
    <w:p w14:paraId="47DF32BE" w14:textId="5E68A9C3" w:rsidR="00B67D7C" w:rsidRPr="00DE096C" w:rsidRDefault="00B67D7C" w:rsidP="00D45A46">
      <w:pPr>
        <w:shd w:val="clear" w:color="auto" w:fill="FFFFFF"/>
        <w:jc w:val="both"/>
        <w:rPr>
          <w:bCs/>
          <w:i/>
          <w:color w:val="002060"/>
          <w:sz w:val="16"/>
          <w:szCs w:val="16"/>
        </w:rPr>
      </w:pPr>
      <w:r w:rsidRPr="00DE096C">
        <w:rPr>
          <w:bCs/>
          <w:i/>
          <w:color w:val="002060"/>
          <w:sz w:val="16"/>
          <w:szCs w:val="16"/>
        </w:rPr>
        <w:t>Морская авиация:</w:t>
      </w:r>
    </w:p>
    <w:p w14:paraId="58AA6B8E" w14:textId="77777777" w:rsidR="00B67D7C" w:rsidRPr="00DE096C" w:rsidRDefault="00B67D7C" w:rsidP="00D45A46">
      <w:pPr>
        <w:shd w:val="clear" w:color="auto" w:fill="FFFFFF"/>
        <w:jc w:val="both"/>
        <w:rPr>
          <w:bCs/>
          <w:i/>
          <w:color w:val="002060"/>
          <w:sz w:val="16"/>
          <w:szCs w:val="16"/>
        </w:rPr>
      </w:pPr>
    </w:p>
    <w:p w14:paraId="1CECF9D5" w14:textId="71E0F227" w:rsidR="00B67D7C" w:rsidRPr="00DE096C" w:rsidRDefault="00B67D7C" w:rsidP="00D45A46">
      <w:pPr>
        <w:shd w:val="clear" w:color="auto" w:fill="FFFFFF"/>
        <w:jc w:val="both"/>
        <w:rPr>
          <w:bCs/>
          <w:color w:val="002060"/>
          <w:sz w:val="16"/>
          <w:szCs w:val="16"/>
        </w:rPr>
      </w:pPr>
      <w:r w:rsidRPr="00DE096C">
        <w:rPr>
          <w:bCs/>
          <w:color w:val="002060"/>
          <w:sz w:val="16"/>
          <w:szCs w:val="16"/>
        </w:rPr>
        <w:t>8 (21) марта 1914 года морской министр адмирал Григо</w:t>
      </w:r>
      <w:r w:rsidRPr="00DE096C">
        <w:rPr>
          <w:bCs/>
          <w:color w:val="002060"/>
          <w:sz w:val="16"/>
          <w:szCs w:val="16"/>
        </w:rPr>
        <w:softHyphen/>
        <w:t>рович обратился в Государственную Думу с секретным док</w:t>
      </w:r>
      <w:r w:rsidRPr="00DE096C">
        <w:rPr>
          <w:bCs/>
          <w:color w:val="002060"/>
          <w:sz w:val="16"/>
          <w:szCs w:val="16"/>
        </w:rPr>
        <w:softHyphen/>
        <w:t>ладом о состоянии флотских служб связи и наблюдения, в котором говорилось о срочной необходимости увеличения сети береговых наблюдательных постов, оснащенных техни</w:t>
      </w:r>
      <w:r w:rsidRPr="00DE096C">
        <w:rPr>
          <w:bCs/>
          <w:color w:val="002060"/>
          <w:sz w:val="16"/>
          <w:szCs w:val="16"/>
        </w:rPr>
        <w:softHyphen/>
        <w:t>ческими средствами. К тому же, подчеркивалось там, утверж</w:t>
      </w:r>
      <w:r w:rsidRPr="00DE096C">
        <w:rPr>
          <w:bCs/>
          <w:color w:val="002060"/>
          <w:sz w:val="16"/>
          <w:szCs w:val="16"/>
        </w:rPr>
        <w:softHyphen/>
        <w:t>денное в конце 1909 года «Положение» об устройствах их на побережьях морей не отвечает возросшим требованиям. Бо</w:t>
      </w:r>
      <w:r w:rsidRPr="00DE096C">
        <w:rPr>
          <w:bCs/>
          <w:color w:val="002060"/>
          <w:sz w:val="16"/>
          <w:szCs w:val="16"/>
        </w:rPr>
        <w:softHyphen/>
        <w:t>лее того, придание службе связи авиационных отрядов, раз</w:t>
      </w:r>
      <w:r w:rsidRPr="00DE096C">
        <w:rPr>
          <w:bCs/>
          <w:color w:val="002060"/>
          <w:sz w:val="16"/>
          <w:szCs w:val="16"/>
        </w:rPr>
        <w:softHyphen/>
        <w:t>мещенных на воздушных станциях, может обеспечить веде</w:t>
      </w:r>
      <w:r w:rsidRPr="00DE096C">
        <w:rPr>
          <w:bCs/>
          <w:color w:val="002060"/>
          <w:sz w:val="16"/>
          <w:szCs w:val="16"/>
        </w:rPr>
        <w:softHyphen/>
        <w:t>ние дальней морской разведки.</w:t>
      </w:r>
    </w:p>
    <w:p w14:paraId="4A3932A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«Служба авиации имеет наблюдение за морем и несение раз-ведочно-сторожевой службы за пределами округа действий бе</w:t>
      </w:r>
      <w:r w:rsidRPr="00DE096C">
        <w:rPr>
          <w:bCs/>
          <w:color w:val="002060"/>
          <w:sz w:val="16"/>
          <w:szCs w:val="16"/>
        </w:rPr>
        <w:softHyphen/>
        <w:t>реговых постов, а также борьбу с воздушной разведкой про</w:t>
      </w:r>
      <w:r w:rsidRPr="00DE096C">
        <w:rPr>
          <w:bCs/>
          <w:color w:val="002060"/>
          <w:sz w:val="16"/>
          <w:szCs w:val="16"/>
        </w:rPr>
        <w:softHyphen/>
        <w:t>тивника, - сообщалось в докладе. - Значение авиации для чисто боевых целей, то есть прямого нападения на противника по-средствам метания взрывных снарядов или стрельбы, в на</w:t>
      </w:r>
      <w:r w:rsidRPr="00DE096C">
        <w:rPr>
          <w:bCs/>
          <w:color w:val="002060"/>
          <w:sz w:val="16"/>
          <w:szCs w:val="16"/>
        </w:rPr>
        <w:softHyphen/>
        <w:t>стоящее время не настолько еще выяснено на опыте, чтобы ставить эти действия в прямую обязанность авиационных ча</w:t>
      </w:r>
      <w:r w:rsidRPr="00DE096C">
        <w:rPr>
          <w:bCs/>
          <w:color w:val="002060"/>
          <w:sz w:val="16"/>
          <w:szCs w:val="16"/>
        </w:rPr>
        <w:softHyphen/>
        <w:t>стей, но активно-боевые действия предусматриваются».</w:t>
      </w:r>
    </w:p>
    <w:p w14:paraId="0F58F51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Далее в докладе содержались краткие сведения о будущей организационной структуре службы авиации, табелях снабже</w:t>
      </w:r>
      <w:r w:rsidRPr="00DE096C">
        <w:rPr>
          <w:bCs/>
          <w:color w:val="002060"/>
          <w:sz w:val="16"/>
          <w:szCs w:val="16"/>
        </w:rPr>
        <w:softHyphen/>
        <w:t>ния, штатных расписаниях воздушных станций и авиацион</w:t>
      </w:r>
      <w:r w:rsidRPr="00DE096C">
        <w:rPr>
          <w:bCs/>
          <w:color w:val="002060"/>
          <w:sz w:val="16"/>
          <w:szCs w:val="16"/>
        </w:rPr>
        <w:softHyphen/>
        <w:t>ных отрядов. На формирование службы авиации и развитие службы связи в 1914 году запрашивалось соответственно 298 и 82 тысячи рублей, тогда как раньше на последнюю отпуска</w:t>
      </w:r>
      <w:r w:rsidRPr="00DE096C">
        <w:rPr>
          <w:bCs/>
          <w:color w:val="002060"/>
          <w:sz w:val="16"/>
          <w:szCs w:val="16"/>
        </w:rPr>
        <w:softHyphen/>
        <w:t>лось всего 54 тысячи рублей. Причем расходы на приобрете</w:t>
      </w:r>
      <w:r w:rsidRPr="00DE096C">
        <w:rPr>
          <w:bCs/>
          <w:color w:val="002060"/>
          <w:sz w:val="16"/>
          <w:szCs w:val="16"/>
        </w:rPr>
        <w:softHyphen/>
        <w:t>ние и ремонт технических средств, на обучение летно-техни-ческого персонала в указанные суммы не входили.</w:t>
      </w:r>
    </w:p>
    <w:p w14:paraId="62BED3E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На основании этого доклада, законодательный отдел ГМТТТ тогда же разослал в законодательные и исполнительные уч</w:t>
      </w:r>
      <w:r w:rsidRPr="00DE096C">
        <w:rPr>
          <w:bCs/>
          <w:color w:val="002060"/>
          <w:sz w:val="16"/>
          <w:szCs w:val="16"/>
        </w:rPr>
        <w:softHyphen/>
        <w:t>реждения пятьсот экземпляров секретной объяснительной за</w:t>
      </w:r>
      <w:r w:rsidRPr="00DE096C">
        <w:rPr>
          <w:bCs/>
          <w:color w:val="002060"/>
          <w:sz w:val="16"/>
          <w:szCs w:val="16"/>
        </w:rPr>
        <w:softHyphen/>
        <w:t>писки для более глубокого ознакомления с конкретными пла</w:t>
      </w:r>
      <w:r w:rsidRPr="00DE096C">
        <w:rPr>
          <w:bCs/>
          <w:color w:val="002060"/>
          <w:sz w:val="16"/>
          <w:szCs w:val="16"/>
        </w:rPr>
        <w:softHyphen/>
        <w:t xml:space="preserve">нами развития гидроавиации на флотах и потребными расходами. В полученных </w:t>
      </w:r>
      <w:r w:rsidRPr="00DE096C">
        <w:rPr>
          <w:bCs/>
          <w:color w:val="002060"/>
          <w:sz w:val="16"/>
          <w:szCs w:val="16"/>
        </w:rPr>
        <w:lastRenderedPageBreak/>
        <w:t>членами Госдумы, Госсовета, Совмина текстах законопроекта «Об отпуске Морскому министерству из государственной казны средств на содержание службы свя</w:t>
      </w:r>
      <w:r w:rsidRPr="00DE096C">
        <w:rPr>
          <w:bCs/>
          <w:color w:val="002060"/>
          <w:sz w:val="16"/>
          <w:szCs w:val="16"/>
        </w:rPr>
        <w:softHyphen/>
        <w:t>зи и авиации» были приведены следующие данные.</w:t>
      </w:r>
    </w:p>
    <w:p w14:paraId="4DD37A3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Предусматривалось к концу текущего года создать: на Чер</w:t>
      </w:r>
      <w:r w:rsidRPr="00DE096C">
        <w:rPr>
          <w:bCs/>
          <w:color w:val="002060"/>
          <w:sz w:val="16"/>
          <w:szCs w:val="16"/>
        </w:rPr>
        <w:softHyphen/>
        <w:t>номорском флоте - два воздушных района с пятью авиацион</w:t>
      </w:r>
      <w:r w:rsidRPr="00DE096C">
        <w:rPr>
          <w:bCs/>
          <w:color w:val="002060"/>
          <w:sz w:val="16"/>
          <w:szCs w:val="16"/>
        </w:rPr>
        <w:softHyphen/>
        <w:t>ными станциями, имеющими 30 аэропланов и 28 пилотов; на Балтийском флоте - один район с двумя станциями, 12 аэро</w:t>
      </w:r>
      <w:r w:rsidRPr="00DE096C">
        <w:rPr>
          <w:bCs/>
          <w:color w:val="002060"/>
          <w:sz w:val="16"/>
          <w:szCs w:val="16"/>
        </w:rPr>
        <w:softHyphen/>
        <w:t>планами и 10 пилотами. Общая численность начальствующе</w:t>
      </w:r>
      <w:r w:rsidRPr="00DE096C">
        <w:rPr>
          <w:bCs/>
          <w:color w:val="002060"/>
          <w:sz w:val="16"/>
          <w:szCs w:val="16"/>
        </w:rPr>
        <w:softHyphen/>
        <w:t>го и технического персонала всей службы авиации должна была состоять из 34 офицеров, 7 кондукторов и 128 унтер-офицеров, преимущественно сверхсрочников, прошедших обу</w:t>
      </w:r>
      <w:r w:rsidRPr="00DE096C">
        <w:rPr>
          <w:bCs/>
          <w:color w:val="002060"/>
          <w:sz w:val="16"/>
          <w:szCs w:val="16"/>
        </w:rPr>
        <w:softHyphen/>
        <w:t>чение по специальностям.</w:t>
      </w:r>
    </w:p>
    <w:p w14:paraId="4504662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Председатель Совета Министров статс-секретарь В. Коковцев заверил своего коллегу адмирала И. Григоровича, что боль</w:t>
      </w:r>
      <w:r w:rsidRPr="00DE096C">
        <w:rPr>
          <w:bCs/>
          <w:color w:val="002060"/>
          <w:sz w:val="16"/>
          <w:szCs w:val="16"/>
        </w:rPr>
        <w:softHyphen/>
        <w:t>шинство членов правительства находят рассмотренный про</w:t>
      </w:r>
      <w:r w:rsidRPr="00DE096C">
        <w:rPr>
          <w:bCs/>
          <w:color w:val="002060"/>
          <w:sz w:val="16"/>
          <w:szCs w:val="16"/>
        </w:rPr>
        <w:softHyphen/>
        <w:t>ект отвечающим нуждам возрождающего российского флота. После долгих обсуждений программы создания авиационных средств на Балтийском и Черном морях, считая последнее более важным в интересах внешней политики, Государствен</w:t>
      </w:r>
      <w:r w:rsidRPr="00DE096C">
        <w:rPr>
          <w:bCs/>
          <w:color w:val="002060"/>
          <w:sz w:val="16"/>
          <w:szCs w:val="16"/>
        </w:rPr>
        <w:softHyphen/>
        <w:t>ная Дума согласилась отпустить на эти цели около 1 милли</w:t>
      </w:r>
      <w:r w:rsidRPr="00DE096C">
        <w:rPr>
          <w:bCs/>
          <w:color w:val="002060"/>
          <w:sz w:val="16"/>
          <w:szCs w:val="16"/>
        </w:rPr>
        <w:softHyphen/>
        <w:t>она 150 тысяч рублей.</w:t>
      </w:r>
    </w:p>
    <w:p w14:paraId="54CF954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Большая часть их приходилась на капитальное строитель</w:t>
      </w:r>
      <w:r w:rsidRPr="00DE096C">
        <w:rPr>
          <w:bCs/>
          <w:color w:val="002060"/>
          <w:sz w:val="16"/>
          <w:szCs w:val="16"/>
        </w:rPr>
        <w:softHyphen/>
        <w:t>ство и оборудование авиационных станций, что наглядней вид</w:t>
      </w:r>
      <w:r w:rsidRPr="00DE096C">
        <w:rPr>
          <w:bCs/>
          <w:color w:val="002060"/>
          <w:sz w:val="16"/>
          <w:szCs w:val="16"/>
        </w:rPr>
        <w:softHyphen/>
        <w:t>но на примере ассигнований для Черноморского флота.</w:t>
      </w:r>
    </w:p>
    <w:p w14:paraId="3A9F681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Для Северного воздушного района, где предстояло создать 3 постоянные (Днестровскую, Ак-Мечетскую и Севастопольс</w:t>
      </w:r>
      <w:r w:rsidRPr="00DE096C">
        <w:rPr>
          <w:bCs/>
          <w:color w:val="002060"/>
          <w:sz w:val="16"/>
          <w:szCs w:val="16"/>
        </w:rPr>
        <w:softHyphen/>
        <w:t>кую) и 2 временные (Золотокарскую и Тендровскую) станции требовалось соответственно выделить 368,8 и 17,2 тысячи руб</w:t>
      </w:r>
      <w:r w:rsidRPr="00DE096C">
        <w:rPr>
          <w:bCs/>
          <w:color w:val="002060"/>
          <w:sz w:val="16"/>
          <w:szCs w:val="16"/>
        </w:rPr>
        <w:softHyphen/>
        <w:t>лей. Для Восточного района, где планировалось создать 2 по</w:t>
      </w:r>
      <w:r w:rsidRPr="00DE096C">
        <w:rPr>
          <w:bCs/>
          <w:color w:val="002060"/>
          <w:sz w:val="16"/>
          <w:szCs w:val="16"/>
        </w:rPr>
        <w:softHyphen/>
        <w:t>стоянные (Керченскую и Потийскую) и две временные (Сухум</w:t>
      </w:r>
      <w:r w:rsidRPr="00DE096C">
        <w:rPr>
          <w:bCs/>
          <w:color w:val="002060"/>
          <w:sz w:val="16"/>
          <w:szCs w:val="16"/>
        </w:rPr>
        <w:softHyphen/>
        <w:t>скую и Батумскую) станции требовалось 296,8 и 18,7 тысяч рублей.</w:t>
      </w:r>
    </w:p>
    <w:p w14:paraId="106A02C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Северном районе считалось достаточным к лету 1914 года иметь три авиационных отряда с 18 гидропланами, кото</w:t>
      </w:r>
      <w:r w:rsidRPr="00DE096C">
        <w:rPr>
          <w:bCs/>
          <w:color w:val="002060"/>
          <w:sz w:val="16"/>
          <w:szCs w:val="16"/>
        </w:rPr>
        <w:softHyphen/>
        <w:t>рые будут использоваться круглогодично из расчета 6 полет</w:t>
      </w:r>
      <w:r w:rsidRPr="00DE096C">
        <w:rPr>
          <w:bCs/>
          <w:color w:val="002060"/>
          <w:sz w:val="16"/>
          <w:szCs w:val="16"/>
        </w:rPr>
        <w:softHyphen/>
        <w:t>ных часов в месяц на каждый аппарат. К осени в Восточном районе предполагалось сформировать два отряда с 12 гидро</w:t>
      </w:r>
      <w:r w:rsidRPr="00DE096C">
        <w:rPr>
          <w:bCs/>
          <w:color w:val="002060"/>
          <w:sz w:val="16"/>
          <w:szCs w:val="16"/>
        </w:rPr>
        <w:softHyphen/>
        <w:t>аэропланами, которые намечалось использовать в течение вось</w:t>
      </w:r>
      <w:r w:rsidRPr="00DE096C">
        <w:rPr>
          <w:bCs/>
          <w:color w:val="002060"/>
          <w:sz w:val="16"/>
          <w:szCs w:val="16"/>
        </w:rPr>
        <w:softHyphen/>
        <w:t>ми месяцев в том же режиме. Один полетный день у офицеров приравнивался к двум служебным с определенной добавкой к жалованию.</w:t>
      </w:r>
    </w:p>
    <w:p w14:paraId="4DF8F81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Фактически же на побережье внешней Круглой бухты уда</w:t>
      </w:r>
      <w:r w:rsidRPr="00DE096C">
        <w:rPr>
          <w:bCs/>
          <w:color w:val="002060"/>
          <w:sz w:val="16"/>
          <w:szCs w:val="16"/>
        </w:rPr>
        <w:softHyphen/>
        <w:t>лось создать лишь Севастопольскую авиастанцию, располага</w:t>
      </w:r>
      <w:r w:rsidRPr="00DE096C">
        <w:rPr>
          <w:bCs/>
          <w:color w:val="002060"/>
          <w:sz w:val="16"/>
          <w:szCs w:val="16"/>
        </w:rPr>
        <w:softHyphen/>
        <w:t>ющую двумя боевыми и резервным авиаотрядами, укомплек</w:t>
      </w:r>
      <w:r w:rsidRPr="00DE096C">
        <w:rPr>
          <w:bCs/>
          <w:color w:val="002060"/>
          <w:sz w:val="16"/>
          <w:szCs w:val="16"/>
        </w:rPr>
        <w:softHyphen/>
        <w:t>тованными 10 вполне исправными и 6 менее надежными гидроаэропланами, на которых разведывательные полеты со</w:t>
      </w:r>
      <w:r w:rsidRPr="00DE096C">
        <w:rPr>
          <w:bCs/>
          <w:color w:val="002060"/>
          <w:sz w:val="16"/>
          <w:szCs w:val="16"/>
        </w:rPr>
        <w:softHyphen/>
        <w:t>вершали 12 пилотов и 3 ученика. На авиастанции были пост</w:t>
      </w:r>
      <w:r w:rsidRPr="00DE096C">
        <w:rPr>
          <w:bCs/>
          <w:color w:val="002060"/>
          <w:sz w:val="16"/>
          <w:szCs w:val="16"/>
        </w:rPr>
        <w:softHyphen/>
        <w:t>роены ангары для летательных аппаратов, ремонтные мастер</w:t>
      </w:r>
      <w:r w:rsidRPr="00DE096C">
        <w:rPr>
          <w:bCs/>
          <w:color w:val="002060"/>
          <w:sz w:val="16"/>
          <w:szCs w:val="16"/>
        </w:rPr>
        <w:softHyphen/>
        <w:t>ские, служебные и жилые помещения. Там же находилась и канцелярия Северного воздушного района. Первый боевой (прибрежный) отряд имел 6 аппаратов: 3 «Кертисс-Д» и 3 «Моран-Сонье». В отряде служили 5 пилотов - офицеров и 12 нижних чинов - механиков и подручных. Второй боевой (корабельный) отряд имел 4 «Кертисс-Д», пред</w:t>
      </w:r>
      <w:r w:rsidRPr="00DE096C">
        <w:rPr>
          <w:bCs/>
          <w:color w:val="002060"/>
          <w:sz w:val="16"/>
          <w:szCs w:val="16"/>
        </w:rPr>
        <w:softHyphen/>
        <w:t>назначенных для передачи на крейсера перед выходом эскад</w:t>
      </w:r>
      <w:r w:rsidRPr="00DE096C">
        <w:rPr>
          <w:bCs/>
          <w:color w:val="002060"/>
          <w:sz w:val="16"/>
          <w:szCs w:val="16"/>
        </w:rPr>
        <w:softHyphen/>
        <w:t>ры в море. В отряде служили 4 пилота - офицера и 12 ниж</w:t>
      </w:r>
      <w:r w:rsidRPr="00DE096C">
        <w:rPr>
          <w:bCs/>
          <w:color w:val="002060"/>
          <w:sz w:val="16"/>
          <w:szCs w:val="16"/>
        </w:rPr>
        <w:softHyphen/>
        <w:t>них чинов. Резервный отряд имел аппараты «Кертисс-Е» (11283).</w:t>
      </w:r>
    </w:p>
    <w:p w14:paraId="63515600" w14:textId="77777777" w:rsidR="00B67D7C" w:rsidRPr="00DE096C" w:rsidRDefault="00B67D7C" w:rsidP="00D45A46">
      <w:pPr>
        <w:shd w:val="clear" w:color="auto" w:fill="FFFFFF"/>
        <w:jc w:val="both"/>
        <w:rPr>
          <w:bCs/>
          <w:color w:val="002060"/>
          <w:sz w:val="16"/>
          <w:szCs w:val="16"/>
        </w:rPr>
      </w:pPr>
    </w:p>
    <w:p w14:paraId="425D362F" w14:textId="77777777" w:rsidR="009B46D9" w:rsidRPr="00DE096C" w:rsidRDefault="009B46D9" w:rsidP="00D45A46">
      <w:pPr>
        <w:shd w:val="clear" w:color="auto" w:fill="FFFFFF"/>
        <w:jc w:val="both"/>
        <w:rPr>
          <w:bCs/>
          <w:i/>
          <w:color w:val="002060"/>
          <w:sz w:val="16"/>
          <w:szCs w:val="16"/>
        </w:rPr>
      </w:pPr>
      <w:r w:rsidRPr="00DE096C">
        <w:rPr>
          <w:bCs/>
          <w:i/>
          <w:color w:val="002060"/>
          <w:sz w:val="16"/>
          <w:szCs w:val="16"/>
        </w:rPr>
        <w:t>Авиация:</w:t>
      </w:r>
    </w:p>
    <w:p w14:paraId="0CF49067" w14:textId="77777777" w:rsidR="009B46D9" w:rsidRPr="00DE096C" w:rsidRDefault="009B46D9" w:rsidP="00D45A46">
      <w:pPr>
        <w:shd w:val="clear" w:color="auto" w:fill="FFFFFF"/>
        <w:jc w:val="both"/>
        <w:rPr>
          <w:bCs/>
          <w:i/>
          <w:color w:val="002060"/>
          <w:sz w:val="16"/>
          <w:szCs w:val="16"/>
        </w:rPr>
      </w:pPr>
    </w:p>
    <w:p w14:paraId="42F5B2C9" w14:textId="0513A0A8" w:rsidR="00C47A60" w:rsidRPr="00DE096C" w:rsidRDefault="00C47A60" w:rsidP="00D45A46">
      <w:pPr>
        <w:jc w:val="both"/>
        <w:rPr>
          <w:bCs/>
          <w:color w:val="002060"/>
          <w:sz w:val="16"/>
          <w:szCs w:val="16"/>
        </w:rPr>
      </w:pPr>
      <w:r w:rsidRPr="00DE096C">
        <w:rPr>
          <w:bCs/>
          <w:color w:val="002060"/>
          <w:sz w:val="16"/>
          <w:szCs w:val="16"/>
          <w:lang w:bidi="en-US"/>
        </w:rPr>
        <w:t>10 (23) марта 1914 г. были созданы следующие части: 2-й КАО, 3-й КАО, 4-й КАО, 6-й КАО, 10-й КАО, 20-й КАО и 21-й КАО (23525).</w:t>
      </w:r>
    </w:p>
    <w:p w14:paraId="66D8A4A8" w14:textId="77777777" w:rsidR="00C47A60" w:rsidRPr="00DE096C" w:rsidRDefault="00C47A60" w:rsidP="00D45A46">
      <w:pPr>
        <w:jc w:val="both"/>
        <w:rPr>
          <w:bCs/>
          <w:color w:val="002060"/>
          <w:sz w:val="16"/>
          <w:szCs w:val="16"/>
          <w:lang w:bidi="en-US"/>
        </w:rPr>
      </w:pPr>
    </w:p>
    <w:p w14:paraId="1D548567" w14:textId="61A362A4" w:rsidR="009B46D9" w:rsidRPr="00DE096C" w:rsidRDefault="009B46D9" w:rsidP="00D45A46">
      <w:pPr>
        <w:pStyle w:val="2"/>
        <w:spacing w:before="0" w:after="0"/>
        <w:jc w:val="both"/>
        <w:rPr>
          <w:b w:val="0"/>
          <w:bCs/>
          <w:color w:val="002060"/>
          <w:sz w:val="16"/>
          <w:szCs w:val="16"/>
        </w:rPr>
      </w:pPr>
      <w:r w:rsidRPr="00DE096C">
        <w:rPr>
          <w:b w:val="0"/>
          <w:bCs/>
          <w:color w:val="002060"/>
          <w:sz w:val="16"/>
          <w:szCs w:val="16"/>
        </w:rPr>
        <w:t xml:space="preserve">10 </w:t>
      </w:r>
      <w:r w:rsidR="002A06B1" w:rsidRPr="00DE096C">
        <w:rPr>
          <w:b w:val="0"/>
          <w:bCs/>
          <w:color w:val="002060"/>
          <w:sz w:val="16"/>
          <w:szCs w:val="16"/>
        </w:rPr>
        <w:t xml:space="preserve">(23) </w:t>
      </w:r>
      <w:r w:rsidRPr="00DE096C">
        <w:rPr>
          <w:b w:val="0"/>
          <w:bCs/>
          <w:color w:val="002060"/>
          <w:sz w:val="16"/>
          <w:szCs w:val="16"/>
        </w:rPr>
        <w:t>марта 1914 состоялось многолюдное собрание пилотов, председательствовал Г.В.Алехнович. На повестке дня стоял всего один вопрос — «об организации профессионального союза частных летчиков, членами которого могли бы быть исключительно авиаторы». Было решено, что «новое общество, помимо защиты профессиональных интересов своих членов, должно преследовать и этические задачи, должно образовать авиационный «суд чести» и заботиться о развитии русского воздухоплавания. Избрана комиссия по разработке устава нового общества» (15464).</w:t>
      </w:r>
    </w:p>
    <w:p w14:paraId="4E8E8CEB" w14:textId="77777777" w:rsidR="009B46D9" w:rsidRPr="00DE096C" w:rsidRDefault="009B46D9" w:rsidP="00D45A46">
      <w:pPr>
        <w:pStyle w:val="2"/>
        <w:spacing w:before="0" w:after="0"/>
        <w:jc w:val="both"/>
        <w:rPr>
          <w:b w:val="0"/>
          <w:bCs/>
          <w:color w:val="002060"/>
          <w:sz w:val="16"/>
          <w:szCs w:val="16"/>
        </w:rPr>
      </w:pPr>
    </w:p>
    <w:p w14:paraId="0B22BF96" w14:textId="77777777" w:rsidR="00036E63" w:rsidRPr="00DE096C" w:rsidRDefault="00036E63" w:rsidP="00D45A46">
      <w:pPr>
        <w:jc w:val="both"/>
        <w:rPr>
          <w:bCs/>
          <w:color w:val="002060"/>
          <w:sz w:val="16"/>
          <w:szCs w:val="16"/>
        </w:rPr>
      </w:pPr>
      <w:r w:rsidRPr="00DE096C">
        <w:rPr>
          <w:bCs/>
          <w:color w:val="002060"/>
          <w:sz w:val="16"/>
          <w:szCs w:val="16"/>
        </w:rPr>
        <w:t>10 (23) марта 1914 г. на отчетном собрании членов ВАК было констатировано прогрессирующее уменьшение числа членов. С момента организации ВАК количество членов сократилось более чем вдвое, в основном по причине бюрократизма и замкнутости руководства. По предложе</w:t>
      </w:r>
      <w:r w:rsidRPr="00DE096C">
        <w:rPr>
          <w:bCs/>
          <w:color w:val="002060"/>
          <w:sz w:val="16"/>
          <w:szCs w:val="16"/>
        </w:rPr>
        <w:softHyphen/>
        <w:t>нию летчика Г.В.Алехновича был поставлен вопрос о создании про</w:t>
      </w:r>
      <w:r w:rsidRPr="00DE096C">
        <w:rPr>
          <w:bCs/>
          <w:color w:val="002060"/>
          <w:sz w:val="16"/>
          <w:szCs w:val="16"/>
        </w:rPr>
        <w:softHyphen/>
        <w:t>фессионального союза частных летчиков, членами которого могли бы быть исключительно гражданские пилоты-авиаторы. Летчики признали организацию такого союза необходимым, однако, союз не был создан.</w:t>
      </w:r>
    </w:p>
    <w:p w14:paraId="4F1C9B02" w14:textId="77777777" w:rsidR="00036E63" w:rsidRPr="00DE096C" w:rsidRDefault="00036E63" w:rsidP="00D45A46">
      <w:pPr>
        <w:jc w:val="both"/>
        <w:rPr>
          <w:bCs/>
          <w:color w:val="002060"/>
          <w:sz w:val="16"/>
          <w:szCs w:val="16"/>
        </w:rPr>
      </w:pPr>
      <w:r w:rsidRPr="00DE096C">
        <w:rPr>
          <w:bCs/>
          <w:color w:val="002060"/>
          <w:sz w:val="16"/>
          <w:szCs w:val="16"/>
        </w:rPr>
        <w:t>/"Известия Николаевской военной академии", 1914; "Петербург</w:t>
      </w:r>
      <w:r w:rsidRPr="00DE096C">
        <w:rPr>
          <w:bCs/>
          <w:color w:val="002060"/>
          <w:sz w:val="16"/>
          <w:szCs w:val="16"/>
        </w:rPr>
        <w:softHyphen/>
        <w:t>ский курьер" за 12 марта 1914 г./ (23320).</w:t>
      </w:r>
    </w:p>
    <w:p w14:paraId="17737A70" w14:textId="77777777" w:rsidR="00036E63" w:rsidRPr="00DE096C" w:rsidRDefault="00036E63" w:rsidP="00D45A46">
      <w:pPr>
        <w:jc w:val="both"/>
        <w:rPr>
          <w:bCs/>
          <w:color w:val="002060"/>
          <w:sz w:val="16"/>
          <w:szCs w:val="16"/>
        </w:rPr>
      </w:pPr>
    </w:p>
    <w:p w14:paraId="4DC0FEAB"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7FF6C427" w14:textId="77777777" w:rsidR="00B67D7C" w:rsidRPr="00DE096C" w:rsidRDefault="00B67D7C" w:rsidP="00D45A46">
      <w:pPr>
        <w:shd w:val="clear" w:color="auto" w:fill="FFFFFF"/>
        <w:jc w:val="both"/>
        <w:rPr>
          <w:bCs/>
          <w:i/>
          <w:color w:val="002060"/>
          <w:sz w:val="16"/>
          <w:szCs w:val="16"/>
        </w:rPr>
      </w:pPr>
    </w:p>
    <w:p w14:paraId="4CCB1CA6" w14:textId="77777777" w:rsidR="00757524" w:rsidRPr="00B52707" w:rsidRDefault="00757524" w:rsidP="00757524">
      <w:pPr>
        <w:jc w:val="both"/>
        <w:rPr>
          <w:color w:val="0070C0"/>
          <w:sz w:val="16"/>
          <w:szCs w:val="16"/>
        </w:rPr>
      </w:pPr>
      <w:r w:rsidRPr="00B52707">
        <w:rPr>
          <w:color w:val="0070C0"/>
          <w:sz w:val="16"/>
          <w:szCs w:val="16"/>
        </w:rPr>
        <w:t>11 (24) марта 1914 года после испытания аэроплана Сикорский XI Техни</w:t>
      </w:r>
      <w:r w:rsidRPr="00B52707">
        <w:rPr>
          <w:color w:val="0070C0"/>
          <w:sz w:val="16"/>
          <w:szCs w:val="16"/>
        </w:rPr>
        <w:softHyphen/>
        <w:t>ческий Комитет ГВТУ в заседании признал соответственным заказать для снабжения корпусных авиа</w:t>
      </w:r>
      <w:r w:rsidRPr="00B52707">
        <w:rPr>
          <w:color w:val="0070C0"/>
          <w:sz w:val="16"/>
          <w:szCs w:val="16"/>
        </w:rPr>
        <w:softHyphen/>
        <w:t>ционных отрядов 48 аппаратов системы Депердюссен, 42 аппа</w:t>
      </w:r>
      <w:r w:rsidRPr="00B52707">
        <w:rPr>
          <w:color w:val="0070C0"/>
          <w:sz w:val="16"/>
          <w:szCs w:val="16"/>
        </w:rPr>
        <w:softHyphen/>
        <w:t>рата системы Моран-Парасоль и 42 аппарата системы Спкорский XI, поставив при заказе этих аэропланов всем им близкие между собою технические требования общего характера.</w:t>
      </w:r>
    </w:p>
    <w:p w14:paraId="2716EC71" w14:textId="77777777" w:rsidR="00757524" w:rsidRPr="00B52707" w:rsidRDefault="00757524" w:rsidP="00757524">
      <w:pPr>
        <w:jc w:val="both"/>
        <w:rPr>
          <w:color w:val="0070C0"/>
          <w:sz w:val="16"/>
          <w:szCs w:val="16"/>
        </w:rPr>
      </w:pPr>
      <w:r w:rsidRPr="00B52707">
        <w:rPr>
          <w:color w:val="0070C0"/>
          <w:sz w:val="16"/>
          <w:szCs w:val="16"/>
        </w:rPr>
        <w:t>Таким образом, по мнению Технического Комитета, заказ аэропланов для снабжения корпусных отрядов следо</w:t>
      </w:r>
      <w:r w:rsidRPr="00B52707">
        <w:rPr>
          <w:color w:val="0070C0"/>
          <w:sz w:val="16"/>
          <w:szCs w:val="16"/>
        </w:rPr>
        <w:softHyphen/>
        <w:t>вало распределить почти поровну между тремя упомяну</w:t>
      </w:r>
      <w:r w:rsidRPr="00B52707">
        <w:rPr>
          <w:color w:val="0070C0"/>
          <w:sz w:val="16"/>
          <w:szCs w:val="16"/>
        </w:rPr>
        <w:softHyphen/>
        <w:t>тыми системами. В журнале заседая я было отмечено, что это мнение основано на том соображении, что «прямого широкого опыта с аппаратами всех трех систем в авиа</w:t>
      </w:r>
      <w:r w:rsidRPr="00B52707">
        <w:rPr>
          <w:color w:val="0070C0"/>
          <w:sz w:val="16"/>
          <w:szCs w:val="16"/>
        </w:rPr>
        <w:softHyphen/>
        <w:t>ционных частях нашей армии еще не было, вследствие чего и нет достаточных оснований к преимущественному предпочтению одной из этих систем другой».</w:t>
      </w:r>
    </w:p>
    <w:p w14:paraId="35796040" w14:textId="77777777" w:rsidR="00757524" w:rsidRPr="00B52707" w:rsidRDefault="00757524" w:rsidP="00757524">
      <w:pPr>
        <w:jc w:val="both"/>
        <w:rPr>
          <w:color w:val="0070C0"/>
          <w:sz w:val="16"/>
          <w:szCs w:val="16"/>
        </w:rPr>
      </w:pPr>
      <w:r w:rsidRPr="00B52707">
        <w:rPr>
          <w:color w:val="0070C0"/>
          <w:sz w:val="16"/>
          <w:szCs w:val="16"/>
        </w:rPr>
        <w:t>При распределения упомянутого заказа, изготовлять -аппараты Сикорского первоначально взялся только Русско- Балтийский вагонный завод, но затем и тот отказался по</w:t>
      </w:r>
      <w:r w:rsidRPr="00B52707">
        <w:rPr>
          <w:color w:val="0070C0"/>
          <w:sz w:val="16"/>
          <w:szCs w:val="16"/>
        </w:rPr>
        <w:softHyphen/>
        <w:t>строить все 42 аэроплана к назначенному сроку (к 15 сен</w:t>
      </w:r>
      <w:r w:rsidRPr="00B52707">
        <w:rPr>
          <w:color w:val="0070C0"/>
          <w:sz w:val="16"/>
          <w:szCs w:val="16"/>
        </w:rPr>
        <w:softHyphen/>
        <w:t>тября 1914 года).</w:t>
      </w:r>
    </w:p>
    <w:p w14:paraId="0C6E4FBE" w14:textId="77777777" w:rsidR="00757524" w:rsidRPr="00B52707" w:rsidRDefault="00757524" w:rsidP="00757524">
      <w:pPr>
        <w:jc w:val="both"/>
        <w:rPr>
          <w:color w:val="0070C0"/>
          <w:sz w:val="16"/>
          <w:szCs w:val="16"/>
        </w:rPr>
      </w:pPr>
      <w:r w:rsidRPr="00B52707">
        <w:rPr>
          <w:color w:val="0070C0"/>
          <w:sz w:val="16"/>
          <w:szCs w:val="16"/>
        </w:rPr>
        <w:t>Вследствие этого Технический Комитет в заседании 18 марта того же года высказал мнение о необходимости заказать для снабжения корпусных отрядов по 60 аппаратов систем Депердюссен и Моран-Парасоль и 12 аэропланов Сикорского. Но и двенадцати аппаратов Русско-Балтийский вагонный завод не изготовил и взамен этого заказа обя</w:t>
      </w:r>
      <w:r w:rsidRPr="00B52707">
        <w:rPr>
          <w:color w:val="0070C0"/>
          <w:sz w:val="16"/>
          <w:szCs w:val="16"/>
        </w:rPr>
        <w:softHyphen/>
        <w:t>зался построить несколько воздушные кораблей типа «Илья Муромец».</w:t>
      </w:r>
    </w:p>
    <w:p w14:paraId="7EF5F35A" w14:textId="77777777" w:rsidR="00757524" w:rsidRPr="00B52707" w:rsidRDefault="00757524" w:rsidP="00757524">
      <w:pPr>
        <w:jc w:val="both"/>
        <w:rPr>
          <w:color w:val="0070C0"/>
          <w:sz w:val="16"/>
          <w:szCs w:val="16"/>
        </w:rPr>
      </w:pPr>
      <w:r w:rsidRPr="00B52707">
        <w:rPr>
          <w:color w:val="0070C0"/>
          <w:sz w:val="16"/>
          <w:szCs w:val="16"/>
        </w:rPr>
        <w:t>Упомянутые системы Технический Комитет выбрал для снабжения авиационных отрядов по следующим основаниям.</w:t>
      </w:r>
    </w:p>
    <w:p w14:paraId="3C85C0E7" w14:textId="77777777" w:rsidR="00757524" w:rsidRPr="00B52707" w:rsidRDefault="00757524" w:rsidP="00757524">
      <w:pPr>
        <w:jc w:val="both"/>
        <w:rPr>
          <w:color w:val="0070C0"/>
          <w:sz w:val="16"/>
          <w:szCs w:val="16"/>
        </w:rPr>
      </w:pPr>
      <w:r w:rsidRPr="00B52707">
        <w:rPr>
          <w:color w:val="0070C0"/>
          <w:sz w:val="16"/>
          <w:szCs w:val="16"/>
        </w:rPr>
        <w:t>Относительно аэропланов системы Депердюссен было высказано то соображение, что опи на конкурсном испы</w:t>
      </w:r>
      <w:r w:rsidRPr="00B52707">
        <w:rPr>
          <w:color w:val="0070C0"/>
          <w:sz w:val="16"/>
          <w:szCs w:val="16"/>
        </w:rPr>
        <w:softHyphen/>
        <w:t>тании, имевшем место в 1913 году в Петербурге, получили наивысшую отметку, и что, будучи испытаны в продолжение нескольких ле»1 во французской армии, опи остались на ее снабжении, при чем в 1914 году французское военное ведомство вновь заказало некоторое число их для своих авиационных частей. Затем, присутствовавший в заседании комитета профессор Боклевский заявил, что, по имеющимся у него отзывам вполне компетентных лиц, аэроплан системы Депердюссен теоретически лучше обоснован, чем аэроплан Сикорского.</w:t>
      </w:r>
    </w:p>
    <w:p w14:paraId="72462579" w14:textId="77777777" w:rsidR="00757524" w:rsidRPr="00B52707" w:rsidRDefault="00757524" w:rsidP="00757524">
      <w:pPr>
        <w:jc w:val="both"/>
        <w:rPr>
          <w:color w:val="0070C0"/>
          <w:sz w:val="16"/>
          <w:szCs w:val="16"/>
        </w:rPr>
      </w:pPr>
      <w:r w:rsidRPr="00B52707">
        <w:rPr>
          <w:color w:val="0070C0"/>
          <w:sz w:val="16"/>
          <w:szCs w:val="16"/>
        </w:rPr>
        <w:t>В пользу принятия на снабжение авиационных отрядов аэропланов Сикорского, получивших так же, как и аэропланы системы Депердюссен, на конкурсном испытании наивысшую отметку, в Техническом Комитете было высказано, между прочим, соображение чисто практического характера. По мнению Комитета, хотя эта система была испытана только на конкурсе, причем подвергся испытанию лишь образцовый экземпляр, но так как аэропланы Сикорского являются про</w:t>
      </w:r>
      <w:r w:rsidRPr="00B52707">
        <w:rPr>
          <w:color w:val="0070C0"/>
          <w:sz w:val="16"/>
          <w:szCs w:val="16"/>
        </w:rPr>
        <w:softHyphen/>
        <w:t>дуктом русского творчества то массовое их производство возможно организовать под личным руководством изобре</w:t>
      </w:r>
      <w:r w:rsidRPr="00B52707">
        <w:rPr>
          <w:color w:val="0070C0"/>
          <w:sz w:val="16"/>
          <w:szCs w:val="16"/>
        </w:rPr>
        <w:softHyphen/>
        <w:t>тателя, что может обещать получение аппаратов, вполне подходящих к их образцу, тогда как при копировке аппа</w:t>
      </w:r>
      <w:r w:rsidRPr="00B52707">
        <w:rPr>
          <w:color w:val="0070C0"/>
          <w:sz w:val="16"/>
          <w:szCs w:val="16"/>
        </w:rPr>
        <w:softHyphen/>
        <w:t>ратов системы Депердюссен русскими заводами качества изготовленных ими аэропланов могут быть ниже качеств заграничного оригинала.</w:t>
      </w:r>
    </w:p>
    <w:p w14:paraId="08187EB5" w14:textId="77777777" w:rsidR="00757524" w:rsidRPr="00B52707" w:rsidRDefault="00757524" w:rsidP="00757524">
      <w:pPr>
        <w:jc w:val="both"/>
        <w:rPr>
          <w:color w:val="0070C0"/>
          <w:sz w:val="16"/>
          <w:szCs w:val="16"/>
        </w:rPr>
      </w:pPr>
      <w:r w:rsidRPr="00B52707">
        <w:rPr>
          <w:color w:val="0070C0"/>
          <w:sz w:val="16"/>
          <w:szCs w:val="16"/>
        </w:rPr>
        <w:t>Относительно аппарата Моран-Сольнье было выска</w:t>
      </w:r>
      <w:r w:rsidRPr="00B52707">
        <w:rPr>
          <w:color w:val="0070C0"/>
          <w:sz w:val="16"/>
          <w:szCs w:val="16"/>
        </w:rPr>
        <w:softHyphen/>
        <w:t>зано, что, по имеющимся данным, этот аппарат следует признать обладающим весьма высокими летными каче</w:t>
      </w:r>
      <w:r w:rsidRPr="00B52707">
        <w:rPr>
          <w:color w:val="0070C0"/>
          <w:sz w:val="16"/>
          <w:szCs w:val="16"/>
        </w:rPr>
        <w:softHyphen/>
        <w:t>ствами и вполне пригодным для принятия в армии в качестве одноместного аэроплана, предназначенного для быстрых сообщений.</w:t>
      </w:r>
    </w:p>
    <w:p w14:paraId="2EC1A106" w14:textId="77777777" w:rsidR="00757524" w:rsidRPr="00B52707" w:rsidRDefault="00757524" w:rsidP="00757524">
      <w:pPr>
        <w:jc w:val="both"/>
        <w:rPr>
          <w:color w:val="0070C0"/>
          <w:sz w:val="16"/>
          <w:szCs w:val="16"/>
        </w:rPr>
      </w:pPr>
      <w:r w:rsidRPr="00B52707">
        <w:rPr>
          <w:color w:val="0070C0"/>
          <w:sz w:val="16"/>
          <w:szCs w:val="16"/>
        </w:rPr>
        <w:t>Что касается совершенно не подвергавшихся у нас испытанию аэропланов систем Моран-Парасоль и Вуазен, то в журналах Комитета отмечено было только, что этим аппаратам уделяется большое внимание во Франции, и что за введение первых из этих аппаратов на снабжение кор</w:t>
      </w:r>
      <w:r w:rsidRPr="00B52707">
        <w:rPr>
          <w:color w:val="0070C0"/>
          <w:sz w:val="16"/>
          <w:szCs w:val="16"/>
        </w:rPr>
        <w:softHyphen/>
        <w:t>пусных авиационных отрядов высказалось десять из числа двенадцати опрошенных компетентных лиц.</w:t>
      </w:r>
    </w:p>
    <w:p w14:paraId="554B30A8" w14:textId="77777777" w:rsidR="00757524" w:rsidRPr="00B52707" w:rsidRDefault="00757524" w:rsidP="00757524">
      <w:pPr>
        <w:jc w:val="both"/>
        <w:rPr>
          <w:color w:val="0070C0"/>
          <w:sz w:val="16"/>
          <w:szCs w:val="16"/>
        </w:rPr>
      </w:pPr>
      <w:r w:rsidRPr="00B52707">
        <w:rPr>
          <w:color w:val="0070C0"/>
          <w:sz w:val="16"/>
          <w:szCs w:val="16"/>
        </w:rPr>
        <w:t>Следует заметить, что до решения вопроса о заказе аэропланов системы Депердюссен возникли некоторые со</w:t>
      </w:r>
      <w:r w:rsidRPr="00B52707">
        <w:rPr>
          <w:color w:val="0070C0"/>
          <w:sz w:val="16"/>
          <w:szCs w:val="16"/>
        </w:rPr>
        <w:softHyphen/>
        <w:t>мнения в их пригодности, вследствие чего ГВТУ нашло необходимым соблюсти известного рода осторожность при решении этого вопроса (24923).</w:t>
      </w:r>
    </w:p>
    <w:p w14:paraId="40966FD4" w14:textId="77777777" w:rsidR="00757524" w:rsidRPr="00B52707" w:rsidRDefault="00757524" w:rsidP="00757524">
      <w:pPr>
        <w:jc w:val="both"/>
        <w:rPr>
          <w:color w:val="0070C0"/>
          <w:sz w:val="16"/>
          <w:szCs w:val="16"/>
        </w:rPr>
      </w:pPr>
    </w:p>
    <w:p w14:paraId="0B6D1698" w14:textId="35CC24E6" w:rsidR="002A06B1" w:rsidRPr="00DE096C" w:rsidRDefault="002A06B1" w:rsidP="00D45A46">
      <w:pPr>
        <w:shd w:val="clear" w:color="auto" w:fill="FFFFFF"/>
        <w:jc w:val="both"/>
        <w:rPr>
          <w:bCs/>
          <w:color w:val="002060"/>
          <w:sz w:val="16"/>
          <w:szCs w:val="16"/>
        </w:rPr>
      </w:pPr>
      <w:r w:rsidRPr="00DE096C">
        <w:rPr>
          <w:bCs/>
          <w:color w:val="002060"/>
          <w:sz w:val="16"/>
          <w:szCs w:val="16"/>
        </w:rPr>
        <w:t>11 (24), 4 (17) и 18 (31) марта 1914 г. февральские предложения генерала Болотова трижды рассматривались на заседаниях Технического комитета ГВТУ. На них из-за межведомственных трений отсутствовали представители Генштаба, в том числе и бывший начальник Воздухоплава</w:t>
      </w:r>
      <w:r w:rsidRPr="00DE096C">
        <w:rPr>
          <w:bCs/>
          <w:color w:val="002060"/>
          <w:sz w:val="16"/>
          <w:szCs w:val="16"/>
        </w:rPr>
        <w:softHyphen/>
        <w:t>тельной части Шишкевич. В результате обсуждения вопроса «О типах...» пришли к вы</w:t>
      </w:r>
      <w:r w:rsidRPr="00DE096C">
        <w:rPr>
          <w:bCs/>
          <w:color w:val="002060"/>
          <w:sz w:val="16"/>
          <w:szCs w:val="16"/>
        </w:rPr>
        <w:softHyphen/>
        <w:t>воду, что следует заказать для полевых (армейских) и крепостных отрядов самолёты: «Вуазен», «Сикорский-Х» и «Фарман-ХХИ», а для корпусных отрядов — «Депердюссен», «Моран-Парасоль» и «Сикорский-Х1». Для отрядов особого назначения предусматрива</w:t>
      </w:r>
      <w:r w:rsidRPr="00DE096C">
        <w:rPr>
          <w:bCs/>
          <w:color w:val="002060"/>
          <w:sz w:val="16"/>
          <w:szCs w:val="16"/>
        </w:rPr>
        <w:softHyphen/>
        <w:t>лось сделать заказы на одноместные «Моран-Сольнье».</w:t>
      </w:r>
    </w:p>
    <w:p w14:paraId="730876E5" w14:textId="77777777" w:rsidR="002A06B1" w:rsidRPr="00DE096C" w:rsidRDefault="002A06B1" w:rsidP="00D45A46">
      <w:pPr>
        <w:shd w:val="clear" w:color="auto" w:fill="FFFFFF"/>
        <w:jc w:val="both"/>
        <w:rPr>
          <w:bCs/>
          <w:color w:val="002060"/>
          <w:sz w:val="16"/>
          <w:szCs w:val="16"/>
        </w:rPr>
      </w:pPr>
      <w:r w:rsidRPr="00DE096C">
        <w:rPr>
          <w:bCs/>
          <w:color w:val="002060"/>
          <w:sz w:val="16"/>
          <w:szCs w:val="16"/>
        </w:rPr>
        <w:t>Так менее чем за полгода, обозначив «новую позицию» в вопросе о вооружении лета</w:t>
      </w:r>
      <w:r w:rsidRPr="00DE096C">
        <w:rPr>
          <w:bCs/>
          <w:color w:val="002060"/>
          <w:sz w:val="16"/>
          <w:szCs w:val="16"/>
        </w:rPr>
        <w:softHyphen/>
        <w:t>тельных аппаратов, «похоронили» пионерские работы по вооружению и бронированию са</w:t>
      </w:r>
      <w:r w:rsidRPr="00DE096C">
        <w:rPr>
          <w:bCs/>
          <w:color w:val="002060"/>
          <w:sz w:val="16"/>
          <w:szCs w:val="16"/>
        </w:rPr>
        <w:softHyphen/>
        <w:t>молётов, проводившиеся в 1912-1913 гг. под руководством Шишкевича. Понятно, что при таком подходе Шишкевичу уже не было места в новой структуре ГВТУ. Печальным итогом стало то, что начавшуюся летом 1914 г. Первую мировую войну русская боевая авиация встретила невооруженной, что и заставило П.Н. Нестерова пожертвовать собой, совершая первый в мире воздушный таран.</w:t>
      </w:r>
    </w:p>
    <w:p w14:paraId="26C61971" w14:textId="77777777" w:rsidR="002A06B1" w:rsidRPr="00DE096C" w:rsidRDefault="002A06B1" w:rsidP="00D45A46">
      <w:pPr>
        <w:shd w:val="clear" w:color="auto" w:fill="FFFFFF"/>
        <w:jc w:val="both"/>
        <w:rPr>
          <w:bCs/>
          <w:color w:val="002060"/>
          <w:sz w:val="16"/>
          <w:szCs w:val="16"/>
        </w:rPr>
      </w:pPr>
      <w:r w:rsidRPr="00DE096C">
        <w:rPr>
          <w:bCs/>
          <w:color w:val="002060"/>
          <w:sz w:val="16"/>
          <w:szCs w:val="16"/>
        </w:rPr>
        <w:lastRenderedPageBreak/>
        <w:t>Вероятно, именно это имел в виду В.Б. Шавров, когда писал, что «с первых же дней войны стали сказываться тяжёлые просчеты, преступные упущения и крупнейшие не</w:t>
      </w:r>
      <w:r w:rsidRPr="00DE096C">
        <w:rPr>
          <w:bCs/>
          <w:color w:val="002060"/>
          <w:sz w:val="16"/>
          <w:szCs w:val="16"/>
        </w:rPr>
        <w:softHyphen/>
        <w:t>достатки в руководстве русской авиацией...» (Шавров В.Б. История конструкций самолётов в СССР до 1938 г. М., 1978. С. 151.)</w:t>
      </w:r>
      <w:r w:rsidRPr="00DE096C">
        <w:rPr>
          <w:bCs/>
          <w:color w:val="002060"/>
          <w:sz w:val="16"/>
          <w:szCs w:val="16"/>
          <w:vertAlign w:val="superscript"/>
        </w:rPr>
        <w:t>10</w:t>
      </w:r>
      <w:r w:rsidRPr="00DE096C">
        <w:rPr>
          <w:bCs/>
          <w:color w:val="002060"/>
          <w:sz w:val="16"/>
          <w:szCs w:val="16"/>
        </w:rPr>
        <w:t>.</w:t>
      </w:r>
    </w:p>
    <w:p w14:paraId="18CACD69" w14:textId="77777777" w:rsidR="002A06B1" w:rsidRPr="00DE096C" w:rsidRDefault="002A06B1" w:rsidP="00D45A46">
      <w:pPr>
        <w:shd w:val="clear" w:color="auto" w:fill="FFFFFF"/>
        <w:jc w:val="both"/>
        <w:rPr>
          <w:bCs/>
          <w:color w:val="002060"/>
          <w:sz w:val="16"/>
          <w:szCs w:val="16"/>
        </w:rPr>
      </w:pPr>
      <w:r w:rsidRPr="00DE096C">
        <w:rPr>
          <w:bCs/>
          <w:color w:val="002060"/>
          <w:sz w:val="16"/>
          <w:szCs w:val="16"/>
        </w:rPr>
        <w:t>Кстати, именно М.И. Шишкевич высказал мысль о целесообразности 30-суточного ареста Нестерова за выполнение «мертвой петли«. Так что не все было гладко у «ге</w:t>
      </w:r>
      <w:r w:rsidRPr="00DE096C">
        <w:rPr>
          <w:bCs/>
          <w:color w:val="002060"/>
          <w:sz w:val="16"/>
          <w:szCs w:val="16"/>
        </w:rPr>
        <w:softHyphen/>
        <w:t>нерала от авиации« с перспективами её развития. Но в целом его деятельность на по</w:t>
      </w:r>
      <w:r w:rsidRPr="00DE096C">
        <w:rPr>
          <w:bCs/>
          <w:color w:val="002060"/>
          <w:sz w:val="16"/>
          <w:szCs w:val="16"/>
        </w:rPr>
        <w:softHyphen/>
        <w:t>сту начальника Воздухоплавательной части ГУ ГШ в 1912-1913 гг. следует оценивать весьма высоко. Несколько слов о его дальнейшей судьбе.</w:t>
      </w:r>
    </w:p>
    <w:p w14:paraId="3736E1F4" w14:textId="77777777" w:rsidR="002A06B1" w:rsidRPr="00DE096C" w:rsidRDefault="002A06B1" w:rsidP="00D45A46">
      <w:pPr>
        <w:shd w:val="clear" w:color="auto" w:fill="FFFFFF"/>
        <w:jc w:val="both"/>
        <w:rPr>
          <w:bCs/>
          <w:color w:val="002060"/>
          <w:sz w:val="16"/>
          <w:szCs w:val="16"/>
        </w:rPr>
      </w:pPr>
      <w:r w:rsidRPr="00DE096C">
        <w:rPr>
          <w:bCs/>
          <w:color w:val="002060"/>
          <w:sz w:val="16"/>
          <w:szCs w:val="16"/>
        </w:rPr>
        <w:t>Во время первой мировой войны Шишкевич служил начальником штаба 7-й, 11-й и Дунайской армий, 2 декабря 1916г. стал начальником штаба Румынского фронта. В ян</w:t>
      </w:r>
      <w:r w:rsidRPr="00DE096C">
        <w:rPr>
          <w:bCs/>
          <w:color w:val="002060"/>
          <w:sz w:val="16"/>
          <w:szCs w:val="16"/>
        </w:rPr>
        <w:softHyphen/>
        <w:t>варе 1916 г. получил звание генерал-лейтенанта и 16 августа 1916 г. был награжден ор</w:t>
      </w:r>
      <w:r w:rsidRPr="00DE096C">
        <w:rPr>
          <w:bCs/>
          <w:color w:val="002060"/>
          <w:sz w:val="16"/>
          <w:szCs w:val="16"/>
        </w:rPr>
        <w:softHyphen/>
        <w:t>деном Св. Георгия 4-й степени. 29 апреля 1917 г. 55-летний генерал по болезни был «зачислен в резерв чинов«, а приказом по Московскому округу от 27 ноября 1917 г. уволен в отставку. Проживал в Москве по адресу Остоженка, д. 10, кв. 11 (РГВИА. Ф. 409ПС. Д. 151-522. 76)</w:t>
      </w:r>
      <w:r w:rsidRPr="00DE096C">
        <w:rPr>
          <w:bCs/>
          <w:color w:val="002060"/>
          <w:sz w:val="16"/>
          <w:szCs w:val="16"/>
          <w:vertAlign w:val="superscript"/>
        </w:rPr>
        <w:t>11</w:t>
      </w:r>
      <w:r w:rsidRPr="00DE096C">
        <w:rPr>
          <w:bCs/>
          <w:color w:val="002060"/>
          <w:sz w:val="16"/>
          <w:szCs w:val="16"/>
        </w:rPr>
        <w:t>.</w:t>
      </w:r>
    </w:p>
    <w:p w14:paraId="4F8718F1" w14:textId="77777777" w:rsidR="002A06B1" w:rsidRPr="00DE096C" w:rsidRDefault="002A06B1" w:rsidP="00D45A46">
      <w:pPr>
        <w:shd w:val="clear" w:color="auto" w:fill="FFFFFF"/>
        <w:jc w:val="both"/>
        <w:rPr>
          <w:bCs/>
          <w:color w:val="002060"/>
          <w:sz w:val="16"/>
          <w:szCs w:val="16"/>
        </w:rPr>
      </w:pPr>
      <w:r w:rsidRPr="00DE096C">
        <w:rPr>
          <w:bCs/>
          <w:color w:val="002060"/>
          <w:sz w:val="16"/>
          <w:szCs w:val="16"/>
        </w:rPr>
        <w:t>С этого адреса 14 июня 1918 г. в пенсионный отдел Главного штаба он отправил про</w:t>
      </w:r>
      <w:r w:rsidRPr="00DE096C">
        <w:rPr>
          <w:bCs/>
          <w:color w:val="002060"/>
          <w:sz w:val="16"/>
          <w:szCs w:val="16"/>
        </w:rPr>
        <w:softHyphen/>
        <w:t>шение о назначении пенсии. В течение месяца ранее служившему в МВО боевому ге</w:t>
      </w:r>
      <w:r w:rsidRPr="00DE096C">
        <w:rPr>
          <w:bCs/>
          <w:color w:val="002060"/>
          <w:sz w:val="16"/>
          <w:szCs w:val="16"/>
        </w:rPr>
        <w:softHyphen/>
        <w:t>нералу и кавалеру назначили пенсию из военной эмеритальной кассы и из Московской казенной палаты. По довоенным меркам сумма в 3600 руб. (2097+1503) могла считать</w:t>
      </w:r>
      <w:r w:rsidRPr="00DE096C">
        <w:rPr>
          <w:bCs/>
          <w:color w:val="002060"/>
          <w:sz w:val="16"/>
          <w:szCs w:val="16"/>
        </w:rPr>
        <w:softHyphen/>
        <w:t>ся вполне достаточной, но дело происходило в середине 1918 г.! Даже удивительно, что ещё функционировали финансовые структуры старого военного ведомства. Пенсионное дело Шишкевича закрыли 23 июля 1918 г., и неизвестно, получал ли от советской вла</w:t>
      </w:r>
      <w:r w:rsidRPr="00DE096C">
        <w:rPr>
          <w:bCs/>
          <w:color w:val="002060"/>
          <w:sz w:val="16"/>
          <w:szCs w:val="16"/>
        </w:rPr>
        <w:softHyphen/>
        <w:t>сти какие-либо выплаты царский генерал. Впрочем, в условиях бешеной инфляции во время гражданской войны этой суммы могло не хватить и на коробок спичек.</w:t>
      </w:r>
    </w:p>
    <w:p w14:paraId="0CD4C473" w14:textId="77777777" w:rsidR="002A06B1" w:rsidRPr="00DE096C" w:rsidRDefault="002A06B1" w:rsidP="00D45A46">
      <w:pPr>
        <w:shd w:val="clear" w:color="auto" w:fill="FFFFFF"/>
        <w:jc w:val="both"/>
        <w:rPr>
          <w:bCs/>
          <w:color w:val="002060"/>
          <w:sz w:val="16"/>
          <w:szCs w:val="16"/>
        </w:rPr>
      </w:pPr>
      <w:r w:rsidRPr="00DE096C">
        <w:rPr>
          <w:bCs/>
          <w:color w:val="002060"/>
          <w:sz w:val="16"/>
          <w:szCs w:val="16"/>
        </w:rPr>
        <w:t>Сведений о последних годах жизни первого генерала от авиации М.И. Шишкевича пока не найдено (11696).</w:t>
      </w:r>
    </w:p>
    <w:p w14:paraId="59811CA8" w14:textId="77777777" w:rsidR="002A06B1" w:rsidRPr="00DE096C" w:rsidRDefault="002A06B1" w:rsidP="00D45A46">
      <w:pPr>
        <w:shd w:val="clear" w:color="auto" w:fill="FFFFFF"/>
        <w:jc w:val="both"/>
        <w:rPr>
          <w:bCs/>
          <w:color w:val="002060"/>
          <w:sz w:val="16"/>
          <w:szCs w:val="16"/>
        </w:rPr>
      </w:pPr>
    </w:p>
    <w:p w14:paraId="260AE5FA" w14:textId="78E0888E" w:rsidR="00C47A60" w:rsidRPr="00DE096C" w:rsidRDefault="00C47A60" w:rsidP="00D45A46">
      <w:pPr>
        <w:jc w:val="both"/>
        <w:rPr>
          <w:bCs/>
          <w:color w:val="002060"/>
          <w:sz w:val="16"/>
          <w:szCs w:val="16"/>
        </w:rPr>
      </w:pPr>
      <w:r w:rsidRPr="00DE096C">
        <w:rPr>
          <w:bCs/>
          <w:color w:val="002060"/>
          <w:sz w:val="16"/>
          <w:szCs w:val="16"/>
          <w:lang w:bidi="en-US"/>
        </w:rPr>
        <w:t xml:space="preserve">11 (24) марта 1914 г. Технический комитет Главного военно-технического управления принял решение заказать для КАО сорок восемь </w:t>
      </w:r>
      <w:r w:rsidRPr="00DE096C">
        <w:rPr>
          <w:bCs/>
          <w:color w:val="002060"/>
          <w:sz w:val="16"/>
          <w:szCs w:val="16"/>
          <w:lang w:val="en-US" w:bidi="en-US"/>
        </w:rPr>
        <w:t>Deperdussins</w:t>
      </w:r>
      <w:r w:rsidRPr="00DE096C">
        <w:rPr>
          <w:bCs/>
          <w:color w:val="002060"/>
          <w:sz w:val="16"/>
          <w:szCs w:val="16"/>
          <w:lang w:bidi="en-US"/>
        </w:rPr>
        <w:t xml:space="preserve">, сорок два </w:t>
      </w:r>
      <w:r w:rsidRPr="00DE096C">
        <w:rPr>
          <w:bCs/>
          <w:color w:val="002060"/>
          <w:sz w:val="16"/>
          <w:szCs w:val="16"/>
          <w:lang w:val="en-US" w:bidi="en-US"/>
        </w:rPr>
        <w:t>Morane</w:t>
      </w:r>
      <w:r w:rsidRPr="00DE096C">
        <w:rPr>
          <w:bCs/>
          <w:color w:val="002060"/>
          <w:sz w:val="16"/>
          <w:szCs w:val="16"/>
          <w:lang w:bidi="en-US"/>
        </w:rPr>
        <w:t xml:space="preserve"> </w:t>
      </w:r>
      <w:r w:rsidRPr="00DE096C">
        <w:rPr>
          <w:bCs/>
          <w:color w:val="002060"/>
          <w:sz w:val="16"/>
          <w:szCs w:val="16"/>
          <w:lang w:val="en-US" w:bidi="en-US"/>
        </w:rPr>
        <w:t>Parasol</w:t>
      </w:r>
      <w:r w:rsidRPr="00DE096C">
        <w:rPr>
          <w:bCs/>
          <w:color w:val="002060"/>
          <w:sz w:val="16"/>
          <w:szCs w:val="16"/>
          <w:lang w:bidi="en-US"/>
        </w:rPr>
        <w:t xml:space="preserve"> и сорок два </w:t>
      </w:r>
      <w:r w:rsidRPr="00DE096C">
        <w:rPr>
          <w:bCs/>
          <w:color w:val="002060"/>
          <w:sz w:val="16"/>
          <w:szCs w:val="16"/>
          <w:lang w:val="en-US" w:bidi="en-US"/>
        </w:rPr>
        <w:t>Sikorsky</w:t>
      </w:r>
      <w:r w:rsidRPr="00DE096C">
        <w:rPr>
          <w:bCs/>
          <w:color w:val="002060"/>
          <w:sz w:val="16"/>
          <w:szCs w:val="16"/>
          <w:lang w:bidi="en-US"/>
        </w:rPr>
        <w:t xml:space="preserve"> </w:t>
      </w:r>
      <w:r w:rsidRPr="00DE096C">
        <w:rPr>
          <w:bCs/>
          <w:color w:val="002060"/>
          <w:sz w:val="16"/>
          <w:szCs w:val="16"/>
          <w:lang w:val="en-US" w:bidi="en-US"/>
        </w:rPr>
        <w:t>Sl</w:t>
      </w:r>
      <w:r w:rsidRPr="00DE096C">
        <w:rPr>
          <w:bCs/>
          <w:color w:val="002060"/>
          <w:sz w:val="16"/>
          <w:szCs w:val="16"/>
          <w:lang w:bidi="en-US"/>
        </w:rPr>
        <w:t xml:space="preserve"> </w:t>
      </w:r>
      <w:r w:rsidRPr="00DE096C">
        <w:rPr>
          <w:bCs/>
          <w:color w:val="002060"/>
          <w:sz w:val="16"/>
          <w:szCs w:val="16"/>
          <w:lang w:val="en-US" w:bidi="en-US"/>
        </w:rPr>
        <w:t>Is</w:t>
      </w:r>
      <w:r w:rsidRPr="00DE096C">
        <w:rPr>
          <w:bCs/>
          <w:color w:val="002060"/>
          <w:sz w:val="16"/>
          <w:szCs w:val="16"/>
          <w:lang w:bidi="en-US"/>
        </w:rPr>
        <w:t xml:space="preserve">, а также равное количество бипланов </w:t>
      </w:r>
      <w:r w:rsidRPr="00DE096C">
        <w:rPr>
          <w:bCs/>
          <w:color w:val="002060"/>
          <w:sz w:val="16"/>
          <w:szCs w:val="16"/>
          <w:lang w:val="en-US" w:bidi="en-US"/>
        </w:rPr>
        <w:t>Voisin</w:t>
      </w:r>
      <w:r w:rsidRPr="00DE096C">
        <w:rPr>
          <w:bCs/>
          <w:color w:val="002060"/>
          <w:sz w:val="16"/>
          <w:szCs w:val="16"/>
          <w:lang w:bidi="en-US"/>
        </w:rPr>
        <w:t xml:space="preserve">, </w:t>
      </w:r>
      <w:r w:rsidRPr="00DE096C">
        <w:rPr>
          <w:bCs/>
          <w:color w:val="002060"/>
          <w:sz w:val="16"/>
          <w:szCs w:val="16"/>
          <w:lang w:val="en-US" w:bidi="en-US"/>
        </w:rPr>
        <w:t>Farman</w:t>
      </w:r>
      <w:r w:rsidRPr="00DE096C">
        <w:rPr>
          <w:bCs/>
          <w:color w:val="002060"/>
          <w:sz w:val="16"/>
          <w:szCs w:val="16"/>
          <w:lang w:bidi="en-US"/>
        </w:rPr>
        <w:t xml:space="preserve"> и </w:t>
      </w:r>
      <w:r w:rsidRPr="00DE096C">
        <w:rPr>
          <w:bCs/>
          <w:color w:val="002060"/>
          <w:sz w:val="16"/>
          <w:szCs w:val="16"/>
          <w:lang w:val="en-US" w:bidi="en-US"/>
        </w:rPr>
        <w:t>Sikorsky</w:t>
      </w:r>
      <w:r w:rsidRPr="00DE096C">
        <w:rPr>
          <w:bCs/>
          <w:color w:val="002060"/>
          <w:sz w:val="16"/>
          <w:szCs w:val="16"/>
          <w:lang w:bidi="en-US"/>
        </w:rPr>
        <w:t>. заказан для Крепостного и Полевого АО (23525).</w:t>
      </w:r>
    </w:p>
    <w:p w14:paraId="0B2564E4" w14:textId="77777777" w:rsidR="00C47A60" w:rsidRPr="00DE096C" w:rsidRDefault="00C47A60" w:rsidP="00D45A46">
      <w:pPr>
        <w:jc w:val="both"/>
        <w:rPr>
          <w:bCs/>
          <w:color w:val="002060"/>
          <w:sz w:val="16"/>
          <w:szCs w:val="16"/>
          <w:lang w:bidi="en-US"/>
        </w:rPr>
      </w:pPr>
    </w:p>
    <w:p w14:paraId="09D29F0F" w14:textId="77777777" w:rsidR="0014163C" w:rsidRPr="00DE096C" w:rsidRDefault="0014163C" w:rsidP="00D45A46">
      <w:pPr>
        <w:shd w:val="clear" w:color="auto" w:fill="FFFFFF"/>
        <w:jc w:val="both"/>
        <w:rPr>
          <w:bCs/>
          <w:i/>
          <w:color w:val="002060"/>
          <w:sz w:val="16"/>
          <w:szCs w:val="16"/>
        </w:rPr>
      </w:pPr>
      <w:r w:rsidRPr="00DE096C">
        <w:rPr>
          <w:bCs/>
          <w:i/>
          <w:color w:val="002060"/>
          <w:sz w:val="16"/>
          <w:szCs w:val="16"/>
        </w:rPr>
        <w:t>Самолетостроение:</w:t>
      </w:r>
    </w:p>
    <w:p w14:paraId="702CAA15" w14:textId="77777777" w:rsidR="0014163C" w:rsidRPr="00DE096C" w:rsidRDefault="0014163C" w:rsidP="00D45A46">
      <w:pPr>
        <w:shd w:val="clear" w:color="auto" w:fill="FFFFFF"/>
        <w:jc w:val="both"/>
        <w:rPr>
          <w:bCs/>
          <w:i/>
          <w:color w:val="002060"/>
          <w:sz w:val="16"/>
          <w:szCs w:val="16"/>
        </w:rPr>
      </w:pPr>
    </w:p>
    <w:p w14:paraId="7C85EB33" w14:textId="48C1FD4D" w:rsidR="0014163C" w:rsidRPr="00DE096C" w:rsidRDefault="0014163C" w:rsidP="00D45A46">
      <w:pPr>
        <w:jc w:val="both"/>
        <w:rPr>
          <w:bCs/>
          <w:color w:val="002060"/>
          <w:sz w:val="16"/>
          <w:szCs w:val="16"/>
        </w:rPr>
      </w:pPr>
      <w:r w:rsidRPr="00DE096C">
        <w:rPr>
          <w:bCs/>
          <w:color w:val="002060"/>
          <w:sz w:val="16"/>
          <w:szCs w:val="16"/>
        </w:rPr>
        <w:t xml:space="preserve">12 </w:t>
      </w:r>
      <w:r w:rsidR="004322C4" w:rsidRPr="00DE096C">
        <w:rPr>
          <w:bCs/>
          <w:color w:val="002060"/>
          <w:sz w:val="16"/>
          <w:szCs w:val="16"/>
        </w:rPr>
        <w:t xml:space="preserve">(25) </w:t>
      </w:r>
      <w:r w:rsidRPr="00DE096C">
        <w:rPr>
          <w:bCs/>
          <w:color w:val="002060"/>
          <w:sz w:val="16"/>
          <w:szCs w:val="16"/>
        </w:rPr>
        <w:t xml:space="preserve">марта в 1914 году первый полёт учебно-тренировочного самолёта </w:t>
      </w:r>
      <w:hyperlink r:id="rId9" w:tgtFrame="_blank" w:history="1">
        <w:r w:rsidRPr="00DE096C">
          <w:rPr>
            <w:bCs/>
            <w:color w:val="002060"/>
            <w:sz w:val="16"/>
            <w:szCs w:val="16"/>
          </w:rPr>
          <w:t xml:space="preserve">«С.ХII» </w:t>
        </w:r>
      </w:hyperlink>
      <w:r w:rsidRPr="00DE096C">
        <w:rPr>
          <w:bCs/>
          <w:color w:val="002060"/>
          <w:sz w:val="16"/>
          <w:szCs w:val="16"/>
        </w:rPr>
        <w:t>(разработчик: Сикорский, Россия). Представлял собой одноместный моноплан, оснащенный двигателем «Гном» 80 л.с, имел характерное для многих конструкций Сикорского шасси со сдвоенными колесами. От многих подобных аппаратов того периода отличался мощными рулевыми поверхностями в стандартном исполнении, т.е. имел нормальные элероны, рули высоты и поворота при наличии стабилизатора и вертикального киля. Крыло с небольшой стреловидностью, его жесткость достигалась набором тросовых расчалок, крепящихся на соответствующих фюзеляжных стойках и пирамидальном шасси. Первый опытный образец, испытанный летчиком Г.В.Янковским, показал прекрасные лётные качества. Просуществовал аппарат недолго - 6 июня 1914 г. Янковский в одном из полётов ошибся в пилотировании и разбил машину. Однако лётные качества самолёта оказались столь впечатляющими, что именно в день аварии два новых «С-12» включили в контракт, заключенный Военным ведомством с Акционерным обществом РБВЗ на поставку 45 "лёгких" самолетов Сикорского (15066).</w:t>
      </w:r>
    </w:p>
    <w:p w14:paraId="389D023B" w14:textId="77777777" w:rsidR="0014163C" w:rsidRPr="00DE096C" w:rsidRDefault="0014163C" w:rsidP="00D45A46">
      <w:pPr>
        <w:jc w:val="both"/>
        <w:rPr>
          <w:bCs/>
          <w:color w:val="002060"/>
          <w:sz w:val="16"/>
          <w:szCs w:val="16"/>
        </w:rPr>
      </w:pPr>
    </w:p>
    <w:p w14:paraId="648972EC" w14:textId="00A139A7" w:rsidR="00771FF4" w:rsidRPr="00DE096C" w:rsidRDefault="00771FF4" w:rsidP="00D45A46">
      <w:pPr>
        <w:jc w:val="both"/>
        <w:rPr>
          <w:bCs/>
          <w:color w:val="002060"/>
          <w:sz w:val="16"/>
          <w:szCs w:val="16"/>
        </w:rPr>
      </w:pPr>
      <w:r w:rsidRPr="00DE096C">
        <w:rPr>
          <w:bCs/>
          <w:color w:val="002060"/>
          <w:sz w:val="16"/>
          <w:szCs w:val="16"/>
          <w:lang w:bidi="ru-RU"/>
        </w:rPr>
        <w:t>12 (25) марта 1914 г. первый опытный образец С-12 Сикорского, испытанный летчиком Г.В. Янков</w:t>
      </w:r>
      <w:r w:rsidRPr="00DE096C">
        <w:rPr>
          <w:bCs/>
          <w:color w:val="002060"/>
          <w:sz w:val="16"/>
          <w:szCs w:val="16"/>
          <w:lang w:bidi="ru-RU"/>
        </w:rPr>
        <w:softHyphen/>
        <w:t>ским, показал прекрасные летные качества. Просуществовал аппарат недолго — 6 июня 1914 г. Янковский в од</w:t>
      </w:r>
      <w:r w:rsidRPr="00DE096C">
        <w:rPr>
          <w:bCs/>
          <w:color w:val="002060"/>
          <w:sz w:val="16"/>
          <w:szCs w:val="16"/>
          <w:lang w:bidi="ru-RU"/>
        </w:rPr>
        <w:softHyphen/>
        <w:t>ном из полетов ошибся в пилотировании и разбил машину. Однако летные качества са</w:t>
      </w:r>
      <w:r w:rsidRPr="00DE096C">
        <w:rPr>
          <w:bCs/>
          <w:color w:val="002060"/>
          <w:sz w:val="16"/>
          <w:szCs w:val="16"/>
          <w:lang w:bidi="ru-RU"/>
        </w:rPr>
        <w:softHyphen/>
        <w:t>молета оказались столь впечатляющими, что именно в день аварии два новых С-12 включили в контракт, заключенный Военным ведомством с Акционерным обществом РБВЗ на поставку 45 «легких» самолетов Сикорского (23374).</w:t>
      </w:r>
    </w:p>
    <w:p w14:paraId="080ABBF4" w14:textId="77777777" w:rsidR="00771FF4" w:rsidRPr="00DE096C" w:rsidRDefault="00771FF4" w:rsidP="00D45A46">
      <w:pPr>
        <w:jc w:val="both"/>
        <w:rPr>
          <w:bCs/>
          <w:color w:val="002060"/>
          <w:sz w:val="16"/>
          <w:szCs w:val="16"/>
          <w:lang w:bidi="ru-RU"/>
        </w:rPr>
      </w:pPr>
    </w:p>
    <w:p w14:paraId="7A6B7143" w14:textId="77777777" w:rsidR="0014163C" w:rsidRPr="00DE096C" w:rsidRDefault="0014163C" w:rsidP="00D45A46">
      <w:pPr>
        <w:jc w:val="both"/>
        <w:rPr>
          <w:bCs/>
          <w:i/>
          <w:color w:val="002060"/>
          <w:sz w:val="16"/>
          <w:szCs w:val="16"/>
        </w:rPr>
      </w:pPr>
      <w:r w:rsidRPr="00DE096C">
        <w:rPr>
          <w:bCs/>
          <w:i/>
          <w:color w:val="002060"/>
          <w:sz w:val="16"/>
          <w:szCs w:val="16"/>
        </w:rPr>
        <w:t>Другие оборонные отрасли:</w:t>
      </w:r>
    </w:p>
    <w:p w14:paraId="06E523C2" w14:textId="77777777" w:rsidR="0014163C" w:rsidRPr="00DE096C" w:rsidRDefault="0014163C" w:rsidP="00D45A46">
      <w:pPr>
        <w:jc w:val="both"/>
        <w:rPr>
          <w:bCs/>
          <w:i/>
          <w:color w:val="002060"/>
          <w:sz w:val="16"/>
          <w:szCs w:val="16"/>
        </w:rPr>
      </w:pPr>
    </w:p>
    <w:p w14:paraId="1F998C3D" w14:textId="540AB3C5" w:rsidR="0014163C" w:rsidRPr="00DE096C" w:rsidRDefault="0014163C" w:rsidP="00D45A46">
      <w:pPr>
        <w:jc w:val="both"/>
        <w:rPr>
          <w:bCs/>
          <w:color w:val="002060"/>
          <w:sz w:val="16"/>
          <w:szCs w:val="16"/>
        </w:rPr>
      </w:pPr>
      <w:r w:rsidRPr="00DE096C">
        <w:rPr>
          <w:bCs/>
          <w:color w:val="002060"/>
          <w:sz w:val="16"/>
          <w:szCs w:val="16"/>
        </w:rPr>
        <w:t xml:space="preserve">12 </w:t>
      </w:r>
      <w:r w:rsidR="004322C4" w:rsidRPr="00DE096C">
        <w:rPr>
          <w:bCs/>
          <w:color w:val="002060"/>
          <w:sz w:val="16"/>
          <w:szCs w:val="16"/>
        </w:rPr>
        <w:t xml:space="preserve">(25) </w:t>
      </w:r>
      <w:r w:rsidRPr="00DE096C">
        <w:rPr>
          <w:bCs/>
          <w:color w:val="002060"/>
          <w:sz w:val="16"/>
          <w:szCs w:val="16"/>
        </w:rPr>
        <w:t>марта в 1914 году дала промышленный ток электростанция «Электропередача», построенная по проекту и под руководством Р.Э.Классона и Г.М.Кржижановского – первая в мире тепловая электростанция на торфяном топливе (ныне ГРЭС № 3 имени Р.Э.Классона, около города Ногинска) (15066).</w:t>
      </w:r>
    </w:p>
    <w:p w14:paraId="60A5D3EE" w14:textId="77777777" w:rsidR="0014163C" w:rsidRPr="00DE096C" w:rsidRDefault="0014163C" w:rsidP="00D45A46">
      <w:pPr>
        <w:jc w:val="both"/>
        <w:rPr>
          <w:bCs/>
          <w:color w:val="002060"/>
          <w:sz w:val="16"/>
          <w:szCs w:val="16"/>
        </w:rPr>
      </w:pPr>
    </w:p>
    <w:p w14:paraId="54C02E25"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6BB735BA" w14:textId="77777777" w:rsidR="00B67D7C" w:rsidRPr="00DE096C" w:rsidRDefault="00B67D7C" w:rsidP="00D45A46">
      <w:pPr>
        <w:shd w:val="clear" w:color="auto" w:fill="FFFFFF"/>
        <w:jc w:val="both"/>
        <w:rPr>
          <w:bCs/>
          <w:i/>
          <w:color w:val="002060"/>
          <w:sz w:val="16"/>
          <w:szCs w:val="16"/>
        </w:rPr>
      </w:pPr>
    </w:p>
    <w:p w14:paraId="6E951D2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13 (26) марта 1914 Технический комитет ГВТУ принял решение о желательности заказа одного аппарата "Кеннеди" № 2, как альтернативы совершавшему в это время успешные полеты "Илье Муромцу (8, л.224). Решение Технического комитета поддержал и представитель Военного ведом</w:t>
      </w:r>
      <w:r w:rsidRPr="00DE096C">
        <w:rPr>
          <w:bCs/>
          <w:color w:val="002060"/>
          <w:sz w:val="16"/>
          <w:szCs w:val="16"/>
        </w:rPr>
        <w:softHyphen/>
        <w:t>ства, начальник ГВТУ, инж.-лейт.Ропп (ЦГВИА, ф. 802, оп. 4, д. 2223, л. 216). и только сам военный министр 16 апреля приказал "пока воздержаться от зака</w:t>
      </w:r>
      <w:r w:rsidRPr="00DE096C">
        <w:rPr>
          <w:bCs/>
          <w:color w:val="002060"/>
          <w:sz w:val="16"/>
          <w:szCs w:val="16"/>
        </w:rPr>
        <w:softHyphen/>
        <w:t>зов подобных типов" и потому "прошение" Ч.М.Кеннеди "временно остается без последствий" (8, л.185). К "подобным типам" отно</w:t>
      </w:r>
      <w:r w:rsidRPr="00DE096C">
        <w:rPr>
          <w:bCs/>
          <w:color w:val="002060"/>
          <w:sz w:val="16"/>
          <w:szCs w:val="16"/>
        </w:rPr>
        <w:softHyphen/>
        <w:t>сился и тяжелый бомбардировщик Я.М.Гаккеля ЯГ-1 (имевшего, меж</w:t>
      </w:r>
      <w:r w:rsidRPr="00DE096C">
        <w:rPr>
          <w:bCs/>
          <w:color w:val="002060"/>
          <w:sz w:val="16"/>
          <w:szCs w:val="16"/>
        </w:rPr>
        <w:softHyphen/>
        <w:t>ду прочим, два медленно вращающихся толкающих винта большого диаметра, приводимых четырьмя двигателями, расположенными в фю</w:t>
      </w:r>
      <w:r w:rsidRPr="00DE096C">
        <w:rPr>
          <w:bCs/>
          <w:color w:val="002060"/>
          <w:sz w:val="16"/>
          <w:szCs w:val="16"/>
        </w:rPr>
        <w:softHyphen/>
        <w:t>зеляже), предлагавшийся к постройке Балтийским судостроительным заводом /8, л.95-96/. Что же касается слов "пока воздержаться", то они, вероятно, были вызваны тем, что еще в феврале 1914 г. военное министерство заказало Русско-Балтийскому вагонному за</w:t>
      </w:r>
      <w:r w:rsidRPr="00DE096C">
        <w:rPr>
          <w:bCs/>
          <w:color w:val="002060"/>
          <w:sz w:val="16"/>
          <w:szCs w:val="16"/>
        </w:rPr>
        <w:softHyphen/>
        <w:t>воду 10 самолетов "Илья Муромец", который в полетах весной это</w:t>
      </w:r>
      <w:r w:rsidRPr="00DE096C">
        <w:rPr>
          <w:bCs/>
          <w:color w:val="002060"/>
          <w:sz w:val="16"/>
          <w:szCs w:val="16"/>
        </w:rPr>
        <w:softHyphen/>
        <w:t>го года чуть ли не ежедневно устанавливал все новые мировые рекорды, а после весьма успешного перелета Петербург-Киев и об</w:t>
      </w:r>
      <w:r w:rsidRPr="00DE096C">
        <w:rPr>
          <w:bCs/>
          <w:color w:val="002060"/>
          <w:sz w:val="16"/>
          <w:szCs w:val="16"/>
        </w:rPr>
        <w:softHyphen/>
        <w:t>ратно (в июне) ГВГУ пересмотрело требования к тяжелым самолетам, так что судьба проектов "Кеннеди" № 2 и бомбардировщика ЯГ-1 так и осталась "без последствий" (11069).</w:t>
      </w:r>
    </w:p>
    <w:p w14:paraId="698D23E2" w14:textId="77777777" w:rsidR="00B67D7C" w:rsidRPr="00DE096C" w:rsidRDefault="00B67D7C" w:rsidP="00D45A46">
      <w:pPr>
        <w:shd w:val="clear" w:color="auto" w:fill="FFFFFF"/>
        <w:jc w:val="both"/>
        <w:rPr>
          <w:bCs/>
          <w:color w:val="002060"/>
          <w:sz w:val="16"/>
          <w:szCs w:val="16"/>
        </w:rPr>
      </w:pPr>
    </w:p>
    <w:p w14:paraId="66A67B87"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Другие оборонные отрасли:</w:t>
      </w:r>
    </w:p>
    <w:p w14:paraId="1BDDCF80" w14:textId="77777777" w:rsidR="00B67D7C" w:rsidRPr="00DE096C" w:rsidRDefault="00B67D7C" w:rsidP="00D45A46">
      <w:pPr>
        <w:shd w:val="clear" w:color="auto" w:fill="FFFFFF"/>
        <w:jc w:val="both"/>
        <w:rPr>
          <w:bCs/>
          <w:i/>
          <w:color w:val="002060"/>
          <w:sz w:val="16"/>
          <w:szCs w:val="16"/>
        </w:rPr>
      </w:pPr>
    </w:p>
    <w:p w14:paraId="276E12BB" w14:textId="518B80FA" w:rsidR="00B67D7C" w:rsidRPr="00DE096C" w:rsidRDefault="00B67D7C" w:rsidP="00D45A46">
      <w:pPr>
        <w:jc w:val="both"/>
        <w:rPr>
          <w:bCs/>
          <w:color w:val="002060"/>
          <w:sz w:val="16"/>
          <w:szCs w:val="16"/>
        </w:rPr>
      </w:pPr>
      <w:r w:rsidRPr="00DE096C">
        <w:rPr>
          <w:bCs/>
          <w:color w:val="002060"/>
          <w:sz w:val="16"/>
          <w:szCs w:val="16"/>
        </w:rPr>
        <w:t xml:space="preserve">13 </w:t>
      </w:r>
      <w:r w:rsidR="004322C4" w:rsidRPr="00DE096C">
        <w:rPr>
          <w:bCs/>
          <w:color w:val="002060"/>
          <w:sz w:val="16"/>
          <w:szCs w:val="16"/>
        </w:rPr>
        <w:t xml:space="preserve">(26) </w:t>
      </w:r>
      <w:r w:rsidRPr="00DE096C">
        <w:rPr>
          <w:bCs/>
          <w:color w:val="002060"/>
          <w:sz w:val="16"/>
          <w:szCs w:val="16"/>
        </w:rPr>
        <w:t xml:space="preserve">и 27 марта </w:t>
      </w:r>
      <w:r w:rsidR="004322C4" w:rsidRPr="00DE096C">
        <w:rPr>
          <w:bCs/>
          <w:color w:val="002060"/>
          <w:sz w:val="16"/>
          <w:szCs w:val="16"/>
        </w:rPr>
        <w:t xml:space="preserve">(9 апреля) </w:t>
      </w:r>
      <w:r w:rsidRPr="00DE096C">
        <w:rPr>
          <w:bCs/>
          <w:color w:val="002060"/>
          <w:sz w:val="16"/>
          <w:szCs w:val="16"/>
        </w:rPr>
        <w:t xml:space="preserve">1914 г. </w:t>
      </w:r>
      <w:r w:rsidR="004322C4" w:rsidRPr="00DE096C">
        <w:rPr>
          <w:bCs/>
          <w:color w:val="002060"/>
          <w:sz w:val="16"/>
          <w:szCs w:val="16"/>
        </w:rPr>
        <w:t xml:space="preserve">согласно Положению Военного совета </w:t>
      </w:r>
      <w:r w:rsidRPr="00DE096C">
        <w:rPr>
          <w:bCs/>
          <w:color w:val="002060"/>
          <w:sz w:val="16"/>
          <w:szCs w:val="16"/>
        </w:rPr>
        <w:t>и Закону от 24 июня 1914 г. о строительстве 4-го Тамбовского порохового завода</w:t>
      </w:r>
      <w:r w:rsidR="004322C4" w:rsidRPr="00DE096C">
        <w:rPr>
          <w:bCs/>
          <w:color w:val="002060"/>
          <w:sz w:val="16"/>
          <w:szCs w:val="16"/>
        </w:rPr>
        <w:t xml:space="preserve"> было начато строительство завода и поселка для рабочих (в н. в. г. Котовск)</w:t>
      </w:r>
      <w:r w:rsidRPr="00DE096C">
        <w:rPr>
          <w:bCs/>
          <w:color w:val="002060"/>
          <w:sz w:val="16"/>
          <w:szCs w:val="16"/>
        </w:rPr>
        <w:t>. С осени 1916 г. завод начал производить порох. В период Гражданской войны завод пришел в упадок, затем восстановлен как номерной (завод N 204), в н. в. - Котовский завод пластмасс.</w:t>
      </w:r>
    </w:p>
    <w:p w14:paraId="44D1505F" w14:textId="77777777" w:rsidR="00B67D7C" w:rsidRPr="00DE096C" w:rsidRDefault="00B67D7C" w:rsidP="00D45A46">
      <w:pPr>
        <w:jc w:val="both"/>
        <w:rPr>
          <w:bCs/>
          <w:color w:val="002060"/>
          <w:sz w:val="16"/>
          <w:szCs w:val="16"/>
        </w:rPr>
      </w:pPr>
      <w:r w:rsidRPr="00DE096C">
        <w:rPr>
          <w:bCs/>
          <w:color w:val="002060"/>
          <w:sz w:val="16"/>
          <w:szCs w:val="16"/>
        </w:rPr>
        <w:t>Циркуляры и предписания Главного артиллерийского управления (1916 - 1919). Копии приказов по Московскому военному округу и войскам Тамбовского гарнизона (1914 - 1917). Ф. 98 , 206 ед. хр. , 1913 - 1926гг. , описи (11744)/</w:t>
      </w:r>
    </w:p>
    <w:p w14:paraId="2D052E72" w14:textId="77777777" w:rsidR="00B67D7C" w:rsidRPr="00DE096C" w:rsidRDefault="00B67D7C" w:rsidP="00D45A46">
      <w:pPr>
        <w:shd w:val="clear" w:color="auto" w:fill="FFFFFF"/>
        <w:jc w:val="both"/>
        <w:rPr>
          <w:bCs/>
          <w:i/>
          <w:color w:val="002060"/>
          <w:sz w:val="16"/>
          <w:szCs w:val="16"/>
        </w:rPr>
      </w:pPr>
    </w:p>
    <w:p w14:paraId="3AD38E67" w14:textId="77777777" w:rsidR="0014163C" w:rsidRPr="00DE096C" w:rsidRDefault="0014163C" w:rsidP="00D45A46">
      <w:pPr>
        <w:jc w:val="both"/>
        <w:rPr>
          <w:bCs/>
          <w:i/>
          <w:color w:val="002060"/>
          <w:sz w:val="16"/>
          <w:szCs w:val="16"/>
        </w:rPr>
      </w:pPr>
      <w:r w:rsidRPr="00DE096C">
        <w:rPr>
          <w:bCs/>
          <w:i/>
          <w:color w:val="002060"/>
          <w:sz w:val="16"/>
          <w:szCs w:val="16"/>
        </w:rPr>
        <w:t>Жизнь и внутренняя политика:</w:t>
      </w:r>
    </w:p>
    <w:p w14:paraId="610AC7BA" w14:textId="77777777" w:rsidR="0014163C" w:rsidRPr="00DE096C" w:rsidRDefault="0014163C" w:rsidP="00D45A46">
      <w:pPr>
        <w:jc w:val="both"/>
        <w:rPr>
          <w:bCs/>
          <w:i/>
          <w:color w:val="002060"/>
          <w:sz w:val="16"/>
          <w:szCs w:val="16"/>
        </w:rPr>
      </w:pPr>
    </w:p>
    <w:p w14:paraId="759D2141" w14:textId="06B906DD" w:rsidR="0014163C" w:rsidRPr="00DE096C" w:rsidRDefault="0014163C" w:rsidP="00D45A46">
      <w:pPr>
        <w:jc w:val="both"/>
        <w:rPr>
          <w:bCs/>
          <w:color w:val="002060"/>
          <w:sz w:val="16"/>
          <w:szCs w:val="16"/>
        </w:rPr>
      </w:pPr>
      <w:r w:rsidRPr="00DE096C">
        <w:rPr>
          <w:bCs/>
          <w:color w:val="002060"/>
          <w:sz w:val="16"/>
          <w:szCs w:val="16"/>
        </w:rPr>
        <w:t xml:space="preserve">14 </w:t>
      </w:r>
      <w:r w:rsidR="004322C4" w:rsidRPr="00DE096C">
        <w:rPr>
          <w:bCs/>
          <w:color w:val="002060"/>
          <w:sz w:val="16"/>
          <w:szCs w:val="16"/>
        </w:rPr>
        <w:t xml:space="preserve">(27) </w:t>
      </w:r>
      <w:r w:rsidRPr="00DE096C">
        <w:rPr>
          <w:bCs/>
          <w:color w:val="002060"/>
          <w:sz w:val="16"/>
          <w:szCs w:val="16"/>
        </w:rPr>
        <w:t>марта в 1914 году в Москве в Всехсвятской роще состоялась дуэль между генерал-лейтенантом в отставке Болычевцевым и поручиком Шефнером. Поводом послужила ссора в трамвае. Когда вагон остановился, чтобы пропустить роту солдат, генерал (он был в штатском) сказал соседу: "В армии существует взгляд, что войска никому не должны уступать дорогу, даже трамваю". Услышав это, поручик возразил: "В армии такого взгяда не существует". Генерал ответил в том духе, что поручик молод и много еще не знает. Обидевшись, Шефнер доложил начальству о столкновении с генералом и получил разрешение послать вызов. Встав к барьеру, противники целились друг в друга, но после счета "пять" никто не выстрелил. Секунданты объявили дуэль оконченной (15068).</w:t>
      </w:r>
    </w:p>
    <w:p w14:paraId="2811B007" w14:textId="77777777" w:rsidR="0014163C" w:rsidRPr="00DE096C" w:rsidRDefault="0014163C" w:rsidP="00D45A46">
      <w:pPr>
        <w:jc w:val="both"/>
        <w:rPr>
          <w:bCs/>
          <w:color w:val="002060"/>
          <w:sz w:val="16"/>
          <w:szCs w:val="16"/>
        </w:rPr>
      </w:pPr>
    </w:p>
    <w:p w14:paraId="499AC84C" w14:textId="77777777" w:rsidR="00583AC0" w:rsidRPr="00DE096C" w:rsidRDefault="00583AC0" w:rsidP="00D45A46">
      <w:pPr>
        <w:jc w:val="both"/>
        <w:rPr>
          <w:bCs/>
          <w:i/>
          <w:color w:val="002060"/>
          <w:sz w:val="16"/>
          <w:szCs w:val="16"/>
        </w:rPr>
      </w:pPr>
      <w:r w:rsidRPr="00DE096C">
        <w:rPr>
          <w:bCs/>
          <w:i/>
          <w:color w:val="002060"/>
          <w:sz w:val="16"/>
          <w:szCs w:val="16"/>
        </w:rPr>
        <w:t>За рубежом:</w:t>
      </w:r>
    </w:p>
    <w:p w14:paraId="5202D796" w14:textId="77777777" w:rsidR="00583AC0" w:rsidRPr="00DE096C" w:rsidRDefault="00583AC0" w:rsidP="00D45A46">
      <w:pPr>
        <w:jc w:val="both"/>
        <w:rPr>
          <w:bCs/>
          <w:color w:val="002060"/>
          <w:sz w:val="16"/>
          <w:szCs w:val="16"/>
        </w:rPr>
      </w:pPr>
    </w:p>
    <w:p w14:paraId="52157660" w14:textId="77777777" w:rsidR="00583AC0" w:rsidRPr="00DE096C" w:rsidRDefault="00583AC0" w:rsidP="00D45A46">
      <w:pPr>
        <w:jc w:val="both"/>
        <w:rPr>
          <w:bCs/>
          <w:color w:val="002060"/>
          <w:sz w:val="16"/>
          <w:szCs w:val="16"/>
        </w:rPr>
      </w:pPr>
      <w:r w:rsidRPr="00DE096C">
        <w:rPr>
          <w:bCs/>
          <w:color w:val="002060"/>
          <w:sz w:val="16"/>
          <w:szCs w:val="16"/>
        </w:rPr>
        <w:t>14 (27) марта в 1914 году первое успешное переливание крови выполннено в больнице в Брюсселе (15081).</w:t>
      </w:r>
    </w:p>
    <w:p w14:paraId="1C6B1566" w14:textId="77777777" w:rsidR="00583AC0" w:rsidRPr="00DE096C" w:rsidRDefault="00583AC0" w:rsidP="00D45A46">
      <w:pPr>
        <w:jc w:val="both"/>
        <w:rPr>
          <w:bCs/>
          <w:color w:val="002060"/>
          <w:sz w:val="16"/>
          <w:szCs w:val="16"/>
        </w:rPr>
      </w:pPr>
    </w:p>
    <w:p w14:paraId="61D2526D" w14:textId="77777777" w:rsidR="007E5829" w:rsidRPr="00DE096C" w:rsidRDefault="007E5829" w:rsidP="00D45A46">
      <w:pPr>
        <w:shd w:val="clear" w:color="auto" w:fill="FFFFFF"/>
        <w:jc w:val="both"/>
        <w:rPr>
          <w:bCs/>
          <w:i/>
          <w:color w:val="002060"/>
          <w:sz w:val="16"/>
          <w:szCs w:val="16"/>
        </w:rPr>
      </w:pPr>
      <w:r w:rsidRPr="00DE096C">
        <w:rPr>
          <w:bCs/>
          <w:i/>
          <w:color w:val="002060"/>
          <w:sz w:val="16"/>
          <w:szCs w:val="16"/>
        </w:rPr>
        <w:t>Самолетостроение:</w:t>
      </w:r>
    </w:p>
    <w:p w14:paraId="5CB10B31" w14:textId="77777777" w:rsidR="007E5829" w:rsidRPr="00DE096C" w:rsidRDefault="007E5829" w:rsidP="00D45A46">
      <w:pPr>
        <w:shd w:val="clear" w:color="auto" w:fill="FFFFFF"/>
        <w:jc w:val="both"/>
        <w:rPr>
          <w:bCs/>
          <w:i/>
          <w:color w:val="002060"/>
          <w:sz w:val="16"/>
          <w:szCs w:val="16"/>
        </w:rPr>
      </w:pPr>
    </w:p>
    <w:p w14:paraId="0F0750B6" w14:textId="77777777" w:rsidR="007E5829" w:rsidRPr="00DE096C" w:rsidRDefault="007E5829" w:rsidP="00D45A46">
      <w:pPr>
        <w:jc w:val="both"/>
        <w:rPr>
          <w:bCs/>
          <w:color w:val="002060"/>
          <w:sz w:val="16"/>
          <w:szCs w:val="16"/>
        </w:rPr>
      </w:pPr>
      <w:r w:rsidRPr="00DE096C">
        <w:rPr>
          <w:bCs/>
          <w:color w:val="002060"/>
          <w:sz w:val="16"/>
          <w:szCs w:val="16"/>
        </w:rPr>
        <w:t>15 (28) марта 1914 г. начальник МГШ направил письмо в минный отдел ГУК, в котором потребовал в кратчайший срок разработать и произвести специальную мину Уайтхеда. Испытания опытного образца были начаты в октябре 1914 года, но довести до валового производства торпеду удалось только к осени 1915 года, после чего торпеда получила наименование 45-15. Паралельно к маю 1914 специалисты завода Лесснера доработали для приминения с аэропланов 18 торпед типа "Л". Следующая партия из 24 торпед была доработана к декабрю 1914 года (12284).</w:t>
      </w:r>
    </w:p>
    <w:p w14:paraId="26B01DE6" w14:textId="77777777" w:rsidR="007E5829" w:rsidRPr="00DE096C" w:rsidRDefault="007E5829" w:rsidP="00D45A46">
      <w:pPr>
        <w:jc w:val="both"/>
        <w:rPr>
          <w:bCs/>
          <w:color w:val="002060"/>
          <w:sz w:val="16"/>
          <w:szCs w:val="16"/>
        </w:rPr>
      </w:pPr>
    </w:p>
    <w:p w14:paraId="71793083" w14:textId="7C034669" w:rsidR="008C0E7A" w:rsidRPr="00DE096C" w:rsidRDefault="008C0E7A" w:rsidP="00D45A46">
      <w:pPr>
        <w:shd w:val="clear" w:color="auto" w:fill="FFFFFF"/>
        <w:jc w:val="both"/>
        <w:rPr>
          <w:bCs/>
          <w:i/>
          <w:color w:val="002060"/>
          <w:sz w:val="16"/>
          <w:szCs w:val="16"/>
        </w:rPr>
      </w:pPr>
      <w:r w:rsidRPr="00DE096C">
        <w:rPr>
          <w:bCs/>
          <w:i/>
          <w:color w:val="002060"/>
          <w:sz w:val="16"/>
          <w:szCs w:val="16"/>
        </w:rPr>
        <w:t>Авиация:</w:t>
      </w:r>
    </w:p>
    <w:p w14:paraId="2F65805A" w14:textId="77777777" w:rsidR="008C0E7A" w:rsidRPr="00DE096C" w:rsidRDefault="008C0E7A" w:rsidP="00D45A46">
      <w:pPr>
        <w:shd w:val="clear" w:color="auto" w:fill="FFFFFF"/>
        <w:jc w:val="both"/>
        <w:rPr>
          <w:bCs/>
          <w:i/>
          <w:color w:val="002060"/>
          <w:sz w:val="16"/>
          <w:szCs w:val="16"/>
        </w:rPr>
      </w:pPr>
    </w:p>
    <w:p w14:paraId="63F9D15D" w14:textId="238DE8A1" w:rsidR="008C0E7A" w:rsidRPr="00DE096C" w:rsidRDefault="008C0E7A" w:rsidP="00D45A46">
      <w:pPr>
        <w:jc w:val="both"/>
        <w:rPr>
          <w:bCs/>
          <w:color w:val="002060"/>
          <w:sz w:val="16"/>
          <w:szCs w:val="16"/>
        </w:rPr>
      </w:pPr>
      <w:r w:rsidRPr="00DE096C">
        <w:rPr>
          <w:bCs/>
          <w:color w:val="002060"/>
          <w:sz w:val="16"/>
          <w:szCs w:val="16"/>
          <w:lang w:bidi="en-US"/>
        </w:rPr>
        <w:t>17 (30) марта 1914 г. в отчете Главного управления Генштаба предлагалось сформировать сорок КАО (нумеровать по армейским корпусам), десять полевых АО (придавать в военное время штабам армий), восемь специальных частей (придавать различным кавалерийским корпусам). единиц) и девять Крепостных АО (для обслуживания Крепостей). Отчет был отправлен на следующий день царю (23525).</w:t>
      </w:r>
    </w:p>
    <w:p w14:paraId="01E1C05E" w14:textId="77777777" w:rsidR="008C0E7A" w:rsidRPr="00DE096C" w:rsidRDefault="008C0E7A" w:rsidP="00D45A46">
      <w:pPr>
        <w:jc w:val="both"/>
        <w:rPr>
          <w:bCs/>
          <w:color w:val="002060"/>
          <w:sz w:val="16"/>
          <w:szCs w:val="16"/>
          <w:lang w:bidi="en-US"/>
        </w:rPr>
      </w:pPr>
    </w:p>
    <w:p w14:paraId="33A5CC17" w14:textId="69432E4A" w:rsidR="00D9091D" w:rsidRPr="00DE096C" w:rsidRDefault="00D9091D" w:rsidP="00D9091D">
      <w:pPr>
        <w:shd w:val="clear" w:color="auto" w:fill="FFFFFF"/>
        <w:jc w:val="both"/>
        <w:rPr>
          <w:bCs/>
          <w:i/>
          <w:color w:val="002060"/>
          <w:sz w:val="16"/>
          <w:szCs w:val="16"/>
        </w:rPr>
      </w:pPr>
      <w:r>
        <w:rPr>
          <w:bCs/>
          <w:i/>
          <w:color w:val="002060"/>
          <w:sz w:val="16"/>
          <w:szCs w:val="16"/>
        </w:rPr>
        <w:lastRenderedPageBreak/>
        <w:t>Авиация и воздухоплавание за рубежом</w:t>
      </w:r>
      <w:r w:rsidRPr="00DE096C">
        <w:rPr>
          <w:bCs/>
          <w:i/>
          <w:color w:val="002060"/>
          <w:sz w:val="16"/>
          <w:szCs w:val="16"/>
        </w:rPr>
        <w:t>:</w:t>
      </w:r>
    </w:p>
    <w:p w14:paraId="7A9367D1" w14:textId="77777777" w:rsidR="00D9091D" w:rsidRPr="00DE096C" w:rsidRDefault="00D9091D" w:rsidP="00D9091D">
      <w:pPr>
        <w:shd w:val="clear" w:color="auto" w:fill="FFFFFF"/>
        <w:jc w:val="both"/>
        <w:rPr>
          <w:bCs/>
          <w:i/>
          <w:color w:val="002060"/>
          <w:sz w:val="16"/>
          <w:szCs w:val="16"/>
        </w:rPr>
      </w:pPr>
    </w:p>
    <w:p w14:paraId="57F5974B" w14:textId="77777777" w:rsidR="00D9091D" w:rsidRPr="00B52707" w:rsidRDefault="00D9091D" w:rsidP="00D9091D">
      <w:pPr>
        <w:jc w:val="both"/>
        <w:rPr>
          <w:color w:val="0070C0"/>
          <w:sz w:val="16"/>
          <w:szCs w:val="16"/>
        </w:rPr>
      </w:pPr>
      <w:r w:rsidRPr="00B52707">
        <w:rPr>
          <w:color w:val="0070C0"/>
          <w:sz w:val="16"/>
          <w:szCs w:val="16"/>
        </w:rPr>
        <w:t>17 марта (1 апреля) 1914 г. вылетом из Монако в Мадрид начались авиаралли, но собрать всех участников в точке старта не удалось (да этого и не требовали правила).</w:t>
      </w:r>
    </w:p>
    <w:p w14:paraId="03BA0B7D" w14:textId="77777777" w:rsidR="00D9091D" w:rsidRPr="00B52707" w:rsidRDefault="00D9091D" w:rsidP="00D9091D">
      <w:pPr>
        <w:jc w:val="both"/>
        <w:rPr>
          <w:color w:val="0070C0"/>
          <w:sz w:val="16"/>
          <w:szCs w:val="16"/>
        </w:rPr>
      </w:pPr>
      <w:r w:rsidRPr="00B52707">
        <w:rPr>
          <w:color w:val="0070C0"/>
          <w:sz w:val="16"/>
          <w:szCs w:val="16"/>
        </w:rPr>
        <w:t>2 апреля 1914 г. Первый этап Монако – Мадрид выиграл пилот команды «Моран-Солнье» Бриндежон де Мулинэ на самолете Тип Н (Тип G «Гидро»). В тот же день для участия в ралли Гарро вылетел из Брюсселя, а Кербери и Жильбер – из Парижа.</w:t>
      </w:r>
    </w:p>
    <w:p w14:paraId="13577BD3" w14:textId="5153CE5C" w:rsidR="00D9091D" w:rsidRPr="00B52707" w:rsidRDefault="00D9091D" w:rsidP="00D9091D">
      <w:pPr>
        <w:jc w:val="both"/>
        <w:rPr>
          <w:color w:val="0070C0"/>
          <w:sz w:val="16"/>
          <w:szCs w:val="16"/>
        </w:rPr>
      </w:pPr>
      <w:r w:rsidRPr="00B52707">
        <w:rPr>
          <w:color w:val="0070C0"/>
          <w:sz w:val="16"/>
          <w:szCs w:val="16"/>
        </w:rPr>
        <w:t>15 апреля ралли завершились ы Лондоне</w:t>
      </w:r>
      <w:r>
        <w:rPr>
          <w:color w:val="0070C0"/>
          <w:sz w:val="16"/>
          <w:szCs w:val="16"/>
        </w:rPr>
        <w:t>.</w:t>
      </w:r>
    </w:p>
    <w:p w14:paraId="1E361716" w14:textId="77777777" w:rsidR="00D9091D" w:rsidRPr="00B52707" w:rsidRDefault="00D9091D" w:rsidP="00D9091D">
      <w:pPr>
        <w:jc w:val="both"/>
        <w:rPr>
          <w:color w:val="0070C0"/>
          <w:sz w:val="16"/>
          <w:szCs w:val="16"/>
        </w:rPr>
      </w:pPr>
      <w:r w:rsidRPr="00B52707">
        <w:rPr>
          <w:color w:val="0070C0"/>
          <w:sz w:val="16"/>
          <w:szCs w:val="16"/>
        </w:rPr>
        <w:t>Прошли хотя бы один этап полностью как того требовали правила, только пять участников и два из них – на самолетах Моран-Солнье Тип Н с двигателем «Гном» 80 л.с.:</w:t>
      </w:r>
    </w:p>
    <w:p w14:paraId="1C205AC5" w14:textId="77777777" w:rsidR="00D9091D" w:rsidRPr="00B52707" w:rsidRDefault="00D9091D" w:rsidP="00D9091D">
      <w:pPr>
        <w:jc w:val="both"/>
        <w:rPr>
          <w:color w:val="0070C0"/>
          <w:sz w:val="16"/>
          <w:szCs w:val="16"/>
        </w:rPr>
      </w:pPr>
      <w:r w:rsidRPr="00B52707">
        <w:rPr>
          <w:color w:val="0070C0"/>
          <w:sz w:val="16"/>
          <w:szCs w:val="16"/>
        </w:rPr>
        <w:t>- 1-е место – Р. Гарро прошел на моноплане Моран-Солнье Тип О и Н, оба – с двигателем «Гном» 80 л.с. этапы Монако – Марсель – Бордо (юго-запад Франции, промежуточная посадка) – Анже (юг Франции, промежуточная посадка) – Парию (Бюк) за 12 часов и 14 минут летного времени, получил первый приз 25000 франков и 10000 фр. бонуса Президента Французской Республики за наибольшую среднюю скорость;</w:t>
      </w:r>
    </w:p>
    <w:p w14:paraId="2046FEC0" w14:textId="77777777" w:rsidR="00D9091D" w:rsidRPr="00B52707" w:rsidRDefault="00D9091D" w:rsidP="00D9091D">
      <w:pPr>
        <w:jc w:val="both"/>
        <w:rPr>
          <w:color w:val="0070C0"/>
          <w:sz w:val="16"/>
          <w:szCs w:val="16"/>
        </w:rPr>
      </w:pPr>
      <w:r w:rsidRPr="00B52707">
        <w:rPr>
          <w:color w:val="0070C0"/>
          <w:sz w:val="16"/>
          <w:szCs w:val="16"/>
        </w:rPr>
        <w:t>- 2-е место – М. Бриндежон де Мулинэ (Франция) на монопланах Моран-Солнье Тип G «Гидро» с двигателем «Гном» 100 л.с. и далее Тип Н с двигателем «Гном» 80 л.с. – получил приз 8000 фр. от Военного флота Франции и Аэроклуба Франции;</w:t>
      </w:r>
    </w:p>
    <w:p w14:paraId="5EA7D4A7" w14:textId="77777777" w:rsidR="00D9091D" w:rsidRPr="00B52707" w:rsidRDefault="00D9091D" w:rsidP="00D9091D">
      <w:pPr>
        <w:jc w:val="both"/>
        <w:rPr>
          <w:color w:val="0070C0"/>
          <w:sz w:val="16"/>
          <w:szCs w:val="16"/>
        </w:rPr>
      </w:pPr>
      <w:r w:rsidRPr="00B52707">
        <w:rPr>
          <w:color w:val="0070C0"/>
          <w:sz w:val="16"/>
          <w:szCs w:val="16"/>
        </w:rPr>
        <w:t>- 3-е место – Ж. Фише (Франция, по др. данным – Бельгия) на биплане А. Фарман с двигателем «Гном» 80 л.с.;</w:t>
      </w:r>
    </w:p>
    <w:p w14:paraId="679600C1" w14:textId="77777777" w:rsidR="00D9091D" w:rsidRPr="00B52707" w:rsidRDefault="00D9091D" w:rsidP="00D9091D">
      <w:pPr>
        <w:jc w:val="both"/>
        <w:rPr>
          <w:color w:val="0070C0"/>
          <w:sz w:val="16"/>
          <w:szCs w:val="16"/>
        </w:rPr>
      </w:pPr>
      <w:r w:rsidRPr="00B52707">
        <w:rPr>
          <w:color w:val="0070C0"/>
          <w:sz w:val="16"/>
          <w:szCs w:val="16"/>
        </w:rPr>
        <w:t>- 4-е место – разделили А. Ландини (Италия) на моноплане SAI Gabardini Tipo 2 (SIA 2) и Верье (Франция) на биплане А. Фарман с двигателем «Гном» 80 л.с.</w:t>
      </w:r>
    </w:p>
    <w:p w14:paraId="00A7D026" w14:textId="77777777" w:rsidR="00D9091D" w:rsidRPr="00B52707" w:rsidRDefault="00D9091D" w:rsidP="00D9091D">
      <w:pPr>
        <w:jc w:val="both"/>
        <w:rPr>
          <w:color w:val="0070C0"/>
          <w:sz w:val="16"/>
          <w:szCs w:val="16"/>
        </w:rPr>
      </w:pPr>
      <w:r w:rsidRPr="00B52707">
        <w:rPr>
          <w:color w:val="0070C0"/>
          <w:sz w:val="16"/>
          <w:szCs w:val="16"/>
        </w:rPr>
        <w:t>Ралли планировалось начать 1 апреля 1913 г. вылетом из Монако в Мадрид (аэродром Катро-Вьентос) в Испании с промежуточными посадками в Марселе на Средиземноморском побережье Франции, далее посадки предполагались в Австро-Венгрии в Вене (Асперн), в Италии в Милане, Падуе и Риме, в центральной части Германии в городе Гота, во Франции в Бордо и в Париже (Бюк) и, наконец, 15 апреля 1913 г. самолеты должны были прибыть в столицу Великобритании Лондон на аэродром Хендон. Не обязательно было каждому участнику пройти все этапы, достаточно хотя бы один полностью, но команда должна была пройти все этапы с возможностью замены летчиков и самолетов. Разрешались промежуточные посадки в непредусмотренных маршрутом местах для дозаправки и ремонта, но время для них засчитывалось в полетное. Тем не менее, соревнования проводились именно среди летчиков – учитывались число пройденных этапов и расстояние на них, а также средняя скорость. Правила гонки в окончательном виде приняли вид тех, что применялись в многоэтапных авторалли.</w:t>
      </w:r>
    </w:p>
    <w:p w14:paraId="40E8E1B9" w14:textId="77777777" w:rsidR="00D9091D" w:rsidRPr="00B52707" w:rsidRDefault="00D9091D" w:rsidP="00D9091D">
      <w:pPr>
        <w:jc w:val="both"/>
        <w:rPr>
          <w:color w:val="0070C0"/>
          <w:sz w:val="16"/>
          <w:szCs w:val="16"/>
        </w:rPr>
      </w:pPr>
      <w:r w:rsidRPr="00B52707">
        <w:rPr>
          <w:color w:val="0070C0"/>
          <w:sz w:val="16"/>
          <w:szCs w:val="16"/>
        </w:rPr>
        <w:t>Первоначально к участию приглашались только гидросамолеты, но с учетом сложности дистанции вскоре организаторы разрешили использовать гидропланы-амфибии, а затем переставлять самолеты на колесное шасси или даже просто применять самолеты с колесным шасси, включая замену самолетов на промежуточных посадках.</w:t>
      </w:r>
    </w:p>
    <w:p w14:paraId="41285E95" w14:textId="77777777" w:rsidR="00D9091D" w:rsidRPr="00B52707" w:rsidRDefault="00D9091D" w:rsidP="00D9091D">
      <w:pPr>
        <w:jc w:val="both"/>
        <w:rPr>
          <w:color w:val="0070C0"/>
          <w:sz w:val="16"/>
          <w:szCs w:val="16"/>
        </w:rPr>
      </w:pPr>
      <w:r w:rsidRPr="00B52707">
        <w:rPr>
          <w:color w:val="0070C0"/>
          <w:sz w:val="16"/>
          <w:szCs w:val="16"/>
        </w:rPr>
        <w:t>Поступили заявки на участие 30 пилотов (из них не менее 12 подали заявки и на участие во II гонке на Кубок Шнейдера, намеченной на 20 апреля 1914 г. в Монако) и 34 самолетов – список см. ниже.</w:t>
      </w:r>
    </w:p>
    <w:p w14:paraId="44C16068" w14:textId="77777777" w:rsidR="00D9091D" w:rsidRPr="00B52707" w:rsidRDefault="00D9091D" w:rsidP="00D9091D">
      <w:pPr>
        <w:jc w:val="both"/>
        <w:rPr>
          <w:color w:val="0070C0"/>
          <w:sz w:val="16"/>
          <w:szCs w:val="16"/>
        </w:rPr>
      </w:pPr>
      <w:r w:rsidRPr="00B52707">
        <w:rPr>
          <w:color w:val="0070C0"/>
          <w:sz w:val="16"/>
          <w:szCs w:val="16"/>
        </w:rPr>
        <w:t>Для организации своей команды фирма «Моран-Солнье» добилась от Военного министерства Франции освобождения от воинской обязанности пилота Марселя Бриндежона де Мулинэ, призванного на строевую службу в начале этого года. Всего команда фирма «Моран-Солнье» изначально включала пять летчиков и девять самолетов:</w:t>
      </w:r>
    </w:p>
    <w:p w14:paraId="499C4D4C" w14:textId="77777777" w:rsidR="00D9091D" w:rsidRPr="00B52707" w:rsidRDefault="00D9091D" w:rsidP="00D9091D">
      <w:pPr>
        <w:jc w:val="both"/>
        <w:rPr>
          <w:color w:val="0070C0"/>
          <w:sz w:val="16"/>
          <w:szCs w:val="16"/>
        </w:rPr>
      </w:pPr>
      <w:r w:rsidRPr="00B52707">
        <w:rPr>
          <w:color w:val="0070C0"/>
          <w:sz w:val="16"/>
          <w:szCs w:val="16"/>
        </w:rPr>
        <w:t>- М. Бринжежон де Мулинэ на самолете Тип О с двигателем «Гном» 80 л.с. вылетает из Мадрида;</w:t>
      </w:r>
    </w:p>
    <w:p w14:paraId="0C4E3C72" w14:textId="77777777" w:rsidR="00D9091D" w:rsidRPr="00B52707" w:rsidRDefault="00D9091D" w:rsidP="00D9091D">
      <w:pPr>
        <w:jc w:val="both"/>
        <w:rPr>
          <w:color w:val="0070C0"/>
          <w:sz w:val="16"/>
          <w:szCs w:val="16"/>
        </w:rPr>
      </w:pPr>
      <w:r w:rsidRPr="00B52707">
        <w:rPr>
          <w:color w:val="0070C0"/>
          <w:sz w:val="16"/>
          <w:szCs w:val="16"/>
        </w:rPr>
        <w:t>- Р. Гарро на самолете Тип О с двигателем «Гном» 80 л.с. вылетает из Марселя, а в Монако он должен был пересесть на Тип Н с 14-цилиндровым двигателем «Гном» 160 л.с.;</w:t>
      </w:r>
    </w:p>
    <w:p w14:paraId="3071A11B" w14:textId="77777777" w:rsidR="00D9091D" w:rsidRPr="00B52707" w:rsidRDefault="00D9091D" w:rsidP="00D9091D">
      <w:pPr>
        <w:jc w:val="both"/>
        <w:rPr>
          <w:color w:val="0070C0"/>
          <w:sz w:val="16"/>
          <w:szCs w:val="16"/>
        </w:rPr>
      </w:pPr>
      <w:r w:rsidRPr="00B52707">
        <w:rPr>
          <w:color w:val="0070C0"/>
          <w:sz w:val="16"/>
          <w:szCs w:val="16"/>
        </w:rPr>
        <w:t>- пилоты Жильбер, Кербери (Великобритания), Порп (Бельгия) и для них три самолета «Тип Н с двигателем «Гном» 80 л.с.» (здесь и далее – фактически Тип G «Гидро» одноместный с возможностью заменены поплавкового шасси на колесное);</w:t>
      </w:r>
    </w:p>
    <w:p w14:paraId="123E4B6C" w14:textId="77777777" w:rsidR="00D9091D" w:rsidRPr="00B52707" w:rsidRDefault="00D9091D" w:rsidP="00D9091D">
      <w:pPr>
        <w:jc w:val="both"/>
        <w:rPr>
          <w:color w:val="0070C0"/>
          <w:sz w:val="16"/>
          <w:szCs w:val="16"/>
        </w:rPr>
      </w:pPr>
      <w:r w:rsidRPr="00B52707">
        <w:rPr>
          <w:color w:val="0070C0"/>
          <w:sz w:val="16"/>
          <w:szCs w:val="16"/>
        </w:rPr>
        <w:t>- один «Тип Н с двигателем «Гном» 80 л.с.» в резерве на базе Авиации Военного флота Франции Сан-Рафаэль (Saint-Raphaël, она же – Вар, восток средиземноморского побережья Франции) и два «Тип Н с двигателем «Гном» 80 л.с.» в др. точках посадки.</w:t>
      </w:r>
    </w:p>
    <w:p w14:paraId="7AE03410" w14:textId="77777777" w:rsidR="00D9091D" w:rsidRPr="00B52707" w:rsidRDefault="00D9091D" w:rsidP="00D9091D">
      <w:pPr>
        <w:jc w:val="both"/>
        <w:rPr>
          <w:color w:val="0070C0"/>
          <w:sz w:val="16"/>
          <w:szCs w:val="16"/>
        </w:rPr>
      </w:pPr>
      <w:r w:rsidRPr="00B52707">
        <w:rPr>
          <w:color w:val="0070C0"/>
          <w:sz w:val="16"/>
          <w:szCs w:val="16"/>
        </w:rPr>
        <w:t>Отказались от участия в соревнованиях до их начала:</w:t>
      </w:r>
    </w:p>
    <w:p w14:paraId="063A551C" w14:textId="77777777" w:rsidR="00D9091D" w:rsidRPr="00B52707" w:rsidRDefault="00D9091D" w:rsidP="00D9091D">
      <w:pPr>
        <w:jc w:val="both"/>
        <w:rPr>
          <w:color w:val="0070C0"/>
          <w:sz w:val="16"/>
          <w:szCs w:val="16"/>
        </w:rPr>
      </w:pPr>
      <w:r w:rsidRPr="00B52707">
        <w:rPr>
          <w:color w:val="0070C0"/>
          <w:sz w:val="16"/>
          <w:szCs w:val="16"/>
        </w:rPr>
        <w:t>- Дерой (Deroye, Франция) на биплане «Босси»;</w:t>
      </w:r>
    </w:p>
    <w:p w14:paraId="06DFBA10" w14:textId="77777777" w:rsidR="00D9091D" w:rsidRPr="00B52707" w:rsidRDefault="00D9091D" w:rsidP="00D9091D">
      <w:pPr>
        <w:jc w:val="both"/>
        <w:rPr>
          <w:color w:val="0070C0"/>
          <w:sz w:val="16"/>
          <w:szCs w:val="16"/>
        </w:rPr>
      </w:pPr>
      <w:r w:rsidRPr="00B52707">
        <w:rPr>
          <w:color w:val="0070C0"/>
          <w:sz w:val="16"/>
          <w:szCs w:val="16"/>
        </w:rPr>
        <w:t>- Прево (Prevost, Франция) на моноплане «Депердюссен» (тип – н.д.) с двигателем «Гном» 100 л.с.</w:t>
      </w:r>
    </w:p>
    <w:p w14:paraId="4FF1B5B4" w14:textId="77777777" w:rsidR="00D9091D" w:rsidRPr="00B52707" w:rsidRDefault="00D9091D" w:rsidP="00D9091D">
      <w:pPr>
        <w:jc w:val="both"/>
        <w:rPr>
          <w:color w:val="0070C0"/>
          <w:sz w:val="16"/>
          <w:szCs w:val="16"/>
        </w:rPr>
      </w:pPr>
      <w:r w:rsidRPr="00B52707">
        <w:rPr>
          <w:color w:val="0070C0"/>
          <w:sz w:val="16"/>
          <w:szCs w:val="16"/>
        </w:rPr>
        <w:t>Сошли с дистанции, не пройдя ни одного этапа, пилоты:</w:t>
      </w:r>
    </w:p>
    <w:p w14:paraId="06D49595" w14:textId="77777777" w:rsidR="00D9091D" w:rsidRPr="00B52707" w:rsidRDefault="00D9091D" w:rsidP="00D9091D">
      <w:pPr>
        <w:jc w:val="both"/>
        <w:rPr>
          <w:color w:val="0070C0"/>
          <w:sz w:val="16"/>
          <w:szCs w:val="16"/>
        </w:rPr>
      </w:pPr>
      <w:r w:rsidRPr="00B52707">
        <w:rPr>
          <w:color w:val="0070C0"/>
          <w:sz w:val="16"/>
          <w:szCs w:val="16"/>
        </w:rPr>
        <w:t>- Адаро (Adaro, Италия) на моноплане «Депердюссен» (тип – н.д.) с двигателем «Рон» 80 л.с.;</w:t>
      </w:r>
    </w:p>
    <w:p w14:paraId="247B2AC8" w14:textId="77777777" w:rsidR="00D9091D" w:rsidRPr="00B52707" w:rsidRDefault="00D9091D" w:rsidP="00D9091D">
      <w:pPr>
        <w:jc w:val="both"/>
        <w:rPr>
          <w:color w:val="0070C0"/>
          <w:sz w:val="16"/>
          <w:szCs w:val="16"/>
        </w:rPr>
      </w:pPr>
      <w:r w:rsidRPr="00B52707">
        <w:rPr>
          <w:color w:val="0070C0"/>
          <w:sz w:val="16"/>
          <w:szCs w:val="16"/>
        </w:rPr>
        <w:t>- Бертан (Bertin, Франция) на многоплане «Ньюпор» (тип – н.д.) с двигателем «Гном» 100 л.с.;</w:t>
      </w:r>
    </w:p>
    <w:p w14:paraId="2424F03B" w14:textId="77777777" w:rsidR="00D9091D" w:rsidRPr="00B52707" w:rsidRDefault="00D9091D" w:rsidP="00D9091D">
      <w:pPr>
        <w:jc w:val="both"/>
        <w:rPr>
          <w:color w:val="0070C0"/>
          <w:sz w:val="16"/>
          <w:szCs w:val="16"/>
        </w:rPr>
      </w:pPr>
      <w:r w:rsidRPr="00B52707">
        <w:rPr>
          <w:color w:val="0070C0"/>
          <w:sz w:val="16"/>
          <w:szCs w:val="16"/>
        </w:rPr>
        <w:t>- Губер (Gaubert, Франция) на биплане А. Фарман с двигателем «Рено» 120 л.с., заменил его на «Авиатик» с двигателем «Сальмсон» 95 л.с., но и на нем дистанцию не прошел;</w:t>
      </w:r>
    </w:p>
    <w:p w14:paraId="3820DC67" w14:textId="77777777" w:rsidR="00D9091D" w:rsidRPr="00B52707" w:rsidRDefault="00D9091D" w:rsidP="00D9091D">
      <w:pPr>
        <w:jc w:val="both"/>
        <w:rPr>
          <w:color w:val="0070C0"/>
          <w:sz w:val="16"/>
          <w:szCs w:val="16"/>
        </w:rPr>
      </w:pPr>
      <w:r w:rsidRPr="00B52707">
        <w:rPr>
          <w:color w:val="0070C0"/>
          <w:sz w:val="16"/>
          <w:szCs w:val="16"/>
        </w:rPr>
        <w:t>- Жильбер (Gilbert, Франция) на моноплане Моран-Солнье Тип Н с двигателем «Гном» 80 л.с., заменил его на «Депердюссен» с двигателем «Рон» 140 л.с., затем на биплан А. Фарман с двигателем «Рон» 80 л.с., и все равно дистанцию не прошел;</w:t>
      </w:r>
    </w:p>
    <w:p w14:paraId="5FB43482" w14:textId="77777777" w:rsidR="00D9091D" w:rsidRPr="00B52707" w:rsidRDefault="00D9091D" w:rsidP="00D9091D">
      <w:pPr>
        <w:jc w:val="both"/>
        <w:rPr>
          <w:color w:val="0070C0"/>
          <w:sz w:val="16"/>
          <w:szCs w:val="16"/>
        </w:rPr>
      </w:pPr>
      <w:r w:rsidRPr="00B52707">
        <w:rPr>
          <w:color w:val="0070C0"/>
          <w:sz w:val="16"/>
          <w:szCs w:val="16"/>
        </w:rPr>
        <w:t>- Докур на моноплане «Борел» с двигателем «Гном» 80 л.с.;</w:t>
      </w:r>
    </w:p>
    <w:p w14:paraId="1F4F37F2" w14:textId="77777777" w:rsidR="00D9091D" w:rsidRPr="00B52707" w:rsidRDefault="00D9091D" w:rsidP="00D9091D">
      <w:pPr>
        <w:jc w:val="both"/>
        <w:rPr>
          <w:color w:val="0070C0"/>
          <w:sz w:val="16"/>
          <w:szCs w:val="16"/>
        </w:rPr>
      </w:pPr>
      <w:r w:rsidRPr="00B52707">
        <w:rPr>
          <w:color w:val="0070C0"/>
          <w:sz w:val="16"/>
          <w:szCs w:val="16"/>
        </w:rPr>
        <w:t>- Дером (Derome, Франция) на самолете «Бреге» с двигателем «Гном» 160 л.с.;</w:t>
      </w:r>
    </w:p>
    <w:p w14:paraId="3D21F4CA" w14:textId="77777777" w:rsidR="00D9091D" w:rsidRPr="00B52707" w:rsidRDefault="00D9091D" w:rsidP="00D9091D">
      <w:pPr>
        <w:jc w:val="both"/>
        <w:rPr>
          <w:color w:val="0070C0"/>
          <w:sz w:val="16"/>
          <w:szCs w:val="16"/>
        </w:rPr>
      </w:pPr>
      <w:r w:rsidRPr="00B52707">
        <w:rPr>
          <w:color w:val="0070C0"/>
          <w:sz w:val="16"/>
          <w:szCs w:val="16"/>
        </w:rPr>
        <w:t>- Диветен (Франция) на моноплане «Борел-Дено» с двигателем «Гном» 100 л.с.;</w:t>
      </w:r>
    </w:p>
    <w:p w14:paraId="5AB8B3DC" w14:textId="77777777" w:rsidR="00D9091D" w:rsidRPr="00B52707" w:rsidRDefault="00D9091D" w:rsidP="00D9091D">
      <w:pPr>
        <w:jc w:val="both"/>
        <w:rPr>
          <w:color w:val="0070C0"/>
          <w:sz w:val="16"/>
          <w:szCs w:val="16"/>
        </w:rPr>
      </w:pPr>
      <w:r w:rsidRPr="00B52707">
        <w:rPr>
          <w:color w:val="0070C0"/>
          <w:sz w:val="16"/>
          <w:szCs w:val="16"/>
        </w:rPr>
        <w:t>- Кавиджиа (Италия) на поплавковом моноплане Джаккья, Боттарлини и Вользита «Италия» (Jacchia-Bottarlini-Wolsit Italia)</w:t>
      </w:r>
    </w:p>
    <w:p w14:paraId="7AD8EDE3" w14:textId="77777777" w:rsidR="00D9091D" w:rsidRPr="00B52707" w:rsidRDefault="00D9091D" w:rsidP="00D9091D">
      <w:pPr>
        <w:jc w:val="both"/>
        <w:rPr>
          <w:color w:val="0070C0"/>
          <w:sz w:val="16"/>
          <w:szCs w:val="16"/>
        </w:rPr>
      </w:pPr>
      <w:r w:rsidRPr="00B52707">
        <w:rPr>
          <w:color w:val="0070C0"/>
          <w:sz w:val="16"/>
          <w:szCs w:val="16"/>
        </w:rPr>
        <w:t>- Кербери (Великобритания, команда «Моран-Солнье», Франция) на моноплане Моран-Солнье Тип Н с двигателем «Гном» 80 л.с.;</w:t>
      </w:r>
    </w:p>
    <w:p w14:paraId="6F2B1E0A" w14:textId="77777777" w:rsidR="00D9091D" w:rsidRPr="00B52707" w:rsidRDefault="00D9091D" w:rsidP="00D9091D">
      <w:pPr>
        <w:jc w:val="both"/>
        <w:rPr>
          <w:color w:val="0070C0"/>
          <w:sz w:val="16"/>
          <w:szCs w:val="16"/>
        </w:rPr>
      </w:pPr>
      <w:r w:rsidRPr="00B52707">
        <w:rPr>
          <w:color w:val="0070C0"/>
          <w:sz w:val="16"/>
          <w:szCs w:val="16"/>
        </w:rPr>
        <w:t>- Леганье (Франция) на моноплане «Ньюпор» с двигателем «Клерже» 80 л.с.;</w:t>
      </w:r>
    </w:p>
    <w:p w14:paraId="642C5A25" w14:textId="77777777" w:rsidR="00D9091D" w:rsidRPr="00B52707" w:rsidRDefault="00D9091D" w:rsidP="00D9091D">
      <w:pPr>
        <w:jc w:val="both"/>
        <w:rPr>
          <w:color w:val="0070C0"/>
          <w:sz w:val="16"/>
          <w:szCs w:val="16"/>
        </w:rPr>
      </w:pPr>
      <w:r w:rsidRPr="00B52707">
        <w:rPr>
          <w:color w:val="0070C0"/>
          <w:sz w:val="16"/>
          <w:szCs w:val="16"/>
        </w:rPr>
        <w:t>- Маляр (Malard, Франция) на моноплане «Ньюпор» с двигателем «Рон» 110 л.с.;</w:t>
      </w:r>
    </w:p>
    <w:p w14:paraId="148B28AB" w14:textId="77777777" w:rsidR="00D9091D" w:rsidRPr="00B52707" w:rsidRDefault="00D9091D" w:rsidP="00D9091D">
      <w:pPr>
        <w:jc w:val="both"/>
        <w:rPr>
          <w:color w:val="0070C0"/>
          <w:sz w:val="16"/>
          <w:szCs w:val="16"/>
        </w:rPr>
      </w:pPr>
      <w:r w:rsidRPr="00B52707">
        <w:rPr>
          <w:color w:val="0070C0"/>
          <w:sz w:val="16"/>
          <w:szCs w:val="16"/>
        </w:rPr>
        <w:t>- Мекон (Франция) на биплане Кодрон G.III с двигателем «Гном» 80 л.с.;</w:t>
      </w:r>
    </w:p>
    <w:p w14:paraId="39A3D8D3" w14:textId="77777777" w:rsidR="00D9091D" w:rsidRPr="00B52707" w:rsidRDefault="00D9091D" w:rsidP="00D9091D">
      <w:pPr>
        <w:jc w:val="both"/>
        <w:rPr>
          <w:color w:val="0070C0"/>
          <w:sz w:val="16"/>
          <w:szCs w:val="16"/>
        </w:rPr>
      </w:pPr>
      <w:r w:rsidRPr="00B52707">
        <w:rPr>
          <w:color w:val="0070C0"/>
          <w:sz w:val="16"/>
          <w:szCs w:val="16"/>
        </w:rPr>
        <w:t>- Муаню (Moineau, Франция) на самолете «Бреге» с двигателем «Сальмсон» 130 л.с.;</w:t>
      </w:r>
    </w:p>
    <w:p w14:paraId="5DC1F30A" w14:textId="77777777" w:rsidR="00D9091D" w:rsidRPr="00B52707" w:rsidRDefault="00D9091D" w:rsidP="00D9091D">
      <w:pPr>
        <w:jc w:val="both"/>
        <w:rPr>
          <w:color w:val="0070C0"/>
          <w:sz w:val="16"/>
          <w:szCs w:val="16"/>
        </w:rPr>
      </w:pPr>
      <w:r w:rsidRPr="00B52707">
        <w:rPr>
          <w:color w:val="0070C0"/>
          <w:sz w:val="16"/>
          <w:szCs w:val="16"/>
        </w:rPr>
        <w:t>- Молла (Франция) на летающей лодке «Донне-Левек» двигателем «Гном» 80 л.с. сошел с дистанции, пересел на биплан с колесным шасси R.E.P. с двигателем «Гном» 80 л.с. и тоже дистанцию до конца пройти не смог;</w:t>
      </w:r>
    </w:p>
    <w:p w14:paraId="74959F0C" w14:textId="77777777" w:rsidR="00D9091D" w:rsidRPr="00B52707" w:rsidRDefault="00D9091D" w:rsidP="00D9091D">
      <w:pPr>
        <w:jc w:val="both"/>
        <w:rPr>
          <w:color w:val="0070C0"/>
          <w:sz w:val="16"/>
          <w:szCs w:val="16"/>
        </w:rPr>
      </w:pPr>
      <w:r w:rsidRPr="00B52707">
        <w:rPr>
          <w:color w:val="0070C0"/>
          <w:sz w:val="16"/>
          <w:szCs w:val="16"/>
        </w:rPr>
        <w:t>- Порп (Бельгия – в команде «Моран-Солнье) на моноплане Моран-Солнье Тип Н с двигателем «Гном» 80 л.с.;</w:t>
      </w:r>
    </w:p>
    <w:p w14:paraId="2B037616" w14:textId="77777777" w:rsidR="00D9091D" w:rsidRPr="00B52707" w:rsidRDefault="00D9091D" w:rsidP="00D9091D">
      <w:pPr>
        <w:jc w:val="both"/>
        <w:rPr>
          <w:color w:val="0070C0"/>
          <w:sz w:val="16"/>
          <w:szCs w:val="16"/>
        </w:rPr>
      </w:pPr>
      <w:r w:rsidRPr="00B52707">
        <w:rPr>
          <w:color w:val="0070C0"/>
          <w:sz w:val="16"/>
          <w:szCs w:val="16"/>
        </w:rPr>
        <w:t>- Рено (Франция) на биплане М. Фарман с двигателем «Рено» 120 л.с.;</w:t>
      </w:r>
    </w:p>
    <w:p w14:paraId="3ED60508" w14:textId="77777777" w:rsidR="00D9091D" w:rsidRPr="00B52707" w:rsidRDefault="00D9091D" w:rsidP="00D9091D">
      <w:pPr>
        <w:jc w:val="both"/>
        <w:rPr>
          <w:color w:val="0070C0"/>
          <w:sz w:val="16"/>
          <w:szCs w:val="16"/>
        </w:rPr>
      </w:pPr>
      <w:r w:rsidRPr="00B52707">
        <w:rPr>
          <w:color w:val="0070C0"/>
          <w:sz w:val="16"/>
          <w:szCs w:val="16"/>
        </w:rPr>
        <w:t>- Ружье (Франция) на поплавковом гидросамолете Санчес Беза Биплан №3 с двигателем «Рено» 100 л.с.;</w:t>
      </w:r>
    </w:p>
    <w:p w14:paraId="338BD1FC" w14:textId="77777777" w:rsidR="00D9091D" w:rsidRPr="00B52707" w:rsidRDefault="00D9091D" w:rsidP="00D9091D">
      <w:pPr>
        <w:jc w:val="both"/>
        <w:rPr>
          <w:color w:val="0070C0"/>
          <w:sz w:val="16"/>
          <w:szCs w:val="16"/>
        </w:rPr>
      </w:pPr>
      <w:r w:rsidRPr="00B52707">
        <w:rPr>
          <w:color w:val="0070C0"/>
          <w:sz w:val="16"/>
          <w:szCs w:val="16"/>
        </w:rPr>
        <w:t>- Хирт (Германия) на самолете «Альбатрос» с двигателем «Бенц» 120 л.с.;</w:t>
      </w:r>
    </w:p>
    <w:p w14:paraId="16036E5E" w14:textId="77777777" w:rsidR="00D9091D" w:rsidRPr="00B52707" w:rsidRDefault="00D9091D" w:rsidP="00D9091D">
      <w:pPr>
        <w:jc w:val="both"/>
        <w:rPr>
          <w:color w:val="0070C0"/>
          <w:sz w:val="16"/>
          <w:szCs w:val="16"/>
        </w:rPr>
      </w:pPr>
      <w:r w:rsidRPr="00B52707">
        <w:rPr>
          <w:color w:val="0070C0"/>
          <w:sz w:val="16"/>
          <w:szCs w:val="16"/>
        </w:rPr>
        <w:t>- Чеваско (Италия) на моноплане SAI Gabardini Tipo 2 (SIA 2);</w:t>
      </w:r>
    </w:p>
    <w:p w14:paraId="1CADBA02" w14:textId="77777777" w:rsidR="00D9091D" w:rsidRPr="00B52707" w:rsidRDefault="00D9091D" w:rsidP="00D9091D">
      <w:pPr>
        <w:jc w:val="both"/>
        <w:rPr>
          <w:color w:val="0070C0"/>
          <w:sz w:val="16"/>
          <w:szCs w:val="16"/>
        </w:rPr>
      </w:pPr>
      <w:r w:rsidRPr="00B52707">
        <w:rPr>
          <w:color w:val="0070C0"/>
          <w:sz w:val="16"/>
          <w:szCs w:val="16"/>
        </w:rPr>
        <w:t>- Шеме (Франция) на моноплане «Борел» с двигателем «Гном» 80 л.с.;</w:t>
      </w:r>
    </w:p>
    <w:p w14:paraId="4FC5987F" w14:textId="77777777" w:rsidR="00D9091D" w:rsidRPr="00B52707" w:rsidRDefault="00D9091D" w:rsidP="00D9091D">
      <w:pPr>
        <w:jc w:val="both"/>
        <w:rPr>
          <w:color w:val="0070C0"/>
          <w:sz w:val="16"/>
          <w:szCs w:val="16"/>
        </w:rPr>
      </w:pPr>
      <w:r w:rsidRPr="00B52707">
        <w:rPr>
          <w:color w:val="0070C0"/>
          <w:sz w:val="16"/>
          <w:szCs w:val="16"/>
        </w:rPr>
        <w:t>- Шеммель (Schemmel, Германия) на самолете «Рушоне» с двигателем «Гном» 100 л.с. (фактически – Hanriot Type VII или Type VIII, но же – Hanriot 100 ch Monoplane, Le Cigare, построенный под руководством Э. Рушоне на фирме «Анрио»);</w:t>
      </w:r>
    </w:p>
    <w:p w14:paraId="6A781BB2" w14:textId="77777777" w:rsidR="00D9091D" w:rsidRPr="00B52707" w:rsidRDefault="00D9091D" w:rsidP="00D9091D">
      <w:pPr>
        <w:jc w:val="both"/>
        <w:rPr>
          <w:color w:val="0070C0"/>
          <w:sz w:val="16"/>
          <w:szCs w:val="16"/>
        </w:rPr>
      </w:pPr>
      <w:r w:rsidRPr="00B52707">
        <w:rPr>
          <w:color w:val="0070C0"/>
          <w:sz w:val="16"/>
          <w:szCs w:val="16"/>
        </w:rPr>
        <w:t>- Шлегель (Schlegel, Германия) на моноплане Гота «Таубе» с двигателем «Бенц» 105 л.с.;</w:t>
      </w:r>
    </w:p>
    <w:p w14:paraId="1CCB7A85" w14:textId="77777777" w:rsidR="00D9091D" w:rsidRPr="00B52707" w:rsidRDefault="00D9091D" w:rsidP="00D9091D">
      <w:pPr>
        <w:jc w:val="both"/>
        <w:rPr>
          <w:color w:val="0070C0"/>
          <w:sz w:val="16"/>
          <w:szCs w:val="16"/>
        </w:rPr>
      </w:pPr>
      <w:r w:rsidRPr="00B52707">
        <w:rPr>
          <w:color w:val="0070C0"/>
          <w:sz w:val="16"/>
          <w:szCs w:val="16"/>
        </w:rPr>
        <w:t>- Штоффлер (Stoeffler, Германия) на самолете «Авиатик» с двигателем «Бенц» 100 л.с.</w:t>
      </w:r>
    </w:p>
    <w:p w14:paraId="452807A6" w14:textId="77777777" w:rsidR="00D9091D" w:rsidRPr="00B52707" w:rsidRDefault="00D9091D" w:rsidP="00D9091D">
      <w:pPr>
        <w:jc w:val="both"/>
        <w:rPr>
          <w:color w:val="0070C0"/>
          <w:sz w:val="16"/>
          <w:szCs w:val="16"/>
        </w:rPr>
      </w:pPr>
      <w:r w:rsidRPr="00B52707">
        <w:rPr>
          <w:color w:val="0070C0"/>
          <w:sz w:val="16"/>
          <w:szCs w:val="16"/>
        </w:rPr>
        <w:t>Это были последние спортивные соревнования, в которых самолеты Моран-Солнье Тип G/H приняли участие (25704).</w:t>
      </w:r>
    </w:p>
    <w:p w14:paraId="2BBA4226" w14:textId="77777777" w:rsidR="00D9091D" w:rsidRPr="00B52707" w:rsidRDefault="00D9091D" w:rsidP="00D9091D">
      <w:pPr>
        <w:jc w:val="both"/>
        <w:rPr>
          <w:color w:val="0070C0"/>
          <w:sz w:val="16"/>
          <w:szCs w:val="16"/>
        </w:rPr>
      </w:pPr>
    </w:p>
    <w:p w14:paraId="53209955" w14:textId="514717B6"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24A74353" w14:textId="77777777" w:rsidR="00B67D7C" w:rsidRPr="00DE096C" w:rsidRDefault="00B67D7C" w:rsidP="00D45A46">
      <w:pPr>
        <w:shd w:val="clear" w:color="auto" w:fill="FFFFFF"/>
        <w:jc w:val="both"/>
        <w:rPr>
          <w:bCs/>
          <w:i/>
          <w:color w:val="002060"/>
          <w:sz w:val="16"/>
          <w:szCs w:val="16"/>
        </w:rPr>
      </w:pPr>
    </w:p>
    <w:p w14:paraId="6681EE1D" w14:textId="75C07330" w:rsidR="004322C4" w:rsidRPr="00DE096C" w:rsidRDefault="004322C4" w:rsidP="00D45A46">
      <w:pPr>
        <w:shd w:val="clear" w:color="auto" w:fill="FFFFFF"/>
        <w:jc w:val="both"/>
        <w:rPr>
          <w:bCs/>
          <w:color w:val="002060"/>
          <w:sz w:val="16"/>
          <w:szCs w:val="16"/>
        </w:rPr>
      </w:pPr>
      <w:r w:rsidRPr="00DE096C">
        <w:rPr>
          <w:bCs/>
          <w:color w:val="002060"/>
          <w:sz w:val="16"/>
          <w:szCs w:val="16"/>
        </w:rPr>
        <w:t>18 (31) марта, 4 (17) и , 11 (24) 1914 г. февральские предложения генерала Болотова трижды рассматривались на заседаниях Технического комитета ГВТУ. На них из-за межведомственных трений отсутствовали представители Генштаба, в том числе и бывший начальник Воздухоплава</w:t>
      </w:r>
      <w:r w:rsidRPr="00DE096C">
        <w:rPr>
          <w:bCs/>
          <w:color w:val="002060"/>
          <w:sz w:val="16"/>
          <w:szCs w:val="16"/>
        </w:rPr>
        <w:softHyphen/>
        <w:t>тельной части Шишкевич. В результате обсуждения вопроса «О типах...» пришли к вы</w:t>
      </w:r>
      <w:r w:rsidRPr="00DE096C">
        <w:rPr>
          <w:bCs/>
          <w:color w:val="002060"/>
          <w:sz w:val="16"/>
          <w:szCs w:val="16"/>
        </w:rPr>
        <w:softHyphen/>
        <w:t>воду, что следует заказать для полевых (армейских) и крепостных отрядов самолёты: «Вуазен», «Сикорский-Х» и «Фарман-ХХИ», а для корпусных отрядов — «Депердюссен», «Моран-Парасоль» и «Сикорский-Х1». Для отрядов особого назначения предусматрива</w:t>
      </w:r>
      <w:r w:rsidRPr="00DE096C">
        <w:rPr>
          <w:bCs/>
          <w:color w:val="002060"/>
          <w:sz w:val="16"/>
          <w:szCs w:val="16"/>
        </w:rPr>
        <w:softHyphen/>
        <w:t>лось сделать заказы на одноместные «Моран-Сольнье».</w:t>
      </w:r>
    </w:p>
    <w:p w14:paraId="2198B3C4" w14:textId="77777777" w:rsidR="004322C4" w:rsidRPr="00DE096C" w:rsidRDefault="004322C4" w:rsidP="00D45A46">
      <w:pPr>
        <w:shd w:val="clear" w:color="auto" w:fill="FFFFFF"/>
        <w:jc w:val="both"/>
        <w:rPr>
          <w:bCs/>
          <w:color w:val="002060"/>
          <w:sz w:val="16"/>
          <w:szCs w:val="16"/>
        </w:rPr>
      </w:pPr>
      <w:r w:rsidRPr="00DE096C">
        <w:rPr>
          <w:bCs/>
          <w:color w:val="002060"/>
          <w:sz w:val="16"/>
          <w:szCs w:val="16"/>
        </w:rPr>
        <w:t>Так менее чем за полгода, обозначив «новую позицию» в вопросе о вооружении лета</w:t>
      </w:r>
      <w:r w:rsidRPr="00DE096C">
        <w:rPr>
          <w:bCs/>
          <w:color w:val="002060"/>
          <w:sz w:val="16"/>
          <w:szCs w:val="16"/>
        </w:rPr>
        <w:softHyphen/>
        <w:t>тельных аппаратов, «похоронили» пионерские работы по вооружению и бронированию са</w:t>
      </w:r>
      <w:r w:rsidRPr="00DE096C">
        <w:rPr>
          <w:bCs/>
          <w:color w:val="002060"/>
          <w:sz w:val="16"/>
          <w:szCs w:val="16"/>
        </w:rPr>
        <w:softHyphen/>
        <w:t>молётов, проводившиеся в 1912-1913 гг. под руководством Шишкевича. Понятно, что при таком подходе Шишкевичу уже не было места в новой структуре ГВТУ. Печальным итогом стало то, что начавшуюся летом 1914 г. Первую мировую войну русская боевая авиация встретила невооруженной, что и заставило П.Н. Нестерова пожертвовать собой, совершая первый в мире воздушный таран.</w:t>
      </w:r>
    </w:p>
    <w:p w14:paraId="7A3528E3" w14:textId="77777777" w:rsidR="004322C4" w:rsidRPr="00DE096C" w:rsidRDefault="004322C4" w:rsidP="00D45A46">
      <w:pPr>
        <w:shd w:val="clear" w:color="auto" w:fill="FFFFFF"/>
        <w:jc w:val="both"/>
        <w:rPr>
          <w:bCs/>
          <w:color w:val="002060"/>
          <w:sz w:val="16"/>
          <w:szCs w:val="16"/>
        </w:rPr>
      </w:pPr>
      <w:r w:rsidRPr="00DE096C">
        <w:rPr>
          <w:bCs/>
          <w:color w:val="002060"/>
          <w:sz w:val="16"/>
          <w:szCs w:val="16"/>
        </w:rPr>
        <w:t>Вероятно, именно это имел в виду В.Б. Шавров, когда писал, что «с первых же дней войны стали сказываться тяжёлые просчеты, преступные упущения и крупнейшие не</w:t>
      </w:r>
      <w:r w:rsidRPr="00DE096C">
        <w:rPr>
          <w:bCs/>
          <w:color w:val="002060"/>
          <w:sz w:val="16"/>
          <w:szCs w:val="16"/>
        </w:rPr>
        <w:softHyphen/>
        <w:t>достатки в руководстве русской авиацией...» (Шавров В.Б. История конструкций самолётов в СССР до 1938 г. М., 1978. С. 151.)</w:t>
      </w:r>
      <w:r w:rsidRPr="00DE096C">
        <w:rPr>
          <w:bCs/>
          <w:color w:val="002060"/>
          <w:sz w:val="16"/>
          <w:szCs w:val="16"/>
          <w:vertAlign w:val="superscript"/>
        </w:rPr>
        <w:t>10</w:t>
      </w:r>
      <w:r w:rsidRPr="00DE096C">
        <w:rPr>
          <w:bCs/>
          <w:color w:val="002060"/>
          <w:sz w:val="16"/>
          <w:szCs w:val="16"/>
        </w:rPr>
        <w:t>.</w:t>
      </w:r>
    </w:p>
    <w:p w14:paraId="646E7FA1" w14:textId="77777777" w:rsidR="004322C4" w:rsidRPr="00DE096C" w:rsidRDefault="004322C4" w:rsidP="00D45A46">
      <w:pPr>
        <w:shd w:val="clear" w:color="auto" w:fill="FFFFFF"/>
        <w:jc w:val="both"/>
        <w:rPr>
          <w:bCs/>
          <w:color w:val="002060"/>
          <w:sz w:val="16"/>
          <w:szCs w:val="16"/>
        </w:rPr>
      </w:pPr>
      <w:r w:rsidRPr="00DE096C">
        <w:rPr>
          <w:bCs/>
          <w:color w:val="002060"/>
          <w:sz w:val="16"/>
          <w:szCs w:val="16"/>
        </w:rPr>
        <w:lastRenderedPageBreak/>
        <w:t>Кстати, именно М.И. Шишкевич высказал мысль о целесообразности 30-суточного ареста Нестерова за выполнение «мертвой петли«. Так что не все было гладко у «ге</w:t>
      </w:r>
      <w:r w:rsidRPr="00DE096C">
        <w:rPr>
          <w:bCs/>
          <w:color w:val="002060"/>
          <w:sz w:val="16"/>
          <w:szCs w:val="16"/>
        </w:rPr>
        <w:softHyphen/>
        <w:t>нерала от авиации« с перспективами её развития. Но в целом его деятельность на по</w:t>
      </w:r>
      <w:r w:rsidRPr="00DE096C">
        <w:rPr>
          <w:bCs/>
          <w:color w:val="002060"/>
          <w:sz w:val="16"/>
          <w:szCs w:val="16"/>
        </w:rPr>
        <w:softHyphen/>
        <w:t>сту начальника Воздухоплавательной части ГУ ГШ в 1912-1913 гг. следует оценивать весьма высоко. Несколько слов о его дальнейшей судьбе.</w:t>
      </w:r>
    </w:p>
    <w:p w14:paraId="7E23245E" w14:textId="77777777" w:rsidR="004322C4" w:rsidRPr="00DE096C" w:rsidRDefault="004322C4" w:rsidP="00D45A46">
      <w:pPr>
        <w:shd w:val="clear" w:color="auto" w:fill="FFFFFF"/>
        <w:jc w:val="both"/>
        <w:rPr>
          <w:bCs/>
          <w:color w:val="002060"/>
          <w:sz w:val="16"/>
          <w:szCs w:val="16"/>
        </w:rPr>
      </w:pPr>
      <w:r w:rsidRPr="00DE096C">
        <w:rPr>
          <w:bCs/>
          <w:color w:val="002060"/>
          <w:sz w:val="16"/>
          <w:szCs w:val="16"/>
        </w:rPr>
        <w:t>Во время первой мировой войны Шишкевич служил начальником штаба 7-й, 11-й и Дунайской армий, 2 декабря 1916г. стал начальником штаба Румынского фронта. В ян</w:t>
      </w:r>
      <w:r w:rsidRPr="00DE096C">
        <w:rPr>
          <w:bCs/>
          <w:color w:val="002060"/>
          <w:sz w:val="16"/>
          <w:szCs w:val="16"/>
        </w:rPr>
        <w:softHyphen/>
        <w:t>варе 1916 г. получил звание генерал-лейтенанта и 16 августа 1916 г. был награжден ор</w:t>
      </w:r>
      <w:r w:rsidRPr="00DE096C">
        <w:rPr>
          <w:bCs/>
          <w:color w:val="002060"/>
          <w:sz w:val="16"/>
          <w:szCs w:val="16"/>
        </w:rPr>
        <w:softHyphen/>
        <w:t>деном Св. Георгия 4-й степени. 29 апреля 1917 г. 55-летний генерал по болезни был «зачислен в резерв чинов«, а приказом по Московскому округу от 27 ноября 1917 г. уволен в отставку. Проживал в Москве по адресу Остоженка, д. 10, кв. 11 (РГВИА. Ф. 409ПС. Д. 151-522. 76)</w:t>
      </w:r>
      <w:r w:rsidRPr="00DE096C">
        <w:rPr>
          <w:bCs/>
          <w:color w:val="002060"/>
          <w:sz w:val="16"/>
          <w:szCs w:val="16"/>
          <w:vertAlign w:val="superscript"/>
        </w:rPr>
        <w:t>11</w:t>
      </w:r>
      <w:r w:rsidRPr="00DE096C">
        <w:rPr>
          <w:bCs/>
          <w:color w:val="002060"/>
          <w:sz w:val="16"/>
          <w:szCs w:val="16"/>
        </w:rPr>
        <w:t>.</w:t>
      </w:r>
    </w:p>
    <w:p w14:paraId="25372508" w14:textId="77777777" w:rsidR="004322C4" w:rsidRPr="00DE096C" w:rsidRDefault="004322C4" w:rsidP="00D45A46">
      <w:pPr>
        <w:shd w:val="clear" w:color="auto" w:fill="FFFFFF"/>
        <w:jc w:val="both"/>
        <w:rPr>
          <w:bCs/>
          <w:color w:val="002060"/>
          <w:sz w:val="16"/>
          <w:szCs w:val="16"/>
        </w:rPr>
      </w:pPr>
      <w:r w:rsidRPr="00DE096C">
        <w:rPr>
          <w:bCs/>
          <w:color w:val="002060"/>
          <w:sz w:val="16"/>
          <w:szCs w:val="16"/>
        </w:rPr>
        <w:t>С этого адреса 14 июня 1918 г. в пенсионный отдел Главного штаба он отправил про</w:t>
      </w:r>
      <w:r w:rsidRPr="00DE096C">
        <w:rPr>
          <w:bCs/>
          <w:color w:val="002060"/>
          <w:sz w:val="16"/>
          <w:szCs w:val="16"/>
        </w:rPr>
        <w:softHyphen/>
        <w:t>шение о назначении пенсии. В течение месяца ранее служившему в МВО боевому ге</w:t>
      </w:r>
      <w:r w:rsidRPr="00DE096C">
        <w:rPr>
          <w:bCs/>
          <w:color w:val="002060"/>
          <w:sz w:val="16"/>
          <w:szCs w:val="16"/>
        </w:rPr>
        <w:softHyphen/>
        <w:t>нералу и кавалеру назначили пенсию из военной эмеритальной кассы и из Московской казенной палаты. По довоенным меркам сумма в 3600 руб. (2097+1503) могла считать</w:t>
      </w:r>
      <w:r w:rsidRPr="00DE096C">
        <w:rPr>
          <w:bCs/>
          <w:color w:val="002060"/>
          <w:sz w:val="16"/>
          <w:szCs w:val="16"/>
        </w:rPr>
        <w:softHyphen/>
        <w:t>ся вполне достаточной, но дело происходило в середине 1918 г.! Даже удивительно, что ещё функционировали финансовые структуры старого военного ведомства. Пенсионное дело Шишкевича закрыли 23 июля 1918 г., и неизвестно, получал ли от советской вла</w:t>
      </w:r>
      <w:r w:rsidRPr="00DE096C">
        <w:rPr>
          <w:bCs/>
          <w:color w:val="002060"/>
          <w:sz w:val="16"/>
          <w:szCs w:val="16"/>
        </w:rPr>
        <w:softHyphen/>
        <w:t>сти какие-либо выплаты царский генерал. Впрочем, в условиях бешеной инфляции во время гражданской войны этой суммы могло не хватить и на коробок спичек.</w:t>
      </w:r>
    </w:p>
    <w:p w14:paraId="4F94798C" w14:textId="77777777" w:rsidR="004322C4" w:rsidRPr="00DE096C" w:rsidRDefault="004322C4" w:rsidP="00D45A46">
      <w:pPr>
        <w:shd w:val="clear" w:color="auto" w:fill="FFFFFF"/>
        <w:jc w:val="both"/>
        <w:rPr>
          <w:bCs/>
          <w:color w:val="002060"/>
          <w:sz w:val="16"/>
          <w:szCs w:val="16"/>
        </w:rPr>
      </w:pPr>
      <w:r w:rsidRPr="00DE096C">
        <w:rPr>
          <w:bCs/>
          <w:color w:val="002060"/>
          <w:sz w:val="16"/>
          <w:szCs w:val="16"/>
        </w:rPr>
        <w:t>Сведений о последних годах жизни первого генерала от авиации М.И. Шишкевича пока не найдено (11696).</w:t>
      </w:r>
    </w:p>
    <w:p w14:paraId="0E07E14E" w14:textId="77777777" w:rsidR="004322C4" w:rsidRPr="00DE096C" w:rsidRDefault="004322C4" w:rsidP="00D45A46">
      <w:pPr>
        <w:shd w:val="clear" w:color="auto" w:fill="FFFFFF"/>
        <w:jc w:val="both"/>
        <w:rPr>
          <w:bCs/>
          <w:color w:val="002060"/>
          <w:sz w:val="16"/>
          <w:szCs w:val="16"/>
        </w:rPr>
      </w:pPr>
    </w:p>
    <w:p w14:paraId="72FB3490" w14:textId="7DA907C2"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w:t>
      </w:r>
    </w:p>
    <w:p w14:paraId="2A1C6483" w14:textId="77777777" w:rsidR="00B67D7C" w:rsidRPr="00DE096C" w:rsidRDefault="00B67D7C" w:rsidP="00D45A46">
      <w:pPr>
        <w:shd w:val="clear" w:color="auto" w:fill="FFFFFF"/>
        <w:jc w:val="both"/>
        <w:rPr>
          <w:bCs/>
          <w:i/>
          <w:color w:val="002060"/>
          <w:sz w:val="16"/>
          <w:szCs w:val="16"/>
        </w:rPr>
      </w:pPr>
    </w:p>
    <w:p w14:paraId="1E48B428" w14:textId="61BEE1F2" w:rsidR="00B67D7C" w:rsidRPr="00DE096C" w:rsidRDefault="004322C4" w:rsidP="00D45A46">
      <w:pPr>
        <w:jc w:val="both"/>
        <w:rPr>
          <w:bCs/>
          <w:color w:val="002060"/>
          <w:sz w:val="16"/>
          <w:szCs w:val="16"/>
        </w:rPr>
      </w:pPr>
      <w:r w:rsidRPr="00DE096C">
        <w:rPr>
          <w:bCs/>
          <w:color w:val="002060"/>
          <w:sz w:val="16"/>
          <w:szCs w:val="16"/>
        </w:rPr>
        <w:t>К</w:t>
      </w:r>
      <w:r w:rsidR="00B67D7C" w:rsidRPr="00DE096C">
        <w:rPr>
          <w:bCs/>
          <w:color w:val="002060"/>
          <w:sz w:val="16"/>
          <w:szCs w:val="16"/>
        </w:rPr>
        <w:t xml:space="preserve"> </w:t>
      </w:r>
      <w:r w:rsidR="007E5829" w:rsidRPr="00DE096C">
        <w:rPr>
          <w:bCs/>
          <w:color w:val="002060"/>
          <w:sz w:val="16"/>
          <w:szCs w:val="16"/>
        </w:rPr>
        <w:t>1</w:t>
      </w:r>
      <w:r w:rsidR="00B67D7C" w:rsidRPr="00DE096C">
        <w:rPr>
          <w:bCs/>
          <w:color w:val="002060"/>
          <w:sz w:val="16"/>
          <w:szCs w:val="16"/>
        </w:rPr>
        <w:t xml:space="preserve">9 марта (1-му) апреля 1914 года </w:t>
      </w:r>
      <w:r w:rsidRPr="00DE096C">
        <w:rPr>
          <w:bCs/>
          <w:color w:val="002060"/>
          <w:sz w:val="16"/>
          <w:szCs w:val="16"/>
        </w:rPr>
        <w:t xml:space="preserve">намечалось сформировать </w:t>
      </w:r>
      <w:r w:rsidR="00B67D7C" w:rsidRPr="00DE096C">
        <w:rPr>
          <w:bCs/>
          <w:color w:val="002060"/>
          <w:sz w:val="16"/>
          <w:szCs w:val="16"/>
        </w:rPr>
        <w:t>столько авиационных отрядов, чтобы каждый армейский корпус располагал одним из них, и подчинить эти отряды в оперативном отношении и в отношении военной подготовки главному командованию. Для удобства руководства в техническом отношении предлагалось объединить по несколько отрядов в группы под управлением авиационных командиров. Во главе их следовало поставить самостоятельного инспектора военной авиации, независимого от Главной инспекции военных сообщений. Эта простая организация позволила бы военной авиации и в мирное время поддерживать тесную связь с общевойсковым командованием, обеспечила бы ее взаимодействие с другими родами войск и дала бы возможность новому роду войск правильно развиваться дальше.Теперь, опираясь на опыт мировой войны, можно лишь сожалеть, что вместо этого авиационные части были связаны в общем порядке подчиненности с теми родами войск, с которыми они не имели ничего общего (11282).</w:t>
      </w:r>
    </w:p>
    <w:p w14:paraId="66342FB5" w14:textId="77777777" w:rsidR="00B67D7C" w:rsidRPr="00DE096C" w:rsidRDefault="00B67D7C" w:rsidP="00D45A46">
      <w:pPr>
        <w:jc w:val="both"/>
        <w:rPr>
          <w:bCs/>
          <w:color w:val="002060"/>
          <w:sz w:val="16"/>
          <w:szCs w:val="16"/>
        </w:rPr>
      </w:pPr>
    </w:p>
    <w:p w14:paraId="7B171009" w14:textId="77777777" w:rsidR="00B67D7C" w:rsidRPr="00DE096C" w:rsidRDefault="00B67D7C" w:rsidP="00D45A46">
      <w:pPr>
        <w:jc w:val="both"/>
        <w:rPr>
          <w:bCs/>
          <w:i/>
          <w:color w:val="002060"/>
          <w:sz w:val="16"/>
          <w:szCs w:val="16"/>
        </w:rPr>
      </w:pPr>
      <w:r w:rsidRPr="00DE096C">
        <w:rPr>
          <w:bCs/>
          <w:i/>
          <w:color w:val="002060"/>
          <w:sz w:val="16"/>
          <w:szCs w:val="16"/>
        </w:rPr>
        <w:t>Самолетостроение:</w:t>
      </w:r>
    </w:p>
    <w:p w14:paraId="3ECF2EF1" w14:textId="77777777" w:rsidR="00B67D7C" w:rsidRPr="00DE096C" w:rsidRDefault="00B67D7C" w:rsidP="00D45A46">
      <w:pPr>
        <w:jc w:val="both"/>
        <w:rPr>
          <w:bCs/>
          <w:i/>
          <w:color w:val="002060"/>
          <w:sz w:val="16"/>
          <w:szCs w:val="16"/>
        </w:rPr>
      </w:pPr>
    </w:p>
    <w:p w14:paraId="0151AE6C" w14:textId="1238022E"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21 марта </w:t>
      </w:r>
      <w:r w:rsidR="00E56BE8" w:rsidRPr="00DE096C">
        <w:rPr>
          <w:bCs/>
          <w:color w:val="002060"/>
          <w:sz w:val="16"/>
          <w:szCs w:val="16"/>
        </w:rPr>
        <w:t xml:space="preserve">(3 апреля) </w:t>
      </w:r>
      <w:r w:rsidRPr="00DE096C">
        <w:rPr>
          <w:bCs/>
          <w:color w:val="002060"/>
          <w:sz w:val="16"/>
          <w:szCs w:val="16"/>
        </w:rPr>
        <w:t xml:space="preserve">1914 г. </w:t>
      </w:r>
      <w:r w:rsidR="00E56BE8" w:rsidRPr="00DE096C">
        <w:rPr>
          <w:bCs/>
          <w:color w:val="002060"/>
          <w:sz w:val="16"/>
          <w:szCs w:val="16"/>
        </w:rPr>
        <w:t>Слюсаренко заключил с Главным военно-тех</w:t>
      </w:r>
      <w:r w:rsidR="00E56BE8" w:rsidRPr="00DE096C">
        <w:rPr>
          <w:bCs/>
          <w:color w:val="002060"/>
          <w:sz w:val="16"/>
          <w:szCs w:val="16"/>
        </w:rPr>
        <w:softHyphen/>
        <w:t xml:space="preserve">ническим управлением контракт </w:t>
      </w:r>
      <w:r w:rsidRPr="00DE096C">
        <w:rPr>
          <w:bCs/>
          <w:color w:val="002060"/>
          <w:sz w:val="16"/>
          <w:szCs w:val="16"/>
        </w:rPr>
        <w:t>за № 6703 на поставку аэро</w:t>
      </w:r>
      <w:r w:rsidRPr="00DE096C">
        <w:rPr>
          <w:bCs/>
          <w:color w:val="002060"/>
          <w:sz w:val="16"/>
          <w:szCs w:val="16"/>
        </w:rPr>
        <w:softHyphen/>
        <w:t>планов и запасных частей к ним (10707).</w:t>
      </w:r>
    </w:p>
    <w:p w14:paraId="359D1B69" w14:textId="77777777" w:rsidR="00B67D7C" w:rsidRPr="00DE096C" w:rsidRDefault="00B67D7C" w:rsidP="00D45A46">
      <w:pPr>
        <w:shd w:val="clear" w:color="auto" w:fill="FFFFFF"/>
        <w:jc w:val="both"/>
        <w:rPr>
          <w:bCs/>
          <w:color w:val="002060"/>
          <w:sz w:val="16"/>
          <w:szCs w:val="16"/>
        </w:rPr>
      </w:pPr>
    </w:p>
    <w:p w14:paraId="67314B22"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Морская авиация:</w:t>
      </w:r>
    </w:p>
    <w:p w14:paraId="691C414C" w14:textId="77777777" w:rsidR="00B67D7C" w:rsidRPr="00DE096C" w:rsidRDefault="00B67D7C" w:rsidP="00D45A46">
      <w:pPr>
        <w:shd w:val="clear" w:color="auto" w:fill="FFFFFF"/>
        <w:jc w:val="both"/>
        <w:rPr>
          <w:bCs/>
          <w:i/>
          <w:color w:val="002060"/>
          <w:sz w:val="16"/>
          <w:szCs w:val="16"/>
        </w:rPr>
      </w:pPr>
    </w:p>
    <w:p w14:paraId="06A2D528" w14:textId="1CAC2F89"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21 марта </w:t>
      </w:r>
      <w:r w:rsidR="00E56BE8" w:rsidRPr="00DE096C">
        <w:rPr>
          <w:bCs/>
          <w:color w:val="002060"/>
          <w:sz w:val="16"/>
          <w:szCs w:val="16"/>
        </w:rPr>
        <w:t xml:space="preserve">(3 апреля) </w:t>
      </w:r>
      <w:r w:rsidRPr="00DE096C">
        <w:rPr>
          <w:bCs/>
          <w:color w:val="002060"/>
          <w:sz w:val="16"/>
          <w:szCs w:val="16"/>
        </w:rPr>
        <w:t xml:space="preserve">1914 г. </w:t>
      </w:r>
      <w:r w:rsidR="00E56BE8" w:rsidRPr="00DE096C">
        <w:rPr>
          <w:bCs/>
          <w:color w:val="002060"/>
          <w:sz w:val="16"/>
          <w:szCs w:val="16"/>
        </w:rPr>
        <w:t>было предписание Шта</w:t>
      </w:r>
      <w:r w:rsidR="00E56BE8" w:rsidRPr="00DE096C">
        <w:rPr>
          <w:bCs/>
          <w:color w:val="002060"/>
          <w:sz w:val="16"/>
          <w:szCs w:val="16"/>
        </w:rPr>
        <w:softHyphen/>
        <w:t xml:space="preserve">ба </w:t>
      </w:r>
      <w:r w:rsidRPr="00DE096C">
        <w:rPr>
          <w:bCs/>
          <w:color w:val="002060"/>
          <w:sz w:val="16"/>
          <w:szCs w:val="16"/>
        </w:rPr>
        <w:t>за № 1408/8</w:t>
      </w:r>
      <w:r w:rsidR="00E56BE8" w:rsidRPr="00DE096C">
        <w:rPr>
          <w:bCs/>
          <w:color w:val="002060"/>
          <w:sz w:val="16"/>
          <w:szCs w:val="16"/>
        </w:rPr>
        <w:t>, в ответ на которое появился доклад на</w:t>
      </w:r>
      <w:r w:rsidR="00E56BE8" w:rsidRPr="00DE096C">
        <w:rPr>
          <w:bCs/>
          <w:color w:val="002060"/>
          <w:sz w:val="16"/>
          <w:szCs w:val="16"/>
        </w:rPr>
        <w:softHyphen/>
        <w:t>чальника службы связи БФ от 12 апреля 1914 г. в Морской генераль</w:t>
      </w:r>
      <w:r w:rsidR="00E56BE8" w:rsidRPr="00DE096C">
        <w:rPr>
          <w:bCs/>
          <w:color w:val="002060"/>
          <w:sz w:val="16"/>
          <w:szCs w:val="16"/>
        </w:rPr>
        <w:softHyphen/>
        <w:t>ный штаб</w:t>
      </w:r>
      <w:r w:rsidRPr="00DE096C">
        <w:rPr>
          <w:bCs/>
          <w:color w:val="002060"/>
          <w:sz w:val="16"/>
          <w:szCs w:val="16"/>
        </w:rPr>
        <w:t>: «из числа офицеров фло</w:t>
      </w:r>
      <w:r w:rsidRPr="00DE096C">
        <w:rPr>
          <w:bCs/>
          <w:color w:val="002060"/>
          <w:sz w:val="16"/>
          <w:szCs w:val="16"/>
        </w:rPr>
        <w:softHyphen/>
        <w:t>та, имеющих звание пилота, неко</w:t>
      </w:r>
      <w:r w:rsidRPr="00DE096C">
        <w:rPr>
          <w:bCs/>
          <w:color w:val="002060"/>
          <w:sz w:val="16"/>
          <w:szCs w:val="16"/>
        </w:rPr>
        <w:softHyphen/>
        <w:t>торые, как например лейтенант Дыбовский, инженер-механик капи</w:t>
      </w:r>
      <w:r w:rsidRPr="00DE096C">
        <w:rPr>
          <w:bCs/>
          <w:color w:val="002060"/>
          <w:sz w:val="16"/>
          <w:szCs w:val="16"/>
        </w:rPr>
        <w:softHyphen/>
        <w:t>тан Яцук, лейтенант Дорожинский, лейтенант Пиотровский не находят</w:t>
      </w:r>
      <w:r w:rsidRPr="00DE096C">
        <w:rPr>
          <w:bCs/>
          <w:color w:val="002060"/>
          <w:sz w:val="16"/>
          <w:szCs w:val="16"/>
        </w:rPr>
        <w:softHyphen/>
        <w:t>ся у прямого своего дела во фло</w:t>
      </w:r>
      <w:r w:rsidRPr="00DE096C">
        <w:rPr>
          <w:bCs/>
          <w:color w:val="002060"/>
          <w:sz w:val="16"/>
          <w:szCs w:val="16"/>
        </w:rPr>
        <w:softHyphen/>
        <w:t>те..». Возможно, в связи с тем, что для этих офицеров не нашлось мес</w:t>
      </w:r>
      <w:r w:rsidRPr="00DE096C">
        <w:rPr>
          <w:bCs/>
          <w:color w:val="002060"/>
          <w:sz w:val="16"/>
          <w:szCs w:val="16"/>
        </w:rPr>
        <w:softHyphen/>
        <w:t>та, Дыбовский перешёл в армейс</w:t>
      </w:r>
      <w:r w:rsidRPr="00DE096C">
        <w:rPr>
          <w:bCs/>
          <w:color w:val="002060"/>
          <w:sz w:val="16"/>
          <w:szCs w:val="16"/>
        </w:rPr>
        <w:softHyphen/>
        <w:t>кую авиацию, Яцук ушёл из флота, а Пиотровский убыл в США и за</w:t>
      </w:r>
      <w:r w:rsidRPr="00DE096C">
        <w:rPr>
          <w:bCs/>
          <w:color w:val="002060"/>
          <w:sz w:val="16"/>
          <w:szCs w:val="16"/>
        </w:rPr>
        <w:softHyphen/>
        <w:t>нимался приёмкой авиационной техники, оправляемой во Владиво</w:t>
      </w:r>
      <w:r w:rsidRPr="00DE096C">
        <w:rPr>
          <w:bCs/>
          <w:color w:val="002060"/>
          <w:sz w:val="16"/>
          <w:szCs w:val="16"/>
        </w:rPr>
        <w:softHyphen/>
        <w:t>сток (11759).</w:t>
      </w:r>
    </w:p>
    <w:p w14:paraId="2FD80F1D" w14:textId="2B69EB7B" w:rsidR="00B67D7C" w:rsidRPr="00DE096C" w:rsidRDefault="00B67D7C" w:rsidP="00D45A46">
      <w:pPr>
        <w:shd w:val="clear" w:color="auto" w:fill="FFFFFF"/>
        <w:jc w:val="both"/>
        <w:rPr>
          <w:bCs/>
          <w:color w:val="002060"/>
          <w:sz w:val="16"/>
          <w:szCs w:val="16"/>
        </w:rPr>
      </w:pPr>
    </w:p>
    <w:p w14:paraId="0EC88C20"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w:t>
      </w:r>
    </w:p>
    <w:p w14:paraId="3EB47121" w14:textId="77777777" w:rsidR="00B67D7C" w:rsidRPr="00DE096C" w:rsidRDefault="00B67D7C" w:rsidP="00D45A46">
      <w:pPr>
        <w:shd w:val="clear" w:color="auto" w:fill="FFFFFF"/>
        <w:jc w:val="both"/>
        <w:rPr>
          <w:bCs/>
          <w:i/>
          <w:color w:val="002060"/>
          <w:sz w:val="16"/>
          <w:szCs w:val="16"/>
        </w:rPr>
      </w:pPr>
    </w:p>
    <w:p w14:paraId="2B64E01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23 марта (5 апреля) 1914 И.И.Сикорский на самолете "Илья Муромец" с 9 пассажирами достиг высоты 1650 м и превысил на 100 м международный рекорд французского летчика» поднимавшегося с таким же ричеством пассажиров на биплане Поля Шмидта.Поскольку для установления нового международного рекорда требовалось превышение предыдущего на 150 м, данный полет был зачтен лишь как всероссийский ("Известия Николаевской военной академии".1914,стр.769).</w:t>
      </w:r>
    </w:p>
    <w:p w14:paraId="57F5E224" w14:textId="77777777" w:rsidR="00B67D7C" w:rsidRPr="00DE096C" w:rsidRDefault="00B67D7C" w:rsidP="00D45A46">
      <w:pPr>
        <w:shd w:val="clear" w:color="auto" w:fill="FFFFFF"/>
        <w:jc w:val="both"/>
        <w:rPr>
          <w:bCs/>
          <w:color w:val="002060"/>
          <w:sz w:val="16"/>
          <w:szCs w:val="16"/>
        </w:rPr>
      </w:pPr>
    </w:p>
    <w:p w14:paraId="2B64AF00" w14:textId="77777777" w:rsidR="00036E63" w:rsidRPr="00DE096C" w:rsidRDefault="00036E63" w:rsidP="00D45A46">
      <w:pPr>
        <w:jc w:val="both"/>
        <w:rPr>
          <w:bCs/>
          <w:color w:val="002060"/>
          <w:sz w:val="16"/>
          <w:szCs w:val="16"/>
        </w:rPr>
      </w:pPr>
      <w:r w:rsidRPr="00DE096C">
        <w:rPr>
          <w:bCs/>
          <w:color w:val="002060"/>
          <w:sz w:val="16"/>
          <w:szCs w:val="16"/>
        </w:rPr>
        <w:t>23 марта (5 апреля) 1914 г. И.И.Сикорский на самолете "Илья Муромец" с 9 пассажирами достиг высоты 1650 м и превысил на 100 м международный рекорд французского летчика, поднимавшегося с таким же количе</w:t>
      </w:r>
      <w:r w:rsidRPr="00DE096C">
        <w:rPr>
          <w:bCs/>
          <w:color w:val="002060"/>
          <w:sz w:val="16"/>
          <w:szCs w:val="16"/>
        </w:rPr>
        <w:softHyphen/>
        <w:t>ством пассажиров на биплане Поля Шмидта. Поскольку для установ</w:t>
      </w:r>
      <w:r w:rsidRPr="00DE096C">
        <w:rPr>
          <w:bCs/>
          <w:color w:val="002060"/>
          <w:sz w:val="16"/>
          <w:szCs w:val="16"/>
        </w:rPr>
        <w:softHyphen/>
        <w:t>ления нового международного рекорда требовалось превышение пре</w:t>
      </w:r>
      <w:r w:rsidRPr="00DE096C">
        <w:rPr>
          <w:bCs/>
          <w:color w:val="002060"/>
          <w:sz w:val="16"/>
          <w:szCs w:val="16"/>
        </w:rPr>
        <w:softHyphen/>
        <w:t>дыдущего на 150 м, Данный полет был зачтен лишь как всероссийский.</w:t>
      </w:r>
    </w:p>
    <w:p w14:paraId="509A6858" w14:textId="77777777" w:rsidR="00036E63" w:rsidRPr="00DE096C" w:rsidRDefault="00036E63" w:rsidP="00D45A46">
      <w:pPr>
        <w:jc w:val="both"/>
        <w:rPr>
          <w:bCs/>
          <w:color w:val="002060"/>
          <w:sz w:val="16"/>
          <w:szCs w:val="16"/>
        </w:rPr>
      </w:pPr>
      <w:r w:rsidRPr="00DE096C">
        <w:rPr>
          <w:bCs/>
          <w:color w:val="002060"/>
          <w:sz w:val="16"/>
          <w:szCs w:val="16"/>
        </w:rPr>
        <w:t>/"Известия Николаевской военной академии", 1914, стр.769/ (23320).</w:t>
      </w:r>
    </w:p>
    <w:p w14:paraId="4EA1CD89" w14:textId="77777777" w:rsidR="00036E63" w:rsidRPr="00DE096C" w:rsidRDefault="00036E63" w:rsidP="00D45A46">
      <w:pPr>
        <w:jc w:val="both"/>
        <w:rPr>
          <w:bCs/>
          <w:color w:val="002060"/>
          <w:sz w:val="16"/>
          <w:szCs w:val="16"/>
        </w:rPr>
      </w:pPr>
    </w:p>
    <w:p w14:paraId="0EF16EB9" w14:textId="77777777" w:rsidR="00583AC0" w:rsidRPr="00DE096C" w:rsidRDefault="00583AC0" w:rsidP="00D45A46">
      <w:pPr>
        <w:jc w:val="both"/>
        <w:rPr>
          <w:bCs/>
          <w:i/>
          <w:color w:val="002060"/>
          <w:sz w:val="16"/>
          <w:szCs w:val="16"/>
        </w:rPr>
      </w:pPr>
      <w:r w:rsidRPr="00DE096C">
        <w:rPr>
          <w:bCs/>
          <w:i/>
          <w:color w:val="002060"/>
          <w:sz w:val="16"/>
          <w:szCs w:val="16"/>
        </w:rPr>
        <w:t>Другие оборонные отрасли:</w:t>
      </w:r>
    </w:p>
    <w:p w14:paraId="5F317B68" w14:textId="77777777" w:rsidR="00583AC0" w:rsidRPr="00DE096C" w:rsidRDefault="00583AC0" w:rsidP="00D45A46">
      <w:pPr>
        <w:jc w:val="both"/>
        <w:rPr>
          <w:bCs/>
          <w:i/>
          <w:color w:val="002060"/>
          <w:sz w:val="16"/>
          <w:szCs w:val="16"/>
        </w:rPr>
      </w:pPr>
    </w:p>
    <w:p w14:paraId="08583A92" w14:textId="7E840374" w:rsidR="00583AC0" w:rsidRPr="00DE096C" w:rsidRDefault="00583AC0" w:rsidP="00D45A46">
      <w:pPr>
        <w:pStyle w:val="ae"/>
        <w:spacing w:before="0" w:beforeAutospacing="0" w:after="0" w:afterAutospacing="0"/>
        <w:jc w:val="both"/>
        <w:textAlignment w:val="baseline"/>
        <w:rPr>
          <w:bCs/>
          <w:color w:val="002060"/>
          <w:sz w:val="16"/>
          <w:szCs w:val="16"/>
        </w:rPr>
      </w:pPr>
      <w:r w:rsidRPr="00DE096C">
        <w:rPr>
          <w:bCs/>
          <w:color w:val="002060"/>
          <w:sz w:val="16"/>
          <w:szCs w:val="16"/>
        </w:rPr>
        <w:t xml:space="preserve">24 марта </w:t>
      </w:r>
      <w:r w:rsidR="00E56BE8" w:rsidRPr="00DE096C">
        <w:rPr>
          <w:bCs/>
          <w:color w:val="002060"/>
          <w:sz w:val="16"/>
          <w:szCs w:val="16"/>
        </w:rPr>
        <w:t xml:space="preserve">(6 апреля) </w:t>
      </w:r>
      <w:r w:rsidRPr="00DE096C">
        <w:rPr>
          <w:bCs/>
          <w:color w:val="002060"/>
          <w:sz w:val="16"/>
          <w:szCs w:val="16"/>
        </w:rPr>
        <w:t>1914 года, то есть перед самым началом Первой мировой войны в бухте Двуякорной (район Феодосии) заложили фундаменты под мастерские и цеха и приступили к строительству жилых домов для инженеров, мастеров, рабочих, мощению дороги, прокладке коммуникаций. В то же время в Германии заказали большое количество станков. Поскольку ни один из них до начала войны так и не был получен, то вскоре пришлось перерабатывать план оборудования завода, перезаказывать «дефицит» частично в Англии, но в основном в Америке. Таким образом акционерному обществу пришлось решать проблему, как выразились бы в наше время, импортозамещения.</w:t>
      </w:r>
    </w:p>
    <w:p w14:paraId="3BCBBB32" w14:textId="77777777" w:rsidR="00583AC0" w:rsidRPr="00DE096C" w:rsidRDefault="00583AC0" w:rsidP="00D45A46">
      <w:pPr>
        <w:pStyle w:val="ae"/>
        <w:spacing w:before="0" w:beforeAutospacing="0" w:after="0" w:afterAutospacing="0"/>
        <w:jc w:val="both"/>
        <w:textAlignment w:val="baseline"/>
        <w:rPr>
          <w:bCs/>
          <w:color w:val="002060"/>
          <w:sz w:val="16"/>
          <w:szCs w:val="16"/>
        </w:rPr>
      </w:pPr>
      <w:r w:rsidRPr="00DE096C">
        <w:rPr>
          <w:bCs/>
          <w:color w:val="002060"/>
          <w:sz w:val="16"/>
          <w:szCs w:val="16"/>
        </w:rPr>
        <w:t>Обустройство завода закончилось в 1915 году. 30 сентября правление АО «Русский Уайтхед» обратилось к министру торговли и промышленности с просьбой оказать через подведомственный ему отдел и Англо-русский комитет в Лондоне содействие в размещении заказа на оборудование следующим зарубежным фирмам: «Creaves Klusmane Tool C°» и «United States Electrical Tool C°» в Цинциннати, «Dalton Machine C°» в Нью-Йорке, «Newton Machine Tool C°» в Филадельфии (18368).</w:t>
      </w:r>
    </w:p>
    <w:p w14:paraId="11D943EF" w14:textId="77777777" w:rsidR="00583AC0" w:rsidRPr="00DE096C" w:rsidRDefault="00583AC0" w:rsidP="00D45A46">
      <w:pPr>
        <w:pStyle w:val="ae"/>
        <w:spacing w:before="0" w:beforeAutospacing="0" w:after="0" w:afterAutospacing="0"/>
        <w:jc w:val="both"/>
        <w:textAlignment w:val="baseline"/>
        <w:rPr>
          <w:bCs/>
          <w:color w:val="002060"/>
          <w:sz w:val="16"/>
          <w:szCs w:val="16"/>
        </w:rPr>
      </w:pPr>
    </w:p>
    <w:p w14:paraId="570FE856"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18511425" w14:textId="77777777" w:rsidR="00B67D7C" w:rsidRPr="00DE096C" w:rsidRDefault="00B67D7C" w:rsidP="00D45A46">
      <w:pPr>
        <w:shd w:val="clear" w:color="auto" w:fill="FFFFFF"/>
        <w:jc w:val="both"/>
        <w:rPr>
          <w:bCs/>
          <w:i/>
          <w:color w:val="002060"/>
          <w:sz w:val="16"/>
          <w:szCs w:val="16"/>
        </w:rPr>
      </w:pPr>
    </w:p>
    <w:p w14:paraId="30A53D64" w14:textId="1F02D82D" w:rsidR="00B67D7C" w:rsidRPr="00DE096C" w:rsidRDefault="00B67D7C" w:rsidP="00D45A46">
      <w:pPr>
        <w:jc w:val="both"/>
        <w:rPr>
          <w:bCs/>
          <w:color w:val="002060"/>
          <w:sz w:val="16"/>
          <w:szCs w:val="16"/>
        </w:rPr>
      </w:pPr>
      <w:r w:rsidRPr="00DE096C">
        <w:rPr>
          <w:bCs/>
          <w:color w:val="002060"/>
          <w:sz w:val="16"/>
          <w:szCs w:val="16"/>
        </w:rPr>
        <w:t xml:space="preserve">25 марта (7 апреля) 1914 </w:t>
      </w:r>
      <w:r w:rsidR="00E56BE8" w:rsidRPr="00DE096C">
        <w:rPr>
          <w:bCs/>
          <w:color w:val="002060"/>
          <w:sz w:val="16"/>
          <w:szCs w:val="16"/>
        </w:rPr>
        <w:t>срок доставки в Либаву «Илью Муромца» для сдаточных испытаний</w:t>
      </w:r>
      <w:r w:rsidR="00C90A2B" w:rsidRPr="00DE096C">
        <w:rPr>
          <w:bCs/>
          <w:color w:val="002060"/>
          <w:sz w:val="16"/>
          <w:szCs w:val="16"/>
        </w:rPr>
        <w:t xml:space="preserve"> опять был сорван</w:t>
      </w:r>
      <w:r w:rsidR="00E56BE8" w:rsidRPr="00DE096C">
        <w:rPr>
          <w:bCs/>
          <w:color w:val="002060"/>
          <w:sz w:val="16"/>
          <w:szCs w:val="16"/>
        </w:rPr>
        <w:t xml:space="preserve"> </w:t>
      </w:r>
      <w:r w:rsidR="00C90A2B" w:rsidRPr="00DE096C">
        <w:rPr>
          <w:bCs/>
          <w:color w:val="002060"/>
          <w:sz w:val="16"/>
          <w:szCs w:val="16"/>
        </w:rPr>
        <w:t>из-за показа самолета в полете царю, а позже и румынскому принцу. П</w:t>
      </w:r>
      <w:r w:rsidR="00E56BE8" w:rsidRPr="00DE096C">
        <w:rPr>
          <w:bCs/>
          <w:color w:val="002060"/>
          <w:sz w:val="16"/>
          <w:szCs w:val="16"/>
        </w:rPr>
        <w:t>о контракту с РБВЗ от 1 (14) января 1914 г.</w:t>
      </w:r>
      <w:r w:rsidR="00C90A2B" w:rsidRPr="00DE096C">
        <w:rPr>
          <w:bCs/>
          <w:color w:val="002060"/>
          <w:sz w:val="16"/>
          <w:szCs w:val="16"/>
        </w:rPr>
        <w:t xml:space="preserve"> РБВЗ</w:t>
      </w:r>
      <w:r w:rsidR="00E56BE8" w:rsidRPr="00DE096C">
        <w:rPr>
          <w:bCs/>
          <w:color w:val="002060"/>
          <w:sz w:val="16"/>
          <w:szCs w:val="16"/>
        </w:rPr>
        <w:t xml:space="preserve"> обязался сделать это к 25 февраля (10 марта) 1914 года</w:t>
      </w:r>
      <w:r w:rsidR="00C90A2B" w:rsidRPr="00DE096C">
        <w:rPr>
          <w:bCs/>
          <w:color w:val="002060"/>
          <w:sz w:val="16"/>
          <w:szCs w:val="16"/>
        </w:rPr>
        <w:t>, но</w:t>
      </w:r>
      <w:r w:rsidR="00E56BE8" w:rsidRPr="00DE096C">
        <w:rPr>
          <w:bCs/>
          <w:color w:val="002060"/>
          <w:sz w:val="16"/>
          <w:szCs w:val="16"/>
        </w:rPr>
        <w:t xml:space="preserve"> сначала был сдвинут на 20 марта из-за неготовности в Либаве ангара, а затем на 25 марта</w:t>
      </w:r>
      <w:r w:rsidRPr="00DE096C">
        <w:rPr>
          <w:bCs/>
          <w:color w:val="002060"/>
          <w:sz w:val="16"/>
          <w:szCs w:val="16"/>
        </w:rPr>
        <w:t xml:space="preserve">. Гидросамолетом «Илья Муромец» [44] заинтересовались англичане, и 14 (27) апреля министр иностранных дел обратился к морскому министру с просьбой оказать содействие в ознакомлении с самолетом специально командированным лицам. Морской министр предпочел отказать в истинно «английском духе». Он ответил, что «поскольку самолет поступит в распоряжение морского ведомства не ранее июля и поскольку самолет представляет привилегию завода, то осмотр его до этого времени невозможен». </w:t>
      </w:r>
    </w:p>
    <w:p w14:paraId="4E30FD85" w14:textId="77777777" w:rsidR="00B67D7C" w:rsidRPr="00DE096C" w:rsidRDefault="00B67D7C" w:rsidP="00D45A46">
      <w:pPr>
        <w:jc w:val="both"/>
        <w:rPr>
          <w:bCs/>
          <w:color w:val="002060"/>
          <w:sz w:val="16"/>
          <w:szCs w:val="16"/>
        </w:rPr>
      </w:pPr>
      <w:r w:rsidRPr="00DE096C">
        <w:rPr>
          <w:bCs/>
          <w:color w:val="002060"/>
          <w:sz w:val="16"/>
          <w:szCs w:val="16"/>
        </w:rPr>
        <w:t xml:space="preserve">Ввиду того, что многомоторные самолеты Сикорского были еще недостаточно испытаны на суше, а также того, что монополизация строительства их могла невыгодно отразиться на дальнейшем развитии самолетостроения, морское ведомство решило путем объявления конкурса привлечь к разработке проектов больших гидросамолетов не только заводы, но и отдельных лиц. Условия конкурса были следующими: </w:t>
      </w:r>
    </w:p>
    <w:p w14:paraId="487AA923" w14:textId="77777777" w:rsidR="00B67D7C" w:rsidRPr="00DE096C" w:rsidRDefault="00B67D7C" w:rsidP="00D45A46">
      <w:pPr>
        <w:pStyle w:val="Blockquote"/>
        <w:spacing w:before="0" w:after="0"/>
        <w:ind w:left="0" w:right="0"/>
        <w:jc w:val="both"/>
        <w:rPr>
          <w:bCs/>
          <w:color w:val="002060"/>
          <w:sz w:val="16"/>
          <w:szCs w:val="16"/>
        </w:rPr>
      </w:pPr>
      <w:r w:rsidRPr="00DE096C">
        <w:rPr>
          <w:bCs/>
          <w:color w:val="002060"/>
          <w:sz w:val="16"/>
          <w:szCs w:val="16"/>
        </w:rPr>
        <w:t xml:space="preserve">«1. Самолет должен иметь: скорость не менее 100 км/ч, дальность действия 1000 км, полезную нагрузку сверх экипажа и топлива не менее 150 кг, не менее двух моторов, с доступом к ним в полете и пуском без посторонней помощи, двойное управление и места для двух пилотов, двух наблюдателей и механика, установки для пулеметов, рации, прожектора и бомб. </w:t>
      </w:r>
    </w:p>
    <w:p w14:paraId="24B78B0B" w14:textId="77777777" w:rsidR="00B67D7C" w:rsidRPr="00DE096C" w:rsidRDefault="00B67D7C" w:rsidP="00D45A46">
      <w:pPr>
        <w:pStyle w:val="Blockquote"/>
        <w:spacing w:before="0" w:after="0"/>
        <w:ind w:left="0" w:right="0"/>
        <w:jc w:val="both"/>
        <w:rPr>
          <w:bCs/>
          <w:color w:val="002060"/>
          <w:sz w:val="16"/>
          <w:szCs w:val="16"/>
        </w:rPr>
      </w:pPr>
      <w:r w:rsidRPr="00DE096C">
        <w:rPr>
          <w:bCs/>
          <w:color w:val="002060"/>
          <w:sz w:val="16"/>
          <w:szCs w:val="16"/>
        </w:rPr>
        <w:t xml:space="preserve">2. Самолет должен быть мореходен, остойчив, непотопляем и выполнять горизонтальный полет на 2/3 мощности (моторов). </w:t>
      </w:r>
    </w:p>
    <w:p w14:paraId="305DEAFB" w14:textId="77777777" w:rsidR="00B67D7C" w:rsidRPr="00DE096C" w:rsidRDefault="00B67D7C" w:rsidP="00D45A46">
      <w:pPr>
        <w:pStyle w:val="Blockquote"/>
        <w:spacing w:before="0" w:after="0"/>
        <w:ind w:left="0" w:right="0"/>
        <w:jc w:val="both"/>
        <w:rPr>
          <w:bCs/>
          <w:color w:val="002060"/>
          <w:sz w:val="16"/>
          <w:szCs w:val="16"/>
        </w:rPr>
      </w:pPr>
      <w:r w:rsidRPr="00DE096C">
        <w:rPr>
          <w:bCs/>
          <w:color w:val="002060"/>
          <w:sz w:val="16"/>
          <w:szCs w:val="16"/>
        </w:rPr>
        <w:t xml:space="preserve">3. Должны быть представлены все расчеты, чертежи, ясное описание и смета стоимости самолета. </w:t>
      </w:r>
    </w:p>
    <w:p w14:paraId="1E0C6BB0" w14:textId="77777777" w:rsidR="00B67D7C" w:rsidRPr="00DE096C" w:rsidRDefault="00B67D7C" w:rsidP="00D45A46">
      <w:pPr>
        <w:pStyle w:val="Blockquote"/>
        <w:spacing w:before="0" w:after="0"/>
        <w:ind w:left="0" w:right="0"/>
        <w:jc w:val="both"/>
        <w:rPr>
          <w:bCs/>
          <w:color w:val="002060"/>
          <w:sz w:val="16"/>
          <w:szCs w:val="16"/>
        </w:rPr>
      </w:pPr>
      <w:r w:rsidRPr="00DE096C">
        <w:rPr>
          <w:bCs/>
          <w:color w:val="002060"/>
          <w:sz w:val="16"/>
          <w:szCs w:val="16"/>
        </w:rPr>
        <w:t xml:space="preserve">4. Срок представления проектов — 1 мая 1914 года. </w:t>
      </w:r>
    </w:p>
    <w:p w14:paraId="5D8C03DF" w14:textId="77777777" w:rsidR="00B67D7C" w:rsidRPr="00DE096C" w:rsidRDefault="00B67D7C" w:rsidP="00D45A46">
      <w:pPr>
        <w:pStyle w:val="Blockquote"/>
        <w:spacing w:before="0" w:after="0"/>
        <w:ind w:left="0" w:right="0"/>
        <w:jc w:val="both"/>
        <w:rPr>
          <w:bCs/>
          <w:color w:val="002060"/>
          <w:sz w:val="16"/>
          <w:szCs w:val="16"/>
        </w:rPr>
      </w:pPr>
      <w:r w:rsidRPr="00DE096C">
        <w:rPr>
          <w:bCs/>
          <w:color w:val="002060"/>
          <w:sz w:val="16"/>
          <w:szCs w:val="16"/>
        </w:rPr>
        <w:t xml:space="preserve">5. Устанавливаются премии: 1-я — 3000 руб., 2-я — 2000 руб., 3-я — 1000 руб. В случае принятия проекта в постройку автору выплачивается по 5000 рублей за каждый построенный самолет. </w:t>
      </w:r>
    </w:p>
    <w:p w14:paraId="5F7D600C" w14:textId="77777777" w:rsidR="00B67D7C" w:rsidRPr="00DE096C" w:rsidRDefault="00B67D7C" w:rsidP="00D45A46">
      <w:pPr>
        <w:pStyle w:val="Blockquote"/>
        <w:spacing w:before="0" w:after="0"/>
        <w:ind w:left="0" w:right="0"/>
        <w:jc w:val="both"/>
        <w:rPr>
          <w:bCs/>
          <w:color w:val="002060"/>
          <w:sz w:val="16"/>
          <w:szCs w:val="16"/>
        </w:rPr>
      </w:pPr>
      <w:r w:rsidRPr="00DE096C">
        <w:rPr>
          <w:bCs/>
          <w:color w:val="002060"/>
          <w:sz w:val="16"/>
          <w:szCs w:val="16"/>
        </w:rPr>
        <w:t>6. Проекты рассматриваются особой комиссией Морского Генерального штаба».</w:t>
      </w:r>
    </w:p>
    <w:p w14:paraId="67DA849F" w14:textId="77777777" w:rsidR="00B67D7C" w:rsidRPr="00DE096C" w:rsidRDefault="00B67D7C" w:rsidP="00D45A46">
      <w:pPr>
        <w:jc w:val="both"/>
        <w:rPr>
          <w:bCs/>
          <w:color w:val="002060"/>
          <w:sz w:val="16"/>
          <w:szCs w:val="16"/>
        </w:rPr>
      </w:pPr>
      <w:r w:rsidRPr="00DE096C">
        <w:rPr>
          <w:bCs/>
          <w:color w:val="002060"/>
          <w:sz w:val="16"/>
          <w:szCs w:val="16"/>
        </w:rPr>
        <w:t xml:space="preserve">16 (29) апреля 1914 для выработки технических заданий на гидросамолеты, предназначенные для действий на Балтике, собрался авиационный комитет службы связи Балтийского моря в составе капитана 2 ранга Б. П. Дудорова, летчиков Б. А. Щербачева, В. Е. Зверева, И. И. Кульнева, В. Л. Любицкого, В. А. Литвинова и авиационного инженера П. А. Шишкова. </w:t>
      </w:r>
    </w:p>
    <w:p w14:paraId="451EC6EA" w14:textId="77777777" w:rsidR="00B67D7C" w:rsidRPr="00DE096C" w:rsidRDefault="00B67D7C" w:rsidP="00D45A46">
      <w:pPr>
        <w:jc w:val="both"/>
        <w:rPr>
          <w:bCs/>
          <w:color w:val="002060"/>
          <w:sz w:val="16"/>
          <w:szCs w:val="16"/>
        </w:rPr>
      </w:pPr>
      <w:r w:rsidRPr="00DE096C">
        <w:rPr>
          <w:bCs/>
          <w:color w:val="002060"/>
          <w:sz w:val="16"/>
          <w:szCs w:val="16"/>
        </w:rPr>
        <w:t xml:space="preserve">Оперативными задачами морской авиации Балтики комитет считал следующие: </w:t>
      </w:r>
    </w:p>
    <w:p w14:paraId="48C1E236" w14:textId="77777777" w:rsidR="00B67D7C" w:rsidRPr="00DE096C" w:rsidRDefault="00B67D7C" w:rsidP="00D45A46">
      <w:pPr>
        <w:jc w:val="both"/>
        <w:rPr>
          <w:bCs/>
          <w:color w:val="002060"/>
          <w:sz w:val="16"/>
          <w:szCs w:val="16"/>
        </w:rPr>
      </w:pPr>
      <w:r w:rsidRPr="00DE096C">
        <w:rPr>
          <w:bCs/>
          <w:color w:val="002060"/>
          <w:sz w:val="16"/>
          <w:szCs w:val="16"/>
        </w:rPr>
        <w:t>— разведку неприятельского флота в пунктах его сосредоточения в Киле и Данциге или на маршрутах перехода неприятельских кораблей в Финский залив;</w:t>
      </w:r>
    </w:p>
    <w:p w14:paraId="51101E56" w14:textId="77777777" w:rsidR="00B67D7C" w:rsidRPr="00DE096C" w:rsidRDefault="00B67D7C" w:rsidP="00D45A46">
      <w:pPr>
        <w:jc w:val="both"/>
        <w:rPr>
          <w:bCs/>
          <w:color w:val="002060"/>
          <w:sz w:val="16"/>
          <w:szCs w:val="16"/>
        </w:rPr>
      </w:pPr>
      <w:r w:rsidRPr="00DE096C">
        <w:rPr>
          <w:bCs/>
          <w:color w:val="002060"/>
          <w:sz w:val="16"/>
          <w:szCs w:val="16"/>
        </w:rPr>
        <w:t xml:space="preserve">— борьбу с воздушными разведчиками противника, главным образом с дирижаблями. </w:t>
      </w:r>
    </w:p>
    <w:p w14:paraId="7268B895" w14:textId="77777777" w:rsidR="00B67D7C" w:rsidRPr="00DE096C" w:rsidRDefault="00B67D7C" w:rsidP="00D45A46">
      <w:pPr>
        <w:jc w:val="both"/>
        <w:rPr>
          <w:bCs/>
          <w:color w:val="002060"/>
          <w:sz w:val="16"/>
          <w:szCs w:val="16"/>
        </w:rPr>
      </w:pPr>
      <w:r w:rsidRPr="00DE096C">
        <w:rPr>
          <w:bCs/>
          <w:color w:val="002060"/>
          <w:sz w:val="16"/>
          <w:szCs w:val="16"/>
        </w:rPr>
        <w:lastRenderedPageBreak/>
        <w:t xml:space="preserve">Наилучший результат для решения первой задачи могло дать наблюдение за входом в Балтийское море или у Борнхольма, или по параллели от Либавы до берегов Швеции. Для этого требовались гидросамолеты с радиусом действия не менее 800 км. При невозможности вести разведку столь далеко комитет допускал ограничить разведку от Либавы до Готланда, для чего были нужны машины с радиусом действия не менее 400 км. Для решения второй задачи комитет считал, что нужны самолеты с радиусом действия не менее 250 км и с пулеметом впереди. </w:t>
      </w:r>
    </w:p>
    <w:p w14:paraId="367E292F" w14:textId="77777777" w:rsidR="00B67D7C" w:rsidRPr="00DE096C" w:rsidRDefault="00B67D7C" w:rsidP="00D45A46">
      <w:pPr>
        <w:jc w:val="both"/>
        <w:rPr>
          <w:bCs/>
          <w:color w:val="002060"/>
          <w:sz w:val="16"/>
          <w:szCs w:val="16"/>
        </w:rPr>
      </w:pPr>
      <w:r w:rsidRPr="00DE096C">
        <w:rPr>
          <w:bCs/>
          <w:color w:val="002060"/>
          <w:sz w:val="16"/>
          <w:szCs w:val="16"/>
        </w:rPr>
        <w:t xml:space="preserve">Комитет также считал, что одиночная разведка в море может выполняться только на двухмоторном самолете, а бомбометание по судам противника при современном состоянии техники бомбардировочной авиации — задача второстепенная. </w:t>
      </w:r>
    </w:p>
    <w:p w14:paraId="20FED00F" w14:textId="77777777" w:rsidR="00B67D7C" w:rsidRPr="00DE096C" w:rsidRDefault="00B67D7C" w:rsidP="00D45A46">
      <w:pPr>
        <w:jc w:val="both"/>
        <w:rPr>
          <w:bCs/>
          <w:color w:val="002060"/>
          <w:sz w:val="16"/>
          <w:szCs w:val="16"/>
        </w:rPr>
      </w:pPr>
      <w:r w:rsidRPr="00DE096C">
        <w:rPr>
          <w:bCs/>
          <w:color w:val="002060"/>
          <w:sz w:val="16"/>
          <w:szCs w:val="16"/>
        </w:rPr>
        <w:t xml:space="preserve">Комитет разработал тактико-технические данные гидросамолетов для Балтийского театра. Эти данные и явились исходными для условий конкурса. </w:t>
      </w:r>
    </w:p>
    <w:tbl>
      <w:tblPr>
        <w:tblW w:w="0" w:type="auto"/>
        <w:tblInd w:w="4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5" w:type="dxa"/>
          <w:right w:w="45" w:type="dxa"/>
        </w:tblCellMar>
        <w:tblLook w:val="0000" w:firstRow="0" w:lastRow="0" w:firstColumn="0" w:lastColumn="0" w:noHBand="0" w:noVBand="0"/>
      </w:tblPr>
      <w:tblGrid>
        <w:gridCol w:w="3725"/>
        <w:gridCol w:w="1959"/>
        <w:gridCol w:w="1959"/>
        <w:gridCol w:w="1714"/>
      </w:tblGrid>
      <w:tr w:rsidR="00B67D7C" w:rsidRPr="00DE096C" w14:paraId="7B35ADCB" w14:textId="77777777" w:rsidTr="00C2024A">
        <w:tc>
          <w:tcPr>
            <w:tcW w:w="3725" w:type="dxa"/>
          </w:tcPr>
          <w:p w14:paraId="6A809D13" w14:textId="77777777" w:rsidR="00B67D7C" w:rsidRPr="00DE096C" w:rsidRDefault="00B67D7C" w:rsidP="00D45A46">
            <w:pPr>
              <w:jc w:val="both"/>
              <w:rPr>
                <w:bCs/>
                <w:color w:val="002060"/>
                <w:sz w:val="16"/>
                <w:szCs w:val="16"/>
              </w:rPr>
            </w:pPr>
          </w:p>
        </w:tc>
        <w:tc>
          <w:tcPr>
            <w:tcW w:w="5632" w:type="dxa"/>
            <w:gridSpan w:val="3"/>
          </w:tcPr>
          <w:p w14:paraId="6316C2A2" w14:textId="77777777" w:rsidR="00B67D7C" w:rsidRPr="00DE096C" w:rsidRDefault="00B67D7C" w:rsidP="00D45A46">
            <w:pPr>
              <w:jc w:val="both"/>
              <w:rPr>
                <w:bCs/>
                <w:color w:val="002060"/>
                <w:sz w:val="16"/>
                <w:szCs w:val="16"/>
              </w:rPr>
            </w:pPr>
            <w:r w:rsidRPr="00DE096C">
              <w:rPr>
                <w:bCs/>
                <w:color w:val="002060"/>
                <w:sz w:val="16"/>
                <w:szCs w:val="16"/>
              </w:rPr>
              <w:t>Назначение самолета</w:t>
            </w:r>
          </w:p>
        </w:tc>
      </w:tr>
      <w:tr w:rsidR="00B67D7C" w:rsidRPr="00DE096C" w14:paraId="020D1C38" w14:textId="77777777" w:rsidTr="00C2024A">
        <w:tc>
          <w:tcPr>
            <w:tcW w:w="3725" w:type="dxa"/>
          </w:tcPr>
          <w:p w14:paraId="555948FE" w14:textId="77777777" w:rsidR="00B67D7C" w:rsidRPr="00DE096C" w:rsidRDefault="00B67D7C" w:rsidP="00D45A46">
            <w:pPr>
              <w:jc w:val="both"/>
              <w:rPr>
                <w:bCs/>
                <w:color w:val="002060"/>
                <w:sz w:val="16"/>
                <w:szCs w:val="16"/>
              </w:rPr>
            </w:pPr>
            <w:r w:rsidRPr="00DE096C">
              <w:rPr>
                <w:bCs/>
                <w:color w:val="002060"/>
                <w:sz w:val="16"/>
                <w:szCs w:val="16"/>
              </w:rPr>
              <w:t>Тактико-технические требования</w:t>
            </w:r>
          </w:p>
        </w:tc>
        <w:tc>
          <w:tcPr>
            <w:tcW w:w="1959" w:type="dxa"/>
          </w:tcPr>
          <w:p w14:paraId="5D52290A" w14:textId="77777777" w:rsidR="00B67D7C" w:rsidRPr="00DE096C" w:rsidRDefault="00B67D7C" w:rsidP="00D45A46">
            <w:pPr>
              <w:jc w:val="both"/>
              <w:rPr>
                <w:bCs/>
                <w:color w:val="002060"/>
                <w:sz w:val="16"/>
                <w:szCs w:val="16"/>
              </w:rPr>
            </w:pPr>
            <w:r w:rsidRPr="00DE096C">
              <w:rPr>
                <w:bCs/>
                <w:color w:val="002060"/>
                <w:sz w:val="16"/>
                <w:szCs w:val="16"/>
              </w:rPr>
              <w:t>Дальняя разведка</w:t>
            </w:r>
          </w:p>
        </w:tc>
        <w:tc>
          <w:tcPr>
            <w:tcW w:w="1959" w:type="dxa"/>
          </w:tcPr>
          <w:p w14:paraId="33FD4CA2" w14:textId="77777777" w:rsidR="00B67D7C" w:rsidRPr="00DE096C" w:rsidRDefault="00B67D7C" w:rsidP="00D45A46">
            <w:pPr>
              <w:jc w:val="both"/>
              <w:rPr>
                <w:bCs/>
                <w:color w:val="002060"/>
                <w:sz w:val="16"/>
                <w:szCs w:val="16"/>
              </w:rPr>
            </w:pPr>
            <w:r w:rsidRPr="00DE096C">
              <w:rPr>
                <w:bCs/>
                <w:color w:val="002060"/>
                <w:sz w:val="16"/>
                <w:szCs w:val="16"/>
              </w:rPr>
              <w:t>Ближняя разведка</w:t>
            </w:r>
          </w:p>
        </w:tc>
        <w:tc>
          <w:tcPr>
            <w:tcW w:w="1714" w:type="dxa"/>
          </w:tcPr>
          <w:p w14:paraId="1771C130" w14:textId="77777777" w:rsidR="00B67D7C" w:rsidRPr="00DE096C" w:rsidRDefault="00B67D7C" w:rsidP="00D45A46">
            <w:pPr>
              <w:jc w:val="both"/>
              <w:rPr>
                <w:bCs/>
                <w:color w:val="002060"/>
                <w:sz w:val="16"/>
                <w:szCs w:val="16"/>
              </w:rPr>
            </w:pPr>
            <w:r w:rsidRPr="00DE096C">
              <w:rPr>
                <w:bCs/>
                <w:color w:val="002060"/>
                <w:sz w:val="16"/>
                <w:szCs w:val="16"/>
              </w:rPr>
              <w:t>Боевой самолет</w:t>
            </w:r>
          </w:p>
        </w:tc>
      </w:tr>
      <w:tr w:rsidR="00B67D7C" w:rsidRPr="00DE096C" w14:paraId="0A814B3C" w14:textId="77777777" w:rsidTr="00C2024A">
        <w:tc>
          <w:tcPr>
            <w:tcW w:w="3725" w:type="dxa"/>
          </w:tcPr>
          <w:p w14:paraId="4C003249" w14:textId="77777777" w:rsidR="00B67D7C" w:rsidRPr="00DE096C" w:rsidRDefault="00B67D7C" w:rsidP="00D45A46">
            <w:pPr>
              <w:jc w:val="both"/>
              <w:rPr>
                <w:bCs/>
                <w:color w:val="002060"/>
                <w:sz w:val="16"/>
                <w:szCs w:val="16"/>
              </w:rPr>
            </w:pPr>
            <w:r w:rsidRPr="00DE096C">
              <w:rPr>
                <w:bCs/>
                <w:color w:val="002060"/>
                <w:sz w:val="16"/>
                <w:szCs w:val="16"/>
              </w:rPr>
              <w:t>Скорость полета, км/ч</w:t>
            </w:r>
          </w:p>
        </w:tc>
        <w:tc>
          <w:tcPr>
            <w:tcW w:w="1959" w:type="dxa"/>
          </w:tcPr>
          <w:p w14:paraId="3E95FF3A" w14:textId="77777777" w:rsidR="00B67D7C" w:rsidRPr="00DE096C" w:rsidRDefault="00B67D7C" w:rsidP="00D45A46">
            <w:pPr>
              <w:jc w:val="both"/>
              <w:rPr>
                <w:bCs/>
                <w:color w:val="002060"/>
                <w:sz w:val="16"/>
                <w:szCs w:val="16"/>
              </w:rPr>
            </w:pPr>
            <w:r w:rsidRPr="00DE096C">
              <w:rPr>
                <w:bCs/>
                <w:color w:val="002060"/>
                <w:sz w:val="16"/>
                <w:szCs w:val="16"/>
              </w:rPr>
              <w:t>100</w:t>
            </w:r>
          </w:p>
        </w:tc>
        <w:tc>
          <w:tcPr>
            <w:tcW w:w="1959" w:type="dxa"/>
          </w:tcPr>
          <w:p w14:paraId="1B6D2359" w14:textId="77777777" w:rsidR="00B67D7C" w:rsidRPr="00DE096C" w:rsidRDefault="00B67D7C" w:rsidP="00D45A46">
            <w:pPr>
              <w:jc w:val="both"/>
              <w:rPr>
                <w:bCs/>
                <w:color w:val="002060"/>
                <w:sz w:val="16"/>
                <w:szCs w:val="16"/>
              </w:rPr>
            </w:pPr>
            <w:r w:rsidRPr="00DE096C">
              <w:rPr>
                <w:bCs/>
                <w:color w:val="002060"/>
                <w:sz w:val="16"/>
                <w:szCs w:val="16"/>
              </w:rPr>
              <w:t>100</w:t>
            </w:r>
          </w:p>
        </w:tc>
        <w:tc>
          <w:tcPr>
            <w:tcW w:w="1714" w:type="dxa"/>
          </w:tcPr>
          <w:p w14:paraId="44F1C78D" w14:textId="77777777" w:rsidR="00B67D7C" w:rsidRPr="00DE096C" w:rsidRDefault="00B67D7C" w:rsidP="00D45A46">
            <w:pPr>
              <w:jc w:val="both"/>
              <w:rPr>
                <w:bCs/>
                <w:color w:val="002060"/>
                <w:sz w:val="16"/>
                <w:szCs w:val="16"/>
              </w:rPr>
            </w:pPr>
            <w:r w:rsidRPr="00DE096C">
              <w:rPr>
                <w:bCs/>
                <w:color w:val="002060"/>
                <w:sz w:val="16"/>
                <w:szCs w:val="16"/>
              </w:rPr>
              <w:t>60</w:t>
            </w:r>
          </w:p>
        </w:tc>
      </w:tr>
      <w:tr w:rsidR="00B67D7C" w:rsidRPr="00DE096C" w14:paraId="38ED9A5D" w14:textId="77777777" w:rsidTr="00C2024A">
        <w:tc>
          <w:tcPr>
            <w:tcW w:w="3725" w:type="dxa"/>
          </w:tcPr>
          <w:p w14:paraId="1D2FFC90" w14:textId="77777777" w:rsidR="00B67D7C" w:rsidRPr="00DE096C" w:rsidRDefault="00B67D7C" w:rsidP="00D45A46">
            <w:pPr>
              <w:jc w:val="both"/>
              <w:rPr>
                <w:bCs/>
                <w:color w:val="002060"/>
                <w:sz w:val="16"/>
                <w:szCs w:val="16"/>
              </w:rPr>
            </w:pPr>
            <w:r w:rsidRPr="00DE096C">
              <w:rPr>
                <w:bCs/>
                <w:color w:val="002060"/>
                <w:sz w:val="16"/>
                <w:szCs w:val="16"/>
              </w:rPr>
              <w:t>Дальность полета, км</w:t>
            </w:r>
          </w:p>
        </w:tc>
        <w:tc>
          <w:tcPr>
            <w:tcW w:w="1959" w:type="dxa"/>
          </w:tcPr>
          <w:p w14:paraId="54F8E9E4" w14:textId="77777777" w:rsidR="00B67D7C" w:rsidRPr="00DE096C" w:rsidRDefault="00B67D7C" w:rsidP="00D45A46">
            <w:pPr>
              <w:jc w:val="both"/>
              <w:rPr>
                <w:bCs/>
                <w:color w:val="002060"/>
                <w:sz w:val="16"/>
                <w:szCs w:val="16"/>
              </w:rPr>
            </w:pPr>
            <w:r w:rsidRPr="00DE096C">
              <w:rPr>
                <w:bCs/>
                <w:color w:val="002060"/>
                <w:sz w:val="16"/>
                <w:szCs w:val="16"/>
              </w:rPr>
              <w:t>1000</w:t>
            </w:r>
          </w:p>
        </w:tc>
        <w:tc>
          <w:tcPr>
            <w:tcW w:w="1959" w:type="dxa"/>
          </w:tcPr>
          <w:p w14:paraId="6C31B7E7" w14:textId="77777777" w:rsidR="00B67D7C" w:rsidRPr="00DE096C" w:rsidRDefault="00B67D7C" w:rsidP="00D45A46">
            <w:pPr>
              <w:jc w:val="both"/>
              <w:rPr>
                <w:bCs/>
                <w:color w:val="002060"/>
                <w:sz w:val="16"/>
                <w:szCs w:val="16"/>
              </w:rPr>
            </w:pPr>
            <w:r w:rsidRPr="00DE096C">
              <w:rPr>
                <w:bCs/>
                <w:color w:val="002060"/>
                <w:sz w:val="16"/>
                <w:szCs w:val="16"/>
              </w:rPr>
              <w:t>400</w:t>
            </w:r>
          </w:p>
        </w:tc>
        <w:tc>
          <w:tcPr>
            <w:tcW w:w="1714" w:type="dxa"/>
          </w:tcPr>
          <w:p w14:paraId="4A68FE39" w14:textId="77777777" w:rsidR="00B67D7C" w:rsidRPr="00DE096C" w:rsidRDefault="00B67D7C" w:rsidP="00D45A46">
            <w:pPr>
              <w:jc w:val="both"/>
              <w:rPr>
                <w:bCs/>
                <w:color w:val="002060"/>
                <w:sz w:val="16"/>
                <w:szCs w:val="16"/>
              </w:rPr>
            </w:pPr>
            <w:r w:rsidRPr="00DE096C">
              <w:rPr>
                <w:bCs/>
                <w:color w:val="002060"/>
                <w:sz w:val="16"/>
                <w:szCs w:val="16"/>
              </w:rPr>
              <w:t>250</w:t>
            </w:r>
          </w:p>
        </w:tc>
      </w:tr>
      <w:tr w:rsidR="00B67D7C" w:rsidRPr="00DE096C" w14:paraId="7B8134E5" w14:textId="77777777" w:rsidTr="00C2024A">
        <w:tc>
          <w:tcPr>
            <w:tcW w:w="3725" w:type="dxa"/>
          </w:tcPr>
          <w:p w14:paraId="0E47AA78" w14:textId="77777777" w:rsidR="00B67D7C" w:rsidRPr="00DE096C" w:rsidRDefault="00B67D7C" w:rsidP="00D45A46">
            <w:pPr>
              <w:jc w:val="both"/>
              <w:rPr>
                <w:bCs/>
                <w:color w:val="002060"/>
                <w:sz w:val="16"/>
                <w:szCs w:val="16"/>
              </w:rPr>
            </w:pPr>
            <w:r w:rsidRPr="00DE096C">
              <w:rPr>
                <w:bCs/>
                <w:color w:val="002060"/>
                <w:sz w:val="16"/>
                <w:szCs w:val="16"/>
              </w:rPr>
              <w:t>Полезная нагрузка, кг</w:t>
            </w:r>
          </w:p>
        </w:tc>
        <w:tc>
          <w:tcPr>
            <w:tcW w:w="1959" w:type="dxa"/>
          </w:tcPr>
          <w:p w14:paraId="6E637869" w14:textId="77777777" w:rsidR="00B67D7C" w:rsidRPr="00DE096C" w:rsidRDefault="00B67D7C" w:rsidP="00D45A46">
            <w:pPr>
              <w:jc w:val="both"/>
              <w:rPr>
                <w:bCs/>
                <w:color w:val="002060"/>
                <w:sz w:val="16"/>
                <w:szCs w:val="16"/>
              </w:rPr>
            </w:pPr>
            <w:r w:rsidRPr="00DE096C">
              <w:rPr>
                <w:bCs/>
                <w:color w:val="002060"/>
                <w:sz w:val="16"/>
                <w:szCs w:val="16"/>
              </w:rPr>
              <w:t>150</w:t>
            </w:r>
          </w:p>
        </w:tc>
        <w:tc>
          <w:tcPr>
            <w:tcW w:w="1959" w:type="dxa"/>
          </w:tcPr>
          <w:p w14:paraId="790F4489" w14:textId="77777777" w:rsidR="00B67D7C" w:rsidRPr="00DE096C" w:rsidRDefault="00B67D7C" w:rsidP="00D45A46">
            <w:pPr>
              <w:jc w:val="both"/>
              <w:rPr>
                <w:bCs/>
                <w:color w:val="002060"/>
                <w:sz w:val="16"/>
                <w:szCs w:val="16"/>
              </w:rPr>
            </w:pPr>
            <w:r w:rsidRPr="00DE096C">
              <w:rPr>
                <w:bCs/>
                <w:color w:val="002060"/>
                <w:sz w:val="16"/>
                <w:szCs w:val="16"/>
              </w:rPr>
              <w:t>175</w:t>
            </w:r>
          </w:p>
        </w:tc>
        <w:tc>
          <w:tcPr>
            <w:tcW w:w="1714" w:type="dxa"/>
          </w:tcPr>
          <w:p w14:paraId="59C5274A" w14:textId="77777777" w:rsidR="00B67D7C" w:rsidRPr="00DE096C" w:rsidRDefault="00B67D7C" w:rsidP="00D45A46">
            <w:pPr>
              <w:jc w:val="both"/>
              <w:rPr>
                <w:bCs/>
                <w:color w:val="002060"/>
                <w:sz w:val="16"/>
                <w:szCs w:val="16"/>
              </w:rPr>
            </w:pPr>
            <w:r w:rsidRPr="00DE096C">
              <w:rPr>
                <w:bCs/>
                <w:color w:val="002060"/>
                <w:sz w:val="16"/>
                <w:szCs w:val="16"/>
              </w:rPr>
              <w:t>225</w:t>
            </w:r>
          </w:p>
        </w:tc>
      </w:tr>
      <w:tr w:rsidR="00B67D7C" w:rsidRPr="00DE096C" w14:paraId="61CCEC51" w14:textId="77777777" w:rsidTr="00C2024A">
        <w:tc>
          <w:tcPr>
            <w:tcW w:w="3725" w:type="dxa"/>
          </w:tcPr>
          <w:p w14:paraId="26D72E6D" w14:textId="77777777" w:rsidR="00B67D7C" w:rsidRPr="00DE096C" w:rsidRDefault="00B67D7C" w:rsidP="00D45A46">
            <w:pPr>
              <w:jc w:val="both"/>
              <w:rPr>
                <w:bCs/>
                <w:color w:val="002060"/>
                <w:sz w:val="16"/>
                <w:szCs w:val="16"/>
              </w:rPr>
            </w:pPr>
            <w:r w:rsidRPr="00DE096C">
              <w:rPr>
                <w:bCs/>
                <w:color w:val="002060"/>
                <w:sz w:val="16"/>
                <w:szCs w:val="16"/>
              </w:rPr>
              <w:t>Число:</w:t>
            </w:r>
          </w:p>
        </w:tc>
        <w:tc>
          <w:tcPr>
            <w:tcW w:w="1959" w:type="dxa"/>
          </w:tcPr>
          <w:p w14:paraId="281CE18B" w14:textId="77777777" w:rsidR="00B67D7C" w:rsidRPr="00DE096C" w:rsidRDefault="00B67D7C" w:rsidP="00D45A46">
            <w:pPr>
              <w:jc w:val="both"/>
              <w:rPr>
                <w:bCs/>
                <w:color w:val="002060"/>
                <w:sz w:val="16"/>
                <w:szCs w:val="16"/>
              </w:rPr>
            </w:pPr>
          </w:p>
        </w:tc>
        <w:tc>
          <w:tcPr>
            <w:tcW w:w="1959" w:type="dxa"/>
          </w:tcPr>
          <w:p w14:paraId="77055215" w14:textId="77777777" w:rsidR="00B67D7C" w:rsidRPr="00DE096C" w:rsidRDefault="00B67D7C" w:rsidP="00D45A46">
            <w:pPr>
              <w:jc w:val="both"/>
              <w:rPr>
                <w:bCs/>
                <w:color w:val="002060"/>
                <w:sz w:val="16"/>
                <w:szCs w:val="16"/>
              </w:rPr>
            </w:pPr>
          </w:p>
        </w:tc>
        <w:tc>
          <w:tcPr>
            <w:tcW w:w="1714" w:type="dxa"/>
          </w:tcPr>
          <w:p w14:paraId="222ADF80" w14:textId="77777777" w:rsidR="00B67D7C" w:rsidRPr="00DE096C" w:rsidRDefault="00B67D7C" w:rsidP="00D45A46">
            <w:pPr>
              <w:jc w:val="both"/>
              <w:rPr>
                <w:bCs/>
                <w:color w:val="002060"/>
                <w:sz w:val="16"/>
                <w:szCs w:val="16"/>
              </w:rPr>
            </w:pPr>
          </w:p>
        </w:tc>
      </w:tr>
      <w:tr w:rsidR="00B67D7C" w:rsidRPr="00DE096C" w14:paraId="33452548" w14:textId="77777777" w:rsidTr="00C2024A">
        <w:tc>
          <w:tcPr>
            <w:tcW w:w="3725" w:type="dxa"/>
          </w:tcPr>
          <w:p w14:paraId="0D92CFD2" w14:textId="77777777" w:rsidR="00B67D7C" w:rsidRPr="00DE096C" w:rsidRDefault="00B67D7C" w:rsidP="00D45A46">
            <w:pPr>
              <w:jc w:val="both"/>
              <w:rPr>
                <w:bCs/>
                <w:color w:val="002060"/>
                <w:sz w:val="16"/>
                <w:szCs w:val="16"/>
              </w:rPr>
            </w:pPr>
            <w:r w:rsidRPr="00DE096C">
              <w:rPr>
                <w:bCs/>
                <w:color w:val="002060"/>
                <w:sz w:val="16"/>
                <w:szCs w:val="16"/>
              </w:rPr>
              <w:t>двигателей</w:t>
            </w:r>
          </w:p>
        </w:tc>
        <w:tc>
          <w:tcPr>
            <w:tcW w:w="1959" w:type="dxa"/>
          </w:tcPr>
          <w:p w14:paraId="543B7072" w14:textId="77777777" w:rsidR="00B67D7C" w:rsidRPr="00DE096C" w:rsidRDefault="00B67D7C" w:rsidP="00D45A46">
            <w:pPr>
              <w:jc w:val="both"/>
              <w:rPr>
                <w:bCs/>
                <w:color w:val="002060"/>
                <w:sz w:val="16"/>
                <w:szCs w:val="16"/>
              </w:rPr>
            </w:pPr>
            <w:r w:rsidRPr="00DE096C">
              <w:rPr>
                <w:bCs/>
                <w:color w:val="002060"/>
                <w:sz w:val="16"/>
                <w:szCs w:val="16"/>
              </w:rPr>
              <w:t>2</w:t>
            </w:r>
          </w:p>
        </w:tc>
        <w:tc>
          <w:tcPr>
            <w:tcW w:w="1959" w:type="dxa"/>
          </w:tcPr>
          <w:p w14:paraId="0755B85C" w14:textId="77777777" w:rsidR="00B67D7C" w:rsidRPr="00DE096C" w:rsidRDefault="00B67D7C" w:rsidP="00D45A46">
            <w:pPr>
              <w:jc w:val="both"/>
              <w:rPr>
                <w:bCs/>
                <w:color w:val="002060"/>
                <w:sz w:val="16"/>
                <w:szCs w:val="16"/>
              </w:rPr>
            </w:pPr>
            <w:r w:rsidRPr="00DE096C">
              <w:rPr>
                <w:bCs/>
                <w:color w:val="002060"/>
                <w:sz w:val="16"/>
                <w:szCs w:val="16"/>
              </w:rPr>
              <w:t>1</w:t>
            </w:r>
          </w:p>
        </w:tc>
        <w:tc>
          <w:tcPr>
            <w:tcW w:w="1714" w:type="dxa"/>
          </w:tcPr>
          <w:p w14:paraId="7E8E46F5" w14:textId="77777777" w:rsidR="00B67D7C" w:rsidRPr="00DE096C" w:rsidRDefault="00B67D7C" w:rsidP="00D45A46">
            <w:pPr>
              <w:jc w:val="both"/>
              <w:rPr>
                <w:bCs/>
                <w:color w:val="002060"/>
                <w:sz w:val="16"/>
                <w:szCs w:val="16"/>
              </w:rPr>
            </w:pPr>
            <w:r w:rsidRPr="00DE096C">
              <w:rPr>
                <w:bCs/>
                <w:color w:val="002060"/>
                <w:sz w:val="16"/>
                <w:szCs w:val="16"/>
              </w:rPr>
              <w:t>1</w:t>
            </w:r>
          </w:p>
        </w:tc>
      </w:tr>
      <w:tr w:rsidR="00B67D7C" w:rsidRPr="00DE096C" w14:paraId="7FAB69C1" w14:textId="77777777" w:rsidTr="00C2024A">
        <w:tc>
          <w:tcPr>
            <w:tcW w:w="3725" w:type="dxa"/>
          </w:tcPr>
          <w:p w14:paraId="7EB413CB" w14:textId="77777777" w:rsidR="00B67D7C" w:rsidRPr="00DE096C" w:rsidRDefault="00B67D7C" w:rsidP="00D45A46">
            <w:pPr>
              <w:jc w:val="both"/>
              <w:rPr>
                <w:bCs/>
                <w:color w:val="002060"/>
                <w:sz w:val="16"/>
                <w:szCs w:val="16"/>
              </w:rPr>
            </w:pPr>
            <w:r w:rsidRPr="00DE096C">
              <w:rPr>
                <w:bCs/>
                <w:color w:val="002060"/>
                <w:sz w:val="16"/>
                <w:szCs w:val="16"/>
              </w:rPr>
              <w:t>летчиков</w:t>
            </w:r>
          </w:p>
        </w:tc>
        <w:tc>
          <w:tcPr>
            <w:tcW w:w="1959" w:type="dxa"/>
          </w:tcPr>
          <w:p w14:paraId="5D684E60" w14:textId="77777777" w:rsidR="00B67D7C" w:rsidRPr="00DE096C" w:rsidRDefault="00B67D7C" w:rsidP="00D45A46">
            <w:pPr>
              <w:jc w:val="both"/>
              <w:rPr>
                <w:bCs/>
                <w:color w:val="002060"/>
                <w:sz w:val="16"/>
                <w:szCs w:val="16"/>
              </w:rPr>
            </w:pPr>
            <w:r w:rsidRPr="00DE096C">
              <w:rPr>
                <w:bCs/>
                <w:color w:val="002060"/>
                <w:sz w:val="16"/>
                <w:szCs w:val="16"/>
              </w:rPr>
              <w:t>2</w:t>
            </w:r>
          </w:p>
        </w:tc>
        <w:tc>
          <w:tcPr>
            <w:tcW w:w="1959" w:type="dxa"/>
          </w:tcPr>
          <w:p w14:paraId="0593ADFE" w14:textId="77777777" w:rsidR="00B67D7C" w:rsidRPr="00DE096C" w:rsidRDefault="00B67D7C" w:rsidP="00D45A46">
            <w:pPr>
              <w:jc w:val="both"/>
              <w:rPr>
                <w:bCs/>
                <w:color w:val="002060"/>
                <w:sz w:val="16"/>
                <w:szCs w:val="16"/>
              </w:rPr>
            </w:pPr>
            <w:r w:rsidRPr="00DE096C">
              <w:rPr>
                <w:bCs/>
                <w:color w:val="002060"/>
                <w:sz w:val="16"/>
                <w:szCs w:val="16"/>
              </w:rPr>
              <w:t>1</w:t>
            </w:r>
          </w:p>
        </w:tc>
        <w:tc>
          <w:tcPr>
            <w:tcW w:w="1714" w:type="dxa"/>
          </w:tcPr>
          <w:p w14:paraId="0D869915" w14:textId="77777777" w:rsidR="00B67D7C" w:rsidRPr="00DE096C" w:rsidRDefault="00B67D7C" w:rsidP="00D45A46">
            <w:pPr>
              <w:jc w:val="both"/>
              <w:rPr>
                <w:bCs/>
                <w:color w:val="002060"/>
                <w:sz w:val="16"/>
                <w:szCs w:val="16"/>
              </w:rPr>
            </w:pPr>
            <w:r w:rsidRPr="00DE096C">
              <w:rPr>
                <w:bCs/>
                <w:color w:val="002060"/>
                <w:sz w:val="16"/>
                <w:szCs w:val="16"/>
              </w:rPr>
              <w:t>1</w:t>
            </w:r>
          </w:p>
        </w:tc>
      </w:tr>
      <w:tr w:rsidR="00B67D7C" w:rsidRPr="00DE096C" w14:paraId="2C61F952" w14:textId="77777777" w:rsidTr="00C2024A">
        <w:tc>
          <w:tcPr>
            <w:tcW w:w="3725" w:type="dxa"/>
          </w:tcPr>
          <w:p w14:paraId="6E051AFB" w14:textId="77777777" w:rsidR="00B67D7C" w:rsidRPr="00DE096C" w:rsidRDefault="00B67D7C" w:rsidP="00D45A46">
            <w:pPr>
              <w:jc w:val="both"/>
              <w:rPr>
                <w:bCs/>
                <w:color w:val="002060"/>
                <w:sz w:val="16"/>
                <w:szCs w:val="16"/>
              </w:rPr>
            </w:pPr>
            <w:r w:rsidRPr="00DE096C">
              <w:rPr>
                <w:bCs/>
                <w:color w:val="002060"/>
                <w:sz w:val="16"/>
                <w:szCs w:val="16"/>
              </w:rPr>
              <w:t>наблюдателей</w:t>
            </w:r>
          </w:p>
        </w:tc>
        <w:tc>
          <w:tcPr>
            <w:tcW w:w="1959" w:type="dxa"/>
          </w:tcPr>
          <w:p w14:paraId="54E8F16A" w14:textId="77777777" w:rsidR="00B67D7C" w:rsidRPr="00DE096C" w:rsidRDefault="00B67D7C" w:rsidP="00D45A46">
            <w:pPr>
              <w:jc w:val="both"/>
              <w:rPr>
                <w:bCs/>
                <w:color w:val="002060"/>
                <w:sz w:val="16"/>
                <w:szCs w:val="16"/>
              </w:rPr>
            </w:pPr>
            <w:r w:rsidRPr="00DE096C">
              <w:rPr>
                <w:bCs/>
                <w:color w:val="002060"/>
                <w:sz w:val="16"/>
                <w:szCs w:val="16"/>
              </w:rPr>
              <w:t>2</w:t>
            </w:r>
          </w:p>
        </w:tc>
        <w:tc>
          <w:tcPr>
            <w:tcW w:w="1959" w:type="dxa"/>
          </w:tcPr>
          <w:p w14:paraId="07824E72" w14:textId="77777777" w:rsidR="00B67D7C" w:rsidRPr="00DE096C" w:rsidRDefault="00B67D7C" w:rsidP="00D45A46">
            <w:pPr>
              <w:jc w:val="both"/>
              <w:rPr>
                <w:bCs/>
                <w:color w:val="002060"/>
                <w:sz w:val="16"/>
                <w:szCs w:val="16"/>
              </w:rPr>
            </w:pPr>
            <w:r w:rsidRPr="00DE096C">
              <w:rPr>
                <w:bCs/>
                <w:color w:val="002060"/>
                <w:sz w:val="16"/>
                <w:szCs w:val="16"/>
              </w:rPr>
              <w:t>1</w:t>
            </w:r>
          </w:p>
        </w:tc>
        <w:tc>
          <w:tcPr>
            <w:tcW w:w="1714" w:type="dxa"/>
          </w:tcPr>
          <w:p w14:paraId="2D082436" w14:textId="77777777" w:rsidR="00B67D7C" w:rsidRPr="00DE096C" w:rsidRDefault="00B67D7C" w:rsidP="00D45A46">
            <w:pPr>
              <w:jc w:val="both"/>
              <w:rPr>
                <w:bCs/>
                <w:color w:val="002060"/>
                <w:sz w:val="16"/>
                <w:szCs w:val="16"/>
              </w:rPr>
            </w:pPr>
            <w:r w:rsidRPr="00DE096C">
              <w:rPr>
                <w:bCs/>
                <w:color w:val="002060"/>
                <w:sz w:val="16"/>
                <w:szCs w:val="16"/>
              </w:rPr>
              <w:t>1</w:t>
            </w:r>
          </w:p>
        </w:tc>
      </w:tr>
      <w:tr w:rsidR="00B67D7C" w:rsidRPr="00DE096C" w14:paraId="09EC977B" w14:textId="77777777" w:rsidTr="00C2024A">
        <w:tc>
          <w:tcPr>
            <w:tcW w:w="3725" w:type="dxa"/>
          </w:tcPr>
          <w:p w14:paraId="45A68020" w14:textId="77777777" w:rsidR="00B67D7C" w:rsidRPr="00DE096C" w:rsidRDefault="00B67D7C" w:rsidP="00D45A46">
            <w:pPr>
              <w:jc w:val="both"/>
              <w:rPr>
                <w:bCs/>
                <w:color w:val="002060"/>
                <w:sz w:val="16"/>
                <w:szCs w:val="16"/>
              </w:rPr>
            </w:pPr>
            <w:r w:rsidRPr="00DE096C">
              <w:rPr>
                <w:bCs/>
                <w:color w:val="002060"/>
                <w:sz w:val="16"/>
                <w:szCs w:val="16"/>
              </w:rPr>
              <w:t>Вооружение</w:t>
            </w:r>
          </w:p>
        </w:tc>
        <w:tc>
          <w:tcPr>
            <w:tcW w:w="1959" w:type="dxa"/>
          </w:tcPr>
          <w:p w14:paraId="1F8E3474" w14:textId="77777777" w:rsidR="00B67D7C" w:rsidRPr="00DE096C" w:rsidRDefault="00B67D7C" w:rsidP="00D45A46">
            <w:pPr>
              <w:jc w:val="both"/>
              <w:rPr>
                <w:bCs/>
                <w:color w:val="002060"/>
                <w:sz w:val="16"/>
                <w:szCs w:val="16"/>
              </w:rPr>
            </w:pPr>
            <w:r w:rsidRPr="00DE096C">
              <w:rPr>
                <w:bCs/>
                <w:color w:val="002060"/>
                <w:sz w:val="16"/>
                <w:szCs w:val="16"/>
              </w:rPr>
              <w:t>Пулемет</w:t>
            </w:r>
          </w:p>
        </w:tc>
        <w:tc>
          <w:tcPr>
            <w:tcW w:w="1959" w:type="dxa"/>
          </w:tcPr>
          <w:p w14:paraId="2D7EFE0A" w14:textId="77777777" w:rsidR="00B67D7C" w:rsidRPr="00DE096C" w:rsidRDefault="00B67D7C" w:rsidP="00D45A46">
            <w:pPr>
              <w:jc w:val="both"/>
              <w:rPr>
                <w:bCs/>
                <w:color w:val="002060"/>
                <w:sz w:val="16"/>
                <w:szCs w:val="16"/>
              </w:rPr>
            </w:pPr>
            <w:r w:rsidRPr="00DE096C">
              <w:rPr>
                <w:bCs/>
                <w:color w:val="002060"/>
                <w:sz w:val="16"/>
                <w:szCs w:val="16"/>
              </w:rPr>
              <w:t>Пулемет</w:t>
            </w:r>
          </w:p>
        </w:tc>
        <w:tc>
          <w:tcPr>
            <w:tcW w:w="1714" w:type="dxa"/>
          </w:tcPr>
          <w:p w14:paraId="7BE48C70" w14:textId="77777777" w:rsidR="00B67D7C" w:rsidRPr="00DE096C" w:rsidRDefault="00B67D7C" w:rsidP="00D45A46">
            <w:pPr>
              <w:jc w:val="both"/>
              <w:rPr>
                <w:bCs/>
                <w:color w:val="002060"/>
                <w:sz w:val="16"/>
                <w:szCs w:val="16"/>
              </w:rPr>
            </w:pPr>
            <w:r w:rsidRPr="00DE096C">
              <w:rPr>
                <w:bCs/>
                <w:color w:val="002060"/>
                <w:sz w:val="16"/>
                <w:szCs w:val="16"/>
              </w:rPr>
              <w:t>Пулемет</w:t>
            </w:r>
          </w:p>
        </w:tc>
      </w:tr>
    </w:tbl>
    <w:p w14:paraId="547C07A6" w14:textId="77777777" w:rsidR="00B67D7C" w:rsidRPr="00DE096C" w:rsidRDefault="00B67D7C" w:rsidP="00D45A46">
      <w:pPr>
        <w:jc w:val="both"/>
        <w:rPr>
          <w:bCs/>
          <w:color w:val="002060"/>
          <w:sz w:val="16"/>
          <w:szCs w:val="16"/>
        </w:rPr>
      </w:pPr>
      <w:r w:rsidRPr="00DE096C">
        <w:rPr>
          <w:bCs/>
          <w:color w:val="002060"/>
          <w:sz w:val="16"/>
          <w:szCs w:val="16"/>
        </w:rPr>
        <w:t xml:space="preserve">Это заседание авиационного комитета характерно тем, что летчики сами, исходя из местных условий и состояния техники, выработали требования, которым должны были отвечать их летательные аппараты. Правда, ставя во главу угла разведку, балтийцы явно ошибались, и это им стало очевидным довольно скоро. </w:t>
      </w:r>
    </w:p>
    <w:p w14:paraId="353E4D76" w14:textId="77777777" w:rsidR="00B67D7C" w:rsidRPr="00DE096C" w:rsidRDefault="00B67D7C" w:rsidP="00D45A46">
      <w:pPr>
        <w:jc w:val="both"/>
        <w:rPr>
          <w:bCs/>
          <w:color w:val="002060"/>
          <w:sz w:val="16"/>
          <w:szCs w:val="16"/>
        </w:rPr>
      </w:pPr>
    </w:p>
    <w:p w14:paraId="322E7FC2" w14:textId="11542304"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25 марта (7 апреля) 1914 летчик Г.В.Алехнович на самолете "Сикорский-10" летал до полного израсходования горючего и продержался в воздухе </w:t>
      </w:r>
      <w:r w:rsidR="00036E63" w:rsidRPr="00DE096C">
        <w:rPr>
          <w:bCs/>
          <w:color w:val="002060"/>
          <w:sz w:val="16"/>
          <w:szCs w:val="16"/>
        </w:rPr>
        <w:t>4</w:t>
      </w:r>
      <w:r w:rsidR="00C90A2B" w:rsidRPr="00DE096C">
        <w:rPr>
          <w:bCs/>
          <w:color w:val="002060"/>
          <w:sz w:val="16"/>
          <w:szCs w:val="16"/>
        </w:rPr>
        <w:t xml:space="preserve"> </w:t>
      </w:r>
      <w:r w:rsidRPr="00DE096C">
        <w:rPr>
          <w:bCs/>
          <w:color w:val="002060"/>
          <w:sz w:val="16"/>
          <w:szCs w:val="16"/>
        </w:rPr>
        <w:t>ч.55 мин., покрыв за это время расстояние 441 км по замкнутой кривой. ("Новое время". 1914 г. 27 марта).</w:t>
      </w:r>
    </w:p>
    <w:p w14:paraId="3CE811CA" w14:textId="77777777" w:rsidR="00B67D7C" w:rsidRPr="00DE096C" w:rsidRDefault="00B67D7C" w:rsidP="00D45A46">
      <w:pPr>
        <w:shd w:val="clear" w:color="auto" w:fill="FFFFFF"/>
        <w:jc w:val="both"/>
        <w:rPr>
          <w:bCs/>
          <w:color w:val="002060"/>
          <w:sz w:val="16"/>
          <w:szCs w:val="16"/>
        </w:rPr>
      </w:pPr>
    </w:p>
    <w:p w14:paraId="4CE7ACFA" w14:textId="77777777" w:rsidR="00036E63" w:rsidRPr="00DE096C" w:rsidRDefault="00036E63" w:rsidP="00D45A46">
      <w:pPr>
        <w:jc w:val="both"/>
        <w:rPr>
          <w:bCs/>
          <w:color w:val="002060"/>
          <w:sz w:val="16"/>
          <w:szCs w:val="16"/>
        </w:rPr>
      </w:pPr>
      <w:r w:rsidRPr="00DE096C">
        <w:rPr>
          <w:bCs/>
          <w:color w:val="002060"/>
          <w:sz w:val="16"/>
          <w:szCs w:val="16"/>
        </w:rPr>
        <w:t>25 марта (5 апреля) 1914 г. летчик Г.В. Алехнович на самолете Сикорский-10 с мо</w:t>
      </w:r>
      <w:r w:rsidRPr="00DE096C">
        <w:rPr>
          <w:bCs/>
          <w:color w:val="002060"/>
          <w:sz w:val="16"/>
          <w:szCs w:val="16"/>
        </w:rPr>
        <w:softHyphen/>
        <w:t>тором Гном 80 л.с. летал до полного израсходования горючего и продержался в воздухе 4 ч.55 мин., покрыв за это время расстоя</w:t>
      </w:r>
      <w:r w:rsidRPr="00DE096C">
        <w:rPr>
          <w:bCs/>
          <w:color w:val="002060"/>
          <w:sz w:val="16"/>
          <w:szCs w:val="16"/>
        </w:rPr>
        <w:softHyphen/>
        <w:t>ние 441 км по замкнутой кривой.</w:t>
      </w:r>
    </w:p>
    <w:p w14:paraId="6EE3C0F8" w14:textId="77777777" w:rsidR="00036E63" w:rsidRPr="00DE096C" w:rsidRDefault="00036E63" w:rsidP="00D45A46">
      <w:pPr>
        <w:jc w:val="both"/>
        <w:rPr>
          <w:bCs/>
          <w:color w:val="002060"/>
          <w:sz w:val="16"/>
          <w:szCs w:val="16"/>
        </w:rPr>
      </w:pPr>
      <w:r w:rsidRPr="00DE096C">
        <w:rPr>
          <w:bCs/>
          <w:color w:val="002060"/>
          <w:sz w:val="16"/>
          <w:szCs w:val="16"/>
        </w:rPr>
        <w:t>/«Новое время», 28 марта 1914 г./ (23320).</w:t>
      </w:r>
    </w:p>
    <w:p w14:paraId="326ED53E" w14:textId="77777777" w:rsidR="00036E63" w:rsidRPr="00DE096C" w:rsidRDefault="00036E63" w:rsidP="00D45A46">
      <w:pPr>
        <w:jc w:val="both"/>
        <w:rPr>
          <w:bCs/>
          <w:color w:val="002060"/>
          <w:sz w:val="16"/>
          <w:szCs w:val="16"/>
        </w:rPr>
      </w:pPr>
    </w:p>
    <w:p w14:paraId="2DFF43D5" w14:textId="77777777" w:rsidR="00583AC0" w:rsidRPr="00DE096C" w:rsidRDefault="00583AC0" w:rsidP="00D45A46">
      <w:pPr>
        <w:jc w:val="both"/>
        <w:rPr>
          <w:bCs/>
          <w:i/>
          <w:color w:val="002060"/>
          <w:sz w:val="16"/>
          <w:szCs w:val="16"/>
        </w:rPr>
      </w:pPr>
      <w:r w:rsidRPr="00DE096C">
        <w:rPr>
          <w:bCs/>
          <w:i/>
          <w:color w:val="002060"/>
          <w:sz w:val="16"/>
          <w:szCs w:val="16"/>
        </w:rPr>
        <w:t>Другие оборонные отрасли:</w:t>
      </w:r>
    </w:p>
    <w:p w14:paraId="34DA06DD" w14:textId="77777777" w:rsidR="00583AC0" w:rsidRPr="00DE096C" w:rsidRDefault="00583AC0" w:rsidP="00D45A46">
      <w:pPr>
        <w:jc w:val="both"/>
        <w:rPr>
          <w:bCs/>
          <w:i/>
          <w:color w:val="002060"/>
          <w:sz w:val="16"/>
          <w:szCs w:val="16"/>
        </w:rPr>
      </w:pPr>
    </w:p>
    <w:p w14:paraId="2B4626E0" w14:textId="79FDFAC8" w:rsidR="00583AC0" w:rsidRPr="00DE096C" w:rsidRDefault="00583AC0" w:rsidP="00D45A46">
      <w:pPr>
        <w:pStyle w:val="ae"/>
        <w:spacing w:before="0" w:beforeAutospacing="0" w:after="0" w:afterAutospacing="0"/>
        <w:jc w:val="both"/>
        <w:textAlignment w:val="baseline"/>
        <w:rPr>
          <w:bCs/>
          <w:color w:val="002060"/>
          <w:sz w:val="16"/>
          <w:szCs w:val="16"/>
        </w:rPr>
      </w:pPr>
      <w:r w:rsidRPr="00DE096C">
        <w:rPr>
          <w:bCs/>
          <w:color w:val="002060"/>
          <w:sz w:val="16"/>
          <w:szCs w:val="16"/>
        </w:rPr>
        <w:t xml:space="preserve">К 25 марта </w:t>
      </w:r>
      <w:r w:rsidR="00C90A2B" w:rsidRPr="00DE096C">
        <w:rPr>
          <w:bCs/>
          <w:color w:val="002060"/>
          <w:sz w:val="16"/>
          <w:szCs w:val="16"/>
        </w:rPr>
        <w:t xml:space="preserve">(7 апреля) </w:t>
      </w:r>
      <w:r w:rsidRPr="00DE096C">
        <w:rPr>
          <w:bCs/>
          <w:color w:val="002060"/>
          <w:sz w:val="16"/>
          <w:szCs w:val="16"/>
        </w:rPr>
        <w:t>1914 года усилиями (АО) «Г.А. Лесснер», которосу в 1913 году и был выдан заказ на изготовление 482 торпед по итальянскому проекту в бухте Двуякорной (район Феодосии), была построена тпс. Тогда же в связи с развитием судостроения и необходимостью оснащения построенных кораблей морским вооружением правление АО «Г.А. Лесснер» предложило построить рядом с ней завод для производства торпед с образованием «будущего неудачника» — «Русского Уайтхеда». Для него определили уставной капитал в 2 млн рублей, из которых одну половину предоставляли «лесснеровцы», а другую выделяла английская фирма «Виккерс».</w:t>
      </w:r>
    </w:p>
    <w:p w14:paraId="3D4E2A01" w14:textId="77777777" w:rsidR="00583AC0" w:rsidRPr="00DE096C" w:rsidRDefault="00583AC0" w:rsidP="00D45A46">
      <w:pPr>
        <w:pStyle w:val="ae"/>
        <w:spacing w:before="0" w:beforeAutospacing="0" w:after="0" w:afterAutospacing="0"/>
        <w:jc w:val="both"/>
        <w:textAlignment w:val="baseline"/>
        <w:rPr>
          <w:bCs/>
          <w:color w:val="002060"/>
          <w:sz w:val="16"/>
          <w:szCs w:val="16"/>
        </w:rPr>
      </w:pPr>
      <w:r w:rsidRPr="00DE096C">
        <w:rPr>
          <w:bCs/>
          <w:color w:val="002060"/>
          <w:sz w:val="16"/>
          <w:szCs w:val="16"/>
        </w:rPr>
        <w:t>Однако реализовывать столь серьёзный проект пришлось в сложных условиях — началась Первая мировая война. 21 сентября 1914 года император Николай II утвердил устав акционерного общества торпедных заводов «Русский Уайтхед». Основным предназначением новоявленного АО по монаршему повелению считалось «приобретение, устройство и эксплуатация заводов, изготавливающих торпеды системы Уайтхеда».</w:t>
      </w:r>
    </w:p>
    <w:p w14:paraId="7AAE3EE7" w14:textId="77777777" w:rsidR="00583AC0" w:rsidRPr="00DE096C" w:rsidRDefault="00583AC0" w:rsidP="00D45A46">
      <w:pPr>
        <w:pStyle w:val="ae"/>
        <w:spacing w:before="0" w:beforeAutospacing="0" w:after="0" w:afterAutospacing="0"/>
        <w:jc w:val="both"/>
        <w:textAlignment w:val="baseline"/>
        <w:rPr>
          <w:bCs/>
          <w:color w:val="002060"/>
          <w:sz w:val="16"/>
          <w:szCs w:val="16"/>
        </w:rPr>
      </w:pPr>
      <w:r w:rsidRPr="00DE096C">
        <w:rPr>
          <w:bCs/>
          <w:color w:val="002060"/>
          <w:sz w:val="16"/>
          <w:szCs w:val="16"/>
        </w:rPr>
        <w:t>Как свидетельствуют документы, вдохновителями общества были инженер-технолог М.С. Плотников и инженер статский советник П.И. Балинский8, поддержавшие наряду с иными инициативами идею разделения 2 млн рублей уставного капитала на «20 000 акций по 100 рублей каждая»9. Правление общества, состоявшее из 8 директоров, на две трети являлось, можно сказать, своим, то есть подавляющее большинство его представителей «были подданными Российской империи».</w:t>
      </w:r>
    </w:p>
    <w:p w14:paraId="09B01C42" w14:textId="77777777" w:rsidR="00583AC0" w:rsidRPr="00DE096C" w:rsidRDefault="00583AC0" w:rsidP="00D45A46">
      <w:pPr>
        <w:pStyle w:val="ae"/>
        <w:spacing w:before="0" w:beforeAutospacing="0" w:after="0" w:afterAutospacing="0"/>
        <w:jc w:val="both"/>
        <w:textAlignment w:val="baseline"/>
        <w:rPr>
          <w:bCs/>
          <w:color w:val="002060"/>
          <w:sz w:val="16"/>
          <w:szCs w:val="16"/>
        </w:rPr>
      </w:pPr>
      <w:r w:rsidRPr="00DE096C">
        <w:rPr>
          <w:bCs/>
          <w:color w:val="002060"/>
          <w:sz w:val="16"/>
          <w:szCs w:val="16"/>
        </w:rPr>
        <w:t>Акционерное общество торпедных заводов «Русский Уайтхед» в соответствии с уставом обладало самыми широкими полномочиями: приобретение земельных участков для строительства заводов, оснащение их станками и оборудованием, покупка кораблей, оформление заграничных заказов и многое другое. При этом все свои действия оно должно было согласовывать с министром торговли и промышленности.</w:t>
      </w:r>
    </w:p>
    <w:p w14:paraId="4438B8AA" w14:textId="77777777" w:rsidR="00583AC0" w:rsidRPr="00DE096C" w:rsidRDefault="00583AC0" w:rsidP="00D45A46">
      <w:pPr>
        <w:pStyle w:val="ae"/>
        <w:spacing w:before="0" w:beforeAutospacing="0" w:after="0" w:afterAutospacing="0"/>
        <w:jc w:val="both"/>
        <w:textAlignment w:val="baseline"/>
        <w:rPr>
          <w:bCs/>
          <w:color w:val="002060"/>
          <w:sz w:val="16"/>
          <w:szCs w:val="16"/>
        </w:rPr>
      </w:pPr>
      <w:r w:rsidRPr="00DE096C">
        <w:rPr>
          <w:bCs/>
          <w:color w:val="002060"/>
          <w:sz w:val="16"/>
          <w:szCs w:val="16"/>
        </w:rPr>
        <w:t>Разработка плана будущего торпедного завода в Двуякорной бухте и его оборудование, как уже упоминалось, возлагалась на АО «Г.А. Лесснер», слывшее «единственно компетентным в России» по «созданию торпед». Необходимо отметить, что в деле планирования и постройки тпс и предприятия, организации обеспечения их всем необходимым, в том числе и оборудованием, непосредственное участие принимал видный знаток минного дела капитан 2 ранга В.Д. Пшенецкий. Ему принадлежала также идея о строительстве завода в означенном месте. Но пришла ему она потом, а первоначально решался вопрос только о пристрелке самодвижущихся мин (18368).</w:t>
      </w:r>
    </w:p>
    <w:p w14:paraId="4F111D6F" w14:textId="77777777" w:rsidR="00583AC0" w:rsidRPr="00DE096C" w:rsidRDefault="00583AC0" w:rsidP="00D45A46">
      <w:pPr>
        <w:pStyle w:val="ae"/>
        <w:spacing w:before="0" w:beforeAutospacing="0" w:after="0" w:afterAutospacing="0"/>
        <w:jc w:val="both"/>
        <w:textAlignment w:val="baseline"/>
        <w:rPr>
          <w:bCs/>
          <w:color w:val="002060"/>
          <w:sz w:val="16"/>
          <w:szCs w:val="16"/>
        </w:rPr>
      </w:pPr>
    </w:p>
    <w:p w14:paraId="5EA316B2" w14:textId="77777777" w:rsidR="000B3344" w:rsidRPr="00DE096C" w:rsidRDefault="000B3344" w:rsidP="00D45A46">
      <w:pPr>
        <w:shd w:val="clear" w:color="auto" w:fill="FFFFFF"/>
        <w:jc w:val="both"/>
        <w:rPr>
          <w:bCs/>
          <w:i/>
          <w:color w:val="002060"/>
          <w:sz w:val="16"/>
          <w:szCs w:val="16"/>
        </w:rPr>
      </w:pPr>
      <w:r w:rsidRPr="00DE096C">
        <w:rPr>
          <w:bCs/>
          <w:i/>
          <w:color w:val="002060"/>
          <w:sz w:val="16"/>
          <w:szCs w:val="16"/>
        </w:rPr>
        <w:t>Авиация:</w:t>
      </w:r>
    </w:p>
    <w:p w14:paraId="31AA8FAB" w14:textId="77777777" w:rsidR="000B3344" w:rsidRPr="00DE096C" w:rsidRDefault="000B3344" w:rsidP="00D45A46">
      <w:pPr>
        <w:shd w:val="clear" w:color="auto" w:fill="FFFFFF"/>
        <w:jc w:val="both"/>
        <w:rPr>
          <w:bCs/>
          <w:i/>
          <w:color w:val="002060"/>
          <w:sz w:val="16"/>
          <w:szCs w:val="16"/>
        </w:rPr>
      </w:pPr>
    </w:p>
    <w:p w14:paraId="77566743" w14:textId="18AD3E2C" w:rsidR="000B3344" w:rsidRPr="00DE096C" w:rsidRDefault="000B3344" w:rsidP="00D45A46">
      <w:pPr>
        <w:pStyle w:val="2"/>
        <w:spacing w:before="0" w:after="0"/>
        <w:jc w:val="both"/>
        <w:rPr>
          <w:b w:val="0"/>
          <w:bCs/>
          <w:color w:val="002060"/>
          <w:sz w:val="16"/>
          <w:szCs w:val="16"/>
        </w:rPr>
      </w:pPr>
      <w:r w:rsidRPr="00DE096C">
        <w:rPr>
          <w:b w:val="0"/>
          <w:bCs/>
          <w:color w:val="002060"/>
          <w:sz w:val="16"/>
          <w:szCs w:val="16"/>
        </w:rPr>
        <w:t xml:space="preserve">25 марта </w:t>
      </w:r>
      <w:r w:rsidR="00C90A2B" w:rsidRPr="00DE096C">
        <w:rPr>
          <w:b w:val="0"/>
          <w:bCs/>
          <w:color w:val="002060"/>
          <w:sz w:val="16"/>
          <w:szCs w:val="16"/>
        </w:rPr>
        <w:t xml:space="preserve">(7 апреля) </w:t>
      </w:r>
      <w:r w:rsidRPr="00DE096C">
        <w:rPr>
          <w:b w:val="0"/>
          <w:bCs/>
          <w:color w:val="002060"/>
          <w:sz w:val="16"/>
          <w:szCs w:val="16"/>
        </w:rPr>
        <w:t>1914, Габер-Влынский рассказал: «Приехав в Париж с намерением либо сделать мертвую петлю, либо погибнуть, [он] поступил в школу, надеясь немедленно приступить к изучению петель. Но французы, не веря в способности русского летчика, все оттягивали его обучение. Тогда Габер-Влынский, подучившись в течение дня полетам на «Моране», на другой день совершил уже несколько спиралей, а на третий — и мертвую петлю. — Научиться делать мертвые петли под руководством инструктора, — продолжал Габер-Влынский — невозможно, так как во время опрокидывания аппарата пилот совершенно теряет управление аппаратом, да к тому же находясь вниз головой, нет никакой возможности что-либо объяснять друг другу. — Сначала — говорит авиатор, — я дал немного вниз для приобретения живой силы, затем я сразу подтянул на себя, поставил на дыбы и дал полный газ. Двигатель и винт заработали сразу с значительной силой, и аппарат быстро поднялся вверх. Еще мгновение, и двигатель перестал работать, так как бензин в баке перелился. Сейчас же я почувствовал, что аппарат еще больше переворачивается и из глаз моих теряется горизонт. Я чувствовал, что я лечу вниз головой, это был самый неприятный момент во время моего полета. Чувствуешь, что ты падаешь вниз, хочешь взяться за управление и в то же время не можешь, т.к. чувствушь, что аппарат не управляется. После этого аппарат переходит в пикирующее положение, двигатель начинает работать, и петля уже может с помощью рулей вполне замкнуться. Весь секрет... заключается в смелости, самообладании и умении управлять машиной, чтобы она описала полный круг.» Шеф-пилот «Дукса» Габер-Влынский оказался во Франции для обучения «петляй и полетам вниз головой» по персональному приглашению хозяина известной авиастроительной фирмы Леона Морана. Приехав в Москву для заключения контракта на постройку «Моранов» на «Дуксе», тот был восхищен искусством москов- ского летчика. Поездку субсидировал Меллер.</w:t>
      </w:r>
    </w:p>
    <w:p w14:paraId="48C474DE" w14:textId="77777777" w:rsidR="000B3344" w:rsidRPr="00DE096C" w:rsidRDefault="000B3344" w:rsidP="00D45A46">
      <w:pPr>
        <w:pStyle w:val="2"/>
        <w:spacing w:before="0" w:after="0"/>
        <w:jc w:val="both"/>
        <w:rPr>
          <w:b w:val="0"/>
          <w:bCs/>
          <w:color w:val="002060"/>
          <w:sz w:val="16"/>
          <w:szCs w:val="16"/>
        </w:rPr>
      </w:pPr>
      <w:r w:rsidRPr="00DE096C">
        <w:rPr>
          <w:b w:val="0"/>
          <w:bCs/>
          <w:color w:val="002060"/>
          <w:sz w:val="16"/>
          <w:szCs w:val="16"/>
        </w:rPr>
        <w:t>Обучаясь делать мертвые петли и летая вниз головой в Париже и у Ролана Гарро в Виллакубли, Габер стал усиленно тренироваться в этом искусстве и вскоре «вполне овладел им» настолько, что французы прозвали его «русским дьяволом» и избрали почетным членом своего престижного общества пионеров авиации «Старые волки». Раевский свою первую петлю выполнил 7 апреля, на следующий день после катастрофы с двумя французскими инструкторами, столкнувшимися в воздухе: «Несмотря на угнетенное душевное настроение, [я] приступил впервые к проделыванию мертвой петли. Императорский аэроклуб, командировавший меня во Францию, требовал и часто напоминал о том, что пора уже закончить обучение и вернуться в Петербург «петлистом»... Первая петля удалась мне довольно легко и произвела на меня в высшей степени благоприятное впечатление... На следующий день во время вторичного полета мне без особенного труда удалось замкнуть десять петель подряд. Таким образом, я проделал 11 петель, как раз по числу выбитых у меня зубов во время ученических полетов, на каждый зуб по петле.» (15464).</w:t>
      </w:r>
    </w:p>
    <w:p w14:paraId="33C4487C" w14:textId="77777777" w:rsidR="000B3344" w:rsidRPr="00DE096C" w:rsidRDefault="000B3344" w:rsidP="00D45A46">
      <w:pPr>
        <w:pStyle w:val="2"/>
        <w:spacing w:before="0" w:after="0"/>
        <w:jc w:val="both"/>
        <w:rPr>
          <w:b w:val="0"/>
          <w:bCs/>
          <w:color w:val="002060"/>
          <w:sz w:val="16"/>
          <w:szCs w:val="16"/>
        </w:rPr>
      </w:pPr>
    </w:p>
    <w:p w14:paraId="0C1D7CBD" w14:textId="77777777" w:rsidR="00B67D7C" w:rsidRPr="00DE096C" w:rsidRDefault="00B67D7C" w:rsidP="00D45A46">
      <w:pPr>
        <w:jc w:val="both"/>
        <w:rPr>
          <w:bCs/>
          <w:i/>
          <w:color w:val="002060"/>
          <w:sz w:val="16"/>
          <w:szCs w:val="16"/>
        </w:rPr>
      </w:pPr>
      <w:r w:rsidRPr="00DE096C">
        <w:rPr>
          <w:bCs/>
          <w:i/>
          <w:color w:val="002060"/>
          <w:sz w:val="16"/>
          <w:szCs w:val="16"/>
        </w:rPr>
        <w:t>Самолетостроение:</w:t>
      </w:r>
    </w:p>
    <w:p w14:paraId="62472145" w14:textId="77777777" w:rsidR="00B67D7C" w:rsidRPr="00DE096C" w:rsidRDefault="00B67D7C" w:rsidP="00D45A46">
      <w:pPr>
        <w:jc w:val="both"/>
        <w:rPr>
          <w:bCs/>
          <w:i/>
          <w:color w:val="002060"/>
          <w:sz w:val="16"/>
          <w:szCs w:val="16"/>
        </w:rPr>
      </w:pPr>
    </w:p>
    <w:p w14:paraId="5DD44043" w14:textId="2C18A841" w:rsidR="00B67D7C" w:rsidRPr="00DE096C" w:rsidRDefault="00B67D7C" w:rsidP="00D45A46">
      <w:pPr>
        <w:shd w:val="clear" w:color="auto" w:fill="FFFFFF"/>
        <w:jc w:val="both"/>
        <w:rPr>
          <w:bCs/>
          <w:color w:val="002060"/>
          <w:sz w:val="16"/>
          <w:szCs w:val="16"/>
        </w:rPr>
      </w:pPr>
      <w:r w:rsidRPr="00DE096C">
        <w:rPr>
          <w:bCs/>
          <w:color w:val="002060"/>
          <w:sz w:val="16"/>
          <w:szCs w:val="16"/>
        </w:rPr>
        <w:t>26 марта (</w:t>
      </w:r>
      <w:r w:rsidR="00C90A2B" w:rsidRPr="00DE096C">
        <w:rPr>
          <w:bCs/>
          <w:color w:val="002060"/>
          <w:sz w:val="16"/>
          <w:szCs w:val="16"/>
        </w:rPr>
        <w:t>8</w:t>
      </w:r>
      <w:r w:rsidRPr="00DE096C">
        <w:rPr>
          <w:bCs/>
          <w:color w:val="002060"/>
          <w:sz w:val="16"/>
          <w:szCs w:val="16"/>
        </w:rPr>
        <w:t xml:space="preserve"> апреля) 1914 г. — Из доклада ГВТУ Военному совету о заказе аэропланов</w:t>
      </w:r>
    </w:p>
    <w:p w14:paraId="32B22F4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 920 Весьма спешно. Секретно</w:t>
      </w:r>
    </w:p>
    <w:p w14:paraId="78CC373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Законом 10 июля 1913 г. Военному министерству были разрешены кредиты на заведе</w:t>
      </w:r>
      <w:r w:rsidRPr="00DE096C">
        <w:rPr>
          <w:bCs/>
          <w:color w:val="002060"/>
          <w:sz w:val="16"/>
          <w:szCs w:val="16"/>
        </w:rPr>
        <w:softHyphen/>
        <w:t>ние специального имущества для 6 авиационных рот и 21 авиационного отряда. Форми</w:t>
      </w:r>
      <w:r w:rsidRPr="00DE096C">
        <w:rPr>
          <w:bCs/>
          <w:color w:val="002060"/>
          <w:sz w:val="16"/>
          <w:szCs w:val="16"/>
        </w:rPr>
        <w:softHyphen/>
        <w:t>рование этих частей в настоящее время производится и частью уже закончено.</w:t>
      </w:r>
    </w:p>
    <w:p w14:paraId="4D7022C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Заготовка различного авиационного имущества для упомянутых частей, за исключе</w:t>
      </w:r>
      <w:r w:rsidRPr="00DE096C">
        <w:rPr>
          <w:bCs/>
          <w:color w:val="002060"/>
          <w:sz w:val="16"/>
          <w:szCs w:val="16"/>
        </w:rPr>
        <w:softHyphen/>
        <w:t>нием аэропланов, автомобилей и обоза, была разрешена положением Военного совета от 16 августа 1913 года.</w:t>
      </w:r>
    </w:p>
    <w:p w14:paraId="61F43E9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Для скорейшего снабжения вновь формируемых авиационных отрядов аэропланами на снабжение их переданы аэропланы 2-го комплекта ранее сформированных 18 авиаци</w:t>
      </w:r>
      <w:r w:rsidRPr="00DE096C">
        <w:rPr>
          <w:bCs/>
          <w:color w:val="002060"/>
          <w:sz w:val="16"/>
          <w:szCs w:val="16"/>
        </w:rPr>
        <w:softHyphen/>
        <w:t>онных отрядов, а также аэропланы, заказанные в свое время в запас склада для этих отрядов.</w:t>
      </w:r>
    </w:p>
    <w:p w14:paraId="7211BCB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lastRenderedPageBreak/>
        <w:t>Ввиду сего заготовку указанных аэропланов предполагается осуществить как за счет указанных выше кредитов, ассигнованных по закону 10 июля 1913 г., так и частью за счет § 5 инженерной сметы 1914г., предназначенного на приобретение аэропланов для 18 авиа</w:t>
      </w:r>
      <w:r w:rsidRPr="00DE096C">
        <w:rPr>
          <w:bCs/>
          <w:color w:val="002060"/>
          <w:sz w:val="16"/>
          <w:szCs w:val="16"/>
        </w:rPr>
        <w:softHyphen/>
        <w:t>ционных отрядов, сформированных ранее, и на возобновление авиационного имущества.</w:t>
      </w:r>
    </w:p>
    <w:p w14:paraId="2D8253A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Принимая во внимание, что из числа 39 авиационных отрядов, которые необходимо снабдить аппаратами, имеется 8 крепостных, для коих, согласно табели, потребно по 8 аэропланов на каждый отряд, и для прочих 31 отряда необходимо по 6 аэропланов, общее число аппаратов, нужное для снабжения авиационных отрядов, выразится в циф</w:t>
      </w:r>
      <w:r w:rsidRPr="00DE096C">
        <w:rPr>
          <w:bCs/>
          <w:color w:val="002060"/>
          <w:sz w:val="16"/>
          <w:szCs w:val="16"/>
        </w:rPr>
        <w:softHyphen/>
        <w:t>ре 250 штук.</w:t>
      </w:r>
    </w:p>
    <w:p w14:paraId="7BCF57D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Учитывая затем то обстоятельство, что предполагаемые ныне к заказу системы аэро</w:t>
      </w:r>
      <w:r w:rsidRPr="00DE096C">
        <w:rPr>
          <w:bCs/>
          <w:color w:val="002060"/>
          <w:sz w:val="16"/>
          <w:szCs w:val="16"/>
        </w:rPr>
        <w:softHyphen/>
        <w:t>планов (за исключением аппаратов А. Фармана) значительно отличаются по способу управления ими от имеющихся в значительном количестве аэропланов системы Ньюпорта и что поэтому необходимо предпринять переучивание главной массы летчиков, и принимая во внимание, что таковое массовое переучивание можно сделать лишь в самих частях, так как не представляется возможным вызывать летчиков вновь в школы и тем как бы упразднять на некоторое время существование самих авиационных отрядов, -единственным способом является заказ некоторого количества учебных аппаратов тех систем аэропланов, которые предположено дать на снабжение авиационных отрядов.</w:t>
      </w:r>
    </w:p>
    <w:p w14:paraId="5C6B070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Расчет этих учебных аппаратов сделан в предположении необходимости дать каждо</w:t>
      </w:r>
      <w:r w:rsidRPr="00DE096C">
        <w:rPr>
          <w:bCs/>
          <w:color w:val="002060"/>
          <w:sz w:val="16"/>
          <w:szCs w:val="16"/>
        </w:rPr>
        <w:softHyphen/>
        <w:t>му отряду, снабженному аэропланами новой системы, не менее двух аппаратов, с тем чтобы случайная поломка одного из них не остановила все дело обучения целого отряда.</w:t>
      </w:r>
    </w:p>
    <w:p w14:paraId="10F9DC6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Указанный расчет приводит к необходимости заказать 50 учебных аэропланов для авиационных отрядов.</w:t>
      </w:r>
    </w:p>
    <w:p w14:paraId="5C88559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видах достижения возможно большей экономии на этот непредвиденный расход аппараты эти предположено заказать без моторов, с тем чтобы использовать для уста</w:t>
      </w:r>
      <w:r w:rsidRPr="00DE096C">
        <w:rPr>
          <w:bCs/>
          <w:color w:val="002060"/>
          <w:sz w:val="16"/>
          <w:szCs w:val="16"/>
        </w:rPr>
        <w:softHyphen/>
        <w:t>новки на них слабосильные моторы, имеющиеся ныне в авиационных частях и служив</w:t>
      </w:r>
      <w:r w:rsidRPr="00DE096C">
        <w:rPr>
          <w:bCs/>
          <w:color w:val="002060"/>
          <w:sz w:val="16"/>
          <w:szCs w:val="16"/>
        </w:rPr>
        <w:softHyphen/>
        <w:t>шие ранее в виде запасных или для аппаратов, выслуживших свой табельный срок, раз</w:t>
      </w:r>
      <w:r w:rsidRPr="00DE096C">
        <w:rPr>
          <w:bCs/>
          <w:color w:val="002060"/>
          <w:sz w:val="16"/>
          <w:szCs w:val="16"/>
        </w:rPr>
        <w:softHyphen/>
        <w:t>битых при полетах и проч.</w:t>
      </w:r>
    </w:p>
    <w:p w14:paraId="754898A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Помимо этого, самый заказ учебных аэропланов предположено произвести таким образом, чтобы конструкция аппаратов, что оказалось технически возможным, позволя</w:t>
      </w:r>
      <w:r w:rsidRPr="00DE096C">
        <w:rPr>
          <w:bCs/>
          <w:color w:val="002060"/>
          <w:sz w:val="16"/>
          <w:szCs w:val="16"/>
        </w:rPr>
        <w:softHyphen/>
        <w:t>ла бы, если часть аэропланов останется после периода переучивания целой, поставить на них более мощные моторы и использовать эти аппараты уже в виде строевых одномест</w:t>
      </w:r>
      <w:r w:rsidRPr="00DE096C">
        <w:rPr>
          <w:bCs/>
          <w:color w:val="002060"/>
          <w:sz w:val="16"/>
          <w:szCs w:val="16"/>
        </w:rPr>
        <w:softHyphen/>
        <w:t>ных аэропланов для ускоренного формирования будущих новых авиационных частей и авиационных школ (по большой программе), своевременная заготовка аппаратов для которых может встретить затруднения со стороны наших заводов.</w:t>
      </w:r>
    </w:p>
    <w:p w14:paraId="7D16641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Помимо всего, встречается необходимость заказать для нужд авиационного отдела офицерской воздухоплавательной школы и в запас склада на случай выбытия, как во время будущей службы и главным образом маневров, так и в пополнение уже имеющейся убыли, еще некоторое число аэропланов по следующему расчету.</w:t>
      </w:r>
    </w:p>
    <w:p w14:paraId="5F09A8A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Для нужд авиационной школы ввиду увеличенного по приказанию военного мини</w:t>
      </w:r>
      <w:r w:rsidRPr="00DE096C">
        <w:rPr>
          <w:bCs/>
          <w:color w:val="002060"/>
          <w:sz w:val="16"/>
          <w:szCs w:val="16"/>
        </w:rPr>
        <w:softHyphen/>
        <w:t>стра контингента обучающихся до 38 человек потребно примерно не менее 60 новых аэропланов разных систем и типов. Полагая в запас склада около 10 % всех заказываемых аэропланов, т. е. около 30 штук, общая потребность в аппаратах выражается цифрой 390 штук. Это количество аэропланов надо уменьшить на 78 строевых аппаратов, заказанных с разрешения Военного совета еще в 1913 г. и уже поступающих от заводов на снабжение авиационных отрядов. Таким образом, окончательное число предполагаемого заказа определяется в 312 аэропланов.</w:t>
      </w:r>
    </w:p>
    <w:p w14:paraId="10971B3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Вопрос о выборе наиболее пригодных систем аэропланов для снабжения авиацион</w:t>
      </w:r>
      <w:r w:rsidRPr="00DE096C">
        <w:rPr>
          <w:bCs/>
          <w:color w:val="002060"/>
          <w:sz w:val="16"/>
          <w:szCs w:val="16"/>
        </w:rPr>
        <w:softHyphen/>
        <w:t>ных частей и школы был рассмотрен Техническим комитетом Главного военно-техни</w:t>
      </w:r>
      <w:r w:rsidRPr="00DE096C">
        <w:rPr>
          <w:bCs/>
          <w:color w:val="002060"/>
          <w:sz w:val="16"/>
          <w:szCs w:val="16"/>
        </w:rPr>
        <w:softHyphen/>
        <w:t>ческого комитета с привлечением в заседание летчиков и специалистов авиационного дела из частных лиц, и означенный комитет журналами своими от 4, 11 и 18 марта с. г. за №№ 63, 77 и 87 постановил: допустить к снабжению отрядов аэропланы пяти систем: Сикорского, Моран-Сольнье, Депердюссена, Вуазена и А. Фармана.</w:t>
      </w:r>
    </w:p>
    <w:p w14:paraId="0FFB774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Кроме сего, в отношении числа их [комитет] высказался о желательности для отря</w:t>
      </w:r>
      <w:r w:rsidRPr="00DE096C">
        <w:rPr>
          <w:bCs/>
          <w:color w:val="002060"/>
          <w:sz w:val="16"/>
          <w:szCs w:val="16"/>
        </w:rPr>
        <w:softHyphen/>
        <w:t>дов, снабженных бипланами, принять 50 % системы Сикорского и 50 % системы А. Фар</w:t>
      </w:r>
      <w:r w:rsidRPr="00DE096C">
        <w:rPr>
          <w:bCs/>
          <w:color w:val="002060"/>
          <w:sz w:val="16"/>
          <w:szCs w:val="16"/>
        </w:rPr>
        <w:softHyphen/>
        <w:t>мана, оба со 100-сильными моторами, и в виде пробы два отряда снабдить аппаратами, получившими широкое распространение во французской армии, а именно — аэроплана</w:t>
      </w:r>
      <w:r w:rsidRPr="00DE096C">
        <w:rPr>
          <w:bCs/>
          <w:color w:val="002060"/>
          <w:sz w:val="16"/>
          <w:szCs w:val="16"/>
        </w:rPr>
        <w:softHyphen/>
        <w:t>ми фирмы Вуазена, снабженными особо надежными моторами Сальмсона с водяным охлаждением.</w:t>
      </w:r>
    </w:p>
    <w:p w14:paraId="3D1AB88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Что же касается до снабжения авиационных отрядов, снабжаемых монопланами, то Технический комитет, обсудивши вопрос о сравнительной производительности наших авиационных заводов, пришел к заключению о невозможности без перегрузки Русско-Балтийского вагонного завода предоставить системе моноплана Сикорского более 10 % общего числа монопланов, требующихся для авиационных отрядов, оставив по 45 % за системами Моран-Сольнье и Депердюссена, которые могут изготовлять три других рус</w:t>
      </w:r>
      <w:r w:rsidRPr="00DE096C">
        <w:rPr>
          <w:bCs/>
          <w:color w:val="002060"/>
          <w:sz w:val="16"/>
          <w:szCs w:val="16"/>
        </w:rPr>
        <w:softHyphen/>
        <w:t>ских завода.</w:t>
      </w:r>
    </w:p>
    <w:p w14:paraId="4525EA8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Согласно указанным мнениям Технического комитета было произведено распреде</w:t>
      </w:r>
      <w:r w:rsidRPr="00DE096C">
        <w:rPr>
          <w:bCs/>
          <w:color w:val="002060"/>
          <w:sz w:val="16"/>
          <w:szCs w:val="16"/>
        </w:rPr>
        <w:softHyphen/>
        <w:t>ление предполагаемого заказа между заводами сообразно их производительности и при</w:t>
      </w:r>
      <w:r w:rsidRPr="00DE096C">
        <w:rPr>
          <w:bCs/>
          <w:color w:val="002060"/>
          <w:sz w:val="16"/>
          <w:szCs w:val="16"/>
        </w:rPr>
        <w:softHyphen/>
        <w:t>нимая во внимание данные ранее, не выполненные еще заводами заказы аэропланов, причем одновременно преследовалась цель в кратчайшие сроки снабдить авиационные части и школы аэропланами, сначала учебными, а затем и строевыми.</w:t>
      </w:r>
    </w:p>
    <w:p w14:paraId="5AA44FC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Крайним сроком поставки аэропланов был избран сентябрь* ввиду того, что если даже последующие приемки значительного количества аэропланов из-за погоды несколь</w:t>
      </w:r>
      <w:r w:rsidRPr="00DE096C">
        <w:rPr>
          <w:bCs/>
          <w:color w:val="002060"/>
          <w:sz w:val="16"/>
          <w:szCs w:val="16"/>
        </w:rPr>
        <w:softHyphen/>
        <w:t>ко и затянутся, все же все аппараты попадут по назначению еще осенью 1914 г., и весна 1915 г. застанет все отряды укомплектованными имуществом.</w:t>
      </w:r>
    </w:p>
    <w:p w14:paraId="6C9591B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Допущение более поздних сроков поставки аппаратов может повести к тому, что при</w:t>
      </w:r>
      <w:r w:rsidRPr="00DE096C">
        <w:rPr>
          <w:bCs/>
          <w:color w:val="002060"/>
          <w:sz w:val="16"/>
          <w:szCs w:val="16"/>
        </w:rPr>
        <w:softHyphen/>
        <w:t>емку их из-за возможности появления снежного покрова пришлось бы отложить до вес</w:t>
      </w:r>
      <w:r w:rsidRPr="00DE096C">
        <w:rPr>
          <w:bCs/>
          <w:color w:val="002060"/>
          <w:sz w:val="16"/>
          <w:szCs w:val="16"/>
        </w:rPr>
        <w:softHyphen/>
        <w:t>ны, и тогда не была бы достигнута указанная выше цель.</w:t>
      </w:r>
    </w:p>
    <w:p w14:paraId="4103B5B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Изложенные выше соображения, равно как и приведенное ниже распределение на</w:t>
      </w:r>
      <w:r w:rsidRPr="00DE096C">
        <w:rPr>
          <w:bCs/>
          <w:color w:val="002060"/>
          <w:sz w:val="16"/>
          <w:szCs w:val="16"/>
        </w:rPr>
        <w:softHyphen/>
        <w:t>стоящего заказа между отдельными аэропланостроительными отечественными завода</w:t>
      </w:r>
      <w:r w:rsidRPr="00DE096C">
        <w:rPr>
          <w:bCs/>
          <w:color w:val="002060"/>
          <w:sz w:val="16"/>
          <w:szCs w:val="16"/>
        </w:rPr>
        <w:softHyphen/>
        <w:t>ми, составлены на основании положений Технического комитета и данных о производи</w:t>
      </w:r>
      <w:r w:rsidRPr="00DE096C">
        <w:rPr>
          <w:bCs/>
          <w:color w:val="002060"/>
          <w:sz w:val="16"/>
          <w:szCs w:val="16"/>
        </w:rPr>
        <w:softHyphen/>
        <w:t>тельности заводов.</w:t>
      </w:r>
    </w:p>
    <w:p w14:paraId="465F8CD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упомянутое распределение, помимо самих аэропланов, включены точно так же и положенные по табелям авиационных отрядов комплекты запасных частей к ним, счи тая по одному комплекту на аэроплан, и, сверх того, дополнительные комплекты запас</w:t>
      </w:r>
      <w:r w:rsidRPr="00DE096C">
        <w:rPr>
          <w:bCs/>
          <w:color w:val="002060"/>
          <w:sz w:val="16"/>
          <w:szCs w:val="16"/>
        </w:rPr>
        <w:softHyphen/>
        <w:t>ных частей, в состав которых входят такие предметы и части, иметь каковые при каждом аэроплане является излишним, но которые должны содержаться при каждой действуюшей авиационной единице.</w:t>
      </w:r>
    </w:p>
    <w:p w14:paraId="5AAB000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Комплекты запасных частей наиболее целесообразным является заказывать тем же заводам, которые будут изготовлять аэропланы в том же числе, в каком им заказываются и сами аэропланы, дабы таким путем достигнуть полной идентичности частей самого аэроплана с частями высылаемого вместе с ним на место запасного комплекта. В тех же видах дополнительные комплекты предполагается заказать фирмам в примерно в шесть раз меньшем количестве, чем аэропланов, необходимых для корпусных и полевых авиа</w:t>
      </w:r>
      <w:r w:rsidRPr="00DE096C">
        <w:rPr>
          <w:bCs/>
          <w:color w:val="002060"/>
          <w:sz w:val="16"/>
          <w:szCs w:val="16"/>
        </w:rPr>
        <w:softHyphen/>
        <w:t>ционных отрядов, и в восемь раз меньшем количества аэропланов крепостных авиацион</w:t>
      </w:r>
      <w:r w:rsidRPr="00DE096C">
        <w:rPr>
          <w:bCs/>
          <w:color w:val="002060"/>
          <w:sz w:val="16"/>
          <w:szCs w:val="16"/>
        </w:rPr>
        <w:softHyphen/>
        <w:t>ных отрядов.</w:t>
      </w:r>
    </w:p>
    <w:p w14:paraId="6D2BEF6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связи со всем изложенным распределение заказа между отдельными фирмами пред</w:t>
      </w:r>
      <w:r w:rsidRPr="00DE096C">
        <w:rPr>
          <w:bCs/>
          <w:color w:val="002060"/>
          <w:sz w:val="16"/>
          <w:szCs w:val="16"/>
        </w:rPr>
        <w:softHyphen/>
        <w:t>ставляется в виде следующей ведомости.</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119"/>
        <w:gridCol w:w="857"/>
        <w:gridCol w:w="8"/>
        <w:gridCol w:w="1403"/>
        <w:gridCol w:w="1647"/>
        <w:gridCol w:w="13"/>
        <w:gridCol w:w="891"/>
      </w:tblGrid>
      <w:tr w:rsidR="00B67D7C" w:rsidRPr="00DE096C" w14:paraId="7B66D976" w14:textId="77777777" w:rsidTr="00C2024A">
        <w:trPr>
          <w:trHeight w:val="854"/>
        </w:trPr>
        <w:tc>
          <w:tcPr>
            <w:tcW w:w="3119" w:type="dxa"/>
          </w:tcPr>
          <w:p w14:paraId="498CB98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Предмет заказа фирмам</w:t>
            </w:r>
          </w:p>
        </w:tc>
        <w:tc>
          <w:tcPr>
            <w:tcW w:w="857" w:type="dxa"/>
          </w:tcPr>
          <w:p w14:paraId="36B6725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Число предметов</w:t>
            </w:r>
          </w:p>
        </w:tc>
        <w:tc>
          <w:tcPr>
            <w:tcW w:w="1411" w:type="dxa"/>
            <w:gridSpan w:val="2"/>
          </w:tcPr>
          <w:p w14:paraId="104D6EF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Стоимость за единицу [руб.]</w:t>
            </w:r>
          </w:p>
        </w:tc>
        <w:tc>
          <w:tcPr>
            <w:tcW w:w="1647" w:type="dxa"/>
          </w:tcPr>
          <w:p w14:paraId="05A5C64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Общая стоимость[руб.]</w:t>
            </w:r>
          </w:p>
        </w:tc>
        <w:tc>
          <w:tcPr>
            <w:tcW w:w="904" w:type="dxa"/>
            <w:gridSpan w:val="2"/>
          </w:tcPr>
          <w:p w14:paraId="43B46A8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Конечный срок изготовле</w:t>
            </w:r>
            <w:r w:rsidRPr="00DE096C">
              <w:rPr>
                <w:bCs/>
                <w:color w:val="002060"/>
                <w:sz w:val="16"/>
                <w:szCs w:val="16"/>
              </w:rPr>
              <w:softHyphen/>
              <w:t>ния</w:t>
            </w:r>
          </w:p>
        </w:tc>
      </w:tr>
      <w:tr w:rsidR="00B67D7C" w:rsidRPr="00DE096C" w14:paraId="7F4A8C95" w14:textId="77777777" w:rsidTr="00C2024A">
        <w:trPr>
          <w:trHeight w:val="250"/>
        </w:trPr>
        <w:tc>
          <w:tcPr>
            <w:tcW w:w="3119" w:type="dxa"/>
          </w:tcPr>
          <w:p w14:paraId="33B174B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Акционерному обществу Русско-Бал тийского вагонного завода:</w:t>
            </w:r>
          </w:p>
        </w:tc>
        <w:tc>
          <w:tcPr>
            <w:tcW w:w="857" w:type="dxa"/>
          </w:tcPr>
          <w:p w14:paraId="39D732E0" w14:textId="77777777" w:rsidR="00B67D7C" w:rsidRPr="00DE096C" w:rsidRDefault="00B67D7C" w:rsidP="00D45A46">
            <w:pPr>
              <w:shd w:val="clear" w:color="auto" w:fill="FFFFFF"/>
              <w:jc w:val="both"/>
              <w:rPr>
                <w:bCs/>
                <w:color w:val="002060"/>
                <w:sz w:val="16"/>
                <w:szCs w:val="16"/>
              </w:rPr>
            </w:pPr>
          </w:p>
        </w:tc>
        <w:tc>
          <w:tcPr>
            <w:tcW w:w="1411" w:type="dxa"/>
            <w:gridSpan w:val="2"/>
          </w:tcPr>
          <w:p w14:paraId="0FC77D2A" w14:textId="77777777" w:rsidR="00B67D7C" w:rsidRPr="00DE096C" w:rsidRDefault="00B67D7C" w:rsidP="00D45A46">
            <w:pPr>
              <w:shd w:val="clear" w:color="auto" w:fill="FFFFFF"/>
              <w:jc w:val="both"/>
              <w:rPr>
                <w:bCs/>
                <w:color w:val="002060"/>
                <w:sz w:val="16"/>
                <w:szCs w:val="16"/>
              </w:rPr>
            </w:pPr>
          </w:p>
        </w:tc>
        <w:tc>
          <w:tcPr>
            <w:tcW w:w="1647" w:type="dxa"/>
          </w:tcPr>
          <w:p w14:paraId="73197A2A" w14:textId="77777777" w:rsidR="00B67D7C" w:rsidRPr="00DE096C" w:rsidRDefault="00B67D7C" w:rsidP="00D45A46">
            <w:pPr>
              <w:shd w:val="clear" w:color="auto" w:fill="FFFFFF"/>
              <w:jc w:val="both"/>
              <w:rPr>
                <w:bCs/>
                <w:color w:val="002060"/>
                <w:sz w:val="16"/>
                <w:szCs w:val="16"/>
              </w:rPr>
            </w:pPr>
          </w:p>
        </w:tc>
        <w:tc>
          <w:tcPr>
            <w:tcW w:w="904" w:type="dxa"/>
            <w:gridSpan w:val="2"/>
          </w:tcPr>
          <w:p w14:paraId="33708928" w14:textId="77777777" w:rsidR="00B67D7C" w:rsidRPr="00DE096C" w:rsidRDefault="00B67D7C" w:rsidP="00D45A46">
            <w:pPr>
              <w:shd w:val="clear" w:color="auto" w:fill="FFFFFF"/>
              <w:jc w:val="both"/>
              <w:rPr>
                <w:bCs/>
                <w:color w:val="002060"/>
                <w:sz w:val="16"/>
                <w:szCs w:val="16"/>
              </w:rPr>
            </w:pPr>
          </w:p>
        </w:tc>
      </w:tr>
      <w:tr w:rsidR="00B67D7C" w:rsidRPr="00DE096C" w14:paraId="0B6E22AB" w14:textId="77777777" w:rsidTr="00C2024A">
        <w:trPr>
          <w:trHeight w:val="182"/>
        </w:trPr>
        <w:tc>
          <w:tcPr>
            <w:tcW w:w="3119" w:type="dxa"/>
          </w:tcPr>
          <w:p w14:paraId="6A00342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Двухместных бипланов типа «Сикорс кий X» со 100-сильными моторами типа «Гном»</w:t>
            </w:r>
          </w:p>
        </w:tc>
        <w:tc>
          <w:tcPr>
            <w:tcW w:w="857" w:type="dxa"/>
          </w:tcPr>
          <w:p w14:paraId="24DD981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26</w:t>
            </w:r>
          </w:p>
        </w:tc>
        <w:tc>
          <w:tcPr>
            <w:tcW w:w="1411" w:type="dxa"/>
            <w:gridSpan w:val="2"/>
          </w:tcPr>
          <w:p w14:paraId="642118C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13000</w:t>
            </w:r>
          </w:p>
        </w:tc>
        <w:tc>
          <w:tcPr>
            <w:tcW w:w="1647" w:type="dxa"/>
          </w:tcPr>
          <w:p w14:paraId="64C0636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338 000</w:t>
            </w:r>
          </w:p>
        </w:tc>
        <w:tc>
          <w:tcPr>
            <w:tcW w:w="904" w:type="dxa"/>
            <w:gridSpan w:val="2"/>
          </w:tcPr>
          <w:p w14:paraId="43B17F5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15.ГХ.14</w:t>
            </w:r>
          </w:p>
        </w:tc>
      </w:tr>
      <w:tr w:rsidR="00B67D7C" w:rsidRPr="00DE096C" w14:paraId="19B773D5" w14:textId="77777777" w:rsidTr="00C2024A">
        <w:trPr>
          <w:trHeight w:val="173"/>
        </w:trPr>
        <w:tc>
          <w:tcPr>
            <w:tcW w:w="3119" w:type="dxa"/>
          </w:tcPr>
          <w:p w14:paraId="1B349E3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Комплектов запасных частей к ним</w:t>
            </w:r>
          </w:p>
        </w:tc>
        <w:tc>
          <w:tcPr>
            <w:tcW w:w="857" w:type="dxa"/>
          </w:tcPr>
          <w:p w14:paraId="4CA752C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26</w:t>
            </w:r>
          </w:p>
        </w:tc>
        <w:tc>
          <w:tcPr>
            <w:tcW w:w="1411" w:type="dxa"/>
            <w:gridSpan w:val="2"/>
          </w:tcPr>
          <w:p w14:paraId="4A1F036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3200</w:t>
            </w:r>
          </w:p>
        </w:tc>
        <w:tc>
          <w:tcPr>
            <w:tcW w:w="1647" w:type="dxa"/>
          </w:tcPr>
          <w:p w14:paraId="22D2EE0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83 200</w:t>
            </w:r>
          </w:p>
        </w:tc>
        <w:tc>
          <w:tcPr>
            <w:tcW w:w="904" w:type="dxa"/>
            <w:gridSpan w:val="2"/>
          </w:tcPr>
          <w:p w14:paraId="110220F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15.Х1.14</w:t>
            </w:r>
          </w:p>
        </w:tc>
      </w:tr>
      <w:tr w:rsidR="00B67D7C" w:rsidRPr="00DE096C" w14:paraId="5915576C" w14:textId="77777777" w:rsidTr="00C2024A">
        <w:trPr>
          <w:trHeight w:val="182"/>
        </w:trPr>
        <w:tc>
          <w:tcPr>
            <w:tcW w:w="3119" w:type="dxa"/>
          </w:tcPr>
          <w:p w14:paraId="2DE36C8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Дополнительных комплектов запас ных частей к ним</w:t>
            </w:r>
          </w:p>
        </w:tc>
        <w:tc>
          <w:tcPr>
            <w:tcW w:w="857" w:type="dxa"/>
          </w:tcPr>
          <w:p w14:paraId="08C728B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3</w:t>
            </w:r>
          </w:p>
        </w:tc>
        <w:tc>
          <w:tcPr>
            <w:tcW w:w="1411" w:type="dxa"/>
            <w:gridSpan w:val="2"/>
          </w:tcPr>
          <w:p w14:paraId="5B72051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1240</w:t>
            </w:r>
          </w:p>
        </w:tc>
        <w:tc>
          <w:tcPr>
            <w:tcW w:w="1647" w:type="dxa"/>
          </w:tcPr>
          <w:p w14:paraId="403A32E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3720</w:t>
            </w:r>
          </w:p>
        </w:tc>
        <w:tc>
          <w:tcPr>
            <w:tcW w:w="904" w:type="dxa"/>
            <w:gridSpan w:val="2"/>
          </w:tcPr>
          <w:p w14:paraId="13C0735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w:t>
            </w:r>
          </w:p>
        </w:tc>
      </w:tr>
      <w:tr w:rsidR="00B67D7C" w:rsidRPr="00DE096C" w14:paraId="28D7A23E" w14:textId="77777777" w:rsidTr="00C2024A">
        <w:trPr>
          <w:trHeight w:val="182"/>
        </w:trPr>
        <w:tc>
          <w:tcPr>
            <w:tcW w:w="3119" w:type="dxa"/>
          </w:tcPr>
          <w:p w14:paraId="22C7B86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Монопланов двухместных типа «Си корский № 11» со 100-сильными од ноклапанными моторами «Гном»</w:t>
            </w:r>
          </w:p>
        </w:tc>
        <w:tc>
          <w:tcPr>
            <w:tcW w:w="857" w:type="dxa"/>
          </w:tcPr>
          <w:p w14:paraId="62F93B8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12</w:t>
            </w:r>
          </w:p>
        </w:tc>
        <w:tc>
          <w:tcPr>
            <w:tcW w:w="1411" w:type="dxa"/>
            <w:gridSpan w:val="2"/>
          </w:tcPr>
          <w:p w14:paraId="0E6D7F2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13000</w:t>
            </w:r>
          </w:p>
        </w:tc>
        <w:tc>
          <w:tcPr>
            <w:tcW w:w="1647" w:type="dxa"/>
          </w:tcPr>
          <w:p w14:paraId="19B42EE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156000</w:t>
            </w:r>
          </w:p>
        </w:tc>
        <w:tc>
          <w:tcPr>
            <w:tcW w:w="904" w:type="dxa"/>
            <w:gridSpan w:val="2"/>
          </w:tcPr>
          <w:p w14:paraId="3078E43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15.ГХ.14</w:t>
            </w:r>
          </w:p>
        </w:tc>
      </w:tr>
      <w:tr w:rsidR="00B67D7C" w:rsidRPr="00DE096C" w14:paraId="5650E85A" w14:textId="77777777" w:rsidTr="00C2024A">
        <w:trPr>
          <w:trHeight w:val="163"/>
        </w:trPr>
        <w:tc>
          <w:tcPr>
            <w:tcW w:w="3119" w:type="dxa"/>
          </w:tcPr>
          <w:p w14:paraId="7377E7F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Комплектов запасных частей к ним</w:t>
            </w:r>
          </w:p>
        </w:tc>
        <w:tc>
          <w:tcPr>
            <w:tcW w:w="857" w:type="dxa"/>
          </w:tcPr>
          <w:p w14:paraId="5A0A8E2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12</w:t>
            </w:r>
          </w:p>
        </w:tc>
        <w:tc>
          <w:tcPr>
            <w:tcW w:w="1411" w:type="dxa"/>
            <w:gridSpan w:val="2"/>
          </w:tcPr>
          <w:p w14:paraId="61FB3FA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3200</w:t>
            </w:r>
          </w:p>
        </w:tc>
        <w:tc>
          <w:tcPr>
            <w:tcW w:w="1647" w:type="dxa"/>
          </w:tcPr>
          <w:p w14:paraId="7EC60EA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38 400</w:t>
            </w:r>
          </w:p>
        </w:tc>
        <w:tc>
          <w:tcPr>
            <w:tcW w:w="904" w:type="dxa"/>
            <w:gridSpan w:val="2"/>
          </w:tcPr>
          <w:p w14:paraId="0F2D423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15.Х1.14</w:t>
            </w:r>
          </w:p>
        </w:tc>
      </w:tr>
      <w:tr w:rsidR="00B67D7C" w:rsidRPr="00DE096C" w14:paraId="1C323AA8" w14:textId="77777777" w:rsidTr="00C2024A">
        <w:trPr>
          <w:trHeight w:val="182"/>
        </w:trPr>
        <w:tc>
          <w:tcPr>
            <w:tcW w:w="3119" w:type="dxa"/>
          </w:tcPr>
          <w:p w14:paraId="78EEB86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Дополнительных комплектов запас ных частей к ним</w:t>
            </w:r>
          </w:p>
        </w:tc>
        <w:tc>
          <w:tcPr>
            <w:tcW w:w="857" w:type="dxa"/>
          </w:tcPr>
          <w:p w14:paraId="792472D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w:t>
            </w:r>
          </w:p>
        </w:tc>
        <w:tc>
          <w:tcPr>
            <w:tcW w:w="1411" w:type="dxa"/>
            <w:gridSpan w:val="2"/>
          </w:tcPr>
          <w:p w14:paraId="0655DFC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575</w:t>
            </w:r>
          </w:p>
        </w:tc>
        <w:tc>
          <w:tcPr>
            <w:tcW w:w="1647" w:type="dxa"/>
          </w:tcPr>
          <w:p w14:paraId="2777522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1500</w:t>
            </w:r>
          </w:p>
        </w:tc>
        <w:tc>
          <w:tcPr>
            <w:tcW w:w="904" w:type="dxa"/>
            <w:gridSpan w:val="2"/>
          </w:tcPr>
          <w:p w14:paraId="2798639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15.Х1.14</w:t>
            </w:r>
          </w:p>
        </w:tc>
      </w:tr>
      <w:tr w:rsidR="00B67D7C" w:rsidRPr="00DE096C" w14:paraId="79E6E0E1" w14:textId="77777777" w:rsidTr="00C2024A">
        <w:trPr>
          <w:trHeight w:val="182"/>
        </w:trPr>
        <w:tc>
          <w:tcPr>
            <w:tcW w:w="3119" w:type="dxa"/>
          </w:tcPr>
          <w:p w14:paraId="4E00F07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Аэропланов учебных системы Сикор ского без моторов</w:t>
            </w:r>
          </w:p>
        </w:tc>
        <w:tc>
          <w:tcPr>
            <w:tcW w:w="857" w:type="dxa"/>
          </w:tcPr>
          <w:p w14:paraId="15169A6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5</w:t>
            </w:r>
          </w:p>
        </w:tc>
        <w:tc>
          <w:tcPr>
            <w:tcW w:w="1411" w:type="dxa"/>
            <w:gridSpan w:val="2"/>
          </w:tcPr>
          <w:p w14:paraId="1F2DC3E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5225</w:t>
            </w:r>
          </w:p>
        </w:tc>
        <w:tc>
          <w:tcPr>
            <w:tcW w:w="1647" w:type="dxa"/>
          </w:tcPr>
          <w:p w14:paraId="39C112A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26 125</w:t>
            </w:r>
          </w:p>
        </w:tc>
        <w:tc>
          <w:tcPr>
            <w:tcW w:w="904" w:type="dxa"/>
            <w:gridSpan w:val="2"/>
          </w:tcPr>
          <w:p w14:paraId="3EF5E1D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15.ГХ.14</w:t>
            </w:r>
          </w:p>
        </w:tc>
      </w:tr>
      <w:tr w:rsidR="00B67D7C" w:rsidRPr="00DE096C" w14:paraId="74BCC14F" w14:textId="77777777" w:rsidTr="00C2024A">
        <w:trPr>
          <w:trHeight w:val="163"/>
        </w:trPr>
        <w:tc>
          <w:tcPr>
            <w:tcW w:w="3119" w:type="dxa"/>
          </w:tcPr>
          <w:p w14:paraId="294E12C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Монопланов одноместных системы «Сикорский № 12» с 80-сильными дви гателями «Рон»</w:t>
            </w:r>
          </w:p>
        </w:tc>
        <w:tc>
          <w:tcPr>
            <w:tcW w:w="857" w:type="dxa"/>
          </w:tcPr>
          <w:p w14:paraId="3332F34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w:t>
            </w:r>
          </w:p>
        </w:tc>
        <w:tc>
          <w:tcPr>
            <w:tcW w:w="1411" w:type="dxa"/>
            <w:gridSpan w:val="2"/>
          </w:tcPr>
          <w:p w14:paraId="44AC7B6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10 700</w:t>
            </w:r>
          </w:p>
        </w:tc>
        <w:tc>
          <w:tcPr>
            <w:tcW w:w="1647" w:type="dxa"/>
          </w:tcPr>
          <w:p w14:paraId="2806311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21 400</w:t>
            </w:r>
          </w:p>
        </w:tc>
        <w:tc>
          <w:tcPr>
            <w:tcW w:w="904" w:type="dxa"/>
            <w:gridSpan w:val="2"/>
          </w:tcPr>
          <w:p w14:paraId="1096656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15.1Х.14</w:t>
            </w:r>
          </w:p>
        </w:tc>
      </w:tr>
      <w:tr w:rsidR="00B67D7C" w:rsidRPr="00DE096C" w14:paraId="618E520A" w14:textId="77777777" w:rsidTr="00C2024A">
        <w:trPr>
          <w:trHeight w:val="259"/>
        </w:trPr>
        <w:tc>
          <w:tcPr>
            <w:tcW w:w="3119" w:type="dxa"/>
          </w:tcPr>
          <w:p w14:paraId="0850E9F1" w14:textId="77777777" w:rsidR="00B67D7C" w:rsidRPr="00DE096C" w:rsidRDefault="00B67D7C" w:rsidP="00D45A46">
            <w:pPr>
              <w:shd w:val="clear" w:color="auto" w:fill="FFFFFF"/>
              <w:jc w:val="both"/>
              <w:rPr>
                <w:bCs/>
                <w:color w:val="002060"/>
                <w:sz w:val="16"/>
                <w:szCs w:val="16"/>
              </w:rPr>
            </w:pPr>
          </w:p>
        </w:tc>
        <w:tc>
          <w:tcPr>
            <w:tcW w:w="857" w:type="dxa"/>
          </w:tcPr>
          <w:p w14:paraId="232B67F1" w14:textId="77777777" w:rsidR="00B67D7C" w:rsidRPr="00DE096C" w:rsidRDefault="00B67D7C" w:rsidP="00D45A46">
            <w:pPr>
              <w:shd w:val="clear" w:color="auto" w:fill="FFFFFF"/>
              <w:jc w:val="both"/>
              <w:rPr>
                <w:bCs/>
                <w:color w:val="002060"/>
                <w:sz w:val="16"/>
                <w:szCs w:val="16"/>
              </w:rPr>
            </w:pPr>
          </w:p>
        </w:tc>
        <w:tc>
          <w:tcPr>
            <w:tcW w:w="1411" w:type="dxa"/>
            <w:gridSpan w:val="2"/>
          </w:tcPr>
          <w:p w14:paraId="533F548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[ВСЕГО:]</w:t>
            </w:r>
          </w:p>
        </w:tc>
        <w:tc>
          <w:tcPr>
            <w:tcW w:w="1647" w:type="dxa"/>
          </w:tcPr>
          <w:p w14:paraId="3F9A9FE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667 995</w:t>
            </w:r>
          </w:p>
        </w:tc>
        <w:tc>
          <w:tcPr>
            <w:tcW w:w="904" w:type="dxa"/>
            <w:gridSpan w:val="2"/>
          </w:tcPr>
          <w:p w14:paraId="29F61B9E" w14:textId="77777777" w:rsidR="00B67D7C" w:rsidRPr="00DE096C" w:rsidRDefault="00B67D7C" w:rsidP="00D45A46">
            <w:pPr>
              <w:shd w:val="clear" w:color="auto" w:fill="FFFFFF"/>
              <w:jc w:val="both"/>
              <w:rPr>
                <w:bCs/>
                <w:color w:val="002060"/>
                <w:sz w:val="16"/>
                <w:szCs w:val="16"/>
              </w:rPr>
            </w:pPr>
          </w:p>
        </w:tc>
      </w:tr>
      <w:tr w:rsidR="00B67D7C" w:rsidRPr="00DE096C" w14:paraId="55F1FB8D" w14:textId="77777777" w:rsidTr="00C2024A">
        <w:trPr>
          <w:trHeight w:val="259"/>
        </w:trPr>
        <w:tc>
          <w:tcPr>
            <w:tcW w:w="3119" w:type="dxa"/>
          </w:tcPr>
          <w:p w14:paraId="2BEE3B1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Первому Российскому товариществу воздухоплавания «С. С. Щетинин и К°»:</w:t>
            </w:r>
          </w:p>
        </w:tc>
        <w:tc>
          <w:tcPr>
            <w:tcW w:w="857" w:type="dxa"/>
          </w:tcPr>
          <w:p w14:paraId="6D5D21E4" w14:textId="77777777" w:rsidR="00B67D7C" w:rsidRPr="00DE096C" w:rsidRDefault="00B67D7C" w:rsidP="00D45A46">
            <w:pPr>
              <w:shd w:val="clear" w:color="auto" w:fill="FFFFFF"/>
              <w:jc w:val="both"/>
              <w:rPr>
                <w:bCs/>
                <w:color w:val="002060"/>
                <w:sz w:val="16"/>
                <w:szCs w:val="16"/>
              </w:rPr>
            </w:pPr>
          </w:p>
        </w:tc>
        <w:tc>
          <w:tcPr>
            <w:tcW w:w="1411" w:type="dxa"/>
            <w:gridSpan w:val="2"/>
          </w:tcPr>
          <w:p w14:paraId="28EA0770" w14:textId="77777777" w:rsidR="00B67D7C" w:rsidRPr="00DE096C" w:rsidRDefault="00B67D7C" w:rsidP="00D45A46">
            <w:pPr>
              <w:shd w:val="clear" w:color="auto" w:fill="FFFFFF"/>
              <w:jc w:val="both"/>
              <w:rPr>
                <w:bCs/>
                <w:color w:val="002060"/>
                <w:sz w:val="16"/>
                <w:szCs w:val="16"/>
              </w:rPr>
            </w:pPr>
          </w:p>
        </w:tc>
        <w:tc>
          <w:tcPr>
            <w:tcW w:w="1647" w:type="dxa"/>
          </w:tcPr>
          <w:p w14:paraId="352C24D6" w14:textId="77777777" w:rsidR="00B67D7C" w:rsidRPr="00DE096C" w:rsidRDefault="00B67D7C" w:rsidP="00D45A46">
            <w:pPr>
              <w:shd w:val="clear" w:color="auto" w:fill="FFFFFF"/>
              <w:jc w:val="both"/>
              <w:rPr>
                <w:bCs/>
                <w:color w:val="002060"/>
                <w:sz w:val="16"/>
                <w:szCs w:val="16"/>
              </w:rPr>
            </w:pPr>
          </w:p>
        </w:tc>
        <w:tc>
          <w:tcPr>
            <w:tcW w:w="904" w:type="dxa"/>
            <w:gridSpan w:val="2"/>
          </w:tcPr>
          <w:p w14:paraId="798DF4B7" w14:textId="77777777" w:rsidR="00B67D7C" w:rsidRPr="00DE096C" w:rsidRDefault="00B67D7C" w:rsidP="00D45A46">
            <w:pPr>
              <w:shd w:val="clear" w:color="auto" w:fill="FFFFFF"/>
              <w:jc w:val="both"/>
              <w:rPr>
                <w:bCs/>
                <w:color w:val="002060"/>
                <w:sz w:val="16"/>
                <w:szCs w:val="16"/>
              </w:rPr>
            </w:pPr>
          </w:p>
        </w:tc>
      </w:tr>
      <w:tr w:rsidR="00B67D7C" w:rsidRPr="00DE096C" w14:paraId="7EC0DA92" w14:textId="77777777" w:rsidTr="00C2024A">
        <w:trPr>
          <w:trHeight w:val="173"/>
        </w:trPr>
        <w:tc>
          <w:tcPr>
            <w:tcW w:w="3119" w:type="dxa"/>
          </w:tcPr>
          <w:p w14:paraId="3F4C3FC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Бипланов двухместных системы А. Фармана № 22 бис со 100-сильными одноклапанными моторами «Гном»</w:t>
            </w:r>
          </w:p>
        </w:tc>
        <w:tc>
          <w:tcPr>
            <w:tcW w:w="857" w:type="dxa"/>
          </w:tcPr>
          <w:p w14:paraId="6B3813F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30</w:t>
            </w:r>
          </w:p>
        </w:tc>
        <w:tc>
          <w:tcPr>
            <w:tcW w:w="1411" w:type="dxa"/>
            <w:gridSpan w:val="2"/>
          </w:tcPr>
          <w:p w14:paraId="616357B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12 000</w:t>
            </w:r>
          </w:p>
        </w:tc>
        <w:tc>
          <w:tcPr>
            <w:tcW w:w="1647" w:type="dxa"/>
          </w:tcPr>
          <w:p w14:paraId="3B2968C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360 000</w:t>
            </w:r>
          </w:p>
        </w:tc>
        <w:tc>
          <w:tcPr>
            <w:tcW w:w="904" w:type="dxa"/>
            <w:gridSpan w:val="2"/>
          </w:tcPr>
          <w:p w14:paraId="3EA5EEA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15.1Х.14</w:t>
            </w:r>
          </w:p>
        </w:tc>
      </w:tr>
      <w:tr w:rsidR="00B67D7C" w:rsidRPr="00DE096C" w14:paraId="74797B56" w14:textId="77777777" w:rsidTr="00C2024A">
        <w:trPr>
          <w:trHeight w:val="173"/>
        </w:trPr>
        <w:tc>
          <w:tcPr>
            <w:tcW w:w="3119" w:type="dxa"/>
          </w:tcPr>
          <w:p w14:paraId="478E20C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lastRenderedPageBreak/>
              <w:t>Комплектов запасных частей к ним</w:t>
            </w:r>
          </w:p>
        </w:tc>
        <w:tc>
          <w:tcPr>
            <w:tcW w:w="857" w:type="dxa"/>
          </w:tcPr>
          <w:p w14:paraId="328D4BC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30</w:t>
            </w:r>
          </w:p>
        </w:tc>
        <w:tc>
          <w:tcPr>
            <w:tcW w:w="1411" w:type="dxa"/>
            <w:gridSpan w:val="2"/>
          </w:tcPr>
          <w:p w14:paraId="71A14CC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2319 руб. 30 коп.</w:t>
            </w:r>
          </w:p>
        </w:tc>
        <w:tc>
          <w:tcPr>
            <w:tcW w:w="1647" w:type="dxa"/>
          </w:tcPr>
          <w:p w14:paraId="540AC08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69 579</w:t>
            </w:r>
          </w:p>
        </w:tc>
        <w:tc>
          <w:tcPr>
            <w:tcW w:w="904" w:type="dxa"/>
            <w:gridSpan w:val="2"/>
          </w:tcPr>
          <w:p w14:paraId="3B883C2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15.Х1.14</w:t>
            </w:r>
          </w:p>
        </w:tc>
      </w:tr>
      <w:tr w:rsidR="00B67D7C" w:rsidRPr="00DE096C" w14:paraId="13FDE83C" w14:textId="77777777" w:rsidTr="00C2024A">
        <w:trPr>
          <w:trHeight w:val="163"/>
        </w:trPr>
        <w:tc>
          <w:tcPr>
            <w:tcW w:w="3119" w:type="dxa"/>
          </w:tcPr>
          <w:p w14:paraId="737D8F2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Дополнительных комплектов запас ных частей к ним ных частей к ним</w:t>
            </w:r>
          </w:p>
        </w:tc>
        <w:tc>
          <w:tcPr>
            <w:tcW w:w="857" w:type="dxa"/>
          </w:tcPr>
          <w:p w14:paraId="32E976D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5</w:t>
            </w:r>
          </w:p>
        </w:tc>
        <w:tc>
          <w:tcPr>
            <w:tcW w:w="1411" w:type="dxa"/>
            <w:gridSpan w:val="2"/>
          </w:tcPr>
          <w:p w14:paraId="41815F2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1240</w:t>
            </w:r>
          </w:p>
        </w:tc>
        <w:tc>
          <w:tcPr>
            <w:tcW w:w="1647" w:type="dxa"/>
          </w:tcPr>
          <w:p w14:paraId="1B2BA8A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6200</w:t>
            </w:r>
          </w:p>
        </w:tc>
        <w:tc>
          <w:tcPr>
            <w:tcW w:w="904" w:type="dxa"/>
            <w:gridSpan w:val="2"/>
          </w:tcPr>
          <w:p w14:paraId="74F2719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15.Х1.14</w:t>
            </w:r>
          </w:p>
        </w:tc>
      </w:tr>
      <w:tr w:rsidR="00B67D7C" w:rsidRPr="00DE096C" w14:paraId="2BDCE93E" w14:textId="77777777" w:rsidTr="00C2024A">
        <w:trPr>
          <w:trHeight w:val="182"/>
        </w:trPr>
        <w:tc>
          <w:tcPr>
            <w:tcW w:w="3119" w:type="dxa"/>
          </w:tcPr>
          <w:p w14:paraId="0EC308D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Монопланов системы Депердюссена с 80-сильными моторами</w:t>
            </w:r>
          </w:p>
        </w:tc>
        <w:tc>
          <w:tcPr>
            <w:tcW w:w="857" w:type="dxa"/>
          </w:tcPr>
          <w:p w14:paraId="6B37A93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30</w:t>
            </w:r>
          </w:p>
        </w:tc>
        <w:tc>
          <w:tcPr>
            <w:tcW w:w="1411" w:type="dxa"/>
            <w:gridSpan w:val="2"/>
          </w:tcPr>
          <w:p w14:paraId="5162FC1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10200</w:t>
            </w:r>
          </w:p>
        </w:tc>
        <w:tc>
          <w:tcPr>
            <w:tcW w:w="1647" w:type="dxa"/>
          </w:tcPr>
          <w:p w14:paraId="5D6DF43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306 000</w:t>
            </w:r>
          </w:p>
        </w:tc>
        <w:tc>
          <w:tcPr>
            <w:tcW w:w="904" w:type="dxa"/>
            <w:gridSpan w:val="2"/>
          </w:tcPr>
          <w:p w14:paraId="5E3ED77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15.Х1.14</w:t>
            </w:r>
          </w:p>
        </w:tc>
      </w:tr>
      <w:tr w:rsidR="00B67D7C" w:rsidRPr="00DE096C" w14:paraId="2DA68421" w14:textId="77777777" w:rsidTr="00C2024A">
        <w:trPr>
          <w:trHeight w:val="163"/>
        </w:trPr>
        <w:tc>
          <w:tcPr>
            <w:tcW w:w="3119" w:type="dxa"/>
          </w:tcPr>
          <w:p w14:paraId="54ECB06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Комплектов запасных частей к ним</w:t>
            </w:r>
          </w:p>
        </w:tc>
        <w:tc>
          <w:tcPr>
            <w:tcW w:w="857" w:type="dxa"/>
          </w:tcPr>
          <w:p w14:paraId="1738918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30</w:t>
            </w:r>
          </w:p>
        </w:tc>
        <w:tc>
          <w:tcPr>
            <w:tcW w:w="1411" w:type="dxa"/>
            <w:gridSpan w:val="2"/>
          </w:tcPr>
          <w:p w14:paraId="7033924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3407 руб. 29 коп.</w:t>
            </w:r>
          </w:p>
        </w:tc>
        <w:tc>
          <w:tcPr>
            <w:tcW w:w="1647" w:type="dxa"/>
          </w:tcPr>
          <w:p w14:paraId="05807EE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102218 руб. 70 коп.</w:t>
            </w:r>
          </w:p>
        </w:tc>
        <w:tc>
          <w:tcPr>
            <w:tcW w:w="904" w:type="dxa"/>
            <w:gridSpan w:val="2"/>
          </w:tcPr>
          <w:p w14:paraId="2D90F8D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15.Х1.14</w:t>
            </w:r>
          </w:p>
        </w:tc>
      </w:tr>
      <w:tr w:rsidR="00B67D7C" w:rsidRPr="00DE096C" w14:paraId="1B93AB11" w14:textId="77777777" w:rsidTr="00C2024A">
        <w:trPr>
          <w:trHeight w:val="182"/>
        </w:trPr>
        <w:tc>
          <w:tcPr>
            <w:tcW w:w="3119" w:type="dxa"/>
          </w:tcPr>
          <w:p w14:paraId="6827B8C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Дополнительных комплектов запас ных частей к ним</w:t>
            </w:r>
          </w:p>
        </w:tc>
        <w:tc>
          <w:tcPr>
            <w:tcW w:w="857" w:type="dxa"/>
          </w:tcPr>
          <w:p w14:paraId="56E8C5D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5</w:t>
            </w:r>
          </w:p>
        </w:tc>
        <w:tc>
          <w:tcPr>
            <w:tcW w:w="1411" w:type="dxa"/>
            <w:gridSpan w:val="2"/>
          </w:tcPr>
          <w:p w14:paraId="3AFACC9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575</w:t>
            </w:r>
          </w:p>
        </w:tc>
        <w:tc>
          <w:tcPr>
            <w:tcW w:w="1647" w:type="dxa"/>
          </w:tcPr>
          <w:p w14:paraId="428827A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2875</w:t>
            </w:r>
          </w:p>
        </w:tc>
        <w:tc>
          <w:tcPr>
            <w:tcW w:w="904" w:type="dxa"/>
            <w:gridSpan w:val="2"/>
          </w:tcPr>
          <w:p w14:paraId="7C67221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15.Х1.14</w:t>
            </w:r>
          </w:p>
        </w:tc>
      </w:tr>
      <w:tr w:rsidR="00B67D7C" w:rsidRPr="00DE096C" w14:paraId="32CC170F" w14:textId="77777777" w:rsidTr="00C2024A">
        <w:trPr>
          <w:trHeight w:val="182"/>
        </w:trPr>
        <w:tc>
          <w:tcPr>
            <w:tcW w:w="3119" w:type="dxa"/>
          </w:tcPr>
          <w:p w14:paraId="0B16756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Учебных аэропланов системы Депер дюссена без моторов</w:t>
            </w:r>
          </w:p>
        </w:tc>
        <w:tc>
          <w:tcPr>
            <w:tcW w:w="857" w:type="dxa"/>
          </w:tcPr>
          <w:p w14:paraId="77A3D70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10</w:t>
            </w:r>
          </w:p>
        </w:tc>
        <w:tc>
          <w:tcPr>
            <w:tcW w:w="1411" w:type="dxa"/>
            <w:gridSpan w:val="2"/>
          </w:tcPr>
          <w:p w14:paraId="637CE7C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5250</w:t>
            </w:r>
          </w:p>
        </w:tc>
        <w:tc>
          <w:tcPr>
            <w:tcW w:w="1647" w:type="dxa"/>
          </w:tcPr>
          <w:p w14:paraId="49D3CA9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52 500</w:t>
            </w:r>
          </w:p>
        </w:tc>
        <w:tc>
          <w:tcPr>
            <w:tcW w:w="904" w:type="dxa"/>
            <w:gridSpan w:val="2"/>
          </w:tcPr>
          <w:p w14:paraId="5D0F661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15.1Х.14</w:t>
            </w:r>
          </w:p>
        </w:tc>
      </w:tr>
      <w:tr w:rsidR="00B67D7C" w:rsidRPr="00DE096C" w14:paraId="1669ECBD" w14:textId="77777777" w:rsidTr="00C2024A">
        <w:trPr>
          <w:trHeight w:val="259"/>
        </w:trPr>
        <w:tc>
          <w:tcPr>
            <w:tcW w:w="3119" w:type="dxa"/>
          </w:tcPr>
          <w:p w14:paraId="5A9D75B6" w14:textId="77777777" w:rsidR="00B67D7C" w:rsidRPr="00DE096C" w:rsidRDefault="00B67D7C" w:rsidP="00D45A46">
            <w:pPr>
              <w:shd w:val="clear" w:color="auto" w:fill="FFFFFF"/>
              <w:jc w:val="both"/>
              <w:rPr>
                <w:bCs/>
                <w:color w:val="002060"/>
                <w:sz w:val="16"/>
                <w:szCs w:val="16"/>
              </w:rPr>
            </w:pPr>
          </w:p>
        </w:tc>
        <w:tc>
          <w:tcPr>
            <w:tcW w:w="857" w:type="dxa"/>
          </w:tcPr>
          <w:p w14:paraId="65B9AA18" w14:textId="77777777" w:rsidR="00B67D7C" w:rsidRPr="00DE096C" w:rsidRDefault="00B67D7C" w:rsidP="00D45A46">
            <w:pPr>
              <w:shd w:val="clear" w:color="auto" w:fill="FFFFFF"/>
              <w:jc w:val="both"/>
              <w:rPr>
                <w:bCs/>
                <w:color w:val="002060"/>
                <w:sz w:val="16"/>
                <w:szCs w:val="16"/>
              </w:rPr>
            </w:pPr>
          </w:p>
        </w:tc>
        <w:tc>
          <w:tcPr>
            <w:tcW w:w="1411" w:type="dxa"/>
            <w:gridSpan w:val="2"/>
          </w:tcPr>
          <w:p w14:paraId="1EBF58E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[ВСЕГО:]</w:t>
            </w:r>
          </w:p>
        </w:tc>
        <w:tc>
          <w:tcPr>
            <w:tcW w:w="1647" w:type="dxa"/>
          </w:tcPr>
          <w:p w14:paraId="2DC244E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899 372 руб. 70 коп.</w:t>
            </w:r>
          </w:p>
        </w:tc>
        <w:tc>
          <w:tcPr>
            <w:tcW w:w="904" w:type="dxa"/>
            <w:gridSpan w:val="2"/>
          </w:tcPr>
          <w:p w14:paraId="10DA0120" w14:textId="77777777" w:rsidR="00B67D7C" w:rsidRPr="00DE096C" w:rsidRDefault="00B67D7C" w:rsidP="00D45A46">
            <w:pPr>
              <w:shd w:val="clear" w:color="auto" w:fill="FFFFFF"/>
              <w:jc w:val="both"/>
              <w:rPr>
                <w:bCs/>
                <w:color w:val="002060"/>
                <w:sz w:val="16"/>
                <w:szCs w:val="16"/>
              </w:rPr>
            </w:pPr>
          </w:p>
        </w:tc>
      </w:tr>
      <w:tr w:rsidR="00B67D7C" w:rsidRPr="00DE096C" w14:paraId="1E14E30A" w14:textId="77777777" w:rsidTr="00C2024A">
        <w:trPr>
          <w:trHeight w:val="250"/>
        </w:trPr>
        <w:tc>
          <w:tcPr>
            <w:tcW w:w="3119" w:type="dxa"/>
          </w:tcPr>
          <w:p w14:paraId="78ABC66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Акционерному обществуо «Дукс»:</w:t>
            </w:r>
          </w:p>
        </w:tc>
        <w:tc>
          <w:tcPr>
            <w:tcW w:w="857" w:type="dxa"/>
          </w:tcPr>
          <w:p w14:paraId="70E76303" w14:textId="77777777" w:rsidR="00B67D7C" w:rsidRPr="00DE096C" w:rsidRDefault="00B67D7C" w:rsidP="00D45A46">
            <w:pPr>
              <w:shd w:val="clear" w:color="auto" w:fill="FFFFFF"/>
              <w:jc w:val="both"/>
              <w:rPr>
                <w:bCs/>
                <w:color w:val="002060"/>
                <w:sz w:val="16"/>
                <w:szCs w:val="16"/>
              </w:rPr>
            </w:pPr>
          </w:p>
        </w:tc>
        <w:tc>
          <w:tcPr>
            <w:tcW w:w="1411" w:type="dxa"/>
            <w:gridSpan w:val="2"/>
          </w:tcPr>
          <w:p w14:paraId="77CE6532" w14:textId="77777777" w:rsidR="00B67D7C" w:rsidRPr="00DE096C" w:rsidRDefault="00B67D7C" w:rsidP="00D45A46">
            <w:pPr>
              <w:shd w:val="clear" w:color="auto" w:fill="FFFFFF"/>
              <w:jc w:val="both"/>
              <w:rPr>
                <w:bCs/>
                <w:color w:val="002060"/>
                <w:sz w:val="16"/>
                <w:szCs w:val="16"/>
              </w:rPr>
            </w:pPr>
          </w:p>
        </w:tc>
        <w:tc>
          <w:tcPr>
            <w:tcW w:w="1647" w:type="dxa"/>
          </w:tcPr>
          <w:p w14:paraId="440D19C9" w14:textId="77777777" w:rsidR="00B67D7C" w:rsidRPr="00DE096C" w:rsidRDefault="00B67D7C" w:rsidP="00D45A46">
            <w:pPr>
              <w:shd w:val="clear" w:color="auto" w:fill="FFFFFF"/>
              <w:jc w:val="both"/>
              <w:rPr>
                <w:bCs/>
                <w:color w:val="002060"/>
                <w:sz w:val="16"/>
                <w:szCs w:val="16"/>
              </w:rPr>
            </w:pPr>
          </w:p>
        </w:tc>
        <w:tc>
          <w:tcPr>
            <w:tcW w:w="904" w:type="dxa"/>
            <w:gridSpan w:val="2"/>
          </w:tcPr>
          <w:p w14:paraId="45A32024" w14:textId="77777777" w:rsidR="00B67D7C" w:rsidRPr="00DE096C" w:rsidRDefault="00B67D7C" w:rsidP="00D45A46">
            <w:pPr>
              <w:shd w:val="clear" w:color="auto" w:fill="FFFFFF"/>
              <w:jc w:val="both"/>
              <w:rPr>
                <w:bCs/>
                <w:color w:val="002060"/>
                <w:sz w:val="16"/>
                <w:szCs w:val="16"/>
              </w:rPr>
            </w:pPr>
          </w:p>
        </w:tc>
      </w:tr>
      <w:tr w:rsidR="00B67D7C" w:rsidRPr="00DE096C" w14:paraId="04CE6F96" w14:textId="77777777" w:rsidTr="00C2024A">
        <w:trPr>
          <w:trHeight w:val="173"/>
        </w:trPr>
        <w:tc>
          <w:tcPr>
            <w:tcW w:w="3119" w:type="dxa"/>
          </w:tcPr>
          <w:p w14:paraId="2256C7E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Монопланов двухместных системы Моран-Сольнье (Парасоль) с 80-силь ными моторами</w:t>
            </w:r>
          </w:p>
        </w:tc>
        <w:tc>
          <w:tcPr>
            <w:tcW w:w="857" w:type="dxa"/>
          </w:tcPr>
          <w:p w14:paraId="7640D25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54</w:t>
            </w:r>
          </w:p>
        </w:tc>
        <w:tc>
          <w:tcPr>
            <w:tcW w:w="1411" w:type="dxa"/>
            <w:gridSpan w:val="2"/>
          </w:tcPr>
          <w:p w14:paraId="2FD3695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10 200</w:t>
            </w:r>
          </w:p>
        </w:tc>
        <w:tc>
          <w:tcPr>
            <w:tcW w:w="1647" w:type="dxa"/>
          </w:tcPr>
          <w:p w14:paraId="5C7D1EE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550 800</w:t>
            </w:r>
          </w:p>
        </w:tc>
        <w:tc>
          <w:tcPr>
            <w:tcW w:w="904" w:type="dxa"/>
            <w:gridSpan w:val="2"/>
          </w:tcPr>
          <w:p w14:paraId="4718284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15.1Х.14</w:t>
            </w:r>
          </w:p>
        </w:tc>
      </w:tr>
      <w:tr w:rsidR="00B67D7C" w:rsidRPr="00DE096C" w14:paraId="6598DFAB" w14:textId="77777777" w:rsidTr="00C2024A">
        <w:trPr>
          <w:trHeight w:val="269"/>
        </w:trPr>
        <w:tc>
          <w:tcPr>
            <w:tcW w:w="3119" w:type="dxa"/>
          </w:tcPr>
          <w:p w14:paraId="7E9B72A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Комплектов запасных частей к ним</w:t>
            </w:r>
          </w:p>
        </w:tc>
        <w:tc>
          <w:tcPr>
            <w:tcW w:w="865" w:type="dxa"/>
            <w:gridSpan w:val="2"/>
          </w:tcPr>
          <w:p w14:paraId="2C8A747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54</w:t>
            </w:r>
          </w:p>
        </w:tc>
        <w:tc>
          <w:tcPr>
            <w:tcW w:w="1403" w:type="dxa"/>
          </w:tcPr>
          <w:p w14:paraId="56A2E68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3482 руб. 64 коп.</w:t>
            </w:r>
          </w:p>
        </w:tc>
        <w:tc>
          <w:tcPr>
            <w:tcW w:w="1660" w:type="dxa"/>
            <w:gridSpan w:val="2"/>
          </w:tcPr>
          <w:p w14:paraId="4273899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185 362 руб. 56 коп.</w:t>
            </w:r>
          </w:p>
        </w:tc>
        <w:tc>
          <w:tcPr>
            <w:tcW w:w="891" w:type="dxa"/>
          </w:tcPr>
          <w:p w14:paraId="65721B9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15. XI. 14</w:t>
            </w:r>
          </w:p>
        </w:tc>
      </w:tr>
      <w:tr w:rsidR="00B67D7C" w:rsidRPr="00DE096C" w14:paraId="7573C012" w14:textId="77777777" w:rsidTr="00C2024A">
        <w:trPr>
          <w:trHeight w:val="163"/>
        </w:trPr>
        <w:tc>
          <w:tcPr>
            <w:tcW w:w="3119" w:type="dxa"/>
          </w:tcPr>
          <w:p w14:paraId="34C99A5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Дополнительных комплектов к ним</w:t>
            </w:r>
          </w:p>
        </w:tc>
        <w:tc>
          <w:tcPr>
            <w:tcW w:w="865" w:type="dxa"/>
            <w:gridSpan w:val="2"/>
          </w:tcPr>
          <w:p w14:paraId="3532885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9</w:t>
            </w:r>
          </w:p>
        </w:tc>
        <w:tc>
          <w:tcPr>
            <w:tcW w:w="1403" w:type="dxa"/>
          </w:tcPr>
          <w:p w14:paraId="6EA56D2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575</w:t>
            </w:r>
          </w:p>
        </w:tc>
        <w:tc>
          <w:tcPr>
            <w:tcW w:w="1660" w:type="dxa"/>
            <w:gridSpan w:val="2"/>
          </w:tcPr>
          <w:p w14:paraId="5B59ABE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5175</w:t>
            </w:r>
          </w:p>
        </w:tc>
        <w:tc>
          <w:tcPr>
            <w:tcW w:w="891" w:type="dxa"/>
          </w:tcPr>
          <w:p w14:paraId="1A24162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15.Х1.14</w:t>
            </w:r>
          </w:p>
        </w:tc>
      </w:tr>
      <w:tr w:rsidR="00B67D7C" w:rsidRPr="00DE096C" w14:paraId="215070D9" w14:textId="77777777" w:rsidTr="00C2024A">
        <w:trPr>
          <w:trHeight w:val="173"/>
        </w:trPr>
        <w:tc>
          <w:tcPr>
            <w:tcW w:w="3119" w:type="dxa"/>
          </w:tcPr>
          <w:p w14:paraId="749C58D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Монопланов одноместных и двухме стных системы Моран-Сольнье с 80-сильными моторами</w:t>
            </w:r>
          </w:p>
        </w:tc>
        <w:tc>
          <w:tcPr>
            <w:tcW w:w="865" w:type="dxa"/>
            <w:gridSpan w:val="2"/>
          </w:tcPr>
          <w:p w14:paraId="2D08218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28</w:t>
            </w:r>
          </w:p>
        </w:tc>
        <w:tc>
          <w:tcPr>
            <w:tcW w:w="1403" w:type="dxa"/>
          </w:tcPr>
          <w:p w14:paraId="2BFAABD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9800</w:t>
            </w:r>
          </w:p>
        </w:tc>
        <w:tc>
          <w:tcPr>
            <w:tcW w:w="1660" w:type="dxa"/>
            <w:gridSpan w:val="2"/>
          </w:tcPr>
          <w:p w14:paraId="4A9ECCE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274 400</w:t>
            </w:r>
          </w:p>
        </w:tc>
        <w:tc>
          <w:tcPr>
            <w:tcW w:w="891" w:type="dxa"/>
          </w:tcPr>
          <w:p w14:paraId="4928123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15.1Х.14</w:t>
            </w:r>
          </w:p>
        </w:tc>
      </w:tr>
      <w:tr w:rsidR="00B67D7C" w:rsidRPr="00DE096C" w14:paraId="73246084" w14:textId="77777777" w:rsidTr="00C2024A">
        <w:trPr>
          <w:trHeight w:val="173"/>
        </w:trPr>
        <w:tc>
          <w:tcPr>
            <w:tcW w:w="3119" w:type="dxa"/>
          </w:tcPr>
          <w:p w14:paraId="260601A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Комплектов запасных частей к ним</w:t>
            </w:r>
          </w:p>
        </w:tc>
        <w:tc>
          <w:tcPr>
            <w:tcW w:w="865" w:type="dxa"/>
            <w:gridSpan w:val="2"/>
          </w:tcPr>
          <w:p w14:paraId="4F7984A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28</w:t>
            </w:r>
          </w:p>
        </w:tc>
        <w:tc>
          <w:tcPr>
            <w:tcW w:w="1403" w:type="dxa"/>
          </w:tcPr>
          <w:p w14:paraId="03E314F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3117 руб. 64 коп.</w:t>
            </w:r>
          </w:p>
        </w:tc>
        <w:tc>
          <w:tcPr>
            <w:tcW w:w="1660" w:type="dxa"/>
            <w:gridSpan w:val="2"/>
          </w:tcPr>
          <w:p w14:paraId="39A761A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87 293 руб. 92 коп.</w:t>
            </w:r>
          </w:p>
        </w:tc>
        <w:tc>
          <w:tcPr>
            <w:tcW w:w="891" w:type="dxa"/>
          </w:tcPr>
          <w:p w14:paraId="655B1AE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15.Х1.14</w:t>
            </w:r>
          </w:p>
        </w:tc>
      </w:tr>
      <w:tr w:rsidR="00B67D7C" w:rsidRPr="00DE096C" w14:paraId="34270860" w14:textId="77777777" w:rsidTr="00C2024A">
        <w:trPr>
          <w:trHeight w:val="173"/>
        </w:trPr>
        <w:tc>
          <w:tcPr>
            <w:tcW w:w="3119" w:type="dxa"/>
          </w:tcPr>
          <w:p w14:paraId="55979C2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Дополнительных комплектов запас ных частей к ним</w:t>
            </w:r>
          </w:p>
        </w:tc>
        <w:tc>
          <w:tcPr>
            <w:tcW w:w="865" w:type="dxa"/>
            <w:gridSpan w:val="2"/>
          </w:tcPr>
          <w:p w14:paraId="344EECF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4</w:t>
            </w:r>
          </w:p>
        </w:tc>
        <w:tc>
          <w:tcPr>
            <w:tcW w:w="1403" w:type="dxa"/>
          </w:tcPr>
          <w:p w14:paraId="52E5CDA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575</w:t>
            </w:r>
          </w:p>
        </w:tc>
        <w:tc>
          <w:tcPr>
            <w:tcW w:w="1660" w:type="dxa"/>
            <w:gridSpan w:val="2"/>
          </w:tcPr>
          <w:p w14:paraId="550F0DD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2300</w:t>
            </w:r>
          </w:p>
        </w:tc>
        <w:tc>
          <w:tcPr>
            <w:tcW w:w="891" w:type="dxa"/>
          </w:tcPr>
          <w:p w14:paraId="3D92648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15. XI. 14</w:t>
            </w:r>
          </w:p>
        </w:tc>
      </w:tr>
      <w:tr w:rsidR="00B67D7C" w:rsidRPr="00DE096C" w14:paraId="1DE71F87" w14:textId="77777777" w:rsidTr="00C2024A">
        <w:trPr>
          <w:trHeight w:val="182"/>
        </w:trPr>
        <w:tc>
          <w:tcPr>
            <w:tcW w:w="3119" w:type="dxa"/>
          </w:tcPr>
          <w:p w14:paraId="58791E5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Бипланов двухместных системы Фар мана № 22 бис со 100-сильными од ноклапанными моторами «Гном»</w:t>
            </w:r>
          </w:p>
        </w:tc>
        <w:tc>
          <w:tcPr>
            <w:tcW w:w="865" w:type="dxa"/>
            <w:gridSpan w:val="2"/>
          </w:tcPr>
          <w:p w14:paraId="398DFD2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10</w:t>
            </w:r>
          </w:p>
        </w:tc>
        <w:tc>
          <w:tcPr>
            <w:tcW w:w="1403" w:type="dxa"/>
          </w:tcPr>
          <w:p w14:paraId="173552D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12000</w:t>
            </w:r>
          </w:p>
        </w:tc>
        <w:tc>
          <w:tcPr>
            <w:tcW w:w="1660" w:type="dxa"/>
            <w:gridSpan w:val="2"/>
          </w:tcPr>
          <w:p w14:paraId="73B849F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120000</w:t>
            </w:r>
          </w:p>
        </w:tc>
        <w:tc>
          <w:tcPr>
            <w:tcW w:w="891" w:type="dxa"/>
          </w:tcPr>
          <w:p w14:paraId="7FF966B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15.1Х.14</w:t>
            </w:r>
          </w:p>
        </w:tc>
      </w:tr>
      <w:tr w:rsidR="00B67D7C" w:rsidRPr="00DE096C" w14:paraId="0EA7CA0D" w14:textId="77777777" w:rsidTr="00C2024A">
        <w:trPr>
          <w:trHeight w:val="163"/>
        </w:trPr>
        <w:tc>
          <w:tcPr>
            <w:tcW w:w="3119" w:type="dxa"/>
          </w:tcPr>
          <w:p w14:paraId="46B140C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Комплектов запасных частей к ним</w:t>
            </w:r>
          </w:p>
        </w:tc>
        <w:tc>
          <w:tcPr>
            <w:tcW w:w="865" w:type="dxa"/>
            <w:gridSpan w:val="2"/>
          </w:tcPr>
          <w:p w14:paraId="190FF29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10</w:t>
            </w:r>
          </w:p>
        </w:tc>
        <w:tc>
          <w:tcPr>
            <w:tcW w:w="1403" w:type="dxa"/>
          </w:tcPr>
          <w:p w14:paraId="13DB00F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2319 руб. 30 коп.</w:t>
            </w:r>
          </w:p>
        </w:tc>
        <w:tc>
          <w:tcPr>
            <w:tcW w:w="1660" w:type="dxa"/>
            <w:gridSpan w:val="2"/>
          </w:tcPr>
          <w:p w14:paraId="53C2049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23 193</w:t>
            </w:r>
          </w:p>
        </w:tc>
        <w:tc>
          <w:tcPr>
            <w:tcW w:w="891" w:type="dxa"/>
          </w:tcPr>
          <w:p w14:paraId="5535DE8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15.Х1.14</w:t>
            </w:r>
          </w:p>
        </w:tc>
      </w:tr>
      <w:tr w:rsidR="00B67D7C" w:rsidRPr="00DE096C" w14:paraId="37B5574C" w14:textId="77777777" w:rsidTr="00C2024A">
        <w:trPr>
          <w:trHeight w:val="173"/>
        </w:trPr>
        <w:tc>
          <w:tcPr>
            <w:tcW w:w="3119" w:type="dxa"/>
          </w:tcPr>
          <w:p w14:paraId="55FF0DB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Дополнительных комплектов запас ных частей к ним</w:t>
            </w:r>
          </w:p>
        </w:tc>
        <w:tc>
          <w:tcPr>
            <w:tcW w:w="865" w:type="dxa"/>
            <w:gridSpan w:val="2"/>
          </w:tcPr>
          <w:p w14:paraId="34BF14A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w:t>
            </w:r>
          </w:p>
        </w:tc>
        <w:tc>
          <w:tcPr>
            <w:tcW w:w="1403" w:type="dxa"/>
          </w:tcPr>
          <w:p w14:paraId="21873FD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1240</w:t>
            </w:r>
          </w:p>
        </w:tc>
        <w:tc>
          <w:tcPr>
            <w:tcW w:w="1660" w:type="dxa"/>
            <w:gridSpan w:val="2"/>
          </w:tcPr>
          <w:p w14:paraId="5CA86B9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1240</w:t>
            </w:r>
          </w:p>
        </w:tc>
        <w:tc>
          <w:tcPr>
            <w:tcW w:w="891" w:type="dxa"/>
          </w:tcPr>
          <w:p w14:paraId="4434C6A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15. XI. 14</w:t>
            </w:r>
          </w:p>
        </w:tc>
      </w:tr>
      <w:tr w:rsidR="00B67D7C" w:rsidRPr="00DE096C" w14:paraId="47F19D33" w14:textId="77777777" w:rsidTr="00C2024A">
        <w:trPr>
          <w:trHeight w:val="182"/>
        </w:trPr>
        <w:tc>
          <w:tcPr>
            <w:tcW w:w="3119" w:type="dxa"/>
          </w:tcPr>
          <w:p w14:paraId="42E2D0A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Учебных аэропланов системы Моран- Сольнье без моторов</w:t>
            </w:r>
          </w:p>
        </w:tc>
        <w:tc>
          <w:tcPr>
            <w:tcW w:w="865" w:type="dxa"/>
            <w:gridSpan w:val="2"/>
          </w:tcPr>
          <w:p w14:paraId="126B92E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24</w:t>
            </w:r>
          </w:p>
        </w:tc>
        <w:tc>
          <w:tcPr>
            <w:tcW w:w="1403" w:type="dxa"/>
          </w:tcPr>
          <w:p w14:paraId="43EF618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5000</w:t>
            </w:r>
          </w:p>
        </w:tc>
        <w:tc>
          <w:tcPr>
            <w:tcW w:w="1660" w:type="dxa"/>
            <w:gridSpan w:val="2"/>
          </w:tcPr>
          <w:p w14:paraId="517DB8C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120 000</w:t>
            </w:r>
          </w:p>
        </w:tc>
        <w:tc>
          <w:tcPr>
            <w:tcW w:w="891" w:type="dxa"/>
          </w:tcPr>
          <w:p w14:paraId="5F25CB3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15.1Х.14</w:t>
            </w:r>
          </w:p>
        </w:tc>
      </w:tr>
      <w:tr w:rsidR="00B67D7C" w:rsidRPr="00DE096C" w14:paraId="5906D5DE" w14:textId="77777777" w:rsidTr="00C2024A">
        <w:trPr>
          <w:trHeight w:val="250"/>
        </w:trPr>
        <w:tc>
          <w:tcPr>
            <w:tcW w:w="3119" w:type="dxa"/>
          </w:tcPr>
          <w:p w14:paraId="1B288B6A" w14:textId="77777777" w:rsidR="00B67D7C" w:rsidRPr="00DE096C" w:rsidRDefault="00B67D7C" w:rsidP="00D45A46">
            <w:pPr>
              <w:shd w:val="clear" w:color="auto" w:fill="FFFFFF"/>
              <w:jc w:val="both"/>
              <w:rPr>
                <w:bCs/>
                <w:color w:val="002060"/>
                <w:sz w:val="16"/>
                <w:szCs w:val="16"/>
              </w:rPr>
            </w:pPr>
          </w:p>
        </w:tc>
        <w:tc>
          <w:tcPr>
            <w:tcW w:w="865" w:type="dxa"/>
            <w:gridSpan w:val="2"/>
          </w:tcPr>
          <w:p w14:paraId="7D792BD5" w14:textId="77777777" w:rsidR="00B67D7C" w:rsidRPr="00DE096C" w:rsidRDefault="00B67D7C" w:rsidP="00D45A46">
            <w:pPr>
              <w:shd w:val="clear" w:color="auto" w:fill="FFFFFF"/>
              <w:jc w:val="both"/>
              <w:rPr>
                <w:bCs/>
                <w:color w:val="002060"/>
                <w:sz w:val="16"/>
                <w:szCs w:val="16"/>
              </w:rPr>
            </w:pPr>
          </w:p>
        </w:tc>
        <w:tc>
          <w:tcPr>
            <w:tcW w:w="1403" w:type="dxa"/>
          </w:tcPr>
          <w:p w14:paraId="2C9391C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[ВСЕГО:]</w:t>
            </w:r>
          </w:p>
        </w:tc>
        <w:tc>
          <w:tcPr>
            <w:tcW w:w="1660" w:type="dxa"/>
            <w:gridSpan w:val="2"/>
          </w:tcPr>
          <w:p w14:paraId="344C3B7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1369 764 руб. 48 коп.</w:t>
            </w:r>
          </w:p>
        </w:tc>
        <w:tc>
          <w:tcPr>
            <w:tcW w:w="891" w:type="dxa"/>
          </w:tcPr>
          <w:p w14:paraId="6B91F23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15.1Х.14</w:t>
            </w:r>
          </w:p>
        </w:tc>
      </w:tr>
      <w:tr w:rsidR="00B67D7C" w:rsidRPr="00DE096C" w14:paraId="70C8593C" w14:textId="77777777" w:rsidTr="00C2024A">
        <w:trPr>
          <w:trHeight w:val="259"/>
        </w:trPr>
        <w:tc>
          <w:tcPr>
            <w:tcW w:w="3119" w:type="dxa"/>
          </w:tcPr>
          <w:p w14:paraId="7647790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Акционерному обществу воздухоплава ния «В. А. Лебедев»:</w:t>
            </w:r>
          </w:p>
        </w:tc>
        <w:tc>
          <w:tcPr>
            <w:tcW w:w="865" w:type="dxa"/>
            <w:gridSpan w:val="2"/>
          </w:tcPr>
          <w:p w14:paraId="2EFB7B35" w14:textId="77777777" w:rsidR="00B67D7C" w:rsidRPr="00DE096C" w:rsidRDefault="00B67D7C" w:rsidP="00D45A46">
            <w:pPr>
              <w:shd w:val="clear" w:color="auto" w:fill="FFFFFF"/>
              <w:jc w:val="both"/>
              <w:rPr>
                <w:bCs/>
                <w:color w:val="002060"/>
                <w:sz w:val="16"/>
                <w:szCs w:val="16"/>
              </w:rPr>
            </w:pPr>
          </w:p>
        </w:tc>
        <w:tc>
          <w:tcPr>
            <w:tcW w:w="1403" w:type="dxa"/>
          </w:tcPr>
          <w:p w14:paraId="00B25C6D" w14:textId="77777777" w:rsidR="00B67D7C" w:rsidRPr="00DE096C" w:rsidRDefault="00B67D7C" w:rsidP="00D45A46">
            <w:pPr>
              <w:shd w:val="clear" w:color="auto" w:fill="FFFFFF"/>
              <w:jc w:val="both"/>
              <w:rPr>
                <w:bCs/>
                <w:color w:val="002060"/>
                <w:sz w:val="16"/>
                <w:szCs w:val="16"/>
              </w:rPr>
            </w:pPr>
          </w:p>
        </w:tc>
        <w:tc>
          <w:tcPr>
            <w:tcW w:w="1660" w:type="dxa"/>
            <w:gridSpan w:val="2"/>
          </w:tcPr>
          <w:p w14:paraId="55906F9A" w14:textId="77777777" w:rsidR="00B67D7C" w:rsidRPr="00DE096C" w:rsidRDefault="00B67D7C" w:rsidP="00D45A46">
            <w:pPr>
              <w:shd w:val="clear" w:color="auto" w:fill="FFFFFF"/>
              <w:jc w:val="both"/>
              <w:rPr>
                <w:bCs/>
                <w:color w:val="002060"/>
                <w:sz w:val="16"/>
                <w:szCs w:val="16"/>
              </w:rPr>
            </w:pPr>
          </w:p>
        </w:tc>
        <w:tc>
          <w:tcPr>
            <w:tcW w:w="891" w:type="dxa"/>
          </w:tcPr>
          <w:p w14:paraId="21165505" w14:textId="77777777" w:rsidR="00B67D7C" w:rsidRPr="00DE096C" w:rsidRDefault="00B67D7C" w:rsidP="00D45A46">
            <w:pPr>
              <w:shd w:val="clear" w:color="auto" w:fill="FFFFFF"/>
              <w:jc w:val="both"/>
              <w:rPr>
                <w:bCs/>
                <w:color w:val="002060"/>
                <w:sz w:val="16"/>
                <w:szCs w:val="16"/>
              </w:rPr>
            </w:pPr>
          </w:p>
        </w:tc>
      </w:tr>
      <w:tr w:rsidR="00B67D7C" w:rsidRPr="00DE096C" w14:paraId="3E30BDC4" w14:textId="77777777" w:rsidTr="00C2024A">
        <w:trPr>
          <w:trHeight w:val="173"/>
        </w:trPr>
        <w:tc>
          <w:tcPr>
            <w:tcW w:w="3119" w:type="dxa"/>
          </w:tcPr>
          <w:p w14:paraId="51144A6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Монопланов двухместных системы Депердюссена с 80-сильными мото рами</w:t>
            </w:r>
          </w:p>
        </w:tc>
        <w:tc>
          <w:tcPr>
            <w:tcW w:w="865" w:type="dxa"/>
            <w:gridSpan w:val="2"/>
          </w:tcPr>
          <w:p w14:paraId="1276678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42</w:t>
            </w:r>
          </w:p>
        </w:tc>
        <w:tc>
          <w:tcPr>
            <w:tcW w:w="1403" w:type="dxa"/>
          </w:tcPr>
          <w:p w14:paraId="636F267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10200</w:t>
            </w:r>
          </w:p>
        </w:tc>
        <w:tc>
          <w:tcPr>
            <w:tcW w:w="1660" w:type="dxa"/>
            <w:gridSpan w:val="2"/>
          </w:tcPr>
          <w:p w14:paraId="3A22D34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428 000</w:t>
            </w:r>
          </w:p>
        </w:tc>
        <w:tc>
          <w:tcPr>
            <w:tcW w:w="891" w:type="dxa"/>
          </w:tcPr>
          <w:p w14:paraId="6510524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15.1Х.14</w:t>
            </w:r>
          </w:p>
        </w:tc>
      </w:tr>
      <w:tr w:rsidR="00B67D7C" w:rsidRPr="00DE096C" w14:paraId="7627DB11" w14:textId="77777777" w:rsidTr="00C2024A">
        <w:trPr>
          <w:trHeight w:val="163"/>
        </w:trPr>
        <w:tc>
          <w:tcPr>
            <w:tcW w:w="3119" w:type="dxa"/>
          </w:tcPr>
          <w:p w14:paraId="6EECD17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Комплектов запасных частей к ним</w:t>
            </w:r>
          </w:p>
        </w:tc>
        <w:tc>
          <w:tcPr>
            <w:tcW w:w="865" w:type="dxa"/>
            <w:gridSpan w:val="2"/>
          </w:tcPr>
          <w:p w14:paraId="0E2D4E4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42</w:t>
            </w:r>
          </w:p>
        </w:tc>
        <w:tc>
          <w:tcPr>
            <w:tcW w:w="1403" w:type="dxa"/>
          </w:tcPr>
          <w:p w14:paraId="7B1FBCB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3907 руб. 29 коп.</w:t>
            </w:r>
          </w:p>
        </w:tc>
        <w:tc>
          <w:tcPr>
            <w:tcW w:w="1660" w:type="dxa"/>
            <w:gridSpan w:val="2"/>
          </w:tcPr>
          <w:p w14:paraId="0B98E0E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143 106 руб. 18 коп.</w:t>
            </w:r>
          </w:p>
        </w:tc>
        <w:tc>
          <w:tcPr>
            <w:tcW w:w="891" w:type="dxa"/>
          </w:tcPr>
          <w:p w14:paraId="02F7C40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15.Х1.14</w:t>
            </w:r>
          </w:p>
        </w:tc>
      </w:tr>
      <w:tr w:rsidR="00B67D7C" w:rsidRPr="00DE096C" w14:paraId="4ACD4F86" w14:textId="77777777" w:rsidTr="00C2024A">
        <w:trPr>
          <w:trHeight w:val="173"/>
        </w:trPr>
        <w:tc>
          <w:tcPr>
            <w:tcW w:w="3119" w:type="dxa"/>
          </w:tcPr>
          <w:p w14:paraId="720C008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Дополнительных комплектов запас ных частей к ним</w:t>
            </w:r>
          </w:p>
        </w:tc>
        <w:tc>
          <w:tcPr>
            <w:tcW w:w="865" w:type="dxa"/>
            <w:gridSpan w:val="2"/>
          </w:tcPr>
          <w:p w14:paraId="517E2F3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7</w:t>
            </w:r>
          </w:p>
        </w:tc>
        <w:tc>
          <w:tcPr>
            <w:tcW w:w="1403" w:type="dxa"/>
          </w:tcPr>
          <w:p w14:paraId="70E60C8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575</w:t>
            </w:r>
          </w:p>
        </w:tc>
        <w:tc>
          <w:tcPr>
            <w:tcW w:w="1660" w:type="dxa"/>
            <w:gridSpan w:val="2"/>
          </w:tcPr>
          <w:p w14:paraId="447C403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4025</w:t>
            </w:r>
          </w:p>
        </w:tc>
        <w:tc>
          <w:tcPr>
            <w:tcW w:w="891" w:type="dxa"/>
          </w:tcPr>
          <w:p w14:paraId="6DB81A1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15.Х1.14</w:t>
            </w:r>
          </w:p>
        </w:tc>
      </w:tr>
      <w:tr w:rsidR="00B67D7C" w:rsidRPr="00DE096C" w14:paraId="3E811CCF" w14:textId="77777777" w:rsidTr="00C2024A">
        <w:trPr>
          <w:trHeight w:val="192"/>
        </w:trPr>
        <w:tc>
          <w:tcPr>
            <w:tcW w:w="3119" w:type="dxa"/>
          </w:tcPr>
          <w:p w14:paraId="4170B50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Учебных аэропланов системы Депер дюссена без моторов</w:t>
            </w:r>
          </w:p>
        </w:tc>
        <w:tc>
          <w:tcPr>
            <w:tcW w:w="865" w:type="dxa"/>
            <w:gridSpan w:val="2"/>
          </w:tcPr>
          <w:p w14:paraId="1BDC9B5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16</w:t>
            </w:r>
          </w:p>
        </w:tc>
        <w:tc>
          <w:tcPr>
            <w:tcW w:w="1403" w:type="dxa"/>
          </w:tcPr>
          <w:p w14:paraId="79411AD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5250</w:t>
            </w:r>
          </w:p>
        </w:tc>
        <w:tc>
          <w:tcPr>
            <w:tcW w:w="1660" w:type="dxa"/>
            <w:gridSpan w:val="2"/>
          </w:tcPr>
          <w:p w14:paraId="51B0BFE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84 000</w:t>
            </w:r>
          </w:p>
        </w:tc>
        <w:tc>
          <w:tcPr>
            <w:tcW w:w="891" w:type="dxa"/>
          </w:tcPr>
          <w:p w14:paraId="04BF6B3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15.1Х.14</w:t>
            </w:r>
          </w:p>
        </w:tc>
      </w:tr>
      <w:tr w:rsidR="00B67D7C" w:rsidRPr="00DE096C" w14:paraId="64285110" w14:textId="77777777" w:rsidTr="00C2024A">
        <w:trPr>
          <w:trHeight w:val="173"/>
        </w:trPr>
        <w:tc>
          <w:tcPr>
            <w:tcW w:w="3119" w:type="dxa"/>
          </w:tcPr>
          <w:p w14:paraId="7A3B066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Бипланов двухместных системы Вуа зен со 130-сильными двигателями «Сальмсон»</w:t>
            </w:r>
          </w:p>
        </w:tc>
        <w:tc>
          <w:tcPr>
            <w:tcW w:w="865" w:type="dxa"/>
            <w:gridSpan w:val="2"/>
          </w:tcPr>
          <w:p w14:paraId="4571185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6</w:t>
            </w:r>
          </w:p>
        </w:tc>
        <w:tc>
          <w:tcPr>
            <w:tcW w:w="1403" w:type="dxa"/>
          </w:tcPr>
          <w:p w14:paraId="1EBEF48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14 900</w:t>
            </w:r>
          </w:p>
        </w:tc>
        <w:tc>
          <w:tcPr>
            <w:tcW w:w="1660" w:type="dxa"/>
            <w:gridSpan w:val="2"/>
          </w:tcPr>
          <w:p w14:paraId="1EB6D63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89 400</w:t>
            </w:r>
          </w:p>
        </w:tc>
        <w:tc>
          <w:tcPr>
            <w:tcW w:w="891" w:type="dxa"/>
          </w:tcPr>
          <w:p w14:paraId="67452EF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15.1Х.14</w:t>
            </w:r>
          </w:p>
        </w:tc>
      </w:tr>
      <w:tr w:rsidR="00B67D7C" w:rsidRPr="00DE096C" w14:paraId="0D07F889" w14:textId="77777777" w:rsidTr="00C2024A">
        <w:trPr>
          <w:trHeight w:val="163"/>
        </w:trPr>
        <w:tc>
          <w:tcPr>
            <w:tcW w:w="3119" w:type="dxa"/>
          </w:tcPr>
          <w:p w14:paraId="79BAB2A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Комплектов запасных частей к ним</w:t>
            </w:r>
          </w:p>
        </w:tc>
        <w:tc>
          <w:tcPr>
            <w:tcW w:w="865" w:type="dxa"/>
            <w:gridSpan w:val="2"/>
          </w:tcPr>
          <w:p w14:paraId="0A6449F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6</w:t>
            </w:r>
          </w:p>
        </w:tc>
        <w:tc>
          <w:tcPr>
            <w:tcW w:w="1403" w:type="dxa"/>
          </w:tcPr>
          <w:p w14:paraId="44777E6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3950</w:t>
            </w:r>
          </w:p>
        </w:tc>
        <w:tc>
          <w:tcPr>
            <w:tcW w:w="1660" w:type="dxa"/>
            <w:gridSpan w:val="2"/>
          </w:tcPr>
          <w:p w14:paraId="3738E2D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23 700</w:t>
            </w:r>
          </w:p>
        </w:tc>
        <w:tc>
          <w:tcPr>
            <w:tcW w:w="891" w:type="dxa"/>
          </w:tcPr>
          <w:p w14:paraId="1C62955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15.Х1.14</w:t>
            </w:r>
          </w:p>
        </w:tc>
      </w:tr>
      <w:tr w:rsidR="00B67D7C" w:rsidRPr="00DE096C" w14:paraId="2A8EBED2" w14:textId="77777777" w:rsidTr="00C2024A">
        <w:trPr>
          <w:trHeight w:val="269"/>
        </w:trPr>
        <w:tc>
          <w:tcPr>
            <w:tcW w:w="3119" w:type="dxa"/>
          </w:tcPr>
          <w:p w14:paraId="05D64FA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Дополнительных комплектов</w:t>
            </w:r>
          </w:p>
        </w:tc>
        <w:tc>
          <w:tcPr>
            <w:tcW w:w="865" w:type="dxa"/>
            <w:gridSpan w:val="2"/>
          </w:tcPr>
          <w:p w14:paraId="09BA6FC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w:t>
            </w:r>
          </w:p>
        </w:tc>
        <w:tc>
          <w:tcPr>
            <w:tcW w:w="1403" w:type="dxa"/>
          </w:tcPr>
          <w:p w14:paraId="505E919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1875</w:t>
            </w:r>
          </w:p>
        </w:tc>
        <w:tc>
          <w:tcPr>
            <w:tcW w:w="1660" w:type="dxa"/>
            <w:gridSpan w:val="2"/>
          </w:tcPr>
          <w:p w14:paraId="57040A1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1875</w:t>
            </w:r>
          </w:p>
        </w:tc>
        <w:tc>
          <w:tcPr>
            <w:tcW w:w="891" w:type="dxa"/>
          </w:tcPr>
          <w:p w14:paraId="51043C6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15.Х1.14</w:t>
            </w:r>
          </w:p>
        </w:tc>
      </w:tr>
      <w:tr w:rsidR="00B67D7C" w:rsidRPr="00DE096C" w14:paraId="6CB718F7" w14:textId="77777777" w:rsidTr="00C2024A">
        <w:trPr>
          <w:trHeight w:val="259"/>
        </w:trPr>
        <w:tc>
          <w:tcPr>
            <w:tcW w:w="3119" w:type="dxa"/>
          </w:tcPr>
          <w:p w14:paraId="413B51FC" w14:textId="77777777" w:rsidR="00B67D7C" w:rsidRPr="00DE096C" w:rsidRDefault="00B67D7C" w:rsidP="00D45A46">
            <w:pPr>
              <w:shd w:val="clear" w:color="auto" w:fill="FFFFFF"/>
              <w:jc w:val="both"/>
              <w:rPr>
                <w:bCs/>
                <w:color w:val="002060"/>
                <w:sz w:val="16"/>
                <w:szCs w:val="16"/>
              </w:rPr>
            </w:pPr>
          </w:p>
        </w:tc>
        <w:tc>
          <w:tcPr>
            <w:tcW w:w="865" w:type="dxa"/>
            <w:gridSpan w:val="2"/>
          </w:tcPr>
          <w:p w14:paraId="1BC50644" w14:textId="77777777" w:rsidR="00B67D7C" w:rsidRPr="00DE096C" w:rsidRDefault="00B67D7C" w:rsidP="00D45A46">
            <w:pPr>
              <w:shd w:val="clear" w:color="auto" w:fill="FFFFFF"/>
              <w:jc w:val="both"/>
              <w:rPr>
                <w:bCs/>
                <w:color w:val="002060"/>
                <w:sz w:val="16"/>
                <w:szCs w:val="16"/>
              </w:rPr>
            </w:pPr>
          </w:p>
        </w:tc>
        <w:tc>
          <w:tcPr>
            <w:tcW w:w="1403" w:type="dxa"/>
          </w:tcPr>
          <w:p w14:paraId="708E30B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[ВСЕГО:]</w:t>
            </w:r>
          </w:p>
        </w:tc>
        <w:tc>
          <w:tcPr>
            <w:tcW w:w="1660" w:type="dxa"/>
            <w:gridSpan w:val="2"/>
          </w:tcPr>
          <w:p w14:paraId="19F10B9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774 506 руб. 18 коп.</w:t>
            </w:r>
          </w:p>
        </w:tc>
        <w:tc>
          <w:tcPr>
            <w:tcW w:w="891" w:type="dxa"/>
          </w:tcPr>
          <w:p w14:paraId="4F578C88" w14:textId="77777777" w:rsidR="00B67D7C" w:rsidRPr="00DE096C" w:rsidRDefault="00B67D7C" w:rsidP="00D45A46">
            <w:pPr>
              <w:shd w:val="clear" w:color="auto" w:fill="FFFFFF"/>
              <w:jc w:val="both"/>
              <w:rPr>
                <w:bCs/>
                <w:color w:val="002060"/>
                <w:sz w:val="16"/>
                <w:szCs w:val="16"/>
              </w:rPr>
            </w:pPr>
          </w:p>
        </w:tc>
      </w:tr>
      <w:tr w:rsidR="00B67D7C" w:rsidRPr="00DE096C" w14:paraId="69D09852" w14:textId="77777777" w:rsidTr="00C2024A">
        <w:trPr>
          <w:trHeight w:val="163"/>
        </w:trPr>
        <w:tc>
          <w:tcPr>
            <w:tcW w:w="3119" w:type="dxa"/>
          </w:tcPr>
          <w:p w14:paraId="4745BA9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Фирме «Вуазен:</w:t>
            </w:r>
          </w:p>
        </w:tc>
        <w:tc>
          <w:tcPr>
            <w:tcW w:w="865" w:type="dxa"/>
            <w:gridSpan w:val="2"/>
          </w:tcPr>
          <w:p w14:paraId="5913D3E6" w14:textId="77777777" w:rsidR="00B67D7C" w:rsidRPr="00DE096C" w:rsidRDefault="00B67D7C" w:rsidP="00D45A46">
            <w:pPr>
              <w:shd w:val="clear" w:color="auto" w:fill="FFFFFF"/>
              <w:jc w:val="both"/>
              <w:rPr>
                <w:bCs/>
                <w:color w:val="002060"/>
                <w:sz w:val="16"/>
                <w:szCs w:val="16"/>
              </w:rPr>
            </w:pPr>
          </w:p>
        </w:tc>
        <w:tc>
          <w:tcPr>
            <w:tcW w:w="1403" w:type="dxa"/>
          </w:tcPr>
          <w:p w14:paraId="68B4FC5D" w14:textId="77777777" w:rsidR="00B67D7C" w:rsidRPr="00DE096C" w:rsidRDefault="00B67D7C" w:rsidP="00D45A46">
            <w:pPr>
              <w:shd w:val="clear" w:color="auto" w:fill="FFFFFF"/>
              <w:jc w:val="both"/>
              <w:rPr>
                <w:bCs/>
                <w:color w:val="002060"/>
                <w:sz w:val="16"/>
                <w:szCs w:val="16"/>
              </w:rPr>
            </w:pPr>
          </w:p>
        </w:tc>
        <w:tc>
          <w:tcPr>
            <w:tcW w:w="1660" w:type="dxa"/>
            <w:gridSpan w:val="2"/>
          </w:tcPr>
          <w:p w14:paraId="02426583" w14:textId="77777777" w:rsidR="00B67D7C" w:rsidRPr="00DE096C" w:rsidRDefault="00B67D7C" w:rsidP="00D45A46">
            <w:pPr>
              <w:shd w:val="clear" w:color="auto" w:fill="FFFFFF"/>
              <w:jc w:val="both"/>
              <w:rPr>
                <w:bCs/>
                <w:color w:val="002060"/>
                <w:sz w:val="16"/>
                <w:szCs w:val="16"/>
              </w:rPr>
            </w:pPr>
          </w:p>
        </w:tc>
        <w:tc>
          <w:tcPr>
            <w:tcW w:w="891" w:type="dxa"/>
          </w:tcPr>
          <w:p w14:paraId="483D1161" w14:textId="77777777" w:rsidR="00B67D7C" w:rsidRPr="00DE096C" w:rsidRDefault="00B67D7C" w:rsidP="00D45A46">
            <w:pPr>
              <w:shd w:val="clear" w:color="auto" w:fill="FFFFFF"/>
              <w:jc w:val="both"/>
              <w:rPr>
                <w:bCs/>
                <w:color w:val="002060"/>
                <w:sz w:val="16"/>
                <w:szCs w:val="16"/>
              </w:rPr>
            </w:pPr>
          </w:p>
        </w:tc>
      </w:tr>
      <w:tr w:rsidR="00B67D7C" w:rsidRPr="00DE096C" w14:paraId="34A323E7" w14:textId="77777777" w:rsidTr="00C2024A">
        <w:trPr>
          <w:trHeight w:val="163"/>
        </w:trPr>
        <w:tc>
          <w:tcPr>
            <w:tcW w:w="3119" w:type="dxa"/>
          </w:tcPr>
          <w:p w14:paraId="027069B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Бипланов двухместных системы «Вуа зен» со 130-сильными двигателями «Сальмсон»</w:t>
            </w:r>
          </w:p>
        </w:tc>
        <w:tc>
          <w:tcPr>
            <w:tcW w:w="865" w:type="dxa"/>
            <w:gridSpan w:val="2"/>
          </w:tcPr>
          <w:p w14:paraId="2D9468D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12</w:t>
            </w:r>
          </w:p>
        </w:tc>
        <w:tc>
          <w:tcPr>
            <w:tcW w:w="1403" w:type="dxa"/>
          </w:tcPr>
          <w:p w14:paraId="31871EB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13 775</w:t>
            </w:r>
          </w:p>
        </w:tc>
        <w:tc>
          <w:tcPr>
            <w:tcW w:w="1660" w:type="dxa"/>
            <w:gridSpan w:val="2"/>
          </w:tcPr>
          <w:p w14:paraId="27B2CAD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165 300</w:t>
            </w:r>
          </w:p>
        </w:tc>
        <w:tc>
          <w:tcPr>
            <w:tcW w:w="891" w:type="dxa"/>
          </w:tcPr>
          <w:p w14:paraId="111D85D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15.1Х.14</w:t>
            </w:r>
          </w:p>
        </w:tc>
      </w:tr>
      <w:tr w:rsidR="00B67D7C" w:rsidRPr="00DE096C" w14:paraId="74279066" w14:textId="77777777" w:rsidTr="00C2024A">
        <w:trPr>
          <w:trHeight w:val="182"/>
        </w:trPr>
        <w:tc>
          <w:tcPr>
            <w:tcW w:w="3119" w:type="dxa"/>
          </w:tcPr>
          <w:p w14:paraId="71A5164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Комплектов запасных частей к ним</w:t>
            </w:r>
          </w:p>
        </w:tc>
        <w:tc>
          <w:tcPr>
            <w:tcW w:w="865" w:type="dxa"/>
            <w:gridSpan w:val="2"/>
          </w:tcPr>
          <w:p w14:paraId="6553A47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12</w:t>
            </w:r>
          </w:p>
        </w:tc>
        <w:tc>
          <w:tcPr>
            <w:tcW w:w="1403" w:type="dxa"/>
          </w:tcPr>
          <w:p w14:paraId="54D83B0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520 руб. 16 коп.</w:t>
            </w:r>
          </w:p>
        </w:tc>
        <w:tc>
          <w:tcPr>
            <w:tcW w:w="1660" w:type="dxa"/>
            <w:gridSpan w:val="2"/>
          </w:tcPr>
          <w:p w14:paraId="065D22F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6241 руб. 92 коп.</w:t>
            </w:r>
          </w:p>
        </w:tc>
        <w:tc>
          <w:tcPr>
            <w:tcW w:w="891" w:type="dxa"/>
          </w:tcPr>
          <w:p w14:paraId="3E12D94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15.Х1.14</w:t>
            </w:r>
          </w:p>
        </w:tc>
      </w:tr>
      <w:tr w:rsidR="00B67D7C" w:rsidRPr="00DE096C" w14:paraId="386AC7A8" w14:textId="77777777" w:rsidTr="00C2024A">
        <w:trPr>
          <w:trHeight w:val="173"/>
        </w:trPr>
        <w:tc>
          <w:tcPr>
            <w:tcW w:w="3119" w:type="dxa"/>
          </w:tcPr>
          <w:p w14:paraId="2CDB9E0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Дополнительных комплектов запас ных частей к ним на отделение</w:t>
            </w:r>
          </w:p>
        </w:tc>
        <w:tc>
          <w:tcPr>
            <w:tcW w:w="865" w:type="dxa"/>
            <w:gridSpan w:val="2"/>
          </w:tcPr>
          <w:p w14:paraId="004B427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4</w:t>
            </w:r>
          </w:p>
        </w:tc>
        <w:tc>
          <w:tcPr>
            <w:tcW w:w="1403" w:type="dxa"/>
          </w:tcPr>
          <w:p w14:paraId="6240F49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1115 руб. 25 коп.</w:t>
            </w:r>
          </w:p>
        </w:tc>
        <w:tc>
          <w:tcPr>
            <w:tcW w:w="1660" w:type="dxa"/>
            <w:gridSpan w:val="2"/>
          </w:tcPr>
          <w:p w14:paraId="70F340C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4461</w:t>
            </w:r>
          </w:p>
        </w:tc>
        <w:tc>
          <w:tcPr>
            <w:tcW w:w="891" w:type="dxa"/>
          </w:tcPr>
          <w:p w14:paraId="3F0831C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15.Х1.14</w:t>
            </w:r>
          </w:p>
        </w:tc>
      </w:tr>
      <w:tr w:rsidR="00B67D7C" w:rsidRPr="00DE096C" w14:paraId="178D6EA4" w14:textId="77777777" w:rsidTr="00C2024A">
        <w:trPr>
          <w:trHeight w:val="192"/>
        </w:trPr>
        <w:tc>
          <w:tcPr>
            <w:tcW w:w="3119" w:type="dxa"/>
          </w:tcPr>
          <w:p w14:paraId="737A577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Дополнительных комплектов запасных частей к ним на отряд</w:t>
            </w:r>
          </w:p>
        </w:tc>
        <w:tc>
          <w:tcPr>
            <w:tcW w:w="865" w:type="dxa"/>
            <w:gridSpan w:val="2"/>
          </w:tcPr>
          <w:p w14:paraId="377B3FF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w:t>
            </w:r>
          </w:p>
        </w:tc>
        <w:tc>
          <w:tcPr>
            <w:tcW w:w="1403" w:type="dxa"/>
          </w:tcPr>
          <w:p w14:paraId="0E527DD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7380руб. 22,5коп.</w:t>
            </w:r>
          </w:p>
        </w:tc>
        <w:tc>
          <w:tcPr>
            <w:tcW w:w="1660" w:type="dxa"/>
            <w:gridSpan w:val="2"/>
          </w:tcPr>
          <w:p w14:paraId="0DB26C0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14760 руб. 45 коп.</w:t>
            </w:r>
          </w:p>
        </w:tc>
        <w:tc>
          <w:tcPr>
            <w:tcW w:w="891" w:type="dxa"/>
          </w:tcPr>
          <w:p w14:paraId="10E7615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15.Х1.14</w:t>
            </w:r>
          </w:p>
        </w:tc>
      </w:tr>
      <w:tr w:rsidR="00B67D7C" w:rsidRPr="00DE096C" w14:paraId="2D380EBE" w14:textId="77777777" w:rsidTr="00C2024A">
        <w:trPr>
          <w:trHeight w:val="259"/>
        </w:trPr>
        <w:tc>
          <w:tcPr>
            <w:tcW w:w="3119" w:type="dxa"/>
          </w:tcPr>
          <w:p w14:paraId="27DA59FA" w14:textId="77777777" w:rsidR="00B67D7C" w:rsidRPr="00DE096C" w:rsidRDefault="00B67D7C" w:rsidP="00D45A46">
            <w:pPr>
              <w:shd w:val="clear" w:color="auto" w:fill="FFFFFF"/>
              <w:jc w:val="both"/>
              <w:rPr>
                <w:bCs/>
                <w:color w:val="002060"/>
                <w:sz w:val="16"/>
                <w:szCs w:val="16"/>
              </w:rPr>
            </w:pPr>
          </w:p>
        </w:tc>
        <w:tc>
          <w:tcPr>
            <w:tcW w:w="865" w:type="dxa"/>
            <w:gridSpan w:val="2"/>
          </w:tcPr>
          <w:p w14:paraId="7EBAA1D6" w14:textId="77777777" w:rsidR="00B67D7C" w:rsidRPr="00DE096C" w:rsidRDefault="00B67D7C" w:rsidP="00D45A46">
            <w:pPr>
              <w:shd w:val="clear" w:color="auto" w:fill="FFFFFF"/>
              <w:jc w:val="both"/>
              <w:rPr>
                <w:bCs/>
                <w:color w:val="002060"/>
                <w:sz w:val="16"/>
                <w:szCs w:val="16"/>
              </w:rPr>
            </w:pPr>
          </w:p>
        </w:tc>
        <w:tc>
          <w:tcPr>
            <w:tcW w:w="1403" w:type="dxa"/>
          </w:tcPr>
          <w:p w14:paraId="58DF7CA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[ВСЕГО:]</w:t>
            </w:r>
          </w:p>
        </w:tc>
        <w:tc>
          <w:tcPr>
            <w:tcW w:w="1660" w:type="dxa"/>
            <w:gridSpan w:val="2"/>
          </w:tcPr>
          <w:p w14:paraId="10BE4B3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190 763 руб. 37 коп.</w:t>
            </w:r>
          </w:p>
        </w:tc>
        <w:tc>
          <w:tcPr>
            <w:tcW w:w="891" w:type="dxa"/>
          </w:tcPr>
          <w:p w14:paraId="6F58656E" w14:textId="77777777" w:rsidR="00B67D7C" w:rsidRPr="00DE096C" w:rsidRDefault="00B67D7C" w:rsidP="00D45A46">
            <w:pPr>
              <w:shd w:val="clear" w:color="auto" w:fill="FFFFFF"/>
              <w:jc w:val="both"/>
              <w:rPr>
                <w:bCs/>
                <w:color w:val="002060"/>
                <w:sz w:val="16"/>
                <w:szCs w:val="16"/>
              </w:rPr>
            </w:pPr>
          </w:p>
        </w:tc>
      </w:tr>
      <w:tr w:rsidR="00B67D7C" w:rsidRPr="00DE096C" w14:paraId="2D978AE6" w14:textId="77777777" w:rsidTr="00C2024A">
        <w:trPr>
          <w:trHeight w:val="269"/>
        </w:trPr>
        <w:tc>
          <w:tcPr>
            <w:tcW w:w="3119" w:type="dxa"/>
          </w:tcPr>
          <w:p w14:paraId="5A9A6A8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Приобрести от Отдела воздушного фло та имеющиеся уже готовыми:</w:t>
            </w:r>
          </w:p>
        </w:tc>
        <w:tc>
          <w:tcPr>
            <w:tcW w:w="865" w:type="dxa"/>
            <w:gridSpan w:val="2"/>
          </w:tcPr>
          <w:p w14:paraId="70F4F51C" w14:textId="77777777" w:rsidR="00B67D7C" w:rsidRPr="00DE096C" w:rsidRDefault="00B67D7C" w:rsidP="00D45A46">
            <w:pPr>
              <w:shd w:val="clear" w:color="auto" w:fill="FFFFFF"/>
              <w:jc w:val="both"/>
              <w:rPr>
                <w:bCs/>
                <w:color w:val="002060"/>
                <w:sz w:val="16"/>
                <w:szCs w:val="16"/>
              </w:rPr>
            </w:pPr>
          </w:p>
        </w:tc>
        <w:tc>
          <w:tcPr>
            <w:tcW w:w="1403" w:type="dxa"/>
          </w:tcPr>
          <w:p w14:paraId="006C24FE" w14:textId="77777777" w:rsidR="00B67D7C" w:rsidRPr="00DE096C" w:rsidRDefault="00B67D7C" w:rsidP="00D45A46">
            <w:pPr>
              <w:shd w:val="clear" w:color="auto" w:fill="FFFFFF"/>
              <w:jc w:val="both"/>
              <w:rPr>
                <w:bCs/>
                <w:color w:val="002060"/>
                <w:sz w:val="16"/>
                <w:szCs w:val="16"/>
              </w:rPr>
            </w:pPr>
          </w:p>
        </w:tc>
        <w:tc>
          <w:tcPr>
            <w:tcW w:w="1660" w:type="dxa"/>
            <w:gridSpan w:val="2"/>
          </w:tcPr>
          <w:p w14:paraId="4FD3D474" w14:textId="77777777" w:rsidR="00B67D7C" w:rsidRPr="00DE096C" w:rsidRDefault="00B67D7C" w:rsidP="00D45A46">
            <w:pPr>
              <w:shd w:val="clear" w:color="auto" w:fill="FFFFFF"/>
              <w:jc w:val="both"/>
              <w:rPr>
                <w:bCs/>
                <w:color w:val="002060"/>
                <w:sz w:val="16"/>
                <w:szCs w:val="16"/>
              </w:rPr>
            </w:pPr>
          </w:p>
        </w:tc>
        <w:tc>
          <w:tcPr>
            <w:tcW w:w="891" w:type="dxa"/>
          </w:tcPr>
          <w:p w14:paraId="0C8A381E" w14:textId="77777777" w:rsidR="00B67D7C" w:rsidRPr="00DE096C" w:rsidRDefault="00B67D7C" w:rsidP="00D45A46">
            <w:pPr>
              <w:shd w:val="clear" w:color="auto" w:fill="FFFFFF"/>
              <w:jc w:val="both"/>
              <w:rPr>
                <w:bCs/>
                <w:color w:val="002060"/>
                <w:sz w:val="16"/>
                <w:szCs w:val="16"/>
              </w:rPr>
            </w:pPr>
          </w:p>
        </w:tc>
      </w:tr>
      <w:tr w:rsidR="00B67D7C" w:rsidRPr="00DE096C" w14:paraId="017ECCC8" w14:textId="77777777" w:rsidTr="00C2024A">
        <w:trPr>
          <w:trHeight w:val="173"/>
        </w:trPr>
        <w:tc>
          <w:tcPr>
            <w:tcW w:w="3119" w:type="dxa"/>
          </w:tcPr>
          <w:p w14:paraId="29B875A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Монопланов двухместных системы Депердюссена с 80-сильными двига телями</w:t>
            </w:r>
          </w:p>
        </w:tc>
        <w:tc>
          <w:tcPr>
            <w:tcW w:w="865" w:type="dxa"/>
            <w:gridSpan w:val="2"/>
          </w:tcPr>
          <w:p w14:paraId="2485F77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w:t>
            </w:r>
          </w:p>
        </w:tc>
        <w:tc>
          <w:tcPr>
            <w:tcW w:w="1403" w:type="dxa"/>
          </w:tcPr>
          <w:p w14:paraId="427420E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10 729 руб. 02 коп.</w:t>
            </w:r>
          </w:p>
        </w:tc>
        <w:tc>
          <w:tcPr>
            <w:tcW w:w="1660" w:type="dxa"/>
            <w:gridSpan w:val="2"/>
          </w:tcPr>
          <w:p w14:paraId="7C1ECAA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21 458 руб. 04 коп.</w:t>
            </w:r>
          </w:p>
        </w:tc>
        <w:tc>
          <w:tcPr>
            <w:tcW w:w="891" w:type="dxa"/>
          </w:tcPr>
          <w:p w14:paraId="4451643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15.1Х.14</w:t>
            </w:r>
          </w:p>
        </w:tc>
      </w:tr>
      <w:tr w:rsidR="00B67D7C" w:rsidRPr="00DE096C" w14:paraId="06F8070E" w14:textId="77777777" w:rsidTr="00C2024A">
        <w:trPr>
          <w:trHeight w:val="192"/>
        </w:trPr>
        <w:tc>
          <w:tcPr>
            <w:tcW w:w="3119" w:type="dxa"/>
          </w:tcPr>
          <w:p w14:paraId="7882C19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Монопланов учебных системы Депер дюссена без моторов</w:t>
            </w:r>
          </w:p>
        </w:tc>
        <w:tc>
          <w:tcPr>
            <w:tcW w:w="865" w:type="dxa"/>
            <w:gridSpan w:val="2"/>
          </w:tcPr>
          <w:p w14:paraId="4B4A7D4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w:t>
            </w:r>
          </w:p>
        </w:tc>
        <w:tc>
          <w:tcPr>
            <w:tcW w:w="1403" w:type="dxa"/>
          </w:tcPr>
          <w:p w14:paraId="03B4D8B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4226 руб. 75 коп.</w:t>
            </w:r>
          </w:p>
        </w:tc>
        <w:tc>
          <w:tcPr>
            <w:tcW w:w="1660" w:type="dxa"/>
            <w:gridSpan w:val="2"/>
          </w:tcPr>
          <w:p w14:paraId="4BE9FE9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8453 руб. 50 коп.</w:t>
            </w:r>
          </w:p>
        </w:tc>
        <w:tc>
          <w:tcPr>
            <w:tcW w:w="891" w:type="dxa"/>
          </w:tcPr>
          <w:p w14:paraId="6AD84C6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15.1Х.14</w:t>
            </w:r>
          </w:p>
        </w:tc>
      </w:tr>
      <w:tr w:rsidR="00B67D7C" w:rsidRPr="00DE096C" w14:paraId="52D22176" w14:textId="77777777" w:rsidTr="00C2024A">
        <w:trPr>
          <w:trHeight w:val="259"/>
        </w:trPr>
        <w:tc>
          <w:tcPr>
            <w:tcW w:w="3119" w:type="dxa"/>
          </w:tcPr>
          <w:p w14:paraId="74334C78" w14:textId="77777777" w:rsidR="00B67D7C" w:rsidRPr="00DE096C" w:rsidRDefault="00B67D7C" w:rsidP="00D45A46">
            <w:pPr>
              <w:shd w:val="clear" w:color="auto" w:fill="FFFFFF"/>
              <w:jc w:val="both"/>
              <w:rPr>
                <w:bCs/>
                <w:color w:val="002060"/>
                <w:sz w:val="16"/>
                <w:szCs w:val="16"/>
              </w:rPr>
            </w:pPr>
          </w:p>
        </w:tc>
        <w:tc>
          <w:tcPr>
            <w:tcW w:w="865" w:type="dxa"/>
            <w:gridSpan w:val="2"/>
          </w:tcPr>
          <w:p w14:paraId="6F09941F" w14:textId="77777777" w:rsidR="00B67D7C" w:rsidRPr="00DE096C" w:rsidRDefault="00B67D7C" w:rsidP="00D45A46">
            <w:pPr>
              <w:shd w:val="clear" w:color="auto" w:fill="FFFFFF"/>
              <w:jc w:val="both"/>
              <w:rPr>
                <w:bCs/>
                <w:color w:val="002060"/>
                <w:sz w:val="16"/>
                <w:szCs w:val="16"/>
              </w:rPr>
            </w:pPr>
          </w:p>
        </w:tc>
        <w:tc>
          <w:tcPr>
            <w:tcW w:w="1403" w:type="dxa"/>
          </w:tcPr>
          <w:p w14:paraId="5D84654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[ВСЕГО:]</w:t>
            </w:r>
          </w:p>
        </w:tc>
        <w:tc>
          <w:tcPr>
            <w:tcW w:w="1660" w:type="dxa"/>
            <w:gridSpan w:val="2"/>
          </w:tcPr>
          <w:p w14:paraId="3B2DD33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29 91 1 руб. 54 коп.</w:t>
            </w:r>
          </w:p>
        </w:tc>
        <w:tc>
          <w:tcPr>
            <w:tcW w:w="891" w:type="dxa"/>
          </w:tcPr>
          <w:p w14:paraId="680CEC4D" w14:textId="77777777" w:rsidR="00B67D7C" w:rsidRPr="00DE096C" w:rsidRDefault="00B67D7C" w:rsidP="00D45A46">
            <w:pPr>
              <w:shd w:val="clear" w:color="auto" w:fill="FFFFFF"/>
              <w:jc w:val="both"/>
              <w:rPr>
                <w:bCs/>
                <w:color w:val="002060"/>
                <w:sz w:val="16"/>
                <w:szCs w:val="16"/>
              </w:rPr>
            </w:pPr>
          </w:p>
        </w:tc>
      </w:tr>
    </w:tbl>
    <w:p w14:paraId="625A7D6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Кроме приведенного выше предположения распределения заказов на аэропланы, является желательным приобрести наличной покупкойнекоторое количество аэропла</w:t>
      </w:r>
      <w:r w:rsidRPr="00DE096C">
        <w:rPr>
          <w:bCs/>
          <w:color w:val="002060"/>
          <w:sz w:val="16"/>
          <w:szCs w:val="16"/>
        </w:rPr>
        <w:softHyphen/>
        <w:t>нов для пополнения уже создавшегося некомплекта аэропланов в авиационных отрядах из-за исключительных аварий, вызвавших полное уничтожение аппарата и капитальное повреждение мотора.</w:t>
      </w:r>
    </w:p>
    <w:p w14:paraId="448930C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Предложения на приобретение готовых аэропланов поступили со стороны акционер</w:t>
      </w:r>
      <w:r w:rsidRPr="00DE096C">
        <w:rPr>
          <w:bCs/>
          <w:color w:val="002060"/>
          <w:sz w:val="16"/>
          <w:szCs w:val="16"/>
        </w:rPr>
        <w:softHyphen/>
        <w:t>ного общества «Дукс» Ю. А. Меллера и Одесского аэроклуба.</w:t>
      </w:r>
    </w:p>
    <w:p w14:paraId="5E213F1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Первая фирма предлагает заявлением своим от 5 февраля 1914 один аэроплан .двухме</w:t>
      </w:r>
      <w:r w:rsidRPr="00DE096C">
        <w:rPr>
          <w:bCs/>
          <w:color w:val="002060"/>
          <w:sz w:val="16"/>
          <w:szCs w:val="16"/>
        </w:rPr>
        <w:softHyphen/>
        <w:t>стный системы «Ньюпор» с 70-сильным мотором за 7500 руб., один аэроплан, двухмест</w:t>
      </w:r>
      <w:r w:rsidRPr="00DE096C">
        <w:rPr>
          <w:bCs/>
          <w:color w:val="002060"/>
          <w:sz w:val="16"/>
          <w:szCs w:val="16"/>
        </w:rPr>
        <w:softHyphen/>
        <w:t>ный, с мотором «Гном» в 80 сил за 8 тыс. руб., один аэроплан учебный системы Депер-дюссена с мотором в 50 сил за 6500 рублей.</w:t>
      </w:r>
    </w:p>
    <w:p w14:paraId="3C7F79A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Второе - предложение Одесским аэроклубом одного аэроплана системы «Фармана» № 22 бис за 9 тыс. рублей.</w:t>
      </w:r>
    </w:p>
    <w:p w14:paraId="0169E88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При даче настоящего заказа на основании мотивов, изложенных в представлении Главного управления Генерального штаба от 25 октября 1913 г. за № 4203**, вышепои</w:t>
      </w:r>
      <w:r w:rsidRPr="00DE096C">
        <w:rPr>
          <w:bCs/>
          <w:color w:val="002060"/>
          <w:sz w:val="16"/>
          <w:szCs w:val="16"/>
        </w:rPr>
        <w:softHyphen/>
        <w:t>менованным фирмам полагалось бы предоставить установку на заказываемых аппаратах наряду с моторами «Гном» точно так же установку моторов систем «Клерже» и «Калеп», ограничив число моторов двух последних типов 25 % от общего числа заказываемых ап</w:t>
      </w:r>
      <w:r w:rsidRPr="00DE096C">
        <w:rPr>
          <w:bCs/>
          <w:color w:val="002060"/>
          <w:sz w:val="16"/>
          <w:szCs w:val="16"/>
        </w:rPr>
        <w:softHyphen/>
        <w:t>паратов с ротационными моторами.</w:t>
      </w:r>
    </w:p>
    <w:p w14:paraId="5709A6F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Уплату заводам денег за выполнение настоящего заказа полагалось бы производить на основаниях, утвержденных Военным советом по журналу от 2 ноября 1913 г., т. е. уплачи</w:t>
      </w:r>
      <w:r w:rsidRPr="00DE096C">
        <w:rPr>
          <w:bCs/>
          <w:color w:val="002060"/>
          <w:sz w:val="16"/>
          <w:szCs w:val="16"/>
        </w:rPr>
        <w:softHyphen/>
        <w:t>вать заводам по испытании и приемке для него каждого двигателя и по получении от него сохранной расписки половину стоимости соответственного аэроплана; четверть стоимос</w:t>
      </w:r>
      <w:r w:rsidRPr="00DE096C">
        <w:rPr>
          <w:bCs/>
          <w:color w:val="002060"/>
          <w:sz w:val="16"/>
          <w:szCs w:val="16"/>
        </w:rPr>
        <w:softHyphen/>
        <w:t>ти уплачивать по окончательном изготовлении аэроплана и освидетельствовании его на заводе и последнюю четверть стоимости аппарата выдавать по приемке аэроплана в поле</w:t>
      </w:r>
      <w:r w:rsidRPr="00DE096C">
        <w:rPr>
          <w:bCs/>
          <w:color w:val="002060"/>
          <w:sz w:val="16"/>
          <w:szCs w:val="16"/>
        </w:rPr>
        <w:softHyphen/>
        <w:t>те, его укупорке и сдаче заводом для отправки на железную дорогу или представлении соответственной квитанции о сдачи его в центральный воздухоплавательный склад.</w:t>
      </w:r>
    </w:p>
    <w:p w14:paraId="2856D5C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lastRenderedPageBreak/>
        <w:t>За аппараты, поставленные без моторов, полагалось бы уплачивать первую половину стоимости аппарата по окончании его постройки и по освидетельствовании его на заво</w:t>
      </w:r>
      <w:r w:rsidRPr="00DE096C">
        <w:rPr>
          <w:bCs/>
          <w:color w:val="002060"/>
          <w:sz w:val="16"/>
          <w:szCs w:val="16"/>
        </w:rPr>
        <w:softHyphen/>
        <w:t>де, вторую же половину уплачивать по испытании этих аппаратов в полете с принадлежа</w:t>
      </w:r>
      <w:r w:rsidRPr="00DE096C">
        <w:rPr>
          <w:bCs/>
          <w:color w:val="002060"/>
          <w:sz w:val="16"/>
          <w:szCs w:val="16"/>
        </w:rPr>
        <w:softHyphen/>
        <w:t>щим казне мотором, их приемке, укупорке и сдаче заводом на железную дорогу для отправки или представлении соответственной квитанции центрального воздухоплава</w:t>
      </w:r>
      <w:r w:rsidRPr="00DE096C">
        <w:rPr>
          <w:bCs/>
          <w:color w:val="002060"/>
          <w:sz w:val="16"/>
          <w:szCs w:val="16"/>
        </w:rPr>
        <w:softHyphen/>
        <w:t>тельного склада.</w:t>
      </w:r>
    </w:p>
    <w:p w14:paraId="2654114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Уплату денег за аппараты, изготовленные за границей, полагалось бы производить следующим порядком: одну треть всей стоимости каждого аэроплана — при представле</w:t>
      </w:r>
      <w:r w:rsidRPr="00DE096C">
        <w:rPr>
          <w:bCs/>
          <w:color w:val="002060"/>
          <w:sz w:val="16"/>
          <w:szCs w:val="16"/>
        </w:rPr>
        <w:softHyphen/>
        <w:t>нии железнодорожных документов или засвидетельствованных копий с них об отправле</w:t>
      </w:r>
      <w:r w:rsidRPr="00DE096C">
        <w:rPr>
          <w:bCs/>
          <w:color w:val="002060"/>
          <w:sz w:val="16"/>
          <w:szCs w:val="16"/>
        </w:rPr>
        <w:softHyphen/>
        <w:t>нии аппаратов с завода и две трети — после их окончательной сдачи в полете,, укупорки и сдаче на железную дорогу для отправки. От внесения залога фирма освобождается.</w:t>
      </w:r>
    </w:p>
    <w:p w14:paraId="0226BBE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Что касается цен, предположенных к заготовке, то следует заметить, что они для аэропланов системы «Депердюссена» с его запасными частями и для запасных частей аппаратов Фармана № 22 бис те же, что и в последнем заказе, разрешенном Военным советом в декабре 1913 года. Цены же на аппараты системы «Моран-Сольнье» (Парасоль) приняты те же, что и для Депердюссена, а на обыкновенный и одноместный аппарат и запасные части - несколько дешевле вследствие более простой конструкции их.</w:t>
      </w:r>
    </w:p>
    <w:p w14:paraId="2303B68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Стоимость аэропланов системы «Фармана» № 22 бис со 100-сильными одноклапан-ными моторами «Гном» определена путем увеличения стоимости этого аэроплана, кото</w:t>
      </w:r>
      <w:r w:rsidRPr="00DE096C">
        <w:rPr>
          <w:bCs/>
          <w:color w:val="002060"/>
          <w:sz w:val="16"/>
          <w:szCs w:val="16"/>
        </w:rPr>
        <w:softHyphen/>
        <w:t>рый ранее заказывался с 80-сильным мотором, на разницу стоимости 100-сильного мо</w:t>
      </w:r>
      <w:r w:rsidRPr="00DE096C">
        <w:rPr>
          <w:bCs/>
          <w:color w:val="002060"/>
          <w:sz w:val="16"/>
          <w:szCs w:val="16"/>
        </w:rPr>
        <w:softHyphen/>
        <w:t>тора этой новой системы, и может быть признана не преувеличенной.</w:t>
      </w:r>
    </w:p>
    <w:p w14:paraId="607F486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Стоимость аэропланов системы «Сикорского» хотя и более примерно на 1 тыс, руб. соответственных аппаратов других систем, но ввиду его более сложной конструкции и в целях поощрения разработки русских систем аэропланов можно было бы признать ее приемлемой.</w:t>
      </w:r>
    </w:p>
    <w:p w14:paraId="0E0A11C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Стоимость учебных аэропланов без моторов, которые представляют [собой] в сущно</w:t>
      </w:r>
      <w:r w:rsidRPr="00DE096C">
        <w:rPr>
          <w:bCs/>
          <w:color w:val="002060"/>
          <w:sz w:val="16"/>
          <w:szCs w:val="16"/>
        </w:rPr>
        <w:softHyphen/>
        <w:t>сти тот же строевой аппарат, даже с некоторыми добавочными частями (лишнее колесо), составляет примерно цену строевого аппарата, если вычесть из нее стоимость мотора. Эту стоимость надо считать правильной.</w:t>
      </w:r>
    </w:p>
    <w:p w14:paraId="3357EDA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Стоимость аппаратов системы «Вуазена». как несущих более мощный мотор и пред</w:t>
      </w:r>
      <w:r w:rsidRPr="00DE096C">
        <w:rPr>
          <w:bCs/>
          <w:color w:val="002060"/>
          <w:sz w:val="16"/>
          <w:szCs w:val="16"/>
        </w:rPr>
        <w:softHyphen/>
        <w:t>ставляющих по конструкции сложную систему, надо считать соответственной; различие же в стоимости между аппаратами заграничного изготовления и строящимися в России составляет уплата за право постройки, определенная фирмой Вуазена в 3 тыс, франков с каждого аппарата, построенного в России.</w:t>
      </w:r>
    </w:p>
    <w:p w14:paraId="4F44357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Стоимость комплектов запасных частей к аэропланам, как уже было сказано выше, нельзя признать преувеличенной, так как она или равна, или ниже [цен], ранее утверж</w:t>
      </w:r>
      <w:r w:rsidRPr="00DE096C">
        <w:rPr>
          <w:bCs/>
          <w:color w:val="002060"/>
          <w:sz w:val="16"/>
          <w:szCs w:val="16"/>
        </w:rPr>
        <w:softHyphen/>
        <w:t>денных к заказу Военным советом.</w:t>
      </w:r>
    </w:p>
    <w:p w14:paraId="06C5143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При выполнении настоящей заготовки русскими заводами является необходимость разрешить им выписку из-за границы некоторых мелких частей и материалов, не имею</w:t>
      </w:r>
      <w:r w:rsidRPr="00DE096C">
        <w:rPr>
          <w:bCs/>
          <w:color w:val="002060"/>
          <w:sz w:val="16"/>
          <w:szCs w:val="16"/>
        </w:rPr>
        <w:softHyphen/>
        <w:t>щихся в России, по примерному расчету не свыше 800 руб. на аэроплан, а также приобре</w:t>
      </w:r>
      <w:r w:rsidRPr="00DE096C">
        <w:rPr>
          <w:bCs/>
          <w:color w:val="002060"/>
          <w:sz w:val="16"/>
          <w:szCs w:val="16"/>
        </w:rPr>
        <w:softHyphen/>
        <w:t>сти часть необходимых моторов, превышающую по сроку поставки аппаратов произво</w:t>
      </w:r>
      <w:r w:rsidRPr="00DE096C">
        <w:rPr>
          <w:bCs/>
          <w:color w:val="002060"/>
          <w:sz w:val="16"/>
          <w:szCs w:val="16"/>
        </w:rPr>
        <w:softHyphen/>
        <w:t>дительность русских заводов Калепа в Риге и отделения «Гном» в Москве, а также мото</w:t>
      </w:r>
      <w:r w:rsidRPr="00DE096C">
        <w:rPr>
          <w:bCs/>
          <w:color w:val="002060"/>
          <w:sz w:val="16"/>
          <w:szCs w:val="16"/>
        </w:rPr>
        <w:softHyphen/>
        <w:t>ров систем, вовсе не изготовляемых пока в России, как-то: «Клерже». «Гном» однокла-панный и «Сальмсон».</w:t>
      </w:r>
    </w:p>
    <w:p w14:paraId="51A55BF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Согласие Министерства торговли и промышленности на приобретение за границей опытных аэропланов и вышеупомянутых предметов имеется.</w:t>
      </w:r>
    </w:p>
    <w:p w14:paraId="4FC618B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За заготовлением заказанных аэропланов и винтов к ним и для производства испыта</w:t>
      </w:r>
      <w:r w:rsidRPr="00DE096C">
        <w:rPr>
          <w:bCs/>
          <w:color w:val="002060"/>
          <w:sz w:val="16"/>
          <w:szCs w:val="16"/>
        </w:rPr>
        <w:softHyphen/>
        <w:t>ний двигателей является необходимым, ввиду ответственной службы этих предметов, установить технический надзор подобно тому, как это производилось до настоящего времени по исполняемым ныне заказам.</w:t>
      </w:r>
    </w:p>
    <w:p w14:paraId="7DAE828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Для этой цели полагалось бы назначить 8 подготовленных к сему офицеров, пре</w:t>
      </w:r>
      <w:r w:rsidRPr="00DE096C">
        <w:rPr>
          <w:bCs/>
          <w:color w:val="002060"/>
          <w:sz w:val="16"/>
          <w:szCs w:val="16"/>
        </w:rPr>
        <w:softHyphen/>
        <w:t>имущественно из военных летчиков (на 4 аэропланостроительных завода: на завод «Гном» в Москве, на завод «Калеп» в Риге, на русский завод воздушных винтов и на завод Вуазе</w:t>
      </w:r>
      <w:r w:rsidRPr="00DE096C">
        <w:rPr>
          <w:bCs/>
          <w:color w:val="002060"/>
          <w:sz w:val="16"/>
          <w:szCs w:val="16"/>
        </w:rPr>
        <w:softHyphen/>
        <w:t>на во Франции) с выдачей каждому из них по 80 руб. в месяц.</w:t>
      </w:r>
    </w:p>
    <w:p w14:paraId="2AD2B71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На выдачу таковых денег на командирование наблюдающих и членов комиссии на заводы, расположенные вне Петербурга и за границей, на доставку запасных частей из Франции со страховкой их, на расходы по приемке аэропланов заграничной постройки в России, на печатание чертежей, бланок*, технических условий, на выполнение перево</w:t>
      </w:r>
      <w:r w:rsidRPr="00DE096C">
        <w:rPr>
          <w:bCs/>
          <w:color w:val="002060"/>
          <w:sz w:val="16"/>
          <w:szCs w:val="16"/>
        </w:rPr>
        <w:softHyphen/>
        <w:t>дов с иностранных языков и на прочие мелкие расходы, вызываемые настоящей заготов</w:t>
      </w:r>
      <w:r w:rsidRPr="00DE096C">
        <w:rPr>
          <w:bCs/>
          <w:color w:val="002060"/>
          <w:sz w:val="16"/>
          <w:szCs w:val="16"/>
        </w:rPr>
        <w:softHyphen/>
        <w:t>кой, полагалось бы разрешить техническому отделу Главного военно-технического уп</w:t>
      </w:r>
      <w:r w:rsidRPr="00DE096C">
        <w:rPr>
          <w:bCs/>
          <w:color w:val="002060"/>
          <w:sz w:val="16"/>
          <w:szCs w:val="16"/>
        </w:rPr>
        <w:softHyphen/>
        <w:t>равления израсходовать до 19 тыс. рублей.</w:t>
      </w:r>
    </w:p>
    <w:p w14:paraId="70C7720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ЗАКОН: статья 78, книга 1 Свода военых постановлений 1869 г., издание 3.</w:t>
      </w:r>
    </w:p>
    <w:p w14:paraId="2E6E73F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&lt;...&gt;</w:t>
      </w:r>
    </w:p>
    <w:p w14:paraId="5E63F3F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За начальника Главного военно-технического управления генерал-лейтенант Иванов</w:t>
      </w:r>
    </w:p>
    <w:p w14:paraId="3B943DA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Начальник отдела генерал-майор Болотов</w:t>
      </w:r>
    </w:p>
    <w:p w14:paraId="410D019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Пометы: «Доложить Военному совету 29 марта 1914 г.»; «Утверждено, но относитель</w:t>
      </w:r>
      <w:r w:rsidRPr="00DE096C">
        <w:rPr>
          <w:bCs/>
          <w:color w:val="002060"/>
          <w:sz w:val="16"/>
          <w:szCs w:val="16"/>
        </w:rPr>
        <w:softHyphen/>
        <w:t>но заказа аппаратов Вуазена и мелких частей за границей другим заводам испросить высочайшее соизволение».</w:t>
      </w:r>
    </w:p>
    <w:p w14:paraId="2B03996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РГВИА. Ф. 29. Оп. 3. Д. 861. Л. 28-33 об. Подлинник (10707,460).</w:t>
      </w:r>
    </w:p>
    <w:p w14:paraId="44202B07" w14:textId="48FB823B" w:rsidR="00B67D7C" w:rsidRPr="00DE096C" w:rsidRDefault="00B67D7C" w:rsidP="00D45A46">
      <w:pPr>
        <w:shd w:val="clear" w:color="auto" w:fill="FFFFFF"/>
        <w:jc w:val="both"/>
        <w:rPr>
          <w:bCs/>
          <w:color w:val="002060"/>
          <w:sz w:val="16"/>
          <w:szCs w:val="16"/>
        </w:rPr>
      </w:pPr>
    </w:p>
    <w:p w14:paraId="73BFE93F" w14:textId="12FC0160" w:rsidR="00C90A2B" w:rsidRPr="00DE096C" w:rsidRDefault="00C90A2B" w:rsidP="00D45A46">
      <w:pPr>
        <w:shd w:val="clear" w:color="auto" w:fill="FFFFFF"/>
        <w:jc w:val="both"/>
        <w:rPr>
          <w:bCs/>
          <w:i/>
          <w:iCs/>
          <w:color w:val="002060"/>
          <w:sz w:val="16"/>
          <w:szCs w:val="16"/>
        </w:rPr>
      </w:pPr>
      <w:r w:rsidRPr="00DE096C">
        <w:rPr>
          <w:bCs/>
          <w:i/>
          <w:iCs/>
          <w:color w:val="002060"/>
          <w:sz w:val="16"/>
          <w:szCs w:val="16"/>
        </w:rPr>
        <w:t>Самолетостроение:</w:t>
      </w:r>
    </w:p>
    <w:p w14:paraId="2E03C9DD" w14:textId="77777777" w:rsidR="00C90A2B" w:rsidRPr="00DE096C" w:rsidRDefault="00C90A2B" w:rsidP="00D45A46">
      <w:pPr>
        <w:shd w:val="clear" w:color="auto" w:fill="FFFFFF"/>
        <w:jc w:val="both"/>
        <w:rPr>
          <w:bCs/>
          <w:i/>
          <w:iCs/>
          <w:color w:val="002060"/>
          <w:sz w:val="16"/>
          <w:szCs w:val="16"/>
        </w:rPr>
      </w:pPr>
    </w:p>
    <w:p w14:paraId="211F9100" w14:textId="32348491" w:rsidR="000B3344" w:rsidRPr="00DE096C" w:rsidRDefault="000B3344" w:rsidP="00D45A46">
      <w:pPr>
        <w:jc w:val="both"/>
        <w:rPr>
          <w:bCs/>
          <w:color w:val="002060"/>
          <w:sz w:val="16"/>
          <w:szCs w:val="16"/>
        </w:rPr>
      </w:pPr>
      <w:r w:rsidRPr="00DE096C">
        <w:rPr>
          <w:bCs/>
          <w:color w:val="002060"/>
          <w:sz w:val="16"/>
          <w:szCs w:val="16"/>
        </w:rPr>
        <w:t xml:space="preserve">27 марта </w:t>
      </w:r>
      <w:r w:rsidR="00C90A2B" w:rsidRPr="00DE096C">
        <w:rPr>
          <w:bCs/>
          <w:color w:val="002060"/>
          <w:sz w:val="16"/>
          <w:szCs w:val="16"/>
        </w:rPr>
        <w:t xml:space="preserve">(9 апреля) </w:t>
      </w:r>
      <w:r w:rsidRPr="00DE096C">
        <w:rPr>
          <w:bCs/>
          <w:color w:val="002060"/>
          <w:sz w:val="16"/>
          <w:szCs w:val="16"/>
        </w:rPr>
        <w:t>в 1914 году И.И.Сикорский на своем самолете "С-6" установил мировой рекорд скорости. На биплане "С-6", корпус которого был обшит тонкими, тщательно отполированными и покрытыми лаком деревянными дощечками, в результате чего самолет приобрел обтекаемую форму, Сикорскому удалось установить мировые рекорды скорости: с двумя пассажирами на борту - 111 км/ч, с пятью - 106 км/ч. На протяжении двух лет аэропланы Сикорского завоевывали главные призы на состязаниях военных самолетов (15081).</w:t>
      </w:r>
    </w:p>
    <w:p w14:paraId="530A5E3A" w14:textId="77777777" w:rsidR="000B3344" w:rsidRPr="00DE096C" w:rsidRDefault="000B3344" w:rsidP="00D45A46">
      <w:pPr>
        <w:jc w:val="both"/>
        <w:rPr>
          <w:bCs/>
          <w:color w:val="002060"/>
          <w:sz w:val="16"/>
          <w:szCs w:val="16"/>
        </w:rPr>
      </w:pPr>
    </w:p>
    <w:p w14:paraId="4FCDBDDF"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Другие оборонные отрасли:</w:t>
      </w:r>
    </w:p>
    <w:p w14:paraId="22F9F5F2" w14:textId="77777777" w:rsidR="00B67D7C" w:rsidRPr="00DE096C" w:rsidRDefault="00B67D7C" w:rsidP="00D45A46">
      <w:pPr>
        <w:shd w:val="clear" w:color="auto" w:fill="FFFFFF"/>
        <w:jc w:val="both"/>
        <w:rPr>
          <w:bCs/>
          <w:i/>
          <w:color w:val="002060"/>
          <w:sz w:val="16"/>
          <w:szCs w:val="16"/>
        </w:rPr>
      </w:pPr>
    </w:p>
    <w:p w14:paraId="390ABFF2" w14:textId="582866DA" w:rsidR="00C90A2B" w:rsidRPr="00DE096C" w:rsidRDefault="00C90A2B" w:rsidP="00D45A46">
      <w:pPr>
        <w:jc w:val="both"/>
        <w:rPr>
          <w:bCs/>
          <w:color w:val="002060"/>
          <w:sz w:val="16"/>
          <w:szCs w:val="16"/>
        </w:rPr>
      </w:pPr>
      <w:r w:rsidRPr="00DE096C">
        <w:rPr>
          <w:bCs/>
          <w:color w:val="002060"/>
          <w:sz w:val="16"/>
          <w:szCs w:val="16"/>
        </w:rPr>
        <w:t>27 марта (9 апреля) и 13 (26) 1914 г. согласно Положению Военного совета и Закону от 24 июня 1914 г. о строительстве 4-го Тамбовского порохового завода было начато строительство завода и поселка для рабочих (в н. в. г. Котовск). С осени 1916 г. завод начал производить порох. В период Гражданской войны завод пришел в упадок, затем восстановлен как номерной (завод N 204), в н. в. - Котовский завод пластмасс.</w:t>
      </w:r>
    </w:p>
    <w:p w14:paraId="6C7278A9" w14:textId="77777777" w:rsidR="00C90A2B" w:rsidRPr="00DE096C" w:rsidRDefault="00C90A2B" w:rsidP="00D45A46">
      <w:pPr>
        <w:jc w:val="both"/>
        <w:rPr>
          <w:bCs/>
          <w:color w:val="002060"/>
          <w:sz w:val="16"/>
          <w:szCs w:val="16"/>
        </w:rPr>
      </w:pPr>
      <w:r w:rsidRPr="00DE096C">
        <w:rPr>
          <w:bCs/>
          <w:color w:val="002060"/>
          <w:sz w:val="16"/>
          <w:szCs w:val="16"/>
        </w:rPr>
        <w:t>Циркуляры и предписания Главного артиллерийского управления (1916 - 1919). Копии приказов по Московскому военному округу и войскам Тамбовского гарнизона (1914 - 1917). Ф. 98 , 206 ед. хр. , 1913 - 1926гг. , описи (11744)/</w:t>
      </w:r>
    </w:p>
    <w:p w14:paraId="7E8BCBC0" w14:textId="77777777" w:rsidR="00C90A2B" w:rsidRPr="00DE096C" w:rsidRDefault="00C90A2B" w:rsidP="00D45A46">
      <w:pPr>
        <w:shd w:val="clear" w:color="auto" w:fill="FFFFFF"/>
        <w:jc w:val="both"/>
        <w:rPr>
          <w:bCs/>
          <w:i/>
          <w:color w:val="002060"/>
          <w:sz w:val="16"/>
          <w:szCs w:val="16"/>
        </w:rPr>
      </w:pPr>
    </w:p>
    <w:p w14:paraId="212D0F87"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w:t>
      </w:r>
    </w:p>
    <w:p w14:paraId="58B979CB" w14:textId="77777777" w:rsidR="00B67D7C" w:rsidRPr="00DE096C" w:rsidRDefault="00B67D7C" w:rsidP="00D45A46">
      <w:pPr>
        <w:shd w:val="clear" w:color="auto" w:fill="FFFFFF"/>
        <w:jc w:val="both"/>
        <w:rPr>
          <w:bCs/>
          <w:i/>
          <w:color w:val="002060"/>
          <w:sz w:val="16"/>
          <w:szCs w:val="16"/>
        </w:rPr>
      </w:pPr>
    </w:p>
    <w:p w14:paraId="5E825316" w14:textId="73A16442" w:rsidR="00B67D7C" w:rsidRPr="00DE096C" w:rsidRDefault="00B67D7C" w:rsidP="00D45A46">
      <w:pPr>
        <w:jc w:val="both"/>
        <w:rPr>
          <w:bCs/>
          <w:color w:val="002060"/>
          <w:sz w:val="16"/>
          <w:szCs w:val="16"/>
        </w:rPr>
      </w:pPr>
      <w:r w:rsidRPr="00DE096C">
        <w:rPr>
          <w:bCs/>
          <w:color w:val="002060"/>
          <w:sz w:val="16"/>
          <w:szCs w:val="16"/>
        </w:rPr>
        <w:t xml:space="preserve">28 марта (10 апреля) 1914 г. </w:t>
      </w:r>
      <w:r w:rsidR="00C90A2B" w:rsidRPr="00DE096C">
        <w:rPr>
          <w:bCs/>
          <w:color w:val="002060"/>
          <w:sz w:val="16"/>
          <w:szCs w:val="16"/>
        </w:rPr>
        <w:t xml:space="preserve">в пятницу </w:t>
      </w:r>
      <w:r w:rsidRPr="00DE096C">
        <w:rPr>
          <w:bCs/>
          <w:color w:val="002060"/>
          <w:sz w:val="16"/>
          <w:szCs w:val="16"/>
        </w:rPr>
        <w:t xml:space="preserve">в актовом зале Института инженеров путей сообщения состоится L-е заседание кружка для изучения воздухоплавания в институте по случаю пятилетия существования кружка. </w:t>
      </w:r>
    </w:p>
    <w:p w14:paraId="48BA53E0" w14:textId="77777777" w:rsidR="00B67D7C" w:rsidRPr="00DE096C" w:rsidRDefault="00B67D7C" w:rsidP="00D45A46">
      <w:pPr>
        <w:jc w:val="both"/>
        <w:rPr>
          <w:bCs/>
          <w:color w:val="002060"/>
          <w:sz w:val="16"/>
          <w:szCs w:val="16"/>
        </w:rPr>
      </w:pPr>
      <w:r w:rsidRPr="00DE096C">
        <w:rPr>
          <w:bCs/>
          <w:color w:val="002060"/>
          <w:sz w:val="16"/>
          <w:szCs w:val="16"/>
        </w:rPr>
        <w:t>Программа:</w:t>
      </w:r>
    </w:p>
    <w:p w14:paraId="2F308CE5" w14:textId="77777777" w:rsidR="00B67D7C" w:rsidRPr="00DE096C" w:rsidRDefault="00B67D7C" w:rsidP="00D45A46">
      <w:pPr>
        <w:jc w:val="both"/>
        <w:rPr>
          <w:bCs/>
          <w:color w:val="002060"/>
          <w:sz w:val="16"/>
          <w:szCs w:val="16"/>
        </w:rPr>
      </w:pPr>
      <w:r w:rsidRPr="00DE096C">
        <w:rPr>
          <w:bCs/>
          <w:color w:val="002060"/>
          <w:sz w:val="16"/>
          <w:szCs w:val="16"/>
        </w:rPr>
        <w:t xml:space="preserve">I отделение - </w:t>
      </w:r>
    </w:p>
    <w:p w14:paraId="749A02D5" w14:textId="77777777" w:rsidR="00B67D7C" w:rsidRPr="00DE096C" w:rsidRDefault="00B67D7C" w:rsidP="00D45A46">
      <w:pPr>
        <w:jc w:val="both"/>
        <w:rPr>
          <w:bCs/>
          <w:color w:val="002060"/>
          <w:sz w:val="16"/>
          <w:szCs w:val="16"/>
        </w:rPr>
      </w:pPr>
      <w:r w:rsidRPr="00DE096C">
        <w:rPr>
          <w:bCs/>
          <w:color w:val="002060"/>
          <w:sz w:val="16"/>
          <w:szCs w:val="16"/>
        </w:rPr>
        <w:t xml:space="preserve">1) задачи кружка, студ. Б. П. Карачан, </w:t>
      </w:r>
    </w:p>
    <w:p w14:paraId="536B96D2" w14:textId="77777777" w:rsidR="00B67D7C" w:rsidRPr="00DE096C" w:rsidRDefault="00B67D7C" w:rsidP="00D45A46">
      <w:pPr>
        <w:jc w:val="both"/>
        <w:rPr>
          <w:bCs/>
          <w:color w:val="002060"/>
          <w:sz w:val="16"/>
          <w:szCs w:val="16"/>
        </w:rPr>
      </w:pPr>
      <w:r w:rsidRPr="00DE096C">
        <w:rPr>
          <w:bCs/>
          <w:color w:val="002060"/>
          <w:sz w:val="16"/>
          <w:szCs w:val="16"/>
        </w:rPr>
        <w:t xml:space="preserve">2) обзор пятилетней деятельности кружка, студ. Б. Ф. Глазунов, </w:t>
      </w:r>
    </w:p>
    <w:p w14:paraId="6185D06D" w14:textId="77777777" w:rsidR="00B67D7C" w:rsidRPr="00DE096C" w:rsidRDefault="00B67D7C" w:rsidP="00D45A46">
      <w:pPr>
        <w:jc w:val="both"/>
        <w:rPr>
          <w:bCs/>
          <w:color w:val="002060"/>
          <w:sz w:val="16"/>
          <w:szCs w:val="16"/>
        </w:rPr>
      </w:pPr>
      <w:r w:rsidRPr="00DE096C">
        <w:rPr>
          <w:bCs/>
          <w:color w:val="002060"/>
          <w:sz w:val="16"/>
          <w:szCs w:val="16"/>
        </w:rPr>
        <w:t xml:space="preserve">3) давление ветра на решетки, адъюнкт Н. А. Рынин; </w:t>
      </w:r>
    </w:p>
    <w:p w14:paraId="6599D324" w14:textId="77777777" w:rsidR="00B67D7C" w:rsidRPr="00DE096C" w:rsidRDefault="00B67D7C" w:rsidP="00D45A46">
      <w:pPr>
        <w:jc w:val="both"/>
        <w:rPr>
          <w:bCs/>
          <w:color w:val="002060"/>
          <w:sz w:val="16"/>
          <w:szCs w:val="16"/>
        </w:rPr>
      </w:pPr>
      <w:r w:rsidRPr="00DE096C">
        <w:rPr>
          <w:bCs/>
          <w:color w:val="002060"/>
          <w:sz w:val="16"/>
          <w:szCs w:val="16"/>
        </w:rPr>
        <w:t>перерыв 15 мин.;</w:t>
      </w:r>
    </w:p>
    <w:p w14:paraId="5945FB58" w14:textId="77777777" w:rsidR="00B67D7C" w:rsidRPr="00DE096C" w:rsidRDefault="00B67D7C" w:rsidP="00D45A46">
      <w:pPr>
        <w:jc w:val="both"/>
        <w:rPr>
          <w:bCs/>
          <w:color w:val="002060"/>
          <w:sz w:val="16"/>
          <w:szCs w:val="16"/>
        </w:rPr>
      </w:pPr>
      <w:r w:rsidRPr="00DE096C">
        <w:rPr>
          <w:bCs/>
          <w:color w:val="002060"/>
          <w:sz w:val="16"/>
          <w:szCs w:val="16"/>
        </w:rPr>
        <w:t xml:space="preserve">II отделение - </w:t>
      </w:r>
    </w:p>
    <w:p w14:paraId="6CC8550E" w14:textId="77777777" w:rsidR="00B67D7C" w:rsidRPr="00DE096C" w:rsidRDefault="00B67D7C" w:rsidP="00D45A46">
      <w:pPr>
        <w:jc w:val="both"/>
        <w:rPr>
          <w:bCs/>
          <w:color w:val="002060"/>
          <w:sz w:val="16"/>
          <w:szCs w:val="16"/>
        </w:rPr>
      </w:pPr>
      <w:r w:rsidRPr="00DE096C">
        <w:rPr>
          <w:bCs/>
          <w:color w:val="002060"/>
          <w:sz w:val="16"/>
          <w:szCs w:val="16"/>
        </w:rPr>
        <w:t xml:space="preserve">4) давление ветра на шары в связи с опытным изучением закона подобия, студ. С. Г. Хорьков, </w:t>
      </w:r>
    </w:p>
    <w:p w14:paraId="5C73DE1D" w14:textId="77777777" w:rsidR="00B67D7C" w:rsidRPr="00DE096C" w:rsidRDefault="00B67D7C" w:rsidP="00D45A46">
      <w:pPr>
        <w:jc w:val="both"/>
        <w:rPr>
          <w:bCs/>
          <w:color w:val="002060"/>
          <w:sz w:val="16"/>
          <w:szCs w:val="16"/>
        </w:rPr>
      </w:pPr>
      <w:r w:rsidRPr="00DE096C">
        <w:rPr>
          <w:bCs/>
          <w:color w:val="002060"/>
          <w:sz w:val="16"/>
          <w:szCs w:val="16"/>
        </w:rPr>
        <w:t xml:space="preserve">5) опыты в лаборатории с давлением ветра на здания, студ. С. Н. Лелявский, </w:t>
      </w:r>
    </w:p>
    <w:p w14:paraId="641CEB41" w14:textId="77777777" w:rsidR="00B67D7C" w:rsidRPr="00DE096C" w:rsidRDefault="00B67D7C" w:rsidP="00D45A46">
      <w:pPr>
        <w:jc w:val="both"/>
        <w:rPr>
          <w:bCs/>
          <w:color w:val="002060"/>
          <w:sz w:val="16"/>
          <w:szCs w:val="16"/>
        </w:rPr>
      </w:pPr>
      <w:r w:rsidRPr="00DE096C">
        <w:rPr>
          <w:bCs/>
          <w:color w:val="002060"/>
          <w:sz w:val="16"/>
          <w:szCs w:val="16"/>
        </w:rPr>
        <w:t xml:space="preserve">6) о новых идеях и методах в аэрологии, преподаватель А. А. Фридман. </w:t>
      </w:r>
    </w:p>
    <w:p w14:paraId="447A0BF5" w14:textId="77777777" w:rsidR="00B67D7C" w:rsidRPr="00DE096C" w:rsidRDefault="00B67D7C" w:rsidP="00D45A46">
      <w:pPr>
        <w:jc w:val="both"/>
        <w:rPr>
          <w:bCs/>
          <w:color w:val="002060"/>
          <w:sz w:val="16"/>
          <w:szCs w:val="16"/>
        </w:rPr>
      </w:pPr>
      <w:r w:rsidRPr="00DE096C">
        <w:rPr>
          <w:bCs/>
          <w:color w:val="002060"/>
          <w:sz w:val="16"/>
          <w:szCs w:val="16"/>
        </w:rPr>
        <w:t>Сообщения будут иллюстрированы диапозитивами, чертежами и фотографиями. Вход для инженеров и студентов Института свободный. Начало в 8 часов вечера.</w:t>
      </w:r>
      <w:r w:rsidRPr="00DE096C">
        <w:rPr>
          <w:bCs/>
          <w:color w:val="002060"/>
          <w:sz w:val="16"/>
          <w:szCs w:val="16"/>
          <w:vertAlign w:val="superscript"/>
        </w:rPr>
        <w:t>18</w:t>
      </w:r>
    </w:p>
    <w:p w14:paraId="19298CB3" w14:textId="77777777" w:rsidR="00B67D7C" w:rsidRPr="00DE096C" w:rsidRDefault="00B67D7C" w:rsidP="00D45A46">
      <w:pPr>
        <w:jc w:val="both"/>
        <w:rPr>
          <w:bCs/>
          <w:color w:val="002060"/>
          <w:sz w:val="16"/>
          <w:szCs w:val="16"/>
        </w:rPr>
      </w:pPr>
      <w:r w:rsidRPr="00DE096C">
        <w:rPr>
          <w:bCs/>
          <w:color w:val="002060"/>
          <w:sz w:val="16"/>
          <w:szCs w:val="16"/>
          <w:vertAlign w:val="superscript"/>
        </w:rPr>
        <w:t>17</w:t>
      </w:r>
      <w:r w:rsidRPr="00DE096C">
        <w:rPr>
          <w:bCs/>
          <w:color w:val="002060"/>
          <w:sz w:val="16"/>
          <w:szCs w:val="16"/>
        </w:rPr>
        <w:t xml:space="preserve"> Преподавание воздухоплавания и деятельность кружка для изучения воздухоплавания в Институте путей сообщения... </w:t>
      </w:r>
    </w:p>
    <w:p w14:paraId="6A076892" w14:textId="77777777" w:rsidR="00B67D7C" w:rsidRPr="00DE096C" w:rsidRDefault="00B67D7C" w:rsidP="00D45A46">
      <w:pPr>
        <w:jc w:val="both"/>
        <w:rPr>
          <w:bCs/>
          <w:color w:val="002060"/>
          <w:sz w:val="16"/>
          <w:szCs w:val="16"/>
        </w:rPr>
      </w:pPr>
      <w:r w:rsidRPr="00DE096C">
        <w:rPr>
          <w:bCs/>
          <w:color w:val="002060"/>
          <w:sz w:val="16"/>
          <w:szCs w:val="16"/>
          <w:vertAlign w:val="superscript"/>
        </w:rPr>
        <w:t>18</w:t>
      </w:r>
      <w:r w:rsidRPr="00DE096C">
        <w:rPr>
          <w:bCs/>
          <w:color w:val="002060"/>
          <w:sz w:val="16"/>
          <w:szCs w:val="16"/>
        </w:rPr>
        <w:t xml:space="preserve"> Афиша. Музей ЛИИЖТа, инв. № 6776/13. </w:t>
      </w:r>
    </w:p>
    <w:p w14:paraId="3943960F" w14:textId="77777777" w:rsidR="00B67D7C" w:rsidRPr="00DE096C" w:rsidRDefault="00B67D7C" w:rsidP="00D45A46">
      <w:pPr>
        <w:shd w:val="clear" w:color="auto" w:fill="FFFFFF"/>
        <w:jc w:val="both"/>
        <w:rPr>
          <w:bCs/>
          <w:color w:val="002060"/>
          <w:sz w:val="16"/>
          <w:szCs w:val="16"/>
        </w:rPr>
      </w:pPr>
    </w:p>
    <w:p w14:paraId="520C1154" w14:textId="2633E78F" w:rsidR="00440C55" w:rsidRPr="00DE096C" w:rsidRDefault="00440C55" w:rsidP="00D45A46">
      <w:pPr>
        <w:jc w:val="both"/>
        <w:rPr>
          <w:bCs/>
          <w:color w:val="002060"/>
          <w:sz w:val="16"/>
          <w:szCs w:val="16"/>
        </w:rPr>
      </w:pPr>
      <w:r w:rsidRPr="00DE096C">
        <w:rPr>
          <w:bCs/>
          <w:color w:val="002060"/>
          <w:sz w:val="16"/>
          <w:szCs w:val="16"/>
          <w:lang w:bidi="en-US"/>
        </w:rPr>
        <w:t>28 марта (10 апреля) 1914 г. был отдан приказ о создании Свеаборгской крепости воздухоплавательного отдела в водах Гельсингфорса, в Финском заливе (23525).</w:t>
      </w:r>
    </w:p>
    <w:p w14:paraId="3401A320" w14:textId="77777777" w:rsidR="00440C55" w:rsidRPr="00DE096C" w:rsidRDefault="00440C55" w:rsidP="00D45A46">
      <w:pPr>
        <w:jc w:val="both"/>
        <w:rPr>
          <w:bCs/>
          <w:color w:val="002060"/>
          <w:sz w:val="16"/>
          <w:szCs w:val="16"/>
        </w:rPr>
      </w:pPr>
      <w:r w:rsidRPr="00DE096C">
        <w:rPr>
          <w:bCs/>
          <w:color w:val="002060"/>
          <w:sz w:val="16"/>
          <w:szCs w:val="16"/>
          <w:lang w:bidi="en-US"/>
        </w:rPr>
        <w:t>12 апреля 1914 г. был издан приказ о создании Брест-Литовского воздухоплавательного батальона (бывшая рота); Сибирский авиационный батальон (бывшая рота); 3-я авиационная рота (бывшая секция); и 4-я Сибирская воздухоплавательная рота (23525).</w:t>
      </w:r>
    </w:p>
    <w:p w14:paraId="4D7D1143" w14:textId="77777777" w:rsidR="00440C55" w:rsidRPr="00DE096C" w:rsidRDefault="00440C55" w:rsidP="00D45A46">
      <w:pPr>
        <w:shd w:val="clear" w:color="auto" w:fill="FFFFFF"/>
        <w:jc w:val="both"/>
        <w:rPr>
          <w:bCs/>
          <w:i/>
          <w:color w:val="002060"/>
          <w:sz w:val="16"/>
          <w:szCs w:val="16"/>
        </w:rPr>
      </w:pPr>
    </w:p>
    <w:p w14:paraId="70E0A24D" w14:textId="1E58BDFB"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74BF508A" w14:textId="77777777" w:rsidR="00B67D7C" w:rsidRPr="00DE096C" w:rsidRDefault="00B67D7C" w:rsidP="00D45A46">
      <w:pPr>
        <w:shd w:val="clear" w:color="auto" w:fill="FFFFFF"/>
        <w:jc w:val="both"/>
        <w:rPr>
          <w:bCs/>
          <w:i/>
          <w:color w:val="002060"/>
          <w:sz w:val="16"/>
          <w:szCs w:val="16"/>
        </w:rPr>
      </w:pPr>
    </w:p>
    <w:p w14:paraId="0F94EDCD" w14:textId="298231FE"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29 марта </w:t>
      </w:r>
      <w:r w:rsidR="00C90A2B" w:rsidRPr="00DE096C">
        <w:rPr>
          <w:bCs/>
          <w:color w:val="002060"/>
          <w:sz w:val="16"/>
          <w:szCs w:val="16"/>
        </w:rPr>
        <w:t xml:space="preserve">(11 апреля) </w:t>
      </w:r>
      <w:r w:rsidRPr="00DE096C">
        <w:rPr>
          <w:bCs/>
          <w:color w:val="002060"/>
          <w:sz w:val="16"/>
          <w:szCs w:val="16"/>
        </w:rPr>
        <w:t>1914 г.</w:t>
      </w:r>
      <w:r w:rsidR="00C90A2B" w:rsidRPr="00DE096C">
        <w:rPr>
          <w:bCs/>
          <w:color w:val="002060"/>
          <w:sz w:val="16"/>
          <w:szCs w:val="16"/>
        </w:rPr>
        <w:t xml:space="preserve"> вышло положение Военного совета</w:t>
      </w:r>
      <w:r w:rsidRPr="00DE096C">
        <w:rPr>
          <w:bCs/>
          <w:color w:val="002060"/>
          <w:sz w:val="16"/>
          <w:szCs w:val="16"/>
        </w:rPr>
        <w:t xml:space="preserve">, </w:t>
      </w:r>
      <w:r w:rsidR="00C90A2B" w:rsidRPr="00DE096C">
        <w:rPr>
          <w:bCs/>
          <w:color w:val="002060"/>
          <w:sz w:val="16"/>
          <w:szCs w:val="16"/>
        </w:rPr>
        <w:t xml:space="preserve">согласно которому 18 апреля (1 мая) 1914 г. с Первым российским товариществом воздухоплавания был заключен контракт за № 2049, по которому </w:t>
      </w:r>
      <w:r w:rsidRPr="00DE096C">
        <w:rPr>
          <w:bCs/>
          <w:color w:val="002060"/>
          <w:sz w:val="16"/>
          <w:szCs w:val="16"/>
        </w:rPr>
        <w:t>Главное военно-техническое управление заказало Пер</w:t>
      </w:r>
      <w:r w:rsidRPr="00DE096C">
        <w:rPr>
          <w:bCs/>
          <w:color w:val="002060"/>
          <w:sz w:val="16"/>
          <w:szCs w:val="16"/>
        </w:rPr>
        <w:softHyphen/>
        <w:t>вому российскому товариществу воздухоплавания «С. С. Щетинин и К°»: 30 аэропланов системы Фармана № 22 бис с 100-сильными моторами «Гном» типа Моносупап, 30 ком</w:t>
      </w:r>
      <w:r w:rsidRPr="00DE096C">
        <w:rPr>
          <w:bCs/>
          <w:color w:val="002060"/>
          <w:sz w:val="16"/>
          <w:szCs w:val="16"/>
        </w:rPr>
        <w:softHyphen/>
        <w:t>плектов запасных частей и 5 дополнительных комплектов запасных частей к этим аэро</w:t>
      </w:r>
      <w:r w:rsidRPr="00DE096C">
        <w:rPr>
          <w:bCs/>
          <w:color w:val="002060"/>
          <w:sz w:val="16"/>
          <w:szCs w:val="16"/>
        </w:rPr>
        <w:softHyphen/>
        <w:t>планам.</w:t>
      </w:r>
    </w:p>
    <w:p w14:paraId="5F738D1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lastRenderedPageBreak/>
        <w:t>Означенный заказ, согласно контракта, должен быть выполнен в следующие сроки: 10 аэропланов — к 15 июня, 10 аэропланов — к 15 июля и 10 комплектов запасных час</w:t>
      </w:r>
      <w:r w:rsidRPr="00DE096C">
        <w:rPr>
          <w:bCs/>
          <w:color w:val="002060"/>
          <w:sz w:val="16"/>
          <w:szCs w:val="16"/>
        </w:rPr>
        <w:softHyphen/>
        <w:t>тей — к 1 августа, 10 комплектов — к 1 сентября и 15 комплектов — к 15 октября с. г. Между тем 5 июня, как то усматривается из прилагаемого удостоверения полиции**, на заводе Товарищества началась забастовка рабочих, продолжавшаяся до объявления войны Гер</w:t>
      </w:r>
      <w:r w:rsidRPr="00DE096C">
        <w:rPr>
          <w:bCs/>
          <w:color w:val="002060"/>
          <w:sz w:val="16"/>
          <w:szCs w:val="16"/>
        </w:rPr>
        <w:softHyphen/>
        <w:t>манией и носившая, по имеющимся в управлении сведениям, политический характер, а с 19 июля по 8 октября с. г. работы по выполнению настоящего заказа были приостанов</w:t>
      </w:r>
      <w:r w:rsidRPr="00DE096C">
        <w:rPr>
          <w:bCs/>
          <w:color w:val="002060"/>
          <w:sz w:val="16"/>
          <w:szCs w:val="16"/>
        </w:rPr>
        <w:softHyphen/>
        <w:t>лены распоряжением Главного военно-технического управления ввиду того, что с от</w:t>
      </w:r>
      <w:r w:rsidRPr="00DE096C">
        <w:rPr>
          <w:bCs/>
          <w:color w:val="002060"/>
          <w:sz w:val="16"/>
          <w:szCs w:val="16"/>
        </w:rPr>
        <w:softHyphen/>
        <w:t>крытием военных действий для пополнения в отрядах недостающего количества и заме</w:t>
      </w:r>
      <w:r w:rsidRPr="00DE096C">
        <w:rPr>
          <w:bCs/>
          <w:color w:val="002060"/>
          <w:sz w:val="16"/>
          <w:szCs w:val="16"/>
        </w:rPr>
        <w:softHyphen/>
        <w:t>ны пришедших в негодность потребовались в первую очередь аэропланы Фарман № 16 и Ньюпор, спешное изготовление которых и было поручено заводу товарищества. Есте</w:t>
      </w:r>
      <w:r w:rsidRPr="00DE096C">
        <w:rPr>
          <w:bCs/>
          <w:color w:val="002060"/>
          <w:sz w:val="16"/>
          <w:szCs w:val="16"/>
        </w:rPr>
        <w:softHyphen/>
        <w:t>ственно, что при наличии таких обстоятельств заказанные Товариществу аэропланы и запасные части до настоящего времени не могли быть построены.</w:t>
      </w:r>
    </w:p>
    <w:p w14:paraId="6EF981D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Ввиду сего я находил бы необходимым установить ныне, с возобновлением Товари</w:t>
      </w:r>
      <w:r w:rsidRPr="00DE096C">
        <w:rPr>
          <w:bCs/>
          <w:color w:val="002060"/>
          <w:sz w:val="16"/>
          <w:szCs w:val="16"/>
        </w:rPr>
        <w:softHyphen/>
        <w:t>ществом, согласно предложения управления, работ по постройке аэропланов Фарман № 22 бис и запасных частей, новый срок готовности означенных предметов, определив его в четыре месяца со дня возобновления работ, т. е. по 8 февраля 1915 г., на каковой срок имеется и согласие Товарищества*. При этом я не могу не признать, что замедление в изготовлении ее по причинам, устранение которых не зависело от воли Товарищества, отнюдь нельзя поставить последнему в вину. К тому же эта задержка не отразилась и на боевой готовности армии, так как 19 июля Товариществу, как указано выше, было пред</w:t>
      </w:r>
      <w:r w:rsidRPr="00DE096C">
        <w:rPr>
          <w:bCs/>
          <w:color w:val="002060"/>
          <w:sz w:val="16"/>
          <w:szCs w:val="16"/>
        </w:rPr>
        <w:softHyphen/>
        <w:t>ложено приступить к спешному изготовлению 30 аэропланов Фарман № 16 и 10 аэропла</w:t>
      </w:r>
      <w:r w:rsidRPr="00DE096C">
        <w:rPr>
          <w:bCs/>
          <w:color w:val="002060"/>
          <w:sz w:val="16"/>
          <w:szCs w:val="16"/>
        </w:rPr>
        <w:softHyphen/>
        <w:t>нов Ньюпор IV, большая часть которых, а именно 21 аппарат, в настоящее время уже принята.</w:t>
      </w:r>
    </w:p>
    <w:p w14:paraId="74F76CB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Представляя об изложенном на благоусмотрение Военного совета, я полагал бы: МНЕНИЕ: В изменение пункта 3 контракта от 18 апреля 1914 г. за № 2049 сроком готовности заказанных по сему контракту 30 аэропланов Фарман № 22 бис, 30 комплек</w:t>
      </w:r>
      <w:r w:rsidRPr="00DE096C">
        <w:rPr>
          <w:bCs/>
          <w:color w:val="002060"/>
          <w:sz w:val="16"/>
          <w:szCs w:val="16"/>
        </w:rPr>
        <w:softHyphen/>
        <w:t>тов запасных частей и 5 дополнительных комплектов запасных частей считать 8 февраля 1915 года.</w:t>
      </w:r>
    </w:p>
    <w:p w14:paraId="5313D29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На документе помета Роппа: «22 октября состоялось решение Военного совета, кото</w:t>
      </w:r>
      <w:r w:rsidRPr="00DE096C">
        <w:rPr>
          <w:bCs/>
          <w:color w:val="002060"/>
          <w:sz w:val="16"/>
          <w:szCs w:val="16"/>
        </w:rPr>
        <w:softHyphen/>
        <w:t>рое удовлетворило просьбу Главного военно-технического управления, отметив, что Во</w:t>
      </w:r>
      <w:r w:rsidRPr="00DE096C">
        <w:rPr>
          <w:bCs/>
          <w:color w:val="002060"/>
          <w:sz w:val="16"/>
          <w:szCs w:val="16"/>
        </w:rPr>
        <w:softHyphen/>
        <w:t>енный совет, не входя в обсуждение последствий за просрочки по частным срокам 15 июня и 15 июля 1914 г., положил: конечный срок поставки отсрочить до 8 февраля 1915 года. Изложенное сообщается по постановлению Военного совета для немедленного исполнения».</w:t>
      </w:r>
    </w:p>
    <w:p w14:paraId="3A83111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Начальник Управления генерал-лейтенант барон Ропп</w:t>
      </w:r>
    </w:p>
    <w:p w14:paraId="5134AE6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РГВИА. Ф. 29. Оп. 3. Д. 861. Л. 73-74. Подлинник (10707).</w:t>
      </w:r>
    </w:p>
    <w:p w14:paraId="6D144F1B" w14:textId="77777777" w:rsidR="00B67D7C" w:rsidRPr="00DE096C" w:rsidRDefault="00B67D7C" w:rsidP="00D45A46">
      <w:pPr>
        <w:shd w:val="clear" w:color="auto" w:fill="FFFFFF"/>
        <w:jc w:val="both"/>
        <w:rPr>
          <w:bCs/>
          <w:color w:val="002060"/>
          <w:sz w:val="16"/>
          <w:szCs w:val="16"/>
        </w:rPr>
      </w:pPr>
    </w:p>
    <w:p w14:paraId="26BE5934"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 и воздухоплавание Франции:</w:t>
      </w:r>
    </w:p>
    <w:p w14:paraId="6F70E473" w14:textId="77777777" w:rsidR="00B67D7C" w:rsidRPr="00DE096C" w:rsidRDefault="00B67D7C" w:rsidP="00D45A46">
      <w:pPr>
        <w:shd w:val="clear" w:color="auto" w:fill="FFFFFF"/>
        <w:jc w:val="both"/>
        <w:rPr>
          <w:bCs/>
          <w:i/>
          <w:color w:val="002060"/>
          <w:sz w:val="16"/>
          <w:szCs w:val="16"/>
        </w:rPr>
      </w:pPr>
    </w:p>
    <w:p w14:paraId="58F8F155" w14:textId="68148485" w:rsidR="00B67D7C" w:rsidRPr="00DE096C" w:rsidRDefault="00B67D7C" w:rsidP="00D45A46">
      <w:pPr>
        <w:jc w:val="both"/>
        <w:rPr>
          <w:bCs/>
          <w:color w:val="002060"/>
          <w:sz w:val="16"/>
          <w:szCs w:val="16"/>
        </w:rPr>
      </w:pPr>
      <w:r w:rsidRPr="00DE096C">
        <w:rPr>
          <w:bCs/>
          <w:color w:val="002060"/>
          <w:sz w:val="16"/>
          <w:szCs w:val="16"/>
        </w:rPr>
        <w:t>30 марта (12 апреля) 1914 года в Вене из-за не полностью раскрывшегося купола парашюта</w:t>
      </w:r>
      <w:r w:rsidR="00E40225" w:rsidRPr="00DE096C">
        <w:rPr>
          <w:bCs/>
          <w:color w:val="002060"/>
          <w:sz w:val="16"/>
          <w:szCs w:val="16"/>
        </w:rPr>
        <w:t xml:space="preserve"> парашютист Ле Бури чуть было не погиб во время очередного прыжка с двухместного моноплана, пилотируемого Лемуаном</w:t>
      </w:r>
      <w:r w:rsidRPr="00DE096C">
        <w:rPr>
          <w:bCs/>
          <w:color w:val="002060"/>
          <w:sz w:val="16"/>
          <w:szCs w:val="16"/>
        </w:rPr>
        <w:t>.</w:t>
      </w:r>
    </w:p>
    <w:p w14:paraId="614F36E6" w14:textId="77777777" w:rsidR="00B67D7C" w:rsidRPr="00DE096C" w:rsidRDefault="00B67D7C" w:rsidP="00D45A46">
      <w:pPr>
        <w:jc w:val="both"/>
        <w:rPr>
          <w:bCs/>
          <w:color w:val="002060"/>
          <w:sz w:val="16"/>
          <w:szCs w:val="16"/>
        </w:rPr>
      </w:pPr>
    </w:p>
    <w:p w14:paraId="36F9FA69"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w:t>
      </w:r>
    </w:p>
    <w:p w14:paraId="2F08545B" w14:textId="77777777" w:rsidR="00B67D7C" w:rsidRPr="00DE096C" w:rsidRDefault="00B67D7C" w:rsidP="00D45A46">
      <w:pPr>
        <w:shd w:val="clear" w:color="auto" w:fill="FFFFFF"/>
        <w:jc w:val="both"/>
        <w:rPr>
          <w:bCs/>
          <w:i/>
          <w:color w:val="002060"/>
          <w:sz w:val="16"/>
          <w:szCs w:val="16"/>
        </w:rPr>
      </w:pPr>
    </w:p>
    <w:p w14:paraId="6D98E21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31 марта (13 апреля) 1914 П.Н.Нестеров сделал в Киеве вторую мертвую петлю, на этот раз с зависанием в верхней точке петли.Делая радиус петли больше, чем при "нормальной", Нестеров преждевремен-погасил скорость и завис в точке перегиба, в результате чего сорвался от сидения и повис на ремнях. Этот опыт, по словам Нестерова,дал ему на будущее время очень много ценного материала (П.Нестеров.Мои мертвые петли ; "Утро России”</w:t>
      </w:r>
      <w:r w:rsidRPr="00DE096C">
        <w:rPr>
          <w:bCs/>
          <w:color w:val="002060"/>
          <w:sz w:val="16"/>
          <w:szCs w:val="16"/>
          <w:vertAlign w:val="superscript"/>
        </w:rPr>
        <w:t>;</w:t>
      </w:r>
      <w:r w:rsidRPr="00DE096C">
        <w:rPr>
          <w:bCs/>
          <w:color w:val="002060"/>
          <w:sz w:val="16"/>
          <w:szCs w:val="16"/>
        </w:rPr>
        <w:t>. 1914 г. 21 мая).</w:t>
      </w:r>
    </w:p>
    <w:p w14:paraId="1D26DE62" w14:textId="77777777" w:rsidR="00B67D7C" w:rsidRPr="00DE096C" w:rsidRDefault="00B67D7C" w:rsidP="00D45A46">
      <w:pPr>
        <w:shd w:val="clear" w:color="auto" w:fill="FFFFFF"/>
        <w:jc w:val="both"/>
        <w:rPr>
          <w:bCs/>
          <w:color w:val="002060"/>
          <w:sz w:val="16"/>
          <w:szCs w:val="16"/>
        </w:rPr>
      </w:pPr>
    </w:p>
    <w:p w14:paraId="69012232" w14:textId="77777777" w:rsidR="00036E63" w:rsidRPr="00DE096C" w:rsidRDefault="00036E63" w:rsidP="00D45A46">
      <w:pPr>
        <w:jc w:val="both"/>
        <w:rPr>
          <w:bCs/>
          <w:color w:val="002060"/>
          <w:sz w:val="16"/>
          <w:szCs w:val="16"/>
        </w:rPr>
      </w:pPr>
      <w:r w:rsidRPr="00DE096C">
        <w:rPr>
          <w:bCs/>
          <w:color w:val="002060"/>
          <w:sz w:val="16"/>
          <w:szCs w:val="16"/>
        </w:rPr>
        <w:t>31 марта (13 апреля) 1814 г. П.Н. Нестеров сделал в Киеве вторую мертвую петлю, на этот раз о зависанием, в верхней точке петли, делая радиус поета больше, чем. при «нормальной». Нестеров преждевременно пога</w:t>
      </w:r>
      <w:r w:rsidRPr="00DE096C">
        <w:rPr>
          <w:bCs/>
          <w:color w:val="002060"/>
          <w:sz w:val="16"/>
          <w:szCs w:val="16"/>
        </w:rPr>
        <w:softHyphen/>
        <w:t>сил скорость и завис в точке перегиба, в результате чего оторва</w:t>
      </w:r>
      <w:r w:rsidRPr="00DE096C">
        <w:rPr>
          <w:bCs/>
          <w:color w:val="002060"/>
          <w:sz w:val="16"/>
          <w:szCs w:val="16"/>
        </w:rPr>
        <w:softHyphen/>
        <w:t>лся от сидения и повис на ремнях. Этот опыт по словам Нестерову дал ему на будущее время очень много ценного материала.</w:t>
      </w:r>
    </w:p>
    <w:p w14:paraId="6B89D3A5" w14:textId="77777777" w:rsidR="00036E63" w:rsidRPr="00DE096C" w:rsidRDefault="00036E63" w:rsidP="00D45A46">
      <w:pPr>
        <w:jc w:val="both"/>
        <w:rPr>
          <w:bCs/>
          <w:color w:val="002060"/>
          <w:sz w:val="16"/>
          <w:szCs w:val="16"/>
        </w:rPr>
      </w:pPr>
      <w:r w:rsidRPr="00DE096C">
        <w:rPr>
          <w:bCs/>
          <w:color w:val="002060"/>
          <w:sz w:val="16"/>
          <w:szCs w:val="16"/>
        </w:rPr>
        <w:t>/П.Нестеров. Мои мертвые петли, "Утро России" за 21 мая 1914/ (23320).</w:t>
      </w:r>
    </w:p>
    <w:p w14:paraId="218947F8" w14:textId="77777777" w:rsidR="00036E63" w:rsidRPr="00DE096C" w:rsidRDefault="00036E63" w:rsidP="00D45A46">
      <w:pPr>
        <w:jc w:val="both"/>
        <w:rPr>
          <w:bCs/>
          <w:color w:val="002060"/>
          <w:sz w:val="16"/>
          <w:szCs w:val="16"/>
        </w:rPr>
      </w:pPr>
    </w:p>
    <w:p w14:paraId="772E0E78" w14:textId="0990AFB4" w:rsidR="00B67D7C" w:rsidRPr="00DE096C" w:rsidRDefault="00B67D7C" w:rsidP="00D45A46">
      <w:pPr>
        <w:jc w:val="both"/>
        <w:rPr>
          <w:bCs/>
          <w:color w:val="002060"/>
          <w:sz w:val="16"/>
          <w:szCs w:val="16"/>
        </w:rPr>
      </w:pPr>
      <w:r w:rsidRPr="00DE096C">
        <w:rPr>
          <w:bCs/>
          <w:color w:val="002060"/>
          <w:sz w:val="16"/>
          <w:szCs w:val="16"/>
        </w:rPr>
        <w:t xml:space="preserve">31 марта </w:t>
      </w:r>
      <w:r w:rsidR="00E40225" w:rsidRPr="00DE096C">
        <w:rPr>
          <w:bCs/>
          <w:color w:val="002060"/>
          <w:sz w:val="16"/>
          <w:szCs w:val="16"/>
        </w:rPr>
        <w:t xml:space="preserve">(13 апреля) </w:t>
      </w:r>
      <w:r w:rsidRPr="00DE096C">
        <w:rPr>
          <w:bCs/>
          <w:color w:val="002060"/>
          <w:sz w:val="16"/>
          <w:szCs w:val="16"/>
        </w:rPr>
        <w:t xml:space="preserve">1914 г. </w:t>
      </w:r>
      <w:r w:rsidR="00E40225" w:rsidRPr="00DE096C">
        <w:rPr>
          <w:bCs/>
          <w:color w:val="002060"/>
          <w:sz w:val="16"/>
          <w:szCs w:val="16"/>
        </w:rPr>
        <w:t xml:space="preserve">несмотря на запрещения, Нестеров </w:t>
      </w:r>
      <w:r w:rsidRPr="00DE096C">
        <w:rPr>
          <w:bCs/>
          <w:color w:val="002060"/>
          <w:sz w:val="16"/>
          <w:szCs w:val="16"/>
        </w:rPr>
        <w:t xml:space="preserve">повторил "мертвую петлю". </w:t>
      </w:r>
      <w:r w:rsidR="00E40225" w:rsidRPr="00DE096C">
        <w:rPr>
          <w:bCs/>
          <w:color w:val="002060"/>
          <w:sz w:val="16"/>
          <w:szCs w:val="16"/>
        </w:rPr>
        <w:t>Военное начальство было категорически против "мертвой петли". Сам же пилот был уверен, что "фигурные полеты - это школа летчика".</w:t>
      </w:r>
    </w:p>
    <w:p w14:paraId="3CEE0CA0" w14:textId="77777777" w:rsidR="00B67D7C" w:rsidRPr="00DE096C" w:rsidRDefault="00B67D7C" w:rsidP="00D45A46">
      <w:pPr>
        <w:shd w:val="clear" w:color="auto" w:fill="FFFFFF"/>
        <w:jc w:val="both"/>
        <w:rPr>
          <w:bCs/>
          <w:i/>
          <w:color w:val="002060"/>
          <w:sz w:val="16"/>
          <w:szCs w:val="16"/>
        </w:rPr>
      </w:pPr>
    </w:p>
    <w:p w14:paraId="136739DC" w14:textId="4E2D3474" w:rsidR="000B3344" w:rsidRPr="00DE096C" w:rsidRDefault="000B3344" w:rsidP="00D45A46">
      <w:pPr>
        <w:jc w:val="both"/>
        <w:rPr>
          <w:bCs/>
          <w:color w:val="002060"/>
          <w:sz w:val="16"/>
          <w:szCs w:val="16"/>
        </w:rPr>
      </w:pPr>
      <w:r w:rsidRPr="00DE096C">
        <w:rPr>
          <w:bCs/>
          <w:color w:val="002060"/>
          <w:sz w:val="16"/>
          <w:szCs w:val="16"/>
        </w:rPr>
        <w:t xml:space="preserve">31 марта </w:t>
      </w:r>
      <w:r w:rsidR="00E40225" w:rsidRPr="00DE096C">
        <w:rPr>
          <w:bCs/>
          <w:color w:val="002060"/>
          <w:sz w:val="16"/>
          <w:szCs w:val="16"/>
        </w:rPr>
        <w:t xml:space="preserve">(13 апреля) </w:t>
      </w:r>
      <w:r w:rsidRPr="00DE096C">
        <w:rPr>
          <w:bCs/>
          <w:color w:val="002060"/>
          <w:sz w:val="16"/>
          <w:szCs w:val="16"/>
        </w:rPr>
        <w:t>в 1914 году несмотря на запрещения, Петр Николаевич Нестеров повторил "мертвую петлю" (15085).</w:t>
      </w:r>
    </w:p>
    <w:p w14:paraId="7A235754" w14:textId="77777777" w:rsidR="000B3344" w:rsidRPr="00DE096C" w:rsidRDefault="000B3344" w:rsidP="00D45A46">
      <w:pPr>
        <w:jc w:val="both"/>
        <w:rPr>
          <w:bCs/>
          <w:color w:val="002060"/>
          <w:sz w:val="16"/>
          <w:szCs w:val="16"/>
        </w:rPr>
      </w:pPr>
    </w:p>
    <w:p w14:paraId="38DA2A60" w14:textId="282FB25C" w:rsidR="000B3344" w:rsidRPr="00DE096C" w:rsidRDefault="000B3344" w:rsidP="00D45A46">
      <w:pPr>
        <w:pStyle w:val="2"/>
        <w:spacing w:before="0" w:after="0"/>
        <w:jc w:val="both"/>
        <w:rPr>
          <w:b w:val="0"/>
          <w:bCs/>
          <w:color w:val="002060"/>
          <w:sz w:val="16"/>
          <w:szCs w:val="16"/>
        </w:rPr>
      </w:pPr>
      <w:r w:rsidRPr="00DE096C">
        <w:rPr>
          <w:b w:val="0"/>
          <w:bCs/>
          <w:color w:val="002060"/>
          <w:sz w:val="16"/>
          <w:szCs w:val="16"/>
        </w:rPr>
        <w:t xml:space="preserve">31 марта </w:t>
      </w:r>
      <w:r w:rsidR="00E40225" w:rsidRPr="00DE096C">
        <w:rPr>
          <w:b w:val="0"/>
          <w:bCs/>
          <w:color w:val="002060"/>
          <w:sz w:val="16"/>
          <w:szCs w:val="16"/>
        </w:rPr>
        <w:t xml:space="preserve">(13 апреля) </w:t>
      </w:r>
      <w:r w:rsidRPr="00DE096C">
        <w:rPr>
          <w:b w:val="0"/>
          <w:bCs/>
          <w:color w:val="002060"/>
          <w:sz w:val="16"/>
          <w:szCs w:val="16"/>
        </w:rPr>
        <w:t>1914 г. Нестеров, наконец, продолжил летные эксперименты, совершив вторую петлю. Подробности ее выполнения и ощущения в полете он изложил в статье «Мои мертвые петли»: «В этот день я поднялся на высоту более 3000 м и, спускаясь, решил выполнить «мертвую петлю». Когда я очутился на высоте 1000 м, я приступил к этой петле, но как видно, благодаря недостаточно энергичному действию руля высоты, аппарат начал описывать круг больше требуемого радиуса. Когда я очутился вниз головой, я вдруг почувствовал, что я отделяюсь от аппарата. (Обыкновенно при полетах я привязывал себя исключительно поясным ремнем.) В то же время бензин перелился на крышку бака. Мотор, очутившийся без топлива, остановился. Аппарат начал уходить от меня, а я начал падать вниз. Падая, я инстинктивно ухватился за ручку и еще больше увеличил радиус «мертвой петли». Положение сделалось критическим. К счастью я не растерялся и подействовал на боковое искривление аппарата, перевернул его на бок, а затем перевел его к спуску. Этот случай произвел на меня сильное впечатление и дал мне на будущее время очень много ценного материала.»</w:t>
      </w:r>
    </w:p>
    <w:p w14:paraId="24987E44" w14:textId="77777777" w:rsidR="000B3344" w:rsidRPr="00DE096C" w:rsidRDefault="000B3344" w:rsidP="00D45A46">
      <w:pPr>
        <w:pStyle w:val="2"/>
        <w:spacing w:before="0" w:after="0"/>
        <w:jc w:val="both"/>
        <w:rPr>
          <w:b w:val="0"/>
          <w:bCs/>
          <w:color w:val="002060"/>
          <w:sz w:val="16"/>
          <w:szCs w:val="16"/>
        </w:rPr>
      </w:pPr>
      <w:r w:rsidRPr="00DE096C">
        <w:rPr>
          <w:b w:val="0"/>
          <w:bCs/>
          <w:color w:val="002060"/>
          <w:sz w:val="16"/>
          <w:szCs w:val="16"/>
        </w:rPr>
        <w:t>Так экспериментально подтвердились расчеты Пышнова. Но с земли увидели только, что Нестеров на высоте 1500 м «описал в вертикальной плоскости по довольно большому радиусу мертвую петлю, повторив этим свой первый удачный опыт 27 августа. Во время полета максимально развитая центробежная сила прижимала летчика к сиденью, однако, был момент, когда летчик, почувствовал, что отделяется от аппарата, вынужден был схватиться за стойки.» Эта не слишком удачная вторая петля оказалась последней в жизни великого летчика (15464).</w:t>
      </w:r>
    </w:p>
    <w:p w14:paraId="0930C4EF" w14:textId="77777777" w:rsidR="000B3344" w:rsidRPr="00DE096C" w:rsidRDefault="000B3344" w:rsidP="00D45A46">
      <w:pPr>
        <w:pStyle w:val="2"/>
        <w:spacing w:before="0" w:after="0"/>
        <w:jc w:val="both"/>
        <w:rPr>
          <w:b w:val="0"/>
          <w:bCs/>
          <w:color w:val="002060"/>
          <w:sz w:val="16"/>
          <w:szCs w:val="16"/>
        </w:rPr>
      </w:pPr>
    </w:p>
    <w:p w14:paraId="2EFFAA37"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2131CBF6" w14:textId="77777777" w:rsidR="00B67D7C" w:rsidRPr="00DE096C" w:rsidRDefault="00B67D7C" w:rsidP="00D45A46">
      <w:pPr>
        <w:shd w:val="clear" w:color="auto" w:fill="FFFFFF"/>
        <w:jc w:val="both"/>
        <w:rPr>
          <w:bCs/>
          <w:i/>
          <w:color w:val="002060"/>
          <w:sz w:val="16"/>
          <w:szCs w:val="16"/>
        </w:rPr>
      </w:pPr>
    </w:p>
    <w:p w14:paraId="40B579B7" w14:textId="77777777" w:rsidR="00E40225" w:rsidRPr="00DE096C" w:rsidRDefault="00B67D7C" w:rsidP="00D45A46">
      <w:pPr>
        <w:shd w:val="clear" w:color="auto" w:fill="FFFFFF"/>
        <w:jc w:val="both"/>
        <w:rPr>
          <w:bCs/>
          <w:color w:val="002060"/>
          <w:sz w:val="16"/>
          <w:szCs w:val="16"/>
        </w:rPr>
      </w:pPr>
      <w:r w:rsidRPr="00DE096C">
        <w:rPr>
          <w:bCs/>
          <w:color w:val="002060"/>
          <w:sz w:val="16"/>
          <w:szCs w:val="16"/>
        </w:rPr>
        <w:t>В конце марта 1914 г. военно-морской агент в Ан</w:t>
      </w:r>
      <w:r w:rsidRPr="00DE096C">
        <w:rPr>
          <w:bCs/>
          <w:color w:val="002060"/>
          <w:sz w:val="16"/>
          <w:szCs w:val="16"/>
        </w:rPr>
        <w:softHyphen/>
        <w:t>глии доложил, что на желание уча</w:t>
      </w:r>
      <w:r w:rsidRPr="00DE096C">
        <w:rPr>
          <w:bCs/>
          <w:color w:val="002060"/>
          <w:sz w:val="16"/>
          <w:szCs w:val="16"/>
        </w:rPr>
        <w:softHyphen/>
        <w:t>ствовать в конкурсе отозвался 61 соискатель. Последующие события не способствовали проведению это</w:t>
      </w:r>
      <w:r w:rsidRPr="00DE096C">
        <w:rPr>
          <w:bCs/>
          <w:color w:val="002060"/>
          <w:sz w:val="16"/>
          <w:szCs w:val="16"/>
        </w:rPr>
        <w:softHyphen/>
        <w:t>го мероприятия</w:t>
      </w:r>
      <w:r w:rsidR="00E40225" w:rsidRPr="00DE096C">
        <w:rPr>
          <w:bCs/>
          <w:color w:val="002060"/>
          <w:sz w:val="16"/>
          <w:szCs w:val="16"/>
        </w:rPr>
        <w:t>.</w:t>
      </w:r>
    </w:p>
    <w:p w14:paraId="6C429730" w14:textId="22664197" w:rsidR="00B67D7C" w:rsidRPr="00DE096C" w:rsidRDefault="00E40225" w:rsidP="00D45A46">
      <w:pPr>
        <w:shd w:val="clear" w:color="auto" w:fill="FFFFFF"/>
        <w:jc w:val="both"/>
        <w:rPr>
          <w:bCs/>
          <w:color w:val="002060"/>
          <w:sz w:val="16"/>
          <w:szCs w:val="16"/>
        </w:rPr>
      </w:pPr>
      <w:r w:rsidRPr="00DE096C">
        <w:rPr>
          <w:bCs/>
          <w:color w:val="002060"/>
          <w:sz w:val="16"/>
          <w:szCs w:val="16"/>
        </w:rPr>
        <w:t>Заместитель начальника Морс</w:t>
      </w:r>
      <w:r w:rsidRPr="00DE096C">
        <w:rPr>
          <w:bCs/>
          <w:color w:val="002060"/>
          <w:sz w:val="16"/>
          <w:szCs w:val="16"/>
        </w:rPr>
        <w:softHyphen/>
        <w:t>кого генерального штаба капитан 1-го ранга Неню</w:t>
      </w:r>
      <w:r w:rsidRPr="00DE096C">
        <w:rPr>
          <w:bCs/>
          <w:color w:val="002060"/>
          <w:sz w:val="16"/>
          <w:szCs w:val="16"/>
        </w:rPr>
        <w:softHyphen/>
        <w:t>ков представил доклад с предложе</w:t>
      </w:r>
      <w:r w:rsidRPr="00DE096C">
        <w:rPr>
          <w:bCs/>
          <w:color w:val="002060"/>
          <w:sz w:val="16"/>
          <w:szCs w:val="16"/>
        </w:rPr>
        <w:softHyphen/>
        <w:t>нием организовать и провести меж</w:t>
      </w:r>
      <w:r w:rsidRPr="00DE096C">
        <w:rPr>
          <w:bCs/>
          <w:color w:val="002060"/>
          <w:sz w:val="16"/>
          <w:szCs w:val="16"/>
        </w:rPr>
        <w:softHyphen/>
        <w:t>дународный конкурс проектов гид</w:t>
      </w:r>
      <w:r w:rsidRPr="00DE096C">
        <w:rPr>
          <w:bCs/>
          <w:color w:val="002060"/>
          <w:sz w:val="16"/>
          <w:szCs w:val="16"/>
        </w:rPr>
        <w:softHyphen/>
        <w:t>росамолётов, по-видимому, желая получить проект более предпочти</w:t>
      </w:r>
      <w:r w:rsidRPr="00DE096C">
        <w:rPr>
          <w:bCs/>
          <w:color w:val="002060"/>
          <w:sz w:val="16"/>
          <w:szCs w:val="16"/>
        </w:rPr>
        <w:softHyphen/>
        <w:t>тельный по критерию «стоимость-эффективность», чем тяжелый четы</w:t>
      </w:r>
      <w:r w:rsidRPr="00DE096C">
        <w:rPr>
          <w:bCs/>
          <w:color w:val="002060"/>
          <w:sz w:val="16"/>
          <w:szCs w:val="16"/>
        </w:rPr>
        <w:softHyphen/>
        <w:t>рёхмоторный самолёт. Обосновы</w:t>
      </w:r>
      <w:r w:rsidRPr="00DE096C">
        <w:rPr>
          <w:bCs/>
          <w:color w:val="002060"/>
          <w:sz w:val="16"/>
          <w:szCs w:val="16"/>
        </w:rPr>
        <w:softHyphen/>
        <w:t>валось это следующим соображе</w:t>
      </w:r>
      <w:r w:rsidRPr="00DE096C">
        <w:rPr>
          <w:bCs/>
          <w:color w:val="002060"/>
          <w:sz w:val="16"/>
          <w:szCs w:val="16"/>
        </w:rPr>
        <w:softHyphen/>
        <w:t>ниями «... наличие только одного этого типа, постройка которого монополизирована к тому же Ак</w:t>
      </w:r>
      <w:r w:rsidRPr="00DE096C">
        <w:rPr>
          <w:bCs/>
          <w:color w:val="002060"/>
          <w:sz w:val="16"/>
          <w:szCs w:val="16"/>
        </w:rPr>
        <w:softHyphen/>
        <w:t>ционерным обществом русско-бал</w:t>
      </w:r>
      <w:r w:rsidRPr="00DE096C">
        <w:rPr>
          <w:bCs/>
          <w:color w:val="002060"/>
          <w:sz w:val="16"/>
          <w:szCs w:val="16"/>
        </w:rPr>
        <w:softHyphen/>
        <w:t>тийского завода, ещё не может служить гарантией правильного развития дела проектирования и постройки аппаратов такого рода и приходится изыскивать новые пути к его достижению». Обращает вни</w:t>
      </w:r>
      <w:r w:rsidRPr="00DE096C">
        <w:rPr>
          <w:bCs/>
          <w:color w:val="002060"/>
          <w:sz w:val="16"/>
          <w:szCs w:val="16"/>
        </w:rPr>
        <w:softHyphen/>
        <w:t>мание один из тезисов доклада: «Такой конкурс должен вызвать к работе новые силы и даже в том случае если он не даст конечных результатов (!) в смысле пригоднос</w:t>
      </w:r>
      <w:r w:rsidRPr="00DE096C">
        <w:rPr>
          <w:bCs/>
          <w:color w:val="002060"/>
          <w:sz w:val="16"/>
          <w:szCs w:val="16"/>
        </w:rPr>
        <w:softHyphen/>
        <w:t>ти постройки одного из проектов, всё же он, несомненно, даст бога</w:t>
      </w:r>
      <w:r w:rsidRPr="00DE096C">
        <w:rPr>
          <w:bCs/>
          <w:color w:val="002060"/>
          <w:sz w:val="16"/>
          <w:szCs w:val="16"/>
        </w:rPr>
        <w:softHyphen/>
        <w:t>тый материал для разработки это</w:t>
      </w:r>
      <w:r w:rsidRPr="00DE096C">
        <w:rPr>
          <w:bCs/>
          <w:color w:val="002060"/>
          <w:sz w:val="16"/>
          <w:szCs w:val="16"/>
        </w:rPr>
        <w:softHyphen/>
        <w:t>го вопроса». Ненюков не скрывал, что идея проведения конкурса пред</w:t>
      </w:r>
      <w:r w:rsidRPr="00DE096C">
        <w:rPr>
          <w:bCs/>
          <w:color w:val="002060"/>
          <w:sz w:val="16"/>
          <w:szCs w:val="16"/>
        </w:rPr>
        <w:softHyphen/>
        <w:t>ложена инженером Шишковым и капитаном 2-го ранга Дударовым, и считал необходимом назначить последнего председателем комис</w:t>
      </w:r>
      <w:r w:rsidRPr="00DE096C">
        <w:rPr>
          <w:bCs/>
          <w:color w:val="002060"/>
          <w:sz w:val="16"/>
          <w:szCs w:val="16"/>
        </w:rPr>
        <w:softHyphen/>
        <w:t>сии по рассмотрению проекта. В эту комиссию предлагалось включить инженера Шишкова и четырёх лёт</w:t>
      </w:r>
      <w:r w:rsidRPr="00DE096C">
        <w:rPr>
          <w:bCs/>
          <w:color w:val="002060"/>
          <w:sz w:val="16"/>
          <w:szCs w:val="16"/>
        </w:rPr>
        <w:softHyphen/>
        <w:t>чиков с Балтики и Чёрного моря. На следующий день Дудоров пред</w:t>
      </w:r>
      <w:r w:rsidRPr="00DE096C">
        <w:rPr>
          <w:bCs/>
          <w:color w:val="002060"/>
          <w:sz w:val="16"/>
          <w:szCs w:val="16"/>
        </w:rPr>
        <w:softHyphen/>
        <w:t>ставил требования, которым долж</w:t>
      </w:r>
      <w:r w:rsidRPr="00DE096C">
        <w:rPr>
          <w:bCs/>
          <w:color w:val="002060"/>
          <w:sz w:val="16"/>
          <w:szCs w:val="16"/>
        </w:rPr>
        <w:softHyphen/>
        <w:t>ны отвечать конкурсные проекты. Они не претендовали на дальнюю перспективу, явно просматривалось желание получить проект пригодно</w:t>
      </w:r>
      <w:r w:rsidRPr="00DE096C">
        <w:rPr>
          <w:bCs/>
          <w:color w:val="002060"/>
          <w:sz w:val="16"/>
          <w:szCs w:val="16"/>
        </w:rPr>
        <w:softHyphen/>
        <w:t>го для постройки двухмоторного гидросамолёта-разведчика с даль</w:t>
      </w:r>
      <w:r w:rsidRPr="00DE096C">
        <w:rPr>
          <w:bCs/>
          <w:color w:val="002060"/>
          <w:sz w:val="16"/>
          <w:szCs w:val="16"/>
        </w:rPr>
        <w:softHyphen/>
        <w:t>ностью до 1000 км, вооружённого пулеметом, имеющего скорость по</w:t>
      </w:r>
      <w:r w:rsidRPr="00DE096C">
        <w:rPr>
          <w:bCs/>
          <w:color w:val="002060"/>
          <w:sz w:val="16"/>
          <w:szCs w:val="16"/>
        </w:rPr>
        <w:softHyphen/>
        <w:t>лёта не менее 100 км/час, с двой</w:t>
      </w:r>
      <w:r w:rsidRPr="00DE096C">
        <w:rPr>
          <w:bCs/>
          <w:color w:val="002060"/>
          <w:sz w:val="16"/>
          <w:szCs w:val="16"/>
        </w:rPr>
        <w:softHyphen/>
        <w:t>ным управлением и экипажем из четырёх-пяти человек. Самолет дол</w:t>
      </w:r>
      <w:r w:rsidRPr="00DE096C">
        <w:rPr>
          <w:bCs/>
          <w:color w:val="002060"/>
          <w:sz w:val="16"/>
          <w:szCs w:val="16"/>
        </w:rPr>
        <w:softHyphen/>
        <w:t>жен иметь достаточную мореход</w:t>
      </w:r>
      <w:r w:rsidRPr="00DE096C">
        <w:rPr>
          <w:bCs/>
          <w:color w:val="002060"/>
          <w:sz w:val="16"/>
          <w:szCs w:val="16"/>
        </w:rPr>
        <w:softHyphen/>
        <w:t>ность, остойчивость, непотопляе</w:t>
      </w:r>
      <w:r w:rsidRPr="00DE096C">
        <w:rPr>
          <w:bCs/>
          <w:color w:val="002060"/>
          <w:sz w:val="16"/>
          <w:szCs w:val="16"/>
        </w:rPr>
        <w:softHyphen/>
        <w:t>мость, способность выполнять гори</w:t>
      </w:r>
      <w:r w:rsidRPr="00DE096C">
        <w:rPr>
          <w:bCs/>
          <w:color w:val="002060"/>
          <w:sz w:val="16"/>
          <w:szCs w:val="16"/>
        </w:rPr>
        <w:softHyphen/>
        <w:t>зонтальный полет на 2/3 мощнос</w:t>
      </w:r>
      <w:r w:rsidRPr="00DE096C">
        <w:rPr>
          <w:bCs/>
          <w:color w:val="002060"/>
          <w:sz w:val="16"/>
          <w:szCs w:val="16"/>
        </w:rPr>
        <w:softHyphen/>
        <w:t>ти, (моторов). Следовало предста</w:t>
      </w:r>
      <w:r w:rsidRPr="00DE096C">
        <w:rPr>
          <w:bCs/>
          <w:color w:val="002060"/>
          <w:sz w:val="16"/>
          <w:szCs w:val="16"/>
        </w:rPr>
        <w:softHyphen/>
        <w:t>вить все расчеты, чертежи, ясное описание и смету стоимости само</w:t>
      </w:r>
      <w:r w:rsidRPr="00DE096C">
        <w:rPr>
          <w:bCs/>
          <w:color w:val="002060"/>
          <w:sz w:val="16"/>
          <w:szCs w:val="16"/>
        </w:rPr>
        <w:softHyphen/>
        <w:t>лета. Срок представления проектов — май 1914 г. Победитель конкур</w:t>
      </w:r>
      <w:r w:rsidRPr="00DE096C">
        <w:rPr>
          <w:bCs/>
          <w:color w:val="002060"/>
          <w:sz w:val="16"/>
          <w:szCs w:val="16"/>
        </w:rPr>
        <w:softHyphen/>
        <w:t>са получал премию. Ставилось ус</w:t>
      </w:r>
      <w:r w:rsidRPr="00DE096C">
        <w:rPr>
          <w:bCs/>
          <w:color w:val="002060"/>
          <w:sz w:val="16"/>
          <w:szCs w:val="16"/>
        </w:rPr>
        <w:softHyphen/>
        <w:t>ловие: самолёт должен строиться в России. Идею конкурса морской министр одобрил, а военно-морс</w:t>
      </w:r>
      <w:r w:rsidRPr="00DE096C">
        <w:rPr>
          <w:bCs/>
          <w:color w:val="002060"/>
          <w:sz w:val="16"/>
          <w:szCs w:val="16"/>
        </w:rPr>
        <w:softHyphen/>
        <w:t>кие агенты во Франции и Англии получили указания опубликовать в печати его условия.</w:t>
      </w:r>
      <w:r w:rsidR="0006581C">
        <w:rPr>
          <w:bCs/>
          <w:color w:val="002060"/>
          <w:sz w:val="16"/>
          <w:szCs w:val="16"/>
        </w:rPr>
        <w:t xml:space="preserve"> </w:t>
      </w:r>
      <w:r w:rsidR="00B67D7C" w:rsidRPr="00DE096C">
        <w:rPr>
          <w:bCs/>
          <w:color w:val="002060"/>
          <w:sz w:val="16"/>
          <w:szCs w:val="16"/>
        </w:rPr>
        <w:t>(11759).</w:t>
      </w:r>
    </w:p>
    <w:p w14:paraId="51AEFDE1" w14:textId="77777777" w:rsidR="00B67D7C" w:rsidRPr="00DE096C" w:rsidRDefault="00B67D7C" w:rsidP="00D45A46">
      <w:pPr>
        <w:shd w:val="clear" w:color="auto" w:fill="FFFFFF"/>
        <w:jc w:val="both"/>
        <w:rPr>
          <w:bCs/>
          <w:color w:val="002060"/>
          <w:sz w:val="16"/>
          <w:szCs w:val="16"/>
        </w:rPr>
      </w:pPr>
    </w:p>
    <w:p w14:paraId="414E7AE1"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7ACCD0EB" w14:textId="77777777" w:rsidR="00B67D7C" w:rsidRPr="00DE096C" w:rsidRDefault="00B67D7C" w:rsidP="00D45A46">
      <w:pPr>
        <w:shd w:val="clear" w:color="auto" w:fill="FFFFFF"/>
        <w:jc w:val="both"/>
        <w:rPr>
          <w:bCs/>
          <w:i/>
          <w:color w:val="002060"/>
          <w:sz w:val="16"/>
          <w:szCs w:val="16"/>
        </w:rPr>
      </w:pPr>
    </w:p>
    <w:p w14:paraId="1E77B6A4" w14:textId="77777777" w:rsidR="000B3344" w:rsidRPr="00DE096C" w:rsidRDefault="000B3344" w:rsidP="00D45A46">
      <w:pPr>
        <w:pStyle w:val="2"/>
        <w:spacing w:before="0" w:after="0"/>
        <w:jc w:val="both"/>
        <w:rPr>
          <w:b w:val="0"/>
          <w:bCs/>
          <w:color w:val="002060"/>
          <w:sz w:val="16"/>
          <w:szCs w:val="16"/>
        </w:rPr>
      </w:pPr>
      <w:r w:rsidRPr="00DE096C">
        <w:rPr>
          <w:b w:val="0"/>
          <w:bCs/>
          <w:color w:val="002060"/>
          <w:sz w:val="16"/>
          <w:szCs w:val="16"/>
        </w:rPr>
        <w:t>В марте 1914 Меллер послал начальнику вновь образованного Главного военно-технического управления (ГВТУ) Е.Э.Роппу письмо. Докладывая о состоянии и качестве постройки самолетов на «Дуксе», он сообщал о готовности завода принять от военного ведомства дополнительные заказы на изготовление самолетов. Новому главному военному заказчику сообщалась полная информация о заводе:</w:t>
      </w:r>
    </w:p>
    <w:p w14:paraId="71A68160" w14:textId="77777777" w:rsidR="000B3344" w:rsidRPr="00DE096C" w:rsidRDefault="000B3344" w:rsidP="00D45A46">
      <w:pPr>
        <w:pStyle w:val="2"/>
        <w:spacing w:before="0" w:after="0"/>
        <w:jc w:val="both"/>
        <w:rPr>
          <w:b w:val="0"/>
          <w:bCs/>
          <w:color w:val="002060"/>
          <w:sz w:val="16"/>
          <w:szCs w:val="16"/>
        </w:rPr>
      </w:pPr>
      <w:r w:rsidRPr="00DE096C">
        <w:rPr>
          <w:b w:val="0"/>
          <w:bCs/>
          <w:color w:val="002060"/>
          <w:sz w:val="16"/>
          <w:szCs w:val="16"/>
        </w:rPr>
        <w:t>«Имущество и механическое оборудование завода оцениваются:</w:t>
      </w:r>
    </w:p>
    <w:p w14:paraId="1BBE2AE0" w14:textId="77777777" w:rsidR="000B3344" w:rsidRPr="00DE096C" w:rsidRDefault="000B3344" w:rsidP="00D45A46">
      <w:pPr>
        <w:pStyle w:val="2"/>
        <w:spacing w:before="0" w:after="0"/>
        <w:jc w:val="both"/>
        <w:rPr>
          <w:b w:val="0"/>
          <w:bCs/>
          <w:color w:val="002060"/>
          <w:sz w:val="16"/>
          <w:szCs w:val="16"/>
        </w:rPr>
      </w:pPr>
      <w:r w:rsidRPr="00DE096C">
        <w:rPr>
          <w:b w:val="0"/>
          <w:bCs/>
          <w:color w:val="002060"/>
          <w:sz w:val="16"/>
          <w:szCs w:val="16"/>
        </w:rPr>
        <w:t>Каменного корпуса с пристройками и землею — 150 000 /руб./</w:t>
      </w:r>
    </w:p>
    <w:p w14:paraId="697F9589" w14:textId="77777777" w:rsidR="000B3344" w:rsidRPr="00DE096C" w:rsidRDefault="000B3344" w:rsidP="00D45A46">
      <w:pPr>
        <w:pStyle w:val="2"/>
        <w:spacing w:before="0" w:after="0"/>
        <w:jc w:val="both"/>
        <w:rPr>
          <w:b w:val="0"/>
          <w:bCs/>
          <w:color w:val="002060"/>
          <w:sz w:val="16"/>
          <w:szCs w:val="16"/>
        </w:rPr>
      </w:pPr>
      <w:r w:rsidRPr="00DE096C">
        <w:rPr>
          <w:b w:val="0"/>
          <w:bCs/>
          <w:color w:val="002060"/>
          <w:sz w:val="16"/>
          <w:szCs w:val="16"/>
        </w:rPr>
        <w:t>Механическое оборудование — 160 000 —“—</w:t>
      </w:r>
    </w:p>
    <w:p w14:paraId="5E989185" w14:textId="77777777" w:rsidR="000B3344" w:rsidRPr="00DE096C" w:rsidRDefault="000B3344" w:rsidP="00D45A46">
      <w:pPr>
        <w:pStyle w:val="2"/>
        <w:spacing w:before="0" w:after="0"/>
        <w:jc w:val="both"/>
        <w:rPr>
          <w:b w:val="0"/>
          <w:bCs/>
          <w:color w:val="002060"/>
          <w:sz w:val="16"/>
          <w:szCs w:val="16"/>
        </w:rPr>
      </w:pPr>
      <w:r w:rsidRPr="00DE096C">
        <w:rPr>
          <w:b w:val="0"/>
          <w:bCs/>
          <w:color w:val="002060"/>
          <w:sz w:val="16"/>
          <w:szCs w:val="16"/>
        </w:rPr>
        <w:t>Новый аэропланный корпус с оборудованием — 360 000 —“—</w:t>
      </w:r>
    </w:p>
    <w:p w14:paraId="1E13729C" w14:textId="77777777" w:rsidR="000B3344" w:rsidRPr="00DE096C" w:rsidRDefault="000B3344" w:rsidP="00D45A46">
      <w:pPr>
        <w:pStyle w:val="2"/>
        <w:spacing w:before="0" w:after="0"/>
        <w:jc w:val="both"/>
        <w:rPr>
          <w:b w:val="0"/>
          <w:bCs/>
          <w:color w:val="002060"/>
          <w:sz w:val="16"/>
          <w:szCs w:val="16"/>
        </w:rPr>
      </w:pPr>
      <w:r w:rsidRPr="00DE096C">
        <w:rPr>
          <w:b w:val="0"/>
          <w:bCs/>
          <w:color w:val="002060"/>
          <w:sz w:val="16"/>
          <w:szCs w:val="16"/>
        </w:rPr>
        <w:lastRenderedPageBreak/>
        <w:t>Итого: 660 000 —“—</w:t>
      </w:r>
    </w:p>
    <w:p w14:paraId="6B209599" w14:textId="77777777" w:rsidR="000B3344" w:rsidRPr="00DE096C" w:rsidRDefault="000B3344" w:rsidP="00D45A46">
      <w:pPr>
        <w:pStyle w:val="2"/>
        <w:spacing w:before="0" w:after="0"/>
        <w:jc w:val="both"/>
        <w:rPr>
          <w:b w:val="0"/>
          <w:bCs/>
          <w:color w:val="002060"/>
          <w:sz w:val="16"/>
          <w:szCs w:val="16"/>
        </w:rPr>
      </w:pPr>
      <w:r w:rsidRPr="00DE096C">
        <w:rPr>
          <w:b w:val="0"/>
          <w:bCs/>
          <w:color w:val="002060"/>
          <w:sz w:val="16"/>
          <w:szCs w:val="16"/>
        </w:rPr>
        <w:t>Занято рабочих в механическом отделе — 300 чел.</w:t>
      </w:r>
    </w:p>
    <w:p w14:paraId="5C1800FF" w14:textId="77777777" w:rsidR="000B3344" w:rsidRPr="00DE096C" w:rsidRDefault="000B3344" w:rsidP="00D45A46">
      <w:pPr>
        <w:pStyle w:val="2"/>
        <w:spacing w:before="0" w:after="0"/>
        <w:jc w:val="both"/>
        <w:rPr>
          <w:b w:val="0"/>
          <w:bCs/>
          <w:color w:val="002060"/>
          <w:sz w:val="16"/>
          <w:szCs w:val="16"/>
        </w:rPr>
      </w:pPr>
      <w:r w:rsidRPr="00DE096C">
        <w:rPr>
          <w:b w:val="0"/>
          <w:bCs/>
          <w:color w:val="002060"/>
          <w:sz w:val="16"/>
          <w:szCs w:val="16"/>
        </w:rPr>
        <w:t>В столярной, малярной, обойной и других — 250 чел.</w:t>
      </w:r>
    </w:p>
    <w:p w14:paraId="1FEB1E91" w14:textId="77777777" w:rsidR="000B3344" w:rsidRPr="00DE096C" w:rsidRDefault="000B3344" w:rsidP="00D45A46">
      <w:pPr>
        <w:pStyle w:val="2"/>
        <w:spacing w:before="0" w:after="0"/>
        <w:jc w:val="both"/>
        <w:rPr>
          <w:b w:val="0"/>
          <w:bCs/>
          <w:color w:val="002060"/>
          <w:sz w:val="16"/>
          <w:szCs w:val="16"/>
        </w:rPr>
      </w:pPr>
      <w:r w:rsidRPr="00DE096C">
        <w:rPr>
          <w:b w:val="0"/>
          <w:bCs/>
          <w:color w:val="002060"/>
          <w:sz w:val="16"/>
          <w:szCs w:val="16"/>
        </w:rPr>
        <w:t>Итого: 550 чел..</w:t>
      </w:r>
    </w:p>
    <w:p w14:paraId="1A0051AE" w14:textId="77777777" w:rsidR="000B3344" w:rsidRPr="00DE096C" w:rsidRDefault="000B3344" w:rsidP="00D45A46">
      <w:pPr>
        <w:pStyle w:val="2"/>
        <w:spacing w:before="0" w:after="0"/>
        <w:jc w:val="both"/>
        <w:rPr>
          <w:b w:val="0"/>
          <w:bCs/>
          <w:color w:val="002060"/>
          <w:sz w:val="16"/>
          <w:szCs w:val="16"/>
        </w:rPr>
      </w:pPr>
      <w:r w:rsidRPr="00DE096C">
        <w:rPr>
          <w:b w:val="0"/>
          <w:bCs/>
          <w:color w:val="002060"/>
          <w:sz w:val="16"/>
          <w:szCs w:val="16"/>
        </w:rPr>
        <w:t>Оборот минувшего года 2.000.000 руб.</w:t>
      </w:r>
    </w:p>
    <w:p w14:paraId="194A521C" w14:textId="77777777" w:rsidR="000B3344" w:rsidRPr="00DE096C" w:rsidRDefault="000B3344" w:rsidP="00D45A46">
      <w:pPr>
        <w:pStyle w:val="2"/>
        <w:spacing w:before="0" w:after="0"/>
        <w:jc w:val="both"/>
        <w:rPr>
          <w:b w:val="0"/>
          <w:bCs/>
          <w:color w:val="002060"/>
          <w:sz w:val="16"/>
          <w:szCs w:val="16"/>
        </w:rPr>
      </w:pPr>
      <w:r w:rsidRPr="00DE096C">
        <w:rPr>
          <w:b w:val="0"/>
          <w:bCs/>
          <w:color w:val="002060"/>
          <w:sz w:val="16"/>
          <w:szCs w:val="16"/>
        </w:rPr>
        <w:t>Завод вырабатывает все части для аэропланов у себя, как-то: обода, спицы, втулки, тали для моторов, тендера, болты, т.е. все металлические и деревянные части, имея целый ряд специальных станков.» Далее Меллер напоминал, что из последнего декабрьского заказа, завод единственным сдал «60% всего заказа, в то время, как никто еще не предъявлял ни одного аппарата к сдаче.» Всего за период с осени 1912 г. по март 1914 г. «Дукс» построил и сдал 150 самолетов (55 «Нью- поров» и 95 «Фарманов»), почти столько же, сколько вместе взятые РБВЗ — 72 (38 и 34) и ПРТВ — 93 (57 и 36). Кроме того, «все заказы на аэропланы завод «Дукс» выполнил с соблюдением контрактных сроков, чего про другие заводы сказать нельзя. Аэропланы работы общества «Дукс» в военных отрядах, школах и в Отделе воздушного флота признаны лучшими.</w:t>
      </w:r>
    </w:p>
    <w:p w14:paraId="533CC41A" w14:textId="77777777" w:rsidR="000B3344" w:rsidRPr="00DE096C" w:rsidRDefault="000B3344" w:rsidP="00D45A46">
      <w:pPr>
        <w:pStyle w:val="2"/>
        <w:spacing w:before="0" w:after="0"/>
        <w:jc w:val="both"/>
        <w:rPr>
          <w:b w:val="0"/>
          <w:bCs/>
          <w:color w:val="002060"/>
          <w:sz w:val="16"/>
          <w:szCs w:val="16"/>
        </w:rPr>
      </w:pPr>
      <w:r w:rsidRPr="00DE096C">
        <w:rPr>
          <w:b w:val="0"/>
          <w:bCs/>
          <w:color w:val="002060"/>
          <w:sz w:val="16"/>
          <w:szCs w:val="16"/>
        </w:rPr>
        <w:t>1. В доказательство справедливости моего заявления ссылаюсь на то, что по предъявлению наших аэропланов к сдаче в полет, не было случая браковки аэропланов.</w:t>
      </w:r>
    </w:p>
    <w:p w14:paraId="5D3C01AB" w14:textId="77777777" w:rsidR="000B3344" w:rsidRPr="00DE096C" w:rsidRDefault="000B3344" w:rsidP="00D45A46">
      <w:pPr>
        <w:pStyle w:val="2"/>
        <w:spacing w:before="0" w:after="0"/>
        <w:jc w:val="both"/>
        <w:rPr>
          <w:b w:val="0"/>
          <w:bCs/>
          <w:color w:val="002060"/>
          <w:sz w:val="16"/>
          <w:szCs w:val="16"/>
        </w:rPr>
      </w:pPr>
      <w:r w:rsidRPr="00DE096C">
        <w:rPr>
          <w:b w:val="0"/>
          <w:bCs/>
          <w:color w:val="002060"/>
          <w:sz w:val="16"/>
          <w:szCs w:val="16"/>
        </w:rPr>
        <w:t>2. Комиссия под председательством полковника Прутченко, посетившая нас с французским инженером Жануаром удостоверила актом, что аэропланы, сработанные заводом «Дукс» по качеству материала, работе и легкости, значительно лучше французских образцов.</w:t>
      </w:r>
    </w:p>
    <w:p w14:paraId="6218F05C" w14:textId="77777777" w:rsidR="000B3344" w:rsidRPr="00DE096C" w:rsidRDefault="000B3344" w:rsidP="00D45A46">
      <w:pPr>
        <w:pStyle w:val="2"/>
        <w:spacing w:before="0" w:after="0"/>
        <w:jc w:val="both"/>
        <w:rPr>
          <w:b w:val="0"/>
          <w:bCs/>
          <w:color w:val="002060"/>
          <w:sz w:val="16"/>
          <w:szCs w:val="16"/>
        </w:rPr>
      </w:pPr>
      <w:r w:rsidRPr="00DE096C">
        <w:rPr>
          <w:b w:val="0"/>
          <w:bCs/>
          <w:color w:val="002060"/>
          <w:sz w:val="16"/>
          <w:szCs w:val="16"/>
        </w:rPr>
        <w:t>3. Комиссия с генералом Болотовым, подполковником Немченко и полковником Калиновским остались довольны постановкою дела и работою нашего завода.</w:t>
      </w:r>
    </w:p>
    <w:p w14:paraId="71C9E132" w14:textId="77777777" w:rsidR="000B3344" w:rsidRPr="00DE096C" w:rsidRDefault="000B3344" w:rsidP="00D45A46">
      <w:pPr>
        <w:pStyle w:val="2"/>
        <w:spacing w:before="0" w:after="0"/>
        <w:jc w:val="both"/>
        <w:rPr>
          <w:b w:val="0"/>
          <w:bCs/>
          <w:color w:val="002060"/>
          <w:sz w:val="16"/>
          <w:szCs w:val="16"/>
        </w:rPr>
      </w:pPr>
      <w:r w:rsidRPr="00DE096C">
        <w:rPr>
          <w:b w:val="0"/>
          <w:bCs/>
          <w:color w:val="002060"/>
          <w:sz w:val="16"/>
          <w:szCs w:val="16"/>
        </w:rPr>
        <w:t>4. Все русские рекорды поставлены на наших аппаратах...»</w:t>
      </w:r>
    </w:p>
    <w:p w14:paraId="68D12AF4" w14:textId="77777777" w:rsidR="000B3344" w:rsidRPr="00DE096C" w:rsidRDefault="000B3344" w:rsidP="00D45A46">
      <w:pPr>
        <w:pStyle w:val="2"/>
        <w:spacing w:before="0" w:after="0"/>
        <w:jc w:val="both"/>
        <w:rPr>
          <w:b w:val="0"/>
          <w:bCs/>
          <w:color w:val="002060"/>
          <w:sz w:val="16"/>
          <w:szCs w:val="16"/>
        </w:rPr>
      </w:pPr>
      <w:r w:rsidRPr="00DE096C">
        <w:rPr>
          <w:b w:val="0"/>
          <w:bCs/>
          <w:color w:val="002060"/>
          <w:sz w:val="16"/>
          <w:szCs w:val="16"/>
        </w:rPr>
        <w:t>Действительно, кроме мертвой петли Нестерова, сделанной в конце лета 1913 г. на «Ньюпоре-IV» «Дукса» с «Гномом» в 70 л.с., на самолетах завода в конце 1913 г. — начале 1914 г. был установлен целый ряд рекордов высоты, скорости и скороподъемности с грузом. Особо отмечались рекорды скороподъемности на 500 м (3 мин.) и 1000 м (7 мин.), установленные Габер-Влынским 8 марта на но- вом «Фармане-22» постройки завода, превысившие рекорды французского аналога.</w:t>
      </w:r>
    </w:p>
    <w:p w14:paraId="3B69D325" w14:textId="77777777" w:rsidR="000B3344" w:rsidRPr="00DE096C" w:rsidRDefault="000B3344" w:rsidP="00D45A46">
      <w:pPr>
        <w:pStyle w:val="2"/>
        <w:spacing w:before="0" w:after="0"/>
        <w:jc w:val="both"/>
        <w:rPr>
          <w:b w:val="0"/>
          <w:bCs/>
          <w:color w:val="002060"/>
          <w:sz w:val="16"/>
          <w:szCs w:val="16"/>
        </w:rPr>
      </w:pPr>
      <w:r w:rsidRPr="00DE096C">
        <w:rPr>
          <w:b w:val="0"/>
          <w:bCs/>
          <w:color w:val="002060"/>
          <w:sz w:val="16"/>
          <w:szCs w:val="16"/>
        </w:rPr>
        <w:t>Ссылаясь на прежнего начальника Воздухоплавательной части, Меллер писал, что «генерал М.И.Шишкевич поддерживал наш завод по следующим причинам:</w:t>
      </w:r>
    </w:p>
    <w:p w14:paraId="65D5F99F" w14:textId="77777777" w:rsidR="000B3344" w:rsidRPr="00DE096C" w:rsidRDefault="000B3344" w:rsidP="00D45A46">
      <w:pPr>
        <w:pStyle w:val="2"/>
        <w:spacing w:before="0" w:after="0"/>
        <w:jc w:val="both"/>
        <w:rPr>
          <w:b w:val="0"/>
          <w:bCs/>
          <w:color w:val="002060"/>
          <w:sz w:val="16"/>
          <w:szCs w:val="16"/>
        </w:rPr>
      </w:pPr>
      <w:r w:rsidRPr="00DE096C">
        <w:rPr>
          <w:b w:val="0"/>
          <w:bCs/>
          <w:color w:val="002060"/>
          <w:sz w:val="16"/>
          <w:szCs w:val="16"/>
        </w:rPr>
        <w:t>1. Цены завода «Дукс» являлись нормирующими, ибо были всегда ниже конкурентных.</w:t>
      </w:r>
    </w:p>
    <w:p w14:paraId="5CD63807" w14:textId="77777777" w:rsidR="000B3344" w:rsidRPr="00DE096C" w:rsidRDefault="000B3344" w:rsidP="00D45A46">
      <w:pPr>
        <w:pStyle w:val="2"/>
        <w:spacing w:before="0" w:after="0"/>
        <w:jc w:val="both"/>
        <w:rPr>
          <w:b w:val="0"/>
          <w:bCs/>
          <w:color w:val="002060"/>
          <w:sz w:val="16"/>
          <w:szCs w:val="16"/>
        </w:rPr>
      </w:pPr>
      <w:r w:rsidRPr="00DE096C">
        <w:rPr>
          <w:b w:val="0"/>
          <w:bCs/>
          <w:color w:val="002060"/>
          <w:sz w:val="16"/>
          <w:szCs w:val="16"/>
        </w:rPr>
        <w:t>2. Работы сдавались без недоразумений, будучи высокого качества.</w:t>
      </w:r>
    </w:p>
    <w:p w14:paraId="21305AA2" w14:textId="77777777" w:rsidR="000B3344" w:rsidRPr="00DE096C" w:rsidRDefault="000B3344" w:rsidP="00D45A46">
      <w:pPr>
        <w:pStyle w:val="2"/>
        <w:spacing w:before="0" w:after="0"/>
        <w:jc w:val="both"/>
        <w:rPr>
          <w:b w:val="0"/>
          <w:bCs/>
          <w:color w:val="002060"/>
          <w:sz w:val="16"/>
          <w:szCs w:val="16"/>
        </w:rPr>
      </w:pPr>
      <w:r w:rsidRPr="00DE096C">
        <w:rPr>
          <w:b w:val="0"/>
          <w:bCs/>
          <w:color w:val="002060"/>
          <w:sz w:val="16"/>
          <w:szCs w:val="16"/>
        </w:rPr>
        <w:t>3. Работы исполнялись быстро и завод шел во всем навстречу военному ведомству и заканчивая заказы раньше, имел преимущество в новых заказах.»</w:t>
      </w:r>
    </w:p>
    <w:p w14:paraId="5711B684" w14:textId="77777777" w:rsidR="000B3344" w:rsidRPr="00DE096C" w:rsidRDefault="000B3344" w:rsidP="00D45A46">
      <w:pPr>
        <w:pStyle w:val="2"/>
        <w:spacing w:before="0" w:after="0"/>
        <w:jc w:val="both"/>
        <w:rPr>
          <w:b w:val="0"/>
          <w:bCs/>
          <w:color w:val="002060"/>
          <w:sz w:val="16"/>
          <w:szCs w:val="16"/>
        </w:rPr>
      </w:pPr>
      <w:r w:rsidRPr="00DE096C">
        <w:rPr>
          <w:b w:val="0"/>
          <w:bCs/>
          <w:color w:val="002060"/>
          <w:sz w:val="16"/>
          <w:szCs w:val="16"/>
        </w:rPr>
        <w:t>Подробно описывая возможности завода и достигнутые успехи, в конце концов Меллер перешел к главному беспокоившему его вопросу. Он был недоволен распределением очередного заказа между русскими заводами. Как оказалось, минувшеи осенью Воздухоплавательная часть распределила между заводами заказ так, что на долю «Дукса» пришлось 46%, завода Щетинина (ПРТВ) — 37,5%, завода Лебедева — 16,5%. Принимая в расчет, что ГВТУ собиралось заказать 85 «Моранов», 65 «Депердюссенов» и 65 бипланов, заводу «Дукс» досталось бы около 100 «Моранов» и «Фарманов». На долю его конкурентов тогда пришлось бы: Щетинину — 80 «Депердюссенов» и «Фарманов», Лебедеву — 35 «Депердюссенов».</w:t>
      </w:r>
    </w:p>
    <w:p w14:paraId="5D93D299" w14:textId="77777777" w:rsidR="000B3344" w:rsidRPr="00DE096C" w:rsidRDefault="000B3344" w:rsidP="00D45A46">
      <w:pPr>
        <w:pStyle w:val="2"/>
        <w:spacing w:before="0" w:after="0"/>
        <w:jc w:val="both"/>
        <w:rPr>
          <w:b w:val="0"/>
          <w:bCs/>
          <w:color w:val="002060"/>
          <w:sz w:val="16"/>
          <w:szCs w:val="16"/>
        </w:rPr>
      </w:pPr>
      <w:r w:rsidRPr="00DE096C">
        <w:rPr>
          <w:b w:val="0"/>
          <w:bCs/>
          <w:color w:val="002060"/>
          <w:sz w:val="16"/>
          <w:szCs w:val="16"/>
        </w:rPr>
        <w:t>Такое распределение заказа Меллер считал несправедливым, особенно в отношении завода В.А.Лебедева. Ссылаясь на то, что «как наш завод «Дукс», так и завод Щетинина, в прошлом имеют свои заслуги в качестве пионеров авиационной промышленности, потративших массу труда и средств на постановку дела, а потому, казалось бы справедливым поддержать в первую очередь старые заводы, дав новому заводу Лебедева, не зарекомендовавшему себя в аэропланостроительстве, только пробный заказ. Опасение вашего превосходительства, что аппараты русской постройки уступят французским образцам, в данном случае не имеет основания... Г-н Моран, посетивший наш завод, был удивлен постановкою дела, ибо и во Франции только заводы Фарман и Блерио равняются с нашим заводом, фабрика же Морана имеет слишком незначительные размеры, выпуская всего 6—8 аппаратов в месяц. Если... найдете возможным увеличить нам количество аппаратов, то мы просили бы дать часть «Фарманов», производство которых у нас хорошо поставлено и единственными представителями которого мы состоим. Заводу Щетинина, казалось бы, надо отдать часть «Депердюссенов», так как этот завод уже построил несколько аппаратов в запас, предвидя заказ и заказал много материала. Если... угодно будет сократить количество аппаратов, предполагаемых к заказу за границу, то мы готовы еще усилить наше производство и поставить четыре аппарата «Моран» через 3 недели, по заключении контракта...»</w:t>
      </w:r>
    </w:p>
    <w:p w14:paraId="0B031FF6" w14:textId="77777777" w:rsidR="000B3344" w:rsidRPr="00DE096C" w:rsidRDefault="000B3344" w:rsidP="00D45A46">
      <w:pPr>
        <w:pStyle w:val="2"/>
        <w:spacing w:before="0" w:after="0"/>
        <w:jc w:val="both"/>
        <w:rPr>
          <w:b w:val="0"/>
          <w:bCs/>
          <w:color w:val="002060"/>
          <w:sz w:val="16"/>
          <w:szCs w:val="16"/>
        </w:rPr>
      </w:pPr>
      <w:r w:rsidRPr="00DE096C">
        <w:rPr>
          <w:b w:val="0"/>
          <w:bCs/>
          <w:color w:val="002060"/>
          <w:sz w:val="16"/>
          <w:szCs w:val="16"/>
        </w:rPr>
        <w:t>В этом письме наиболее зримо прослеживается техническая политика Меллера, проводимая на «Дуксе». Естественно его желание «подсадить» конкурентов, особенно набирающии обороты новый завод В.АЛебедева, и «переключить» на себя заграничный заказ. Меллер фактически отказывался от новых «Депердюссенов», предпочитая им давно освоенные «Фарманы». Модифицируя эти самолеты, французская фирма шла, главным образом, по пути увеличения размаха верхнего крыла, постепенно переходя от биплана к полутораплану. Если «Фармаи-IV» имел размах обоих крыльев 10,5 м, то у «Фармана-XVI» (1912 г.) размах верхнего крыла составлял 13,8 м, а у «Фармана-ХХИ» (1913 г.) — 15,6 м. Первые полеты на «Ферманах- XXII» заводской постройки Габер совершил на Ходынке в феврале 1914 г. и спус тя месяц сдал их военным в Петербурге. В.С.Пышнов вспоминал высказывания летчиков о том, что «Фарман-XXII» планирует гораздо лучше «Фармана-XVI», что говорило о его лучшем аэродинамическом качестве, выше была грузоподъемность, мощнее двигатель. Освоение в серии новых модификаций «Фарманов» не создавало заводу серьезных проблем (15464).</w:t>
      </w:r>
    </w:p>
    <w:p w14:paraId="11EDD4D2" w14:textId="77777777" w:rsidR="000B3344" w:rsidRPr="00DE096C" w:rsidRDefault="000B3344" w:rsidP="00D45A46">
      <w:pPr>
        <w:pStyle w:val="2"/>
        <w:spacing w:before="0" w:after="0"/>
        <w:jc w:val="both"/>
        <w:rPr>
          <w:b w:val="0"/>
          <w:bCs/>
          <w:color w:val="002060"/>
          <w:sz w:val="16"/>
          <w:szCs w:val="16"/>
        </w:rPr>
      </w:pPr>
    </w:p>
    <w:p w14:paraId="6C0A3575" w14:textId="77777777" w:rsidR="000B3344" w:rsidRPr="00DE096C" w:rsidRDefault="000B3344" w:rsidP="00D45A46">
      <w:pPr>
        <w:pStyle w:val="2"/>
        <w:spacing w:before="0" w:after="0"/>
        <w:jc w:val="both"/>
        <w:rPr>
          <w:b w:val="0"/>
          <w:bCs/>
          <w:color w:val="002060"/>
          <w:sz w:val="16"/>
          <w:szCs w:val="16"/>
        </w:rPr>
      </w:pPr>
      <w:r w:rsidRPr="00DE096C">
        <w:rPr>
          <w:b w:val="0"/>
          <w:bCs/>
          <w:color w:val="002060"/>
          <w:sz w:val="16"/>
          <w:szCs w:val="16"/>
        </w:rPr>
        <w:t>В марте 1914 г. рассмотрение вопроса о бронировании и вооружении самолетов для снабжения авиационных отрядов на Техническом комитете Главного военно-технического управления, в сущности, свелось к обсуждению следующих «тезисов»:</w:t>
      </w:r>
    </w:p>
    <w:p w14:paraId="5EB1BA0B" w14:textId="77777777" w:rsidR="000B3344" w:rsidRPr="00DE096C" w:rsidRDefault="000B3344" w:rsidP="00D45A46">
      <w:pPr>
        <w:pStyle w:val="2"/>
        <w:spacing w:before="0" w:after="0"/>
        <w:jc w:val="both"/>
        <w:rPr>
          <w:b w:val="0"/>
          <w:bCs/>
          <w:color w:val="002060"/>
          <w:sz w:val="16"/>
          <w:szCs w:val="16"/>
        </w:rPr>
      </w:pPr>
      <w:r w:rsidRPr="00DE096C">
        <w:rPr>
          <w:b w:val="0"/>
          <w:bCs/>
          <w:color w:val="002060"/>
          <w:sz w:val="16"/>
          <w:szCs w:val="16"/>
        </w:rPr>
        <w:t>«а) вооружать целесообразно только большие самолеты типа «Илья Муромец». Для вооружения малых аэропланов полезны сравнительно легкие ружья, допускающие действовать по летательным аппаратам противника широко разлетающимся скопом пуль (картечи) с руки.</w:t>
      </w:r>
    </w:p>
    <w:p w14:paraId="633B319A" w14:textId="77777777" w:rsidR="000B3344" w:rsidRPr="00DE096C" w:rsidRDefault="000B3344" w:rsidP="00D45A46">
      <w:pPr>
        <w:pStyle w:val="2"/>
        <w:spacing w:before="0" w:after="0"/>
        <w:jc w:val="both"/>
        <w:rPr>
          <w:b w:val="0"/>
          <w:bCs/>
          <w:color w:val="002060"/>
          <w:sz w:val="16"/>
          <w:szCs w:val="16"/>
        </w:rPr>
      </w:pPr>
      <w:r w:rsidRPr="00DE096C">
        <w:rPr>
          <w:b w:val="0"/>
          <w:bCs/>
          <w:color w:val="002060"/>
          <w:sz w:val="16"/>
          <w:szCs w:val="16"/>
        </w:rPr>
        <w:t>б) Применение бомбардировочных средств можно признать в настоящее время полезным лишь на больших аппаратах (типа «Илья Муромец»)... Что же касается до малых аппаратов, то при настоящем положении техники, их возможно снабжать</w:t>
      </w:r>
      <w:r w:rsidRPr="00DE096C">
        <w:rPr>
          <w:b w:val="0"/>
          <w:bCs/>
          <w:color w:val="002060"/>
          <w:sz w:val="16"/>
          <w:szCs w:val="16"/>
        </w:rPr>
        <w:t> </w:t>
      </w:r>
      <w:r w:rsidRPr="00DE096C">
        <w:rPr>
          <w:b w:val="0"/>
          <w:bCs/>
          <w:color w:val="002060"/>
          <w:sz w:val="16"/>
          <w:szCs w:val="16"/>
        </w:rPr>
        <w:t>лишь небольшими пулями зажигательными и обыкновенными...</w:t>
      </w:r>
    </w:p>
    <w:p w14:paraId="70EAD994" w14:textId="77777777" w:rsidR="000B3344" w:rsidRPr="00DE096C" w:rsidRDefault="000B3344" w:rsidP="00D45A46">
      <w:pPr>
        <w:pStyle w:val="2"/>
        <w:spacing w:before="0" w:after="0"/>
        <w:jc w:val="both"/>
        <w:rPr>
          <w:b w:val="0"/>
          <w:bCs/>
          <w:color w:val="002060"/>
          <w:sz w:val="16"/>
          <w:szCs w:val="16"/>
        </w:rPr>
      </w:pPr>
      <w:r w:rsidRPr="00DE096C">
        <w:rPr>
          <w:b w:val="0"/>
          <w:bCs/>
          <w:color w:val="002060"/>
          <w:sz w:val="16"/>
          <w:szCs w:val="16"/>
        </w:rPr>
        <w:t>в) Установку радиотелеграфных станций следует признать мало полезной и не оправдывающей вызываемой ею загрузки аппаратов.» На основании всего этого Комитет вынес следующее заключение:</w:t>
      </w:r>
    </w:p>
    <w:p w14:paraId="7CA9ED89" w14:textId="77777777" w:rsidR="000B3344" w:rsidRPr="00DE096C" w:rsidRDefault="000B3344" w:rsidP="00D45A46">
      <w:pPr>
        <w:pStyle w:val="2"/>
        <w:spacing w:before="0" w:after="0"/>
        <w:jc w:val="both"/>
        <w:rPr>
          <w:b w:val="0"/>
          <w:bCs/>
          <w:color w:val="002060"/>
          <w:sz w:val="16"/>
          <w:szCs w:val="16"/>
        </w:rPr>
      </w:pPr>
      <w:r w:rsidRPr="00DE096C">
        <w:rPr>
          <w:b w:val="0"/>
          <w:bCs/>
          <w:color w:val="002060"/>
          <w:sz w:val="16"/>
          <w:szCs w:val="16"/>
        </w:rPr>
        <w:t>«...2) Броня на малых одноместных и двухместных аэропланах признается не только бесполезной, но даже вредной.</w:t>
      </w:r>
    </w:p>
    <w:p w14:paraId="1E0A9AD5" w14:textId="77777777" w:rsidR="000B3344" w:rsidRPr="00DE096C" w:rsidRDefault="000B3344" w:rsidP="00D45A46">
      <w:pPr>
        <w:pStyle w:val="2"/>
        <w:spacing w:before="0" w:after="0"/>
        <w:jc w:val="both"/>
        <w:rPr>
          <w:b w:val="0"/>
          <w:bCs/>
          <w:color w:val="002060"/>
          <w:sz w:val="16"/>
          <w:szCs w:val="16"/>
        </w:rPr>
      </w:pPr>
      <w:r w:rsidRPr="00DE096C">
        <w:rPr>
          <w:b w:val="0"/>
          <w:bCs/>
          <w:color w:val="002060"/>
          <w:sz w:val="16"/>
          <w:szCs w:val="16"/>
        </w:rPr>
        <w:t>3) Вооружение тех же аэропланов пулеметами и бомбометательными приспособлениями, а также снабжение их радиостанциями, следует признать нежелательным; эти средства уместны и полезны на больших аэропланах типа «Илья Муромец».</w:t>
      </w:r>
    </w:p>
    <w:p w14:paraId="17E28CD0" w14:textId="77777777" w:rsidR="000B3344" w:rsidRPr="00DE096C" w:rsidRDefault="000B3344" w:rsidP="00D45A46">
      <w:pPr>
        <w:pStyle w:val="2"/>
        <w:spacing w:before="0" w:after="0"/>
        <w:jc w:val="both"/>
        <w:rPr>
          <w:b w:val="0"/>
          <w:bCs/>
          <w:color w:val="002060"/>
          <w:sz w:val="16"/>
          <w:szCs w:val="16"/>
        </w:rPr>
      </w:pPr>
      <w:r w:rsidRPr="00DE096C">
        <w:rPr>
          <w:b w:val="0"/>
          <w:bCs/>
          <w:color w:val="002060"/>
          <w:sz w:val="16"/>
          <w:szCs w:val="16"/>
        </w:rPr>
        <w:t>4) На малых аппаратах должны применяться: ручное огнестрельное оружие картечного действия и, кроме того, пули некрупного калибра, зажигательные и обыкновенные, для осыпания ими ниже расположенных целей...» (15464).</w:t>
      </w:r>
    </w:p>
    <w:p w14:paraId="6940BA36" w14:textId="77777777" w:rsidR="000B3344" w:rsidRPr="00DE096C" w:rsidRDefault="000B3344" w:rsidP="00D45A46">
      <w:pPr>
        <w:pStyle w:val="2"/>
        <w:spacing w:before="0" w:after="0"/>
        <w:jc w:val="both"/>
        <w:rPr>
          <w:b w:val="0"/>
          <w:bCs/>
          <w:color w:val="002060"/>
          <w:sz w:val="16"/>
          <w:szCs w:val="16"/>
        </w:rPr>
      </w:pPr>
    </w:p>
    <w:p w14:paraId="7334A1B9" w14:textId="77777777" w:rsidR="000B3344" w:rsidRPr="00DE096C" w:rsidRDefault="000B3344" w:rsidP="00D45A46">
      <w:pPr>
        <w:jc w:val="both"/>
        <w:rPr>
          <w:bCs/>
          <w:color w:val="002060"/>
          <w:sz w:val="16"/>
          <w:szCs w:val="16"/>
        </w:rPr>
      </w:pPr>
      <w:r w:rsidRPr="00DE096C">
        <w:rPr>
          <w:bCs/>
          <w:color w:val="002060"/>
          <w:sz w:val="16"/>
          <w:szCs w:val="16"/>
        </w:rPr>
        <w:t>В марте 1914 г. Технический комитет принял решение заказать 48 «Депердюссенов», 42 «Моран-Парасоля» и 42 «Сикорских-XI». Из четырех ведущих авиазаводов за изготовление отечественных самолетов взялся только завод РБВЗ, на котором И.И. Сикорский работал главным конструктором. Однако через несколько дней правление завода попросило перенести выполнение этого заказа на более поздний срок. Тогда Технический комитет уменьшил заказ до 12 самолетов, но и они не были изготовлены. Все это привело к тому, что только около десяти русских типов самолетов нашли применение (и то ограниченное) в Первой мировой войне. Среди них особое место занимают дальний бомбардировщик-разведчик «Илья Муромец» и летающие лодки Д.П. Григоровича (19566).</w:t>
      </w:r>
    </w:p>
    <w:p w14:paraId="452D3CEE" w14:textId="77777777" w:rsidR="000B3344" w:rsidRPr="00DE096C" w:rsidRDefault="000B3344" w:rsidP="00D45A46">
      <w:pPr>
        <w:jc w:val="both"/>
        <w:rPr>
          <w:bCs/>
          <w:color w:val="002060"/>
          <w:sz w:val="16"/>
          <w:szCs w:val="16"/>
        </w:rPr>
      </w:pPr>
    </w:p>
    <w:p w14:paraId="3EB49B98" w14:textId="3D817858" w:rsidR="00B67D7C" w:rsidRPr="00DE096C" w:rsidRDefault="00E40225" w:rsidP="00D45A46">
      <w:pPr>
        <w:shd w:val="clear" w:color="auto" w:fill="FFFFFF"/>
        <w:jc w:val="both"/>
        <w:rPr>
          <w:bCs/>
          <w:color w:val="002060"/>
          <w:sz w:val="16"/>
          <w:szCs w:val="16"/>
        </w:rPr>
      </w:pPr>
      <w:r w:rsidRPr="00DE096C">
        <w:rPr>
          <w:bCs/>
          <w:color w:val="002060"/>
          <w:sz w:val="16"/>
          <w:szCs w:val="16"/>
        </w:rPr>
        <w:t>В</w:t>
      </w:r>
      <w:r w:rsidR="00B67D7C" w:rsidRPr="00DE096C">
        <w:rPr>
          <w:bCs/>
          <w:color w:val="002060"/>
          <w:sz w:val="16"/>
          <w:szCs w:val="16"/>
        </w:rPr>
        <w:t xml:space="preserve"> марте 1914 г. </w:t>
      </w:r>
      <w:r w:rsidRPr="00DE096C">
        <w:rPr>
          <w:bCs/>
          <w:color w:val="002060"/>
          <w:sz w:val="16"/>
          <w:szCs w:val="16"/>
        </w:rPr>
        <w:t>Тех</w:t>
      </w:r>
      <w:r w:rsidRPr="00DE096C">
        <w:rPr>
          <w:bCs/>
          <w:color w:val="002060"/>
          <w:sz w:val="16"/>
          <w:szCs w:val="16"/>
        </w:rPr>
        <w:softHyphen/>
        <w:t xml:space="preserve">нический комитет ГВТУ </w:t>
      </w:r>
      <w:r w:rsidR="00B67D7C" w:rsidRPr="00DE096C">
        <w:rPr>
          <w:bCs/>
          <w:color w:val="002060"/>
          <w:sz w:val="16"/>
          <w:szCs w:val="16"/>
        </w:rPr>
        <w:t>принял решение заказать 48 «Депердюссенов», 42 «Моран-Парасоля» и 42 «Сикорских-Х1». Из четырех ведущих авиазаводов за изго</w:t>
      </w:r>
      <w:r w:rsidR="00B67D7C" w:rsidRPr="00DE096C">
        <w:rPr>
          <w:bCs/>
          <w:color w:val="002060"/>
          <w:sz w:val="16"/>
          <w:szCs w:val="16"/>
        </w:rPr>
        <w:softHyphen/>
        <w:t>товление отечественных машин взялся только РБВЗ, на котором главным конструктором работал И.И. Сикорский. Однако через несколько дней правление завода попросило отсрочить выполнение заказа. Тогда Технический комитет уменьшил заказ до 12 само</w:t>
      </w:r>
      <w:r w:rsidR="00B67D7C" w:rsidRPr="00DE096C">
        <w:rPr>
          <w:bCs/>
          <w:color w:val="002060"/>
          <w:sz w:val="16"/>
          <w:szCs w:val="16"/>
        </w:rPr>
        <w:softHyphen/>
        <w:t>лётов, но и их не изготовили. Всё это привело к тому, что только около десяти русских типов самолётов нашли применение в Первой мировой войне» (Елисеев С.П. Организационное строительство военной авиации России... С. 33-34.)</w:t>
      </w:r>
      <w:r w:rsidR="00B67D7C" w:rsidRPr="00DE096C">
        <w:rPr>
          <w:bCs/>
          <w:color w:val="002060"/>
          <w:sz w:val="16"/>
          <w:szCs w:val="16"/>
          <w:vertAlign w:val="superscript"/>
        </w:rPr>
        <w:t>27</w:t>
      </w:r>
      <w:r w:rsidR="00B67D7C" w:rsidRPr="00DE096C">
        <w:rPr>
          <w:bCs/>
          <w:color w:val="002060"/>
          <w:sz w:val="16"/>
          <w:szCs w:val="16"/>
        </w:rPr>
        <w:t>(11696).</w:t>
      </w:r>
    </w:p>
    <w:p w14:paraId="31C1E33F" w14:textId="77777777" w:rsidR="00B67D7C" w:rsidRPr="00DE096C" w:rsidRDefault="00B67D7C" w:rsidP="00D45A46">
      <w:pPr>
        <w:shd w:val="clear" w:color="auto" w:fill="FFFFFF"/>
        <w:jc w:val="both"/>
        <w:rPr>
          <w:bCs/>
          <w:color w:val="002060"/>
          <w:sz w:val="16"/>
          <w:szCs w:val="16"/>
        </w:rPr>
      </w:pPr>
    </w:p>
    <w:p w14:paraId="0DD2A716" w14:textId="77777777" w:rsidR="007E5829" w:rsidRPr="00DE096C" w:rsidRDefault="007E5829" w:rsidP="00D45A46">
      <w:pPr>
        <w:jc w:val="both"/>
        <w:rPr>
          <w:bCs/>
          <w:color w:val="002060"/>
          <w:sz w:val="16"/>
          <w:szCs w:val="16"/>
          <w:lang w:bidi="en-US"/>
        </w:rPr>
      </w:pPr>
      <w:r w:rsidRPr="00DE096C">
        <w:rPr>
          <w:bCs/>
          <w:color w:val="002060"/>
          <w:sz w:val="16"/>
          <w:szCs w:val="16"/>
          <w:lang w:bidi="en-US"/>
        </w:rPr>
        <w:t xml:space="preserve">В марте 1914 г. ВМФ России разместил заказ на пять гидросамолетов </w:t>
      </w:r>
      <w:r w:rsidRPr="00DE096C">
        <w:rPr>
          <w:bCs/>
          <w:color w:val="002060"/>
          <w:sz w:val="16"/>
          <w:szCs w:val="16"/>
          <w:lang w:val="en-US" w:bidi="en-US"/>
        </w:rPr>
        <w:t>Sikorsky</w:t>
      </w:r>
      <w:r w:rsidRPr="00DE096C">
        <w:rPr>
          <w:bCs/>
          <w:color w:val="002060"/>
          <w:sz w:val="16"/>
          <w:szCs w:val="16"/>
          <w:lang w:bidi="en-US"/>
        </w:rPr>
        <w:t xml:space="preserve"> (23525).</w:t>
      </w:r>
    </w:p>
    <w:p w14:paraId="6560A6C2" w14:textId="77777777" w:rsidR="007E5829" w:rsidRPr="00DE096C" w:rsidRDefault="007E5829" w:rsidP="00D45A46">
      <w:pPr>
        <w:jc w:val="both"/>
        <w:rPr>
          <w:bCs/>
          <w:color w:val="002060"/>
          <w:sz w:val="16"/>
          <w:szCs w:val="16"/>
          <w:lang w:bidi="en-US"/>
        </w:rPr>
      </w:pPr>
    </w:p>
    <w:p w14:paraId="47EA45AB" w14:textId="77777777" w:rsidR="007E5829" w:rsidRPr="00DE096C" w:rsidRDefault="007E5829" w:rsidP="00D45A46">
      <w:pPr>
        <w:jc w:val="both"/>
        <w:rPr>
          <w:bCs/>
          <w:color w:val="002060"/>
          <w:sz w:val="16"/>
          <w:szCs w:val="16"/>
        </w:rPr>
      </w:pPr>
      <w:r w:rsidRPr="00DE096C">
        <w:rPr>
          <w:bCs/>
          <w:color w:val="002060"/>
          <w:sz w:val="16"/>
          <w:szCs w:val="16"/>
        </w:rPr>
        <w:t>В марте 1914 г. на «Дуксе» насчитывалось 550 работников. Там заложили большой корпус для сборки самолетов, возвели новые деревообделочный, трубоволочильный и столярный цеха, модернизировали механическое, литейное и медницкое отделения, была освоена технология изготовления профилированных цельнотянутых металлических труб, наладили производство болтов, колес для шасси и других комплектующих изделий (23474).</w:t>
      </w:r>
    </w:p>
    <w:p w14:paraId="017F838C" w14:textId="77777777" w:rsidR="007E5829" w:rsidRPr="00DE096C" w:rsidRDefault="007E5829" w:rsidP="00D45A46">
      <w:pPr>
        <w:jc w:val="both"/>
        <w:rPr>
          <w:bCs/>
          <w:color w:val="002060"/>
          <w:sz w:val="16"/>
          <w:szCs w:val="16"/>
        </w:rPr>
      </w:pPr>
    </w:p>
    <w:p w14:paraId="690B9376" w14:textId="77777777" w:rsidR="002213BE" w:rsidRPr="00B52707" w:rsidRDefault="002213BE" w:rsidP="002213BE">
      <w:pPr>
        <w:jc w:val="both"/>
        <w:rPr>
          <w:color w:val="0070C0"/>
          <w:sz w:val="16"/>
          <w:szCs w:val="16"/>
        </w:rPr>
      </w:pPr>
      <w:r w:rsidRPr="00B52707">
        <w:rPr>
          <w:color w:val="0070C0"/>
          <w:sz w:val="16"/>
          <w:szCs w:val="16"/>
        </w:rPr>
        <w:t>В марте 1914 г. на «Дуксе» насчитывалось 550 работников. На «Дуке»: заложи</w:t>
      </w:r>
      <w:r w:rsidRPr="00B52707">
        <w:rPr>
          <w:color w:val="0070C0"/>
          <w:sz w:val="16"/>
          <w:szCs w:val="16"/>
        </w:rPr>
        <w:softHyphen/>
        <w:t>ли большой корпус для сборки самолетов, возве</w:t>
      </w:r>
      <w:r w:rsidRPr="00B52707">
        <w:rPr>
          <w:color w:val="0070C0"/>
          <w:sz w:val="16"/>
          <w:szCs w:val="16"/>
        </w:rPr>
        <w:softHyphen/>
        <w:t>ли новые деревообделочный, трубоволочильный и столярный цеха, модернизировали механи</w:t>
      </w:r>
      <w:r w:rsidRPr="00B52707">
        <w:rPr>
          <w:color w:val="0070C0"/>
          <w:sz w:val="16"/>
          <w:szCs w:val="16"/>
        </w:rPr>
        <w:softHyphen/>
        <w:t>ческое, литейное и медницкое отделения. Была освоена технология изготовления профилиро</w:t>
      </w:r>
      <w:r w:rsidRPr="00B52707">
        <w:rPr>
          <w:color w:val="0070C0"/>
          <w:sz w:val="16"/>
          <w:szCs w:val="16"/>
        </w:rPr>
        <w:softHyphen/>
        <w:t>ванных цельнотянутых металлических труб, на</w:t>
      </w:r>
      <w:r w:rsidRPr="00B52707">
        <w:rPr>
          <w:color w:val="0070C0"/>
          <w:sz w:val="16"/>
          <w:szCs w:val="16"/>
        </w:rPr>
        <w:softHyphen/>
        <w:t>ладили производство болтов, колес для шасси и других комплектующих изделий (24966).</w:t>
      </w:r>
    </w:p>
    <w:p w14:paraId="7C24F566" w14:textId="77777777" w:rsidR="002213BE" w:rsidRPr="00B52707" w:rsidRDefault="002213BE" w:rsidP="002213BE">
      <w:pPr>
        <w:jc w:val="both"/>
        <w:rPr>
          <w:color w:val="0070C0"/>
          <w:sz w:val="16"/>
          <w:szCs w:val="16"/>
        </w:rPr>
      </w:pPr>
    </w:p>
    <w:p w14:paraId="44FF4D7C" w14:textId="1E09E18C" w:rsidR="00F25610" w:rsidRPr="00DE096C" w:rsidRDefault="00F25610" w:rsidP="00D45A46">
      <w:pPr>
        <w:jc w:val="both"/>
        <w:rPr>
          <w:bCs/>
          <w:i/>
          <w:color w:val="002060"/>
          <w:sz w:val="16"/>
          <w:szCs w:val="16"/>
        </w:rPr>
      </w:pPr>
      <w:r w:rsidRPr="00DE096C">
        <w:rPr>
          <w:bCs/>
          <w:i/>
          <w:color w:val="002060"/>
          <w:sz w:val="16"/>
          <w:szCs w:val="16"/>
        </w:rPr>
        <w:t>Аэростатостроение:</w:t>
      </w:r>
    </w:p>
    <w:p w14:paraId="114C63C5" w14:textId="77777777" w:rsidR="00F25610" w:rsidRPr="00DE096C" w:rsidRDefault="00F25610" w:rsidP="00D45A46">
      <w:pPr>
        <w:jc w:val="both"/>
        <w:rPr>
          <w:bCs/>
          <w:i/>
          <w:color w:val="002060"/>
          <w:sz w:val="16"/>
          <w:szCs w:val="16"/>
        </w:rPr>
      </w:pPr>
    </w:p>
    <w:p w14:paraId="4CF0AF12" w14:textId="77777777" w:rsidR="00F25610" w:rsidRPr="00DE096C" w:rsidRDefault="00F25610" w:rsidP="00D45A46">
      <w:pPr>
        <w:jc w:val="both"/>
        <w:rPr>
          <w:bCs/>
          <w:color w:val="002060"/>
          <w:sz w:val="16"/>
          <w:szCs w:val="16"/>
        </w:rPr>
      </w:pPr>
      <w:r w:rsidRPr="00DE096C">
        <w:rPr>
          <w:bCs/>
          <w:color w:val="002060"/>
          <w:sz w:val="16"/>
          <w:szCs w:val="16"/>
        </w:rPr>
        <w:lastRenderedPageBreak/>
        <w:t>В марте 1914 г. ГИУ подготовило «Перечень заводов и предметов изготовления по воздухоплаванию, несвоевременное изготовле</w:t>
      </w:r>
      <w:r w:rsidRPr="00DE096C">
        <w:rPr>
          <w:bCs/>
          <w:color w:val="002060"/>
          <w:sz w:val="16"/>
          <w:szCs w:val="16"/>
        </w:rPr>
        <w:softHyphen/>
        <w:t>ние которых может крайне неблагоприятно от</w:t>
      </w:r>
      <w:r w:rsidRPr="00DE096C">
        <w:rPr>
          <w:bCs/>
          <w:color w:val="002060"/>
          <w:sz w:val="16"/>
          <w:szCs w:val="16"/>
        </w:rPr>
        <w:softHyphen/>
        <w:t>разиться на интересах обороны государства».</w:t>
      </w:r>
    </w:p>
    <w:p w14:paraId="48792453" w14:textId="77777777" w:rsidR="00F25610" w:rsidRPr="00DE096C" w:rsidRDefault="00F25610" w:rsidP="00D45A46">
      <w:pPr>
        <w:jc w:val="both"/>
        <w:rPr>
          <w:bCs/>
          <w:color w:val="002060"/>
          <w:sz w:val="16"/>
          <w:szCs w:val="16"/>
        </w:rPr>
      </w:pPr>
      <w:r w:rsidRPr="00DE096C">
        <w:rPr>
          <w:bCs/>
          <w:color w:val="002060"/>
          <w:sz w:val="16"/>
          <w:szCs w:val="16"/>
        </w:rPr>
        <w:t>Согласно этому документу дирижабли изго</w:t>
      </w:r>
      <w:r w:rsidRPr="00DE096C">
        <w:rPr>
          <w:bCs/>
          <w:color w:val="002060"/>
          <w:sz w:val="16"/>
          <w:szCs w:val="16"/>
        </w:rPr>
        <w:softHyphen/>
        <w:t>тавливались в России Ижорским и Балтийским судостроительным и механическим заводами Морского ведомства и покупались за рубежом у фирм «Клеман-Баяр» и «Астра» (Франция), а также «Люфт-Фар-Цойг» (Германия). Эллинги для них строили российские фирмы: Путиловский завод, Артур Коппель, Акционерное обще</w:t>
      </w:r>
      <w:r w:rsidRPr="00DE096C">
        <w:rPr>
          <w:bCs/>
          <w:color w:val="002060"/>
          <w:sz w:val="16"/>
          <w:szCs w:val="16"/>
        </w:rPr>
        <w:softHyphen/>
        <w:t>ство «Строитель» (С.-Петербург), Коломенский (Голуш), «Рудзинский и Ко» (Варшава). Змей</w:t>
      </w:r>
      <w:r w:rsidRPr="00DE096C">
        <w:rPr>
          <w:bCs/>
          <w:color w:val="002060"/>
          <w:sz w:val="16"/>
          <w:szCs w:val="16"/>
        </w:rPr>
        <w:softHyphen/>
        <w:t>ковые аэростаты частично закупались у фирмы «Ридингер» (Германия), частично изготавлива</w:t>
      </w:r>
      <w:r w:rsidRPr="00DE096C">
        <w:rPr>
          <w:bCs/>
          <w:color w:val="002060"/>
          <w:sz w:val="16"/>
          <w:szCs w:val="16"/>
        </w:rPr>
        <w:softHyphen/>
        <w:t>лись ТРАРМ под фирменной маркой «Треуголь</w:t>
      </w:r>
      <w:r w:rsidRPr="00DE096C">
        <w:rPr>
          <w:bCs/>
          <w:color w:val="002060"/>
          <w:sz w:val="16"/>
          <w:szCs w:val="16"/>
        </w:rPr>
        <w:softHyphen/>
        <w:t>ник». ТРАРМ поставляла также газгольдеры, шланги, сферические аэростаты и прорезинен</w:t>
      </w:r>
      <w:r w:rsidRPr="00DE096C">
        <w:rPr>
          <w:bCs/>
          <w:color w:val="002060"/>
          <w:sz w:val="16"/>
          <w:szCs w:val="16"/>
        </w:rPr>
        <w:softHyphen/>
        <w:t>ные материи.</w:t>
      </w:r>
    </w:p>
    <w:p w14:paraId="6A7360D6" w14:textId="77777777" w:rsidR="00F25610" w:rsidRPr="00DE096C" w:rsidRDefault="00F25610" w:rsidP="00D45A46">
      <w:pPr>
        <w:jc w:val="both"/>
        <w:rPr>
          <w:bCs/>
          <w:color w:val="002060"/>
          <w:sz w:val="16"/>
          <w:szCs w:val="16"/>
        </w:rPr>
      </w:pPr>
      <w:r w:rsidRPr="00DE096C">
        <w:rPr>
          <w:bCs/>
          <w:color w:val="002060"/>
          <w:sz w:val="16"/>
          <w:szCs w:val="16"/>
        </w:rPr>
        <w:t>Российские фирмы изготавливали парусино</w:t>
      </w:r>
      <w:r w:rsidRPr="00DE096C">
        <w:rPr>
          <w:bCs/>
          <w:color w:val="002060"/>
          <w:sz w:val="16"/>
          <w:szCs w:val="16"/>
        </w:rPr>
        <w:softHyphen/>
        <w:t>вые изделия, раздвижные лестницы, осветитель</w:t>
      </w:r>
      <w:r w:rsidRPr="00DE096C">
        <w:rPr>
          <w:bCs/>
          <w:color w:val="002060"/>
          <w:sz w:val="16"/>
          <w:szCs w:val="16"/>
        </w:rPr>
        <w:softHyphen/>
        <w:t>ные приборы, прожекторы, моторные насосы, лебёдки и коллекторы, привязные тросы, огне</w:t>
      </w:r>
      <w:r w:rsidRPr="00DE096C">
        <w:rPr>
          <w:bCs/>
          <w:color w:val="002060"/>
          <w:sz w:val="16"/>
          <w:szCs w:val="16"/>
        </w:rPr>
        <w:softHyphen/>
        <w:t>тушители, бочки для бензина, керосина, спирта и масла, кожаные куртки для полётов, обоз для воздухоплавательного имущества, бензин и сма</w:t>
      </w:r>
      <w:r w:rsidRPr="00DE096C">
        <w:rPr>
          <w:bCs/>
          <w:color w:val="002060"/>
          <w:sz w:val="16"/>
          <w:szCs w:val="16"/>
        </w:rPr>
        <w:softHyphen/>
        <w:t>зочные масла.</w:t>
      </w:r>
    </w:p>
    <w:p w14:paraId="6756E607" w14:textId="77777777" w:rsidR="00F25610" w:rsidRPr="00DE096C" w:rsidRDefault="00F25610" w:rsidP="00D45A46">
      <w:pPr>
        <w:jc w:val="both"/>
        <w:rPr>
          <w:bCs/>
          <w:color w:val="002060"/>
          <w:sz w:val="16"/>
          <w:szCs w:val="16"/>
        </w:rPr>
      </w:pPr>
      <w:r w:rsidRPr="00DE096C">
        <w:rPr>
          <w:bCs/>
          <w:color w:val="002060"/>
          <w:sz w:val="16"/>
          <w:szCs w:val="16"/>
        </w:rPr>
        <w:t>Воздухоплавательное имущество устанав</w:t>
      </w:r>
      <w:r w:rsidRPr="00DE096C">
        <w:rPr>
          <w:bCs/>
          <w:color w:val="002060"/>
          <w:sz w:val="16"/>
          <w:szCs w:val="16"/>
        </w:rPr>
        <w:softHyphen/>
        <w:t>ливалось на шасси автомобилей акционерного общества Русско-Балтийского вагонного завода (г. Рига) и зарубежных фирм: «Заурер» (Швейца</w:t>
      </w:r>
      <w:r w:rsidRPr="00DE096C">
        <w:rPr>
          <w:bCs/>
          <w:color w:val="002060"/>
          <w:sz w:val="16"/>
          <w:szCs w:val="16"/>
        </w:rPr>
        <w:softHyphen/>
        <w:t>рия), «Рено» и «Делаге» (Франция).</w:t>
      </w:r>
    </w:p>
    <w:p w14:paraId="0BC39727" w14:textId="77777777" w:rsidR="00F25610" w:rsidRPr="00DE096C" w:rsidRDefault="00F25610" w:rsidP="00D45A46">
      <w:pPr>
        <w:jc w:val="both"/>
        <w:rPr>
          <w:bCs/>
          <w:color w:val="002060"/>
          <w:sz w:val="16"/>
          <w:szCs w:val="16"/>
        </w:rPr>
      </w:pPr>
      <w:r w:rsidRPr="00DE096C">
        <w:rPr>
          <w:bCs/>
          <w:color w:val="002060"/>
          <w:sz w:val="16"/>
          <w:szCs w:val="16"/>
        </w:rPr>
        <w:t>Сжатый водород поступал с соляных заводов Южно-Русского общества по выделке и продаже соды и других химических продуктов (г. Сла- вянск), но баллоны для его хранения произво</w:t>
      </w:r>
      <w:r w:rsidRPr="00DE096C">
        <w:rPr>
          <w:bCs/>
          <w:color w:val="002060"/>
          <w:sz w:val="16"/>
          <w:szCs w:val="16"/>
        </w:rPr>
        <w:softHyphen/>
        <w:t>дились только Акционерным обществом Сосно- вицких трубопрокатных и железоделательных заводов (Царство Польское), и их в основном закупали на заводе Маннесман (Германия). Все компрессорные станции были также загранично</w:t>
      </w:r>
      <w:r w:rsidRPr="00DE096C">
        <w:rPr>
          <w:bCs/>
          <w:color w:val="002060"/>
          <w:sz w:val="16"/>
          <w:szCs w:val="16"/>
        </w:rPr>
        <w:softHyphen/>
        <w:t>го производства. Полевые щёлочно-кремниевые газодобывательные аппараты и силиколь постав</w:t>
      </w:r>
      <w:r w:rsidRPr="00DE096C">
        <w:rPr>
          <w:bCs/>
          <w:color w:val="002060"/>
          <w:sz w:val="16"/>
          <w:szCs w:val="16"/>
        </w:rPr>
        <w:softHyphen/>
        <w:t>лялись фирмой «Оксилит» (Франция). Только едкий натр закупался в России у синдиката «Вогау и Ко».</w:t>
      </w:r>
    </w:p>
    <w:p w14:paraId="698A6944" w14:textId="77777777" w:rsidR="00F25610" w:rsidRPr="00DE096C" w:rsidRDefault="00F25610" w:rsidP="00D45A46">
      <w:pPr>
        <w:jc w:val="both"/>
        <w:rPr>
          <w:bCs/>
          <w:color w:val="002060"/>
          <w:sz w:val="16"/>
          <w:szCs w:val="16"/>
        </w:rPr>
      </w:pPr>
      <w:r w:rsidRPr="00DE096C">
        <w:rPr>
          <w:bCs/>
          <w:color w:val="002060"/>
          <w:sz w:val="16"/>
          <w:szCs w:val="16"/>
        </w:rPr>
        <w:t>Заграничные фирмы и их представительства в России практически безраздельно господство</w:t>
      </w:r>
      <w:r w:rsidRPr="00DE096C">
        <w:rPr>
          <w:bCs/>
          <w:color w:val="002060"/>
          <w:sz w:val="16"/>
          <w:szCs w:val="16"/>
        </w:rPr>
        <w:softHyphen/>
        <w:t>вали в сфере производства фотографических аппаратов, оптических наблюдательных прибо</w:t>
      </w:r>
      <w:r w:rsidRPr="00DE096C">
        <w:rPr>
          <w:bCs/>
          <w:color w:val="002060"/>
          <w:sz w:val="16"/>
          <w:szCs w:val="16"/>
        </w:rPr>
        <w:softHyphen/>
        <w:t>ров (биноклей) и метеорологических приборов. Лишь небольшое количество метеорологических приборов изготавливалось в Павловске В.В. Куз</w:t>
      </w:r>
      <w:r w:rsidRPr="00DE096C">
        <w:rPr>
          <w:bCs/>
          <w:color w:val="002060"/>
          <w:sz w:val="16"/>
          <w:szCs w:val="16"/>
        </w:rPr>
        <w:softHyphen/>
        <w:t>нецовым.</w:t>
      </w:r>
    </w:p>
    <w:p w14:paraId="7DF53515" w14:textId="77777777" w:rsidR="00F25610" w:rsidRPr="00DE096C" w:rsidRDefault="00F25610" w:rsidP="00D45A46">
      <w:pPr>
        <w:jc w:val="both"/>
        <w:rPr>
          <w:bCs/>
          <w:color w:val="002060"/>
          <w:sz w:val="16"/>
          <w:szCs w:val="16"/>
        </w:rPr>
      </w:pPr>
      <w:r w:rsidRPr="00DE096C">
        <w:rPr>
          <w:bCs/>
          <w:color w:val="002060"/>
          <w:sz w:val="16"/>
          <w:szCs w:val="16"/>
        </w:rPr>
        <w:t>Какие выводы можно сделать из перечня по</w:t>
      </w:r>
      <w:r w:rsidRPr="00DE096C">
        <w:rPr>
          <w:bCs/>
          <w:color w:val="002060"/>
          <w:sz w:val="16"/>
          <w:szCs w:val="16"/>
        </w:rPr>
        <w:softHyphen/>
        <w:t>ставщиков воздухоплавательного оборудова</w:t>
      </w:r>
      <w:r w:rsidRPr="00DE096C">
        <w:rPr>
          <w:bCs/>
          <w:color w:val="002060"/>
          <w:sz w:val="16"/>
          <w:szCs w:val="16"/>
        </w:rPr>
        <w:softHyphen/>
        <w:t>ния? Прежде всего, очевидно, что в случае вой</w:t>
      </w:r>
      <w:r w:rsidRPr="00DE096C">
        <w:rPr>
          <w:bCs/>
          <w:color w:val="002060"/>
          <w:sz w:val="16"/>
          <w:szCs w:val="16"/>
        </w:rPr>
        <w:softHyphen/>
        <w:t>ны русские воздухоплаватели будут испытывать большие трудности с добычей водорода, так как ключевые звенья технологических процес</w:t>
      </w:r>
      <w:r w:rsidRPr="00DE096C">
        <w:rPr>
          <w:bCs/>
          <w:color w:val="002060"/>
          <w:sz w:val="16"/>
          <w:szCs w:val="16"/>
        </w:rPr>
        <w:softHyphen/>
        <w:t>сов (газовые баллоны и компрессорные станции при поставках газа с заводов или силиколь при получении его химическим путём) находились вне России. Кроме того, часть поставщиков на</w:t>
      </w:r>
      <w:r w:rsidRPr="00DE096C">
        <w:rPr>
          <w:bCs/>
          <w:color w:val="002060"/>
          <w:sz w:val="16"/>
          <w:szCs w:val="16"/>
        </w:rPr>
        <w:softHyphen/>
        <w:t>ходились в Царстве Польском и Прибалтийских губерниях, которым предстояло стать полями сражений. Большие трудности были неизбежны в снабжении частей измерительной аппаратурой (метеорологической, фотографической и опти</w:t>
      </w:r>
      <w:r w:rsidRPr="00DE096C">
        <w:rPr>
          <w:bCs/>
          <w:color w:val="002060"/>
          <w:sz w:val="16"/>
          <w:szCs w:val="16"/>
        </w:rPr>
        <w:softHyphen/>
        <w:t>ческой) (20120).</w:t>
      </w:r>
    </w:p>
    <w:p w14:paraId="43026F99" w14:textId="77777777" w:rsidR="00F25610" w:rsidRPr="00DE096C" w:rsidRDefault="00F25610" w:rsidP="00D45A46">
      <w:pPr>
        <w:shd w:val="clear" w:color="auto" w:fill="FFFFFF"/>
        <w:jc w:val="both"/>
        <w:rPr>
          <w:bCs/>
          <w:color w:val="002060"/>
          <w:sz w:val="16"/>
          <w:szCs w:val="16"/>
        </w:rPr>
      </w:pPr>
    </w:p>
    <w:p w14:paraId="22A8769B" w14:textId="77777777" w:rsidR="002D2DA4" w:rsidRPr="00DE096C" w:rsidRDefault="002D2DA4" w:rsidP="00D45A46">
      <w:pPr>
        <w:shd w:val="clear" w:color="auto" w:fill="FFFFFF"/>
        <w:jc w:val="both"/>
        <w:rPr>
          <w:bCs/>
          <w:color w:val="002060"/>
          <w:sz w:val="16"/>
          <w:szCs w:val="16"/>
        </w:rPr>
      </w:pPr>
      <w:r w:rsidRPr="00DE096C">
        <w:rPr>
          <w:bCs/>
          <w:color w:val="002060"/>
          <w:sz w:val="16"/>
          <w:szCs w:val="16"/>
        </w:rPr>
        <w:t>В марте 1914 года в Харькове «для реализации ряда студенческих проектов при Аэроди</w:t>
      </w:r>
      <w:r w:rsidRPr="00DE096C">
        <w:rPr>
          <w:bCs/>
          <w:color w:val="002060"/>
          <w:sz w:val="16"/>
          <w:szCs w:val="16"/>
        </w:rPr>
        <w:softHyphen/>
        <w:t>намической лаборатории был создан научный отдел» (553).</w:t>
      </w:r>
    </w:p>
    <w:p w14:paraId="33DAE6D6" w14:textId="77777777" w:rsidR="002D2DA4" w:rsidRPr="00DE096C" w:rsidRDefault="002D2DA4" w:rsidP="00D45A46">
      <w:pPr>
        <w:shd w:val="clear" w:color="auto" w:fill="FFFFFF"/>
        <w:jc w:val="both"/>
        <w:rPr>
          <w:bCs/>
          <w:color w:val="002060"/>
          <w:sz w:val="16"/>
          <w:szCs w:val="16"/>
        </w:rPr>
      </w:pPr>
    </w:p>
    <w:p w14:paraId="7637B73C" w14:textId="77777777" w:rsidR="000B3344" w:rsidRPr="00DE096C" w:rsidRDefault="000B3344" w:rsidP="00D45A46">
      <w:pPr>
        <w:jc w:val="both"/>
        <w:rPr>
          <w:bCs/>
          <w:i/>
          <w:color w:val="002060"/>
          <w:sz w:val="16"/>
          <w:szCs w:val="16"/>
        </w:rPr>
      </w:pPr>
      <w:r w:rsidRPr="00DE096C">
        <w:rPr>
          <w:bCs/>
          <w:i/>
          <w:color w:val="002060"/>
          <w:sz w:val="16"/>
          <w:szCs w:val="16"/>
        </w:rPr>
        <w:t>Другие оборонные отрасли:</w:t>
      </w:r>
    </w:p>
    <w:p w14:paraId="527D6059" w14:textId="77777777" w:rsidR="000B3344" w:rsidRPr="00DE096C" w:rsidRDefault="000B3344" w:rsidP="00D45A46">
      <w:pPr>
        <w:jc w:val="both"/>
        <w:rPr>
          <w:bCs/>
          <w:i/>
          <w:color w:val="002060"/>
          <w:sz w:val="16"/>
          <w:szCs w:val="16"/>
        </w:rPr>
      </w:pPr>
    </w:p>
    <w:p w14:paraId="2EE6115F" w14:textId="77777777" w:rsidR="000B3344" w:rsidRPr="00DE096C" w:rsidRDefault="000B3344" w:rsidP="00D45A46">
      <w:pPr>
        <w:pStyle w:val="21"/>
        <w:shd w:val="clear" w:color="auto" w:fill="auto"/>
        <w:spacing w:after="0" w:line="240" w:lineRule="auto"/>
        <w:ind w:firstLine="0"/>
        <w:jc w:val="both"/>
        <w:rPr>
          <w:rFonts w:ascii="Times New Roman" w:hAnsi="Times New Roman" w:cs="Times New Roman"/>
          <w:bCs/>
          <w:color w:val="002060"/>
          <w:spacing w:val="0"/>
          <w:sz w:val="16"/>
          <w:szCs w:val="16"/>
        </w:rPr>
      </w:pPr>
      <w:r w:rsidRPr="00DE096C">
        <w:rPr>
          <w:rFonts w:ascii="Times New Roman" w:hAnsi="Times New Roman" w:cs="Times New Roman"/>
          <w:bCs/>
          <w:color w:val="002060"/>
          <w:spacing w:val="0"/>
          <w:sz w:val="16"/>
          <w:szCs w:val="16"/>
        </w:rPr>
        <w:t>В марте 1914 года на российских оружейных заводах приступили к замене станков и расширению производственных площадей. Сразу после начала войны положение с поставкой новых винтовок в войска стало быстро ухудшаться. Потребность в стрелковом оружии резко возросла, но его поставки были ограничены начавшейся реконструкцией оружейных заводов (15230).</w:t>
      </w:r>
    </w:p>
    <w:p w14:paraId="4B353796" w14:textId="77777777" w:rsidR="000B3344" w:rsidRPr="00DE096C" w:rsidRDefault="000B3344" w:rsidP="00D45A46">
      <w:pPr>
        <w:jc w:val="both"/>
        <w:rPr>
          <w:bCs/>
          <w:color w:val="002060"/>
          <w:sz w:val="16"/>
          <w:szCs w:val="16"/>
        </w:rPr>
      </w:pPr>
    </w:p>
    <w:p w14:paraId="53A259AC" w14:textId="77777777" w:rsidR="000B3344" w:rsidRPr="00DE096C" w:rsidRDefault="000B3344" w:rsidP="00D45A46">
      <w:pPr>
        <w:jc w:val="both"/>
        <w:rPr>
          <w:bCs/>
          <w:color w:val="002060"/>
          <w:sz w:val="16"/>
          <w:szCs w:val="16"/>
        </w:rPr>
      </w:pPr>
      <w:r w:rsidRPr="00DE096C">
        <w:rPr>
          <w:bCs/>
          <w:color w:val="002060"/>
          <w:sz w:val="16"/>
          <w:szCs w:val="16"/>
        </w:rPr>
        <w:t>В марте 1914 г. ГВТУ был устроен конкурс среди поставщиков телефонной продукции на образец аппарата, в котором были бы учтены недостатки, имевшиеся в принятых на снабжении Инженерного ведомства аппаратах такого типа (18297).</w:t>
      </w:r>
    </w:p>
    <w:p w14:paraId="1656EFB5" w14:textId="77777777" w:rsidR="000B3344" w:rsidRPr="00DE096C" w:rsidRDefault="000B3344" w:rsidP="00D45A46">
      <w:pPr>
        <w:jc w:val="both"/>
        <w:rPr>
          <w:bCs/>
          <w:color w:val="002060"/>
          <w:sz w:val="16"/>
          <w:szCs w:val="16"/>
        </w:rPr>
      </w:pPr>
    </w:p>
    <w:p w14:paraId="2036AC87" w14:textId="77777777" w:rsidR="000B3344" w:rsidRPr="00DE096C" w:rsidRDefault="000B3344" w:rsidP="00D45A46">
      <w:pPr>
        <w:pStyle w:val="p1"/>
        <w:spacing w:before="0" w:beforeAutospacing="0" w:after="0" w:afterAutospacing="0"/>
        <w:jc w:val="both"/>
        <w:rPr>
          <w:bCs/>
          <w:color w:val="002060"/>
          <w:sz w:val="16"/>
          <w:szCs w:val="16"/>
        </w:rPr>
      </w:pPr>
      <w:r w:rsidRPr="00DE096C">
        <w:rPr>
          <w:bCs/>
          <w:color w:val="002060"/>
          <w:sz w:val="16"/>
          <w:szCs w:val="16"/>
        </w:rPr>
        <w:t>С марта 1914 г. в Реутове под Москвой начало постройку своего автомобильного завода на купленной для этой цели земле «Русское а. о. Делагэ» (Delahaye). Этому обществу Вернандер за полгода до того пообещал (в условной форме) заказ на военные грузовики — в случае согласия законодательных инстанций, ожидавшегося «не позже апреля 1914 г.». Такое обещание имело принципиальное значение для учредителей «Русского а. о. Делагэ». Как и прочими соискателями концессии, этой компанией «вопрос о постройке завода ставился в зависимость от получения казенных заказов». Уже одно только обещание помощника военного министра побудило французов, не дожидаясь ассигнования законодательными учреждениями денег на заказ автомобилей, основать упомянутое «русское а. о.», и, собрав капитал в миллион рублей, оно заключило контракты со строительными подрядчиками, поставщиками оборудования и нанимаемыми служащими.</w:t>
      </w:r>
    </w:p>
    <w:p w14:paraId="6C856C3D" w14:textId="77777777" w:rsidR="000B3344" w:rsidRPr="00DE096C" w:rsidRDefault="000B3344" w:rsidP="00D45A46">
      <w:pPr>
        <w:pStyle w:val="p1"/>
        <w:spacing w:before="0" w:beforeAutospacing="0" w:after="0" w:afterAutospacing="0"/>
        <w:jc w:val="both"/>
        <w:rPr>
          <w:bCs/>
          <w:color w:val="002060"/>
          <w:sz w:val="16"/>
          <w:szCs w:val="16"/>
        </w:rPr>
      </w:pPr>
      <w:r w:rsidRPr="00DE096C">
        <w:rPr>
          <w:bCs/>
          <w:color w:val="002060"/>
          <w:sz w:val="16"/>
          <w:szCs w:val="16"/>
        </w:rPr>
        <w:t>Совместно с ГВТУ «Русское а. о. Делагэ» выработало технические условия для грузовых автомобилей и «неоднократно ходатайствовало о выдаче ему заказа». Но к 10 декабря 1915 г. заказ еще не состоялся; Е.А. Данилов, брат начальника Канцелярии Военного министерства (в 1914 г. член правления Общества «Руссуд»</w:t>
      </w:r>
      <w:r w:rsidRPr="00DE096C">
        <w:rPr>
          <w:bCs/>
          <w:color w:val="002060"/>
          <w:sz w:val="16"/>
          <w:szCs w:val="16"/>
          <w:vertAlign w:val="superscript"/>
        </w:rPr>
        <w:t>{598}</w:t>
      </w:r>
      <w:r w:rsidRPr="00DE096C">
        <w:rPr>
          <w:bCs/>
          <w:color w:val="002060"/>
          <w:sz w:val="16"/>
          <w:szCs w:val="16"/>
        </w:rPr>
        <w:t>), представлявший фирму в переговорах с военным ведомством, уведомил Лукомского, что фирма уже понесла расходы, основываясь на обещании Вернандера, и если дело с оформлением договора не сдвинется, то он не сможет больше «удержать французскую группу директоров от ходатайства через их правительство о выдаче этого заказа»</w:t>
      </w:r>
      <w:r w:rsidRPr="00DE096C">
        <w:rPr>
          <w:bCs/>
          <w:color w:val="002060"/>
          <w:sz w:val="16"/>
          <w:szCs w:val="16"/>
          <w:vertAlign w:val="superscript"/>
        </w:rPr>
        <w:t>{599}</w:t>
      </w:r>
      <w:r w:rsidRPr="00DE096C">
        <w:rPr>
          <w:bCs/>
          <w:color w:val="002060"/>
          <w:sz w:val="16"/>
          <w:szCs w:val="16"/>
        </w:rPr>
        <w:t>. Такие ходатайства, как известно, обладали повышенной весомостью.</w:t>
      </w:r>
    </w:p>
    <w:p w14:paraId="55965F03" w14:textId="77777777" w:rsidR="000B3344" w:rsidRPr="00DE096C" w:rsidRDefault="000B3344" w:rsidP="00D45A46">
      <w:pPr>
        <w:pStyle w:val="p1"/>
        <w:spacing w:before="0" w:beforeAutospacing="0" w:after="0" w:afterAutospacing="0"/>
        <w:jc w:val="both"/>
        <w:rPr>
          <w:bCs/>
          <w:color w:val="002060"/>
          <w:sz w:val="16"/>
          <w:szCs w:val="16"/>
        </w:rPr>
      </w:pPr>
      <w:r w:rsidRPr="00DE096C">
        <w:rPr>
          <w:bCs/>
          <w:color w:val="002060"/>
          <w:sz w:val="16"/>
          <w:szCs w:val="16"/>
        </w:rPr>
        <w:t>Лукомский запросил в ГВТУ справку, и выяснилось, что, наряду с обществом Делагэ, предложения учредить в России автомобильные заводы сделали и другие заграничные фирмы; одновременно ГВТУ с помощью Министерства торговли и промышленности обратилось к русским заводчикам. К концу 1915 г. отмечалась активность шести русских фирм, рассчитывавших получить поставку. Из них «уже строил автомобили» один только «Русско-Балтийский вагонный завод», при этом количество деталей, импортируемых РБВЗ, к 1914 г. «свелось к минимуму»: магнето, карбюраторы, обода колес «и некоторые другие»</w:t>
      </w:r>
      <w:r w:rsidRPr="00DE096C">
        <w:rPr>
          <w:bCs/>
          <w:color w:val="002060"/>
          <w:sz w:val="16"/>
          <w:szCs w:val="16"/>
          <w:vertAlign w:val="superscript"/>
        </w:rPr>
        <w:t>{600}</w:t>
      </w:r>
      <w:r w:rsidRPr="00DE096C">
        <w:rPr>
          <w:bCs/>
          <w:color w:val="002060"/>
          <w:sz w:val="16"/>
          <w:szCs w:val="16"/>
        </w:rPr>
        <w:t>. Эвакуированный из Риги в Фили (на окраине Москвы), завод «приступил к налажению этого дела» на новом месте[149]. Среди остальных пяти фирм о той или иной причастности к автомобильному делу имели основание заявлять ремонтные мастерские компании П. Ильина в Москве, за которыми числился «большой опыт в ремонте и постройке кузовов» (вскоре, однако, вопрос о заказе этой фирме «отпал» из-за увеличения запрошенной цены</w:t>
      </w:r>
      <w:r w:rsidRPr="00DE096C">
        <w:rPr>
          <w:bCs/>
          <w:color w:val="002060"/>
          <w:sz w:val="16"/>
          <w:szCs w:val="16"/>
          <w:vertAlign w:val="superscript"/>
        </w:rPr>
        <w:t>{601}</w:t>
      </w:r>
      <w:r w:rsidRPr="00DE096C">
        <w:rPr>
          <w:bCs/>
          <w:color w:val="002060"/>
          <w:sz w:val="16"/>
          <w:szCs w:val="16"/>
        </w:rPr>
        <w:t>), и мастерские в Петрограде фирмы «Русский Рено» — «весьма солидного предприятия» с «большим техническим опытом». Доставляемые в Россию грузовики фирма «Рено» отправляла на свой завод в Рыбинск, где машины «распаковывались, осматривались и приводились в исправность»</w:t>
      </w:r>
      <w:r w:rsidRPr="00DE096C">
        <w:rPr>
          <w:bCs/>
          <w:color w:val="002060"/>
          <w:sz w:val="16"/>
          <w:szCs w:val="16"/>
          <w:vertAlign w:val="superscript"/>
        </w:rPr>
        <w:t>{602}</w:t>
      </w:r>
      <w:r w:rsidRPr="00DE096C">
        <w:rPr>
          <w:bCs/>
          <w:color w:val="002060"/>
          <w:sz w:val="16"/>
          <w:szCs w:val="16"/>
        </w:rPr>
        <w:t>. (В Петрограде фирма занималась во время войны только заказами Организации Ванкова на запальные стаканы и детонаторы, «не имея для других целей никаких орудий производства» (18366).</w:t>
      </w:r>
    </w:p>
    <w:p w14:paraId="04C7E3DD" w14:textId="77777777" w:rsidR="000B3344" w:rsidRPr="00DE096C" w:rsidRDefault="000B3344" w:rsidP="00D45A46">
      <w:pPr>
        <w:pStyle w:val="p1"/>
        <w:spacing w:before="0" w:beforeAutospacing="0" w:after="0" w:afterAutospacing="0"/>
        <w:jc w:val="both"/>
        <w:rPr>
          <w:bCs/>
          <w:color w:val="002060"/>
          <w:sz w:val="16"/>
          <w:szCs w:val="16"/>
        </w:rPr>
      </w:pPr>
    </w:p>
    <w:p w14:paraId="037D4CBC" w14:textId="77777777" w:rsidR="000B3344" w:rsidRPr="00DE096C" w:rsidRDefault="000B3344" w:rsidP="00D45A46">
      <w:pPr>
        <w:pStyle w:val="p1"/>
        <w:spacing w:before="0" w:beforeAutospacing="0" w:after="0" w:afterAutospacing="0"/>
        <w:jc w:val="both"/>
        <w:rPr>
          <w:bCs/>
          <w:color w:val="002060"/>
          <w:sz w:val="16"/>
          <w:szCs w:val="16"/>
        </w:rPr>
      </w:pPr>
      <w:r w:rsidRPr="00DE096C">
        <w:rPr>
          <w:bCs/>
          <w:color w:val="002060"/>
          <w:sz w:val="16"/>
          <w:szCs w:val="16"/>
        </w:rPr>
        <w:t>С марта 1914 г. «Русское а. о. Делагэ» (Delahaye) в Реутове под Москвой начало постройку своего автомобильного завода на купленной для этой цели земле. Этому обществу Вернандер за полгода до того пообещал (в условной форме) заказ на военные грузовики — в случае согласия законодательных инстанций, ожидавшегося «не позже апреля 1914 г.». Такое обещание имело принципиальное значение для учредителей «Русского а. о. Делагэ». Как и прочими соискателями концессии, этой компанией «вопрос о постройке завода ставился в зависимость от получения казенных заказов». Уже одно только обещание помощника военного министра побудило французов, не дожидаясь ассигнования законодательными учреждениями денег на заказ автомобилей, основать упомянутое «русское а. о.», и, собрав капитал в миллион рублей, оно заключило контракты со строительными подрядчиками, поставщиками оборудования и нанимаемыми служащими.</w:t>
      </w:r>
    </w:p>
    <w:p w14:paraId="78F58BA7" w14:textId="77777777" w:rsidR="000B3344" w:rsidRPr="00DE096C" w:rsidRDefault="000B3344" w:rsidP="00D45A46">
      <w:pPr>
        <w:pStyle w:val="p1"/>
        <w:spacing w:before="0" w:beforeAutospacing="0" w:after="0" w:afterAutospacing="0"/>
        <w:jc w:val="both"/>
        <w:rPr>
          <w:bCs/>
          <w:color w:val="002060"/>
          <w:sz w:val="16"/>
          <w:szCs w:val="16"/>
        </w:rPr>
      </w:pPr>
      <w:r w:rsidRPr="00DE096C">
        <w:rPr>
          <w:bCs/>
          <w:color w:val="002060"/>
          <w:sz w:val="16"/>
          <w:szCs w:val="16"/>
        </w:rPr>
        <w:t>Совместно с ГВТУ «Русское а. о. Делагэ» выработало технические условия для грузовых автомобилей и «неоднократно ходатайствовало о выдаче ему заказа». Но к 10 декабря 1915 г. заказ еще не состоялся; Е.А. Данилов, брат начальника Канцелярии Военного министерства (в 1914 г. член правления Общества «Руссуд»), представлявший фирму в переговорах с военным ведомством, уведомил Лукомского, что фирма уже понесла расходы, основываясь на обещании Вернандера, и если дело с оформлением договора не сдвинется, то он не сможет больше «удержать французскую группу директоров от ходатайства через их правительство о выдаче этого заказа». Такие ходатайства, как известно, обладали повышенной весомостью.</w:t>
      </w:r>
    </w:p>
    <w:p w14:paraId="7EFB912E" w14:textId="77777777" w:rsidR="000B3344" w:rsidRPr="00DE096C" w:rsidRDefault="000B3344" w:rsidP="00D45A46">
      <w:pPr>
        <w:pStyle w:val="p1"/>
        <w:spacing w:before="0" w:beforeAutospacing="0" w:after="0" w:afterAutospacing="0"/>
        <w:jc w:val="both"/>
        <w:rPr>
          <w:bCs/>
          <w:color w:val="002060"/>
          <w:sz w:val="16"/>
          <w:szCs w:val="16"/>
        </w:rPr>
      </w:pPr>
      <w:r w:rsidRPr="00DE096C">
        <w:rPr>
          <w:bCs/>
          <w:color w:val="002060"/>
          <w:sz w:val="16"/>
          <w:szCs w:val="16"/>
        </w:rPr>
        <w:t>Лукомский запросил в ГВТУ справку, и выяснилось, что, наряду с обществом Делагэ, предложения учредить в России автомобильные заводы сделали и другие заграничные фирмы; одновременно ГВТУ с помощью Министерства торговли и промышленности обратилось к русским заводчикам. К концу 1915 г. отмечалась активность шести русских фирм, рассчитывавших получить поставку. Из них «уже строил автомобили» один только «Русско-Балтийский вагонный завод», при этом количество деталей, импортируемых РБВЗ, к 1914 г. «свелось к минимуму»: магнето, карбюраторы, обода колес «и некоторые другие». Эвакуированный из Риги в Фили (на окраине Москвы), завод «приступил к налажению этого дела» на новом месте. Среди остальных пяти фирм о той или иной причастности к автомобильному делу имели основание заявлять ремонтные мастерские компании П. Ильина в Москве, за которыми числился «большой опыт в ремонте и постройке кузовов» (вскоре, однако, вопрос о заказе этой фирме «отпал» из-за увеличения запрошенной цены), и мастерские в Петрограде фирмы «Русский Рено» — «весьма солидного предприятия» с «большим техническим опытом». Доставляемые в Россию грузовики фирма «Рено» отправляла на свой завод в Рыбинск, где машины «распаковывались, осматривались и приводились в исправность». (В Петрограде фирма занималась во время войны только заказами Организации Ванкова на запальные стаканы и детонаторы, «не имея для других целей никаких орудий производства»).</w:t>
      </w:r>
    </w:p>
    <w:p w14:paraId="13FD9A4F" w14:textId="77777777" w:rsidR="000B3344" w:rsidRPr="00DE096C" w:rsidRDefault="000B3344" w:rsidP="00D45A46">
      <w:pPr>
        <w:pStyle w:val="p1"/>
        <w:spacing w:before="0" w:beforeAutospacing="0" w:after="0" w:afterAutospacing="0"/>
        <w:jc w:val="both"/>
        <w:rPr>
          <w:bCs/>
          <w:color w:val="002060"/>
          <w:sz w:val="16"/>
          <w:szCs w:val="16"/>
        </w:rPr>
      </w:pPr>
      <w:r w:rsidRPr="00DE096C">
        <w:rPr>
          <w:bCs/>
          <w:color w:val="002060"/>
          <w:sz w:val="16"/>
          <w:szCs w:val="16"/>
        </w:rPr>
        <w:t>Прочие же три фирмы лишь проявили готовность приспособиться к постройке автомобилей. Это были «А. о. воздухоплавания В.А. Лебедев» с заводом аэропланов в Петрограде, устраивавшее также завод в Ярославле; механический завод а. о. «Аксай» в Нахичевани — «одно из крупных и прекрасно оборудованных предприятий Юга России»; проект автомобильного завода для общества А. Кузнецов и С. Рябушинский готовили в США. «Предполагали приступить» к организации автомобильных заводов в России, кроме «Рено», еще «Фиат», американская «General Motors Truck &amp; С°», общество Бекос, французская «Шнейдер и К</w:t>
      </w:r>
      <w:r w:rsidRPr="00DE096C">
        <w:rPr>
          <w:bCs/>
          <w:color w:val="002060"/>
          <w:sz w:val="16"/>
          <w:szCs w:val="16"/>
          <w:vertAlign w:val="superscript"/>
        </w:rPr>
        <w:t>0</w:t>
      </w:r>
      <w:r w:rsidRPr="00DE096C">
        <w:rPr>
          <w:bCs/>
          <w:color w:val="002060"/>
          <w:sz w:val="16"/>
          <w:szCs w:val="16"/>
        </w:rPr>
        <w:t>». Свой завод под Одессой устраивала американская компания Roumley Motor Truck Co.</w:t>
      </w:r>
    </w:p>
    <w:p w14:paraId="03158146" w14:textId="77777777" w:rsidR="000B3344" w:rsidRPr="00DE096C" w:rsidRDefault="000B3344" w:rsidP="00D45A46">
      <w:pPr>
        <w:pStyle w:val="p1"/>
        <w:spacing w:before="0" w:beforeAutospacing="0" w:after="0" w:afterAutospacing="0"/>
        <w:jc w:val="both"/>
        <w:rPr>
          <w:bCs/>
          <w:color w:val="002060"/>
          <w:sz w:val="16"/>
          <w:szCs w:val="16"/>
        </w:rPr>
      </w:pPr>
      <w:r w:rsidRPr="00DE096C">
        <w:rPr>
          <w:bCs/>
          <w:color w:val="002060"/>
          <w:sz w:val="16"/>
          <w:szCs w:val="16"/>
        </w:rPr>
        <w:lastRenderedPageBreak/>
        <w:t>Подготовительную комиссию Особого совещания по обороне привлекала низкая цена, назначенная обществом Делагэ, но еще ниже назначило цену общество Бекос («British Engineering Co of Siberia»). Тем не менее по соображениям таможенной политики комиссия была вынуждена рекомендовать (наряду с пятью русскими компаниями) фирму «Русский Рено» (18409).</w:t>
      </w:r>
    </w:p>
    <w:p w14:paraId="6B0D1339" w14:textId="77777777" w:rsidR="000B3344" w:rsidRPr="00DE096C" w:rsidRDefault="000B3344" w:rsidP="00D45A46">
      <w:pPr>
        <w:pStyle w:val="p1"/>
        <w:spacing w:before="0" w:beforeAutospacing="0" w:after="0" w:afterAutospacing="0"/>
        <w:jc w:val="both"/>
        <w:rPr>
          <w:bCs/>
          <w:color w:val="002060"/>
          <w:sz w:val="16"/>
          <w:szCs w:val="16"/>
        </w:rPr>
      </w:pPr>
    </w:p>
    <w:p w14:paraId="43BA4A19" w14:textId="77777777" w:rsidR="007E5829" w:rsidRPr="00DE096C" w:rsidRDefault="007E5829" w:rsidP="00D45A46">
      <w:pPr>
        <w:jc w:val="both"/>
        <w:rPr>
          <w:bCs/>
          <w:color w:val="002060"/>
          <w:sz w:val="16"/>
          <w:szCs w:val="16"/>
        </w:rPr>
      </w:pPr>
      <w:r w:rsidRPr="00DE096C">
        <w:rPr>
          <w:bCs/>
          <w:color w:val="002060"/>
          <w:sz w:val="16"/>
          <w:szCs w:val="16"/>
        </w:rPr>
        <w:t>С марта 1914 г. в Реутове под Москвой начало построй</w:t>
      </w:r>
      <w:r w:rsidRPr="00DE096C">
        <w:rPr>
          <w:bCs/>
          <w:color w:val="002060"/>
          <w:sz w:val="16"/>
          <w:szCs w:val="16"/>
        </w:rPr>
        <w:softHyphen/>
        <w:t>ку своего автомобильного завода на купленной для этой цели земле «Русское а. о. Делагэ» (Delahaye). Этому обще</w:t>
      </w:r>
      <w:r w:rsidRPr="00DE096C">
        <w:rPr>
          <w:bCs/>
          <w:color w:val="002060"/>
          <w:sz w:val="16"/>
          <w:szCs w:val="16"/>
        </w:rPr>
        <w:softHyphen/>
        <w:t>ству Вернандер за полгода до того пообещал (в условной форме) заказ на военные грузовики — в случае согласия законодательных инстанций, ожидавшегося «не позже ап</w:t>
      </w:r>
      <w:r w:rsidRPr="00DE096C">
        <w:rPr>
          <w:bCs/>
          <w:color w:val="002060"/>
          <w:sz w:val="16"/>
          <w:szCs w:val="16"/>
        </w:rPr>
        <w:softHyphen/>
        <w:t>реля 1914 г.». Такое обещание имело принципиальное зна</w:t>
      </w:r>
      <w:r w:rsidRPr="00DE096C">
        <w:rPr>
          <w:bCs/>
          <w:color w:val="002060"/>
          <w:sz w:val="16"/>
          <w:szCs w:val="16"/>
        </w:rPr>
        <w:softHyphen/>
        <w:t>чение для учредителей «Русского а. о. Делагэ». Как и про</w:t>
      </w:r>
      <w:r w:rsidRPr="00DE096C">
        <w:rPr>
          <w:bCs/>
          <w:color w:val="002060"/>
          <w:sz w:val="16"/>
          <w:szCs w:val="16"/>
        </w:rPr>
        <w:softHyphen/>
        <w:t>чими соискателями концессии, этой компанией «вопрос о постройке завода ставился в зависимость от получения ка</w:t>
      </w:r>
      <w:r w:rsidRPr="00DE096C">
        <w:rPr>
          <w:bCs/>
          <w:color w:val="002060"/>
          <w:sz w:val="16"/>
          <w:szCs w:val="16"/>
        </w:rPr>
        <w:softHyphen/>
        <w:t>зенных заказов». Уже одно только обещание помощника военного министра побудило французов, не дожидаясь ас</w:t>
      </w:r>
      <w:r w:rsidRPr="00DE096C">
        <w:rPr>
          <w:bCs/>
          <w:color w:val="002060"/>
          <w:sz w:val="16"/>
          <w:szCs w:val="16"/>
        </w:rPr>
        <w:softHyphen/>
        <w:t>сигнования законодательными учреждениями денег на за</w:t>
      </w:r>
      <w:r w:rsidRPr="00DE096C">
        <w:rPr>
          <w:bCs/>
          <w:color w:val="002060"/>
          <w:sz w:val="16"/>
          <w:szCs w:val="16"/>
        </w:rPr>
        <w:softHyphen/>
        <w:t>каз автомобилей, основать упомянутое «русское а. о.», и, собрав капитал в миллион рублей, оно заключило контрак</w:t>
      </w:r>
      <w:r w:rsidRPr="00DE096C">
        <w:rPr>
          <w:bCs/>
          <w:color w:val="002060"/>
          <w:sz w:val="16"/>
          <w:szCs w:val="16"/>
        </w:rPr>
        <w:softHyphen/>
        <w:t>ты со строительными подрядчиками, поставщиками обо</w:t>
      </w:r>
      <w:r w:rsidRPr="00DE096C">
        <w:rPr>
          <w:bCs/>
          <w:color w:val="002060"/>
          <w:sz w:val="16"/>
          <w:szCs w:val="16"/>
        </w:rPr>
        <w:softHyphen/>
        <w:t>рудования и нанимаемыми служащими.</w:t>
      </w:r>
    </w:p>
    <w:p w14:paraId="5CB97F44" w14:textId="77777777" w:rsidR="007E5829" w:rsidRPr="00DE096C" w:rsidRDefault="007E5829" w:rsidP="00D45A46">
      <w:pPr>
        <w:pStyle w:val="af7"/>
        <w:spacing w:line="240" w:lineRule="auto"/>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Совместно с ГВТУ «Русское а. о. Делагэ» выработало технические условия для грузовых автомобилей и «неодно</w:t>
      </w:r>
      <w:r w:rsidRPr="00DE096C">
        <w:rPr>
          <w:rFonts w:ascii="Times New Roman" w:hAnsi="Times New Roman" w:cs="Times New Roman"/>
          <w:bCs/>
          <w:color w:val="002060"/>
          <w:sz w:val="16"/>
          <w:szCs w:val="16"/>
        </w:rPr>
        <w:softHyphen/>
        <w:t>кратно ходатайствовало о выдаче ему заказа». Но к 10 де</w:t>
      </w:r>
      <w:r w:rsidRPr="00DE096C">
        <w:rPr>
          <w:rFonts w:ascii="Times New Roman" w:hAnsi="Times New Roman" w:cs="Times New Roman"/>
          <w:bCs/>
          <w:color w:val="002060"/>
          <w:sz w:val="16"/>
          <w:szCs w:val="16"/>
        </w:rPr>
        <w:softHyphen/>
        <w:t xml:space="preserve">кабря 1915 г. заказ еще не состоялся; Е.А. Данилов, брат начальника Канцелярии Военного министерства (в 1914 г. член правления Общества «Руссуд» (РГВИА. Ф. 369. Оп. 16. Д. 97. Л. 154-156. Доклад </w:t>
      </w:r>
      <w:r w:rsidRPr="00DE096C">
        <w:rPr>
          <w:rFonts w:ascii="Times New Roman" w:hAnsi="Times New Roman" w:cs="Times New Roman"/>
          <w:bCs/>
          <w:color w:val="002060"/>
          <w:sz w:val="16"/>
          <w:szCs w:val="16"/>
          <w:lang w:bidi="en-US"/>
        </w:rPr>
        <w:t>8.</w:t>
      </w:r>
      <w:r w:rsidRPr="00DE096C">
        <w:rPr>
          <w:rFonts w:ascii="Times New Roman" w:hAnsi="Times New Roman" w:cs="Times New Roman"/>
          <w:bCs/>
          <w:color w:val="002060"/>
          <w:sz w:val="16"/>
          <w:szCs w:val="16"/>
          <w:lang w:val="en-US" w:bidi="en-US"/>
        </w:rPr>
        <w:t>XI</w:t>
      </w:r>
      <w:r w:rsidRPr="00DE096C">
        <w:rPr>
          <w:rFonts w:ascii="Times New Roman" w:hAnsi="Times New Roman" w:cs="Times New Roman"/>
          <w:bCs/>
          <w:color w:val="002060"/>
          <w:sz w:val="16"/>
          <w:szCs w:val="16"/>
          <w:lang w:bidi="en-US"/>
        </w:rPr>
        <w:t xml:space="preserve">.1915; </w:t>
      </w:r>
      <w:r w:rsidRPr="00DE096C">
        <w:rPr>
          <w:rFonts w:ascii="Times New Roman" w:hAnsi="Times New Roman" w:cs="Times New Roman"/>
          <w:bCs/>
          <w:color w:val="002060"/>
          <w:sz w:val="16"/>
          <w:szCs w:val="16"/>
        </w:rPr>
        <w:t>Булатов В.В. Иностранный предпринимательский капитал в во</w:t>
      </w:r>
      <w:r w:rsidRPr="00DE096C">
        <w:rPr>
          <w:rFonts w:ascii="Times New Roman" w:hAnsi="Times New Roman" w:cs="Times New Roman"/>
          <w:bCs/>
          <w:color w:val="002060"/>
          <w:sz w:val="16"/>
          <w:szCs w:val="16"/>
        </w:rPr>
        <w:softHyphen/>
        <w:t>енной промышленности России. «Группа Виккерс» и Русское а. о. ар</w:t>
      </w:r>
      <w:r w:rsidRPr="00DE096C">
        <w:rPr>
          <w:rFonts w:ascii="Times New Roman" w:hAnsi="Times New Roman" w:cs="Times New Roman"/>
          <w:bCs/>
          <w:color w:val="002060"/>
          <w:sz w:val="16"/>
          <w:szCs w:val="16"/>
        </w:rPr>
        <w:softHyphen/>
        <w:t>тиллерийских заводов (1912—1918 гг.). (Дисс.). Волгоград, 2000. С. 42.), представлявший фир</w:t>
      </w:r>
      <w:r w:rsidRPr="00DE096C">
        <w:rPr>
          <w:rFonts w:ascii="Times New Roman" w:hAnsi="Times New Roman" w:cs="Times New Roman"/>
          <w:bCs/>
          <w:color w:val="002060"/>
          <w:sz w:val="16"/>
          <w:szCs w:val="16"/>
        </w:rPr>
        <w:softHyphen/>
        <w:t>му в переговорах с военным ведомством, уведомил Лукомского, что фирма уже понесла расходы, основываясь на обещании Вернандера, и если дело с оформлением догово</w:t>
      </w:r>
      <w:r w:rsidRPr="00DE096C">
        <w:rPr>
          <w:rFonts w:ascii="Times New Roman" w:hAnsi="Times New Roman" w:cs="Times New Roman"/>
          <w:bCs/>
          <w:color w:val="002060"/>
          <w:sz w:val="16"/>
          <w:szCs w:val="16"/>
        </w:rPr>
        <w:softHyphen/>
        <w:t>ра не сдвинется, то он не сможет больше «удержать фран</w:t>
      </w:r>
      <w:r w:rsidRPr="00DE096C">
        <w:rPr>
          <w:rFonts w:ascii="Times New Roman" w:hAnsi="Times New Roman" w:cs="Times New Roman"/>
          <w:bCs/>
          <w:color w:val="002060"/>
          <w:sz w:val="16"/>
          <w:szCs w:val="16"/>
        </w:rPr>
        <w:softHyphen/>
        <w:t>цузскую группу директоров от ходатайства через их прави</w:t>
      </w:r>
      <w:r w:rsidRPr="00DE096C">
        <w:rPr>
          <w:rFonts w:ascii="Times New Roman" w:hAnsi="Times New Roman" w:cs="Times New Roman"/>
          <w:bCs/>
          <w:color w:val="002060"/>
          <w:sz w:val="16"/>
          <w:szCs w:val="16"/>
        </w:rPr>
        <w:softHyphen/>
        <w:t>тельство о выдаче этого заказа»1. Такие ходатайства, как известно, обладали повышенной весомостью.</w:t>
      </w:r>
    </w:p>
    <w:p w14:paraId="535439E8" w14:textId="77777777" w:rsidR="007E5829" w:rsidRPr="00DE096C" w:rsidRDefault="007E5829" w:rsidP="00D45A46">
      <w:pPr>
        <w:pStyle w:val="af7"/>
        <w:spacing w:line="240" w:lineRule="auto"/>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Лукомский запросил в ГВТУ справку, и выяснилось, что, наряду с обществом Делагэ, предложения учредить в России автомобильные заводы сделали и другие заграничные фир</w:t>
      </w:r>
      <w:r w:rsidRPr="00DE096C">
        <w:rPr>
          <w:rFonts w:ascii="Times New Roman" w:hAnsi="Times New Roman" w:cs="Times New Roman"/>
          <w:bCs/>
          <w:color w:val="002060"/>
          <w:sz w:val="16"/>
          <w:szCs w:val="16"/>
        </w:rPr>
        <w:softHyphen/>
        <w:t>мы; одновременно ГВТУ с помощью Министерства торговли и промышленности обратилось к русским заводчикам. К кон</w:t>
      </w:r>
      <w:r w:rsidRPr="00DE096C">
        <w:rPr>
          <w:rFonts w:ascii="Times New Roman" w:hAnsi="Times New Roman" w:cs="Times New Roman"/>
          <w:bCs/>
          <w:color w:val="002060"/>
          <w:sz w:val="16"/>
          <w:szCs w:val="16"/>
        </w:rPr>
        <w:softHyphen/>
        <w:t>цу 1915 г. отмечалась активность шести русских фирм, рас</w:t>
      </w:r>
      <w:r w:rsidRPr="00DE096C">
        <w:rPr>
          <w:rFonts w:ascii="Times New Roman" w:hAnsi="Times New Roman" w:cs="Times New Roman"/>
          <w:bCs/>
          <w:color w:val="002060"/>
          <w:sz w:val="16"/>
          <w:szCs w:val="16"/>
        </w:rPr>
        <w:softHyphen/>
        <w:t>считывавших получить поставку. Из них «уже строил автомо</w:t>
      </w:r>
      <w:r w:rsidRPr="00DE096C">
        <w:rPr>
          <w:rFonts w:ascii="Times New Roman" w:hAnsi="Times New Roman" w:cs="Times New Roman"/>
          <w:bCs/>
          <w:color w:val="002060"/>
          <w:sz w:val="16"/>
          <w:szCs w:val="16"/>
        </w:rPr>
        <w:softHyphen/>
        <w:t xml:space="preserve">били» один только «Русско-Балтийский вагонный завод», при этом количество деталей, импортируемых РБВЗ, к 1914 г. «свелось к минимуму»: магнето, карбюраторы, обода колес «и некоторые другие» (РГИА. Ф. 1276. Оп. 12. Д. 208. Л. 67 и об. Данилов — Поливанову, </w:t>
      </w:r>
      <w:r w:rsidRPr="00DE096C">
        <w:rPr>
          <w:rFonts w:ascii="Times New Roman" w:hAnsi="Times New Roman" w:cs="Times New Roman"/>
          <w:bCs/>
          <w:color w:val="002060"/>
          <w:sz w:val="16"/>
          <w:szCs w:val="16"/>
          <w:lang w:bidi="en-US"/>
        </w:rPr>
        <w:t>10.</w:t>
      </w:r>
      <w:r w:rsidRPr="00DE096C">
        <w:rPr>
          <w:rFonts w:ascii="Times New Roman" w:hAnsi="Times New Roman" w:cs="Times New Roman"/>
          <w:bCs/>
          <w:color w:val="002060"/>
          <w:sz w:val="16"/>
          <w:szCs w:val="16"/>
          <w:lang w:val="en-US" w:bidi="en-US"/>
        </w:rPr>
        <w:t>XII</w:t>
      </w:r>
      <w:r w:rsidRPr="00DE096C">
        <w:rPr>
          <w:rFonts w:ascii="Times New Roman" w:hAnsi="Times New Roman" w:cs="Times New Roman"/>
          <w:bCs/>
          <w:color w:val="002060"/>
          <w:sz w:val="16"/>
          <w:szCs w:val="16"/>
          <w:lang w:bidi="en-US"/>
        </w:rPr>
        <w:t xml:space="preserve">.1915; </w:t>
      </w:r>
      <w:r w:rsidRPr="00DE096C">
        <w:rPr>
          <w:rFonts w:ascii="Times New Roman" w:hAnsi="Times New Roman" w:cs="Times New Roman"/>
          <w:bCs/>
          <w:color w:val="002060"/>
          <w:sz w:val="16"/>
          <w:szCs w:val="16"/>
        </w:rPr>
        <w:t>История автомобильного транспорта России до 1917 [года]. М., 1994. С. 40). Эвакуированный из Риги в Фили (на окраине Москвы), завод «приступил к налажению этого дела» на новом месте (По сведениям в биографической справке о рабочем этого завода Э. Апшенеке, к автомобильному отделу проявили интерес владельцы АМО: «За автомобильным отделением приехали учредители АМО, мил</w:t>
      </w:r>
      <w:r w:rsidRPr="00DE096C">
        <w:rPr>
          <w:rFonts w:ascii="Times New Roman" w:hAnsi="Times New Roman" w:cs="Times New Roman"/>
          <w:bCs/>
          <w:color w:val="002060"/>
          <w:sz w:val="16"/>
          <w:szCs w:val="16"/>
        </w:rPr>
        <w:softHyphen/>
        <w:t>лионеры Рябушинские, купили и отправили в Москву» (Штраус В. Ла</w:t>
      </w:r>
      <w:r w:rsidRPr="00DE096C">
        <w:rPr>
          <w:rFonts w:ascii="Times New Roman" w:hAnsi="Times New Roman" w:cs="Times New Roman"/>
          <w:bCs/>
          <w:color w:val="002060"/>
          <w:sz w:val="16"/>
          <w:szCs w:val="16"/>
        </w:rPr>
        <w:softHyphen/>
        <w:t>тышский дневник // Бутовский полигон. М., 2007. [Вып. 8]. С. 281 — 282). На работу в АМО взяли и инженеров и конструкторов РБВЗ (Воронкова С.В. «Заводское строительство в России в годы Первой миро</w:t>
      </w:r>
      <w:r w:rsidRPr="00DE096C">
        <w:rPr>
          <w:rFonts w:ascii="Times New Roman" w:hAnsi="Times New Roman" w:cs="Times New Roman"/>
          <w:bCs/>
          <w:color w:val="002060"/>
          <w:sz w:val="16"/>
          <w:szCs w:val="16"/>
        </w:rPr>
        <w:softHyphen/>
        <w:t>вой войны И Экономический журнал. 2002. № 8. С. 22). В 1915—1916 гг. была намечена «пересадка» в Москву моторного отдела РБВЗ, но к мо- •менту спешной эвакуации помещения для этого отдела в Москве еще не были построены, и оборудование оказалось в Петрограде (РГВИА. Ф. 369. Оп. 2. Д. 78. Л. 19 и об.). Среди остальных пяти фирм о той или иной причастности к автомобильному делу имели основание за</w:t>
      </w:r>
      <w:r w:rsidRPr="00DE096C">
        <w:rPr>
          <w:rFonts w:ascii="Times New Roman" w:hAnsi="Times New Roman" w:cs="Times New Roman"/>
          <w:bCs/>
          <w:color w:val="002060"/>
          <w:sz w:val="16"/>
          <w:szCs w:val="16"/>
        </w:rPr>
        <w:softHyphen/>
        <w:t>являть ремонтные мастерские компании П. Ильина в Москве, за которыми числился «большой опыт в ремонте и построй</w:t>
      </w:r>
      <w:r w:rsidRPr="00DE096C">
        <w:rPr>
          <w:rFonts w:ascii="Times New Roman" w:hAnsi="Times New Roman" w:cs="Times New Roman"/>
          <w:bCs/>
          <w:color w:val="002060"/>
          <w:sz w:val="16"/>
          <w:szCs w:val="16"/>
        </w:rPr>
        <w:softHyphen/>
        <w:t>ке кузовов» (вскоре, однако, вопрос о заказе этой фирме «от</w:t>
      </w:r>
      <w:r w:rsidRPr="00DE096C">
        <w:rPr>
          <w:rFonts w:ascii="Times New Roman" w:hAnsi="Times New Roman" w:cs="Times New Roman"/>
          <w:bCs/>
          <w:color w:val="002060"/>
          <w:sz w:val="16"/>
          <w:szCs w:val="16"/>
        </w:rPr>
        <w:softHyphen/>
        <w:t>пал» из-за увеличения запрошенной цены (ВПР. С. 558)), и мастерские в Петрограде фирмы «Русский Рено» — «весьма солидного предприятия» с «большим техническим опытом». Доставля</w:t>
      </w:r>
      <w:r w:rsidRPr="00DE096C">
        <w:rPr>
          <w:rFonts w:ascii="Times New Roman" w:hAnsi="Times New Roman" w:cs="Times New Roman"/>
          <w:bCs/>
          <w:color w:val="002060"/>
          <w:sz w:val="16"/>
          <w:szCs w:val="16"/>
        </w:rPr>
        <w:softHyphen/>
        <w:t>емые в Россию грузовики фирма «Рено» отправляла на свой завод в Рыбинск, где машины «распаковывались, осматри</w:t>
      </w:r>
      <w:r w:rsidRPr="00DE096C">
        <w:rPr>
          <w:rFonts w:ascii="Times New Roman" w:hAnsi="Times New Roman" w:cs="Times New Roman"/>
          <w:bCs/>
          <w:color w:val="002060"/>
          <w:sz w:val="16"/>
          <w:szCs w:val="16"/>
        </w:rPr>
        <w:softHyphen/>
        <w:t>вались и приводились в исправность»1. (В Петрограде фирма занималась во время войны только заказами Организации Ванкова на запальные стаканы и детонаторы, «не имея для других целей никаких орудий производства» (РГИА. Ф. 1276. Оп. 12. Д. 208. Л. 52; РГВИА. Ф. 369. Оп. 16. Д. 54; История Организации уполномоченного ГАУ. С. 189)) (23452).</w:t>
      </w:r>
    </w:p>
    <w:p w14:paraId="0DDDF103" w14:textId="77777777" w:rsidR="00B67D7C" w:rsidRPr="00DE096C" w:rsidRDefault="00B67D7C" w:rsidP="00D45A46">
      <w:pPr>
        <w:jc w:val="both"/>
        <w:rPr>
          <w:bCs/>
          <w:color w:val="002060"/>
          <w:sz w:val="16"/>
          <w:szCs w:val="16"/>
        </w:rPr>
      </w:pPr>
    </w:p>
    <w:p w14:paraId="059F93D0" w14:textId="015E625A" w:rsidR="00B67D7C" w:rsidRPr="00DE096C" w:rsidRDefault="00B67D7C" w:rsidP="00D45A46">
      <w:pPr>
        <w:shd w:val="clear" w:color="auto" w:fill="FFFFFF"/>
        <w:jc w:val="both"/>
        <w:rPr>
          <w:bCs/>
          <w:i/>
          <w:color w:val="002060"/>
          <w:sz w:val="16"/>
          <w:szCs w:val="16"/>
        </w:rPr>
      </w:pPr>
      <w:r w:rsidRPr="00DE096C">
        <w:rPr>
          <w:bCs/>
          <w:i/>
          <w:color w:val="002060"/>
          <w:sz w:val="16"/>
          <w:szCs w:val="16"/>
        </w:rPr>
        <w:t>Армия:</w:t>
      </w:r>
    </w:p>
    <w:p w14:paraId="55F639C0" w14:textId="77777777" w:rsidR="00B67D7C" w:rsidRPr="00DE096C" w:rsidRDefault="00B67D7C" w:rsidP="00D45A46">
      <w:pPr>
        <w:shd w:val="clear" w:color="auto" w:fill="FFFFFF"/>
        <w:jc w:val="both"/>
        <w:rPr>
          <w:bCs/>
          <w:i/>
          <w:color w:val="002060"/>
          <w:sz w:val="16"/>
          <w:szCs w:val="16"/>
        </w:rPr>
      </w:pPr>
    </w:p>
    <w:p w14:paraId="6550D8D7" w14:textId="1BA273E0"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В марте 1914 года был введен в строй радиопеленгатор в Кильконде, в мае на полуострове Ганге и о.Даго. Важно отметить, что Ренгартен уже тогда обращал внимание на необходимость объединения РРП в единую сеть и организацию синхронного радиопеленгования. На Черном море в апреле был введен в строй РРП под Севастополем, в мае вошел в строй РРП под Одессой. Первые же 3 комплекта береговых РРП получил Тихоокеанский флот и ввел в строй их к марту 1914 года. Посты были размещены в б.Славянка, на острове Русском и на м.Путятина, притом к маю их удалось связать надежными линиями проводной связи. В мае был установлен еще 1 РРП на Сахалине на Корсаковом посту, что позволило пеленговать с высокой точностью выходы в эфир судов Японского флота. В начале июня 1914 года между МГШ и Адмирал-штабом было достигнуто соглашение о развертывании 2-х Радиопеленгаторов на Германской территории, обслуживаемых совместными командами. Один радиопеленгатор был установлен к августу 1914 года у Бельгийской границы, второй на острове Гельголанд. Еще один РРП был установлен практически на границе с Данией. </w:t>
      </w:r>
    </w:p>
    <w:p w14:paraId="699B9016"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В заключении стоит отметить, что первый корабельный РРП разработанный Ренгартеном был испытан на "Бутакове" в ноябре 1914 года, но испытания были признаны не совсем успешным. Ввиду этого проект нового корабельного РРП был предложен офицером МГШ П. Е. Стоговым, взявшим за основу созданный на заводе РОБТиТ (Российского Общества Беспроволочных Телеграфов и Телефонов) перевозной РРП, смонтированный на легковой автомашине. Антенна корабельного РРП представляла собой рамку из трех витков антенного провода, натянутых между мачтами в диаметральной плоскости корабля. Определение пеленга осуществлялось при циркуляции корабля по минимуму сигнала. Испытания РРП прошли весной 1915 года в районе Севастополя под руководством лейтенанта Н. Е. Киреенко и дали положительный результат. Уже к декабрю 1915 было изготовлено и распределено по флотам 27 комплектов корабельных РРП (12284).</w:t>
      </w:r>
    </w:p>
    <w:p w14:paraId="0FF38FFC" w14:textId="77777777" w:rsidR="00B67D7C" w:rsidRPr="00DE096C" w:rsidRDefault="00B67D7C" w:rsidP="00D45A46">
      <w:pPr>
        <w:jc w:val="both"/>
        <w:rPr>
          <w:bCs/>
          <w:color w:val="002060"/>
          <w:sz w:val="16"/>
          <w:szCs w:val="16"/>
        </w:rPr>
      </w:pPr>
    </w:p>
    <w:p w14:paraId="1C5C7000" w14:textId="77777777" w:rsidR="007E5829" w:rsidRPr="00DE096C" w:rsidRDefault="007E5829" w:rsidP="00D45A46">
      <w:pPr>
        <w:jc w:val="both"/>
        <w:rPr>
          <w:bCs/>
          <w:color w:val="002060"/>
          <w:sz w:val="16"/>
          <w:szCs w:val="16"/>
        </w:rPr>
      </w:pPr>
      <w:r w:rsidRPr="00DE096C">
        <w:rPr>
          <w:bCs/>
          <w:color w:val="002060"/>
          <w:sz w:val="16"/>
          <w:szCs w:val="16"/>
          <w:lang w:bidi="en-US"/>
        </w:rPr>
        <w:t>В течение марта 1814 г. Киевский аэроклуб выпустил первый номер журнала «Автомобильная жизнь и авиация».</w:t>
      </w:r>
    </w:p>
    <w:p w14:paraId="21416F2B" w14:textId="77777777" w:rsidR="007E5829" w:rsidRPr="00DE096C" w:rsidRDefault="007E5829" w:rsidP="00D45A46">
      <w:pPr>
        <w:jc w:val="both"/>
        <w:rPr>
          <w:bCs/>
          <w:color w:val="002060"/>
          <w:sz w:val="16"/>
          <w:szCs w:val="16"/>
        </w:rPr>
      </w:pPr>
    </w:p>
    <w:p w14:paraId="66527CD1" w14:textId="77777777" w:rsidR="007E5829" w:rsidRPr="00DE096C" w:rsidRDefault="007E5829" w:rsidP="00D45A46">
      <w:pPr>
        <w:jc w:val="both"/>
        <w:rPr>
          <w:bCs/>
          <w:color w:val="002060"/>
          <w:sz w:val="16"/>
          <w:szCs w:val="16"/>
          <w:lang w:bidi="en-US"/>
        </w:rPr>
      </w:pPr>
      <w:r w:rsidRPr="00DE096C">
        <w:rPr>
          <w:bCs/>
          <w:color w:val="002060"/>
          <w:sz w:val="16"/>
          <w:szCs w:val="16"/>
          <w:lang w:bidi="en-US"/>
        </w:rPr>
        <w:t>В течение марта 1914 г. лекции, организованные Московским воздухоплавательным обществом, читали для летчиков-офицеров профессор Н.Е. Жуковского в Московском университете (23525).</w:t>
      </w:r>
    </w:p>
    <w:p w14:paraId="058B409C" w14:textId="77777777" w:rsidR="007E5829" w:rsidRPr="00DE096C" w:rsidRDefault="007E5829" w:rsidP="00D45A46">
      <w:pPr>
        <w:jc w:val="both"/>
        <w:rPr>
          <w:bCs/>
          <w:color w:val="002060"/>
          <w:sz w:val="16"/>
          <w:szCs w:val="16"/>
        </w:rPr>
      </w:pPr>
    </w:p>
    <w:p w14:paraId="1FC9AF7F" w14:textId="5CFE6372" w:rsidR="007E5829" w:rsidRPr="00DE096C" w:rsidRDefault="007E5829" w:rsidP="00D45A46">
      <w:pPr>
        <w:shd w:val="clear" w:color="auto" w:fill="FFFFFF"/>
        <w:jc w:val="both"/>
        <w:rPr>
          <w:bCs/>
          <w:i/>
          <w:color w:val="002060"/>
          <w:sz w:val="16"/>
          <w:szCs w:val="16"/>
        </w:rPr>
      </w:pPr>
      <w:r w:rsidRPr="00DE096C">
        <w:rPr>
          <w:bCs/>
          <w:i/>
          <w:color w:val="002060"/>
          <w:sz w:val="16"/>
          <w:szCs w:val="16"/>
        </w:rPr>
        <w:t>Морская авиация:</w:t>
      </w:r>
    </w:p>
    <w:p w14:paraId="1C337E15" w14:textId="77777777" w:rsidR="007E5829" w:rsidRPr="00DE096C" w:rsidRDefault="007E5829" w:rsidP="00D45A46">
      <w:pPr>
        <w:shd w:val="clear" w:color="auto" w:fill="FFFFFF"/>
        <w:jc w:val="both"/>
        <w:rPr>
          <w:bCs/>
          <w:i/>
          <w:color w:val="002060"/>
          <w:sz w:val="16"/>
          <w:szCs w:val="16"/>
        </w:rPr>
      </w:pPr>
    </w:p>
    <w:p w14:paraId="2FC03A7D" w14:textId="77777777" w:rsidR="007E5829" w:rsidRPr="00DE096C" w:rsidRDefault="007E5829" w:rsidP="00D45A46">
      <w:pPr>
        <w:jc w:val="both"/>
        <w:rPr>
          <w:bCs/>
          <w:color w:val="002060"/>
          <w:sz w:val="16"/>
          <w:szCs w:val="16"/>
          <w:lang w:bidi="en-US"/>
        </w:rPr>
      </w:pPr>
      <w:r w:rsidRPr="00DE096C">
        <w:rPr>
          <w:bCs/>
          <w:color w:val="002060"/>
          <w:sz w:val="16"/>
          <w:szCs w:val="16"/>
          <w:lang w:bidi="en-US"/>
        </w:rPr>
        <w:t>В марте 1914 г. лейтенант 1.1. Стаховский, командующий авиационным отделением Службы связи и связи Черноморского флота, предложил отделить авиацию от Службы связи и связи и сделать ее центром авиации Черноморского флота и базой корабельных частей и других частей на театре военных действий. Адмирал А. А. Эбергард поддержал план, запросив в Морском Главном штабе указание сформировать в составе Центра два авиационных батальона, один из которых будет действовать с кораблей, а другой предусмотрен в составе отряда «Илья Муромец» для выполнения специальных задач. Проект не был утвержден (23525).</w:t>
      </w:r>
    </w:p>
    <w:p w14:paraId="7C908886" w14:textId="77777777" w:rsidR="007E5829" w:rsidRPr="00DE096C" w:rsidRDefault="007E5829" w:rsidP="00D45A46">
      <w:pPr>
        <w:jc w:val="both"/>
        <w:rPr>
          <w:bCs/>
          <w:color w:val="002060"/>
          <w:sz w:val="16"/>
          <w:szCs w:val="16"/>
        </w:rPr>
      </w:pPr>
    </w:p>
    <w:p w14:paraId="0EE2B960" w14:textId="77777777" w:rsidR="007E5829" w:rsidRPr="00DE096C" w:rsidRDefault="007E5829" w:rsidP="00D45A46">
      <w:pPr>
        <w:shd w:val="clear" w:color="auto" w:fill="FFFFFF"/>
        <w:jc w:val="both"/>
        <w:rPr>
          <w:bCs/>
          <w:color w:val="002060"/>
          <w:sz w:val="16"/>
          <w:szCs w:val="16"/>
        </w:rPr>
      </w:pPr>
      <w:r w:rsidRPr="00DE096C">
        <w:rPr>
          <w:bCs/>
          <w:color w:val="002060"/>
          <w:sz w:val="16"/>
          <w:szCs w:val="16"/>
        </w:rPr>
        <w:t>В марте 1914 получения черноморцами разрешения на переоборудование транспортного судна для проведения опы</w:t>
      </w:r>
      <w:r w:rsidRPr="00DE096C">
        <w:rPr>
          <w:bCs/>
          <w:color w:val="002060"/>
          <w:sz w:val="16"/>
          <w:szCs w:val="16"/>
        </w:rPr>
        <w:softHyphen/>
        <w:t>тов с гидропланами, желание приспособить для этого боевой корабль выразили балтийцы. Командующий флотом адми</w:t>
      </w:r>
      <w:r w:rsidRPr="00DE096C">
        <w:rPr>
          <w:bCs/>
          <w:color w:val="002060"/>
          <w:sz w:val="16"/>
          <w:szCs w:val="16"/>
        </w:rPr>
        <w:softHyphen/>
        <w:t>рал Н. Эссен предложил установить авиационные принадлеж</w:t>
      </w:r>
      <w:r w:rsidRPr="00DE096C">
        <w:rPr>
          <w:bCs/>
          <w:color w:val="002060"/>
          <w:sz w:val="16"/>
          <w:szCs w:val="16"/>
        </w:rPr>
        <w:softHyphen/>
        <w:t>ности на новых броненосных крейсерах «Паллада» и «Баян» с таким условием, что проводимые работы не ограничат их участия в боевой подготовке.</w:t>
      </w:r>
    </w:p>
    <w:p w14:paraId="2AEE44D5" w14:textId="77777777" w:rsidR="007E5829" w:rsidRPr="00DE096C" w:rsidRDefault="007E5829" w:rsidP="00D45A46">
      <w:pPr>
        <w:shd w:val="clear" w:color="auto" w:fill="FFFFFF"/>
        <w:jc w:val="both"/>
        <w:rPr>
          <w:bCs/>
          <w:color w:val="002060"/>
          <w:sz w:val="16"/>
          <w:szCs w:val="16"/>
        </w:rPr>
      </w:pPr>
      <w:r w:rsidRPr="00DE096C">
        <w:rPr>
          <w:bCs/>
          <w:color w:val="002060"/>
          <w:sz w:val="16"/>
          <w:szCs w:val="16"/>
        </w:rPr>
        <w:t>На основании данного министром разрешения, начальник Главного управления кораблестроения поручил Адмирал</w:t>
      </w:r>
      <w:r w:rsidRPr="00DE096C">
        <w:rPr>
          <w:bCs/>
          <w:color w:val="002060"/>
          <w:sz w:val="16"/>
          <w:szCs w:val="16"/>
        </w:rPr>
        <w:softHyphen/>
        <w:t>тейскому судостроительному заводу изготовить и установить такие принадлежности на крейсере «Паллада». Мастерам за</w:t>
      </w:r>
      <w:r w:rsidRPr="00DE096C">
        <w:rPr>
          <w:bCs/>
          <w:color w:val="002060"/>
          <w:sz w:val="16"/>
          <w:szCs w:val="16"/>
        </w:rPr>
        <w:softHyphen/>
        <w:t>вода следовало выполнить указания ответственных за это дело корабельного инженера П. Шишкова, являвшегося членом авиационного комитета флота, и опытного пилота лейтенанта П. Ваксмута.</w:t>
      </w:r>
    </w:p>
    <w:p w14:paraId="11D3789F" w14:textId="77777777" w:rsidR="007E5829" w:rsidRPr="00DE096C" w:rsidRDefault="007E5829" w:rsidP="00D45A46">
      <w:pPr>
        <w:shd w:val="clear" w:color="auto" w:fill="FFFFFF"/>
        <w:jc w:val="both"/>
        <w:rPr>
          <w:bCs/>
          <w:color w:val="002060"/>
          <w:sz w:val="16"/>
          <w:szCs w:val="16"/>
        </w:rPr>
      </w:pPr>
      <w:r w:rsidRPr="00DE096C">
        <w:rPr>
          <w:bCs/>
          <w:color w:val="002060"/>
          <w:sz w:val="16"/>
          <w:szCs w:val="16"/>
        </w:rPr>
        <w:t>Работы начались с опозданием, осуществить их в намечен</w:t>
      </w:r>
      <w:r w:rsidRPr="00DE096C">
        <w:rPr>
          <w:bCs/>
          <w:color w:val="002060"/>
          <w:sz w:val="16"/>
          <w:szCs w:val="16"/>
        </w:rPr>
        <w:softHyphen/>
        <w:t>ный срок не удалось. Более того, 23 ноября 1913 года, во вре</w:t>
      </w:r>
      <w:r w:rsidRPr="00DE096C">
        <w:rPr>
          <w:bCs/>
          <w:color w:val="002060"/>
          <w:sz w:val="16"/>
          <w:szCs w:val="16"/>
        </w:rPr>
        <w:softHyphen/>
        <w:t>мя испытательного полета гидроплан «С-10» потерпел ава</w:t>
      </w:r>
      <w:r w:rsidRPr="00DE096C">
        <w:rPr>
          <w:bCs/>
          <w:color w:val="002060"/>
          <w:sz w:val="16"/>
          <w:szCs w:val="16"/>
        </w:rPr>
        <w:softHyphen/>
        <w:t>рию. Петр Ваксмут разбился насмерть, Павел Шишков получил ранения. Это происшествие стало причиной остановки работ.</w:t>
      </w:r>
    </w:p>
    <w:p w14:paraId="78C72C0C" w14:textId="77777777" w:rsidR="007E5829" w:rsidRPr="00DE096C" w:rsidRDefault="007E5829" w:rsidP="00D45A46">
      <w:pPr>
        <w:shd w:val="clear" w:color="auto" w:fill="FFFFFF"/>
        <w:jc w:val="both"/>
        <w:rPr>
          <w:bCs/>
          <w:color w:val="002060"/>
          <w:sz w:val="16"/>
          <w:szCs w:val="16"/>
        </w:rPr>
      </w:pPr>
      <w:r w:rsidRPr="00DE096C">
        <w:rPr>
          <w:bCs/>
          <w:color w:val="002060"/>
          <w:sz w:val="16"/>
          <w:szCs w:val="16"/>
        </w:rPr>
        <w:t>В начале Первой мировой войны моряков Балтики потряс</w:t>
      </w:r>
      <w:r w:rsidRPr="00DE096C">
        <w:rPr>
          <w:bCs/>
          <w:color w:val="002060"/>
          <w:sz w:val="16"/>
          <w:szCs w:val="16"/>
        </w:rPr>
        <w:softHyphen/>
        <w:t>ла совершенно неожиданная крупная потеря: 10 октября 1914 года крейсер «Паллада» погиб со всем экипажем в результа</w:t>
      </w:r>
      <w:r w:rsidRPr="00DE096C">
        <w:rPr>
          <w:bCs/>
          <w:color w:val="002060"/>
          <w:sz w:val="16"/>
          <w:szCs w:val="16"/>
        </w:rPr>
        <w:softHyphen/>
        <w:t>те торпедной атаки германской подводной лодки (11283).</w:t>
      </w:r>
    </w:p>
    <w:p w14:paraId="0BF1C2B9" w14:textId="77777777" w:rsidR="007E5829" w:rsidRPr="00DE096C" w:rsidRDefault="007E5829" w:rsidP="00D45A46">
      <w:pPr>
        <w:shd w:val="clear" w:color="auto" w:fill="FFFFFF"/>
        <w:jc w:val="both"/>
        <w:rPr>
          <w:bCs/>
          <w:color w:val="002060"/>
          <w:sz w:val="16"/>
          <w:szCs w:val="16"/>
        </w:rPr>
      </w:pPr>
    </w:p>
    <w:p w14:paraId="54C7D825" w14:textId="77777777" w:rsidR="007E5829" w:rsidRPr="00DE096C" w:rsidRDefault="007E5829" w:rsidP="00D45A46">
      <w:pPr>
        <w:pStyle w:val="a5"/>
        <w:rPr>
          <w:bCs/>
          <w:color w:val="002060"/>
          <w:sz w:val="16"/>
          <w:szCs w:val="16"/>
          <w:lang w:val="ru-RU"/>
        </w:rPr>
      </w:pPr>
      <w:r w:rsidRPr="00DE096C">
        <w:rPr>
          <w:bCs/>
          <w:color w:val="002060"/>
          <w:sz w:val="16"/>
          <w:szCs w:val="16"/>
          <w:lang w:val="ru-RU"/>
        </w:rPr>
        <w:t>В марте 1914 г. черноморцы обратились в Морской генераль</w:t>
      </w:r>
      <w:r w:rsidRPr="00DE096C">
        <w:rPr>
          <w:bCs/>
          <w:color w:val="002060"/>
          <w:sz w:val="16"/>
          <w:szCs w:val="16"/>
          <w:lang w:val="ru-RU"/>
        </w:rPr>
        <w:softHyphen/>
        <w:t>ный штаб, предложив готовить мор</w:t>
      </w:r>
      <w:r w:rsidRPr="00DE096C">
        <w:rPr>
          <w:bCs/>
          <w:color w:val="002060"/>
          <w:sz w:val="16"/>
          <w:szCs w:val="16"/>
          <w:lang w:val="ru-RU"/>
        </w:rPr>
        <w:softHyphen/>
        <w:t>ских летчиков из кондукторов фло</w:t>
      </w:r>
      <w:r w:rsidRPr="00DE096C">
        <w:rPr>
          <w:bCs/>
          <w:color w:val="002060"/>
          <w:sz w:val="16"/>
          <w:szCs w:val="16"/>
          <w:lang w:val="ru-RU"/>
        </w:rPr>
        <w:softHyphen/>
        <w:t>та. В том же году на флоте ввели воинское звание прапорщик по авиационной части. Оно присваи</w:t>
      </w:r>
      <w:r w:rsidRPr="00DE096C">
        <w:rPr>
          <w:bCs/>
          <w:color w:val="002060"/>
          <w:sz w:val="16"/>
          <w:szCs w:val="16"/>
          <w:lang w:val="ru-RU"/>
        </w:rPr>
        <w:softHyphen/>
        <w:t>валось лицам со средним образо</w:t>
      </w:r>
      <w:r w:rsidRPr="00DE096C">
        <w:rPr>
          <w:bCs/>
          <w:color w:val="002060"/>
          <w:sz w:val="16"/>
          <w:szCs w:val="16"/>
          <w:lang w:val="ru-RU"/>
        </w:rPr>
        <w:softHyphen/>
        <w:t>ванием, сдавшим теоретический экзамен по программе подготовки на звание военного летчика. Одоб</w:t>
      </w:r>
      <w:r w:rsidRPr="00DE096C">
        <w:rPr>
          <w:bCs/>
          <w:color w:val="002060"/>
          <w:sz w:val="16"/>
          <w:szCs w:val="16"/>
          <w:lang w:val="ru-RU"/>
        </w:rPr>
        <w:softHyphen/>
        <w:t>ренную Морским генеральным шта</w:t>
      </w:r>
      <w:r w:rsidRPr="00DE096C">
        <w:rPr>
          <w:bCs/>
          <w:color w:val="002060"/>
          <w:sz w:val="16"/>
          <w:szCs w:val="16"/>
          <w:lang w:val="ru-RU"/>
        </w:rPr>
        <w:softHyphen/>
        <w:t>бом программу курса на прапор</w:t>
      </w:r>
      <w:r w:rsidRPr="00DE096C">
        <w:rPr>
          <w:bCs/>
          <w:color w:val="002060"/>
          <w:sz w:val="16"/>
          <w:szCs w:val="16"/>
          <w:lang w:val="ru-RU"/>
        </w:rPr>
        <w:softHyphen/>
        <w:t>щика по авиационной части 7 ок</w:t>
      </w:r>
      <w:r w:rsidRPr="00DE096C">
        <w:rPr>
          <w:bCs/>
          <w:color w:val="002060"/>
          <w:sz w:val="16"/>
          <w:szCs w:val="16"/>
          <w:lang w:val="ru-RU"/>
        </w:rPr>
        <w:softHyphen/>
        <w:t>тября 1915 г. направили на флоты для руководства (11924).</w:t>
      </w:r>
    </w:p>
    <w:p w14:paraId="11BBF257" w14:textId="77777777" w:rsidR="007E5829" w:rsidRPr="00DE096C" w:rsidRDefault="007E5829" w:rsidP="00D45A46">
      <w:pPr>
        <w:pStyle w:val="a5"/>
        <w:rPr>
          <w:bCs/>
          <w:color w:val="002060"/>
          <w:sz w:val="16"/>
          <w:szCs w:val="16"/>
          <w:lang w:val="ru-RU"/>
        </w:rPr>
      </w:pPr>
    </w:p>
    <w:p w14:paraId="724CA07C" w14:textId="77777777" w:rsidR="007E5829" w:rsidRPr="00DE096C" w:rsidRDefault="007E5829" w:rsidP="00D45A46">
      <w:pPr>
        <w:jc w:val="both"/>
        <w:rPr>
          <w:bCs/>
          <w:color w:val="002060"/>
          <w:sz w:val="16"/>
          <w:szCs w:val="16"/>
        </w:rPr>
      </w:pPr>
      <w:r w:rsidRPr="00DE096C">
        <w:rPr>
          <w:bCs/>
          <w:color w:val="002060"/>
          <w:sz w:val="16"/>
          <w:szCs w:val="16"/>
        </w:rPr>
        <w:t>В марте 1914 года с аэроплана "Илья Муромец" был сброшен весо-габаритный макет торпеды Уайтхеда весом 30 пудов. 15 марта начальник МГШ направил письмо в минный отдел ГУК, в котором потребовал в кратчайший срок разработать и произвести специальную мину Уайтхеда. Испытания опытного образца были начаты в октябре 1914 года, но довести до валового производства торпеду удалось только к осени 1915 года, после чего торпеда получила наименование 45-15. Паралельно к маю 1914 специалисты завода Лесснера доработали для приминения с аэропланов 18 торпед типа "Л". Следующая партия из 24 торпед была доработана к декабрю 1914 года (12284).</w:t>
      </w:r>
    </w:p>
    <w:p w14:paraId="00B5ADB0" w14:textId="77777777" w:rsidR="007E5829" w:rsidRPr="00DE096C" w:rsidRDefault="007E5829" w:rsidP="00D45A46">
      <w:pPr>
        <w:shd w:val="clear" w:color="auto" w:fill="FFFFFF"/>
        <w:jc w:val="both"/>
        <w:rPr>
          <w:bCs/>
          <w:i/>
          <w:color w:val="002060"/>
          <w:sz w:val="16"/>
          <w:szCs w:val="16"/>
        </w:rPr>
      </w:pPr>
    </w:p>
    <w:p w14:paraId="2347E126" w14:textId="6ACDA4F6" w:rsidR="00097BDE" w:rsidRPr="00DE096C" w:rsidRDefault="00097BDE" w:rsidP="00D45A46">
      <w:pPr>
        <w:shd w:val="clear" w:color="auto" w:fill="FFFFFF"/>
        <w:jc w:val="both"/>
        <w:rPr>
          <w:bCs/>
          <w:i/>
          <w:color w:val="002060"/>
          <w:sz w:val="16"/>
          <w:szCs w:val="16"/>
        </w:rPr>
      </w:pPr>
      <w:r w:rsidRPr="00DE096C">
        <w:rPr>
          <w:bCs/>
          <w:i/>
          <w:color w:val="002060"/>
          <w:sz w:val="16"/>
          <w:szCs w:val="16"/>
        </w:rPr>
        <w:t>Внешняя политика:</w:t>
      </w:r>
    </w:p>
    <w:p w14:paraId="51987B93" w14:textId="77777777" w:rsidR="00097BDE" w:rsidRPr="00DE096C" w:rsidRDefault="00097BDE" w:rsidP="00D45A46">
      <w:pPr>
        <w:shd w:val="clear" w:color="auto" w:fill="FFFFFF"/>
        <w:jc w:val="both"/>
        <w:rPr>
          <w:bCs/>
          <w:i/>
          <w:color w:val="002060"/>
          <w:sz w:val="16"/>
          <w:szCs w:val="16"/>
        </w:rPr>
      </w:pPr>
    </w:p>
    <w:p w14:paraId="61C99735" w14:textId="77777777" w:rsidR="00097BDE" w:rsidRPr="00DE096C" w:rsidRDefault="00097BDE" w:rsidP="00D45A46">
      <w:pPr>
        <w:jc w:val="both"/>
        <w:rPr>
          <w:bCs/>
          <w:color w:val="002060"/>
          <w:sz w:val="16"/>
          <w:szCs w:val="16"/>
        </w:rPr>
      </w:pPr>
      <w:r w:rsidRPr="00DE096C">
        <w:rPr>
          <w:bCs/>
          <w:color w:val="002060"/>
          <w:sz w:val="16"/>
          <w:szCs w:val="16"/>
          <w:lang w:bidi="ru-RU"/>
        </w:rPr>
        <w:t>В марте 1914 г. С. С. Щетинин был приглашен в Болгарское посольство, где ему сообщили, что царь Фердинанд наградил российских всех авиаторов, принимавших участие в болгаро-турецкой войне. Он, как командир отряда был награжден народным орденом «За военные заслуги» 5-й степени с короной (23485).</w:t>
      </w:r>
    </w:p>
    <w:p w14:paraId="0DBAC02C" w14:textId="77777777" w:rsidR="00097BDE" w:rsidRPr="00DE096C" w:rsidRDefault="00097BDE" w:rsidP="00D45A46">
      <w:pPr>
        <w:jc w:val="both"/>
        <w:rPr>
          <w:bCs/>
          <w:color w:val="002060"/>
          <w:sz w:val="16"/>
          <w:szCs w:val="16"/>
        </w:rPr>
      </w:pPr>
    </w:p>
    <w:p w14:paraId="0DE770EB" w14:textId="1795317E"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 и воздухоплавание Франции:</w:t>
      </w:r>
    </w:p>
    <w:p w14:paraId="02E3ADF5" w14:textId="77777777" w:rsidR="00B67D7C" w:rsidRPr="00DE096C" w:rsidRDefault="00B67D7C" w:rsidP="00D45A46">
      <w:pPr>
        <w:shd w:val="clear" w:color="auto" w:fill="FFFFFF"/>
        <w:jc w:val="both"/>
        <w:rPr>
          <w:bCs/>
          <w:i/>
          <w:color w:val="002060"/>
          <w:sz w:val="16"/>
          <w:szCs w:val="16"/>
        </w:rPr>
      </w:pPr>
    </w:p>
    <w:p w14:paraId="7395478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марте 1914 г. Габер выполнил во Франции первые петли. К его возвращению на «Дуксе» построили пилота</w:t>
      </w:r>
      <w:r w:rsidRPr="00DE096C">
        <w:rPr>
          <w:bCs/>
          <w:color w:val="002060"/>
          <w:sz w:val="16"/>
          <w:szCs w:val="16"/>
        </w:rPr>
        <w:softHyphen/>
        <w:t>жный «Моран», на нем пилот 4 апреля впервые в России показал комплекс фигур высшего пилотажа. 10 и 14 апре</w:t>
      </w:r>
      <w:r w:rsidRPr="00DE096C">
        <w:rPr>
          <w:bCs/>
          <w:color w:val="002060"/>
          <w:sz w:val="16"/>
          <w:szCs w:val="16"/>
        </w:rPr>
        <w:softHyphen/>
        <w:t>ля он вновь демонстрировал пилотаж, за полетами наблю</w:t>
      </w:r>
      <w:r w:rsidRPr="00DE096C">
        <w:rPr>
          <w:bCs/>
          <w:color w:val="002060"/>
          <w:sz w:val="16"/>
          <w:szCs w:val="16"/>
        </w:rPr>
        <w:softHyphen/>
        <w:t>дали более 10.000 человек. Еще более эффектными стали полеты в Петербурге 21—22 апреля, которые «привлекли многотысячную толпу, заполнившую все трибуны ипподро</w:t>
      </w:r>
      <w:r w:rsidRPr="00DE096C">
        <w:rPr>
          <w:bCs/>
          <w:color w:val="002060"/>
          <w:sz w:val="16"/>
          <w:szCs w:val="16"/>
        </w:rPr>
        <w:softHyphen/>
        <w:t>ма. Еще больше народу скопилось на Семеновском плацу и на тротуарах близлежащих улиц. Заполнены людьми были также окна и крыши окружающих ипподром домов» (9651).</w:t>
      </w:r>
    </w:p>
    <w:p w14:paraId="40E5D060" w14:textId="77777777" w:rsidR="00B67D7C" w:rsidRPr="00DE096C" w:rsidRDefault="00B67D7C" w:rsidP="00D45A46">
      <w:pPr>
        <w:shd w:val="clear" w:color="auto" w:fill="FFFFFF"/>
        <w:jc w:val="both"/>
        <w:rPr>
          <w:bCs/>
          <w:color w:val="002060"/>
          <w:sz w:val="16"/>
          <w:szCs w:val="16"/>
        </w:rPr>
      </w:pPr>
    </w:p>
    <w:p w14:paraId="27EA19FB" w14:textId="3D3D5C0A" w:rsidR="00D93830" w:rsidRPr="00DE096C" w:rsidRDefault="00D93830" w:rsidP="00D93830">
      <w:pPr>
        <w:shd w:val="clear" w:color="auto" w:fill="FFFFFF"/>
        <w:jc w:val="both"/>
        <w:rPr>
          <w:bCs/>
          <w:i/>
          <w:color w:val="002060"/>
          <w:sz w:val="16"/>
          <w:szCs w:val="16"/>
        </w:rPr>
      </w:pPr>
      <w:r w:rsidRPr="00DE096C">
        <w:rPr>
          <w:bCs/>
          <w:i/>
          <w:color w:val="002060"/>
          <w:sz w:val="16"/>
          <w:szCs w:val="16"/>
        </w:rPr>
        <w:t xml:space="preserve">Авиация и воздухоплавание </w:t>
      </w:r>
      <w:r>
        <w:rPr>
          <w:bCs/>
          <w:i/>
          <w:color w:val="002060"/>
          <w:sz w:val="16"/>
          <w:szCs w:val="16"/>
        </w:rPr>
        <w:t>Германии</w:t>
      </w:r>
      <w:r w:rsidRPr="00DE096C">
        <w:rPr>
          <w:bCs/>
          <w:i/>
          <w:color w:val="002060"/>
          <w:sz w:val="16"/>
          <w:szCs w:val="16"/>
        </w:rPr>
        <w:t>:</w:t>
      </w:r>
    </w:p>
    <w:p w14:paraId="5AF377F1" w14:textId="77777777" w:rsidR="00D93830" w:rsidRPr="00DE096C" w:rsidRDefault="00D93830" w:rsidP="00D93830">
      <w:pPr>
        <w:shd w:val="clear" w:color="auto" w:fill="FFFFFF"/>
        <w:jc w:val="both"/>
        <w:rPr>
          <w:bCs/>
          <w:i/>
          <w:color w:val="002060"/>
          <w:sz w:val="16"/>
          <w:szCs w:val="16"/>
        </w:rPr>
      </w:pPr>
    </w:p>
    <w:p w14:paraId="4128F65C" w14:textId="77777777" w:rsidR="00D93830" w:rsidRPr="00B52707" w:rsidRDefault="00D93830" w:rsidP="00D93830">
      <w:pPr>
        <w:jc w:val="both"/>
        <w:rPr>
          <w:color w:val="0070C0"/>
          <w:sz w:val="16"/>
          <w:szCs w:val="16"/>
        </w:rPr>
      </w:pPr>
      <w:r w:rsidRPr="00B52707">
        <w:rPr>
          <w:color w:val="0070C0"/>
          <w:sz w:val="16"/>
          <w:szCs w:val="16"/>
        </w:rPr>
        <w:t>В марте 1914 г. немецкий генштаб выдвинул идею разработки т.н. «боевого самолета типа III» (Тур III Kampfflugzeuge) — машины с мотора</w:t>
      </w:r>
      <w:r w:rsidRPr="00B52707">
        <w:rPr>
          <w:color w:val="0070C0"/>
          <w:sz w:val="16"/>
          <w:szCs w:val="16"/>
        </w:rPr>
        <w:softHyphen/>
        <w:t>ми суммарной мощностью 200 л.с., «способной рабо</w:t>
      </w:r>
      <w:r w:rsidRPr="00B52707">
        <w:rPr>
          <w:color w:val="0070C0"/>
          <w:sz w:val="16"/>
          <w:szCs w:val="16"/>
        </w:rPr>
        <w:softHyphen/>
        <w:t>тать на малой высоте под огнем противника», с экипа</w:t>
      </w:r>
      <w:r w:rsidRPr="00B52707">
        <w:rPr>
          <w:color w:val="0070C0"/>
          <w:sz w:val="16"/>
          <w:szCs w:val="16"/>
        </w:rPr>
        <w:softHyphen/>
        <w:t>жем из трех человек и продолжительностью полета 6 часов. Интересно, что первоначально эта машина рас</w:t>
      </w:r>
      <w:r w:rsidRPr="00B52707">
        <w:rPr>
          <w:color w:val="0070C0"/>
          <w:sz w:val="16"/>
          <w:szCs w:val="16"/>
        </w:rPr>
        <w:softHyphen/>
        <w:t>сматривалась не как бомбардировщик, а как эскорт</w:t>
      </w:r>
      <w:r w:rsidRPr="00B52707">
        <w:rPr>
          <w:color w:val="0070C0"/>
          <w:sz w:val="16"/>
          <w:szCs w:val="16"/>
        </w:rPr>
        <w:softHyphen/>
        <w:t>ный истребитель — для сопровождения невооружен</w:t>
      </w:r>
      <w:r w:rsidRPr="00B52707">
        <w:rPr>
          <w:color w:val="0070C0"/>
          <w:sz w:val="16"/>
          <w:szCs w:val="16"/>
        </w:rPr>
        <w:softHyphen/>
        <w:t>ных одномоторных машин. Но в конечном итоге она превратилась в двухмоторный бомбардировщик, от</w:t>
      </w:r>
      <w:r w:rsidRPr="00B52707">
        <w:rPr>
          <w:color w:val="0070C0"/>
          <w:sz w:val="16"/>
          <w:szCs w:val="16"/>
        </w:rPr>
        <w:softHyphen/>
        <w:t>несенный по немецкой системе обозначений к клас</w:t>
      </w:r>
      <w:r w:rsidRPr="00B52707">
        <w:rPr>
          <w:color w:val="0070C0"/>
          <w:sz w:val="16"/>
          <w:szCs w:val="16"/>
        </w:rPr>
        <w:softHyphen/>
        <w:t>су «G» (Grossflugzeug — буквально «большой само</w:t>
      </w:r>
      <w:r w:rsidRPr="00B52707">
        <w:rPr>
          <w:color w:val="0070C0"/>
          <w:sz w:val="16"/>
          <w:szCs w:val="16"/>
        </w:rPr>
        <w:softHyphen/>
        <w:t>лет»). Самолеты этого класса выпускались нескольки</w:t>
      </w:r>
      <w:r w:rsidRPr="00B52707">
        <w:rPr>
          <w:color w:val="0070C0"/>
          <w:sz w:val="16"/>
          <w:szCs w:val="16"/>
        </w:rPr>
        <w:softHyphen/>
        <w:t>ми немецкими фирмами, прежде всего — АЭГ, «Гота» и «Фридрихсхафен». Они поступали на вооружение эскадр Kagohl наряду с одномоторными машинами (24992).</w:t>
      </w:r>
    </w:p>
    <w:p w14:paraId="5B8006E1" w14:textId="77777777" w:rsidR="00D93830" w:rsidRPr="00B52707" w:rsidRDefault="00D93830" w:rsidP="00D93830">
      <w:pPr>
        <w:jc w:val="both"/>
        <w:rPr>
          <w:color w:val="0070C0"/>
          <w:sz w:val="16"/>
          <w:szCs w:val="16"/>
        </w:rPr>
      </w:pPr>
    </w:p>
    <w:p w14:paraId="4B77C49F" w14:textId="77777777" w:rsidR="000B3344" w:rsidRPr="00DE096C" w:rsidRDefault="000B3344" w:rsidP="00D45A46">
      <w:pPr>
        <w:jc w:val="both"/>
        <w:rPr>
          <w:bCs/>
          <w:i/>
          <w:color w:val="002060"/>
          <w:sz w:val="16"/>
          <w:szCs w:val="16"/>
        </w:rPr>
      </w:pPr>
      <w:r w:rsidRPr="00DE096C">
        <w:rPr>
          <w:bCs/>
          <w:i/>
          <w:color w:val="002060"/>
          <w:sz w:val="16"/>
          <w:szCs w:val="16"/>
        </w:rPr>
        <w:t>Авиация и воздухоплавание за рубежом:</w:t>
      </w:r>
    </w:p>
    <w:p w14:paraId="4CBEE81E" w14:textId="77777777" w:rsidR="000B3344" w:rsidRPr="00DE096C" w:rsidRDefault="000B3344" w:rsidP="00D45A46">
      <w:pPr>
        <w:jc w:val="both"/>
        <w:rPr>
          <w:bCs/>
          <w:i/>
          <w:color w:val="002060"/>
          <w:sz w:val="16"/>
          <w:szCs w:val="16"/>
        </w:rPr>
      </w:pPr>
    </w:p>
    <w:p w14:paraId="52DBB75D" w14:textId="77777777" w:rsidR="000B3344" w:rsidRPr="00DE096C" w:rsidRDefault="000B3344" w:rsidP="00D45A46">
      <w:pPr>
        <w:pStyle w:val="2"/>
        <w:spacing w:before="0" w:after="0"/>
        <w:jc w:val="both"/>
        <w:rPr>
          <w:b w:val="0"/>
          <w:bCs/>
          <w:color w:val="002060"/>
          <w:sz w:val="16"/>
          <w:szCs w:val="16"/>
        </w:rPr>
      </w:pPr>
      <w:r w:rsidRPr="00DE096C">
        <w:rPr>
          <w:b w:val="0"/>
          <w:bCs/>
          <w:color w:val="002060"/>
          <w:sz w:val="16"/>
          <w:szCs w:val="16"/>
        </w:rPr>
        <w:t>В марте 1914 г. число последователей Пегу в Европе достигло 70. Обучившейся в это время во Франции «мертвым петлям» А.Е.Раевский разъяснял: «Различают петли двух родов, так называемые классические и ложные или фальшивые. Чтобы сделать настоящую петлю... вы, имея уже достаточную высоту, метров 300 для начинающих, берете немного руль от себя, чтобы убедиться в скорости аппарата, а затем постепенно увеличиваете угол с горизонтом, беря руль глубины на себя. «Перевыключа- ете» мотор и замыкаете петлю. Ложная мертвая петля основана на потере скорости аппаратом, беря руль до отказа на себя, вы ставите аппарат вертикально, винт, конечно, не вытягивает и вы теряете скорость. Ставите руль в нормальное положение; аппарат начинает падать, вы снова тянете руль до отказа на себя и тем самым заставляете его перевернуться. Тут радиус петли почти равен нулю».</w:t>
      </w:r>
    </w:p>
    <w:p w14:paraId="52165D46" w14:textId="77777777" w:rsidR="000B3344" w:rsidRPr="00DE096C" w:rsidRDefault="000B3344" w:rsidP="00D45A46">
      <w:pPr>
        <w:pStyle w:val="2"/>
        <w:spacing w:before="0" w:after="0"/>
        <w:jc w:val="both"/>
        <w:rPr>
          <w:b w:val="0"/>
          <w:bCs/>
          <w:color w:val="002060"/>
          <w:sz w:val="16"/>
          <w:szCs w:val="16"/>
        </w:rPr>
      </w:pPr>
      <w:r w:rsidRPr="00DE096C">
        <w:rPr>
          <w:b w:val="0"/>
          <w:bCs/>
          <w:color w:val="002060"/>
          <w:sz w:val="16"/>
          <w:szCs w:val="16"/>
        </w:rPr>
        <w:t>На основе петли получались самые различные фигуры, в том числе скольжения на крыло и на хвост, когда не хватало запаса скорости. За постижение нового летчикам приходилось расплачиваться своими жизнями. Следующим после Хоксея погиб англичанин Ли Тетрль (Темпль), затем 17 марта 1914 г. в Сан-Себастьяне во время перевернутого полета на малой высоте упал в воду и погиб Гануйл, как писали, «один из наиболее смелых и искусных последователей Пегу. Гануйл был один из первых, рискнувших совершить полеты вниз головой, петли, скольжение на хвост и тому подобные трюки.» Через три недели в Алжире во время перевернутого полета на малой высоте разбился Эрман на моноплане Бореля. Чтобы в какой-то мере обезопасить летчиков, конструктор Граде даже придумал моноплан «с двумя шасси, сверху и снизу, приспособленными как для полетов, так и для спусков в перевернутом положении.» На нем вниз головой летал и приземлялся пилот Густав Твеер.</w:t>
      </w:r>
    </w:p>
    <w:p w14:paraId="3F053540" w14:textId="77777777" w:rsidR="000B3344" w:rsidRPr="00DE096C" w:rsidRDefault="000B3344" w:rsidP="00D45A46">
      <w:pPr>
        <w:pStyle w:val="2"/>
        <w:spacing w:before="0" w:after="0"/>
        <w:jc w:val="both"/>
        <w:rPr>
          <w:b w:val="0"/>
          <w:bCs/>
          <w:color w:val="002060"/>
          <w:sz w:val="16"/>
          <w:szCs w:val="16"/>
        </w:rPr>
      </w:pPr>
      <w:r w:rsidRPr="00DE096C">
        <w:rPr>
          <w:b w:val="0"/>
          <w:bCs/>
          <w:color w:val="002060"/>
          <w:sz w:val="16"/>
          <w:szCs w:val="16"/>
        </w:rPr>
        <w:t>В то же время в России отношение к мертвой петле у властей, и публики оказалось совсем неоднозначным. Петля фактически оказалась под запретом. Реакция высшего начальства и даже таких авиационных авторитетов, как генерал Шишкевич и полковник Найденов, оказалась резко отрицательной. На страницах прессы разгорелась бурная полемика на тему «Акробатика или выдающийся успех?» В «Биржевых ведомостях» даже промелькнуло сообщение, что Нестерову грозит 30-суточный арест. Габер-Влынский, у которого «идея кувыркаться в воздухе была... очень давно, еще много ранее, чем вопрос о мертвой петле был поднят в Америке» однажды так «удачно» прокомментировал в прессе это событие, что потом ему пришлось долго извиняться перед Нестеровым. 30 сентября 1913 г. из Петербурга Нестеров написал жене: «Конечно, везде меня встречают очень предупредительно. Габер- Влынский и Васильев расспрашивают меня о разных случаях как ученики у инструктора. Габер-Влынский извинился и оправдывался, что в газете не так поняли его и что он за деньги сам бы, пожалуй, решился на опыт.»</w:t>
      </w:r>
    </w:p>
    <w:p w14:paraId="45D8A487" w14:textId="77777777" w:rsidR="000B3344" w:rsidRPr="00DE096C" w:rsidRDefault="000B3344" w:rsidP="00D45A46">
      <w:pPr>
        <w:pStyle w:val="2"/>
        <w:spacing w:before="0" w:after="0"/>
        <w:jc w:val="both"/>
        <w:rPr>
          <w:b w:val="0"/>
          <w:bCs/>
          <w:color w:val="002060"/>
          <w:sz w:val="16"/>
          <w:szCs w:val="16"/>
        </w:rPr>
      </w:pPr>
      <w:r w:rsidRPr="00DE096C">
        <w:rPr>
          <w:b w:val="0"/>
          <w:bCs/>
          <w:color w:val="002060"/>
          <w:sz w:val="16"/>
          <w:szCs w:val="16"/>
        </w:rPr>
        <w:t>Некоторое время среди авиационных специалистов превалировало мнение, что «мертвая петля для авиаторов не необходима. Даже больше — она почти не нужна, так как от нее мало толка.» Соглашаясь, что «летчик должен уметь управлять в любом положении, даже находясь совершенно перевернутым вниз головой», тем не менее считали: «Школа мертвых петель все-таки ненужна», аргументируя свое мнение полетом Обри, сделавшим свою первую петлю без предварительной подготовки, и разбившимся на петле Ли Темплем, уже неоднократно «петлявшим». Н.Анощенко в «Аэро-» долго «наставлял» будущих пилотажников: «И если даже авиатор сделал «мертвую петлю», то ему не следует повторять ее. С него должно бьггь достаточно сознания, что он умеет делать петлю и не бояться ветра. Повторять же ее постоянно, как это делают некоторые летчики, совершенно ненужное занятие, т.к. при этом авиатор увеличивает возможность разбиться насмерть. А это уже граничит с безрассудством. Итак, повторяю еще раз: мертвая петля если и нужна нам, то только в исключительных случаях; частое же повторение ее совершенно лишне... тогда «мертвая петля» теряет свое научное значение и становится опасным воздушным акробатизмом. Иначе говоря — из серьезного авиационного задания «мертвая петля» превращается в рискованный цирковой номер... А этого не должно быть!» (15464).</w:t>
      </w:r>
    </w:p>
    <w:p w14:paraId="232CA570" w14:textId="77777777" w:rsidR="000B3344" w:rsidRPr="00DE096C" w:rsidRDefault="000B3344" w:rsidP="00D45A46">
      <w:pPr>
        <w:pStyle w:val="2"/>
        <w:spacing w:before="0" w:after="0"/>
        <w:jc w:val="both"/>
        <w:rPr>
          <w:b w:val="0"/>
          <w:bCs/>
          <w:color w:val="002060"/>
          <w:sz w:val="16"/>
          <w:szCs w:val="16"/>
        </w:rPr>
      </w:pPr>
    </w:p>
    <w:p w14:paraId="02D37DBA"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068AF95A" w14:textId="77777777" w:rsidR="00B67D7C" w:rsidRPr="00DE096C" w:rsidRDefault="00B67D7C" w:rsidP="00D45A46">
      <w:pPr>
        <w:shd w:val="clear" w:color="auto" w:fill="FFFFFF"/>
        <w:jc w:val="both"/>
        <w:rPr>
          <w:bCs/>
          <w:i/>
          <w:color w:val="002060"/>
          <w:sz w:val="16"/>
          <w:szCs w:val="16"/>
        </w:rPr>
      </w:pPr>
    </w:p>
    <w:p w14:paraId="1C8CAEB1" w14:textId="77777777" w:rsidR="00B67D7C" w:rsidRPr="00DE096C" w:rsidRDefault="00B67D7C" w:rsidP="00D45A46">
      <w:pPr>
        <w:jc w:val="both"/>
        <w:rPr>
          <w:bCs/>
          <w:color w:val="002060"/>
          <w:sz w:val="16"/>
          <w:szCs w:val="16"/>
        </w:rPr>
      </w:pPr>
      <w:r w:rsidRPr="00DE096C">
        <w:rPr>
          <w:bCs/>
          <w:color w:val="002060"/>
          <w:sz w:val="16"/>
          <w:szCs w:val="16"/>
        </w:rPr>
        <w:t xml:space="preserve">В марте и апреле 1914 были продолжены испытательные полеты, которые в большинстве своем были и демонстрационными. Достаточно освоив самолет, Сикорский в соответствии с ранее принятой программой испытаний решил снять его полные характеристики. В полете останавливали поочередно один, два и даже три двигателя. Выходили на крыло сначала по одному к ближнему двигателю, потом к крайнему. В конце концов осмеливались даже посылать двух человек к крайнему двигателю. Выходили на верхний "мостик". В этих условиях самолет оставался управляемым. Выполнялись также полеты в плохую погоду с использованием приборов. К новым усовершенствованным приборам добавились и два корабельных компаса. </w:t>
      </w:r>
    </w:p>
    <w:p w14:paraId="5C168139" w14:textId="77777777" w:rsidR="00B67D7C" w:rsidRPr="00DE096C" w:rsidRDefault="00B67D7C" w:rsidP="00D45A46">
      <w:pPr>
        <w:jc w:val="both"/>
        <w:rPr>
          <w:bCs/>
          <w:color w:val="002060"/>
          <w:sz w:val="16"/>
          <w:szCs w:val="16"/>
        </w:rPr>
      </w:pPr>
      <w:r w:rsidRPr="00DE096C">
        <w:rPr>
          <w:bCs/>
          <w:color w:val="002060"/>
          <w:sz w:val="16"/>
          <w:szCs w:val="16"/>
        </w:rPr>
        <w:t>В процессе испытаний выявилась необходимость увеличения мощности двигателей. Конструкция позволяла устанавливать более мощные двигатели, машина от этого только выигрывала (11294).</w:t>
      </w:r>
    </w:p>
    <w:p w14:paraId="66685CDB" w14:textId="74A396C4" w:rsidR="00B67D7C" w:rsidRPr="00DE096C" w:rsidRDefault="00B67D7C" w:rsidP="00D45A46">
      <w:pPr>
        <w:jc w:val="both"/>
        <w:rPr>
          <w:bCs/>
          <w:color w:val="002060"/>
          <w:sz w:val="16"/>
          <w:szCs w:val="16"/>
        </w:rPr>
      </w:pPr>
    </w:p>
    <w:p w14:paraId="6E167C85" w14:textId="77777777" w:rsidR="00D86BD4" w:rsidRPr="00DE096C" w:rsidRDefault="00D86BD4" w:rsidP="00D45A46">
      <w:pPr>
        <w:jc w:val="both"/>
        <w:rPr>
          <w:bCs/>
          <w:color w:val="002060"/>
          <w:sz w:val="16"/>
          <w:szCs w:val="16"/>
        </w:rPr>
      </w:pPr>
      <w:r w:rsidRPr="00DE096C">
        <w:rPr>
          <w:bCs/>
          <w:color w:val="002060"/>
          <w:sz w:val="16"/>
          <w:szCs w:val="16"/>
        </w:rPr>
        <w:t>В марте и апреле 1914 г. на ИМ были продолжены испытательные полеты, которые в большинстве своем были и демонст</w:t>
      </w:r>
      <w:r w:rsidRPr="00DE096C">
        <w:rPr>
          <w:bCs/>
          <w:color w:val="002060"/>
          <w:sz w:val="16"/>
          <w:szCs w:val="16"/>
        </w:rPr>
        <w:softHyphen/>
        <w:t>рационными. Достаточно освоив самолет, Сикорский в соответствии с ранее принятой программой испытаний решил снять его полные характеристики. В полете ос</w:t>
      </w:r>
      <w:r w:rsidRPr="00DE096C">
        <w:rPr>
          <w:bCs/>
          <w:color w:val="002060"/>
          <w:sz w:val="16"/>
          <w:szCs w:val="16"/>
        </w:rPr>
        <w:softHyphen/>
        <w:t>танавливали поочередно один, два и даже три двигателя. Выходили на крыло сначала по одному к ближнему двигателю, потом к крайнему. В конце концов осмели</w:t>
      </w:r>
      <w:r w:rsidRPr="00DE096C">
        <w:rPr>
          <w:bCs/>
          <w:color w:val="002060"/>
          <w:sz w:val="16"/>
          <w:szCs w:val="16"/>
        </w:rPr>
        <w:softHyphen/>
        <w:t>вались даже посылать двух человек к крайнему двига</w:t>
      </w:r>
      <w:r w:rsidRPr="00DE096C">
        <w:rPr>
          <w:bCs/>
          <w:color w:val="002060"/>
          <w:sz w:val="16"/>
          <w:szCs w:val="16"/>
        </w:rPr>
        <w:softHyphen/>
        <w:t>телю. Выходили на верхний «мостик». В этих условиях самолет оставался управляемым. Выполнялись также полеты в плохую погоду с использованием приборов. К новым усовершенствованным приборам добавились к два корабельных компаса.</w:t>
      </w:r>
    </w:p>
    <w:p w14:paraId="6FB3FC3D" w14:textId="77777777" w:rsidR="00D86BD4" w:rsidRPr="00DE096C" w:rsidRDefault="00D86BD4" w:rsidP="00D45A46">
      <w:pPr>
        <w:jc w:val="both"/>
        <w:rPr>
          <w:bCs/>
          <w:color w:val="002060"/>
          <w:sz w:val="16"/>
          <w:szCs w:val="16"/>
        </w:rPr>
      </w:pPr>
      <w:r w:rsidRPr="00DE096C">
        <w:rPr>
          <w:bCs/>
          <w:color w:val="002060"/>
          <w:sz w:val="16"/>
          <w:szCs w:val="16"/>
        </w:rPr>
        <w:t>В процессе испытаний выявилась необходимость уве</w:t>
      </w:r>
      <w:r w:rsidRPr="00DE096C">
        <w:rPr>
          <w:bCs/>
          <w:color w:val="002060"/>
          <w:sz w:val="16"/>
          <w:szCs w:val="16"/>
        </w:rPr>
        <w:softHyphen/>
        <w:t>личения мощности двигателей. Конструкция позволяла устанавливать более мощные двигатели, машина от этого только выигрывала (24177).</w:t>
      </w:r>
    </w:p>
    <w:p w14:paraId="42DBDB9B" w14:textId="1051E338" w:rsidR="00036E63" w:rsidRPr="00DE096C" w:rsidRDefault="00036E63" w:rsidP="00D45A46">
      <w:pPr>
        <w:jc w:val="both"/>
        <w:rPr>
          <w:bCs/>
          <w:i/>
          <w:iCs/>
          <w:color w:val="002060"/>
          <w:sz w:val="16"/>
          <w:szCs w:val="16"/>
        </w:rPr>
      </w:pPr>
      <w:r w:rsidRPr="00DE096C">
        <w:rPr>
          <w:bCs/>
          <w:i/>
          <w:iCs/>
          <w:color w:val="002060"/>
          <w:sz w:val="16"/>
          <w:szCs w:val="16"/>
        </w:rPr>
        <w:t>Авиация:</w:t>
      </w:r>
    </w:p>
    <w:p w14:paraId="08EC1E07" w14:textId="77777777" w:rsidR="00036E63" w:rsidRPr="00DE096C" w:rsidRDefault="00036E63" w:rsidP="00D45A46">
      <w:pPr>
        <w:jc w:val="both"/>
        <w:rPr>
          <w:bCs/>
          <w:i/>
          <w:iCs/>
          <w:color w:val="002060"/>
          <w:sz w:val="16"/>
          <w:szCs w:val="16"/>
        </w:rPr>
      </w:pPr>
    </w:p>
    <w:p w14:paraId="4D2FBCB4" w14:textId="77777777" w:rsidR="00036E63" w:rsidRPr="00DE096C" w:rsidRDefault="00036E63" w:rsidP="00D45A46">
      <w:pPr>
        <w:jc w:val="both"/>
        <w:rPr>
          <w:bCs/>
          <w:color w:val="002060"/>
          <w:sz w:val="16"/>
          <w:szCs w:val="16"/>
        </w:rPr>
      </w:pPr>
      <w:bookmarkStart w:id="15" w:name="_Hlk52632001"/>
      <w:r w:rsidRPr="00DE096C">
        <w:rPr>
          <w:bCs/>
          <w:color w:val="002060"/>
          <w:sz w:val="16"/>
          <w:szCs w:val="16"/>
        </w:rPr>
        <w:t>В марте-апреле 1914 г. Всероссийский аэроклуб разрабатывал вопрос о перевозке на самолетах почты из Петербурга в ближайшие дачные местности. Этим заинтересовался начальник главного управления почт и телеграфов России, который вступил с аэроклубом в переговоры об условиях организации воздушно-почтовой службы. Авиапочта, конечно, не была организована, да и не могла она быть рентабельной при тогдашнем состоянии авиатехники и летного дела.</w:t>
      </w:r>
    </w:p>
    <w:p w14:paraId="3B6711D1" w14:textId="77777777" w:rsidR="00036E63" w:rsidRPr="00DE096C" w:rsidRDefault="00036E63" w:rsidP="00D45A46">
      <w:pPr>
        <w:jc w:val="both"/>
        <w:rPr>
          <w:bCs/>
          <w:color w:val="002060"/>
          <w:sz w:val="16"/>
          <w:szCs w:val="16"/>
        </w:rPr>
      </w:pPr>
      <w:r w:rsidRPr="00DE096C">
        <w:rPr>
          <w:bCs/>
          <w:color w:val="002060"/>
          <w:sz w:val="16"/>
          <w:szCs w:val="16"/>
        </w:rPr>
        <w:t>/"Известия Николаевской военной академии", 1914, стр.770/</w:t>
      </w:r>
    </w:p>
    <w:p w14:paraId="7C236340" w14:textId="77777777" w:rsidR="00036E63" w:rsidRPr="00DE096C" w:rsidRDefault="00036E63" w:rsidP="00D45A46">
      <w:pPr>
        <w:jc w:val="both"/>
        <w:rPr>
          <w:bCs/>
          <w:color w:val="002060"/>
          <w:sz w:val="16"/>
          <w:szCs w:val="16"/>
        </w:rPr>
      </w:pPr>
    </w:p>
    <w:p w14:paraId="4BD324AC" w14:textId="0C3E5420" w:rsidR="001D369B" w:rsidRPr="00DE096C" w:rsidRDefault="001D369B" w:rsidP="00D45A46">
      <w:pPr>
        <w:shd w:val="clear" w:color="auto" w:fill="FFFFFF"/>
        <w:jc w:val="both"/>
        <w:rPr>
          <w:bCs/>
          <w:i/>
          <w:color w:val="002060"/>
          <w:sz w:val="16"/>
          <w:szCs w:val="16"/>
        </w:rPr>
      </w:pPr>
      <w:r w:rsidRPr="00DE096C">
        <w:rPr>
          <w:bCs/>
          <w:i/>
          <w:color w:val="002060"/>
          <w:sz w:val="16"/>
          <w:szCs w:val="16"/>
        </w:rPr>
        <w:t>Авиация и воздухоплавание Франции:</w:t>
      </w:r>
    </w:p>
    <w:p w14:paraId="7E32ACAD" w14:textId="77777777" w:rsidR="001D369B" w:rsidRPr="00DE096C" w:rsidRDefault="001D369B" w:rsidP="00D45A46">
      <w:pPr>
        <w:shd w:val="clear" w:color="auto" w:fill="FFFFFF"/>
        <w:jc w:val="both"/>
        <w:rPr>
          <w:bCs/>
          <w:i/>
          <w:color w:val="002060"/>
          <w:sz w:val="16"/>
          <w:szCs w:val="16"/>
        </w:rPr>
      </w:pPr>
    </w:p>
    <w:p w14:paraId="1D8FC753" w14:textId="77777777" w:rsidR="001D369B" w:rsidRPr="00DE096C" w:rsidRDefault="001D369B" w:rsidP="00D45A46">
      <w:pPr>
        <w:shd w:val="clear" w:color="auto" w:fill="FFFFFF"/>
        <w:jc w:val="both"/>
        <w:rPr>
          <w:bCs/>
          <w:color w:val="002060"/>
          <w:sz w:val="16"/>
          <w:szCs w:val="16"/>
        </w:rPr>
      </w:pPr>
      <w:r w:rsidRPr="00DE096C">
        <w:rPr>
          <w:bCs/>
          <w:color w:val="002060"/>
          <w:sz w:val="16"/>
          <w:szCs w:val="16"/>
        </w:rPr>
        <w:t>В марте – начале апреля 1914 г. в составе команды Аэроклуба Франции на II гонку гидросамолетов на Кубок Шнейдера, которая должна была состояться в Монако 20 апреля 1914 г. был выставлен Депердюссен тип D «Гидро» (Deperdussin Type D Hydro) экз. № 5 Самолет прибыл вместе со всей командой Франции, пилотом на него был назначен победитель I гонки 1913 г. М. Прево и он получил стартовый № 1. По прибытии в Монако пароходом самолет был собран и спущен на воду, но достоверных данных о его полетах там нет и дальнейшую судьбу установить не удалось, т.к. имеется путаница с самолетами Deperdussin Type С Coupe Shneider, на которых на этом турнире выступали лорд Кербери за команду Великобритании и Уильям Тау 2-й за команду США (23095).</w:t>
      </w:r>
    </w:p>
    <w:p w14:paraId="2FDE7779" w14:textId="77777777" w:rsidR="001D369B" w:rsidRPr="00DE096C" w:rsidRDefault="001D369B" w:rsidP="00D45A46">
      <w:pPr>
        <w:shd w:val="clear" w:color="auto" w:fill="FFFFFF"/>
        <w:jc w:val="both"/>
        <w:rPr>
          <w:bCs/>
          <w:color w:val="002060"/>
          <w:sz w:val="16"/>
          <w:szCs w:val="16"/>
        </w:rPr>
      </w:pPr>
    </w:p>
    <w:bookmarkEnd w:id="15"/>
    <w:p w14:paraId="15BDF389" w14:textId="77777777" w:rsidR="007B5A77" w:rsidRPr="00DE096C" w:rsidRDefault="007B5A77" w:rsidP="007B5A77">
      <w:pPr>
        <w:shd w:val="clear" w:color="auto" w:fill="FFFFFF"/>
        <w:jc w:val="both"/>
        <w:rPr>
          <w:bCs/>
          <w:i/>
          <w:color w:val="002060"/>
          <w:sz w:val="16"/>
          <w:szCs w:val="16"/>
        </w:rPr>
      </w:pPr>
      <w:r w:rsidRPr="00DE096C">
        <w:rPr>
          <w:bCs/>
          <w:i/>
          <w:color w:val="002060"/>
          <w:sz w:val="16"/>
          <w:szCs w:val="16"/>
        </w:rPr>
        <w:t>Самолетостроение:</w:t>
      </w:r>
    </w:p>
    <w:p w14:paraId="33348CD0" w14:textId="77777777" w:rsidR="007B5A77" w:rsidRPr="00DE096C" w:rsidRDefault="007B5A77" w:rsidP="007B5A77">
      <w:pPr>
        <w:shd w:val="clear" w:color="auto" w:fill="FFFFFF"/>
        <w:jc w:val="both"/>
        <w:rPr>
          <w:bCs/>
          <w:i/>
          <w:color w:val="002060"/>
          <w:sz w:val="16"/>
          <w:szCs w:val="16"/>
        </w:rPr>
      </w:pPr>
    </w:p>
    <w:p w14:paraId="29AC049B" w14:textId="77777777" w:rsidR="007B5A77" w:rsidRPr="00B52707" w:rsidRDefault="007B5A77" w:rsidP="007B5A77">
      <w:pPr>
        <w:jc w:val="both"/>
        <w:rPr>
          <w:color w:val="0070C0"/>
          <w:sz w:val="16"/>
          <w:szCs w:val="16"/>
        </w:rPr>
      </w:pPr>
      <w:r w:rsidRPr="00B52707">
        <w:rPr>
          <w:color w:val="0070C0"/>
          <w:sz w:val="16"/>
          <w:szCs w:val="16"/>
        </w:rPr>
        <w:t>В I квартале 1914 г. на заводе Дукс начался серийный выпуск самолета Моран тип Ж (Моран Ж, Моран-Солнье, Моран М, «Морже») с темпом 10…12 штук в месяц.</w:t>
      </w:r>
    </w:p>
    <w:p w14:paraId="473986CC" w14:textId="77777777" w:rsidR="007B5A77" w:rsidRPr="00B52707" w:rsidRDefault="007B5A77" w:rsidP="007B5A77">
      <w:pPr>
        <w:jc w:val="both"/>
        <w:rPr>
          <w:color w:val="0070C0"/>
          <w:sz w:val="16"/>
          <w:szCs w:val="16"/>
        </w:rPr>
      </w:pPr>
      <w:r w:rsidRPr="00B52707">
        <w:rPr>
          <w:color w:val="0070C0"/>
          <w:sz w:val="16"/>
          <w:szCs w:val="16"/>
        </w:rPr>
        <w:t>Самолеты Моран Ж этим предприятием строились с теми же изменениями, что и самолеты, покупавшиеся во Франции – с 14-метровым и 16-метровым крылом.</w:t>
      </w:r>
    </w:p>
    <w:p w14:paraId="04F52DCF" w14:textId="77777777" w:rsidR="007B5A77" w:rsidRPr="00B52707" w:rsidRDefault="007B5A77" w:rsidP="007B5A77">
      <w:pPr>
        <w:jc w:val="both"/>
        <w:rPr>
          <w:color w:val="0070C0"/>
          <w:sz w:val="16"/>
          <w:szCs w:val="16"/>
        </w:rPr>
      </w:pPr>
      <w:r w:rsidRPr="00B52707">
        <w:rPr>
          <w:color w:val="0070C0"/>
          <w:sz w:val="16"/>
          <w:szCs w:val="16"/>
        </w:rPr>
        <w:t>Точных данных о выпуске их предприятием нет, но исходя из общего объема его производства в 1914…1917 г. можно предположить, что Моран Ж в этот период было выпущено около 200.</w:t>
      </w:r>
    </w:p>
    <w:p w14:paraId="4CEB0EAD" w14:textId="77777777" w:rsidR="007B5A77" w:rsidRPr="00B52707" w:rsidRDefault="007B5A77" w:rsidP="007B5A77">
      <w:pPr>
        <w:jc w:val="both"/>
        <w:rPr>
          <w:color w:val="0070C0"/>
          <w:sz w:val="16"/>
          <w:szCs w:val="16"/>
        </w:rPr>
      </w:pPr>
      <w:r w:rsidRPr="00B52707">
        <w:rPr>
          <w:color w:val="0070C0"/>
          <w:sz w:val="16"/>
          <w:szCs w:val="16"/>
        </w:rPr>
        <w:t>Самолеты производства этого предприятия частично комплектовались и колесным, и лыжным шасси собственного производства и выпуска «Московского аэротехнического завода» (25442).</w:t>
      </w:r>
    </w:p>
    <w:p w14:paraId="709EF0B1" w14:textId="77777777" w:rsidR="007B5A77" w:rsidRPr="00B52707" w:rsidRDefault="007B5A77" w:rsidP="007B5A77">
      <w:pPr>
        <w:jc w:val="both"/>
        <w:rPr>
          <w:color w:val="0070C0"/>
          <w:sz w:val="16"/>
          <w:szCs w:val="16"/>
        </w:rPr>
      </w:pPr>
    </w:p>
    <w:p w14:paraId="05B6CDE5" w14:textId="77777777" w:rsidR="00D86BD4" w:rsidRPr="00DE096C" w:rsidRDefault="00D86BD4" w:rsidP="00D45A46">
      <w:pPr>
        <w:shd w:val="clear" w:color="auto" w:fill="FFFFFF"/>
        <w:jc w:val="both"/>
        <w:rPr>
          <w:bCs/>
          <w:i/>
          <w:color w:val="002060"/>
          <w:sz w:val="16"/>
          <w:szCs w:val="16"/>
        </w:rPr>
      </w:pPr>
      <w:r w:rsidRPr="00DE096C">
        <w:rPr>
          <w:bCs/>
          <w:i/>
          <w:color w:val="002060"/>
          <w:sz w:val="16"/>
          <w:szCs w:val="16"/>
        </w:rPr>
        <w:t>Самолетостроение:</w:t>
      </w:r>
    </w:p>
    <w:p w14:paraId="510578DF" w14:textId="77777777" w:rsidR="00D86BD4" w:rsidRPr="00DE096C" w:rsidRDefault="00D86BD4" w:rsidP="00D45A46">
      <w:pPr>
        <w:shd w:val="clear" w:color="auto" w:fill="FFFFFF"/>
        <w:jc w:val="both"/>
        <w:rPr>
          <w:bCs/>
          <w:i/>
          <w:color w:val="002060"/>
          <w:sz w:val="16"/>
          <w:szCs w:val="16"/>
        </w:rPr>
      </w:pPr>
    </w:p>
    <w:p w14:paraId="14C4F134" w14:textId="77777777" w:rsidR="00D86BD4" w:rsidRPr="00DE096C" w:rsidRDefault="00D86BD4" w:rsidP="00D45A46">
      <w:pPr>
        <w:jc w:val="both"/>
        <w:rPr>
          <w:bCs/>
          <w:color w:val="002060"/>
          <w:sz w:val="16"/>
          <w:szCs w:val="16"/>
        </w:rPr>
      </w:pPr>
      <w:r w:rsidRPr="00DE096C">
        <w:rPr>
          <w:bCs/>
          <w:color w:val="002060"/>
          <w:sz w:val="16"/>
          <w:szCs w:val="16"/>
          <w:lang w:bidi="ru-RU"/>
        </w:rPr>
        <w:t>До апреля 1914 г. ПРТВ Щетинина изготовило и сдало для нужд воен</w:t>
      </w:r>
      <w:r w:rsidRPr="00DE096C">
        <w:rPr>
          <w:bCs/>
          <w:color w:val="002060"/>
          <w:sz w:val="16"/>
          <w:szCs w:val="16"/>
          <w:lang w:bidi="ru-RU"/>
        </w:rPr>
        <w:softHyphen/>
        <w:t>ной авиации 57 монопланов «Ньюпор</w:t>
      </w:r>
      <w:r w:rsidRPr="00DE096C">
        <w:rPr>
          <w:bCs/>
          <w:color w:val="002060"/>
          <w:sz w:val="16"/>
          <w:szCs w:val="16"/>
          <w:lang w:bidi="en-US"/>
        </w:rPr>
        <w:t>-</w:t>
      </w:r>
      <w:r w:rsidRPr="00DE096C">
        <w:rPr>
          <w:bCs/>
          <w:color w:val="002060"/>
          <w:sz w:val="16"/>
          <w:szCs w:val="16"/>
          <w:lang w:val="en-US" w:bidi="en-US"/>
        </w:rPr>
        <w:t>IV</w:t>
      </w:r>
      <w:r w:rsidRPr="00DE096C">
        <w:rPr>
          <w:bCs/>
          <w:color w:val="002060"/>
          <w:sz w:val="16"/>
          <w:szCs w:val="16"/>
          <w:lang w:bidi="en-US"/>
        </w:rPr>
        <w:t xml:space="preserve">» </w:t>
      </w:r>
      <w:r w:rsidRPr="00DE096C">
        <w:rPr>
          <w:bCs/>
          <w:color w:val="002060"/>
          <w:sz w:val="16"/>
          <w:szCs w:val="16"/>
          <w:lang w:bidi="ru-RU"/>
        </w:rPr>
        <w:t>и 36 бипланов типа «Фарман». Со временем «товарищество» расширилось и приобрело участок земли на Корпусном аэродроме в Петербурге, где были построены дополни</w:t>
      </w:r>
      <w:r w:rsidRPr="00DE096C">
        <w:rPr>
          <w:bCs/>
          <w:color w:val="002060"/>
          <w:sz w:val="16"/>
          <w:szCs w:val="16"/>
          <w:lang w:bidi="ru-RU"/>
        </w:rPr>
        <w:softHyphen/>
        <w:t>тельные заводские помещения. В ходе войны ПРТВ продолжало совершенство</w:t>
      </w:r>
      <w:r w:rsidRPr="00DE096C">
        <w:rPr>
          <w:bCs/>
          <w:color w:val="002060"/>
          <w:sz w:val="16"/>
          <w:szCs w:val="16"/>
          <w:lang w:bidi="ru-RU"/>
        </w:rPr>
        <w:softHyphen/>
        <w:t>вать производство и постепенно увеличи</w:t>
      </w:r>
      <w:r w:rsidRPr="00DE096C">
        <w:rPr>
          <w:bCs/>
          <w:color w:val="002060"/>
          <w:sz w:val="16"/>
          <w:szCs w:val="16"/>
          <w:lang w:bidi="ru-RU"/>
        </w:rPr>
        <w:softHyphen/>
        <w:t>вало изготовление сухопутных аппаратов. Однако, наибольшую известность завод С.С. Щетинина получил благодаря выпуску летающих лодок для морской авиации, ав</w:t>
      </w:r>
      <w:r w:rsidRPr="00DE096C">
        <w:rPr>
          <w:bCs/>
          <w:color w:val="002060"/>
          <w:sz w:val="16"/>
          <w:szCs w:val="16"/>
          <w:lang w:bidi="ru-RU"/>
        </w:rPr>
        <w:softHyphen/>
        <w:t>тором которых являлся Дмитрий Павлович Григорович (1883-1938 гг.) (23374).</w:t>
      </w:r>
    </w:p>
    <w:p w14:paraId="626624EA" w14:textId="77777777" w:rsidR="00D86BD4" w:rsidRPr="00DE096C" w:rsidRDefault="00D86BD4" w:rsidP="00D45A46">
      <w:pPr>
        <w:jc w:val="both"/>
        <w:rPr>
          <w:bCs/>
          <w:color w:val="002060"/>
          <w:sz w:val="16"/>
          <w:szCs w:val="16"/>
          <w:lang w:bidi="ru-RU"/>
        </w:rPr>
      </w:pPr>
    </w:p>
    <w:p w14:paraId="4CBF2A5B"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w:t>
      </w:r>
    </w:p>
    <w:p w14:paraId="5CC8B501" w14:textId="77777777" w:rsidR="00B67D7C" w:rsidRPr="00DE096C" w:rsidRDefault="00B67D7C" w:rsidP="00D45A46">
      <w:pPr>
        <w:shd w:val="clear" w:color="auto" w:fill="FFFFFF"/>
        <w:jc w:val="both"/>
        <w:rPr>
          <w:bCs/>
          <w:i/>
          <w:color w:val="002060"/>
          <w:sz w:val="16"/>
          <w:szCs w:val="16"/>
        </w:rPr>
      </w:pPr>
    </w:p>
    <w:p w14:paraId="1AD4E04D" w14:textId="665A3DBA"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1 (14) апреля 1914 </w:t>
      </w:r>
      <w:r w:rsidR="00BD6F42" w:rsidRPr="00DE096C">
        <w:rPr>
          <w:bCs/>
          <w:color w:val="002060"/>
          <w:sz w:val="16"/>
          <w:szCs w:val="16"/>
        </w:rPr>
        <w:t xml:space="preserve">г. </w:t>
      </w:r>
      <w:r w:rsidRPr="00DE096C">
        <w:rPr>
          <w:bCs/>
          <w:color w:val="002060"/>
          <w:sz w:val="16"/>
          <w:szCs w:val="16"/>
        </w:rPr>
        <w:t>Вице-президент Киевского общества воздухоплавания Ф.Ф.Терещенко на собственном самолете прилетел из своего имения (село Червоное Волынской губернии) в Киев на заседание общества, покрыв 130 км за I час 3 минуты. Самолет "Терещенко-6" моноплан с двигателем "Рон" в 60 л.с., скоростью 120 км/час троен в мастерских Терещенко в селе Червоном. Перелет совершался с пилотом А.Пишофом, но Терещенко сам имел пилотский диплом. Это был один из первых в России примеров применения самолета для воздушного транспорта (Архив Центрального Дома авиации и космонавтики).</w:t>
      </w:r>
    </w:p>
    <w:p w14:paraId="73ADA3E4" w14:textId="77777777" w:rsidR="00B67D7C" w:rsidRPr="00DE096C" w:rsidRDefault="00B67D7C" w:rsidP="00D45A46">
      <w:pPr>
        <w:shd w:val="clear" w:color="auto" w:fill="FFFFFF"/>
        <w:jc w:val="both"/>
        <w:rPr>
          <w:bCs/>
          <w:color w:val="002060"/>
          <w:sz w:val="16"/>
          <w:szCs w:val="16"/>
        </w:rPr>
      </w:pPr>
    </w:p>
    <w:p w14:paraId="49906764" w14:textId="383C528E" w:rsidR="00BD6F42" w:rsidRPr="00DE096C" w:rsidRDefault="00BD6F42" w:rsidP="00D45A46">
      <w:pPr>
        <w:jc w:val="both"/>
        <w:rPr>
          <w:bCs/>
          <w:color w:val="002060"/>
          <w:sz w:val="16"/>
          <w:szCs w:val="16"/>
        </w:rPr>
      </w:pPr>
      <w:r w:rsidRPr="00DE096C">
        <w:rPr>
          <w:bCs/>
          <w:color w:val="002060"/>
          <w:sz w:val="16"/>
          <w:szCs w:val="16"/>
        </w:rPr>
        <w:t>1 (14) апреля 1914 г. Вице-Президент Киевского-общества воздухоплавания - Ф.Ф.Терещенко на собственном самолете прилетел из своего имения «Червоное» Волынской губ. в Киев на заседание общества, покрыв 130 км за 1 ч. 3</w:t>
      </w:r>
      <w:r w:rsidR="0006581C">
        <w:rPr>
          <w:bCs/>
          <w:color w:val="002060"/>
          <w:sz w:val="16"/>
          <w:szCs w:val="16"/>
        </w:rPr>
        <w:t xml:space="preserve"> </w:t>
      </w:r>
      <w:r w:rsidRPr="00DE096C">
        <w:rPr>
          <w:bCs/>
          <w:color w:val="002060"/>
          <w:sz w:val="16"/>
          <w:szCs w:val="16"/>
        </w:rPr>
        <w:t>минуты. Самолет Терещенко-6 - моноплан с мотором Рон 60 л.с., скоростью 120 км/час., по строен в мастерских Терещенко в Червоном. Перелет совершался с пилотом А.Пишофом, но Терещенно сам имел пилотский диплом. Этот полет был одним из первых в России применений самолета для воздушного транспорта.</w:t>
      </w:r>
    </w:p>
    <w:p w14:paraId="43DB4537" w14:textId="77777777" w:rsidR="00BD6F42" w:rsidRPr="00DE096C" w:rsidRDefault="00BD6F42" w:rsidP="00D45A46">
      <w:pPr>
        <w:jc w:val="both"/>
        <w:rPr>
          <w:bCs/>
          <w:color w:val="002060"/>
          <w:sz w:val="16"/>
          <w:szCs w:val="16"/>
        </w:rPr>
      </w:pPr>
      <w:r w:rsidRPr="00DE096C">
        <w:rPr>
          <w:bCs/>
          <w:color w:val="002060"/>
          <w:sz w:val="16"/>
          <w:szCs w:val="16"/>
        </w:rPr>
        <w:t>/Архив Центрального Дома авиации и ПВО/ (23320).</w:t>
      </w:r>
    </w:p>
    <w:p w14:paraId="4DFB194F" w14:textId="77777777" w:rsidR="00BD6F42" w:rsidRPr="00DE096C" w:rsidRDefault="00BD6F42" w:rsidP="00D45A46">
      <w:pPr>
        <w:jc w:val="both"/>
        <w:rPr>
          <w:bCs/>
          <w:color w:val="002060"/>
          <w:sz w:val="16"/>
          <w:szCs w:val="16"/>
        </w:rPr>
      </w:pPr>
    </w:p>
    <w:p w14:paraId="63F12E1F" w14:textId="77777777" w:rsidR="0029275C" w:rsidRPr="00DE096C" w:rsidRDefault="0029275C" w:rsidP="00D45A46">
      <w:pPr>
        <w:jc w:val="both"/>
        <w:rPr>
          <w:bCs/>
          <w:color w:val="002060"/>
          <w:sz w:val="16"/>
          <w:szCs w:val="16"/>
        </w:rPr>
      </w:pPr>
      <w:r w:rsidRPr="00DE096C">
        <w:rPr>
          <w:bCs/>
          <w:color w:val="002060"/>
          <w:sz w:val="16"/>
          <w:szCs w:val="16"/>
        </w:rPr>
        <w:t>1 (14) апреля 1914 г. Всероссийский аэроклуб разработал "Положение о почет</w:t>
      </w:r>
      <w:r w:rsidRPr="00DE096C">
        <w:rPr>
          <w:bCs/>
          <w:color w:val="002060"/>
          <w:sz w:val="16"/>
          <w:szCs w:val="16"/>
        </w:rPr>
        <w:softHyphen/>
        <w:t>ной книге русского воздушного спорта" с целью увековечивания рус</w:t>
      </w:r>
      <w:r w:rsidRPr="00DE096C">
        <w:rPr>
          <w:bCs/>
          <w:color w:val="002060"/>
          <w:sz w:val="16"/>
          <w:szCs w:val="16"/>
        </w:rPr>
        <w:softHyphen/>
        <w:t>ских летчиков, способствовавших развитию воздушного спорта. Почет</w:t>
      </w:r>
      <w:r w:rsidRPr="00DE096C">
        <w:rPr>
          <w:bCs/>
          <w:color w:val="002060"/>
          <w:sz w:val="16"/>
          <w:szCs w:val="16"/>
        </w:rPr>
        <w:softHyphen/>
        <w:t>ная книга представляет собою альбом с фотографиями летчиков и опи</w:t>
      </w:r>
      <w:r w:rsidRPr="00DE096C">
        <w:rPr>
          <w:bCs/>
          <w:color w:val="002060"/>
          <w:sz w:val="16"/>
          <w:szCs w:val="16"/>
        </w:rPr>
        <w:softHyphen/>
        <w:t>санием заслуг последних. Имена летчиков заносятся в конце каждого года постановлением общего собрания членов ВАК по представлению спортивного комитета. Первыми кандидатами предложено внести П.Н.Нестерова, А.А.Васильева, Г.В. Алехновича и В.Я.Михайлова.</w:t>
      </w:r>
    </w:p>
    <w:p w14:paraId="368334BA" w14:textId="77777777" w:rsidR="0029275C" w:rsidRPr="00DE096C" w:rsidRDefault="0029275C" w:rsidP="00D45A46">
      <w:pPr>
        <w:jc w:val="both"/>
        <w:rPr>
          <w:bCs/>
          <w:color w:val="002060"/>
          <w:sz w:val="16"/>
          <w:szCs w:val="16"/>
        </w:rPr>
      </w:pPr>
      <w:r w:rsidRPr="00DE096C">
        <w:rPr>
          <w:bCs/>
          <w:color w:val="002060"/>
          <w:sz w:val="16"/>
          <w:szCs w:val="16"/>
        </w:rPr>
        <w:t>/"Аэро" 1914 № 7/ (23320).</w:t>
      </w:r>
    </w:p>
    <w:p w14:paraId="628A98C3" w14:textId="77777777" w:rsidR="0029275C" w:rsidRPr="00DE096C" w:rsidRDefault="0029275C" w:rsidP="00D45A46">
      <w:pPr>
        <w:jc w:val="both"/>
        <w:rPr>
          <w:bCs/>
          <w:color w:val="002060"/>
          <w:sz w:val="16"/>
          <w:szCs w:val="16"/>
        </w:rPr>
      </w:pPr>
    </w:p>
    <w:p w14:paraId="67754B53"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Другие оборонные отрасли:</w:t>
      </w:r>
    </w:p>
    <w:p w14:paraId="19D7A5C4" w14:textId="77777777" w:rsidR="006D7365" w:rsidRPr="00DE096C" w:rsidRDefault="006D7365" w:rsidP="00D45A46">
      <w:pPr>
        <w:pStyle w:val="a3"/>
        <w:jc w:val="both"/>
        <w:rPr>
          <w:bCs/>
          <w:i w:val="0"/>
          <w:color w:val="002060"/>
          <w:spacing w:val="0"/>
          <w:kern w:val="0"/>
          <w:position w:val="0"/>
          <w:sz w:val="16"/>
          <w:szCs w:val="16"/>
        </w:rPr>
      </w:pPr>
    </w:p>
    <w:p w14:paraId="00FF184A" w14:textId="77777777" w:rsidR="00B67D7C" w:rsidRPr="00DE096C" w:rsidRDefault="006D7365"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1 (14) апреля 1914 </w:t>
      </w:r>
      <w:r w:rsidR="00B67D7C" w:rsidRPr="00DE096C">
        <w:rPr>
          <w:bCs/>
          <w:i w:val="0"/>
          <w:color w:val="002060"/>
          <w:spacing w:val="0"/>
          <w:kern w:val="0"/>
          <w:position w:val="0"/>
          <w:sz w:val="16"/>
          <w:szCs w:val="16"/>
        </w:rPr>
        <w:t xml:space="preserve">г. </w:t>
      </w:r>
      <w:r w:rsidRPr="00DE096C">
        <w:rPr>
          <w:bCs/>
          <w:i w:val="0"/>
          <w:color w:val="002060"/>
          <w:spacing w:val="0"/>
          <w:kern w:val="0"/>
          <w:position w:val="0"/>
          <w:sz w:val="16"/>
          <w:szCs w:val="16"/>
        </w:rPr>
        <w:t>л</w:t>
      </w:r>
      <w:r w:rsidR="00B67D7C" w:rsidRPr="00DE096C">
        <w:rPr>
          <w:bCs/>
          <w:i w:val="0"/>
          <w:color w:val="002060"/>
          <w:spacing w:val="0"/>
          <w:kern w:val="0"/>
          <w:position w:val="0"/>
          <w:sz w:val="16"/>
          <w:szCs w:val="16"/>
        </w:rPr>
        <w:t>инкор «Император Александр III » спущен на воду.</w:t>
      </w:r>
    </w:p>
    <w:p w14:paraId="55537851" w14:textId="77777777" w:rsidR="00B67D7C" w:rsidRPr="00DE096C" w:rsidRDefault="00B67D7C" w:rsidP="00D45A46">
      <w:pPr>
        <w:shd w:val="clear" w:color="auto" w:fill="FFFFFF"/>
        <w:jc w:val="both"/>
        <w:rPr>
          <w:bCs/>
          <w:color w:val="002060"/>
          <w:sz w:val="16"/>
          <w:szCs w:val="16"/>
        </w:rPr>
      </w:pPr>
    </w:p>
    <w:p w14:paraId="7E3BA66C"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516C7139" w14:textId="77777777" w:rsidR="00B67D7C" w:rsidRPr="00DE096C" w:rsidRDefault="00B67D7C" w:rsidP="00D45A46">
      <w:pPr>
        <w:shd w:val="clear" w:color="auto" w:fill="FFFFFF"/>
        <w:jc w:val="both"/>
        <w:rPr>
          <w:bCs/>
          <w:i/>
          <w:color w:val="002060"/>
          <w:sz w:val="16"/>
          <w:szCs w:val="16"/>
        </w:rPr>
      </w:pPr>
    </w:p>
    <w:p w14:paraId="48407870" w14:textId="2C6BBE77" w:rsidR="00B67D7C" w:rsidRPr="00DE096C" w:rsidRDefault="00B67D7C" w:rsidP="00D45A46">
      <w:pPr>
        <w:shd w:val="clear" w:color="auto" w:fill="FFFFFF"/>
        <w:jc w:val="both"/>
        <w:rPr>
          <w:bCs/>
          <w:i/>
          <w:color w:val="002060"/>
          <w:sz w:val="16"/>
          <w:szCs w:val="16"/>
        </w:rPr>
      </w:pPr>
      <w:r w:rsidRPr="00DE096C">
        <w:rPr>
          <w:bCs/>
          <w:color w:val="002060"/>
          <w:sz w:val="16"/>
          <w:szCs w:val="16"/>
        </w:rPr>
        <w:t>3 (16) апреля 1914 г.</w:t>
      </w:r>
      <w:r w:rsidR="00CA13A0" w:rsidRPr="00DE096C">
        <w:rPr>
          <w:bCs/>
          <w:color w:val="002060"/>
          <w:sz w:val="16"/>
          <w:szCs w:val="16"/>
        </w:rPr>
        <w:t xml:space="preserve"> был подписан контракт с Военным ведомством с Терещенко за № 1792/1179 на производство двух двухместных самолетов «Моран-парасоль» «улуч</w:t>
      </w:r>
      <w:r w:rsidR="00CA13A0" w:rsidRPr="00DE096C">
        <w:rPr>
          <w:bCs/>
          <w:color w:val="002060"/>
          <w:sz w:val="16"/>
          <w:szCs w:val="16"/>
        </w:rPr>
        <w:softHyphen/>
        <w:t>шенного образца».</w:t>
      </w:r>
      <w:r w:rsidRPr="00DE096C">
        <w:rPr>
          <w:bCs/>
          <w:color w:val="002060"/>
          <w:sz w:val="16"/>
          <w:szCs w:val="16"/>
        </w:rPr>
        <w:t xml:space="preserve"> Стоимость одного самолета составляла 8800 руб., а общая сумма сделки, включая цену двух повозок для транспортировки самолетов, превысила 21 000 руб. Аэропланы следова</w:t>
      </w:r>
      <w:r w:rsidRPr="00DE096C">
        <w:rPr>
          <w:bCs/>
          <w:color w:val="002060"/>
          <w:sz w:val="16"/>
          <w:szCs w:val="16"/>
        </w:rPr>
        <w:softHyphen/>
        <w:t>ло изготовить за 5 месяцев, но сделать это</w:t>
      </w:r>
      <w:r w:rsidRPr="00DE096C">
        <w:rPr>
          <w:bCs/>
          <w:color w:val="002060"/>
          <w:sz w:val="16"/>
          <w:szCs w:val="16"/>
        </w:rPr>
        <w:softHyphen/>
        <w:t>го так и не удалось. Началось с того, что в конце июля заказанные во Франции ком</w:t>
      </w:r>
      <w:r w:rsidRPr="00DE096C">
        <w:rPr>
          <w:bCs/>
          <w:color w:val="002060"/>
          <w:sz w:val="16"/>
          <w:szCs w:val="16"/>
        </w:rPr>
        <w:softHyphen/>
        <w:t>плектующие при перевозке через Германию задержали местные власти. Вызволить их не смогли, как и приобрести новые. Далее в дело вмешалась фирма «Моран-Солнье». Ее представитель, угрожая судом, заявил протест против внесения любых «улучше</w:t>
      </w:r>
      <w:r w:rsidRPr="00DE096C">
        <w:rPr>
          <w:bCs/>
          <w:color w:val="002060"/>
          <w:sz w:val="16"/>
          <w:szCs w:val="16"/>
        </w:rPr>
        <w:softHyphen/>
        <w:t>ний» в фирменную конструкцию. А ведь это предусматривал один из пунктов контракта. В конце концов, в апреле 1915</w:t>
      </w:r>
      <w:r w:rsidR="00CA13A0" w:rsidRPr="00DE096C">
        <w:rPr>
          <w:bCs/>
          <w:color w:val="002060"/>
          <w:sz w:val="16"/>
          <w:szCs w:val="16"/>
        </w:rPr>
        <w:t xml:space="preserve"> </w:t>
      </w:r>
      <w:r w:rsidRPr="00DE096C">
        <w:rPr>
          <w:bCs/>
          <w:color w:val="002060"/>
          <w:sz w:val="16"/>
          <w:szCs w:val="16"/>
        </w:rPr>
        <w:t>г. Терещенко пришлось обратиться в военное ведомство с просьбой расторгнуть этот контракт. При</w:t>
      </w:r>
      <w:r w:rsidRPr="00DE096C">
        <w:rPr>
          <w:bCs/>
          <w:color w:val="002060"/>
          <w:sz w:val="16"/>
          <w:szCs w:val="16"/>
        </w:rPr>
        <w:softHyphen/>
        <w:t>чем он указывал, что по принятым обяза</w:t>
      </w:r>
      <w:r w:rsidRPr="00DE096C">
        <w:rPr>
          <w:bCs/>
          <w:color w:val="002060"/>
          <w:sz w:val="16"/>
          <w:szCs w:val="16"/>
        </w:rPr>
        <w:softHyphen/>
        <w:t xml:space="preserve">тельствам на 1914 г. Червоннский завод должен был изготовить 10 самолетов: 8 «Фарманов» и 2 «Морана», а реально сдал даже больше: 10 «Фарманов» и 2 </w:t>
      </w:r>
      <w:r w:rsidRPr="00DE096C">
        <w:rPr>
          <w:bCs/>
          <w:i/>
          <w:color w:val="002060"/>
          <w:sz w:val="16"/>
          <w:szCs w:val="16"/>
        </w:rPr>
        <w:t>«одно</w:t>
      </w:r>
      <w:r w:rsidRPr="00DE096C">
        <w:rPr>
          <w:bCs/>
          <w:i/>
          <w:color w:val="002060"/>
          <w:sz w:val="16"/>
          <w:szCs w:val="16"/>
        </w:rPr>
        <w:softHyphen/>
        <w:t>местных моноплана Терещенко». (11217).</w:t>
      </w:r>
    </w:p>
    <w:p w14:paraId="6C594DA1" w14:textId="77777777" w:rsidR="00B67D7C" w:rsidRPr="00DE096C" w:rsidRDefault="00B67D7C" w:rsidP="00D45A46">
      <w:pPr>
        <w:shd w:val="clear" w:color="auto" w:fill="FFFFFF"/>
        <w:jc w:val="both"/>
        <w:rPr>
          <w:bCs/>
          <w:color w:val="002060"/>
          <w:sz w:val="16"/>
          <w:szCs w:val="16"/>
        </w:rPr>
      </w:pPr>
    </w:p>
    <w:p w14:paraId="2E9CDCB4" w14:textId="61957417" w:rsidR="00B67D7C" w:rsidRPr="00DE096C" w:rsidRDefault="00B67D7C" w:rsidP="00D45A46">
      <w:pPr>
        <w:pStyle w:val="13"/>
        <w:spacing w:before="0" w:after="0"/>
        <w:jc w:val="both"/>
        <w:rPr>
          <w:bCs/>
          <w:color w:val="002060"/>
          <w:sz w:val="16"/>
          <w:szCs w:val="16"/>
        </w:rPr>
      </w:pPr>
      <w:r w:rsidRPr="00DE096C">
        <w:rPr>
          <w:bCs/>
          <w:color w:val="002060"/>
          <w:sz w:val="16"/>
          <w:szCs w:val="16"/>
        </w:rPr>
        <w:t xml:space="preserve">3 </w:t>
      </w:r>
      <w:r w:rsidR="00CA13A0" w:rsidRPr="00DE096C">
        <w:rPr>
          <w:bCs/>
          <w:color w:val="002060"/>
          <w:sz w:val="16"/>
          <w:szCs w:val="16"/>
        </w:rPr>
        <w:t xml:space="preserve">(16) </w:t>
      </w:r>
      <w:r w:rsidRPr="00DE096C">
        <w:rPr>
          <w:bCs/>
          <w:color w:val="002060"/>
          <w:sz w:val="16"/>
          <w:szCs w:val="16"/>
        </w:rPr>
        <w:t xml:space="preserve">апреля 1914 г. </w:t>
      </w:r>
      <w:r w:rsidR="00CA13A0" w:rsidRPr="00DE096C">
        <w:rPr>
          <w:bCs/>
          <w:color w:val="002060"/>
          <w:sz w:val="16"/>
          <w:szCs w:val="16"/>
        </w:rPr>
        <w:t>был подписан контракт с Военным ведомством с Терещенко за № 1792/1179 на производство двух двухместных самолетов «Моран-парасоль» «улуч</w:t>
      </w:r>
      <w:r w:rsidR="00CA13A0" w:rsidRPr="00DE096C">
        <w:rPr>
          <w:bCs/>
          <w:color w:val="002060"/>
          <w:sz w:val="16"/>
          <w:szCs w:val="16"/>
        </w:rPr>
        <w:softHyphen/>
        <w:t xml:space="preserve">шенного образца». </w:t>
      </w:r>
      <w:r w:rsidRPr="00DE096C">
        <w:rPr>
          <w:bCs/>
          <w:color w:val="002060"/>
          <w:sz w:val="16"/>
          <w:szCs w:val="16"/>
        </w:rPr>
        <w:t>Стоимость одного самолета составляла 8800 руб., а общая сумма сделки, включая цену двух повозок для транспортировки самолетов, превысила 21 000 руб. Аэропланы следовало изготовить за 5 месяцев, но сделать этого так и не удалось. Началось с того, что в конце июля заказанные во Франции комплектующие при перевозке через Германию задержали местные власти. Вызволить их не смогли, как и приобрести новые. Далее в дело вмешалась фирма «Моран-Солнье». Ее представитель, угрожая судом, заявил протест против внесения любых «улучшений» в фирменную конструкцию. А ведь это предусматривал один из пунктов контракта. В конце концов, в апреле 1915 г. Терещенко пришлось обратиться в военное ведомство с просьбой расторгнуть этот контракт. Причем он указывал, что по принятым обязательствам на 1914 г. Червоннский завод должен был изготовить 10 самолетов: 8 «Фарманов» и 2 «Морана», а реально сдал даже больше: 10 «Фарманов» и 2 «одноместных моноплана Терещенко».</w:t>
      </w:r>
    </w:p>
    <w:p w14:paraId="52CBC42D" w14:textId="77777777" w:rsidR="00B67D7C" w:rsidRPr="00DE096C" w:rsidRDefault="00B67D7C" w:rsidP="00D45A46">
      <w:pPr>
        <w:pStyle w:val="13"/>
        <w:spacing w:before="0" w:after="0"/>
        <w:jc w:val="both"/>
        <w:rPr>
          <w:bCs/>
          <w:color w:val="002060"/>
          <w:sz w:val="16"/>
          <w:szCs w:val="16"/>
        </w:rPr>
      </w:pPr>
      <w:r w:rsidRPr="00DE096C">
        <w:rPr>
          <w:bCs/>
          <w:color w:val="002060"/>
          <w:sz w:val="16"/>
          <w:szCs w:val="16"/>
        </w:rPr>
        <w:t>Серийные заказы способствовали дальнейшему расширению предприятия, количество работающих на котором в 1914 г. достигло 120 человек, а в сентябре 1915 г. в списках на получение зарплаты одних только мастеровых значилось 186 человек. Постоянно улучшалась оснащенность завода, в частности, были приобретены штамповочный пресс, несколько различных станков, 2 сварочных аппарата. Годовая производительность оценивалась в 50 аэропланов. Что касается выпуска самолетов в дальнейшем, то, к сожалению, исследованные источники не позволяют раскрыть этот вопрос полностью. Например, известно, что Червоннский завод перешел к постройке учебных аппаратов «Фарман XVI», причем в конструкцию их вносились определенные изменения, а это затрудняло эксплуатацию — к ним не подходили некоторые запчасти, выпущенные другими предприятиями.</w:t>
      </w:r>
    </w:p>
    <w:p w14:paraId="6E31C391" w14:textId="77777777" w:rsidR="00B67D7C" w:rsidRPr="00DE096C" w:rsidRDefault="00B67D7C" w:rsidP="00D45A46">
      <w:pPr>
        <w:pStyle w:val="13"/>
        <w:spacing w:before="0" w:after="0"/>
        <w:jc w:val="both"/>
        <w:rPr>
          <w:bCs/>
          <w:color w:val="002060"/>
          <w:sz w:val="16"/>
          <w:szCs w:val="16"/>
        </w:rPr>
      </w:pPr>
      <w:r w:rsidRPr="00DE096C">
        <w:rPr>
          <w:bCs/>
          <w:color w:val="002060"/>
          <w:sz w:val="16"/>
          <w:szCs w:val="16"/>
        </w:rPr>
        <w:t>Червонном продолжали вести проектные работы. Благодаря усилиям Григорьева, был сконструирован биплан «Терещенко №7» с расположенными рядом в одной кабине двумя сиденьями, оснащенный мотором «Гном Моносупап» мощностью 100 л.с. Достроить самолет в Червонном не успели, т.к. осенью 1915 г., в связи с приближением линии фронта, завод пришлось эвакуировать.</w:t>
      </w:r>
    </w:p>
    <w:p w14:paraId="06288DFC" w14:textId="77777777" w:rsidR="00B67D7C" w:rsidRPr="00DE096C" w:rsidRDefault="00B67D7C" w:rsidP="00D45A46">
      <w:pPr>
        <w:pStyle w:val="13"/>
        <w:spacing w:before="0" w:after="0"/>
        <w:jc w:val="both"/>
        <w:rPr>
          <w:bCs/>
          <w:color w:val="002060"/>
          <w:sz w:val="16"/>
          <w:szCs w:val="16"/>
        </w:rPr>
      </w:pPr>
      <w:r w:rsidRPr="00DE096C">
        <w:rPr>
          <w:bCs/>
          <w:color w:val="002060"/>
          <w:sz w:val="16"/>
          <w:szCs w:val="16"/>
        </w:rPr>
        <w:t xml:space="preserve">Терещенко в это время выехал во Францию в составе комиссии </w:t>
      </w:r>
      <w:r w:rsidRPr="00DE096C">
        <w:rPr>
          <w:rStyle w:val="10"/>
          <w:rFonts w:eastAsiaTheme="majorEastAsia"/>
          <w:bCs/>
          <w:color w:val="002060"/>
          <w:sz w:val="16"/>
          <w:szCs w:val="16"/>
        </w:rPr>
        <w:t>«по заготовке авиационного и автомобильного имущества»</w:t>
      </w:r>
      <w:r w:rsidRPr="00DE096C">
        <w:rPr>
          <w:bCs/>
          <w:color w:val="002060"/>
          <w:sz w:val="16"/>
          <w:szCs w:val="16"/>
        </w:rPr>
        <w:t xml:space="preserve">. Пишоф перебрался в Одессу на </w:t>
      </w:r>
      <w:hyperlink r:id="rId10" w:history="1">
        <w:r w:rsidRPr="00DE096C">
          <w:rPr>
            <w:rStyle w:val="11"/>
            <w:rFonts w:eastAsiaTheme="majorEastAsia"/>
            <w:bCs/>
            <w:color w:val="002060"/>
            <w:sz w:val="16"/>
            <w:szCs w:val="16"/>
          </w:rPr>
          <w:t>завод Анатры</w:t>
        </w:r>
      </w:hyperlink>
      <w:r w:rsidRPr="00DE096C">
        <w:rPr>
          <w:bCs/>
          <w:color w:val="002060"/>
          <w:sz w:val="16"/>
          <w:szCs w:val="16"/>
        </w:rPr>
        <w:t>. Иордан пошел на военную службу и был назначен начальником авиационной базы 8-й армии. Поэтому основные заботы, связанные с эвакуацией, легли на плечи Вашкевича и других служащих главной конторы Терещенко. Была предпринята попытка перебазировать завод в Киев и при этом значительно расширить его, т.к. военные уведомили, что на дальнейшие заказы можно рассчитывать, лишь обеспечив выпуск около 150 самолетов в год. Разработали предварительный план, предусматривавший приобретение земельного участка площадью не менее 1500 кв. саженей, постройку новых производственных зданий и увеличение персонала до 368 человек. Сумма расходов на организационный период определили в 23100 руб. Но по неясным причинам этот план не реализовали. Зато в Киеве, в мастерских КПИ, удалось достроить аэроплан «Терещенко №7».</w:t>
      </w:r>
    </w:p>
    <w:p w14:paraId="5CDBBD35" w14:textId="77777777" w:rsidR="00B67D7C" w:rsidRPr="00DE096C" w:rsidRDefault="00B67D7C" w:rsidP="00D45A46">
      <w:pPr>
        <w:pStyle w:val="13"/>
        <w:spacing w:before="0" w:after="0"/>
        <w:jc w:val="both"/>
        <w:rPr>
          <w:bCs/>
          <w:color w:val="002060"/>
          <w:sz w:val="16"/>
          <w:szCs w:val="16"/>
        </w:rPr>
      </w:pPr>
      <w:r w:rsidRPr="00DE096C">
        <w:rPr>
          <w:bCs/>
          <w:color w:val="002060"/>
          <w:sz w:val="16"/>
          <w:szCs w:val="16"/>
        </w:rPr>
        <w:t>Практически все имущество завода вывезли в Москву и разместили на Ходынском поле. Начались переговоры о его продаже с акционерным обществом «Дукс». 3 октября 1915 г. «Дукс» направил в главную контору Терещенко письмо, в котором предлагал выплатить за все это добро, включая 15 аппаратов «Фарман XVI» (очевидно, в различной степени готовности), 111000 руб. Однако Терещенко решил распорядиться самолетами сам. В декабре 1915 г., находясь в Париже, он выдал доверенность на ведение всех дел по продаже военному ведомству этих аэропланов своему представителю А.И. Гуляницкому. И тому удалось провести такую сделку. Причем ряд должностных лиц, рассчитывавших на получение мзды, оказался обделенным. Свидетельство тому находим в письме Григорьева к Вашкевичу, написанному в Москве 28 сентября 1916 г. «По всему видно, что здешняя публика весьма восстановлена против имени Терещенко и всего, что от него исходит, видимо, за то, что труды и возможное их содействие по делу сдачи 15 «Фарманов» прошли для них без ожидаемых результатов».</w:t>
      </w:r>
    </w:p>
    <w:p w14:paraId="74F69116" w14:textId="77777777" w:rsidR="00B67D7C" w:rsidRPr="00DE096C" w:rsidRDefault="00B67D7C" w:rsidP="00D45A46">
      <w:pPr>
        <w:pStyle w:val="13"/>
        <w:spacing w:before="0" w:after="0"/>
        <w:jc w:val="both"/>
        <w:rPr>
          <w:bCs/>
          <w:color w:val="002060"/>
          <w:sz w:val="16"/>
          <w:szCs w:val="16"/>
        </w:rPr>
      </w:pPr>
      <w:r w:rsidRPr="00DE096C">
        <w:rPr>
          <w:bCs/>
          <w:color w:val="002060"/>
          <w:sz w:val="16"/>
          <w:szCs w:val="16"/>
        </w:rPr>
        <w:t xml:space="preserve">В это время основные хлопоты Григорьева в Москве были связаны с предстоящими испытаниями аэроплана «Терещенко № 7». В том же письме он пишет, что это дело </w:t>
      </w:r>
      <w:r w:rsidRPr="00DE096C">
        <w:rPr>
          <w:rStyle w:val="10"/>
          <w:rFonts w:eastAsiaTheme="majorEastAsia"/>
          <w:bCs/>
          <w:color w:val="002060"/>
          <w:sz w:val="16"/>
          <w:szCs w:val="16"/>
        </w:rPr>
        <w:t xml:space="preserve">«будет стоить больших денег, и не потому, что аппарат негодный хотим сделать годным..., а потому, что нужно победить нашу русскую... инертность ко </w:t>
      </w:r>
      <w:r w:rsidRPr="00DE096C">
        <w:rPr>
          <w:rStyle w:val="10"/>
          <w:rFonts w:eastAsiaTheme="majorEastAsia"/>
          <w:bCs/>
          <w:color w:val="002060"/>
          <w:sz w:val="16"/>
          <w:szCs w:val="16"/>
        </w:rPr>
        <w:lastRenderedPageBreak/>
        <w:t>всему новому, возникшую уже, вероятно, у некоторых недоброжелателей на почве возможной конкуренции...»</w:t>
      </w:r>
      <w:r w:rsidRPr="00DE096C">
        <w:rPr>
          <w:bCs/>
          <w:color w:val="002060"/>
          <w:sz w:val="16"/>
          <w:szCs w:val="16"/>
        </w:rPr>
        <w:t xml:space="preserve"> Надо сказать, что военные к этому самолету относились благосклонно, и в 1917 г. он успешно прошел испытания. Однако запустить его в серийное производство на каком-либо заводе не удалось. </w:t>
      </w:r>
    </w:p>
    <w:p w14:paraId="3228FC58" w14:textId="77777777" w:rsidR="00B67D7C" w:rsidRPr="00DE096C" w:rsidRDefault="00B67D7C" w:rsidP="00D45A46">
      <w:pPr>
        <w:pStyle w:val="13"/>
        <w:spacing w:before="0" w:after="0"/>
        <w:jc w:val="both"/>
        <w:rPr>
          <w:bCs/>
          <w:color w:val="002060"/>
          <w:sz w:val="16"/>
          <w:szCs w:val="16"/>
        </w:rPr>
      </w:pPr>
      <w:r w:rsidRPr="00DE096C">
        <w:rPr>
          <w:bCs/>
          <w:color w:val="002060"/>
          <w:sz w:val="16"/>
          <w:szCs w:val="16"/>
        </w:rPr>
        <w:t xml:space="preserve">Еще одним наследием Червоннского завода стал поезд-мастерская. Он был сформирован с использованием части оборудования предприятия и полностью за счет Терещенко, из средств которого даже выплачивалось денежное содержание руководящему составу. Например, за 1916 г. начальник поезда коллежский асессор С.Т.Самсонов получил 3600 руб., а заведующий мастерской подпоручик А.С.Ларионов — 3000 руб. Осенью 1915 г. мастерская прибыла в Москву. Для ее развертывания были необходимы помещения, которые подыскали далеко не сразу, и работу начали прямо под открытым небом, невзирая на холод, дождь, а потом и снег. Личный состав освоил ремонт самолетов и моторов самых разных типов, возвратив в строй в течение года 250 аэропланов и 70 двигателей. Эту работу высоко оценил начальник Управления военного воздушного флота (УВВФ) генерал-майор Пневский, выразивший «исключительную благодарность» руководящему звену поезда, а также объявивший свое спасибо «молодцам рабочим и нижним чинам». Как следует из приказа по УВВФ № 152 от 19 декабря 1916г., </w:t>
      </w:r>
      <w:r w:rsidRPr="00DE096C">
        <w:rPr>
          <w:rStyle w:val="10"/>
          <w:rFonts w:eastAsiaTheme="majorEastAsia"/>
          <w:bCs/>
          <w:color w:val="002060"/>
          <w:sz w:val="16"/>
          <w:szCs w:val="16"/>
        </w:rPr>
        <w:t>«Согласно указания Августейшего Полевого Генерал-инспектора Военного Воздушного Флота, поезд мастерская Его Императорского Величества Великого Князя Александра Михайловича Червоннского авиационного завода Федора Федоровича Терещенко oтправляется в состав действующей армии»</w:t>
      </w:r>
      <w:r w:rsidRPr="00DE096C">
        <w:rPr>
          <w:bCs/>
          <w:color w:val="002060"/>
          <w:sz w:val="16"/>
          <w:szCs w:val="16"/>
        </w:rPr>
        <w:t>. Через 2 недели Терещенко лично возглавил поезд. Действия передвижной мастерской во фронтовых условиях тоже оказались успешными. За руководство ею и другие заслуги в годы войны Федор Федорович был награжден орденами Св. Владимира 4-й степени и Св. Анны 2-й степени.</w:t>
      </w:r>
    </w:p>
    <w:p w14:paraId="69657F7A" w14:textId="77777777" w:rsidR="00B67D7C" w:rsidRPr="00DE096C" w:rsidRDefault="00B67D7C" w:rsidP="00D45A46">
      <w:pPr>
        <w:pStyle w:val="13"/>
        <w:spacing w:before="0" w:after="0"/>
        <w:jc w:val="both"/>
        <w:rPr>
          <w:bCs/>
          <w:color w:val="002060"/>
          <w:sz w:val="16"/>
          <w:szCs w:val="16"/>
        </w:rPr>
      </w:pPr>
      <w:r w:rsidRPr="00DE096C">
        <w:rPr>
          <w:bCs/>
          <w:color w:val="002060"/>
          <w:sz w:val="16"/>
          <w:szCs w:val="16"/>
        </w:rPr>
        <w:t>ам Червоннский завод все-таки был продан «Дуксу». В конце 1915 г. — начале 1916 г. этой фирме передали различное оборудование, включая 15 станков, авиационные материалы, готовые изделия и т.п. на сумму 86039 руб. Остатки имущества ликвидированного предприятия П.Т.Замлилый еще длительное время распродавал в розницу. В частности, 22 мая 1916 г. он предложил приобрести моторы «Мерседес» в 50 л.с. и «Австро-Даймлер» в 40 л.с, а также различные запчасти к двигателям «Гном». Обращение осталось без ответа. Последнее упоминание о предприятии Tepeщенко датировано 18 января 1917 г., когда приобрело «наличной покупкой» (то есть без заключения контракта) из остатков имущества Червоннского завода один комплект запчастей к «Фарману XVI».</w:t>
      </w:r>
    </w:p>
    <w:p w14:paraId="75D85E68" w14:textId="77777777" w:rsidR="00B67D7C" w:rsidRPr="00DE096C" w:rsidRDefault="00B67D7C" w:rsidP="00D45A46">
      <w:pPr>
        <w:pStyle w:val="13"/>
        <w:spacing w:before="0" w:after="0"/>
        <w:jc w:val="both"/>
        <w:rPr>
          <w:bCs/>
          <w:color w:val="002060"/>
          <w:sz w:val="16"/>
          <w:szCs w:val="16"/>
        </w:rPr>
      </w:pPr>
      <w:r w:rsidRPr="00DE096C">
        <w:rPr>
          <w:bCs/>
          <w:color w:val="002060"/>
          <w:sz w:val="16"/>
          <w:szCs w:val="16"/>
        </w:rPr>
        <w:t>После прихода в Украину советской власти имение Червонное было национализировано. О восстановлении там авиационного завода никто не помышлял, хотя все производственные помещения сохранялись довольно долго и были разобраны после Второй мировой войны. О судьбе самого Терещенко долгие годы на родине ничего не знали даже исследователи, занимавшиеся историей этой семьи. Лишь несколько лет назад, благодаря ycилиям киевского историка В.В.Ковалинского стало известно, что Федор Федорович эмигрировал во Францию и жил в Париже до своей кончины 30 января 1950 г. (12252)</w:t>
      </w:r>
    </w:p>
    <w:p w14:paraId="08AABBFD" w14:textId="77777777" w:rsidR="00B67D7C" w:rsidRPr="00DE096C" w:rsidRDefault="00B67D7C" w:rsidP="00D45A46">
      <w:pPr>
        <w:jc w:val="both"/>
        <w:rPr>
          <w:bCs/>
          <w:i/>
          <w:color w:val="002060"/>
          <w:sz w:val="16"/>
          <w:szCs w:val="16"/>
        </w:rPr>
      </w:pPr>
    </w:p>
    <w:p w14:paraId="18FA844C" w14:textId="4EB6D84C" w:rsidR="00B67D7C" w:rsidRPr="00DE096C" w:rsidRDefault="00B67D7C" w:rsidP="00D45A46">
      <w:pPr>
        <w:jc w:val="both"/>
        <w:rPr>
          <w:bCs/>
          <w:color w:val="002060"/>
          <w:sz w:val="16"/>
          <w:szCs w:val="16"/>
        </w:rPr>
      </w:pPr>
      <w:r w:rsidRPr="00DE096C">
        <w:rPr>
          <w:bCs/>
          <w:color w:val="002060"/>
          <w:sz w:val="16"/>
          <w:szCs w:val="16"/>
        </w:rPr>
        <w:t xml:space="preserve">3 </w:t>
      </w:r>
      <w:r w:rsidR="00CA13A0" w:rsidRPr="00DE096C">
        <w:rPr>
          <w:bCs/>
          <w:color w:val="002060"/>
          <w:sz w:val="16"/>
          <w:szCs w:val="16"/>
        </w:rPr>
        <w:t xml:space="preserve">(16) </w:t>
      </w:r>
      <w:r w:rsidRPr="00DE096C">
        <w:rPr>
          <w:bCs/>
          <w:color w:val="002060"/>
          <w:sz w:val="16"/>
          <w:szCs w:val="16"/>
        </w:rPr>
        <w:t xml:space="preserve">апреля 1914 года на Комендантский аэродром в Санкт-Петербурге был доставлен новый аэроплан-разведчик </w:t>
      </w:r>
      <w:r w:rsidR="00CA13A0" w:rsidRPr="00DE096C">
        <w:rPr>
          <w:bCs/>
          <w:color w:val="002060"/>
          <w:sz w:val="16"/>
          <w:szCs w:val="16"/>
        </w:rPr>
        <w:t xml:space="preserve">Пороховщикова </w:t>
      </w:r>
      <w:r w:rsidRPr="00DE096C">
        <w:rPr>
          <w:bCs/>
          <w:color w:val="002060"/>
          <w:sz w:val="16"/>
          <w:szCs w:val="16"/>
        </w:rPr>
        <w:t xml:space="preserve">«Бикок» – самолет, составляющий славу нашей великой авиационной державы. Это был первый в мире удачный самолет двухбалочной (двухфюзеляжной) схемы, на авторство которой претендуют конструкторы фирмы «Юнкерс». Но тот «юнкерс» не удался. А самолет Пороховщикова не только успешно прошел все испытания, но и был принят на вооружение. «Бикок» – первый успешно летавший двухбалочный самолет мира! Первый немецкий двухбалочный аэроплан Fokker M.9/K-1 взлетел только в 1915 году. </w:t>
      </w:r>
    </w:p>
    <w:p w14:paraId="135A316A" w14:textId="77777777" w:rsidR="00B67D7C" w:rsidRPr="00DE096C" w:rsidRDefault="00B67D7C" w:rsidP="00D45A46">
      <w:pPr>
        <w:jc w:val="both"/>
        <w:rPr>
          <w:bCs/>
          <w:color w:val="002060"/>
          <w:sz w:val="16"/>
          <w:szCs w:val="16"/>
        </w:rPr>
      </w:pPr>
      <w:r w:rsidRPr="00DE096C">
        <w:rPr>
          <w:bCs/>
          <w:color w:val="002060"/>
          <w:sz w:val="16"/>
          <w:szCs w:val="16"/>
        </w:rPr>
        <w:t xml:space="preserve">Военное ведомство царской России незамедлительно подписало с изобретателем контракт на поставку самолетов «Бикок» для армии. Самолет поднимал полезную нагрузку 256 кг при собственном весе 516 кг. А это значит, что «весовая отдача» машины достигала почти 50%! Верх совершенства даже по сегодняшним меркам. И кроме всего прочего, «Бикок» был самолетом боевым – на нем впервые в мире еще на стадии проектирования было предусмотрено место для установки пулемета и спроектировано устройство для сбрасывания бомб. Впервые в мире самолет изначально проектировался как боевой! О чем неоспоримо свидетельствуют архивные документы РГВИА. И сведения об этом нам давно следует отправить в Книгу рекордов Гиннесса. </w:t>
      </w:r>
    </w:p>
    <w:p w14:paraId="06267BA4" w14:textId="77777777" w:rsidR="00B67D7C" w:rsidRPr="00DE096C" w:rsidRDefault="00B67D7C" w:rsidP="00D45A46">
      <w:pPr>
        <w:jc w:val="both"/>
        <w:rPr>
          <w:bCs/>
          <w:color w:val="002060"/>
          <w:sz w:val="16"/>
          <w:szCs w:val="16"/>
        </w:rPr>
      </w:pPr>
      <w:r w:rsidRPr="00DE096C">
        <w:rPr>
          <w:bCs/>
          <w:color w:val="002060"/>
          <w:sz w:val="16"/>
          <w:szCs w:val="16"/>
        </w:rPr>
        <w:t xml:space="preserve">А строил «Бикок» студент Пороховщиков в… своей квартире на шестом этаже жилого дома! Два человека легко собирали и разбирали аэроплан всего за пять минут. «Неразмокаемый клей», использовавшийся при сборке аэроплана, тоже был оригинальным изобретением Александра Пороховщикова. </w:t>
      </w:r>
    </w:p>
    <w:p w14:paraId="0D61E4AD" w14:textId="77777777" w:rsidR="00B67D7C" w:rsidRPr="00DE096C" w:rsidRDefault="00B67D7C" w:rsidP="00D45A46">
      <w:pPr>
        <w:jc w:val="both"/>
        <w:rPr>
          <w:bCs/>
          <w:color w:val="002060"/>
          <w:sz w:val="16"/>
          <w:szCs w:val="16"/>
        </w:rPr>
      </w:pPr>
      <w:r w:rsidRPr="00DE096C">
        <w:rPr>
          <w:bCs/>
          <w:color w:val="002060"/>
          <w:sz w:val="16"/>
          <w:szCs w:val="16"/>
        </w:rPr>
        <w:t xml:space="preserve">Второй построенный им в 1915 году экземпляр «Бикок» был оснащен гусеничным шасси! И это тоже было сделано впервые в мире. </w:t>
      </w:r>
    </w:p>
    <w:p w14:paraId="7F8E66C2" w14:textId="77777777" w:rsidR="00B67D7C" w:rsidRPr="00DE096C" w:rsidRDefault="00B67D7C" w:rsidP="00D45A46">
      <w:pPr>
        <w:shd w:val="clear" w:color="auto" w:fill="FFFFFF"/>
        <w:jc w:val="both"/>
        <w:rPr>
          <w:bCs/>
          <w:i/>
          <w:color w:val="002060"/>
          <w:sz w:val="16"/>
          <w:szCs w:val="16"/>
        </w:rPr>
      </w:pPr>
    </w:p>
    <w:p w14:paraId="15091D3C" w14:textId="77777777" w:rsidR="00D125DE" w:rsidRPr="00DE096C" w:rsidRDefault="00D125DE" w:rsidP="00D45A46">
      <w:pPr>
        <w:shd w:val="clear" w:color="auto" w:fill="FFFFFF"/>
        <w:jc w:val="both"/>
        <w:rPr>
          <w:bCs/>
          <w:i/>
          <w:color w:val="002060"/>
          <w:sz w:val="16"/>
          <w:szCs w:val="16"/>
        </w:rPr>
      </w:pPr>
      <w:r w:rsidRPr="00DE096C">
        <w:rPr>
          <w:bCs/>
          <w:i/>
          <w:color w:val="002060"/>
          <w:sz w:val="16"/>
          <w:szCs w:val="16"/>
        </w:rPr>
        <w:t>Авиация:</w:t>
      </w:r>
    </w:p>
    <w:p w14:paraId="19B34AE9" w14:textId="77777777" w:rsidR="00D125DE" w:rsidRPr="00DE096C" w:rsidRDefault="00D125DE" w:rsidP="00D45A46">
      <w:pPr>
        <w:shd w:val="clear" w:color="auto" w:fill="FFFFFF"/>
        <w:jc w:val="both"/>
        <w:rPr>
          <w:bCs/>
          <w:i/>
          <w:color w:val="002060"/>
          <w:sz w:val="16"/>
          <w:szCs w:val="16"/>
        </w:rPr>
      </w:pPr>
    </w:p>
    <w:p w14:paraId="0E4D8465" w14:textId="4D5E2267" w:rsidR="00D125DE" w:rsidRPr="00DE096C" w:rsidRDefault="00D125DE" w:rsidP="00D45A46">
      <w:pPr>
        <w:jc w:val="both"/>
        <w:rPr>
          <w:bCs/>
          <w:color w:val="002060"/>
          <w:sz w:val="16"/>
          <w:szCs w:val="16"/>
        </w:rPr>
      </w:pPr>
      <w:r w:rsidRPr="00DE096C">
        <w:rPr>
          <w:bCs/>
          <w:color w:val="002060"/>
          <w:sz w:val="16"/>
          <w:szCs w:val="16"/>
        </w:rPr>
        <w:t xml:space="preserve">4 </w:t>
      </w:r>
      <w:r w:rsidR="00A54B59" w:rsidRPr="00DE096C">
        <w:rPr>
          <w:bCs/>
          <w:color w:val="002060"/>
          <w:sz w:val="16"/>
          <w:szCs w:val="16"/>
        </w:rPr>
        <w:t xml:space="preserve">(17) </w:t>
      </w:r>
      <w:r w:rsidRPr="00DE096C">
        <w:rPr>
          <w:bCs/>
          <w:color w:val="002060"/>
          <w:sz w:val="16"/>
          <w:szCs w:val="16"/>
        </w:rPr>
        <w:t>апреля в 1914 году в Москве впервые в России шеф-пилот завода "Дукс" А.М.Габер-Влынский продемонстрировал весь комплекс фигур высшего пилотажа (15089).</w:t>
      </w:r>
    </w:p>
    <w:p w14:paraId="4EDCCF90" w14:textId="77777777" w:rsidR="00D125DE" w:rsidRPr="00DE096C" w:rsidRDefault="00D125DE" w:rsidP="00D45A46">
      <w:pPr>
        <w:jc w:val="both"/>
        <w:rPr>
          <w:bCs/>
          <w:color w:val="002060"/>
          <w:sz w:val="16"/>
          <w:szCs w:val="16"/>
        </w:rPr>
      </w:pPr>
    </w:p>
    <w:p w14:paraId="08139BFC" w14:textId="3C349EA2" w:rsidR="00D125DE" w:rsidRPr="00DE096C" w:rsidRDefault="00D125DE" w:rsidP="00D45A46">
      <w:pPr>
        <w:pStyle w:val="2"/>
        <w:spacing w:before="0" w:after="0"/>
        <w:jc w:val="both"/>
        <w:rPr>
          <w:b w:val="0"/>
          <w:bCs/>
          <w:color w:val="002060"/>
          <w:sz w:val="16"/>
          <w:szCs w:val="16"/>
        </w:rPr>
      </w:pPr>
      <w:r w:rsidRPr="00DE096C">
        <w:rPr>
          <w:b w:val="0"/>
          <w:bCs/>
          <w:color w:val="002060"/>
          <w:sz w:val="16"/>
          <w:szCs w:val="16"/>
        </w:rPr>
        <w:t xml:space="preserve">4 </w:t>
      </w:r>
      <w:r w:rsidR="00A54B59" w:rsidRPr="00DE096C">
        <w:rPr>
          <w:b w:val="0"/>
          <w:bCs/>
          <w:color w:val="002060"/>
          <w:sz w:val="16"/>
          <w:szCs w:val="16"/>
        </w:rPr>
        <w:t xml:space="preserve">(17) </w:t>
      </w:r>
      <w:r w:rsidRPr="00DE096C">
        <w:rPr>
          <w:b w:val="0"/>
          <w:bCs/>
          <w:color w:val="002060"/>
          <w:sz w:val="16"/>
          <w:szCs w:val="16"/>
        </w:rPr>
        <w:t>апреля 1914 в 8 часов утра Габер впервые в Москве в присутствии членов МОВ и репортеров показал «скольжение» на крыло: «Этот номер состоял из крутейшего виража, когда аппарат описывает в воздухе лежачее О, причем крылья аэроплана находятся почти вертикально. После «скольжения» Габер показал мертвую петлю, при чем он опрокидывал аппарат вверх на спину, и затем, замкнув петлю, снова выравнивал его. Третьим трюком было «падение на хвост». При исполнении этого упражнения авиатор круто задирает вверх, отчего аппарат постепенно теряет скорость. Наконец он на момент застывает в воздухе и как-бы «обрывается», т.е. летит вниз хвостом вперед. Маневрированием рулем глубины авиатор снова приводит аппарат в горизонтальное положение, головная часть перевешивает и аэроплан снова начинает нормальный полет (сейчас эту фигуру называют «колокол»).» Обозреватели отметили, что «все вышеописанные трюки Габер-Влынский выполнил превосходно и все присутствовавшие наградили смелого летчика бурными овациями.» Так Габер вторым после Нестерова сделал третью по счету в России «мертвую петлю». Весь комплекс фигур высшего пилотажа москвичи увидели впервые (15464).</w:t>
      </w:r>
    </w:p>
    <w:p w14:paraId="7353CFC3" w14:textId="77777777" w:rsidR="00D125DE" w:rsidRPr="00DE096C" w:rsidRDefault="00D125DE" w:rsidP="00D45A46">
      <w:pPr>
        <w:pStyle w:val="2"/>
        <w:spacing w:before="0" w:after="0"/>
        <w:jc w:val="both"/>
        <w:rPr>
          <w:b w:val="0"/>
          <w:bCs/>
          <w:color w:val="002060"/>
          <w:sz w:val="16"/>
          <w:szCs w:val="16"/>
        </w:rPr>
      </w:pPr>
    </w:p>
    <w:p w14:paraId="52DD62DC" w14:textId="0D4A4501" w:rsidR="00135761" w:rsidRPr="00DE096C" w:rsidRDefault="00135761" w:rsidP="00D45A46">
      <w:pPr>
        <w:jc w:val="both"/>
        <w:rPr>
          <w:bCs/>
          <w:color w:val="002060"/>
          <w:sz w:val="16"/>
          <w:szCs w:val="16"/>
        </w:rPr>
      </w:pPr>
      <w:r w:rsidRPr="00DE096C">
        <w:rPr>
          <w:bCs/>
          <w:color w:val="002060"/>
          <w:sz w:val="16"/>
          <w:szCs w:val="16"/>
        </w:rPr>
        <w:t>4 (17) апреля в 1914 году состоялась первая в России демонстрация комплекса фигур высшего пилотажа, Москва. Пилот - А.М.Габер-</w:t>
      </w:r>
      <w:r w:rsidR="004D654A" w:rsidRPr="00DE096C">
        <w:rPr>
          <w:bCs/>
          <w:color w:val="002060"/>
          <w:sz w:val="16"/>
          <w:szCs w:val="16"/>
        </w:rPr>
        <w:t>В</w:t>
      </w:r>
      <w:r w:rsidRPr="00DE096C">
        <w:rPr>
          <w:bCs/>
          <w:color w:val="002060"/>
          <w:sz w:val="16"/>
          <w:szCs w:val="16"/>
        </w:rPr>
        <w:t>лынский, шеф-пилот фирмы "Дукс" (15102).</w:t>
      </w:r>
    </w:p>
    <w:p w14:paraId="12268311" w14:textId="77777777" w:rsidR="00135761" w:rsidRPr="00DE096C" w:rsidRDefault="00135761" w:rsidP="00D45A46">
      <w:pPr>
        <w:jc w:val="both"/>
        <w:rPr>
          <w:bCs/>
          <w:color w:val="002060"/>
          <w:sz w:val="16"/>
          <w:szCs w:val="16"/>
        </w:rPr>
      </w:pPr>
    </w:p>
    <w:p w14:paraId="71565509"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Воздухоплавание:</w:t>
      </w:r>
    </w:p>
    <w:p w14:paraId="18093B60" w14:textId="77777777" w:rsidR="00B67D7C" w:rsidRPr="00DE096C" w:rsidRDefault="00B67D7C" w:rsidP="00D45A46">
      <w:pPr>
        <w:shd w:val="clear" w:color="auto" w:fill="FFFFFF"/>
        <w:jc w:val="both"/>
        <w:rPr>
          <w:bCs/>
          <w:i/>
          <w:color w:val="002060"/>
          <w:sz w:val="16"/>
          <w:szCs w:val="16"/>
        </w:rPr>
      </w:pPr>
    </w:p>
    <w:p w14:paraId="3537842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4 (17) апреля 1914 Воздухоплаватель и летчик Н.А.Яцук совершил по-т на воздушном шаре с научной целью. С ним поднимались ученый-ртествоиспытатель Н.А.Морозов, врач Н.А.Цитович и писатель В.В.Водовозов, занявшиеся изучением влияния полета на организм рловека. Этот полет был одним из мероприятий специальной медицинской комиссии, созданной ВАК 21 февраля 1914 года. (Н.А.Морозов. "Среди облаков". 1925).</w:t>
      </w:r>
    </w:p>
    <w:p w14:paraId="2DD5A170" w14:textId="77777777" w:rsidR="00B67D7C" w:rsidRPr="00DE096C" w:rsidRDefault="00B67D7C" w:rsidP="00D45A46">
      <w:pPr>
        <w:shd w:val="clear" w:color="auto" w:fill="FFFFFF"/>
        <w:jc w:val="both"/>
        <w:rPr>
          <w:bCs/>
          <w:color w:val="002060"/>
          <w:sz w:val="16"/>
          <w:szCs w:val="16"/>
        </w:rPr>
      </w:pPr>
    </w:p>
    <w:p w14:paraId="03C99CCF" w14:textId="77777777" w:rsidR="00BD6F42" w:rsidRPr="00DE096C" w:rsidRDefault="00BD6F42" w:rsidP="00D45A46">
      <w:pPr>
        <w:jc w:val="both"/>
        <w:rPr>
          <w:bCs/>
          <w:color w:val="002060"/>
          <w:sz w:val="16"/>
          <w:szCs w:val="16"/>
        </w:rPr>
      </w:pPr>
      <w:r w:rsidRPr="00DE096C">
        <w:rPr>
          <w:bCs/>
          <w:color w:val="002060"/>
          <w:sz w:val="16"/>
          <w:szCs w:val="16"/>
        </w:rPr>
        <w:t>4 (17) апреля 1914 г. воздухоплаватель и летчик Н.А.Яцук совершил полет на воздушном шаре с научной целью. С ним поднимались ученый-естество</w:t>
      </w:r>
      <w:r w:rsidRPr="00DE096C">
        <w:rPr>
          <w:bCs/>
          <w:color w:val="002060"/>
          <w:sz w:val="16"/>
          <w:szCs w:val="16"/>
        </w:rPr>
        <w:softHyphen/>
        <w:t>испытатель Н.А.Морозов, врач Н.А.Цитович и писатель В.В. Водовозов, занявшийся изучением влияния полета на организм человека. Этот по</w:t>
      </w:r>
      <w:r w:rsidRPr="00DE096C">
        <w:rPr>
          <w:bCs/>
          <w:color w:val="002060"/>
          <w:sz w:val="16"/>
          <w:szCs w:val="16"/>
        </w:rPr>
        <w:softHyphen/>
        <w:t>лет был одним из мероприятий специальной медицинской комиссии, соз</w:t>
      </w:r>
      <w:r w:rsidRPr="00DE096C">
        <w:rPr>
          <w:bCs/>
          <w:color w:val="002060"/>
          <w:sz w:val="16"/>
          <w:szCs w:val="16"/>
        </w:rPr>
        <w:softHyphen/>
        <w:t>данной ВАК 21 февраля 1914 г. (23320).</w:t>
      </w:r>
    </w:p>
    <w:p w14:paraId="689166B2" w14:textId="77777777" w:rsidR="00BD6F42" w:rsidRPr="00DE096C" w:rsidRDefault="00BD6F42" w:rsidP="00D45A46">
      <w:pPr>
        <w:jc w:val="both"/>
        <w:rPr>
          <w:bCs/>
          <w:color w:val="002060"/>
          <w:sz w:val="16"/>
          <w:szCs w:val="16"/>
        </w:rPr>
      </w:pPr>
    </w:p>
    <w:p w14:paraId="779F1449" w14:textId="531A1BC8" w:rsidR="00D125DE" w:rsidRPr="00DE096C" w:rsidRDefault="00D125DE" w:rsidP="00D45A46">
      <w:pPr>
        <w:pStyle w:val="31"/>
        <w:shd w:val="clear" w:color="auto" w:fill="auto"/>
        <w:spacing w:line="240" w:lineRule="auto"/>
        <w:ind w:firstLine="0"/>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 xml:space="preserve">4 </w:t>
      </w:r>
      <w:r w:rsidR="00A54B59" w:rsidRPr="00DE096C">
        <w:rPr>
          <w:rFonts w:ascii="Times New Roman" w:hAnsi="Times New Roman" w:cs="Times New Roman"/>
          <w:bCs/>
          <w:color w:val="002060"/>
          <w:sz w:val="16"/>
          <w:szCs w:val="16"/>
        </w:rPr>
        <w:t xml:space="preserve">(17) </w:t>
      </w:r>
      <w:r w:rsidRPr="00DE096C">
        <w:rPr>
          <w:rFonts w:ascii="Times New Roman" w:hAnsi="Times New Roman" w:cs="Times New Roman"/>
          <w:bCs/>
          <w:color w:val="002060"/>
          <w:sz w:val="16"/>
          <w:szCs w:val="16"/>
        </w:rPr>
        <w:t>апреля 1914 г. с пассажирами народовольцем Н.А. Морозовым, врачом Н.А. Цитовичем и писателем В.В. Водовозовым Яцук проводил научно-медицинские исследования, изучая влияние высоты на организм человека. Пролетев около 100 верст, аэростат опустился в районе Ладожско</w:t>
      </w:r>
      <w:r w:rsidRPr="00DE096C">
        <w:rPr>
          <w:rFonts w:ascii="Times New Roman" w:hAnsi="Times New Roman" w:cs="Times New Roman"/>
          <w:bCs/>
          <w:color w:val="002060"/>
          <w:sz w:val="16"/>
          <w:szCs w:val="16"/>
        </w:rPr>
        <w:softHyphen/>
        <w:t>го озера, и аэронавты, среди них и 60-летний Морозов, более 8 часов выбирались к жилью по колено в ледяной воде. Повредила ли эта «ледяная купель» здоровью долго</w:t>
      </w:r>
      <w:r w:rsidRPr="00DE096C">
        <w:rPr>
          <w:rFonts w:ascii="Times New Roman" w:hAnsi="Times New Roman" w:cs="Times New Roman"/>
          <w:bCs/>
          <w:color w:val="002060"/>
          <w:sz w:val="16"/>
          <w:szCs w:val="16"/>
        </w:rPr>
        <w:softHyphen/>
        <w:t>жителя Морозова, умершего в 1946 г., неизвестно, но, по-видимому, значительно со</w:t>
      </w:r>
      <w:r w:rsidRPr="00DE096C">
        <w:rPr>
          <w:rFonts w:ascii="Times New Roman" w:hAnsi="Times New Roman" w:cs="Times New Roman"/>
          <w:bCs/>
          <w:color w:val="002060"/>
          <w:sz w:val="16"/>
          <w:szCs w:val="16"/>
        </w:rPr>
        <w:softHyphen/>
        <w:t>кратила жизнь и творческие годы Яцука (15793).</w:t>
      </w:r>
    </w:p>
    <w:p w14:paraId="2CDA231D" w14:textId="77777777" w:rsidR="00D125DE" w:rsidRPr="00DE096C" w:rsidRDefault="00D125DE" w:rsidP="00D45A46">
      <w:pPr>
        <w:pStyle w:val="31"/>
        <w:shd w:val="clear" w:color="auto" w:fill="auto"/>
        <w:spacing w:line="240" w:lineRule="auto"/>
        <w:ind w:firstLine="0"/>
        <w:rPr>
          <w:rFonts w:ascii="Times New Roman" w:hAnsi="Times New Roman" w:cs="Times New Roman"/>
          <w:bCs/>
          <w:color w:val="002060"/>
          <w:sz w:val="16"/>
          <w:szCs w:val="16"/>
        </w:rPr>
      </w:pPr>
    </w:p>
    <w:p w14:paraId="4781ED45" w14:textId="26DF3EB4" w:rsidR="00B67D7C" w:rsidRPr="00DE096C" w:rsidRDefault="00B67D7C" w:rsidP="00D45A46">
      <w:pPr>
        <w:jc w:val="both"/>
        <w:rPr>
          <w:bCs/>
          <w:color w:val="002060"/>
          <w:sz w:val="16"/>
          <w:szCs w:val="16"/>
        </w:rPr>
      </w:pPr>
      <w:r w:rsidRPr="00DE096C">
        <w:rPr>
          <w:bCs/>
          <w:color w:val="002060"/>
          <w:sz w:val="16"/>
          <w:szCs w:val="16"/>
        </w:rPr>
        <w:t xml:space="preserve">4 (17) апреля 1914 года </w:t>
      </w:r>
      <w:r w:rsidR="00A54B59" w:rsidRPr="00DE096C">
        <w:rPr>
          <w:bCs/>
          <w:color w:val="002060"/>
          <w:sz w:val="16"/>
          <w:szCs w:val="16"/>
        </w:rPr>
        <w:t>Н.А.Яцук</w:t>
      </w:r>
      <w:r w:rsidRPr="00DE096C">
        <w:rPr>
          <w:bCs/>
          <w:color w:val="002060"/>
          <w:sz w:val="16"/>
          <w:szCs w:val="16"/>
        </w:rPr>
        <w:t xml:space="preserve"> вместе с известным учёным Н.А.Морозовым, врачом И.С.Цитовичем и писателем В.В.Водовозовым совершил полёт на свободном аэростате с целью изучения влияния полётов на организм человека. Эти опыты стали началом развития отечественной авиационной медицины. В этот период он так же занимался разработкой общей методики обучения пилотов (до этого каждый инструктор имел свою).</w:t>
      </w:r>
    </w:p>
    <w:p w14:paraId="5E7852D2" w14:textId="77777777" w:rsidR="00B67D7C" w:rsidRPr="00DE096C" w:rsidRDefault="00B67D7C" w:rsidP="00D45A46">
      <w:pPr>
        <w:shd w:val="clear" w:color="auto" w:fill="FFFFFF"/>
        <w:jc w:val="both"/>
        <w:rPr>
          <w:bCs/>
          <w:i/>
          <w:color w:val="002060"/>
          <w:sz w:val="16"/>
          <w:szCs w:val="16"/>
        </w:rPr>
      </w:pPr>
    </w:p>
    <w:p w14:paraId="749A4332" w14:textId="77777777" w:rsidR="001D369B" w:rsidRPr="00DE096C" w:rsidRDefault="001D369B" w:rsidP="00D45A46">
      <w:pPr>
        <w:jc w:val="both"/>
        <w:rPr>
          <w:bCs/>
          <w:color w:val="002060"/>
          <w:sz w:val="16"/>
          <w:szCs w:val="16"/>
        </w:rPr>
      </w:pPr>
      <w:r w:rsidRPr="00DE096C">
        <w:rPr>
          <w:bCs/>
          <w:color w:val="002060"/>
          <w:sz w:val="16"/>
          <w:szCs w:val="16"/>
        </w:rPr>
        <w:t>4 (17) апреля 1914 г. с газового завода на Обводном канале поднялся аэростат «Треугольник». Это был последний довоенный научный полёт ИВАК, предпринятый для исследования влияния вы</w:t>
      </w:r>
      <w:r w:rsidRPr="00DE096C">
        <w:rPr>
          <w:bCs/>
          <w:color w:val="002060"/>
          <w:sz w:val="16"/>
          <w:szCs w:val="16"/>
        </w:rPr>
        <w:softHyphen/>
        <w:t>соты и условий полётов на физиологическое состояние человека. Командиром аэростата был пи</w:t>
      </w:r>
      <w:r w:rsidRPr="00DE096C">
        <w:rPr>
          <w:bCs/>
          <w:color w:val="002060"/>
          <w:sz w:val="16"/>
          <w:szCs w:val="16"/>
        </w:rPr>
        <w:softHyphen/>
        <w:t>лот ИВАК Н.А. Яцук. Помимо Н.А. Морозова в полёте принимали участие доктор И.С. Цито- вич и писатель В.В. Водовозов. На борту аэроста</w:t>
      </w:r>
      <w:r w:rsidRPr="00DE096C">
        <w:rPr>
          <w:bCs/>
          <w:color w:val="002060"/>
          <w:sz w:val="16"/>
          <w:szCs w:val="16"/>
        </w:rPr>
        <w:softHyphen/>
        <w:t>та находились портативные медицинские при</w:t>
      </w:r>
      <w:r w:rsidRPr="00DE096C">
        <w:rPr>
          <w:bCs/>
          <w:color w:val="002060"/>
          <w:sz w:val="16"/>
          <w:szCs w:val="16"/>
        </w:rPr>
        <w:softHyphen/>
        <w:t>боры, приспособленные для работы в условиях возможных сотрясений и ударов при подъёме и спуске. Научные результаты этого подъёма оказались весьма скромными: перетяжелённый аэростат поднялся на небольшую высоту, поэто</w:t>
      </w:r>
      <w:r w:rsidRPr="00DE096C">
        <w:rPr>
          <w:bCs/>
          <w:color w:val="002060"/>
          <w:sz w:val="16"/>
          <w:szCs w:val="16"/>
        </w:rPr>
        <w:softHyphen/>
        <w:t>му никаких существенных изменений в состоя</w:t>
      </w:r>
      <w:r w:rsidRPr="00DE096C">
        <w:rPr>
          <w:bCs/>
          <w:color w:val="002060"/>
          <w:sz w:val="16"/>
          <w:szCs w:val="16"/>
        </w:rPr>
        <w:softHyphen/>
        <w:t>нии аэронавтов зафиксировано не было (20120).</w:t>
      </w:r>
    </w:p>
    <w:p w14:paraId="5D10D717" w14:textId="77777777" w:rsidR="001D369B" w:rsidRPr="00DE096C" w:rsidRDefault="001D369B" w:rsidP="00D45A46">
      <w:pPr>
        <w:jc w:val="both"/>
        <w:rPr>
          <w:bCs/>
          <w:color w:val="002060"/>
          <w:sz w:val="16"/>
          <w:szCs w:val="16"/>
        </w:rPr>
      </w:pPr>
    </w:p>
    <w:p w14:paraId="490E2B90" w14:textId="77777777" w:rsidR="000E4046" w:rsidRPr="00DE096C" w:rsidRDefault="000E4046" w:rsidP="00D45A46">
      <w:pPr>
        <w:jc w:val="both"/>
        <w:rPr>
          <w:bCs/>
          <w:i/>
          <w:color w:val="002060"/>
          <w:sz w:val="16"/>
          <w:szCs w:val="16"/>
        </w:rPr>
      </w:pPr>
      <w:r w:rsidRPr="00DE096C">
        <w:rPr>
          <w:bCs/>
          <w:i/>
          <w:color w:val="002060"/>
          <w:sz w:val="16"/>
          <w:szCs w:val="16"/>
        </w:rPr>
        <w:t>Авиация и воздухоплавание Франции:</w:t>
      </w:r>
    </w:p>
    <w:p w14:paraId="3FAA1505" w14:textId="77777777" w:rsidR="000E4046" w:rsidRPr="00DE096C" w:rsidRDefault="000E4046" w:rsidP="00D45A46">
      <w:pPr>
        <w:jc w:val="both"/>
        <w:rPr>
          <w:bCs/>
          <w:i/>
          <w:color w:val="002060"/>
          <w:sz w:val="16"/>
          <w:szCs w:val="16"/>
        </w:rPr>
      </w:pPr>
    </w:p>
    <w:p w14:paraId="7AF5354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7 (20) апреля 1914 Авиатор Александр Евгеньевич Раевский, обучаясь высшему пилотажу в Бюке (Франция), сделал на самолете последовательно 11 мертвых петель - рекорд для русских летчиков того времени ("Аэро", 1914, № 8).</w:t>
      </w:r>
    </w:p>
    <w:p w14:paraId="2C091A04" w14:textId="77777777" w:rsidR="00B67D7C" w:rsidRPr="00DE096C" w:rsidRDefault="00B67D7C" w:rsidP="00D45A46">
      <w:pPr>
        <w:shd w:val="clear" w:color="auto" w:fill="FFFFFF"/>
        <w:jc w:val="both"/>
        <w:rPr>
          <w:bCs/>
          <w:color w:val="002060"/>
          <w:sz w:val="16"/>
          <w:szCs w:val="16"/>
        </w:rPr>
      </w:pPr>
    </w:p>
    <w:p w14:paraId="0A54BAED" w14:textId="77777777" w:rsidR="00BD6F42" w:rsidRPr="00DE096C" w:rsidRDefault="00BD6F42" w:rsidP="00D45A46">
      <w:pPr>
        <w:jc w:val="both"/>
        <w:rPr>
          <w:bCs/>
          <w:color w:val="002060"/>
          <w:sz w:val="16"/>
          <w:szCs w:val="16"/>
        </w:rPr>
      </w:pPr>
      <w:r w:rsidRPr="00DE096C">
        <w:rPr>
          <w:bCs/>
          <w:color w:val="002060"/>
          <w:sz w:val="16"/>
          <w:szCs w:val="16"/>
        </w:rPr>
        <w:t>7 (20) апреля 1914 г. авиатор Александр Евгеньевич Раевский, обучаясь высшему пилотажу в Бюке /Франция/, сделал на самолете последовательно 11 мер</w:t>
      </w:r>
      <w:r w:rsidRPr="00DE096C">
        <w:rPr>
          <w:bCs/>
          <w:color w:val="002060"/>
          <w:sz w:val="16"/>
          <w:szCs w:val="16"/>
        </w:rPr>
        <w:softHyphen/>
        <w:t>твых петель - наибольшее количество из русских летчиков того времени.</w:t>
      </w:r>
    </w:p>
    <w:p w14:paraId="6F93BF4E" w14:textId="77777777" w:rsidR="00BD6F42" w:rsidRPr="00DE096C" w:rsidRDefault="00BD6F42" w:rsidP="00D45A46">
      <w:pPr>
        <w:jc w:val="both"/>
        <w:rPr>
          <w:bCs/>
          <w:color w:val="002060"/>
          <w:sz w:val="16"/>
          <w:szCs w:val="16"/>
        </w:rPr>
      </w:pPr>
      <w:r w:rsidRPr="00DE096C">
        <w:rPr>
          <w:bCs/>
          <w:color w:val="002060"/>
          <w:sz w:val="16"/>
          <w:szCs w:val="16"/>
        </w:rPr>
        <w:lastRenderedPageBreak/>
        <w:t>/"Аэро", 1914, № 8/ (23320).</w:t>
      </w:r>
    </w:p>
    <w:p w14:paraId="121F0FCC" w14:textId="77777777" w:rsidR="00BD6F42" w:rsidRPr="00DE096C" w:rsidRDefault="00BD6F42" w:rsidP="00D45A46">
      <w:pPr>
        <w:jc w:val="both"/>
        <w:rPr>
          <w:bCs/>
          <w:color w:val="002060"/>
          <w:sz w:val="16"/>
          <w:szCs w:val="16"/>
        </w:rPr>
      </w:pPr>
    </w:p>
    <w:p w14:paraId="7437DACD" w14:textId="77777777" w:rsidR="000E4046" w:rsidRPr="00DE096C" w:rsidRDefault="000E4046" w:rsidP="00D45A46">
      <w:pPr>
        <w:jc w:val="both"/>
        <w:rPr>
          <w:bCs/>
          <w:color w:val="002060"/>
          <w:sz w:val="16"/>
          <w:szCs w:val="16"/>
        </w:rPr>
      </w:pPr>
      <w:r w:rsidRPr="00DE096C">
        <w:rPr>
          <w:bCs/>
          <w:color w:val="002060"/>
          <w:sz w:val="16"/>
          <w:szCs w:val="16"/>
        </w:rPr>
        <w:t>7 (20) апреля в 1914 году в Монако проходят вторые гонки на аэропланах на кубок Шнейдера. Победит английский Сопвич «Таблоид» (15105).</w:t>
      </w:r>
    </w:p>
    <w:p w14:paraId="1DD1D207" w14:textId="77777777" w:rsidR="000E4046" w:rsidRPr="00DE096C" w:rsidRDefault="000E4046" w:rsidP="00D45A46">
      <w:pPr>
        <w:jc w:val="both"/>
        <w:rPr>
          <w:bCs/>
          <w:color w:val="002060"/>
          <w:sz w:val="16"/>
          <w:szCs w:val="16"/>
        </w:rPr>
      </w:pPr>
    </w:p>
    <w:p w14:paraId="2A698368" w14:textId="77777777" w:rsidR="001D369B" w:rsidRPr="00DE096C" w:rsidRDefault="001D369B" w:rsidP="00D45A46">
      <w:pPr>
        <w:jc w:val="both"/>
        <w:rPr>
          <w:bCs/>
          <w:color w:val="002060"/>
          <w:sz w:val="16"/>
          <w:szCs w:val="16"/>
        </w:rPr>
      </w:pPr>
      <w:r w:rsidRPr="00DE096C">
        <w:rPr>
          <w:bCs/>
          <w:color w:val="002060"/>
          <w:sz w:val="16"/>
          <w:szCs w:val="16"/>
        </w:rPr>
        <w:t>7 (20) апреля 1914 Ховард Пиксон выигрывает приз Шнайдера в Монако. Пиксон в среднем развивает скорость 139,66 км / ч (86,78 миль / ч) на трассе на Sopwith Schneider (20337).</w:t>
      </w:r>
    </w:p>
    <w:p w14:paraId="2CE2EDBF" w14:textId="77777777" w:rsidR="001D369B" w:rsidRPr="00DE096C" w:rsidRDefault="001D369B" w:rsidP="00D45A46">
      <w:pPr>
        <w:jc w:val="both"/>
        <w:rPr>
          <w:bCs/>
          <w:color w:val="002060"/>
          <w:sz w:val="16"/>
          <w:szCs w:val="16"/>
        </w:rPr>
      </w:pPr>
    </w:p>
    <w:p w14:paraId="0AEECA7B" w14:textId="528F3002" w:rsidR="001D369B" w:rsidRPr="00DE096C" w:rsidRDefault="001D369B" w:rsidP="00D45A46">
      <w:pPr>
        <w:jc w:val="both"/>
        <w:rPr>
          <w:bCs/>
          <w:i/>
          <w:color w:val="002060"/>
          <w:sz w:val="16"/>
          <w:szCs w:val="16"/>
        </w:rPr>
      </w:pPr>
      <w:r w:rsidRPr="00DE096C">
        <w:rPr>
          <w:bCs/>
          <w:i/>
          <w:color w:val="002060"/>
          <w:sz w:val="16"/>
          <w:szCs w:val="16"/>
        </w:rPr>
        <w:t>Авиация и воздухоплавание за рубежом:</w:t>
      </w:r>
    </w:p>
    <w:p w14:paraId="05DA8104" w14:textId="77777777" w:rsidR="001D369B" w:rsidRPr="00DE096C" w:rsidRDefault="001D369B" w:rsidP="00D45A46">
      <w:pPr>
        <w:jc w:val="both"/>
        <w:rPr>
          <w:bCs/>
          <w:i/>
          <w:color w:val="002060"/>
          <w:sz w:val="16"/>
          <w:szCs w:val="16"/>
        </w:rPr>
      </w:pPr>
    </w:p>
    <w:p w14:paraId="18C77E5F" w14:textId="64F0AA89" w:rsidR="001D369B" w:rsidRPr="00DE096C" w:rsidRDefault="001D369B" w:rsidP="00D45A46">
      <w:pPr>
        <w:jc w:val="both"/>
        <w:rPr>
          <w:bCs/>
          <w:color w:val="002060"/>
          <w:sz w:val="16"/>
          <w:szCs w:val="16"/>
        </w:rPr>
      </w:pPr>
      <w:r w:rsidRPr="00DE096C">
        <w:rPr>
          <w:bCs/>
          <w:color w:val="002060"/>
          <w:sz w:val="16"/>
          <w:szCs w:val="16"/>
        </w:rPr>
        <w:t>7 (20) апреля 1914</w:t>
      </w:r>
      <w:r w:rsidR="0006581C">
        <w:rPr>
          <w:bCs/>
          <w:color w:val="002060"/>
          <w:sz w:val="16"/>
          <w:szCs w:val="16"/>
        </w:rPr>
        <w:t xml:space="preserve"> </w:t>
      </w:r>
      <w:r w:rsidR="00530145" w:rsidRPr="00DE096C">
        <w:rPr>
          <w:bCs/>
          <w:color w:val="002060"/>
          <w:sz w:val="16"/>
          <w:szCs w:val="16"/>
        </w:rPr>
        <w:t>в</w:t>
      </w:r>
      <w:r w:rsidRPr="00DE096C">
        <w:rPr>
          <w:bCs/>
          <w:color w:val="002060"/>
          <w:sz w:val="16"/>
          <w:szCs w:val="16"/>
        </w:rPr>
        <w:t xml:space="preserve"> Монако прошли вторые гонки на гидросамолётах на кубок Шнейдера. Победил английский Сопвич «Таблоид» (22529).</w:t>
      </w:r>
    </w:p>
    <w:p w14:paraId="3847CF04" w14:textId="77777777" w:rsidR="001D369B" w:rsidRPr="00DE096C" w:rsidRDefault="001D369B" w:rsidP="00D45A46">
      <w:pPr>
        <w:jc w:val="both"/>
        <w:rPr>
          <w:bCs/>
          <w:color w:val="002060"/>
          <w:sz w:val="16"/>
          <w:szCs w:val="16"/>
        </w:rPr>
      </w:pPr>
    </w:p>
    <w:p w14:paraId="35DD9163" w14:textId="77777777" w:rsidR="001D369B" w:rsidRPr="00DE096C" w:rsidRDefault="001D369B" w:rsidP="00D45A46">
      <w:pPr>
        <w:jc w:val="both"/>
        <w:rPr>
          <w:bCs/>
          <w:color w:val="002060"/>
          <w:sz w:val="16"/>
          <w:szCs w:val="16"/>
        </w:rPr>
      </w:pPr>
      <w:r w:rsidRPr="00DE096C">
        <w:rPr>
          <w:bCs/>
          <w:color w:val="002060"/>
          <w:sz w:val="16"/>
          <w:szCs w:val="16"/>
        </w:rPr>
        <w:t>7 (20) апреля 1914 кубок Шнейдера выиграл Сопвич Таблоид. Поскольку уверенности в самолете не было, решили полный газ мотору не давать — не выиграем, так хотя бы поучаствуем, а это, по словам все того же первого олимпийца нового времени де Кубертена, главное. Но уже на первом круге Пикстон показал время на треть меньшее, чем у лучшего из стартовавших перед ним. Он прошел 29 кругов со средней скоростью 139,6 км/ч и на последнем 28-м круге все же дал полный газ, пройдя его со скоростью 148 км/ч, что было абсолютным рекордом для гидросамолетов. Средняя же скорость по 30 кругам была 139,74 км/ч — намного больше, чем у всех конкурентов. Пикстон перекрыл результат Прево сразу на 90 % при намного меньшей мощности мотора (22761).</w:t>
      </w:r>
    </w:p>
    <w:p w14:paraId="101F6101" w14:textId="77777777" w:rsidR="001D369B" w:rsidRPr="00DE096C" w:rsidRDefault="001D369B" w:rsidP="00D45A46">
      <w:pPr>
        <w:jc w:val="both"/>
        <w:rPr>
          <w:bCs/>
          <w:color w:val="002060"/>
          <w:sz w:val="16"/>
          <w:szCs w:val="16"/>
        </w:rPr>
      </w:pPr>
    </w:p>
    <w:p w14:paraId="01C4DE64" w14:textId="77777777" w:rsidR="00B033D7" w:rsidRPr="00B52707" w:rsidRDefault="00B033D7" w:rsidP="00B033D7">
      <w:pPr>
        <w:jc w:val="both"/>
        <w:rPr>
          <w:color w:val="0070C0"/>
          <w:sz w:val="16"/>
          <w:szCs w:val="16"/>
        </w:rPr>
      </w:pPr>
      <w:r w:rsidRPr="00B52707">
        <w:rPr>
          <w:color w:val="0070C0"/>
          <w:sz w:val="16"/>
          <w:szCs w:val="16"/>
        </w:rPr>
        <w:t>7 (20) апреля 1914 г. в Монако состоялась II гонка на Кубок Шнейдера на ту же дистанцию, что и первая – 28 кругов по 10 км. От фирмы «Моран-Солнье» в команду Национального аэроклуба Франции был заявлен пилот Р. Гарро на самолете Тип G «Гидро». По имеющимся сведениям он прибыл на место, получил стартовый номер (предположительно, 2-й), но зачетный полет так и не сделал (26704).</w:t>
      </w:r>
    </w:p>
    <w:p w14:paraId="78944936" w14:textId="77777777" w:rsidR="00B033D7" w:rsidRPr="00B52707" w:rsidRDefault="00B033D7" w:rsidP="00B033D7">
      <w:pPr>
        <w:jc w:val="both"/>
        <w:rPr>
          <w:color w:val="0070C0"/>
          <w:sz w:val="16"/>
          <w:szCs w:val="16"/>
        </w:rPr>
      </w:pPr>
    </w:p>
    <w:p w14:paraId="1ED91545" w14:textId="77777777" w:rsidR="001D369B" w:rsidRPr="00DE096C" w:rsidRDefault="001D369B" w:rsidP="00D45A46">
      <w:pPr>
        <w:jc w:val="both"/>
        <w:rPr>
          <w:bCs/>
          <w:color w:val="002060"/>
          <w:sz w:val="16"/>
          <w:szCs w:val="16"/>
        </w:rPr>
      </w:pPr>
      <w:r w:rsidRPr="00DE096C">
        <w:rPr>
          <w:bCs/>
          <w:color w:val="002060"/>
          <w:sz w:val="16"/>
          <w:szCs w:val="16"/>
        </w:rPr>
        <w:t>7 (20) апреля 1914 три самолета ВМС США вылетают из Пенсаколы, базируясь на борту линкора USS Mississippi для поддержки войск в Вера-Крус, Мексика. До 12 мая они будут выполнять разведывательные задания (20337).</w:t>
      </w:r>
    </w:p>
    <w:p w14:paraId="0911AA7F" w14:textId="77777777" w:rsidR="001D369B" w:rsidRPr="00DE096C" w:rsidRDefault="001D369B" w:rsidP="00D45A46">
      <w:pPr>
        <w:jc w:val="both"/>
        <w:rPr>
          <w:bCs/>
          <w:color w:val="002060"/>
          <w:sz w:val="16"/>
          <w:szCs w:val="16"/>
        </w:rPr>
      </w:pPr>
    </w:p>
    <w:p w14:paraId="2DFC9CF6" w14:textId="77777777" w:rsidR="00440C55" w:rsidRPr="00DE096C" w:rsidRDefault="00440C55" w:rsidP="00D45A46">
      <w:pPr>
        <w:jc w:val="both"/>
        <w:rPr>
          <w:bCs/>
          <w:color w:val="002060"/>
          <w:sz w:val="16"/>
          <w:szCs w:val="16"/>
        </w:rPr>
      </w:pPr>
      <w:r w:rsidRPr="00DE096C">
        <w:rPr>
          <w:bCs/>
          <w:color w:val="002060"/>
          <w:sz w:val="16"/>
          <w:szCs w:val="16"/>
        </w:rPr>
        <w:t>7 (20) апреля 1914 г. в Монако на гидросамолете Nieuport IV.H пилот П. Левассер занял III место во II гонке на Кубок Шнейдера (23568).</w:t>
      </w:r>
    </w:p>
    <w:p w14:paraId="6F93AEF4" w14:textId="77777777" w:rsidR="00440C55" w:rsidRPr="00DE096C" w:rsidRDefault="00440C55" w:rsidP="00D45A46">
      <w:pPr>
        <w:jc w:val="both"/>
        <w:rPr>
          <w:bCs/>
          <w:i/>
          <w:color w:val="002060"/>
          <w:sz w:val="16"/>
          <w:szCs w:val="16"/>
        </w:rPr>
      </w:pPr>
    </w:p>
    <w:p w14:paraId="15730B38" w14:textId="42090864" w:rsidR="002D3925" w:rsidRPr="00DE096C" w:rsidRDefault="002D3925" w:rsidP="00D45A46">
      <w:pPr>
        <w:jc w:val="both"/>
        <w:rPr>
          <w:bCs/>
          <w:i/>
          <w:color w:val="002060"/>
          <w:sz w:val="16"/>
          <w:szCs w:val="16"/>
        </w:rPr>
      </w:pPr>
      <w:r w:rsidRPr="00DE096C">
        <w:rPr>
          <w:bCs/>
          <w:i/>
          <w:color w:val="002060"/>
          <w:sz w:val="16"/>
          <w:szCs w:val="16"/>
        </w:rPr>
        <w:t>Воздухоплавание:</w:t>
      </w:r>
    </w:p>
    <w:p w14:paraId="7982316A" w14:textId="77777777" w:rsidR="002D3925" w:rsidRPr="00DE096C" w:rsidRDefault="002D3925" w:rsidP="00D45A46">
      <w:pPr>
        <w:jc w:val="both"/>
        <w:rPr>
          <w:bCs/>
          <w:i/>
          <w:color w:val="002060"/>
          <w:sz w:val="16"/>
          <w:szCs w:val="16"/>
        </w:rPr>
      </w:pPr>
    </w:p>
    <w:p w14:paraId="12AEBA0E" w14:textId="77777777" w:rsidR="002D3925" w:rsidRPr="00DE096C" w:rsidRDefault="002D3925" w:rsidP="00D45A46">
      <w:pPr>
        <w:pStyle w:val="14"/>
        <w:shd w:val="clear" w:color="auto" w:fill="auto"/>
        <w:spacing w:before="0" w:line="240" w:lineRule="auto"/>
        <w:ind w:firstLine="0"/>
        <w:jc w:val="both"/>
        <w:rPr>
          <w:bCs/>
          <w:color w:val="002060"/>
          <w:sz w:val="16"/>
          <w:szCs w:val="16"/>
        </w:rPr>
      </w:pPr>
      <w:r w:rsidRPr="00DE096C">
        <w:rPr>
          <w:bCs/>
          <w:color w:val="002060"/>
          <w:sz w:val="16"/>
          <w:szCs w:val="16"/>
        </w:rPr>
        <w:t>В начале апреля 1914 г. в Петербурге открылся Третий всероссийский воз</w:t>
      </w:r>
      <w:r w:rsidRPr="00DE096C">
        <w:rPr>
          <w:bCs/>
          <w:color w:val="002060"/>
          <w:sz w:val="16"/>
          <w:szCs w:val="16"/>
        </w:rPr>
        <w:softHyphen/>
        <w:t>духоплавательный съезд. В его работе приняли участие знаменитые ученые, видные инженеры, летчики, изобретатели и просто любители авиации. На съезде действовала секция научных основ воздухоплавания, на которой были прочитаны и обсуждены десятки докладов и научных сообщений. Например, 11 апреля с докладами выступили семь человек. Среди них Н. Е. Жуковский — по вихревой теории гребного винта, В. П. Ветчинкин — по расчету воздушных винтов и результатам практических исследований, а также Г. А. Ботезат. Он сделал доклад «Об общих основаниях теории установившегося движения аэро</w:t>
      </w:r>
      <w:r w:rsidRPr="00DE096C">
        <w:rPr>
          <w:bCs/>
          <w:color w:val="002060"/>
          <w:sz w:val="16"/>
          <w:szCs w:val="16"/>
        </w:rPr>
        <w:softHyphen/>
        <w:t>плана»</w:t>
      </w:r>
      <w:r w:rsidRPr="00DE096C">
        <w:rPr>
          <w:bCs/>
          <w:color w:val="002060"/>
          <w:sz w:val="16"/>
          <w:szCs w:val="16"/>
          <w:vertAlign w:val="superscript"/>
        </w:rPr>
        <w:t>85</w:t>
      </w:r>
      <w:r w:rsidRPr="00DE096C">
        <w:rPr>
          <w:bCs/>
          <w:color w:val="002060"/>
          <w:sz w:val="16"/>
          <w:szCs w:val="16"/>
        </w:rPr>
        <w:t>. Таким образом, ученый сохранял свое положение ведущего в Рос</w:t>
      </w:r>
      <w:r w:rsidRPr="00DE096C">
        <w:rPr>
          <w:bCs/>
          <w:color w:val="002060"/>
          <w:sz w:val="16"/>
          <w:szCs w:val="16"/>
        </w:rPr>
        <w:softHyphen/>
        <w:t>сии специалиста по динамике полета летательных аппаратов (15740).</w:t>
      </w:r>
    </w:p>
    <w:p w14:paraId="54245904" w14:textId="77777777" w:rsidR="002D3925" w:rsidRPr="00DE096C" w:rsidRDefault="002D3925" w:rsidP="00D45A46">
      <w:pPr>
        <w:pStyle w:val="14"/>
        <w:shd w:val="clear" w:color="auto" w:fill="auto"/>
        <w:spacing w:before="0" w:line="240" w:lineRule="auto"/>
        <w:ind w:firstLine="0"/>
        <w:jc w:val="both"/>
        <w:rPr>
          <w:bCs/>
          <w:color w:val="002060"/>
          <w:sz w:val="16"/>
          <w:szCs w:val="16"/>
        </w:rPr>
      </w:pPr>
    </w:p>
    <w:p w14:paraId="1177D58F"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w:t>
      </w:r>
    </w:p>
    <w:p w14:paraId="3D488007" w14:textId="77777777" w:rsidR="00B67D7C" w:rsidRPr="00DE096C" w:rsidRDefault="00B67D7C" w:rsidP="00D45A46">
      <w:pPr>
        <w:shd w:val="clear" w:color="auto" w:fill="FFFFFF"/>
        <w:jc w:val="both"/>
        <w:rPr>
          <w:bCs/>
          <w:i/>
          <w:color w:val="002060"/>
          <w:sz w:val="16"/>
          <w:szCs w:val="16"/>
        </w:rPr>
      </w:pPr>
    </w:p>
    <w:p w14:paraId="2164656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8-13 (21-26) апреля 1914 в Петербурге под председательством Н.Е.Жуковского состоялся Третий всероссийский воздухоплавательный съезд, созванный Всероссийским аэроклубом. На съезде присутствовало свыше 300 делегатов, было заслушано 87 докладов по различным растям техники и применения авиации. В числе прочих вопросов нуждались и такие, как постройка тяжелых самолетов, вопросы гидроавиации, фотограмметрии, бомбометания, авиационной терми-догии. Съезд вынес решение об объединении воздухоплавательных организаций и направлении их работ в соответствии с интересами обороны государства ("Известия Николаевской военной академии". 1914, с тр. 931-932).</w:t>
      </w:r>
    </w:p>
    <w:p w14:paraId="239330F5" w14:textId="77777777" w:rsidR="00B67D7C" w:rsidRPr="00DE096C" w:rsidRDefault="00B67D7C" w:rsidP="00D45A46">
      <w:pPr>
        <w:shd w:val="clear" w:color="auto" w:fill="FFFFFF"/>
        <w:jc w:val="both"/>
        <w:rPr>
          <w:bCs/>
          <w:color w:val="002060"/>
          <w:sz w:val="16"/>
          <w:szCs w:val="16"/>
        </w:rPr>
      </w:pPr>
    </w:p>
    <w:p w14:paraId="4AB2081D" w14:textId="77777777" w:rsidR="00BD6F42" w:rsidRPr="00DE096C" w:rsidRDefault="00BD6F42" w:rsidP="00D45A46">
      <w:pPr>
        <w:jc w:val="both"/>
        <w:rPr>
          <w:bCs/>
          <w:color w:val="002060"/>
          <w:sz w:val="16"/>
          <w:szCs w:val="16"/>
        </w:rPr>
      </w:pPr>
      <w:r w:rsidRPr="00DE096C">
        <w:rPr>
          <w:bCs/>
          <w:color w:val="002060"/>
          <w:sz w:val="16"/>
          <w:szCs w:val="16"/>
        </w:rPr>
        <w:t>8-13 (21-29) апреля 1914 г. в Петербурге под председ. Н.Е.Жуковского состоял</w:t>
      </w:r>
      <w:r w:rsidRPr="00DE096C">
        <w:rPr>
          <w:bCs/>
          <w:color w:val="002060"/>
          <w:sz w:val="16"/>
          <w:szCs w:val="16"/>
        </w:rPr>
        <w:softHyphen/>
        <w:t>ся 3 Всероссийский воздухоплавательный съезд, созванный всероссийским аэроклубом. На съезде присутствовало свыше 300 делегатов, было заслушано 87 докладов по различным областям техники и применения авиации. В числе прочих вопросов обсуждались и та</w:t>
      </w:r>
      <w:r w:rsidRPr="00DE096C">
        <w:rPr>
          <w:bCs/>
          <w:color w:val="002060"/>
          <w:sz w:val="16"/>
          <w:szCs w:val="16"/>
        </w:rPr>
        <w:softHyphen/>
        <w:t>кие, как постройка тяжелых самолетов, вопросы гидроавиации, фотограм</w:t>
      </w:r>
      <w:r w:rsidRPr="00DE096C">
        <w:rPr>
          <w:bCs/>
          <w:color w:val="002060"/>
          <w:sz w:val="16"/>
          <w:szCs w:val="16"/>
        </w:rPr>
        <w:softHyphen/>
        <w:t>метрии, бомбометания, авиационной терминологии. С"езд вынес решение об об"единении воздухоплавательных организаций и направлении их работ в соответствии с интересами обороны государства.</w:t>
      </w:r>
    </w:p>
    <w:p w14:paraId="2AEE29D0" w14:textId="77777777" w:rsidR="00BD6F42" w:rsidRPr="00DE096C" w:rsidRDefault="00BD6F42" w:rsidP="00D45A46">
      <w:pPr>
        <w:jc w:val="both"/>
        <w:rPr>
          <w:bCs/>
          <w:color w:val="002060"/>
          <w:sz w:val="16"/>
          <w:szCs w:val="16"/>
        </w:rPr>
      </w:pPr>
      <w:r w:rsidRPr="00DE096C">
        <w:rPr>
          <w:bCs/>
          <w:color w:val="002060"/>
          <w:sz w:val="16"/>
          <w:szCs w:val="16"/>
        </w:rPr>
        <w:t>/«Известия Николаевской военной академии», 1914, стр. 931-932/ (23320).</w:t>
      </w:r>
    </w:p>
    <w:p w14:paraId="0DC6CBE9" w14:textId="77777777" w:rsidR="00BD6F42" w:rsidRPr="00DE096C" w:rsidRDefault="00BD6F42" w:rsidP="00D45A46">
      <w:pPr>
        <w:jc w:val="both"/>
        <w:rPr>
          <w:bCs/>
          <w:color w:val="002060"/>
          <w:sz w:val="16"/>
          <w:szCs w:val="16"/>
        </w:rPr>
      </w:pPr>
    </w:p>
    <w:p w14:paraId="60C9E93D" w14:textId="77777777" w:rsidR="00591CF1" w:rsidRPr="00DE096C" w:rsidRDefault="00591CF1" w:rsidP="00D45A46">
      <w:pPr>
        <w:pStyle w:val="2"/>
        <w:spacing w:before="0" w:after="0"/>
        <w:jc w:val="both"/>
        <w:rPr>
          <w:b w:val="0"/>
          <w:bCs/>
          <w:color w:val="002060"/>
          <w:sz w:val="16"/>
          <w:szCs w:val="16"/>
        </w:rPr>
      </w:pPr>
      <w:r w:rsidRPr="00DE096C">
        <w:rPr>
          <w:b w:val="0"/>
          <w:bCs/>
          <w:color w:val="002060"/>
          <w:sz w:val="16"/>
          <w:szCs w:val="16"/>
        </w:rPr>
        <w:t>21—22 апреля 1914 в Петербурге перед открытием IV Всероссийской авиационной недели: «Полеты авиатора Габер-Влынского привлекли многотысячную толпу, заполнившую все трибуны ипподрома. Еще больше народу скопилось на Семеновском плацу и на тротуарах близлежащих улиц. Заполнены людьми были также окна и крыши окружающих ипподром домов.» В прессе приготовления к взлету описывали почти так же, как потом подготовку Гагарина к первому космическому полету.</w:t>
      </w:r>
    </w:p>
    <w:p w14:paraId="3D05B8E1" w14:textId="77777777" w:rsidR="00591CF1" w:rsidRPr="00DE096C" w:rsidRDefault="00591CF1" w:rsidP="00D45A46">
      <w:pPr>
        <w:pStyle w:val="2"/>
        <w:spacing w:before="0" w:after="0"/>
        <w:jc w:val="both"/>
        <w:rPr>
          <w:b w:val="0"/>
          <w:bCs/>
          <w:color w:val="002060"/>
          <w:sz w:val="16"/>
          <w:szCs w:val="16"/>
        </w:rPr>
      </w:pPr>
      <w:r w:rsidRPr="00DE096C">
        <w:rPr>
          <w:b w:val="0"/>
          <w:bCs/>
          <w:color w:val="002060"/>
          <w:sz w:val="16"/>
          <w:szCs w:val="16"/>
        </w:rPr>
        <w:t>Габер, «после короткого разбега... поставив аппарат вверх, через пять минут уже был на высоте около 1000 м... Затем, как бы испытывая аппарат, показал скольжение на левом крыле, поставив аппарат почти вертикально, а затем совершил крутую спираль. Поднявшись затем еще выше, авиатор как раз посредине ипподрома проделал первую мертвую петлю... вторую мертвую петлю, а затем и третью... Авиатор затем показал падение на хвост. Аппарат, поставленный вертикально, сначала несколько секунд стоял неподвижно в воздухе, затем стал падать вниз. Пролетев таким образом около 100 м, летчик мощным движением руля выпрямил аэроплан и полетел дальше.» Перед посадкой «авиатор проделал снова 2 мертвых петли, которые ему особенно удались. После этого, планируя спиралью, Габер-Влынский опустился... Полет авиатора продолжался всего около 15 минут... Публика устроила отважному летчику овацию.» Второй день прошел особенно удачно: «Авиатор показал поворот аэроплана через крыло, в течение 15 минут... показал 3 мертвые петли, а также продемонстрировал по 2 раза скольжение на крыле и падение на хвост. Вслед за Габер-Влынским с Корпусного аэродрома поднялись на Ньюпорах поручики Попов, Адрианов и Никифоров. Военные летчики на высоте более 1000 м все время реяли вокруг Габер-Влынского.» Перед посадкой он сделал еще одну петлю.</w:t>
      </w:r>
    </w:p>
    <w:p w14:paraId="1F9262E9" w14:textId="77777777" w:rsidR="00591CF1" w:rsidRPr="00DE096C" w:rsidRDefault="00591CF1" w:rsidP="00D45A46">
      <w:pPr>
        <w:pStyle w:val="2"/>
        <w:spacing w:before="0" w:after="0"/>
        <w:jc w:val="both"/>
        <w:rPr>
          <w:b w:val="0"/>
          <w:bCs/>
          <w:color w:val="002060"/>
          <w:sz w:val="16"/>
          <w:szCs w:val="16"/>
        </w:rPr>
      </w:pPr>
      <w:r w:rsidRPr="00DE096C">
        <w:rPr>
          <w:b w:val="0"/>
          <w:bCs/>
          <w:color w:val="002060"/>
          <w:sz w:val="16"/>
          <w:szCs w:val="16"/>
        </w:rPr>
        <w:t>Вечером составили протокол о количестве петель, подписанный членами ИВАК и французским военным летчиком майором Крезо. Офицеры 1-й авиационной роты с командиром полковником Ю.Германом устроили в честь авиатора банкет в ресторане «Медведь». Выбор заведения был не случайным — хозяин ресторана, известный Судаков, одновременно владел и знаменитым «Яром» в Петровском парке, где традиционно «обмывали» свои успехи московские авиаторы.</w:t>
      </w:r>
    </w:p>
    <w:p w14:paraId="4DE94FF2" w14:textId="77777777" w:rsidR="00591CF1" w:rsidRPr="00DE096C" w:rsidRDefault="00591CF1" w:rsidP="00D45A46">
      <w:pPr>
        <w:pStyle w:val="2"/>
        <w:spacing w:before="0" w:after="0"/>
        <w:jc w:val="both"/>
        <w:rPr>
          <w:b w:val="0"/>
          <w:bCs/>
          <w:color w:val="002060"/>
          <w:sz w:val="16"/>
          <w:szCs w:val="16"/>
        </w:rPr>
      </w:pPr>
      <w:r w:rsidRPr="00DE096C">
        <w:rPr>
          <w:b w:val="0"/>
          <w:bCs/>
          <w:color w:val="002060"/>
          <w:sz w:val="16"/>
          <w:szCs w:val="16"/>
        </w:rPr>
        <w:t>Предстоящая в Петербурге IV авиационная неделя ожидалась как бенефис мертвой петли и акробатических полетов. Любопытно, что в призовой борьбе за фигурные полеты начислялось по 15 и 10 очков, за все остальные конкурсы — не более 5. Иностранцы уже допускались только вне конкурса. Поэтому «иностранец» Габер-Влынский уехал «снимать сливки» в провинцию, а основное внимание петербургской публики привлекли французские акробаты Пегу и Пуаре (15464).</w:t>
      </w:r>
    </w:p>
    <w:p w14:paraId="0AACE5D0" w14:textId="77777777" w:rsidR="00591CF1" w:rsidRPr="00DE096C" w:rsidRDefault="00591CF1" w:rsidP="00D45A46">
      <w:pPr>
        <w:pStyle w:val="2"/>
        <w:spacing w:before="0" w:after="0"/>
        <w:jc w:val="both"/>
        <w:rPr>
          <w:b w:val="0"/>
          <w:bCs/>
          <w:color w:val="002060"/>
          <w:sz w:val="16"/>
          <w:szCs w:val="16"/>
        </w:rPr>
      </w:pPr>
    </w:p>
    <w:p w14:paraId="25F90972" w14:textId="3AE0BAB2"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8 (21 апреля) 1914 </w:t>
      </w:r>
      <w:r w:rsidR="00530145" w:rsidRPr="00DE096C">
        <w:rPr>
          <w:bCs/>
          <w:color w:val="002060"/>
          <w:sz w:val="16"/>
          <w:szCs w:val="16"/>
        </w:rPr>
        <w:t>состоялось о</w:t>
      </w:r>
      <w:r w:rsidRPr="00DE096C">
        <w:rPr>
          <w:bCs/>
          <w:color w:val="002060"/>
          <w:sz w:val="16"/>
          <w:szCs w:val="16"/>
        </w:rPr>
        <w:t>ткрытие III Всероссийского воздухоплавательного съезда под председательством Н. Е. Жуковского в Петербурге. На съезде присутствовало 300 делегатов, было заслушано 87 докладов (1137).</w:t>
      </w:r>
    </w:p>
    <w:p w14:paraId="5DEC2CAF" w14:textId="77777777" w:rsidR="00B67D7C" w:rsidRPr="00DE096C" w:rsidRDefault="00B67D7C" w:rsidP="00D45A46">
      <w:pPr>
        <w:shd w:val="clear" w:color="auto" w:fill="FFFFFF"/>
        <w:jc w:val="both"/>
        <w:rPr>
          <w:bCs/>
          <w:color w:val="002060"/>
          <w:sz w:val="16"/>
          <w:szCs w:val="16"/>
        </w:rPr>
      </w:pPr>
    </w:p>
    <w:p w14:paraId="487B2059" w14:textId="5E77A351"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8 </w:t>
      </w:r>
      <w:r w:rsidR="00440C55" w:rsidRPr="00DE096C">
        <w:rPr>
          <w:bCs/>
          <w:color w:val="002060"/>
          <w:sz w:val="16"/>
          <w:szCs w:val="16"/>
        </w:rPr>
        <w:t xml:space="preserve">(21) </w:t>
      </w:r>
      <w:r w:rsidRPr="00DE096C">
        <w:rPr>
          <w:bCs/>
          <w:color w:val="002060"/>
          <w:sz w:val="16"/>
          <w:szCs w:val="16"/>
        </w:rPr>
        <w:t xml:space="preserve">апреля 1914г. </w:t>
      </w:r>
      <w:r w:rsidR="00530145" w:rsidRPr="00DE096C">
        <w:rPr>
          <w:bCs/>
          <w:color w:val="002060"/>
          <w:sz w:val="16"/>
          <w:szCs w:val="16"/>
        </w:rPr>
        <w:t>состоялось о</w:t>
      </w:r>
      <w:r w:rsidRPr="00DE096C">
        <w:rPr>
          <w:bCs/>
          <w:color w:val="002060"/>
          <w:sz w:val="16"/>
          <w:szCs w:val="16"/>
        </w:rPr>
        <w:t xml:space="preserve">ткрытие </w:t>
      </w:r>
      <w:r w:rsidRPr="00DE096C">
        <w:rPr>
          <w:bCs/>
          <w:color w:val="002060"/>
          <w:sz w:val="16"/>
          <w:szCs w:val="16"/>
          <w:lang w:val="en-US"/>
        </w:rPr>
        <w:t>III</w:t>
      </w:r>
      <w:r w:rsidRPr="00DE096C">
        <w:rPr>
          <w:bCs/>
          <w:color w:val="002060"/>
          <w:sz w:val="16"/>
          <w:szCs w:val="16"/>
        </w:rPr>
        <w:t xml:space="preserve"> Всероссийского воздухоплавательного съезда в Петербурге (11425).</w:t>
      </w:r>
    </w:p>
    <w:p w14:paraId="3694C9F4" w14:textId="77777777" w:rsidR="00B67D7C" w:rsidRPr="00DE096C" w:rsidRDefault="00B67D7C" w:rsidP="00D45A46">
      <w:pPr>
        <w:shd w:val="clear" w:color="auto" w:fill="FFFFFF"/>
        <w:jc w:val="both"/>
        <w:rPr>
          <w:bCs/>
          <w:color w:val="002060"/>
          <w:sz w:val="16"/>
          <w:szCs w:val="16"/>
        </w:rPr>
      </w:pPr>
    </w:p>
    <w:p w14:paraId="428FF265" w14:textId="30D23C7D" w:rsidR="00440C55" w:rsidRPr="00DE096C" w:rsidRDefault="00440C55" w:rsidP="00D45A46">
      <w:pPr>
        <w:jc w:val="both"/>
        <w:rPr>
          <w:bCs/>
          <w:color w:val="002060"/>
          <w:sz w:val="16"/>
          <w:szCs w:val="16"/>
          <w:lang w:bidi="en-US"/>
        </w:rPr>
      </w:pPr>
      <w:r w:rsidRPr="00DE096C">
        <w:rPr>
          <w:bCs/>
          <w:color w:val="002060"/>
          <w:sz w:val="16"/>
          <w:szCs w:val="16"/>
          <w:lang w:bidi="en-US"/>
        </w:rPr>
        <w:t xml:space="preserve">8 (21) апреля 1914 г. в Санкт-Петербурге состоялось открытие </w:t>
      </w:r>
      <w:r w:rsidRPr="00DE096C">
        <w:rPr>
          <w:bCs/>
          <w:color w:val="002060"/>
          <w:sz w:val="16"/>
          <w:szCs w:val="16"/>
          <w:lang w:val="en-US" w:bidi="en-US"/>
        </w:rPr>
        <w:t>III</w:t>
      </w:r>
      <w:r w:rsidRPr="00DE096C">
        <w:rPr>
          <w:bCs/>
          <w:color w:val="002060"/>
          <w:sz w:val="16"/>
          <w:szCs w:val="16"/>
          <w:lang w:bidi="en-US"/>
        </w:rPr>
        <w:t xml:space="preserve"> Всероссийского съезда воздухоплавателей под председательством профессора Н.Е. Жуковский. Присутствовали триста делегатов и около восьмидесяти семи докладчиков (23525).</w:t>
      </w:r>
    </w:p>
    <w:p w14:paraId="2752F06C" w14:textId="77777777" w:rsidR="00440C55" w:rsidRPr="00DE096C" w:rsidRDefault="00440C55" w:rsidP="00D45A46">
      <w:pPr>
        <w:jc w:val="both"/>
        <w:rPr>
          <w:bCs/>
          <w:color w:val="002060"/>
          <w:sz w:val="16"/>
          <w:szCs w:val="16"/>
        </w:rPr>
      </w:pPr>
    </w:p>
    <w:p w14:paraId="41BE9947" w14:textId="748E3700" w:rsidR="00C25012" w:rsidRPr="00DE096C" w:rsidRDefault="00C25012" w:rsidP="00D45A46">
      <w:pPr>
        <w:jc w:val="both"/>
        <w:rPr>
          <w:bCs/>
          <w:i/>
          <w:color w:val="002060"/>
          <w:sz w:val="16"/>
          <w:szCs w:val="16"/>
        </w:rPr>
      </w:pPr>
      <w:r w:rsidRPr="00DE096C">
        <w:rPr>
          <w:bCs/>
          <w:i/>
          <w:color w:val="002060"/>
          <w:sz w:val="16"/>
          <w:szCs w:val="16"/>
        </w:rPr>
        <w:t>Авиация и воздухоплавание Англии:</w:t>
      </w:r>
    </w:p>
    <w:p w14:paraId="480B115C" w14:textId="77777777" w:rsidR="00C25012" w:rsidRPr="00DE096C" w:rsidRDefault="00C25012" w:rsidP="00D45A46">
      <w:pPr>
        <w:jc w:val="both"/>
        <w:rPr>
          <w:bCs/>
          <w:i/>
          <w:color w:val="002060"/>
          <w:sz w:val="16"/>
          <w:szCs w:val="16"/>
        </w:rPr>
      </w:pPr>
    </w:p>
    <w:p w14:paraId="6CD20D54" w14:textId="77777777" w:rsidR="00C25012" w:rsidRPr="00DE096C" w:rsidRDefault="00C25012" w:rsidP="00D45A46">
      <w:pPr>
        <w:jc w:val="both"/>
        <w:rPr>
          <w:bCs/>
          <w:color w:val="002060"/>
          <w:sz w:val="16"/>
          <w:szCs w:val="16"/>
        </w:rPr>
      </w:pPr>
      <w:r w:rsidRPr="00DE096C">
        <w:rPr>
          <w:bCs/>
          <w:color w:val="002060"/>
          <w:sz w:val="16"/>
          <w:szCs w:val="16"/>
        </w:rPr>
        <w:t>8 (21) апреля 1914 - Первый фильм, снятый с воздуха (выпуск новостей), снят оператором Б.C Хаксом, (Warwick Bioscope Chronicle Film, Англия). Он летит вниз в 400 футов от королевской яхты с королем Георгом V на борту, пересекая Ла-Манш из Дувра, Англия в Кале, Франция (22528).</w:t>
      </w:r>
    </w:p>
    <w:p w14:paraId="515653D7" w14:textId="77777777" w:rsidR="00C25012" w:rsidRPr="00DE096C" w:rsidRDefault="00C25012" w:rsidP="00D45A46">
      <w:pPr>
        <w:jc w:val="both"/>
        <w:rPr>
          <w:bCs/>
          <w:color w:val="002060"/>
          <w:sz w:val="16"/>
          <w:szCs w:val="16"/>
        </w:rPr>
      </w:pPr>
    </w:p>
    <w:p w14:paraId="3C3DABA1" w14:textId="77777777" w:rsidR="00A67A49" w:rsidRPr="00DE096C" w:rsidRDefault="00A67A49" w:rsidP="00D45A46">
      <w:pPr>
        <w:jc w:val="both"/>
        <w:rPr>
          <w:bCs/>
          <w:i/>
          <w:color w:val="002060"/>
          <w:sz w:val="16"/>
          <w:szCs w:val="16"/>
        </w:rPr>
      </w:pPr>
      <w:r w:rsidRPr="00DE096C">
        <w:rPr>
          <w:bCs/>
          <w:i/>
          <w:color w:val="002060"/>
          <w:sz w:val="16"/>
          <w:szCs w:val="16"/>
        </w:rPr>
        <w:t>Авиация и воздухоплавание Франции:</w:t>
      </w:r>
    </w:p>
    <w:p w14:paraId="24EE2312" w14:textId="77777777" w:rsidR="00A67A49" w:rsidRPr="00DE096C" w:rsidRDefault="00A67A49" w:rsidP="00D45A46">
      <w:pPr>
        <w:jc w:val="both"/>
        <w:rPr>
          <w:bCs/>
          <w:i/>
          <w:color w:val="002060"/>
          <w:sz w:val="16"/>
          <w:szCs w:val="16"/>
        </w:rPr>
      </w:pPr>
    </w:p>
    <w:p w14:paraId="5EC42C60" w14:textId="77777777" w:rsidR="00A67A49" w:rsidRPr="00DE096C" w:rsidRDefault="00A67A49" w:rsidP="00D45A46">
      <w:pPr>
        <w:jc w:val="both"/>
        <w:rPr>
          <w:bCs/>
          <w:color w:val="002060"/>
          <w:sz w:val="16"/>
          <w:szCs w:val="16"/>
        </w:rPr>
      </w:pPr>
      <w:r w:rsidRPr="00DE096C">
        <w:rPr>
          <w:bCs/>
          <w:color w:val="002060"/>
          <w:sz w:val="16"/>
          <w:szCs w:val="16"/>
        </w:rPr>
        <w:lastRenderedPageBreak/>
        <w:t>9 (22 апреля) в 1914 году Гаро на аэроплане Поля Шмита №7 преодолел 100 км за 56 минут 44 секунды с шестью пассажирами на борту. «Аэроплан Шмитта» No.7 - достаточно крупный биплан со 160-сильным двухрядным ротативным мотором "Гном" и механизмом, изменяющим угол установки крыльев относительно продольной оси фюзеляжа. Самолет оказался вполне удачным (15107).</w:t>
      </w:r>
    </w:p>
    <w:p w14:paraId="26E7399D" w14:textId="77777777" w:rsidR="00A67A49" w:rsidRPr="00DE096C" w:rsidRDefault="00A67A49" w:rsidP="00D45A46">
      <w:pPr>
        <w:jc w:val="both"/>
        <w:rPr>
          <w:bCs/>
          <w:color w:val="002060"/>
          <w:sz w:val="16"/>
          <w:szCs w:val="16"/>
        </w:rPr>
      </w:pPr>
    </w:p>
    <w:p w14:paraId="3CC69827" w14:textId="77777777" w:rsidR="00C25012" w:rsidRPr="00DE096C" w:rsidRDefault="00C25012" w:rsidP="00D45A46">
      <w:pPr>
        <w:jc w:val="both"/>
        <w:rPr>
          <w:bCs/>
          <w:color w:val="002060"/>
          <w:sz w:val="16"/>
          <w:szCs w:val="16"/>
        </w:rPr>
      </w:pPr>
      <w:r w:rsidRPr="00DE096C">
        <w:rPr>
          <w:bCs/>
          <w:color w:val="002060"/>
          <w:sz w:val="16"/>
          <w:szCs w:val="16"/>
        </w:rPr>
        <w:t>9 (22) апреля 1914 - Ролан Гаро на аэроплане Поля Шмита №7 преодолел 100 км за 56 минут 44 секунды с шестью пассажирами на борту.</w:t>
      </w:r>
    </w:p>
    <w:p w14:paraId="29C7EB95" w14:textId="77777777" w:rsidR="00C25012" w:rsidRPr="00DE096C" w:rsidRDefault="00C25012" w:rsidP="00D45A46">
      <w:pPr>
        <w:jc w:val="both"/>
        <w:rPr>
          <w:bCs/>
          <w:color w:val="002060"/>
          <w:sz w:val="16"/>
          <w:szCs w:val="16"/>
        </w:rPr>
      </w:pPr>
      <w:r w:rsidRPr="00DE096C">
        <w:rPr>
          <w:bCs/>
          <w:color w:val="002060"/>
          <w:sz w:val="16"/>
          <w:szCs w:val="16"/>
        </w:rPr>
        <w:t>Аэроплан Шмитта No.7 - достаточно крупный биплан со 160-сильным двухрядным ротативным мотором "Гном" и механизмом, изменяющим угол установки крыльев относительно продольной оси фюзеляжа. Самолет оказался вполне удачным (22527).</w:t>
      </w:r>
    </w:p>
    <w:p w14:paraId="75A57DAE" w14:textId="77777777" w:rsidR="00C25012" w:rsidRPr="00DE096C" w:rsidRDefault="00C25012" w:rsidP="00D45A46">
      <w:pPr>
        <w:jc w:val="both"/>
        <w:rPr>
          <w:bCs/>
          <w:color w:val="002060"/>
          <w:sz w:val="16"/>
          <w:szCs w:val="16"/>
        </w:rPr>
      </w:pPr>
    </w:p>
    <w:p w14:paraId="0B53FF54" w14:textId="575F2434" w:rsidR="00C25012" w:rsidRPr="00DE096C" w:rsidRDefault="00C25012" w:rsidP="00D45A46">
      <w:pPr>
        <w:shd w:val="clear" w:color="auto" w:fill="FFFFFF"/>
        <w:jc w:val="both"/>
        <w:rPr>
          <w:bCs/>
          <w:i/>
          <w:color w:val="002060"/>
          <w:sz w:val="16"/>
          <w:szCs w:val="16"/>
        </w:rPr>
      </w:pPr>
      <w:r w:rsidRPr="00DE096C">
        <w:rPr>
          <w:bCs/>
          <w:i/>
          <w:color w:val="002060"/>
          <w:sz w:val="16"/>
          <w:szCs w:val="16"/>
        </w:rPr>
        <w:t>Самолетостроение:</w:t>
      </w:r>
    </w:p>
    <w:p w14:paraId="3076EDD1" w14:textId="77777777" w:rsidR="00C25012" w:rsidRPr="00DE096C" w:rsidRDefault="00C25012" w:rsidP="00D45A46">
      <w:pPr>
        <w:shd w:val="clear" w:color="auto" w:fill="FFFFFF"/>
        <w:jc w:val="both"/>
        <w:rPr>
          <w:bCs/>
          <w:i/>
          <w:color w:val="002060"/>
          <w:sz w:val="16"/>
          <w:szCs w:val="16"/>
        </w:rPr>
      </w:pPr>
    </w:p>
    <w:p w14:paraId="282892D3" w14:textId="77777777" w:rsidR="00C25012" w:rsidRPr="00DE096C" w:rsidRDefault="00C25012" w:rsidP="00D45A46">
      <w:pPr>
        <w:shd w:val="clear" w:color="auto" w:fill="FFFFFF"/>
        <w:jc w:val="both"/>
        <w:rPr>
          <w:bCs/>
          <w:color w:val="002060"/>
          <w:sz w:val="16"/>
          <w:szCs w:val="16"/>
        </w:rPr>
      </w:pPr>
      <w:r w:rsidRPr="00DE096C">
        <w:rPr>
          <w:bCs/>
          <w:color w:val="002060"/>
          <w:sz w:val="16"/>
          <w:szCs w:val="16"/>
        </w:rPr>
        <w:t>С 10 (23) апреля по 10 (23) мая 1914 г., согласно докладу заведующего техническими средствами Главного военно-технического управления (ГВТУ) в в Штаб ВГК подполковника Золотовского, в авиароты было выслано 12 передаточных и 4 приемных специальных аэропланных радиостанций французской системы Руво с районом действия до 80 км (19951).</w:t>
      </w:r>
    </w:p>
    <w:p w14:paraId="379561AC" w14:textId="77777777" w:rsidR="00C25012" w:rsidRPr="00DE096C" w:rsidRDefault="00C25012" w:rsidP="00D45A46">
      <w:pPr>
        <w:shd w:val="clear" w:color="auto" w:fill="FFFFFF"/>
        <w:jc w:val="both"/>
        <w:rPr>
          <w:bCs/>
          <w:color w:val="002060"/>
          <w:sz w:val="16"/>
          <w:szCs w:val="16"/>
        </w:rPr>
      </w:pPr>
    </w:p>
    <w:p w14:paraId="0F9A149B"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w:t>
      </w:r>
    </w:p>
    <w:p w14:paraId="2515263F" w14:textId="77777777" w:rsidR="00B67D7C" w:rsidRPr="00DE096C" w:rsidRDefault="00B67D7C" w:rsidP="00D45A46">
      <w:pPr>
        <w:shd w:val="clear" w:color="auto" w:fill="FFFFFF"/>
        <w:jc w:val="both"/>
        <w:rPr>
          <w:bCs/>
          <w:i/>
          <w:color w:val="002060"/>
          <w:sz w:val="16"/>
          <w:szCs w:val="16"/>
        </w:rPr>
      </w:pPr>
    </w:p>
    <w:p w14:paraId="3769119C" w14:textId="77777777" w:rsidR="00740D27" w:rsidRPr="00DE096C" w:rsidRDefault="00740D27" w:rsidP="00D45A46">
      <w:pPr>
        <w:pStyle w:val="2"/>
        <w:spacing w:before="0" w:after="0"/>
        <w:jc w:val="both"/>
        <w:rPr>
          <w:b w:val="0"/>
          <w:bCs/>
          <w:color w:val="002060"/>
          <w:sz w:val="16"/>
          <w:szCs w:val="16"/>
        </w:rPr>
      </w:pPr>
      <w:r w:rsidRPr="00DE096C">
        <w:rPr>
          <w:b w:val="0"/>
          <w:bCs/>
          <w:color w:val="002060"/>
          <w:sz w:val="16"/>
          <w:szCs w:val="16"/>
        </w:rPr>
        <w:t>10 апреля 1914 Габер вновь продемонстрировал свое мастерство. 14 апреля он «сделал в два приема пятнадцать мертвых петель». За этими полетами уже наблюдали более 10000 человек. Еще более эффектными стали полеты в Петербурге 21—22 апреля перед открытием IV Всероссийской авиационной недели: «Полеты авиатора Габер-Влынского привлекли многотысячную толпу, заполнившую все трибуны ипподрома. Еще больше народу скопилось на Семеновском плацу и на тротуарах близлежащих улиц. Заполнены людьми были также окна и крыши окружающих ипподром домов.» В прессе приготовления к взлету описывали почти так же, как потом подготовку Гагарина к первому космическому полету (15464).</w:t>
      </w:r>
    </w:p>
    <w:p w14:paraId="54D55587" w14:textId="77777777" w:rsidR="00740D27" w:rsidRPr="00DE096C" w:rsidRDefault="00740D27" w:rsidP="00D45A46">
      <w:pPr>
        <w:pStyle w:val="2"/>
        <w:spacing w:before="0" w:after="0"/>
        <w:jc w:val="both"/>
        <w:rPr>
          <w:b w:val="0"/>
          <w:bCs/>
          <w:color w:val="002060"/>
          <w:sz w:val="16"/>
          <w:szCs w:val="16"/>
        </w:rPr>
      </w:pPr>
    </w:p>
    <w:p w14:paraId="173EFD4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10 и 14 (23-27) апре</w:t>
      </w:r>
      <w:r w:rsidRPr="00DE096C">
        <w:rPr>
          <w:bCs/>
          <w:color w:val="002060"/>
          <w:sz w:val="16"/>
          <w:szCs w:val="16"/>
        </w:rPr>
        <w:softHyphen/>
        <w:t>ля 1914 Габер вновь демонстрировал пилотаж, за полетами наблю</w:t>
      </w:r>
      <w:r w:rsidRPr="00DE096C">
        <w:rPr>
          <w:bCs/>
          <w:color w:val="002060"/>
          <w:sz w:val="16"/>
          <w:szCs w:val="16"/>
        </w:rPr>
        <w:softHyphen/>
        <w:t>дали более 10.000 человек. Еще более эффектными стали полеты в Петербурге 21—22 апреля, которые «привлекли многотысячную толпу, заполнившую все трибуны ипподро</w:t>
      </w:r>
      <w:r w:rsidRPr="00DE096C">
        <w:rPr>
          <w:bCs/>
          <w:color w:val="002060"/>
          <w:sz w:val="16"/>
          <w:szCs w:val="16"/>
        </w:rPr>
        <w:softHyphen/>
        <w:t>ма. Еще больше народу скопилось на Семеновском плацу и на тротуарах близлежащих улиц. Заполнены людьми были также окна и крыши окружающих ипподром домов» (9651).</w:t>
      </w:r>
    </w:p>
    <w:p w14:paraId="668843F8" w14:textId="77777777" w:rsidR="00B67D7C" w:rsidRPr="00DE096C" w:rsidRDefault="00B67D7C" w:rsidP="00D45A46">
      <w:pPr>
        <w:shd w:val="clear" w:color="auto" w:fill="FFFFFF"/>
        <w:jc w:val="both"/>
        <w:rPr>
          <w:bCs/>
          <w:color w:val="002060"/>
          <w:sz w:val="16"/>
          <w:szCs w:val="16"/>
        </w:rPr>
      </w:pPr>
    </w:p>
    <w:p w14:paraId="14A4687F" w14:textId="77777777" w:rsidR="00B67D7C" w:rsidRPr="00DE096C" w:rsidRDefault="00B67D7C" w:rsidP="00D45A46">
      <w:pPr>
        <w:jc w:val="both"/>
        <w:rPr>
          <w:bCs/>
          <w:color w:val="002060"/>
          <w:sz w:val="16"/>
          <w:szCs w:val="16"/>
        </w:rPr>
      </w:pPr>
      <w:r w:rsidRPr="00DE096C">
        <w:rPr>
          <w:bCs/>
          <w:color w:val="002060"/>
          <w:sz w:val="16"/>
          <w:szCs w:val="16"/>
        </w:rPr>
        <w:t>10 апреля 1914 г.</w:t>
      </w:r>
      <w:r w:rsidR="006D7365" w:rsidRPr="00DE096C">
        <w:rPr>
          <w:bCs/>
          <w:color w:val="002060"/>
          <w:sz w:val="16"/>
          <w:szCs w:val="16"/>
        </w:rPr>
        <w:t xml:space="preserve"> о</w:t>
      </w:r>
      <w:r w:rsidRPr="00DE096C">
        <w:rPr>
          <w:bCs/>
          <w:color w:val="002060"/>
          <w:sz w:val="16"/>
          <w:szCs w:val="16"/>
        </w:rPr>
        <w:t xml:space="preserve">ткрылся Третий воздухоплавательный съезд... Хотелось бы сказать: «слет» или «сплыв» (смотря по тому, какое возобладает название для воздушных передвижений — летание или плавание). Лично я вполне уверен, что авиаторам скоро покажется неприличным «съезжаться», и раньше Десятого всероссийского съезда настанут слеты, как наиболее удобные способы сообщения даже не для летчиков. Ни в одной, кажется, области нынешнего технического прогресса мы не видим более роскошной быстроты развития. Менее одного десятилетия отделяют полный паралич человечества в воздухе от одиннадцати «мертвых петель» Раевского, т. е. от игривости в [248] воздухе движений стрижа или летучей мыши. Крупные птицы уже превзойдены человеком: ни лебедь, ни орел никогда не позволят себе столь головоломных фокусов. Превзойдены и мелкие пернатые, вроде сокола или голубя, которые во время полета не имеют возможности прилечь на диване и выпить чашку кофе, — а Игорь Сикорский это может. Не удостоверено, чтобы хоть одна из птиц перелетела когда-нибудь Атлантический океан или облетела земной шар. А мы накануне такого человеческого перелета, если верно, что призом первому воздушному Колумбу назначен миллион долларов от панамской выставки. Два миллиона рублей, заработанные честным трудом в какие-нибудь трое суток, — для этого, знаете ли, авиаторам стоит поработать, помимо даже бессмертного имени в потомстве... </w:t>
      </w:r>
    </w:p>
    <w:p w14:paraId="02499D18" w14:textId="77777777" w:rsidR="00B67D7C" w:rsidRPr="00DE096C" w:rsidRDefault="00B67D7C" w:rsidP="00D45A46">
      <w:pPr>
        <w:jc w:val="both"/>
        <w:rPr>
          <w:bCs/>
          <w:color w:val="002060"/>
          <w:sz w:val="16"/>
          <w:szCs w:val="16"/>
        </w:rPr>
      </w:pPr>
      <w:r w:rsidRPr="00DE096C">
        <w:rPr>
          <w:bCs/>
          <w:color w:val="002060"/>
          <w:sz w:val="16"/>
          <w:szCs w:val="16"/>
        </w:rPr>
        <w:t xml:space="preserve">Я попал на самую торжественную и потому самую скучную часть съезда — на его открытие. Прослушал очень длинный ряд приветствий съезду от всевозможных академий, ученых обществ, военных и морских штабов, медицинских и даже... юридических корпораций. У нас принято совершать не вполне сознательные поступки, и потому все приветствия эти казались уместными, но если бы представители академий и ученых корпораций подумали, как мало они все вместе дали авиации, — может быть, и сделалось бы немножко неловко участвовать в торжестве. Дело в том, что и эта величайшая из побед человеческого гения в нашем веке вышла не из академии, не из высшей школы и даже не из школы вообще. Подобно всему великому, и авиация рождена практикой, а не теорией. Здравомыслящие и отважные братья Райт, как и их ближайшие подражатели, вовсе не были учеными людьми. Впоследствии с изумлением будут говорить, что это были полуобразованные люди, а подчас совсем невежды, — и все-таки именно им, а не сотне тысяч академиков и профессоров всего света, принадлежит часть практически решенной задачи воздухоплавания. Как самоучка Колумб был когда-то осмеян саламанскими учеными, — первые пионеры воздуха вызывали среди профессоров саркастическую улыбку: акробаты, мол, герои цирка! И вот в одно десятилетие, даже менее того, схоластический академизм принужден склонить голову пред гениальным творчеством неученых пророков техники. Дух дышит где хочет! </w:t>
      </w:r>
    </w:p>
    <w:p w14:paraId="5D1C43BC" w14:textId="77777777" w:rsidR="00B67D7C" w:rsidRPr="00DE096C" w:rsidRDefault="00B67D7C" w:rsidP="00D45A46">
      <w:pPr>
        <w:jc w:val="both"/>
        <w:rPr>
          <w:bCs/>
          <w:color w:val="002060"/>
          <w:sz w:val="16"/>
          <w:szCs w:val="16"/>
        </w:rPr>
      </w:pPr>
      <w:r w:rsidRPr="00DE096C">
        <w:rPr>
          <w:bCs/>
          <w:color w:val="002060"/>
          <w:sz w:val="16"/>
          <w:szCs w:val="16"/>
        </w:rPr>
        <w:t xml:space="preserve">Самой интересной — ибо наиболее трагической — фигурой на съезде для меня был знаменитый генерал Кованько. Он приветствовал съезд от имени «старейшего воздухоплавательного учреждения» — офицерской школы. Слова «старейшее учреждение» почтенный [249] генерал несколько раз повторил в своей речи, видимо очень гордясь этим старшинством в качестве начальника школы. Но подумайте немного, есть ли тут чем гордиться. Не представляет ли генерал Кованько одного из несчастнейших, поистине достойных жалости людей нашего века? Вся жизнь этого деятеля была отдана воздухоплаванию, — понимаете, </w:t>
      </w:r>
      <w:r w:rsidRPr="00DE096C">
        <w:rPr>
          <w:bCs/>
          <w:i/>
          <w:color w:val="002060"/>
          <w:sz w:val="16"/>
          <w:szCs w:val="16"/>
        </w:rPr>
        <w:t>вся</w:t>
      </w:r>
      <w:r w:rsidRPr="00DE096C">
        <w:rPr>
          <w:bCs/>
          <w:color w:val="002060"/>
          <w:sz w:val="16"/>
          <w:szCs w:val="16"/>
        </w:rPr>
        <w:t xml:space="preserve"> жизнь: с ранних офицерских лет он поднимался на воздушных шарах, и множество раз его таскало по воздуху то туда, то сюда, куда было угодно ветру или анархии ветров. То заносило его в болота Вологодской губернии, то в неведомые олонецкие леса, откуда приходилось выбираться с опасностью для жизни и с сознанием совершенной нелепости подобных путешествий. Бескрылый обер-офицер Кованько постепенно созревал в штаб-офицера, штаб-офицер — в генерала. Проходили годы и десятилетия, и с именем Кованько были связаны все те же ни на что не нужные, не оправданные здравым смыслом полеты. Можно было еще сто лет назад a priori решить, что если нет возможности управляться в воздухе и лететь </w:t>
      </w:r>
      <w:r w:rsidRPr="00DE096C">
        <w:rPr>
          <w:bCs/>
          <w:i/>
          <w:color w:val="002060"/>
          <w:sz w:val="16"/>
          <w:szCs w:val="16"/>
        </w:rPr>
        <w:t>куда нужно,</w:t>
      </w:r>
      <w:r w:rsidRPr="00DE096C">
        <w:rPr>
          <w:bCs/>
          <w:color w:val="002060"/>
          <w:sz w:val="16"/>
          <w:szCs w:val="16"/>
        </w:rPr>
        <w:t xml:space="preserve"> то все подобные полеты имеют нулевое или близкое к нулю значение. Тем не менее генерал Кованько настойчиво поднимался на шарах, учил подниматься молодых офицеров и команду, и все они получали казенное содержание, столовые, прибавочные, очередные чины, ордена и т. д. Китайская и Маньчжурская кампании показали, что пользы от нашей военной аэростатики для армии нет ни на ломаный грош. Гигантские надуваемые пузыри, пускаемые детьми для забавы. За десятки лет наша воздухоплавательная школа не доразвилась даже до змейковых аппаратов, даже до талантливой идеи Костовича, осуществленной графом Цеппелином в Германии. Неудачник и самоучка Татаринов и тот имел какую-то, теоретически признанную учеными, идею, даже он что-то искал новое и все же менее нелепое, чем пузыри. Заведомо всем было известно (я более тридцати лет назад слышал об этом от одного ученого математика), что будущность воздухоплавания за аэропланами, за плоскостными аппаратами тяжелее воздуха. Весь вопрос заключался только в двигателе, соединявшем minimum веса с maximum силы. Если на лекциях своих, как я хорошо помню, он выражал полную уверенность в осуществимости воздухоплавания — для легких, впрочем, грузов. Все эти тридцать лет нынешние идеи авиации носились в воздухе, и крылья человечества, так сказать, воочию росли. Оцените же роль генерала Кованько: в этот торжественный для воздухоплавания век посвятить всю жизнь пусканию на воздух пузырей! </w:t>
      </w:r>
      <w:r w:rsidRPr="00DE096C">
        <w:rPr>
          <w:bCs/>
          <w:i/>
          <w:color w:val="002060"/>
          <w:sz w:val="16"/>
          <w:szCs w:val="16"/>
        </w:rPr>
        <w:t>Ничего</w:t>
      </w:r>
      <w:r w:rsidRPr="00DE096C">
        <w:rPr>
          <w:bCs/>
          <w:color w:val="002060"/>
          <w:sz w:val="16"/>
          <w:szCs w:val="16"/>
        </w:rPr>
        <w:t xml:space="preserve"> не прибавить к решению [250] великой задачи, абсолютно ничего! Напротив, удерживать всем весом своего генеральства родное воздухоплавательное дело на уровне эпохи Монгольфьеров, на уровне XVIII столетия! Видеть гениальные по отваге попытки, увенчавшиеся успехом, следить за триумфом всех этих Райтов, Фарманов, Блерио, Лебоди и пр. и пр., убеждаться, что какие-то железнодорожные ремесленники, профаны, невежды летают куда хотят, а он, генерал, по-прежнему летает, как пух, по капризу ветра... Согласитесь, что для «начальника» нашего государственного воздухоплавания это должно бы быть очень горько... </w:t>
      </w:r>
    </w:p>
    <w:p w14:paraId="205F6EF9" w14:textId="77777777" w:rsidR="00B67D7C" w:rsidRPr="00DE096C" w:rsidRDefault="00B67D7C" w:rsidP="00D45A46">
      <w:pPr>
        <w:jc w:val="both"/>
        <w:rPr>
          <w:bCs/>
          <w:color w:val="002060"/>
          <w:sz w:val="16"/>
          <w:szCs w:val="16"/>
        </w:rPr>
      </w:pPr>
      <w:r w:rsidRPr="00DE096C">
        <w:rPr>
          <w:bCs/>
          <w:color w:val="002060"/>
          <w:sz w:val="16"/>
          <w:szCs w:val="16"/>
        </w:rPr>
        <w:t xml:space="preserve">История генерала Кованько символична в высшей степени. Вот что значит около великой задачи поставить ученую посредственность. Вот что значит с величайшим упорством держаться заведомо отсталого, заведомо негодного принципа — только потому, что иным генералам лень пошевелить мозгами и поискать уже полуоткрытые, намеченные пути. Повторяю, идея аэропланов признавалась рациональной целые десятилетия тому назад. Допустите на месте генерала Кованько даже не гениального, а просто талантливого человека, свежий ум которого не довольствовался бы рутиной. Допустите, что такой начальник воздухоплавания, имеющий и мастерские, и помощников, начал бы опыты авиации всего лишь на несколько лет раньше Райтов. К началу Японской войны мы могли бы иметь бесконечное пред японцами преимущество в разведке. Увидав (через летчиков), что японцев гораздо меньше, чем русских, а не гораздо больше, как воображал генерал Куропаткин, может быть, и наш болезненно нерешительный полководец сообразил бы, что самое </w:t>
      </w:r>
      <w:r w:rsidRPr="00DE096C">
        <w:rPr>
          <w:bCs/>
          <w:i/>
          <w:color w:val="002060"/>
          <w:sz w:val="16"/>
          <w:szCs w:val="16"/>
        </w:rPr>
        <w:t>безопасное</w:t>
      </w:r>
      <w:r w:rsidRPr="00DE096C">
        <w:rPr>
          <w:bCs/>
          <w:color w:val="002060"/>
          <w:sz w:val="16"/>
          <w:szCs w:val="16"/>
        </w:rPr>
        <w:t xml:space="preserve"> — двигаться при этих условиях вперед, а не назад. Вот какую услугу отечеству мог бы оказать талантливый человек на месте генерала Кованько! Отсюда следует великое поучение: не лейте новое вино в старые меха! Увольняйте своевременно в отставку бездарных людей, держащихся с каменной твердостью бездарных принципов. Доверьтесь если не собственному, то мировому творчеству. Не отставайте от стремительного бега изобретений и постижений ни на один день! Теряя долгие годы и десятки лет в заранее обеспеченном выслуживании чинов и отличий, ничем не рискуя, мы развенчиваем свое отечество и подводим его под исторические катастрофы. </w:t>
      </w:r>
    </w:p>
    <w:p w14:paraId="0831119D" w14:textId="77777777" w:rsidR="00B67D7C" w:rsidRPr="00DE096C" w:rsidRDefault="00B67D7C" w:rsidP="00D45A46">
      <w:pPr>
        <w:jc w:val="both"/>
        <w:rPr>
          <w:bCs/>
          <w:color w:val="002060"/>
          <w:sz w:val="16"/>
          <w:szCs w:val="16"/>
        </w:rPr>
      </w:pPr>
      <w:r w:rsidRPr="00DE096C">
        <w:rPr>
          <w:bCs/>
          <w:color w:val="002060"/>
          <w:sz w:val="16"/>
          <w:szCs w:val="16"/>
        </w:rPr>
        <w:t xml:space="preserve">Что воздухоплавательное дело в России не осталось лежать в могиле, вырытой на Волковом поле, об этом свидетельствует многолюдный съезд, уже третий, собирающийся выслушать почти сотню [251] докладов. Авиация выпорхнула из могилы, оставив в ней одного Кованько. Русская авиация теперь реет и летает по всей России и побивает рекорды на родине и за границей. Чтобы воскресить великое дело, похороненное заживо слишком уж незначительными людьми, потребовались новые, более свежие и крупные люди. Они, к счастью, явились. Не следя достаточно близко за развитием русской авиации, я лично не решаюсь указать, кому именно она обязана сравнительно завидной теперешней постановкой. Чаще всего указывают на живое и деятельное участие в этом деле Великого князя Александра Михайловича, основательно изучившего воздухоплавание за границей и дома. Десять лет назад Его Высочество был, как известно, назначен председателем Особого </w:t>
      </w:r>
      <w:r w:rsidRPr="00DE096C">
        <w:rPr>
          <w:bCs/>
          <w:color w:val="002060"/>
          <w:sz w:val="16"/>
          <w:szCs w:val="16"/>
        </w:rPr>
        <w:lastRenderedPageBreak/>
        <w:t xml:space="preserve">комитета по усилению флота на добровольные пожертвования. Один из отделов этого комитета был посвящен организации воздушного флота. За десять лет (по 31 декабря 1913 года) комитетом получено было около 300 тысяч казенных субсидий и около 19,5 миллиона рублей частных пожертвований. Вот говорят: остыла в России любовь к родине! Как ни странно восстановлять флот на мирские подаяния — последние дали довольно крупную сумму. Из нее около 17 миллионов рублей пошли на морской флот и около 2 миллионов 597 тысяч на воздушный, что же сделано по части авиации на эти народные миллионы? Это нелишне в общих чертах припомнить. Создана очень серьезная офицерская школа авиации (под Севастополем). Устроены офицерские теоретические курсы при Петербургском политехническом институте. За эти четыре года (1910–1913) обучено летать 8 офицеров, окончило со званием военного летчика 123 офицера (62,13 процента всего состава), окончили со званием просто летчика — 44, со званием наблюдателя — 6, отчислено по разным причинам — 17. При обучении погибло смертью героев — 6 человек (3,03 процента). Да будут имена их с благодарностью передаваться из рода в род! Сверх того, обучено искусству летать несколько десятков нижних чинов. Летало же всего за последние три года около 3,5 тысячи человек. Заведено 115 самолетов. К этим цифрам нужно прибавить более 150 офицеров, окончивших петербургские теоретические курсы. </w:t>
      </w:r>
    </w:p>
    <w:p w14:paraId="5D7D6EA1" w14:textId="77777777" w:rsidR="00B67D7C" w:rsidRPr="00DE096C" w:rsidRDefault="00B67D7C" w:rsidP="00D45A46">
      <w:pPr>
        <w:jc w:val="both"/>
        <w:rPr>
          <w:bCs/>
          <w:color w:val="002060"/>
          <w:sz w:val="16"/>
          <w:szCs w:val="16"/>
        </w:rPr>
      </w:pPr>
      <w:r w:rsidRPr="00DE096C">
        <w:rPr>
          <w:bCs/>
          <w:color w:val="002060"/>
          <w:sz w:val="16"/>
          <w:szCs w:val="16"/>
        </w:rPr>
        <w:t xml:space="preserve">Воздухоплавание, к сожалению, не может питаться своей стихией — воздухом. Оно требует средств. Отделом воздушного флота организовано 353 местных комитета, собравших пожертвований свыше миллиона рублей. Один московский комитет собрал в прошлом [252] году свыше 216 тысяч рублей. Что особенно трогательно и налагает сугубо ответственность, это то, что наибольшее участие в однодневных сборах принимает малоимущая часть населения. Довольно дорого обходятся «комитет и разные расходы» (около 40 тысяч) и устройство сборов (свыше 280 тысяч!). В результате чистого капитала в комитете к 1 января этого года оставалось всего лишь около 62 тысяч рублей. При сравнительно крохотной казенной субсидии (100 тысяч ежедневно) комитет или должен закрыться, похоронив с собою русскую авиацию, или привлечь новую волну общественных пожертвований. Как ее вызвать, вот вопрос. Нельзя не видеть, что и общество, и народ слишком перегружены всевозможного рода благотворительными сборами. Путем доброхотных даяний воздвигаются у нас многочисленные храмы (часто с излишней и вовсе не религиозной роскошью), строятся монументы — и заслуженным лицам, и просто знатным, — строятся богадельни, клиники, больницы, детские приюты, инвалидные и народные дома, и чего-чего только не затевается «на счет пожертвований»! Одни «цветки», иногда дурно пахнущие, в последнее время надоели хуже горькой редьки. Чиновники и офицеры, включающие в себя чуть не всю нашу интеллигенцию, стонут от обязательных поборов на подарки начальству, на проводы, встречи и т. д. и т. д. Если сверх всего этого, сверх огромной армии нищих и паразитов всякого рода требовать от общества содержания еще разных отделов обороны, то у многих обывателей, естественно, является мысль: позвольте, ведь мы тоже платим 3,5 миллиарда налогов, и в том числе чуть не миллиард на военную оборону! Какие же могут требоваться еще грошовые пожертвования на ту же самую оборону? Одно из двух: или воздушный флот не нужен, и тогда не нужны пожертвования, или он очень нужен, и тогда правительство обязано выделить на него определенный и вполне достаточный бюджет. Государство не может идти по миру и протягивать руку, чтобы набрать копеек на ружья и пушки. Серьезнейший из расходов должен покрываться не добровольными сборами, а налогами. </w:t>
      </w:r>
    </w:p>
    <w:p w14:paraId="3009F1FA" w14:textId="77777777" w:rsidR="00B67D7C" w:rsidRPr="00DE096C" w:rsidRDefault="00B67D7C" w:rsidP="00D45A46">
      <w:pPr>
        <w:jc w:val="both"/>
        <w:rPr>
          <w:bCs/>
          <w:color w:val="002060"/>
          <w:sz w:val="16"/>
          <w:szCs w:val="16"/>
        </w:rPr>
      </w:pPr>
      <w:r w:rsidRPr="00DE096C">
        <w:rPr>
          <w:bCs/>
          <w:color w:val="002060"/>
          <w:sz w:val="16"/>
          <w:szCs w:val="16"/>
        </w:rPr>
        <w:t xml:space="preserve">Я до сих пор не знаю, что можно возразить на такое возражение. Кажется, что ничего. Тем не менее живая действительность, всегда несколько бессмысленная, доказывает, что пожертвования на воздушный флот очень полезны и, может быть, даже необходимы. Идут пожертвования — и великое государственное дело поддерживается, хоть и с меньшей роскошью, какая признавалась бы желательной. [253] А иссякнут пожертвования, иссякнет, пожалуй, и сама авиация. Кто поручится что казна найдет, т. е. захочет дать комитету, ежегодно около 0,5 миллиона рублей, необходимых для поддержания дела? Казна состоит из людей, не всегда сложенных из живого мяса, а часто это люди из папье-маше, гуттаперчевые и деревянные. Такие не торопятся, не волнуются, не знают, что такое тревога, ибо вообще неясно себе представляют, что делается на божьем свете. Пока еще до таких людей докатится мировая волна сознания, что авиация вносит с собою великий переворот, — переворот может уже совершиться, и не в нашу пользу. Не только каждый год, каждый месяц отсталости, </w:t>
      </w:r>
      <w:r w:rsidRPr="00DE096C">
        <w:rPr>
          <w:bCs/>
          <w:i/>
          <w:color w:val="002060"/>
          <w:sz w:val="16"/>
          <w:szCs w:val="16"/>
        </w:rPr>
        <w:t>каждая неделя</w:t>
      </w:r>
      <w:r w:rsidRPr="00DE096C">
        <w:rPr>
          <w:bCs/>
          <w:color w:val="002060"/>
          <w:sz w:val="16"/>
          <w:szCs w:val="16"/>
        </w:rPr>
        <w:t xml:space="preserve"> ее может быть оплачена тяжкими национальными бедствиями. Стало быть, при всей агитации, которая должна быть направлена на казенных людей, решительно необходимо и обществу, и народу принять самим участие в сверхналоговых жертвах и усилиях. Нужны не только пожертвования, но и личное участие, личный труд, внимание, заинтересованность, живая и реальная поддержка новому делу. </w:t>
      </w:r>
    </w:p>
    <w:p w14:paraId="0894D559" w14:textId="77777777" w:rsidR="00B67D7C" w:rsidRPr="00DE096C" w:rsidRDefault="00B67D7C" w:rsidP="00D45A46">
      <w:pPr>
        <w:jc w:val="both"/>
        <w:rPr>
          <w:bCs/>
          <w:color w:val="002060"/>
          <w:sz w:val="16"/>
          <w:szCs w:val="16"/>
        </w:rPr>
      </w:pPr>
      <w:r w:rsidRPr="00DE096C">
        <w:rPr>
          <w:bCs/>
          <w:color w:val="002060"/>
          <w:sz w:val="16"/>
          <w:szCs w:val="16"/>
        </w:rPr>
        <w:t>Если не ошибаюсь, именно этими соображениями вызвана новая и весьма эффективная идея так называемого «воздушного ополчения», о которой пойдет речь на съезде. Идея эта, разработанная в докладной записке С. С. Щетинина, была рассмотрена в особой комиссии под председательством капитана 1-го ранга Н. Ф. Фогеля в комитете. От красивой формулы «воздушное ополчение» пришлось, впрочем, отказаться, так как слово «ополчение» имеет особо узаконенный смысл. Решено с 1 января 1915 года, во-первых, продолжать деятельность Особого комитета, если на то последует Высочайшее утверждение, во-первых, направить Отдел воздушного флота на новый путь. Предполагается добровольное объединение с комитетом всех частных обществ авиации и школ на почве подготовки к воздушной обороне. Предполагается создание «воздушных дружин» из состава летчиков-добровольцев, которые в тылу армии могут образовать вторую линию воздушной обороны. Имеется в виду соответственная их военная подготовка. Предположено также устройство авиационных станций и маяков и создание запаса самолетов с полным снабжением и оборудованием на случай военного времени. Вот в общих чертах новые задачи, которые ставит себе Особый комитет под председательством Великого князя Александра Михайловича. О бытовой и, так сказать, жизненной стороне воздушной народной рати придется побеседовать особо. [254] ((11335)).</w:t>
      </w:r>
    </w:p>
    <w:p w14:paraId="50C95C6C" w14:textId="77777777" w:rsidR="00740D27" w:rsidRPr="00DE096C" w:rsidRDefault="00740D27" w:rsidP="00D45A46">
      <w:pPr>
        <w:pStyle w:val="2"/>
        <w:spacing w:before="0" w:after="0"/>
        <w:jc w:val="both"/>
        <w:rPr>
          <w:b w:val="0"/>
          <w:bCs/>
          <w:color w:val="002060"/>
          <w:sz w:val="16"/>
          <w:szCs w:val="16"/>
        </w:rPr>
      </w:pPr>
      <w:r w:rsidRPr="00DE096C">
        <w:rPr>
          <w:b w:val="0"/>
          <w:bCs/>
          <w:color w:val="002060"/>
          <w:sz w:val="16"/>
          <w:szCs w:val="16"/>
        </w:rPr>
        <w:t>Влынского привлекли многотысячную толпу, заполнившую все трибуны ипподрома. Еще больше народу скопилось на Семеновском плацу и на тротуарах близлежащих улиц. Заполнены людьми были также окна и крыши окружающих ипподром домов.» В прессе приготовления к взлету описывали почти так же, как потом подготовку Гагарина к первому космическому полету (15464).</w:t>
      </w:r>
    </w:p>
    <w:p w14:paraId="7E75D164" w14:textId="77777777" w:rsidR="00740D27" w:rsidRPr="00DE096C" w:rsidRDefault="00740D27" w:rsidP="00D45A46">
      <w:pPr>
        <w:shd w:val="clear" w:color="auto" w:fill="FFFFFF"/>
        <w:jc w:val="both"/>
        <w:rPr>
          <w:bCs/>
          <w:i/>
          <w:color w:val="002060"/>
          <w:sz w:val="16"/>
          <w:szCs w:val="16"/>
        </w:rPr>
      </w:pPr>
    </w:p>
    <w:p w14:paraId="55A68D0E" w14:textId="77777777" w:rsidR="00C25012" w:rsidRPr="00DE096C" w:rsidRDefault="00C25012" w:rsidP="00D45A46">
      <w:pPr>
        <w:jc w:val="both"/>
        <w:rPr>
          <w:bCs/>
          <w:color w:val="002060"/>
          <w:sz w:val="16"/>
          <w:szCs w:val="16"/>
        </w:rPr>
      </w:pPr>
      <w:r w:rsidRPr="00DE096C">
        <w:rPr>
          <w:bCs/>
          <w:color w:val="002060"/>
          <w:sz w:val="16"/>
          <w:szCs w:val="16"/>
        </w:rPr>
        <w:t>10 (23) апреля 1914 года писатель и журналист, патриот М.О. Меньшиков опубликовал свою статью «Воздушная рать». В ней он писал: «Воздухоплавание, к сожалению, не может питаться своей стихией – воздухом. Оно требует средств. Отделом воздушного флота организовано 353 местных комитета…Что особенно трогательно и налагает сугубо ответственность, это то, что наибольшее участие в однодневных сборах принимает малоимущая часть населения…Нельзя не видеть, что и общество, и народ слишком перегружены всевозможного рода сборами. Путём доброхотных даяний воздвигаются у нас многочисленные храмы (часто с излишней и вовсе не религиозной роскошью), строятся монументы – и заслуженным лицам, и просто знатным, - строятся богадельни, клиники, больницы, детские приюты, инвалидные и народные дома, и чего только не затевается «на счёт пожертвований»! Одни «цветки», иногда дурно пахнущие, в последнее время надоели хуже горькой редьки…Если сверх всего этого, сверх огромной армии нищих и паразитов всякого рода требовать от общества содержания ещё разных отделов обороны, то у многих обывателей, естественно, является мысль: позвольте, ведь мы платим 3,5 миллиарда налогов, и в том числе чуть ни миллиард на военную оборону! Какие же могут требоваться ещё грошовые пожертвования на ту же оборону? Одно из двух: или воздушный флот не нужен, и тогда не нужны пожертвования, или он очень нужен, и тогда правительство обязано выделить на него определённый и вполне достаточный бюджет. Государство не может идти по миру и протягивать руку, чтобы набрать копеек на ружья и на пушки. Серьёзнейший из расходов должен покрываться не добровольными сборами, а налогами» (20112).</w:t>
      </w:r>
    </w:p>
    <w:p w14:paraId="717E3C08" w14:textId="77777777" w:rsidR="00C25012" w:rsidRPr="00DE096C" w:rsidRDefault="00C25012" w:rsidP="00D45A46">
      <w:pPr>
        <w:jc w:val="both"/>
        <w:rPr>
          <w:bCs/>
          <w:color w:val="002060"/>
          <w:sz w:val="16"/>
          <w:szCs w:val="16"/>
        </w:rPr>
      </w:pPr>
      <w:r w:rsidRPr="00DE096C">
        <w:rPr>
          <w:bCs/>
          <w:color w:val="002060"/>
          <w:sz w:val="16"/>
          <w:szCs w:val="16"/>
        </w:rPr>
        <w:t>22-го июля 1914 Великий князь Александр Михайлович обратился к народу с Воззванием «На воздушный флот». В нем, в частности, говорилось: «Ко всем, кому дорого благо Великой России, обращаюсь с горячим призывом оказать состоящему под моим председательством Особому комитету посильную помощь пожертвованиями на воздушный флот – могучее оружие современной войны». Но этот призыв не имел положительных последствий.</w:t>
      </w:r>
    </w:p>
    <w:p w14:paraId="12D1F8F8" w14:textId="77777777" w:rsidR="00C25012" w:rsidRPr="00DE096C" w:rsidRDefault="00C25012" w:rsidP="00D45A46">
      <w:pPr>
        <w:jc w:val="both"/>
        <w:rPr>
          <w:bCs/>
          <w:color w:val="002060"/>
          <w:sz w:val="16"/>
          <w:szCs w:val="16"/>
        </w:rPr>
      </w:pPr>
      <w:r w:rsidRPr="00DE096C">
        <w:rPr>
          <w:bCs/>
          <w:color w:val="002060"/>
          <w:sz w:val="16"/>
          <w:szCs w:val="16"/>
        </w:rPr>
        <w:t>Авиация перешла на полное финансирование из казны только в четвёртом квартале 1914 года.</w:t>
      </w:r>
    </w:p>
    <w:p w14:paraId="1C48F187" w14:textId="77777777" w:rsidR="00C25012" w:rsidRPr="00DE096C" w:rsidRDefault="00C25012" w:rsidP="00D45A46">
      <w:pPr>
        <w:jc w:val="both"/>
        <w:rPr>
          <w:bCs/>
          <w:color w:val="002060"/>
          <w:sz w:val="16"/>
          <w:szCs w:val="16"/>
        </w:rPr>
      </w:pPr>
    </w:p>
    <w:p w14:paraId="35667AB2" w14:textId="77777777" w:rsidR="00C25012" w:rsidRPr="00DE096C" w:rsidRDefault="00C25012" w:rsidP="00D45A46">
      <w:pPr>
        <w:jc w:val="both"/>
        <w:rPr>
          <w:bCs/>
          <w:color w:val="002060"/>
          <w:sz w:val="16"/>
          <w:szCs w:val="16"/>
        </w:rPr>
      </w:pPr>
      <w:r w:rsidRPr="00DE096C">
        <w:rPr>
          <w:bCs/>
          <w:color w:val="002060"/>
          <w:sz w:val="16"/>
          <w:szCs w:val="16"/>
        </w:rPr>
        <w:t>10 (23) апреля 1914 года писатель и журналист, патриот М.О. Меньшиков опубликовал свою статью «Воздушная рать». В ней он писал: «Воздухоплавание, к сожалению, не может питаться своей стихией – воздухом. Оно требует средств. Отделом воздушного флота организовано 353 местных комитета…Что особенно трогательно и налагает сугубо ответственность, это то, что наибольшее участие в однодневных сборах принимает малоимущая часть населения…Нельзя не видеть, что и общество, и народ слишком перегружены всевозможного рода сборами. Путём доброхотных даяний воздвигаются у нас многочисленные храмы (часто с излишней и вовсе не религиозной роскошью), строятся монументы – и заслуженным лицам, и просто знатным, - строятся богадельни, клиники, больницы, детские приюты, инвалидные и народные дома, и чего только не затевается «на счёт пожертвований»! Одни «цветки», иногда дурно пахнущие, в последнее время надоели хуже горькой редьки…Если сверх всего этого, сверх огромной армии нищих и паразитов всякого рода требовать от общества содержания ещё разных отделов обороны, то у многих обывателей, естественно, является мысль: позвольте, ведь мы платим 3,5 миллиарда налогов, и в том числе чуть ни миллиард на военную оборону! Какие же могут требоваться ещё грошовые пожертвования на ту же оборону? Одно из двух: или воздушный флот не нужен, и тогда не нужны пожертвования, или он очень нужен, и тогда правительство обязано выделить на него определённый и вполне достаточный бюджет. Государство не может идти по миру и протягивать руку, чтобы набрать копеек на ружья и на пушки. Серьёзнейший из расходов должен покрываться не добровольными сборами, а налогами» (20112).</w:t>
      </w:r>
    </w:p>
    <w:p w14:paraId="377DD069" w14:textId="77777777" w:rsidR="00C25012" w:rsidRPr="00DE096C" w:rsidRDefault="00C25012" w:rsidP="00D45A46">
      <w:pPr>
        <w:shd w:val="clear" w:color="auto" w:fill="FFFFFF"/>
        <w:jc w:val="both"/>
        <w:rPr>
          <w:bCs/>
          <w:color w:val="002060"/>
          <w:sz w:val="16"/>
          <w:szCs w:val="16"/>
        </w:rPr>
      </w:pPr>
    </w:p>
    <w:p w14:paraId="1501EE4F" w14:textId="0FF6063E" w:rsidR="00C25012" w:rsidRPr="00DE096C" w:rsidRDefault="00C25012" w:rsidP="00D45A46">
      <w:pPr>
        <w:jc w:val="both"/>
        <w:rPr>
          <w:bCs/>
          <w:i/>
          <w:color w:val="002060"/>
          <w:sz w:val="16"/>
          <w:szCs w:val="16"/>
        </w:rPr>
      </w:pPr>
      <w:r w:rsidRPr="00DE096C">
        <w:rPr>
          <w:bCs/>
          <w:i/>
          <w:color w:val="002060"/>
          <w:sz w:val="16"/>
          <w:szCs w:val="16"/>
        </w:rPr>
        <w:t>Авиация и воздухоплавание Германии:</w:t>
      </w:r>
    </w:p>
    <w:p w14:paraId="061FFC48" w14:textId="77777777" w:rsidR="00C25012" w:rsidRPr="00DE096C" w:rsidRDefault="00C25012" w:rsidP="00D45A46">
      <w:pPr>
        <w:jc w:val="both"/>
        <w:rPr>
          <w:bCs/>
          <w:i/>
          <w:color w:val="002060"/>
          <w:sz w:val="16"/>
          <w:szCs w:val="16"/>
        </w:rPr>
      </w:pPr>
    </w:p>
    <w:p w14:paraId="73AC506C" w14:textId="77777777" w:rsidR="00C25012" w:rsidRPr="00DE096C" w:rsidRDefault="00C25012" w:rsidP="00D45A46">
      <w:pPr>
        <w:shd w:val="clear" w:color="auto" w:fill="FFFFFF"/>
        <w:jc w:val="both"/>
        <w:rPr>
          <w:bCs/>
          <w:color w:val="002060"/>
          <w:sz w:val="16"/>
          <w:szCs w:val="16"/>
        </w:rPr>
      </w:pPr>
      <w:r w:rsidRPr="00DE096C">
        <w:rPr>
          <w:bCs/>
          <w:color w:val="002060"/>
          <w:sz w:val="16"/>
          <w:szCs w:val="16"/>
        </w:rPr>
        <w:t xml:space="preserve">10 (23) апреля 1915 г. – всего через три дня после получения задания, доработанный M.5K № 216 (один из неоплаченных одноместных разведчиков M.5K (так называемых «маленьких» — лицензионный Моран Н с укороченным крылом), облетал лично Антон Фоккер, перелетев с завода на военный аэродром под Берлином. Там на самолет, обозначенный теперь M.5K/MG (Maschinengewehr, по-немецки «пулемет»), нанесли новый регистрационный номер А.16/15 как 16-я машина выпуска 1915 г., хотя самолет был сделан и облетан в 1914 г. После коротких испытаний в июне 1915 г. самолет отправили на аэродром Дуэ у города Лилль на севере Франции. Пилотом на нее назначили лейтенанта Отто Паршау — он был в приятельских отношениях с Антоном Фоккером и успел полетать на M.5K/MG в Берлине в ходе испытаний, но пока ни разу не проверял главного — он не стрелял из пулемета. Паршау сразу же попытался атаковать французские самолеты, но синхронизатор ни разу не сработал. Истребитель пришлось вернуть на завод, где «хитрую механику» отладили. Заодно Фоккер переделал и самолет, сместив крыло чуть вниз, — до </w:t>
      </w:r>
      <w:r w:rsidRPr="00DE096C">
        <w:rPr>
          <w:bCs/>
          <w:color w:val="002060"/>
          <w:sz w:val="16"/>
          <w:szCs w:val="16"/>
        </w:rPr>
        <w:lastRenderedPageBreak/>
        <w:t>этого M.5K/MG, как и французский прототип, имел высоко расположенное крыло, а теперь стал среднепланом. Трудно сказать, что самолет выиграл от этого в летных данных, но теперь его можно было четко отличить от «Морана», а из кабины стало лучше видно вниз (22750).</w:t>
      </w:r>
    </w:p>
    <w:p w14:paraId="34963C5E" w14:textId="77777777" w:rsidR="00C25012" w:rsidRPr="00DE096C" w:rsidRDefault="00C25012" w:rsidP="00D45A46">
      <w:pPr>
        <w:shd w:val="clear" w:color="auto" w:fill="FFFFFF"/>
        <w:jc w:val="both"/>
        <w:rPr>
          <w:bCs/>
          <w:color w:val="002060"/>
          <w:sz w:val="16"/>
          <w:szCs w:val="16"/>
        </w:rPr>
      </w:pPr>
    </w:p>
    <w:p w14:paraId="697E5F90" w14:textId="77777777" w:rsidR="00C25012" w:rsidRPr="00DE096C" w:rsidRDefault="00C25012" w:rsidP="00D45A46">
      <w:pPr>
        <w:jc w:val="both"/>
        <w:rPr>
          <w:bCs/>
          <w:i/>
          <w:color w:val="002060"/>
          <w:sz w:val="16"/>
          <w:szCs w:val="16"/>
        </w:rPr>
      </w:pPr>
      <w:r w:rsidRPr="00DE096C">
        <w:rPr>
          <w:bCs/>
          <w:i/>
          <w:color w:val="002060"/>
          <w:sz w:val="16"/>
          <w:szCs w:val="16"/>
        </w:rPr>
        <w:t>Авиация и воздухоплавание за рубежом:</w:t>
      </w:r>
    </w:p>
    <w:p w14:paraId="3024F619" w14:textId="77777777" w:rsidR="00C25012" w:rsidRPr="00DE096C" w:rsidRDefault="00C25012" w:rsidP="00D45A46">
      <w:pPr>
        <w:jc w:val="both"/>
        <w:rPr>
          <w:bCs/>
          <w:i/>
          <w:color w:val="002060"/>
          <w:sz w:val="16"/>
          <w:szCs w:val="16"/>
        </w:rPr>
      </w:pPr>
    </w:p>
    <w:p w14:paraId="0296A2D1" w14:textId="77777777" w:rsidR="00C25012" w:rsidRPr="00DE096C" w:rsidRDefault="00C25012" w:rsidP="00D45A46">
      <w:pPr>
        <w:jc w:val="both"/>
        <w:rPr>
          <w:bCs/>
          <w:color w:val="002060"/>
          <w:sz w:val="16"/>
          <w:szCs w:val="16"/>
        </w:rPr>
      </w:pPr>
      <w:r w:rsidRPr="00DE096C">
        <w:rPr>
          <w:bCs/>
          <w:color w:val="002060"/>
          <w:sz w:val="16"/>
          <w:szCs w:val="16"/>
        </w:rPr>
        <w:t>12 (25) апреля 1914 был совершен первый боевой вылет самолета ВМС США. Это полет для наблюдения за мексиканскими позициями во время инцидента в Веракрусе (20337).</w:t>
      </w:r>
    </w:p>
    <w:p w14:paraId="67F0D609" w14:textId="77777777" w:rsidR="00C25012" w:rsidRPr="00DE096C" w:rsidRDefault="00C25012" w:rsidP="00D45A46">
      <w:pPr>
        <w:jc w:val="both"/>
        <w:rPr>
          <w:bCs/>
          <w:color w:val="002060"/>
          <w:sz w:val="16"/>
          <w:szCs w:val="16"/>
        </w:rPr>
      </w:pPr>
    </w:p>
    <w:p w14:paraId="652A2039" w14:textId="77777777" w:rsidR="00740D27" w:rsidRPr="00DE096C" w:rsidRDefault="00740D27" w:rsidP="00D45A46">
      <w:pPr>
        <w:shd w:val="clear" w:color="auto" w:fill="FFFFFF"/>
        <w:jc w:val="both"/>
        <w:rPr>
          <w:bCs/>
          <w:i/>
          <w:color w:val="002060"/>
          <w:sz w:val="16"/>
          <w:szCs w:val="16"/>
        </w:rPr>
      </w:pPr>
      <w:r w:rsidRPr="00DE096C">
        <w:rPr>
          <w:bCs/>
          <w:i/>
          <w:color w:val="002060"/>
          <w:sz w:val="16"/>
          <w:szCs w:val="16"/>
        </w:rPr>
        <w:t>Авиация:</w:t>
      </w:r>
    </w:p>
    <w:p w14:paraId="1C231F4C" w14:textId="77777777" w:rsidR="00740D27" w:rsidRPr="00DE096C" w:rsidRDefault="00740D27" w:rsidP="00D45A46">
      <w:pPr>
        <w:shd w:val="clear" w:color="auto" w:fill="FFFFFF"/>
        <w:jc w:val="both"/>
        <w:rPr>
          <w:bCs/>
          <w:i/>
          <w:color w:val="002060"/>
          <w:sz w:val="16"/>
          <w:szCs w:val="16"/>
        </w:rPr>
      </w:pPr>
    </w:p>
    <w:p w14:paraId="0A74725E" w14:textId="77777777" w:rsidR="00740D27" w:rsidRPr="00DE096C" w:rsidRDefault="00740D27" w:rsidP="00D45A46">
      <w:pPr>
        <w:shd w:val="clear" w:color="auto" w:fill="FFFFFF"/>
        <w:jc w:val="both"/>
        <w:rPr>
          <w:bCs/>
          <w:color w:val="002060"/>
          <w:sz w:val="16"/>
          <w:szCs w:val="16"/>
        </w:rPr>
      </w:pPr>
      <w:r w:rsidRPr="00DE096C">
        <w:rPr>
          <w:bCs/>
          <w:color w:val="002060"/>
          <w:sz w:val="16"/>
          <w:szCs w:val="16"/>
        </w:rPr>
        <w:t>14 (27) апреля 1914 в Москве при огромном стечении зрителей летчик Габер-Влынский на самолете "Моран-Сольнъе” сделал в два приема 15 мертвых петель. Габер-Влынский - один из первых поеледоывтелей П.Н.Нестерова, а его мертвые петли впервые были показаны московской публике . ("Аэро". 1914, № 9).</w:t>
      </w:r>
    </w:p>
    <w:p w14:paraId="305425C4" w14:textId="77777777" w:rsidR="00740D27" w:rsidRPr="00DE096C" w:rsidRDefault="00740D27" w:rsidP="00D45A46">
      <w:pPr>
        <w:shd w:val="clear" w:color="auto" w:fill="FFFFFF"/>
        <w:jc w:val="both"/>
        <w:rPr>
          <w:bCs/>
          <w:color w:val="002060"/>
          <w:sz w:val="16"/>
          <w:szCs w:val="16"/>
        </w:rPr>
      </w:pPr>
    </w:p>
    <w:p w14:paraId="27398AB9" w14:textId="286F95E2" w:rsidR="00740D27" w:rsidRPr="00DE096C" w:rsidRDefault="00740D27" w:rsidP="00D45A46">
      <w:pPr>
        <w:jc w:val="both"/>
        <w:rPr>
          <w:bCs/>
          <w:color w:val="002060"/>
          <w:sz w:val="16"/>
          <w:szCs w:val="16"/>
        </w:rPr>
      </w:pPr>
      <w:r w:rsidRPr="00DE096C">
        <w:rPr>
          <w:bCs/>
          <w:color w:val="002060"/>
          <w:sz w:val="16"/>
          <w:szCs w:val="16"/>
        </w:rPr>
        <w:t xml:space="preserve">14 </w:t>
      </w:r>
      <w:r w:rsidR="00135761" w:rsidRPr="00DE096C">
        <w:rPr>
          <w:bCs/>
          <w:color w:val="002060"/>
          <w:sz w:val="16"/>
          <w:szCs w:val="16"/>
        </w:rPr>
        <w:t xml:space="preserve">(27) </w:t>
      </w:r>
      <w:r w:rsidRPr="00DE096C">
        <w:rPr>
          <w:bCs/>
          <w:color w:val="002060"/>
          <w:sz w:val="16"/>
          <w:szCs w:val="16"/>
        </w:rPr>
        <w:t>апреля 1914 Габер-Влынский «сделал в два приема пятнадцать мертвых петель». За этими полетами уже наблюдали более 10000 человек. Еще более эффектными стали полеты в Петербурге 21—22 апреля перед открытием IV Всероссийской авиационной недели: «Полеты авиатора Габер-15 апреля в 1914 году спущен на воду в Николаеве линейный корабль "Александр III" (тип "Императрица Мария", 23400 тонн, 21 узел, главный калибр 12 305-мм орудий). В составе Черноморского флота участвовал в Первой мировой войне. В 1917 г. переименован в "Волю". В 1918 г. захвачен в Севастополе немцами, а затем англо-французами. С 1920 г. входил в состав белогвардейских МС (назван "Генерал Алексеев"). После ухода врангелевцев из Крыма уведен в Бизерту (Тунис). Признан собственностью СССР. В конце 1920-х гг. продан на металл (15100).</w:t>
      </w:r>
    </w:p>
    <w:p w14:paraId="658BAFB9" w14:textId="77777777" w:rsidR="00740D27" w:rsidRPr="00DE096C" w:rsidRDefault="00740D27" w:rsidP="00D45A46">
      <w:pPr>
        <w:jc w:val="both"/>
        <w:rPr>
          <w:bCs/>
          <w:color w:val="002060"/>
          <w:sz w:val="16"/>
          <w:szCs w:val="16"/>
        </w:rPr>
      </w:pPr>
    </w:p>
    <w:p w14:paraId="06B2B69C" w14:textId="77777777" w:rsidR="00BD6F42" w:rsidRPr="00DE096C" w:rsidRDefault="00BD6F42" w:rsidP="00D45A46">
      <w:pPr>
        <w:jc w:val="both"/>
        <w:rPr>
          <w:bCs/>
          <w:color w:val="002060"/>
          <w:sz w:val="16"/>
          <w:szCs w:val="16"/>
        </w:rPr>
      </w:pPr>
      <w:r w:rsidRPr="00DE096C">
        <w:rPr>
          <w:bCs/>
          <w:color w:val="002060"/>
          <w:sz w:val="16"/>
          <w:szCs w:val="16"/>
        </w:rPr>
        <w:t>14 (27) апреля 1914 г. в Москве при огромном стечении зрителей летчик Габер—Влынский на самолете Моран-Сольнье сделал в два приема 15 мертвых петель. Габер-Влынский - один из первых последователей П.И.Нестерова и его мертвые петли впервые были показаны московской публике.</w:t>
      </w:r>
    </w:p>
    <w:p w14:paraId="11143B71" w14:textId="77777777" w:rsidR="00BD6F42" w:rsidRPr="00DE096C" w:rsidRDefault="00BD6F42" w:rsidP="00D45A46">
      <w:pPr>
        <w:jc w:val="both"/>
        <w:rPr>
          <w:bCs/>
          <w:color w:val="002060"/>
          <w:sz w:val="16"/>
          <w:szCs w:val="16"/>
        </w:rPr>
      </w:pPr>
      <w:r w:rsidRPr="00DE096C">
        <w:rPr>
          <w:bCs/>
          <w:color w:val="002060"/>
          <w:sz w:val="16"/>
          <w:szCs w:val="16"/>
        </w:rPr>
        <w:t>/«Аэро», 1914 № 9/ (23320).</w:t>
      </w:r>
    </w:p>
    <w:p w14:paraId="50391D71" w14:textId="77777777" w:rsidR="00BD6F42" w:rsidRPr="00DE096C" w:rsidRDefault="00BD6F42" w:rsidP="00D45A46">
      <w:pPr>
        <w:jc w:val="both"/>
        <w:rPr>
          <w:bCs/>
          <w:color w:val="002060"/>
          <w:sz w:val="16"/>
          <w:szCs w:val="16"/>
        </w:rPr>
      </w:pPr>
    </w:p>
    <w:p w14:paraId="3AE14837" w14:textId="77777777" w:rsidR="00740D27" w:rsidRPr="00DE096C" w:rsidRDefault="00740D27" w:rsidP="00D45A46">
      <w:pPr>
        <w:jc w:val="both"/>
        <w:rPr>
          <w:bCs/>
          <w:i/>
          <w:color w:val="002060"/>
          <w:sz w:val="16"/>
          <w:szCs w:val="16"/>
        </w:rPr>
      </w:pPr>
      <w:r w:rsidRPr="00DE096C">
        <w:rPr>
          <w:bCs/>
          <w:i/>
          <w:color w:val="002060"/>
          <w:sz w:val="16"/>
          <w:szCs w:val="16"/>
        </w:rPr>
        <w:t>Другие оборонные отрасли:</w:t>
      </w:r>
    </w:p>
    <w:p w14:paraId="6F9C310E" w14:textId="77777777" w:rsidR="00740D27" w:rsidRPr="00DE096C" w:rsidRDefault="00740D27" w:rsidP="00D45A46">
      <w:pPr>
        <w:jc w:val="both"/>
        <w:rPr>
          <w:bCs/>
          <w:i/>
          <w:color w:val="002060"/>
          <w:sz w:val="16"/>
          <w:szCs w:val="16"/>
        </w:rPr>
      </w:pPr>
    </w:p>
    <w:p w14:paraId="5612E670" w14:textId="609EABDD" w:rsidR="00740D27" w:rsidRPr="00DE096C" w:rsidRDefault="00740D27" w:rsidP="00D45A46">
      <w:pPr>
        <w:jc w:val="both"/>
        <w:rPr>
          <w:bCs/>
          <w:color w:val="002060"/>
          <w:sz w:val="16"/>
          <w:szCs w:val="16"/>
        </w:rPr>
      </w:pPr>
      <w:r w:rsidRPr="00DE096C">
        <w:rPr>
          <w:bCs/>
          <w:color w:val="002060"/>
          <w:sz w:val="16"/>
          <w:szCs w:val="16"/>
        </w:rPr>
        <w:t xml:space="preserve">15 </w:t>
      </w:r>
      <w:r w:rsidR="00135761" w:rsidRPr="00DE096C">
        <w:rPr>
          <w:bCs/>
          <w:color w:val="002060"/>
          <w:sz w:val="16"/>
          <w:szCs w:val="16"/>
        </w:rPr>
        <w:t xml:space="preserve">(28) </w:t>
      </w:r>
      <w:r w:rsidRPr="00DE096C">
        <w:rPr>
          <w:bCs/>
          <w:color w:val="002060"/>
          <w:sz w:val="16"/>
          <w:szCs w:val="16"/>
        </w:rPr>
        <w:t xml:space="preserve">апреля в 1914 году </w:t>
      </w:r>
      <w:r w:rsidR="00135761" w:rsidRPr="00DE096C">
        <w:rPr>
          <w:bCs/>
          <w:color w:val="002060"/>
          <w:sz w:val="16"/>
          <w:szCs w:val="16"/>
        </w:rPr>
        <w:t xml:space="preserve">в Николаеве </w:t>
      </w:r>
      <w:r w:rsidRPr="00DE096C">
        <w:rPr>
          <w:bCs/>
          <w:color w:val="002060"/>
          <w:sz w:val="16"/>
          <w:szCs w:val="16"/>
        </w:rPr>
        <w:t>спущен на воду линейный корабль "Александр III" (тип "Императрица Мария", 23400 тонн, 21 узел, главный калибр 12 305-мм орудий). В составе Черноморского флота участвовал в Первой мировой войне. В 1917 г. переименован в "Волю". В 1918 г. захвачен в Севастополе немцами, а затем англо-французами. С 1920 г. входил в состав белогвардейских МС (назван "Генерал Алексеев"). После ухода врангелевцев из Крыма уведен в Бизерту (Тунис). Признан собственностью СССР. В конце 1920-х гг. продан на металл (15100).</w:t>
      </w:r>
    </w:p>
    <w:p w14:paraId="2E1F365F" w14:textId="77777777" w:rsidR="00740D27" w:rsidRPr="00DE096C" w:rsidRDefault="00740D27" w:rsidP="00D45A46">
      <w:pPr>
        <w:jc w:val="both"/>
        <w:rPr>
          <w:bCs/>
          <w:color w:val="002060"/>
          <w:sz w:val="16"/>
          <w:szCs w:val="16"/>
        </w:rPr>
      </w:pPr>
    </w:p>
    <w:p w14:paraId="7E75B2A0" w14:textId="77777777" w:rsidR="00A67A49" w:rsidRPr="00DE096C" w:rsidRDefault="00A67A49" w:rsidP="00D45A46">
      <w:pPr>
        <w:jc w:val="both"/>
        <w:rPr>
          <w:bCs/>
          <w:i/>
          <w:color w:val="002060"/>
          <w:sz w:val="16"/>
          <w:szCs w:val="16"/>
        </w:rPr>
      </w:pPr>
      <w:r w:rsidRPr="00DE096C">
        <w:rPr>
          <w:bCs/>
          <w:i/>
          <w:color w:val="002060"/>
          <w:sz w:val="16"/>
          <w:szCs w:val="16"/>
        </w:rPr>
        <w:t>Авиация и воздухоплавание за рубежом:</w:t>
      </w:r>
    </w:p>
    <w:p w14:paraId="04529558" w14:textId="77777777" w:rsidR="00A67A49" w:rsidRPr="00DE096C" w:rsidRDefault="00A67A49" w:rsidP="00D45A46">
      <w:pPr>
        <w:jc w:val="both"/>
        <w:rPr>
          <w:bCs/>
          <w:i/>
          <w:color w:val="002060"/>
          <w:sz w:val="16"/>
          <w:szCs w:val="16"/>
        </w:rPr>
      </w:pPr>
    </w:p>
    <w:p w14:paraId="6F381620" w14:textId="77777777" w:rsidR="00A67A49" w:rsidRPr="00DE096C" w:rsidRDefault="00A67A49" w:rsidP="00D45A46">
      <w:pPr>
        <w:jc w:val="both"/>
        <w:rPr>
          <w:bCs/>
          <w:color w:val="002060"/>
          <w:sz w:val="16"/>
          <w:szCs w:val="16"/>
        </w:rPr>
      </w:pPr>
      <w:r w:rsidRPr="00DE096C">
        <w:rPr>
          <w:bCs/>
          <w:color w:val="002060"/>
          <w:sz w:val="16"/>
          <w:szCs w:val="16"/>
        </w:rPr>
        <w:t>15 (28 апреля) в 1914 году в США патентуется воздушный кондиционер (15113).</w:t>
      </w:r>
    </w:p>
    <w:p w14:paraId="55B5BC90" w14:textId="77777777" w:rsidR="00A67A49" w:rsidRPr="00DE096C" w:rsidRDefault="00A67A49" w:rsidP="00D45A46">
      <w:pPr>
        <w:shd w:val="clear" w:color="auto" w:fill="FFFFFF"/>
        <w:jc w:val="both"/>
        <w:rPr>
          <w:bCs/>
          <w:i/>
          <w:color w:val="002060"/>
          <w:sz w:val="16"/>
          <w:szCs w:val="16"/>
        </w:rPr>
      </w:pPr>
    </w:p>
    <w:p w14:paraId="380FD2BB"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5214116C" w14:textId="77777777" w:rsidR="00B67D7C" w:rsidRPr="00DE096C" w:rsidRDefault="00B67D7C" w:rsidP="00D45A46">
      <w:pPr>
        <w:shd w:val="clear" w:color="auto" w:fill="FFFFFF"/>
        <w:jc w:val="both"/>
        <w:rPr>
          <w:bCs/>
          <w:i/>
          <w:color w:val="002060"/>
          <w:sz w:val="16"/>
          <w:szCs w:val="16"/>
        </w:rPr>
      </w:pPr>
    </w:p>
    <w:p w14:paraId="66ED2CA1" w14:textId="77777777" w:rsidR="00B67D7C" w:rsidRPr="00DE096C" w:rsidRDefault="00B67D7C" w:rsidP="00D45A46">
      <w:pPr>
        <w:jc w:val="both"/>
        <w:rPr>
          <w:bCs/>
          <w:color w:val="002060"/>
          <w:sz w:val="16"/>
          <w:szCs w:val="16"/>
        </w:rPr>
      </w:pPr>
      <w:r w:rsidRPr="00DE096C">
        <w:rPr>
          <w:bCs/>
          <w:color w:val="002060"/>
          <w:sz w:val="16"/>
          <w:szCs w:val="16"/>
        </w:rPr>
        <w:t xml:space="preserve">16 (29) апреля 1914 для выработки технических заданий на гидросамолеты, предназначенные для действий на Балтике, собрался авиационный комитет службы связи Балтийского моря в составе капитана 2 ранга Б. П. Дудорова, летчиков Б. А. Щербачева, В. Е. Зверева, И. И. Кульнева, В. Л. Любицкого, В. А. Литвинова и авиационного инженера П. А. Шишкова. </w:t>
      </w:r>
    </w:p>
    <w:p w14:paraId="33D618DF" w14:textId="77777777" w:rsidR="00B67D7C" w:rsidRPr="00DE096C" w:rsidRDefault="00B67D7C" w:rsidP="00D45A46">
      <w:pPr>
        <w:jc w:val="both"/>
        <w:rPr>
          <w:bCs/>
          <w:color w:val="002060"/>
          <w:sz w:val="16"/>
          <w:szCs w:val="16"/>
        </w:rPr>
      </w:pPr>
      <w:r w:rsidRPr="00DE096C">
        <w:rPr>
          <w:bCs/>
          <w:color w:val="002060"/>
          <w:sz w:val="16"/>
          <w:szCs w:val="16"/>
        </w:rPr>
        <w:t xml:space="preserve">Оперативными задачами морской авиации Балтики комитет считал следующие: </w:t>
      </w:r>
    </w:p>
    <w:p w14:paraId="3784EA92" w14:textId="77777777" w:rsidR="00B67D7C" w:rsidRPr="00DE096C" w:rsidRDefault="00B67D7C" w:rsidP="00D45A46">
      <w:pPr>
        <w:jc w:val="both"/>
        <w:rPr>
          <w:bCs/>
          <w:color w:val="002060"/>
          <w:sz w:val="16"/>
          <w:szCs w:val="16"/>
        </w:rPr>
      </w:pPr>
      <w:r w:rsidRPr="00DE096C">
        <w:rPr>
          <w:bCs/>
          <w:color w:val="002060"/>
          <w:sz w:val="16"/>
          <w:szCs w:val="16"/>
        </w:rPr>
        <w:t>— разведку неприятельского флота в пунктах его сосредоточения в Киле и Данциге или на маршрутах перехода неприятельских кораблей в Финский залив;</w:t>
      </w:r>
    </w:p>
    <w:p w14:paraId="0127A86D" w14:textId="77777777" w:rsidR="00B67D7C" w:rsidRPr="00DE096C" w:rsidRDefault="00B67D7C" w:rsidP="00D45A46">
      <w:pPr>
        <w:jc w:val="both"/>
        <w:rPr>
          <w:bCs/>
          <w:color w:val="002060"/>
          <w:sz w:val="16"/>
          <w:szCs w:val="16"/>
        </w:rPr>
      </w:pPr>
      <w:r w:rsidRPr="00DE096C">
        <w:rPr>
          <w:bCs/>
          <w:color w:val="002060"/>
          <w:sz w:val="16"/>
          <w:szCs w:val="16"/>
        </w:rPr>
        <w:t xml:space="preserve">— борьбу с воздушными разведчиками противника, главным образом с дирижаблями. </w:t>
      </w:r>
    </w:p>
    <w:p w14:paraId="697518B7" w14:textId="77777777" w:rsidR="00B67D7C" w:rsidRPr="00DE096C" w:rsidRDefault="00B67D7C" w:rsidP="00D45A46">
      <w:pPr>
        <w:jc w:val="both"/>
        <w:rPr>
          <w:bCs/>
          <w:color w:val="002060"/>
          <w:sz w:val="16"/>
          <w:szCs w:val="16"/>
        </w:rPr>
      </w:pPr>
      <w:r w:rsidRPr="00DE096C">
        <w:rPr>
          <w:bCs/>
          <w:color w:val="002060"/>
          <w:sz w:val="16"/>
          <w:szCs w:val="16"/>
        </w:rPr>
        <w:t xml:space="preserve">Наилучший результат для решения первой задачи могло дать наблюдение за входом в Балтийское море или у Борнхольма, или по параллели от Либавы до берегов Швеции. Для этого требовались гидросамолеты с радиусом действия не менее 800 км. При невозможности вести разведку столь далеко комитет допускал ограничить разведку от Либавы до Готланда, для чего были нужны машины с радиусом действия не менее 400 км. Для решения второй задачи комитет считал, что нужны самолеты с радиусом действия не менее 250 км и с пулеметом впереди. </w:t>
      </w:r>
    </w:p>
    <w:p w14:paraId="4C420A62" w14:textId="77777777" w:rsidR="00B67D7C" w:rsidRPr="00DE096C" w:rsidRDefault="00B67D7C" w:rsidP="00D45A46">
      <w:pPr>
        <w:jc w:val="both"/>
        <w:rPr>
          <w:bCs/>
          <w:color w:val="002060"/>
          <w:sz w:val="16"/>
          <w:szCs w:val="16"/>
        </w:rPr>
      </w:pPr>
      <w:r w:rsidRPr="00DE096C">
        <w:rPr>
          <w:bCs/>
          <w:color w:val="002060"/>
          <w:sz w:val="16"/>
          <w:szCs w:val="16"/>
        </w:rPr>
        <w:t xml:space="preserve">Комитет также считал, что одиночная разведка в море может выполняться только на двухмоторном самолете, а бомбометание по судам противника при современном состоянии техники бомбардировочной авиации — задача второстепенная. </w:t>
      </w:r>
    </w:p>
    <w:p w14:paraId="1C95381B" w14:textId="77777777" w:rsidR="00B67D7C" w:rsidRPr="00DE096C" w:rsidRDefault="00B67D7C" w:rsidP="00D45A46">
      <w:pPr>
        <w:jc w:val="both"/>
        <w:rPr>
          <w:bCs/>
          <w:color w:val="002060"/>
          <w:sz w:val="16"/>
          <w:szCs w:val="16"/>
        </w:rPr>
      </w:pPr>
      <w:r w:rsidRPr="00DE096C">
        <w:rPr>
          <w:bCs/>
          <w:color w:val="002060"/>
          <w:sz w:val="16"/>
          <w:szCs w:val="16"/>
        </w:rPr>
        <w:t xml:space="preserve">Комитет разработал тактико-технические данные гидросамолетов для Балтийского театра. Эти данные и явились исходными для условий конкурса. </w:t>
      </w:r>
    </w:p>
    <w:tbl>
      <w:tblPr>
        <w:tblW w:w="0" w:type="auto"/>
        <w:tblInd w:w="4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5" w:type="dxa"/>
          <w:right w:w="45" w:type="dxa"/>
        </w:tblCellMar>
        <w:tblLook w:val="0000" w:firstRow="0" w:lastRow="0" w:firstColumn="0" w:lastColumn="0" w:noHBand="0" w:noVBand="0"/>
      </w:tblPr>
      <w:tblGrid>
        <w:gridCol w:w="3725"/>
        <w:gridCol w:w="1959"/>
        <w:gridCol w:w="1959"/>
        <w:gridCol w:w="1714"/>
      </w:tblGrid>
      <w:tr w:rsidR="00B67D7C" w:rsidRPr="00DE096C" w14:paraId="368B4F13" w14:textId="77777777" w:rsidTr="00C2024A">
        <w:tc>
          <w:tcPr>
            <w:tcW w:w="3725" w:type="dxa"/>
          </w:tcPr>
          <w:p w14:paraId="239629DE" w14:textId="77777777" w:rsidR="00B67D7C" w:rsidRPr="00DE096C" w:rsidRDefault="00B67D7C" w:rsidP="00D45A46">
            <w:pPr>
              <w:jc w:val="both"/>
              <w:rPr>
                <w:bCs/>
                <w:color w:val="002060"/>
                <w:sz w:val="16"/>
                <w:szCs w:val="16"/>
              </w:rPr>
            </w:pPr>
          </w:p>
        </w:tc>
        <w:tc>
          <w:tcPr>
            <w:tcW w:w="5632" w:type="dxa"/>
            <w:gridSpan w:val="3"/>
          </w:tcPr>
          <w:p w14:paraId="52D0FD1E" w14:textId="77777777" w:rsidR="00B67D7C" w:rsidRPr="00DE096C" w:rsidRDefault="00B67D7C" w:rsidP="00D45A46">
            <w:pPr>
              <w:jc w:val="both"/>
              <w:rPr>
                <w:bCs/>
                <w:color w:val="002060"/>
                <w:sz w:val="16"/>
                <w:szCs w:val="16"/>
              </w:rPr>
            </w:pPr>
            <w:r w:rsidRPr="00DE096C">
              <w:rPr>
                <w:bCs/>
                <w:color w:val="002060"/>
                <w:sz w:val="16"/>
                <w:szCs w:val="16"/>
              </w:rPr>
              <w:t>Назначение самолета</w:t>
            </w:r>
          </w:p>
        </w:tc>
      </w:tr>
      <w:tr w:rsidR="00B67D7C" w:rsidRPr="00DE096C" w14:paraId="231F2253" w14:textId="77777777" w:rsidTr="00C2024A">
        <w:tc>
          <w:tcPr>
            <w:tcW w:w="3725" w:type="dxa"/>
          </w:tcPr>
          <w:p w14:paraId="19656A51" w14:textId="77777777" w:rsidR="00B67D7C" w:rsidRPr="00DE096C" w:rsidRDefault="00B67D7C" w:rsidP="00D45A46">
            <w:pPr>
              <w:jc w:val="both"/>
              <w:rPr>
                <w:bCs/>
                <w:color w:val="002060"/>
                <w:sz w:val="16"/>
                <w:szCs w:val="16"/>
              </w:rPr>
            </w:pPr>
            <w:r w:rsidRPr="00DE096C">
              <w:rPr>
                <w:bCs/>
                <w:color w:val="002060"/>
                <w:sz w:val="16"/>
                <w:szCs w:val="16"/>
              </w:rPr>
              <w:t>Тактико-технические требования</w:t>
            </w:r>
          </w:p>
        </w:tc>
        <w:tc>
          <w:tcPr>
            <w:tcW w:w="1959" w:type="dxa"/>
          </w:tcPr>
          <w:p w14:paraId="62AC53CE" w14:textId="77777777" w:rsidR="00B67D7C" w:rsidRPr="00DE096C" w:rsidRDefault="00B67D7C" w:rsidP="00D45A46">
            <w:pPr>
              <w:jc w:val="both"/>
              <w:rPr>
                <w:bCs/>
                <w:color w:val="002060"/>
                <w:sz w:val="16"/>
                <w:szCs w:val="16"/>
              </w:rPr>
            </w:pPr>
            <w:r w:rsidRPr="00DE096C">
              <w:rPr>
                <w:bCs/>
                <w:color w:val="002060"/>
                <w:sz w:val="16"/>
                <w:szCs w:val="16"/>
              </w:rPr>
              <w:t>Дальняя разведка</w:t>
            </w:r>
          </w:p>
        </w:tc>
        <w:tc>
          <w:tcPr>
            <w:tcW w:w="1959" w:type="dxa"/>
          </w:tcPr>
          <w:p w14:paraId="0817F063" w14:textId="77777777" w:rsidR="00B67D7C" w:rsidRPr="00DE096C" w:rsidRDefault="00B67D7C" w:rsidP="00D45A46">
            <w:pPr>
              <w:jc w:val="both"/>
              <w:rPr>
                <w:bCs/>
                <w:color w:val="002060"/>
                <w:sz w:val="16"/>
                <w:szCs w:val="16"/>
              </w:rPr>
            </w:pPr>
            <w:r w:rsidRPr="00DE096C">
              <w:rPr>
                <w:bCs/>
                <w:color w:val="002060"/>
                <w:sz w:val="16"/>
                <w:szCs w:val="16"/>
              </w:rPr>
              <w:t>Ближняя разведка</w:t>
            </w:r>
          </w:p>
        </w:tc>
        <w:tc>
          <w:tcPr>
            <w:tcW w:w="1714" w:type="dxa"/>
          </w:tcPr>
          <w:p w14:paraId="196DC4AF" w14:textId="77777777" w:rsidR="00B67D7C" w:rsidRPr="00DE096C" w:rsidRDefault="00B67D7C" w:rsidP="00D45A46">
            <w:pPr>
              <w:jc w:val="both"/>
              <w:rPr>
                <w:bCs/>
                <w:color w:val="002060"/>
                <w:sz w:val="16"/>
                <w:szCs w:val="16"/>
              </w:rPr>
            </w:pPr>
            <w:r w:rsidRPr="00DE096C">
              <w:rPr>
                <w:bCs/>
                <w:color w:val="002060"/>
                <w:sz w:val="16"/>
                <w:szCs w:val="16"/>
              </w:rPr>
              <w:t>Боевой самолет</w:t>
            </w:r>
          </w:p>
        </w:tc>
      </w:tr>
      <w:tr w:rsidR="00B67D7C" w:rsidRPr="00DE096C" w14:paraId="2CA05F3B" w14:textId="77777777" w:rsidTr="00C2024A">
        <w:tc>
          <w:tcPr>
            <w:tcW w:w="3725" w:type="dxa"/>
          </w:tcPr>
          <w:p w14:paraId="7C749F31" w14:textId="77777777" w:rsidR="00B67D7C" w:rsidRPr="00DE096C" w:rsidRDefault="00B67D7C" w:rsidP="00D45A46">
            <w:pPr>
              <w:jc w:val="both"/>
              <w:rPr>
                <w:bCs/>
                <w:color w:val="002060"/>
                <w:sz w:val="16"/>
                <w:szCs w:val="16"/>
              </w:rPr>
            </w:pPr>
            <w:r w:rsidRPr="00DE096C">
              <w:rPr>
                <w:bCs/>
                <w:color w:val="002060"/>
                <w:sz w:val="16"/>
                <w:szCs w:val="16"/>
              </w:rPr>
              <w:t>Скорость полета, км/ч</w:t>
            </w:r>
          </w:p>
        </w:tc>
        <w:tc>
          <w:tcPr>
            <w:tcW w:w="1959" w:type="dxa"/>
          </w:tcPr>
          <w:p w14:paraId="210C2139" w14:textId="77777777" w:rsidR="00B67D7C" w:rsidRPr="00DE096C" w:rsidRDefault="00B67D7C" w:rsidP="00D45A46">
            <w:pPr>
              <w:jc w:val="both"/>
              <w:rPr>
                <w:bCs/>
                <w:color w:val="002060"/>
                <w:sz w:val="16"/>
                <w:szCs w:val="16"/>
              </w:rPr>
            </w:pPr>
            <w:r w:rsidRPr="00DE096C">
              <w:rPr>
                <w:bCs/>
                <w:color w:val="002060"/>
                <w:sz w:val="16"/>
                <w:szCs w:val="16"/>
              </w:rPr>
              <w:t>100</w:t>
            </w:r>
          </w:p>
        </w:tc>
        <w:tc>
          <w:tcPr>
            <w:tcW w:w="1959" w:type="dxa"/>
          </w:tcPr>
          <w:p w14:paraId="69635C73" w14:textId="77777777" w:rsidR="00B67D7C" w:rsidRPr="00DE096C" w:rsidRDefault="00B67D7C" w:rsidP="00D45A46">
            <w:pPr>
              <w:jc w:val="both"/>
              <w:rPr>
                <w:bCs/>
                <w:color w:val="002060"/>
                <w:sz w:val="16"/>
                <w:szCs w:val="16"/>
              </w:rPr>
            </w:pPr>
            <w:r w:rsidRPr="00DE096C">
              <w:rPr>
                <w:bCs/>
                <w:color w:val="002060"/>
                <w:sz w:val="16"/>
                <w:szCs w:val="16"/>
              </w:rPr>
              <w:t>100</w:t>
            </w:r>
          </w:p>
        </w:tc>
        <w:tc>
          <w:tcPr>
            <w:tcW w:w="1714" w:type="dxa"/>
          </w:tcPr>
          <w:p w14:paraId="23DE9254" w14:textId="77777777" w:rsidR="00B67D7C" w:rsidRPr="00DE096C" w:rsidRDefault="00B67D7C" w:rsidP="00D45A46">
            <w:pPr>
              <w:jc w:val="both"/>
              <w:rPr>
                <w:bCs/>
                <w:color w:val="002060"/>
                <w:sz w:val="16"/>
                <w:szCs w:val="16"/>
              </w:rPr>
            </w:pPr>
            <w:r w:rsidRPr="00DE096C">
              <w:rPr>
                <w:bCs/>
                <w:color w:val="002060"/>
                <w:sz w:val="16"/>
                <w:szCs w:val="16"/>
              </w:rPr>
              <w:t>60</w:t>
            </w:r>
          </w:p>
        </w:tc>
      </w:tr>
      <w:tr w:rsidR="00B67D7C" w:rsidRPr="00DE096C" w14:paraId="6C0D32DC" w14:textId="77777777" w:rsidTr="00C2024A">
        <w:tc>
          <w:tcPr>
            <w:tcW w:w="3725" w:type="dxa"/>
          </w:tcPr>
          <w:p w14:paraId="1F72358C" w14:textId="77777777" w:rsidR="00B67D7C" w:rsidRPr="00DE096C" w:rsidRDefault="00B67D7C" w:rsidP="00D45A46">
            <w:pPr>
              <w:jc w:val="both"/>
              <w:rPr>
                <w:bCs/>
                <w:color w:val="002060"/>
                <w:sz w:val="16"/>
                <w:szCs w:val="16"/>
              </w:rPr>
            </w:pPr>
            <w:r w:rsidRPr="00DE096C">
              <w:rPr>
                <w:bCs/>
                <w:color w:val="002060"/>
                <w:sz w:val="16"/>
                <w:szCs w:val="16"/>
              </w:rPr>
              <w:t>Дальность полета, км</w:t>
            </w:r>
          </w:p>
        </w:tc>
        <w:tc>
          <w:tcPr>
            <w:tcW w:w="1959" w:type="dxa"/>
          </w:tcPr>
          <w:p w14:paraId="7B7D10E6" w14:textId="77777777" w:rsidR="00B67D7C" w:rsidRPr="00DE096C" w:rsidRDefault="00B67D7C" w:rsidP="00D45A46">
            <w:pPr>
              <w:jc w:val="both"/>
              <w:rPr>
                <w:bCs/>
                <w:color w:val="002060"/>
                <w:sz w:val="16"/>
                <w:szCs w:val="16"/>
              </w:rPr>
            </w:pPr>
            <w:r w:rsidRPr="00DE096C">
              <w:rPr>
                <w:bCs/>
                <w:color w:val="002060"/>
                <w:sz w:val="16"/>
                <w:szCs w:val="16"/>
              </w:rPr>
              <w:t>1000</w:t>
            </w:r>
          </w:p>
        </w:tc>
        <w:tc>
          <w:tcPr>
            <w:tcW w:w="1959" w:type="dxa"/>
          </w:tcPr>
          <w:p w14:paraId="07FE4DFB" w14:textId="77777777" w:rsidR="00B67D7C" w:rsidRPr="00DE096C" w:rsidRDefault="00B67D7C" w:rsidP="00D45A46">
            <w:pPr>
              <w:jc w:val="both"/>
              <w:rPr>
                <w:bCs/>
                <w:color w:val="002060"/>
                <w:sz w:val="16"/>
                <w:szCs w:val="16"/>
              </w:rPr>
            </w:pPr>
            <w:r w:rsidRPr="00DE096C">
              <w:rPr>
                <w:bCs/>
                <w:color w:val="002060"/>
                <w:sz w:val="16"/>
                <w:szCs w:val="16"/>
              </w:rPr>
              <w:t>400</w:t>
            </w:r>
          </w:p>
        </w:tc>
        <w:tc>
          <w:tcPr>
            <w:tcW w:w="1714" w:type="dxa"/>
          </w:tcPr>
          <w:p w14:paraId="42024490" w14:textId="77777777" w:rsidR="00B67D7C" w:rsidRPr="00DE096C" w:rsidRDefault="00B67D7C" w:rsidP="00D45A46">
            <w:pPr>
              <w:jc w:val="both"/>
              <w:rPr>
                <w:bCs/>
                <w:color w:val="002060"/>
                <w:sz w:val="16"/>
                <w:szCs w:val="16"/>
              </w:rPr>
            </w:pPr>
            <w:r w:rsidRPr="00DE096C">
              <w:rPr>
                <w:bCs/>
                <w:color w:val="002060"/>
                <w:sz w:val="16"/>
                <w:szCs w:val="16"/>
              </w:rPr>
              <w:t>250</w:t>
            </w:r>
          </w:p>
        </w:tc>
      </w:tr>
      <w:tr w:rsidR="00B67D7C" w:rsidRPr="00DE096C" w14:paraId="3C7BCF73" w14:textId="77777777" w:rsidTr="00C2024A">
        <w:tc>
          <w:tcPr>
            <w:tcW w:w="3725" w:type="dxa"/>
          </w:tcPr>
          <w:p w14:paraId="51650700" w14:textId="77777777" w:rsidR="00B67D7C" w:rsidRPr="00DE096C" w:rsidRDefault="00B67D7C" w:rsidP="00D45A46">
            <w:pPr>
              <w:jc w:val="both"/>
              <w:rPr>
                <w:bCs/>
                <w:color w:val="002060"/>
                <w:sz w:val="16"/>
                <w:szCs w:val="16"/>
              </w:rPr>
            </w:pPr>
            <w:r w:rsidRPr="00DE096C">
              <w:rPr>
                <w:bCs/>
                <w:color w:val="002060"/>
                <w:sz w:val="16"/>
                <w:szCs w:val="16"/>
              </w:rPr>
              <w:t>Полезная нагрузка, кг</w:t>
            </w:r>
          </w:p>
        </w:tc>
        <w:tc>
          <w:tcPr>
            <w:tcW w:w="1959" w:type="dxa"/>
          </w:tcPr>
          <w:p w14:paraId="2BCA6630" w14:textId="77777777" w:rsidR="00B67D7C" w:rsidRPr="00DE096C" w:rsidRDefault="00B67D7C" w:rsidP="00D45A46">
            <w:pPr>
              <w:jc w:val="both"/>
              <w:rPr>
                <w:bCs/>
                <w:color w:val="002060"/>
                <w:sz w:val="16"/>
                <w:szCs w:val="16"/>
              </w:rPr>
            </w:pPr>
            <w:r w:rsidRPr="00DE096C">
              <w:rPr>
                <w:bCs/>
                <w:color w:val="002060"/>
                <w:sz w:val="16"/>
                <w:szCs w:val="16"/>
              </w:rPr>
              <w:t>150</w:t>
            </w:r>
          </w:p>
        </w:tc>
        <w:tc>
          <w:tcPr>
            <w:tcW w:w="1959" w:type="dxa"/>
          </w:tcPr>
          <w:p w14:paraId="0EBF1B74" w14:textId="77777777" w:rsidR="00B67D7C" w:rsidRPr="00DE096C" w:rsidRDefault="00B67D7C" w:rsidP="00D45A46">
            <w:pPr>
              <w:jc w:val="both"/>
              <w:rPr>
                <w:bCs/>
                <w:color w:val="002060"/>
                <w:sz w:val="16"/>
                <w:szCs w:val="16"/>
              </w:rPr>
            </w:pPr>
            <w:r w:rsidRPr="00DE096C">
              <w:rPr>
                <w:bCs/>
                <w:color w:val="002060"/>
                <w:sz w:val="16"/>
                <w:szCs w:val="16"/>
              </w:rPr>
              <w:t>175</w:t>
            </w:r>
          </w:p>
        </w:tc>
        <w:tc>
          <w:tcPr>
            <w:tcW w:w="1714" w:type="dxa"/>
          </w:tcPr>
          <w:p w14:paraId="548CE6B7" w14:textId="77777777" w:rsidR="00B67D7C" w:rsidRPr="00DE096C" w:rsidRDefault="00B67D7C" w:rsidP="00D45A46">
            <w:pPr>
              <w:jc w:val="both"/>
              <w:rPr>
                <w:bCs/>
                <w:color w:val="002060"/>
                <w:sz w:val="16"/>
                <w:szCs w:val="16"/>
              </w:rPr>
            </w:pPr>
            <w:r w:rsidRPr="00DE096C">
              <w:rPr>
                <w:bCs/>
                <w:color w:val="002060"/>
                <w:sz w:val="16"/>
                <w:szCs w:val="16"/>
              </w:rPr>
              <w:t>225</w:t>
            </w:r>
          </w:p>
        </w:tc>
      </w:tr>
      <w:tr w:rsidR="00B67D7C" w:rsidRPr="00DE096C" w14:paraId="0BB0C001" w14:textId="77777777" w:rsidTr="00C2024A">
        <w:tc>
          <w:tcPr>
            <w:tcW w:w="3725" w:type="dxa"/>
          </w:tcPr>
          <w:p w14:paraId="74D247DD" w14:textId="77777777" w:rsidR="00B67D7C" w:rsidRPr="00DE096C" w:rsidRDefault="00B67D7C" w:rsidP="00D45A46">
            <w:pPr>
              <w:jc w:val="both"/>
              <w:rPr>
                <w:bCs/>
                <w:color w:val="002060"/>
                <w:sz w:val="16"/>
                <w:szCs w:val="16"/>
              </w:rPr>
            </w:pPr>
            <w:r w:rsidRPr="00DE096C">
              <w:rPr>
                <w:bCs/>
                <w:color w:val="002060"/>
                <w:sz w:val="16"/>
                <w:szCs w:val="16"/>
              </w:rPr>
              <w:t>Число:</w:t>
            </w:r>
          </w:p>
        </w:tc>
        <w:tc>
          <w:tcPr>
            <w:tcW w:w="1959" w:type="dxa"/>
          </w:tcPr>
          <w:p w14:paraId="421BE85D" w14:textId="77777777" w:rsidR="00B67D7C" w:rsidRPr="00DE096C" w:rsidRDefault="00B67D7C" w:rsidP="00D45A46">
            <w:pPr>
              <w:jc w:val="both"/>
              <w:rPr>
                <w:bCs/>
                <w:color w:val="002060"/>
                <w:sz w:val="16"/>
                <w:szCs w:val="16"/>
              </w:rPr>
            </w:pPr>
          </w:p>
        </w:tc>
        <w:tc>
          <w:tcPr>
            <w:tcW w:w="1959" w:type="dxa"/>
          </w:tcPr>
          <w:p w14:paraId="43AE1406" w14:textId="77777777" w:rsidR="00B67D7C" w:rsidRPr="00DE096C" w:rsidRDefault="00B67D7C" w:rsidP="00D45A46">
            <w:pPr>
              <w:jc w:val="both"/>
              <w:rPr>
                <w:bCs/>
                <w:color w:val="002060"/>
                <w:sz w:val="16"/>
                <w:szCs w:val="16"/>
              </w:rPr>
            </w:pPr>
          </w:p>
        </w:tc>
        <w:tc>
          <w:tcPr>
            <w:tcW w:w="1714" w:type="dxa"/>
          </w:tcPr>
          <w:p w14:paraId="0842F4AA" w14:textId="77777777" w:rsidR="00B67D7C" w:rsidRPr="00DE096C" w:rsidRDefault="00B67D7C" w:rsidP="00D45A46">
            <w:pPr>
              <w:jc w:val="both"/>
              <w:rPr>
                <w:bCs/>
                <w:color w:val="002060"/>
                <w:sz w:val="16"/>
                <w:szCs w:val="16"/>
              </w:rPr>
            </w:pPr>
          </w:p>
        </w:tc>
      </w:tr>
      <w:tr w:rsidR="00B67D7C" w:rsidRPr="00DE096C" w14:paraId="709D9D12" w14:textId="77777777" w:rsidTr="00C2024A">
        <w:tc>
          <w:tcPr>
            <w:tcW w:w="3725" w:type="dxa"/>
          </w:tcPr>
          <w:p w14:paraId="16C29A37" w14:textId="77777777" w:rsidR="00B67D7C" w:rsidRPr="00DE096C" w:rsidRDefault="00B67D7C" w:rsidP="00D45A46">
            <w:pPr>
              <w:jc w:val="both"/>
              <w:rPr>
                <w:bCs/>
                <w:color w:val="002060"/>
                <w:sz w:val="16"/>
                <w:szCs w:val="16"/>
              </w:rPr>
            </w:pPr>
            <w:r w:rsidRPr="00DE096C">
              <w:rPr>
                <w:bCs/>
                <w:color w:val="002060"/>
                <w:sz w:val="16"/>
                <w:szCs w:val="16"/>
              </w:rPr>
              <w:t>двигателей</w:t>
            </w:r>
          </w:p>
        </w:tc>
        <w:tc>
          <w:tcPr>
            <w:tcW w:w="1959" w:type="dxa"/>
          </w:tcPr>
          <w:p w14:paraId="42A2FE21" w14:textId="77777777" w:rsidR="00B67D7C" w:rsidRPr="00DE096C" w:rsidRDefault="00B67D7C" w:rsidP="00D45A46">
            <w:pPr>
              <w:jc w:val="both"/>
              <w:rPr>
                <w:bCs/>
                <w:color w:val="002060"/>
                <w:sz w:val="16"/>
                <w:szCs w:val="16"/>
              </w:rPr>
            </w:pPr>
            <w:r w:rsidRPr="00DE096C">
              <w:rPr>
                <w:bCs/>
                <w:color w:val="002060"/>
                <w:sz w:val="16"/>
                <w:szCs w:val="16"/>
              </w:rPr>
              <w:t>2</w:t>
            </w:r>
          </w:p>
        </w:tc>
        <w:tc>
          <w:tcPr>
            <w:tcW w:w="1959" w:type="dxa"/>
          </w:tcPr>
          <w:p w14:paraId="01FC2324" w14:textId="77777777" w:rsidR="00B67D7C" w:rsidRPr="00DE096C" w:rsidRDefault="00B67D7C" w:rsidP="00D45A46">
            <w:pPr>
              <w:jc w:val="both"/>
              <w:rPr>
                <w:bCs/>
                <w:color w:val="002060"/>
                <w:sz w:val="16"/>
                <w:szCs w:val="16"/>
              </w:rPr>
            </w:pPr>
            <w:r w:rsidRPr="00DE096C">
              <w:rPr>
                <w:bCs/>
                <w:color w:val="002060"/>
                <w:sz w:val="16"/>
                <w:szCs w:val="16"/>
              </w:rPr>
              <w:t>1</w:t>
            </w:r>
          </w:p>
        </w:tc>
        <w:tc>
          <w:tcPr>
            <w:tcW w:w="1714" w:type="dxa"/>
          </w:tcPr>
          <w:p w14:paraId="40DCC5D0" w14:textId="77777777" w:rsidR="00B67D7C" w:rsidRPr="00DE096C" w:rsidRDefault="00B67D7C" w:rsidP="00D45A46">
            <w:pPr>
              <w:jc w:val="both"/>
              <w:rPr>
                <w:bCs/>
                <w:color w:val="002060"/>
                <w:sz w:val="16"/>
                <w:szCs w:val="16"/>
              </w:rPr>
            </w:pPr>
            <w:r w:rsidRPr="00DE096C">
              <w:rPr>
                <w:bCs/>
                <w:color w:val="002060"/>
                <w:sz w:val="16"/>
                <w:szCs w:val="16"/>
              </w:rPr>
              <w:t>1</w:t>
            </w:r>
          </w:p>
        </w:tc>
      </w:tr>
      <w:tr w:rsidR="00B67D7C" w:rsidRPr="00DE096C" w14:paraId="5FBDFFB8" w14:textId="77777777" w:rsidTr="00C2024A">
        <w:tc>
          <w:tcPr>
            <w:tcW w:w="3725" w:type="dxa"/>
          </w:tcPr>
          <w:p w14:paraId="699FAA95" w14:textId="77777777" w:rsidR="00B67D7C" w:rsidRPr="00DE096C" w:rsidRDefault="00B67D7C" w:rsidP="00D45A46">
            <w:pPr>
              <w:jc w:val="both"/>
              <w:rPr>
                <w:bCs/>
                <w:color w:val="002060"/>
                <w:sz w:val="16"/>
                <w:szCs w:val="16"/>
              </w:rPr>
            </w:pPr>
            <w:r w:rsidRPr="00DE096C">
              <w:rPr>
                <w:bCs/>
                <w:color w:val="002060"/>
                <w:sz w:val="16"/>
                <w:szCs w:val="16"/>
              </w:rPr>
              <w:t>летчиков</w:t>
            </w:r>
          </w:p>
        </w:tc>
        <w:tc>
          <w:tcPr>
            <w:tcW w:w="1959" w:type="dxa"/>
          </w:tcPr>
          <w:p w14:paraId="2D5FF776" w14:textId="77777777" w:rsidR="00B67D7C" w:rsidRPr="00DE096C" w:rsidRDefault="00B67D7C" w:rsidP="00D45A46">
            <w:pPr>
              <w:jc w:val="both"/>
              <w:rPr>
                <w:bCs/>
                <w:color w:val="002060"/>
                <w:sz w:val="16"/>
                <w:szCs w:val="16"/>
              </w:rPr>
            </w:pPr>
            <w:r w:rsidRPr="00DE096C">
              <w:rPr>
                <w:bCs/>
                <w:color w:val="002060"/>
                <w:sz w:val="16"/>
                <w:szCs w:val="16"/>
              </w:rPr>
              <w:t>2</w:t>
            </w:r>
          </w:p>
        </w:tc>
        <w:tc>
          <w:tcPr>
            <w:tcW w:w="1959" w:type="dxa"/>
          </w:tcPr>
          <w:p w14:paraId="55A541D5" w14:textId="77777777" w:rsidR="00B67D7C" w:rsidRPr="00DE096C" w:rsidRDefault="00B67D7C" w:rsidP="00D45A46">
            <w:pPr>
              <w:jc w:val="both"/>
              <w:rPr>
                <w:bCs/>
                <w:color w:val="002060"/>
                <w:sz w:val="16"/>
                <w:szCs w:val="16"/>
              </w:rPr>
            </w:pPr>
            <w:r w:rsidRPr="00DE096C">
              <w:rPr>
                <w:bCs/>
                <w:color w:val="002060"/>
                <w:sz w:val="16"/>
                <w:szCs w:val="16"/>
              </w:rPr>
              <w:t>1</w:t>
            </w:r>
          </w:p>
        </w:tc>
        <w:tc>
          <w:tcPr>
            <w:tcW w:w="1714" w:type="dxa"/>
          </w:tcPr>
          <w:p w14:paraId="3FDB6BA9" w14:textId="77777777" w:rsidR="00B67D7C" w:rsidRPr="00DE096C" w:rsidRDefault="00B67D7C" w:rsidP="00D45A46">
            <w:pPr>
              <w:jc w:val="both"/>
              <w:rPr>
                <w:bCs/>
                <w:color w:val="002060"/>
                <w:sz w:val="16"/>
                <w:szCs w:val="16"/>
              </w:rPr>
            </w:pPr>
            <w:r w:rsidRPr="00DE096C">
              <w:rPr>
                <w:bCs/>
                <w:color w:val="002060"/>
                <w:sz w:val="16"/>
                <w:szCs w:val="16"/>
              </w:rPr>
              <w:t>1</w:t>
            </w:r>
          </w:p>
        </w:tc>
      </w:tr>
      <w:tr w:rsidR="00B67D7C" w:rsidRPr="00DE096C" w14:paraId="635BB32D" w14:textId="77777777" w:rsidTr="00C2024A">
        <w:tc>
          <w:tcPr>
            <w:tcW w:w="3725" w:type="dxa"/>
          </w:tcPr>
          <w:p w14:paraId="17082112" w14:textId="77777777" w:rsidR="00B67D7C" w:rsidRPr="00DE096C" w:rsidRDefault="00B67D7C" w:rsidP="00D45A46">
            <w:pPr>
              <w:jc w:val="both"/>
              <w:rPr>
                <w:bCs/>
                <w:color w:val="002060"/>
                <w:sz w:val="16"/>
                <w:szCs w:val="16"/>
              </w:rPr>
            </w:pPr>
            <w:r w:rsidRPr="00DE096C">
              <w:rPr>
                <w:bCs/>
                <w:color w:val="002060"/>
                <w:sz w:val="16"/>
                <w:szCs w:val="16"/>
              </w:rPr>
              <w:t>наблюдателей</w:t>
            </w:r>
          </w:p>
        </w:tc>
        <w:tc>
          <w:tcPr>
            <w:tcW w:w="1959" w:type="dxa"/>
          </w:tcPr>
          <w:p w14:paraId="2DE9603E" w14:textId="77777777" w:rsidR="00B67D7C" w:rsidRPr="00DE096C" w:rsidRDefault="00B67D7C" w:rsidP="00D45A46">
            <w:pPr>
              <w:jc w:val="both"/>
              <w:rPr>
                <w:bCs/>
                <w:color w:val="002060"/>
                <w:sz w:val="16"/>
                <w:szCs w:val="16"/>
              </w:rPr>
            </w:pPr>
            <w:r w:rsidRPr="00DE096C">
              <w:rPr>
                <w:bCs/>
                <w:color w:val="002060"/>
                <w:sz w:val="16"/>
                <w:szCs w:val="16"/>
              </w:rPr>
              <w:t>2</w:t>
            </w:r>
          </w:p>
        </w:tc>
        <w:tc>
          <w:tcPr>
            <w:tcW w:w="1959" w:type="dxa"/>
          </w:tcPr>
          <w:p w14:paraId="6D1E06E8" w14:textId="77777777" w:rsidR="00B67D7C" w:rsidRPr="00DE096C" w:rsidRDefault="00B67D7C" w:rsidP="00D45A46">
            <w:pPr>
              <w:jc w:val="both"/>
              <w:rPr>
                <w:bCs/>
                <w:color w:val="002060"/>
                <w:sz w:val="16"/>
                <w:szCs w:val="16"/>
              </w:rPr>
            </w:pPr>
            <w:r w:rsidRPr="00DE096C">
              <w:rPr>
                <w:bCs/>
                <w:color w:val="002060"/>
                <w:sz w:val="16"/>
                <w:szCs w:val="16"/>
              </w:rPr>
              <w:t>1</w:t>
            </w:r>
          </w:p>
        </w:tc>
        <w:tc>
          <w:tcPr>
            <w:tcW w:w="1714" w:type="dxa"/>
          </w:tcPr>
          <w:p w14:paraId="33FBF110" w14:textId="77777777" w:rsidR="00B67D7C" w:rsidRPr="00DE096C" w:rsidRDefault="00B67D7C" w:rsidP="00D45A46">
            <w:pPr>
              <w:jc w:val="both"/>
              <w:rPr>
                <w:bCs/>
                <w:color w:val="002060"/>
                <w:sz w:val="16"/>
                <w:szCs w:val="16"/>
              </w:rPr>
            </w:pPr>
            <w:r w:rsidRPr="00DE096C">
              <w:rPr>
                <w:bCs/>
                <w:color w:val="002060"/>
                <w:sz w:val="16"/>
                <w:szCs w:val="16"/>
              </w:rPr>
              <w:t>1</w:t>
            </w:r>
          </w:p>
        </w:tc>
      </w:tr>
      <w:tr w:rsidR="00B67D7C" w:rsidRPr="00DE096C" w14:paraId="1C54336C" w14:textId="77777777" w:rsidTr="00C2024A">
        <w:tc>
          <w:tcPr>
            <w:tcW w:w="3725" w:type="dxa"/>
          </w:tcPr>
          <w:p w14:paraId="4FF5A04F" w14:textId="77777777" w:rsidR="00B67D7C" w:rsidRPr="00DE096C" w:rsidRDefault="00B67D7C" w:rsidP="00D45A46">
            <w:pPr>
              <w:jc w:val="both"/>
              <w:rPr>
                <w:bCs/>
                <w:color w:val="002060"/>
                <w:sz w:val="16"/>
                <w:szCs w:val="16"/>
              </w:rPr>
            </w:pPr>
            <w:r w:rsidRPr="00DE096C">
              <w:rPr>
                <w:bCs/>
                <w:color w:val="002060"/>
                <w:sz w:val="16"/>
                <w:szCs w:val="16"/>
              </w:rPr>
              <w:t>Вооружение</w:t>
            </w:r>
          </w:p>
        </w:tc>
        <w:tc>
          <w:tcPr>
            <w:tcW w:w="1959" w:type="dxa"/>
          </w:tcPr>
          <w:p w14:paraId="1D13E42C" w14:textId="77777777" w:rsidR="00B67D7C" w:rsidRPr="00DE096C" w:rsidRDefault="00B67D7C" w:rsidP="00D45A46">
            <w:pPr>
              <w:jc w:val="both"/>
              <w:rPr>
                <w:bCs/>
                <w:color w:val="002060"/>
                <w:sz w:val="16"/>
                <w:szCs w:val="16"/>
              </w:rPr>
            </w:pPr>
            <w:r w:rsidRPr="00DE096C">
              <w:rPr>
                <w:bCs/>
                <w:color w:val="002060"/>
                <w:sz w:val="16"/>
                <w:szCs w:val="16"/>
              </w:rPr>
              <w:t>Пулемет</w:t>
            </w:r>
          </w:p>
        </w:tc>
        <w:tc>
          <w:tcPr>
            <w:tcW w:w="1959" w:type="dxa"/>
          </w:tcPr>
          <w:p w14:paraId="1F252DEC" w14:textId="77777777" w:rsidR="00B67D7C" w:rsidRPr="00DE096C" w:rsidRDefault="00B67D7C" w:rsidP="00D45A46">
            <w:pPr>
              <w:jc w:val="both"/>
              <w:rPr>
                <w:bCs/>
                <w:color w:val="002060"/>
                <w:sz w:val="16"/>
                <w:szCs w:val="16"/>
              </w:rPr>
            </w:pPr>
            <w:r w:rsidRPr="00DE096C">
              <w:rPr>
                <w:bCs/>
                <w:color w:val="002060"/>
                <w:sz w:val="16"/>
                <w:szCs w:val="16"/>
              </w:rPr>
              <w:t>Пулемет</w:t>
            </w:r>
          </w:p>
        </w:tc>
        <w:tc>
          <w:tcPr>
            <w:tcW w:w="1714" w:type="dxa"/>
          </w:tcPr>
          <w:p w14:paraId="705F8A94" w14:textId="77777777" w:rsidR="00B67D7C" w:rsidRPr="00DE096C" w:rsidRDefault="00B67D7C" w:rsidP="00D45A46">
            <w:pPr>
              <w:jc w:val="both"/>
              <w:rPr>
                <w:bCs/>
                <w:color w:val="002060"/>
                <w:sz w:val="16"/>
                <w:szCs w:val="16"/>
              </w:rPr>
            </w:pPr>
            <w:r w:rsidRPr="00DE096C">
              <w:rPr>
                <w:bCs/>
                <w:color w:val="002060"/>
                <w:sz w:val="16"/>
                <w:szCs w:val="16"/>
              </w:rPr>
              <w:t>Пулемет</w:t>
            </w:r>
          </w:p>
        </w:tc>
      </w:tr>
    </w:tbl>
    <w:p w14:paraId="65458030" w14:textId="77777777" w:rsidR="00B67D7C" w:rsidRPr="00DE096C" w:rsidRDefault="00B67D7C" w:rsidP="00D45A46">
      <w:pPr>
        <w:jc w:val="both"/>
        <w:rPr>
          <w:bCs/>
          <w:color w:val="002060"/>
          <w:sz w:val="16"/>
          <w:szCs w:val="16"/>
        </w:rPr>
      </w:pPr>
      <w:r w:rsidRPr="00DE096C">
        <w:rPr>
          <w:bCs/>
          <w:color w:val="002060"/>
          <w:sz w:val="16"/>
          <w:szCs w:val="16"/>
        </w:rPr>
        <w:t xml:space="preserve">Это заседание авиационного комитета характерно тем, что летчики сами, исходя из местных условий и состояния техники, выработали требования, которым должны были отвечать их летательные аппараты. Правда, ставя во главу угла разведку, балтийцы явно ошибались, и это им стало очевидным довольно скоро. </w:t>
      </w:r>
    </w:p>
    <w:p w14:paraId="365395F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На вооружении русской армии в основном состояли самолеты «Ньюпор-1У» и «Фарман-ХУ1» с двигателем «Гном» мощностью 70— 80 л. с. Кроме этих основных самолетов, насчитывалось несколько «Мо-ран-Парасоль» тоже с двигателями «Гном» мощностью 70—80 л. с. (11042,241).</w:t>
      </w:r>
    </w:p>
    <w:p w14:paraId="3FAE01F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Еще до принятия Положения, а именно в марте 1914 г., коман</w:t>
      </w:r>
      <w:r w:rsidRPr="00DE096C">
        <w:rPr>
          <w:bCs/>
          <w:color w:val="002060"/>
          <w:sz w:val="16"/>
          <w:szCs w:val="16"/>
        </w:rPr>
        <w:softHyphen/>
        <w:t>дующий ЧФ изложил свои соображения относительно размещения станций первого разряда с учетом уже существующей системы берегового базирования. На Черном море это представлялось в следующем виде: первый авиационный отряд базируется в Севасто</w:t>
      </w:r>
      <w:r w:rsidRPr="00DE096C">
        <w:rPr>
          <w:bCs/>
          <w:color w:val="002060"/>
          <w:sz w:val="16"/>
          <w:szCs w:val="16"/>
        </w:rPr>
        <w:softHyphen/>
        <w:t>поле, второй — в районе Днестровского лимана, третий — на мысе Тарханкут, четвертый — в Керчи (для наблюдения за проливом и береговой чертой) и пятый — в Поти (контроль побережья от Бату</w:t>
      </w:r>
      <w:r w:rsidRPr="00DE096C">
        <w:rPr>
          <w:bCs/>
          <w:color w:val="002060"/>
          <w:sz w:val="16"/>
          <w:szCs w:val="16"/>
        </w:rPr>
        <w:softHyphen/>
        <w:t>ми до Очамчиры).</w:t>
      </w:r>
    </w:p>
    <w:p w14:paraId="118E78F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Станции второго разряда предполагалось разместить в Тендре, Сухуми, Батуми, Жебрянах и других пунктах. Однако в полной мере планируемую систему воздушных станций развернуть не удалось.</w:t>
      </w:r>
    </w:p>
    <w:p w14:paraId="21C438FC" w14:textId="77777777" w:rsidR="00B67D7C" w:rsidRPr="00DE096C" w:rsidRDefault="00B67D7C" w:rsidP="00D45A46">
      <w:pPr>
        <w:shd w:val="clear" w:color="auto" w:fill="FFFFFF"/>
        <w:jc w:val="both"/>
        <w:rPr>
          <w:bCs/>
          <w:color w:val="002060"/>
          <w:sz w:val="16"/>
          <w:szCs w:val="16"/>
        </w:rPr>
      </w:pPr>
    </w:p>
    <w:p w14:paraId="705CC5D6" w14:textId="77777777" w:rsidR="00B67D7C" w:rsidRPr="00DE096C" w:rsidRDefault="00B67D7C" w:rsidP="00D45A46">
      <w:pPr>
        <w:jc w:val="both"/>
        <w:rPr>
          <w:bCs/>
          <w:color w:val="002060"/>
          <w:sz w:val="16"/>
          <w:szCs w:val="16"/>
        </w:rPr>
      </w:pPr>
      <w:r w:rsidRPr="00DE096C">
        <w:rPr>
          <w:bCs/>
          <w:color w:val="002060"/>
          <w:sz w:val="16"/>
          <w:szCs w:val="16"/>
        </w:rPr>
        <w:t xml:space="preserve">16 (29) апреля 1914 для выработки технических заданий на гидросамолеты, предназначенные для действий на Балтике, собрался авиационный комитет службы связи Балтийского моря в составе капитана 2 ранга Б. П. Дудорова, летчиков Б. А. Щербачева, В. Е. Зверева, И. И. Кульнева, В. Л. Любицкого, В. А. Литвинова и авиационного инженера П. А. Шишкова. </w:t>
      </w:r>
    </w:p>
    <w:p w14:paraId="321E869F" w14:textId="77777777" w:rsidR="00B67D7C" w:rsidRPr="00DE096C" w:rsidRDefault="00B67D7C" w:rsidP="00D45A46">
      <w:pPr>
        <w:jc w:val="both"/>
        <w:rPr>
          <w:bCs/>
          <w:color w:val="002060"/>
          <w:sz w:val="16"/>
          <w:szCs w:val="16"/>
        </w:rPr>
      </w:pPr>
      <w:r w:rsidRPr="00DE096C">
        <w:rPr>
          <w:bCs/>
          <w:color w:val="002060"/>
          <w:sz w:val="16"/>
          <w:szCs w:val="16"/>
        </w:rPr>
        <w:t xml:space="preserve">Оперативными задачами морской авиации Балтики комитет считал следующие: </w:t>
      </w:r>
    </w:p>
    <w:p w14:paraId="581F608B" w14:textId="77777777" w:rsidR="00B67D7C" w:rsidRPr="00DE096C" w:rsidRDefault="00B67D7C" w:rsidP="00D45A46">
      <w:pPr>
        <w:jc w:val="both"/>
        <w:rPr>
          <w:bCs/>
          <w:color w:val="002060"/>
          <w:sz w:val="16"/>
          <w:szCs w:val="16"/>
        </w:rPr>
      </w:pPr>
      <w:r w:rsidRPr="00DE096C">
        <w:rPr>
          <w:bCs/>
          <w:color w:val="002060"/>
          <w:sz w:val="16"/>
          <w:szCs w:val="16"/>
        </w:rPr>
        <w:t>— разведку неприятельского флота в пунктах его сосредоточения в Киле и Данциге или на маршрутах перехода неприятельских кораблей в Финский залив;</w:t>
      </w:r>
    </w:p>
    <w:p w14:paraId="46C7AC15" w14:textId="77777777" w:rsidR="00B67D7C" w:rsidRPr="00DE096C" w:rsidRDefault="00B67D7C" w:rsidP="00D45A46">
      <w:pPr>
        <w:jc w:val="both"/>
        <w:rPr>
          <w:bCs/>
          <w:color w:val="002060"/>
          <w:sz w:val="16"/>
          <w:szCs w:val="16"/>
        </w:rPr>
      </w:pPr>
      <w:r w:rsidRPr="00DE096C">
        <w:rPr>
          <w:bCs/>
          <w:color w:val="002060"/>
          <w:sz w:val="16"/>
          <w:szCs w:val="16"/>
        </w:rPr>
        <w:t xml:space="preserve">— борьбу с воздушными разведчиками противника, главным образом с дирижаблями. </w:t>
      </w:r>
    </w:p>
    <w:p w14:paraId="75217792" w14:textId="77777777" w:rsidR="00B67D7C" w:rsidRPr="00DE096C" w:rsidRDefault="00B67D7C" w:rsidP="00D45A46">
      <w:pPr>
        <w:jc w:val="both"/>
        <w:rPr>
          <w:bCs/>
          <w:color w:val="002060"/>
          <w:sz w:val="16"/>
          <w:szCs w:val="16"/>
        </w:rPr>
      </w:pPr>
      <w:r w:rsidRPr="00DE096C">
        <w:rPr>
          <w:bCs/>
          <w:color w:val="002060"/>
          <w:sz w:val="16"/>
          <w:szCs w:val="16"/>
        </w:rPr>
        <w:t xml:space="preserve">Наилучший результат для решения первой задачи могло дать наблюдение за входом в Балтийское море или у Борнхольма, или по параллели от Либавы до берегов Швеции. Для этого требовались гидросамолеты с радиусом действия не менее 800 км. При невозможности вести разведку столь далеко комитет допускал ограничить разведку от Либавы до Готланда, для чего были нужны машины с радиусом действия не менее 400 км. Для решения второй задачи комитет считал, что нужны самолеты с радиусом действия не менее 250 км и с пулеметом впереди. </w:t>
      </w:r>
    </w:p>
    <w:p w14:paraId="1FF502FE" w14:textId="77777777" w:rsidR="00B67D7C" w:rsidRPr="00DE096C" w:rsidRDefault="00B67D7C" w:rsidP="00D45A46">
      <w:pPr>
        <w:jc w:val="both"/>
        <w:rPr>
          <w:bCs/>
          <w:color w:val="002060"/>
          <w:sz w:val="16"/>
          <w:szCs w:val="16"/>
        </w:rPr>
      </w:pPr>
      <w:r w:rsidRPr="00DE096C">
        <w:rPr>
          <w:bCs/>
          <w:color w:val="002060"/>
          <w:sz w:val="16"/>
          <w:szCs w:val="16"/>
        </w:rPr>
        <w:t xml:space="preserve">Комитет также считал, что одиночная разведка в море может выполняться только на двухмоторном самолете, а бомбометание по судам противника при современном состоянии техники бомбардировочной авиации — задача второстепенная. </w:t>
      </w:r>
    </w:p>
    <w:p w14:paraId="158093EE" w14:textId="77777777" w:rsidR="00B67D7C" w:rsidRPr="00DE096C" w:rsidRDefault="00B67D7C" w:rsidP="00D45A46">
      <w:pPr>
        <w:jc w:val="both"/>
        <w:rPr>
          <w:bCs/>
          <w:color w:val="002060"/>
          <w:sz w:val="16"/>
          <w:szCs w:val="16"/>
        </w:rPr>
      </w:pPr>
      <w:r w:rsidRPr="00DE096C">
        <w:rPr>
          <w:bCs/>
          <w:color w:val="002060"/>
          <w:sz w:val="16"/>
          <w:szCs w:val="16"/>
        </w:rPr>
        <w:t xml:space="preserve">Комитет разработал тактико-технические данные гидросамолетов для Балтийского театра. Эти данные и явились исходными для условий конкурса. </w:t>
      </w:r>
    </w:p>
    <w:tbl>
      <w:tblPr>
        <w:tblW w:w="0" w:type="auto"/>
        <w:tblInd w:w="4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5" w:type="dxa"/>
          <w:right w:w="45" w:type="dxa"/>
        </w:tblCellMar>
        <w:tblLook w:val="0000" w:firstRow="0" w:lastRow="0" w:firstColumn="0" w:lastColumn="0" w:noHBand="0" w:noVBand="0"/>
      </w:tblPr>
      <w:tblGrid>
        <w:gridCol w:w="3725"/>
        <w:gridCol w:w="1959"/>
        <w:gridCol w:w="1959"/>
        <w:gridCol w:w="1714"/>
      </w:tblGrid>
      <w:tr w:rsidR="00B67D7C" w:rsidRPr="00DE096C" w14:paraId="196A6C5F" w14:textId="77777777" w:rsidTr="00C2024A">
        <w:tc>
          <w:tcPr>
            <w:tcW w:w="3725" w:type="dxa"/>
          </w:tcPr>
          <w:p w14:paraId="00B7DA25" w14:textId="77777777" w:rsidR="00B67D7C" w:rsidRPr="00DE096C" w:rsidRDefault="00B67D7C" w:rsidP="00D45A46">
            <w:pPr>
              <w:jc w:val="both"/>
              <w:rPr>
                <w:bCs/>
                <w:color w:val="002060"/>
                <w:sz w:val="16"/>
                <w:szCs w:val="16"/>
              </w:rPr>
            </w:pPr>
          </w:p>
        </w:tc>
        <w:tc>
          <w:tcPr>
            <w:tcW w:w="5632" w:type="dxa"/>
            <w:gridSpan w:val="3"/>
          </w:tcPr>
          <w:p w14:paraId="28387843" w14:textId="77777777" w:rsidR="00B67D7C" w:rsidRPr="00DE096C" w:rsidRDefault="00B67D7C" w:rsidP="00D45A46">
            <w:pPr>
              <w:jc w:val="both"/>
              <w:rPr>
                <w:bCs/>
                <w:color w:val="002060"/>
                <w:sz w:val="16"/>
                <w:szCs w:val="16"/>
              </w:rPr>
            </w:pPr>
            <w:r w:rsidRPr="00DE096C">
              <w:rPr>
                <w:bCs/>
                <w:color w:val="002060"/>
                <w:sz w:val="16"/>
                <w:szCs w:val="16"/>
              </w:rPr>
              <w:t>Назначение самолета</w:t>
            </w:r>
          </w:p>
        </w:tc>
      </w:tr>
      <w:tr w:rsidR="00B67D7C" w:rsidRPr="00DE096C" w14:paraId="7A8EB182" w14:textId="77777777" w:rsidTr="00C2024A">
        <w:tc>
          <w:tcPr>
            <w:tcW w:w="3725" w:type="dxa"/>
          </w:tcPr>
          <w:p w14:paraId="22CC492D" w14:textId="77777777" w:rsidR="00B67D7C" w:rsidRPr="00DE096C" w:rsidRDefault="00B67D7C" w:rsidP="00D45A46">
            <w:pPr>
              <w:jc w:val="both"/>
              <w:rPr>
                <w:bCs/>
                <w:color w:val="002060"/>
                <w:sz w:val="16"/>
                <w:szCs w:val="16"/>
              </w:rPr>
            </w:pPr>
            <w:r w:rsidRPr="00DE096C">
              <w:rPr>
                <w:bCs/>
                <w:color w:val="002060"/>
                <w:sz w:val="16"/>
                <w:szCs w:val="16"/>
              </w:rPr>
              <w:t>Тактико-технические требования</w:t>
            </w:r>
          </w:p>
        </w:tc>
        <w:tc>
          <w:tcPr>
            <w:tcW w:w="1959" w:type="dxa"/>
          </w:tcPr>
          <w:p w14:paraId="121FF836" w14:textId="77777777" w:rsidR="00B67D7C" w:rsidRPr="00DE096C" w:rsidRDefault="00B67D7C" w:rsidP="00D45A46">
            <w:pPr>
              <w:jc w:val="both"/>
              <w:rPr>
                <w:bCs/>
                <w:color w:val="002060"/>
                <w:sz w:val="16"/>
                <w:szCs w:val="16"/>
              </w:rPr>
            </w:pPr>
            <w:r w:rsidRPr="00DE096C">
              <w:rPr>
                <w:bCs/>
                <w:color w:val="002060"/>
                <w:sz w:val="16"/>
                <w:szCs w:val="16"/>
              </w:rPr>
              <w:t>Дальняя разведка</w:t>
            </w:r>
          </w:p>
        </w:tc>
        <w:tc>
          <w:tcPr>
            <w:tcW w:w="1959" w:type="dxa"/>
          </w:tcPr>
          <w:p w14:paraId="6F81FBEE" w14:textId="77777777" w:rsidR="00B67D7C" w:rsidRPr="00DE096C" w:rsidRDefault="00B67D7C" w:rsidP="00D45A46">
            <w:pPr>
              <w:jc w:val="both"/>
              <w:rPr>
                <w:bCs/>
                <w:color w:val="002060"/>
                <w:sz w:val="16"/>
                <w:szCs w:val="16"/>
              </w:rPr>
            </w:pPr>
            <w:r w:rsidRPr="00DE096C">
              <w:rPr>
                <w:bCs/>
                <w:color w:val="002060"/>
                <w:sz w:val="16"/>
                <w:szCs w:val="16"/>
              </w:rPr>
              <w:t>Ближняя разведка</w:t>
            </w:r>
          </w:p>
        </w:tc>
        <w:tc>
          <w:tcPr>
            <w:tcW w:w="1714" w:type="dxa"/>
          </w:tcPr>
          <w:p w14:paraId="68AAC684" w14:textId="77777777" w:rsidR="00B67D7C" w:rsidRPr="00DE096C" w:rsidRDefault="00B67D7C" w:rsidP="00D45A46">
            <w:pPr>
              <w:jc w:val="both"/>
              <w:rPr>
                <w:bCs/>
                <w:color w:val="002060"/>
                <w:sz w:val="16"/>
                <w:szCs w:val="16"/>
              </w:rPr>
            </w:pPr>
            <w:r w:rsidRPr="00DE096C">
              <w:rPr>
                <w:bCs/>
                <w:color w:val="002060"/>
                <w:sz w:val="16"/>
                <w:szCs w:val="16"/>
              </w:rPr>
              <w:t>Боевой самолет</w:t>
            </w:r>
          </w:p>
        </w:tc>
      </w:tr>
      <w:tr w:rsidR="00B67D7C" w:rsidRPr="00DE096C" w14:paraId="0FABC3EA" w14:textId="77777777" w:rsidTr="00C2024A">
        <w:tc>
          <w:tcPr>
            <w:tcW w:w="3725" w:type="dxa"/>
          </w:tcPr>
          <w:p w14:paraId="4F3CB638" w14:textId="77777777" w:rsidR="00B67D7C" w:rsidRPr="00DE096C" w:rsidRDefault="00B67D7C" w:rsidP="00D45A46">
            <w:pPr>
              <w:jc w:val="both"/>
              <w:rPr>
                <w:bCs/>
                <w:color w:val="002060"/>
                <w:sz w:val="16"/>
                <w:szCs w:val="16"/>
              </w:rPr>
            </w:pPr>
            <w:r w:rsidRPr="00DE096C">
              <w:rPr>
                <w:bCs/>
                <w:color w:val="002060"/>
                <w:sz w:val="16"/>
                <w:szCs w:val="16"/>
              </w:rPr>
              <w:t>Скорость полета, км/ч</w:t>
            </w:r>
          </w:p>
        </w:tc>
        <w:tc>
          <w:tcPr>
            <w:tcW w:w="1959" w:type="dxa"/>
          </w:tcPr>
          <w:p w14:paraId="6727750F" w14:textId="77777777" w:rsidR="00B67D7C" w:rsidRPr="00DE096C" w:rsidRDefault="00B67D7C" w:rsidP="00D45A46">
            <w:pPr>
              <w:jc w:val="both"/>
              <w:rPr>
                <w:bCs/>
                <w:color w:val="002060"/>
                <w:sz w:val="16"/>
                <w:szCs w:val="16"/>
              </w:rPr>
            </w:pPr>
            <w:r w:rsidRPr="00DE096C">
              <w:rPr>
                <w:bCs/>
                <w:color w:val="002060"/>
                <w:sz w:val="16"/>
                <w:szCs w:val="16"/>
              </w:rPr>
              <w:t>100</w:t>
            </w:r>
          </w:p>
        </w:tc>
        <w:tc>
          <w:tcPr>
            <w:tcW w:w="1959" w:type="dxa"/>
          </w:tcPr>
          <w:p w14:paraId="6FC29DCF" w14:textId="77777777" w:rsidR="00B67D7C" w:rsidRPr="00DE096C" w:rsidRDefault="00B67D7C" w:rsidP="00D45A46">
            <w:pPr>
              <w:jc w:val="both"/>
              <w:rPr>
                <w:bCs/>
                <w:color w:val="002060"/>
                <w:sz w:val="16"/>
                <w:szCs w:val="16"/>
              </w:rPr>
            </w:pPr>
            <w:r w:rsidRPr="00DE096C">
              <w:rPr>
                <w:bCs/>
                <w:color w:val="002060"/>
                <w:sz w:val="16"/>
                <w:szCs w:val="16"/>
              </w:rPr>
              <w:t>100</w:t>
            </w:r>
          </w:p>
        </w:tc>
        <w:tc>
          <w:tcPr>
            <w:tcW w:w="1714" w:type="dxa"/>
          </w:tcPr>
          <w:p w14:paraId="182CF47B" w14:textId="77777777" w:rsidR="00B67D7C" w:rsidRPr="00DE096C" w:rsidRDefault="00B67D7C" w:rsidP="00D45A46">
            <w:pPr>
              <w:jc w:val="both"/>
              <w:rPr>
                <w:bCs/>
                <w:color w:val="002060"/>
                <w:sz w:val="16"/>
                <w:szCs w:val="16"/>
              </w:rPr>
            </w:pPr>
            <w:r w:rsidRPr="00DE096C">
              <w:rPr>
                <w:bCs/>
                <w:color w:val="002060"/>
                <w:sz w:val="16"/>
                <w:szCs w:val="16"/>
              </w:rPr>
              <w:t>60</w:t>
            </w:r>
          </w:p>
        </w:tc>
      </w:tr>
      <w:tr w:rsidR="00B67D7C" w:rsidRPr="00DE096C" w14:paraId="21CAADC5" w14:textId="77777777" w:rsidTr="00C2024A">
        <w:tc>
          <w:tcPr>
            <w:tcW w:w="3725" w:type="dxa"/>
          </w:tcPr>
          <w:p w14:paraId="4B87A872" w14:textId="77777777" w:rsidR="00B67D7C" w:rsidRPr="00DE096C" w:rsidRDefault="00B67D7C" w:rsidP="00D45A46">
            <w:pPr>
              <w:jc w:val="both"/>
              <w:rPr>
                <w:bCs/>
                <w:color w:val="002060"/>
                <w:sz w:val="16"/>
                <w:szCs w:val="16"/>
              </w:rPr>
            </w:pPr>
            <w:r w:rsidRPr="00DE096C">
              <w:rPr>
                <w:bCs/>
                <w:color w:val="002060"/>
                <w:sz w:val="16"/>
                <w:szCs w:val="16"/>
              </w:rPr>
              <w:t>Дальность полета, км</w:t>
            </w:r>
          </w:p>
        </w:tc>
        <w:tc>
          <w:tcPr>
            <w:tcW w:w="1959" w:type="dxa"/>
          </w:tcPr>
          <w:p w14:paraId="2E55FF59" w14:textId="77777777" w:rsidR="00B67D7C" w:rsidRPr="00DE096C" w:rsidRDefault="00B67D7C" w:rsidP="00D45A46">
            <w:pPr>
              <w:jc w:val="both"/>
              <w:rPr>
                <w:bCs/>
                <w:color w:val="002060"/>
                <w:sz w:val="16"/>
                <w:szCs w:val="16"/>
              </w:rPr>
            </w:pPr>
            <w:r w:rsidRPr="00DE096C">
              <w:rPr>
                <w:bCs/>
                <w:color w:val="002060"/>
                <w:sz w:val="16"/>
                <w:szCs w:val="16"/>
              </w:rPr>
              <w:t>1000</w:t>
            </w:r>
          </w:p>
        </w:tc>
        <w:tc>
          <w:tcPr>
            <w:tcW w:w="1959" w:type="dxa"/>
          </w:tcPr>
          <w:p w14:paraId="3431BC52" w14:textId="77777777" w:rsidR="00B67D7C" w:rsidRPr="00DE096C" w:rsidRDefault="00B67D7C" w:rsidP="00D45A46">
            <w:pPr>
              <w:jc w:val="both"/>
              <w:rPr>
                <w:bCs/>
                <w:color w:val="002060"/>
                <w:sz w:val="16"/>
                <w:szCs w:val="16"/>
              </w:rPr>
            </w:pPr>
            <w:r w:rsidRPr="00DE096C">
              <w:rPr>
                <w:bCs/>
                <w:color w:val="002060"/>
                <w:sz w:val="16"/>
                <w:szCs w:val="16"/>
              </w:rPr>
              <w:t>400</w:t>
            </w:r>
          </w:p>
        </w:tc>
        <w:tc>
          <w:tcPr>
            <w:tcW w:w="1714" w:type="dxa"/>
          </w:tcPr>
          <w:p w14:paraId="73125819" w14:textId="77777777" w:rsidR="00B67D7C" w:rsidRPr="00DE096C" w:rsidRDefault="00B67D7C" w:rsidP="00D45A46">
            <w:pPr>
              <w:jc w:val="both"/>
              <w:rPr>
                <w:bCs/>
                <w:color w:val="002060"/>
                <w:sz w:val="16"/>
                <w:szCs w:val="16"/>
              </w:rPr>
            </w:pPr>
            <w:r w:rsidRPr="00DE096C">
              <w:rPr>
                <w:bCs/>
                <w:color w:val="002060"/>
                <w:sz w:val="16"/>
                <w:szCs w:val="16"/>
              </w:rPr>
              <w:t>250</w:t>
            </w:r>
          </w:p>
        </w:tc>
      </w:tr>
      <w:tr w:rsidR="00B67D7C" w:rsidRPr="00DE096C" w14:paraId="1313C220" w14:textId="77777777" w:rsidTr="00C2024A">
        <w:tc>
          <w:tcPr>
            <w:tcW w:w="3725" w:type="dxa"/>
          </w:tcPr>
          <w:p w14:paraId="77792D9D" w14:textId="77777777" w:rsidR="00B67D7C" w:rsidRPr="00DE096C" w:rsidRDefault="00B67D7C" w:rsidP="00D45A46">
            <w:pPr>
              <w:jc w:val="both"/>
              <w:rPr>
                <w:bCs/>
                <w:color w:val="002060"/>
                <w:sz w:val="16"/>
                <w:szCs w:val="16"/>
              </w:rPr>
            </w:pPr>
            <w:r w:rsidRPr="00DE096C">
              <w:rPr>
                <w:bCs/>
                <w:color w:val="002060"/>
                <w:sz w:val="16"/>
                <w:szCs w:val="16"/>
              </w:rPr>
              <w:t>Полезная нагрузка, кг</w:t>
            </w:r>
          </w:p>
        </w:tc>
        <w:tc>
          <w:tcPr>
            <w:tcW w:w="1959" w:type="dxa"/>
          </w:tcPr>
          <w:p w14:paraId="7ED7D213" w14:textId="77777777" w:rsidR="00B67D7C" w:rsidRPr="00DE096C" w:rsidRDefault="00B67D7C" w:rsidP="00D45A46">
            <w:pPr>
              <w:jc w:val="both"/>
              <w:rPr>
                <w:bCs/>
                <w:color w:val="002060"/>
                <w:sz w:val="16"/>
                <w:szCs w:val="16"/>
              </w:rPr>
            </w:pPr>
            <w:r w:rsidRPr="00DE096C">
              <w:rPr>
                <w:bCs/>
                <w:color w:val="002060"/>
                <w:sz w:val="16"/>
                <w:szCs w:val="16"/>
              </w:rPr>
              <w:t>150</w:t>
            </w:r>
          </w:p>
        </w:tc>
        <w:tc>
          <w:tcPr>
            <w:tcW w:w="1959" w:type="dxa"/>
          </w:tcPr>
          <w:p w14:paraId="38A30E6D" w14:textId="77777777" w:rsidR="00B67D7C" w:rsidRPr="00DE096C" w:rsidRDefault="00B67D7C" w:rsidP="00D45A46">
            <w:pPr>
              <w:jc w:val="both"/>
              <w:rPr>
                <w:bCs/>
                <w:color w:val="002060"/>
                <w:sz w:val="16"/>
                <w:szCs w:val="16"/>
              </w:rPr>
            </w:pPr>
            <w:r w:rsidRPr="00DE096C">
              <w:rPr>
                <w:bCs/>
                <w:color w:val="002060"/>
                <w:sz w:val="16"/>
                <w:szCs w:val="16"/>
              </w:rPr>
              <w:t>175</w:t>
            </w:r>
          </w:p>
        </w:tc>
        <w:tc>
          <w:tcPr>
            <w:tcW w:w="1714" w:type="dxa"/>
          </w:tcPr>
          <w:p w14:paraId="626D383F" w14:textId="77777777" w:rsidR="00B67D7C" w:rsidRPr="00DE096C" w:rsidRDefault="00B67D7C" w:rsidP="00D45A46">
            <w:pPr>
              <w:jc w:val="both"/>
              <w:rPr>
                <w:bCs/>
                <w:color w:val="002060"/>
                <w:sz w:val="16"/>
                <w:szCs w:val="16"/>
              </w:rPr>
            </w:pPr>
            <w:r w:rsidRPr="00DE096C">
              <w:rPr>
                <w:bCs/>
                <w:color w:val="002060"/>
                <w:sz w:val="16"/>
                <w:szCs w:val="16"/>
              </w:rPr>
              <w:t>225</w:t>
            </w:r>
          </w:p>
        </w:tc>
      </w:tr>
      <w:tr w:rsidR="00B67D7C" w:rsidRPr="00DE096C" w14:paraId="45D5B500" w14:textId="77777777" w:rsidTr="00C2024A">
        <w:tc>
          <w:tcPr>
            <w:tcW w:w="3725" w:type="dxa"/>
          </w:tcPr>
          <w:p w14:paraId="780AF50D" w14:textId="77777777" w:rsidR="00B67D7C" w:rsidRPr="00DE096C" w:rsidRDefault="00B67D7C" w:rsidP="00D45A46">
            <w:pPr>
              <w:jc w:val="both"/>
              <w:rPr>
                <w:bCs/>
                <w:color w:val="002060"/>
                <w:sz w:val="16"/>
                <w:szCs w:val="16"/>
              </w:rPr>
            </w:pPr>
            <w:r w:rsidRPr="00DE096C">
              <w:rPr>
                <w:bCs/>
                <w:color w:val="002060"/>
                <w:sz w:val="16"/>
                <w:szCs w:val="16"/>
              </w:rPr>
              <w:t>Число:</w:t>
            </w:r>
          </w:p>
        </w:tc>
        <w:tc>
          <w:tcPr>
            <w:tcW w:w="1959" w:type="dxa"/>
          </w:tcPr>
          <w:p w14:paraId="5767F31A" w14:textId="77777777" w:rsidR="00B67D7C" w:rsidRPr="00DE096C" w:rsidRDefault="00B67D7C" w:rsidP="00D45A46">
            <w:pPr>
              <w:jc w:val="both"/>
              <w:rPr>
                <w:bCs/>
                <w:color w:val="002060"/>
                <w:sz w:val="16"/>
                <w:szCs w:val="16"/>
              </w:rPr>
            </w:pPr>
          </w:p>
        </w:tc>
        <w:tc>
          <w:tcPr>
            <w:tcW w:w="1959" w:type="dxa"/>
          </w:tcPr>
          <w:p w14:paraId="49E5FE31" w14:textId="77777777" w:rsidR="00B67D7C" w:rsidRPr="00DE096C" w:rsidRDefault="00B67D7C" w:rsidP="00D45A46">
            <w:pPr>
              <w:jc w:val="both"/>
              <w:rPr>
                <w:bCs/>
                <w:color w:val="002060"/>
                <w:sz w:val="16"/>
                <w:szCs w:val="16"/>
              </w:rPr>
            </w:pPr>
          </w:p>
        </w:tc>
        <w:tc>
          <w:tcPr>
            <w:tcW w:w="1714" w:type="dxa"/>
          </w:tcPr>
          <w:p w14:paraId="17557E29" w14:textId="77777777" w:rsidR="00B67D7C" w:rsidRPr="00DE096C" w:rsidRDefault="00B67D7C" w:rsidP="00D45A46">
            <w:pPr>
              <w:jc w:val="both"/>
              <w:rPr>
                <w:bCs/>
                <w:color w:val="002060"/>
                <w:sz w:val="16"/>
                <w:szCs w:val="16"/>
              </w:rPr>
            </w:pPr>
          </w:p>
        </w:tc>
      </w:tr>
      <w:tr w:rsidR="00B67D7C" w:rsidRPr="00DE096C" w14:paraId="10A80485" w14:textId="77777777" w:rsidTr="00C2024A">
        <w:tc>
          <w:tcPr>
            <w:tcW w:w="3725" w:type="dxa"/>
          </w:tcPr>
          <w:p w14:paraId="328D8D21" w14:textId="77777777" w:rsidR="00B67D7C" w:rsidRPr="00DE096C" w:rsidRDefault="00B67D7C" w:rsidP="00D45A46">
            <w:pPr>
              <w:jc w:val="both"/>
              <w:rPr>
                <w:bCs/>
                <w:color w:val="002060"/>
                <w:sz w:val="16"/>
                <w:szCs w:val="16"/>
              </w:rPr>
            </w:pPr>
            <w:r w:rsidRPr="00DE096C">
              <w:rPr>
                <w:bCs/>
                <w:color w:val="002060"/>
                <w:sz w:val="16"/>
                <w:szCs w:val="16"/>
              </w:rPr>
              <w:t>двигателей</w:t>
            </w:r>
          </w:p>
        </w:tc>
        <w:tc>
          <w:tcPr>
            <w:tcW w:w="1959" w:type="dxa"/>
          </w:tcPr>
          <w:p w14:paraId="7B6BF371" w14:textId="77777777" w:rsidR="00B67D7C" w:rsidRPr="00DE096C" w:rsidRDefault="00B67D7C" w:rsidP="00D45A46">
            <w:pPr>
              <w:jc w:val="both"/>
              <w:rPr>
                <w:bCs/>
                <w:color w:val="002060"/>
                <w:sz w:val="16"/>
                <w:szCs w:val="16"/>
              </w:rPr>
            </w:pPr>
            <w:r w:rsidRPr="00DE096C">
              <w:rPr>
                <w:bCs/>
                <w:color w:val="002060"/>
                <w:sz w:val="16"/>
                <w:szCs w:val="16"/>
              </w:rPr>
              <w:t>2</w:t>
            </w:r>
          </w:p>
        </w:tc>
        <w:tc>
          <w:tcPr>
            <w:tcW w:w="1959" w:type="dxa"/>
          </w:tcPr>
          <w:p w14:paraId="776728B0" w14:textId="77777777" w:rsidR="00B67D7C" w:rsidRPr="00DE096C" w:rsidRDefault="00B67D7C" w:rsidP="00D45A46">
            <w:pPr>
              <w:jc w:val="both"/>
              <w:rPr>
                <w:bCs/>
                <w:color w:val="002060"/>
                <w:sz w:val="16"/>
                <w:szCs w:val="16"/>
              </w:rPr>
            </w:pPr>
            <w:r w:rsidRPr="00DE096C">
              <w:rPr>
                <w:bCs/>
                <w:color w:val="002060"/>
                <w:sz w:val="16"/>
                <w:szCs w:val="16"/>
              </w:rPr>
              <w:t>1</w:t>
            </w:r>
          </w:p>
        </w:tc>
        <w:tc>
          <w:tcPr>
            <w:tcW w:w="1714" w:type="dxa"/>
          </w:tcPr>
          <w:p w14:paraId="4B90E4D8" w14:textId="77777777" w:rsidR="00B67D7C" w:rsidRPr="00DE096C" w:rsidRDefault="00B67D7C" w:rsidP="00D45A46">
            <w:pPr>
              <w:jc w:val="both"/>
              <w:rPr>
                <w:bCs/>
                <w:color w:val="002060"/>
                <w:sz w:val="16"/>
                <w:szCs w:val="16"/>
              </w:rPr>
            </w:pPr>
            <w:r w:rsidRPr="00DE096C">
              <w:rPr>
                <w:bCs/>
                <w:color w:val="002060"/>
                <w:sz w:val="16"/>
                <w:szCs w:val="16"/>
              </w:rPr>
              <w:t>1</w:t>
            </w:r>
          </w:p>
        </w:tc>
      </w:tr>
      <w:tr w:rsidR="00B67D7C" w:rsidRPr="00DE096C" w14:paraId="35202FF3" w14:textId="77777777" w:rsidTr="00C2024A">
        <w:tc>
          <w:tcPr>
            <w:tcW w:w="3725" w:type="dxa"/>
          </w:tcPr>
          <w:p w14:paraId="18C211D3" w14:textId="77777777" w:rsidR="00B67D7C" w:rsidRPr="00DE096C" w:rsidRDefault="00B67D7C" w:rsidP="00D45A46">
            <w:pPr>
              <w:jc w:val="both"/>
              <w:rPr>
                <w:bCs/>
                <w:color w:val="002060"/>
                <w:sz w:val="16"/>
                <w:szCs w:val="16"/>
              </w:rPr>
            </w:pPr>
            <w:r w:rsidRPr="00DE096C">
              <w:rPr>
                <w:bCs/>
                <w:color w:val="002060"/>
                <w:sz w:val="16"/>
                <w:szCs w:val="16"/>
              </w:rPr>
              <w:t>летчиков</w:t>
            </w:r>
          </w:p>
        </w:tc>
        <w:tc>
          <w:tcPr>
            <w:tcW w:w="1959" w:type="dxa"/>
          </w:tcPr>
          <w:p w14:paraId="68328545" w14:textId="77777777" w:rsidR="00B67D7C" w:rsidRPr="00DE096C" w:rsidRDefault="00B67D7C" w:rsidP="00D45A46">
            <w:pPr>
              <w:jc w:val="both"/>
              <w:rPr>
                <w:bCs/>
                <w:color w:val="002060"/>
                <w:sz w:val="16"/>
                <w:szCs w:val="16"/>
              </w:rPr>
            </w:pPr>
            <w:r w:rsidRPr="00DE096C">
              <w:rPr>
                <w:bCs/>
                <w:color w:val="002060"/>
                <w:sz w:val="16"/>
                <w:szCs w:val="16"/>
              </w:rPr>
              <w:t>2</w:t>
            </w:r>
          </w:p>
        </w:tc>
        <w:tc>
          <w:tcPr>
            <w:tcW w:w="1959" w:type="dxa"/>
          </w:tcPr>
          <w:p w14:paraId="752F9C0D" w14:textId="77777777" w:rsidR="00B67D7C" w:rsidRPr="00DE096C" w:rsidRDefault="00B67D7C" w:rsidP="00D45A46">
            <w:pPr>
              <w:jc w:val="both"/>
              <w:rPr>
                <w:bCs/>
                <w:color w:val="002060"/>
                <w:sz w:val="16"/>
                <w:szCs w:val="16"/>
              </w:rPr>
            </w:pPr>
            <w:r w:rsidRPr="00DE096C">
              <w:rPr>
                <w:bCs/>
                <w:color w:val="002060"/>
                <w:sz w:val="16"/>
                <w:szCs w:val="16"/>
              </w:rPr>
              <w:t>1</w:t>
            </w:r>
          </w:p>
        </w:tc>
        <w:tc>
          <w:tcPr>
            <w:tcW w:w="1714" w:type="dxa"/>
          </w:tcPr>
          <w:p w14:paraId="3E82A5D2" w14:textId="77777777" w:rsidR="00B67D7C" w:rsidRPr="00DE096C" w:rsidRDefault="00B67D7C" w:rsidP="00D45A46">
            <w:pPr>
              <w:jc w:val="both"/>
              <w:rPr>
                <w:bCs/>
                <w:color w:val="002060"/>
                <w:sz w:val="16"/>
                <w:szCs w:val="16"/>
              </w:rPr>
            </w:pPr>
            <w:r w:rsidRPr="00DE096C">
              <w:rPr>
                <w:bCs/>
                <w:color w:val="002060"/>
                <w:sz w:val="16"/>
                <w:szCs w:val="16"/>
              </w:rPr>
              <w:t>1</w:t>
            </w:r>
          </w:p>
        </w:tc>
      </w:tr>
      <w:tr w:rsidR="00B67D7C" w:rsidRPr="00DE096C" w14:paraId="58B16E81" w14:textId="77777777" w:rsidTr="00C2024A">
        <w:tc>
          <w:tcPr>
            <w:tcW w:w="3725" w:type="dxa"/>
          </w:tcPr>
          <w:p w14:paraId="2EDC3BC5" w14:textId="77777777" w:rsidR="00B67D7C" w:rsidRPr="00DE096C" w:rsidRDefault="00B67D7C" w:rsidP="00D45A46">
            <w:pPr>
              <w:jc w:val="both"/>
              <w:rPr>
                <w:bCs/>
                <w:color w:val="002060"/>
                <w:sz w:val="16"/>
                <w:szCs w:val="16"/>
              </w:rPr>
            </w:pPr>
            <w:r w:rsidRPr="00DE096C">
              <w:rPr>
                <w:bCs/>
                <w:color w:val="002060"/>
                <w:sz w:val="16"/>
                <w:szCs w:val="16"/>
              </w:rPr>
              <w:t>наблюдателей</w:t>
            </w:r>
          </w:p>
        </w:tc>
        <w:tc>
          <w:tcPr>
            <w:tcW w:w="1959" w:type="dxa"/>
          </w:tcPr>
          <w:p w14:paraId="51EDBAC6" w14:textId="77777777" w:rsidR="00B67D7C" w:rsidRPr="00DE096C" w:rsidRDefault="00B67D7C" w:rsidP="00D45A46">
            <w:pPr>
              <w:jc w:val="both"/>
              <w:rPr>
                <w:bCs/>
                <w:color w:val="002060"/>
                <w:sz w:val="16"/>
                <w:szCs w:val="16"/>
              </w:rPr>
            </w:pPr>
            <w:r w:rsidRPr="00DE096C">
              <w:rPr>
                <w:bCs/>
                <w:color w:val="002060"/>
                <w:sz w:val="16"/>
                <w:szCs w:val="16"/>
              </w:rPr>
              <w:t>2</w:t>
            </w:r>
          </w:p>
        </w:tc>
        <w:tc>
          <w:tcPr>
            <w:tcW w:w="1959" w:type="dxa"/>
          </w:tcPr>
          <w:p w14:paraId="28231F57" w14:textId="77777777" w:rsidR="00B67D7C" w:rsidRPr="00DE096C" w:rsidRDefault="00B67D7C" w:rsidP="00D45A46">
            <w:pPr>
              <w:jc w:val="both"/>
              <w:rPr>
                <w:bCs/>
                <w:color w:val="002060"/>
                <w:sz w:val="16"/>
                <w:szCs w:val="16"/>
              </w:rPr>
            </w:pPr>
            <w:r w:rsidRPr="00DE096C">
              <w:rPr>
                <w:bCs/>
                <w:color w:val="002060"/>
                <w:sz w:val="16"/>
                <w:szCs w:val="16"/>
              </w:rPr>
              <w:t>1</w:t>
            </w:r>
          </w:p>
        </w:tc>
        <w:tc>
          <w:tcPr>
            <w:tcW w:w="1714" w:type="dxa"/>
          </w:tcPr>
          <w:p w14:paraId="6676052D" w14:textId="77777777" w:rsidR="00B67D7C" w:rsidRPr="00DE096C" w:rsidRDefault="00B67D7C" w:rsidP="00D45A46">
            <w:pPr>
              <w:jc w:val="both"/>
              <w:rPr>
                <w:bCs/>
                <w:color w:val="002060"/>
                <w:sz w:val="16"/>
                <w:szCs w:val="16"/>
              </w:rPr>
            </w:pPr>
            <w:r w:rsidRPr="00DE096C">
              <w:rPr>
                <w:bCs/>
                <w:color w:val="002060"/>
                <w:sz w:val="16"/>
                <w:szCs w:val="16"/>
              </w:rPr>
              <w:t>1</w:t>
            </w:r>
          </w:p>
        </w:tc>
      </w:tr>
      <w:tr w:rsidR="00B67D7C" w:rsidRPr="00DE096C" w14:paraId="05D904AD" w14:textId="77777777" w:rsidTr="00C2024A">
        <w:tc>
          <w:tcPr>
            <w:tcW w:w="3725" w:type="dxa"/>
          </w:tcPr>
          <w:p w14:paraId="29E93EEE" w14:textId="77777777" w:rsidR="00B67D7C" w:rsidRPr="00DE096C" w:rsidRDefault="00B67D7C" w:rsidP="00D45A46">
            <w:pPr>
              <w:jc w:val="both"/>
              <w:rPr>
                <w:bCs/>
                <w:color w:val="002060"/>
                <w:sz w:val="16"/>
                <w:szCs w:val="16"/>
              </w:rPr>
            </w:pPr>
            <w:r w:rsidRPr="00DE096C">
              <w:rPr>
                <w:bCs/>
                <w:color w:val="002060"/>
                <w:sz w:val="16"/>
                <w:szCs w:val="16"/>
              </w:rPr>
              <w:t>Вооружение</w:t>
            </w:r>
          </w:p>
        </w:tc>
        <w:tc>
          <w:tcPr>
            <w:tcW w:w="1959" w:type="dxa"/>
          </w:tcPr>
          <w:p w14:paraId="741FF1CC" w14:textId="77777777" w:rsidR="00B67D7C" w:rsidRPr="00DE096C" w:rsidRDefault="00B67D7C" w:rsidP="00D45A46">
            <w:pPr>
              <w:jc w:val="both"/>
              <w:rPr>
                <w:bCs/>
                <w:color w:val="002060"/>
                <w:sz w:val="16"/>
                <w:szCs w:val="16"/>
              </w:rPr>
            </w:pPr>
            <w:r w:rsidRPr="00DE096C">
              <w:rPr>
                <w:bCs/>
                <w:color w:val="002060"/>
                <w:sz w:val="16"/>
                <w:szCs w:val="16"/>
              </w:rPr>
              <w:t>Пулемет</w:t>
            </w:r>
          </w:p>
        </w:tc>
        <w:tc>
          <w:tcPr>
            <w:tcW w:w="1959" w:type="dxa"/>
          </w:tcPr>
          <w:p w14:paraId="088C07F0" w14:textId="77777777" w:rsidR="00B67D7C" w:rsidRPr="00DE096C" w:rsidRDefault="00B67D7C" w:rsidP="00D45A46">
            <w:pPr>
              <w:jc w:val="both"/>
              <w:rPr>
                <w:bCs/>
                <w:color w:val="002060"/>
                <w:sz w:val="16"/>
                <w:szCs w:val="16"/>
              </w:rPr>
            </w:pPr>
            <w:r w:rsidRPr="00DE096C">
              <w:rPr>
                <w:bCs/>
                <w:color w:val="002060"/>
                <w:sz w:val="16"/>
                <w:szCs w:val="16"/>
              </w:rPr>
              <w:t>Пулемет</w:t>
            </w:r>
          </w:p>
        </w:tc>
        <w:tc>
          <w:tcPr>
            <w:tcW w:w="1714" w:type="dxa"/>
          </w:tcPr>
          <w:p w14:paraId="7F193A28" w14:textId="77777777" w:rsidR="00B67D7C" w:rsidRPr="00DE096C" w:rsidRDefault="00B67D7C" w:rsidP="00D45A46">
            <w:pPr>
              <w:jc w:val="both"/>
              <w:rPr>
                <w:bCs/>
                <w:color w:val="002060"/>
                <w:sz w:val="16"/>
                <w:szCs w:val="16"/>
              </w:rPr>
            </w:pPr>
            <w:r w:rsidRPr="00DE096C">
              <w:rPr>
                <w:bCs/>
                <w:color w:val="002060"/>
                <w:sz w:val="16"/>
                <w:szCs w:val="16"/>
              </w:rPr>
              <w:t>Пулемет</w:t>
            </w:r>
          </w:p>
        </w:tc>
      </w:tr>
    </w:tbl>
    <w:p w14:paraId="719502F0" w14:textId="77777777" w:rsidR="00B67D7C" w:rsidRPr="00DE096C" w:rsidRDefault="00B67D7C" w:rsidP="00D45A46">
      <w:pPr>
        <w:jc w:val="both"/>
        <w:rPr>
          <w:bCs/>
          <w:color w:val="002060"/>
          <w:sz w:val="16"/>
          <w:szCs w:val="16"/>
        </w:rPr>
      </w:pPr>
      <w:r w:rsidRPr="00DE096C">
        <w:rPr>
          <w:bCs/>
          <w:color w:val="002060"/>
          <w:sz w:val="16"/>
          <w:szCs w:val="16"/>
        </w:rPr>
        <w:t xml:space="preserve">Это заседание авиационного комитета характерно тем, что летчики сами, исходя из местных условий и состояния техники, выработали требования, которым должны были отвечать их летательные аппараты. Правда, ставя во главу угла разведку, балтийцы явно ошибались, и это им стало очевидным довольно скоро. </w:t>
      </w:r>
    </w:p>
    <w:p w14:paraId="7C9EA3D3" w14:textId="77777777" w:rsidR="00B67D7C" w:rsidRPr="00DE096C" w:rsidRDefault="00B67D7C" w:rsidP="00D45A46">
      <w:pPr>
        <w:jc w:val="both"/>
        <w:rPr>
          <w:bCs/>
          <w:color w:val="002060"/>
          <w:sz w:val="16"/>
          <w:szCs w:val="16"/>
        </w:rPr>
      </w:pPr>
    </w:p>
    <w:p w14:paraId="6CFFD28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16 (29) апреля 1914 военный министр приказал "пока воздержаться от зака</w:t>
      </w:r>
      <w:r w:rsidRPr="00DE096C">
        <w:rPr>
          <w:bCs/>
          <w:color w:val="002060"/>
          <w:sz w:val="16"/>
          <w:szCs w:val="16"/>
        </w:rPr>
        <w:softHyphen/>
        <w:t>зов подобных типов" и потому "прошение" Ч.М.Кеннеди "временно остается без последствий" /ЦГВИА, ф. 802, оп. 4, д. 2223, л. 185/. К "подобным типам" отно</w:t>
      </w:r>
      <w:r w:rsidRPr="00DE096C">
        <w:rPr>
          <w:bCs/>
          <w:color w:val="002060"/>
          <w:sz w:val="16"/>
          <w:szCs w:val="16"/>
        </w:rPr>
        <w:softHyphen/>
        <w:t>сился и тяжелый бомбардировщик Я.М.Гаккеля ЯГ-1 (имевшего, меж</w:t>
      </w:r>
      <w:r w:rsidRPr="00DE096C">
        <w:rPr>
          <w:bCs/>
          <w:color w:val="002060"/>
          <w:sz w:val="16"/>
          <w:szCs w:val="16"/>
        </w:rPr>
        <w:softHyphen/>
        <w:t>ду прочим, два медленно вращающихся толкающих винта большого диаметра, приводимых четырьмя двигателями, расположенными в фю</w:t>
      </w:r>
      <w:r w:rsidRPr="00DE096C">
        <w:rPr>
          <w:bCs/>
          <w:color w:val="002060"/>
          <w:sz w:val="16"/>
          <w:szCs w:val="16"/>
        </w:rPr>
        <w:softHyphen/>
        <w:t>зеляже), предлагавшийся к постройке Балтийским судостроительным заводом /ЦГВИА, ф. 802, оп. 4, д. 2223, л. 95-96/. Что же касается слов "пока воздержаться", то они, вероятно, были вызваны тем, что еще в феврале 1914 г. военное министерство заказало Русско-Балтийскому вагонному за</w:t>
      </w:r>
      <w:r w:rsidRPr="00DE096C">
        <w:rPr>
          <w:bCs/>
          <w:color w:val="002060"/>
          <w:sz w:val="16"/>
          <w:szCs w:val="16"/>
        </w:rPr>
        <w:softHyphen/>
        <w:t>воду 10 самолетов "Илья Муромец", который в полетах весной это</w:t>
      </w:r>
      <w:r w:rsidRPr="00DE096C">
        <w:rPr>
          <w:bCs/>
          <w:color w:val="002060"/>
          <w:sz w:val="16"/>
          <w:szCs w:val="16"/>
        </w:rPr>
        <w:softHyphen/>
        <w:t>го года чуть ли не ежедневно устанавливал все новые мировые рекорды, а после весьма успешного перелета Петербург-Киев и об</w:t>
      </w:r>
      <w:r w:rsidRPr="00DE096C">
        <w:rPr>
          <w:bCs/>
          <w:color w:val="002060"/>
          <w:sz w:val="16"/>
          <w:szCs w:val="16"/>
        </w:rPr>
        <w:softHyphen/>
        <w:t>ратно (в июне) ГВГУ пересмотрело требования к тяжелым самолетам, так что судьба проектов "Кеннеди" № 2 и бомбардировщика ЯГ-1 так и осталась "без последствий" (11069).</w:t>
      </w:r>
    </w:p>
    <w:p w14:paraId="2D3D89FF" w14:textId="77777777" w:rsidR="00B67D7C" w:rsidRPr="00DE096C" w:rsidRDefault="00B67D7C" w:rsidP="00D45A46">
      <w:pPr>
        <w:jc w:val="both"/>
        <w:rPr>
          <w:bCs/>
          <w:color w:val="002060"/>
          <w:sz w:val="16"/>
          <w:szCs w:val="16"/>
        </w:rPr>
      </w:pPr>
    </w:p>
    <w:p w14:paraId="2CE3D195" w14:textId="5A4AEC72"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16 </w:t>
      </w:r>
      <w:r w:rsidR="00135761" w:rsidRPr="00DE096C">
        <w:rPr>
          <w:bCs/>
          <w:color w:val="002060"/>
          <w:sz w:val="16"/>
          <w:szCs w:val="16"/>
        </w:rPr>
        <w:t xml:space="preserve">(29) </w:t>
      </w:r>
      <w:r w:rsidRPr="00DE096C">
        <w:rPr>
          <w:bCs/>
          <w:color w:val="002060"/>
          <w:sz w:val="16"/>
          <w:szCs w:val="16"/>
        </w:rPr>
        <w:t>апреля 1914 г.</w:t>
      </w:r>
      <w:r w:rsidR="00135761" w:rsidRPr="00DE096C">
        <w:rPr>
          <w:bCs/>
          <w:color w:val="002060"/>
          <w:sz w:val="16"/>
          <w:szCs w:val="16"/>
        </w:rPr>
        <w:t xml:space="preserve"> Начальник службы связи флота Балтийского моря своим предписа</w:t>
      </w:r>
      <w:r w:rsidR="00135761" w:rsidRPr="00DE096C">
        <w:rPr>
          <w:bCs/>
          <w:color w:val="002060"/>
          <w:sz w:val="16"/>
          <w:szCs w:val="16"/>
        </w:rPr>
        <w:softHyphen/>
        <w:t xml:space="preserve">нием </w:t>
      </w:r>
      <w:r w:rsidRPr="00DE096C">
        <w:rPr>
          <w:bCs/>
          <w:color w:val="002060"/>
          <w:sz w:val="16"/>
          <w:szCs w:val="16"/>
        </w:rPr>
        <w:t>за №813 поставил авиационному комитету задачу, исходя из оперативно-так</w:t>
      </w:r>
      <w:r w:rsidRPr="00DE096C">
        <w:rPr>
          <w:bCs/>
          <w:color w:val="002060"/>
          <w:sz w:val="16"/>
          <w:szCs w:val="16"/>
        </w:rPr>
        <w:softHyphen/>
        <w:t>тических требований к авиации, проанализировать состояние само</w:t>
      </w:r>
      <w:r w:rsidRPr="00DE096C">
        <w:rPr>
          <w:bCs/>
          <w:color w:val="002060"/>
          <w:sz w:val="16"/>
          <w:szCs w:val="16"/>
        </w:rPr>
        <w:softHyphen/>
        <w:t>лётного парка флота, оценить его возможности и выработать предло</w:t>
      </w:r>
      <w:r w:rsidRPr="00DE096C">
        <w:rPr>
          <w:bCs/>
          <w:color w:val="002060"/>
          <w:sz w:val="16"/>
          <w:szCs w:val="16"/>
        </w:rPr>
        <w:softHyphen/>
        <w:t>жения по типажу и составу.</w:t>
      </w:r>
    </w:p>
    <w:p w14:paraId="3AEC01B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Основные результаты нашли отражение в трёх журналах засе</w:t>
      </w:r>
      <w:r w:rsidRPr="00DE096C">
        <w:rPr>
          <w:bCs/>
          <w:color w:val="002060"/>
          <w:sz w:val="16"/>
          <w:szCs w:val="16"/>
        </w:rPr>
        <w:softHyphen/>
        <w:t>даний. На них председательствовал капитан 2-го ранга Дудоров. В со</w:t>
      </w:r>
      <w:r w:rsidRPr="00DE096C">
        <w:rPr>
          <w:bCs/>
          <w:color w:val="002060"/>
          <w:sz w:val="16"/>
          <w:szCs w:val="16"/>
        </w:rPr>
        <w:softHyphen/>
        <w:t>став комитета входили: старший лейтенант Щербачёв, инженер по авиационной части Шишков, мич</w:t>
      </w:r>
      <w:r w:rsidRPr="00DE096C">
        <w:rPr>
          <w:bCs/>
          <w:color w:val="002060"/>
          <w:sz w:val="16"/>
          <w:szCs w:val="16"/>
        </w:rPr>
        <w:softHyphen/>
        <w:t>ман Зверев и приглашенные: лей</w:t>
      </w:r>
      <w:r w:rsidRPr="00DE096C">
        <w:rPr>
          <w:bCs/>
          <w:color w:val="002060"/>
          <w:sz w:val="16"/>
          <w:szCs w:val="16"/>
        </w:rPr>
        <w:softHyphen/>
        <w:t>тенанты Кульнев, Любицкий и Лит</w:t>
      </w:r>
      <w:r w:rsidRPr="00DE096C">
        <w:rPr>
          <w:bCs/>
          <w:color w:val="002060"/>
          <w:sz w:val="16"/>
          <w:szCs w:val="16"/>
        </w:rPr>
        <w:softHyphen/>
        <w:t>винов.</w:t>
      </w:r>
    </w:p>
    <w:p w14:paraId="0B0AB95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Первостепенное внимание уде</w:t>
      </w:r>
      <w:r w:rsidRPr="00DE096C">
        <w:rPr>
          <w:bCs/>
          <w:color w:val="002060"/>
          <w:sz w:val="16"/>
          <w:szCs w:val="16"/>
        </w:rPr>
        <w:softHyphen/>
        <w:t>лялось воздушной разведке. Пред</w:t>
      </w:r>
      <w:r w:rsidRPr="00DE096C">
        <w:rPr>
          <w:bCs/>
          <w:color w:val="002060"/>
          <w:sz w:val="16"/>
          <w:szCs w:val="16"/>
        </w:rPr>
        <w:softHyphen/>
        <w:t>полагалось вести её «в пунктах со</w:t>
      </w:r>
      <w:r w:rsidRPr="00DE096C">
        <w:rPr>
          <w:bCs/>
          <w:color w:val="002060"/>
          <w:sz w:val="16"/>
          <w:szCs w:val="16"/>
        </w:rPr>
        <w:softHyphen/>
        <w:t>средоточения неприятельского фло</w:t>
      </w:r>
      <w:r w:rsidRPr="00DE096C">
        <w:rPr>
          <w:bCs/>
          <w:color w:val="002060"/>
          <w:sz w:val="16"/>
          <w:szCs w:val="16"/>
        </w:rPr>
        <w:softHyphen/>
        <w:t>та: Киле или Данцигской бухте, или, по крайней мере, при совершении им марш-маневра по наиболее вероятной его операционной линии в Финский залив». Признавалось желательным организовать также наблюдение: на входе в Балтийс</w:t>
      </w:r>
      <w:r w:rsidRPr="00DE096C">
        <w:rPr>
          <w:bCs/>
          <w:color w:val="002060"/>
          <w:sz w:val="16"/>
          <w:szCs w:val="16"/>
        </w:rPr>
        <w:softHyphen/>
        <w:t>кое море или у о. Борнхольм или по параллели Либава - берега Швеции и на параллели авиацион</w:t>
      </w:r>
      <w:r w:rsidRPr="00DE096C">
        <w:rPr>
          <w:bCs/>
          <w:color w:val="002060"/>
          <w:sz w:val="16"/>
          <w:szCs w:val="16"/>
        </w:rPr>
        <w:softHyphen/>
        <w:t>ной станции Кильконд до берегов Швеции. Чтобы действовать на та</w:t>
      </w:r>
      <w:r w:rsidRPr="00DE096C">
        <w:rPr>
          <w:bCs/>
          <w:color w:val="002060"/>
          <w:sz w:val="16"/>
          <w:szCs w:val="16"/>
        </w:rPr>
        <w:softHyphen/>
        <w:t>ких удалениях требовались самолё</w:t>
      </w:r>
      <w:r w:rsidRPr="00DE096C">
        <w:rPr>
          <w:bCs/>
          <w:color w:val="002060"/>
          <w:sz w:val="16"/>
          <w:szCs w:val="16"/>
        </w:rPr>
        <w:softHyphen/>
        <w:t>ты «обладающие районом действия не менее 800 км». Осознавая, что таких самолётов ещё нет, в каче</w:t>
      </w:r>
      <w:r w:rsidRPr="00DE096C">
        <w:rPr>
          <w:bCs/>
          <w:color w:val="002060"/>
          <w:sz w:val="16"/>
          <w:szCs w:val="16"/>
        </w:rPr>
        <w:softHyphen/>
        <w:t>стве альтернативного варианта предполагалось организовать раз</w:t>
      </w:r>
      <w:r w:rsidRPr="00DE096C">
        <w:rPr>
          <w:bCs/>
          <w:color w:val="002060"/>
          <w:sz w:val="16"/>
          <w:szCs w:val="16"/>
        </w:rPr>
        <w:softHyphen/>
        <w:t>ведку хотя бы в восточной части Балтийского моря между меридиа</w:t>
      </w:r>
      <w:r w:rsidRPr="00DE096C">
        <w:rPr>
          <w:bCs/>
          <w:color w:val="002060"/>
          <w:sz w:val="16"/>
          <w:szCs w:val="16"/>
        </w:rPr>
        <w:softHyphen/>
        <w:t>ном Либава и о. Готланд. В этом случае необходим был самолёт, «обладающий районом действия не менее 400 километров». В поста</w:t>
      </w:r>
      <w:r w:rsidRPr="00DE096C">
        <w:rPr>
          <w:bCs/>
          <w:color w:val="002060"/>
          <w:sz w:val="16"/>
          <w:szCs w:val="16"/>
        </w:rPr>
        <w:softHyphen/>
        <w:t>новлении собрания высказывались некоторые соображения относи</w:t>
      </w:r>
      <w:r w:rsidRPr="00DE096C">
        <w:rPr>
          <w:bCs/>
          <w:color w:val="002060"/>
          <w:sz w:val="16"/>
          <w:szCs w:val="16"/>
        </w:rPr>
        <w:softHyphen/>
        <w:t>тельно требований к самолётам: способность вести борьбу с воз</w:t>
      </w:r>
      <w:r w:rsidRPr="00DE096C">
        <w:rPr>
          <w:bCs/>
          <w:color w:val="002060"/>
          <w:sz w:val="16"/>
          <w:szCs w:val="16"/>
        </w:rPr>
        <w:softHyphen/>
        <w:t>душными разведчиками противника (единственно пригодное средство -пулемёт); на самолётах с продол</w:t>
      </w:r>
      <w:r w:rsidRPr="00DE096C">
        <w:rPr>
          <w:bCs/>
          <w:color w:val="002060"/>
          <w:sz w:val="16"/>
          <w:szCs w:val="16"/>
        </w:rPr>
        <w:softHyphen/>
        <w:t>жительностью полёта более четы</w:t>
      </w:r>
      <w:r w:rsidRPr="00DE096C">
        <w:rPr>
          <w:bCs/>
          <w:color w:val="002060"/>
          <w:sz w:val="16"/>
          <w:szCs w:val="16"/>
        </w:rPr>
        <w:softHyphen/>
        <w:t>рёх часов иметь двух лётчиков и столько же наблюдателей, радио</w:t>
      </w:r>
      <w:r w:rsidRPr="00DE096C">
        <w:rPr>
          <w:bCs/>
          <w:color w:val="002060"/>
          <w:sz w:val="16"/>
          <w:szCs w:val="16"/>
        </w:rPr>
        <w:softHyphen/>
        <w:t>телеграф с дальностью не менее 100 миль. Особое внимание уделя</w:t>
      </w:r>
      <w:r w:rsidRPr="00DE096C">
        <w:rPr>
          <w:bCs/>
          <w:color w:val="002060"/>
          <w:sz w:val="16"/>
          <w:szCs w:val="16"/>
        </w:rPr>
        <w:softHyphen/>
        <w:t>лось некоторым техническим дан</w:t>
      </w:r>
      <w:r w:rsidRPr="00DE096C">
        <w:rPr>
          <w:bCs/>
          <w:color w:val="002060"/>
          <w:sz w:val="16"/>
          <w:szCs w:val="16"/>
        </w:rPr>
        <w:softHyphen/>
        <w:t>ным, скороподъёмности и скорости полёта истребителя (по возможно</w:t>
      </w:r>
      <w:r w:rsidRPr="00DE096C">
        <w:rPr>
          <w:bCs/>
          <w:color w:val="002060"/>
          <w:sz w:val="16"/>
          <w:szCs w:val="16"/>
        </w:rPr>
        <w:softHyphen/>
        <w:t>сти выше 100 км/ч.). С учётом опы</w:t>
      </w:r>
      <w:r w:rsidRPr="00DE096C">
        <w:rPr>
          <w:bCs/>
          <w:color w:val="002060"/>
          <w:sz w:val="16"/>
          <w:szCs w:val="16"/>
        </w:rPr>
        <w:softHyphen/>
        <w:t>та эксплуатации летающих лодок «Левек», хвостовое оперение кото</w:t>
      </w:r>
      <w:r w:rsidRPr="00DE096C">
        <w:rPr>
          <w:bCs/>
          <w:color w:val="002060"/>
          <w:sz w:val="16"/>
          <w:szCs w:val="16"/>
        </w:rPr>
        <w:softHyphen/>
        <w:t>рых имело значительную подъёмную силу и затягивало самолёт в пики</w:t>
      </w:r>
      <w:r w:rsidRPr="00DE096C">
        <w:rPr>
          <w:bCs/>
          <w:color w:val="002060"/>
          <w:sz w:val="16"/>
          <w:szCs w:val="16"/>
        </w:rPr>
        <w:softHyphen/>
        <w:t>рование, выдвигалось требование, чтобы «угол атаки хвоста был мень</w:t>
      </w:r>
      <w:r w:rsidRPr="00DE096C">
        <w:rPr>
          <w:bCs/>
          <w:color w:val="002060"/>
          <w:sz w:val="16"/>
          <w:szCs w:val="16"/>
        </w:rPr>
        <w:softHyphen/>
        <w:t>ше угла атаки поверхностей». Не</w:t>
      </w:r>
      <w:r w:rsidRPr="00DE096C">
        <w:rPr>
          <w:bCs/>
          <w:color w:val="002060"/>
          <w:sz w:val="16"/>
          <w:szCs w:val="16"/>
        </w:rPr>
        <w:softHyphen/>
        <w:t>явно просматривалось пожелание расположить двигатель впереди, а если и сзади, то винт не должен был находиться внутри задней фер</w:t>
      </w:r>
      <w:r w:rsidRPr="00DE096C">
        <w:rPr>
          <w:bCs/>
          <w:color w:val="002060"/>
          <w:sz w:val="16"/>
          <w:szCs w:val="16"/>
        </w:rPr>
        <w:softHyphen/>
        <w:t>мы. Предлагалось, «чтобы аппара</w:t>
      </w:r>
      <w:r w:rsidRPr="00DE096C">
        <w:rPr>
          <w:bCs/>
          <w:color w:val="002060"/>
          <w:sz w:val="16"/>
          <w:szCs w:val="16"/>
        </w:rPr>
        <w:softHyphen/>
        <w:t>ты имели легко снимаемое сухопут</w:t>
      </w:r>
      <w:r w:rsidRPr="00DE096C">
        <w:rPr>
          <w:bCs/>
          <w:color w:val="002060"/>
          <w:sz w:val="16"/>
          <w:szCs w:val="16"/>
        </w:rPr>
        <w:softHyphen/>
        <w:t>ное и морское шасси, чтобы иметь возможность взлетать с суши при слишком большой для взлёта гид</w:t>
      </w:r>
      <w:r w:rsidRPr="00DE096C">
        <w:rPr>
          <w:bCs/>
          <w:color w:val="002060"/>
          <w:sz w:val="16"/>
          <w:szCs w:val="16"/>
        </w:rPr>
        <w:softHyphen/>
        <w:t>роаэроплана волне». Из оценки самолётов, состоящих на вооружении авиации флота Балтийского моря, признавалось, что ни один из них «до усовершенствования их конструкторами, заказывать не сле</w:t>
      </w:r>
      <w:r w:rsidRPr="00DE096C">
        <w:rPr>
          <w:bCs/>
          <w:color w:val="002060"/>
          <w:sz w:val="16"/>
          <w:szCs w:val="16"/>
        </w:rPr>
        <w:softHyphen/>
        <w:t>дует». Обращает внимание, что для работы комитета, хотя бы из лю</w:t>
      </w:r>
      <w:r w:rsidRPr="00DE096C">
        <w:rPr>
          <w:bCs/>
          <w:color w:val="002060"/>
          <w:sz w:val="16"/>
          <w:szCs w:val="16"/>
        </w:rPr>
        <w:softHyphen/>
        <w:t>безности не пригласили опытных офицеров: Дорожинского, Яцука, Быковского и Пиотровского, нахо</w:t>
      </w:r>
      <w:r w:rsidRPr="00DE096C">
        <w:rPr>
          <w:bCs/>
          <w:color w:val="002060"/>
          <w:sz w:val="16"/>
          <w:szCs w:val="16"/>
        </w:rPr>
        <w:softHyphen/>
        <w:t>дившихся в этот период на Балтике. О том, что они находились именно там, свидетельствовал доклад на</w:t>
      </w:r>
      <w:r w:rsidRPr="00DE096C">
        <w:rPr>
          <w:bCs/>
          <w:color w:val="002060"/>
          <w:sz w:val="16"/>
          <w:szCs w:val="16"/>
        </w:rPr>
        <w:softHyphen/>
        <w:t>чальника службы связи БФ от 12 апреля 1914 г. в Морской генераль</w:t>
      </w:r>
      <w:r w:rsidRPr="00DE096C">
        <w:rPr>
          <w:bCs/>
          <w:color w:val="002060"/>
          <w:sz w:val="16"/>
          <w:szCs w:val="16"/>
        </w:rPr>
        <w:softHyphen/>
        <w:t>ный штаб: «На предписание Шта</w:t>
      </w:r>
      <w:r w:rsidRPr="00DE096C">
        <w:rPr>
          <w:bCs/>
          <w:color w:val="002060"/>
          <w:sz w:val="16"/>
          <w:szCs w:val="16"/>
        </w:rPr>
        <w:softHyphen/>
        <w:t>ба от 21 марта 1914 г. за № 1408/8 доношу:., «из числа офицеров фло</w:t>
      </w:r>
      <w:r w:rsidRPr="00DE096C">
        <w:rPr>
          <w:bCs/>
          <w:color w:val="002060"/>
          <w:sz w:val="16"/>
          <w:szCs w:val="16"/>
        </w:rPr>
        <w:softHyphen/>
        <w:t>та, имеющих звание пилота, неко</w:t>
      </w:r>
      <w:r w:rsidRPr="00DE096C">
        <w:rPr>
          <w:bCs/>
          <w:color w:val="002060"/>
          <w:sz w:val="16"/>
          <w:szCs w:val="16"/>
        </w:rPr>
        <w:softHyphen/>
        <w:t>торые, как например лейтенант Дыбовский, инженер-механик капи</w:t>
      </w:r>
      <w:r w:rsidRPr="00DE096C">
        <w:rPr>
          <w:bCs/>
          <w:color w:val="002060"/>
          <w:sz w:val="16"/>
          <w:szCs w:val="16"/>
        </w:rPr>
        <w:softHyphen/>
        <w:t>тан Яцук, лейтенант Дорожинский, лейтенант Пиотровский не находят</w:t>
      </w:r>
      <w:r w:rsidRPr="00DE096C">
        <w:rPr>
          <w:bCs/>
          <w:color w:val="002060"/>
          <w:sz w:val="16"/>
          <w:szCs w:val="16"/>
        </w:rPr>
        <w:softHyphen/>
        <w:t>ся у прямого своего дела во фло</w:t>
      </w:r>
      <w:r w:rsidRPr="00DE096C">
        <w:rPr>
          <w:bCs/>
          <w:color w:val="002060"/>
          <w:sz w:val="16"/>
          <w:szCs w:val="16"/>
        </w:rPr>
        <w:softHyphen/>
        <w:t>те..». Возможно, в связи с тем, что для этих офицеров не нашлось мес</w:t>
      </w:r>
      <w:r w:rsidRPr="00DE096C">
        <w:rPr>
          <w:bCs/>
          <w:color w:val="002060"/>
          <w:sz w:val="16"/>
          <w:szCs w:val="16"/>
        </w:rPr>
        <w:softHyphen/>
        <w:t>та, Дыбовский перешёл в армейс</w:t>
      </w:r>
      <w:r w:rsidRPr="00DE096C">
        <w:rPr>
          <w:bCs/>
          <w:color w:val="002060"/>
          <w:sz w:val="16"/>
          <w:szCs w:val="16"/>
        </w:rPr>
        <w:softHyphen/>
        <w:t>кую авиацию, Яцук ушёл из флота, а Пиотровский убыл в США и за</w:t>
      </w:r>
      <w:r w:rsidRPr="00DE096C">
        <w:rPr>
          <w:bCs/>
          <w:color w:val="002060"/>
          <w:sz w:val="16"/>
          <w:szCs w:val="16"/>
        </w:rPr>
        <w:softHyphen/>
        <w:t>нимался приёмкой авиационной техники, оправляемой во Владиво</w:t>
      </w:r>
      <w:r w:rsidRPr="00DE096C">
        <w:rPr>
          <w:bCs/>
          <w:color w:val="002060"/>
          <w:sz w:val="16"/>
          <w:szCs w:val="16"/>
        </w:rPr>
        <w:softHyphen/>
        <w:t>сток (11759).</w:t>
      </w:r>
    </w:p>
    <w:p w14:paraId="35756C71" w14:textId="77777777" w:rsidR="00B67D7C" w:rsidRPr="00DE096C" w:rsidRDefault="00B67D7C" w:rsidP="00D45A46">
      <w:pPr>
        <w:shd w:val="clear" w:color="auto" w:fill="FFFFFF"/>
        <w:jc w:val="both"/>
        <w:rPr>
          <w:bCs/>
          <w:color w:val="002060"/>
          <w:sz w:val="16"/>
          <w:szCs w:val="16"/>
        </w:rPr>
      </w:pPr>
    </w:p>
    <w:p w14:paraId="761B2BB0" w14:textId="0FD15CC0" w:rsidR="00440C55" w:rsidRPr="00DE096C" w:rsidRDefault="00440C55" w:rsidP="00D45A46">
      <w:pPr>
        <w:jc w:val="both"/>
        <w:rPr>
          <w:bCs/>
          <w:i/>
          <w:color w:val="002060"/>
          <w:sz w:val="16"/>
          <w:szCs w:val="16"/>
        </w:rPr>
      </w:pPr>
      <w:r w:rsidRPr="00DE096C">
        <w:rPr>
          <w:bCs/>
          <w:i/>
          <w:color w:val="002060"/>
          <w:sz w:val="16"/>
          <w:szCs w:val="16"/>
        </w:rPr>
        <w:t>Морская авиация:</w:t>
      </w:r>
    </w:p>
    <w:p w14:paraId="2DFEED7C" w14:textId="77777777" w:rsidR="00440C55" w:rsidRPr="00DE096C" w:rsidRDefault="00440C55" w:rsidP="00D45A46">
      <w:pPr>
        <w:jc w:val="both"/>
        <w:rPr>
          <w:bCs/>
          <w:i/>
          <w:color w:val="002060"/>
          <w:sz w:val="16"/>
          <w:szCs w:val="16"/>
        </w:rPr>
      </w:pPr>
    </w:p>
    <w:p w14:paraId="27E974A2" w14:textId="6F4F1C84" w:rsidR="00440C55" w:rsidRPr="00DE096C" w:rsidRDefault="00440C55" w:rsidP="00D45A46">
      <w:pPr>
        <w:jc w:val="both"/>
        <w:rPr>
          <w:bCs/>
          <w:color w:val="002060"/>
          <w:sz w:val="16"/>
          <w:szCs w:val="16"/>
          <w:lang w:bidi="en-US"/>
        </w:rPr>
      </w:pPr>
      <w:r w:rsidRPr="00DE096C">
        <w:rPr>
          <w:bCs/>
          <w:color w:val="002060"/>
          <w:sz w:val="16"/>
          <w:szCs w:val="16"/>
          <w:lang w:bidi="en-US"/>
        </w:rPr>
        <w:t>16 (29) апреля 1914 г. Морское министерство утвердило формирование авиационных комитетов в составе Балтийского и Черноморского флотов (23525).</w:t>
      </w:r>
    </w:p>
    <w:p w14:paraId="30A32506" w14:textId="77777777" w:rsidR="00440C55" w:rsidRPr="00DE096C" w:rsidRDefault="00440C55" w:rsidP="00D45A46">
      <w:pPr>
        <w:jc w:val="both"/>
        <w:rPr>
          <w:bCs/>
          <w:i/>
          <w:color w:val="002060"/>
          <w:sz w:val="16"/>
          <w:szCs w:val="16"/>
        </w:rPr>
      </w:pPr>
    </w:p>
    <w:p w14:paraId="5AE7D214" w14:textId="6D354BA0" w:rsidR="00B67D7C" w:rsidRPr="00DE096C" w:rsidRDefault="00B67D7C" w:rsidP="00D45A46">
      <w:pPr>
        <w:jc w:val="both"/>
        <w:rPr>
          <w:bCs/>
          <w:i/>
          <w:color w:val="002060"/>
          <w:sz w:val="16"/>
          <w:szCs w:val="16"/>
        </w:rPr>
      </w:pPr>
      <w:r w:rsidRPr="00DE096C">
        <w:rPr>
          <w:bCs/>
          <w:i/>
          <w:color w:val="002060"/>
          <w:sz w:val="16"/>
          <w:szCs w:val="16"/>
        </w:rPr>
        <w:t>Самолетостроение:</w:t>
      </w:r>
    </w:p>
    <w:p w14:paraId="0A733CCF" w14:textId="77777777" w:rsidR="00B67D7C" w:rsidRPr="00DE096C" w:rsidRDefault="00B67D7C" w:rsidP="00D45A46">
      <w:pPr>
        <w:jc w:val="both"/>
        <w:rPr>
          <w:bCs/>
          <w:i/>
          <w:color w:val="002060"/>
          <w:sz w:val="16"/>
          <w:szCs w:val="16"/>
        </w:rPr>
      </w:pPr>
    </w:p>
    <w:p w14:paraId="03A2EC93" w14:textId="7A9B7224"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18 апреля </w:t>
      </w:r>
      <w:r w:rsidR="004D654A" w:rsidRPr="00DE096C">
        <w:rPr>
          <w:bCs/>
          <w:color w:val="002060"/>
          <w:sz w:val="16"/>
          <w:szCs w:val="16"/>
        </w:rPr>
        <w:t xml:space="preserve">(1 мая) </w:t>
      </w:r>
      <w:r w:rsidRPr="00DE096C">
        <w:rPr>
          <w:bCs/>
          <w:color w:val="002060"/>
          <w:sz w:val="16"/>
          <w:szCs w:val="16"/>
        </w:rPr>
        <w:t xml:space="preserve">1914 г. </w:t>
      </w:r>
      <w:r w:rsidR="004D654A" w:rsidRPr="00DE096C">
        <w:rPr>
          <w:bCs/>
          <w:color w:val="002060"/>
          <w:sz w:val="16"/>
          <w:szCs w:val="16"/>
        </w:rPr>
        <w:t xml:space="preserve">был подписан контракт </w:t>
      </w:r>
      <w:r w:rsidRPr="00DE096C">
        <w:rPr>
          <w:bCs/>
          <w:color w:val="002060"/>
          <w:sz w:val="16"/>
          <w:szCs w:val="16"/>
        </w:rPr>
        <w:t>№ 2049, заключенн</w:t>
      </w:r>
      <w:r w:rsidR="004D654A" w:rsidRPr="00DE096C">
        <w:rPr>
          <w:bCs/>
          <w:color w:val="002060"/>
          <w:sz w:val="16"/>
          <w:szCs w:val="16"/>
        </w:rPr>
        <w:t>ый</w:t>
      </w:r>
      <w:r w:rsidRPr="00DE096C">
        <w:rPr>
          <w:bCs/>
          <w:color w:val="002060"/>
          <w:sz w:val="16"/>
          <w:szCs w:val="16"/>
        </w:rPr>
        <w:t xml:space="preserve"> на основании положения Военного совета 29 марта 1914 г., </w:t>
      </w:r>
      <w:r w:rsidR="004D654A" w:rsidRPr="00DE096C">
        <w:rPr>
          <w:bCs/>
          <w:color w:val="002060"/>
          <w:sz w:val="16"/>
          <w:szCs w:val="16"/>
        </w:rPr>
        <w:t xml:space="preserve">в соответствии с которым </w:t>
      </w:r>
      <w:r w:rsidRPr="00DE096C">
        <w:rPr>
          <w:bCs/>
          <w:color w:val="002060"/>
          <w:sz w:val="16"/>
          <w:szCs w:val="16"/>
        </w:rPr>
        <w:t>Главное военно-техническое управление заказало Пер</w:t>
      </w:r>
      <w:r w:rsidRPr="00DE096C">
        <w:rPr>
          <w:bCs/>
          <w:color w:val="002060"/>
          <w:sz w:val="16"/>
          <w:szCs w:val="16"/>
        </w:rPr>
        <w:softHyphen/>
        <w:t>вому российскому товариществу воздухоплавания «С. С. Щетинин и К°»: 30 аэропланов системы Фармана № 22 бис с 100-сильными моторами «Гном» типа Моносупап, 30 ком</w:t>
      </w:r>
      <w:r w:rsidRPr="00DE096C">
        <w:rPr>
          <w:bCs/>
          <w:color w:val="002060"/>
          <w:sz w:val="16"/>
          <w:szCs w:val="16"/>
        </w:rPr>
        <w:softHyphen/>
        <w:t>плектов запасных частей и 5 дополнительных комплектов запасных частей к этим аэро</w:t>
      </w:r>
      <w:r w:rsidRPr="00DE096C">
        <w:rPr>
          <w:bCs/>
          <w:color w:val="002060"/>
          <w:sz w:val="16"/>
          <w:szCs w:val="16"/>
        </w:rPr>
        <w:softHyphen/>
        <w:t>планам.</w:t>
      </w:r>
    </w:p>
    <w:p w14:paraId="1C5A78A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Означенный заказ, согласно контракта, должен быть выполнен в следующие сроки: 10 аэропланов — к 15 июня, 10 аэропланов — к 15 июля и 10 комплектов запасных час</w:t>
      </w:r>
      <w:r w:rsidRPr="00DE096C">
        <w:rPr>
          <w:bCs/>
          <w:color w:val="002060"/>
          <w:sz w:val="16"/>
          <w:szCs w:val="16"/>
        </w:rPr>
        <w:softHyphen/>
        <w:t>тей — к 1 августа, 10 комплектов — к 1 сентября и 15 комплектов — к 15 октября с. г. Между тем 5 июня, как то усматривается из прилагаемого удостоверения полиции**, на заводе Товарищества началась забастовка рабочих, продолжавшаяся до объявления войны Гер</w:t>
      </w:r>
      <w:r w:rsidRPr="00DE096C">
        <w:rPr>
          <w:bCs/>
          <w:color w:val="002060"/>
          <w:sz w:val="16"/>
          <w:szCs w:val="16"/>
        </w:rPr>
        <w:softHyphen/>
        <w:t>манией и носившая, по имеющимся в управлении сведениям, политический характер, а с 19 июля по 8 октября с. г. работы по выполнению настоящего заказа были приостанов</w:t>
      </w:r>
      <w:r w:rsidRPr="00DE096C">
        <w:rPr>
          <w:bCs/>
          <w:color w:val="002060"/>
          <w:sz w:val="16"/>
          <w:szCs w:val="16"/>
        </w:rPr>
        <w:softHyphen/>
        <w:t>лены распоряжением Главного военно-технического управления ввиду того, что с от</w:t>
      </w:r>
      <w:r w:rsidRPr="00DE096C">
        <w:rPr>
          <w:bCs/>
          <w:color w:val="002060"/>
          <w:sz w:val="16"/>
          <w:szCs w:val="16"/>
        </w:rPr>
        <w:softHyphen/>
        <w:t>крытием военных действий для пополнения в отрядах недостающего количества и заме</w:t>
      </w:r>
      <w:r w:rsidRPr="00DE096C">
        <w:rPr>
          <w:bCs/>
          <w:color w:val="002060"/>
          <w:sz w:val="16"/>
          <w:szCs w:val="16"/>
        </w:rPr>
        <w:softHyphen/>
        <w:t>ны пришедших в негодность потребовались в первую очередь аэропланы Фарман № 16 и Ньюпор, спешное изготовление которых и было поручено заводу товарищества. Есте</w:t>
      </w:r>
      <w:r w:rsidRPr="00DE096C">
        <w:rPr>
          <w:bCs/>
          <w:color w:val="002060"/>
          <w:sz w:val="16"/>
          <w:szCs w:val="16"/>
        </w:rPr>
        <w:softHyphen/>
        <w:t>ственно, что при наличии таких обстоятельств заказанные Товариществу аэропланы и запасные части до настоящего времени не могли быть построены.</w:t>
      </w:r>
    </w:p>
    <w:p w14:paraId="55D47B4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Ввиду сего я находил бы необходимым установить ныне, с возобновлением Товари</w:t>
      </w:r>
      <w:r w:rsidRPr="00DE096C">
        <w:rPr>
          <w:bCs/>
          <w:color w:val="002060"/>
          <w:sz w:val="16"/>
          <w:szCs w:val="16"/>
        </w:rPr>
        <w:softHyphen/>
        <w:t>ществом, согласно предложения управления, работ по постройке аэропланов Фарман № 22 бис и запасных частей, новый срок готовности означенных предметов, определив его в четыре месяца со дня возобновления работ, т. е. по 8 февраля 1915 г., на каковой срок имеется и согласие Товарищества*. При этом я не могу не признать, что замедление в изготовлении ее по причинам, устранение которых не зависело от воли Товарищества, отнюдь нельзя поставить последнему в вину. К тому же эта задержка не отразилась и на боевой готовности армии, так как 19 июля Товариществу, как указано выше, было пред</w:t>
      </w:r>
      <w:r w:rsidRPr="00DE096C">
        <w:rPr>
          <w:bCs/>
          <w:color w:val="002060"/>
          <w:sz w:val="16"/>
          <w:szCs w:val="16"/>
        </w:rPr>
        <w:softHyphen/>
        <w:t>ложено приступить к спешному изготовлению 30 аэропланов Фарман № 16 и 10 аэропла</w:t>
      </w:r>
      <w:r w:rsidRPr="00DE096C">
        <w:rPr>
          <w:bCs/>
          <w:color w:val="002060"/>
          <w:sz w:val="16"/>
          <w:szCs w:val="16"/>
        </w:rPr>
        <w:softHyphen/>
        <w:t>нов Ньюпор IV, большая часть которых, а именно 21 аппарат, в настоящее время уже принята.</w:t>
      </w:r>
    </w:p>
    <w:p w14:paraId="538B0A3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Представляя об изложенном на благоусмотрение Военного совета, я полагал бы: МНЕНИЕ: В изменение пункта 3 контракта от 18 апреля 1914 г. за № 2049 сроком готовности заказанных по сему контракту 30 аэропланов Фарман № 22 бис, 30 комплек</w:t>
      </w:r>
      <w:r w:rsidRPr="00DE096C">
        <w:rPr>
          <w:bCs/>
          <w:color w:val="002060"/>
          <w:sz w:val="16"/>
          <w:szCs w:val="16"/>
        </w:rPr>
        <w:softHyphen/>
        <w:t>тов запасных частей и 5 дополнительных комплектов запасных частей считать 8 февраля 1915 года.</w:t>
      </w:r>
    </w:p>
    <w:p w14:paraId="1814661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На документе помета Роппа: «22 октября состоялось решение Военного совета, кото</w:t>
      </w:r>
      <w:r w:rsidRPr="00DE096C">
        <w:rPr>
          <w:bCs/>
          <w:color w:val="002060"/>
          <w:sz w:val="16"/>
          <w:szCs w:val="16"/>
        </w:rPr>
        <w:softHyphen/>
        <w:t>рое удовлетворило просьбу Главного военно-технического управления, отметив, что Во</w:t>
      </w:r>
      <w:r w:rsidRPr="00DE096C">
        <w:rPr>
          <w:bCs/>
          <w:color w:val="002060"/>
          <w:sz w:val="16"/>
          <w:szCs w:val="16"/>
        </w:rPr>
        <w:softHyphen/>
        <w:t>енный совет, не входя в обсуждение последствий за просрочки по частным срокам 15 июня и 15 июля 1914 г., положил: конечный срок поставки отсрочить до 8 февраля 1915 года. Изложенное сообщается по постановлению Военного совета для немедленного исполнения».</w:t>
      </w:r>
    </w:p>
    <w:p w14:paraId="619CF5A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Начальник Управления генерал-лейтенант барон Ропп</w:t>
      </w:r>
    </w:p>
    <w:p w14:paraId="5D886F6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РГВИА. Ф. 29. Оп. 3. Д. 861. Л. 73-74. Подлинник (10707).</w:t>
      </w:r>
    </w:p>
    <w:p w14:paraId="56262EDC" w14:textId="77777777" w:rsidR="00B67D7C" w:rsidRPr="00DE096C" w:rsidRDefault="00B67D7C" w:rsidP="00D45A46">
      <w:pPr>
        <w:shd w:val="clear" w:color="auto" w:fill="FFFFFF"/>
        <w:jc w:val="both"/>
        <w:rPr>
          <w:bCs/>
          <w:color w:val="002060"/>
          <w:sz w:val="16"/>
          <w:szCs w:val="16"/>
        </w:rPr>
      </w:pPr>
    </w:p>
    <w:p w14:paraId="11E09E78" w14:textId="77777777" w:rsidR="00125D75" w:rsidRPr="00DE096C" w:rsidRDefault="00125D75" w:rsidP="00D45A46">
      <w:pPr>
        <w:jc w:val="both"/>
        <w:rPr>
          <w:bCs/>
          <w:i/>
          <w:color w:val="002060"/>
          <w:sz w:val="16"/>
          <w:szCs w:val="16"/>
        </w:rPr>
      </w:pPr>
      <w:r w:rsidRPr="00DE096C">
        <w:rPr>
          <w:bCs/>
          <w:i/>
          <w:color w:val="002060"/>
          <w:sz w:val="16"/>
          <w:szCs w:val="16"/>
        </w:rPr>
        <w:t>Другие оборонные отрасли:</w:t>
      </w:r>
    </w:p>
    <w:p w14:paraId="712C0E53" w14:textId="77777777" w:rsidR="00125D75" w:rsidRPr="00DE096C" w:rsidRDefault="00125D75" w:rsidP="00D45A46">
      <w:pPr>
        <w:jc w:val="both"/>
        <w:rPr>
          <w:bCs/>
          <w:i/>
          <w:color w:val="002060"/>
          <w:sz w:val="16"/>
          <w:szCs w:val="16"/>
        </w:rPr>
      </w:pPr>
    </w:p>
    <w:p w14:paraId="422E70DA" w14:textId="777462F1" w:rsidR="00125D75" w:rsidRPr="00DE096C" w:rsidRDefault="00125D75" w:rsidP="00D45A46">
      <w:pPr>
        <w:pStyle w:val="p1"/>
        <w:spacing w:before="0" w:beforeAutospacing="0" w:after="0" w:afterAutospacing="0"/>
        <w:jc w:val="both"/>
        <w:rPr>
          <w:bCs/>
          <w:color w:val="002060"/>
          <w:sz w:val="16"/>
          <w:szCs w:val="16"/>
        </w:rPr>
      </w:pPr>
      <w:r w:rsidRPr="00DE096C">
        <w:rPr>
          <w:bCs/>
          <w:color w:val="002060"/>
          <w:sz w:val="16"/>
          <w:szCs w:val="16"/>
        </w:rPr>
        <w:t xml:space="preserve">18 апреля </w:t>
      </w:r>
      <w:r w:rsidR="004D654A" w:rsidRPr="00DE096C">
        <w:rPr>
          <w:bCs/>
          <w:color w:val="002060"/>
          <w:sz w:val="16"/>
          <w:szCs w:val="16"/>
        </w:rPr>
        <w:t xml:space="preserve">(1 мая) </w:t>
      </w:r>
      <w:r w:rsidRPr="00DE096C">
        <w:rPr>
          <w:bCs/>
          <w:color w:val="002060"/>
          <w:sz w:val="16"/>
          <w:szCs w:val="16"/>
        </w:rPr>
        <w:t xml:space="preserve">1914 г. Николай II и Совет министров 24 мая 1916 г. утвердили совокупности стеснений (по составу акционеров и администрации) в виде специальных секретных правил, фактически отклонив более либеральный в этом вопросе проект «Нормального устава», подготовленный в Министерстве торговли и промышленности для упрощения процедуры регистрации новых компаний. Центральный пункт секретных правил 1914 г., казавшийся промышленникам и банкирам неприемлемым (право акционерного общества владеть не более чем 200 десятинами земли, иначе евреев из администрации — вон), неуклонно соблюдался. В этом отношении на «еврейском» направлении еще до войны были предвосхищены те достижения правовой мысли, что были вскоре обращены против «неприятельских» </w:t>
      </w:r>
      <w:r w:rsidRPr="00DE096C">
        <w:rPr>
          <w:bCs/>
          <w:color w:val="002060"/>
          <w:sz w:val="16"/>
          <w:szCs w:val="16"/>
        </w:rPr>
        <w:lastRenderedPageBreak/>
        <w:t>собственников. В довоенное время правительство опасениями за безопасность военных предприятий объясняло ограничения, направленные против участия немцев в капитале и администрации заводов, поставлявших порох и взрывчатые вещества, однако было вынуждено идти на уступки, делая исключения, либо пыталось влиять на собственников, выставляя фильтрацию личного состава условием предоставления казенных заказов. При этом было вполне осознано, что всякие такие меры вредят приливу в отрасль иностранных капиталов («затрудняют реализацию складочного капитала») — при недостатке русских. Но с созданием под Самарой новых казенных заводов у военных властей прибавилось уверенности, и в 1910 г. явилось убеждение в том, что затруднение с приливом капиталов «едва ли может иметь существенное для интересов государства значение», так как теперь, пополняя боевые запасы, военное ведомство «в состоянии будет удовлетворять свою потребность во взрывчатых веществах собственными средствами, не прибегая к услугам частной промышленности».</w:t>
      </w:r>
    </w:p>
    <w:p w14:paraId="0AAC27DA" w14:textId="77777777" w:rsidR="00125D75" w:rsidRPr="00DE096C" w:rsidRDefault="00125D75" w:rsidP="00D45A46">
      <w:pPr>
        <w:pStyle w:val="p1"/>
        <w:spacing w:before="0" w:beforeAutospacing="0" w:after="0" w:afterAutospacing="0"/>
        <w:jc w:val="both"/>
        <w:rPr>
          <w:bCs/>
          <w:color w:val="002060"/>
          <w:sz w:val="16"/>
          <w:szCs w:val="16"/>
        </w:rPr>
      </w:pPr>
      <w:r w:rsidRPr="00DE096C">
        <w:rPr>
          <w:bCs/>
          <w:color w:val="002060"/>
          <w:sz w:val="16"/>
          <w:szCs w:val="16"/>
        </w:rPr>
        <w:t>Новые возможности усечения прав собственности открылись с началом мировой войны, когда образовалась еще одна категория неполноправных собственников — неприятельские подданные. Но репрессии распространялись и на «русских подданных из германских, австрийских или венгерских выходцев», и на «бывших подданных Германии, Австро-Венгрии или Турции, а равно их потомков». Исключение делалось для «лиц, удостоверивших… свою принадлежность к православному исповеданию» до 1914 г. или «к славянской народности» по крови, от природы (18409).</w:t>
      </w:r>
    </w:p>
    <w:p w14:paraId="098182B5" w14:textId="77777777" w:rsidR="00125D75" w:rsidRPr="00DE096C" w:rsidRDefault="00125D75" w:rsidP="00D45A46">
      <w:pPr>
        <w:pStyle w:val="p1"/>
        <w:spacing w:before="0" w:beforeAutospacing="0" w:after="0" w:afterAutospacing="0"/>
        <w:jc w:val="both"/>
        <w:rPr>
          <w:bCs/>
          <w:color w:val="002060"/>
          <w:sz w:val="16"/>
          <w:szCs w:val="16"/>
        </w:rPr>
      </w:pPr>
    </w:p>
    <w:p w14:paraId="4880092F"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w:t>
      </w:r>
    </w:p>
    <w:p w14:paraId="72ED2916" w14:textId="77777777" w:rsidR="00B67D7C" w:rsidRPr="00DE096C" w:rsidRDefault="00B67D7C" w:rsidP="00D45A46">
      <w:pPr>
        <w:shd w:val="clear" w:color="auto" w:fill="FFFFFF"/>
        <w:jc w:val="both"/>
        <w:rPr>
          <w:bCs/>
          <w:i/>
          <w:color w:val="002060"/>
          <w:sz w:val="16"/>
          <w:szCs w:val="16"/>
        </w:rPr>
      </w:pPr>
    </w:p>
    <w:p w14:paraId="0F4E291B" w14:textId="18154AD2" w:rsidR="00B67D7C" w:rsidRPr="00DE096C" w:rsidRDefault="00B67D7C" w:rsidP="00D45A46">
      <w:pPr>
        <w:jc w:val="both"/>
        <w:rPr>
          <w:bCs/>
          <w:color w:val="002060"/>
          <w:sz w:val="16"/>
          <w:szCs w:val="16"/>
        </w:rPr>
      </w:pPr>
      <w:r w:rsidRPr="00DE096C">
        <w:rPr>
          <w:bCs/>
          <w:color w:val="002060"/>
          <w:sz w:val="16"/>
          <w:szCs w:val="16"/>
        </w:rPr>
        <w:t xml:space="preserve">21 апреля </w:t>
      </w:r>
      <w:r w:rsidR="00DE4B43" w:rsidRPr="00DE096C">
        <w:rPr>
          <w:bCs/>
          <w:color w:val="002060"/>
          <w:sz w:val="16"/>
          <w:szCs w:val="16"/>
        </w:rPr>
        <w:t xml:space="preserve">(4 мая) </w:t>
      </w:r>
      <w:r w:rsidRPr="00DE096C">
        <w:rPr>
          <w:bCs/>
          <w:color w:val="002060"/>
          <w:sz w:val="16"/>
          <w:szCs w:val="16"/>
        </w:rPr>
        <w:t>1914 г. Ефимов вторым после Нестерова выполнил "мертвую петлю". На аппарате "Блерио" на высоте 500 м было выполнено две петли. Через семь дней городские газеты сообщили о втором полете Ефимова, в ходе которого было выполнено шесть петель.</w:t>
      </w:r>
    </w:p>
    <w:p w14:paraId="448BAAE1" w14:textId="77777777" w:rsidR="00B67D7C" w:rsidRPr="00DE096C" w:rsidRDefault="00B67D7C" w:rsidP="00D45A46">
      <w:pPr>
        <w:jc w:val="both"/>
        <w:rPr>
          <w:bCs/>
          <w:color w:val="002060"/>
          <w:sz w:val="16"/>
          <w:szCs w:val="16"/>
        </w:rPr>
      </w:pPr>
    </w:p>
    <w:p w14:paraId="4029F3AB" w14:textId="77777777" w:rsidR="00DE4B43" w:rsidRPr="00DE096C" w:rsidRDefault="00DE4B43" w:rsidP="00D45A46">
      <w:pPr>
        <w:jc w:val="both"/>
        <w:rPr>
          <w:bCs/>
          <w:i/>
          <w:color w:val="002060"/>
          <w:sz w:val="16"/>
          <w:szCs w:val="16"/>
        </w:rPr>
      </w:pPr>
      <w:r w:rsidRPr="00DE096C">
        <w:rPr>
          <w:bCs/>
          <w:i/>
          <w:color w:val="002060"/>
          <w:sz w:val="16"/>
          <w:szCs w:val="16"/>
        </w:rPr>
        <w:t>Армия:</w:t>
      </w:r>
    </w:p>
    <w:p w14:paraId="2475C622" w14:textId="77777777" w:rsidR="00DE4B43" w:rsidRPr="00DE096C" w:rsidRDefault="00DE4B43" w:rsidP="00D45A46">
      <w:pPr>
        <w:jc w:val="both"/>
        <w:rPr>
          <w:bCs/>
          <w:i/>
          <w:color w:val="002060"/>
          <w:sz w:val="16"/>
          <w:szCs w:val="16"/>
        </w:rPr>
      </w:pPr>
    </w:p>
    <w:p w14:paraId="553EC61D" w14:textId="59C16BC5" w:rsidR="00DE4B43" w:rsidRPr="00DE096C" w:rsidRDefault="00DE4B43" w:rsidP="00D45A46">
      <w:pPr>
        <w:jc w:val="both"/>
        <w:rPr>
          <w:bCs/>
          <w:color w:val="002060"/>
          <w:sz w:val="16"/>
          <w:szCs w:val="16"/>
        </w:rPr>
      </w:pPr>
      <w:r w:rsidRPr="00DE096C">
        <w:rPr>
          <w:bCs/>
          <w:color w:val="002060"/>
          <w:sz w:val="16"/>
          <w:szCs w:val="16"/>
        </w:rPr>
        <w:t xml:space="preserve">22 апреля (5 мая) 1914 года распоряжением командующего Черноморского флота от был разработан порядок формирования маневренных сил для обеспечения дежурства в районе заграждений Босфора после проведения операции по постановке минных заграждений. Формировалось 4 маневренных группы, критерием формирования являлась способность успешно противостоять Турецкому дредноуту. </w:t>
      </w:r>
    </w:p>
    <w:p w14:paraId="6443367A" w14:textId="77777777" w:rsidR="00DE4B43" w:rsidRPr="00DE096C" w:rsidRDefault="00DE4B43" w:rsidP="00D45A46">
      <w:pPr>
        <w:jc w:val="both"/>
        <w:rPr>
          <w:bCs/>
          <w:color w:val="002060"/>
          <w:sz w:val="16"/>
          <w:szCs w:val="16"/>
        </w:rPr>
      </w:pPr>
      <w:r w:rsidRPr="00DE096C">
        <w:rPr>
          <w:bCs/>
          <w:color w:val="002060"/>
          <w:sz w:val="16"/>
          <w:szCs w:val="16"/>
        </w:rPr>
        <w:t xml:space="preserve">1-я маневренная группа: "Императрица Мария", "Варяг", 1-й ДЭМ. </w:t>
      </w:r>
    </w:p>
    <w:p w14:paraId="018DCE66" w14:textId="77777777" w:rsidR="00DE4B43" w:rsidRPr="00DE096C" w:rsidRDefault="00DE4B43" w:rsidP="00D45A46">
      <w:pPr>
        <w:jc w:val="both"/>
        <w:rPr>
          <w:bCs/>
          <w:color w:val="002060"/>
          <w:sz w:val="16"/>
          <w:szCs w:val="16"/>
        </w:rPr>
      </w:pPr>
      <w:r w:rsidRPr="00DE096C">
        <w:rPr>
          <w:bCs/>
          <w:color w:val="002060"/>
          <w:sz w:val="16"/>
          <w:szCs w:val="16"/>
        </w:rPr>
        <w:t xml:space="preserve">2-я маневренная группа: "Императрица Екатерина", "Память Меркурия", 2-й ДЭМ. </w:t>
      </w:r>
    </w:p>
    <w:p w14:paraId="3833DDFF" w14:textId="77777777" w:rsidR="00DE4B43" w:rsidRPr="00DE096C" w:rsidRDefault="00DE4B43" w:rsidP="00D45A46">
      <w:pPr>
        <w:jc w:val="both"/>
        <w:rPr>
          <w:bCs/>
          <w:color w:val="002060"/>
          <w:sz w:val="16"/>
          <w:szCs w:val="16"/>
        </w:rPr>
      </w:pPr>
      <w:r w:rsidRPr="00DE096C">
        <w:rPr>
          <w:bCs/>
          <w:color w:val="002060"/>
          <w:sz w:val="16"/>
          <w:szCs w:val="16"/>
        </w:rPr>
        <w:t xml:space="preserve">3-я маневренная группа: "Император Александр I", "Кагул", 3-й ДЭМ. </w:t>
      </w:r>
    </w:p>
    <w:p w14:paraId="38D8494B" w14:textId="77777777" w:rsidR="00DE4B43" w:rsidRPr="00DE096C" w:rsidRDefault="00DE4B43" w:rsidP="00D45A46">
      <w:pPr>
        <w:jc w:val="both"/>
        <w:rPr>
          <w:bCs/>
          <w:color w:val="002060"/>
          <w:sz w:val="16"/>
          <w:szCs w:val="16"/>
        </w:rPr>
      </w:pPr>
      <w:r w:rsidRPr="00DE096C">
        <w:rPr>
          <w:bCs/>
          <w:color w:val="002060"/>
          <w:sz w:val="16"/>
          <w:szCs w:val="16"/>
        </w:rPr>
        <w:t xml:space="preserve">4-я маневренная группа: "Иоанн Златоуст", "Ефстафий", "Пантелеймон", "Три святителя", "Алмаз", 4-й ДЭМ. Кроме того, решением командующего 2-й бригаде временно придавался броненосец береговой обороны "Ростислав". </w:t>
      </w:r>
    </w:p>
    <w:p w14:paraId="5C809664" w14:textId="77777777" w:rsidR="00DE4B43" w:rsidRPr="00DE096C" w:rsidRDefault="00DE4B43" w:rsidP="00D45A46">
      <w:pPr>
        <w:jc w:val="both"/>
        <w:rPr>
          <w:bCs/>
          <w:color w:val="002060"/>
          <w:sz w:val="16"/>
          <w:szCs w:val="16"/>
        </w:rPr>
      </w:pPr>
      <w:r w:rsidRPr="00DE096C">
        <w:rPr>
          <w:bCs/>
          <w:color w:val="002060"/>
          <w:sz w:val="16"/>
          <w:szCs w:val="16"/>
        </w:rPr>
        <w:t xml:space="preserve">Согласно плану дежурная маневренная группа должна была держаться в 8-10 милях у Босфора, периодически маневрируя у кромки заграждения, на ночь, отходя мористее. В случае появления неприятеля, на бригаду возлагалась обязанность не допускать его прорыва через минное заграждение. Если же противника остановить не удалось, предполагался отход к главной базе с удержанием контакта с противником, стараясь своим маневрированием выиграть как можно больше времени, для подхода остальных маневренных групп. По введению в действие решения о проведении высадки десанта флот действовал согласно плана, на проведение десантной операции. Болгарские морские силы, прежде всего дивизион эсминцев, переходящие по оперативный контроль командующего Черноморским флотом предполагалось использовать для осуществления ночной блокады устья Босфора, включающей в себя постановку мин и проведение ночных минных атак на неприятельские суда, пытающиеся преодолеть минные заграждени или вытралить их. </w:t>
      </w:r>
    </w:p>
    <w:p w14:paraId="4C16537E" w14:textId="77777777" w:rsidR="00DE4B43" w:rsidRPr="00DE096C" w:rsidRDefault="00DE4B43" w:rsidP="00D45A46">
      <w:pPr>
        <w:jc w:val="both"/>
        <w:rPr>
          <w:bCs/>
          <w:color w:val="002060"/>
          <w:sz w:val="16"/>
          <w:szCs w:val="16"/>
        </w:rPr>
      </w:pPr>
      <w:r w:rsidRPr="00DE096C">
        <w:rPr>
          <w:bCs/>
          <w:color w:val="002060"/>
          <w:sz w:val="16"/>
          <w:szCs w:val="16"/>
        </w:rPr>
        <w:t xml:space="preserve">Заключение. </w:t>
      </w:r>
    </w:p>
    <w:p w14:paraId="76F516AF" w14:textId="77777777" w:rsidR="00A64F3E" w:rsidRPr="00DE096C" w:rsidRDefault="00A64F3E" w:rsidP="00D45A46">
      <w:pPr>
        <w:jc w:val="both"/>
        <w:rPr>
          <w:bCs/>
          <w:i/>
          <w:color w:val="002060"/>
          <w:sz w:val="16"/>
          <w:szCs w:val="16"/>
        </w:rPr>
      </w:pPr>
    </w:p>
    <w:p w14:paraId="3D274AD0" w14:textId="1B5A6C2F" w:rsidR="00B67D7C" w:rsidRPr="00DE096C" w:rsidRDefault="00B67D7C" w:rsidP="00D45A46">
      <w:pPr>
        <w:jc w:val="both"/>
        <w:rPr>
          <w:bCs/>
          <w:i/>
          <w:color w:val="002060"/>
          <w:sz w:val="16"/>
          <w:szCs w:val="16"/>
        </w:rPr>
      </w:pPr>
      <w:r w:rsidRPr="00DE096C">
        <w:rPr>
          <w:bCs/>
          <w:i/>
          <w:color w:val="002060"/>
          <w:sz w:val="16"/>
          <w:szCs w:val="16"/>
        </w:rPr>
        <w:t>Морская авиация:</w:t>
      </w:r>
    </w:p>
    <w:p w14:paraId="276DD592" w14:textId="77777777" w:rsidR="00B67D7C" w:rsidRPr="00DE096C" w:rsidRDefault="00B67D7C" w:rsidP="00D45A46">
      <w:pPr>
        <w:jc w:val="both"/>
        <w:rPr>
          <w:bCs/>
          <w:i/>
          <w:color w:val="002060"/>
          <w:sz w:val="16"/>
          <w:szCs w:val="16"/>
        </w:rPr>
      </w:pPr>
    </w:p>
    <w:p w14:paraId="3BA70ADF" w14:textId="578BAF4A" w:rsidR="00B67D7C" w:rsidRPr="00DE096C" w:rsidRDefault="00B67D7C" w:rsidP="00D45A46">
      <w:pPr>
        <w:shd w:val="clear" w:color="auto" w:fill="FFFFFF"/>
        <w:jc w:val="both"/>
        <w:rPr>
          <w:bCs/>
          <w:color w:val="002060"/>
          <w:sz w:val="16"/>
          <w:szCs w:val="16"/>
        </w:rPr>
      </w:pPr>
      <w:r w:rsidRPr="00DE096C">
        <w:rPr>
          <w:bCs/>
          <w:color w:val="002060"/>
          <w:sz w:val="16"/>
          <w:szCs w:val="16"/>
        </w:rPr>
        <w:t>24 апреля (7 мая) 1914 в Риге на заседании Отдела воздушного флота об-укдался доклад летчика-констрртора А.А.Пороховщикова об орга-изации ПВО района Петербург-Рига. Докладчик предлагал органи-овать сеть воздушных станций по линиям Петербург-Виндава и Петербург-Сувалки для обороны всего Прибалтийского края. Назначение станций - следить за появлением летательных аппаратов, одействовать своим и препятствовать чужим. Это было первое редложение об организации в России постов воздушного наблюдения. Совещание признало желательным организацию таких станций на расстоянии 15-150 верст одна от другой, снабдив их наземной вязью и соединив автомобильным транспортом. ("Рижский вестник"</w:t>
      </w:r>
      <w:r w:rsidR="00A64F3E" w:rsidRPr="00DE096C">
        <w:rPr>
          <w:bCs/>
          <w:color w:val="002060"/>
          <w:sz w:val="16"/>
          <w:szCs w:val="16"/>
        </w:rPr>
        <w:t xml:space="preserve"> за </w:t>
      </w:r>
      <w:r w:rsidRPr="00DE096C">
        <w:rPr>
          <w:bCs/>
          <w:color w:val="002060"/>
          <w:sz w:val="16"/>
          <w:szCs w:val="16"/>
        </w:rPr>
        <w:t>25 апреля</w:t>
      </w:r>
      <w:r w:rsidR="00A64F3E" w:rsidRPr="00DE096C">
        <w:rPr>
          <w:bCs/>
          <w:color w:val="002060"/>
          <w:sz w:val="16"/>
          <w:szCs w:val="16"/>
        </w:rPr>
        <w:t xml:space="preserve"> 1914</w:t>
      </w:r>
      <w:r w:rsidRPr="00DE096C">
        <w:rPr>
          <w:bCs/>
          <w:color w:val="002060"/>
          <w:sz w:val="16"/>
          <w:szCs w:val="16"/>
        </w:rPr>
        <w:t>).</w:t>
      </w:r>
    </w:p>
    <w:p w14:paraId="1258D5C5" w14:textId="77777777" w:rsidR="00B67D7C" w:rsidRPr="00DE096C" w:rsidRDefault="00B67D7C" w:rsidP="00D45A46">
      <w:pPr>
        <w:shd w:val="clear" w:color="auto" w:fill="FFFFFF"/>
        <w:jc w:val="both"/>
        <w:rPr>
          <w:bCs/>
          <w:color w:val="002060"/>
          <w:sz w:val="16"/>
          <w:szCs w:val="16"/>
        </w:rPr>
      </w:pPr>
    </w:p>
    <w:p w14:paraId="33742455" w14:textId="77777777" w:rsidR="00A64F3E" w:rsidRPr="00DE096C" w:rsidRDefault="00A64F3E" w:rsidP="00D45A46">
      <w:pPr>
        <w:jc w:val="both"/>
        <w:rPr>
          <w:bCs/>
          <w:color w:val="002060"/>
          <w:sz w:val="16"/>
          <w:szCs w:val="16"/>
        </w:rPr>
      </w:pPr>
      <w:r w:rsidRPr="00DE096C">
        <w:rPr>
          <w:bCs/>
          <w:color w:val="002060"/>
          <w:sz w:val="16"/>
          <w:szCs w:val="16"/>
        </w:rPr>
        <w:t>24</w:t>
      </w:r>
      <w:r w:rsidRPr="00DE096C">
        <w:rPr>
          <w:rFonts w:eastAsia="Arial"/>
          <w:bCs/>
          <w:color w:val="002060"/>
          <w:sz w:val="16"/>
          <w:szCs w:val="16"/>
        </w:rPr>
        <w:t xml:space="preserve"> </w:t>
      </w:r>
      <w:r w:rsidRPr="00DE096C">
        <w:rPr>
          <w:bCs/>
          <w:color w:val="002060"/>
          <w:sz w:val="16"/>
          <w:szCs w:val="16"/>
        </w:rPr>
        <w:t>апреля (7 мая) 1914 г. в Риге на заседании Отдела воздушного флота обсуждался доклад летчика-конструктора А.А.Пороховщикова об организации ПВО района Петербург-Рига. Докладчик предлагал организовать сеть воздушных станций по линиям Петербург-Виндава и Петербург-Сувалки для обороны всего Прибалтийского края. Назначение станций - следить за появлением летательных аппаратов, содействовать своим и препятствовать чужим. Это было первое предложение об организации в России постов ВНОС. Совещание признало желательным организацию таких станций на расстоянии 15-150 верст одна от другой, снабдив их наземной связью и соединив автомобильным транспортом.</w:t>
      </w:r>
    </w:p>
    <w:p w14:paraId="09A2B091" w14:textId="77777777" w:rsidR="00A64F3E" w:rsidRPr="00DE096C" w:rsidRDefault="00A64F3E" w:rsidP="00D45A46">
      <w:pPr>
        <w:jc w:val="both"/>
        <w:rPr>
          <w:bCs/>
          <w:color w:val="002060"/>
          <w:sz w:val="16"/>
          <w:szCs w:val="16"/>
        </w:rPr>
      </w:pPr>
      <w:r w:rsidRPr="00DE096C">
        <w:rPr>
          <w:bCs/>
          <w:color w:val="002060"/>
          <w:sz w:val="16"/>
          <w:szCs w:val="16"/>
        </w:rPr>
        <w:t>/«Рижский вестник» за 25 апреля 1914/ (23320).</w:t>
      </w:r>
    </w:p>
    <w:p w14:paraId="415C5C6E" w14:textId="77777777" w:rsidR="00A64F3E" w:rsidRPr="00DE096C" w:rsidRDefault="00A64F3E" w:rsidP="00D45A46">
      <w:pPr>
        <w:jc w:val="both"/>
        <w:rPr>
          <w:bCs/>
          <w:color w:val="002060"/>
          <w:sz w:val="16"/>
          <w:szCs w:val="16"/>
        </w:rPr>
      </w:pPr>
    </w:p>
    <w:p w14:paraId="38CD5CFD" w14:textId="5FDAF0FF" w:rsidR="00C25012" w:rsidRPr="00DE096C" w:rsidRDefault="00C25012" w:rsidP="00D45A46">
      <w:pPr>
        <w:jc w:val="both"/>
        <w:rPr>
          <w:bCs/>
          <w:i/>
          <w:color w:val="002060"/>
          <w:sz w:val="16"/>
          <w:szCs w:val="16"/>
        </w:rPr>
      </w:pPr>
      <w:r w:rsidRPr="00DE096C">
        <w:rPr>
          <w:bCs/>
          <w:i/>
          <w:color w:val="002060"/>
          <w:sz w:val="16"/>
          <w:szCs w:val="16"/>
        </w:rPr>
        <w:t>Авиация и воздухоплавание Франции:</w:t>
      </w:r>
    </w:p>
    <w:p w14:paraId="397521D0" w14:textId="77777777" w:rsidR="00C25012" w:rsidRPr="00DE096C" w:rsidRDefault="00C25012" w:rsidP="00D45A46">
      <w:pPr>
        <w:jc w:val="both"/>
        <w:rPr>
          <w:bCs/>
          <w:i/>
          <w:color w:val="002060"/>
          <w:sz w:val="16"/>
          <w:szCs w:val="16"/>
        </w:rPr>
      </w:pPr>
    </w:p>
    <w:p w14:paraId="6CAB170A" w14:textId="77777777" w:rsidR="00C25012" w:rsidRPr="00DE096C" w:rsidRDefault="00C25012" w:rsidP="00D45A46">
      <w:pPr>
        <w:jc w:val="both"/>
        <w:rPr>
          <w:bCs/>
          <w:color w:val="002060"/>
          <w:sz w:val="16"/>
          <w:szCs w:val="16"/>
        </w:rPr>
      </w:pPr>
      <w:r w:rsidRPr="00DE096C">
        <w:rPr>
          <w:bCs/>
          <w:color w:val="002060"/>
          <w:sz w:val="16"/>
          <w:szCs w:val="16"/>
        </w:rPr>
        <w:t>25 апреля (8 мая) 1914 гражданский пилот, Рене Caudron, выполняе первый во Франции взлет корабельного гидросамолет амфибии Caudron G.3 с рампы, построенной в носовой части Foudre (20337).</w:t>
      </w:r>
    </w:p>
    <w:p w14:paraId="7A9FD91C" w14:textId="185820C8" w:rsidR="00C25012" w:rsidRPr="00DE096C" w:rsidRDefault="00C25012" w:rsidP="00D45A46">
      <w:pPr>
        <w:jc w:val="both"/>
        <w:rPr>
          <w:bCs/>
          <w:color w:val="002060"/>
          <w:sz w:val="16"/>
          <w:szCs w:val="16"/>
        </w:rPr>
      </w:pPr>
    </w:p>
    <w:p w14:paraId="07EE4A90" w14:textId="72C7994D" w:rsidR="00BA24E5" w:rsidRPr="00DE096C" w:rsidRDefault="00BA24E5" w:rsidP="00D45A46">
      <w:pPr>
        <w:jc w:val="both"/>
        <w:rPr>
          <w:bCs/>
          <w:i/>
          <w:iCs/>
          <w:color w:val="002060"/>
          <w:sz w:val="16"/>
          <w:szCs w:val="16"/>
        </w:rPr>
      </w:pPr>
      <w:r w:rsidRPr="00DE096C">
        <w:rPr>
          <w:bCs/>
          <w:i/>
          <w:iCs/>
          <w:color w:val="002060"/>
          <w:sz w:val="16"/>
          <w:szCs w:val="16"/>
        </w:rPr>
        <w:t>Самолетостроение:</w:t>
      </w:r>
    </w:p>
    <w:p w14:paraId="69BABDDD" w14:textId="77777777" w:rsidR="00BA24E5" w:rsidRPr="00DE096C" w:rsidRDefault="00BA24E5" w:rsidP="00D45A46">
      <w:pPr>
        <w:jc w:val="both"/>
        <w:rPr>
          <w:bCs/>
          <w:i/>
          <w:iCs/>
          <w:color w:val="002060"/>
          <w:sz w:val="16"/>
          <w:szCs w:val="16"/>
        </w:rPr>
      </w:pPr>
    </w:p>
    <w:p w14:paraId="0BFEDF10" w14:textId="2F6D92FE" w:rsidR="00BA24E5" w:rsidRPr="00DE096C" w:rsidRDefault="00BA24E5" w:rsidP="00D45A46">
      <w:pPr>
        <w:jc w:val="both"/>
        <w:rPr>
          <w:bCs/>
          <w:color w:val="002060"/>
          <w:sz w:val="16"/>
          <w:szCs w:val="16"/>
        </w:rPr>
      </w:pPr>
      <w:r w:rsidRPr="00DE096C">
        <w:rPr>
          <w:bCs/>
          <w:color w:val="002060"/>
          <w:sz w:val="16"/>
          <w:szCs w:val="16"/>
        </w:rPr>
        <w:t>26 апреля (9 мая) 1914 г. Начальник Балтийского завода морского министерства официаль</w:t>
      </w:r>
      <w:r w:rsidRPr="00DE096C">
        <w:rPr>
          <w:bCs/>
          <w:color w:val="002060"/>
          <w:sz w:val="16"/>
          <w:szCs w:val="16"/>
        </w:rPr>
        <w:softHyphen/>
        <w:t>но предложил Начальнику Главного военно-технического управления (ГВТУ) барону Е.Э. Роппу построить два «тяжелых самолёта-бомбардировщика» по проекту Гаккеля:</w:t>
      </w:r>
    </w:p>
    <w:p w14:paraId="4BC01458" w14:textId="77777777" w:rsidR="00BA24E5" w:rsidRPr="00DE096C" w:rsidRDefault="00BA24E5" w:rsidP="00D45A46">
      <w:pPr>
        <w:jc w:val="both"/>
        <w:rPr>
          <w:bCs/>
          <w:color w:val="002060"/>
          <w:sz w:val="16"/>
          <w:szCs w:val="16"/>
        </w:rPr>
      </w:pPr>
      <w:r w:rsidRPr="00DE096C">
        <w:rPr>
          <w:bCs/>
          <w:color w:val="002060"/>
          <w:sz w:val="16"/>
          <w:szCs w:val="16"/>
        </w:rPr>
        <w:t>«Проект этих аэропланов разработан воздухоплавательным отделом завода совме</w:t>
      </w:r>
      <w:r w:rsidRPr="00DE096C">
        <w:rPr>
          <w:bCs/>
          <w:color w:val="002060"/>
          <w:sz w:val="16"/>
          <w:szCs w:val="16"/>
        </w:rPr>
        <w:softHyphen/>
        <w:t>стно с солидным специалистом... и по системе своей имеет много преимуществ над существующими типами. Завод мог бы взять на себя постройку двух таких аэропла</w:t>
      </w:r>
      <w:r w:rsidRPr="00DE096C">
        <w:rPr>
          <w:bCs/>
          <w:color w:val="002060"/>
          <w:sz w:val="16"/>
          <w:szCs w:val="16"/>
        </w:rPr>
        <w:softHyphen/>
        <w:t>нов «самолётов-истребителей» при гарантированной скорости полета в 90 км в час, по цене 90000 руб. за каждый «самолёт-истребитель», и премия в размере 3000 руб. за каждый лишний километр скорости в час, сверх 90 км/ч, данной «самолётом-истре- бителем» при сдаточных испытаниях. Срок готовности двух «самолётов-истребителей» будет 4 месяца со дня получения заказа, при условии сдачи их в С.-Петербурге»</w:t>
      </w:r>
      <w:r w:rsidRPr="00DE096C">
        <w:rPr>
          <w:bCs/>
          <w:color w:val="002060"/>
          <w:sz w:val="16"/>
          <w:szCs w:val="16"/>
          <w:vertAlign w:val="superscript"/>
        </w:rPr>
        <w:t>20</w:t>
      </w:r>
      <w:r w:rsidRPr="00DE096C">
        <w:rPr>
          <w:bCs/>
          <w:color w:val="002060"/>
          <w:sz w:val="16"/>
          <w:szCs w:val="16"/>
        </w:rPr>
        <w:t>.</w:t>
      </w:r>
    </w:p>
    <w:p w14:paraId="22D96244" w14:textId="77777777" w:rsidR="00BA24E5" w:rsidRPr="00DE096C" w:rsidRDefault="00BA24E5" w:rsidP="00D45A46">
      <w:pPr>
        <w:jc w:val="both"/>
        <w:rPr>
          <w:bCs/>
          <w:color w:val="002060"/>
          <w:sz w:val="16"/>
          <w:szCs w:val="16"/>
        </w:rPr>
      </w:pPr>
      <w:r w:rsidRPr="00DE096C">
        <w:rPr>
          <w:bCs/>
          <w:color w:val="002060"/>
          <w:sz w:val="16"/>
          <w:szCs w:val="16"/>
        </w:rPr>
        <w:t>В приложение к документу содержалось описание самолёта: «Настоящий самолёт- истребитель сконструирован для специальной цели быстрого перемещения в воздухе с большой скоростью и на большое расстояние двух мин, по 500 кг весом каждая или большого количества малых бомб общим весом около 1000 кг.</w:t>
      </w:r>
    </w:p>
    <w:p w14:paraId="089B8C92" w14:textId="77777777" w:rsidR="00BA24E5" w:rsidRPr="00DE096C" w:rsidRDefault="00BA24E5" w:rsidP="00D45A46">
      <w:pPr>
        <w:jc w:val="both"/>
        <w:rPr>
          <w:bCs/>
          <w:color w:val="002060"/>
          <w:sz w:val="16"/>
          <w:szCs w:val="16"/>
        </w:rPr>
      </w:pPr>
      <w:r w:rsidRPr="00DE096C">
        <w:rPr>
          <w:bCs/>
          <w:color w:val="002060"/>
          <w:sz w:val="16"/>
          <w:szCs w:val="16"/>
        </w:rPr>
        <w:t>Гарантированная продолжительность непрерывного полета самолёта-истребителя с ука</w:t>
      </w:r>
      <w:r w:rsidRPr="00DE096C">
        <w:rPr>
          <w:bCs/>
          <w:color w:val="002060"/>
          <w:sz w:val="16"/>
          <w:szCs w:val="16"/>
        </w:rPr>
        <w:softHyphen/>
        <w:t>занным грузом и с пятью человеками команды (2 механика, 2 пилота и 1 минер-командир) около 10 часов.</w:t>
      </w:r>
    </w:p>
    <w:p w14:paraId="526C638D" w14:textId="77777777" w:rsidR="00BA24E5" w:rsidRPr="00DE096C" w:rsidRDefault="00BA24E5" w:rsidP="00D45A46">
      <w:pPr>
        <w:jc w:val="both"/>
        <w:rPr>
          <w:bCs/>
          <w:color w:val="002060"/>
          <w:sz w:val="16"/>
          <w:szCs w:val="16"/>
        </w:rPr>
      </w:pPr>
      <w:r w:rsidRPr="00DE096C">
        <w:rPr>
          <w:bCs/>
          <w:color w:val="002060"/>
          <w:sz w:val="16"/>
          <w:szCs w:val="16"/>
        </w:rPr>
        <w:t>При уменьшении вооружения на одну мину, длительность полёта увеличивается до 14 с половиной часов...</w:t>
      </w:r>
    </w:p>
    <w:p w14:paraId="23340000" w14:textId="77777777" w:rsidR="00BA24E5" w:rsidRPr="00DE096C" w:rsidRDefault="00BA24E5" w:rsidP="00D45A46">
      <w:pPr>
        <w:pStyle w:val="16"/>
        <w:shd w:val="clear" w:color="auto" w:fill="auto"/>
        <w:spacing w:before="0" w:line="240" w:lineRule="auto"/>
        <w:ind w:firstLine="0"/>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Тело аэроплана общей длиной 14500 мм имеет рыбовидную форму, обеспечиваю</w:t>
      </w:r>
      <w:r w:rsidRPr="00DE096C">
        <w:rPr>
          <w:rFonts w:ascii="Times New Roman" w:hAnsi="Times New Roman" w:cs="Times New Roman"/>
          <w:bCs/>
          <w:color w:val="002060"/>
          <w:sz w:val="16"/>
          <w:szCs w:val="16"/>
        </w:rPr>
        <w:softHyphen/>
        <w:t>щую наименьшее сопротивление для движения в воздухе. 'Миделевое сечение тела имеет 1900 мм ширины и 2350 мм высоты.</w:t>
      </w:r>
    </w:p>
    <w:p w14:paraId="1CF0C96F" w14:textId="77777777" w:rsidR="00BA24E5" w:rsidRPr="00DE096C" w:rsidRDefault="00BA24E5" w:rsidP="00D45A46">
      <w:pPr>
        <w:jc w:val="both"/>
        <w:rPr>
          <w:bCs/>
          <w:color w:val="002060"/>
          <w:sz w:val="16"/>
          <w:szCs w:val="16"/>
        </w:rPr>
      </w:pPr>
      <w:r w:rsidRPr="00DE096C">
        <w:rPr>
          <w:bCs/>
          <w:color w:val="002060"/>
          <w:sz w:val="16"/>
          <w:szCs w:val="16"/>
        </w:rPr>
        <w:t>В носовой части имеется одно открытое место для сиденья наблюдателя и для управ</w:t>
      </w:r>
      <w:r w:rsidRPr="00DE096C">
        <w:rPr>
          <w:bCs/>
          <w:color w:val="002060"/>
          <w:sz w:val="16"/>
          <w:szCs w:val="16"/>
        </w:rPr>
        <w:softHyphen/>
        <w:t>ления прожектором, далее идут 3 закрытых помещения.</w:t>
      </w:r>
    </w:p>
    <w:p w14:paraId="5C6C5B19" w14:textId="77777777" w:rsidR="00BA24E5" w:rsidRPr="00DE096C" w:rsidRDefault="00BA24E5" w:rsidP="00D45A46">
      <w:pPr>
        <w:tabs>
          <w:tab w:val="left" w:pos="418"/>
        </w:tabs>
        <w:jc w:val="both"/>
        <w:rPr>
          <w:bCs/>
          <w:color w:val="002060"/>
          <w:sz w:val="16"/>
          <w:szCs w:val="16"/>
        </w:rPr>
      </w:pPr>
      <w:r w:rsidRPr="00DE096C">
        <w:rPr>
          <w:bCs/>
          <w:color w:val="002060"/>
          <w:sz w:val="16"/>
          <w:szCs w:val="16"/>
        </w:rPr>
        <w:t>а) отделение управления, длиною около 2 метров, внизу которого помещаются минные аппараты Т.Т.</w:t>
      </w:r>
    </w:p>
    <w:p w14:paraId="43EFBBA1" w14:textId="77777777" w:rsidR="00BA24E5" w:rsidRPr="00DE096C" w:rsidRDefault="00BA24E5" w:rsidP="00D45A46">
      <w:pPr>
        <w:tabs>
          <w:tab w:val="left" w:pos="457"/>
        </w:tabs>
        <w:jc w:val="both"/>
        <w:rPr>
          <w:bCs/>
          <w:color w:val="002060"/>
          <w:sz w:val="16"/>
          <w:szCs w:val="16"/>
        </w:rPr>
      </w:pPr>
      <w:r w:rsidRPr="00DE096C">
        <w:rPr>
          <w:bCs/>
          <w:color w:val="002060"/>
          <w:sz w:val="16"/>
          <w:szCs w:val="16"/>
        </w:rPr>
        <w:t>б) машинное отделение, длиною 4,6 м. Как видно из чертежа, для наилучшего обес</w:t>
      </w:r>
      <w:r w:rsidRPr="00DE096C">
        <w:rPr>
          <w:bCs/>
          <w:color w:val="002060"/>
          <w:sz w:val="16"/>
          <w:szCs w:val="16"/>
        </w:rPr>
        <w:softHyphen/>
        <w:t>печения непрерывности полёта применено четыре (4) мотора, связанных коническими зубчатыми передачами между собой с двумя тихоходными (выделено авт. — А.Д.) про</w:t>
      </w:r>
      <w:r w:rsidRPr="00DE096C">
        <w:rPr>
          <w:bCs/>
          <w:color w:val="002060"/>
          <w:sz w:val="16"/>
          <w:szCs w:val="16"/>
        </w:rPr>
        <w:softHyphen/>
        <w:t>пеллерами диаметром каждый 3750 мм.</w:t>
      </w:r>
    </w:p>
    <w:p w14:paraId="5EFDD864" w14:textId="77777777" w:rsidR="00BA24E5" w:rsidRPr="00DE096C" w:rsidRDefault="00BA24E5" w:rsidP="00D45A46">
      <w:pPr>
        <w:jc w:val="both"/>
        <w:rPr>
          <w:bCs/>
          <w:color w:val="002060"/>
          <w:sz w:val="16"/>
          <w:szCs w:val="16"/>
        </w:rPr>
      </w:pPr>
      <w:r w:rsidRPr="00DE096C">
        <w:rPr>
          <w:bCs/>
          <w:color w:val="002060"/>
          <w:sz w:val="16"/>
          <w:szCs w:val="16"/>
        </w:rPr>
        <w:t>Моторы, мощностью по 100 НР каждый, установленные внутри закрытого помещения, вполне обеспечены хорошим уходом. Каждый из моторов соединяется с приводом фрик</w:t>
      </w:r>
      <w:r w:rsidRPr="00DE096C">
        <w:rPr>
          <w:bCs/>
          <w:color w:val="002060"/>
          <w:sz w:val="16"/>
          <w:szCs w:val="16"/>
        </w:rPr>
        <w:softHyphen/>
        <w:t>ционной муфтой, благодаря которой он может быть включен для остановки и ремонта во время полёта аэроплана, причем оба пропеллера будут продолжать работать с равными нагрузками, с уменьшением лишь общей мощности на одну четверть от полной.</w:t>
      </w:r>
    </w:p>
    <w:p w14:paraId="4B636A6A" w14:textId="77777777" w:rsidR="00BA24E5" w:rsidRPr="00DE096C" w:rsidRDefault="00BA24E5" w:rsidP="00D45A46">
      <w:pPr>
        <w:jc w:val="both"/>
        <w:rPr>
          <w:bCs/>
          <w:color w:val="002060"/>
          <w:sz w:val="16"/>
          <w:szCs w:val="16"/>
        </w:rPr>
      </w:pPr>
      <w:r w:rsidRPr="00DE096C">
        <w:rPr>
          <w:bCs/>
          <w:color w:val="002060"/>
          <w:sz w:val="16"/>
          <w:szCs w:val="16"/>
        </w:rPr>
        <w:t>Выхлопные трубы моторов, весьма короткие, выведены наружу по обе стороны тела аппарата.</w:t>
      </w:r>
    </w:p>
    <w:p w14:paraId="3FF6488A" w14:textId="77777777" w:rsidR="00BA24E5" w:rsidRPr="00DE096C" w:rsidRDefault="00BA24E5" w:rsidP="00D45A46">
      <w:pPr>
        <w:jc w:val="both"/>
        <w:rPr>
          <w:bCs/>
          <w:color w:val="002060"/>
          <w:sz w:val="16"/>
          <w:szCs w:val="16"/>
        </w:rPr>
      </w:pPr>
      <w:r w:rsidRPr="00DE096C">
        <w:rPr>
          <w:bCs/>
          <w:color w:val="002060"/>
          <w:sz w:val="16"/>
          <w:szCs w:val="16"/>
        </w:rPr>
        <w:t>Радиаторы водяного охлаждения моторов располагаются вблизи своих моторов на наружных стенках машинного отделения.</w:t>
      </w:r>
    </w:p>
    <w:p w14:paraId="66499C6A" w14:textId="77777777" w:rsidR="00BA24E5" w:rsidRPr="00DE096C" w:rsidRDefault="00BA24E5" w:rsidP="00D45A46">
      <w:pPr>
        <w:jc w:val="both"/>
        <w:rPr>
          <w:bCs/>
          <w:color w:val="002060"/>
          <w:sz w:val="16"/>
          <w:szCs w:val="16"/>
        </w:rPr>
      </w:pPr>
      <w:r w:rsidRPr="00DE096C">
        <w:rPr>
          <w:bCs/>
          <w:color w:val="002060"/>
          <w:sz w:val="16"/>
          <w:szCs w:val="16"/>
        </w:rPr>
        <w:t>Бензиновые резервуары, числом 4, подвешиваются под потолком машинного отде</w:t>
      </w:r>
      <w:r w:rsidRPr="00DE096C">
        <w:rPr>
          <w:bCs/>
          <w:color w:val="002060"/>
          <w:sz w:val="16"/>
          <w:szCs w:val="16"/>
        </w:rPr>
        <w:softHyphen/>
        <w:t>ления, над моторами, не стесняя среднего прохода.</w:t>
      </w:r>
    </w:p>
    <w:p w14:paraId="310276E2" w14:textId="77777777" w:rsidR="00BA24E5" w:rsidRPr="00DE096C" w:rsidRDefault="00BA24E5" w:rsidP="00D45A46">
      <w:pPr>
        <w:tabs>
          <w:tab w:val="left" w:pos="471"/>
        </w:tabs>
        <w:jc w:val="both"/>
        <w:rPr>
          <w:bCs/>
          <w:color w:val="002060"/>
          <w:sz w:val="16"/>
          <w:szCs w:val="16"/>
        </w:rPr>
      </w:pPr>
      <w:r w:rsidRPr="00DE096C">
        <w:rPr>
          <w:bCs/>
          <w:color w:val="002060"/>
          <w:sz w:val="16"/>
          <w:szCs w:val="16"/>
        </w:rPr>
        <w:t>в) запасное отделение самолёта-истребителя, заднее, служит для входа в аэроплан (имеет боковую дверь). Оно может быть использовано, смотря по надобности, напри</w:t>
      </w:r>
      <w:r w:rsidRPr="00DE096C">
        <w:rPr>
          <w:bCs/>
          <w:color w:val="002060"/>
          <w:sz w:val="16"/>
          <w:szCs w:val="16"/>
        </w:rPr>
        <w:softHyphen/>
        <w:t>мер, для установки аппаратов беспроволочного телеграфа. Это отделение предназнача</w:t>
      </w:r>
      <w:r w:rsidRPr="00DE096C">
        <w:rPr>
          <w:bCs/>
          <w:color w:val="002060"/>
          <w:sz w:val="16"/>
          <w:szCs w:val="16"/>
        </w:rPr>
        <w:softHyphen/>
        <w:t>ется также для обстрела назад преследователей истребителя из ружья или из пулемета, для каковой цели в крыше предусмотрен открывающийся вверх люк.</w:t>
      </w:r>
    </w:p>
    <w:p w14:paraId="469796EA" w14:textId="77777777" w:rsidR="00BA24E5" w:rsidRPr="00DE096C" w:rsidRDefault="00BA24E5" w:rsidP="00D45A46">
      <w:pPr>
        <w:jc w:val="both"/>
        <w:rPr>
          <w:bCs/>
          <w:color w:val="002060"/>
          <w:sz w:val="16"/>
          <w:szCs w:val="16"/>
        </w:rPr>
      </w:pPr>
      <w:r w:rsidRPr="00DE096C">
        <w:rPr>
          <w:bCs/>
          <w:color w:val="002060"/>
          <w:sz w:val="16"/>
          <w:szCs w:val="16"/>
        </w:rPr>
        <w:lastRenderedPageBreak/>
        <w:t>Для прохода на носовое, открытое сиденье, имеется также люк, но в крыше отделе</w:t>
      </w:r>
      <w:r w:rsidRPr="00DE096C">
        <w:rPr>
          <w:bCs/>
          <w:color w:val="002060"/>
          <w:sz w:val="16"/>
          <w:szCs w:val="16"/>
        </w:rPr>
        <w:softHyphen/>
        <w:t>ния А, который избавляет от необходимости устройства двери в передней или одной из боковых стенок отделения, что значительно уменьшило бы прочность их и, кроме того, вследствие значительных, сравнимых с люком размеров, дверь представляет затрудне</w:t>
      </w:r>
      <w:r w:rsidRPr="00DE096C">
        <w:rPr>
          <w:bCs/>
          <w:color w:val="002060"/>
          <w:sz w:val="16"/>
          <w:szCs w:val="16"/>
        </w:rPr>
        <w:softHyphen/>
        <w:t>ния при открывании во время полёта.</w:t>
      </w:r>
    </w:p>
    <w:p w14:paraId="40856E8B" w14:textId="77777777" w:rsidR="00BA24E5" w:rsidRPr="00DE096C" w:rsidRDefault="00BA24E5" w:rsidP="00D45A46">
      <w:pPr>
        <w:jc w:val="both"/>
        <w:rPr>
          <w:bCs/>
          <w:color w:val="002060"/>
          <w:sz w:val="16"/>
          <w:szCs w:val="16"/>
        </w:rPr>
      </w:pPr>
      <w:r w:rsidRPr="00DE096C">
        <w:rPr>
          <w:bCs/>
          <w:color w:val="002060"/>
          <w:sz w:val="16"/>
          <w:szCs w:val="16"/>
        </w:rPr>
        <w:t xml:space="preserve">Главные несущие поверхности, вследствие весьма солидной площади </w:t>
      </w:r>
      <w:r w:rsidRPr="00DE096C">
        <w:rPr>
          <w:rStyle w:val="1pt"/>
          <w:rFonts w:ascii="Times New Roman" w:hAnsi="Times New Roman" w:cs="Times New Roman"/>
          <w:bCs/>
          <w:color w:val="002060"/>
          <w:spacing w:val="0"/>
          <w:sz w:val="16"/>
          <w:szCs w:val="16"/>
        </w:rPr>
        <w:t>их—</w:t>
      </w:r>
      <w:r w:rsidRPr="00DE096C">
        <w:rPr>
          <w:bCs/>
          <w:color w:val="002060"/>
          <w:sz w:val="16"/>
          <w:szCs w:val="16"/>
        </w:rPr>
        <w:t xml:space="preserve"> 165 кв.м. — разделены на три плана, из которых 2 верхних имеют общий размах (ширина аэро</w:t>
      </w:r>
      <w:r w:rsidRPr="00DE096C">
        <w:rPr>
          <w:bCs/>
          <w:color w:val="002060"/>
          <w:sz w:val="16"/>
          <w:szCs w:val="16"/>
        </w:rPr>
        <w:softHyphen/>
        <w:t>плана) в 25 м, 3-я же поверхность, нижняя, имеет меньший размах — в 20 м. Наружные концы последней поверхности значительно приподняты над землей — до 1 м, тогда как по средине аппарата эта поверхность примыкает к самому низу тела аппарата.</w:t>
      </w:r>
    </w:p>
    <w:p w14:paraId="59EE94AD" w14:textId="77777777" w:rsidR="00BA24E5" w:rsidRPr="00DE096C" w:rsidRDefault="00BA24E5" w:rsidP="00D45A46">
      <w:pPr>
        <w:jc w:val="both"/>
        <w:rPr>
          <w:bCs/>
          <w:color w:val="002060"/>
          <w:sz w:val="16"/>
          <w:szCs w:val="16"/>
        </w:rPr>
      </w:pPr>
      <w:r w:rsidRPr="00DE096C">
        <w:rPr>
          <w:bCs/>
          <w:color w:val="002060"/>
          <w:sz w:val="16"/>
          <w:szCs w:val="16"/>
        </w:rPr>
        <w:t>Средняя поверхность дает очертание верхней передней части тела аппарата, чем несомненно достигается минимум сопротивления воздуха предлагаемой системы.</w:t>
      </w:r>
    </w:p>
    <w:p w14:paraId="30CA83F2" w14:textId="77777777" w:rsidR="00BA24E5" w:rsidRPr="00DE096C" w:rsidRDefault="00BA24E5" w:rsidP="00D45A46">
      <w:pPr>
        <w:jc w:val="both"/>
        <w:rPr>
          <w:bCs/>
          <w:color w:val="002060"/>
          <w:sz w:val="16"/>
          <w:szCs w:val="16"/>
        </w:rPr>
      </w:pPr>
      <w:r w:rsidRPr="00DE096C">
        <w:rPr>
          <w:bCs/>
          <w:color w:val="002060"/>
          <w:sz w:val="16"/>
          <w:szCs w:val="16"/>
        </w:rPr>
        <w:t>Верхняя поверхность приподнята над телом аэроплана на 2 м. Расстояние между по</w:t>
      </w:r>
      <w:r w:rsidRPr="00DE096C">
        <w:rPr>
          <w:bCs/>
          <w:color w:val="002060"/>
          <w:sz w:val="16"/>
          <w:szCs w:val="16"/>
        </w:rPr>
        <w:softHyphen/>
        <w:t>верхностями в среднем ок. 1750 мм и для увеличения их активности при планирующем спу</w:t>
      </w:r>
      <w:r w:rsidRPr="00DE096C">
        <w:rPr>
          <w:bCs/>
          <w:color w:val="002060"/>
          <w:sz w:val="16"/>
          <w:szCs w:val="16"/>
        </w:rPr>
        <w:softHyphen/>
        <w:t>ске — применено ступенчатое их расположение, с выносом вперед верхних поверхностей.</w:t>
      </w:r>
    </w:p>
    <w:p w14:paraId="64349F3F" w14:textId="77777777" w:rsidR="00BA24E5" w:rsidRPr="00DE096C" w:rsidRDefault="00BA24E5" w:rsidP="00D45A46">
      <w:pPr>
        <w:jc w:val="both"/>
        <w:rPr>
          <w:bCs/>
          <w:color w:val="002060"/>
          <w:sz w:val="16"/>
          <w:szCs w:val="16"/>
        </w:rPr>
      </w:pPr>
      <w:r w:rsidRPr="00DE096C">
        <w:rPr>
          <w:bCs/>
          <w:color w:val="002060"/>
          <w:sz w:val="16"/>
          <w:szCs w:val="16"/>
        </w:rPr>
        <w:t>Поперечная устойчивость регулируется обычным способом, посредством подвижных клапанов, устроенных в задних частях концов двух верхних поверхностей.</w:t>
      </w:r>
    </w:p>
    <w:p w14:paraId="51CE26E7" w14:textId="77777777" w:rsidR="00BA24E5" w:rsidRPr="00DE096C" w:rsidRDefault="00BA24E5" w:rsidP="00D45A46">
      <w:pPr>
        <w:jc w:val="both"/>
        <w:rPr>
          <w:bCs/>
          <w:color w:val="002060"/>
          <w:sz w:val="16"/>
          <w:szCs w:val="16"/>
        </w:rPr>
      </w:pPr>
      <w:r w:rsidRPr="00DE096C">
        <w:rPr>
          <w:bCs/>
          <w:color w:val="002060"/>
          <w:sz w:val="16"/>
          <w:szCs w:val="16"/>
        </w:rPr>
        <w:t>В хвостовой части аэроплана расположен стабилизатор (треугольной формы), к ко</w:t>
      </w:r>
      <w:r w:rsidRPr="00DE096C">
        <w:rPr>
          <w:bCs/>
          <w:color w:val="002060"/>
          <w:sz w:val="16"/>
          <w:szCs w:val="16"/>
        </w:rPr>
        <w:softHyphen/>
        <w:t>торому укреплен руль глубины.</w:t>
      </w:r>
    </w:p>
    <w:p w14:paraId="6CB73EC9" w14:textId="77777777" w:rsidR="00BA24E5" w:rsidRPr="00DE096C" w:rsidRDefault="00BA24E5" w:rsidP="00D45A46">
      <w:pPr>
        <w:jc w:val="both"/>
        <w:rPr>
          <w:bCs/>
          <w:color w:val="002060"/>
          <w:sz w:val="16"/>
          <w:szCs w:val="16"/>
        </w:rPr>
      </w:pPr>
      <w:r w:rsidRPr="00DE096C">
        <w:rPr>
          <w:bCs/>
          <w:color w:val="002060"/>
          <w:sz w:val="16"/>
          <w:szCs w:val="16"/>
        </w:rPr>
        <w:t>В вырезе последнего помещается мощный вертикальный руль направления. Все ор</w:t>
      </w:r>
      <w:r w:rsidRPr="00DE096C">
        <w:rPr>
          <w:bCs/>
          <w:color w:val="002060"/>
          <w:sz w:val="16"/>
          <w:szCs w:val="16"/>
        </w:rPr>
        <w:softHyphen/>
        <w:t>ганы управления соединяются двойными, весьма прочными стальными тросами с пилот</w:t>
      </w:r>
      <w:r w:rsidRPr="00DE096C">
        <w:rPr>
          <w:bCs/>
          <w:color w:val="002060"/>
          <w:sz w:val="16"/>
          <w:szCs w:val="16"/>
        </w:rPr>
        <w:softHyphen/>
        <w:t>ским штурвалом (одним или двумя, по желанию военного ведомства).</w:t>
      </w:r>
    </w:p>
    <w:p w14:paraId="4CF0A12D" w14:textId="77777777" w:rsidR="00BA24E5" w:rsidRPr="00DE096C" w:rsidRDefault="00BA24E5" w:rsidP="00D45A46">
      <w:pPr>
        <w:jc w:val="both"/>
        <w:rPr>
          <w:bCs/>
          <w:color w:val="002060"/>
          <w:sz w:val="16"/>
          <w:szCs w:val="16"/>
        </w:rPr>
      </w:pPr>
      <w:r w:rsidRPr="00DE096C">
        <w:rPr>
          <w:bCs/>
          <w:color w:val="002060"/>
          <w:sz w:val="16"/>
          <w:szCs w:val="16"/>
        </w:rPr>
        <w:t>Пропеллеры помещены по обеим сторонам тела, позади несущих поверхностей, при</w:t>
      </w:r>
      <w:r w:rsidRPr="00DE096C">
        <w:rPr>
          <w:bCs/>
          <w:color w:val="002060"/>
          <w:sz w:val="16"/>
          <w:szCs w:val="16"/>
        </w:rPr>
        <w:softHyphen/>
        <w:t>чем нижняя поверхность, благодаря ступенчатому расположению, прикрывает снизу пропеллеры и защищает их от повреждения щепками, камешками и т.д., часто подни</w:t>
      </w:r>
      <w:r w:rsidRPr="00DE096C">
        <w:rPr>
          <w:bCs/>
          <w:color w:val="002060"/>
          <w:sz w:val="16"/>
          <w:szCs w:val="16"/>
        </w:rPr>
        <w:softHyphen/>
        <w:t>мающимися с земли при пуске в ход пропеллера.</w:t>
      </w:r>
    </w:p>
    <w:p w14:paraId="46641470" w14:textId="77777777" w:rsidR="00BA24E5" w:rsidRPr="00DE096C" w:rsidRDefault="00BA24E5" w:rsidP="00D45A46">
      <w:pPr>
        <w:jc w:val="both"/>
        <w:rPr>
          <w:bCs/>
          <w:color w:val="002060"/>
          <w:sz w:val="16"/>
          <w:szCs w:val="16"/>
        </w:rPr>
      </w:pPr>
      <w:r w:rsidRPr="00DE096C">
        <w:rPr>
          <w:bCs/>
          <w:color w:val="002060"/>
          <w:sz w:val="16"/>
          <w:szCs w:val="16"/>
        </w:rPr>
        <w:t>Шасси самолёта-истребителя состоит из двух пар главных пневматических колес, оси которых скрыты для уменьшения лобового сопротивления в теле аппарата и одной па</w:t>
      </w:r>
      <w:r w:rsidRPr="00DE096C">
        <w:rPr>
          <w:bCs/>
          <w:color w:val="002060"/>
          <w:sz w:val="16"/>
          <w:szCs w:val="16"/>
        </w:rPr>
        <w:softHyphen/>
        <w:t>ры малых колес, предохраняющих нос аппарата от зарывания в землю при чрезмерном его наклоне. Расположение колес видно из чертежей.</w:t>
      </w:r>
    </w:p>
    <w:p w14:paraId="0870E568" w14:textId="77777777" w:rsidR="00BA24E5" w:rsidRPr="00DE096C" w:rsidRDefault="00BA24E5" w:rsidP="00D45A46">
      <w:pPr>
        <w:jc w:val="both"/>
        <w:rPr>
          <w:bCs/>
          <w:color w:val="002060"/>
          <w:sz w:val="16"/>
          <w:szCs w:val="16"/>
        </w:rPr>
      </w:pPr>
      <w:r w:rsidRPr="00DE096C">
        <w:rPr>
          <w:bCs/>
          <w:color w:val="002060"/>
          <w:sz w:val="16"/>
          <w:szCs w:val="16"/>
        </w:rPr>
        <w:t>Представляемые при сем чертежи общего устройства самолёта-истребителя, соста</w:t>
      </w:r>
      <w:r w:rsidRPr="00DE096C">
        <w:rPr>
          <w:bCs/>
          <w:color w:val="002060"/>
          <w:sz w:val="16"/>
          <w:szCs w:val="16"/>
        </w:rPr>
        <w:softHyphen/>
        <w:t>вленные в масштабе 1/40...»</w:t>
      </w:r>
      <w:r w:rsidRPr="00DE096C">
        <w:rPr>
          <w:bCs/>
          <w:color w:val="002060"/>
          <w:sz w:val="16"/>
          <w:szCs w:val="16"/>
          <w:vertAlign w:val="superscript"/>
        </w:rPr>
        <w:t>21</w:t>
      </w:r>
      <w:r w:rsidRPr="00DE096C">
        <w:rPr>
          <w:bCs/>
          <w:color w:val="002060"/>
          <w:sz w:val="16"/>
          <w:szCs w:val="16"/>
        </w:rPr>
        <w:t>, к сожалению, пока обнаружить не удалось (15782).</w:t>
      </w:r>
    </w:p>
    <w:p w14:paraId="7C440382" w14:textId="77777777" w:rsidR="00BA24E5" w:rsidRPr="00DE096C" w:rsidRDefault="00BA24E5" w:rsidP="00D45A46">
      <w:pPr>
        <w:jc w:val="both"/>
        <w:rPr>
          <w:bCs/>
          <w:color w:val="002060"/>
          <w:sz w:val="16"/>
          <w:szCs w:val="16"/>
        </w:rPr>
      </w:pPr>
    </w:p>
    <w:p w14:paraId="4E233831" w14:textId="77777777" w:rsidR="00C86A5B" w:rsidRPr="00DE096C" w:rsidRDefault="00C86A5B" w:rsidP="00D45A46">
      <w:pPr>
        <w:jc w:val="both"/>
        <w:rPr>
          <w:bCs/>
          <w:color w:val="002060"/>
          <w:sz w:val="16"/>
          <w:szCs w:val="16"/>
        </w:rPr>
      </w:pPr>
      <w:r w:rsidRPr="00DE096C">
        <w:rPr>
          <w:bCs/>
          <w:color w:val="002060"/>
          <w:sz w:val="16"/>
          <w:szCs w:val="16"/>
        </w:rPr>
        <w:t xml:space="preserve">26 апреля (9 мая) в 1914 году У.Невелл выполняет первый в Великобритании прыжок с парашютом из аэроплана. Прыжок Невелла, покинувшего борт аэроплана </w:t>
      </w:r>
      <w:hyperlink r:id="rId11" w:tgtFrame="_blank" w:history="1">
        <w:r w:rsidRPr="00DE096C">
          <w:rPr>
            <w:bCs/>
            <w:color w:val="002060"/>
            <w:sz w:val="16"/>
            <w:szCs w:val="16"/>
          </w:rPr>
          <w:t xml:space="preserve">«Грэхем-Уайт» «Чарабэнк» («Grahame-White» «Type X» «Charabanc») </w:t>
        </w:r>
      </w:hyperlink>
      <w:r w:rsidRPr="00DE096C">
        <w:rPr>
          <w:bCs/>
          <w:color w:val="002060"/>
          <w:sz w:val="16"/>
          <w:szCs w:val="16"/>
        </w:rPr>
        <w:t>на высоте 610 метров с парашютом весом 18 кг и диаметром купола 7,9 метра, длится 2 минуты 22 секунды (14886).</w:t>
      </w:r>
    </w:p>
    <w:p w14:paraId="382F7C87" w14:textId="77777777" w:rsidR="00C86A5B" w:rsidRPr="00DE096C" w:rsidRDefault="00C86A5B" w:rsidP="00D45A46">
      <w:pPr>
        <w:jc w:val="both"/>
        <w:rPr>
          <w:bCs/>
          <w:color w:val="002060"/>
          <w:sz w:val="16"/>
          <w:szCs w:val="16"/>
        </w:rPr>
      </w:pPr>
    </w:p>
    <w:p w14:paraId="4E7FB07D" w14:textId="77777777" w:rsidR="006C4AC3" w:rsidRPr="00DE096C" w:rsidRDefault="006C4AC3" w:rsidP="00D45A46">
      <w:pPr>
        <w:jc w:val="both"/>
        <w:rPr>
          <w:bCs/>
          <w:color w:val="002060"/>
          <w:sz w:val="16"/>
          <w:szCs w:val="16"/>
        </w:rPr>
      </w:pPr>
      <w:r w:rsidRPr="00DE096C">
        <w:rPr>
          <w:bCs/>
          <w:color w:val="002060"/>
          <w:sz w:val="16"/>
          <w:szCs w:val="16"/>
        </w:rPr>
        <w:t>26 апреля (9 мая) 1914 - У.Ньюэлл выполняет первый в Великобритании прыжок с парашютом из аэроплана. Прыжок Ньюэлла, покинувшего борт аэроплана Грэхем-Уайт «Чарабэнк» (Grahame-White Type X Charabanc) на высоте 610 метров с парашютом весом 18 кг и диаметром купола 7,9 метра, длится 2 минуты 22 секунды (22508).</w:t>
      </w:r>
    </w:p>
    <w:p w14:paraId="13A2942A" w14:textId="77777777" w:rsidR="006C4AC3" w:rsidRPr="00DE096C" w:rsidRDefault="006C4AC3" w:rsidP="00D45A46">
      <w:pPr>
        <w:jc w:val="both"/>
        <w:rPr>
          <w:bCs/>
          <w:color w:val="002060"/>
          <w:sz w:val="16"/>
          <w:szCs w:val="16"/>
        </w:rPr>
      </w:pPr>
    </w:p>
    <w:p w14:paraId="10C920E3" w14:textId="77777777" w:rsidR="00C86A5B" w:rsidRPr="00DE096C" w:rsidRDefault="00C86A5B" w:rsidP="00D45A46">
      <w:pPr>
        <w:jc w:val="both"/>
        <w:rPr>
          <w:bCs/>
          <w:color w:val="002060"/>
          <w:sz w:val="16"/>
          <w:szCs w:val="16"/>
        </w:rPr>
      </w:pPr>
      <w:r w:rsidRPr="00DE096C">
        <w:rPr>
          <w:bCs/>
          <w:color w:val="002060"/>
          <w:sz w:val="16"/>
          <w:szCs w:val="16"/>
        </w:rPr>
        <w:t>26 апреля (9 мая) в 1914 году Луи Ноэль (Louis Noel) поднял самолет «Grahame-White» «Type XI» «Military» в небо. Уже после первого полета летчик отметил, что у самолета перетяжелена носовая часть и недостаточно длинный хвост, а так же слишком узкие крылья. Какая либо еще информация о «Type XI» отсутствует - похоже на фирме решили, что легче самолет разобрать, чем переделать (14886).</w:t>
      </w:r>
    </w:p>
    <w:p w14:paraId="0EFF4FC7" w14:textId="77777777" w:rsidR="00C86A5B" w:rsidRPr="00DE096C" w:rsidRDefault="00C86A5B" w:rsidP="00D45A46">
      <w:pPr>
        <w:jc w:val="both"/>
        <w:rPr>
          <w:bCs/>
          <w:color w:val="002060"/>
          <w:sz w:val="16"/>
          <w:szCs w:val="16"/>
        </w:rPr>
      </w:pPr>
    </w:p>
    <w:p w14:paraId="73A43851" w14:textId="77777777" w:rsidR="00C86A5B" w:rsidRPr="00DE096C" w:rsidRDefault="00C86A5B" w:rsidP="00D45A46">
      <w:pPr>
        <w:jc w:val="both"/>
        <w:rPr>
          <w:bCs/>
          <w:i/>
          <w:color w:val="002060"/>
          <w:sz w:val="16"/>
          <w:szCs w:val="16"/>
        </w:rPr>
      </w:pPr>
      <w:r w:rsidRPr="00DE096C">
        <w:rPr>
          <w:bCs/>
          <w:i/>
          <w:color w:val="002060"/>
          <w:sz w:val="16"/>
          <w:szCs w:val="16"/>
        </w:rPr>
        <w:t>Авиация и воздухоплавание Франции:</w:t>
      </w:r>
    </w:p>
    <w:p w14:paraId="7E117003" w14:textId="77777777" w:rsidR="00C86A5B" w:rsidRPr="00DE096C" w:rsidRDefault="00C86A5B" w:rsidP="00D45A46">
      <w:pPr>
        <w:jc w:val="both"/>
        <w:rPr>
          <w:bCs/>
          <w:i/>
          <w:color w:val="002060"/>
          <w:sz w:val="16"/>
          <w:szCs w:val="16"/>
        </w:rPr>
      </w:pPr>
    </w:p>
    <w:p w14:paraId="7E031534" w14:textId="77777777" w:rsidR="00C86A5B" w:rsidRPr="00DE096C" w:rsidRDefault="00C86A5B" w:rsidP="00D45A46">
      <w:pPr>
        <w:pStyle w:val="2"/>
        <w:spacing w:before="0" w:after="0"/>
        <w:jc w:val="both"/>
        <w:rPr>
          <w:b w:val="0"/>
          <w:bCs/>
          <w:color w:val="002060"/>
          <w:sz w:val="16"/>
          <w:szCs w:val="16"/>
        </w:rPr>
      </w:pPr>
      <w:r w:rsidRPr="00DE096C">
        <w:rPr>
          <w:b w:val="0"/>
          <w:bCs/>
          <w:color w:val="002060"/>
          <w:sz w:val="16"/>
          <w:szCs w:val="16"/>
        </w:rPr>
        <w:t>27 апреля (10 мая) (1914) в Бюке состоялся матч между знаменитыми авиаторами Гарро и Одемарой наКрасотуи с фигурными полетами. Очень интересным зрелищем была симуляция воздушной битвы, где оба пилота гонялись друг за другом и увертывались, описывая причудливые линии в воздухе.» О предстоящих смертельных воздушных схватках тогда еще не имели совсем никакого представления, и «победителем был признан Гарро, демонстрировавший мертвые петли на маленькой высоте сейчас же после взлета с земли» (15464).</w:t>
      </w:r>
    </w:p>
    <w:p w14:paraId="57515E4E" w14:textId="77777777" w:rsidR="00C86A5B" w:rsidRPr="00DE096C" w:rsidRDefault="00C86A5B" w:rsidP="00D45A46">
      <w:pPr>
        <w:pStyle w:val="2"/>
        <w:spacing w:before="0" w:after="0"/>
        <w:jc w:val="both"/>
        <w:rPr>
          <w:b w:val="0"/>
          <w:bCs/>
          <w:color w:val="002060"/>
          <w:sz w:val="16"/>
          <w:szCs w:val="16"/>
        </w:rPr>
      </w:pPr>
    </w:p>
    <w:p w14:paraId="6FECF4C7" w14:textId="77777777" w:rsidR="00B67D7C" w:rsidRPr="00DE096C" w:rsidRDefault="00B67D7C" w:rsidP="00D45A46">
      <w:pPr>
        <w:jc w:val="both"/>
        <w:rPr>
          <w:bCs/>
          <w:color w:val="002060"/>
          <w:sz w:val="16"/>
          <w:szCs w:val="16"/>
        </w:rPr>
      </w:pPr>
      <w:r w:rsidRPr="00DE096C">
        <w:rPr>
          <w:bCs/>
          <w:color w:val="002060"/>
          <w:sz w:val="16"/>
          <w:szCs w:val="16"/>
        </w:rPr>
        <w:t>План 1914 года констатирует, что в случае возникновения европейской войны ГЛАВНОЙ задачей Черноморского флота является предотвращение возможности прохода неприятельских эскадр в Черное море своевременных захватом Босфорского пролива и превращением его в стационарную минно-артиллерийскую позицию. В качестве цены за овладение проливом потеря ВСЕГО Черноморского флота представлялась вполне приемлимой. На этом мнениии политического руководства Российской Империи и был построен план операций Черноморского флота на 1914 год (12284).</w:t>
      </w:r>
    </w:p>
    <w:p w14:paraId="70776CD4" w14:textId="77777777" w:rsidR="00B67D7C" w:rsidRPr="00DE096C" w:rsidRDefault="00B67D7C" w:rsidP="00D45A46">
      <w:pPr>
        <w:jc w:val="both"/>
        <w:rPr>
          <w:bCs/>
          <w:color w:val="002060"/>
          <w:sz w:val="16"/>
          <w:szCs w:val="16"/>
        </w:rPr>
      </w:pPr>
    </w:p>
    <w:p w14:paraId="3096E8A5" w14:textId="77777777" w:rsidR="00B67D7C" w:rsidRPr="00DE096C" w:rsidRDefault="00B67D7C" w:rsidP="00D45A46">
      <w:pPr>
        <w:jc w:val="both"/>
        <w:rPr>
          <w:bCs/>
          <w:i/>
          <w:color w:val="002060"/>
          <w:sz w:val="16"/>
          <w:szCs w:val="16"/>
        </w:rPr>
      </w:pPr>
      <w:r w:rsidRPr="00DE096C">
        <w:rPr>
          <w:bCs/>
          <w:i/>
          <w:color w:val="002060"/>
          <w:sz w:val="16"/>
          <w:szCs w:val="16"/>
        </w:rPr>
        <w:t>Самолетостроение:</w:t>
      </w:r>
    </w:p>
    <w:p w14:paraId="2867BD83" w14:textId="77777777" w:rsidR="00B67D7C" w:rsidRPr="00DE096C" w:rsidRDefault="00B67D7C" w:rsidP="00D45A46">
      <w:pPr>
        <w:jc w:val="both"/>
        <w:rPr>
          <w:bCs/>
          <w:i/>
          <w:color w:val="002060"/>
          <w:sz w:val="16"/>
          <w:szCs w:val="16"/>
        </w:rPr>
      </w:pPr>
    </w:p>
    <w:p w14:paraId="391B786A" w14:textId="77777777" w:rsidR="00B033D7" w:rsidRPr="00B52707" w:rsidRDefault="00B033D7" w:rsidP="00B033D7">
      <w:pPr>
        <w:jc w:val="both"/>
        <w:rPr>
          <w:color w:val="0070C0"/>
          <w:sz w:val="16"/>
          <w:szCs w:val="16"/>
        </w:rPr>
      </w:pPr>
      <w:r w:rsidRPr="00B52707">
        <w:rPr>
          <w:color w:val="0070C0"/>
          <w:sz w:val="16"/>
          <w:szCs w:val="16"/>
        </w:rPr>
        <w:t>29 апреля (12 мая) 1914 г. Военное ведомство заключило с РБВЗ контракт № 2685/1515 на постройку 10 кораблей. В связи с этим все дальнейшие модификации со многими доработками, вариантами вооружения служили его предназначению как тяжелого бомбардировщика (24965).</w:t>
      </w:r>
    </w:p>
    <w:p w14:paraId="6DE758EA" w14:textId="77777777" w:rsidR="00B033D7" w:rsidRPr="00B52707" w:rsidRDefault="00B033D7" w:rsidP="00B033D7">
      <w:pPr>
        <w:jc w:val="both"/>
        <w:rPr>
          <w:color w:val="0070C0"/>
          <w:sz w:val="16"/>
          <w:szCs w:val="16"/>
        </w:rPr>
      </w:pPr>
    </w:p>
    <w:p w14:paraId="5F4B041D" w14:textId="77777777" w:rsidR="00B033D7" w:rsidRPr="00B52707" w:rsidRDefault="00B033D7" w:rsidP="00B033D7">
      <w:pPr>
        <w:jc w:val="both"/>
        <w:rPr>
          <w:color w:val="0070C0"/>
          <w:sz w:val="16"/>
          <w:szCs w:val="16"/>
        </w:rPr>
      </w:pPr>
      <w:r w:rsidRPr="00B52707">
        <w:rPr>
          <w:color w:val="0070C0"/>
          <w:sz w:val="16"/>
          <w:szCs w:val="16"/>
        </w:rPr>
        <w:t>29 апреля (12 мая) 1914 г. последовал заказ Главного военно-техни</w:t>
      </w:r>
      <w:r w:rsidRPr="00B52707">
        <w:rPr>
          <w:color w:val="0070C0"/>
          <w:sz w:val="16"/>
          <w:szCs w:val="16"/>
        </w:rPr>
        <w:softHyphen/>
        <w:t>ческого управления (ГВТУ) на 10 «Муромцев» для армии, а после начала войны было заказано еще 32 самолета (24966).</w:t>
      </w:r>
    </w:p>
    <w:p w14:paraId="5BE9B728" w14:textId="77777777" w:rsidR="00B033D7" w:rsidRPr="00B52707" w:rsidRDefault="00B033D7" w:rsidP="00B033D7">
      <w:pPr>
        <w:jc w:val="both"/>
        <w:rPr>
          <w:color w:val="0070C0"/>
          <w:sz w:val="16"/>
          <w:szCs w:val="16"/>
        </w:rPr>
      </w:pPr>
    </w:p>
    <w:p w14:paraId="2EDE0D94" w14:textId="61791F48" w:rsidR="00B67D7C" w:rsidRPr="00DE096C" w:rsidRDefault="00B67D7C" w:rsidP="00D45A46">
      <w:pPr>
        <w:jc w:val="both"/>
        <w:rPr>
          <w:bCs/>
          <w:color w:val="002060"/>
          <w:sz w:val="16"/>
          <w:szCs w:val="16"/>
        </w:rPr>
      </w:pPr>
      <w:r w:rsidRPr="00DE096C">
        <w:rPr>
          <w:bCs/>
          <w:color w:val="002060"/>
          <w:sz w:val="16"/>
          <w:szCs w:val="16"/>
        </w:rPr>
        <w:t>29 апреля (1</w:t>
      </w:r>
      <w:r w:rsidR="00DE4B43" w:rsidRPr="00DE096C">
        <w:rPr>
          <w:bCs/>
          <w:color w:val="002060"/>
          <w:sz w:val="16"/>
          <w:szCs w:val="16"/>
        </w:rPr>
        <w:t>2</w:t>
      </w:r>
      <w:r w:rsidRPr="00DE096C">
        <w:rPr>
          <w:bCs/>
          <w:color w:val="002060"/>
          <w:sz w:val="16"/>
          <w:szCs w:val="16"/>
        </w:rPr>
        <w:t xml:space="preserve"> мая) 1914 года авиационный комитет (флота) собрался на совещание, чтобы определить: есть ли за рубежом аппараты, которые отвечали бы выработанным им требованиям. Поскольку сведения о данных зарубежных аппаратов отсутствовали, то комитет решил приобретать самолеты за границей только после получения о них точных данных и испытания их в воздухе. Было принято следующее решение о закупке самолетов в текущем году. </w:t>
      </w:r>
    </w:p>
    <w:p w14:paraId="17BBA914" w14:textId="77777777" w:rsidR="00B67D7C" w:rsidRPr="00DE096C" w:rsidRDefault="00B67D7C" w:rsidP="00D45A46">
      <w:pPr>
        <w:jc w:val="both"/>
        <w:rPr>
          <w:bCs/>
          <w:color w:val="002060"/>
          <w:sz w:val="16"/>
          <w:szCs w:val="16"/>
        </w:rPr>
      </w:pPr>
      <w:r w:rsidRPr="00DE096C">
        <w:rPr>
          <w:bCs/>
          <w:color w:val="002060"/>
          <w:sz w:val="16"/>
          <w:szCs w:val="16"/>
        </w:rPr>
        <w:t xml:space="preserve">1. В случае, если поплавковый «Илья Муромец» покажет хорошие результаты, заказать РБВЗ еще три машины такого типа и двенадцать разведчиков «Шорт» или «Авро» (по шесть штук каждого типа или все одного типа в зависимости от результатов испытаний). </w:t>
      </w:r>
    </w:p>
    <w:p w14:paraId="15523497" w14:textId="77777777" w:rsidR="00B67D7C" w:rsidRPr="00DE096C" w:rsidRDefault="00B67D7C" w:rsidP="00D45A46">
      <w:pPr>
        <w:jc w:val="both"/>
        <w:rPr>
          <w:bCs/>
          <w:color w:val="002060"/>
          <w:sz w:val="16"/>
          <w:szCs w:val="16"/>
        </w:rPr>
      </w:pPr>
      <w:r w:rsidRPr="00DE096C">
        <w:rPr>
          <w:bCs/>
          <w:color w:val="002060"/>
          <w:sz w:val="16"/>
          <w:szCs w:val="16"/>
        </w:rPr>
        <w:t xml:space="preserve">2. Если же испытания «Ильи Муромца» не дадут положительных результатов, то заказать по восемь самолетов «Шорт» или «Авро» (или все шестнадцать одного типа в зависимости от результатов). </w:t>
      </w:r>
    </w:p>
    <w:p w14:paraId="0DB853E9" w14:textId="77777777" w:rsidR="00B67D7C" w:rsidRPr="00DE096C" w:rsidRDefault="00B67D7C" w:rsidP="00D45A46">
      <w:pPr>
        <w:jc w:val="both"/>
        <w:rPr>
          <w:bCs/>
          <w:color w:val="002060"/>
          <w:sz w:val="16"/>
          <w:szCs w:val="16"/>
        </w:rPr>
      </w:pPr>
      <w:r w:rsidRPr="00DE096C">
        <w:rPr>
          <w:bCs/>
          <w:color w:val="002060"/>
          <w:sz w:val="16"/>
          <w:szCs w:val="16"/>
        </w:rPr>
        <w:t xml:space="preserve">Результаты совещания авиационного комитета показали, что у морских летчиков еще не было веры в русских конструкторов и отечественную промышленность. </w:t>
      </w:r>
    </w:p>
    <w:p w14:paraId="7377B6F5" w14:textId="77777777" w:rsidR="00B67D7C" w:rsidRPr="00DE096C" w:rsidRDefault="00B67D7C" w:rsidP="00D45A46">
      <w:pPr>
        <w:jc w:val="both"/>
        <w:rPr>
          <w:bCs/>
          <w:color w:val="002060"/>
          <w:sz w:val="16"/>
          <w:szCs w:val="16"/>
        </w:rPr>
      </w:pPr>
      <w:r w:rsidRPr="00DE096C">
        <w:rPr>
          <w:bCs/>
          <w:color w:val="002060"/>
          <w:sz w:val="16"/>
          <w:szCs w:val="16"/>
        </w:rPr>
        <w:t xml:space="preserve">На очередном заседании 6 мая авиационный комитет рассмотрел недостатки гидросамолетов, находящихся на авиационной станции в Либаве. Были сделаны следующие заключения: </w:t>
      </w:r>
    </w:p>
    <w:p w14:paraId="52B2C060" w14:textId="77777777" w:rsidR="00B67D7C" w:rsidRPr="00DE096C" w:rsidRDefault="00B67D7C" w:rsidP="00D45A46">
      <w:pPr>
        <w:pStyle w:val="Blockquote"/>
        <w:spacing w:before="0" w:after="0"/>
        <w:ind w:left="0" w:right="0"/>
        <w:jc w:val="both"/>
        <w:rPr>
          <w:bCs/>
          <w:color w:val="002060"/>
          <w:sz w:val="16"/>
          <w:szCs w:val="16"/>
        </w:rPr>
      </w:pPr>
      <w:r w:rsidRPr="00DE096C">
        <w:rPr>
          <w:bCs/>
          <w:color w:val="002060"/>
          <w:sz w:val="16"/>
          <w:szCs w:val="16"/>
        </w:rPr>
        <w:t xml:space="preserve">- «Сикорский-10» — имеет неудовлетворительные аэродинамические свойства, неустойчив на виражах (скользил на крыло), немореходен, неудобен в управлении и не имеет самопуска для мотора; </w:t>
      </w:r>
    </w:p>
    <w:p w14:paraId="2E8B07F4" w14:textId="77777777" w:rsidR="00B67D7C" w:rsidRPr="00DE096C" w:rsidRDefault="00B67D7C" w:rsidP="00D45A46">
      <w:pPr>
        <w:pStyle w:val="Blockquote"/>
        <w:spacing w:before="0" w:after="0"/>
        <w:ind w:left="0" w:right="0"/>
        <w:jc w:val="both"/>
        <w:rPr>
          <w:bCs/>
          <w:color w:val="002060"/>
          <w:sz w:val="16"/>
          <w:szCs w:val="16"/>
        </w:rPr>
      </w:pPr>
      <w:r w:rsidRPr="00DE096C">
        <w:rPr>
          <w:bCs/>
          <w:color w:val="002060"/>
          <w:sz w:val="16"/>
          <w:szCs w:val="16"/>
        </w:rPr>
        <w:t xml:space="preserve">— «Анри Формат — имеет малую скорость и малую грузоподъемность; </w:t>
      </w:r>
    </w:p>
    <w:p w14:paraId="26BCF6C1" w14:textId="77777777" w:rsidR="00B67D7C" w:rsidRPr="00DE096C" w:rsidRDefault="00B67D7C" w:rsidP="00D45A46">
      <w:pPr>
        <w:pStyle w:val="Blockquote"/>
        <w:spacing w:before="0" w:after="0"/>
        <w:ind w:left="0" w:right="0"/>
        <w:jc w:val="both"/>
        <w:rPr>
          <w:bCs/>
          <w:color w:val="002060"/>
          <w:sz w:val="16"/>
          <w:szCs w:val="16"/>
        </w:rPr>
      </w:pPr>
      <w:r w:rsidRPr="00DE096C">
        <w:rPr>
          <w:bCs/>
          <w:color w:val="002060"/>
          <w:sz w:val="16"/>
          <w:szCs w:val="16"/>
        </w:rPr>
        <w:t>— лодка «Доннэ-Левек» — слаба по конструкции, моторная установка ее не надежна, и лодка опасна при планировании».</w:t>
      </w:r>
    </w:p>
    <w:p w14:paraId="3A531F28" w14:textId="77777777" w:rsidR="00B67D7C" w:rsidRPr="00DE096C" w:rsidRDefault="00B67D7C" w:rsidP="00D45A46">
      <w:pPr>
        <w:jc w:val="both"/>
        <w:rPr>
          <w:bCs/>
          <w:color w:val="002060"/>
          <w:sz w:val="16"/>
          <w:szCs w:val="16"/>
        </w:rPr>
      </w:pPr>
      <w:r w:rsidRPr="00DE096C">
        <w:rPr>
          <w:bCs/>
          <w:color w:val="002060"/>
          <w:sz w:val="16"/>
          <w:szCs w:val="16"/>
        </w:rPr>
        <w:t xml:space="preserve">Авиационный комитет предложил самолеты этих типов в дальнейшем больше не заказывать, а находящиеся на вооружении перевести в учебные. </w:t>
      </w:r>
    </w:p>
    <w:p w14:paraId="21DF2197" w14:textId="77777777" w:rsidR="00B67D7C" w:rsidRPr="00DE096C" w:rsidRDefault="00B67D7C" w:rsidP="00D45A46">
      <w:pPr>
        <w:jc w:val="both"/>
        <w:rPr>
          <w:bCs/>
          <w:color w:val="002060"/>
          <w:sz w:val="16"/>
          <w:szCs w:val="16"/>
        </w:rPr>
      </w:pPr>
      <w:r w:rsidRPr="00DE096C">
        <w:rPr>
          <w:bCs/>
          <w:color w:val="002060"/>
          <w:sz w:val="16"/>
          <w:szCs w:val="16"/>
        </w:rPr>
        <w:t xml:space="preserve">С учетом этого предложения командующий морскими силами Балтийского моря представил начальнику Морского Генерального штаба доклад о снабжении авиации теми гидросамолетами, которые выбрали морские летчики. Для изучения в полете машин фирм «Авро», «Шорт» и «Виккерс» и возможности их закупок он просил командировать в Англию старшего лейтенанта Щербачева и авиационного инженера Шишкова. </w:t>
      </w:r>
    </w:p>
    <w:p w14:paraId="08187274" w14:textId="77777777" w:rsidR="00B67D7C" w:rsidRPr="00DE096C" w:rsidRDefault="00B67D7C" w:rsidP="00D45A46">
      <w:pPr>
        <w:jc w:val="both"/>
        <w:rPr>
          <w:bCs/>
          <w:color w:val="002060"/>
          <w:sz w:val="16"/>
          <w:szCs w:val="16"/>
        </w:rPr>
      </w:pPr>
      <w:r w:rsidRPr="00DE096C">
        <w:rPr>
          <w:bCs/>
          <w:color w:val="002060"/>
          <w:sz w:val="16"/>
          <w:szCs w:val="16"/>
        </w:rPr>
        <w:t xml:space="preserve">15 мая морской министр дал на это согласие, и 21 мая Щербачев и Шишков получили предписание выехать в Англию. [47] </w:t>
      </w:r>
    </w:p>
    <w:p w14:paraId="2CEB8264" w14:textId="77777777" w:rsidR="00B67D7C" w:rsidRPr="00DE096C" w:rsidRDefault="00B67D7C" w:rsidP="00D45A46">
      <w:pPr>
        <w:jc w:val="both"/>
        <w:rPr>
          <w:bCs/>
          <w:color w:val="002060"/>
          <w:sz w:val="16"/>
          <w:szCs w:val="16"/>
        </w:rPr>
      </w:pPr>
      <w:r w:rsidRPr="00DE096C">
        <w:rPr>
          <w:bCs/>
          <w:color w:val="002060"/>
          <w:sz w:val="16"/>
          <w:szCs w:val="16"/>
        </w:rPr>
        <w:t xml:space="preserve">Стоимость указанных гидросамолетов превышала 10 тыс. рублей, и по существовавшему положению на их приобретение требовалось разрешение министерства торговли и промышленности, которое на запрос морского министерства высказало пожелание, чтобы часть самолетов была приобретена на русских заводах, в частности на заводе Щетинина. На это Морской Генеральный штаб сообщил: </w:t>
      </w:r>
    </w:p>
    <w:p w14:paraId="61F5FD49" w14:textId="77777777" w:rsidR="00B67D7C" w:rsidRPr="00DE096C" w:rsidRDefault="00B67D7C" w:rsidP="00D45A46">
      <w:pPr>
        <w:pStyle w:val="Blockquote"/>
        <w:spacing w:before="0" w:after="0"/>
        <w:ind w:left="0" w:right="0"/>
        <w:jc w:val="both"/>
        <w:rPr>
          <w:bCs/>
          <w:color w:val="002060"/>
          <w:sz w:val="16"/>
          <w:szCs w:val="16"/>
        </w:rPr>
      </w:pPr>
      <w:r w:rsidRPr="00DE096C">
        <w:rPr>
          <w:bCs/>
          <w:color w:val="002060"/>
          <w:sz w:val="16"/>
          <w:szCs w:val="16"/>
        </w:rPr>
        <w:t>«...за границей появились новые типы гидросамолетов и для выбора наилучших необходимо заказать их небольшими сериями для нескольких летчиков, чтобы получить все необходимые данные об этих аппаратах. Что касается постройки летающей лодки Щетинина, то в случае ее положительных испытаний предполагается дать заводу заказ на несколько лодок для всесторонних испытаний. Однако ожидать результатов этих испытаний МГШ не считает возможным и полагает теперь же заказать за границей 24 гидросамолета разных систем».</w:t>
      </w:r>
    </w:p>
    <w:p w14:paraId="3502B3E2" w14:textId="77777777" w:rsidR="00B67D7C" w:rsidRPr="00DE096C" w:rsidRDefault="00B67D7C" w:rsidP="00D45A46">
      <w:pPr>
        <w:jc w:val="both"/>
        <w:rPr>
          <w:bCs/>
          <w:color w:val="002060"/>
          <w:sz w:val="16"/>
          <w:szCs w:val="16"/>
        </w:rPr>
      </w:pPr>
      <w:r w:rsidRPr="00DE096C">
        <w:rPr>
          <w:bCs/>
          <w:color w:val="002060"/>
          <w:sz w:val="16"/>
          <w:szCs w:val="16"/>
        </w:rPr>
        <w:t xml:space="preserve">Одновременно МГШ сообщил правлению завода Щетинина, что он предлагает провести испытания на авиастанции в Либаве заводским пилотом строящейся на заводе лодки. В случае успеха испытаний лодка будет приобретена морским ведомством, и если покажет потом хорошие результаты, то заводу будет дан заказ на несколько их штук. </w:t>
      </w:r>
    </w:p>
    <w:p w14:paraId="43BBC13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Альбатросы </w:t>
      </w:r>
    </w:p>
    <w:p w14:paraId="14EF3159" w14:textId="77777777" w:rsidR="00B67D7C" w:rsidRPr="00DE096C" w:rsidRDefault="00B67D7C" w:rsidP="00D45A46">
      <w:pPr>
        <w:shd w:val="clear" w:color="auto" w:fill="FFFFFF"/>
        <w:jc w:val="both"/>
        <w:rPr>
          <w:bCs/>
          <w:color w:val="002060"/>
          <w:sz w:val="16"/>
          <w:szCs w:val="16"/>
        </w:rPr>
      </w:pPr>
    </w:p>
    <w:p w14:paraId="3744CDD1"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w:t>
      </w:r>
    </w:p>
    <w:p w14:paraId="6598A463" w14:textId="77777777" w:rsidR="00B67D7C" w:rsidRPr="00DE096C" w:rsidRDefault="00B67D7C" w:rsidP="00D45A46">
      <w:pPr>
        <w:shd w:val="clear" w:color="auto" w:fill="FFFFFF"/>
        <w:jc w:val="both"/>
        <w:rPr>
          <w:bCs/>
          <w:i/>
          <w:color w:val="002060"/>
          <w:sz w:val="16"/>
          <w:szCs w:val="16"/>
        </w:rPr>
      </w:pPr>
    </w:p>
    <w:p w14:paraId="2BE76586" w14:textId="0DA66BE5" w:rsidR="00B67D7C" w:rsidRPr="00DE096C" w:rsidRDefault="00B67D7C" w:rsidP="00D45A46">
      <w:pPr>
        <w:shd w:val="clear" w:color="auto" w:fill="FFFFFF"/>
        <w:jc w:val="both"/>
        <w:rPr>
          <w:bCs/>
          <w:color w:val="002060"/>
          <w:sz w:val="16"/>
          <w:szCs w:val="16"/>
        </w:rPr>
      </w:pPr>
      <w:r w:rsidRPr="00DE096C">
        <w:rPr>
          <w:bCs/>
          <w:color w:val="002060"/>
          <w:sz w:val="16"/>
          <w:szCs w:val="16"/>
        </w:rPr>
        <w:lastRenderedPageBreak/>
        <w:t>29 апреля - 6 мая (1</w:t>
      </w:r>
      <w:r w:rsidR="00DE4B43" w:rsidRPr="00DE096C">
        <w:rPr>
          <w:bCs/>
          <w:color w:val="002060"/>
          <w:sz w:val="16"/>
          <w:szCs w:val="16"/>
        </w:rPr>
        <w:t>2</w:t>
      </w:r>
      <w:r w:rsidRPr="00DE096C">
        <w:rPr>
          <w:bCs/>
          <w:color w:val="002060"/>
          <w:sz w:val="16"/>
          <w:szCs w:val="16"/>
        </w:rPr>
        <w:t>-19 мая) 1914 в Петербурге состоялась 4-я авиационная неделя, закончившаяся рядом "бенефисных" дней в пользу выдающихся участников недели, показавших лучшие результаты в области высшего пилотажа. В состязаниях участвовало 13 летчиков, в числе французы Пуаре и Жануар. Авианеделя оказалась как в материальном, так и техническом отношениях самой удачной из всех ранее бывших. Призами отмечены летчики А.Е.Раевский, Г.В. Янковский и Е.Р.Шпицберг, как наиболее отличившиеся при вы</w:t>
      </w:r>
      <w:r w:rsidRPr="00DE096C">
        <w:rPr>
          <w:bCs/>
          <w:color w:val="002060"/>
          <w:sz w:val="16"/>
          <w:szCs w:val="16"/>
        </w:rPr>
        <w:softHyphen/>
        <w:t>полнении высшего пилотажа. Отмечены были также и французские летчики ("Аэро</w:t>
      </w:r>
      <w:r w:rsidRPr="00DE096C">
        <w:rPr>
          <w:bCs/>
          <w:color w:val="002060"/>
          <w:sz w:val="16"/>
          <w:szCs w:val="16"/>
          <w:vertAlign w:val="superscript"/>
        </w:rPr>
        <w:t>11</w:t>
      </w:r>
      <w:r w:rsidRPr="00DE096C">
        <w:rPr>
          <w:bCs/>
          <w:color w:val="002060"/>
          <w:sz w:val="16"/>
          <w:szCs w:val="16"/>
        </w:rPr>
        <w:t>. 1914, № 10; "Речь". 1914 г. 18 мая).</w:t>
      </w:r>
    </w:p>
    <w:p w14:paraId="672E8D4F" w14:textId="77777777" w:rsidR="00B67D7C" w:rsidRPr="00DE096C" w:rsidRDefault="00B67D7C" w:rsidP="00D45A46">
      <w:pPr>
        <w:shd w:val="clear" w:color="auto" w:fill="FFFFFF"/>
        <w:jc w:val="both"/>
        <w:rPr>
          <w:bCs/>
          <w:color w:val="002060"/>
          <w:sz w:val="16"/>
          <w:szCs w:val="16"/>
        </w:rPr>
      </w:pPr>
    </w:p>
    <w:p w14:paraId="2A9F0D68" w14:textId="77777777" w:rsidR="00A64F3E" w:rsidRPr="00DE096C" w:rsidRDefault="00A64F3E" w:rsidP="00D45A46">
      <w:pPr>
        <w:jc w:val="both"/>
        <w:rPr>
          <w:bCs/>
          <w:color w:val="002060"/>
          <w:sz w:val="16"/>
          <w:szCs w:val="16"/>
        </w:rPr>
      </w:pPr>
      <w:r w:rsidRPr="00DE096C">
        <w:rPr>
          <w:bCs/>
          <w:color w:val="002060"/>
          <w:sz w:val="16"/>
          <w:szCs w:val="16"/>
        </w:rPr>
        <w:t>29 апреля-6 мая (11-19 мая) 1912 г. в Петербурге состоялась 4-я авиационная неделя, закончившаяся рядом «бенефисных» дней в пользу выдающихся участни</w:t>
      </w:r>
      <w:r w:rsidRPr="00DE096C">
        <w:rPr>
          <w:bCs/>
          <w:color w:val="002060"/>
          <w:sz w:val="16"/>
          <w:szCs w:val="16"/>
        </w:rPr>
        <w:softHyphen/>
        <w:t>ков недели, показавших лучшие результаты в области высшего пилотажа. В состязаниях участвовало 13 летчиков, в том числе и французы Пуаре и Кануар. Авианеделя оказалась как в материальном, так и техническом отношениях самой удачной из всех ранее бывших. Призами отмечены летчики А.Е.Раевский, Г.В.Янковский и Е.Р.Шпицберг, как наиболее отличившиеся при выполнении высшего пилотажа .Отмечены были также и французские летчики.</w:t>
      </w:r>
    </w:p>
    <w:p w14:paraId="32D20FAC" w14:textId="77777777" w:rsidR="00A64F3E" w:rsidRPr="00DE096C" w:rsidRDefault="00A64F3E" w:rsidP="00D45A46">
      <w:pPr>
        <w:jc w:val="both"/>
        <w:rPr>
          <w:bCs/>
          <w:color w:val="002060"/>
          <w:sz w:val="16"/>
          <w:szCs w:val="16"/>
        </w:rPr>
      </w:pPr>
      <w:r w:rsidRPr="00DE096C">
        <w:rPr>
          <w:bCs/>
          <w:color w:val="002060"/>
          <w:sz w:val="16"/>
          <w:szCs w:val="16"/>
        </w:rPr>
        <w:t>/«Аэро»,1914, № 10; «Речь» за 18 мая 1914/ (23320).</w:t>
      </w:r>
    </w:p>
    <w:p w14:paraId="3FAFF880" w14:textId="77777777" w:rsidR="00A64F3E" w:rsidRPr="00DE096C" w:rsidRDefault="00A64F3E" w:rsidP="00D45A46">
      <w:pPr>
        <w:jc w:val="both"/>
        <w:rPr>
          <w:bCs/>
          <w:color w:val="002060"/>
          <w:sz w:val="16"/>
          <w:szCs w:val="16"/>
        </w:rPr>
      </w:pPr>
    </w:p>
    <w:p w14:paraId="7FF00269" w14:textId="5E7FBF73"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29 апреля </w:t>
      </w:r>
      <w:r w:rsidR="00DE4B43" w:rsidRPr="00DE096C">
        <w:rPr>
          <w:bCs/>
          <w:color w:val="002060"/>
          <w:sz w:val="16"/>
          <w:szCs w:val="16"/>
        </w:rPr>
        <w:t xml:space="preserve">(12 мая) </w:t>
      </w:r>
      <w:r w:rsidRPr="00DE096C">
        <w:rPr>
          <w:bCs/>
          <w:color w:val="002060"/>
          <w:sz w:val="16"/>
          <w:szCs w:val="16"/>
        </w:rPr>
        <w:t>1914 года на Комендант</w:t>
      </w:r>
      <w:r w:rsidRPr="00DE096C">
        <w:rPr>
          <w:bCs/>
          <w:color w:val="002060"/>
          <w:sz w:val="16"/>
          <w:szCs w:val="16"/>
        </w:rPr>
        <w:softHyphen/>
        <w:t>ском аэродроме</w:t>
      </w:r>
      <w:r w:rsidR="00DE4B43" w:rsidRPr="00DE096C">
        <w:rPr>
          <w:bCs/>
          <w:color w:val="002060"/>
          <w:sz w:val="16"/>
          <w:szCs w:val="16"/>
        </w:rPr>
        <w:t xml:space="preserve"> началась Четвертая авианеделя</w:t>
      </w:r>
      <w:r w:rsidRPr="00DE096C">
        <w:rPr>
          <w:bCs/>
          <w:color w:val="002060"/>
          <w:sz w:val="16"/>
          <w:szCs w:val="16"/>
        </w:rPr>
        <w:t>. В историю российской авиации она вошла под названи</w:t>
      </w:r>
      <w:r w:rsidRPr="00DE096C">
        <w:rPr>
          <w:bCs/>
          <w:color w:val="002060"/>
          <w:sz w:val="16"/>
          <w:szCs w:val="16"/>
        </w:rPr>
        <w:softHyphen/>
        <w:t>ем «бенефис мертвой петли». Практически почти все летчики-участники этой авианедели покоряли зрителей головокружительным пилотажем. По замыслу организаторов недели, к конкурсным полетам допуска</w:t>
      </w:r>
      <w:r w:rsidRPr="00DE096C">
        <w:rPr>
          <w:bCs/>
          <w:color w:val="002060"/>
          <w:sz w:val="16"/>
          <w:szCs w:val="16"/>
        </w:rPr>
        <w:softHyphen/>
        <w:t>лись только русские гражданские летчики. Таковых записалось 9 человек. Вне конкурса разрешалось принять участие иностранным и отечествен</w:t>
      </w:r>
      <w:r w:rsidRPr="00DE096C">
        <w:rPr>
          <w:bCs/>
          <w:color w:val="002060"/>
          <w:sz w:val="16"/>
          <w:szCs w:val="16"/>
        </w:rPr>
        <w:softHyphen/>
        <w:t>ным военным летчикам. Из числа конкурсантов ярче других блеснул пи</w:t>
      </w:r>
      <w:r w:rsidRPr="00DE096C">
        <w:rPr>
          <w:bCs/>
          <w:color w:val="002060"/>
          <w:sz w:val="16"/>
          <w:szCs w:val="16"/>
        </w:rPr>
        <w:softHyphen/>
        <w:t>лотажным мастерством А. Раевский. В одном из полетов он выполнил подряд 9 «мертвых петель», в другом - выполнил «мертвую петлю» на вы</w:t>
      </w:r>
      <w:r w:rsidRPr="00DE096C">
        <w:rPr>
          <w:bCs/>
          <w:color w:val="002060"/>
          <w:sz w:val="16"/>
          <w:szCs w:val="16"/>
        </w:rPr>
        <w:softHyphen/>
        <w:t>соте 100 метров. Интересной особенностью этих соревнований было по</w:t>
      </w:r>
      <w:r w:rsidRPr="00DE096C">
        <w:rPr>
          <w:bCs/>
          <w:color w:val="002060"/>
          <w:sz w:val="16"/>
          <w:szCs w:val="16"/>
        </w:rPr>
        <w:softHyphen/>
        <w:t>головное желание всех летчиков летать с пассажирами, в том числе и на пилотаж. Естественно, желающих слетать было более чем достаточно (11425).</w:t>
      </w:r>
    </w:p>
    <w:p w14:paraId="359979DF" w14:textId="77777777" w:rsidR="00B67D7C" w:rsidRPr="00DE096C" w:rsidRDefault="00B67D7C" w:rsidP="00D45A46">
      <w:pPr>
        <w:shd w:val="clear" w:color="auto" w:fill="FFFFFF"/>
        <w:jc w:val="both"/>
        <w:rPr>
          <w:bCs/>
          <w:color w:val="002060"/>
          <w:sz w:val="16"/>
          <w:szCs w:val="16"/>
        </w:rPr>
      </w:pPr>
    </w:p>
    <w:p w14:paraId="5BE52013"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Морская авиация:</w:t>
      </w:r>
    </w:p>
    <w:p w14:paraId="000C5E5C" w14:textId="77777777" w:rsidR="00B67D7C" w:rsidRPr="00DE096C" w:rsidRDefault="00B67D7C" w:rsidP="00D45A46">
      <w:pPr>
        <w:shd w:val="clear" w:color="auto" w:fill="FFFFFF"/>
        <w:jc w:val="both"/>
        <w:rPr>
          <w:bCs/>
          <w:i/>
          <w:color w:val="002060"/>
          <w:sz w:val="16"/>
          <w:szCs w:val="16"/>
        </w:rPr>
      </w:pPr>
    </w:p>
    <w:p w14:paraId="758CA0A6" w14:textId="0CD04401" w:rsidR="00B67D7C" w:rsidRPr="00DE096C" w:rsidRDefault="00DE4B43" w:rsidP="00D45A46">
      <w:pPr>
        <w:shd w:val="clear" w:color="auto" w:fill="FFFFFF"/>
        <w:jc w:val="both"/>
        <w:rPr>
          <w:bCs/>
          <w:color w:val="002060"/>
          <w:sz w:val="16"/>
          <w:szCs w:val="16"/>
        </w:rPr>
      </w:pPr>
      <w:r w:rsidRPr="00DE096C">
        <w:rPr>
          <w:bCs/>
          <w:color w:val="002060"/>
          <w:sz w:val="16"/>
          <w:szCs w:val="16"/>
        </w:rPr>
        <w:t>С</w:t>
      </w:r>
      <w:r w:rsidR="00B67D7C" w:rsidRPr="00DE096C">
        <w:rPr>
          <w:bCs/>
          <w:color w:val="002060"/>
          <w:sz w:val="16"/>
          <w:szCs w:val="16"/>
        </w:rPr>
        <w:t xml:space="preserve"> 29 апреля по 6 мая</w:t>
      </w:r>
      <w:r w:rsidRPr="00DE096C">
        <w:rPr>
          <w:bCs/>
          <w:color w:val="002060"/>
          <w:sz w:val="16"/>
          <w:szCs w:val="16"/>
        </w:rPr>
        <w:t xml:space="preserve"> (12-19 мая) Командующий морскими силами Балтийского моря «при отношении от 12 мая 1914 г. за №940 препроводил в Морской генераль</w:t>
      </w:r>
      <w:r w:rsidRPr="00DE096C">
        <w:rPr>
          <w:bCs/>
          <w:color w:val="002060"/>
          <w:sz w:val="16"/>
          <w:szCs w:val="16"/>
        </w:rPr>
        <w:softHyphen/>
        <w:t>ный штаб одоб</w:t>
      </w:r>
      <w:r w:rsidRPr="00DE096C">
        <w:rPr>
          <w:bCs/>
          <w:color w:val="002060"/>
          <w:sz w:val="16"/>
          <w:szCs w:val="16"/>
        </w:rPr>
        <w:softHyphen/>
        <w:t>ренные им журналы авиационного комитета службы Балтийского моря за № 1, 2 и 3</w:t>
      </w:r>
      <w:r w:rsidR="00B67D7C" w:rsidRPr="00DE096C">
        <w:rPr>
          <w:bCs/>
          <w:color w:val="002060"/>
          <w:sz w:val="16"/>
          <w:szCs w:val="16"/>
        </w:rPr>
        <w:t>.</w:t>
      </w:r>
    </w:p>
    <w:p w14:paraId="2EFBE71C" w14:textId="77777777" w:rsidR="00B67D7C" w:rsidRPr="00DE096C" w:rsidRDefault="00B67D7C" w:rsidP="00D45A46">
      <w:pPr>
        <w:pStyle w:val="a4"/>
        <w:spacing w:before="0" w:after="0"/>
        <w:jc w:val="both"/>
        <w:rPr>
          <w:bCs/>
          <w:color w:val="002060"/>
          <w:sz w:val="16"/>
          <w:szCs w:val="16"/>
        </w:rPr>
      </w:pPr>
      <w:r w:rsidRPr="00DE096C">
        <w:rPr>
          <w:bCs/>
          <w:color w:val="002060"/>
          <w:sz w:val="16"/>
          <w:szCs w:val="16"/>
        </w:rPr>
        <w:t>Используя их, начальник Морс</w:t>
      </w:r>
      <w:r w:rsidRPr="00DE096C">
        <w:rPr>
          <w:bCs/>
          <w:color w:val="002060"/>
          <w:sz w:val="16"/>
          <w:szCs w:val="16"/>
        </w:rPr>
        <w:softHyphen/>
        <w:t>кого генерального штаба вице-ад</w:t>
      </w:r>
      <w:r w:rsidRPr="00DE096C">
        <w:rPr>
          <w:bCs/>
          <w:color w:val="002060"/>
          <w:sz w:val="16"/>
          <w:szCs w:val="16"/>
        </w:rPr>
        <w:softHyphen/>
        <w:t>мирал А.И.Русин 15 мая 1914 г. представил доклад морскому мини</w:t>
      </w:r>
      <w:r w:rsidRPr="00DE096C">
        <w:rPr>
          <w:bCs/>
          <w:color w:val="002060"/>
          <w:sz w:val="16"/>
          <w:szCs w:val="16"/>
        </w:rPr>
        <w:softHyphen/>
        <w:t>стру, из которого следовало, что имеемые в настоящее время на станции гидроаэропланы не удов</w:t>
      </w:r>
      <w:r w:rsidRPr="00DE096C">
        <w:rPr>
          <w:bCs/>
          <w:color w:val="002060"/>
          <w:sz w:val="16"/>
          <w:szCs w:val="16"/>
        </w:rPr>
        <w:softHyphen/>
        <w:t>летворяют предъявляемым им тре</w:t>
      </w:r>
      <w:r w:rsidRPr="00DE096C">
        <w:rPr>
          <w:bCs/>
          <w:color w:val="002060"/>
          <w:sz w:val="16"/>
          <w:szCs w:val="16"/>
        </w:rPr>
        <w:softHyphen/>
        <w:t>бованиям: «В состав станции в на</w:t>
      </w:r>
      <w:r w:rsidRPr="00DE096C">
        <w:rPr>
          <w:bCs/>
          <w:color w:val="002060"/>
          <w:sz w:val="16"/>
          <w:szCs w:val="16"/>
        </w:rPr>
        <w:softHyphen/>
        <w:t>стоящее время входят пять аппара</w:t>
      </w:r>
      <w:r w:rsidRPr="00DE096C">
        <w:rPr>
          <w:bCs/>
          <w:color w:val="002060"/>
          <w:sz w:val="16"/>
          <w:szCs w:val="16"/>
        </w:rPr>
        <w:softHyphen/>
        <w:t>тов типа «Сикорский 10». По пово</w:t>
      </w:r>
      <w:r w:rsidRPr="00DE096C">
        <w:rPr>
          <w:bCs/>
          <w:color w:val="002060"/>
          <w:sz w:val="16"/>
          <w:szCs w:val="16"/>
        </w:rPr>
        <w:softHyphen/>
        <w:t>ду этих аппаратов следует отметить следующее. В прошлом (1913) году при заказе аппаратов ни один из заграничных гидроаэропланов не дал удовлетворительных результа</w:t>
      </w:r>
      <w:r w:rsidRPr="00DE096C">
        <w:rPr>
          <w:bCs/>
          <w:color w:val="002060"/>
          <w:sz w:val="16"/>
          <w:szCs w:val="16"/>
        </w:rPr>
        <w:softHyphen/>
        <w:t>тов и они представляли из себя не что иное, как аэропланы, постав</w:t>
      </w:r>
      <w:r w:rsidRPr="00DE096C">
        <w:rPr>
          <w:bCs/>
          <w:color w:val="002060"/>
          <w:sz w:val="16"/>
          <w:szCs w:val="16"/>
        </w:rPr>
        <w:softHyphen/>
        <w:t>ленные на поплавки. Между тем сухопутные аппараты типа «Сикор</w:t>
      </w:r>
      <w:r w:rsidRPr="00DE096C">
        <w:rPr>
          <w:bCs/>
          <w:color w:val="002060"/>
          <w:sz w:val="16"/>
          <w:szCs w:val="16"/>
        </w:rPr>
        <w:softHyphen/>
        <w:t>ский 10» дали отличные результаты и постановка их на поплавки явля</w:t>
      </w:r>
      <w:r w:rsidRPr="00DE096C">
        <w:rPr>
          <w:bCs/>
          <w:color w:val="002060"/>
          <w:sz w:val="16"/>
          <w:szCs w:val="16"/>
        </w:rPr>
        <w:softHyphen/>
        <w:t>лась в то время естественной эво</w:t>
      </w:r>
      <w:r w:rsidRPr="00DE096C">
        <w:rPr>
          <w:bCs/>
          <w:color w:val="002060"/>
          <w:sz w:val="16"/>
          <w:szCs w:val="16"/>
        </w:rPr>
        <w:softHyphen/>
        <w:t>люцией при переходе на тип морс</w:t>
      </w:r>
      <w:r w:rsidRPr="00DE096C">
        <w:rPr>
          <w:bCs/>
          <w:color w:val="002060"/>
          <w:sz w:val="16"/>
          <w:szCs w:val="16"/>
        </w:rPr>
        <w:softHyphen/>
        <w:t>кого аппарата. Выбором русского аппарата было стремление заста</w:t>
      </w:r>
      <w:r w:rsidRPr="00DE096C">
        <w:rPr>
          <w:bCs/>
          <w:color w:val="002060"/>
          <w:sz w:val="16"/>
          <w:szCs w:val="16"/>
        </w:rPr>
        <w:softHyphen/>
        <w:t>вить нашу промышленность к дальнейшим работам по усовершен</w:t>
      </w:r>
      <w:r w:rsidRPr="00DE096C">
        <w:rPr>
          <w:bCs/>
          <w:color w:val="002060"/>
          <w:sz w:val="16"/>
          <w:szCs w:val="16"/>
        </w:rPr>
        <w:softHyphen/>
        <w:t>ствованию гидроаэропланов. К со</w:t>
      </w:r>
      <w:r w:rsidRPr="00DE096C">
        <w:rPr>
          <w:bCs/>
          <w:color w:val="002060"/>
          <w:sz w:val="16"/>
          <w:szCs w:val="16"/>
        </w:rPr>
        <w:softHyphen/>
        <w:t>жалению, эта мера не достигла желаемой цели, так как в это время за границей (особенно в Англии) техника неукоснительно работает над развитием морского типа ле</w:t>
      </w:r>
      <w:r w:rsidRPr="00DE096C">
        <w:rPr>
          <w:bCs/>
          <w:color w:val="002060"/>
          <w:sz w:val="16"/>
          <w:szCs w:val="16"/>
        </w:rPr>
        <w:softHyphen/>
        <w:t>тательного аппарата, а наши за</w:t>
      </w:r>
      <w:r w:rsidRPr="00DE096C">
        <w:rPr>
          <w:bCs/>
          <w:color w:val="002060"/>
          <w:sz w:val="16"/>
          <w:szCs w:val="16"/>
        </w:rPr>
        <w:softHyphen/>
        <w:t>воды в этом направлении ровно ничего не сделали. Кроме пяти ап</w:t>
      </w:r>
      <w:r w:rsidRPr="00DE096C">
        <w:rPr>
          <w:bCs/>
          <w:color w:val="002060"/>
          <w:sz w:val="16"/>
          <w:szCs w:val="16"/>
        </w:rPr>
        <w:softHyphen/>
        <w:t>паратов типа «С-10» на станции имеется ещё приобретенные для опыта один аппарат типа «А.Фар-ман 16» и одна летающая лодка «Левек». Что касается этих двух ап</w:t>
      </w:r>
      <w:r w:rsidRPr="00DE096C">
        <w:rPr>
          <w:bCs/>
          <w:color w:val="002060"/>
          <w:sz w:val="16"/>
          <w:szCs w:val="16"/>
        </w:rPr>
        <w:softHyphen/>
        <w:t>паратов, то первый из них является уже в известной степени устарев</w:t>
      </w:r>
      <w:r w:rsidRPr="00DE096C">
        <w:rPr>
          <w:bCs/>
          <w:color w:val="002060"/>
          <w:sz w:val="16"/>
          <w:szCs w:val="16"/>
        </w:rPr>
        <w:softHyphen/>
        <w:t>шим, а второй, вследствие трудно</w:t>
      </w:r>
      <w:r w:rsidRPr="00DE096C">
        <w:rPr>
          <w:bCs/>
          <w:color w:val="002060"/>
          <w:sz w:val="16"/>
          <w:szCs w:val="16"/>
        </w:rPr>
        <w:softHyphen/>
        <w:t>сти планирования, опасен для по</w:t>
      </w:r>
      <w:r w:rsidRPr="00DE096C">
        <w:rPr>
          <w:bCs/>
          <w:color w:val="002060"/>
          <w:sz w:val="16"/>
          <w:szCs w:val="16"/>
        </w:rPr>
        <w:softHyphen/>
        <w:t>лётов на большой высоте. Таким образом, из семи, имеемых аппа</w:t>
      </w:r>
      <w:r w:rsidRPr="00DE096C">
        <w:rPr>
          <w:bCs/>
          <w:color w:val="002060"/>
          <w:sz w:val="16"/>
          <w:szCs w:val="16"/>
        </w:rPr>
        <w:softHyphen/>
        <w:t>ратов шесть, вследствие быстрого развития техники, уже подлежат переводу в разряд учебных, а седь</w:t>
      </w:r>
      <w:r w:rsidRPr="00DE096C">
        <w:rPr>
          <w:bCs/>
          <w:color w:val="002060"/>
          <w:sz w:val="16"/>
          <w:szCs w:val="16"/>
        </w:rPr>
        <w:softHyphen/>
        <w:t>мой, как опасный, должен быть в ближайшее время (не позже осени) исключен совсем».</w:t>
      </w:r>
    </w:p>
    <w:p w14:paraId="10DDE68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Доклад начальника Морского генерального штаба содержал так</w:t>
      </w:r>
      <w:r w:rsidRPr="00DE096C">
        <w:rPr>
          <w:bCs/>
          <w:color w:val="002060"/>
          <w:sz w:val="16"/>
          <w:szCs w:val="16"/>
        </w:rPr>
        <w:softHyphen/>
        <w:t>же предложения по отечественным самолётам. В частности, при поло</w:t>
      </w:r>
      <w:r w:rsidRPr="00DE096C">
        <w:rPr>
          <w:bCs/>
          <w:color w:val="002060"/>
          <w:sz w:val="16"/>
          <w:szCs w:val="16"/>
        </w:rPr>
        <w:softHyphen/>
        <w:t>жительных результатах можно было бы заказать для Балтийского флота дополнительно три самолёта «Илья Муромец», а в случае неудачи с ними закупить за границей ещё семь самолётов. Стремление приобрес</w:t>
      </w:r>
      <w:r w:rsidRPr="00DE096C">
        <w:rPr>
          <w:bCs/>
          <w:color w:val="002060"/>
          <w:sz w:val="16"/>
          <w:szCs w:val="16"/>
        </w:rPr>
        <w:softHyphen/>
        <w:t>ти самолёты за границей для Бал</w:t>
      </w:r>
      <w:r w:rsidRPr="00DE096C">
        <w:rPr>
          <w:bCs/>
          <w:color w:val="002060"/>
          <w:sz w:val="16"/>
          <w:szCs w:val="16"/>
        </w:rPr>
        <w:softHyphen/>
        <w:t>тийского флота диктовалось удру</w:t>
      </w:r>
      <w:r w:rsidRPr="00DE096C">
        <w:rPr>
          <w:bCs/>
          <w:color w:val="002060"/>
          <w:sz w:val="16"/>
          <w:szCs w:val="16"/>
        </w:rPr>
        <w:softHyphen/>
        <w:t>чающим состоянием его самолёт</w:t>
      </w:r>
      <w:r w:rsidRPr="00DE096C">
        <w:rPr>
          <w:bCs/>
          <w:color w:val="002060"/>
          <w:sz w:val="16"/>
          <w:szCs w:val="16"/>
        </w:rPr>
        <w:softHyphen/>
        <w:t>ного парка и сложностью укомплек</w:t>
      </w:r>
      <w:r w:rsidRPr="00DE096C">
        <w:rPr>
          <w:bCs/>
          <w:color w:val="002060"/>
          <w:sz w:val="16"/>
          <w:szCs w:val="16"/>
        </w:rPr>
        <w:softHyphen/>
        <w:t>тования авиационных отрядов. Наи</w:t>
      </w:r>
      <w:r w:rsidRPr="00DE096C">
        <w:rPr>
          <w:bCs/>
          <w:color w:val="002060"/>
          <w:sz w:val="16"/>
          <w:szCs w:val="16"/>
        </w:rPr>
        <w:softHyphen/>
        <w:t>более отвечающими оперативным и техническим требованиям для разведки посчитали гидросамолёт «Авро и Шорт», а для боевых целей - гидросамолёты «Шорт» и «Виккерс». «Сверх указанных типов же</w:t>
      </w:r>
      <w:r w:rsidRPr="00DE096C">
        <w:rPr>
          <w:bCs/>
          <w:color w:val="002060"/>
          <w:sz w:val="16"/>
          <w:szCs w:val="16"/>
        </w:rPr>
        <w:softHyphen/>
        <w:t>лательно было бы иметь на станци</w:t>
      </w:r>
      <w:r w:rsidRPr="00DE096C">
        <w:rPr>
          <w:bCs/>
          <w:color w:val="002060"/>
          <w:sz w:val="16"/>
          <w:szCs w:val="16"/>
        </w:rPr>
        <w:softHyphen/>
        <w:t>ях одноместные гидроаэропланы, хотя и не вполне отвечающих опе</w:t>
      </w:r>
      <w:r w:rsidRPr="00DE096C">
        <w:rPr>
          <w:bCs/>
          <w:color w:val="002060"/>
          <w:sz w:val="16"/>
          <w:szCs w:val="16"/>
        </w:rPr>
        <w:softHyphen/>
        <w:t>ративным заданиям, но способные совершать полёты в свежий ветер. Таким аппаратами являются моно</w:t>
      </w:r>
      <w:r w:rsidRPr="00DE096C">
        <w:rPr>
          <w:bCs/>
          <w:color w:val="002060"/>
          <w:sz w:val="16"/>
          <w:szCs w:val="16"/>
        </w:rPr>
        <w:softHyphen/>
        <w:t>планы «Моран-Сольнье». Кроме того высказывалось пожелание для испытания и изучения приобрести два гидросамолёта «Кодрон».</w:t>
      </w:r>
    </w:p>
    <w:p w14:paraId="2BE19C3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И вновь, 21 мая 1914 г. предста</w:t>
      </w:r>
      <w:r w:rsidRPr="00DE096C">
        <w:rPr>
          <w:bCs/>
          <w:color w:val="002060"/>
          <w:sz w:val="16"/>
          <w:szCs w:val="16"/>
        </w:rPr>
        <w:softHyphen/>
        <w:t>вители Балтийского флота (испол</w:t>
      </w:r>
      <w:r w:rsidRPr="00DE096C">
        <w:rPr>
          <w:bCs/>
          <w:color w:val="002060"/>
          <w:sz w:val="16"/>
          <w:szCs w:val="16"/>
        </w:rPr>
        <w:softHyphen/>
        <w:t>няющий должность начальника авиационной станции в порту им</w:t>
      </w:r>
      <w:r w:rsidRPr="00DE096C">
        <w:rPr>
          <w:bCs/>
          <w:color w:val="002060"/>
          <w:sz w:val="16"/>
          <w:szCs w:val="16"/>
        </w:rPr>
        <w:softHyphen/>
        <w:t xml:space="preserve">ператора Александра </w:t>
      </w:r>
      <w:r w:rsidRPr="00DE096C">
        <w:rPr>
          <w:bCs/>
          <w:color w:val="002060"/>
          <w:sz w:val="16"/>
          <w:szCs w:val="16"/>
          <w:lang w:val="en-US"/>
        </w:rPr>
        <w:t>III</w:t>
      </w:r>
      <w:r w:rsidRPr="00DE096C">
        <w:rPr>
          <w:bCs/>
          <w:color w:val="002060"/>
          <w:sz w:val="16"/>
          <w:szCs w:val="16"/>
        </w:rPr>
        <w:t xml:space="preserve"> старший лейтенант Щербачев и инженер по авиационной части Шишков) полу</w:t>
      </w:r>
      <w:r w:rsidRPr="00DE096C">
        <w:rPr>
          <w:bCs/>
          <w:color w:val="002060"/>
          <w:sz w:val="16"/>
          <w:szCs w:val="16"/>
        </w:rPr>
        <w:softHyphen/>
        <w:t>чили предписание выехать в Англию. Им дали самые подробные инструк</w:t>
      </w:r>
      <w:r w:rsidRPr="00DE096C">
        <w:rPr>
          <w:bCs/>
          <w:color w:val="002060"/>
          <w:sz w:val="16"/>
          <w:szCs w:val="16"/>
        </w:rPr>
        <w:softHyphen/>
        <w:t>ции относительно методики подхо</w:t>
      </w:r>
      <w:r w:rsidRPr="00DE096C">
        <w:rPr>
          <w:bCs/>
          <w:color w:val="002060"/>
          <w:sz w:val="16"/>
          <w:szCs w:val="16"/>
        </w:rPr>
        <w:softHyphen/>
        <w:t>да к оценке и выбору летательного аппарата и категорическое указа</w:t>
      </w:r>
      <w:r w:rsidRPr="00DE096C">
        <w:rPr>
          <w:bCs/>
          <w:color w:val="002060"/>
          <w:sz w:val="16"/>
          <w:szCs w:val="16"/>
        </w:rPr>
        <w:softHyphen/>
        <w:t>ние: «Все аэропланы должны быть опробованы вами в полете, и толь</w:t>
      </w:r>
      <w:r w:rsidRPr="00DE096C">
        <w:rPr>
          <w:bCs/>
          <w:color w:val="002060"/>
          <w:sz w:val="16"/>
          <w:szCs w:val="16"/>
        </w:rPr>
        <w:softHyphen/>
        <w:t>ко после этого могут быть заключа</w:t>
      </w:r>
      <w:r w:rsidRPr="00DE096C">
        <w:rPr>
          <w:bCs/>
          <w:color w:val="002060"/>
          <w:sz w:val="16"/>
          <w:szCs w:val="16"/>
        </w:rPr>
        <w:softHyphen/>
        <w:t>емы с фирмами контракты». Учиты</w:t>
      </w:r>
      <w:r w:rsidRPr="00DE096C">
        <w:rPr>
          <w:bCs/>
          <w:color w:val="002060"/>
          <w:sz w:val="16"/>
          <w:szCs w:val="16"/>
        </w:rPr>
        <w:softHyphen/>
        <w:t>вая предшествующий опыт, когда фирмами предъявлялись претензии по поводу незаконного копирова</w:t>
      </w:r>
      <w:r w:rsidRPr="00DE096C">
        <w:rPr>
          <w:bCs/>
          <w:color w:val="002060"/>
          <w:sz w:val="16"/>
          <w:szCs w:val="16"/>
        </w:rPr>
        <w:softHyphen/>
        <w:t>ния приобретаемых образцов тех</w:t>
      </w:r>
      <w:r w:rsidRPr="00DE096C">
        <w:rPr>
          <w:bCs/>
          <w:color w:val="002060"/>
          <w:sz w:val="16"/>
          <w:szCs w:val="16"/>
        </w:rPr>
        <w:softHyphen/>
        <w:t>ники, в предписание включили спе</w:t>
      </w:r>
      <w:r w:rsidRPr="00DE096C">
        <w:rPr>
          <w:bCs/>
          <w:color w:val="002060"/>
          <w:sz w:val="16"/>
          <w:szCs w:val="16"/>
        </w:rPr>
        <w:softHyphen/>
        <w:t>циальный пункт: «При каждом аппа</w:t>
      </w:r>
      <w:r w:rsidRPr="00DE096C">
        <w:rPr>
          <w:bCs/>
          <w:color w:val="002060"/>
          <w:sz w:val="16"/>
          <w:szCs w:val="16"/>
        </w:rPr>
        <w:softHyphen/>
        <w:t>рате надлежит требовать подроб</w:t>
      </w:r>
      <w:r w:rsidRPr="00DE096C">
        <w:rPr>
          <w:bCs/>
          <w:color w:val="002060"/>
          <w:sz w:val="16"/>
          <w:szCs w:val="16"/>
        </w:rPr>
        <w:softHyphen/>
        <w:t>ную опись отдельных частей с их расценкой и по возможности ра</w:t>
      </w:r>
      <w:r w:rsidRPr="00DE096C">
        <w:rPr>
          <w:bCs/>
          <w:color w:val="002060"/>
          <w:sz w:val="16"/>
          <w:szCs w:val="16"/>
        </w:rPr>
        <w:softHyphen/>
        <w:t>бочие чертежи для облегчения ре</w:t>
      </w:r>
      <w:r w:rsidRPr="00DE096C">
        <w:rPr>
          <w:bCs/>
          <w:color w:val="002060"/>
          <w:sz w:val="16"/>
          <w:szCs w:val="16"/>
        </w:rPr>
        <w:softHyphen/>
        <w:t>монта, при этом можно дать обяза</w:t>
      </w:r>
      <w:r w:rsidRPr="00DE096C">
        <w:rPr>
          <w:bCs/>
          <w:color w:val="002060"/>
          <w:sz w:val="16"/>
          <w:szCs w:val="16"/>
        </w:rPr>
        <w:softHyphen/>
        <w:t>тельство фирмам, что таковые чер</w:t>
      </w:r>
      <w:r w:rsidRPr="00DE096C">
        <w:rPr>
          <w:bCs/>
          <w:color w:val="002060"/>
          <w:sz w:val="16"/>
          <w:szCs w:val="16"/>
        </w:rPr>
        <w:softHyphen/>
        <w:t>тежи не будут употребляться для по</w:t>
      </w:r>
      <w:r w:rsidRPr="00DE096C">
        <w:rPr>
          <w:bCs/>
          <w:color w:val="002060"/>
          <w:sz w:val="16"/>
          <w:szCs w:val="16"/>
        </w:rPr>
        <w:softHyphen/>
        <w:t>стройки аппаратов». Им ставилась задача заказать при посредстве во</w:t>
      </w:r>
      <w:r w:rsidRPr="00DE096C">
        <w:rPr>
          <w:bCs/>
          <w:color w:val="002060"/>
          <w:sz w:val="16"/>
          <w:szCs w:val="16"/>
        </w:rPr>
        <w:softHyphen/>
        <w:t>енно-морского агента в Лондоне 12 гидроаэропланов-разведчиков («Авро» и «Шорт») и шесть боевых гидроаэропланов («Шорт» и «Вик-керс»).</w:t>
      </w:r>
    </w:p>
    <w:p w14:paraId="0932B549" w14:textId="77777777" w:rsidR="00B67D7C" w:rsidRPr="00DE096C" w:rsidRDefault="00B67D7C" w:rsidP="00D45A46">
      <w:pPr>
        <w:pStyle w:val="a4"/>
        <w:spacing w:before="0" w:after="0"/>
        <w:jc w:val="both"/>
        <w:rPr>
          <w:bCs/>
          <w:color w:val="002060"/>
          <w:sz w:val="16"/>
          <w:szCs w:val="16"/>
        </w:rPr>
      </w:pPr>
      <w:r w:rsidRPr="00DE096C">
        <w:rPr>
          <w:bCs/>
          <w:color w:val="002060"/>
          <w:sz w:val="16"/>
          <w:szCs w:val="16"/>
        </w:rPr>
        <w:t>Из приведенного следует, что морское ведомство было заинтере</w:t>
      </w:r>
      <w:r w:rsidRPr="00DE096C">
        <w:rPr>
          <w:bCs/>
          <w:color w:val="002060"/>
          <w:sz w:val="16"/>
          <w:szCs w:val="16"/>
        </w:rPr>
        <w:softHyphen/>
        <w:t>совано в развитии гидросамолетов, старалось приобрести лучшее, что создано за границей и связывало надежды с многомоторным самолё</w:t>
      </w:r>
      <w:r w:rsidRPr="00DE096C">
        <w:rPr>
          <w:bCs/>
          <w:color w:val="002060"/>
          <w:sz w:val="16"/>
          <w:szCs w:val="16"/>
        </w:rPr>
        <w:softHyphen/>
        <w:t>том Сикорского, проект которого он представил правлению РБВЗ в конце 1912 г. Это должно было быть нечто необычное. Так оно и случи</w:t>
      </w:r>
      <w:r w:rsidRPr="00DE096C">
        <w:rPr>
          <w:bCs/>
          <w:color w:val="002060"/>
          <w:sz w:val="16"/>
          <w:szCs w:val="16"/>
        </w:rPr>
        <w:softHyphen/>
        <w:t>лось. Двухмоторный самолет с зак</w:t>
      </w:r>
      <w:r w:rsidRPr="00DE096C">
        <w:rPr>
          <w:bCs/>
          <w:color w:val="002060"/>
          <w:sz w:val="16"/>
          <w:szCs w:val="16"/>
        </w:rPr>
        <w:softHyphen/>
        <w:t>рытой кабиной, что дало основа</w:t>
      </w:r>
      <w:r w:rsidRPr="00DE096C">
        <w:rPr>
          <w:bCs/>
          <w:color w:val="002060"/>
          <w:sz w:val="16"/>
          <w:szCs w:val="16"/>
        </w:rPr>
        <w:softHyphen/>
        <w:t>ния некоторым «специалистам» ут</w:t>
      </w:r>
      <w:r w:rsidRPr="00DE096C">
        <w:rPr>
          <w:bCs/>
          <w:color w:val="002060"/>
          <w:sz w:val="16"/>
          <w:szCs w:val="16"/>
        </w:rPr>
        <w:softHyphen/>
        <w:t>верждать, что лётчик не сможет его пилотировать так как «потеряет чувство птицы», назвали «Гранд Балтийский». И.И.Сикорский поднял самолёт в воздух 15 марта 1913 г. Испытания показали недостаточную мощность силовой установки из двух двигателей мощностью по 200 л.с. Установили еще два двигателя «Аргус» в тандем. Опытные полёты показали нерациональность подоб</w:t>
      </w:r>
      <w:r w:rsidRPr="00DE096C">
        <w:rPr>
          <w:bCs/>
          <w:color w:val="002060"/>
          <w:sz w:val="16"/>
          <w:szCs w:val="16"/>
        </w:rPr>
        <w:softHyphen/>
        <w:t>ной схемы силовой установки, и двигатели установили в ряд. Полет, выполненный 23 июля 1913 г., под</w:t>
      </w:r>
      <w:r w:rsidRPr="00DE096C">
        <w:rPr>
          <w:bCs/>
          <w:color w:val="002060"/>
          <w:sz w:val="16"/>
          <w:szCs w:val="16"/>
        </w:rPr>
        <w:softHyphen/>
        <w:t>твердил преимущества новой схе</w:t>
      </w:r>
      <w:r w:rsidRPr="00DE096C">
        <w:rPr>
          <w:bCs/>
          <w:color w:val="002060"/>
          <w:sz w:val="16"/>
          <w:szCs w:val="16"/>
        </w:rPr>
        <w:softHyphen/>
        <w:t>мы. Самолет переименовали в «Рус</w:t>
      </w:r>
      <w:r w:rsidRPr="00DE096C">
        <w:rPr>
          <w:bCs/>
          <w:color w:val="002060"/>
          <w:sz w:val="16"/>
          <w:szCs w:val="16"/>
        </w:rPr>
        <w:softHyphen/>
        <w:t>ский витязь», но ему не повезло. 1 1 сентября на него свалился оторвав</w:t>
      </w:r>
      <w:r w:rsidRPr="00DE096C">
        <w:rPr>
          <w:bCs/>
          <w:color w:val="002060"/>
          <w:sz w:val="16"/>
          <w:szCs w:val="16"/>
        </w:rPr>
        <w:softHyphen/>
        <w:t>шийся от самолета «Меллер-11» двигатель, разрушивший левую бип-ланную коробку крыльев. Повреж</w:t>
      </w:r>
      <w:r w:rsidRPr="00DE096C">
        <w:rPr>
          <w:bCs/>
          <w:color w:val="002060"/>
          <w:sz w:val="16"/>
          <w:szCs w:val="16"/>
        </w:rPr>
        <w:softHyphen/>
        <w:t>дения были незначительными, но восстанавливать его не стали С использованием приобретенного опыта построили самолет М-22 «Илья Муромец», первый образец которого 11 декабря 1913 г. под</w:t>
      </w:r>
      <w:r w:rsidRPr="00DE096C">
        <w:rPr>
          <w:bCs/>
          <w:color w:val="002060"/>
          <w:sz w:val="16"/>
          <w:szCs w:val="16"/>
        </w:rPr>
        <w:softHyphen/>
        <w:t>нял в воздух И.И. Сикорский. А че</w:t>
      </w:r>
      <w:r w:rsidRPr="00DE096C">
        <w:rPr>
          <w:bCs/>
          <w:color w:val="002060"/>
          <w:sz w:val="16"/>
          <w:szCs w:val="16"/>
        </w:rPr>
        <w:softHyphen/>
        <w:t>рез неделю в Морской генераль</w:t>
      </w:r>
      <w:r w:rsidRPr="00DE096C">
        <w:rPr>
          <w:bCs/>
          <w:color w:val="002060"/>
          <w:sz w:val="16"/>
          <w:szCs w:val="16"/>
        </w:rPr>
        <w:softHyphen/>
        <w:t>ный штаб поступило подписанное директором РБВЗ В.Строгановым письмо следующего содержания: «Правление Акционерного обще</w:t>
      </w:r>
      <w:r w:rsidRPr="00DE096C">
        <w:rPr>
          <w:bCs/>
          <w:color w:val="002060"/>
          <w:sz w:val="16"/>
          <w:szCs w:val="16"/>
        </w:rPr>
        <w:softHyphen/>
        <w:t>ства Русско-Балтийский завод име</w:t>
      </w:r>
      <w:r w:rsidRPr="00DE096C">
        <w:rPr>
          <w:bCs/>
          <w:color w:val="002060"/>
          <w:sz w:val="16"/>
          <w:szCs w:val="16"/>
        </w:rPr>
        <w:softHyphen/>
        <w:t>ет честь предложить вам большой аппарат нашей системы и построй</w:t>
      </w:r>
      <w:r w:rsidRPr="00DE096C">
        <w:rPr>
          <w:bCs/>
          <w:color w:val="002060"/>
          <w:sz w:val="16"/>
          <w:szCs w:val="16"/>
        </w:rPr>
        <w:softHyphen/>
        <w:t>ки «Илья Муромец» на следующих условиях: 1. Аппарат должен быть доставлен в Либаву (порт импера</w:t>
      </w:r>
      <w:r w:rsidRPr="00DE096C">
        <w:rPr>
          <w:bCs/>
          <w:color w:val="002060"/>
          <w:sz w:val="16"/>
          <w:szCs w:val="16"/>
        </w:rPr>
        <w:softHyphen/>
        <w:t xml:space="preserve">тора Александра </w:t>
      </w:r>
      <w:r w:rsidRPr="00DE096C">
        <w:rPr>
          <w:bCs/>
          <w:color w:val="002060"/>
          <w:sz w:val="16"/>
          <w:szCs w:val="16"/>
          <w:lang w:val="en-US"/>
        </w:rPr>
        <w:t>III</w:t>
      </w:r>
      <w:r w:rsidRPr="00DE096C">
        <w:rPr>
          <w:bCs/>
          <w:color w:val="002060"/>
          <w:sz w:val="16"/>
          <w:szCs w:val="16"/>
        </w:rPr>
        <w:t>) не позже 25 февраля 1914 г; 2. Испытания про</w:t>
      </w:r>
      <w:r w:rsidRPr="00DE096C">
        <w:rPr>
          <w:bCs/>
          <w:color w:val="002060"/>
          <w:sz w:val="16"/>
          <w:szCs w:val="16"/>
        </w:rPr>
        <w:softHyphen/>
        <w:t>водятся пилотом завода за страх и риск завода; 3. На аппарате дол</w:t>
      </w:r>
      <w:r w:rsidRPr="00DE096C">
        <w:rPr>
          <w:bCs/>
          <w:color w:val="002060"/>
          <w:sz w:val="16"/>
          <w:szCs w:val="16"/>
        </w:rPr>
        <w:softHyphen/>
        <w:t>жен быть выполнен один полёт про</w:t>
      </w:r>
      <w:r w:rsidRPr="00DE096C">
        <w:rPr>
          <w:bCs/>
          <w:color w:val="002060"/>
          <w:sz w:val="16"/>
          <w:szCs w:val="16"/>
        </w:rPr>
        <w:softHyphen/>
        <w:t>должительностью не менее 1,5 ча</w:t>
      </w:r>
      <w:r w:rsidRPr="00DE096C">
        <w:rPr>
          <w:bCs/>
          <w:color w:val="002060"/>
          <w:sz w:val="16"/>
          <w:szCs w:val="16"/>
        </w:rPr>
        <w:softHyphen/>
        <w:t>сов (нагрузка одна тонна, набрать высоту не менее 800 м, подтвер</w:t>
      </w:r>
      <w:r w:rsidRPr="00DE096C">
        <w:rPr>
          <w:bCs/>
          <w:color w:val="002060"/>
          <w:sz w:val="16"/>
          <w:szCs w:val="16"/>
        </w:rPr>
        <w:softHyphen/>
        <w:t>дить безопасность выключения двух моторов с одной стороны); 7.Взлёт с воды должен быть произведен без посторонней помощи, т.е. силами людей, находящихся в аппарате; 11 цена аппарата определяется по счёту 25 000 рублей за каждые 100 л.с; 12. Помимо других предметов... аппарат снабжается альтиметром, компасом, оборудованием электри</w:t>
      </w:r>
      <w:r w:rsidRPr="00DE096C">
        <w:rPr>
          <w:bCs/>
          <w:color w:val="002060"/>
          <w:sz w:val="16"/>
          <w:szCs w:val="16"/>
        </w:rPr>
        <w:softHyphen/>
        <w:t>ческого освещения приборов, на</w:t>
      </w:r>
      <w:r w:rsidRPr="00DE096C">
        <w:rPr>
          <w:bCs/>
          <w:color w:val="002060"/>
          <w:sz w:val="16"/>
          <w:szCs w:val="16"/>
        </w:rPr>
        <w:softHyphen/>
        <w:t>бором инструментов» (11759)</w:t>
      </w:r>
    </w:p>
    <w:p w14:paraId="79617A0C" w14:textId="77777777" w:rsidR="00B67D7C" w:rsidRPr="00DE096C" w:rsidRDefault="00B67D7C" w:rsidP="00D45A46">
      <w:pPr>
        <w:pStyle w:val="a4"/>
        <w:spacing w:before="0" w:after="0"/>
        <w:jc w:val="both"/>
        <w:rPr>
          <w:bCs/>
          <w:color w:val="002060"/>
          <w:sz w:val="16"/>
          <w:szCs w:val="16"/>
        </w:rPr>
      </w:pPr>
    </w:p>
    <w:p w14:paraId="14221ED9" w14:textId="77777777" w:rsidR="00A67A49" w:rsidRPr="00DE096C" w:rsidRDefault="00A67A49" w:rsidP="00D45A46">
      <w:pPr>
        <w:pStyle w:val="a4"/>
        <w:spacing w:before="0" w:after="0"/>
        <w:jc w:val="both"/>
        <w:rPr>
          <w:bCs/>
          <w:i/>
          <w:color w:val="002060"/>
          <w:sz w:val="16"/>
          <w:szCs w:val="16"/>
        </w:rPr>
      </w:pPr>
      <w:r w:rsidRPr="00DE096C">
        <w:rPr>
          <w:bCs/>
          <w:i/>
          <w:color w:val="002060"/>
          <w:sz w:val="16"/>
          <w:szCs w:val="16"/>
        </w:rPr>
        <w:t>Самолетостроение:</w:t>
      </w:r>
    </w:p>
    <w:p w14:paraId="7C062E1D" w14:textId="77777777" w:rsidR="00A67A49" w:rsidRPr="00DE096C" w:rsidRDefault="00A67A49" w:rsidP="00D45A46">
      <w:pPr>
        <w:shd w:val="clear" w:color="auto" w:fill="FFFFFF"/>
        <w:jc w:val="both"/>
        <w:rPr>
          <w:bCs/>
          <w:i/>
          <w:color w:val="002060"/>
          <w:sz w:val="16"/>
          <w:szCs w:val="16"/>
        </w:rPr>
      </w:pPr>
    </w:p>
    <w:p w14:paraId="14241316" w14:textId="77777777" w:rsidR="00A67A49" w:rsidRPr="00DE096C" w:rsidRDefault="00A67A49" w:rsidP="00D45A46">
      <w:pPr>
        <w:pStyle w:val="2"/>
        <w:spacing w:before="0" w:after="0"/>
        <w:jc w:val="both"/>
        <w:rPr>
          <w:b w:val="0"/>
          <w:bCs/>
          <w:color w:val="002060"/>
          <w:sz w:val="16"/>
          <w:szCs w:val="16"/>
        </w:rPr>
      </w:pPr>
      <w:r w:rsidRPr="00DE096C">
        <w:rPr>
          <w:b w:val="0"/>
          <w:bCs/>
          <w:color w:val="002060"/>
          <w:sz w:val="16"/>
          <w:szCs w:val="16"/>
        </w:rPr>
        <w:t>В конце апреля 1914 г. в Кучино торжественно отпраздновали 10-летие Аэродинамического института. На юбилей основатель и владелец института Д.П.Рябушинский пригласил виднейших представителей науки, администрации, военных, общественных деятелей и др. Из Петербурга специально приехал и председатель МОВ В.Ф.Джунковский. В его мемуарах есть любопытная «табель о рангах» во время торжественного заседания: «Председательское кресло занял генерал от кавалерии Каульбарс, справа поместился я, слева профессор Жуковский, затем Найденов, граф Муравьев и Д.П.Рябушинский... [Он] обратился к присутствовавшим с небольшой речью, в которой указал те цели, какие он преследовал, открывая Аэродинамический институт, посвященный «чистой и прикладной аэродинамике и динамике реальных жидкостей вообще, а также изучению различных способов летания», как он сам определил его в своем юбилейном отчете. Он отметил главные этапы в научной работе этого учреждения. Институт, по его словам, возник в момент общего увлечения летанием на аппарате тяжелее воздуха. В 1903 г. совершили первый исторический полет братья Райт, а в 1904 г. основан был Институт, в котором производились и производятся всевозможные опыты, имеющие отношение к воздухоплаванию. Д.П.Рябушинский указал на тесную связь между теоретическими работами Института и практической деятельностью в области авиации...»</w:t>
      </w:r>
    </w:p>
    <w:p w14:paraId="46FCF2E8" w14:textId="77777777" w:rsidR="00A67A49" w:rsidRPr="00DE096C" w:rsidRDefault="00A67A49" w:rsidP="00D45A46">
      <w:pPr>
        <w:pStyle w:val="2"/>
        <w:spacing w:before="0" w:after="0"/>
        <w:jc w:val="both"/>
        <w:rPr>
          <w:b w:val="0"/>
          <w:bCs/>
          <w:color w:val="002060"/>
          <w:sz w:val="16"/>
          <w:szCs w:val="16"/>
        </w:rPr>
      </w:pPr>
      <w:r w:rsidRPr="00DE096C">
        <w:rPr>
          <w:b w:val="0"/>
          <w:bCs/>
          <w:color w:val="002060"/>
          <w:sz w:val="16"/>
          <w:szCs w:val="16"/>
        </w:rPr>
        <w:t>В конце заседания Меллер по телефону узнал, что в Кучино уже вылетел Габер-Влынский. Для посадки выбрали площадку в версте от Кучино за линией железной дороги. Через 8 минут после получения известия об отлете Габера высоко над Кучиным появился «Моран». Толпа крестьян и местных дачников окружила посадочную площадку «и с замиранием сердца следила за смелыми эволюциями...» После стремительного планирующего спуска с 1000 м летчик почти над головами зрителей пронесся над поляной, выбирая место посадки, и эффектно приземлился. Через несколько минут автомобиль Меллера доставил Габера в Институт, где в это время гости осматривали лабораторные приборы, а В.В.Кузнецов запустил шар с самописцами для исследования верхних слоев атмосферы: «В четыре часа все приглашенные... вернулись в дом Д.П.Рябушинского» (банкет продолжался).</w:t>
      </w:r>
    </w:p>
    <w:p w14:paraId="70FF85CB" w14:textId="77777777" w:rsidR="00A67A49" w:rsidRPr="00DE096C" w:rsidRDefault="00A67A49" w:rsidP="00D45A46">
      <w:pPr>
        <w:pStyle w:val="2"/>
        <w:spacing w:before="0" w:after="0"/>
        <w:jc w:val="both"/>
        <w:rPr>
          <w:b w:val="0"/>
          <w:bCs/>
          <w:color w:val="002060"/>
          <w:sz w:val="16"/>
          <w:szCs w:val="16"/>
        </w:rPr>
      </w:pPr>
      <w:r w:rsidRPr="00DE096C">
        <w:rPr>
          <w:b w:val="0"/>
          <w:bCs/>
          <w:color w:val="002060"/>
          <w:sz w:val="16"/>
          <w:szCs w:val="16"/>
        </w:rPr>
        <w:t>Вряд ли кто-либо из присутствовавших на том торжестве мог предвидеть, что это было последнее юбилейное мероприятие МОВ перед первой мировой войной, во время которой «праздничная» деятельность общества фактически была свернута, а в 1917 г. официально прекратилась (15464).</w:t>
      </w:r>
    </w:p>
    <w:p w14:paraId="15BCC2F2" w14:textId="77777777" w:rsidR="00A67A49" w:rsidRPr="00DE096C" w:rsidRDefault="00A67A49" w:rsidP="00D45A46">
      <w:pPr>
        <w:pStyle w:val="2"/>
        <w:spacing w:before="0" w:after="0"/>
        <w:jc w:val="both"/>
        <w:rPr>
          <w:b w:val="0"/>
          <w:bCs/>
          <w:color w:val="002060"/>
          <w:sz w:val="16"/>
          <w:szCs w:val="16"/>
        </w:rPr>
      </w:pPr>
    </w:p>
    <w:p w14:paraId="6E97CDAD" w14:textId="77777777" w:rsidR="00DE4B43" w:rsidRPr="00DE096C" w:rsidRDefault="00DE4B43" w:rsidP="00D45A46">
      <w:pPr>
        <w:pStyle w:val="a4"/>
        <w:spacing w:before="0" w:after="0"/>
        <w:jc w:val="both"/>
        <w:rPr>
          <w:bCs/>
          <w:i/>
          <w:color w:val="002060"/>
          <w:sz w:val="16"/>
          <w:szCs w:val="16"/>
        </w:rPr>
      </w:pPr>
      <w:r w:rsidRPr="00DE096C">
        <w:rPr>
          <w:bCs/>
          <w:i/>
          <w:color w:val="002060"/>
          <w:sz w:val="16"/>
          <w:szCs w:val="16"/>
        </w:rPr>
        <w:lastRenderedPageBreak/>
        <w:t>Морская авиация:</w:t>
      </w:r>
    </w:p>
    <w:p w14:paraId="50BA59D7" w14:textId="77777777" w:rsidR="00DE4B43" w:rsidRPr="00DE096C" w:rsidRDefault="00DE4B43" w:rsidP="00D45A46">
      <w:pPr>
        <w:pStyle w:val="a5"/>
        <w:rPr>
          <w:bCs/>
          <w:color w:val="002060"/>
          <w:sz w:val="16"/>
          <w:szCs w:val="16"/>
          <w:lang w:val="ru-RU"/>
        </w:rPr>
      </w:pPr>
    </w:p>
    <w:p w14:paraId="18155E8E" w14:textId="77777777" w:rsidR="00DE4B43" w:rsidRPr="00DE096C" w:rsidRDefault="00DE4B43" w:rsidP="00D45A46">
      <w:pPr>
        <w:pStyle w:val="a5"/>
        <w:rPr>
          <w:bCs/>
          <w:color w:val="002060"/>
          <w:sz w:val="16"/>
          <w:szCs w:val="16"/>
          <w:lang w:val="ru-RU"/>
        </w:rPr>
      </w:pPr>
      <w:r w:rsidRPr="00DE096C">
        <w:rPr>
          <w:bCs/>
          <w:color w:val="002060"/>
          <w:sz w:val="16"/>
          <w:szCs w:val="16"/>
          <w:lang w:val="ru-RU"/>
        </w:rPr>
        <w:t>В конце апреля 1914 г. на Чёрном море организовали спе</w:t>
      </w:r>
      <w:r w:rsidRPr="00DE096C">
        <w:rPr>
          <w:bCs/>
          <w:color w:val="002060"/>
          <w:sz w:val="16"/>
          <w:szCs w:val="16"/>
          <w:lang w:val="ru-RU"/>
        </w:rPr>
        <w:softHyphen/>
        <w:t>циальные учения для выяснения ус</w:t>
      </w:r>
      <w:r w:rsidRPr="00DE096C">
        <w:rPr>
          <w:bCs/>
          <w:color w:val="002060"/>
          <w:sz w:val="16"/>
          <w:szCs w:val="16"/>
          <w:lang w:val="ru-RU"/>
        </w:rPr>
        <w:softHyphen/>
        <w:t>ловий обнаружения мин с самолё</w:t>
      </w:r>
      <w:r w:rsidRPr="00DE096C">
        <w:rPr>
          <w:bCs/>
          <w:color w:val="002060"/>
          <w:sz w:val="16"/>
          <w:szCs w:val="16"/>
          <w:lang w:val="ru-RU"/>
        </w:rPr>
        <w:softHyphen/>
        <w:t>та. На глубине порядка одного мет</w:t>
      </w:r>
      <w:r w:rsidRPr="00DE096C">
        <w:rPr>
          <w:bCs/>
          <w:color w:val="002060"/>
          <w:sz w:val="16"/>
          <w:szCs w:val="16"/>
          <w:lang w:val="ru-RU"/>
        </w:rPr>
        <w:softHyphen/>
        <w:t>ра выставили мины, окрашенные в красный, чёрный, зелёный и шаро</w:t>
      </w:r>
      <w:r w:rsidRPr="00DE096C">
        <w:rPr>
          <w:bCs/>
          <w:color w:val="002060"/>
          <w:sz w:val="16"/>
          <w:szCs w:val="16"/>
          <w:lang w:val="ru-RU"/>
        </w:rPr>
        <w:softHyphen/>
        <w:t>вый цвета. По результатам полётов пришли к выводу: все мины, незави</w:t>
      </w:r>
      <w:r w:rsidRPr="00DE096C">
        <w:rPr>
          <w:bCs/>
          <w:color w:val="002060"/>
          <w:sz w:val="16"/>
          <w:szCs w:val="16"/>
          <w:lang w:val="ru-RU"/>
        </w:rPr>
        <w:softHyphen/>
        <w:t>симо от цвета, просматриваются в виде желтовато-серых пятен, реко</w:t>
      </w:r>
      <w:r w:rsidRPr="00DE096C">
        <w:rPr>
          <w:bCs/>
          <w:color w:val="002060"/>
          <w:sz w:val="16"/>
          <w:szCs w:val="16"/>
          <w:lang w:val="ru-RU"/>
        </w:rPr>
        <w:softHyphen/>
        <w:t>мендуемая высота поиска мин от 300 до 450 м. Наблюдатели сооб</w:t>
      </w:r>
      <w:r w:rsidRPr="00DE096C">
        <w:rPr>
          <w:bCs/>
          <w:color w:val="002060"/>
          <w:sz w:val="16"/>
          <w:szCs w:val="16"/>
          <w:lang w:val="ru-RU"/>
        </w:rPr>
        <w:softHyphen/>
        <w:t>щали, что вместе с минами они видели также и дно, что посчитали неблагоприятным. Если мины были чёрного цвета, то они терялись на фоне чёрного каменистого грунта (11924).</w:t>
      </w:r>
    </w:p>
    <w:p w14:paraId="06D93213" w14:textId="77777777" w:rsidR="00DE4B43" w:rsidRPr="00DE096C" w:rsidRDefault="00DE4B43" w:rsidP="00D45A46">
      <w:pPr>
        <w:jc w:val="both"/>
        <w:rPr>
          <w:bCs/>
          <w:color w:val="002060"/>
          <w:sz w:val="16"/>
          <w:szCs w:val="16"/>
        </w:rPr>
      </w:pPr>
    </w:p>
    <w:p w14:paraId="058F7DAF" w14:textId="77777777" w:rsidR="00B67D7C" w:rsidRPr="00DE096C" w:rsidRDefault="00B67D7C" w:rsidP="00D45A46">
      <w:pPr>
        <w:pStyle w:val="a4"/>
        <w:spacing w:before="0" w:after="0"/>
        <w:jc w:val="both"/>
        <w:rPr>
          <w:bCs/>
          <w:i/>
          <w:color w:val="002060"/>
          <w:sz w:val="16"/>
          <w:szCs w:val="16"/>
        </w:rPr>
      </w:pPr>
      <w:r w:rsidRPr="00DE096C">
        <w:rPr>
          <w:bCs/>
          <w:i/>
          <w:color w:val="002060"/>
          <w:sz w:val="16"/>
          <w:szCs w:val="16"/>
        </w:rPr>
        <w:t>Самолетостроение:</w:t>
      </w:r>
    </w:p>
    <w:p w14:paraId="6CD545CA" w14:textId="77777777" w:rsidR="00B67D7C" w:rsidRPr="00DE096C" w:rsidRDefault="00B67D7C" w:rsidP="00D45A46">
      <w:pPr>
        <w:shd w:val="clear" w:color="auto" w:fill="FFFFFF"/>
        <w:jc w:val="both"/>
        <w:rPr>
          <w:bCs/>
          <w:i/>
          <w:color w:val="002060"/>
          <w:sz w:val="16"/>
          <w:szCs w:val="16"/>
        </w:rPr>
      </w:pPr>
    </w:p>
    <w:p w14:paraId="655DF55D" w14:textId="1E84B586"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 апреле 1914 г. вне будущего контракта ГВТу-РБВЗ был построен второй экземпляр </w:t>
      </w:r>
      <w:r w:rsidR="00DE4B43" w:rsidRPr="00DE096C">
        <w:rPr>
          <w:bCs/>
          <w:i w:val="0"/>
          <w:color w:val="002060"/>
          <w:spacing w:val="0"/>
          <w:kern w:val="0"/>
          <w:position w:val="0"/>
          <w:sz w:val="16"/>
          <w:szCs w:val="16"/>
        </w:rPr>
        <w:t xml:space="preserve">ИМ </w:t>
      </w:r>
      <w:r w:rsidRPr="00DE096C">
        <w:rPr>
          <w:bCs/>
          <w:i w:val="0"/>
          <w:color w:val="002060"/>
          <w:spacing w:val="0"/>
          <w:kern w:val="0"/>
          <w:position w:val="0"/>
          <w:sz w:val="16"/>
          <w:szCs w:val="16"/>
        </w:rPr>
        <w:t>за №128</w:t>
      </w:r>
      <w:r w:rsidR="00DE4B43" w:rsidRPr="00DE096C">
        <w:rPr>
          <w:bCs/>
          <w:i w:val="0"/>
          <w:color w:val="002060"/>
          <w:spacing w:val="0"/>
          <w:kern w:val="0"/>
          <w:position w:val="0"/>
          <w:sz w:val="16"/>
          <w:szCs w:val="16"/>
        </w:rPr>
        <w:t>,</w:t>
      </w:r>
      <w:r w:rsidRPr="00DE096C">
        <w:rPr>
          <w:bCs/>
          <w:i w:val="0"/>
          <w:color w:val="002060"/>
          <w:spacing w:val="0"/>
          <w:kern w:val="0"/>
          <w:position w:val="0"/>
          <w:sz w:val="16"/>
          <w:szCs w:val="16"/>
        </w:rPr>
        <w:t xml:space="preserve"> на котором были более мощные "Аргусы" — 2 по 125 и 2 по 140 сил. Корабль получил почетное наименование "Киевский" в честь знаменательного июньского перелета Петербург-Киев-Ново-Сокольники-Петербург. Первыми пилотами воздушных кораблей стали инструкторы Гатчинской авиашколы, которых учил вождению конструктор Сикорский на корабле "Киевском", ставшим учебным. В июле школа приобрела наличной покупкой этот "Муромец". </w:t>
      </w:r>
    </w:p>
    <w:p w14:paraId="609AEE10"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Вскоре началась война, и Военное ведомство стало торопить с постройкой 10 заказанных кораблей. В июле 1914 г. был утвержден штат №7 "Команды для аэроплана типа «Илья Муромец», состоявшей из 4 офицеров, 1 военного чиновника и 40 нижних чинов. На аппарат предполагалось мощное вооружение: 37 мм пушка Гочкиса, 2 пулемета "Максим", 2 ружья-пулемета "Мадсен" и 2 пистолета "Маузер". </w:t>
      </w:r>
    </w:p>
    <w:p w14:paraId="32ABD0A0"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Один корабль приравнивался к полевому отряду и придавался штабам армий и фронтов (11277).</w:t>
      </w:r>
    </w:p>
    <w:p w14:paraId="046F6AC9" w14:textId="77777777" w:rsidR="00B67D7C" w:rsidRPr="00DE096C" w:rsidRDefault="00B67D7C" w:rsidP="00D45A46">
      <w:pPr>
        <w:pStyle w:val="a3"/>
        <w:jc w:val="both"/>
        <w:rPr>
          <w:bCs/>
          <w:i w:val="0"/>
          <w:color w:val="002060"/>
          <w:spacing w:val="0"/>
          <w:kern w:val="0"/>
          <w:position w:val="0"/>
          <w:sz w:val="16"/>
          <w:szCs w:val="16"/>
        </w:rPr>
      </w:pPr>
    </w:p>
    <w:p w14:paraId="296808DC" w14:textId="11DA2944" w:rsidR="00B67D7C" w:rsidRPr="00DE096C" w:rsidRDefault="00B67D7C" w:rsidP="00D45A46">
      <w:pPr>
        <w:jc w:val="both"/>
        <w:rPr>
          <w:bCs/>
          <w:color w:val="002060"/>
          <w:sz w:val="16"/>
          <w:szCs w:val="16"/>
        </w:rPr>
      </w:pPr>
      <w:r w:rsidRPr="00DE096C">
        <w:rPr>
          <w:bCs/>
          <w:color w:val="002060"/>
          <w:sz w:val="16"/>
          <w:szCs w:val="16"/>
        </w:rPr>
        <w:t xml:space="preserve">В апреле 1914 г. вне будущего контракта ГВТу-РБВЗ был построен второй экземпляр </w:t>
      </w:r>
      <w:r w:rsidR="00DE4B43" w:rsidRPr="00DE096C">
        <w:rPr>
          <w:bCs/>
          <w:color w:val="002060"/>
          <w:sz w:val="16"/>
          <w:szCs w:val="16"/>
        </w:rPr>
        <w:t xml:space="preserve">ИМ </w:t>
      </w:r>
      <w:r w:rsidRPr="00DE096C">
        <w:rPr>
          <w:bCs/>
          <w:color w:val="002060"/>
          <w:sz w:val="16"/>
          <w:szCs w:val="16"/>
        </w:rPr>
        <w:t xml:space="preserve">за №128 на котором были более мощные "Аргусы" — 2 по 125 и 2 по 140 сил. Корабль получил почетное наименование "Киевский" в честь знаменательного июньского перелета Петербург-Киев-Ново-Сокольники-Петербург. Первыми пилотами воздушных кораблей стали инструкторы Гатчинской авиашколы, которых учил вождению конструктор Сикорский на корабле "Киевском", ставшим учебным. В июле школа приобрела наличной покупкой этот "Муромец". </w:t>
      </w:r>
    </w:p>
    <w:p w14:paraId="1728A9E1" w14:textId="77777777" w:rsidR="00B67D7C" w:rsidRPr="00DE096C" w:rsidRDefault="00B67D7C" w:rsidP="00D45A46">
      <w:pPr>
        <w:jc w:val="both"/>
        <w:rPr>
          <w:bCs/>
          <w:color w:val="002060"/>
          <w:sz w:val="16"/>
          <w:szCs w:val="16"/>
        </w:rPr>
      </w:pPr>
      <w:r w:rsidRPr="00DE096C">
        <w:rPr>
          <w:bCs/>
          <w:color w:val="002060"/>
          <w:sz w:val="16"/>
          <w:szCs w:val="16"/>
        </w:rPr>
        <w:t xml:space="preserve">Вскоре началась война, и Военное ведомство стало торопить с постройкой 10 заказанных кораблей. В июле 1914 г. был утвержден штат №7 "Команды для аэроплана типа «Илья Муромец», состоявшей из 4 офицеров, 1 военного чиновника и 40 нижних чинов. На аппарат предполагалось мощное вооружение: 37 мм пушка Гочкиса, 2 пулемета "Максим", 2 ружья-пулемета "Мадсен" и 2 пистолета "Маузер". </w:t>
      </w:r>
    </w:p>
    <w:p w14:paraId="0E09DAEF" w14:textId="77777777" w:rsidR="00B67D7C" w:rsidRPr="00DE096C" w:rsidRDefault="00B67D7C" w:rsidP="00D45A46">
      <w:pPr>
        <w:jc w:val="both"/>
        <w:rPr>
          <w:bCs/>
          <w:color w:val="002060"/>
          <w:sz w:val="16"/>
          <w:szCs w:val="16"/>
        </w:rPr>
      </w:pPr>
      <w:r w:rsidRPr="00DE096C">
        <w:rPr>
          <w:bCs/>
          <w:color w:val="002060"/>
          <w:sz w:val="16"/>
          <w:szCs w:val="16"/>
        </w:rPr>
        <w:t xml:space="preserve">Один корабль приравнивался к полевому отряду и придавался штабам армий и фронтов. </w:t>
      </w:r>
    </w:p>
    <w:p w14:paraId="2B20AD29" w14:textId="77777777" w:rsidR="00B67D7C" w:rsidRPr="00DE096C" w:rsidRDefault="00B67D7C" w:rsidP="00D45A46">
      <w:pPr>
        <w:jc w:val="both"/>
        <w:rPr>
          <w:bCs/>
          <w:color w:val="002060"/>
          <w:sz w:val="16"/>
          <w:szCs w:val="16"/>
        </w:rPr>
      </w:pPr>
      <w:r w:rsidRPr="00DE096C">
        <w:rPr>
          <w:bCs/>
          <w:color w:val="002060"/>
          <w:sz w:val="16"/>
          <w:szCs w:val="16"/>
        </w:rPr>
        <w:t xml:space="preserve">5 августа 1914 г. Начальнику авиационного отдела Офицерской Воздухо­плавательной Школы в Гатчине полковнику С.А.Ульянину поручили формирование первых четырех команд, а с сентября еще трех. Командиром 1-го воздушного корабля был назначен штабс-капитан Е.В.Руднев, 11-го поручик А.В.Панкратьев, 111-го штабс-капитан С.М.Бродович и IV-го поручик С.К.Модрах. </w:t>
      </w:r>
    </w:p>
    <w:p w14:paraId="1F9FC96D" w14:textId="77777777" w:rsidR="00B67D7C" w:rsidRPr="00DE096C" w:rsidRDefault="00B67D7C" w:rsidP="00D45A46">
      <w:pPr>
        <w:jc w:val="both"/>
        <w:rPr>
          <w:bCs/>
          <w:color w:val="002060"/>
          <w:sz w:val="16"/>
          <w:szCs w:val="16"/>
        </w:rPr>
      </w:pPr>
      <w:r w:rsidRPr="00DE096C">
        <w:rPr>
          <w:bCs/>
          <w:color w:val="002060"/>
          <w:sz w:val="16"/>
          <w:szCs w:val="16"/>
        </w:rPr>
        <w:t xml:space="preserve">Еще до отправки на фронт 1-го корабля в августе на нем была испытана 37 мм пушка Гочкиса, которая была установлена на пулеметно-орудийной площадке. По замыслу орудие предназначалось для борьбы с германскими дирижаблями - "Цеппелинами". Испытания были признаны неудовлетворительными: при весе в 6 пудов и скорострельности 10 выстрелов в минуту пушка требовала 2 человек — наводчика и подно­счика снарядов, которых было 15 штук, да и их разлет составлял 200-250 м. Уже в Эскадре в январе 1915 г. пробовали на корабле V-м другую 3-х дюймовую пушку системы полковника Гельвига, которую прислали из 1лавного Артиллерийского Управления. Она была безоткатной, с нали­чием добавочного ствола прямо противоположного главному. При выстреле из главного ствола вылетал боевой снаряд, а из добавочного - пыж, но исключало откат ствола. Но от нее тоже отказались из-за большого веса, малой скорострельности и эффективности стрельбы. </w:t>
      </w:r>
    </w:p>
    <w:p w14:paraId="4FFF11AB" w14:textId="77777777" w:rsidR="00B67D7C" w:rsidRPr="00DE096C" w:rsidRDefault="00B67D7C" w:rsidP="00D45A46">
      <w:pPr>
        <w:jc w:val="both"/>
        <w:rPr>
          <w:bCs/>
          <w:color w:val="002060"/>
          <w:sz w:val="16"/>
          <w:szCs w:val="16"/>
        </w:rPr>
      </w:pPr>
      <w:r w:rsidRPr="00DE096C">
        <w:rPr>
          <w:bCs/>
          <w:color w:val="002060"/>
          <w:sz w:val="16"/>
          <w:szCs w:val="16"/>
        </w:rPr>
        <w:t xml:space="preserve">С июля по сентябрь 1914 г. было изготовлено 5 аппаратов типа Б №№135-138 и 143, получивших соответственно наименования кораблей c I по V. После многочисленных доработок и установки вооружения 2 машины в августе были готовы к отправке на фронт. Утром 31 августа "Илья Муромец 1" Е.В.Руднева вылетел в Белосток на Северо-Западный фронт. 24 сентября на фронт отправился "Илья Муромец II" поручика А.В.Панкратьева. </w:t>
      </w:r>
    </w:p>
    <w:p w14:paraId="0755BA5F" w14:textId="77777777" w:rsidR="00B67D7C" w:rsidRPr="00DE096C" w:rsidRDefault="00B67D7C" w:rsidP="00D45A46">
      <w:pPr>
        <w:jc w:val="both"/>
        <w:rPr>
          <w:bCs/>
          <w:color w:val="002060"/>
          <w:sz w:val="16"/>
          <w:szCs w:val="16"/>
        </w:rPr>
      </w:pPr>
      <w:r w:rsidRPr="00DE096C">
        <w:rPr>
          <w:bCs/>
          <w:color w:val="002060"/>
          <w:sz w:val="16"/>
          <w:szCs w:val="16"/>
        </w:rPr>
        <w:t>Председатель Правления А/О РБВЗ Шидловский написал докладную записку военному министру Сухомлинову и просил, чтобы ему на деле дали возможность доказать пригодность "Муромцев" для военных целей. В ней указывалось неправильное использование этих машин на фронте и предлагалось сформировать из разрозненных отрядов "Муромцев" боевое соединение по типу эскадры морских боевых кораблей. Верховный Главнокомандующий Великий князь Николай Николаевич и сам император также ознакомились с докладом и одобрили этот проект. В начале декабря 1914г. был издан приказ согласно которого вся авиация делилась на тяжелую и легкую. Было сформировано Управление Эскадры Воздушных Кораблей (УЭВК), подчиненное Верховному Главнокомандующему. М.В.Шидловскому присвоили звание генерал-майора, что соответствовало его чину действительного статского советника, и назначили Начальником УЭВК. По штату Эскадре полагалось 10 боевых и 2 учебных корабля. Аэродром УЭВК находился у деревни Старая Яблонна (под Варшавой), куда в декабре 1914 г прибыли 111-й, V-й, VI-й и VII-й корабли. Два последних "Муромца" были нового типа В ("облегченного"), с острым носом (первый учебный с 2 "Сальмсонами", второй боевой). Еще в сентябре 1914 г. при формировании трех до­полнительных отрядов (V-го поручика Г.В.Алехновича, VI-го штабс-капитана Б.Н.Фирсова и VII-го штабс-капитана Г.Г.Горшкова). Для отряда "Киевский" ( VII-го по порядку) предназ­начался "Киевский" №128, находившийся в Гатчинской школе. Но школа просила оставить корабль для подготовки летчиков. Тогда Горшкову выделили новый аэроплан за №150 типа И, который получил название "Киевский" по имени отряда. Бесценные моторы "Аргус" были сняты с гатчинца и поставлены на новый корабль, который в декабре убыл по ж/д на фронт вместе с УЭВК (11605).</w:t>
      </w:r>
    </w:p>
    <w:p w14:paraId="7EDB7B8A" w14:textId="77777777" w:rsidR="00B67D7C" w:rsidRPr="00DE096C" w:rsidRDefault="00B67D7C" w:rsidP="00D45A46">
      <w:pPr>
        <w:jc w:val="both"/>
        <w:rPr>
          <w:bCs/>
          <w:color w:val="002060"/>
          <w:sz w:val="16"/>
          <w:szCs w:val="16"/>
        </w:rPr>
      </w:pPr>
    </w:p>
    <w:p w14:paraId="451F63B4" w14:textId="42CC3A94" w:rsidR="00B67D7C" w:rsidRPr="00DE096C" w:rsidRDefault="00B67D7C" w:rsidP="00D45A46">
      <w:pPr>
        <w:jc w:val="both"/>
        <w:rPr>
          <w:bCs/>
          <w:color w:val="002060"/>
          <w:sz w:val="16"/>
          <w:szCs w:val="16"/>
        </w:rPr>
      </w:pPr>
      <w:r w:rsidRPr="00DE096C">
        <w:rPr>
          <w:bCs/>
          <w:color w:val="002060"/>
          <w:sz w:val="16"/>
          <w:szCs w:val="16"/>
        </w:rPr>
        <w:t xml:space="preserve">В апреле 1914 </w:t>
      </w:r>
      <w:r w:rsidR="00DE4B43" w:rsidRPr="00DE096C">
        <w:rPr>
          <w:bCs/>
          <w:color w:val="002060"/>
          <w:sz w:val="16"/>
          <w:szCs w:val="16"/>
        </w:rPr>
        <w:t xml:space="preserve">г. </w:t>
      </w:r>
      <w:r w:rsidRPr="00DE096C">
        <w:rPr>
          <w:bCs/>
          <w:color w:val="002060"/>
          <w:sz w:val="16"/>
          <w:szCs w:val="16"/>
        </w:rPr>
        <w:t>уже заканчивалась постройка второго самолета "Илья Муромец", который должен был собрать в себе все улучшения с учетом выявленных недостатков, а первый по настоянию Морского ведомства был переделан в гидросамолет. На нем заменили 100-сильные двигатели "Аргус" на два "Сальмсон" в 200 л. с. каждый (средние) и два "Аргус" в 115 л. с. каждый (крайние). Поплавков было три: два главных и третий хвостовой. Главные поплавки крепились под средними двигателями к специальным стойкам шасси на резиновых шнурах-амортизаторах. Поплавки были короткие, полреданные, плоскодонные, с небольшим запасом плавучести и отличались большой простотой конструкции. Гибкая подвеска поплавков была удачным решением, и самолет легко глиссировал даже при небольшом волнении. Забегая вперед, можно заметить, что первый полет продолжительностью 12 мин был совершен 14 мая 1914 г. Пилотируемый И. И. Сикорским и лейтенантом Г. И. Лавровым самолет успешно прошел испытания с полной нагрузкой. Мореходность была удовлетворительной, а управляемость на воде хорошей, чему способствовала возможность дифференцированно пользоваться двигателями. Вскоре Морское ведомство приняло "Илью Муромца" на вооружение. Это был caмый крупный гидросамолет в мире, и он оставался таким вплоть до 1917 г. (11294).</w:t>
      </w:r>
    </w:p>
    <w:p w14:paraId="6040D2EB" w14:textId="77777777" w:rsidR="00B67D7C" w:rsidRPr="00DE096C" w:rsidRDefault="00B67D7C" w:rsidP="00D45A46">
      <w:pPr>
        <w:jc w:val="both"/>
        <w:rPr>
          <w:bCs/>
          <w:color w:val="002060"/>
          <w:sz w:val="16"/>
          <w:szCs w:val="16"/>
        </w:rPr>
      </w:pPr>
    </w:p>
    <w:p w14:paraId="31E87C1B" w14:textId="77777777" w:rsidR="00B67D7C" w:rsidRPr="00DE096C" w:rsidRDefault="00B67D7C" w:rsidP="00D45A46">
      <w:pPr>
        <w:jc w:val="both"/>
        <w:rPr>
          <w:bCs/>
          <w:color w:val="002060"/>
          <w:sz w:val="16"/>
          <w:szCs w:val="16"/>
        </w:rPr>
      </w:pPr>
      <w:r w:rsidRPr="00DE096C">
        <w:rPr>
          <w:bCs/>
          <w:color w:val="002060"/>
          <w:sz w:val="16"/>
          <w:szCs w:val="16"/>
        </w:rPr>
        <w:t>В апреле 1914 г. вне будущего контракта ГВТУ-РБВЗ был построен второй экземпляр за №128 на котором были более мощные "Аргусы" - 2 по 125 и 2 по 140 сил. Корабль получил почетное наименование "Киевский" в честь знаменательного июньского перелета Петер- бург-Киев-Ново-Сокольники-Петербург. Первыми пилотами воздушных кораблей стали инструкторы Гатчинской авиашколы, которых учил вождению конструктор Сикорский на корабле "Киевском", ставшим учебным. В июле школа приобрела наличной покупкой этот "Муромец".</w:t>
      </w:r>
    </w:p>
    <w:p w14:paraId="3EEDDF84" w14:textId="77777777" w:rsidR="00B67D7C" w:rsidRPr="00DE096C" w:rsidRDefault="00B67D7C" w:rsidP="00D45A46">
      <w:pPr>
        <w:jc w:val="both"/>
        <w:rPr>
          <w:bCs/>
          <w:color w:val="002060"/>
          <w:sz w:val="16"/>
          <w:szCs w:val="16"/>
        </w:rPr>
      </w:pPr>
      <w:r w:rsidRPr="00DE096C">
        <w:rPr>
          <w:bCs/>
          <w:color w:val="002060"/>
          <w:sz w:val="16"/>
          <w:szCs w:val="16"/>
        </w:rPr>
        <w:t>Вскоре началась война, и Военное ведомство стало торопить с постройкой 10 заказанных кораблей. В июле 1914 г. был утвержден штат №7 "Команды для аэроплана типа "Илья Муромец", состоявшей из 4 офицеров, 1 военного чиновника и 40 нижних чинов. На аппарат предполагалось мощное вооружение: 37 мм пушка Гочкиса, 2 пулемета "Максим", 2 ружья- пулемета "Мадсен" и 2 пистолета "Маузер".</w:t>
      </w:r>
    </w:p>
    <w:p w14:paraId="46A49E46" w14:textId="77777777" w:rsidR="00B67D7C" w:rsidRPr="00DE096C" w:rsidRDefault="00B67D7C" w:rsidP="00D45A46">
      <w:pPr>
        <w:jc w:val="both"/>
        <w:rPr>
          <w:bCs/>
          <w:color w:val="002060"/>
          <w:sz w:val="16"/>
          <w:szCs w:val="16"/>
        </w:rPr>
      </w:pPr>
      <w:r w:rsidRPr="00DE096C">
        <w:rPr>
          <w:bCs/>
          <w:color w:val="002060"/>
          <w:sz w:val="16"/>
          <w:szCs w:val="16"/>
        </w:rPr>
        <w:t>Один корабль приравнивался к полевому отряду и придавался штабам армий и фронтов (12038).</w:t>
      </w:r>
    </w:p>
    <w:p w14:paraId="3458BCAC" w14:textId="77777777" w:rsidR="00B67D7C" w:rsidRPr="00DE096C" w:rsidRDefault="00B67D7C" w:rsidP="00D45A46">
      <w:pPr>
        <w:jc w:val="both"/>
        <w:rPr>
          <w:bCs/>
          <w:color w:val="002060"/>
          <w:sz w:val="16"/>
          <w:szCs w:val="16"/>
        </w:rPr>
      </w:pPr>
    </w:p>
    <w:p w14:paraId="4B4AD2C6" w14:textId="46A99F36" w:rsidR="00B67D7C" w:rsidRPr="00DE096C" w:rsidRDefault="00DE4B43"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апреле 1914</w:t>
      </w:r>
      <w:r w:rsidRPr="00DE096C">
        <w:rPr>
          <w:bCs/>
          <w:color w:val="002060"/>
          <w:sz w:val="16"/>
          <w:szCs w:val="16"/>
        </w:rPr>
        <w:t xml:space="preserve"> был готов второй "Муромец". Самолет </w:t>
      </w:r>
      <w:r w:rsidR="00B67D7C" w:rsidRPr="00DE096C">
        <w:rPr>
          <w:bCs/>
          <w:color w:val="002060"/>
          <w:sz w:val="16"/>
          <w:szCs w:val="16"/>
        </w:rPr>
        <w:t>отличался от первого меньшими размерами и более мощной силовой установкой - четыре двигателя "Аргус" по 140 л. с. (внутренние) и по 125 л. с. (внешние). Увеличение мощности при меньшем взлетном весе позволило установить сразу несколько мировых рекордов. Этими рекордами была сломлена сильная оппозиция в Государственной думе, которая, несмотря на заинтересованность военного ведомства, препятствовала Приобретению "Муромцев" русской армией. Основной довод - самолет в показательных и испытательных полетах не поднимался выше 1000 м. Для использования на боевое применение эта высота считалась недостаточной (11294).</w:t>
      </w:r>
    </w:p>
    <w:p w14:paraId="1084C9ED" w14:textId="77777777" w:rsidR="00B67D7C" w:rsidRPr="00DE096C" w:rsidRDefault="00B67D7C" w:rsidP="00D45A46">
      <w:pPr>
        <w:jc w:val="both"/>
        <w:rPr>
          <w:bCs/>
          <w:color w:val="002060"/>
          <w:sz w:val="16"/>
          <w:szCs w:val="16"/>
        </w:rPr>
      </w:pPr>
    </w:p>
    <w:p w14:paraId="51435453" w14:textId="77777777" w:rsidR="00B67D7C" w:rsidRPr="00DE096C" w:rsidRDefault="00B67D7C" w:rsidP="00D45A46">
      <w:pPr>
        <w:jc w:val="both"/>
        <w:rPr>
          <w:bCs/>
          <w:color w:val="002060"/>
          <w:sz w:val="16"/>
          <w:szCs w:val="16"/>
        </w:rPr>
      </w:pPr>
      <w:r w:rsidRPr="00DE096C">
        <w:rPr>
          <w:bCs/>
          <w:color w:val="002060"/>
          <w:sz w:val="16"/>
          <w:szCs w:val="16"/>
        </w:rPr>
        <w:t>В апреле 1914 г. Лебедев построил в Новой Деревне близ Комендантского аэродрома в Петербурге несколько производственных помещений, давших начало новому авиационному заводу - "Акционерному обществу воздухоплавания В.А.Лебедева". Первой продукцией предприятия стали французские самолеты "Депердюссен", "Моран-Сольнье", "Вуазен" и летающие лодки "ФБА". Средняя производительность в предвоенный период составляла 6 аэропланов в месяц (11183).</w:t>
      </w:r>
    </w:p>
    <w:p w14:paraId="1F06DC15" w14:textId="77777777" w:rsidR="00B67D7C" w:rsidRPr="00DE096C" w:rsidRDefault="00B67D7C" w:rsidP="00D45A46">
      <w:pPr>
        <w:jc w:val="both"/>
        <w:rPr>
          <w:bCs/>
          <w:color w:val="002060"/>
          <w:sz w:val="16"/>
          <w:szCs w:val="16"/>
        </w:rPr>
      </w:pPr>
    </w:p>
    <w:p w14:paraId="6535C2A1" w14:textId="77777777" w:rsidR="00B67D7C" w:rsidRPr="00DE096C" w:rsidRDefault="00B67D7C" w:rsidP="00D45A46">
      <w:pPr>
        <w:jc w:val="both"/>
        <w:rPr>
          <w:bCs/>
          <w:color w:val="002060"/>
          <w:sz w:val="16"/>
          <w:szCs w:val="16"/>
        </w:rPr>
      </w:pPr>
      <w:r w:rsidRPr="00DE096C">
        <w:rPr>
          <w:bCs/>
          <w:color w:val="002060"/>
          <w:sz w:val="16"/>
          <w:szCs w:val="16"/>
        </w:rPr>
        <w:t xml:space="preserve">В апреле 1914 года В.А. Лебедев арендует участок земли близ Комендантского аэродрома и начинает строить производственные здания. Так было положено начало его первого авиационного завода. В том же году В.А. Лебедев уже сумел получить ряд государственных заказов на строительство и испытания нескольких типов самолетов, в основном — аэропланы иностранных типов. Сначала французский самолет «Депердюссен-разведчик». Это был двухместный среднеплан с мотором Тном-Мососупан" мощностью в 80 л.с. Он обладал неплохими данными и на конкурсе военных аэропланов 1913 года занял третье место. На заводе В.А. Лебедева было построено 63 самолета. Кроме того, в 1915 году строятся два таких самолета в поплавковом варианте. В апреле 1915 года Лебедев добивается заказа на </w:t>
      </w:r>
      <w:r w:rsidRPr="00DE096C">
        <w:rPr>
          <w:bCs/>
          <w:color w:val="002060"/>
          <w:sz w:val="16"/>
          <w:szCs w:val="16"/>
        </w:rPr>
        <w:lastRenderedPageBreak/>
        <w:t>строительство и поставку морскому ведомству 31 гидроаэроплана типа «Ф.Б.А». Строительство этих гидропланов продолжалось до конца 1916 года. В то время одним из лучших самолетов считался по праву аэроплан конструкции братьев Вуазен. На своем Петроградском заводе В.А. Лебедев строил самолеты типа «Вуазен» в модификациях L, LA, LАS. Его завод в Петрограде развивался довольно быстро, и уже в 1915 году на нем трудилось несколько сот человек, а в 1916 году уже 867 работающих. Завод занимал значительную по тем временам площадь в 25 тысяч квадратных саженей и превосходил заводы Щетинина и «Дукс». На полученные от государства субсидии В.А. Лебедеву удалось в течение 1914-1918 построить завод общей площадью каменных зданий — 211 кв. саженей и деревянных — 3359 кв. саженей. На заводе было установлено 55 двигателей разной мощности и 37 станков. Уже в первый год своего существования на заводе было построено 47 различных самолетов, в 1915 году — 187, а в 1918 году сдано заказчикам 227 самолетов.</w:t>
      </w:r>
    </w:p>
    <w:p w14:paraId="5A7892BF" w14:textId="77777777" w:rsidR="00B67D7C" w:rsidRPr="00DE096C" w:rsidRDefault="00B67D7C" w:rsidP="00D45A46">
      <w:pPr>
        <w:jc w:val="both"/>
        <w:rPr>
          <w:bCs/>
          <w:color w:val="002060"/>
          <w:sz w:val="16"/>
          <w:szCs w:val="16"/>
        </w:rPr>
      </w:pPr>
    </w:p>
    <w:p w14:paraId="5EA297AE" w14:textId="77777777" w:rsidR="00B67D7C" w:rsidRPr="00DE096C" w:rsidRDefault="00B67D7C" w:rsidP="00D45A46">
      <w:pPr>
        <w:jc w:val="both"/>
        <w:rPr>
          <w:bCs/>
          <w:color w:val="002060"/>
          <w:sz w:val="16"/>
          <w:szCs w:val="16"/>
        </w:rPr>
      </w:pPr>
      <w:r w:rsidRPr="00DE096C">
        <w:rPr>
          <w:bCs/>
          <w:color w:val="002060"/>
          <w:sz w:val="16"/>
          <w:szCs w:val="16"/>
        </w:rPr>
        <w:t xml:space="preserve">В апреле 1914 г. Лебедев построил в Новой Деревне близ Комендантского аэродрома в Петербурге несколько производственных помещений, давших начало новому авиационному заводу - "Акционерному обществу воздухоплавания В.А.Лебедева". Первой продукцией предприятия стали французские самолеты "Депердюссен", "Моран-Сольнье", "Вуазен" и летающие лодки "ФБА". Средняя производительность в предвоенный период составляла 6 аэропланов в месяц. </w:t>
      </w:r>
    </w:p>
    <w:p w14:paraId="1EA1D670" w14:textId="77777777" w:rsidR="00B67D7C" w:rsidRPr="00DE096C" w:rsidRDefault="00B67D7C" w:rsidP="00D45A46">
      <w:pPr>
        <w:jc w:val="both"/>
        <w:rPr>
          <w:bCs/>
          <w:color w:val="002060"/>
          <w:sz w:val="16"/>
          <w:szCs w:val="16"/>
        </w:rPr>
      </w:pPr>
      <w:r w:rsidRPr="00DE096C">
        <w:rPr>
          <w:bCs/>
          <w:color w:val="002060"/>
          <w:sz w:val="16"/>
          <w:szCs w:val="16"/>
        </w:rPr>
        <w:t xml:space="preserve">Первоначально штат завода Лебедева насчитывал всего 7 рабочих, но с получением заказов (а следовательно, и кредитов) от Военного ведомства численность персонала возросла в десятки раз. Заводской пилот, французский авиатор Жануар, был позднее заменен отчественным - латышом Мартином Федоровичем Госповским, начинавшим свою деятельность на заводе Лебедева авиационным механиком. Управляющим и техническим директором завода был назначен Витольд Иванович Ярковский, потом его заменил инженер С.Заболоцкий. Незадолго до начала войны в 1914 г. Лебедев назначил инженера Леопольда Михайловича Шкульника главным конструктором. До этого Шкульник служил на немецкой авиацинной фирме AGO. Именно он стал конструктором большинства самолетов завода Лебедева и их модификаций. За серийный выпуск аэропланов иностранной конструкции отвечал инженер Василий Иванович Ребиков. В производстве самолетов участвовали также инженеры Самуил Борисович Гуревич и Леонид Дементьевич Колпаков-Мирошниченко. </w:t>
      </w:r>
    </w:p>
    <w:p w14:paraId="41AC5390" w14:textId="77777777" w:rsidR="00B67D7C" w:rsidRPr="00DE096C" w:rsidRDefault="00B67D7C" w:rsidP="00D45A46">
      <w:pPr>
        <w:jc w:val="both"/>
        <w:rPr>
          <w:bCs/>
          <w:color w:val="002060"/>
          <w:sz w:val="16"/>
          <w:szCs w:val="16"/>
        </w:rPr>
      </w:pPr>
      <w:r w:rsidRPr="00DE096C">
        <w:rPr>
          <w:bCs/>
          <w:color w:val="002060"/>
          <w:sz w:val="16"/>
          <w:szCs w:val="16"/>
        </w:rPr>
        <w:t xml:space="preserve">В 1914 г. первым серийным самолетом нового завода стал двухместный французский моноплан "Депердюссен" с мотором "Гном-Моносупап" (обычно именуемых просто "Гном") 80 л.с. Построили 63 штуки, большинство отправили в действующую армию, небольшую часть - в Гатчинскую авиашколу. </w:t>
      </w:r>
    </w:p>
    <w:p w14:paraId="0B0EA317" w14:textId="77777777" w:rsidR="00B67D7C" w:rsidRPr="00DE096C" w:rsidRDefault="00B67D7C" w:rsidP="00D45A46">
      <w:pPr>
        <w:jc w:val="both"/>
        <w:rPr>
          <w:bCs/>
          <w:color w:val="002060"/>
          <w:sz w:val="16"/>
          <w:szCs w:val="16"/>
        </w:rPr>
      </w:pPr>
      <w:r w:rsidRPr="00DE096C">
        <w:rPr>
          <w:bCs/>
          <w:color w:val="002060"/>
          <w:sz w:val="16"/>
          <w:szCs w:val="16"/>
        </w:rPr>
        <w:t>С июля 1914 г. завод Лебедева начал постройку французского биплана "Вуазен" с мотором "Сальмсон" 130 л.с. (позже ставили двигатели мощностью 140 и 150 л.с.). Этот самолет был хорошим двухместным разведчиком и прошел всю войну до конца, работая в корпусных и армейских авиаотрядах. Он пользовался популярностью у русских летчиков, поскольку, несмотря на внешнюю неуклюжесть, легко управлялся и допускал резкие маневры в трудные минуты боя. Аэроплан нес большую боевую нагрузку, чем однотипный, но менее мощный "Фарман". К тому же это был первый в русской армии вооруженный серийный самолет, наблюдатель которого оперировал пулеметом. Установка под пулемет "Кольт", разработанная именно на заводе Лебедева, прошла испытания весной 1915 г. и была рекомендована в серийное производство (11183).</w:t>
      </w:r>
    </w:p>
    <w:p w14:paraId="4B9372C9" w14:textId="77777777" w:rsidR="00B67D7C" w:rsidRPr="00DE096C" w:rsidRDefault="00B67D7C" w:rsidP="00D45A46">
      <w:pPr>
        <w:jc w:val="both"/>
        <w:rPr>
          <w:bCs/>
          <w:color w:val="002060"/>
          <w:sz w:val="16"/>
          <w:szCs w:val="16"/>
        </w:rPr>
      </w:pPr>
      <w:r w:rsidRPr="00DE096C">
        <w:rPr>
          <w:bCs/>
          <w:color w:val="002060"/>
          <w:sz w:val="16"/>
          <w:szCs w:val="16"/>
        </w:rPr>
        <w:t xml:space="preserve">С конца 1914 и до 1916 г. завод выпускал французские летающие лодки "ФБА", поступавшие на вооружение морской авиации Балтийского флота. Для сборки и испытаний летающих лодок построили ангары на морском побережье Крестовского острова в Петрограде. Всего выпустили 34 летающих лодки типа "ФБА". </w:t>
      </w:r>
    </w:p>
    <w:p w14:paraId="72A76328" w14:textId="77777777" w:rsidR="00B67D7C" w:rsidRPr="00DE096C" w:rsidRDefault="00B67D7C" w:rsidP="00D45A46">
      <w:pPr>
        <w:jc w:val="both"/>
        <w:rPr>
          <w:bCs/>
          <w:color w:val="002060"/>
          <w:sz w:val="16"/>
          <w:szCs w:val="16"/>
        </w:rPr>
      </w:pPr>
      <w:r w:rsidRPr="00DE096C">
        <w:rPr>
          <w:bCs/>
          <w:color w:val="002060"/>
          <w:sz w:val="16"/>
          <w:szCs w:val="16"/>
        </w:rPr>
        <w:t xml:space="preserve">Летом 1915 г. в Петроград на завод Лебедева был доставлен трофейный немецкий самолет "Альбатрос" образца 1914 г. с мотором "Бенц" 150 л.с., послуживший основой для копирования. В дальнейшем такая практика использования трофейных самолетов была широко использована на заводе Лебедева. При этом трофейные экземпляры подвергались во время ремонта небольшим изменениям, в основном из-за установки других моторов. </w:t>
      </w:r>
    </w:p>
    <w:p w14:paraId="1A93E314" w14:textId="77777777" w:rsidR="00B67D7C" w:rsidRPr="00DE096C" w:rsidRDefault="00B67D7C" w:rsidP="00D45A46">
      <w:pPr>
        <w:jc w:val="both"/>
        <w:rPr>
          <w:bCs/>
          <w:color w:val="002060"/>
          <w:sz w:val="16"/>
          <w:szCs w:val="16"/>
        </w:rPr>
      </w:pPr>
      <w:r w:rsidRPr="00DE096C">
        <w:rPr>
          <w:bCs/>
          <w:color w:val="002060"/>
          <w:sz w:val="16"/>
          <w:szCs w:val="16"/>
        </w:rPr>
        <w:t xml:space="preserve">Среди трофеев особенно ценились неповрежденные или слегка поврежденные самолеты, совершившие вынужденную посадку в тылу русских войск, но получить их с фронта было очень нелегко. Из-за острой нехватки техники командование авиачастей старалось использовать трофейные аэропланы по прямому назначению. После небольшого ремонта при отряде или в авиапарке на них летали русские экипажи и очень хвалили немецкие машины за надежность работы двигателей и грузоподъемность. Поэтому несмотря на то, что трофейные самолеты появились в распоряжении армии с началом боевых действий, первый "Альбатрос" завод Лебедева получил только через год после начала войны. Военные чаще всего старались отправить в тыл лишь "бренные останки" самолетов и безнадежно испорченные двигатели. </w:t>
      </w:r>
    </w:p>
    <w:p w14:paraId="367B3F52" w14:textId="77777777" w:rsidR="00B67D7C" w:rsidRPr="00DE096C" w:rsidRDefault="00B67D7C" w:rsidP="00D45A46">
      <w:pPr>
        <w:jc w:val="both"/>
        <w:rPr>
          <w:bCs/>
          <w:color w:val="002060"/>
          <w:sz w:val="16"/>
          <w:szCs w:val="16"/>
        </w:rPr>
      </w:pPr>
      <w:r w:rsidRPr="00DE096C">
        <w:rPr>
          <w:bCs/>
          <w:color w:val="002060"/>
          <w:sz w:val="16"/>
          <w:szCs w:val="16"/>
        </w:rPr>
        <w:t>Позже Лебедеву удалось достигнуть договоренности с командованием авиации о поставке трофейных самолетов на завод с целью изучения новейших достижений немецких конструкторов. Лебедев обещал возвращать эти самолеты на фронт после изучения и ремонта. Так была достигнута взаимная выгода - Лебедев получал доступ к техническим новинкам противника, а фронт получал отремонтированные самолеты. Правда, надежды на использование передовым техническим решениям не оправдались, так как немцы применяли на восточном фронте самолеты далеко не "первой свежести". К тому же перед отправкой в тыл трофейные самолеты нещадно "потрошились" и прибывали на завод с вывернутыми из двигателей свечами, "пустой" приборной доской и вставленными "чужими" деталями. На это Лебедев не раз жаловался командованию и просил воспрепятствовать "раздеванию" посылаемых самолетов, обеспечивая их надлежащей охраной (11183).</w:t>
      </w:r>
    </w:p>
    <w:p w14:paraId="31390A73" w14:textId="77777777" w:rsidR="00B67D7C" w:rsidRPr="00DE096C" w:rsidRDefault="00B67D7C" w:rsidP="00D45A46">
      <w:pPr>
        <w:jc w:val="both"/>
        <w:rPr>
          <w:bCs/>
          <w:color w:val="002060"/>
          <w:sz w:val="16"/>
          <w:szCs w:val="16"/>
        </w:rPr>
      </w:pPr>
      <w:r w:rsidRPr="00DE096C">
        <w:rPr>
          <w:bCs/>
          <w:color w:val="002060"/>
          <w:sz w:val="16"/>
          <w:szCs w:val="16"/>
        </w:rPr>
        <w:t xml:space="preserve">Однако ремонт и копирование даже устаревших немецких конструкций были выгодны Лебедеву, поскольку Военное ведомство покупало отремонтированный трофейный самолет и аппарат новой конструкции по одинаковой цене - 13700 рублей за планер без мотора. </w:t>
      </w:r>
    </w:p>
    <w:p w14:paraId="7452B990" w14:textId="77777777" w:rsidR="00B67D7C" w:rsidRPr="00DE096C" w:rsidRDefault="00B67D7C" w:rsidP="00D45A46">
      <w:pPr>
        <w:jc w:val="both"/>
        <w:rPr>
          <w:bCs/>
          <w:color w:val="002060"/>
          <w:sz w:val="16"/>
          <w:szCs w:val="16"/>
        </w:rPr>
      </w:pPr>
      <w:r w:rsidRPr="00DE096C">
        <w:rPr>
          <w:bCs/>
          <w:color w:val="002060"/>
          <w:sz w:val="16"/>
          <w:szCs w:val="16"/>
        </w:rPr>
        <w:t xml:space="preserve">С увеличением выпуска самолетов Лебедев взял на завод двух новых летчиков-испытателей - Алексея Петровича Гончарова и Василия Яковлевича Михайлова. На момент начала войны детище Лебедева отличалось от других русских авиационных заводов значительными производственными мощностями. В 1916 году предприятие выпускало в среднем по одному аэроплану в день, в отдельные месяцы - до полутора машин в день. Для приемки заводской продукции на завод Лебедева были назначены от Военного ведомства прапорщик Попов и подпоручик Лавров в качестве "наблюдающих за изготовлением авиационного имущества" (военная приемка, говоря по-современному). </w:t>
      </w:r>
    </w:p>
    <w:p w14:paraId="24A5B6B6" w14:textId="77777777" w:rsidR="00B67D7C" w:rsidRPr="00DE096C" w:rsidRDefault="00B67D7C" w:rsidP="00D45A46">
      <w:pPr>
        <w:jc w:val="both"/>
        <w:rPr>
          <w:bCs/>
          <w:color w:val="002060"/>
          <w:sz w:val="16"/>
          <w:szCs w:val="16"/>
        </w:rPr>
      </w:pPr>
      <w:r w:rsidRPr="00DE096C">
        <w:rPr>
          <w:bCs/>
          <w:color w:val="002060"/>
          <w:sz w:val="16"/>
          <w:szCs w:val="16"/>
        </w:rPr>
        <w:t>Кроме трофейных "Альбатросов", завод ремонитровал и копировал самолеты других немецких фирм: "Румплер", "Авиатик", LVG и др. Копии английских "Сопвичей" - "Таблоида" и "Полуторастоечного" - были выпущены лишь в нескольких экземплярах. При этом Лебедев не стеснялся давать "клонам" новые названия. Так, "Таблоид" имел заводское обозначение "Лебедь"-VII (1183).</w:t>
      </w:r>
    </w:p>
    <w:p w14:paraId="045F1F17" w14:textId="77777777" w:rsidR="00B67D7C" w:rsidRPr="00DE096C" w:rsidRDefault="00B67D7C" w:rsidP="00D45A46">
      <w:pPr>
        <w:jc w:val="both"/>
        <w:rPr>
          <w:bCs/>
          <w:color w:val="002060"/>
          <w:sz w:val="16"/>
          <w:szCs w:val="16"/>
        </w:rPr>
      </w:pPr>
      <w:r w:rsidRPr="00DE096C">
        <w:rPr>
          <w:bCs/>
          <w:color w:val="002060"/>
          <w:sz w:val="16"/>
          <w:szCs w:val="16"/>
        </w:rPr>
        <w:t xml:space="preserve">Кроме самолетов, завод выпускал запасные части к аэропланам, авиационные лыжи, винты и радиаторы. </w:t>
      </w:r>
    </w:p>
    <w:p w14:paraId="503866F5" w14:textId="77777777" w:rsidR="00B67D7C" w:rsidRPr="00DE096C" w:rsidRDefault="00B67D7C" w:rsidP="00D45A46">
      <w:pPr>
        <w:jc w:val="both"/>
        <w:rPr>
          <w:bCs/>
          <w:color w:val="002060"/>
          <w:sz w:val="16"/>
          <w:szCs w:val="16"/>
        </w:rPr>
      </w:pPr>
      <w:r w:rsidRPr="00DE096C">
        <w:rPr>
          <w:bCs/>
          <w:color w:val="002060"/>
          <w:sz w:val="16"/>
          <w:szCs w:val="16"/>
        </w:rPr>
        <w:t xml:space="preserve">Велась и достаточно интенсивная работа над экспериментальными самолетами. Лебедев привлекал творческих людей и создавал им хорошие условия для труда. Однако ему не хватало терпения довести многие опытные машины "до ума", в основном из-за того, что создание экспериментальных конструкций не сулило Лебедеву немедленных доходов. Основную прибыль он извлекал из серийного производства самолетов, а опытные машины были скрее увлечением, хобби. </w:t>
      </w:r>
    </w:p>
    <w:p w14:paraId="1ED2A849" w14:textId="77777777" w:rsidR="00B67D7C" w:rsidRPr="00DE096C" w:rsidRDefault="00B67D7C" w:rsidP="00D45A46">
      <w:pPr>
        <w:jc w:val="both"/>
        <w:rPr>
          <w:bCs/>
          <w:color w:val="002060"/>
          <w:sz w:val="16"/>
          <w:szCs w:val="16"/>
        </w:rPr>
      </w:pPr>
      <w:r w:rsidRPr="00DE096C">
        <w:rPr>
          <w:bCs/>
          <w:color w:val="002060"/>
          <w:sz w:val="16"/>
          <w:szCs w:val="16"/>
        </w:rPr>
        <w:t>В годы войны "Акционерным обществом воздухоплавания А.В.Лебедева" были построены опытные самолеты русских конструкторов: "Святогор" В.Слесарева ,"Лебедь-Гранд" Л.Колпакова, "Морской Парасоль" Г.Фриде, "Лебедь"-ХVII С.Гуревича и летающая лодка "ВМ-4" А.Виллиша (11183).</w:t>
      </w:r>
    </w:p>
    <w:p w14:paraId="128EC5D9" w14:textId="77777777" w:rsidR="00B67D7C" w:rsidRPr="00DE096C" w:rsidRDefault="00B67D7C" w:rsidP="00D45A46">
      <w:pPr>
        <w:jc w:val="both"/>
        <w:rPr>
          <w:bCs/>
          <w:color w:val="002060"/>
          <w:sz w:val="16"/>
          <w:szCs w:val="16"/>
        </w:rPr>
      </w:pPr>
      <w:r w:rsidRPr="00DE096C">
        <w:rPr>
          <w:bCs/>
          <w:color w:val="002060"/>
          <w:sz w:val="16"/>
          <w:szCs w:val="16"/>
        </w:rPr>
        <w:t>В 1917 году Лебедев решил существенно расширить свое производство. Однако земельный участок на Комендантском аэродроме имел ограниченные размеры и не позволял осуществить грандиозные планы авиапромышленника. Поэтому Владимир Лебедев решил построить еще три завода в Таганроге, Пензе и Ярославле, чему весьма способствовали заказы на сотни самолетов от Морского и Военного ведомств. Так, весной 1917 г. Лебедев заключил контракт с последним на поставку двух сотен "Альбатросов" с моторами "Испано-Сюиза" 200 л.с. Однако заказ не был выполнен из-за срыва поставок двигателей из Англии и Франции во второй половине 1917 г. Другой контракт предусматривал поставку 260 самолетов "Сопвич Полуторостоечный" с мотором "Клерже" 130 л.с., однако построили только 5 экземпляров этого самолета(по данным В.Б.Шаврова; по архивным данным было произведено 7 машин, но все - уже в советское время). Для авиазавода в Пензе, специализировавшегося на выпуске пропеллеров, Лебедев заключил контракт о поставке 60 учебных самолетов "Альбатрос"-VII, который также выполнен не был. Лебедев брался за постройку любых аэропланов, производство которых могло приносить прибыль. Однако по ходу 1917 года выполнять заказы становилось все труднее. В марте на заводе начались забастовки рабочих. Лебедев удовлетворил их требования и с 24 апреля ввел на своем заводе 8-часовой рабочий день. Эта мера временно погасила недовольство рабочих.</w:t>
      </w:r>
    </w:p>
    <w:p w14:paraId="0A48DAB2" w14:textId="77777777" w:rsidR="00B67D7C" w:rsidRPr="00DE096C" w:rsidRDefault="00B67D7C" w:rsidP="00D45A46">
      <w:pPr>
        <w:jc w:val="both"/>
        <w:rPr>
          <w:bCs/>
          <w:color w:val="002060"/>
          <w:sz w:val="16"/>
          <w:szCs w:val="16"/>
        </w:rPr>
      </w:pPr>
      <w:r w:rsidRPr="00DE096C">
        <w:rPr>
          <w:bCs/>
          <w:color w:val="002060"/>
          <w:sz w:val="16"/>
          <w:szCs w:val="16"/>
        </w:rPr>
        <w:t xml:space="preserve">Острый дефицит материалов, необходимых для выпуска аэропланов, в первую очередь древесины и металла, отрицательно сказывался на производстве. Цены на это сырье неуклонно возрастали. В этих условиях авиационное производство становилось убыточным и Лебедев неоднократно обращался в Управление Военно-Воздушного флота с просьбами откорректировать сроки поставки и договорные цены на поставляемые аэропланы с учетом дороговизны материалов и забастовок. </w:t>
      </w:r>
    </w:p>
    <w:p w14:paraId="27FA8F5F" w14:textId="77777777" w:rsidR="00B67D7C" w:rsidRPr="00DE096C" w:rsidRDefault="00B67D7C" w:rsidP="00D45A46">
      <w:pPr>
        <w:jc w:val="both"/>
        <w:rPr>
          <w:bCs/>
          <w:color w:val="002060"/>
          <w:sz w:val="16"/>
          <w:szCs w:val="16"/>
        </w:rPr>
      </w:pPr>
      <w:r w:rsidRPr="00DE096C">
        <w:rPr>
          <w:bCs/>
          <w:color w:val="002060"/>
          <w:sz w:val="16"/>
          <w:szCs w:val="16"/>
        </w:rPr>
        <w:t xml:space="preserve">После большевисткого переворота в октябре 1917 года петроградский завод "Акционерного общества воздухоплавания В.А.Лебедева" и другое его имущество (аэродром, испытательная станция, мастерские) были конфискованы новой властью, а капиталист Владимир Лебедев -объялен контр-революционным элементом. Чтобы избежать участи, уготованной большевиками всем помещикам и капиталистам, Лебедев бежал на юг России, где оставался его завод в Таганроге. </w:t>
      </w:r>
    </w:p>
    <w:p w14:paraId="525AE589" w14:textId="77777777" w:rsidR="00B67D7C" w:rsidRPr="00DE096C" w:rsidRDefault="00B67D7C" w:rsidP="00D45A46">
      <w:pPr>
        <w:jc w:val="both"/>
        <w:rPr>
          <w:bCs/>
          <w:color w:val="002060"/>
          <w:sz w:val="16"/>
          <w:szCs w:val="16"/>
        </w:rPr>
      </w:pPr>
      <w:r w:rsidRPr="00DE096C">
        <w:rPr>
          <w:bCs/>
          <w:color w:val="002060"/>
          <w:sz w:val="16"/>
          <w:szCs w:val="16"/>
        </w:rPr>
        <w:t xml:space="preserve">Здесь он провел годы Гражданской войны. Будучи министром торговли и промышленности в правительстве генерала Деникина, Лебедев пытался организовать производство самолетов. Однако в условиях хаоса и разрухи Гражданской войны сделать этого не удалось и заводские помещения использовались только для ремонта авиатехники. После ликвидации Белого движения и окончательного установления большевисткой власти Лебедев эмигрировал в Сербию. Здесь он некоторое время работал представителем французских фирм, внедряя на местный рынок авиамоторы "Гном" и "Рон". </w:t>
      </w:r>
    </w:p>
    <w:p w14:paraId="04249130" w14:textId="77777777" w:rsidR="00B67D7C" w:rsidRPr="00DE096C" w:rsidRDefault="00B67D7C" w:rsidP="00D45A46">
      <w:pPr>
        <w:jc w:val="both"/>
        <w:rPr>
          <w:bCs/>
          <w:color w:val="002060"/>
          <w:sz w:val="16"/>
          <w:szCs w:val="16"/>
        </w:rPr>
      </w:pPr>
      <w:r w:rsidRPr="00DE096C">
        <w:rPr>
          <w:bCs/>
          <w:color w:val="002060"/>
          <w:sz w:val="16"/>
          <w:szCs w:val="16"/>
        </w:rPr>
        <w:t xml:space="preserve">В 1926 г. Лебедев переехал в Париж, где долгое время работал в авиапромышленности. Его вклад в развитие французской авиации был отмечен орденом Почетного Легиона. Умер Владимир Александрович Лебедев 22 февраля 1947 года в Париже. </w:t>
      </w:r>
    </w:p>
    <w:p w14:paraId="09E29ECE" w14:textId="77777777" w:rsidR="00B67D7C" w:rsidRPr="00DE096C" w:rsidRDefault="00B67D7C" w:rsidP="00D45A46">
      <w:pPr>
        <w:jc w:val="both"/>
        <w:rPr>
          <w:bCs/>
          <w:color w:val="002060"/>
          <w:sz w:val="16"/>
          <w:szCs w:val="16"/>
        </w:rPr>
      </w:pPr>
      <w:r w:rsidRPr="00DE096C">
        <w:rPr>
          <w:bCs/>
          <w:color w:val="002060"/>
          <w:sz w:val="16"/>
          <w:szCs w:val="16"/>
        </w:rPr>
        <w:t xml:space="preserve">Авиазаводы Лебедева в Петрограде, Таганроге, Ярославле и Пензе были национализированы большевиками. Уже в советское время завод в Таганроге был переименован сначала в ГАЗ № 10, а потом в авиационный завод №31 НКАП. На нем наладили лицензионный выпуск итальянских летающих лодок "Савойя", а позже - гидросамолетов КБ Бериева. Авиазавод в Петрограде был разорен и его остатки объединили с авиационным отделом Русско-Балтийского завода ("Авиабалт", где </w:t>
      </w:r>
      <w:r w:rsidRPr="00DE096C">
        <w:rPr>
          <w:bCs/>
          <w:color w:val="002060"/>
          <w:sz w:val="16"/>
          <w:szCs w:val="16"/>
        </w:rPr>
        <w:lastRenderedPageBreak/>
        <w:t>строились самолеты И.И.Сикорского) под обозначением ГАЗ № 3. Позднее предприятие переименовали в "Красный летчик", а затем - в авиазавод № 23 НКАП. Производственные помещения завода Лебедева на Комендантском аэродроме до середины 20-х годов использовались в качестве авиаремонтных мастерских.</w:t>
      </w:r>
    </w:p>
    <w:p w14:paraId="55F2F96F" w14:textId="77777777" w:rsidR="00B67D7C" w:rsidRPr="00DE096C" w:rsidRDefault="00B67D7C" w:rsidP="00D45A46">
      <w:pPr>
        <w:shd w:val="clear" w:color="auto" w:fill="FFFFFF"/>
        <w:jc w:val="both"/>
        <w:rPr>
          <w:bCs/>
          <w:color w:val="002060"/>
          <w:sz w:val="16"/>
          <w:szCs w:val="16"/>
        </w:rPr>
      </w:pPr>
    </w:p>
    <w:p w14:paraId="2305D69F" w14:textId="032FBAC3" w:rsidR="00B67D7C" w:rsidRPr="00DE096C" w:rsidRDefault="00B67D7C" w:rsidP="00D45A46">
      <w:pPr>
        <w:jc w:val="both"/>
        <w:rPr>
          <w:bCs/>
          <w:color w:val="002060"/>
          <w:sz w:val="16"/>
          <w:szCs w:val="16"/>
        </w:rPr>
      </w:pPr>
      <w:r w:rsidRPr="00DE096C">
        <w:rPr>
          <w:bCs/>
          <w:color w:val="002060"/>
          <w:sz w:val="16"/>
          <w:szCs w:val="16"/>
        </w:rPr>
        <w:t xml:space="preserve">В апреле 1914 года спортсмен-предприниматель </w:t>
      </w:r>
      <w:r w:rsidR="00DE4B43" w:rsidRPr="00DE096C">
        <w:rPr>
          <w:bCs/>
          <w:color w:val="002060"/>
          <w:sz w:val="16"/>
          <w:szCs w:val="16"/>
        </w:rPr>
        <w:t xml:space="preserve">Лебедев </w:t>
      </w:r>
      <w:r w:rsidRPr="00DE096C">
        <w:rPr>
          <w:bCs/>
          <w:color w:val="002060"/>
          <w:sz w:val="16"/>
          <w:szCs w:val="16"/>
        </w:rPr>
        <w:t>арендовал близ Коломяжского ипподрома, переименованного в Комендантский аэродром, участок земли и построил на нем несколько производственных корпусов, чем положил начало новому заводу, получившему громкое имя «Акционерное общество воздухоплавания В. А. Лебедева». В 1921 году этот завод получил название «Авиаработник», а вскоре статус союзного завода и регистрационный № 47. Здесь строились французские «Депердюссены» и «Вуазены», а затем, после освоения сборочных площадей на взморье Крестовского Острова, его предприятия серийно выпускали французские гидропланы типа «ГВА». В период первой мировой войны на главной территории завода интенсивным потоком строились и ремонтировались самолеты боевого назначения различных марок.</w:t>
      </w:r>
    </w:p>
    <w:p w14:paraId="3207629C" w14:textId="77777777" w:rsidR="00B67D7C" w:rsidRPr="00DE096C" w:rsidRDefault="00B67D7C" w:rsidP="00D45A46">
      <w:pPr>
        <w:jc w:val="both"/>
        <w:rPr>
          <w:bCs/>
          <w:color w:val="002060"/>
          <w:sz w:val="16"/>
          <w:szCs w:val="16"/>
        </w:rPr>
      </w:pPr>
      <w:r w:rsidRPr="00DE096C">
        <w:rPr>
          <w:bCs/>
          <w:color w:val="002060"/>
          <w:sz w:val="16"/>
          <w:szCs w:val="16"/>
        </w:rPr>
        <w:t>На основе немецких «Альбатросов» (первый трофей поступил летом 1915 года) были созданы несколько усовершенствованных типов, получивших собирательное имя «Лебедь» и отличавшихся схемой, конструкцией и, конечно, же, нумерацией. Если начать краткое знакомство с типа «Лебедь» № 7, в котором присутствовали наиболее самостоятельные конструктивные решения русских самолетостроителей, то он имел сходство с английским аппаратом «Тэблоид» фирмы «Сопвич». Аэроплан строился как прототип будущего истребителя, но, оснащенный мотором «Гном» в80 л. с., был принят заказчиком только как учебный самолет. Военные получили несколько экземпляров «Лебедя» — седьмого и применяли их для подготовки пилотов. Следующий тип, «Лебедь» № 8, представ- лял собой некоторое видоизменение предшествующего типа. Он отличался безполозковым шасси и двухстоечной бипланной коробкой крыльев. Первый экземпляр его был переделан из «Лебедя» № 7, а другой построен заново.</w:t>
      </w:r>
    </w:p>
    <w:p w14:paraId="605ED422" w14:textId="77777777" w:rsidR="00B67D7C" w:rsidRPr="00DE096C" w:rsidRDefault="00B67D7C" w:rsidP="00D45A46">
      <w:pPr>
        <w:jc w:val="both"/>
        <w:rPr>
          <w:bCs/>
          <w:color w:val="002060"/>
          <w:sz w:val="16"/>
          <w:szCs w:val="16"/>
        </w:rPr>
      </w:pPr>
      <w:r w:rsidRPr="00DE096C">
        <w:rPr>
          <w:bCs/>
          <w:color w:val="002060"/>
          <w:sz w:val="16"/>
          <w:szCs w:val="16"/>
        </w:rPr>
        <w:t>Отремонтировав трофейного немца «Эльфауге» (или «1УС»), заводчане дали ему обозначение «Лебедь» № 9.</w:t>
      </w:r>
    </w:p>
    <w:p w14:paraId="30FD17E9" w14:textId="77777777" w:rsidR="00B67D7C" w:rsidRPr="00DE096C" w:rsidRDefault="00B67D7C" w:rsidP="00D45A46">
      <w:pPr>
        <w:jc w:val="both"/>
        <w:rPr>
          <w:bCs/>
          <w:color w:val="002060"/>
          <w:sz w:val="16"/>
          <w:szCs w:val="16"/>
        </w:rPr>
      </w:pPr>
      <w:r w:rsidRPr="00DE096C">
        <w:rPr>
          <w:bCs/>
          <w:color w:val="002060"/>
          <w:sz w:val="16"/>
          <w:szCs w:val="16"/>
        </w:rPr>
        <w:t>В начале 1915 года был выпущен первый оригинальный самолет «Лебедь»№ 10. Создавая боевой аппарат, В. А. Лебедев возможно впервые в России заложил в схему и конструкцию аэроплана возможности для многоцелевого применения, не требующие дополнительных мероприятий для сохранения продольной центровки и балансировки. Фюзеляж с начинкой, шасси, хвостовое оперение и синхронный пулемет, который должен был устанавливаться поверху головной части фюзеляжа перед прозрачным козырьком кабины летчика, были неизменными. На вершине расчаленных кабанов и к нижним узлам фюзеляжа можно было навесить два варианта несущих поверхностей. При установке так называемых малых крыльев («МК») получался одностоечный полутораплан,, который должен был применяться как одноместный истребитель. Верхнее крыло площадью 16 м</w:t>
      </w:r>
      <w:r w:rsidRPr="00DE096C">
        <w:rPr>
          <w:bCs/>
          <w:color w:val="002060"/>
          <w:sz w:val="16"/>
          <w:szCs w:val="16"/>
          <w:vertAlign w:val="superscript"/>
        </w:rPr>
        <w:t>2</w:t>
      </w:r>
      <w:r w:rsidRPr="00DE096C">
        <w:rPr>
          <w:bCs/>
          <w:color w:val="002060"/>
          <w:sz w:val="16"/>
          <w:szCs w:val="16"/>
        </w:rPr>
        <w:t xml:space="preserve"> имело нормальные элероны по концам, расширяющиеся по размаху. Нижнее крыло, имевшее площадь 13 м</w:t>
      </w:r>
      <w:r w:rsidRPr="00DE096C">
        <w:rPr>
          <w:bCs/>
          <w:color w:val="002060"/>
          <w:sz w:val="16"/>
          <w:szCs w:val="16"/>
          <w:vertAlign w:val="superscript"/>
        </w:rPr>
        <w:t>1</w:t>
      </w:r>
      <w:r w:rsidRPr="00DE096C">
        <w:rPr>
          <w:bCs/>
          <w:color w:val="002060"/>
          <w:sz w:val="16"/>
          <w:szCs w:val="16"/>
        </w:rPr>
        <w:t>, было без элеронов. Оба крыла являлись двухлонжеронными и набирались из одинаковых фанерных нервюр вогнуто-выпуклого профиля. Боковые стойки бипланной коробки состояли из двух стержней каплевидного поперечного сечения, расчаленных стальной проволокой. Центральные кабаны (также расчаленные) крепились к верхним перекрестьям стержней фюзеляжной фермы. Шаг нервюр крыльев по размаху был выбран равным 875 мм. Он четко определил дистанцию между кабанами, т. е. ширину фюзеляжа, расстояние между элеронами, боковыми стойками и концевыми срезами крыльев, т. е. размах последних. Этому закону построения базовой геометрии были подчинены крылья второго варианта самолета «Лебедь» № 10, который должен был стать воздушным разведчиком. Его можно назвать «Лебедь» № 10 «БК» (т. е. большие крылья), крылья его при одинаковом размахе имели разные площади, верхнее — 20 м</w:t>
      </w:r>
      <w:r w:rsidRPr="00DE096C">
        <w:rPr>
          <w:bCs/>
          <w:color w:val="002060"/>
          <w:sz w:val="16"/>
          <w:szCs w:val="16"/>
          <w:vertAlign w:val="superscript"/>
        </w:rPr>
        <w:t>2</w:t>
      </w:r>
      <w:r w:rsidRPr="00DE096C">
        <w:rPr>
          <w:bCs/>
          <w:color w:val="002060"/>
          <w:sz w:val="16"/>
          <w:szCs w:val="16"/>
        </w:rPr>
        <w:t xml:space="preserve"> за счет расширения элеронов и нижнее — 19,4 м . Бипланная коробка этого варианта была уже двухстоечной. Стягивание пролетов между стойками было одинаковым для обоих вариантов «десятки», проволочными расчалками крест-накрест. Элероны для верхних крыльев независимо от их размаха также были одинаковыми. Материалы для крыльев: фанера гнутая для лобовых частей крыльев, лонжероны коробчатые из сосновых брусьев и фанеры, обшивка — полотно на краске и лаке, фюзеляж был выполнен виде длинной прямоугольной фермы, суживающейся к хвосту и состоящей из двух разъемных частей. Головной отсек, в котором были расположены мотор, топливо и рабочее место летчика, представлял собой стержневую ферму, сваренную из стальных труб. Хвостовой отсек имел деревянную ферму, стянутую во всех клетках по бортам и в плоскостях шпангоутов проволочными расчалками. По верхней и нижней сторонам фюзеляжные фермы были прикрыты полукруглыми гаргротами, сделанными из фанеры. Общая обтяжка полотном и последующее покрытие краской и лаком образовывали наружную поверхность фюзеляжа. Исключению была подвергнута носовая часть корпуса. Ротативный двигатель «Рон» (80 л. с.) был частично закрыт цилиндрическим капотом с небольшим лобовым щитком в верхней части. Борта моторного отсека обшивались фанерой. Для бесступечатого обтекания носовой части фюзеляжа по бокам были надставлены плавные сходы контуров от круглого капота к плоским бортам в виде выпуклых накладок, образованных коническими сегментами. Шасси имело классическую двухстоечную схему с единой осью для колес. Амортизация шасси, резиновая шнуровая, также была общепринятой в то время. Хвостовое оперение было привычным с установившейся конструктивно-силовой схемой: стабилизатор с двумя секциями руля высоты и киль с рулем поворота. Горизонтальное оперение имело при виде сверху форму кругового сегмента радиусом 2 м. Вертикальное оперение по виду сбоку было треугольным.</w:t>
      </w:r>
    </w:p>
    <w:p w14:paraId="788B0D46" w14:textId="77777777" w:rsidR="00B67D7C" w:rsidRPr="00DE096C" w:rsidRDefault="00B67D7C" w:rsidP="00D45A46">
      <w:pPr>
        <w:jc w:val="both"/>
        <w:rPr>
          <w:bCs/>
          <w:color w:val="002060"/>
          <w:sz w:val="16"/>
          <w:szCs w:val="16"/>
        </w:rPr>
      </w:pPr>
      <w:r w:rsidRPr="00DE096C">
        <w:rPr>
          <w:bCs/>
          <w:color w:val="002060"/>
          <w:sz w:val="16"/>
          <w:szCs w:val="16"/>
        </w:rPr>
        <w:t>Два экземпляра «Лебедь» № 10 были построены в конце 1915 г. ив начале 1916 г. Полутораплан «МК» мог бы стать истребителем, да вот мощность мотора оказалась недостаточной. Более размашистый вариант («БК») в качестве истребителя был, конечно же, негожим, а как разведчик -маломощным. Разнокрылые близнецы проходили летные испытания весной 1916 года и, не показав требуемых качеств, в серии не строились. На самолетах летал сам автор. Вооружение на обеих машинах не устанавливалось.</w:t>
      </w:r>
    </w:p>
    <w:p w14:paraId="09892926" w14:textId="77777777" w:rsidR="00B67D7C" w:rsidRPr="00DE096C" w:rsidRDefault="00B67D7C" w:rsidP="00D45A46">
      <w:pPr>
        <w:jc w:val="both"/>
        <w:rPr>
          <w:bCs/>
          <w:color w:val="002060"/>
          <w:sz w:val="16"/>
          <w:szCs w:val="16"/>
        </w:rPr>
      </w:pPr>
      <w:r w:rsidRPr="00DE096C">
        <w:rPr>
          <w:bCs/>
          <w:color w:val="002060"/>
          <w:sz w:val="16"/>
          <w:szCs w:val="16"/>
        </w:rPr>
        <w:t>В последующем времени Владимир Александрович Лебедев строил и другие самолеты на нескольких своих заводах. В основном это были воздушные разведчики. Количество опытных и серийных типов с обозначением «Лебедь» доходило до двух с половиной десятков. Наиболее многотиражными и известными были самолеты «Лебедь» № 11 и «Лебедь» № 12. Они не выделялись своими характеристиками и не были оригинальными по схеме и конструкции. Используемые для этих разведчиков моторы воздушного охлаждения «Сальмсон» в 150 л. с. не имели альтернативы, и заказчики были вынуждены довольствоваться принципом «ешь, что дают». Своих моторов в России не было, да и война с Германией к 1917 году как-то застабилизировалась в своих требованиях к разведывательной авиации. Истребительный парк пополнялся французскими и английскими самолетами, и деятельность В. А. Лебедева сводилась более к ремонту этих машин на его заводах, чем к выпуску новых аппаратов. В 1917 году Лебедев построил еще два завода и стал получать крупные заказы на постройку сотен самолетов типа «Сопвич». В основном строились разведчики «Лебедь» № 12. Спортсмену-летчику лучше удавались воспроизведения чужих самолетов, чаще всего это были немецкие «Альбатросы». В опытном производстве на его заводах чаще находились самолеты других конструкторов. Собственные попытки разработать новые оригинальные конструкции встречались в его практике сравнительно редко.</w:t>
      </w:r>
    </w:p>
    <w:p w14:paraId="6DFC4DE0" w14:textId="77777777" w:rsidR="00B67D7C" w:rsidRPr="00DE096C" w:rsidRDefault="00B67D7C" w:rsidP="00D45A46">
      <w:pPr>
        <w:jc w:val="both"/>
        <w:rPr>
          <w:bCs/>
          <w:color w:val="002060"/>
          <w:sz w:val="16"/>
          <w:szCs w:val="16"/>
        </w:rPr>
      </w:pPr>
      <w:r w:rsidRPr="00DE096C">
        <w:rPr>
          <w:bCs/>
          <w:color w:val="002060"/>
          <w:sz w:val="16"/>
          <w:szCs w:val="16"/>
        </w:rPr>
        <w:t>В 1918 году В. А. Лебедев вынужден был бежать из Петрограда на Юг, а оттуда — в Сербию. На новом месте он занимался продажей и распространением французских моторов «Гном» и «Рон». В 1926 году Лебедев переезжает в Париж, активно включается в работу французского аэроклуба и за плодотворную деятельность на авиационном поприще удостаивается высшей награды Франции ордена Почетного легиона. Владимир Александрович Лебедев умер вдали от родины в 1947 году и был захоронен на русском кладбище (11918).</w:t>
      </w:r>
    </w:p>
    <w:p w14:paraId="034477A0" w14:textId="77777777" w:rsidR="00B67D7C" w:rsidRPr="00DE096C" w:rsidRDefault="00B67D7C" w:rsidP="00D45A46">
      <w:pPr>
        <w:jc w:val="both"/>
        <w:rPr>
          <w:bCs/>
          <w:color w:val="002060"/>
          <w:sz w:val="16"/>
          <w:szCs w:val="16"/>
        </w:rPr>
      </w:pPr>
    </w:p>
    <w:p w14:paraId="40D34373" w14:textId="591C8C1A" w:rsidR="00B67D7C" w:rsidRPr="00DE096C" w:rsidRDefault="00B67D7C" w:rsidP="00D45A46">
      <w:pPr>
        <w:jc w:val="both"/>
        <w:rPr>
          <w:bCs/>
          <w:color w:val="002060"/>
          <w:sz w:val="16"/>
          <w:szCs w:val="16"/>
        </w:rPr>
      </w:pPr>
      <w:r w:rsidRPr="00DE096C">
        <w:rPr>
          <w:bCs/>
          <w:color w:val="002060"/>
          <w:sz w:val="16"/>
          <w:szCs w:val="16"/>
        </w:rPr>
        <w:t>В апреле 1914 года В. А. Лебедев арендует участок земли близ Комендантского аэродрома и начинает строить производ-ственные здания. Так было положено начало его первого авиационного завода. В том же году новоиспеченный предприниматель уже сумел получить ряд государственных заказов на строи-тельство и испытания нескольких типов самолетов, в основном - аэропланы иностранных типов. Сначала французский самолет «Депердюссен-разведчик». Это был двухместный средненеплан с мотором «Гном-Мососупан» мощностью в 80 л.с. Он обладал неплохими данными и на конкур-се военных аэропланов 1913 года занял третье место. На заводе В. А. Лебедева было построено 63 самолета. Кроме того, в 1915 году строятся два таких самолета в поплавковом варианте.</w:t>
      </w:r>
    </w:p>
    <w:p w14:paraId="03CF6BF2" w14:textId="77777777" w:rsidR="00B67D7C" w:rsidRPr="00DE096C" w:rsidRDefault="00B67D7C" w:rsidP="00D45A46">
      <w:pPr>
        <w:jc w:val="both"/>
        <w:rPr>
          <w:bCs/>
          <w:color w:val="002060"/>
          <w:sz w:val="16"/>
          <w:szCs w:val="16"/>
        </w:rPr>
      </w:pPr>
      <w:r w:rsidRPr="00DE096C">
        <w:rPr>
          <w:bCs/>
          <w:color w:val="002060"/>
          <w:sz w:val="16"/>
          <w:szCs w:val="16"/>
        </w:rPr>
        <w:t>Хмурым декабрьским вечером 1914 года на далекой окраине Петрограда в помещении конторы завода на Комендантском аэродроме началось общее собрание акционеров. Их было немного. В комнате, кроме самого отставного коллежского секретаря Лебедева, было еще во-семь человек. Заседание вел П. Н. Гуртович. Открывая первое собрание акционеров, В. Н. Лебе-дев с гордостью заявил «Господа акционеры! В день 25 декабря 1913 года удостоился высочай-шего утверждения устав акционерного общества «В. А. Лебедев». Сей устав распубликован в сотом номере Собрания Узаконений и Распоряжений Правительства от 17 июня сего 1914 года в статье 834 ...» Далее В. Лебедев доложил о том, что благодаря его усилиям и нанятого им для квалифицированного составления бумаг (что было весьма разумно в условиях царившей бюро-кратии и казуистики) поверенного в делах общества кандидата прав Н. И. Гальперина, удалось удвоить основной капитал общества и довести его до 200 тысяч рублей, разделенных на 2000 акций по 100 рублей каждая.</w:t>
      </w:r>
    </w:p>
    <w:p w14:paraId="476CDC3C" w14:textId="77777777" w:rsidR="00B67D7C" w:rsidRPr="00DE096C" w:rsidRDefault="00B67D7C" w:rsidP="00D45A46">
      <w:pPr>
        <w:jc w:val="both"/>
        <w:rPr>
          <w:bCs/>
          <w:color w:val="002060"/>
          <w:sz w:val="16"/>
          <w:szCs w:val="16"/>
        </w:rPr>
      </w:pPr>
      <w:r w:rsidRPr="00DE096C">
        <w:rPr>
          <w:bCs/>
          <w:color w:val="002060"/>
          <w:sz w:val="16"/>
          <w:szCs w:val="16"/>
        </w:rPr>
        <w:t>А между тем, сидящие в торжественном молчании акционеры имели пока всего лишь 21000 рублей, что составляло всего 210 акций. Нет необходимости сегодня спустя много деся-тилетий разбираться в подробностях т.н. «финансовой реорганизации» общества. Ловкий и обо-ротистый коммерсант сумел, наконец создать свою фирму с довольно внушительным основным капиталом, который спустя короткое время достиг уже 400 тысяч рублей, При этом важно отме-тить, что избранный единогласно председателем общего собрания и директором правления Вла-димир Лебедев получил право кредитоваться в Государственном банке, а также в частных кре-дитных учреждениях и у частных лиц до суммы в миллион рублей.</w:t>
      </w:r>
    </w:p>
    <w:p w14:paraId="3649C1EA" w14:textId="77777777" w:rsidR="00B67D7C" w:rsidRPr="00DE096C" w:rsidRDefault="00B67D7C" w:rsidP="00D45A46">
      <w:pPr>
        <w:jc w:val="both"/>
        <w:rPr>
          <w:bCs/>
          <w:color w:val="002060"/>
          <w:sz w:val="16"/>
          <w:szCs w:val="16"/>
        </w:rPr>
      </w:pPr>
      <w:r w:rsidRPr="00DE096C">
        <w:rPr>
          <w:bCs/>
          <w:color w:val="002060"/>
          <w:sz w:val="16"/>
          <w:szCs w:val="16"/>
        </w:rPr>
        <w:t>Теперь наступила пора набирать крупные заказы на строительство самолетов и получить под них кредиты, а пожар первой мировой войны разгорался все сильнее. Фронту требовалось все в больших количествах военная техника, в том числе и самолеты. А их доставка на русский фронт из Англии и Франции становилась все сложнее и сложнее в результате развертывания широких боевых действий немецких подводных лодок, особенно в Атлантике и Северном море. Русское военное ведомство было вынуждено воспользоваться услугами отечественных компа-ний. Это и нужно было Лебедеву, как воздух. Но не забывали и о рекламе. И вскоре в газетах появились публикации о создании нового акционерного общества. 24 декабря в «Правительст-венном вестнике» и «Петроградских ведомостях», а на следующий день в «Ведомостях Петро-градского градоначальства» и в самый канун нового 1915 года - в «Московских ведомостях»*).</w:t>
      </w:r>
    </w:p>
    <w:p w14:paraId="46A0F8DC" w14:textId="77777777" w:rsidR="00B67D7C" w:rsidRPr="00DE096C" w:rsidRDefault="00B67D7C" w:rsidP="00D45A46">
      <w:pPr>
        <w:jc w:val="both"/>
        <w:rPr>
          <w:bCs/>
          <w:color w:val="002060"/>
          <w:sz w:val="16"/>
          <w:szCs w:val="16"/>
        </w:rPr>
      </w:pPr>
      <w:r w:rsidRPr="00DE096C">
        <w:rPr>
          <w:bCs/>
          <w:color w:val="002060"/>
          <w:sz w:val="16"/>
          <w:szCs w:val="16"/>
        </w:rPr>
        <w:lastRenderedPageBreak/>
        <w:t>А потом последовали новые письма и прошения в Министерство торговли и промышлен-ности об увеличении основного капитала до миллиона, а уже в 1916 году до четырех миллионов рублей. Такие разрешения после долгих проволочек были получены. В апреле 1915 года Лебе-дев добивается заказа на строительство и поставку морскому ведомству 31 гидроаэроплана типа «Ф.Б.А» на сумму свыше 200 тысяч рублей, при этом втулки, моторы и принадлежности к ним морское ведомство должно обеспечивать само. Строительство этих гидропланов продолжалось до конца 1916 года. Для их сборки и обслуживания, а также для проведения летных и морских испытаний в 1915 году В. Лебедев строит на взморье Крестовского острова в Петрограде наве-сы-полуангары. Этот очень выгодный контракт позволил В. А. Лебедеву не только в срок вы-полнить заказ, но и получить но- вые еще большие подряды на строительство новых самолетов</w:t>
      </w:r>
    </w:p>
    <w:p w14:paraId="2877FB5F" w14:textId="77777777" w:rsidR="00B67D7C" w:rsidRPr="00DE096C" w:rsidRDefault="00B67D7C" w:rsidP="00D45A46">
      <w:pPr>
        <w:jc w:val="both"/>
        <w:rPr>
          <w:bCs/>
          <w:color w:val="002060"/>
          <w:sz w:val="16"/>
          <w:szCs w:val="16"/>
        </w:rPr>
      </w:pPr>
      <w:r w:rsidRPr="00DE096C">
        <w:rPr>
          <w:bCs/>
          <w:color w:val="002060"/>
          <w:sz w:val="16"/>
          <w:szCs w:val="16"/>
        </w:rPr>
        <w:t>В то время одним из лучших самолетов считался по праву аэроплан конструкции братьев – Вуазен. Военное ведомство разместило большой заказ на строительство этих самолетов на крупнейших самолетостроительных заводах С. Щетинина в Петрограде, «Дукс» в Москве, а также на заводах одесского миллионера Анатры и В. Лебедева. На своем петроградском заводе он строил самолеты типа «Вуазен» в модификациях L, LA, LАS. Ему удалось в острой конку-рентной борьбе урвать заказ на строительство ста самолетов, но возможности завода оказались недостаточными. Как и всем отечественным промышленникам В.Лебедеву пришлось испытать огромные трудности. В стране остро ощущалась нехватка квалифицированных рабочих кадров. Еще острей была нехватка инженеров и техников, трудно было с приобретением необходимого оборудования, станков, инструментов. В разгаре была мировая война, и с каждым днем ощу-щался дефицит качественного сырья, материалов, полуфабрикатов и различного авиационного оборудования, приборов и, конечно же, двигателей. Ведь они в то время в России не производи-лись, а сборка иностранных моторов была явно недостаточной. Все это приходилось закупать за границей. Отечественного моторостроения и приборостроения, как такового еще не было. Тем не менее, лебедевский завод в Петрограде развивался довольно быстро, и уже в 1915 году на нем трудилось несколько сот человек, а в 1916 году уже 867 работающих. Завод занимал значи-тельную по тем временам площадь в 25 тысяч квадратных саженей1) и превосходил заводы Ще-тинина и «Дукс». На полученные от государства субсидии В.Лебедеву удалось в течение 1914-1918 построить завод общей площадью каменных зданий-211 кв. саженей и деревянных-3359 кв. саженей. На заводе было установлено 55 двигателей разной мощности и 37 станков. Уже в первый год своего существования на заводе было построено 47 различных самолетов, в 1915 го-ду - 187, а в 1918 году сдано заказчикам 227 самолетов. Это был период наибольшего расцвета Петроградского авиационного завода В. Лебедева.</w:t>
      </w:r>
    </w:p>
    <w:p w14:paraId="1DF3311F" w14:textId="77777777" w:rsidR="00B67D7C" w:rsidRPr="00DE096C" w:rsidRDefault="00B67D7C" w:rsidP="00D45A46">
      <w:pPr>
        <w:jc w:val="both"/>
        <w:rPr>
          <w:bCs/>
          <w:color w:val="002060"/>
          <w:sz w:val="16"/>
          <w:szCs w:val="16"/>
        </w:rPr>
      </w:pPr>
      <w:r w:rsidRPr="00DE096C">
        <w:rPr>
          <w:bCs/>
          <w:color w:val="002060"/>
          <w:sz w:val="16"/>
          <w:szCs w:val="16"/>
        </w:rPr>
        <w:t>Летом 1915 года во время боевых действий на Балтике был захвачен немецкий самолет «Альбатрос» с мотором в 150 л.с. в исправном состоянии. Лебедев сумел убедить передать са-молет ему на завод и вскоре трофейный «Альбатрос» был доставлен на Комендантский аэро-дром. На заводе этот самолет стали копировать несколько видоизменяя его применительно к различным моторам. Уже осенью того же года глава фирмы выбивает заказ в Морском Гене-ральном Штабе на переделку партии французских сухопутных самолетов типа «Морис-Фарман» на морские. Заказ был успешно выполнен, все самолеты были поставлены в срок.</w:t>
      </w:r>
    </w:p>
    <w:p w14:paraId="15B0424A" w14:textId="77777777" w:rsidR="00B67D7C" w:rsidRPr="00DE096C" w:rsidRDefault="00B67D7C" w:rsidP="00D45A46">
      <w:pPr>
        <w:jc w:val="both"/>
        <w:rPr>
          <w:bCs/>
          <w:color w:val="002060"/>
          <w:sz w:val="16"/>
          <w:szCs w:val="16"/>
        </w:rPr>
      </w:pPr>
      <w:r w:rsidRPr="00DE096C">
        <w:rPr>
          <w:bCs/>
          <w:color w:val="002060"/>
          <w:sz w:val="16"/>
          <w:szCs w:val="16"/>
        </w:rPr>
        <w:t>Окрыленный первыми успехами Владимир Лебедев набирает все новые и новые заказы на строительство самолетов. За годы войны завод значительно вырос. Его оборудование серьезно обновилось. В 1916 году завод уже располагал деревообделочным, механическим, слесарным, сборочным, малярным, сварочным, сушильным цехами и столярной мастерской. Число рабо-тающих перевалило за тысячу и продолжало расти. Но ограниченность территории затрудняли дальнейшее расширение завода. Некоторые российские авиапромышленники создают свои фи-лиалы в других городах. А. Анатра строит отделение завода в Симферополе, С. Щетинин в Яро-славле. В. Лебедев используя момент подает прошение в Правительство с просьбой разрешить и ему строительство новых авиационных заводов в других местностях России. И вскоре получает высочайшее разрешение.</w:t>
      </w:r>
    </w:p>
    <w:p w14:paraId="25EBC410" w14:textId="77777777" w:rsidR="00B67D7C" w:rsidRPr="00DE096C" w:rsidRDefault="00B67D7C" w:rsidP="00D45A46">
      <w:pPr>
        <w:jc w:val="both"/>
        <w:rPr>
          <w:bCs/>
          <w:color w:val="002060"/>
          <w:sz w:val="16"/>
          <w:szCs w:val="16"/>
        </w:rPr>
      </w:pPr>
      <w:r w:rsidRPr="00DE096C">
        <w:rPr>
          <w:bCs/>
          <w:color w:val="002060"/>
          <w:sz w:val="16"/>
          <w:szCs w:val="16"/>
        </w:rPr>
        <w:t>Он не мешкая покупает земельные участки в Пензе и Ярославле, где начинает строить авиационные заводы и завод винтов. В ноябре 1916 года постройка Пензенского завода была за-вершена, и там началось производство винтов. В это время Центральный военно-промышленный комитет выделяет для нового завода Лебедева около 50 импортных станков. Вскоре для сборки самолетов на заводе в Пензе был выстроен большой цех общей площадью около 2180 квадратных метров*).</w:t>
      </w:r>
    </w:p>
    <w:p w14:paraId="60CD4F9C" w14:textId="77777777" w:rsidR="00B67D7C" w:rsidRPr="00DE096C" w:rsidRDefault="00B67D7C" w:rsidP="00D45A46">
      <w:pPr>
        <w:jc w:val="both"/>
        <w:rPr>
          <w:bCs/>
          <w:color w:val="002060"/>
          <w:sz w:val="16"/>
          <w:szCs w:val="16"/>
        </w:rPr>
      </w:pPr>
      <w:r w:rsidRPr="00DE096C">
        <w:rPr>
          <w:bCs/>
          <w:color w:val="002060"/>
          <w:sz w:val="16"/>
          <w:szCs w:val="16"/>
        </w:rPr>
        <w:t>Однако здесь Лебедева ожидают трудности; недостаток рабочей силы, отсутствие топлива, серьезные транспортные проблемы и, на- конец, сложные климатические условия. И его взор устремляется на юг. Он уже давно присматривается к Таганрогу...(11642).</w:t>
      </w:r>
    </w:p>
    <w:p w14:paraId="3F73FD8C" w14:textId="77777777" w:rsidR="00B67D7C" w:rsidRPr="00DE096C" w:rsidRDefault="00B67D7C" w:rsidP="00D45A46">
      <w:pPr>
        <w:jc w:val="both"/>
        <w:rPr>
          <w:bCs/>
          <w:color w:val="002060"/>
          <w:sz w:val="16"/>
          <w:szCs w:val="16"/>
        </w:rPr>
      </w:pPr>
    </w:p>
    <w:p w14:paraId="5FD2B096" w14:textId="1BA47F89" w:rsidR="00B67D7C" w:rsidRPr="00DE096C" w:rsidRDefault="00DE4B43"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апреле 1914 г. </w:t>
      </w:r>
      <w:r w:rsidRPr="00DE096C">
        <w:rPr>
          <w:bCs/>
          <w:color w:val="002060"/>
          <w:sz w:val="16"/>
          <w:szCs w:val="16"/>
        </w:rPr>
        <w:t xml:space="preserve">с очередной компенсацией на счетах </w:t>
      </w:r>
      <w:r w:rsidR="00B67D7C" w:rsidRPr="00DE096C">
        <w:rPr>
          <w:bCs/>
          <w:color w:val="002060"/>
          <w:sz w:val="16"/>
          <w:szCs w:val="16"/>
        </w:rPr>
        <w:t>В.А. Лебедев возвел первые корпуса своего авиационного завода на Комендантском аэрод</w:t>
      </w:r>
      <w:r w:rsidR="00B67D7C" w:rsidRPr="00DE096C">
        <w:rPr>
          <w:bCs/>
          <w:color w:val="002060"/>
          <w:sz w:val="16"/>
          <w:szCs w:val="16"/>
        </w:rPr>
        <w:softHyphen/>
        <w:t>роме. Теперь компания была названа Акционерным обществом воздухоплавания В.А. Лебе</w:t>
      </w:r>
      <w:r w:rsidR="00B67D7C" w:rsidRPr="00DE096C">
        <w:rPr>
          <w:bCs/>
          <w:color w:val="002060"/>
          <w:sz w:val="16"/>
          <w:szCs w:val="16"/>
        </w:rPr>
        <w:softHyphen/>
        <w:t>дева, располагая конторой на 5-й линии Васильевского острова, дом 54 и собственно про</w:t>
      </w:r>
      <w:r w:rsidR="00B67D7C" w:rsidRPr="00DE096C">
        <w:rPr>
          <w:bCs/>
          <w:color w:val="002060"/>
          <w:sz w:val="16"/>
          <w:szCs w:val="16"/>
        </w:rPr>
        <w:softHyphen/>
        <w:t>изводственной площадкой. При телеграфных переговорах использовался код "С.-ПЕТЕР</w:t>
      </w:r>
      <w:r w:rsidR="00B67D7C" w:rsidRPr="00DE096C">
        <w:rPr>
          <w:bCs/>
          <w:color w:val="002060"/>
          <w:sz w:val="16"/>
          <w:szCs w:val="16"/>
        </w:rPr>
        <w:softHyphen/>
        <w:t>БУРГ-ЛЕБЕДЬ". Перед Первой мировой войной компания осваивала выпуск монопланов "Депердюссен" и "Ньюпор" и бипланов "Фарман", причем средняя производительность со</w:t>
      </w:r>
      <w:r w:rsidR="00B67D7C" w:rsidRPr="00DE096C">
        <w:rPr>
          <w:bCs/>
          <w:color w:val="002060"/>
          <w:sz w:val="16"/>
          <w:szCs w:val="16"/>
        </w:rPr>
        <w:softHyphen/>
        <w:t>ставляла около 6 летательных аппаратов в месяц. С июля 1914 г. завод начал строить бип</w:t>
      </w:r>
      <w:r w:rsidR="00B67D7C" w:rsidRPr="00DE096C">
        <w:rPr>
          <w:bCs/>
          <w:color w:val="002060"/>
          <w:sz w:val="16"/>
          <w:szCs w:val="16"/>
        </w:rPr>
        <w:softHyphen/>
        <w:t>ланы "Вуазен", а в 1915 г. приступил к копированию трофейных германских конструкций, которые послужили затем базой для оригинальных разработок. При том, как и прежде, фир</w:t>
      </w:r>
      <w:r w:rsidR="00B67D7C" w:rsidRPr="00DE096C">
        <w:rPr>
          <w:bCs/>
          <w:color w:val="002060"/>
          <w:sz w:val="16"/>
          <w:szCs w:val="16"/>
        </w:rPr>
        <w:softHyphen/>
        <w:t>ма не имела ничего против воспроизводства английских и французских моделей и вдобавок создала целый ряд прототипов по проектам российских инженеров и изобретателей. Таким образом, "Лебедев и К°" были, что называется, всеядными и стремились не упустить ничего из того, что могло бы нести новую прибыль (2843).</w:t>
      </w:r>
    </w:p>
    <w:p w14:paraId="30CD4455" w14:textId="77777777" w:rsidR="00B67D7C" w:rsidRPr="00DE096C" w:rsidRDefault="00B67D7C" w:rsidP="00D45A46">
      <w:pPr>
        <w:shd w:val="clear" w:color="auto" w:fill="FFFFFF"/>
        <w:jc w:val="both"/>
        <w:rPr>
          <w:bCs/>
          <w:color w:val="002060"/>
          <w:sz w:val="16"/>
          <w:szCs w:val="16"/>
        </w:rPr>
      </w:pPr>
    </w:p>
    <w:p w14:paraId="4DC3428D" w14:textId="0E7B7C03" w:rsidR="00B67D7C" w:rsidRPr="00DE096C" w:rsidRDefault="00A214D0" w:rsidP="00D45A46">
      <w:pPr>
        <w:jc w:val="both"/>
        <w:rPr>
          <w:bCs/>
          <w:color w:val="002060"/>
          <w:sz w:val="16"/>
          <w:szCs w:val="16"/>
        </w:rPr>
      </w:pPr>
      <w:r w:rsidRPr="00DE096C">
        <w:rPr>
          <w:bCs/>
          <w:color w:val="002060"/>
          <w:sz w:val="16"/>
          <w:szCs w:val="16"/>
        </w:rPr>
        <w:t xml:space="preserve">В </w:t>
      </w:r>
      <w:r w:rsidR="00B67D7C" w:rsidRPr="00DE096C">
        <w:rPr>
          <w:bCs/>
          <w:color w:val="002060"/>
          <w:sz w:val="16"/>
          <w:szCs w:val="16"/>
        </w:rPr>
        <w:t>апреле 1914 г.</w:t>
      </w:r>
      <w:r w:rsidRPr="00DE096C">
        <w:rPr>
          <w:bCs/>
          <w:color w:val="002060"/>
          <w:sz w:val="16"/>
          <w:szCs w:val="16"/>
        </w:rPr>
        <w:t xml:space="preserve"> был основан авиационном заво</w:t>
      </w:r>
      <w:r w:rsidRPr="00DE096C">
        <w:rPr>
          <w:bCs/>
          <w:color w:val="002060"/>
          <w:sz w:val="16"/>
          <w:szCs w:val="16"/>
        </w:rPr>
        <w:softHyphen/>
        <w:t>де В.А.Лебедева</w:t>
      </w:r>
      <w:r w:rsidR="00B67D7C" w:rsidRPr="00DE096C">
        <w:rPr>
          <w:bCs/>
          <w:color w:val="002060"/>
          <w:sz w:val="16"/>
          <w:szCs w:val="16"/>
        </w:rPr>
        <w:t xml:space="preserve">, </w:t>
      </w:r>
      <w:r w:rsidRPr="00DE096C">
        <w:rPr>
          <w:bCs/>
          <w:color w:val="002060"/>
          <w:sz w:val="16"/>
          <w:szCs w:val="16"/>
        </w:rPr>
        <w:t>который выпустил</w:t>
      </w:r>
      <w:r w:rsidR="00B67D7C" w:rsidRPr="00DE096C">
        <w:rPr>
          <w:bCs/>
          <w:color w:val="002060"/>
          <w:sz w:val="16"/>
          <w:szCs w:val="16"/>
        </w:rPr>
        <w:t xml:space="preserve"> 34 совершен</w:t>
      </w:r>
      <w:r w:rsidR="00B67D7C" w:rsidRPr="00DE096C">
        <w:rPr>
          <w:bCs/>
          <w:color w:val="002060"/>
          <w:sz w:val="16"/>
          <w:szCs w:val="16"/>
        </w:rPr>
        <w:softHyphen/>
        <w:t>но негодных для решения боевых задач невооруженных летающих лодок Ф.Б.А, которые по основным размерам и характеристикам со</w:t>
      </w:r>
      <w:r w:rsidR="00B67D7C" w:rsidRPr="00DE096C">
        <w:rPr>
          <w:bCs/>
          <w:color w:val="002060"/>
          <w:sz w:val="16"/>
          <w:szCs w:val="16"/>
        </w:rPr>
        <w:softHyphen/>
        <w:t>ответствовали М-5 (11872).</w:t>
      </w:r>
    </w:p>
    <w:p w14:paraId="56DCF49C" w14:textId="77777777" w:rsidR="00B67D7C" w:rsidRPr="00DE096C" w:rsidRDefault="00B67D7C" w:rsidP="00D45A46">
      <w:pPr>
        <w:jc w:val="both"/>
        <w:rPr>
          <w:bCs/>
          <w:color w:val="002060"/>
          <w:sz w:val="16"/>
          <w:szCs w:val="16"/>
        </w:rPr>
      </w:pPr>
    </w:p>
    <w:p w14:paraId="5A307F0F" w14:textId="77777777" w:rsidR="00F702D2" w:rsidRPr="00DE096C" w:rsidRDefault="00F702D2" w:rsidP="00D45A46">
      <w:pPr>
        <w:jc w:val="both"/>
        <w:rPr>
          <w:bCs/>
          <w:color w:val="002060"/>
          <w:sz w:val="16"/>
          <w:szCs w:val="16"/>
        </w:rPr>
      </w:pPr>
      <w:r w:rsidRPr="00DE096C">
        <w:rPr>
          <w:bCs/>
          <w:color w:val="002060"/>
          <w:sz w:val="16"/>
          <w:szCs w:val="16"/>
        </w:rPr>
        <w:t>В апреле 1914 г. Лебедев построил в Новой Деревне близ Комендантского аэродрома в Петербурге несколько производственных помещений, давших начало новому авиационному заводу - "Акционерному обществу воздухоплавания В.А.Лебедева". Первой продукцией предприятия стали французские самолеты "Депердюссен", "Моран-Сольнье", "Вуазен" и летающие лодки "ФБА". Средняя производительность в предвоенный период составляла 6 аэропланов в месяц.</w:t>
      </w:r>
    </w:p>
    <w:p w14:paraId="11874CC7" w14:textId="3A38A535" w:rsidR="00F702D2" w:rsidRPr="00DE096C" w:rsidRDefault="00F702D2" w:rsidP="00D45A46">
      <w:pPr>
        <w:jc w:val="both"/>
        <w:rPr>
          <w:bCs/>
          <w:color w:val="002060"/>
          <w:sz w:val="16"/>
          <w:szCs w:val="16"/>
        </w:rPr>
      </w:pPr>
      <w:r w:rsidRPr="00DE096C">
        <w:rPr>
          <w:bCs/>
          <w:color w:val="002060"/>
          <w:sz w:val="16"/>
          <w:szCs w:val="16"/>
        </w:rPr>
        <w:t>Первоначально штат завода Лебедева насчитывал всего 7 рабочих, но с получением заказов</w:t>
      </w:r>
      <w:r w:rsidR="0006581C">
        <w:rPr>
          <w:bCs/>
          <w:color w:val="002060"/>
          <w:sz w:val="16"/>
          <w:szCs w:val="16"/>
        </w:rPr>
        <w:t xml:space="preserve"> </w:t>
      </w:r>
      <w:r w:rsidRPr="00DE096C">
        <w:rPr>
          <w:bCs/>
          <w:color w:val="002060"/>
          <w:sz w:val="16"/>
          <w:szCs w:val="16"/>
        </w:rPr>
        <w:t>и кредитов от Военного ведомства численность персонала возросла в десятки раз. Управляющим и техническим директором завода был назначен Витольд Иванович Ярковский, потом его заменил инженер С. Заболоцкий. Незадолго до начала войны в 1914 г. Лебедев назначил инженера Леопольда Михайловича Шкульника главным конструктором. До этого Шкульник служил на немецкой авиацинной фирме AGO. Именно он стал конструктором большинства самолетов завода Лебедева и их модификаций. За серийный выпуск аэропланов иностранной конструкции отвечал инженер Василий Иванович Ребиков. В производстве самолетов участвовали также инженеры Самуил Борисович Гуревич и Леонид</w:t>
      </w:r>
      <w:r w:rsidR="0006581C">
        <w:rPr>
          <w:bCs/>
          <w:color w:val="002060"/>
          <w:sz w:val="16"/>
          <w:szCs w:val="16"/>
        </w:rPr>
        <w:t xml:space="preserve"> </w:t>
      </w:r>
      <w:r w:rsidRPr="00DE096C">
        <w:rPr>
          <w:bCs/>
          <w:color w:val="002060"/>
          <w:sz w:val="16"/>
          <w:szCs w:val="16"/>
        </w:rPr>
        <w:t>Дементьевич Колпаков-Мирошниченко.</w:t>
      </w:r>
    </w:p>
    <w:p w14:paraId="0E99181B" w14:textId="77777777" w:rsidR="00F702D2" w:rsidRPr="00DE096C" w:rsidRDefault="00F702D2" w:rsidP="00D45A46">
      <w:pPr>
        <w:jc w:val="both"/>
        <w:rPr>
          <w:bCs/>
          <w:color w:val="002060"/>
          <w:sz w:val="16"/>
          <w:szCs w:val="16"/>
        </w:rPr>
      </w:pPr>
      <w:r w:rsidRPr="00DE096C">
        <w:rPr>
          <w:bCs/>
          <w:color w:val="002060"/>
          <w:sz w:val="16"/>
          <w:szCs w:val="16"/>
        </w:rPr>
        <w:t>В 1914 г. первым серийным самолетом нового завода стал двухместный французский моноплан "Депердюссен" с мотором "Гном-Моносупап" (обычно именуемых просто "Гном") 80 л.с. Построили 63 штуки, большинство отправили в действующую армию, небольшую часть - в Гатчинскую авиашколу (18255).</w:t>
      </w:r>
    </w:p>
    <w:p w14:paraId="223E84EC" w14:textId="77777777" w:rsidR="00F702D2" w:rsidRPr="00DE096C" w:rsidRDefault="00F702D2" w:rsidP="00D45A46">
      <w:pPr>
        <w:jc w:val="both"/>
        <w:rPr>
          <w:bCs/>
          <w:color w:val="002060"/>
          <w:sz w:val="16"/>
          <w:szCs w:val="16"/>
        </w:rPr>
      </w:pPr>
    </w:p>
    <w:p w14:paraId="537E25A7" w14:textId="77777777" w:rsidR="00F702D2" w:rsidRPr="00DE096C" w:rsidRDefault="00F702D2" w:rsidP="00D45A46">
      <w:pPr>
        <w:jc w:val="both"/>
        <w:rPr>
          <w:bCs/>
          <w:color w:val="002060"/>
          <w:sz w:val="16"/>
          <w:szCs w:val="16"/>
        </w:rPr>
      </w:pPr>
      <w:r w:rsidRPr="00DE096C">
        <w:rPr>
          <w:bCs/>
          <w:color w:val="002060"/>
          <w:sz w:val="16"/>
          <w:szCs w:val="16"/>
        </w:rPr>
        <w:t>В апреле 1914 г. Лебедев построил в Новой Деревне близ Комендантского аэродрома в Петербурге несколько производственных помещений, давших начало новому авиационному заводу - "Акционерному обществу воздухоплавания В.А.Лебедева". Первой продукцией предприятия стали французские самолеты "Депердюссен", "Моран-Сольнье", "Вуазен" и летающие лодки "ФБА". Средняя производительность в предвоенный период составляла 6 аэропланов в месяц (20052).</w:t>
      </w:r>
    </w:p>
    <w:p w14:paraId="2977624B" w14:textId="77777777" w:rsidR="00F702D2" w:rsidRPr="00DE096C" w:rsidRDefault="00F702D2" w:rsidP="00D45A46">
      <w:pPr>
        <w:jc w:val="both"/>
        <w:rPr>
          <w:bCs/>
          <w:color w:val="002060"/>
          <w:sz w:val="16"/>
          <w:szCs w:val="16"/>
        </w:rPr>
      </w:pPr>
      <w:r w:rsidRPr="00DE096C">
        <w:rPr>
          <w:bCs/>
          <w:color w:val="002060"/>
          <w:sz w:val="16"/>
          <w:szCs w:val="16"/>
        </w:rPr>
        <w:t>Первоначально штат завода Лебедева насчитывал всего 7 рабочих, но с получением заказов и кредитов от Военного ведомства численность персонала возросла в десятки раз. Управляющим и техническим директором завода был назначен Витольд Иванович Ярковский, потом его заменил инженер С. Заболоцкий. Незадолго до начала войны в 1914 г. Лебедев назначил инженера Леопольда Михайловича Шкульника главным конструктором. До этого Шкульник служил на немецкой авиацинной фирме AGO. Именно он стал конструктором большинства самолетов завода Лебедева и их модификаций. За серийный выпуск аэропланов иностранной конструкции отвечал инженер Василий Иванович Ребиков. В производстве самолетов участвовали также инженеры Самуил Борисович Гуревич и Леонид Дементьевич Колпаков-Мирошниченко (20052).</w:t>
      </w:r>
    </w:p>
    <w:p w14:paraId="64029CED" w14:textId="77777777" w:rsidR="00F702D2" w:rsidRPr="00DE096C" w:rsidRDefault="00F702D2" w:rsidP="00D45A46">
      <w:pPr>
        <w:jc w:val="both"/>
        <w:rPr>
          <w:bCs/>
          <w:color w:val="002060"/>
          <w:sz w:val="16"/>
          <w:szCs w:val="16"/>
        </w:rPr>
      </w:pPr>
    </w:p>
    <w:p w14:paraId="534B2D74" w14:textId="77777777" w:rsidR="00F702D2" w:rsidRPr="00DE096C" w:rsidRDefault="00F702D2" w:rsidP="00D45A46">
      <w:pPr>
        <w:jc w:val="both"/>
        <w:rPr>
          <w:bCs/>
          <w:color w:val="002060"/>
          <w:sz w:val="16"/>
          <w:szCs w:val="16"/>
          <w:shd w:val="clear" w:color="auto" w:fill="FFFFFF"/>
        </w:rPr>
      </w:pPr>
      <w:r w:rsidRPr="00DE096C">
        <w:rPr>
          <w:bCs/>
          <w:color w:val="002060"/>
          <w:sz w:val="16"/>
          <w:szCs w:val="16"/>
          <w:shd w:val="clear" w:color="auto" w:fill="FFFFFF"/>
        </w:rPr>
        <w:t>В апреле 1914 года В. А. Лебедев арендует участок земли близ Комендантского аэродрома и начинает строить производственные здания. Так было положено начало его первого авиационного завода. В том же году новоиспеченный предприниматель уже сумел получить ряд государственных заказов на строительство и испытания нескольких типов самолетов, в основном - аэропланы иностранных типов. Сначала французский самолет «Депердюссен-разведчик». Это был двухместный средненеплан с мотором «Гном-Мососупан» мощностью в 80 л.с. Он обладал неплохими данными и на конкурсе военных аэропланов 1913 года занял третье место. На заводе В. А. Лебедева было построено 63 самолета. Кроме того, в 1915 году строятся два таких самолета в поплавковом варианте (21146).</w:t>
      </w:r>
    </w:p>
    <w:p w14:paraId="061B9090" w14:textId="77777777" w:rsidR="00F702D2" w:rsidRPr="00DE096C" w:rsidRDefault="00F702D2" w:rsidP="00D45A46">
      <w:pPr>
        <w:jc w:val="both"/>
        <w:rPr>
          <w:bCs/>
          <w:color w:val="002060"/>
          <w:sz w:val="16"/>
          <w:szCs w:val="16"/>
        </w:rPr>
      </w:pPr>
    </w:p>
    <w:p w14:paraId="146BBCB4" w14:textId="77777777" w:rsidR="00B033D7" w:rsidRPr="00B52707" w:rsidRDefault="00B033D7" w:rsidP="00B033D7">
      <w:pPr>
        <w:jc w:val="both"/>
        <w:rPr>
          <w:color w:val="0070C0"/>
          <w:sz w:val="16"/>
          <w:szCs w:val="16"/>
        </w:rPr>
      </w:pPr>
      <w:r w:rsidRPr="00B52707">
        <w:rPr>
          <w:color w:val="0070C0"/>
          <w:sz w:val="16"/>
          <w:szCs w:val="16"/>
        </w:rPr>
        <w:t>В апреле 1914 г. Лебедев начал строить производственные здания в Новой Деревне близ Комендантского аэродрома. Завод по государственным заказам производил по лицензии французские самолеты, включая «Вуазены», ФБА и др. Средняя произ</w:t>
      </w:r>
      <w:r w:rsidRPr="00B52707">
        <w:rPr>
          <w:color w:val="0070C0"/>
          <w:sz w:val="16"/>
          <w:szCs w:val="16"/>
        </w:rPr>
        <w:softHyphen/>
        <w:t>водительность в предвоенный период составляла шесть аэропланов в месяц.</w:t>
      </w:r>
    </w:p>
    <w:p w14:paraId="043301DD" w14:textId="77777777" w:rsidR="00B033D7" w:rsidRPr="00B52707" w:rsidRDefault="00B033D7" w:rsidP="00B033D7">
      <w:pPr>
        <w:jc w:val="both"/>
        <w:rPr>
          <w:color w:val="0070C0"/>
          <w:sz w:val="16"/>
          <w:szCs w:val="16"/>
        </w:rPr>
      </w:pPr>
      <w:r w:rsidRPr="00B52707">
        <w:rPr>
          <w:color w:val="0070C0"/>
          <w:sz w:val="16"/>
          <w:szCs w:val="16"/>
        </w:rPr>
        <w:t>Незадолго до начала Первой мировой войны Лебедев назначил главным конструктором ин</w:t>
      </w:r>
      <w:r w:rsidRPr="00B52707">
        <w:rPr>
          <w:color w:val="0070C0"/>
          <w:sz w:val="16"/>
          <w:szCs w:val="16"/>
        </w:rPr>
        <w:softHyphen/>
        <w:t>женера Леопольда Михайловича Шкульника, который имел опыт работы в германской ком</w:t>
      </w:r>
      <w:r w:rsidRPr="00B52707">
        <w:rPr>
          <w:color w:val="0070C0"/>
          <w:sz w:val="16"/>
          <w:szCs w:val="16"/>
        </w:rPr>
        <w:softHyphen/>
        <w:t>пании AGO (34966).</w:t>
      </w:r>
    </w:p>
    <w:p w14:paraId="33DB1ECD" w14:textId="77777777" w:rsidR="00B033D7" w:rsidRPr="00B52707" w:rsidRDefault="00B033D7" w:rsidP="00B033D7">
      <w:pPr>
        <w:jc w:val="both"/>
        <w:rPr>
          <w:color w:val="0070C0"/>
          <w:sz w:val="16"/>
          <w:szCs w:val="16"/>
        </w:rPr>
      </w:pPr>
    </w:p>
    <w:p w14:paraId="75A0F942" w14:textId="486C29D8" w:rsidR="00B67D7C" w:rsidRPr="00DE096C" w:rsidRDefault="00B67D7C" w:rsidP="00D45A46">
      <w:pPr>
        <w:jc w:val="both"/>
        <w:rPr>
          <w:bCs/>
          <w:color w:val="002060"/>
          <w:sz w:val="16"/>
          <w:szCs w:val="16"/>
        </w:rPr>
      </w:pPr>
      <w:r w:rsidRPr="00DE096C">
        <w:rPr>
          <w:bCs/>
          <w:color w:val="002060"/>
          <w:sz w:val="16"/>
          <w:szCs w:val="16"/>
        </w:rPr>
        <w:t xml:space="preserve">С осени 1912 года по апрель 1914 года </w:t>
      </w:r>
      <w:r w:rsidR="00A214D0" w:rsidRPr="00DE096C">
        <w:rPr>
          <w:bCs/>
          <w:color w:val="002060"/>
          <w:sz w:val="16"/>
          <w:szCs w:val="16"/>
        </w:rPr>
        <w:t xml:space="preserve">заводы Щетинина в Петербурге, Русско-Балтийский завод в Риге и московский завод “Дукс” </w:t>
      </w:r>
      <w:r w:rsidRPr="00DE096C">
        <w:rPr>
          <w:bCs/>
          <w:color w:val="002060"/>
          <w:sz w:val="16"/>
          <w:szCs w:val="16"/>
        </w:rPr>
        <w:t>смогли изготовить 150 “ньюпоров” и 165 “фарманов”.</w:t>
      </w:r>
    </w:p>
    <w:p w14:paraId="3B874B18" w14:textId="77777777" w:rsidR="00B67D7C" w:rsidRPr="00DE096C" w:rsidRDefault="00B67D7C" w:rsidP="00D45A46">
      <w:pPr>
        <w:jc w:val="both"/>
        <w:rPr>
          <w:bCs/>
          <w:color w:val="002060"/>
          <w:sz w:val="16"/>
          <w:szCs w:val="16"/>
        </w:rPr>
      </w:pPr>
    </w:p>
    <w:p w14:paraId="60A3C628" w14:textId="76C2734D" w:rsidR="00B67D7C" w:rsidRPr="00DE096C" w:rsidRDefault="00A214D0" w:rsidP="00D45A46">
      <w:pPr>
        <w:jc w:val="both"/>
        <w:rPr>
          <w:bCs/>
          <w:color w:val="002060"/>
          <w:sz w:val="16"/>
          <w:szCs w:val="16"/>
        </w:rPr>
      </w:pPr>
      <w:r w:rsidRPr="00DE096C">
        <w:rPr>
          <w:bCs/>
          <w:color w:val="002060"/>
          <w:sz w:val="16"/>
          <w:szCs w:val="16"/>
        </w:rPr>
        <w:lastRenderedPageBreak/>
        <w:t>Д</w:t>
      </w:r>
      <w:r w:rsidR="00B67D7C" w:rsidRPr="00DE096C">
        <w:rPr>
          <w:bCs/>
          <w:color w:val="002060"/>
          <w:sz w:val="16"/>
          <w:szCs w:val="16"/>
        </w:rPr>
        <w:t>о апреля 1914 г. на ПРТВ изготовили и сдали для нужд военной авиации 57 монопланов "Ньюпор-IV" и 36 бипланов типа "Фарман". Эта работа стала хорошей школой для начинающего авиационного инженера Григоровича. В частности, в первой половине 1913 г. при его участии впервые в России были проведены натурные статические испытания полноразмерного летального аппарата. Проверялась прочность моноплана "Ньюпор-IV" согласно новым техническим условиям на его поставку. Планер "Ньюпора" положили на спину и испытали 3,5-кратной нагрузкой, полученной при помощи разложенных по крылу мешков с песком. Самолет испытания выдержал, он оказался достаточно прочным, и усилений конструкции не потребовалось.</w:t>
      </w:r>
    </w:p>
    <w:p w14:paraId="05F5E16C" w14:textId="77777777" w:rsidR="00B67D7C" w:rsidRPr="00DE096C" w:rsidRDefault="00B67D7C" w:rsidP="00D45A46">
      <w:pPr>
        <w:jc w:val="both"/>
        <w:rPr>
          <w:bCs/>
          <w:color w:val="002060"/>
          <w:sz w:val="16"/>
          <w:szCs w:val="16"/>
        </w:rPr>
      </w:pPr>
      <w:r w:rsidRPr="00DE096C">
        <w:rPr>
          <w:bCs/>
          <w:color w:val="002060"/>
          <w:sz w:val="16"/>
          <w:szCs w:val="16"/>
        </w:rPr>
        <w:t>В 1913 году Григорович совершенно неожиданно для себя занялся морской тематикой, что во многом предопределило его дальнейшую судьбу. Для того, чтобы дальнейшее изложение было более понятным, вспомним некоторые моменты становления отечественной морской авиации (12052).</w:t>
      </w:r>
    </w:p>
    <w:p w14:paraId="44D5AD7F" w14:textId="77777777" w:rsidR="00B67D7C" w:rsidRPr="00DE096C" w:rsidRDefault="00B67D7C" w:rsidP="00D45A46">
      <w:pPr>
        <w:jc w:val="both"/>
        <w:rPr>
          <w:bCs/>
          <w:color w:val="002060"/>
          <w:sz w:val="16"/>
          <w:szCs w:val="16"/>
        </w:rPr>
      </w:pPr>
    </w:p>
    <w:p w14:paraId="1CFB2F77" w14:textId="69E9EDA0" w:rsidR="00B67D7C" w:rsidRPr="00DE096C" w:rsidRDefault="00A214D0" w:rsidP="00D45A46">
      <w:pPr>
        <w:jc w:val="both"/>
        <w:rPr>
          <w:bCs/>
          <w:color w:val="002060"/>
          <w:sz w:val="16"/>
          <w:szCs w:val="16"/>
        </w:rPr>
      </w:pPr>
      <w:r w:rsidRPr="00DE096C">
        <w:rPr>
          <w:bCs/>
          <w:color w:val="002060"/>
          <w:sz w:val="16"/>
          <w:szCs w:val="16"/>
        </w:rPr>
        <w:t>Д</w:t>
      </w:r>
      <w:r w:rsidR="00B67D7C" w:rsidRPr="00DE096C">
        <w:rPr>
          <w:bCs/>
          <w:color w:val="002060"/>
          <w:sz w:val="16"/>
          <w:szCs w:val="16"/>
        </w:rPr>
        <w:t xml:space="preserve">о апреля 1914 г. </w:t>
      </w:r>
      <w:r w:rsidRPr="00DE096C">
        <w:rPr>
          <w:bCs/>
          <w:color w:val="002060"/>
          <w:sz w:val="16"/>
          <w:szCs w:val="16"/>
        </w:rPr>
        <w:t xml:space="preserve">Первым российским товариществом воздухоплавания (ПРТВ) С.С. Щетинина (г. Санкт-Петербург), Русско-Балтийским вагонным заводом (РБВЗ, г. Рига) и московским императорским самолетостроительным заводом «Дукс» </w:t>
      </w:r>
      <w:r w:rsidR="00B67D7C" w:rsidRPr="00DE096C">
        <w:rPr>
          <w:bCs/>
          <w:color w:val="002060"/>
          <w:sz w:val="16"/>
          <w:szCs w:val="16"/>
        </w:rPr>
        <w:t>в целом было построено 315 аппаратов, из них 150 монопланов «Ньюпоров». Последний, по мнению специалистов, можно считать большой ошибкой руководства ВВФ. После удачных сверхдальних перелетов военных летчиков: штабс-капитана 51-го пехотного Литовского полка Д.Г. Андреади и лейтенанта Черноморского экипажа В.В. Дыбовского на «Ньюпоре-IV» (май – июнь 1912 г.) по маршруту «Севастополь – Санкт-Петербург» великий князь Александр Михайлович потребовал в течение 1913 года всему летному составу ВВФ освоить данный тип самолета. Он также должен был составить основу русской авиации. И это несмотря на особую, не схожую с другими типами летательных аппаратов, систему управления. Например, вместо элеронов крен самолета осуществлялся перекашиванием крыльев (гошированием), которым пилот управлял с помощью педалей. Отклонение руля поворота и руля высоты – при помощи ручки управления. То есть летчикам, пересевшим на «Ньюпоры», приходилось забывать все свои прежние навыки и, по сути, заново учиться летать. Позднее аналогичная сложность (после пилотирования «Ньюпора-IV») возникала с переходом на другие типы самолетов. По словам штабс-капитана П.Н. Нестерова, при освоении в 1914 г. более современного по тому времени аппарата «Моран-Ж», имевшего классическую систему управления, «переучивание давалось с большим трудом и начинать приходилось с длительных рулежек по аэродрому». Следует упомянуть, что Петр Николаевич является единственным в мире летчиком, выполнившим фигуру высшего пилотажа – «мертвая петля» (замкнутая кривая в вертикальной плоскости) на «Ньюпор-IV» в сентябре 1913 года. При этом сам аппарат вообще не был приспособлен для такой воздушной акробатики и часто фигурировал в сводках аварий и катастроф. В 1916 году, при выяснении их причин и поисках виновных лиц, штаб-офицер для делопроизводства и поручений по авиации управления дежурного генерала при Ставке Верховного главнокомандующего полковник С.Н. Немченко докладывал и.д. начальника Генерального штаба генерал-лейтенанту П.И. Аверьянову: «Даже в 1912 г. признать «Ньюпор» годным на снабжение армии было ужасной ошибкой, повлекшей за собой весьма печальные последствия и, в частности, затруднительное положение в начале войны». Несомненно, главным «виновником» (без указания имени) признавался великий князь Александр Михайлович – шеф ВВФ действующей армии, с которым у Немченко имелись большие разногласия по авиационным вопросам. Вторым «виновным лицом» можно считать бывшего военного министра, генерала от кавалерии В.А. Сухомлинова, необоснованно обвиненного в государственной измене, в марте 1916 г. уволенного с военной службы и отданного под суд. Не разбираясь особо в вопросах авиации, он потребовал значительно сократить время приемки военным ведомством «Ньюпоров». Вместо положенных полутора часов, на первый самолет в партии отводилось до 30 минут, на все последующие – по 15 минут. Как следствие – масса различных погрешностей, стоивших жизни русским летчикам. Только в период апреля 1912 г. – августа 1914 г. в результате аварий «Ньюпоров» в России погибло 12 авиаторов (12280).</w:t>
      </w:r>
    </w:p>
    <w:p w14:paraId="6B58B82D" w14:textId="77777777" w:rsidR="00B67D7C" w:rsidRPr="00DE096C" w:rsidRDefault="00B67D7C" w:rsidP="00D45A46">
      <w:pPr>
        <w:jc w:val="both"/>
        <w:rPr>
          <w:bCs/>
          <w:color w:val="002060"/>
          <w:sz w:val="16"/>
          <w:szCs w:val="16"/>
        </w:rPr>
      </w:pPr>
    </w:p>
    <w:p w14:paraId="3E66A927" w14:textId="77777777" w:rsidR="00F702D2" w:rsidRPr="00DE096C" w:rsidRDefault="00F702D2" w:rsidP="00D45A46">
      <w:pPr>
        <w:jc w:val="both"/>
        <w:rPr>
          <w:bCs/>
          <w:color w:val="002060"/>
          <w:sz w:val="16"/>
          <w:szCs w:val="16"/>
        </w:rPr>
      </w:pPr>
      <w:r w:rsidRPr="00DE096C">
        <w:rPr>
          <w:bCs/>
          <w:color w:val="002060"/>
          <w:sz w:val="16"/>
          <w:szCs w:val="16"/>
        </w:rPr>
        <w:t>В апреле 1914 г. Морское министерство объявило «конкурс морских гидроэропланов». По условиям конкурса требовалорсь: скорость самолета не менее 100 км/час, наличие не менее двух моторов, возможность горизонтального полета при затрате не более 2/3 мощности моторов, доступ к моторам в полете и пуск моторов с самолета без посторонней помощи, двойное управление или возможность смены пилотов в полете, экипаж - 5 человек, дальность действия - не менее 1000 км при полезной нагрузке не менее 150 кг. Для премирования проектов означались три премии и, кроме того, по 5-3 тысячи рублей за каждый построенный самолет.</w:t>
      </w:r>
    </w:p>
    <w:p w14:paraId="0374082D" w14:textId="77777777" w:rsidR="00F702D2" w:rsidRPr="00DE096C" w:rsidRDefault="00F702D2" w:rsidP="00D45A46">
      <w:pPr>
        <w:jc w:val="both"/>
        <w:rPr>
          <w:bCs/>
          <w:color w:val="002060"/>
          <w:sz w:val="16"/>
          <w:szCs w:val="16"/>
        </w:rPr>
      </w:pPr>
      <w:r w:rsidRPr="00DE096C">
        <w:rPr>
          <w:bCs/>
          <w:color w:val="002060"/>
          <w:sz w:val="16"/>
          <w:szCs w:val="16"/>
        </w:rPr>
        <w:t>/"Техника воздухоплавания", 1914, № 1/ (23320).</w:t>
      </w:r>
    </w:p>
    <w:p w14:paraId="156A5302" w14:textId="77777777" w:rsidR="00F702D2" w:rsidRPr="00DE096C" w:rsidRDefault="00F702D2" w:rsidP="00D45A46">
      <w:pPr>
        <w:jc w:val="both"/>
        <w:rPr>
          <w:bCs/>
          <w:color w:val="002060"/>
          <w:sz w:val="16"/>
          <w:szCs w:val="16"/>
        </w:rPr>
      </w:pPr>
    </w:p>
    <w:p w14:paraId="459E8F48" w14:textId="02D3AC1A" w:rsidR="00B67D7C" w:rsidRPr="00DE096C" w:rsidRDefault="00A214D0" w:rsidP="00D45A46">
      <w:pPr>
        <w:jc w:val="both"/>
        <w:rPr>
          <w:bCs/>
          <w:color w:val="002060"/>
          <w:sz w:val="16"/>
          <w:szCs w:val="16"/>
        </w:rPr>
      </w:pPr>
      <w:r w:rsidRPr="00DE096C">
        <w:rPr>
          <w:bCs/>
          <w:color w:val="002060"/>
          <w:sz w:val="16"/>
          <w:szCs w:val="16"/>
        </w:rPr>
        <w:t xml:space="preserve">В апреле 1914 г. </w:t>
      </w:r>
      <w:r w:rsidR="00B67D7C" w:rsidRPr="00DE096C">
        <w:rPr>
          <w:bCs/>
          <w:color w:val="002060"/>
          <w:sz w:val="16"/>
          <w:szCs w:val="16"/>
        </w:rPr>
        <w:t>профессор академии Генштаба полковник Найденов в своем докладе "О будущей роли больших аэропланов" на III-м Всероссийском съезде по воздухоплаванию, отметил: "…что в то время как на одномоторном истребителе... прицеливающийся из пулемета, стреляющего поверх винта, находится в струе воздуха от чего меткость может быть только незначительной, на большом аэроплане, как стрелок, так и оружие скрыты, не говоря о размерах, как оружия, так и запасах боевых припасов, которые могут быть помещены на больших аэропланах".</w:t>
      </w:r>
    </w:p>
    <w:p w14:paraId="6EEB9D96" w14:textId="77777777" w:rsidR="00B67D7C" w:rsidRPr="00DE096C" w:rsidRDefault="00B67D7C" w:rsidP="00D45A46">
      <w:pPr>
        <w:jc w:val="both"/>
        <w:rPr>
          <w:bCs/>
          <w:color w:val="002060"/>
          <w:sz w:val="16"/>
          <w:szCs w:val="16"/>
        </w:rPr>
      </w:pPr>
    </w:p>
    <w:p w14:paraId="60097AED" w14:textId="77777777" w:rsidR="00B67D7C" w:rsidRPr="00DE096C" w:rsidRDefault="00B67D7C" w:rsidP="00D45A46">
      <w:pPr>
        <w:jc w:val="both"/>
        <w:rPr>
          <w:bCs/>
          <w:color w:val="002060"/>
          <w:sz w:val="16"/>
          <w:szCs w:val="16"/>
        </w:rPr>
      </w:pPr>
      <w:r w:rsidRPr="00DE096C">
        <w:rPr>
          <w:bCs/>
          <w:color w:val="002060"/>
          <w:sz w:val="16"/>
          <w:szCs w:val="16"/>
        </w:rPr>
        <w:t>В апреле 1914 г. Н. А. Рынин представляет в Совет института записку с просьбой предоставить кредит в размере 80 700 р. на постройку большой аэродинамической трубы и на оборудование новой аэромеханической лаборатории. К записке прилагались подробный проект лаборатории, смета расходов на ее строительство и оборудование и положительные отзывы на этот проект профессоров Н. Е. Жуковского и К. П. Боклевского.</w:t>
      </w:r>
      <w:r w:rsidRPr="00DE096C">
        <w:rPr>
          <w:bCs/>
          <w:color w:val="002060"/>
          <w:sz w:val="16"/>
          <w:szCs w:val="16"/>
          <w:vertAlign w:val="superscript"/>
        </w:rPr>
        <w:t>52</w:t>
      </w:r>
      <w:r w:rsidRPr="00DE096C">
        <w:rPr>
          <w:bCs/>
          <w:color w:val="002060"/>
          <w:sz w:val="16"/>
          <w:szCs w:val="16"/>
        </w:rPr>
        <w:t xml:space="preserve"> Совет института решением от 8 мая 1914 г. утвердил смету на сооружение новой аэромеханической лаборатории,</w:t>
      </w:r>
      <w:r w:rsidRPr="00DE096C">
        <w:rPr>
          <w:bCs/>
          <w:color w:val="002060"/>
          <w:sz w:val="16"/>
          <w:szCs w:val="16"/>
          <w:vertAlign w:val="superscript"/>
        </w:rPr>
        <w:t>53</w:t>
      </w:r>
      <w:r w:rsidRPr="00DE096C">
        <w:rPr>
          <w:bCs/>
          <w:color w:val="002060"/>
          <w:sz w:val="16"/>
          <w:szCs w:val="16"/>
        </w:rPr>
        <w:t xml:space="preserve"> но строительство ее было прервано начавшейся войной. </w:t>
      </w:r>
    </w:p>
    <w:p w14:paraId="66BDC49D" w14:textId="77777777" w:rsidR="00B67D7C" w:rsidRPr="00DE096C" w:rsidRDefault="00B67D7C" w:rsidP="00D45A46">
      <w:pPr>
        <w:jc w:val="both"/>
        <w:rPr>
          <w:bCs/>
          <w:color w:val="002060"/>
          <w:sz w:val="16"/>
          <w:szCs w:val="16"/>
        </w:rPr>
      </w:pPr>
      <w:r w:rsidRPr="00DE096C">
        <w:rPr>
          <w:bCs/>
          <w:color w:val="002060"/>
          <w:sz w:val="16"/>
          <w:szCs w:val="16"/>
          <w:vertAlign w:val="superscript"/>
        </w:rPr>
        <w:t>52</w:t>
      </w:r>
      <w:r w:rsidRPr="00DE096C">
        <w:rPr>
          <w:bCs/>
          <w:color w:val="002060"/>
          <w:sz w:val="16"/>
          <w:szCs w:val="16"/>
        </w:rPr>
        <w:t xml:space="preserve"> Там же, д. 1, л. 53-55. </w:t>
      </w:r>
    </w:p>
    <w:p w14:paraId="192CB82B" w14:textId="77777777" w:rsidR="00B67D7C" w:rsidRPr="00DE096C" w:rsidRDefault="00B67D7C" w:rsidP="00D45A46">
      <w:pPr>
        <w:jc w:val="both"/>
        <w:rPr>
          <w:bCs/>
          <w:color w:val="002060"/>
          <w:sz w:val="16"/>
          <w:szCs w:val="16"/>
        </w:rPr>
      </w:pPr>
      <w:r w:rsidRPr="00DE096C">
        <w:rPr>
          <w:bCs/>
          <w:color w:val="002060"/>
          <w:sz w:val="16"/>
          <w:szCs w:val="16"/>
          <w:vertAlign w:val="superscript"/>
        </w:rPr>
        <w:t>53</w:t>
      </w:r>
      <w:r w:rsidRPr="00DE096C">
        <w:rPr>
          <w:bCs/>
          <w:color w:val="002060"/>
          <w:sz w:val="16"/>
          <w:szCs w:val="16"/>
        </w:rPr>
        <w:t xml:space="preserve"> Там же, л. 60. </w:t>
      </w:r>
    </w:p>
    <w:p w14:paraId="63A20A22" w14:textId="77777777" w:rsidR="00B67D7C" w:rsidRPr="00DE096C" w:rsidRDefault="00B67D7C" w:rsidP="00D45A46">
      <w:pPr>
        <w:shd w:val="clear" w:color="auto" w:fill="FFFFFF"/>
        <w:jc w:val="both"/>
        <w:rPr>
          <w:bCs/>
          <w:color w:val="002060"/>
          <w:sz w:val="16"/>
          <w:szCs w:val="16"/>
        </w:rPr>
      </w:pPr>
    </w:p>
    <w:p w14:paraId="1F10B9BD" w14:textId="77777777" w:rsidR="00440C55" w:rsidRPr="00DE096C" w:rsidRDefault="00440C55" w:rsidP="00D45A46">
      <w:pPr>
        <w:jc w:val="both"/>
        <w:rPr>
          <w:bCs/>
          <w:color w:val="002060"/>
          <w:sz w:val="16"/>
          <w:szCs w:val="16"/>
        </w:rPr>
      </w:pPr>
      <w:r w:rsidRPr="00DE096C">
        <w:rPr>
          <w:bCs/>
          <w:color w:val="002060"/>
          <w:sz w:val="16"/>
          <w:szCs w:val="16"/>
          <w:lang w:bidi="en-US"/>
        </w:rPr>
        <w:t>В апреле 1914 года «Илья Муромец» Игоря И. Сикорского (первый опытный образец, серийный номер 107) перевозился по железной дороге из Санкт-Петербурга в Либаву, где он должен был быть оснащен поплавками для использования флотом (23525).</w:t>
      </w:r>
    </w:p>
    <w:p w14:paraId="5FB2561C" w14:textId="77777777" w:rsidR="00440C55" w:rsidRPr="00DE096C" w:rsidRDefault="00440C55" w:rsidP="00D45A46">
      <w:pPr>
        <w:jc w:val="both"/>
        <w:rPr>
          <w:bCs/>
          <w:color w:val="002060"/>
          <w:sz w:val="16"/>
          <w:szCs w:val="16"/>
        </w:rPr>
      </w:pPr>
    </w:p>
    <w:p w14:paraId="579E50D4" w14:textId="77777777" w:rsidR="00440C55" w:rsidRPr="00DE096C" w:rsidRDefault="00440C55" w:rsidP="00D45A46">
      <w:pPr>
        <w:jc w:val="both"/>
        <w:rPr>
          <w:bCs/>
          <w:color w:val="002060"/>
          <w:sz w:val="16"/>
          <w:szCs w:val="16"/>
        </w:rPr>
      </w:pPr>
      <w:r w:rsidRPr="00DE096C">
        <w:rPr>
          <w:bCs/>
          <w:color w:val="002060"/>
          <w:sz w:val="16"/>
          <w:szCs w:val="16"/>
        </w:rPr>
        <w:t>В апреле 1914 г. заканчивалась постройка второго само</w:t>
      </w:r>
      <w:r w:rsidRPr="00DE096C">
        <w:rPr>
          <w:bCs/>
          <w:color w:val="002060"/>
          <w:sz w:val="16"/>
          <w:szCs w:val="16"/>
        </w:rPr>
        <w:softHyphen/>
        <w:t>лета «Илья Муромец», который должен был собрать в себе все улучшения с учетом выявленных недостатков, а первый по настоянию Морского ведомства был пере</w:t>
      </w:r>
      <w:r w:rsidRPr="00DE096C">
        <w:rPr>
          <w:bCs/>
          <w:color w:val="002060"/>
          <w:sz w:val="16"/>
          <w:szCs w:val="16"/>
        </w:rPr>
        <w:softHyphen/>
        <w:t>делан в гидросамолет. На нем заменили 100-сильные двигатели «Аргус» на два «Сальмсон» в 200 л. с. каж</w:t>
      </w:r>
      <w:r w:rsidRPr="00DE096C">
        <w:rPr>
          <w:bCs/>
          <w:color w:val="002060"/>
          <w:sz w:val="16"/>
          <w:szCs w:val="16"/>
        </w:rPr>
        <w:softHyphen/>
        <w:t>дый (средние) и два «Аргус» в 115 л. с. каждый (крайние). Поплавков было три: два главных и третий хво</w:t>
      </w:r>
      <w:r w:rsidRPr="00DE096C">
        <w:rPr>
          <w:bCs/>
          <w:color w:val="002060"/>
          <w:sz w:val="16"/>
          <w:szCs w:val="16"/>
        </w:rPr>
        <w:softHyphen/>
        <w:t>стовой. Главные поплавки крепились под средними двигателями к специальным стойкам шасси на резино</w:t>
      </w:r>
      <w:r w:rsidRPr="00DE096C">
        <w:rPr>
          <w:bCs/>
          <w:color w:val="002060"/>
          <w:sz w:val="16"/>
          <w:szCs w:val="16"/>
        </w:rPr>
        <w:softHyphen/>
        <w:t>вых шнурах-амортизаторах. Поплавки были короткие, безреданные, плоскодонные, с небольшим запасом пла</w:t>
      </w:r>
      <w:r w:rsidRPr="00DE096C">
        <w:rPr>
          <w:bCs/>
          <w:color w:val="002060"/>
          <w:sz w:val="16"/>
          <w:szCs w:val="16"/>
        </w:rPr>
        <w:softHyphen/>
        <w:t>вучести и отличались большой простотой конструкции. Гибкая подвеска поплавков была удачным решением, и самолет легко глиссировал даже при небольшом волне</w:t>
      </w:r>
      <w:r w:rsidRPr="00DE096C">
        <w:rPr>
          <w:bCs/>
          <w:color w:val="002060"/>
          <w:sz w:val="16"/>
          <w:szCs w:val="16"/>
        </w:rPr>
        <w:softHyphen/>
        <w:t>нии.</w:t>
      </w:r>
    </w:p>
    <w:p w14:paraId="6F8FBAFE" w14:textId="77777777" w:rsidR="00440C55" w:rsidRPr="00DE096C" w:rsidRDefault="00440C55" w:rsidP="00D45A46">
      <w:pPr>
        <w:jc w:val="both"/>
        <w:rPr>
          <w:bCs/>
          <w:color w:val="002060"/>
          <w:sz w:val="16"/>
          <w:szCs w:val="16"/>
        </w:rPr>
      </w:pPr>
      <w:r w:rsidRPr="00DE096C">
        <w:rPr>
          <w:bCs/>
          <w:color w:val="002060"/>
          <w:sz w:val="16"/>
          <w:szCs w:val="16"/>
        </w:rPr>
        <w:t>Самолет был готов уже в апреле. Он отличался от первого меньшими размерами и более мощной силовой установкой — четыре двигателя «Аргус» по 140 л. с. (внутренние) и по 125 л. с. (внешние). Увеличение мощности при меньшем взлетном весе позволило установить сразу несколько мировых ре</w:t>
      </w:r>
      <w:r w:rsidRPr="00DE096C">
        <w:rPr>
          <w:bCs/>
          <w:color w:val="002060"/>
          <w:sz w:val="16"/>
          <w:szCs w:val="16"/>
        </w:rPr>
        <w:softHyphen/>
        <w:t>кордов. Этими рекордами была сломлена сильная оппо</w:t>
      </w:r>
      <w:r w:rsidRPr="00DE096C">
        <w:rPr>
          <w:bCs/>
          <w:color w:val="002060"/>
          <w:sz w:val="16"/>
          <w:szCs w:val="16"/>
        </w:rPr>
        <w:softHyphen/>
        <w:t>зиция в Государственной думе, которая, несмотря на заинтересованность военного ведомства, препятствовала приобретению «Муромцев» русской армией. Основной довод _ - самолет в показанных к демонстрационных поле</w:t>
      </w:r>
      <w:r w:rsidRPr="00DE096C">
        <w:rPr>
          <w:bCs/>
          <w:color w:val="002060"/>
          <w:sz w:val="16"/>
          <w:szCs w:val="16"/>
        </w:rPr>
        <w:softHyphen/>
        <w:t>тах не поднимался выше 1000 м. Для. использования на боевое применение эта высота считалась недостаточной (24177).</w:t>
      </w:r>
    </w:p>
    <w:p w14:paraId="78058447" w14:textId="77777777" w:rsidR="00440C55" w:rsidRPr="00DE096C" w:rsidRDefault="00440C55" w:rsidP="00D45A46">
      <w:pPr>
        <w:jc w:val="both"/>
        <w:rPr>
          <w:bCs/>
          <w:color w:val="002060"/>
          <w:sz w:val="16"/>
          <w:szCs w:val="16"/>
        </w:rPr>
      </w:pPr>
    </w:p>
    <w:p w14:paraId="06B0881D" w14:textId="77777777" w:rsidR="00440C55" w:rsidRPr="00DE096C" w:rsidRDefault="00440C55" w:rsidP="00D45A46">
      <w:pPr>
        <w:jc w:val="both"/>
        <w:rPr>
          <w:bCs/>
          <w:color w:val="002060"/>
          <w:sz w:val="16"/>
          <w:szCs w:val="16"/>
          <w:lang w:bidi="ru-RU"/>
        </w:rPr>
      </w:pPr>
      <w:r w:rsidRPr="00DE096C">
        <w:rPr>
          <w:bCs/>
          <w:color w:val="002060"/>
          <w:sz w:val="16"/>
          <w:szCs w:val="16"/>
          <w:lang w:bidi="ru-RU"/>
        </w:rPr>
        <w:t>В апреле 1914 г. построили второй экземпляр «ИМ», серийный №128, который отличался от первого опытного образца уменьшенными размерами и наличием бо</w:t>
      </w:r>
      <w:r w:rsidRPr="00DE096C">
        <w:rPr>
          <w:bCs/>
          <w:color w:val="002060"/>
          <w:sz w:val="16"/>
          <w:szCs w:val="16"/>
          <w:lang w:bidi="ru-RU"/>
        </w:rPr>
        <w:softHyphen/>
        <w:t>лее мощной силовой установки, состоящей из 4-х двигателей «Аргус» 140 л.с. В отно</w:t>
      </w:r>
      <w:r w:rsidRPr="00DE096C">
        <w:rPr>
          <w:bCs/>
          <w:color w:val="002060"/>
          <w:sz w:val="16"/>
          <w:szCs w:val="16"/>
          <w:lang w:bidi="ru-RU"/>
        </w:rPr>
        <w:softHyphen/>
        <w:t>шении этого экземпляра стали впервые использовать определение «воздушный ко</w:t>
      </w:r>
      <w:r w:rsidRPr="00DE096C">
        <w:rPr>
          <w:bCs/>
          <w:color w:val="002060"/>
          <w:sz w:val="16"/>
          <w:szCs w:val="16"/>
          <w:lang w:bidi="ru-RU"/>
        </w:rPr>
        <w:softHyphen/>
        <w:t>рабль». Его построили и в начале летнего сезона на нем удалось до</w:t>
      </w:r>
      <w:r w:rsidRPr="00DE096C">
        <w:rPr>
          <w:bCs/>
          <w:color w:val="002060"/>
          <w:sz w:val="16"/>
          <w:szCs w:val="16"/>
          <w:lang w:bidi="ru-RU"/>
        </w:rPr>
        <w:softHyphen/>
        <w:t>стичь заметных достижений — 4 июня И.И. Сикорский поднял 10 пассажиров на высоту 2000 м. В период 11—17 июня конструктор совершил на этом аппарате перелет из Пе</w:t>
      </w:r>
      <w:r w:rsidRPr="00DE096C">
        <w:rPr>
          <w:bCs/>
          <w:color w:val="002060"/>
          <w:sz w:val="16"/>
          <w:szCs w:val="16"/>
          <w:lang w:bidi="ru-RU"/>
        </w:rPr>
        <w:softHyphen/>
        <w:t>тербурга в Киев и обратно. Помимо него на борту находились Г.И. Лавров, Х.Ф. Пруссис и механик В.С. Панасюк. В ознаменование перелета воздушный корабль получил наи</w:t>
      </w:r>
      <w:r w:rsidRPr="00DE096C">
        <w:rPr>
          <w:bCs/>
          <w:color w:val="002060"/>
          <w:sz w:val="16"/>
          <w:szCs w:val="16"/>
          <w:lang w:bidi="ru-RU"/>
        </w:rPr>
        <w:softHyphen/>
        <w:t>менование «Киевский». Позднее он был приобретен Гатчинской авиашколой и ис</w:t>
      </w:r>
      <w:r w:rsidRPr="00DE096C">
        <w:rPr>
          <w:bCs/>
          <w:color w:val="002060"/>
          <w:sz w:val="16"/>
          <w:szCs w:val="16"/>
          <w:lang w:bidi="ru-RU"/>
        </w:rPr>
        <w:softHyphen/>
        <w:t>пользовался как учебный аппарат для под</w:t>
      </w:r>
      <w:r w:rsidRPr="00DE096C">
        <w:rPr>
          <w:bCs/>
          <w:color w:val="002060"/>
          <w:sz w:val="16"/>
          <w:szCs w:val="16"/>
          <w:lang w:bidi="ru-RU"/>
        </w:rPr>
        <w:softHyphen/>
        <w:t>готовки экипажей воздушных кораблей.</w:t>
      </w:r>
    </w:p>
    <w:p w14:paraId="3D627ECD" w14:textId="77777777" w:rsidR="00440C55" w:rsidRPr="00DE096C" w:rsidRDefault="00440C55" w:rsidP="00D45A46">
      <w:pPr>
        <w:jc w:val="both"/>
        <w:rPr>
          <w:bCs/>
          <w:color w:val="002060"/>
          <w:sz w:val="16"/>
          <w:szCs w:val="16"/>
        </w:rPr>
      </w:pPr>
      <w:r w:rsidRPr="00DE096C">
        <w:rPr>
          <w:bCs/>
          <w:color w:val="002060"/>
          <w:sz w:val="16"/>
          <w:szCs w:val="16"/>
          <w:lang w:bidi="ru-RU"/>
        </w:rPr>
        <w:t>Свое название этот самолет получил, в со</w:t>
      </w:r>
      <w:r w:rsidRPr="00DE096C">
        <w:rPr>
          <w:bCs/>
          <w:color w:val="002060"/>
          <w:sz w:val="16"/>
          <w:szCs w:val="16"/>
          <w:lang w:bidi="ru-RU"/>
        </w:rPr>
        <w:softHyphen/>
        <w:t>ответствии с бытующими в русском обще</w:t>
      </w:r>
      <w:r w:rsidRPr="00DE096C">
        <w:rPr>
          <w:bCs/>
          <w:color w:val="002060"/>
          <w:sz w:val="16"/>
          <w:szCs w:val="16"/>
          <w:lang w:bidi="ru-RU"/>
        </w:rPr>
        <w:softHyphen/>
        <w:t>стве патриотическими настроениями, по имени былинного богатыря Ильи Муромца. Впоследствии указанное обозначение ста</w:t>
      </w:r>
      <w:r w:rsidRPr="00DE096C">
        <w:rPr>
          <w:bCs/>
          <w:color w:val="002060"/>
          <w:sz w:val="16"/>
          <w:szCs w:val="16"/>
          <w:lang w:bidi="ru-RU"/>
        </w:rPr>
        <w:softHyphen/>
        <w:t>ло общим для всех его разновидностей, с добавлением заглавных букв, соответству</w:t>
      </w:r>
      <w:r w:rsidRPr="00DE096C">
        <w:rPr>
          <w:bCs/>
          <w:color w:val="002060"/>
          <w:sz w:val="16"/>
          <w:szCs w:val="16"/>
          <w:lang w:bidi="ru-RU"/>
        </w:rPr>
        <w:softHyphen/>
        <w:t>ющих определенному типу (серии).</w:t>
      </w:r>
    </w:p>
    <w:p w14:paraId="06A75625" w14:textId="77777777" w:rsidR="00440C55" w:rsidRPr="00DE096C" w:rsidRDefault="00440C55" w:rsidP="00D45A46">
      <w:pPr>
        <w:jc w:val="both"/>
        <w:rPr>
          <w:bCs/>
          <w:color w:val="002060"/>
          <w:sz w:val="16"/>
          <w:szCs w:val="16"/>
        </w:rPr>
      </w:pPr>
      <w:r w:rsidRPr="00DE096C">
        <w:rPr>
          <w:bCs/>
          <w:color w:val="002060"/>
          <w:sz w:val="16"/>
          <w:szCs w:val="16"/>
          <w:lang w:bidi="ru-RU"/>
        </w:rPr>
        <w:t>«Илья Муромец» явился прямым разви</w:t>
      </w:r>
      <w:r w:rsidRPr="00DE096C">
        <w:rPr>
          <w:bCs/>
          <w:color w:val="002060"/>
          <w:sz w:val="16"/>
          <w:szCs w:val="16"/>
          <w:lang w:bidi="ru-RU"/>
        </w:rPr>
        <w:softHyphen/>
        <w:t>тием самолета «Русский Витязь» с класси</w:t>
      </w:r>
      <w:r w:rsidRPr="00DE096C">
        <w:rPr>
          <w:bCs/>
          <w:color w:val="002060"/>
          <w:sz w:val="16"/>
          <w:szCs w:val="16"/>
          <w:lang w:bidi="ru-RU"/>
        </w:rPr>
        <w:softHyphen/>
        <w:t>ческим размещением двигателей в ряд на нижнем крыле. Одновременно новый аппа</w:t>
      </w:r>
      <w:r w:rsidRPr="00DE096C">
        <w:rPr>
          <w:bCs/>
          <w:color w:val="002060"/>
          <w:sz w:val="16"/>
          <w:szCs w:val="16"/>
          <w:lang w:bidi="ru-RU"/>
        </w:rPr>
        <w:softHyphen/>
        <w:t>рат обладал рядом существенных улучше</w:t>
      </w:r>
      <w:r w:rsidRPr="00DE096C">
        <w:rPr>
          <w:bCs/>
          <w:color w:val="002060"/>
          <w:sz w:val="16"/>
          <w:szCs w:val="16"/>
          <w:lang w:bidi="ru-RU"/>
        </w:rPr>
        <w:softHyphen/>
        <w:t>ний и изначально предполагался для воен</w:t>
      </w:r>
      <w:r w:rsidRPr="00DE096C">
        <w:rPr>
          <w:bCs/>
          <w:color w:val="002060"/>
          <w:sz w:val="16"/>
          <w:szCs w:val="16"/>
          <w:lang w:bidi="ru-RU"/>
        </w:rPr>
        <w:softHyphen/>
        <w:t>ного использования.</w:t>
      </w:r>
    </w:p>
    <w:p w14:paraId="5CA06A7C" w14:textId="77777777" w:rsidR="00440C55" w:rsidRPr="00DE096C" w:rsidRDefault="00440C55" w:rsidP="00D45A46">
      <w:pPr>
        <w:jc w:val="both"/>
        <w:rPr>
          <w:bCs/>
          <w:color w:val="002060"/>
          <w:sz w:val="16"/>
          <w:szCs w:val="16"/>
        </w:rPr>
      </w:pPr>
      <w:r w:rsidRPr="00DE096C">
        <w:rPr>
          <w:bCs/>
          <w:color w:val="002060"/>
          <w:sz w:val="16"/>
          <w:szCs w:val="16"/>
          <w:lang w:bidi="ru-RU"/>
        </w:rPr>
        <w:t>Фюзеляж «Ильи Муромца» деревянной ферменной конструкции, носовая часть об</w:t>
      </w:r>
      <w:r w:rsidRPr="00DE096C">
        <w:rPr>
          <w:bCs/>
          <w:color w:val="002060"/>
          <w:sz w:val="16"/>
          <w:szCs w:val="16"/>
          <w:lang w:bidi="ru-RU"/>
        </w:rPr>
        <w:softHyphen/>
        <w:t>шита фанерой, хвостовая — полотном. По левому борту, иногда по обоим бортам, размещалась входная дверь. Передняя часть фюзеляжа представляла собой про</w:t>
      </w:r>
      <w:r w:rsidRPr="00DE096C">
        <w:rPr>
          <w:bCs/>
          <w:color w:val="002060"/>
          <w:sz w:val="16"/>
          <w:szCs w:val="16"/>
          <w:lang w:bidi="ru-RU"/>
        </w:rPr>
        <w:softHyphen/>
        <w:t>сторную, закрытую кабину: ширина 1,6 м, высота от 2 м до 2,5 м, длина 8,5 м. Общий объем кабины порядка 30 м</w:t>
      </w:r>
      <w:r w:rsidRPr="00DE096C">
        <w:rPr>
          <w:bCs/>
          <w:color w:val="002060"/>
          <w:sz w:val="16"/>
          <w:szCs w:val="16"/>
          <w:vertAlign w:val="superscript"/>
          <w:lang w:bidi="ru-RU"/>
        </w:rPr>
        <w:t>3</w:t>
      </w:r>
      <w:r w:rsidRPr="00DE096C">
        <w:rPr>
          <w:bCs/>
          <w:color w:val="002060"/>
          <w:sz w:val="16"/>
          <w:szCs w:val="16"/>
          <w:lang w:bidi="ru-RU"/>
        </w:rPr>
        <w:t xml:space="preserve"> позволял осу</w:t>
      </w:r>
      <w:r w:rsidRPr="00DE096C">
        <w:rPr>
          <w:bCs/>
          <w:color w:val="002060"/>
          <w:sz w:val="16"/>
          <w:szCs w:val="16"/>
          <w:lang w:bidi="ru-RU"/>
        </w:rPr>
        <w:softHyphen/>
        <w:t>ществлять свободное внутреннее переме</w:t>
      </w:r>
      <w:r w:rsidRPr="00DE096C">
        <w:rPr>
          <w:bCs/>
          <w:color w:val="002060"/>
          <w:sz w:val="16"/>
          <w:szCs w:val="16"/>
          <w:lang w:bidi="ru-RU"/>
        </w:rPr>
        <w:softHyphen/>
        <w:t>щение экипажа, без особых затруднений размещать оборонительное вооружение и бомбовый груз. Носовая часть кабины со значительным остеклением, в ходе совер</w:t>
      </w:r>
      <w:r w:rsidRPr="00DE096C">
        <w:rPr>
          <w:bCs/>
          <w:color w:val="002060"/>
          <w:sz w:val="16"/>
          <w:szCs w:val="16"/>
          <w:lang w:bidi="ru-RU"/>
        </w:rPr>
        <w:softHyphen/>
        <w:t>шенствования поверхность прозрачной ча</w:t>
      </w:r>
      <w:r w:rsidRPr="00DE096C">
        <w:rPr>
          <w:bCs/>
          <w:color w:val="002060"/>
          <w:sz w:val="16"/>
          <w:szCs w:val="16"/>
          <w:lang w:bidi="ru-RU"/>
        </w:rPr>
        <w:softHyphen/>
        <w:t>сти постоянно увеличивалась. Управление одинарное, при помощи штурвала, с раз</w:t>
      </w:r>
      <w:r w:rsidRPr="00DE096C">
        <w:rPr>
          <w:bCs/>
          <w:color w:val="002060"/>
          <w:sz w:val="16"/>
          <w:szCs w:val="16"/>
          <w:lang w:bidi="ru-RU"/>
        </w:rPr>
        <w:softHyphen/>
        <w:t>мещением по центру кабины. Считалось, что в случае ранения, место пилота займет другой член экипажа — именно так и про</w:t>
      </w:r>
      <w:r w:rsidRPr="00DE096C">
        <w:rPr>
          <w:bCs/>
          <w:color w:val="002060"/>
          <w:sz w:val="16"/>
          <w:szCs w:val="16"/>
          <w:lang w:bidi="ru-RU"/>
        </w:rPr>
        <w:softHyphen/>
        <w:t>исходило в боевых условиях.</w:t>
      </w:r>
    </w:p>
    <w:p w14:paraId="1121F4DC" w14:textId="77777777" w:rsidR="00440C55" w:rsidRPr="00DE096C" w:rsidRDefault="00440C55" w:rsidP="00D45A46">
      <w:pPr>
        <w:jc w:val="both"/>
        <w:rPr>
          <w:bCs/>
          <w:color w:val="002060"/>
          <w:sz w:val="16"/>
          <w:szCs w:val="16"/>
        </w:rPr>
      </w:pPr>
      <w:r w:rsidRPr="00DE096C">
        <w:rPr>
          <w:bCs/>
          <w:color w:val="002060"/>
          <w:sz w:val="16"/>
          <w:szCs w:val="16"/>
          <w:lang w:bidi="ru-RU"/>
        </w:rPr>
        <w:t>Крылья самолета двухлонжеронные, зна</w:t>
      </w:r>
      <w:r w:rsidRPr="00DE096C">
        <w:rPr>
          <w:bCs/>
          <w:color w:val="002060"/>
          <w:sz w:val="16"/>
          <w:szCs w:val="16"/>
          <w:lang w:bidi="ru-RU"/>
        </w:rPr>
        <w:softHyphen/>
        <w:t>чительно увеличенной площади по сравнению с «Русским Витязем» (в первом экземп</w:t>
      </w:r>
      <w:r w:rsidRPr="00DE096C">
        <w:rPr>
          <w:bCs/>
          <w:color w:val="002060"/>
          <w:sz w:val="16"/>
          <w:szCs w:val="16"/>
          <w:lang w:bidi="ru-RU"/>
        </w:rPr>
        <w:softHyphen/>
        <w:t>ляре площадь крыльев составляла 182 м</w:t>
      </w:r>
      <w:r w:rsidRPr="00DE096C">
        <w:rPr>
          <w:bCs/>
          <w:color w:val="002060"/>
          <w:sz w:val="16"/>
          <w:szCs w:val="16"/>
          <w:vertAlign w:val="superscript"/>
          <w:lang w:bidi="ru-RU"/>
        </w:rPr>
        <w:t>2</w:t>
      </w:r>
      <w:r w:rsidRPr="00DE096C">
        <w:rPr>
          <w:bCs/>
          <w:color w:val="002060"/>
          <w:sz w:val="16"/>
          <w:szCs w:val="16"/>
          <w:lang w:bidi="ru-RU"/>
        </w:rPr>
        <w:t>), поперечный профиль тонкий, значительной кривизны, элероны только на верхнем кры</w:t>
      </w:r>
      <w:r w:rsidRPr="00DE096C">
        <w:rPr>
          <w:bCs/>
          <w:color w:val="002060"/>
          <w:sz w:val="16"/>
          <w:szCs w:val="16"/>
          <w:lang w:bidi="ru-RU"/>
        </w:rPr>
        <w:softHyphen/>
        <w:t>ле. Верхнее крыло обычно состояло из 7 ча</w:t>
      </w:r>
      <w:r w:rsidRPr="00DE096C">
        <w:rPr>
          <w:bCs/>
          <w:color w:val="002060"/>
          <w:sz w:val="16"/>
          <w:szCs w:val="16"/>
          <w:lang w:bidi="ru-RU"/>
        </w:rPr>
        <w:softHyphen/>
        <w:t>стей: центроплана, двух промежуточных элементов на каждом полуразмахе и двух консолей. Нижнее крыло состояло из четы</w:t>
      </w:r>
      <w:r w:rsidRPr="00DE096C">
        <w:rPr>
          <w:bCs/>
          <w:color w:val="002060"/>
          <w:sz w:val="16"/>
          <w:szCs w:val="16"/>
          <w:lang w:bidi="ru-RU"/>
        </w:rPr>
        <w:softHyphen/>
        <w:t>рех частей. Узлы соединения крыльев, как и многие другие крепящие элементы, из мяг</w:t>
      </w:r>
      <w:r w:rsidRPr="00DE096C">
        <w:rPr>
          <w:bCs/>
          <w:color w:val="002060"/>
          <w:sz w:val="16"/>
          <w:szCs w:val="16"/>
          <w:lang w:bidi="ru-RU"/>
        </w:rPr>
        <w:softHyphen/>
        <w:t>кой стали, иногда сварные — иногда в виде плоских накладок — в любом случае про</w:t>
      </w:r>
      <w:r w:rsidRPr="00DE096C">
        <w:rPr>
          <w:bCs/>
          <w:color w:val="002060"/>
          <w:sz w:val="16"/>
          <w:szCs w:val="16"/>
          <w:lang w:bidi="ru-RU"/>
        </w:rPr>
        <w:softHyphen/>
        <w:t>стой рациональной конструкции.</w:t>
      </w:r>
    </w:p>
    <w:p w14:paraId="5EBB5F48" w14:textId="77777777" w:rsidR="00440C55" w:rsidRPr="00DE096C" w:rsidRDefault="00440C55" w:rsidP="00D45A46">
      <w:pPr>
        <w:jc w:val="both"/>
        <w:rPr>
          <w:bCs/>
          <w:color w:val="002060"/>
          <w:sz w:val="16"/>
          <w:szCs w:val="16"/>
        </w:rPr>
      </w:pPr>
      <w:r w:rsidRPr="00DE096C">
        <w:rPr>
          <w:bCs/>
          <w:color w:val="002060"/>
          <w:sz w:val="16"/>
          <w:szCs w:val="16"/>
          <w:lang w:bidi="ru-RU"/>
        </w:rPr>
        <w:lastRenderedPageBreak/>
        <w:t>Горизонтальное хвостовое оперение не</w:t>
      </w:r>
      <w:r w:rsidRPr="00DE096C">
        <w:rPr>
          <w:bCs/>
          <w:color w:val="002060"/>
          <w:sz w:val="16"/>
          <w:szCs w:val="16"/>
          <w:lang w:bidi="ru-RU"/>
        </w:rPr>
        <w:softHyphen/>
        <w:t>сущее, т.е. обладающее подъемной силой, по площади составляло порядка 30% от площади крыльев. Вертикальное оперение состояло из трех цельноповоротных рулей. В случае размещения кормовой оборони</w:t>
      </w:r>
      <w:r w:rsidRPr="00DE096C">
        <w:rPr>
          <w:bCs/>
          <w:color w:val="002060"/>
          <w:sz w:val="16"/>
          <w:szCs w:val="16"/>
          <w:lang w:bidi="ru-RU"/>
        </w:rPr>
        <w:softHyphen/>
        <w:t>тельной установки использовалось два цельноповоротных вертикальных руля.</w:t>
      </w:r>
    </w:p>
    <w:p w14:paraId="5543324F" w14:textId="77777777" w:rsidR="00440C55" w:rsidRPr="00DE096C" w:rsidRDefault="00440C55" w:rsidP="00D45A46">
      <w:pPr>
        <w:jc w:val="both"/>
        <w:rPr>
          <w:bCs/>
          <w:color w:val="002060"/>
          <w:sz w:val="16"/>
          <w:szCs w:val="16"/>
        </w:rPr>
      </w:pPr>
      <w:r w:rsidRPr="00DE096C">
        <w:rPr>
          <w:bCs/>
          <w:color w:val="002060"/>
          <w:sz w:val="16"/>
          <w:szCs w:val="16"/>
          <w:lang w:bidi="ru-RU"/>
        </w:rPr>
        <w:t>Шасси в виде многостержневой пирами</w:t>
      </w:r>
      <w:r w:rsidRPr="00DE096C">
        <w:rPr>
          <w:bCs/>
          <w:color w:val="002060"/>
          <w:sz w:val="16"/>
          <w:szCs w:val="16"/>
          <w:lang w:bidi="ru-RU"/>
        </w:rPr>
        <w:softHyphen/>
        <w:t>ды с центральными полозьями, амортиза</w:t>
      </w:r>
      <w:r w:rsidRPr="00DE096C">
        <w:rPr>
          <w:bCs/>
          <w:color w:val="002060"/>
          <w:sz w:val="16"/>
          <w:szCs w:val="16"/>
          <w:lang w:bidi="ru-RU"/>
        </w:rPr>
        <w:softHyphen/>
        <w:t>ция резиновая, шнуровая. При отсутствии колес достаточного размера использова</w:t>
      </w:r>
      <w:r w:rsidRPr="00DE096C">
        <w:rPr>
          <w:bCs/>
          <w:color w:val="002060"/>
          <w:sz w:val="16"/>
          <w:szCs w:val="16"/>
          <w:lang w:bidi="ru-RU"/>
        </w:rPr>
        <w:softHyphen/>
        <w:t>лись колеса диаметром 670 мм, попарно собранные (и обшитые кожей) в четырех</w:t>
      </w:r>
      <w:r w:rsidRPr="00DE096C">
        <w:rPr>
          <w:bCs/>
          <w:color w:val="002060"/>
          <w:sz w:val="16"/>
          <w:szCs w:val="16"/>
          <w:lang w:bidi="ru-RU"/>
        </w:rPr>
        <w:softHyphen/>
        <w:t>колесные тележки.</w:t>
      </w:r>
    </w:p>
    <w:p w14:paraId="0DEDE2C9" w14:textId="77777777" w:rsidR="00440C55" w:rsidRPr="00DE096C" w:rsidRDefault="00440C55" w:rsidP="00D45A46">
      <w:pPr>
        <w:jc w:val="both"/>
        <w:rPr>
          <w:bCs/>
          <w:color w:val="002060"/>
          <w:sz w:val="16"/>
          <w:szCs w:val="16"/>
        </w:rPr>
      </w:pPr>
      <w:r w:rsidRPr="00DE096C">
        <w:rPr>
          <w:bCs/>
          <w:color w:val="002060"/>
          <w:sz w:val="16"/>
          <w:szCs w:val="16"/>
          <w:lang w:bidi="ru-RU"/>
        </w:rPr>
        <w:t>Двигатели без обтекателей, для их об</w:t>
      </w:r>
      <w:r w:rsidRPr="00DE096C">
        <w:rPr>
          <w:bCs/>
          <w:color w:val="002060"/>
          <w:sz w:val="16"/>
          <w:szCs w:val="16"/>
          <w:lang w:bidi="ru-RU"/>
        </w:rPr>
        <w:softHyphen/>
        <w:t>служивания и ремонта на нижнем крыле было сделано усиление в виде фанерной дорожки с проволочными перилами. На практике, при достаточно невысокой по</w:t>
      </w:r>
      <w:r w:rsidRPr="00DE096C">
        <w:rPr>
          <w:bCs/>
          <w:color w:val="002060"/>
          <w:sz w:val="16"/>
          <w:szCs w:val="16"/>
          <w:lang w:bidi="ru-RU"/>
        </w:rPr>
        <w:softHyphen/>
        <w:t>летной скорости, находящейся в пределах 100 км/ч, данное приспособление действи</w:t>
      </w:r>
      <w:r w:rsidRPr="00DE096C">
        <w:rPr>
          <w:bCs/>
          <w:color w:val="002060"/>
          <w:sz w:val="16"/>
          <w:szCs w:val="16"/>
          <w:lang w:bidi="ru-RU"/>
        </w:rPr>
        <w:softHyphen/>
        <w:t>тельно позволяло исправить двигатель в полете и тем самым спасти самолет.</w:t>
      </w:r>
    </w:p>
    <w:p w14:paraId="7A21E393" w14:textId="77777777" w:rsidR="00440C55" w:rsidRPr="00DE096C" w:rsidRDefault="00440C55" w:rsidP="00D45A46">
      <w:pPr>
        <w:jc w:val="both"/>
        <w:rPr>
          <w:bCs/>
          <w:color w:val="002060"/>
          <w:sz w:val="16"/>
          <w:szCs w:val="16"/>
        </w:rPr>
      </w:pPr>
      <w:r w:rsidRPr="00DE096C">
        <w:rPr>
          <w:bCs/>
          <w:color w:val="002060"/>
          <w:sz w:val="16"/>
          <w:szCs w:val="16"/>
          <w:lang w:bidi="ru-RU"/>
        </w:rPr>
        <w:t>Топливные баки сигарообразные, из ла</w:t>
      </w:r>
      <w:r w:rsidRPr="00DE096C">
        <w:rPr>
          <w:bCs/>
          <w:color w:val="002060"/>
          <w:sz w:val="16"/>
          <w:szCs w:val="16"/>
          <w:lang w:bidi="ru-RU"/>
        </w:rPr>
        <w:softHyphen/>
        <w:t>туни, размещались преимущественно над фюзеляжем, иногда над двигателями или над верхним крылом.</w:t>
      </w:r>
    </w:p>
    <w:p w14:paraId="01248534" w14:textId="77777777" w:rsidR="00440C55" w:rsidRPr="00DE096C" w:rsidRDefault="00440C55" w:rsidP="00D45A46">
      <w:pPr>
        <w:jc w:val="both"/>
        <w:rPr>
          <w:bCs/>
          <w:color w:val="002060"/>
          <w:sz w:val="16"/>
          <w:szCs w:val="16"/>
        </w:rPr>
      </w:pPr>
      <w:r w:rsidRPr="00DE096C">
        <w:rPr>
          <w:bCs/>
          <w:color w:val="002060"/>
          <w:sz w:val="16"/>
          <w:szCs w:val="16"/>
          <w:lang w:bidi="ru-RU"/>
        </w:rPr>
        <w:t>Стандартное бомбардировочное воору</w:t>
      </w:r>
      <w:r w:rsidRPr="00DE096C">
        <w:rPr>
          <w:bCs/>
          <w:color w:val="002060"/>
          <w:sz w:val="16"/>
          <w:szCs w:val="16"/>
          <w:lang w:bidi="ru-RU"/>
        </w:rPr>
        <w:softHyphen/>
        <w:t>жение «Ильи Муромца» состояло из 150— 250 кг бомб, размещенных внутри фюзеля</w:t>
      </w:r>
      <w:r w:rsidRPr="00DE096C">
        <w:rPr>
          <w:bCs/>
          <w:color w:val="002060"/>
          <w:sz w:val="16"/>
          <w:szCs w:val="16"/>
          <w:lang w:bidi="ru-RU"/>
        </w:rPr>
        <w:softHyphen/>
        <w:t>жа по правому борту в специальных кассе</w:t>
      </w:r>
      <w:r w:rsidRPr="00DE096C">
        <w:rPr>
          <w:bCs/>
          <w:color w:val="002060"/>
          <w:sz w:val="16"/>
          <w:szCs w:val="16"/>
          <w:lang w:bidi="ru-RU"/>
        </w:rPr>
        <w:softHyphen/>
        <w:t>тах. Максимальная бомбовая нагрузка оценивалась в 80 пудов (480 кг) и даже бо</w:t>
      </w:r>
      <w:r w:rsidRPr="00DE096C">
        <w:rPr>
          <w:bCs/>
          <w:color w:val="002060"/>
          <w:sz w:val="16"/>
          <w:szCs w:val="16"/>
          <w:lang w:bidi="ru-RU"/>
        </w:rPr>
        <w:softHyphen/>
        <w:t>лее.</w:t>
      </w:r>
    </w:p>
    <w:p w14:paraId="7116C6AC" w14:textId="77777777" w:rsidR="00440C55" w:rsidRPr="00DE096C" w:rsidRDefault="00440C55" w:rsidP="00D45A46">
      <w:pPr>
        <w:jc w:val="both"/>
        <w:rPr>
          <w:bCs/>
          <w:color w:val="002060"/>
          <w:sz w:val="16"/>
          <w:szCs w:val="16"/>
        </w:rPr>
      </w:pPr>
      <w:r w:rsidRPr="00DE096C">
        <w:rPr>
          <w:bCs/>
          <w:color w:val="002060"/>
          <w:sz w:val="16"/>
          <w:szCs w:val="16"/>
          <w:lang w:bidi="ru-RU"/>
        </w:rPr>
        <w:t>В 1914 г., для предполагаемых поедин</w:t>
      </w:r>
      <w:r w:rsidRPr="00DE096C">
        <w:rPr>
          <w:bCs/>
          <w:color w:val="002060"/>
          <w:sz w:val="16"/>
          <w:szCs w:val="16"/>
          <w:lang w:bidi="ru-RU"/>
        </w:rPr>
        <w:softHyphen/>
        <w:t>ков «Ильи Муромца» с немецкими «Цеппе</w:t>
      </w:r>
      <w:r w:rsidRPr="00DE096C">
        <w:rPr>
          <w:bCs/>
          <w:color w:val="002060"/>
          <w:sz w:val="16"/>
          <w:szCs w:val="16"/>
          <w:lang w:bidi="ru-RU"/>
        </w:rPr>
        <w:softHyphen/>
        <w:t>линами», испытывалась установка артилле</w:t>
      </w:r>
      <w:r w:rsidRPr="00DE096C">
        <w:rPr>
          <w:bCs/>
          <w:color w:val="002060"/>
          <w:sz w:val="16"/>
          <w:szCs w:val="16"/>
          <w:lang w:bidi="ru-RU"/>
        </w:rPr>
        <w:softHyphen/>
        <w:t>рийского вооружения на специальной ору</w:t>
      </w:r>
      <w:r w:rsidRPr="00DE096C">
        <w:rPr>
          <w:bCs/>
          <w:color w:val="002060"/>
          <w:sz w:val="16"/>
          <w:szCs w:val="16"/>
          <w:lang w:bidi="ru-RU"/>
        </w:rPr>
        <w:softHyphen/>
        <w:t>дийной площадке, размещенной в районе шасси, под передней частью фюзеляжа. Испытания 37-мм пушки Гочкис и безот</w:t>
      </w:r>
      <w:r w:rsidRPr="00DE096C">
        <w:rPr>
          <w:bCs/>
          <w:color w:val="002060"/>
          <w:sz w:val="16"/>
          <w:szCs w:val="16"/>
          <w:lang w:bidi="ru-RU"/>
        </w:rPr>
        <w:softHyphen/>
        <w:t>катной пушки полковника Дельвига (имела два ствола, вперед направлялся боевой за</w:t>
      </w:r>
      <w:r w:rsidRPr="00DE096C">
        <w:rPr>
          <w:bCs/>
          <w:color w:val="002060"/>
          <w:sz w:val="16"/>
          <w:szCs w:val="16"/>
          <w:lang w:bidi="ru-RU"/>
        </w:rPr>
        <w:softHyphen/>
        <w:t>ряд, а назад вылетала уравновешивающая силу отдачи болванка) не принесли удов</w:t>
      </w:r>
      <w:r w:rsidRPr="00DE096C">
        <w:rPr>
          <w:bCs/>
          <w:color w:val="002060"/>
          <w:sz w:val="16"/>
          <w:szCs w:val="16"/>
          <w:lang w:bidi="ru-RU"/>
        </w:rPr>
        <w:softHyphen/>
        <w:t>летворения. Малая скорострельность, при</w:t>
      </w:r>
      <w:r w:rsidRPr="00DE096C">
        <w:rPr>
          <w:bCs/>
          <w:color w:val="002060"/>
          <w:sz w:val="16"/>
          <w:szCs w:val="16"/>
          <w:lang w:bidi="ru-RU"/>
        </w:rPr>
        <w:softHyphen/>
        <w:t>сутствие дополнительного артиллерийско</w:t>
      </w:r>
      <w:r w:rsidRPr="00DE096C">
        <w:rPr>
          <w:bCs/>
          <w:color w:val="002060"/>
          <w:sz w:val="16"/>
          <w:szCs w:val="16"/>
          <w:lang w:bidi="ru-RU"/>
        </w:rPr>
        <w:softHyphen/>
        <w:t>го расчета, обещали лишние хлопоты при малоубедительных боевых преимуществах. Поэтому в ходе боевого применения пушки на «Илье Муромце» не использовались.</w:t>
      </w:r>
    </w:p>
    <w:p w14:paraId="11D0A9D4" w14:textId="77777777" w:rsidR="00440C55" w:rsidRPr="00DE096C" w:rsidRDefault="00440C55" w:rsidP="00D45A46">
      <w:pPr>
        <w:jc w:val="both"/>
        <w:rPr>
          <w:bCs/>
          <w:color w:val="002060"/>
          <w:sz w:val="16"/>
          <w:szCs w:val="16"/>
        </w:rPr>
      </w:pPr>
      <w:r w:rsidRPr="00DE096C">
        <w:rPr>
          <w:bCs/>
          <w:color w:val="002060"/>
          <w:sz w:val="16"/>
          <w:szCs w:val="16"/>
          <w:lang w:bidi="ru-RU"/>
        </w:rPr>
        <w:t>Штатное оборонительное вооружение поначалу включало: два пулемета «Мак</w:t>
      </w:r>
      <w:r w:rsidRPr="00DE096C">
        <w:rPr>
          <w:bCs/>
          <w:color w:val="002060"/>
          <w:sz w:val="16"/>
          <w:szCs w:val="16"/>
          <w:lang w:bidi="ru-RU"/>
        </w:rPr>
        <w:softHyphen/>
        <w:t>сим», два пулемета «Мадсен» и два писто</w:t>
      </w:r>
      <w:r w:rsidRPr="00DE096C">
        <w:rPr>
          <w:bCs/>
          <w:color w:val="002060"/>
          <w:sz w:val="16"/>
          <w:szCs w:val="16"/>
          <w:lang w:bidi="ru-RU"/>
        </w:rPr>
        <w:softHyphen/>
        <w:t>лета «Маузер». Стрелки размещались по бортам фюзеляжа, в верхней его централь</w:t>
      </w:r>
      <w:r w:rsidRPr="00DE096C">
        <w:rPr>
          <w:bCs/>
          <w:color w:val="002060"/>
          <w:sz w:val="16"/>
          <w:szCs w:val="16"/>
          <w:lang w:bidi="ru-RU"/>
        </w:rPr>
        <w:softHyphen/>
        <w:t>ной части и в пространстве между верхни</w:t>
      </w:r>
      <w:r w:rsidRPr="00DE096C">
        <w:rPr>
          <w:bCs/>
          <w:color w:val="002060"/>
          <w:sz w:val="16"/>
          <w:szCs w:val="16"/>
          <w:lang w:bidi="ru-RU"/>
        </w:rPr>
        <w:softHyphen/>
        <w:t>ми крыльями. В поздних сериях, когда ко</w:t>
      </w:r>
      <w:r w:rsidRPr="00DE096C">
        <w:rPr>
          <w:bCs/>
          <w:color w:val="002060"/>
          <w:sz w:val="16"/>
          <w:szCs w:val="16"/>
          <w:lang w:bidi="ru-RU"/>
        </w:rPr>
        <w:softHyphen/>
        <w:t>личество бортовых пулеметов доходило до 6—8 штук, стрелки освоили переднюю полу</w:t>
      </w:r>
      <w:r w:rsidRPr="00DE096C">
        <w:rPr>
          <w:bCs/>
          <w:color w:val="002060"/>
          <w:sz w:val="16"/>
          <w:szCs w:val="16"/>
          <w:lang w:bidi="ru-RU"/>
        </w:rPr>
        <w:softHyphen/>
        <w:t>сферу из кабины пилотов, подфюзеляжное пространство и хвостовую часть в районе оперения. В данном варианте с «Ильи Му</w:t>
      </w:r>
      <w:r w:rsidRPr="00DE096C">
        <w:rPr>
          <w:bCs/>
          <w:color w:val="002060"/>
          <w:sz w:val="16"/>
          <w:szCs w:val="16"/>
          <w:lang w:bidi="ru-RU"/>
        </w:rPr>
        <w:softHyphen/>
        <w:t>ромца» обеспечивался практически полный круговой обстрел из бортовых пулеметов (23374).</w:t>
      </w:r>
    </w:p>
    <w:p w14:paraId="0D0FD3E7" w14:textId="77777777" w:rsidR="00440C55" w:rsidRPr="00DE096C" w:rsidRDefault="00440C55" w:rsidP="00D45A46">
      <w:pPr>
        <w:jc w:val="both"/>
        <w:rPr>
          <w:bCs/>
          <w:color w:val="002060"/>
          <w:sz w:val="16"/>
          <w:szCs w:val="16"/>
        </w:rPr>
      </w:pPr>
    </w:p>
    <w:p w14:paraId="33410D00" w14:textId="77777777" w:rsidR="00440C55" w:rsidRPr="00DE096C" w:rsidRDefault="00440C55" w:rsidP="00D45A46">
      <w:pPr>
        <w:jc w:val="both"/>
        <w:rPr>
          <w:bCs/>
          <w:color w:val="002060"/>
          <w:sz w:val="16"/>
          <w:szCs w:val="16"/>
        </w:rPr>
      </w:pPr>
      <w:r w:rsidRPr="00DE096C">
        <w:rPr>
          <w:bCs/>
          <w:color w:val="002060"/>
          <w:sz w:val="16"/>
          <w:szCs w:val="16"/>
        </w:rPr>
        <w:t>В апреле 1914 г. ПРТВ, задержавшийся с выпуском «Ньюпор-4» и «Фарман-7», получил заказ на новые модели «фарманов» и сдал эту продукцию уже во время войны (23472).</w:t>
      </w:r>
    </w:p>
    <w:p w14:paraId="619C88CC" w14:textId="77777777" w:rsidR="00440C55" w:rsidRPr="00DE096C" w:rsidRDefault="00440C55" w:rsidP="00D45A46">
      <w:pPr>
        <w:jc w:val="both"/>
        <w:rPr>
          <w:bCs/>
          <w:color w:val="002060"/>
          <w:sz w:val="16"/>
          <w:szCs w:val="16"/>
          <w:lang w:bidi="ru-RU"/>
        </w:rPr>
      </w:pPr>
    </w:p>
    <w:p w14:paraId="4D38E51B" w14:textId="77777777" w:rsidR="00440C55" w:rsidRPr="00DE096C" w:rsidRDefault="00440C55" w:rsidP="00D45A46">
      <w:pPr>
        <w:jc w:val="both"/>
        <w:rPr>
          <w:bCs/>
          <w:color w:val="002060"/>
          <w:sz w:val="16"/>
          <w:szCs w:val="16"/>
        </w:rPr>
      </w:pPr>
      <w:r w:rsidRPr="00DE096C">
        <w:rPr>
          <w:bCs/>
          <w:color w:val="002060"/>
          <w:sz w:val="16"/>
          <w:szCs w:val="16"/>
          <w:lang w:bidi="ru-RU"/>
        </w:rPr>
        <w:t>В апреле 1914 г. Лебедев арендовал у Императорского аэроклуба участок земли на Комендантском аэродроме, где основал свое Акционерное общество воздухоплава</w:t>
      </w:r>
      <w:r w:rsidRPr="00DE096C">
        <w:rPr>
          <w:bCs/>
          <w:color w:val="002060"/>
          <w:sz w:val="16"/>
          <w:szCs w:val="16"/>
          <w:lang w:bidi="ru-RU"/>
        </w:rPr>
        <w:softHyphen/>
        <w:t>ния «В.А.Лебедев». Позднее таких участков стало два, за них ежегодно аэроклубу вы</w:t>
      </w:r>
      <w:r w:rsidRPr="00DE096C">
        <w:rPr>
          <w:bCs/>
          <w:color w:val="002060"/>
          <w:sz w:val="16"/>
          <w:szCs w:val="16"/>
          <w:lang w:bidi="ru-RU"/>
        </w:rPr>
        <w:softHyphen/>
        <w:t>плачивались 1100 рублей. Адрес общества обозначался так: «Новая деревня, Комен</w:t>
      </w:r>
      <w:r w:rsidRPr="00DE096C">
        <w:rPr>
          <w:bCs/>
          <w:color w:val="002060"/>
          <w:sz w:val="16"/>
          <w:szCs w:val="16"/>
          <w:lang w:bidi="ru-RU"/>
        </w:rPr>
        <w:softHyphen/>
        <w:t>дантский аэродром (против скачек)». Глав</w:t>
      </w:r>
      <w:r w:rsidRPr="00DE096C">
        <w:rPr>
          <w:bCs/>
          <w:color w:val="002060"/>
          <w:sz w:val="16"/>
          <w:szCs w:val="16"/>
          <w:lang w:bidi="ru-RU"/>
        </w:rPr>
        <w:softHyphen/>
        <w:t>ная контора общества находилась на 5-й линии Васильевского острова в доме №54.</w:t>
      </w:r>
    </w:p>
    <w:p w14:paraId="1ABA2556" w14:textId="77777777" w:rsidR="00440C55" w:rsidRPr="00DE096C" w:rsidRDefault="00440C55" w:rsidP="00D45A46">
      <w:pPr>
        <w:jc w:val="both"/>
        <w:rPr>
          <w:bCs/>
          <w:color w:val="002060"/>
          <w:sz w:val="16"/>
          <w:szCs w:val="16"/>
        </w:rPr>
      </w:pPr>
      <w:r w:rsidRPr="00DE096C">
        <w:rPr>
          <w:bCs/>
          <w:color w:val="002060"/>
          <w:sz w:val="16"/>
          <w:szCs w:val="16"/>
          <w:lang w:bidi="ru-RU"/>
        </w:rPr>
        <w:t>Первой продукцией нового предприятия стали самолеты «Депердюссен», «Ньюпор</w:t>
      </w:r>
      <w:r w:rsidRPr="00DE096C">
        <w:rPr>
          <w:bCs/>
          <w:color w:val="002060"/>
          <w:sz w:val="16"/>
          <w:szCs w:val="16"/>
          <w:lang w:bidi="en-US"/>
        </w:rPr>
        <w:t xml:space="preserve">- </w:t>
      </w:r>
      <w:r w:rsidRPr="00DE096C">
        <w:rPr>
          <w:bCs/>
          <w:color w:val="002060"/>
          <w:sz w:val="16"/>
          <w:szCs w:val="16"/>
          <w:lang w:val="en-US" w:bidi="en-US"/>
        </w:rPr>
        <w:t>IV</w:t>
      </w:r>
      <w:r w:rsidRPr="00DE096C">
        <w:rPr>
          <w:bCs/>
          <w:color w:val="002060"/>
          <w:sz w:val="16"/>
          <w:szCs w:val="16"/>
          <w:lang w:bidi="en-US"/>
        </w:rPr>
        <w:t xml:space="preserve">» </w:t>
      </w:r>
      <w:r w:rsidRPr="00DE096C">
        <w:rPr>
          <w:bCs/>
          <w:color w:val="002060"/>
          <w:sz w:val="16"/>
          <w:szCs w:val="16"/>
          <w:lang w:bidi="ru-RU"/>
        </w:rPr>
        <w:t>и «Фарман-4». С июля 1914 г. начался выпуск бипланов «Вуазен», а в конце года летающих лодок ФБА. Средняя производи</w:t>
      </w:r>
      <w:r w:rsidRPr="00DE096C">
        <w:rPr>
          <w:bCs/>
          <w:color w:val="002060"/>
          <w:sz w:val="16"/>
          <w:szCs w:val="16"/>
          <w:lang w:bidi="ru-RU"/>
        </w:rPr>
        <w:softHyphen/>
        <w:t>тельность в 1914 г. составляла 6 самоле</w:t>
      </w:r>
      <w:r w:rsidRPr="00DE096C">
        <w:rPr>
          <w:bCs/>
          <w:color w:val="002060"/>
          <w:sz w:val="16"/>
          <w:szCs w:val="16"/>
          <w:lang w:bidi="ru-RU"/>
        </w:rPr>
        <w:softHyphen/>
        <w:t>тов в месяц, через год с небольшим еже</w:t>
      </w:r>
      <w:r w:rsidRPr="00DE096C">
        <w:rPr>
          <w:bCs/>
          <w:color w:val="002060"/>
          <w:sz w:val="16"/>
          <w:szCs w:val="16"/>
          <w:lang w:bidi="ru-RU"/>
        </w:rPr>
        <w:softHyphen/>
        <w:t>месячное производство удалось довести до 30 экземпляров.</w:t>
      </w:r>
    </w:p>
    <w:p w14:paraId="723716A0" w14:textId="77777777" w:rsidR="00440C55" w:rsidRPr="00DE096C" w:rsidRDefault="00440C55" w:rsidP="00D45A46">
      <w:pPr>
        <w:jc w:val="both"/>
        <w:rPr>
          <w:bCs/>
          <w:color w:val="002060"/>
          <w:sz w:val="16"/>
          <w:szCs w:val="16"/>
        </w:rPr>
      </w:pPr>
      <w:r w:rsidRPr="00DE096C">
        <w:rPr>
          <w:bCs/>
          <w:color w:val="002060"/>
          <w:sz w:val="16"/>
          <w:szCs w:val="16"/>
          <w:lang w:bidi="ru-RU"/>
        </w:rPr>
        <w:t>Средства, вырученные от сдачи продук</w:t>
      </w:r>
      <w:r w:rsidRPr="00DE096C">
        <w:rPr>
          <w:bCs/>
          <w:color w:val="002060"/>
          <w:sz w:val="16"/>
          <w:szCs w:val="16"/>
          <w:lang w:bidi="ru-RU"/>
        </w:rPr>
        <w:softHyphen/>
        <w:t>ции военному ведомству, шли в первую очередь на развитие производства и за</w:t>
      </w:r>
      <w:r w:rsidRPr="00DE096C">
        <w:rPr>
          <w:bCs/>
          <w:color w:val="002060"/>
          <w:sz w:val="16"/>
          <w:szCs w:val="16"/>
          <w:lang w:bidi="ru-RU"/>
        </w:rPr>
        <w:softHyphen/>
        <w:t>купку технического оборудования. В 1916 г. Акционерное общество Лебедева распо</w:t>
      </w:r>
      <w:r w:rsidRPr="00DE096C">
        <w:rPr>
          <w:bCs/>
          <w:color w:val="002060"/>
          <w:sz w:val="16"/>
          <w:szCs w:val="16"/>
          <w:lang w:bidi="ru-RU"/>
        </w:rPr>
        <w:softHyphen/>
        <w:t>лагало всем необходимым для проведения опытных работ и серийного воспроизвод</w:t>
      </w:r>
      <w:r w:rsidRPr="00DE096C">
        <w:rPr>
          <w:bCs/>
          <w:color w:val="002060"/>
          <w:sz w:val="16"/>
          <w:szCs w:val="16"/>
          <w:lang w:bidi="ru-RU"/>
        </w:rPr>
        <w:softHyphen/>
        <w:t>ства аэропланов (23374).</w:t>
      </w:r>
    </w:p>
    <w:p w14:paraId="466BF5C8" w14:textId="77777777" w:rsidR="00440C55" w:rsidRPr="00DE096C" w:rsidRDefault="00440C55" w:rsidP="00D45A46">
      <w:pPr>
        <w:jc w:val="both"/>
        <w:rPr>
          <w:bCs/>
          <w:color w:val="002060"/>
          <w:sz w:val="16"/>
          <w:szCs w:val="16"/>
        </w:rPr>
      </w:pPr>
    </w:p>
    <w:p w14:paraId="36C0C4A9" w14:textId="77777777" w:rsidR="00440C55" w:rsidRPr="00DE096C" w:rsidRDefault="00440C55" w:rsidP="00D45A46">
      <w:pPr>
        <w:jc w:val="both"/>
        <w:rPr>
          <w:bCs/>
          <w:color w:val="002060"/>
          <w:sz w:val="16"/>
          <w:szCs w:val="16"/>
        </w:rPr>
      </w:pPr>
      <w:r w:rsidRPr="00DE096C">
        <w:rPr>
          <w:bCs/>
          <w:color w:val="002060"/>
          <w:sz w:val="16"/>
          <w:szCs w:val="16"/>
        </w:rPr>
        <w:t>В апреле 1914 года В.А. Лебедев построил несколько объектов для своего нового авиазавода в Санкт-Петербурге. С 1913 по 1915 год управляющим и техническим руководителем завода Лебедева был В.И. Ярковский. В инженерный состав входили С.Б. Гуревич, Л.Д. Колпаков-Мирошниченко и другие. С июля 1914 по 1918 год главным конструктором Лебедева был Леопольд Михайлович Шкульник (бывший в немецком АГО).</w:t>
      </w:r>
    </w:p>
    <w:p w14:paraId="1C455A6B" w14:textId="77777777" w:rsidR="00440C55" w:rsidRPr="00DE096C" w:rsidRDefault="00440C55" w:rsidP="00D45A46">
      <w:pPr>
        <w:jc w:val="both"/>
        <w:rPr>
          <w:bCs/>
          <w:color w:val="002060"/>
          <w:sz w:val="16"/>
          <w:szCs w:val="16"/>
        </w:rPr>
      </w:pPr>
      <w:r w:rsidRPr="00DE096C">
        <w:rPr>
          <w:bCs/>
          <w:color w:val="002060"/>
          <w:sz w:val="16"/>
          <w:szCs w:val="16"/>
        </w:rPr>
        <w:t>Старшим пилотом был француз по фамилии Женуар, которого позже сменил Мартин Феодорович Госповский. Серийное строительство всех иностранных самолетов возглавил Василий Иванович Ребиков. Алексей Петрович Гончаров и Василий Яковлевич Михайлов были известны как летчики-испытатели Лебедева.</w:t>
      </w:r>
    </w:p>
    <w:p w14:paraId="2BAA783D" w14:textId="77777777" w:rsidR="00440C55" w:rsidRPr="00DE096C" w:rsidRDefault="00440C55" w:rsidP="00D45A46">
      <w:pPr>
        <w:jc w:val="both"/>
        <w:rPr>
          <w:bCs/>
          <w:color w:val="002060"/>
          <w:sz w:val="16"/>
          <w:szCs w:val="16"/>
        </w:rPr>
      </w:pPr>
      <w:r w:rsidRPr="00DE096C">
        <w:rPr>
          <w:bCs/>
          <w:color w:val="002060"/>
          <w:sz w:val="16"/>
          <w:szCs w:val="16"/>
        </w:rPr>
        <w:t>В течение 1914 года завод выпустил шестьдесят три Deperdussin с двигателями Gnome мощностью 80 л.с. В июле началось производство Voisins с двигателями Salmson мощностью 130 л.с. К ноябрю 1914 года мастерские Лебедева построили для военных 73 самолета.</w:t>
      </w:r>
    </w:p>
    <w:p w14:paraId="45D38CEF" w14:textId="77777777" w:rsidR="00440C55" w:rsidRPr="00DE096C" w:rsidRDefault="00440C55" w:rsidP="00D45A46">
      <w:pPr>
        <w:jc w:val="both"/>
        <w:rPr>
          <w:bCs/>
          <w:color w:val="002060"/>
          <w:sz w:val="16"/>
          <w:szCs w:val="16"/>
        </w:rPr>
      </w:pPr>
      <w:r w:rsidRPr="00DE096C">
        <w:rPr>
          <w:bCs/>
          <w:color w:val="002060"/>
          <w:sz w:val="16"/>
          <w:szCs w:val="16"/>
        </w:rPr>
        <w:t>В 1915 году в Пензе был построен специальный гребной цех для их производства по французской лицензии. К концу 1916 года он производил 300 винтов в месяц. При Советах Пензенский завод стал ГАЗом. №7.</w:t>
      </w:r>
    </w:p>
    <w:p w14:paraId="5FD27F52" w14:textId="77777777" w:rsidR="00440C55" w:rsidRPr="00DE096C" w:rsidRDefault="00440C55" w:rsidP="00D45A46">
      <w:pPr>
        <w:jc w:val="both"/>
        <w:rPr>
          <w:bCs/>
          <w:color w:val="002060"/>
          <w:sz w:val="16"/>
          <w:szCs w:val="16"/>
        </w:rPr>
      </w:pPr>
      <w:r w:rsidRPr="00DE096C">
        <w:rPr>
          <w:bCs/>
          <w:color w:val="002060"/>
          <w:sz w:val="16"/>
          <w:szCs w:val="16"/>
        </w:rPr>
        <w:t>С конца 1914 по 1916 год завод Лебедева построил для флота 34 летающие лодки ФБА с моторами Гном-Моносупап 100 л.с. В течение 1915 года было построено около тридцати Morane Saulnier типа L. В 1915 году начались работы по проектированию «Лебедя-7», было построено несколько копий одноместного Sopwith Tabloid.</w:t>
      </w:r>
    </w:p>
    <w:p w14:paraId="296B461B" w14:textId="77777777" w:rsidR="00440C55" w:rsidRPr="00DE096C" w:rsidRDefault="00440C55" w:rsidP="00D45A46">
      <w:pPr>
        <w:jc w:val="both"/>
        <w:rPr>
          <w:bCs/>
          <w:color w:val="002060"/>
          <w:sz w:val="16"/>
          <w:szCs w:val="16"/>
        </w:rPr>
      </w:pPr>
      <w:r w:rsidRPr="00DE096C">
        <w:rPr>
          <w:bCs/>
          <w:color w:val="002060"/>
          <w:sz w:val="16"/>
          <w:szCs w:val="16"/>
        </w:rPr>
        <w:t>Вскоре за ним последовал Лебедь-8, копия двухместного немецкого LVG BI. В 1916 году были начаты работы над Лебедем-10 и</w:t>
      </w:r>
    </w:p>
    <w:p w14:paraId="136D4112" w14:textId="77777777" w:rsidR="00440C55" w:rsidRPr="00DE096C" w:rsidRDefault="00440C55" w:rsidP="00D45A46">
      <w:pPr>
        <w:jc w:val="both"/>
        <w:rPr>
          <w:bCs/>
          <w:color w:val="002060"/>
          <w:sz w:val="16"/>
          <w:szCs w:val="16"/>
        </w:rPr>
      </w:pPr>
      <w:r w:rsidRPr="00DE096C">
        <w:rPr>
          <w:bCs/>
          <w:color w:val="002060"/>
          <w:sz w:val="16"/>
          <w:szCs w:val="16"/>
        </w:rPr>
        <w:t>Лебедя 11 (оба оригинального дизайна). Всего было построено всего несколько экземпляров каждого типа. Это привело к Лебедю 12.</w:t>
      </w:r>
    </w:p>
    <w:p w14:paraId="6165F90C" w14:textId="77777777" w:rsidR="00440C55" w:rsidRPr="00DE096C" w:rsidRDefault="00440C55" w:rsidP="00D45A46">
      <w:pPr>
        <w:jc w:val="both"/>
        <w:rPr>
          <w:bCs/>
          <w:color w:val="002060"/>
          <w:sz w:val="16"/>
          <w:szCs w:val="16"/>
        </w:rPr>
      </w:pPr>
      <w:r w:rsidRPr="00DE096C">
        <w:rPr>
          <w:bCs/>
          <w:color w:val="002060"/>
          <w:sz w:val="16"/>
          <w:szCs w:val="16"/>
        </w:rPr>
        <w:t>Лебедь-12 был двухместным разведывательным самолетом с двигателем Salmson мощностью 150 л.с. Он был вооружен одним 7,62-мм пулеметом Colt с подвижной установкой, управляемой наблюдателем. Опытный образец был завершен и испытан Поручиком Слепцовым 10 января 1916 года. Заказ на 225 самолетов был получен от Военного министерства 19 апреля.</w:t>
      </w:r>
    </w:p>
    <w:p w14:paraId="20103354" w14:textId="77777777" w:rsidR="00440C55" w:rsidRPr="00DE096C" w:rsidRDefault="00440C55" w:rsidP="00D45A46">
      <w:pPr>
        <w:jc w:val="both"/>
        <w:rPr>
          <w:bCs/>
          <w:color w:val="002060"/>
          <w:sz w:val="16"/>
          <w:szCs w:val="16"/>
        </w:rPr>
      </w:pPr>
      <w:r w:rsidRPr="00DE096C">
        <w:rPr>
          <w:bCs/>
          <w:color w:val="002060"/>
          <w:sz w:val="16"/>
          <w:szCs w:val="16"/>
        </w:rPr>
        <w:t>Первый серийный самолет испытал военный летчик Михайлов 4 августа на Комендантском аэродроме под Петроградом. В течение октября около десяти «Лебедей-12» были переданы военным и действовали на фронте. Пилоты на фронте критиковали «Лебедь-12» за то, что его было трудно восстановить после пикирования, что привело к авариям со смертельным исходом. Экипажам не нравились пары и тепло от выхлопа двигателя, который располагался слишком близко к кабине. Орудийная установка наблюдателя также была плохо спроектирована и позже была заменена улучшенной конструкцией.</w:t>
      </w:r>
    </w:p>
    <w:p w14:paraId="288DDB8F" w14:textId="77777777" w:rsidR="00440C55" w:rsidRPr="00DE096C" w:rsidRDefault="00440C55" w:rsidP="00D45A46">
      <w:pPr>
        <w:jc w:val="both"/>
        <w:rPr>
          <w:bCs/>
          <w:color w:val="002060"/>
          <w:sz w:val="16"/>
          <w:szCs w:val="16"/>
        </w:rPr>
      </w:pPr>
      <w:r w:rsidRPr="00DE096C">
        <w:rPr>
          <w:bCs/>
          <w:color w:val="002060"/>
          <w:sz w:val="16"/>
          <w:szCs w:val="16"/>
        </w:rPr>
        <w:t>Летом 1917 года «Лебедь-12» подвергся дальнейшей модификации. По новому контракту было заказано 200 самолетов, некоторые из которых были оснащены поплавками или лыжами. К 1 января 1918 года заводы Лебедева построили 218 «Лебедей-12» и 171 комплект запасных частей.</w:t>
      </w:r>
    </w:p>
    <w:p w14:paraId="652CBFB5" w14:textId="77777777" w:rsidR="00440C55" w:rsidRPr="00DE096C" w:rsidRDefault="00440C55" w:rsidP="00D45A46">
      <w:pPr>
        <w:jc w:val="both"/>
        <w:rPr>
          <w:bCs/>
          <w:color w:val="002060"/>
          <w:sz w:val="16"/>
          <w:szCs w:val="16"/>
        </w:rPr>
      </w:pPr>
      <w:r w:rsidRPr="00DE096C">
        <w:rPr>
          <w:bCs/>
          <w:color w:val="002060"/>
          <w:sz w:val="16"/>
          <w:szCs w:val="16"/>
        </w:rPr>
        <w:t>Ранее, в декабре 1914 г., завод Лебедева заключил договор с авиаконструктором В.А. Слесарева на средства богатого помещика и члена ИВАК Е.М. Малынского на постройку слесаревского «Святогора» — большого трехопорного биплана. Два двигателя Renault мощностью 220 л.с. были установлены в январе 1916 года.</w:t>
      </w:r>
    </w:p>
    <w:p w14:paraId="00C37CE4" w14:textId="77777777" w:rsidR="00440C55" w:rsidRPr="00DE096C" w:rsidRDefault="00440C55" w:rsidP="00D45A46">
      <w:pPr>
        <w:jc w:val="both"/>
        <w:rPr>
          <w:bCs/>
          <w:color w:val="002060"/>
          <w:sz w:val="16"/>
          <w:szCs w:val="16"/>
        </w:rPr>
      </w:pPr>
      <w:r w:rsidRPr="00DE096C">
        <w:rPr>
          <w:bCs/>
          <w:color w:val="002060"/>
          <w:sz w:val="16"/>
          <w:szCs w:val="16"/>
        </w:rPr>
        <w:t>«Святогор» был поврежден в начале ноября 1916 года во время наземных испытаний на аэродроме Комендантский и больше не летал. Было обнаружено, что он превышает бюджет и вес, и финансирование прекратилось. Слесарев погиб в результате дорожно-транспортного происшествия в Петрограде в начале 1921 года.</w:t>
      </w:r>
    </w:p>
    <w:p w14:paraId="669AED26" w14:textId="77777777" w:rsidR="00440C55" w:rsidRPr="00DE096C" w:rsidRDefault="00440C55" w:rsidP="00D45A46">
      <w:pPr>
        <w:jc w:val="both"/>
        <w:rPr>
          <w:bCs/>
          <w:color w:val="002060"/>
          <w:sz w:val="16"/>
          <w:szCs w:val="16"/>
        </w:rPr>
      </w:pPr>
      <w:r w:rsidRPr="00DE096C">
        <w:rPr>
          <w:bCs/>
          <w:color w:val="002060"/>
          <w:sz w:val="16"/>
          <w:szCs w:val="16"/>
        </w:rPr>
        <w:t>В 1916 году Лебедев открыл в Таганроге большой авиационный магазин. В советское время он был известен как ГАЗ № 10. В 1917 г. Лебедев построил в г. Ярославле крупный металлургический завод по производству автомобильных и авиационных двигателей.</w:t>
      </w:r>
    </w:p>
    <w:p w14:paraId="6088BF18" w14:textId="77777777" w:rsidR="00440C55" w:rsidRPr="00DE096C" w:rsidRDefault="00440C55" w:rsidP="00D45A46">
      <w:pPr>
        <w:jc w:val="both"/>
        <w:rPr>
          <w:bCs/>
          <w:color w:val="002060"/>
          <w:sz w:val="16"/>
          <w:szCs w:val="16"/>
        </w:rPr>
      </w:pPr>
      <w:r w:rsidRPr="00DE096C">
        <w:rPr>
          <w:bCs/>
          <w:color w:val="002060"/>
          <w:sz w:val="16"/>
          <w:szCs w:val="16"/>
        </w:rPr>
        <w:t>В течение 1915 года завод Лебедева построил два гидросамолета «Депердюссен» и один гидросамолет «Морис Фарман-11». Они также построили несколько двухместных гидросамолетов Лебедев-Морской ЛМ (ВМФ Лебедева), один из которых был отправлен в Ревельскую крепость АО. Другие морские типы включали копии двухместной летающей лодки FBA с двигателем Gnome мощностью 100 л.с.; один тип «ГФ» Лебедева и конструктора Г.А. Фриде, модифицированный Morane Saulnier тип L, переделанный в летающую лодку; одна летающая лодка «Виллиш ВМ-2»; а в декабре 1916 года одна летающая лодка Villish VM-4 с двигателем Rhone HOhp, которую отправили в Бакинскую школу. В июле 1917 года были построены три сухопутных самолета Лебедева «Альбатрос А.8». Завод в Таганроге также производил небольшое количество самолетов.</w:t>
      </w:r>
    </w:p>
    <w:p w14:paraId="7917DD6C" w14:textId="77777777" w:rsidR="00440C55" w:rsidRPr="00DE096C" w:rsidRDefault="00440C55" w:rsidP="00D45A46">
      <w:pPr>
        <w:jc w:val="both"/>
        <w:rPr>
          <w:bCs/>
          <w:color w:val="002060"/>
          <w:sz w:val="16"/>
          <w:szCs w:val="16"/>
        </w:rPr>
      </w:pPr>
      <w:r w:rsidRPr="00DE096C">
        <w:rPr>
          <w:bCs/>
          <w:color w:val="002060"/>
          <w:sz w:val="16"/>
          <w:szCs w:val="16"/>
        </w:rPr>
        <w:t>Летом 1916 г. на заводе Лебедева был построен самолет конструкции Л. Д. Колпакова-Мирошниченко «Кл» — двухместная разведывательная машина с двигателем «Аустро-Даймлер» 100 л.с. Самолет отличался крылом изменяемого угла наклона. Он разбился во время своего первого полета и больше не восстанавливался.</w:t>
      </w:r>
    </w:p>
    <w:p w14:paraId="2396730B" w14:textId="77777777" w:rsidR="00440C55" w:rsidRPr="00DE096C" w:rsidRDefault="00440C55" w:rsidP="00D45A46">
      <w:pPr>
        <w:jc w:val="both"/>
        <w:rPr>
          <w:bCs/>
          <w:color w:val="002060"/>
          <w:sz w:val="16"/>
          <w:szCs w:val="16"/>
        </w:rPr>
      </w:pPr>
      <w:r w:rsidRPr="00DE096C">
        <w:rPr>
          <w:bCs/>
          <w:color w:val="002060"/>
          <w:sz w:val="16"/>
          <w:szCs w:val="16"/>
        </w:rPr>
        <w:t>В 1917 году Лебедев получил британскую лицензию на производство Sopwith Pup и Sopwith Camel, но производство так и не началось. Однако известно, что в 1917 году на заводе в Петрограде было построено пять самолетов Sopwith 1 1/2 Strutters.</w:t>
      </w:r>
    </w:p>
    <w:p w14:paraId="5DC83BBF" w14:textId="77777777" w:rsidR="00440C55" w:rsidRPr="00DE096C" w:rsidRDefault="00440C55" w:rsidP="00D45A46">
      <w:pPr>
        <w:jc w:val="both"/>
        <w:rPr>
          <w:bCs/>
          <w:color w:val="002060"/>
          <w:sz w:val="16"/>
          <w:szCs w:val="16"/>
        </w:rPr>
      </w:pPr>
      <w:r w:rsidRPr="00DE096C">
        <w:rPr>
          <w:bCs/>
          <w:color w:val="002060"/>
          <w:sz w:val="16"/>
          <w:szCs w:val="16"/>
        </w:rPr>
        <w:t>В течение 1916 г. был достигнут уровень производства 30 самолетов в месяц, а в 1917 г. он вырос примерно до 75 машин в месяц. Заводы Лебедева также ремонтировали трофейные типы «Альбатрос», «Авиатик» и «Румпир». В феврале 1916 г. отремонтированный Rumpier и LVG были отправлены в АО 8-й армии. В течение 1916 г. было отремонтировано около двадцати, в основном «Альбатросов», машин, поступивших в 18-ю КАО, 33-ю КАО, 34-ю КАО, Гренадерскую КАО и 12-ю армию АО.</w:t>
      </w:r>
    </w:p>
    <w:p w14:paraId="65A8E48D" w14:textId="77777777" w:rsidR="00440C55" w:rsidRPr="00DE096C" w:rsidRDefault="00440C55" w:rsidP="00D45A46">
      <w:pPr>
        <w:jc w:val="both"/>
        <w:rPr>
          <w:bCs/>
          <w:color w:val="002060"/>
          <w:sz w:val="16"/>
          <w:szCs w:val="16"/>
        </w:rPr>
      </w:pPr>
      <w:r w:rsidRPr="00DE096C">
        <w:rPr>
          <w:bCs/>
          <w:color w:val="002060"/>
          <w:sz w:val="16"/>
          <w:szCs w:val="16"/>
        </w:rPr>
        <w:t>Лебедь-17 с двигателем Salmson мощностью 150 л.с. был оригинальной конструкцией С. Б. Гуревича, который был испытан в августе 1917 года. Было построено несколько машин. Известно, что с сентября 1917 г. было поставлено семь «Лебедей-21». К концу войны в ноябре 1917 года было построено 700 самолетов, из них сдано и принято 674. Производство было 47 в 1914 году, 187 в 1915 году, 227 в 1916 году и 213 в 1917 году. В 1916 году было 867 рабочих, а в 1917 году их число увеличилось до 1156. Другие проекты Лебедева включали Лебедь 14 (Lebed Le Grand), со- Совместно с Колпаковым-Мирошниченко был разработан большой трехстоечный биплан с двумя двигателями Salmson мощностью 15 Ом.</w:t>
      </w:r>
    </w:p>
    <w:p w14:paraId="1B54F115" w14:textId="77777777" w:rsidR="00440C55" w:rsidRPr="00DE096C" w:rsidRDefault="00440C55" w:rsidP="00D45A46">
      <w:pPr>
        <w:jc w:val="both"/>
        <w:rPr>
          <w:bCs/>
          <w:color w:val="002060"/>
          <w:sz w:val="16"/>
          <w:szCs w:val="16"/>
        </w:rPr>
      </w:pPr>
      <w:r w:rsidRPr="00DE096C">
        <w:rPr>
          <w:bCs/>
          <w:color w:val="002060"/>
          <w:sz w:val="16"/>
          <w:szCs w:val="16"/>
        </w:rPr>
        <w:t>В январе 1916 г. Лебедев сообщил великому князю Александру Михайловичу, что скоро начнутся испытания, но самолет оставался недостроенным до второй половины 1917 г. Недостроенным остался и двухместный биплан «Лебедь-15» с двигателем «Рено» мощностью 225 л.с.</w:t>
      </w:r>
    </w:p>
    <w:p w14:paraId="24B16FC6" w14:textId="77777777" w:rsidR="00440C55" w:rsidRPr="00DE096C" w:rsidRDefault="00440C55" w:rsidP="00D45A46">
      <w:pPr>
        <w:jc w:val="both"/>
        <w:rPr>
          <w:bCs/>
          <w:color w:val="002060"/>
          <w:sz w:val="16"/>
          <w:szCs w:val="16"/>
        </w:rPr>
      </w:pPr>
      <w:r w:rsidRPr="00DE096C">
        <w:rPr>
          <w:bCs/>
          <w:color w:val="002060"/>
          <w:sz w:val="16"/>
          <w:szCs w:val="16"/>
        </w:rPr>
        <w:t>В начале 1917 г. был испытан трехместный биплан «Лебедь-16» с двумя двигателями «Рона» мощностью 80 л. Лебедь-17, разработанный совместно с Гуревичем, с одним двигателем Salmson мощностью 150 л.с. Летные испытания он прошел в августе 1917 года. Было построено несколько самолетов, но в серийное производство он так и не пошел.</w:t>
      </w:r>
    </w:p>
    <w:p w14:paraId="4619BACC" w14:textId="77777777" w:rsidR="00440C55" w:rsidRPr="00DE096C" w:rsidRDefault="00440C55" w:rsidP="00D45A46">
      <w:pPr>
        <w:jc w:val="both"/>
        <w:rPr>
          <w:bCs/>
          <w:color w:val="002060"/>
          <w:sz w:val="16"/>
          <w:szCs w:val="16"/>
        </w:rPr>
      </w:pPr>
      <w:r w:rsidRPr="00DE096C">
        <w:rPr>
          <w:bCs/>
          <w:color w:val="002060"/>
          <w:sz w:val="16"/>
          <w:szCs w:val="16"/>
        </w:rPr>
        <w:lastRenderedPageBreak/>
        <w:t>Двухместный «Лебедь-18» (типа «Альбатрос») с двигателем Fiat мощностью 230 л.с. так и не был построен, так как заказов не поступало. Из-за его плохих характеристик было построено всего семь экземпляров двухместного моноплана «Лебедь-21» с двигателем Salmson мощностью 150 л.с. Лебедь 24 остался проектом из-за непоставки ожидаемых двигателей Fiat и Hispano-Suiza.</w:t>
      </w:r>
    </w:p>
    <w:p w14:paraId="642002F7" w14:textId="77777777" w:rsidR="00440C55" w:rsidRPr="00DE096C" w:rsidRDefault="00440C55" w:rsidP="00D45A46">
      <w:pPr>
        <w:jc w:val="both"/>
        <w:rPr>
          <w:bCs/>
          <w:color w:val="002060"/>
          <w:sz w:val="16"/>
          <w:szCs w:val="16"/>
        </w:rPr>
      </w:pPr>
      <w:r w:rsidRPr="00DE096C">
        <w:rPr>
          <w:bCs/>
          <w:color w:val="002060"/>
          <w:sz w:val="16"/>
          <w:szCs w:val="16"/>
        </w:rPr>
        <w:t>Ниже приведены примеры заказов Лебедева и количество построенных самолетов: 5 июля 1915 г. - пять из пяти «Альбатросов»; 6 сентября 1915 г. - 138 из 150 Вуазен ЛАС; 2 мая 1916 г. - 133 из 225 Вуазен ЛАС, 10 из 10 Лебедей 12 учебных; 25 декабря 1916 г. - один из "Альбатросов" с двигателем "Майбах"; 26 декабря 1916 г. - 14 из 50 Nieuport X; 10 марта 1917 г. - 15 из 60 Nieuport X; 30 мая 1917 г. - ни одного из 200 Лебедей 24; 1917 г., 5 июля - заказ на 140 Sopwith 1/2 Страттерс и 60 Лебедей для школы, неизвестно, были ли они построены.</w:t>
      </w:r>
    </w:p>
    <w:p w14:paraId="3B1EBC49" w14:textId="77777777" w:rsidR="00440C55" w:rsidRPr="00DE096C" w:rsidRDefault="00440C55" w:rsidP="00D45A46">
      <w:pPr>
        <w:jc w:val="both"/>
        <w:rPr>
          <w:bCs/>
          <w:color w:val="002060"/>
          <w:sz w:val="16"/>
          <w:szCs w:val="16"/>
        </w:rPr>
      </w:pPr>
      <w:r w:rsidRPr="00DE096C">
        <w:rPr>
          <w:bCs/>
          <w:color w:val="002060"/>
          <w:sz w:val="16"/>
          <w:szCs w:val="16"/>
        </w:rPr>
        <w:t>В 1917 г., после отречения царя, В.А. Лебедев был избран президентом Всероссийского аэроклуба (ВАК) (бывший ИВАК) и назначен руководителем школы ВАК.</w:t>
      </w:r>
    </w:p>
    <w:p w14:paraId="252A0E58" w14:textId="77777777" w:rsidR="00440C55" w:rsidRPr="00DE096C" w:rsidRDefault="00440C55" w:rsidP="00D45A46">
      <w:pPr>
        <w:jc w:val="both"/>
        <w:rPr>
          <w:bCs/>
          <w:color w:val="002060"/>
          <w:sz w:val="16"/>
          <w:szCs w:val="16"/>
        </w:rPr>
      </w:pPr>
      <w:r w:rsidRPr="00DE096C">
        <w:rPr>
          <w:bCs/>
          <w:color w:val="002060"/>
          <w:sz w:val="16"/>
          <w:szCs w:val="16"/>
        </w:rPr>
        <w:t>После революции большевики объявили его «врагом народа» и национализировали его заводы. Завод в Петрограде был объединен с Р-БВЗ и переименован в ГАЗ №3. Лебедев отправился на юг России, где занимал пост министра торговли и промышленности в правительстве генерала Деникина. В годы Гражданской войны его завод в Таганроге, где фактически располагались мастерские Ф. Моски, строил и ремонтировал самолеты для Добровольческой армии. В ноябре 1920 г. он эмигрировал в Югославию, где росло число белых русских, уехав оттуда в 1926 г. в Париж, который он сделал своим домом. Его вклад во французскую авиационную промышленность был отмечен орденом Почетного легиона. Он умер в Париже 22 февраля 1947 года (23525).</w:t>
      </w:r>
    </w:p>
    <w:p w14:paraId="597506EE" w14:textId="77777777" w:rsidR="00440C55" w:rsidRPr="00DE096C" w:rsidRDefault="00440C55" w:rsidP="00D45A46">
      <w:pPr>
        <w:jc w:val="both"/>
        <w:rPr>
          <w:bCs/>
          <w:color w:val="002060"/>
          <w:sz w:val="16"/>
          <w:szCs w:val="16"/>
        </w:rPr>
      </w:pPr>
    </w:p>
    <w:p w14:paraId="5A6BA340"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Другие оборонные отрасли:</w:t>
      </w:r>
    </w:p>
    <w:p w14:paraId="6E62B37A" w14:textId="77777777" w:rsidR="00B67D7C" w:rsidRPr="00DE096C" w:rsidRDefault="00B67D7C" w:rsidP="00D45A46">
      <w:pPr>
        <w:shd w:val="clear" w:color="auto" w:fill="FFFFFF"/>
        <w:jc w:val="both"/>
        <w:rPr>
          <w:bCs/>
          <w:i/>
          <w:color w:val="002060"/>
          <w:sz w:val="16"/>
          <w:szCs w:val="16"/>
        </w:rPr>
      </w:pPr>
    </w:p>
    <w:p w14:paraId="2D5B6177" w14:textId="4F25182D" w:rsidR="00B67D7C" w:rsidRPr="00DE096C" w:rsidRDefault="00A214D0" w:rsidP="00D45A46">
      <w:pPr>
        <w:shd w:val="clear" w:color="auto" w:fill="FFFFFF"/>
        <w:jc w:val="both"/>
        <w:rPr>
          <w:bCs/>
          <w:color w:val="002060"/>
          <w:sz w:val="16"/>
          <w:szCs w:val="16"/>
        </w:rPr>
      </w:pPr>
      <w:r w:rsidRPr="00DE096C">
        <w:rPr>
          <w:bCs/>
          <w:color w:val="002060"/>
          <w:sz w:val="16"/>
          <w:szCs w:val="16"/>
        </w:rPr>
        <w:t>В</w:t>
      </w:r>
      <w:r w:rsidR="00B67D7C" w:rsidRPr="00DE096C">
        <w:rPr>
          <w:bCs/>
          <w:color w:val="002060"/>
          <w:sz w:val="16"/>
          <w:szCs w:val="16"/>
        </w:rPr>
        <w:t xml:space="preserve"> апреле 1914 г. </w:t>
      </w:r>
      <w:r w:rsidRPr="00DE096C">
        <w:rPr>
          <w:bCs/>
          <w:color w:val="002060"/>
          <w:sz w:val="16"/>
          <w:szCs w:val="16"/>
        </w:rPr>
        <w:t xml:space="preserve">было начато </w:t>
      </w:r>
      <w:r w:rsidR="00B67D7C" w:rsidRPr="00DE096C">
        <w:rPr>
          <w:bCs/>
          <w:color w:val="002060"/>
          <w:sz w:val="16"/>
          <w:szCs w:val="16"/>
        </w:rPr>
        <w:t>строительство</w:t>
      </w:r>
      <w:r w:rsidRPr="00DE096C">
        <w:rPr>
          <w:bCs/>
          <w:color w:val="002060"/>
          <w:sz w:val="16"/>
          <w:szCs w:val="16"/>
        </w:rPr>
        <w:t xml:space="preserve"> Самарского капсюльного завода, которым</w:t>
      </w:r>
      <w:r w:rsidR="00B67D7C" w:rsidRPr="00DE096C">
        <w:rPr>
          <w:bCs/>
          <w:color w:val="002060"/>
          <w:sz w:val="16"/>
          <w:szCs w:val="16"/>
        </w:rPr>
        <w:t xml:space="preserve"> руководил генерал-майор Иващенко, начальник Самарско-Сергиевского завода ВВ.</w:t>
      </w:r>
    </w:p>
    <w:p w14:paraId="25B6DA9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Проектное задание предусматривало выпуск за одну смену (9— 10 ч) 2 млн капсюлей-воспламенителей к 3-линейным винтовочным патронам и более 50 тыс. других капсюльных изделий: 10 тыс. тру</w:t>
      </w:r>
      <w:r w:rsidRPr="00DE096C">
        <w:rPr>
          <w:bCs/>
          <w:color w:val="002060"/>
          <w:sz w:val="16"/>
          <w:szCs w:val="16"/>
        </w:rPr>
        <w:softHyphen/>
        <w:t>бочных капсюлей-воспламенителей, 11 тыс. втулочных, 17 тыс. кап</w:t>
      </w:r>
      <w:r w:rsidRPr="00DE096C">
        <w:rPr>
          <w:bCs/>
          <w:color w:val="002060"/>
          <w:sz w:val="16"/>
          <w:szCs w:val="16"/>
        </w:rPr>
        <w:softHyphen/>
        <w:t>сюлей-детонаторов, снаряжение 10 тыс. капсюльных втулок и 5 тыс. запалов для ручных гранат.</w:t>
      </w:r>
    </w:p>
    <w:p w14:paraId="72ED7E5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К концу 1916 г. большинство заводских зданий и сооружений было построено. При оснащении завода было использовано оборудо</w:t>
      </w:r>
      <w:r w:rsidRPr="00DE096C">
        <w:rPr>
          <w:bCs/>
          <w:color w:val="002060"/>
          <w:sz w:val="16"/>
          <w:szCs w:val="16"/>
        </w:rPr>
        <w:softHyphen/>
        <w:t>вание капсюльного завода, эвакуированного из Риги. Выпуск про</w:t>
      </w:r>
      <w:r w:rsidRPr="00DE096C">
        <w:rPr>
          <w:bCs/>
          <w:color w:val="002060"/>
          <w:sz w:val="16"/>
          <w:szCs w:val="16"/>
        </w:rPr>
        <w:softHyphen/>
        <w:t>дукции начался в апреле 1916 г.</w:t>
      </w:r>
    </w:p>
    <w:p w14:paraId="1C14D07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Несмотря на трудности с поставками сырья и полуфабрикатов, а также на незавершенность строительства и оснащения оборудова</w:t>
      </w:r>
      <w:r w:rsidRPr="00DE096C">
        <w:rPr>
          <w:bCs/>
          <w:color w:val="002060"/>
          <w:sz w:val="16"/>
          <w:szCs w:val="16"/>
        </w:rPr>
        <w:softHyphen/>
        <w:t>нием, завод изготовил в 1917 г. (в млн шт.): капсюлей-воспламени</w:t>
      </w:r>
      <w:r w:rsidRPr="00DE096C">
        <w:rPr>
          <w:bCs/>
          <w:color w:val="002060"/>
          <w:sz w:val="16"/>
          <w:szCs w:val="16"/>
        </w:rPr>
        <w:softHyphen/>
        <w:t>телей к винтовочным патронам — 264, капсюлей-детонаторов — 1,127; капсюльных втулок— 1,819; различных гильз — около 2,3; запалов к ручным гранатам — около 0,9; снаряжено ручных гра</w:t>
      </w:r>
      <w:r w:rsidRPr="00DE096C">
        <w:rPr>
          <w:bCs/>
          <w:color w:val="002060"/>
          <w:sz w:val="16"/>
          <w:szCs w:val="16"/>
        </w:rPr>
        <w:softHyphen/>
        <w:t>нат — 0,86.</w:t>
      </w:r>
    </w:p>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92"/>
        <w:gridCol w:w="702"/>
        <w:gridCol w:w="760"/>
        <w:gridCol w:w="760"/>
        <w:gridCol w:w="760"/>
        <w:gridCol w:w="760"/>
        <w:gridCol w:w="760"/>
        <w:gridCol w:w="829"/>
        <w:gridCol w:w="737"/>
        <w:gridCol w:w="737"/>
        <w:gridCol w:w="909"/>
      </w:tblGrid>
      <w:tr w:rsidR="00B67D7C" w:rsidRPr="00DE096C" w14:paraId="6943504E" w14:textId="77777777" w:rsidTr="00C2024A">
        <w:tc>
          <w:tcPr>
            <w:tcW w:w="2492" w:type="dxa"/>
            <w:shd w:val="clear" w:color="auto" w:fill="FFFFFF"/>
          </w:tcPr>
          <w:p w14:paraId="658EE8B5" w14:textId="77777777" w:rsidR="00B67D7C" w:rsidRPr="00DE096C" w:rsidRDefault="00B67D7C" w:rsidP="00D45A46">
            <w:pPr>
              <w:jc w:val="both"/>
              <w:rPr>
                <w:bCs/>
                <w:color w:val="002060"/>
                <w:sz w:val="16"/>
                <w:szCs w:val="16"/>
                <w:lang w:val="en-US"/>
              </w:rPr>
            </w:pPr>
            <w:r w:rsidRPr="00DE096C">
              <w:rPr>
                <w:bCs/>
                <w:color w:val="002060"/>
                <w:sz w:val="16"/>
                <w:szCs w:val="16"/>
              </w:rPr>
              <w:t>Наименование изделия</w:t>
            </w:r>
          </w:p>
        </w:tc>
        <w:tc>
          <w:tcPr>
            <w:tcW w:w="702" w:type="dxa"/>
            <w:shd w:val="clear" w:color="auto" w:fill="FFFFFF"/>
          </w:tcPr>
          <w:p w14:paraId="3682426B" w14:textId="77777777" w:rsidR="00B67D7C" w:rsidRPr="00DE096C" w:rsidRDefault="00B67D7C" w:rsidP="00D45A46">
            <w:pPr>
              <w:jc w:val="both"/>
              <w:rPr>
                <w:bCs/>
                <w:color w:val="002060"/>
                <w:sz w:val="16"/>
                <w:szCs w:val="16"/>
                <w:lang w:val="en-US"/>
              </w:rPr>
            </w:pPr>
            <w:r w:rsidRPr="00DE096C">
              <w:rPr>
                <w:bCs/>
                <w:color w:val="002060"/>
                <w:sz w:val="16"/>
                <w:szCs w:val="16"/>
              </w:rPr>
              <w:t xml:space="preserve">1905 </w:t>
            </w:r>
          </w:p>
        </w:tc>
        <w:tc>
          <w:tcPr>
            <w:tcW w:w="760" w:type="dxa"/>
            <w:shd w:val="clear" w:color="auto" w:fill="FFFFFF"/>
          </w:tcPr>
          <w:p w14:paraId="3E3AD478" w14:textId="77777777" w:rsidR="00B67D7C" w:rsidRPr="00DE096C" w:rsidRDefault="00B67D7C" w:rsidP="00D45A46">
            <w:pPr>
              <w:jc w:val="both"/>
              <w:rPr>
                <w:bCs/>
                <w:color w:val="002060"/>
                <w:sz w:val="16"/>
                <w:szCs w:val="16"/>
                <w:lang w:val="en-US"/>
              </w:rPr>
            </w:pPr>
            <w:r w:rsidRPr="00DE096C">
              <w:rPr>
                <w:bCs/>
                <w:color w:val="002060"/>
                <w:sz w:val="16"/>
                <w:szCs w:val="16"/>
              </w:rPr>
              <w:t xml:space="preserve">1906 </w:t>
            </w:r>
          </w:p>
        </w:tc>
        <w:tc>
          <w:tcPr>
            <w:tcW w:w="760" w:type="dxa"/>
            <w:shd w:val="clear" w:color="auto" w:fill="FFFFFF"/>
          </w:tcPr>
          <w:p w14:paraId="71F5D203" w14:textId="77777777" w:rsidR="00B67D7C" w:rsidRPr="00DE096C" w:rsidRDefault="00B67D7C" w:rsidP="00D45A46">
            <w:pPr>
              <w:jc w:val="both"/>
              <w:rPr>
                <w:bCs/>
                <w:color w:val="002060"/>
                <w:sz w:val="16"/>
                <w:szCs w:val="16"/>
                <w:lang w:val="en-US"/>
              </w:rPr>
            </w:pPr>
            <w:r w:rsidRPr="00DE096C">
              <w:rPr>
                <w:bCs/>
                <w:color w:val="002060"/>
                <w:sz w:val="16"/>
                <w:szCs w:val="16"/>
              </w:rPr>
              <w:t xml:space="preserve">1907 </w:t>
            </w:r>
          </w:p>
        </w:tc>
        <w:tc>
          <w:tcPr>
            <w:tcW w:w="760" w:type="dxa"/>
            <w:shd w:val="clear" w:color="auto" w:fill="FFFFFF"/>
          </w:tcPr>
          <w:p w14:paraId="7E86B5CC" w14:textId="77777777" w:rsidR="00B67D7C" w:rsidRPr="00DE096C" w:rsidRDefault="00B67D7C" w:rsidP="00D45A46">
            <w:pPr>
              <w:jc w:val="both"/>
              <w:rPr>
                <w:bCs/>
                <w:color w:val="002060"/>
                <w:sz w:val="16"/>
                <w:szCs w:val="16"/>
                <w:lang w:val="en-US"/>
              </w:rPr>
            </w:pPr>
            <w:r w:rsidRPr="00DE096C">
              <w:rPr>
                <w:bCs/>
                <w:color w:val="002060"/>
                <w:sz w:val="16"/>
                <w:szCs w:val="16"/>
              </w:rPr>
              <w:t xml:space="preserve">1908 </w:t>
            </w:r>
          </w:p>
        </w:tc>
        <w:tc>
          <w:tcPr>
            <w:tcW w:w="760" w:type="dxa"/>
            <w:shd w:val="clear" w:color="auto" w:fill="FFFFFF"/>
          </w:tcPr>
          <w:p w14:paraId="10F944EE" w14:textId="77777777" w:rsidR="00B67D7C" w:rsidRPr="00DE096C" w:rsidRDefault="00B67D7C" w:rsidP="00D45A46">
            <w:pPr>
              <w:jc w:val="both"/>
              <w:rPr>
                <w:bCs/>
                <w:color w:val="002060"/>
                <w:sz w:val="16"/>
                <w:szCs w:val="16"/>
                <w:lang w:val="en-US"/>
              </w:rPr>
            </w:pPr>
            <w:r w:rsidRPr="00DE096C">
              <w:rPr>
                <w:bCs/>
                <w:color w:val="002060"/>
                <w:sz w:val="16"/>
                <w:szCs w:val="16"/>
              </w:rPr>
              <w:t xml:space="preserve">1909 </w:t>
            </w:r>
          </w:p>
        </w:tc>
        <w:tc>
          <w:tcPr>
            <w:tcW w:w="760" w:type="dxa"/>
            <w:shd w:val="clear" w:color="auto" w:fill="FFFFFF"/>
          </w:tcPr>
          <w:p w14:paraId="45D60EA4" w14:textId="77777777" w:rsidR="00B67D7C" w:rsidRPr="00DE096C" w:rsidRDefault="00B67D7C" w:rsidP="00D45A46">
            <w:pPr>
              <w:jc w:val="both"/>
              <w:rPr>
                <w:bCs/>
                <w:color w:val="002060"/>
                <w:sz w:val="16"/>
                <w:szCs w:val="16"/>
                <w:lang w:val="en-US"/>
              </w:rPr>
            </w:pPr>
            <w:r w:rsidRPr="00DE096C">
              <w:rPr>
                <w:bCs/>
                <w:color w:val="002060"/>
                <w:sz w:val="16"/>
                <w:szCs w:val="16"/>
              </w:rPr>
              <w:t xml:space="preserve">1910 </w:t>
            </w:r>
          </w:p>
        </w:tc>
        <w:tc>
          <w:tcPr>
            <w:tcW w:w="829" w:type="dxa"/>
            <w:shd w:val="clear" w:color="auto" w:fill="FFFFFF"/>
          </w:tcPr>
          <w:p w14:paraId="3FFC7B8D" w14:textId="77777777" w:rsidR="00B67D7C" w:rsidRPr="00DE096C" w:rsidRDefault="00B67D7C" w:rsidP="00D45A46">
            <w:pPr>
              <w:jc w:val="both"/>
              <w:rPr>
                <w:bCs/>
                <w:color w:val="002060"/>
                <w:sz w:val="16"/>
                <w:szCs w:val="16"/>
                <w:lang w:val="en-US"/>
              </w:rPr>
            </w:pPr>
            <w:r w:rsidRPr="00DE096C">
              <w:rPr>
                <w:bCs/>
                <w:color w:val="002060"/>
                <w:sz w:val="16"/>
                <w:szCs w:val="16"/>
              </w:rPr>
              <w:t xml:space="preserve">1911 </w:t>
            </w:r>
          </w:p>
        </w:tc>
        <w:tc>
          <w:tcPr>
            <w:tcW w:w="737" w:type="dxa"/>
            <w:shd w:val="clear" w:color="auto" w:fill="FFFFFF"/>
          </w:tcPr>
          <w:p w14:paraId="541C9F1F" w14:textId="77777777" w:rsidR="00B67D7C" w:rsidRPr="00DE096C" w:rsidRDefault="00B67D7C" w:rsidP="00D45A46">
            <w:pPr>
              <w:jc w:val="both"/>
              <w:rPr>
                <w:bCs/>
                <w:color w:val="002060"/>
                <w:sz w:val="16"/>
                <w:szCs w:val="16"/>
                <w:lang w:val="en-US"/>
              </w:rPr>
            </w:pPr>
            <w:r w:rsidRPr="00DE096C">
              <w:rPr>
                <w:bCs/>
                <w:color w:val="002060"/>
                <w:sz w:val="16"/>
                <w:szCs w:val="16"/>
              </w:rPr>
              <w:t xml:space="preserve">1914 </w:t>
            </w:r>
          </w:p>
        </w:tc>
        <w:tc>
          <w:tcPr>
            <w:tcW w:w="737" w:type="dxa"/>
            <w:shd w:val="clear" w:color="auto" w:fill="FFFFFF"/>
          </w:tcPr>
          <w:p w14:paraId="69114C5D" w14:textId="77777777" w:rsidR="00B67D7C" w:rsidRPr="00DE096C" w:rsidRDefault="00B67D7C" w:rsidP="00D45A46">
            <w:pPr>
              <w:jc w:val="both"/>
              <w:rPr>
                <w:bCs/>
                <w:color w:val="002060"/>
                <w:sz w:val="16"/>
                <w:szCs w:val="16"/>
              </w:rPr>
            </w:pPr>
            <w:r w:rsidRPr="00DE096C">
              <w:rPr>
                <w:bCs/>
                <w:color w:val="002060"/>
                <w:sz w:val="16"/>
                <w:szCs w:val="16"/>
              </w:rPr>
              <w:t>1915</w:t>
            </w:r>
          </w:p>
        </w:tc>
        <w:tc>
          <w:tcPr>
            <w:tcW w:w="909" w:type="dxa"/>
            <w:shd w:val="clear" w:color="auto" w:fill="FFFFFF"/>
          </w:tcPr>
          <w:p w14:paraId="57AB7F66" w14:textId="77777777" w:rsidR="00B67D7C" w:rsidRPr="00DE096C" w:rsidRDefault="00B67D7C" w:rsidP="00D45A46">
            <w:pPr>
              <w:jc w:val="both"/>
              <w:rPr>
                <w:bCs/>
                <w:color w:val="002060"/>
                <w:sz w:val="16"/>
                <w:szCs w:val="16"/>
              </w:rPr>
            </w:pPr>
          </w:p>
        </w:tc>
      </w:tr>
      <w:tr w:rsidR="00B67D7C" w:rsidRPr="00DE096C" w14:paraId="26FC7D02" w14:textId="77777777" w:rsidTr="00C2024A">
        <w:tc>
          <w:tcPr>
            <w:tcW w:w="2492" w:type="dxa"/>
            <w:shd w:val="clear" w:color="auto" w:fill="FFFFFF"/>
          </w:tcPr>
          <w:p w14:paraId="566CC1E3" w14:textId="77777777" w:rsidR="00B67D7C" w:rsidRPr="00DE096C" w:rsidRDefault="00B67D7C" w:rsidP="00D45A46">
            <w:pPr>
              <w:jc w:val="both"/>
              <w:rPr>
                <w:bCs/>
                <w:color w:val="002060"/>
                <w:sz w:val="16"/>
                <w:szCs w:val="16"/>
              </w:rPr>
            </w:pPr>
            <w:r w:rsidRPr="00DE096C">
              <w:rPr>
                <w:bCs/>
                <w:color w:val="002060"/>
                <w:sz w:val="16"/>
                <w:szCs w:val="16"/>
              </w:rPr>
              <w:t>Капсюли-воспламенители винтовочные и револьверные</w:t>
            </w:r>
          </w:p>
        </w:tc>
        <w:tc>
          <w:tcPr>
            <w:tcW w:w="702" w:type="dxa"/>
            <w:shd w:val="clear" w:color="auto" w:fill="FFFFFF"/>
          </w:tcPr>
          <w:p w14:paraId="2556FD7B" w14:textId="77777777" w:rsidR="00B67D7C" w:rsidRPr="00DE096C" w:rsidRDefault="00B67D7C" w:rsidP="00D45A46">
            <w:pPr>
              <w:jc w:val="both"/>
              <w:rPr>
                <w:bCs/>
                <w:color w:val="002060"/>
                <w:sz w:val="16"/>
                <w:szCs w:val="16"/>
                <w:lang w:val="en-US"/>
              </w:rPr>
            </w:pPr>
            <w:r w:rsidRPr="00DE096C">
              <w:rPr>
                <w:bCs/>
                <w:color w:val="002060"/>
                <w:sz w:val="16"/>
                <w:szCs w:val="16"/>
              </w:rPr>
              <w:t xml:space="preserve">- </w:t>
            </w:r>
          </w:p>
        </w:tc>
        <w:tc>
          <w:tcPr>
            <w:tcW w:w="760" w:type="dxa"/>
            <w:shd w:val="clear" w:color="auto" w:fill="FFFFFF"/>
          </w:tcPr>
          <w:p w14:paraId="15470D43" w14:textId="77777777" w:rsidR="00B67D7C" w:rsidRPr="00DE096C" w:rsidRDefault="00B67D7C" w:rsidP="00D45A46">
            <w:pPr>
              <w:jc w:val="both"/>
              <w:rPr>
                <w:bCs/>
                <w:color w:val="002060"/>
                <w:sz w:val="16"/>
                <w:szCs w:val="16"/>
                <w:lang w:val="en-US"/>
              </w:rPr>
            </w:pPr>
            <w:r w:rsidRPr="00DE096C">
              <w:rPr>
                <w:bCs/>
                <w:color w:val="002060"/>
                <w:sz w:val="16"/>
                <w:szCs w:val="16"/>
              </w:rPr>
              <w:t xml:space="preserve">254 </w:t>
            </w:r>
          </w:p>
        </w:tc>
        <w:tc>
          <w:tcPr>
            <w:tcW w:w="760" w:type="dxa"/>
            <w:shd w:val="clear" w:color="auto" w:fill="FFFFFF"/>
          </w:tcPr>
          <w:p w14:paraId="61D471F2" w14:textId="77777777" w:rsidR="00B67D7C" w:rsidRPr="00DE096C" w:rsidRDefault="00B67D7C" w:rsidP="00D45A46">
            <w:pPr>
              <w:jc w:val="both"/>
              <w:rPr>
                <w:bCs/>
                <w:color w:val="002060"/>
                <w:sz w:val="16"/>
                <w:szCs w:val="16"/>
                <w:lang w:val="en-US"/>
              </w:rPr>
            </w:pPr>
            <w:r w:rsidRPr="00DE096C">
              <w:rPr>
                <w:bCs/>
                <w:color w:val="002060"/>
                <w:sz w:val="16"/>
                <w:szCs w:val="16"/>
              </w:rPr>
              <w:t xml:space="preserve">172 </w:t>
            </w:r>
          </w:p>
        </w:tc>
        <w:tc>
          <w:tcPr>
            <w:tcW w:w="760" w:type="dxa"/>
            <w:shd w:val="clear" w:color="auto" w:fill="FFFFFF"/>
          </w:tcPr>
          <w:p w14:paraId="2E242A01" w14:textId="77777777" w:rsidR="00B67D7C" w:rsidRPr="00DE096C" w:rsidRDefault="00B67D7C" w:rsidP="00D45A46">
            <w:pPr>
              <w:jc w:val="both"/>
              <w:rPr>
                <w:bCs/>
                <w:color w:val="002060"/>
                <w:sz w:val="16"/>
                <w:szCs w:val="16"/>
                <w:lang w:val="en-US"/>
              </w:rPr>
            </w:pPr>
            <w:r w:rsidRPr="00DE096C">
              <w:rPr>
                <w:bCs/>
                <w:color w:val="002060"/>
                <w:sz w:val="16"/>
                <w:szCs w:val="16"/>
              </w:rPr>
              <w:t xml:space="preserve">73 </w:t>
            </w:r>
          </w:p>
        </w:tc>
        <w:tc>
          <w:tcPr>
            <w:tcW w:w="760" w:type="dxa"/>
            <w:shd w:val="clear" w:color="auto" w:fill="FFFFFF"/>
          </w:tcPr>
          <w:p w14:paraId="3C6C4114" w14:textId="77777777" w:rsidR="00B67D7C" w:rsidRPr="00DE096C" w:rsidRDefault="00B67D7C" w:rsidP="00D45A46">
            <w:pPr>
              <w:jc w:val="both"/>
              <w:rPr>
                <w:bCs/>
                <w:color w:val="002060"/>
                <w:sz w:val="16"/>
                <w:szCs w:val="16"/>
                <w:lang w:val="en-US"/>
              </w:rPr>
            </w:pPr>
            <w:r w:rsidRPr="00DE096C">
              <w:rPr>
                <w:bCs/>
                <w:color w:val="002060"/>
                <w:sz w:val="16"/>
                <w:szCs w:val="16"/>
              </w:rPr>
              <w:t xml:space="preserve">69 </w:t>
            </w:r>
          </w:p>
        </w:tc>
        <w:tc>
          <w:tcPr>
            <w:tcW w:w="760" w:type="dxa"/>
            <w:shd w:val="clear" w:color="auto" w:fill="FFFFFF"/>
          </w:tcPr>
          <w:p w14:paraId="20097881" w14:textId="77777777" w:rsidR="00B67D7C" w:rsidRPr="00DE096C" w:rsidRDefault="00B67D7C" w:rsidP="00D45A46">
            <w:pPr>
              <w:jc w:val="both"/>
              <w:rPr>
                <w:bCs/>
                <w:color w:val="002060"/>
                <w:sz w:val="16"/>
                <w:szCs w:val="16"/>
                <w:lang w:val="en-US"/>
              </w:rPr>
            </w:pPr>
            <w:r w:rsidRPr="00DE096C">
              <w:rPr>
                <w:bCs/>
                <w:color w:val="002060"/>
                <w:sz w:val="16"/>
                <w:szCs w:val="16"/>
              </w:rPr>
              <w:t xml:space="preserve">149 </w:t>
            </w:r>
          </w:p>
        </w:tc>
        <w:tc>
          <w:tcPr>
            <w:tcW w:w="829" w:type="dxa"/>
            <w:shd w:val="clear" w:color="auto" w:fill="FFFFFF"/>
          </w:tcPr>
          <w:p w14:paraId="2660B758" w14:textId="77777777" w:rsidR="00B67D7C" w:rsidRPr="00DE096C" w:rsidRDefault="00B67D7C" w:rsidP="00D45A46">
            <w:pPr>
              <w:jc w:val="both"/>
              <w:rPr>
                <w:bCs/>
                <w:color w:val="002060"/>
                <w:sz w:val="16"/>
                <w:szCs w:val="16"/>
                <w:lang w:val="en-US"/>
              </w:rPr>
            </w:pPr>
            <w:r w:rsidRPr="00DE096C">
              <w:rPr>
                <w:bCs/>
                <w:color w:val="002060"/>
                <w:sz w:val="16"/>
                <w:szCs w:val="16"/>
              </w:rPr>
              <w:t>282</w:t>
            </w:r>
          </w:p>
        </w:tc>
        <w:tc>
          <w:tcPr>
            <w:tcW w:w="737" w:type="dxa"/>
            <w:shd w:val="clear" w:color="auto" w:fill="FFFFFF"/>
          </w:tcPr>
          <w:p w14:paraId="67667392" w14:textId="77777777" w:rsidR="00B67D7C" w:rsidRPr="00DE096C" w:rsidRDefault="00B67D7C" w:rsidP="00D45A46">
            <w:pPr>
              <w:jc w:val="both"/>
              <w:rPr>
                <w:bCs/>
                <w:color w:val="002060"/>
                <w:sz w:val="16"/>
                <w:szCs w:val="16"/>
                <w:lang w:val="en-US"/>
              </w:rPr>
            </w:pPr>
            <w:r w:rsidRPr="00DE096C">
              <w:rPr>
                <w:bCs/>
                <w:color w:val="002060"/>
                <w:sz w:val="16"/>
                <w:szCs w:val="16"/>
              </w:rPr>
              <w:t xml:space="preserve">270 </w:t>
            </w:r>
          </w:p>
        </w:tc>
        <w:tc>
          <w:tcPr>
            <w:tcW w:w="737" w:type="dxa"/>
            <w:shd w:val="clear" w:color="auto" w:fill="FFFFFF"/>
          </w:tcPr>
          <w:p w14:paraId="606CA89D" w14:textId="77777777" w:rsidR="00B67D7C" w:rsidRPr="00DE096C" w:rsidRDefault="00B67D7C" w:rsidP="00D45A46">
            <w:pPr>
              <w:jc w:val="both"/>
              <w:rPr>
                <w:bCs/>
                <w:color w:val="002060"/>
                <w:sz w:val="16"/>
                <w:szCs w:val="16"/>
                <w:lang w:val="en-US"/>
              </w:rPr>
            </w:pPr>
            <w:r w:rsidRPr="00DE096C">
              <w:rPr>
                <w:bCs/>
                <w:color w:val="002060"/>
                <w:sz w:val="16"/>
                <w:szCs w:val="16"/>
              </w:rPr>
              <w:t xml:space="preserve">322 </w:t>
            </w:r>
          </w:p>
        </w:tc>
        <w:tc>
          <w:tcPr>
            <w:tcW w:w="909" w:type="dxa"/>
            <w:shd w:val="clear" w:color="auto" w:fill="FFFFFF"/>
          </w:tcPr>
          <w:p w14:paraId="438D838C" w14:textId="77777777" w:rsidR="00B67D7C" w:rsidRPr="00DE096C" w:rsidRDefault="00B67D7C" w:rsidP="00D45A46">
            <w:pPr>
              <w:jc w:val="both"/>
              <w:rPr>
                <w:bCs/>
                <w:color w:val="002060"/>
                <w:sz w:val="16"/>
                <w:szCs w:val="16"/>
              </w:rPr>
            </w:pPr>
            <w:r w:rsidRPr="00DE096C">
              <w:rPr>
                <w:bCs/>
                <w:color w:val="002060"/>
                <w:sz w:val="16"/>
                <w:szCs w:val="16"/>
              </w:rPr>
              <w:t>586</w:t>
            </w:r>
          </w:p>
        </w:tc>
      </w:tr>
      <w:tr w:rsidR="00B67D7C" w:rsidRPr="00DE096C" w14:paraId="2ACFD4E9" w14:textId="77777777" w:rsidTr="00C2024A">
        <w:tc>
          <w:tcPr>
            <w:tcW w:w="2492" w:type="dxa"/>
            <w:shd w:val="clear" w:color="auto" w:fill="FFFFFF"/>
          </w:tcPr>
          <w:p w14:paraId="3F5485D3" w14:textId="77777777" w:rsidR="00B67D7C" w:rsidRPr="00DE096C" w:rsidRDefault="00B67D7C" w:rsidP="00D45A46">
            <w:pPr>
              <w:jc w:val="both"/>
              <w:rPr>
                <w:bCs/>
                <w:color w:val="002060"/>
                <w:sz w:val="16"/>
                <w:szCs w:val="16"/>
              </w:rPr>
            </w:pPr>
            <w:r w:rsidRPr="00DE096C">
              <w:rPr>
                <w:bCs/>
                <w:color w:val="002060"/>
                <w:sz w:val="16"/>
                <w:szCs w:val="16"/>
              </w:rPr>
              <w:t>Капсюли-воспламенители трубочные и др.</w:t>
            </w:r>
          </w:p>
        </w:tc>
        <w:tc>
          <w:tcPr>
            <w:tcW w:w="702" w:type="dxa"/>
            <w:shd w:val="clear" w:color="auto" w:fill="FFFFFF"/>
          </w:tcPr>
          <w:p w14:paraId="289ED029" w14:textId="77777777" w:rsidR="00B67D7C" w:rsidRPr="00DE096C" w:rsidRDefault="00B67D7C" w:rsidP="00D45A46">
            <w:pPr>
              <w:jc w:val="both"/>
              <w:rPr>
                <w:bCs/>
                <w:color w:val="002060"/>
                <w:sz w:val="16"/>
                <w:szCs w:val="16"/>
                <w:lang w:val="en-US"/>
              </w:rPr>
            </w:pPr>
            <w:r w:rsidRPr="00DE096C">
              <w:rPr>
                <w:bCs/>
                <w:color w:val="002060"/>
                <w:sz w:val="16"/>
                <w:szCs w:val="16"/>
              </w:rPr>
              <w:t xml:space="preserve"> 13,9 </w:t>
            </w:r>
          </w:p>
        </w:tc>
        <w:tc>
          <w:tcPr>
            <w:tcW w:w="760" w:type="dxa"/>
            <w:shd w:val="clear" w:color="auto" w:fill="FFFFFF"/>
          </w:tcPr>
          <w:p w14:paraId="6FA48CEF" w14:textId="77777777" w:rsidR="00B67D7C" w:rsidRPr="00DE096C" w:rsidRDefault="00B67D7C" w:rsidP="00D45A46">
            <w:pPr>
              <w:jc w:val="both"/>
              <w:rPr>
                <w:bCs/>
                <w:color w:val="002060"/>
                <w:sz w:val="16"/>
                <w:szCs w:val="16"/>
                <w:lang w:val="en-US"/>
              </w:rPr>
            </w:pPr>
            <w:r w:rsidRPr="00DE096C">
              <w:rPr>
                <w:bCs/>
                <w:color w:val="002060"/>
                <w:sz w:val="16"/>
                <w:szCs w:val="16"/>
              </w:rPr>
              <w:t xml:space="preserve">6,0 </w:t>
            </w:r>
          </w:p>
        </w:tc>
        <w:tc>
          <w:tcPr>
            <w:tcW w:w="760" w:type="dxa"/>
            <w:shd w:val="clear" w:color="auto" w:fill="FFFFFF"/>
          </w:tcPr>
          <w:p w14:paraId="16BF9713" w14:textId="77777777" w:rsidR="00B67D7C" w:rsidRPr="00DE096C" w:rsidRDefault="00B67D7C" w:rsidP="00D45A46">
            <w:pPr>
              <w:jc w:val="both"/>
              <w:rPr>
                <w:bCs/>
                <w:color w:val="002060"/>
                <w:sz w:val="16"/>
                <w:szCs w:val="16"/>
                <w:lang w:val="en-US"/>
              </w:rPr>
            </w:pPr>
            <w:r w:rsidRPr="00DE096C">
              <w:rPr>
                <w:bCs/>
                <w:color w:val="002060"/>
                <w:sz w:val="16"/>
                <w:szCs w:val="16"/>
              </w:rPr>
              <w:t xml:space="preserve">2,0 </w:t>
            </w:r>
          </w:p>
        </w:tc>
        <w:tc>
          <w:tcPr>
            <w:tcW w:w="760" w:type="dxa"/>
            <w:shd w:val="clear" w:color="auto" w:fill="FFFFFF"/>
          </w:tcPr>
          <w:p w14:paraId="4F137D42" w14:textId="77777777" w:rsidR="00B67D7C" w:rsidRPr="00DE096C" w:rsidRDefault="00B67D7C" w:rsidP="00D45A46">
            <w:pPr>
              <w:jc w:val="both"/>
              <w:rPr>
                <w:bCs/>
                <w:color w:val="002060"/>
                <w:sz w:val="16"/>
                <w:szCs w:val="16"/>
                <w:lang w:val="en-US"/>
              </w:rPr>
            </w:pPr>
            <w:r w:rsidRPr="00DE096C">
              <w:rPr>
                <w:bCs/>
                <w:color w:val="002060"/>
                <w:sz w:val="16"/>
                <w:szCs w:val="16"/>
              </w:rPr>
              <w:t xml:space="preserve">1,7 </w:t>
            </w:r>
          </w:p>
        </w:tc>
        <w:tc>
          <w:tcPr>
            <w:tcW w:w="760" w:type="dxa"/>
            <w:shd w:val="clear" w:color="auto" w:fill="FFFFFF"/>
          </w:tcPr>
          <w:p w14:paraId="39B92026" w14:textId="77777777" w:rsidR="00B67D7C" w:rsidRPr="00DE096C" w:rsidRDefault="00B67D7C" w:rsidP="00D45A46">
            <w:pPr>
              <w:jc w:val="both"/>
              <w:rPr>
                <w:bCs/>
                <w:color w:val="002060"/>
                <w:sz w:val="16"/>
                <w:szCs w:val="16"/>
                <w:lang w:val="en-US"/>
              </w:rPr>
            </w:pPr>
            <w:r w:rsidRPr="00DE096C">
              <w:rPr>
                <w:bCs/>
                <w:color w:val="002060"/>
                <w:sz w:val="16"/>
                <w:szCs w:val="16"/>
              </w:rPr>
              <w:t xml:space="preserve">1,3 </w:t>
            </w:r>
          </w:p>
        </w:tc>
        <w:tc>
          <w:tcPr>
            <w:tcW w:w="760" w:type="dxa"/>
            <w:shd w:val="clear" w:color="auto" w:fill="FFFFFF"/>
          </w:tcPr>
          <w:p w14:paraId="0E131D1C" w14:textId="77777777" w:rsidR="00B67D7C" w:rsidRPr="00DE096C" w:rsidRDefault="00B67D7C" w:rsidP="00D45A46">
            <w:pPr>
              <w:jc w:val="both"/>
              <w:rPr>
                <w:bCs/>
                <w:color w:val="002060"/>
                <w:sz w:val="16"/>
                <w:szCs w:val="16"/>
                <w:lang w:val="en-US"/>
              </w:rPr>
            </w:pPr>
            <w:r w:rsidRPr="00DE096C">
              <w:rPr>
                <w:bCs/>
                <w:color w:val="002060"/>
                <w:sz w:val="16"/>
                <w:szCs w:val="16"/>
              </w:rPr>
              <w:t xml:space="preserve">1,7 </w:t>
            </w:r>
          </w:p>
        </w:tc>
        <w:tc>
          <w:tcPr>
            <w:tcW w:w="829" w:type="dxa"/>
            <w:shd w:val="clear" w:color="auto" w:fill="FFFFFF"/>
          </w:tcPr>
          <w:p w14:paraId="0E5083B5" w14:textId="77777777" w:rsidR="00B67D7C" w:rsidRPr="00DE096C" w:rsidRDefault="00B67D7C" w:rsidP="00D45A46">
            <w:pPr>
              <w:jc w:val="both"/>
              <w:rPr>
                <w:bCs/>
                <w:color w:val="002060"/>
                <w:sz w:val="16"/>
                <w:szCs w:val="16"/>
                <w:lang w:val="en-US"/>
              </w:rPr>
            </w:pPr>
            <w:r w:rsidRPr="00DE096C">
              <w:rPr>
                <w:bCs/>
                <w:color w:val="002060"/>
                <w:sz w:val="16"/>
                <w:szCs w:val="16"/>
              </w:rPr>
              <w:t xml:space="preserve">1,5 </w:t>
            </w:r>
          </w:p>
        </w:tc>
        <w:tc>
          <w:tcPr>
            <w:tcW w:w="737" w:type="dxa"/>
            <w:shd w:val="clear" w:color="auto" w:fill="FFFFFF"/>
          </w:tcPr>
          <w:p w14:paraId="41D963A3" w14:textId="77777777" w:rsidR="00B67D7C" w:rsidRPr="00DE096C" w:rsidRDefault="00B67D7C" w:rsidP="00D45A46">
            <w:pPr>
              <w:jc w:val="both"/>
              <w:rPr>
                <w:bCs/>
                <w:color w:val="002060"/>
                <w:sz w:val="16"/>
                <w:szCs w:val="16"/>
                <w:lang w:val="en-US"/>
              </w:rPr>
            </w:pPr>
            <w:r w:rsidRPr="00DE096C">
              <w:rPr>
                <w:bCs/>
                <w:color w:val="002060"/>
                <w:sz w:val="16"/>
                <w:szCs w:val="16"/>
              </w:rPr>
              <w:t xml:space="preserve">7,2 </w:t>
            </w:r>
          </w:p>
        </w:tc>
        <w:tc>
          <w:tcPr>
            <w:tcW w:w="737" w:type="dxa"/>
            <w:shd w:val="clear" w:color="auto" w:fill="FFFFFF"/>
          </w:tcPr>
          <w:p w14:paraId="4BD0367C" w14:textId="77777777" w:rsidR="00B67D7C" w:rsidRPr="00DE096C" w:rsidRDefault="00B67D7C" w:rsidP="00D45A46">
            <w:pPr>
              <w:jc w:val="both"/>
              <w:rPr>
                <w:bCs/>
                <w:color w:val="002060"/>
                <w:sz w:val="16"/>
                <w:szCs w:val="16"/>
              </w:rPr>
            </w:pPr>
            <w:r w:rsidRPr="00DE096C">
              <w:rPr>
                <w:bCs/>
                <w:color w:val="002060"/>
                <w:sz w:val="16"/>
                <w:szCs w:val="16"/>
              </w:rPr>
              <w:t>35,2</w:t>
            </w:r>
          </w:p>
        </w:tc>
        <w:tc>
          <w:tcPr>
            <w:tcW w:w="909" w:type="dxa"/>
            <w:shd w:val="clear" w:color="auto" w:fill="FFFFFF"/>
          </w:tcPr>
          <w:p w14:paraId="0DC71DD3" w14:textId="77777777" w:rsidR="00B67D7C" w:rsidRPr="00DE096C" w:rsidRDefault="00B67D7C" w:rsidP="00D45A46">
            <w:pPr>
              <w:jc w:val="both"/>
              <w:rPr>
                <w:bCs/>
                <w:color w:val="002060"/>
                <w:sz w:val="16"/>
                <w:szCs w:val="16"/>
              </w:rPr>
            </w:pPr>
          </w:p>
        </w:tc>
      </w:tr>
      <w:tr w:rsidR="00B67D7C" w:rsidRPr="00DE096C" w14:paraId="0082F39A" w14:textId="77777777" w:rsidTr="00C2024A">
        <w:tc>
          <w:tcPr>
            <w:tcW w:w="2492" w:type="dxa"/>
            <w:shd w:val="clear" w:color="auto" w:fill="FFFFFF"/>
          </w:tcPr>
          <w:p w14:paraId="0227BD66" w14:textId="77777777" w:rsidR="00B67D7C" w:rsidRPr="00DE096C" w:rsidRDefault="00B67D7C" w:rsidP="00D45A46">
            <w:pPr>
              <w:jc w:val="both"/>
              <w:rPr>
                <w:bCs/>
                <w:color w:val="002060"/>
                <w:sz w:val="16"/>
                <w:szCs w:val="16"/>
                <w:lang w:val="en-US"/>
              </w:rPr>
            </w:pPr>
            <w:r w:rsidRPr="00DE096C">
              <w:rPr>
                <w:bCs/>
                <w:color w:val="002060"/>
                <w:sz w:val="16"/>
                <w:szCs w:val="16"/>
              </w:rPr>
              <w:t>Капсюли-детонаторы</w:t>
            </w:r>
          </w:p>
        </w:tc>
        <w:tc>
          <w:tcPr>
            <w:tcW w:w="702" w:type="dxa"/>
            <w:shd w:val="clear" w:color="auto" w:fill="FFFFFF"/>
          </w:tcPr>
          <w:p w14:paraId="4999A1DC" w14:textId="77777777" w:rsidR="00B67D7C" w:rsidRPr="00DE096C" w:rsidRDefault="00B67D7C" w:rsidP="00D45A46">
            <w:pPr>
              <w:jc w:val="both"/>
              <w:rPr>
                <w:bCs/>
                <w:color w:val="002060"/>
                <w:sz w:val="16"/>
                <w:szCs w:val="16"/>
                <w:lang w:val="en-US"/>
              </w:rPr>
            </w:pPr>
            <w:r w:rsidRPr="00DE096C">
              <w:rPr>
                <w:bCs/>
                <w:color w:val="002060"/>
                <w:sz w:val="16"/>
                <w:szCs w:val="16"/>
              </w:rPr>
              <w:t xml:space="preserve">0,9 </w:t>
            </w:r>
          </w:p>
        </w:tc>
        <w:tc>
          <w:tcPr>
            <w:tcW w:w="760" w:type="dxa"/>
            <w:shd w:val="clear" w:color="auto" w:fill="FFFFFF"/>
          </w:tcPr>
          <w:p w14:paraId="25E34A6B" w14:textId="77777777" w:rsidR="00B67D7C" w:rsidRPr="00DE096C" w:rsidRDefault="00B67D7C" w:rsidP="00D45A46">
            <w:pPr>
              <w:jc w:val="both"/>
              <w:rPr>
                <w:bCs/>
                <w:color w:val="002060"/>
                <w:sz w:val="16"/>
                <w:szCs w:val="16"/>
                <w:lang w:val="en-US"/>
              </w:rPr>
            </w:pPr>
            <w:r w:rsidRPr="00DE096C">
              <w:rPr>
                <w:bCs/>
                <w:color w:val="002060"/>
                <w:sz w:val="16"/>
                <w:szCs w:val="16"/>
              </w:rPr>
              <w:t xml:space="preserve">2,4 </w:t>
            </w:r>
          </w:p>
        </w:tc>
        <w:tc>
          <w:tcPr>
            <w:tcW w:w="760" w:type="dxa"/>
            <w:shd w:val="clear" w:color="auto" w:fill="FFFFFF"/>
          </w:tcPr>
          <w:p w14:paraId="1BAABF05" w14:textId="77777777" w:rsidR="00B67D7C" w:rsidRPr="00DE096C" w:rsidRDefault="00B67D7C" w:rsidP="00D45A46">
            <w:pPr>
              <w:jc w:val="both"/>
              <w:rPr>
                <w:bCs/>
                <w:color w:val="002060"/>
                <w:sz w:val="16"/>
                <w:szCs w:val="16"/>
                <w:lang w:val="en-US"/>
              </w:rPr>
            </w:pPr>
            <w:r w:rsidRPr="00DE096C">
              <w:rPr>
                <w:bCs/>
                <w:color w:val="002060"/>
                <w:sz w:val="16"/>
                <w:szCs w:val="16"/>
              </w:rPr>
              <w:t xml:space="preserve">0,7 </w:t>
            </w:r>
          </w:p>
        </w:tc>
        <w:tc>
          <w:tcPr>
            <w:tcW w:w="760" w:type="dxa"/>
            <w:shd w:val="clear" w:color="auto" w:fill="FFFFFF"/>
          </w:tcPr>
          <w:p w14:paraId="006ED59F" w14:textId="77777777" w:rsidR="00B67D7C" w:rsidRPr="00DE096C" w:rsidRDefault="00B67D7C" w:rsidP="00D45A46">
            <w:pPr>
              <w:jc w:val="both"/>
              <w:rPr>
                <w:bCs/>
                <w:color w:val="002060"/>
                <w:sz w:val="16"/>
                <w:szCs w:val="16"/>
                <w:lang w:val="en-US"/>
              </w:rPr>
            </w:pPr>
            <w:r w:rsidRPr="00DE096C">
              <w:rPr>
                <w:bCs/>
                <w:color w:val="002060"/>
                <w:sz w:val="16"/>
                <w:szCs w:val="16"/>
              </w:rPr>
              <w:t xml:space="preserve">— </w:t>
            </w:r>
          </w:p>
        </w:tc>
        <w:tc>
          <w:tcPr>
            <w:tcW w:w="760" w:type="dxa"/>
            <w:shd w:val="clear" w:color="auto" w:fill="FFFFFF"/>
          </w:tcPr>
          <w:p w14:paraId="3705EE15" w14:textId="77777777" w:rsidR="00B67D7C" w:rsidRPr="00DE096C" w:rsidRDefault="00B67D7C" w:rsidP="00D45A46">
            <w:pPr>
              <w:jc w:val="both"/>
              <w:rPr>
                <w:bCs/>
                <w:color w:val="002060"/>
                <w:sz w:val="16"/>
                <w:szCs w:val="16"/>
                <w:lang w:val="en-US"/>
              </w:rPr>
            </w:pPr>
            <w:r w:rsidRPr="00DE096C">
              <w:rPr>
                <w:bCs/>
                <w:color w:val="002060"/>
                <w:sz w:val="16"/>
                <w:szCs w:val="16"/>
              </w:rPr>
              <w:t xml:space="preserve">— </w:t>
            </w:r>
          </w:p>
        </w:tc>
        <w:tc>
          <w:tcPr>
            <w:tcW w:w="760" w:type="dxa"/>
            <w:shd w:val="clear" w:color="auto" w:fill="FFFFFF"/>
          </w:tcPr>
          <w:p w14:paraId="798B73BE" w14:textId="77777777" w:rsidR="00B67D7C" w:rsidRPr="00DE096C" w:rsidRDefault="00B67D7C" w:rsidP="00D45A46">
            <w:pPr>
              <w:jc w:val="both"/>
              <w:rPr>
                <w:bCs/>
                <w:color w:val="002060"/>
                <w:sz w:val="16"/>
                <w:szCs w:val="16"/>
                <w:lang w:val="en-US"/>
              </w:rPr>
            </w:pPr>
            <w:r w:rsidRPr="00DE096C">
              <w:rPr>
                <w:bCs/>
                <w:color w:val="002060"/>
                <w:sz w:val="16"/>
                <w:szCs w:val="16"/>
              </w:rPr>
              <w:t xml:space="preserve">0,6 </w:t>
            </w:r>
          </w:p>
        </w:tc>
        <w:tc>
          <w:tcPr>
            <w:tcW w:w="829" w:type="dxa"/>
            <w:shd w:val="clear" w:color="auto" w:fill="FFFFFF"/>
          </w:tcPr>
          <w:p w14:paraId="75E43CB3" w14:textId="77777777" w:rsidR="00B67D7C" w:rsidRPr="00DE096C" w:rsidRDefault="00B67D7C" w:rsidP="00D45A46">
            <w:pPr>
              <w:jc w:val="both"/>
              <w:rPr>
                <w:bCs/>
                <w:color w:val="002060"/>
                <w:sz w:val="16"/>
                <w:szCs w:val="16"/>
                <w:lang w:val="en-US"/>
              </w:rPr>
            </w:pPr>
            <w:r w:rsidRPr="00DE096C">
              <w:rPr>
                <w:bCs/>
                <w:color w:val="002060"/>
                <w:sz w:val="16"/>
                <w:szCs w:val="16"/>
              </w:rPr>
              <w:t xml:space="preserve">1,0 </w:t>
            </w:r>
          </w:p>
        </w:tc>
        <w:tc>
          <w:tcPr>
            <w:tcW w:w="737" w:type="dxa"/>
            <w:shd w:val="clear" w:color="auto" w:fill="FFFFFF"/>
          </w:tcPr>
          <w:p w14:paraId="4FF9A8D2" w14:textId="77777777" w:rsidR="00B67D7C" w:rsidRPr="00DE096C" w:rsidRDefault="00B67D7C" w:rsidP="00D45A46">
            <w:pPr>
              <w:jc w:val="both"/>
              <w:rPr>
                <w:bCs/>
                <w:color w:val="002060"/>
                <w:sz w:val="16"/>
                <w:szCs w:val="16"/>
                <w:lang w:val="en-US"/>
              </w:rPr>
            </w:pPr>
            <w:r w:rsidRPr="00DE096C">
              <w:rPr>
                <w:bCs/>
                <w:color w:val="002060"/>
                <w:sz w:val="16"/>
                <w:szCs w:val="16"/>
              </w:rPr>
              <w:t xml:space="preserve">3,8 </w:t>
            </w:r>
          </w:p>
        </w:tc>
        <w:tc>
          <w:tcPr>
            <w:tcW w:w="737" w:type="dxa"/>
            <w:shd w:val="clear" w:color="auto" w:fill="FFFFFF"/>
          </w:tcPr>
          <w:p w14:paraId="37CE5BA1" w14:textId="77777777" w:rsidR="00B67D7C" w:rsidRPr="00DE096C" w:rsidRDefault="00B67D7C" w:rsidP="00D45A46">
            <w:pPr>
              <w:jc w:val="both"/>
              <w:rPr>
                <w:bCs/>
                <w:color w:val="002060"/>
                <w:sz w:val="16"/>
                <w:szCs w:val="16"/>
              </w:rPr>
            </w:pPr>
            <w:r w:rsidRPr="00DE096C">
              <w:rPr>
                <w:bCs/>
                <w:color w:val="002060"/>
                <w:sz w:val="16"/>
                <w:szCs w:val="16"/>
              </w:rPr>
              <w:t>33,9</w:t>
            </w:r>
          </w:p>
        </w:tc>
        <w:tc>
          <w:tcPr>
            <w:tcW w:w="909" w:type="dxa"/>
            <w:shd w:val="clear" w:color="auto" w:fill="FFFFFF"/>
          </w:tcPr>
          <w:p w14:paraId="029DF314" w14:textId="77777777" w:rsidR="00B67D7C" w:rsidRPr="00DE096C" w:rsidRDefault="00B67D7C" w:rsidP="00D45A46">
            <w:pPr>
              <w:jc w:val="both"/>
              <w:rPr>
                <w:bCs/>
                <w:color w:val="002060"/>
                <w:sz w:val="16"/>
                <w:szCs w:val="16"/>
              </w:rPr>
            </w:pPr>
          </w:p>
        </w:tc>
      </w:tr>
      <w:tr w:rsidR="00B67D7C" w:rsidRPr="00DE096C" w14:paraId="6EE69346" w14:textId="77777777" w:rsidTr="00C2024A">
        <w:tc>
          <w:tcPr>
            <w:tcW w:w="2492" w:type="dxa"/>
            <w:shd w:val="clear" w:color="auto" w:fill="FFFFFF"/>
          </w:tcPr>
          <w:p w14:paraId="3AC80A4E" w14:textId="77777777" w:rsidR="00B67D7C" w:rsidRPr="00DE096C" w:rsidRDefault="00B67D7C" w:rsidP="00D45A46">
            <w:pPr>
              <w:jc w:val="both"/>
              <w:rPr>
                <w:bCs/>
                <w:color w:val="002060"/>
                <w:sz w:val="16"/>
                <w:szCs w:val="16"/>
                <w:lang w:val="en-US"/>
              </w:rPr>
            </w:pPr>
            <w:r w:rsidRPr="00DE096C">
              <w:rPr>
                <w:bCs/>
                <w:color w:val="002060"/>
                <w:sz w:val="16"/>
                <w:szCs w:val="16"/>
              </w:rPr>
              <w:t>Капсюльные втулки (снаряжение)</w:t>
            </w:r>
          </w:p>
        </w:tc>
        <w:tc>
          <w:tcPr>
            <w:tcW w:w="702" w:type="dxa"/>
            <w:shd w:val="clear" w:color="auto" w:fill="FFFFFF"/>
          </w:tcPr>
          <w:p w14:paraId="27401505" w14:textId="77777777" w:rsidR="00B67D7C" w:rsidRPr="00DE096C" w:rsidRDefault="00B67D7C" w:rsidP="00D45A46">
            <w:pPr>
              <w:jc w:val="both"/>
              <w:rPr>
                <w:bCs/>
                <w:color w:val="002060"/>
                <w:sz w:val="16"/>
                <w:szCs w:val="16"/>
                <w:lang w:val="en-US"/>
              </w:rPr>
            </w:pPr>
            <w:r w:rsidRPr="00DE096C">
              <w:rPr>
                <w:bCs/>
                <w:color w:val="002060"/>
                <w:sz w:val="16"/>
                <w:szCs w:val="16"/>
              </w:rPr>
              <w:t xml:space="preserve"> 1,5 </w:t>
            </w:r>
          </w:p>
        </w:tc>
        <w:tc>
          <w:tcPr>
            <w:tcW w:w="760" w:type="dxa"/>
            <w:shd w:val="clear" w:color="auto" w:fill="FFFFFF"/>
          </w:tcPr>
          <w:p w14:paraId="60731A82" w14:textId="77777777" w:rsidR="00B67D7C" w:rsidRPr="00DE096C" w:rsidRDefault="00B67D7C" w:rsidP="00D45A46">
            <w:pPr>
              <w:jc w:val="both"/>
              <w:rPr>
                <w:bCs/>
                <w:color w:val="002060"/>
                <w:sz w:val="16"/>
                <w:szCs w:val="16"/>
                <w:lang w:val="en-US"/>
              </w:rPr>
            </w:pPr>
            <w:r w:rsidRPr="00DE096C">
              <w:rPr>
                <w:bCs/>
                <w:color w:val="002060"/>
                <w:sz w:val="16"/>
                <w:szCs w:val="16"/>
              </w:rPr>
              <w:t xml:space="preserve">1,5 </w:t>
            </w:r>
          </w:p>
        </w:tc>
        <w:tc>
          <w:tcPr>
            <w:tcW w:w="760" w:type="dxa"/>
            <w:shd w:val="clear" w:color="auto" w:fill="FFFFFF"/>
          </w:tcPr>
          <w:p w14:paraId="3ACCE82F" w14:textId="77777777" w:rsidR="00B67D7C" w:rsidRPr="00DE096C" w:rsidRDefault="00B67D7C" w:rsidP="00D45A46">
            <w:pPr>
              <w:jc w:val="both"/>
              <w:rPr>
                <w:bCs/>
                <w:color w:val="002060"/>
                <w:sz w:val="16"/>
                <w:szCs w:val="16"/>
                <w:lang w:val="en-US"/>
              </w:rPr>
            </w:pPr>
            <w:r w:rsidRPr="00DE096C">
              <w:rPr>
                <w:bCs/>
                <w:color w:val="002060"/>
                <w:sz w:val="16"/>
                <w:szCs w:val="16"/>
              </w:rPr>
              <w:t xml:space="preserve">0,7 </w:t>
            </w:r>
          </w:p>
        </w:tc>
        <w:tc>
          <w:tcPr>
            <w:tcW w:w="760" w:type="dxa"/>
            <w:shd w:val="clear" w:color="auto" w:fill="FFFFFF"/>
          </w:tcPr>
          <w:p w14:paraId="61F42FAF" w14:textId="77777777" w:rsidR="00B67D7C" w:rsidRPr="00DE096C" w:rsidRDefault="00B67D7C" w:rsidP="00D45A46">
            <w:pPr>
              <w:jc w:val="both"/>
              <w:rPr>
                <w:bCs/>
                <w:color w:val="002060"/>
                <w:sz w:val="16"/>
                <w:szCs w:val="16"/>
                <w:lang w:val="en-US"/>
              </w:rPr>
            </w:pPr>
            <w:r w:rsidRPr="00DE096C">
              <w:rPr>
                <w:bCs/>
                <w:color w:val="002060"/>
                <w:sz w:val="16"/>
                <w:szCs w:val="16"/>
              </w:rPr>
              <w:t xml:space="preserve">0,5 </w:t>
            </w:r>
          </w:p>
        </w:tc>
        <w:tc>
          <w:tcPr>
            <w:tcW w:w="760" w:type="dxa"/>
            <w:shd w:val="clear" w:color="auto" w:fill="FFFFFF"/>
          </w:tcPr>
          <w:p w14:paraId="6FD639E4" w14:textId="77777777" w:rsidR="00B67D7C" w:rsidRPr="00DE096C" w:rsidRDefault="00B67D7C" w:rsidP="00D45A46">
            <w:pPr>
              <w:jc w:val="both"/>
              <w:rPr>
                <w:bCs/>
                <w:color w:val="002060"/>
                <w:sz w:val="16"/>
                <w:szCs w:val="16"/>
                <w:lang w:val="en-US"/>
              </w:rPr>
            </w:pPr>
            <w:r w:rsidRPr="00DE096C">
              <w:rPr>
                <w:bCs/>
                <w:color w:val="002060"/>
                <w:sz w:val="16"/>
                <w:szCs w:val="16"/>
              </w:rPr>
              <w:t xml:space="preserve">0,5 </w:t>
            </w:r>
          </w:p>
        </w:tc>
        <w:tc>
          <w:tcPr>
            <w:tcW w:w="760" w:type="dxa"/>
            <w:shd w:val="clear" w:color="auto" w:fill="FFFFFF"/>
          </w:tcPr>
          <w:p w14:paraId="0877E08F" w14:textId="77777777" w:rsidR="00B67D7C" w:rsidRPr="00DE096C" w:rsidRDefault="00B67D7C" w:rsidP="00D45A46">
            <w:pPr>
              <w:jc w:val="both"/>
              <w:rPr>
                <w:bCs/>
                <w:color w:val="002060"/>
                <w:sz w:val="16"/>
                <w:szCs w:val="16"/>
                <w:lang w:val="en-US"/>
              </w:rPr>
            </w:pPr>
            <w:r w:rsidRPr="00DE096C">
              <w:rPr>
                <w:bCs/>
                <w:color w:val="002060"/>
                <w:sz w:val="16"/>
                <w:szCs w:val="16"/>
              </w:rPr>
              <w:t xml:space="preserve">0,5 </w:t>
            </w:r>
          </w:p>
        </w:tc>
        <w:tc>
          <w:tcPr>
            <w:tcW w:w="829" w:type="dxa"/>
            <w:shd w:val="clear" w:color="auto" w:fill="FFFFFF"/>
          </w:tcPr>
          <w:p w14:paraId="79EE83D2" w14:textId="77777777" w:rsidR="00B67D7C" w:rsidRPr="00DE096C" w:rsidRDefault="00B67D7C" w:rsidP="00D45A46">
            <w:pPr>
              <w:jc w:val="both"/>
              <w:rPr>
                <w:bCs/>
                <w:color w:val="002060"/>
                <w:sz w:val="16"/>
                <w:szCs w:val="16"/>
                <w:lang w:val="en-US"/>
              </w:rPr>
            </w:pPr>
            <w:r w:rsidRPr="00DE096C">
              <w:rPr>
                <w:bCs/>
                <w:color w:val="002060"/>
                <w:sz w:val="16"/>
                <w:szCs w:val="16"/>
              </w:rPr>
              <w:t xml:space="preserve">0,7 </w:t>
            </w:r>
          </w:p>
        </w:tc>
        <w:tc>
          <w:tcPr>
            <w:tcW w:w="737" w:type="dxa"/>
            <w:shd w:val="clear" w:color="auto" w:fill="FFFFFF"/>
          </w:tcPr>
          <w:p w14:paraId="4E440021" w14:textId="77777777" w:rsidR="00B67D7C" w:rsidRPr="00DE096C" w:rsidRDefault="00B67D7C" w:rsidP="00D45A46">
            <w:pPr>
              <w:jc w:val="both"/>
              <w:rPr>
                <w:bCs/>
                <w:color w:val="002060"/>
                <w:sz w:val="16"/>
                <w:szCs w:val="16"/>
                <w:lang w:val="en-US"/>
              </w:rPr>
            </w:pPr>
            <w:r w:rsidRPr="00DE096C">
              <w:rPr>
                <w:bCs/>
                <w:color w:val="002060"/>
                <w:sz w:val="16"/>
                <w:szCs w:val="16"/>
              </w:rPr>
              <w:t xml:space="preserve">2,5 </w:t>
            </w:r>
          </w:p>
        </w:tc>
        <w:tc>
          <w:tcPr>
            <w:tcW w:w="737" w:type="dxa"/>
            <w:shd w:val="clear" w:color="auto" w:fill="FFFFFF"/>
          </w:tcPr>
          <w:p w14:paraId="21C5E11C" w14:textId="77777777" w:rsidR="00B67D7C" w:rsidRPr="00DE096C" w:rsidRDefault="00B67D7C" w:rsidP="00D45A46">
            <w:pPr>
              <w:jc w:val="both"/>
              <w:rPr>
                <w:bCs/>
                <w:color w:val="002060"/>
                <w:sz w:val="16"/>
                <w:szCs w:val="16"/>
                <w:lang w:val="en-US"/>
              </w:rPr>
            </w:pPr>
            <w:r w:rsidRPr="00DE096C">
              <w:rPr>
                <w:bCs/>
                <w:color w:val="002060"/>
                <w:sz w:val="16"/>
                <w:szCs w:val="16"/>
              </w:rPr>
              <w:t>17,5</w:t>
            </w:r>
          </w:p>
        </w:tc>
        <w:tc>
          <w:tcPr>
            <w:tcW w:w="909" w:type="dxa"/>
            <w:shd w:val="clear" w:color="auto" w:fill="FFFFFF"/>
          </w:tcPr>
          <w:p w14:paraId="3F59B0F6" w14:textId="77777777" w:rsidR="00B67D7C" w:rsidRPr="00DE096C" w:rsidRDefault="00B67D7C" w:rsidP="00D45A46">
            <w:pPr>
              <w:jc w:val="both"/>
              <w:rPr>
                <w:bCs/>
                <w:color w:val="002060"/>
                <w:sz w:val="16"/>
                <w:szCs w:val="16"/>
                <w:lang w:val="en-US"/>
              </w:rPr>
            </w:pPr>
          </w:p>
        </w:tc>
      </w:tr>
    </w:tbl>
    <w:p w14:paraId="1EACD054" w14:textId="77777777" w:rsidR="00B67D7C" w:rsidRPr="00DE096C" w:rsidRDefault="00B67D7C" w:rsidP="00D45A46">
      <w:pPr>
        <w:shd w:val="clear" w:color="auto" w:fill="FFFFFF"/>
        <w:jc w:val="both"/>
        <w:rPr>
          <w:bCs/>
          <w:color w:val="002060"/>
          <w:sz w:val="16"/>
          <w:szCs w:val="16"/>
        </w:rPr>
      </w:pP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429"/>
        <w:gridCol w:w="701"/>
        <w:gridCol w:w="778"/>
        <w:gridCol w:w="768"/>
        <w:gridCol w:w="778"/>
        <w:gridCol w:w="758"/>
        <w:gridCol w:w="797"/>
        <w:gridCol w:w="768"/>
        <w:gridCol w:w="778"/>
        <w:gridCol w:w="710"/>
        <w:gridCol w:w="1056"/>
      </w:tblGrid>
      <w:tr w:rsidR="00B67D7C" w:rsidRPr="00DE096C" w14:paraId="65AB5806" w14:textId="77777777" w:rsidTr="00C2024A">
        <w:trPr>
          <w:trHeight w:val="365"/>
        </w:trPr>
        <w:tc>
          <w:tcPr>
            <w:tcW w:w="2429" w:type="dxa"/>
          </w:tcPr>
          <w:p w14:paraId="66C0EF9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Наименование изделий</w:t>
            </w:r>
          </w:p>
          <w:p w14:paraId="12B391B4" w14:textId="77777777" w:rsidR="00B67D7C" w:rsidRPr="00DE096C" w:rsidRDefault="00B67D7C" w:rsidP="00D45A46">
            <w:pPr>
              <w:shd w:val="clear" w:color="auto" w:fill="FFFFFF"/>
              <w:jc w:val="both"/>
              <w:rPr>
                <w:bCs/>
                <w:color w:val="002060"/>
                <w:sz w:val="16"/>
                <w:szCs w:val="16"/>
              </w:rPr>
            </w:pPr>
          </w:p>
        </w:tc>
        <w:tc>
          <w:tcPr>
            <w:tcW w:w="701" w:type="dxa"/>
          </w:tcPr>
          <w:p w14:paraId="0DE95BD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1907</w:t>
            </w:r>
          </w:p>
          <w:p w14:paraId="4C7427F5" w14:textId="77777777" w:rsidR="00B67D7C" w:rsidRPr="00DE096C" w:rsidRDefault="00B67D7C" w:rsidP="00D45A46">
            <w:pPr>
              <w:shd w:val="clear" w:color="auto" w:fill="FFFFFF"/>
              <w:jc w:val="both"/>
              <w:rPr>
                <w:bCs/>
                <w:color w:val="002060"/>
                <w:sz w:val="16"/>
                <w:szCs w:val="16"/>
              </w:rPr>
            </w:pPr>
          </w:p>
        </w:tc>
        <w:tc>
          <w:tcPr>
            <w:tcW w:w="778" w:type="dxa"/>
          </w:tcPr>
          <w:p w14:paraId="1F2DC35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1908</w:t>
            </w:r>
          </w:p>
          <w:p w14:paraId="39AB9235" w14:textId="77777777" w:rsidR="00B67D7C" w:rsidRPr="00DE096C" w:rsidRDefault="00B67D7C" w:rsidP="00D45A46">
            <w:pPr>
              <w:shd w:val="clear" w:color="auto" w:fill="FFFFFF"/>
              <w:jc w:val="both"/>
              <w:rPr>
                <w:bCs/>
                <w:color w:val="002060"/>
                <w:sz w:val="16"/>
                <w:szCs w:val="16"/>
              </w:rPr>
            </w:pPr>
          </w:p>
        </w:tc>
        <w:tc>
          <w:tcPr>
            <w:tcW w:w="768" w:type="dxa"/>
          </w:tcPr>
          <w:p w14:paraId="0614DE8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1909</w:t>
            </w:r>
          </w:p>
          <w:p w14:paraId="69A9FB18" w14:textId="77777777" w:rsidR="00B67D7C" w:rsidRPr="00DE096C" w:rsidRDefault="00B67D7C" w:rsidP="00D45A46">
            <w:pPr>
              <w:shd w:val="clear" w:color="auto" w:fill="FFFFFF"/>
              <w:jc w:val="both"/>
              <w:rPr>
                <w:bCs/>
                <w:color w:val="002060"/>
                <w:sz w:val="16"/>
                <w:szCs w:val="16"/>
              </w:rPr>
            </w:pPr>
          </w:p>
        </w:tc>
        <w:tc>
          <w:tcPr>
            <w:tcW w:w="778" w:type="dxa"/>
          </w:tcPr>
          <w:p w14:paraId="3912B2F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1910</w:t>
            </w:r>
          </w:p>
          <w:p w14:paraId="1D679E9F" w14:textId="77777777" w:rsidR="00B67D7C" w:rsidRPr="00DE096C" w:rsidRDefault="00B67D7C" w:rsidP="00D45A46">
            <w:pPr>
              <w:shd w:val="clear" w:color="auto" w:fill="FFFFFF"/>
              <w:jc w:val="both"/>
              <w:rPr>
                <w:bCs/>
                <w:color w:val="002060"/>
                <w:sz w:val="16"/>
                <w:szCs w:val="16"/>
              </w:rPr>
            </w:pPr>
          </w:p>
        </w:tc>
        <w:tc>
          <w:tcPr>
            <w:tcW w:w="758" w:type="dxa"/>
          </w:tcPr>
          <w:p w14:paraId="2B3CEFC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1911</w:t>
            </w:r>
          </w:p>
          <w:p w14:paraId="5BC7CA6F" w14:textId="77777777" w:rsidR="00B67D7C" w:rsidRPr="00DE096C" w:rsidRDefault="00B67D7C" w:rsidP="00D45A46">
            <w:pPr>
              <w:shd w:val="clear" w:color="auto" w:fill="FFFFFF"/>
              <w:jc w:val="both"/>
              <w:rPr>
                <w:bCs/>
                <w:color w:val="002060"/>
                <w:sz w:val="16"/>
                <w:szCs w:val="16"/>
              </w:rPr>
            </w:pPr>
          </w:p>
        </w:tc>
        <w:tc>
          <w:tcPr>
            <w:tcW w:w="797" w:type="dxa"/>
          </w:tcPr>
          <w:p w14:paraId="1AADEB0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1912</w:t>
            </w:r>
          </w:p>
          <w:p w14:paraId="1D1F2CB0" w14:textId="77777777" w:rsidR="00B67D7C" w:rsidRPr="00DE096C" w:rsidRDefault="00B67D7C" w:rsidP="00D45A46">
            <w:pPr>
              <w:shd w:val="clear" w:color="auto" w:fill="FFFFFF"/>
              <w:jc w:val="both"/>
              <w:rPr>
                <w:bCs/>
                <w:color w:val="002060"/>
                <w:sz w:val="16"/>
                <w:szCs w:val="16"/>
              </w:rPr>
            </w:pPr>
          </w:p>
        </w:tc>
        <w:tc>
          <w:tcPr>
            <w:tcW w:w="768" w:type="dxa"/>
          </w:tcPr>
          <w:p w14:paraId="5002230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1913</w:t>
            </w:r>
          </w:p>
          <w:p w14:paraId="7D07454B" w14:textId="77777777" w:rsidR="00B67D7C" w:rsidRPr="00DE096C" w:rsidRDefault="00B67D7C" w:rsidP="00D45A46">
            <w:pPr>
              <w:shd w:val="clear" w:color="auto" w:fill="FFFFFF"/>
              <w:jc w:val="both"/>
              <w:rPr>
                <w:bCs/>
                <w:color w:val="002060"/>
                <w:sz w:val="16"/>
                <w:szCs w:val="16"/>
              </w:rPr>
            </w:pPr>
          </w:p>
        </w:tc>
        <w:tc>
          <w:tcPr>
            <w:tcW w:w="778" w:type="dxa"/>
          </w:tcPr>
          <w:p w14:paraId="1AFA487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1914</w:t>
            </w:r>
          </w:p>
          <w:p w14:paraId="0EBA6DE0" w14:textId="77777777" w:rsidR="00B67D7C" w:rsidRPr="00DE096C" w:rsidRDefault="00B67D7C" w:rsidP="00D45A46">
            <w:pPr>
              <w:shd w:val="clear" w:color="auto" w:fill="FFFFFF"/>
              <w:jc w:val="both"/>
              <w:rPr>
                <w:bCs/>
                <w:color w:val="002060"/>
                <w:sz w:val="16"/>
                <w:szCs w:val="16"/>
              </w:rPr>
            </w:pPr>
          </w:p>
        </w:tc>
        <w:tc>
          <w:tcPr>
            <w:tcW w:w="710" w:type="dxa"/>
          </w:tcPr>
          <w:p w14:paraId="2115D4C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1915</w:t>
            </w:r>
          </w:p>
          <w:p w14:paraId="5D90F584" w14:textId="77777777" w:rsidR="00B67D7C" w:rsidRPr="00DE096C" w:rsidRDefault="00B67D7C" w:rsidP="00D45A46">
            <w:pPr>
              <w:shd w:val="clear" w:color="auto" w:fill="FFFFFF"/>
              <w:jc w:val="both"/>
              <w:rPr>
                <w:bCs/>
                <w:color w:val="002060"/>
                <w:sz w:val="16"/>
                <w:szCs w:val="16"/>
              </w:rPr>
            </w:pPr>
          </w:p>
        </w:tc>
        <w:tc>
          <w:tcPr>
            <w:tcW w:w="1056" w:type="dxa"/>
          </w:tcPr>
          <w:p w14:paraId="1D27A24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1916</w:t>
            </w:r>
          </w:p>
          <w:p w14:paraId="1488F854" w14:textId="77777777" w:rsidR="00B67D7C" w:rsidRPr="00DE096C" w:rsidRDefault="00B67D7C" w:rsidP="00D45A46">
            <w:pPr>
              <w:shd w:val="clear" w:color="auto" w:fill="FFFFFF"/>
              <w:jc w:val="both"/>
              <w:rPr>
                <w:bCs/>
                <w:color w:val="002060"/>
                <w:sz w:val="16"/>
                <w:szCs w:val="16"/>
              </w:rPr>
            </w:pPr>
          </w:p>
        </w:tc>
      </w:tr>
      <w:tr w:rsidR="00B67D7C" w:rsidRPr="00DE096C" w14:paraId="7EA9892C" w14:textId="77777777" w:rsidTr="00C2024A">
        <w:trPr>
          <w:trHeight w:val="250"/>
        </w:trPr>
        <w:tc>
          <w:tcPr>
            <w:tcW w:w="2429" w:type="dxa"/>
          </w:tcPr>
          <w:p w14:paraId="795CD02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Капсюли-воспламенители</w:t>
            </w:r>
          </w:p>
          <w:p w14:paraId="78A9FFD8" w14:textId="77777777" w:rsidR="00B67D7C" w:rsidRPr="00DE096C" w:rsidRDefault="00B67D7C" w:rsidP="00D45A46">
            <w:pPr>
              <w:shd w:val="clear" w:color="auto" w:fill="FFFFFF"/>
              <w:jc w:val="both"/>
              <w:rPr>
                <w:bCs/>
                <w:color w:val="002060"/>
                <w:sz w:val="16"/>
                <w:szCs w:val="16"/>
              </w:rPr>
            </w:pPr>
          </w:p>
        </w:tc>
        <w:tc>
          <w:tcPr>
            <w:tcW w:w="701" w:type="dxa"/>
          </w:tcPr>
          <w:p w14:paraId="2CC8EA9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60,5</w:t>
            </w:r>
          </w:p>
          <w:p w14:paraId="32DC9D11" w14:textId="77777777" w:rsidR="00B67D7C" w:rsidRPr="00DE096C" w:rsidRDefault="00B67D7C" w:rsidP="00D45A46">
            <w:pPr>
              <w:shd w:val="clear" w:color="auto" w:fill="FFFFFF"/>
              <w:jc w:val="both"/>
              <w:rPr>
                <w:bCs/>
                <w:color w:val="002060"/>
                <w:sz w:val="16"/>
                <w:szCs w:val="16"/>
              </w:rPr>
            </w:pPr>
          </w:p>
        </w:tc>
        <w:tc>
          <w:tcPr>
            <w:tcW w:w="778" w:type="dxa"/>
          </w:tcPr>
          <w:p w14:paraId="5482527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49,8</w:t>
            </w:r>
          </w:p>
          <w:p w14:paraId="26A28F66" w14:textId="77777777" w:rsidR="00B67D7C" w:rsidRPr="00DE096C" w:rsidRDefault="00B67D7C" w:rsidP="00D45A46">
            <w:pPr>
              <w:shd w:val="clear" w:color="auto" w:fill="FFFFFF"/>
              <w:jc w:val="both"/>
              <w:rPr>
                <w:bCs/>
                <w:color w:val="002060"/>
                <w:sz w:val="16"/>
                <w:szCs w:val="16"/>
              </w:rPr>
            </w:pPr>
          </w:p>
        </w:tc>
        <w:tc>
          <w:tcPr>
            <w:tcW w:w="768" w:type="dxa"/>
          </w:tcPr>
          <w:p w14:paraId="456412A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77,8</w:t>
            </w:r>
          </w:p>
          <w:p w14:paraId="2B2D296D" w14:textId="77777777" w:rsidR="00B67D7C" w:rsidRPr="00DE096C" w:rsidRDefault="00B67D7C" w:rsidP="00D45A46">
            <w:pPr>
              <w:shd w:val="clear" w:color="auto" w:fill="FFFFFF"/>
              <w:jc w:val="both"/>
              <w:rPr>
                <w:bCs/>
                <w:color w:val="002060"/>
                <w:sz w:val="16"/>
                <w:szCs w:val="16"/>
              </w:rPr>
            </w:pPr>
          </w:p>
        </w:tc>
        <w:tc>
          <w:tcPr>
            <w:tcW w:w="778" w:type="dxa"/>
          </w:tcPr>
          <w:p w14:paraId="7E9B055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49,2</w:t>
            </w:r>
          </w:p>
          <w:p w14:paraId="1C2A185B" w14:textId="77777777" w:rsidR="00B67D7C" w:rsidRPr="00DE096C" w:rsidRDefault="00B67D7C" w:rsidP="00D45A46">
            <w:pPr>
              <w:shd w:val="clear" w:color="auto" w:fill="FFFFFF"/>
              <w:jc w:val="both"/>
              <w:rPr>
                <w:bCs/>
                <w:color w:val="002060"/>
                <w:sz w:val="16"/>
                <w:szCs w:val="16"/>
              </w:rPr>
            </w:pPr>
          </w:p>
        </w:tc>
        <w:tc>
          <w:tcPr>
            <w:tcW w:w="758" w:type="dxa"/>
          </w:tcPr>
          <w:p w14:paraId="15F524D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112,8</w:t>
            </w:r>
          </w:p>
          <w:p w14:paraId="789408E6" w14:textId="77777777" w:rsidR="00B67D7C" w:rsidRPr="00DE096C" w:rsidRDefault="00B67D7C" w:rsidP="00D45A46">
            <w:pPr>
              <w:shd w:val="clear" w:color="auto" w:fill="FFFFFF"/>
              <w:jc w:val="both"/>
              <w:rPr>
                <w:bCs/>
                <w:color w:val="002060"/>
                <w:sz w:val="16"/>
                <w:szCs w:val="16"/>
              </w:rPr>
            </w:pPr>
          </w:p>
        </w:tc>
        <w:tc>
          <w:tcPr>
            <w:tcW w:w="797" w:type="dxa"/>
          </w:tcPr>
          <w:p w14:paraId="62265ED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283,4</w:t>
            </w:r>
          </w:p>
          <w:p w14:paraId="7511E8C6" w14:textId="77777777" w:rsidR="00B67D7C" w:rsidRPr="00DE096C" w:rsidRDefault="00B67D7C" w:rsidP="00D45A46">
            <w:pPr>
              <w:shd w:val="clear" w:color="auto" w:fill="FFFFFF"/>
              <w:jc w:val="both"/>
              <w:rPr>
                <w:bCs/>
                <w:color w:val="002060"/>
                <w:sz w:val="16"/>
                <w:szCs w:val="16"/>
              </w:rPr>
            </w:pPr>
          </w:p>
        </w:tc>
        <w:tc>
          <w:tcPr>
            <w:tcW w:w="768" w:type="dxa"/>
          </w:tcPr>
          <w:p w14:paraId="4B1BDF6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292,5</w:t>
            </w:r>
          </w:p>
          <w:p w14:paraId="07555200" w14:textId="77777777" w:rsidR="00B67D7C" w:rsidRPr="00DE096C" w:rsidRDefault="00B67D7C" w:rsidP="00D45A46">
            <w:pPr>
              <w:shd w:val="clear" w:color="auto" w:fill="FFFFFF"/>
              <w:jc w:val="both"/>
              <w:rPr>
                <w:bCs/>
                <w:color w:val="002060"/>
                <w:sz w:val="16"/>
                <w:szCs w:val="16"/>
              </w:rPr>
            </w:pPr>
          </w:p>
        </w:tc>
        <w:tc>
          <w:tcPr>
            <w:tcW w:w="778" w:type="dxa"/>
          </w:tcPr>
          <w:p w14:paraId="6F37819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385,3</w:t>
            </w:r>
          </w:p>
          <w:p w14:paraId="3F739BE1" w14:textId="77777777" w:rsidR="00B67D7C" w:rsidRPr="00DE096C" w:rsidRDefault="00B67D7C" w:rsidP="00D45A46">
            <w:pPr>
              <w:shd w:val="clear" w:color="auto" w:fill="FFFFFF"/>
              <w:jc w:val="both"/>
              <w:rPr>
                <w:bCs/>
                <w:color w:val="002060"/>
                <w:sz w:val="16"/>
                <w:szCs w:val="16"/>
              </w:rPr>
            </w:pPr>
          </w:p>
        </w:tc>
        <w:tc>
          <w:tcPr>
            <w:tcW w:w="710" w:type="dxa"/>
          </w:tcPr>
          <w:p w14:paraId="512FE3B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588,2</w:t>
            </w:r>
          </w:p>
          <w:p w14:paraId="35401A02" w14:textId="77777777" w:rsidR="00B67D7C" w:rsidRPr="00DE096C" w:rsidRDefault="00B67D7C" w:rsidP="00D45A46">
            <w:pPr>
              <w:shd w:val="clear" w:color="auto" w:fill="FFFFFF"/>
              <w:jc w:val="both"/>
              <w:rPr>
                <w:bCs/>
                <w:color w:val="002060"/>
                <w:sz w:val="16"/>
                <w:szCs w:val="16"/>
              </w:rPr>
            </w:pPr>
          </w:p>
        </w:tc>
        <w:tc>
          <w:tcPr>
            <w:tcW w:w="1056" w:type="dxa"/>
          </w:tcPr>
          <w:p w14:paraId="7732847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578,6</w:t>
            </w:r>
          </w:p>
          <w:p w14:paraId="68116701" w14:textId="77777777" w:rsidR="00B67D7C" w:rsidRPr="00DE096C" w:rsidRDefault="00B67D7C" w:rsidP="00D45A46">
            <w:pPr>
              <w:shd w:val="clear" w:color="auto" w:fill="FFFFFF"/>
              <w:jc w:val="both"/>
              <w:rPr>
                <w:bCs/>
                <w:color w:val="002060"/>
                <w:sz w:val="16"/>
                <w:szCs w:val="16"/>
              </w:rPr>
            </w:pPr>
          </w:p>
        </w:tc>
      </w:tr>
      <w:tr w:rsidR="00B67D7C" w:rsidRPr="00DE096C" w14:paraId="37406F9A" w14:textId="77777777" w:rsidTr="00C2024A">
        <w:trPr>
          <w:trHeight w:val="154"/>
        </w:trPr>
        <w:tc>
          <w:tcPr>
            <w:tcW w:w="2429" w:type="dxa"/>
          </w:tcPr>
          <w:p w14:paraId="490047D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3-линейные винтовочные</w:t>
            </w:r>
          </w:p>
          <w:p w14:paraId="2AD0911E" w14:textId="77777777" w:rsidR="00B67D7C" w:rsidRPr="00DE096C" w:rsidRDefault="00B67D7C" w:rsidP="00D45A46">
            <w:pPr>
              <w:shd w:val="clear" w:color="auto" w:fill="FFFFFF"/>
              <w:jc w:val="both"/>
              <w:rPr>
                <w:bCs/>
                <w:color w:val="002060"/>
                <w:sz w:val="16"/>
                <w:szCs w:val="16"/>
              </w:rPr>
            </w:pPr>
          </w:p>
        </w:tc>
        <w:tc>
          <w:tcPr>
            <w:tcW w:w="701" w:type="dxa"/>
          </w:tcPr>
          <w:p w14:paraId="1E5C0477" w14:textId="77777777" w:rsidR="00B67D7C" w:rsidRPr="00DE096C" w:rsidRDefault="00B67D7C" w:rsidP="00D45A46">
            <w:pPr>
              <w:shd w:val="clear" w:color="auto" w:fill="FFFFFF"/>
              <w:jc w:val="both"/>
              <w:rPr>
                <w:bCs/>
                <w:color w:val="002060"/>
                <w:sz w:val="16"/>
                <w:szCs w:val="16"/>
              </w:rPr>
            </w:pPr>
          </w:p>
          <w:p w14:paraId="4B241788" w14:textId="77777777" w:rsidR="00B67D7C" w:rsidRPr="00DE096C" w:rsidRDefault="00B67D7C" w:rsidP="00D45A46">
            <w:pPr>
              <w:shd w:val="clear" w:color="auto" w:fill="FFFFFF"/>
              <w:jc w:val="both"/>
              <w:rPr>
                <w:bCs/>
                <w:color w:val="002060"/>
                <w:sz w:val="16"/>
                <w:szCs w:val="16"/>
              </w:rPr>
            </w:pPr>
          </w:p>
        </w:tc>
        <w:tc>
          <w:tcPr>
            <w:tcW w:w="778" w:type="dxa"/>
          </w:tcPr>
          <w:p w14:paraId="42A78F21" w14:textId="77777777" w:rsidR="00B67D7C" w:rsidRPr="00DE096C" w:rsidRDefault="00B67D7C" w:rsidP="00D45A46">
            <w:pPr>
              <w:shd w:val="clear" w:color="auto" w:fill="FFFFFF"/>
              <w:jc w:val="both"/>
              <w:rPr>
                <w:bCs/>
                <w:color w:val="002060"/>
                <w:sz w:val="16"/>
                <w:szCs w:val="16"/>
              </w:rPr>
            </w:pPr>
          </w:p>
          <w:p w14:paraId="312AACD9" w14:textId="77777777" w:rsidR="00B67D7C" w:rsidRPr="00DE096C" w:rsidRDefault="00B67D7C" w:rsidP="00D45A46">
            <w:pPr>
              <w:shd w:val="clear" w:color="auto" w:fill="FFFFFF"/>
              <w:jc w:val="both"/>
              <w:rPr>
                <w:bCs/>
                <w:color w:val="002060"/>
                <w:sz w:val="16"/>
                <w:szCs w:val="16"/>
              </w:rPr>
            </w:pPr>
          </w:p>
        </w:tc>
        <w:tc>
          <w:tcPr>
            <w:tcW w:w="768" w:type="dxa"/>
          </w:tcPr>
          <w:p w14:paraId="4D35BBBA" w14:textId="77777777" w:rsidR="00B67D7C" w:rsidRPr="00DE096C" w:rsidRDefault="00B67D7C" w:rsidP="00D45A46">
            <w:pPr>
              <w:shd w:val="clear" w:color="auto" w:fill="FFFFFF"/>
              <w:jc w:val="both"/>
              <w:rPr>
                <w:bCs/>
                <w:color w:val="002060"/>
                <w:sz w:val="16"/>
                <w:szCs w:val="16"/>
              </w:rPr>
            </w:pPr>
          </w:p>
          <w:p w14:paraId="216F9F92" w14:textId="77777777" w:rsidR="00B67D7C" w:rsidRPr="00DE096C" w:rsidRDefault="00B67D7C" w:rsidP="00D45A46">
            <w:pPr>
              <w:shd w:val="clear" w:color="auto" w:fill="FFFFFF"/>
              <w:jc w:val="both"/>
              <w:rPr>
                <w:bCs/>
                <w:color w:val="002060"/>
                <w:sz w:val="16"/>
                <w:szCs w:val="16"/>
              </w:rPr>
            </w:pPr>
          </w:p>
        </w:tc>
        <w:tc>
          <w:tcPr>
            <w:tcW w:w="778" w:type="dxa"/>
          </w:tcPr>
          <w:p w14:paraId="52496513" w14:textId="77777777" w:rsidR="00B67D7C" w:rsidRPr="00DE096C" w:rsidRDefault="00B67D7C" w:rsidP="00D45A46">
            <w:pPr>
              <w:shd w:val="clear" w:color="auto" w:fill="FFFFFF"/>
              <w:jc w:val="both"/>
              <w:rPr>
                <w:bCs/>
                <w:color w:val="002060"/>
                <w:sz w:val="16"/>
                <w:szCs w:val="16"/>
              </w:rPr>
            </w:pPr>
          </w:p>
          <w:p w14:paraId="64B77D37" w14:textId="77777777" w:rsidR="00B67D7C" w:rsidRPr="00DE096C" w:rsidRDefault="00B67D7C" w:rsidP="00D45A46">
            <w:pPr>
              <w:shd w:val="clear" w:color="auto" w:fill="FFFFFF"/>
              <w:jc w:val="both"/>
              <w:rPr>
                <w:bCs/>
                <w:color w:val="002060"/>
                <w:sz w:val="16"/>
                <w:szCs w:val="16"/>
              </w:rPr>
            </w:pPr>
          </w:p>
        </w:tc>
        <w:tc>
          <w:tcPr>
            <w:tcW w:w="758" w:type="dxa"/>
          </w:tcPr>
          <w:p w14:paraId="6E4B95B9" w14:textId="77777777" w:rsidR="00B67D7C" w:rsidRPr="00DE096C" w:rsidRDefault="00B67D7C" w:rsidP="00D45A46">
            <w:pPr>
              <w:shd w:val="clear" w:color="auto" w:fill="FFFFFF"/>
              <w:jc w:val="both"/>
              <w:rPr>
                <w:bCs/>
                <w:color w:val="002060"/>
                <w:sz w:val="16"/>
                <w:szCs w:val="16"/>
              </w:rPr>
            </w:pPr>
          </w:p>
          <w:p w14:paraId="64BBC5E1" w14:textId="77777777" w:rsidR="00B67D7C" w:rsidRPr="00DE096C" w:rsidRDefault="00B67D7C" w:rsidP="00D45A46">
            <w:pPr>
              <w:shd w:val="clear" w:color="auto" w:fill="FFFFFF"/>
              <w:jc w:val="both"/>
              <w:rPr>
                <w:bCs/>
                <w:color w:val="002060"/>
                <w:sz w:val="16"/>
                <w:szCs w:val="16"/>
              </w:rPr>
            </w:pPr>
          </w:p>
        </w:tc>
        <w:tc>
          <w:tcPr>
            <w:tcW w:w="797" w:type="dxa"/>
          </w:tcPr>
          <w:p w14:paraId="12A32354" w14:textId="77777777" w:rsidR="00B67D7C" w:rsidRPr="00DE096C" w:rsidRDefault="00B67D7C" w:rsidP="00D45A46">
            <w:pPr>
              <w:shd w:val="clear" w:color="auto" w:fill="FFFFFF"/>
              <w:jc w:val="both"/>
              <w:rPr>
                <w:bCs/>
                <w:color w:val="002060"/>
                <w:sz w:val="16"/>
                <w:szCs w:val="16"/>
              </w:rPr>
            </w:pPr>
          </w:p>
          <w:p w14:paraId="178F1826" w14:textId="77777777" w:rsidR="00B67D7C" w:rsidRPr="00DE096C" w:rsidRDefault="00B67D7C" w:rsidP="00D45A46">
            <w:pPr>
              <w:shd w:val="clear" w:color="auto" w:fill="FFFFFF"/>
              <w:jc w:val="both"/>
              <w:rPr>
                <w:bCs/>
                <w:color w:val="002060"/>
                <w:sz w:val="16"/>
                <w:szCs w:val="16"/>
              </w:rPr>
            </w:pPr>
          </w:p>
        </w:tc>
        <w:tc>
          <w:tcPr>
            <w:tcW w:w="768" w:type="dxa"/>
          </w:tcPr>
          <w:p w14:paraId="679E19FB" w14:textId="77777777" w:rsidR="00B67D7C" w:rsidRPr="00DE096C" w:rsidRDefault="00B67D7C" w:rsidP="00D45A46">
            <w:pPr>
              <w:shd w:val="clear" w:color="auto" w:fill="FFFFFF"/>
              <w:jc w:val="both"/>
              <w:rPr>
                <w:bCs/>
                <w:color w:val="002060"/>
                <w:sz w:val="16"/>
                <w:szCs w:val="16"/>
              </w:rPr>
            </w:pPr>
          </w:p>
          <w:p w14:paraId="3757AA85" w14:textId="77777777" w:rsidR="00B67D7C" w:rsidRPr="00DE096C" w:rsidRDefault="00B67D7C" w:rsidP="00D45A46">
            <w:pPr>
              <w:shd w:val="clear" w:color="auto" w:fill="FFFFFF"/>
              <w:jc w:val="both"/>
              <w:rPr>
                <w:bCs/>
                <w:color w:val="002060"/>
                <w:sz w:val="16"/>
                <w:szCs w:val="16"/>
              </w:rPr>
            </w:pPr>
          </w:p>
        </w:tc>
        <w:tc>
          <w:tcPr>
            <w:tcW w:w="778" w:type="dxa"/>
          </w:tcPr>
          <w:p w14:paraId="39357F37" w14:textId="77777777" w:rsidR="00B67D7C" w:rsidRPr="00DE096C" w:rsidRDefault="00B67D7C" w:rsidP="00D45A46">
            <w:pPr>
              <w:shd w:val="clear" w:color="auto" w:fill="FFFFFF"/>
              <w:jc w:val="both"/>
              <w:rPr>
                <w:bCs/>
                <w:color w:val="002060"/>
                <w:sz w:val="16"/>
                <w:szCs w:val="16"/>
              </w:rPr>
            </w:pPr>
          </w:p>
          <w:p w14:paraId="545E4515" w14:textId="77777777" w:rsidR="00B67D7C" w:rsidRPr="00DE096C" w:rsidRDefault="00B67D7C" w:rsidP="00D45A46">
            <w:pPr>
              <w:shd w:val="clear" w:color="auto" w:fill="FFFFFF"/>
              <w:jc w:val="both"/>
              <w:rPr>
                <w:bCs/>
                <w:color w:val="002060"/>
                <w:sz w:val="16"/>
                <w:szCs w:val="16"/>
              </w:rPr>
            </w:pPr>
          </w:p>
        </w:tc>
        <w:tc>
          <w:tcPr>
            <w:tcW w:w="710" w:type="dxa"/>
          </w:tcPr>
          <w:p w14:paraId="3F8D2A3E" w14:textId="77777777" w:rsidR="00B67D7C" w:rsidRPr="00DE096C" w:rsidRDefault="00B67D7C" w:rsidP="00D45A46">
            <w:pPr>
              <w:shd w:val="clear" w:color="auto" w:fill="FFFFFF"/>
              <w:jc w:val="both"/>
              <w:rPr>
                <w:bCs/>
                <w:color w:val="002060"/>
                <w:sz w:val="16"/>
                <w:szCs w:val="16"/>
              </w:rPr>
            </w:pPr>
          </w:p>
          <w:p w14:paraId="259A70C8" w14:textId="77777777" w:rsidR="00B67D7C" w:rsidRPr="00DE096C" w:rsidRDefault="00B67D7C" w:rsidP="00D45A46">
            <w:pPr>
              <w:shd w:val="clear" w:color="auto" w:fill="FFFFFF"/>
              <w:jc w:val="both"/>
              <w:rPr>
                <w:bCs/>
                <w:color w:val="002060"/>
                <w:sz w:val="16"/>
                <w:szCs w:val="16"/>
              </w:rPr>
            </w:pPr>
          </w:p>
        </w:tc>
        <w:tc>
          <w:tcPr>
            <w:tcW w:w="1056" w:type="dxa"/>
          </w:tcPr>
          <w:p w14:paraId="30E55D7B" w14:textId="77777777" w:rsidR="00B67D7C" w:rsidRPr="00DE096C" w:rsidRDefault="00B67D7C" w:rsidP="00D45A46">
            <w:pPr>
              <w:shd w:val="clear" w:color="auto" w:fill="FFFFFF"/>
              <w:jc w:val="both"/>
              <w:rPr>
                <w:bCs/>
                <w:color w:val="002060"/>
                <w:sz w:val="16"/>
                <w:szCs w:val="16"/>
              </w:rPr>
            </w:pPr>
          </w:p>
          <w:p w14:paraId="6A4013B1" w14:textId="77777777" w:rsidR="00B67D7C" w:rsidRPr="00DE096C" w:rsidRDefault="00B67D7C" w:rsidP="00D45A46">
            <w:pPr>
              <w:shd w:val="clear" w:color="auto" w:fill="FFFFFF"/>
              <w:jc w:val="both"/>
              <w:rPr>
                <w:bCs/>
                <w:color w:val="002060"/>
                <w:sz w:val="16"/>
                <w:szCs w:val="16"/>
              </w:rPr>
            </w:pPr>
          </w:p>
        </w:tc>
      </w:tr>
      <w:tr w:rsidR="00B67D7C" w:rsidRPr="00DE096C" w14:paraId="3D48DFDE" w14:textId="77777777" w:rsidTr="00C2024A">
        <w:trPr>
          <w:trHeight w:val="182"/>
        </w:trPr>
        <w:tc>
          <w:tcPr>
            <w:tcW w:w="2429" w:type="dxa"/>
          </w:tcPr>
          <w:p w14:paraId="3E063BE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Капсюли-воспламенители</w:t>
            </w:r>
          </w:p>
          <w:p w14:paraId="1035591A" w14:textId="77777777" w:rsidR="00B67D7C" w:rsidRPr="00DE096C" w:rsidRDefault="00B67D7C" w:rsidP="00D45A46">
            <w:pPr>
              <w:shd w:val="clear" w:color="auto" w:fill="FFFFFF"/>
              <w:jc w:val="both"/>
              <w:rPr>
                <w:bCs/>
                <w:color w:val="002060"/>
                <w:sz w:val="16"/>
                <w:szCs w:val="16"/>
              </w:rPr>
            </w:pPr>
          </w:p>
        </w:tc>
        <w:tc>
          <w:tcPr>
            <w:tcW w:w="701" w:type="dxa"/>
          </w:tcPr>
          <w:p w14:paraId="69A7ECC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0,2</w:t>
            </w:r>
          </w:p>
          <w:p w14:paraId="6A342A58" w14:textId="77777777" w:rsidR="00B67D7C" w:rsidRPr="00DE096C" w:rsidRDefault="00B67D7C" w:rsidP="00D45A46">
            <w:pPr>
              <w:shd w:val="clear" w:color="auto" w:fill="FFFFFF"/>
              <w:jc w:val="both"/>
              <w:rPr>
                <w:bCs/>
                <w:color w:val="002060"/>
                <w:sz w:val="16"/>
                <w:szCs w:val="16"/>
              </w:rPr>
            </w:pPr>
          </w:p>
        </w:tc>
        <w:tc>
          <w:tcPr>
            <w:tcW w:w="778" w:type="dxa"/>
          </w:tcPr>
          <w:p w14:paraId="6E4962C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0,2</w:t>
            </w:r>
          </w:p>
          <w:p w14:paraId="10608E2C" w14:textId="77777777" w:rsidR="00B67D7C" w:rsidRPr="00DE096C" w:rsidRDefault="00B67D7C" w:rsidP="00D45A46">
            <w:pPr>
              <w:shd w:val="clear" w:color="auto" w:fill="FFFFFF"/>
              <w:jc w:val="both"/>
              <w:rPr>
                <w:bCs/>
                <w:color w:val="002060"/>
                <w:sz w:val="16"/>
                <w:szCs w:val="16"/>
              </w:rPr>
            </w:pPr>
          </w:p>
        </w:tc>
        <w:tc>
          <w:tcPr>
            <w:tcW w:w="768" w:type="dxa"/>
          </w:tcPr>
          <w:p w14:paraId="633AE1E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0,2</w:t>
            </w:r>
          </w:p>
          <w:p w14:paraId="64F97CC3" w14:textId="77777777" w:rsidR="00B67D7C" w:rsidRPr="00DE096C" w:rsidRDefault="00B67D7C" w:rsidP="00D45A46">
            <w:pPr>
              <w:shd w:val="clear" w:color="auto" w:fill="FFFFFF"/>
              <w:jc w:val="both"/>
              <w:rPr>
                <w:bCs/>
                <w:color w:val="002060"/>
                <w:sz w:val="16"/>
                <w:szCs w:val="16"/>
              </w:rPr>
            </w:pPr>
          </w:p>
        </w:tc>
        <w:tc>
          <w:tcPr>
            <w:tcW w:w="778" w:type="dxa"/>
          </w:tcPr>
          <w:p w14:paraId="52342BD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0,3</w:t>
            </w:r>
          </w:p>
          <w:p w14:paraId="3683B41F" w14:textId="77777777" w:rsidR="00B67D7C" w:rsidRPr="00DE096C" w:rsidRDefault="00B67D7C" w:rsidP="00D45A46">
            <w:pPr>
              <w:shd w:val="clear" w:color="auto" w:fill="FFFFFF"/>
              <w:jc w:val="both"/>
              <w:rPr>
                <w:bCs/>
                <w:color w:val="002060"/>
                <w:sz w:val="16"/>
                <w:szCs w:val="16"/>
              </w:rPr>
            </w:pPr>
          </w:p>
        </w:tc>
        <w:tc>
          <w:tcPr>
            <w:tcW w:w="758" w:type="dxa"/>
          </w:tcPr>
          <w:p w14:paraId="75A1E63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0,2</w:t>
            </w:r>
          </w:p>
          <w:p w14:paraId="5F0AE8AF" w14:textId="77777777" w:rsidR="00B67D7C" w:rsidRPr="00DE096C" w:rsidRDefault="00B67D7C" w:rsidP="00D45A46">
            <w:pPr>
              <w:shd w:val="clear" w:color="auto" w:fill="FFFFFF"/>
              <w:jc w:val="both"/>
              <w:rPr>
                <w:bCs/>
                <w:color w:val="002060"/>
                <w:sz w:val="16"/>
                <w:szCs w:val="16"/>
              </w:rPr>
            </w:pPr>
          </w:p>
        </w:tc>
        <w:tc>
          <w:tcPr>
            <w:tcW w:w="797" w:type="dxa"/>
          </w:tcPr>
          <w:p w14:paraId="408D6DB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0,2</w:t>
            </w:r>
          </w:p>
          <w:p w14:paraId="0CB623A1" w14:textId="77777777" w:rsidR="00B67D7C" w:rsidRPr="00DE096C" w:rsidRDefault="00B67D7C" w:rsidP="00D45A46">
            <w:pPr>
              <w:shd w:val="clear" w:color="auto" w:fill="FFFFFF"/>
              <w:jc w:val="both"/>
              <w:rPr>
                <w:bCs/>
                <w:color w:val="002060"/>
                <w:sz w:val="16"/>
                <w:szCs w:val="16"/>
              </w:rPr>
            </w:pPr>
          </w:p>
        </w:tc>
        <w:tc>
          <w:tcPr>
            <w:tcW w:w="768" w:type="dxa"/>
          </w:tcPr>
          <w:p w14:paraId="4281826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0,9</w:t>
            </w:r>
          </w:p>
          <w:p w14:paraId="7D754624" w14:textId="77777777" w:rsidR="00B67D7C" w:rsidRPr="00DE096C" w:rsidRDefault="00B67D7C" w:rsidP="00D45A46">
            <w:pPr>
              <w:shd w:val="clear" w:color="auto" w:fill="FFFFFF"/>
              <w:jc w:val="both"/>
              <w:rPr>
                <w:bCs/>
                <w:color w:val="002060"/>
                <w:sz w:val="16"/>
                <w:szCs w:val="16"/>
              </w:rPr>
            </w:pPr>
          </w:p>
        </w:tc>
        <w:tc>
          <w:tcPr>
            <w:tcW w:w="778" w:type="dxa"/>
          </w:tcPr>
          <w:p w14:paraId="1710DC4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1,7</w:t>
            </w:r>
          </w:p>
          <w:p w14:paraId="7CDF3361" w14:textId="77777777" w:rsidR="00B67D7C" w:rsidRPr="00DE096C" w:rsidRDefault="00B67D7C" w:rsidP="00D45A46">
            <w:pPr>
              <w:shd w:val="clear" w:color="auto" w:fill="FFFFFF"/>
              <w:jc w:val="both"/>
              <w:rPr>
                <w:bCs/>
                <w:color w:val="002060"/>
                <w:sz w:val="16"/>
                <w:szCs w:val="16"/>
              </w:rPr>
            </w:pPr>
          </w:p>
        </w:tc>
        <w:tc>
          <w:tcPr>
            <w:tcW w:w="710" w:type="dxa"/>
          </w:tcPr>
          <w:p w14:paraId="19C31B2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4,5"</w:t>
            </w:r>
          </w:p>
          <w:p w14:paraId="6CF59E60" w14:textId="77777777" w:rsidR="00B67D7C" w:rsidRPr="00DE096C" w:rsidRDefault="00B67D7C" w:rsidP="00D45A46">
            <w:pPr>
              <w:shd w:val="clear" w:color="auto" w:fill="FFFFFF"/>
              <w:jc w:val="both"/>
              <w:rPr>
                <w:bCs/>
                <w:color w:val="002060"/>
                <w:sz w:val="16"/>
                <w:szCs w:val="16"/>
              </w:rPr>
            </w:pPr>
          </w:p>
        </w:tc>
        <w:tc>
          <w:tcPr>
            <w:tcW w:w="1056" w:type="dxa"/>
          </w:tcPr>
          <w:p w14:paraId="25C9C8B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13,7</w:t>
            </w:r>
          </w:p>
          <w:p w14:paraId="492576BC" w14:textId="77777777" w:rsidR="00B67D7C" w:rsidRPr="00DE096C" w:rsidRDefault="00B67D7C" w:rsidP="00D45A46">
            <w:pPr>
              <w:shd w:val="clear" w:color="auto" w:fill="FFFFFF"/>
              <w:jc w:val="both"/>
              <w:rPr>
                <w:bCs/>
                <w:color w:val="002060"/>
                <w:sz w:val="16"/>
                <w:szCs w:val="16"/>
              </w:rPr>
            </w:pPr>
          </w:p>
        </w:tc>
      </w:tr>
      <w:tr w:rsidR="00B67D7C" w:rsidRPr="00DE096C" w14:paraId="23C3F616" w14:textId="77777777" w:rsidTr="00C2024A">
        <w:trPr>
          <w:trHeight w:val="173"/>
        </w:trPr>
        <w:tc>
          <w:tcPr>
            <w:tcW w:w="2429" w:type="dxa"/>
          </w:tcPr>
          <w:p w14:paraId="2FC10BC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трубочные</w:t>
            </w:r>
          </w:p>
          <w:p w14:paraId="1BECEF97" w14:textId="77777777" w:rsidR="00B67D7C" w:rsidRPr="00DE096C" w:rsidRDefault="00B67D7C" w:rsidP="00D45A46">
            <w:pPr>
              <w:shd w:val="clear" w:color="auto" w:fill="FFFFFF"/>
              <w:jc w:val="both"/>
              <w:rPr>
                <w:bCs/>
                <w:color w:val="002060"/>
                <w:sz w:val="16"/>
                <w:szCs w:val="16"/>
              </w:rPr>
            </w:pPr>
          </w:p>
        </w:tc>
        <w:tc>
          <w:tcPr>
            <w:tcW w:w="701" w:type="dxa"/>
          </w:tcPr>
          <w:p w14:paraId="6BB02CB9" w14:textId="77777777" w:rsidR="00B67D7C" w:rsidRPr="00DE096C" w:rsidRDefault="00B67D7C" w:rsidP="00D45A46">
            <w:pPr>
              <w:shd w:val="clear" w:color="auto" w:fill="FFFFFF"/>
              <w:jc w:val="both"/>
              <w:rPr>
                <w:bCs/>
                <w:color w:val="002060"/>
                <w:sz w:val="16"/>
                <w:szCs w:val="16"/>
              </w:rPr>
            </w:pPr>
          </w:p>
          <w:p w14:paraId="60B0B03D" w14:textId="77777777" w:rsidR="00B67D7C" w:rsidRPr="00DE096C" w:rsidRDefault="00B67D7C" w:rsidP="00D45A46">
            <w:pPr>
              <w:shd w:val="clear" w:color="auto" w:fill="FFFFFF"/>
              <w:jc w:val="both"/>
              <w:rPr>
                <w:bCs/>
                <w:color w:val="002060"/>
                <w:sz w:val="16"/>
                <w:szCs w:val="16"/>
              </w:rPr>
            </w:pPr>
          </w:p>
        </w:tc>
        <w:tc>
          <w:tcPr>
            <w:tcW w:w="778" w:type="dxa"/>
          </w:tcPr>
          <w:p w14:paraId="7565F7E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w:t>
            </w:r>
          </w:p>
          <w:p w14:paraId="63E3B699" w14:textId="77777777" w:rsidR="00B67D7C" w:rsidRPr="00DE096C" w:rsidRDefault="00B67D7C" w:rsidP="00D45A46">
            <w:pPr>
              <w:shd w:val="clear" w:color="auto" w:fill="FFFFFF"/>
              <w:jc w:val="both"/>
              <w:rPr>
                <w:bCs/>
                <w:color w:val="002060"/>
                <w:sz w:val="16"/>
                <w:szCs w:val="16"/>
              </w:rPr>
            </w:pPr>
          </w:p>
        </w:tc>
        <w:tc>
          <w:tcPr>
            <w:tcW w:w="768" w:type="dxa"/>
          </w:tcPr>
          <w:p w14:paraId="31E10498" w14:textId="77777777" w:rsidR="00B67D7C" w:rsidRPr="00DE096C" w:rsidRDefault="00B67D7C" w:rsidP="00D45A46">
            <w:pPr>
              <w:shd w:val="clear" w:color="auto" w:fill="FFFFFF"/>
              <w:jc w:val="both"/>
              <w:rPr>
                <w:bCs/>
                <w:color w:val="002060"/>
                <w:sz w:val="16"/>
                <w:szCs w:val="16"/>
              </w:rPr>
            </w:pPr>
          </w:p>
          <w:p w14:paraId="2079FC1C" w14:textId="77777777" w:rsidR="00B67D7C" w:rsidRPr="00DE096C" w:rsidRDefault="00B67D7C" w:rsidP="00D45A46">
            <w:pPr>
              <w:shd w:val="clear" w:color="auto" w:fill="FFFFFF"/>
              <w:jc w:val="both"/>
              <w:rPr>
                <w:bCs/>
                <w:color w:val="002060"/>
                <w:sz w:val="16"/>
                <w:szCs w:val="16"/>
              </w:rPr>
            </w:pPr>
          </w:p>
        </w:tc>
        <w:tc>
          <w:tcPr>
            <w:tcW w:w="778" w:type="dxa"/>
          </w:tcPr>
          <w:p w14:paraId="02C97D31" w14:textId="77777777" w:rsidR="00B67D7C" w:rsidRPr="00DE096C" w:rsidRDefault="00B67D7C" w:rsidP="00D45A46">
            <w:pPr>
              <w:shd w:val="clear" w:color="auto" w:fill="FFFFFF"/>
              <w:jc w:val="both"/>
              <w:rPr>
                <w:bCs/>
                <w:color w:val="002060"/>
                <w:sz w:val="16"/>
                <w:szCs w:val="16"/>
              </w:rPr>
            </w:pPr>
          </w:p>
          <w:p w14:paraId="06D46B10" w14:textId="77777777" w:rsidR="00B67D7C" w:rsidRPr="00DE096C" w:rsidRDefault="00B67D7C" w:rsidP="00D45A46">
            <w:pPr>
              <w:shd w:val="clear" w:color="auto" w:fill="FFFFFF"/>
              <w:jc w:val="both"/>
              <w:rPr>
                <w:bCs/>
                <w:color w:val="002060"/>
                <w:sz w:val="16"/>
                <w:szCs w:val="16"/>
              </w:rPr>
            </w:pPr>
          </w:p>
        </w:tc>
        <w:tc>
          <w:tcPr>
            <w:tcW w:w="758" w:type="dxa"/>
          </w:tcPr>
          <w:p w14:paraId="1E1C0960" w14:textId="77777777" w:rsidR="00B67D7C" w:rsidRPr="00DE096C" w:rsidRDefault="00B67D7C" w:rsidP="00D45A46">
            <w:pPr>
              <w:shd w:val="clear" w:color="auto" w:fill="FFFFFF"/>
              <w:jc w:val="both"/>
              <w:rPr>
                <w:bCs/>
                <w:color w:val="002060"/>
                <w:sz w:val="16"/>
                <w:szCs w:val="16"/>
              </w:rPr>
            </w:pPr>
          </w:p>
          <w:p w14:paraId="34A07A10" w14:textId="77777777" w:rsidR="00B67D7C" w:rsidRPr="00DE096C" w:rsidRDefault="00B67D7C" w:rsidP="00D45A46">
            <w:pPr>
              <w:shd w:val="clear" w:color="auto" w:fill="FFFFFF"/>
              <w:jc w:val="both"/>
              <w:rPr>
                <w:bCs/>
                <w:color w:val="002060"/>
                <w:sz w:val="16"/>
                <w:szCs w:val="16"/>
              </w:rPr>
            </w:pPr>
          </w:p>
        </w:tc>
        <w:tc>
          <w:tcPr>
            <w:tcW w:w="797" w:type="dxa"/>
          </w:tcPr>
          <w:p w14:paraId="0B778C5F" w14:textId="77777777" w:rsidR="00B67D7C" w:rsidRPr="00DE096C" w:rsidRDefault="00B67D7C" w:rsidP="00D45A46">
            <w:pPr>
              <w:shd w:val="clear" w:color="auto" w:fill="FFFFFF"/>
              <w:jc w:val="both"/>
              <w:rPr>
                <w:bCs/>
                <w:color w:val="002060"/>
                <w:sz w:val="16"/>
                <w:szCs w:val="16"/>
              </w:rPr>
            </w:pPr>
          </w:p>
          <w:p w14:paraId="0450DE76" w14:textId="77777777" w:rsidR="00B67D7C" w:rsidRPr="00DE096C" w:rsidRDefault="00B67D7C" w:rsidP="00D45A46">
            <w:pPr>
              <w:shd w:val="clear" w:color="auto" w:fill="FFFFFF"/>
              <w:jc w:val="both"/>
              <w:rPr>
                <w:bCs/>
                <w:color w:val="002060"/>
                <w:sz w:val="16"/>
                <w:szCs w:val="16"/>
              </w:rPr>
            </w:pPr>
          </w:p>
        </w:tc>
        <w:tc>
          <w:tcPr>
            <w:tcW w:w="768" w:type="dxa"/>
          </w:tcPr>
          <w:p w14:paraId="2D730AB4" w14:textId="77777777" w:rsidR="00B67D7C" w:rsidRPr="00DE096C" w:rsidRDefault="00B67D7C" w:rsidP="00D45A46">
            <w:pPr>
              <w:shd w:val="clear" w:color="auto" w:fill="FFFFFF"/>
              <w:jc w:val="both"/>
              <w:rPr>
                <w:bCs/>
                <w:color w:val="002060"/>
                <w:sz w:val="16"/>
                <w:szCs w:val="16"/>
              </w:rPr>
            </w:pPr>
          </w:p>
          <w:p w14:paraId="316E7591" w14:textId="77777777" w:rsidR="00B67D7C" w:rsidRPr="00DE096C" w:rsidRDefault="00B67D7C" w:rsidP="00D45A46">
            <w:pPr>
              <w:shd w:val="clear" w:color="auto" w:fill="FFFFFF"/>
              <w:jc w:val="both"/>
              <w:rPr>
                <w:bCs/>
                <w:color w:val="002060"/>
                <w:sz w:val="16"/>
                <w:szCs w:val="16"/>
              </w:rPr>
            </w:pPr>
          </w:p>
        </w:tc>
        <w:tc>
          <w:tcPr>
            <w:tcW w:w="778" w:type="dxa"/>
          </w:tcPr>
          <w:p w14:paraId="75A11985" w14:textId="77777777" w:rsidR="00B67D7C" w:rsidRPr="00DE096C" w:rsidRDefault="00B67D7C" w:rsidP="00D45A46">
            <w:pPr>
              <w:shd w:val="clear" w:color="auto" w:fill="FFFFFF"/>
              <w:jc w:val="both"/>
              <w:rPr>
                <w:bCs/>
                <w:color w:val="002060"/>
                <w:sz w:val="16"/>
                <w:szCs w:val="16"/>
              </w:rPr>
            </w:pPr>
          </w:p>
          <w:p w14:paraId="405D03B5" w14:textId="77777777" w:rsidR="00B67D7C" w:rsidRPr="00DE096C" w:rsidRDefault="00B67D7C" w:rsidP="00D45A46">
            <w:pPr>
              <w:shd w:val="clear" w:color="auto" w:fill="FFFFFF"/>
              <w:jc w:val="both"/>
              <w:rPr>
                <w:bCs/>
                <w:color w:val="002060"/>
                <w:sz w:val="16"/>
                <w:szCs w:val="16"/>
              </w:rPr>
            </w:pPr>
          </w:p>
        </w:tc>
        <w:tc>
          <w:tcPr>
            <w:tcW w:w="710" w:type="dxa"/>
          </w:tcPr>
          <w:p w14:paraId="4B6406B4" w14:textId="77777777" w:rsidR="00B67D7C" w:rsidRPr="00DE096C" w:rsidRDefault="00B67D7C" w:rsidP="00D45A46">
            <w:pPr>
              <w:shd w:val="clear" w:color="auto" w:fill="FFFFFF"/>
              <w:jc w:val="both"/>
              <w:rPr>
                <w:bCs/>
                <w:color w:val="002060"/>
                <w:sz w:val="16"/>
                <w:szCs w:val="16"/>
              </w:rPr>
            </w:pPr>
          </w:p>
          <w:p w14:paraId="5761F9F6" w14:textId="77777777" w:rsidR="00B67D7C" w:rsidRPr="00DE096C" w:rsidRDefault="00B67D7C" w:rsidP="00D45A46">
            <w:pPr>
              <w:shd w:val="clear" w:color="auto" w:fill="FFFFFF"/>
              <w:jc w:val="both"/>
              <w:rPr>
                <w:bCs/>
                <w:color w:val="002060"/>
                <w:sz w:val="16"/>
                <w:szCs w:val="16"/>
              </w:rPr>
            </w:pPr>
          </w:p>
        </w:tc>
        <w:tc>
          <w:tcPr>
            <w:tcW w:w="1056" w:type="dxa"/>
          </w:tcPr>
          <w:p w14:paraId="64BF32A6" w14:textId="77777777" w:rsidR="00B67D7C" w:rsidRPr="00DE096C" w:rsidRDefault="00B67D7C" w:rsidP="00D45A46">
            <w:pPr>
              <w:shd w:val="clear" w:color="auto" w:fill="FFFFFF"/>
              <w:jc w:val="both"/>
              <w:rPr>
                <w:bCs/>
                <w:color w:val="002060"/>
                <w:sz w:val="16"/>
                <w:szCs w:val="16"/>
              </w:rPr>
            </w:pPr>
          </w:p>
          <w:p w14:paraId="1606F3CE" w14:textId="77777777" w:rsidR="00B67D7C" w:rsidRPr="00DE096C" w:rsidRDefault="00B67D7C" w:rsidP="00D45A46">
            <w:pPr>
              <w:shd w:val="clear" w:color="auto" w:fill="FFFFFF"/>
              <w:jc w:val="both"/>
              <w:rPr>
                <w:bCs/>
                <w:color w:val="002060"/>
                <w:sz w:val="16"/>
                <w:szCs w:val="16"/>
              </w:rPr>
            </w:pPr>
          </w:p>
        </w:tc>
      </w:tr>
      <w:tr w:rsidR="00B67D7C" w:rsidRPr="00DE096C" w14:paraId="4E8DF04C" w14:textId="77777777" w:rsidTr="00C2024A">
        <w:trPr>
          <w:trHeight w:val="192"/>
        </w:trPr>
        <w:tc>
          <w:tcPr>
            <w:tcW w:w="2429" w:type="dxa"/>
          </w:tcPr>
          <w:p w14:paraId="2FC4721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Капсюльные втулки (снаря-</w:t>
            </w:r>
          </w:p>
          <w:p w14:paraId="1E5912B4" w14:textId="77777777" w:rsidR="00B67D7C" w:rsidRPr="00DE096C" w:rsidRDefault="00B67D7C" w:rsidP="00D45A46">
            <w:pPr>
              <w:shd w:val="clear" w:color="auto" w:fill="FFFFFF"/>
              <w:jc w:val="both"/>
              <w:rPr>
                <w:bCs/>
                <w:color w:val="002060"/>
                <w:sz w:val="16"/>
                <w:szCs w:val="16"/>
              </w:rPr>
            </w:pPr>
          </w:p>
        </w:tc>
        <w:tc>
          <w:tcPr>
            <w:tcW w:w="701" w:type="dxa"/>
          </w:tcPr>
          <w:p w14:paraId="5A2F480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0,3</w:t>
            </w:r>
          </w:p>
          <w:p w14:paraId="62EAF6B4" w14:textId="77777777" w:rsidR="00B67D7C" w:rsidRPr="00DE096C" w:rsidRDefault="00B67D7C" w:rsidP="00D45A46">
            <w:pPr>
              <w:shd w:val="clear" w:color="auto" w:fill="FFFFFF"/>
              <w:jc w:val="both"/>
              <w:rPr>
                <w:bCs/>
                <w:color w:val="002060"/>
                <w:sz w:val="16"/>
                <w:szCs w:val="16"/>
              </w:rPr>
            </w:pPr>
          </w:p>
        </w:tc>
        <w:tc>
          <w:tcPr>
            <w:tcW w:w="778" w:type="dxa"/>
          </w:tcPr>
          <w:p w14:paraId="6B07402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0,2</w:t>
            </w:r>
          </w:p>
          <w:p w14:paraId="10347C5F" w14:textId="77777777" w:rsidR="00B67D7C" w:rsidRPr="00DE096C" w:rsidRDefault="00B67D7C" w:rsidP="00D45A46">
            <w:pPr>
              <w:shd w:val="clear" w:color="auto" w:fill="FFFFFF"/>
              <w:jc w:val="both"/>
              <w:rPr>
                <w:bCs/>
                <w:color w:val="002060"/>
                <w:sz w:val="16"/>
                <w:szCs w:val="16"/>
              </w:rPr>
            </w:pPr>
          </w:p>
        </w:tc>
        <w:tc>
          <w:tcPr>
            <w:tcW w:w="768" w:type="dxa"/>
          </w:tcPr>
          <w:p w14:paraId="4894138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0,2</w:t>
            </w:r>
          </w:p>
          <w:p w14:paraId="73BD81F9" w14:textId="77777777" w:rsidR="00B67D7C" w:rsidRPr="00DE096C" w:rsidRDefault="00B67D7C" w:rsidP="00D45A46">
            <w:pPr>
              <w:shd w:val="clear" w:color="auto" w:fill="FFFFFF"/>
              <w:jc w:val="both"/>
              <w:rPr>
                <w:bCs/>
                <w:color w:val="002060"/>
                <w:sz w:val="16"/>
                <w:szCs w:val="16"/>
              </w:rPr>
            </w:pPr>
          </w:p>
        </w:tc>
        <w:tc>
          <w:tcPr>
            <w:tcW w:w="778" w:type="dxa"/>
          </w:tcPr>
          <w:p w14:paraId="4830113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0,2</w:t>
            </w:r>
          </w:p>
          <w:p w14:paraId="77102F48" w14:textId="77777777" w:rsidR="00B67D7C" w:rsidRPr="00DE096C" w:rsidRDefault="00B67D7C" w:rsidP="00D45A46">
            <w:pPr>
              <w:shd w:val="clear" w:color="auto" w:fill="FFFFFF"/>
              <w:jc w:val="both"/>
              <w:rPr>
                <w:bCs/>
                <w:color w:val="002060"/>
                <w:sz w:val="16"/>
                <w:szCs w:val="16"/>
              </w:rPr>
            </w:pPr>
          </w:p>
        </w:tc>
        <w:tc>
          <w:tcPr>
            <w:tcW w:w="758" w:type="dxa"/>
          </w:tcPr>
          <w:p w14:paraId="42F2DCF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0,2</w:t>
            </w:r>
          </w:p>
          <w:p w14:paraId="7A1484E3" w14:textId="77777777" w:rsidR="00B67D7C" w:rsidRPr="00DE096C" w:rsidRDefault="00B67D7C" w:rsidP="00D45A46">
            <w:pPr>
              <w:shd w:val="clear" w:color="auto" w:fill="FFFFFF"/>
              <w:jc w:val="both"/>
              <w:rPr>
                <w:bCs/>
                <w:color w:val="002060"/>
                <w:sz w:val="16"/>
                <w:szCs w:val="16"/>
              </w:rPr>
            </w:pPr>
          </w:p>
        </w:tc>
        <w:tc>
          <w:tcPr>
            <w:tcW w:w="797" w:type="dxa"/>
          </w:tcPr>
          <w:p w14:paraId="003AF46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6,3</w:t>
            </w:r>
          </w:p>
          <w:p w14:paraId="70BEB150" w14:textId="77777777" w:rsidR="00B67D7C" w:rsidRPr="00DE096C" w:rsidRDefault="00B67D7C" w:rsidP="00D45A46">
            <w:pPr>
              <w:shd w:val="clear" w:color="auto" w:fill="FFFFFF"/>
              <w:jc w:val="both"/>
              <w:rPr>
                <w:bCs/>
                <w:color w:val="002060"/>
                <w:sz w:val="16"/>
                <w:szCs w:val="16"/>
              </w:rPr>
            </w:pPr>
          </w:p>
        </w:tc>
        <w:tc>
          <w:tcPr>
            <w:tcW w:w="768" w:type="dxa"/>
          </w:tcPr>
          <w:p w14:paraId="5EA5361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0,4</w:t>
            </w:r>
          </w:p>
          <w:p w14:paraId="0319B58E" w14:textId="77777777" w:rsidR="00B67D7C" w:rsidRPr="00DE096C" w:rsidRDefault="00B67D7C" w:rsidP="00D45A46">
            <w:pPr>
              <w:shd w:val="clear" w:color="auto" w:fill="FFFFFF"/>
              <w:jc w:val="both"/>
              <w:rPr>
                <w:bCs/>
                <w:color w:val="002060"/>
                <w:sz w:val="16"/>
                <w:szCs w:val="16"/>
              </w:rPr>
            </w:pPr>
          </w:p>
        </w:tc>
        <w:tc>
          <w:tcPr>
            <w:tcW w:w="778" w:type="dxa"/>
          </w:tcPr>
          <w:p w14:paraId="0C56B2D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0,5</w:t>
            </w:r>
          </w:p>
          <w:p w14:paraId="7517F364" w14:textId="77777777" w:rsidR="00B67D7C" w:rsidRPr="00DE096C" w:rsidRDefault="00B67D7C" w:rsidP="00D45A46">
            <w:pPr>
              <w:shd w:val="clear" w:color="auto" w:fill="FFFFFF"/>
              <w:jc w:val="both"/>
              <w:rPr>
                <w:bCs/>
                <w:color w:val="002060"/>
                <w:sz w:val="16"/>
                <w:szCs w:val="16"/>
              </w:rPr>
            </w:pPr>
          </w:p>
        </w:tc>
        <w:tc>
          <w:tcPr>
            <w:tcW w:w="710" w:type="dxa"/>
          </w:tcPr>
          <w:p w14:paraId="32E13BE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3,7</w:t>
            </w:r>
          </w:p>
          <w:p w14:paraId="05C2FB56" w14:textId="77777777" w:rsidR="00B67D7C" w:rsidRPr="00DE096C" w:rsidRDefault="00B67D7C" w:rsidP="00D45A46">
            <w:pPr>
              <w:shd w:val="clear" w:color="auto" w:fill="FFFFFF"/>
              <w:jc w:val="both"/>
              <w:rPr>
                <w:bCs/>
                <w:color w:val="002060"/>
                <w:sz w:val="16"/>
                <w:szCs w:val="16"/>
              </w:rPr>
            </w:pPr>
          </w:p>
        </w:tc>
        <w:tc>
          <w:tcPr>
            <w:tcW w:w="1056" w:type="dxa"/>
          </w:tcPr>
          <w:p w14:paraId="2430C87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7,9</w:t>
            </w:r>
          </w:p>
          <w:p w14:paraId="7E8850BA" w14:textId="77777777" w:rsidR="00B67D7C" w:rsidRPr="00DE096C" w:rsidRDefault="00B67D7C" w:rsidP="00D45A46">
            <w:pPr>
              <w:shd w:val="clear" w:color="auto" w:fill="FFFFFF"/>
              <w:jc w:val="both"/>
              <w:rPr>
                <w:bCs/>
                <w:color w:val="002060"/>
                <w:sz w:val="16"/>
                <w:szCs w:val="16"/>
              </w:rPr>
            </w:pPr>
          </w:p>
        </w:tc>
      </w:tr>
      <w:tr w:rsidR="00B67D7C" w:rsidRPr="00DE096C" w14:paraId="1A661C94" w14:textId="77777777" w:rsidTr="00C2024A">
        <w:trPr>
          <w:trHeight w:val="134"/>
        </w:trPr>
        <w:tc>
          <w:tcPr>
            <w:tcW w:w="2429" w:type="dxa"/>
          </w:tcPr>
          <w:p w14:paraId="36486FD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жение)</w:t>
            </w:r>
          </w:p>
          <w:p w14:paraId="13F7A250" w14:textId="77777777" w:rsidR="00B67D7C" w:rsidRPr="00DE096C" w:rsidRDefault="00B67D7C" w:rsidP="00D45A46">
            <w:pPr>
              <w:shd w:val="clear" w:color="auto" w:fill="FFFFFF"/>
              <w:jc w:val="both"/>
              <w:rPr>
                <w:bCs/>
                <w:color w:val="002060"/>
                <w:sz w:val="16"/>
                <w:szCs w:val="16"/>
              </w:rPr>
            </w:pPr>
          </w:p>
        </w:tc>
        <w:tc>
          <w:tcPr>
            <w:tcW w:w="701" w:type="dxa"/>
          </w:tcPr>
          <w:p w14:paraId="1E1A9FAC" w14:textId="77777777" w:rsidR="00B67D7C" w:rsidRPr="00DE096C" w:rsidRDefault="00B67D7C" w:rsidP="00D45A46">
            <w:pPr>
              <w:shd w:val="clear" w:color="auto" w:fill="FFFFFF"/>
              <w:jc w:val="both"/>
              <w:rPr>
                <w:bCs/>
                <w:color w:val="002060"/>
                <w:sz w:val="16"/>
                <w:szCs w:val="16"/>
              </w:rPr>
            </w:pPr>
          </w:p>
          <w:p w14:paraId="7E6C3D55" w14:textId="77777777" w:rsidR="00B67D7C" w:rsidRPr="00DE096C" w:rsidRDefault="00B67D7C" w:rsidP="00D45A46">
            <w:pPr>
              <w:shd w:val="clear" w:color="auto" w:fill="FFFFFF"/>
              <w:jc w:val="both"/>
              <w:rPr>
                <w:bCs/>
                <w:color w:val="002060"/>
                <w:sz w:val="16"/>
                <w:szCs w:val="16"/>
              </w:rPr>
            </w:pPr>
          </w:p>
        </w:tc>
        <w:tc>
          <w:tcPr>
            <w:tcW w:w="778" w:type="dxa"/>
          </w:tcPr>
          <w:p w14:paraId="1979DA65" w14:textId="77777777" w:rsidR="00B67D7C" w:rsidRPr="00DE096C" w:rsidRDefault="00B67D7C" w:rsidP="00D45A46">
            <w:pPr>
              <w:shd w:val="clear" w:color="auto" w:fill="FFFFFF"/>
              <w:jc w:val="both"/>
              <w:rPr>
                <w:bCs/>
                <w:color w:val="002060"/>
                <w:sz w:val="16"/>
                <w:szCs w:val="16"/>
              </w:rPr>
            </w:pPr>
          </w:p>
          <w:p w14:paraId="72BC198C" w14:textId="77777777" w:rsidR="00B67D7C" w:rsidRPr="00DE096C" w:rsidRDefault="00B67D7C" w:rsidP="00D45A46">
            <w:pPr>
              <w:shd w:val="clear" w:color="auto" w:fill="FFFFFF"/>
              <w:jc w:val="both"/>
              <w:rPr>
                <w:bCs/>
                <w:color w:val="002060"/>
                <w:sz w:val="16"/>
                <w:szCs w:val="16"/>
              </w:rPr>
            </w:pPr>
          </w:p>
        </w:tc>
        <w:tc>
          <w:tcPr>
            <w:tcW w:w="768" w:type="dxa"/>
          </w:tcPr>
          <w:p w14:paraId="352D0D4A" w14:textId="77777777" w:rsidR="00B67D7C" w:rsidRPr="00DE096C" w:rsidRDefault="00B67D7C" w:rsidP="00D45A46">
            <w:pPr>
              <w:shd w:val="clear" w:color="auto" w:fill="FFFFFF"/>
              <w:jc w:val="both"/>
              <w:rPr>
                <w:bCs/>
                <w:color w:val="002060"/>
                <w:sz w:val="16"/>
                <w:szCs w:val="16"/>
              </w:rPr>
            </w:pPr>
          </w:p>
          <w:p w14:paraId="1C63AC6C" w14:textId="77777777" w:rsidR="00B67D7C" w:rsidRPr="00DE096C" w:rsidRDefault="00B67D7C" w:rsidP="00D45A46">
            <w:pPr>
              <w:shd w:val="clear" w:color="auto" w:fill="FFFFFF"/>
              <w:jc w:val="both"/>
              <w:rPr>
                <w:bCs/>
                <w:color w:val="002060"/>
                <w:sz w:val="16"/>
                <w:szCs w:val="16"/>
              </w:rPr>
            </w:pPr>
          </w:p>
        </w:tc>
        <w:tc>
          <w:tcPr>
            <w:tcW w:w="778" w:type="dxa"/>
          </w:tcPr>
          <w:p w14:paraId="36DA6B39" w14:textId="77777777" w:rsidR="00B67D7C" w:rsidRPr="00DE096C" w:rsidRDefault="00B67D7C" w:rsidP="00D45A46">
            <w:pPr>
              <w:shd w:val="clear" w:color="auto" w:fill="FFFFFF"/>
              <w:jc w:val="both"/>
              <w:rPr>
                <w:bCs/>
                <w:color w:val="002060"/>
                <w:sz w:val="16"/>
                <w:szCs w:val="16"/>
              </w:rPr>
            </w:pPr>
          </w:p>
          <w:p w14:paraId="74504830" w14:textId="77777777" w:rsidR="00B67D7C" w:rsidRPr="00DE096C" w:rsidRDefault="00B67D7C" w:rsidP="00D45A46">
            <w:pPr>
              <w:shd w:val="clear" w:color="auto" w:fill="FFFFFF"/>
              <w:jc w:val="both"/>
              <w:rPr>
                <w:bCs/>
                <w:color w:val="002060"/>
                <w:sz w:val="16"/>
                <w:szCs w:val="16"/>
              </w:rPr>
            </w:pPr>
          </w:p>
        </w:tc>
        <w:tc>
          <w:tcPr>
            <w:tcW w:w="758" w:type="dxa"/>
          </w:tcPr>
          <w:p w14:paraId="46EE5B83" w14:textId="77777777" w:rsidR="00B67D7C" w:rsidRPr="00DE096C" w:rsidRDefault="00B67D7C" w:rsidP="00D45A46">
            <w:pPr>
              <w:shd w:val="clear" w:color="auto" w:fill="FFFFFF"/>
              <w:jc w:val="both"/>
              <w:rPr>
                <w:bCs/>
                <w:color w:val="002060"/>
                <w:sz w:val="16"/>
                <w:szCs w:val="16"/>
              </w:rPr>
            </w:pPr>
          </w:p>
          <w:p w14:paraId="41399704" w14:textId="77777777" w:rsidR="00B67D7C" w:rsidRPr="00DE096C" w:rsidRDefault="00B67D7C" w:rsidP="00D45A46">
            <w:pPr>
              <w:shd w:val="clear" w:color="auto" w:fill="FFFFFF"/>
              <w:jc w:val="both"/>
              <w:rPr>
                <w:bCs/>
                <w:color w:val="002060"/>
                <w:sz w:val="16"/>
                <w:szCs w:val="16"/>
              </w:rPr>
            </w:pPr>
          </w:p>
        </w:tc>
        <w:tc>
          <w:tcPr>
            <w:tcW w:w="797" w:type="dxa"/>
          </w:tcPr>
          <w:p w14:paraId="596359E8" w14:textId="77777777" w:rsidR="00B67D7C" w:rsidRPr="00DE096C" w:rsidRDefault="00B67D7C" w:rsidP="00D45A46">
            <w:pPr>
              <w:shd w:val="clear" w:color="auto" w:fill="FFFFFF"/>
              <w:jc w:val="both"/>
              <w:rPr>
                <w:bCs/>
                <w:color w:val="002060"/>
                <w:sz w:val="16"/>
                <w:szCs w:val="16"/>
              </w:rPr>
            </w:pPr>
          </w:p>
          <w:p w14:paraId="537CF0DF" w14:textId="77777777" w:rsidR="00B67D7C" w:rsidRPr="00DE096C" w:rsidRDefault="00B67D7C" w:rsidP="00D45A46">
            <w:pPr>
              <w:shd w:val="clear" w:color="auto" w:fill="FFFFFF"/>
              <w:jc w:val="both"/>
              <w:rPr>
                <w:bCs/>
                <w:color w:val="002060"/>
                <w:sz w:val="16"/>
                <w:szCs w:val="16"/>
              </w:rPr>
            </w:pPr>
          </w:p>
        </w:tc>
        <w:tc>
          <w:tcPr>
            <w:tcW w:w="768" w:type="dxa"/>
          </w:tcPr>
          <w:p w14:paraId="7B3181CF" w14:textId="77777777" w:rsidR="00B67D7C" w:rsidRPr="00DE096C" w:rsidRDefault="00B67D7C" w:rsidP="00D45A46">
            <w:pPr>
              <w:shd w:val="clear" w:color="auto" w:fill="FFFFFF"/>
              <w:jc w:val="both"/>
              <w:rPr>
                <w:bCs/>
                <w:color w:val="002060"/>
                <w:sz w:val="16"/>
                <w:szCs w:val="16"/>
              </w:rPr>
            </w:pPr>
          </w:p>
          <w:p w14:paraId="354DEA7F" w14:textId="77777777" w:rsidR="00B67D7C" w:rsidRPr="00DE096C" w:rsidRDefault="00B67D7C" w:rsidP="00D45A46">
            <w:pPr>
              <w:shd w:val="clear" w:color="auto" w:fill="FFFFFF"/>
              <w:jc w:val="both"/>
              <w:rPr>
                <w:bCs/>
                <w:color w:val="002060"/>
                <w:sz w:val="16"/>
                <w:szCs w:val="16"/>
              </w:rPr>
            </w:pPr>
          </w:p>
        </w:tc>
        <w:tc>
          <w:tcPr>
            <w:tcW w:w="778" w:type="dxa"/>
          </w:tcPr>
          <w:p w14:paraId="0929CD34" w14:textId="77777777" w:rsidR="00B67D7C" w:rsidRPr="00DE096C" w:rsidRDefault="00B67D7C" w:rsidP="00D45A46">
            <w:pPr>
              <w:shd w:val="clear" w:color="auto" w:fill="FFFFFF"/>
              <w:jc w:val="both"/>
              <w:rPr>
                <w:bCs/>
                <w:color w:val="002060"/>
                <w:sz w:val="16"/>
                <w:szCs w:val="16"/>
              </w:rPr>
            </w:pPr>
          </w:p>
          <w:p w14:paraId="23B1E6CF" w14:textId="77777777" w:rsidR="00B67D7C" w:rsidRPr="00DE096C" w:rsidRDefault="00B67D7C" w:rsidP="00D45A46">
            <w:pPr>
              <w:shd w:val="clear" w:color="auto" w:fill="FFFFFF"/>
              <w:jc w:val="both"/>
              <w:rPr>
                <w:bCs/>
                <w:color w:val="002060"/>
                <w:sz w:val="16"/>
                <w:szCs w:val="16"/>
              </w:rPr>
            </w:pPr>
          </w:p>
        </w:tc>
        <w:tc>
          <w:tcPr>
            <w:tcW w:w="710" w:type="dxa"/>
          </w:tcPr>
          <w:p w14:paraId="7AF05F66" w14:textId="77777777" w:rsidR="00B67D7C" w:rsidRPr="00DE096C" w:rsidRDefault="00B67D7C" w:rsidP="00D45A46">
            <w:pPr>
              <w:shd w:val="clear" w:color="auto" w:fill="FFFFFF"/>
              <w:jc w:val="both"/>
              <w:rPr>
                <w:bCs/>
                <w:color w:val="002060"/>
                <w:sz w:val="16"/>
                <w:szCs w:val="16"/>
              </w:rPr>
            </w:pPr>
          </w:p>
          <w:p w14:paraId="7288C1D7" w14:textId="77777777" w:rsidR="00B67D7C" w:rsidRPr="00DE096C" w:rsidRDefault="00B67D7C" w:rsidP="00D45A46">
            <w:pPr>
              <w:shd w:val="clear" w:color="auto" w:fill="FFFFFF"/>
              <w:jc w:val="both"/>
              <w:rPr>
                <w:bCs/>
                <w:color w:val="002060"/>
                <w:sz w:val="16"/>
                <w:szCs w:val="16"/>
              </w:rPr>
            </w:pPr>
          </w:p>
        </w:tc>
        <w:tc>
          <w:tcPr>
            <w:tcW w:w="1056" w:type="dxa"/>
          </w:tcPr>
          <w:p w14:paraId="038143A1" w14:textId="77777777" w:rsidR="00B67D7C" w:rsidRPr="00DE096C" w:rsidRDefault="00B67D7C" w:rsidP="00D45A46">
            <w:pPr>
              <w:shd w:val="clear" w:color="auto" w:fill="FFFFFF"/>
              <w:jc w:val="both"/>
              <w:rPr>
                <w:bCs/>
                <w:color w:val="002060"/>
                <w:sz w:val="16"/>
                <w:szCs w:val="16"/>
              </w:rPr>
            </w:pPr>
          </w:p>
          <w:p w14:paraId="110C27F8" w14:textId="77777777" w:rsidR="00B67D7C" w:rsidRPr="00DE096C" w:rsidRDefault="00B67D7C" w:rsidP="00D45A46">
            <w:pPr>
              <w:shd w:val="clear" w:color="auto" w:fill="FFFFFF"/>
              <w:jc w:val="both"/>
              <w:rPr>
                <w:bCs/>
                <w:color w:val="002060"/>
                <w:sz w:val="16"/>
                <w:szCs w:val="16"/>
              </w:rPr>
            </w:pPr>
          </w:p>
        </w:tc>
      </w:tr>
      <w:tr w:rsidR="00B67D7C" w:rsidRPr="00DE096C" w14:paraId="7AAA5006" w14:textId="77777777" w:rsidTr="00C2024A">
        <w:trPr>
          <w:trHeight w:val="182"/>
        </w:trPr>
        <w:tc>
          <w:tcPr>
            <w:tcW w:w="2429" w:type="dxa"/>
          </w:tcPr>
          <w:p w14:paraId="5A63182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Капсюли-детонаторы</w:t>
            </w:r>
          </w:p>
          <w:p w14:paraId="26A38251" w14:textId="77777777" w:rsidR="00B67D7C" w:rsidRPr="00DE096C" w:rsidRDefault="00B67D7C" w:rsidP="00D45A46">
            <w:pPr>
              <w:shd w:val="clear" w:color="auto" w:fill="FFFFFF"/>
              <w:jc w:val="both"/>
              <w:rPr>
                <w:bCs/>
                <w:color w:val="002060"/>
                <w:sz w:val="16"/>
                <w:szCs w:val="16"/>
              </w:rPr>
            </w:pPr>
          </w:p>
        </w:tc>
        <w:tc>
          <w:tcPr>
            <w:tcW w:w="701" w:type="dxa"/>
          </w:tcPr>
          <w:p w14:paraId="69CB1C9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w:t>
            </w:r>
          </w:p>
          <w:p w14:paraId="3014AB6B" w14:textId="77777777" w:rsidR="00B67D7C" w:rsidRPr="00DE096C" w:rsidRDefault="00B67D7C" w:rsidP="00D45A46">
            <w:pPr>
              <w:shd w:val="clear" w:color="auto" w:fill="FFFFFF"/>
              <w:jc w:val="both"/>
              <w:rPr>
                <w:bCs/>
                <w:color w:val="002060"/>
                <w:sz w:val="16"/>
                <w:szCs w:val="16"/>
              </w:rPr>
            </w:pPr>
          </w:p>
        </w:tc>
        <w:tc>
          <w:tcPr>
            <w:tcW w:w="778" w:type="dxa"/>
          </w:tcPr>
          <w:p w14:paraId="2400E43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w:t>
            </w:r>
          </w:p>
          <w:p w14:paraId="513EE7BE" w14:textId="77777777" w:rsidR="00B67D7C" w:rsidRPr="00DE096C" w:rsidRDefault="00B67D7C" w:rsidP="00D45A46">
            <w:pPr>
              <w:shd w:val="clear" w:color="auto" w:fill="FFFFFF"/>
              <w:jc w:val="both"/>
              <w:rPr>
                <w:bCs/>
                <w:color w:val="002060"/>
                <w:sz w:val="16"/>
                <w:szCs w:val="16"/>
              </w:rPr>
            </w:pPr>
          </w:p>
        </w:tc>
        <w:tc>
          <w:tcPr>
            <w:tcW w:w="768" w:type="dxa"/>
          </w:tcPr>
          <w:p w14:paraId="754D49D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w:t>
            </w:r>
          </w:p>
          <w:p w14:paraId="31170444" w14:textId="77777777" w:rsidR="00B67D7C" w:rsidRPr="00DE096C" w:rsidRDefault="00B67D7C" w:rsidP="00D45A46">
            <w:pPr>
              <w:shd w:val="clear" w:color="auto" w:fill="FFFFFF"/>
              <w:jc w:val="both"/>
              <w:rPr>
                <w:bCs/>
                <w:color w:val="002060"/>
                <w:sz w:val="16"/>
                <w:szCs w:val="16"/>
              </w:rPr>
            </w:pPr>
          </w:p>
        </w:tc>
        <w:tc>
          <w:tcPr>
            <w:tcW w:w="778" w:type="dxa"/>
          </w:tcPr>
          <w:p w14:paraId="5B0B770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w:t>
            </w:r>
          </w:p>
          <w:p w14:paraId="61E2F919" w14:textId="77777777" w:rsidR="00B67D7C" w:rsidRPr="00DE096C" w:rsidRDefault="00B67D7C" w:rsidP="00D45A46">
            <w:pPr>
              <w:shd w:val="clear" w:color="auto" w:fill="FFFFFF"/>
              <w:jc w:val="both"/>
              <w:rPr>
                <w:bCs/>
                <w:color w:val="002060"/>
                <w:sz w:val="16"/>
                <w:szCs w:val="16"/>
              </w:rPr>
            </w:pPr>
          </w:p>
        </w:tc>
        <w:tc>
          <w:tcPr>
            <w:tcW w:w="758" w:type="dxa"/>
          </w:tcPr>
          <w:p w14:paraId="5B7B29F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w:t>
            </w:r>
          </w:p>
          <w:p w14:paraId="1F04F80A" w14:textId="77777777" w:rsidR="00B67D7C" w:rsidRPr="00DE096C" w:rsidRDefault="00B67D7C" w:rsidP="00D45A46">
            <w:pPr>
              <w:shd w:val="clear" w:color="auto" w:fill="FFFFFF"/>
              <w:jc w:val="both"/>
              <w:rPr>
                <w:bCs/>
                <w:color w:val="002060"/>
                <w:sz w:val="16"/>
                <w:szCs w:val="16"/>
              </w:rPr>
            </w:pPr>
          </w:p>
        </w:tc>
        <w:tc>
          <w:tcPr>
            <w:tcW w:w="797" w:type="dxa"/>
          </w:tcPr>
          <w:p w14:paraId="1CAC6A4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w:t>
            </w:r>
          </w:p>
          <w:p w14:paraId="1D760D0C" w14:textId="77777777" w:rsidR="00B67D7C" w:rsidRPr="00DE096C" w:rsidRDefault="00B67D7C" w:rsidP="00D45A46">
            <w:pPr>
              <w:shd w:val="clear" w:color="auto" w:fill="FFFFFF"/>
              <w:jc w:val="both"/>
              <w:rPr>
                <w:bCs/>
                <w:color w:val="002060"/>
                <w:sz w:val="16"/>
                <w:szCs w:val="16"/>
              </w:rPr>
            </w:pPr>
          </w:p>
        </w:tc>
        <w:tc>
          <w:tcPr>
            <w:tcW w:w="768" w:type="dxa"/>
          </w:tcPr>
          <w:p w14:paraId="54DF446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w:t>
            </w:r>
          </w:p>
          <w:p w14:paraId="144EE780" w14:textId="77777777" w:rsidR="00B67D7C" w:rsidRPr="00DE096C" w:rsidRDefault="00B67D7C" w:rsidP="00D45A46">
            <w:pPr>
              <w:shd w:val="clear" w:color="auto" w:fill="FFFFFF"/>
              <w:jc w:val="both"/>
              <w:rPr>
                <w:bCs/>
                <w:color w:val="002060"/>
                <w:sz w:val="16"/>
                <w:szCs w:val="16"/>
              </w:rPr>
            </w:pPr>
          </w:p>
        </w:tc>
        <w:tc>
          <w:tcPr>
            <w:tcW w:w="778" w:type="dxa"/>
          </w:tcPr>
          <w:p w14:paraId="3213DE1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w:t>
            </w:r>
          </w:p>
          <w:p w14:paraId="3F3AC702" w14:textId="77777777" w:rsidR="00B67D7C" w:rsidRPr="00DE096C" w:rsidRDefault="00B67D7C" w:rsidP="00D45A46">
            <w:pPr>
              <w:shd w:val="clear" w:color="auto" w:fill="FFFFFF"/>
              <w:jc w:val="both"/>
              <w:rPr>
                <w:bCs/>
                <w:color w:val="002060"/>
                <w:sz w:val="16"/>
                <w:szCs w:val="16"/>
              </w:rPr>
            </w:pPr>
          </w:p>
        </w:tc>
        <w:tc>
          <w:tcPr>
            <w:tcW w:w="710" w:type="dxa"/>
          </w:tcPr>
          <w:p w14:paraId="4CF15E3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2,9</w:t>
            </w:r>
          </w:p>
          <w:p w14:paraId="62B8FAB6" w14:textId="77777777" w:rsidR="00B67D7C" w:rsidRPr="00DE096C" w:rsidRDefault="00B67D7C" w:rsidP="00D45A46">
            <w:pPr>
              <w:shd w:val="clear" w:color="auto" w:fill="FFFFFF"/>
              <w:jc w:val="both"/>
              <w:rPr>
                <w:bCs/>
                <w:color w:val="002060"/>
                <w:sz w:val="16"/>
                <w:szCs w:val="16"/>
              </w:rPr>
            </w:pPr>
          </w:p>
        </w:tc>
        <w:tc>
          <w:tcPr>
            <w:tcW w:w="1056" w:type="dxa"/>
          </w:tcPr>
          <w:p w14:paraId="6D770CE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9,5</w:t>
            </w:r>
          </w:p>
          <w:p w14:paraId="0B37E71F" w14:textId="77777777" w:rsidR="00B67D7C" w:rsidRPr="00DE096C" w:rsidRDefault="00B67D7C" w:rsidP="00D45A46">
            <w:pPr>
              <w:shd w:val="clear" w:color="auto" w:fill="FFFFFF"/>
              <w:jc w:val="both"/>
              <w:rPr>
                <w:bCs/>
                <w:color w:val="002060"/>
                <w:sz w:val="16"/>
                <w:szCs w:val="16"/>
              </w:rPr>
            </w:pPr>
          </w:p>
        </w:tc>
      </w:tr>
      <w:tr w:rsidR="00B67D7C" w:rsidRPr="00DE096C" w14:paraId="5589586E" w14:textId="77777777" w:rsidTr="00C2024A">
        <w:trPr>
          <w:trHeight w:val="384"/>
        </w:trPr>
        <w:tc>
          <w:tcPr>
            <w:tcW w:w="2429" w:type="dxa"/>
          </w:tcPr>
          <w:p w14:paraId="72CCE61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Запалы для ручных гранат</w:t>
            </w:r>
          </w:p>
          <w:p w14:paraId="39A51B7D" w14:textId="77777777" w:rsidR="00B67D7C" w:rsidRPr="00DE096C" w:rsidRDefault="00B67D7C" w:rsidP="00D45A46">
            <w:pPr>
              <w:shd w:val="clear" w:color="auto" w:fill="FFFFFF"/>
              <w:jc w:val="both"/>
              <w:rPr>
                <w:bCs/>
                <w:color w:val="002060"/>
                <w:sz w:val="16"/>
                <w:szCs w:val="16"/>
              </w:rPr>
            </w:pPr>
          </w:p>
        </w:tc>
        <w:tc>
          <w:tcPr>
            <w:tcW w:w="701" w:type="dxa"/>
          </w:tcPr>
          <w:p w14:paraId="0E1C575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w:t>
            </w:r>
          </w:p>
          <w:p w14:paraId="7050532A" w14:textId="77777777" w:rsidR="00B67D7C" w:rsidRPr="00DE096C" w:rsidRDefault="00B67D7C" w:rsidP="00D45A46">
            <w:pPr>
              <w:shd w:val="clear" w:color="auto" w:fill="FFFFFF"/>
              <w:jc w:val="both"/>
              <w:rPr>
                <w:bCs/>
                <w:color w:val="002060"/>
                <w:sz w:val="16"/>
                <w:szCs w:val="16"/>
              </w:rPr>
            </w:pPr>
          </w:p>
        </w:tc>
        <w:tc>
          <w:tcPr>
            <w:tcW w:w="778" w:type="dxa"/>
          </w:tcPr>
          <w:p w14:paraId="54935DE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w:t>
            </w:r>
          </w:p>
          <w:p w14:paraId="34874E0D" w14:textId="77777777" w:rsidR="00B67D7C" w:rsidRPr="00DE096C" w:rsidRDefault="00B67D7C" w:rsidP="00D45A46">
            <w:pPr>
              <w:shd w:val="clear" w:color="auto" w:fill="FFFFFF"/>
              <w:jc w:val="both"/>
              <w:rPr>
                <w:bCs/>
                <w:color w:val="002060"/>
                <w:sz w:val="16"/>
                <w:szCs w:val="16"/>
              </w:rPr>
            </w:pPr>
          </w:p>
        </w:tc>
        <w:tc>
          <w:tcPr>
            <w:tcW w:w="768" w:type="dxa"/>
          </w:tcPr>
          <w:p w14:paraId="45CA135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w:t>
            </w:r>
          </w:p>
          <w:p w14:paraId="74553A3C" w14:textId="77777777" w:rsidR="00B67D7C" w:rsidRPr="00DE096C" w:rsidRDefault="00B67D7C" w:rsidP="00D45A46">
            <w:pPr>
              <w:shd w:val="clear" w:color="auto" w:fill="FFFFFF"/>
              <w:jc w:val="both"/>
              <w:rPr>
                <w:bCs/>
                <w:color w:val="002060"/>
                <w:sz w:val="16"/>
                <w:szCs w:val="16"/>
              </w:rPr>
            </w:pPr>
          </w:p>
        </w:tc>
        <w:tc>
          <w:tcPr>
            <w:tcW w:w="778" w:type="dxa"/>
          </w:tcPr>
          <w:p w14:paraId="04A8082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w:t>
            </w:r>
          </w:p>
          <w:p w14:paraId="3D4CCF67" w14:textId="77777777" w:rsidR="00B67D7C" w:rsidRPr="00DE096C" w:rsidRDefault="00B67D7C" w:rsidP="00D45A46">
            <w:pPr>
              <w:shd w:val="clear" w:color="auto" w:fill="FFFFFF"/>
              <w:jc w:val="both"/>
              <w:rPr>
                <w:bCs/>
                <w:color w:val="002060"/>
                <w:sz w:val="16"/>
                <w:szCs w:val="16"/>
              </w:rPr>
            </w:pPr>
          </w:p>
        </w:tc>
        <w:tc>
          <w:tcPr>
            <w:tcW w:w="758" w:type="dxa"/>
          </w:tcPr>
          <w:p w14:paraId="46BD6E1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w:t>
            </w:r>
          </w:p>
          <w:p w14:paraId="6C357A17" w14:textId="77777777" w:rsidR="00B67D7C" w:rsidRPr="00DE096C" w:rsidRDefault="00B67D7C" w:rsidP="00D45A46">
            <w:pPr>
              <w:shd w:val="clear" w:color="auto" w:fill="FFFFFF"/>
              <w:jc w:val="both"/>
              <w:rPr>
                <w:bCs/>
                <w:color w:val="002060"/>
                <w:sz w:val="16"/>
                <w:szCs w:val="16"/>
              </w:rPr>
            </w:pPr>
          </w:p>
        </w:tc>
        <w:tc>
          <w:tcPr>
            <w:tcW w:w="797" w:type="dxa"/>
          </w:tcPr>
          <w:p w14:paraId="5A99A95C" w14:textId="77777777" w:rsidR="00B67D7C" w:rsidRPr="00DE096C" w:rsidRDefault="00B67D7C" w:rsidP="00D45A46">
            <w:pPr>
              <w:shd w:val="clear" w:color="auto" w:fill="FFFFFF"/>
              <w:jc w:val="both"/>
              <w:rPr>
                <w:bCs/>
                <w:color w:val="002060"/>
                <w:sz w:val="16"/>
                <w:szCs w:val="16"/>
              </w:rPr>
            </w:pPr>
          </w:p>
          <w:p w14:paraId="54030291" w14:textId="77777777" w:rsidR="00B67D7C" w:rsidRPr="00DE096C" w:rsidRDefault="00B67D7C" w:rsidP="00D45A46">
            <w:pPr>
              <w:shd w:val="clear" w:color="auto" w:fill="FFFFFF"/>
              <w:jc w:val="both"/>
              <w:rPr>
                <w:bCs/>
                <w:color w:val="002060"/>
                <w:sz w:val="16"/>
                <w:szCs w:val="16"/>
              </w:rPr>
            </w:pPr>
          </w:p>
        </w:tc>
        <w:tc>
          <w:tcPr>
            <w:tcW w:w="768" w:type="dxa"/>
          </w:tcPr>
          <w:p w14:paraId="12864DD8" w14:textId="77777777" w:rsidR="00B67D7C" w:rsidRPr="00DE096C" w:rsidRDefault="00B67D7C" w:rsidP="00D45A46">
            <w:pPr>
              <w:shd w:val="clear" w:color="auto" w:fill="FFFFFF"/>
              <w:jc w:val="both"/>
              <w:rPr>
                <w:bCs/>
                <w:color w:val="002060"/>
                <w:sz w:val="16"/>
                <w:szCs w:val="16"/>
              </w:rPr>
            </w:pPr>
          </w:p>
          <w:p w14:paraId="456510CA" w14:textId="77777777" w:rsidR="00B67D7C" w:rsidRPr="00DE096C" w:rsidRDefault="00B67D7C" w:rsidP="00D45A46">
            <w:pPr>
              <w:shd w:val="clear" w:color="auto" w:fill="FFFFFF"/>
              <w:jc w:val="both"/>
              <w:rPr>
                <w:bCs/>
                <w:color w:val="002060"/>
                <w:sz w:val="16"/>
                <w:szCs w:val="16"/>
              </w:rPr>
            </w:pPr>
          </w:p>
        </w:tc>
        <w:tc>
          <w:tcPr>
            <w:tcW w:w="778" w:type="dxa"/>
          </w:tcPr>
          <w:p w14:paraId="5141ED7F" w14:textId="77777777" w:rsidR="00B67D7C" w:rsidRPr="00DE096C" w:rsidRDefault="00B67D7C" w:rsidP="00D45A46">
            <w:pPr>
              <w:shd w:val="clear" w:color="auto" w:fill="FFFFFF"/>
              <w:jc w:val="both"/>
              <w:rPr>
                <w:bCs/>
                <w:color w:val="002060"/>
                <w:sz w:val="16"/>
                <w:szCs w:val="16"/>
              </w:rPr>
            </w:pPr>
          </w:p>
          <w:p w14:paraId="6941125A" w14:textId="77777777" w:rsidR="00B67D7C" w:rsidRPr="00DE096C" w:rsidRDefault="00B67D7C" w:rsidP="00D45A46">
            <w:pPr>
              <w:shd w:val="clear" w:color="auto" w:fill="FFFFFF"/>
              <w:jc w:val="both"/>
              <w:rPr>
                <w:bCs/>
                <w:color w:val="002060"/>
                <w:sz w:val="16"/>
                <w:szCs w:val="16"/>
              </w:rPr>
            </w:pPr>
          </w:p>
        </w:tc>
        <w:tc>
          <w:tcPr>
            <w:tcW w:w="710" w:type="dxa"/>
          </w:tcPr>
          <w:p w14:paraId="0069F22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2,1</w:t>
            </w:r>
          </w:p>
          <w:p w14:paraId="7B7B3B0C" w14:textId="77777777" w:rsidR="00B67D7C" w:rsidRPr="00DE096C" w:rsidRDefault="00B67D7C" w:rsidP="00D45A46">
            <w:pPr>
              <w:shd w:val="clear" w:color="auto" w:fill="FFFFFF"/>
              <w:jc w:val="both"/>
              <w:rPr>
                <w:bCs/>
                <w:color w:val="002060"/>
                <w:sz w:val="16"/>
                <w:szCs w:val="16"/>
              </w:rPr>
            </w:pPr>
          </w:p>
        </w:tc>
        <w:tc>
          <w:tcPr>
            <w:tcW w:w="1056" w:type="dxa"/>
          </w:tcPr>
          <w:p w14:paraId="419531B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2,3</w:t>
            </w:r>
          </w:p>
          <w:p w14:paraId="13A25451" w14:textId="77777777" w:rsidR="00B67D7C" w:rsidRPr="00DE096C" w:rsidRDefault="00B67D7C" w:rsidP="00D45A46">
            <w:pPr>
              <w:shd w:val="clear" w:color="auto" w:fill="FFFFFF"/>
              <w:jc w:val="both"/>
              <w:rPr>
                <w:bCs/>
                <w:color w:val="002060"/>
                <w:sz w:val="16"/>
                <w:szCs w:val="16"/>
              </w:rPr>
            </w:pPr>
          </w:p>
        </w:tc>
      </w:tr>
    </w:tbl>
    <w:p w14:paraId="111245DC" w14:textId="77777777" w:rsidR="00B67D7C" w:rsidRPr="00DE096C" w:rsidRDefault="00B67D7C" w:rsidP="00D45A46">
      <w:pPr>
        <w:jc w:val="both"/>
        <w:rPr>
          <w:bCs/>
          <w:color w:val="002060"/>
          <w:sz w:val="16"/>
          <w:szCs w:val="16"/>
        </w:rPr>
      </w:pPr>
      <w:r w:rsidRPr="00DE096C">
        <w:rPr>
          <w:bCs/>
          <w:color w:val="002060"/>
          <w:sz w:val="16"/>
          <w:szCs w:val="16"/>
        </w:rPr>
        <w:t>(5484).</w:t>
      </w:r>
    </w:p>
    <w:p w14:paraId="050ED0DB" w14:textId="77777777" w:rsidR="00B67D7C" w:rsidRPr="00DE096C" w:rsidRDefault="00B67D7C" w:rsidP="00D45A46">
      <w:pPr>
        <w:jc w:val="both"/>
        <w:rPr>
          <w:bCs/>
          <w:color w:val="002060"/>
          <w:sz w:val="16"/>
          <w:szCs w:val="16"/>
        </w:rPr>
      </w:pPr>
    </w:p>
    <w:p w14:paraId="246F236C" w14:textId="65957947" w:rsidR="00B67D7C" w:rsidRPr="00DE096C" w:rsidRDefault="00B67D7C" w:rsidP="00D45A46">
      <w:pPr>
        <w:jc w:val="both"/>
        <w:rPr>
          <w:bCs/>
          <w:color w:val="002060"/>
          <w:sz w:val="16"/>
          <w:szCs w:val="16"/>
        </w:rPr>
      </w:pPr>
    </w:p>
    <w:p w14:paraId="64560EA9" w14:textId="265E5223" w:rsidR="00A214D0" w:rsidRPr="00DE096C" w:rsidRDefault="00B67D7C" w:rsidP="00D45A46">
      <w:pPr>
        <w:jc w:val="both"/>
        <w:rPr>
          <w:bCs/>
          <w:color w:val="002060"/>
          <w:sz w:val="16"/>
          <w:szCs w:val="16"/>
        </w:rPr>
      </w:pPr>
      <w:r w:rsidRPr="00DE096C">
        <w:rPr>
          <w:bCs/>
          <w:color w:val="002060"/>
          <w:sz w:val="16"/>
          <w:szCs w:val="16"/>
        </w:rPr>
        <w:t xml:space="preserve">В </w:t>
      </w:r>
      <w:r w:rsidR="00A214D0" w:rsidRPr="00DE096C">
        <w:rPr>
          <w:bCs/>
          <w:color w:val="002060"/>
          <w:sz w:val="16"/>
          <w:szCs w:val="16"/>
        </w:rPr>
        <w:t xml:space="preserve">апреле </w:t>
      </w:r>
      <w:r w:rsidRPr="00DE096C">
        <w:rPr>
          <w:bCs/>
          <w:color w:val="002060"/>
          <w:sz w:val="16"/>
          <w:szCs w:val="16"/>
        </w:rPr>
        <w:t>1914 г.</w:t>
      </w:r>
      <w:r w:rsidR="00A214D0" w:rsidRPr="00DE096C">
        <w:rPr>
          <w:bCs/>
          <w:color w:val="002060"/>
          <w:sz w:val="16"/>
          <w:szCs w:val="16"/>
        </w:rPr>
        <w:t xml:space="preserve"> Обуховскому </w:t>
      </w:r>
      <w:r w:rsidRPr="00DE096C">
        <w:rPr>
          <w:bCs/>
          <w:color w:val="002060"/>
          <w:sz w:val="16"/>
          <w:szCs w:val="16"/>
        </w:rPr>
        <w:t xml:space="preserve">заводу </w:t>
      </w:r>
      <w:r w:rsidR="00A214D0" w:rsidRPr="00DE096C">
        <w:rPr>
          <w:bCs/>
          <w:color w:val="002060"/>
          <w:sz w:val="16"/>
          <w:szCs w:val="16"/>
        </w:rPr>
        <w:t xml:space="preserve">был </w:t>
      </w:r>
      <w:r w:rsidRPr="00DE096C">
        <w:rPr>
          <w:bCs/>
          <w:color w:val="002060"/>
          <w:sz w:val="16"/>
          <w:szCs w:val="16"/>
        </w:rPr>
        <w:t xml:space="preserve">выдан заказ на изготовление к концу 1915 г. опытной 406-мм морской пушки. </w:t>
      </w:r>
      <w:r w:rsidR="00A214D0" w:rsidRPr="00DE096C">
        <w:rPr>
          <w:bCs/>
          <w:color w:val="002060"/>
          <w:sz w:val="16"/>
          <w:szCs w:val="16"/>
        </w:rPr>
        <w:t xml:space="preserve">(Завод № 232 НКОП, ГС завод № 232 «Большевик» НКВ, Обуховский сталелитейный завод (ОСЗ) ВСНХ, Петроградский государственный орудийный, Оптический и сталелитейный завод «Большевик» ВСНХ, Государственный завод «Большевик» ВСНХ, ГС машиностроительный и сталелитейный завод «Большевик» ВСНХ, НКТП, НКОП, п/я 852, Государственный ордена Ленина и ордена Красного Знамени завод «Большевик» ЛенСНХ, </w:t>
      </w:r>
      <w:r w:rsidR="00A214D0" w:rsidRPr="00DE096C">
        <w:rPr>
          <w:bCs/>
          <w:color w:val="002060"/>
          <w:sz w:val="16"/>
          <w:szCs w:val="16"/>
          <w:lang w:val="en-US"/>
        </w:rPr>
        <w:t>MOM</w:t>
      </w:r>
      <w:r w:rsidR="00A214D0" w:rsidRPr="00DE096C">
        <w:rPr>
          <w:bCs/>
          <w:color w:val="002060"/>
          <w:sz w:val="16"/>
          <w:szCs w:val="16"/>
        </w:rPr>
        <w:t>, Государственный Обуховский завод (ГОЗ) МОП, ФГУП «Обуховский завод» РАКА, ОАО «ГОЗ» / г. Петербург,</w:t>
      </w:r>
      <w:r w:rsidR="0006581C">
        <w:rPr>
          <w:bCs/>
          <w:color w:val="002060"/>
          <w:sz w:val="16"/>
          <w:szCs w:val="16"/>
        </w:rPr>
        <w:t xml:space="preserve"> </w:t>
      </w:r>
      <w:r w:rsidR="00A214D0" w:rsidRPr="00DE096C">
        <w:rPr>
          <w:bCs/>
          <w:color w:val="002060"/>
          <w:sz w:val="16"/>
          <w:szCs w:val="16"/>
        </w:rPr>
        <w:t>г. Ленинград, 12 пр. Обуховской обороны, 52 п/я 852/2 «Сталь» (1937-38 г.)/ /192012</w:t>
      </w:r>
      <w:r w:rsidR="0006581C">
        <w:rPr>
          <w:bCs/>
          <w:color w:val="002060"/>
          <w:sz w:val="16"/>
          <w:szCs w:val="16"/>
        </w:rPr>
        <w:t xml:space="preserve"> </w:t>
      </w:r>
      <w:r w:rsidR="00A214D0" w:rsidRPr="00DE096C">
        <w:rPr>
          <w:bCs/>
          <w:color w:val="002060"/>
          <w:sz w:val="16"/>
          <w:szCs w:val="16"/>
        </w:rPr>
        <w:t>г. Санкт-Петербург пр. Обуховской обороны, 120 тел. 329-98-10/)</w:t>
      </w:r>
    </w:p>
    <w:p w14:paraId="071A20F4" w14:textId="547D61A7" w:rsidR="00B67D7C" w:rsidRPr="00DE096C" w:rsidRDefault="00B67D7C" w:rsidP="00D45A46">
      <w:pPr>
        <w:jc w:val="both"/>
        <w:rPr>
          <w:bCs/>
          <w:color w:val="002060"/>
          <w:sz w:val="16"/>
          <w:szCs w:val="16"/>
        </w:rPr>
      </w:pPr>
      <w:r w:rsidRPr="00DE096C">
        <w:rPr>
          <w:bCs/>
          <w:color w:val="002060"/>
          <w:sz w:val="16"/>
          <w:szCs w:val="16"/>
        </w:rPr>
        <w:t>К середине 1917 г. она не была доделана; кроме того, на заводе находилось 7 недоделанных пушек калибра 356 мм (к 1922 г. они так и не были доделаны).</w:t>
      </w:r>
      <w:r w:rsidRPr="00DE096C">
        <w:rPr>
          <w:bCs/>
          <w:color w:val="002060"/>
          <w:sz w:val="16"/>
          <w:szCs w:val="16"/>
          <w:vertAlign w:val="superscript"/>
        </w:rPr>
        <w:t>148</w:t>
      </w:r>
    </w:p>
    <w:p w14:paraId="106ED3B6" w14:textId="77777777" w:rsidR="00B67D7C" w:rsidRPr="00DE096C" w:rsidRDefault="00B67D7C" w:rsidP="00D45A46">
      <w:pPr>
        <w:jc w:val="both"/>
        <w:rPr>
          <w:bCs/>
          <w:color w:val="002060"/>
          <w:sz w:val="16"/>
          <w:szCs w:val="16"/>
        </w:rPr>
      </w:pPr>
      <w:r w:rsidRPr="00DE096C">
        <w:rPr>
          <w:bCs/>
          <w:color w:val="002060"/>
          <w:sz w:val="16"/>
          <w:szCs w:val="16"/>
        </w:rPr>
        <w:t>В 06.1915 г. заводу переданы станки и инструмент с реквизированной Мюльграбенской верфи. В 1905 г. на Обуховском заводе создана первая отечественная оптическая мастерская. Инициатором ее создания стал академик А.Н. Крылов. А в 1909 г. заведующим оптическим отделом Обуховского завода стал А.Л. Гершун. В 1911 г. оптический отдел приобрел оборудование Варшавского завода Фосса. Выпускались прицелы, бинокли, дальномеры. 29.04.1912 г. А.Л. Гершун подает прошение в Министерство торговли и промышленности о регистрации «Российского акционерного общества оптического и механического производств (РАООМП), будущего ЛОМО. 23.08.1913 г. РАО было зарегистрировано. В 1920 г. оптический отдел завода переведен на ПОЗ.</w:t>
      </w:r>
    </w:p>
    <w:p w14:paraId="06BCA0E5" w14:textId="77777777" w:rsidR="00B67D7C" w:rsidRPr="00DE096C" w:rsidRDefault="00B67D7C" w:rsidP="00D45A46">
      <w:pPr>
        <w:jc w:val="both"/>
        <w:rPr>
          <w:bCs/>
          <w:color w:val="002060"/>
          <w:sz w:val="16"/>
          <w:szCs w:val="16"/>
        </w:rPr>
      </w:pPr>
      <w:r w:rsidRPr="00DE096C">
        <w:rPr>
          <w:bCs/>
          <w:color w:val="002060"/>
          <w:sz w:val="16"/>
          <w:szCs w:val="16"/>
        </w:rPr>
        <w:t>После революции 1917 г. завод передан в ведение НК по морским делам. В 01.1920 г. передан в ведение Цепвморза Промвоенсовета ВСНХ. 7.11.1922 г. Обуховский завод переименован в Петроградский государственный орудийный, оптический и сталелитейный завод «Большевик», находился в ведении Севзапвоенпрома ГУВП ВСНХ, с 12.1925 г. - в ведении Военпрома, с 10.1926 г. - Орударса ВПУ ВСНХ (и на 07.1927 г.). В соответствии с пост. СНК от 27.04.1926 г. по пр. ВСНХ/НКВМ/ОГПУ № 73сс от 9.07.1927 г. Ленинградский государственный орудийный, оптический и сталелитейный завод «Большевик» с 1.10.1927 г. переименован в государственный завод «Большевик».</w:t>
      </w:r>
      <w:r w:rsidRPr="00DE096C">
        <w:rPr>
          <w:bCs/>
          <w:color w:val="002060"/>
          <w:sz w:val="16"/>
          <w:szCs w:val="16"/>
          <w:vertAlign w:val="superscript"/>
        </w:rPr>
        <w:t>133</w:t>
      </w:r>
      <w:r w:rsidRPr="00DE096C">
        <w:rPr>
          <w:bCs/>
          <w:color w:val="002060"/>
          <w:sz w:val="16"/>
          <w:szCs w:val="16"/>
        </w:rPr>
        <w:t xml:space="preserve"> С 1932 г. - в ведении НКТО, с 1933 г. - ГС машиностроительный и сталелитейный завод «Большевик». В 1934 г. из ведения Орударса переподчинен непосредственно ГВМУ НКТП. В 1936 г. вошел в состав ГУВП НКТП," с 12.1936 г. - в ведении НКОП, приказом № 100 от 16.03.1937 г. утвержден Устав завода «Большевик» ЗГУ НКОП. По пр. № 81сс от 11.03.1938 г. переименован в завод № 232, приказом № 373с от 26.09.1938 г. заводу № 232 вновь присвоено название «Большевик». В 02.1939 г. завод № 232 ЗГУ передан в ведение ЗГУ НКВ, в 06.1941 г. - в ведении НКВ.</w:t>
      </w:r>
    </w:p>
    <w:p w14:paraId="0D753860" w14:textId="77777777" w:rsidR="00B67D7C" w:rsidRPr="00DE096C" w:rsidRDefault="00B67D7C" w:rsidP="00D45A46">
      <w:pPr>
        <w:jc w:val="both"/>
        <w:rPr>
          <w:bCs/>
          <w:color w:val="002060"/>
          <w:sz w:val="16"/>
          <w:szCs w:val="16"/>
        </w:rPr>
      </w:pPr>
      <w:r w:rsidRPr="00DE096C">
        <w:rPr>
          <w:bCs/>
          <w:color w:val="002060"/>
          <w:sz w:val="16"/>
          <w:szCs w:val="16"/>
        </w:rPr>
        <w:t>После революции - производство железнодорожного и судового оборудования.</w:t>
      </w:r>
    </w:p>
    <w:p w14:paraId="650083C7" w14:textId="77777777" w:rsidR="00B67D7C" w:rsidRPr="00DE096C" w:rsidRDefault="00B67D7C" w:rsidP="00D45A46">
      <w:pPr>
        <w:jc w:val="both"/>
        <w:rPr>
          <w:bCs/>
          <w:color w:val="002060"/>
          <w:sz w:val="16"/>
          <w:szCs w:val="16"/>
        </w:rPr>
      </w:pPr>
      <w:r w:rsidRPr="00DE096C">
        <w:rPr>
          <w:bCs/>
          <w:color w:val="002060"/>
          <w:sz w:val="16"/>
          <w:szCs w:val="16"/>
        </w:rPr>
        <w:t>В 1924-30 г. имелся авиамоторный отдел завода, размещавшийся в двух корпусах, в его составе - цех по выпуску мотора М-5 («Либерти»); затем производство было свернуто.</w:t>
      </w:r>
    </w:p>
    <w:p w14:paraId="5FCC5F61" w14:textId="77777777" w:rsidR="00B67D7C" w:rsidRPr="00DE096C" w:rsidRDefault="00B67D7C" w:rsidP="00D45A46">
      <w:pPr>
        <w:jc w:val="both"/>
        <w:rPr>
          <w:bCs/>
          <w:color w:val="002060"/>
          <w:sz w:val="16"/>
          <w:szCs w:val="16"/>
        </w:rPr>
      </w:pPr>
      <w:r w:rsidRPr="00DE096C">
        <w:rPr>
          <w:bCs/>
          <w:color w:val="002060"/>
          <w:sz w:val="16"/>
          <w:szCs w:val="16"/>
        </w:rPr>
        <w:t>В 03.1927 г. построен опытный танк Т-16, затем освоен серийный выпуск Т-18 (МС-1). В 1931 г. начато освоение выпуска Т-26 по образцу танка В-26 фирмы «Виккерс». На 1931 г. заводу был выдан план в 500 танков, уменьшенный затем до 300 шт.</w:t>
      </w:r>
    </w:p>
    <w:p w14:paraId="3E73F045" w14:textId="0B68321D" w:rsidR="00B67D7C" w:rsidRPr="00DE096C" w:rsidRDefault="00B67D7C" w:rsidP="00D45A46">
      <w:pPr>
        <w:jc w:val="both"/>
        <w:rPr>
          <w:bCs/>
          <w:color w:val="002060"/>
          <w:sz w:val="16"/>
          <w:szCs w:val="16"/>
        </w:rPr>
      </w:pPr>
      <w:r w:rsidRPr="00DE096C">
        <w:rPr>
          <w:bCs/>
          <w:color w:val="002060"/>
          <w:sz w:val="16"/>
          <w:szCs w:val="16"/>
        </w:rPr>
        <w:t>В 1920-е-30-е</w:t>
      </w:r>
      <w:r w:rsidR="0006581C">
        <w:rPr>
          <w:bCs/>
          <w:color w:val="002060"/>
          <w:sz w:val="16"/>
          <w:szCs w:val="16"/>
        </w:rPr>
        <w:t xml:space="preserve"> </w:t>
      </w:r>
      <w:r w:rsidRPr="00DE096C">
        <w:rPr>
          <w:bCs/>
          <w:color w:val="002060"/>
          <w:sz w:val="16"/>
          <w:szCs w:val="16"/>
        </w:rPr>
        <w:t>г. при заводе действовало артиллерийское КБ, в 1938 г. - это ОКБ УНКВД ЛО.</w:t>
      </w:r>
    </w:p>
    <w:p w14:paraId="00D54D5A" w14:textId="77777777" w:rsidR="00B67D7C" w:rsidRPr="00DE096C" w:rsidRDefault="00B67D7C" w:rsidP="00D45A46">
      <w:pPr>
        <w:jc w:val="both"/>
        <w:rPr>
          <w:bCs/>
          <w:color w:val="002060"/>
          <w:sz w:val="16"/>
          <w:szCs w:val="16"/>
        </w:rPr>
      </w:pPr>
      <w:r w:rsidRPr="00DE096C">
        <w:rPr>
          <w:bCs/>
          <w:color w:val="002060"/>
          <w:sz w:val="16"/>
          <w:szCs w:val="16"/>
        </w:rPr>
        <w:lastRenderedPageBreak/>
        <w:t>В 1929-31 г. действовало ГКБ завода, работы по танкам. В 1930-31 г. в специальной мастерской построен опытный танк ТТ. В 1930-31 г. действовал ОКМО завода. Решением КО от 23.05.1931 г. опытному цеху завода поручено изготовить третий опытный танк БТ к 15.09.1931 г. (первые два - наХПЗ). В 1932 г. танковый цех завода (вероятно, вместе с ОКМО) выделен в самостоятельный Ленинградский завод им. Ворошилова (далее- № 174).</w:t>
      </w:r>
    </w:p>
    <w:p w14:paraId="120537B6" w14:textId="77777777" w:rsidR="00B67D7C" w:rsidRPr="00DE096C" w:rsidRDefault="00B67D7C" w:rsidP="00D45A46">
      <w:pPr>
        <w:jc w:val="both"/>
        <w:rPr>
          <w:bCs/>
          <w:color w:val="002060"/>
          <w:sz w:val="16"/>
          <w:szCs w:val="16"/>
        </w:rPr>
      </w:pPr>
      <w:r w:rsidRPr="00DE096C">
        <w:rPr>
          <w:bCs/>
          <w:color w:val="002060"/>
          <w:sz w:val="16"/>
          <w:szCs w:val="16"/>
        </w:rPr>
        <w:t>В 1936 г. группой Кочетова велись работы по созданию силовой синхронной установки для 100-мм зенитной установки Б-34.</w:t>
      </w:r>
    </w:p>
    <w:p w14:paraId="6D36F591" w14:textId="77777777" w:rsidR="00B67D7C" w:rsidRPr="00DE096C" w:rsidRDefault="00B67D7C" w:rsidP="00D45A46">
      <w:pPr>
        <w:jc w:val="both"/>
        <w:rPr>
          <w:bCs/>
          <w:color w:val="002060"/>
          <w:sz w:val="16"/>
          <w:szCs w:val="16"/>
        </w:rPr>
      </w:pPr>
      <w:r w:rsidRPr="00DE096C">
        <w:rPr>
          <w:bCs/>
          <w:color w:val="002060"/>
          <w:sz w:val="16"/>
          <w:szCs w:val="16"/>
        </w:rPr>
        <w:t>Распоряжением № 02сс от 22/25.12.1936 г. заводу поручено изготовить и смонтировать к 05.1937 г. командно- дальномерный пост КДП</w:t>
      </w:r>
      <w:r w:rsidRPr="00DE096C">
        <w:rPr>
          <w:bCs/>
          <w:color w:val="002060"/>
          <w:sz w:val="16"/>
          <w:szCs w:val="16"/>
          <w:vertAlign w:val="subscript"/>
        </w:rPr>
        <w:t>3</w:t>
      </w:r>
      <w:r w:rsidRPr="00DE096C">
        <w:rPr>
          <w:bCs/>
          <w:color w:val="002060"/>
          <w:sz w:val="16"/>
          <w:szCs w:val="16"/>
        </w:rPr>
        <w:t>-6 для крейсера «Киров».</w:t>
      </w:r>
    </w:p>
    <w:p w14:paraId="7077A6B5" w14:textId="77777777" w:rsidR="00B67D7C" w:rsidRPr="00DE096C" w:rsidRDefault="00B67D7C" w:rsidP="00D45A46">
      <w:pPr>
        <w:jc w:val="both"/>
        <w:rPr>
          <w:bCs/>
          <w:color w:val="002060"/>
          <w:sz w:val="16"/>
          <w:szCs w:val="16"/>
        </w:rPr>
      </w:pPr>
      <w:r w:rsidRPr="00DE096C">
        <w:rPr>
          <w:bCs/>
          <w:color w:val="002060"/>
          <w:sz w:val="16"/>
          <w:szCs w:val="16"/>
        </w:rPr>
        <w:t>Производство (1936 г.): артсистемы: Б-24 - 39, Б-13 - 18, Б-1-П - 11, Б-27 - 9, 102-мм ствол с затвором - 19; корпуса снарядов 180-мм - 2680, 356-мм - 152.</w:t>
      </w:r>
    </w:p>
    <w:p w14:paraId="39436D0F" w14:textId="77777777" w:rsidR="00B67D7C" w:rsidRPr="00DE096C" w:rsidRDefault="00B67D7C" w:rsidP="00D45A46">
      <w:pPr>
        <w:jc w:val="both"/>
        <w:rPr>
          <w:bCs/>
          <w:color w:val="002060"/>
          <w:sz w:val="16"/>
          <w:szCs w:val="16"/>
        </w:rPr>
      </w:pPr>
      <w:r w:rsidRPr="00DE096C">
        <w:rPr>
          <w:bCs/>
          <w:color w:val="002060"/>
          <w:sz w:val="16"/>
          <w:szCs w:val="16"/>
        </w:rPr>
        <w:t>Пост. СТО от 15.01.1937 г. и пр. № 0026 от 4.02.1937 г. заводу поручено изготовить в 1937 г. 10 тыс. лопастей в/винтов для завода № 28; пр. № 49с от 9.02.1938 г. - изготовить в 1938 г. 12 тыс. лопастей авиационных винтов (для мотора М-100 - 6000 шт., ВИШ-5 - 2800 шт., ВИШ-4 - 600 шт., ВИШ-2П (ВИШ-21) - 2600 шт.</w:t>
      </w:r>
    </w:p>
    <w:p w14:paraId="6ABBA34D" w14:textId="77777777" w:rsidR="00B67D7C" w:rsidRPr="00DE096C" w:rsidRDefault="00B67D7C" w:rsidP="00D45A46">
      <w:pPr>
        <w:jc w:val="both"/>
        <w:rPr>
          <w:bCs/>
          <w:color w:val="002060"/>
          <w:sz w:val="16"/>
          <w:szCs w:val="16"/>
        </w:rPr>
      </w:pPr>
      <w:r w:rsidRPr="00DE096C">
        <w:rPr>
          <w:bCs/>
          <w:color w:val="002060"/>
          <w:sz w:val="16"/>
          <w:szCs w:val="16"/>
        </w:rPr>
        <w:t>Производственная программа на 1937 г.: артсистемы: Б-27 - 7 (сделано 6), Б-1-П - 8 (8), Б-13 - 80 (2), Б-24 - 49 (52), Б-34 - 12 (8), Б-4 - 41 (41), станок Б-32 - 1 (-), качающаяся часть Б-30 - 3 (2), стволы различных систем - 31 (30), перестволение - 9 (6); лейнеры: 180-мм - 44 (9), Б-13 - 17 (17); посты: СПН - 2 (2), Б-12 - 23 (10), Б-19 - 6 (- ), Б-20 - 1 (1); корпуса снарядов: 180-мм (изд. ОБ) - 3000 (1828), 305-мм (5Д) - 450 (419), 356-мм (6Б) - 300 (300); перископические трубы: П-3-7,5 - 9 (8), П-А-7,5 - 8 (8), П-А-9 - 9 (7), П-3-9 - 9 (7), П-А-11 - 1 (-); гражданская продукция: автосцепки, сепараторы, фильтры, реторты.</w:t>
      </w:r>
    </w:p>
    <w:p w14:paraId="3B74AC6C" w14:textId="77777777" w:rsidR="00B67D7C" w:rsidRPr="00DE096C" w:rsidRDefault="00B67D7C" w:rsidP="00D45A46">
      <w:pPr>
        <w:jc w:val="both"/>
        <w:rPr>
          <w:bCs/>
          <w:color w:val="002060"/>
          <w:sz w:val="16"/>
          <w:szCs w:val="16"/>
        </w:rPr>
      </w:pPr>
      <w:r w:rsidRPr="00DE096C">
        <w:rPr>
          <w:bCs/>
          <w:color w:val="002060"/>
          <w:sz w:val="16"/>
          <w:szCs w:val="16"/>
        </w:rPr>
        <w:t>В составе завода цехи (1937 г.): № 3, обдирочный № 42/3, станочный № 46, пушечный № 48/1, замочно- прицельный № 48/2, снарядный № 50, мартеновские старый (6 печей) и новый (2 электропечи), сталефасонный, медно-литейный, прокатный, молотовый, термический, станочный сборочный, ЦЖК, ширпотреба, ремонтный, силовой, строительный, инструментальный, транспортный. В 1937 г. на базе технологического бюро организован технический отдел; на базе производственного и планового отделов организованы производственно- диспетчерский (ПДО) и планово-производственный (ППО) отделы; создан единый инструментальный отдел (ИО). По пр. ЗГУ № 73 от 8.05.1938 г. НИИ-13 поручено спроектировать опытный цех завода со сроком готовности техпроекта к 5.07.1938 г. По пр. ЗГУ № 143 от 5.08.1938 г. на заводе на базе ОКСа создано УКС и введена должность начальника УКС/зам. директора по капстроительству.</w:t>
      </w:r>
    </w:p>
    <w:p w14:paraId="060770D9" w14:textId="77777777" w:rsidR="00B67D7C" w:rsidRPr="00DE096C" w:rsidRDefault="00B67D7C" w:rsidP="00D45A46">
      <w:pPr>
        <w:jc w:val="both"/>
        <w:rPr>
          <w:bCs/>
          <w:color w:val="002060"/>
          <w:sz w:val="16"/>
          <w:szCs w:val="16"/>
        </w:rPr>
      </w:pPr>
      <w:r w:rsidRPr="00DE096C">
        <w:rPr>
          <w:bCs/>
          <w:color w:val="002060"/>
          <w:sz w:val="16"/>
          <w:szCs w:val="16"/>
        </w:rPr>
        <w:t>Приказом № 0031 от 8.02.1937 г. заводу предписано создать к 1.01.1938 г. мощности по выпуску пушек: 203-мм Б-4 - 50 шт. в год, 130-мм морских - 136 шт., 100-мм морских - 75 шт., 180-мм - 85 (вместе с «Баррикады»); стволов 305-мм и 356-мм пушек - 18 шт. (вместе с «Баррикады»), Пост. СТО № 17сс от 11.02.1937 г. и по пр. № 040 завод переведен на выпуск гаубицы Б-4 и пушки БР-2. Во исполнение постановления СТО № 61сс от 23.03.1937 г. приказом № 0067 от 31.03.1937 г. заводу поручено обеспечить выполнение проектно- конструкторских работ и изготовления опытных образцов морской артиллерии. Приказом № 00102 от 8.05.1937 г. предписывалось ввести в эксплуатацию в 1937 г.: цехи: № 46, № 38 (рембаза завода); новую котельную, кислородную станцию, фидерную подстанцию; начать строительство экспериментального цеха. Пр. ЗГУ № 71 от 17.11.1937 г. предписано набрать на завод до 1.02.1938 г. 3000 рабочих. Приказом № 282с от 7.08.1938 г. требовалось к 1.09.1938 г. закончить техпроект опытного цеха завода (НИИ-13). Перед войной построена новая 100-тонная мартеновская печь.</w:t>
      </w:r>
    </w:p>
    <w:p w14:paraId="6680DE7D" w14:textId="77777777" w:rsidR="00B67D7C" w:rsidRPr="00DE096C" w:rsidRDefault="00B67D7C" w:rsidP="00D45A46">
      <w:pPr>
        <w:jc w:val="both"/>
        <w:rPr>
          <w:bCs/>
          <w:color w:val="002060"/>
          <w:sz w:val="16"/>
          <w:szCs w:val="16"/>
        </w:rPr>
      </w:pPr>
      <w:r w:rsidRPr="00DE096C">
        <w:rPr>
          <w:bCs/>
          <w:color w:val="002060"/>
          <w:sz w:val="16"/>
          <w:szCs w:val="16"/>
        </w:rPr>
        <w:t>По распоряжению ЗГУ № 93 от 14.11.1937 г. на «Саркомбайн» передано 11 станков.</w:t>
      </w:r>
    </w:p>
    <w:p w14:paraId="78E4614F" w14:textId="77777777" w:rsidR="00B67D7C" w:rsidRPr="00DE096C" w:rsidRDefault="00B67D7C" w:rsidP="00D45A46">
      <w:pPr>
        <w:jc w:val="both"/>
        <w:rPr>
          <w:bCs/>
          <w:color w:val="002060"/>
          <w:sz w:val="16"/>
          <w:szCs w:val="16"/>
        </w:rPr>
      </w:pPr>
      <w:r w:rsidRPr="00DE096C">
        <w:rPr>
          <w:bCs/>
          <w:color w:val="002060"/>
          <w:sz w:val="16"/>
          <w:szCs w:val="16"/>
        </w:rPr>
        <w:t>Во исполнение решения правительства № 193сс от 10.12.1937 г. приказом № 00265 от 13.12.1937 г. заводу требовалось к 20.01.1938 г. закончить проект артбашни для монитора и изготовить: опытный образец - к 5.06.1938 г.; 4 серийные башни - к 1.11.1938 г., 8 - к 20.12.1938 г., еще 6 - к 5.03.1939 г. По пр. № 0278 от 20/21.12.1037 г. производство пушки Б-13 переведено на поточную сборку (без конвейера). По пр. НКО/НКОП № 0042/00279 от 17.12.1937 г. заводу поручено изготовить к 10.01.1938 г. по два лейнера: 130-мм для пушки Б-13 и 180-мм для пушек Б-1-П и Б-27. В соответствии с пост, правительства № 87сс от 13/15.08.1937 г. и пр. НКОП/НКМ № 00282/47сс от 25.12.1937 г. заводу поручено немедленно начать работы по проектированию и изготовлению головных образцов вооружения линкоров «Б»: 356-мм, 152-мм и 100-мм орудий; полигонной установки для отстрела 152-х и 100-мм орудий. Во исполнение решения правительства № 185сс от 2.08.1938 г. об унификации качающихся частей 100-мм зенитных пушек для линкора «А» и легкого крейсера на базе системы Б- 54 пр. № 327сс от 15.08.1938 г. заводу предписано прекратить работы по системе качающейся части Б-44 для линкора; проектирование и изготовление головного образца системы Б-54 выполнить в сроки: чертежи - к 15.12.1938 г.; головной образец - во 2-м квартале 1939 г.</w:t>
      </w:r>
    </w:p>
    <w:p w14:paraId="6C761639" w14:textId="77777777" w:rsidR="00B67D7C" w:rsidRPr="00DE096C" w:rsidRDefault="00B67D7C" w:rsidP="00D45A46">
      <w:pPr>
        <w:jc w:val="both"/>
        <w:rPr>
          <w:bCs/>
          <w:color w:val="002060"/>
          <w:sz w:val="16"/>
          <w:szCs w:val="16"/>
        </w:rPr>
      </w:pPr>
      <w:r w:rsidRPr="00DE096C">
        <w:rPr>
          <w:bCs/>
          <w:color w:val="002060"/>
          <w:sz w:val="16"/>
          <w:szCs w:val="16"/>
        </w:rPr>
        <w:t>Во исполнение решения правительства № 79сс от 11.05.1938 г. приказом № 168сс от 17.03.1938 г. требовалось обеспечить программу 1938 г. по выпуску орудий: Б-15 (115 шт.) - в 07.1938 г.; Б-1-ПБ (180-мм 60 калибров, 12 шт.) - в 3-м квартале; Б-24-БМ (100-мм 50 калибров, 36 шт.), зенитной Б-34 (100-мм 56 калибров, 3 шт.), гаубицы на гусеничном ходу Б-4 (203-мм, 50 шт.) - в 4-м квартале (пр. № 335сс от 21.08.1938 г. она снята с производства); на завод направлено 10 выпускников-инженеров.</w:t>
      </w:r>
    </w:p>
    <w:p w14:paraId="093F72BC" w14:textId="77777777" w:rsidR="00B67D7C" w:rsidRPr="00DE096C" w:rsidRDefault="00B67D7C" w:rsidP="00D45A46">
      <w:pPr>
        <w:jc w:val="both"/>
        <w:rPr>
          <w:bCs/>
          <w:color w:val="002060"/>
          <w:sz w:val="16"/>
          <w:szCs w:val="16"/>
        </w:rPr>
      </w:pPr>
      <w:r w:rsidRPr="00DE096C">
        <w:rPr>
          <w:bCs/>
          <w:color w:val="002060"/>
          <w:sz w:val="16"/>
          <w:szCs w:val="16"/>
        </w:rPr>
        <w:t>В соответствии с пост. ГКО № 99сс от 11.07.1941 г. завод подлежал эвакуации: артиллерийское производство - в Сталинград на завод № 221 и на стройку «Т», снарядное производство - в Челябинск на завод № 78 НКБ; возможно, часть завода эвакуирована в Юргу на завод № 75.</w:t>
      </w:r>
    </w:p>
    <w:p w14:paraId="62214AAC" w14:textId="77777777" w:rsidR="00B67D7C" w:rsidRPr="00DE096C" w:rsidRDefault="00B67D7C" w:rsidP="00D45A46">
      <w:pPr>
        <w:jc w:val="both"/>
        <w:rPr>
          <w:bCs/>
          <w:color w:val="002060"/>
          <w:sz w:val="16"/>
          <w:szCs w:val="16"/>
        </w:rPr>
      </w:pPr>
      <w:r w:rsidRPr="00DE096C">
        <w:rPr>
          <w:bCs/>
          <w:color w:val="002060"/>
          <w:sz w:val="16"/>
          <w:szCs w:val="16"/>
        </w:rPr>
        <w:t>Часть завода «Большевик» продолжила действовать в Ленинграде. Производство пушек и корабельных орудий. На заводе была разработана отдельная железнодорожная зенитная батарея. 23.11.1941 г. вышло постановление ГКО № 953 о выпуске трех первых батарей. В соответствии с пост. ГКО № 3583 от 15.06.1943 г. на заводе восстановлено производство морской артиллерии. 19.06.1943 г. вышло постановление ГКО № 3605 об оставлении на заводе в Ленинграде парогидравлического пресса и молота. 7.05.1944 г. вышло постановление ГКО № 5822 о мероприятиях по восстановлению завода и организации производства 100-мм пушки БС-3. 5.06.1944 г. - распоряжение ГКО №</w:t>
      </w:r>
      <w:r w:rsidRPr="00DE096C">
        <w:rPr>
          <w:bCs/>
          <w:i/>
          <w:color w:val="002060"/>
          <w:sz w:val="16"/>
          <w:szCs w:val="16"/>
        </w:rPr>
        <w:t xml:space="preserve"> 6005</w:t>
      </w:r>
      <w:r w:rsidRPr="00DE096C">
        <w:rPr>
          <w:bCs/>
          <w:color w:val="002060"/>
          <w:sz w:val="16"/>
          <w:szCs w:val="16"/>
        </w:rPr>
        <w:t xml:space="preserve"> о подготовке восстановления производства на заводе корпусов морских бронебойных снарядов крупных калибров. В соответствии с пост. ГКО № 6870 от 4.11.1944 г. на заводе создана база по производству морской артиллерии.</w:t>
      </w:r>
    </w:p>
    <w:p w14:paraId="323A810D" w14:textId="77777777" w:rsidR="00B67D7C" w:rsidRPr="00DE096C" w:rsidRDefault="00B67D7C" w:rsidP="00D45A46">
      <w:pPr>
        <w:jc w:val="both"/>
        <w:rPr>
          <w:bCs/>
          <w:color w:val="002060"/>
          <w:sz w:val="16"/>
          <w:szCs w:val="16"/>
        </w:rPr>
      </w:pPr>
      <w:r w:rsidRPr="00DE096C">
        <w:rPr>
          <w:bCs/>
          <w:color w:val="002060"/>
          <w:sz w:val="16"/>
          <w:szCs w:val="16"/>
        </w:rPr>
        <w:t>Весной 1944 г. на завод направлена группа конструкторов ЦАКБ во главе с И.И. Ивановым для освоения серийного выпуска пушки БС-3. На ее базе пост, правительства от 27.05.1944 г. организован Ленинградский филиал ЦАКБ.</w:t>
      </w:r>
    </w:p>
    <w:p w14:paraId="09759E07" w14:textId="77777777" w:rsidR="00B67D7C" w:rsidRPr="00DE096C" w:rsidRDefault="00B67D7C" w:rsidP="00D45A46">
      <w:pPr>
        <w:jc w:val="both"/>
        <w:rPr>
          <w:bCs/>
          <w:color w:val="002060"/>
          <w:sz w:val="16"/>
          <w:szCs w:val="16"/>
        </w:rPr>
      </w:pPr>
      <w:r w:rsidRPr="00DE096C">
        <w:rPr>
          <w:bCs/>
          <w:color w:val="002060"/>
          <w:sz w:val="16"/>
          <w:szCs w:val="16"/>
        </w:rPr>
        <w:t xml:space="preserve">С 03.1946 г. ГС завод № 232 «Большевик» - в ведении </w:t>
      </w:r>
      <w:r w:rsidRPr="00DE096C">
        <w:rPr>
          <w:bCs/>
          <w:color w:val="002060"/>
          <w:sz w:val="16"/>
          <w:szCs w:val="16"/>
          <w:lang w:val="en-US"/>
        </w:rPr>
        <w:t>MB</w:t>
      </w:r>
      <w:r w:rsidRPr="00DE096C">
        <w:rPr>
          <w:bCs/>
          <w:color w:val="002060"/>
          <w:sz w:val="16"/>
          <w:szCs w:val="16"/>
        </w:rPr>
        <w:t xml:space="preserve">, с 03.1953 г. - МОП. В 1957 г. переименован в завод «Большевик», с 07.1958 г. - в ведении Управления оборонной промышленности ЛенСНХ, с 1.09.1958 г. - Управления машиностроения ЛенСНХ. В 03.1965 г. завод передан в ведение 4ГУ </w:t>
      </w:r>
      <w:r w:rsidRPr="00DE096C">
        <w:rPr>
          <w:bCs/>
          <w:color w:val="002060"/>
          <w:sz w:val="16"/>
          <w:szCs w:val="16"/>
          <w:lang w:val="en-US"/>
        </w:rPr>
        <w:t>MOM</w:t>
      </w:r>
      <w:r w:rsidRPr="00DE096C">
        <w:rPr>
          <w:bCs/>
          <w:color w:val="002060"/>
          <w:sz w:val="16"/>
          <w:szCs w:val="16"/>
        </w:rPr>
        <w:t>. Имел наименование «п/я 852».</w:t>
      </w:r>
    </w:p>
    <w:p w14:paraId="003C1EE8" w14:textId="77777777" w:rsidR="00B67D7C" w:rsidRPr="00DE096C" w:rsidRDefault="00B67D7C" w:rsidP="00D45A46">
      <w:pPr>
        <w:jc w:val="both"/>
        <w:rPr>
          <w:bCs/>
          <w:color w:val="002060"/>
          <w:sz w:val="16"/>
          <w:szCs w:val="16"/>
        </w:rPr>
      </w:pPr>
      <w:r w:rsidRPr="00DE096C">
        <w:rPr>
          <w:bCs/>
          <w:color w:val="002060"/>
          <w:sz w:val="16"/>
          <w:szCs w:val="16"/>
        </w:rPr>
        <w:t>В 1948 г. на заводе образовано ОКБ.</w:t>
      </w:r>
    </w:p>
    <w:p w14:paraId="1D7A4BC7" w14:textId="77777777" w:rsidR="00B67D7C" w:rsidRPr="00DE096C" w:rsidRDefault="00B67D7C" w:rsidP="00D45A46">
      <w:pPr>
        <w:jc w:val="both"/>
        <w:rPr>
          <w:bCs/>
          <w:color w:val="002060"/>
          <w:sz w:val="16"/>
          <w:szCs w:val="16"/>
        </w:rPr>
      </w:pPr>
      <w:r w:rsidRPr="00DE096C">
        <w:rPr>
          <w:bCs/>
          <w:color w:val="002060"/>
          <w:sz w:val="16"/>
          <w:szCs w:val="16"/>
        </w:rPr>
        <w:t>С 1945 г. - выпуск артустановки МУ-2: в 1946 г. - 18 шт., в 1947 г. - 32, в 1948 г. - 16, в 1950 г. - 16.</w:t>
      </w:r>
      <w:r w:rsidRPr="00DE096C">
        <w:rPr>
          <w:bCs/>
          <w:color w:val="002060"/>
          <w:sz w:val="16"/>
          <w:szCs w:val="16"/>
          <w:vertAlign w:val="superscript"/>
        </w:rPr>
        <w:t>148</w:t>
      </w:r>
    </w:p>
    <w:p w14:paraId="77B9CC2F" w14:textId="28DF55D5" w:rsidR="00B67D7C" w:rsidRPr="00DE096C" w:rsidRDefault="00B67D7C" w:rsidP="00D45A46">
      <w:pPr>
        <w:jc w:val="both"/>
        <w:rPr>
          <w:bCs/>
          <w:color w:val="002060"/>
          <w:sz w:val="16"/>
          <w:szCs w:val="16"/>
        </w:rPr>
      </w:pPr>
      <w:r w:rsidRPr="00DE096C">
        <w:rPr>
          <w:bCs/>
          <w:color w:val="002060"/>
          <w:sz w:val="16"/>
          <w:szCs w:val="16"/>
        </w:rPr>
        <w:t>С 1957 г. выпускал ПУ для ЗРК ПВО наземного базирования. Принимал участие в создании БЖРК РТ-23УТТХ «Молодец». С 1956 г. выпускал антенны и опорно-поворотные устройства для них (110 наименований). В 1970 г. завод определен изготовителем контейнера, системы амортизации, средств обслуживания, антенн первого укрепленного командного пункта (УКП). Для этого созданы сборочный и испытательный стенды. Затем строились контейнеры для трех поколений УКП РВСН, в т.ч. высших звеньев управления. Изготовлено около 3000 комплектов оборудования для РВСН 56 наименований. В 1980-е</w:t>
      </w:r>
      <w:r w:rsidR="0006581C">
        <w:rPr>
          <w:bCs/>
          <w:color w:val="002060"/>
          <w:sz w:val="16"/>
          <w:szCs w:val="16"/>
        </w:rPr>
        <w:t xml:space="preserve"> </w:t>
      </w:r>
      <w:r w:rsidRPr="00DE096C">
        <w:rPr>
          <w:bCs/>
          <w:color w:val="002060"/>
          <w:sz w:val="16"/>
          <w:szCs w:val="16"/>
        </w:rPr>
        <w:t>г. построен новый цех для изготовления, сборки и испытаний КП БЖРК.</w:t>
      </w:r>
    </w:p>
    <w:p w14:paraId="2DDB2CD3" w14:textId="77777777" w:rsidR="00B67D7C" w:rsidRPr="00DE096C" w:rsidRDefault="00B67D7C" w:rsidP="00D45A46">
      <w:pPr>
        <w:jc w:val="both"/>
        <w:rPr>
          <w:bCs/>
          <w:color w:val="002060"/>
          <w:sz w:val="16"/>
          <w:szCs w:val="16"/>
        </w:rPr>
      </w:pPr>
      <w:r w:rsidRPr="00DE096C">
        <w:rPr>
          <w:bCs/>
          <w:color w:val="002060"/>
          <w:sz w:val="16"/>
          <w:szCs w:val="16"/>
        </w:rPr>
        <w:t>В 1990 г. Обуховский завод - в ведении МОП.</w:t>
      </w:r>
      <w:r w:rsidRPr="00DE096C">
        <w:rPr>
          <w:bCs/>
          <w:color w:val="002060"/>
          <w:sz w:val="16"/>
          <w:szCs w:val="16"/>
          <w:vertAlign w:val="superscript"/>
        </w:rPr>
        <w:t>77</w:t>
      </w:r>
      <w:r w:rsidRPr="00DE096C">
        <w:rPr>
          <w:bCs/>
          <w:color w:val="002060"/>
          <w:sz w:val="16"/>
          <w:szCs w:val="16"/>
        </w:rPr>
        <w:t xml:space="preserve"> 20.03.1992 г. переименован в ГОЗ. В 2002 г. вошел в концерн «Алмаз-Антей». По Указу Президента РФ № 1009 от 4.08.2004 г. ОАО ГОЗ вошло в число стратегических оборонных предприятий.</w:t>
      </w:r>
    </w:p>
    <w:p w14:paraId="4C5356F8" w14:textId="77777777" w:rsidR="00B67D7C" w:rsidRPr="00DE096C" w:rsidRDefault="00B67D7C" w:rsidP="00D45A46">
      <w:pPr>
        <w:jc w:val="both"/>
        <w:rPr>
          <w:bCs/>
          <w:color w:val="002060"/>
          <w:sz w:val="16"/>
          <w:szCs w:val="16"/>
        </w:rPr>
      </w:pPr>
      <w:r w:rsidRPr="00DE096C">
        <w:rPr>
          <w:bCs/>
          <w:color w:val="002060"/>
          <w:sz w:val="16"/>
          <w:szCs w:val="16"/>
        </w:rPr>
        <w:t>Производство (2002 г.): антенные установки для дальней космической связи.</w:t>
      </w:r>
    </w:p>
    <w:p w14:paraId="343C4A67" w14:textId="77777777" w:rsidR="00B67D7C" w:rsidRPr="00DE096C" w:rsidRDefault="00B67D7C" w:rsidP="00D45A46">
      <w:pPr>
        <w:jc w:val="both"/>
        <w:rPr>
          <w:bCs/>
          <w:color w:val="002060"/>
          <w:sz w:val="16"/>
          <w:szCs w:val="16"/>
        </w:rPr>
      </w:pPr>
      <w:r w:rsidRPr="00DE096C">
        <w:rPr>
          <w:bCs/>
          <w:color w:val="002060"/>
          <w:sz w:val="16"/>
          <w:szCs w:val="16"/>
        </w:rPr>
        <w:t>Имел производства (2002 г.): металлургическое, литейное, сборочное, механосборочное, монтажное.</w:t>
      </w:r>
    </w:p>
    <w:p w14:paraId="07FF10E3" w14:textId="77777777" w:rsidR="00B67D7C" w:rsidRPr="00DE096C" w:rsidRDefault="00B67D7C" w:rsidP="00D45A46">
      <w:pPr>
        <w:jc w:val="both"/>
        <w:rPr>
          <w:bCs/>
          <w:color w:val="002060"/>
          <w:sz w:val="16"/>
          <w:szCs w:val="16"/>
        </w:rPr>
      </w:pPr>
      <w:r w:rsidRPr="00DE096C">
        <w:rPr>
          <w:bCs/>
          <w:color w:val="002060"/>
          <w:sz w:val="16"/>
          <w:szCs w:val="16"/>
        </w:rPr>
        <w:t>Осенью 2007 г. было принято решение о создании на базе завода Северо-Западного регионального центра (СЗРЦ) концерна «Алмаз-Антей». Программа предусматривала создание на площадке завода технопарка площадью 300 тыс. м</w:t>
      </w:r>
      <w:r w:rsidRPr="00DE096C">
        <w:rPr>
          <w:bCs/>
          <w:color w:val="002060"/>
          <w:sz w:val="16"/>
          <w:szCs w:val="16"/>
          <w:vertAlign w:val="superscript"/>
        </w:rPr>
        <w:t>2</w:t>
      </w:r>
      <w:r w:rsidRPr="00DE096C">
        <w:rPr>
          <w:bCs/>
          <w:color w:val="002060"/>
          <w:sz w:val="16"/>
          <w:szCs w:val="16"/>
        </w:rPr>
        <w:t xml:space="preserve"> для разработки и производства средств ПВО, для чего на территорию завода должны быть переведены мощности еще 4-х профильных предприятий: ЗРТО, КБСМ, ВНИИРА и РИРВ. В 2008 г. были проведены подготовительные работы по расчистке территории завода под застройку. Первоначально планировалось для финансирования проекта продать 25 га территории завода. Программа, рассчитанная на три года, начала реализовываться в 03.2010 г.</w:t>
      </w:r>
    </w:p>
    <w:p w14:paraId="5F37822B" w14:textId="77777777" w:rsidR="00B67D7C" w:rsidRPr="00DE096C" w:rsidRDefault="00B67D7C" w:rsidP="00D45A46">
      <w:pPr>
        <w:jc w:val="both"/>
        <w:rPr>
          <w:bCs/>
          <w:color w:val="002060"/>
          <w:sz w:val="16"/>
          <w:szCs w:val="16"/>
        </w:rPr>
      </w:pPr>
      <w:r w:rsidRPr="00DE096C">
        <w:rPr>
          <w:bCs/>
          <w:color w:val="002060"/>
          <w:sz w:val="16"/>
          <w:szCs w:val="16"/>
        </w:rPr>
        <w:t>Количество оборудования (1925 г.)- 312 ед., (02.1938 г.)- 711 станков.</w:t>
      </w:r>
    </w:p>
    <w:p w14:paraId="6F89A42E" w14:textId="77777777" w:rsidR="00B67D7C" w:rsidRPr="00DE096C" w:rsidRDefault="00B67D7C" w:rsidP="00D45A46">
      <w:pPr>
        <w:jc w:val="both"/>
        <w:rPr>
          <w:bCs/>
          <w:color w:val="002060"/>
          <w:sz w:val="16"/>
          <w:szCs w:val="16"/>
        </w:rPr>
      </w:pPr>
      <w:r w:rsidRPr="00DE096C">
        <w:rPr>
          <w:bCs/>
          <w:color w:val="002060"/>
          <w:sz w:val="16"/>
          <w:szCs w:val="16"/>
        </w:rPr>
        <w:t>Площадь территории (2010 г.)- 89,37 га.</w:t>
      </w:r>
    </w:p>
    <w:p w14:paraId="0E6C5C85" w14:textId="77777777" w:rsidR="00B67D7C" w:rsidRPr="00DE096C" w:rsidRDefault="00B67D7C" w:rsidP="00D45A46">
      <w:pPr>
        <w:jc w:val="both"/>
        <w:rPr>
          <w:bCs/>
          <w:color w:val="002060"/>
          <w:sz w:val="16"/>
          <w:szCs w:val="16"/>
        </w:rPr>
      </w:pPr>
      <w:r w:rsidRPr="00DE096C">
        <w:rPr>
          <w:bCs/>
          <w:color w:val="002060"/>
          <w:sz w:val="16"/>
          <w:szCs w:val="16"/>
        </w:rPr>
        <w:t>Численность персонала (1936 г.)- 14087 чел., (1937 г.)- 14358 чел.</w:t>
      </w:r>
    </w:p>
    <w:p w14:paraId="6E260BB1" w14:textId="77777777" w:rsidR="00B67D7C" w:rsidRPr="00DE096C" w:rsidRDefault="00B67D7C" w:rsidP="00D45A46">
      <w:pPr>
        <w:jc w:val="both"/>
        <w:rPr>
          <w:bCs/>
          <w:color w:val="002060"/>
          <w:sz w:val="16"/>
          <w:szCs w:val="16"/>
        </w:rPr>
      </w:pPr>
      <w:r w:rsidRPr="00DE096C">
        <w:rPr>
          <w:bCs/>
          <w:color w:val="002060"/>
          <w:sz w:val="16"/>
          <w:szCs w:val="16"/>
        </w:rPr>
        <w:t>Управляющий (01.1865 г.-)-</w:t>
      </w:r>
      <w:r w:rsidRPr="00DE096C">
        <w:rPr>
          <w:bCs/>
          <w:i/>
          <w:color w:val="002060"/>
          <w:sz w:val="16"/>
          <w:szCs w:val="16"/>
        </w:rPr>
        <w:t xml:space="preserve"> к-лА.А.</w:t>
      </w:r>
      <w:r w:rsidRPr="00DE096C">
        <w:rPr>
          <w:bCs/>
          <w:color w:val="002060"/>
          <w:sz w:val="16"/>
          <w:szCs w:val="16"/>
        </w:rPr>
        <w:t xml:space="preserve"> Колокольцов. Начальник (1911 г.)- г-м А.П. Меллер, (-1915-16 г.-)- г-м В.В. Чорбо. Директор (1930 г.)- С. Королев, (1930 г.)- Григорьев, (-12.1936-01.1937 г.)- И.П. Руда, (16.01.1937- 25.03.1938 г.)- В.И. Белоцерковский, (25.03.1938-41 г.)- Д.Ф. Устинов, (-08.1946 г.)- Л.Р. Гонор, (1960-е)- В.М. Величко, А.С. Спицын. Гендиректор (1980-е-2002 г.-)- А.Ф(Н). Ващенко, (-2003-05 г.-)- В.В. Лапин.</w:t>
      </w:r>
    </w:p>
    <w:p w14:paraId="449B7A0A" w14:textId="77777777" w:rsidR="00B67D7C" w:rsidRPr="00DE096C" w:rsidRDefault="00B67D7C" w:rsidP="00D45A46">
      <w:pPr>
        <w:jc w:val="both"/>
        <w:rPr>
          <w:bCs/>
          <w:color w:val="002060"/>
          <w:sz w:val="16"/>
          <w:szCs w:val="16"/>
        </w:rPr>
      </w:pPr>
      <w:r w:rsidRPr="00DE096C">
        <w:rPr>
          <w:bCs/>
          <w:color w:val="002060"/>
          <w:sz w:val="16"/>
          <w:szCs w:val="16"/>
        </w:rPr>
        <w:t>1-й зам. гендиректора (2002 г.)- А.Б. Порецкий. Зам. директора: (20.08.1937-17.12.1938 г.)- Л.Р. Гонор; по коммерческой части (02.1938 г.)- Лоханов; по АХЧ (02.1938 г.)- Герасимов; по ОНУ (02.1938 г.)- Харитонов. Помощник директора по техчасти (1930 г.)- Фрейбер г.</w:t>
      </w:r>
    </w:p>
    <w:p w14:paraId="1BA5AB79" w14:textId="77777777" w:rsidR="00B67D7C" w:rsidRPr="00DE096C" w:rsidRDefault="00B67D7C" w:rsidP="00D45A46">
      <w:pPr>
        <w:jc w:val="both"/>
        <w:rPr>
          <w:bCs/>
          <w:color w:val="002060"/>
          <w:sz w:val="16"/>
          <w:szCs w:val="16"/>
        </w:rPr>
      </w:pPr>
      <w:r w:rsidRPr="00DE096C">
        <w:rPr>
          <w:bCs/>
          <w:color w:val="002060"/>
          <w:sz w:val="16"/>
          <w:szCs w:val="16"/>
        </w:rPr>
        <w:t>Директор: технический (-1936 г.)- Романов (репрессирован); по маркетингу, управлению производством и ВЭС (2002 г.)- А.Б. Порецкий.</w:t>
      </w:r>
    </w:p>
    <w:p w14:paraId="3DB012A1" w14:textId="77777777" w:rsidR="00B67D7C" w:rsidRPr="00DE096C" w:rsidRDefault="00B67D7C" w:rsidP="00D45A46">
      <w:pPr>
        <w:jc w:val="both"/>
        <w:rPr>
          <w:bCs/>
          <w:color w:val="002060"/>
          <w:sz w:val="16"/>
          <w:szCs w:val="16"/>
        </w:rPr>
      </w:pPr>
      <w:r w:rsidRPr="00DE096C">
        <w:rPr>
          <w:bCs/>
          <w:color w:val="002060"/>
          <w:sz w:val="16"/>
          <w:szCs w:val="16"/>
        </w:rPr>
        <w:t>Гл. инженер (11.1936 г.)- Магазинер, (20.08.1937-17.12.1938 г.)- Л.Р. Гонор.</w:t>
      </w:r>
    </w:p>
    <w:p w14:paraId="26C783E1" w14:textId="77777777" w:rsidR="00B67D7C" w:rsidRPr="00DE096C" w:rsidRDefault="00B67D7C" w:rsidP="00D45A46">
      <w:pPr>
        <w:jc w:val="both"/>
        <w:rPr>
          <w:bCs/>
          <w:color w:val="002060"/>
          <w:sz w:val="16"/>
          <w:szCs w:val="16"/>
        </w:rPr>
      </w:pPr>
      <w:r w:rsidRPr="00DE096C">
        <w:rPr>
          <w:bCs/>
          <w:color w:val="002060"/>
          <w:sz w:val="16"/>
          <w:szCs w:val="16"/>
        </w:rPr>
        <w:t>Гл. конструктор (1925 г.)- К.К. Чернявский, (1968 г.)- Т.Д. Вылкост, (1980-е&gt; Н. Г. Первушев, (2002 г.)- Н.Ф. Ильюшихин.</w:t>
      </w:r>
    </w:p>
    <w:p w14:paraId="4F1B1CF6" w14:textId="77777777" w:rsidR="00B67D7C" w:rsidRPr="00DE096C" w:rsidRDefault="00B67D7C" w:rsidP="00D45A46">
      <w:pPr>
        <w:jc w:val="both"/>
        <w:rPr>
          <w:bCs/>
          <w:color w:val="002060"/>
          <w:sz w:val="16"/>
          <w:szCs w:val="16"/>
        </w:rPr>
      </w:pPr>
      <w:r w:rsidRPr="00DE096C">
        <w:rPr>
          <w:bCs/>
          <w:color w:val="002060"/>
          <w:sz w:val="16"/>
          <w:szCs w:val="16"/>
        </w:rPr>
        <w:t>Зам. гл. конструктора (1937 г.)- Д.Ф. Устинов.</w:t>
      </w:r>
    </w:p>
    <w:p w14:paraId="5E32FB7B" w14:textId="77777777" w:rsidR="00B67D7C" w:rsidRPr="00DE096C" w:rsidRDefault="00B67D7C" w:rsidP="00D45A46">
      <w:pPr>
        <w:jc w:val="both"/>
        <w:rPr>
          <w:bCs/>
          <w:color w:val="002060"/>
          <w:sz w:val="16"/>
          <w:szCs w:val="16"/>
        </w:rPr>
      </w:pPr>
      <w:r w:rsidRPr="00DE096C">
        <w:rPr>
          <w:bCs/>
          <w:color w:val="002060"/>
          <w:sz w:val="16"/>
          <w:szCs w:val="16"/>
        </w:rPr>
        <w:t>Гл. металлург (1880-е)- Д.К. Чернов, (1932-36; 05.1937; 01.1939 г.)- А. Антонов, (02.1938 г.)- Куприянов. Гл. энергетик (16.04.1937-02.1938 г.-)- Н.А. Дубасов. Гл. механик (1930-е)- Шульман, (02.1938 г.)- Григорьев. Начальник производства (1936 г.)- Овсянников. Диспетчер (06.1938 г.)- Грасман.</w:t>
      </w:r>
    </w:p>
    <w:p w14:paraId="64E69006" w14:textId="77777777" w:rsidR="00B67D7C" w:rsidRPr="00DE096C" w:rsidRDefault="00B67D7C" w:rsidP="00D45A46">
      <w:pPr>
        <w:jc w:val="both"/>
        <w:rPr>
          <w:bCs/>
          <w:color w:val="002060"/>
          <w:sz w:val="16"/>
          <w:szCs w:val="16"/>
        </w:rPr>
      </w:pPr>
      <w:r w:rsidRPr="00DE096C">
        <w:rPr>
          <w:bCs/>
          <w:color w:val="002060"/>
          <w:sz w:val="16"/>
          <w:szCs w:val="16"/>
        </w:rPr>
        <w:t>Заведующий опытным цехом (1930 г.)- И. Шумилин. Начальники цехов: № 3 (02.1938 г.)- Сиркен; № 48 (02.1938 г.)- Галахов; мартеновского (1936 г.)- Знаменский.</w:t>
      </w:r>
    </w:p>
    <w:p w14:paraId="7C30170F" w14:textId="77777777" w:rsidR="00B67D7C" w:rsidRPr="00DE096C" w:rsidRDefault="00B67D7C" w:rsidP="00D45A46">
      <w:pPr>
        <w:jc w:val="both"/>
        <w:rPr>
          <w:bCs/>
          <w:color w:val="002060"/>
          <w:sz w:val="16"/>
          <w:szCs w:val="16"/>
        </w:rPr>
      </w:pPr>
      <w:r w:rsidRPr="00DE096C">
        <w:rPr>
          <w:bCs/>
          <w:color w:val="002060"/>
          <w:sz w:val="16"/>
          <w:szCs w:val="16"/>
        </w:rPr>
        <w:t>Зам. начальника цеха: № 46 (02.1938 г.)- Шифрин. Помощник начальника цеха: мартеновского по производству (1936 г.)- А. Морозенский.</w:t>
      </w:r>
    </w:p>
    <w:p w14:paraId="5BF19555" w14:textId="77777777" w:rsidR="00B67D7C" w:rsidRPr="00DE096C" w:rsidRDefault="00B67D7C" w:rsidP="00D45A46">
      <w:pPr>
        <w:jc w:val="both"/>
        <w:rPr>
          <w:bCs/>
          <w:color w:val="002060"/>
          <w:sz w:val="16"/>
          <w:szCs w:val="16"/>
        </w:rPr>
      </w:pPr>
      <w:r w:rsidRPr="00DE096C">
        <w:rPr>
          <w:bCs/>
          <w:color w:val="002060"/>
          <w:sz w:val="16"/>
          <w:szCs w:val="16"/>
        </w:rPr>
        <w:lastRenderedPageBreak/>
        <w:t>Начальники отделов: 6-го (06.1938 г.)- Плоткин; производственного (11.1936 г.)- М.А. Минков; ПДО (02.1938 г.)- А.К. Сергеев; ППО (02.1938 г.)- Гуткин; технического (27.03.1937-02.1938 г.-&gt; М.А. Миньков; ИО (02.1938 г.)- Овсянников; ОТК (08.1937 г.)- Шестаков; ОКС, УКС (-09.1937-08.1938 г.-)- П.А. Эйсмонт. Начальник финчасти (02.1938 г.)- Калистов.</w:t>
      </w:r>
    </w:p>
    <w:p w14:paraId="5DFAB385" w14:textId="77777777" w:rsidR="00B67D7C" w:rsidRPr="00DE096C" w:rsidRDefault="00B67D7C" w:rsidP="00D45A46">
      <w:pPr>
        <w:jc w:val="both"/>
        <w:rPr>
          <w:bCs/>
          <w:color w:val="002060"/>
          <w:sz w:val="16"/>
          <w:szCs w:val="16"/>
        </w:rPr>
      </w:pPr>
      <w:r w:rsidRPr="00DE096C">
        <w:rPr>
          <w:bCs/>
          <w:color w:val="002060"/>
          <w:sz w:val="16"/>
          <w:szCs w:val="16"/>
        </w:rPr>
        <w:t>Зам. начальника отдела: технического (03.1938 г.)- Плоткин; ПДО (02.1938 г.)- Хаютин; ППО (02.1938 г.)- Висмонт.</w:t>
      </w:r>
    </w:p>
    <w:p w14:paraId="75C5E6C1" w14:textId="77777777" w:rsidR="00B67D7C" w:rsidRPr="00DE096C" w:rsidRDefault="00B67D7C" w:rsidP="00D45A46">
      <w:pPr>
        <w:jc w:val="both"/>
        <w:rPr>
          <w:bCs/>
          <w:color w:val="002060"/>
          <w:sz w:val="16"/>
          <w:szCs w:val="16"/>
        </w:rPr>
      </w:pPr>
      <w:r w:rsidRPr="00DE096C">
        <w:rPr>
          <w:bCs/>
          <w:color w:val="002060"/>
          <w:sz w:val="16"/>
          <w:szCs w:val="16"/>
        </w:rPr>
        <w:t>Начальники бюро: КБ (02.1938 г.)- И.И. Иванов; электробюро (-08.1938 г.)- Н. Г. Терентьев; эксплуатации и опытных работ (1937 г.)- Д.Ф. Устинов.</w:t>
      </w:r>
    </w:p>
    <w:p w14:paraId="44327A77" w14:textId="77777777" w:rsidR="00B67D7C" w:rsidRPr="00DE096C" w:rsidRDefault="00B67D7C" w:rsidP="00D45A46">
      <w:pPr>
        <w:jc w:val="both"/>
        <w:rPr>
          <w:bCs/>
          <w:color w:val="002060"/>
          <w:sz w:val="16"/>
          <w:szCs w:val="16"/>
        </w:rPr>
      </w:pPr>
      <w:r w:rsidRPr="00DE096C">
        <w:rPr>
          <w:bCs/>
          <w:color w:val="002060"/>
          <w:sz w:val="16"/>
          <w:szCs w:val="16"/>
        </w:rPr>
        <w:t>Руководители групп: (05.1936 г.)- Кочетов.</w:t>
      </w:r>
    </w:p>
    <w:p w14:paraId="5F9106EA" w14:textId="77777777" w:rsidR="00B67D7C" w:rsidRPr="00DE096C" w:rsidRDefault="00B67D7C" w:rsidP="00D45A46">
      <w:pPr>
        <w:jc w:val="both"/>
        <w:rPr>
          <w:bCs/>
          <w:color w:val="002060"/>
          <w:sz w:val="16"/>
          <w:szCs w:val="16"/>
        </w:rPr>
      </w:pPr>
      <w:r w:rsidRPr="00DE096C">
        <w:rPr>
          <w:bCs/>
          <w:i/>
          <w:color w:val="002060"/>
          <w:sz w:val="16"/>
          <w:szCs w:val="16"/>
        </w:rPr>
        <w:t>Производство: пушки:</w:t>
      </w:r>
      <w:r w:rsidRPr="00DE096C">
        <w:rPr>
          <w:bCs/>
          <w:color w:val="002060"/>
          <w:sz w:val="16"/>
          <w:szCs w:val="16"/>
        </w:rPr>
        <w:t xml:space="preserve"> 152-мм (1876), 152-мм БР-2 (1937-), 87-мм, 107-мм (1877-), 6" пушка Канэ (1890-е-), «Гочкис-1» (1898); зенитная Б-14 (опытная, 1933); полевая 100-мм БС-3 (1944-53)- 275 (1944);</w:t>
      </w:r>
      <w:r w:rsidRPr="00DE096C">
        <w:rPr>
          <w:bCs/>
          <w:i/>
          <w:color w:val="002060"/>
          <w:sz w:val="16"/>
          <w:szCs w:val="16"/>
        </w:rPr>
        <w:t xml:space="preserve"> гаубицы:</w:t>
      </w:r>
      <w:r w:rsidRPr="00DE096C">
        <w:rPr>
          <w:bCs/>
          <w:color w:val="002060"/>
          <w:sz w:val="16"/>
          <w:szCs w:val="16"/>
        </w:rPr>
        <w:t xml:space="preserve"> 203-мм Б- 4 (1937-38-); Б-15 (1938);</w:t>
      </w:r>
      <w:r w:rsidRPr="00DE096C">
        <w:rPr>
          <w:bCs/>
          <w:i/>
          <w:color w:val="002060"/>
          <w:sz w:val="16"/>
          <w:szCs w:val="16"/>
        </w:rPr>
        <w:t xml:space="preserve"> корабельные орудия:</w:t>
      </w:r>
      <w:r w:rsidRPr="00DE096C">
        <w:rPr>
          <w:bCs/>
          <w:color w:val="002060"/>
          <w:sz w:val="16"/>
          <w:szCs w:val="16"/>
        </w:rPr>
        <w:t xml:space="preserve"> 37-мм зенитный автомат Максима (1918-19), 100-мм (1937), 102- мм (1909), 120-мм (1910), 2М-109 для пр. 82 (-1953)- 12, 152-мм (1938), 152-мм Б-38 (1940-41-)- около 10, 180-мм Б-27 (1937), Б-1-ПБ (1938), 203-мм, 229-мм (1872-), 305-мм (1870-е), 305-мм (1907), 305-мм (1937), 406-мм (1880)- 2, для линкоров пр. 23 (1930-е), для крейсеров пр. 26бис (1930-е), СМ-2-1 (1950-е); артиллерийские башни для броненосца «Петропавловск» (1890-е)- 2; артустановки: 100-мм зенитная Б-34 (1940-41-), 100-мм палубные Б-24- БМ (1938); 100-мм двухорудийные башенные: Б-54 (1941), С-44 (1947)- 1 и СМ-5-1 для крейсеров пр. 68К и 68бис (1948-55)- 150, СМ-52 (1957)- 1; 130-мм палубная Б-13 (1937), 130-мм спаренная башенная Б-31, двухорудийная 130-мм Б-2-</w:t>
      </w:r>
      <w:r w:rsidRPr="00DE096C">
        <w:rPr>
          <w:bCs/>
          <w:color w:val="002060"/>
          <w:sz w:val="16"/>
          <w:szCs w:val="16"/>
          <w:lang w:val="en-US"/>
        </w:rPr>
        <w:t>JIM</w:t>
      </w:r>
      <w:r w:rsidRPr="00DE096C">
        <w:rPr>
          <w:bCs/>
          <w:color w:val="002060"/>
          <w:sz w:val="16"/>
          <w:szCs w:val="16"/>
        </w:rPr>
        <w:t xml:space="preserve"> (-1953), двухорудийная 130-мм БЛ-109 (1940-е)- 6, 180-мм башенная Б-27 (1937); береговая 152- мм МУ-2 (1945-50)- 82, МУ-2М (1952)-1, МУ-2МБ (1955)- 1;</w:t>
      </w:r>
      <w:r w:rsidRPr="00DE096C">
        <w:rPr>
          <w:bCs/>
          <w:i/>
          <w:color w:val="002060"/>
          <w:sz w:val="16"/>
          <w:szCs w:val="16"/>
        </w:rPr>
        <w:t xml:space="preserve"> пушечные стволы:</w:t>
      </w:r>
      <w:r w:rsidRPr="00DE096C">
        <w:rPr>
          <w:bCs/>
          <w:color w:val="002060"/>
          <w:sz w:val="16"/>
          <w:szCs w:val="16"/>
        </w:rPr>
        <w:t xml:space="preserve"> для 76,2-мм ДРП АПК-4 (1932)- 44, для Б-13, Б-1-П (ВОВ), С-26; командно-дальномерные посты КДП</w:t>
      </w:r>
      <w:r w:rsidRPr="00DE096C">
        <w:rPr>
          <w:bCs/>
          <w:color w:val="002060"/>
          <w:sz w:val="16"/>
          <w:szCs w:val="16"/>
          <w:vertAlign w:val="subscript"/>
        </w:rPr>
        <w:t>3</w:t>
      </w:r>
      <w:r w:rsidRPr="00DE096C">
        <w:rPr>
          <w:bCs/>
          <w:color w:val="002060"/>
          <w:sz w:val="16"/>
          <w:szCs w:val="16"/>
        </w:rPr>
        <w:t>-6 (1937), КДП</w:t>
      </w:r>
      <w:r w:rsidRPr="00DE096C">
        <w:rPr>
          <w:bCs/>
          <w:color w:val="002060"/>
          <w:sz w:val="16"/>
          <w:szCs w:val="16"/>
          <w:vertAlign w:val="subscript"/>
        </w:rPr>
        <w:t>2</w:t>
      </w:r>
      <w:r w:rsidRPr="00DE096C">
        <w:rPr>
          <w:bCs/>
          <w:color w:val="002060"/>
          <w:sz w:val="16"/>
          <w:szCs w:val="16"/>
        </w:rPr>
        <w:t>-4, стабилизированный пост наводки СПН;</w:t>
      </w:r>
      <w:r w:rsidRPr="00DE096C">
        <w:rPr>
          <w:bCs/>
          <w:i/>
          <w:color w:val="002060"/>
          <w:sz w:val="16"/>
          <w:szCs w:val="16"/>
        </w:rPr>
        <w:t xml:space="preserve"> танки:</w:t>
      </w:r>
      <w:r w:rsidRPr="00DE096C">
        <w:rPr>
          <w:bCs/>
          <w:color w:val="002060"/>
          <w:sz w:val="16"/>
          <w:szCs w:val="16"/>
        </w:rPr>
        <w:t xml:space="preserve"> Т-16 (1927)- 1, МС-1 (Т-18, 1928-32)- 959 (вместе с Мотовилихинским заводом), Т-25 (1930)- 1, Т-27 (1931)- 45, Т-19 (1931), ТГ (1931); корпуса и башни для Т-26 (-1931-32-); авиационные двигатели М-5 (1924-30), поковки двигателей М-11, АМ-34, М-100 (1937);</w:t>
      </w:r>
      <w:r w:rsidRPr="00DE096C">
        <w:rPr>
          <w:bCs/>
          <w:i/>
          <w:color w:val="002060"/>
          <w:sz w:val="16"/>
          <w:szCs w:val="16"/>
        </w:rPr>
        <w:t xml:space="preserve"> ПУ:</w:t>
      </w:r>
      <w:r w:rsidRPr="00DE096C">
        <w:rPr>
          <w:bCs/>
          <w:color w:val="002060"/>
          <w:sz w:val="16"/>
          <w:szCs w:val="16"/>
        </w:rPr>
        <w:t xml:space="preserve"> СМ-97,</w:t>
      </w:r>
      <w:r w:rsidRPr="00DE096C">
        <w:rPr>
          <w:bCs/>
          <w:i/>
          <w:color w:val="002060"/>
          <w:sz w:val="16"/>
          <w:szCs w:val="16"/>
        </w:rPr>
        <w:t xml:space="preserve"> -91 А,</w:t>
      </w:r>
      <w:r w:rsidRPr="00DE096C">
        <w:rPr>
          <w:bCs/>
          <w:color w:val="002060"/>
          <w:sz w:val="16"/>
          <w:szCs w:val="16"/>
        </w:rPr>
        <w:t xml:space="preserve"> -101, -107 для П-70 «Аметист» (1960-е), для ЗРК С-300; СМ-71П для В-1000 системы ПРО «А», пусковая и подъемно-стартовая установки, транспортно-пусковой контейнер 5П81 противоракеты А-350 (1961-70); стенд-старт и 2 стартовых стола для «Энергия-Буран» (1979-84); системы пневмогидравлической амортизации ракет 8К98, 15А20У, 15А15, 15А16, 15A30, 15A35, 15Ж60 в ШПУ (1966-), «Тополь-М» (2005); УКП РК «Тополь-М»;</w:t>
      </w:r>
      <w:r w:rsidRPr="00DE096C">
        <w:rPr>
          <w:bCs/>
          <w:color w:val="002060"/>
          <w:sz w:val="16"/>
          <w:szCs w:val="16"/>
          <w:vertAlign w:val="superscript"/>
        </w:rPr>
        <w:t>101</w:t>
      </w:r>
    </w:p>
    <w:p w14:paraId="59C3171F" w14:textId="77777777" w:rsidR="00B67D7C" w:rsidRPr="00DE096C" w:rsidRDefault="00B67D7C" w:rsidP="00D45A46">
      <w:pPr>
        <w:jc w:val="both"/>
        <w:rPr>
          <w:bCs/>
          <w:color w:val="002060"/>
          <w:sz w:val="16"/>
          <w:szCs w:val="16"/>
        </w:rPr>
      </w:pPr>
      <w:r w:rsidRPr="00DE096C">
        <w:rPr>
          <w:bCs/>
          <w:color w:val="002060"/>
          <w:sz w:val="16"/>
          <w:szCs w:val="16"/>
        </w:rPr>
        <w:t>антенные установки: для системы управления БР Р-7 (1950-е), для КА «Алмаз», Вега-Атлас», «Плеяда», «Орбита ПП», для дальней космической связи; опорно-поворотные устройства для комплексов «Мир», «Буран», «Окно»; испытательное оборудование и универсальные стенды для комплексов «Фобос», «Сатурн», «Циклон»; агрегаты стыковки для «Зенит»; транспортно-установочный агрегат для «Циклон»;</w:t>
      </w:r>
      <w:r w:rsidRPr="00DE096C">
        <w:rPr>
          <w:bCs/>
          <w:color w:val="002060"/>
          <w:sz w:val="16"/>
          <w:szCs w:val="16"/>
          <w:vertAlign w:val="superscript"/>
        </w:rPr>
        <w:t>69</w:t>
      </w:r>
      <w:r w:rsidRPr="00DE096C">
        <w:rPr>
          <w:bCs/>
          <w:color w:val="002060"/>
          <w:sz w:val="16"/>
          <w:szCs w:val="16"/>
        </w:rPr>
        <w:t xml:space="preserve"> специальные термометры для атомного реактора комбината № 816 (1960-е)- около 3000 (11982).</w:t>
      </w:r>
    </w:p>
    <w:p w14:paraId="2C5AF17B" w14:textId="77777777" w:rsidR="00B67D7C" w:rsidRPr="00DE096C" w:rsidRDefault="00B67D7C" w:rsidP="00D45A46">
      <w:pPr>
        <w:jc w:val="both"/>
        <w:rPr>
          <w:bCs/>
          <w:color w:val="002060"/>
          <w:sz w:val="16"/>
          <w:szCs w:val="16"/>
        </w:rPr>
      </w:pPr>
    </w:p>
    <w:p w14:paraId="7E217D12" w14:textId="77777777" w:rsidR="00545614" w:rsidRPr="00DE096C" w:rsidRDefault="00545614" w:rsidP="00D45A46">
      <w:pPr>
        <w:jc w:val="both"/>
        <w:rPr>
          <w:bCs/>
          <w:color w:val="002060"/>
          <w:sz w:val="16"/>
          <w:szCs w:val="16"/>
        </w:rPr>
      </w:pPr>
      <w:r w:rsidRPr="00DE096C">
        <w:rPr>
          <w:bCs/>
          <w:color w:val="002060"/>
          <w:sz w:val="16"/>
          <w:szCs w:val="16"/>
        </w:rPr>
        <w:t>В апреле 1914 г., в разгар пока еще «газетной» войны с Германией, Фи</w:t>
      </w:r>
      <w:r w:rsidRPr="00DE096C">
        <w:rPr>
          <w:bCs/>
          <w:color w:val="002060"/>
          <w:sz w:val="16"/>
          <w:szCs w:val="16"/>
        </w:rPr>
        <w:softHyphen/>
        <w:t>нансовая комиссия верхней палаты при утверж</w:t>
      </w:r>
      <w:r w:rsidRPr="00DE096C">
        <w:rPr>
          <w:bCs/>
          <w:color w:val="002060"/>
          <w:sz w:val="16"/>
          <w:szCs w:val="16"/>
        </w:rPr>
        <w:softHyphen/>
        <w:t>дении бюджета на 1914 г. в Государственном совете на заседании поинтересовалась, «в какой мере военное ведомство обес</w:t>
      </w:r>
      <w:r w:rsidRPr="00DE096C">
        <w:rPr>
          <w:bCs/>
          <w:color w:val="002060"/>
          <w:sz w:val="16"/>
          <w:szCs w:val="16"/>
        </w:rPr>
        <w:softHyphen/>
        <w:t>печено запасами получаемой через Германию селитры», не</w:t>
      </w:r>
      <w:r w:rsidRPr="00DE096C">
        <w:rPr>
          <w:bCs/>
          <w:color w:val="002060"/>
          <w:sz w:val="16"/>
          <w:szCs w:val="16"/>
        </w:rPr>
        <w:softHyphen/>
        <w:t>обходимой для «изготовления бездымного пороха и других взрывчатых веществ». Успокоив Финансовую комиссию сообщением, что имеется двухлетний запас селитры, до</w:t>
      </w:r>
      <w:r w:rsidRPr="00DE096C">
        <w:rPr>
          <w:bCs/>
          <w:color w:val="002060"/>
          <w:sz w:val="16"/>
          <w:szCs w:val="16"/>
        </w:rPr>
        <w:softHyphen/>
        <w:t>кладчик по артиллерийской смете П.Ф. Унтербергер доба</w:t>
      </w:r>
      <w:r w:rsidRPr="00DE096C">
        <w:rPr>
          <w:bCs/>
          <w:color w:val="002060"/>
          <w:sz w:val="16"/>
          <w:szCs w:val="16"/>
        </w:rPr>
        <w:softHyphen/>
        <w:t>вил, что, по примеру других государств, «у нас тоже в близ</w:t>
      </w:r>
      <w:r w:rsidRPr="00DE096C">
        <w:rPr>
          <w:bCs/>
          <w:color w:val="002060"/>
          <w:sz w:val="16"/>
          <w:szCs w:val="16"/>
        </w:rPr>
        <w:softHyphen/>
        <w:t>ком будущем ожидается устройство завода для выработки азотной кислоты из воздуха», причем «завод этот устраива</w:t>
      </w:r>
      <w:r w:rsidRPr="00DE096C">
        <w:rPr>
          <w:bCs/>
          <w:color w:val="002060"/>
          <w:sz w:val="16"/>
          <w:szCs w:val="16"/>
        </w:rPr>
        <w:softHyphen/>
        <w:t>ется частными предпринимателями на р. Суне» (РГВИА. Ф. 2000. Оп. 2. Д. 2440. Л. 598 и об. Доклад по сметам Во</w:t>
      </w:r>
      <w:r w:rsidRPr="00DE096C">
        <w:rPr>
          <w:bCs/>
          <w:color w:val="002060"/>
          <w:sz w:val="16"/>
          <w:szCs w:val="16"/>
        </w:rPr>
        <w:softHyphen/>
        <w:t>енного министерства на 1914 г. в Финансовой комиссии Государствен</w:t>
      </w:r>
      <w:r w:rsidRPr="00DE096C">
        <w:rPr>
          <w:bCs/>
          <w:color w:val="002060"/>
          <w:sz w:val="16"/>
          <w:szCs w:val="16"/>
        </w:rPr>
        <w:softHyphen/>
        <w:t>ного совета (IX сессия). В числе предпринимателей, претендовавших на сотрудничество с ГАУ, фигурировали Бобрицкий и Половцевы (Там же. Ф. 29. Оп. 3. Д. 736. Л. 1 и об. Доклад Лукомского Сухомлинову, 24.1.1915). В августе 1912 г. образовалось «СПб. а. о. электропередачи силы водопада» (председатель правления А.И. Путилов, директор-распо</w:t>
      </w:r>
      <w:r w:rsidRPr="00DE096C">
        <w:rPr>
          <w:bCs/>
          <w:color w:val="002060"/>
          <w:sz w:val="16"/>
          <w:szCs w:val="16"/>
        </w:rPr>
        <w:softHyphen/>
        <w:t>рядитель П.И. Ратнер). Оно перекупило источники энергии (волховские пороги, финляндские водопады) у ранее завладевшего ими франко-ан</w:t>
      </w:r>
      <w:r w:rsidRPr="00DE096C">
        <w:rPr>
          <w:bCs/>
          <w:color w:val="002060"/>
          <w:sz w:val="16"/>
          <w:szCs w:val="16"/>
        </w:rPr>
        <w:softHyphen/>
        <w:t>глийского синдиката и рассчитывало протянуть линию электропередачи до Петербурга (Новое время. 1912. 14 авг.). 26 февраля 1914 г. через МПС и ГАУ добивалось концессии «Товарищество электрохимической промышленности» (представителем его выступал инженер Зенгер) (РГВИА. Ф. 29. Оп. 3. Д. 736. Л. 1-2, 5)). Дело тор</w:t>
      </w:r>
      <w:r w:rsidRPr="00DE096C">
        <w:rPr>
          <w:bCs/>
          <w:color w:val="002060"/>
          <w:sz w:val="16"/>
          <w:szCs w:val="16"/>
        </w:rPr>
        <w:softHyphen/>
        <w:t>мозилось, по его словам, жадностью предпринимателей, исчисливших цену пуда азотной кислоты в 4 руб. 85 коп. (пуд кислоты из селитры стоил 3 рубля).</w:t>
      </w:r>
    </w:p>
    <w:p w14:paraId="65C80E67" w14:textId="77777777" w:rsidR="00545614" w:rsidRPr="00DE096C" w:rsidRDefault="00545614" w:rsidP="00D45A46">
      <w:pPr>
        <w:jc w:val="both"/>
        <w:rPr>
          <w:bCs/>
          <w:color w:val="002060"/>
          <w:sz w:val="16"/>
          <w:szCs w:val="16"/>
        </w:rPr>
      </w:pPr>
      <w:r w:rsidRPr="00DE096C">
        <w:rPr>
          <w:bCs/>
          <w:color w:val="002060"/>
          <w:sz w:val="16"/>
          <w:szCs w:val="16"/>
        </w:rPr>
        <w:t>Повторялась история с попытками привлечения частной инициативы и в ряде других военных производств. В ре</w:t>
      </w:r>
      <w:r w:rsidRPr="00DE096C">
        <w:rPr>
          <w:bCs/>
          <w:color w:val="002060"/>
          <w:sz w:val="16"/>
          <w:szCs w:val="16"/>
        </w:rPr>
        <w:softHyphen/>
        <w:t>зультате предпочтение было отдано устройству военным ведомством «собственного небольшого завода». В Финан</w:t>
      </w:r>
      <w:r w:rsidRPr="00DE096C">
        <w:rPr>
          <w:bCs/>
          <w:color w:val="002060"/>
          <w:sz w:val="16"/>
          <w:szCs w:val="16"/>
        </w:rPr>
        <w:softHyphen/>
        <w:t>совой комиссии находили, что «правильнее было бы теперь же приступить к сооружению» не небольшого (опытного), а «завода, рассчитанного на удовлетворение всех потреб</w:t>
      </w:r>
      <w:r w:rsidRPr="00DE096C">
        <w:rPr>
          <w:bCs/>
          <w:color w:val="002060"/>
          <w:sz w:val="16"/>
          <w:szCs w:val="16"/>
        </w:rPr>
        <w:softHyphen/>
        <w:t>ностей военного ведомства в азотной кислоте», но оказа</w:t>
      </w:r>
      <w:r w:rsidRPr="00DE096C">
        <w:rPr>
          <w:bCs/>
          <w:color w:val="002060"/>
          <w:sz w:val="16"/>
          <w:szCs w:val="16"/>
        </w:rPr>
        <w:softHyphen/>
        <w:t>лось, что все-таки еще не раскрыт секрет производства. «Исследование соответствующих вопросов поручено было комиссии под председательством генерала Забудского», от</w:t>
      </w:r>
      <w:r w:rsidRPr="00DE096C">
        <w:rPr>
          <w:bCs/>
          <w:color w:val="002060"/>
          <w:sz w:val="16"/>
          <w:szCs w:val="16"/>
        </w:rPr>
        <w:softHyphen/>
        <w:t>вечал на замечания членов Государственного совета до</w:t>
      </w:r>
      <w:r w:rsidRPr="00DE096C">
        <w:rPr>
          <w:bCs/>
          <w:color w:val="002060"/>
          <w:sz w:val="16"/>
          <w:szCs w:val="16"/>
        </w:rPr>
        <w:softHyphen/>
        <w:t>кладчик; произведенные опыты «дали весьма благоприят</w:t>
      </w:r>
      <w:r w:rsidRPr="00DE096C">
        <w:rPr>
          <w:bCs/>
          <w:color w:val="002060"/>
          <w:sz w:val="16"/>
          <w:szCs w:val="16"/>
        </w:rPr>
        <w:softHyphen/>
        <w:t>ные результаты, но тем не менее некоторые детали этого дела не вполне еще исследованы и могут быть окончатель</w:t>
      </w:r>
      <w:r w:rsidRPr="00DE096C">
        <w:rPr>
          <w:bCs/>
          <w:color w:val="002060"/>
          <w:sz w:val="16"/>
          <w:szCs w:val="16"/>
        </w:rPr>
        <w:softHyphen/>
        <w:t>но выяснены только при постановке опытов в более широ</w:t>
      </w:r>
      <w:r w:rsidRPr="00DE096C">
        <w:rPr>
          <w:bCs/>
          <w:color w:val="002060"/>
          <w:sz w:val="16"/>
          <w:szCs w:val="16"/>
        </w:rPr>
        <w:softHyphen/>
        <w:t>ком масштабе». Поэтому придется начать «с постройки не</w:t>
      </w:r>
      <w:r w:rsidRPr="00DE096C">
        <w:rPr>
          <w:bCs/>
          <w:color w:val="002060"/>
          <w:sz w:val="16"/>
          <w:szCs w:val="16"/>
        </w:rPr>
        <w:softHyphen/>
        <w:t>большого опытного завода», чтобы получить «необходимые данные для более широкой постановки в ближайшем же будущем добывания азотной кислоты из воздуха» (23452).</w:t>
      </w:r>
    </w:p>
    <w:p w14:paraId="46DD70CA" w14:textId="77777777" w:rsidR="00545614" w:rsidRPr="00DE096C" w:rsidRDefault="00545614" w:rsidP="00D45A46">
      <w:pPr>
        <w:jc w:val="both"/>
        <w:rPr>
          <w:bCs/>
          <w:color w:val="002060"/>
          <w:sz w:val="16"/>
          <w:szCs w:val="16"/>
        </w:rPr>
      </w:pPr>
    </w:p>
    <w:p w14:paraId="37EEC0C5"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Морская авиация:</w:t>
      </w:r>
    </w:p>
    <w:p w14:paraId="5D660B2C" w14:textId="77777777" w:rsidR="00B67D7C" w:rsidRPr="00DE096C" w:rsidRDefault="00B67D7C" w:rsidP="00D45A46">
      <w:pPr>
        <w:shd w:val="clear" w:color="auto" w:fill="FFFFFF"/>
        <w:jc w:val="both"/>
        <w:rPr>
          <w:bCs/>
          <w:i/>
          <w:color w:val="002060"/>
          <w:sz w:val="16"/>
          <w:szCs w:val="16"/>
        </w:rPr>
      </w:pPr>
    </w:p>
    <w:p w14:paraId="2EC78D5F" w14:textId="77777777" w:rsidR="00B67D7C" w:rsidRPr="00DE096C" w:rsidRDefault="00B67D7C" w:rsidP="00D45A46">
      <w:pPr>
        <w:pStyle w:val="a5"/>
        <w:rPr>
          <w:bCs/>
          <w:color w:val="002060"/>
          <w:sz w:val="16"/>
          <w:szCs w:val="16"/>
          <w:lang w:val="ru-RU"/>
        </w:rPr>
      </w:pPr>
      <w:r w:rsidRPr="00DE096C">
        <w:rPr>
          <w:bCs/>
          <w:color w:val="002060"/>
          <w:sz w:val="16"/>
          <w:szCs w:val="16"/>
          <w:lang w:val="ru-RU"/>
        </w:rPr>
        <w:t>В апреле 1914 г. состоялся Тре</w:t>
      </w:r>
      <w:r w:rsidRPr="00DE096C">
        <w:rPr>
          <w:bCs/>
          <w:color w:val="002060"/>
          <w:sz w:val="16"/>
          <w:szCs w:val="16"/>
          <w:lang w:val="ru-RU"/>
        </w:rPr>
        <w:softHyphen/>
        <w:t>тий Всероссийский воздухоплава</w:t>
      </w:r>
      <w:r w:rsidRPr="00DE096C">
        <w:rPr>
          <w:bCs/>
          <w:color w:val="002060"/>
          <w:sz w:val="16"/>
          <w:szCs w:val="16"/>
          <w:lang w:val="ru-RU"/>
        </w:rPr>
        <w:softHyphen/>
        <w:t>тельный съезд, выявивший различ</w:t>
      </w:r>
      <w:r w:rsidRPr="00DE096C">
        <w:rPr>
          <w:bCs/>
          <w:color w:val="002060"/>
          <w:sz w:val="16"/>
          <w:szCs w:val="16"/>
          <w:lang w:val="ru-RU"/>
        </w:rPr>
        <w:softHyphen/>
        <w:t>ные подходы к методике подготовки военных лётчиков. Представляет интерес выступление начальника авиационной школы Всероссийско</w:t>
      </w:r>
      <w:r w:rsidRPr="00DE096C">
        <w:rPr>
          <w:bCs/>
          <w:color w:val="002060"/>
          <w:sz w:val="16"/>
          <w:szCs w:val="16"/>
          <w:lang w:val="ru-RU"/>
        </w:rPr>
        <w:softHyphen/>
        <w:t>го авиаклуба морского лётчика лейтенанта Н.А.Яцука на тему «О рациональной постановке обучения лётчиков». Доклад не дополнял, а скорее был полностью противопо</w:t>
      </w:r>
      <w:r w:rsidRPr="00DE096C">
        <w:rPr>
          <w:bCs/>
          <w:color w:val="002060"/>
          <w:sz w:val="16"/>
          <w:szCs w:val="16"/>
          <w:lang w:val="ru-RU"/>
        </w:rPr>
        <w:softHyphen/>
        <w:t>ложен основному докладу извест</w:t>
      </w:r>
      <w:r w:rsidRPr="00DE096C">
        <w:rPr>
          <w:bCs/>
          <w:color w:val="002060"/>
          <w:sz w:val="16"/>
          <w:szCs w:val="16"/>
          <w:lang w:val="ru-RU"/>
        </w:rPr>
        <w:softHyphen/>
        <w:t>ного военного летчика Х.Ф. Прус- сиса на тему «Авиация и лётчик», считавшего, что «Авиация-искусст- во, авиаторами могут быть только имеющие призвание». По мнению Пруссиса «стиль летания»- такой же дар лётчика, как талант поэта, он рождается вместе с ним. Яцук же считал: «стиль» летания - это вовсе не прирождённое качество гениаль</w:t>
      </w:r>
      <w:r w:rsidRPr="00DE096C">
        <w:rPr>
          <w:bCs/>
          <w:color w:val="002060"/>
          <w:sz w:val="16"/>
          <w:szCs w:val="16"/>
          <w:lang w:val="ru-RU"/>
        </w:rPr>
        <w:softHyphen/>
        <w:t>ного человека. «Стиль» летания надо сообщить ученику-авиатору, стилю надо обучать.</w:t>
      </w:r>
      <w:r w:rsidRPr="00DE096C">
        <w:rPr>
          <w:rStyle w:val="4"/>
          <w:rFonts w:ascii="Times New Roman" w:hAnsi="Times New Roman"/>
          <w:bCs/>
          <w:color w:val="002060"/>
          <w:spacing w:val="0"/>
          <w:sz w:val="16"/>
          <w:szCs w:val="16"/>
          <w:lang w:val="ru-RU"/>
        </w:rPr>
        <w:t xml:space="preserve"> «Большой не</w:t>
      </w:r>
      <w:r w:rsidRPr="00DE096C">
        <w:rPr>
          <w:rStyle w:val="4"/>
          <w:rFonts w:ascii="Times New Roman" w:hAnsi="Times New Roman"/>
          <w:bCs/>
          <w:color w:val="002060"/>
          <w:spacing w:val="0"/>
          <w:sz w:val="16"/>
          <w:szCs w:val="16"/>
          <w:lang w:val="ru-RU"/>
        </w:rPr>
        <w:softHyphen/>
        <w:t>достаток обучения пилотажу заклю</w:t>
      </w:r>
      <w:r w:rsidRPr="00DE096C">
        <w:rPr>
          <w:rStyle w:val="4"/>
          <w:rFonts w:ascii="Times New Roman" w:hAnsi="Times New Roman"/>
          <w:bCs/>
          <w:color w:val="002060"/>
          <w:spacing w:val="0"/>
          <w:sz w:val="16"/>
          <w:szCs w:val="16"/>
          <w:lang w:val="ru-RU"/>
        </w:rPr>
        <w:softHyphen/>
        <w:t>чается в том, что у каждого учите</w:t>
      </w:r>
      <w:r w:rsidRPr="00DE096C">
        <w:rPr>
          <w:rStyle w:val="4"/>
          <w:rFonts w:ascii="Times New Roman" w:hAnsi="Times New Roman"/>
          <w:bCs/>
          <w:color w:val="002060"/>
          <w:spacing w:val="0"/>
          <w:sz w:val="16"/>
          <w:szCs w:val="16"/>
          <w:lang w:val="ru-RU"/>
        </w:rPr>
        <w:softHyphen/>
        <w:t>ля, у каждого инструктора всегда самостоятельная школа преподава</w:t>
      </w:r>
      <w:r w:rsidRPr="00DE096C">
        <w:rPr>
          <w:rStyle w:val="4"/>
          <w:rFonts w:ascii="Times New Roman" w:hAnsi="Times New Roman"/>
          <w:bCs/>
          <w:color w:val="002060"/>
          <w:spacing w:val="0"/>
          <w:sz w:val="16"/>
          <w:szCs w:val="16"/>
          <w:lang w:val="ru-RU"/>
        </w:rPr>
        <w:softHyphen/>
        <w:t>ния. А это очень часто приводит к трагическим последствиям: когда лётчик, окончив одну школу, попа</w:t>
      </w:r>
      <w:r w:rsidRPr="00DE096C">
        <w:rPr>
          <w:rStyle w:val="4"/>
          <w:rFonts w:ascii="Times New Roman" w:hAnsi="Times New Roman"/>
          <w:bCs/>
          <w:color w:val="002060"/>
          <w:spacing w:val="0"/>
          <w:sz w:val="16"/>
          <w:szCs w:val="16"/>
          <w:lang w:val="ru-RU"/>
        </w:rPr>
        <w:softHyphen/>
        <w:t>дает в отряд, где большинство дру</w:t>
      </w:r>
      <w:r w:rsidRPr="00DE096C">
        <w:rPr>
          <w:rStyle w:val="4"/>
          <w:rFonts w:ascii="Times New Roman" w:hAnsi="Times New Roman"/>
          <w:bCs/>
          <w:color w:val="002060"/>
          <w:spacing w:val="0"/>
          <w:sz w:val="16"/>
          <w:szCs w:val="16"/>
          <w:lang w:val="ru-RU"/>
        </w:rPr>
        <w:softHyphen/>
        <w:t>гих лётчиков прошло совершенно другую школу, то он часто чувству</w:t>
      </w:r>
      <w:r w:rsidRPr="00DE096C">
        <w:rPr>
          <w:rStyle w:val="4"/>
          <w:rFonts w:ascii="Times New Roman" w:hAnsi="Times New Roman"/>
          <w:bCs/>
          <w:color w:val="002060"/>
          <w:spacing w:val="0"/>
          <w:sz w:val="16"/>
          <w:szCs w:val="16"/>
          <w:lang w:val="ru-RU"/>
        </w:rPr>
        <w:softHyphen/>
        <w:t>ет себя беспомощным, теряется. Следствием же бывают авиацион</w:t>
      </w:r>
      <w:r w:rsidRPr="00DE096C">
        <w:rPr>
          <w:rStyle w:val="4"/>
          <w:rFonts w:ascii="Times New Roman" w:hAnsi="Times New Roman"/>
          <w:bCs/>
          <w:color w:val="002060"/>
          <w:spacing w:val="0"/>
          <w:sz w:val="16"/>
          <w:szCs w:val="16"/>
          <w:lang w:val="ru-RU"/>
        </w:rPr>
        <w:softHyphen/>
        <w:t>ные катастрофы».</w:t>
      </w:r>
      <w:r w:rsidRPr="00DE096C">
        <w:rPr>
          <w:bCs/>
          <w:color w:val="002060"/>
          <w:sz w:val="16"/>
          <w:szCs w:val="16"/>
          <w:lang w:val="ru-RU"/>
        </w:rPr>
        <w:t xml:space="preserve"> В связи с этим Яцук полагал крайне необходимым выработать единый метод обучения пилотажу. Секция согласилась с до</w:t>
      </w:r>
      <w:r w:rsidRPr="00DE096C">
        <w:rPr>
          <w:bCs/>
          <w:color w:val="002060"/>
          <w:sz w:val="16"/>
          <w:szCs w:val="16"/>
          <w:lang w:val="ru-RU"/>
        </w:rPr>
        <w:softHyphen/>
        <w:t>водами Н.А.Яцука и приняла поста</w:t>
      </w:r>
      <w:r w:rsidRPr="00DE096C">
        <w:rPr>
          <w:bCs/>
          <w:color w:val="002060"/>
          <w:sz w:val="16"/>
          <w:szCs w:val="16"/>
          <w:lang w:val="ru-RU"/>
        </w:rPr>
        <w:softHyphen/>
        <w:t>новление о том, чтобы выработка такого общего метода была зак</w:t>
      </w:r>
      <w:r w:rsidRPr="00DE096C">
        <w:rPr>
          <w:bCs/>
          <w:color w:val="002060"/>
          <w:sz w:val="16"/>
          <w:szCs w:val="16"/>
          <w:lang w:val="ru-RU"/>
        </w:rPr>
        <w:softHyphen/>
        <w:t>лючена ко времени следующего все</w:t>
      </w:r>
      <w:r w:rsidRPr="00DE096C">
        <w:rPr>
          <w:bCs/>
          <w:color w:val="002060"/>
          <w:sz w:val="16"/>
          <w:szCs w:val="16"/>
          <w:lang w:val="ru-RU"/>
        </w:rPr>
        <w:softHyphen/>
        <w:t>российского воздухоплавательного съезда (11924).</w:t>
      </w:r>
    </w:p>
    <w:p w14:paraId="38874F0D" w14:textId="77777777" w:rsidR="00B67D7C" w:rsidRPr="00DE096C" w:rsidRDefault="00B67D7C" w:rsidP="00D45A46">
      <w:pPr>
        <w:pStyle w:val="a5"/>
        <w:rPr>
          <w:bCs/>
          <w:color w:val="002060"/>
          <w:sz w:val="16"/>
          <w:szCs w:val="16"/>
          <w:lang w:val="ru-RU"/>
        </w:rPr>
      </w:pPr>
    </w:p>
    <w:p w14:paraId="39F081E3" w14:textId="51096B20" w:rsidR="00B67D7C" w:rsidRPr="00DE096C" w:rsidRDefault="00A214D0" w:rsidP="00D45A46">
      <w:pPr>
        <w:pStyle w:val="a5"/>
        <w:rPr>
          <w:bCs/>
          <w:color w:val="002060"/>
          <w:sz w:val="16"/>
          <w:szCs w:val="16"/>
          <w:lang w:val="ru-RU"/>
        </w:rPr>
      </w:pPr>
      <w:r w:rsidRPr="00DE096C">
        <w:rPr>
          <w:bCs/>
          <w:color w:val="002060"/>
          <w:sz w:val="16"/>
          <w:szCs w:val="16"/>
          <w:lang w:val="ru-RU"/>
        </w:rPr>
        <w:t>В</w:t>
      </w:r>
      <w:r w:rsidR="00B67D7C" w:rsidRPr="00DE096C">
        <w:rPr>
          <w:bCs/>
          <w:color w:val="002060"/>
          <w:sz w:val="16"/>
          <w:szCs w:val="16"/>
          <w:lang w:val="ru-RU"/>
        </w:rPr>
        <w:t xml:space="preserve"> апреле 1914 г.</w:t>
      </w:r>
      <w:r w:rsidRPr="00DE096C">
        <w:rPr>
          <w:bCs/>
          <w:color w:val="002060"/>
          <w:sz w:val="16"/>
          <w:szCs w:val="16"/>
          <w:lang w:val="ru-RU"/>
        </w:rPr>
        <w:t xml:space="preserve"> начались работы по переоборудованию двух почти но</w:t>
      </w:r>
      <w:r w:rsidRPr="00DE096C">
        <w:rPr>
          <w:bCs/>
          <w:color w:val="002060"/>
          <w:sz w:val="16"/>
          <w:szCs w:val="16"/>
          <w:lang w:val="ru-RU"/>
        </w:rPr>
        <w:softHyphen/>
        <w:t>вых пассажирских пароходов «Им</w:t>
      </w:r>
      <w:r w:rsidRPr="00DE096C">
        <w:rPr>
          <w:bCs/>
          <w:color w:val="002060"/>
          <w:sz w:val="16"/>
          <w:szCs w:val="16"/>
          <w:lang w:val="ru-RU"/>
        </w:rPr>
        <w:softHyphen/>
        <w:t xml:space="preserve">ператор Николай </w:t>
      </w:r>
      <w:r w:rsidRPr="00DE096C">
        <w:rPr>
          <w:bCs/>
          <w:color w:val="002060"/>
          <w:sz w:val="16"/>
          <w:szCs w:val="16"/>
        </w:rPr>
        <w:t>I</w:t>
      </w:r>
      <w:r w:rsidRPr="00DE096C">
        <w:rPr>
          <w:bCs/>
          <w:color w:val="002060"/>
          <w:sz w:val="16"/>
          <w:szCs w:val="16"/>
          <w:lang w:val="ru-RU"/>
        </w:rPr>
        <w:t xml:space="preserve">» и «Император Александр </w:t>
      </w:r>
      <w:r w:rsidRPr="00DE096C">
        <w:rPr>
          <w:bCs/>
          <w:color w:val="002060"/>
          <w:sz w:val="16"/>
          <w:szCs w:val="16"/>
        </w:rPr>
        <w:t>III</w:t>
      </w:r>
      <w:r w:rsidRPr="00DE096C">
        <w:rPr>
          <w:bCs/>
          <w:color w:val="002060"/>
          <w:sz w:val="16"/>
          <w:szCs w:val="16"/>
          <w:lang w:val="ru-RU"/>
        </w:rPr>
        <w:t>», зачисленных в класс посыльных судов 2-го ранга, для базирования гидросамолётов. П</w:t>
      </w:r>
      <w:r w:rsidR="00B67D7C" w:rsidRPr="00DE096C">
        <w:rPr>
          <w:bCs/>
          <w:color w:val="002060"/>
          <w:sz w:val="16"/>
          <w:szCs w:val="16"/>
          <w:lang w:val="ru-RU"/>
        </w:rPr>
        <w:t xml:space="preserve">ричём «Император Александр </w:t>
      </w:r>
      <w:r w:rsidR="00B67D7C" w:rsidRPr="00DE096C">
        <w:rPr>
          <w:bCs/>
          <w:color w:val="002060"/>
          <w:sz w:val="16"/>
          <w:szCs w:val="16"/>
        </w:rPr>
        <w:t>III</w:t>
      </w:r>
      <w:r w:rsidR="00B67D7C" w:rsidRPr="00DE096C">
        <w:rPr>
          <w:bCs/>
          <w:color w:val="002060"/>
          <w:sz w:val="16"/>
          <w:szCs w:val="16"/>
          <w:lang w:val="ru-RU"/>
        </w:rPr>
        <w:t>» пришлось переименовать в «Импе</w:t>
      </w:r>
      <w:r w:rsidR="00B67D7C" w:rsidRPr="00DE096C">
        <w:rPr>
          <w:bCs/>
          <w:color w:val="002060"/>
          <w:sz w:val="16"/>
          <w:szCs w:val="16"/>
          <w:lang w:val="ru-RU"/>
        </w:rPr>
        <w:softHyphen/>
        <w:t xml:space="preserve">ратор Александр </w:t>
      </w:r>
      <w:r w:rsidR="00B67D7C" w:rsidRPr="00DE096C">
        <w:rPr>
          <w:bCs/>
          <w:color w:val="002060"/>
          <w:sz w:val="16"/>
          <w:szCs w:val="16"/>
        </w:rPr>
        <w:t>I</w:t>
      </w:r>
      <w:r w:rsidR="00B67D7C" w:rsidRPr="00DE096C">
        <w:rPr>
          <w:bCs/>
          <w:color w:val="002060"/>
          <w:sz w:val="16"/>
          <w:szCs w:val="16"/>
          <w:lang w:val="ru-RU"/>
        </w:rPr>
        <w:t>», так как на ста</w:t>
      </w:r>
      <w:r w:rsidR="00B67D7C" w:rsidRPr="00DE096C">
        <w:rPr>
          <w:bCs/>
          <w:color w:val="002060"/>
          <w:sz w:val="16"/>
          <w:szCs w:val="16"/>
          <w:lang w:val="ru-RU"/>
        </w:rPr>
        <w:softHyphen/>
        <w:t>пеле Николаева в это время стро</w:t>
      </w:r>
      <w:r w:rsidR="00B67D7C" w:rsidRPr="00DE096C">
        <w:rPr>
          <w:bCs/>
          <w:color w:val="002060"/>
          <w:sz w:val="16"/>
          <w:szCs w:val="16"/>
          <w:lang w:val="ru-RU"/>
        </w:rPr>
        <w:softHyphen/>
        <w:t>ился дредноут «Император Алек</w:t>
      </w:r>
      <w:r w:rsidR="00B67D7C" w:rsidRPr="00DE096C">
        <w:rPr>
          <w:bCs/>
          <w:color w:val="002060"/>
          <w:sz w:val="16"/>
          <w:szCs w:val="16"/>
          <w:lang w:val="ru-RU"/>
        </w:rPr>
        <w:softHyphen/>
        <w:t xml:space="preserve">сандр </w:t>
      </w:r>
      <w:r w:rsidR="00B67D7C" w:rsidRPr="00DE096C">
        <w:rPr>
          <w:bCs/>
          <w:color w:val="002060"/>
          <w:sz w:val="16"/>
          <w:szCs w:val="16"/>
        </w:rPr>
        <w:t>III</w:t>
      </w:r>
      <w:r w:rsidR="00B67D7C" w:rsidRPr="00DE096C">
        <w:rPr>
          <w:bCs/>
          <w:color w:val="002060"/>
          <w:sz w:val="16"/>
          <w:szCs w:val="16"/>
          <w:lang w:val="ru-RU"/>
        </w:rPr>
        <w:t xml:space="preserve">». </w:t>
      </w:r>
      <w:r w:rsidRPr="00DE096C">
        <w:rPr>
          <w:bCs/>
          <w:color w:val="002060"/>
          <w:sz w:val="16"/>
          <w:szCs w:val="16"/>
          <w:lang w:val="ru-RU"/>
        </w:rPr>
        <w:t>Суда имели одинаковые размерения и характеристики: длина 120 м, ши</w:t>
      </w:r>
      <w:r w:rsidRPr="00DE096C">
        <w:rPr>
          <w:bCs/>
          <w:color w:val="002060"/>
          <w:sz w:val="16"/>
          <w:szCs w:val="16"/>
          <w:lang w:val="ru-RU"/>
        </w:rPr>
        <w:softHyphen/>
        <w:t>рина 15,6 м, скорость до 14 узлов, водоизмещение 9200 т. На верхних палубах установили по шесть 120- мм орудий, по два зенитных орудия</w:t>
      </w:r>
      <w:r w:rsidR="003C77F9" w:rsidRPr="00DE096C">
        <w:rPr>
          <w:bCs/>
          <w:color w:val="002060"/>
          <w:sz w:val="16"/>
          <w:szCs w:val="16"/>
          <w:lang w:val="ru-RU"/>
        </w:rPr>
        <w:t>.</w:t>
      </w:r>
      <w:r w:rsidRPr="00DE096C">
        <w:rPr>
          <w:bCs/>
          <w:color w:val="002060"/>
          <w:sz w:val="16"/>
          <w:szCs w:val="16"/>
          <w:lang w:val="ru-RU"/>
        </w:rPr>
        <w:t xml:space="preserve"> </w:t>
      </w:r>
      <w:r w:rsidR="00B67D7C" w:rsidRPr="00DE096C">
        <w:rPr>
          <w:bCs/>
          <w:color w:val="002060"/>
          <w:sz w:val="16"/>
          <w:szCs w:val="16"/>
          <w:lang w:val="ru-RU"/>
        </w:rPr>
        <w:t>Эти авиатранспорты всту</w:t>
      </w:r>
      <w:r w:rsidR="00B67D7C" w:rsidRPr="00DE096C">
        <w:rPr>
          <w:bCs/>
          <w:color w:val="002060"/>
          <w:sz w:val="16"/>
          <w:szCs w:val="16"/>
          <w:lang w:val="ru-RU"/>
        </w:rPr>
        <w:softHyphen/>
        <w:t>пили в строй в феврале 1915 года. Они предназначались для базиро</w:t>
      </w:r>
      <w:r w:rsidR="00B67D7C" w:rsidRPr="00DE096C">
        <w:rPr>
          <w:bCs/>
          <w:color w:val="002060"/>
          <w:sz w:val="16"/>
          <w:szCs w:val="16"/>
          <w:lang w:val="ru-RU"/>
        </w:rPr>
        <w:softHyphen/>
        <w:t>вания лётающих лодок М-5 («Нико</w:t>
      </w:r>
      <w:r w:rsidR="00B67D7C" w:rsidRPr="00DE096C">
        <w:rPr>
          <w:bCs/>
          <w:color w:val="002060"/>
          <w:sz w:val="16"/>
          <w:szCs w:val="16"/>
          <w:lang w:val="ru-RU"/>
        </w:rPr>
        <w:softHyphen/>
        <w:t xml:space="preserve">лай </w:t>
      </w:r>
      <w:r w:rsidR="00B67D7C" w:rsidRPr="00DE096C">
        <w:rPr>
          <w:bCs/>
          <w:color w:val="002060"/>
          <w:sz w:val="16"/>
          <w:szCs w:val="16"/>
        </w:rPr>
        <w:t>I</w:t>
      </w:r>
      <w:r w:rsidR="00B67D7C" w:rsidRPr="00DE096C">
        <w:rPr>
          <w:bCs/>
          <w:color w:val="002060"/>
          <w:sz w:val="16"/>
          <w:szCs w:val="16"/>
          <w:lang w:val="ru-RU"/>
        </w:rPr>
        <w:t xml:space="preserve">» — семь М-5, «Александр </w:t>
      </w:r>
      <w:r w:rsidR="00B67D7C" w:rsidRPr="00DE096C">
        <w:rPr>
          <w:bCs/>
          <w:color w:val="002060"/>
          <w:sz w:val="16"/>
          <w:szCs w:val="16"/>
        </w:rPr>
        <w:t>I</w:t>
      </w:r>
      <w:r w:rsidR="00B67D7C" w:rsidRPr="00DE096C">
        <w:rPr>
          <w:bCs/>
          <w:color w:val="002060"/>
          <w:sz w:val="16"/>
          <w:szCs w:val="16"/>
          <w:lang w:val="ru-RU"/>
        </w:rPr>
        <w:t>» — восемь М-5). Самолёты доставлялись на корабли на время похода и опе</w:t>
      </w:r>
      <w:r w:rsidR="00B67D7C" w:rsidRPr="00DE096C">
        <w:rPr>
          <w:bCs/>
          <w:color w:val="002060"/>
          <w:sz w:val="16"/>
          <w:szCs w:val="16"/>
          <w:lang w:val="ru-RU"/>
        </w:rPr>
        <w:softHyphen/>
        <w:t>раций. Лейтенанта Р.Ф. Эссена назначили начальником первого корабельного отряда, а вторым командовал лейтенант Е. Е. Коведяев (впоследствии его сменил лей</w:t>
      </w:r>
      <w:r w:rsidR="00B67D7C" w:rsidRPr="00DE096C">
        <w:rPr>
          <w:bCs/>
          <w:color w:val="002060"/>
          <w:sz w:val="16"/>
          <w:szCs w:val="16"/>
          <w:lang w:val="ru-RU"/>
        </w:rPr>
        <w:softHyphen/>
        <w:t>тенант А.К. Юнкер). Боевое приме</w:t>
      </w:r>
      <w:r w:rsidR="00B67D7C" w:rsidRPr="00DE096C">
        <w:rPr>
          <w:bCs/>
          <w:color w:val="002060"/>
          <w:sz w:val="16"/>
          <w:szCs w:val="16"/>
          <w:lang w:val="ru-RU"/>
        </w:rPr>
        <w:softHyphen/>
        <w:t>нение включаемых в состав эскад</w:t>
      </w:r>
      <w:r w:rsidR="00B67D7C" w:rsidRPr="00DE096C">
        <w:rPr>
          <w:bCs/>
          <w:color w:val="002060"/>
          <w:sz w:val="16"/>
          <w:szCs w:val="16"/>
          <w:lang w:val="ru-RU"/>
        </w:rPr>
        <w:softHyphen/>
        <w:t>ры авиатранспортов началось: пер</w:t>
      </w:r>
      <w:r w:rsidR="00B67D7C" w:rsidRPr="00DE096C">
        <w:rPr>
          <w:bCs/>
          <w:color w:val="002060"/>
          <w:sz w:val="16"/>
          <w:szCs w:val="16"/>
          <w:lang w:val="ru-RU"/>
        </w:rPr>
        <w:softHyphen/>
        <w:t>вого с 27 февраля (11 марта), вто</w:t>
      </w:r>
      <w:r w:rsidR="00B67D7C" w:rsidRPr="00DE096C">
        <w:rPr>
          <w:bCs/>
          <w:color w:val="002060"/>
          <w:sz w:val="16"/>
          <w:szCs w:val="16"/>
          <w:lang w:val="ru-RU"/>
        </w:rPr>
        <w:softHyphen/>
        <w:t>рого с 25 апреля (7 мая) 1915 г. (11925).</w:t>
      </w:r>
    </w:p>
    <w:p w14:paraId="5AB3A4F9" w14:textId="77777777" w:rsidR="00B67D7C" w:rsidRPr="00DE096C" w:rsidRDefault="00B67D7C" w:rsidP="00D45A46">
      <w:pPr>
        <w:pStyle w:val="a5"/>
        <w:rPr>
          <w:bCs/>
          <w:color w:val="002060"/>
          <w:sz w:val="16"/>
          <w:szCs w:val="16"/>
          <w:lang w:val="ru-RU"/>
        </w:rPr>
      </w:pPr>
    </w:p>
    <w:p w14:paraId="141457C1" w14:textId="15E851AA" w:rsidR="003A1207" w:rsidRPr="00DE096C" w:rsidRDefault="003A1207" w:rsidP="00D45A46">
      <w:pPr>
        <w:jc w:val="both"/>
        <w:rPr>
          <w:bCs/>
          <w:i/>
          <w:iCs/>
          <w:color w:val="002060"/>
          <w:sz w:val="16"/>
          <w:szCs w:val="16"/>
        </w:rPr>
      </w:pPr>
      <w:r w:rsidRPr="00DE096C">
        <w:rPr>
          <w:bCs/>
          <w:i/>
          <w:iCs/>
          <w:color w:val="002060"/>
          <w:sz w:val="16"/>
          <w:szCs w:val="16"/>
        </w:rPr>
        <w:t>Авиация и воздухоплавание в Англии:</w:t>
      </w:r>
    </w:p>
    <w:p w14:paraId="58E71AD4" w14:textId="77777777" w:rsidR="003A1207" w:rsidRPr="00DE096C" w:rsidRDefault="003A1207" w:rsidP="00D45A46">
      <w:pPr>
        <w:jc w:val="both"/>
        <w:rPr>
          <w:bCs/>
          <w:i/>
          <w:iCs/>
          <w:color w:val="002060"/>
          <w:sz w:val="16"/>
          <w:szCs w:val="16"/>
        </w:rPr>
      </w:pPr>
    </w:p>
    <w:p w14:paraId="30E86B05" w14:textId="77777777" w:rsidR="003A1207" w:rsidRPr="00DE096C" w:rsidRDefault="003A1207" w:rsidP="00D45A46">
      <w:pPr>
        <w:jc w:val="both"/>
        <w:rPr>
          <w:bCs/>
          <w:color w:val="002060"/>
          <w:sz w:val="16"/>
          <w:szCs w:val="16"/>
        </w:rPr>
      </w:pPr>
      <w:r w:rsidRPr="00DE096C">
        <w:rPr>
          <w:bCs/>
          <w:color w:val="002060"/>
          <w:sz w:val="16"/>
          <w:szCs w:val="16"/>
        </w:rPr>
        <w:t>В апреле 1914 г. Сопвич Таблоид предъявили на официальные испытания RFC, и по их результатам Военное министерство Великобритании заказало Сопвичу 40 экземпляров (22734).</w:t>
      </w:r>
    </w:p>
    <w:p w14:paraId="5F5E7C1A" w14:textId="77777777" w:rsidR="003A1207" w:rsidRPr="00DE096C" w:rsidRDefault="003A1207" w:rsidP="00D45A46">
      <w:pPr>
        <w:jc w:val="both"/>
        <w:rPr>
          <w:bCs/>
          <w:color w:val="002060"/>
          <w:sz w:val="16"/>
          <w:szCs w:val="16"/>
        </w:rPr>
      </w:pPr>
    </w:p>
    <w:p w14:paraId="386DACD1" w14:textId="77777777" w:rsidR="00B033D7" w:rsidRPr="00B52707" w:rsidRDefault="00B033D7" w:rsidP="00B033D7">
      <w:pPr>
        <w:jc w:val="both"/>
        <w:rPr>
          <w:color w:val="0070C0"/>
          <w:sz w:val="16"/>
          <w:szCs w:val="16"/>
        </w:rPr>
      </w:pPr>
      <w:r w:rsidRPr="00B52707">
        <w:rPr>
          <w:color w:val="0070C0"/>
          <w:sz w:val="16"/>
          <w:szCs w:val="16"/>
        </w:rPr>
        <w:t>В апреле 1914 г. Сопвич «Таблоид» предъявили на официальные испытания RFC, и по их результатам испытаний Военное министерство Великобритании заказало Сопвичу 40 экземпляров. Но над самолетом пришлось еще поработать, поскольку помимо восторгов нашлись и претензии. Первый серийный «Сервис Таблоид» получил новый капот мотора, вырез в верхнем центроплане для обзора вперед и вверх. Наконец, к цельноповоротному рулю направления добавили неподвижный киль и неожиданно управляться в этом канале аэроплан стал лучше.</w:t>
      </w:r>
    </w:p>
    <w:p w14:paraId="628B999A" w14:textId="77777777" w:rsidR="00B033D7" w:rsidRPr="00B52707" w:rsidRDefault="00B033D7" w:rsidP="00B033D7">
      <w:pPr>
        <w:jc w:val="both"/>
        <w:rPr>
          <w:color w:val="0070C0"/>
          <w:sz w:val="16"/>
          <w:szCs w:val="16"/>
        </w:rPr>
      </w:pPr>
      <w:r w:rsidRPr="00B52707">
        <w:rPr>
          <w:color w:val="0070C0"/>
          <w:sz w:val="16"/>
          <w:szCs w:val="16"/>
        </w:rPr>
        <w:t>На строящихся первых шести машинах доработки продолжались, и самой главной стал вынос вперед верхнего крыла, что потребовало поставить наклонно параллельно стойкам бипланной коробки и первые рамы фермы фюзеляжа.</w:t>
      </w:r>
    </w:p>
    <w:p w14:paraId="20909452" w14:textId="77777777" w:rsidR="00B033D7" w:rsidRPr="00B52707" w:rsidRDefault="00B033D7" w:rsidP="00B033D7">
      <w:pPr>
        <w:jc w:val="both"/>
        <w:rPr>
          <w:color w:val="0070C0"/>
          <w:sz w:val="16"/>
          <w:szCs w:val="16"/>
        </w:rPr>
      </w:pPr>
      <w:r w:rsidRPr="00B52707">
        <w:rPr>
          <w:color w:val="0070C0"/>
          <w:sz w:val="16"/>
          <w:szCs w:val="16"/>
        </w:rPr>
        <w:t>Головной самолет серии был построен в начале 1914 г., но приемка машин началась только весной, а сдача в 7-ю эскадрилью RFC – летом. Вся первая партия из 6-ти аппаратов была закончена к 26 июня 1914 г. (25679).</w:t>
      </w:r>
    </w:p>
    <w:p w14:paraId="6596CC6D" w14:textId="77777777" w:rsidR="00B033D7" w:rsidRPr="00B52707" w:rsidRDefault="00B033D7" w:rsidP="00B033D7">
      <w:pPr>
        <w:jc w:val="both"/>
        <w:rPr>
          <w:color w:val="0070C0"/>
          <w:sz w:val="16"/>
          <w:szCs w:val="16"/>
        </w:rPr>
      </w:pPr>
    </w:p>
    <w:p w14:paraId="1FF94DD1" w14:textId="77777777" w:rsidR="00B033D7" w:rsidRPr="00B52707" w:rsidRDefault="00B033D7" w:rsidP="00B033D7">
      <w:pPr>
        <w:jc w:val="both"/>
        <w:rPr>
          <w:color w:val="0070C0"/>
          <w:sz w:val="16"/>
          <w:szCs w:val="16"/>
        </w:rPr>
      </w:pPr>
      <w:r w:rsidRPr="00B52707">
        <w:rPr>
          <w:color w:val="0070C0"/>
          <w:sz w:val="16"/>
          <w:szCs w:val="16"/>
        </w:rPr>
        <w:t xml:space="preserve">В апреле 1914 г. S.E.2 вернули на фирму и доработали под руководством нового Главного конструктора Генри Фолланда – в январе де Хэвилленда «соблазнили» должностью инспектора по самолетам в Инспекционном директорате аэронавтики.. Сэр Джеффри вернется к любимой конструкторской работе, но на частной фирме и об этом мы вскоре поговорим, а пока Фолланд сделал машине новую хвостовую часть с деревянным каркасом и полотняной обшивкой вместо фанерного монокока. </w:t>
      </w:r>
      <w:r w:rsidRPr="00B52707">
        <w:rPr>
          <w:color w:val="0070C0"/>
          <w:sz w:val="16"/>
          <w:szCs w:val="16"/>
        </w:rPr>
        <w:lastRenderedPageBreak/>
        <w:t>Это казалось шагом назад в угоду простоте серийного производства, которое так и не началось, зато новые стойки бипланной коробки овального сечения и замена обычной проволоки растяжек сплющенной (RAF-wire) имели меньшее аэродинамическое сопротивление. «Скаут» встретил войну в 3-й эскадрилье RFCи 17 октября 1914 г. отправился на Французский фронт, но это будет потом, а пока главным продуктом фирмы стала куда более примитивная машина (25769).</w:t>
      </w:r>
    </w:p>
    <w:p w14:paraId="3A2B0C7D" w14:textId="77777777" w:rsidR="00B033D7" w:rsidRPr="00B52707" w:rsidRDefault="00B033D7" w:rsidP="00B033D7">
      <w:pPr>
        <w:jc w:val="both"/>
        <w:rPr>
          <w:color w:val="0070C0"/>
          <w:sz w:val="16"/>
          <w:szCs w:val="16"/>
        </w:rPr>
      </w:pPr>
    </w:p>
    <w:p w14:paraId="1F22F022" w14:textId="77777777" w:rsidR="00DB43E1" w:rsidRPr="00DE096C" w:rsidRDefault="00DB43E1" w:rsidP="00D45A46">
      <w:pPr>
        <w:shd w:val="clear" w:color="auto" w:fill="FFFFFF"/>
        <w:jc w:val="both"/>
        <w:rPr>
          <w:bCs/>
          <w:i/>
          <w:color w:val="002060"/>
          <w:sz w:val="16"/>
          <w:szCs w:val="16"/>
        </w:rPr>
      </w:pPr>
      <w:r w:rsidRPr="00DE096C">
        <w:rPr>
          <w:bCs/>
          <w:i/>
          <w:color w:val="002060"/>
          <w:sz w:val="16"/>
          <w:szCs w:val="16"/>
        </w:rPr>
        <w:t>Самолетостроение:</w:t>
      </w:r>
    </w:p>
    <w:p w14:paraId="1A63081E" w14:textId="77777777" w:rsidR="00DB43E1" w:rsidRPr="00DE096C" w:rsidRDefault="00DB43E1" w:rsidP="00D45A46">
      <w:pPr>
        <w:shd w:val="clear" w:color="auto" w:fill="FFFFFF"/>
        <w:jc w:val="both"/>
        <w:rPr>
          <w:bCs/>
          <w:i/>
          <w:color w:val="002060"/>
          <w:sz w:val="16"/>
          <w:szCs w:val="16"/>
        </w:rPr>
      </w:pPr>
    </w:p>
    <w:p w14:paraId="643B307A" w14:textId="77777777" w:rsidR="00DB43E1" w:rsidRPr="00DE096C" w:rsidRDefault="00DB43E1" w:rsidP="00D45A46">
      <w:pPr>
        <w:jc w:val="both"/>
        <w:rPr>
          <w:bCs/>
          <w:color w:val="002060"/>
          <w:sz w:val="16"/>
          <w:szCs w:val="16"/>
        </w:rPr>
      </w:pPr>
      <w:r w:rsidRPr="00DE096C">
        <w:rPr>
          <w:bCs/>
          <w:color w:val="002060"/>
          <w:sz w:val="16"/>
          <w:szCs w:val="16"/>
        </w:rPr>
        <w:t>К маю 1914 специалисты завода Лесснера доработали для приминения с аэропланов 18 торпед типа "Л". Следующая партия из 24 торпед была доработана к декабрю 1914 года (12284).</w:t>
      </w:r>
    </w:p>
    <w:p w14:paraId="4DBFA065" w14:textId="77777777" w:rsidR="00DB43E1" w:rsidRPr="00DE096C" w:rsidRDefault="00DB43E1" w:rsidP="00D45A46">
      <w:pPr>
        <w:jc w:val="both"/>
        <w:rPr>
          <w:bCs/>
          <w:color w:val="002060"/>
          <w:sz w:val="16"/>
          <w:szCs w:val="16"/>
        </w:rPr>
      </w:pPr>
    </w:p>
    <w:p w14:paraId="22A189AF"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Другие оборонные отрасли:</w:t>
      </w:r>
    </w:p>
    <w:p w14:paraId="2A2BCC47" w14:textId="77777777" w:rsidR="00B67D7C" w:rsidRPr="00DE096C" w:rsidRDefault="00B67D7C" w:rsidP="00D45A46">
      <w:pPr>
        <w:shd w:val="clear" w:color="auto" w:fill="FFFFFF"/>
        <w:jc w:val="both"/>
        <w:rPr>
          <w:bCs/>
          <w:i/>
          <w:color w:val="002060"/>
          <w:sz w:val="16"/>
          <w:szCs w:val="16"/>
        </w:rPr>
      </w:pPr>
    </w:p>
    <w:p w14:paraId="5CC4A623" w14:textId="15DBFB43" w:rsidR="00757D08" w:rsidRPr="00DE096C" w:rsidRDefault="00757D08" w:rsidP="00D45A46">
      <w:pPr>
        <w:jc w:val="both"/>
        <w:rPr>
          <w:bCs/>
          <w:color w:val="002060"/>
          <w:sz w:val="16"/>
          <w:szCs w:val="16"/>
        </w:rPr>
      </w:pPr>
      <w:r w:rsidRPr="00DE096C">
        <w:rPr>
          <w:bCs/>
          <w:color w:val="002060"/>
          <w:sz w:val="16"/>
          <w:szCs w:val="16"/>
        </w:rPr>
        <w:t xml:space="preserve">1 </w:t>
      </w:r>
      <w:r w:rsidR="003C77F9" w:rsidRPr="00DE096C">
        <w:rPr>
          <w:bCs/>
          <w:color w:val="002060"/>
          <w:sz w:val="16"/>
          <w:szCs w:val="16"/>
        </w:rPr>
        <w:t xml:space="preserve">(14) </w:t>
      </w:r>
      <w:r w:rsidRPr="00DE096C">
        <w:rPr>
          <w:bCs/>
          <w:color w:val="002060"/>
          <w:sz w:val="16"/>
          <w:szCs w:val="16"/>
        </w:rPr>
        <w:t>мая в 1914 году выдал первую плавку металла Калатинский медеплавильный завод на Урале (впоследствии Кировградский медеплавильный завод, ЗАО "Кировградская металлургическая компания"). Ныне филиал "Производство полиметаллов" ОАО "Уралэлектромедь" (Свердловская область) — крупное предприятие цветной металлургии Российской Федерации (14878).</w:t>
      </w:r>
    </w:p>
    <w:p w14:paraId="7F267C5B" w14:textId="77777777" w:rsidR="00757D08" w:rsidRPr="00DE096C" w:rsidRDefault="00757D08" w:rsidP="00D45A46">
      <w:pPr>
        <w:jc w:val="both"/>
        <w:rPr>
          <w:bCs/>
          <w:color w:val="002060"/>
          <w:sz w:val="16"/>
          <w:szCs w:val="16"/>
        </w:rPr>
      </w:pPr>
    </w:p>
    <w:p w14:paraId="2B2E84E6" w14:textId="593DE32D" w:rsidR="00B67D7C" w:rsidRPr="00DE096C" w:rsidRDefault="00B67D7C" w:rsidP="00D45A46">
      <w:pPr>
        <w:jc w:val="both"/>
        <w:rPr>
          <w:bCs/>
          <w:color w:val="002060"/>
          <w:sz w:val="16"/>
          <w:szCs w:val="16"/>
        </w:rPr>
      </w:pPr>
      <w:r w:rsidRPr="00DE096C">
        <w:rPr>
          <w:bCs/>
          <w:color w:val="002060"/>
          <w:sz w:val="16"/>
          <w:szCs w:val="16"/>
        </w:rPr>
        <w:t>1 (14) мая 1914 г. в здании кристаллизации тетрила</w:t>
      </w:r>
      <w:r w:rsidR="003C77F9" w:rsidRPr="00DE096C">
        <w:rPr>
          <w:bCs/>
          <w:color w:val="002060"/>
          <w:sz w:val="16"/>
          <w:szCs w:val="16"/>
        </w:rPr>
        <w:t xml:space="preserve"> Самарского завода взрывчатых веществ произошел первый взрыв</w:t>
      </w:r>
      <w:r w:rsidRPr="00DE096C">
        <w:rPr>
          <w:bCs/>
          <w:color w:val="002060"/>
          <w:sz w:val="16"/>
          <w:szCs w:val="16"/>
        </w:rPr>
        <w:t xml:space="preserve">. Взорвало около двух пудов сырого тетрила. Здание разрушено совершенно, обвалились три стены, четвертая дала сквозные трещины. Крыша была поднята взрывом и упала на здание, повернувшись поперек него. Постройка имела все четыре стены из кирпича, сложенного на цементе. </w:t>
      </w:r>
    </w:p>
    <w:p w14:paraId="32AD3955" w14:textId="77777777" w:rsidR="00B67D7C" w:rsidRPr="00DE096C" w:rsidRDefault="00B67D7C" w:rsidP="00D45A46">
      <w:pPr>
        <w:jc w:val="both"/>
        <w:rPr>
          <w:bCs/>
          <w:color w:val="002060"/>
          <w:sz w:val="16"/>
          <w:szCs w:val="16"/>
        </w:rPr>
      </w:pPr>
      <w:r w:rsidRPr="00DE096C">
        <w:rPr>
          <w:bCs/>
          <w:color w:val="002060"/>
          <w:sz w:val="16"/>
          <w:szCs w:val="16"/>
        </w:rPr>
        <w:t xml:space="preserve">Второй взрыв произошел 21 ноября 1916 г., также в здании кристаллизации, которое было отстроено на месте указанного сейчас здания, взорвавшегося в 1914 году. Вновь отстроенное здание имело три отделения, разделенных между собою прочными буферными стенками. Из наружных стен три были сделаны прочными, а четвертая по фасаду всех трех отделений — легкая, деревянная, сплошь застекленная. Крыша не была закреплена на стенах и лежала собственным весом. Взорвался тетрил при чистке фильтрпресса, всего в количестве около четырех пудов. Эффект разрушения получился следующий. Взрывом вынесло во всех трех отделениях легкую деревянную стену. Слегка приподняло в момент взрыва крышу, после чего она села на свое место. Каменные стены остались целы — и наружные и промежуточные, буферные. В среднем отделении пострадала аппаратура. В соседних отделениях за буферными стенами все осталось цело. </w:t>
      </w:r>
    </w:p>
    <w:p w14:paraId="3A7D3A2F" w14:textId="77777777" w:rsidR="00B67D7C" w:rsidRPr="00DE096C" w:rsidRDefault="00B67D7C" w:rsidP="00D45A46">
      <w:pPr>
        <w:jc w:val="both"/>
        <w:rPr>
          <w:bCs/>
          <w:color w:val="002060"/>
          <w:sz w:val="16"/>
          <w:szCs w:val="16"/>
        </w:rPr>
      </w:pPr>
      <w:r w:rsidRPr="00DE096C">
        <w:rPr>
          <w:bCs/>
          <w:color w:val="002060"/>
          <w:sz w:val="16"/>
          <w:szCs w:val="16"/>
        </w:rPr>
        <w:t xml:space="preserve">Два описанных взрыва тетрила, одинаковой силы по количеству взорвавшегося вещества, дали резко различный разрушительный эффект, что всецело было обусловлено конструкцией здания. В первом случае взрыв произошел в весьма прочном и притом одинаково прочном со стороны всех четырех (кирпичных) стен, покрытых притом наглухо с ними скрепленной крышей. Естественно, что газы от взрыва не имели легкого выхода и валили стены и крышу. Во втором случае газы нашли почти беспрепятственный выход через легкую стеклянную стенку и не имели надобности валить не только наружные стены, но и внутренние. Таким образом, опыт ясно подтвердил рациональность второй конструкции. В обоях случаях соседние здания, отнесенные на 25 саженей, не пострадали. </w:t>
      </w:r>
    </w:p>
    <w:p w14:paraId="712E01C6" w14:textId="77777777" w:rsidR="00B67D7C" w:rsidRPr="00DE096C" w:rsidRDefault="00B67D7C" w:rsidP="00D45A46">
      <w:pPr>
        <w:jc w:val="both"/>
        <w:rPr>
          <w:bCs/>
          <w:color w:val="002060"/>
          <w:sz w:val="16"/>
          <w:szCs w:val="16"/>
        </w:rPr>
      </w:pPr>
      <w:r w:rsidRPr="00DE096C">
        <w:rPr>
          <w:bCs/>
          <w:color w:val="002060"/>
          <w:sz w:val="16"/>
          <w:szCs w:val="16"/>
        </w:rPr>
        <w:t xml:space="preserve">17 июня 1918 г. в непосредственной близости к ограде Самарского завода взрывчатых веществ взорвался поезд из 35 вагонов, груженный черным порохом. Порох был прислан из Шостенского порохового завода и за неимением свободных погребов поставлен в заводском запасном железнодорожном тупике в 60-70 саженях от ограды мастерской снаряжения фугасных снарядов. </w:t>
      </w:r>
    </w:p>
    <w:p w14:paraId="0D070DEE" w14:textId="77777777" w:rsidR="00B67D7C" w:rsidRPr="00DE096C" w:rsidRDefault="00B67D7C" w:rsidP="00D45A46">
      <w:pPr>
        <w:jc w:val="both"/>
        <w:rPr>
          <w:bCs/>
          <w:color w:val="002060"/>
          <w:sz w:val="16"/>
          <w:szCs w:val="16"/>
        </w:rPr>
      </w:pPr>
      <w:r w:rsidRPr="00DE096C">
        <w:rPr>
          <w:bCs/>
          <w:color w:val="002060"/>
          <w:sz w:val="16"/>
          <w:szCs w:val="16"/>
        </w:rPr>
        <w:t xml:space="preserve">Точная причина взрыва не установлена. Вероятной причиной является попадание пули от ружейного выстрела в один из вагонов. Дело происходило во время обстрела красными войсками завода, который был в то время занят чехословаками. Надо отметить, что в составе поезда находился один вагон, груженный разнообразными капсюлями. Надо думать, что в него и попала пуля, вызвавшая взрыв. </w:t>
      </w:r>
    </w:p>
    <w:p w14:paraId="62AE26D2" w14:textId="77777777" w:rsidR="00B67D7C" w:rsidRPr="00DE096C" w:rsidRDefault="00B67D7C" w:rsidP="00D45A46">
      <w:pPr>
        <w:jc w:val="both"/>
        <w:rPr>
          <w:bCs/>
          <w:color w:val="002060"/>
          <w:sz w:val="16"/>
          <w:szCs w:val="16"/>
        </w:rPr>
      </w:pPr>
      <w:r w:rsidRPr="00DE096C">
        <w:rPr>
          <w:bCs/>
          <w:color w:val="002060"/>
          <w:sz w:val="16"/>
          <w:szCs w:val="16"/>
        </w:rPr>
        <w:t xml:space="preserve">Картина разрушений, сделанных взрывом, такова. От полотна железной дороги остался ряд глубоких и широких ям по числу вагонов. Оригинально, что расстояние между ямами оказалось в 2-2,5 раза больше, нежели было между вагонами. Очевидно, взрыв, происшедший в вагоне, куда попала пуля, оттолкнул от себя на некоторое расстояние соседние вагоны, бывшие по обе стороны, и взорвал их. Эти взрывы растолкнули следующие соседние вагоны и т.д. От вагонов остались только скаты колес, вдавленные в землю. Рельсы, волнообразно изогнутые, валялись в разных расстояниях от пути. Шпалы и части вагонов были подняты высоко в воздух и разбросаны на большие расстояния. </w:t>
      </w:r>
    </w:p>
    <w:p w14:paraId="4E142B71" w14:textId="77777777" w:rsidR="00B67D7C" w:rsidRPr="00DE096C" w:rsidRDefault="00B67D7C" w:rsidP="00D45A46">
      <w:pPr>
        <w:jc w:val="both"/>
        <w:rPr>
          <w:bCs/>
          <w:color w:val="002060"/>
          <w:sz w:val="16"/>
          <w:szCs w:val="16"/>
        </w:rPr>
      </w:pPr>
      <w:r w:rsidRPr="00DE096C">
        <w:rPr>
          <w:bCs/>
          <w:color w:val="002060"/>
          <w:sz w:val="16"/>
          <w:szCs w:val="16"/>
        </w:rPr>
        <w:t xml:space="preserve">На зданиях снаряжательных мастерских, которые находились примерно в 80-90 саженях от поезда и не были закрыты с его стороны земляными валами, приподняты крыши, вырваны окна и двери. Взрывов в мастерских не было, так как в них не находилось взрывчатых изделий. Трудно сказать, имело ли здесь место злоумышление или несчастный случай. Центр тяжести не в этом. Важно то, что администрация завода сама поставила столь опасный поезд близко к заводу, создав, таким образом, обстановку, при которой взрыв поезда должен был оказаться вредоносным для завода. </w:t>
      </w:r>
    </w:p>
    <w:p w14:paraId="76D37021" w14:textId="77777777" w:rsidR="00B67D7C" w:rsidRPr="00DE096C" w:rsidRDefault="00B67D7C" w:rsidP="00D45A46">
      <w:pPr>
        <w:jc w:val="both"/>
        <w:rPr>
          <w:bCs/>
          <w:color w:val="002060"/>
          <w:sz w:val="16"/>
          <w:szCs w:val="16"/>
        </w:rPr>
      </w:pPr>
      <w:r w:rsidRPr="00DE096C">
        <w:rPr>
          <w:bCs/>
          <w:color w:val="002060"/>
          <w:sz w:val="16"/>
          <w:szCs w:val="16"/>
        </w:rPr>
        <w:t>Разрушения, причиненные в заводе взрывом, были относительно невелики, так как скорость распространения взрывной волны черного пороха весьма мала по сравнению с тротилом, мелинитом и др. Совсем другой эффект получился бы, если бы поезд был гружен одним из названных взрывчатых веществ, скорость взрывной волны у которых 6000-7000 м в секунду. Можно с уверенностью сказать, что завод, несмотря на просторную распланировку зданий, был бы сильнейшим образом разрушен, так как поезд мог вмещать больше 10 000 пудов взрывчатого вещества (11329).</w:t>
      </w:r>
    </w:p>
    <w:p w14:paraId="28819947" w14:textId="77777777" w:rsidR="00B67D7C" w:rsidRPr="00DE096C" w:rsidRDefault="00B67D7C" w:rsidP="00D45A46">
      <w:pPr>
        <w:shd w:val="clear" w:color="auto" w:fill="FFFFFF"/>
        <w:jc w:val="both"/>
        <w:rPr>
          <w:bCs/>
          <w:i/>
          <w:color w:val="002060"/>
          <w:sz w:val="16"/>
          <w:szCs w:val="16"/>
        </w:rPr>
      </w:pPr>
    </w:p>
    <w:p w14:paraId="0EE1F2DE"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w:t>
      </w:r>
    </w:p>
    <w:p w14:paraId="0D2ED95C" w14:textId="77777777" w:rsidR="00B67D7C" w:rsidRPr="00DE096C" w:rsidRDefault="00B67D7C" w:rsidP="00D45A46">
      <w:pPr>
        <w:shd w:val="clear" w:color="auto" w:fill="FFFFFF"/>
        <w:jc w:val="both"/>
        <w:rPr>
          <w:bCs/>
          <w:i/>
          <w:color w:val="002060"/>
          <w:sz w:val="16"/>
          <w:szCs w:val="16"/>
        </w:rPr>
      </w:pPr>
    </w:p>
    <w:p w14:paraId="5955666D" w14:textId="77777777" w:rsidR="00B67D7C" w:rsidRPr="00DE096C" w:rsidRDefault="00B67D7C" w:rsidP="00D45A46">
      <w:pPr>
        <w:jc w:val="both"/>
        <w:rPr>
          <w:bCs/>
          <w:color w:val="002060"/>
          <w:sz w:val="16"/>
          <w:szCs w:val="16"/>
        </w:rPr>
      </w:pPr>
      <w:r w:rsidRPr="00DE096C">
        <w:rPr>
          <w:bCs/>
          <w:color w:val="002060"/>
          <w:sz w:val="16"/>
          <w:szCs w:val="16"/>
        </w:rPr>
        <w:t>1 (14) мая 1914 г. было сформировано воздухоплавательное отделение в ГВТУ, а соответствующий приказ по военному ведомству за № 406 был издан и того позже — 5 июня (РГВИА Ф. 802. Оп. 1. Д. 1584. Л. 154). Вот почему работа по снабжению авиаотрядов самолетами, двигателями, запасными частями и бензином оказалась запущенной. Например, из-за нарушения централизованного поступления топлива авиачасти вплоть до начала боевых действий использовали бензин, заготовленный воздухоплавательной частью ГУ ГШ еще в 1912—1913 годах (Козлов Н. Очерк снабжения русской армии военно-техническим имуществом в мировую войну. От начала войны до половины 1916 г. М.-Л., 1926. С. 83).</w:t>
      </w:r>
    </w:p>
    <w:p w14:paraId="3C4752CB" w14:textId="77777777" w:rsidR="00B67D7C" w:rsidRPr="00DE096C" w:rsidRDefault="00B67D7C" w:rsidP="00D45A46">
      <w:pPr>
        <w:jc w:val="both"/>
        <w:rPr>
          <w:bCs/>
          <w:color w:val="002060"/>
          <w:sz w:val="16"/>
          <w:szCs w:val="16"/>
        </w:rPr>
      </w:pPr>
      <w:r w:rsidRPr="00DE096C">
        <w:rPr>
          <w:bCs/>
          <w:color w:val="002060"/>
          <w:sz w:val="16"/>
          <w:szCs w:val="16"/>
        </w:rPr>
        <w:t>Не был решен также вопрос, какое из главных управлений должно руководить специальной подготовкой авиаотрядов, что в июне 1914 года стало поводом для принятия после обмена мнениями между ГВТУ, ГУ ГШ и канцелярией Военного министерства специального соглашения о переименовании специальных войск в технические с разделением их на следующие категории: инженерные, сообщения в составе автомобильных и железнодорожных войск, воздухоплавательные в составе авиационных и собственно воздухоплавательных войск (РГВИА. Ф. 802. Оп. 1. Д. 1063. Л. 18). Военный министр одобрил этот проект, но он не был ни проведен через военный совет, ни утвержден Николаем II по причине резко обострившейся международной обстановки, а военные приготовления не оставили времени на законодательное оформление создания авиационных и других технических войск (11167).</w:t>
      </w:r>
    </w:p>
    <w:p w14:paraId="173FFE81" w14:textId="77777777" w:rsidR="00B67D7C" w:rsidRPr="00DE096C" w:rsidRDefault="00B67D7C" w:rsidP="00D45A46">
      <w:pPr>
        <w:jc w:val="both"/>
        <w:rPr>
          <w:bCs/>
          <w:color w:val="002060"/>
          <w:sz w:val="16"/>
          <w:szCs w:val="16"/>
        </w:rPr>
      </w:pPr>
    </w:p>
    <w:p w14:paraId="3AD63894" w14:textId="6264DE3A" w:rsidR="00B67D7C" w:rsidRPr="00DE096C" w:rsidRDefault="00B67D7C" w:rsidP="00D45A46">
      <w:pPr>
        <w:jc w:val="both"/>
        <w:rPr>
          <w:bCs/>
          <w:color w:val="002060"/>
          <w:sz w:val="16"/>
          <w:szCs w:val="16"/>
        </w:rPr>
      </w:pPr>
      <w:r w:rsidRPr="00DE096C">
        <w:rPr>
          <w:bCs/>
          <w:color w:val="002060"/>
          <w:sz w:val="16"/>
          <w:szCs w:val="16"/>
        </w:rPr>
        <w:t xml:space="preserve">1 </w:t>
      </w:r>
      <w:r w:rsidR="00884A88" w:rsidRPr="00DE096C">
        <w:rPr>
          <w:bCs/>
          <w:color w:val="002060"/>
          <w:sz w:val="16"/>
          <w:szCs w:val="16"/>
        </w:rPr>
        <w:t xml:space="preserve">(14) </w:t>
      </w:r>
      <w:r w:rsidRPr="00DE096C">
        <w:rPr>
          <w:bCs/>
          <w:color w:val="002060"/>
          <w:sz w:val="16"/>
          <w:szCs w:val="16"/>
        </w:rPr>
        <w:t>мая 1914 г.</w:t>
      </w:r>
      <w:r w:rsidR="00884A88" w:rsidRPr="00DE096C">
        <w:rPr>
          <w:bCs/>
          <w:color w:val="002060"/>
          <w:sz w:val="16"/>
          <w:szCs w:val="16"/>
        </w:rPr>
        <w:t xml:space="preserve"> было сформировано воздухоплавательное отделение в ГВТУ</w:t>
      </w:r>
      <w:r w:rsidRPr="00DE096C">
        <w:rPr>
          <w:bCs/>
          <w:color w:val="002060"/>
          <w:sz w:val="16"/>
          <w:szCs w:val="16"/>
        </w:rPr>
        <w:t xml:space="preserve">, а соответствующий приказ по военному ведомству за № 406 был издан и того позже — 5 июня). </w:t>
      </w:r>
      <w:r w:rsidR="00884A88" w:rsidRPr="00DE096C">
        <w:rPr>
          <w:bCs/>
          <w:color w:val="002060"/>
          <w:sz w:val="16"/>
          <w:szCs w:val="16"/>
        </w:rPr>
        <w:t xml:space="preserve">Со времени расформирования воздухоплавательной части ГУ ГШ (20 декабря 1913 г.) и вплоть до начала войны шел процесс разделения управления техническими войсками между ГУ ГШ и ГВТУ. В этот период авиационные части управлялись фактически только инспекторами. </w:t>
      </w:r>
      <w:r w:rsidRPr="00DE096C">
        <w:rPr>
          <w:bCs/>
          <w:color w:val="002060"/>
          <w:sz w:val="16"/>
          <w:szCs w:val="16"/>
        </w:rPr>
        <w:t>Вот почему работа по снабжению авиаотрядов самолетами, двигателями, запасными частями и бензином оказалась запущенной. Например, из-за нарушения централизованного поступления топлива авиачасти вплоть до начала боевых действий использовали бензин, заготовленный воздухоплавательной частью ГУ ГШ еще в 1912—1913 годах.</w:t>
      </w:r>
    </w:p>
    <w:p w14:paraId="47454B4D" w14:textId="77777777" w:rsidR="00B67D7C" w:rsidRPr="00DE096C" w:rsidRDefault="00B67D7C" w:rsidP="00D45A46">
      <w:pPr>
        <w:jc w:val="both"/>
        <w:rPr>
          <w:bCs/>
          <w:color w:val="002060"/>
          <w:sz w:val="16"/>
          <w:szCs w:val="16"/>
        </w:rPr>
      </w:pPr>
      <w:r w:rsidRPr="00DE096C">
        <w:rPr>
          <w:bCs/>
          <w:color w:val="002060"/>
          <w:sz w:val="16"/>
          <w:szCs w:val="16"/>
        </w:rPr>
        <w:t>Не был решен также вопрос, какое из главных управлений должно руководить специальной подготовкой авиаотрядов, что в июне 1914 года стало поводом для принятия после обмена мнениями между ГВТУ, ГУ ГШ и канцелярией Военного министерства специального соглашения о переименовании специальных войск в технические с разделением их на следующие категории: инженерные, сообщения в составе автомобильных и железнодорожных войск, воздухоплавательные в составе авиационных и собственно воздухоплавательных войск. Военный министр одобрил этот проект, но он не был ни проведен через военный совет, ни утвержден Николаем II по причине резко обострившейся международной обстановки, а военные приготовления не оставили времени на законодательное оформление создания авиационных и других технических войск.</w:t>
      </w:r>
    </w:p>
    <w:p w14:paraId="48669207" w14:textId="77777777" w:rsidR="00B67D7C" w:rsidRPr="00DE096C" w:rsidRDefault="00B67D7C" w:rsidP="00D45A46">
      <w:pPr>
        <w:jc w:val="both"/>
        <w:rPr>
          <w:bCs/>
          <w:color w:val="002060"/>
          <w:sz w:val="16"/>
          <w:szCs w:val="16"/>
        </w:rPr>
      </w:pPr>
      <w:r w:rsidRPr="00DE096C">
        <w:rPr>
          <w:bCs/>
          <w:color w:val="002060"/>
          <w:sz w:val="16"/>
          <w:szCs w:val="16"/>
        </w:rPr>
        <w:t>И все же можно утверждать, что к началу войны была создана организационная структура русской военной авиации, количество авиационных частей в которой в основном позволяло обеспечить вступающие в войну войска средствами воздушной разведки и связи (см. схему 3). Всего в армии к 19 июля 1914 года насчитывалось 39 авиаотрядов (1 полевой, 30 корпусных и 8 крепостных), имевших в своем составе 263 самолета. По количеству военных самолетов (даже без учета гидроавиации) Россия в это время оставила позади Германию (имела 232 самолета), Францию (156), Австро-Венгрию (65), Великобританию, Италию и США (по 30)41. Однако различный потенциал авиационной промышленности и наличие подготовленных гражданских летчиков в крупных государствах уже через полгода участия авиации в боевых действиях обусловили новое соотношение авиационных сил и средств между армиями стран — участниц Первой мировой войны...</w:t>
      </w:r>
    </w:p>
    <w:p w14:paraId="21FCF435" w14:textId="77777777" w:rsidR="00B67D7C" w:rsidRPr="00DE096C" w:rsidRDefault="00B67D7C" w:rsidP="00D45A46">
      <w:pPr>
        <w:jc w:val="both"/>
        <w:rPr>
          <w:bCs/>
          <w:color w:val="002060"/>
          <w:sz w:val="16"/>
          <w:szCs w:val="16"/>
        </w:rPr>
      </w:pPr>
    </w:p>
    <w:p w14:paraId="00314AAF" w14:textId="6AD420E9" w:rsidR="00133C16" w:rsidRPr="00DE096C" w:rsidRDefault="00133C16" w:rsidP="00D45A46">
      <w:pPr>
        <w:jc w:val="both"/>
        <w:rPr>
          <w:bCs/>
          <w:color w:val="002060"/>
          <w:sz w:val="16"/>
          <w:szCs w:val="16"/>
        </w:rPr>
      </w:pPr>
      <w:r w:rsidRPr="00DE096C">
        <w:rPr>
          <w:bCs/>
          <w:color w:val="002060"/>
          <w:sz w:val="16"/>
          <w:szCs w:val="16"/>
        </w:rPr>
        <w:t xml:space="preserve">1 </w:t>
      </w:r>
      <w:r w:rsidR="00884A88" w:rsidRPr="00DE096C">
        <w:rPr>
          <w:bCs/>
          <w:color w:val="002060"/>
          <w:sz w:val="16"/>
          <w:szCs w:val="16"/>
        </w:rPr>
        <w:t xml:space="preserve">(14) </w:t>
      </w:r>
      <w:r w:rsidRPr="00DE096C">
        <w:rPr>
          <w:bCs/>
          <w:color w:val="002060"/>
          <w:sz w:val="16"/>
          <w:szCs w:val="16"/>
        </w:rPr>
        <w:t>мая 1914 г. было сформировано Воздухоплавательное отделение в ГВТУ, а соответствующий приказ по военному ведомству за № 406 был издан только 5 июня того же года. Поэтому работа по снабжению авиаотрядов самолетами, двигателями, запасными частями и материалами нарушилась. Так, с января 1914 г. до начала войны поступление топлива прекратилось, и авиачасти использовали бензин, заготовленный воздухоплавательной частью ГУ ГШ в 1912 – 1913 гг. 2 . Не был решен также вопрос, какое из Главных управлений должно руководить специальной (боевой) подготовкой авиаотрядов (19566).</w:t>
      </w:r>
    </w:p>
    <w:p w14:paraId="7E0ABC3D" w14:textId="77777777" w:rsidR="00133C16" w:rsidRPr="00DE096C" w:rsidRDefault="00133C16" w:rsidP="00D45A46">
      <w:pPr>
        <w:jc w:val="both"/>
        <w:rPr>
          <w:bCs/>
          <w:color w:val="002060"/>
          <w:sz w:val="16"/>
          <w:szCs w:val="16"/>
        </w:rPr>
      </w:pPr>
    </w:p>
    <w:p w14:paraId="0EE0AEA5" w14:textId="77777777" w:rsidR="00961E44" w:rsidRPr="00DE096C" w:rsidRDefault="00961E44" w:rsidP="00D45A46">
      <w:pPr>
        <w:jc w:val="both"/>
        <w:rPr>
          <w:bCs/>
          <w:color w:val="002060"/>
          <w:sz w:val="16"/>
          <w:szCs w:val="16"/>
        </w:rPr>
      </w:pPr>
      <w:r w:rsidRPr="00DE096C">
        <w:rPr>
          <w:bCs/>
          <w:color w:val="002060"/>
          <w:sz w:val="16"/>
          <w:szCs w:val="16"/>
        </w:rPr>
        <w:t xml:space="preserve">1 (14) мая 1914 г. был сформирован отдельный флотский дивизион воздушных кораблей, командиром которого назначен капитан 2 ранга Додоров. Аэропланы собирались, облетывались и затем вновь разбирались и отправлялись на Черноморский флот, где к тому времени была организована гидростанция. В заключение стоит заметить, что первый успешный сброс учебной торпеды типа "Л" с корабля V был выполнен 2 мая 1914 года. Кроме этого, для Дивизиона в мае испытали тяжелые бомбы представлявшие собой переделанные 10" фугасные снаряды с трубкой мгновенного действия и приваренными стабилизаторами. Несколько таких бомб испытали в море в 12-14 мая 1914 года, и хотя в судно мишень не попали из 5 сброшенных бомб ни разу, самая ближайшая, разорвалась в 10 метрах от борта, нанеся серъезные осколочных повреждений. Испытания признали успешным и заготовили партию из 30 бомб силами Севастопольского арсенала. Бомба предназначена была для сброса с минной подвески. </w:t>
      </w:r>
    </w:p>
    <w:p w14:paraId="5C98B70C" w14:textId="77777777" w:rsidR="00961E44" w:rsidRPr="00DE096C" w:rsidRDefault="00961E44" w:rsidP="00D45A46">
      <w:pPr>
        <w:jc w:val="both"/>
        <w:rPr>
          <w:bCs/>
          <w:color w:val="002060"/>
          <w:sz w:val="16"/>
          <w:szCs w:val="16"/>
        </w:rPr>
      </w:pPr>
      <w:r w:rsidRPr="00DE096C">
        <w:rPr>
          <w:bCs/>
          <w:color w:val="002060"/>
          <w:sz w:val="16"/>
          <w:szCs w:val="16"/>
        </w:rPr>
        <w:t>Из заказа военного ведомства первый аппарат был готов только к началу июня и получил наименование XV. Отличием армейских "Муромцев", а они так и обозначались по документам "ИМ-А", было использование более дешевых и менее мощных "Аргусов" мощностью 140 л.с. Военное ведомство, в отличие от морского, считало поначалу главным предназначением аппарата ведение разведки. Военное ведомство в июле 1914 года утвердило штат "Команды для аэроплана типа Илья Муромец, состоявшей из 4 офицеров, 1 военного чиновника и 40 нижних чинов. На аппарат предполагалось мощное вооружение: 37 мм пушка Гочкиса, 2 пулемета "Максим", 2 ружья-пулемета "Мадсен" и 2 пистолетов "Маузер"(от установки пушки отказались быстро). Один корабль приравнивался к полевому отряду и придавался штабам армий и фронтов. Командиром 2-го воздушного корабля был назначен штабс-капитан Е.В.Руднев, 15-го поручик А.В.Панкратьев (12284).</w:t>
      </w:r>
    </w:p>
    <w:p w14:paraId="69B32FA8" w14:textId="77777777" w:rsidR="00961E44" w:rsidRPr="00DE096C" w:rsidRDefault="00961E44" w:rsidP="00D45A46">
      <w:pPr>
        <w:jc w:val="both"/>
        <w:rPr>
          <w:bCs/>
          <w:color w:val="002060"/>
          <w:sz w:val="16"/>
          <w:szCs w:val="16"/>
        </w:rPr>
      </w:pPr>
    </w:p>
    <w:p w14:paraId="73CC778B" w14:textId="77777777" w:rsidR="00B67D7C" w:rsidRPr="00DE096C" w:rsidRDefault="00B67D7C" w:rsidP="00D45A46">
      <w:pPr>
        <w:jc w:val="both"/>
        <w:rPr>
          <w:bCs/>
          <w:i/>
          <w:color w:val="002060"/>
          <w:sz w:val="16"/>
          <w:szCs w:val="16"/>
        </w:rPr>
      </w:pPr>
      <w:r w:rsidRPr="00DE096C">
        <w:rPr>
          <w:bCs/>
          <w:i/>
          <w:color w:val="002060"/>
          <w:sz w:val="16"/>
          <w:szCs w:val="16"/>
        </w:rPr>
        <w:t>Армия:</w:t>
      </w:r>
    </w:p>
    <w:p w14:paraId="0613182B" w14:textId="77777777" w:rsidR="00B67D7C" w:rsidRPr="00DE096C" w:rsidRDefault="00B67D7C" w:rsidP="00D45A46">
      <w:pPr>
        <w:jc w:val="both"/>
        <w:rPr>
          <w:bCs/>
          <w:i/>
          <w:color w:val="002060"/>
          <w:sz w:val="16"/>
          <w:szCs w:val="16"/>
        </w:rPr>
      </w:pPr>
    </w:p>
    <w:p w14:paraId="7EE89141" w14:textId="030CC9AE" w:rsidR="00B67D7C" w:rsidRPr="00DE096C" w:rsidRDefault="00B67D7C" w:rsidP="00D45A46">
      <w:pPr>
        <w:jc w:val="both"/>
        <w:rPr>
          <w:bCs/>
          <w:color w:val="002060"/>
          <w:sz w:val="16"/>
          <w:szCs w:val="16"/>
        </w:rPr>
      </w:pPr>
      <w:r w:rsidRPr="00DE096C">
        <w:rPr>
          <w:bCs/>
          <w:color w:val="002060"/>
          <w:sz w:val="16"/>
          <w:szCs w:val="16"/>
        </w:rPr>
        <w:t xml:space="preserve">1 </w:t>
      </w:r>
      <w:r w:rsidR="009B20F0" w:rsidRPr="00DE096C">
        <w:rPr>
          <w:bCs/>
          <w:color w:val="002060"/>
          <w:sz w:val="16"/>
          <w:szCs w:val="16"/>
        </w:rPr>
        <w:t xml:space="preserve">(14) </w:t>
      </w:r>
      <w:r w:rsidRPr="00DE096C">
        <w:rPr>
          <w:bCs/>
          <w:color w:val="002060"/>
          <w:sz w:val="16"/>
          <w:szCs w:val="16"/>
        </w:rPr>
        <w:t xml:space="preserve">мая 1914 года по докладу морского министра </w:t>
      </w:r>
      <w:r w:rsidR="009B20F0" w:rsidRPr="00DE096C">
        <w:rPr>
          <w:bCs/>
          <w:color w:val="002060"/>
          <w:sz w:val="16"/>
          <w:szCs w:val="16"/>
        </w:rPr>
        <w:t xml:space="preserve">Императором </w:t>
      </w:r>
      <w:r w:rsidRPr="00DE096C">
        <w:rPr>
          <w:bCs/>
          <w:color w:val="002060"/>
          <w:sz w:val="16"/>
          <w:szCs w:val="16"/>
        </w:rPr>
        <w:t xml:space="preserve">был утвержден "план операций Флотилии Северного Ледовитого океана на случай европейской войны 1914 года". </w:t>
      </w:r>
    </w:p>
    <w:p w14:paraId="3B1966EC" w14:textId="77777777" w:rsidR="00B67D7C" w:rsidRPr="00DE096C" w:rsidRDefault="00B67D7C" w:rsidP="00D45A46">
      <w:pPr>
        <w:jc w:val="both"/>
        <w:rPr>
          <w:bCs/>
          <w:color w:val="002060"/>
          <w:sz w:val="16"/>
          <w:szCs w:val="16"/>
        </w:rPr>
      </w:pPr>
      <w:r w:rsidRPr="00DE096C">
        <w:rPr>
          <w:bCs/>
          <w:color w:val="002060"/>
          <w:sz w:val="16"/>
          <w:szCs w:val="16"/>
        </w:rPr>
        <w:t xml:space="preserve">Сущность плана 1914 года сводится к следующему: </w:t>
      </w:r>
    </w:p>
    <w:p w14:paraId="588E2C65" w14:textId="77777777" w:rsidR="00B67D7C" w:rsidRPr="00DE096C" w:rsidRDefault="00B67D7C" w:rsidP="00D45A46">
      <w:pPr>
        <w:jc w:val="both"/>
        <w:rPr>
          <w:bCs/>
          <w:color w:val="002060"/>
          <w:sz w:val="16"/>
          <w:szCs w:val="16"/>
        </w:rPr>
      </w:pPr>
      <w:r w:rsidRPr="00DE096C">
        <w:rPr>
          <w:bCs/>
          <w:color w:val="002060"/>
          <w:sz w:val="16"/>
          <w:szCs w:val="16"/>
        </w:rPr>
        <w:t xml:space="preserve">Общие соображения, вытекающие из военно-политической и стратегической обстановки. </w:t>
      </w:r>
    </w:p>
    <w:p w14:paraId="614A1587" w14:textId="77777777" w:rsidR="00B67D7C" w:rsidRPr="00DE096C" w:rsidRDefault="00B67D7C" w:rsidP="00D45A46">
      <w:pPr>
        <w:jc w:val="both"/>
        <w:rPr>
          <w:bCs/>
          <w:color w:val="002060"/>
          <w:sz w:val="16"/>
          <w:szCs w:val="16"/>
        </w:rPr>
      </w:pPr>
      <w:r w:rsidRPr="00DE096C">
        <w:rPr>
          <w:bCs/>
          <w:color w:val="002060"/>
          <w:sz w:val="16"/>
          <w:szCs w:val="16"/>
        </w:rPr>
        <w:t xml:space="preserve">План исходит из того, что Россия связана военным союзом с Гермнией по соглашениям 1913 года. Из чего следует, что в случае согласованного с Россией начала военных действий Германией против Антанты, либо нападения Антанты на Германию, Россия ей окажет любую военную помощь силами армии и флота, равно и в случае начала военных действий со стороны Росии или в случае нападения на нее, Германия окажет ей военную помощь в полном объеме. При планировании операций на Русском севере стоило учитывать, что второстепенные государства, граничащие с Россией на Севере -- Швеция и Норвегия, учитываются склоняющимися на сторону врагов России. </w:t>
      </w:r>
    </w:p>
    <w:p w14:paraId="7228B907" w14:textId="77777777" w:rsidR="00B67D7C" w:rsidRPr="00DE096C" w:rsidRDefault="00B67D7C" w:rsidP="00D45A46">
      <w:pPr>
        <w:jc w:val="both"/>
        <w:rPr>
          <w:bCs/>
          <w:color w:val="002060"/>
          <w:sz w:val="16"/>
          <w:szCs w:val="16"/>
        </w:rPr>
      </w:pPr>
      <w:r w:rsidRPr="00DE096C">
        <w:rPr>
          <w:bCs/>
          <w:color w:val="002060"/>
          <w:sz w:val="16"/>
          <w:szCs w:val="16"/>
        </w:rPr>
        <w:t xml:space="preserve">Состав сил. </w:t>
      </w:r>
    </w:p>
    <w:p w14:paraId="1F4F2B58" w14:textId="77777777" w:rsidR="00B67D7C" w:rsidRPr="00DE096C" w:rsidRDefault="00B67D7C" w:rsidP="00D45A46">
      <w:pPr>
        <w:jc w:val="both"/>
        <w:rPr>
          <w:bCs/>
          <w:color w:val="002060"/>
          <w:sz w:val="16"/>
          <w:szCs w:val="16"/>
        </w:rPr>
      </w:pPr>
      <w:r w:rsidRPr="00DE096C">
        <w:rPr>
          <w:bCs/>
          <w:color w:val="002060"/>
          <w:sz w:val="16"/>
          <w:szCs w:val="16"/>
        </w:rPr>
        <w:t xml:space="preserve">Планом 1914 года учитываются следующие силы, организованные в тактические соединения: </w:t>
      </w:r>
    </w:p>
    <w:p w14:paraId="3B3E94BA" w14:textId="77777777" w:rsidR="00B67D7C" w:rsidRPr="00DE096C" w:rsidRDefault="00B67D7C" w:rsidP="00D45A46">
      <w:pPr>
        <w:jc w:val="both"/>
        <w:rPr>
          <w:bCs/>
          <w:color w:val="002060"/>
          <w:sz w:val="16"/>
          <w:szCs w:val="16"/>
        </w:rPr>
      </w:pPr>
      <w:r w:rsidRPr="00DE096C">
        <w:rPr>
          <w:bCs/>
          <w:color w:val="002060"/>
          <w:sz w:val="16"/>
          <w:szCs w:val="16"/>
        </w:rPr>
        <w:t xml:space="preserve">Отдельная бригада: </w:t>
      </w:r>
    </w:p>
    <w:p w14:paraId="6ADC8187" w14:textId="77777777" w:rsidR="00B67D7C" w:rsidRPr="00DE096C" w:rsidRDefault="00B67D7C" w:rsidP="00D45A46">
      <w:pPr>
        <w:jc w:val="both"/>
        <w:rPr>
          <w:bCs/>
          <w:color w:val="002060"/>
          <w:sz w:val="16"/>
          <w:szCs w:val="16"/>
        </w:rPr>
      </w:pPr>
      <w:r w:rsidRPr="00DE096C">
        <w:rPr>
          <w:bCs/>
          <w:color w:val="002060"/>
          <w:sz w:val="16"/>
          <w:szCs w:val="16"/>
        </w:rPr>
        <w:t xml:space="preserve">"Полтава", "Севастополь", "Паллада", "Диана", "Амур". </w:t>
      </w:r>
    </w:p>
    <w:p w14:paraId="28620FB5" w14:textId="77777777" w:rsidR="00B67D7C" w:rsidRPr="00DE096C" w:rsidRDefault="00B67D7C" w:rsidP="00D45A46">
      <w:pPr>
        <w:jc w:val="both"/>
        <w:rPr>
          <w:bCs/>
          <w:color w:val="002060"/>
          <w:sz w:val="16"/>
          <w:szCs w:val="16"/>
        </w:rPr>
      </w:pPr>
      <w:r w:rsidRPr="00DE096C">
        <w:rPr>
          <w:bCs/>
          <w:color w:val="002060"/>
          <w:sz w:val="16"/>
          <w:szCs w:val="16"/>
        </w:rPr>
        <w:t xml:space="preserve">Дивизион миноносцев: </w:t>
      </w:r>
    </w:p>
    <w:p w14:paraId="55014960" w14:textId="77777777" w:rsidR="00B67D7C" w:rsidRPr="00DE096C" w:rsidRDefault="00B67D7C" w:rsidP="00D45A46">
      <w:pPr>
        <w:jc w:val="both"/>
        <w:rPr>
          <w:bCs/>
          <w:color w:val="002060"/>
          <w:sz w:val="16"/>
          <w:szCs w:val="16"/>
        </w:rPr>
      </w:pPr>
      <w:r w:rsidRPr="00DE096C">
        <w:rPr>
          <w:bCs/>
          <w:color w:val="002060"/>
          <w:sz w:val="16"/>
          <w:szCs w:val="16"/>
        </w:rPr>
        <w:t xml:space="preserve">"Лейтенант Бураков", "Искусный", "Исполнительный", "Видный", "Грозный", "Громкий", "Громящий". </w:t>
      </w:r>
    </w:p>
    <w:p w14:paraId="2D68D1AD" w14:textId="77777777" w:rsidR="00B67D7C" w:rsidRPr="00DE096C" w:rsidRDefault="00B67D7C" w:rsidP="00D45A46">
      <w:pPr>
        <w:jc w:val="both"/>
        <w:rPr>
          <w:bCs/>
          <w:color w:val="002060"/>
          <w:sz w:val="16"/>
          <w:szCs w:val="16"/>
        </w:rPr>
      </w:pPr>
      <w:r w:rsidRPr="00DE096C">
        <w:rPr>
          <w:bCs/>
          <w:color w:val="002060"/>
          <w:sz w:val="16"/>
          <w:szCs w:val="16"/>
        </w:rPr>
        <w:t xml:space="preserve">Дивизион тральщиков </w:t>
      </w:r>
    </w:p>
    <w:p w14:paraId="29409F9C" w14:textId="77777777" w:rsidR="00B67D7C" w:rsidRPr="00DE096C" w:rsidRDefault="00B67D7C" w:rsidP="00D45A46">
      <w:pPr>
        <w:jc w:val="both"/>
        <w:rPr>
          <w:bCs/>
          <w:color w:val="002060"/>
          <w:sz w:val="16"/>
          <w:szCs w:val="16"/>
        </w:rPr>
      </w:pPr>
      <w:r w:rsidRPr="00DE096C">
        <w:rPr>
          <w:bCs/>
          <w:color w:val="002060"/>
          <w:sz w:val="16"/>
          <w:szCs w:val="16"/>
        </w:rPr>
        <w:t xml:space="preserve">Отряд вспомогательных судов. </w:t>
      </w:r>
    </w:p>
    <w:p w14:paraId="2F37DB45" w14:textId="77777777" w:rsidR="00B67D7C" w:rsidRPr="00DE096C" w:rsidRDefault="00B67D7C" w:rsidP="00D45A46">
      <w:pPr>
        <w:jc w:val="both"/>
        <w:rPr>
          <w:bCs/>
          <w:color w:val="002060"/>
          <w:sz w:val="16"/>
          <w:szCs w:val="16"/>
        </w:rPr>
      </w:pPr>
      <w:r w:rsidRPr="00DE096C">
        <w:rPr>
          <w:bCs/>
          <w:color w:val="002060"/>
          <w:sz w:val="16"/>
          <w:szCs w:val="16"/>
        </w:rPr>
        <w:t xml:space="preserve">Форт "Северный" </w:t>
      </w:r>
    </w:p>
    <w:p w14:paraId="0CE3B75E" w14:textId="77777777" w:rsidR="00B67D7C" w:rsidRPr="00DE096C" w:rsidRDefault="00B67D7C" w:rsidP="00D45A46">
      <w:pPr>
        <w:jc w:val="both"/>
        <w:rPr>
          <w:bCs/>
          <w:color w:val="002060"/>
          <w:sz w:val="16"/>
          <w:szCs w:val="16"/>
        </w:rPr>
      </w:pPr>
      <w:r w:rsidRPr="00DE096C">
        <w:rPr>
          <w:bCs/>
          <w:color w:val="002060"/>
          <w:sz w:val="16"/>
          <w:szCs w:val="16"/>
        </w:rPr>
        <w:t xml:space="preserve">Укрепление Архангельск (Военное ведомство) </w:t>
      </w:r>
    </w:p>
    <w:p w14:paraId="16FE47B3" w14:textId="77777777" w:rsidR="00B67D7C" w:rsidRPr="00DE096C" w:rsidRDefault="00B67D7C" w:rsidP="00D45A46">
      <w:pPr>
        <w:jc w:val="both"/>
        <w:rPr>
          <w:bCs/>
          <w:color w:val="002060"/>
          <w:sz w:val="16"/>
          <w:szCs w:val="16"/>
        </w:rPr>
      </w:pPr>
      <w:r w:rsidRPr="00DE096C">
        <w:rPr>
          <w:bCs/>
          <w:color w:val="002060"/>
          <w:sz w:val="16"/>
          <w:szCs w:val="16"/>
        </w:rPr>
        <w:t xml:space="preserve">МГШ, исходя из исторического опыта Крымской и Русско-Японской войн, разработал к весне 1914 года план операций флотилии. Планом предполагалось: </w:t>
      </w:r>
    </w:p>
    <w:p w14:paraId="34115A7F" w14:textId="77777777" w:rsidR="00B67D7C" w:rsidRPr="00DE096C" w:rsidRDefault="00B67D7C" w:rsidP="00D45A46">
      <w:pPr>
        <w:jc w:val="both"/>
        <w:rPr>
          <w:bCs/>
          <w:color w:val="002060"/>
          <w:sz w:val="16"/>
          <w:szCs w:val="16"/>
        </w:rPr>
      </w:pPr>
      <w:r w:rsidRPr="00DE096C">
        <w:rPr>
          <w:bCs/>
          <w:color w:val="002060"/>
          <w:sz w:val="16"/>
          <w:szCs w:val="16"/>
        </w:rPr>
        <w:t xml:space="preserve">- организовать оборону Романова-на Мурмане и Архангельска от набегов морских сил Антанты. </w:t>
      </w:r>
    </w:p>
    <w:p w14:paraId="18C98405" w14:textId="77777777" w:rsidR="00B67D7C" w:rsidRPr="00DE096C" w:rsidRDefault="00B67D7C" w:rsidP="00D45A46">
      <w:pPr>
        <w:jc w:val="both"/>
        <w:rPr>
          <w:bCs/>
          <w:color w:val="002060"/>
          <w:sz w:val="16"/>
          <w:szCs w:val="16"/>
        </w:rPr>
      </w:pPr>
      <w:r w:rsidRPr="00DE096C">
        <w:rPr>
          <w:bCs/>
          <w:color w:val="002060"/>
          <w:sz w:val="16"/>
          <w:szCs w:val="16"/>
        </w:rPr>
        <w:t xml:space="preserve">- обеспечить защиту рыбопромышленных и зверопромышленных судов и факторий от норвежских хищников, как в мирное, так и военное время. </w:t>
      </w:r>
    </w:p>
    <w:p w14:paraId="05DA6B0B" w14:textId="77777777" w:rsidR="00B67D7C" w:rsidRPr="00DE096C" w:rsidRDefault="00B67D7C" w:rsidP="00D45A46">
      <w:pPr>
        <w:jc w:val="both"/>
        <w:rPr>
          <w:bCs/>
          <w:color w:val="002060"/>
          <w:sz w:val="16"/>
          <w:szCs w:val="16"/>
        </w:rPr>
      </w:pPr>
      <w:r w:rsidRPr="00DE096C">
        <w:rPr>
          <w:bCs/>
          <w:color w:val="002060"/>
          <w:sz w:val="16"/>
          <w:szCs w:val="16"/>
        </w:rPr>
        <w:t xml:space="preserve">В случае вступления в войну Норвегии на стоороне Антанты предполаголось проведение активных операций по установлению контроля над Шпицбергеном, уничтожению силами крейсеров и миноносцев в прикрытии линейных кораблей каботажного судоходста и рыболовства, постановка минных заграждений в районах интенсивного судоходства, уничтожение сил Норвежского флота. </w:t>
      </w:r>
    </w:p>
    <w:p w14:paraId="27493374" w14:textId="77777777" w:rsidR="00B67D7C" w:rsidRPr="00DE096C" w:rsidRDefault="00B67D7C" w:rsidP="00D45A46">
      <w:pPr>
        <w:jc w:val="both"/>
        <w:rPr>
          <w:bCs/>
          <w:color w:val="002060"/>
          <w:sz w:val="16"/>
          <w:szCs w:val="16"/>
        </w:rPr>
      </w:pPr>
      <w:r w:rsidRPr="00DE096C">
        <w:rPr>
          <w:bCs/>
          <w:color w:val="002060"/>
          <w:sz w:val="16"/>
          <w:szCs w:val="16"/>
        </w:rPr>
        <w:t xml:space="preserve">В случае же соблюдения Норвегией нейтралитета предполагалось ограничить операции флотилии поисковыми операциями силами бригады крейсеров по выявлению и уничтожению военной контрабанды. </w:t>
      </w:r>
    </w:p>
    <w:p w14:paraId="3E47B44B" w14:textId="77777777" w:rsidR="00B67D7C" w:rsidRPr="00DE096C" w:rsidRDefault="00B67D7C" w:rsidP="00D45A46">
      <w:pPr>
        <w:jc w:val="both"/>
        <w:rPr>
          <w:bCs/>
          <w:color w:val="002060"/>
          <w:sz w:val="16"/>
          <w:szCs w:val="16"/>
        </w:rPr>
      </w:pPr>
      <w:r w:rsidRPr="00DE096C">
        <w:rPr>
          <w:bCs/>
          <w:color w:val="002060"/>
          <w:sz w:val="16"/>
          <w:szCs w:val="16"/>
        </w:rPr>
        <w:t xml:space="preserve">Задачами отдельных частей флота являлись. </w:t>
      </w:r>
    </w:p>
    <w:p w14:paraId="5FDC8234" w14:textId="77777777" w:rsidR="00B67D7C" w:rsidRPr="00DE096C" w:rsidRDefault="00B67D7C" w:rsidP="00D45A46">
      <w:pPr>
        <w:jc w:val="both"/>
        <w:rPr>
          <w:bCs/>
          <w:color w:val="002060"/>
          <w:sz w:val="16"/>
          <w:szCs w:val="16"/>
        </w:rPr>
      </w:pPr>
      <w:r w:rsidRPr="00DE096C">
        <w:rPr>
          <w:bCs/>
          <w:color w:val="002060"/>
          <w:sz w:val="16"/>
          <w:szCs w:val="16"/>
        </w:rPr>
        <w:t xml:space="preserve">На линейные корабли в случае угрозы военных действий возлагалось осуществление прикрытия постановки мин на подходах к Архангельску и Коле. После постановки оборонительных заграждений на линейные корабли возлагалось, прежде всего, обеспечение дальнего прикрытия крейсерско-миноносных сил во время проведения последними поисковых операций. Вступление в бой линейных кораблей предполагалось в ходе защиты Архангельска и Кольского залива во взаимодействии с береговыми батареями. Кроме того, на усмотрение командующего флотилии было предложено на лето усиливать оборону в Архангельске с целью защиты последнего от набегов сил Антанты. В заключении стоит добавить, что в случае вступления Норвегии в войну на стороне Антанты линейным кораблям ставилась задача по уничтожению ядра Норвежского флота. Местом постоянной стоянки определялся Кольский залив. </w:t>
      </w:r>
    </w:p>
    <w:p w14:paraId="297BE061" w14:textId="77777777" w:rsidR="00B67D7C" w:rsidRPr="00DE096C" w:rsidRDefault="00B67D7C" w:rsidP="00D45A46">
      <w:pPr>
        <w:jc w:val="both"/>
        <w:rPr>
          <w:bCs/>
          <w:color w:val="002060"/>
          <w:sz w:val="16"/>
          <w:szCs w:val="16"/>
        </w:rPr>
      </w:pPr>
      <w:r w:rsidRPr="00DE096C">
        <w:rPr>
          <w:bCs/>
          <w:color w:val="002060"/>
          <w:sz w:val="16"/>
          <w:szCs w:val="16"/>
        </w:rPr>
        <w:t xml:space="preserve">На крейсера возлагалась задача по нарушению неприятельских коммуникаций и борьба с военной контрабандой в водах прилегающих к Норвегии. В случае же вступления в войну Норвегии на крейсера возлагалось проведение операций по уничтожению рыбопромысловых судов и каботажного судоходства на удалении до 600-800 миль к западу от Колы и постановка активных минных заграждений. </w:t>
      </w:r>
    </w:p>
    <w:p w14:paraId="105BBAC3" w14:textId="77777777" w:rsidR="00B67D7C" w:rsidRPr="00DE096C" w:rsidRDefault="00B67D7C" w:rsidP="00D45A46">
      <w:pPr>
        <w:jc w:val="both"/>
        <w:rPr>
          <w:bCs/>
          <w:color w:val="002060"/>
          <w:sz w:val="16"/>
          <w:szCs w:val="16"/>
        </w:rPr>
      </w:pPr>
      <w:r w:rsidRPr="00DE096C">
        <w:rPr>
          <w:bCs/>
          <w:color w:val="002060"/>
          <w:sz w:val="16"/>
          <w:szCs w:val="16"/>
        </w:rPr>
        <w:t xml:space="preserve">На минный дивизион возлагались следующие задачи: несение дозорной службы на подходах к Кольскому заливу, сопровождение линкоров и крейсеров, выполнение задачи по обновлению позиции у входа в Кольский залив. В случае проведения противником набеговой операции, на дивизион могла быть возложена задача атаковать неприятеля ночью при его подходе к позиции или если он станет где-либо к западу или к востоку от последней. Кроме того, в случае проведения операций по уничтожению судоходства в норвежских водах предполагалось использовать миноносцы на удалении 200-250 миль к западу от Кольского залива. </w:t>
      </w:r>
    </w:p>
    <w:p w14:paraId="2A18964B" w14:textId="77777777" w:rsidR="00B67D7C" w:rsidRPr="00DE096C" w:rsidRDefault="00B67D7C" w:rsidP="00D45A46">
      <w:pPr>
        <w:jc w:val="both"/>
        <w:rPr>
          <w:bCs/>
          <w:color w:val="002060"/>
          <w:sz w:val="16"/>
          <w:szCs w:val="16"/>
        </w:rPr>
      </w:pPr>
      <w:r w:rsidRPr="00DE096C">
        <w:rPr>
          <w:bCs/>
          <w:color w:val="002060"/>
          <w:sz w:val="16"/>
          <w:szCs w:val="16"/>
        </w:rPr>
        <w:t xml:space="preserve">Заключение </w:t>
      </w:r>
    </w:p>
    <w:p w14:paraId="0C4A91B8" w14:textId="77777777" w:rsidR="00B67D7C" w:rsidRPr="00DE096C" w:rsidRDefault="00B67D7C" w:rsidP="00D45A46">
      <w:pPr>
        <w:jc w:val="both"/>
        <w:rPr>
          <w:bCs/>
          <w:color w:val="002060"/>
          <w:sz w:val="16"/>
          <w:szCs w:val="16"/>
        </w:rPr>
      </w:pPr>
      <w:r w:rsidRPr="00DE096C">
        <w:rPr>
          <w:bCs/>
          <w:color w:val="002060"/>
          <w:sz w:val="16"/>
          <w:szCs w:val="16"/>
        </w:rPr>
        <w:t>В общем можно сделать вывод о том, что задачи флотилии были, в основном, оборонительными. В случае же проведения наступательных операций силы флотилии предполагалось использовать, прежде всего, с целью нарушения неприятельского судоходства и рыболовства и борьбы с военной контрабандой (12284).</w:t>
      </w:r>
    </w:p>
    <w:p w14:paraId="23C4E47C" w14:textId="77777777" w:rsidR="00B67D7C" w:rsidRPr="00DE096C" w:rsidRDefault="00B67D7C" w:rsidP="00D45A46">
      <w:pPr>
        <w:jc w:val="both"/>
        <w:rPr>
          <w:bCs/>
          <w:color w:val="002060"/>
          <w:sz w:val="16"/>
          <w:szCs w:val="16"/>
        </w:rPr>
      </w:pPr>
    </w:p>
    <w:p w14:paraId="537E3C11" w14:textId="77777777" w:rsidR="00DE1802" w:rsidRPr="00DE096C" w:rsidRDefault="00DE1802" w:rsidP="00D45A46">
      <w:pPr>
        <w:jc w:val="both"/>
        <w:rPr>
          <w:bCs/>
          <w:i/>
          <w:color w:val="002060"/>
          <w:sz w:val="16"/>
          <w:szCs w:val="16"/>
        </w:rPr>
      </w:pPr>
      <w:r w:rsidRPr="00DE096C">
        <w:rPr>
          <w:bCs/>
          <w:i/>
          <w:color w:val="002060"/>
          <w:sz w:val="16"/>
          <w:szCs w:val="16"/>
        </w:rPr>
        <w:t>Авиация и воздухоплавание Англии:</w:t>
      </w:r>
    </w:p>
    <w:p w14:paraId="2CD33BE8" w14:textId="77777777" w:rsidR="00DE1802" w:rsidRPr="00DE096C" w:rsidRDefault="00DE1802" w:rsidP="00D45A46">
      <w:pPr>
        <w:jc w:val="both"/>
        <w:rPr>
          <w:bCs/>
          <w:i/>
          <w:color w:val="002060"/>
          <w:sz w:val="16"/>
          <w:szCs w:val="16"/>
        </w:rPr>
      </w:pPr>
    </w:p>
    <w:p w14:paraId="3EAE040E" w14:textId="77777777" w:rsidR="00DE1802" w:rsidRPr="00DE096C" w:rsidRDefault="00DE1802" w:rsidP="00D45A46">
      <w:pPr>
        <w:jc w:val="both"/>
        <w:rPr>
          <w:bCs/>
          <w:color w:val="002060"/>
          <w:sz w:val="16"/>
          <w:szCs w:val="16"/>
        </w:rPr>
      </w:pPr>
      <w:r w:rsidRPr="00DE096C">
        <w:rPr>
          <w:bCs/>
          <w:color w:val="002060"/>
          <w:sz w:val="16"/>
          <w:szCs w:val="16"/>
        </w:rPr>
        <w:t xml:space="preserve">1 (14) мая в 1914 году английский разведчик-бомбардировщик </w:t>
      </w:r>
      <w:hyperlink r:id="rId12" w:tgtFrame="_blank" w:history="1">
        <w:r w:rsidRPr="00DE096C">
          <w:rPr>
            <w:bCs/>
            <w:color w:val="002060"/>
            <w:sz w:val="16"/>
            <w:szCs w:val="16"/>
          </w:rPr>
          <w:t xml:space="preserve">«R.E.5» </w:t>
        </w:r>
      </w:hyperlink>
      <w:r w:rsidRPr="00DE096C">
        <w:rPr>
          <w:bCs/>
          <w:color w:val="002060"/>
          <w:sz w:val="16"/>
          <w:szCs w:val="16"/>
        </w:rPr>
        <w:t>(переделанный в одноместный) достиг рекордной высоты в 18 900 футов (5760 метров) (14891).</w:t>
      </w:r>
    </w:p>
    <w:p w14:paraId="34DE5F95" w14:textId="77777777" w:rsidR="00DE1802" w:rsidRPr="00DE096C" w:rsidRDefault="00DE1802" w:rsidP="00D45A46">
      <w:pPr>
        <w:jc w:val="both"/>
        <w:rPr>
          <w:bCs/>
          <w:color w:val="002060"/>
          <w:sz w:val="16"/>
          <w:szCs w:val="16"/>
        </w:rPr>
      </w:pPr>
    </w:p>
    <w:p w14:paraId="50E89ACE" w14:textId="77777777" w:rsidR="00757D08" w:rsidRPr="00DE096C" w:rsidRDefault="00757D08" w:rsidP="00D45A46">
      <w:pPr>
        <w:jc w:val="both"/>
        <w:rPr>
          <w:bCs/>
          <w:color w:val="002060"/>
          <w:sz w:val="16"/>
          <w:szCs w:val="16"/>
        </w:rPr>
      </w:pPr>
      <w:r w:rsidRPr="00DE096C">
        <w:rPr>
          <w:bCs/>
          <w:color w:val="002060"/>
          <w:sz w:val="16"/>
          <w:szCs w:val="16"/>
        </w:rPr>
        <w:t>1 (14) мая 1914 - Английский разведчик-бомбардировщик R.E.5 (переделанный в одноместный) достиг рекордной высоты в 18 900 футов (5760 метров) (22502).</w:t>
      </w:r>
    </w:p>
    <w:p w14:paraId="0687B3E5" w14:textId="77777777" w:rsidR="00757D08" w:rsidRPr="00DE096C" w:rsidRDefault="00757D08" w:rsidP="00D45A46">
      <w:pPr>
        <w:jc w:val="both"/>
        <w:rPr>
          <w:bCs/>
          <w:color w:val="002060"/>
          <w:sz w:val="16"/>
          <w:szCs w:val="16"/>
        </w:rPr>
      </w:pPr>
    </w:p>
    <w:p w14:paraId="5205B071" w14:textId="77777777" w:rsidR="00DE1802" w:rsidRPr="00DE096C" w:rsidRDefault="00DE1802" w:rsidP="00D45A46">
      <w:pPr>
        <w:jc w:val="both"/>
        <w:rPr>
          <w:bCs/>
          <w:i/>
          <w:color w:val="002060"/>
          <w:sz w:val="16"/>
          <w:szCs w:val="16"/>
        </w:rPr>
      </w:pPr>
      <w:r w:rsidRPr="00DE096C">
        <w:rPr>
          <w:bCs/>
          <w:i/>
          <w:color w:val="002060"/>
          <w:sz w:val="16"/>
          <w:szCs w:val="16"/>
        </w:rPr>
        <w:t>За рубежом:</w:t>
      </w:r>
    </w:p>
    <w:p w14:paraId="3F4ECCAC" w14:textId="77777777" w:rsidR="00DE1802" w:rsidRPr="00DE096C" w:rsidRDefault="00DE1802" w:rsidP="00D45A46">
      <w:pPr>
        <w:jc w:val="both"/>
        <w:rPr>
          <w:bCs/>
          <w:color w:val="002060"/>
          <w:sz w:val="16"/>
          <w:szCs w:val="16"/>
        </w:rPr>
      </w:pPr>
    </w:p>
    <w:p w14:paraId="4D0EB25C" w14:textId="77777777" w:rsidR="00DE1802" w:rsidRPr="00DE096C" w:rsidRDefault="00DE1802" w:rsidP="00D45A46">
      <w:pPr>
        <w:jc w:val="both"/>
        <w:rPr>
          <w:bCs/>
          <w:color w:val="002060"/>
          <w:sz w:val="16"/>
          <w:szCs w:val="16"/>
        </w:rPr>
      </w:pPr>
      <w:r w:rsidRPr="00DE096C">
        <w:rPr>
          <w:bCs/>
          <w:color w:val="002060"/>
          <w:sz w:val="16"/>
          <w:szCs w:val="16"/>
        </w:rPr>
        <w:t>1 (14) мая в 1914 году вошел в строй итальянского флота линкор "Джулио Чезаре" (25000 тонн, 21,5 узла, главный калибр - 13 305-мм орудий). Участвовал в Первой и Второй мировых войнах. В соответствии с решениями Тегеранской конференции в 1949 г. передан ВМФ СССР и переименован в "Новороссийск". Погиб в результате взрыва в Севастополе 29 октября 1955 г (14891).</w:t>
      </w:r>
    </w:p>
    <w:p w14:paraId="47DD3F06" w14:textId="77777777" w:rsidR="00DE1802" w:rsidRPr="00DE096C" w:rsidRDefault="00DE1802" w:rsidP="00D45A46">
      <w:pPr>
        <w:jc w:val="both"/>
        <w:rPr>
          <w:bCs/>
          <w:color w:val="002060"/>
          <w:sz w:val="16"/>
          <w:szCs w:val="16"/>
        </w:rPr>
      </w:pPr>
    </w:p>
    <w:p w14:paraId="0C9255BF" w14:textId="0ADD676E" w:rsidR="00545614" w:rsidRPr="00DE096C" w:rsidRDefault="00D26448" w:rsidP="00D45A46">
      <w:pPr>
        <w:jc w:val="both"/>
        <w:rPr>
          <w:bCs/>
          <w:i/>
          <w:color w:val="002060"/>
          <w:sz w:val="16"/>
          <w:szCs w:val="16"/>
        </w:rPr>
      </w:pPr>
      <w:r w:rsidRPr="00DE096C">
        <w:rPr>
          <w:bCs/>
          <w:i/>
          <w:color w:val="002060"/>
          <w:sz w:val="16"/>
          <w:szCs w:val="16"/>
        </w:rPr>
        <w:t>Другие оборонные отрасли:</w:t>
      </w:r>
    </w:p>
    <w:p w14:paraId="6C44EB00" w14:textId="77777777" w:rsidR="00545614" w:rsidRPr="00DE096C" w:rsidRDefault="00545614" w:rsidP="00D45A46">
      <w:pPr>
        <w:jc w:val="both"/>
        <w:rPr>
          <w:bCs/>
          <w:i/>
          <w:color w:val="002060"/>
          <w:sz w:val="16"/>
          <w:szCs w:val="16"/>
        </w:rPr>
      </w:pPr>
    </w:p>
    <w:p w14:paraId="2AF85158" w14:textId="1ED1BF35" w:rsidR="00545614" w:rsidRPr="00DE096C" w:rsidRDefault="00545614" w:rsidP="00D45A46">
      <w:pPr>
        <w:jc w:val="both"/>
        <w:rPr>
          <w:bCs/>
          <w:color w:val="002060"/>
          <w:sz w:val="16"/>
          <w:szCs w:val="16"/>
        </w:rPr>
      </w:pPr>
      <w:r w:rsidRPr="00DE096C">
        <w:rPr>
          <w:bCs/>
          <w:color w:val="002060"/>
          <w:sz w:val="16"/>
          <w:szCs w:val="16"/>
        </w:rPr>
        <w:t xml:space="preserve">2 </w:t>
      </w:r>
      <w:r w:rsidR="00D26448" w:rsidRPr="00DE096C">
        <w:rPr>
          <w:bCs/>
          <w:color w:val="002060"/>
          <w:sz w:val="16"/>
          <w:szCs w:val="16"/>
        </w:rPr>
        <w:t xml:space="preserve">(15) </w:t>
      </w:r>
      <w:r w:rsidRPr="00DE096C">
        <w:rPr>
          <w:bCs/>
          <w:color w:val="002060"/>
          <w:sz w:val="16"/>
          <w:szCs w:val="16"/>
        </w:rPr>
        <w:t xml:space="preserve">мая 1914 г. в возрасте 72 лет скончался заведующий артиллерийскими приемками генерал-лейтенант М.Н. Коробков. На его должность 15 июня 1914 г. был назначен генерал-майор Э.К. Гермониус. Он был выпускником Михайловского артиллерийского училища (1882 г.) и Михайловской артиллерийской академии (1889 г.). С 1891 г. по 1909 г. нес службу на Ижевском оружейном заводе, где прошел трудовой путь от помощника начальника мастерских до помощника руководителя предприятия. Под его непосредственным руководством в 1909-1911 гг. осуществлялись проектирование и постройка Самарского трубочного завода, который он и возглавил после окончания строительства (ЦГАСО. Ф. 701. Оп. 1. Д. 63. Л. 9; Там же. Д. 1995. Л. 71; РГВИА. Ф. 409. Оп. 2. Д. 2375. Л. 6 об. - 7; Там же. Ф. 504. Оп. 8. Д. 1569. Л. 201; Российское зарубежье во Франции. 1919-1920. Биографический словарь. Том 1: А-К. </w:t>
      </w:r>
      <w:r w:rsidRPr="00DE096C">
        <w:rPr>
          <w:bCs/>
          <w:smallCaps/>
          <w:color w:val="002060"/>
          <w:sz w:val="16"/>
          <w:szCs w:val="16"/>
        </w:rPr>
        <w:t>Сост.</w:t>
      </w:r>
      <w:r w:rsidRPr="00DE096C">
        <w:rPr>
          <w:bCs/>
          <w:color w:val="002060"/>
          <w:sz w:val="16"/>
          <w:szCs w:val="16"/>
        </w:rPr>
        <w:t xml:space="preserve"> Мнухин Л., Авриль М., Лосская В. М: Наука; Дом-музей Марины Цветаевой, 2008. С. 89.). Таким образом, Э.К. Герминоус имел серьезный производственный и управленческий опыт, и его назначение на должность заведующего артиллерийскими приемками было закономерно и логично (23530).</w:t>
      </w:r>
    </w:p>
    <w:p w14:paraId="135557A4" w14:textId="77777777" w:rsidR="00545614" w:rsidRPr="00DE096C" w:rsidRDefault="00545614" w:rsidP="00D45A46">
      <w:pPr>
        <w:jc w:val="both"/>
        <w:rPr>
          <w:bCs/>
          <w:color w:val="002060"/>
          <w:sz w:val="16"/>
          <w:szCs w:val="16"/>
        </w:rPr>
      </w:pPr>
    </w:p>
    <w:p w14:paraId="55CA77BB" w14:textId="64F0283F" w:rsidR="00961E44" w:rsidRPr="00DE096C" w:rsidRDefault="00961E44" w:rsidP="00D45A46">
      <w:pPr>
        <w:jc w:val="both"/>
        <w:rPr>
          <w:bCs/>
          <w:i/>
          <w:color w:val="002060"/>
          <w:sz w:val="16"/>
          <w:szCs w:val="16"/>
        </w:rPr>
      </w:pPr>
      <w:r w:rsidRPr="00DE096C">
        <w:rPr>
          <w:bCs/>
          <w:i/>
          <w:color w:val="002060"/>
          <w:sz w:val="16"/>
          <w:szCs w:val="16"/>
        </w:rPr>
        <w:lastRenderedPageBreak/>
        <w:t>Морская авиация:</w:t>
      </w:r>
    </w:p>
    <w:p w14:paraId="536019A6" w14:textId="77777777" w:rsidR="00961E44" w:rsidRPr="00DE096C" w:rsidRDefault="00961E44" w:rsidP="00D45A46">
      <w:pPr>
        <w:jc w:val="both"/>
        <w:rPr>
          <w:bCs/>
          <w:i/>
          <w:color w:val="002060"/>
          <w:sz w:val="16"/>
          <w:szCs w:val="16"/>
        </w:rPr>
      </w:pPr>
    </w:p>
    <w:p w14:paraId="4B485608" w14:textId="77777777" w:rsidR="00961E44" w:rsidRPr="00DE096C" w:rsidRDefault="00961E44" w:rsidP="00D45A46">
      <w:pPr>
        <w:jc w:val="both"/>
        <w:rPr>
          <w:bCs/>
          <w:color w:val="002060"/>
          <w:sz w:val="16"/>
          <w:szCs w:val="16"/>
        </w:rPr>
      </w:pPr>
      <w:r w:rsidRPr="00DE096C">
        <w:rPr>
          <w:bCs/>
          <w:color w:val="002060"/>
          <w:sz w:val="16"/>
          <w:szCs w:val="16"/>
        </w:rPr>
        <w:t xml:space="preserve">2 (15) мая 1914 года был выполнен первый успешный сброс учебной торпеды типа "Л" с корабля V. Кроме этого, для Дивизиона в мае испытали тяжелые бомбы представлявшие собой переделанные 10" фугасные снаряды с трубкой мгновенного действия и приваренными стабилизаторами. Несколько таких бомб испытали в море в 12-14 мая 1914 года, и хотя в судно мишень не попали из 5 сброшенных бомб ни разу, самая ближайшая, разорвалась в 10 метрах от борта, нанеся серъезные осколочных повреждений. Испытания признали успешным и заготовили партию из 30 бомб силами Севастопольского арсенала. Бомба предназначена была для сброса с минной подвески. </w:t>
      </w:r>
    </w:p>
    <w:p w14:paraId="31195B9B" w14:textId="77777777" w:rsidR="00961E44" w:rsidRPr="00DE096C" w:rsidRDefault="00961E44" w:rsidP="00D45A46">
      <w:pPr>
        <w:jc w:val="both"/>
        <w:rPr>
          <w:bCs/>
          <w:color w:val="002060"/>
          <w:sz w:val="16"/>
          <w:szCs w:val="16"/>
        </w:rPr>
      </w:pPr>
      <w:r w:rsidRPr="00DE096C">
        <w:rPr>
          <w:bCs/>
          <w:color w:val="002060"/>
          <w:sz w:val="16"/>
          <w:szCs w:val="16"/>
        </w:rPr>
        <w:t>Из заказа военного ведомства первый аппарат был готов только к началу июня и получил наименование XV. Отличием армейских "Муромцев", а они так и обозначались по документам "ИМ-А", было использование более дешевых и менее мощных "Аргусов" мощностью 140 л.с. Военное ведомство, в отличие от морского, считало поначалу главным предназначением аппарата ведение разведки. Военное ведомство в июле 1914 года утвердило штат "Команды для аэроплана типа Илья Муромец, состоявшей из 4 офицеров, 1 военного чиновника и 40 нижних чинов. На аппарат предполагалось мощное вооружение: 37 мм пушка Гочкиса, 2 пулемета "Максим", 2 ружья-пулемета "Мадсен" и 2 пистолетов "Маузер"(от установки пушки отказались быстро). Один корабль приравнивался к полевому отряду и придавался штабам армий и фронтов. Командиром 2-го воздушного корабля был назначен штабс-капитан Е.В.Руднев, 15-го поручик А.В.Панкратьев (12284).</w:t>
      </w:r>
    </w:p>
    <w:p w14:paraId="34DC15F6" w14:textId="77777777" w:rsidR="00961E44" w:rsidRPr="00DE096C" w:rsidRDefault="00961E44" w:rsidP="00D45A46">
      <w:pPr>
        <w:jc w:val="both"/>
        <w:rPr>
          <w:bCs/>
          <w:color w:val="002060"/>
          <w:sz w:val="16"/>
          <w:szCs w:val="16"/>
        </w:rPr>
      </w:pPr>
    </w:p>
    <w:p w14:paraId="7F6332E4" w14:textId="77777777" w:rsidR="00B44A32" w:rsidRPr="00DE096C" w:rsidRDefault="00B44A32" w:rsidP="00D45A46">
      <w:pPr>
        <w:jc w:val="both"/>
        <w:rPr>
          <w:bCs/>
          <w:i/>
          <w:color w:val="002060"/>
          <w:sz w:val="16"/>
          <w:szCs w:val="16"/>
        </w:rPr>
      </w:pPr>
      <w:r w:rsidRPr="00DE096C">
        <w:rPr>
          <w:bCs/>
          <w:i/>
          <w:color w:val="002060"/>
          <w:sz w:val="16"/>
          <w:szCs w:val="16"/>
        </w:rPr>
        <w:t>Авиация:</w:t>
      </w:r>
    </w:p>
    <w:p w14:paraId="1BA46225" w14:textId="77777777" w:rsidR="00B44A32" w:rsidRPr="00DE096C" w:rsidRDefault="00B44A32" w:rsidP="00D45A46">
      <w:pPr>
        <w:jc w:val="both"/>
        <w:rPr>
          <w:bCs/>
          <w:i/>
          <w:color w:val="002060"/>
          <w:sz w:val="16"/>
          <w:szCs w:val="16"/>
        </w:rPr>
      </w:pPr>
    </w:p>
    <w:p w14:paraId="10E5CF99" w14:textId="77777777" w:rsidR="00B44A32" w:rsidRPr="00DE096C" w:rsidRDefault="00B44A32" w:rsidP="00D45A46">
      <w:pPr>
        <w:jc w:val="both"/>
        <w:rPr>
          <w:bCs/>
          <w:color w:val="002060"/>
          <w:sz w:val="16"/>
          <w:szCs w:val="16"/>
        </w:rPr>
      </w:pPr>
      <w:r w:rsidRPr="00DE096C">
        <w:rPr>
          <w:bCs/>
          <w:color w:val="002060"/>
          <w:sz w:val="16"/>
          <w:szCs w:val="16"/>
        </w:rPr>
        <w:t>3 (16) мая 1914 г. детчик А.А,Васильев сделал нал самолете двойную мертвую петлю через крыло. Подробностей об этом полете не найдено. Оче</w:t>
      </w:r>
      <w:r w:rsidRPr="00DE096C">
        <w:rPr>
          <w:bCs/>
          <w:color w:val="002060"/>
          <w:sz w:val="16"/>
          <w:szCs w:val="16"/>
        </w:rPr>
        <w:softHyphen/>
        <w:t>видно, это был переворот через крыло или даже бочка.</w:t>
      </w:r>
    </w:p>
    <w:p w14:paraId="5B59D4A8" w14:textId="77777777" w:rsidR="00B44A32" w:rsidRPr="00DE096C" w:rsidRDefault="00B44A32" w:rsidP="00D45A46">
      <w:pPr>
        <w:jc w:val="both"/>
        <w:rPr>
          <w:bCs/>
          <w:color w:val="002060"/>
          <w:sz w:val="16"/>
          <w:szCs w:val="16"/>
        </w:rPr>
      </w:pPr>
      <w:r w:rsidRPr="00DE096C">
        <w:rPr>
          <w:bCs/>
          <w:color w:val="002060"/>
          <w:sz w:val="16"/>
          <w:szCs w:val="16"/>
        </w:rPr>
        <w:t>/«Новое время» за 4 мая 1914/ (23320).</w:t>
      </w:r>
    </w:p>
    <w:p w14:paraId="20401417" w14:textId="77777777" w:rsidR="00B44A32" w:rsidRPr="00DE096C" w:rsidRDefault="00B44A32" w:rsidP="00D45A46">
      <w:pPr>
        <w:jc w:val="both"/>
        <w:rPr>
          <w:bCs/>
          <w:color w:val="002060"/>
          <w:sz w:val="16"/>
          <w:szCs w:val="16"/>
        </w:rPr>
      </w:pPr>
    </w:p>
    <w:p w14:paraId="0DC7AD96" w14:textId="77777777" w:rsidR="00B67D7C" w:rsidRPr="00DE096C" w:rsidRDefault="00B67D7C" w:rsidP="00D45A46">
      <w:pPr>
        <w:jc w:val="both"/>
        <w:rPr>
          <w:bCs/>
          <w:i/>
          <w:color w:val="002060"/>
          <w:sz w:val="16"/>
          <w:szCs w:val="16"/>
        </w:rPr>
      </w:pPr>
      <w:r w:rsidRPr="00DE096C">
        <w:rPr>
          <w:bCs/>
          <w:i/>
          <w:color w:val="002060"/>
          <w:sz w:val="16"/>
          <w:szCs w:val="16"/>
        </w:rPr>
        <w:t>Авиация:</w:t>
      </w:r>
    </w:p>
    <w:p w14:paraId="405B1641" w14:textId="77777777" w:rsidR="00B67D7C" w:rsidRPr="00DE096C" w:rsidRDefault="00B67D7C" w:rsidP="00D45A46">
      <w:pPr>
        <w:jc w:val="both"/>
        <w:rPr>
          <w:bCs/>
          <w:i/>
          <w:color w:val="002060"/>
          <w:sz w:val="16"/>
          <w:szCs w:val="16"/>
        </w:rPr>
      </w:pPr>
    </w:p>
    <w:p w14:paraId="01718F63" w14:textId="0E184F44" w:rsidR="00B67D7C" w:rsidRPr="00DE096C" w:rsidRDefault="00B67D7C" w:rsidP="00D45A46">
      <w:pPr>
        <w:pStyle w:val="a3"/>
        <w:jc w:val="both"/>
        <w:rPr>
          <w:bCs/>
          <w:i w:val="0"/>
          <w:color w:val="002060"/>
          <w:spacing w:val="0"/>
          <w:kern w:val="0"/>
          <w:position w:val="0"/>
          <w:sz w:val="16"/>
          <w:szCs w:val="16"/>
        </w:rPr>
      </w:pPr>
      <w:bookmarkStart w:id="16" w:name="_Hlk117144848"/>
      <w:r w:rsidRPr="00DE096C">
        <w:rPr>
          <w:bCs/>
          <w:i w:val="0"/>
          <w:color w:val="002060"/>
          <w:spacing w:val="0"/>
          <w:kern w:val="0"/>
          <w:position w:val="0"/>
          <w:sz w:val="16"/>
          <w:szCs w:val="16"/>
        </w:rPr>
        <w:t>4 (17) мая 1914</w:t>
      </w:r>
      <w:r w:rsidR="009B20F0" w:rsidRPr="00DE096C">
        <w:rPr>
          <w:bCs/>
          <w:i w:val="0"/>
          <w:color w:val="002060"/>
          <w:spacing w:val="0"/>
          <w:kern w:val="0"/>
          <w:position w:val="0"/>
          <w:sz w:val="16"/>
          <w:szCs w:val="16"/>
        </w:rPr>
        <w:t xml:space="preserve"> состоялся первый полет русского авиатора Евгения Шпицберга — "короля мертвых петель" в Риге</w:t>
      </w:r>
      <w:r w:rsidRPr="00DE096C">
        <w:rPr>
          <w:bCs/>
          <w:i w:val="0"/>
          <w:color w:val="002060"/>
          <w:spacing w:val="0"/>
          <w:kern w:val="0"/>
          <w:position w:val="0"/>
          <w:sz w:val="16"/>
          <w:szCs w:val="16"/>
        </w:rPr>
        <w:t>. На ипподроме собралась "вся Рига". Подобного рижане еще не видели. Перевороты через крыло, падения на хвост, крутые виражи, и, конечно, "мертвые петли". Нечего и говорить, что Лидия Виссарионовна была в тот вечер на ипподроме. А на следующий день полетела вместе со Шпицбергом, чтобы на себе испытать "мертвую петлю", высший пилотаж. Что тут было! После полета авиатора и его отважную пассажирку зрители встретили громкими аплодисментами и осыпали цветами (11264).</w:t>
      </w:r>
    </w:p>
    <w:p w14:paraId="7C967F49" w14:textId="77777777" w:rsidR="00B67D7C" w:rsidRPr="00DE096C" w:rsidRDefault="00B67D7C" w:rsidP="00D45A46">
      <w:pPr>
        <w:pStyle w:val="a3"/>
        <w:jc w:val="both"/>
        <w:rPr>
          <w:bCs/>
          <w:i w:val="0"/>
          <w:color w:val="002060"/>
          <w:spacing w:val="0"/>
          <w:kern w:val="0"/>
          <w:position w:val="0"/>
          <w:sz w:val="16"/>
          <w:szCs w:val="16"/>
        </w:rPr>
      </w:pPr>
    </w:p>
    <w:bookmarkEnd w:id="16"/>
    <w:p w14:paraId="349E07CF" w14:textId="77777777" w:rsidR="00DE1802" w:rsidRPr="00DE096C" w:rsidRDefault="00DE1802" w:rsidP="00D45A46">
      <w:pPr>
        <w:jc w:val="both"/>
        <w:rPr>
          <w:bCs/>
          <w:i/>
          <w:color w:val="002060"/>
          <w:sz w:val="16"/>
          <w:szCs w:val="16"/>
        </w:rPr>
      </w:pPr>
      <w:r w:rsidRPr="00DE096C">
        <w:rPr>
          <w:bCs/>
          <w:i/>
          <w:color w:val="002060"/>
          <w:sz w:val="16"/>
          <w:szCs w:val="16"/>
        </w:rPr>
        <w:t>Жизнь и внутренняя политика:</w:t>
      </w:r>
    </w:p>
    <w:p w14:paraId="2D9E71FB" w14:textId="77777777" w:rsidR="00DE1802" w:rsidRPr="00DE096C" w:rsidRDefault="00DE1802" w:rsidP="00D45A46">
      <w:pPr>
        <w:jc w:val="both"/>
        <w:rPr>
          <w:bCs/>
          <w:i/>
          <w:color w:val="002060"/>
          <w:sz w:val="16"/>
          <w:szCs w:val="16"/>
        </w:rPr>
      </w:pPr>
    </w:p>
    <w:p w14:paraId="32878599" w14:textId="7E828B16" w:rsidR="00DE1802" w:rsidRPr="00DE096C" w:rsidRDefault="00DE1802" w:rsidP="00D45A46">
      <w:pPr>
        <w:jc w:val="both"/>
        <w:rPr>
          <w:bCs/>
          <w:color w:val="002060"/>
          <w:sz w:val="16"/>
          <w:szCs w:val="16"/>
        </w:rPr>
      </w:pPr>
      <w:r w:rsidRPr="00DE096C">
        <w:rPr>
          <w:bCs/>
          <w:color w:val="002060"/>
          <w:sz w:val="16"/>
          <w:szCs w:val="16"/>
        </w:rPr>
        <w:t xml:space="preserve">4 </w:t>
      </w:r>
      <w:r w:rsidR="009B20F0" w:rsidRPr="00DE096C">
        <w:rPr>
          <w:bCs/>
          <w:color w:val="002060"/>
          <w:sz w:val="16"/>
          <w:szCs w:val="16"/>
        </w:rPr>
        <w:t xml:space="preserve">(17) </w:t>
      </w:r>
      <w:r w:rsidRPr="00DE096C">
        <w:rPr>
          <w:bCs/>
          <w:color w:val="002060"/>
          <w:sz w:val="16"/>
          <w:szCs w:val="16"/>
        </w:rPr>
        <w:t>мая в 1914 году у Нового Арсенала (ныне улица Комсомола, 1) торжественно открыт памятник Петру I работы скульптора В.В.Лишева. Император был изображен в полный рост, опирающимся на пушку. Монумент снесен в 1919 году (14881).</w:t>
      </w:r>
    </w:p>
    <w:p w14:paraId="141D0924" w14:textId="77777777" w:rsidR="00DE1802" w:rsidRPr="00DE096C" w:rsidRDefault="00DE1802" w:rsidP="00D45A46">
      <w:pPr>
        <w:jc w:val="both"/>
        <w:rPr>
          <w:bCs/>
          <w:color w:val="002060"/>
          <w:sz w:val="16"/>
          <w:szCs w:val="16"/>
        </w:rPr>
      </w:pPr>
    </w:p>
    <w:p w14:paraId="6A80B8BF" w14:textId="77777777" w:rsidR="00BD1F10" w:rsidRPr="00DE096C" w:rsidRDefault="00BD1F10" w:rsidP="00D45A46">
      <w:pPr>
        <w:jc w:val="both"/>
        <w:rPr>
          <w:bCs/>
          <w:i/>
          <w:color w:val="002060"/>
          <w:sz w:val="16"/>
          <w:szCs w:val="16"/>
        </w:rPr>
      </w:pPr>
      <w:r w:rsidRPr="00DE096C">
        <w:rPr>
          <w:bCs/>
          <w:i/>
          <w:color w:val="002060"/>
          <w:sz w:val="16"/>
          <w:szCs w:val="16"/>
        </w:rPr>
        <w:t>Авиация:</w:t>
      </w:r>
    </w:p>
    <w:p w14:paraId="673C6C33" w14:textId="77777777" w:rsidR="00BD1F10" w:rsidRPr="00DE096C" w:rsidRDefault="00BD1F10" w:rsidP="00D45A46">
      <w:pPr>
        <w:jc w:val="both"/>
        <w:rPr>
          <w:bCs/>
          <w:i/>
          <w:color w:val="002060"/>
          <w:sz w:val="16"/>
          <w:szCs w:val="16"/>
        </w:rPr>
      </w:pPr>
    </w:p>
    <w:p w14:paraId="433FCC35" w14:textId="77777777" w:rsidR="00B44A32" w:rsidRPr="00DE096C" w:rsidRDefault="00B44A32" w:rsidP="00D45A46">
      <w:pPr>
        <w:jc w:val="both"/>
        <w:rPr>
          <w:bCs/>
          <w:color w:val="002060"/>
          <w:sz w:val="16"/>
          <w:szCs w:val="16"/>
        </w:rPr>
      </w:pPr>
      <w:r w:rsidRPr="00DE096C">
        <w:rPr>
          <w:bCs/>
          <w:color w:val="002060"/>
          <w:sz w:val="16"/>
          <w:szCs w:val="16"/>
        </w:rPr>
        <w:t>5 (18) мая 1914 г. в Петербурге французский летчик Альфонс Пуаре на самолете "Фарман-20" совершил мертвую петлю с пассажиркой Кузьминой-Караваевой. По приезде в Россию Пуаре заявил, что он ищет русскую девину, которая не побоялась бы полететь с ним "в мертвую петлю". Таких женщин нашлось много, но Пуаре избрал из них Кузмину-Караваеву. Она-то и стала первой русской женщиной-"петлисткой".</w:t>
      </w:r>
    </w:p>
    <w:p w14:paraId="0189F8C8" w14:textId="77777777" w:rsidR="00B44A32" w:rsidRPr="00DE096C" w:rsidRDefault="00B44A32" w:rsidP="00D45A46">
      <w:pPr>
        <w:jc w:val="both"/>
        <w:rPr>
          <w:bCs/>
          <w:color w:val="002060"/>
          <w:sz w:val="16"/>
          <w:szCs w:val="16"/>
        </w:rPr>
      </w:pPr>
      <w:r w:rsidRPr="00DE096C">
        <w:rPr>
          <w:bCs/>
          <w:color w:val="002060"/>
          <w:sz w:val="16"/>
          <w:szCs w:val="16"/>
        </w:rPr>
        <w:t>/"Утро России" за 5 мая 1914/ (23320).</w:t>
      </w:r>
    </w:p>
    <w:p w14:paraId="2519B6DF" w14:textId="77777777" w:rsidR="00B44A32" w:rsidRPr="00DE096C" w:rsidRDefault="00B44A32" w:rsidP="00D45A46">
      <w:pPr>
        <w:jc w:val="both"/>
        <w:rPr>
          <w:bCs/>
          <w:color w:val="002060"/>
          <w:sz w:val="16"/>
          <w:szCs w:val="16"/>
        </w:rPr>
      </w:pPr>
    </w:p>
    <w:p w14:paraId="38F4534A"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Самолетостроение:</w:t>
      </w:r>
    </w:p>
    <w:p w14:paraId="102C13FB" w14:textId="77777777" w:rsidR="00B67D7C" w:rsidRPr="00DE096C" w:rsidRDefault="00B67D7C" w:rsidP="00D45A46">
      <w:pPr>
        <w:pStyle w:val="a3"/>
        <w:jc w:val="both"/>
        <w:rPr>
          <w:bCs/>
          <w:color w:val="002060"/>
          <w:spacing w:val="0"/>
          <w:kern w:val="0"/>
          <w:position w:val="0"/>
          <w:sz w:val="16"/>
          <w:szCs w:val="16"/>
        </w:rPr>
      </w:pPr>
    </w:p>
    <w:p w14:paraId="06072C59" w14:textId="722B642D"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6 (19) мая 1914 г. </w:t>
      </w:r>
      <w:r w:rsidR="009B20F0" w:rsidRPr="00DE096C">
        <w:rPr>
          <w:bCs/>
          <w:color w:val="002060"/>
          <w:sz w:val="16"/>
          <w:szCs w:val="16"/>
        </w:rPr>
        <w:t>в журнале заседаний авиационного комитета Бал</w:t>
      </w:r>
      <w:r w:rsidR="009B20F0" w:rsidRPr="00DE096C">
        <w:rPr>
          <w:bCs/>
          <w:color w:val="002060"/>
          <w:sz w:val="16"/>
          <w:szCs w:val="16"/>
        </w:rPr>
        <w:softHyphen/>
        <w:t>тийского флота была приведена оценка и</w:t>
      </w:r>
      <w:r w:rsidRPr="00DE096C">
        <w:rPr>
          <w:bCs/>
          <w:color w:val="002060"/>
          <w:sz w:val="16"/>
          <w:szCs w:val="16"/>
        </w:rPr>
        <w:t xml:space="preserve"> отмечалось, что С-10 «Гидро» имеет следующие недостатки: немореходен (винт рас</w:t>
      </w:r>
      <w:r w:rsidRPr="00DE096C">
        <w:rPr>
          <w:bCs/>
          <w:color w:val="002060"/>
          <w:sz w:val="16"/>
          <w:szCs w:val="16"/>
        </w:rPr>
        <w:softHyphen/>
        <w:t>положен низко, поднимает водяной вихрь, большой размах крыла при отсутствии боковых поплавков и слабый разнос главных поплавков), неудовлетворительные аэродинамические качества, мала эффективность элеронов, плохая устойчивость и управляемость, предрасположен к боковому скольжению, неудобное управление (штурвал закрывал приборы, в полете заняты обе руки) и т. д. Все это свидетельствовало о недора</w:t>
      </w:r>
      <w:r w:rsidRPr="00DE096C">
        <w:rPr>
          <w:bCs/>
          <w:color w:val="002060"/>
          <w:sz w:val="16"/>
          <w:szCs w:val="16"/>
        </w:rPr>
        <w:softHyphen/>
        <w:t>ботке самолета, что и отметил в своем докладе морскому мини</w:t>
      </w:r>
      <w:r w:rsidRPr="00DE096C">
        <w:rPr>
          <w:bCs/>
          <w:color w:val="002060"/>
          <w:sz w:val="16"/>
          <w:szCs w:val="16"/>
        </w:rPr>
        <w:softHyphen/>
        <w:t>стру начальник Морского генерального штаба: «По поводу этих аэропланов [С-10 «Гидро»] следует отметить следующее. В прошлом [1913] году при заказе аппаратов ни один из загра</w:t>
      </w:r>
      <w:r w:rsidRPr="00DE096C">
        <w:rPr>
          <w:bCs/>
          <w:color w:val="002060"/>
          <w:sz w:val="16"/>
          <w:szCs w:val="16"/>
        </w:rPr>
        <w:softHyphen/>
        <w:t>ничных гидроаэропланов не дал удовлетворительных результа</w:t>
      </w:r>
      <w:r w:rsidRPr="00DE096C">
        <w:rPr>
          <w:bCs/>
          <w:color w:val="002060"/>
          <w:sz w:val="16"/>
          <w:szCs w:val="16"/>
        </w:rPr>
        <w:softHyphen/>
        <w:t>тов. Они представляют из себя не что иное, как аэроплан, поставленный на поплавки. Между тем сухопутные аппараты типа «Сикорский-10» дали отличные результаты, и постановка их на поплавки в то время являлась естественной эволюцией при переходе на тип морского аппарата. Выбором русского аппарата было стремление заставить нашу промышленность к дальнейшим работам над усовершенствованием гидроаэропла</w:t>
      </w:r>
      <w:r w:rsidRPr="00DE096C">
        <w:rPr>
          <w:bCs/>
          <w:color w:val="002060"/>
          <w:sz w:val="16"/>
          <w:szCs w:val="16"/>
        </w:rPr>
        <w:softHyphen/>
        <w:t>нов. К сожалению, эта мера не достигла желаемой цели, так как, в то время как за границей (особенно в Англии) техника неукоснительно работает над развитием морского типа лета</w:t>
      </w:r>
      <w:r w:rsidRPr="00DE096C">
        <w:rPr>
          <w:bCs/>
          <w:color w:val="002060"/>
          <w:sz w:val="16"/>
          <w:szCs w:val="16"/>
        </w:rPr>
        <w:softHyphen/>
        <w:t>тельного аппарата, наши заводы в этом направлении ровно ничего не сделали» (1085).</w:t>
      </w:r>
    </w:p>
    <w:p w14:paraId="5C3D1398" w14:textId="77777777" w:rsidR="00B67D7C" w:rsidRPr="00DE096C" w:rsidRDefault="00B67D7C" w:rsidP="00D45A46">
      <w:pPr>
        <w:shd w:val="clear" w:color="auto" w:fill="FFFFFF"/>
        <w:jc w:val="both"/>
        <w:rPr>
          <w:bCs/>
          <w:color w:val="002060"/>
          <w:sz w:val="16"/>
          <w:szCs w:val="16"/>
        </w:rPr>
      </w:pPr>
    </w:p>
    <w:p w14:paraId="1D50706E" w14:textId="732BEC1F" w:rsidR="00B67D7C" w:rsidRPr="00DE096C" w:rsidRDefault="00B67D7C" w:rsidP="00D45A46">
      <w:pPr>
        <w:jc w:val="both"/>
        <w:rPr>
          <w:bCs/>
          <w:color w:val="002060"/>
          <w:sz w:val="16"/>
          <w:szCs w:val="16"/>
        </w:rPr>
      </w:pPr>
      <w:r w:rsidRPr="00DE096C">
        <w:rPr>
          <w:bCs/>
          <w:color w:val="002060"/>
          <w:sz w:val="16"/>
          <w:szCs w:val="16"/>
        </w:rPr>
        <w:t xml:space="preserve">6 (19) мая 1914 </w:t>
      </w:r>
      <w:r w:rsidR="009B20F0" w:rsidRPr="00DE096C">
        <w:rPr>
          <w:bCs/>
          <w:color w:val="002060"/>
          <w:sz w:val="16"/>
          <w:szCs w:val="16"/>
        </w:rPr>
        <w:t xml:space="preserve">г. на очередном заседании </w:t>
      </w:r>
      <w:r w:rsidRPr="00DE096C">
        <w:rPr>
          <w:bCs/>
          <w:color w:val="002060"/>
          <w:sz w:val="16"/>
          <w:szCs w:val="16"/>
        </w:rPr>
        <w:t xml:space="preserve">авиационный комитет рассмотрел недостатки гидросамолетов, находящихся на авиационной станции в Либаве. Были сделаны следующие заключения: </w:t>
      </w:r>
    </w:p>
    <w:p w14:paraId="31F5E5E2" w14:textId="77777777" w:rsidR="00B67D7C" w:rsidRPr="00DE096C" w:rsidRDefault="00B67D7C" w:rsidP="00D45A46">
      <w:pPr>
        <w:pStyle w:val="Blockquote"/>
        <w:spacing w:before="0" w:after="0"/>
        <w:ind w:left="0" w:right="0"/>
        <w:jc w:val="both"/>
        <w:rPr>
          <w:bCs/>
          <w:color w:val="002060"/>
          <w:sz w:val="16"/>
          <w:szCs w:val="16"/>
        </w:rPr>
      </w:pPr>
      <w:r w:rsidRPr="00DE096C">
        <w:rPr>
          <w:bCs/>
          <w:color w:val="002060"/>
          <w:sz w:val="16"/>
          <w:szCs w:val="16"/>
        </w:rPr>
        <w:t xml:space="preserve">- «Сикорский-10» — имеет неудовлетворительные аэродинамические свойства, неустойчив на виражах (скользил на крыло), немореходен, неудобен в управлении и не имеет самопуска для мотора; </w:t>
      </w:r>
    </w:p>
    <w:p w14:paraId="4180D23D" w14:textId="77777777" w:rsidR="00B67D7C" w:rsidRPr="00DE096C" w:rsidRDefault="00B67D7C" w:rsidP="00D45A46">
      <w:pPr>
        <w:pStyle w:val="Blockquote"/>
        <w:spacing w:before="0" w:after="0"/>
        <w:ind w:left="0" w:right="0"/>
        <w:jc w:val="both"/>
        <w:rPr>
          <w:bCs/>
          <w:color w:val="002060"/>
          <w:sz w:val="16"/>
          <w:szCs w:val="16"/>
        </w:rPr>
      </w:pPr>
      <w:r w:rsidRPr="00DE096C">
        <w:rPr>
          <w:bCs/>
          <w:color w:val="002060"/>
          <w:sz w:val="16"/>
          <w:szCs w:val="16"/>
        </w:rPr>
        <w:t xml:space="preserve">— «Анри Формат — имеет малую скорость и малую грузоподъемность; </w:t>
      </w:r>
    </w:p>
    <w:p w14:paraId="060E3E6A" w14:textId="77777777" w:rsidR="00B67D7C" w:rsidRPr="00DE096C" w:rsidRDefault="00B67D7C" w:rsidP="00D45A46">
      <w:pPr>
        <w:pStyle w:val="Blockquote"/>
        <w:spacing w:before="0" w:after="0"/>
        <w:ind w:left="0" w:right="0"/>
        <w:jc w:val="both"/>
        <w:rPr>
          <w:bCs/>
          <w:color w:val="002060"/>
          <w:sz w:val="16"/>
          <w:szCs w:val="16"/>
        </w:rPr>
      </w:pPr>
      <w:r w:rsidRPr="00DE096C">
        <w:rPr>
          <w:bCs/>
          <w:color w:val="002060"/>
          <w:sz w:val="16"/>
          <w:szCs w:val="16"/>
        </w:rPr>
        <w:t>— лодка «Доннэ-Левек» — слаба по конструкции, моторная установка ее не надежна, и лодка опасна при планировании».</w:t>
      </w:r>
    </w:p>
    <w:p w14:paraId="6B7D0A39" w14:textId="77777777" w:rsidR="00B67D7C" w:rsidRPr="00DE096C" w:rsidRDefault="00B67D7C" w:rsidP="00D45A46">
      <w:pPr>
        <w:jc w:val="both"/>
        <w:rPr>
          <w:bCs/>
          <w:color w:val="002060"/>
          <w:sz w:val="16"/>
          <w:szCs w:val="16"/>
        </w:rPr>
      </w:pPr>
      <w:r w:rsidRPr="00DE096C">
        <w:rPr>
          <w:bCs/>
          <w:color w:val="002060"/>
          <w:sz w:val="16"/>
          <w:szCs w:val="16"/>
        </w:rPr>
        <w:t xml:space="preserve">Авиационный комитет предложил самолеты этих типов в дальнейшем больше не заказывать, а находящиеся на вооружении перевести в учебные. </w:t>
      </w:r>
    </w:p>
    <w:p w14:paraId="36FE22DF" w14:textId="77777777" w:rsidR="00B67D7C" w:rsidRPr="00DE096C" w:rsidRDefault="00B67D7C" w:rsidP="00D45A46">
      <w:pPr>
        <w:jc w:val="both"/>
        <w:rPr>
          <w:bCs/>
          <w:color w:val="002060"/>
          <w:sz w:val="16"/>
          <w:szCs w:val="16"/>
        </w:rPr>
      </w:pPr>
      <w:r w:rsidRPr="00DE096C">
        <w:rPr>
          <w:bCs/>
          <w:color w:val="002060"/>
          <w:sz w:val="16"/>
          <w:szCs w:val="16"/>
        </w:rPr>
        <w:t xml:space="preserve">С учетом этого предложения командующий морскими силами Балтийского моря представил начальнику Морского Генерального штаба доклад о снабжении авиации теми гидросамолетами, которые выбрали морские летчики. Для изучения в полете машин фирм «Авро», «Шорт» и «Виккерс» и возможности их закупок он просил командировать в Англию старшего лейтенанта Щербачева и авиационного инженера Шишкова. </w:t>
      </w:r>
    </w:p>
    <w:p w14:paraId="4E8C89B8" w14:textId="77777777" w:rsidR="00B67D7C" w:rsidRPr="00DE096C" w:rsidRDefault="00B67D7C" w:rsidP="00D45A46">
      <w:pPr>
        <w:jc w:val="both"/>
        <w:rPr>
          <w:bCs/>
          <w:color w:val="002060"/>
          <w:sz w:val="16"/>
          <w:szCs w:val="16"/>
        </w:rPr>
      </w:pPr>
      <w:r w:rsidRPr="00DE096C">
        <w:rPr>
          <w:bCs/>
          <w:color w:val="002060"/>
          <w:sz w:val="16"/>
          <w:szCs w:val="16"/>
        </w:rPr>
        <w:t xml:space="preserve">15 мая морской министр дал на это согласие, и 21 мая Щербачев и Шишков получили предписание выехать в Англию. [47] </w:t>
      </w:r>
    </w:p>
    <w:p w14:paraId="008C4757" w14:textId="77777777" w:rsidR="00B67D7C" w:rsidRPr="00DE096C" w:rsidRDefault="00B67D7C" w:rsidP="00D45A46">
      <w:pPr>
        <w:jc w:val="both"/>
        <w:rPr>
          <w:bCs/>
          <w:color w:val="002060"/>
          <w:sz w:val="16"/>
          <w:szCs w:val="16"/>
        </w:rPr>
      </w:pPr>
      <w:r w:rsidRPr="00DE096C">
        <w:rPr>
          <w:bCs/>
          <w:color w:val="002060"/>
          <w:sz w:val="16"/>
          <w:szCs w:val="16"/>
        </w:rPr>
        <w:t xml:space="preserve">Стоимость указанных гидросамолетов превышала 10 тыс. рублей, и по существовавшему положению на их приобретение требовалось разрешение министерства торговли и промышленности, которое на запрос морского министерства высказало пожелание, чтобы часть самолетов была приобретена на русских заводах, в частности на заводе Щетинина. На это Морской Генеральный штаб сообщил: </w:t>
      </w:r>
    </w:p>
    <w:p w14:paraId="209992E0" w14:textId="77777777" w:rsidR="00B67D7C" w:rsidRPr="00DE096C" w:rsidRDefault="00B67D7C" w:rsidP="00D45A46">
      <w:pPr>
        <w:pStyle w:val="Blockquote"/>
        <w:spacing w:before="0" w:after="0"/>
        <w:ind w:left="0" w:right="0"/>
        <w:jc w:val="both"/>
        <w:rPr>
          <w:bCs/>
          <w:color w:val="002060"/>
          <w:sz w:val="16"/>
          <w:szCs w:val="16"/>
        </w:rPr>
      </w:pPr>
      <w:r w:rsidRPr="00DE096C">
        <w:rPr>
          <w:bCs/>
          <w:color w:val="002060"/>
          <w:sz w:val="16"/>
          <w:szCs w:val="16"/>
        </w:rPr>
        <w:t>«...за границей появились новые типы гидросамолетов и для выбора наилучших необходимо заказать их небольшими сериями для нескольких летчиков, чтобы получить все необходимые данные об этих аппаратах. Что касается постройки летающей лодки Щетинина, то в случае ее положительных испытаний предполагается дать заводу заказ на несколько лодок для всесторонних испытаний. Однако ожидать результатов этих испытаний МГШ не считает возможным и полагает теперь же заказать за границей 24 гидросамолета разных систем».</w:t>
      </w:r>
    </w:p>
    <w:p w14:paraId="3EA44CAE" w14:textId="77777777" w:rsidR="00B67D7C" w:rsidRPr="00DE096C" w:rsidRDefault="00B67D7C" w:rsidP="00D45A46">
      <w:pPr>
        <w:jc w:val="both"/>
        <w:rPr>
          <w:bCs/>
          <w:color w:val="002060"/>
          <w:sz w:val="16"/>
          <w:szCs w:val="16"/>
        </w:rPr>
      </w:pPr>
      <w:r w:rsidRPr="00DE096C">
        <w:rPr>
          <w:bCs/>
          <w:color w:val="002060"/>
          <w:sz w:val="16"/>
          <w:szCs w:val="16"/>
        </w:rPr>
        <w:t xml:space="preserve">Одновременно МГШ сообщил правлению завода Щетинина, что он предлагает провести испытания на авиастанции в Либаве заводским пилотом строящейся на заводе лодки. В случае успеха испытаний лодка будет приобретена морским ведомством, и если покажет потом хорошие результаты, то заводу будет дан заказ на несколько их штук. </w:t>
      </w:r>
    </w:p>
    <w:p w14:paraId="401E821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Альбатросы </w:t>
      </w:r>
    </w:p>
    <w:p w14:paraId="6D72A564" w14:textId="77777777" w:rsidR="00B67D7C" w:rsidRPr="00DE096C" w:rsidRDefault="00B67D7C" w:rsidP="00D45A46">
      <w:pPr>
        <w:shd w:val="clear" w:color="auto" w:fill="FFFFFF"/>
        <w:jc w:val="both"/>
        <w:rPr>
          <w:bCs/>
          <w:color w:val="002060"/>
          <w:sz w:val="16"/>
          <w:szCs w:val="16"/>
        </w:rPr>
      </w:pPr>
    </w:p>
    <w:p w14:paraId="623FEE21" w14:textId="458AC8C6" w:rsidR="00B67D7C" w:rsidRPr="00DE096C" w:rsidRDefault="00B67D7C" w:rsidP="00D45A46">
      <w:pPr>
        <w:shd w:val="clear" w:color="auto" w:fill="FFFFFF"/>
        <w:jc w:val="both"/>
        <w:rPr>
          <w:bCs/>
          <w:color w:val="002060"/>
          <w:sz w:val="16"/>
          <w:szCs w:val="16"/>
        </w:rPr>
      </w:pPr>
      <w:r w:rsidRPr="00DE096C">
        <w:rPr>
          <w:bCs/>
          <w:color w:val="002060"/>
          <w:sz w:val="16"/>
          <w:szCs w:val="16"/>
        </w:rPr>
        <w:t>6 (19) мая 1914</w:t>
      </w:r>
      <w:r w:rsidR="009B20F0" w:rsidRPr="00DE096C">
        <w:rPr>
          <w:bCs/>
          <w:color w:val="002060"/>
          <w:sz w:val="16"/>
          <w:szCs w:val="16"/>
        </w:rPr>
        <w:t xml:space="preserve"> г</w:t>
      </w:r>
      <w:r w:rsidRPr="00DE096C">
        <w:rPr>
          <w:bCs/>
          <w:color w:val="002060"/>
          <w:sz w:val="16"/>
          <w:szCs w:val="16"/>
        </w:rPr>
        <w:t xml:space="preserve">. </w:t>
      </w:r>
      <w:r w:rsidR="009B20F0" w:rsidRPr="00DE096C">
        <w:rPr>
          <w:bCs/>
          <w:color w:val="002060"/>
          <w:sz w:val="16"/>
          <w:szCs w:val="16"/>
        </w:rPr>
        <w:t xml:space="preserve">задолго до июня интенсивное опробование новой машины выявило ряд ее недостатков, которые были обсуждены авиаторами на заседании Авиационного комитета Балтийского флота. </w:t>
      </w:r>
      <w:r w:rsidRPr="00DE096C">
        <w:rPr>
          <w:bCs/>
          <w:color w:val="002060"/>
          <w:sz w:val="16"/>
          <w:szCs w:val="16"/>
        </w:rPr>
        <w:t>Сильно несущий стабилизатор, заднее расположение и ненадежная установка мотора, требовавшая его постоянного ремонта, и, наконец, слабость конструкции корпуса делали самолет не</w:t>
      </w:r>
      <w:r w:rsidRPr="00DE096C">
        <w:rPr>
          <w:bCs/>
          <w:color w:val="002060"/>
          <w:sz w:val="16"/>
          <w:szCs w:val="16"/>
        </w:rPr>
        <w:softHyphen/>
        <w:t>удачным, по крайней мере в глазах пилотов. С поступлением более совершенных аппаратов летающую лодку надлежало перевести в разряд учебных, одновременно запретив на ней полеты выше 100 м, так как планирование являлось опасным. До присвоения номера Щ-1 машину называли именем ее француз</w:t>
      </w:r>
      <w:r w:rsidRPr="00DE096C">
        <w:rPr>
          <w:bCs/>
          <w:color w:val="002060"/>
          <w:sz w:val="16"/>
          <w:szCs w:val="16"/>
        </w:rPr>
        <w:softHyphen/>
        <w:t>ского прототипа, и, например, в строевом рапорте от 27 мая начальник 1-й авиастанции сообщал, в частности, о том, что исправный (французский) «Доннэ-Левек № 1» нес кодовое обозначение Б, тогда как пока не принятую от завода лодку «Доннэ-Левек № 2» ожидал индекс Д (2807).</w:t>
      </w:r>
    </w:p>
    <w:p w14:paraId="499F4B1E" w14:textId="77777777" w:rsidR="00B67D7C" w:rsidRPr="00DE096C" w:rsidRDefault="00B67D7C" w:rsidP="00D45A46">
      <w:pPr>
        <w:shd w:val="clear" w:color="auto" w:fill="FFFFFF"/>
        <w:jc w:val="both"/>
        <w:rPr>
          <w:bCs/>
          <w:color w:val="002060"/>
          <w:sz w:val="16"/>
          <w:szCs w:val="16"/>
        </w:rPr>
      </w:pPr>
    </w:p>
    <w:p w14:paraId="62C00AC4" w14:textId="57DC7836" w:rsidR="00B67D7C" w:rsidRPr="00DE096C" w:rsidRDefault="00B67D7C" w:rsidP="00D45A46">
      <w:pPr>
        <w:shd w:val="clear" w:color="auto" w:fill="FFFFFF"/>
        <w:jc w:val="both"/>
        <w:rPr>
          <w:bCs/>
          <w:color w:val="002060"/>
          <w:sz w:val="16"/>
          <w:szCs w:val="16"/>
        </w:rPr>
      </w:pPr>
      <w:r w:rsidRPr="00DE096C">
        <w:rPr>
          <w:bCs/>
          <w:color w:val="002060"/>
          <w:sz w:val="16"/>
          <w:szCs w:val="16"/>
        </w:rPr>
        <w:t>6 (19) мая 1914</w:t>
      </w:r>
      <w:r w:rsidR="009B20F0" w:rsidRPr="00DE096C">
        <w:rPr>
          <w:bCs/>
          <w:color w:val="002060"/>
          <w:sz w:val="16"/>
          <w:szCs w:val="16"/>
        </w:rPr>
        <w:t xml:space="preserve"> г</w:t>
      </w:r>
      <w:r w:rsidRPr="00DE096C">
        <w:rPr>
          <w:bCs/>
          <w:color w:val="002060"/>
          <w:sz w:val="16"/>
          <w:szCs w:val="16"/>
        </w:rPr>
        <w:t xml:space="preserve">. </w:t>
      </w:r>
      <w:r w:rsidR="009B20F0" w:rsidRPr="00DE096C">
        <w:rPr>
          <w:bCs/>
          <w:color w:val="002060"/>
          <w:sz w:val="16"/>
          <w:szCs w:val="16"/>
        </w:rPr>
        <w:t>в про</w:t>
      </w:r>
      <w:r w:rsidR="009B20F0" w:rsidRPr="00DE096C">
        <w:rPr>
          <w:bCs/>
          <w:color w:val="002060"/>
          <w:sz w:val="16"/>
          <w:szCs w:val="16"/>
        </w:rPr>
        <w:softHyphen/>
        <w:t xml:space="preserve">токоле заседания были зафиксированы недостатки С-10. </w:t>
      </w:r>
      <w:r w:rsidRPr="00DE096C">
        <w:rPr>
          <w:bCs/>
          <w:color w:val="002060"/>
          <w:sz w:val="16"/>
          <w:szCs w:val="16"/>
        </w:rPr>
        <w:t>Модель С-10 признавалась немореходным типом с плохими аэродинамическими качествами и неустойчивым на виражах. Аппарат отличался неудоб</w:t>
      </w:r>
      <w:r w:rsidRPr="00DE096C">
        <w:rPr>
          <w:bCs/>
          <w:color w:val="002060"/>
          <w:sz w:val="16"/>
          <w:szCs w:val="16"/>
        </w:rPr>
        <w:softHyphen/>
        <w:t>ным штурвальным управлением, отсутствием надежного самопуска и общей небрежно</w:t>
      </w:r>
      <w:r w:rsidRPr="00DE096C">
        <w:rPr>
          <w:bCs/>
          <w:color w:val="002060"/>
          <w:sz w:val="16"/>
          <w:szCs w:val="16"/>
        </w:rPr>
        <w:softHyphen/>
        <w:t xml:space="preserve">стью </w:t>
      </w:r>
      <w:r w:rsidRPr="00DE096C">
        <w:rPr>
          <w:bCs/>
          <w:color w:val="002060"/>
          <w:sz w:val="16"/>
          <w:szCs w:val="16"/>
        </w:rPr>
        <w:lastRenderedPageBreak/>
        <w:t>изготовления. Через неделю, 13, в одном из документов МГШ сообщалось, что гид</w:t>
      </w:r>
      <w:r w:rsidRPr="00DE096C">
        <w:rPr>
          <w:bCs/>
          <w:color w:val="002060"/>
          <w:sz w:val="16"/>
          <w:szCs w:val="16"/>
        </w:rPr>
        <w:softHyphen/>
        <w:t>роаэропланы С-10 заказывались потому, что их сухопутный аналог показал себя доста</w:t>
      </w:r>
      <w:r w:rsidRPr="00DE096C">
        <w:rPr>
          <w:bCs/>
          <w:color w:val="002060"/>
          <w:sz w:val="16"/>
          <w:szCs w:val="16"/>
        </w:rPr>
        <w:softHyphen/>
        <w:t>точно успешно, тогда как флот стремился поддержать развитие отечественных произво</w:t>
      </w:r>
      <w:r w:rsidRPr="00DE096C">
        <w:rPr>
          <w:bCs/>
          <w:color w:val="002060"/>
          <w:sz w:val="16"/>
          <w:szCs w:val="16"/>
        </w:rPr>
        <w:softHyphen/>
        <w:t>дителей. Увы, "наши заводы ...зарекомендовали себя с самой неблагоприятной стороны, как в смысле недостатка необходимой тщательности разработки деталей и техники их выполнения, так и в смысле соблюдения сроков". В результате было решено искать под</w:t>
      </w:r>
      <w:r w:rsidRPr="00DE096C">
        <w:rPr>
          <w:bCs/>
          <w:color w:val="002060"/>
          <w:sz w:val="16"/>
          <w:szCs w:val="16"/>
        </w:rPr>
        <w:softHyphen/>
        <w:t>ходящие самолеты во Франции на предприятиях компаний "ФБА", "Моран-Солнье" и "Кодрон" и в Великобритании — у "Виккерса", "Авро" и "Шорта". Стоит все же учесть, что по некоторым сведениям в руках опытного и отчаянного пилота С-10 "Гидро" мог выделывать совершенно фантастические трюки: так, 15 декабря 1913 г. в Либаве лей</w:t>
      </w:r>
      <w:r w:rsidRPr="00DE096C">
        <w:rPr>
          <w:bCs/>
          <w:color w:val="002060"/>
          <w:sz w:val="16"/>
          <w:szCs w:val="16"/>
        </w:rPr>
        <w:softHyphen/>
        <w:t>тенант И.И. Кульнев, двигаясь на высоте 300-400 м, совершил полет вверх поплавками. Оставим, однако, этот факт под сомнением; в любом случае то было не более, чем ли</w:t>
      </w:r>
      <w:r w:rsidRPr="00DE096C">
        <w:rPr>
          <w:bCs/>
          <w:color w:val="002060"/>
          <w:sz w:val="16"/>
          <w:szCs w:val="16"/>
        </w:rPr>
        <w:softHyphen/>
        <w:t>хачество, не способное добавить никаких плюсов к репутации аппарата (2843).</w:t>
      </w:r>
    </w:p>
    <w:p w14:paraId="7C69FDF5" w14:textId="260AAC40" w:rsidR="00B67D7C" w:rsidRPr="00DE096C" w:rsidRDefault="00B67D7C" w:rsidP="00D45A46">
      <w:pPr>
        <w:shd w:val="clear" w:color="auto" w:fill="FFFFFF"/>
        <w:jc w:val="both"/>
        <w:rPr>
          <w:bCs/>
          <w:color w:val="002060"/>
          <w:sz w:val="16"/>
          <w:szCs w:val="16"/>
        </w:rPr>
      </w:pPr>
    </w:p>
    <w:p w14:paraId="1528630A" w14:textId="77777777" w:rsidR="00BD1F10" w:rsidRPr="00DE096C" w:rsidRDefault="00BD1F10" w:rsidP="00D45A46">
      <w:pPr>
        <w:shd w:val="clear" w:color="auto" w:fill="FFFFFF"/>
        <w:jc w:val="both"/>
        <w:rPr>
          <w:bCs/>
          <w:i/>
          <w:color w:val="002060"/>
          <w:sz w:val="16"/>
          <w:szCs w:val="16"/>
        </w:rPr>
      </w:pPr>
      <w:r w:rsidRPr="00DE096C">
        <w:rPr>
          <w:bCs/>
          <w:i/>
          <w:color w:val="002060"/>
          <w:sz w:val="16"/>
          <w:szCs w:val="16"/>
        </w:rPr>
        <w:t>Авиация:</w:t>
      </w:r>
    </w:p>
    <w:p w14:paraId="496C240A" w14:textId="77777777" w:rsidR="00BD1F10" w:rsidRPr="00DE096C" w:rsidRDefault="00BD1F10" w:rsidP="00D45A46">
      <w:pPr>
        <w:shd w:val="clear" w:color="auto" w:fill="FFFFFF"/>
        <w:jc w:val="both"/>
        <w:rPr>
          <w:bCs/>
          <w:i/>
          <w:color w:val="002060"/>
          <w:sz w:val="16"/>
          <w:szCs w:val="16"/>
        </w:rPr>
      </w:pPr>
    </w:p>
    <w:p w14:paraId="33AFD1E4" w14:textId="77777777" w:rsidR="00BD1F10" w:rsidRPr="00DE096C" w:rsidRDefault="00BD1F10" w:rsidP="00D45A46">
      <w:pPr>
        <w:jc w:val="both"/>
        <w:rPr>
          <w:bCs/>
          <w:color w:val="002060"/>
          <w:sz w:val="16"/>
          <w:szCs w:val="16"/>
        </w:rPr>
      </w:pPr>
      <w:r w:rsidRPr="00DE096C">
        <w:rPr>
          <w:bCs/>
          <w:color w:val="002060"/>
          <w:sz w:val="16"/>
          <w:szCs w:val="16"/>
        </w:rPr>
        <w:t>6 (19) мая 1914 г. авиатор Г. В. Янковский, участник петербургской авианедели, течение 14 минут совершил на самолете 9 мертвых петель, а АЛ.Габер-Влынский в Киеве сделал подряд 16 мертвых петель.</w:t>
      </w:r>
    </w:p>
    <w:p w14:paraId="7B13D604" w14:textId="77777777" w:rsidR="00BD1F10" w:rsidRPr="00DE096C" w:rsidRDefault="00BD1F10" w:rsidP="00D45A46">
      <w:pPr>
        <w:jc w:val="both"/>
        <w:rPr>
          <w:bCs/>
          <w:color w:val="002060"/>
          <w:sz w:val="16"/>
          <w:szCs w:val="16"/>
        </w:rPr>
      </w:pPr>
      <w:r w:rsidRPr="00DE096C">
        <w:rPr>
          <w:bCs/>
          <w:color w:val="002060"/>
          <w:sz w:val="16"/>
          <w:szCs w:val="16"/>
        </w:rPr>
        <w:t>/"Утро России" за 7 мая 1914/ (23320).</w:t>
      </w:r>
    </w:p>
    <w:p w14:paraId="43064E84" w14:textId="54737F96" w:rsidR="00BD1F10" w:rsidRPr="00DE096C" w:rsidRDefault="00BD1F10" w:rsidP="00D45A46">
      <w:pPr>
        <w:jc w:val="both"/>
        <w:rPr>
          <w:bCs/>
          <w:color w:val="002060"/>
          <w:sz w:val="16"/>
          <w:szCs w:val="16"/>
        </w:rPr>
      </w:pPr>
    </w:p>
    <w:p w14:paraId="6DF2857D" w14:textId="62993287" w:rsidR="00710A14" w:rsidRPr="00DE096C" w:rsidRDefault="00710A14" w:rsidP="00D45A46">
      <w:pPr>
        <w:jc w:val="both"/>
        <w:rPr>
          <w:bCs/>
          <w:i/>
          <w:iCs/>
          <w:color w:val="002060"/>
          <w:sz w:val="16"/>
          <w:szCs w:val="16"/>
        </w:rPr>
      </w:pPr>
      <w:r w:rsidRPr="00DE096C">
        <w:rPr>
          <w:bCs/>
          <w:i/>
          <w:iCs/>
          <w:color w:val="002060"/>
          <w:sz w:val="16"/>
          <w:szCs w:val="16"/>
        </w:rPr>
        <w:t>Самолетостроение:</w:t>
      </w:r>
    </w:p>
    <w:p w14:paraId="46B52D06" w14:textId="77777777" w:rsidR="00710A14" w:rsidRPr="00DE096C" w:rsidRDefault="00710A14" w:rsidP="00D45A46">
      <w:pPr>
        <w:jc w:val="both"/>
        <w:rPr>
          <w:bCs/>
          <w:i/>
          <w:iCs/>
          <w:color w:val="002060"/>
          <w:sz w:val="16"/>
          <w:szCs w:val="16"/>
        </w:rPr>
      </w:pPr>
    </w:p>
    <w:p w14:paraId="472296E7" w14:textId="5F0AFA92" w:rsidR="00710A14" w:rsidRPr="00DE096C" w:rsidRDefault="00710A14" w:rsidP="00D45A46">
      <w:pPr>
        <w:jc w:val="both"/>
        <w:rPr>
          <w:bCs/>
          <w:color w:val="002060"/>
          <w:sz w:val="16"/>
          <w:szCs w:val="16"/>
        </w:rPr>
      </w:pPr>
      <w:r w:rsidRPr="00DE096C">
        <w:rPr>
          <w:bCs/>
          <w:color w:val="002060"/>
          <w:sz w:val="16"/>
          <w:szCs w:val="16"/>
        </w:rPr>
        <w:t xml:space="preserve">7 (20) мая 1914 года Главное Военно-Техническое Управление (ГВТУ) заключило контракт с РБВЗ на постройку еще 10 аэропланов ИМ. В феврале вне текущих контрактов РБВЗ был построен второй экземпляр, на котором были более мощные "Аргусы" - 2 по 125 и 2 по 140 сил. Корабль получил впоследствии почетное наименование "Киевский" в честь знаменательного апрельского перелета Петербург-Киев-Ново-Сокольники-Петербург. Первыми пилотами воздушных кораблей стали инструкторы Гатчинской авиашколы, которых учил вождению конструктор Сикорский на корабле "Киевском", ставшем учебным. В мае школа приобрела наличной покупкой этот "Муромец". Корабль получил N II (12284). </w:t>
      </w:r>
    </w:p>
    <w:p w14:paraId="1503F8FB" w14:textId="77777777" w:rsidR="00710A14" w:rsidRPr="00DE096C" w:rsidRDefault="00710A14" w:rsidP="00D45A46">
      <w:pPr>
        <w:jc w:val="both"/>
        <w:rPr>
          <w:bCs/>
          <w:color w:val="002060"/>
          <w:sz w:val="16"/>
          <w:szCs w:val="16"/>
        </w:rPr>
      </w:pPr>
    </w:p>
    <w:p w14:paraId="053CB81A" w14:textId="77777777" w:rsidR="001E6F2E" w:rsidRPr="00DE096C" w:rsidRDefault="001E6F2E" w:rsidP="00D45A46">
      <w:pPr>
        <w:shd w:val="clear" w:color="auto" w:fill="FFFFFF"/>
        <w:jc w:val="both"/>
        <w:rPr>
          <w:bCs/>
          <w:i/>
          <w:color w:val="002060"/>
          <w:sz w:val="16"/>
          <w:szCs w:val="16"/>
        </w:rPr>
      </w:pPr>
      <w:r w:rsidRPr="00DE096C">
        <w:rPr>
          <w:bCs/>
          <w:i/>
          <w:color w:val="002060"/>
          <w:sz w:val="16"/>
          <w:szCs w:val="16"/>
        </w:rPr>
        <w:t>Авиация:</w:t>
      </w:r>
    </w:p>
    <w:p w14:paraId="056F70C6" w14:textId="77777777" w:rsidR="001E6F2E" w:rsidRPr="00DE096C" w:rsidRDefault="001E6F2E" w:rsidP="00D45A46">
      <w:pPr>
        <w:shd w:val="clear" w:color="auto" w:fill="FFFFFF"/>
        <w:jc w:val="both"/>
        <w:rPr>
          <w:bCs/>
          <w:i/>
          <w:color w:val="002060"/>
          <w:sz w:val="16"/>
          <w:szCs w:val="16"/>
        </w:rPr>
      </w:pPr>
    </w:p>
    <w:p w14:paraId="1F36944D" w14:textId="77777777" w:rsidR="001E6F2E" w:rsidRPr="00DE096C" w:rsidRDefault="001E6F2E" w:rsidP="00D45A46">
      <w:pPr>
        <w:jc w:val="both"/>
        <w:rPr>
          <w:bCs/>
          <w:color w:val="002060"/>
          <w:sz w:val="16"/>
          <w:szCs w:val="16"/>
        </w:rPr>
      </w:pPr>
      <w:r w:rsidRPr="00DE096C">
        <w:rPr>
          <w:bCs/>
          <w:color w:val="002060"/>
          <w:sz w:val="16"/>
          <w:szCs w:val="16"/>
        </w:rPr>
        <w:t>7 (20) мая 1914 г. военный летчик поручик Константин Федорович Альбрехт на самолете "Ньюпор—4-й" с механиком Белогубиннм предпринял дальний перелет по маршруту Лида-Вильно-Гродно-Белосток-Варшава-Ново-Георгиевок, но возле Люблина, пролетев уже свыше 600 км, потерпел тяжелую аварию. Этот полет был самым дальним в России, совершенным в один день.</w:t>
      </w:r>
    </w:p>
    <w:p w14:paraId="0BE4220C" w14:textId="77777777" w:rsidR="001E6F2E" w:rsidRPr="00DE096C" w:rsidRDefault="001E6F2E" w:rsidP="00D45A46">
      <w:pPr>
        <w:jc w:val="both"/>
        <w:rPr>
          <w:bCs/>
          <w:color w:val="002060"/>
          <w:sz w:val="16"/>
          <w:szCs w:val="16"/>
        </w:rPr>
      </w:pPr>
      <w:r w:rsidRPr="00DE096C">
        <w:rPr>
          <w:bCs/>
          <w:color w:val="002060"/>
          <w:sz w:val="16"/>
          <w:szCs w:val="16"/>
        </w:rPr>
        <w:t>/"Русское слово" за 9 мая 1914; ЦГВИА, ф. 2000, оп. 7, д. 240/ (23320).</w:t>
      </w:r>
    </w:p>
    <w:p w14:paraId="49FAD231" w14:textId="77777777" w:rsidR="001E6F2E" w:rsidRPr="00DE096C" w:rsidRDefault="001E6F2E" w:rsidP="00D45A46">
      <w:pPr>
        <w:jc w:val="both"/>
        <w:rPr>
          <w:bCs/>
          <w:color w:val="002060"/>
          <w:sz w:val="16"/>
          <w:szCs w:val="16"/>
        </w:rPr>
      </w:pPr>
    </w:p>
    <w:p w14:paraId="027EE3F4" w14:textId="0FE6F76A" w:rsidR="005A6700" w:rsidRPr="00DE096C" w:rsidRDefault="005A6700" w:rsidP="00D45A46">
      <w:pPr>
        <w:shd w:val="clear" w:color="auto" w:fill="FFFFFF"/>
        <w:jc w:val="both"/>
        <w:rPr>
          <w:bCs/>
          <w:i/>
          <w:iCs/>
          <w:color w:val="002060"/>
          <w:sz w:val="16"/>
          <w:szCs w:val="16"/>
        </w:rPr>
      </w:pPr>
      <w:r w:rsidRPr="00DE096C">
        <w:rPr>
          <w:bCs/>
          <w:i/>
          <w:iCs/>
          <w:color w:val="002060"/>
          <w:sz w:val="16"/>
          <w:szCs w:val="16"/>
        </w:rPr>
        <w:t>Другие оборонные отрасли:</w:t>
      </w:r>
    </w:p>
    <w:p w14:paraId="4A213846" w14:textId="77777777" w:rsidR="005A6700" w:rsidRPr="00DE096C" w:rsidRDefault="005A6700" w:rsidP="00D45A46">
      <w:pPr>
        <w:shd w:val="clear" w:color="auto" w:fill="FFFFFF"/>
        <w:jc w:val="both"/>
        <w:rPr>
          <w:bCs/>
          <w:i/>
          <w:iCs/>
          <w:color w:val="002060"/>
          <w:sz w:val="16"/>
          <w:szCs w:val="16"/>
        </w:rPr>
      </w:pPr>
    </w:p>
    <w:p w14:paraId="02866BFF" w14:textId="77777777" w:rsidR="00B67D7C" w:rsidRPr="00DE096C" w:rsidRDefault="00B67D7C" w:rsidP="00D45A46">
      <w:pPr>
        <w:jc w:val="both"/>
        <w:rPr>
          <w:bCs/>
          <w:color w:val="002060"/>
          <w:sz w:val="16"/>
          <w:szCs w:val="16"/>
        </w:rPr>
      </w:pPr>
      <w:r w:rsidRPr="00DE096C">
        <w:rPr>
          <w:bCs/>
          <w:color w:val="002060"/>
          <w:sz w:val="16"/>
          <w:szCs w:val="16"/>
        </w:rPr>
        <w:t>В начале мая 1914 г. начались работы по постройке кессона в строящемся здании башенной мастерской для сборки башен (с исполнением работы к ноябрю 1914 г.). Этот кессон должен был иметь вид круглого колодца с внутренним диаметром 11,8 м и глубиной 8 м (ЦИА СПб, ф. 1434, oп. 1. д. 1827, л. 14.). В 1914 г. на Большом Сальном Буяне были снесены склады торговых заданий (каменные постройки конца XVIII в.) и начато строительство цехов башенного отдела. Общая площадь застройки составляла более 14 тыс.м. До начала мировой войны были выведены фундаменты зданий на высоту первого этажа, изготовлены металлические конструкции колонн, балок, подкрановых путей, фермы для крыши, конструкции оконных проемов. После начала войны строительство цехов было свернуто, а заготовленные конструкции, в связи с острой нехваткой металла в военное время, пущены на переплавку. Уже в советское время, когда планы создания на Адмиралтейском заводе башенного производства прочно отошли в прошлое, на построенных в 1914 г. фундаментах в 1937–1938 гг. были возведены по новому проекту три новых судостроительных цеха, работающие и поныне (Терлецкий К.Ф., указ. соч., с. 19.).</w:t>
      </w:r>
    </w:p>
    <w:p w14:paraId="79E9C331" w14:textId="77777777" w:rsidR="00B67D7C" w:rsidRPr="00DE096C" w:rsidRDefault="00B67D7C" w:rsidP="00D45A46">
      <w:pPr>
        <w:jc w:val="both"/>
        <w:rPr>
          <w:bCs/>
          <w:color w:val="002060"/>
          <w:sz w:val="16"/>
          <w:szCs w:val="16"/>
        </w:rPr>
      </w:pPr>
      <w:r w:rsidRPr="00DE096C">
        <w:rPr>
          <w:bCs/>
          <w:color w:val="002060"/>
          <w:sz w:val="16"/>
          <w:szCs w:val="16"/>
        </w:rPr>
        <w:t>Таким образом, в ходе технического перевооружения 1912–1914 гг. под потребности крупных морских программ Адмиралтейский судостроительный завод становился передовым многопрофильным предприятием. Хотя и принужденный кооперироваться в таком сложном деле, как строительство линкоров-дредноутов, с другими специализированными предприятиями, Адмиралтейский завод в деле судостроения к 1913 г. находился в первом ряду, а в вопросе производства орудийных башен для линейных судов вообще планировался как головное предприятие (12109).</w:t>
      </w:r>
    </w:p>
    <w:p w14:paraId="17F2196E" w14:textId="77777777" w:rsidR="00B67D7C" w:rsidRPr="00DE096C" w:rsidRDefault="00B67D7C" w:rsidP="00D45A46">
      <w:pPr>
        <w:jc w:val="both"/>
        <w:rPr>
          <w:bCs/>
          <w:color w:val="002060"/>
          <w:sz w:val="16"/>
          <w:szCs w:val="16"/>
        </w:rPr>
      </w:pPr>
    </w:p>
    <w:p w14:paraId="3DC64749"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w:t>
      </w:r>
    </w:p>
    <w:p w14:paraId="7AA98971" w14:textId="77777777" w:rsidR="00B67D7C" w:rsidRPr="00DE096C" w:rsidRDefault="00B67D7C" w:rsidP="00D45A46">
      <w:pPr>
        <w:shd w:val="clear" w:color="auto" w:fill="FFFFFF"/>
        <w:jc w:val="both"/>
        <w:rPr>
          <w:bCs/>
          <w:i/>
          <w:color w:val="002060"/>
          <w:sz w:val="16"/>
          <w:szCs w:val="16"/>
        </w:rPr>
      </w:pPr>
    </w:p>
    <w:p w14:paraId="62C3C5C9" w14:textId="77777777" w:rsidR="00B72394" w:rsidRPr="00DE096C" w:rsidRDefault="00B72394" w:rsidP="00D45A46">
      <w:pPr>
        <w:jc w:val="both"/>
        <w:rPr>
          <w:bCs/>
          <w:color w:val="002060"/>
          <w:sz w:val="16"/>
          <w:szCs w:val="16"/>
        </w:rPr>
      </w:pPr>
      <w:bookmarkStart w:id="17" w:name="_Hlk117155539"/>
      <w:r w:rsidRPr="00DE096C">
        <w:rPr>
          <w:bCs/>
          <w:color w:val="002060"/>
          <w:sz w:val="16"/>
          <w:szCs w:val="16"/>
        </w:rPr>
        <w:t xml:space="preserve">В начале мая 1914 г. корабль «Гранд» I был передан для дальнейшего использования в Севастопольскую авиашколу. Корабль II продолжал использоваться в основном в учебных целях в Дивизионе воздушных кораблей. </w:t>
      </w:r>
    </w:p>
    <w:p w14:paraId="0B879DB8" w14:textId="4DD9D2C8" w:rsidR="00B72394" w:rsidRPr="00DE096C" w:rsidRDefault="00B72394" w:rsidP="00D45A46">
      <w:pPr>
        <w:jc w:val="both"/>
        <w:rPr>
          <w:bCs/>
          <w:color w:val="002060"/>
          <w:sz w:val="16"/>
          <w:szCs w:val="16"/>
        </w:rPr>
      </w:pPr>
      <w:r w:rsidRPr="00DE096C">
        <w:rPr>
          <w:bCs/>
          <w:color w:val="002060"/>
          <w:sz w:val="16"/>
          <w:szCs w:val="16"/>
        </w:rPr>
        <w:t xml:space="preserve">Летная эксплуатация построенных "Грандов" дала огромный объем информации. На базе полученных знаний и опыта эксплуатации первого "Гранда" уже строилась другая, более совершенная машина. Так русский "Гранд" стал родоначальником всех многомоторных тяжелых самолетов в мире. В заключении стоит заметить, что распоряжением морского министра аэропланы следовало именовать "Большой Балтийский I и II". </w:t>
      </w:r>
    </w:p>
    <w:p w14:paraId="6CBA4C52" w14:textId="77777777" w:rsidR="00B72394" w:rsidRPr="00DE096C" w:rsidRDefault="00B72394" w:rsidP="00D45A46">
      <w:pPr>
        <w:jc w:val="both"/>
        <w:rPr>
          <w:bCs/>
          <w:color w:val="002060"/>
          <w:sz w:val="16"/>
          <w:szCs w:val="16"/>
        </w:rPr>
      </w:pPr>
      <w:r w:rsidRPr="00DE096C">
        <w:rPr>
          <w:bCs/>
          <w:color w:val="002060"/>
          <w:sz w:val="16"/>
          <w:szCs w:val="16"/>
        </w:rPr>
        <w:t xml:space="preserve">ЛТХ: размах крыльев - 27/22 м, длинна 20 м, площадь крыла 120 м.кв., масса пустого самолета 3500 кг, нормальная взлетная 4200 кг, 4 мотора "Аргус" по 100 л.с., макс.скорость 90 км/ч, крейсерская скорость 70 км/ч, дальность 270 км, экипаж 2-7 человек, вооружение: 1-2 ружья пулемета Мадсена, в начале лета в ходе мобилизации июня минная подвеска с кораблей сняты и заменены на сооруженную в севастопольских мастерских импровизированную кассету для сброса бомб (12284). </w:t>
      </w:r>
    </w:p>
    <w:p w14:paraId="420ED3A2" w14:textId="77777777" w:rsidR="00B72394" w:rsidRPr="00DE096C" w:rsidRDefault="00B72394" w:rsidP="00D45A46">
      <w:pPr>
        <w:jc w:val="both"/>
        <w:rPr>
          <w:bCs/>
          <w:color w:val="002060"/>
          <w:sz w:val="16"/>
          <w:szCs w:val="16"/>
        </w:rPr>
      </w:pPr>
    </w:p>
    <w:bookmarkEnd w:id="17"/>
    <w:p w14:paraId="550AB0A8" w14:textId="115CB357" w:rsidR="00B67D7C" w:rsidRPr="00DE096C" w:rsidRDefault="005A6700"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начале мая 1914 года. Пегу приехал в Москву на «гастроли». На Ходынском аэродроме он демонстрировал полеты и одну за другой выполнял петли. Каждый раз, когда его аэроплан оказывался вверх колесами, зрители хором читали написанное на верхних крыльях имя пилота. Аэродром как бы захлебывался от восторга: «Пегу!.. Пегу!.. Пегу!..»</w:t>
      </w:r>
    </w:p>
    <w:p w14:paraId="1627F992" w14:textId="77777777" w:rsidR="00B67D7C" w:rsidRPr="00DE096C" w:rsidRDefault="00B67D7C" w:rsidP="00D45A46">
      <w:pPr>
        <w:jc w:val="both"/>
        <w:rPr>
          <w:bCs/>
          <w:color w:val="002060"/>
          <w:sz w:val="16"/>
          <w:szCs w:val="16"/>
        </w:rPr>
      </w:pPr>
      <w:r w:rsidRPr="00DE096C">
        <w:rPr>
          <w:bCs/>
          <w:color w:val="002060"/>
          <w:sz w:val="16"/>
          <w:szCs w:val="16"/>
        </w:rPr>
        <w:t>В этот день Нестеров проездом из Петербурга тоже оказался в Москве. В Петербурге он хлопотал о средствах для постройки самолета собственной конструкции с изменяемым углом атаки крыльев, который должен был быть более маневренным, чем французские машины.</w:t>
      </w:r>
    </w:p>
    <w:p w14:paraId="169E1608" w14:textId="77777777" w:rsidR="00B67D7C" w:rsidRPr="00DE096C" w:rsidRDefault="00B67D7C" w:rsidP="00D45A46">
      <w:pPr>
        <w:jc w:val="both"/>
        <w:rPr>
          <w:bCs/>
          <w:color w:val="002060"/>
          <w:sz w:val="16"/>
          <w:szCs w:val="16"/>
        </w:rPr>
      </w:pPr>
      <w:r w:rsidRPr="00DE096C">
        <w:rPr>
          <w:bCs/>
          <w:color w:val="002060"/>
          <w:sz w:val="16"/>
          <w:szCs w:val="16"/>
        </w:rPr>
        <w:t>Увы, денег ему не дали. Расстроенный летчик вечером сидел в переполненном зале Политехнического музея, где Московское общество воздухоплавания чествовало французского гостя. Председательствовал на вечере профессор Жуковский.</w:t>
      </w:r>
    </w:p>
    <w:p w14:paraId="49BFE907" w14:textId="77777777" w:rsidR="00B67D7C" w:rsidRPr="00DE096C" w:rsidRDefault="00B67D7C" w:rsidP="00D45A46">
      <w:pPr>
        <w:jc w:val="both"/>
        <w:rPr>
          <w:bCs/>
          <w:color w:val="002060"/>
          <w:sz w:val="16"/>
          <w:szCs w:val="16"/>
        </w:rPr>
      </w:pPr>
      <w:r w:rsidRPr="00DE096C">
        <w:rPr>
          <w:bCs/>
          <w:color w:val="002060"/>
          <w:sz w:val="16"/>
          <w:szCs w:val="16"/>
        </w:rPr>
        <w:t>Пегу, рассказывая о своих полетах, честно признался, что на петлю он решился, только прочитав телеграмму из России о подвиге Нестерова.</w:t>
      </w:r>
    </w:p>
    <w:p w14:paraId="625B8D41" w14:textId="77777777" w:rsidR="00B67D7C" w:rsidRPr="00DE096C" w:rsidRDefault="00B67D7C" w:rsidP="00D45A46">
      <w:pPr>
        <w:jc w:val="both"/>
        <w:rPr>
          <w:bCs/>
          <w:color w:val="002060"/>
          <w:sz w:val="16"/>
          <w:szCs w:val="16"/>
        </w:rPr>
      </w:pPr>
      <w:r w:rsidRPr="00DE096C">
        <w:rPr>
          <w:bCs/>
          <w:color w:val="002060"/>
          <w:sz w:val="16"/>
          <w:szCs w:val="16"/>
        </w:rPr>
        <w:t>Жуковскому сказали, что Нестеров тут, присутствует в зале.</w:t>
      </w:r>
    </w:p>
    <w:p w14:paraId="6D46DD0A" w14:textId="77777777" w:rsidR="00B67D7C" w:rsidRPr="00DE096C" w:rsidRDefault="00B67D7C" w:rsidP="00D45A46">
      <w:pPr>
        <w:jc w:val="both"/>
        <w:rPr>
          <w:bCs/>
          <w:color w:val="002060"/>
          <w:sz w:val="16"/>
          <w:szCs w:val="16"/>
        </w:rPr>
      </w:pPr>
      <w:r w:rsidRPr="00DE096C">
        <w:rPr>
          <w:bCs/>
          <w:color w:val="002060"/>
          <w:sz w:val="16"/>
          <w:szCs w:val="16"/>
        </w:rPr>
        <w:t>Николай Егорович, волнуясь, поднялся из-за стола:</w:t>
      </w:r>
    </w:p>
    <w:p w14:paraId="529AAE16" w14:textId="77777777" w:rsidR="00B67D7C" w:rsidRPr="00DE096C" w:rsidRDefault="00B67D7C" w:rsidP="00D45A46">
      <w:pPr>
        <w:jc w:val="both"/>
        <w:rPr>
          <w:bCs/>
          <w:color w:val="002060"/>
          <w:sz w:val="16"/>
          <w:szCs w:val="16"/>
        </w:rPr>
      </w:pPr>
      <w:r w:rsidRPr="00DE096C">
        <w:rPr>
          <w:bCs/>
          <w:color w:val="002060"/>
          <w:sz w:val="16"/>
          <w:szCs w:val="16"/>
        </w:rPr>
        <w:t>– Господа! Петр Николаевич Нестеров, о котором говорил сейчас наш гость, здесь...</w:t>
      </w:r>
    </w:p>
    <w:p w14:paraId="131559BC" w14:textId="77777777" w:rsidR="00B67D7C" w:rsidRPr="00DE096C" w:rsidRDefault="00B67D7C" w:rsidP="00D45A46">
      <w:pPr>
        <w:jc w:val="both"/>
        <w:rPr>
          <w:bCs/>
          <w:color w:val="002060"/>
          <w:sz w:val="16"/>
          <w:szCs w:val="16"/>
        </w:rPr>
      </w:pPr>
      <w:r w:rsidRPr="00DE096C">
        <w:rPr>
          <w:bCs/>
          <w:color w:val="002060"/>
          <w:sz w:val="16"/>
          <w:szCs w:val="16"/>
        </w:rPr>
        <w:t>Зал загудел, раздались аплодисменты. Нестеров смущенно поднялся. И тут Пегу спрыгнул с подмостков, подбежал к Нестерову, взял его за руку и потащил на сцену.</w:t>
      </w:r>
    </w:p>
    <w:p w14:paraId="35204FAC" w14:textId="77777777" w:rsidR="00B67D7C" w:rsidRPr="00DE096C" w:rsidRDefault="00B67D7C" w:rsidP="00D45A46">
      <w:pPr>
        <w:jc w:val="both"/>
        <w:rPr>
          <w:bCs/>
          <w:color w:val="002060"/>
          <w:sz w:val="16"/>
          <w:szCs w:val="16"/>
        </w:rPr>
      </w:pPr>
      <w:r w:rsidRPr="00DE096C">
        <w:rPr>
          <w:bCs/>
          <w:color w:val="002060"/>
          <w:sz w:val="16"/>
          <w:szCs w:val="16"/>
        </w:rPr>
        <w:t>Зал устроил Нестерову бурную овацию. Когда, наконец, стало немного тише, Пегу объявил всему залу через переводчика:</w:t>
      </w:r>
    </w:p>
    <w:p w14:paraId="339D532D" w14:textId="77777777" w:rsidR="00B67D7C" w:rsidRPr="00DE096C" w:rsidRDefault="00B67D7C" w:rsidP="00D45A46">
      <w:pPr>
        <w:jc w:val="both"/>
        <w:rPr>
          <w:bCs/>
          <w:color w:val="002060"/>
          <w:sz w:val="16"/>
          <w:szCs w:val="16"/>
        </w:rPr>
      </w:pPr>
      <w:r w:rsidRPr="00DE096C">
        <w:rPr>
          <w:bCs/>
          <w:color w:val="002060"/>
          <w:sz w:val="16"/>
          <w:szCs w:val="16"/>
        </w:rPr>
        <w:t>– Я признаю первенство русского летчика.</w:t>
      </w:r>
    </w:p>
    <w:p w14:paraId="358CA915" w14:textId="77777777" w:rsidR="00B67D7C" w:rsidRPr="00DE096C" w:rsidRDefault="00B67D7C" w:rsidP="00D45A46">
      <w:pPr>
        <w:jc w:val="both"/>
        <w:rPr>
          <w:bCs/>
          <w:color w:val="002060"/>
          <w:sz w:val="16"/>
          <w:szCs w:val="16"/>
        </w:rPr>
      </w:pPr>
      <w:r w:rsidRPr="00DE096C">
        <w:rPr>
          <w:bCs/>
          <w:color w:val="002060"/>
          <w:sz w:val="16"/>
          <w:szCs w:val="16"/>
        </w:rPr>
        <w:t>Добившись разрешения работать над своим экспериментальным самолетом в Москве, на заводе «Дукс», Нестеров часто встречался с Жуковским и его учениками. И даже по случаю московской авиационной выставки выступил в «Летнем павильоне» с докладом о безопасности полетов. Он горячо доказывал, что летчики вообще, а военные авиаторы в особенности, должны овладевать высшим пилотажем и чувствовать себя в воздухе свободно, как птицы.</w:t>
      </w:r>
    </w:p>
    <w:p w14:paraId="703F6C42" w14:textId="77777777" w:rsidR="00B67D7C" w:rsidRPr="00DE096C" w:rsidRDefault="00B67D7C" w:rsidP="00D45A46">
      <w:pPr>
        <w:shd w:val="clear" w:color="auto" w:fill="FFFFFF"/>
        <w:jc w:val="both"/>
        <w:rPr>
          <w:bCs/>
          <w:i/>
          <w:color w:val="002060"/>
          <w:sz w:val="16"/>
          <w:szCs w:val="16"/>
        </w:rPr>
      </w:pPr>
    </w:p>
    <w:p w14:paraId="4C2913D1"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5EEA0BDF" w14:textId="77777777" w:rsidR="00B67D7C" w:rsidRPr="00DE096C" w:rsidRDefault="00B67D7C" w:rsidP="00D45A46">
      <w:pPr>
        <w:shd w:val="clear" w:color="auto" w:fill="FFFFFF"/>
        <w:jc w:val="both"/>
        <w:rPr>
          <w:bCs/>
          <w:i/>
          <w:color w:val="002060"/>
          <w:sz w:val="16"/>
          <w:szCs w:val="16"/>
        </w:rPr>
      </w:pPr>
    </w:p>
    <w:p w14:paraId="53D646C6" w14:textId="44F5FAFE" w:rsidR="00DE1802" w:rsidRPr="00DE096C" w:rsidRDefault="00DE1802" w:rsidP="00D45A46">
      <w:pPr>
        <w:pStyle w:val="a5"/>
        <w:rPr>
          <w:bCs/>
          <w:color w:val="002060"/>
          <w:sz w:val="16"/>
          <w:szCs w:val="16"/>
          <w:lang w:val="ru-RU"/>
        </w:rPr>
      </w:pPr>
      <w:r w:rsidRPr="00DE096C">
        <w:rPr>
          <w:bCs/>
          <w:color w:val="002060"/>
          <w:sz w:val="16"/>
          <w:szCs w:val="16"/>
          <w:lang w:val="ru-RU"/>
        </w:rPr>
        <w:t xml:space="preserve">8 </w:t>
      </w:r>
      <w:r w:rsidR="005A6700" w:rsidRPr="00DE096C">
        <w:rPr>
          <w:bCs/>
          <w:color w:val="002060"/>
          <w:sz w:val="16"/>
          <w:szCs w:val="16"/>
          <w:lang w:val="ru-RU"/>
        </w:rPr>
        <w:t xml:space="preserve">(21) </w:t>
      </w:r>
      <w:r w:rsidRPr="00DE096C">
        <w:rPr>
          <w:bCs/>
          <w:color w:val="002060"/>
          <w:sz w:val="16"/>
          <w:szCs w:val="16"/>
          <w:lang w:val="ru-RU"/>
        </w:rPr>
        <w:t>мая 1914 г. при сдаче первого серийного «Депердюссена» Дукса про</w:t>
      </w:r>
      <w:r w:rsidRPr="00DE096C">
        <w:rPr>
          <w:bCs/>
          <w:color w:val="002060"/>
          <w:sz w:val="16"/>
          <w:szCs w:val="16"/>
          <w:lang w:val="ru-RU"/>
        </w:rPr>
        <w:softHyphen/>
        <w:t xml:space="preserve">изошла катастрофа, в ней погиб 18-летний механик А.А. Мухин и пострадал пилот </w:t>
      </w:r>
      <w:r w:rsidRPr="00DE096C">
        <w:rPr>
          <w:bCs/>
          <w:color w:val="002060"/>
          <w:sz w:val="16"/>
          <w:szCs w:val="16"/>
        </w:rPr>
        <w:t>A</w:t>
      </w:r>
      <w:r w:rsidRPr="00DE096C">
        <w:rPr>
          <w:bCs/>
          <w:color w:val="002060"/>
          <w:sz w:val="16"/>
          <w:szCs w:val="16"/>
          <w:lang w:val="ru-RU"/>
        </w:rPr>
        <w:t>.</w:t>
      </w:r>
      <w:r w:rsidRPr="00DE096C">
        <w:rPr>
          <w:bCs/>
          <w:color w:val="002060"/>
          <w:sz w:val="16"/>
          <w:szCs w:val="16"/>
        </w:rPr>
        <w:t>M</w:t>
      </w:r>
      <w:r w:rsidRPr="00DE096C">
        <w:rPr>
          <w:bCs/>
          <w:color w:val="002060"/>
          <w:sz w:val="16"/>
          <w:szCs w:val="16"/>
          <w:lang w:val="ru-RU"/>
        </w:rPr>
        <w:t>.Габер-Влынский. Вероятной причиной инцидента явились отклонения от конструктор</w:t>
      </w:r>
      <w:r w:rsidRPr="00DE096C">
        <w:rPr>
          <w:bCs/>
          <w:color w:val="002060"/>
          <w:sz w:val="16"/>
          <w:szCs w:val="16"/>
          <w:lang w:val="ru-RU"/>
        </w:rPr>
        <w:softHyphen/>
        <w:t>ской документации в процессе производства. Для облёта первой партии из десяти «Депердюссенов» руководство завода было вынуждено пригласить Жануара.</w:t>
      </w:r>
    </w:p>
    <w:p w14:paraId="5E65EED2" w14:textId="77777777" w:rsidR="00DE1802" w:rsidRPr="00DE096C" w:rsidRDefault="00DE1802" w:rsidP="00D45A46">
      <w:pPr>
        <w:pStyle w:val="a5"/>
        <w:rPr>
          <w:bCs/>
          <w:color w:val="002060"/>
          <w:sz w:val="16"/>
          <w:szCs w:val="16"/>
          <w:lang w:val="ru-RU"/>
        </w:rPr>
      </w:pPr>
      <w:r w:rsidRPr="00DE096C">
        <w:rPr>
          <w:bCs/>
          <w:color w:val="002060"/>
          <w:sz w:val="16"/>
          <w:szCs w:val="16"/>
          <w:lang w:val="ru-RU"/>
        </w:rPr>
        <w:t xml:space="preserve">Производство двухместных разведчиков «Депердюссен» тип </w:t>
      </w:r>
      <w:r w:rsidRPr="00DE096C">
        <w:rPr>
          <w:bCs/>
          <w:color w:val="002060"/>
          <w:sz w:val="16"/>
          <w:szCs w:val="16"/>
        </w:rPr>
        <w:t>D</w:t>
      </w:r>
      <w:r w:rsidRPr="00DE096C">
        <w:rPr>
          <w:bCs/>
          <w:color w:val="002060"/>
          <w:sz w:val="16"/>
          <w:szCs w:val="16"/>
          <w:lang w:val="ru-RU"/>
        </w:rPr>
        <w:t xml:space="preserve"> (или ТТ) наладили на петербургских заводах В.А.Лебедева и «ПРТВ», а также на московском «Дуксе». Первый производитель сдал заказчику 63 аэроплана, второй - 30, на третьем же заводе дело сразу не заладилось (15817).</w:t>
      </w:r>
    </w:p>
    <w:p w14:paraId="0787E6C7" w14:textId="77777777" w:rsidR="00DE1802" w:rsidRPr="00DE096C" w:rsidRDefault="00DE1802" w:rsidP="00D45A46">
      <w:pPr>
        <w:pStyle w:val="a5"/>
        <w:rPr>
          <w:bCs/>
          <w:color w:val="002060"/>
          <w:sz w:val="16"/>
          <w:szCs w:val="16"/>
          <w:lang w:val="ru-RU"/>
        </w:rPr>
      </w:pPr>
    </w:p>
    <w:p w14:paraId="03AD16C5" w14:textId="12CF4797" w:rsidR="00DE1802" w:rsidRPr="00DE096C" w:rsidRDefault="00DE1802" w:rsidP="00D45A46">
      <w:pPr>
        <w:pStyle w:val="2"/>
        <w:spacing w:before="0" w:after="0"/>
        <w:jc w:val="both"/>
        <w:rPr>
          <w:b w:val="0"/>
          <w:bCs/>
          <w:color w:val="002060"/>
          <w:sz w:val="16"/>
          <w:szCs w:val="16"/>
        </w:rPr>
      </w:pPr>
      <w:r w:rsidRPr="00DE096C">
        <w:rPr>
          <w:b w:val="0"/>
          <w:bCs/>
          <w:color w:val="002060"/>
          <w:sz w:val="16"/>
          <w:szCs w:val="16"/>
        </w:rPr>
        <w:t xml:space="preserve">8 </w:t>
      </w:r>
      <w:r w:rsidR="005A6700" w:rsidRPr="00DE096C">
        <w:rPr>
          <w:b w:val="0"/>
          <w:bCs/>
          <w:color w:val="002060"/>
          <w:sz w:val="16"/>
          <w:szCs w:val="16"/>
        </w:rPr>
        <w:t xml:space="preserve">(21) </w:t>
      </w:r>
      <w:r w:rsidRPr="00DE096C">
        <w:rPr>
          <w:b w:val="0"/>
          <w:bCs/>
          <w:color w:val="002060"/>
          <w:sz w:val="16"/>
          <w:szCs w:val="16"/>
        </w:rPr>
        <w:t>мая 1914 г. была первая в истории Ходынского поля катастрофа. В нее попали Габер-Влынский с механиком А.Мухиным, совершая первый полет на первом «Депердюссене» постройки «Дукса». Летчик получил тяжелую травму ноги, механик погиб. Причины катастрофы до конца так и не выяснили.</w:t>
      </w:r>
    </w:p>
    <w:p w14:paraId="224F3911" w14:textId="77777777" w:rsidR="00DE1802" w:rsidRPr="00DE096C" w:rsidRDefault="00DE1802" w:rsidP="00D45A46">
      <w:pPr>
        <w:pStyle w:val="2"/>
        <w:spacing w:before="0" w:after="0"/>
        <w:jc w:val="both"/>
        <w:rPr>
          <w:b w:val="0"/>
          <w:bCs/>
          <w:color w:val="002060"/>
          <w:sz w:val="16"/>
          <w:szCs w:val="16"/>
        </w:rPr>
      </w:pPr>
      <w:r w:rsidRPr="00DE096C">
        <w:rPr>
          <w:b w:val="0"/>
          <w:bCs/>
          <w:color w:val="002060"/>
          <w:sz w:val="16"/>
          <w:szCs w:val="16"/>
        </w:rPr>
        <w:lastRenderedPageBreak/>
        <w:t>Не слишком доверяя другим заводским «сдатчикам» (летчикам-испытателям), Меллер пригласил представителя фирмы инженера Жануара облетать и сдать военному ведомству остальные самолеты. С 23 по 29 мая он сдал девять «Депердюсеннов», а последний 10 - — 14 июля. Для сдачи «Моранов» в июне 1914 г. в Москву из Франции прибыл шеф-пилот завода «Моран» Пике. Летом он сдал 14 машин прекрасно выдержавших испытания (15464).</w:t>
      </w:r>
    </w:p>
    <w:p w14:paraId="544D0F2D" w14:textId="77777777" w:rsidR="00DE1802" w:rsidRPr="00DE096C" w:rsidRDefault="00DE1802" w:rsidP="00D45A46">
      <w:pPr>
        <w:pStyle w:val="2"/>
        <w:spacing w:before="0" w:after="0"/>
        <w:jc w:val="both"/>
        <w:rPr>
          <w:b w:val="0"/>
          <w:bCs/>
          <w:color w:val="002060"/>
          <w:sz w:val="16"/>
          <w:szCs w:val="16"/>
        </w:rPr>
      </w:pPr>
    </w:p>
    <w:p w14:paraId="2B4C0E8F" w14:textId="25C7B4A9" w:rsidR="00DE1802" w:rsidRPr="00DE096C" w:rsidRDefault="00DE1802" w:rsidP="00D45A46">
      <w:pPr>
        <w:pStyle w:val="16"/>
        <w:shd w:val="clear" w:color="auto" w:fill="auto"/>
        <w:spacing w:before="0" w:line="240" w:lineRule="auto"/>
        <w:ind w:firstLine="0"/>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 xml:space="preserve">8 </w:t>
      </w:r>
      <w:r w:rsidR="005A6700" w:rsidRPr="00DE096C">
        <w:rPr>
          <w:rFonts w:ascii="Times New Roman" w:hAnsi="Times New Roman" w:cs="Times New Roman"/>
          <w:bCs/>
          <w:color w:val="002060"/>
          <w:sz w:val="16"/>
          <w:szCs w:val="16"/>
        </w:rPr>
        <w:t xml:space="preserve">(21) </w:t>
      </w:r>
      <w:r w:rsidRPr="00DE096C">
        <w:rPr>
          <w:rFonts w:ascii="Times New Roman" w:hAnsi="Times New Roman" w:cs="Times New Roman"/>
          <w:bCs/>
          <w:color w:val="002060"/>
          <w:sz w:val="16"/>
          <w:szCs w:val="16"/>
        </w:rPr>
        <w:t xml:space="preserve">мая 1914 г. произошла первая и единственная катастрофа на Ходынском поле в течении более чем четырех лет регулярных полётов перед Первой мировой войной. </w:t>
      </w:r>
      <w:r w:rsidRPr="00DE096C">
        <w:rPr>
          <w:rStyle w:val="af"/>
          <w:rFonts w:ascii="Times New Roman" w:hAnsi="Times New Roman" w:cs="Times New Roman"/>
          <w:b w:val="0"/>
          <w:color w:val="002060"/>
          <w:sz w:val="16"/>
          <w:szCs w:val="16"/>
        </w:rPr>
        <w:t>Как</w:t>
      </w:r>
      <w:r w:rsidRPr="00DE096C">
        <w:rPr>
          <w:rFonts w:ascii="Times New Roman" w:hAnsi="Times New Roman" w:cs="Times New Roman"/>
          <w:bCs/>
          <w:color w:val="002060"/>
          <w:sz w:val="16"/>
          <w:szCs w:val="16"/>
        </w:rPr>
        <w:t xml:space="preserve"> сообщалось в прессе «8 мая 1914 года на Ходынке...</w:t>
      </w:r>
      <w:r w:rsidRPr="00DE096C">
        <w:rPr>
          <w:rStyle w:val="af"/>
          <w:rFonts w:ascii="Times New Roman" w:hAnsi="Times New Roman" w:cs="Times New Roman"/>
          <w:b w:val="0"/>
          <w:color w:val="002060"/>
          <w:sz w:val="16"/>
          <w:szCs w:val="16"/>
        </w:rPr>
        <w:t xml:space="preserve"> А.М.</w:t>
      </w:r>
      <w:r w:rsidRPr="00DE096C">
        <w:rPr>
          <w:rFonts w:ascii="Times New Roman" w:hAnsi="Times New Roman" w:cs="Times New Roman"/>
          <w:bCs/>
          <w:color w:val="002060"/>
          <w:sz w:val="16"/>
          <w:szCs w:val="16"/>
        </w:rPr>
        <w:t xml:space="preserve"> Габер-Влынский испытывал новый аэроплан, построенный на заводе «Дукс». Пассажиром с ним летал механик Мухин. Габер достиг 300 м и хотел выполнить ряд воздушных эволюций. Вдруг, от неиз</w:t>
      </w:r>
      <w:r w:rsidRPr="00DE096C">
        <w:rPr>
          <w:rFonts w:ascii="Times New Roman" w:hAnsi="Times New Roman" w:cs="Times New Roman"/>
          <w:bCs/>
          <w:color w:val="002060"/>
          <w:sz w:val="16"/>
          <w:szCs w:val="16"/>
        </w:rPr>
        <w:softHyphen/>
        <w:t>вестной причины, аппарат накренился на бок и начал падать. Очевидцы переда</w:t>
      </w:r>
      <w:r w:rsidRPr="00DE096C">
        <w:rPr>
          <w:rFonts w:ascii="Times New Roman" w:hAnsi="Times New Roman" w:cs="Times New Roman"/>
          <w:bCs/>
          <w:color w:val="002060"/>
          <w:sz w:val="16"/>
          <w:szCs w:val="16"/>
        </w:rPr>
        <w:softHyphen/>
        <w:t>ют, что опытный летчик прилагал нечеловеческие усилия, чтобы выровнять аппарат. Это ему как будто удалось, и авиатор начал планирующий спуск. На высоте 20 м налетевший порыв ветра вновь накре</w:t>
      </w:r>
      <w:r w:rsidRPr="00DE096C">
        <w:rPr>
          <w:rFonts w:ascii="Times New Roman" w:hAnsi="Times New Roman" w:cs="Times New Roman"/>
          <w:bCs/>
          <w:color w:val="002060"/>
          <w:sz w:val="16"/>
          <w:szCs w:val="16"/>
        </w:rPr>
        <w:softHyphen/>
        <w:t>нил аппарат, и последний камнем полетел на землю и разлетелся вдребезги от удара, Габера выбросило из гондолы и отбросило далеко в сторону. Механик Мухин остался под аппара</w:t>
      </w:r>
      <w:r w:rsidRPr="00DE096C">
        <w:rPr>
          <w:rFonts w:ascii="Times New Roman" w:hAnsi="Times New Roman" w:cs="Times New Roman"/>
          <w:bCs/>
          <w:color w:val="002060"/>
          <w:sz w:val="16"/>
          <w:szCs w:val="16"/>
        </w:rPr>
        <w:softHyphen/>
        <w:t>том и скончался...».</w:t>
      </w:r>
    </w:p>
    <w:p w14:paraId="1FD75C4B" w14:textId="77777777" w:rsidR="00DE1802" w:rsidRPr="00DE096C" w:rsidRDefault="00DE1802" w:rsidP="00D45A46">
      <w:pPr>
        <w:pStyle w:val="16"/>
        <w:shd w:val="clear" w:color="auto" w:fill="auto"/>
        <w:spacing w:before="0" w:line="240" w:lineRule="auto"/>
        <w:ind w:firstLine="0"/>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По-видимому, хозяевам завода очень не хотелось говорить, о каком типе самолёта идет речь, но тем не менее дальше сообщалось, что Габер «сдавал комиссии военно</w:t>
      </w:r>
      <w:r w:rsidRPr="00DE096C">
        <w:rPr>
          <w:rFonts w:ascii="Times New Roman" w:hAnsi="Times New Roman" w:cs="Times New Roman"/>
          <w:bCs/>
          <w:color w:val="002060"/>
          <w:sz w:val="16"/>
          <w:szCs w:val="16"/>
        </w:rPr>
        <w:softHyphen/>
        <w:t>го ведомства аппарат типа «Депердюссен», построенный «Дуксом». С высоты 20 м вследствие слишком крутого планирования аппарат упал. Габер-Влынский и Мухин очутились под обломками аэроплана и были извлечены в бессознательном состоя</w:t>
      </w:r>
      <w:r w:rsidRPr="00DE096C">
        <w:rPr>
          <w:rFonts w:ascii="Times New Roman" w:hAnsi="Times New Roman" w:cs="Times New Roman"/>
          <w:bCs/>
          <w:color w:val="002060"/>
          <w:sz w:val="16"/>
          <w:szCs w:val="16"/>
        </w:rPr>
        <w:softHyphen/>
        <w:t>нии... Мухин через полчаса умер, у Габер-Влынского сломана в бедре и голени левая нога, сотрясения же мозга у него не оказалось... Он застрахован на 100 тыс. рублей (или марок), которые в случае какого-либо несчастия с ним получит жена». Получил ли Габер какое-то вознаграждение, неизвестно.</w:t>
      </w:r>
    </w:p>
    <w:p w14:paraId="23FC62A5" w14:textId="77777777" w:rsidR="00DE1802" w:rsidRPr="00DE096C" w:rsidRDefault="00DE1802" w:rsidP="00D45A46">
      <w:pPr>
        <w:pStyle w:val="16"/>
        <w:shd w:val="clear" w:color="auto" w:fill="auto"/>
        <w:spacing w:before="0" w:line="240" w:lineRule="auto"/>
        <w:ind w:firstLine="0"/>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Катастрофа вызвала широкий резонанс в прессе. Напечатали даже специальное разъяснение, что Габер пострадал при испытаниях нового самолёта, и «мёртвая петля» не имеет к этому происшествию никакого отношения. Даже неофициальный печатный орган Балтийского флота газета «Ревельские известия» в передовице от 12 мая 1914 г. сообщила, что авария произошла только вследствие недобросовестного исполнения заводом «Дукс» принятого заказа. И далее: «По мнению французского авиатора Жануара, специалисты завода «Дукс», не желая платить фирме «Депердюссен» деньги за право пользоваться её технологией, купили французский аэроплан и, сделав соответ</w:t>
      </w:r>
      <w:r w:rsidRPr="00DE096C">
        <w:rPr>
          <w:rFonts w:ascii="Times New Roman" w:hAnsi="Times New Roman" w:cs="Times New Roman"/>
          <w:bCs/>
          <w:color w:val="002060"/>
          <w:sz w:val="16"/>
          <w:szCs w:val="16"/>
        </w:rPr>
        <w:softHyphen/>
        <w:t>ствующие чертежи, приступили к его серийному выпуску».</w:t>
      </w:r>
    </w:p>
    <w:p w14:paraId="24610CAA" w14:textId="77777777" w:rsidR="00DE1802" w:rsidRPr="00DE096C" w:rsidRDefault="00DE1802" w:rsidP="00D45A46">
      <w:pPr>
        <w:pStyle w:val="16"/>
        <w:shd w:val="clear" w:color="auto" w:fill="auto"/>
        <w:spacing w:before="0" w:line="240" w:lineRule="auto"/>
        <w:ind w:firstLine="0"/>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Надо заметить, что фирма «Депердюссен» официально предупредила военное ведом</w:t>
      </w:r>
      <w:r w:rsidRPr="00DE096C">
        <w:rPr>
          <w:rFonts w:ascii="Times New Roman" w:hAnsi="Times New Roman" w:cs="Times New Roman"/>
          <w:bCs/>
          <w:color w:val="002060"/>
          <w:sz w:val="16"/>
          <w:szCs w:val="16"/>
        </w:rPr>
        <w:softHyphen/>
        <w:t>ство, что «снимает с себя всякую ответственность за производство аэропланов заводом «Дукс», так как последние не отвечают эталонным чертежам». Посетивший в больнице Габер-Влынского Ш. Пегу утверждал, что «Депердюссен» «при большой загрузке не вы</w:t>
      </w:r>
      <w:r w:rsidRPr="00DE096C">
        <w:rPr>
          <w:rFonts w:ascii="Times New Roman" w:hAnsi="Times New Roman" w:cs="Times New Roman"/>
          <w:bCs/>
          <w:color w:val="002060"/>
          <w:sz w:val="16"/>
          <w:szCs w:val="16"/>
        </w:rPr>
        <w:softHyphen/>
        <w:t>равнивался при посадке». В результате этот тип самолёта на «Дуксе» в серию не пошел (15781).</w:t>
      </w:r>
    </w:p>
    <w:p w14:paraId="3A2F9C7E" w14:textId="77777777" w:rsidR="00DE1802" w:rsidRPr="00DE096C" w:rsidRDefault="00DE1802" w:rsidP="00D45A46">
      <w:pPr>
        <w:pStyle w:val="16"/>
        <w:shd w:val="clear" w:color="auto" w:fill="auto"/>
        <w:spacing w:before="0" w:line="240" w:lineRule="auto"/>
        <w:ind w:firstLine="0"/>
        <w:rPr>
          <w:rFonts w:ascii="Times New Roman" w:hAnsi="Times New Roman" w:cs="Times New Roman"/>
          <w:bCs/>
          <w:color w:val="002060"/>
          <w:sz w:val="16"/>
          <w:szCs w:val="16"/>
        </w:rPr>
      </w:pPr>
    </w:p>
    <w:p w14:paraId="4F93533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8 (21) мая 1914 г. произошла первая в истории Ходынского поля катастрофа, когда в первом полете разбился первый экземпляр построенного заводом «Депердюссена» тип О. Летчик А.М.Габер-Влынский получил тяжелую травму ноги, механик А.А.Мухин погиб. Причи</w:t>
      </w:r>
      <w:r w:rsidRPr="00DE096C">
        <w:rPr>
          <w:bCs/>
          <w:color w:val="002060"/>
          <w:sz w:val="16"/>
          <w:szCs w:val="16"/>
        </w:rPr>
        <w:softHyphen/>
        <w:t>ны катастрофы до конца так и не выяснили (9651).</w:t>
      </w:r>
    </w:p>
    <w:p w14:paraId="61ECE6E2" w14:textId="77777777" w:rsidR="00B67D7C" w:rsidRPr="00DE096C" w:rsidRDefault="00B67D7C" w:rsidP="00D45A46">
      <w:pPr>
        <w:shd w:val="clear" w:color="auto" w:fill="FFFFFF"/>
        <w:jc w:val="both"/>
        <w:rPr>
          <w:bCs/>
          <w:color w:val="002060"/>
          <w:sz w:val="16"/>
          <w:szCs w:val="16"/>
        </w:rPr>
      </w:pPr>
    </w:p>
    <w:p w14:paraId="58624DE2" w14:textId="77777777" w:rsidR="00B67D7C" w:rsidRPr="00DE096C" w:rsidRDefault="00B67D7C" w:rsidP="00D45A46">
      <w:pPr>
        <w:jc w:val="both"/>
        <w:rPr>
          <w:bCs/>
          <w:color w:val="002060"/>
          <w:sz w:val="16"/>
          <w:szCs w:val="16"/>
        </w:rPr>
      </w:pPr>
      <w:r w:rsidRPr="00DE096C">
        <w:rPr>
          <w:bCs/>
          <w:color w:val="002060"/>
          <w:sz w:val="16"/>
          <w:szCs w:val="16"/>
        </w:rPr>
        <w:t>8 (21) мая 1914 года Габер-Влынский попал в катастрофу при испытании самолета «Депердюссен» постройки «Дукса», в результате которой погиб летевший с ним механик А.А.Мухин, а самолет был вдребезги разбит. Катастрофа на Ходынке вызвала широкий резонанс в прессе, склонявшейся к версии о недобросовестном копировании заводом купленного им французского аэроплана. Уже к июлю, к началу первой мировой войны, пилот залечил переломы бедра и голени левой ноги.</w:t>
      </w:r>
    </w:p>
    <w:p w14:paraId="4E52B283" w14:textId="77777777" w:rsidR="00B67D7C" w:rsidRPr="00DE096C" w:rsidRDefault="00B67D7C" w:rsidP="00D45A46">
      <w:pPr>
        <w:jc w:val="both"/>
        <w:rPr>
          <w:bCs/>
          <w:color w:val="002060"/>
          <w:sz w:val="16"/>
          <w:szCs w:val="16"/>
        </w:rPr>
      </w:pPr>
    </w:p>
    <w:p w14:paraId="55973C81" w14:textId="23654660" w:rsidR="00B67D7C" w:rsidRPr="00DE096C" w:rsidRDefault="00B67D7C" w:rsidP="00D45A46">
      <w:pPr>
        <w:jc w:val="both"/>
        <w:rPr>
          <w:bCs/>
          <w:color w:val="002060"/>
          <w:sz w:val="16"/>
          <w:szCs w:val="16"/>
        </w:rPr>
      </w:pPr>
      <w:bookmarkStart w:id="18" w:name="_Hlk117145503"/>
      <w:r w:rsidRPr="00DE096C">
        <w:rPr>
          <w:bCs/>
          <w:color w:val="002060"/>
          <w:sz w:val="16"/>
          <w:szCs w:val="16"/>
        </w:rPr>
        <w:t xml:space="preserve">8 (21) мая 1914 г. </w:t>
      </w:r>
      <w:r w:rsidR="005A6700" w:rsidRPr="00DE096C">
        <w:rPr>
          <w:bCs/>
          <w:color w:val="002060"/>
          <w:sz w:val="16"/>
          <w:szCs w:val="16"/>
        </w:rPr>
        <w:t xml:space="preserve">Совет института своим решением </w:t>
      </w:r>
      <w:r w:rsidRPr="00DE096C">
        <w:rPr>
          <w:bCs/>
          <w:color w:val="002060"/>
          <w:sz w:val="16"/>
          <w:szCs w:val="16"/>
        </w:rPr>
        <w:t xml:space="preserve">утвердил смету на сооружение новой аэромеханической лаборатории, но строительство ее было прервано начавшейся войной. </w:t>
      </w:r>
      <w:r w:rsidR="005A6700" w:rsidRPr="00DE096C">
        <w:rPr>
          <w:bCs/>
          <w:color w:val="002060"/>
          <w:sz w:val="16"/>
          <w:szCs w:val="16"/>
        </w:rPr>
        <w:t>В апреле 1914 г. Н. А. Рынин представляет в Совет института записку с просьбой предоставить кредит в размере 80 700 р. на постройку большой аэродинамической трубы и на оборудование новой аэромеханической лаборатории. К записке прилагались подробный проект лаборатории, смета расходов на ее строительство и оборудование и положительные отзывы на этот проект профессоров Н. Е. Жуковского и К. П. Боклевского</w:t>
      </w:r>
    </w:p>
    <w:p w14:paraId="25F916CD" w14:textId="77777777" w:rsidR="00B67D7C" w:rsidRPr="00DE096C" w:rsidRDefault="00B67D7C" w:rsidP="00D45A46">
      <w:pPr>
        <w:shd w:val="clear" w:color="auto" w:fill="FFFFFF"/>
        <w:jc w:val="both"/>
        <w:rPr>
          <w:bCs/>
          <w:color w:val="002060"/>
          <w:sz w:val="16"/>
          <w:szCs w:val="16"/>
        </w:rPr>
      </w:pPr>
    </w:p>
    <w:bookmarkEnd w:id="18"/>
    <w:p w14:paraId="5FEC8C90" w14:textId="77777777" w:rsidR="00DE1802" w:rsidRPr="00DE096C" w:rsidRDefault="00DE1802" w:rsidP="00D45A46">
      <w:pPr>
        <w:shd w:val="clear" w:color="auto" w:fill="FFFFFF"/>
        <w:jc w:val="both"/>
        <w:rPr>
          <w:bCs/>
          <w:i/>
          <w:color w:val="002060"/>
          <w:sz w:val="16"/>
          <w:szCs w:val="16"/>
        </w:rPr>
      </w:pPr>
      <w:r w:rsidRPr="00DE096C">
        <w:rPr>
          <w:bCs/>
          <w:i/>
          <w:color w:val="002060"/>
          <w:sz w:val="16"/>
          <w:szCs w:val="16"/>
        </w:rPr>
        <w:t>Авиация:</w:t>
      </w:r>
    </w:p>
    <w:p w14:paraId="10D96534" w14:textId="77777777" w:rsidR="00DE1802" w:rsidRPr="00DE096C" w:rsidRDefault="00DE1802" w:rsidP="00D45A46">
      <w:pPr>
        <w:shd w:val="clear" w:color="auto" w:fill="FFFFFF"/>
        <w:jc w:val="both"/>
        <w:rPr>
          <w:bCs/>
          <w:i/>
          <w:color w:val="002060"/>
          <w:sz w:val="16"/>
          <w:szCs w:val="16"/>
        </w:rPr>
      </w:pPr>
    </w:p>
    <w:p w14:paraId="7F0C3D26" w14:textId="12A132CF" w:rsidR="00DE1802" w:rsidRPr="00DE096C" w:rsidRDefault="00DE1802" w:rsidP="00D45A46">
      <w:pPr>
        <w:pStyle w:val="2"/>
        <w:spacing w:before="0" w:after="0"/>
        <w:jc w:val="both"/>
        <w:rPr>
          <w:b w:val="0"/>
          <w:bCs/>
          <w:color w:val="002060"/>
          <w:sz w:val="16"/>
          <w:szCs w:val="16"/>
        </w:rPr>
      </w:pPr>
      <w:r w:rsidRPr="00DE096C">
        <w:rPr>
          <w:b w:val="0"/>
          <w:bCs/>
          <w:color w:val="002060"/>
          <w:sz w:val="16"/>
          <w:szCs w:val="16"/>
        </w:rPr>
        <w:t xml:space="preserve">8 </w:t>
      </w:r>
      <w:r w:rsidR="005A6700" w:rsidRPr="00DE096C">
        <w:rPr>
          <w:b w:val="0"/>
          <w:bCs/>
          <w:color w:val="002060"/>
          <w:sz w:val="16"/>
          <w:szCs w:val="16"/>
        </w:rPr>
        <w:t xml:space="preserve">(21) </w:t>
      </w:r>
      <w:r w:rsidRPr="00DE096C">
        <w:rPr>
          <w:b w:val="0"/>
          <w:bCs/>
          <w:color w:val="002060"/>
          <w:sz w:val="16"/>
          <w:szCs w:val="16"/>
        </w:rPr>
        <w:t>мая 1914</w:t>
      </w:r>
      <w:r w:rsidR="005A6700" w:rsidRPr="00DE096C">
        <w:rPr>
          <w:b w:val="0"/>
          <w:bCs/>
          <w:color w:val="002060"/>
          <w:sz w:val="16"/>
          <w:szCs w:val="16"/>
        </w:rPr>
        <w:t xml:space="preserve"> г.</w:t>
      </w:r>
      <w:r w:rsidRPr="00DE096C">
        <w:rPr>
          <w:b w:val="0"/>
          <w:bCs/>
          <w:color w:val="002060"/>
          <w:sz w:val="16"/>
          <w:szCs w:val="16"/>
        </w:rPr>
        <w:t>, на третий день авианедели «публика почти не обращает внимания на полеты Волка, Ноздровского, Воеводского, Колчина и... [не] отрывает глаза от Фармана № 20, военного типа, на котором сегодняшний хозяин положения, сегодняшний герой — Пуаре, покажет чудеса акробатизма в воздухе». Отчет в «Аэро-», специальном авиационном издании, обычно не склонном к преувеличениям и восторгам, содержит такие строки: «Не буду описывать полета Пуаре. Кто не видел, тот не поверит, кто видел — тому врезались в память скачки Пуаре через сигнальную «виселицу», танго, мертвые петли, все другие номера, действительно высшей школы пилотажа. За полетом Пуаре трудно было следить — он на высоте 15—20 м носился как ураган, делал виражи в 85—90°, причем ухитрялся раскланиваться с публикой.» Впервые увидев пилотаж на малой высоте, публика даже не заметила, что Янковский сделал подряд четыре петли — первые в своей летной практике. Пуаре с пассажиркой сделал подряд три петли, спускаясь с высоты 800 м, затем один планировал вниз головой 43 сек и «произвел на публику ошеломляющее впечатление». Петли и другие фигуры делали Раевский, Янковский, Шпицберг. Пуаре выполнил весь пилотаж с пассажиркой, во время его полетов «публика начинает беспокоиться, когда он над ней танцует свое танго, и полиция принуждена взять от него расписку, что Пуаре не будет вылетать за пределы поля. Его импрессарио, скверно зная русский язык пишет, что Пуаре не будет летать «на публике», полиция сердится, инцидент исчерпан... В свой бенефис 8 мая Пуаре показал лучшие номера своей программы. Больше всего понравилось «падение листом бумаги». Аппарат раскачивается в воздухе во все стороны, но пилот не дает ему перевернуться и плавно садится на землю.» По окончании недели французы переехали в Москву и на Ходынке показали свое выдающееся мастерство. Пилотажный комплекс был почти один и тот же, а детальных описаний московских полетов пока не найдено (15464).</w:t>
      </w:r>
    </w:p>
    <w:p w14:paraId="1392E307" w14:textId="77777777" w:rsidR="00DE1802" w:rsidRPr="00DE096C" w:rsidRDefault="00DE1802" w:rsidP="00D45A46">
      <w:pPr>
        <w:pStyle w:val="2"/>
        <w:spacing w:before="0" w:after="0"/>
        <w:jc w:val="both"/>
        <w:rPr>
          <w:b w:val="0"/>
          <w:bCs/>
          <w:color w:val="002060"/>
          <w:sz w:val="16"/>
          <w:szCs w:val="16"/>
        </w:rPr>
      </w:pPr>
    </w:p>
    <w:p w14:paraId="051C3FB7" w14:textId="5F212034" w:rsidR="00DE1802" w:rsidRPr="00DE096C" w:rsidRDefault="00DE1802" w:rsidP="00D45A46">
      <w:pPr>
        <w:pStyle w:val="2"/>
        <w:spacing w:before="0" w:after="0"/>
        <w:jc w:val="both"/>
        <w:rPr>
          <w:b w:val="0"/>
          <w:bCs/>
          <w:color w:val="002060"/>
          <w:sz w:val="16"/>
          <w:szCs w:val="16"/>
        </w:rPr>
      </w:pPr>
      <w:r w:rsidRPr="00DE096C">
        <w:rPr>
          <w:b w:val="0"/>
          <w:bCs/>
          <w:color w:val="002060"/>
          <w:sz w:val="16"/>
          <w:szCs w:val="16"/>
        </w:rPr>
        <w:t xml:space="preserve">8 </w:t>
      </w:r>
      <w:r w:rsidR="005A6700" w:rsidRPr="00DE096C">
        <w:rPr>
          <w:b w:val="0"/>
          <w:bCs/>
          <w:color w:val="002060"/>
          <w:sz w:val="16"/>
          <w:szCs w:val="16"/>
        </w:rPr>
        <w:t xml:space="preserve">(21) </w:t>
      </w:r>
      <w:r w:rsidRPr="00DE096C">
        <w:rPr>
          <w:b w:val="0"/>
          <w:bCs/>
          <w:color w:val="002060"/>
          <w:sz w:val="16"/>
          <w:szCs w:val="16"/>
        </w:rPr>
        <w:t xml:space="preserve">мая 1914 </w:t>
      </w:r>
      <w:r w:rsidR="005A6700" w:rsidRPr="00DE096C">
        <w:rPr>
          <w:b w:val="0"/>
          <w:bCs/>
          <w:color w:val="002060"/>
          <w:sz w:val="16"/>
          <w:szCs w:val="16"/>
        </w:rPr>
        <w:t xml:space="preserve">г. </w:t>
      </w:r>
      <w:r w:rsidRPr="00DE096C">
        <w:rPr>
          <w:b w:val="0"/>
          <w:bCs/>
          <w:color w:val="002060"/>
          <w:sz w:val="16"/>
          <w:szCs w:val="16"/>
        </w:rPr>
        <w:t>в Перербурге в ходе авианедели в свой бенефис Пуаре показал лучшие номера своей программы. Больше всего понравилось «падение листом бумаги». Аппарат раскачивается в воздухе во все стороны, но пилот не дает ему перевернуться и плавно садится на землю.» (15464).</w:t>
      </w:r>
    </w:p>
    <w:p w14:paraId="27C4FD7D" w14:textId="77777777" w:rsidR="00DE1802" w:rsidRPr="00DE096C" w:rsidRDefault="00DE1802" w:rsidP="00D45A46">
      <w:pPr>
        <w:pStyle w:val="2"/>
        <w:spacing w:before="0" w:after="0"/>
        <w:jc w:val="both"/>
        <w:rPr>
          <w:b w:val="0"/>
          <w:bCs/>
          <w:color w:val="002060"/>
          <w:sz w:val="16"/>
          <w:szCs w:val="16"/>
        </w:rPr>
      </w:pPr>
    </w:p>
    <w:p w14:paraId="553CA5A8" w14:textId="77777777" w:rsidR="001E6F2E" w:rsidRPr="00DE096C" w:rsidRDefault="001E6F2E" w:rsidP="00D45A46">
      <w:pPr>
        <w:jc w:val="both"/>
        <w:rPr>
          <w:bCs/>
          <w:color w:val="002060"/>
          <w:sz w:val="16"/>
          <w:szCs w:val="16"/>
        </w:rPr>
      </w:pPr>
      <w:r w:rsidRPr="00DE096C">
        <w:rPr>
          <w:bCs/>
          <w:color w:val="002060"/>
          <w:sz w:val="16"/>
          <w:szCs w:val="16"/>
        </w:rPr>
        <w:t>8 (21) мая 1914 г. в Москве начал свои показательные полеты знаменитый французский летчик Адольф Пегу, один из зачинателей высшего пилотажа. Он показал мертвые петли, спуск штопором, восьмерки и падение листом. На полетах присутствовало огромное количество зрителей. Сбор составил 12.500 рублей, из коих Пегу по контракту досталось 20.000 франков.</w:t>
      </w:r>
    </w:p>
    <w:p w14:paraId="12ABFA7F" w14:textId="77777777" w:rsidR="001E6F2E" w:rsidRPr="00DE096C" w:rsidRDefault="001E6F2E" w:rsidP="00D45A46">
      <w:pPr>
        <w:jc w:val="both"/>
        <w:rPr>
          <w:bCs/>
          <w:color w:val="002060"/>
          <w:sz w:val="16"/>
          <w:szCs w:val="16"/>
        </w:rPr>
      </w:pPr>
      <w:r w:rsidRPr="00DE096C">
        <w:rPr>
          <w:bCs/>
          <w:color w:val="002060"/>
          <w:sz w:val="16"/>
          <w:szCs w:val="16"/>
        </w:rPr>
        <w:t>/"Раннее утро" за 17 мая 1914/ (23320).</w:t>
      </w:r>
    </w:p>
    <w:p w14:paraId="6AB59328" w14:textId="77777777" w:rsidR="001E6F2E" w:rsidRPr="00DE096C" w:rsidRDefault="001E6F2E" w:rsidP="00D45A46">
      <w:pPr>
        <w:jc w:val="both"/>
        <w:rPr>
          <w:bCs/>
          <w:color w:val="002060"/>
          <w:sz w:val="16"/>
          <w:szCs w:val="16"/>
        </w:rPr>
      </w:pPr>
    </w:p>
    <w:p w14:paraId="6E8460AC" w14:textId="77777777" w:rsidR="00B033D7" w:rsidRPr="00B52707" w:rsidRDefault="00B033D7" w:rsidP="00B033D7">
      <w:pPr>
        <w:jc w:val="both"/>
        <w:rPr>
          <w:color w:val="0070C0"/>
          <w:sz w:val="16"/>
          <w:szCs w:val="16"/>
        </w:rPr>
      </w:pPr>
      <w:r w:rsidRPr="00B52707">
        <w:rPr>
          <w:color w:val="0070C0"/>
          <w:sz w:val="16"/>
          <w:szCs w:val="16"/>
        </w:rPr>
        <w:t>8 (21) мая 1914 г. положением Военного Совета были отпущены, средства на прикомандирование к авиа</w:t>
      </w:r>
      <w:r w:rsidRPr="00B52707">
        <w:rPr>
          <w:color w:val="0070C0"/>
          <w:sz w:val="16"/>
          <w:szCs w:val="16"/>
        </w:rPr>
        <w:softHyphen/>
        <w:t>ционным отрядам для соответствующей подготовки офицеров в качестве наблюдателей, которых предполагалось включить в штаты авиационных отрядов по числу младших офицеров-летчиков. Однако, мера эта до об'явления войны осуществлена не была, и отряды выступили на театр военных действий без наблю</w:t>
      </w:r>
      <w:r w:rsidRPr="00B52707">
        <w:rPr>
          <w:color w:val="0070C0"/>
          <w:sz w:val="16"/>
          <w:szCs w:val="16"/>
        </w:rPr>
        <w:softHyphen/>
        <w:t>дателей (34923).</w:t>
      </w:r>
    </w:p>
    <w:p w14:paraId="677DA21D" w14:textId="77777777" w:rsidR="00B033D7" w:rsidRPr="00B52707" w:rsidRDefault="00B033D7" w:rsidP="00B033D7">
      <w:pPr>
        <w:jc w:val="both"/>
        <w:rPr>
          <w:color w:val="0070C0"/>
          <w:sz w:val="16"/>
          <w:szCs w:val="16"/>
        </w:rPr>
      </w:pPr>
    </w:p>
    <w:p w14:paraId="59C127A6" w14:textId="77777777" w:rsidR="00B033D7" w:rsidRPr="00B52707" w:rsidRDefault="00B033D7" w:rsidP="00B033D7">
      <w:pPr>
        <w:jc w:val="both"/>
        <w:rPr>
          <w:color w:val="0070C0"/>
          <w:sz w:val="16"/>
          <w:szCs w:val="16"/>
        </w:rPr>
      </w:pPr>
      <w:r w:rsidRPr="00B52707">
        <w:rPr>
          <w:rStyle w:val="ab"/>
          <w:rFonts w:ascii="Times New Roman" w:hAnsi="Times New Roman"/>
          <w:color w:val="0070C0"/>
          <w:spacing w:val="0"/>
          <w:sz w:val="16"/>
          <w:szCs w:val="16"/>
        </w:rPr>
        <w:t>8 (21) мая 1914 г. во Францию предложили поехать Я.И. Нагурскому. В конце мая поручик прибыл на завод фирмы «Фарман», где собирались одни из самых надежных летательных аппа</w:t>
      </w:r>
      <w:r w:rsidRPr="00B52707">
        <w:rPr>
          <w:rStyle w:val="ab"/>
          <w:rFonts w:ascii="Times New Roman" w:hAnsi="Times New Roman"/>
          <w:color w:val="0070C0"/>
          <w:spacing w:val="0"/>
          <w:sz w:val="16"/>
          <w:szCs w:val="16"/>
        </w:rPr>
        <w:softHyphen/>
        <w:t>ратов того времени, оснащённых моторами знаменитой фир</w:t>
      </w:r>
      <w:r w:rsidRPr="00B52707">
        <w:rPr>
          <w:rStyle w:val="ab"/>
          <w:rFonts w:ascii="Times New Roman" w:hAnsi="Times New Roman"/>
          <w:color w:val="0070C0"/>
          <w:spacing w:val="0"/>
          <w:sz w:val="16"/>
          <w:szCs w:val="16"/>
        </w:rPr>
        <w:softHyphen/>
        <w:t>мы «Рено» мощностью 70 лошадиных сил. У машины были вполне приличные лётные качества: грузоподъёмность - 300 килограмм и скорость около 100 километров в час.</w:t>
      </w:r>
    </w:p>
    <w:p w14:paraId="621AE178" w14:textId="77777777" w:rsidR="00B033D7" w:rsidRPr="00B52707" w:rsidRDefault="00B033D7" w:rsidP="00B033D7">
      <w:pPr>
        <w:jc w:val="both"/>
        <w:rPr>
          <w:rStyle w:val="ab"/>
          <w:rFonts w:ascii="Times New Roman" w:hAnsi="Times New Roman"/>
          <w:color w:val="0070C0"/>
          <w:spacing w:val="0"/>
          <w:sz w:val="16"/>
          <w:szCs w:val="16"/>
        </w:rPr>
      </w:pPr>
      <w:r w:rsidRPr="00B52707">
        <w:rPr>
          <w:rStyle w:val="ab"/>
          <w:rFonts w:ascii="Times New Roman" w:hAnsi="Times New Roman"/>
          <w:color w:val="0070C0"/>
          <w:spacing w:val="0"/>
          <w:sz w:val="16"/>
          <w:szCs w:val="16"/>
        </w:rPr>
        <w:t>Месяц провел Я. Нагурский в цехах, наблюдая за сборкой своей машины «Морис Фарман», которую по его просьбе выкрасили в красный цвет. Осваивая (француз</w:t>
      </w:r>
      <w:r w:rsidRPr="00B52707">
        <w:rPr>
          <w:rStyle w:val="ab"/>
          <w:rFonts w:ascii="Times New Roman" w:hAnsi="Times New Roman"/>
          <w:color w:val="0070C0"/>
          <w:spacing w:val="0"/>
          <w:sz w:val="16"/>
          <w:szCs w:val="16"/>
        </w:rPr>
        <w:softHyphen/>
        <w:t>скую технику, будущий полярный лётчик совершил па аэродроме Бюке 18 тренировочных полётов. Кроме того, он контролировал сборку и второго самолета «Генри Фарман», на котором предписывалось другому лётчику - П.В. Евсюкову в будущем вести поиск пропавших экспе</w:t>
      </w:r>
      <w:r w:rsidRPr="00B52707">
        <w:rPr>
          <w:rStyle w:val="ab"/>
          <w:rFonts w:ascii="Times New Roman" w:hAnsi="Times New Roman"/>
          <w:color w:val="0070C0"/>
          <w:spacing w:val="0"/>
          <w:sz w:val="16"/>
          <w:szCs w:val="16"/>
        </w:rPr>
        <w:softHyphen/>
        <w:t>диций в Восточной Арктике.</w:t>
      </w:r>
    </w:p>
    <w:p w14:paraId="3C48B473" w14:textId="77777777" w:rsidR="00B033D7" w:rsidRPr="00B52707" w:rsidRDefault="00B033D7" w:rsidP="00B033D7">
      <w:pPr>
        <w:jc w:val="both"/>
        <w:rPr>
          <w:color w:val="0070C0"/>
          <w:sz w:val="16"/>
          <w:szCs w:val="16"/>
        </w:rPr>
      </w:pPr>
      <w:r w:rsidRPr="00B52707">
        <w:rPr>
          <w:rStyle w:val="ab"/>
          <w:rFonts w:ascii="Times New Roman" w:hAnsi="Times New Roman"/>
          <w:color w:val="0070C0"/>
          <w:spacing w:val="0"/>
          <w:sz w:val="16"/>
          <w:szCs w:val="16"/>
        </w:rPr>
        <w:t>Пока Ян Нагурский находился в Париже, вышел при</w:t>
      </w:r>
      <w:r w:rsidRPr="00B52707">
        <w:rPr>
          <w:rStyle w:val="ab"/>
          <w:rFonts w:ascii="Times New Roman" w:hAnsi="Times New Roman"/>
          <w:color w:val="0070C0"/>
          <w:spacing w:val="0"/>
          <w:sz w:val="16"/>
          <w:szCs w:val="16"/>
        </w:rPr>
        <w:softHyphen/>
        <w:t>каз о его переводе из пограничной стражи в Морское ми</w:t>
      </w:r>
      <w:r w:rsidRPr="00B52707">
        <w:rPr>
          <w:rStyle w:val="ab"/>
          <w:rFonts w:ascii="Times New Roman" w:hAnsi="Times New Roman"/>
          <w:color w:val="0070C0"/>
          <w:spacing w:val="0"/>
          <w:sz w:val="16"/>
          <w:szCs w:val="16"/>
        </w:rPr>
        <w:softHyphen/>
        <w:t>нистерство с зачислением поручиком по Адмиралтейству во 2-й флотский экипаж. Позже он был откомандирован в распоряжение Главного морского штаба (25653).</w:t>
      </w:r>
    </w:p>
    <w:p w14:paraId="4C3F8348" w14:textId="77777777" w:rsidR="00B033D7" w:rsidRPr="00B52707" w:rsidRDefault="00B033D7" w:rsidP="00B033D7">
      <w:pPr>
        <w:jc w:val="both"/>
        <w:rPr>
          <w:color w:val="0070C0"/>
          <w:sz w:val="16"/>
          <w:szCs w:val="16"/>
        </w:rPr>
      </w:pPr>
    </w:p>
    <w:p w14:paraId="4B3D6C1E" w14:textId="42966C43" w:rsidR="00DE1802" w:rsidRPr="00DE096C" w:rsidRDefault="00DE1802" w:rsidP="00D45A46">
      <w:pPr>
        <w:jc w:val="both"/>
        <w:rPr>
          <w:bCs/>
          <w:color w:val="002060"/>
          <w:sz w:val="16"/>
          <w:szCs w:val="16"/>
        </w:rPr>
      </w:pPr>
      <w:r w:rsidRPr="00DE096C">
        <w:rPr>
          <w:bCs/>
          <w:color w:val="002060"/>
          <w:sz w:val="16"/>
          <w:szCs w:val="16"/>
        </w:rPr>
        <w:t xml:space="preserve">8 </w:t>
      </w:r>
      <w:r w:rsidR="00B033D7">
        <w:rPr>
          <w:bCs/>
          <w:color w:val="002060"/>
          <w:sz w:val="16"/>
          <w:szCs w:val="16"/>
        </w:rPr>
        <w:t xml:space="preserve">(21) </w:t>
      </w:r>
      <w:r w:rsidRPr="00DE096C">
        <w:rPr>
          <w:bCs/>
          <w:color w:val="002060"/>
          <w:sz w:val="16"/>
          <w:szCs w:val="16"/>
        </w:rPr>
        <w:t>мая 1914 г. Военный совет одобрил представление ГВТУ о преобразовании Авиационного отдела ОВШ в Военную авиационную школу, которое было утверждено 19 июля 1914 г. приказом по военному ведомству № 43612. Положение о школе и ее табель в основном повторяли содержание соответствующих документов Авиационного отдела, однако постоянный состав должен был иметь теперь 15 офицеров, 5 военных чиновников и 82 нижних чина (19566).</w:t>
      </w:r>
    </w:p>
    <w:p w14:paraId="0E698E39" w14:textId="77777777" w:rsidR="00DE1802" w:rsidRPr="00DE096C" w:rsidRDefault="00DE1802" w:rsidP="00D45A46">
      <w:pPr>
        <w:jc w:val="both"/>
        <w:rPr>
          <w:bCs/>
          <w:color w:val="002060"/>
          <w:sz w:val="16"/>
          <w:szCs w:val="16"/>
        </w:rPr>
      </w:pPr>
    </w:p>
    <w:p w14:paraId="5141ED9F" w14:textId="7F5BF5EF" w:rsidR="001E6F2E" w:rsidRPr="00DE096C" w:rsidRDefault="001E6F2E" w:rsidP="00D45A46">
      <w:pPr>
        <w:jc w:val="both"/>
        <w:rPr>
          <w:bCs/>
          <w:color w:val="002060"/>
          <w:sz w:val="16"/>
          <w:szCs w:val="16"/>
        </w:rPr>
      </w:pPr>
      <w:r w:rsidRPr="00DE096C">
        <w:rPr>
          <w:bCs/>
          <w:color w:val="002060"/>
          <w:sz w:val="16"/>
          <w:szCs w:val="16"/>
        </w:rPr>
        <w:t>8 (21) мая 1914 г. Военный совет постановил выделить из Офицерской воздухоплавательной школы авиационный отдел, присвоив ему штат и наименование</w:t>
      </w:r>
      <w:r w:rsidR="0006581C">
        <w:rPr>
          <w:bCs/>
          <w:color w:val="002060"/>
          <w:sz w:val="16"/>
          <w:szCs w:val="16"/>
        </w:rPr>
        <w:t xml:space="preserve"> </w:t>
      </w:r>
      <w:r w:rsidRPr="00DE096C">
        <w:rPr>
          <w:bCs/>
          <w:color w:val="002060"/>
          <w:sz w:val="16"/>
          <w:szCs w:val="16"/>
        </w:rPr>
        <w:t>«военная авиационная школа». Приказом ио военному ведомству № 436 от 19 июля 1914 года это постановление было утверждено, и Гатчинская военно-авиационная школа начала свое самостоятельное существование.</w:t>
      </w:r>
    </w:p>
    <w:p w14:paraId="6945C6D3" w14:textId="77777777" w:rsidR="001E6F2E" w:rsidRPr="00DE096C" w:rsidRDefault="001E6F2E" w:rsidP="00D45A46">
      <w:pPr>
        <w:jc w:val="both"/>
        <w:rPr>
          <w:bCs/>
          <w:color w:val="002060"/>
          <w:sz w:val="16"/>
          <w:szCs w:val="16"/>
        </w:rPr>
      </w:pPr>
      <w:r w:rsidRPr="00DE096C">
        <w:rPr>
          <w:bCs/>
          <w:color w:val="002060"/>
          <w:sz w:val="16"/>
          <w:szCs w:val="16"/>
        </w:rPr>
        <w:t>/ЦГВИА, ф. 493, оп. 2, д. 4/ (23320).</w:t>
      </w:r>
    </w:p>
    <w:p w14:paraId="34E9733B" w14:textId="77777777" w:rsidR="001E6F2E" w:rsidRPr="00DE096C" w:rsidRDefault="001E6F2E" w:rsidP="00D45A46">
      <w:pPr>
        <w:jc w:val="both"/>
        <w:rPr>
          <w:bCs/>
          <w:color w:val="002060"/>
          <w:sz w:val="16"/>
          <w:szCs w:val="16"/>
        </w:rPr>
      </w:pPr>
    </w:p>
    <w:p w14:paraId="7AF66B75" w14:textId="77777777" w:rsidR="001E6F2E" w:rsidRPr="00DE096C" w:rsidRDefault="001E6F2E" w:rsidP="00D45A46">
      <w:pPr>
        <w:jc w:val="both"/>
        <w:rPr>
          <w:bCs/>
          <w:color w:val="002060"/>
          <w:sz w:val="16"/>
          <w:szCs w:val="16"/>
        </w:rPr>
      </w:pPr>
      <w:r w:rsidRPr="00DE096C">
        <w:rPr>
          <w:bCs/>
          <w:color w:val="002060"/>
          <w:sz w:val="16"/>
          <w:szCs w:val="16"/>
        </w:rPr>
        <w:t>8 (21) мая 1914 г. Военный совет по представлению главного управления Генерального штаба одобрил прикомандирование к авиационным отрядам для подготовки летчиков-наблюдателей офицеров всех родов оружия с тем, чтобы образовать кадр наблюдателей. Срок подготовки летчиков-наблюдателей определялся до трех месяцев. Однако, эта идея не была осуществлена, я отряды выступили на фронт без наблюдателей.</w:t>
      </w:r>
    </w:p>
    <w:p w14:paraId="5A855D37" w14:textId="77777777" w:rsidR="001E6F2E" w:rsidRPr="00DE096C" w:rsidRDefault="001E6F2E" w:rsidP="00D45A46">
      <w:pPr>
        <w:jc w:val="both"/>
        <w:rPr>
          <w:bCs/>
          <w:color w:val="002060"/>
          <w:sz w:val="16"/>
          <w:szCs w:val="16"/>
        </w:rPr>
      </w:pPr>
      <w:r w:rsidRPr="00DE096C">
        <w:rPr>
          <w:bCs/>
          <w:color w:val="002060"/>
          <w:sz w:val="16"/>
          <w:szCs w:val="16"/>
        </w:rPr>
        <w:lastRenderedPageBreak/>
        <w:t>/ЦГВИА, ф. 493, оп. 3, д.4/ (23320).</w:t>
      </w:r>
    </w:p>
    <w:p w14:paraId="4955EE9B" w14:textId="77777777" w:rsidR="001E6F2E" w:rsidRPr="00DE096C" w:rsidRDefault="001E6F2E" w:rsidP="00D45A46">
      <w:pPr>
        <w:jc w:val="both"/>
        <w:rPr>
          <w:bCs/>
          <w:color w:val="002060"/>
          <w:sz w:val="16"/>
          <w:szCs w:val="16"/>
        </w:rPr>
      </w:pPr>
    </w:p>
    <w:p w14:paraId="290CD68E" w14:textId="2E41E35A" w:rsidR="000A6A9B" w:rsidRPr="00DE096C" w:rsidRDefault="000A6A9B" w:rsidP="00D45A46">
      <w:pPr>
        <w:jc w:val="both"/>
        <w:rPr>
          <w:bCs/>
          <w:color w:val="002060"/>
          <w:sz w:val="16"/>
          <w:szCs w:val="16"/>
        </w:rPr>
      </w:pPr>
      <w:r w:rsidRPr="00DE096C">
        <w:rPr>
          <w:bCs/>
          <w:color w:val="002060"/>
          <w:sz w:val="16"/>
          <w:szCs w:val="16"/>
          <w:lang w:bidi="en-US"/>
        </w:rPr>
        <w:t>8 (21) мая 1914 г. Генеральный штаб убедил военное министерство издать приказ о выделении средств на перевод ряда младших офицеров в авиационные части для подготовки их в качестве наблюдателей. Кроме того, они будут включены в организационные таблицы подразделений, которым они были назначены. Однако до начала войны эта мера не была введена в действие. В результате части авиации отправились на фронт без подготовленных наблюдателей. Как видно, формирование авиационных частей еще не было полностью завершено и осуществлялось бессистемно и малоэнергично (23525).</w:t>
      </w:r>
    </w:p>
    <w:p w14:paraId="6C8FD921" w14:textId="77777777" w:rsidR="000A6A9B" w:rsidRPr="00DE096C" w:rsidRDefault="000A6A9B" w:rsidP="00D45A46">
      <w:pPr>
        <w:jc w:val="both"/>
        <w:rPr>
          <w:bCs/>
          <w:color w:val="002060"/>
          <w:sz w:val="16"/>
          <w:szCs w:val="16"/>
          <w:lang w:bidi="en-US"/>
        </w:rPr>
      </w:pPr>
    </w:p>
    <w:p w14:paraId="0281D396" w14:textId="77777777" w:rsidR="00DE1802" w:rsidRPr="00DE096C" w:rsidRDefault="00DE1802" w:rsidP="00D45A46">
      <w:pPr>
        <w:shd w:val="clear" w:color="auto" w:fill="FFFFFF"/>
        <w:jc w:val="both"/>
        <w:rPr>
          <w:bCs/>
          <w:i/>
          <w:color w:val="002060"/>
          <w:sz w:val="16"/>
          <w:szCs w:val="16"/>
        </w:rPr>
      </w:pPr>
      <w:r w:rsidRPr="00DE096C">
        <w:rPr>
          <w:bCs/>
          <w:i/>
          <w:color w:val="002060"/>
          <w:sz w:val="16"/>
          <w:szCs w:val="16"/>
        </w:rPr>
        <w:t>Авиация:</w:t>
      </w:r>
    </w:p>
    <w:p w14:paraId="499EE1C8" w14:textId="77777777" w:rsidR="00DE1802" w:rsidRPr="00DE096C" w:rsidRDefault="00DE1802" w:rsidP="00D45A46">
      <w:pPr>
        <w:shd w:val="clear" w:color="auto" w:fill="FFFFFF"/>
        <w:jc w:val="both"/>
        <w:rPr>
          <w:bCs/>
          <w:i/>
          <w:color w:val="002060"/>
          <w:sz w:val="16"/>
          <w:szCs w:val="16"/>
        </w:rPr>
      </w:pPr>
    </w:p>
    <w:p w14:paraId="6F4889A7" w14:textId="3244BBE7" w:rsidR="00DE1802" w:rsidRPr="00DE096C" w:rsidRDefault="00DE1802" w:rsidP="00D45A46">
      <w:pPr>
        <w:pStyle w:val="2"/>
        <w:spacing w:before="0" w:after="0"/>
        <w:jc w:val="both"/>
        <w:rPr>
          <w:b w:val="0"/>
          <w:bCs/>
          <w:color w:val="002060"/>
          <w:sz w:val="16"/>
          <w:szCs w:val="16"/>
        </w:rPr>
      </w:pPr>
      <w:r w:rsidRPr="00DE096C">
        <w:rPr>
          <w:b w:val="0"/>
          <w:bCs/>
          <w:color w:val="002060"/>
          <w:sz w:val="16"/>
          <w:szCs w:val="16"/>
        </w:rPr>
        <w:t xml:space="preserve">9 </w:t>
      </w:r>
      <w:r w:rsidR="005A6700" w:rsidRPr="00DE096C">
        <w:rPr>
          <w:b w:val="0"/>
          <w:bCs/>
          <w:color w:val="002060"/>
          <w:sz w:val="16"/>
          <w:szCs w:val="16"/>
        </w:rPr>
        <w:t xml:space="preserve">(22) </w:t>
      </w:r>
      <w:r w:rsidRPr="00DE096C">
        <w:rPr>
          <w:b w:val="0"/>
          <w:bCs/>
          <w:color w:val="002060"/>
          <w:sz w:val="16"/>
          <w:szCs w:val="16"/>
        </w:rPr>
        <w:t xml:space="preserve">мая 1914 </w:t>
      </w:r>
      <w:r w:rsidR="005A6700" w:rsidRPr="00DE096C">
        <w:rPr>
          <w:b w:val="0"/>
          <w:bCs/>
          <w:color w:val="002060"/>
          <w:sz w:val="16"/>
          <w:szCs w:val="16"/>
        </w:rPr>
        <w:t xml:space="preserve">г. </w:t>
      </w:r>
      <w:r w:rsidRPr="00DE096C">
        <w:rPr>
          <w:b w:val="0"/>
          <w:bCs/>
          <w:color w:val="002060"/>
          <w:sz w:val="16"/>
          <w:szCs w:val="16"/>
        </w:rPr>
        <w:t>в Петербурге на авианеделе Пегу в присутствии 50-тысячной толпы в течение получаса выполнил 37 мертвых петель, показал «воздушную мельницу», скольжения на крыло и на хвост и другие фигуры.</w:t>
      </w:r>
    </w:p>
    <w:p w14:paraId="4CD5ADE6" w14:textId="77777777" w:rsidR="00DE1802" w:rsidRPr="00DE096C" w:rsidRDefault="00DE1802" w:rsidP="00D45A46">
      <w:pPr>
        <w:pStyle w:val="2"/>
        <w:spacing w:before="0" w:after="0"/>
        <w:jc w:val="both"/>
        <w:rPr>
          <w:b w:val="0"/>
          <w:bCs/>
          <w:color w:val="002060"/>
          <w:sz w:val="16"/>
          <w:szCs w:val="16"/>
        </w:rPr>
      </w:pPr>
      <w:r w:rsidRPr="00DE096C">
        <w:rPr>
          <w:b w:val="0"/>
          <w:bCs/>
          <w:color w:val="002060"/>
          <w:sz w:val="16"/>
          <w:szCs w:val="16"/>
        </w:rPr>
        <w:t>Пегу рассказывал, что «для меня важны не мертвые петли, не упражнения; у меня в крови авиация, и когда я на воздухе, тогда только чувствую себя дома. Воздух, ветер и птицы — моя семья.» Любопытно, что Пегу стал пилотом после трех полетов пассажиром и всего восьми 10-минутных уроков в авиашколе в Лионе. Бенефис акробатических полетов удался на славу, «все участники недели показали публике, что авиатор теперь полный хозяин своей машины, а не игрушка в руках ветра и мотора.» Самым важным итогом, конечно, оказалось понимание того, что акробатика — это не удел нескольких отчаянных храбрецов, а стала доступна всем квалифицированным пилотам. Отчет завершался следующими словами: «То, что раньше было мечтой и казалось сном, теперь мы увидели наяву.» (15464).</w:t>
      </w:r>
    </w:p>
    <w:p w14:paraId="3C7D2F7D" w14:textId="77777777" w:rsidR="00DE1802" w:rsidRPr="00DE096C" w:rsidRDefault="00DE1802" w:rsidP="00D45A46">
      <w:pPr>
        <w:pStyle w:val="2"/>
        <w:spacing w:before="0" w:after="0"/>
        <w:jc w:val="both"/>
        <w:rPr>
          <w:b w:val="0"/>
          <w:bCs/>
          <w:color w:val="002060"/>
          <w:sz w:val="16"/>
          <w:szCs w:val="16"/>
        </w:rPr>
      </w:pPr>
    </w:p>
    <w:p w14:paraId="0759FB14" w14:textId="6D2E820F" w:rsidR="000A6A9B" w:rsidRPr="00DE096C" w:rsidRDefault="000A6A9B" w:rsidP="00D45A46">
      <w:pPr>
        <w:shd w:val="clear" w:color="auto" w:fill="FFFFFF"/>
        <w:jc w:val="both"/>
        <w:rPr>
          <w:bCs/>
          <w:i/>
          <w:color w:val="002060"/>
          <w:sz w:val="16"/>
          <w:szCs w:val="16"/>
        </w:rPr>
      </w:pPr>
      <w:r w:rsidRPr="00DE096C">
        <w:rPr>
          <w:bCs/>
          <w:i/>
          <w:color w:val="002060"/>
          <w:sz w:val="16"/>
          <w:szCs w:val="16"/>
        </w:rPr>
        <w:t>Самолетостроение:</w:t>
      </w:r>
    </w:p>
    <w:p w14:paraId="3B32DF3C" w14:textId="77777777" w:rsidR="000A6A9B" w:rsidRPr="00DE096C" w:rsidRDefault="000A6A9B" w:rsidP="00D45A46">
      <w:pPr>
        <w:shd w:val="clear" w:color="auto" w:fill="FFFFFF"/>
        <w:jc w:val="both"/>
        <w:rPr>
          <w:bCs/>
          <w:i/>
          <w:color w:val="002060"/>
          <w:sz w:val="16"/>
          <w:szCs w:val="16"/>
        </w:rPr>
      </w:pPr>
    </w:p>
    <w:p w14:paraId="29AAC8F4" w14:textId="6BDADA66" w:rsidR="000A6A9B" w:rsidRPr="00DE096C" w:rsidRDefault="000A6A9B" w:rsidP="00D45A46">
      <w:pPr>
        <w:jc w:val="both"/>
        <w:rPr>
          <w:bCs/>
          <w:color w:val="002060"/>
          <w:sz w:val="16"/>
          <w:szCs w:val="16"/>
          <w:lang w:bidi="en-US"/>
        </w:rPr>
      </w:pPr>
      <w:r w:rsidRPr="00DE096C">
        <w:rPr>
          <w:bCs/>
          <w:color w:val="002060"/>
          <w:sz w:val="16"/>
          <w:szCs w:val="16"/>
          <w:lang w:bidi="en-US"/>
        </w:rPr>
        <w:t>10 (23) мая 1914 г. Военное министерство России разместило у Р-БВЗ заказ на десять «Илья Муромцев» (ИМ) с полной поставкой к марту 1915 года. Стоимость каждого ИМ составляла около 150 000 рублей. Сикорский предвидел заказ и уже начал производственные планы (23525).</w:t>
      </w:r>
    </w:p>
    <w:p w14:paraId="17EC0F69" w14:textId="77777777" w:rsidR="000A6A9B" w:rsidRPr="00DE096C" w:rsidRDefault="000A6A9B" w:rsidP="00D45A46">
      <w:pPr>
        <w:jc w:val="both"/>
        <w:rPr>
          <w:bCs/>
          <w:color w:val="002060"/>
          <w:sz w:val="16"/>
          <w:szCs w:val="16"/>
          <w:lang w:bidi="en-US"/>
        </w:rPr>
      </w:pPr>
    </w:p>
    <w:p w14:paraId="4D84ADE9" w14:textId="2201D41B" w:rsidR="00AD294D" w:rsidRPr="00DE096C" w:rsidRDefault="00AD294D" w:rsidP="00D45A46">
      <w:pPr>
        <w:shd w:val="clear" w:color="auto" w:fill="FFFFFF"/>
        <w:jc w:val="both"/>
        <w:rPr>
          <w:bCs/>
          <w:i/>
          <w:color w:val="002060"/>
          <w:sz w:val="16"/>
          <w:szCs w:val="16"/>
        </w:rPr>
      </w:pPr>
      <w:r w:rsidRPr="00DE096C">
        <w:rPr>
          <w:bCs/>
          <w:i/>
          <w:color w:val="002060"/>
          <w:sz w:val="16"/>
          <w:szCs w:val="16"/>
        </w:rPr>
        <w:t>Другие оборонные отрасли:</w:t>
      </w:r>
    </w:p>
    <w:p w14:paraId="760654C2" w14:textId="77777777" w:rsidR="00AD294D" w:rsidRPr="00DE096C" w:rsidRDefault="00AD294D" w:rsidP="00D45A46">
      <w:pPr>
        <w:shd w:val="clear" w:color="auto" w:fill="FFFFFF"/>
        <w:jc w:val="both"/>
        <w:rPr>
          <w:bCs/>
          <w:i/>
          <w:color w:val="002060"/>
          <w:sz w:val="16"/>
          <w:szCs w:val="16"/>
        </w:rPr>
      </w:pPr>
    </w:p>
    <w:p w14:paraId="6BEE9D92" w14:textId="230613E7" w:rsidR="00AD294D" w:rsidRPr="00DE096C" w:rsidRDefault="00AD294D" w:rsidP="00D45A46">
      <w:pPr>
        <w:pStyle w:val="af7"/>
        <w:spacing w:line="240" w:lineRule="auto"/>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11 (24) мая 1914 г. Мобилизационный отдел ГУГШ свидетельствовал, и это было до</w:t>
      </w:r>
      <w:r w:rsidRPr="00DE096C">
        <w:rPr>
          <w:rFonts w:ascii="Times New Roman" w:hAnsi="Times New Roman" w:cs="Times New Roman"/>
          <w:bCs/>
          <w:color w:val="002060"/>
          <w:sz w:val="16"/>
          <w:szCs w:val="16"/>
        </w:rPr>
        <w:softHyphen/>
        <w:t>ложено Николаю II, что «недостаток в снарядах продолжает оставаться по-прежнему значительным, особенно для гор</w:t>
      </w:r>
      <w:r w:rsidRPr="00DE096C">
        <w:rPr>
          <w:rFonts w:ascii="Times New Roman" w:hAnsi="Times New Roman" w:cs="Times New Roman"/>
          <w:bCs/>
          <w:color w:val="002060"/>
          <w:sz w:val="16"/>
          <w:szCs w:val="16"/>
        </w:rPr>
        <w:softHyphen/>
        <w:t>ной, гаубичной и тяжелой артиллерии, и может быть попол</w:t>
      </w:r>
      <w:r w:rsidRPr="00DE096C">
        <w:rPr>
          <w:rFonts w:ascii="Times New Roman" w:hAnsi="Times New Roman" w:cs="Times New Roman"/>
          <w:bCs/>
          <w:color w:val="002060"/>
          <w:sz w:val="16"/>
          <w:szCs w:val="16"/>
        </w:rPr>
        <w:softHyphen/>
        <w:t>нен не ранее конца 1915 года». Снарядов со взрывателями в парках и на складах приходилось на каждое 3-дюймовое ору</w:t>
      </w:r>
      <w:r w:rsidRPr="00DE096C">
        <w:rPr>
          <w:rFonts w:ascii="Times New Roman" w:hAnsi="Times New Roman" w:cs="Times New Roman"/>
          <w:bCs/>
          <w:color w:val="002060"/>
          <w:sz w:val="16"/>
          <w:szCs w:val="16"/>
        </w:rPr>
        <w:softHyphen/>
        <w:t>дие уже не 12 (тротиловых), а 19, на 48-линейное (то есть 4,8-дюймовое) — не 45, а 82; недоставало 17% винтовочных патронов (</w:t>
      </w:r>
      <w:r w:rsidRPr="00DE096C">
        <w:rPr>
          <w:rFonts w:ascii="Times New Roman" w:hAnsi="Times New Roman" w:cs="Times New Roman"/>
          <w:bCs/>
          <w:color w:val="002060"/>
          <w:sz w:val="16"/>
          <w:szCs w:val="16"/>
          <w:lang w:eastAsia="ru-RU" w:bidi="ru-RU"/>
        </w:rPr>
        <w:t xml:space="preserve">Редигер А. История моей жизни. М., 1999. Т. 2. С. 359—361.; РГВИА. Ф. 962. Оп. 2. Д. 87. Л. 116—120. Докладная записка по ГУГШ военному министру «О состоянии неприкосновенных запасов в армии к 1 января 1914 г.», </w:t>
      </w:r>
      <w:r w:rsidRPr="00DE096C">
        <w:rPr>
          <w:rFonts w:ascii="Times New Roman" w:hAnsi="Times New Roman" w:cs="Times New Roman"/>
          <w:bCs/>
          <w:color w:val="002060"/>
          <w:sz w:val="16"/>
          <w:szCs w:val="16"/>
          <w:lang w:bidi="en-US"/>
        </w:rPr>
        <w:t>11.</w:t>
      </w:r>
      <w:r w:rsidRPr="00DE096C">
        <w:rPr>
          <w:rFonts w:ascii="Times New Roman" w:hAnsi="Times New Roman" w:cs="Times New Roman"/>
          <w:bCs/>
          <w:color w:val="002060"/>
          <w:sz w:val="16"/>
          <w:szCs w:val="16"/>
          <w:lang w:val="en-US" w:bidi="en-US"/>
        </w:rPr>
        <w:t>V</w:t>
      </w:r>
      <w:r w:rsidRPr="00DE096C">
        <w:rPr>
          <w:rFonts w:ascii="Times New Roman" w:hAnsi="Times New Roman" w:cs="Times New Roman"/>
          <w:bCs/>
          <w:color w:val="002060"/>
          <w:sz w:val="16"/>
          <w:szCs w:val="16"/>
          <w:lang w:bidi="en-US"/>
        </w:rPr>
        <w:t>.1914.</w:t>
      </w:r>
      <w:r w:rsidRPr="00DE096C">
        <w:rPr>
          <w:rFonts w:ascii="Times New Roman" w:hAnsi="Times New Roman" w:cs="Times New Roman"/>
          <w:bCs/>
          <w:color w:val="002060"/>
          <w:sz w:val="16"/>
          <w:szCs w:val="16"/>
        </w:rPr>
        <w:t>). Восполнить недостатки ГАУ обещало по патро</w:t>
      </w:r>
      <w:r w:rsidRPr="00DE096C">
        <w:rPr>
          <w:rFonts w:ascii="Times New Roman" w:hAnsi="Times New Roman" w:cs="Times New Roman"/>
          <w:bCs/>
          <w:color w:val="002060"/>
          <w:sz w:val="16"/>
          <w:szCs w:val="16"/>
        </w:rPr>
        <w:softHyphen/>
        <w:t>нам — «в первой половине 1915 г.», по снарядам, как и по новым ружейным прицелам, — «не ранее конца 1915 г.», по упряжи для двуколок — «в 1915—1916 гг.». Но следовало еще делать «поправку по крайней мере на полгода в большую сторону»: ряд прежних обещаний 1913 г. ГАУ не исполнило «и до сего времени». В целом «недостатки артиллерийского снабжения, по заявлению ГАУ, могут быть пополнены к 1 января 1916 г.», то есть за год до 1917-го (23452).</w:t>
      </w:r>
    </w:p>
    <w:p w14:paraId="3C1FD70F" w14:textId="77777777" w:rsidR="00AD294D" w:rsidRPr="00DE096C" w:rsidRDefault="00AD294D" w:rsidP="00D45A46">
      <w:pPr>
        <w:jc w:val="both"/>
        <w:rPr>
          <w:bCs/>
          <w:color w:val="002060"/>
          <w:sz w:val="16"/>
          <w:szCs w:val="16"/>
          <w:lang w:bidi="ru-RU"/>
        </w:rPr>
      </w:pPr>
    </w:p>
    <w:p w14:paraId="2993AD92" w14:textId="76109A8F"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w:t>
      </w:r>
    </w:p>
    <w:p w14:paraId="217687BE" w14:textId="77777777" w:rsidR="00B67D7C" w:rsidRPr="00DE096C" w:rsidRDefault="00B67D7C" w:rsidP="00D45A46">
      <w:pPr>
        <w:shd w:val="clear" w:color="auto" w:fill="FFFFFF"/>
        <w:jc w:val="both"/>
        <w:rPr>
          <w:bCs/>
          <w:i/>
          <w:color w:val="002060"/>
          <w:sz w:val="16"/>
          <w:szCs w:val="16"/>
        </w:rPr>
      </w:pPr>
    </w:p>
    <w:p w14:paraId="5B42455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11 (24) мая 1914 П.Н.Нестеров перелетел из Киева в Гатчину в один день, покрыв расстояние 1230 км за 7 час.45 мин. летного времени. Перелет был совершен на самолете "Ныопор-4" с механиком Г.М.Нелидовым при трех остановках в пути (Быхов, Витебск, Городок), Наибольшее расстояние без посадки было пройдено на участке Киев-Быхов (430 км). В этом перелете Нестеров использовал сильный попутный ветер. Перелет был выдающимся событием в русской авиа-того времени и произвел большое впечатление на правительст</w:t>
      </w:r>
      <w:r w:rsidRPr="00DE096C">
        <w:rPr>
          <w:bCs/>
          <w:color w:val="002060"/>
          <w:sz w:val="16"/>
          <w:szCs w:val="16"/>
        </w:rPr>
        <w:softHyphen/>
        <w:t>венные крути и общественность ("Киевлянин</w:t>
      </w:r>
      <w:r w:rsidRPr="00DE096C">
        <w:rPr>
          <w:bCs/>
          <w:color w:val="002060"/>
          <w:sz w:val="16"/>
          <w:szCs w:val="16"/>
          <w:vertAlign w:val="superscript"/>
        </w:rPr>
        <w:t>11</w:t>
      </w:r>
      <w:r w:rsidRPr="00DE096C">
        <w:rPr>
          <w:bCs/>
          <w:color w:val="002060"/>
          <w:sz w:val="16"/>
          <w:szCs w:val="16"/>
        </w:rPr>
        <w:t xml:space="preserve"> и "Петербургская газета". 1914 г. 12,13,14 мая; "Аэро". 1914 г.).</w:t>
      </w:r>
    </w:p>
    <w:p w14:paraId="186BC340" w14:textId="77777777" w:rsidR="00B67D7C" w:rsidRPr="00DE096C" w:rsidRDefault="00B67D7C" w:rsidP="00D45A46">
      <w:pPr>
        <w:shd w:val="clear" w:color="auto" w:fill="FFFFFF"/>
        <w:jc w:val="both"/>
        <w:rPr>
          <w:bCs/>
          <w:color w:val="002060"/>
          <w:sz w:val="16"/>
          <w:szCs w:val="16"/>
        </w:rPr>
      </w:pPr>
    </w:p>
    <w:p w14:paraId="792E2625" w14:textId="00B7498E" w:rsidR="00B67D7C" w:rsidRPr="00DE096C" w:rsidRDefault="00B67D7C" w:rsidP="00D45A46">
      <w:pPr>
        <w:jc w:val="both"/>
        <w:rPr>
          <w:bCs/>
          <w:color w:val="002060"/>
          <w:sz w:val="16"/>
          <w:szCs w:val="16"/>
        </w:rPr>
      </w:pPr>
      <w:r w:rsidRPr="00DE096C">
        <w:rPr>
          <w:bCs/>
          <w:color w:val="002060"/>
          <w:sz w:val="16"/>
          <w:szCs w:val="16"/>
        </w:rPr>
        <w:t xml:space="preserve">11 </w:t>
      </w:r>
      <w:r w:rsidR="005A6700" w:rsidRPr="00DE096C">
        <w:rPr>
          <w:bCs/>
          <w:color w:val="002060"/>
          <w:sz w:val="16"/>
          <w:szCs w:val="16"/>
        </w:rPr>
        <w:t xml:space="preserve">(24) </w:t>
      </w:r>
      <w:r w:rsidRPr="00DE096C">
        <w:rPr>
          <w:bCs/>
          <w:color w:val="002060"/>
          <w:sz w:val="16"/>
          <w:szCs w:val="16"/>
        </w:rPr>
        <w:t xml:space="preserve">мая 1914 года в 21 час 35 минут дежурный по Гатчинскому аэродрому заметил снижающийся самолет, хотя у него не было о нем никаких предварительных сведений. Подоспевшие офицеры и солдаты сразу же узнали бывшего выпускника авиационного отдела штабс-капитана Нестерова и механика Геннадия Нелидова, которого Петр Николаевич перевел в свой 11-й корпусной авиаотряд в Киев. Ими был осуществлен знаменитый перелет Киев — Гатчина протяженностью в 1150 км. Поднявшись на моноплане «ньюпор» с Сырецкого аэродрома, восточнее Святошина, они совершили три промежуточные посадки, находились в пути 18 часов, а в полете 7 часов 45 минут, развив среднюю скорость около 150 км/ч. Это были хорошие показатели не только для русской авиации, но и для зарубежной. Даже бывалые авиаторы удивлялись тогда: «За один день из Киева! Нет, это невероятно!» </w:t>
      </w:r>
    </w:p>
    <w:p w14:paraId="7A7A469C" w14:textId="77777777" w:rsidR="00B67D7C" w:rsidRPr="00DE096C" w:rsidRDefault="00B67D7C" w:rsidP="00D45A46">
      <w:pPr>
        <w:jc w:val="both"/>
        <w:rPr>
          <w:bCs/>
          <w:color w:val="002060"/>
          <w:sz w:val="16"/>
          <w:szCs w:val="16"/>
        </w:rPr>
      </w:pPr>
      <w:r w:rsidRPr="00DE096C">
        <w:rPr>
          <w:bCs/>
          <w:color w:val="002060"/>
          <w:sz w:val="16"/>
          <w:szCs w:val="16"/>
        </w:rPr>
        <w:t xml:space="preserve">Штаб Киевского военного округа объявил благодарность штабс-капитану П. П. Нестерову. В приказе говорилось: «Утром сего мая начальник 11-го корпусного авиационного отряда шт.-капитан Нестеров вылетел с аэродрома по направлению на Петербург и к [64] вечеру того же дня достиг г. Гатчина. За лихой и умелый перелет благодарю от лица службы шт.-капитана Нестерова. Надеюсь, пример такого перелета возбудит соревнование среди других офицеров 3-й авиационной роты и привьет им сознание, что для успеха дела нужна не только смелость, а также и глубокое понимание и тонкое знание свойств аэроплана и мотора. Этим и силен шт.-капитан Нестеров... </w:t>
      </w:r>
    </w:p>
    <w:p w14:paraId="3FF3C18A" w14:textId="77777777" w:rsidR="00B67D7C" w:rsidRPr="00DE096C" w:rsidRDefault="00B67D7C" w:rsidP="00D45A46">
      <w:pPr>
        <w:jc w:val="both"/>
        <w:rPr>
          <w:bCs/>
          <w:color w:val="002060"/>
          <w:sz w:val="16"/>
          <w:szCs w:val="16"/>
        </w:rPr>
      </w:pPr>
      <w:r w:rsidRPr="00DE096C">
        <w:rPr>
          <w:bCs/>
          <w:color w:val="002060"/>
          <w:sz w:val="16"/>
          <w:szCs w:val="16"/>
        </w:rPr>
        <w:t>Начальник штаба генерал-лейтенант Драгомиров».</w:t>
      </w:r>
    </w:p>
    <w:p w14:paraId="05549025" w14:textId="77777777" w:rsidR="00B67D7C" w:rsidRPr="00DE096C" w:rsidRDefault="00B67D7C" w:rsidP="00D45A46">
      <w:pPr>
        <w:shd w:val="clear" w:color="auto" w:fill="FFFFFF"/>
        <w:jc w:val="both"/>
        <w:rPr>
          <w:bCs/>
          <w:i/>
          <w:color w:val="002060"/>
          <w:sz w:val="16"/>
          <w:szCs w:val="16"/>
        </w:rPr>
      </w:pPr>
    </w:p>
    <w:p w14:paraId="182A9A16" w14:textId="17F4EC0E" w:rsidR="00DE1802" w:rsidRPr="00DE096C" w:rsidRDefault="00DE1802" w:rsidP="00D45A46">
      <w:pPr>
        <w:jc w:val="both"/>
        <w:rPr>
          <w:bCs/>
          <w:color w:val="002060"/>
          <w:sz w:val="16"/>
          <w:szCs w:val="16"/>
        </w:rPr>
      </w:pPr>
      <w:r w:rsidRPr="00DE096C">
        <w:rPr>
          <w:bCs/>
          <w:color w:val="002060"/>
          <w:sz w:val="16"/>
          <w:szCs w:val="16"/>
        </w:rPr>
        <w:t xml:space="preserve">11 </w:t>
      </w:r>
      <w:r w:rsidR="005A6700" w:rsidRPr="00DE096C">
        <w:rPr>
          <w:bCs/>
          <w:color w:val="002060"/>
          <w:sz w:val="16"/>
          <w:szCs w:val="16"/>
        </w:rPr>
        <w:t xml:space="preserve">(24) </w:t>
      </w:r>
      <w:r w:rsidRPr="00DE096C">
        <w:rPr>
          <w:bCs/>
          <w:color w:val="002060"/>
          <w:sz w:val="16"/>
          <w:szCs w:val="16"/>
        </w:rPr>
        <w:t xml:space="preserve">мая в 1914 году </w:t>
      </w:r>
      <w:r w:rsidR="005A6700" w:rsidRPr="00DE096C">
        <w:rPr>
          <w:bCs/>
          <w:color w:val="002060"/>
          <w:sz w:val="16"/>
          <w:szCs w:val="16"/>
        </w:rPr>
        <w:t xml:space="preserve">состоялся </w:t>
      </w:r>
      <w:r w:rsidRPr="00DE096C">
        <w:rPr>
          <w:bCs/>
          <w:color w:val="002060"/>
          <w:sz w:val="16"/>
          <w:szCs w:val="16"/>
        </w:rPr>
        <w:t>перелет Киев - Гатчина (1277 км за 7 час.45 мин. летного времени) П.Н.Нестерова с механиком Г.М.Нелидовым на «Ньюпоре-IV» (14888).</w:t>
      </w:r>
    </w:p>
    <w:p w14:paraId="3565EBC6" w14:textId="77777777" w:rsidR="00DE1802" w:rsidRPr="00DE096C" w:rsidRDefault="00DE1802" w:rsidP="00D45A46">
      <w:pPr>
        <w:jc w:val="both"/>
        <w:rPr>
          <w:bCs/>
          <w:color w:val="002060"/>
          <w:sz w:val="16"/>
          <w:szCs w:val="16"/>
        </w:rPr>
      </w:pPr>
    </w:p>
    <w:p w14:paraId="0235EF24" w14:textId="2B039829" w:rsidR="000A6A9B" w:rsidRPr="00DE096C" w:rsidRDefault="000A6A9B" w:rsidP="00D45A46">
      <w:pPr>
        <w:jc w:val="both"/>
        <w:rPr>
          <w:bCs/>
          <w:color w:val="002060"/>
          <w:sz w:val="16"/>
          <w:szCs w:val="16"/>
          <w:lang w:bidi="en-US"/>
        </w:rPr>
      </w:pPr>
      <w:r w:rsidRPr="00DE096C">
        <w:rPr>
          <w:bCs/>
          <w:color w:val="002060"/>
          <w:sz w:val="16"/>
          <w:szCs w:val="16"/>
          <w:lang w:bidi="en-US"/>
        </w:rPr>
        <w:t xml:space="preserve">11 (24) мая 1914 г. военный летчик Штабс Капитан П.Н. Нестеров совершил на самолете «Ньюпор </w:t>
      </w:r>
      <w:r w:rsidRPr="00DE096C">
        <w:rPr>
          <w:bCs/>
          <w:color w:val="002060"/>
          <w:sz w:val="16"/>
          <w:szCs w:val="16"/>
          <w:lang w:val="en-US" w:bidi="en-US"/>
        </w:rPr>
        <w:t>IV</w:t>
      </w:r>
      <w:r w:rsidRPr="00DE096C">
        <w:rPr>
          <w:bCs/>
          <w:color w:val="002060"/>
          <w:sz w:val="16"/>
          <w:szCs w:val="16"/>
          <w:lang w:bidi="en-US"/>
        </w:rPr>
        <w:t>» перелет из Киева в Гатчину протяженностью 1000 км с двумя остановками в пути. Нестеров был очень опытным пилотом и вскоре стал одним из первых героев русской авиации (23525).</w:t>
      </w:r>
    </w:p>
    <w:p w14:paraId="6A23E3C2" w14:textId="77777777" w:rsidR="000A6A9B" w:rsidRPr="00DE096C" w:rsidRDefault="000A6A9B" w:rsidP="00D45A46">
      <w:pPr>
        <w:jc w:val="both"/>
        <w:rPr>
          <w:bCs/>
          <w:color w:val="002060"/>
          <w:sz w:val="16"/>
          <w:szCs w:val="16"/>
        </w:rPr>
      </w:pPr>
    </w:p>
    <w:p w14:paraId="2212E419" w14:textId="508FE4A5" w:rsidR="00DE1802" w:rsidRPr="00DE096C" w:rsidRDefault="00DE1802" w:rsidP="00D45A46">
      <w:pPr>
        <w:pStyle w:val="2"/>
        <w:spacing w:before="0" w:after="0"/>
        <w:jc w:val="both"/>
        <w:rPr>
          <w:b w:val="0"/>
          <w:bCs/>
          <w:color w:val="002060"/>
          <w:sz w:val="16"/>
          <w:szCs w:val="16"/>
        </w:rPr>
      </w:pPr>
      <w:r w:rsidRPr="00DE096C">
        <w:rPr>
          <w:b w:val="0"/>
          <w:bCs/>
          <w:color w:val="002060"/>
          <w:sz w:val="16"/>
          <w:szCs w:val="16"/>
        </w:rPr>
        <w:t xml:space="preserve">11 </w:t>
      </w:r>
      <w:r w:rsidR="005A6700" w:rsidRPr="00DE096C">
        <w:rPr>
          <w:b w:val="0"/>
          <w:bCs/>
          <w:color w:val="002060"/>
          <w:sz w:val="16"/>
          <w:szCs w:val="16"/>
        </w:rPr>
        <w:t xml:space="preserve">(24) </w:t>
      </w:r>
      <w:r w:rsidRPr="00DE096C">
        <w:rPr>
          <w:b w:val="0"/>
          <w:bCs/>
          <w:color w:val="002060"/>
          <w:sz w:val="16"/>
          <w:szCs w:val="16"/>
        </w:rPr>
        <w:t>мая 1914, пролетев 1277 км за 17 час 55 мин (7 час 45 мин летного времени) в перелете Киев—Старо-Быхов—Витебск—Городок—Гатчина, Нестеров с механиком Г.М.Нелидовым на «Ныопоре-IV» установил Всероссийский рекорд суточной дальности. Затем Нестерова откомандировали в Москву на «Дукс» принимать «Мораны» для отряда. Одновременно с переучиванием на «Моран» летчик на заводе руководил постройкой своего самолета с оригинальным хвостовым оперением и готовился к новому перелету (15464).</w:t>
      </w:r>
    </w:p>
    <w:p w14:paraId="49C54C67" w14:textId="77777777" w:rsidR="00DE1802" w:rsidRPr="00DE096C" w:rsidRDefault="00DE1802" w:rsidP="00D45A46">
      <w:pPr>
        <w:pStyle w:val="2"/>
        <w:spacing w:before="0" w:after="0"/>
        <w:jc w:val="both"/>
        <w:rPr>
          <w:b w:val="0"/>
          <w:bCs/>
          <w:color w:val="002060"/>
          <w:sz w:val="16"/>
          <w:szCs w:val="16"/>
        </w:rPr>
      </w:pPr>
    </w:p>
    <w:p w14:paraId="0324B935" w14:textId="77777777" w:rsidR="00D16F24" w:rsidRPr="00DE096C" w:rsidRDefault="00D16F24" w:rsidP="00D45A46">
      <w:pPr>
        <w:jc w:val="both"/>
        <w:rPr>
          <w:bCs/>
          <w:color w:val="002060"/>
          <w:sz w:val="16"/>
          <w:szCs w:val="16"/>
        </w:rPr>
      </w:pPr>
      <w:r w:rsidRPr="00DE096C">
        <w:rPr>
          <w:bCs/>
          <w:color w:val="002060"/>
          <w:sz w:val="16"/>
          <w:szCs w:val="16"/>
        </w:rPr>
        <w:t>11 (24) мая 1914 г. военный летчик П.Н.Нестеров перелетел из Киева в Гатчину, покрыв в один день расстояние 1230 км за 7 ч.45 минут летного времени. Перелет был совершен на самолете Нбюпор-4 с механиком Г.М.Не</w:t>
      </w:r>
      <w:r w:rsidRPr="00DE096C">
        <w:rPr>
          <w:bCs/>
          <w:color w:val="002060"/>
          <w:sz w:val="16"/>
          <w:szCs w:val="16"/>
        </w:rPr>
        <w:softHyphen/>
        <w:t>дедовым при трех остановках в пути /Быхов, Витебск, Городок/. Наиболь</w:t>
      </w:r>
      <w:r w:rsidRPr="00DE096C">
        <w:rPr>
          <w:bCs/>
          <w:color w:val="002060"/>
          <w:sz w:val="16"/>
          <w:szCs w:val="16"/>
        </w:rPr>
        <w:softHyphen/>
        <w:t>шее расстояние без посадки было пройдена на участке Киев-Быхов /430 км/. Перелет был выдающимся событием в русской авиации и произвел большое впечатление на правительственные круги и общество.</w:t>
      </w:r>
    </w:p>
    <w:p w14:paraId="32E1CD84" w14:textId="77777777" w:rsidR="00D16F24" w:rsidRPr="00DE096C" w:rsidRDefault="00D16F24" w:rsidP="00D45A46">
      <w:pPr>
        <w:jc w:val="both"/>
        <w:rPr>
          <w:bCs/>
          <w:color w:val="002060"/>
          <w:sz w:val="16"/>
          <w:szCs w:val="16"/>
        </w:rPr>
      </w:pPr>
      <w:r w:rsidRPr="00DE096C">
        <w:rPr>
          <w:bCs/>
          <w:color w:val="002060"/>
          <w:sz w:val="16"/>
          <w:szCs w:val="16"/>
        </w:rPr>
        <w:t>/«Киевлянин» и «Петербургская газета» за 12,13 и 14 мая 1914/ (23320).</w:t>
      </w:r>
    </w:p>
    <w:p w14:paraId="1B9621B1" w14:textId="77777777" w:rsidR="00D16F24" w:rsidRPr="00DE096C" w:rsidRDefault="00D16F24" w:rsidP="00D45A46">
      <w:pPr>
        <w:jc w:val="both"/>
        <w:rPr>
          <w:bCs/>
          <w:color w:val="002060"/>
          <w:sz w:val="16"/>
          <w:szCs w:val="16"/>
        </w:rPr>
      </w:pPr>
    </w:p>
    <w:p w14:paraId="3110E389" w14:textId="77777777" w:rsidR="00DE1802" w:rsidRPr="00DE096C" w:rsidRDefault="00DE1802" w:rsidP="00D45A46">
      <w:pPr>
        <w:jc w:val="both"/>
        <w:rPr>
          <w:bCs/>
          <w:i/>
          <w:color w:val="002060"/>
          <w:sz w:val="16"/>
          <w:szCs w:val="16"/>
        </w:rPr>
      </w:pPr>
      <w:r w:rsidRPr="00DE096C">
        <w:rPr>
          <w:bCs/>
          <w:i/>
          <w:color w:val="002060"/>
          <w:sz w:val="16"/>
          <w:szCs w:val="16"/>
        </w:rPr>
        <w:t>Авиация и воздухоплавание Франции:</w:t>
      </w:r>
    </w:p>
    <w:p w14:paraId="6FF5C99F" w14:textId="77777777" w:rsidR="00DE1802" w:rsidRPr="00DE096C" w:rsidRDefault="00DE1802" w:rsidP="00D45A46">
      <w:pPr>
        <w:jc w:val="both"/>
        <w:rPr>
          <w:bCs/>
          <w:i/>
          <w:color w:val="002060"/>
          <w:sz w:val="16"/>
          <w:szCs w:val="16"/>
        </w:rPr>
      </w:pPr>
    </w:p>
    <w:p w14:paraId="4344C436" w14:textId="77777777" w:rsidR="00DE1802" w:rsidRPr="00DE096C" w:rsidRDefault="00DE1802" w:rsidP="00D45A46">
      <w:pPr>
        <w:jc w:val="both"/>
        <w:rPr>
          <w:bCs/>
          <w:color w:val="002060"/>
          <w:sz w:val="16"/>
          <w:szCs w:val="16"/>
        </w:rPr>
      </w:pPr>
      <w:r w:rsidRPr="00DE096C">
        <w:rPr>
          <w:bCs/>
          <w:color w:val="002060"/>
          <w:sz w:val="16"/>
          <w:szCs w:val="16"/>
        </w:rPr>
        <w:t xml:space="preserve">11 (24) мая в 1914 году летчик Гаро на аэроплане </w:t>
      </w:r>
      <w:hyperlink r:id="rId13" w:tgtFrame="_blank" w:history="1">
        <w:r w:rsidRPr="00DE096C">
          <w:rPr>
            <w:bCs/>
            <w:color w:val="002060"/>
            <w:sz w:val="16"/>
            <w:szCs w:val="16"/>
          </w:rPr>
          <w:t xml:space="preserve">«Шмитт №7» </w:t>
        </w:r>
      </w:hyperlink>
      <w:r w:rsidRPr="00DE096C">
        <w:rPr>
          <w:bCs/>
          <w:color w:val="002060"/>
          <w:sz w:val="16"/>
          <w:szCs w:val="16"/>
        </w:rPr>
        <w:t>установил рекорд дальности полета с тремя пассажирами - 67 км (14901).</w:t>
      </w:r>
    </w:p>
    <w:p w14:paraId="40281160" w14:textId="77777777" w:rsidR="00DE1802" w:rsidRPr="00DE096C" w:rsidRDefault="00DE1802" w:rsidP="00D45A46">
      <w:pPr>
        <w:jc w:val="both"/>
        <w:rPr>
          <w:bCs/>
          <w:color w:val="002060"/>
          <w:sz w:val="16"/>
          <w:szCs w:val="16"/>
        </w:rPr>
      </w:pPr>
    </w:p>
    <w:p w14:paraId="36786AD5" w14:textId="77777777" w:rsidR="00D741CB" w:rsidRPr="00DE096C" w:rsidRDefault="00D741CB" w:rsidP="00D45A46">
      <w:pPr>
        <w:jc w:val="both"/>
        <w:rPr>
          <w:bCs/>
          <w:color w:val="002060"/>
          <w:sz w:val="16"/>
          <w:szCs w:val="16"/>
        </w:rPr>
      </w:pPr>
      <w:r w:rsidRPr="00DE096C">
        <w:rPr>
          <w:bCs/>
          <w:color w:val="002060"/>
          <w:sz w:val="16"/>
          <w:szCs w:val="16"/>
        </w:rPr>
        <w:t>11 (24) мая 1914 - Летчик Гаро (Roland Garros) на аэроплане Шмитта No.7 установил рекорд дальности полета с тремя пассажирами - 67 км (22491).</w:t>
      </w:r>
    </w:p>
    <w:p w14:paraId="44A75155" w14:textId="77777777" w:rsidR="00D741CB" w:rsidRPr="00DE096C" w:rsidRDefault="00D741CB" w:rsidP="00D45A46">
      <w:pPr>
        <w:jc w:val="both"/>
        <w:rPr>
          <w:bCs/>
          <w:color w:val="002060"/>
          <w:sz w:val="16"/>
          <w:szCs w:val="16"/>
        </w:rPr>
      </w:pPr>
    </w:p>
    <w:p w14:paraId="5C2F6DD5"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22957C0B" w14:textId="77777777" w:rsidR="00B67D7C" w:rsidRPr="00DE096C" w:rsidRDefault="00B67D7C" w:rsidP="00D45A46">
      <w:pPr>
        <w:shd w:val="clear" w:color="auto" w:fill="FFFFFF"/>
        <w:jc w:val="both"/>
        <w:rPr>
          <w:bCs/>
          <w:i/>
          <w:color w:val="002060"/>
          <w:sz w:val="16"/>
          <w:szCs w:val="16"/>
        </w:rPr>
      </w:pPr>
    </w:p>
    <w:p w14:paraId="445DE3DB" w14:textId="4E7AE29F" w:rsidR="005A6700" w:rsidRPr="00DE096C" w:rsidRDefault="005A6700" w:rsidP="00D45A46">
      <w:pPr>
        <w:shd w:val="clear" w:color="auto" w:fill="FFFFFF"/>
        <w:jc w:val="both"/>
        <w:rPr>
          <w:bCs/>
          <w:color w:val="002060"/>
          <w:sz w:val="16"/>
          <w:szCs w:val="16"/>
        </w:rPr>
      </w:pPr>
      <w:r w:rsidRPr="00DE096C">
        <w:rPr>
          <w:bCs/>
          <w:color w:val="002060"/>
          <w:sz w:val="16"/>
          <w:szCs w:val="16"/>
        </w:rPr>
        <w:t>12 (25) мая 1914 г. Командующий морскими силами Балтийского моря при отношении за №940 препроводил в Морской генераль</w:t>
      </w:r>
      <w:r w:rsidRPr="00DE096C">
        <w:rPr>
          <w:bCs/>
          <w:color w:val="002060"/>
          <w:sz w:val="16"/>
          <w:szCs w:val="16"/>
        </w:rPr>
        <w:softHyphen/>
        <w:t>ный штаб одоб</w:t>
      </w:r>
      <w:r w:rsidRPr="00DE096C">
        <w:rPr>
          <w:bCs/>
          <w:color w:val="002060"/>
          <w:sz w:val="16"/>
          <w:szCs w:val="16"/>
        </w:rPr>
        <w:softHyphen/>
        <w:t>ренные им журналы авиационного комитета службы Балтийского моря за № 1, 2 и 3 (заседания в период с 29 апреля по 6 мая).</w:t>
      </w:r>
    </w:p>
    <w:p w14:paraId="60FB18F4" w14:textId="77777777" w:rsidR="005A6700" w:rsidRPr="00DE096C" w:rsidRDefault="005A6700" w:rsidP="00D45A46">
      <w:pPr>
        <w:pStyle w:val="a4"/>
        <w:spacing w:before="0" w:after="0"/>
        <w:jc w:val="both"/>
        <w:rPr>
          <w:bCs/>
          <w:color w:val="002060"/>
          <w:sz w:val="16"/>
          <w:szCs w:val="16"/>
        </w:rPr>
      </w:pPr>
      <w:r w:rsidRPr="00DE096C">
        <w:rPr>
          <w:bCs/>
          <w:color w:val="002060"/>
          <w:sz w:val="16"/>
          <w:szCs w:val="16"/>
        </w:rPr>
        <w:t>Используя их, начальник Морс</w:t>
      </w:r>
      <w:r w:rsidRPr="00DE096C">
        <w:rPr>
          <w:bCs/>
          <w:color w:val="002060"/>
          <w:sz w:val="16"/>
          <w:szCs w:val="16"/>
        </w:rPr>
        <w:softHyphen/>
        <w:t>кого генерального штаба вице-ад</w:t>
      </w:r>
      <w:r w:rsidRPr="00DE096C">
        <w:rPr>
          <w:bCs/>
          <w:color w:val="002060"/>
          <w:sz w:val="16"/>
          <w:szCs w:val="16"/>
        </w:rPr>
        <w:softHyphen/>
        <w:t>мирал А.И.Русин 15 мая 1914 г. представил доклад морскому мини</w:t>
      </w:r>
      <w:r w:rsidRPr="00DE096C">
        <w:rPr>
          <w:bCs/>
          <w:color w:val="002060"/>
          <w:sz w:val="16"/>
          <w:szCs w:val="16"/>
        </w:rPr>
        <w:softHyphen/>
        <w:t>стру, из которого следовало, что имеемые в настоящее время на станции гидроаэропланы не удов</w:t>
      </w:r>
      <w:r w:rsidRPr="00DE096C">
        <w:rPr>
          <w:bCs/>
          <w:color w:val="002060"/>
          <w:sz w:val="16"/>
          <w:szCs w:val="16"/>
        </w:rPr>
        <w:softHyphen/>
        <w:t>летворяют предъявляемым им тре</w:t>
      </w:r>
      <w:r w:rsidRPr="00DE096C">
        <w:rPr>
          <w:bCs/>
          <w:color w:val="002060"/>
          <w:sz w:val="16"/>
          <w:szCs w:val="16"/>
        </w:rPr>
        <w:softHyphen/>
        <w:t>бованиям: «В состав станции в на</w:t>
      </w:r>
      <w:r w:rsidRPr="00DE096C">
        <w:rPr>
          <w:bCs/>
          <w:color w:val="002060"/>
          <w:sz w:val="16"/>
          <w:szCs w:val="16"/>
        </w:rPr>
        <w:softHyphen/>
        <w:t>стоящее время входят пять аппара</w:t>
      </w:r>
      <w:r w:rsidRPr="00DE096C">
        <w:rPr>
          <w:bCs/>
          <w:color w:val="002060"/>
          <w:sz w:val="16"/>
          <w:szCs w:val="16"/>
        </w:rPr>
        <w:softHyphen/>
        <w:t>тов типа «Сикорский 10». По пово</w:t>
      </w:r>
      <w:r w:rsidRPr="00DE096C">
        <w:rPr>
          <w:bCs/>
          <w:color w:val="002060"/>
          <w:sz w:val="16"/>
          <w:szCs w:val="16"/>
        </w:rPr>
        <w:softHyphen/>
        <w:t>ду этих аппаратов следует отметить следующее. В прошлом (1913) году при заказе аппаратов ни один из заграничных гидроаэропланов не дал удовлетворительных результа</w:t>
      </w:r>
      <w:r w:rsidRPr="00DE096C">
        <w:rPr>
          <w:bCs/>
          <w:color w:val="002060"/>
          <w:sz w:val="16"/>
          <w:szCs w:val="16"/>
        </w:rPr>
        <w:softHyphen/>
        <w:t>тов и они представляли из себя не что иное, как аэропланы, постав</w:t>
      </w:r>
      <w:r w:rsidRPr="00DE096C">
        <w:rPr>
          <w:bCs/>
          <w:color w:val="002060"/>
          <w:sz w:val="16"/>
          <w:szCs w:val="16"/>
        </w:rPr>
        <w:softHyphen/>
        <w:t>ленные на поплавки. Между тем сухопутные аппараты типа «Сикор</w:t>
      </w:r>
      <w:r w:rsidRPr="00DE096C">
        <w:rPr>
          <w:bCs/>
          <w:color w:val="002060"/>
          <w:sz w:val="16"/>
          <w:szCs w:val="16"/>
        </w:rPr>
        <w:softHyphen/>
        <w:t>ский 10» дали отличные результаты и постановка их на поплавки явля</w:t>
      </w:r>
      <w:r w:rsidRPr="00DE096C">
        <w:rPr>
          <w:bCs/>
          <w:color w:val="002060"/>
          <w:sz w:val="16"/>
          <w:szCs w:val="16"/>
        </w:rPr>
        <w:softHyphen/>
        <w:t>лась в то время естественной эво</w:t>
      </w:r>
      <w:r w:rsidRPr="00DE096C">
        <w:rPr>
          <w:bCs/>
          <w:color w:val="002060"/>
          <w:sz w:val="16"/>
          <w:szCs w:val="16"/>
        </w:rPr>
        <w:softHyphen/>
        <w:t>люцией при переходе на тип морс</w:t>
      </w:r>
      <w:r w:rsidRPr="00DE096C">
        <w:rPr>
          <w:bCs/>
          <w:color w:val="002060"/>
          <w:sz w:val="16"/>
          <w:szCs w:val="16"/>
        </w:rPr>
        <w:softHyphen/>
        <w:t xml:space="preserve">кого </w:t>
      </w:r>
      <w:r w:rsidRPr="00DE096C">
        <w:rPr>
          <w:bCs/>
          <w:color w:val="002060"/>
          <w:sz w:val="16"/>
          <w:szCs w:val="16"/>
        </w:rPr>
        <w:lastRenderedPageBreak/>
        <w:t>аппарата. Выбором русского аппарата было стремление заста</w:t>
      </w:r>
      <w:r w:rsidRPr="00DE096C">
        <w:rPr>
          <w:bCs/>
          <w:color w:val="002060"/>
          <w:sz w:val="16"/>
          <w:szCs w:val="16"/>
        </w:rPr>
        <w:softHyphen/>
        <w:t>вить нашу промышленность к дальнейшим работам по усовершен</w:t>
      </w:r>
      <w:r w:rsidRPr="00DE096C">
        <w:rPr>
          <w:bCs/>
          <w:color w:val="002060"/>
          <w:sz w:val="16"/>
          <w:szCs w:val="16"/>
        </w:rPr>
        <w:softHyphen/>
        <w:t>ствованию гидроаэропланов. К со</w:t>
      </w:r>
      <w:r w:rsidRPr="00DE096C">
        <w:rPr>
          <w:bCs/>
          <w:color w:val="002060"/>
          <w:sz w:val="16"/>
          <w:szCs w:val="16"/>
        </w:rPr>
        <w:softHyphen/>
        <w:t>жалению, эта мера не достигла желаемой цели, так как в это время за границей (особенно в Англии) техника неукоснительно работает над развитием морского типа ле</w:t>
      </w:r>
      <w:r w:rsidRPr="00DE096C">
        <w:rPr>
          <w:bCs/>
          <w:color w:val="002060"/>
          <w:sz w:val="16"/>
          <w:szCs w:val="16"/>
        </w:rPr>
        <w:softHyphen/>
        <w:t>тательного аппарата, а наши за</w:t>
      </w:r>
      <w:r w:rsidRPr="00DE096C">
        <w:rPr>
          <w:bCs/>
          <w:color w:val="002060"/>
          <w:sz w:val="16"/>
          <w:szCs w:val="16"/>
        </w:rPr>
        <w:softHyphen/>
        <w:t>воды в этом направлении ровно ничего не сделали. Кроме пяти ап</w:t>
      </w:r>
      <w:r w:rsidRPr="00DE096C">
        <w:rPr>
          <w:bCs/>
          <w:color w:val="002060"/>
          <w:sz w:val="16"/>
          <w:szCs w:val="16"/>
        </w:rPr>
        <w:softHyphen/>
        <w:t>паратов типа «С-10» на станции имеется ещё приобретенные для опыта один аппарат типа «А.Фар-ман 16» и одна летающая лодка «Левек». Что касается этих двух ап</w:t>
      </w:r>
      <w:r w:rsidRPr="00DE096C">
        <w:rPr>
          <w:bCs/>
          <w:color w:val="002060"/>
          <w:sz w:val="16"/>
          <w:szCs w:val="16"/>
        </w:rPr>
        <w:softHyphen/>
        <w:t>паратов, то первый из них является уже в известной степени устарев</w:t>
      </w:r>
      <w:r w:rsidRPr="00DE096C">
        <w:rPr>
          <w:bCs/>
          <w:color w:val="002060"/>
          <w:sz w:val="16"/>
          <w:szCs w:val="16"/>
        </w:rPr>
        <w:softHyphen/>
        <w:t>шим, а второй, вследствие трудно</w:t>
      </w:r>
      <w:r w:rsidRPr="00DE096C">
        <w:rPr>
          <w:bCs/>
          <w:color w:val="002060"/>
          <w:sz w:val="16"/>
          <w:szCs w:val="16"/>
        </w:rPr>
        <w:softHyphen/>
        <w:t>сти планирования, опасен для по</w:t>
      </w:r>
      <w:r w:rsidRPr="00DE096C">
        <w:rPr>
          <w:bCs/>
          <w:color w:val="002060"/>
          <w:sz w:val="16"/>
          <w:szCs w:val="16"/>
        </w:rPr>
        <w:softHyphen/>
        <w:t>лётов на большой высоте. Таким образом, из семи, имеемых аппа</w:t>
      </w:r>
      <w:r w:rsidRPr="00DE096C">
        <w:rPr>
          <w:bCs/>
          <w:color w:val="002060"/>
          <w:sz w:val="16"/>
          <w:szCs w:val="16"/>
        </w:rPr>
        <w:softHyphen/>
        <w:t>ратов шесть, вследствие быстрого развития техники, уже подлежат переводу в разряд учебных, а седь</w:t>
      </w:r>
      <w:r w:rsidRPr="00DE096C">
        <w:rPr>
          <w:bCs/>
          <w:color w:val="002060"/>
          <w:sz w:val="16"/>
          <w:szCs w:val="16"/>
        </w:rPr>
        <w:softHyphen/>
        <w:t>мой, как опасный, должен быть в ближайшее время (не позже осени) исключен совсем».</w:t>
      </w:r>
    </w:p>
    <w:p w14:paraId="1BF94506" w14:textId="77777777" w:rsidR="005A6700" w:rsidRPr="00DE096C" w:rsidRDefault="005A6700" w:rsidP="00D45A46">
      <w:pPr>
        <w:shd w:val="clear" w:color="auto" w:fill="FFFFFF"/>
        <w:jc w:val="both"/>
        <w:rPr>
          <w:bCs/>
          <w:color w:val="002060"/>
          <w:sz w:val="16"/>
          <w:szCs w:val="16"/>
        </w:rPr>
      </w:pPr>
      <w:r w:rsidRPr="00DE096C">
        <w:rPr>
          <w:bCs/>
          <w:color w:val="002060"/>
          <w:sz w:val="16"/>
          <w:szCs w:val="16"/>
        </w:rPr>
        <w:t>Доклад начальника Морского генерального штаба содержал так</w:t>
      </w:r>
      <w:r w:rsidRPr="00DE096C">
        <w:rPr>
          <w:bCs/>
          <w:color w:val="002060"/>
          <w:sz w:val="16"/>
          <w:szCs w:val="16"/>
        </w:rPr>
        <w:softHyphen/>
        <w:t>же предложения по отечественным самолётам. В частности, при поло</w:t>
      </w:r>
      <w:r w:rsidRPr="00DE096C">
        <w:rPr>
          <w:bCs/>
          <w:color w:val="002060"/>
          <w:sz w:val="16"/>
          <w:szCs w:val="16"/>
        </w:rPr>
        <w:softHyphen/>
        <w:t>жительных результатах можно было бы заказать для Балтийского флота дополнительно три самолёта «Илья Муромец», а в случае неудачи с ними закупить за границей ещё семь самолётов. Стремление приобрес</w:t>
      </w:r>
      <w:r w:rsidRPr="00DE096C">
        <w:rPr>
          <w:bCs/>
          <w:color w:val="002060"/>
          <w:sz w:val="16"/>
          <w:szCs w:val="16"/>
        </w:rPr>
        <w:softHyphen/>
        <w:t>ти самолёты за границей для Бал</w:t>
      </w:r>
      <w:r w:rsidRPr="00DE096C">
        <w:rPr>
          <w:bCs/>
          <w:color w:val="002060"/>
          <w:sz w:val="16"/>
          <w:szCs w:val="16"/>
        </w:rPr>
        <w:softHyphen/>
        <w:t>тийского флота диктовалось удру</w:t>
      </w:r>
      <w:r w:rsidRPr="00DE096C">
        <w:rPr>
          <w:bCs/>
          <w:color w:val="002060"/>
          <w:sz w:val="16"/>
          <w:szCs w:val="16"/>
        </w:rPr>
        <w:softHyphen/>
        <w:t>чающим состоянием его самолёт</w:t>
      </w:r>
      <w:r w:rsidRPr="00DE096C">
        <w:rPr>
          <w:bCs/>
          <w:color w:val="002060"/>
          <w:sz w:val="16"/>
          <w:szCs w:val="16"/>
        </w:rPr>
        <w:softHyphen/>
        <w:t>ного парка и сложностью укомплек</w:t>
      </w:r>
      <w:r w:rsidRPr="00DE096C">
        <w:rPr>
          <w:bCs/>
          <w:color w:val="002060"/>
          <w:sz w:val="16"/>
          <w:szCs w:val="16"/>
        </w:rPr>
        <w:softHyphen/>
        <w:t>тования авиационных отрядов. Наи</w:t>
      </w:r>
      <w:r w:rsidRPr="00DE096C">
        <w:rPr>
          <w:bCs/>
          <w:color w:val="002060"/>
          <w:sz w:val="16"/>
          <w:szCs w:val="16"/>
        </w:rPr>
        <w:softHyphen/>
        <w:t>более отвечающими оперативным и техническим требованиям для разведки посчитали гидросамолёт «Авро и Шорт», а для боевых целей - гидросамолёты «Шорт» и «Виккерс». «Сверх указанных типов же</w:t>
      </w:r>
      <w:r w:rsidRPr="00DE096C">
        <w:rPr>
          <w:bCs/>
          <w:color w:val="002060"/>
          <w:sz w:val="16"/>
          <w:szCs w:val="16"/>
        </w:rPr>
        <w:softHyphen/>
        <w:t>лательно было бы иметь на станци</w:t>
      </w:r>
      <w:r w:rsidRPr="00DE096C">
        <w:rPr>
          <w:bCs/>
          <w:color w:val="002060"/>
          <w:sz w:val="16"/>
          <w:szCs w:val="16"/>
        </w:rPr>
        <w:softHyphen/>
        <w:t>ях одноместные гидроаэропланы, хотя и не вполне отвечающих опе</w:t>
      </w:r>
      <w:r w:rsidRPr="00DE096C">
        <w:rPr>
          <w:bCs/>
          <w:color w:val="002060"/>
          <w:sz w:val="16"/>
          <w:szCs w:val="16"/>
        </w:rPr>
        <w:softHyphen/>
        <w:t>ративным заданиям, но способные совершать полёты в свежий ветер. Таким аппаратами являются моно</w:t>
      </w:r>
      <w:r w:rsidRPr="00DE096C">
        <w:rPr>
          <w:bCs/>
          <w:color w:val="002060"/>
          <w:sz w:val="16"/>
          <w:szCs w:val="16"/>
        </w:rPr>
        <w:softHyphen/>
        <w:t>планы «Моран-Сольнье». Кроме того высказывалось пожелание для испытания и изучения приобрести два гидросамолёта «Кодрон».</w:t>
      </w:r>
    </w:p>
    <w:p w14:paraId="44D9BEBC" w14:textId="77777777" w:rsidR="005A6700" w:rsidRPr="00DE096C" w:rsidRDefault="005A6700" w:rsidP="00D45A46">
      <w:pPr>
        <w:shd w:val="clear" w:color="auto" w:fill="FFFFFF"/>
        <w:jc w:val="both"/>
        <w:rPr>
          <w:bCs/>
          <w:color w:val="002060"/>
          <w:sz w:val="16"/>
          <w:szCs w:val="16"/>
        </w:rPr>
      </w:pPr>
      <w:r w:rsidRPr="00DE096C">
        <w:rPr>
          <w:bCs/>
          <w:color w:val="002060"/>
          <w:sz w:val="16"/>
          <w:szCs w:val="16"/>
        </w:rPr>
        <w:t>И вновь, 21 мая 1914 г. предста</w:t>
      </w:r>
      <w:r w:rsidRPr="00DE096C">
        <w:rPr>
          <w:bCs/>
          <w:color w:val="002060"/>
          <w:sz w:val="16"/>
          <w:szCs w:val="16"/>
        </w:rPr>
        <w:softHyphen/>
        <w:t>вители Балтийского флота (испол</w:t>
      </w:r>
      <w:r w:rsidRPr="00DE096C">
        <w:rPr>
          <w:bCs/>
          <w:color w:val="002060"/>
          <w:sz w:val="16"/>
          <w:szCs w:val="16"/>
        </w:rPr>
        <w:softHyphen/>
        <w:t>няющий должность начальника авиационной станции в порту им</w:t>
      </w:r>
      <w:r w:rsidRPr="00DE096C">
        <w:rPr>
          <w:bCs/>
          <w:color w:val="002060"/>
          <w:sz w:val="16"/>
          <w:szCs w:val="16"/>
        </w:rPr>
        <w:softHyphen/>
        <w:t xml:space="preserve">ператора Александра </w:t>
      </w:r>
      <w:r w:rsidRPr="00DE096C">
        <w:rPr>
          <w:bCs/>
          <w:color w:val="002060"/>
          <w:sz w:val="16"/>
          <w:szCs w:val="16"/>
          <w:lang w:val="en-US"/>
        </w:rPr>
        <w:t>III</w:t>
      </w:r>
      <w:r w:rsidRPr="00DE096C">
        <w:rPr>
          <w:bCs/>
          <w:color w:val="002060"/>
          <w:sz w:val="16"/>
          <w:szCs w:val="16"/>
        </w:rPr>
        <w:t xml:space="preserve"> старший лейтенант Щербачев и инженер по авиационной части Шишков) полу</w:t>
      </w:r>
      <w:r w:rsidRPr="00DE096C">
        <w:rPr>
          <w:bCs/>
          <w:color w:val="002060"/>
          <w:sz w:val="16"/>
          <w:szCs w:val="16"/>
        </w:rPr>
        <w:softHyphen/>
        <w:t>чили предписание выехать в Англию. Им дали самые подробные инструк</w:t>
      </w:r>
      <w:r w:rsidRPr="00DE096C">
        <w:rPr>
          <w:bCs/>
          <w:color w:val="002060"/>
          <w:sz w:val="16"/>
          <w:szCs w:val="16"/>
        </w:rPr>
        <w:softHyphen/>
        <w:t>ции относительно методики подхо</w:t>
      </w:r>
      <w:r w:rsidRPr="00DE096C">
        <w:rPr>
          <w:bCs/>
          <w:color w:val="002060"/>
          <w:sz w:val="16"/>
          <w:szCs w:val="16"/>
        </w:rPr>
        <w:softHyphen/>
        <w:t>да к оценке и выбору летательного аппарата и категорическое указа</w:t>
      </w:r>
      <w:r w:rsidRPr="00DE096C">
        <w:rPr>
          <w:bCs/>
          <w:color w:val="002060"/>
          <w:sz w:val="16"/>
          <w:szCs w:val="16"/>
        </w:rPr>
        <w:softHyphen/>
        <w:t>ние: «Все аэропланы должны быть опробованы вами в полете, и толь</w:t>
      </w:r>
      <w:r w:rsidRPr="00DE096C">
        <w:rPr>
          <w:bCs/>
          <w:color w:val="002060"/>
          <w:sz w:val="16"/>
          <w:szCs w:val="16"/>
        </w:rPr>
        <w:softHyphen/>
        <w:t>ко после этого могут быть заключа</w:t>
      </w:r>
      <w:r w:rsidRPr="00DE096C">
        <w:rPr>
          <w:bCs/>
          <w:color w:val="002060"/>
          <w:sz w:val="16"/>
          <w:szCs w:val="16"/>
        </w:rPr>
        <w:softHyphen/>
        <w:t>емы с фирмами контракты». Учиты</w:t>
      </w:r>
      <w:r w:rsidRPr="00DE096C">
        <w:rPr>
          <w:bCs/>
          <w:color w:val="002060"/>
          <w:sz w:val="16"/>
          <w:szCs w:val="16"/>
        </w:rPr>
        <w:softHyphen/>
        <w:t>вая предшествующий опыт, когда фирмами предъявлялись претензии по поводу незаконного копирова</w:t>
      </w:r>
      <w:r w:rsidRPr="00DE096C">
        <w:rPr>
          <w:bCs/>
          <w:color w:val="002060"/>
          <w:sz w:val="16"/>
          <w:szCs w:val="16"/>
        </w:rPr>
        <w:softHyphen/>
        <w:t>ния приобретаемых образцов тех</w:t>
      </w:r>
      <w:r w:rsidRPr="00DE096C">
        <w:rPr>
          <w:bCs/>
          <w:color w:val="002060"/>
          <w:sz w:val="16"/>
          <w:szCs w:val="16"/>
        </w:rPr>
        <w:softHyphen/>
        <w:t>ники, в предписание включили спе</w:t>
      </w:r>
      <w:r w:rsidRPr="00DE096C">
        <w:rPr>
          <w:bCs/>
          <w:color w:val="002060"/>
          <w:sz w:val="16"/>
          <w:szCs w:val="16"/>
        </w:rPr>
        <w:softHyphen/>
        <w:t>циальный пункт: «При каждом аппа</w:t>
      </w:r>
      <w:r w:rsidRPr="00DE096C">
        <w:rPr>
          <w:bCs/>
          <w:color w:val="002060"/>
          <w:sz w:val="16"/>
          <w:szCs w:val="16"/>
        </w:rPr>
        <w:softHyphen/>
        <w:t>рате надлежит требовать подроб</w:t>
      </w:r>
      <w:r w:rsidRPr="00DE096C">
        <w:rPr>
          <w:bCs/>
          <w:color w:val="002060"/>
          <w:sz w:val="16"/>
          <w:szCs w:val="16"/>
        </w:rPr>
        <w:softHyphen/>
        <w:t>ную опись отдельных частей с их расценкой и по возможности ра</w:t>
      </w:r>
      <w:r w:rsidRPr="00DE096C">
        <w:rPr>
          <w:bCs/>
          <w:color w:val="002060"/>
          <w:sz w:val="16"/>
          <w:szCs w:val="16"/>
        </w:rPr>
        <w:softHyphen/>
        <w:t>бочие чертежи для облегчения ре</w:t>
      </w:r>
      <w:r w:rsidRPr="00DE096C">
        <w:rPr>
          <w:bCs/>
          <w:color w:val="002060"/>
          <w:sz w:val="16"/>
          <w:szCs w:val="16"/>
        </w:rPr>
        <w:softHyphen/>
        <w:t>монта, при этом можно дать обяза</w:t>
      </w:r>
      <w:r w:rsidRPr="00DE096C">
        <w:rPr>
          <w:bCs/>
          <w:color w:val="002060"/>
          <w:sz w:val="16"/>
          <w:szCs w:val="16"/>
        </w:rPr>
        <w:softHyphen/>
        <w:t>тельство фирмам, что таковые чер</w:t>
      </w:r>
      <w:r w:rsidRPr="00DE096C">
        <w:rPr>
          <w:bCs/>
          <w:color w:val="002060"/>
          <w:sz w:val="16"/>
          <w:szCs w:val="16"/>
        </w:rPr>
        <w:softHyphen/>
        <w:t>тежи не будут употребляться для по</w:t>
      </w:r>
      <w:r w:rsidRPr="00DE096C">
        <w:rPr>
          <w:bCs/>
          <w:color w:val="002060"/>
          <w:sz w:val="16"/>
          <w:szCs w:val="16"/>
        </w:rPr>
        <w:softHyphen/>
        <w:t>стройки аппаратов». Им ставилась задача заказать при посредстве во</w:t>
      </w:r>
      <w:r w:rsidRPr="00DE096C">
        <w:rPr>
          <w:bCs/>
          <w:color w:val="002060"/>
          <w:sz w:val="16"/>
          <w:szCs w:val="16"/>
        </w:rPr>
        <w:softHyphen/>
        <w:t>енно-морского агента в Лондоне 12 гидроаэропланов-разведчиков («Авро» и «Шорт») и шесть боевых гидроаэропланов («Шорт» и «Виккерс»).</w:t>
      </w:r>
    </w:p>
    <w:p w14:paraId="70771E0B" w14:textId="77777777" w:rsidR="005A6700" w:rsidRPr="00DE096C" w:rsidRDefault="005A6700" w:rsidP="00D45A46">
      <w:pPr>
        <w:pStyle w:val="a4"/>
        <w:spacing w:before="0" w:after="0"/>
        <w:jc w:val="both"/>
        <w:rPr>
          <w:bCs/>
          <w:color w:val="002060"/>
          <w:sz w:val="16"/>
          <w:szCs w:val="16"/>
        </w:rPr>
      </w:pPr>
      <w:r w:rsidRPr="00DE096C">
        <w:rPr>
          <w:bCs/>
          <w:color w:val="002060"/>
          <w:sz w:val="16"/>
          <w:szCs w:val="16"/>
        </w:rPr>
        <w:t>Из приведенного следует, что морское ведомство было заинтере</w:t>
      </w:r>
      <w:r w:rsidRPr="00DE096C">
        <w:rPr>
          <w:bCs/>
          <w:color w:val="002060"/>
          <w:sz w:val="16"/>
          <w:szCs w:val="16"/>
        </w:rPr>
        <w:softHyphen/>
        <w:t>совано в развитии гидросамолетов, старалось приобрести лучшее, что создано за границей и связывало надежды с многомоторным самолё</w:t>
      </w:r>
      <w:r w:rsidRPr="00DE096C">
        <w:rPr>
          <w:bCs/>
          <w:color w:val="002060"/>
          <w:sz w:val="16"/>
          <w:szCs w:val="16"/>
        </w:rPr>
        <w:softHyphen/>
        <w:t>том Сикорского, проект которого он представил правлению РБВЗ в конце 1912 г. Это должно было быть нечто необычное. Так оно и случи</w:t>
      </w:r>
      <w:r w:rsidRPr="00DE096C">
        <w:rPr>
          <w:bCs/>
          <w:color w:val="002060"/>
          <w:sz w:val="16"/>
          <w:szCs w:val="16"/>
        </w:rPr>
        <w:softHyphen/>
        <w:t>лось. Двухмоторный самолет с зак</w:t>
      </w:r>
      <w:r w:rsidRPr="00DE096C">
        <w:rPr>
          <w:bCs/>
          <w:color w:val="002060"/>
          <w:sz w:val="16"/>
          <w:szCs w:val="16"/>
        </w:rPr>
        <w:softHyphen/>
        <w:t>рытой кабиной, что дало основа</w:t>
      </w:r>
      <w:r w:rsidRPr="00DE096C">
        <w:rPr>
          <w:bCs/>
          <w:color w:val="002060"/>
          <w:sz w:val="16"/>
          <w:szCs w:val="16"/>
        </w:rPr>
        <w:softHyphen/>
        <w:t>ния некоторым «специалистам» ут</w:t>
      </w:r>
      <w:r w:rsidRPr="00DE096C">
        <w:rPr>
          <w:bCs/>
          <w:color w:val="002060"/>
          <w:sz w:val="16"/>
          <w:szCs w:val="16"/>
        </w:rPr>
        <w:softHyphen/>
        <w:t>верждать, что лётчик не сможет его пилотировать так как «потеряет чувство птицы», назвали «Гранд Балтийский». И.И.Сикорский поднял самолёт в воздух 15 марта 1913 г. Испытания показали недостаточную мощность силовой установки из двух двигателей мощностью по 200 л.с. Установили еще два двигателя «Аргус» в тандем. Опытные полёты показали нерациональность подоб</w:t>
      </w:r>
      <w:r w:rsidRPr="00DE096C">
        <w:rPr>
          <w:bCs/>
          <w:color w:val="002060"/>
          <w:sz w:val="16"/>
          <w:szCs w:val="16"/>
        </w:rPr>
        <w:softHyphen/>
        <w:t>ной схемы силовой установки, и двигатели установили в ряд. Полет, выполненный 23 июля 1913 г., под</w:t>
      </w:r>
      <w:r w:rsidRPr="00DE096C">
        <w:rPr>
          <w:bCs/>
          <w:color w:val="002060"/>
          <w:sz w:val="16"/>
          <w:szCs w:val="16"/>
        </w:rPr>
        <w:softHyphen/>
        <w:t>твердил преимущества новой схе</w:t>
      </w:r>
      <w:r w:rsidRPr="00DE096C">
        <w:rPr>
          <w:bCs/>
          <w:color w:val="002060"/>
          <w:sz w:val="16"/>
          <w:szCs w:val="16"/>
        </w:rPr>
        <w:softHyphen/>
        <w:t>мы. Самолет переименовали в «Рус</w:t>
      </w:r>
      <w:r w:rsidRPr="00DE096C">
        <w:rPr>
          <w:bCs/>
          <w:color w:val="002060"/>
          <w:sz w:val="16"/>
          <w:szCs w:val="16"/>
        </w:rPr>
        <w:softHyphen/>
        <w:t>ский витязь», но ему не повезло. 1 1 сентября на него свалился оторвав</w:t>
      </w:r>
      <w:r w:rsidRPr="00DE096C">
        <w:rPr>
          <w:bCs/>
          <w:color w:val="002060"/>
          <w:sz w:val="16"/>
          <w:szCs w:val="16"/>
        </w:rPr>
        <w:softHyphen/>
        <w:t>шийся от самолета «Меллер-11» двигатель, разрушивший левую бип-ланную коробку крыльев. Повреж</w:t>
      </w:r>
      <w:r w:rsidRPr="00DE096C">
        <w:rPr>
          <w:bCs/>
          <w:color w:val="002060"/>
          <w:sz w:val="16"/>
          <w:szCs w:val="16"/>
        </w:rPr>
        <w:softHyphen/>
        <w:t>дения были незначительными, но восстанавливать его не стали С использованием приобретенного опыта построили самолет М-22 «Илья Муромец», первый образец которого 11 декабря 1913 г. под</w:t>
      </w:r>
      <w:r w:rsidRPr="00DE096C">
        <w:rPr>
          <w:bCs/>
          <w:color w:val="002060"/>
          <w:sz w:val="16"/>
          <w:szCs w:val="16"/>
        </w:rPr>
        <w:softHyphen/>
        <w:t>нял в воздух И.И. Сикорский. А че</w:t>
      </w:r>
      <w:r w:rsidRPr="00DE096C">
        <w:rPr>
          <w:bCs/>
          <w:color w:val="002060"/>
          <w:sz w:val="16"/>
          <w:szCs w:val="16"/>
        </w:rPr>
        <w:softHyphen/>
        <w:t>рез неделю в Морской генераль</w:t>
      </w:r>
      <w:r w:rsidRPr="00DE096C">
        <w:rPr>
          <w:bCs/>
          <w:color w:val="002060"/>
          <w:sz w:val="16"/>
          <w:szCs w:val="16"/>
        </w:rPr>
        <w:softHyphen/>
        <w:t>ный штаб поступило подписанное директором РБВЗ В.Строгановым письмо следующего содержания: «Правление Акционерного обще</w:t>
      </w:r>
      <w:r w:rsidRPr="00DE096C">
        <w:rPr>
          <w:bCs/>
          <w:color w:val="002060"/>
          <w:sz w:val="16"/>
          <w:szCs w:val="16"/>
        </w:rPr>
        <w:softHyphen/>
        <w:t>ства Русско-Балтийский завод име</w:t>
      </w:r>
      <w:r w:rsidRPr="00DE096C">
        <w:rPr>
          <w:bCs/>
          <w:color w:val="002060"/>
          <w:sz w:val="16"/>
          <w:szCs w:val="16"/>
        </w:rPr>
        <w:softHyphen/>
        <w:t>ет честь предложить вам большой аппарат нашей системы и построй</w:t>
      </w:r>
      <w:r w:rsidRPr="00DE096C">
        <w:rPr>
          <w:bCs/>
          <w:color w:val="002060"/>
          <w:sz w:val="16"/>
          <w:szCs w:val="16"/>
        </w:rPr>
        <w:softHyphen/>
        <w:t>ки «Илья Муромец» на следующих условиях: 1. Аппарат должен быть доставлен в Либаву (порт импера</w:t>
      </w:r>
      <w:r w:rsidRPr="00DE096C">
        <w:rPr>
          <w:bCs/>
          <w:color w:val="002060"/>
          <w:sz w:val="16"/>
          <w:szCs w:val="16"/>
        </w:rPr>
        <w:softHyphen/>
        <w:t xml:space="preserve">тора Александра </w:t>
      </w:r>
      <w:r w:rsidRPr="00DE096C">
        <w:rPr>
          <w:bCs/>
          <w:color w:val="002060"/>
          <w:sz w:val="16"/>
          <w:szCs w:val="16"/>
          <w:lang w:val="en-US"/>
        </w:rPr>
        <w:t>III</w:t>
      </w:r>
      <w:r w:rsidRPr="00DE096C">
        <w:rPr>
          <w:bCs/>
          <w:color w:val="002060"/>
          <w:sz w:val="16"/>
          <w:szCs w:val="16"/>
        </w:rPr>
        <w:t>) не позже 25 февраля 1914 г; 2. Испытания про</w:t>
      </w:r>
      <w:r w:rsidRPr="00DE096C">
        <w:rPr>
          <w:bCs/>
          <w:color w:val="002060"/>
          <w:sz w:val="16"/>
          <w:szCs w:val="16"/>
        </w:rPr>
        <w:softHyphen/>
        <w:t>водятся пилотом завода за страх и риск завода; 3. На аппарате дол</w:t>
      </w:r>
      <w:r w:rsidRPr="00DE096C">
        <w:rPr>
          <w:bCs/>
          <w:color w:val="002060"/>
          <w:sz w:val="16"/>
          <w:szCs w:val="16"/>
        </w:rPr>
        <w:softHyphen/>
        <w:t>жен быть выполнен один полёт про</w:t>
      </w:r>
      <w:r w:rsidRPr="00DE096C">
        <w:rPr>
          <w:bCs/>
          <w:color w:val="002060"/>
          <w:sz w:val="16"/>
          <w:szCs w:val="16"/>
        </w:rPr>
        <w:softHyphen/>
        <w:t>должительностью не менее 1,5 ча</w:t>
      </w:r>
      <w:r w:rsidRPr="00DE096C">
        <w:rPr>
          <w:bCs/>
          <w:color w:val="002060"/>
          <w:sz w:val="16"/>
          <w:szCs w:val="16"/>
        </w:rPr>
        <w:softHyphen/>
        <w:t>сов (нагрузка одна тонна, набрать высоту не менее 800 м, подтвер</w:t>
      </w:r>
      <w:r w:rsidRPr="00DE096C">
        <w:rPr>
          <w:bCs/>
          <w:color w:val="002060"/>
          <w:sz w:val="16"/>
          <w:szCs w:val="16"/>
        </w:rPr>
        <w:softHyphen/>
        <w:t>дить безопасность выключения двух моторов с одной стороны); 7.Взлёт с воды должен быть произведен без посторонней помощи, т.е. силами людей, находящихся в аппарате; 11 цена аппарата определяется по счёту 25 000 рублей за каждые 100 л.с; 12. Помимо других предметов... аппарат снабжается альтиметром, компасом, оборудованием электри</w:t>
      </w:r>
      <w:r w:rsidRPr="00DE096C">
        <w:rPr>
          <w:bCs/>
          <w:color w:val="002060"/>
          <w:sz w:val="16"/>
          <w:szCs w:val="16"/>
        </w:rPr>
        <w:softHyphen/>
        <w:t>ческого освещения приборов, на</w:t>
      </w:r>
      <w:r w:rsidRPr="00DE096C">
        <w:rPr>
          <w:bCs/>
          <w:color w:val="002060"/>
          <w:sz w:val="16"/>
          <w:szCs w:val="16"/>
        </w:rPr>
        <w:softHyphen/>
        <w:t>бором инструментов» (11759).</w:t>
      </w:r>
    </w:p>
    <w:p w14:paraId="381CC74C" w14:textId="77777777" w:rsidR="005A6700" w:rsidRPr="00DE096C" w:rsidRDefault="005A6700" w:rsidP="00D45A46">
      <w:pPr>
        <w:shd w:val="clear" w:color="auto" w:fill="FFFFFF"/>
        <w:jc w:val="both"/>
        <w:rPr>
          <w:bCs/>
          <w:i/>
          <w:color w:val="002060"/>
          <w:sz w:val="16"/>
          <w:szCs w:val="16"/>
        </w:rPr>
      </w:pPr>
    </w:p>
    <w:p w14:paraId="18EB7F54" w14:textId="6B727E40"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12 (25) мая 1914 г. </w:t>
      </w:r>
      <w:r w:rsidR="005A6700" w:rsidRPr="00DE096C">
        <w:rPr>
          <w:bCs/>
          <w:i w:val="0"/>
          <w:color w:val="002060"/>
          <w:spacing w:val="0"/>
          <w:kern w:val="0"/>
          <w:position w:val="0"/>
          <w:sz w:val="16"/>
          <w:szCs w:val="16"/>
        </w:rPr>
        <w:t xml:space="preserve">Главное Военно- Техническое Управление (ГВТУ) заключило </w:t>
      </w:r>
      <w:r w:rsidRPr="00DE096C">
        <w:rPr>
          <w:bCs/>
          <w:i w:val="0"/>
          <w:color w:val="002060"/>
          <w:spacing w:val="0"/>
          <w:kern w:val="0"/>
          <w:position w:val="0"/>
          <w:sz w:val="16"/>
          <w:szCs w:val="16"/>
        </w:rPr>
        <w:t xml:space="preserve">контракт №2685/1515 с РБВЗ на постройку еще 10 аэропланов </w:t>
      </w:r>
      <w:r w:rsidR="005A6700" w:rsidRPr="00DE096C">
        <w:rPr>
          <w:bCs/>
          <w:i w:val="0"/>
          <w:color w:val="002060"/>
          <w:spacing w:val="0"/>
          <w:kern w:val="0"/>
          <w:position w:val="0"/>
          <w:sz w:val="16"/>
          <w:szCs w:val="16"/>
        </w:rPr>
        <w:t xml:space="preserve">ИМ. С августа 1913 г. на Русско-Балтийском вагонным заводе (РБВЗ) началась постройка прототипа нового четырехмоторного тяжелого аэроплана, который получил название в честь русского былинного богатыря "Илья Муромец" (оно стало общим названием для различных модификаций этой машины, строившейся на заводе с 1913 по 1917 г.). Прототип за № 107 был готов в декабре 1913 г. и 10 числа совершен первый полет. На этом аппарате между коробкой крыльев и оперением имелось среднее крыло с кабанами для крепления расчалок, а под фюзеляжем было сделано дополнительное среднее шасси. Среднее крыло себя не оправдало и его вскоре сняли. После удачных испытаний и ряда достижений первого построенного аппарата типа "Илья Муромец" №107 </w:t>
      </w:r>
      <w:r w:rsidRPr="00DE096C">
        <w:rPr>
          <w:bCs/>
          <w:i w:val="0"/>
          <w:color w:val="002060"/>
          <w:spacing w:val="0"/>
          <w:kern w:val="0"/>
          <w:position w:val="0"/>
          <w:sz w:val="16"/>
          <w:szCs w:val="16"/>
        </w:rPr>
        <w:t>(11277).</w:t>
      </w:r>
    </w:p>
    <w:p w14:paraId="1D808366" w14:textId="77777777" w:rsidR="00B67D7C" w:rsidRPr="00DE096C" w:rsidRDefault="00B67D7C" w:rsidP="00D45A46">
      <w:pPr>
        <w:pStyle w:val="a3"/>
        <w:jc w:val="both"/>
        <w:rPr>
          <w:bCs/>
          <w:i w:val="0"/>
          <w:color w:val="002060"/>
          <w:spacing w:val="0"/>
          <w:kern w:val="0"/>
          <w:position w:val="0"/>
          <w:sz w:val="16"/>
          <w:szCs w:val="16"/>
        </w:rPr>
      </w:pPr>
    </w:p>
    <w:p w14:paraId="663D974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12 (25) мая 1914 Военное ведомство передало РБ.ВЗ заказ на постройку самолетов типа "Илья Муромец" в качестве бомбардировщиков, из них были готовы как раз к началу первой мировой войны (С.Е.Липицкий. Авиация русской армии в 1910-1917 гг., 1950).</w:t>
      </w:r>
    </w:p>
    <w:p w14:paraId="63E1539C" w14:textId="77777777" w:rsidR="00B67D7C" w:rsidRPr="00DE096C" w:rsidRDefault="00B67D7C" w:rsidP="00D45A46">
      <w:pPr>
        <w:shd w:val="clear" w:color="auto" w:fill="FFFFFF"/>
        <w:jc w:val="both"/>
        <w:rPr>
          <w:bCs/>
          <w:color w:val="002060"/>
          <w:sz w:val="16"/>
          <w:szCs w:val="16"/>
        </w:rPr>
      </w:pPr>
    </w:p>
    <w:p w14:paraId="12834C5F" w14:textId="77777777" w:rsidR="00D741CB" w:rsidRPr="00DE096C" w:rsidRDefault="00D741CB" w:rsidP="00D45A46">
      <w:pPr>
        <w:jc w:val="both"/>
        <w:rPr>
          <w:bCs/>
          <w:color w:val="002060"/>
          <w:sz w:val="16"/>
          <w:szCs w:val="16"/>
          <w:shd w:val="clear" w:color="auto" w:fill="FFFFFF"/>
        </w:rPr>
      </w:pPr>
      <w:r w:rsidRPr="00DE096C">
        <w:rPr>
          <w:bCs/>
          <w:color w:val="002060"/>
          <w:sz w:val="16"/>
          <w:szCs w:val="16"/>
        </w:rPr>
        <w:t xml:space="preserve">12 (25) мая 1914 года РБВЗ получил свой первый заказ на постройку 10 самолетов для российской армии. </w:t>
      </w:r>
      <w:r w:rsidRPr="00DE096C">
        <w:rPr>
          <w:bCs/>
          <w:color w:val="002060"/>
          <w:sz w:val="16"/>
          <w:szCs w:val="16"/>
          <w:shd w:val="clear" w:color="auto" w:fill="FFFFFF"/>
        </w:rPr>
        <w:t>К началу </w:t>
      </w:r>
      <w:hyperlink r:id="rId14" w:tooltip="Первая мировая война" w:history="1">
        <w:r w:rsidRPr="00DE096C">
          <w:rPr>
            <w:rStyle w:val="af0"/>
            <w:bCs/>
            <w:color w:val="002060"/>
            <w:sz w:val="16"/>
            <w:szCs w:val="16"/>
            <w:shd w:val="clear" w:color="auto" w:fill="FFFFFF"/>
          </w:rPr>
          <w:t>войны</w:t>
        </w:r>
      </w:hyperlink>
      <w:r w:rsidRPr="00DE096C">
        <w:rPr>
          <w:bCs/>
          <w:color w:val="002060"/>
          <w:sz w:val="16"/>
          <w:szCs w:val="16"/>
          <w:shd w:val="clear" w:color="auto" w:fill="FFFFFF"/>
        </w:rPr>
        <w:t> (1 августа 1914) было построено 4 «Ильи Муромца». К сентябрю 1914 года они были переданы в </w:t>
      </w:r>
      <w:hyperlink r:id="rId15" w:tooltip="Императорский военно-воздушный флот" w:history="1">
        <w:r w:rsidRPr="00DE096C">
          <w:rPr>
            <w:rStyle w:val="af0"/>
            <w:bCs/>
            <w:color w:val="002060"/>
            <w:sz w:val="16"/>
            <w:szCs w:val="16"/>
            <w:shd w:val="clear" w:color="auto" w:fill="FFFFFF"/>
          </w:rPr>
          <w:t>Императорский военно-воздушный флот</w:t>
        </w:r>
      </w:hyperlink>
      <w:r w:rsidRPr="00DE096C">
        <w:rPr>
          <w:bCs/>
          <w:color w:val="002060"/>
          <w:sz w:val="16"/>
          <w:szCs w:val="16"/>
          <w:shd w:val="clear" w:color="auto" w:fill="FFFFFF"/>
        </w:rPr>
        <w:t>.</w:t>
      </w:r>
    </w:p>
    <w:p w14:paraId="5215914E" w14:textId="77777777" w:rsidR="00D741CB" w:rsidRPr="00DE096C" w:rsidRDefault="00D741CB" w:rsidP="00D45A46">
      <w:pPr>
        <w:jc w:val="both"/>
        <w:rPr>
          <w:bCs/>
          <w:color w:val="002060"/>
          <w:sz w:val="16"/>
          <w:szCs w:val="16"/>
          <w:shd w:val="clear" w:color="auto" w:fill="FFFFFF"/>
        </w:rPr>
      </w:pPr>
      <w:r w:rsidRPr="00DE096C">
        <w:rPr>
          <w:bCs/>
          <w:color w:val="002060"/>
          <w:sz w:val="16"/>
          <w:szCs w:val="16"/>
          <w:shd w:val="clear" w:color="auto" w:fill="FFFFFF"/>
        </w:rPr>
        <w:t>Перед началом войны авиационное командование приказом № 7 утвердило состав экипажа и наземной бригады обслуживания, а также вооружение самолета. На один самолет вделялось четверо офицеров, один унтер-офицер и 40 нижних чинов. Самолет предполагалось вооружить 37-мм пушкой «Гочкисс», двумя пулеметами «Максим», двумя пулеметами «Мадсен» и двумя пистолетами «Маузер». Пушку установили на небольшой балкончик, организованный в носовой части фюзеляжа и крепившийся к шасси самолета. Пушку обслуживал стрелок, который при необходимости выходил из кабины на балкон. Пушка предназначалась для борьбы с аэростатами противника. Но боевые испытания показали, что обслуживать пушку в полете очень трудно, поэтому ее установили только на одном самолете (19959).</w:t>
      </w:r>
    </w:p>
    <w:p w14:paraId="20745167" w14:textId="77777777" w:rsidR="00D741CB" w:rsidRPr="00DE096C" w:rsidRDefault="00D741CB" w:rsidP="00D45A46">
      <w:pPr>
        <w:jc w:val="both"/>
        <w:rPr>
          <w:bCs/>
          <w:color w:val="002060"/>
          <w:sz w:val="16"/>
          <w:szCs w:val="16"/>
          <w:shd w:val="clear" w:color="auto" w:fill="FFFFFF"/>
        </w:rPr>
      </w:pPr>
      <w:r w:rsidRPr="00DE096C">
        <w:rPr>
          <w:bCs/>
          <w:color w:val="002060"/>
          <w:sz w:val="16"/>
          <w:szCs w:val="16"/>
          <w:shd w:val="clear" w:color="auto" w:fill="FFFFFF"/>
        </w:rPr>
        <w:t>Предполагалось, что самолеты на фронте будут действовать по одному, усиливая какую-либо дивизию и подчиняясь непосредственно штабам армий (19959).</w:t>
      </w:r>
    </w:p>
    <w:p w14:paraId="29639DC2" w14:textId="77777777" w:rsidR="00D741CB" w:rsidRPr="00DE096C" w:rsidRDefault="00D741CB" w:rsidP="00D45A46">
      <w:pPr>
        <w:jc w:val="both"/>
        <w:rPr>
          <w:bCs/>
          <w:color w:val="002060"/>
          <w:sz w:val="16"/>
          <w:szCs w:val="16"/>
          <w:shd w:val="clear" w:color="auto" w:fill="FFFFFF"/>
        </w:rPr>
      </w:pPr>
    </w:p>
    <w:p w14:paraId="56517930" w14:textId="370CB913" w:rsidR="00C92F8A" w:rsidRPr="00DE096C" w:rsidRDefault="00C92F8A" w:rsidP="00D45A46">
      <w:pPr>
        <w:jc w:val="both"/>
        <w:rPr>
          <w:bCs/>
          <w:color w:val="002060"/>
          <w:sz w:val="16"/>
          <w:szCs w:val="16"/>
        </w:rPr>
      </w:pPr>
      <w:r w:rsidRPr="00DE096C">
        <w:rPr>
          <w:bCs/>
          <w:color w:val="002060"/>
          <w:sz w:val="16"/>
          <w:szCs w:val="16"/>
        </w:rPr>
        <w:t xml:space="preserve">12 </w:t>
      </w:r>
      <w:r w:rsidR="00654F31" w:rsidRPr="00DE096C">
        <w:rPr>
          <w:bCs/>
          <w:color w:val="002060"/>
          <w:sz w:val="16"/>
          <w:szCs w:val="16"/>
        </w:rPr>
        <w:t xml:space="preserve">(25) </w:t>
      </w:r>
      <w:r w:rsidRPr="00DE096C">
        <w:rPr>
          <w:bCs/>
          <w:color w:val="002060"/>
          <w:sz w:val="16"/>
          <w:szCs w:val="16"/>
        </w:rPr>
        <w:t xml:space="preserve">мая в 1914 году Главное Военно-Техническое Управление (ГВТУ) заключило контракт №2685/1515 с РБВЗ на постройку еще 10 аэропланов типа </w:t>
      </w:r>
      <w:hyperlink r:id="rId16" w:tgtFrame="_blank" w:history="1">
        <w:r w:rsidRPr="00DE096C">
          <w:rPr>
            <w:bCs/>
            <w:color w:val="002060"/>
            <w:sz w:val="16"/>
            <w:szCs w:val="16"/>
          </w:rPr>
          <w:t xml:space="preserve">"Илья Муромец" </w:t>
        </w:r>
      </w:hyperlink>
      <w:r w:rsidRPr="00DE096C">
        <w:rPr>
          <w:bCs/>
          <w:color w:val="002060"/>
          <w:sz w:val="16"/>
          <w:szCs w:val="16"/>
        </w:rPr>
        <w:t>№</w:t>
      </w:r>
      <w:r w:rsidR="00654F31" w:rsidRPr="00DE096C">
        <w:rPr>
          <w:bCs/>
          <w:color w:val="002060"/>
          <w:sz w:val="16"/>
          <w:szCs w:val="16"/>
        </w:rPr>
        <w:t xml:space="preserve"> </w:t>
      </w:r>
      <w:r w:rsidRPr="00DE096C">
        <w:rPr>
          <w:bCs/>
          <w:color w:val="002060"/>
          <w:sz w:val="16"/>
          <w:szCs w:val="16"/>
        </w:rPr>
        <w:t xml:space="preserve">107 </w:t>
      </w:r>
    </w:p>
    <w:p w14:paraId="0EA30766" w14:textId="77777777" w:rsidR="00C92F8A" w:rsidRPr="00DE096C" w:rsidRDefault="00C92F8A" w:rsidP="00D45A46">
      <w:pPr>
        <w:jc w:val="both"/>
        <w:rPr>
          <w:bCs/>
          <w:color w:val="002060"/>
          <w:sz w:val="16"/>
          <w:szCs w:val="16"/>
        </w:rPr>
      </w:pPr>
    </w:p>
    <w:p w14:paraId="1F5F892E" w14:textId="6BD4C3DA" w:rsidR="00B67D7C" w:rsidRPr="00DE096C" w:rsidRDefault="00B67D7C" w:rsidP="00D45A46">
      <w:pPr>
        <w:jc w:val="both"/>
        <w:rPr>
          <w:bCs/>
          <w:color w:val="002060"/>
          <w:sz w:val="16"/>
          <w:szCs w:val="16"/>
        </w:rPr>
      </w:pPr>
      <w:r w:rsidRPr="00DE096C">
        <w:rPr>
          <w:bCs/>
          <w:color w:val="002060"/>
          <w:sz w:val="16"/>
          <w:szCs w:val="16"/>
        </w:rPr>
        <w:t xml:space="preserve">12 </w:t>
      </w:r>
      <w:r w:rsidR="00654F31" w:rsidRPr="00DE096C">
        <w:rPr>
          <w:bCs/>
          <w:color w:val="002060"/>
          <w:sz w:val="16"/>
          <w:szCs w:val="16"/>
        </w:rPr>
        <w:t xml:space="preserve">(25) </w:t>
      </w:r>
      <w:r w:rsidRPr="00DE096C">
        <w:rPr>
          <w:bCs/>
          <w:color w:val="002060"/>
          <w:sz w:val="16"/>
          <w:szCs w:val="16"/>
        </w:rPr>
        <w:t xml:space="preserve">мая 1914 г. </w:t>
      </w:r>
      <w:r w:rsidR="00654F31" w:rsidRPr="00DE096C">
        <w:rPr>
          <w:bCs/>
          <w:color w:val="002060"/>
          <w:sz w:val="16"/>
          <w:szCs w:val="16"/>
        </w:rPr>
        <w:t xml:space="preserve">Главное Военно-Техническое Управление (ГВТУ) заключило </w:t>
      </w:r>
      <w:r w:rsidRPr="00DE096C">
        <w:rPr>
          <w:bCs/>
          <w:color w:val="002060"/>
          <w:sz w:val="16"/>
          <w:szCs w:val="16"/>
        </w:rPr>
        <w:t xml:space="preserve">контракт №2685/1515 с РБВЗ на постройку еще 10 аэропланов </w:t>
      </w:r>
      <w:r w:rsidR="00654F31" w:rsidRPr="00DE096C">
        <w:rPr>
          <w:bCs/>
          <w:color w:val="002060"/>
          <w:sz w:val="16"/>
          <w:szCs w:val="16"/>
        </w:rPr>
        <w:t>по</w:t>
      </w:r>
      <w:r w:rsidRPr="00DE096C">
        <w:rPr>
          <w:bCs/>
          <w:color w:val="002060"/>
          <w:sz w:val="16"/>
          <w:szCs w:val="16"/>
        </w:rPr>
        <w:t xml:space="preserve"> тип</w:t>
      </w:r>
      <w:r w:rsidR="00654F31" w:rsidRPr="00DE096C">
        <w:rPr>
          <w:bCs/>
          <w:color w:val="002060"/>
          <w:sz w:val="16"/>
          <w:szCs w:val="16"/>
        </w:rPr>
        <w:t xml:space="preserve">у"Илья Муромец" №107 </w:t>
      </w:r>
      <w:r w:rsidRPr="00DE096C">
        <w:rPr>
          <w:bCs/>
          <w:color w:val="002060"/>
          <w:sz w:val="16"/>
          <w:szCs w:val="16"/>
        </w:rPr>
        <w:t>(12038).</w:t>
      </w:r>
    </w:p>
    <w:p w14:paraId="2F1E7B3C" w14:textId="77777777" w:rsidR="00B67D7C" w:rsidRPr="00DE096C" w:rsidRDefault="00B67D7C" w:rsidP="00D45A46">
      <w:pPr>
        <w:jc w:val="both"/>
        <w:rPr>
          <w:bCs/>
          <w:color w:val="002060"/>
          <w:sz w:val="16"/>
          <w:szCs w:val="16"/>
        </w:rPr>
      </w:pPr>
    </w:p>
    <w:p w14:paraId="729405B7" w14:textId="0249FF53" w:rsidR="00B67D7C" w:rsidRPr="00DE096C" w:rsidRDefault="00B67D7C" w:rsidP="00D45A46">
      <w:pPr>
        <w:jc w:val="both"/>
        <w:rPr>
          <w:bCs/>
          <w:color w:val="002060"/>
          <w:sz w:val="16"/>
          <w:szCs w:val="16"/>
        </w:rPr>
      </w:pPr>
      <w:r w:rsidRPr="00DE096C">
        <w:rPr>
          <w:bCs/>
          <w:color w:val="002060"/>
          <w:sz w:val="16"/>
          <w:szCs w:val="16"/>
        </w:rPr>
        <w:t xml:space="preserve">12 </w:t>
      </w:r>
      <w:r w:rsidR="00654F31" w:rsidRPr="00DE096C">
        <w:rPr>
          <w:bCs/>
          <w:color w:val="002060"/>
          <w:sz w:val="16"/>
          <w:szCs w:val="16"/>
        </w:rPr>
        <w:t xml:space="preserve">(25) </w:t>
      </w:r>
      <w:r w:rsidRPr="00DE096C">
        <w:rPr>
          <w:bCs/>
          <w:color w:val="002060"/>
          <w:sz w:val="16"/>
          <w:szCs w:val="16"/>
        </w:rPr>
        <w:t xml:space="preserve">мая 1914 г. </w:t>
      </w:r>
      <w:r w:rsidR="00654F31" w:rsidRPr="00DE096C">
        <w:rPr>
          <w:bCs/>
          <w:color w:val="002060"/>
          <w:sz w:val="16"/>
          <w:szCs w:val="16"/>
        </w:rPr>
        <w:t xml:space="preserve">Главное Военно-Техническое Управление (ГВТУ) заключило </w:t>
      </w:r>
      <w:r w:rsidRPr="00DE096C">
        <w:rPr>
          <w:bCs/>
          <w:color w:val="002060"/>
          <w:sz w:val="16"/>
          <w:szCs w:val="16"/>
        </w:rPr>
        <w:t xml:space="preserve">контракт №2685/1515 с РБВЗ на постройку еще 10 аэропланов типа </w:t>
      </w:r>
      <w:r w:rsidR="00654F31" w:rsidRPr="00DE096C">
        <w:rPr>
          <w:bCs/>
          <w:color w:val="002060"/>
          <w:sz w:val="16"/>
          <w:szCs w:val="16"/>
        </w:rPr>
        <w:t xml:space="preserve">"Илья Муромец" №107 </w:t>
      </w:r>
      <w:r w:rsidRPr="00DE096C">
        <w:rPr>
          <w:bCs/>
          <w:color w:val="002060"/>
          <w:sz w:val="16"/>
          <w:szCs w:val="16"/>
        </w:rPr>
        <w:t>(11605).</w:t>
      </w:r>
    </w:p>
    <w:p w14:paraId="33AC2ED9" w14:textId="77777777" w:rsidR="00B67D7C" w:rsidRPr="00DE096C" w:rsidRDefault="00B67D7C" w:rsidP="00D45A46">
      <w:pPr>
        <w:jc w:val="both"/>
        <w:rPr>
          <w:bCs/>
          <w:color w:val="002060"/>
          <w:sz w:val="16"/>
          <w:szCs w:val="16"/>
        </w:rPr>
      </w:pPr>
    </w:p>
    <w:p w14:paraId="6F8E0DED" w14:textId="636D7008" w:rsidR="00B67D7C" w:rsidRPr="00DE096C" w:rsidRDefault="00B67D7C" w:rsidP="00D45A46">
      <w:pPr>
        <w:jc w:val="both"/>
        <w:rPr>
          <w:bCs/>
          <w:color w:val="002060"/>
          <w:sz w:val="16"/>
          <w:szCs w:val="16"/>
        </w:rPr>
      </w:pPr>
      <w:r w:rsidRPr="00DE096C">
        <w:rPr>
          <w:bCs/>
          <w:color w:val="002060"/>
          <w:sz w:val="16"/>
          <w:szCs w:val="16"/>
        </w:rPr>
        <w:t xml:space="preserve">12 </w:t>
      </w:r>
      <w:r w:rsidR="00654F31" w:rsidRPr="00DE096C">
        <w:rPr>
          <w:bCs/>
          <w:color w:val="002060"/>
          <w:sz w:val="16"/>
          <w:szCs w:val="16"/>
        </w:rPr>
        <w:t xml:space="preserve">(25) </w:t>
      </w:r>
      <w:r w:rsidRPr="00DE096C">
        <w:rPr>
          <w:bCs/>
          <w:color w:val="002060"/>
          <w:sz w:val="16"/>
          <w:szCs w:val="16"/>
        </w:rPr>
        <w:t>мая 1914 г. РБВЗ получил первый заказ на десять самолетов для российской армии. После начала Первой мировой войны, 2 октября, был подписан второй контракт, уже на 32 машины.</w:t>
      </w:r>
    </w:p>
    <w:p w14:paraId="37B927CC" w14:textId="77777777" w:rsidR="00B67D7C" w:rsidRPr="00DE096C" w:rsidRDefault="00B67D7C" w:rsidP="00D45A46">
      <w:pPr>
        <w:jc w:val="both"/>
        <w:rPr>
          <w:bCs/>
          <w:color w:val="002060"/>
          <w:sz w:val="16"/>
          <w:szCs w:val="16"/>
        </w:rPr>
      </w:pPr>
      <w:r w:rsidRPr="00DE096C">
        <w:rPr>
          <w:bCs/>
          <w:color w:val="002060"/>
          <w:sz w:val="16"/>
          <w:szCs w:val="16"/>
        </w:rPr>
        <w:t>Серийные бомбардировщики "типа Б" (или ИМ-Б) имели более мощные двигатели (тоже "Аргус", но два - по 125 л. с. и два - по 140 л.е.), два пулемета, бомбодержатели и простейший бомбовый прицел. По заданию самолет должен был нести не менее 10 пудов (164 кг) бомб. Радиус действия в 300 верст обеспечивал с территории России достижение целей в Кенигсберге, Данциге, Познани, Кракове, Перемышле. Экипаж состоял из шести человек, а всего с наземным составом на одну машину приходился 31 человек. Поскольку "Муромцам" придавалось особое значение, весь летный состав комплектовался только офицерами и унтер-офицерами. Офицером должен был быть даже бортмеханик (позже на эту должность назначали мобилизованных инженеров или студентов высших технических учебных заведений). Командир экипажа должен был иметь звание от капитана до подполковника. Сдача этих самолетов началась в августе 1914 г. Поскольку немцы стали противниками, поставка "Аргусов" прекратилась, и с третьего серийного "Муромца" их заменили французскими звездообразными "Сальмсонами" в 130 л.с. и 200 л.с.</w:t>
      </w:r>
    </w:p>
    <w:p w14:paraId="553889C3" w14:textId="77777777" w:rsidR="00B67D7C" w:rsidRPr="00DE096C" w:rsidRDefault="00B67D7C" w:rsidP="00D45A46">
      <w:pPr>
        <w:jc w:val="both"/>
        <w:rPr>
          <w:bCs/>
          <w:color w:val="002060"/>
          <w:sz w:val="16"/>
          <w:szCs w:val="16"/>
        </w:rPr>
      </w:pPr>
      <w:r w:rsidRPr="00DE096C">
        <w:rPr>
          <w:bCs/>
          <w:color w:val="002060"/>
          <w:sz w:val="16"/>
          <w:szCs w:val="16"/>
        </w:rPr>
        <w:t>С седьмого самолета РБВЗ перешел на "тип В" с уменьшенной площадью крыльев, улучшенной аэродинамикой и бомболюком. Бомбы подвешивались внутри фюзеляжа в кассетах и освобождались механическим сбрасывателем. Бомбовая нагрузка составляла 500 кг; калибр бомб - до 10 пудов. Для членов экипажа предусматривалась бронезаши- та, бронированные сиденья, жилеты и каски. Первые три такие машины были готовы в ноябре-декабре 1914 г. (12036).</w:t>
      </w:r>
    </w:p>
    <w:p w14:paraId="7509D0B5" w14:textId="77777777" w:rsidR="00B67D7C" w:rsidRPr="00DE096C" w:rsidRDefault="00B67D7C" w:rsidP="00D45A46">
      <w:pPr>
        <w:jc w:val="both"/>
        <w:rPr>
          <w:bCs/>
          <w:color w:val="002060"/>
          <w:sz w:val="16"/>
          <w:szCs w:val="16"/>
        </w:rPr>
      </w:pPr>
    </w:p>
    <w:p w14:paraId="1498ABEA" w14:textId="1C965B9D" w:rsidR="00B67D7C" w:rsidRPr="00DE096C" w:rsidRDefault="00B67D7C" w:rsidP="00D45A46">
      <w:pPr>
        <w:jc w:val="both"/>
        <w:rPr>
          <w:bCs/>
          <w:color w:val="002060"/>
          <w:sz w:val="16"/>
          <w:szCs w:val="16"/>
        </w:rPr>
      </w:pPr>
      <w:r w:rsidRPr="00DE096C">
        <w:rPr>
          <w:bCs/>
          <w:color w:val="002060"/>
          <w:sz w:val="16"/>
          <w:szCs w:val="16"/>
        </w:rPr>
        <w:t xml:space="preserve">12 </w:t>
      </w:r>
      <w:r w:rsidR="00654F31" w:rsidRPr="00DE096C">
        <w:rPr>
          <w:bCs/>
          <w:color w:val="002060"/>
          <w:sz w:val="16"/>
          <w:szCs w:val="16"/>
        </w:rPr>
        <w:t xml:space="preserve">(25) </w:t>
      </w:r>
      <w:r w:rsidRPr="00DE096C">
        <w:rPr>
          <w:bCs/>
          <w:color w:val="002060"/>
          <w:sz w:val="16"/>
          <w:szCs w:val="16"/>
        </w:rPr>
        <w:t>мая 1914 года Главное военно-техническое управление (ГВТУ) заключило с Акционерным обществом РБВЗ контракт за № 2685/1515 на постройку 10 аппаратов типа "Илья Муромец".</w:t>
      </w:r>
    </w:p>
    <w:p w14:paraId="4007E2BC" w14:textId="77777777" w:rsidR="00B67D7C" w:rsidRPr="00DE096C" w:rsidRDefault="00B67D7C" w:rsidP="00D45A46">
      <w:pPr>
        <w:jc w:val="both"/>
        <w:rPr>
          <w:bCs/>
          <w:color w:val="002060"/>
          <w:sz w:val="16"/>
          <w:szCs w:val="16"/>
        </w:rPr>
      </w:pPr>
      <w:r w:rsidRPr="00DE096C">
        <w:rPr>
          <w:bCs/>
          <w:color w:val="002060"/>
          <w:sz w:val="16"/>
          <w:szCs w:val="16"/>
        </w:rPr>
        <w:t>Построенные аэропланы предполагалось распределить следующим образом: две машины в Авиационный отдел Офицерской воздухоплавательной школы (с 19 июля - Военно-авиационная школа), три - в 10-й корпусной авиационный отряд 4-й авиационной роты (г. Лида Виленской губернии), три - в 14-й корпусной авиационный отряд 2-й авиационной роты (г. Варшава) и два - в 3-й полевой авиационный отряд 3-й авиационной роты (г. Киев). Потом решили перераспределить "Муромцы" по крепостям - по два в каждый крепостной авиационный отряд (Ново-Георгиевский и Брест-Литовский).</w:t>
      </w:r>
    </w:p>
    <w:p w14:paraId="09921F04" w14:textId="77777777" w:rsidR="00B67D7C" w:rsidRPr="00DE096C" w:rsidRDefault="00B67D7C" w:rsidP="00D45A46">
      <w:pPr>
        <w:jc w:val="both"/>
        <w:rPr>
          <w:bCs/>
          <w:color w:val="002060"/>
          <w:sz w:val="16"/>
          <w:szCs w:val="16"/>
        </w:rPr>
      </w:pPr>
      <w:r w:rsidRPr="00DE096C">
        <w:rPr>
          <w:bCs/>
          <w:color w:val="002060"/>
          <w:sz w:val="16"/>
          <w:szCs w:val="16"/>
        </w:rPr>
        <w:t>Главное управление Генерального штаба (ГУГШ) установило следующие требования, предъявляемые к аппаратам типа "Илья Муромец":</w:t>
      </w:r>
    </w:p>
    <w:p w14:paraId="45BC9254" w14:textId="77777777" w:rsidR="00B67D7C" w:rsidRPr="00DE096C" w:rsidRDefault="00B67D7C" w:rsidP="00D45A46">
      <w:pPr>
        <w:jc w:val="both"/>
        <w:rPr>
          <w:bCs/>
          <w:color w:val="002060"/>
          <w:sz w:val="16"/>
          <w:szCs w:val="16"/>
        </w:rPr>
      </w:pPr>
      <w:r w:rsidRPr="00DE096C">
        <w:rPr>
          <w:bCs/>
          <w:color w:val="002060"/>
          <w:sz w:val="16"/>
          <w:szCs w:val="16"/>
        </w:rPr>
        <w:lastRenderedPageBreak/>
        <w:t>1) радиус действия не менее 300 вёрст;</w:t>
      </w:r>
    </w:p>
    <w:p w14:paraId="6E466AFE" w14:textId="77777777" w:rsidR="00B67D7C" w:rsidRPr="00DE096C" w:rsidRDefault="00B67D7C" w:rsidP="00D45A46">
      <w:pPr>
        <w:jc w:val="both"/>
        <w:rPr>
          <w:bCs/>
          <w:color w:val="002060"/>
          <w:sz w:val="16"/>
          <w:szCs w:val="16"/>
        </w:rPr>
      </w:pPr>
      <w:r w:rsidRPr="00DE096C">
        <w:rPr>
          <w:bCs/>
          <w:color w:val="002060"/>
          <w:sz w:val="16"/>
          <w:szCs w:val="16"/>
        </w:rPr>
        <w:t>2) большая грузоподъёмность:</w:t>
      </w:r>
    </w:p>
    <w:p w14:paraId="1E83813F" w14:textId="77777777" w:rsidR="00B67D7C" w:rsidRPr="00DE096C" w:rsidRDefault="00B67D7C" w:rsidP="00D45A46">
      <w:pPr>
        <w:jc w:val="both"/>
        <w:rPr>
          <w:bCs/>
          <w:color w:val="002060"/>
          <w:sz w:val="16"/>
          <w:szCs w:val="16"/>
        </w:rPr>
      </w:pPr>
      <w:r w:rsidRPr="00DE096C">
        <w:rPr>
          <w:bCs/>
          <w:color w:val="002060"/>
          <w:sz w:val="16"/>
          <w:szCs w:val="16"/>
        </w:rPr>
        <w:t>а) две смены экипажа;</w:t>
      </w:r>
    </w:p>
    <w:p w14:paraId="360201D0" w14:textId="77777777" w:rsidR="00B67D7C" w:rsidRPr="00DE096C" w:rsidRDefault="00B67D7C" w:rsidP="00D45A46">
      <w:pPr>
        <w:jc w:val="both"/>
        <w:rPr>
          <w:bCs/>
          <w:color w:val="002060"/>
          <w:sz w:val="16"/>
          <w:szCs w:val="16"/>
        </w:rPr>
      </w:pPr>
      <w:r w:rsidRPr="00DE096C">
        <w:rPr>
          <w:bCs/>
          <w:color w:val="002060"/>
          <w:sz w:val="16"/>
          <w:szCs w:val="16"/>
        </w:rPr>
        <w:t>б) перенос не менее 10 пудов взрывчатки;</w:t>
      </w:r>
    </w:p>
    <w:p w14:paraId="060C5DAF" w14:textId="77777777" w:rsidR="00B67D7C" w:rsidRPr="00DE096C" w:rsidRDefault="00B67D7C" w:rsidP="00D45A46">
      <w:pPr>
        <w:jc w:val="both"/>
        <w:rPr>
          <w:bCs/>
          <w:color w:val="002060"/>
          <w:sz w:val="16"/>
          <w:szCs w:val="16"/>
        </w:rPr>
      </w:pPr>
      <w:r w:rsidRPr="00DE096C">
        <w:rPr>
          <w:bCs/>
          <w:color w:val="002060"/>
          <w:sz w:val="16"/>
          <w:szCs w:val="16"/>
        </w:rPr>
        <w:t>в) артиллерийское вооружение для борьбы с воздушным флотом.</w:t>
      </w:r>
    </w:p>
    <w:p w14:paraId="2372C33D" w14:textId="77777777" w:rsidR="00B67D7C" w:rsidRPr="00DE096C" w:rsidRDefault="00B67D7C" w:rsidP="00D45A46">
      <w:pPr>
        <w:jc w:val="both"/>
        <w:rPr>
          <w:bCs/>
          <w:color w:val="002060"/>
          <w:sz w:val="16"/>
          <w:szCs w:val="16"/>
        </w:rPr>
      </w:pPr>
      <w:r w:rsidRPr="00DE096C">
        <w:rPr>
          <w:bCs/>
          <w:color w:val="002060"/>
          <w:sz w:val="16"/>
          <w:szCs w:val="16"/>
        </w:rPr>
        <w:t>Все эти условия "Илья Муромец" вполне мог выполнить (12041).</w:t>
      </w:r>
    </w:p>
    <w:p w14:paraId="04B8CBA3" w14:textId="77777777" w:rsidR="00B67D7C" w:rsidRPr="00DE096C" w:rsidRDefault="00B67D7C" w:rsidP="00D45A46">
      <w:pPr>
        <w:jc w:val="both"/>
        <w:rPr>
          <w:bCs/>
          <w:color w:val="002060"/>
          <w:sz w:val="16"/>
          <w:szCs w:val="16"/>
        </w:rPr>
      </w:pPr>
    </w:p>
    <w:p w14:paraId="27D96FA1" w14:textId="77777777" w:rsidR="00D16F24" w:rsidRPr="00DE096C" w:rsidRDefault="00D16F24" w:rsidP="00D45A46">
      <w:pPr>
        <w:jc w:val="both"/>
        <w:rPr>
          <w:bCs/>
          <w:color w:val="002060"/>
          <w:sz w:val="16"/>
          <w:szCs w:val="16"/>
        </w:rPr>
      </w:pPr>
      <w:r w:rsidRPr="00DE096C">
        <w:rPr>
          <w:bCs/>
          <w:color w:val="002060"/>
          <w:sz w:val="16"/>
          <w:szCs w:val="16"/>
        </w:rPr>
        <w:t>12 (25) мая 1914 г. Военное ведомство передало РБВЗ заказ на постройку 10 самолетов «Илья Муромец» в качестве бомбардировщкков. Первые из них были готовы как раз к началу русско-германской войны.</w:t>
      </w:r>
    </w:p>
    <w:p w14:paraId="5B9C289C" w14:textId="77777777" w:rsidR="00D16F24" w:rsidRPr="00DE096C" w:rsidRDefault="00D16F24" w:rsidP="00D45A46">
      <w:pPr>
        <w:jc w:val="both"/>
        <w:rPr>
          <w:bCs/>
          <w:color w:val="002060"/>
          <w:sz w:val="16"/>
          <w:szCs w:val="16"/>
        </w:rPr>
      </w:pPr>
      <w:r w:rsidRPr="00DE096C">
        <w:rPr>
          <w:bCs/>
          <w:color w:val="002060"/>
          <w:sz w:val="16"/>
          <w:szCs w:val="16"/>
        </w:rPr>
        <w:t>/С.В.Лпицкий. Авиация русской армии в 1910-17 гг.,1950/ (23320).</w:t>
      </w:r>
    </w:p>
    <w:p w14:paraId="10CEE08F" w14:textId="77777777" w:rsidR="00D16F24" w:rsidRPr="00DE096C" w:rsidRDefault="00D16F24" w:rsidP="00D45A46">
      <w:pPr>
        <w:jc w:val="both"/>
        <w:rPr>
          <w:bCs/>
          <w:color w:val="002060"/>
          <w:sz w:val="16"/>
          <w:szCs w:val="16"/>
        </w:rPr>
      </w:pPr>
    </w:p>
    <w:p w14:paraId="49B9BC75" w14:textId="6CC407E1" w:rsidR="00AD294D" w:rsidRPr="00DE096C" w:rsidRDefault="00AD294D" w:rsidP="00D45A46">
      <w:pPr>
        <w:jc w:val="both"/>
        <w:rPr>
          <w:bCs/>
          <w:color w:val="002060"/>
          <w:sz w:val="16"/>
          <w:szCs w:val="16"/>
          <w:lang w:bidi="ru-RU"/>
        </w:rPr>
      </w:pPr>
      <w:r w:rsidRPr="00DE096C">
        <w:rPr>
          <w:bCs/>
          <w:color w:val="002060"/>
          <w:sz w:val="16"/>
          <w:szCs w:val="16"/>
          <w:lang w:bidi="ru-RU"/>
        </w:rPr>
        <w:t>12 (25) мая 1914 г. Главное Военно-Техничес</w:t>
      </w:r>
      <w:r w:rsidRPr="00DE096C">
        <w:rPr>
          <w:bCs/>
          <w:color w:val="002060"/>
          <w:sz w:val="16"/>
          <w:szCs w:val="16"/>
          <w:lang w:bidi="ru-RU"/>
        </w:rPr>
        <w:softHyphen/>
        <w:t>кое управление за</w:t>
      </w:r>
      <w:r w:rsidRPr="00DE096C">
        <w:rPr>
          <w:bCs/>
          <w:color w:val="002060"/>
          <w:sz w:val="16"/>
          <w:szCs w:val="16"/>
          <w:lang w:bidi="ru-RU"/>
        </w:rPr>
        <w:softHyphen/>
        <w:t>ключило контракт с РБВЗ на поставку 10 самолетов типа «Илья Муромец» для нужд военной авиации.</w:t>
      </w:r>
    </w:p>
    <w:p w14:paraId="757FC15F" w14:textId="77777777" w:rsidR="00AD294D" w:rsidRPr="00DE096C" w:rsidRDefault="00AD294D" w:rsidP="00D45A46">
      <w:pPr>
        <w:jc w:val="both"/>
        <w:rPr>
          <w:bCs/>
          <w:color w:val="002060"/>
          <w:sz w:val="16"/>
          <w:szCs w:val="16"/>
        </w:rPr>
      </w:pPr>
      <w:r w:rsidRPr="00DE096C">
        <w:rPr>
          <w:bCs/>
          <w:color w:val="002060"/>
          <w:sz w:val="16"/>
          <w:szCs w:val="16"/>
        </w:rPr>
        <w:t>Летные и технические характеристики «ИМ» №107</w:t>
      </w:r>
    </w:p>
    <w:p w14:paraId="412A56CB" w14:textId="77777777" w:rsidR="00AD294D" w:rsidRPr="00DE096C" w:rsidRDefault="00AD294D" w:rsidP="00D45A46">
      <w:pPr>
        <w:jc w:val="both"/>
        <w:rPr>
          <w:bCs/>
          <w:color w:val="002060"/>
          <w:sz w:val="16"/>
          <w:szCs w:val="16"/>
        </w:rPr>
      </w:pPr>
      <w:r w:rsidRPr="00DE096C">
        <w:rPr>
          <w:bCs/>
          <w:color w:val="002060"/>
          <w:sz w:val="16"/>
          <w:szCs w:val="16"/>
        </w:rPr>
        <w:t>Размах верхнего крыла (м)</w:t>
      </w:r>
      <w:r w:rsidRPr="00DE096C">
        <w:rPr>
          <w:bCs/>
          <w:color w:val="002060"/>
          <w:sz w:val="16"/>
          <w:szCs w:val="16"/>
        </w:rPr>
        <w:tab/>
        <w:t>32,0</w:t>
      </w:r>
    </w:p>
    <w:p w14:paraId="10507833" w14:textId="77777777" w:rsidR="00AD294D" w:rsidRPr="00DE096C" w:rsidRDefault="00AD294D" w:rsidP="00D45A46">
      <w:pPr>
        <w:jc w:val="both"/>
        <w:rPr>
          <w:bCs/>
          <w:color w:val="002060"/>
          <w:sz w:val="16"/>
          <w:szCs w:val="16"/>
        </w:rPr>
      </w:pPr>
      <w:r w:rsidRPr="00DE096C">
        <w:rPr>
          <w:bCs/>
          <w:color w:val="002060"/>
          <w:sz w:val="16"/>
          <w:szCs w:val="16"/>
        </w:rPr>
        <w:t>Размах нижнего крыла (м)</w:t>
      </w:r>
      <w:r w:rsidRPr="00DE096C">
        <w:rPr>
          <w:bCs/>
          <w:color w:val="002060"/>
          <w:sz w:val="16"/>
          <w:szCs w:val="16"/>
        </w:rPr>
        <w:tab/>
        <w:t>22,0</w:t>
      </w:r>
    </w:p>
    <w:p w14:paraId="7A1FF6D1" w14:textId="77777777" w:rsidR="00AD294D" w:rsidRPr="00DE096C" w:rsidRDefault="00AD294D" w:rsidP="00D45A46">
      <w:pPr>
        <w:jc w:val="both"/>
        <w:rPr>
          <w:bCs/>
          <w:color w:val="002060"/>
          <w:sz w:val="16"/>
          <w:szCs w:val="16"/>
        </w:rPr>
      </w:pPr>
      <w:r w:rsidRPr="00DE096C">
        <w:rPr>
          <w:bCs/>
          <w:color w:val="002060"/>
          <w:sz w:val="16"/>
          <w:szCs w:val="16"/>
        </w:rPr>
        <w:t>Площадь крыла</w:t>
      </w:r>
      <w:r w:rsidRPr="00DE096C">
        <w:rPr>
          <w:bCs/>
          <w:color w:val="002060"/>
          <w:sz w:val="16"/>
          <w:szCs w:val="16"/>
        </w:rPr>
        <w:tab/>
        <w:t>182,0 (210,0 — со средним крылом)</w:t>
      </w:r>
    </w:p>
    <w:p w14:paraId="374CBC44" w14:textId="77777777" w:rsidR="00AD294D" w:rsidRPr="00DE096C" w:rsidRDefault="00AD294D" w:rsidP="00D45A46">
      <w:pPr>
        <w:jc w:val="both"/>
        <w:rPr>
          <w:bCs/>
          <w:color w:val="002060"/>
          <w:sz w:val="16"/>
          <w:szCs w:val="16"/>
        </w:rPr>
      </w:pPr>
      <w:r w:rsidRPr="00DE096C">
        <w:rPr>
          <w:bCs/>
          <w:color w:val="002060"/>
          <w:sz w:val="16"/>
          <w:szCs w:val="16"/>
        </w:rPr>
        <w:t>Длина (м)</w:t>
      </w:r>
      <w:r w:rsidRPr="00DE096C">
        <w:rPr>
          <w:bCs/>
          <w:color w:val="002060"/>
          <w:sz w:val="16"/>
          <w:szCs w:val="16"/>
        </w:rPr>
        <w:tab/>
        <w:t>22,0</w:t>
      </w:r>
    </w:p>
    <w:p w14:paraId="15DF5ECA" w14:textId="77777777" w:rsidR="00AD294D" w:rsidRPr="00DE096C" w:rsidRDefault="00AD294D" w:rsidP="00D45A46">
      <w:pPr>
        <w:jc w:val="both"/>
        <w:rPr>
          <w:bCs/>
          <w:color w:val="002060"/>
          <w:sz w:val="16"/>
          <w:szCs w:val="16"/>
        </w:rPr>
      </w:pPr>
      <w:r w:rsidRPr="00DE096C">
        <w:rPr>
          <w:rFonts w:eastAsia="Arial"/>
          <w:bCs/>
          <w:color w:val="002060"/>
          <w:sz w:val="16"/>
          <w:szCs w:val="16"/>
        </w:rPr>
        <w:t>Вес пустого (кг)</w:t>
      </w:r>
      <w:r w:rsidRPr="00DE096C">
        <w:rPr>
          <w:rFonts w:eastAsia="Arial"/>
          <w:bCs/>
          <w:color w:val="002060"/>
          <w:sz w:val="16"/>
          <w:szCs w:val="16"/>
        </w:rPr>
        <w:tab/>
        <w:t>3800</w:t>
      </w:r>
    </w:p>
    <w:p w14:paraId="354415F1" w14:textId="77777777" w:rsidR="00AD294D" w:rsidRPr="00DE096C" w:rsidRDefault="00AD294D" w:rsidP="00D45A46">
      <w:pPr>
        <w:jc w:val="both"/>
        <w:rPr>
          <w:bCs/>
          <w:color w:val="002060"/>
          <w:sz w:val="16"/>
          <w:szCs w:val="16"/>
        </w:rPr>
      </w:pPr>
      <w:r w:rsidRPr="00DE096C">
        <w:rPr>
          <w:rFonts w:eastAsia="Arial"/>
          <w:bCs/>
          <w:color w:val="002060"/>
          <w:sz w:val="16"/>
          <w:szCs w:val="16"/>
        </w:rPr>
        <w:t>Полетный вес (кг)</w:t>
      </w:r>
      <w:r w:rsidRPr="00DE096C">
        <w:rPr>
          <w:rFonts w:eastAsia="Arial"/>
          <w:bCs/>
          <w:color w:val="002060"/>
          <w:sz w:val="16"/>
          <w:szCs w:val="16"/>
        </w:rPr>
        <w:tab/>
        <w:t>5100</w:t>
      </w:r>
    </w:p>
    <w:p w14:paraId="100A9EFD" w14:textId="77777777" w:rsidR="00AD294D" w:rsidRPr="00DE096C" w:rsidRDefault="00AD294D" w:rsidP="00D45A46">
      <w:pPr>
        <w:jc w:val="both"/>
        <w:rPr>
          <w:bCs/>
          <w:color w:val="002060"/>
          <w:sz w:val="16"/>
          <w:szCs w:val="16"/>
        </w:rPr>
      </w:pPr>
      <w:r w:rsidRPr="00DE096C">
        <w:rPr>
          <w:rFonts w:eastAsia="Arial"/>
          <w:bCs/>
          <w:color w:val="002060"/>
          <w:sz w:val="16"/>
          <w:szCs w:val="16"/>
        </w:rPr>
        <w:t>Полетная скорость</w:t>
      </w:r>
      <w:r w:rsidRPr="00DE096C">
        <w:rPr>
          <w:rFonts w:eastAsia="Arial"/>
          <w:bCs/>
          <w:color w:val="002060"/>
          <w:sz w:val="16"/>
          <w:szCs w:val="16"/>
        </w:rPr>
        <w:tab/>
        <w:t>(км/ч)</w:t>
      </w:r>
      <w:r w:rsidRPr="00DE096C">
        <w:rPr>
          <w:rFonts w:eastAsia="Arial"/>
          <w:bCs/>
          <w:color w:val="002060"/>
          <w:sz w:val="16"/>
          <w:szCs w:val="16"/>
        </w:rPr>
        <w:tab/>
        <w:t>95</w:t>
      </w:r>
    </w:p>
    <w:p w14:paraId="0281FAA0" w14:textId="77777777" w:rsidR="00AD294D" w:rsidRPr="00DE096C" w:rsidRDefault="00AD294D" w:rsidP="00D45A46">
      <w:pPr>
        <w:pStyle w:val="af9"/>
        <w:tabs>
          <w:tab w:val="right" w:pos="5400"/>
        </w:tabs>
        <w:spacing w:line="240" w:lineRule="auto"/>
        <w:jc w:val="both"/>
        <w:rPr>
          <w:rFonts w:ascii="Times New Roman" w:hAnsi="Times New Roman" w:cs="Times New Roman"/>
          <w:bCs/>
          <w:color w:val="002060"/>
          <w:sz w:val="16"/>
          <w:szCs w:val="16"/>
        </w:rPr>
      </w:pPr>
      <w:r w:rsidRPr="00DE096C">
        <w:rPr>
          <w:rFonts w:ascii="Times New Roman" w:eastAsia="Arial" w:hAnsi="Times New Roman" w:cs="Times New Roman"/>
          <w:bCs/>
          <w:color w:val="002060"/>
          <w:sz w:val="16"/>
          <w:szCs w:val="16"/>
          <w:lang w:eastAsia="ru-RU" w:bidi="ru-RU"/>
        </w:rPr>
        <w:t>Потолок(м)</w:t>
      </w:r>
      <w:r w:rsidRPr="00DE096C">
        <w:rPr>
          <w:rFonts w:ascii="Times New Roman" w:eastAsia="Arial" w:hAnsi="Times New Roman" w:cs="Times New Roman"/>
          <w:bCs/>
          <w:color w:val="002060"/>
          <w:sz w:val="16"/>
          <w:szCs w:val="16"/>
          <w:lang w:eastAsia="ru-RU" w:bidi="ru-RU"/>
        </w:rPr>
        <w:tab/>
        <w:t>1500</w:t>
      </w:r>
    </w:p>
    <w:p w14:paraId="4F786DC4" w14:textId="77777777" w:rsidR="00AD294D" w:rsidRPr="00DE096C" w:rsidRDefault="00AD294D" w:rsidP="00D45A46">
      <w:pPr>
        <w:pStyle w:val="af9"/>
        <w:tabs>
          <w:tab w:val="right" w:pos="5414"/>
        </w:tabs>
        <w:spacing w:line="240" w:lineRule="auto"/>
        <w:jc w:val="both"/>
        <w:rPr>
          <w:rFonts w:ascii="Times New Roman" w:hAnsi="Times New Roman" w:cs="Times New Roman"/>
          <w:bCs/>
          <w:color w:val="002060"/>
          <w:sz w:val="16"/>
          <w:szCs w:val="16"/>
        </w:rPr>
      </w:pPr>
      <w:r w:rsidRPr="00DE096C">
        <w:rPr>
          <w:rFonts w:ascii="Times New Roman" w:eastAsia="Arial" w:hAnsi="Times New Roman" w:cs="Times New Roman"/>
          <w:bCs/>
          <w:color w:val="002060"/>
          <w:sz w:val="16"/>
          <w:szCs w:val="16"/>
          <w:lang w:eastAsia="ru-RU" w:bidi="ru-RU"/>
        </w:rPr>
        <w:t>Дальность полета (км)</w:t>
      </w:r>
      <w:r w:rsidRPr="00DE096C">
        <w:rPr>
          <w:rFonts w:ascii="Times New Roman" w:eastAsia="Arial" w:hAnsi="Times New Roman" w:cs="Times New Roman"/>
          <w:bCs/>
          <w:color w:val="002060"/>
          <w:sz w:val="16"/>
          <w:szCs w:val="16"/>
          <w:lang w:eastAsia="ru-RU" w:bidi="ru-RU"/>
        </w:rPr>
        <w:tab/>
        <w:t>270</w:t>
      </w:r>
    </w:p>
    <w:p w14:paraId="5A17E766" w14:textId="77777777" w:rsidR="00AD294D" w:rsidRPr="00DE096C" w:rsidRDefault="00AD294D" w:rsidP="00D45A46">
      <w:pPr>
        <w:tabs>
          <w:tab w:val="left" w:pos="4723"/>
        </w:tabs>
        <w:jc w:val="both"/>
        <w:rPr>
          <w:bCs/>
          <w:color w:val="002060"/>
          <w:sz w:val="16"/>
          <w:szCs w:val="16"/>
        </w:rPr>
      </w:pPr>
      <w:r w:rsidRPr="00DE096C">
        <w:rPr>
          <w:bCs/>
          <w:color w:val="002060"/>
          <w:sz w:val="16"/>
          <w:szCs w:val="16"/>
          <w:lang w:bidi="ru-RU"/>
        </w:rPr>
        <w:t>Суммарная мощность двигателей</w:t>
      </w:r>
      <w:r w:rsidRPr="00DE096C">
        <w:rPr>
          <w:bCs/>
          <w:color w:val="002060"/>
          <w:sz w:val="16"/>
          <w:szCs w:val="16"/>
          <w:lang w:bidi="ru-RU"/>
        </w:rPr>
        <w:tab/>
        <w:t>400 л.с.</w:t>
      </w:r>
    </w:p>
    <w:p w14:paraId="621513D0" w14:textId="77777777" w:rsidR="00AD294D" w:rsidRPr="00DE096C" w:rsidRDefault="00AD294D" w:rsidP="00D45A46">
      <w:pPr>
        <w:jc w:val="both"/>
        <w:rPr>
          <w:bCs/>
          <w:color w:val="002060"/>
          <w:sz w:val="16"/>
          <w:szCs w:val="16"/>
        </w:rPr>
      </w:pPr>
      <w:r w:rsidRPr="00DE096C">
        <w:rPr>
          <w:bCs/>
          <w:color w:val="002060"/>
          <w:sz w:val="16"/>
          <w:szCs w:val="16"/>
          <w:lang w:bidi="ru-RU"/>
        </w:rPr>
        <w:t>(4 х «Санбим» 100 л.с.)</w:t>
      </w:r>
    </w:p>
    <w:p w14:paraId="5DA5F1A5" w14:textId="77777777" w:rsidR="00AD294D" w:rsidRPr="00DE096C" w:rsidRDefault="00AD294D" w:rsidP="00D45A46">
      <w:pPr>
        <w:jc w:val="both"/>
        <w:rPr>
          <w:bCs/>
          <w:color w:val="002060"/>
          <w:sz w:val="16"/>
          <w:szCs w:val="16"/>
        </w:rPr>
      </w:pPr>
      <w:r w:rsidRPr="00DE096C">
        <w:rPr>
          <w:bCs/>
          <w:color w:val="002060"/>
          <w:sz w:val="16"/>
          <w:szCs w:val="16"/>
          <w:lang w:bidi="ru-RU"/>
        </w:rPr>
        <w:t>(23374).</w:t>
      </w:r>
    </w:p>
    <w:p w14:paraId="4234340A" w14:textId="77777777" w:rsidR="00AD294D" w:rsidRPr="00DE096C" w:rsidRDefault="00AD294D" w:rsidP="00D45A46">
      <w:pPr>
        <w:jc w:val="both"/>
        <w:rPr>
          <w:bCs/>
          <w:color w:val="002060"/>
          <w:sz w:val="16"/>
          <w:szCs w:val="16"/>
        </w:rPr>
      </w:pPr>
    </w:p>
    <w:p w14:paraId="67BD2917" w14:textId="77777777" w:rsidR="00AD294D" w:rsidRPr="00DE096C" w:rsidRDefault="00AD294D" w:rsidP="00D45A46">
      <w:pPr>
        <w:jc w:val="both"/>
        <w:rPr>
          <w:bCs/>
          <w:color w:val="002060"/>
          <w:sz w:val="16"/>
          <w:szCs w:val="16"/>
        </w:rPr>
      </w:pPr>
      <w:r w:rsidRPr="00DE096C">
        <w:rPr>
          <w:bCs/>
          <w:color w:val="002060"/>
          <w:sz w:val="16"/>
          <w:szCs w:val="16"/>
        </w:rPr>
        <w:t>12 (25) мая 1914 г. по результатам испытаний самолета ИМ 107 ГВТУ заключило с РБВЗ контракт № 2685/1515 на поставку еще 10 самолетов «Илья Муромец» для ИВФ, а головной самолет был передан Морскому и по его распоряжению установлен на поплавковое шасси. При этом были и другие доработки:</w:t>
      </w:r>
    </w:p>
    <w:p w14:paraId="5EDE3FCE" w14:textId="77777777" w:rsidR="00AD294D" w:rsidRPr="00DE096C" w:rsidRDefault="00AD294D" w:rsidP="00D45A46">
      <w:pPr>
        <w:jc w:val="both"/>
        <w:rPr>
          <w:bCs/>
          <w:color w:val="002060"/>
          <w:sz w:val="16"/>
          <w:szCs w:val="16"/>
        </w:rPr>
      </w:pPr>
      <w:r w:rsidRPr="00DE096C">
        <w:rPr>
          <w:bCs/>
          <w:color w:val="002060"/>
          <w:sz w:val="16"/>
          <w:szCs w:val="16"/>
        </w:rPr>
        <w:t>- внутренняя пара двигателей «Аргус» (As Iпо большинству источников мощностью 100 л.с., по Хайрулину – 115 л.с.) была заменена на звездообразные моторы водяного охлаждения производства французской фирмы «Сальмсон» (по большинству источников мощностью 125 л.с., их тип не указан, но вероятнее всего это были 9-цилиндровые однорядные Salmson B9 или М9, по Хайрулину – Salmson 2M7 по 200 л.с.);</w:t>
      </w:r>
    </w:p>
    <w:p w14:paraId="0F42A39F" w14:textId="77777777" w:rsidR="00AD294D" w:rsidRPr="00DE096C" w:rsidRDefault="00AD294D" w:rsidP="00D45A46">
      <w:pPr>
        <w:jc w:val="both"/>
        <w:rPr>
          <w:bCs/>
          <w:color w:val="002060"/>
          <w:sz w:val="16"/>
          <w:szCs w:val="16"/>
        </w:rPr>
      </w:pPr>
      <w:r w:rsidRPr="00DE096C">
        <w:rPr>
          <w:bCs/>
          <w:color w:val="002060"/>
          <w:sz w:val="16"/>
          <w:szCs w:val="16"/>
        </w:rPr>
        <w:t>- за каждым мотором «Сальмсон» установлены параллельно межкрыльевым стойкам по два радиатора охлаждения в виде пакетов прямоугольного сечения из тонких трубок, соединяемых вверху и внизу расширительными бачками, а между ними – хомутами;</w:t>
      </w:r>
    </w:p>
    <w:p w14:paraId="0A8BBFD1" w14:textId="77777777" w:rsidR="00AD294D" w:rsidRPr="00DE096C" w:rsidRDefault="00AD294D" w:rsidP="00D45A46">
      <w:pPr>
        <w:jc w:val="both"/>
        <w:rPr>
          <w:bCs/>
          <w:color w:val="002060"/>
          <w:sz w:val="16"/>
          <w:szCs w:val="16"/>
        </w:rPr>
      </w:pPr>
      <w:r w:rsidRPr="00DE096C">
        <w:rPr>
          <w:bCs/>
          <w:color w:val="002060"/>
          <w:sz w:val="16"/>
          <w:szCs w:val="16"/>
        </w:rPr>
        <w:t>- планер усилен, местами защищен от воздействия морской воды дополнительной заделкой щелей и покраской;</w:t>
      </w:r>
    </w:p>
    <w:p w14:paraId="2E4A591E" w14:textId="77777777" w:rsidR="00AD294D" w:rsidRPr="00DE096C" w:rsidRDefault="00AD294D" w:rsidP="00D45A46">
      <w:pPr>
        <w:jc w:val="both"/>
        <w:rPr>
          <w:bCs/>
          <w:color w:val="002060"/>
          <w:sz w:val="16"/>
          <w:szCs w:val="16"/>
        </w:rPr>
      </w:pPr>
      <w:r w:rsidRPr="00DE096C">
        <w:rPr>
          <w:bCs/>
          <w:color w:val="002060"/>
          <w:sz w:val="16"/>
          <w:szCs w:val="16"/>
        </w:rPr>
        <w:t>- установлено поплавковое шасси – главное изменение, см. ниже;</w:t>
      </w:r>
    </w:p>
    <w:p w14:paraId="7549A378" w14:textId="77777777" w:rsidR="00AD294D" w:rsidRPr="00DE096C" w:rsidRDefault="00AD294D" w:rsidP="00D45A46">
      <w:pPr>
        <w:jc w:val="both"/>
        <w:rPr>
          <w:bCs/>
          <w:color w:val="002060"/>
          <w:sz w:val="16"/>
          <w:szCs w:val="16"/>
        </w:rPr>
      </w:pPr>
      <w:r w:rsidRPr="00DE096C">
        <w:rPr>
          <w:bCs/>
          <w:color w:val="002060"/>
          <w:sz w:val="16"/>
          <w:szCs w:val="16"/>
        </w:rPr>
        <w:t>- самолет получил стрелковое вооружение.</w:t>
      </w:r>
    </w:p>
    <w:p w14:paraId="25112F0D" w14:textId="77777777" w:rsidR="00AD294D" w:rsidRPr="00DE096C" w:rsidRDefault="00AD294D" w:rsidP="00D45A46">
      <w:pPr>
        <w:jc w:val="both"/>
        <w:rPr>
          <w:bCs/>
          <w:color w:val="002060"/>
          <w:sz w:val="16"/>
          <w:szCs w:val="16"/>
        </w:rPr>
      </w:pPr>
      <w:r w:rsidRPr="00DE096C">
        <w:rPr>
          <w:bCs/>
          <w:color w:val="002060"/>
          <w:sz w:val="16"/>
          <w:szCs w:val="16"/>
        </w:rPr>
        <w:t>Шасси поплавковое:</w:t>
      </w:r>
    </w:p>
    <w:p w14:paraId="1F46D453" w14:textId="77777777" w:rsidR="00AD294D" w:rsidRPr="00DE096C" w:rsidRDefault="00AD294D" w:rsidP="00D45A46">
      <w:pPr>
        <w:jc w:val="both"/>
        <w:rPr>
          <w:bCs/>
          <w:color w:val="002060"/>
          <w:sz w:val="16"/>
          <w:szCs w:val="16"/>
        </w:rPr>
      </w:pPr>
      <w:r w:rsidRPr="00DE096C">
        <w:rPr>
          <w:bCs/>
          <w:color w:val="002060"/>
          <w:sz w:val="16"/>
          <w:szCs w:val="16"/>
        </w:rPr>
        <w:t>- трехопорное, с двумя главными и хвостовым поплавками;</w:t>
      </w:r>
    </w:p>
    <w:p w14:paraId="7B4C3C61" w14:textId="77777777" w:rsidR="00AD294D" w:rsidRPr="00DE096C" w:rsidRDefault="00AD294D" w:rsidP="00D45A46">
      <w:pPr>
        <w:jc w:val="both"/>
        <w:rPr>
          <w:bCs/>
          <w:color w:val="002060"/>
          <w:sz w:val="16"/>
          <w:szCs w:val="16"/>
        </w:rPr>
      </w:pPr>
      <w:r w:rsidRPr="00DE096C">
        <w:rPr>
          <w:bCs/>
          <w:color w:val="002060"/>
          <w:sz w:val="16"/>
          <w:szCs w:val="16"/>
        </w:rPr>
        <w:t>- основные опоры шасси с их колесами и короткими противокапотажными лыжами, а также установка костыля сняты, средняя рама осталась, но выступающие вперед части ее длинных противокапотажных лыж и их подкосы сняты;</w:t>
      </w:r>
    </w:p>
    <w:p w14:paraId="36B55956" w14:textId="77777777" w:rsidR="00AD294D" w:rsidRPr="00DE096C" w:rsidRDefault="00AD294D" w:rsidP="00D45A46">
      <w:pPr>
        <w:jc w:val="both"/>
        <w:rPr>
          <w:bCs/>
          <w:color w:val="002060"/>
          <w:sz w:val="16"/>
          <w:szCs w:val="16"/>
        </w:rPr>
      </w:pPr>
      <w:r w:rsidRPr="00DE096C">
        <w:rPr>
          <w:bCs/>
          <w:color w:val="002060"/>
          <w:sz w:val="16"/>
          <w:szCs w:val="16"/>
        </w:rPr>
        <w:t>- поплавки по типу испытанных на самолете С-5а минимальных размеров, потому с малым запасом плавучести (30% по расчету, но вышло значительно меньше), отношение ширины поплавков к высоте необычно большое, днища плоские безреданные, верхние поверхности имеют плоские палубы со скруглением в местах стыков с бортами;</w:t>
      </w:r>
    </w:p>
    <w:p w14:paraId="66311B12" w14:textId="77777777" w:rsidR="00AD294D" w:rsidRPr="00DE096C" w:rsidRDefault="00AD294D" w:rsidP="00D45A46">
      <w:pPr>
        <w:jc w:val="both"/>
        <w:rPr>
          <w:bCs/>
          <w:color w:val="002060"/>
          <w:sz w:val="16"/>
          <w:szCs w:val="16"/>
        </w:rPr>
      </w:pPr>
      <w:r w:rsidRPr="00DE096C">
        <w:rPr>
          <w:bCs/>
          <w:color w:val="002060"/>
          <w:sz w:val="16"/>
          <w:szCs w:val="16"/>
        </w:rPr>
        <w:t>- поплавки имеют деревянный силовой набор и фанерную обшивку, но «кабаны», которыми они крепятся к рамам, – сварные из стальных труб, к самим поплавкам крепятся болтами;</w:t>
      </w:r>
    </w:p>
    <w:p w14:paraId="04E871C9" w14:textId="77777777" w:rsidR="00AD294D" w:rsidRPr="00DE096C" w:rsidRDefault="00AD294D" w:rsidP="00D45A46">
      <w:pPr>
        <w:jc w:val="both"/>
        <w:rPr>
          <w:bCs/>
          <w:color w:val="002060"/>
          <w:sz w:val="16"/>
          <w:szCs w:val="16"/>
        </w:rPr>
      </w:pPr>
      <w:r w:rsidRPr="00DE096C">
        <w:rPr>
          <w:bCs/>
          <w:color w:val="002060"/>
          <w:sz w:val="16"/>
          <w:szCs w:val="16"/>
        </w:rPr>
        <w:t>- на каждом поплавке два передних и два задних «кабана»;</w:t>
      </w:r>
    </w:p>
    <w:p w14:paraId="6461E33D" w14:textId="77777777" w:rsidR="00AD294D" w:rsidRPr="00DE096C" w:rsidRDefault="00AD294D" w:rsidP="00D45A46">
      <w:pPr>
        <w:jc w:val="both"/>
        <w:rPr>
          <w:bCs/>
          <w:color w:val="002060"/>
          <w:sz w:val="16"/>
          <w:szCs w:val="16"/>
        </w:rPr>
      </w:pPr>
      <w:r w:rsidRPr="00DE096C">
        <w:rPr>
          <w:bCs/>
          <w:color w:val="002060"/>
          <w:sz w:val="16"/>
          <w:szCs w:val="16"/>
        </w:rPr>
        <w:t>- стойки крепления главных поплавков полностью новые, представляют собой пространственные рамы из четырех стержней в виде усеченной пирамиды, соединенных по нижним концам плоской прямоугольной рамой (все – стальные трубы на сварке);</w:t>
      </w:r>
    </w:p>
    <w:p w14:paraId="1A579658" w14:textId="77777777" w:rsidR="00AD294D" w:rsidRPr="00DE096C" w:rsidRDefault="00AD294D" w:rsidP="00D45A46">
      <w:pPr>
        <w:jc w:val="both"/>
        <w:rPr>
          <w:bCs/>
          <w:color w:val="002060"/>
          <w:sz w:val="16"/>
          <w:szCs w:val="16"/>
        </w:rPr>
      </w:pPr>
      <w:r w:rsidRPr="00DE096C">
        <w:rPr>
          <w:bCs/>
          <w:color w:val="002060"/>
          <w:sz w:val="16"/>
          <w:szCs w:val="16"/>
        </w:rPr>
        <w:t>- стойки крепления главных поплавков соединены со средней рамой шасси теми же двумя траверсами, что и на колесном шасси;</w:t>
      </w:r>
    </w:p>
    <w:p w14:paraId="2D2F7920" w14:textId="77777777" w:rsidR="00AD294D" w:rsidRPr="00DE096C" w:rsidRDefault="00AD294D" w:rsidP="00D45A46">
      <w:pPr>
        <w:jc w:val="both"/>
        <w:rPr>
          <w:bCs/>
          <w:color w:val="002060"/>
          <w:sz w:val="16"/>
          <w:szCs w:val="16"/>
        </w:rPr>
      </w:pPr>
      <w:r w:rsidRPr="00DE096C">
        <w:rPr>
          <w:bCs/>
          <w:color w:val="002060"/>
          <w:sz w:val="16"/>
          <w:szCs w:val="16"/>
        </w:rPr>
        <w:t>- поплавки соединены своими кабанами к поперечным трубам их рам крепления резиновыми шнурами так, что могут качаться независимо в пределах их растяжения, чем достигается амортизация при касании воды и при движении по волне;</w:t>
      </w:r>
    </w:p>
    <w:p w14:paraId="11467B39" w14:textId="77777777" w:rsidR="00AD294D" w:rsidRPr="00DE096C" w:rsidRDefault="00AD294D" w:rsidP="00D45A46">
      <w:pPr>
        <w:jc w:val="both"/>
        <w:rPr>
          <w:bCs/>
          <w:color w:val="002060"/>
          <w:sz w:val="16"/>
          <w:szCs w:val="16"/>
        </w:rPr>
      </w:pPr>
      <w:r w:rsidRPr="00DE096C">
        <w:rPr>
          <w:bCs/>
          <w:color w:val="002060"/>
          <w:sz w:val="16"/>
          <w:szCs w:val="16"/>
        </w:rPr>
        <w:t>- хвостовой поплавок одиночный на полностью новом креплении, других сведений о нем нет.</w:t>
      </w:r>
    </w:p>
    <w:p w14:paraId="57F1EED4" w14:textId="77777777" w:rsidR="00AD294D" w:rsidRPr="00DE096C" w:rsidRDefault="00AD294D" w:rsidP="00D45A46">
      <w:pPr>
        <w:jc w:val="both"/>
        <w:rPr>
          <w:bCs/>
          <w:color w:val="002060"/>
          <w:sz w:val="16"/>
          <w:szCs w:val="16"/>
        </w:rPr>
      </w:pPr>
      <w:r w:rsidRPr="00DE096C">
        <w:rPr>
          <w:bCs/>
          <w:color w:val="002060"/>
          <w:sz w:val="16"/>
          <w:szCs w:val="16"/>
        </w:rPr>
        <w:t>Облет самолета с воды выполнил Сикорский 14 (27 по н.ст.) мая 1914 г., первый полет продолжался 12 мин.</w:t>
      </w:r>
    </w:p>
    <w:p w14:paraId="776432E6" w14:textId="77777777" w:rsidR="00AD294D" w:rsidRPr="00DE096C" w:rsidRDefault="00AD294D" w:rsidP="00D45A46">
      <w:pPr>
        <w:jc w:val="both"/>
        <w:rPr>
          <w:bCs/>
          <w:color w:val="002060"/>
          <w:sz w:val="16"/>
          <w:szCs w:val="16"/>
        </w:rPr>
      </w:pPr>
      <w:r w:rsidRPr="00DE096C">
        <w:rPr>
          <w:bCs/>
          <w:color w:val="002060"/>
          <w:sz w:val="16"/>
          <w:szCs w:val="16"/>
        </w:rPr>
        <w:t>В испытаниях участвовал также морской летчик л-т Г.И. Лавров, в дальнейшем назначенный командиром корабля.</w:t>
      </w:r>
    </w:p>
    <w:p w14:paraId="5A01935F" w14:textId="77777777" w:rsidR="00AD294D" w:rsidRPr="00DE096C" w:rsidRDefault="00AD294D" w:rsidP="00D45A46">
      <w:pPr>
        <w:jc w:val="both"/>
        <w:rPr>
          <w:bCs/>
          <w:color w:val="002060"/>
          <w:sz w:val="16"/>
          <w:szCs w:val="16"/>
        </w:rPr>
      </w:pPr>
      <w:r w:rsidRPr="00DE096C">
        <w:rPr>
          <w:bCs/>
          <w:color w:val="002060"/>
          <w:sz w:val="16"/>
          <w:szCs w:val="16"/>
        </w:rPr>
        <w:t>В ходе эксплуатации силовая установка дорабатывалась в 2 этапа:</w:t>
      </w:r>
    </w:p>
    <w:p w14:paraId="097F7A0F" w14:textId="77777777" w:rsidR="00AD294D" w:rsidRPr="00DE096C" w:rsidRDefault="00AD294D" w:rsidP="00D45A46">
      <w:pPr>
        <w:jc w:val="both"/>
        <w:rPr>
          <w:bCs/>
          <w:color w:val="002060"/>
          <w:sz w:val="16"/>
          <w:szCs w:val="16"/>
        </w:rPr>
      </w:pPr>
      <w:r w:rsidRPr="00DE096C">
        <w:rPr>
          <w:bCs/>
          <w:color w:val="002060"/>
          <w:sz w:val="16"/>
          <w:szCs w:val="16"/>
        </w:rPr>
        <w:t>- внешние 4-цилиндровыми двигатели «Аргус» (As I мощностью 100 л.с.) заменены 6-цилиндровыми «Аргус» (As II) с мощностью 115 л.с.;</w:t>
      </w:r>
    </w:p>
    <w:p w14:paraId="7A7A3D0E" w14:textId="77777777" w:rsidR="00AD294D" w:rsidRPr="00DE096C" w:rsidRDefault="00AD294D" w:rsidP="00D45A46">
      <w:pPr>
        <w:jc w:val="both"/>
        <w:rPr>
          <w:bCs/>
          <w:color w:val="002060"/>
          <w:sz w:val="16"/>
          <w:szCs w:val="16"/>
        </w:rPr>
      </w:pPr>
      <w:r w:rsidRPr="00DE096C">
        <w:rPr>
          <w:bCs/>
          <w:color w:val="002060"/>
          <w:sz w:val="16"/>
          <w:szCs w:val="16"/>
        </w:rPr>
        <w:t>- внутренние двигатели «Сальмсон» 125 л.с. заменены на двухрядные звездообразные 14-цилиндровые Salmson 2M.7 мощностью по 200 л.с. (также водяного охлаждения);</w:t>
      </w:r>
    </w:p>
    <w:p w14:paraId="3E853759" w14:textId="77777777" w:rsidR="00AD294D" w:rsidRPr="00DE096C" w:rsidRDefault="00AD294D" w:rsidP="00D45A46">
      <w:pPr>
        <w:jc w:val="both"/>
        <w:rPr>
          <w:bCs/>
          <w:color w:val="002060"/>
          <w:sz w:val="16"/>
          <w:szCs w:val="16"/>
        </w:rPr>
      </w:pPr>
      <w:r w:rsidRPr="00DE096C">
        <w:rPr>
          <w:bCs/>
          <w:color w:val="002060"/>
          <w:sz w:val="16"/>
          <w:szCs w:val="16"/>
        </w:rPr>
        <w:t>- запас топлива и масла увеличен с 384 до 900 кг.</w:t>
      </w:r>
    </w:p>
    <w:p w14:paraId="17A93584" w14:textId="77777777" w:rsidR="00AD294D" w:rsidRPr="00DE096C" w:rsidRDefault="00AD294D" w:rsidP="00D45A46">
      <w:pPr>
        <w:jc w:val="both"/>
        <w:rPr>
          <w:bCs/>
          <w:color w:val="002060"/>
          <w:sz w:val="16"/>
          <w:szCs w:val="16"/>
        </w:rPr>
      </w:pPr>
      <w:r w:rsidRPr="00DE096C">
        <w:rPr>
          <w:bCs/>
          <w:color w:val="002060"/>
          <w:sz w:val="16"/>
          <w:szCs w:val="16"/>
        </w:rPr>
        <w:t>Основные результаты испытаний:</w:t>
      </w:r>
    </w:p>
    <w:p w14:paraId="5176B6CF" w14:textId="77777777" w:rsidR="00AD294D" w:rsidRPr="00DE096C" w:rsidRDefault="00AD294D" w:rsidP="00D45A46">
      <w:pPr>
        <w:jc w:val="both"/>
        <w:rPr>
          <w:bCs/>
          <w:color w:val="002060"/>
          <w:sz w:val="16"/>
          <w:szCs w:val="16"/>
        </w:rPr>
      </w:pPr>
      <w:r w:rsidRPr="00DE096C">
        <w:rPr>
          <w:bCs/>
          <w:color w:val="002060"/>
          <w:sz w:val="16"/>
          <w:szCs w:val="16"/>
        </w:rPr>
        <w:t>- вес пустого увеличился на 1000 кг (на 26,3%), взлетный – на 1200 кг (на 23,5%);</w:t>
      </w:r>
    </w:p>
    <w:p w14:paraId="52500355" w14:textId="77777777" w:rsidR="00AD294D" w:rsidRPr="00DE096C" w:rsidRDefault="00AD294D" w:rsidP="00D45A46">
      <w:pPr>
        <w:jc w:val="both"/>
        <w:rPr>
          <w:bCs/>
          <w:color w:val="002060"/>
          <w:sz w:val="16"/>
          <w:szCs w:val="16"/>
        </w:rPr>
      </w:pPr>
      <w:r w:rsidRPr="00DE096C">
        <w:rPr>
          <w:bCs/>
          <w:color w:val="002060"/>
          <w:sz w:val="16"/>
          <w:szCs w:val="16"/>
        </w:rPr>
        <w:t>- мореходность корабля признана удовлетворительной, хотя осадка поплавков была слишком большой, а опущенный вниз руль высоты касался воды;</w:t>
      </w:r>
    </w:p>
    <w:p w14:paraId="629CAF71" w14:textId="77777777" w:rsidR="00AD294D" w:rsidRPr="00DE096C" w:rsidRDefault="00AD294D" w:rsidP="00D45A46">
      <w:pPr>
        <w:jc w:val="both"/>
        <w:rPr>
          <w:bCs/>
          <w:color w:val="002060"/>
          <w:sz w:val="16"/>
          <w:szCs w:val="16"/>
        </w:rPr>
      </w:pPr>
      <w:r w:rsidRPr="00DE096C">
        <w:rPr>
          <w:bCs/>
          <w:color w:val="002060"/>
          <w:sz w:val="16"/>
          <w:szCs w:val="16"/>
        </w:rPr>
        <w:t>- управляемость на воде с работой газом моторов хорошая;</w:t>
      </w:r>
    </w:p>
    <w:p w14:paraId="30035A8B" w14:textId="77777777" w:rsidR="00AD294D" w:rsidRPr="00DE096C" w:rsidRDefault="00AD294D" w:rsidP="00D45A46">
      <w:pPr>
        <w:jc w:val="both"/>
        <w:rPr>
          <w:bCs/>
          <w:color w:val="002060"/>
          <w:sz w:val="16"/>
          <w:szCs w:val="16"/>
        </w:rPr>
      </w:pPr>
      <w:r w:rsidRPr="00DE096C">
        <w:rPr>
          <w:bCs/>
          <w:color w:val="002060"/>
          <w:sz w:val="16"/>
          <w:szCs w:val="16"/>
        </w:rPr>
        <w:t>- максимальная скорость уменьшилась на 5 км/ч (на 5,3%);</w:t>
      </w:r>
    </w:p>
    <w:p w14:paraId="0BB54DD5" w14:textId="77777777" w:rsidR="00AD294D" w:rsidRPr="00DE096C" w:rsidRDefault="00AD294D" w:rsidP="00D45A46">
      <w:pPr>
        <w:jc w:val="both"/>
        <w:rPr>
          <w:bCs/>
          <w:color w:val="002060"/>
          <w:sz w:val="16"/>
          <w:szCs w:val="16"/>
        </w:rPr>
      </w:pPr>
      <w:r w:rsidRPr="00DE096C">
        <w:rPr>
          <w:bCs/>
          <w:color w:val="002060"/>
          <w:sz w:val="16"/>
          <w:szCs w:val="16"/>
        </w:rPr>
        <w:t>- дальность увеличилась на 280 км (более чем вдвое);</w:t>
      </w:r>
    </w:p>
    <w:p w14:paraId="457794DC" w14:textId="77777777" w:rsidR="00AD294D" w:rsidRPr="00DE096C" w:rsidRDefault="00AD294D" w:rsidP="00D45A46">
      <w:pPr>
        <w:jc w:val="both"/>
        <w:rPr>
          <w:bCs/>
          <w:color w:val="002060"/>
          <w:sz w:val="16"/>
          <w:szCs w:val="16"/>
        </w:rPr>
      </w:pPr>
      <w:r w:rsidRPr="00DE096C">
        <w:rPr>
          <w:bCs/>
          <w:color w:val="002060"/>
          <w:sz w:val="16"/>
          <w:szCs w:val="16"/>
        </w:rPr>
        <w:t>- потолок увеличился на 500 м (на 33,3%).</w:t>
      </w:r>
    </w:p>
    <w:p w14:paraId="17968368" w14:textId="77777777" w:rsidR="00AD294D" w:rsidRPr="00DE096C" w:rsidRDefault="00AD294D" w:rsidP="00D45A46">
      <w:pPr>
        <w:jc w:val="both"/>
        <w:rPr>
          <w:bCs/>
          <w:color w:val="002060"/>
          <w:sz w:val="16"/>
          <w:szCs w:val="16"/>
        </w:rPr>
      </w:pPr>
      <w:r w:rsidRPr="00DE096C">
        <w:rPr>
          <w:bCs/>
          <w:color w:val="002060"/>
          <w:sz w:val="16"/>
          <w:szCs w:val="16"/>
        </w:rPr>
        <w:t>Результаты испытаний были сочтены хорошими, и корабль приняли в казну в мае 1914 г.</w:t>
      </w:r>
    </w:p>
    <w:p w14:paraId="043BEB33" w14:textId="77777777" w:rsidR="00AD294D" w:rsidRPr="00DE096C" w:rsidRDefault="00AD294D" w:rsidP="00D45A46">
      <w:pPr>
        <w:jc w:val="both"/>
        <w:rPr>
          <w:bCs/>
          <w:color w:val="002060"/>
          <w:sz w:val="16"/>
          <w:szCs w:val="16"/>
        </w:rPr>
      </w:pPr>
      <w:r w:rsidRPr="00DE096C">
        <w:rPr>
          <w:bCs/>
          <w:color w:val="002060"/>
          <w:sz w:val="16"/>
          <w:szCs w:val="16"/>
        </w:rPr>
        <w:t>Самолет при передаче ВМФ дислоцировался в Либаве (в то время – Курляндская губерния Российской Империи, ныне Лиепая, западное побережье Латвии), а далее перебазирован в бухту Карал на о. Эзель (Моонзундский архипелаг, запирающий Рижский залив, ныне – Саарема, Эстония).</w:t>
      </w:r>
    </w:p>
    <w:p w14:paraId="09BAC2C5" w14:textId="77777777" w:rsidR="00AD294D" w:rsidRPr="00DE096C" w:rsidRDefault="00AD294D" w:rsidP="00D45A46">
      <w:pPr>
        <w:jc w:val="both"/>
        <w:rPr>
          <w:bCs/>
          <w:color w:val="002060"/>
          <w:sz w:val="16"/>
          <w:szCs w:val="16"/>
        </w:rPr>
      </w:pPr>
      <w:r w:rsidRPr="00DE096C">
        <w:rPr>
          <w:bCs/>
          <w:color w:val="002060"/>
          <w:sz w:val="16"/>
          <w:szCs w:val="16"/>
        </w:rPr>
        <w:t xml:space="preserve"> (23574).</w:t>
      </w:r>
    </w:p>
    <w:p w14:paraId="5CCEBEBB" w14:textId="77777777" w:rsidR="00AD294D" w:rsidRPr="00DE096C" w:rsidRDefault="00AD294D" w:rsidP="00D45A46">
      <w:pPr>
        <w:jc w:val="both"/>
        <w:rPr>
          <w:bCs/>
          <w:color w:val="002060"/>
          <w:sz w:val="16"/>
          <w:szCs w:val="16"/>
        </w:rPr>
      </w:pPr>
    </w:p>
    <w:p w14:paraId="0277EA7F" w14:textId="4595FE08" w:rsidR="00AD294D" w:rsidRPr="00DE096C" w:rsidRDefault="00AD294D" w:rsidP="00D45A46">
      <w:pPr>
        <w:jc w:val="both"/>
        <w:rPr>
          <w:bCs/>
          <w:color w:val="002060"/>
          <w:sz w:val="16"/>
          <w:szCs w:val="16"/>
        </w:rPr>
      </w:pPr>
      <w:r w:rsidRPr="00DE096C">
        <w:rPr>
          <w:bCs/>
          <w:color w:val="002060"/>
          <w:sz w:val="16"/>
          <w:szCs w:val="16"/>
        </w:rPr>
        <w:t>12 (25) мая 1914 г. после одобрения Советом воен</w:t>
      </w:r>
      <w:r w:rsidRPr="00DE096C">
        <w:rPr>
          <w:bCs/>
          <w:color w:val="002060"/>
          <w:sz w:val="16"/>
          <w:szCs w:val="16"/>
        </w:rPr>
        <w:softHyphen/>
        <w:t>ное министерство подписало контракт с РБВЗ на по</w:t>
      </w:r>
      <w:r w:rsidRPr="00DE096C">
        <w:rPr>
          <w:bCs/>
          <w:color w:val="002060"/>
          <w:sz w:val="16"/>
          <w:szCs w:val="16"/>
        </w:rPr>
        <w:softHyphen/>
        <w:t>ставку десяти самолётов «Илья Му</w:t>
      </w:r>
      <w:r w:rsidRPr="00DE096C">
        <w:rPr>
          <w:bCs/>
          <w:color w:val="002060"/>
          <w:sz w:val="16"/>
          <w:szCs w:val="16"/>
        </w:rPr>
        <w:softHyphen/>
        <w:t>ромец» русской армии. Их предпо</w:t>
      </w:r>
      <w:r w:rsidRPr="00DE096C">
        <w:rPr>
          <w:bCs/>
          <w:color w:val="002060"/>
          <w:sz w:val="16"/>
          <w:szCs w:val="16"/>
        </w:rPr>
        <w:softHyphen/>
        <w:t>лагалось распределить по два в авиаотряды самых крупных кре</w:t>
      </w:r>
      <w:r w:rsidRPr="00DE096C">
        <w:rPr>
          <w:bCs/>
          <w:color w:val="002060"/>
          <w:sz w:val="16"/>
          <w:szCs w:val="16"/>
        </w:rPr>
        <w:softHyphen/>
        <w:t>постей на западной границе: Вар</w:t>
      </w:r>
      <w:r w:rsidRPr="00DE096C">
        <w:rPr>
          <w:bCs/>
          <w:color w:val="002060"/>
          <w:sz w:val="16"/>
          <w:szCs w:val="16"/>
        </w:rPr>
        <w:softHyphen/>
        <w:t>шавы, Новогеоргиевска, Бреста и Ковно. И.И. Сикорский построил к концу мая предсерийный тип воз</w:t>
      </w:r>
      <w:r w:rsidRPr="00DE096C">
        <w:rPr>
          <w:bCs/>
          <w:color w:val="002060"/>
          <w:sz w:val="16"/>
          <w:szCs w:val="16"/>
        </w:rPr>
        <w:softHyphen/>
        <w:t>душного корабля, специально пред</w:t>
      </w:r>
      <w:r w:rsidRPr="00DE096C">
        <w:rPr>
          <w:bCs/>
          <w:color w:val="002060"/>
          <w:sz w:val="16"/>
          <w:szCs w:val="16"/>
        </w:rPr>
        <w:softHyphen/>
        <w:t>назначенного для эксплуатации в армии.</w:t>
      </w:r>
    </w:p>
    <w:p w14:paraId="4D6BC674" w14:textId="77777777" w:rsidR="00AD294D" w:rsidRPr="00DE096C" w:rsidRDefault="00AD294D" w:rsidP="00D45A46">
      <w:pPr>
        <w:jc w:val="both"/>
        <w:rPr>
          <w:bCs/>
          <w:color w:val="002060"/>
          <w:sz w:val="16"/>
          <w:szCs w:val="16"/>
        </w:rPr>
      </w:pPr>
      <w:r w:rsidRPr="00DE096C">
        <w:rPr>
          <w:bCs/>
          <w:color w:val="002060"/>
          <w:sz w:val="16"/>
          <w:szCs w:val="16"/>
        </w:rPr>
        <w:t>Приверженцы разных концепций: слева - командующий фронтовой авиацией Великий Князь Александр Михайлович хотел, чтобы ЭВК подчинялась ему, справа - начальник ЭВК В.М. Шидловский предпочитал, чтобы эскадра подчинялась непосредственно Верховному Главнокомандующему (23469).</w:t>
      </w:r>
    </w:p>
    <w:p w14:paraId="3AA93273" w14:textId="77777777" w:rsidR="00AD294D" w:rsidRPr="00DE096C" w:rsidRDefault="00AD294D" w:rsidP="00D45A46">
      <w:pPr>
        <w:jc w:val="both"/>
        <w:rPr>
          <w:bCs/>
          <w:color w:val="002060"/>
          <w:sz w:val="16"/>
          <w:szCs w:val="16"/>
        </w:rPr>
      </w:pPr>
    </w:p>
    <w:p w14:paraId="4068E2D6"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w:t>
      </w:r>
    </w:p>
    <w:p w14:paraId="12D3158B" w14:textId="77777777" w:rsidR="00B67D7C" w:rsidRPr="00DE096C" w:rsidRDefault="00B67D7C" w:rsidP="00D45A46">
      <w:pPr>
        <w:shd w:val="clear" w:color="auto" w:fill="FFFFFF"/>
        <w:jc w:val="both"/>
        <w:rPr>
          <w:bCs/>
          <w:i/>
          <w:color w:val="002060"/>
          <w:sz w:val="16"/>
          <w:szCs w:val="16"/>
        </w:rPr>
      </w:pPr>
    </w:p>
    <w:p w14:paraId="077D005C" w14:textId="68A354FD" w:rsidR="00E74654" w:rsidRPr="00DE096C" w:rsidRDefault="00E74654" w:rsidP="00D45A46">
      <w:pPr>
        <w:jc w:val="both"/>
        <w:rPr>
          <w:bCs/>
          <w:color w:val="002060"/>
          <w:sz w:val="16"/>
          <w:szCs w:val="16"/>
        </w:rPr>
      </w:pPr>
      <w:bookmarkStart w:id="19" w:name="_Hlk117157010"/>
      <w:bookmarkStart w:id="20" w:name="_Hlk117157117"/>
      <w:r w:rsidRPr="00DE096C">
        <w:rPr>
          <w:bCs/>
          <w:color w:val="002060"/>
          <w:sz w:val="16"/>
          <w:szCs w:val="16"/>
        </w:rPr>
        <w:t xml:space="preserve">12-14 (25-27) мая 1914 года флотом с ИМ испытали тяжелые бомбы, представлявшие собой переделанные 10" фугасные снаряды с трубкой мгновенного действия и приваренными стабилизаторами. В судно мишень не попали из 5 сброшенных бомб ни разу, самая ближайшая, разорвалась в 10 метрах от борта, нанеся серъезные осколочных повреждений. Испытания признали успешным и заготовили партию из 30 бомб силами Севастопольского арсенала. Бомба предназначена была для сброса с минной подвески. </w:t>
      </w:r>
    </w:p>
    <w:p w14:paraId="61837A20" w14:textId="77777777" w:rsidR="00E74654" w:rsidRPr="00DE096C" w:rsidRDefault="00E74654" w:rsidP="00D45A46">
      <w:pPr>
        <w:jc w:val="both"/>
        <w:rPr>
          <w:bCs/>
          <w:color w:val="002060"/>
          <w:sz w:val="16"/>
          <w:szCs w:val="16"/>
        </w:rPr>
      </w:pPr>
      <w:r w:rsidRPr="00DE096C">
        <w:rPr>
          <w:bCs/>
          <w:color w:val="002060"/>
          <w:sz w:val="16"/>
          <w:szCs w:val="16"/>
        </w:rPr>
        <w:t xml:space="preserve">Из заказа военного ведомства первый аппарат был готов только к началу июня и получил наименование XV. Отличием армейских "Муромцев", а они так и обозначались по документам "ИМ-А", было использование более дешевых и менее мощных "Аргусов" мощностью 140 л.с. Военное ведомство, в отличие от морского, </w:t>
      </w:r>
      <w:r w:rsidRPr="00DE096C">
        <w:rPr>
          <w:bCs/>
          <w:color w:val="002060"/>
          <w:sz w:val="16"/>
          <w:szCs w:val="16"/>
        </w:rPr>
        <w:lastRenderedPageBreak/>
        <w:t>считало поначалу главным предназначением аппарата ведение разведки. Военное ведомство в июле 1914 года утвердило штат "Команды для аэроплана типа Илья Муромец, состоявшей из 4 офицеров, 1 военного чиновника и 40 нижних чинов. На аппарат предполагалось мощное вооружение: 37 мм пушка Гочкиса, 2 пулемета "Максим", 2 ружья-пулемета "Мадсен" и 2 пистолетов "Маузер"(от установки пушки отказались быстро). Один корабль приравнивался к полевому отряду и придавался штабам армий и фронтов. Командиром 2-го воздушного корабля был назначен штабс-капитан Е.В.Руднев, 15-го поручик А.В.Панкратьев (12284).</w:t>
      </w:r>
    </w:p>
    <w:p w14:paraId="0BF0FA04" w14:textId="77777777" w:rsidR="00E74654" w:rsidRPr="00DE096C" w:rsidRDefault="00E74654" w:rsidP="00D45A46">
      <w:pPr>
        <w:jc w:val="both"/>
        <w:rPr>
          <w:bCs/>
          <w:color w:val="002060"/>
          <w:sz w:val="16"/>
          <w:szCs w:val="16"/>
        </w:rPr>
      </w:pPr>
    </w:p>
    <w:bookmarkEnd w:id="19"/>
    <w:bookmarkEnd w:id="20"/>
    <w:p w14:paraId="46EE3B41" w14:textId="77777777" w:rsidR="00B67D7C" w:rsidRPr="00DE096C" w:rsidRDefault="00B67D7C" w:rsidP="00D45A46">
      <w:pPr>
        <w:shd w:val="clear" w:color="auto" w:fill="FFFFFF"/>
        <w:jc w:val="both"/>
        <w:rPr>
          <w:bCs/>
          <w:i/>
          <w:color w:val="002060"/>
          <w:sz w:val="16"/>
          <w:szCs w:val="16"/>
        </w:rPr>
      </w:pPr>
      <w:r w:rsidRPr="00DE096C">
        <w:rPr>
          <w:bCs/>
          <w:color w:val="002060"/>
          <w:sz w:val="16"/>
          <w:szCs w:val="16"/>
        </w:rPr>
        <w:t>12 (25) мая 1914 П.Н.Нестеров на приеме в Гатчине по случаю своего перелета заявил: "Теперь меня занимает мысль об уничтожении неприятельских аппаратов таранным способом, пользуясь быстрох</w:t>
      </w:r>
      <w:r w:rsidRPr="00DE096C">
        <w:rPr>
          <w:bCs/>
          <w:i/>
          <w:color w:val="002060"/>
          <w:sz w:val="16"/>
          <w:szCs w:val="16"/>
        </w:rPr>
        <w:t>одностью и быстроподъемностью аэроплана, например, ударив с налету своим шасси неприятельский.аппарат сверху". Эту мысль Нестеров осуществил 26 августа 1914 г. ("Новое время". 1914 г. II сентября).</w:t>
      </w:r>
    </w:p>
    <w:p w14:paraId="3C640A93" w14:textId="77777777" w:rsidR="00B67D7C" w:rsidRPr="00DE096C" w:rsidRDefault="00B67D7C" w:rsidP="00D45A46">
      <w:pPr>
        <w:shd w:val="clear" w:color="auto" w:fill="FFFFFF"/>
        <w:jc w:val="both"/>
        <w:rPr>
          <w:bCs/>
          <w:i/>
          <w:color w:val="002060"/>
          <w:sz w:val="16"/>
          <w:szCs w:val="16"/>
        </w:rPr>
      </w:pPr>
    </w:p>
    <w:p w14:paraId="453AEB5B" w14:textId="330E10D0" w:rsidR="00D16F24" w:rsidRPr="00DE096C" w:rsidRDefault="00D16F24" w:rsidP="00D45A46">
      <w:pPr>
        <w:jc w:val="both"/>
        <w:rPr>
          <w:bCs/>
          <w:color w:val="002060"/>
          <w:sz w:val="16"/>
          <w:szCs w:val="16"/>
        </w:rPr>
      </w:pPr>
      <w:r w:rsidRPr="00DE096C">
        <w:rPr>
          <w:bCs/>
          <w:color w:val="002060"/>
          <w:sz w:val="16"/>
          <w:szCs w:val="16"/>
        </w:rPr>
        <w:t>12 (25) мая 1914 г. П.Н.Нестеров на приеме в Гатчине по случаю своего пере</w:t>
      </w:r>
      <w:r w:rsidRPr="00DE096C">
        <w:rPr>
          <w:bCs/>
          <w:color w:val="002060"/>
          <w:sz w:val="16"/>
          <w:szCs w:val="16"/>
        </w:rPr>
        <w:softHyphen/>
        <w:t>лета заявил: «Теперь меня занимает мысль об у ничтожении неприятельских аппаратов таранным способом, пользуясь бы</w:t>
      </w:r>
      <w:r w:rsidRPr="00DE096C">
        <w:rPr>
          <w:bCs/>
          <w:color w:val="002060"/>
          <w:sz w:val="16"/>
          <w:szCs w:val="16"/>
        </w:rPr>
        <w:softHyphen/>
        <w:t>строходностью и быстропод"емностью аэроплана, например, ударив на лету своим шасси неприятельский аппарат сверху». Ээту мысль Несте</w:t>
      </w:r>
      <w:r w:rsidRPr="00DE096C">
        <w:rPr>
          <w:bCs/>
          <w:color w:val="002060"/>
          <w:sz w:val="16"/>
          <w:szCs w:val="16"/>
        </w:rPr>
        <w:softHyphen/>
        <w:t>ров осуществил 26 августа 1914 года.</w:t>
      </w:r>
    </w:p>
    <w:p w14:paraId="0063DD8D" w14:textId="77777777" w:rsidR="00D16F24" w:rsidRPr="00DE096C" w:rsidRDefault="00D16F24" w:rsidP="00D45A46">
      <w:pPr>
        <w:jc w:val="both"/>
        <w:rPr>
          <w:bCs/>
          <w:color w:val="002060"/>
          <w:sz w:val="16"/>
          <w:szCs w:val="16"/>
        </w:rPr>
      </w:pPr>
      <w:r w:rsidRPr="00DE096C">
        <w:rPr>
          <w:bCs/>
          <w:color w:val="002060"/>
          <w:sz w:val="16"/>
          <w:szCs w:val="16"/>
        </w:rPr>
        <w:t>/«Новое время» за 11 сентября 1914/ (23320).</w:t>
      </w:r>
    </w:p>
    <w:p w14:paraId="12371562" w14:textId="77777777" w:rsidR="00D16F24" w:rsidRPr="00DE096C" w:rsidRDefault="00D16F24" w:rsidP="00D45A46">
      <w:pPr>
        <w:jc w:val="both"/>
        <w:rPr>
          <w:bCs/>
          <w:color w:val="002060"/>
          <w:sz w:val="16"/>
          <w:szCs w:val="16"/>
        </w:rPr>
      </w:pPr>
    </w:p>
    <w:p w14:paraId="64F67AB3"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 и воздухоплавание за рубежом:</w:t>
      </w:r>
    </w:p>
    <w:p w14:paraId="5ECE01F0" w14:textId="77777777" w:rsidR="00B67D7C" w:rsidRPr="00DE096C" w:rsidRDefault="00B67D7C" w:rsidP="00D45A46">
      <w:pPr>
        <w:shd w:val="clear" w:color="auto" w:fill="FFFFFF"/>
        <w:jc w:val="both"/>
        <w:rPr>
          <w:bCs/>
          <w:i/>
          <w:color w:val="002060"/>
          <w:sz w:val="16"/>
          <w:szCs w:val="16"/>
        </w:rPr>
      </w:pPr>
    </w:p>
    <w:p w14:paraId="5437C7AE" w14:textId="42DF8410" w:rsidR="00B67D7C" w:rsidRPr="00DE096C" w:rsidRDefault="00B67D7C" w:rsidP="00D45A46">
      <w:pPr>
        <w:jc w:val="both"/>
        <w:rPr>
          <w:bCs/>
          <w:color w:val="002060"/>
          <w:sz w:val="16"/>
          <w:szCs w:val="16"/>
        </w:rPr>
      </w:pPr>
      <w:r w:rsidRPr="00DE096C">
        <w:rPr>
          <w:bCs/>
          <w:color w:val="002060"/>
          <w:sz w:val="16"/>
          <w:szCs w:val="16"/>
        </w:rPr>
        <w:t>12 (25) мая 1914 самолет</w:t>
      </w:r>
      <w:r w:rsidR="00654F31" w:rsidRPr="00DE096C">
        <w:rPr>
          <w:bCs/>
          <w:color w:val="002060"/>
          <w:sz w:val="16"/>
          <w:szCs w:val="16"/>
        </w:rPr>
        <w:t xml:space="preserve"> "Аэродрома" Кертисса</w:t>
      </w:r>
      <w:r w:rsidRPr="00DE096C">
        <w:rPr>
          <w:bCs/>
          <w:color w:val="002060"/>
          <w:sz w:val="16"/>
          <w:szCs w:val="16"/>
        </w:rPr>
        <w:t>, установленный на поплавки, после разбега по воде совершил кратковременный полет (около 50 м). Несколько месяцев спустя, после установки более мощного двигателя для компенсации возросшего веса и сопротивления при установке самолета на поплавки, был выполнен рад более продолжительных полетов. Однако, как показала проведенная позднее экспертиза, при подготовке самолета к полетам Кертиссом была сделана существенная доработка конструкции - изменена форма профиля, усилена конструкция крыла и т. д. (всего 35 изменений). В результате было сделано справедливое заключение, что опыты 1914 г. не могли являться доказательством принципиальной возможности полета "Аэродрома" в 1903 г. [131, с. 296 ].</w:t>
      </w:r>
    </w:p>
    <w:p w14:paraId="7AF442E9" w14:textId="77777777" w:rsidR="00B67D7C" w:rsidRPr="00DE096C" w:rsidRDefault="00B67D7C" w:rsidP="00D45A46">
      <w:pPr>
        <w:jc w:val="both"/>
        <w:rPr>
          <w:bCs/>
          <w:color w:val="002060"/>
          <w:sz w:val="16"/>
          <w:szCs w:val="16"/>
        </w:rPr>
      </w:pPr>
      <w:r w:rsidRPr="00DE096C">
        <w:rPr>
          <w:bCs/>
          <w:color w:val="002060"/>
          <w:sz w:val="16"/>
          <w:szCs w:val="16"/>
        </w:rPr>
        <w:t>Согласно современным оценкам, самолет Ленгли обладал серьезными конструктивными дефектами, не позволявшими осуществить успешные испытания даже если бы конструктор выбрал более надежный способ старта - после разбега на поплавках или колесах. К ним относятся недостаточная прочность и жесткость планера самолета, обусловленная стремлением к минимизации веса конструкции, необеспеченность безопасности летчика при посадке (выступавшая вниз хрупкая кабинка пилота была бы неизбежно смята при приземлении; жизнь Менли спасла счастливая случайность - в обоих случаях самолет упал сразу после старта, не набрав скорость). Следует указать также не отсутствие поперечного управления и неэффективность примененного на самолете руля направления.</w:t>
      </w:r>
    </w:p>
    <w:p w14:paraId="07B7E9A5" w14:textId="77777777" w:rsidR="00B67D7C" w:rsidRPr="00DE096C" w:rsidRDefault="00B67D7C" w:rsidP="00D45A46">
      <w:pPr>
        <w:jc w:val="both"/>
        <w:rPr>
          <w:bCs/>
          <w:color w:val="002060"/>
          <w:sz w:val="16"/>
          <w:szCs w:val="16"/>
        </w:rPr>
      </w:pPr>
      <w:r w:rsidRPr="00DE096C">
        <w:rPr>
          <w:bCs/>
          <w:color w:val="002060"/>
          <w:sz w:val="16"/>
          <w:szCs w:val="16"/>
        </w:rPr>
        <w:t>Таким образом, несмотря на научный подход, наличие превосходного по характеристикам двигателя и поддержку со стороны государства, С. Ленгли не удалось решить проблемы создания самолета. Имея за плечами 16-летний опыт научных исследований в авиации, Ленгли, однако, не обладал ни инженерными знаниями, ни опытом планериста, что в конечном счете привело к полной неудаче.</w:t>
      </w:r>
    </w:p>
    <w:p w14:paraId="358B224E" w14:textId="77777777" w:rsidR="00B67D7C" w:rsidRPr="00DE096C" w:rsidRDefault="00B67D7C" w:rsidP="00D45A46">
      <w:pPr>
        <w:jc w:val="both"/>
        <w:rPr>
          <w:bCs/>
          <w:color w:val="002060"/>
          <w:sz w:val="16"/>
          <w:szCs w:val="16"/>
        </w:rPr>
      </w:pPr>
      <w:r w:rsidRPr="00DE096C">
        <w:rPr>
          <w:bCs/>
          <w:color w:val="002060"/>
          <w:sz w:val="16"/>
          <w:szCs w:val="16"/>
        </w:rPr>
        <w:t>Работы Ленгли в авиации не оказали непосредственного влияния на прогресс самолетостроения: основные положения его аэродинамической теории (так называемый "закон Ленгли", согласно которому с увеличением скорости потребная для полета мощность уменьшается) оказались ошибочными, схема "тандем" не получила распространения в авиации. Вместе с тем большой резонанс имела убежденность этого ученого с мировым именем в возможность динамического полета, впечатляющие результаты испытаний его моделей самолетов. В этом заключалась та косвенная роль, которую сыграл С. Ленгли в деле создания самолета (11318).</w:t>
      </w:r>
    </w:p>
    <w:p w14:paraId="35AFC920" w14:textId="77777777" w:rsidR="00B67D7C" w:rsidRPr="00DE096C" w:rsidRDefault="00B67D7C" w:rsidP="00D45A46">
      <w:pPr>
        <w:shd w:val="clear" w:color="auto" w:fill="FFFFFF"/>
        <w:jc w:val="both"/>
        <w:rPr>
          <w:bCs/>
          <w:i/>
          <w:color w:val="002060"/>
          <w:sz w:val="16"/>
          <w:szCs w:val="16"/>
        </w:rPr>
      </w:pPr>
    </w:p>
    <w:p w14:paraId="009D6203"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30C5B51A" w14:textId="77777777" w:rsidR="00B67D7C" w:rsidRPr="00DE096C" w:rsidRDefault="00B67D7C" w:rsidP="00D45A46">
      <w:pPr>
        <w:shd w:val="clear" w:color="auto" w:fill="FFFFFF"/>
        <w:jc w:val="both"/>
        <w:rPr>
          <w:bCs/>
          <w:i/>
          <w:color w:val="002060"/>
          <w:sz w:val="16"/>
          <w:szCs w:val="16"/>
        </w:rPr>
      </w:pPr>
    </w:p>
    <w:p w14:paraId="2BC18023" w14:textId="06969075" w:rsidR="00B67D7C" w:rsidRPr="00DE096C" w:rsidRDefault="00B67D7C" w:rsidP="00D45A46">
      <w:pPr>
        <w:jc w:val="both"/>
        <w:rPr>
          <w:bCs/>
          <w:color w:val="002060"/>
          <w:sz w:val="16"/>
          <w:szCs w:val="16"/>
        </w:rPr>
      </w:pPr>
      <w:bookmarkStart w:id="21" w:name="_Hlk117146207"/>
      <w:r w:rsidRPr="00DE096C">
        <w:rPr>
          <w:bCs/>
          <w:color w:val="002060"/>
          <w:sz w:val="16"/>
          <w:szCs w:val="16"/>
        </w:rPr>
        <w:t>13 (26) числа мая 1913 МГШ был извещен о том, что формирование двух отрядов из аппаратов "Илья Муромец" могло оказаться чистой авантюрой, т.к. кредит 1914 г. едва позволял сде</w:t>
      </w:r>
      <w:r w:rsidRPr="00DE096C">
        <w:rPr>
          <w:bCs/>
          <w:color w:val="002060"/>
          <w:sz w:val="16"/>
          <w:szCs w:val="16"/>
        </w:rPr>
        <w:softHyphen/>
        <w:t>лать это, тогда как только очень узкий круг относительно опытных морских летчиков мог пилотировать гиганты без особого риска повредить их. Поэтому делался закономерный вы</w:t>
      </w:r>
      <w:r w:rsidRPr="00DE096C">
        <w:rPr>
          <w:bCs/>
          <w:color w:val="002060"/>
          <w:sz w:val="16"/>
          <w:szCs w:val="16"/>
        </w:rPr>
        <w:softHyphen/>
        <w:t>вод о том, что приобретение большего числа много более дешевых обычных одномоторных машин принесло бы лучшие результаты, позволяя в первую очередь проводить дальнейшую тренировку авиаторов. 16 мая Морской министр согласился со сказанным, но все же отме</w:t>
      </w:r>
      <w:r w:rsidRPr="00DE096C">
        <w:rPr>
          <w:bCs/>
          <w:color w:val="002060"/>
          <w:sz w:val="16"/>
          <w:szCs w:val="16"/>
        </w:rPr>
        <w:softHyphen/>
        <w:t>тил, что качества гидроаэроплана "Илья Муромец" стоило "прояснить" должным образом. Однако, искушение получить дальние разведчики оказалось столь велико, что спустя всего лишь месяц в высших эшелонах руководства военно-морских сил созрело новое решение. В докладе по МГШ от 14 июня говорилось, что гиганты могли быть с успехом использованы вместо морских дирижаблей, целесообразность применения которых обсуждалась в то же самое время. Ориентировочная стоимость одного дирижабля составляла примерно 500.000 руб. и еще около 1.000.000 руб, требовалось для возведения поворотного эллинга для него, тогда как цена одного поплавкового "Ильи Муромца" исчислялась теперь всего в 90.000 руб. Исходя из таких аргументов, делалось предложение о покупке 13 аппаратов Сикорского, которые были бы затем распределены между одним отрядом на Балтике и несколькими на Черном море. План мог вылиться в крупнейший авиационный контракт мирного времени, но начало Великой войны заставило забыть о нем (2843).</w:t>
      </w:r>
    </w:p>
    <w:bookmarkEnd w:id="21"/>
    <w:p w14:paraId="6043C190" w14:textId="77777777" w:rsidR="00654F31" w:rsidRPr="00DE096C" w:rsidRDefault="00654F31" w:rsidP="00D45A46">
      <w:pPr>
        <w:shd w:val="clear" w:color="auto" w:fill="FFFFFF"/>
        <w:jc w:val="both"/>
        <w:rPr>
          <w:bCs/>
          <w:color w:val="002060"/>
          <w:sz w:val="16"/>
          <w:szCs w:val="16"/>
        </w:rPr>
      </w:pPr>
    </w:p>
    <w:p w14:paraId="1DF8A2E1" w14:textId="42660E6A" w:rsidR="00B67D7C" w:rsidRPr="00DE096C" w:rsidRDefault="00B67D7C" w:rsidP="00D45A46">
      <w:pPr>
        <w:shd w:val="clear" w:color="auto" w:fill="FFFFFF"/>
        <w:jc w:val="both"/>
        <w:rPr>
          <w:bCs/>
          <w:color w:val="002060"/>
          <w:sz w:val="16"/>
          <w:szCs w:val="16"/>
        </w:rPr>
      </w:pPr>
      <w:r w:rsidRPr="00DE096C">
        <w:rPr>
          <w:bCs/>
          <w:color w:val="002060"/>
          <w:sz w:val="16"/>
          <w:szCs w:val="16"/>
        </w:rPr>
        <w:t>13 (26) мая 1914, в одном из документов МГШ сообщалось, что гид</w:t>
      </w:r>
      <w:r w:rsidRPr="00DE096C">
        <w:rPr>
          <w:bCs/>
          <w:color w:val="002060"/>
          <w:sz w:val="16"/>
          <w:szCs w:val="16"/>
        </w:rPr>
        <w:softHyphen/>
        <w:t>роаэропланы С-10 заказывались потому, что их сухопутный аналог показал себя доста</w:t>
      </w:r>
      <w:r w:rsidRPr="00DE096C">
        <w:rPr>
          <w:bCs/>
          <w:color w:val="002060"/>
          <w:sz w:val="16"/>
          <w:szCs w:val="16"/>
        </w:rPr>
        <w:softHyphen/>
        <w:t>точно успешно, тогда как флот стремился поддержать развитие отечественных произво</w:t>
      </w:r>
      <w:r w:rsidRPr="00DE096C">
        <w:rPr>
          <w:bCs/>
          <w:color w:val="002060"/>
          <w:sz w:val="16"/>
          <w:szCs w:val="16"/>
        </w:rPr>
        <w:softHyphen/>
        <w:t>дителей. Увы, "наши заводы ...зарекомендовали себя с самой неблагоприятной стороны, как в смысле недостатка необходимой тщательности разработки деталей и техники их выполнения, так и в смысле соблюдения сроков". В результате было решено искать под</w:t>
      </w:r>
      <w:r w:rsidRPr="00DE096C">
        <w:rPr>
          <w:bCs/>
          <w:color w:val="002060"/>
          <w:sz w:val="16"/>
          <w:szCs w:val="16"/>
        </w:rPr>
        <w:softHyphen/>
        <w:t>ходящие самолеты во Франции на предприятиях компаний "ФБА", "Моран-Солнье" и "Кодрон" и в Великобритании — у "Виккерса", "Авро" и "Шорта". Стоит все же учесть, что по некоторым сведениям в руках опытного и отчаянного пилота С-10 "Гидро" мог выделывать совершенно фантастические трюки: так, 15 декабря 1913 г. в Либаве лей</w:t>
      </w:r>
      <w:r w:rsidRPr="00DE096C">
        <w:rPr>
          <w:bCs/>
          <w:color w:val="002060"/>
          <w:sz w:val="16"/>
          <w:szCs w:val="16"/>
        </w:rPr>
        <w:softHyphen/>
        <w:t>тенант И.И. Кульнев, двигаясь на высоте 300-400 м, совершил полет вверх поплавками. Оставим, однако, этот факт под сомнением; в любом случае то было не более, чем ли</w:t>
      </w:r>
      <w:r w:rsidRPr="00DE096C">
        <w:rPr>
          <w:bCs/>
          <w:color w:val="002060"/>
          <w:sz w:val="16"/>
          <w:szCs w:val="16"/>
        </w:rPr>
        <w:softHyphen/>
        <w:t>хачество, не способное добавить никаких плюсов к репутации аппарата (2843).</w:t>
      </w:r>
    </w:p>
    <w:p w14:paraId="668D419E" w14:textId="77777777" w:rsidR="00B67D7C" w:rsidRPr="00DE096C" w:rsidRDefault="00B67D7C" w:rsidP="00D45A46">
      <w:pPr>
        <w:shd w:val="clear" w:color="auto" w:fill="FFFFFF"/>
        <w:jc w:val="both"/>
        <w:rPr>
          <w:bCs/>
          <w:color w:val="002060"/>
          <w:sz w:val="16"/>
          <w:szCs w:val="16"/>
        </w:rPr>
      </w:pPr>
    </w:p>
    <w:p w14:paraId="541B26DC" w14:textId="2F6FC057" w:rsidR="00B67D7C" w:rsidRPr="00DE096C" w:rsidRDefault="00B67D7C" w:rsidP="00D45A46">
      <w:pPr>
        <w:jc w:val="both"/>
        <w:rPr>
          <w:bCs/>
          <w:color w:val="002060"/>
          <w:sz w:val="16"/>
          <w:szCs w:val="16"/>
        </w:rPr>
      </w:pPr>
      <w:r w:rsidRPr="00DE096C">
        <w:rPr>
          <w:bCs/>
          <w:color w:val="002060"/>
          <w:sz w:val="16"/>
          <w:szCs w:val="16"/>
        </w:rPr>
        <w:t xml:space="preserve">13 </w:t>
      </w:r>
      <w:r w:rsidR="00654F31" w:rsidRPr="00DE096C">
        <w:rPr>
          <w:bCs/>
          <w:color w:val="002060"/>
          <w:sz w:val="16"/>
          <w:szCs w:val="16"/>
        </w:rPr>
        <w:t xml:space="preserve">(26) </w:t>
      </w:r>
      <w:r w:rsidRPr="00DE096C">
        <w:rPr>
          <w:bCs/>
          <w:color w:val="002060"/>
          <w:sz w:val="16"/>
          <w:szCs w:val="16"/>
        </w:rPr>
        <w:t>мая 1914 года отечественное морское ведомство, разочарованное гидропланами И. И. Сикорского С-10 постройки БВ-3, вынужденно констатировало, что «наши заводы… зарекомендовали себя с самой неблагоприятной стороны как в смысле недостатка необходимой тщательности разработок деталей и техники их выполнения, так и в смысле соблюдения сроков». Поэтому было принято решение закупать авиационную технику за рубежом.</w:t>
      </w:r>
    </w:p>
    <w:p w14:paraId="30AEA54F" w14:textId="77777777" w:rsidR="00B67D7C" w:rsidRPr="00DE096C" w:rsidRDefault="00B67D7C" w:rsidP="00D45A46">
      <w:pPr>
        <w:jc w:val="both"/>
        <w:rPr>
          <w:bCs/>
          <w:color w:val="002060"/>
          <w:sz w:val="16"/>
          <w:szCs w:val="16"/>
        </w:rPr>
      </w:pPr>
      <w:r w:rsidRPr="00DE096C">
        <w:rPr>
          <w:bCs/>
          <w:color w:val="002060"/>
          <w:sz w:val="16"/>
          <w:szCs w:val="16"/>
        </w:rPr>
        <w:t>Было ввезено порядка 1800 самолетов и 4000 двигателей. Маршрут движения груза проходил через северные или дальневосточные порты, был небезопасен и долог. Огромные залежи оборудования образовались на пристанях и подъездных путях, и даже особые группы офицеров — («толкачи») не могли наладить его оперативную доставку на фронт. И тогда решили активно использовать трофейную технику.</w:t>
      </w:r>
    </w:p>
    <w:p w14:paraId="370883F1" w14:textId="77777777" w:rsidR="00B67D7C" w:rsidRPr="00DE096C" w:rsidRDefault="00B67D7C" w:rsidP="00D45A46">
      <w:pPr>
        <w:jc w:val="both"/>
        <w:rPr>
          <w:bCs/>
          <w:color w:val="002060"/>
          <w:sz w:val="16"/>
          <w:szCs w:val="16"/>
        </w:rPr>
      </w:pPr>
      <w:r w:rsidRPr="00DE096C">
        <w:rPr>
          <w:bCs/>
          <w:color w:val="002060"/>
          <w:sz w:val="16"/>
          <w:szCs w:val="16"/>
        </w:rPr>
        <w:t>Чаще всего на ней летали русские авиаторы. Хотя иногда добытые образцы отправлялись в глубь страны, подальше от линии фронта. Известны, как минимум, названия двух отечественных компаний, которые специализировались на серийном производстве контрафактных самолетов</w:t>
      </w:r>
      <w:hyperlink r:id="rId17" w:anchor="note34" w:history="1">
        <w:r w:rsidRPr="00DE096C">
          <w:rPr>
            <w:rStyle w:val="11"/>
            <w:bCs/>
            <w:color w:val="002060"/>
            <w:sz w:val="16"/>
            <w:szCs w:val="16"/>
            <w:vertAlign w:val="superscript"/>
          </w:rPr>
          <w:t>[34]</w:t>
        </w:r>
      </w:hyperlink>
      <w:r w:rsidRPr="00DE096C">
        <w:rPr>
          <w:bCs/>
          <w:color w:val="002060"/>
          <w:sz w:val="16"/>
          <w:szCs w:val="16"/>
        </w:rPr>
        <w:t>.</w:t>
      </w:r>
    </w:p>
    <w:p w14:paraId="5CBA8FE3" w14:textId="77777777" w:rsidR="00B67D7C" w:rsidRPr="00DE096C" w:rsidRDefault="00B67D7C" w:rsidP="00D45A46">
      <w:pPr>
        <w:jc w:val="both"/>
        <w:rPr>
          <w:bCs/>
          <w:color w:val="002060"/>
          <w:sz w:val="16"/>
          <w:szCs w:val="16"/>
        </w:rPr>
      </w:pPr>
      <w:r w:rsidRPr="00DE096C">
        <w:rPr>
          <w:bCs/>
          <w:color w:val="002060"/>
          <w:sz w:val="16"/>
          <w:szCs w:val="16"/>
        </w:rPr>
        <w:t>Акционерное общество воздухоплавания В. А. Лебедева приступило к их выпуску в 1915 году. В качестве базовых моделей, например, были использованы трофейные морские аэропланы: «Ганза—Бранденбург» тип «В» и «Фридрихсгафен» FF-33</w:t>
      </w:r>
      <w:hyperlink r:id="rId18" w:anchor="note35" w:history="1">
        <w:r w:rsidRPr="00DE096C">
          <w:rPr>
            <w:rStyle w:val="11"/>
            <w:bCs/>
            <w:color w:val="002060"/>
            <w:sz w:val="16"/>
            <w:szCs w:val="16"/>
            <w:vertAlign w:val="superscript"/>
          </w:rPr>
          <w:t>[35]</w:t>
        </w:r>
      </w:hyperlink>
      <w:r w:rsidRPr="00DE096C">
        <w:rPr>
          <w:bCs/>
          <w:color w:val="002060"/>
          <w:sz w:val="16"/>
          <w:szCs w:val="16"/>
        </w:rPr>
        <w:t>.</w:t>
      </w:r>
    </w:p>
    <w:p w14:paraId="7C2EE169" w14:textId="77777777" w:rsidR="00B67D7C" w:rsidRPr="00DE096C" w:rsidRDefault="00B67D7C" w:rsidP="00D45A46">
      <w:pPr>
        <w:jc w:val="both"/>
        <w:rPr>
          <w:bCs/>
          <w:color w:val="002060"/>
          <w:sz w:val="16"/>
          <w:szCs w:val="16"/>
        </w:rPr>
      </w:pPr>
      <w:r w:rsidRPr="00DE096C">
        <w:rPr>
          <w:bCs/>
          <w:color w:val="002060"/>
          <w:sz w:val="16"/>
          <w:szCs w:val="16"/>
        </w:rPr>
        <w:t>Другую компанию возглавлял одесский банкир А. А. Анитра. Незадолго до августа 1914 года он сумел каким-то образом купить лицензию на сборку немецких бипланов модели «Авиатик П-20». Производство успешно функционировало до 1918 года</w:t>
      </w:r>
      <w:hyperlink r:id="rId19" w:anchor="note36" w:history="1">
        <w:r w:rsidRPr="00DE096C">
          <w:rPr>
            <w:rStyle w:val="11"/>
            <w:bCs/>
            <w:color w:val="002060"/>
            <w:sz w:val="16"/>
            <w:szCs w:val="16"/>
            <w:vertAlign w:val="superscript"/>
          </w:rPr>
          <w:t>[36]</w:t>
        </w:r>
      </w:hyperlink>
      <w:r w:rsidRPr="00DE096C">
        <w:rPr>
          <w:bCs/>
          <w:color w:val="002060"/>
          <w:sz w:val="16"/>
          <w:szCs w:val="16"/>
        </w:rPr>
        <w:t>.</w:t>
      </w:r>
    </w:p>
    <w:p w14:paraId="2D8A7334" w14:textId="77777777" w:rsidR="00B67D7C" w:rsidRPr="00DE096C" w:rsidRDefault="00B67D7C" w:rsidP="00D45A46">
      <w:pPr>
        <w:jc w:val="both"/>
        <w:rPr>
          <w:bCs/>
          <w:color w:val="002060"/>
          <w:sz w:val="16"/>
          <w:szCs w:val="16"/>
        </w:rPr>
      </w:pPr>
      <w:r w:rsidRPr="00DE096C">
        <w:rPr>
          <w:bCs/>
          <w:color w:val="002060"/>
          <w:sz w:val="16"/>
          <w:szCs w:val="16"/>
        </w:rPr>
        <w:t>Другой пример. До Первой мировой войны многие модели отечественных самолетов комплектовались немецкими моторами. Понятно, что с началом войны эти поставки прекратились. Попытались использовать технику союзников — Франции и Англии, но тогда снижались летные качества машин. И поэтому летом 1915 года под руководством инженера В. В. Киреева был разработан рядный 6-цилиндровый двигатель воздушного охлаждения РБВЗ-6 в 150 л. с. по типу германского «Аргуса» в 140 л. с. Этот мотор строили серийно, к осени 1916 года на русских заводах выпускали по 10—15 моторов. Их ставили на различные модификации самолетов «Илья Муромец».</w:t>
      </w:r>
    </w:p>
    <w:p w14:paraId="337267AF" w14:textId="77777777" w:rsidR="00B67D7C" w:rsidRPr="00DE096C" w:rsidRDefault="00B67D7C" w:rsidP="00D45A46">
      <w:pPr>
        <w:jc w:val="both"/>
        <w:rPr>
          <w:bCs/>
          <w:color w:val="002060"/>
          <w:sz w:val="16"/>
          <w:szCs w:val="16"/>
        </w:rPr>
      </w:pPr>
      <w:r w:rsidRPr="00DE096C">
        <w:rPr>
          <w:bCs/>
          <w:color w:val="002060"/>
          <w:sz w:val="16"/>
          <w:szCs w:val="16"/>
        </w:rPr>
        <w:t>В 1916 году в городе Александровск Запорожской губернии (ныне г. Запорожье Республика Украина) был организован моторостроительный завод «Дюфлон и Константинович». По замыслу он должен был обеспечивать самолеты русской армии моторами по типу трофейных «Мерседесов» в 100 л.с. и «Бенц» в 150 л. с. В 1916—1917 годах на заводе под руководством инженера Воробьева шла работа над чертежами двигателей М-100 по типу 100-сильного «Мерседеса». В работе принимал активное участие студент В. Я. Климов, впоследствии генеральный конструктор авиадвигателей. До конца 1917 года завод так и не успел организовать серийный выпуск моторов</w:t>
      </w:r>
      <w:hyperlink r:id="rId20" w:anchor="note37" w:history="1">
        <w:r w:rsidRPr="00DE096C">
          <w:rPr>
            <w:rStyle w:val="11"/>
            <w:bCs/>
            <w:color w:val="002060"/>
            <w:sz w:val="16"/>
            <w:szCs w:val="16"/>
            <w:vertAlign w:val="superscript"/>
          </w:rPr>
          <w:t>[37]</w:t>
        </w:r>
      </w:hyperlink>
      <w:r w:rsidRPr="00DE096C">
        <w:rPr>
          <w:bCs/>
          <w:color w:val="002060"/>
          <w:sz w:val="16"/>
          <w:szCs w:val="16"/>
        </w:rPr>
        <w:t>.</w:t>
      </w:r>
    </w:p>
    <w:p w14:paraId="47007D97" w14:textId="77777777" w:rsidR="00B67D7C" w:rsidRPr="00DE096C" w:rsidRDefault="00B67D7C" w:rsidP="00D45A46">
      <w:pPr>
        <w:jc w:val="both"/>
        <w:rPr>
          <w:bCs/>
          <w:color w:val="002060"/>
          <w:sz w:val="16"/>
          <w:szCs w:val="16"/>
        </w:rPr>
      </w:pPr>
      <w:r w:rsidRPr="00DE096C">
        <w:rPr>
          <w:bCs/>
          <w:color w:val="002060"/>
          <w:sz w:val="16"/>
          <w:szCs w:val="16"/>
        </w:rPr>
        <w:t>Во время Первой мировой войны началось активное изучение трофейной техники. Однажды русские подбили немецкий самолет. Германский летчик, чтобы не выдать секрета нового пулемета, выбросил одну из его деталей в болото. Он пытался уничтожить и сам пулемет, но не смог. Отечественных оружейников заинтересовал новый принцип оружия, но для того, чтобы разобраться в нем, нужно было восстановить недостающую деталь. И тогда В. А. Дегтярев, ставший впоследствии знаменитым оружейным конструктором и вторым (после И. В. Сталина) Героем Социалистического Труда, без проблем справился со стоящей перед ним задачей</w:t>
      </w:r>
      <w:hyperlink r:id="rId21" w:anchor="note38" w:history="1">
        <w:r w:rsidRPr="00DE096C">
          <w:rPr>
            <w:rStyle w:val="11"/>
            <w:bCs/>
            <w:color w:val="002060"/>
            <w:sz w:val="16"/>
            <w:szCs w:val="16"/>
            <w:vertAlign w:val="superscript"/>
          </w:rPr>
          <w:t>[38]</w:t>
        </w:r>
      </w:hyperlink>
      <w:r w:rsidRPr="00DE096C">
        <w:rPr>
          <w:bCs/>
          <w:color w:val="002060"/>
          <w:sz w:val="16"/>
          <w:szCs w:val="16"/>
        </w:rPr>
        <w:t xml:space="preserve"> (11865).</w:t>
      </w:r>
    </w:p>
    <w:p w14:paraId="78DEDB99" w14:textId="77777777" w:rsidR="00B67D7C" w:rsidRPr="00DE096C" w:rsidRDefault="00B67D7C" w:rsidP="00D45A46">
      <w:pPr>
        <w:jc w:val="both"/>
        <w:rPr>
          <w:bCs/>
          <w:color w:val="002060"/>
          <w:sz w:val="16"/>
          <w:szCs w:val="16"/>
        </w:rPr>
      </w:pPr>
    </w:p>
    <w:p w14:paraId="3444C66B" w14:textId="77777777" w:rsidR="000A6A9B" w:rsidRPr="00DE096C" w:rsidRDefault="000A6A9B" w:rsidP="00D45A46">
      <w:pPr>
        <w:jc w:val="both"/>
        <w:rPr>
          <w:bCs/>
          <w:color w:val="002060"/>
          <w:sz w:val="16"/>
          <w:szCs w:val="16"/>
        </w:rPr>
      </w:pPr>
      <w:r w:rsidRPr="00DE096C">
        <w:rPr>
          <w:bCs/>
          <w:color w:val="002060"/>
          <w:sz w:val="16"/>
          <w:szCs w:val="16"/>
        </w:rPr>
        <w:lastRenderedPageBreak/>
        <w:t>13 (26) мая 1914 г. командование Балтийского флота высказало сомнения в целесообразности заказа еще двух гидросамолетов ИМ. 29-го военно-морской министр согласился. 27 июля гидросамолет «Илья Муромец» № 107 был принят флотом. В первые дни войны он вылетел на военно-морскую авиабазу в Килконде на острове Эзель, но вместо этого приземлился в Цереле, где в октябре экипаж сжег свою машину при приближении того, что считалось вражеским военным кораблем.</w:t>
      </w:r>
    </w:p>
    <w:p w14:paraId="4D7CB343" w14:textId="77777777" w:rsidR="000A6A9B" w:rsidRPr="00DE096C" w:rsidRDefault="000A6A9B" w:rsidP="00D45A46">
      <w:pPr>
        <w:jc w:val="both"/>
        <w:rPr>
          <w:bCs/>
          <w:color w:val="002060"/>
          <w:sz w:val="16"/>
          <w:szCs w:val="16"/>
        </w:rPr>
      </w:pPr>
      <w:r w:rsidRPr="00DE096C">
        <w:rPr>
          <w:bCs/>
          <w:color w:val="002060"/>
          <w:sz w:val="16"/>
          <w:szCs w:val="16"/>
        </w:rPr>
        <w:t>27 июня 1914 г. Морской штаб заявил, что гидросамолет ИМ может быть использован вместо морских дирижаблей, поскольку стоимость дирижабля составляла 500 000 рублей плюс один миллион рублей за его навес, а стоимость ИМ теперь составляла 90 000 рублей. . Больше ничего с этой идеей сделано не было.</w:t>
      </w:r>
    </w:p>
    <w:p w14:paraId="43F5FA9D" w14:textId="77777777" w:rsidR="000A6A9B" w:rsidRPr="00DE096C" w:rsidRDefault="000A6A9B" w:rsidP="00D45A46">
      <w:pPr>
        <w:jc w:val="both"/>
        <w:rPr>
          <w:bCs/>
          <w:color w:val="002060"/>
          <w:sz w:val="16"/>
          <w:szCs w:val="16"/>
        </w:rPr>
      </w:pPr>
      <w:r w:rsidRPr="00DE096C">
        <w:rPr>
          <w:bCs/>
          <w:color w:val="002060"/>
          <w:sz w:val="16"/>
          <w:szCs w:val="16"/>
        </w:rPr>
        <w:t>Вскоре последовал самолет Сикорского № 128, новый тип «В» (Бех), совершивший полет 4 июня 1914 года в Санкт-Петербурге с десятью людьми на высоте 3200 метров. Рано утром 30 июня Сикорский вылетел в свой исторический 1100-километровый перелет в Киев. По возвращении Сикорского в июле. Царь Николай II почтил это событие, назвав самолет Кораблей Киевским. В ходе войны в серии «Илья Муромец» будет ряд будущих кораблей «Киевский».</w:t>
      </w:r>
    </w:p>
    <w:p w14:paraId="4E9C3ABE" w14:textId="77777777" w:rsidR="000A6A9B" w:rsidRPr="00DE096C" w:rsidRDefault="000A6A9B" w:rsidP="00D45A46">
      <w:pPr>
        <w:jc w:val="both"/>
        <w:rPr>
          <w:bCs/>
          <w:color w:val="002060"/>
          <w:sz w:val="16"/>
          <w:szCs w:val="16"/>
        </w:rPr>
      </w:pPr>
      <w:r w:rsidRPr="00DE096C">
        <w:rPr>
          <w:bCs/>
          <w:color w:val="002060"/>
          <w:sz w:val="16"/>
          <w:szCs w:val="16"/>
        </w:rPr>
        <w:t>Для поставки авиадвигателей, в первую очередь для «Ильи Муромца», фирма Шидловского Р-БВЗ открыла в Санкт-Петербурге (позже Петрограде) два авиамоторных завода, получивших название Р-БМЗ (Русско-Балтийский моторный завод). Они сосредоточились на двух моделях: модифицированном Argus мощностью 140 л.с., известном как MRB-6, и модифицированном Benz мощностью 150 л.с., известном как RBVZ-6. конструкции В. В. Киреева. 5 мая 1916 года завод получил заказ на 300 двигателей. Вероятно, 200 штук были построены на объектах в Петрограде и подмосковных Филях.</w:t>
      </w:r>
    </w:p>
    <w:p w14:paraId="5A865F77" w14:textId="77777777" w:rsidR="000A6A9B" w:rsidRPr="00DE096C" w:rsidRDefault="000A6A9B" w:rsidP="00D45A46">
      <w:pPr>
        <w:jc w:val="both"/>
        <w:rPr>
          <w:bCs/>
          <w:color w:val="002060"/>
          <w:sz w:val="16"/>
          <w:szCs w:val="16"/>
        </w:rPr>
      </w:pPr>
      <w:r w:rsidRPr="00DE096C">
        <w:rPr>
          <w:bCs/>
          <w:color w:val="002060"/>
          <w:sz w:val="16"/>
          <w:szCs w:val="16"/>
        </w:rPr>
        <w:t>В июле 1914 г. Главком российского Генерального штаба заказал Р-БВЗ десять «Ильев Муромцев» (ИМ) с поставкой к марту 1915 г. Стоимость каждого самолета составляла около рупий. 150 000. Сикорский предвидел заказ и уже начал производственные планы.</w:t>
      </w:r>
    </w:p>
    <w:p w14:paraId="70094D44" w14:textId="77777777" w:rsidR="000A6A9B" w:rsidRPr="00DE096C" w:rsidRDefault="000A6A9B" w:rsidP="00D45A46">
      <w:pPr>
        <w:jc w:val="both"/>
        <w:rPr>
          <w:bCs/>
          <w:color w:val="002060"/>
          <w:sz w:val="16"/>
          <w:szCs w:val="16"/>
        </w:rPr>
      </w:pPr>
      <w:r w:rsidRPr="00DE096C">
        <w:rPr>
          <w:bCs/>
          <w:color w:val="002060"/>
          <w:sz w:val="16"/>
          <w:szCs w:val="16"/>
        </w:rPr>
        <w:t>31 августа Р-БВЗ передал армии два Ильи Муромца, ИМ Киевский (№ 128) и ИМ-I (№ 135). Вскоре за ними последуют другие корабли этой исторической серии.</w:t>
      </w:r>
    </w:p>
    <w:p w14:paraId="2FE61F44" w14:textId="77777777" w:rsidR="000A6A9B" w:rsidRPr="00DE096C" w:rsidRDefault="000A6A9B" w:rsidP="00D45A46">
      <w:pPr>
        <w:jc w:val="both"/>
        <w:rPr>
          <w:bCs/>
          <w:color w:val="002060"/>
          <w:sz w:val="16"/>
          <w:szCs w:val="16"/>
        </w:rPr>
      </w:pPr>
      <w:r w:rsidRPr="00DE096C">
        <w:rPr>
          <w:bCs/>
          <w:color w:val="002060"/>
          <w:sz w:val="16"/>
          <w:szCs w:val="16"/>
        </w:rPr>
        <w:t>Производство на Р-БВЗ во время войны было почти полностью сосредоточено на различных типах Sikorsky. Насколько известно, было построено 85 IM, один «А», шесть «В», 18 «В», 55 «Г», три «Д» и два «Е», по крайней мере половина из них — учебные. Еще три «Ги» были построены красными во время Гражданской войны. В сентябре 1915 года Центральное военно-техническое управление заказало восемнадцать С-16. Поставки начались в середине января 1916 года. Всего было построено тридцать три истребителя С-16 по цене около 9500 рублей (около 5000 долларов) каждый.</w:t>
      </w:r>
    </w:p>
    <w:p w14:paraId="2A4A4D65" w14:textId="77777777" w:rsidR="000A6A9B" w:rsidRPr="00DE096C" w:rsidRDefault="000A6A9B" w:rsidP="00D45A46">
      <w:pPr>
        <w:jc w:val="both"/>
        <w:rPr>
          <w:bCs/>
          <w:color w:val="002060"/>
          <w:sz w:val="16"/>
          <w:szCs w:val="16"/>
        </w:rPr>
      </w:pPr>
      <w:r w:rsidRPr="00DE096C">
        <w:rPr>
          <w:bCs/>
          <w:color w:val="002060"/>
          <w:sz w:val="16"/>
          <w:szCs w:val="16"/>
        </w:rPr>
        <w:t>С октября 1912 по апрель 1914 года Р-БВЗ произвел 38 французских самолетов Farmans и Nieuport IV. В 1910-1913 годах на Р-БВЗ было построено около 100 самолетов, с 1914 по 1917 год было построено около 140 самолетов. Не все из них были приняты.</w:t>
      </w:r>
    </w:p>
    <w:p w14:paraId="7F87DF6C" w14:textId="77777777" w:rsidR="000A6A9B" w:rsidRPr="00DE096C" w:rsidRDefault="000A6A9B" w:rsidP="00D45A46">
      <w:pPr>
        <w:jc w:val="both"/>
        <w:rPr>
          <w:bCs/>
          <w:color w:val="002060"/>
          <w:sz w:val="16"/>
          <w:szCs w:val="16"/>
        </w:rPr>
      </w:pPr>
      <w:r w:rsidRPr="00DE096C">
        <w:rPr>
          <w:bCs/>
          <w:color w:val="002060"/>
          <w:sz w:val="16"/>
          <w:szCs w:val="16"/>
        </w:rPr>
        <w:t>К началу 1917 года производство выросло до шести ИМ и 30-40 самолетов других типов в месяц. В 1914 г. насчитывалось 270 рабочих, в 1915 г. их число возросло до 400, в 1916 г. — до 478, а в марте 1917 г. — до 475. На авиамоторном заводе в Петрограде (сдача началась в ноябре 1916 г.) было 266 рабочих в 1916 г. и 430 в 1917.</w:t>
      </w:r>
    </w:p>
    <w:p w14:paraId="1A933A3B" w14:textId="77777777" w:rsidR="000A6A9B" w:rsidRPr="00DE096C" w:rsidRDefault="000A6A9B" w:rsidP="00D45A46">
      <w:pPr>
        <w:jc w:val="both"/>
        <w:rPr>
          <w:bCs/>
          <w:color w:val="002060"/>
          <w:sz w:val="16"/>
          <w:szCs w:val="16"/>
        </w:rPr>
      </w:pPr>
      <w:r w:rsidRPr="00DE096C">
        <w:rPr>
          <w:bCs/>
          <w:color w:val="002060"/>
          <w:sz w:val="16"/>
          <w:szCs w:val="16"/>
        </w:rPr>
        <w:t>Директором авиационного завода Р-БВЗ в 1916-1918 годах был Витольд Ярковский, бывший директор завода Щетинина в 1915-1916 годах и завода Лебедева в 1913-1915 годах.</w:t>
      </w:r>
    </w:p>
    <w:p w14:paraId="1D2DB6FD" w14:textId="77777777" w:rsidR="000A6A9B" w:rsidRPr="00DE096C" w:rsidRDefault="000A6A9B" w:rsidP="00D45A46">
      <w:pPr>
        <w:jc w:val="both"/>
        <w:rPr>
          <w:bCs/>
          <w:color w:val="002060"/>
          <w:sz w:val="16"/>
          <w:szCs w:val="16"/>
        </w:rPr>
      </w:pPr>
      <w:r w:rsidRPr="00DE096C">
        <w:rPr>
          <w:bCs/>
          <w:color w:val="002060"/>
          <w:sz w:val="16"/>
          <w:szCs w:val="16"/>
        </w:rPr>
        <w:t>М. В. Шидловский и его сын Михаил были застрелены красногвардейцами 14 января 1921 г. при попытке бегства через границу в Финляндию (23125).</w:t>
      </w:r>
    </w:p>
    <w:p w14:paraId="7DD1BB4F" w14:textId="77777777" w:rsidR="000A6A9B" w:rsidRPr="00DE096C" w:rsidRDefault="000A6A9B" w:rsidP="00D45A46">
      <w:pPr>
        <w:jc w:val="both"/>
        <w:rPr>
          <w:bCs/>
          <w:color w:val="002060"/>
          <w:sz w:val="16"/>
          <w:szCs w:val="16"/>
        </w:rPr>
      </w:pPr>
    </w:p>
    <w:p w14:paraId="189B834E"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w:t>
      </w:r>
    </w:p>
    <w:p w14:paraId="21091198" w14:textId="77777777" w:rsidR="00B67D7C" w:rsidRPr="00DE096C" w:rsidRDefault="00B67D7C" w:rsidP="00D45A46">
      <w:pPr>
        <w:shd w:val="clear" w:color="auto" w:fill="FFFFFF"/>
        <w:jc w:val="both"/>
        <w:rPr>
          <w:bCs/>
          <w:i/>
          <w:color w:val="002060"/>
          <w:sz w:val="16"/>
          <w:szCs w:val="16"/>
        </w:rPr>
      </w:pPr>
    </w:p>
    <w:p w14:paraId="73F4A7E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13 (26) мая 1914 Близ Рыпина (Полоцкой губернии) опустился немецкий военный самолет, подбитый нашими солдатами-пограничниками. Экипаж в составе двух офицеров был арестован, а самолет - конфискован. Арест летчиков вызвал смятение в Берлине, где печать всячески оправдывала нарушителей границы. Через два дня распоряжением </w:t>
      </w:r>
      <w:r w:rsidR="00C92F8A" w:rsidRPr="00DE096C">
        <w:rPr>
          <w:bCs/>
          <w:color w:val="002060"/>
          <w:sz w:val="16"/>
          <w:szCs w:val="16"/>
        </w:rPr>
        <w:t>шт</w:t>
      </w:r>
      <w:r w:rsidRPr="00DE096C">
        <w:rPr>
          <w:bCs/>
          <w:color w:val="002060"/>
          <w:sz w:val="16"/>
          <w:szCs w:val="16"/>
        </w:rPr>
        <w:t>аба Варшавского военного округа задержанные летчики были от</w:t>
      </w:r>
      <w:r w:rsidRPr="00DE096C">
        <w:rPr>
          <w:bCs/>
          <w:color w:val="002060"/>
          <w:sz w:val="16"/>
          <w:szCs w:val="16"/>
        </w:rPr>
        <w:softHyphen/>
        <w:t>равлены на родину ("Известия Николаевской военной академии". 1914,стр.1160).</w:t>
      </w:r>
    </w:p>
    <w:p w14:paraId="0BDAC8F4" w14:textId="77777777" w:rsidR="00B67D7C" w:rsidRPr="00DE096C" w:rsidRDefault="00B67D7C" w:rsidP="00D45A46">
      <w:pPr>
        <w:shd w:val="clear" w:color="auto" w:fill="FFFFFF"/>
        <w:jc w:val="both"/>
        <w:rPr>
          <w:bCs/>
          <w:color w:val="002060"/>
          <w:sz w:val="16"/>
          <w:szCs w:val="16"/>
        </w:rPr>
      </w:pPr>
    </w:p>
    <w:p w14:paraId="0F94B2C8" w14:textId="77777777" w:rsidR="00D16F24" w:rsidRPr="00DE096C" w:rsidRDefault="00D16F24" w:rsidP="00D45A46">
      <w:pPr>
        <w:jc w:val="both"/>
        <w:rPr>
          <w:bCs/>
          <w:color w:val="002060"/>
          <w:sz w:val="16"/>
          <w:szCs w:val="16"/>
        </w:rPr>
      </w:pPr>
      <w:r w:rsidRPr="00DE096C">
        <w:rPr>
          <w:bCs/>
          <w:color w:val="002060"/>
          <w:sz w:val="16"/>
          <w:szCs w:val="16"/>
        </w:rPr>
        <w:t>13 (28) мая 1914 г близ Рыпина /Полоцкой губ./ спустился немецкий воен</w:t>
      </w:r>
      <w:r w:rsidRPr="00DE096C">
        <w:rPr>
          <w:bCs/>
          <w:color w:val="002060"/>
          <w:sz w:val="16"/>
          <w:szCs w:val="16"/>
        </w:rPr>
        <w:softHyphen/>
        <w:t>ный самолет, подбитый нашими солдатами-пограннчииками. Экппаз в составе двух офицеров был арестован, а самолет - конфискован. Арест летчиков вызвал смятение в Берлине, где печать всячески оправды</w:t>
      </w:r>
      <w:r w:rsidRPr="00DE096C">
        <w:rPr>
          <w:bCs/>
          <w:color w:val="002060"/>
          <w:sz w:val="16"/>
          <w:szCs w:val="16"/>
        </w:rPr>
        <w:softHyphen/>
        <w:t>вала нарушителей границы. Через два дня распоряжением штаба варшавского военного округа арестованные были отправлены на родину. Это был первый случай сбитня неприятельского самолета русскими стрелками.</w:t>
      </w:r>
    </w:p>
    <w:p w14:paraId="569B54C8" w14:textId="77777777" w:rsidR="00D16F24" w:rsidRPr="00DE096C" w:rsidRDefault="00D16F24" w:rsidP="00D45A46">
      <w:pPr>
        <w:jc w:val="both"/>
        <w:rPr>
          <w:bCs/>
          <w:color w:val="002060"/>
          <w:sz w:val="16"/>
          <w:szCs w:val="16"/>
        </w:rPr>
      </w:pPr>
      <w:r w:rsidRPr="00DE096C">
        <w:rPr>
          <w:bCs/>
          <w:color w:val="002060"/>
          <w:sz w:val="16"/>
          <w:szCs w:val="16"/>
        </w:rPr>
        <w:t>/«Известия Николаевской военной академии», 1914, стр. 1160/1914</w:t>
      </w:r>
    </w:p>
    <w:p w14:paraId="20106A5B" w14:textId="77777777" w:rsidR="00D16F24" w:rsidRPr="00DE096C" w:rsidRDefault="00D16F24" w:rsidP="00D45A46">
      <w:pPr>
        <w:jc w:val="both"/>
        <w:rPr>
          <w:bCs/>
          <w:color w:val="002060"/>
          <w:sz w:val="16"/>
          <w:szCs w:val="16"/>
        </w:rPr>
      </w:pPr>
    </w:p>
    <w:p w14:paraId="635BDF60"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5695628E" w14:textId="77777777" w:rsidR="00B67D7C" w:rsidRPr="00DE096C" w:rsidRDefault="00B67D7C" w:rsidP="00D45A46">
      <w:pPr>
        <w:shd w:val="clear" w:color="auto" w:fill="FFFFFF"/>
        <w:jc w:val="both"/>
        <w:rPr>
          <w:bCs/>
          <w:i/>
          <w:color w:val="002060"/>
          <w:sz w:val="16"/>
          <w:szCs w:val="16"/>
        </w:rPr>
      </w:pPr>
    </w:p>
    <w:p w14:paraId="3BF2C504" w14:textId="5A8E0759" w:rsidR="00C92F8A" w:rsidRPr="00DE096C" w:rsidRDefault="00C92F8A" w:rsidP="00D45A46">
      <w:pPr>
        <w:jc w:val="both"/>
        <w:rPr>
          <w:bCs/>
          <w:color w:val="002060"/>
          <w:sz w:val="16"/>
          <w:szCs w:val="16"/>
        </w:rPr>
      </w:pPr>
      <w:r w:rsidRPr="00DE096C">
        <w:rPr>
          <w:bCs/>
          <w:color w:val="002060"/>
          <w:sz w:val="16"/>
          <w:szCs w:val="16"/>
        </w:rPr>
        <w:t xml:space="preserve">14 </w:t>
      </w:r>
      <w:r w:rsidR="00654F31" w:rsidRPr="00DE096C">
        <w:rPr>
          <w:bCs/>
          <w:color w:val="002060"/>
          <w:sz w:val="16"/>
          <w:szCs w:val="16"/>
        </w:rPr>
        <w:t xml:space="preserve">(27) </w:t>
      </w:r>
      <w:r w:rsidRPr="00DE096C">
        <w:rPr>
          <w:bCs/>
          <w:color w:val="002060"/>
          <w:sz w:val="16"/>
          <w:szCs w:val="16"/>
        </w:rPr>
        <w:t xml:space="preserve">мая в 1914 году </w:t>
      </w:r>
      <w:r w:rsidR="00654F31" w:rsidRPr="00DE096C">
        <w:rPr>
          <w:bCs/>
          <w:color w:val="002060"/>
          <w:sz w:val="16"/>
          <w:szCs w:val="16"/>
        </w:rPr>
        <w:t xml:space="preserve">состоялся </w:t>
      </w:r>
      <w:r w:rsidRPr="00DE096C">
        <w:rPr>
          <w:bCs/>
          <w:color w:val="002060"/>
          <w:sz w:val="16"/>
          <w:szCs w:val="16"/>
        </w:rPr>
        <w:t>первый пробный 12-минутный полет поплавкового варианта самолета "Илья Муромец" И.И.Сикорского в Либаве. Пилотировал гидроплан И.И.Сикорский вместе с лейтенантом Г.И.Лавровым (командиром корабля) (14891).</w:t>
      </w:r>
    </w:p>
    <w:p w14:paraId="6B7D05B7" w14:textId="77777777" w:rsidR="00C92F8A" w:rsidRPr="00DE096C" w:rsidRDefault="00C92F8A" w:rsidP="00D45A46">
      <w:pPr>
        <w:jc w:val="both"/>
        <w:rPr>
          <w:bCs/>
          <w:color w:val="002060"/>
          <w:sz w:val="16"/>
          <w:szCs w:val="16"/>
        </w:rPr>
      </w:pPr>
    </w:p>
    <w:p w14:paraId="38FACC47" w14:textId="1963BA70" w:rsidR="000A6A9B" w:rsidRPr="00DE096C" w:rsidRDefault="000A6A9B" w:rsidP="00D45A46">
      <w:pPr>
        <w:jc w:val="both"/>
        <w:rPr>
          <w:bCs/>
          <w:color w:val="002060"/>
          <w:sz w:val="16"/>
          <w:szCs w:val="16"/>
        </w:rPr>
      </w:pPr>
      <w:r w:rsidRPr="00DE096C">
        <w:rPr>
          <w:bCs/>
          <w:color w:val="002060"/>
          <w:sz w:val="16"/>
          <w:szCs w:val="16"/>
          <w:lang w:bidi="en-US"/>
        </w:rPr>
        <w:t>13 (27) мая в Либаве был испытан вариант гидроплана Игоря Сикорского «Илья Муромец» (№ 107) и передан флоту. Сикорский обучал экипаж, который возглавил лейтенант Г.И. Лавров (23525).</w:t>
      </w:r>
    </w:p>
    <w:p w14:paraId="087B91EB" w14:textId="77777777" w:rsidR="000A6A9B" w:rsidRPr="00DE096C" w:rsidRDefault="000A6A9B" w:rsidP="00D45A46">
      <w:pPr>
        <w:jc w:val="both"/>
        <w:rPr>
          <w:bCs/>
          <w:color w:val="002060"/>
          <w:sz w:val="16"/>
          <w:szCs w:val="16"/>
          <w:lang w:bidi="en-US"/>
        </w:rPr>
      </w:pPr>
    </w:p>
    <w:p w14:paraId="615726C2" w14:textId="401C2091"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14 (27) мая 1914 г. в Либаве состоялся первый пробный 12-минутный полет. Пилотировал гидроплан И.И.Сикорский вместе с лейтенантом Г.И.Лавровым (командиром корабля). </w:t>
      </w:r>
      <w:r w:rsidR="00654F31" w:rsidRPr="00DE096C">
        <w:rPr>
          <w:bCs/>
          <w:i w:val="0"/>
          <w:color w:val="002060"/>
          <w:spacing w:val="0"/>
          <w:kern w:val="0"/>
          <w:position w:val="0"/>
          <w:sz w:val="16"/>
          <w:szCs w:val="16"/>
        </w:rPr>
        <w:t xml:space="preserve">Вместо 100-сильных средних "Аргусов" были установлены "Сальмсоны" в 200 л.с. Сухопутное шасси было заменено на гидро: два поплавка крепились по одному под средними моторами к специальным стойкам шасси на резиновых шнурах-амортизаторах, третий же был хвостовой. </w:t>
      </w:r>
      <w:r w:rsidRPr="00DE096C">
        <w:rPr>
          <w:bCs/>
          <w:i w:val="0"/>
          <w:color w:val="002060"/>
          <w:spacing w:val="0"/>
          <w:kern w:val="0"/>
          <w:position w:val="0"/>
          <w:sz w:val="16"/>
          <w:szCs w:val="16"/>
        </w:rPr>
        <w:t>Вскоре после начала войны этот "Муромец" был потерян в бухте Карал на острове Эзель 21 июля 1914г. при следующих обстоятельствах. Ввиду приближения "миноносцев неприятеля", аппарат попытался вырулить из бухты, но из-за неисправности моторов не смог этого сделать. Пришлось вылить из баков бензин и поджечь гидроплан. Впоследствии выяснилось, что увиденные суда не были германскими (11277).</w:t>
      </w:r>
    </w:p>
    <w:p w14:paraId="6776BCC9" w14:textId="77777777" w:rsidR="00B67D7C" w:rsidRPr="00DE096C" w:rsidRDefault="00B67D7C" w:rsidP="00D45A46">
      <w:pPr>
        <w:pStyle w:val="a3"/>
        <w:jc w:val="both"/>
        <w:rPr>
          <w:bCs/>
          <w:i w:val="0"/>
          <w:color w:val="002060"/>
          <w:spacing w:val="0"/>
          <w:kern w:val="0"/>
          <w:position w:val="0"/>
          <w:sz w:val="16"/>
          <w:szCs w:val="16"/>
        </w:rPr>
      </w:pPr>
    </w:p>
    <w:p w14:paraId="513562D4" w14:textId="1A9C370D" w:rsidR="00B67D7C" w:rsidRPr="00DE096C" w:rsidRDefault="00B67D7C" w:rsidP="00D45A46">
      <w:pPr>
        <w:jc w:val="both"/>
        <w:rPr>
          <w:bCs/>
          <w:color w:val="002060"/>
          <w:sz w:val="16"/>
          <w:szCs w:val="16"/>
        </w:rPr>
      </w:pPr>
      <w:r w:rsidRPr="00DE096C">
        <w:rPr>
          <w:bCs/>
          <w:color w:val="002060"/>
          <w:sz w:val="16"/>
          <w:szCs w:val="16"/>
        </w:rPr>
        <w:t xml:space="preserve">14 мая 1914 г. в Либаве состоялся первый пробный 12-минутный полет. Пилотировал гидроплан И.И.Сикорский вместе с лейтенантом Г.И.Лавровым (командиром корабля). </w:t>
      </w:r>
      <w:r w:rsidR="00654F31" w:rsidRPr="00DE096C">
        <w:rPr>
          <w:bCs/>
          <w:color w:val="002060"/>
          <w:sz w:val="16"/>
          <w:szCs w:val="16"/>
        </w:rPr>
        <w:t>Вместо 100-сильных средних "Аргусов" были установлены "Сальмсоны" в 200 л.с. Сухопутное шасси было заменено на гидро: два поплавка крепились по одному под средними моторами к специальным стойкам шасси на резиновых шнурах-амортизаторах, третий же был хвостовой.</w:t>
      </w:r>
      <w:r w:rsidRPr="00DE096C">
        <w:rPr>
          <w:bCs/>
          <w:color w:val="002060"/>
          <w:sz w:val="16"/>
          <w:szCs w:val="16"/>
        </w:rPr>
        <w:t xml:space="preserve">Вскоре после начала войны этот "Муромец" был потерян в бухте Карал на острове Эзель 21 июля 1914 г. при следующих обстоятельствах. Ввиду приближения "миноносцев неприятеля", аппарат попытался вырулить из бухты, но из-за неисправности моторов не смог этого сделать. Пришлось вылить из баков бензин и поджечь гидроплан. Впоследствии выяснилось, что увиденные суда не были германскими (12038). </w:t>
      </w:r>
    </w:p>
    <w:p w14:paraId="081D49DE" w14:textId="77777777" w:rsidR="00B67D7C" w:rsidRPr="00DE096C" w:rsidRDefault="00B67D7C" w:rsidP="00D45A46">
      <w:pPr>
        <w:jc w:val="both"/>
        <w:rPr>
          <w:bCs/>
          <w:color w:val="002060"/>
          <w:sz w:val="16"/>
          <w:szCs w:val="16"/>
        </w:rPr>
      </w:pPr>
    </w:p>
    <w:p w14:paraId="66A77DDF" w14:textId="66D56D3A" w:rsidR="006D7365" w:rsidRPr="00DE096C" w:rsidRDefault="006D7365" w:rsidP="00D45A46">
      <w:pPr>
        <w:jc w:val="both"/>
        <w:rPr>
          <w:bCs/>
          <w:color w:val="002060"/>
          <w:sz w:val="16"/>
          <w:szCs w:val="16"/>
        </w:rPr>
      </w:pPr>
      <w:r w:rsidRPr="00DE096C">
        <w:rPr>
          <w:bCs/>
          <w:color w:val="002060"/>
          <w:sz w:val="16"/>
          <w:szCs w:val="16"/>
        </w:rPr>
        <w:t xml:space="preserve">14 (27) мая 1914 года «Илья Муромец» </w:t>
      </w:r>
      <w:r w:rsidR="00654F31" w:rsidRPr="00DE096C">
        <w:rPr>
          <w:bCs/>
          <w:color w:val="002060"/>
          <w:sz w:val="16"/>
          <w:szCs w:val="16"/>
        </w:rPr>
        <w:t xml:space="preserve">на поплавках </w:t>
      </w:r>
      <w:r w:rsidRPr="00DE096C">
        <w:rPr>
          <w:bCs/>
          <w:color w:val="002060"/>
          <w:sz w:val="16"/>
          <w:szCs w:val="16"/>
        </w:rPr>
        <w:t>совершил первый полёт над акваторией Либавского порта. За штурвалом сидел сам конструктор – Игорь Сикорский и лётчик авиационной станции лейтенант Григорий Лавров.</w:t>
      </w:r>
    </w:p>
    <w:p w14:paraId="4294C501" w14:textId="77777777" w:rsidR="006D7365" w:rsidRPr="00DE096C" w:rsidRDefault="006D7365" w:rsidP="00D45A46">
      <w:pPr>
        <w:jc w:val="both"/>
        <w:rPr>
          <w:bCs/>
          <w:color w:val="002060"/>
          <w:sz w:val="16"/>
          <w:szCs w:val="16"/>
        </w:rPr>
      </w:pPr>
      <w:r w:rsidRPr="00DE096C">
        <w:rPr>
          <w:bCs/>
          <w:color w:val="002060"/>
          <w:sz w:val="16"/>
          <w:szCs w:val="16"/>
        </w:rPr>
        <w:t xml:space="preserve">Морские летчики-офицеры, откомандированные в Либаву для осмотра новой машины, отметили в отчёте: </w:t>
      </w:r>
      <w:r w:rsidRPr="00DE096C">
        <w:rPr>
          <w:bCs/>
          <w:iCs/>
          <w:color w:val="002060"/>
          <w:sz w:val="16"/>
          <w:szCs w:val="16"/>
        </w:rPr>
        <w:t>«Первый гидроплан «Илья Муромец» представляет из себя сухопутный аэроплан, поставленный на поплавки (два центральных и один добавочный под хвостом). Аппарат после небольшого разбега по воде легко взлетел, летал 12 минут и отлично сел. Управляемость на воде хорошая, ибо кроме рулей можно пользоваться разницей оборотов моторов с той и другой стороны».</w:t>
      </w:r>
    </w:p>
    <w:p w14:paraId="60568DE7" w14:textId="77777777" w:rsidR="006D7365" w:rsidRPr="00DE096C" w:rsidRDefault="006D7365" w:rsidP="00D45A46">
      <w:pPr>
        <w:jc w:val="both"/>
        <w:rPr>
          <w:bCs/>
          <w:color w:val="002060"/>
          <w:sz w:val="16"/>
          <w:szCs w:val="16"/>
        </w:rPr>
      </w:pPr>
      <w:r w:rsidRPr="00DE096C">
        <w:rPr>
          <w:bCs/>
          <w:color w:val="002060"/>
          <w:sz w:val="16"/>
          <w:szCs w:val="16"/>
        </w:rPr>
        <w:t>Интерес флота к новому гидросамолёту был очень велик. Предполагалось поставить по четыре экземпляра Балтийскому и Черноморскому флотам. Несколько ранее, 14 апреля, услышав о постройке «Муромца», представители Великобритании попросили разрешения ознакомиться с ним, но Морской министр им вежливо отказал.</w:t>
      </w:r>
    </w:p>
    <w:p w14:paraId="738ECF40" w14:textId="77777777" w:rsidR="006D7365" w:rsidRPr="00DE096C" w:rsidRDefault="006D7365" w:rsidP="00D45A46">
      <w:pPr>
        <w:jc w:val="both"/>
        <w:rPr>
          <w:bCs/>
          <w:color w:val="002060"/>
          <w:sz w:val="16"/>
          <w:szCs w:val="16"/>
        </w:rPr>
      </w:pPr>
      <w:r w:rsidRPr="00DE096C">
        <w:rPr>
          <w:bCs/>
          <w:color w:val="002060"/>
          <w:sz w:val="16"/>
          <w:szCs w:val="16"/>
        </w:rPr>
        <w:t>Целый месяц «Илья Муромец» взлетал и садился на воду в аванпорту порта Императора Александра III, и не только. Для пробежек по воде с целью испытания двигателей неоднократно использовался и протяжённый канал Военной гавани (известный ныне как Тосмарский канал). Пожалуй, это был единственный самолёт за всю историю авиации в Лиепае, когда самолёт самостоятельно передвигался по этому каналу. (Истории, когда самолёты плавали по нему на плотах, относятся ко времени на пару десятилетий позднее.)</w:t>
      </w:r>
    </w:p>
    <w:p w14:paraId="48B1BF83" w14:textId="77777777" w:rsidR="006D7365" w:rsidRPr="00DE096C" w:rsidRDefault="006D7365" w:rsidP="00D45A46">
      <w:pPr>
        <w:jc w:val="both"/>
        <w:rPr>
          <w:bCs/>
          <w:color w:val="002060"/>
          <w:sz w:val="16"/>
          <w:szCs w:val="16"/>
        </w:rPr>
      </w:pPr>
      <w:r w:rsidRPr="00DE096C">
        <w:rPr>
          <w:bCs/>
          <w:color w:val="002060"/>
          <w:sz w:val="16"/>
          <w:szCs w:val="16"/>
        </w:rPr>
        <w:t>К сожалению, история первого в мире четырёхмоторного гидросамолёта не имела продолжения. Единственный экземпляр «Ильи Муромца» на поплавках погиб при досадных обстоятельствах во время эвакуации Либавской авиационной станции в Кильконд. Самолёт просто был намеренно сожжён своими же лётчиками, находясь на плаву (17496).</w:t>
      </w:r>
    </w:p>
    <w:p w14:paraId="660CE8C4" w14:textId="77777777" w:rsidR="006D7365" w:rsidRPr="00DE096C" w:rsidRDefault="006D7365" w:rsidP="00D45A46">
      <w:pPr>
        <w:jc w:val="both"/>
        <w:rPr>
          <w:bCs/>
          <w:color w:val="002060"/>
          <w:sz w:val="16"/>
          <w:szCs w:val="16"/>
        </w:rPr>
      </w:pPr>
    </w:p>
    <w:p w14:paraId="3B869267" w14:textId="78A539BF" w:rsidR="00B67D7C" w:rsidRPr="00DE096C" w:rsidRDefault="00B67D7C" w:rsidP="00D45A46">
      <w:pPr>
        <w:jc w:val="both"/>
        <w:rPr>
          <w:bCs/>
          <w:color w:val="002060"/>
          <w:sz w:val="16"/>
          <w:szCs w:val="16"/>
        </w:rPr>
      </w:pPr>
      <w:r w:rsidRPr="00DE096C">
        <w:rPr>
          <w:bCs/>
          <w:color w:val="002060"/>
          <w:sz w:val="16"/>
          <w:szCs w:val="16"/>
        </w:rPr>
        <w:t xml:space="preserve">14 </w:t>
      </w:r>
      <w:r w:rsidR="00654F31" w:rsidRPr="00DE096C">
        <w:rPr>
          <w:bCs/>
          <w:color w:val="002060"/>
          <w:sz w:val="16"/>
          <w:szCs w:val="16"/>
        </w:rPr>
        <w:t xml:space="preserve">(27) </w:t>
      </w:r>
      <w:r w:rsidRPr="00DE096C">
        <w:rPr>
          <w:bCs/>
          <w:color w:val="002060"/>
          <w:sz w:val="16"/>
          <w:szCs w:val="16"/>
        </w:rPr>
        <w:t xml:space="preserve">мая 1914 года. "Муромцем" </w:t>
      </w:r>
      <w:r w:rsidR="00654F31" w:rsidRPr="00DE096C">
        <w:rPr>
          <w:bCs/>
          <w:color w:val="002060"/>
          <w:sz w:val="16"/>
          <w:szCs w:val="16"/>
        </w:rPr>
        <w:t xml:space="preserve">был выполнен </w:t>
      </w:r>
      <w:r w:rsidR="0092558D" w:rsidRPr="00DE096C">
        <w:rPr>
          <w:bCs/>
          <w:color w:val="002060"/>
          <w:sz w:val="16"/>
          <w:szCs w:val="16"/>
        </w:rPr>
        <w:t xml:space="preserve">первый 12-минутный сдаточный полёт. Самолетом </w:t>
      </w:r>
      <w:r w:rsidRPr="00DE096C">
        <w:rPr>
          <w:bCs/>
          <w:color w:val="002060"/>
          <w:sz w:val="16"/>
          <w:szCs w:val="16"/>
        </w:rPr>
        <w:t>по очереди управляли Сикорский и лейтенант Г.И. Лавров. Позднее Лавров продолжил опыты, а Сикорский уехал в Петербург.</w:t>
      </w:r>
    </w:p>
    <w:p w14:paraId="34AB45B2" w14:textId="77777777" w:rsidR="00B67D7C" w:rsidRPr="00DE096C" w:rsidRDefault="00B67D7C" w:rsidP="00D45A46">
      <w:pPr>
        <w:jc w:val="both"/>
        <w:rPr>
          <w:bCs/>
          <w:color w:val="002060"/>
          <w:sz w:val="16"/>
          <w:szCs w:val="16"/>
        </w:rPr>
      </w:pPr>
      <w:r w:rsidRPr="00DE096C">
        <w:rPr>
          <w:bCs/>
          <w:color w:val="002060"/>
          <w:sz w:val="16"/>
          <w:szCs w:val="16"/>
        </w:rPr>
        <w:t>Гидроаэроплан показал удовлетворительную мореходность и хорошую управляемость на воде, так как пилот помимо рулей мог "играть" тягой моторов. Вертикальная скорость (скороподъёмность) была небольшой: подъём на высоту в 2000 метров занял целый час. Сыграло роль значительное воздушное сопротивление, оказываемое моторами "Сальмсон" и поплавками.</w:t>
      </w:r>
    </w:p>
    <w:p w14:paraId="299D940F" w14:textId="77777777" w:rsidR="00B67D7C" w:rsidRPr="00DE096C" w:rsidRDefault="00B67D7C" w:rsidP="00D45A46">
      <w:pPr>
        <w:jc w:val="both"/>
        <w:rPr>
          <w:bCs/>
          <w:color w:val="002060"/>
          <w:sz w:val="16"/>
          <w:szCs w:val="16"/>
        </w:rPr>
      </w:pPr>
      <w:r w:rsidRPr="00DE096C">
        <w:rPr>
          <w:bCs/>
          <w:color w:val="002060"/>
          <w:sz w:val="16"/>
          <w:szCs w:val="16"/>
        </w:rPr>
        <w:t xml:space="preserve">Несмотря на конструктивные недостатки, 14 июля поплавковый "Илья Муромец" был принят в казну и стал собственностью Балтийского флота. В ночь на 17 июля была объявлена мобилизация, и в согласии с мобилизационным планом в середине того же дня Лавров направил аэроплан на 2-ю морскую авиационную станцию, </w:t>
      </w:r>
      <w:r w:rsidRPr="00DE096C">
        <w:rPr>
          <w:bCs/>
          <w:color w:val="002060"/>
          <w:sz w:val="16"/>
          <w:szCs w:val="16"/>
        </w:rPr>
        <w:lastRenderedPageBreak/>
        <w:t>расположенную на полуострове Папенгольм у селения Кильконд (остров Эзель). Из-за плохой погоды, или из-за технических неполадок перелёт был прерван: Лавров решил посадить машину в Эзельской бухте Карал (приблизительно в 105 км по прямой от Кильконда).</w:t>
      </w:r>
    </w:p>
    <w:p w14:paraId="1D45C77D" w14:textId="77777777" w:rsidR="00B67D7C" w:rsidRPr="00DE096C" w:rsidRDefault="00B67D7C" w:rsidP="00D45A46">
      <w:pPr>
        <w:jc w:val="both"/>
        <w:rPr>
          <w:bCs/>
          <w:color w:val="002060"/>
          <w:sz w:val="16"/>
          <w:szCs w:val="16"/>
        </w:rPr>
      </w:pPr>
      <w:r w:rsidRPr="00DE096C">
        <w:rPr>
          <w:bCs/>
          <w:color w:val="002060"/>
          <w:sz w:val="16"/>
          <w:szCs w:val="16"/>
        </w:rPr>
        <w:t>В бухте Карал уже находилась неисправная летающая лодка лейтенанта И.И. Кульнева. 18 июля с 2-й авиационной станции на помощь авиаторам выступила ремонтная команда, однако известие о войне с Германией, начавшейся 19 июля, застало Лаврова на месте вынужденной посадки. Запись, сделанная 21 июля в вахтенном журнале 2-й морской авиационной станции, проливает свет на дальнейшие события. "Аппарат "Илья Муромец", - сообщает журнал, - под командою лейтенанта Лаврова вышел, руля по воде, из бухты Карал, испугавшись миноносцев неприятеля. Т.к. уйти за неисправностью моторов не мог, открыли баки с бензином, подожгли, а поплавки изпоруби- ли. Люди вернулись на рыбацкой лодке" .</w:t>
      </w:r>
    </w:p>
    <w:p w14:paraId="1902B731" w14:textId="77777777" w:rsidR="00B67D7C" w:rsidRPr="00DE096C" w:rsidRDefault="00B67D7C" w:rsidP="00D45A46">
      <w:pPr>
        <w:jc w:val="both"/>
        <w:rPr>
          <w:bCs/>
          <w:color w:val="002060"/>
          <w:sz w:val="16"/>
          <w:szCs w:val="16"/>
        </w:rPr>
      </w:pPr>
      <w:r w:rsidRPr="00DE096C">
        <w:rPr>
          <w:bCs/>
          <w:color w:val="002060"/>
          <w:sz w:val="16"/>
          <w:szCs w:val="16"/>
        </w:rPr>
        <w:t>Слух о том, что Лавров уничтожил машину, чтобы скрыть следы технической некомпетентности и грубой посадки, не заслуживает серьёзного внимания. Вполне очевидно, что ответственность за поломку аппарата была бы меньшей, нежели ответственность за сожжение его.</w:t>
      </w:r>
    </w:p>
    <w:p w14:paraId="183A8FCC" w14:textId="77777777" w:rsidR="00B67D7C" w:rsidRPr="00DE096C" w:rsidRDefault="00B67D7C" w:rsidP="00D45A46">
      <w:pPr>
        <w:jc w:val="both"/>
        <w:rPr>
          <w:bCs/>
          <w:color w:val="002060"/>
          <w:sz w:val="16"/>
          <w:szCs w:val="16"/>
        </w:rPr>
      </w:pPr>
      <w:r w:rsidRPr="00DE096C">
        <w:rPr>
          <w:bCs/>
          <w:color w:val="002060"/>
          <w:sz w:val="16"/>
          <w:szCs w:val="16"/>
        </w:rPr>
        <w:t xml:space="preserve">Суда, замеченные с берега, не были неприятельскими. С учётом этого обстоятельства потеря "Ильи Муромца", причинившая флоту ущерб в размере не менее 170 000 рублей, выглядела особенно неприглядной. Командующий флотом негодовал и хотел отдать Лаврова под суд, но заступничество Ду- дорова спасло офицера от такого позора. Ду- доров убедил командующего в том, что было бы неверным ожидать многого от опытной машины и что утрата её не ослабила морские силы. Что касается денег, то их, как известно, в военное время не считают (12041). </w:t>
      </w:r>
    </w:p>
    <w:p w14:paraId="19AB330B" w14:textId="77777777" w:rsidR="00B67D7C" w:rsidRPr="00DE096C" w:rsidRDefault="00B67D7C" w:rsidP="00D45A46">
      <w:pPr>
        <w:jc w:val="both"/>
        <w:rPr>
          <w:bCs/>
          <w:color w:val="002060"/>
          <w:sz w:val="16"/>
          <w:szCs w:val="16"/>
        </w:rPr>
      </w:pPr>
    </w:p>
    <w:p w14:paraId="57D1EDB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14 (27) мая 1914 г. поплавковый гидроаэроплан с модифицирован</w:t>
      </w:r>
      <w:r w:rsidRPr="00DE096C">
        <w:rPr>
          <w:bCs/>
          <w:color w:val="002060"/>
          <w:sz w:val="16"/>
          <w:szCs w:val="16"/>
        </w:rPr>
        <w:softHyphen/>
        <w:t>ной силовой установкой (вместо четырех двигателей «Аргус» на нем были установлены два двигателя «Сальмсон» мощностью по 200 л.с. и два «Аргуса» мощностью по 115 л.с.) перелетел на о. Эзель. Пилотировали самолет И.И. Сикорский и лейтенант Г.И. Лавров . Однако по различным причинам сроки испытаний затягивались, морское ведомство предъявляло завышенные требования, а завод тем временем налаживал выпуск самолетов для военного ведомства, причем последнее давало за каждый самолет по 150 тыс. руб., а морское предлагало по 90 тыс. руб. Вся эта эпопея с поплавковым самолетом закончилась тем, что самолет, оставленный на о. Эзель, после начала войны сожгли из-за от</w:t>
      </w:r>
      <w:r w:rsidRPr="00DE096C">
        <w:rPr>
          <w:bCs/>
          <w:color w:val="002060"/>
          <w:sz w:val="16"/>
          <w:szCs w:val="16"/>
        </w:rPr>
        <w:softHyphen/>
        <w:t>сутствия бензина на его заправку для перелета и во избежание захвата немцами.</w:t>
      </w:r>
    </w:p>
    <w:p w14:paraId="2B9A1CB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Следует, однако, заметить, что полной уверенности в при</w:t>
      </w:r>
      <w:r w:rsidRPr="00DE096C">
        <w:rPr>
          <w:bCs/>
          <w:color w:val="002060"/>
          <w:sz w:val="16"/>
          <w:szCs w:val="16"/>
        </w:rPr>
        <w:softHyphen/>
        <w:t>годности М-22 для морской авиации у командования к этому времени не было (1085).</w:t>
      </w:r>
    </w:p>
    <w:p w14:paraId="524D5786" w14:textId="77777777" w:rsidR="00B67D7C" w:rsidRPr="00DE096C" w:rsidRDefault="00B67D7C" w:rsidP="00D45A46">
      <w:pPr>
        <w:shd w:val="clear" w:color="auto" w:fill="FFFFFF"/>
        <w:jc w:val="both"/>
        <w:rPr>
          <w:bCs/>
          <w:color w:val="002060"/>
          <w:sz w:val="16"/>
          <w:szCs w:val="16"/>
        </w:rPr>
      </w:pPr>
    </w:p>
    <w:p w14:paraId="7C2399DA" w14:textId="43D07F2F" w:rsidR="00B67D7C" w:rsidRPr="00DE096C" w:rsidRDefault="00B67D7C" w:rsidP="00D45A46">
      <w:pPr>
        <w:jc w:val="both"/>
        <w:rPr>
          <w:bCs/>
          <w:color w:val="002060"/>
          <w:sz w:val="16"/>
          <w:szCs w:val="16"/>
        </w:rPr>
      </w:pPr>
      <w:r w:rsidRPr="00DE096C">
        <w:rPr>
          <w:bCs/>
          <w:color w:val="002060"/>
          <w:sz w:val="16"/>
          <w:szCs w:val="16"/>
        </w:rPr>
        <w:t xml:space="preserve">14 мая (27 мая) 1914 года в Либаве «Илья Муромец» в поплавковом варианте взлетел с воды. </w:t>
      </w:r>
      <w:r w:rsidR="0092558D" w:rsidRPr="00DE096C">
        <w:rPr>
          <w:bCs/>
          <w:color w:val="002060"/>
          <w:sz w:val="16"/>
          <w:szCs w:val="16"/>
        </w:rPr>
        <w:t xml:space="preserve">Постановкой четырехмоторной машины на поплавки, сконструированные инженером Д. П. Григоровичем, [43] занимался сам И. И. Сикорский. </w:t>
      </w:r>
      <w:r w:rsidRPr="00DE096C">
        <w:rPr>
          <w:bCs/>
          <w:color w:val="002060"/>
          <w:sz w:val="16"/>
          <w:szCs w:val="16"/>
        </w:rPr>
        <w:t xml:space="preserve">Пилотировал машину сам конструктор, вторым пилотом был лейтенант Г. И. Лавров. Морские летчики-офицеры, откомандированные в Либаву для осмотра новой машины, в своем отчете отметили: </w:t>
      </w:r>
    </w:p>
    <w:p w14:paraId="7CD228CB" w14:textId="77777777" w:rsidR="00B67D7C" w:rsidRPr="00DE096C" w:rsidRDefault="00B67D7C" w:rsidP="00D45A46">
      <w:pPr>
        <w:pStyle w:val="Blockquote"/>
        <w:spacing w:before="0" w:after="0"/>
        <w:ind w:left="0" w:right="0"/>
        <w:jc w:val="both"/>
        <w:rPr>
          <w:bCs/>
          <w:color w:val="002060"/>
          <w:sz w:val="16"/>
          <w:szCs w:val="16"/>
        </w:rPr>
      </w:pPr>
      <w:r w:rsidRPr="00DE096C">
        <w:rPr>
          <w:bCs/>
          <w:color w:val="002060"/>
          <w:sz w:val="16"/>
          <w:szCs w:val="16"/>
        </w:rPr>
        <w:t xml:space="preserve">«Первый гидроплан «Илья Муромец» представляет из себя сухопутный аэроплан, поставленный на поплавки (два центральных и один добавочный под хвостом). Размеры его следующие: </w:t>
      </w:r>
    </w:p>
    <w:p w14:paraId="2573E377" w14:textId="77777777" w:rsidR="00B67D7C" w:rsidRPr="00DE096C" w:rsidRDefault="00B67D7C" w:rsidP="00D45A46">
      <w:pPr>
        <w:pStyle w:val="Blockquote"/>
        <w:spacing w:before="0" w:after="0"/>
        <w:ind w:left="0" w:right="0"/>
        <w:jc w:val="both"/>
        <w:rPr>
          <w:bCs/>
          <w:color w:val="002060"/>
          <w:sz w:val="16"/>
          <w:szCs w:val="16"/>
        </w:rPr>
      </w:pPr>
      <w:r w:rsidRPr="00DE096C">
        <w:rPr>
          <w:bCs/>
          <w:color w:val="002060"/>
          <w:sz w:val="16"/>
          <w:szCs w:val="16"/>
        </w:rPr>
        <w:t xml:space="preserve">Размах крыльев — 32 м. </w:t>
      </w:r>
    </w:p>
    <w:p w14:paraId="69EA1F79" w14:textId="77777777" w:rsidR="00B67D7C" w:rsidRPr="00DE096C" w:rsidRDefault="00B67D7C" w:rsidP="00D45A46">
      <w:pPr>
        <w:pStyle w:val="Blockquote"/>
        <w:spacing w:before="0" w:after="0"/>
        <w:ind w:left="0" w:right="0"/>
        <w:jc w:val="both"/>
        <w:rPr>
          <w:bCs/>
          <w:color w:val="002060"/>
          <w:sz w:val="16"/>
          <w:szCs w:val="16"/>
        </w:rPr>
      </w:pPr>
      <w:r w:rsidRPr="00DE096C">
        <w:rPr>
          <w:bCs/>
          <w:color w:val="002060"/>
          <w:sz w:val="16"/>
          <w:szCs w:val="16"/>
        </w:rPr>
        <w:t xml:space="preserve">Длина — 22 м. </w:t>
      </w:r>
    </w:p>
    <w:p w14:paraId="55C65D97" w14:textId="77777777" w:rsidR="00B67D7C" w:rsidRPr="00DE096C" w:rsidRDefault="00B67D7C" w:rsidP="00D45A46">
      <w:pPr>
        <w:pStyle w:val="Blockquote"/>
        <w:spacing w:before="0" w:after="0"/>
        <w:ind w:left="0" w:right="0"/>
        <w:jc w:val="both"/>
        <w:rPr>
          <w:bCs/>
          <w:color w:val="002060"/>
          <w:sz w:val="16"/>
          <w:szCs w:val="16"/>
        </w:rPr>
      </w:pPr>
      <w:r w:rsidRPr="00DE096C">
        <w:rPr>
          <w:bCs/>
          <w:color w:val="002060"/>
          <w:sz w:val="16"/>
          <w:szCs w:val="16"/>
        </w:rPr>
        <w:t xml:space="preserve">Высота — 6 м. </w:t>
      </w:r>
    </w:p>
    <w:p w14:paraId="360154A1" w14:textId="77777777" w:rsidR="00B67D7C" w:rsidRPr="00DE096C" w:rsidRDefault="00B67D7C" w:rsidP="00D45A46">
      <w:pPr>
        <w:pStyle w:val="Blockquote"/>
        <w:spacing w:before="0" w:after="0"/>
        <w:ind w:left="0" w:right="0"/>
        <w:jc w:val="both"/>
        <w:rPr>
          <w:bCs/>
          <w:color w:val="002060"/>
          <w:sz w:val="16"/>
          <w:szCs w:val="16"/>
        </w:rPr>
      </w:pPr>
      <w:r w:rsidRPr="00DE096C">
        <w:rPr>
          <w:bCs/>
          <w:color w:val="002060"/>
          <w:sz w:val="16"/>
          <w:szCs w:val="16"/>
        </w:rPr>
        <w:t xml:space="preserve">Площадь несущих поверхностей — 180 кв. м. </w:t>
      </w:r>
    </w:p>
    <w:p w14:paraId="6C18781B" w14:textId="77777777" w:rsidR="00B67D7C" w:rsidRPr="00DE096C" w:rsidRDefault="00B67D7C" w:rsidP="00D45A46">
      <w:pPr>
        <w:pStyle w:val="Blockquote"/>
        <w:spacing w:before="0" w:after="0"/>
        <w:ind w:left="0" w:right="0"/>
        <w:jc w:val="both"/>
        <w:rPr>
          <w:bCs/>
          <w:color w:val="002060"/>
          <w:sz w:val="16"/>
          <w:szCs w:val="16"/>
        </w:rPr>
      </w:pPr>
      <w:r w:rsidRPr="00DE096C">
        <w:rPr>
          <w:bCs/>
          <w:color w:val="002060"/>
          <w:sz w:val="16"/>
          <w:szCs w:val="16"/>
        </w:rPr>
        <w:t xml:space="preserve">Вес — 300 пудов. </w:t>
      </w:r>
    </w:p>
    <w:p w14:paraId="01C498ED" w14:textId="77777777" w:rsidR="00B67D7C" w:rsidRPr="00DE096C" w:rsidRDefault="00B67D7C" w:rsidP="00D45A46">
      <w:pPr>
        <w:pStyle w:val="Blockquote"/>
        <w:spacing w:before="0" w:after="0"/>
        <w:ind w:left="0" w:right="0"/>
        <w:jc w:val="both"/>
        <w:rPr>
          <w:bCs/>
          <w:color w:val="002060"/>
          <w:sz w:val="16"/>
          <w:szCs w:val="16"/>
        </w:rPr>
      </w:pPr>
      <w:r w:rsidRPr="00DE096C">
        <w:rPr>
          <w:bCs/>
          <w:color w:val="002060"/>
          <w:sz w:val="16"/>
          <w:szCs w:val="16"/>
        </w:rPr>
        <w:t>...аппарат после небольшого разбега по воде легко взлетел, летал 12 минут и отлично сел. Управляемость на воде хорошая, ибо кроме рулей можно пользоваться разницей оборотов с той и другой стороны».</w:t>
      </w:r>
    </w:p>
    <w:p w14:paraId="6E2B6BF9" w14:textId="77777777" w:rsidR="00B67D7C" w:rsidRPr="00DE096C" w:rsidRDefault="00B67D7C" w:rsidP="00D45A46">
      <w:pPr>
        <w:jc w:val="both"/>
        <w:rPr>
          <w:bCs/>
          <w:color w:val="002060"/>
          <w:sz w:val="16"/>
          <w:szCs w:val="16"/>
        </w:rPr>
      </w:pPr>
      <w:r w:rsidRPr="00DE096C">
        <w:rPr>
          <w:bCs/>
          <w:color w:val="002060"/>
          <w:sz w:val="16"/>
          <w:szCs w:val="16"/>
        </w:rPr>
        <w:t xml:space="preserve">На этом гидросамолете было установлено четыре двигателя: два мощностью по 190 л. с. (139,65 кВт) и два по 115 л. с. (84,3 кВт). </w:t>
      </w:r>
    </w:p>
    <w:p w14:paraId="12DA324A" w14:textId="77777777" w:rsidR="00B67D7C" w:rsidRPr="00DE096C" w:rsidRDefault="00B67D7C" w:rsidP="00D45A46">
      <w:pPr>
        <w:jc w:val="both"/>
        <w:rPr>
          <w:bCs/>
          <w:color w:val="002060"/>
          <w:sz w:val="16"/>
          <w:szCs w:val="16"/>
        </w:rPr>
      </w:pPr>
      <w:r w:rsidRPr="00DE096C">
        <w:rPr>
          <w:bCs/>
          <w:color w:val="002060"/>
          <w:sz w:val="16"/>
          <w:szCs w:val="16"/>
        </w:rPr>
        <w:t xml:space="preserve">Самолет при полетной массе 5000 кг был способен нести полезную нагрузку 1000 кг и развивать скорость до 100 км/ч. </w:t>
      </w:r>
    </w:p>
    <w:p w14:paraId="57C7EA9E" w14:textId="77777777" w:rsidR="00B67D7C" w:rsidRPr="00DE096C" w:rsidRDefault="00B67D7C" w:rsidP="00D45A46">
      <w:pPr>
        <w:jc w:val="both"/>
        <w:rPr>
          <w:bCs/>
          <w:color w:val="002060"/>
          <w:sz w:val="16"/>
          <w:szCs w:val="16"/>
        </w:rPr>
      </w:pPr>
      <w:r w:rsidRPr="00DE096C">
        <w:rPr>
          <w:bCs/>
          <w:color w:val="002060"/>
          <w:sz w:val="16"/>
          <w:szCs w:val="16"/>
        </w:rPr>
        <w:t xml:space="preserve">К сожалению, надежды военных моряков на многомоторную машину Сикорского не оправдались. </w:t>
      </w:r>
    </w:p>
    <w:p w14:paraId="2B808FE8" w14:textId="77777777" w:rsidR="00B67D7C" w:rsidRPr="00DE096C" w:rsidRDefault="00B67D7C" w:rsidP="00D45A46">
      <w:pPr>
        <w:jc w:val="both"/>
        <w:rPr>
          <w:bCs/>
          <w:color w:val="002060"/>
          <w:sz w:val="16"/>
          <w:szCs w:val="16"/>
        </w:rPr>
      </w:pPr>
      <w:r w:rsidRPr="00DE096C">
        <w:rPr>
          <w:bCs/>
          <w:color w:val="002060"/>
          <w:sz w:val="16"/>
          <w:szCs w:val="16"/>
        </w:rPr>
        <w:t xml:space="preserve">«Илья Муромец» строился на РБВЗ по согласованию с морским ведомством на следующих условиях: </w:t>
      </w:r>
    </w:p>
    <w:p w14:paraId="7E1D8F52" w14:textId="77777777" w:rsidR="00B67D7C" w:rsidRPr="00DE096C" w:rsidRDefault="00B67D7C" w:rsidP="00D45A46">
      <w:pPr>
        <w:pStyle w:val="Blockquote"/>
        <w:spacing w:before="0" w:after="0"/>
        <w:ind w:left="0" w:right="0"/>
        <w:jc w:val="both"/>
        <w:rPr>
          <w:bCs/>
          <w:color w:val="002060"/>
          <w:sz w:val="16"/>
          <w:szCs w:val="16"/>
        </w:rPr>
      </w:pPr>
      <w:r w:rsidRPr="00DE096C">
        <w:rPr>
          <w:bCs/>
          <w:color w:val="002060"/>
          <w:sz w:val="16"/>
          <w:szCs w:val="16"/>
        </w:rPr>
        <w:t>«Аппарат доставляется в Либаву к 25 февраля 1914 года,</w:t>
      </w:r>
    </w:p>
    <w:p w14:paraId="4F102709" w14:textId="77777777" w:rsidR="00B67D7C" w:rsidRPr="00DE096C" w:rsidRDefault="00B67D7C" w:rsidP="00D45A46">
      <w:pPr>
        <w:pStyle w:val="Blockquote"/>
        <w:spacing w:before="0" w:after="0"/>
        <w:ind w:left="0" w:right="0"/>
        <w:jc w:val="both"/>
        <w:rPr>
          <w:bCs/>
          <w:color w:val="002060"/>
          <w:sz w:val="16"/>
          <w:szCs w:val="16"/>
        </w:rPr>
      </w:pPr>
      <w:r w:rsidRPr="00DE096C">
        <w:rPr>
          <w:bCs/>
          <w:color w:val="002060"/>
          <w:sz w:val="16"/>
          <w:szCs w:val="16"/>
        </w:rPr>
        <w:t xml:space="preserve">испытания производятся пилотом за риск завода, </w:t>
      </w:r>
    </w:p>
    <w:p w14:paraId="39B673FD" w14:textId="77777777" w:rsidR="00B67D7C" w:rsidRPr="00DE096C" w:rsidRDefault="00B67D7C" w:rsidP="00D45A46">
      <w:pPr>
        <w:pStyle w:val="Blockquote"/>
        <w:spacing w:before="0" w:after="0"/>
        <w:ind w:left="0" w:right="0"/>
        <w:jc w:val="both"/>
        <w:rPr>
          <w:bCs/>
          <w:color w:val="002060"/>
          <w:sz w:val="16"/>
          <w:szCs w:val="16"/>
        </w:rPr>
      </w:pPr>
      <w:r w:rsidRPr="00DE096C">
        <w:rPr>
          <w:bCs/>
          <w:color w:val="002060"/>
          <w:sz w:val="16"/>
          <w:szCs w:val="16"/>
        </w:rPr>
        <w:t xml:space="preserve">полная нагрузка аппарата не менее одной тонны, </w:t>
      </w:r>
    </w:p>
    <w:p w14:paraId="278C8415" w14:textId="77777777" w:rsidR="00B67D7C" w:rsidRPr="00DE096C" w:rsidRDefault="00B67D7C" w:rsidP="00D45A46">
      <w:pPr>
        <w:pStyle w:val="Blockquote"/>
        <w:spacing w:before="0" w:after="0"/>
        <w:ind w:left="0" w:right="0"/>
        <w:jc w:val="both"/>
        <w:rPr>
          <w:bCs/>
          <w:color w:val="002060"/>
          <w:sz w:val="16"/>
          <w:szCs w:val="16"/>
        </w:rPr>
      </w:pPr>
      <w:r w:rsidRPr="00DE096C">
        <w:rPr>
          <w:bCs/>
          <w:color w:val="002060"/>
          <w:sz w:val="16"/>
          <w:szCs w:val="16"/>
        </w:rPr>
        <w:t xml:space="preserve">высота полета 800 метров, </w:t>
      </w:r>
    </w:p>
    <w:p w14:paraId="54B3E4EE" w14:textId="77777777" w:rsidR="00B67D7C" w:rsidRPr="00DE096C" w:rsidRDefault="00B67D7C" w:rsidP="00D45A46">
      <w:pPr>
        <w:pStyle w:val="Blockquote"/>
        <w:spacing w:before="0" w:after="0"/>
        <w:ind w:left="0" w:right="0"/>
        <w:jc w:val="both"/>
        <w:rPr>
          <w:bCs/>
          <w:color w:val="002060"/>
          <w:sz w:val="16"/>
          <w:szCs w:val="16"/>
        </w:rPr>
      </w:pPr>
      <w:r w:rsidRPr="00DE096C">
        <w:rPr>
          <w:bCs/>
          <w:color w:val="002060"/>
          <w:sz w:val="16"/>
          <w:szCs w:val="16"/>
        </w:rPr>
        <w:t xml:space="preserve">безопасность полета при остановке двух моторов с одной стороны, </w:t>
      </w:r>
    </w:p>
    <w:p w14:paraId="14626D5C" w14:textId="77777777" w:rsidR="00B67D7C" w:rsidRPr="00DE096C" w:rsidRDefault="00B67D7C" w:rsidP="00D45A46">
      <w:pPr>
        <w:pStyle w:val="Blockquote"/>
        <w:spacing w:before="0" w:after="0"/>
        <w:ind w:left="0" w:right="0"/>
        <w:jc w:val="both"/>
        <w:rPr>
          <w:bCs/>
          <w:color w:val="002060"/>
          <w:sz w:val="16"/>
          <w:szCs w:val="16"/>
        </w:rPr>
      </w:pPr>
      <w:r w:rsidRPr="00DE096C">
        <w:rPr>
          <w:bCs/>
          <w:color w:val="002060"/>
          <w:sz w:val="16"/>
          <w:szCs w:val="16"/>
        </w:rPr>
        <w:t xml:space="preserve">рулежка по воде на расстояние в 10 км, </w:t>
      </w:r>
    </w:p>
    <w:p w14:paraId="1F0A0F4E" w14:textId="77777777" w:rsidR="00B67D7C" w:rsidRPr="00DE096C" w:rsidRDefault="00B67D7C" w:rsidP="00D45A46">
      <w:pPr>
        <w:pStyle w:val="Blockquote"/>
        <w:spacing w:before="0" w:after="0"/>
        <w:ind w:left="0" w:right="0"/>
        <w:jc w:val="both"/>
        <w:rPr>
          <w:bCs/>
          <w:color w:val="002060"/>
          <w:sz w:val="16"/>
          <w:szCs w:val="16"/>
        </w:rPr>
      </w:pPr>
      <w:r w:rsidRPr="00DE096C">
        <w:rPr>
          <w:bCs/>
          <w:color w:val="002060"/>
          <w:sz w:val="16"/>
          <w:szCs w:val="16"/>
        </w:rPr>
        <w:t xml:space="preserve">взлет без посторонней помощи, </w:t>
      </w:r>
    </w:p>
    <w:p w14:paraId="5FF9F59B" w14:textId="77777777" w:rsidR="00B67D7C" w:rsidRPr="00DE096C" w:rsidRDefault="00B67D7C" w:rsidP="00D45A46">
      <w:pPr>
        <w:pStyle w:val="Blockquote"/>
        <w:spacing w:before="0" w:after="0"/>
        <w:ind w:left="0" w:right="0"/>
        <w:jc w:val="both"/>
        <w:rPr>
          <w:bCs/>
          <w:color w:val="002060"/>
          <w:sz w:val="16"/>
          <w:szCs w:val="16"/>
        </w:rPr>
      </w:pPr>
      <w:r w:rsidRPr="00DE096C">
        <w:rPr>
          <w:bCs/>
          <w:color w:val="002060"/>
          <w:sz w:val="16"/>
          <w:szCs w:val="16"/>
        </w:rPr>
        <w:t>цена — 25 000 рублей за каждые 100 л. с.»</w:t>
      </w:r>
    </w:p>
    <w:p w14:paraId="13502616" w14:textId="77777777" w:rsidR="00B67D7C" w:rsidRPr="00DE096C" w:rsidRDefault="00B67D7C" w:rsidP="00D45A46">
      <w:pPr>
        <w:jc w:val="both"/>
        <w:rPr>
          <w:bCs/>
          <w:color w:val="002060"/>
          <w:sz w:val="16"/>
          <w:szCs w:val="16"/>
        </w:rPr>
      </w:pPr>
      <w:r w:rsidRPr="00DE096C">
        <w:rPr>
          <w:bCs/>
          <w:color w:val="002060"/>
          <w:sz w:val="16"/>
          <w:szCs w:val="16"/>
        </w:rPr>
        <w:t xml:space="preserve">Морской Генеральный штаб потребовал увеличения полезной нагрузки до полутора тонн, на что завод дал согласие, и 14 января 1914 года с ним был заключен контракт. </w:t>
      </w:r>
    </w:p>
    <w:p w14:paraId="04D1C741" w14:textId="77777777" w:rsidR="00B67D7C" w:rsidRPr="00DE096C" w:rsidRDefault="00B67D7C" w:rsidP="00D45A46">
      <w:pPr>
        <w:jc w:val="both"/>
        <w:rPr>
          <w:bCs/>
          <w:color w:val="002060"/>
          <w:sz w:val="16"/>
          <w:szCs w:val="16"/>
        </w:rPr>
      </w:pPr>
      <w:r w:rsidRPr="00DE096C">
        <w:rPr>
          <w:bCs/>
          <w:color w:val="002060"/>
          <w:sz w:val="16"/>
          <w:szCs w:val="16"/>
        </w:rPr>
        <w:t xml:space="preserve">По контракту РБВЗ обязался к 25 февраля 1914 года доставить в Либаву «Илью Муромца» для сдаточных испытаний. Но из-за неготовности в Либаве ангара доставку отложили на 20 марта, но и этот срок был сорван из-за показа 25 марта самолета в полете царю, а позже и румынскому принцу. Гидросамолетом «Илья Муромец» [44] заинтересовались англичане, и 14 апреля министр иностранных дел обратился к морскому министру с просьбой оказать содействие в ознакомлении с самолетом специально командированным лицам. Морской министр предпочел отказать в истинно «английском духе». Он ответил, что «поскольку самолет поступит в распоряжение морского ведомства не ранее июля и поскольку самолет представляет привилегию завода, то осмотр его до этого времени невозможен». </w:t>
      </w:r>
    </w:p>
    <w:p w14:paraId="7ED5B0FF" w14:textId="77777777" w:rsidR="00B67D7C" w:rsidRPr="00DE096C" w:rsidRDefault="00B67D7C" w:rsidP="00D45A46">
      <w:pPr>
        <w:jc w:val="both"/>
        <w:rPr>
          <w:bCs/>
          <w:color w:val="002060"/>
          <w:sz w:val="16"/>
          <w:szCs w:val="16"/>
        </w:rPr>
      </w:pPr>
      <w:r w:rsidRPr="00DE096C">
        <w:rPr>
          <w:bCs/>
          <w:color w:val="002060"/>
          <w:sz w:val="16"/>
          <w:szCs w:val="16"/>
        </w:rPr>
        <w:t xml:space="preserve">Ввиду того, что многомоторные самолеты Сикорского были еще недостаточно испытаны на суше, а также того, что монополизация строительства их могла невыгодно отразиться на дальнейшем развитии самолетостроения, морское ведомство решило путем объявления конкурса привлечь к разработке проектов больших гидросамолетов не только заводы, но и отдельных лиц. Условия конкурса были следующими: </w:t>
      </w:r>
    </w:p>
    <w:p w14:paraId="66F4232A" w14:textId="77777777" w:rsidR="00B67D7C" w:rsidRPr="00DE096C" w:rsidRDefault="00B67D7C" w:rsidP="00D45A46">
      <w:pPr>
        <w:pStyle w:val="Blockquote"/>
        <w:spacing w:before="0" w:after="0"/>
        <w:ind w:left="0" w:right="0"/>
        <w:jc w:val="both"/>
        <w:rPr>
          <w:bCs/>
          <w:color w:val="002060"/>
          <w:sz w:val="16"/>
          <w:szCs w:val="16"/>
        </w:rPr>
      </w:pPr>
      <w:r w:rsidRPr="00DE096C">
        <w:rPr>
          <w:bCs/>
          <w:color w:val="002060"/>
          <w:sz w:val="16"/>
          <w:szCs w:val="16"/>
        </w:rPr>
        <w:t xml:space="preserve">«1. Самолет должен иметь: скорость не менее 100 км/ч, дальность действия 1000 км, полезную нагрузку сверх экипажа и топлива не менее 150 кг, не менее двух моторов, с доступом к ним в полете и пуском без посторонней помощи, двойное управление и места для двух пилотов, двух наблюдателей и механика, установки для пулеметов, рации, прожектора и бомб. </w:t>
      </w:r>
    </w:p>
    <w:p w14:paraId="3EF5FE44" w14:textId="77777777" w:rsidR="00B67D7C" w:rsidRPr="00DE096C" w:rsidRDefault="00B67D7C" w:rsidP="00D45A46">
      <w:pPr>
        <w:pStyle w:val="Blockquote"/>
        <w:spacing w:before="0" w:after="0"/>
        <w:ind w:left="0" w:right="0"/>
        <w:jc w:val="both"/>
        <w:rPr>
          <w:bCs/>
          <w:color w:val="002060"/>
          <w:sz w:val="16"/>
          <w:szCs w:val="16"/>
        </w:rPr>
      </w:pPr>
      <w:r w:rsidRPr="00DE096C">
        <w:rPr>
          <w:bCs/>
          <w:color w:val="002060"/>
          <w:sz w:val="16"/>
          <w:szCs w:val="16"/>
        </w:rPr>
        <w:t xml:space="preserve">2. Самолет должен быть мореходен, остойчив, непотопляем и выполнять горизонтальный полет на 2/3 мощности (моторов). </w:t>
      </w:r>
    </w:p>
    <w:p w14:paraId="7E2841C7" w14:textId="77777777" w:rsidR="00B67D7C" w:rsidRPr="00DE096C" w:rsidRDefault="00B67D7C" w:rsidP="00D45A46">
      <w:pPr>
        <w:pStyle w:val="Blockquote"/>
        <w:spacing w:before="0" w:after="0"/>
        <w:ind w:left="0" w:right="0"/>
        <w:jc w:val="both"/>
        <w:rPr>
          <w:bCs/>
          <w:color w:val="002060"/>
          <w:sz w:val="16"/>
          <w:szCs w:val="16"/>
        </w:rPr>
      </w:pPr>
      <w:r w:rsidRPr="00DE096C">
        <w:rPr>
          <w:bCs/>
          <w:color w:val="002060"/>
          <w:sz w:val="16"/>
          <w:szCs w:val="16"/>
        </w:rPr>
        <w:t xml:space="preserve">3. Должны быть представлены все расчеты, чертежи, ясное описание и смета стоимости самолета. </w:t>
      </w:r>
    </w:p>
    <w:p w14:paraId="69706FA5" w14:textId="77777777" w:rsidR="00B67D7C" w:rsidRPr="00DE096C" w:rsidRDefault="00B67D7C" w:rsidP="00D45A46">
      <w:pPr>
        <w:pStyle w:val="Blockquote"/>
        <w:spacing w:before="0" w:after="0"/>
        <w:ind w:left="0" w:right="0"/>
        <w:jc w:val="both"/>
        <w:rPr>
          <w:bCs/>
          <w:color w:val="002060"/>
          <w:sz w:val="16"/>
          <w:szCs w:val="16"/>
        </w:rPr>
      </w:pPr>
      <w:r w:rsidRPr="00DE096C">
        <w:rPr>
          <w:bCs/>
          <w:color w:val="002060"/>
          <w:sz w:val="16"/>
          <w:szCs w:val="16"/>
        </w:rPr>
        <w:t xml:space="preserve">4. Срок представления проектов — 1 мая 1914 года. </w:t>
      </w:r>
    </w:p>
    <w:p w14:paraId="1977ECA1" w14:textId="77777777" w:rsidR="00B67D7C" w:rsidRPr="00DE096C" w:rsidRDefault="00B67D7C" w:rsidP="00D45A46">
      <w:pPr>
        <w:pStyle w:val="Blockquote"/>
        <w:spacing w:before="0" w:after="0"/>
        <w:ind w:left="0" w:right="0"/>
        <w:jc w:val="both"/>
        <w:rPr>
          <w:bCs/>
          <w:color w:val="002060"/>
          <w:sz w:val="16"/>
          <w:szCs w:val="16"/>
        </w:rPr>
      </w:pPr>
      <w:r w:rsidRPr="00DE096C">
        <w:rPr>
          <w:bCs/>
          <w:color w:val="002060"/>
          <w:sz w:val="16"/>
          <w:szCs w:val="16"/>
        </w:rPr>
        <w:t xml:space="preserve">5. Устанавливаются премии: 1-я — 3000 руб., 2-я — 2000 руб., 3-я — 1000 руб. В случае принятия проекта в постройку автору выплачивается по 5000 рублей за каждый построенный самолет. </w:t>
      </w:r>
    </w:p>
    <w:p w14:paraId="28BD8E3E" w14:textId="77777777" w:rsidR="00B67D7C" w:rsidRPr="00DE096C" w:rsidRDefault="00B67D7C" w:rsidP="00D45A46">
      <w:pPr>
        <w:pStyle w:val="Blockquote"/>
        <w:spacing w:before="0" w:after="0"/>
        <w:ind w:left="0" w:right="0"/>
        <w:jc w:val="both"/>
        <w:rPr>
          <w:bCs/>
          <w:color w:val="002060"/>
          <w:sz w:val="16"/>
          <w:szCs w:val="16"/>
        </w:rPr>
      </w:pPr>
      <w:r w:rsidRPr="00DE096C">
        <w:rPr>
          <w:bCs/>
          <w:color w:val="002060"/>
          <w:sz w:val="16"/>
          <w:szCs w:val="16"/>
        </w:rPr>
        <w:t>6. Проекты рассматриваются особой комиссией Морского Генерального штаба».</w:t>
      </w:r>
    </w:p>
    <w:p w14:paraId="0B06AB61" w14:textId="77777777" w:rsidR="00B67D7C" w:rsidRPr="00DE096C" w:rsidRDefault="00B67D7C" w:rsidP="00D45A46">
      <w:pPr>
        <w:jc w:val="both"/>
        <w:rPr>
          <w:bCs/>
          <w:color w:val="002060"/>
          <w:sz w:val="16"/>
          <w:szCs w:val="16"/>
        </w:rPr>
      </w:pPr>
      <w:r w:rsidRPr="00DE096C">
        <w:rPr>
          <w:bCs/>
          <w:color w:val="002060"/>
          <w:sz w:val="16"/>
          <w:szCs w:val="16"/>
        </w:rPr>
        <w:t xml:space="preserve">16 апреля для выработки технических заданий на гидросамолеты, предназначенные для действий на Балтике, собрался авиационный комитет службы связи Балтийского моря в составе капитана 2 ранга Б. П. Дудорова, летчиков Б. А. Щербачева, В. Е. Зверева, И. И. Кульнева, В. Л. Любицкого, В. А. Литвинова и авиационного инженера П. А. Шишкова. </w:t>
      </w:r>
    </w:p>
    <w:p w14:paraId="19E96D53" w14:textId="77777777" w:rsidR="00B67D7C" w:rsidRPr="00DE096C" w:rsidRDefault="00B67D7C" w:rsidP="00D45A46">
      <w:pPr>
        <w:jc w:val="both"/>
        <w:rPr>
          <w:bCs/>
          <w:color w:val="002060"/>
          <w:sz w:val="16"/>
          <w:szCs w:val="16"/>
        </w:rPr>
      </w:pPr>
      <w:r w:rsidRPr="00DE096C">
        <w:rPr>
          <w:bCs/>
          <w:color w:val="002060"/>
          <w:sz w:val="16"/>
          <w:szCs w:val="16"/>
        </w:rPr>
        <w:t xml:space="preserve">Оперативными задачами морской авиации Балтики комитет считал следующие: </w:t>
      </w:r>
    </w:p>
    <w:p w14:paraId="2B13CEC3" w14:textId="77777777" w:rsidR="00B67D7C" w:rsidRPr="00DE096C" w:rsidRDefault="00B67D7C" w:rsidP="00D45A46">
      <w:pPr>
        <w:jc w:val="both"/>
        <w:rPr>
          <w:bCs/>
          <w:color w:val="002060"/>
          <w:sz w:val="16"/>
          <w:szCs w:val="16"/>
        </w:rPr>
      </w:pPr>
      <w:r w:rsidRPr="00DE096C">
        <w:rPr>
          <w:bCs/>
          <w:color w:val="002060"/>
          <w:sz w:val="16"/>
          <w:szCs w:val="16"/>
        </w:rPr>
        <w:t>— разведку неприятельского флота в пунктах его сосредоточения в Киле и Данциге или на маршрутах перехода неприятельских кораблей в Финский залив;</w:t>
      </w:r>
    </w:p>
    <w:p w14:paraId="31EFDEDD" w14:textId="77777777" w:rsidR="00B67D7C" w:rsidRPr="00DE096C" w:rsidRDefault="00B67D7C" w:rsidP="00D45A46">
      <w:pPr>
        <w:jc w:val="both"/>
        <w:rPr>
          <w:bCs/>
          <w:color w:val="002060"/>
          <w:sz w:val="16"/>
          <w:szCs w:val="16"/>
        </w:rPr>
      </w:pPr>
      <w:r w:rsidRPr="00DE096C">
        <w:rPr>
          <w:bCs/>
          <w:color w:val="002060"/>
          <w:sz w:val="16"/>
          <w:szCs w:val="16"/>
        </w:rPr>
        <w:t xml:space="preserve">— борьбу с воздушными разведчиками противника, главным образом с дирижаблями. </w:t>
      </w:r>
    </w:p>
    <w:p w14:paraId="5A459DD3" w14:textId="77777777" w:rsidR="00B67D7C" w:rsidRPr="00DE096C" w:rsidRDefault="00B67D7C" w:rsidP="00D45A46">
      <w:pPr>
        <w:jc w:val="both"/>
        <w:rPr>
          <w:bCs/>
          <w:color w:val="002060"/>
          <w:sz w:val="16"/>
          <w:szCs w:val="16"/>
        </w:rPr>
      </w:pPr>
      <w:r w:rsidRPr="00DE096C">
        <w:rPr>
          <w:bCs/>
          <w:color w:val="002060"/>
          <w:sz w:val="16"/>
          <w:szCs w:val="16"/>
        </w:rPr>
        <w:t xml:space="preserve">Наилучший результат для решения первой задачи могло дать наблюдение за входом в Балтийское море или у Борнхольма, или по параллели от Либавы до берегов Швеции. Для этого требовались гидросамолеты с радиусом действия не менее 800 км. При невозможности вести разведку столь далеко комитет допускал ограничить разведку от Либавы до Готланда, для чего были нужны машины с радиусом действия не менее 400 км. Для решения второй задачи комитет считал, что нужны самолеты с радиусом действия не менее 250 км и с пулеметом впереди. </w:t>
      </w:r>
    </w:p>
    <w:p w14:paraId="3BC483D1" w14:textId="77777777" w:rsidR="00B67D7C" w:rsidRPr="00DE096C" w:rsidRDefault="00B67D7C" w:rsidP="00D45A46">
      <w:pPr>
        <w:jc w:val="both"/>
        <w:rPr>
          <w:bCs/>
          <w:color w:val="002060"/>
          <w:sz w:val="16"/>
          <w:szCs w:val="16"/>
        </w:rPr>
      </w:pPr>
      <w:r w:rsidRPr="00DE096C">
        <w:rPr>
          <w:bCs/>
          <w:color w:val="002060"/>
          <w:sz w:val="16"/>
          <w:szCs w:val="16"/>
        </w:rPr>
        <w:t xml:space="preserve">Комитет также считал, что одиночная разведка в море может выполняться только на двухмоторном самолете, а бомбометание по судам противника при современном состоянии техники бомбардировочной авиации — задача второстепенная. </w:t>
      </w:r>
    </w:p>
    <w:p w14:paraId="7D01AC6F" w14:textId="77777777" w:rsidR="00B67D7C" w:rsidRPr="00DE096C" w:rsidRDefault="00B67D7C" w:rsidP="00D45A46">
      <w:pPr>
        <w:jc w:val="both"/>
        <w:rPr>
          <w:bCs/>
          <w:color w:val="002060"/>
          <w:sz w:val="16"/>
          <w:szCs w:val="16"/>
        </w:rPr>
      </w:pPr>
      <w:r w:rsidRPr="00DE096C">
        <w:rPr>
          <w:bCs/>
          <w:color w:val="002060"/>
          <w:sz w:val="16"/>
          <w:szCs w:val="16"/>
        </w:rPr>
        <w:t xml:space="preserve">Комитет разработал тактико-технические данные гидросамолетов для Балтийского театра. Эти данные и явились исходными для условий конкурса. </w:t>
      </w:r>
    </w:p>
    <w:tbl>
      <w:tblPr>
        <w:tblW w:w="0" w:type="auto"/>
        <w:tblInd w:w="4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5" w:type="dxa"/>
          <w:right w:w="45" w:type="dxa"/>
        </w:tblCellMar>
        <w:tblLook w:val="0000" w:firstRow="0" w:lastRow="0" w:firstColumn="0" w:lastColumn="0" w:noHBand="0" w:noVBand="0"/>
      </w:tblPr>
      <w:tblGrid>
        <w:gridCol w:w="3725"/>
        <w:gridCol w:w="1959"/>
        <w:gridCol w:w="1959"/>
        <w:gridCol w:w="1714"/>
      </w:tblGrid>
      <w:tr w:rsidR="00B67D7C" w:rsidRPr="00DE096C" w14:paraId="0815CD02" w14:textId="77777777" w:rsidTr="00C2024A">
        <w:tc>
          <w:tcPr>
            <w:tcW w:w="3725" w:type="dxa"/>
          </w:tcPr>
          <w:p w14:paraId="4441116A" w14:textId="77777777" w:rsidR="00B67D7C" w:rsidRPr="00DE096C" w:rsidRDefault="00B67D7C" w:rsidP="00D45A46">
            <w:pPr>
              <w:jc w:val="both"/>
              <w:rPr>
                <w:bCs/>
                <w:color w:val="002060"/>
                <w:sz w:val="16"/>
                <w:szCs w:val="16"/>
              </w:rPr>
            </w:pPr>
          </w:p>
        </w:tc>
        <w:tc>
          <w:tcPr>
            <w:tcW w:w="5632" w:type="dxa"/>
            <w:gridSpan w:val="3"/>
          </w:tcPr>
          <w:p w14:paraId="0F45E95A" w14:textId="77777777" w:rsidR="00B67D7C" w:rsidRPr="00DE096C" w:rsidRDefault="00B67D7C" w:rsidP="00D45A46">
            <w:pPr>
              <w:jc w:val="both"/>
              <w:rPr>
                <w:bCs/>
                <w:color w:val="002060"/>
                <w:sz w:val="16"/>
                <w:szCs w:val="16"/>
              </w:rPr>
            </w:pPr>
            <w:r w:rsidRPr="00DE096C">
              <w:rPr>
                <w:bCs/>
                <w:color w:val="002060"/>
                <w:sz w:val="16"/>
                <w:szCs w:val="16"/>
              </w:rPr>
              <w:t>Назначение самолета</w:t>
            </w:r>
          </w:p>
        </w:tc>
      </w:tr>
      <w:tr w:rsidR="00B67D7C" w:rsidRPr="00DE096C" w14:paraId="1E7C21F0" w14:textId="77777777" w:rsidTr="00C2024A">
        <w:tc>
          <w:tcPr>
            <w:tcW w:w="3725" w:type="dxa"/>
          </w:tcPr>
          <w:p w14:paraId="476678C1" w14:textId="77777777" w:rsidR="00B67D7C" w:rsidRPr="00DE096C" w:rsidRDefault="00B67D7C" w:rsidP="00D45A46">
            <w:pPr>
              <w:jc w:val="both"/>
              <w:rPr>
                <w:bCs/>
                <w:color w:val="002060"/>
                <w:sz w:val="16"/>
                <w:szCs w:val="16"/>
              </w:rPr>
            </w:pPr>
            <w:r w:rsidRPr="00DE096C">
              <w:rPr>
                <w:bCs/>
                <w:color w:val="002060"/>
                <w:sz w:val="16"/>
                <w:szCs w:val="16"/>
              </w:rPr>
              <w:t>Тактико-технические требования</w:t>
            </w:r>
          </w:p>
        </w:tc>
        <w:tc>
          <w:tcPr>
            <w:tcW w:w="1959" w:type="dxa"/>
          </w:tcPr>
          <w:p w14:paraId="41335257" w14:textId="77777777" w:rsidR="00B67D7C" w:rsidRPr="00DE096C" w:rsidRDefault="00B67D7C" w:rsidP="00D45A46">
            <w:pPr>
              <w:jc w:val="both"/>
              <w:rPr>
                <w:bCs/>
                <w:color w:val="002060"/>
                <w:sz w:val="16"/>
                <w:szCs w:val="16"/>
              </w:rPr>
            </w:pPr>
            <w:r w:rsidRPr="00DE096C">
              <w:rPr>
                <w:bCs/>
                <w:color w:val="002060"/>
                <w:sz w:val="16"/>
                <w:szCs w:val="16"/>
              </w:rPr>
              <w:t>Дальняя разведка</w:t>
            </w:r>
          </w:p>
        </w:tc>
        <w:tc>
          <w:tcPr>
            <w:tcW w:w="1959" w:type="dxa"/>
          </w:tcPr>
          <w:p w14:paraId="68EA9F5B" w14:textId="77777777" w:rsidR="00B67D7C" w:rsidRPr="00DE096C" w:rsidRDefault="00B67D7C" w:rsidP="00D45A46">
            <w:pPr>
              <w:jc w:val="both"/>
              <w:rPr>
                <w:bCs/>
                <w:color w:val="002060"/>
                <w:sz w:val="16"/>
                <w:szCs w:val="16"/>
              </w:rPr>
            </w:pPr>
            <w:r w:rsidRPr="00DE096C">
              <w:rPr>
                <w:bCs/>
                <w:color w:val="002060"/>
                <w:sz w:val="16"/>
                <w:szCs w:val="16"/>
              </w:rPr>
              <w:t>Ближняя разведка</w:t>
            </w:r>
          </w:p>
        </w:tc>
        <w:tc>
          <w:tcPr>
            <w:tcW w:w="1714" w:type="dxa"/>
          </w:tcPr>
          <w:p w14:paraId="0BF05867" w14:textId="77777777" w:rsidR="00B67D7C" w:rsidRPr="00DE096C" w:rsidRDefault="00B67D7C" w:rsidP="00D45A46">
            <w:pPr>
              <w:jc w:val="both"/>
              <w:rPr>
                <w:bCs/>
                <w:color w:val="002060"/>
                <w:sz w:val="16"/>
                <w:szCs w:val="16"/>
              </w:rPr>
            </w:pPr>
            <w:r w:rsidRPr="00DE096C">
              <w:rPr>
                <w:bCs/>
                <w:color w:val="002060"/>
                <w:sz w:val="16"/>
                <w:szCs w:val="16"/>
              </w:rPr>
              <w:t>Боевой самолет</w:t>
            </w:r>
          </w:p>
        </w:tc>
      </w:tr>
      <w:tr w:rsidR="00B67D7C" w:rsidRPr="00DE096C" w14:paraId="3C3957F5" w14:textId="77777777" w:rsidTr="00C2024A">
        <w:tc>
          <w:tcPr>
            <w:tcW w:w="3725" w:type="dxa"/>
          </w:tcPr>
          <w:p w14:paraId="1B2EC8B6" w14:textId="77777777" w:rsidR="00B67D7C" w:rsidRPr="00DE096C" w:rsidRDefault="00B67D7C" w:rsidP="00D45A46">
            <w:pPr>
              <w:jc w:val="both"/>
              <w:rPr>
                <w:bCs/>
                <w:color w:val="002060"/>
                <w:sz w:val="16"/>
                <w:szCs w:val="16"/>
              </w:rPr>
            </w:pPr>
            <w:r w:rsidRPr="00DE096C">
              <w:rPr>
                <w:bCs/>
                <w:color w:val="002060"/>
                <w:sz w:val="16"/>
                <w:szCs w:val="16"/>
              </w:rPr>
              <w:t>Скорость полета, км/ч</w:t>
            </w:r>
          </w:p>
        </w:tc>
        <w:tc>
          <w:tcPr>
            <w:tcW w:w="1959" w:type="dxa"/>
          </w:tcPr>
          <w:p w14:paraId="6CD69D65" w14:textId="77777777" w:rsidR="00B67D7C" w:rsidRPr="00DE096C" w:rsidRDefault="00B67D7C" w:rsidP="00D45A46">
            <w:pPr>
              <w:jc w:val="both"/>
              <w:rPr>
                <w:bCs/>
                <w:color w:val="002060"/>
                <w:sz w:val="16"/>
                <w:szCs w:val="16"/>
              </w:rPr>
            </w:pPr>
            <w:r w:rsidRPr="00DE096C">
              <w:rPr>
                <w:bCs/>
                <w:color w:val="002060"/>
                <w:sz w:val="16"/>
                <w:szCs w:val="16"/>
              </w:rPr>
              <w:t>100</w:t>
            </w:r>
          </w:p>
        </w:tc>
        <w:tc>
          <w:tcPr>
            <w:tcW w:w="1959" w:type="dxa"/>
          </w:tcPr>
          <w:p w14:paraId="00611D23" w14:textId="77777777" w:rsidR="00B67D7C" w:rsidRPr="00DE096C" w:rsidRDefault="00B67D7C" w:rsidP="00D45A46">
            <w:pPr>
              <w:jc w:val="both"/>
              <w:rPr>
                <w:bCs/>
                <w:color w:val="002060"/>
                <w:sz w:val="16"/>
                <w:szCs w:val="16"/>
              </w:rPr>
            </w:pPr>
            <w:r w:rsidRPr="00DE096C">
              <w:rPr>
                <w:bCs/>
                <w:color w:val="002060"/>
                <w:sz w:val="16"/>
                <w:szCs w:val="16"/>
              </w:rPr>
              <w:t>100</w:t>
            </w:r>
          </w:p>
        </w:tc>
        <w:tc>
          <w:tcPr>
            <w:tcW w:w="1714" w:type="dxa"/>
          </w:tcPr>
          <w:p w14:paraId="28A77B7E" w14:textId="77777777" w:rsidR="00B67D7C" w:rsidRPr="00DE096C" w:rsidRDefault="00B67D7C" w:rsidP="00D45A46">
            <w:pPr>
              <w:jc w:val="both"/>
              <w:rPr>
                <w:bCs/>
                <w:color w:val="002060"/>
                <w:sz w:val="16"/>
                <w:szCs w:val="16"/>
              </w:rPr>
            </w:pPr>
            <w:r w:rsidRPr="00DE096C">
              <w:rPr>
                <w:bCs/>
                <w:color w:val="002060"/>
                <w:sz w:val="16"/>
                <w:szCs w:val="16"/>
              </w:rPr>
              <w:t>60</w:t>
            </w:r>
          </w:p>
        </w:tc>
      </w:tr>
      <w:tr w:rsidR="00B67D7C" w:rsidRPr="00DE096C" w14:paraId="29AF677F" w14:textId="77777777" w:rsidTr="00C2024A">
        <w:tc>
          <w:tcPr>
            <w:tcW w:w="3725" w:type="dxa"/>
          </w:tcPr>
          <w:p w14:paraId="7EF0294B" w14:textId="77777777" w:rsidR="00B67D7C" w:rsidRPr="00DE096C" w:rsidRDefault="00B67D7C" w:rsidP="00D45A46">
            <w:pPr>
              <w:jc w:val="both"/>
              <w:rPr>
                <w:bCs/>
                <w:color w:val="002060"/>
                <w:sz w:val="16"/>
                <w:szCs w:val="16"/>
              </w:rPr>
            </w:pPr>
            <w:r w:rsidRPr="00DE096C">
              <w:rPr>
                <w:bCs/>
                <w:color w:val="002060"/>
                <w:sz w:val="16"/>
                <w:szCs w:val="16"/>
              </w:rPr>
              <w:t>Дальность полета, км</w:t>
            </w:r>
          </w:p>
        </w:tc>
        <w:tc>
          <w:tcPr>
            <w:tcW w:w="1959" w:type="dxa"/>
          </w:tcPr>
          <w:p w14:paraId="5E6D1389" w14:textId="77777777" w:rsidR="00B67D7C" w:rsidRPr="00DE096C" w:rsidRDefault="00B67D7C" w:rsidP="00D45A46">
            <w:pPr>
              <w:jc w:val="both"/>
              <w:rPr>
                <w:bCs/>
                <w:color w:val="002060"/>
                <w:sz w:val="16"/>
                <w:szCs w:val="16"/>
              </w:rPr>
            </w:pPr>
            <w:r w:rsidRPr="00DE096C">
              <w:rPr>
                <w:bCs/>
                <w:color w:val="002060"/>
                <w:sz w:val="16"/>
                <w:szCs w:val="16"/>
              </w:rPr>
              <w:t>1000</w:t>
            </w:r>
          </w:p>
        </w:tc>
        <w:tc>
          <w:tcPr>
            <w:tcW w:w="1959" w:type="dxa"/>
          </w:tcPr>
          <w:p w14:paraId="19936130" w14:textId="77777777" w:rsidR="00B67D7C" w:rsidRPr="00DE096C" w:rsidRDefault="00B67D7C" w:rsidP="00D45A46">
            <w:pPr>
              <w:jc w:val="both"/>
              <w:rPr>
                <w:bCs/>
                <w:color w:val="002060"/>
                <w:sz w:val="16"/>
                <w:szCs w:val="16"/>
              </w:rPr>
            </w:pPr>
            <w:r w:rsidRPr="00DE096C">
              <w:rPr>
                <w:bCs/>
                <w:color w:val="002060"/>
                <w:sz w:val="16"/>
                <w:szCs w:val="16"/>
              </w:rPr>
              <w:t>400</w:t>
            </w:r>
          </w:p>
        </w:tc>
        <w:tc>
          <w:tcPr>
            <w:tcW w:w="1714" w:type="dxa"/>
          </w:tcPr>
          <w:p w14:paraId="46042FED" w14:textId="77777777" w:rsidR="00B67D7C" w:rsidRPr="00DE096C" w:rsidRDefault="00B67D7C" w:rsidP="00D45A46">
            <w:pPr>
              <w:jc w:val="both"/>
              <w:rPr>
                <w:bCs/>
                <w:color w:val="002060"/>
                <w:sz w:val="16"/>
                <w:szCs w:val="16"/>
              </w:rPr>
            </w:pPr>
            <w:r w:rsidRPr="00DE096C">
              <w:rPr>
                <w:bCs/>
                <w:color w:val="002060"/>
                <w:sz w:val="16"/>
                <w:szCs w:val="16"/>
              </w:rPr>
              <w:t>250</w:t>
            </w:r>
          </w:p>
        </w:tc>
      </w:tr>
      <w:tr w:rsidR="00B67D7C" w:rsidRPr="00DE096C" w14:paraId="5C82D50E" w14:textId="77777777" w:rsidTr="00C2024A">
        <w:tc>
          <w:tcPr>
            <w:tcW w:w="3725" w:type="dxa"/>
          </w:tcPr>
          <w:p w14:paraId="49224927" w14:textId="77777777" w:rsidR="00B67D7C" w:rsidRPr="00DE096C" w:rsidRDefault="00B67D7C" w:rsidP="00D45A46">
            <w:pPr>
              <w:jc w:val="both"/>
              <w:rPr>
                <w:bCs/>
                <w:color w:val="002060"/>
                <w:sz w:val="16"/>
                <w:szCs w:val="16"/>
              </w:rPr>
            </w:pPr>
            <w:r w:rsidRPr="00DE096C">
              <w:rPr>
                <w:bCs/>
                <w:color w:val="002060"/>
                <w:sz w:val="16"/>
                <w:szCs w:val="16"/>
              </w:rPr>
              <w:t>Полезная нагрузка, кг</w:t>
            </w:r>
          </w:p>
        </w:tc>
        <w:tc>
          <w:tcPr>
            <w:tcW w:w="1959" w:type="dxa"/>
          </w:tcPr>
          <w:p w14:paraId="435D4B17" w14:textId="77777777" w:rsidR="00B67D7C" w:rsidRPr="00DE096C" w:rsidRDefault="00B67D7C" w:rsidP="00D45A46">
            <w:pPr>
              <w:jc w:val="both"/>
              <w:rPr>
                <w:bCs/>
                <w:color w:val="002060"/>
                <w:sz w:val="16"/>
                <w:szCs w:val="16"/>
              </w:rPr>
            </w:pPr>
            <w:r w:rsidRPr="00DE096C">
              <w:rPr>
                <w:bCs/>
                <w:color w:val="002060"/>
                <w:sz w:val="16"/>
                <w:szCs w:val="16"/>
              </w:rPr>
              <w:t>150</w:t>
            </w:r>
          </w:p>
        </w:tc>
        <w:tc>
          <w:tcPr>
            <w:tcW w:w="1959" w:type="dxa"/>
          </w:tcPr>
          <w:p w14:paraId="6D1676BD" w14:textId="77777777" w:rsidR="00B67D7C" w:rsidRPr="00DE096C" w:rsidRDefault="00B67D7C" w:rsidP="00D45A46">
            <w:pPr>
              <w:jc w:val="both"/>
              <w:rPr>
                <w:bCs/>
                <w:color w:val="002060"/>
                <w:sz w:val="16"/>
                <w:szCs w:val="16"/>
              </w:rPr>
            </w:pPr>
            <w:r w:rsidRPr="00DE096C">
              <w:rPr>
                <w:bCs/>
                <w:color w:val="002060"/>
                <w:sz w:val="16"/>
                <w:szCs w:val="16"/>
              </w:rPr>
              <w:t>175</w:t>
            </w:r>
          </w:p>
        </w:tc>
        <w:tc>
          <w:tcPr>
            <w:tcW w:w="1714" w:type="dxa"/>
          </w:tcPr>
          <w:p w14:paraId="11D61225" w14:textId="77777777" w:rsidR="00B67D7C" w:rsidRPr="00DE096C" w:rsidRDefault="00B67D7C" w:rsidP="00D45A46">
            <w:pPr>
              <w:jc w:val="both"/>
              <w:rPr>
                <w:bCs/>
                <w:color w:val="002060"/>
                <w:sz w:val="16"/>
                <w:szCs w:val="16"/>
              </w:rPr>
            </w:pPr>
            <w:r w:rsidRPr="00DE096C">
              <w:rPr>
                <w:bCs/>
                <w:color w:val="002060"/>
                <w:sz w:val="16"/>
                <w:szCs w:val="16"/>
              </w:rPr>
              <w:t>225</w:t>
            </w:r>
          </w:p>
        </w:tc>
      </w:tr>
      <w:tr w:rsidR="00B67D7C" w:rsidRPr="00DE096C" w14:paraId="196CE169" w14:textId="77777777" w:rsidTr="00C2024A">
        <w:tc>
          <w:tcPr>
            <w:tcW w:w="3725" w:type="dxa"/>
          </w:tcPr>
          <w:p w14:paraId="22345C18" w14:textId="77777777" w:rsidR="00B67D7C" w:rsidRPr="00DE096C" w:rsidRDefault="00B67D7C" w:rsidP="00D45A46">
            <w:pPr>
              <w:jc w:val="both"/>
              <w:rPr>
                <w:bCs/>
                <w:color w:val="002060"/>
                <w:sz w:val="16"/>
                <w:szCs w:val="16"/>
              </w:rPr>
            </w:pPr>
            <w:r w:rsidRPr="00DE096C">
              <w:rPr>
                <w:bCs/>
                <w:color w:val="002060"/>
                <w:sz w:val="16"/>
                <w:szCs w:val="16"/>
              </w:rPr>
              <w:t>Число:</w:t>
            </w:r>
          </w:p>
        </w:tc>
        <w:tc>
          <w:tcPr>
            <w:tcW w:w="1959" w:type="dxa"/>
          </w:tcPr>
          <w:p w14:paraId="4DBDCEAC" w14:textId="77777777" w:rsidR="00B67D7C" w:rsidRPr="00DE096C" w:rsidRDefault="00B67D7C" w:rsidP="00D45A46">
            <w:pPr>
              <w:jc w:val="both"/>
              <w:rPr>
                <w:bCs/>
                <w:color w:val="002060"/>
                <w:sz w:val="16"/>
                <w:szCs w:val="16"/>
              </w:rPr>
            </w:pPr>
          </w:p>
        </w:tc>
        <w:tc>
          <w:tcPr>
            <w:tcW w:w="1959" w:type="dxa"/>
          </w:tcPr>
          <w:p w14:paraId="05AE810B" w14:textId="77777777" w:rsidR="00B67D7C" w:rsidRPr="00DE096C" w:rsidRDefault="00B67D7C" w:rsidP="00D45A46">
            <w:pPr>
              <w:jc w:val="both"/>
              <w:rPr>
                <w:bCs/>
                <w:color w:val="002060"/>
                <w:sz w:val="16"/>
                <w:szCs w:val="16"/>
              </w:rPr>
            </w:pPr>
          </w:p>
        </w:tc>
        <w:tc>
          <w:tcPr>
            <w:tcW w:w="1714" w:type="dxa"/>
          </w:tcPr>
          <w:p w14:paraId="12992D55" w14:textId="77777777" w:rsidR="00B67D7C" w:rsidRPr="00DE096C" w:rsidRDefault="00B67D7C" w:rsidP="00D45A46">
            <w:pPr>
              <w:jc w:val="both"/>
              <w:rPr>
                <w:bCs/>
                <w:color w:val="002060"/>
                <w:sz w:val="16"/>
                <w:szCs w:val="16"/>
              </w:rPr>
            </w:pPr>
          </w:p>
        </w:tc>
      </w:tr>
      <w:tr w:rsidR="00B67D7C" w:rsidRPr="00DE096C" w14:paraId="0BBCE36F" w14:textId="77777777" w:rsidTr="00C2024A">
        <w:tc>
          <w:tcPr>
            <w:tcW w:w="3725" w:type="dxa"/>
          </w:tcPr>
          <w:p w14:paraId="01103039" w14:textId="77777777" w:rsidR="00B67D7C" w:rsidRPr="00DE096C" w:rsidRDefault="00B67D7C" w:rsidP="00D45A46">
            <w:pPr>
              <w:jc w:val="both"/>
              <w:rPr>
                <w:bCs/>
                <w:color w:val="002060"/>
                <w:sz w:val="16"/>
                <w:szCs w:val="16"/>
              </w:rPr>
            </w:pPr>
            <w:r w:rsidRPr="00DE096C">
              <w:rPr>
                <w:bCs/>
                <w:color w:val="002060"/>
                <w:sz w:val="16"/>
                <w:szCs w:val="16"/>
              </w:rPr>
              <w:lastRenderedPageBreak/>
              <w:t>двигателей</w:t>
            </w:r>
          </w:p>
        </w:tc>
        <w:tc>
          <w:tcPr>
            <w:tcW w:w="1959" w:type="dxa"/>
          </w:tcPr>
          <w:p w14:paraId="65169B39" w14:textId="77777777" w:rsidR="00B67D7C" w:rsidRPr="00DE096C" w:rsidRDefault="00B67D7C" w:rsidP="00D45A46">
            <w:pPr>
              <w:jc w:val="both"/>
              <w:rPr>
                <w:bCs/>
                <w:color w:val="002060"/>
                <w:sz w:val="16"/>
                <w:szCs w:val="16"/>
              </w:rPr>
            </w:pPr>
            <w:r w:rsidRPr="00DE096C">
              <w:rPr>
                <w:bCs/>
                <w:color w:val="002060"/>
                <w:sz w:val="16"/>
                <w:szCs w:val="16"/>
              </w:rPr>
              <w:t>2</w:t>
            </w:r>
          </w:p>
        </w:tc>
        <w:tc>
          <w:tcPr>
            <w:tcW w:w="1959" w:type="dxa"/>
          </w:tcPr>
          <w:p w14:paraId="2F4DD378" w14:textId="77777777" w:rsidR="00B67D7C" w:rsidRPr="00DE096C" w:rsidRDefault="00B67D7C" w:rsidP="00D45A46">
            <w:pPr>
              <w:jc w:val="both"/>
              <w:rPr>
                <w:bCs/>
                <w:color w:val="002060"/>
                <w:sz w:val="16"/>
                <w:szCs w:val="16"/>
              </w:rPr>
            </w:pPr>
            <w:r w:rsidRPr="00DE096C">
              <w:rPr>
                <w:bCs/>
                <w:color w:val="002060"/>
                <w:sz w:val="16"/>
                <w:szCs w:val="16"/>
              </w:rPr>
              <w:t>1</w:t>
            </w:r>
          </w:p>
        </w:tc>
        <w:tc>
          <w:tcPr>
            <w:tcW w:w="1714" w:type="dxa"/>
          </w:tcPr>
          <w:p w14:paraId="57B667E7" w14:textId="77777777" w:rsidR="00B67D7C" w:rsidRPr="00DE096C" w:rsidRDefault="00B67D7C" w:rsidP="00D45A46">
            <w:pPr>
              <w:jc w:val="both"/>
              <w:rPr>
                <w:bCs/>
                <w:color w:val="002060"/>
                <w:sz w:val="16"/>
                <w:szCs w:val="16"/>
              </w:rPr>
            </w:pPr>
            <w:r w:rsidRPr="00DE096C">
              <w:rPr>
                <w:bCs/>
                <w:color w:val="002060"/>
                <w:sz w:val="16"/>
                <w:szCs w:val="16"/>
              </w:rPr>
              <w:t>1</w:t>
            </w:r>
          </w:p>
        </w:tc>
      </w:tr>
      <w:tr w:rsidR="00B67D7C" w:rsidRPr="00DE096C" w14:paraId="5F34B4C3" w14:textId="77777777" w:rsidTr="00C2024A">
        <w:tc>
          <w:tcPr>
            <w:tcW w:w="3725" w:type="dxa"/>
          </w:tcPr>
          <w:p w14:paraId="686DDCFB" w14:textId="77777777" w:rsidR="00B67D7C" w:rsidRPr="00DE096C" w:rsidRDefault="00B67D7C" w:rsidP="00D45A46">
            <w:pPr>
              <w:jc w:val="both"/>
              <w:rPr>
                <w:bCs/>
                <w:color w:val="002060"/>
                <w:sz w:val="16"/>
                <w:szCs w:val="16"/>
              </w:rPr>
            </w:pPr>
            <w:r w:rsidRPr="00DE096C">
              <w:rPr>
                <w:bCs/>
                <w:color w:val="002060"/>
                <w:sz w:val="16"/>
                <w:szCs w:val="16"/>
              </w:rPr>
              <w:t>летчиков</w:t>
            </w:r>
          </w:p>
        </w:tc>
        <w:tc>
          <w:tcPr>
            <w:tcW w:w="1959" w:type="dxa"/>
          </w:tcPr>
          <w:p w14:paraId="59C38A35" w14:textId="77777777" w:rsidR="00B67D7C" w:rsidRPr="00DE096C" w:rsidRDefault="00B67D7C" w:rsidP="00D45A46">
            <w:pPr>
              <w:jc w:val="both"/>
              <w:rPr>
                <w:bCs/>
                <w:color w:val="002060"/>
                <w:sz w:val="16"/>
                <w:szCs w:val="16"/>
              </w:rPr>
            </w:pPr>
            <w:r w:rsidRPr="00DE096C">
              <w:rPr>
                <w:bCs/>
                <w:color w:val="002060"/>
                <w:sz w:val="16"/>
                <w:szCs w:val="16"/>
              </w:rPr>
              <w:t>2</w:t>
            </w:r>
          </w:p>
        </w:tc>
        <w:tc>
          <w:tcPr>
            <w:tcW w:w="1959" w:type="dxa"/>
          </w:tcPr>
          <w:p w14:paraId="3D9A0B37" w14:textId="77777777" w:rsidR="00B67D7C" w:rsidRPr="00DE096C" w:rsidRDefault="00B67D7C" w:rsidP="00D45A46">
            <w:pPr>
              <w:jc w:val="both"/>
              <w:rPr>
                <w:bCs/>
                <w:color w:val="002060"/>
                <w:sz w:val="16"/>
                <w:szCs w:val="16"/>
              </w:rPr>
            </w:pPr>
            <w:r w:rsidRPr="00DE096C">
              <w:rPr>
                <w:bCs/>
                <w:color w:val="002060"/>
                <w:sz w:val="16"/>
                <w:szCs w:val="16"/>
              </w:rPr>
              <w:t>1</w:t>
            </w:r>
          </w:p>
        </w:tc>
        <w:tc>
          <w:tcPr>
            <w:tcW w:w="1714" w:type="dxa"/>
          </w:tcPr>
          <w:p w14:paraId="59AD0F66" w14:textId="77777777" w:rsidR="00B67D7C" w:rsidRPr="00DE096C" w:rsidRDefault="00B67D7C" w:rsidP="00D45A46">
            <w:pPr>
              <w:jc w:val="both"/>
              <w:rPr>
                <w:bCs/>
                <w:color w:val="002060"/>
                <w:sz w:val="16"/>
                <w:szCs w:val="16"/>
              </w:rPr>
            </w:pPr>
            <w:r w:rsidRPr="00DE096C">
              <w:rPr>
                <w:bCs/>
                <w:color w:val="002060"/>
                <w:sz w:val="16"/>
                <w:szCs w:val="16"/>
              </w:rPr>
              <w:t>1</w:t>
            </w:r>
          </w:p>
        </w:tc>
      </w:tr>
      <w:tr w:rsidR="00B67D7C" w:rsidRPr="00DE096C" w14:paraId="2A589377" w14:textId="77777777" w:rsidTr="00C2024A">
        <w:tc>
          <w:tcPr>
            <w:tcW w:w="3725" w:type="dxa"/>
          </w:tcPr>
          <w:p w14:paraId="04078E96" w14:textId="77777777" w:rsidR="00B67D7C" w:rsidRPr="00DE096C" w:rsidRDefault="00B67D7C" w:rsidP="00D45A46">
            <w:pPr>
              <w:jc w:val="both"/>
              <w:rPr>
                <w:bCs/>
                <w:color w:val="002060"/>
                <w:sz w:val="16"/>
                <w:szCs w:val="16"/>
              </w:rPr>
            </w:pPr>
            <w:r w:rsidRPr="00DE096C">
              <w:rPr>
                <w:bCs/>
                <w:color w:val="002060"/>
                <w:sz w:val="16"/>
                <w:szCs w:val="16"/>
              </w:rPr>
              <w:t>наблюдателей</w:t>
            </w:r>
          </w:p>
        </w:tc>
        <w:tc>
          <w:tcPr>
            <w:tcW w:w="1959" w:type="dxa"/>
          </w:tcPr>
          <w:p w14:paraId="30F5B9A1" w14:textId="77777777" w:rsidR="00B67D7C" w:rsidRPr="00DE096C" w:rsidRDefault="00B67D7C" w:rsidP="00D45A46">
            <w:pPr>
              <w:jc w:val="both"/>
              <w:rPr>
                <w:bCs/>
                <w:color w:val="002060"/>
                <w:sz w:val="16"/>
                <w:szCs w:val="16"/>
              </w:rPr>
            </w:pPr>
            <w:r w:rsidRPr="00DE096C">
              <w:rPr>
                <w:bCs/>
                <w:color w:val="002060"/>
                <w:sz w:val="16"/>
                <w:szCs w:val="16"/>
              </w:rPr>
              <w:t>2</w:t>
            </w:r>
          </w:p>
        </w:tc>
        <w:tc>
          <w:tcPr>
            <w:tcW w:w="1959" w:type="dxa"/>
          </w:tcPr>
          <w:p w14:paraId="5DDF249C" w14:textId="77777777" w:rsidR="00B67D7C" w:rsidRPr="00DE096C" w:rsidRDefault="00B67D7C" w:rsidP="00D45A46">
            <w:pPr>
              <w:jc w:val="both"/>
              <w:rPr>
                <w:bCs/>
                <w:color w:val="002060"/>
                <w:sz w:val="16"/>
                <w:szCs w:val="16"/>
              </w:rPr>
            </w:pPr>
            <w:r w:rsidRPr="00DE096C">
              <w:rPr>
                <w:bCs/>
                <w:color w:val="002060"/>
                <w:sz w:val="16"/>
                <w:szCs w:val="16"/>
              </w:rPr>
              <w:t>1</w:t>
            </w:r>
          </w:p>
        </w:tc>
        <w:tc>
          <w:tcPr>
            <w:tcW w:w="1714" w:type="dxa"/>
          </w:tcPr>
          <w:p w14:paraId="548C6DAE" w14:textId="77777777" w:rsidR="00B67D7C" w:rsidRPr="00DE096C" w:rsidRDefault="00B67D7C" w:rsidP="00D45A46">
            <w:pPr>
              <w:jc w:val="both"/>
              <w:rPr>
                <w:bCs/>
                <w:color w:val="002060"/>
                <w:sz w:val="16"/>
                <w:szCs w:val="16"/>
              </w:rPr>
            </w:pPr>
            <w:r w:rsidRPr="00DE096C">
              <w:rPr>
                <w:bCs/>
                <w:color w:val="002060"/>
                <w:sz w:val="16"/>
                <w:szCs w:val="16"/>
              </w:rPr>
              <w:t>1</w:t>
            </w:r>
          </w:p>
        </w:tc>
      </w:tr>
      <w:tr w:rsidR="00B67D7C" w:rsidRPr="00DE096C" w14:paraId="1D18634C" w14:textId="77777777" w:rsidTr="00C2024A">
        <w:tc>
          <w:tcPr>
            <w:tcW w:w="3725" w:type="dxa"/>
          </w:tcPr>
          <w:p w14:paraId="231DFB3F" w14:textId="77777777" w:rsidR="00B67D7C" w:rsidRPr="00DE096C" w:rsidRDefault="00B67D7C" w:rsidP="00D45A46">
            <w:pPr>
              <w:jc w:val="both"/>
              <w:rPr>
                <w:bCs/>
                <w:color w:val="002060"/>
                <w:sz w:val="16"/>
                <w:szCs w:val="16"/>
              </w:rPr>
            </w:pPr>
            <w:r w:rsidRPr="00DE096C">
              <w:rPr>
                <w:bCs/>
                <w:color w:val="002060"/>
                <w:sz w:val="16"/>
                <w:szCs w:val="16"/>
              </w:rPr>
              <w:t>Вооружение</w:t>
            </w:r>
          </w:p>
        </w:tc>
        <w:tc>
          <w:tcPr>
            <w:tcW w:w="1959" w:type="dxa"/>
          </w:tcPr>
          <w:p w14:paraId="503C7082" w14:textId="77777777" w:rsidR="00B67D7C" w:rsidRPr="00DE096C" w:rsidRDefault="00B67D7C" w:rsidP="00D45A46">
            <w:pPr>
              <w:jc w:val="both"/>
              <w:rPr>
                <w:bCs/>
                <w:color w:val="002060"/>
                <w:sz w:val="16"/>
                <w:szCs w:val="16"/>
              </w:rPr>
            </w:pPr>
            <w:r w:rsidRPr="00DE096C">
              <w:rPr>
                <w:bCs/>
                <w:color w:val="002060"/>
                <w:sz w:val="16"/>
                <w:szCs w:val="16"/>
              </w:rPr>
              <w:t>Пулемет</w:t>
            </w:r>
          </w:p>
        </w:tc>
        <w:tc>
          <w:tcPr>
            <w:tcW w:w="1959" w:type="dxa"/>
          </w:tcPr>
          <w:p w14:paraId="39B51626" w14:textId="77777777" w:rsidR="00B67D7C" w:rsidRPr="00DE096C" w:rsidRDefault="00B67D7C" w:rsidP="00D45A46">
            <w:pPr>
              <w:jc w:val="both"/>
              <w:rPr>
                <w:bCs/>
                <w:color w:val="002060"/>
                <w:sz w:val="16"/>
                <w:szCs w:val="16"/>
              </w:rPr>
            </w:pPr>
            <w:r w:rsidRPr="00DE096C">
              <w:rPr>
                <w:bCs/>
                <w:color w:val="002060"/>
                <w:sz w:val="16"/>
                <w:szCs w:val="16"/>
              </w:rPr>
              <w:t>Пулемет</w:t>
            </w:r>
          </w:p>
        </w:tc>
        <w:tc>
          <w:tcPr>
            <w:tcW w:w="1714" w:type="dxa"/>
          </w:tcPr>
          <w:p w14:paraId="731F915C" w14:textId="77777777" w:rsidR="00B67D7C" w:rsidRPr="00DE096C" w:rsidRDefault="00B67D7C" w:rsidP="00D45A46">
            <w:pPr>
              <w:jc w:val="both"/>
              <w:rPr>
                <w:bCs/>
                <w:color w:val="002060"/>
                <w:sz w:val="16"/>
                <w:szCs w:val="16"/>
              </w:rPr>
            </w:pPr>
            <w:r w:rsidRPr="00DE096C">
              <w:rPr>
                <w:bCs/>
                <w:color w:val="002060"/>
                <w:sz w:val="16"/>
                <w:szCs w:val="16"/>
              </w:rPr>
              <w:t>Пулемет</w:t>
            </w:r>
          </w:p>
        </w:tc>
      </w:tr>
    </w:tbl>
    <w:p w14:paraId="4BA60B3D" w14:textId="77777777" w:rsidR="00B67D7C" w:rsidRPr="00DE096C" w:rsidRDefault="00B67D7C" w:rsidP="00D45A46">
      <w:pPr>
        <w:jc w:val="both"/>
        <w:rPr>
          <w:bCs/>
          <w:color w:val="002060"/>
          <w:sz w:val="16"/>
          <w:szCs w:val="16"/>
        </w:rPr>
      </w:pPr>
      <w:r w:rsidRPr="00DE096C">
        <w:rPr>
          <w:bCs/>
          <w:color w:val="002060"/>
          <w:sz w:val="16"/>
          <w:szCs w:val="16"/>
        </w:rPr>
        <w:t xml:space="preserve">Это заседание авиационного комитета характерно тем, что летчики сами, исходя из местных условий и состояния техники, выработали требования, которым должны были отвечать их летательные аппараты. Правда, ставя во главу угла разведку, балтийцы явно ошибались, и это им стало очевидным довольно скоро. </w:t>
      </w:r>
    </w:p>
    <w:p w14:paraId="3C09F894" w14:textId="77777777" w:rsidR="00B67D7C" w:rsidRPr="00DE096C" w:rsidRDefault="00B67D7C" w:rsidP="00D45A46">
      <w:pPr>
        <w:jc w:val="both"/>
        <w:rPr>
          <w:bCs/>
          <w:color w:val="002060"/>
          <w:sz w:val="16"/>
          <w:szCs w:val="16"/>
        </w:rPr>
      </w:pPr>
    </w:p>
    <w:p w14:paraId="6592224D" w14:textId="45269C01" w:rsidR="00B67D7C" w:rsidRPr="00DE096C" w:rsidRDefault="00B67D7C" w:rsidP="00D45A46">
      <w:pPr>
        <w:shd w:val="clear" w:color="auto" w:fill="FFFFFF"/>
        <w:jc w:val="both"/>
        <w:rPr>
          <w:bCs/>
          <w:color w:val="002060"/>
          <w:sz w:val="16"/>
          <w:szCs w:val="16"/>
        </w:rPr>
      </w:pPr>
      <w:r w:rsidRPr="00DE096C">
        <w:rPr>
          <w:bCs/>
          <w:color w:val="002060"/>
          <w:sz w:val="16"/>
          <w:szCs w:val="16"/>
        </w:rPr>
        <w:t>14 (27) мая 1914, когда по</w:t>
      </w:r>
      <w:r w:rsidRPr="00DE096C">
        <w:rPr>
          <w:bCs/>
          <w:color w:val="002060"/>
          <w:sz w:val="16"/>
          <w:szCs w:val="16"/>
        </w:rPr>
        <w:softHyphen/>
        <w:t>плавковый "Илья Муромец" с И.И. Сикорским и Г.И. Лавровым за штурвалом выполнил первый 12-минутный полет</w:t>
      </w:r>
      <w:r w:rsidR="0092558D" w:rsidRPr="00DE096C">
        <w:rPr>
          <w:bCs/>
          <w:color w:val="002060"/>
          <w:sz w:val="16"/>
          <w:szCs w:val="16"/>
        </w:rPr>
        <w:t>, начались сдаточные опыты</w:t>
      </w:r>
      <w:r w:rsidRPr="00DE096C">
        <w:rPr>
          <w:bCs/>
          <w:color w:val="002060"/>
          <w:sz w:val="16"/>
          <w:szCs w:val="16"/>
        </w:rPr>
        <w:t xml:space="preserve">. </w:t>
      </w:r>
      <w:r w:rsidR="0092558D" w:rsidRPr="00DE096C">
        <w:rPr>
          <w:bCs/>
          <w:color w:val="002060"/>
          <w:sz w:val="16"/>
          <w:szCs w:val="16"/>
        </w:rPr>
        <w:t>Срок исполнения заказа откладывался затем несколько раз и главным образом из-за не</w:t>
      </w:r>
      <w:r w:rsidR="0092558D" w:rsidRPr="00DE096C">
        <w:rPr>
          <w:bCs/>
          <w:color w:val="002060"/>
          <w:sz w:val="16"/>
          <w:szCs w:val="16"/>
        </w:rPr>
        <w:softHyphen/>
        <w:t xml:space="preserve">готовности ангаров в Либаве. </w:t>
      </w:r>
      <w:r w:rsidRPr="00DE096C">
        <w:rPr>
          <w:bCs/>
          <w:color w:val="002060"/>
          <w:sz w:val="16"/>
          <w:szCs w:val="16"/>
        </w:rPr>
        <w:t>К тому времени аппарат был движим двумя двигателями "Саль-мсон" 200 л.с. (190 л.с. на деле) и двумя 115-сильными "Аргусами", т.е. его энерговоору</w:t>
      </w:r>
      <w:r w:rsidRPr="00DE096C">
        <w:rPr>
          <w:bCs/>
          <w:color w:val="002060"/>
          <w:sz w:val="16"/>
          <w:szCs w:val="16"/>
        </w:rPr>
        <w:softHyphen/>
        <w:t>женность возросла в 1,5 раза по сравнению с первоначальным вариантом. Черноморский авиатор подпоручик по Адмиралтейству А.Е. Жуков был свидетелем майских экспериментов и отмечал в своем докладе, что взлет и посадка машины, несшей четырех человек экипажа и малые запасы бензина и масла, оказались легки, при хорошей управляемости на воде, т.к. помимо рулей пилот мог "играть" тягой моторов. Названный офицер, являвшийся спе</w:t>
      </w:r>
      <w:r w:rsidRPr="00DE096C">
        <w:rPr>
          <w:bCs/>
          <w:color w:val="002060"/>
          <w:sz w:val="16"/>
          <w:szCs w:val="16"/>
        </w:rPr>
        <w:softHyphen/>
        <w:t>циалистом по двигателям, констатировал также, что хорошие в работе, но сложные при разборке "Сальмсоны" имели большое лобовое сопротивление, как и два плоскодонных глав</w:t>
      </w:r>
      <w:r w:rsidRPr="00DE096C">
        <w:rPr>
          <w:bCs/>
          <w:color w:val="002060"/>
          <w:sz w:val="16"/>
          <w:szCs w:val="16"/>
        </w:rPr>
        <w:softHyphen/>
        <w:t>ных поплавка водного шасси. Последние, собранные из ясеневого каркаса и фанерной об</w:t>
      </w:r>
      <w:r w:rsidRPr="00DE096C">
        <w:rPr>
          <w:bCs/>
          <w:color w:val="002060"/>
          <w:sz w:val="16"/>
          <w:szCs w:val="16"/>
        </w:rPr>
        <w:softHyphen/>
        <w:t>шивки, снабжались резиновой амортизацией и располагались под центральными моторами, а третий, вспомогательный понтон находился под хвостом. В целом конструкция поплавков оценивалась как "солидная", а конструкция самого "Ильи Муромца" была несколько усилена перед его отправкой в Либаву (2843).</w:t>
      </w:r>
    </w:p>
    <w:p w14:paraId="323ACA53" w14:textId="77777777" w:rsidR="00B67D7C" w:rsidRPr="00DE096C" w:rsidRDefault="00B67D7C" w:rsidP="00D45A46">
      <w:pPr>
        <w:shd w:val="clear" w:color="auto" w:fill="FFFFFF"/>
        <w:jc w:val="both"/>
        <w:rPr>
          <w:bCs/>
          <w:color w:val="002060"/>
          <w:sz w:val="16"/>
          <w:szCs w:val="16"/>
        </w:rPr>
      </w:pPr>
    </w:p>
    <w:p w14:paraId="1470B0A4" w14:textId="32B547D4"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14 </w:t>
      </w:r>
      <w:r w:rsidR="0092558D" w:rsidRPr="00DE096C">
        <w:rPr>
          <w:bCs/>
          <w:color w:val="002060"/>
          <w:sz w:val="16"/>
          <w:szCs w:val="16"/>
        </w:rPr>
        <w:t xml:space="preserve">(27) </w:t>
      </w:r>
      <w:r w:rsidRPr="00DE096C">
        <w:rPr>
          <w:bCs/>
          <w:color w:val="002060"/>
          <w:sz w:val="16"/>
          <w:szCs w:val="16"/>
        </w:rPr>
        <w:t>мая 1914 г.</w:t>
      </w:r>
      <w:r w:rsidR="0092558D" w:rsidRPr="00DE096C">
        <w:rPr>
          <w:bCs/>
          <w:color w:val="002060"/>
          <w:sz w:val="16"/>
          <w:szCs w:val="16"/>
        </w:rPr>
        <w:t xml:space="preserve"> состоялся планировавшийся на конец фев</w:t>
      </w:r>
      <w:r w:rsidR="0092558D" w:rsidRPr="00DE096C">
        <w:rPr>
          <w:bCs/>
          <w:color w:val="002060"/>
          <w:sz w:val="16"/>
          <w:szCs w:val="16"/>
        </w:rPr>
        <w:softHyphen/>
        <w:t>раля 1914 г. демонстрационный полёт поплавкового самолёта «Илья Муромец» с модифицированной силовой установкой (два двигателя «Сальмсон мощностью по 200 л.с. и два «Аргуса» по 115 л.с.). Задержка произошла из-за того, что ангары в Либаве к фев</w:t>
      </w:r>
      <w:r w:rsidR="0092558D" w:rsidRPr="00DE096C">
        <w:rPr>
          <w:bCs/>
          <w:color w:val="002060"/>
          <w:sz w:val="16"/>
          <w:szCs w:val="16"/>
        </w:rPr>
        <w:softHyphen/>
        <w:t>ралю не построили, и по ряду дру</w:t>
      </w:r>
      <w:r w:rsidR="0092558D" w:rsidRPr="00DE096C">
        <w:rPr>
          <w:bCs/>
          <w:color w:val="002060"/>
          <w:sz w:val="16"/>
          <w:szCs w:val="16"/>
        </w:rPr>
        <w:softHyphen/>
        <w:t>гих причин.</w:t>
      </w:r>
      <w:r w:rsidRPr="00DE096C">
        <w:rPr>
          <w:bCs/>
          <w:color w:val="002060"/>
          <w:sz w:val="16"/>
          <w:szCs w:val="16"/>
        </w:rPr>
        <w:t xml:space="preserve"> Пилотировали самолет И.И. Сикорский и лейтенант Г.И. Лавров. Морские летчики-офицеры, отко</w:t>
      </w:r>
      <w:r w:rsidRPr="00DE096C">
        <w:rPr>
          <w:bCs/>
          <w:color w:val="002060"/>
          <w:sz w:val="16"/>
          <w:szCs w:val="16"/>
        </w:rPr>
        <w:softHyphen/>
        <w:t>мандированные в Либаву для ос</w:t>
      </w:r>
      <w:r w:rsidRPr="00DE096C">
        <w:rPr>
          <w:bCs/>
          <w:color w:val="002060"/>
          <w:sz w:val="16"/>
          <w:szCs w:val="16"/>
        </w:rPr>
        <w:softHyphen/>
        <w:t>мотра новой машины, отметили в отчёте: "Первый гидроплан «Илья Муромец» представляет из себя сухопутный аэроплан, поставленный на поплавки (два центральных и один добавочный под хвостом). Аппарат после небольшого разбе</w:t>
      </w:r>
      <w:r w:rsidRPr="00DE096C">
        <w:rPr>
          <w:bCs/>
          <w:color w:val="002060"/>
          <w:sz w:val="16"/>
          <w:szCs w:val="16"/>
        </w:rPr>
        <w:softHyphen/>
        <w:t>га по воде легко взлетел, летал 12 минут и отлично сел. Управляемость на воде хорошая, ибо кроме рулей можно пользоваться разницей обо</w:t>
      </w:r>
      <w:r w:rsidRPr="00DE096C">
        <w:rPr>
          <w:bCs/>
          <w:color w:val="002060"/>
          <w:sz w:val="16"/>
          <w:szCs w:val="16"/>
        </w:rPr>
        <w:softHyphen/>
        <w:t>ротов моторов с той и другой сто</w:t>
      </w:r>
      <w:r w:rsidRPr="00DE096C">
        <w:rPr>
          <w:bCs/>
          <w:color w:val="002060"/>
          <w:sz w:val="16"/>
          <w:szCs w:val="16"/>
        </w:rPr>
        <w:softHyphen/>
        <w:t>роны ".</w:t>
      </w:r>
    </w:p>
    <w:p w14:paraId="423538E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Завод тем временем приступил к строительству самолётов для во</w:t>
      </w:r>
      <w:r w:rsidRPr="00DE096C">
        <w:rPr>
          <w:bCs/>
          <w:color w:val="002060"/>
          <w:sz w:val="16"/>
          <w:szCs w:val="16"/>
        </w:rPr>
        <w:softHyphen/>
        <w:t>енного ведомства, которое весной 1914 г. заказало десять машин со сроком поставки в марте следую</w:t>
      </w:r>
      <w:r w:rsidRPr="00DE096C">
        <w:rPr>
          <w:bCs/>
          <w:color w:val="002060"/>
          <w:sz w:val="16"/>
          <w:szCs w:val="16"/>
        </w:rPr>
        <w:softHyphen/>
        <w:t>щего года, выплачивая за каждый по 150 тыс. руб. (морское ведом</w:t>
      </w:r>
      <w:r w:rsidRPr="00DE096C">
        <w:rPr>
          <w:bCs/>
          <w:color w:val="002060"/>
          <w:sz w:val="16"/>
          <w:szCs w:val="16"/>
        </w:rPr>
        <w:softHyphen/>
        <w:t>ство предлагало на 60 тыс. рублей меньше).</w:t>
      </w:r>
    </w:p>
    <w:p w14:paraId="0ED5C287" w14:textId="6F9163DC" w:rsidR="00B67D7C" w:rsidRPr="00DE096C" w:rsidRDefault="00B67D7C" w:rsidP="00D45A46">
      <w:pPr>
        <w:pStyle w:val="a4"/>
        <w:spacing w:before="0" w:after="0"/>
        <w:jc w:val="both"/>
        <w:rPr>
          <w:bCs/>
          <w:color w:val="002060"/>
          <w:sz w:val="16"/>
          <w:szCs w:val="16"/>
        </w:rPr>
      </w:pPr>
      <w:r w:rsidRPr="00DE096C">
        <w:rPr>
          <w:bCs/>
          <w:color w:val="002060"/>
          <w:sz w:val="16"/>
          <w:szCs w:val="16"/>
        </w:rPr>
        <w:t>Эпопея с единственным поплав</w:t>
      </w:r>
      <w:r w:rsidRPr="00DE096C">
        <w:rPr>
          <w:bCs/>
          <w:color w:val="002060"/>
          <w:sz w:val="16"/>
          <w:szCs w:val="16"/>
        </w:rPr>
        <w:softHyphen/>
        <w:t>ковым самолетом закончилась без</w:t>
      </w:r>
      <w:r w:rsidRPr="00DE096C">
        <w:rPr>
          <w:bCs/>
          <w:color w:val="002060"/>
          <w:sz w:val="16"/>
          <w:szCs w:val="16"/>
        </w:rPr>
        <w:softHyphen/>
        <w:t>дарно. 16 июня 1914 г. из-за угро</w:t>
      </w:r>
      <w:r w:rsidRPr="00DE096C">
        <w:rPr>
          <w:bCs/>
          <w:color w:val="002060"/>
          <w:sz w:val="16"/>
          <w:szCs w:val="16"/>
        </w:rPr>
        <w:softHyphen/>
        <w:t>зы войны, решили перевести Либав-скую воздушную станцию на о. Эзель. На миноносцах «Искусный» и «Прозорливый» вывезли авиаци</w:t>
      </w:r>
      <w:r w:rsidRPr="00DE096C">
        <w:rPr>
          <w:bCs/>
          <w:color w:val="002060"/>
          <w:sz w:val="16"/>
          <w:szCs w:val="16"/>
        </w:rPr>
        <w:softHyphen/>
        <w:t>онное имущество, летчики Щербачев, Липгардт, Литвинов и Кульнев перегнали самолёты на о. Эзель. Экипаж самолёта «Илья Муромец» получил приказ перелететь в Киль-конд. Однако из-за встречного вет</w:t>
      </w:r>
      <w:r w:rsidRPr="00DE096C">
        <w:rPr>
          <w:bCs/>
          <w:color w:val="002060"/>
          <w:sz w:val="16"/>
          <w:szCs w:val="16"/>
        </w:rPr>
        <w:softHyphen/>
        <w:t>ра по маршруту полёта, расход топлива превысил расчётный и пи</w:t>
      </w:r>
      <w:r w:rsidRPr="00DE096C">
        <w:rPr>
          <w:bCs/>
          <w:color w:val="002060"/>
          <w:sz w:val="16"/>
          <w:szCs w:val="16"/>
        </w:rPr>
        <w:softHyphen/>
        <w:t>лотировавший самолёт лейтенант Лавров вынужден был произвести вынужденную посадку в бухте Ка</w:t>
      </w:r>
      <w:r w:rsidRPr="00DE096C">
        <w:rPr>
          <w:bCs/>
          <w:color w:val="002060"/>
          <w:sz w:val="16"/>
          <w:szCs w:val="16"/>
        </w:rPr>
        <w:softHyphen/>
        <w:t>рал на о. Эзель. Здесь его и заста</w:t>
      </w:r>
      <w:r w:rsidRPr="00DE096C">
        <w:rPr>
          <w:bCs/>
          <w:color w:val="002060"/>
          <w:sz w:val="16"/>
          <w:szCs w:val="16"/>
        </w:rPr>
        <w:softHyphen/>
        <w:t>ло известие о начале войны. Из записи в вахтенном журнале 2-й морской станции в Кильконде сле</w:t>
      </w:r>
      <w:r w:rsidRPr="00DE096C">
        <w:rPr>
          <w:bCs/>
          <w:color w:val="002060"/>
          <w:sz w:val="16"/>
          <w:szCs w:val="16"/>
        </w:rPr>
        <w:softHyphen/>
        <w:t>дует: «Аппарат «Илья Муромец» под командою лейтенанта Лаврова вышел, руля по воде, из бухты Ка</w:t>
      </w:r>
      <w:r w:rsidRPr="00DE096C">
        <w:rPr>
          <w:bCs/>
          <w:color w:val="002060"/>
          <w:sz w:val="16"/>
          <w:szCs w:val="16"/>
        </w:rPr>
        <w:softHyphen/>
        <w:t>рал, испугавшись миноносцев не</w:t>
      </w:r>
      <w:r w:rsidRPr="00DE096C">
        <w:rPr>
          <w:bCs/>
          <w:color w:val="002060"/>
          <w:sz w:val="16"/>
          <w:szCs w:val="16"/>
        </w:rPr>
        <w:softHyphen/>
        <w:t>приятеля так как уйти за неисправ</w:t>
      </w:r>
      <w:r w:rsidRPr="00DE096C">
        <w:rPr>
          <w:bCs/>
          <w:color w:val="002060"/>
          <w:sz w:val="16"/>
          <w:szCs w:val="16"/>
        </w:rPr>
        <w:softHyphen/>
        <w:t>ностью моторов не мог, открыли бак с бензином, подожгли, а поплавки изпорубили. Люди вернулись на рыбацкой шлюпке». Лавров принял приближающиеся посыльные суда Дирекции маяков и лоций, снимаю</w:t>
      </w:r>
      <w:r w:rsidRPr="00DE096C">
        <w:rPr>
          <w:bCs/>
          <w:color w:val="002060"/>
          <w:sz w:val="16"/>
          <w:szCs w:val="16"/>
        </w:rPr>
        <w:softHyphen/>
        <w:t>щие вехи за немецкие миноносцы. Лавров отправился в Ревель и едва избежал вполне заслуженного суда. Спасло его заступничество капита</w:t>
      </w:r>
      <w:r w:rsidRPr="00DE096C">
        <w:rPr>
          <w:bCs/>
          <w:color w:val="002060"/>
          <w:sz w:val="16"/>
          <w:szCs w:val="16"/>
        </w:rPr>
        <w:softHyphen/>
        <w:t>на 2-го ранга Б.П.Дудорова и дру</w:t>
      </w:r>
      <w:r w:rsidRPr="00DE096C">
        <w:rPr>
          <w:bCs/>
          <w:color w:val="002060"/>
          <w:sz w:val="16"/>
          <w:szCs w:val="16"/>
        </w:rPr>
        <w:softHyphen/>
        <w:t>гих офицеров, а флотское руковод</w:t>
      </w:r>
      <w:r w:rsidRPr="00DE096C">
        <w:rPr>
          <w:bCs/>
          <w:color w:val="002060"/>
          <w:sz w:val="16"/>
          <w:szCs w:val="16"/>
        </w:rPr>
        <w:softHyphen/>
        <w:t>ство попросило Морской генераль</w:t>
      </w:r>
      <w:r w:rsidRPr="00DE096C">
        <w:rPr>
          <w:bCs/>
          <w:color w:val="002060"/>
          <w:sz w:val="16"/>
          <w:szCs w:val="16"/>
        </w:rPr>
        <w:softHyphen/>
        <w:t>ный штаб выделить дирижабль в ка</w:t>
      </w:r>
      <w:r w:rsidRPr="00DE096C">
        <w:rPr>
          <w:bCs/>
          <w:color w:val="002060"/>
          <w:sz w:val="16"/>
          <w:szCs w:val="16"/>
        </w:rPr>
        <w:softHyphen/>
        <w:t>честве компенсации за уничтоженный самолёт. Их просьбу удовлет</w:t>
      </w:r>
      <w:r w:rsidRPr="00DE096C">
        <w:rPr>
          <w:bCs/>
          <w:color w:val="002060"/>
          <w:sz w:val="16"/>
          <w:szCs w:val="16"/>
        </w:rPr>
        <w:softHyphen/>
        <w:t>ворили, но военное ведомство пе</w:t>
      </w:r>
      <w:r w:rsidRPr="00DE096C">
        <w:rPr>
          <w:bCs/>
          <w:color w:val="002060"/>
          <w:sz w:val="16"/>
          <w:szCs w:val="16"/>
        </w:rPr>
        <w:softHyphen/>
        <w:t>редало не дирижабль, а старый уп</w:t>
      </w:r>
      <w:r w:rsidRPr="00DE096C">
        <w:rPr>
          <w:bCs/>
          <w:color w:val="002060"/>
          <w:sz w:val="16"/>
          <w:szCs w:val="16"/>
        </w:rPr>
        <w:softHyphen/>
        <w:t>равляемый аэростат. Балтийцы не</w:t>
      </w:r>
      <w:r w:rsidRPr="00DE096C">
        <w:rPr>
          <w:bCs/>
          <w:color w:val="002060"/>
          <w:sz w:val="16"/>
          <w:szCs w:val="16"/>
        </w:rPr>
        <w:softHyphen/>
        <w:t>которое время с ним помучились. Имелись основание полагать, что авторство идеи получить дирижабль принадлежит пытавшемуся реаби</w:t>
      </w:r>
      <w:r w:rsidRPr="00DE096C">
        <w:rPr>
          <w:bCs/>
          <w:color w:val="002060"/>
          <w:sz w:val="16"/>
          <w:szCs w:val="16"/>
        </w:rPr>
        <w:softHyphen/>
        <w:t>литироваться Лаврову. В конечном итоге почли за благо для упрежде</w:t>
      </w:r>
      <w:r w:rsidRPr="00DE096C">
        <w:rPr>
          <w:bCs/>
          <w:color w:val="002060"/>
          <w:sz w:val="16"/>
          <w:szCs w:val="16"/>
        </w:rPr>
        <w:softHyphen/>
        <w:t>ния обнаружения морских объектов поднимать в окрестностях Ревеля змейковый аэростат, выделяемый военным ведомством. Со временем, по-видимому, наступило озарение и понимание, что многомоторный самолёт способен решать задачи над морем, действуя с береговых аэродромов более эффективно, чем управляемый аэростат или дири</w:t>
      </w:r>
      <w:r w:rsidRPr="00DE096C">
        <w:rPr>
          <w:bCs/>
          <w:color w:val="002060"/>
          <w:sz w:val="16"/>
          <w:szCs w:val="16"/>
        </w:rPr>
        <w:softHyphen/>
        <w:t>жабль. Но самолётов М-22 флот так и не получил.</w:t>
      </w:r>
    </w:p>
    <w:p w14:paraId="3994742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Из приведенного следует, что сотрудничество с РБВЗ практичес</w:t>
      </w:r>
      <w:r w:rsidRPr="00DE096C">
        <w:rPr>
          <w:bCs/>
          <w:color w:val="002060"/>
          <w:sz w:val="16"/>
          <w:szCs w:val="16"/>
        </w:rPr>
        <w:softHyphen/>
        <w:t>ки ничего морской авиации не дало. Полученные пять самолетов С-Ю «Гидро» оказались недоработанны</w:t>
      </w:r>
      <w:r w:rsidRPr="00DE096C">
        <w:rPr>
          <w:bCs/>
          <w:color w:val="002060"/>
          <w:sz w:val="16"/>
          <w:szCs w:val="16"/>
        </w:rPr>
        <w:softHyphen/>
        <w:t>ми и к 1916 г. в боевом составе уже ;не числились. Впоследствии И.И. Сикорский безуспешно пытался оборудовать поплавками самолеты С-16 и С-20. В то же время (в 1911 - 1913 гг.) для морской авиации за</w:t>
      </w:r>
      <w:r w:rsidRPr="00DE096C">
        <w:rPr>
          <w:bCs/>
          <w:color w:val="002060"/>
          <w:sz w:val="16"/>
          <w:szCs w:val="16"/>
        </w:rPr>
        <w:softHyphen/>
        <w:t>купались самолеты французского и американского производства: по-</w:t>
      </w:r>
    </w:p>
    <w:p w14:paraId="0F3813F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плавковые «Вуазен-Канар», «Мо-ран», «Фарман», «Кертисс-Р» и ле</w:t>
      </w:r>
      <w:r w:rsidRPr="00DE096C">
        <w:rPr>
          <w:bCs/>
          <w:color w:val="002060"/>
          <w:sz w:val="16"/>
          <w:szCs w:val="16"/>
        </w:rPr>
        <w:softHyphen/>
        <w:t>тающие лодки «Левек», «Кертисс-К» и «Р.В.А.-С», (последний, впослед</w:t>
      </w:r>
      <w:r w:rsidRPr="00DE096C">
        <w:rPr>
          <w:bCs/>
          <w:color w:val="002060"/>
          <w:sz w:val="16"/>
          <w:szCs w:val="16"/>
        </w:rPr>
        <w:softHyphen/>
        <w:t>ствии выпускался на заводе Лебе</w:t>
      </w:r>
      <w:r w:rsidRPr="00DE096C">
        <w:rPr>
          <w:bCs/>
          <w:color w:val="002060"/>
          <w:sz w:val="16"/>
          <w:szCs w:val="16"/>
        </w:rPr>
        <w:softHyphen/>
        <w:t>дева под обозначением Ф.Б.А.). Вместе с тем поступали и сухопут</w:t>
      </w:r>
      <w:r w:rsidRPr="00DE096C">
        <w:rPr>
          <w:bCs/>
          <w:color w:val="002060"/>
          <w:sz w:val="16"/>
          <w:szCs w:val="16"/>
        </w:rPr>
        <w:softHyphen/>
        <w:t>ные самолеты, часть которых с усердием, заслуживающим лучшего применения, устанавливали на по</w:t>
      </w:r>
      <w:r w:rsidRPr="00DE096C">
        <w:rPr>
          <w:bCs/>
          <w:color w:val="002060"/>
          <w:sz w:val="16"/>
          <w:szCs w:val="16"/>
        </w:rPr>
        <w:softHyphen/>
        <w:t>плавки (11759).</w:t>
      </w:r>
    </w:p>
    <w:p w14:paraId="7561EB59" w14:textId="77777777" w:rsidR="00B67D7C" w:rsidRPr="00DE096C" w:rsidRDefault="00B67D7C" w:rsidP="00D45A46">
      <w:pPr>
        <w:shd w:val="clear" w:color="auto" w:fill="FFFFFF"/>
        <w:jc w:val="both"/>
        <w:rPr>
          <w:bCs/>
          <w:color w:val="002060"/>
          <w:sz w:val="16"/>
          <w:szCs w:val="16"/>
        </w:rPr>
      </w:pPr>
    </w:p>
    <w:p w14:paraId="488EBDA0" w14:textId="77777777" w:rsidR="00B67D7C" w:rsidRPr="00DE096C" w:rsidRDefault="00B67D7C" w:rsidP="00D45A46">
      <w:pPr>
        <w:shd w:val="clear" w:color="auto" w:fill="FFFFFF"/>
        <w:jc w:val="both"/>
        <w:rPr>
          <w:bCs/>
          <w:color w:val="002060"/>
          <w:sz w:val="16"/>
          <w:szCs w:val="16"/>
        </w:rPr>
      </w:pPr>
      <w:bookmarkStart w:id="22" w:name="_Hlk117078793"/>
      <w:r w:rsidRPr="00DE096C">
        <w:rPr>
          <w:bCs/>
          <w:color w:val="002060"/>
          <w:sz w:val="16"/>
          <w:szCs w:val="16"/>
        </w:rPr>
        <w:t>14 (27) мая 1914 в Либаве состоялся первый полет самолета "Илья Муромец”, поставленного на поплавки. Самолетом управляли морской леттчик Г.И.Лавров и конструктор И.И.Сикорский. Испытание прошло удачно, однако в дальнейшем "Муромцы" на поплавки не ставились ("Известия Николаевской военной академии".1914,стр.1159).</w:t>
      </w:r>
    </w:p>
    <w:p w14:paraId="270D8C8D" w14:textId="77777777" w:rsidR="00B67D7C" w:rsidRPr="00DE096C" w:rsidRDefault="00B67D7C" w:rsidP="00D45A46">
      <w:pPr>
        <w:shd w:val="clear" w:color="auto" w:fill="FFFFFF"/>
        <w:jc w:val="both"/>
        <w:rPr>
          <w:bCs/>
          <w:color w:val="002060"/>
          <w:sz w:val="16"/>
          <w:szCs w:val="16"/>
        </w:rPr>
      </w:pPr>
    </w:p>
    <w:bookmarkEnd w:id="22"/>
    <w:p w14:paraId="762CA922" w14:textId="7304BC2B" w:rsidR="00E84D53" w:rsidRPr="00DE096C" w:rsidRDefault="00E84D53" w:rsidP="00D45A46">
      <w:pPr>
        <w:jc w:val="both"/>
        <w:rPr>
          <w:bCs/>
          <w:color w:val="002060"/>
          <w:sz w:val="16"/>
          <w:szCs w:val="16"/>
        </w:rPr>
      </w:pPr>
      <w:r w:rsidRPr="00DE096C">
        <w:rPr>
          <w:bCs/>
          <w:color w:val="002060"/>
          <w:sz w:val="16"/>
          <w:szCs w:val="16"/>
        </w:rPr>
        <w:t>14 (27) мая в 1914 году первый полет продолжительностью 12 мин гидроаэроплана “Илья Муромец” - («ИМ-Б» поплавковый). Пилотируемый И.И.Сикорским и лейтенантом Г.И.Лавровым самолет успешно прошел испытания с полной нагрузкой. Мореходность была удовлетворительной, а управляемость на воде хорошей, чему благоприятствовала возможность пользоваться для разворотов работой двигателей любой стороны. “Муромец” в этом варианте был принят морским ведомством. Это был крупнейший в мире гидросамолет вплоть до 1917 года. “Илья Муромец” - гидроаэроплан (ИМ-Б поплавковый) Это был первый экземпляр самолета “Илья Муромец” (заводский № 107), установленный по заказу морского ведомства на поплавковое шасси Его четыре двигателя “Аргус” в 100 л. с. были заменены двумя двигателями “Сальмсон” в 200 л. с. (средние) и двумя двигателями “Аргус” по 115 л. с. (крайние). Поплавков было три: два главных и третий хвостовой Главные поплавки крепились под средними двигателями к специальным стойкам шасси на резиновых шнурах-амортизаторах. Шнуры были намотаны на поперечные стальные трубы, соединявшие крепления обоих поплавков, и на параллельные им трубы кабанов поплавков. Поплавки были короткие, безреданные, плоскодонные, с небольшим запасом плавучести (около 1,3) и по типу походили на поплавки самолета «С-5а». Они были сделаны из фанеры на ясеневом каркасе и отличались простотой конструкции Планер самолета остался прежним, конструкция его была усилена (14904).</w:t>
      </w:r>
    </w:p>
    <w:p w14:paraId="2A617610" w14:textId="77777777" w:rsidR="00E84D53" w:rsidRPr="00DE096C" w:rsidRDefault="00E84D53" w:rsidP="00D45A46">
      <w:pPr>
        <w:jc w:val="both"/>
        <w:rPr>
          <w:bCs/>
          <w:color w:val="002060"/>
          <w:sz w:val="16"/>
          <w:szCs w:val="16"/>
        </w:rPr>
      </w:pPr>
    </w:p>
    <w:p w14:paraId="64A7CE99" w14:textId="7513CFA2" w:rsidR="006D7365" w:rsidRPr="00DE096C" w:rsidRDefault="006D7365" w:rsidP="00D45A46">
      <w:pPr>
        <w:jc w:val="both"/>
        <w:rPr>
          <w:bCs/>
          <w:color w:val="002060"/>
          <w:sz w:val="16"/>
          <w:szCs w:val="16"/>
        </w:rPr>
      </w:pPr>
      <w:r w:rsidRPr="00DE096C">
        <w:rPr>
          <w:bCs/>
          <w:color w:val="002060"/>
          <w:sz w:val="16"/>
          <w:szCs w:val="16"/>
        </w:rPr>
        <w:t xml:space="preserve">14 мая (27 мая) 1914 года в Либаве «Илья Муромец» в поплавковом варианте взлетел с воды. </w:t>
      </w:r>
      <w:r w:rsidR="0092558D" w:rsidRPr="00DE096C">
        <w:rPr>
          <w:bCs/>
          <w:color w:val="002060"/>
          <w:sz w:val="16"/>
          <w:szCs w:val="16"/>
        </w:rPr>
        <w:t xml:space="preserve">Постановкой четырехмоторной машины на поплавки, сконструированные инженером Д. П. Григоровичем, [43] занимался сам И. И. Сикорский. </w:t>
      </w:r>
      <w:r w:rsidRPr="00DE096C">
        <w:rPr>
          <w:bCs/>
          <w:color w:val="002060"/>
          <w:sz w:val="16"/>
          <w:szCs w:val="16"/>
        </w:rPr>
        <w:t xml:space="preserve">Пилотировал машину сам конструктор, вторым пилотом был лейтенант Г. И. Лавров. Морские летчики-офицеры, откомандированные в Либаву для осмотра новой машины, в своем отчете отметили: </w:t>
      </w:r>
    </w:p>
    <w:p w14:paraId="14ADB21B" w14:textId="77777777" w:rsidR="006D7365" w:rsidRPr="00DE096C" w:rsidRDefault="006D7365" w:rsidP="00D45A46">
      <w:pPr>
        <w:pStyle w:val="Blockquote"/>
        <w:spacing w:before="0" w:after="0"/>
        <w:ind w:left="0" w:right="0"/>
        <w:jc w:val="both"/>
        <w:rPr>
          <w:bCs/>
          <w:color w:val="002060"/>
          <w:sz w:val="16"/>
          <w:szCs w:val="16"/>
        </w:rPr>
      </w:pPr>
      <w:r w:rsidRPr="00DE096C">
        <w:rPr>
          <w:bCs/>
          <w:color w:val="002060"/>
          <w:sz w:val="16"/>
          <w:szCs w:val="16"/>
        </w:rPr>
        <w:t xml:space="preserve">«Первый гидроплан «Илья Муромец» представляет из себя сухопутный аэроплан, поставленный на поплавки (два центральных и один добавочный под хвостом). Размеры его следующие: </w:t>
      </w:r>
    </w:p>
    <w:p w14:paraId="66966636" w14:textId="77777777" w:rsidR="006D7365" w:rsidRPr="00DE096C" w:rsidRDefault="006D7365" w:rsidP="00D45A46">
      <w:pPr>
        <w:pStyle w:val="Blockquote"/>
        <w:spacing w:before="0" w:after="0"/>
        <w:ind w:left="0" w:right="0"/>
        <w:jc w:val="both"/>
        <w:rPr>
          <w:bCs/>
          <w:color w:val="002060"/>
          <w:sz w:val="16"/>
          <w:szCs w:val="16"/>
        </w:rPr>
      </w:pPr>
      <w:r w:rsidRPr="00DE096C">
        <w:rPr>
          <w:bCs/>
          <w:color w:val="002060"/>
          <w:sz w:val="16"/>
          <w:szCs w:val="16"/>
        </w:rPr>
        <w:t xml:space="preserve">Размах крыльев — 32 м. </w:t>
      </w:r>
    </w:p>
    <w:p w14:paraId="32DC0C7F" w14:textId="77777777" w:rsidR="006D7365" w:rsidRPr="00DE096C" w:rsidRDefault="006D7365" w:rsidP="00D45A46">
      <w:pPr>
        <w:pStyle w:val="Blockquote"/>
        <w:spacing w:before="0" w:after="0"/>
        <w:ind w:left="0" w:right="0"/>
        <w:jc w:val="both"/>
        <w:rPr>
          <w:bCs/>
          <w:color w:val="002060"/>
          <w:sz w:val="16"/>
          <w:szCs w:val="16"/>
        </w:rPr>
      </w:pPr>
      <w:r w:rsidRPr="00DE096C">
        <w:rPr>
          <w:bCs/>
          <w:color w:val="002060"/>
          <w:sz w:val="16"/>
          <w:szCs w:val="16"/>
        </w:rPr>
        <w:t xml:space="preserve">Длина — 22 м. </w:t>
      </w:r>
    </w:p>
    <w:p w14:paraId="3ED826AC" w14:textId="77777777" w:rsidR="006D7365" w:rsidRPr="00DE096C" w:rsidRDefault="006D7365" w:rsidP="00D45A46">
      <w:pPr>
        <w:pStyle w:val="Blockquote"/>
        <w:spacing w:before="0" w:after="0"/>
        <w:ind w:left="0" w:right="0"/>
        <w:jc w:val="both"/>
        <w:rPr>
          <w:bCs/>
          <w:color w:val="002060"/>
          <w:sz w:val="16"/>
          <w:szCs w:val="16"/>
        </w:rPr>
      </w:pPr>
      <w:r w:rsidRPr="00DE096C">
        <w:rPr>
          <w:bCs/>
          <w:color w:val="002060"/>
          <w:sz w:val="16"/>
          <w:szCs w:val="16"/>
        </w:rPr>
        <w:t xml:space="preserve">Высота — 6 м. </w:t>
      </w:r>
    </w:p>
    <w:p w14:paraId="055079B7" w14:textId="77777777" w:rsidR="006D7365" w:rsidRPr="00DE096C" w:rsidRDefault="006D7365" w:rsidP="00D45A46">
      <w:pPr>
        <w:pStyle w:val="Blockquote"/>
        <w:spacing w:before="0" w:after="0"/>
        <w:ind w:left="0" w:right="0"/>
        <w:jc w:val="both"/>
        <w:rPr>
          <w:bCs/>
          <w:color w:val="002060"/>
          <w:sz w:val="16"/>
          <w:szCs w:val="16"/>
        </w:rPr>
      </w:pPr>
      <w:r w:rsidRPr="00DE096C">
        <w:rPr>
          <w:bCs/>
          <w:color w:val="002060"/>
          <w:sz w:val="16"/>
          <w:szCs w:val="16"/>
        </w:rPr>
        <w:t xml:space="preserve">Площадь несущих поверхностей — 180 кв. м. </w:t>
      </w:r>
    </w:p>
    <w:p w14:paraId="7B5A242A" w14:textId="77777777" w:rsidR="006D7365" w:rsidRPr="00DE096C" w:rsidRDefault="006D7365" w:rsidP="00D45A46">
      <w:pPr>
        <w:pStyle w:val="Blockquote"/>
        <w:spacing w:before="0" w:after="0"/>
        <w:ind w:left="0" w:right="0"/>
        <w:jc w:val="both"/>
        <w:rPr>
          <w:bCs/>
          <w:color w:val="002060"/>
          <w:sz w:val="16"/>
          <w:szCs w:val="16"/>
        </w:rPr>
      </w:pPr>
      <w:r w:rsidRPr="00DE096C">
        <w:rPr>
          <w:bCs/>
          <w:color w:val="002060"/>
          <w:sz w:val="16"/>
          <w:szCs w:val="16"/>
        </w:rPr>
        <w:t xml:space="preserve">Вес — 300 пудов. </w:t>
      </w:r>
    </w:p>
    <w:p w14:paraId="4C2A526C" w14:textId="77777777" w:rsidR="006D7365" w:rsidRPr="00DE096C" w:rsidRDefault="006D7365" w:rsidP="00D45A46">
      <w:pPr>
        <w:pStyle w:val="Blockquote"/>
        <w:spacing w:before="0" w:after="0"/>
        <w:ind w:left="0" w:right="0"/>
        <w:jc w:val="both"/>
        <w:rPr>
          <w:bCs/>
          <w:color w:val="002060"/>
          <w:sz w:val="16"/>
          <w:szCs w:val="16"/>
        </w:rPr>
      </w:pPr>
      <w:r w:rsidRPr="00DE096C">
        <w:rPr>
          <w:bCs/>
          <w:color w:val="002060"/>
          <w:sz w:val="16"/>
          <w:szCs w:val="16"/>
        </w:rPr>
        <w:t>...аппарат после небольшого разбега по воде легко взлетел, летал 12 минут и отлично сел. Управляемость на воде хорошая, ибо кроме рулей можно пользоваться разницей оборотов с той и другой стороны».</w:t>
      </w:r>
    </w:p>
    <w:p w14:paraId="0EA8DA1F" w14:textId="77777777" w:rsidR="006D7365" w:rsidRPr="00DE096C" w:rsidRDefault="006D7365" w:rsidP="00D45A46">
      <w:pPr>
        <w:jc w:val="both"/>
        <w:rPr>
          <w:bCs/>
          <w:color w:val="002060"/>
          <w:sz w:val="16"/>
          <w:szCs w:val="16"/>
        </w:rPr>
      </w:pPr>
      <w:r w:rsidRPr="00DE096C">
        <w:rPr>
          <w:bCs/>
          <w:color w:val="002060"/>
          <w:sz w:val="16"/>
          <w:szCs w:val="16"/>
        </w:rPr>
        <w:t xml:space="preserve">На этом гидросамолете было установлено четыре двигателя: два мощностью по 190 л. с. (139,65 кВт) и два по 115 л. с. (84,3 кВт). </w:t>
      </w:r>
    </w:p>
    <w:p w14:paraId="7EC4856A" w14:textId="77777777" w:rsidR="006D7365" w:rsidRPr="00DE096C" w:rsidRDefault="006D7365" w:rsidP="00D45A46">
      <w:pPr>
        <w:jc w:val="both"/>
        <w:rPr>
          <w:bCs/>
          <w:color w:val="002060"/>
          <w:sz w:val="16"/>
          <w:szCs w:val="16"/>
        </w:rPr>
      </w:pPr>
      <w:r w:rsidRPr="00DE096C">
        <w:rPr>
          <w:bCs/>
          <w:color w:val="002060"/>
          <w:sz w:val="16"/>
          <w:szCs w:val="16"/>
        </w:rPr>
        <w:t xml:space="preserve">Самолет при полетной массе 5000 кг был способен нести полезную нагрузку 1000 кг и развивать скорость до 100 км/ч. </w:t>
      </w:r>
    </w:p>
    <w:p w14:paraId="543F2F83" w14:textId="77777777" w:rsidR="006D7365" w:rsidRPr="00DE096C" w:rsidRDefault="006D7365" w:rsidP="00D45A46">
      <w:pPr>
        <w:jc w:val="both"/>
        <w:rPr>
          <w:bCs/>
          <w:color w:val="002060"/>
          <w:sz w:val="16"/>
          <w:szCs w:val="16"/>
        </w:rPr>
      </w:pPr>
      <w:r w:rsidRPr="00DE096C">
        <w:rPr>
          <w:bCs/>
          <w:color w:val="002060"/>
          <w:sz w:val="16"/>
          <w:szCs w:val="16"/>
        </w:rPr>
        <w:t xml:space="preserve">К сожалению, надежды военных моряков на многомоторную машину Сикорского не оправдались. </w:t>
      </w:r>
    </w:p>
    <w:p w14:paraId="170EA61C" w14:textId="77777777" w:rsidR="006D7365" w:rsidRPr="00DE096C" w:rsidRDefault="006D7365" w:rsidP="00D45A46">
      <w:pPr>
        <w:jc w:val="both"/>
        <w:rPr>
          <w:bCs/>
          <w:color w:val="002060"/>
          <w:sz w:val="16"/>
          <w:szCs w:val="16"/>
        </w:rPr>
      </w:pPr>
      <w:r w:rsidRPr="00DE096C">
        <w:rPr>
          <w:bCs/>
          <w:color w:val="002060"/>
          <w:sz w:val="16"/>
          <w:szCs w:val="16"/>
        </w:rPr>
        <w:t xml:space="preserve">«Илья Муромец» строился на РБВЗ по согласованию с морским ведомством на следующих условиях: </w:t>
      </w:r>
    </w:p>
    <w:p w14:paraId="28073AC5" w14:textId="77777777" w:rsidR="006D7365" w:rsidRPr="00DE096C" w:rsidRDefault="006D7365" w:rsidP="00D45A46">
      <w:pPr>
        <w:pStyle w:val="Blockquote"/>
        <w:spacing w:before="0" w:after="0"/>
        <w:ind w:left="0" w:right="0"/>
        <w:jc w:val="both"/>
        <w:rPr>
          <w:bCs/>
          <w:color w:val="002060"/>
          <w:sz w:val="16"/>
          <w:szCs w:val="16"/>
        </w:rPr>
      </w:pPr>
      <w:r w:rsidRPr="00DE096C">
        <w:rPr>
          <w:bCs/>
          <w:color w:val="002060"/>
          <w:sz w:val="16"/>
          <w:szCs w:val="16"/>
        </w:rPr>
        <w:t>«Аппарат доставляется в Либаву к 25 февраля 1914 года,</w:t>
      </w:r>
    </w:p>
    <w:p w14:paraId="38664CB1" w14:textId="77777777" w:rsidR="006D7365" w:rsidRPr="00DE096C" w:rsidRDefault="006D7365" w:rsidP="00D45A46">
      <w:pPr>
        <w:pStyle w:val="Blockquote"/>
        <w:spacing w:before="0" w:after="0"/>
        <w:ind w:left="0" w:right="0"/>
        <w:jc w:val="both"/>
        <w:rPr>
          <w:bCs/>
          <w:color w:val="002060"/>
          <w:sz w:val="16"/>
          <w:szCs w:val="16"/>
        </w:rPr>
      </w:pPr>
      <w:r w:rsidRPr="00DE096C">
        <w:rPr>
          <w:bCs/>
          <w:color w:val="002060"/>
          <w:sz w:val="16"/>
          <w:szCs w:val="16"/>
        </w:rPr>
        <w:t xml:space="preserve">испытания производятся пилотом за риск завода, </w:t>
      </w:r>
    </w:p>
    <w:p w14:paraId="4798F3D3" w14:textId="77777777" w:rsidR="006D7365" w:rsidRPr="00DE096C" w:rsidRDefault="006D7365" w:rsidP="00D45A46">
      <w:pPr>
        <w:pStyle w:val="Blockquote"/>
        <w:spacing w:before="0" w:after="0"/>
        <w:ind w:left="0" w:right="0"/>
        <w:jc w:val="both"/>
        <w:rPr>
          <w:bCs/>
          <w:color w:val="002060"/>
          <w:sz w:val="16"/>
          <w:szCs w:val="16"/>
        </w:rPr>
      </w:pPr>
      <w:r w:rsidRPr="00DE096C">
        <w:rPr>
          <w:bCs/>
          <w:color w:val="002060"/>
          <w:sz w:val="16"/>
          <w:szCs w:val="16"/>
        </w:rPr>
        <w:t xml:space="preserve">полная нагрузка аппарата не менее одной тонны, </w:t>
      </w:r>
    </w:p>
    <w:p w14:paraId="51CEB11B" w14:textId="77777777" w:rsidR="006D7365" w:rsidRPr="00DE096C" w:rsidRDefault="006D7365" w:rsidP="00D45A46">
      <w:pPr>
        <w:pStyle w:val="Blockquote"/>
        <w:spacing w:before="0" w:after="0"/>
        <w:ind w:left="0" w:right="0"/>
        <w:jc w:val="both"/>
        <w:rPr>
          <w:bCs/>
          <w:color w:val="002060"/>
          <w:sz w:val="16"/>
          <w:szCs w:val="16"/>
        </w:rPr>
      </w:pPr>
      <w:r w:rsidRPr="00DE096C">
        <w:rPr>
          <w:bCs/>
          <w:color w:val="002060"/>
          <w:sz w:val="16"/>
          <w:szCs w:val="16"/>
        </w:rPr>
        <w:t xml:space="preserve">высота полета 800 метров, </w:t>
      </w:r>
    </w:p>
    <w:p w14:paraId="016D2F48" w14:textId="77777777" w:rsidR="006D7365" w:rsidRPr="00DE096C" w:rsidRDefault="006D7365" w:rsidP="00D45A46">
      <w:pPr>
        <w:pStyle w:val="Blockquote"/>
        <w:spacing w:before="0" w:after="0"/>
        <w:ind w:left="0" w:right="0"/>
        <w:jc w:val="both"/>
        <w:rPr>
          <w:bCs/>
          <w:color w:val="002060"/>
          <w:sz w:val="16"/>
          <w:szCs w:val="16"/>
        </w:rPr>
      </w:pPr>
      <w:r w:rsidRPr="00DE096C">
        <w:rPr>
          <w:bCs/>
          <w:color w:val="002060"/>
          <w:sz w:val="16"/>
          <w:szCs w:val="16"/>
        </w:rPr>
        <w:t xml:space="preserve">безопасность полета при остановке двух моторов с одной стороны, </w:t>
      </w:r>
    </w:p>
    <w:p w14:paraId="54BB81CC" w14:textId="77777777" w:rsidR="006D7365" w:rsidRPr="00DE096C" w:rsidRDefault="006D7365" w:rsidP="00D45A46">
      <w:pPr>
        <w:pStyle w:val="Blockquote"/>
        <w:spacing w:before="0" w:after="0"/>
        <w:ind w:left="0" w:right="0"/>
        <w:jc w:val="both"/>
        <w:rPr>
          <w:bCs/>
          <w:color w:val="002060"/>
          <w:sz w:val="16"/>
          <w:szCs w:val="16"/>
        </w:rPr>
      </w:pPr>
      <w:r w:rsidRPr="00DE096C">
        <w:rPr>
          <w:bCs/>
          <w:color w:val="002060"/>
          <w:sz w:val="16"/>
          <w:szCs w:val="16"/>
        </w:rPr>
        <w:t xml:space="preserve">рулежка по воде на расстояние в 10 км, </w:t>
      </w:r>
    </w:p>
    <w:p w14:paraId="386F4222" w14:textId="77777777" w:rsidR="006D7365" w:rsidRPr="00DE096C" w:rsidRDefault="006D7365" w:rsidP="00D45A46">
      <w:pPr>
        <w:pStyle w:val="Blockquote"/>
        <w:spacing w:before="0" w:after="0"/>
        <w:ind w:left="0" w:right="0"/>
        <w:jc w:val="both"/>
        <w:rPr>
          <w:bCs/>
          <w:color w:val="002060"/>
          <w:sz w:val="16"/>
          <w:szCs w:val="16"/>
        </w:rPr>
      </w:pPr>
      <w:r w:rsidRPr="00DE096C">
        <w:rPr>
          <w:bCs/>
          <w:color w:val="002060"/>
          <w:sz w:val="16"/>
          <w:szCs w:val="16"/>
        </w:rPr>
        <w:t xml:space="preserve">взлет без посторонней помощи, </w:t>
      </w:r>
    </w:p>
    <w:p w14:paraId="1F48DB2F" w14:textId="77777777" w:rsidR="006D7365" w:rsidRPr="00DE096C" w:rsidRDefault="006D7365" w:rsidP="00D45A46">
      <w:pPr>
        <w:pStyle w:val="Blockquote"/>
        <w:spacing w:before="0" w:after="0"/>
        <w:ind w:left="0" w:right="0"/>
        <w:jc w:val="both"/>
        <w:rPr>
          <w:bCs/>
          <w:color w:val="002060"/>
          <w:sz w:val="16"/>
          <w:szCs w:val="16"/>
        </w:rPr>
      </w:pPr>
      <w:r w:rsidRPr="00DE096C">
        <w:rPr>
          <w:bCs/>
          <w:color w:val="002060"/>
          <w:sz w:val="16"/>
          <w:szCs w:val="16"/>
        </w:rPr>
        <w:lastRenderedPageBreak/>
        <w:t>цена — 25 000 рублей за каждые 100 л. с.»</w:t>
      </w:r>
    </w:p>
    <w:p w14:paraId="490D62D4" w14:textId="77777777" w:rsidR="006D7365" w:rsidRPr="00DE096C" w:rsidRDefault="006D7365" w:rsidP="00D45A46">
      <w:pPr>
        <w:jc w:val="both"/>
        <w:rPr>
          <w:bCs/>
          <w:color w:val="002060"/>
          <w:sz w:val="16"/>
          <w:szCs w:val="16"/>
        </w:rPr>
      </w:pPr>
      <w:r w:rsidRPr="00DE096C">
        <w:rPr>
          <w:bCs/>
          <w:color w:val="002060"/>
          <w:sz w:val="16"/>
          <w:szCs w:val="16"/>
        </w:rPr>
        <w:t xml:space="preserve">Морской Генеральный штаб потребовал увеличения полезной нагрузки до полутора тонн, на что завод дал согласие, и 14 января 1914 года с ним был заключен контракт. </w:t>
      </w:r>
    </w:p>
    <w:p w14:paraId="2195472B" w14:textId="77777777" w:rsidR="006D7365" w:rsidRPr="00DE096C" w:rsidRDefault="006D7365" w:rsidP="00D45A46">
      <w:pPr>
        <w:jc w:val="both"/>
        <w:rPr>
          <w:bCs/>
          <w:color w:val="002060"/>
          <w:sz w:val="16"/>
          <w:szCs w:val="16"/>
        </w:rPr>
      </w:pPr>
      <w:r w:rsidRPr="00DE096C">
        <w:rPr>
          <w:bCs/>
          <w:color w:val="002060"/>
          <w:sz w:val="16"/>
          <w:szCs w:val="16"/>
        </w:rPr>
        <w:t xml:space="preserve">По контракту РБВЗ обязался к 25 февраля 1914 года доставить в Либаву «Илью Муромца» для сдаточных испытаний. Но из-за неготовности в Либаве ангара доставку отложили на 20 марта, но и этот срок был сорван из-за показа 25 марта (7 апреля) 1914 самолета в полете царю, а позже и румынскому принцу. Гидросамолетом «Илья Муромец» [44] заинтересовались англичане, и 14 (27) апреля 1914 министр иностранных дел обратился к морскому министру с просьбой оказать содействие в ознакомлении с самолетом специально командированным лицам. Морской министр предпочел отказать в истинно «английском духе». Он ответил, что «поскольку самолет поступит в распоряжение морского ведомства не ранее июля и поскольку самолет представляет привилегию завода, то осмотр его до этого времени невозможен». </w:t>
      </w:r>
    </w:p>
    <w:p w14:paraId="76D80287" w14:textId="77777777" w:rsidR="006D7365" w:rsidRPr="00DE096C" w:rsidRDefault="006D7365" w:rsidP="00D45A46">
      <w:pPr>
        <w:jc w:val="both"/>
        <w:rPr>
          <w:bCs/>
          <w:color w:val="002060"/>
          <w:sz w:val="16"/>
          <w:szCs w:val="16"/>
        </w:rPr>
      </w:pPr>
      <w:r w:rsidRPr="00DE096C">
        <w:rPr>
          <w:bCs/>
          <w:color w:val="002060"/>
          <w:sz w:val="16"/>
          <w:szCs w:val="16"/>
        </w:rPr>
        <w:t xml:space="preserve">Ввиду того, что многомоторные самолеты Сикорского были еще недостаточно испытаны на суше, а также того, что монополизация строительства их могла невыгодно отразиться на дальнейшем развитии самолетостроения, морское ведомство решило путем объявления конкурса привлечь к разработке проектов больших гидросамолетов не только заводы, но и отдельных лиц. Условия конкурса были следующими: </w:t>
      </w:r>
    </w:p>
    <w:p w14:paraId="57E5E0F0" w14:textId="77777777" w:rsidR="006D7365" w:rsidRPr="00DE096C" w:rsidRDefault="006D7365" w:rsidP="00D45A46">
      <w:pPr>
        <w:pStyle w:val="Blockquote"/>
        <w:spacing w:before="0" w:after="0"/>
        <w:ind w:left="0" w:right="0"/>
        <w:jc w:val="both"/>
        <w:rPr>
          <w:bCs/>
          <w:color w:val="002060"/>
          <w:sz w:val="16"/>
          <w:szCs w:val="16"/>
        </w:rPr>
      </w:pPr>
      <w:r w:rsidRPr="00DE096C">
        <w:rPr>
          <w:bCs/>
          <w:color w:val="002060"/>
          <w:sz w:val="16"/>
          <w:szCs w:val="16"/>
        </w:rPr>
        <w:t xml:space="preserve">«1. Самолет должен иметь: скорость не менее 100 км/ч, дальность действия 1000 км, полезную нагрузку сверх экипажа и топлива не менее 150 кг, не менее двух моторов, с доступом к ним в полете и пуском без посторонней помощи, двойное управление и места для двух пилотов, двух наблюдателей и механика, установки для пулеметов, рации, прожектора и бомб. </w:t>
      </w:r>
    </w:p>
    <w:p w14:paraId="28F3469C" w14:textId="77777777" w:rsidR="006D7365" w:rsidRPr="00DE096C" w:rsidRDefault="006D7365" w:rsidP="00D45A46">
      <w:pPr>
        <w:pStyle w:val="Blockquote"/>
        <w:spacing w:before="0" w:after="0"/>
        <w:ind w:left="0" w:right="0"/>
        <w:jc w:val="both"/>
        <w:rPr>
          <w:bCs/>
          <w:color w:val="002060"/>
          <w:sz w:val="16"/>
          <w:szCs w:val="16"/>
        </w:rPr>
      </w:pPr>
      <w:r w:rsidRPr="00DE096C">
        <w:rPr>
          <w:bCs/>
          <w:color w:val="002060"/>
          <w:sz w:val="16"/>
          <w:szCs w:val="16"/>
        </w:rPr>
        <w:t xml:space="preserve">2. Самолет должен быть мореходен, остойчив, непотопляем и выполнять горизонтальный полет на 2/3 мощности (моторов). </w:t>
      </w:r>
    </w:p>
    <w:p w14:paraId="17E885F9" w14:textId="77777777" w:rsidR="006D7365" w:rsidRPr="00DE096C" w:rsidRDefault="006D7365" w:rsidP="00D45A46">
      <w:pPr>
        <w:pStyle w:val="Blockquote"/>
        <w:spacing w:before="0" w:after="0"/>
        <w:ind w:left="0" w:right="0"/>
        <w:jc w:val="both"/>
        <w:rPr>
          <w:bCs/>
          <w:color w:val="002060"/>
          <w:sz w:val="16"/>
          <w:szCs w:val="16"/>
        </w:rPr>
      </w:pPr>
      <w:r w:rsidRPr="00DE096C">
        <w:rPr>
          <w:bCs/>
          <w:color w:val="002060"/>
          <w:sz w:val="16"/>
          <w:szCs w:val="16"/>
        </w:rPr>
        <w:t xml:space="preserve">3. Должны быть представлены все расчеты, чертежи, ясное описание и смета стоимости самолета. </w:t>
      </w:r>
    </w:p>
    <w:p w14:paraId="4E6856E1" w14:textId="77777777" w:rsidR="006D7365" w:rsidRPr="00DE096C" w:rsidRDefault="006D7365" w:rsidP="00D45A46">
      <w:pPr>
        <w:pStyle w:val="Blockquote"/>
        <w:spacing w:before="0" w:after="0"/>
        <w:ind w:left="0" w:right="0"/>
        <w:jc w:val="both"/>
        <w:rPr>
          <w:bCs/>
          <w:color w:val="002060"/>
          <w:sz w:val="16"/>
          <w:szCs w:val="16"/>
        </w:rPr>
      </w:pPr>
      <w:r w:rsidRPr="00DE096C">
        <w:rPr>
          <w:bCs/>
          <w:color w:val="002060"/>
          <w:sz w:val="16"/>
          <w:szCs w:val="16"/>
        </w:rPr>
        <w:t xml:space="preserve">4. Срок представления проектов — 1 мая 1914 года. </w:t>
      </w:r>
    </w:p>
    <w:p w14:paraId="13D9E323" w14:textId="77777777" w:rsidR="006D7365" w:rsidRPr="00DE096C" w:rsidRDefault="006D7365" w:rsidP="00D45A46">
      <w:pPr>
        <w:pStyle w:val="Blockquote"/>
        <w:spacing w:before="0" w:after="0"/>
        <w:ind w:left="0" w:right="0"/>
        <w:jc w:val="both"/>
        <w:rPr>
          <w:bCs/>
          <w:color w:val="002060"/>
          <w:sz w:val="16"/>
          <w:szCs w:val="16"/>
        </w:rPr>
      </w:pPr>
      <w:r w:rsidRPr="00DE096C">
        <w:rPr>
          <w:bCs/>
          <w:color w:val="002060"/>
          <w:sz w:val="16"/>
          <w:szCs w:val="16"/>
        </w:rPr>
        <w:t xml:space="preserve">5. Устанавливаются премии: 1-я — 3000 руб., 2-я — 2000 руб., 3-я — 1000 руб. В случае принятия проекта в постройку автору выплачивается по 5000 рублей за каждый построенный самолет. </w:t>
      </w:r>
    </w:p>
    <w:p w14:paraId="28EB70AF" w14:textId="77777777" w:rsidR="006D7365" w:rsidRPr="00DE096C" w:rsidRDefault="006D7365" w:rsidP="00D45A46">
      <w:pPr>
        <w:pStyle w:val="Blockquote"/>
        <w:spacing w:before="0" w:after="0"/>
        <w:ind w:left="0" w:right="0"/>
        <w:jc w:val="both"/>
        <w:rPr>
          <w:bCs/>
          <w:color w:val="002060"/>
          <w:sz w:val="16"/>
          <w:szCs w:val="16"/>
        </w:rPr>
      </w:pPr>
      <w:r w:rsidRPr="00DE096C">
        <w:rPr>
          <w:bCs/>
          <w:color w:val="002060"/>
          <w:sz w:val="16"/>
          <w:szCs w:val="16"/>
        </w:rPr>
        <w:t>6. Проекты рассматриваются особой комиссией Морского Генерального штаба».</w:t>
      </w:r>
    </w:p>
    <w:p w14:paraId="6B4EC18A" w14:textId="77777777" w:rsidR="006D7365" w:rsidRPr="00DE096C" w:rsidRDefault="006D7365" w:rsidP="00D45A46">
      <w:pPr>
        <w:jc w:val="both"/>
        <w:rPr>
          <w:bCs/>
          <w:color w:val="002060"/>
          <w:sz w:val="16"/>
          <w:szCs w:val="16"/>
        </w:rPr>
      </w:pPr>
      <w:r w:rsidRPr="00DE096C">
        <w:rPr>
          <w:bCs/>
          <w:color w:val="002060"/>
          <w:sz w:val="16"/>
          <w:szCs w:val="16"/>
        </w:rPr>
        <w:t xml:space="preserve">16 (29) апреля 1914 для выработки технических заданий на гидросамолеты, предназначенные для действий на Балтике, собрался авиационный комитет службы связи Балтийского моря в составе капитана 2 ранга Б. П. Дудорова, летчиков Б. А. Щербачева, В. Е. Зверева, И. И. Кульнева, В. Л. Любицкого, В. А. Литвинова и авиационного инженера П. А. Шишкова. </w:t>
      </w:r>
    </w:p>
    <w:p w14:paraId="4763AE6A" w14:textId="77777777" w:rsidR="006D7365" w:rsidRPr="00DE096C" w:rsidRDefault="006D7365" w:rsidP="00D45A46">
      <w:pPr>
        <w:jc w:val="both"/>
        <w:rPr>
          <w:bCs/>
          <w:color w:val="002060"/>
          <w:sz w:val="16"/>
          <w:szCs w:val="16"/>
        </w:rPr>
      </w:pPr>
      <w:r w:rsidRPr="00DE096C">
        <w:rPr>
          <w:bCs/>
          <w:color w:val="002060"/>
          <w:sz w:val="16"/>
          <w:szCs w:val="16"/>
        </w:rPr>
        <w:t xml:space="preserve">Оперативными задачами морской авиации Балтики комитет считал следующие: </w:t>
      </w:r>
    </w:p>
    <w:p w14:paraId="5626E5E8" w14:textId="77777777" w:rsidR="006D7365" w:rsidRPr="00DE096C" w:rsidRDefault="006D7365" w:rsidP="00D45A46">
      <w:pPr>
        <w:jc w:val="both"/>
        <w:rPr>
          <w:bCs/>
          <w:color w:val="002060"/>
          <w:sz w:val="16"/>
          <w:szCs w:val="16"/>
        </w:rPr>
      </w:pPr>
      <w:r w:rsidRPr="00DE096C">
        <w:rPr>
          <w:bCs/>
          <w:color w:val="002060"/>
          <w:sz w:val="16"/>
          <w:szCs w:val="16"/>
        </w:rPr>
        <w:t>— разведку неприятельского флота в пунктах его сосредоточения в Киле и Данциге или на маршрутах перехода неприятельских кораблей в Финский залив;</w:t>
      </w:r>
    </w:p>
    <w:p w14:paraId="2D4EE779" w14:textId="77777777" w:rsidR="006D7365" w:rsidRPr="00DE096C" w:rsidRDefault="006D7365" w:rsidP="00D45A46">
      <w:pPr>
        <w:jc w:val="both"/>
        <w:rPr>
          <w:bCs/>
          <w:color w:val="002060"/>
          <w:sz w:val="16"/>
          <w:szCs w:val="16"/>
        </w:rPr>
      </w:pPr>
      <w:r w:rsidRPr="00DE096C">
        <w:rPr>
          <w:bCs/>
          <w:color w:val="002060"/>
          <w:sz w:val="16"/>
          <w:szCs w:val="16"/>
        </w:rPr>
        <w:t xml:space="preserve">— борьбу с воздушными разведчиками противника, главным образом с дирижаблями. </w:t>
      </w:r>
    </w:p>
    <w:p w14:paraId="4712DFE7" w14:textId="77777777" w:rsidR="006D7365" w:rsidRPr="00DE096C" w:rsidRDefault="006D7365" w:rsidP="00D45A46">
      <w:pPr>
        <w:jc w:val="both"/>
        <w:rPr>
          <w:bCs/>
          <w:color w:val="002060"/>
          <w:sz w:val="16"/>
          <w:szCs w:val="16"/>
        </w:rPr>
      </w:pPr>
      <w:r w:rsidRPr="00DE096C">
        <w:rPr>
          <w:bCs/>
          <w:color w:val="002060"/>
          <w:sz w:val="16"/>
          <w:szCs w:val="16"/>
        </w:rPr>
        <w:t xml:space="preserve">Наилучший результат для решения первой задачи могло дать наблюдение за входом в Балтийское море или у Борнхольма, или по параллели от Либавы до берегов Швеции. Для этого требовались гидросамолеты с радиусом действия не менее 800 км. При невозможности вести разведку столь далеко комитет допускал ограничить разведку от Либавы до Готланда, для чего были нужны машины с радиусом действия не менее 400 км. Для решения второй задачи комитет считал, что нужны самолеты с радиусом действия не менее 250 км и с пулеметом впереди. </w:t>
      </w:r>
    </w:p>
    <w:p w14:paraId="3A247DAE" w14:textId="77777777" w:rsidR="006D7365" w:rsidRPr="00DE096C" w:rsidRDefault="006D7365" w:rsidP="00D45A46">
      <w:pPr>
        <w:jc w:val="both"/>
        <w:rPr>
          <w:bCs/>
          <w:color w:val="002060"/>
          <w:sz w:val="16"/>
          <w:szCs w:val="16"/>
        </w:rPr>
      </w:pPr>
      <w:r w:rsidRPr="00DE096C">
        <w:rPr>
          <w:bCs/>
          <w:color w:val="002060"/>
          <w:sz w:val="16"/>
          <w:szCs w:val="16"/>
        </w:rPr>
        <w:t xml:space="preserve">Комитет также считал, что одиночная разведка в море может выполняться только на двухмоторном самолете, а бомбометание по судам противника при современном состоянии техники бомбардировочной авиации — задача второстепенная. </w:t>
      </w:r>
    </w:p>
    <w:p w14:paraId="24F6511B" w14:textId="77777777" w:rsidR="006D7365" w:rsidRPr="00DE096C" w:rsidRDefault="006D7365" w:rsidP="00D45A46">
      <w:pPr>
        <w:jc w:val="both"/>
        <w:rPr>
          <w:bCs/>
          <w:color w:val="002060"/>
          <w:sz w:val="16"/>
          <w:szCs w:val="16"/>
        </w:rPr>
      </w:pPr>
      <w:r w:rsidRPr="00DE096C">
        <w:rPr>
          <w:bCs/>
          <w:color w:val="002060"/>
          <w:sz w:val="16"/>
          <w:szCs w:val="16"/>
        </w:rPr>
        <w:t xml:space="preserve">Комитет разработал тактико-технические данные гидросамолетов для Балтийского театра. Эти данные и явились исходными для условий конкурса. </w:t>
      </w:r>
    </w:p>
    <w:tbl>
      <w:tblPr>
        <w:tblW w:w="0" w:type="auto"/>
        <w:tblInd w:w="4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5" w:type="dxa"/>
          <w:right w:w="45" w:type="dxa"/>
        </w:tblCellMar>
        <w:tblLook w:val="0000" w:firstRow="0" w:lastRow="0" w:firstColumn="0" w:lastColumn="0" w:noHBand="0" w:noVBand="0"/>
      </w:tblPr>
      <w:tblGrid>
        <w:gridCol w:w="3725"/>
        <w:gridCol w:w="1959"/>
        <w:gridCol w:w="1959"/>
        <w:gridCol w:w="1714"/>
      </w:tblGrid>
      <w:tr w:rsidR="006D7365" w:rsidRPr="00DE096C" w14:paraId="31416479" w14:textId="77777777" w:rsidTr="00C2024A">
        <w:tc>
          <w:tcPr>
            <w:tcW w:w="3725" w:type="dxa"/>
          </w:tcPr>
          <w:p w14:paraId="18924AEF" w14:textId="77777777" w:rsidR="006D7365" w:rsidRPr="00DE096C" w:rsidRDefault="006D7365" w:rsidP="00D45A46">
            <w:pPr>
              <w:jc w:val="both"/>
              <w:rPr>
                <w:bCs/>
                <w:color w:val="002060"/>
                <w:sz w:val="16"/>
                <w:szCs w:val="16"/>
              </w:rPr>
            </w:pPr>
          </w:p>
        </w:tc>
        <w:tc>
          <w:tcPr>
            <w:tcW w:w="5632" w:type="dxa"/>
            <w:gridSpan w:val="3"/>
          </w:tcPr>
          <w:p w14:paraId="3F51694C" w14:textId="77777777" w:rsidR="006D7365" w:rsidRPr="00DE096C" w:rsidRDefault="006D7365" w:rsidP="00D45A46">
            <w:pPr>
              <w:jc w:val="both"/>
              <w:rPr>
                <w:bCs/>
                <w:color w:val="002060"/>
                <w:sz w:val="16"/>
                <w:szCs w:val="16"/>
              </w:rPr>
            </w:pPr>
            <w:r w:rsidRPr="00DE096C">
              <w:rPr>
                <w:bCs/>
                <w:color w:val="002060"/>
                <w:sz w:val="16"/>
                <w:szCs w:val="16"/>
              </w:rPr>
              <w:t>Назначение самолета</w:t>
            </w:r>
          </w:p>
        </w:tc>
      </w:tr>
      <w:tr w:rsidR="006D7365" w:rsidRPr="00DE096C" w14:paraId="3B239BF2" w14:textId="77777777" w:rsidTr="00C2024A">
        <w:tc>
          <w:tcPr>
            <w:tcW w:w="3725" w:type="dxa"/>
          </w:tcPr>
          <w:p w14:paraId="34B843F5" w14:textId="77777777" w:rsidR="006D7365" w:rsidRPr="00DE096C" w:rsidRDefault="006D7365" w:rsidP="00D45A46">
            <w:pPr>
              <w:jc w:val="both"/>
              <w:rPr>
                <w:bCs/>
                <w:color w:val="002060"/>
                <w:sz w:val="16"/>
                <w:szCs w:val="16"/>
              </w:rPr>
            </w:pPr>
            <w:r w:rsidRPr="00DE096C">
              <w:rPr>
                <w:bCs/>
                <w:color w:val="002060"/>
                <w:sz w:val="16"/>
                <w:szCs w:val="16"/>
              </w:rPr>
              <w:t>Тактико-технические требования</w:t>
            </w:r>
          </w:p>
        </w:tc>
        <w:tc>
          <w:tcPr>
            <w:tcW w:w="1959" w:type="dxa"/>
          </w:tcPr>
          <w:p w14:paraId="1C13EB38" w14:textId="77777777" w:rsidR="006D7365" w:rsidRPr="00DE096C" w:rsidRDefault="006D7365" w:rsidP="00D45A46">
            <w:pPr>
              <w:jc w:val="both"/>
              <w:rPr>
                <w:bCs/>
                <w:color w:val="002060"/>
                <w:sz w:val="16"/>
                <w:szCs w:val="16"/>
              </w:rPr>
            </w:pPr>
            <w:r w:rsidRPr="00DE096C">
              <w:rPr>
                <w:bCs/>
                <w:color w:val="002060"/>
                <w:sz w:val="16"/>
                <w:szCs w:val="16"/>
              </w:rPr>
              <w:t>Дальняя разведка</w:t>
            </w:r>
          </w:p>
        </w:tc>
        <w:tc>
          <w:tcPr>
            <w:tcW w:w="1959" w:type="dxa"/>
          </w:tcPr>
          <w:p w14:paraId="43337552" w14:textId="77777777" w:rsidR="006D7365" w:rsidRPr="00DE096C" w:rsidRDefault="006D7365" w:rsidP="00D45A46">
            <w:pPr>
              <w:jc w:val="both"/>
              <w:rPr>
                <w:bCs/>
                <w:color w:val="002060"/>
                <w:sz w:val="16"/>
                <w:szCs w:val="16"/>
              </w:rPr>
            </w:pPr>
            <w:r w:rsidRPr="00DE096C">
              <w:rPr>
                <w:bCs/>
                <w:color w:val="002060"/>
                <w:sz w:val="16"/>
                <w:szCs w:val="16"/>
              </w:rPr>
              <w:t>Ближняя разведка</w:t>
            </w:r>
          </w:p>
        </w:tc>
        <w:tc>
          <w:tcPr>
            <w:tcW w:w="1714" w:type="dxa"/>
          </w:tcPr>
          <w:p w14:paraId="2828AA8D" w14:textId="77777777" w:rsidR="006D7365" w:rsidRPr="00DE096C" w:rsidRDefault="006D7365" w:rsidP="00D45A46">
            <w:pPr>
              <w:jc w:val="both"/>
              <w:rPr>
                <w:bCs/>
                <w:color w:val="002060"/>
                <w:sz w:val="16"/>
                <w:szCs w:val="16"/>
              </w:rPr>
            </w:pPr>
            <w:r w:rsidRPr="00DE096C">
              <w:rPr>
                <w:bCs/>
                <w:color w:val="002060"/>
                <w:sz w:val="16"/>
                <w:szCs w:val="16"/>
              </w:rPr>
              <w:t>Боевой самолет</w:t>
            </w:r>
          </w:p>
        </w:tc>
      </w:tr>
      <w:tr w:rsidR="006D7365" w:rsidRPr="00DE096C" w14:paraId="6C9A382B" w14:textId="77777777" w:rsidTr="00C2024A">
        <w:tc>
          <w:tcPr>
            <w:tcW w:w="3725" w:type="dxa"/>
          </w:tcPr>
          <w:p w14:paraId="602259A5" w14:textId="77777777" w:rsidR="006D7365" w:rsidRPr="00DE096C" w:rsidRDefault="006D7365" w:rsidP="00D45A46">
            <w:pPr>
              <w:jc w:val="both"/>
              <w:rPr>
                <w:bCs/>
                <w:color w:val="002060"/>
                <w:sz w:val="16"/>
                <w:szCs w:val="16"/>
              </w:rPr>
            </w:pPr>
            <w:r w:rsidRPr="00DE096C">
              <w:rPr>
                <w:bCs/>
                <w:color w:val="002060"/>
                <w:sz w:val="16"/>
                <w:szCs w:val="16"/>
              </w:rPr>
              <w:t>Скорость полета, км/ч</w:t>
            </w:r>
          </w:p>
        </w:tc>
        <w:tc>
          <w:tcPr>
            <w:tcW w:w="1959" w:type="dxa"/>
          </w:tcPr>
          <w:p w14:paraId="20D5FAC4" w14:textId="77777777" w:rsidR="006D7365" w:rsidRPr="00DE096C" w:rsidRDefault="006D7365" w:rsidP="00D45A46">
            <w:pPr>
              <w:jc w:val="both"/>
              <w:rPr>
                <w:bCs/>
                <w:color w:val="002060"/>
                <w:sz w:val="16"/>
                <w:szCs w:val="16"/>
              </w:rPr>
            </w:pPr>
            <w:r w:rsidRPr="00DE096C">
              <w:rPr>
                <w:bCs/>
                <w:color w:val="002060"/>
                <w:sz w:val="16"/>
                <w:szCs w:val="16"/>
              </w:rPr>
              <w:t>100</w:t>
            </w:r>
          </w:p>
        </w:tc>
        <w:tc>
          <w:tcPr>
            <w:tcW w:w="1959" w:type="dxa"/>
          </w:tcPr>
          <w:p w14:paraId="4C01F34A" w14:textId="77777777" w:rsidR="006D7365" w:rsidRPr="00DE096C" w:rsidRDefault="006D7365" w:rsidP="00D45A46">
            <w:pPr>
              <w:jc w:val="both"/>
              <w:rPr>
                <w:bCs/>
                <w:color w:val="002060"/>
                <w:sz w:val="16"/>
                <w:szCs w:val="16"/>
              </w:rPr>
            </w:pPr>
            <w:r w:rsidRPr="00DE096C">
              <w:rPr>
                <w:bCs/>
                <w:color w:val="002060"/>
                <w:sz w:val="16"/>
                <w:szCs w:val="16"/>
              </w:rPr>
              <w:t>100</w:t>
            </w:r>
          </w:p>
        </w:tc>
        <w:tc>
          <w:tcPr>
            <w:tcW w:w="1714" w:type="dxa"/>
          </w:tcPr>
          <w:p w14:paraId="01DF3FAB" w14:textId="77777777" w:rsidR="006D7365" w:rsidRPr="00DE096C" w:rsidRDefault="006D7365" w:rsidP="00D45A46">
            <w:pPr>
              <w:jc w:val="both"/>
              <w:rPr>
                <w:bCs/>
                <w:color w:val="002060"/>
                <w:sz w:val="16"/>
                <w:szCs w:val="16"/>
              </w:rPr>
            </w:pPr>
            <w:r w:rsidRPr="00DE096C">
              <w:rPr>
                <w:bCs/>
                <w:color w:val="002060"/>
                <w:sz w:val="16"/>
                <w:szCs w:val="16"/>
              </w:rPr>
              <w:t>60</w:t>
            </w:r>
          </w:p>
        </w:tc>
      </w:tr>
      <w:tr w:rsidR="006D7365" w:rsidRPr="00DE096C" w14:paraId="7064F1D2" w14:textId="77777777" w:rsidTr="00C2024A">
        <w:tc>
          <w:tcPr>
            <w:tcW w:w="3725" w:type="dxa"/>
          </w:tcPr>
          <w:p w14:paraId="7369BA8A" w14:textId="77777777" w:rsidR="006D7365" w:rsidRPr="00DE096C" w:rsidRDefault="006D7365" w:rsidP="00D45A46">
            <w:pPr>
              <w:jc w:val="both"/>
              <w:rPr>
                <w:bCs/>
                <w:color w:val="002060"/>
                <w:sz w:val="16"/>
                <w:szCs w:val="16"/>
              </w:rPr>
            </w:pPr>
            <w:r w:rsidRPr="00DE096C">
              <w:rPr>
                <w:bCs/>
                <w:color w:val="002060"/>
                <w:sz w:val="16"/>
                <w:szCs w:val="16"/>
              </w:rPr>
              <w:t>Дальность полета, км</w:t>
            </w:r>
          </w:p>
        </w:tc>
        <w:tc>
          <w:tcPr>
            <w:tcW w:w="1959" w:type="dxa"/>
          </w:tcPr>
          <w:p w14:paraId="3A2626B6" w14:textId="77777777" w:rsidR="006D7365" w:rsidRPr="00DE096C" w:rsidRDefault="006D7365" w:rsidP="00D45A46">
            <w:pPr>
              <w:jc w:val="both"/>
              <w:rPr>
                <w:bCs/>
                <w:color w:val="002060"/>
                <w:sz w:val="16"/>
                <w:szCs w:val="16"/>
              </w:rPr>
            </w:pPr>
            <w:r w:rsidRPr="00DE096C">
              <w:rPr>
                <w:bCs/>
                <w:color w:val="002060"/>
                <w:sz w:val="16"/>
                <w:szCs w:val="16"/>
              </w:rPr>
              <w:t>1000</w:t>
            </w:r>
          </w:p>
        </w:tc>
        <w:tc>
          <w:tcPr>
            <w:tcW w:w="1959" w:type="dxa"/>
          </w:tcPr>
          <w:p w14:paraId="64A7E137" w14:textId="77777777" w:rsidR="006D7365" w:rsidRPr="00DE096C" w:rsidRDefault="006D7365" w:rsidP="00D45A46">
            <w:pPr>
              <w:jc w:val="both"/>
              <w:rPr>
                <w:bCs/>
                <w:color w:val="002060"/>
                <w:sz w:val="16"/>
                <w:szCs w:val="16"/>
              </w:rPr>
            </w:pPr>
            <w:r w:rsidRPr="00DE096C">
              <w:rPr>
                <w:bCs/>
                <w:color w:val="002060"/>
                <w:sz w:val="16"/>
                <w:szCs w:val="16"/>
              </w:rPr>
              <w:t>400</w:t>
            </w:r>
          </w:p>
        </w:tc>
        <w:tc>
          <w:tcPr>
            <w:tcW w:w="1714" w:type="dxa"/>
          </w:tcPr>
          <w:p w14:paraId="1777F7AA" w14:textId="77777777" w:rsidR="006D7365" w:rsidRPr="00DE096C" w:rsidRDefault="006D7365" w:rsidP="00D45A46">
            <w:pPr>
              <w:jc w:val="both"/>
              <w:rPr>
                <w:bCs/>
                <w:color w:val="002060"/>
                <w:sz w:val="16"/>
                <w:szCs w:val="16"/>
              </w:rPr>
            </w:pPr>
            <w:r w:rsidRPr="00DE096C">
              <w:rPr>
                <w:bCs/>
                <w:color w:val="002060"/>
                <w:sz w:val="16"/>
                <w:szCs w:val="16"/>
              </w:rPr>
              <w:t>250</w:t>
            </w:r>
          </w:p>
        </w:tc>
      </w:tr>
      <w:tr w:rsidR="006D7365" w:rsidRPr="00DE096C" w14:paraId="421B82DF" w14:textId="77777777" w:rsidTr="00C2024A">
        <w:tc>
          <w:tcPr>
            <w:tcW w:w="3725" w:type="dxa"/>
          </w:tcPr>
          <w:p w14:paraId="6B9E06EA" w14:textId="77777777" w:rsidR="006D7365" w:rsidRPr="00DE096C" w:rsidRDefault="006D7365" w:rsidP="00D45A46">
            <w:pPr>
              <w:jc w:val="both"/>
              <w:rPr>
                <w:bCs/>
                <w:color w:val="002060"/>
                <w:sz w:val="16"/>
                <w:szCs w:val="16"/>
              </w:rPr>
            </w:pPr>
            <w:r w:rsidRPr="00DE096C">
              <w:rPr>
                <w:bCs/>
                <w:color w:val="002060"/>
                <w:sz w:val="16"/>
                <w:szCs w:val="16"/>
              </w:rPr>
              <w:t>Полезная нагрузка, кг</w:t>
            </w:r>
          </w:p>
        </w:tc>
        <w:tc>
          <w:tcPr>
            <w:tcW w:w="1959" w:type="dxa"/>
          </w:tcPr>
          <w:p w14:paraId="287C2224" w14:textId="77777777" w:rsidR="006D7365" w:rsidRPr="00DE096C" w:rsidRDefault="006D7365" w:rsidP="00D45A46">
            <w:pPr>
              <w:jc w:val="both"/>
              <w:rPr>
                <w:bCs/>
                <w:color w:val="002060"/>
                <w:sz w:val="16"/>
                <w:szCs w:val="16"/>
              </w:rPr>
            </w:pPr>
            <w:r w:rsidRPr="00DE096C">
              <w:rPr>
                <w:bCs/>
                <w:color w:val="002060"/>
                <w:sz w:val="16"/>
                <w:szCs w:val="16"/>
              </w:rPr>
              <w:t>150</w:t>
            </w:r>
          </w:p>
        </w:tc>
        <w:tc>
          <w:tcPr>
            <w:tcW w:w="1959" w:type="dxa"/>
          </w:tcPr>
          <w:p w14:paraId="3D367E8B" w14:textId="77777777" w:rsidR="006D7365" w:rsidRPr="00DE096C" w:rsidRDefault="006D7365" w:rsidP="00D45A46">
            <w:pPr>
              <w:jc w:val="both"/>
              <w:rPr>
                <w:bCs/>
                <w:color w:val="002060"/>
                <w:sz w:val="16"/>
                <w:szCs w:val="16"/>
              </w:rPr>
            </w:pPr>
            <w:r w:rsidRPr="00DE096C">
              <w:rPr>
                <w:bCs/>
                <w:color w:val="002060"/>
                <w:sz w:val="16"/>
                <w:szCs w:val="16"/>
              </w:rPr>
              <w:t>175</w:t>
            </w:r>
          </w:p>
        </w:tc>
        <w:tc>
          <w:tcPr>
            <w:tcW w:w="1714" w:type="dxa"/>
          </w:tcPr>
          <w:p w14:paraId="6EA16E90" w14:textId="77777777" w:rsidR="006D7365" w:rsidRPr="00DE096C" w:rsidRDefault="006D7365" w:rsidP="00D45A46">
            <w:pPr>
              <w:jc w:val="both"/>
              <w:rPr>
                <w:bCs/>
                <w:color w:val="002060"/>
                <w:sz w:val="16"/>
                <w:szCs w:val="16"/>
              </w:rPr>
            </w:pPr>
            <w:r w:rsidRPr="00DE096C">
              <w:rPr>
                <w:bCs/>
                <w:color w:val="002060"/>
                <w:sz w:val="16"/>
                <w:szCs w:val="16"/>
              </w:rPr>
              <w:t>225</w:t>
            </w:r>
          </w:p>
        </w:tc>
      </w:tr>
      <w:tr w:rsidR="006D7365" w:rsidRPr="00DE096C" w14:paraId="222E501F" w14:textId="77777777" w:rsidTr="00C2024A">
        <w:tc>
          <w:tcPr>
            <w:tcW w:w="3725" w:type="dxa"/>
          </w:tcPr>
          <w:p w14:paraId="347888E4" w14:textId="77777777" w:rsidR="006D7365" w:rsidRPr="00DE096C" w:rsidRDefault="006D7365" w:rsidP="00D45A46">
            <w:pPr>
              <w:jc w:val="both"/>
              <w:rPr>
                <w:bCs/>
                <w:color w:val="002060"/>
                <w:sz w:val="16"/>
                <w:szCs w:val="16"/>
              </w:rPr>
            </w:pPr>
            <w:r w:rsidRPr="00DE096C">
              <w:rPr>
                <w:bCs/>
                <w:color w:val="002060"/>
                <w:sz w:val="16"/>
                <w:szCs w:val="16"/>
              </w:rPr>
              <w:t>Число:</w:t>
            </w:r>
          </w:p>
        </w:tc>
        <w:tc>
          <w:tcPr>
            <w:tcW w:w="1959" w:type="dxa"/>
          </w:tcPr>
          <w:p w14:paraId="0F28718A" w14:textId="77777777" w:rsidR="006D7365" w:rsidRPr="00DE096C" w:rsidRDefault="006D7365" w:rsidP="00D45A46">
            <w:pPr>
              <w:jc w:val="both"/>
              <w:rPr>
                <w:bCs/>
                <w:color w:val="002060"/>
                <w:sz w:val="16"/>
                <w:szCs w:val="16"/>
              </w:rPr>
            </w:pPr>
          </w:p>
        </w:tc>
        <w:tc>
          <w:tcPr>
            <w:tcW w:w="1959" w:type="dxa"/>
          </w:tcPr>
          <w:p w14:paraId="1D988564" w14:textId="77777777" w:rsidR="006D7365" w:rsidRPr="00DE096C" w:rsidRDefault="006D7365" w:rsidP="00D45A46">
            <w:pPr>
              <w:jc w:val="both"/>
              <w:rPr>
                <w:bCs/>
                <w:color w:val="002060"/>
                <w:sz w:val="16"/>
                <w:szCs w:val="16"/>
              </w:rPr>
            </w:pPr>
          </w:p>
        </w:tc>
        <w:tc>
          <w:tcPr>
            <w:tcW w:w="1714" w:type="dxa"/>
          </w:tcPr>
          <w:p w14:paraId="7F420106" w14:textId="77777777" w:rsidR="006D7365" w:rsidRPr="00DE096C" w:rsidRDefault="006D7365" w:rsidP="00D45A46">
            <w:pPr>
              <w:jc w:val="both"/>
              <w:rPr>
                <w:bCs/>
                <w:color w:val="002060"/>
                <w:sz w:val="16"/>
                <w:szCs w:val="16"/>
              </w:rPr>
            </w:pPr>
          </w:p>
        </w:tc>
      </w:tr>
      <w:tr w:rsidR="006D7365" w:rsidRPr="00DE096C" w14:paraId="44D19432" w14:textId="77777777" w:rsidTr="00C2024A">
        <w:tc>
          <w:tcPr>
            <w:tcW w:w="3725" w:type="dxa"/>
          </w:tcPr>
          <w:p w14:paraId="65C4825C" w14:textId="77777777" w:rsidR="006D7365" w:rsidRPr="00DE096C" w:rsidRDefault="006D7365" w:rsidP="00D45A46">
            <w:pPr>
              <w:jc w:val="both"/>
              <w:rPr>
                <w:bCs/>
                <w:color w:val="002060"/>
                <w:sz w:val="16"/>
                <w:szCs w:val="16"/>
              </w:rPr>
            </w:pPr>
            <w:r w:rsidRPr="00DE096C">
              <w:rPr>
                <w:bCs/>
                <w:color w:val="002060"/>
                <w:sz w:val="16"/>
                <w:szCs w:val="16"/>
              </w:rPr>
              <w:t>двигателей</w:t>
            </w:r>
          </w:p>
        </w:tc>
        <w:tc>
          <w:tcPr>
            <w:tcW w:w="1959" w:type="dxa"/>
          </w:tcPr>
          <w:p w14:paraId="3ECA001A" w14:textId="77777777" w:rsidR="006D7365" w:rsidRPr="00DE096C" w:rsidRDefault="006D7365" w:rsidP="00D45A46">
            <w:pPr>
              <w:jc w:val="both"/>
              <w:rPr>
                <w:bCs/>
                <w:color w:val="002060"/>
                <w:sz w:val="16"/>
                <w:szCs w:val="16"/>
              </w:rPr>
            </w:pPr>
            <w:r w:rsidRPr="00DE096C">
              <w:rPr>
                <w:bCs/>
                <w:color w:val="002060"/>
                <w:sz w:val="16"/>
                <w:szCs w:val="16"/>
              </w:rPr>
              <w:t>2</w:t>
            </w:r>
          </w:p>
        </w:tc>
        <w:tc>
          <w:tcPr>
            <w:tcW w:w="1959" w:type="dxa"/>
          </w:tcPr>
          <w:p w14:paraId="6672C8E0" w14:textId="77777777" w:rsidR="006D7365" w:rsidRPr="00DE096C" w:rsidRDefault="006D7365" w:rsidP="00D45A46">
            <w:pPr>
              <w:jc w:val="both"/>
              <w:rPr>
                <w:bCs/>
                <w:color w:val="002060"/>
                <w:sz w:val="16"/>
                <w:szCs w:val="16"/>
              </w:rPr>
            </w:pPr>
            <w:r w:rsidRPr="00DE096C">
              <w:rPr>
                <w:bCs/>
                <w:color w:val="002060"/>
                <w:sz w:val="16"/>
                <w:szCs w:val="16"/>
              </w:rPr>
              <w:t>1</w:t>
            </w:r>
          </w:p>
        </w:tc>
        <w:tc>
          <w:tcPr>
            <w:tcW w:w="1714" w:type="dxa"/>
          </w:tcPr>
          <w:p w14:paraId="5C9114A3" w14:textId="77777777" w:rsidR="006D7365" w:rsidRPr="00DE096C" w:rsidRDefault="006D7365" w:rsidP="00D45A46">
            <w:pPr>
              <w:jc w:val="both"/>
              <w:rPr>
                <w:bCs/>
                <w:color w:val="002060"/>
                <w:sz w:val="16"/>
                <w:szCs w:val="16"/>
              </w:rPr>
            </w:pPr>
            <w:r w:rsidRPr="00DE096C">
              <w:rPr>
                <w:bCs/>
                <w:color w:val="002060"/>
                <w:sz w:val="16"/>
                <w:szCs w:val="16"/>
              </w:rPr>
              <w:t>1</w:t>
            </w:r>
          </w:p>
        </w:tc>
      </w:tr>
      <w:tr w:rsidR="006D7365" w:rsidRPr="00DE096C" w14:paraId="07B7DB8E" w14:textId="77777777" w:rsidTr="00C2024A">
        <w:tc>
          <w:tcPr>
            <w:tcW w:w="3725" w:type="dxa"/>
          </w:tcPr>
          <w:p w14:paraId="372F19FB" w14:textId="77777777" w:rsidR="006D7365" w:rsidRPr="00DE096C" w:rsidRDefault="006D7365" w:rsidP="00D45A46">
            <w:pPr>
              <w:jc w:val="both"/>
              <w:rPr>
                <w:bCs/>
                <w:color w:val="002060"/>
                <w:sz w:val="16"/>
                <w:szCs w:val="16"/>
              </w:rPr>
            </w:pPr>
            <w:r w:rsidRPr="00DE096C">
              <w:rPr>
                <w:bCs/>
                <w:color w:val="002060"/>
                <w:sz w:val="16"/>
                <w:szCs w:val="16"/>
              </w:rPr>
              <w:t>летчиков</w:t>
            </w:r>
          </w:p>
        </w:tc>
        <w:tc>
          <w:tcPr>
            <w:tcW w:w="1959" w:type="dxa"/>
          </w:tcPr>
          <w:p w14:paraId="25048787" w14:textId="77777777" w:rsidR="006D7365" w:rsidRPr="00DE096C" w:rsidRDefault="006D7365" w:rsidP="00D45A46">
            <w:pPr>
              <w:jc w:val="both"/>
              <w:rPr>
                <w:bCs/>
                <w:color w:val="002060"/>
                <w:sz w:val="16"/>
                <w:szCs w:val="16"/>
              </w:rPr>
            </w:pPr>
            <w:r w:rsidRPr="00DE096C">
              <w:rPr>
                <w:bCs/>
                <w:color w:val="002060"/>
                <w:sz w:val="16"/>
                <w:szCs w:val="16"/>
              </w:rPr>
              <w:t>2</w:t>
            </w:r>
          </w:p>
        </w:tc>
        <w:tc>
          <w:tcPr>
            <w:tcW w:w="1959" w:type="dxa"/>
          </w:tcPr>
          <w:p w14:paraId="39D01B9D" w14:textId="77777777" w:rsidR="006D7365" w:rsidRPr="00DE096C" w:rsidRDefault="006D7365" w:rsidP="00D45A46">
            <w:pPr>
              <w:jc w:val="both"/>
              <w:rPr>
                <w:bCs/>
                <w:color w:val="002060"/>
                <w:sz w:val="16"/>
                <w:szCs w:val="16"/>
              </w:rPr>
            </w:pPr>
            <w:r w:rsidRPr="00DE096C">
              <w:rPr>
                <w:bCs/>
                <w:color w:val="002060"/>
                <w:sz w:val="16"/>
                <w:szCs w:val="16"/>
              </w:rPr>
              <w:t>1</w:t>
            </w:r>
          </w:p>
        </w:tc>
        <w:tc>
          <w:tcPr>
            <w:tcW w:w="1714" w:type="dxa"/>
          </w:tcPr>
          <w:p w14:paraId="7FC01A24" w14:textId="77777777" w:rsidR="006D7365" w:rsidRPr="00DE096C" w:rsidRDefault="006D7365" w:rsidP="00D45A46">
            <w:pPr>
              <w:jc w:val="both"/>
              <w:rPr>
                <w:bCs/>
                <w:color w:val="002060"/>
                <w:sz w:val="16"/>
                <w:szCs w:val="16"/>
              </w:rPr>
            </w:pPr>
            <w:r w:rsidRPr="00DE096C">
              <w:rPr>
                <w:bCs/>
                <w:color w:val="002060"/>
                <w:sz w:val="16"/>
                <w:szCs w:val="16"/>
              </w:rPr>
              <w:t>1</w:t>
            </w:r>
          </w:p>
        </w:tc>
      </w:tr>
      <w:tr w:rsidR="006D7365" w:rsidRPr="00DE096C" w14:paraId="3E5C0854" w14:textId="77777777" w:rsidTr="00C2024A">
        <w:tc>
          <w:tcPr>
            <w:tcW w:w="3725" w:type="dxa"/>
          </w:tcPr>
          <w:p w14:paraId="336E8F75" w14:textId="77777777" w:rsidR="006D7365" w:rsidRPr="00DE096C" w:rsidRDefault="006D7365" w:rsidP="00D45A46">
            <w:pPr>
              <w:jc w:val="both"/>
              <w:rPr>
                <w:bCs/>
                <w:color w:val="002060"/>
                <w:sz w:val="16"/>
                <w:szCs w:val="16"/>
              </w:rPr>
            </w:pPr>
            <w:r w:rsidRPr="00DE096C">
              <w:rPr>
                <w:bCs/>
                <w:color w:val="002060"/>
                <w:sz w:val="16"/>
                <w:szCs w:val="16"/>
              </w:rPr>
              <w:t>наблюдателей</w:t>
            </w:r>
          </w:p>
        </w:tc>
        <w:tc>
          <w:tcPr>
            <w:tcW w:w="1959" w:type="dxa"/>
          </w:tcPr>
          <w:p w14:paraId="3382502D" w14:textId="77777777" w:rsidR="006D7365" w:rsidRPr="00DE096C" w:rsidRDefault="006D7365" w:rsidP="00D45A46">
            <w:pPr>
              <w:jc w:val="both"/>
              <w:rPr>
                <w:bCs/>
                <w:color w:val="002060"/>
                <w:sz w:val="16"/>
                <w:szCs w:val="16"/>
              </w:rPr>
            </w:pPr>
            <w:r w:rsidRPr="00DE096C">
              <w:rPr>
                <w:bCs/>
                <w:color w:val="002060"/>
                <w:sz w:val="16"/>
                <w:szCs w:val="16"/>
              </w:rPr>
              <w:t>2</w:t>
            </w:r>
          </w:p>
        </w:tc>
        <w:tc>
          <w:tcPr>
            <w:tcW w:w="1959" w:type="dxa"/>
          </w:tcPr>
          <w:p w14:paraId="294A8B91" w14:textId="77777777" w:rsidR="006D7365" w:rsidRPr="00DE096C" w:rsidRDefault="006D7365" w:rsidP="00D45A46">
            <w:pPr>
              <w:jc w:val="both"/>
              <w:rPr>
                <w:bCs/>
                <w:color w:val="002060"/>
                <w:sz w:val="16"/>
                <w:szCs w:val="16"/>
              </w:rPr>
            </w:pPr>
            <w:r w:rsidRPr="00DE096C">
              <w:rPr>
                <w:bCs/>
                <w:color w:val="002060"/>
                <w:sz w:val="16"/>
                <w:szCs w:val="16"/>
              </w:rPr>
              <w:t>1</w:t>
            </w:r>
          </w:p>
        </w:tc>
        <w:tc>
          <w:tcPr>
            <w:tcW w:w="1714" w:type="dxa"/>
          </w:tcPr>
          <w:p w14:paraId="2BD8FC83" w14:textId="77777777" w:rsidR="006D7365" w:rsidRPr="00DE096C" w:rsidRDefault="006D7365" w:rsidP="00D45A46">
            <w:pPr>
              <w:jc w:val="both"/>
              <w:rPr>
                <w:bCs/>
                <w:color w:val="002060"/>
                <w:sz w:val="16"/>
                <w:szCs w:val="16"/>
              </w:rPr>
            </w:pPr>
            <w:r w:rsidRPr="00DE096C">
              <w:rPr>
                <w:bCs/>
                <w:color w:val="002060"/>
                <w:sz w:val="16"/>
                <w:szCs w:val="16"/>
              </w:rPr>
              <w:t>1</w:t>
            </w:r>
          </w:p>
        </w:tc>
      </w:tr>
      <w:tr w:rsidR="006D7365" w:rsidRPr="00DE096C" w14:paraId="7BD92A9B" w14:textId="77777777" w:rsidTr="00C2024A">
        <w:tc>
          <w:tcPr>
            <w:tcW w:w="3725" w:type="dxa"/>
          </w:tcPr>
          <w:p w14:paraId="6BB85714" w14:textId="77777777" w:rsidR="006D7365" w:rsidRPr="00DE096C" w:rsidRDefault="006D7365" w:rsidP="00D45A46">
            <w:pPr>
              <w:jc w:val="both"/>
              <w:rPr>
                <w:bCs/>
                <w:color w:val="002060"/>
                <w:sz w:val="16"/>
                <w:szCs w:val="16"/>
              </w:rPr>
            </w:pPr>
            <w:r w:rsidRPr="00DE096C">
              <w:rPr>
                <w:bCs/>
                <w:color w:val="002060"/>
                <w:sz w:val="16"/>
                <w:szCs w:val="16"/>
              </w:rPr>
              <w:t>Вооружение</w:t>
            </w:r>
          </w:p>
        </w:tc>
        <w:tc>
          <w:tcPr>
            <w:tcW w:w="1959" w:type="dxa"/>
          </w:tcPr>
          <w:p w14:paraId="19F18EEE" w14:textId="77777777" w:rsidR="006D7365" w:rsidRPr="00DE096C" w:rsidRDefault="006D7365" w:rsidP="00D45A46">
            <w:pPr>
              <w:jc w:val="both"/>
              <w:rPr>
                <w:bCs/>
                <w:color w:val="002060"/>
                <w:sz w:val="16"/>
                <w:szCs w:val="16"/>
              </w:rPr>
            </w:pPr>
            <w:r w:rsidRPr="00DE096C">
              <w:rPr>
                <w:bCs/>
                <w:color w:val="002060"/>
                <w:sz w:val="16"/>
                <w:szCs w:val="16"/>
              </w:rPr>
              <w:t>Пулемет</w:t>
            </w:r>
          </w:p>
        </w:tc>
        <w:tc>
          <w:tcPr>
            <w:tcW w:w="1959" w:type="dxa"/>
          </w:tcPr>
          <w:p w14:paraId="63051341" w14:textId="77777777" w:rsidR="006D7365" w:rsidRPr="00DE096C" w:rsidRDefault="006D7365" w:rsidP="00D45A46">
            <w:pPr>
              <w:jc w:val="both"/>
              <w:rPr>
                <w:bCs/>
                <w:color w:val="002060"/>
                <w:sz w:val="16"/>
                <w:szCs w:val="16"/>
              </w:rPr>
            </w:pPr>
            <w:r w:rsidRPr="00DE096C">
              <w:rPr>
                <w:bCs/>
                <w:color w:val="002060"/>
                <w:sz w:val="16"/>
                <w:szCs w:val="16"/>
              </w:rPr>
              <w:t>Пулемет</w:t>
            </w:r>
          </w:p>
        </w:tc>
        <w:tc>
          <w:tcPr>
            <w:tcW w:w="1714" w:type="dxa"/>
          </w:tcPr>
          <w:p w14:paraId="54C099CD" w14:textId="77777777" w:rsidR="006D7365" w:rsidRPr="00DE096C" w:rsidRDefault="006D7365" w:rsidP="00D45A46">
            <w:pPr>
              <w:jc w:val="both"/>
              <w:rPr>
                <w:bCs/>
                <w:color w:val="002060"/>
                <w:sz w:val="16"/>
                <w:szCs w:val="16"/>
              </w:rPr>
            </w:pPr>
            <w:r w:rsidRPr="00DE096C">
              <w:rPr>
                <w:bCs/>
                <w:color w:val="002060"/>
                <w:sz w:val="16"/>
                <w:szCs w:val="16"/>
              </w:rPr>
              <w:t>Пулемет</w:t>
            </w:r>
          </w:p>
        </w:tc>
      </w:tr>
    </w:tbl>
    <w:p w14:paraId="5544740B" w14:textId="77777777" w:rsidR="006D7365" w:rsidRPr="00DE096C" w:rsidRDefault="006D7365" w:rsidP="00D45A46">
      <w:pPr>
        <w:jc w:val="both"/>
        <w:rPr>
          <w:bCs/>
          <w:color w:val="002060"/>
          <w:sz w:val="16"/>
          <w:szCs w:val="16"/>
        </w:rPr>
      </w:pPr>
      <w:r w:rsidRPr="00DE096C">
        <w:rPr>
          <w:bCs/>
          <w:color w:val="002060"/>
          <w:sz w:val="16"/>
          <w:szCs w:val="16"/>
        </w:rPr>
        <w:t xml:space="preserve">Это заседание авиационного комитета характерно тем, что летчики сами, исходя из местных условий и состояния техники, выработали требования, которым должны были отвечать их летательные аппараты. Правда, ставя во главу угла разведку, балтийцы явно ошибались, и это им стало очевидным довольно скоро. </w:t>
      </w:r>
    </w:p>
    <w:p w14:paraId="3E24AE07" w14:textId="77777777" w:rsidR="006D7365" w:rsidRPr="00DE096C" w:rsidRDefault="006D7365" w:rsidP="00D45A46">
      <w:pPr>
        <w:jc w:val="both"/>
        <w:rPr>
          <w:bCs/>
          <w:color w:val="002060"/>
          <w:sz w:val="16"/>
          <w:szCs w:val="16"/>
        </w:rPr>
      </w:pPr>
    </w:p>
    <w:p w14:paraId="2DA06F07" w14:textId="5EA4DAD2" w:rsidR="00B67D7C" w:rsidRPr="00DE096C" w:rsidRDefault="00B67D7C" w:rsidP="00D45A46">
      <w:pPr>
        <w:jc w:val="both"/>
        <w:rPr>
          <w:bCs/>
          <w:color w:val="002060"/>
          <w:sz w:val="16"/>
          <w:szCs w:val="16"/>
        </w:rPr>
      </w:pPr>
      <w:r w:rsidRPr="00DE096C">
        <w:rPr>
          <w:bCs/>
          <w:color w:val="002060"/>
          <w:sz w:val="16"/>
          <w:szCs w:val="16"/>
        </w:rPr>
        <w:t xml:space="preserve">14 </w:t>
      </w:r>
      <w:r w:rsidR="0092558D" w:rsidRPr="00DE096C">
        <w:rPr>
          <w:bCs/>
          <w:color w:val="002060"/>
          <w:sz w:val="16"/>
          <w:szCs w:val="16"/>
        </w:rPr>
        <w:t xml:space="preserve">(27) </w:t>
      </w:r>
      <w:r w:rsidRPr="00DE096C">
        <w:rPr>
          <w:bCs/>
          <w:color w:val="002060"/>
          <w:sz w:val="16"/>
          <w:szCs w:val="16"/>
        </w:rPr>
        <w:t>мая 1914 г. в Либаве состоялся первый пробный 12-минутный полет</w:t>
      </w:r>
      <w:r w:rsidR="0092558D" w:rsidRPr="00DE096C">
        <w:rPr>
          <w:bCs/>
          <w:color w:val="002060"/>
          <w:sz w:val="16"/>
          <w:szCs w:val="16"/>
        </w:rPr>
        <w:t xml:space="preserve"> ИМ № 107</w:t>
      </w:r>
      <w:r w:rsidRPr="00DE096C">
        <w:rPr>
          <w:bCs/>
          <w:color w:val="002060"/>
          <w:sz w:val="16"/>
          <w:szCs w:val="16"/>
        </w:rPr>
        <w:t>. Пилотировал гидроплан И.И.Сикорский вместе с лейтенантом Г.И.Лавровым (командиром корабля). Вскоре после начала войны этот "Муромец" был потерян в бухте Карал на острове Эзель 21 июля 1914г. при следующих обстоятельствах. Ввиду приближения "миноносцев неприятеля", аппарат попытался вырулить из бухты, но из-за неисправности моторов не смог этого сделать. Пришлось вылить из баков бензин и поджечь гидроплан. Впоследствии выяснилось, что увиденные суда не были германскими (11605).</w:t>
      </w:r>
    </w:p>
    <w:p w14:paraId="7ED03A5A" w14:textId="77777777" w:rsidR="00B67D7C" w:rsidRPr="00DE096C" w:rsidRDefault="00B67D7C" w:rsidP="00D45A46">
      <w:pPr>
        <w:jc w:val="both"/>
        <w:rPr>
          <w:bCs/>
          <w:color w:val="002060"/>
          <w:sz w:val="16"/>
          <w:szCs w:val="16"/>
        </w:rPr>
      </w:pPr>
    </w:p>
    <w:p w14:paraId="155B9498" w14:textId="49AD0490" w:rsidR="00B67D7C" w:rsidRPr="00DE096C" w:rsidRDefault="00B67D7C" w:rsidP="00D45A46">
      <w:pPr>
        <w:jc w:val="both"/>
        <w:rPr>
          <w:bCs/>
          <w:color w:val="002060"/>
          <w:sz w:val="16"/>
          <w:szCs w:val="16"/>
        </w:rPr>
      </w:pPr>
      <w:r w:rsidRPr="00DE096C">
        <w:rPr>
          <w:bCs/>
          <w:color w:val="002060"/>
          <w:sz w:val="16"/>
          <w:szCs w:val="16"/>
        </w:rPr>
        <w:t xml:space="preserve">14 (27) мая 1914 г. </w:t>
      </w:r>
      <w:r w:rsidR="0092558D" w:rsidRPr="00DE096C">
        <w:rPr>
          <w:bCs/>
          <w:color w:val="002060"/>
          <w:sz w:val="16"/>
          <w:szCs w:val="16"/>
        </w:rPr>
        <w:t xml:space="preserve">был совершен первый полет продолжительностью 12 мин. </w:t>
      </w:r>
      <w:r w:rsidRPr="00DE096C">
        <w:rPr>
          <w:bCs/>
          <w:color w:val="002060"/>
          <w:sz w:val="16"/>
          <w:szCs w:val="16"/>
        </w:rPr>
        <w:t xml:space="preserve">Пилотируемый И. И. Сикорским и лейтенантом Г. И. Лавровым самолет успешно прошел испытания с полной нагрузкой. Мореходность была удовлетворительной, а управляемость на воде хорошей, чему способствовала возможность дифференцированно пользоваться двигателями. </w:t>
      </w:r>
      <w:r w:rsidR="0092558D" w:rsidRPr="00DE096C">
        <w:rPr>
          <w:bCs/>
          <w:color w:val="002060"/>
          <w:sz w:val="16"/>
          <w:szCs w:val="16"/>
        </w:rPr>
        <w:t xml:space="preserve">На нем заменили 100-сильные двигатели "Аргус" на два "Сальмсон" в 200 л. с. каждый (средние) и два "Аргус" в 115 л. с. каждый (крайние). Поплавков было три: два главных и третий хвостовой. Главные поплавки крепились под средними двигателями к специальным стойкам шасси на резиновых шнурах-амортизаторах. Поплавки были короткие, полреданные, плоскодонные, с небольшим запасом плавучести и отличались большой простотой конструкции. Гибкая подвеска поплавков была удачным решением, и самолет легко глиссировал даже при небольшом волнении. </w:t>
      </w:r>
      <w:r w:rsidRPr="00DE096C">
        <w:rPr>
          <w:bCs/>
          <w:color w:val="002060"/>
          <w:sz w:val="16"/>
          <w:szCs w:val="16"/>
        </w:rPr>
        <w:t>Вскоре Морское ведомство приняло "Илью Муромца" на вооружение. Это был caмый крупный гидросамолет в мире, и он оставался таким вплоть до 1917 г. (11294).</w:t>
      </w:r>
    </w:p>
    <w:p w14:paraId="75605578" w14:textId="77777777" w:rsidR="00B67D7C" w:rsidRPr="00DE096C" w:rsidRDefault="00B67D7C" w:rsidP="00D45A46">
      <w:pPr>
        <w:jc w:val="both"/>
        <w:rPr>
          <w:bCs/>
          <w:color w:val="002060"/>
          <w:sz w:val="16"/>
          <w:szCs w:val="16"/>
        </w:rPr>
      </w:pPr>
    </w:p>
    <w:p w14:paraId="0C9D32B9" w14:textId="77777777" w:rsidR="00BD3456" w:rsidRPr="00DE096C" w:rsidRDefault="00BD3456" w:rsidP="00D45A46">
      <w:pPr>
        <w:jc w:val="both"/>
        <w:rPr>
          <w:bCs/>
          <w:color w:val="002060"/>
          <w:sz w:val="16"/>
          <w:szCs w:val="16"/>
        </w:rPr>
      </w:pPr>
      <w:bookmarkStart w:id="23" w:name="_Hlk117147047"/>
      <w:r w:rsidRPr="00DE096C">
        <w:rPr>
          <w:bCs/>
          <w:color w:val="002060"/>
          <w:sz w:val="16"/>
          <w:szCs w:val="16"/>
        </w:rPr>
        <w:t>14 (27) мая 1914 в Либаве состоялся первый полет самолета "Илья Муромец”, поставленного на поплавки. Самолетом управляли морской леттчик Г.И.Лавров и конструктор И.И.Сикорский. Испытание прошло удачно, однако в дальнейшем "Муромцы" на поплавки не ставились.</w:t>
      </w:r>
    </w:p>
    <w:p w14:paraId="05AFA2AD" w14:textId="77777777" w:rsidR="00BD3456" w:rsidRPr="00DE096C" w:rsidRDefault="00BD3456" w:rsidP="00D45A46">
      <w:pPr>
        <w:jc w:val="both"/>
        <w:rPr>
          <w:bCs/>
          <w:color w:val="002060"/>
          <w:sz w:val="16"/>
          <w:szCs w:val="16"/>
        </w:rPr>
      </w:pPr>
      <w:r w:rsidRPr="00DE096C">
        <w:rPr>
          <w:bCs/>
          <w:color w:val="002060"/>
          <w:sz w:val="16"/>
          <w:szCs w:val="16"/>
        </w:rPr>
        <w:t>/"Известия Николаевской военной академии", 1914, стр.1159/ (23320).</w:t>
      </w:r>
    </w:p>
    <w:p w14:paraId="3E00748E" w14:textId="77777777" w:rsidR="00BD3456" w:rsidRPr="00DE096C" w:rsidRDefault="00BD3456" w:rsidP="00D45A46">
      <w:pPr>
        <w:jc w:val="both"/>
        <w:rPr>
          <w:bCs/>
          <w:color w:val="002060"/>
          <w:sz w:val="16"/>
          <w:szCs w:val="16"/>
        </w:rPr>
      </w:pPr>
    </w:p>
    <w:p w14:paraId="47EDAFF9" w14:textId="65BF4C80" w:rsidR="00B67D7C" w:rsidRPr="00DE096C" w:rsidRDefault="00B67D7C" w:rsidP="00D45A46">
      <w:pPr>
        <w:shd w:val="clear" w:color="auto" w:fill="FFFFFF"/>
        <w:jc w:val="both"/>
        <w:rPr>
          <w:bCs/>
          <w:color w:val="002060"/>
          <w:sz w:val="16"/>
          <w:szCs w:val="16"/>
        </w:rPr>
      </w:pPr>
      <w:r w:rsidRPr="00DE096C">
        <w:rPr>
          <w:bCs/>
          <w:color w:val="002060"/>
          <w:sz w:val="16"/>
          <w:szCs w:val="16"/>
        </w:rPr>
        <w:t>14,</w:t>
      </w:r>
      <w:r w:rsidR="00F970BB" w:rsidRPr="00DE096C">
        <w:rPr>
          <w:bCs/>
          <w:color w:val="002060"/>
          <w:sz w:val="16"/>
          <w:szCs w:val="16"/>
        </w:rPr>
        <w:t xml:space="preserve"> </w:t>
      </w:r>
      <w:r w:rsidRPr="00DE096C">
        <w:rPr>
          <w:bCs/>
          <w:color w:val="002060"/>
          <w:sz w:val="16"/>
          <w:szCs w:val="16"/>
        </w:rPr>
        <w:t>19,</w:t>
      </w:r>
      <w:r w:rsidR="00F970BB" w:rsidRPr="00DE096C">
        <w:rPr>
          <w:bCs/>
          <w:color w:val="002060"/>
          <w:sz w:val="16"/>
          <w:szCs w:val="16"/>
        </w:rPr>
        <w:t xml:space="preserve"> </w:t>
      </w:r>
      <w:r w:rsidRPr="00DE096C">
        <w:rPr>
          <w:bCs/>
          <w:color w:val="002060"/>
          <w:sz w:val="16"/>
          <w:szCs w:val="16"/>
        </w:rPr>
        <w:t xml:space="preserve">23 и 24 мая </w:t>
      </w:r>
      <w:r w:rsidR="000611A9" w:rsidRPr="00DE096C">
        <w:rPr>
          <w:bCs/>
          <w:color w:val="002060"/>
          <w:sz w:val="16"/>
          <w:szCs w:val="16"/>
        </w:rPr>
        <w:t xml:space="preserve">(27 мая, 1, 5 и 6 июня) </w:t>
      </w:r>
      <w:r w:rsidR="00F970BB" w:rsidRPr="00DE096C">
        <w:rPr>
          <w:bCs/>
          <w:color w:val="002060"/>
          <w:sz w:val="16"/>
          <w:szCs w:val="16"/>
        </w:rPr>
        <w:t>1917</w:t>
      </w:r>
      <w:r w:rsidR="0006581C">
        <w:rPr>
          <w:bCs/>
          <w:color w:val="002060"/>
          <w:sz w:val="16"/>
          <w:szCs w:val="16"/>
        </w:rPr>
        <w:t xml:space="preserve"> </w:t>
      </w:r>
      <w:r w:rsidRPr="00DE096C">
        <w:rPr>
          <w:bCs/>
          <w:color w:val="002060"/>
          <w:sz w:val="16"/>
          <w:szCs w:val="16"/>
        </w:rPr>
        <w:t xml:space="preserve">года </w:t>
      </w:r>
      <w:r w:rsidR="00F970BB" w:rsidRPr="00DE096C">
        <w:rPr>
          <w:bCs/>
          <w:color w:val="002060"/>
          <w:sz w:val="16"/>
          <w:szCs w:val="16"/>
        </w:rPr>
        <w:t xml:space="preserve">на гидроаэроплане № 14 </w:t>
      </w:r>
      <w:r w:rsidR="000611A9" w:rsidRPr="00DE096C">
        <w:rPr>
          <w:bCs/>
          <w:color w:val="002060"/>
          <w:sz w:val="16"/>
          <w:szCs w:val="16"/>
        </w:rPr>
        <w:t xml:space="preserve">мичманом В. Н. Сахаровым </w:t>
      </w:r>
      <w:r w:rsidR="00F970BB" w:rsidRPr="00DE096C">
        <w:rPr>
          <w:bCs/>
          <w:color w:val="002060"/>
          <w:sz w:val="16"/>
          <w:szCs w:val="16"/>
        </w:rPr>
        <w:t>испытывалась радиотелеграфная передаточная станция французской системы</w:t>
      </w:r>
      <w:r w:rsidR="000611A9" w:rsidRPr="00DE096C">
        <w:rPr>
          <w:bCs/>
          <w:color w:val="002060"/>
          <w:sz w:val="16"/>
          <w:szCs w:val="16"/>
        </w:rPr>
        <w:t>, которая</w:t>
      </w:r>
      <w:r w:rsidR="00F970BB" w:rsidRPr="00DE096C">
        <w:rPr>
          <w:bCs/>
          <w:color w:val="002060"/>
          <w:sz w:val="16"/>
          <w:szCs w:val="16"/>
        </w:rPr>
        <w:t xml:space="preserve"> </w:t>
      </w:r>
      <w:r w:rsidRPr="00DE096C">
        <w:rPr>
          <w:bCs/>
          <w:color w:val="002060"/>
          <w:sz w:val="16"/>
          <w:szCs w:val="16"/>
        </w:rPr>
        <w:t>показала себя вполне безопасной в пожарном отношении, своей сетью и проводкой не препятствующей органам управления &lt;...&gt;, а также не бьющей и не дающей искру при касании к металлическим частям во время работы. &lt;...&gt; Вышеозначенная радио</w:t>
      </w:r>
      <w:r w:rsidRPr="00DE096C">
        <w:rPr>
          <w:bCs/>
          <w:color w:val="002060"/>
          <w:sz w:val="16"/>
          <w:szCs w:val="16"/>
        </w:rPr>
        <w:softHyphen/>
        <w:t>станция, может быть снята и установлена вновь на гидроаэроплане в промежуток времени не более двух часов» (2807).</w:t>
      </w:r>
    </w:p>
    <w:p w14:paraId="0484CBC3" w14:textId="2D6ECA0C" w:rsidR="00B67D7C" w:rsidRPr="00DE096C" w:rsidRDefault="00B67D7C" w:rsidP="00D45A46">
      <w:pPr>
        <w:shd w:val="clear" w:color="auto" w:fill="FFFFFF"/>
        <w:jc w:val="both"/>
        <w:rPr>
          <w:bCs/>
          <w:color w:val="002060"/>
          <w:sz w:val="16"/>
          <w:szCs w:val="16"/>
        </w:rPr>
      </w:pPr>
    </w:p>
    <w:p w14:paraId="26D7CB4A" w14:textId="4946555E" w:rsidR="00AD294D" w:rsidRPr="00DE096C" w:rsidRDefault="00AD294D" w:rsidP="00D45A46">
      <w:pPr>
        <w:jc w:val="both"/>
        <w:rPr>
          <w:bCs/>
          <w:color w:val="002060"/>
          <w:sz w:val="16"/>
          <w:szCs w:val="16"/>
          <w:lang w:bidi="ru-RU"/>
        </w:rPr>
      </w:pPr>
      <w:r w:rsidRPr="00DE096C">
        <w:rPr>
          <w:bCs/>
          <w:color w:val="002060"/>
          <w:sz w:val="16"/>
          <w:szCs w:val="16"/>
          <w:lang w:bidi="ru-RU"/>
        </w:rPr>
        <w:t>14 (27) мая 1914 г. в Либаве гидроплан «ИМ» успешно испытали в полете И.И. Сикор</w:t>
      </w:r>
      <w:r w:rsidRPr="00DE096C">
        <w:rPr>
          <w:bCs/>
          <w:color w:val="002060"/>
          <w:sz w:val="16"/>
          <w:szCs w:val="16"/>
          <w:lang w:bidi="ru-RU"/>
        </w:rPr>
        <w:softHyphen/>
        <w:t>ский и лейтенант Г.И. Лавров.</w:t>
      </w:r>
    </w:p>
    <w:p w14:paraId="3F9E9952" w14:textId="77777777" w:rsidR="00AD294D" w:rsidRPr="00DE096C" w:rsidRDefault="00AD294D" w:rsidP="00D45A46">
      <w:pPr>
        <w:jc w:val="both"/>
        <w:rPr>
          <w:bCs/>
          <w:color w:val="002060"/>
          <w:sz w:val="16"/>
          <w:szCs w:val="16"/>
        </w:rPr>
      </w:pPr>
      <w:r w:rsidRPr="00DE096C">
        <w:rPr>
          <w:bCs/>
          <w:color w:val="002060"/>
          <w:sz w:val="16"/>
          <w:szCs w:val="16"/>
          <w:lang w:bidi="ru-RU"/>
        </w:rPr>
        <w:t>Новый самолет не строился, использова</w:t>
      </w:r>
      <w:r w:rsidRPr="00DE096C">
        <w:rPr>
          <w:bCs/>
          <w:color w:val="002060"/>
          <w:sz w:val="16"/>
          <w:szCs w:val="16"/>
          <w:lang w:bidi="ru-RU"/>
        </w:rPr>
        <w:softHyphen/>
        <w:t>ли первый опытный «ИМ» №107. Конструк</w:t>
      </w:r>
      <w:r w:rsidRPr="00DE096C">
        <w:rPr>
          <w:bCs/>
          <w:color w:val="002060"/>
          <w:sz w:val="16"/>
          <w:szCs w:val="16"/>
          <w:lang w:bidi="ru-RU"/>
        </w:rPr>
        <w:softHyphen/>
        <w:t>цию самолета соответствующим образом доработали и укрепили, основное колесное шасси заменили двумя большими коробча</w:t>
      </w:r>
      <w:r w:rsidRPr="00DE096C">
        <w:rPr>
          <w:bCs/>
          <w:color w:val="002060"/>
          <w:sz w:val="16"/>
          <w:szCs w:val="16"/>
          <w:lang w:bidi="ru-RU"/>
        </w:rPr>
        <w:softHyphen/>
        <w:t>тыми поплавками, снабженными шнуровой, резиновой амортизацией. В районе уста</w:t>
      </w:r>
      <w:r w:rsidRPr="00DE096C">
        <w:rPr>
          <w:bCs/>
          <w:color w:val="002060"/>
          <w:sz w:val="16"/>
          <w:szCs w:val="16"/>
          <w:lang w:bidi="ru-RU"/>
        </w:rPr>
        <w:softHyphen/>
        <w:t>новки костыля разместили третий, хвосто</w:t>
      </w:r>
      <w:r w:rsidRPr="00DE096C">
        <w:rPr>
          <w:bCs/>
          <w:color w:val="002060"/>
          <w:sz w:val="16"/>
          <w:szCs w:val="16"/>
          <w:lang w:bidi="ru-RU"/>
        </w:rPr>
        <w:softHyphen/>
        <w:t>вой, поплавок. Так как при испытаниях опытного экземпляра мощность четырех «Санбимов» признавалась недостаточной, на поплавком варианте ближние к фюзеля жу двигатели заменили на «Сальмсоны» 200 л.с.</w:t>
      </w:r>
    </w:p>
    <w:p w14:paraId="426CA48C" w14:textId="77777777" w:rsidR="00AD294D" w:rsidRPr="00DE096C" w:rsidRDefault="00AD294D" w:rsidP="00D45A46">
      <w:pPr>
        <w:jc w:val="both"/>
        <w:rPr>
          <w:bCs/>
          <w:color w:val="002060"/>
          <w:sz w:val="16"/>
          <w:szCs w:val="16"/>
        </w:rPr>
      </w:pPr>
      <w:r w:rsidRPr="00DE096C">
        <w:rPr>
          <w:bCs/>
          <w:color w:val="002060"/>
          <w:sz w:val="16"/>
          <w:szCs w:val="16"/>
        </w:rPr>
        <w:t>Летные и технические характеристики «ИМ» поплавковый</w:t>
      </w:r>
    </w:p>
    <w:tbl>
      <w:tblPr>
        <w:tblOverlap w:val="never"/>
        <w:tblW w:w="0" w:type="auto"/>
        <w:tblLayout w:type="fixed"/>
        <w:tblCellMar>
          <w:left w:w="10" w:type="dxa"/>
          <w:right w:w="10" w:type="dxa"/>
        </w:tblCellMar>
        <w:tblLook w:val="0000" w:firstRow="0" w:lastRow="0" w:firstColumn="0" w:lastColumn="0" w:noHBand="0" w:noVBand="0"/>
      </w:tblPr>
      <w:tblGrid>
        <w:gridCol w:w="3528"/>
        <w:gridCol w:w="2194"/>
      </w:tblGrid>
      <w:tr w:rsidR="00AD294D" w:rsidRPr="00DE096C" w14:paraId="5759A867" w14:textId="77777777" w:rsidTr="00711059">
        <w:trPr>
          <w:trHeight w:val="259"/>
        </w:trPr>
        <w:tc>
          <w:tcPr>
            <w:tcW w:w="3528" w:type="dxa"/>
            <w:tcBorders>
              <w:top w:val="single" w:sz="4" w:space="0" w:color="auto"/>
              <w:left w:val="single" w:sz="4" w:space="0" w:color="auto"/>
            </w:tcBorders>
            <w:vAlign w:val="bottom"/>
          </w:tcPr>
          <w:p w14:paraId="5CF16CD1" w14:textId="77777777" w:rsidR="00AD294D" w:rsidRPr="00DE096C" w:rsidRDefault="00AD294D"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Размах верхнего крыла (м)</w:t>
            </w:r>
          </w:p>
        </w:tc>
        <w:tc>
          <w:tcPr>
            <w:tcW w:w="2194" w:type="dxa"/>
            <w:tcBorders>
              <w:top w:val="single" w:sz="4" w:space="0" w:color="auto"/>
              <w:right w:val="single" w:sz="4" w:space="0" w:color="auto"/>
            </w:tcBorders>
            <w:vAlign w:val="bottom"/>
          </w:tcPr>
          <w:p w14:paraId="34E88596" w14:textId="77777777" w:rsidR="00AD294D" w:rsidRPr="00DE096C" w:rsidRDefault="00AD294D"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32,0</w:t>
            </w:r>
          </w:p>
        </w:tc>
      </w:tr>
      <w:tr w:rsidR="00AD294D" w:rsidRPr="00DE096C" w14:paraId="5C5FB693" w14:textId="77777777" w:rsidTr="00711059">
        <w:trPr>
          <w:trHeight w:val="187"/>
        </w:trPr>
        <w:tc>
          <w:tcPr>
            <w:tcW w:w="3528" w:type="dxa"/>
            <w:tcBorders>
              <w:left w:val="single" w:sz="4" w:space="0" w:color="auto"/>
            </w:tcBorders>
            <w:vAlign w:val="bottom"/>
          </w:tcPr>
          <w:p w14:paraId="259E5A40" w14:textId="77777777" w:rsidR="00AD294D" w:rsidRPr="00DE096C" w:rsidRDefault="00AD294D"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Размах нижнего крыла (м)</w:t>
            </w:r>
          </w:p>
        </w:tc>
        <w:tc>
          <w:tcPr>
            <w:tcW w:w="2194" w:type="dxa"/>
            <w:tcBorders>
              <w:right w:val="single" w:sz="4" w:space="0" w:color="auto"/>
            </w:tcBorders>
            <w:vAlign w:val="bottom"/>
          </w:tcPr>
          <w:p w14:paraId="46F91321" w14:textId="77777777" w:rsidR="00AD294D" w:rsidRPr="00DE096C" w:rsidRDefault="00AD294D"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22,0</w:t>
            </w:r>
          </w:p>
        </w:tc>
      </w:tr>
      <w:tr w:rsidR="00AD294D" w:rsidRPr="00DE096C" w14:paraId="616503E1" w14:textId="77777777" w:rsidTr="00711059">
        <w:trPr>
          <w:trHeight w:val="197"/>
        </w:trPr>
        <w:tc>
          <w:tcPr>
            <w:tcW w:w="3528" w:type="dxa"/>
            <w:tcBorders>
              <w:left w:val="single" w:sz="4" w:space="0" w:color="auto"/>
            </w:tcBorders>
            <w:vAlign w:val="bottom"/>
          </w:tcPr>
          <w:p w14:paraId="5EEBFA38" w14:textId="77777777" w:rsidR="00AD294D" w:rsidRPr="00DE096C" w:rsidRDefault="00AD294D"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Длина (м)</w:t>
            </w:r>
          </w:p>
        </w:tc>
        <w:tc>
          <w:tcPr>
            <w:tcW w:w="2194" w:type="dxa"/>
            <w:tcBorders>
              <w:right w:val="single" w:sz="4" w:space="0" w:color="auto"/>
            </w:tcBorders>
            <w:vAlign w:val="bottom"/>
          </w:tcPr>
          <w:p w14:paraId="1DEB27DD" w14:textId="77777777" w:rsidR="00AD294D" w:rsidRPr="00DE096C" w:rsidRDefault="00AD294D"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23,5</w:t>
            </w:r>
          </w:p>
        </w:tc>
      </w:tr>
      <w:tr w:rsidR="00AD294D" w:rsidRPr="00DE096C" w14:paraId="54A946AC" w14:textId="77777777" w:rsidTr="00711059">
        <w:trPr>
          <w:trHeight w:val="197"/>
        </w:trPr>
        <w:tc>
          <w:tcPr>
            <w:tcW w:w="3528" w:type="dxa"/>
            <w:tcBorders>
              <w:left w:val="single" w:sz="4" w:space="0" w:color="auto"/>
            </w:tcBorders>
            <w:vAlign w:val="bottom"/>
          </w:tcPr>
          <w:p w14:paraId="7B52AA39" w14:textId="77777777" w:rsidR="00AD294D" w:rsidRPr="00DE096C" w:rsidRDefault="00AD294D"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Площадь крыльев (м</w:t>
            </w:r>
            <w:r w:rsidRPr="00DE096C">
              <w:rPr>
                <w:rFonts w:ascii="Times New Roman" w:hAnsi="Times New Roman" w:cs="Times New Roman"/>
                <w:bCs/>
                <w:color w:val="002060"/>
                <w:sz w:val="16"/>
                <w:szCs w:val="16"/>
                <w:vertAlign w:val="superscript"/>
                <w:lang w:eastAsia="ru-RU" w:bidi="ru-RU"/>
              </w:rPr>
              <w:t>2</w:t>
            </w:r>
            <w:r w:rsidRPr="00DE096C">
              <w:rPr>
                <w:rFonts w:ascii="Times New Roman" w:hAnsi="Times New Roman" w:cs="Times New Roman"/>
                <w:bCs/>
                <w:color w:val="002060"/>
                <w:sz w:val="16"/>
                <w:szCs w:val="16"/>
                <w:lang w:eastAsia="ru-RU" w:bidi="ru-RU"/>
              </w:rPr>
              <w:t>)</w:t>
            </w:r>
          </w:p>
        </w:tc>
        <w:tc>
          <w:tcPr>
            <w:tcW w:w="2194" w:type="dxa"/>
            <w:tcBorders>
              <w:right w:val="single" w:sz="4" w:space="0" w:color="auto"/>
            </w:tcBorders>
            <w:vAlign w:val="bottom"/>
          </w:tcPr>
          <w:p w14:paraId="2D594498" w14:textId="77777777" w:rsidR="00AD294D" w:rsidRPr="00DE096C" w:rsidRDefault="00AD294D"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182,0</w:t>
            </w:r>
          </w:p>
        </w:tc>
      </w:tr>
      <w:tr w:rsidR="00AD294D" w:rsidRPr="00DE096C" w14:paraId="1E10760A" w14:textId="77777777" w:rsidTr="00711059">
        <w:trPr>
          <w:trHeight w:val="197"/>
        </w:trPr>
        <w:tc>
          <w:tcPr>
            <w:tcW w:w="3528" w:type="dxa"/>
            <w:tcBorders>
              <w:left w:val="single" w:sz="4" w:space="0" w:color="auto"/>
            </w:tcBorders>
          </w:tcPr>
          <w:p w14:paraId="7D090AF3" w14:textId="77777777" w:rsidR="00AD294D" w:rsidRPr="00DE096C" w:rsidRDefault="00AD294D"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Вес пустого (кг)</w:t>
            </w:r>
          </w:p>
        </w:tc>
        <w:tc>
          <w:tcPr>
            <w:tcW w:w="2194" w:type="dxa"/>
            <w:tcBorders>
              <w:right w:val="single" w:sz="4" w:space="0" w:color="auto"/>
            </w:tcBorders>
          </w:tcPr>
          <w:p w14:paraId="5EF5FDA4" w14:textId="77777777" w:rsidR="00AD294D" w:rsidRPr="00DE096C" w:rsidRDefault="00AD294D"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4800</w:t>
            </w:r>
          </w:p>
        </w:tc>
      </w:tr>
      <w:tr w:rsidR="00AD294D" w:rsidRPr="00DE096C" w14:paraId="5DFFB955" w14:textId="77777777" w:rsidTr="00711059">
        <w:trPr>
          <w:trHeight w:val="187"/>
        </w:trPr>
        <w:tc>
          <w:tcPr>
            <w:tcW w:w="3528" w:type="dxa"/>
            <w:tcBorders>
              <w:left w:val="single" w:sz="4" w:space="0" w:color="auto"/>
            </w:tcBorders>
          </w:tcPr>
          <w:p w14:paraId="788D21F7" w14:textId="77777777" w:rsidR="00AD294D" w:rsidRPr="00DE096C" w:rsidRDefault="00AD294D"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Полетный вес (кг)</w:t>
            </w:r>
          </w:p>
        </w:tc>
        <w:tc>
          <w:tcPr>
            <w:tcW w:w="2194" w:type="dxa"/>
            <w:tcBorders>
              <w:right w:val="single" w:sz="4" w:space="0" w:color="auto"/>
            </w:tcBorders>
          </w:tcPr>
          <w:p w14:paraId="595CF3BF" w14:textId="77777777" w:rsidR="00AD294D" w:rsidRPr="00DE096C" w:rsidRDefault="00AD294D"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6300</w:t>
            </w:r>
          </w:p>
        </w:tc>
      </w:tr>
      <w:tr w:rsidR="00AD294D" w:rsidRPr="00DE096C" w14:paraId="72BA7A13" w14:textId="77777777" w:rsidTr="00711059">
        <w:trPr>
          <w:trHeight w:val="206"/>
        </w:trPr>
        <w:tc>
          <w:tcPr>
            <w:tcW w:w="3528" w:type="dxa"/>
            <w:tcBorders>
              <w:left w:val="single" w:sz="4" w:space="0" w:color="auto"/>
            </w:tcBorders>
          </w:tcPr>
          <w:p w14:paraId="3675CEA4" w14:textId="77777777" w:rsidR="00AD294D" w:rsidRPr="00DE096C" w:rsidRDefault="00AD294D"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Полетная скорость (км/ч)</w:t>
            </w:r>
          </w:p>
        </w:tc>
        <w:tc>
          <w:tcPr>
            <w:tcW w:w="2194" w:type="dxa"/>
            <w:tcBorders>
              <w:right w:val="single" w:sz="4" w:space="0" w:color="auto"/>
            </w:tcBorders>
          </w:tcPr>
          <w:p w14:paraId="60853E78" w14:textId="77777777" w:rsidR="00AD294D" w:rsidRPr="00DE096C" w:rsidRDefault="00AD294D"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90</w:t>
            </w:r>
          </w:p>
        </w:tc>
      </w:tr>
      <w:tr w:rsidR="00AD294D" w:rsidRPr="00DE096C" w14:paraId="00ABBFA6" w14:textId="77777777" w:rsidTr="00711059">
        <w:trPr>
          <w:trHeight w:val="187"/>
        </w:trPr>
        <w:tc>
          <w:tcPr>
            <w:tcW w:w="3528" w:type="dxa"/>
            <w:tcBorders>
              <w:left w:val="single" w:sz="4" w:space="0" w:color="auto"/>
            </w:tcBorders>
          </w:tcPr>
          <w:p w14:paraId="76EA2E19" w14:textId="77777777" w:rsidR="00AD294D" w:rsidRPr="00DE096C" w:rsidRDefault="00AD294D"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Потолок (м)</w:t>
            </w:r>
          </w:p>
        </w:tc>
        <w:tc>
          <w:tcPr>
            <w:tcW w:w="2194" w:type="dxa"/>
            <w:tcBorders>
              <w:right w:val="single" w:sz="4" w:space="0" w:color="auto"/>
            </w:tcBorders>
          </w:tcPr>
          <w:p w14:paraId="10F77763" w14:textId="77777777" w:rsidR="00AD294D" w:rsidRPr="00DE096C" w:rsidRDefault="00AD294D"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2000</w:t>
            </w:r>
          </w:p>
        </w:tc>
      </w:tr>
      <w:tr w:rsidR="00AD294D" w:rsidRPr="00DE096C" w14:paraId="6D0F584B" w14:textId="77777777" w:rsidTr="00711059">
        <w:trPr>
          <w:trHeight w:val="202"/>
        </w:trPr>
        <w:tc>
          <w:tcPr>
            <w:tcW w:w="3528" w:type="dxa"/>
            <w:tcBorders>
              <w:left w:val="single" w:sz="4" w:space="0" w:color="auto"/>
            </w:tcBorders>
          </w:tcPr>
          <w:p w14:paraId="57E3FD00" w14:textId="77777777" w:rsidR="00AD294D" w:rsidRPr="00DE096C" w:rsidRDefault="00AD294D"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lastRenderedPageBreak/>
              <w:t>Дальность полета (км)</w:t>
            </w:r>
          </w:p>
        </w:tc>
        <w:tc>
          <w:tcPr>
            <w:tcW w:w="2194" w:type="dxa"/>
            <w:tcBorders>
              <w:right w:val="single" w:sz="4" w:space="0" w:color="auto"/>
            </w:tcBorders>
          </w:tcPr>
          <w:p w14:paraId="606DBD98" w14:textId="77777777" w:rsidR="00AD294D" w:rsidRPr="00DE096C" w:rsidRDefault="00AD294D"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550</w:t>
            </w:r>
          </w:p>
        </w:tc>
      </w:tr>
      <w:tr w:rsidR="00AD294D" w:rsidRPr="00DE096C" w14:paraId="1A55EC6C" w14:textId="77777777" w:rsidTr="00711059">
        <w:trPr>
          <w:trHeight w:val="197"/>
        </w:trPr>
        <w:tc>
          <w:tcPr>
            <w:tcW w:w="3528" w:type="dxa"/>
            <w:tcBorders>
              <w:left w:val="single" w:sz="4" w:space="0" w:color="auto"/>
            </w:tcBorders>
          </w:tcPr>
          <w:p w14:paraId="00BB1A8E" w14:textId="77777777" w:rsidR="00AD294D" w:rsidRPr="00DE096C" w:rsidRDefault="00AD294D"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Суммарная мощность двигателей</w:t>
            </w:r>
          </w:p>
        </w:tc>
        <w:tc>
          <w:tcPr>
            <w:tcW w:w="2194" w:type="dxa"/>
            <w:tcBorders>
              <w:right w:val="single" w:sz="4" w:space="0" w:color="auto"/>
            </w:tcBorders>
          </w:tcPr>
          <w:p w14:paraId="24F65CE1" w14:textId="77777777" w:rsidR="00AD294D" w:rsidRPr="00DE096C" w:rsidRDefault="00AD294D"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630 л.с.</w:t>
            </w:r>
          </w:p>
        </w:tc>
      </w:tr>
      <w:tr w:rsidR="00AD294D" w:rsidRPr="00DE096C" w14:paraId="24E78F50" w14:textId="77777777" w:rsidTr="00711059">
        <w:trPr>
          <w:trHeight w:val="250"/>
        </w:trPr>
        <w:tc>
          <w:tcPr>
            <w:tcW w:w="3528" w:type="dxa"/>
            <w:tcBorders>
              <w:left w:val="single" w:sz="4" w:space="0" w:color="auto"/>
              <w:bottom w:val="single" w:sz="4" w:space="0" w:color="auto"/>
            </w:tcBorders>
          </w:tcPr>
          <w:p w14:paraId="6D5BB18D" w14:textId="77777777" w:rsidR="00AD294D" w:rsidRPr="00DE096C" w:rsidRDefault="00AD294D"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(2 х «Сальмсон» 200 л.с.</w:t>
            </w:r>
          </w:p>
        </w:tc>
        <w:tc>
          <w:tcPr>
            <w:tcW w:w="2194" w:type="dxa"/>
            <w:tcBorders>
              <w:bottom w:val="single" w:sz="4" w:space="0" w:color="auto"/>
              <w:right w:val="single" w:sz="4" w:space="0" w:color="auto"/>
            </w:tcBorders>
          </w:tcPr>
          <w:p w14:paraId="71B76D43" w14:textId="77777777" w:rsidR="00AD294D" w:rsidRPr="00DE096C" w:rsidRDefault="00AD294D"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+ 2х «Аргус» 115 л.с.)</w:t>
            </w:r>
          </w:p>
        </w:tc>
      </w:tr>
    </w:tbl>
    <w:p w14:paraId="6271C029" w14:textId="77777777" w:rsidR="00AD294D" w:rsidRPr="00DE096C" w:rsidRDefault="00AD294D" w:rsidP="00D45A46">
      <w:pPr>
        <w:jc w:val="both"/>
        <w:rPr>
          <w:bCs/>
          <w:color w:val="002060"/>
          <w:sz w:val="16"/>
          <w:szCs w:val="16"/>
          <w:lang w:bidi="ru-RU"/>
        </w:rPr>
      </w:pPr>
      <w:r w:rsidRPr="00DE096C">
        <w:rPr>
          <w:bCs/>
          <w:color w:val="002060"/>
          <w:sz w:val="16"/>
          <w:szCs w:val="16"/>
          <w:lang w:bidi="ru-RU"/>
        </w:rPr>
        <w:t>Самолет был принят и включен в состав авиации Бал</w:t>
      </w:r>
      <w:r w:rsidRPr="00DE096C">
        <w:rPr>
          <w:bCs/>
          <w:color w:val="002060"/>
          <w:sz w:val="16"/>
          <w:szCs w:val="16"/>
          <w:lang w:bidi="ru-RU"/>
        </w:rPr>
        <w:softHyphen/>
        <w:t>тийского флота с базированием на острове Эзель (23374).</w:t>
      </w:r>
    </w:p>
    <w:p w14:paraId="40E5C567" w14:textId="77777777" w:rsidR="00AD294D" w:rsidRPr="00DE096C" w:rsidRDefault="00AD294D" w:rsidP="00D45A46">
      <w:pPr>
        <w:jc w:val="both"/>
        <w:rPr>
          <w:bCs/>
          <w:color w:val="002060"/>
          <w:sz w:val="16"/>
          <w:szCs w:val="16"/>
          <w:lang w:bidi="ru-RU"/>
        </w:rPr>
      </w:pPr>
    </w:p>
    <w:p w14:paraId="49D2D875" w14:textId="0BEB294D" w:rsidR="00AD294D" w:rsidRPr="00DE096C" w:rsidRDefault="00AD294D" w:rsidP="00D45A46">
      <w:pPr>
        <w:jc w:val="both"/>
        <w:rPr>
          <w:bCs/>
          <w:color w:val="002060"/>
          <w:sz w:val="16"/>
          <w:szCs w:val="16"/>
        </w:rPr>
      </w:pPr>
      <w:r w:rsidRPr="00DE096C">
        <w:rPr>
          <w:bCs/>
          <w:color w:val="002060"/>
          <w:sz w:val="16"/>
          <w:szCs w:val="16"/>
        </w:rPr>
        <w:t>14 (27) мая 1914 г. Сикорский выполнил облет самолета № 107, установленного на поплавки с воды. Первый полет продолжался 12 мин.</w:t>
      </w:r>
    </w:p>
    <w:p w14:paraId="38C6EAC1" w14:textId="77777777" w:rsidR="00AD294D" w:rsidRPr="00DE096C" w:rsidRDefault="00AD294D" w:rsidP="00D45A46">
      <w:pPr>
        <w:jc w:val="both"/>
        <w:rPr>
          <w:bCs/>
          <w:color w:val="002060"/>
          <w:sz w:val="16"/>
          <w:szCs w:val="16"/>
        </w:rPr>
      </w:pPr>
      <w:r w:rsidRPr="00DE096C">
        <w:rPr>
          <w:bCs/>
          <w:color w:val="002060"/>
          <w:sz w:val="16"/>
          <w:szCs w:val="16"/>
        </w:rPr>
        <w:t>В испытаниях участвовал также морской летчик л-т Г.И. Лавров, в дальнейшем назначенный командиром корабля.</w:t>
      </w:r>
    </w:p>
    <w:p w14:paraId="4228B752" w14:textId="77777777" w:rsidR="00AD294D" w:rsidRPr="00DE096C" w:rsidRDefault="00AD294D" w:rsidP="00D45A46">
      <w:pPr>
        <w:jc w:val="both"/>
        <w:rPr>
          <w:bCs/>
          <w:color w:val="002060"/>
          <w:sz w:val="16"/>
          <w:szCs w:val="16"/>
        </w:rPr>
      </w:pPr>
      <w:r w:rsidRPr="00DE096C">
        <w:rPr>
          <w:bCs/>
          <w:color w:val="002060"/>
          <w:sz w:val="16"/>
          <w:szCs w:val="16"/>
        </w:rPr>
        <w:t>В ходе эксплуатации силовая установка дорабатывалась в 2 этапа:</w:t>
      </w:r>
    </w:p>
    <w:p w14:paraId="2F0D8A06" w14:textId="77777777" w:rsidR="00AD294D" w:rsidRPr="00DE096C" w:rsidRDefault="00AD294D" w:rsidP="00D45A46">
      <w:pPr>
        <w:jc w:val="both"/>
        <w:rPr>
          <w:bCs/>
          <w:color w:val="002060"/>
          <w:sz w:val="16"/>
          <w:szCs w:val="16"/>
        </w:rPr>
      </w:pPr>
      <w:r w:rsidRPr="00DE096C">
        <w:rPr>
          <w:bCs/>
          <w:color w:val="002060"/>
          <w:sz w:val="16"/>
          <w:szCs w:val="16"/>
        </w:rPr>
        <w:t>- внешние 4-цилиндровыми двигатели «Аргус» (As I мощностью 100 л.с.) заменены 6-цилиндровыми «Аргус» (As II) с мощностью 115 л.с.;</w:t>
      </w:r>
    </w:p>
    <w:p w14:paraId="3574DBBA" w14:textId="77777777" w:rsidR="00AD294D" w:rsidRPr="00DE096C" w:rsidRDefault="00AD294D" w:rsidP="00D45A46">
      <w:pPr>
        <w:jc w:val="both"/>
        <w:rPr>
          <w:bCs/>
          <w:color w:val="002060"/>
          <w:sz w:val="16"/>
          <w:szCs w:val="16"/>
        </w:rPr>
      </w:pPr>
      <w:r w:rsidRPr="00DE096C">
        <w:rPr>
          <w:bCs/>
          <w:color w:val="002060"/>
          <w:sz w:val="16"/>
          <w:szCs w:val="16"/>
        </w:rPr>
        <w:t>- внутренние двигатели «Сальмсон» 125 л.с. заменены на двухрядные звездообразные 14-цилиндровые Salmson 2M.7 мощностью по 200 л.с. (также водяного охлаждения);</w:t>
      </w:r>
    </w:p>
    <w:p w14:paraId="5F1E365A" w14:textId="77777777" w:rsidR="00AD294D" w:rsidRPr="00DE096C" w:rsidRDefault="00AD294D" w:rsidP="00D45A46">
      <w:pPr>
        <w:jc w:val="both"/>
        <w:rPr>
          <w:bCs/>
          <w:color w:val="002060"/>
          <w:sz w:val="16"/>
          <w:szCs w:val="16"/>
        </w:rPr>
      </w:pPr>
      <w:r w:rsidRPr="00DE096C">
        <w:rPr>
          <w:bCs/>
          <w:color w:val="002060"/>
          <w:sz w:val="16"/>
          <w:szCs w:val="16"/>
        </w:rPr>
        <w:t>- запас топлива и масла увеличен с 384 до 900 кг.</w:t>
      </w:r>
    </w:p>
    <w:p w14:paraId="2517F4FC" w14:textId="77777777" w:rsidR="00AD294D" w:rsidRPr="00DE096C" w:rsidRDefault="00AD294D" w:rsidP="00D45A46">
      <w:pPr>
        <w:jc w:val="both"/>
        <w:rPr>
          <w:bCs/>
          <w:color w:val="002060"/>
          <w:sz w:val="16"/>
          <w:szCs w:val="16"/>
        </w:rPr>
      </w:pPr>
      <w:r w:rsidRPr="00DE096C">
        <w:rPr>
          <w:bCs/>
          <w:color w:val="002060"/>
          <w:sz w:val="16"/>
          <w:szCs w:val="16"/>
        </w:rPr>
        <w:t>Основные результаты испытаний:</w:t>
      </w:r>
    </w:p>
    <w:p w14:paraId="231E3CAB" w14:textId="77777777" w:rsidR="00AD294D" w:rsidRPr="00DE096C" w:rsidRDefault="00AD294D" w:rsidP="00D45A46">
      <w:pPr>
        <w:jc w:val="both"/>
        <w:rPr>
          <w:bCs/>
          <w:color w:val="002060"/>
          <w:sz w:val="16"/>
          <w:szCs w:val="16"/>
        </w:rPr>
      </w:pPr>
      <w:r w:rsidRPr="00DE096C">
        <w:rPr>
          <w:bCs/>
          <w:color w:val="002060"/>
          <w:sz w:val="16"/>
          <w:szCs w:val="16"/>
        </w:rPr>
        <w:t>- вес пустого увеличился на 1000 кг (на 26,3%), взлетный – на 1200 кг (на 23,5%);</w:t>
      </w:r>
    </w:p>
    <w:p w14:paraId="5A0A2CC8" w14:textId="77777777" w:rsidR="00AD294D" w:rsidRPr="00DE096C" w:rsidRDefault="00AD294D" w:rsidP="00D45A46">
      <w:pPr>
        <w:jc w:val="both"/>
        <w:rPr>
          <w:bCs/>
          <w:color w:val="002060"/>
          <w:sz w:val="16"/>
          <w:szCs w:val="16"/>
        </w:rPr>
      </w:pPr>
      <w:r w:rsidRPr="00DE096C">
        <w:rPr>
          <w:bCs/>
          <w:color w:val="002060"/>
          <w:sz w:val="16"/>
          <w:szCs w:val="16"/>
        </w:rPr>
        <w:t>- мореходность корабля признана удовлетворительной, хотя осадка поплавков была слишком большой, а опущенный вниз руль высоты касался воды;</w:t>
      </w:r>
    </w:p>
    <w:p w14:paraId="5364EB7E" w14:textId="77777777" w:rsidR="00AD294D" w:rsidRPr="00DE096C" w:rsidRDefault="00AD294D" w:rsidP="00D45A46">
      <w:pPr>
        <w:jc w:val="both"/>
        <w:rPr>
          <w:bCs/>
          <w:color w:val="002060"/>
          <w:sz w:val="16"/>
          <w:szCs w:val="16"/>
        </w:rPr>
      </w:pPr>
      <w:r w:rsidRPr="00DE096C">
        <w:rPr>
          <w:bCs/>
          <w:color w:val="002060"/>
          <w:sz w:val="16"/>
          <w:szCs w:val="16"/>
        </w:rPr>
        <w:t>- управляемость на воде с работой газом моторов хорошая;</w:t>
      </w:r>
    </w:p>
    <w:p w14:paraId="61AB1DC2" w14:textId="77777777" w:rsidR="00AD294D" w:rsidRPr="00DE096C" w:rsidRDefault="00AD294D" w:rsidP="00D45A46">
      <w:pPr>
        <w:jc w:val="both"/>
        <w:rPr>
          <w:bCs/>
          <w:color w:val="002060"/>
          <w:sz w:val="16"/>
          <w:szCs w:val="16"/>
        </w:rPr>
      </w:pPr>
      <w:r w:rsidRPr="00DE096C">
        <w:rPr>
          <w:bCs/>
          <w:color w:val="002060"/>
          <w:sz w:val="16"/>
          <w:szCs w:val="16"/>
        </w:rPr>
        <w:t>- максимальная скорость уменьшилась на 5 км/ч (на 5,3%);</w:t>
      </w:r>
    </w:p>
    <w:p w14:paraId="7CA18546" w14:textId="77777777" w:rsidR="00AD294D" w:rsidRPr="00DE096C" w:rsidRDefault="00AD294D" w:rsidP="00D45A46">
      <w:pPr>
        <w:jc w:val="both"/>
        <w:rPr>
          <w:bCs/>
          <w:color w:val="002060"/>
          <w:sz w:val="16"/>
          <w:szCs w:val="16"/>
        </w:rPr>
      </w:pPr>
      <w:r w:rsidRPr="00DE096C">
        <w:rPr>
          <w:bCs/>
          <w:color w:val="002060"/>
          <w:sz w:val="16"/>
          <w:szCs w:val="16"/>
        </w:rPr>
        <w:t>- дальность увеличилась на 280 км (более чем вдвое);</w:t>
      </w:r>
    </w:p>
    <w:p w14:paraId="5B82BA8D" w14:textId="77777777" w:rsidR="00AD294D" w:rsidRPr="00DE096C" w:rsidRDefault="00AD294D" w:rsidP="00D45A46">
      <w:pPr>
        <w:jc w:val="both"/>
        <w:rPr>
          <w:bCs/>
          <w:color w:val="002060"/>
          <w:sz w:val="16"/>
          <w:szCs w:val="16"/>
        </w:rPr>
      </w:pPr>
      <w:r w:rsidRPr="00DE096C">
        <w:rPr>
          <w:bCs/>
          <w:color w:val="002060"/>
          <w:sz w:val="16"/>
          <w:szCs w:val="16"/>
        </w:rPr>
        <w:t>- потолок увеличился на 500 м (на 33,3%).</w:t>
      </w:r>
    </w:p>
    <w:p w14:paraId="413B9142" w14:textId="77777777" w:rsidR="00AD294D" w:rsidRPr="00DE096C" w:rsidRDefault="00AD294D" w:rsidP="00D45A46">
      <w:pPr>
        <w:jc w:val="both"/>
        <w:rPr>
          <w:bCs/>
          <w:color w:val="002060"/>
          <w:sz w:val="16"/>
          <w:szCs w:val="16"/>
        </w:rPr>
      </w:pPr>
      <w:r w:rsidRPr="00DE096C">
        <w:rPr>
          <w:bCs/>
          <w:color w:val="002060"/>
          <w:sz w:val="16"/>
          <w:szCs w:val="16"/>
        </w:rPr>
        <w:t>Результаты испытаний были сочтены хорошими, и корабль приняли в казну в мае 1914 г.</w:t>
      </w:r>
    </w:p>
    <w:p w14:paraId="2540693E" w14:textId="77777777" w:rsidR="00AD294D" w:rsidRPr="00DE096C" w:rsidRDefault="00AD294D" w:rsidP="00D45A46">
      <w:pPr>
        <w:jc w:val="both"/>
        <w:rPr>
          <w:bCs/>
          <w:color w:val="002060"/>
          <w:sz w:val="16"/>
          <w:szCs w:val="16"/>
        </w:rPr>
      </w:pPr>
      <w:r w:rsidRPr="00DE096C">
        <w:rPr>
          <w:bCs/>
          <w:color w:val="002060"/>
          <w:sz w:val="16"/>
          <w:szCs w:val="16"/>
        </w:rPr>
        <w:t>Самолет при передаче ВМФ дислоцировался в Либаве (в то время – Курляндская губерния Российской Империи, ныне Лиепая, западное побережье Латвии), а далее перебазирован в бухту Карал на о. Эзель (Моонзундский архипелаг, запирающий Рижский залив, ныне – Саарема, Эстония) (23574).</w:t>
      </w:r>
    </w:p>
    <w:p w14:paraId="33124851" w14:textId="77777777" w:rsidR="00AD294D" w:rsidRPr="00DE096C" w:rsidRDefault="00AD294D" w:rsidP="00D45A46">
      <w:pPr>
        <w:jc w:val="both"/>
        <w:rPr>
          <w:bCs/>
          <w:color w:val="002060"/>
          <w:sz w:val="16"/>
          <w:szCs w:val="16"/>
        </w:rPr>
      </w:pPr>
    </w:p>
    <w:p w14:paraId="5F6D0844" w14:textId="1723FEC4" w:rsidR="00AD294D" w:rsidRPr="00DE096C" w:rsidRDefault="00AD294D" w:rsidP="00D45A46">
      <w:pPr>
        <w:jc w:val="both"/>
        <w:rPr>
          <w:bCs/>
          <w:color w:val="002060"/>
          <w:sz w:val="16"/>
          <w:szCs w:val="16"/>
        </w:rPr>
      </w:pPr>
      <w:r w:rsidRPr="00DE096C">
        <w:rPr>
          <w:bCs/>
          <w:color w:val="002060"/>
          <w:sz w:val="16"/>
          <w:szCs w:val="16"/>
        </w:rPr>
        <w:t>14 (27) мая 1914 г. был выполнен первый по</w:t>
      </w:r>
      <w:r w:rsidRPr="00DE096C">
        <w:rPr>
          <w:bCs/>
          <w:color w:val="002060"/>
          <w:sz w:val="16"/>
          <w:szCs w:val="16"/>
        </w:rPr>
        <w:softHyphen/>
        <w:t>лет на ИМ № 107, поставленном на поплавки.продолжительностью 12 мин был совершен Пилотируемый И. И. Сикорским и лейтенантом Г. И. Лавровым самолет успешно прошел испытания с полной нагрузкой. Мореходность была удовлетвори</w:t>
      </w:r>
      <w:r w:rsidRPr="00DE096C">
        <w:rPr>
          <w:bCs/>
          <w:color w:val="002060"/>
          <w:sz w:val="16"/>
          <w:szCs w:val="16"/>
        </w:rPr>
        <w:softHyphen/>
        <w:t>тельной, а управляемость на воде хорошей, чему спо</w:t>
      </w:r>
      <w:r w:rsidRPr="00DE096C">
        <w:rPr>
          <w:bCs/>
          <w:color w:val="002060"/>
          <w:sz w:val="16"/>
          <w:szCs w:val="16"/>
        </w:rPr>
        <w:softHyphen/>
        <w:t>собствовала возможность дифференцированно пользоваться двигателями. Вскоре Морское ведомство приняло «Илью Муромца» на вооружение. Это был са</w:t>
      </w:r>
      <w:r w:rsidRPr="00DE096C">
        <w:rPr>
          <w:bCs/>
          <w:color w:val="002060"/>
          <w:sz w:val="16"/>
          <w:szCs w:val="16"/>
        </w:rPr>
        <w:softHyphen/>
        <w:t>мый крупный гидросамолет в мире, и он оставался та</w:t>
      </w:r>
      <w:r w:rsidRPr="00DE096C">
        <w:rPr>
          <w:bCs/>
          <w:color w:val="002060"/>
          <w:sz w:val="16"/>
          <w:szCs w:val="16"/>
        </w:rPr>
        <w:softHyphen/>
        <w:t>ким вплоть до 1917 г. (24177).</w:t>
      </w:r>
    </w:p>
    <w:p w14:paraId="74E3056C" w14:textId="77777777" w:rsidR="00AD294D" w:rsidRPr="00DE096C" w:rsidRDefault="00AD294D" w:rsidP="00D45A46">
      <w:pPr>
        <w:jc w:val="both"/>
        <w:rPr>
          <w:bCs/>
          <w:color w:val="002060"/>
          <w:sz w:val="16"/>
          <w:szCs w:val="16"/>
        </w:rPr>
      </w:pPr>
    </w:p>
    <w:p w14:paraId="0E4A080D" w14:textId="21B3CDD5" w:rsidR="00BD3456" w:rsidRPr="00DE096C" w:rsidRDefault="00BD3456" w:rsidP="00D45A46">
      <w:pPr>
        <w:shd w:val="clear" w:color="auto" w:fill="FFFFFF"/>
        <w:jc w:val="both"/>
        <w:rPr>
          <w:bCs/>
          <w:i/>
          <w:iCs/>
          <w:color w:val="002060"/>
          <w:sz w:val="16"/>
          <w:szCs w:val="16"/>
        </w:rPr>
      </w:pPr>
      <w:r w:rsidRPr="00DE096C">
        <w:rPr>
          <w:bCs/>
          <w:i/>
          <w:iCs/>
          <w:color w:val="002060"/>
          <w:sz w:val="16"/>
          <w:szCs w:val="16"/>
        </w:rPr>
        <w:t>Авиация:</w:t>
      </w:r>
    </w:p>
    <w:p w14:paraId="6EAFD6BE" w14:textId="13899CF8" w:rsidR="00BD3456" w:rsidRPr="00DE096C" w:rsidRDefault="00BD3456" w:rsidP="00D45A46">
      <w:pPr>
        <w:shd w:val="clear" w:color="auto" w:fill="FFFFFF"/>
        <w:jc w:val="both"/>
        <w:rPr>
          <w:bCs/>
          <w:i/>
          <w:iCs/>
          <w:color w:val="002060"/>
          <w:sz w:val="16"/>
          <w:szCs w:val="16"/>
        </w:rPr>
      </w:pPr>
    </w:p>
    <w:p w14:paraId="09EC2220" w14:textId="77777777" w:rsidR="00BD3456" w:rsidRPr="00DE096C" w:rsidRDefault="00BD3456" w:rsidP="00D45A46">
      <w:pPr>
        <w:jc w:val="both"/>
        <w:rPr>
          <w:bCs/>
          <w:color w:val="002060"/>
          <w:sz w:val="16"/>
          <w:szCs w:val="16"/>
        </w:rPr>
      </w:pPr>
      <w:r w:rsidRPr="00DE096C">
        <w:rPr>
          <w:bCs/>
          <w:color w:val="002060"/>
          <w:sz w:val="16"/>
          <w:szCs w:val="16"/>
        </w:rPr>
        <w:t>14 (27) мая 1914 г. на Донском кладбище во время похорон дирек</w:t>
      </w:r>
      <w:r w:rsidRPr="00DE096C">
        <w:rPr>
          <w:bCs/>
          <w:color w:val="002060"/>
          <w:sz w:val="16"/>
          <w:szCs w:val="16"/>
        </w:rPr>
        <w:softHyphen/>
        <w:t>тора ИВТУ А.П.Гавриленко, любимого студентами, появился самолет И.И.Россинского, который снизившись стал кружиться над могилой и осыпать ее цветами. Это был первый в России случай отдания почестей на самолето при похоронах.</w:t>
      </w:r>
    </w:p>
    <w:p w14:paraId="42E5CC83" w14:textId="77777777" w:rsidR="00BD3456" w:rsidRPr="00DE096C" w:rsidRDefault="00BD3456" w:rsidP="00D45A46">
      <w:pPr>
        <w:jc w:val="both"/>
        <w:rPr>
          <w:bCs/>
          <w:color w:val="002060"/>
          <w:sz w:val="16"/>
          <w:szCs w:val="16"/>
        </w:rPr>
      </w:pPr>
      <w:r w:rsidRPr="00DE096C">
        <w:rPr>
          <w:bCs/>
          <w:color w:val="002060"/>
          <w:sz w:val="16"/>
          <w:szCs w:val="16"/>
        </w:rPr>
        <w:t>/Воспоминание летчика, бывшего студента МВТУ Шаториикова А.М./ (23320).</w:t>
      </w:r>
    </w:p>
    <w:p w14:paraId="04E3A1D9" w14:textId="77777777" w:rsidR="00BD3456" w:rsidRPr="00DE096C" w:rsidRDefault="00BD3456" w:rsidP="00D45A46">
      <w:pPr>
        <w:jc w:val="both"/>
        <w:rPr>
          <w:bCs/>
          <w:color w:val="002060"/>
          <w:sz w:val="16"/>
          <w:szCs w:val="16"/>
        </w:rPr>
      </w:pPr>
    </w:p>
    <w:bookmarkEnd w:id="23"/>
    <w:p w14:paraId="7589A552"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3C981E72" w14:textId="77777777" w:rsidR="00B67D7C" w:rsidRPr="00DE096C" w:rsidRDefault="00B67D7C" w:rsidP="00D45A46">
      <w:pPr>
        <w:shd w:val="clear" w:color="auto" w:fill="FFFFFF"/>
        <w:jc w:val="both"/>
        <w:rPr>
          <w:bCs/>
          <w:i/>
          <w:color w:val="002060"/>
          <w:sz w:val="16"/>
          <w:szCs w:val="16"/>
        </w:rPr>
      </w:pPr>
    </w:p>
    <w:p w14:paraId="5B6DC031" w14:textId="27C9EB04" w:rsidR="00B67D7C" w:rsidRPr="00DE096C" w:rsidRDefault="00B67D7C" w:rsidP="00D45A46">
      <w:pPr>
        <w:jc w:val="both"/>
        <w:rPr>
          <w:bCs/>
          <w:color w:val="002060"/>
          <w:sz w:val="16"/>
          <w:szCs w:val="16"/>
        </w:rPr>
      </w:pPr>
      <w:r w:rsidRPr="00DE096C">
        <w:rPr>
          <w:bCs/>
          <w:color w:val="002060"/>
          <w:sz w:val="16"/>
          <w:szCs w:val="16"/>
        </w:rPr>
        <w:t>15 (28) мая 1914 морской министр дал согласие</w:t>
      </w:r>
      <w:r w:rsidR="000611A9" w:rsidRPr="00DE096C">
        <w:rPr>
          <w:bCs/>
          <w:color w:val="002060"/>
          <w:sz w:val="16"/>
          <w:szCs w:val="16"/>
        </w:rPr>
        <w:t xml:space="preserve"> на командирование для изучения в полете машин фирм «Авро», «Шорт» и «Виккерс» и возможности их закупок в Англию старшего лейтенанта Щербачева и авиационного инженера Шишкова</w:t>
      </w:r>
      <w:r w:rsidRPr="00DE096C">
        <w:rPr>
          <w:bCs/>
          <w:color w:val="002060"/>
          <w:sz w:val="16"/>
          <w:szCs w:val="16"/>
        </w:rPr>
        <w:t xml:space="preserve">, и 21 мая Щербачев и Шишков получили предписание выехать в Англию. [47] </w:t>
      </w:r>
    </w:p>
    <w:p w14:paraId="1C73117D" w14:textId="77777777" w:rsidR="00B67D7C" w:rsidRPr="00DE096C" w:rsidRDefault="00B67D7C" w:rsidP="00D45A46">
      <w:pPr>
        <w:jc w:val="both"/>
        <w:rPr>
          <w:bCs/>
          <w:color w:val="002060"/>
          <w:sz w:val="16"/>
          <w:szCs w:val="16"/>
        </w:rPr>
      </w:pPr>
      <w:r w:rsidRPr="00DE096C">
        <w:rPr>
          <w:bCs/>
          <w:color w:val="002060"/>
          <w:sz w:val="16"/>
          <w:szCs w:val="16"/>
        </w:rPr>
        <w:t xml:space="preserve">Стоимость указанных гидросамолетов превышала 10 тыс. рублей, и по существовавшему положению на их приобретение требовалось разрешение министерства торговли и промышленности, которое на запрос морского министерства высказало пожелание, чтобы часть самолетов была приобретена на русских заводах, в частности на заводе Щетинина. На это Морской Генеральный штаб сообщил: </w:t>
      </w:r>
    </w:p>
    <w:p w14:paraId="05729B4A" w14:textId="77777777" w:rsidR="00B67D7C" w:rsidRPr="00DE096C" w:rsidRDefault="00B67D7C" w:rsidP="00D45A46">
      <w:pPr>
        <w:pStyle w:val="Blockquote"/>
        <w:spacing w:before="0" w:after="0"/>
        <w:ind w:left="0" w:right="0"/>
        <w:jc w:val="both"/>
        <w:rPr>
          <w:bCs/>
          <w:color w:val="002060"/>
          <w:sz w:val="16"/>
          <w:szCs w:val="16"/>
        </w:rPr>
      </w:pPr>
      <w:r w:rsidRPr="00DE096C">
        <w:rPr>
          <w:bCs/>
          <w:color w:val="002060"/>
          <w:sz w:val="16"/>
          <w:szCs w:val="16"/>
        </w:rPr>
        <w:t>«...за границей появились новые типы гидросамолетов и для выбора наилучших необходимо заказать их небольшими сериями для нескольких летчиков, чтобы получить все необходимые данные об этих аппаратах. Что касается постройки летающей лодки Щетинина, то в случае ее положительных испытаний предполагается дать заводу заказ на несколько лодок для всесторонних испытаний. Однако ожидать результатов этих испытаний МГШ не считает возможным и полагает теперь же заказать за границей 24 гидросамолета разных систем».</w:t>
      </w:r>
    </w:p>
    <w:p w14:paraId="18BC262D" w14:textId="77777777" w:rsidR="00B67D7C" w:rsidRPr="00DE096C" w:rsidRDefault="00B67D7C" w:rsidP="00D45A46">
      <w:pPr>
        <w:jc w:val="both"/>
        <w:rPr>
          <w:bCs/>
          <w:color w:val="002060"/>
          <w:sz w:val="16"/>
          <w:szCs w:val="16"/>
        </w:rPr>
      </w:pPr>
      <w:r w:rsidRPr="00DE096C">
        <w:rPr>
          <w:bCs/>
          <w:color w:val="002060"/>
          <w:sz w:val="16"/>
          <w:szCs w:val="16"/>
        </w:rPr>
        <w:t xml:space="preserve">Одновременно МГШ сообщил правлению завода Щетинина, что он предлагает провести испытания на авиастанции в Либаве заводским пилотом строящейся на заводе лодки. В случае успеха испытаний лодка будет приобретена морским ведомством, и если покажет потом хорошие результаты, то заводу будет дан заказ на несколько их штук. </w:t>
      </w:r>
    </w:p>
    <w:p w14:paraId="051139F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Альбатросы </w:t>
      </w:r>
    </w:p>
    <w:p w14:paraId="00EA1D6A" w14:textId="77777777" w:rsidR="00B67D7C" w:rsidRPr="00DE096C" w:rsidRDefault="00B67D7C" w:rsidP="00D45A46">
      <w:pPr>
        <w:shd w:val="clear" w:color="auto" w:fill="FFFFFF"/>
        <w:jc w:val="both"/>
        <w:rPr>
          <w:bCs/>
          <w:color w:val="002060"/>
          <w:sz w:val="16"/>
          <w:szCs w:val="16"/>
        </w:rPr>
      </w:pPr>
    </w:p>
    <w:p w14:paraId="6708E2E8" w14:textId="0C17747C" w:rsidR="00B67D7C" w:rsidRPr="00DE096C" w:rsidRDefault="00B67D7C" w:rsidP="00D45A46">
      <w:pPr>
        <w:pStyle w:val="a4"/>
        <w:spacing w:before="0" w:after="0"/>
        <w:jc w:val="both"/>
        <w:rPr>
          <w:bCs/>
          <w:color w:val="002060"/>
          <w:sz w:val="16"/>
          <w:szCs w:val="16"/>
        </w:rPr>
      </w:pPr>
      <w:r w:rsidRPr="00DE096C">
        <w:rPr>
          <w:bCs/>
          <w:color w:val="002060"/>
          <w:sz w:val="16"/>
          <w:szCs w:val="16"/>
        </w:rPr>
        <w:t xml:space="preserve">15 </w:t>
      </w:r>
      <w:r w:rsidR="000611A9" w:rsidRPr="00DE096C">
        <w:rPr>
          <w:bCs/>
          <w:color w:val="002060"/>
          <w:sz w:val="16"/>
          <w:szCs w:val="16"/>
        </w:rPr>
        <w:t xml:space="preserve">(28) </w:t>
      </w:r>
      <w:r w:rsidRPr="00DE096C">
        <w:rPr>
          <w:bCs/>
          <w:color w:val="002060"/>
          <w:sz w:val="16"/>
          <w:szCs w:val="16"/>
        </w:rPr>
        <w:t xml:space="preserve">мая 1914 г. </w:t>
      </w:r>
      <w:r w:rsidR="000611A9" w:rsidRPr="00DE096C">
        <w:rPr>
          <w:bCs/>
          <w:color w:val="002060"/>
          <w:sz w:val="16"/>
          <w:szCs w:val="16"/>
        </w:rPr>
        <w:t>начальник Морс</w:t>
      </w:r>
      <w:r w:rsidR="000611A9" w:rsidRPr="00DE096C">
        <w:rPr>
          <w:bCs/>
          <w:color w:val="002060"/>
          <w:sz w:val="16"/>
          <w:szCs w:val="16"/>
        </w:rPr>
        <w:softHyphen/>
        <w:t>кого генерального штаба вице-ад</w:t>
      </w:r>
      <w:r w:rsidR="000611A9" w:rsidRPr="00DE096C">
        <w:rPr>
          <w:bCs/>
          <w:color w:val="002060"/>
          <w:sz w:val="16"/>
          <w:szCs w:val="16"/>
        </w:rPr>
        <w:softHyphen/>
        <w:t xml:space="preserve">мирал А.И.Русин </w:t>
      </w:r>
      <w:r w:rsidRPr="00DE096C">
        <w:rPr>
          <w:bCs/>
          <w:color w:val="002060"/>
          <w:sz w:val="16"/>
          <w:szCs w:val="16"/>
        </w:rPr>
        <w:t>представил доклад морскому мини</w:t>
      </w:r>
      <w:r w:rsidRPr="00DE096C">
        <w:rPr>
          <w:bCs/>
          <w:color w:val="002060"/>
          <w:sz w:val="16"/>
          <w:szCs w:val="16"/>
        </w:rPr>
        <w:softHyphen/>
        <w:t>стру, из которого следовало, что имеемые в настоящее время на станции гидроаэропланы не удов</w:t>
      </w:r>
      <w:r w:rsidRPr="00DE096C">
        <w:rPr>
          <w:bCs/>
          <w:color w:val="002060"/>
          <w:sz w:val="16"/>
          <w:szCs w:val="16"/>
        </w:rPr>
        <w:softHyphen/>
        <w:t>летворяют предъявляемым им тре</w:t>
      </w:r>
      <w:r w:rsidRPr="00DE096C">
        <w:rPr>
          <w:bCs/>
          <w:color w:val="002060"/>
          <w:sz w:val="16"/>
          <w:szCs w:val="16"/>
        </w:rPr>
        <w:softHyphen/>
        <w:t>бованиям: «В состав станции в на</w:t>
      </w:r>
      <w:r w:rsidRPr="00DE096C">
        <w:rPr>
          <w:bCs/>
          <w:color w:val="002060"/>
          <w:sz w:val="16"/>
          <w:szCs w:val="16"/>
        </w:rPr>
        <w:softHyphen/>
        <w:t>стоящее время входят пять аппара</w:t>
      </w:r>
      <w:r w:rsidRPr="00DE096C">
        <w:rPr>
          <w:bCs/>
          <w:color w:val="002060"/>
          <w:sz w:val="16"/>
          <w:szCs w:val="16"/>
        </w:rPr>
        <w:softHyphen/>
        <w:t>тов типа «Сикорский 10». По пово</w:t>
      </w:r>
      <w:r w:rsidRPr="00DE096C">
        <w:rPr>
          <w:bCs/>
          <w:color w:val="002060"/>
          <w:sz w:val="16"/>
          <w:szCs w:val="16"/>
        </w:rPr>
        <w:softHyphen/>
        <w:t>ду этих аппаратов следует отметить следующее. В прошлом (1913) году при заказе аппаратов ни один из заграничных гидроаэропланов не дал удовлетворительных результа</w:t>
      </w:r>
      <w:r w:rsidRPr="00DE096C">
        <w:rPr>
          <w:bCs/>
          <w:color w:val="002060"/>
          <w:sz w:val="16"/>
          <w:szCs w:val="16"/>
        </w:rPr>
        <w:softHyphen/>
        <w:t>тов и они представляли из себя не что иное, как аэропланы, постав</w:t>
      </w:r>
      <w:r w:rsidRPr="00DE096C">
        <w:rPr>
          <w:bCs/>
          <w:color w:val="002060"/>
          <w:sz w:val="16"/>
          <w:szCs w:val="16"/>
        </w:rPr>
        <w:softHyphen/>
        <w:t>ленные на поплавки. Между тем сухопутные аппараты типа «Сикор</w:t>
      </w:r>
      <w:r w:rsidRPr="00DE096C">
        <w:rPr>
          <w:bCs/>
          <w:color w:val="002060"/>
          <w:sz w:val="16"/>
          <w:szCs w:val="16"/>
        </w:rPr>
        <w:softHyphen/>
        <w:t>ский 10» дали отличные результаты и постановка их на поплавки явля</w:t>
      </w:r>
      <w:r w:rsidRPr="00DE096C">
        <w:rPr>
          <w:bCs/>
          <w:color w:val="002060"/>
          <w:sz w:val="16"/>
          <w:szCs w:val="16"/>
        </w:rPr>
        <w:softHyphen/>
        <w:t>лась в то время естественной эво</w:t>
      </w:r>
      <w:r w:rsidRPr="00DE096C">
        <w:rPr>
          <w:bCs/>
          <w:color w:val="002060"/>
          <w:sz w:val="16"/>
          <w:szCs w:val="16"/>
        </w:rPr>
        <w:softHyphen/>
        <w:t>люцией при переходе на тип морс</w:t>
      </w:r>
      <w:r w:rsidRPr="00DE096C">
        <w:rPr>
          <w:bCs/>
          <w:color w:val="002060"/>
          <w:sz w:val="16"/>
          <w:szCs w:val="16"/>
        </w:rPr>
        <w:softHyphen/>
        <w:t>кого аппарата. Выбором русского аппарата было стремление заста</w:t>
      </w:r>
      <w:r w:rsidRPr="00DE096C">
        <w:rPr>
          <w:bCs/>
          <w:color w:val="002060"/>
          <w:sz w:val="16"/>
          <w:szCs w:val="16"/>
        </w:rPr>
        <w:softHyphen/>
        <w:t>вить нашу промышленность к дальнейшим работам по усовершен</w:t>
      </w:r>
      <w:r w:rsidRPr="00DE096C">
        <w:rPr>
          <w:bCs/>
          <w:color w:val="002060"/>
          <w:sz w:val="16"/>
          <w:szCs w:val="16"/>
        </w:rPr>
        <w:softHyphen/>
        <w:t>ствованию гидроаэропланов. К со</w:t>
      </w:r>
      <w:r w:rsidRPr="00DE096C">
        <w:rPr>
          <w:bCs/>
          <w:color w:val="002060"/>
          <w:sz w:val="16"/>
          <w:szCs w:val="16"/>
        </w:rPr>
        <w:softHyphen/>
        <w:t>жалению, эта мера не достигла желаемой цели, так как в это время за границей (особенно в Англии) техника неукоснительно работает над развитием морского типа ле</w:t>
      </w:r>
      <w:r w:rsidRPr="00DE096C">
        <w:rPr>
          <w:bCs/>
          <w:color w:val="002060"/>
          <w:sz w:val="16"/>
          <w:szCs w:val="16"/>
        </w:rPr>
        <w:softHyphen/>
        <w:t>тательного аппарата, а наши за</w:t>
      </w:r>
      <w:r w:rsidRPr="00DE096C">
        <w:rPr>
          <w:bCs/>
          <w:color w:val="002060"/>
          <w:sz w:val="16"/>
          <w:szCs w:val="16"/>
        </w:rPr>
        <w:softHyphen/>
        <w:t>воды в этом направлении ровно ничего не сделали. Кроме пяти ап</w:t>
      </w:r>
      <w:r w:rsidRPr="00DE096C">
        <w:rPr>
          <w:bCs/>
          <w:color w:val="002060"/>
          <w:sz w:val="16"/>
          <w:szCs w:val="16"/>
        </w:rPr>
        <w:softHyphen/>
        <w:t>паратов типа «С-10» на станции имеется ещё приобретенные для опыта один аппарат типа «А.Фар-ман 16» и одна летающая лодка «Левек». Что касается этих двух ап</w:t>
      </w:r>
      <w:r w:rsidRPr="00DE096C">
        <w:rPr>
          <w:bCs/>
          <w:color w:val="002060"/>
          <w:sz w:val="16"/>
          <w:szCs w:val="16"/>
        </w:rPr>
        <w:softHyphen/>
        <w:t>паратов, то первый из них является уже в известной степени устарев</w:t>
      </w:r>
      <w:r w:rsidRPr="00DE096C">
        <w:rPr>
          <w:bCs/>
          <w:color w:val="002060"/>
          <w:sz w:val="16"/>
          <w:szCs w:val="16"/>
        </w:rPr>
        <w:softHyphen/>
        <w:t>шим, а второй, вследствие трудно</w:t>
      </w:r>
      <w:r w:rsidRPr="00DE096C">
        <w:rPr>
          <w:bCs/>
          <w:color w:val="002060"/>
          <w:sz w:val="16"/>
          <w:szCs w:val="16"/>
        </w:rPr>
        <w:softHyphen/>
        <w:t>сти планирования, опасен для по</w:t>
      </w:r>
      <w:r w:rsidRPr="00DE096C">
        <w:rPr>
          <w:bCs/>
          <w:color w:val="002060"/>
          <w:sz w:val="16"/>
          <w:szCs w:val="16"/>
        </w:rPr>
        <w:softHyphen/>
        <w:t>лётов на большой высоте. Таким образом, из семи, имеемых аппа</w:t>
      </w:r>
      <w:r w:rsidRPr="00DE096C">
        <w:rPr>
          <w:bCs/>
          <w:color w:val="002060"/>
          <w:sz w:val="16"/>
          <w:szCs w:val="16"/>
        </w:rPr>
        <w:softHyphen/>
        <w:t>ратов шесть, вследствие быстрого развития техники, уже подлежат переводу в разряд учебных, а седь</w:t>
      </w:r>
      <w:r w:rsidRPr="00DE096C">
        <w:rPr>
          <w:bCs/>
          <w:color w:val="002060"/>
          <w:sz w:val="16"/>
          <w:szCs w:val="16"/>
        </w:rPr>
        <w:softHyphen/>
        <w:t>мой, как опасный, должен быть в ближайшее время (не позже осени) исключен совсем».</w:t>
      </w:r>
    </w:p>
    <w:p w14:paraId="5AF5BBA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Доклад начальника Морского генерального штаба содержал так</w:t>
      </w:r>
      <w:r w:rsidRPr="00DE096C">
        <w:rPr>
          <w:bCs/>
          <w:color w:val="002060"/>
          <w:sz w:val="16"/>
          <w:szCs w:val="16"/>
        </w:rPr>
        <w:softHyphen/>
        <w:t>же предложения по отечественным самолётам. В частности, при поло</w:t>
      </w:r>
      <w:r w:rsidRPr="00DE096C">
        <w:rPr>
          <w:bCs/>
          <w:color w:val="002060"/>
          <w:sz w:val="16"/>
          <w:szCs w:val="16"/>
        </w:rPr>
        <w:softHyphen/>
        <w:t>жительных результатах можно было бы заказать для Балтийского флота дополнительно три самолёта «Илья Муромец», а в случае неудачи с ними закупить за границей ещё семь самолётов. Стремление приобрес</w:t>
      </w:r>
      <w:r w:rsidRPr="00DE096C">
        <w:rPr>
          <w:bCs/>
          <w:color w:val="002060"/>
          <w:sz w:val="16"/>
          <w:szCs w:val="16"/>
        </w:rPr>
        <w:softHyphen/>
        <w:t>ти самолёты за границей для Бал</w:t>
      </w:r>
      <w:r w:rsidRPr="00DE096C">
        <w:rPr>
          <w:bCs/>
          <w:color w:val="002060"/>
          <w:sz w:val="16"/>
          <w:szCs w:val="16"/>
        </w:rPr>
        <w:softHyphen/>
        <w:t>тийского флота диктовалось удру</w:t>
      </w:r>
      <w:r w:rsidRPr="00DE096C">
        <w:rPr>
          <w:bCs/>
          <w:color w:val="002060"/>
          <w:sz w:val="16"/>
          <w:szCs w:val="16"/>
        </w:rPr>
        <w:softHyphen/>
        <w:t>чающим состоянием его самолёт</w:t>
      </w:r>
      <w:r w:rsidRPr="00DE096C">
        <w:rPr>
          <w:bCs/>
          <w:color w:val="002060"/>
          <w:sz w:val="16"/>
          <w:szCs w:val="16"/>
        </w:rPr>
        <w:softHyphen/>
        <w:t>ного парка и сложностью укомплек</w:t>
      </w:r>
      <w:r w:rsidRPr="00DE096C">
        <w:rPr>
          <w:bCs/>
          <w:color w:val="002060"/>
          <w:sz w:val="16"/>
          <w:szCs w:val="16"/>
        </w:rPr>
        <w:softHyphen/>
        <w:t>тования авиационных отрядов. Наи</w:t>
      </w:r>
      <w:r w:rsidRPr="00DE096C">
        <w:rPr>
          <w:bCs/>
          <w:color w:val="002060"/>
          <w:sz w:val="16"/>
          <w:szCs w:val="16"/>
        </w:rPr>
        <w:softHyphen/>
        <w:t>более отвечающими оперативным и техническим требованиям для разведки посчитали гидросамолёт «Авро и Шорт», а для боевых целей - гидросамолёты «Шорт» и «Виккерс». «Сверх указанных типов же</w:t>
      </w:r>
      <w:r w:rsidRPr="00DE096C">
        <w:rPr>
          <w:bCs/>
          <w:color w:val="002060"/>
          <w:sz w:val="16"/>
          <w:szCs w:val="16"/>
        </w:rPr>
        <w:softHyphen/>
        <w:t>лательно было бы иметь на станци</w:t>
      </w:r>
      <w:r w:rsidRPr="00DE096C">
        <w:rPr>
          <w:bCs/>
          <w:color w:val="002060"/>
          <w:sz w:val="16"/>
          <w:szCs w:val="16"/>
        </w:rPr>
        <w:softHyphen/>
        <w:t>ях одноместные гидроаэропланы, хотя и не вполне отвечающих опе</w:t>
      </w:r>
      <w:r w:rsidRPr="00DE096C">
        <w:rPr>
          <w:bCs/>
          <w:color w:val="002060"/>
          <w:sz w:val="16"/>
          <w:szCs w:val="16"/>
        </w:rPr>
        <w:softHyphen/>
        <w:t>ративным заданиям, но способные совершать полёты в свежий ветер. Таким аппаратами являются моно</w:t>
      </w:r>
      <w:r w:rsidRPr="00DE096C">
        <w:rPr>
          <w:bCs/>
          <w:color w:val="002060"/>
          <w:sz w:val="16"/>
          <w:szCs w:val="16"/>
        </w:rPr>
        <w:softHyphen/>
        <w:t>планы «Моран-Сольнье». Кроме того высказывалось пожелание для испытания и изучения приобрести два гидросамолёта «Кодрон».</w:t>
      </w:r>
    </w:p>
    <w:p w14:paraId="202DD8D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И вновь, 21 мая 1914 г. предста</w:t>
      </w:r>
      <w:r w:rsidRPr="00DE096C">
        <w:rPr>
          <w:bCs/>
          <w:color w:val="002060"/>
          <w:sz w:val="16"/>
          <w:szCs w:val="16"/>
        </w:rPr>
        <w:softHyphen/>
        <w:t>вители Балтийского флота (испол</w:t>
      </w:r>
      <w:r w:rsidRPr="00DE096C">
        <w:rPr>
          <w:bCs/>
          <w:color w:val="002060"/>
          <w:sz w:val="16"/>
          <w:szCs w:val="16"/>
        </w:rPr>
        <w:softHyphen/>
        <w:t>няющий должность начальника авиационной станции в порту им</w:t>
      </w:r>
      <w:r w:rsidRPr="00DE096C">
        <w:rPr>
          <w:bCs/>
          <w:color w:val="002060"/>
          <w:sz w:val="16"/>
          <w:szCs w:val="16"/>
        </w:rPr>
        <w:softHyphen/>
        <w:t xml:space="preserve">ператора Александра </w:t>
      </w:r>
      <w:r w:rsidRPr="00DE096C">
        <w:rPr>
          <w:bCs/>
          <w:color w:val="002060"/>
          <w:sz w:val="16"/>
          <w:szCs w:val="16"/>
          <w:lang w:val="en-US"/>
        </w:rPr>
        <w:t>III</w:t>
      </w:r>
      <w:r w:rsidRPr="00DE096C">
        <w:rPr>
          <w:bCs/>
          <w:color w:val="002060"/>
          <w:sz w:val="16"/>
          <w:szCs w:val="16"/>
        </w:rPr>
        <w:t xml:space="preserve"> старший лейтенант Щербачев и инженер по авиационной части Шишков) полу</w:t>
      </w:r>
      <w:r w:rsidRPr="00DE096C">
        <w:rPr>
          <w:bCs/>
          <w:color w:val="002060"/>
          <w:sz w:val="16"/>
          <w:szCs w:val="16"/>
        </w:rPr>
        <w:softHyphen/>
        <w:t>чили предписание выехать в Англию. Им дали самые подробные инструк</w:t>
      </w:r>
      <w:r w:rsidRPr="00DE096C">
        <w:rPr>
          <w:bCs/>
          <w:color w:val="002060"/>
          <w:sz w:val="16"/>
          <w:szCs w:val="16"/>
        </w:rPr>
        <w:softHyphen/>
        <w:t>ции относительно методики подхо</w:t>
      </w:r>
      <w:r w:rsidRPr="00DE096C">
        <w:rPr>
          <w:bCs/>
          <w:color w:val="002060"/>
          <w:sz w:val="16"/>
          <w:szCs w:val="16"/>
        </w:rPr>
        <w:softHyphen/>
        <w:t>да к оценке и выбору летательного аппарата и категорическое указа</w:t>
      </w:r>
      <w:r w:rsidRPr="00DE096C">
        <w:rPr>
          <w:bCs/>
          <w:color w:val="002060"/>
          <w:sz w:val="16"/>
          <w:szCs w:val="16"/>
        </w:rPr>
        <w:softHyphen/>
        <w:t>ние: «Все аэропланы должны быть опробованы вами в полете, и толь</w:t>
      </w:r>
      <w:r w:rsidRPr="00DE096C">
        <w:rPr>
          <w:bCs/>
          <w:color w:val="002060"/>
          <w:sz w:val="16"/>
          <w:szCs w:val="16"/>
        </w:rPr>
        <w:softHyphen/>
        <w:t>ко после этого могут быть заключа</w:t>
      </w:r>
      <w:r w:rsidRPr="00DE096C">
        <w:rPr>
          <w:bCs/>
          <w:color w:val="002060"/>
          <w:sz w:val="16"/>
          <w:szCs w:val="16"/>
        </w:rPr>
        <w:softHyphen/>
        <w:t>емы с фирмами контракты». Учиты</w:t>
      </w:r>
      <w:r w:rsidRPr="00DE096C">
        <w:rPr>
          <w:bCs/>
          <w:color w:val="002060"/>
          <w:sz w:val="16"/>
          <w:szCs w:val="16"/>
        </w:rPr>
        <w:softHyphen/>
        <w:t>вая предшествующий опыт, когда фирмами предъявлялись претензии по поводу незаконного копирова</w:t>
      </w:r>
      <w:r w:rsidRPr="00DE096C">
        <w:rPr>
          <w:bCs/>
          <w:color w:val="002060"/>
          <w:sz w:val="16"/>
          <w:szCs w:val="16"/>
        </w:rPr>
        <w:softHyphen/>
        <w:t>ния приобретаемых образцов тех</w:t>
      </w:r>
      <w:r w:rsidRPr="00DE096C">
        <w:rPr>
          <w:bCs/>
          <w:color w:val="002060"/>
          <w:sz w:val="16"/>
          <w:szCs w:val="16"/>
        </w:rPr>
        <w:softHyphen/>
        <w:t>ники, в предписание включили спе</w:t>
      </w:r>
      <w:r w:rsidRPr="00DE096C">
        <w:rPr>
          <w:bCs/>
          <w:color w:val="002060"/>
          <w:sz w:val="16"/>
          <w:szCs w:val="16"/>
        </w:rPr>
        <w:softHyphen/>
        <w:t>циальный пункт: «При каждом аппа</w:t>
      </w:r>
      <w:r w:rsidRPr="00DE096C">
        <w:rPr>
          <w:bCs/>
          <w:color w:val="002060"/>
          <w:sz w:val="16"/>
          <w:szCs w:val="16"/>
        </w:rPr>
        <w:softHyphen/>
        <w:t>рате надлежит требовать подроб</w:t>
      </w:r>
      <w:r w:rsidRPr="00DE096C">
        <w:rPr>
          <w:bCs/>
          <w:color w:val="002060"/>
          <w:sz w:val="16"/>
          <w:szCs w:val="16"/>
        </w:rPr>
        <w:softHyphen/>
        <w:t>ную опись отдельных частей с их расценкой и по возможности ра</w:t>
      </w:r>
      <w:r w:rsidRPr="00DE096C">
        <w:rPr>
          <w:bCs/>
          <w:color w:val="002060"/>
          <w:sz w:val="16"/>
          <w:szCs w:val="16"/>
        </w:rPr>
        <w:softHyphen/>
        <w:t>бочие чертежи для облегчения ре</w:t>
      </w:r>
      <w:r w:rsidRPr="00DE096C">
        <w:rPr>
          <w:bCs/>
          <w:color w:val="002060"/>
          <w:sz w:val="16"/>
          <w:szCs w:val="16"/>
        </w:rPr>
        <w:softHyphen/>
        <w:t>монта, при этом можно дать обяза</w:t>
      </w:r>
      <w:r w:rsidRPr="00DE096C">
        <w:rPr>
          <w:bCs/>
          <w:color w:val="002060"/>
          <w:sz w:val="16"/>
          <w:szCs w:val="16"/>
        </w:rPr>
        <w:softHyphen/>
        <w:t>тельство фирмам, что таковые чер</w:t>
      </w:r>
      <w:r w:rsidRPr="00DE096C">
        <w:rPr>
          <w:bCs/>
          <w:color w:val="002060"/>
          <w:sz w:val="16"/>
          <w:szCs w:val="16"/>
        </w:rPr>
        <w:softHyphen/>
        <w:t>тежи не будут употребляться для по</w:t>
      </w:r>
      <w:r w:rsidRPr="00DE096C">
        <w:rPr>
          <w:bCs/>
          <w:color w:val="002060"/>
          <w:sz w:val="16"/>
          <w:szCs w:val="16"/>
        </w:rPr>
        <w:softHyphen/>
        <w:t>стройки аппаратов». Им ставилась задача заказать при посредстве во</w:t>
      </w:r>
      <w:r w:rsidRPr="00DE096C">
        <w:rPr>
          <w:bCs/>
          <w:color w:val="002060"/>
          <w:sz w:val="16"/>
          <w:szCs w:val="16"/>
        </w:rPr>
        <w:softHyphen/>
        <w:t>енно-морского агента в Лондоне 12 гидроаэропланов-разведчиков («Авро» и «Шорт») и шесть боевых гидроаэропланов («Шорт» и «Вик-керс»).</w:t>
      </w:r>
    </w:p>
    <w:p w14:paraId="19E415F5" w14:textId="77777777" w:rsidR="00B67D7C" w:rsidRPr="00DE096C" w:rsidRDefault="00B67D7C" w:rsidP="00D45A46">
      <w:pPr>
        <w:pStyle w:val="a4"/>
        <w:spacing w:before="0" w:after="0"/>
        <w:jc w:val="both"/>
        <w:rPr>
          <w:bCs/>
          <w:color w:val="002060"/>
          <w:sz w:val="16"/>
          <w:szCs w:val="16"/>
        </w:rPr>
      </w:pPr>
      <w:r w:rsidRPr="00DE096C">
        <w:rPr>
          <w:bCs/>
          <w:color w:val="002060"/>
          <w:sz w:val="16"/>
          <w:szCs w:val="16"/>
        </w:rPr>
        <w:t>Из приведенного следует, что морское ведомство было заинтере</w:t>
      </w:r>
      <w:r w:rsidRPr="00DE096C">
        <w:rPr>
          <w:bCs/>
          <w:color w:val="002060"/>
          <w:sz w:val="16"/>
          <w:szCs w:val="16"/>
        </w:rPr>
        <w:softHyphen/>
        <w:t>совано в развитии гидросамолетов, старалось приобрести лучшее, что создано за границей и связывало надежды с многомоторным самолё</w:t>
      </w:r>
      <w:r w:rsidRPr="00DE096C">
        <w:rPr>
          <w:bCs/>
          <w:color w:val="002060"/>
          <w:sz w:val="16"/>
          <w:szCs w:val="16"/>
        </w:rPr>
        <w:softHyphen/>
        <w:t>том Сикорского, проект которого он представил правлению РБВЗ в конце 1912 г. Это должно было быть нечто необычное. Так оно и случи</w:t>
      </w:r>
      <w:r w:rsidRPr="00DE096C">
        <w:rPr>
          <w:bCs/>
          <w:color w:val="002060"/>
          <w:sz w:val="16"/>
          <w:szCs w:val="16"/>
        </w:rPr>
        <w:softHyphen/>
        <w:t>лось. Двухмоторный самолет с зак</w:t>
      </w:r>
      <w:r w:rsidRPr="00DE096C">
        <w:rPr>
          <w:bCs/>
          <w:color w:val="002060"/>
          <w:sz w:val="16"/>
          <w:szCs w:val="16"/>
        </w:rPr>
        <w:softHyphen/>
        <w:t>рытой кабиной, что дало основа</w:t>
      </w:r>
      <w:r w:rsidRPr="00DE096C">
        <w:rPr>
          <w:bCs/>
          <w:color w:val="002060"/>
          <w:sz w:val="16"/>
          <w:szCs w:val="16"/>
        </w:rPr>
        <w:softHyphen/>
        <w:t>ния некоторым «специалистам» ут</w:t>
      </w:r>
      <w:r w:rsidRPr="00DE096C">
        <w:rPr>
          <w:bCs/>
          <w:color w:val="002060"/>
          <w:sz w:val="16"/>
          <w:szCs w:val="16"/>
        </w:rPr>
        <w:softHyphen/>
        <w:t>верждать, что лётчик не сможет его пилотировать так как «потеряет чувство птицы», назвали «Гранд Балтийский». И.И.Сикорский поднял самолёт в воздух 15 марта 1913 г. Испытания показали недостаточную мощность силовой установки из двух двигателей мощностью по 200 л.с. Установили еще два двигателя «Аргус» в тандем. Опытные полёты показали нерациональность подоб</w:t>
      </w:r>
      <w:r w:rsidRPr="00DE096C">
        <w:rPr>
          <w:bCs/>
          <w:color w:val="002060"/>
          <w:sz w:val="16"/>
          <w:szCs w:val="16"/>
        </w:rPr>
        <w:softHyphen/>
        <w:t>ной схемы силовой установки, и двигатели установили в ряд. Полет, выполненный 23 июля 1913 г., под</w:t>
      </w:r>
      <w:r w:rsidRPr="00DE096C">
        <w:rPr>
          <w:bCs/>
          <w:color w:val="002060"/>
          <w:sz w:val="16"/>
          <w:szCs w:val="16"/>
        </w:rPr>
        <w:softHyphen/>
        <w:t>твердил преимущества новой схе</w:t>
      </w:r>
      <w:r w:rsidRPr="00DE096C">
        <w:rPr>
          <w:bCs/>
          <w:color w:val="002060"/>
          <w:sz w:val="16"/>
          <w:szCs w:val="16"/>
        </w:rPr>
        <w:softHyphen/>
        <w:t>мы. Самолет переименовали в «Рус</w:t>
      </w:r>
      <w:r w:rsidRPr="00DE096C">
        <w:rPr>
          <w:bCs/>
          <w:color w:val="002060"/>
          <w:sz w:val="16"/>
          <w:szCs w:val="16"/>
        </w:rPr>
        <w:softHyphen/>
        <w:t>ский витязь», но ему не повезло. 1 1 сентября на него свалился оторвав</w:t>
      </w:r>
      <w:r w:rsidRPr="00DE096C">
        <w:rPr>
          <w:bCs/>
          <w:color w:val="002060"/>
          <w:sz w:val="16"/>
          <w:szCs w:val="16"/>
        </w:rPr>
        <w:softHyphen/>
        <w:t>шийся от самолета «Меллер-11» двигатель, разрушивший левую бип-ланную коробку крыльев. Повреж</w:t>
      </w:r>
      <w:r w:rsidRPr="00DE096C">
        <w:rPr>
          <w:bCs/>
          <w:color w:val="002060"/>
          <w:sz w:val="16"/>
          <w:szCs w:val="16"/>
        </w:rPr>
        <w:softHyphen/>
        <w:t xml:space="preserve">дения были незначительными, но восстанавливать его не стали С использованием приобретенного опыта построили самолет М-22 «Илья Муромец», </w:t>
      </w:r>
      <w:r w:rsidRPr="00DE096C">
        <w:rPr>
          <w:bCs/>
          <w:color w:val="002060"/>
          <w:sz w:val="16"/>
          <w:szCs w:val="16"/>
        </w:rPr>
        <w:lastRenderedPageBreak/>
        <w:t>первый образец которого 11 декабря 1913 г. под</w:t>
      </w:r>
      <w:r w:rsidRPr="00DE096C">
        <w:rPr>
          <w:bCs/>
          <w:color w:val="002060"/>
          <w:sz w:val="16"/>
          <w:szCs w:val="16"/>
        </w:rPr>
        <w:softHyphen/>
        <w:t>нял в воздух И.И. Сикорский. А че</w:t>
      </w:r>
      <w:r w:rsidRPr="00DE096C">
        <w:rPr>
          <w:bCs/>
          <w:color w:val="002060"/>
          <w:sz w:val="16"/>
          <w:szCs w:val="16"/>
        </w:rPr>
        <w:softHyphen/>
        <w:t>рез неделю в Морской генераль</w:t>
      </w:r>
      <w:r w:rsidRPr="00DE096C">
        <w:rPr>
          <w:bCs/>
          <w:color w:val="002060"/>
          <w:sz w:val="16"/>
          <w:szCs w:val="16"/>
        </w:rPr>
        <w:softHyphen/>
        <w:t>ный штаб поступило подписанное директором РБВЗ В.Строгановым письмо следующего содержания: «Правление Акционерного обще</w:t>
      </w:r>
      <w:r w:rsidRPr="00DE096C">
        <w:rPr>
          <w:bCs/>
          <w:color w:val="002060"/>
          <w:sz w:val="16"/>
          <w:szCs w:val="16"/>
        </w:rPr>
        <w:softHyphen/>
        <w:t>ства Русско-Балтийский завод име</w:t>
      </w:r>
      <w:r w:rsidRPr="00DE096C">
        <w:rPr>
          <w:bCs/>
          <w:color w:val="002060"/>
          <w:sz w:val="16"/>
          <w:szCs w:val="16"/>
        </w:rPr>
        <w:softHyphen/>
        <w:t>ет честь предложить вам большой аппарат нашей системы и построй</w:t>
      </w:r>
      <w:r w:rsidRPr="00DE096C">
        <w:rPr>
          <w:bCs/>
          <w:color w:val="002060"/>
          <w:sz w:val="16"/>
          <w:szCs w:val="16"/>
        </w:rPr>
        <w:softHyphen/>
        <w:t>ки «Илья Муромец» на следующих условиях: 1. Аппарат должен быть доставлен в Либаву (порт импера</w:t>
      </w:r>
      <w:r w:rsidRPr="00DE096C">
        <w:rPr>
          <w:bCs/>
          <w:color w:val="002060"/>
          <w:sz w:val="16"/>
          <w:szCs w:val="16"/>
        </w:rPr>
        <w:softHyphen/>
        <w:t xml:space="preserve">тора Александра </w:t>
      </w:r>
      <w:r w:rsidRPr="00DE096C">
        <w:rPr>
          <w:bCs/>
          <w:color w:val="002060"/>
          <w:sz w:val="16"/>
          <w:szCs w:val="16"/>
          <w:lang w:val="en-US"/>
        </w:rPr>
        <w:t>III</w:t>
      </w:r>
      <w:r w:rsidRPr="00DE096C">
        <w:rPr>
          <w:bCs/>
          <w:color w:val="002060"/>
          <w:sz w:val="16"/>
          <w:szCs w:val="16"/>
        </w:rPr>
        <w:t>) не позже 25 февраля 1914 г; 2. Испытания про</w:t>
      </w:r>
      <w:r w:rsidRPr="00DE096C">
        <w:rPr>
          <w:bCs/>
          <w:color w:val="002060"/>
          <w:sz w:val="16"/>
          <w:szCs w:val="16"/>
        </w:rPr>
        <w:softHyphen/>
        <w:t>водятся пилотом завода за страх и риск завода; 3. На аппарате дол</w:t>
      </w:r>
      <w:r w:rsidRPr="00DE096C">
        <w:rPr>
          <w:bCs/>
          <w:color w:val="002060"/>
          <w:sz w:val="16"/>
          <w:szCs w:val="16"/>
        </w:rPr>
        <w:softHyphen/>
        <w:t>жен быть выполнен один полёт про</w:t>
      </w:r>
      <w:r w:rsidRPr="00DE096C">
        <w:rPr>
          <w:bCs/>
          <w:color w:val="002060"/>
          <w:sz w:val="16"/>
          <w:szCs w:val="16"/>
        </w:rPr>
        <w:softHyphen/>
        <w:t>должительностью не менее 1,5 ча</w:t>
      </w:r>
      <w:r w:rsidRPr="00DE096C">
        <w:rPr>
          <w:bCs/>
          <w:color w:val="002060"/>
          <w:sz w:val="16"/>
          <w:szCs w:val="16"/>
        </w:rPr>
        <w:softHyphen/>
        <w:t>сов (нагрузка одна тонна, набрать высоту не менее 800 м, подтвер</w:t>
      </w:r>
      <w:r w:rsidRPr="00DE096C">
        <w:rPr>
          <w:bCs/>
          <w:color w:val="002060"/>
          <w:sz w:val="16"/>
          <w:szCs w:val="16"/>
        </w:rPr>
        <w:softHyphen/>
        <w:t>дить безопасность выключения двух моторов с одной стороны); 7.Взлёт с воды должен быть произведен без посторонней помощи, т.е. силами людей, находящихся в аппарате; 11 цена аппарата определяется по счёту 25 000 рублей за каждые 100 л.с; 12. Помимо других предметов... аппарат снабжается альтиметром, компасом, оборудованием электри</w:t>
      </w:r>
      <w:r w:rsidRPr="00DE096C">
        <w:rPr>
          <w:bCs/>
          <w:color w:val="002060"/>
          <w:sz w:val="16"/>
          <w:szCs w:val="16"/>
        </w:rPr>
        <w:softHyphen/>
        <w:t>ческого освещения приборов, на</w:t>
      </w:r>
      <w:r w:rsidRPr="00DE096C">
        <w:rPr>
          <w:bCs/>
          <w:color w:val="002060"/>
          <w:sz w:val="16"/>
          <w:szCs w:val="16"/>
        </w:rPr>
        <w:softHyphen/>
        <w:t>бором инструментов» (11759).</w:t>
      </w:r>
    </w:p>
    <w:p w14:paraId="5E2B22C8" w14:textId="77777777" w:rsidR="00B67D7C" w:rsidRPr="00DE096C" w:rsidRDefault="00B67D7C" w:rsidP="00D45A46">
      <w:pPr>
        <w:pStyle w:val="a4"/>
        <w:spacing w:before="0" w:after="0"/>
        <w:jc w:val="both"/>
        <w:rPr>
          <w:bCs/>
          <w:color w:val="002060"/>
          <w:sz w:val="16"/>
          <w:szCs w:val="16"/>
        </w:rPr>
      </w:pPr>
    </w:p>
    <w:p w14:paraId="37E23723"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w:t>
      </w:r>
    </w:p>
    <w:p w14:paraId="7C6A0371" w14:textId="77777777" w:rsidR="00B67D7C" w:rsidRPr="00DE096C" w:rsidRDefault="00B67D7C" w:rsidP="00D45A46">
      <w:pPr>
        <w:shd w:val="clear" w:color="auto" w:fill="FFFFFF"/>
        <w:jc w:val="both"/>
        <w:rPr>
          <w:bCs/>
          <w:i/>
          <w:color w:val="002060"/>
          <w:sz w:val="16"/>
          <w:szCs w:val="16"/>
        </w:rPr>
      </w:pPr>
    </w:p>
    <w:p w14:paraId="0A12FC1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15 (28) мая 1914 в Москве состоялись публичные полеты известного французского летчика-фигуриста Адольфа Пегу. На них присутст-рало огромное количество зрителей. Пегу на своем "Блерио" про</w:t>
      </w:r>
      <w:r w:rsidRPr="00DE096C">
        <w:rPr>
          <w:bCs/>
          <w:color w:val="002060"/>
          <w:sz w:val="16"/>
          <w:szCs w:val="16"/>
        </w:rPr>
        <w:softHyphen/>
        <w:t>дал большое количество мертвых петель, длительное планирование эрху колесами, скольжение на крыло и на хвост, падение “листом", пикирование и спуск крутой спиралью. Полеты имели олъшой успех ("Русское слово*</w:t>
      </w:r>
      <w:r w:rsidRPr="00DE096C">
        <w:rPr>
          <w:bCs/>
          <w:color w:val="002060"/>
          <w:sz w:val="16"/>
          <w:szCs w:val="16"/>
          <w:vertAlign w:val="superscript"/>
        </w:rPr>
        <w:t>1</w:t>
      </w:r>
      <w:r w:rsidRPr="00DE096C">
        <w:rPr>
          <w:bCs/>
          <w:color w:val="002060"/>
          <w:sz w:val="16"/>
          <w:szCs w:val="16"/>
        </w:rPr>
        <w:t>, "Утро Р</w:t>
      </w:r>
      <w:r w:rsidRPr="00DE096C">
        <w:rPr>
          <w:bCs/>
          <w:color w:val="002060"/>
          <w:sz w:val="16"/>
          <w:szCs w:val="16"/>
          <w:vertAlign w:val="subscript"/>
        </w:rPr>
        <w:t>0</w:t>
      </w:r>
      <w:r w:rsidRPr="00DE096C">
        <w:rPr>
          <w:bCs/>
          <w:color w:val="002060"/>
          <w:sz w:val="16"/>
          <w:szCs w:val="16"/>
        </w:rPr>
        <w:t>ссии</w:t>
      </w:r>
      <w:r w:rsidRPr="00DE096C">
        <w:rPr>
          <w:bCs/>
          <w:color w:val="002060"/>
          <w:sz w:val="16"/>
          <w:szCs w:val="16"/>
          <w:vertAlign w:val="superscript"/>
        </w:rPr>
        <w:t>!!</w:t>
      </w:r>
      <w:r w:rsidRPr="00DE096C">
        <w:rPr>
          <w:bCs/>
          <w:color w:val="002060"/>
          <w:sz w:val="16"/>
          <w:szCs w:val="16"/>
        </w:rPr>
        <w:t>. 1914 г. 15 и 16 мая).</w:t>
      </w:r>
    </w:p>
    <w:p w14:paraId="155CCEF4" w14:textId="77777777" w:rsidR="00B67D7C" w:rsidRPr="00DE096C" w:rsidRDefault="00B67D7C" w:rsidP="00D45A46">
      <w:pPr>
        <w:shd w:val="clear" w:color="auto" w:fill="FFFFFF"/>
        <w:jc w:val="both"/>
        <w:rPr>
          <w:bCs/>
          <w:color w:val="002060"/>
          <w:sz w:val="16"/>
          <w:szCs w:val="16"/>
        </w:rPr>
      </w:pPr>
    </w:p>
    <w:p w14:paraId="601967A8" w14:textId="77777777" w:rsidR="00BD3456" w:rsidRPr="00DE096C" w:rsidRDefault="00BD3456" w:rsidP="00D45A46">
      <w:pPr>
        <w:jc w:val="both"/>
        <w:rPr>
          <w:bCs/>
          <w:color w:val="002060"/>
          <w:sz w:val="16"/>
          <w:szCs w:val="16"/>
        </w:rPr>
      </w:pPr>
      <w:r w:rsidRPr="00DE096C">
        <w:rPr>
          <w:bCs/>
          <w:color w:val="002060"/>
          <w:sz w:val="16"/>
          <w:szCs w:val="16"/>
        </w:rPr>
        <w:t>15 (28) мая 1914 г. в Москве продолжались публичные полеты француза А.Пегу. Летчик на своем «Блерио» выполнил ряд мертвых петель, длитель</w:t>
      </w:r>
      <w:r w:rsidRPr="00DE096C">
        <w:rPr>
          <w:bCs/>
          <w:color w:val="002060"/>
          <w:sz w:val="16"/>
          <w:szCs w:val="16"/>
        </w:rPr>
        <w:softHyphen/>
        <w:t>ное планирование вверх колесами, скольжение на крыло, падение нахвост, падение листом, пикирование и спуск крутой спиралью. Полеты имели большой успех.</w:t>
      </w:r>
    </w:p>
    <w:p w14:paraId="49AA8653" w14:textId="77777777" w:rsidR="00BD3456" w:rsidRPr="00DE096C" w:rsidRDefault="00BD3456" w:rsidP="00D45A46">
      <w:pPr>
        <w:jc w:val="both"/>
        <w:rPr>
          <w:bCs/>
          <w:color w:val="002060"/>
          <w:sz w:val="16"/>
          <w:szCs w:val="16"/>
        </w:rPr>
      </w:pPr>
      <w:r w:rsidRPr="00DE096C">
        <w:rPr>
          <w:bCs/>
          <w:color w:val="002060"/>
          <w:sz w:val="16"/>
          <w:szCs w:val="16"/>
        </w:rPr>
        <w:t>/«Русское слово»; «Утро России» за 15 и 1б мая 1914/ (23320).</w:t>
      </w:r>
    </w:p>
    <w:p w14:paraId="2DF00661" w14:textId="77777777" w:rsidR="00BD3456" w:rsidRPr="00DE096C" w:rsidRDefault="00BD3456" w:rsidP="00D45A46">
      <w:pPr>
        <w:jc w:val="both"/>
        <w:rPr>
          <w:bCs/>
          <w:color w:val="002060"/>
          <w:sz w:val="16"/>
          <w:szCs w:val="16"/>
        </w:rPr>
      </w:pPr>
    </w:p>
    <w:p w14:paraId="247C11A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15 (28) мая 1914 летчик Георгий Викторович Янковский установил новый всероссийский рекорд высоты полета, поднявшись на самолете “Сикорский-12" с двигателем Рон в 80 л.с. на высоту 3680 м. (полет продолжался 37 мин. Прежний рекорд 3420 м был установлен Г.В. Алехновичем в 1913 г. 19 мая Янковский на том же самолете поднялся на 3720 м ("Биржевые вэдомости". 1914 г. 18 мая).</w:t>
      </w:r>
    </w:p>
    <w:p w14:paraId="46BDF12F" w14:textId="77777777" w:rsidR="00B67D7C" w:rsidRPr="00DE096C" w:rsidRDefault="00B67D7C" w:rsidP="00D45A46">
      <w:pPr>
        <w:shd w:val="clear" w:color="auto" w:fill="FFFFFF"/>
        <w:jc w:val="both"/>
        <w:rPr>
          <w:bCs/>
          <w:color w:val="002060"/>
          <w:sz w:val="16"/>
          <w:szCs w:val="16"/>
        </w:rPr>
      </w:pPr>
    </w:p>
    <w:p w14:paraId="7FDA76C8"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7B0BC745" w14:textId="77777777" w:rsidR="00B67D7C" w:rsidRPr="00DE096C" w:rsidRDefault="00B67D7C" w:rsidP="00D45A46">
      <w:pPr>
        <w:shd w:val="clear" w:color="auto" w:fill="FFFFFF"/>
        <w:jc w:val="both"/>
        <w:rPr>
          <w:bCs/>
          <w:i/>
          <w:color w:val="002060"/>
          <w:sz w:val="16"/>
          <w:szCs w:val="16"/>
        </w:rPr>
      </w:pPr>
    </w:p>
    <w:p w14:paraId="0DE8A292" w14:textId="54E2CEFB" w:rsidR="00B67D7C" w:rsidRPr="00DE096C" w:rsidRDefault="00B67D7C" w:rsidP="00D45A46">
      <w:pPr>
        <w:jc w:val="both"/>
        <w:rPr>
          <w:bCs/>
          <w:color w:val="002060"/>
          <w:sz w:val="16"/>
          <w:szCs w:val="16"/>
        </w:rPr>
      </w:pPr>
      <w:r w:rsidRPr="00DE096C">
        <w:rPr>
          <w:bCs/>
          <w:color w:val="002060"/>
          <w:sz w:val="16"/>
          <w:szCs w:val="16"/>
        </w:rPr>
        <w:t>16 (29) мая 1914 Морской министр согласился с</w:t>
      </w:r>
      <w:r w:rsidR="00C700AD" w:rsidRPr="00DE096C">
        <w:rPr>
          <w:bCs/>
          <w:color w:val="002060"/>
          <w:sz w:val="16"/>
          <w:szCs w:val="16"/>
        </w:rPr>
        <w:t xml:space="preserve"> тнм, что приобретение большего числа много более дешевых обычных одномоторных машин принесло бы лучшие результаты, позволяя в первую очередь проводить дальнейшую тренировку авиаторов</w:t>
      </w:r>
      <w:r w:rsidRPr="00DE096C">
        <w:rPr>
          <w:bCs/>
          <w:color w:val="002060"/>
          <w:sz w:val="16"/>
          <w:szCs w:val="16"/>
        </w:rPr>
        <w:t>, но все же отме</w:t>
      </w:r>
      <w:r w:rsidRPr="00DE096C">
        <w:rPr>
          <w:bCs/>
          <w:color w:val="002060"/>
          <w:sz w:val="16"/>
          <w:szCs w:val="16"/>
        </w:rPr>
        <w:softHyphen/>
        <w:t>тил, что качества гидроаэроплана "Илья Муромец" стоило "прояснить" должным образом. Однако, искушение получить дальние разведчики оказалось столь велико, что спустя всего лишь месяц в высших эшелонах руководства военно-морских сил созрело новое решение. В докладе по МГШ от 14 июня говорилось, что гиганты могли быть с успехом использованы вместо морских дирижаблей, целесообразность применения которых обсуждалась в то же самое время. Ориентировочная стоимость одного дирижабля составляла примерно 500.000 руб. и еще около 1.000.000 руб, требовалось для возведения поворотного эллинга для него, тогда как цена одного поплавкового "Ильи Муромца" исчислялась теперь всего в 90.000 руб. Исходя из таких аргументов, делалось предложение о покупке 13 аппаратов Сикорского, которые были бы затем распределены между одним отрядом на Балтике и несколькими на Черном море. План мог вылиться в крупнейший авиационный контракт мирного времени, но начало Великой войны заставило забыть о нем (2843).</w:t>
      </w:r>
    </w:p>
    <w:p w14:paraId="30B1824C" w14:textId="77777777" w:rsidR="00B67D7C" w:rsidRPr="00DE096C" w:rsidRDefault="00B67D7C" w:rsidP="00D45A46">
      <w:pPr>
        <w:jc w:val="both"/>
        <w:rPr>
          <w:bCs/>
          <w:color w:val="002060"/>
          <w:sz w:val="16"/>
          <w:szCs w:val="16"/>
        </w:rPr>
      </w:pPr>
    </w:p>
    <w:p w14:paraId="24E06D7C" w14:textId="77777777" w:rsidR="00B67D7C" w:rsidRPr="00DE096C" w:rsidRDefault="00B67D7C" w:rsidP="00D45A46">
      <w:pPr>
        <w:jc w:val="both"/>
        <w:rPr>
          <w:bCs/>
          <w:i/>
          <w:color w:val="002060"/>
          <w:sz w:val="16"/>
          <w:szCs w:val="16"/>
        </w:rPr>
      </w:pPr>
      <w:r w:rsidRPr="00DE096C">
        <w:rPr>
          <w:bCs/>
          <w:i/>
          <w:color w:val="002060"/>
          <w:sz w:val="16"/>
          <w:szCs w:val="16"/>
        </w:rPr>
        <w:t>Аэростатостроение:</w:t>
      </w:r>
    </w:p>
    <w:p w14:paraId="50D4F9A6" w14:textId="77777777" w:rsidR="00B67D7C" w:rsidRPr="00DE096C" w:rsidRDefault="00B67D7C" w:rsidP="00D45A46">
      <w:pPr>
        <w:jc w:val="both"/>
        <w:rPr>
          <w:bCs/>
          <w:i/>
          <w:color w:val="002060"/>
          <w:sz w:val="16"/>
          <w:szCs w:val="16"/>
        </w:rPr>
      </w:pPr>
    </w:p>
    <w:p w14:paraId="1EEC3BEA" w14:textId="0F550BFA"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16 </w:t>
      </w:r>
      <w:r w:rsidR="00C700AD" w:rsidRPr="00DE096C">
        <w:rPr>
          <w:bCs/>
          <w:color w:val="002060"/>
          <w:sz w:val="16"/>
          <w:szCs w:val="16"/>
        </w:rPr>
        <w:t xml:space="preserve">(29) </w:t>
      </w:r>
      <w:r w:rsidRPr="00DE096C">
        <w:rPr>
          <w:bCs/>
          <w:color w:val="002060"/>
          <w:sz w:val="16"/>
          <w:szCs w:val="16"/>
        </w:rPr>
        <w:t xml:space="preserve">мая 1914 года более десяти опытнейших экспертов </w:t>
      </w:r>
      <w:r w:rsidR="00C700AD" w:rsidRPr="00DE096C">
        <w:rPr>
          <w:bCs/>
          <w:color w:val="002060"/>
          <w:sz w:val="16"/>
          <w:szCs w:val="16"/>
        </w:rPr>
        <w:t>Леденцовское общество</w:t>
      </w:r>
      <w:r w:rsidRPr="00DE096C">
        <w:rPr>
          <w:bCs/>
          <w:color w:val="002060"/>
          <w:sz w:val="16"/>
          <w:szCs w:val="16"/>
        </w:rPr>
        <w:t>, рассмотрев модель и проект</w:t>
      </w:r>
      <w:r w:rsidR="00C700AD" w:rsidRPr="00DE096C">
        <w:rPr>
          <w:bCs/>
          <w:color w:val="002060"/>
          <w:sz w:val="16"/>
          <w:szCs w:val="16"/>
        </w:rPr>
        <w:t xml:space="preserve"> К.Э.Циолковского</w:t>
      </w:r>
      <w:r w:rsidRPr="00DE096C">
        <w:rPr>
          <w:bCs/>
          <w:color w:val="002060"/>
          <w:sz w:val="16"/>
          <w:szCs w:val="16"/>
        </w:rPr>
        <w:t>, дали отрицательное заключение о целесообразности изготовления этого дирижабля. В отзыве приводилось несколько технологических проблем, связанных с получением широких и тонких листов металла для оболочки, с обеспечением необходимой надежности протяженных сварных швов и с их местным окислением, с защитой оболочки от коррозии и пр.</w:t>
      </w:r>
    </w:p>
    <w:p w14:paraId="4A02E0B6" w14:textId="3EFD444D" w:rsidR="00F77EA5" w:rsidRPr="00DE096C" w:rsidRDefault="00F77EA5" w:rsidP="00D45A46">
      <w:pPr>
        <w:pStyle w:val="DefinitionList"/>
        <w:ind w:left="0"/>
        <w:jc w:val="both"/>
        <w:rPr>
          <w:bCs/>
          <w:color w:val="002060"/>
          <w:sz w:val="16"/>
          <w:szCs w:val="16"/>
        </w:rPr>
      </w:pPr>
      <w:r w:rsidRPr="00DE096C">
        <w:rPr>
          <w:bCs/>
          <w:color w:val="002060"/>
          <w:sz w:val="16"/>
          <w:szCs w:val="16"/>
        </w:rPr>
        <w:t>В 1914 году, весной, Циолковского пригласили в Петербург на III Всероссийский съезд воздухоплавания. Он взял ящик с моделями длиной в два метра, пригласил с собой П.П.Каннинга, который и сделал доклад. Н.Е.Жуковский впервые познакомился с этим проектом дирижабля и его не одобрил.</w:t>
      </w:r>
    </w:p>
    <w:p w14:paraId="6B739130" w14:textId="77777777" w:rsidR="00F77EA5" w:rsidRPr="00DE096C" w:rsidRDefault="00F77EA5" w:rsidP="00D45A46">
      <w:pPr>
        <w:pStyle w:val="DefinitionList"/>
        <w:ind w:left="0"/>
        <w:jc w:val="both"/>
        <w:rPr>
          <w:bCs/>
          <w:color w:val="002060"/>
          <w:sz w:val="16"/>
          <w:szCs w:val="16"/>
        </w:rPr>
      </w:pPr>
      <w:r w:rsidRPr="00DE096C">
        <w:rPr>
          <w:bCs/>
          <w:color w:val="002060"/>
          <w:sz w:val="16"/>
          <w:szCs w:val="16"/>
        </w:rPr>
        <w:t>В автобиографии К.Э.Циолковский писал, что «Его (т.е. Жуковского - Г.С.) ученики продолжают до сего времени тормозить дело. Что же, может быть, они и правы. Я сам не поверю, пока не увижу» [172, с. 183].</w:t>
      </w:r>
    </w:p>
    <w:p w14:paraId="4B95CDEE" w14:textId="77777777" w:rsidR="00F77EA5" w:rsidRPr="00DE096C" w:rsidRDefault="00F77EA5" w:rsidP="00D45A46">
      <w:pPr>
        <w:pStyle w:val="DefinitionList"/>
        <w:ind w:left="0"/>
        <w:jc w:val="both"/>
        <w:rPr>
          <w:bCs/>
          <w:color w:val="002060"/>
          <w:sz w:val="16"/>
          <w:szCs w:val="16"/>
        </w:rPr>
      </w:pPr>
      <w:r w:rsidRPr="00DE096C">
        <w:rPr>
          <w:bCs/>
          <w:color w:val="002060"/>
          <w:sz w:val="16"/>
          <w:szCs w:val="16"/>
        </w:rPr>
        <w:t>К.Э.Циолковский в поисках средств отправил в Леденцовское общество свою модель из волнистого металла и попросил выделить ему на дальнейшие работы еще 200 рублей [69, с. 42].</w:t>
      </w:r>
    </w:p>
    <w:p w14:paraId="67C34DEE"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В конечном итоге вывод был таким:</w:t>
      </w:r>
    </w:p>
    <w:p w14:paraId="4A91A011"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«Все изложенное, а также осмотр присланной модели, заставляет оценивать с технологической стороны предлагаемую постройку модели, как пока еще весьма мало разработанную идею» [139, с. 9].</w:t>
      </w:r>
    </w:p>
    <w:p w14:paraId="4FB688A3" w14:textId="15321E55" w:rsidR="00B67D7C" w:rsidRPr="00DE096C" w:rsidRDefault="00B67D7C" w:rsidP="00D45A46">
      <w:pPr>
        <w:pStyle w:val="DefinitionList"/>
        <w:ind w:left="0"/>
        <w:jc w:val="both"/>
        <w:rPr>
          <w:bCs/>
          <w:color w:val="002060"/>
          <w:sz w:val="16"/>
          <w:szCs w:val="16"/>
        </w:rPr>
      </w:pPr>
      <w:r w:rsidRPr="00DE096C">
        <w:rPr>
          <w:bCs/>
          <w:color w:val="002060"/>
          <w:sz w:val="16"/>
          <w:szCs w:val="16"/>
        </w:rPr>
        <w:t>К.Э.Циолковский остался верен себе: он ответил на все замечания, и история его дирижабля на этом еще не закончилась.</w:t>
      </w:r>
    </w:p>
    <w:p w14:paraId="28A4B49A" w14:textId="77777777" w:rsidR="00B67D7C" w:rsidRPr="00DE096C" w:rsidRDefault="00B67D7C" w:rsidP="00D45A46">
      <w:pPr>
        <w:jc w:val="both"/>
        <w:rPr>
          <w:bCs/>
          <w:i/>
          <w:color w:val="002060"/>
          <w:sz w:val="16"/>
          <w:szCs w:val="16"/>
        </w:rPr>
      </w:pPr>
    </w:p>
    <w:p w14:paraId="51B13430" w14:textId="77777777" w:rsidR="00B67D7C" w:rsidRPr="00DE096C" w:rsidRDefault="00B67D7C" w:rsidP="00D45A46">
      <w:pPr>
        <w:jc w:val="both"/>
        <w:rPr>
          <w:bCs/>
          <w:i/>
          <w:color w:val="002060"/>
          <w:sz w:val="16"/>
          <w:szCs w:val="16"/>
        </w:rPr>
      </w:pPr>
      <w:r w:rsidRPr="00DE096C">
        <w:rPr>
          <w:bCs/>
          <w:i/>
          <w:color w:val="002060"/>
          <w:sz w:val="16"/>
          <w:szCs w:val="16"/>
        </w:rPr>
        <w:t>Авиация:</w:t>
      </w:r>
    </w:p>
    <w:p w14:paraId="162BF0C7" w14:textId="77777777" w:rsidR="00B67D7C" w:rsidRPr="00DE096C" w:rsidRDefault="00B67D7C" w:rsidP="00D45A46">
      <w:pPr>
        <w:jc w:val="both"/>
        <w:rPr>
          <w:bCs/>
          <w:i/>
          <w:color w:val="002060"/>
          <w:sz w:val="16"/>
          <w:szCs w:val="16"/>
        </w:rPr>
      </w:pPr>
    </w:p>
    <w:p w14:paraId="2EC0C5E1" w14:textId="2759F29A"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17 (30) мая 1914 </w:t>
      </w:r>
      <w:r w:rsidR="00F77EA5" w:rsidRPr="00DE096C">
        <w:rPr>
          <w:bCs/>
          <w:color w:val="002060"/>
          <w:sz w:val="16"/>
          <w:szCs w:val="16"/>
        </w:rPr>
        <w:t xml:space="preserve">г. </w:t>
      </w:r>
      <w:r w:rsidRPr="00DE096C">
        <w:rPr>
          <w:bCs/>
          <w:color w:val="002060"/>
          <w:sz w:val="16"/>
          <w:szCs w:val="16"/>
        </w:rPr>
        <w:t>в Москве, в Политехническом музее состоялась лекция французского летчика А.Пегу о его мертвых петлях.</w:t>
      </w:r>
      <w:r w:rsidR="00F77EA5" w:rsidRPr="00DE096C">
        <w:rPr>
          <w:bCs/>
          <w:color w:val="002060"/>
          <w:sz w:val="16"/>
          <w:szCs w:val="16"/>
        </w:rPr>
        <w:t xml:space="preserve"> </w:t>
      </w:r>
      <w:r w:rsidRPr="00DE096C">
        <w:rPr>
          <w:bCs/>
          <w:color w:val="002060"/>
          <w:sz w:val="16"/>
          <w:szCs w:val="16"/>
        </w:rPr>
        <w:t>Проф.Н.Е.Жуковский в своем вступительном слове изложил теорию мертвой петли и продемонстрировал составленную им в 1891 году диаграмму, ва которой в числе возможных траекторий планера была показана мертвая петля. На лекции присутствовал и П.Н.Нестеров. Узнав этом, Пегу привел Нестерова на трибуну и публично назвал его автором мертвой петли, а потом предоставил ему почетное слово. Присутствовавшие ответили на это признание шумной овацией. Так был подтвержден приоритет Нестерова в выполнении мертвой петли (Я.С.Лейбензон. Н.Е.Жуковский. 1947,стр.147; "Раннее утро", 1914, 18 мая).</w:t>
      </w:r>
    </w:p>
    <w:p w14:paraId="34741C6F" w14:textId="77777777" w:rsidR="00B67D7C" w:rsidRPr="00DE096C" w:rsidRDefault="00B67D7C" w:rsidP="00D45A46">
      <w:pPr>
        <w:shd w:val="clear" w:color="auto" w:fill="FFFFFF"/>
        <w:jc w:val="both"/>
        <w:rPr>
          <w:bCs/>
          <w:color w:val="002060"/>
          <w:sz w:val="16"/>
          <w:szCs w:val="16"/>
        </w:rPr>
      </w:pPr>
    </w:p>
    <w:p w14:paraId="6573A40A" w14:textId="333BCD52" w:rsidR="00C92F8A" w:rsidRPr="00DE096C" w:rsidRDefault="00C92F8A" w:rsidP="00D45A46">
      <w:pPr>
        <w:pStyle w:val="2"/>
        <w:spacing w:before="0" w:after="0"/>
        <w:jc w:val="both"/>
        <w:rPr>
          <w:b w:val="0"/>
          <w:bCs/>
          <w:color w:val="002060"/>
          <w:sz w:val="16"/>
          <w:szCs w:val="16"/>
        </w:rPr>
      </w:pPr>
      <w:r w:rsidRPr="00DE096C">
        <w:rPr>
          <w:b w:val="0"/>
          <w:bCs/>
          <w:color w:val="002060"/>
          <w:sz w:val="16"/>
          <w:szCs w:val="16"/>
        </w:rPr>
        <w:t xml:space="preserve">17 </w:t>
      </w:r>
      <w:r w:rsidR="00F77EA5" w:rsidRPr="00DE096C">
        <w:rPr>
          <w:b w:val="0"/>
          <w:bCs/>
          <w:color w:val="002060"/>
          <w:sz w:val="16"/>
          <w:szCs w:val="16"/>
        </w:rPr>
        <w:t xml:space="preserve">(30) </w:t>
      </w:r>
      <w:r w:rsidRPr="00DE096C">
        <w:rPr>
          <w:b w:val="0"/>
          <w:bCs/>
          <w:color w:val="002060"/>
          <w:sz w:val="16"/>
          <w:szCs w:val="16"/>
        </w:rPr>
        <w:t xml:space="preserve">мая 1914 </w:t>
      </w:r>
      <w:r w:rsidR="00F77EA5" w:rsidRPr="00DE096C">
        <w:rPr>
          <w:b w:val="0"/>
          <w:bCs/>
          <w:color w:val="002060"/>
          <w:sz w:val="16"/>
          <w:szCs w:val="16"/>
        </w:rPr>
        <w:t xml:space="preserve">г. </w:t>
      </w:r>
      <w:r w:rsidRPr="00DE096C">
        <w:rPr>
          <w:b w:val="0"/>
          <w:bCs/>
          <w:color w:val="002060"/>
          <w:sz w:val="16"/>
          <w:szCs w:val="16"/>
        </w:rPr>
        <w:t>в Москве в Политехническом музее состоялся «первый научно-практический семинар» по высшему пилотажу, вместе собрались и впервые познакомились Жуковский, Нестеров и Пегу. Зал переполнили студенты, поклонники и поклонницы авиации. Первым выступил Жуковский, подробно разъяснив значение «мертвой петли» для дальнейшего развития авиации и различия в пилотажных свойствах самолетов Нестерова и Пегу. Появление француза в вязаном летном костюме и летном шлеме на голове вызвало гром аплодисментов. Пегу рассказал свою летную биографию и предысторию выполнения петли, не забыв упомянуть о приоритете русского летчика, а он «только последовал» примеру Нестерова. Выступление с чисто французской галантностью окончилось благодарностью МОВ за приглашение совершить полеты «в столь милой и дорогой ему Москве».</w:t>
      </w:r>
    </w:p>
    <w:p w14:paraId="20690C0B" w14:textId="77777777" w:rsidR="00C92F8A" w:rsidRPr="00DE096C" w:rsidRDefault="00C92F8A" w:rsidP="00D45A46">
      <w:pPr>
        <w:pStyle w:val="2"/>
        <w:spacing w:before="0" w:after="0"/>
        <w:jc w:val="both"/>
        <w:rPr>
          <w:b w:val="0"/>
          <w:bCs/>
          <w:color w:val="002060"/>
          <w:sz w:val="16"/>
          <w:szCs w:val="16"/>
        </w:rPr>
      </w:pPr>
      <w:r w:rsidRPr="00DE096C">
        <w:rPr>
          <w:b w:val="0"/>
          <w:bCs/>
          <w:color w:val="002060"/>
          <w:sz w:val="16"/>
          <w:szCs w:val="16"/>
        </w:rPr>
        <w:t>Доклад Нестерова встретили бурной овацией. Когда пилоты публично расцеловались, не ожидавшая такого оборота событий публика приветствовала их теплую встречу новым шквалом аплодисментов. Многие ждали, что не поделившие лавры и славу конкуренты, начнут «разборку», но летчики быстро выяснили между собой приоритет Нестерова, лекции прошли с огромным успехом.</w:t>
      </w:r>
    </w:p>
    <w:p w14:paraId="78FFD7DC" w14:textId="77777777" w:rsidR="00C92F8A" w:rsidRPr="00DE096C" w:rsidRDefault="00C92F8A" w:rsidP="00D45A46">
      <w:pPr>
        <w:pStyle w:val="2"/>
        <w:spacing w:before="0" w:after="0"/>
        <w:jc w:val="both"/>
        <w:rPr>
          <w:b w:val="0"/>
          <w:bCs/>
          <w:color w:val="002060"/>
          <w:sz w:val="16"/>
          <w:szCs w:val="16"/>
        </w:rPr>
      </w:pPr>
      <w:r w:rsidRPr="00DE096C">
        <w:rPr>
          <w:b w:val="0"/>
          <w:bCs/>
          <w:color w:val="002060"/>
          <w:sz w:val="16"/>
          <w:szCs w:val="16"/>
        </w:rPr>
        <w:t>Вечером того же дня московские любители авиации чествовали Пегу и Нестерова в ресторане «Яр». Как писал жене Петр Николаевич, «в Москве встретился с Пегу, с которым мы расцеловались. В Москве публика относится ко мне очень хорошо, особенно подчеркивают свое отношение, как к своему русскому. В Яре нас чествовали на балконе перед большим залом; сидели мы друг против друга у барьера, и нас очень часто и шумно «вызывали» — аплодировала публика снизу, называя фамилию — «наш Нестеров», «Нестеров первый» и т.д., было презабавно.»</w:t>
      </w:r>
    </w:p>
    <w:p w14:paraId="0A091946" w14:textId="77777777" w:rsidR="00C92F8A" w:rsidRPr="00DE096C" w:rsidRDefault="00C92F8A" w:rsidP="00D45A46">
      <w:pPr>
        <w:pStyle w:val="2"/>
        <w:spacing w:before="0" w:after="0"/>
        <w:jc w:val="both"/>
        <w:rPr>
          <w:b w:val="0"/>
          <w:bCs/>
          <w:color w:val="002060"/>
          <w:sz w:val="16"/>
          <w:szCs w:val="16"/>
        </w:rPr>
      </w:pPr>
      <w:r w:rsidRPr="00DE096C">
        <w:rPr>
          <w:b w:val="0"/>
          <w:bCs/>
          <w:color w:val="002060"/>
          <w:sz w:val="16"/>
          <w:szCs w:val="16"/>
        </w:rPr>
        <w:t>Показательные полеты Пегу на Ходынке собрали 300-тысячную толпу. В заметке «Король воздуха» в Москве» сообщили, что «известный французский авиатор Пегу, сделавший в прошлом году в августе безумный прыжок с аэроплана на парашюте и вслед за тем «мертвую петлю», после петербургских «гастролей» появился на московском аэродроме. Выступление «короля воздуха», как называют Пегу, так заинтересовало Москву, что на его полетах присутствовало до 300 тыс. человек. Пегу, действительно, показал ряд воздушных «трюков», которым приходится удивляться. Кувыркание в воздухе для него — забава, а «мертвая петля» пустячное дело. Он их делает подряд десятками. Мало того, он вылезает из гондолы и летит, стоя. Это уже совершенно невероятный трюк, сделанный только Пегу,</w:t>
      </w:r>
      <w:r w:rsidRPr="00DE096C">
        <w:rPr>
          <w:b w:val="0"/>
          <w:bCs/>
          <w:color w:val="002060"/>
          <w:sz w:val="16"/>
          <w:szCs w:val="16"/>
        </w:rPr>
        <w:t> </w:t>
      </w:r>
      <w:r w:rsidRPr="00DE096C">
        <w:rPr>
          <w:b w:val="0"/>
          <w:bCs/>
          <w:color w:val="002060"/>
          <w:sz w:val="16"/>
          <w:szCs w:val="16"/>
        </w:rPr>
        <w:t>Н ТО в первый раз в Москве.Восхищенную публику, в порыве экстаза прорвав- шую оцепление и бросившуюся к летчику, разгоняли конной полицией. То же самое произошло в Москве лишь раз, во время первого полета Леганье 15 сентября 1909 г. Чтобы хоть как-то успокоить восторженную публику, Пегу провезли в открытом автомобиле вдоль трибун.</w:t>
      </w:r>
    </w:p>
    <w:p w14:paraId="1A1B39C5" w14:textId="77777777" w:rsidR="00C92F8A" w:rsidRPr="00DE096C" w:rsidRDefault="00C92F8A" w:rsidP="00D45A46">
      <w:pPr>
        <w:pStyle w:val="2"/>
        <w:spacing w:before="0" w:after="0"/>
        <w:jc w:val="both"/>
        <w:rPr>
          <w:b w:val="0"/>
          <w:bCs/>
          <w:color w:val="002060"/>
          <w:sz w:val="16"/>
          <w:szCs w:val="16"/>
        </w:rPr>
      </w:pPr>
      <w:r w:rsidRPr="00DE096C">
        <w:rPr>
          <w:b w:val="0"/>
          <w:bCs/>
          <w:color w:val="002060"/>
          <w:sz w:val="16"/>
          <w:szCs w:val="16"/>
        </w:rPr>
        <w:t xml:space="preserve">За два дня полетов Пегу Москва «принесла свою дань» в 24046 руб., из них летчику перепало около 10000 руб, МОВ — всего 2400 рублей, а остальные 12000 руб. достались выступавшей в роли антрепренера некоей фирме «Фюрст и Ко». Но «пикантность» ситуации заключалась в том, что летал лишь один француз Пегу. Габер-Влынский после катастрофы 8 мая лежал в гипсе в Солдатенковской больнице и за полетами мог наблюдать только с веранды, куда вынесли его койку. Пегу, узнав, что за его полетами наблюдает знаменитый московский пилота- жник, большинство воздушных трюков проделал поблизости от больницы, и на следующий день посетил больного коллегу. Нестеров летать тоже не мог, ему не позволил бы никто из воинского начальства, и к тому же в те дни он только переучивался на новый </w:t>
      </w:r>
      <w:r w:rsidRPr="00DE096C">
        <w:rPr>
          <w:b w:val="0"/>
          <w:bCs/>
          <w:color w:val="002060"/>
          <w:sz w:val="16"/>
          <w:szCs w:val="16"/>
        </w:rPr>
        <w:lastRenderedPageBreak/>
        <w:t>«Моран». Естественно, что без ответа осталось и приглашение Нестерову из Европы от Х.Славороссова вместе гастролировать с показательными акробатическими полетами, об этом шла речь у Пегу и Нестерова в «Яре» (15464).</w:t>
      </w:r>
    </w:p>
    <w:p w14:paraId="2183FBE8" w14:textId="77777777" w:rsidR="00C92F8A" w:rsidRPr="00DE096C" w:rsidRDefault="00C92F8A" w:rsidP="00D45A46">
      <w:pPr>
        <w:pStyle w:val="2"/>
        <w:spacing w:before="0" w:after="0"/>
        <w:jc w:val="both"/>
        <w:rPr>
          <w:b w:val="0"/>
          <w:bCs/>
          <w:color w:val="002060"/>
          <w:sz w:val="16"/>
          <w:szCs w:val="16"/>
        </w:rPr>
      </w:pPr>
    </w:p>
    <w:p w14:paraId="75695DC8" w14:textId="77777777" w:rsidR="00BD3456" w:rsidRPr="00DE096C" w:rsidRDefault="00BD3456" w:rsidP="00D45A46">
      <w:pPr>
        <w:jc w:val="both"/>
        <w:rPr>
          <w:bCs/>
          <w:color w:val="002060"/>
          <w:sz w:val="16"/>
          <w:szCs w:val="16"/>
        </w:rPr>
      </w:pPr>
      <w:bookmarkStart w:id="24" w:name="_Hlk53210957"/>
      <w:r w:rsidRPr="00DE096C">
        <w:rPr>
          <w:bCs/>
          <w:color w:val="002060"/>
          <w:sz w:val="16"/>
          <w:szCs w:val="16"/>
        </w:rPr>
        <w:t>17 (30) мая 1914 г. в Москве, в политехническом музее состоялась лекция французского летчика А.Пегу о его мертвых петлях. Проф. Хуковский в воем вступительном слове изложил теорию мертвой петли и продемонстрировал составленную им в 1891 году диаграмму с изображением петлеооразной траектории полета, на лекции присутствовал в II.И.Нестеров. Узнав об этом, Пегу пригласил Нестерова на трибуну и публично назвал его автором мертвой петли, а затем предоставил ему почетное слово. Присутствовавшие ответили на признание Пегу шумной овацией. Так был утвержден приоритет Нестерова в выполнении мертвой петли.</w:t>
      </w:r>
    </w:p>
    <w:p w14:paraId="663FAB14" w14:textId="77777777" w:rsidR="00BD3456" w:rsidRPr="00DE096C" w:rsidRDefault="00BD3456" w:rsidP="00D45A46">
      <w:pPr>
        <w:jc w:val="both"/>
        <w:rPr>
          <w:bCs/>
          <w:color w:val="002060"/>
          <w:sz w:val="16"/>
          <w:szCs w:val="16"/>
        </w:rPr>
      </w:pPr>
      <w:r w:rsidRPr="00DE096C">
        <w:rPr>
          <w:bCs/>
          <w:color w:val="002060"/>
          <w:sz w:val="16"/>
          <w:szCs w:val="16"/>
        </w:rPr>
        <w:t>/«Утро России» за 18 мая 1914/ (23320).</w:t>
      </w:r>
    </w:p>
    <w:p w14:paraId="33930DFC" w14:textId="77777777" w:rsidR="00BD3456" w:rsidRPr="00DE096C" w:rsidRDefault="00BD3456" w:rsidP="00D45A46">
      <w:pPr>
        <w:jc w:val="both"/>
        <w:rPr>
          <w:bCs/>
          <w:color w:val="002060"/>
          <w:sz w:val="16"/>
          <w:szCs w:val="16"/>
        </w:rPr>
      </w:pPr>
    </w:p>
    <w:p w14:paraId="6DF01A2A" w14:textId="77777777" w:rsidR="00BD3456" w:rsidRPr="00DE096C" w:rsidRDefault="00BD3456" w:rsidP="00D45A46">
      <w:pPr>
        <w:jc w:val="both"/>
        <w:rPr>
          <w:bCs/>
          <w:color w:val="002060"/>
          <w:sz w:val="16"/>
          <w:szCs w:val="16"/>
        </w:rPr>
      </w:pPr>
      <w:r w:rsidRPr="00DE096C">
        <w:rPr>
          <w:bCs/>
          <w:color w:val="002060"/>
          <w:sz w:val="16"/>
          <w:szCs w:val="16"/>
        </w:rPr>
        <w:t>17 (30) мая 1914 г. Всероссийский аэроклуб примял решение войти в соглашение с Министерством путей сообщения об устройство посадочных пло</w:t>
      </w:r>
      <w:r w:rsidRPr="00DE096C">
        <w:rPr>
          <w:bCs/>
          <w:color w:val="002060"/>
          <w:sz w:val="16"/>
          <w:szCs w:val="16"/>
        </w:rPr>
        <w:softHyphen/>
        <w:t>щадок вдоль железных дорог, в первую очередь вдоль Николаевской и Варшавской. На площадках предполагалось содержать запасы бензина, масла, запасных частей и инструменты для ремонта самолетов. Военное ведомство, поддерживая это начинание, обратилось в министерство внутренних дел с просьбой уведомить всех губернаторов и началь</w:t>
      </w:r>
      <w:r w:rsidRPr="00DE096C">
        <w:rPr>
          <w:bCs/>
          <w:color w:val="002060"/>
          <w:sz w:val="16"/>
          <w:szCs w:val="16"/>
        </w:rPr>
        <w:softHyphen/>
        <w:t>ников областей о том, чтобы “повсеместное устройство таких обще</w:t>
      </w:r>
      <w:r w:rsidRPr="00DE096C">
        <w:rPr>
          <w:bCs/>
          <w:color w:val="002060"/>
          <w:sz w:val="16"/>
          <w:szCs w:val="16"/>
        </w:rPr>
        <w:softHyphen/>
        <w:t>ственно-авиационных станций /особенно на наших западных границах/ с точки зрения военного министерства является делом не только крайне желательным, по даже необходимым и неотложным. Такие обще</w:t>
      </w:r>
      <w:r w:rsidRPr="00DE096C">
        <w:rPr>
          <w:bCs/>
          <w:color w:val="002060"/>
          <w:sz w:val="16"/>
          <w:szCs w:val="16"/>
        </w:rPr>
        <w:softHyphen/>
        <w:t>ственно-авиационные станции могут оказать громадное влияние на развитие русской военной авиации я могут играть первенствую</w:t>
      </w:r>
      <w:r w:rsidRPr="00DE096C">
        <w:rPr>
          <w:bCs/>
          <w:color w:val="002060"/>
          <w:sz w:val="16"/>
          <w:szCs w:val="16"/>
        </w:rPr>
        <w:softHyphen/>
        <w:t>щую роль в деле воздушной обороны страны"</w:t>
      </w:r>
    </w:p>
    <w:p w14:paraId="2F28B25F" w14:textId="77777777" w:rsidR="00BD3456" w:rsidRPr="00DE096C" w:rsidRDefault="00BD3456" w:rsidP="00D45A46">
      <w:pPr>
        <w:jc w:val="both"/>
        <w:rPr>
          <w:bCs/>
          <w:color w:val="002060"/>
          <w:sz w:val="16"/>
          <w:szCs w:val="16"/>
        </w:rPr>
      </w:pPr>
      <w:r w:rsidRPr="00DE096C">
        <w:rPr>
          <w:bCs/>
          <w:color w:val="002060"/>
          <w:sz w:val="16"/>
          <w:szCs w:val="16"/>
        </w:rPr>
        <w:t>/"Известия николаевской военной академии", 1914, стр. 1100/ (23320).</w:t>
      </w:r>
    </w:p>
    <w:p w14:paraId="474FBCC1" w14:textId="77777777" w:rsidR="00BD3456" w:rsidRPr="00DE096C" w:rsidRDefault="00BD3456" w:rsidP="00D45A46">
      <w:pPr>
        <w:jc w:val="both"/>
        <w:rPr>
          <w:bCs/>
          <w:color w:val="002060"/>
          <w:sz w:val="16"/>
          <w:szCs w:val="16"/>
        </w:rPr>
      </w:pPr>
    </w:p>
    <w:p w14:paraId="59091493" w14:textId="77777777" w:rsidR="00BD3456" w:rsidRPr="00DE096C" w:rsidRDefault="00BD3456" w:rsidP="00D45A46">
      <w:pPr>
        <w:jc w:val="both"/>
        <w:rPr>
          <w:bCs/>
          <w:color w:val="002060"/>
          <w:sz w:val="16"/>
          <w:szCs w:val="16"/>
        </w:rPr>
      </w:pPr>
      <w:r w:rsidRPr="00DE096C">
        <w:rPr>
          <w:bCs/>
          <w:color w:val="002060"/>
          <w:sz w:val="16"/>
          <w:szCs w:val="16"/>
        </w:rPr>
        <w:t>17 (30) мая 1914 г. авиатор Георгий Викторовия Янковский установил новый всероссийский рекорд высоты нолета, поднявшись на самолете “Сикорский-l2" с мотором Рои 80 л.с. на высоту 8680 м. Полет продолжался 37 минут. Прежний рекорд 3420 м был установлен Г.В. Алехновичем в 1913 году. 19-го мая Янковский на том же самолете поднялся еще выше - на 3720 м.</w:t>
      </w:r>
    </w:p>
    <w:p w14:paraId="4C672AC9" w14:textId="77777777" w:rsidR="00BD3456" w:rsidRPr="00DE096C" w:rsidRDefault="00BD3456" w:rsidP="00D45A46">
      <w:pPr>
        <w:jc w:val="both"/>
        <w:rPr>
          <w:bCs/>
          <w:color w:val="002060"/>
          <w:sz w:val="16"/>
          <w:szCs w:val="16"/>
        </w:rPr>
      </w:pPr>
      <w:r w:rsidRPr="00DE096C">
        <w:rPr>
          <w:bCs/>
          <w:color w:val="002060"/>
          <w:sz w:val="16"/>
          <w:szCs w:val="16"/>
        </w:rPr>
        <w:t>/"Биржевые ведомости" за 18 мая 1914; Архив дома АиК/ (23320).</w:t>
      </w:r>
    </w:p>
    <w:p w14:paraId="2CE143A0" w14:textId="77777777" w:rsidR="00BD3456" w:rsidRPr="00DE096C" w:rsidRDefault="00BD3456" w:rsidP="00D45A46">
      <w:pPr>
        <w:jc w:val="both"/>
        <w:rPr>
          <w:bCs/>
          <w:color w:val="002060"/>
          <w:sz w:val="16"/>
          <w:szCs w:val="16"/>
        </w:rPr>
      </w:pPr>
    </w:p>
    <w:p w14:paraId="5F07FE46" w14:textId="4ADFD0D1" w:rsidR="00BC1858" w:rsidRPr="00DE096C" w:rsidRDefault="00BC1858" w:rsidP="00D45A46">
      <w:pPr>
        <w:jc w:val="both"/>
        <w:rPr>
          <w:bCs/>
          <w:i/>
          <w:color w:val="002060"/>
          <w:sz w:val="16"/>
          <w:szCs w:val="16"/>
        </w:rPr>
      </w:pPr>
      <w:r w:rsidRPr="00DE096C">
        <w:rPr>
          <w:bCs/>
          <w:i/>
          <w:color w:val="002060"/>
          <w:sz w:val="16"/>
          <w:szCs w:val="16"/>
        </w:rPr>
        <w:t>Воздухоплавание:</w:t>
      </w:r>
    </w:p>
    <w:p w14:paraId="50B2B9E4" w14:textId="77777777" w:rsidR="00BC1858" w:rsidRPr="00DE096C" w:rsidRDefault="00BC1858" w:rsidP="00D45A46">
      <w:pPr>
        <w:jc w:val="both"/>
        <w:rPr>
          <w:bCs/>
          <w:i/>
          <w:color w:val="002060"/>
          <w:sz w:val="16"/>
          <w:szCs w:val="16"/>
        </w:rPr>
      </w:pPr>
    </w:p>
    <w:p w14:paraId="4D4A4A8C" w14:textId="77777777" w:rsidR="00BC1858" w:rsidRPr="00DE096C" w:rsidRDefault="00BC1858" w:rsidP="00D45A46">
      <w:pPr>
        <w:jc w:val="both"/>
        <w:rPr>
          <w:bCs/>
          <w:color w:val="002060"/>
          <w:sz w:val="16"/>
          <w:szCs w:val="16"/>
        </w:rPr>
      </w:pPr>
      <w:r w:rsidRPr="00DE096C">
        <w:rPr>
          <w:bCs/>
          <w:color w:val="002060"/>
          <w:sz w:val="16"/>
          <w:szCs w:val="16"/>
        </w:rPr>
        <w:t>17 (30) мая 1914 поручик Е.Д. Карамышев выполнил на «Яс</w:t>
      </w:r>
      <w:r w:rsidRPr="00DE096C">
        <w:rPr>
          <w:bCs/>
          <w:color w:val="002060"/>
          <w:sz w:val="16"/>
          <w:szCs w:val="16"/>
        </w:rPr>
        <w:softHyphen/>
        <w:t>требе» полёт из С.-Петербурга в г. Лугу и обратно. После начала войны и вплоть до зимы 1915 г. на нём велось обучение пилотов-дирижаблистов (20120).</w:t>
      </w:r>
    </w:p>
    <w:p w14:paraId="361ACBD4" w14:textId="77777777" w:rsidR="00BC1858" w:rsidRPr="00DE096C" w:rsidRDefault="00BC1858" w:rsidP="00D45A46">
      <w:pPr>
        <w:shd w:val="clear" w:color="auto" w:fill="FFFFFF"/>
        <w:jc w:val="both"/>
        <w:rPr>
          <w:bCs/>
          <w:color w:val="002060"/>
          <w:sz w:val="16"/>
          <w:szCs w:val="16"/>
        </w:rPr>
      </w:pPr>
    </w:p>
    <w:bookmarkEnd w:id="24"/>
    <w:p w14:paraId="71476CBB" w14:textId="49E1774D" w:rsidR="00B033D7" w:rsidRPr="00DE096C" w:rsidRDefault="00B033D7" w:rsidP="00B033D7">
      <w:pPr>
        <w:jc w:val="both"/>
        <w:rPr>
          <w:bCs/>
          <w:i/>
          <w:color w:val="002060"/>
          <w:sz w:val="16"/>
          <w:szCs w:val="16"/>
        </w:rPr>
      </w:pPr>
      <w:r w:rsidRPr="00DE096C">
        <w:rPr>
          <w:bCs/>
          <w:i/>
          <w:color w:val="002060"/>
          <w:sz w:val="16"/>
          <w:szCs w:val="16"/>
        </w:rPr>
        <w:t>Авиация</w:t>
      </w:r>
      <w:r>
        <w:rPr>
          <w:bCs/>
          <w:i/>
          <w:color w:val="002060"/>
          <w:sz w:val="16"/>
          <w:szCs w:val="16"/>
        </w:rPr>
        <w:t xml:space="preserve"> и воздухоплавание в Англии</w:t>
      </w:r>
      <w:r w:rsidRPr="00DE096C">
        <w:rPr>
          <w:bCs/>
          <w:i/>
          <w:color w:val="002060"/>
          <w:sz w:val="16"/>
          <w:szCs w:val="16"/>
        </w:rPr>
        <w:t>:</w:t>
      </w:r>
    </w:p>
    <w:p w14:paraId="5C233C97" w14:textId="77777777" w:rsidR="00B033D7" w:rsidRPr="00DE096C" w:rsidRDefault="00B033D7" w:rsidP="00B033D7">
      <w:pPr>
        <w:jc w:val="both"/>
        <w:rPr>
          <w:bCs/>
          <w:i/>
          <w:color w:val="002060"/>
          <w:sz w:val="16"/>
          <w:szCs w:val="16"/>
        </w:rPr>
      </w:pPr>
    </w:p>
    <w:p w14:paraId="714B564B" w14:textId="77777777" w:rsidR="00B033D7" w:rsidRPr="00B52707" w:rsidRDefault="00B033D7" w:rsidP="00B033D7">
      <w:pPr>
        <w:jc w:val="both"/>
        <w:rPr>
          <w:color w:val="0070C0"/>
          <w:sz w:val="16"/>
          <w:szCs w:val="16"/>
        </w:rPr>
      </w:pPr>
      <w:r w:rsidRPr="00B52707">
        <w:rPr>
          <w:color w:val="0070C0"/>
          <w:sz w:val="16"/>
          <w:szCs w:val="16"/>
        </w:rPr>
        <w:t>17 (30) мая 1914 г. в Англии облетали первый прототип В.Е.2с., переделанный из В.Е.2а. Под руководством Бэка машину наконец-то довели до идеальной устойчивости. В перелете в Полевой лагерь сосредоточения RFC 9 июня 1914 г. майор Бранкер после набора высоты 610 м летел 40 минут до захода на посадку, не прикасаясь к рычагам управления, и самолет ни разу не изменил траекторию. В «лагере» В.Е.2с получил положительную оценку – английские военные пилоты пока хотели летать не выше, дальше и быстрее, а спокойнее и безопаснее. Они называли эту машину «курсантским самолетом» или «постоянной Дженни» (25679).</w:t>
      </w:r>
    </w:p>
    <w:p w14:paraId="723A627F" w14:textId="77777777" w:rsidR="00B033D7" w:rsidRPr="00B52707" w:rsidRDefault="00B033D7" w:rsidP="00B033D7">
      <w:pPr>
        <w:jc w:val="both"/>
        <w:rPr>
          <w:color w:val="0070C0"/>
          <w:sz w:val="16"/>
          <w:szCs w:val="16"/>
        </w:rPr>
      </w:pPr>
    </w:p>
    <w:p w14:paraId="07AA206E" w14:textId="77777777" w:rsidR="00C353E5" w:rsidRPr="00DE096C" w:rsidRDefault="00C353E5" w:rsidP="00D45A46">
      <w:pPr>
        <w:jc w:val="both"/>
        <w:rPr>
          <w:bCs/>
          <w:i/>
          <w:color w:val="002060"/>
          <w:sz w:val="16"/>
          <w:szCs w:val="16"/>
        </w:rPr>
      </w:pPr>
      <w:r w:rsidRPr="00DE096C">
        <w:rPr>
          <w:bCs/>
          <w:i/>
          <w:color w:val="002060"/>
          <w:sz w:val="16"/>
          <w:szCs w:val="16"/>
        </w:rPr>
        <w:t>Авиация:</w:t>
      </w:r>
    </w:p>
    <w:p w14:paraId="24AADB94" w14:textId="77777777" w:rsidR="00C353E5" w:rsidRPr="00DE096C" w:rsidRDefault="00C353E5" w:rsidP="00D45A46">
      <w:pPr>
        <w:jc w:val="both"/>
        <w:rPr>
          <w:bCs/>
          <w:i/>
          <w:color w:val="002060"/>
          <w:sz w:val="16"/>
          <w:szCs w:val="16"/>
        </w:rPr>
      </w:pPr>
    </w:p>
    <w:p w14:paraId="1EF1F73A" w14:textId="3AA4F49C" w:rsidR="00C353E5" w:rsidRPr="00DE096C" w:rsidRDefault="00C353E5" w:rsidP="00D45A46">
      <w:pPr>
        <w:jc w:val="both"/>
        <w:rPr>
          <w:bCs/>
          <w:color w:val="002060"/>
          <w:sz w:val="16"/>
          <w:szCs w:val="16"/>
        </w:rPr>
      </w:pPr>
      <w:r w:rsidRPr="00DE096C">
        <w:rPr>
          <w:bCs/>
          <w:color w:val="002060"/>
          <w:sz w:val="16"/>
          <w:szCs w:val="16"/>
        </w:rPr>
        <w:t>18 (</w:t>
      </w:r>
      <w:r w:rsidR="00DA3579" w:rsidRPr="00DE096C">
        <w:rPr>
          <w:bCs/>
          <w:color w:val="002060"/>
          <w:sz w:val="16"/>
          <w:szCs w:val="16"/>
        </w:rPr>
        <w:t>3</w:t>
      </w:r>
      <w:r w:rsidRPr="00DE096C">
        <w:rPr>
          <w:bCs/>
          <w:color w:val="002060"/>
          <w:sz w:val="16"/>
          <w:szCs w:val="16"/>
        </w:rPr>
        <w:t>1) мая 1914 г. француз А.Пегу снова в центре внимания москвичей. Он ле</w:t>
      </w:r>
      <w:r w:rsidRPr="00DE096C">
        <w:rPr>
          <w:bCs/>
          <w:color w:val="002060"/>
          <w:sz w:val="16"/>
          <w:szCs w:val="16"/>
        </w:rPr>
        <w:softHyphen/>
        <w:t>тал стоя в кабине, спускался вниз головой, "петлил" с пассажирами. Несмотря на высокую плату /200 руб,/ было много желающих, особенно среди дам, пожелавших пощекотать свои нервы и обязательно - на мер</w:t>
      </w:r>
      <w:r w:rsidRPr="00DE096C">
        <w:rPr>
          <w:bCs/>
          <w:color w:val="002060"/>
          <w:sz w:val="16"/>
          <w:szCs w:val="16"/>
        </w:rPr>
        <w:softHyphen/>
        <w:t>твой петле.</w:t>
      </w:r>
    </w:p>
    <w:p w14:paraId="43A63C78" w14:textId="77777777" w:rsidR="00C353E5" w:rsidRPr="00DE096C" w:rsidRDefault="00C353E5" w:rsidP="00D45A46">
      <w:pPr>
        <w:jc w:val="both"/>
        <w:rPr>
          <w:bCs/>
          <w:color w:val="002060"/>
          <w:sz w:val="16"/>
          <w:szCs w:val="16"/>
        </w:rPr>
      </w:pPr>
      <w:r w:rsidRPr="00DE096C">
        <w:rPr>
          <w:bCs/>
          <w:color w:val="002060"/>
          <w:sz w:val="16"/>
          <w:szCs w:val="16"/>
        </w:rPr>
        <w:t>/"Раннее утро" за 20 мая 1914/ (23320).</w:t>
      </w:r>
    </w:p>
    <w:p w14:paraId="5B6A9D9C" w14:textId="77777777" w:rsidR="00C353E5" w:rsidRPr="00DE096C" w:rsidRDefault="00C353E5" w:rsidP="00D45A46">
      <w:pPr>
        <w:jc w:val="both"/>
        <w:rPr>
          <w:bCs/>
          <w:color w:val="002060"/>
          <w:sz w:val="16"/>
          <w:szCs w:val="16"/>
        </w:rPr>
      </w:pPr>
    </w:p>
    <w:p w14:paraId="7445CC95" w14:textId="77777777" w:rsidR="00DA3579" w:rsidRPr="00DE096C" w:rsidRDefault="00DA3579" w:rsidP="00D45A46">
      <w:pPr>
        <w:jc w:val="both"/>
        <w:rPr>
          <w:bCs/>
          <w:color w:val="002060"/>
          <w:sz w:val="16"/>
          <w:szCs w:val="16"/>
        </w:rPr>
      </w:pPr>
      <w:r w:rsidRPr="00DE096C">
        <w:rPr>
          <w:bCs/>
          <w:color w:val="002060"/>
          <w:sz w:val="16"/>
          <w:szCs w:val="16"/>
        </w:rPr>
        <w:t>18 (31) мая 1914 г. военные летчики Н.Э.Шумский и Б.И.Троицкий на самолетах Ньюпор-4 вылетели из Севастополя в дальний полет. Поручик Шум</w:t>
      </w:r>
      <w:r w:rsidRPr="00DE096C">
        <w:rPr>
          <w:bCs/>
          <w:color w:val="002060"/>
          <w:sz w:val="16"/>
          <w:szCs w:val="16"/>
        </w:rPr>
        <w:softHyphen/>
        <w:t>ский хотел прилететь в Москву, но долетел только до Симферополя. При посадке потерпел аварию и от дальнейшего полета отказался. Капитан Троицкий, взявший курс на Баку, долетел до Владикавказа, имея по пути вынужденные посадки и поломки самолета.</w:t>
      </w:r>
    </w:p>
    <w:p w14:paraId="34C66C70" w14:textId="77777777" w:rsidR="00DA3579" w:rsidRPr="00DE096C" w:rsidRDefault="00DA3579" w:rsidP="00D45A46">
      <w:pPr>
        <w:jc w:val="both"/>
        <w:rPr>
          <w:bCs/>
          <w:color w:val="002060"/>
          <w:sz w:val="16"/>
          <w:szCs w:val="16"/>
        </w:rPr>
      </w:pPr>
      <w:r w:rsidRPr="00DE096C">
        <w:rPr>
          <w:bCs/>
          <w:color w:val="002060"/>
          <w:sz w:val="16"/>
          <w:szCs w:val="16"/>
        </w:rPr>
        <w:t>/По материалам севастопольской школы авиации/ (23320).</w:t>
      </w:r>
    </w:p>
    <w:p w14:paraId="3B3AC55A" w14:textId="77777777" w:rsidR="00DA3579" w:rsidRPr="00DE096C" w:rsidRDefault="00DA3579" w:rsidP="00D45A46">
      <w:pPr>
        <w:jc w:val="both"/>
        <w:rPr>
          <w:bCs/>
          <w:color w:val="002060"/>
          <w:sz w:val="16"/>
          <w:szCs w:val="16"/>
        </w:rPr>
      </w:pPr>
    </w:p>
    <w:p w14:paraId="21B5ACA3" w14:textId="2627C97A" w:rsidR="00A66478" w:rsidRPr="00DE096C" w:rsidRDefault="00A66478" w:rsidP="00A66478">
      <w:pPr>
        <w:jc w:val="both"/>
        <w:rPr>
          <w:bCs/>
          <w:i/>
          <w:color w:val="002060"/>
          <w:sz w:val="16"/>
          <w:szCs w:val="16"/>
        </w:rPr>
      </w:pPr>
      <w:r w:rsidRPr="00DE096C">
        <w:rPr>
          <w:bCs/>
          <w:i/>
          <w:color w:val="002060"/>
          <w:sz w:val="16"/>
          <w:szCs w:val="16"/>
        </w:rPr>
        <w:t>Авиация</w:t>
      </w:r>
      <w:r>
        <w:rPr>
          <w:bCs/>
          <w:i/>
          <w:color w:val="002060"/>
          <w:sz w:val="16"/>
          <w:szCs w:val="16"/>
        </w:rPr>
        <w:t xml:space="preserve"> и воздухоплавание за рубежом</w:t>
      </w:r>
      <w:r w:rsidRPr="00DE096C">
        <w:rPr>
          <w:bCs/>
          <w:i/>
          <w:color w:val="002060"/>
          <w:sz w:val="16"/>
          <w:szCs w:val="16"/>
        </w:rPr>
        <w:t>:</w:t>
      </w:r>
    </w:p>
    <w:p w14:paraId="51ACB7AA" w14:textId="77777777" w:rsidR="00A66478" w:rsidRPr="00DE096C" w:rsidRDefault="00A66478" w:rsidP="00A66478">
      <w:pPr>
        <w:jc w:val="both"/>
        <w:rPr>
          <w:bCs/>
          <w:i/>
          <w:color w:val="002060"/>
          <w:sz w:val="16"/>
          <w:szCs w:val="16"/>
        </w:rPr>
      </w:pPr>
    </w:p>
    <w:p w14:paraId="4884AD0C" w14:textId="77777777" w:rsidR="00A66478" w:rsidRPr="00B52707" w:rsidRDefault="00A66478" w:rsidP="00A66478">
      <w:pPr>
        <w:jc w:val="both"/>
        <w:rPr>
          <w:color w:val="0070C0"/>
          <w:sz w:val="16"/>
          <w:szCs w:val="16"/>
        </w:rPr>
      </w:pPr>
      <w:r w:rsidRPr="00B52707">
        <w:rPr>
          <w:color w:val="0070C0"/>
          <w:sz w:val="16"/>
          <w:szCs w:val="16"/>
        </w:rPr>
        <w:t>18 (31) мая 1914 года А. Кегресс получил привилегию (па</w:t>
      </w:r>
      <w:r w:rsidRPr="00B52707">
        <w:rPr>
          <w:color w:val="0070C0"/>
          <w:sz w:val="16"/>
          <w:szCs w:val="16"/>
        </w:rPr>
        <w:softHyphen/>
        <w:t>тент) № 26751 на «автомобильные сани, дви</w:t>
      </w:r>
      <w:r w:rsidRPr="00B52707">
        <w:rPr>
          <w:color w:val="0070C0"/>
          <w:sz w:val="16"/>
          <w:szCs w:val="16"/>
        </w:rPr>
        <w:softHyphen/>
        <w:t>жущиеся посредством бесконечных ремней с нажимными роликами и снабженные пово</w:t>
      </w:r>
      <w:r w:rsidRPr="00B52707">
        <w:rPr>
          <w:color w:val="0070C0"/>
          <w:sz w:val="16"/>
          <w:szCs w:val="16"/>
        </w:rPr>
        <w:softHyphen/>
        <w:t>ротными полозьями на передней оси» (25008).</w:t>
      </w:r>
    </w:p>
    <w:p w14:paraId="24EF85CB" w14:textId="77777777" w:rsidR="00A66478" w:rsidRPr="00B52707" w:rsidRDefault="00A66478" w:rsidP="00A66478">
      <w:pPr>
        <w:jc w:val="both"/>
        <w:rPr>
          <w:color w:val="0070C0"/>
          <w:sz w:val="16"/>
          <w:szCs w:val="16"/>
        </w:rPr>
      </w:pPr>
    </w:p>
    <w:p w14:paraId="5F63B5BE" w14:textId="77777777" w:rsidR="00B67D7C" w:rsidRPr="00DE096C" w:rsidRDefault="00B67D7C" w:rsidP="00D45A46">
      <w:pPr>
        <w:jc w:val="both"/>
        <w:rPr>
          <w:bCs/>
          <w:i/>
          <w:color w:val="002060"/>
          <w:sz w:val="16"/>
          <w:szCs w:val="16"/>
        </w:rPr>
      </w:pPr>
      <w:r w:rsidRPr="00DE096C">
        <w:rPr>
          <w:bCs/>
          <w:i/>
          <w:color w:val="002060"/>
          <w:sz w:val="16"/>
          <w:szCs w:val="16"/>
        </w:rPr>
        <w:t>Авиация:</w:t>
      </w:r>
    </w:p>
    <w:p w14:paraId="0F401849" w14:textId="77777777" w:rsidR="00B67D7C" w:rsidRPr="00DE096C" w:rsidRDefault="00B67D7C" w:rsidP="00D45A46">
      <w:pPr>
        <w:jc w:val="both"/>
        <w:rPr>
          <w:bCs/>
          <w:i/>
          <w:color w:val="002060"/>
          <w:sz w:val="16"/>
          <w:szCs w:val="16"/>
        </w:rPr>
      </w:pPr>
    </w:p>
    <w:p w14:paraId="28F06F54" w14:textId="0B17CA6B" w:rsidR="00B67D7C" w:rsidRPr="00DE096C" w:rsidRDefault="00B67D7C" w:rsidP="00D45A46">
      <w:pPr>
        <w:shd w:val="clear" w:color="auto" w:fill="FFFFFF"/>
        <w:jc w:val="both"/>
        <w:rPr>
          <w:bCs/>
          <w:color w:val="002060"/>
          <w:sz w:val="16"/>
          <w:szCs w:val="16"/>
        </w:rPr>
      </w:pPr>
      <w:r w:rsidRPr="00DE096C">
        <w:rPr>
          <w:bCs/>
          <w:color w:val="002060"/>
          <w:sz w:val="16"/>
          <w:szCs w:val="16"/>
        </w:rPr>
        <w:t>19 мая (</w:t>
      </w:r>
      <w:r w:rsidR="00F77EA5" w:rsidRPr="00DE096C">
        <w:rPr>
          <w:bCs/>
          <w:color w:val="002060"/>
          <w:sz w:val="16"/>
          <w:szCs w:val="16"/>
        </w:rPr>
        <w:t>1</w:t>
      </w:r>
      <w:r w:rsidRPr="00DE096C">
        <w:rPr>
          <w:bCs/>
          <w:color w:val="002060"/>
          <w:sz w:val="16"/>
          <w:szCs w:val="16"/>
        </w:rPr>
        <w:t xml:space="preserve"> июня) 1914 Янковский на том же самолете </w:t>
      </w:r>
      <w:r w:rsidR="00F77EA5" w:rsidRPr="00DE096C">
        <w:rPr>
          <w:bCs/>
          <w:color w:val="002060"/>
          <w:sz w:val="16"/>
          <w:szCs w:val="16"/>
        </w:rPr>
        <w:t xml:space="preserve">“Сикорский-12" с двигателем Рон в 80 л.с. </w:t>
      </w:r>
      <w:r w:rsidRPr="00DE096C">
        <w:rPr>
          <w:bCs/>
          <w:color w:val="002060"/>
          <w:sz w:val="16"/>
          <w:szCs w:val="16"/>
        </w:rPr>
        <w:t>поднялся на 3720 м ("Биржевые вэдомости". 1914 г. 18 мая).</w:t>
      </w:r>
    </w:p>
    <w:p w14:paraId="2AEBB5F2" w14:textId="77777777" w:rsidR="00B67D7C" w:rsidRPr="00DE096C" w:rsidRDefault="00B67D7C" w:rsidP="00D45A46">
      <w:pPr>
        <w:shd w:val="clear" w:color="auto" w:fill="FFFFFF"/>
        <w:jc w:val="both"/>
        <w:rPr>
          <w:bCs/>
          <w:color w:val="002060"/>
          <w:sz w:val="16"/>
          <w:szCs w:val="16"/>
        </w:rPr>
      </w:pPr>
    </w:p>
    <w:p w14:paraId="2FAFC2E2" w14:textId="3295C146" w:rsidR="00B67D7C" w:rsidRPr="00DE096C" w:rsidRDefault="00B67D7C" w:rsidP="00D45A46">
      <w:pPr>
        <w:jc w:val="both"/>
        <w:rPr>
          <w:bCs/>
          <w:color w:val="002060"/>
          <w:sz w:val="16"/>
          <w:szCs w:val="16"/>
        </w:rPr>
      </w:pPr>
      <w:r w:rsidRPr="00DE096C">
        <w:rPr>
          <w:bCs/>
          <w:color w:val="002060"/>
          <w:sz w:val="16"/>
          <w:szCs w:val="16"/>
        </w:rPr>
        <w:t xml:space="preserve">19 мая </w:t>
      </w:r>
      <w:r w:rsidR="00F77EA5" w:rsidRPr="00DE096C">
        <w:rPr>
          <w:bCs/>
          <w:color w:val="002060"/>
          <w:sz w:val="16"/>
          <w:szCs w:val="16"/>
        </w:rPr>
        <w:t xml:space="preserve">(1 июня) </w:t>
      </w:r>
      <w:r w:rsidRPr="00DE096C">
        <w:rPr>
          <w:bCs/>
          <w:color w:val="002060"/>
          <w:sz w:val="16"/>
          <w:szCs w:val="16"/>
        </w:rPr>
        <w:t xml:space="preserve">1914 Зверева выполнила на "Моране" "мертвую петлю". </w:t>
      </w:r>
    </w:p>
    <w:p w14:paraId="04D413E6" w14:textId="77777777" w:rsidR="00B67D7C" w:rsidRPr="00DE096C" w:rsidRDefault="00B67D7C" w:rsidP="00D45A46">
      <w:pPr>
        <w:shd w:val="clear" w:color="auto" w:fill="FFFFFF"/>
        <w:jc w:val="both"/>
        <w:rPr>
          <w:bCs/>
          <w:color w:val="002060"/>
          <w:sz w:val="16"/>
          <w:szCs w:val="16"/>
        </w:rPr>
      </w:pPr>
    </w:p>
    <w:p w14:paraId="3F2C739B" w14:textId="77777777" w:rsidR="00BC1858" w:rsidRPr="00DE096C" w:rsidRDefault="00BC1858" w:rsidP="00D45A46">
      <w:pPr>
        <w:jc w:val="both"/>
        <w:rPr>
          <w:bCs/>
          <w:color w:val="002060"/>
          <w:sz w:val="16"/>
          <w:szCs w:val="16"/>
        </w:rPr>
      </w:pPr>
      <w:r w:rsidRPr="00DE096C">
        <w:rPr>
          <w:bCs/>
          <w:color w:val="002060"/>
          <w:sz w:val="16"/>
          <w:szCs w:val="16"/>
        </w:rPr>
        <w:t>19 мая (1 июня) 1914 российская летчица Лидия Зверева, выполняющая высший пилотаж на моноплане Моран-Солнье над ипподромом в Риге в Российской Империи, становится первой женщиной, выполнившей мертвую петлю (20337).</w:t>
      </w:r>
    </w:p>
    <w:p w14:paraId="275BD42E" w14:textId="77777777" w:rsidR="00BC1858" w:rsidRPr="00DE096C" w:rsidRDefault="00BC1858" w:rsidP="00D45A46">
      <w:pPr>
        <w:jc w:val="both"/>
        <w:rPr>
          <w:bCs/>
          <w:color w:val="002060"/>
          <w:sz w:val="16"/>
          <w:szCs w:val="16"/>
        </w:rPr>
      </w:pPr>
    </w:p>
    <w:p w14:paraId="570C1015" w14:textId="1D621710" w:rsidR="00B67D7C" w:rsidRPr="00DE096C" w:rsidRDefault="00B67D7C" w:rsidP="00D45A46">
      <w:pPr>
        <w:jc w:val="both"/>
        <w:rPr>
          <w:bCs/>
          <w:color w:val="002060"/>
          <w:sz w:val="16"/>
          <w:szCs w:val="16"/>
        </w:rPr>
      </w:pPr>
      <w:r w:rsidRPr="00DE096C">
        <w:rPr>
          <w:bCs/>
          <w:color w:val="002060"/>
          <w:sz w:val="16"/>
          <w:szCs w:val="16"/>
        </w:rPr>
        <w:t xml:space="preserve">19 мая </w:t>
      </w:r>
      <w:r w:rsidR="00F77EA5" w:rsidRPr="00DE096C">
        <w:rPr>
          <w:bCs/>
          <w:color w:val="002060"/>
          <w:sz w:val="16"/>
          <w:szCs w:val="16"/>
        </w:rPr>
        <w:t xml:space="preserve">(1 июня) </w:t>
      </w:r>
      <w:r w:rsidRPr="00DE096C">
        <w:rPr>
          <w:bCs/>
          <w:color w:val="002060"/>
          <w:sz w:val="16"/>
          <w:szCs w:val="16"/>
        </w:rPr>
        <w:t>1914 года газета "Рижский вестник"</w:t>
      </w:r>
      <w:r w:rsidR="00F77EA5" w:rsidRPr="00DE096C">
        <w:rPr>
          <w:bCs/>
          <w:color w:val="002060"/>
          <w:sz w:val="16"/>
          <w:szCs w:val="16"/>
        </w:rPr>
        <w:t xml:space="preserve"> писала</w:t>
      </w:r>
      <w:r w:rsidRPr="00DE096C">
        <w:rPr>
          <w:bCs/>
          <w:color w:val="002060"/>
          <w:sz w:val="16"/>
          <w:szCs w:val="16"/>
        </w:rPr>
        <w:t>: "Моран быстро набирал высоту. 500, 600, 700 метров. На отметке 800 аэроплан неожиданно завис в воздухе и нырнул вниз. "Ах!!!" — почти одновременно вырвалось у собравшихся внизу зрителей. Но через несколько секунд вновь раздался рокот мотора — аэроплан устремился вверх и описал "петлю". Затаившая дыхание толпа взорвалась аплодисментами. А спустя еще несколько мгновений красивой спиралью самолет спланировал к самым трибунам.</w:t>
      </w:r>
    </w:p>
    <w:p w14:paraId="04D1D1F2" w14:textId="77777777" w:rsidR="00B67D7C" w:rsidRPr="00DE096C" w:rsidRDefault="00B67D7C" w:rsidP="00D45A46">
      <w:pPr>
        <w:jc w:val="both"/>
        <w:rPr>
          <w:bCs/>
          <w:color w:val="002060"/>
          <w:sz w:val="16"/>
          <w:szCs w:val="16"/>
        </w:rPr>
      </w:pPr>
      <w:r w:rsidRPr="00DE096C">
        <w:rPr>
          <w:bCs/>
          <w:color w:val="002060"/>
          <w:sz w:val="16"/>
          <w:szCs w:val="16"/>
        </w:rPr>
        <w:t>Браво! Браво! — летело со всех сторон..." Другая рижская газета в статье под заголовком "Первой русской авиатрисе — слава!" писала: "Госпожа Зверева останется у рижан в благодарной памяти как первая из дочерей Евы, познакомившая нас с высшей школой авиации..."</w:t>
      </w:r>
    </w:p>
    <w:p w14:paraId="006FDC01" w14:textId="77777777" w:rsidR="00B67D7C" w:rsidRPr="00DE096C" w:rsidRDefault="00B67D7C" w:rsidP="00D45A46">
      <w:pPr>
        <w:jc w:val="both"/>
        <w:rPr>
          <w:bCs/>
          <w:color w:val="002060"/>
          <w:sz w:val="16"/>
          <w:szCs w:val="16"/>
        </w:rPr>
      </w:pPr>
    </w:p>
    <w:p w14:paraId="45FBA0D2" w14:textId="4C46BCA9" w:rsidR="00A439B5" w:rsidRPr="00DE096C" w:rsidRDefault="00A439B5" w:rsidP="00D45A46">
      <w:pPr>
        <w:jc w:val="both"/>
        <w:rPr>
          <w:bCs/>
          <w:i/>
          <w:color w:val="002060"/>
          <w:sz w:val="16"/>
          <w:szCs w:val="16"/>
        </w:rPr>
      </w:pPr>
      <w:r w:rsidRPr="00DE096C">
        <w:rPr>
          <w:bCs/>
          <w:i/>
          <w:color w:val="002060"/>
          <w:sz w:val="16"/>
          <w:szCs w:val="16"/>
        </w:rPr>
        <w:t>Авиация и воздухоплавание Германии:</w:t>
      </w:r>
    </w:p>
    <w:p w14:paraId="2877F199" w14:textId="77777777" w:rsidR="00A439B5" w:rsidRPr="00DE096C" w:rsidRDefault="00A439B5" w:rsidP="00D45A46">
      <w:pPr>
        <w:jc w:val="both"/>
        <w:rPr>
          <w:bCs/>
          <w:i/>
          <w:color w:val="002060"/>
          <w:sz w:val="16"/>
          <w:szCs w:val="16"/>
        </w:rPr>
      </w:pPr>
    </w:p>
    <w:p w14:paraId="1C7C480F" w14:textId="17DDBFC7" w:rsidR="00A439B5" w:rsidRPr="00DE096C" w:rsidRDefault="00D23C10" w:rsidP="00D45A46">
      <w:pPr>
        <w:jc w:val="both"/>
        <w:rPr>
          <w:bCs/>
          <w:color w:val="002060"/>
          <w:sz w:val="16"/>
          <w:szCs w:val="16"/>
          <w:lang w:bidi="en-US"/>
        </w:rPr>
      </w:pPr>
      <w:r w:rsidRPr="00DE096C">
        <w:rPr>
          <w:bCs/>
          <w:color w:val="002060"/>
          <w:sz w:val="16"/>
          <w:szCs w:val="16"/>
          <w:lang w:bidi="en-US"/>
        </w:rPr>
        <w:t>19 мая (</w:t>
      </w:r>
      <w:r w:rsidR="00A439B5" w:rsidRPr="00DE096C">
        <w:rPr>
          <w:bCs/>
          <w:color w:val="002060"/>
          <w:sz w:val="16"/>
          <w:szCs w:val="16"/>
          <w:lang w:bidi="en-US"/>
        </w:rPr>
        <w:t>1 июня</w:t>
      </w:r>
      <w:r w:rsidRPr="00DE096C">
        <w:rPr>
          <w:bCs/>
          <w:color w:val="002060"/>
          <w:sz w:val="16"/>
          <w:szCs w:val="16"/>
          <w:lang w:bidi="en-US"/>
        </w:rPr>
        <w:t>)</w:t>
      </w:r>
      <w:r w:rsidR="00A439B5" w:rsidRPr="00DE096C">
        <w:rPr>
          <w:bCs/>
          <w:color w:val="002060"/>
          <w:sz w:val="16"/>
          <w:szCs w:val="16"/>
          <w:lang w:bidi="en-US"/>
        </w:rPr>
        <w:t xml:space="preserve"> 1914 года немецкое верховное командование, убежденное в том, что авиация будет играть важную роль в будущей войне, создало в составе военного министерства авиационный отдел, который составлял графики потребности в самолетах (23525).</w:t>
      </w:r>
    </w:p>
    <w:p w14:paraId="6B70BDBA" w14:textId="77777777" w:rsidR="00A439B5" w:rsidRPr="00DE096C" w:rsidRDefault="00A439B5" w:rsidP="00D45A46">
      <w:pPr>
        <w:jc w:val="both"/>
        <w:rPr>
          <w:bCs/>
          <w:i/>
          <w:color w:val="002060"/>
          <w:sz w:val="16"/>
          <w:szCs w:val="16"/>
        </w:rPr>
      </w:pPr>
    </w:p>
    <w:p w14:paraId="6FC33FE8" w14:textId="3FA29D94" w:rsidR="00A66478" w:rsidRPr="00DE096C" w:rsidRDefault="00A66478" w:rsidP="00A66478">
      <w:pPr>
        <w:jc w:val="both"/>
        <w:rPr>
          <w:bCs/>
          <w:i/>
          <w:color w:val="002060"/>
          <w:sz w:val="16"/>
          <w:szCs w:val="16"/>
        </w:rPr>
      </w:pPr>
      <w:r w:rsidRPr="00DE096C">
        <w:rPr>
          <w:bCs/>
          <w:i/>
          <w:color w:val="002060"/>
          <w:sz w:val="16"/>
          <w:szCs w:val="16"/>
        </w:rPr>
        <w:t xml:space="preserve">Авиация и воздухоплавание </w:t>
      </w:r>
      <w:r>
        <w:rPr>
          <w:bCs/>
          <w:i/>
          <w:color w:val="002060"/>
          <w:sz w:val="16"/>
          <w:szCs w:val="16"/>
        </w:rPr>
        <w:t>Англии</w:t>
      </w:r>
      <w:r w:rsidRPr="00DE096C">
        <w:rPr>
          <w:bCs/>
          <w:i/>
          <w:color w:val="002060"/>
          <w:sz w:val="16"/>
          <w:szCs w:val="16"/>
        </w:rPr>
        <w:t>:</w:t>
      </w:r>
    </w:p>
    <w:p w14:paraId="307795A7" w14:textId="77777777" w:rsidR="00A66478" w:rsidRPr="00DE096C" w:rsidRDefault="00A66478" w:rsidP="00A66478">
      <w:pPr>
        <w:jc w:val="both"/>
        <w:rPr>
          <w:bCs/>
          <w:i/>
          <w:color w:val="002060"/>
          <w:sz w:val="16"/>
          <w:szCs w:val="16"/>
        </w:rPr>
      </w:pPr>
    </w:p>
    <w:p w14:paraId="39BD5735" w14:textId="77777777" w:rsidR="00A66478" w:rsidRPr="00B52707" w:rsidRDefault="00A66478" w:rsidP="00A66478">
      <w:pPr>
        <w:jc w:val="both"/>
        <w:rPr>
          <w:color w:val="0070C0"/>
          <w:sz w:val="16"/>
          <w:szCs w:val="16"/>
        </w:rPr>
      </w:pPr>
      <w:r w:rsidRPr="00B52707">
        <w:rPr>
          <w:rStyle w:val="ab"/>
          <w:rFonts w:ascii="Times New Roman" w:hAnsi="Times New Roman"/>
          <w:color w:val="0070C0"/>
          <w:spacing w:val="0"/>
          <w:sz w:val="16"/>
          <w:szCs w:val="16"/>
        </w:rPr>
        <w:t>19 мая (1 июня) 1914 г. американский пилот Дж. Купер вылетел из Европы в Азию, то есть через Мрамор</w:t>
      </w:r>
      <w:r w:rsidRPr="00B52707">
        <w:rPr>
          <w:rStyle w:val="ab"/>
          <w:rFonts w:ascii="Times New Roman" w:hAnsi="Times New Roman"/>
          <w:color w:val="0070C0"/>
          <w:spacing w:val="0"/>
          <w:sz w:val="16"/>
          <w:szCs w:val="16"/>
        </w:rPr>
        <w:softHyphen/>
        <w:t>ное море на азиатскую сторо</w:t>
      </w:r>
      <w:r w:rsidRPr="00B52707">
        <w:rPr>
          <w:rStyle w:val="ab"/>
          <w:rFonts w:ascii="Times New Roman" w:hAnsi="Times New Roman"/>
          <w:color w:val="0070C0"/>
          <w:spacing w:val="0"/>
          <w:sz w:val="16"/>
          <w:szCs w:val="16"/>
        </w:rPr>
        <w:softHyphen/>
        <w:t>ну города Стамбул (25675).</w:t>
      </w:r>
    </w:p>
    <w:p w14:paraId="2FC76C63" w14:textId="77777777" w:rsidR="00A66478" w:rsidRPr="00B52707" w:rsidRDefault="00A66478" w:rsidP="00A66478">
      <w:pPr>
        <w:jc w:val="both"/>
        <w:rPr>
          <w:color w:val="0070C0"/>
          <w:sz w:val="16"/>
          <w:szCs w:val="16"/>
        </w:rPr>
      </w:pPr>
    </w:p>
    <w:p w14:paraId="5E57B07C" w14:textId="7C4E85D2" w:rsidR="00B67D7C" w:rsidRPr="00DE096C" w:rsidRDefault="00B67D7C" w:rsidP="00D45A46">
      <w:pPr>
        <w:jc w:val="both"/>
        <w:rPr>
          <w:bCs/>
          <w:i/>
          <w:color w:val="002060"/>
          <w:sz w:val="16"/>
          <w:szCs w:val="16"/>
        </w:rPr>
      </w:pPr>
      <w:r w:rsidRPr="00DE096C">
        <w:rPr>
          <w:bCs/>
          <w:i/>
          <w:color w:val="002060"/>
          <w:sz w:val="16"/>
          <w:szCs w:val="16"/>
        </w:rPr>
        <w:t>Авиация:</w:t>
      </w:r>
    </w:p>
    <w:p w14:paraId="651A5FA2" w14:textId="77777777" w:rsidR="00B67D7C" w:rsidRPr="00DE096C" w:rsidRDefault="00B67D7C" w:rsidP="00D45A46">
      <w:pPr>
        <w:jc w:val="both"/>
        <w:rPr>
          <w:bCs/>
          <w:i/>
          <w:color w:val="002060"/>
          <w:sz w:val="16"/>
          <w:szCs w:val="16"/>
        </w:rPr>
      </w:pPr>
    </w:p>
    <w:p w14:paraId="3FD3C64F" w14:textId="0D80744E" w:rsidR="00ED7EE8" w:rsidRPr="00DE096C" w:rsidRDefault="00ED7EE8" w:rsidP="00D45A46">
      <w:pPr>
        <w:jc w:val="both"/>
        <w:rPr>
          <w:bCs/>
          <w:color w:val="002060"/>
          <w:sz w:val="16"/>
          <w:szCs w:val="16"/>
        </w:rPr>
      </w:pPr>
      <w:r w:rsidRPr="00DE096C">
        <w:rPr>
          <w:bCs/>
          <w:color w:val="002060"/>
          <w:sz w:val="16"/>
          <w:szCs w:val="16"/>
        </w:rPr>
        <w:t xml:space="preserve">20 мая </w:t>
      </w:r>
      <w:r w:rsidR="00F77EA5" w:rsidRPr="00DE096C">
        <w:rPr>
          <w:bCs/>
          <w:color w:val="002060"/>
          <w:sz w:val="16"/>
          <w:szCs w:val="16"/>
        </w:rPr>
        <w:t xml:space="preserve">(2 июня) </w:t>
      </w:r>
      <w:r w:rsidRPr="00DE096C">
        <w:rPr>
          <w:bCs/>
          <w:color w:val="002060"/>
          <w:sz w:val="16"/>
          <w:szCs w:val="16"/>
        </w:rPr>
        <w:t xml:space="preserve">1914 г. Начальник ГШ утвердил «Временные правила командирования офицеров всех родов войск в авиационные части для обучения службе разведки и наблюдения с аэропланов» и «Программу подготовки офицеров разведки и наблюдателей», рассчитанную на трехмесячный курс обучения. В каждый корпусной и крепостной отряды могли быть командированы для обучения несколько офицеров. Подготовка мотористов и механиков велась в гражданских вузах, авиашколах и частично – в авиаротах. Резерв этой категории авиационных кадров составляли авиаспециалисты, работавшие в аэроклубах, на заводах и др. После призыва в армию они направлялись в авиачасти, где в повседневной работе совершенствовались в эксплуатации и ремонте авиатехники. Таким образом, к началу войны в России была в целом налажена подготовка авиационных кадров. Основу ее составляли две авиашколы по обучению военных летчиков. В это время в Германии военных авиашкол не было вообще, а подготовка летчиков-офицеров осуществлялась только при заводах. Концепция Генерального штаба России в отношении подготовки авиационных, прежде всего летных, кадров перед Первой мировой войной строилась на убеждении, что война будет кратковременной и поэтому авиашколы переводить на особый </w:t>
      </w:r>
      <w:r w:rsidRPr="00DE096C">
        <w:rPr>
          <w:bCs/>
          <w:color w:val="002060"/>
          <w:sz w:val="16"/>
          <w:szCs w:val="16"/>
        </w:rPr>
        <w:lastRenderedPageBreak/>
        <w:t>режим работы в военное время нет необходимости. Считалось, что подготовленных военных и аэроклубовских летчиков будет достаточно для укомплектования авиаотрядов (19566).</w:t>
      </w:r>
    </w:p>
    <w:p w14:paraId="3A6B933A" w14:textId="77777777" w:rsidR="00ED7EE8" w:rsidRPr="00DE096C" w:rsidRDefault="00ED7EE8" w:rsidP="00D45A46">
      <w:pPr>
        <w:jc w:val="both"/>
        <w:rPr>
          <w:bCs/>
          <w:color w:val="002060"/>
          <w:sz w:val="16"/>
          <w:szCs w:val="16"/>
        </w:rPr>
      </w:pPr>
    </w:p>
    <w:p w14:paraId="4BFBD955" w14:textId="10E044F6" w:rsidR="00B67D7C" w:rsidRPr="00DE096C" w:rsidRDefault="00B67D7C" w:rsidP="00D45A46">
      <w:pPr>
        <w:jc w:val="both"/>
        <w:rPr>
          <w:bCs/>
          <w:color w:val="002060"/>
          <w:sz w:val="16"/>
          <w:szCs w:val="16"/>
        </w:rPr>
      </w:pPr>
      <w:r w:rsidRPr="00DE096C">
        <w:rPr>
          <w:bCs/>
          <w:color w:val="002060"/>
          <w:sz w:val="16"/>
          <w:szCs w:val="16"/>
        </w:rPr>
        <w:t xml:space="preserve">20 мая (2 июня) 1914 </w:t>
      </w:r>
      <w:r w:rsidR="00F77EA5" w:rsidRPr="00DE096C">
        <w:rPr>
          <w:bCs/>
          <w:color w:val="002060"/>
          <w:sz w:val="16"/>
          <w:szCs w:val="16"/>
        </w:rPr>
        <w:t xml:space="preserve">г. </w:t>
      </w:r>
      <w:r w:rsidRPr="00DE096C">
        <w:rPr>
          <w:bCs/>
          <w:color w:val="002060"/>
          <w:sz w:val="16"/>
          <w:szCs w:val="16"/>
        </w:rPr>
        <w:t>была утверждена и «Программа подготовки офицеров разведки и наблюдателей», рассчитанная на три месяца обучения (РГВИА. Ф. 802. Оп. 1. Д. 1069. Л. 153; Оп. 3. Д. 300. Л. 16—23; Ф. 2000. Оп. 2. Д. 230. Л. 16—18.). Подготовка мотористов и механиков велась в обеих авиашколах и частично в авиаротах. Резерв составляли специалисты аэроклубов, заводов и других гражданских учреждений, направлявшиеся после призыва в качестве нижних чинов в авиачасти, где они совершенствовали свои знания и навыки по эксплуатации и ремонту авиатехники. ТАКИМ образом, к началу войны в России в основном сложилась система подготовки авиационных кадров. В этой связи уместно отметить, что перед войной в Германии военных авиашкол не было вообще, и летная подготовка офицеров осуществлялась только при заводах (РГВИА. Ф. 844. Оп. 1. Д. 41. Л. 3).</w:t>
      </w:r>
    </w:p>
    <w:p w14:paraId="17CD73BD" w14:textId="77777777" w:rsidR="00B67D7C" w:rsidRPr="00DE096C" w:rsidRDefault="00B67D7C" w:rsidP="00D45A46">
      <w:pPr>
        <w:jc w:val="both"/>
        <w:rPr>
          <w:bCs/>
          <w:color w:val="002060"/>
          <w:sz w:val="16"/>
          <w:szCs w:val="16"/>
        </w:rPr>
      </w:pPr>
    </w:p>
    <w:p w14:paraId="3FDDD5AE" w14:textId="494ECA42" w:rsidR="00B67D7C" w:rsidRPr="00DE096C" w:rsidRDefault="00B67D7C" w:rsidP="00D45A46">
      <w:pPr>
        <w:jc w:val="both"/>
        <w:rPr>
          <w:bCs/>
          <w:color w:val="002060"/>
          <w:sz w:val="16"/>
          <w:szCs w:val="16"/>
        </w:rPr>
      </w:pPr>
      <w:r w:rsidRPr="00DE096C">
        <w:rPr>
          <w:bCs/>
          <w:color w:val="002060"/>
          <w:sz w:val="16"/>
          <w:szCs w:val="16"/>
        </w:rPr>
        <w:t>20 мая (2 июня) 1914</w:t>
      </w:r>
      <w:r w:rsidR="00F77EA5" w:rsidRPr="00DE096C">
        <w:rPr>
          <w:bCs/>
          <w:color w:val="002060"/>
          <w:sz w:val="16"/>
          <w:szCs w:val="16"/>
        </w:rPr>
        <w:t xml:space="preserve"> г.</w:t>
      </w:r>
      <w:r w:rsidRPr="00DE096C">
        <w:rPr>
          <w:bCs/>
          <w:color w:val="002060"/>
          <w:sz w:val="16"/>
          <w:szCs w:val="16"/>
        </w:rPr>
        <w:t xml:space="preserve"> начальник ГШ утвердил «Временные правила командирования офицеров всех родов войск в авиационные части для обучения службе разведки и наблюдения с аэропланов», исходя из которых в каждый корпусной и крепостной отряды могли быть командированы три и четыре офицера соответственно. В тот же день была утверждена и «Программа подготовки офицеров разведки и наблюдателей», рассчитанная на три месяца обучения (РГВИА. Ф. 802. Оп. 1. Д. 1069. Л. 153; Оп. 3. Д. 300. Л. 16—23; Ф. 2000. Оп. 2. Д. 230. Л. 16—18.). Подготовка мотористов и механиков велась в обеих авиашколах и частично в авиаротах. Резерв составляли специалисты аэроклубов, заводов и других гражданских учреждений, направлявшиеся после призыва в качестве нижних чинов в авиачасти, где они совершенствовали свои знания и навыки по эксплуатации и ремонту авиатехники.</w:t>
      </w:r>
    </w:p>
    <w:p w14:paraId="3C5B3AA5" w14:textId="77777777" w:rsidR="00B67D7C" w:rsidRPr="00DE096C" w:rsidRDefault="00B67D7C" w:rsidP="00D45A46">
      <w:pPr>
        <w:jc w:val="both"/>
        <w:rPr>
          <w:bCs/>
          <w:color w:val="002060"/>
          <w:sz w:val="16"/>
          <w:szCs w:val="16"/>
        </w:rPr>
      </w:pPr>
      <w:r w:rsidRPr="00DE096C">
        <w:rPr>
          <w:bCs/>
          <w:color w:val="002060"/>
          <w:sz w:val="16"/>
          <w:szCs w:val="16"/>
        </w:rPr>
        <w:t>ТАКИМ образом, к началу войны в России в основном сложилась система подготовки авиационных кадров. В этой связи уместно отметить, что перед войной в Германии военных авиашкол не было вообще, и летная подготовка офицеров осуществлялась только при заводах (РГВИА. Ф. 844. Оп. 1. Д. 41. Л. 3).</w:t>
      </w:r>
    </w:p>
    <w:p w14:paraId="12E59BE5" w14:textId="77777777" w:rsidR="00B67D7C" w:rsidRPr="00DE096C" w:rsidRDefault="00B67D7C" w:rsidP="00D45A46">
      <w:pPr>
        <w:jc w:val="both"/>
        <w:rPr>
          <w:bCs/>
          <w:color w:val="002060"/>
          <w:sz w:val="16"/>
          <w:szCs w:val="16"/>
        </w:rPr>
      </w:pPr>
    </w:p>
    <w:p w14:paraId="0D9A4C67" w14:textId="77777777" w:rsidR="00ED7EE8" w:rsidRPr="00DE096C" w:rsidRDefault="00ED7EE8" w:rsidP="00D45A46">
      <w:pPr>
        <w:jc w:val="both"/>
        <w:rPr>
          <w:bCs/>
          <w:i/>
          <w:color w:val="002060"/>
          <w:sz w:val="16"/>
          <w:szCs w:val="16"/>
        </w:rPr>
      </w:pPr>
      <w:r w:rsidRPr="00DE096C">
        <w:rPr>
          <w:bCs/>
          <w:i/>
          <w:color w:val="002060"/>
          <w:sz w:val="16"/>
          <w:szCs w:val="16"/>
        </w:rPr>
        <w:t>Авиация и воздухоплавание за рубежом:</w:t>
      </w:r>
    </w:p>
    <w:p w14:paraId="7371C556" w14:textId="77777777" w:rsidR="00ED7EE8" w:rsidRPr="00DE096C" w:rsidRDefault="00ED7EE8" w:rsidP="00D45A46">
      <w:pPr>
        <w:jc w:val="both"/>
        <w:rPr>
          <w:bCs/>
          <w:i/>
          <w:color w:val="002060"/>
          <w:sz w:val="16"/>
          <w:szCs w:val="16"/>
        </w:rPr>
      </w:pPr>
    </w:p>
    <w:p w14:paraId="6EAC5DBD" w14:textId="24B56DB6" w:rsidR="00ED7EE8" w:rsidRPr="00DE096C" w:rsidRDefault="00ED7EE8" w:rsidP="00D45A46">
      <w:pPr>
        <w:jc w:val="both"/>
        <w:rPr>
          <w:bCs/>
          <w:color w:val="002060"/>
          <w:sz w:val="16"/>
          <w:szCs w:val="16"/>
        </w:rPr>
      </w:pPr>
      <w:r w:rsidRPr="00DE096C">
        <w:rPr>
          <w:bCs/>
          <w:color w:val="002060"/>
          <w:sz w:val="16"/>
          <w:szCs w:val="16"/>
        </w:rPr>
        <w:t>2</w:t>
      </w:r>
      <w:r w:rsidR="00F77EA5" w:rsidRPr="00DE096C">
        <w:rPr>
          <w:bCs/>
          <w:color w:val="002060"/>
          <w:sz w:val="16"/>
          <w:szCs w:val="16"/>
        </w:rPr>
        <w:t>1</w:t>
      </w:r>
      <w:r w:rsidRPr="00DE096C">
        <w:rPr>
          <w:bCs/>
          <w:color w:val="002060"/>
          <w:sz w:val="16"/>
          <w:szCs w:val="16"/>
        </w:rPr>
        <w:t xml:space="preserve"> мая (3 июня) в 1914 году</w:t>
      </w:r>
      <w:r w:rsidR="00F77EA5" w:rsidRPr="00DE096C">
        <w:rPr>
          <w:bCs/>
          <w:color w:val="002060"/>
          <w:sz w:val="16"/>
          <w:szCs w:val="16"/>
        </w:rPr>
        <w:t xml:space="preserve"> состоялось</w:t>
      </w:r>
      <w:r w:rsidRPr="00DE096C">
        <w:rPr>
          <w:bCs/>
          <w:color w:val="002060"/>
          <w:sz w:val="16"/>
          <w:szCs w:val="16"/>
        </w:rPr>
        <w:t xml:space="preserve"> первое применение автопилота. Изобретатель автопилота Эльмар Амвросий Сперри показал прибор в действии. Полет был проведен во Франции на трехместном гироплане (14911).</w:t>
      </w:r>
    </w:p>
    <w:p w14:paraId="65951245" w14:textId="77777777" w:rsidR="00ED7EE8" w:rsidRPr="00DE096C" w:rsidRDefault="00ED7EE8" w:rsidP="00D45A46">
      <w:pPr>
        <w:jc w:val="both"/>
        <w:rPr>
          <w:bCs/>
          <w:color w:val="002060"/>
          <w:sz w:val="16"/>
          <w:szCs w:val="16"/>
        </w:rPr>
      </w:pPr>
    </w:p>
    <w:p w14:paraId="22EACF96" w14:textId="77777777" w:rsidR="00B67D7C" w:rsidRPr="00DE096C" w:rsidRDefault="00B67D7C" w:rsidP="00D45A46">
      <w:pPr>
        <w:jc w:val="both"/>
        <w:rPr>
          <w:bCs/>
          <w:i/>
          <w:color w:val="002060"/>
          <w:sz w:val="16"/>
          <w:szCs w:val="16"/>
        </w:rPr>
      </w:pPr>
      <w:r w:rsidRPr="00DE096C">
        <w:rPr>
          <w:bCs/>
          <w:i/>
          <w:color w:val="002060"/>
          <w:sz w:val="16"/>
          <w:szCs w:val="16"/>
        </w:rPr>
        <w:t>Морская авиация:</w:t>
      </w:r>
    </w:p>
    <w:p w14:paraId="252A8443" w14:textId="77777777" w:rsidR="00B67D7C" w:rsidRPr="00DE096C" w:rsidRDefault="00B67D7C" w:rsidP="00D45A46">
      <w:pPr>
        <w:jc w:val="both"/>
        <w:rPr>
          <w:bCs/>
          <w:i/>
          <w:color w:val="002060"/>
          <w:sz w:val="16"/>
          <w:szCs w:val="16"/>
        </w:rPr>
      </w:pPr>
    </w:p>
    <w:p w14:paraId="75D41BA0" w14:textId="24DB93E8" w:rsidR="00B67D7C" w:rsidRPr="00DE096C" w:rsidRDefault="00B67D7C" w:rsidP="00D45A46">
      <w:pPr>
        <w:jc w:val="both"/>
        <w:rPr>
          <w:bCs/>
          <w:color w:val="002060"/>
          <w:sz w:val="16"/>
          <w:szCs w:val="16"/>
        </w:rPr>
      </w:pPr>
      <w:r w:rsidRPr="00DE096C">
        <w:rPr>
          <w:bCs/>
          <w:color w:val="002060"/>
          <w:sz w:val="16"/>
          <w:szCs w:val="16"/>
        </w:rPr>
        <w:t>21 мая</w:t>
      </w:r>
      <w:r w:rsidR="00F77EA5" w:rsidRPr="00DE096C">
        <w:rPr>
          <w:bCs/>
          <w:color w:val="002060"/>
          <w:sz w:val="16"/>
          <w:szCs w:val="16"/>
        </w:rPr>
        <w:t xml:space="preserve"> </w:t>
      </w:r>
      <w:r w:rsidRPr="00DE096C">
        <w:rPr>
          <w:bCs/>
          <w:color w:val="002060"/>
          <w:sz w:val="16"/>
          <w:szCs w:val="16"/>
        </w:rPr>
        <w:t xml:space="preserve">(3 июня) </w:t>
      </w:r>
      <w:r w:rsidR="00F77EA5" w:rsidRPr="00DE096C">
        <w:rPr>
          <w:bCs/>
          <w:color w:val="002060"/>
          <w:sz w:val="16"/>
          <w:szCs w:val="16"/>
        </w:rPr>
        <w:t xml:space="preserve">1914 г. морские летчики </w:t>
      </w:r>
      <w:r w:rsidRPr="00DE096C">
        <w:rPr>
          <w:bCs/>
          <w:color w:val="002060"/>
          <w:sz w:val="16"/>
          <w:szCs w:val="16"/>
        </w:rPr>
        <w:t xml:space="preserve">Щербачев и Шишков получили предписание выехать в Англию. [47] </w:t>
      </w:r>
    </w:p>
    <w:p w14:paraId="6534BEC3" w14:textId="77777777" w:rsidR="00B67D7C" w:rsidRPr="00DE096C" w:rsidRDefault="00B67D7C" w:rsidP="00D45A46">
      <w:pPr>
        <w:jc w:val="both"/>
        <w:rPr>
          <w:bCs/>
          <w:color w:val="002060"/>
          <w:sz w:val="16"/>
          <w:szCs w:val="16"/>
        </w:rPr>
      </w:pPr>
      <w:r w:rsidRPr="00DE096C">
        <w:rPr>
          <w:bCs/>
          <w:color w:val="002060"/>
          <w:sz w:val="16"/>
          <w:szCs w:val="16"/>
        </w:rPr>
        <w:t xml:space="preserve">Стоимость указанных гидросамолетов превышала 10 тыс. рублей, и по существовавшему положению на их приобретение требовалось разрешение министерства торговли и промышленности, которое на запрос морского министерства высказало пожелание, чтобы часть самолетов была приобретена на русских заводах, в частности на заводе Щетинина. На это Морской Генеральный штаб сообщил: </w:t>
      </w:r>
    </w:p>
    <w:p w14:paraId="33871F93" w14:textId="77777777" w:rsidR="00B67D7C" w:rsidRPr="00DE096C" w:rsidRDefault="00B67D7C" w:rsidP="00D45A46">
      <w:pPr>
        <w:pStyle w:val="Blockquote"/>
        <w:spacing w:before="0" w:after="0"/>
        <w:ind w:left="0" w:right="0"/>
        <w:jc w:val="both"/>
        <w:rPr>
          <w:bCs/>
          <w:color w:val="002060"/>
          <w:sz w:val="16"/>
          <w:szCs w:val="16"/>
        </w:rPr>
      </w:pPr>
      <w:r w:rsidRPr="00DE096C">
        <w:rPr>
          <w:bCs/>
          <w:color w:val="002060"/>
          <w:sz w:val="16"/>
          <w:szCs w:val="16"/>
        </w:rPr>
        <w:t>«...за границей появились новые типы гидросамолетов и для выбора наилучших необходимо заказать их небольшими сериями для нескольких летчиков, чтобы получить все необходимые данные об этих аппаратах. Что касается постройки летающей лодки Щетинина, то в случае ее положительных испытаний предполагается дать заводу заказ на несколько лодок для всесторонних испытаний. Однако ожидать результатов этих испытаний МГШ не считает возможным и полагает теперь же заказать за границей 24 гидросамолета разных систем».</w:t>
      </w:r>
    </w:p>
    <w:p w14:paraId="61D310FC" w14:textId="77777777" w:rsidR="00B67D7C" w:rsidRPr="00DE096C" w:rsidRDefault="00B67D7C" w:rsidP="00D45A46">
      <w:pPr>
        <w:jc w:val="both"/>
        <w:rPr>
          <w:bCs/>
          <w:color w:val="002060"/>
          <w:sz w:val="16"/>
          <w:szCs w:val="16"/>
        </w:rPr>
      </w:pPr>
      <w:r w:rsidRPr="00DE096C">
        <w:rPr>
          <w:bCs/>
          <w:color w:val="002060"/>
          <w:sz w:val="16"/>
          <w:szCs w:val="16"/>
        </w:rPr>
        <w:t xml:space="preserve">Одновременно МГШ сообщил правлению завода Щетинина, что он предлагает провести испытания на авиастанции в Либаве заводским пилотом строящейся на заводе лодки. В случае успеха испытаний лодка будет приобретена морским ведомством, и если покажет потом хорошие результаты, то заводу будет дан заказ на несколько их штук. </w:t>
      </w:r>
    </w:p>
    <w:p w14:paraId="793F716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Альбатросы </w:t>
      </w:r>
    </w:p>
    <w:p w14:paraId="11EF79A8" w14:textId="77777777" w:rsidR="00B67D7C" w:rsidRPr="00DE096C" w:rsidRDefault="00B67D7C" w:rsidP="00D45A46">
      <w:pPr>
        <w:shd w:val="clear" w:color="auto" w:fill="FFFFFF"/>
        <w:jc w:val="both"/>
        <w:rPr>
          <w:bCs/>
          <w:color w:val="002060"/>
          <w:sz w:val="16"/>
          <w:szCs w:val="16"/>
        </w:rPr>
      </w:pPr>
    </w:p>
    <w:p w14:paraId="40B42D73" w14:textId="115D5D25"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21 мая </w:t>
      </w:r>
      <w:r w:rsidR="00F77EA5" w:rsidRPr="00DE096C">
        <w:rPr>
          <w:bCs/>
          <w:color w:val="002060"/>
          <w:sz w:val="16"/>
          <w:szCs w:val="16"/>
        </w:rPr>
        <w:t xml:space="preserve">(3 июня) </w:t>
      </w:r>
      <w:r w:rsidRPr="00DE096C">
        <w:rPr>
          <w:bCs/>
          <w:color w:val="002060"/>
          <w:sz w:val="16"/>
          <w:szCs w:val="16"/>
        </w:rPr>
        <w:t>1914 г. предста</w:t>
      </w:r>
      <w:r w:rsidRPr="00DE096C">
        <w:rPr>
          <w:bCs/>
          <w:color w:val="002060"/>
          <w:sz w:val="16"/>
          <w:szCs w:val="16"/>
        </w:rPr>
        <w:softHyphen/>
        <w:t>вители Балтийского флота (испол</w:t>
      </w:r>
      <w:r w:rsidRPr="00DE096C">
        <w:rPr>
          <w:bCs/>
          <w:color w:val="002060"/>
          <w:sz w:val="16"/>
          <w:szCs w:val="16"/>
        </w:rPr>
        <w:softHyphen/>
        <w:t>няющий должность начальника авиационной станции в порту им</w:t>
      </w:r>
      <w:r w:rsidRPr="00DE096C">
        <w:rPr>
          <w:bCs/>
          <w:color w:val="002060"/>
          <w:sz w:val="16"/>
          <w:szCs w:val="16"/>
        </w:rPr>
        <w:softHyphen/>
        <w:t xml:space="preserve">ператора Александра </w:t>
      </w:r>
      <w:r w:rsidRPr="00DE096C">
        <w:rPr>
          <w:bCs/>
          <w:color w:val="002060"/>
          <w:sz w:val="16"/>
          <w:szCs w:val="16"/>
          <w:lang w:val="en-US"/>
        </w:rPr>
        <w:t>III</w:t>
      </w:r>
      <w:r w:rsidRPr="00DE096C">
        <w:rPr>
          <w:bCs/>
          <w:color w:val="002060"/>
          <w:sz w:val="16"/>
          <w:szCs w:val="16"/>
        </w:rPr>
        <w:t xml:space="preserve"> старший лейтенант Щербачев и инженер по авиационной части Шишков) полу</w:t>
      </w:r>
      <w:r w:rsidRPr="00DE096C">
        <w:rPr>
          <w:bCs/>
          <w:color w:val="002060"/>
          <w:sz w:val="16"/>
          <w:szCs w:val="16"/>
        </w:rPr>
        <w:softHyphen/>
        <w:t>чили предписание выехать в Англию. Им дали самые подробные инструк</w:t>
      </w:r>
      <w:r w:rsidRPr="00DE096C">
        <w:rPr>
          <w:bCs/>
          <w:color w:val="002060"/>
          <w:sz w:val="16"/>
          <w:szCs w:val="16"/>
        </w:rPr>
        <w:softHyphen/>
        <w:t>ции относительно методики подхо</w:t>
      </w:r>
      <w:r w:rsidRPr="00DE096C">
        <w:rPr>
          <w:bCs/>
          <w:color w:val="002060"/>
          <w:sz w:val="16"/>
          <w:szCs w:val="16"/>
        </w:rPr>
        <w:softHyphen/>
        <w:t>да к оценке и выбору летательного аппарата и категорическое указа</w:t>
      </w:r>
      <w:r w:rsidRPr="00DE096C">
        <w:rPr>
          <w:bCs/>
          <w:color w:val="002060"/>
          <w:sz w:val="16"/>
          <w:szCs w:val="16"/>
        </w:rPr>
        <w:softHyphen/>
        <w:t>ние: «Все аэропланы должны быть опробованы вами в полете, и толь</w:t>
      </w:r>
      <w:r w:rsidRPr="00DE096C">
        <w:rPr>
          <w:bCs/>
          <w:color w:val="002060"/>
          <w:sz w:val="16"/>
          <w:szCs w:val="16"/>
        </w:rPr>
        <w:softHyphen/>
        <w:t>ко после этого могут быть заключа</w:t>
      </w:r>
      <w:r w:rsidRPr="00DE096C">
        <w:rPr>
          <w:bCs/>
          <w:color w:val="002060"/>
          <w:sz w:val="16"/>
          <w:szCs w:val="16"/>
        </w:rPr>
        <w:softHyphen/>
        <w:t>емы с фирмами контракты». Учиты</w:t>
      </w:r>
      <w:r w:rsidRPr="00DE096C">
        <w:rPr>
          <w:bCs/>
          <w:color w:val="002060"/>
          <w:sz w:val="16"/>
          <w:szCs w:val="16"/>
        </w:rPr>
        <w:softHyphen/>
        <w:t>вая предшествующий опыт, когда фирмами предъявлялись претензии по поводу незаконного копирова</w:t>
      </w:r>
      <w:r w:rsidRPr="00DE096C">
        <w:rPr>
          <w:bCs/>
          <w:color w:val="002060"/>
          <w:sz w:val="16"/>
          <w:szCs w:val="16"/>
        </w:rPr>
        <w:softHyphen/>
        <w:t>ния приобретаемых образцов тех</w:t>
      </w:r>
      <w:r w:rsidRPr="00DE096C">
        <w:rPr>
          <w:bCs/>
          <w:color w:val="002060"/>
          <w:sz w:val="16"/>
          <w:szCs w:val="16"/>
        </w:rPr>
        <w:softHyphen/>
        <w:t>ники, в предписание включили спе</w:t>
      </w:r>
      <w:r w:rsidRPr="00DE096C">
        <w:rPr>
          <w:bCs/>
          <w:color w:val="002060"/>
          <w:sz w:val="16"/>
          <w:szCs w:val="16"/>
        </w:rPr>
        <w:softHyphen/>
        <w:t>циальный пункт: «При каждом аппа</w:t>
      </w:r>
      <w:r w:rsidRPr="00DE096C">
        <w:rPr>
          <w:bCs/>
          <w:color w:val="002060"/>
          <w:sz w:val="16"/>
          <w:szCs w:val="16"/>
        </w:rPr>
        <w:softHyphen/>
        <w:t>рате надлежит требовать подроб</w:t>
      </w:r>
      <w:r w:rsidRPr="00DE096C">
        <w:rPr>
          <w:bCs/>
          <w:color w:val="002060"/>
          <w:sz w:val="16"/>
          <w:szCs w:val="16"/>
        </w:rPr>
        <w:softHyphen/>
        <w:t>ную опись отдельных частей с их расценкой и по возможности ра</w:t>
      </w:r>
      <w:r w:rsidRPr="00DE096C">
        <w:rPr>
          <w:bCs/>
          <w:color w:val="002060"/>
          <w:sz w:val="16"/>
          <w:szCs w:val="16"/>
        </w:rPr>
        <w:softHyphen/>
        <w:t>бочие чертежи для облегчения ре</w:t>
      </w:r>
      <w:r w:rsidRPr="00DE096C">
        <w:rPr>
          <w:bCs/>
          <w:color w:val="002060"/>
          <w:sz w:val="16"/>
          <w:szCs w:val="16"/>
        </w:rPr>
        <w:softHyphen/>
        <w:t>монта, при этом можно дать обяза</w:t>
      </w:r>
      <w:r w:rsidRPr="00DE096C">
        <w:rPr>
          <w:bCs/>
          <w:color w:val="002060"/>
          <w:sz w:val="16"/>
          <w:szCs w:val="16"/>
        </w:rPr>
        <w:softHyphen/>
        <w:t>тельство фирмам, что таковые чер</w:t>
      </w:r>
      <w:r w:rsidRPr="00DE096C">
        <w:rPr>
          <w:bCs/>
          <w:color w:val="002060"/>
          <w:sz w:val="16"/>
          <w:szCs w:val="16"/>
        </w:rPr>
        <w:softHyphen/>
        <w:t>тежи не будут употребляться для по</w:t>
      </w:r>
      <w:r w:rsidRPr="00DE096C">
        <w:rPr>
          <w:bCs/>
          <w:color w:val="002060"/>
          <w:sz w:val="16"/>
          <w:szCs w:val="16"/>
        </w:rPr>
        <w:softHyphen/>
        <w:t>стройки аппаратов». Им ставилась задача заказать при посредстве во</w:t>
      </w:r>
      <w:r w:rsidRPr="00DE096C">
        <w:rPr>
          <w:bCs/>
          <w:color w:val="002060"/>
          <w:sz w:val="16"/>
          <w:szCs w:val="16"/>
        </w:rPr>
        <w:softHyphen/>
        <w:t>енно-морского агента в Лондоне 12 гидроаэропланов-разведчиков («Авро» и «Шорт») и шесть боевых гидроаэропланов («Шорт» и «Виккерс»).</w:t>
      </w:r>
    </w:p>
    <w:p w14:paraId="5B4070A3" w14:textId="77777777" w:rsidR="00B67D7C" w:rsidRPr="00DE096C" w:rsidRDefault="00B67D7C" w:rsidP="00D45A46">
      <w:pPr>
        <w:pStyle w:val="a4"/>
        <w:spacing w:before="0" w:after="0"/>
        <w:jc w:val="both"/>
        <w:rPr>
          <w:bCs/>
          <w:color w:val="002060"/>
          <w:sz w:val="16"/>
          <w:szCs w:val="16"/>
        </w:rPr>
      </w:pPr>
      <w:r w:rsidRPr="00DE096C">
        <w:rPr>
          <w:bCs/>
          <w:color w:val="002060"/>
          <w:sz w:val="16"/>
          <w:szCs w:val="16"/>
        </w:rPr>
        <w:t>Из приведенного следует, что морское ведомство было заинтере</w:t>
      </w:r>
      <w:r w:rsidRPr="00DE096C">
        <w:rPr>
          <w:bCs/>
          <w:color w:val="002060"/>
          <w:sz w:val="16"/>
          <w:szCs w:val="16"/>
        </w:rPr>
        <w:softHyphen/>
        <w:t>совано в развитии гидросамолетов, старалось приобрести лучшее, что создано за границей и связывало надежды с многомоторным самолё</w:t>
      </w:r>
      <w:r w:rsidRPr="00DE096C">
        <w:rPr>
          <w:bCs/>
          <w:color w:val="002060"/>
          <w:sz w:val="16"/>
          <w:szCs w:val="16"/>
        </w:rPr>
        <w:softHyphen/>
        <w:t>том Сикорского, проект которого он представил правлению РБВЗ в конце 1912 г. Это должно было быть нечто необычное. Так оно и случи</w:t>
      </w:r>
      <w:r w:rsidRPr="00DE096C">
        <w:rPr>
          <w:bCs/>
          <w:color w:val="002060"/>
          <w:sz w:val="16"/>
          <w:szCs w:val="16"/>
        </w:rPr>
        <w:softHyphen/>
        <w:t>лось. Двухмоторный самолет с зак</w:t>
      </w:r>
      <w:r w:rsidRPr="00DE096C">
        <w:rPr>
          <w:bCs/>
          <w:color w:val="002060"/>
          <w:sz w:val="16"/>
          <w:szCs w:val="16"/>
        </w:rPr>
        <w:softHyphen/>
        <w:t>рытой кабиной, что дало основа</w:t>
      </w:r>
      <w:r w:rsidRPr="00DE096C">
        <w:rPr>
          <w:bCs/>
          <w:color w:val="002060"/>
          <w:sz w:val="16"/>
          <w:szCs w:val="16"/>
        </w:rPr>
        <w:softHyphen/>
        <w:t>ния некоторым «специалистам» ут</w:t>
      </w:r>
      <w:r w:rsidRPr="00DE096C">
        <w:rPr>
          <w:bCs/>
          <w:color w:val="002060"/>
          <w:sz w:val="16"/>
          <w:szCs w:val="16"/>
        </w:rPr>
        <w:softHyphen/>
        <w:t>верждать, что лётчик не сможет его пилотировать так как «потеряет чувство птицы», назвали «Гранд Балтийский». И.И.Сикорский поднял самолёт в воздух 15 марта 1913 г. Испытания показали недостаточную мощность силовой установки из двух двигателей мощностью по 200 л.с. Установили еще два двигателя «Аргус» в тандем. Опытные полёты показали нерациональность подоб</w:t>
      </w:r>
      <w:r w:rsidRPr="00DE096C">
        <w:rPr>
          <w:bCs/>
          <w:color w:val="002060"/>
          <w:sz w:val="16"/>
          <w:szCs w:val="16"/>
        </w:rPr>
        <w:softHyphen/>
        <w:t>ной схемы силовой установки, и двигатели установили в ряд. Полет, выполненный 23 июля 1913 г., под</w:t>
      </w:r>
      <w:r w:rsidRPr="00DE096C">
        <w:rPr>
          <w:bCs/>
          <w:color w:val="002060"/>
          <w:sz w:val="16"/>
          <w:szCs w:val="16"/>
        </w:rPr>
        <w:softHyphen/>
        <w:t>твердил преимущества новой схе</w:t>
      </w:r>
      <w:r w:rsidRPr="00DE096C">
        <w:rPr>
          <w:bCs/>
          <w:color w:val="002060"/>
          <w:sz w:val="16"/>
          <w:szCs w:val="16"/>
        </w:rPr>
        <w:softHyphen/>
        <w:t>мы. Самолет переименовали в «Рус</w:t>
      </w:r>
      <w:r w:rsidRPr="00DE096C">
        <w:rPr>
          <w:bCs/>
          <w:color w:val="002060"/>
          <w:sz w:val="16"/>
          <w:szCs w:val="16"/>
        </w:rPr>
        <w:softHyphen/>
        <w:t>ский витязь», но ему не повезло. 1 1 сентября на него свалился оторвав</w:t>
      </w:r>
      <w:r w:rsidRPr="00DE096C">
        <w:rPr>
          <w:bCs/>
          <w:color w:val="002060"/>
          <w:sz w:val="16"/>
          <w:szCs w:val="16"/>
        </w:rPr>
        <w:softHyphen/>
        <w:t>шийся от самолета «Меллер-11» двигатель, разрушивший левую бип-ланную коробку крыльев. Повреж</w:t>
      </w:r>
      <w:r w:rsidRPr="00DE096C">
        <w:rPr>
          <w:bCs/>
          <w:color w:val="002060"/>
          <w:sz w:val="16"/>
          <w:szCs w:val="16"/>
        </w:rPr>
        <w:softHyphen/>
        <w:t>дения были незначительными, но восстанавливать его не стали С использованием приобретенного опыта построили самолет М-22 «Илья Муромец», первый образец которого 11 декабря 1913 г. под</w:t>
      </w:r>
      <w:r w:rsidRPr="00DE096C">
        <w:rPr>
          <w:bCs/>
          <w:color w:val="002060"/>
          <w:sz w:val="16"/>
          <w:szCs w:val="16"/>
        </w:rPr>
        <w:softHyphen/>
        <w:t>нял в воздух И.И. Сикорский. А че</w:t>
      </w:r>
      <w:r w:rsidRPr="00DE096C">
        <w:rPr>
          <w:bCs/>
          <w:color w:val="002060"/>
          <w:sz w:val="16"/>
          <w:szCs w:val="16"/>
        </w:rPr>
        <w:softHyphen/>
        <w:t>рез неделю в Морской генераль</w:t>
      </w:r>
      <w:r w:rsidRPr="00DE096C">
        <w:rPr>
          <w:bCs/>
          <w:color w:val="002060"/>
          <w:sz w:val="16"/>
          <w:szCs w:val="16"/>
        </w:rPr>
        <w:softHyphen/>
        <w:t>ный штаб поступило подписанное директором РБВЗ В.Строгановым письмо следующего содержания: «Правление Акционерного обще</w:t>
      </w:r>
      <w:r w:rsidRPr="00DE096C">
        <w:rPr>
          <w:bCs/>
          <w:color w:val="002060"/>
          <w:sz w:val="16"/>
          <w:szCs w:val="16"/>
        </w:rPr>
        <w:softHyphen/>
        <w:t>ства Русско-Балтийский завод име</w:t>
      </w:r>
      <w:r w:rsidRPr="00DE096C">
        <w:rPr>
          <w:bCs/>
          <w:color w:val="002060"/>
          <w:sz w:val="16"/>
          <w:szCs w:val="16"/>
        </w:rPr>
        <w:softHyphen/>
        <w:t>ет честь предложить вам большой аппарат нашей системы и построй</w:t>
      </w:r>
      <w:r w:rsidRPr="00DE096C">
        <w:rPr>
          <w:bCs/>
          <w:color w:val="002060"/>
          <w:sz w:val="16"/>
          <w:szCs w:val="16"/>
        </w:rPr>
        <w:softHyphen/>
        <w:t>ки «Илья Муромец» на следующих условиях: 1. Аппарат должен быть доставлен в Либаву (порт импера</w:t>
      </w:r>
      <w:r w:rsidRPr="00DE096C">
        <w:rPr>
          <w:bCs/>
          <w:color w:val="002060"/>
          <w:sz w:val="16"/>
          <w:szCs w:val="16"/>
        </w:rPr>
        <w:softHyphen/>
        <w:t xml:space="preserve">тора Александра </w:t>
      </w:r>
      <w:r w:rsidRPr="00DE096C">
        <w:rPr>
          <w:bCs/>
          <w:color w:val="002060"/>
          <w:sz w:val="16"/>
          <w:szCs w:val="16"/>
          <w:lang w:val="en-US"/>
        </w:rPr>
        <w:t>III</w:t>
      </w:r>
      <w:r w:rsidRPr="00DE096C">
        <w:rPr>
          <w:bCs/>
          <w:color w:val="002060"/>
          <w:sz w:val="16"/>
          <w:szCs w:val="16"/>
        </w:rPr>
        <w:t>) не позже 25 февраля 1914 г; 2. Испытания про</w:t>
      </w:r>
      <w:r w:rsidRPr="00DE096C">
        <w:rPr>
          <w:bCs/>
          <w:color w:val="002060"/>
          <w:sz w:val="16"/>
          <w:szCs w:val="16"/>
        </w:rPr>
        <w:softHyphen/>
        <w:t>водятся пилотом завода за страх и риск завода; 3. На аппарате дол</w:t>
      </w:r>
      <w:r w:rsidRPr="00DE096C">
        <w:rPr>
          <w:bCs/>
          <w:color w:val="002060"/>
          <w:sz w:val="16"/>
          <w:szCs w:val="16"/>
        </w:rPr>
        <w:softHyphen/>
        <w:t>жен быть выполнен один полёт про</w:t>
      </w:r>
      <w:r w:rsidRPr="00DE096C">
        <w:rPr>
          <w:bCs/>
          <w:color w:val="002060"/>
          <w:sz w:val="16"/>
          <w:szCs w:val="16"/>
        </w:rPr>
        <w:softHyphen/>
        <w:t>должительностью не менее 1,5 ча</w:t>
      </w:r>
      <w:r w:rsidRPr="00DE096C">
        <w:rPr>
          <w:bCs/>
          <w:color w:val="002060"/>
          <w:sz w:val="16"/>
          <w:szCs w:val="16"/>
        </w:rPr>
        <w:softHyphen/>
        <w:t>сов (нагрузка одна тонна, набрать высоту не менее 800 м, подтвер</w:t>
      </w:r>
      <w:r w:rsidRPr="00DE096C">
        <w:rPr>
          <w:bCs/>
          <w:color w:val="002060"/>
          <w:sz w:val="16"/>
          <w:szCs w:val="16"/>
        </w:rPr>
        <w:softHyphen/>
        <w:t>дить безопасность выключения двух моторов с одной стороны); 7.Взлёт с воды должен быть произведен без посторонней помощи, т.е. силами людей, находящихся в аппарате; 11 цена аппарата определяется по счёту 25 000 рублей за каждые 100 л.с; 12. Помимо других предметов... аппарат снабжается альтиметром, компасом, оборудованием электри</w:t>
      </w:r>
      <w:r w:rsidRPr="00DE096C">
        <w:rPr>
          <w:bCs/>
          <w:color w:val="002060"/>
          <w:sz w:val="16"/>
          <w:szCs w:val="16"/>
        </w:rPr>
        <w:softHyphen/>
        <w:t>ческого освещения приборов, на</w:t>
      </w:r>
      <w:r w:rsidRPr="00DE096C">
        <w:rPr>
          <w:bCs/>
          <w:color w:val="002060"/>
          <w:sz w:val="16"/>
          <w:szCs w:val="16"/>
        </w:rPr>
        <w:softHyphen/>
        <w:t>бором инструментов» (11759).</w:t>
      </w:r>
    </w:p>
    <w:p w14:paraId="522E1194" w14:textId="77777777" w:rsidR="00B67D7C" w:rsidRPr="00DE096C" w:rsidRDefault="00B67D7C" w:rsidP="00D45A46">
      <w:pPr>
        <w:pStyle w:val="a4"/>
        <w:spacing w:before="0" w:after="0"/>
        <w:jc w:val="both"/>
        <w:rPr>
          <w:bCs/>
          <w:color w:val="002060"/>
          <w:sz w:val="16"/>
          <w:szCs w:val="16"/>
        </w:rPr>
      </w:pPr>
    </w:p>
    <w:p w14:paraId="406209C1" w14:textId="77777777" w:rsidR="00F77EA5" w:rsidRPr="00DE096C" w:rsidRDefault="00F77EA5" w:rsidP="00D45A46">
      <w:pPr>
        <w:jc w:val="both"/>
        <w:rPr>
          <w:bCs/>
          <w:color w:val="002060"/>
          <w:sz w:val="16"/>
          <w:szCs w:val="16"/>
        </w:rPr>
      </w:pPr>
      <w:r w:rsidRPr="00DE096C">
        <w:rPr>
          <w:bCs/>
          <w:color w:val="002060"/>
          <w:sz w:val="16"/>
          <w:szCs w:val="16"/>
        </w:rPr>
        <w:t>21 мая (3 июня) 1914 года Нагурский отправился в Париж, где выбрал для себя поплавковый «Морис Фарман» с двигателем «Рено» мощностью в 70 л. с. (51,45 кВт). У машины были вполне приличные летные качества: грузоподъемность — 300 кг, скорость около 100 верст в час. Нагурский непосредственно наблюдал за постройкой и сборкой машины, изучил двигатель и совершил 18 тренировочных полетов на аэроплане такой же системы.</w:t>
      </w:r>
    </w:p>
    <w:p w14:paraId="0C1CF8F9" w14:textId="77777777" w:rsidR="00F77EA5" w:rsidRPr="00DE096C" w:rsidRDefault="00F77EA5" w:rsidP="00D45A46">
      <w:pPr>
        <w:shd w:val="clear" w:color="auto" w:fill="FFFFFF"/>
        <w:jc w:val="both"/>
        <w:rPr>
          <w:bCs/>
          <w:i/>
          <w:color w:val="002060"/>
          <w:sz w:val="16"/>
          <w:szCs w:val="16"/>
        </w:rPr>
      </w:pPr>
    </w:p>
    <w:p w14:paraId="4C6537FA"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62214A29" w14:textId="77777777" w:rsidR="00B67D7C" w:rsidRPr="00DE096C" w:rsidRDefault="00B67D7C" w:rsidP="00D45A46">
      <w:pPr>
        <w:shd w:val="clear" w:color="auto" w:fill="FFFFFF"/>
        <w:jc w:val="both"/>
        <w:rPr>
          <w:bCs/>
          <w:i/>
          <w:color w:val="002060"/>
          <w:sz w:val="16"/>
          <w:szCs w:val="16"/>
        </w:rPr>
      </w:pPr>
    </w:p>
    <w:p w14:paraId="0AB8C3FD" w14:textId="77777777" w:rsidR="00494D73" w:rsidRPr="00B52707" w:rsidRDefault="00494D73" w:rsidP="00494D73">
      <w:pPr>
        <w:jc w:val="both"/>
        <w:rPr>
          <w:color w:val="0070C0"/>
          <w:sz w:val="16"/>
          <w:szCs w:val="16"/>
        </w:rPr>
      </w:pPr>
      <w:r w:rsidRPr="00B52707">
        <w:rPr>
          <w:color w:val="0070C0"/>
          <w:sz w:val="16"/>
          <w:szCs w:val="16"/>
        </w:rPr>
        <w:t>22 мая (4 июня) 1914 г. И.И. Сикорский поднял «муромец», имея на борту 10 человек; ему удалось набрать высоту в 2000 метров, установив новый рекорд (24965).</w:t>
      </w:r>
    </w:p>
    <w:p w14:paraId="6D4381CC" w14:textId="77777777" w:rsidR="00494D73" w:rsidRPr="00B52707" w:rsidRDefault="00494D73" w:rsidP="00494D73">
      <w:pPr>
        <w:jc w:val="both"/>
        <w:rPr>
          <w:color w:val="0070C0"/>
          <w:sz w:val="16"/>
          <w:szCs w:val="16"/>
        </w:rPr>
      </w:pPr>
    </w:p>
    <w:p w14:paraId="51D7547D" w14:textId="77777777" w:rsidR="00494D73" w:rsidRPr="00B52707" w:rsidRDefault="00494D73" w:rsidP="00494D73">
      <w:pPr>
        <w:jc w:val="both"/>
        <w:rPr>
          <w:color w:val="0070C0"/>
          <w:sz w:val="16"/>
          <w:szCs w:val="16"/>
        </w:rPr>
      </w:pPr>
      <w:r w:rsidRPr="00B52707">
        <w:rPr>
          <w:color w:val="0070C0"/>
          <w:sz w:val="16"/>
          <w:szCs w:val="16"/>
        </w:rPr>
        <w:t>22 мая (4 июня) 1914 г. второй самолет (ИМ-Б Киевский), меньший по размеру и с более мощными двигателями, поднял на рекордную высоту в 2000 метров 10 пассажиров, 5 июня поставил рекорд продолжительности полета - 6 ч. 33 мин. 10 сек., покрыв расстояние 696 км (24965).</w:t>
      </w:r>
    </w:p>
    <w:p w14:paraId="4CD1101C" w14:textId="77777777" w:rsidR="00494D73" w:rsidRPr="00B52707" w:rsidRDefault="00494D73" w:rsidP="00494D73">
      <w:pPr>
        <w:jc w:val="both"/>
        <w:rPr>
          <w:color w:val="0070C0"/>
          <w:sz w:val="16"/>
          <w:szCs w:val="16"/>
        </w:rPr>
      </w:pPr>
    </w:p>
    <w:p w14:paraId="57E407F8" w14:textId="1DC027DF"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22 мая </w:t>
      </w:r>
      <w:r w:rsidR="00F77EA5" w:rsidRPr="00DE096C">
        <w:rPr>
          <w:bCs/>
          <w:color w:val="002060"/>
          <w:sz w:val="16"/>
          <w:szCs w:val="16"/>
        </w:rPr>
        <w:t xml:space="preserve">(4 июня) </w:t>
      </w:r>
      <w:r w:rsidRPr="00DE096C">
        <w:rPr>
          <w:bCs/>
          <w:color w:val="002060"/>
          <w:sz w:val="16"/>
          <w:szCs w:val="16"/>
        </w:rPr>
        <w:t>1914 г. постоянный член Технического коми</w:t>
      </w:r>
      <w:r w:rsidRPr="00DE096C">
        <w:rPr>
          <w:bCs/>
          <w:color w:val="002060"/>
          <w:sz w:val="16"/>
          <w:szCs w:val="16"/>
        </w:rPr>
        <w:softHyphen/>
        <w:t>тета генерал-лейтенант Н.Л. Кирпичев составил заключение о качестве бронирования самолётов «Депердюссен», построенных заводом: «Из чертежей, представленных фир</w:t>
      </w:r>
      <w:r w:rsidRPr="00DE096C">
        <w:rPr>
          <w:bCs/>
          <w:color w:val="002060"/>
          <w:sz w:val="16"/>
          <w:szCs w:val="16"/>
        </w:rPr>
        <w:softHyphen/>
        <w:t>мой, видно, что броня при толщине 2,7 мм и общем весе около 1 пуда, расположена внутри фюзеляжа в двух местах, прикрывая расходный и запасный бензиновые баки. Однако такое расположение брони почти нисколько не защищает пилота, предохраняя его лишь от выстрелов направленных снизу и спереди. Ни от выстрелов, направленных вертикально, ни от поражения в бок или сзади пилот не защищен».</w:t>
      </w:r>
    </w:p>
    <w:p w14:paraId="6212AC2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На основании заключения Кирпичева расположение брони на «Депердюссене» при</w:t>
      </w:r>
      <w:r w:rsidRPr="00DE096C">
        <w:rPr>
          <w:bCs/>
          <w:color w:val="002060"/>
          <w:sz w:val="16"/>
          <w:szCs w:val="16"/>
        </w:rPr>
        <w:softHyphen/>
        <w:t>знали неудовлетворительным и не соответствующим техническим условиям: «В случае, если установка брони, выполненная по требованиям технических условий, ухудшит летные качества самолёта, Технический комитет считает целесообразным вообще от</w:t>
      </w:r>
      <w:r w:rsidRPr="00DE096C">
        <w:rPr>
          <w:bCs/>
          <w:color w:val="002060"/>
          <w:sz w:val="16"/>
          <w:szCs w:val="16"/>
        </w:rPr>
        <w:softHyphen/>
        <w:t>казаться от бронирования самолёта» (Воздухоплаватель. 1912. № 4. С. 319-322.).</w:t>
      </w:r>
    </w:p>
    <w:p w14:paraId="0163461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Таким образом, к началу Первой мировой войны создать вооруженный и бронирован</w:t>
      </w:r>
      <w:r w:rsidRPr="00DE096C">
        <w:rPr>
          <w:bCs/>
          <w:color w:val="002060"/>
          <w:sz w:val="16"/>
          <w:szCs w:val="16"/>
        </w:rPr>
        <w:softHyphen/>
        <w:t>ный самолёт не удалось. В этом нет вины ни Шишкевича, ни завода «Дукс», просто 100-сильный двигатель еще не мог поднять такой груз, да еще обеспечить самолёту требуемую маневренность.</w:t>
      </w:r>
    </w:p>
    <w:p w14:paraId="58838AE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lastRenderedPageBreak/>
        <w:t>Однако впоследствии и «это лыко» поставили «в строку»... Недавно появилось мнение, что «желаемый результат по выпуску необходимого числа самолётов с вышеприведенны</w:t>
      </w:r>
      <w:r w:rsidRPr="00DE096C">
        <w:rPr>
          <w:bCs/>
          <w:color w:val="002060"/>
          <w:sz w:val="16"/>
          <w:szCs w:val="16"/>
        </w:rPr>
        <w:softHyphen/>
        <w:t>ми характеристиками в 1913 г. не был получен, так как заводы не выполнили договоры по срокам поставки авиатехники. Например, летом 1913 г. завод «Дукс» задержал выпуск</w:t>
      </w:r>
    </w:p>
    <w:p w14:paraId="4973ED5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24 бронированных аппаратов, а впо</w:t>
      </w:r>
      <w:r w:rsidRPr="00DE096C">
        <w:rPr>
          <w:bCs/>
          <w:color w:val="002060"/>
          <w:sz w:val="16"/>
          <w:szCs w:val="16"/>
        </w:rPr>
        <w:softHyphen/>
        <w:t>следствии отказался от установки на них брони. Игнорировались также требования о монтаже на часть выпу</w:t>
      </w:r>
      <w:r w:rsidRPr="00DE096C">
        <w:rPr>
          <w:bCs/>
          <w:color w:val="002060"/>
          <w:sz w:val="16"/>
          <w:szCs w:val="16"/>
        </w:rPr>
        <w:softHyphen/>
        <w:t>скаемых самолётов приспособлений для размещения радиотелеграфа. Все это привело к тому, что в вопро</w:t>
      </w:r>
      <w:r w:rsidRPr="00DE096C">
        <w:rPr>
          <w:bCs/>
          <w:color w:val="002060"/>
          <w:sz w:val="16"/>
          <w:szCs w:val="16"/>
        </w:rPr>
        <w:softHyphen/>
        <w:t>се создания авиации «активного дей</w:t>
      </w:r>
      <w:r w:rsidRPr="00DE096C">
        <w:rPr>
          <w:bCs/>
          <w:color w:val="002060"/>
          <w:sz w:val="16"/>
          <w:szCs w:val="16"/>
        </w:rPr>
        <w:softHyphen/>
        <w:t>ствия» Воздухоплавательная часть в 1913 г. вынужденно ограничилась только подготовительными работами, а именно:</w:t>
      </w:r>
    </w:p>
    <w:p w14:paraId="7F654E3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 опытными стрельбами из пулемёта «Максим», установленного на «Фармане-ХУ» и опытами по бомбометанию с этого самолёта;</w:t>
      </w:r>
    </w:p>
    <w:p w14:paraId="6C7585F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 испытаниями радиоприборов, прицелов и фотоаппаратов;</w:t>
      </w:r>
    </w:p>
    <w:p w14:paraId="73A2332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3) испытаниями брони для установки на 24 «боевых аэроплана»;</w:t>
      </w:r>
    </w:p>
    <w:p w14:paraId="3091E6F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4) высылкой в авиачасти для вооружения экипажей «Маузеров»;</w:t>
      </w:r>
    </w:p>
    <w:p w14:paraId="6857672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5) заказом 6 легких пулемётов для установки на «Фарманы-ХУ»» (Елисеев С.П. Организационное строительство военной авиации России... С. 28.)</w:t>
      </w:r>
      <w:r w:rsidRPr="00DE096C">
        <w:rPr>
          <w:bCs/>
          <w:color w:val="002060"/>
          <w:sz w:val="16"/>
          <w:szCs w:val="16"/>
          <w:vertAlign w:val="superscript"/>
        </w:rPr>
        <w:t>7</w:t>
      </w:r>
      <w:r w:rsidRPr="00DE096C">
        <w:rPr>
          <w:bCs/>
          <w:color w:val="002060"/>
          <w:sz w:val="16"/>
          <w:szCs w:val="16"/>
        </w:rPr>
        <w:t>.</w:t>
      </w:r>
    </w:p>
    <w:p w14:paraId="7C1E1F6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Увы, на этом фактически закончилась предвоенная напряжённая работа по созданию вооруженных и бронированных боевых самолётов, а указание М.И. Шишкевича по пово</w:t>
      </w:r>
      <w:r w:rsidRPr="00DE096C">
        <w:rPr>
          <w:bCs/>
          <w:color w:val="002060"/>
          <w:sz w:val="16"/>
          <w:szCs w:val="16"/>
        </w:rPr>
        <w:softHyphen/>
        <w:t>ду толщины брони в 2,7 мм стало последним его реальным вкладом в области развития боевой авиации.</w:t>
      </w:r>
    </w:p>
    <w:p w14:paraId="2AA8C95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25 декабря 1913 г. генерал-майор М.И. Шишкевич получил назначение на должность генерал-квартирмейстера штаба Одесского Военного округа и в дальнейшем развитием военной авиации не занимался. Печальным итогом его деятельности стал Циркуляр Глав</w:t>
      </w:r>
      <w:r w:rsidRPr="00DE096C">
        <w:rPr>
          <w:bCs/>
          <w:color w:val="002060"/>
          <w:sz w:val="16"/>
          <w:szCs w:val="16"/>
        </w:rPr>
        <w:softHyphen/>
        <w:t>ного штаба от 23 января 1914г. о расформировании Воздухоплавательной части ГУ ГШ.</w:t>
      </w:r>
    </w:p>
    <w:p w14:paraId="28416E6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Истинной причиной «отлучения« от авиации «коснувшегося неба» М.И. Шишкевича стал приказ № 666 по военному ведомству от 20 декабря 1913 г. ГИУ преобразовывалось в Главное военно-техническое управление (ГВТУ), в нем создавалось Воздухоплавательное отделение с хозяйственно-заготовительными и снабженческими функциями по отноше</w:t>
      </w:r>
      <w:r w:rsidRPr="00DE096C">
        <w:rPr>
          <w:bCs/>
          <w:color w:val="002060"/>
          <w:sz w:val="16"/>
          <w:szCs w:val="16"/>
        </w:rPr>
        <w:softHyphen/>
        <w:t>нию к авиационным и воздухоплавательным частям. Кроме того, в ГВТУ образовали Тех</w:t>
      </w:r>
      <w:r w:rsidRPr="00DE096C">
        <w:rPr>
          <w:bCs/>
          <w:color w:val="002060"/>
          <w:sz w:val="16"/>
          <w:szCs w:val="16"/>
        </w:rPr>
        <w:softHyphen/>
        <w:t>нический комитет, ведающий в числе других вопросов также и вопросом развития авиа</w:t>
      </w:r>
      <w:r w:rsidRPr="00DE096C">
        <w:rPr>
          <w:bCs/>
          <w:color w:val="002060"/>
          <w:sz w:val="16"/>
          <w:szCs w:val="16"/>
        </w:rPr>
        <w:softHyphen/>
        <w:t>ционной техники. Для ведения «воздухоплавательных дел» в составе Технического коми</w:t>
      </w:r>
      <w:r w:rsidRPr="00DE096C">
        <w:rPr>
          <w:bCs/>
          <w:color w:val="002060"/>
          <w:sz w:val="16"/>
          <w:szCs w:val="16"/>
        </w:rPr>
        <w:softHyphen/>
        <w:t>тета, а также в «отделении по личному составу», также входившем в ГВТУ, открывались соответствующие делопроизводства. Одновременно в ГУ ГШ формировалось отделение «по службе технических для связи войск» с административными правами по организации авиационных частей. Положительным стало лишь то, что офицеры, работавшие ранее в Воздухоплавательной части, продолжили работу в вышеназванных отделениях.</w:t>
      </w:r>
    </w:p>
    <w:p w14:paraId="7135C7D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Такая реорганизация назревала еще с середины 1913 г. Воздухоплавательная часть ГУГШ стремилась не только сформировать авиаотряды, но создать все условия для их деятельности, выявить боевые возможности авиации путем постановки перед ней пре</w:t>
      </w:r>
      <w:r w:rsidRPr="00DE096C">
        <w:rPr>
          <w:bCs/>
          <w:color w:val="002060"/>
          <w:sz w:val="16"/>
          <w:szCs w:val="16"/>
        </w:rPr>
        <w:softHyphen/>
        <w:t>имущественно активных задач. Вместе с тем ее небольшой штат не соответствовал объему работы, выполняемому в связи с быстрым развитием авиации. Весной 1913 г. предполагалось расширить состав Воздухоплавательной части, переформировав ее в Воздухоплавательный отдел. Его начальник должен был взять на себя инспекторские функции в отношении авиационных и воздухоплавательных частей, так как их инспек</w:t>
      </w:r>
      <w:r w:rsidRPr="00DE096C">
        <w:rPr>
          <w:bCs/>
          <w:color w:val="002060"/>
          <w:sz w:val="16"/>
          <w:szCs w:val="16"/>
        </w:rPr>
        <w:softHyphen/>
        <w:t>тирование, при непосредственном подчинении начальникам штабов округов и крепо</w:t>
      </w:r>
      <w:r w:rsidRPr="00DE096C">
        <w:rPr>
          <w:bCs/>
          <w:color w:val="002060"/>
          <w:sz w:val="16"/>
          <w:szCs w:val="16"/>
        </w:rPr>
        <w:softHyphen/>
        <w:t>стей, по-прежнему осуществляли инспекторы инженерной части округа, подчиненные в техническом отношении ГИУ. Это нарушало стройность управления авиачастями.</w:t>
      </w:r>
    </w:p>
    <w:p w14:paraId="3740CCE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настоящее время утверждают, что постановка вопроса об усилении центрального ап</w:t>
      </w:r>
      <w:r w:rsidRPr="00DE096C">
        <w:rPr>
          <w:bCs/>
          <w:color w:val="002060"/>
          <w:sz w:val="16"/>
          <w:szCs w:val="16"/>
        </w:rPr>
        <w:softHyphen/>
        <w:t>парата управления авиацией была «своевременной», так как в соответствии с «Малой программой развития технических войск», ставшей законом 10 июля 1913 г., предпола</w:t>
      </w:r>
      <w:r w:rsidRPr="00DE096C">
        <w:rPr>
          <w:bCs/>
          <w:color w:val="002060"/>
          <w:sz w:val="16"/>
          <w:szCs w:val="16"/>
        </w:rPr>
        <w:softHyphen/>
        <w:t>галось увеличение числа формируе</w:t>
      </w:r>
      <w:r w:rsidRPr="00DE096C">
        <w:rPr>
          <w:bCs/>
          <w:color w:val="002060"/>
          <w:sz w:val="16"/>
          <w:szCs w:val="16"/>
        </w:rPr>
        <w:softHyphen/>
        <w:t>мых авиаотрядов при увеличении и числа авиационных рот. К тому же на развитие авиации в это время от</w:t>
      </w:r>
      <w:r w:rsidRPr="00DE096C">
        <w:rPr>
          <w:bCs/>
          <w:color w:val="002060"/>
          <w:sz w:val="16"/>
          <w:szCs w:val="16"/>
        </w:rPr>
        <w:softHyphen/>
        <w:t>пустили более 7% из 125 млн. руб. дополнительных ассигнований, вы</w:t>
      </w:r>
      <w:r w:rsidRPr="00DE096C">
        <w:rPr>
          <w:bCs/>
          <w:color w:val="002060"/>
          <w:sz w:val="16"/>
          <w:szCs w:val="16"/>
        </w:rPr>
        <w:softHyphen/>
        <w:t>деленных Думой на оборону.</w:t>
      </w:r>
    </w:p>
    <w:p w14:paraId="4C01007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Однако в Военном министерстве готовилось другое решение. Суть его заключалась в разделении между ГУ ГШ и ГИУ функций по управлению техническими вой</w:t>
      </w:r>
      <w:r w:rsidRPr="00DE096C">
        <w:rPr>
          <w:bCs/>
          <w:color w:val="002060"/>
          <w:sz w:val="16"/>
          <w:szCs w:val="16"/>
        </w:rPr>
        <w:softHyphen/>
        <w:t>сками, в которые входила и авиация. Первое должно было сосредоточить в себе структур</w:t>
      </w:r>
      <w:r w:rsidRPr="00DE096C">
        <w:rPr>
          <w:bCs/>
          <w:color w:val="002060"/>
          <w:sz w:val="16"/>
          <w:szCs w:val="16"/>
        </w:rPr>
        <w:softHyphen/>
        <w:t>ные подразделения, призванные решать организационные вопросы, а второе, путем пере</w:t>
      </w:r>
      <w:r w:rsidRPr="00DE096C">
        <w:rPr>
          <w:bCs/>
          <w:color w:val="002060"/>
          <w:sz w:val="16"/>
          <w:szCs w:val="16"/>
        </w:rPr>
        <w:softHyphen/>
        <w:t>формирования в ГВТУ, должно было сосредоточиться на выполнении технических, загото</w:t>
      </w:r>
      <w:r w:rsidRPr="00DE096C">
        <w:rPr>
          <w:bCs/>
          <w:color w:val="002060"/>
          <w:sz w:val="16"/>
          <w:szCs w:val="16"/>
        </w:rPr>
        <w:softHyphen/>
        <w:t>вительных и снабженческих задач. В масштабе военного ведомства эта реорганизация, направленная на специализацию структур высшего военного управления, была «объективно необходима». Относительно же авиации, в силу своей технической природы и интенсив</w:t>
      </w:r>
      <w:r w:rsidRPr="00DE096C">
        <w:rPr>
          <w:bCs/>
          <w:color w:val="002060"/>
          <w:sz w:val="16"/>
          <w:szCs w:val="16"/>
        </w:rPr>
        <w:softHyphen/>
        <w:t>ного развития в значительной степени зависевшей от снабжения, напрашивался вывод, что она снова фактически передавалась в ведение инженерного ведомства (Елисеев С.П. Организационное строительство военной авиации России... С. 29-30.)</w:t>
      </w:r>
      <w:r w:rsidRPr="00DE096C">
        <w:rPr>
          <w:bCs/>
          <w:color w:val="002060"/>
          <w:sz w:val="16"/>
          <w:szCs w:val="16"/>
          <w:vertAlign w:val="superscript"/>
        </w:rPr>
        <w:t>8</w:t>
      </w:r>
      <w:r w:rsidRPr="00DE096C">
        <w:rPr>
          <w:bCs/>
          <w:color w:val="002060"/>
          <w:sz w:val="16"/>
          <w:szCs w:val="16"/>
        </w:rPr>
        <w:t>.</w:t>
      </w:r>
    </w:p>
    <w:p w14:paraId="5D7B096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Военное министерство, осуществляя такие преобразования ГУ ГШ и ГИУ, поставило авиационное дело в один ряд с автомобильными и железнодорожными частями, однако последние решали сугубо транспортные задачи, в то время как авиация к осени 1913 г. прочно утвердилась в качестве одного из средств разведки и связи, находящегося в распоряжении войсковых штабов. Кроме того, явно просматривалась тенденция пре</w:t>
      </w:r>
      <w:r w:rsidRPr="00DE096C">
        <w:rPr>
          <w:bCs/>
          <w:color w:val="002060"/>
          <w:sz w:val="16"/>
          <w:szCs w:val="16"/>
        </w:rPr>
        <w:softHyphen/>
        <w:t>вращения авиации в боевое средство. Все это требовало принятия адекватных мер со стороны российского военного ведомства.</w:t>
      </w:r>
    </w:p>
    <w:p w14:paraId="5424952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Некоторые должностные лица, осознавшие нависшую над поступательным развити</w:t>
      </w:r>
      <w:r w:rsidRPr="00DE096C">
        <w:rPr>
          <w:bCs/>
          <w:color w:val="002060"/>
          <w:sz w:val="16"/>
          <w:szCs w:val="16"/>
        </w:rPr>
        <w:softHyphen/>
        <w:t>ем авиации угрозу, выступили против планов Военного министерства. Так, начальник ГИУ инженер-генерал Александров написал Военному министру: «Воздухоплавательное дело в армии развивается сильно и будет развиваться грандиозно. Я сильно опасаюсь, что в намечаемых условиях с делом мы не справимся и скомпрометируем русское воз</w:t>
      </w:r>
      <w:r w:rsidRPr="00DE096C">
        <w:rPr>
          <w:bCs/>
          <w:color w:val="002060"/>
          <w:sz w:val="16"/>
          <w:szCs w:val="16"/>
        </w:rPr>
        <w:softHyphen/>
        <w:t>духоплавание в новом техническом управлении». Генерал Шишкевич свою точку зрения выразил еще более резко: «В настоящее время в Канцелярии Военного министерства возникла мысль о создании нового Главного управления технических войск, в котором воздухоплавание представлено одним лишь отделением, наравне с отделением, веда</w:t>
      </w:r>
      <w:r w:rsidRPr="00DE096C">
        <w:rPr>
          <w:bCs/>
          <w:color w:val="002060"/>
          <w:sz w:val="16"/>
          <w:szCs w:val="16"/>
        </w:rPr>
        <w:softHyphen/>
        <w:t>ющим снабжением войск лопатами... Мы делаем шаг назад, то есть вместо расшире</w:t>
      </w:r>
      <w:r w:rsidRPr="00DE096C">
        <w:rPr>
          <w:bCs/>
          <w:color w:val="002060"/>
          <w:sz w:val="16"/>
          <w:szCs w:val="16"/>
        </w:rPr>
        <w:softHyphen/>
        <w:t>ния воздухоплавательной части сообразно росту дела, ее раздробляют на два различ</w:t>
      </w:r>
      <w:r w:rsidRPr="00DE096C">
        <w:rPr>
          <w:bCs/>
          <w:color w:val="002060"/>
          <w:sz w:val="16"/>
          <w:szCs w:val="16"/>
        </w:rPr>
        <w:softHyphen/>
        <w:t>ных органа и включают эти органы в различные Главные управления».</w:t>
      </w:r>
    </w:p>
    <w:p w14:paraId="1A7ABFC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Начальник технического отделения Воздухоплавательной части подполковник Немчен-ко обратил внимание военного руководства, что на развитие авиации и воздухоплавания тратятся миллионы рублей, воз</w:t>
      </w:r>
      <w:r w:rsidRPr="00DE096C">
        <w:rPr>
          <w:bCs/>
          <w:color w:val="002060"/>
          <w:sz w:val="16"/>
          <w:szCs w:val="16"/>
        </w:rPr>
        <w:softHyphen/>
        <w:t>никает большое число «разных раз</w:t>
      </w:r>
      <w:r w:rsidRPr="00DE096C">
        <w:rPr>
          <w:bCs/>
          <w:color w:val="002060"/>
          <w:sz w:val="16"/>
          <w:szCs w:val="16"/>
        </w:rPr>
        <w:softHyphen/>
        <w:t>нородных частей и учреждений», уп</w:t>
      </w:r>
      <w:r w:rsidRPr="00DE096C">
        <w:rPr>
          <w:bCs/>
          <w:color w:val="002060"/>
          <w:sz w:val="16"/>
          <w:szCs w:val="16"/>
        </w:rPr>
        <w:softHyphen/>
        <w:t>равление которыми требует усиле</w:t>
      </w:r>
      <w:r w:rsidRPr="00DE096C">
        <w:rPr>
          <w:bCs/>
          <w:color w:val="002060"/>
          <w:sz w:val="16"/>
          <w:szCs w:val="16"/>
        </w:rPr>
        <w:softHyphen/>
        <w:t>ния центрального органа, «поэтому, казалось бы, воздухоплавательное дело должно быть выделено если не в отдельное Главное управление, то хотя бы в самостоятельный отдел во главе с начальником отдела, подчи</w:t>
      </w:r>
      <w:r w:rsidRPr="00DE096C">
        <w:rPr>
          <w:bCs/>
          <w:color w:val="002060"/>
          <w:sz w:val="16"/>
          <w:szCs w:val="16"/>
        </w:rPr>
        <w:softHyphen/>
        <w:t>няющимся непосредственно началь</w:t>
      </w:r>
      <w:r w:rsidRPr="00DE096C">
        <w:rPr>
          <w:bCs/>
          <w:color w:val="002060"/>
          <w:sz w:val="16"/>
          <w:szCs w:val="16"/>
        </w:rPr>
        <w:softHyphen/>
        <w:t>нику Главного управления и имею</w:t>
      </w:r>
      <w:r w:rsidRPr="00DE096C">
        <w:rPr>
          <w:bCs/>
          <w:color w:val="002060"/>
          <w:sz w:val="16"/>
          <w:szCs w:val="16"/>
        </w:rPr>
        <w:softHyphen/>
        <w:t>щим значительные права в хозяйст</w:t>
      </w:r>
      <w:r w:rsidRPr="00DE096C">
        <w:rPr>
          <w:bCs/>
          <w:color w:val="002060"/>
          <w:sz w:val="16"/>
          <w:szCs w:val="16"/>
        </w:rPr>
        <w:softHyphen/>
        <w:t>венном отношении».</w:t>
      </w:r>
    </w:p>
    <w:p w14:paraId="721B06A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Предложение Немченко реализова</w:t>
      </w:r>
      <w:r w:rsidRPr="00DE096C">
        <w:rPr>
          <w:bCs/>
          <w:color w:val="002060"/>
          <w:sz w:val="16"/>
          <w:szCs w:val="16"/>
        </w:rPr>
        <w:softHyphen/>
        <w:t>ли лишь спустя 2,5 года, уже во вре</w:t>
      </w:r>
      <w:r w:rsidRPr="00DE096C">
        <w:rPr>
          <w:bCs/>
          <w:color w:val="002060"/>
          <w:sz w:val="16"/>
          <w:szCs w:val="16"/>
        </w:rPr>
        <w:softHyphen/>
        <w:t>мя войны, когда создали Управление Военного воздушного флота (УВВФ)</w:t>
      </w:r>
    </w:p>
    <w:p w14:paraId="11DA658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 центральный орган авиации, основные функции которого заключались в снабжении авиации действующей армии авиационной техникой и оказании помощи отечественной авиапромышленности в увеличении количества и качества выпускаемой авиационной продукции.</w:t>
      </w:r>
    </w:p>
    <w:p w14:paraId="0276668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Осенью 1913 г. вопрос о реорганизации ГУ ГШ и ГИУ отложили до конца года, и Воз</w:t>
      </w:r>
      <w:r w:rsidRPr="00DE096C">
        <w:rPr>
          <w:bCs/>
          <w:color w:val="002060"/>
          <w:sz w:val="16"/>
          <w:szCs w:val="16"/>
        </w:rPr>
        <w:softHyphen/>
        <w:t>духоплавательная часть продолжала свою деятельность по подготовке личного соста</w:t>
      </w:r>
      <w:r w:rsidRPr="00DE096C">
        <w:rPr>
          <w:bCs/>
          <w:color w:val="002060"/>
          <w:sz w:val="16"/>
          <w:szCs w:val="16"/>
        </w:rPr>
        <w:softHyphen/>
        <w:t>ва и заготовке авиационного имущества для намеченных к формированию авиачастей. В результате созидательной деятельности Воздухоплавательной части ГУ ГШ под руко</w:t>
      </w:r>
      <w:r w:rsidRPr="00DE096C">
        <w:rPr>
          <w:bCs/>
          <w:color w:val="002060"/>
          <w:sz w:val="16"/>
          <w:szCs w:val="16"/>
        </w:rPr>
        <w:softHyphen/>
        <w:t>водством М.И. Шишкевича к концу 1913 г. сложилась обновленная система управления русской военной авиацией.</w:t>
      </w:r>
    </w:p>
    <w:p w14:paraId="13482B8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Дальнейшее развитие авиации продолжало осуществляться согласно «Большой про</w:t>
      </w:r>
      <w:r w:rsidRPr="00DE096C">
        <w:rPr>
          <w:bCs/>
          <w:color w:val="002060"/>
          <w:sz w:val="16"/>
          <w:szCs w:val="16"/>
        </w:rPr>
        <w:softHyphen/>
        <w:t xml:space="preserve">грамме по усилению русской армии», одобренной Николаем </w:t>
      </w:r>
      <w:r w:rsidRPr="00DE096C">
        <w:rPr>
          <w:bCs/>
          <w:color w:val="002060"/>
          <w:sz w:val="16"/>
          <w:szCs w:val="16"/>
          <w:lang w:val="en-US"/>
        </w:rPr>
        <w:t>II</w:t>
      </w:r>
      <w:r w:rsidRPr="00DE096C">
        <w:rPr>
          <w:bCs/>
          <w:color w:val="002060"/>
          <w:sz w:val="16"/>
          <w:szCs w:val="16"/>
        </w:rPr>
        <w:t xml:space="preserve"> 22 октября 1913г., так как «Общий план организации воздухоплавания и авиации в армии» включили в нее в каче</w:t>
      </w:r>
      <w:r w:rsidRPr="00DE096C">
        <w:rPr>
          <w:bCs/>
          <w:color w:val="002060"/>
          <w:sz w:val="16"/>
          <w:szCs w:val="16"/>
        </w:rPr>
        <w:softHyphen/>
        <w:t>стве составной части. Незадолго до войны, 24 июня 1914 года, «Большую программу...» утвердила Дума, и она стала законом (Елисеев С.П. Организационное строительство военной авиации России... С. 30-31.)</w:t>
      </w:r>
      <w:r w:rsidRPr="00DE096C">
        <w:rPr>
          <w:bCs/>
          <w:color w:val="002060"/>
          <w:sz w:val="16"/>
          <w:szCs w:val="16"/>
          <w:vertAlign w:val="superscript"/>
        </w:rPr>
        <w:t>9</w:t>
      </w:r>
      <w:r w:rsidRPr="00DE096C">
        <w:rPr>
          <w:bCs/>
          <w:color w:val="002060"/>
          <w:sz w:val="16"/>
          <w:szCs w:val="16"/>
        </w:rPr>
        <w:t>.</w:t>
      </w:r>
    </w:p>
    <w:p w14:paraId="52B99AE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Рассредоточение функций по управлению авиацией между высшими министерскими структурами создавало предпосылки к снижению темпов формирования авиаотрядов и другим неурядицам, начавшим проявляться сразу после выхода в свет циркуляра Глав</w:t>
      </w:r>
      <w:r w:rsidRPr="00DE096C">
        <w:rPr>
          <w:bCs/>
          <w:color w:val="002060"/>
          <w:sz w:val="16"/>
          <w:szCs w:val="16"/>
        </w:rPr>
        <w:softHyphen/>
        <w:t>ного штаба об упразднении Воздухоплавательной части ГУ ГШ. В составе ГВТУ, его на</w:t>
      </w:r>
      <w:r w:rsidRPr="00DE096C">
        <w:rPr>
          <w:bCs/>
          <w:color w:val="002060"/>
          <w:sz w:val="16"/>
          <w:szCs w:val="16"/>
        </w:rPr>
        <w:softHyphen/>
        <w:t>чальником стал генерал-лейтенант барон Е.Э. Ропп, организовали Технический отдел под управлением генерал-майора И.М. Болотова, который в полном соответствии с своей фамилией затянул военную авиацию в «болото».</w:t>
      </w:r>
    </w:p>
    <w:p w14:paraId="357872C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Прежде всего, так и не решенным оставался вопрос о выборе типа самолёта для ка</w:t>
      </w:r>
      <w:r w:rsidRPr="00DE096C">
        <w:rPr>
          <w:bCs/>
          <w:color w:val="002060"/>
          <w:sz w:val="16"/>
          <w:szCs w:val="16"/>
        </w:rPr>
        <w:softHyphen/>
        <w:t>ждого из четырех видов авиаотрядов. В феврале 1914 г. в докладе «в Технический ко</w:t>
      </w:r>
      <w:r w:rsidRPr="00DE096C">
        <w:rPr>
          <w:bCs/>
          <w:color w:val="002060"/>
          <w:sz w:val="16"/>
          <w:szCs w:val="16"/>
        </w:rPr>
        <w:softHyphen/>
        <w:t>митет управления о типах самолётов, необходимых для военного воздушного флота, их оборудовании и вооружении» генерал Болотов отмечал, что для одно- и двухместных самолётов «полезны сравнительно легкие ружья, допускающие действовать по летатель</w:t>
      </w:r>
      <w:r w:rsidRPr="00DE096C">
        <w:rPr>
          <w:bCs/>
          <w:color w:val="002060"/>
          <w:sz w:val="16"/>
          <w:szCs w:val="16"/>
        </w:rPr>
        <w:softHyphen/>
        <w:t>ным аппаратам противника широко разлетающимся скопом пуль (картечи) с руки...» Во</w:t>
      </w:r>
      <w:r w:rsidRPr="00DE096C">
        <w:rPr>
          <w:bCs/>
          <w:color w:val="002060"/>
          <w:sz w:val="16"/>
          <w:szCs w:val="16"/>
        </w:rPr>
        <w:softHyphen/>
        <w:t>оружать новые авиационные «горе-стратеги» предлагали «только большие самолёты типа «Илья Муромец»». В отношении радиотелеграфа и других наработок, выполненных в свое время Воздухоплавательной частью, предлагалось следующее: «Ввиду неимения окончательного решения о броне, бомбах и телеграфе и принимая во внимание, что за</w:t>
      </w:r>
      <w:r w:rsidRPr="00DE096C">
        <w:rPr>
          <w:bCs/>
          <w:color w:val="002060"/>
          <w:sz w:val="16"/>
          <w:szCs w:val="16"/>
        </w:rPr>
        <w:softHyphen/>
        <w:t>казываемые аппараты служат свой срок в два года, при настоящем заказе не принимать во внимание этих потребностей, кроме съёмной брони, но не на всех аппаратах».</w:t>
      </w:r>
    </w:p>
    <w:p w14:paraId="68D6F9A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Предложения генерала Болотова трижды (4, 11 и 18 марта 1914 г.) рассматривались на заседаниях Технического комитета ГВТУ. На них из-за межведомственных трений отсутствовали представители Генштаба, в том числе и бывший начальник Воздухоплава</w:t>
      </w:r>
      <w:r w:rsidRPr="00DE096C">
        <w:rPr>
          <w:bCs/>
          <w:color w:val="002060"/>
          <w:sz w:val="16"/>
          <w:szCs w:val="16"/>
        </w:rPr>
        <w:softHyphen/>
        <w:t>тельной части Шишкевич. В результате обсуждения вопроса «О типах...» пришли к вы</w:t>
      </w:r>
      <w:r w:rsidRPr="00DE096C">
        <w:rPr>
          <w:bCs/>
          <w:color w:val="002060"/>
          <w:sz w:val="16"/>
          <w:szCs w:val="16"/>
        </w:rPr>
        <w:softHyphen/>
        <w:t>воду, что следует заказать для полевых (армейских) и крепостных отрядов самолёты: «Вуазен», «Сикорский-Х» и «Фарман-ХХИ», а для корпусных отрядов — «Депердюссен», «Моран-Парасоль» и «Сикорский-Х1». Для отрядов особого назначения предусматрива</w:t>
      </w:r>
      <w:r w:rsidRPr="00DE096C">
        <w:rPr>
          <w:bCs/>
          <w:color w:val="002060"/>
          <w:sz w:val="16"/>
          <w:szCs w:val="16"/>
        </w:rPr>
        <w:softHyphen/>
        <w:t>лось сделать заказы на одноместные «Моран-Сольнье».</w:t>
      </w:r>
    </w:p>
    <w:p w14:paraId="1A33731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Так менее чем за полгода, обозначив «новую позицию» в вопросе о вооружении лета</w:t>
      </w:r>
      <w:r w:rsidRPr="00DE096C">
        <w:rPr>
          <w:bCs/>
          <w:color w:val="002060"/>
          <w:sz w:val="16"/>
          <w:szCs w:val="16"/>
        </w:rPr>
        <w:softHyphen/>
        <w:t>тельных аппаратов, «похоронили» пионерские работы по вооружению и бронированию са</w:t>
      </w:r>
      <w:r w:rsidRPr="00DE096C">
        <w:rPr>
          <w:bCs/>
          <w:color w:val="002060"/>
          <w:sz w:val="16"/>
          <w:szCs w:val="16"/>
        </w:rPr>
        <w:softHyphen/>
        <w:t>молётов, проводившиеся в 1912-1913 гг. под руководством Шишкевича. Понятно, что при таком подходе Шишкевичу уже не было места в новой структуре ГВТУ. Печальным итогом стало то, что начавшуюся летом 1914 г. Первую мировую войну русская боевая авиация встретила невооруженной, что и заставило П.Н. Нестерова пожертвовать собой, совершая первый в мире воздушный таран.</w:t>
      </w:r>
    </w:p>
    <w:p w14:paraId="42D274B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lastRenderedPageBreak/>
        <w:t>Вероятно, именно это имел в виду В.Б. Шавров, когда писал, что «с первых же дней войны стали сказываться тяжёлые просчеты, преступные упущения и крупнейшие не</w:t>
      </w:r>
      <w:r w:rsidRPr="00DE096C">
        <w:rPr>
          <w:bCs/>
          <w:color w:val="002060"/>
          <w:sz w:val="16"/>
          <w:szCs w:val="16"/>
        </w:rPr>
        <w:softHyphen/>
        <w:t>достатки в руководстве русской авиацией...» (Шавров В.Б. История конструкций самолётов в СССР до 1938 г. М., 1978. С. 151.)</w:t>
      </w:r>
      <w:r w:rsidRPr="00DE096C">
        <w:rPr>
          <w:bCs/>
          <w:color w:val="002060"/>
          <w:sz w:val="16"/>
          <w:szCs w:val="16"/>
          <w:vertAlign w:val="superscript"/>
        </w:rPr>
        <w:t>10</w:t>
      </w:r>
      <w:r w:rsidRPr="00DE096C">
        <w:rPr>
          <w:bCs/>
          <w:color w:val="002060"/>
          <w:sz w:val="16"/>
          <w:szCs w:val="16"/>
        </w:rPr>
        <w:t>.</w:t>
      </w:r>
    </w:p>
    <w:p w14:paraId="1ED4A85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Кстати, именно М.И. Шишкевич высказал мысль о целесообразности 30-суточного ареста Нестерова за выполнение «мертвой петли«. Так что не все было гладко у «ге</w:t>
      </w:r>
      <w:r w:rsidRPr="00DE096C">
        <w:rPr>
          <w:bCs/>
          <w:color w:val="002060"/>
          <w:sz w:val="16"/>
          <w:szCs w:val="16"/>
        </w:rPr>
        <w:softHyphen/>
        <w:t>нерала от авиации« с перспективами её развития. Но в целом его деятельность на по</w:t>
      </w:r>
      <w:r w:rsidRPr="00DE096C">
        <w:rPr>
          <w:bCs/>
          <w:color w:val="002060"/>
          <w:sz w:val="16"/>
          <w:szCs w:val="16"/>
        </w:rPr>
        <w:softHyphen/>
        <w:t>сту начальника Воздухоплавательной части ГУ ГШ в 1912-1913 гг. следует оценивать весьма высоко. Несколько слов о его дальнейшей судьбе.</w:t>
      </w:r>
    </w:p>
    <w:p w14:paraId="5F4BB26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Во время первой мировой войны Шишкевич служил начальником штаба 7-й, 11-й и Дунайской армий, 2 декабря 1916г. стал начальником штаба Румынского фронта. В ян</w:t>
      </w:r>
      <w:r w:rsidRPr="00DE096C">
        <w:rPr>
          <w:bCs/>
          <w:color w:val="002060"/>
          <w:sz w:val="16"/>
          <w:szCs w:val="16"/>
        </w:rPr>
        <w:softHyphen/>
        <w:t>варе 1916 г. получил звание генерал-лейтенанта и 16 августа 1916 г. был награжден ор</w:t>
      </w:r>
      <w:r w:rsidRPr="00DE096C">
        <w:rPr>
          <w:bCs/>
          <w:color w:val="002060"/>
          <w:sz w:val="16"/>
          <w:szCs w:val="16"/>
        </w:rPr>
        <w:softHyphen/>
        <w:t>деном Св. Георгия 4-й степени. 29 апреля 1917 г. 55-летний генерал по болезни был «зачислен в резерв чинов«, а приказом по Московскому округу от 27 ноября 1917 г. уволен в отставку. Проживал в Москве по адресу Остоженка, д. 10, кв. 11 (РГВИА. Ф. 409ПС. Д. 151-522. 76)</w:t>
      </w:r>
      <w:r w:rsidRPr="00DE096C">
        <w:rPr>
          <w:bCs/>
          <w:color w:val="002060"/>
          <w:sz w:val="16"/>
          <w:szCs w:val="16"/>
          <w:vertAlign w:val="superscript"/>
        </w:rPr>
        <w:t>11</w:t>
      </w:r>
      <w:r w:rsidRPr="00DE096C">
        <w:rPr>
          <w:bCs/>
          <w:color w:val="002060"/>
          <w:sz w:val="16"/>
          <w:szCs w:val="16"/>
        </w:rPr>
        <w:t>.</w:t>
      </w:r>
    </w:p>
    <w:p w14:paraId="76070EB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С этого адреса 14 июня 1918 г. в пенсионный отдел Главного штаба он отправил про</w:t>
      </w:r>
      <w:r w:rsidRPr="00DE096C">
        <w:rPr>
          <w:bCs/>
          <w:color w:val="002060"/>
          <w:sz w:val="16"/>
          <w:szCs w:val="16"/>
        </w:rPr>
        <w:softHyphen/>
        <w:t>шение о назначении пенсии. В течение месяца ранее служившему в МВО боевому ге</w:t>
      </w:r>
      <w:r w:rsidRPr="00DE096C">
        <w:rPr>
          <w:bCs/>
          <w:color w:val="002060"/>
          <w:sz w:val="16"/>
          <w:szCs w:val="16"/>
        </w:rPr>
        <w:softHyphen/>
        <w:t>нералу и кавалеру назначили пенсию из военной эмеритальной кассы и из Московской казенной палаты. По довоенным меркам сумма в 3600 руб. (2097+1503) могла считать</w:t>
      </w:r>
      <w:r w:rsidRPr="00DE096C">
        <w:rPr>
          <w:bCs/>
          <w:color w:val="002060"/>
          <w:sz w:val="16"/>
          <w:szCs w:val="16"/>
        </w:rPr>
        <w:softHyphen/>
        <w:t>ся вполне достаточной, но дело происходило в середине 1918 г.! Даже удивительно, что ещё функционировали финансовые структуры старого военного ведомства. Пенсионное дело Шишкевича закрыли 23 июля 1918 г., и неизвестно, получал ли от советской вла</w:t>
      </w:r>
      <w:r w:rsidRPr="00DE096C">
        <w:rPr>
          <w:bCs/>
          <w:color w:val="002060"/>
          <w:sz w:val="16"/>
          <w:szCs w:val="16"/>
        </w:rPr>
        <w:softHyphen/>
        <w:t>сти какие-либо выплаты царский генерал. Впрочем, в условиях бешеной инфляции во время гражданской войны этой суммы могло не хватить и на коробок спичек.</w:t>
      </w:r>
    </w:p>
    <w:p w14:paraId="07CCC71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Сведений о последних годах жизни первого генерала от авиации М.И. Шишкевича пока не найдено (11696).</w:t>
      </w:r>
    </w:p>
    <w:p w14:paraId="55FEAF2C" w14:textId="77777777" w:rsidR="00B67D7C" w:rsidRPr="00DE096C" w:rsidRDefault="00B67D7C" w:rsidP="00D45A46">
      <w:pPr>
        <w:shd w:val="clear" w:color="auto" w:fill="FFFFFF"/>
        <w:jc w:val="both"/>
        <w:rPr>
          <w:bCs/>
          <w:color w:val="002060"/>
          <w:sz w:val="16"/>
          <w:szCs w:val="16"/>
        </w:rPr>
      </w:pPr>
    </w:p>
    <w:p w14:paraId="4E948EB3" w14:textId="6B081298" w:rsidR="0010634F" w:rsidRPr="00DE096C" w:rsidRDefault="0010634F" w:rsidP="0010634F">
      <w:pPr>
        <w:shd w:val="clear" w:color="auto" w:fill="FFFFFF"/>
        <w:jc w:val="both"/>
        <w:rPr>
          <w:bCs/>
          <w:i/>
          <w:color w:val="002060"/>
          <w:sz w:val="16"/>
          <w:szCs w:val="16"/>
        </w:rPr>
      </w:pPr>
      <w:r>
        <w:rPr>
          <w:bCs/>
          <w:i/>
          <w:color w:val="002060"/>
          <w:sz w:val="16"/>
          <w:szCs w:val="16"/>
        </w:rPr>
        <w:t>Авиация и воздухоплавание Франции</w:t>
      </w:r>
      <w:r w:rsidRPr="00DE096C">
        <w:rPr>
          <w:bCs/>
          <w:i/>
          <w:color w:val="002060"/>
          <w:sz w:val="16"/>
          <w:szCs w:val="16"/>
        </w:rPr>
        <w:t>:</w:t>
      </w:r>
    </w:p>
    <w:p w14:paraId="34334CAF" w14:textId="77777777" w:rsidR="0010634F" w:rsidRPr="00DE096C" w:rsidRDefault="0010634F" w:rsidP="0010634F">
      <w:pPr>
        <w:shd w:val="clear" w:color="auto" w:fill="FFFFFF"/>
        <w:jc w:val="both"/>
        <w:rPr>
          <w:bCs/>
          <w:i/>
          <w:color w:val="002060"/>
          <w:sz w:val="16"/>
          <w:szCs w:val="16"/>
        </w:rPr>
      </w:pPr>
    </w:p>
    <w:p w14:paraId="7D42EACD" w14:textId="77777777" w:rsidR="0010634F" w:rsidRPr="00B52707" w:rsidRDefault="0010634F" w:rsidP="0010634F">
      <w:pPr>
        <w:jc w:val="both"/>
        <w:rPr>
          <w:color w:val="0070C0"/>
          <w:sz w:val="16"/>
          <w:szCs w:val="16"/>
        </w:rPr>
      </w:pPr>
      <w:r w:rsidRPr="00B52707">
        <w:rPr>
          <w:color w:val="0070C0"/>
          <w:sz w:val="16"/>
          <w:szCs w:val="16"/>
        </w:rPr>
        <w:t>22 мая (4 июня) 1914 года несколько газет сообщили об испытаниях бронированного самолета Nieuport Destroyer, показавшего максимальную скорость 145 км/ч, подъем на высоту 500 м за 3 минуты 45 секунд и возможность приземляться или взлетать на участке, описанном в требованиях к самолету. Значение максимальной скорости было несколько оптимистичным. В журнале «LAérophile» от 15 июля 1914 года Nieuport Destroyer был описан следующим образом:</w:t>
      </w:r>
    </w:p>
    <w:p w14:paraId="0B36B3A3" w14:textId="77777777" w:rsidR="0010634F" w:rsidRPr="00B52707" w:rsidRDefault="0010634F" w:rsidP="0010634F">
      <w:pPr>
        <w:jc w:val="both"/>
        <w:rPr>
          <w:color w:val="0070C0"/>
          <w:sz w:val="16"/>
          <w:szCs w:val="16"/>
        </w:rPr>
      </w:pPr>
      <w:r w:rsidRPr="00B52707">
        <w:rPr>
          <w:color w:val="0070C0"/>
          <w:sz w:val="16"/>
          <w:szCs w:val="16"/>
        </w:rPr>
        <w:t>«Тяжёлый истребитель компании Nieuport, первый, поставленный в армию частным предприятием, продемонстрировал замечательные аэродинамические качества. Площадь крыла составляет 24 м², а масса превышает 1000 кг. Удельная нагрузка на крыло значительна и близка к 50 кг на квадратный метр. В полете по замкнутому контуру самолет развивает среднюю скорость 145 километров в час. Защита обеспечивается броней из никелированной стали, которая покрывает всю переднюю часть, то есть область, занимаемую пилотом, стрелком и топливным баком. Толщина этих пластин составляет 2,5 мм по бокам и 3 мм снизу.» (25743).</w:t>
      </w:r>
    </w:p>
    <w:p w14:paraId="4C961CC0" w14:textId="77777777" w:rsidR="0010634F" w:rsidRPr="00B52707" w:rsidRDefault="0010634F" w:rsidP="0010634F">
      <w:pPr>
        <w:jc w:val="both"/>
        <w:rPr>
          <w:color w:val="0070C0"/>
          <w:sz w:val="16"/>
          <w:szCs w:val="16"/>
        </w:rPr>
      </w:pPr>
    </w:p>
    <w:p w14:paraId="26930174"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70AB8A24" w14:textId="77777777" w:rsidR="00B67D7C" w:rsidRPr="00DE096C" w:rsidRDefault="00B67D7C" w:rsidP="00D45A46">
      <w:pPr>
        <w:shd w:val="clear" w:color="auto" w:fill="FFFFFF"/>
        <w:jc w:val="both"/>
        <w:rPr>
          <w:bCs/>
          <w:i/>
          <w:color w:val="002060"/>
          <w:sz w:val="16"/>
          <w:szCs w:val="16"/>
        </w:rPr>
      </w:pPr>
    </w:p>
    <w:p w14:paraId="4B2E430D" w14:textId="77777777" w:rsidR="0097361F" w:rsidRPr="00B52707" w:rsidRDefault="0097361F" w:rsidP="0097361F">
      <w:pPr>
        <w:jc w:val="both"/>
        <w:rPr>
          <w:color w:val="0070C0"/>
          <w:sz w:val="16"/>
          <w:szCs w:val="16"/>
        </w:rPr>
      </w:pPr>
      <w:r w:rsidRPr="00B52707">
        <w:rPr>
          <w:color w:val="0070C0"/>
          <w:sz w:val="16"/>
          <w:szCs w:val="16"/>
        </w:rPr>
        <w:t>23 мая (5 июня) 1914 г. второй самолет (ИМ-Б Киевский), меньший по размеру и с более мощными двигателями поставил рекорд продолжительности полета - 6 ч. 33 мин. 10 сек., покрыв расстояние 696 км (24965).</w:t>
      </w:r>
    </w:p>
    <w:p w14:paraId="48CF3612" w14:textId="77777777" w:rsidR="0097361F" w:rsidRPr="00B52707" w:rsidRDefault="0097361F" w:rsidP="0097361F">
      <w:pPr>
        <w:jc w:val="both"/>
        <w:rPr>
          <w:color w:val="0070C0"/>
          <w:sz w:val="16"/>
          <w:szCs w:val="16"/>
        </w:rPr>
      </w:pPr>
    </w:p>
    <w:p w14:paraId="7FDF8075" w14:textId="0EA455A4"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С 23 по 29 мая (с </w:t>
      </w:r>
      <w:r w:rsidR="00F77EA5" w:rsidRPr="00DE096C">
        <w:rPr>
          <w:bCs/>
          <w:color w:val="002060"/>
          <w:sz w:val="16"/>
          <w:szCs w:val="16"/>
        </w:rPr>
        <w:t>5</w:t>
      </w:r>
      <w:r w:rsidRPr="00DE096C">
        <w:rPr>
          <w:bCs/>
          <w:color w:val="002060"/>
          <w:sz w:val="16"/>
          <w:szCs w:val="16"/>
        </w:rPr>
        <w:t xml:space="preserve"> по </w:t>
      </w:r>
      <w:r w:rsidR="00F77EA5" w:rsidRPr="00DE096C">
        <w:rPr>
          <w:bCs/>
          <w:color w:val="002060"/>
          <w:sz w:val="16"/>
          <w:szCs w:val="16"/>
        </w:rPr>
        <w:t>11</w:t>
      </w:r>
      <w:r w:rsidRPr="00DE096C">
        <w:rPr>
          <w:bCs/>
          <w:color w:val="002060"/>
          <w:sz w:val="16"/>
          <w:szCs w:val="16"/>
        </w:rPr>
        <w:t xml:space="preserve"> июня) 1914 </w:t>
      </w:r>
      <w:r w:rsidR="00F77EA5" w:rsidRPr="00DE096C">
        <w:rPr>
          <w:bCs/>
          <w:color w:val="002060"/>
          <w:sz w:val="16"/>
          <w:szCs w:val="16"/>
        </w:rPr>
        <w:t xml:space="preserve">г. </w:t>
      </w:r>
      <w:r w:rsidRPr="00DE096C">
        <w:rPr>
          <w:bCs/>
          <w:color w:val="002060"/>
          <w:sz w:val="16"/>
          <w:szCs w:val="16"/>
        </w:rPr>
        <w:t>представитель фирмы Депердюссен Жануар облетать и сдал военному ведомству остальные самолеты - девять «Депердюссе</w:t>
      </w:r>
      <w:r w:rsidRPr="00DE096C">
        <w:rPr>
          <w:bCs/>
          <w:color w:val="002060"/>
          <w:sz w:val="16"/>
          <w:szCs w:val="16"/>
        </w:rPr>
        <w:softHyphen/>
        <w:t>нов», а десятый — 14 июля. «Фатально» несчастливый самолет не «прижился» на заводе, с началом войны его выпуск прекратили, хотя в Московской школе авиации и на фронте «Депердюссены» в ограниченных количествах применялись до 1917 г. (9651).</w:t>
      </w:r>
    </w:p>
    <w:p w14:paraId="3C501299" w14:textId="77777777" w:rsidR="00B67D7C" w:rsidRPr="00DE096C" w:rsidRDefault="00B67D7C" w:rsidP="00D45A46">
      <w:pPr>
        <w:shd w:val="clear" w:color="auto" w:fill="FFFFFF"/>
        <w:jc w:val="both"/>
        <w:rPr>
          <w:bCs/>
          <w:color w:val="002060"/>
          <w:sz w:val="16"/>
          <w:szCs w:val="16"/>
        </w:rPr>
      </w:pPr>
    </w:p>
    <w:p w14:paraId="1810F676" w14:textId="3C997B12" w:rsidR="00F77EA5" w:rsidRPr="00DE096C" w:rsidRDefault="00F77EA5" w:rsidP="00D45A46">
      <w:pPr>
        <w:pStyle w:val="2"/>
        <w:spacing w:before="0" w:after="0"/>
        <w:jc w:val="both"/>
        <w:rPr>
          <w:b w:val="0"/>
          <w:bCs/>
          <w:color w:val="002060"/>
          <w:sz w:val="16"/>
          <w:szCs w:val="16"/>
        </w:rPr>
      </w:pPr>
      <w:r w:rsidRPr="00DE096C">
        <w:rPr>
          <w:b w:val="0"/>
          <w:bCs/>
          <w:color w:val="002060"/>
          <w:sz w:val="16"/>
          <w:szCs w:val="16"/>
        </w:rPr>
        <w:t>С 23 по 29 мая</w:t>
      </w:r>
      <w:r w:rsidR="00E84D53" w:rsidRPr="00DE096C">
        <w:rPr>
          <w:b w:val="0"/>
          <w:bCs/>
          <w:color w:val="002060"/>
          <w:sz w:val="16"/>
          <w:szCs w:val="16"/>
        </w:rPr>
        <w:t xml:space="preserve"> (с 5 по 11 июня)</w:t>
      </w:r>
      <w:r w:rsidRPr="00DE096C">
        <w:rPr>
          <w:b w:val="0"/>
          <w:bCs/>
          <w:color w:val="002060"/>
          <w:sz w:val="16"/>
          <w:szCs w:val="16"/>
        </w:rPr>
        <w:t xml:space="preserve"> 1914 представитель фирмы Депердюсен инженер Жануар облетал и сдал военному ведомству остальные самолеты - девять «Депердюсеннов», а последний 10 — 14 июля. Для сдачи «Моранов» в июне 1914 г. в Москву из Франции прибыл шеф-пилот завода «Моран» Пике. Летом он сдал 14 машин прекрасно выдержавших испытания (15464).</w:t>
      </w:r>
    </w:p>
    <w:p w14:paraId="5DCBCB5B" w14:textId="77777777" w:rsidR="00F77EA5" w:rsidRPr="00DE096C" w:rsidRDefault="00F77EA5" w:rsidP="00D45A46">
      <w:pPr>
        <w:pStyle w:val="2"/>
        <w:spacing w:before="0" w:after="0"/>
        <w:jc w:val="both"/>
        <w:rPr>
          <w:b w:val="0"/>
          <w:bCs/>
          <w:color w:val="002060"/>
          <w:sz w:val="16"/>
          <w:szCs w:val="16"/>
        </w:rPr>
      </w:pPr>
    </w:p>
    <w:p w14:paraId="66E6486D" w14:textId="6E3C8D64" w:rsidR="00B67D7C" w:rsidRPr="00DE096C" w:rsidRDefault="00B67D7C" w:rsidP="00D45A46">
      <w:pPr>
        <w:jc w:val="both"/>
        <w:rPr>
          <w:bCs/>
          <w:color w:val="002060"/>
          <w:sz w:val="16"/>
          <w:szCs w:val="16"/>
        </w:rPr>
      </w:pPr>
      <w:r w:rsidRPr="00DE096C">
        <w:rPr>
          <w:bCs/>
          <w:color w:val="002060"/>
          <w:sz w:val="16"/>
          <w:szCs w:val="16"/>
        </w:rPr>
        <w:t xml:space="preserve">С 23 по 28 мая </w:t>
      </w:r>
      <w:r w:rsidR="00F77EA5" w:rsidRPr="00DE096C">
        <w:rPr>
          <w:bCs/>
          <w:color w:val="002060"/>
          <w:sz w:val="16"/>
          <w:szCs w:val="16"/>
        </w:rPr>
        <w:t xml:space="preserve">(с 5 по 19 июня) </w:t>
      </w:r>
      <w:r w:rsidRPr="00DE096C">
        <w:rPr>
          <w:bCs/>
          <w:color w:val="002060"/>
          <w:sz w:val="16"/>
          <w:szCs w:val="16"/>
        </w:rPr>
        <w:t>1914 года он сдал Военному ведомству первые девять самолетов образца французской фирмы «Депердюссен». Одновременно строятся аппараты «Маран». В итоге, к началу первой мировой войны страна имел 263 самолета. В Германии на тот период их было 232, во Франции — 156, в США, Англии, Италии — по 30 машин. Однако, несмотря на количественное превосходство, авиационная промышленность России в техническом отношении отставала от ведущих капиталистических государств, особенно от первых четырех.</w:t>
      </w:r>
    </w:p>
    <w:p w14:paraId="2B757D6D" w14:textId="77777777" w:rsidR="00B67D7C" w:rsidRPr="00DE096C" w:rsidRDefault="00B67D7C" w:rsidP="00D45A46">
      <w:pPr>
        <w:shd w:val="clear" w:color="auto" w:fill="FFFFFF"/>
        <w:jc w:val="both"/>
        <w:rPr>
          <w:bCs/>
          <w:i/>
          <w:color w:val="002060"/>
          <w:sz w:val="16"/>
          <w:szCs w:val="16"/>
        </w:rPr>
      </w:pPr>
    </w:p>
    <w:p w14:paraId="353A4797" w14:textId="77777777" w:rsidR="00ED7EE8" w:rsidRPr="00DE096C" w:rsidRDefault="00ED7EE8" w:rsidP="00D45A46">
      <w:pPr>
        <w:jc w:val="both"/>
        <w:rPr>
          <w:bCs/>
          <w:i/>
          <w:color w:val="002060"/>
          <w:sz w:val="16"/>
          <w:szCs w:val="16"/>
        </w:rPr>
      </w:pPr>
      <w:r w:rsidRPr="00DE096C">
        <w:rPr>
          <w:bCs/>
          <w:i/>
          <w:color w:val="002060"/>
          <w:sz w:val="16"/>
          <w:szCs w:val="16"/>
        </w:rPr>
        <w:t>Другие оборонные отрасли:</w:t>
      </w:r>
    </w:p>
    <w:p w14:paraId="17D94938" w14:textId="77777777" w:rsidR="00ED7EE8" w:rsidRPr="00DE096C" w:rsidRDefault="00ED7EE8" w:rsidP="00D45A46">
      <w:pPr>
        <w:jc w:val="both"/>
        <w:rPr>
          <w:bCs/>
          <w:i/>
          <w:color w:val="002060"/>
          <w:sz w:val="16"/>
          <w:szCs w:val="16"/>
        </w:rPr>
      </w:pPr>
    </w:p>
    <w:p w14:paraId="05DAA943" w14:textId="05B7FBB4" w:rsidR="00ED7EE8" w:rsidRPr="00DE096C" w:rsidRDefault="00ED7EE8" w:rsidP="00D45A46">
      <w:pPr>
        <w:jc w:val="both"/>
        <w:rPr>
          <w:bCs/>
          <w:color w:val="002060"/>
          <w:sz w:val="16"/>
          <w:szCs w:val="16"/>
        </w:rPr>
      </w:pPr>
      <w:r w:rsidRPr="00DE096C">
        <w:rPr>
          <w:bCs/>
          <w:color w:val="002060"/>
          <w:sz w:val="16"/>
          <w:szCs w:val="16"/>
        </w:rPr>
        <w:t xml:space="preserve">24 мая </w:t>
      </w:r>
      <w:r w:rsidR="00E84D53" w:rsidRPr="00DE096C">
        <w:rPr>
          <w:bCs/>
          <w:color w:val="002060"/>
          <w:sz w:val="16"/>
          <w:szCs w:val="16"/>
        </w:rPr>
        <w:t xml:space="preserve">(6 июня) </w:t>
      </w:r>
      <w:r w:rsidRPr="00DE096C">
        <w:rPr>
          <w:bCs/>
          <w:color w:val="002060"/>
          <w:sz w:val="16"/>
          <w:szCs w:val="16"/>
        </w:rPr>
        <w:t>в 1914 году в России спущен на воду линейный корабль "Императрица Екатерина Великая". Заказан в рамках судостроительной программы "об ассигновании средств на усиление Черноморского флота", принятой в конце 1911 года. Вопрос о постройке дредноутов для Черного моря впервые был поднят летом 1911 г. после заказа Турцией в Англии линейного корабля "Решад V". Несколько позже стало известно о возможности приобретения однотипного корабля (контракт на его постройку был заключен в мае 1914 г.), а летом 1913 г. Турция выкупила у Бразилии дредноут "Рио де Жанейро" ("Султан Осман I"). По мнению Морского ведомства для сохранения господства на Черном море в дополнение к уже имевшейся бригаде из трех эскадренных броненосцев "Евстафий", "Иоанн Златоуст" и "Пантелеймон", следовало заказать три дредноута. При разработке проекта черноморских линкоров за основу были взяты технические условия, составленные для балтийских дредноутов, но при этом скорость хода была снижена до 21 узла (что считалось достаточным для ограниченной акватории Черноморского театра), усилена броневая защита борта и башен, а количество орудий противоминной артиллерии довели до 20, увеличив их калибр до 130 мм. Рабочее проектирование вели инженеры Л.Л.Коромальди и М.И.Сошнковский. Линкор заложен на заводе “Наваль” в Николаеве, вступил в строй 5 октября 1915 г. Участвовал в первой мировой войне. Совместно с крейсером "Память Меркурия" образовал 2-ю тактическую маневренную группу. Участвовал в набеговых действиях на коммуникации и побережье противника, нес блокадную службу у берегов Турции. Прикрывал минно-заградительные, набеговые и разведывательные действия разнородных сил флота, обеспечивал воинские перевозки. С 23 января 1916 г. по 5 апреля 1916 г. принимал участие в Трапезундской наступательной операции. В июне 1917 г. прикрывал минные постановки в районе Босфора. 1 ноября 1917 г. выходил в море на перехват крейсера "Мидилли", но волнения среди экипажа вынудили командира корабля прекратить операцию. 16.12.1917 г. вошел в состав Красного Черноморского флота. 30 апреля 1918 г. убыл из Севастополя в Новороссийск, где 18 июня 1918 г. по решению советского правительства во избежании захвата германскими оккупантами потоплен торпедами, выпущенными с эсминца "Керчь". В начале 1930-х гг. всю артиллерию подняла Черноморская партия ЭПРОН (экспедиция подводных работ особого назначения) (14901).</w:t>
      </w:r>
    </w:p>
    <w:p w14:paraId="309C207E" w14:textId="77777777" w:rsidR="00ED7EE8" w:rsidRPr="00DE096C" w:rsidRDefault="00ED7EE8" w:rsidP="00D45A46">
      <w:pPr>
        <w:jc w:val="both"/>
        <w:rPr>
          <w:bCs/>
          <w:color w:val="002060"/>
          <w:sz w:val="16"/>
          <w:szCs w:val="16"/>
        </w:rPr>
      </w:pPr>
    </w:p>
    <w:p w14:paraId="7097619B"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w:t>
      </w:r>
    </w:p>
    <w:p w14:paraId="7A885D5C" w14:textId="77777777" w:rsidR="00B67D7C" w:rsidRPr="00DE096C" w:rsidRDefault="00B67D7C" w:rsidP="00D45A46">
      <w:pPr>
        <w:shd w:val="clear" w:color="auto" w:fill="FFFFFF"/>
        <w:jc w:val="both"/>
        <w:rPr>
          <w:bCs/>
          <w:i/>
          <w:color w:val="002060"/>
          <w:sz w:val="16"/>
          <w:szCs w:val="16"/>
        </w:rPr>
      </w:pPr>
    </w:p>
    <w:p w14:paraId="5C727B8B" w14:textId="12DE54A4" w:rsidR="00B67D7C" w:rsidRPr="00DE096C" w:rsidRDefault="00B67D7C" w:rsidP="00D45A46">
      <w:pPr>
        <w:jc w:val="both"/>
        <w:rPr>
          <w:bCs/>
          <w:color w:val="002060"/>
          <w:sz w:val="16"/>
          <w:szCs w:val="16"/>
        </w:rPr>
      </w:pPr>
      <w:r w:rsidRPr="00DE096C">
        <w:rPr>
          <w:bCs/>
          <w:color w:val="002060"/>
          <w:sz w:val="16"/>
          <w:szCs w:val="16"/>
        </w:rPr>
        <w:t xml:space="preserve">24 мая </w:t>
      </w:r>
      <w:r w:rsidR="00E84D53" w:rsidRPr="00DE096C">
        <w:rPr>
          <w:bCs/>
          <w:color w:val="002060"/>
          <w:sz w:val="16"/>
          <w:szCs w:val="16"/>
        </w:rPr>
        <w:t xml:space="preserve">(6 июня) </w:t>
      </w:r>
      <w:r w:rsidRPr="00DE096C">
        <w:rPr>
          <w:bCs/>
          <w:color w:val="002060"/>
          <w:sz w:val="16"/>
          <w:szCs w:val="16"/>
        </w:rPr>
        <w:t>1914 года</w:t>
      </w:r>
      <w:r w:rsidR="00E84D53" w:rsidRPr="00DE096C">
        <w:rPr>
          <w:bCs/>
          <w:color w:val="002060"/>
          <w:sz w:val="16"/>
          <w:szCs w:val="16"/>
        </w:rPr>
        <w:t xml:space="preserve"> в 5 часов 30 минут</w:t>
      </w:r>
      <w:r w:rsidRPr="00DE096C">
        <w:rPr>
          <w:bCs/>
          <w:color w:val="002060"/>
          <w:sz w:val="16"/>
          <w:szCs w:val="16"/>
        </w:rPr>
        <w:t xml:space="preserve"> Нестеров вылетел ив Киева. По дороге летчик и механик - унтер-офицер Нелидов, приземляясь около станций, получали бензин и вновь поднимались в небо. В 9 часов 35 минут того же дня Нестеров приземлился на Гатчинский аэродром недалеко от Петербурга. </w:t>
      </w:r>
    </w:p>
    <w:p w14:paraId="2EFA7DB5" w14:textId="77777777" w:rsidR="00B67D7C" w:rsidRPr="00DE096C" w:rsidRDefault="00B67D7C" w:rsidP="00D45A46">
      <w:pPr>
        <w:shd w:val="clear" w:color="auto" w:fill="FFFFFF"/>
        <w:jc w:val="both"/>
        <w:rPr>
          <w:bCs/>
          <w:color w:val="002060"/>
          <w:sz w:val="16"/>
          <w:szCs w:val="16"/>
        </w:rPr>
      </w:pPr>
    </w:p>
    <w:p w14:paraId="5AB5460B" w14:textId="4C002B62" w:rsidR="00ED7EE8" w:rsidRPr="00DE096C" w:rsidRDefault="00ED7EE8" w:rsidP="00D45A46">
      <w:pPr>
        <w:jc w:val="both"/>
        <w:rPr>
          <w:bCs/>
          <w:color w:val="002060"/>
          <w:sz w:val="16"/>
          <w:szCs w:val="16"/>
        </w:rPr>
      </w:pPr>
      <w:r w:rsidRPr="00DE096C">
        <w:rPr>
          <w:bCs/>
          <w:color w:val="002060"/>
          <w:sz w:val="16"/>
          <w:szCs w:val="16"/>
        </w:rPr>
        <w:t xml:space="preserve">24 мая </w:t>
      </w:r>
      <w:r w:rsidR="00E84D53" w:rsidRPr="00DE096C">
        <w:rPr>
          <w:bCs/>
          <w:color w:val="002060"/>
          <w:sz w:val="16"/>
          <w:szCs w:val="16"/>
        </w:rPr>
        <w:t xml:space="preserve">(6 июня) </w:t>
      </w:r>
      <w:r w:rsidRPr="00DE096C">
        <w:rPr>
          <w:bCs/>
          <w:color w:val="002060"/>
          <w:sz w:val="16"/>
          <w:szCs w:val="16"/>
        </w:rPr>
        <w:t xml:space="preserve">в 1914 году </w:t>
      </w:r>
      <w:r w:rsidR="00E84D53" w:rsidRPr="00DE096C">
        <w:rPr>
          <w:bCs/>
          <w:color w:val="002060"/>
          <w:sz w:val="16"/>
          <w:szCs w:val="16"/>
        </w:rPr>
        <w:t xml:space="preserve">состоялся </w:t>
      </w:r>
      <w:r w:rsidRPr="00DE096C">
        <w:rPr>
          <w:bCs/>
          <w:color w:val="002060"/>
          <w:sz w:val="16"/>
          <w:szCs w:val="16"/>
        </w:rPr>
        <w:t>перелет Киев - Гатчина (1277 км за 7 час.45 мин. летного времени) П.Н.Нестерова с механиком Г.М.Нелидовым на «Ньюпоре-IV» (14901).</w:t>
      </w:r>
    </w:p>
    <w:p w14:paraId="774D0429" w14:textId="77777777" w:rsidR="00ED7EE8" w:rsidRPr="00DE096C" w:rsidRDefault="00ED7EE8" w:rsidP="00D45A46">
      <w:pPr>
        <w:jc w:val="both"/>
        <w:rPr>
          <w:bCs/>
          <w:color w:val="002060"/>
          <w:sz w:val="16"/>
          <w:szCs w:val="16"/>
        </w:rPr>
      </w:pPr>
    </w:p>
    <w:p w14:paraId="2F4A088C" w14:textId="77777777" w:rsidR="0097361F" w:rsidRPr="00DE096C" w:rsidRDefault="0097361F" w:rsidP="0097361F">
      <w:pPr>
        <w:shd w:val="clear" w:color="auto" w:fill="FFFFFF"/>
        <w:jc w:val="both"/>
        <w:rPr>
          <w:bCs/>
          <w:i/>
          <w:color w:val="002060"/>
          <w:sz w:val="16"/>
          <w:szCs w:val="16"/>
        </w:rPr>
      </w:pPr>
      <w:r w:rsidRPr="00DE096C">
        <w:rPr>
          <w:bCs/>
          <w:i/>
          <w:color w:val="002060"/>
          <w:sz w:val="16"/>
          <w:szCs w:val="16"/>
        </w:rPr>
        <w:t>Морская авиация:</w:t>
      </w:r>
    </w:p>
    <w:p w14:paraId="4636A34C" w14:textId="77777777" w:rsidR="0097361F" w:rsidRPr="00DE096C" w:rsidRDefault="0097361F" w:rsidP="0097361F">
      <w:pPr>
        <w:shd w:val="clear" w:color="auto" w:fill="FFFFFF"/>
        <w:jc w:val="both"/>
        <w:rPr>
          <w:bCs/>
          <w:i/>
          <w:color w:val="002060"/>
          <w:sz w:val="16"/>
          <w:szCs w:val="16"/>
        </w:rPr>
      </w:pPr>
    </w:p>
    <w:p w14:paraId="39237C8B" w14:textId="77777777" w:rsidR="0097361F" w:rsidRPr="00DE096C" w:rsidRDefault="0097361F" w:rsidP="0097361F">
      <w:pPr>
        <w:shd w:val="clear" w:color="auto" w:fill="FFFFFF"/>
        <w:jc w:val="both"/>
        <w:rPr>
          <w:bCs/>
          <w:color w:val="002060"/>
          <w:sz w:val="16"/>
          <w:szCs w:val="16"/>
        </w:rPr>
      </w:pPr>
      <w:r w:rsidRPr="00DE096C">
        <w:rPr>
          <w:bCs/>
          <w:color w:val="002060"/>
          <w:sz w:val="16"/>
          <w:szCs w:val="16"/>
        </w:rPr>
        <w:t>24 мая (6 июня) 1914 и. д. электротехника Северного воздушного района мичман В. Н. Сахаров докла</w:t>
      </w:r>
      <w:r w:rsidRPr="00DE096C">
        <w:rPr>
          <w:bCs/>
          <w:color w:val="002060"/>
          <w:sz w:val="16"/>
          <w:szCs w:val="16"/>
        </w:rPr>
        <w:softHyphen/>
        <w:t>дывал заведующему авиацией Службы связи инженеру-механику лейтенанту И. И. Стаховскому:</w:t>
      </w:r>
    </w:p>
    <w:p w14:paraId="216DA37C" w14:textId="77777777" w:rsidR="0097361F" w:rsidRPr="00DE096C" w:rsidRDefault="0097361F" w:rsidP="0097361F">
      <w:pPr>
        <w:shd w:val="clear" w:color="auto" w:fill="FFFFFF"/>
        <w:jc w:val="both"/>
        <w:rPr>
          <w:bCs/>
          <w:color w:val="002060"/>
          <w:sz w:val="16"/>
          <w:szCs w:val="16"/>
        </w:rPr>
      </w:pPr>
      <w:r w:rsidRPr="00DE096C">
        <w:rPr>
          <w:bCs/>
          <w:color w:val="002060"/>
          <w:sz w:val="16"/>
          <w:szCs w:val="16"/>
        </w:rPr>
        <w:t>« &lt;...&gt;Мною вполне закончена установка на гидроаэроплане № 14 радиотелеграфной передаточной станции французской системы, которая в испытаниях, произведенных 14, 19, 23 и 24 мая сего года показала себя вполне безопасной в пожарном отношении, своей сетью и проводкой не препятствующей органам управления &lt;...&gt;, а также не бьющей и не дающей искру при касании к металлическим частям во время работы. &lt;...&gt; Вышеозначенная радио</w:t>
      </w:r>
      <w:r w:rsidRPr="00DE096C">
        <w:rPr>
          <w:bCs/>
          <w:color w:val="002060"/>
          <w:sz w:val="16"/>
          <w:szCs w:val="16"/>
        </w:rPr>
        <w:softHyphen/>
        <w:t>станция, может быть снята и установлена вновь на гидроаэроплане в промежуток времени не более двух часов» (2807).</w:t>
      </w:r>
    </w:p>
    <w:p w14:paraId="06258E5D" w14:textId="77777777" w:rsidR="0097361F" w:rsidRPr="00DE096C" w:rsidRDefault="0097361F" w:rsidP="0097361F">
      <w:pPr>
        <w:shd w:val="clear" w:color="auto" w:fill="FFFFFF"/>
        <w:jc w:val="both"/>
        <w:rPr>
          <w:bCs/>
          <w:color w:val="002060"/>
          <w:sz w:val="16"/>
          <w:szCs w:val="16"/>
        </w:rPr>
      </w:pPr>
    </w:p>
    <w:p w14:paraId="60A595E0" w14:textId="77777777" w:rsidR="00ED7EE8" w:rsidRPr="00DE096C" w:rsidRDefault="00ED7EE8" w:rsidP="00D45A46">
      <w:pPr>
        <w:jc w:val="both"/>
        <w:rPr>
          <w:bCs/>
          <w:i/>
          <w:color w:val="002060"/>
          <w:sz w:val="16"/>
          <w:szCs w:val="16"/>
        </w:rPr>
      </w:pPr>
      <w:r w:rsidRPr="00DE096C">
        <w:rPr>
          <w:bCs/>
          <w:i/>
          <w:color w:val="002060"/>
          <w:sz w:val="16"/>
          <w:szCs w:val="16"/>
        </w:rPr>
        <w:t>Авиация и воздухоплавание Англии:</w:t>
      </w:r>
    </w:p>
    <w:p w14:paraId="4B738B51" w14:textId="77777777" w:rsidR="00ED7EE8" w:rsidRPr="00DE096C" w:rsidRDefault="00ED7EE8" w:rsidP="00D45A46">
      <w:pPr>
        <w:jc w:val="both"/>
        <w:rPr>
          <w:bCs/>
          <w:i/>
          <w:color w:val="002060"/>
          <w:sz w:val="16"/>
          <w:szCs w:val="16"/>
        </w:rPr>
      </w:pPr>
    </w:p>
    <w:p w14:paraId="2AB46D35" w14:textId="28094F17" w:rsidR="00ED7EE8" w:rsidRPr="00DE096C" w:rsidRDefault="00ED7EE8" w:rsidP="00D45A46">
      <w:pPr>
        <w:jc w:val="both"/>
        <w:rPr>
          <w:bCs/>
          <w:color w:val="002060"/>
          <w:sz w:val="16"/>
          <w:szCs w:val="16"/>
        </w:rPr>
      </w:pPr>
      <w:r w:rsidRPr="00DE096C">
        <w:rPr>
          <w:bCs/>
          <w:color w:val="002060"/>
          <w:sz w:val="16"/>
          <w:szCs w:val="16"/>
        </w:rPr>
        <w:t xml:space="preserve">24 мая (6 июня) в 1914 году </w:t>
      </w:r>
      <w:r w:rsidR="00E84D53" w:rsidRPr="00DE096C">
        <w:rPr>
          <w:bCs/>
          <w:color w:val="002060"/>
          <w:sz w:val="16"/>
          <w:szCs w:val="16"/>
        </w:rPr>
        <w:t xml:space="preserve">состоялся </w:t>
      </w:r>
      <w:r w:rsidRPr="00DE096C">
        <w:rPr>
          <w:bCs/>
          <w:color w:val="002060"/>
          <w:sz w:val="16"/>
          <w:szCs w:val="16"/>
        </w:rPr>
        <w:t>первый воздушный перелет, в котором не было видно земли (из Шотландии в Норвегию) (14914).</w:t>
      </w:r>
    </w:p>
    <w:p w14:paraId="66CE485E" w14:textId="77777777" w:rsidR="00ED7EE8" w:rsidRPr="00DE096C" w:rsidRDefault="00ED7EE8" w:rsidP="00D45A46">
      <w:pPr>
        <w:jc w:val="both"/>
        <w:rPr>
          <w:bCs/>
          <w:color w:val="002060"/>
          <w:sz w:val="16"/>
          <w:szCs w:val="16"/>
        </w:rPr>
      </w:pPr>
    </w:p>
    <w:p w14:paraId="13C7107D" w14:textId="554E99CD" w:rsidR="00BC1858" w:rsidRPr="00DE096C" w:rsidRDefault="00BC1858" w:rsidP="00D45A46">
      <w:pPr>
        <w:jc w:val="both"/>
        <w:rPr>
          <w:bCs/>
          <w:color w:val="002060"/>
          <w:sz w:val="16"/>
          <w:szCs w:val="16"/>
        </w:rPr>
      </w:pPr>
      <w:r w:rsidRPr="00DE096C">
        <w:rPr>
          <w:bCs/>
          <w:color w:val="002060"/>
          <w:sz w:val="16"/>
          <w:szCs w:val="16"/>
        </w:rPr>
        <w:lastRenderedPageBreak/>
        <w:t>24 мая (6 июня) 1914 состоялось третье ежегодное воздушное дерби Daily Mail, перенесенное с 23 мая из-за плохой погоды. Одиннадцать участников пролетают по маршруту длиной 94 мили (151 километр), который начинается и заканчивается на аэродроме Хендон в Лондоне с контрольными точками в Кемптон-парке, Эшере</w:t>
      </w:r>
      <w:r w:rsidR="00E84D53" w:rsidRPr="00DE096C">
        <w:rPr>
          <w:bCs/>
          <w:color w:val="002060"/>
          <w:sz w:val="16"/>
          <w:szCs w:val="16"/>
        </w:rPr>
        <w:t>.</w:t>
      </w:r>
      <w:r w:rsidRPr="00DE096C">
        <w:rPr>
          <w:bCs/>
          <w:color w:val="002060"/>
          <w:sz w:val="16"/>
          <w:szCs w:val="16"/>
        </w:rPr>
        <w:t xml:space="preserve"> Перли и Перфлите. Вальтер Брок - абсолютный победитель второй год подряд, завершил трассу за 1 час 18 минут 54 секунды на Моран-Сольнье G с гандикапом 20 минут 24 секунды. Начало Первой мировой войны летом не позволит провести это мероприятие до 1919 года (20337).</w:t>
      </w:r>
    </w:p>
    <w:p w14:paraId="56D04567" w14:textId="77777777" w:rsidR="00BC1858" w:rsidRPr="00DE096C" w:rsidRDefault="00BC1858" w:rsidP="00D45A46">
      <w:pPr>
        <w:jc w:val="both"/>
        <w:rPr>
          <w:bCs/>
          <w:color w:val="002060"/>
          <w:sz w:val="16"/>
          <w:szCs w:val="16"/>
        </w:rPr>
      </w:pPr>
    </w:p>
    <w:p w14:paraId="153098F0" w14:textId="5D0C00DF" w:rsidR="0097361F" w:rsidRPr="00DE096C" w:rsidRDefault="0097361F" w:rsidP="0097361F">
      <w:pPr>
        <w:jc w:val="both"/>
        <w:rPr>
          <w:bCs/>
          <w:i/>
          <w:color w:val="002060"/>
          <w:sz w:val="16"/>
          <w:szCs w:val="16"/>
        </w:rPr>
      </w:pPr>
      <w:r w:rsidRPr="00DE096C">
        <w:rPr>
          <w:bCs/>
          <w:i/>
          <w:color w:val="002060"/>
          <w:sz w:val="16"/>
          <w:szCs w:val="16"/>
        </w:rPr>
        <w:t xml:space="preserve">Авиация и воздухоплавание </w:t>
      </w:r>
      <w:r>
        <w:rPr>
          <w:bCs/>
          <w:i/>
          <w:color w:val="002060"/>
          <w:sz w:val="16"/>
          <w:szCs w:val="16"/>
        </w:rPr>
        <w:t>Франции</w:t>
      </w:r>
      <w:r w:rsidRPr="00DE096C">
        <w:rPr>
          <w:bCs/>
          <w:i/>
          <w:color w:val="002060"/>
          <w:sz w:val="16"/>
          <w:szCs w:val="16"/>
        </w:rPr>
        <w:t>:</w:t>
      </w:r>
    </w:p>
    <w:p w14:paraId="0467E990" w14:textId="77777777" w:rsidR="0097361F" w:rsidRPr="00DE096C" w:rsidRDefault="0097361F" w:rsidP="0097361F">
      <w:pPr>
        <w:jc w:val="both"/>
        <w:rPr>
          <w:bCs/>
          <w:i/>
          <w:color w:val="002060"/>
          <w:sz w:val="16"/>
          <w:szCs w:val="16"/>
        </w:rPr>
      </w:pPr>
    </w:p>
    <w:p w14:paraId="67802560" w14:textId="77777777" w:rsidR="0097361F" w:rsidRPr="00B52707" w:rsidRDefault="0097361F" w:rsidP="0097361F">
      <w:pPr>
        <w:jc w:val="both"/>
        <w:rPr>
          <w:color w:val="0070C0"/>
          <w:sz w:val="16"/>
          <w:szCs w:val="16"/>
        </w:rPr>
      </w:pPr>
      <w:r w:rsidRPr="00B52707">
        <w:rPr>
          <w:color w:val="0070C0"/>
          <w:sz w:val="16"/>
          <w:szCs w:val="16"/>
        </w:rPr>
        <w:t>24 мая (6 июня) 1914 года бронированный Blériot (возможно type XXXVIbis) вместе со своими конкурентами-перехватчиками дирижаблей был представлен генералу Жоффру в Виллакубле. Известны несколько фотографий самолета компании Blériot, сделанных летом 1914 года на аэродроме Бук (Buc). Самолет можно увидеть там вместе с другими моделями во время одного из многочисленных авиашоу, проводимых там каждые две недели. Единственное, что можно заключить из этих фотографий, это то, что самолет выглядит особенно тяжелым, судя по трудностям, с которыми сталкивался наземный персонал при его обслуживании. Вероятно, что примерно в это время самолет был приобретен государством (25741).</w:t>
      </w:r>
    </w:p>
    <w:p w14:paraId="3A26B761" w14:textId="77777777" w:rsidR="0097361F" w:rsidRPr="00B52707" w:rsidRDefault="0097361F" w:rsidP="0097361F">
      <w:pPr>
        <w:jc w:val="both"/>
        <w:rPr>
          <w:color w:val="0070C0"/>
          <w:sz w:val="16"/>
          <w:szCs w:val="16"/>
        </w:rPr>
      </w:pPr>
    </w:p>
    <w:p w14:paraId="23CB7550" w14:textId="77777777" w:rsidR="00ED7EE8" w:rsidRPr="00DE096C" w:rsidRDefault="00ED7EE8" w:rsidP="00D45A46">
      <w:pPr>
        <w:shd w:val="clear" w:color="auto" w:fill="FFFFFF"/>
        <w:jc w:val="both"/>
        <w:rPr>
          <w:bCs/>
          <w:i/>
          <w:color w:val="002060"/>
          <w:sz w:val="16"/>
          <w:szCs w:val="16"/>
        </w:rPr>
      </w:pPr>
      <w:r w:rsidRPr="00DE096C">
        <w:rPr>
          <w:bCs/>
          <w:i/>
          <w:color w:val="002060"/>
          <w:sz w:val="16"/>
          <w:szCs w:val="16"/>
        </w:rPr>
        <w:t>Самолетостроение:</w:t>
      </w:r>
    </w:p>
    <w:p w14:paraId="4F6047B7" w14:textId="77777777" w:rsidR="00ED7EE8" w:rsidRPr="00DE096C" w:rsidRDefault="00ED7EE8" w:rsidP="00D45A46">
      <w:pPr>
        <w:shd w:val="clear" w:color="auto" w:fill="FFFFFF"/>
        <w:jc w:val="both"/>
        <w:rPr>
          <w:bCs/>
          <w:i/>
          <w:color w:val="002060"/>
          <w:sz w:val="16"/>
          <w:szCs w:val="16"/>
        </w:rPr>
      </w:pPr>
    </w:p>
    <w:p w14:paraId="3BAC2686" w14:textId="5F4AB32C" w:rsidR="00ED7EE8" w:rsidRPr="00DE096C" w:rsidRDefault="00ED7EE8" w:rsidP="00D45A46">
      <w:pPr>
        <w:jc w:val="both"/>
        <w:rPr>
          <w:bCs/>
          <w:color w:val="002060"/>
          <w:sz w:val="16"/>
          <w:szCs w:val="16"/>
        </w:rPr>
      </w:pPr>
      <w:r w:rsidRPr="00DE096C">
        <w:rPr>
          <w:bCs/>
          <w:color w:val="002060"/>
          <w:sz w:val="16"/>
          <w:szCs w:val="16"/>
        </w:rPr>
        <w:t xml:space="preserve">25 мая </w:t>
      </w:r>
      <w:r w:rsidR="00E84D53" w:rsidRPr="00DE096C">
        <w:rPr>
          <w:bCs/>
          <w:color w:val="002060"/>
          <w:sz w:val="16"/>
          <w:szCs w:val="16"/>
        </w:rPr>
        <w:t xml:space="preserve">(7 июня) </w:t>
      </w:r>
      <w:r w:rsidRPr="00DE096C">
        <w:rPr>
          <w:bCs/>
          <w:color w:val="002060"/>
          <w:sz w:val="16"/>
          <w:szCs w:val="16"/>
        </w:rPr>
        <w:t>1914 постоянный член Технического комитета ГВТУ генерал-лейтенант Н.Л. Кирпичёв дал заключение по данному проекту: «Предложение на постройку 2-х больших аэропла</w:t>
      </w:r>
      <w:r w:rsidRPr="00DE096C">
        <w:rPr>
          <w:bCs/>
          <w:color w:val="002060"/>
          <w:sz w:val="16"/>
          <w:szCs w:val="16"/>
        </w:rPr>
        <w:softHyphen/>
        <w:t>нов нахожу вполне приемлемым, так как завод за значительно низшую сумму чем... [РБВЗ] (150000 и 90000 руб.) берет на себя поставку аппаратов с нехудшими гаран</w:t>
      </w:r>
      <w:r w:rsidRPr="00DE096C">
        <w:rPr>
          <w:bCs/>
          <w:color w:val="002060"/>
          <w:sz w:val="16"/>
          <w:szCs w:val="16"/>
        </w:rPr>
        <w:softHyphen/>
        <w:t>тируемыми качествами, чем у аппаратов типа «Илья Муромец».</w:t>
      </w:r>
    </w:p>
    <w:p w14:paraId="564EC3DC" w14:textId="77777777" w:rsidR="00ED7EE8" w:rsidRPr="00DE096C" w:rsidRDefault="00ED7EE8" w:rsidP="00D45A46">
      <w:pPr>
        <w:jc w:val="both"/>
        <w:rPr>
          <w:bCs/>
          <w:color w:val="002060"/>
          <w:sz w:val="16"/>
          <w:szCs w:val="16"/>
        </w:rPr>
      </w:pPr>
      <w:r w:rsidRPr="00DE096C">
        <w:rPr>
          <w:bCs/>
          <w:color w:val="002060"/>
          <w:sz w:val="16"/>
          <w:szCs w:val="16"/>
        </w:rPr>
        <w:t>Дача настоящего заказа сверх того даст дальнейшее развитие делу строительства больших аэропланов, а привлечение к этому делу нового и притом казенного завода, создаст известную конкуренцию Русско-Балтийскому вагонному заводу, являющему</w:t>
      </w:r>
      <w:r w:rsidRPr="00DE096C">
        <w:rPr>
          <w:bCs/>
          <w:color w:val="002060"/>
          <w:sz w:val="16"/>
          <w:szCs w:val="16"/>
        </w:rPr>
        <w:softHyphen/>
        <w:t>ся в настоящее время монополистом в области постройки больших аэропланов»</w:t>
      </w:r>
      <w:r w:rsidRPr="00DE096C">
        <w:rPr>
          <w:bCs/>
          <w:color w:val="002060"/>
          <w:sz w:val="16"/>
          <w:szCs w:val="16"/>
          <w:vertAlign w:val="superscript"/>
        </w:rPr>
        <w:t>22</w:t>
      </w:r>
      <w:r w:rsidRPr="00DE096C">
        <w:rPr>
          <w:bCs/>
          <w:color w:val="002060"/>
          <w:sz w:val="16"/>
          <w:szCs w:val="16"/>
        </w:rPr>
        <w:t>.</w:t>
      </w:r>
    </w:p>
    <w:p w14:paraId="26BCBF51" w14:textId="3E5D2165" w:rsidR="00ED7EE8" w:rsidRPr="00DE096C" w:rsidRDefault="00ED7EE8" w:rsidP="00D45A46">
      <w:pPr>
        <w:pStyle w:val="16"/>
        <w:shd w:val="clear" w:color="auto" w:fill="auto"/>
        <w:spacing w:before="0" w:line="240" w:lineRule="auto"/>
        <w:ind w:firstLine="0"/>
        <w:rPr>
          <w:rFonts w:ascii="Times New Roman" w:hAnsi="Times New Roman" w:cs="Times New Roman"/>
          <w:bCs/>
          <w:color w:val="002060"/>
          <w:sz w:val="16"/>
          <w:szCs w:val="16"/>
        </w:rPr>
      </w:pPr>
    </w:p>
    <w:p w14:paraId="15D6E334" w14:textId="7156A414" w:rsidR="00DA3579" w:rsidRPr="00DE096C" w:rsidRDefault="00DA3579" w:rsidP="00D45A46">
      <w:pPr>
        <w:pStyle w:val="16"/>
        <w:shd w:val="clear" w:color="auto" w:fill="auto"/>
        <w:spacing w:before="0" w:line="240" w:lineRule="auto"/>
        <w:ind w:firstLine="0"/>
        <w:rPr>
          <w:rFonts w:ascii="Times New Roman" w:hAnsi="Times New Roman" w:cs="Times New Roman"/>
          <w:bCs/>
          <w:i/>
          <w:iCs/>
          <w:color w:val="002060"/>
          <w:sz w:val="16"/>
          <w:szCs w:val="16"/>
        </w:rPr>
      </w:pPr>
      <w:r w:rsidRPr="00DE096C">
        <w:rPr>
          <w:rFonts w:ascii="Times New Roman" w:hAnsi="Times New Roman" w:cs="Times New Roman"/>
          <w:bCs/>
          <w:i/>
          <w:iCs/>
          <w:color w:val="002060"/>
          <w:sz w:val="16"/>
          <w:szCs w:val="16"/>
        </w:rPr>
        <w:t>Авиация:</w:t>
      </w:r>
    </w:p>
    <w:p w14:paraId="28589D3D" w14:textId="77777777" w:rsidR="00DA3579" w:rsidRPr="00DE096C" w:rsidRDefault="00DA3579" w:rsidP="00D45A46">
      <w:pPr>
        <w:pStyle w:val="16"/>
        <w:shd w:val="clear" w:color="auto" w:fill="auto"/>
        <w:spacing w:before="0" w:line="240" w:lineRule="auto"/>
        <w:ind w:firstLine="0"/>
        <w:rPr>
          <w:rFonts w:ascii="Times New Roman" w:hAnsi="Times New Roman" w:cs="Times New Roman"/>
          <w:bCs/>
          <w:i/>
          <w:iCs/>
          <w:color w:val="002060"/>
          <w:sz w:val="16"/>
          <w:szCs w:val="16"/>
        </w:rPr>
      </w:pPr>
    </w:p>
    <w:p w14:paraId="6ED14B6B" w14:textId="77777777" w:rsidR="00DA3579" w:rsidRPr="00DE096C" w:rsidRDefault="00DA3579" w:rsidP="00D45A46">
      <w:pPr>
        <w:jc w:val="both"/>
        <w:rPr>
          <w:bCs/>
          <w:color w:val="002060"/>
          <w:sz w:val="16"/>
          <w:szCs w:val="16"/>
        </w:rPr>
      </w:pPr>
      <w:r w:rsidRPr="00DE096C">
        <w:rPr>
          <w:bCs/>
          <w:color w:val="002060"/>
          <w:sz w:val="16"/>
          <w:szCs w:val="16"/>
        </w:rPr>
        <w:t>25 мая (7 июня) 1914 г. газета «Утро России» опубликовала программу полетов в Москве французского летчика А.Пуаре: "вираж под прямым углом, заключенная большая мертвая петля, переворачивание аппарата, мерт</w:t>
      </w:r>
      <w:r w:rsidRPr="00DE096C">
        <w:rPr>
          <w:bCs/>
          <w:color w:val="002060"/>
          <w:sz w:val="16"/>
          <w:szCs w:val="16"/>
        </w:rPr>
        <w:softHyphen/>
        <w:t>вые петли через крыло, спуск падающего листа, спуск смерти, воз</w:t>
      </w:r>
      <w:r w:rsidRPr="00DE096C">
        <w:rPr>
          <w:bCs/>
          <w:color w:val="002060"/>
          <w:sz w:val="16"/>
          <w:szCs w:val="16"/>
        </w:rPr>
        <w:softHyphen/>
        <w:t>душное танго, спуск винтом, планирующий спуск с высоты 1000 м вниз головой в течение более одной минуты, полеты с пассажирами. Поле</w:t>
      </w:r>
      <w:r w:rsidRPr="00DE096C">
        <w:rPr>
          <w:bCs/>
          <w:color w:val="002060"/>
          <w:sz w:val="16"/>
          <w:szCs w:val="16"/>
        </w:rPr>
        <w:softHyphen/>
        <w:t>ты могут быть отменены только вследствие дождя". И все это на учебном самолете Фарман-16 с мотором Рон 80 л. с. Интригующая про</w:t>
      </w:r>
      <w:r w:rsidRPr="00DE096C">
        <w:rPr>
          <w:bCs/>
          <w:color w:val="002060"/>
          <w:sz w:val="16"/>
          <w:szCs w:val="16"/>
        </w:rPr>
        <w:softHyphen/>
        <w:t>грамма привлекла на полеты огромное количество зрителей (23320).</w:t>
      </w:r>
    </w:p>
    <w:p w14:paraId="6E473F87" w14:textId="77777777" w:rsidR="00DA3579" w:rsidRPr="00DE096C" w:rsidRDefault="00DA3579" w:rsidP="00D45A46">
      <w:pPr>
        <w:jc w:val="both"/>
        <w:rPr>
          <w:bCs/>
          <w:color w:val="002060"/>
          <w:sz w:val="16"/>
          <w:szCs w:val="16"/>
        </w:rPr>
      </w:pPr>
    </w:p>
    <w:p w14:paraId="32044B96"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69D48611" w14:textId="77777777" w:rsidR="00B67D7C" w:rsidRPr="00DE096C" w:rsidRDefault="00B67D7C" w:rsidP="00D45A46">
      <w:pPr>
        <w:shd w:val="clear" w:color="auto" w:fill="FFFFFF"/>
        <w:jc w:val="both"/>
        <w:rPr>
          <w:bCs/>
          <w:i/>
          <w:color w:val="002060"/>
          <w:sz w:val="16"/>
          <w:szCs w:val="16"/>
        </w:rPr>
      </w:pPr>
    </w:p>
    <w:p w14:paraId="19282C72" w14:textId="592C042F"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27 мая (9 июня) 1914 </w:t>
      </w:r>
      <w:r w:rsidR="00E84D53" w:rsidRPr="00DE096C">
        <w:rPr>
          <w:bCs/>
          <w:color w:val="002060"/>
          <w:sz w:val="16"/>
          <w:szCs w:val="16"/>
        </w:rPr>
        <w:t>и</w:t>
      </w:r>
      <w:r w:rsidRPr="00DE096C">
        <w:rPr>
          <w:bCs/>
          <w:color w:val="002060"/>
          <w:sz w:val="16"/>
          <w:szCs w:val="16"/>
        </w:rPr>
        <w:t>нструктор Гатчинской авиашколы А.А.Кованько на самолете своей конструкции совершил беспосадочный перелет из Гатчины в Ревель, пройдя 320 км за 2 час.40 мин. 29 мая он предпринял обратный перелет ночью, пройдя весь путь за 3 часа. Это был первый в Ррссии ночной перелет на сравнительно большое расстояние ("Петербургская газета". 1914, 29 мая; "Биржевые ведомости" 1914 г. 31 июня).</w:t>
      </w:r>
    </w:p>
    <w:p w14:paraId="353DC4F7" w14:textId="77777777" w:rsidR="00B67D7C" w:rsidRPr="00DE096C" w:rsidRDefault="00B67D7C" w:rsidP="00D45A46">
      <w:pPr>
        <w:shd w:val="clear" w:color="auto" w:fill="FFFFFF"/>
        <w:jc w:val="both"/>
        <w:rPr>
          <w:bCs/>
          <w:color w:val="002060"/>
          <w:sz w:val="16"/>
          <w:szCs w:val="16"/>
        </w:rPr>
      </w:pPr>
    </w:p>
    <w:p w14:paraId="6EFD6DE2" w14:textId="77777777" w:rsidR="00DA3579" w:rsidRPr="00DE096C" w:rsidRDefault="00DA3579" w:rsidP="00D45A46">
      <w:pPr>
        <w:jc w:val="both"/>
        <w:rPr>
          <w:bCs/>
          <w:color w:val="002060"/>
          <w:sz w:val="16"/>
          <w:szCs w:val="16"/>
        </w:rPr>
      </w:pPr>
      <w:r w:rsidRPr="00DE096C">
        <w:rPr>
          <w:bCs/>
          <w:color w:val="002060"/>
          <w:sz w:val="16"/>
          <w:szCs w:val="16"/>
        </w:rPr>
        <w:t>27 мая (7 июня) 1914 г. инструктор Гатчинской авиашколы Александр Александ</w:t>
      </w:r>
      <w:r w:rsidRPr="00DE096C">
        <w:rPr>
          <w:bCs/>
          <w:color w:val="002060"/>
          <w:sz w:val="16"/>
          <w:szCs w:val="16"/>
        </w:rPr>
        <w:softHyphen/>
        <w:t>рович Кованько на самолете своей конструкции совершил беспосадоч</w:t>
      </w:r>
      <w:r w:rsidRPr="00DE096C">
        <w:rPr>
          <w:bCs/>
          <w:color w:val="002060"/>
          <w:sz w:val="16"/>
          <w:szCs w:val="16"/>
        </w:rPr>
        <w:softHyphen/>
        <w:t>ный перелет из Гатчины в Ревель, Пройдя 320 км за 2 ч.40 минут. Обратный полет был совершен ночью и продолжался. 3 часа. Это был первый в России ночной перелет на относительно большое расстояние.</w:t>
      </w:r>
    </w:p>
    <w:p w14:paraId="0B6D57FD" w14:textId="77777777" w:rsidR="00DA3579" w:rsidRPr="00DE096C" w:rsidRDefault="00DA3579" w:rsidP="00D45A46">
      <w:pPr>
        <w:jc w:val="both"/>
        <w:rPr>
          <w:bCs/>
          <w:color w:val="002060"/>
          <w:sz w:val="16"/>
          <w:szCs w:val="16"/>
        </w:rPr>
      </w:pPr>
      <w:r w:rsidRPr="00DE096C">
        <w:rPr>
          <w:bCs/>
          <w:color w:val="002060"/>
          <w:sz w:val="16"/>
          <w:szCs w:val="16"/>
        </w:rPr>
        <w:t>/"Петербургская газета" 29 мая 1914; "Бирж. ведомости" 31.5.14/ (23320).</w:t>
      </w:r>
    </w:p>
    <w:p w14:paraId="7CD53323" w14:textId="77777777" w:rsidR="00DA3579" w:rsidRPr="00DE096C" w:rsidRDefault="00DA3579" w:rsidP="00D45A46">
      <w:pPr>
        <w:jc w:val="both"/>
        <w:rPr>
          <w:bCs/>
          <w:color w:val="002060"/>
          <w:sz w:val="16"/>
          <w:szCs w:val="16"/>
        </w:rPr>
      </w:pPr>
    </w:p>
    <w:p w14:paraId="4FD74EE0" w14:textId="49761B7D" w:rsidR="00BC1858" w:rsidRPr="00DE096C" w:rsidRDefault="00BC1858" w:rsidP="00D45A46">
      <w:pPr>
        <w:jc w:val="both"/>
        <w:rPr>
          <w:bCs/>
          <w:i/>
          <w:color w:val="002060"/>
          <w:sz w:val="16"/>
          <w:szCs w:val="16"/>
        </w:rPr>
      </w:pPr>
      <w:r w:rsidRPr="00DE096C">
        <w:rPr>
          <w:bCs/>
          <w:i/>
          <w:color w:val="002060"/>
          <w:sz w:val="16"/>
          <w:szCs w:val="16"/>
        </w:rPr>
        <w:t>Авиация и воздухоплавание Франции:</w:t>
      </w:r>
    </w:p>
    <w:p w14:paraId="11F9CE7B" w14:textId="77777777" w:rsidR="00BC1858" w:rsidRPr="00DE096C" w:rsidRDefault="00BC1858" w:rsidP="00D45A46">
      <w:pPr>
        <w:jc w:val="both"/>
        <w:rPr>
          <w:bCs/>
          <w:i/>
          <w:color w:val="002060"/>
          <w:sz w:val="16"/>
          <w:szCs w:val="16"/>
        </w:rPr>
      </w:pPr>
    </w:p>
    <w:p w14:paraId="51680FAC" w14:textId="77777777" w:rsidR="00BC1858" w:rsidRPr="00DE096C" w:rsidRDefault="00BC1858" w:rsidP="00D45A46">
      <w:pPr>
        <w:jc w:val="both"/>
        <w:rPr>
          <w:bCs/>
          <w:color w:val="002060"/>
          <w:sz w:val="16"/>
          <w:szCs w:val="16"/>
        </w:rPr>
      </w:pPr>
      <w:r w:rsidRPr="00DE096C">
        <w:rPr>
          <w:bCs/>
          <w:color w:val="002060"/>
          <w:sz w:val="16"/>
          <w:szCs w:val="16"/>
        </w:rPr>
        <w:t>27 мая (9 июня) 1914 с использованием пандуса, построенного над баком носителя Foudre, ВМС Франции лейтенант де Vaisseau Жан де LABORDE на гидросамолете выполнил вторую попытку во Франции взлета с корабля (20337).</w:t>
      </w:r>
    </w:p>
    <w:p w14:paraId="202E2C20" w14:textId="77777777" w:rsidR="00BC1858" w:rsidRPr="00DE096C" w:rsidRDefault="00BC1858" w:rsidP="00D45A46">
      <w:pPr>
        <w:jc w:val="both"/>
        <w:rPr>
          <w:bCs/>
          <w:color w:val="002060"/>
          <w:sz w:val="16"/>
          <w:szCs w:val="16"/>
        </w:rPr>
      </w:pPr>
    </w:p>
    <w:p w14:paraId="3687BC03" w14:textId="77777777" w:rsidR="0097361F" w:rsidRPr="00B52707" w:rsidRDefault="0097361F" w:rsidP="0097361F">
      <w:pPr>
        <w:jc w:val="both"/>
        <w:rPr>
          <w:color w:val="0070C0"/>
          <w:sz w:val="16"/>
          <w:szCs w:val="16"/>
        </w:rPr>
      </w:pPr>
      <w:r w:rsidRPr="00B52707">
        <w:rPr>
          <w:color w:val="0070C0"/>
          <w:sz w:val="16"/>
          <w:szCs w:val="16"/>
        </w:rPr>
        <w:t>27 мая (9 июня) 1914 г. Рене Кодрон устроил демонстрационный полет гидроплана Тип J, взяв на борт капитан-лейтенанта Лабора. На середину года ВМС Франции имели уже 24 самолета и столько же пилотов. Первую организационно-штатную структуру морской авиации Франции определил закон от 10 июля 1914 г. Главный штаб в Париже включал службы аэронавтики (аэростаты и дирижабли) и авиации (самолеты), а также тыловые и Центральную службу – ее руководитель капитан I ранга Ноэль подчинялся непосредственно Морскому министру. Утряска штатов Центральной службы Аэронаваль закончилась за несколько дней до начала войны – 1 августа 1914 г., а эскадрильи еще долго комплектовались и по сути единственной боеготовой единицей Аэронаваль оставался тот самый «Ля Фадр» со своим экипажем (25650).</w:t>
      </w:r>
    </w:p>
    <w:p w14:paraId="10448E71" w14:textId="77777777" w:rsidR="0097361F" w:rsidRPr="00B52707" w:rsidRDefault="0097361F" w:rsidP="0097361F">
      <w:pPr>
        <w:jc w:val="both"/>
        <w:rPr>
          <w:color w:val="0070C0"/>
          <w:sz w:val="16"/>
          <w:szCs w:val="16"/>
        </w:rPr>
      </w:pPr>
    </w:p>
    <w:p w14:paraId="5E85150E" w14:textId="1BAC68D6" w:rsidR="0097361F" w:rsidRPr="00DE096C" w:rsidRDefault="0097361F" w:rsidP="0097361F">
      <w:pPr>
        <w:jc w:val="both"/>
        <w:rPr>
          <w:bCs/>
          <w:i/>
          <w:color w:val="002060"/>
          <w:sz w:val="16"/>
          <w:szCs w:val="16"/>
        </w:rPr>
      </w:pPr>
      <w:r w:rsidRPr="00DE096C">
        <w:rPr>
          <w:bCs/>
          <w:i/>
          <w:color w:val="002060"/>
          <w:sz w:val="16"/>
          <w:szCs w:val="16"/>
        </w:rPr>
        <w:t xml:space="preserve">Авиация и воздухоплавание </w:t>
      </w:r>
      <w:r>
        <w:rPr>
          <w:bCs/>
          <w:i/>
          <w:color w:val="002060"/>
          <w:sz w:val="16"/>
          <w:szCs w:val="16"/>
        </w:rPr>
        <w:t>Англии</w:t>
      </w:r>
      <w:r w:rsidRPr="00DE096C">
        <w:rPr>
          <w:bCs/>
          <w:i/>
          <w:color w:val="002060"/>
          <w:sz w:val="16"/>
          <w:szCs w:val="16"/>
        </w:rPr>
        <w:t>:</w:t>
      </w:r>
    </w:p>
    <w:p w14:paraId="328596A0" w14:textId="77777777" w:rsidR="0097361F" w:rsidRPr="00DE096C" w:rsidRDefault="0097361F" w:rsidP="0097361F">
      <w:pPr>
        <w:jc w:val="both"/>
        <w:rPr>
          <w:bCs/>
          <w:i/>
          <w:color w:val="002060"/>
          <w:sz w:val="16"/>
          <w:szCs w:val="16"/>
        </w:rPr>
      </w:pPr>
    </w:p>
    <w:p w14:paraId="6F1F7B03" w14:textId="77777777" w:rsidR="0097361F" w:rsidRPr="00B52707" w:rsidRDefault="0097361F" w:rsidP="0097361F">
      <w:pPr>
        <w:jc w:val="both"/>
        <w:rPr>
          <w:color w:val="0070C0"/>
          <w:sz w:val="16"/>
          <w:szCs w:val="16"/>
        </w:rPr>
      </w:pPr>
      <w:r>
        <w:rPr>
          <w:color w:val="0070C0"/>
          <w:sz w:val="16"/>
          <w:szCs w:val="16"/>
        </w:rPr>
        <w:t>2</w:t>
      </w:r>
      <w:r w:rsidRPr="00B52707">
        <w:rPr>
          <w:color w:val="0070C0"/>
          <w:sz w:val="16"/>
          <w:szCs w:val="16"/>
        </w:rPr>
        <w:t>7 мая (9 июня) 1914 г. майор Бранкер на В.Е.2с в перелете в Полевой лагерь сосредоточения RFC после набора высоты 610 м летел 40 минут до захода на посадку, не прикасаясь к рычагам управления, и самолет ни разу не изменил траекторию. В «лагере» В.Е.2с получил положительную оценку – английские военные пилоты пока хотели летать не выше, дальше и быстрее, а спокойнее и безопаснее. Они называли эту машину «курсантским самолетом» или «постоянной Дженни» (25679).</w:t>
      </w:r>
    </w:p>
    <w:p w14:paraId="25BF1601" w14:textId="77777777" w:rsidR="0097361F" w:rsidRPr="00B52707" w:rsidRDefault="0097361F" w:rsidP="0097361F">
      <w:pPr>
        <w:jc w:val="both"/>
        <w:rPr>
          <w:color w:val="0070C0"/>
          <w:sz w:val="16"/>
          <w:szCs w:val="16"/>
        </w:rPr>
      </w:pPr>
    </w:p>
    <w:p w14:paraId="6CE6DC24" w14:textId="77777777" w:rsidR="00954AD8" w:rsidRPr="00DE096C" w:rsidRDefault="00954AD8" w:rsidP="00D45A46">
      <w:pPr>
        <w:jc w:val="both"/>
        <w:rPr>
          <w:bCs/>
          <w:i/>
          <w:color w:val="002060"/>
          <w:sz w:val="16"/>
          <w:szCs w:val="16"/>
        </w:rPr>
      </w:pPr>
      <w:r w:rsidRPr="00DE096C">
        <w:rPr>
          <w:bCs/>
          <w:i/>
          <w:color w:val="002060"/>
          <w:sz w:val="16"/>
          <w:szCs w:val="16"/>
        </w:rPr>
        <w:t>Авиация и воздухоплавание Франции:</w:t>
      </w:r>
    </w:p>
    <w:p w14:paraId="6F9842BE" w14:textId="77777777" w:rsidR="00954AD8" w:rsidRPr="00DE096C" w:rsidRDefault="00954AD8" w:rsidP="00D45A46">
      <w:pPr>
        <w:jc w:val="both"/>
        <w:rPr>
          <w:bCs/>
          <w:i/>
          <w:color w:val="002060"/>
          <w:sz w:val="16"/>
          <w:szCs w:val="16"/>
        </w:rPr>
      </w:pPr>
    </w:p>
    <w:p w14:paraId="5D5F4CBC" w14:textId="673F8DAE" w:rsidR="00954AD8" w:rsidRPr="00DE096C" w:rsidRDefault="00954AD8" w:rsidP="00D45A46">
      <w:pPr>
        <w:jc w:val="both"/>
        <w:rPr>
          <w:bCs/>
          <w:color w:val="002060"/>
          <w:sz w:val="16"/>
          <w:szCs w:val="16"/>
        </w:rPr>
      </w:pPr>
      <w:r w:rsidRPr="00DE096C">
        <w:rPr>
          <w:bCs/>
          <w:color w:val="002060"/>
          <w:sz w:val="16"/>
          <w:szCs w:val="16"/>
        </w:rPr>
        <w:t>28 мая (10 июня) 1914</w:t>
      </w:r>
      <w:r w:rsidR="0006581C">
        <w:rPr>
          <w:bCs/>
          <w:color w:val="002060"/>
          <w:sz w:val="16"/>
          <w:szCs w:val="16"/>
        </w:rPr>
        <w:t xml:space="preserve"> </w:t>
      </w:r>
      <w:r w:rsidR="00FB141C" w:rsidRPr="00DE096C">
        <w:rPr>
          <w:bCs/>
          <w:color w:val="002060"/>
          <w:sz w:val="16"/>
          <w:szCs w:val="16"/>
        </w:rPr>
        <w:t>н</w:t>
      </w:r>
      <w:r w:rsidRPr="00DE096C">
        <w:rPr>
          <w:bCs/>
          <w:color w:val="002060"/>
          <w:sz w:val="16"/>
          <w:szCs w:val="16"/>
        </w:rPr>
        <w:t>а аэроплане Шмитта No.7, крупном биплане со 160-сильным двухрядным ротативным мотором "Гном" и механизмом, изменяющим угол установки крыльев относительно продольной оси фюзеляжа лётчик Викторин Гаро (Victorin Garaix) установил несколько мировых рекордов, зафиксированных следующим образом:</w:t>
      </w:r>
    </w:p>
    <w:p w14:paraId="2C0FB6E4" w14:textId="77777777" w:rsidR="00954AD8" w:rsidRPr="00DE096C" w:rsidRDefault="00954AD8" w:rsidP="00D45A46">
      <w:pPr>
        <w:jc w:val="both"/>
        <w:rPr>
          <w:bCs/>
          <w:color w:val="002060"/>
          <w:sz w:val="16"/>
          <w:szCs w:val="16"/>
        </w:rPr>
      </w:pPr>
      <w:r w:rsidRPr="00DE096C">
        <w:rPr>
          <w:bCs/>
          <w:color w:val="002060"/>
          <w:sz w:val="16"/>
          <w:szCs w:val="16"/>
        </w:rPr>
        <w:t>Полёт с четырьмя пассажирами: максимальная скорость 110 км/ч (10 июня 1914 года). В тот же день аэроплан установил ещё один рекорд - за 1 час пролетел 107,58 км.</w:t>
      </w:r>
    </w:p>
    <w:p w14:paraId="71E82690" w14:textId="77777777" w:rsidR="00954AD8" w:rsidRPr="00DE096C" w:rsidRDefault="00954AD8" w:rsidP="00D45A46">
      <w:pPr>
        <w:jc w:val="both"/>
        <w:rPr>
          <w:bCs/>
          <w:color w:val="002060"/>
          <w:sz w:val="16"/>
          <w:szCs w:val="16"/>
        </w:rPr>
      </w:pPr>
      <w:r w:rsidRPr="00DE096C">
        <w:rPr>
          <w:bCs/>
          <w:color w:val="002060"/>
          <w:sz w:val="16"/>
          <w:szCs w:val="16"/>
        </w:rPr>
        <w:t>Полёт с пятью пассажирами: продолжительность 1 час 24 минуты; дистанция 150 км; скорость: 107,15 км/ч (22465).</w:t>
      </w:r>
    </w:p>
    <w:p w14:paraId="721C4511" w14:textId="77777777" w:rsidR="00954AD8" w:rsidRPr="00DE096C" w:rsidRDefault="00954AD8" w:rsidP="00D45A46">
      <w:pPr>
        <w:jc w:val="both"/>
        <w:rPr>
          <w:bCs/>
          <w:color w:val="002060"/>
          <w:sz w:val="16"/>
          <w:szCs w:val="16"/>
        </w:rPr>
      </w:pPr>
    </w:p>
    <w:p w14:paraId="79723C96" w14:textId="12EB9FFB" w:rsidR="00FB141C" w:rsidRPr="00DE096C" w:rsidRDefault="00FB141C" w:rsidP="00D45A46">
      <w:pPr>
        <w:jc w:val="both"/>
        <w:rPr>
          <w:bCs/>
          <w:color w:val="002060"/>
          <w:sz w:val="16"/>
          <w:szCs w:val="16"/>
        </w:rPr>
      </w:pPr>
      <w:r w:rsidRPr="00DE096C">
        <w:rPr>
          <w:bCs/>
          <w:color w:val="002060"/>
          <w:sz w:val="16"/>
          <w:szCs w:val="16"/>
        </w:rPr>
        <w:t xml:space="preserve">28 мая (10 июня) в 1914 году на </w:t>
      </w:r>
      <w:hyperlink r:id="rId22" w:tgtFrame="_blank" w:history="1">
        <w:r w:rsidRPr="00DE096C">
          <w:rPr>
            <w:bCs/>
            <w:color w:val="002060"/>
            <w:sz w:val="16"/>
            <w:szCs w:val="16"/>
          </w:rPr>
          <w:t xml:space="preserve">«аэроплане Шмитта №7», </w:t>
        </w:r>
      </w:hyperlink>
      <w:r w:rsidRPr="00DE096C">
        <w:rPr>
          <w:bCs/>
          <w:color w:val="002060"/>
          <w:sz w:val="16"/>
          <w:szCs w:val="16"/>
        </w:rPr>
        <w:t>крупном биплане со 160-сильным двухрядным ротативным мотором "Гном" и механизмом, изменяющим угол установки крыльев относительно продольной оси фюзеляжа летчик Гаро установил несколько мировых рекордов, зафиксированных следующим образом: Полет с четырьмя пассажирами: максимальная скорость 110 км/ч (10 июня 1914 года). В тот же день аэроплан установил еще один рекорд - за 1 час пролетел 107,58 км. Полет с пятью пассажирами: продолжительность 1 час 24 минуты; дистанция 150 км; скорость: 107,15 км/ ч (14918).</w:t>
      </w:r>
    </w:p>
    <w:p w14:paraId="2E8B3AA2" w14:textId="77777777" w:rsidR="00FB141C" w:rsidRPr="00DE096C" w:rsidRDefault="00FB141C" w:rsidP="00D45A46">
      <w:pPr>
        <w:jc w:val="both"/>
        <w:rPr>
          <w:bCs/>
          <w:color w:val="002060"/>
          <w:sz w:val="16"/>
          <w:szCs w:val="16"/>
        </w:rPr>
      </w:pPr>
    </w:p>
    <w:p w14:paraId="1B3AB508" w14:textId="77777777" w:rsidR="002B22B5" w:rsidRPr="00DE096C" w:rsidRDefault="002B22B5" w:rsidP="00D45A46">
      <w:pPr>
        <w:shd w:val="clear" w:color="auto" w:fill="FFFFFF"/>
        <w:jc w:val="both"/>
        <w:rPr>
          <w:bCs/>
          <w:i/>
          <w:color w:val="002060"/>
          <w:sz w:val="16"/>
          <w:szCs w:val="16"/>
        </w:rPr>
      </w:pPr>
      <w:r w:rsidRPr="00DE096C">
        <w:rPr>
          <w:bCs/>
          <w:i/>
          <w:color w:val="002060"/>
          <w:sz w:val="16"/>
          <w:szCs w:val="16"/>
        </w:rPr>
        <w:t>Самолетостроение:</w:t>
      </w:r>
    </w:p>
    <w:p w14:paraId="363FB5EB" w14:textId="77777777" w:rsidR="002B22B5" w:rsidRPr="00DE096C" w:rsidRDefault="002B22B5" w:rsidP="00D45A46">
      <w:pPr>
        <w:shd w:val="clear" w:color="auto" w:fill="FFFFFF"/>
        <w:jc w:val="both"/>
        <w:rPr>
          <w:bCs/>
          <w:i/>
          <w:color w:val="002060"/>
          <w:sz w:val="16"/>
          <w:szCs w:val="16"/>
        </w:rPr>
      </w:pPr>
    </w:p>
    <w:p w14:paraId="7DD5C489" w14:textId="11ABEAE2" w:rsidR="006661AB" w:rsidRPr="00DE096C" w:rsidRDefault="006661AB" w:rsidP="00D45A46">
      <w:pPr>
        <w:jc w:val="both"/>
        <w:rPr>
          <w:bCs/>
          <w:color w:val="002060"/>
          <w:sz w:val="16"/>
          <w:szCs w:val="16"/>
        </w:rPr>
      </w:pPr>
      <w:bookmarkStart w:id="25" w:name="_Hlk117155035"/>
      <w:r w:rsidRPr="00DE096C">
        <w:rPr>
          <w:bCs/>
          <w:color w:val="002060"/>
          <w:sz w:val="16"/>
          <w:szCs w:val="16"/>
        </w:rPr>
        <w:t xml:space="preserve">29 мая (10 июня) 1914 года второй корабль "Гранд", построенный по заказы Морского министерства и сданный 1 (14) декабря 1913 года, который остался в распоряжении завода и использовался для обучения пилотов, был серьезно поврежден при посадке. Более не восстанавливался. Флотские корабли I и II имели поплавки в отличии от первого "Гранда". Ввиду того, что погодные условия в Петербурге с трудом можно назвать благоприятными, 26 декабря было принято решение обучение летчиков для морского ведомства и отработку вопросов применения самодвижущихся и метательных мин перенести на Черное море. После отправки обоих кораблей на Черное море и облета их там, первый сброс торпеды типа "Л" флотскими летчиками был выполнен 7 марта 1914 года к востоку от Фороса. В начале мая корабль I был передан для дальнейшего использования в Севастопольскую авиашколу. Корабль II продолжал использоваться в основном в учебных целях в Дивизионе воздушных кораблей. </w:t>
      </w:r>
    </w:p>
    <w:p w14:paraId="0CE1B3CF" w14:textId="77777777" w:rsidR="006661AB" w:rsidRPr="00DE096C" w:rsidRDefault="006661AB" w:rsidP="00D45A46">
      <w:pPr>
        <w:jc w:val="both"/>
        <w:rPr>
          <w:bCs/>
          <w:color w:val="002060"/>
          <w:sz w:val="16"/>
          <w:szCs w:val="16"/>
        </w:rPr>
      </w:pPr>
      <w:r w:rsidRPr="00DE096C">
        <w:rPr>
          <w:bCs/>
          <w:color w:val="002060"/>
          <w:sz w:val="16"/>
          <w:szCs w:val="16"/>
        </w:rPr>
        <w:t xml:space="preserve">Летная эксплуатация построенных "Грандов" дала огромный объем информации. На базе полученных знаний и опыта эксплуатации первого "Гранда" уже строилась другая, более совершенная машина. Так русский "Гранд" стал родоначальником всех многомоторных тяжелых самолетов в мире. В заключении стоит заметить что распоряжением морского министра аэропланы следовало именовать "Большой Балтийский I и II". </w:t>
      </w:r>
    </w:p>
    <w:p w14:paraId="49BBBF60" w14:textId="77777777" w:rsidR="006661AB" w:rsidRPr="00DE096C" w:rsidRDefault="006661AB" w:rsidP="00D45A46">
      <w:pPr>
        <w:jc w:val="both"/>
        <w:rPr>
          <w:bCs/>
          <w:color w:val="002060"/>
          <w:sz w:val="16"/>
          <w:szCs w:val="16"/>
        </w:rPr>
      </w:pPr>
      <w:r w:rsidRPr="00DE096C">
        <w:rPr>
          <w:bCs/>
          <w:color w:val="002060"/>
          <w:sz w:val="16"/>
          <w:szCs w:val="16"/>
        </w:rPr>
        <w:t xml:space="preserve">ЛТХ: размах крыльев - 27/22 м, длинна 20 м, площадь крыла 120 м.кв., масса пустого самолета 3500 кг, нормальная взлетная 4200 кг, 4 мотора "Аргус" по 100 л.с., макс.скорость 90 км/ч, крейсерская скорость 70 км/ч, дальность 270 км, экипаж 2-7 человек, вооружение: 1-2 ружья пулемета Мадсена, в начале лета в ходе </w:t>
      </w:r>
      <w:r w:rsidRPr="00DE096C">
        <w:rPr>
          <w:bCs/>
          <w:color w:val="002060"/>
          <w:sz w:val="16"/>
          <w:szCs w:val="16"/>
        </w:rPr>
        <w:lastRenderedPageBreak/>
        <w:t xml:space="preserve">мобилизации июня минная подвеска с кораблей сняты и заменены на сооруженную в севастопольских мастерских импровизированную кассету для сброса бомб (12284). </w:t>
      </w:r>
    </w:p>
    <w:p w14:paraId="42A9A209" w14:textId="77777777" w:rsidR="006661AB" w:rsidRPr="00DE096C" w:rsidRDefault="006661AB" w:rsidP="00D45A46">
      <w:pPr>
        <w:jc w:val="both"/>
        <w:rPr>
          <w:bCs/>
          <w:color w:val="002060"/>
          <w:sz w:val="16"/>
          <w:szCs w:val="16"/>
        </w:rPr>
      </w:pPr>
    </w:p>
    <w:bookmarkEnd w:id="25"/>
    <w:p w14:paraId="29359D05" w14:textId="5879EE48" w:rsidR="002B22B5" w:rsidRPr="00DE096C" w:rsidRDefault="002B22B5" w:rsidP="00D45A46">
      <w:pPr>
        <w:jc w:val="both"/>
        <w:rPr>
          <w:bCs/>
          <w:color w:val="002060"/>
          <w:sz w:val="16"/>
          <w:szCs w:val="16"/>
        </w:rPr>
      </w:pPr>
      <w:r w:rsidRPr="00DE096C">
        <w:rPr>
          <w:bCs/>
          <w:color w:val="002060"/>
          <w:sz w:val="16"/>
          <w:szCs w:val="16"/>
        </w:rPr>
        <w:t>29 мая (11 июня) 1914 г. Техком ГВТУ, «выслушав заключение и прилагаемую при сем записку посто</w:t>
      </w:r>
      <w:r w:rsidRPr="00DE096C">
        <w:rPr>
          <w:bCs/>
          <w:color w:val="002060"/>
          <w:sz w:val="16"/>
          <w:szCs w:val="16"/>
        </w:rPr>
        <w:softHyphen/>
        <w:t>янного члена комитета... Н.Л. Кирпичева... положил: Предложение Балтийского судо</w:t>
      </w:r>
      <w:r w:rsidRPr="00DE096C">
        <w:rPr>
          <w:bCs/>
          <w:color w:val="002060"/>
          <w:sz w:val="16"/>
          <w:szCs w:val="16"/>
        </w:rPr>
        <w:softHyphen/>
        <w:t>строительного завода с технической стороны признать приемлемым, а заказ ему 2-х больших аэропланов на предлагаемых им условиях желательным» (15782).</w:t>
      </w:r>
    </w:p>
    <w:p w14:paraId="08D5A13C" w14:textId="77777777" w:rsidR="002B22B5" w:rsidRPr="00DE096C" w:rsidRDefault="002B22B5" w:rsidP="00D45A46">
      <w:pPr>
        <w:pStyle w:val="16"/>
        <w:shd w:val="clear" w:color="auto" w:fill="auto"/>
        <w:spacing w:before="0" w:line="240" w:lineRule="auto"/>
        <w:ind w:firstLine="0"/>
        <w:rPr>
          <w:rFonts w:ascii="Times New Roman" w:hAnsi="Times New Roman" w:cs="Times New Roman"/>
          <w:bCs/>
          <w:color w:val="002060"/>
          <w:sz w:val="16"/>
          <w:szCs w:val="16"/>
        </w:rPr>
      </w:pPr>
    </w:p>
    <w:p w14:paraId="1D6C8442"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Другие оборонные отрасли:</w:t>
      </w:r>
    </w:p>
    <w:p w14:paraId="671AA035" w14:textId="77777777" w:rsidR="00B67D7C" w:rsidRPr="00DE096C" w:rsidRDefault="00B67D7C" w:rsidP="00D45A46">
      <w:pPr>
        <w:shd w:val="clear" w:color="auto" w:fill="FFFFFF"/>
        <w:jc w:val="both"/>
        <w:rPr>
          <w:bCs/>
          <w:i/>
          <w:color w:val="002060"/>
          <w:sz w:val="16"/>
          <w:szCs w:val="16"/>
        </w:rPr>
      </w:pPr>
    </w:p>
    <w:p w14:paraId="0380EEFE" w14:textId="53920C52" w:rsidR="00B67D7C" w:rsidRPr="00DE096C" w:rsidRDefault="00FB141C" w:rsidP="00D45A46">
      <w:pPr>
        <w:shd w:val="clear" w:color="auto" w:fill="FFFFFF"/>
        <w:jc w:val="both"/>
        <w:rPr>
          <w:bCs/>
          <w:color w:val="002060"/>
          <w:sz w:val="16"/>
          <w:szCs w:val="16"/>
        </w:rPr>
      </w:pPr>
      <w:r w:rsidRPr="00DE096C">
        <w:rPr>
          <w:bCs/>
          <w:color w:val="002060"/>
          <w:sz w:val="16"/>
          <w:szCs w:val="16"/>
        </w:rPr>
        <w:t>С</w:t>
      </w:r>
      <w:r w:rsidR="00B67D7C" w:rsidRPr="00DE096C">
        <w:rPr>
          <w:bCs/>
          <w:color w:val="002060"/>
          <w:sz w:val="16"/>
          <w:szCs w:val="16"/>
        </w:rPr>
        <w:t xml:space="preserve"> 29 мая по 1 </w:t>
      </w:r>
      <w:r w:rsidRPr="00DE096C">
        <w:rPr>
          <w:bCs/>
          <w:color w:val="002060"/>
          <w:sz w:val="16"/>
          <w:szCs w:val="16"/>
        </w:rPr>
        <w:t xml:space="preserve">(11-14) </w:t>
      </w:r>
      <w:r w:rsidR="00B67D7C" w:rsidRPr="00DE096C">
        <w:rPr>
          <w:bCs/>
          <w:color w:val="002060"/>
          <w:sz w:val="16"/>
          <w:szCs w:val="16"/>
        </w:rPr>
        <w:t xml:space="preserve">июня 1914 г. </w:t>
      </w:r>
      <w:r w:rsidRPr="00DE096C">
        <w:rPr>
          <w:bCs/>
          <w:color w:val="002060"/>
          <w:sz w:val="16"/>
          <w:szCs w:val="16"/>
        </w:rPr>
        <w:t>состоялся первый организованный ГВТУ испытательный мотопробег, протяжённостью 1300 вёрст по маршруту Москва-Санкт-Петер</w:t>
      </w:r>
      <w:r w:rsidRPr="00DE096C">
        <w:rPr>
          <w:bCs/>
          <w:color w:val="002060"/>
          <w:sz w:val="16"/>
          <w:szCs w:val="16"/>
        </w:rPr>
        <w:softHyphen/>
        <w:t xml:space="preserve">бург и обратно с отдыхом в столице. </w:t>
      </w:r>
      <w:r w:rsidR="00B67D7C" w:rsidRPr="00DE096C">
        <w:rPr>
          <w:bCs/>
          <w:color w:val="002060"/>
          <w:sz w:val="16"/>
          <w:szCs w:val="16"/>
        </w:rPr>
        <w:t>Контрольные пункты находились в городах Тверь, Вышний Волочёк, Крестцы, Чудово, Санкт-Петербург, где техническая комиссия фиксировала отказы у мотоциклов и в соответствия с ними выставляла штрафные баллы. Принятая тогда система оценки надёжности мотоциклов в пробеге долгие годы использовалась в нашей стране, правда, с уточнениями. Так, за погнутую на учётном этапе педаль назначали 2 штраф</w:t>
      </w:r>
      <w:r w:rsidR="00B67D7C" w:rsidRPr="00DE096C">
        <w:rPr>
          <w:bCs/>
          <w:color w:val="002060"/>
          <w:sz w:val="16"/>
          <w:szCs w:val="16"/>
        </w:rPr>
        <w:softHyphen/>
        <w:t>ных очка, подножку - 4, руль - 2, шатун в двигателе - 2 (за каж</w:t>
      </w:r>
      <w:r w:rsidR="00B67D7C" w:rsidRPr="00DE096C">
        <w:rPr>
          <w:bCs/>
          <w:color w:val="002060"/>
          <w:sz w:val="16"/>
          <w:szCs w:val="16"/>
        </w:rPr>
        <w:softHyphen/>
        <w:t>дый); за поломку руля - 20; за поломку или потерю педали - 5, спицы - 2 (за каждую); за «восьмёрку» колеса (более 10 мм) - 6, поломку обода колеса - 8, деформацию глушителя - 4 и т.д. Всего назначили 44 контрольных позиции и установили зачёт</w:t>
      </w:r>
      <w:r w:rsidR="00B67D7C" w:rsidRPr="00DE096C">
        <w:rPr>
          <w:bCs/>
          <w:color w:val="002060"/>
          <w:sz w:val="16"/>
          <w:szCs w:val="16"/>
        </w:rPr>
        <w:softHyphen/>
        <w:t>ное время прохождения маршрута - не более 84 часов [2.23]. Для каждого мотоцикла предполагалось суммировать баллы. Мотоцикл с наименьшей суммой штрафных очков считался лучшим.</w:t>
      </w:r>
    </w:p>
    <w:p w14:paraId="045D42A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Из записавшихся 43 участников к старту прибыло 37. Мото</w:t>
      </w:r>
      <w:r w:rsidRPr="00DE096C">
        <w:rPr>
          <w:bCs/>
          <w:color w:val="002060"/>
          <w:sz w:val="16"/>
          <w:szCs w:val="16"/>
        </w:rPr>
        <w:softHyphen/>
        <w:t>циклисты стартовали поочерёдно с интервалом в две минуты. Первому дали отмашку в 2 ч 30 мин по Санкт-Петербургскому времени. Успешно закончили пробег лишь 16 участников, трое не уложились в норму времени, столько же - сняли с дистанции за нарушения правил, 15 - сошли с маршрута.</w:t>
      </w:r>
    </w:p>
    <w:p w14:paraId="08D35D0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Лучшее время показал прапорщик Б.М. Толокнов (Индиан, 7 л.с.) - 38 ч 50 мин (средняя скорость 33,5 версты в час). Ему вру</w:t>
      </w:r>
      <w:r w:rsidRPr="00DE096C">
        <w:rPr>
          <w:bCs/>
          <w:color w:val="002060"/>
          <w:sz w:val="16"/>
          <w:szCs w:val="16"/>
        </w:rPr>
        <w:softHyphen/>
        <w:t>чили Первый приз Московского клуба мотористов (МКМ). Вто</w:t>
      </w:r>
      <w:r w:rsidRPr="00DE096C">
        <w:rPr>
          <w:bCs/>
          <w:color w:val="002060"/>
          <w:sz w:val="16"/>
          <w:szCs w:val="16"/>
        </w:rPr>
        <w:softHyphen/>
        <w:t>рой и Третий получили А.Ф. Круминг (Индиан, 7 л.с.) и Ф.М. Грабовский (Скотт, 4 л.с.) соответственно. За лучшее состояние фи</w:t>
      </w:r>
      <w:r w:rsidRPr="00DE096C">
        <w:rPr>
          <w:bCs/>
          <w:color w:val="002060"/>
          <w:sz w:val="16"/>
          <w:szCs w:val="16"/>
        </w:rPr>
        <w:softHyphen/>
        <w:t>нишировавшего мотоцикла (наименьшее количество штрафных баллов) вручили призы МКМ, соответственно: Первый -П.Я. Кротову (Индиан, 7 л.с.), Второй - Л.В. Владимирову (Не-камсульм, 3,5 л.с.), Третий - И.А. Юргенсону (Вандерер, 3 л.с.). Главную награду - приз Императорского Российского Автомо</w:t>
      </w:r>
      <w:r w:rsidRPr="00DE096C">
        <w:rPr>
          <w:bCs/>
          <w:color w:val="002060"/>
          <w:sz w:val="16"/>
          <w:szCs w:val="16"/>
        </w:rPr>
        <w:softHyphen/>
        <w:t>бильного общества за наилучшее состояние мотоцикла на фини</w:t>
      </w:r>
      <w:r w:rsidRPr="00DE096C">
        <w:rPr>
          <w:bCs/>
          <w:color w:val="002060"/>
          <w:sz w:val="16"/>
          <w:szCs w:val="16"/>
        </w:rPr>
        <w:softHyphen/>
        <w:t>ше вручили А.С. Рупневскому (Рудж, 3,5 л.с.) [2.24].</w:t>
      </w:r>
    </w:p>
    <w:p w14:paraId="2FA4DD9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По результатам этого испытания не провели анализ отказов участвовавших в нём мотоциклов и не выработали рекомендации о пригодности марок зарубежных мотоциклов к эксплуатации на дорогах России.</w:t>
      </w:r>
    </w:p>
    <w:p w14:paraId="62D6A47A" w14:textId="77777777" w:rsidR="00B67D7C" w:rsidRPr="00DE096C" w:rsidRDefault="00B67D7C" w:rsidP="00D45A46">
      <w:pPr>
        <w:jc w:val="both"/>
        <w:rPr>
          <w:bCs/>
          <w:color w:val="002060"/>
          <w:sz w:val="16"/>
          <w:szCs w:val="16"/>
        </w:rPr>
      </w:pPr>
      <w:r w:rsidRPr="00DE096C">
        <w:rPr>
          <w:bCs/>
          <w:color w:val="002060"/>
          <w:sz w:val="16"/>
          <w:szCs w:val="16"/>
        </w:rPr>
        <w:t>Второй мотопробег предполагался более сложным. Он дол</w:t>
      </w:r>
      <w:r w:rsidRPr="00DE096C">
        <w:rPr>
          <w:bCs/>
          <w:color w:val="002060"/>
          <w:sz w:val="16"/>
          <w:szCs w:val="16"/>
        </w:rPr>
        <w:softHyphen/>
        <w:t>жен был стартовать и финишировать в одном месте - Санкт-Пе</w:t>
      </w:r>
      <w:r w:rsidRPr="00DE096C">
        <w:rPr>
          <w:bCs/>
          <w:color w:val="002060"/>
          <w:sz w:val="16"/>
          <w:szCs w:val="16"/>
        </w:rPr>
        <w:softHyphen/>
        <w:t>тербурге и проходить по более протяжённому маршруту -2603 версты, на котором чередовались бы езда по шоссе и грун</w:t>
      </w:r>
      <w:r w:rsidRPr="00DE096C">
        <w:rPr>
          <w:bCs/>
          <w:color w:val="002060"/>
          <w:sz w:val="16"/>
          <w:szCs w:val="16"/>
        </w:rPr>
        <w:softHyphen/>
        <w:t>товой дороге. Для мотоциклистов предусматривался отдых в кон</w:t>
      </w:r>
      <w:r w:rsidRPr="00DE096C">
        <w:rPr>
          <w:bCs/>
          <w:color w:val="002060"/>
          <w:sz w:val="16"/>
          <w:szCs w:val="16"/>
        </w:rPr>
        <w:softHyphen/>
        <w:t>трольных пунктах маршрута: Вильно, Варшава, Рига [2.25] (11429).</w:t>
      </w:r>
    </w:p>
    <w:p w14:paraId="5F70D15B" w14:textId="77777777" w:rsidR="00B67D7C" w:rsidRPr="00DE096C" w:rsidRDefault="00B67D7C" w:rsidP="00D45A46">
      <w:pPr>
        <w:jc w:val="both"/>
        <w:rPr>
          <w:bCs/>
          <w:color w:val="002060"/>
          <w:sz w:val="16"/>
          <w:szCs w:val="16"/>
        </w:rPr>
      </w:pPr>
    </w:p>
    <w:p w14:paraId="061C85A0" w14:textId="430E82B7" w:rsidR="002C4B07" w:rsidRPr="00DE096C" w:rsidRDefault="002C4B07" w:rsidP="00D45A46">
      <w:pPr>
        <w:jc w:val="both"/>
        <w:rPr>
          <w:bCs/>
          <w:color w:val="002060"/>
          <w:sz w:val="16"/>
          <w:szCs w:val="16"/>
        </w:rPr>
      </w:pPr>
      <w:r w:rsidRPr="00DE096C">
        <w:rPr>
          <w:bCs/>
          <w:color w:val="002060"/>
          <w:sz w:val="16"/>
          <w:szCs w:val="16"/>
        </w:rPr>
        <w:t xml:space="preserve">В период с 29 мая по 1 июня </w:t>
      </w:r>
      <w:r w:rsidR="00FB141C" w:rsidRPr="00DE096C">
        <w:rPr>
          <w:bCs/>
          <w:color w:val="002060"/>
          <w:sz w:val="16"/>
          <w:szCs w:val="16"/>
        </w:rPr>
        <w:t xml:space="preserve">(11-14 июня) </w:t>
      </w:r>
      <w:r w:rsidRPr="00DE096C">
        <w:rPr>
          <w:bCs/>
          <w:color w:val="002060"/>
          <w:sz w:val="16"/>
          <w:szCs w:val="16"/>
        </w:rPr>
        <w:t>1914 г. военными был организован испытательный мотопробег по маршруту «Москва — Санкт-Петербург» и обратно протяженностью 1300 верст. Следующий пробег протяженностью 2603 версты со стартом и финишем в северной столице должен был пройти через Вильно, Варшаву и Ригу (19776).</w:t>
      </w:r>
    </w:p>
    <w:p w14:paraId="0F3EFE61" w14:textId="77777777" w:rsidR="002C4B07" w:rsidRPr="00DE096C" w:rsidRDefault="002C4B07" w:rsidP="00D45A46">
      <w:pPr>
        <w:jc w:val="both"/>
        <w:rPr>
          <w:bCs/>
          <w:color w:val="002060"/>
          <w:sz w:val="16"/>
          <w:szCs w:val="16"/>
        </w:rPr>
      </w:pPr>
    </w:p>
    <w:p w14:paraId="3C403110" w14:textId="11A022CC" w:rsidR="002B22B5" w:rsidRPr="00DE096C" w:rsidRDefault="002B22B5" w:rsidP="00D45A46">
      <w:pPr>
        <w:pStyle w:val="a5"/>
        <w:rPr>
          <w:bCs/>
          <w:color w:val="002060"/>
          <w:sz w:val="16"/>
          <w:szCs w:val="16"/>
          <w:lang w:val="ru-RU"/>
        </w:rPr>
      </w:pPr>
      <w:r w:rsidRPr="00DE096C">
        <w:rPr>
          <w:bCs/>
          <w:color w:val="002060"/>
          <w:sz w:val="16"/>
          <w:szCs w:val="16"/>
          <w:lang w:val="ru-RU"/>
        </w:rPr>
        <w:t>В период с 29 мая по 1 (11-14) июня 1914 г. ГВТУ организовало испытательный мотопробег по маршруту Мо</w:t>
      </w:r>
      <w:r w:rsidRPr="00DE096C">
        <w:rPr>
          <w:bCs/>
          <w:color w:val="002060"/>
          <w:sz w:val="16"/>
          <w:szCs w:val="16"/>
          <w:lang w:val="ru-RU"/>
        </w:rPr>
        <w:softHyphen/>
        <w:t>сква - Санкт-Петербург и обратно протяженностью 1300 верст. Следую</w:t>
      </w:r>
      <w:r w:rsidRPr="00DE096C">
        <w:rPr>
          <w:bCs/>
          <w:color w:val="002060"/>
          <w:sz w:val="16"/>
          <w:szCs w:val="16"/>
          <w:lang w:val="ru-RU"/>
        </w:rPr>
        <w:softHyphen/>
      </w:r>
      <w:r w:rsidRPr="00DE096C">
        <w:rPr>
          <w:rStyle w:val="49"/>
          <w:rFonts w:ascii="Times New Roman" w:hAnsi="Times New Roman" w:cs="Times New Roman"/>
          <w:b w:val="0"/>
          <w:color w:val="002060"/>
          <w:sz w:val="16"/>
          <w:szCs w:val="16"/>
          <w:lang w:val="ru-RU"/>
        </w:rPr>
        <w:t>щий</w:t>
      </w:r>
      <w:r w:rsidRPr="00DE096C">
        <w:rPr>
          <w:bCs/>
          <w:color w:val="002060"/>
          <w:sz w:val="16"/>
          <w:szCs w:val="16"/>
          <w:lang w:val="ru-RU"/>
        </w:rPr>
        <w:t xml:space="preserve"> пробег протяженностью 2603 версты со стартом и финишем в сто</w:t>
      </w:r>
      <w:r w:rsidRPr="00DE096C">
        <w:rPr>
          <w:bCs/>
          <w:color w:val="002060"/>
          <w:sz w:val="16"/>
          <w:szCs w:val="16"/>
          <w:lang w:val="ru-RU"/>
        </w:rPr>
        <w:softHyphen/>
      </w:r>
      <w:r w:rsidRPr="00DE096C">
        <w:rPr>
          <w:rStyle w:val="49"/>
          <w:rFonts w:ascii="Times New Roman" w:hAnsi="Times New Roman" w:cs="Times New Roman"/>
          <w:b w:val="0"/>
          <w:color w:val="002060"/>
          <w:sz w:val="16"/>
          <w:szCs w:val="16"/>
          <w:lang w:val="ru-RU"/>
        </w:rPr>
        <w:t>лице</w:t>
      </w:r>
      <w:r w:rsidRPr="00DE096C">
        <w:rPr>
          <w:bCs/>
          <w:color w:val="002060"/>
          <w:sz w:val="16"/>
          <w:szCs w:val="16"/>
          <w:lang w:val="ru-RU"/>
        </w:rPr>
        <w:t xml:space="preserve"> должен был пройти через Вильно, Варшаву и Ригу (15741).</w:t>
      </w:r>
    </w:p>
    <w:p w14:paraId="05A6FB6C" w14:textId="77777777" w:rsidR="002B22B5" w:rsidRPr="00DE096C" w:rsidRDefault="002B22B5" w:rsidP="00D45A46">
      <w:pPr>
        <w:pStyle w:val="a5"/>
        <w:rPr>
          <w:bCs/>
          <w:color w:val="002060"/>
          <w:sz w:val="16"/>
          <w:szCs w:val="16"/>
          <w:lang w:val="ru-RU"/>
        </w:rPr>
      </w:pPr>
    </w:p>
    <w:p w14:paraId="67AFAC81"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5979CF1E" w14:textId="77777777" w:rsidR="00B67D7C" w:rsidRPr="00DE096C" w:rsidRDefault="00B67D7C" w:rsidP="00D45A46">
      <w:pPr>
        <w:shd w:val="clear" w:color="auto" w:fill="FFFFFF"/>
        <w:jc w:val="both"/>
        <w:rPr>
          <w:bCs/>
          <w:i/>
          <w:color w:val="002060"/>
          <w:sz w:val="16"/>
          <w:szCs w:val="16"/>
        </w:rPr>
      </w:pPr>
    </w:p>
    <w:p w14:paraId="310B8E36" w14:textId="73675874" w:rsidR="00B67D7C" w:rsidRPr="00DE096C" w:rsidRDefault="00B67D7C" w:rsidP="00D45A46">
      <w:pPr>
        <w:jc w:val="both"/>
        <w:rPr>
          <w:bCs/>
          <w:color w:val="002060"/>
          <w:sz w:val="16"/>
          <w:szCs w:val="16"/>
        </w:rPr>
      </w:pPr>
      <w:r w:rsidRPr="00DE096C">
        <w:rPr>
          <w:bCs/>
          <w:color w:val="002060"/>
          <w:sz w:val="16"/>
          <w:szCs w:val="16"/>
        </w:rPr>
        <w:t xml:space="preserve">30 мая </w:t>
      </w:r>
      <w:r w:rsidR="002B22B5" w:rsidRPr="00DE096C">
        <w:rPr>
          <w:bCs/>
          <w:color w:val="002060"/>
          <w:sz w:val="16"/>
          <w:szCs w:val="16"/>
        </w:rPr>
        <w:t xml:space="preserve">(12 июня) </w:t>
      </w:r>
      <w:r w:rsidRPr="00DE096C">
        <w:rPr>
          <w:bCs/>
          <w:color w:val="002060"/>
          <w:sz w:val="16"/>
          <w:szCs w:val="16"/>
        </w:rPr>
        <w:t xml:space="preserve">1914 г. </w:t>
      </w:r>
      <w:r w:rsidR="00FB141C" w:rsidRPr="00DE096C">
        <w:rPr>
          <w:bCs/>
          <w:color w:val="002060"/>
          <w:sz w:val="16"/>
          <w:szCs w:val="16"/>
        </w:rPr>
        <w:t>восстановленная "Донне-Левек" летала менее года</w:t>
      </w:r>
      <w:r w:rsidR="002B22B5" w:rsidRPr="00DE096C">
        <w:rPr>
          <w:bCs/>
          <w:color w:val="002060"/>
          <w:sz w:val="16"/>
          <w:szCs w:val="16"/>
        </w:rPr>
        <w:t xml:space="preserve"> и</w:t>
      </w:r>
      <w:r w:rsidR="0006581C">
        <w:rPr>
          <w:bCs/>
          <w:color w:val="002060"/>
          <w:sz w:val="16"/>
          <w:szCs w:val="16"/>
        </w:rPr>
        <w:t xml:space="preserve"> </w:t>
      </w:r>
      <w:r w:rsidRPr="00DE096C">
        <w:rPr>
          <w:bCs/>
          <w:color w:val="002060"/>
          <w:sz w:val="16"/>
          <w:szCs w:val="16"/>
        </w:rPr>
        <w:t>была разбита лейтенантом Краевским в Либаве (как писалось в отчетных документах "из-за малой опытности летчика") (12054).</w:t>
      </w:r>
    </w:p>
    <w:p w14:paraId="235B7F11" w14:textId="77777777" w:rsidR="00B67D7C" w:rsidRPr="00DE096C" w:rsidRDefault="00B67D7C" w:rsidP="00D45A46">
      <w:pPr>
        <w:jc w:val="both"/>
        <w:rPr>
          <w:bCs/>
          <w:color w:val="002060"/>
          <w:sz w:val="16"/>
          <w:szCs w:val="16"/>
        </w:rPr>
      </w:pPr>
    </w:p>
    <w:p w14:paraId="5ABBF278" w14:textId="77777777" w:rsidR="00011DC2" w:rsidRPr="00DE096C" w:rsidRDefault="00011DC2" w:rsidP="00D45A46">
      <w:pPr>
        <w:jc w:val="both"/>
        <w:rPr>
          <w:bCs/>
          <w:i/>
          <w:color w:val="002060"/>
          <w:sz w:val="16"/>
          <w:szCs w:val="16"/>
        </w:rPr>
      </w:pPr>
      <w:r w:rsidRPr="00DE096C">
        <w:rPr>
          <w:bCs/>
          <w:i/>
          <w:color w:val="002060"/>
          <w:sz w:val="16"/>
          <w:szCs w:val="16"/>
        </w:rPr>
        <w:t>Другие оборонные отрасли:</w:t>
      </w:r>
    </w:p>
    <w:p w14:paraId="7751B949" w14:textId="77777777" w:rsidR="00011DC2" w:rsidRPr="00DE096C" w:rsidRDefault="00011DC2" w:rsidP="00D45A46">
      <w:pPr>
        <w:jc w:val="both"/>
        <w:rPr>
          <w:bCs/>
          <w:i/>
          <w:color w:val="002060"/>
          <w:sz w:val="16"/>
          <w:szCs w:val="16"/>
        </w:rPr>
      </w:pPr>
    </w:p>
    <w:p w14:paraId="153E219B" w14:textId="07027CC6" w:rsidR="00011DC2" w:rsidRPr="00DE096C" w:rsidRDefault="00011DC2" w:rsidP="00D45A46">
      <w:pPr>
        <w:jc w:val="both"/>
        <w:rPr>
          <w:bCs/>
          <w:color w:val="002060"/>
          <w:sz w:val="16"/>
          <w:szCs w:val="16"/>
        </w:rPr>
      </w:pPr>
      <w:r w:rsidRPr="00DE096C">
        <w:rPr>
          <w:bCs/>
          <w:color w:val="002060"/>
          <w:sz w:val="16"/>
          <w:szCs w:val="16"/>
        </w:rPr>
        <w:t xml:space="preserve">30 мая </w:t>
      </w:r>
      <w:r w:rsidR="002B22B5" w:rsidRPr="00DE096C">
        <w:rPr>
          <w:bCs/>
          <w:color w:val="002060"/>
          <w:sz w:val="16"/>
          <w:szCs w:val="16"/>
        </w:rPr>
        <w:t xml:space="preserve">(11 июня) </w:t>
      </w:r>
      <w:r w:rsidRPr="00DE096C">
        <w:rPr>
          <w:bCs/>
          <w:color w:val="002060"/>
          <w:sz w:val="16"/>
          <w:szCs w:val="16"/>
        </w:rPr>
        <w:t>1914 г. владельцем механического завода Я.М. Айвазом</w:t>
      </w:r>
      <w:r w:rsidR="0006581C">
        <w:rPr>
          <w:bCs/>
          <w:color w:val="002060"/>
          <w:sz w:val="16"/>
          <w:szCs w:val="16"/>
        </w:rPr>
        <w:t xml:space="preserve"> </w:t>
      </w:r>
      <w:r w:rsidRPr="00DE096C">
        <w:rPr>
          <w:bCs/>
          <w:color w:val="002060"/>
          <w:sz w:val="16"/>
          <w:szCs w:val="16"/>
        </w:rPr>
        <w:t>было учреждено специализированное отделение «Светлана», где началось опытное производство электрических ламп накаливания2. 14 января 1915 г. строительное отделение Петербургского губернского управления выдало правлению АО «Я.М. Айваз» свидетельство на открытие «Машиностроительного завода и лампочного при нем отделения», в результате чего опытное производство стало производством заводским (18297).</w:t>
      </w:r>
    </w:p>
    <w:p w14:paraId="0B9BE2FF" w14:textId="77777777" w:rsidR="00011DC2" w:rsidRPr="00DE096C" w:rsidRDefault="00011DC2" w:rsidP="00D45A46">
      <w:pPr>
        <w:jc w:val="both"/>
        <w:rPr>
          <w:bCs/>
          <w:color w:val="002060"/>
          <w:sz w:val="16"/>
          <w:szCs w:val="16"/>
        </w:rPr>
      </w:pPr>
    </w:p>
    <w:p w14:paraId="4D2718DB" w14:textId="77777777" w:rsidR="002B22B5" w:rsidRPr="00DE096C" w:rsidRDefault="002B22B5" w:rsidP="00D45A46">
      <w:pPr>
        <w:shd w:val="clear" w:color="auto" w:fill="FFFFFF"/>
        <w:jc w:val="both"/>
        <w:rPr>
          <w:bCs/>
          <w:i/>
          <w:color w:val="002060"/>
          <w:sz w:val="16"/>
          <w:szCs w:val="16"/>
        </w:rPr>
      </w:pPr>
      <w:r w:rsidRPr="00DE096C">
        <w:rPr>
          <w:bCs/>
          <w:i/>
          <w:color w:val="002060"/>
          <w:sz w:val="16"/>
          <w:szCs w:val="16"/>
        </w:rPr>
        <w:t>Авиация:</w:t>
      </w:r>
    </w:p>
    <w:p w14:paraId="6FF15981" w14:textId="77777777" w:rsidR="002B22B5" w:rsidRPr="00DE096C" w:rsidRDefault="002B22B5" w:rsidP="00D45A46">
      <w:pPr>
        <w:shd w:val="clear" w:color="auto" w:fill="FFFFFF"/>
        <w:jc w:val="both"/>
        <w:rPr>
          <w:bCs/>
          <w:i/>
          <w:color w:val="002060"/>
          <w:sz w:val="16"/>
          <w:szCs w:val="16"/>
        </w:rPr>
      </w:pPr>
    </w:p>
    <w:p w14:paraId="1903A2CD" w14:textId="77777777" w:rsidR="002B22B5" w:rsidRPr="00DE096C" w:rsidRDefault="002B22B5" w:rsidP="00D45A46">
      <w:pPr>
        <w:jc w:val="both"/>
        <w:rPr>
          <w:bCs/>
          <w:color w:val="002060"/>
          <w:sz w:val="16"/>
          <w:szCs w:val="16"/>
        </w:rPr>
      </w:pPr>
      <w:r w:rsidRPr="00DE096C">
        <w:rPr>
          <w:bCs/>
          <w:color w:val="002060"/>
          <w:sz w:val="16"/>
          <w:szCs w:val="16"/>
        </w:rPr>
        <w:t>30 мая (11 июня) 1914 г. на лекции в московском Политехническом музее Пегу прямо заявил, что решился на «мертвую петлю» только после того, как ее выполнил русский штабс-капитан. По воспоминаниям современников, после таких слов появление на трибуне Петра Николаевича Нестерова было встречено восторженной овацией.</w:t>
      </w:r>
    </w:p>
    <w:p w14:paraId="3B894C8B" w14:textId="77777777" w:rsidR="002B22B5" w:rsidRPr="00DE096C" w:rsidRDefault="002B22B5" w:rsidP="00D45A46">
      <w:pPr>
        <w:jc w:val="both"/>
        <w:rPr>
          <w:bCs/>
          <w:color w:val="002060"/>
          <w:sz w:val="16"/>
          <w:szCs w:val="16"/>
        </w:rPr>
      </w:pPr>
    </w:p>
    <w:p w14:paraId="15831E97" w14:textId="0D0354FE" w:rsidR="000A6A9B" w:rsidRPr="00DE096C" w:rsidRDefault="000A6A9B" w:rsidP="00D45A46">
      <w:pPr>
        <w:shd w:val="clear" w:color="auto" w:fill="FFFFFF"/>
        <w:jc w:val="both"/>
        <w:rPr>
          <w:bCs/>
          <w:i/>
          <w:color w:val="002060"/>
          <w:sz w:val="16"/>
          <w:szCs w:val="16"/>
        </w:rPr>
      </w:pPr>
      <w:r w:rsidRPr="00DE096C">
        <w:rPr>
          <w:bCs/>
          <w:i/>
          <w:color w:val="002060"/>
          <w:sz w:val="16"/>
          <w:szCs w:val="16"/>
        </w:rPr>
        <w:t>Другие оборонные отрасли:</w:t>
      </w:r>
    </w:p>
    <w:p w14:paraId="49379846" w14:textId="77777777" w:rsidR="000A6A9B" w:rsidRPr="00DE096C" w:rsidRDefault="000A6A9B" w:rsidP="00D45A46">
      <w:pPr>
        <w:shd w:val="clear" w:color="auto" w:fill="FFFFFF"/>
        <w:jc w:val="both"/>
        <w:rPr>
          <w:bCs/>
          <w:i/>
          <w:color w:val="002060"/>
          <w:sz w:val="16"/>
          <w:szCs w:val="16"/>
        </w:rPr>
      </w:pPr>
    </w:p>
    <w:p w14:paraId="74D9939D" w14:textId="77777777" w:rsidR="000A6A9B" w:rsidRPr="00DE096C" w:rsidRDefault="000A6A9B" w:rsidP="00D45A46">
      <w:pPr>
        <w:jc w:val="both"/>
        <w:rPr>
          <w:bCs/>
          <w:color w:val="002060"/>
          <w:sz w:val="16"/>
          <w:szCs w:val="16"/>
        </w:rPr>
      </w:pPr>
      <w:r w:rsidRPr="00DE096C">
        <w:rPr>
          <w:bCs/>
          <w:color w:val="002060"/>
          <w:sz w:val="16"/>
          <w:szCs w:val="16"/>
        </w:rPr>
        <w:t>31 мая [13 июня] 1914 г. в России офи</w:t>
      </w:r>
      <w:r w:rsidRPr="00DE096C">
        <w:rPr>
          <w:bCs/>
          <w:color w:val="002060"/>
          <w:sz w:val="16"/>
          <w:szCs w:val="16"/>
        </w:rPr>
        <w:softHyphen/>
        <w:t>циально подтвердили Привилегию Кегресса за №26751 по заявке от 5 [18] февраля 1912 г. Изобретатель получил целый ряд патентов во Франции и многих других стра</w:t>
      </w:r>
      <w:r w:rsidRPr="00DE096C">
        <w:rPr>
          <w:bCs/>
          <w:color w:val="002060"/>
          <w:sz w:val="16"/>
          <w:szCs w:val="16"/>
        </w:rPr>
        <w:softHyphen/>
        <w:t>нах на «Автомобиль-сани, движущиеся по</w:t>
      </w:r>
      <w:r w:rsidRPr="00DE096C">
        <w:rPr>
          <w:bCs/>
          <w:color w:val="002060"/>
          <w:sz w:val="16"/>
          <w:szCs w:val="16"/>
        </w:rPr>
        <w:softHyphen/>
        <w:t>средством бесконечных ремней с нажимными роликами и снабженные поворотными поло</w:t>
      </w:r>
      <w:r w:rsidRPr="00DE096C">
        <w:rPr>
          <w:bCs/>
          <w:color w:val="002060"/>
          <w:sz w:val="16"/>
          <w:szCs w:val="16"/>
        </w:rPr>
        <w:softHyphen/>
        <w:t>зьями на передней оси» усовершенствованной конструкции (23481).</w:t>
      </w:r>
    </w:p>
    <w:p w14:paraId="5A00D43C" w14:textId="77777777" w:rsidR="000A6A9B" w:rsidRPr="00DE096C" w:rsidRDefault="000A6A9B" w:rsidP="00D45A46">
      <w:pPr>
        <w:jc w:val="both"/>
        <w:rPr>
          <w:bCs/>
          <w:color w:val="002060"/>
          <w:sz w:val="16"/>
          <w:szCs w:val="16"/>
        </w:rPr>
      </w:pPr>
    </w:p>
    <w:p w14:paraId="76600023" w14:textId="62393F20"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5BF2450F" w14:textId="77777777" w:rsidR="00B67D7C" w:rsidRPr="00DE096C" w:rsidRDefault="00B67D7C" w:rsidP="00D45A46">
      <w:pPr>
        <w:shd w:val="clear" w:color="auto" w:fill="FFFFFF"/>
        <w:jc w:val="both"/>
        <w:rPr>
          <w:bCs/>
          <w:i/>
          <w:color w:val="002060"/>
          <w:sz w:val="16"/>
          <w:szCs w:val="16"/>
        </w:rPr>
      </w:pPr>
    </w:p>
    <w:p w14:paraId="78504483" w14:textId="6C212ACF" w:rsidR="00B67D7C" w:rsidRPr="00DE096C" w:rsidRDefault="002B22B5"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конце мая 1914 г., командование Бал</w:t>
      </w:r>
      <w:r w:rsidR="00B67D7C" w:rsidRPr="00DE096C">
        <w:rPr>
          <w:bCs/>
          <w:color w:val="002060"/>
          <w:sz w:val="16"/>
          <w:szCs w:val="16"/>
        </w:rPr>
        <w:softHyphen/>
        <w:t>тийского флота уже выразило свои собственные сомнения в отношении тяжелых гидроаэроп</w:t>
      </w:r>
      <w:r w:rsidR="00B67D7C" w:rsidRPr="00DE096C">
        <w:rPr>
          <w:bCs/>
          <w:color w:val="002060"/>
          <w:sz w:val="16"/>
          <w:szCs w:val="16"/>
        </w:rPr>
        <w:softHyphen/>
        <w:t>ланов. 13 числа МГШ был извещен о том, что формирование двух отрядов из аппаратов "Илья Муромец" могло оказаться чистой авантюрой, т.к. кредит 1914 г. едва позволял сде</w:t>
      </w:r>
      <w:r w:rsidR="00B67D7C" w:rsidRPr="00DE096C">
        <w:rPr>
          <w:bCs/>
          <w:color w:val="002060"/>
          <w:sz w:val="16"/>
          <w:szCs w:val="16"/>
        </w:rPr>
        <w:softHyphen/>
        <w:t>лать это, тогда как только очень узкий круг относительно опытных морских летчиков мог пилотировать гиганты без особого риска повредить их. Поэтому делался закономерный вы</w:t>
      </w:r>
      <w:r w:rsidR="00B67D7C" w:rsidRPr="00DE096C">
        <w:rPr>
          <w:bCs/>
          <w:color w:val="002060"/>
          <w:sz w:val="16"/>
          <w:szCs w:val="16"/>
        </w:rPr>
        <w:softHyphen/>
        <w:t>вод о том, что приобретение большего числа много более дешевых обычных одномоторных машин принесло бы лучшие результаты, позволяя в первую очередь проводить дальнейшую тренировку авиаторов. 16 мая Морской министр согласился со сказанным, но все же отме</w:t>
      </w:r>
      <w:r w:rsidR="00B67D7C" w:rsidRPr="00DE096C">
        <w:rPr>
          <w:bCs/>
          <w:color w:val="002060"/>
          <w:sz w:val="16"/>
          <w:szCs w:val="16"/>
        </w:rPr>
        <w:softHyphen/>
        <w:t>тил, что качества гидроаэроплана "Илья Муромец" стоило "прояснить" должным образом. Однако, искушение получить дальние разведчики оказалось столь велико, что спустя всего лишь месяц в высших эшелонах руководства военно-морских сил созрело новое решение. В докладе по МГШ от 14 июня говорилось, что гиганты могли быть с успехом использованы вместо морских дирижаблей, целесообразность применения которых обсуждалась в то же самое время. Ориентировочная стоимость одного дирижабля составляла примерно 500.000 руб. и еще около 1.000.000 руб, требовалось для возведения поворотного эллинга для него, тогда как цена одного поплавкового "Ильи Муромца" исчислялась теперь всего в 90.000 руб. Исходя из таких аргументов, делалось предложение о покупке 13 аппаратов Сикорского, которые были бы затем распределены между одним отрядом на Балтике и несколькими на Черном море. План мог вылиться в крупнейший авиационный контракт мирного времени, но начало Великой войны заставило забыть о нем (2843).</w:t>
      </w:r>
    </w:p>
    <w:p w14:paraId="3A613D4B" w14:textId="77777777" w:rsidR="00B67D7C" w:rsidRPr="00DE096C" w:rsidRDefault="00B67D7C" w:rsidP="00D45A46">
      <w:pPr>
        <w:jc w:val="both"/>
        <w:rPr>
          <w:bCs/>
          <w:color w:val="002060"/>
          <w:sz w:val="16"/>
          <w:szCs w:val="16"/>
        </w:rPr>
      </w:pPr>
    </w:p>
    <w:p w14:paraId="124E0206" w14:textId="77777777" w:rsidR="00B93380" w:rsidRPr="00B52707" w:rsidRDefault="00B93380" w:rsidP="00B93380">
      <w:pPr>
        <w:jc w:val="both"/>
        <w:rPr>
          <w:color w:val="0070C0"/>
          <w:sz w:val="16"/>
          <w:szCs w:val="16"/>
        </w:rPr>
      </w:pPr>
      <w:r w:rsidRPr="00B52707">
        <w:rPr>
          <w:color w:val="0070C0"/>
          <w:sz w:val="16"/>
          <w:szCs w:val="16"/>
        </w:rPr>
        <w:t>В конце мая (в начале июня) 1914 г. в России в Санкт-Петербурге завершил испытания на поплавках шасси первый самолет «Илья Муромец» №Б-1 (107), построенный Русско-Балтийским воздухоплавательным заводом под руководством его Главного инженера И.И. Сикорского. В сравнении с исходным состоянием вес пустого с морским шасси и доработанной силовой с внутренними двигателями Сальмсон 2.М7 по 200 л.с. и внешними Аргус As II по 115 л.с. установкой увеличился на 1000 кг (на 26,3%), взлетный – на 1200 кг (на 23,5%). Мореходность корабля признана удовлетворительной, хотя осадка поплавков вышла слишком большой, а опущенный вниз руль высоты касался воды, управляемость на воде с работой газом моторов оказалась хорошая. Максимальная скорость уменьшилась на 5 км/ч (на 5,3%), зато дальность выросла на 280 км – более чем вдвое, а потолок увеличился на 500 м, или на треть. Эти результаты сочтены удовлетворительными и корабль в казну приняли, выдав экипажу предписание на перегон на гидроавиабазу Императорского Флота в Либаве (Курляндская губерния, ныне Лиепая, западное побережье Латвии) (25732).</w:t>
      </w:r>
    </w:p>
    <w:p w14:paraId="55B069CC" w14:textId="77777777" w:rsidR="00B93380" w:rsidRPr="00B52707" w:rsidRDefault="00B93380" w:rsidP="00B93380">
      <w:pPr>
        <w:jc w:val="both"/>
        <w:rPr>
          <w:color w:val="0070C0"/>
          <w:sz w:val="16"/>
          <w:szCs w:val="16"/>
        </w:rPr>
      </w:pPr>
    </w:p>
    <w:p w14:paraId="3F7928B5" w14:textId="77777777" w:rsidR="00607F21" w:rsidRPr="00DE096C" w:rsidRDefault="00607F21" w:rsidP="00D45A46">
      <w:pPr>
        <w:pStyle w:val="2"/>
        <w:spacing w:before="0" w:after="0"/>
        <w:jc w:val="both"/>
        <w:rPr>
          <w:b w:val="0"/>
          <w:bCs/>
          <w:color w:val="002060"/>
          <w:sz w:val="16"/>
          <w:szCs w:val="16"/>
        </w:rPr>
      </w:pPr>
      <w:r w:rsidRPr="00DE096C">
        <w:rPr>
          <w:b w:val="0"/>
          <w:bCs/>
          <w:color w:val="002060"/>
          <w:sz w:val="16"/>
          <w:szCs w:val="16"/>
        </w:rPr>
        <w:lastRenderedPageBreak/>
        <w:t>В конце мая 1914 постоянный член Техкома ГВТУ генерал-лейтенант Н.Л.Кирпичев в заключении о качестве бронирования построенных на «Дуксе» «Депердюссенов» писал, что по техническим условиям на поставку самолетов броня должна бьггь «легко снимающейся, прикрепляемой снизу к вполне законченному фюзеляжу. Броня никелевой стали, при толщине не менее 2 мм должна по своим размерам и положению защищать снизу пилота и бензиновые баки».</w:t>
      </w:r>
    </w:p>
    <w:p w14:paraId="261B8604" w14:textId="77777777" w:rsidR="00607F21" w:rsidRPr="00DE096C" w:rsidRDefault="00607F21" w:rsidP="00D45A46">
      <w:pPr>
        <w:pStyle w:val="2"/>
        <w:spacing w:before="0" w:after="0"/>
        <w:jc w:val="both"/>
        <w:rPr>
          <w:b w:val="0"/>
          <w:bCs/>
          <w:color w:val="002060"/>
          <w:sz w:val="16"/>
          <w:szCs w:val="16"/>
        </w:rPr>
      </w:pPr>
      <w:r w:rsidRPr="00DE096C">
        <w:rPr>
          <w:b w:val="0"/>
          <w:bCs/>
          <w:color w:val="002060"/>
          <w:sz w:val="16"/>
          <w:szCs w:val="16"/>
        </w:rPr>
        <w:t>В выводах Кирпичев отметил: «Из чертежей, представленных фирмой, видно, что броня, при толщине 2,7 мм и общем весе около 1 пуда, расположена внутри фюзеляжа в двух местах, прикрывая расходный и запасный бензиновые баки. Однако такое расположение брони почти нисколько не защищает пилота, предохраняя его лишь от выстрелов направленных снизу и спереди. Ни от выстрелов, направленных вертикально, ни от поражения в бок или сзади пилот не защищен. Таким образом предлагаемое расположение брони не соответствует техническим условиям и защиту, доставляемую ею, нельзя считать удовлетворяющей своему назначению. В виду сего полагал бы: либо потребовать от фирмы постановку брони, выполняющей технические условия и не портящей вместе с тем гарантированных летательных качеств аппаратов, либо от постановки брони на заказанных аппаратах совершенно отказаться, удержав с поставщика ее стоимость.»</w:t>
      </w:r>
    </w:p>
    <w:p w14:paraId="08F10E44" w14:textId="77777777" w:rsidR="00607F21" w:rsidRPr="00DE096C" w:rsidRDefault="00607F21" w:rsidP="00D45A46">
      <w:pPr>
        <w:pStyle w:val="2"/>
        <w:spacing w:before="0" w:after="0"/>
        <w:jc w:val="both"/>
        <w:rPr>
          <w:b w:val="0"/>
          <w:bCs/>
          <w:color w:val="002060"/>
          <w:sz w:val="16"/>
          <w:szCs w:val="16"/>
        </w:rPr>
      </w:pPr>
      <w:r w:rsidRPr="00DE096C">
        <w:rPr>
          <w:b w:val="0"/>
          <w:bCs/>
          <w:color w:val="002060"/>
          <w:sz w:val="16"/>
          <w:szCs w:val="16"/>
        </w:rPr>
        <w:t>Решением Технического комитета расположение брони у «Депердюсссна» было признано неудовлетворительным и не соответствующим техническим условиям: «В случае, если установка брони, выполненная по требованиям технических условий, ухудшит летные качества самолета... комитет считает целесообразным вообще отказаться от бронирования самолета.» Вот так закончилась эпопея с созданием бронированных самолетов в 1912—1914 гг. Как легко видеть, «от перемены мест» военных чиновников сумма «сильно меняется» (15464).</w:t>
      </w:r>
    </w:p>
    <w:p w14:paraId="22BCECC5" w14:textId="77777777" w:rsidR="00607F21" w:rsidRPr="00DE096C" w:rsidRDefault="00607F21" w:rsidP="00D45A46">
      <w:pPr>
        <w:pStyle w:val="2"/>
        <w:spacing w:before="0" w:after="0"/>
        <w:jc w:val="both"/>
        <w:rPr>
          <w:b w:val="0"/>
          <w:bCs/>
          <w:color w:val="002060"/>
          <w:sz w:val="16"/>
          <w:szCs w:val="16"/>
        </w:rPr>
      </w:pPr>
    </w:p>
    <w:p w14:paraId="13FEE691" w14:textId="5E6B2217"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В конце мая - начале июня </w:t>
      </w:r>
      <w:r w:rsidR="002B22B5" w:rsidRPr="00DE096C">
        <w:rPr>
          <w:bCs/>
          <w:color w:val="002060"/>
          <w:sz w:val="16"/>
          <w:szCs w:val="16"/>
        </w:rPr>
        <w:t>1</w:t>
      </w:r>
      <w:r w:rsidR="000A6A9B" w:rsidRPr="00DE096C">
        <w:rPr>
          <w:bCs/>
          <w:color w:val="002060"/>
          <w:sz w:val="16"/>
          <w:szCs w:val="16"/>
        </w:rPr>
        <w:t>9</w:t>
      </w:r>
      <w:r w:rsidR="002B22B5" w:rsidRPr="00DE096C">
        <w:rPr>
          <w:bCs/>
          <w:color w:val="002060"/>
          <w:sz w:val="16"/>
          <w:szCs w:val="16"/>
        </w:rPr>
        <w:t>14 г. в Англию старший лей</w:t>
      </w:r>
      <w:r w:rsidR="002B22B5" w:rsidRPr="00DE096C">
        <w:rPr>
          <w:bCs/>
          <w:color w:val="002060"/>
          <w:sz w:val="16"/>
          <w:szCs w:val="16"/>
        </w:rPr>
        <w:softHyphen/>
        <w:t>тенант Б. Щербачев и выздоровевший инженеру П. Шиш</w:t>
      </w:r>
      <w:r w:rsidR="002B22B5" w:rsidRPr="00DE096C">
        <w:rPr>
          <w:bCs/>
          <w:color w:val="002060"/>
          <w:sz w:val="16"/>
          <w:szCs w:val="16"/>
        </w:rPr>
        <w:softHyphen/>
        <w:t>ков</w:t>
      </w:r>
      <w:r w:rsidRPr="00DE096C">
        <w:rPr>
          <w:bCs/>
          <w:color w:val="002060"/>
          <w:sz w:val="16"/>
          <w:szCs w:val="16"/>
        </w:rPr>
        <w:t xml:space="preserve"> посетили авиационные заводы фирм Шорт, Авро, Виккерс и ознакомились с продук</w:t>
      </w:r>
      <w:r w:rsidRPr="00DE096C">
        <w:rPr>
          <w:bCs/>
          <w:color w:val="002060"/>
          <w:sz w:val="16"/>
          <w:szCs w:val="16"/>
        </w:rPr>
        <w:softHyphen/>
        <w:t>цией, зная о предстоящем заказе небольшими партиями более 20 аэропланов. Наибольший интерес у посланцев вызвал гид</w:t>
      </w:r>
      <w:r w:rsidRPr="00DE096C">
        <w:rPr>
          <w:bCs/>
          <w:color w:val="002060"/>
          <w:sz w:val="16"/>
          <w:szCs w:val="16"/>
        </w:rPr>
        <w:softHyphen/>
        <w:t>роаэроплан «Авро». По указанию Морского генштаба, русский морской агент в Лондоне закажет такие аэропланы на сумму 420 тысяч рублей, но доставка их по назначению состоится не скоро.</w:t>
      </w:r>
    </w:p>
    <w:p w14:paraId="34DFFA3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Начальник Папенгольмской воздушной станции Щербачев находился до осени за рубежом, а заведующий авиатехникой Службы связи и наблюдения Шишков возвратился в Петербург для выполнения порученного задания. Предстояло завершить разработку эскизного проекта и начать создание рабочих чер</w:t>
      </w:r>
      <w:r w:rsidRPr="00DE096C">
        <w:rPr>
          <w:bCs/>
          <w:color w:val="002060"/>
          <w:sz w:val="16"/>
          <w:szCs w:val="16"/>
        </w:rPr>
        <w:softHyphen/>
        <w:t>тежей задуманного им малого быстроходного крейсера-раз</w:t>
      </w:r>
      <w:r w:rsidRPr="00DE096C">
        <w:rPr>
          <w:bCs/>
          <w:color w:val="002060"/>
          <w:sz w:val="16"/>
          <w:szCs w:val="16"/>
        </w:rPr>
        <w:softHyphen/>
        <w:t>ведчика, оснащенного четырмя гидроаэропланами. Предпола</w:t>
      </w:r>
      <w:r w:rsidRPr="00DE096C">
        <w:rPr>
          <w:bCs/>
          <w:color w:val="002060"/>
          <w:sz w:val="16"/>
          <w:szCs w:val="16"/>
        </w:rPr>
        <w:softHyphen/>
        <w:t>галось, что, вынесенный стрелой за борт корабля, идущего на полном ходу, аэроплан будет взлетать с воды благодаря тяге винта и подъемной силе потока встречного ветра.</w:t>
      </w:r>
    </w:p>
    <w:p w14:paraId="0F8E793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Ожидаемого принятия руководством Морского ведомства решения о постройке такого корабля и осуществления уже полученного согласия на переоборудование транспорта «Аргунь» в учебное авиасудно так и не последовало. В сложной и противоречивой обстановке на Балтийском морском театре накануне «европейской» войны у командования флотом было немало других более важных забот (11283).</w:t>
      </w:r>
    </w:p>
    <w:p w14:paraId="67CC9156" w14:textId="77777777" w:rsidR="00B67D7C" w:rsidRPr="00DE096C" w:rsidRDefault="00B67D7C" w:rsidP="00D45A46">
      <w:pPr>
        <w:shd w:val="clear" w:color="auto" w:fill="FFFFFF"/>
        <w:jc w:val="both"/>
        <w:rPr>
          <w:bCs/>
          <w:color w:val="002060"/>
          <w:sz w:val="16"/>
          <w:szCs w:val="16"/>
        </w:rPr>
      </w:pPr>
    </w:p>
    <w:p w14:paraId="4F07B029" w14:textId="77777777" w:rsidR="000A6A9B" w:rsidRPr="00DE096C" w:rsidRDefault="000A6A9B" w:rsidP="00D45A46">
      <w:pPr>
        <w:jc w:val="both"/>
        <w:rPr>
          <w:bCs/>
          <w:color w:val="002060"/>
          <w:sz w:val="16"/>
          <w:szCs w:val="16"/>
        </w:rPr>
      </w:pPr>
      <w:r w:rsidRPr="00DE096C">
        <w:rPr>
          <w:bCs/>
          <w:color w:val="002060"/>
          <w:sz w:val="16"/>
          <w:szCs w:val="16"/>
          <w:lang w:bidi="en-US"/>
        </w:rPr>
        <w:t>К концу мая 1914 г. был построен ИМ нового типа «Б» (Бех) № 128, носивший почетное наименование «Киевский» в память о знаменитом рейсе Санкт-Петербург - Киев туда и обратно.</w:t>
      </w:r>
    </w:p>
    <w:p w14:paraId="74FDECA2" w14:textId="77777777" w:rsidR="000A6A9B" w:rsidRPr="00DE096C" w:rsidRDefault="000A6A9B" w:rsidP="00D45A46">
      <w:pPr>
        <w:jc w:val="both"/>
        <w:rPr>
          <w:bCs/>
          <w:color w:val="002060"/>
          <w:sz w:val="16"/>
          <w:szCs w:val="16"/>
        </w:rPr>
      </w:pPr>
      <w:r w:rsidRPr="00DE096C">
        <w:rPr>
          <w:bCs/>
          <w:color w:val="002060"/>
          <w:sz w:val="16"/>
          <w:szCs w:val="16"/>
          <w:lang w:bidi="en-US"/>
        </w:rPr>
        <w:t>Сикорский был одним из очень немногих пилотов, которые могли управлять этими новыми моделями, поэтому ему приходилось лично обучать их экипажи, что отнимало драгоценное время из-за его других обязанностей. 29 августа И.М. № 128 он выехал инструктором в Гатчину (23525).</w:t>
      </w:r>
    </w:p>
    <w:p w14:paraId="4C6BF797" w14:textId="77777777" w:rsidR="000A6A9B" w:rsidRPr="00DE096C" w:rsidRDefault="000A6A9B" w:rsidP="00D45A46">
      <w:pPr>
        <w:jc w:val="both"/>
        <w:rPr>
          <w:bCs/>
          <w:color w:val="002060"/>
          <w:sz w:val="16"/>
          <w:szCs w:val="16"/>
          <w:lang w:bidi="en-US"/>
        </w:rPr>
      </w:pPr>
    </w:p>
    <w:p w14:paraId="2DF07B17"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7DAEFBF1" w14:textId="77777777" w:rsidR="00B67D7C" w:rsidRPr="00DE096C" w:rsidRDefault="00B67D7C" w:rsidP="00D45A46">
      <w:pPr>
        <w:shd w:val="clear" w:color="auto" w:fill="FFFFFF"/>
        <w:jc w:val="both"/>
        <w:rPr>
          <w:bCs/>
          <w:i/>
          <w:color w:val="002060"/>
          <w:sz w:val="16"/>
          <w:szCs w:val="16"/>
        </w:rPr>
      </w:pPr>
    </w:p>
    <w:p w14:paraId="3D043D8B" w14:textId="77777777" w:rsidR="006D7365" w:rsidRPr="00DE096C" w:rsidRDefault="006D7365" w:rsidP="00D45A46">
      <w:pPr>
        <w:jc w:val="both"/>
        <w:rPr>
          <w:bCs/>
          <w:color w:val="002060"/>
          <w:sz w:val="16"/>
          <w:szCs w:val="16"/>
        </w:rPr>
      </w:pPr>
      <w:r w:rsidRPr="00DE096C">
        <w:rPr>
          <w:bCs/>
          <w:color w:val="002060"/>
          <w:sz w:val="16"/>
          <w:szCs w:val="16"/>
        </w:rPr>
        <w:t>В мае 1914 на Авиационную станцию в Либаве для испытаний прибыл самый большой в России и в мире самолёт «Илья Муромец», ставший первым в мире многомоторным самолётом. В Либаве предстояло испытывать его на воде, в качестве гидроаэроплана.</w:t>
      </w:r>
    </w:p>
    <w:p w14:paraId="66B9D409" w14:textId="77777777" w:rsidR="006D7365" w:rsidRPr="00DE096C" w:rsidRDefault="006D7365" w:rsidP="00D45A46">
      <w:pPr>
        <w:jc w:val="both"/>
        <w:rPr>
          <w:bCs/>
          <w:color w:val="002060"/>
          <w:sz w:val="16"/>
          <w:szCs w:val="16"/>
        </w:rPr>
      </w:pPr>
    </w:p>
    <w:p w14:paraId="0208559C" w14:textId="77777777" w:rsidR="00D021DE" w:rsidRPr="00DE096C" w:rsidRDefault="00D021DE" w:rsidP="00D45A46">
      <w:pPr>
        <w:jc w:val="both"/>
        <w:rPr>
          <w:bCs/>
          <w:color w:val="002060"/>
          <w:sz w:val="16"/>
          <w:szCs w:val="16"/>
        </w:rPr>
      </w:pPr>
      <w:r w:rsidRPr="00DE096C">
        <w:rPr>
          <w:bCs/>
          <w:color w:val="002060"/>
          <w:sz w:val="16"/>
          <w:szCs w:val="16"/>
        </w:rPr>
        <w:t>В мае 1914 г. первый экземпляр самолета «Илья Муромец» был установлен на поплавки. Испытательные полеты на авиационной станции (базе) в Либаве проводил сам И. И. Сикорский. Испытания показали, что сопротивление самолета значительно превышает расчетное. Сикорский правильно определил причину — взаимное влияние (интерференция) поплавков, крыла и фюзеляжа. После начала войны этот самолет перелетел на остров Эзель, потерпел аварию и был там уничтожен, так как ремонтировать его на острове не было возможности (15125).</w:t>
      </w:r>
    </w:p>
    <w:p w14:paraId="14C8EA36" w14:textId="77777777" w:rsidR="00D021DE" w:rsidRPr="00DE096C" w:rsidRDefault="00D021DE" w:rsidP="00D45A46">
      <w:pPr>
        <w:jc w:val="both"/>
        <w:rPr>
          <w:bCs/>
          <w:color w:val="002060"/>
          <w:sz w:val="16"/>
          <w:szCs w:val="16"/>
        </w:rPr>
      </w:pPr>
    </w:p>
    <w:p w14:paraId="7ACDD75B" w14:textId="60B6A734" w:rsidR="00B67D7C" w:rsidRPr="00DE096C" w:rsidRDefault="002B22B5"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мае </w:t>
      </w:r>
      <w:r w:rsidRPr="00DE096C">
        <w:rPr>
          <w:bCs/>
          <w:color w:val="002060"/>
          <w:sz w:val="16"/>
          <w:szCs w:val="16"/>
        </w:rPr>
        <w:t>1914 г. состоялся визит в Либаву черноморских лейтенантов Н.Р. Вирена и Б.Н. Лучанинова и подпоручика по Адмирал</w:t>
      </w:r>
      <w:r w:rsidRPr="00DE096C">
        <w:rPr>
          <w:bCs/>
          <w:color w:val="002060"/>
          <w:sz w:val="16"/>
          <w:szCs w:val="16"/>
        </w:rPr>
        <w:softHyphen/>
        <w:t>тейству А.Е. Жукова, чтобы лично увидеть "жи</w:t>
      </w:r>
      <w:r w:rsidRPr="00DE096C">
        <w:rPr>
          <w:bCs/>
          <w:color w:val="002060"/>
          <w:sz w:val="16"/>
          <w:szCs w:val="16"/>
        </w:rPr>
        <w:softHyphen/>
        <w:t>вые" С-10 и "Илью Муромца". Н</w:t>
      </w:r>
      <w:r w:rsidR="00B67D7C" w:rsidRPr="00DE096C">
        <w:rPr>
          <w:bCs/>
          <w:color w:val="002060"/>
          <w:sz w:val="16"/>
          <w:szCs w:val="16"/>
        </w:rPr>
        <w:t>а 1-й морской авиастанции Жуков 7 раз пилотировал один из С-10, а Вирен однажды летал с ним в качестве пассажира. На основе полученного опыта летчик утверждал, что аппарат, собранный из фанеры и дерева плохого качества, был недостаточно прочен. Его большие поплавки при весе около 160 кг создавали дополнительное воздушное сопротивление и значительно ухудшали летные харак</w:t>
      </w:r>
      <w:r w:rsidR="00B67D7C" w:rsidRPr="00DE096C">
        <w:rPr>
          <w:bCs/>
          <w:color w:val="002060"/>
          <w:sz w:val="16"/>
          <w:szCs w:val="16"/>
        </w:rPr>
        <w:softHyphen/>
        <w:t>теристики. К тому же поплавки и само шасси были сделаны хоть и солидно, но весьма непродуманно и самолет мог легко перевернуться, т.к. расстояние между его главными пон</w:t>
      </w:r>
      <w:r w:rsidR="00B67D7C" w:rsidRPr="00DE096C">
        <w:rPr>
          <w:bCs/>
          <w:color w:val="002060"/>
          <w:sz w:val="16"/>
          <w:szCs w:val="16"/>
        </w:rPr>
        <w:softHyphen/>
        <w:t>тонами было слишком мало, тогда как из-за низкого положения фюзеляжа пропеллер вре</w:t>
      </w:r>
      <w:r w:rsidR="00B67D7C" w:rsidRPr="00DE096C">
        <w:rPr>
          <w:bCs/>
          <w:color w:val="002060"/>
          <w:sz w:val="16"/>
          <w:szCs w:val="16"/>
        </w:rPr>
        <w:softHyphen/>
        <w:t>менами бил воду. Вдобавок, и поплавки, и крылья коробились от влаги, а все перечислен</w:t>
      </w:r>
      <w:r w:rsidR="00B67D7C" w:rsidRPr="00DE096C">
        <w:rPr>
          <w:bCs/>
          <w:color w:val="002060"/>
          <w:sz w:val="16"/>
          <w:szCs w:val="16"/>
        </w:rPr>
        <w:softHyphen/>
        <w:t>ные недостатки делали аппарат немореходным, тем более, что он становился плохо управ</w:t>
      </w:r>
      <w:r w:rsidR="00B67D7C" w:rsidRPr="00DE096C">
        <w:rPr>
          <w:bCs/>
          <w:color w:val="002060"/>
          <w:sz w:val="16"/>
          <w:szCs w:val="16"/>
        </w:rPr>
        <w:softHyphen/>
        <w:t>ляемым на воде после выхода из нее хвостового поплавка. В то же время машина имела нормальный разбег и приличную скорость около 100-105 км/ч, но в воздухе была устойчи</w:t>
      </w:r>
      <w:r w:rsidR="00B67D7C" w:rsidRPr="00DE096C">
        <w:rPr>
          <w:bCs/>
          <w:color w:val="002060"/>
          <w:sz w:val="16"/>
          <w:szCs w:val="16"/>
        </w:rPr>
        <w:softHyphen/>
        <w:t>вой лишь на прямой, т.к. все рулевые поверхности работали неэффективно по причине их малой площади, и проявляла стремление к самопроизвольному переходу в пикирование. Ви</w:t>
      </w:r>
      <w:r w:rsidR="00B67D7C" w:rsidRPr="00DE096C">
        <w:rPr>
          <w:bCs/>
          <w:color w:val="002060"/>
          <w:sz w:val="16"/>
          <w:szCs w:val="16"/>
        </w:rPr>
        <w:softHyphen/>
        <w:t>димость из кабин оказалась неважной, а полет без очков был едва возможен, т.к. при неполадках в моторе или радиаторе вся грязь от них устремлялась в глаза. Четырехцилинд-ровый "Аргус" не имел хорошего самопуска и мог "сорваться" при порче одного из цилин</w:t>
      </w:r>
      <w:r w:rsidR="00B67D7C" w:rsidRPr="00DE096C">
        <w:rPr>
          <w:bCs/>
          <w:color w:val="002060"/>
          <w:sz w:val="16"/>
          <w:szCs w:val="16"/>
        </w:rPr>
        <w:softHyphen/>
        <w:t>дров, а система охлаждения допускала перегрев двигателя даже при 30-минутном полете. А.Е. Жуков вынужденно заключал, что только разбег и скорость гидроаэроплана С-10 были сравнимы с подобными характеристиками моделей Кертисса, а все остальное было хуже и в том не усматривалось ничего неожиданного — ведь Кертисс строил морские аппараты, а Сикорский лишь приспосабливал сухопутные (2843).</w:t>
      </w:r>
    </w:p>
    <w:p w14:paraId="45CBC8A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Ко времени командировки Вирена, Лучанинова и Жукова Авиационный комитет Бал</w:t>
      </w:r>
      <w:r w:rsidRPr="00DE096C">
        <w:rPr>
          <w:bCs/>
          <w:color w:val="002060"/>
          <w:sz w:val="16"/>
          <w:szCs w:val="16"/>
        </w:rPr>
        <w:softHyphen/>
        <w:t>тийского флота пришел почти к тем же выводам, которые и были зафиксированы в про</w:t>
      </w:r>
      <w:r w:rsidRPr="00DE096C">
        <w:rPr>
          <w:bCs/>
          <w:color w:val="002060"/>
          <w:sz w:val="16"/>
          <w:szCs w:val="16"/>
        </w:rPr>
        <w:softHyphen/>
        <w:t>токоле заседания от 6 мая. Модель С-10 признавалась немореходным типом с плохими аэродинамическими качествами и неустойчивым на виражах. Аппарат отличался неудоб</w:t>
      </w:r>
      <w:r w:rsidRPr="00DE096C">
        <w:rPr>
          <w:bCs/>
          <w:color w:val="002060"/>
          <w:sz w:val="16"/>
          <w:szCs w:val="16"/>
        </w:rPr>
        <w:softHyphen/>
        <w:t>ным штурвальным управлением, отсутствием надежного самопуска и общей небрежно</w:t>
      </w:r>
      <w:r w:rsidRPr="00DE096C">
        <w:rPr>
          <w:bCs/>
          <w:color w:val="002060"/>
          <w:sz w:val="16"/>
          <w:szCs w:val="16"/>
        </w:rPr>
        <w:softHyphen/>
        <w:t>стью изготовления. Через неделю, 13, в одном из документов МГШ сообщалось, что гид</w:t>
      </w:r>
      <w:r w:rsidRPr="00DE096C">
        <w:rPr>
          <w:bCs/>
          <w:color w:val="002060"/>
          <w:sz w:val="16"/>
          <w:szCs w:val="16"/>
        </w:rPr>
        <w:softHyphen/>
        <w:t>роаэропланы С-10 заказывались потому, что их сухопутный аналог показал себя доста</w:t>
      </w:r>
      <w:r w:rsidRPr="00DE096C">
        <w:rPr>
          <w:bCs/>
          <w:color w:val="002060"/>
          <w:sz w:val="16"/>
          <w:szCs w:val="16"/>
        </w:rPr>
        <w:softHyphen/>
        <w:t>точно успешно, тогда как флот стремился поддержать развитие отечественных произво</w:t>
      </w:r>
      <w:r w:rsidRPr="00DE096C">
        <w:rPr>
          <w:bCs/>
          <w:color w:val="002060"/>
          <w:sz w:val="16"/>
          <w:szCs w:val="16"/>
        </w:rPr>
        <w:softHyphen/>
        <w:t>дителей. Увы, "наши заводы ...зарекомендовали себя с самой неблагоприятной стороны, как в смысле недостатка необходимой тщательности разработки деталей и техники их выполнения, так и в смысле соблюдения сроков". В результате было решено искать под</w:t>
      </w:r>
      <w:r w:rsidRPr="00DE096C">
        <w:rPr>
          <w:bCs/>
          <w:color w:val="002060"/>
          <w:sz w:val="16"/>
          <w:szCs w:val="16"/>
        </w:rPr>
        <w:softHyphen/>
        <w:t>ходящие самолеты во Франции на предприятиях компаний "ФБА", "Моран-Солнье" и "Кодрон" и в Великобритании — у "Виккерса", "Авро" и "Шорта". Стоит все же учесть, что по некоторым сведениям в руках опытного и отчаянного пилота С-10 "Гидро" мог выделывать совершенно фантастические трюки: так, 15 декабря 1913 г. в Либаве лей</w:t>
      </w:r>
      <w:r w:rsidRPr="00DE096C">
        <w:rPr>
          <w:bCs/>
          <w:color w:val="002060"/>
          <w:sz w:val="16"/>
          <w:szCs w:val="16"/>
        </w:rPr>
        <w:softHyphen/>
        <w:t>тенант И.И. Кульнев, двигаясь на высоте 300-400 м, совершил полет вверх поплавками. Оставим, однако, этот факт под сомнением; в любом случае то было не более, чем ли</w:t>
      </w:r>
      <w:r w:rsidRPr="00DE096C">
        <w:rPr>
          <w:bCs/>
          <w:color w:val="002060"/>
          <w:sz w:val="16"/>
          <w:szCs w:val="16"/>
        </w:rPr>
        <w:softHyphen/>
        <w:t>хачество, не способное добавить никаких плюсов к репутации аппарата (2843).</w:t>
      </w:r>
    </w:p>
    <w:p w14:paraId="35DE7030" w14:textId="77777777" w:rsidR="00B67D7C" w:rsidRPr="00DE096C" w:rsidRDefault="00B67D7C" w:rsidP="00D45A46">
      <w:pPr>
        <w:shd w:val="clear" w:color="auto" w:fill="FFFFFF"/>
        <w:jc w:val="both"/>
        <w:rPr>
          <w:bCs/>
          <w:color w:val="002060"/>
          <w:sz w:val="16"/>
          <w:szCs w:val="16"/>
        </w:rPr>
      </w:pPr>
    </w:p>
    <w:p w14:paraId="3182A506" w14:textId="72856C1E" w:rsidR="00B67D7C" w:rsidRPr="00DE096C" w:rsidRDefault="002B22B5"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мае 1914 г. </w:t>
      </w:r>
      <w:r w:rsidRPr="00DE096C">
        <w:rPr>
          <w:bCs/>
          <w:color w:val="002060"/>
          <w:sz w:val="16"/>
          <w:szCs w:val="16"/>
        </w:rPr>
        <w:t xml:space="preserve">Военное ведомство, которое </w:t>
      </w:r>
      <w:r w:rsidR="00B67D7C" w:rsidRPr="00DE096C">
        <w:rPr>
          <w:bCs/>
          <w:color w:val="002060"/>
          <w:sz w:val="16"/>
          <w:szCs w:val="16"/>
        </w:rPr>
        <w:t>сделало РБВЗ заказ на постройку 10 машин, что оказалось как нельзя кстати, теперь торопило завод с выполнением заказа. Армии срочно потребовались самолеты. Хотя Россия к началу войны имела больше всех военных самолетов (Россия - 244, Германия - 232, Франция - 156, Австро-Венгрия - 65, Англия - 30, США - 30) [* ЦГВИА, ф. 366, on. 1, д. 1, л. 1 - 14.], основную массу их составляли самолеты устаревших конструкций "Ньюпор-4" и "Фарман-16" лицензионной постройки. Нужны были новые машины. Особые надежды возлагались на "Муромцев" (11230).</w:t>
      </w:r>
    </w:p>
    <w:p w14:paraId="7C01AADF" w14:textId="77777777" w:rsidR="00B67D7C" w:rsidRPr="00DE096C" w:rsidRDefault="00B67D7C" w:rsidP="00D45A46">
      <w:pPr>
        <w:jc w:val="both"/>
        <w:rPr>
          <w:bCs/>
          <w:color w:val="002060"/>
          <w:sz w:val="16"/>
          <w:szCs w:val="16"/>
        </w:rPr>
      </w:pPr>
    </w:p>
    <w:p w14:paraId="0B076F9B" w14:textId="77777777" w:rsidR="00B93380" w:rsidRPr="00B52707" w:rsidRDefault="00B93380" w:rsidP="00B93380">
      <w:pPr>
        <w:jc w:val="both"/>
        <w:rPr>
          <w:color w:val="0070C0"/>
          <w:sz w:val="16"/>
          <w:szCs w:val="16"/>
        </w:rPr>
      </w:pPr>
      <w:r w:rsidRPr="00B52707">
        <w:rPr>
          <w:color w:val="0070C0"/>
          <w:sz w:val="16"/>
          <w:szCs w:val="16"/>
        </w:rPr>
        <w:t>В мае 1914 года ГВТУ, в соответствии заключениями Техни</w:t>
      </w:r>
      <w:r w:rsidRPr="00B52707">
        <w:rPr>
          <w:color w:val="0070C0"/>
          <w:sz w:val="16"/>
          <w:szCs w:val="16"/>
        </w:rPr>
        <w:softHyphen/>
        <w:t>ческого Комитета, заказало на русских заводах 292 аппарата различных систем, считавшихся ко времени заказа наиболее усовершенствованными, а именно: 45 аппаратов системы Сикорский XI, 40—Фарман XXII бис с моторами Гном в 100 сил, 24—Фарман XXII бис с мото</w:t>
      </w:r>
      <w:r w:rsidRPr="00B52707">
        <w:rPr>
          <w:color w:val="0070C0"/>
          <w:sz w:val="16"/>
          <w:szCs w:val="16"/>
        </w:rPr>
        <w:softHyphen/>
        <w:t>рами в 80 сил, 34—Д“пердюссеи, 18—Вуазен и 131—Моран ’). Кроме того, тогда же заказано было 12 аэропланов за гра</w:t>
      </w:r>
      <w:r w:rsidRPr="00B52707">
        <w:rPr>
          <w:color w:val="0070C0"/>
          <w:sz w:val="16"/>
          <w:szCs w:val="16"/>
        </w:rPr>
        <w:softHyphen/>
        <w:t>ницей.</w:t>
      </w:r>
    </w:p>
    <w:p w14:paraId="3751522B" w14:textId="77777777" w:rsidR="00B93380" w:rsidRPr="00B52707" w:rsidRDefault="00B93380" w:rsidP="00B93380">
      <w:pPr>
        <w:jc w:val="both"/>
        <w:rPr>
          <w:color w:val="0070C0"/>
          <w:sz w:val="16"/>
          <w:szCs w:val="16"/>
        </w:rPr>
      </w:pPr>
      <w:r w:rsidRPr="00B52707">
        <w:rPr>
          <w:color w:val="0070C0"/>
          <w:sz w:val="16"/>
          <w:szCs w:val="16"/>
        </w:rPr>
        <w:t>Заказанные аэропланы должны были быть сданы воен</w:t>
      </w:r>
      <w:r w:rsidRPr="00B52707">
        <w:rPr>
          <w:color w:val="0070C0"/>
          <w:sz w:val="16"/>
          <w:szCs w:val="16"/>
        </w:rPr>
        <w:softHyphen/>
        <w:t>ному ведомству в различные сроки, начиная с 15 июня по 15 сентября 1914 года. Однако, русские заводы оказались не в состоянии выполнить заказы в назначенные сроки, главным образом, вследствии того, что часть материалов, необходимых для изготовления аэропланов, за отсутствием их в России, должны были приобретаться за границей; с об'явлением же войны доставка этих материалов была затруднена, а часть их при перевозке задержана была в Германии.</w:t>
      </w:r>
    </w:p>
    <w:p w14:paraId="45CA12B0" w14:textId="77777777" w:rsidR="00B93380" w:rsidRPr="00B52707" w:rsidRDefault="00B93380" w:rsidP="00B93380">
      <w:pPr>
        <w:jc w:val="both"/>
        <w:rPr>
          <w:color w:val="0070C0"/>
          <w:sz w:val="16"/>
          <w:szCs w:val="16"/>
        </w:rPr>
      </w:pPr>
      <w:r w:rsidRPr="00B52707">
        <w:rPr>
          <w:color w:val="0070C0"/>
          <w:sz w:val="16"/>
          <w:szCs w:val="16"/>
        </w:rPr>
        <w:t>Ко времени объявления войны у нас сформировано было 30 корпусных, 1 полевой и 8 крепостных авиационных отрядов. Согласно табелям (утвержденным Военным Советом 19 декабря 1913 года), в каждом корпусном отряде, а также в полевом, полагалось иметь по 6 и в каждом крепостном по 8 аэропланов— в первом комплекте и такое же количество — во втором комплекте, который, в качестве запаса военного времени, должен был содержаться для корпусных и полевых отря</w:t>
      </w:r>
      <w:r w:rsidRPr="00B52707">
        <w:rPr>
          <w:color w:val="0070C0"/>
          <w:sz w:val="16"/>
          <w:szCs w:val="16"/>
        </w:rPr>
        <w:softHyphen/>
        <w:t>дов — в складах авиационных рот, а для крепостных отря</w:t>
      </w:r>
      <w:r w:rsidRPr="00B52707">
        <w:rPr>
          <w:color w:val="0070C0"/>
          <w:sz w:val="16"/>
          <w:szCs w:val="16"/>
        </w:rPr>
        <w:softHyphen/>
        <w:t>дов — в складах крепостей. Таким образом, в 30 корпусных и 1- полевом отрядах должно было быть по 186, а в кре</w:t>
      </w:r>
      <w:r w:rsidRPr="00B52707">
        <w:rPr>
          <w:color w:val="0070C0"/>
          <w:sz w:val="16"/>
          <w:szCs w:val="16"/>
        </w:rPr>
        <w:softHyphen/>
        <w:t>постных по 64 аэроплана в каждом комплекте (24293).</w:t>
      </w:r>
    </w:p>
    <w:p w14:paraId="743BC652" w14:textId="77777777" w:rsidR="00B93380" w:rsidRPr="00B52707" w:rsidRDefault="00B93380" w:rsidP="00B93380">
      <w:pPr>
        <w:jc w:val="both"/>
        <w:rPr>
          <w:color w:val="0070C0"/>
          <w:sz w:val="16"/>
          <w:szCs w:val="16"/>
        </w:rPr>
      </w:pPr>
    </w:p>
    <w:p w14:paraId="5B06F63C" w14:textId="77777777" w:rsidR="000A6A9B" w:rsidRPr="00DE096C" w:rsidRDefault="000A6A9B" w:rsidP="00D45A46">
      <w:pPr>
        <w:jc w:val="both"/>
        <w:rPr>
          <w:bCs/>
          <w:color w:val="002060"/>
          <w:sz w:val="16"/>
          <w:szCs w:val="16"/>
        </w:rPr>
      </w:pPr>
      <w:r w:rsidRPr="00DE096C">
        <w:rPr>
          <w:bCs/>
          <w:color w:val="002060"/>
          <w:sz w:val="16"/>
          <w:szCs w:val="16"/>
          <w:lang w:bidi="en-US"/>
        </w:rPr>
        <w:lastRenderedPageBreak/>
        <w:t xml:space="preserve">В мае 1914 г. Военное министерство заказало у русских производителей 292 самолета различных типов. Сюда входили заказы на сорок пять </w:t>
      </w:r>
      <w:r w:rsidRPr="00DE096C">
        <w:rPr>
          <w:bCs/>
          <w:color w:val="002060"/>
          <w:sz w:val="16"/>
          <w:szCs w:val="16"/>
          <w:lang w:val="en-US" w:bidi="en-US"/>
        </w:rPr>
        <w:t>Sikorsky</w:t>
      </w:r>
      <w:r w:rsidRPr="00DE096C">
        <w:rPr>
          <w:bCs/>
          <w:color w:val="002060"/>
          <w:sz w:val="16"/>
          <w:szCs w:val="16"/>
          <w:lang w:bidi="en-US"/>
        </w:rPr>
        <w:t xml:space="preserve"> </w:t>
      </w:r>
      <w:r w:rsidRPr="00DE096C">
        <w:rPr>
          <w:bCs/>
          <w:color w:val="002060"/>
          <w:sz w:val="16"/>
          <w:szCs w:val="16"/>
          <w:lang w:val="en-US" w:bidi="en-US"/>
        </w:rPr>
        <w:t>S</w:t>
      </w:r>
      <w:r w:rsidRPr="00DE096C">
        <w:rPr>
          <w:bCs/>
          <w:color w:val="002060"/>
          <w:sz w:val="16"/>
          <w:szCs w:val="16"/>
          <w:lang w:bidi="en-US"/>
        </w:rPr>
        <w:t>-</w:t>
      </w:r>
      <w:r w:rsidRPr="00DE096C">
        <w:rPr>
          <w:bCs/>
          <w:color w:val="002060"/>
          <w:sz w:val="16"/>
          <w:szCs w:val="16"/>
          <w:lang w:val="en-US" w:bidi="en-US"/>
        </w:rPr>
        <w:t>type</w:t>
      </w:r>
      <w:r w:rsidRPr="00DE096C">
        <w:rPr>
          <w:bCs/>
          <w:color w:val="002060"/>
          <w:sz w:val="16"/>
          <w:szCs w:val="16"/>
          <w:lang w:bidi="en-US"/>
        </w:rPr>
        <w:t xml:space="preserve">, сорок </w:t>
      </w:r>
      <w:r w:rsidRPr="00DE096C">
        <w:rPr>
          <w:bCs/>
          <w:color w:val="002060"/>
          <w:sz w:val="16"/>
          <w:szCs w:val="16"/>
          <w:lang w:val="en-US" w:bidi="en-US"/>
        </w:rPr>
        <w:t>Henri</w:t>
      </w:r>
      <w:r w:rsidRPr="00DE096C">
        <w:rPr>
          <w:bCs/>
          <w:color w:val="002060"/>
          <w:sz w:val="16"/>
          <w:szCs w:val="16"/>
          <w:lang w:bidi="en-US"/>
        </w:rPr>
        <w:t xml:space="preserve"> </w:t>
      </w:r>
      <w:r w:rsidRPr="00DE096C">
        <w:rPr>
          <w:bCs/>
          <w:color w:val="002060"/>
          <w:sz w:val="16"/>
          <w:szCs w:val="16"/>
          <w:lang w:val="en-US" w:bidi="en-US"/>
        </w:rPr>
        <w:t>Farman</w:t>
      </w:r>
      <w:r w:rsidRPr="00DE096C">
        <w:rPr>
          <w:bCs/>
          <w:color w:val="002060"/>
          <w:sz w:val="16"/>
          <w:szCs w:val="16"/>
          <w:lang w:bidi="en-US"/>
        </w:rPr>
        <w:t xml:space="preserve"> </w:t>
      </w:r>
      <w:r w:rsidRPr="00DE096C">
        <w:rPr>
          <w:bCs/>
          <w:color w:val="002060"/>
          <w:sz w:val="16"/>
          <w:szCs w:val="16"/>
          <w:lang w:val="en-US" w:bidi="en-US"/>
        </w:rPr>
        <w:t>HF</w:t>
      </w:r>
      <w:r w:rsidRPr="00DE096C">
        <w:rPr>
          <w:bCs/>
          <w:color w:val="002060"/>
          <w:sz w:val="16"/>
          <w:szCs w:val="16"/>
          <w:lang w:bidi="en-US"/>
        </w:rPr>
        <w:t xml:space="preserve"> 22 (100 л.с.), двадцать четыре </w:t>
      </w:r>
      <w:r w:rsidRPr="00DE096C">
        <w:rPr>
          <w:bCs/>
          <w:color w:val="002060"/>
          <w:sz w:val="16"/>
          <w:szCs w:val="16"/>
          <w:lang w:val="en-US" w:bidi="en-US"/>
        </w:rPr>
        <w:t>HF</w:t>
      </w:r>
      <w:r w:rsidRPr="00DE096C">
        <w:rPr>
          <w:bCs/>
          <w:color w:val="002060"/>
          <w:sz w:val="16"/>
          <w:szCs w:val="16"/>
          <w:lang w:bidi="en-US"/>
        </w:rPr>
        <w:t xml:space="preserve"> 22 (80 л.с.), тридцать четыре </w:t>
      </w:r>
      <w:r w:rsidRPr="00DE096C">
        <w:rPr>
          <w:bCs/>
          <w:color w:val="002060"/>
          <w:sz w:val="16"/>
          <w:szCs w:val="16"/>
          <w:lang w:val="en-US" w:bidi="en-US"/>
        </w:rPr>
        <w:t>Deperdussin</w:t>
      </w:r>
      <w:r w:rsidRPr="00DE096C">
        <w:rPr>
          <w:bCs/>
          <w:color w:val="002060"/>
          <w:sz w:val="16"/>
          <w:szCs w:val="16"/>
          <w:lang w:bidi="en-US"/>
        </w:rPr>
        <w:t xml:space="preserve">, восемнадцать </w:t>
      </w:r>
      <w:r w:rsidRPr="00DE096C">
        <w:rPr>
          <w:bCs/>
          <w:color w:val="002060"/>
          <w:sz w:val="16"/>
          <w:szCs w:val="16"/>
          <w:lang w:val="en-US" w:bidi="en-US"/>
        </w:rPr>
        <w:t>Voisin</w:t>
      </w:r>
      <w:r w:rsidRPr="00DE096C">
        <w:rPr>
          <w:bCs/>
          <w:color w:val="002060"/>
          <w:sz w:val="16"/>
          <w:szCs w:val="16"/>
          <w:lang w:bidi="en-US"/>
        </w:rPr>
        <w:t xml:space="preserve"> и 131 тип </w:t>
      </w:r>
      <w:r w:rsidRPr="00DE096C">
        <w:rPr>
          <w:bCs/>
          <w:color w:val="002060"/>
          <w:sz w:val="16"/>
          <w:szCs w:val="16"/>
          <w:lang w:val="en-US" w:bidi="en-US"/>
        </w:rPr>
        <w:t>Morane</w:t>
      </w:r>
      <w:r w:rsidRPr="00DE096C">
        <w:rPr>
          <w:bCs/>
          <w:color w:val="002060"/>
          <w:sz w:val="16"/>
          <w:szCs w:val="16"/>
          <w:lang w:bidi="en-US"/>
        </w:rPr>
        <w:t>. Еще двенадцать самолеты заказывали из-за границы. Поставки должны были проходить с 28 июня по 28 сентября 1914 года (23525).</w:t>
      </w:r>
    </w:p>
    <w:p w14:paraId="35214E97" w14:textId="77777777" w:rsidR="000A6A9B" w:rsidRPr="00DE096C" w:rsidRDefault="000A6A9B" w:rsidP="00D45A46">
      <w:pPr>
        <w:jc w:val="both"/>
        <w:rPr>
          <w:bCs/>
          <w:color w:val="002060"/>
          <w:sz w:val="16"/>
          <w:szCs w:val="16"/>
          <w:lang w:bidi="en-US"/>
        </w:rPr>
      </w:pPr>
    </w:p>
    <w:p w14:paraId="59D0B4D2" w14:textId="77777777" w:rsidR="000A6A9B" w:rsidRPr="00DE096C" w:rsidRDefault="000A6A9B" w:rsidP="00D45A46">
      <w:pPr>
        <w:jc w:val="both"/>
        <w:rPr>
          <w:bCs/>
          <w:color w:val="002060"/>
          <w:sz w:val="16"/>
          <w:szCs w:val="16"/>
        </w:rPr>
      </w:pPr>
      <w:r w:rsidRPr="00DE096C">
        <w:rPr>
          <w:bCs/>
          <w:color w:val="002060"/>
          <w:sz w:val="16"/>
          <w:szCs w:val="16"/>
        </w:rPr>
        <w:t>В мае 1914 г. Военное ведомство сделало РБВЗ за</w:t>
      </w:r>
      <w:r w:rsidRPr="00DE096C">
        <w:rPr>
          <w:bCs/>
          <w:color w:val="002060"/>
          <w:sz w:val="16"/>
          <w:szCs w:val="16"/>
        </w:rPr>
        <w:softHyphen/>
        <w:t>каз на постройку 10 машин ИМ, что оказалось как нельзя кстати, теперь торопило завод с выполнением заказа. Армии срочно потребовались самолеты. Хотя Россия к началу войны имела больше всех военных самолетов (Россия — 244, Германия — 232, Франция — 156, Авс</w:t>
      </w:r>
      <w:r w:rsidRPr="00DE096C">
        <w:rPr>
          <w:bCs/>
          <w:color w:val="002060"/>
          <w:sz w:val="16"/>
          <w:szCs w:val="16"/>
        </w:rPr>
        <w:softHyphen/>
        <w:t>тро-Венгрия — 65, Англия — 30, США — 30) , основ</w:t>
      </w:r>
      <w:r w:rsidRPr="00DE096C">
        <w:rPr>
          <w:bCs/>
          <w:color w:val="002060"/>
          <w:sz w:val="16"/>
          <w:szCs w:val="16"/>
        </w:rPr>
        <w:softHyphen/>
        <w:t>ную массу их составляли самолеты устаревших конструкций «Ньюпор-4» и «Фарман-16» лицензионной постройки. Нужны были новые машины. Особые надежды возлагались на «Муромцев» (24177).</w:t>
      </w:r>
    </w:p>
    <w:p w14:paraId="36B5BE72" w14:textId="77777777" w:rsidR="000A6A9B" w:rsidRPr="00DE096C" w:rsidRDefault="000A6A9B" w:rsidP="00D45A46">
      <w:pPr>
        <w:jc w:val="both"/>
        <w:rPr>
          <w:bCs/>
          <w:color w:val="002060"/>
          <w:sz w:val="16"/>
          <w:szCs w:val="16"/>
          <w:lang w:bidi="en-US"/>
        </w:rPr>
      </w:pPr>
    </w:p>
    <w:p w14:paraId="7557F34D" w14:textId="77777777" w:rsidR="000A6A9B" w:rsidRPr="00DE096C" w:rsidRDefault="000A6A9B" w:rsidP="00D45A46">
      <w:pPr>
        <w:jc w:val="both"/>
        <w:rPr>
          <w:bCs/>
          <w:color w:val="002060"/>
          <w:sz w:val="16"/>
          <w:szCs w:val="16"/>
        </w:rPr>
      </w:pPr>
      <w:r w:rsidRPr="00DE096C">
        <w:rPr>
          <w:bCs/>
          <w:color w:val="002060"/>
          <w:sz w:val="16"/>
          <w:szCs w:val="16"/>
        </w:rPr>
        <w:t>В мае 1914 г. впервые поднял в воз</w:t>
      </w:r>
      <w:r w:rsidRPr="00DE096C">
        <w:rPr>
          <w:bCs/>
          <w:color w:val="002060"/>
          <w:sz w:val="16"/>
          <w:szCs w:val="16"/>
        </w:rPr>
        <w:softHyphen/>
        <w:t>дух новый самолёт, получивший на</w:t>
      </w:r>
      <w:r w:rsidRPr="00DE096C">
        <w:rPr>
          <w:bCs/>
          <w:color w:val="002060"/>
          <w:sz w:val="16"/>
          <w:szCs w:val="16"/>
        </w:rPr>
        <w:softHyphen/>
        <w:t>звание «Илья Муромец»- Б (ИМ-Б), Сикорский впервые поднял в воз</w:t>
      </w:r>
      <w:r w:rsidRPr="00DE096C">
        <w:rPr>
          <w:bCs/>
          <w:color w:val="002060"/>
          <w:sz w:val="16"/>
          <w:szCs w:val="16"/>
        </w:rPr>
        <w:softHyphen/>
        <w:t>дух «Илья Муромец»-Б отличался от первого несколько меньшими размерами и более мощной силовой установкой - че</w:t>
      </w:r>
      <w:r w:rsidRPr="00DE096C">
        <w:rPr>
          <w:bCs/>
          <w:color w:val="002060"/>
          <w:sz w:val="16"/>
          <w:szCs w:val="16"/>
        </w:rPr>
        <w:softHyphen/>
        <w:t xml:space="preserve">тыре двигателя «Аргус» </w:t>
      </w:r>
      <w:r w:rsidRPr="00DE096C">
        <w:rPr>
          <w:bCs/>
          <w:color w:val="002060"/>
          <w:sz w:val="16"/>
          <w:szCs w:val="16"/>
          <w:lang w:val="en-US" w:bidi="en-US"/>
        </w:rPr>
        <w:t>As</w:t>
      </w:r>
      <w:r w:rsidRPr="00DE096C">
        <w:rPr>
          <w:bCs/>
          <w:color w:val="002060"/>
          <w:sz w:val="16"/>
          <w:szCs w:val="16"/>
          <w:lang w:bidi="en-US"/>
        </w:rPr>
        <w:t>.</w:t>
      </w:r>
      <w:r w:rsidRPr="00DE096C">
        <w:rPr>
          <w:bCs/>
          <w:color w:val="002060"/>
          <w:sz w:val="16"/>
          <w:szCs w:val="16"/>
          <w:lang w:val="en-US" w:bidi="en-US"/>
        </w:rPr>
        <w:t>IV</w:t>
      </w:r>
      <w:r w:rsidRPr="00DE096C">
        <w:rPr>
          <w:bCs/>
          <w:color w:val="002060"/>
          <w:sz w:val="16"/>
          <w:szCs w:val="16"/>
          <w:lang w:bidi="en-US"/>
        </w:rPr>
        <w:t xml:space="preserve"> </w:t>
      </w:r>
      <w:r w:rsidRPr="00DE096C">
        <w:rPr>
          <w:bCs/>
          <w:color w:val="002060"/>
          <w:sz w:val="16"/>
          <w:szCs w:val="16"/>
        </w:rPr>
        <w:t xml:space="preserve">по 140 л.с. (внутренние) и </w:t>
      </w:r>
      <w:r w:rsidRPr="00DE096C">
        <w:rPr>
          <w:bCs/>
          <w:color w:val="002060"/>
          <w:sz w:val="16"/>
          <w:szCs w:val="16"/>
          <w:lang w:val="en-US" w:bidi="en-US"/>
        </w:rPr>
        <w:t>As</w:t>
      </w:r>
      <w:r w:rsidRPr="00DE096C">
        <w:rPr>
          <w:bCs/>
          <w:color w:val="002060"/>
          <w:sz w:val="16"/>
          <w:szCs w:val="16"/>
          <w:lang w:bidi="en-US"/>
        </w:rPr>
        <w:t>.</w:t>
      </w:r>
      <w:r w:rsidRPr="00DE096C">
        <w:rPr>
          <w:bCs/>
          <w:color w:val="002060"/>
          <w:sz w:val="16"/>
          <w:szCs w:val="16"/>
          <w:lang w:val="en-US" w:bidi="en-US"/>
        </w:rPr>
        <w:t>HI</w:t>
      </w:r>
      <w:r w:rsidRPr="00DE096C">
        <w:rPr>
          <w:bCs/>
          <w:color w:val="002060"/>
          <w:sz w:val="16"/>
          <w:szCs w:val="16"/>
          <w:lang w:bidi="en-US"/>
        </w:rPr>
        <w:t xml:space="preserve"> </w:t>
      </w:r>
      <w:r w:rsidRPr="00DE096C">
        <w:rPr>
          <w:bCs/>
          <w:color w:val="002060"/>
          <w:sz w:val="16"/>
          <w:szCs w:val="16"/>
        </w:rPr>
        <w:t>по 125 л. с. (внешние), а также небольшими изменениями в конструкции агре</w:t>
      </w:r>
      <w:r w:rsidRPr="00DE096C">
        <w:rPr>
          <w:bCs/>
          <w:color w:val="002060"/>
          <w:sz w:val="16"/>
          <w:szCs w:val="16"/>
        </w:rPr>
        <w:softHyphen/>
        <w:t>гатов. На втором «Муромце» авиа</w:t>
      </w:r>
      <w:r w:rsidRPr="00DE096C">
        <w:rPr>
          <w:bCs/>
          <w:color w:val="002060"/>
          <w:sz w:val="16"/>
          <w:szCs w:val="16"/>
        </w:rPr>
        <w:softHyphen/>
        <w:t>конструктор совершил 17-18 июня вошедший в историю перелёт из С.-Петербурга в Киев и 29 июня вернулся обратно.</w:t>
      </w:r>
    </w:p>
    <w:p w14:paraId="4A1DD3A6" w14:textId="77777777" w:rsidR="000A6A9B" w:rsidRPr="00DE096C" w:rsidRDefault="000A6A9B" w:rsidP="00D45A46">
      <w:pPr>
        <w:jc w:val="both"/>
        <w:rPr>
          <w:bCs/>
          <w:color w:val="002060"/>
          <w:sz w:val="16"/>
          <w:szCs w:val="16"/>
        </w:rPr>
      </w:pPr>
      <w:r w:rsidRPr="00DE096C">
        <w:rPr>
          <w:bCs/>
          <w:color w:val="002060"/>
          <w:sz w:val="16"/>
          <w:szCs w:val="16"/>
        </w:rPr>
        <w:t>По</w:t>
      </w:r>
      <w:r w:rsidRPr="00DE096C">
        <w:rPr>
          <w:bCs/>
          <w:color w:val="002060"/>
          <w:sz w:val="16"/>
          <w:szCs w:val="16"/>
        </w:rPr>
        <w:softHyphen/>
        <w:t>следний тип «Илья Муромца» удов</w:t>
      </w:r>
      <w:r w:rsidRPr="00DE096C">
        <w:rPr>
          <w:bCs/>
          <w:color w:val="002060"/>
          <w:sz w:val="16"/>
          <w:szCs w:val="16"/>
        </w:rPr>
        <w:softHyphen/>
        <w:t>летворяет уже требованиям, предъ</w:t>
      </w:r>
      <w:r w:rsidRPr="00DE096C">
        <w:rPr>
          <w:bCs/>
          <w:color w:val="002060"/>
          <w:sz w:val="16"/>
          <w:szCs w:val="16"/>
        </w:rPr>
        <w:softHyphen/>
        <w:t>являемым к аппаратам стратегиче</w:t>
      </w:r>
      <w:r w:rsidRPr="00DE096C">
        <w:rPr>
          <w:bCs/>
          <w:color w:val="002060"/>
          <w:sz w:val="16"/>
          <w:szCs w:val="16"/>
        </w:rPr>
        <w:softHyphen/>
        <w:t>ского назначения. Таковые требо</w:t>
      </w:r>
      <w:r w:rsidRPr="00DE096C">
        <w:rPr>
          <w:bCs/>
          <w:color w:val="002060"/>
          <w:sz w:val="16"/>
          <w:szCs w:val="16"/>
        </w:rPr>
        <w:softHyphen/>
        <w:t>вания следующие:</w:t>
      </w:r>
    </w:p>
    <w:p w14:paraId="754D58C0" w14:textId="77777777" w:rsidR="000A6A9B" w:rsidRPr="00DE096C" w:rsidRDefault="000A6A9B" w:rsidP="00D45A46">
      <w:pPr>
        <w:widowControl w:val="0"/>
        <w:tabs>
          <w:tab w:val="left" w:pos="529"/>
        </w:tabs>
        <w:jc w:val="both"/>
        <w:rPr>
          <w:bCs/>
          <w:color w:val="002060"/>
          <w:sz w:val="16"/>
          <w:szCs w:val="16"/>
        </w:rPr>
      </w:pPr>
      <w:r w:rsidRPr="00DE096C">
        <w:rPr>
          <w:bCs/>
          <w:color w:val="002060"/>
          <w:sz w:val="16"/>
          <w:szCs w:val="16"/>
        </w:rPr>
        <w:t>1). радиус действия не менее 300 верст, т. е. от Вильны до Кёнигсбер</w:t>
      </w:r>
      <w:r w:rsidRPr="00DE096C">
        <w:rPr>
          <w:bCs/>
          <w:color w:val="002060"/>
          <w:sz w:val="16"/>
          <w:szCs w:val="16"/>
        </w:rPr>
        <w:softHyphen/>
        <w:t>га, от Варшавы до Кёнигсберга, Данцига, Познани, Кракова, Львова, Перемышля.</w:t>
      </w:r>
    </w:p>
    <w:p w14:paraId="3352A899" w14:textId="77777777" w:rsidR="000A6A9B" w:rsidRPr="00DE096C" w:rsidRDefault="000A6A9B" w:rsidP="00D45A46">
      <w:pPr>
        <w:widowControl w:val="0"/>
        <w:tabs>
          <w:tab w:val="left" w:pos="759"/>
        </w:tabs>
        <w:jc w:val="both"/>
        <w:rPr>
          <w:bCs/>
          <w:color w:val="002060"/>
          <w:sz w:val="16"/>
          <w:szCs w:val="16"/>
        </w:rPr>
      </w:pPr>
      <w:r w:rsidRPr="00DE096C">
        <w:rPr>
          <w:bCs/>
          <w:color w:val="002060"/>
          <w:sz w:val="16"/>
          <w:szCs w:val="16"/>
        </w:rPr>
        <w:t>2). грузоподъемность:</w:t>
      </w:r>
    </w:p>
    <w:p w14:paraId="051AD053" w14:textId="77777777" w:rsidR="000A6A9B" w:rsidRPr="00DE096C" w:rsidRDefault="000A6A9B" w:rsidP="00D45A46">
      <w:pPr>
        <w:widowControl w:val="0"/>
        <w:tabs>
          <w:tab w:val="left" w:pos="539"/>
        </w:tabs>
        <w:jc w:val="both"/>
        <w:rPr>
          <w:bCs/>
          <w:color w:val="002060"/>
          <w:sz w:val="16"/>
          <w:szCs w:val="16"/>
        </w:rPr>
      </w:pPr>
      <w:r w:rsidRPr="00DE096C">
        <w:rPr>
          <w:bCs/>
          <w:color w:val="002060"/>
          <w:sz w:val="16"/>
          <w:szCs w:val="16"/>
        </w:rPr>
        <w:t>3). 2 смены экипажа,</w:t>
      </w:r>
    </w:p>
    <w:p w14:paraId="70B6B25A" w14:textId="77777777" w:rsidR="000A6A9B" w:rsidRPr="00DE096C" w:rsidRDefault="000A6A9B" w:rsidP="00D45A46">
      <w:pPr>
        <w:widowControl w:val="0"/>
        <w:tabs>
          <w:tab w:val="left" w:pos="514"/>
        </w:tabs>
        <w:jc w:val="both"/>
        <w:rPr>
          <w:bCs/>
          <w:color w:val="002060"/>
          <w:sz w:val="16"/>
          <w:szCs w:val="16"/>
        </w:rPr>
      </w:pPr>
      <w:r w:rsidRPr="00DE096C">
        <w:rPr>
          <w:bCs/>
          <w:color w:val="002060"/>
          <w:sz w:val="16"/>
          <w:szCs w:val="16"/>
        </w:rPr>
        <w:t>4). перенос не менее 10 пудов (164 кг) взрывчатки,</w:t>
      </w:r>
    </w:p>
    <w:p w14:paraId="2BE51B5C" w14:textId="77777777" w:rsidR="000A6A9B" w:rsidRPr="00DE096C" w:rsidRDefault="000A6A9B" w:rsidP="00D45A46">
      <w:pPr>
        <w:widowControl w:val="0"/>
        <w:tabs>
          <w:tab w:val="left" w:pos="514"/>
        </w:tabs>
        <w:jc w:val="both"/>
        <w:rPr>
          <w:bCs/>
          <w:color w:val="002060"/>
          <w:sz w:val="16"/>
          <w:szCs w:val="16"/>
        </w:rPr>
      </w:pPr>
      <w:r w:rsidRPr="00DE096C">
        <w:rPr>
          <w:bCs/>
          <w:color w:val="002060"/>
          <w:sz w:val="16"/>
          <w:szCs w:val="16"/>
        </w:rPr>
        <w:t>5). артиллерийского вооруже</w:t>
      </w:r>
      <w:r w:rsidRPr="00DE096C">
        <w:rPr>
          <w:bCs/>
          <w:color w:val="002060"/>
          <w:sz w:val="16"/>
          <w:szCs w:val="16"/>
        </w:rPr>
        <w:softHyphen/>
        <w:t>ния для борьбы с воздушным фло</w:t>
      </w:r>
      <w:r w:rsidRPr="00DE096C">
        <w:rPr>
          <w:bCs/>
          <w:color w:val="002060"/>
          <w:sz w:val="16"/>
          <w:szCs w:val="16"/>
        </w:rPr>
        <w:softHyphen/>
        <w:t>том.</w:t>
      </w:r>
    </w:p>
    <w:p w14:paraId="0F576B39" w14:textId="77777777" w:rsidR="000A6A9B" w:rsidRPr="00DE096C" w:rsidRDefault="000A6A9B" w:rsidP="00D45A46">
      <w:pPr>
        <w:jc w:val="both"/>
        <w:rPr>
          <w:bCs/>
          <w:color w:val="002060"/>
          <w:sz w:val="16"/>
          <w:szCs w:val="16"/>
        </w:rPr>
      </w:pPr>
      <w:r w:rsidRPr="00DE096C">
        <w:rPr>
          <w:bCs/>
          <w:color w:val="002060"/>
          <w:sz w:val="16"/>
          <w:szCs w:val="16"/>
        </w:rPr>
        <w:t>Учитывая, что «Илья Муромец» может выполнять стратегические задачи, Главное Управление Гене</w:t>
      </w:r>
      <w:r w:rsidRPr="00DE096C">
        <w:rPr>
          <w:bCs/>
          <w:color w:val="002060"/>
          <w:sz w:val="16"/>
          <w:szCs w:val="16"/>
        </w:rPr>
        <w:softHyphen/>
        <w:t>рального Штаба вышло с докладом Военному Министру о распределе</w:t>
      </w:r>
      <w:r w:rsidRPr="00DE096C">
        <w:rPr>
          <w:bCs/>
          <w:color w:val="002060"/>
          <w:sz w:val="16"/>
          <w:szCs w:val="16"/>
        </w:rPr>
        <w:softHyphen/>
        <w:t>нии 10 заказанных «Илья Муромец» по полевым авиаотрядам».</w:t>
      </w:r>
    </w:p>
    <w:p w14:paraId="27B9122C" w14:textId="77777777" w:rsidR="000A6A9B" w:rsidRPr="00DE096C" w:rsidRDefault="000A6A9B" w:rsidP="00D45A46">
      <w:pPr>
        <w:jc w:val="both"/>
        <w:rPr>
          <w:bCs/>
          <w:color w:val="002060"/>
          <w:sz w:val="16"/>
          <w:szCs w:val="16"/>
        </w:rPr>
      </w:pPr>
      <w:r w:rsidRPr="00DE096C">
        <w:rPr>
          <w:bCs/>
          <w:color w:val="002060"/>
          <w:sz w:val="16"/>
          <w:szCs w:val="16"/>
        </w:rPr>
        <w:t>Предполагавшиеся к формиро</w:t>
      </w:r>
      <w:r w:rsidRPr="00DE096C">
        <w:rPr>
          <w:bCs/>
          <w:color w:val="002060"/>
          <w:sz w:val="16"/>
          <w:szCs w:val="16"/>
        </w:rPr>
        <w:softHyphen/>
        <w:t>ванию в русской армии полевые авиаотряды, в отличие от крепост</w:t>
      </w:r>
      <w:r w:rsidRPr="00DE096C">
        <w:rPr>
          <w:bCs/>
          <w:color w:val="002060"/>
          <w:sz w:val="16"/>
          <w:szCs w:val="16"/>
        </w:rPr>
        <w:softHyphen/>
        <w:t>ных, считались более мобильными и предназначались для выполне</w:t>
      </w:r>
      <w:r w:rsidRPr="00DE096C">
        <w:rPr>
          <w:bCs/>
          <w:color w:val="002060"/>
          <w:sz w:val="16"/>
          <w:szCs w:val="16"/>
        </w:rPr>
        <w:softHyphen/>
        <w:t>ния более широкого крута задач «активного характера» в интересах штабов фронтов и армий, в т.ч. для ведения стратегической раз</w:t>
      </w:r>
      <w:r w:rsidRPr="00DE096C">
        <w:rPr>
          <w:bCs/>
          <w:color w:val="002060"/>
          <w:sz w:val="16"/>
          <w:szCs w:val="16"/>
        </w:rPr>
        <w:softHyphen/>
        <w:t>ведки, нанесения бомбовых ударов: «производства пожаров в парках, складах и эллингах, разрушения железнодорожных сооружений и станционных построек, пораже</w:t>
      </w:r>
      <w:r w:rsidRPr="00DE096C">
        <w:rPr>
          <w:bCs/>
          <w:color w:val="002060"/>
          <w:sz w:val="16"/>
          <w:szCs w:val="16"/>
        </w:rPr>
        <w:softHyphen/>
        <w:t>ние обозов и прочее», и даже для борьбы с воздушным флотом про</w:t>
      </w:r>
      <w:r w:rsidRPr="00DE096C">
        <w:rPr>
          <w:bCs/>
          <w:color w:val="002060"/>
          <w:sz w:val="16"/>
          <w:szCs w:val="16"/>
        </w:rPr>
        <w:softHyphen/>
        <w:t>тивника. Одним из ведущих воен</w:t>
      </w:r>
      <w:r w:rsidRPr="00DE096C">
        <w:rPr>
          <w:bCs/>
          <w:color w:val="002060"/>
          <w:sz w:val="16"/>
          <w:szCs w:val="16"/>
        </w:rPr>
        <w:softHyphen/>
        <w:t>ных теоретиков боевого использо</w:t>
      </w:r>
      <w:r w:rsidRPr="00DE096C">
        <w:rPr>
          <w:bCs/>
          <w:color w:val="002060"/>
          <w:sz w:val="16"/>
          <w:szCs w:val="16"/>
        </w:rPr>
        <w:softHyphen/>
        <w:t>вания самолётов в то время считал</w:t>
      </w:r>
      <w:r w:rsidRPr="00DE096C">
        <w:rPr>
          <w:bCs/>
          <w:color w:val="002060"/>
          <w:sz w:val="16"/>
          <w:szCs w:val="16"/>
        </w:rPr>
        <w:softHyphen/>
        <w:t>ся генерал-адъютант граф А.В. Ка</w:t>
      </w:r>
      <w:r w:rsidRPr="00DE096C">
        <w:rPr>
          <w:bCs/>
          <w:color w:val="002060"/>
          <w:sz w:val="16"/>
          <w:szCs w:val="16"/>
        </w:rPr>
        <w:softHyphen/>
        <w:t>ульбарс. Он и предложил Генштабу различные типовые варианты бое</w:t>
      </w:r>
      <w:r w:rsidRPr="00DE096C">
        <w:rPr>
          <w:bCs/>
          <w:color w:val="002060"/>
          <w:sz w:val="16"/>
          <w:szCs w:val="16"/>
        </w:rPr>
        <w:softHyphen/>
        <w:t>вых заданий для «Муромцев», а так</w:t>
      </w:r>
      <w:r w:rsidRPr="00DE096C">
        <w:rPr>
          <w:bCs/>
          <w:color w:val="002060"/>
          <w:sz w:val="16"/>
          <w:szCs w:val="16"/>
        </w:rPr>
        <w:softHyphen/>
        <w:t>же принципы организации их экс</w:t>
      </w:r>
      <w:r w:rsidRPr="00DE096C">
        <w:rPr>
          <w:bCs/>
          <w:color w:val="002060"/>
          <w:sz w:val="16"/>
          <w:szCs w:val="16"/>
        </w:rPr>
        <w:softHyphen/>
        <w:t>плуатации.</w:t>
      </w:r>
    </w:p>
    <w:p w14:paraId="01FAD8C3" w14:textId="77777777" w:rsidR="000A6A9B" w:rsidRPr="00DE096C" w:rsidRDefault="000A6A9B" w:rsidP="00D45A46">
      <w:pPr>
        <w:jc w:val="both"/>
        <w:rPr>
          <w:bCs/>
          <w:color w:val="002060"/>
          <w:sz w:val="16"/>
          <w:szCs w:val="16"/>
        </w:rPr>
      </w:pPr>
      <w:r w:rsidRPr="00DE096C">
        <w:rPr>
          <w:bCs/>
          <w:color w:val="002060"/>
          <w:sz w:val="16"/>
          <w:szCs w:val="16"/>
        </w:rPr>
        <w:t>По планам командования пред</w:t>
      </w:r>
      <w:r w:rsidRPr="00DE096C">
        <w:rPr>
          <w:bCs/>
          <w:color w:val="002060"/>
          <w:sz w:val="16"/>
          <w:szCs w:val="16"/>
        </w:rPr>
        <w:softHyphen/>
        <w:t>полагалось, что каждый корабль будет приравнен к боевому отряду' со всеми положениями и штата</w:t>
      </w:r>
      <w:r w:rsidRPr="00DE096C">
        <w:rPr>
          <w:bCs/>
          <w:color w:val="002060"/>
          <w:sz w:val="16"/>
          <w:szCs w:val="16"/>
        </w:rPr>
        <w:softHyphen/>
        <w:t>ми - «Отряд аэроплана «Илья Му</w:t>
      </w:r>
      <w:r w:rsidRPr="00DE096C">
        <w:rPr>
          <w:bCs/>
          <w:color w:val="002060"/>
          <w:sz w:val="16"/>
          <w:szCs w:val="16"/>
        </w:rPr>
        <w:softHyphen/>
        <w:t>ромец»». Боевой отряд, состоящий из одного корабля «Илья Муромец», возглавлялся военным лётчиком - командиром корабля «Илья Муро</w:t>
      </w:r>
      <w:r w:rsidRPr="00DE096C">
        <w:rPr>
          <w:bCs/>
          <w:color w:val="002060"/>
          <w:sz w:val="16"/>
          <w:szCs w:val="16"/>
        </w:rPr>
        <w:softHyphen/>
        <w:t>мец». По штату «Команды для аэро</w:t>
      </w:r>
      <w:r w:rsidRPr="00DE096C">
        <w:rPr>
          <w:bCs/>
          <w:color w:val="002060"/>
          <w:sz w:val="16"/>
          <w:szCs w:val="16"/>
        </w:rPr>
        <w:softHyphen/>
        <w:t>плана типа «Илья Муромец»», Высо</w:t>
      </w:r>
      <w:r w:rsidRPr="00DE096C">
        <w:rPr>
          <w:bCs/>
          <w:color w:val="002060"/>
          <w:sz w:val="16"/>
          <w:szCs w:val="16"/>
        </w:rPr>
        <w:softHyphen/>
        <w:t>чайше утвержденному 14 августа 1914 г, в отряд входил - командир корабля (капитан или подполковник), помощник командира - лёт</w:t>
      </w:r>
      <w:r w:rsidRPr="00DE096C">
        <w:rPr>
          <w:bCs/>
          <w:color w:val="002060"/>
          <w:sz w:val="16"/>
          <w:szCs w:val="16"/>
        </w:rPr>
        <w:softHyphen/>
        <w:t>чик (до капитана), артиллерийский офицер (до капитана), младший офицер-адъютант (завхоз и казна</w:t>
      </w:r>
      <w:r w:rsidRPr="00DE096C">
        <w:rPr>
          <w:bCs/>
          <w:color w:val="002060"/>
          <w:sz w:val="16"/>
          <w:szCs w:val="16"/>
        </w:rPr>
        <w:softHyphen/>
        <w:t>чей) (до штабс-капитана), млад</w:t>
      </w:r>
      <w:r w:rsidRPr="00DE096C">
        <w:rPr>
          <w:bCs/>
          <w:color w:val="002060"/>
          <w:sz w:val="16"/>
          <w:szCs w:val="16"/>
        </w:rPr>
        <w:softHyphen/>
        <w:t>ший механик (военный чиновник XII класса), фельдфебель-лётчик, старший фейерверкер-артилле</w:t>
      </w:r>
      <w:r w:rsidRPr="00DE096C">
        <w:rPr>
          <w:bCs/>
          <w:color w:val="002060"/>
          <w:sz w:val="16"/>
          <w:szCs w:val="16"/>
        </w:rPr>
        <w:softHyphen/>
        <w:t>рист, старший унтер-офицер-пуле</w:t>
      </w:r>
      <w:r w:rsidRPr="00DE096C">
        <w:rPr>
          <w:bCs/>
          <w:color w:val="002060"/>
          <w:sz w:val="16"/>
          <w:szCs w:val="16"/>
        </w:rPr>
        <w:softHyphen/>
        <w:t>мётчик, два старших унтер-офице</w:t>
      </w:r>
      <w:r w:rsidRPr="00DE096C">
        <w:rPr>
          <w:bCs/>
          <w:color w:val="002060"/>
          <w:sz w:val="16"/>
          <w:szCs w:val="16"/>
        </w:rPr>
        <w:softHyphen/>
        <w:t>ра моториста, два младших унтер- офицера моториста, каптенармус, младший фельдшер и 31 солдат. По табелю полагалось два легко</w:t>
      </w:r>
      <w:r w:rsidRPr="00DE096C">
        <w:rPr>
          <w:bCs/>
          <w:color w:val="002060"/>
          <w:sz w:val="16"/>
          <w:szCs w:val="16"/>
        </w:rPr>
        <w:softHyphen/>
        <w:t>вых «авто», четыре «полуторки» и один мотоцикл. Отряд обеспечи</w:t>
      </w:r>
      <w:r w:rsidRPr="00DE096C">
        <w:rPr>
          <w:bCs/>
          <w:color w:val="002060"/>
          <w:sz w:val="16"/>
          <w:szCs w:val="16"/>
        </w:rPr>
        <w:softHyphen/>
        <w:t>вался одной палаткой-ангаром для «Муромца». Имелась походная мас</w:t>
      </w:r>
      <w:r w:rsidRPr="00DE096C">
        <w:rPr>
          <w:bCs/>
          <w:color w:val="002060"/>
          <w:sz w:val="16"/>
          <w:szCs w:val="16"/>
        </w:rPr>
        <w:softHyphen/>
        <w:t>терская, гараж. Потом этот штат и табель по опыту военных дейст</w:t>
      </w:r>
      <w:r w:rsidRPr="00DE096C">
        <w:rPr>
          <w:bCs/>
          <w:color w:val="002060"/>
          <w:sz w:val="16"/>
          <w:szCs w:val="16"/>
        </w:rPr>
        <w:softHyphen/>
        <w:t>вий был существенно скорректи</w:t>
      </w:r>
      <w:r w:rsidRPr="00DE096C">
        <w:rPr>
          <w:bCs/>
          <w:color w:val="002060"/>
          <w:sz w:val="16"/>
          <w:szCs w:val="16"/>
        </w:rPr>
        <w:softHyphen/>
        <w:t>рован (23469).</w:t>
      </w:r>
    </w:p>
    <w:p w14:paraId="0F5A5BDA" w14:textId="77777777" w:rsidR="000A6A9B" w:rsidRPr="00DE096C" w:rsidRDefault="000A6A9B" w:rsidP="00D45A46">
      <w:pPr>
        <w:jc w:val="both"/>
        <w:rPr>
          <w:bCs/>
          <w:color w:val="002060"/>
          <w:sz w:val="16"/>
          <w:szCs w:val="16"/>
          <w:lang w:bidi="ru-RU"/>
        </w:rPr>
      </w:pPr>
    </w:p>
    <w:p w14:paraId="188277B7" w14:textId="77777777" w:rsidR="000A6A9B" w:rsidRPr="00DE096C" w:rsidRDefault="000A6A9B" w:rsidP="00D45A46">
      <w:pPr>
        <w:jc w:val="both"/>
        <w:rPr>
          <w:bCs/>
          <w:color w:val="002060"/>
          <w:sz w:val="16"/>
          <w:szCs w:val="16"/>
        </w:rPr>
      </w:pPr>
      <w:r w:rsidRPr="00DE096C">
        <w:rPr>
          <w:bCs/>
          <w:color w:val="002060"/>
          <w:sz w:val="16"/>
          <w:szCs w:val="16"/>
        </w:rPr>
        <w:t>В мае 1914 г. по инициативе завода (без заказа) на РБВЗ был ИМ - головной самолет № 107 и в том же месяце совершил первый полет (пилотировал самолет И.И. Сикорский). В ходе испытаний установил ряд мировых рекордов:</w:t>
      </w:r>
    </w:p>
    <w:p w14:paraId="603776D4" w14:textId="77777777" w:rsidR="000A6A9B" w:rsidRPr="00DE096C" w:rsidRDefault="000A6A9B" w:rsidP="00D45A46">
      <w:pPr>
        <w:jc w:val="both"/>
        <w:rPr>
          <w:bCs/>
          <w:color w:val="002060"/>
          <w:sz w:val="16"/>
          <w:szCs w:val="16"/>
        </w:rPr>
      </w:pPr>
      <w:r w:rsidRPr="00DE096C">
        <w:rPr>
          <w:bCs/>
          <w:color w:val="002060"/>
          <w:sz w:val="16"/>
          <w:szCs w:val="16"/>
        </w:rPr>
        <w:t>- 04.06.14 г. поднялся на высоту 2000 м с 10 пассажирами на борту;</w:t>
      </w:r>
    </w:p>
    <w:p w14:paraId="4AD68A91" w14:textId="77777777" w:rsidR="000A6A9B" w:rsidRPr="00DE096C" w:rsidRDefault="000A6A9B" w:rsidP="00D45A46">
      <w:pPr>
        <w:jc w:val="both"/>
        <w:rPr>
          <w:bCs/>
          <w:color w:val="002060"/>
          <w:sz w:val="16"/>
          <w:szCs w:val="16"/>
        </w:rPr>
      </w:pPr>
      <w:r w:rsidRPr="00DE096C">
        <w:rPr>
          <w:bCs/>
          <w:color w:val="002060"/>
          <w:sz w:val="16"/>
          <w:szCs w:val="16"/>
        </w:rPr>
        <w:t>- 05.06.14 г. прошел маршрут 650 верст (693 км) за 6 ч 33 мин. 10 сек. с четырьмя пассажирами на борту;</w:t>
      </w:r>
    </w:p>
    <w:p w14:paraId="238EB791" w14:textId="77777777" w:rsidR="000A6A9B" w:rsidRPr="00DE096C" w:rsidRDefault="000A6A9B" w:rsidP="00D45A46">
      <w:pPr>
        <w:jc w:val="both"/>
        <w:rPr>
          <w:bCs/>
          <w:color w:val="002060"/>
          <w:sz w:val="16"/>
          <w:szCs w:val="16"/>
        </w:rPr>
      </w:pPr>
      <w:r w:rsidRPr="00DE096C">
        <w:rPr>
          <w:bCs/>
          <w:color w:val="002060"/>
          <w:sz w:val="16"/>
          <w:szCs w:val="16"/>
        </w:rPr>
        <w:t>- 16.06.14 выполнил перелет Петербург – Киев с посадкой в Орше за 12 ч 50 мин. с полной нагрузкой 1610 кг;</w:t>
      </w:r>
    </w:p>
    <w:p w14:paraId="3524F5D1" w14:textId="77777777" w:rsidR="000A6A9B" w:rsidRPr="00DE096C" w:rsidRDefault="000A6A9B" w:rsidP="00D45A46">
      <w:pPr>
        <w:jc w:val="both"/>
        <w:rPr>
          <w:bCs/>
          <w:color w:val="002060"/>
          <w:sz w:val="16"/>
          <w:szCs w:val="16"/>
        </w:rPr>
      </w:pPr>
      <w:r w:rsidRPr="00DE096C">
        <w:rPr>
          <w:bCs/>
          <w:color w:val="002060"/>
          <w:sz w:val="16"/>
          <w:szCs w:val="16"/>
        </w:rPr>
        <w:t>- 17.06.14 выполнил перелет Киев – Петербург с посадкой в Новооскольниках за 18 ч 20 мин. с полной нагрузкой 1610 кг 923569).</w:t>
      </w:r>
    </w:p>
    <w:p w14:paraId="65F718FB" w14:textId="77777777" w:rsidR="000A6A9B" w:rsidRPr="00DE096C" w:rsidRDefault="000A6A9B" w:rsidP="00D45A46">
      <w:pPr>
        <w:jc w:val="both"/>
        <w:rPr>
          <w:bCs/>
          <w:color w:val="002060"/>
          <w:sz w:val="16"/>
          <w:szCs w:val="16"/>
          <w:lang w:bidi="ru-RU"/>
        </w:rPr>
      </w:pPr>
    </w:p>
    <w:p w14:paraId="3819E107" w14:textId="77777777" w:rsidR="00B93380" w:rsidRPr="00B52707" w:rsidRDefault="00B93380" w:rsidP="00B93380">
      <w:pPr>
        <w:jc w:val="both"/>
        <w:rPr>
          <w:color w:val="0070C0"/>
          <w:sz w:val="16"/>
          <w:szCs w:val="16"/>
        </w:rPr>
      </w:pPr>
      <w:r w:rsidRPr="00B52707">
        <w:rPr>
          <w:rStyle w:val="ab"/>
          <w:rFonts w:ascii="Times New Roman" w:hAnsi="Times New Roman"/>
          <w:color w:val="0070C0"/>
          <w:spacing w:val="0"/>
          <w:sz w:val="16"/>
          <w:szCs w:val="16"/>
        </w:rPr>
        <w:t>В мае 1914 г. Морской генеральный штаб уведомил, что специали</w:t>
      </w:r>
      <w:r w:rsidRPr="00B52707">
        <w:rPr>
          <w:rStyle w:val="ab"/>
          <w:rFonts w:ascii="Times New Roman" w:hAnsi="Times New Roman"/>
          <w:color w:val="0070C0"/>
          <w:spacing w:val="0"/>
          <w:sz w:val="16"/>
          <w:szCs w:val="16"/>
        </w:rPr>
        <w:softHyphen/>
        <w:t>стом для приёмки гидроплана для полярной экспедиции назначается лётчик лейтенант Г.И. Лавров. Но экспедиция Б.А. Вилькицкого ушла без самолёта, а выделенные средства обратили па приобретение «Фармана». Лейтенант Г.И. Лавров в этот период вместе с И.И. Сикорским был занят отработкой поплавков на само</w:t>
      </w:r>
      <w:r w:rsidRPr="00B52707">
        <w:rPr>
          <w:rStyle w:val="ab"/>
          <w:rFonts w:ascii="Times New Roman" w:hAnsi="Times New Roman"/>
          <w:color w:val="0070C0"/>
          <w:spacing w:val="0"/>
          <w:sz w:val="16"/>
          <w:szCs w:val="16"/>
        </w:rPr>
        <w:softHyphen/>
        <w:t>лёте «Илья Муромец» и поехать во Францию 21 мая 1914 г. предложили Я.И. Нагурскому (25653).</w:t>
      </w:r>
    </w:p>
    <w:p w14:paraId="53DAA70D" w14:textId="77777777" w:rsidR="00B93380" w:rsidRPr="00B52707" w:rsidRDefault="00B93380" w:rsidP="00B93380">
      <w:pPr>
        <w:jc w:val="both"/>
        <w:rPr>
          <w:color w:val="0070C0"/>
          <w:sz w:val="16"/>
          <w:szCs w:val="16"/>
        </w:rPr>
      </w:pPr>
    </w:p>
    <w:p w14:paraId="200E96E9" w14:textId="01121C51" w:rsidR="00727D11" w:rsidRPr="00DE096C" w:rsidRDefault="00727D11" w:rsidP="00D45A46">
      <w:pPr>
        <w:shd w:val="clear" w:color="auto" w:fill="FFFFFF"/>
        <w:jc w:val="both"/>
        <w:rPr>
          <w:bCs/>
          <w:i/>
          <w:color w:val="002060"/>
          <w:sz w:val="16"/>
          <w:szCs w:val="16"/>
        </w:rPr>
      </w:pPr>
      <w:r w:rsidRPr="00DE096C">
        <w:rPr>
          <w:bCs/>
          <w:i/>
          <w:color w:val="002060"/>
          <w:sz w:val="16"/>
          <w:szCs w:val="16"/>
        </w:rPr>
        <w:t>Аэростатостроение:</w:t>
      </w:r>
    </w:p>
    <w:p w14:paraId="6AC021D0" w14:textId="77777777" w:rsidR="00727D11" w:rsidRPr="00DE096C" w:rsidRDefault="00727D11" w:rsidP="00D45A46">
      <w:pPr>
        <w:shd w:val="clear" w:color="auto" w:fill="FFFFFF"/>
        <w:jc w:val="both"/>
        <w:rPr>
          <w:bCs/>
          <w:i/>
          <w:color w:val="002060"/>
          <w:sz w:val="16"/>
          <w:szCs w:val="16"/>
        </w:rPr>
      </w:pPr>
    </w:p>
    <w:p w14:paraId="1023C809" w14:textId="77777777" w:rsidR="00727D11" w:rsidRPr="00DE096C" w:rsidRDefault="00727D11" w:rsidP="00D45A46">
      <w:pPr>
        <w:jc w:val="both"/>
        <w:rPr>
          <w:bCs/>
          <w:color w:val="002060"/>
          <w:sz w:val="16"/>
          <w:szCs w:val="16"/>
        </w:rPr>
      </w:pPr>
      <w:r w:rsidRPr="00DE096C">
        <w:rPr>
          <w:bCs/>
          <w:color w:val="002060"/>
          <w:sz w:val="16"/>
          <w:szCs w:val="16"/>
        </w:rPr>
        <w:t>В мае 1914 г. на дирижабле Альбатрос заменили выработавшие свой ресурс двигатели «Клеман-Баярд» более надежными – системы «Дансет-Жиль». На Дальнем Востоке приступили к строительству эллинга для «Альбатроса». Однако с началом военных действий было принято решение об отправке дирижабля на фронт. «Альбатрос» находился при 12-й воздухоплавательной роте в Сализи. Способность развивать высокую скорость, достаточный потолок подъема, мощные двигатели, большая полезная нагрузка, а также алюминированная оболочка, создающая не только дополнительную защиту от солнечных лучей, но и маскировку в небе, – все это позволяло использовать аппарат в качестве разведчика и бомбардировщика. Командиру корабля подполковнику Голубову было приказано подготовить дирижабль к перелету сначала в Лиду, затем на передовую базу в Белосток. Аппарат долетел без происшествий, за 12 часов было пройдено около 780 км [Дирижабли времен первой и второй мировой войны «Альбатрос» и «Астра». [Электронный ресурс]. URL: www.activeclub.com.ua/modules.php?name=Pages&amp;pa=showpage&amp;pid=10631] (22673).</w:t>
      </w:r>
    </w:p>
    <w:p w14:paraId="47BDBEEF" w14:textId="77777777" w:rsidR="00727D11" w:rsidRPr="00DE096C" w:rsidRDefault="00727D11" w:rsidP="00D45A46">
      <w:pPr>
        <w:jc w:val="both"/>
        <w:rPr>
          <w:bCs/>
          <w:color w:val="002060"/>
          <w:sz w:val="16"/>
          <w:szCs w:val="16"/>
        </w:rPr>
      </w:pPr>
    </w:p>
    <w:p w14:paraId="67052917"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Другие оборонные отрасли:</w:t>
      </w:r>
    </w:p>
    <w:p w14:paraId="4C064FC4" w14:textId="77777777" w:rsidR="00B67D7C" w:rsidRPr="00DE096C" w:rsidRDefault="00B67D7C" w:rsidP="00D45A46">
      <w:pPr>
        <w:shd w:val="clear" w:color="auto" w:fill="FFFFFF"/>
        <w:jc w:val="both"/>
        <w:rPr>
          <w:bCs/>
          <w:i/>
          <w:color w:val="002060"/>
          <w:sz w:val="16"/>
          <w:szCs w:val="16"/>
        </w:rPr>
      </w:pPr>
    </w:p>
    <w:p w14:paraId="292EE813" w14:textId="77777777" w:rsidR="00D021DE" w:rsidRPr="00DE096C" w:rsidRDefault="00D021DE" w:rsidP="00D45A46">
      <w:pPr>
        <w:jc w:val="both"/>
        <w:rPr>
          <w:bCs/>
          <w:color w:val="002060"/>
          <w:sz w:val="16"/>
          <w:szCs w:val="16"/>
        </w:rPr>
      </w:pPr>
      <w:r w:rsidRPr="00DE096C">
        <w:rPr>
          <w:bCs/>
          <w:color w:val="002060"/>
          <w:sz w:val="16"/>
          <w:szCs w:val="16"/>
        </w:rPr>
        <w:t>В мае 1914 г. ыступая перед промышленниками, министр С.И. Тимашев указывал на появление «сильно приподнятого спроса, на который промышленность ответить не может». Этот «колоссальный, быть может, беспримерный в истории нашей промышленности» спрос, сказал министр торговли и промышленности, «как вы знаете, прежде всего и главным образом вызывается крупными заказами казны. Мы имеем перед собою на полмиллиарда заказов по программе [военного] судостроения, огромные расходы на перевооружение армии, постройку [стратегических] железных дорог, коих разрешено на сумму свыше 700 млн руб., портостроительство… Ответить на такой спрос Военная промышленность России начала XX в. в историческом разрезе сразу, без подготовки совершенно невозможно» (18408).</w:t>
      </w:r>
    </w:p>
    <w:p w14:paraId="0789DA87" w14:textId="77777777" w:rsidR="00D021DE" w:rsidRPr="00DE096C" w:rsidRDefault="00D021DE" w:rsidP="00D45A46">
      <w:pPr>
        <w:jc w:val="both"/>
        <w:rPr>
          <w:bCs/>
          <w:color w:val="002060"/>
          <w:sz w:val="16"/>
          <w:szCs w:val="16"/>
        </w:rPr>
      </w:pPr>
    </w:p>
    <w:p w14:paraId="4E91144E" w14:textId="77777777" w:rsidR="00D021DE" w:rsidRPr="00DE096C" w:rsidRDefault="00D021DE" w:rsidP="00D45A46">
      <w:pPr>
        <w:jc w:val="both"/>
        <w:rPr>
          <w:bCs/>
          <w:color w:val="002060"/>
          <w:sz w:val="16"/>
          <w:szCs w:val="16"/>
        </w:rPr>
      </w:pPr>
      <w:r w:rsidRPr="00DE096C">
        <w:rPr>
          <w:bCs/>
          <w:color w:val="002060"/>
          <w:sz w:val="16"/>
          <w:szCs w:val="16"/>
        </w:rPr>
        <w:t>В мае 1914 г. Мобилизационный отдел ГУГШ свидетельствовал, и это было доложено Николаю II, что «недостаток в снарядах продолжает оставаться по-прежнему значительным, особенно для горной, гаубичной и тяжелой артиллерии, и может быть пополнен не ранее конца 1915 года». Снарядов со взрывателями в парках и на складах приходилось на каждое 3-дюймовое орудие уже не 12 (тротиловых), а 19, на 48-линейное (то есть 4,8-дюймовое) — не 45, а 82; недоставало 17% винтовочных патронов. Восполнить недостатки ГАУ обещало по патронам — «в первой половине 1915 г.», по снарядам, как и по новым ружейным прицелам, — «не ранее конца 1915 г.», по упряжи для двуколок — «в 1915–1916 гг.». Но следовало еще делать «поправку по крайней мере на полгода в большую сторону»: ряд прежних обещаний 1913 г. ГАУ не исполнило «и до сего времени». В целом «недостатки артиллерийского снабжения, по заявлению ГАУ, могут быть пополнены к 1 января 1916 г.», то есть за год до 1917-го (18409).</w:t>
      </w:r>
    </w:p>
    <w:p w14:paraId="2EC4D512" w14:textId="77777777" w:rsidR="00D021DE" w:rsidRPr="00DE096C" w:rsidRDefault="00D021DE" w:rsidP="00D45A46">
      <w:pPr>
        <w:jc w:val="both"/>
        <w:rPr>
          <w:bCs/>
          <w:color w:val="002060"/>
          <w:sz w:val="16"/>
          <w:szCs w:val="16"/>
        </w:rPr>
      </w:pPr>
    </w:p>
    <w:p w14:paraId="502EDA1F"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В мае 1914 года в учебной автомобильной роте были проведены сравнительные испытания складных велосипедов. На испытаниях были представлены два велосипеда конструкции фабрики «Дукс» Ю. Меллера (с колесами диаметром 26 и 28 английских дюймов), велосипед системы А. Базилевского производства того же «Дукса», велосипед фабрики «Россия» А. Лейтнера и немецкий велосипед фирмы Adler. Испытания выявили полную непригодность немецкого транспортного средства, а среди отечественных конструкций лучшим был назван велосипед фирмы А. Лейтнера. Конструкция Базилевского заняла второе место, а два «Дукса» – соответственно третье. Среди преимуществ рижского велосипеда были быстрота и простота складывания, надежность механизма складывания, легкий вес и защита спины самокатчика кожаным щитом. Исходя из результатов сравнительных испытаний, ГВТУ сформулировало технические требования к военным складным велосипедам (11257).</w:t>
      </w:r>
    </w:p>
    <w:p w14:paraId="3072B526" w14:textId="77777777" w:rsidR="00B67D7C" w:rsidRPr="00DE096C" w:rsidRDefault="00B67D7C" w:rsidP="00D45A46">
      <w:pPr>
        <w:pStyle w:val="a3"/>
        <w:jc w:val="both"/>
        <w:rPr>
          <w:bCs/>
          <w:i w:val="0"/>
          <w:color w:val="002060"/>
          <w:spacing w:val="0"/>
          <w:kern w:val="0"/>
          <w:position w:val="0"/>
          <w:sz w:val="16"/>
          <w:szCs w:val="16"/>
        </w:rPr>
      </w:pPr>
    </w:p>
    <w:p w14:paraId="5965C900" w14:textId="77777777" w:rsidR="00B67D7C" w:rsidRPr="00DE096C" w:rsidRDefault="00B67D7C" w:rsidP="00D45A46">
      <w:pPr>
        <w:jc w:val="both"/>
        <w:rPr>
          <w:bCs/>
          <w:color w:val="002060"/>
          <w:sz w:val="16"/>
          <w:szCs w:val="16"/>
        </w:rPr>
      </w:pPr>
      <w:r w:rsidRPr="00DE096C">
        <w:rPr>
          <w:bCs/>
          <w:color w:val="002060"/>
          <w:sz w:val="16"/>
          <w:szCs w:val="16"/>
        </w:rPr>
        <w:t xml:space="preserve">В мае 1914 года в Учебной Автомобильной Роте были проведены сравнительные испытания складных велосипедов. На испытаниях были представлены: велосипед фабрики "Россия" А. Лейтнера и Ко, два велосипеда конструкции фабрики "Дукс" Ю.А. Меллера и Ко (с колесами диаметром 26 и 28 английских дюймов), велосипед системы А.А. Базилевского производства фабрики "Дукс" и немецкий велосипед фирмы "Adler". Испытания выявили полную непригодность немецкого велосипеда, </w:t>
      </w:r>
      <w:r w:rsidRPr="00DE096C">
        <w:rPr>
          <w:bCs/>
          <w:color w:val="002060"/>
          <w:sz w:val="16"/>
          <w:szCs w:val="16"/>
        </w:rPr>
        <w:lastRenderedPageBreak/>
        <w:t>а среди отечественных конструкций лучшим был назван велосипед фирмы А. Лейтнера. Конструкция Базилевского заняла второе место, а два "Дукса", соответственно, третье.</w:t>
      </w:r>
    </w:p>
    <w:p w14:paraId="30DCDEC4" w14:textId="77777777" w:rsidR="00B67D7C" w:rsidRPr="00DE096C" w:rsidRDefault="00B67D7C" w:rsidP="00D45A46">
      <w:pPr>
        <w:jc w:val="both"/>
        <w:rPr>
          <w:bCs/>
          <w:color w:val="002060"/>
          <w:sz w:val="16"/>
          <w:szCs w:val="16"/>
        </w:rPr>
      </w:pPr>
      <w:r w:rsidRPr="00DE096C">
        <w:rPr>
          <w:bCs/>
          <w:color w:val="002060"/>
          <w:sz w:val="16"/>
          <w:szCs w:val="16"/>
        </w:rPr>
        <w:t xml:space="preserve">Среди преимуществ рижского велосипеда были отмечены: быстрота и простота складывания, надежность механизма складывания, легкий вес и защита спины самокатчика кожаным щитом. На опыте сравнительных испытаний ГВТУ были сформулированы технические требования к военным складным велосипедам Русской армии. </w:t>
      </w:r>
    </w:p>
    <w:p w14:paraId="245ACFE9" w14:textId="77777777" w:rsidR="00B67D7C" w:rsidRPr="00DE096C" w:rsidRDefault="00B67D7C" w:rsidP="00D45A46">
      <w:pPr>
        <w:jc w:val="both"/>
        <w:rPr>
          <w:bCs/>
          <w:color w:val="002060"/>
          <w:sz w:val="16"/>
          <w:szCs w:val="16"/>
        </w:rPr>
      </w:pPr>
      <w:r w:rsidRPr="00DE096C">
        <w:rPr>
          <w:bCs/>
          <w:color w:val="002060"/>
          <w:sz w:val="16"/>
          <w:szCs w:val="16"/>
        </w:rPr>
        <w:t>Но, поскольку дело с испытаниями отечественных велосипедов двигалось медленно, в июле 1915 года был сделан крупный заказ фирме "Peugeot" на партию самокатов Жерара. Машины пошли на комплектацию вновь развернутых самокатных рот.</w:t>
      </w:r>
    </w:p>
    <w:p w14:paraId="4AE6D4CB" w14:textId="77777777" w:rsidR="00B67D7C" w:rsidRPr="00DE096C" w:rsidRDefault="00B67D7C" w:rsidP="00D45A46">
      <w:pPr>
        <w:jc w:val="both"/>
        <w:rPr>
          <w:bCs/>
          <w:i/>
          <w:color w:val="002060"/>
          <w:sz w:val="16"/>
          <w:szCs w:val="16"/>
        </w:rPr>
      </w:pPr>
    </w:p>
    <w:p w14:paraId="7F6128AF" w14:textId="77777777" w:rsidR="000A6A9B" w:rsidRPr="00DE096C" w:rsidRDefault="000A6A9B" w:rsidP="00D45A46">
      <w:pPr>
        <w:shd w:val="clear" w:color="auto" w:fill="FFFFFF"/>
        <w:jc w:val="both"/>
        <w:rPr>
          <w:bCs/>
          <w:i/>
          <w:color w:val="002060"/>
          <w:sz w:val="16"/>
          <w:szCs w:val="16"/>
        </w:rPr>
      </w:pPr>
      <w:r w:rsidRPr="00DE096C">
        <w:rPr>
          <w:bCs/>
          <w:i/>
          <w:color w:val="002060"/>
          <w:sz w:val="16"/>
          <w:szCs w:val="16"/>
        </w:rPr>
        <w:t>Армия:</w:t>
      </w:r>
    </w:p>
    <w:p w14:paraId="4D62C752" w14:textId="77777777" w:rsidR="000A6A9B" w:rsidRPr="00DE096C" w:rsidRDefault="000A6A9B" w:rsidP="00D45A46">
      <w:pPr>
        <w:shd w:val="clear" w:color="auto" w:fill="FFFFFF"/>
        <w:jc w:val="both"/>
        <w:rPr>
          <w:bCs/>
          <w:i/>
          <w:color w:val="002060"/>
          <w:sz w:val="16"/>
          <w:szCs w:val="16"/>
        </w:rPr>
      </w:pPr>
    </w:p>
    <w:p w14:paraId="61857778" w14:textId="77777777" w:rsidR="000A6A9B" w:rsidRPr="00DE096C" w:rsidRDefault="000A6A9B" w:rsidP="00D45A46">
      <w:pPr>
        <w:jc w:val="both"/>
        <w:rPr>
          <w:bCs/>
          <w:color w:val="002060"/>
          <w:sz w:val="16"/>
          <w:szCs w:val="16"/>
        </w:rPr>
      </w:pPr>
      <w:r w:rsidRPr="00DE096C">
        <w:rPr>
          <w:bCs/>
          <w:color w:val="002060"/>
          <w:sz w:val="16"/>
          <w:szCs w:val="16"/>
        </w:rPr>
        <w:t xml:space="preserve">План на май 1914 года на Дальнем востоке учитывал следующие силы: </w:t>
      </w:r>
    </w:p>
    <w:p w14:paraId="584518E6" w14:textId="77777777" w:rsidR="000A6A9B" w:rsidRPr="00DE096C" w:rsidRDefault="000A6A9B" w:rsidP="00D45A46">
      <w:pPr>
        <w:jc w:val="both"/>
        <w:rPr>
          <w:bCs/>
          <w:color w:val="002060"/>
          <w:sz w:val="16"/>
          <w:szCs w:val="16"/>
        </w:rPr>
      </w:pPr>
      <w:r w:rsidRPr="00DE096C">
        <w:rPr>
          <w:bCs/>
          <w:color w:val="002060"/>
          <w:sz w:val="16"/>
          <w:szCs w:val="16"/>
        </w:rPr>
        <w:t xml:space="preserve">Владивосток </w:t>
      </w:r>
    </w:p>
    <w:p w14:paraId="6DD91561" w14:textId="77777777" w:rsidR="000A6A9B" w:rsidRPr="00DE096C" w:rsidRDefault="000A6A9B" w:rsidP="00D45A46">
      <w:pPr>
        <w:jc w:val="both"/>
        <w:rPr>
          <w:bCs/>
          <w:color w:val="002060"/>
          <w:sz w:val="16"/>
          <w:szCs w:val="16"/>
        </w:rPr>
      </w:pPr>
      <w:r w:rsidRPr="00DE096C">
        <w:rPr>
          <w:bCs/>
          <w:color w:val="002060"/>
          <w:sz w:val="16"/>
          <w:szCs w:val="16"/>
        </w:rPr>
        <w:t xml:space="preserve">Дивизия линейных кораблей: </w:t>
      </w:r>
    </w:p>
    <w:p w14:paraId="3C1624AC" w14:textId="77777777" w:rsidR="000A6A9B" w:rsidRPr="00DE096C" w:rsidRDefault="000A6A9B" w:rsidP="00D45A46">
      <w:pPr>
        <w:jc w:val="both"/>
        <w:rPr>
          <w:bCs/>
          <w:color w:val="002060"/>
          <w:sz w:val="16"/>
          <w:szCs w:val="16"/>
        </w:rPr>
      </w:pPr>
      <w:r w:rsidRPr="00DE096C">
        <w:rPr>
          <w:bCs/>
          <w:color w:val="002060"/>
          <w:sz w:val="16"/>
          <w:szCs w:val="16"/>
        </w:rPr>
        <w:t xml:space="preserve">Флагман: ЛК "Ретвизан". </w:t>
      </w:r>
    </w:p>
    <w:p w14:paraId="3889ACD5" w14:textId="77777777" w:rsidR="000A6A9B" w:rsidRPr="00DE096C" w:rsidRDefault="000A6A9B" w:rsidP="00D45A46">
      <w:pPr>
        <w:jc w:val="both"/>
        <w:rPr>
          <w:bCs/>
          <w:color w:val="002060"/>
          <w:sz w:val="16"/>
          <w:szCs w:val="16"/>
        </w:rPr>
      </w:pPr>
      <w:r w:rsidRPr="00DE096C">
        <w:rPr>
          <w:bCs/>
          <w:color w:val="002060"/>
          <w:sz w:val="16"/>
          <w:szCs w:val="16"/>
        </w:rPr>
        <w:t xml:space="preserve">1-я бригада лин. кор. </w:t>
      </w:r>
    </w:p>
    <w:p w14:paraId="14B832C2" w14:textId="77777777" w:rsidR="000A6A9B" w:rsidRPr="00DE096C" w:rsidRDefault="000A6A9B" w:rsidP="00D45A46">
      <w:pPr>
        <w:jc w:val="both"/>
        <w:rPr>
          <w:bCs/>
          <w:color w:val="002060"/>
          <w:sz w:val="16"/>
          <w:szCs w:val="16"/>
        </w:rPr>
      </w:pPr>
      <w:r w:rsidRPr="00DE096C">
        <w:rPr>
          <w:bCs/>
          <w:color w:val="002060"/>
          <w:sz w:val="16"/>
          <w:szCs w:val="16"/>
        </w:rPr>
        <w:t xml:space="preserve">"Суворов", "Имп.Александр III", "Бородино". </w:t>
      </w:r>
    </w:p>
    <w:p w14:paraId="79800BF9" w14:textId="77777777" w:rsidR="000A6A9B" w:rsidRPr="00DE096C" w:rsidRDefault="000A6A9B" w:rsidP="00D45A46">
      <w:pPr>
        <w:jc w:val="both"/>
        <w:rPr>
          <w:bCs/>
          <w:color w:val="002060"/>
          <w:sz w:val="16"/>
          <w:szCs w:val="16"/>
        </w:rPr>
      </w:pPr>
      <w:r w:rsidRPr="00DE096C">
        <w:rPr>
          <w:bCs/>
          <w:color w:val="002060"/>
          <w:sz w:val="16"/>
          <w:szCs w:val="16"/>
        </w:rPr>
        <w:t xml:space="preserve">2-я бригада лин. кор. </w:t>
      </w:r>
    </w:p>
    <w:p w14:paraId="405844F2" w14:textId="77777777" w:rsidR="000A6A9B" w:rsidRPr="00DE096C" w:rsidRDefault="000A6A9B" w:rsidP="00D45A46">
      <w:pPr>
        <w:jc w:val="both"/>
        <w:rPr>
          <w:bCs/>
          <w:color w:val="002060"/>
          <w:sz w:val="16"/>
          <w:szCs w:val="16"/>
        </w:rPr>
      </w:pPr>
      <w:r w:rsidRPr="00DE096C">
        <w:rPr>
          <w:bCs/>
          <w:color w:val="002060"/>
          <w:sz w:val="16"/>
          <w:szCs w:val="16"/>
        </w:rPr>
        <w:t xml:space="preserve">"Цесаревич", "Орел", "Слава". </w:t>
      </w:r>
    </w:p>
    <w:p w14:paraId="1559CA90" w14:textId="77777777" w:rsidR="000A6A9B" w:rsidRPr="00DE096C" w:rsidRDefault="000A6A9B" w:rsidP="00D45A46">
      <w:pPr>
        <w:jc w:val="both"/>
        <w:rPr>
          <w:bCs/>
          <w:color w:val="002060"/>
          <w:sz w:val="16"/>
          <w:szCs w:val="16"/>
        </w:rPr>
      </w:pPr>
      <w:r w:rsidRPr="00DE096C">
        <w:rPr>
          <w:bCs/>
          <w:color w:val="002060"/>
          <w:sz w:val="16"/>
          <w:szCs w:val="16"/>
        </w:rPr>
        <w:t xml:space="preserve">1-я бригада крейсеров </w:t>
      </w:r>
    </w:p>
    <w:p w14:paraId="30BCB734" w14:textId="77777777" w:rsidR="000A6A9B" w:rsidRPr="00DE096C" w:rsidRDefault="000A6A9B" w:rsidP="00D45A46">
      <w:pPr>
        <w:jc w:val="both"/>
        <w:rPr>
          <w:bCs/>
          <w:color w:val="002060"/>
          <w:sz w:val="16"/>
          <w:szCs w:val="16"/>
        </w:rPr>
      </w:pPr>
      <w:r w:rsidRPr="00DE096C">
        <w:rPr>
          <w:bCs/>
          <w:color w:val="002060"/>
          <w:sz w:val="16"/>
          <w:szCs w:val="16"/>
        </w:rPr>
        <w:t xml:space="preserve">"Рюрик", "Адмирал Нахимов", "Адмирал Корнилов", "Боярин". </w:t>
      </w:r>
    </w:p>
    <w:p w14:paraId="52CD04E8" w14:textId="77777777" w:rsidR="000A6A9B" w:rsidRPr="00DE096C" w:rsidRDefault="000A6A9B" w:rsidP="00D45A46">
      <w:pPr>
        <w:jc w:val="both"/>
        <w:rPr>
          <w:bCs/>
          <w:color w:val="002060"/>
          <w:sz w:val="16"/>
          <w:szCs w:val="16"/>
        </w:rPr>
      </w:pPr>
      <w:r w:rsidRPr="00DE096C">
        <w:rPr>
          <w:bCs/>
          <w:color w:val="002060"/>
          <w:sz w:val="16"/>
          <w:szCs w:val="16"/>
        </w:rPr>
        <w:t xml:space="preserve">2-я бригада крейсеров </w:t>
      </w:r>
    </w:p>
    <w:p w14:paraId="1E4208E8" w14:textId="77777777" w:rsidR="000A6A9B" w:rsidRPr="00DE096C" w:rsidRDefault="000A6A9B" w:rsidP="00D45A46">
      <w:pPr>
        <w:jc w:val="both"/>
        <w:rPr>
          <w:bCs/>
          <w:color w:val="002060"/>
          <w:sz w:val="16"/>
          <w:szCs w:val="16"/>
        </w:rPr>
      </w:pPr>
      <w:r w:rsidRPr="00DE096C">
        <w:rPr>
          <w:bCs/>
          <w:color w:val="002060"/>
          <w:sz w:val="16"/>
          <w:szCs w:val="16"/>
        </w:rPr>
        <w:t xml:space="preserve">"Баян", "Адмирал Макаров", "Олег", "Богатырь" </w:t>
      </w:r>
    </w:p>
    <w:p w14:paraId="665C70D7" w14:textId="77777777" w:rsidR="000A6A9B" w:rsidRPr="00DE096C" w:rsidRDefault="000A6A9B" w:rsidP="00D45A46">
      <w:pPr>
        <w:jc w:val="both"/>
        <w:rPr>
          <w:bCs/>
          <w:color w:val="002060"/>
          <w:sz w:val="16"/>
          <w:szCs w:val="16"/>
        </w:rPr>
      </w:pPr>
      <w:r w:rsidRPr="00DE096C">
        <w:rPr>
          <w:bCs/>
          <w:color w:val="002060"/>
          <w:sz w:val="16"/>
          <w:szCs w:val="16"/>
        </w:rPr>
        <w:t xml:space="preserve">3-я бригада крейсеров </w:t>
      </w:r>
    </w:p>
    <w:p w14:paraId="0361C9AB" w14:textId="77777777" w:rsidR="000A6A9B" w:rsidRPr="00DE096C" w:rsidRDefault="000A6A9B" w:rsidP="00D45A46">
      <w:pPr>
        <w:jc w:val="both"/>
        <w:rPr>
          <w:bCs/>
          <w:color w:val="002060"/>
          <w:sz w:val="16"/>
          <w:szCs w:val="16"/>
        </w:rPr>
      </w:pPr>
      <w:r w:rsidRPr="00DE096C">
        <w:rPr>
          <w:bCs/>
          <w:color w:val="002060"/>
          <w:sz w:val="16"/>
          <w:szCs w:val="16"/>
        </w:rPr>
        <w:t xml:space="preserve">"Пересвет", "Победа", "Громобой", "Россия". </w:t>
      </w:r>
    </w:p>
    <w:p w14:paraId="59824544" w14:textId="77777777" w:rsidR="000A6A9B" w:rsidRPr="00DE096C" w:rsidRDefault="000A6A9B" w:rsidP="00D45A46">
      <w:pPr>
        <w:jc w:val="both"/>
        <w:rPr>
          <w:bCs/>
          <w:color w:val="002060"/>
          <w:sz w:val="16"/>
          <w:szCs w:val="16"/>
        </w:rPr>
      </w:pPr>
      <w:r w:rsidRPr="00DE096C">
        <w:rPr>
          <w:bCs/>
          <w:color w:val="002060"/>
          <w:sz w:val="16"/>
          <w:szCs w:val="16"/>
        </w:rPr>
        <w:t xml:space="preserve">Минная дивизия </w:t>
      </w:r>
    </w:p>
    <w:p w14:paraId="75A8189E" w14:textId="77777777" w:rsidR="000A6A9B" w:rsidRPr="00DE096C" w:rsidRDefault="000A6A9B" w:rsidP="00D45A46">
      <w:pPr>
        <w:jc w:val="both"/>
        <w:rPr>
          <w:bCs/>
          <w:color w:val="002060"/>
          <w:sz w:val="16"/>
          <w:szCs w:val="16"/>
        </w:rPr>
      </w:pPr>
      <w:r w:rsidRPr="00DE096C">
        <w:rPr>
          <w:bCs/>
          <w:color w:val="002060"/>
          <w:sz w:val="16"/>
          <w:szCs w:val="16"/>
        </w:rPr>
        <w:t xml:space="preserve">Флагман: "Светлана" </w:t>
      </w:r>
    </w:p>
    <w:p w14:paraId="4CC55A36" w14:textId="77777777" w:rsidR="000A6A9B" w:rsidRPr="00DE096C" w:rsidRDefault="000A6A9B" w:rsidP="00D45A46">
      <w:pPr>
        <w:jc w:val="both"/>
        <w:rPr>
          <w:bCs/>
          <w:color w:val="002060"/>
          <w:sz w:val="16"/>
          <w:szCs w:val="16"/>
        </w:rPr>
      </w:pPr>
      <w:r w:rsidRPr="00DE096C">
        <w:rPr>
          <w:bCs/>
          <w:color w:val="002060"/>
          <w:sz w:val="16"/>
          <w:szCs w:val="16"/>
        </w:rPr>
        <w:t xml:space="preserve">1, 2, 3, 4, 5, 6, 7, 8 дивизионы эсминцев </w:t>
      </w:r>
    </w:p>
    <w:p w14:paraId="4A22AA59" w14:textId="77777777" w:rsidR="000A6A9B" w:rsidRPr="00DE096C" w:rsidRDefault="000A6A9B" w:rsidP="00D45A46">
      <w:pPr>
        <w:jc w:val="both"/>
        <w:rPr>
          <w:bCs/>
          <w:color w:val="002060"/>
          <w:sz w:val="16"/>
          <w:szCs w:val="16"/>
        </w:rPr>
      </w:pPr>
      <w:r w:rsidRPr="00DE096C">
        <w:rPr>
          <w:bCs/>
          <w:color w:val="002060"/>
          <w:sz w:val="16"/>
          <w:szCs w:val="16"/>
        </w:rPr>
        <w:t xml:space="preserve">(30 эсминцев, из них 14 с ходом не менее 28 узлов). </w:t>
      </w:r>
    </w:p>
    <w:p w14:paraId="2EEE0547" w14:textId="77777777" w:rsidR="000A6A9B" w:rsidRPr="00DE096C" w:rsidRDefault="000A6A9B" w:rsidP="00D45A46">
      <w:pPr>
        <w:jc w:val="both"/>
        <w:rPr>
          <w:bCs/>
          <w:color w:val="002060"/>
          <w:sz w:val="16"/>
          <w:szCs w:val="16"/>
        </w:rPr>
      </w:pPr>
      <w:r w:rsidRPr="00DE096C">
        <w:rPr>
          <w:bCs/>
          <w:color w:val="002060"/>
          <w:sz w:val="16"/>
          <w:szCs w:val="16"/>
        </w:rPr>
        <w:t xml:space="preserve">Бригада подплава (6 подводных лодок и морского класса и 6 прибрежного) </w:t>
      </w:r>
    </w:p>
    <w:p w14:paraId="7C4D52AD" w14:textId="77777777" w:rsidR="000A6A9B" w:rsidRPr="00DE096C" w:rsidRDefault="000A6A9B" w:rsidP="00D45A46">
      <w:pPr>
        <w:jc w:val="both"/>
        <w:rPr>
          <w:bCs/>
          <w:color w:val="002060"/>
          <w:sz w:val="16"/>
          <w:szCs w:val="16"/>
        </w:rPr>
      </w:pPr>
      <w:r w:rsidRPr="00DE096C">
        <w:rPr>
          <w:bCs/>
          <w:color w:val="002060"/>
          <w:sz w:val="16"/>
          <w:szCs w:val="16"/>
        </w:rPr>
        <w:t xml:space="preserve">Отряд катеров (6 минных моторных катеров) </w:t>
      </w:r>
    </w:p>
    <w:p w14:paraId="3D69A78A" w14:textId="77777777" w:rsidR="000A6A9B" w:rsidRPr="00DE096C" w:rsidRDefault="000A6A9B" w:rsidP="00D45A46">
      <w:pPr>
        <w:jc w:val="both"/>
        <w:rPr>
          <w:bCs/>
          <w:color w:val="002060"/>
          <w:sz w:val="16"/>
          <w:szCs w:val="16"/>
        </w:rPr>
      </w:pPr>
      <w:r w:rsidRPr="00DE096C">
        <w:rPr>
          <w:bCs/>
          <w:color w:val="002060"/>
          <w:sz w:val="16"/>
          <w:szCs w:val="16"/>
        </w:rPr>
        <w:t xml:space="preserve">Бригада пограничных судов (по мобилизации становятся вспомогательными крейсерами-истребителями торговли) </w:t>
      </w:r>
    </w:p>
    <w:p w14:paraId="194D3A2B" w14:textId="77777777" w:rsidR="000A6A9B" w:rsidRPr="00DE096C" w:rsidRDefault="000A6A9B" w:rsidP="00D45A46">
      <w:pPr>
        <w:jc w:val="both"/>
        <w:rPr>
          <w:bCs/>
          <w:color w:val="002060"/>
          <w:sz w:val="16"/>
          <w:szCs w:val="16"/>
        </w:rPr>
      </w:pPr>
      <w:r w:rsidRPr="00DE096C">
        <w:rPr>
          <w:bCs/>
          <w:color w:val="002060"/>
          <w:sz w:val="16"/>
          <w:szCs w:val="16"/>
        </w:rPr>
        <w:t xml:space="preserve">Вспомогательные суда и суда охраны рейда </w:t>
      </w:r>
    </w:p>
    <w:p w14:paraId="42BD3FB7" w14:textId="77777777" w:rsidR="000A6A9B" w:rsidRPr="00DE096C" w:rsidRDefault="000A6A9B" w:rsidP="00D45A46">
      <w:pPr>
        <w:jc w:val="both"/>
        <w:rPr>
          <w:bCs/>
          <w:color w:val="002060"/>
          <w:sz w:val="16"/>
          <w:szCs w:val="16"/>
        </w:rPr>
      </w:pPr>
      <w:r w:rsidRPr="00DE096C">
        <w:rPr>
          <w:bCs/>
          <w:color w:val="002060"/>
          <w:sz w:val="16"/>
          <w:szCs w:val="16"/>
        </w:rPr>
        <w:t xml:space="preserve">Всего: 9 линейных кораблей-додредноутов, 7 броненосных крейсеров, 5 крейсеров, 30 эсминцеы, 12 подводных лодок, 6 моторных минных катеров. Кроме того, с Балтики на Дальний Восток готовился к выходу линейный крейсер "Дмитрий Донской", еще один крейсер этого же типа находился на испытаниях. </w:t>
      </w:r>
    </w:p>
    <w:p w14:paraId="71421CE1" w14:textId="77777777" w:rsidR="000A6A9B" w:rsidRPr="00DE096C" w:rsidRDefault="000A6A9B" w:rsidP="00D45A46">
      <w:pPr>
        <w:jc w:val="both"/>
        <w:rPr>
          <w:bCs/>
          <w:color w:val="002060"/>
          <w:sz w:val="16"/>
          <w:szCs w:val="16"/>
        </w:rPr>
      </w:pPr>
      <w:r w:rsidRPr="00DE096C">
        <w:rPr>
          <w:bCs/>
          <w:color w:val="002060"/>
          <w:sz w:val="16"/>
          <w:szCs w:val="16"/>
        </w:rPr>
        <w:t xml:space="preserve">Порт-Артур </w:t>
      </w:r>
    </w:p>
    <w:p w14:paraId="105AD5EF" w14:textId="77777777" w:rsidR="000A6A9B" w:rsidRPr="00DE096C" w:rsidRDefault="000A6A9B" w:rsidP="00D45A46">
      <w:pPr>
        <w:jc w:val="both"/>
        <w:rPr>
          <w:bCs/>
          <w:color w:val="002060"/>
          <w:sz w:val="16"/>
          <w:szCs w:val="16"/>
        </w:rPr>
      </w:pPr>
      <w:r w:rsidRPr="00DE096C">
        <w:rPr>
          <w:bCs/>
          <w:color w:val="002060"/>
          <w:sz w:val="16"/>
          <w:szCs w:val="16"/>
        </w:rPr>
        <w:t xml:space="preserve">Бригада береговой обороны </w:t>
      </w:r>
    </w:p>
    <w:p w14:paraId="07CDDE69" w14:textId="77777777" w:rsidR="000A6A9B" w:rsidRPr="00DE096C" w:rsidRDefault="000A6A9B" w:rsidP="00D45A46">
      <w:pPr>
        <w:jc w:val="both"/>
        <w:rPr>
          <w:bCs/>
          <w:color w:val="002060"/>
          <w:sz w:val="16"/>
          <w:szCs w:val="16"/>
        </w:rPr>
      </w:pPr>
      <w:r w:rsidRPr="00DE096C">
        <w:rPr>
          <w:bCs/>
          <w:color w:val="002060"/>
          <w:sz w:val="16"/>
          <w:szCs w:val="16"/>
        </w:rPr>
        <w:t xml:space="preserve">"Адмирал Ушаков", "Адмирал Синявин", "Генерал-адмирал Апраксин", "Храбрый", "Грозящий" </w:t>
      </w:r>
    </w:p>
    <w:p w14:paraId="7FDA188A" w14:textId="77777777" w:rsidR="000A6A9B" w:rsidRPr="00DE096C" w:rsidRDefault="000A6A9B" w:rsidP="00D45A46">
      <w:pPr>
        <w:jc w:val="both"/>
        <w:rPr>
          <w:bCs/>
          <w:color w:val="002060"/>
          <w:sz w:val="16"/>
          <w:szCs w:val="16"/>
        </w:rPr>
      </w:pPr>
      <w:r w:rsidRPr="00DE096C">
        <w:rPr>
          <w:bCs/>
          <w:color w:val="002060"/>
          <w:sz w:val="16"/>
          <w:szCs w:val="16"/>
        </w:rPr>
        <w:t xml:space="preserve">Бригада крейсеров </w:t>
      </w:r>
    </w:p>
    <w:p w14:paraId="6CEC6163" w14:textId="77777777" w:rsidR="000A6A9B" w:rsidRPr="00DE096C" w:rsidRDefault="000A6A9B" w:rsidP="00D45A46">
      <w:pPr>
        <w:jc w:val="both"/>
        <w:rPr>
          <w:bCs/>
          <w:color w:val="002060"/>
          <w:sz w:val="16"/>
          <w:szCs w:val="16"/>
        </w:rPr>
      </w:pPr>
      <w:r w:rsidRPr="00DE096C">
        <w:rPr>
          <w:bCs/>
          <w:color w:val="002060"/>
          <w:sz w:val="16"/>
          <w:szCs w:val="16"/>
        </w:rPr>
        <w:t xml:space="preserve">"Аскольд", "Жемчуг", "Изумруд". </w:t>
      </w:r>
    </w:p>
    <w:p w14:paraId="43610B86" w14:textId="77777777" w:rsidR="000A6A9B" w:rsidRPr="00DE096C" w:rsidRDefault="000A6A9B" w:rsidP="00D45A46">
      <w:pPr>
        <w:jc w:val="both"/>
        <w:rPr>
          <w:bCs/>
          <w:color w:val="002060"/>
          <w:sz w:val="16"/>
          <w:szCs w:val="16"/>
        </w:rPr>
      </w:pPr>
      <w:r w:rsidRPr="00DE096C">
        <w:rPr>
          <w:bCs/>
          <w:color w:val="002060"/>
          <w:sz w:val="16"/>
          <w:szCs w:val="16"/>
        </w:rPr>
        <w:t xml:space="preserve">Минная бригада </w:t>
      </w:r>
    </w:p>
    <w:p w14:paraId="7D03F78E" w14:textId="77777777" w:rsidR="000A6A9B" w:rsidRPr="00DE096C" w:rsidRDefault="000A6A9B" w:rsidP="00D45A46">
      <w:pPr>
        <w:jc w:val="both"/>
        <w:rPr>
          <w:bCs/>
          <w:color w:val="002060"/>
          <w:sz w:val="16"/>
          <w:szCs w:val="16"/>
        </w:rPr>
      </w:pPr>
      <w:r w:rsidRPr="00DE096C">
        <w:rPr>
          <w:bCs/>
          <w:color w:val="002060"/>
          <w:sz w:val="16"/>
          <w:szCs w:val="16"/>
        </w:rPr>
        <w:t xml:space="preserve">Флагман: "Новик" </w:t>
      </w:r>
    </w:p>
    <w:p w14:paraId="1C3D07A9" w14:textId="77777777" w:rsidR="000A6A9B" w:rsidRPr="00DE096C" w:rsidRDefault="000A6A9B" w:rsidP="00D45A46">
      <w:pPr>
        <w:jc w:val="both"/>
        <w:rPr>
          <w:bCs/>
          <w:color w:val="002060"/>
          <w:sz w:val="16"/>
          <w:szCs w:val="16"/>
        </w:rPr>
      </w:pPr>
      <w:r w:rsidRPr="00DE096C">
        <w:rPr>
          <w:bCs/>
          <w:color w:val="002060"/>
          <w:sz w:val="16"/>
          <w:szCs w:val="16"/>
        </w:rPr>
        <w:t xml:space="preserve">9, 10, 11, 12 дивизионы эсминцев (17 эсминцев). </w:t>
      </w:r>
    </w:p>
    <w:p w14:paraId="6C5BA8A5" w14:textId="77777777" w:rsidR="000A6A9B" w:rsidRPr="00DE096C" w:rsidRDefault="000A6A9B" w:rsidP="00D45A46">
      <w:pPr>
        <w:jc w:val="both"/>
        <w:rPr>
          <w:bCs/>
          <w:color w:val="002060"/>
          <w:sz w:val="16"/>
          <w:szCs w:val="16"/>
        </w:rPr>
      </w:pPr>
      <w:r w:rsidRPr="00DE096C">
        <w:rPr>
          <w:bCs/>
          <w:color w:val="002060"/>
          <w:sz w:val="16"/>
          <w:szCs w:val="16"/>
        </w:rPr>
        <w:t xml:space="preserve">Дивизион подплава (6 прибрежных лодок) </w:t>
      </w:r>
    </w:p>
    <w:p w14:paraId="1361C25F" w14:textId="77777777" w:rsidR="000A6A9B" w:rsidRPr="00DE096C" w:rsidRDefault="000A6A9B" w:rsidP="00D45A46">
      <w:pPr>
        <w:jc w:val="both"/>
        <w:rPr>
          <w:bCs/>
          <w:color w:val="002060"/>
          <w:sz w:val="16"/>
          <w:szCs w:val="16"/>
        </w:rPr>
      </w:pPr>
      <w:r w:rsidRPr="00DE096C">
        <w:rPr>
          <w:bCs/>
          <w:color w:val="002060"/>
          <w:sz w:val="16"/>
          <w:szCs w:val="16"/>
        </w:rPr>
        <w:t xml:space="preserve">Отряд моторных катеров (13 моторных минных катеров) </w:t>
      </w:r>
    </w:p>
    <w:p w14:paraId="286A76E0" w14:textId="77777777" w:rsidR="000A6A9B" w:rsidRPr="00DE096C" w:rsidRDefault="000A6A9B" w:rsidP="00D45A46">
      <w:pPr>
        <w:jc w:val="both"/>
        <w:rPr>
          <w:bCs/>
          <w:color w:val="002060"/>
          <w:sz w:val="16"/>
          <w:szCs w:val="16"/>
        </w:rPr>
      </w:pPr>
      <w:r w:rsidRPr="00DE096C">
        <w:rPr>
          <w:bCs/>
          <w:color w:val="002060"/>
          <w:sz w:val="16"/>
          <w:szCs w:val="16"/>
        </w:rPr>
        <w:t xml:space="preserve">Вспомогательные суда и суда охраны рейда. </w:t>
      </w:r>
    </w:p>
    <w:p w14:paraId="175F4A57" w14:textId="77777777" w:rsidR="000A6A9B" w:rsidRPr="00DE096C" w:rsidRDefault="000A6A9B" w:rsidP="00D45A46">
      <w:pPr>
        <w:jc w:val="both"/>
        <w:rPr>
          <w:bCs/>
          <w:color w:val="002060"/>
          <w:sz w:val="16"/>
          <w:szCs w:val="16"/>
        </w:rPr>
      </w:pPr>
      <w:r w:rsidRPr="00DE096C">
        <w:rPr>
          <w:bCs/>
          <w:color w:val="002060"/>
          <w:sz w:val="16"/>
          <w:szCs w:val="16"/>
        </w:rPr>
        <w:t xml:space="preserve">Всего: 3 броненосца береговой обороны, 2 канонерских лодки, 5 крейсеров, 17 эсминцев, 6 подводных лодок, 13 моторных торпедных катеров. </w:t>
      </w:r>
    </w:p>
    <w:p w14:paraId="3DB3B2B6" w14:textId="77777777" w:rsidR="000A6A9B" w:rsidRPr="00DE096C" w:rsidRDefault="000A6A9B" w:rsidP="00D45A46">
      <w:pPr>
        <w:jc w:val="both"/>
        <w:rPr>
          <w:bCs/>
          <w:color w:val="002060"/>
          <w:sz w:val="16"/>
          <w:szCs w:val="16"/>
        </w:rPr>
      </w:pPr>
      <w:r w:rsidRPr="00DE096C">
        <w:rPr>
          <w:bCs/>
          <w:color w:val="002060"/>
          <w:sz w:val="16"/>
          <w:szCs w:val="16"/>
        </w:rPr>
        <w:t xml:space="preserve">Задачами отдельных частей флота являлись: </w:t>
      </w:r>
    </w:p>
    <w:p w14:paraId="31DBD86B" w14:textId="77777777" w:rsidR="000A6A9B" w:rsidRPr="00DE096C" w:rsidRDefault="000A6A9B" w:rsidP="00D45A46">
      <w:pPr>
        <w:jc w:val="both"/>
        <w:rPr>
          <w:bCs/>
          <w:color w:val="002060"/>
          <w:sz w:val="16"/>
          <w:szCs w:val="16"/>
        </w:rPr>
      </w:pPr>
      <w:r w:rsidRPr="00DE096C">
        <w:rPr>
          <w:bCs/>
          <w:color w:val="002060"/>
          <w:sz w:val="16"/>
          <w:szCs w:val="16"/>
        </w:rPr>
        <w:t xml:space="preserve">Владивосток </w:t>
      </w:r>
    </w:p>
    <w:p w14:paraId="5A0A54B7" w14:textId="77777777" w:rsidR="000A6A9B" w:rsidRPr="00DE096C" w:rsidRDefault="000A6A9B" w:rsidP="00D45A46">
      <w:pPr>
        <w:jc w:val="both"/>
        <w:rPr>
          <w:bCs/>
          <w:color w:val="002060"/>
          <w:sz w:val="16"/>
          <w:szCs w:val="16"/>
        </w:rPr>
      </w:pPr>
      <w:r w:rsidRPr="00DE096C">
        <w:rPr>
          <w:bCs/>
          <w:color w:val="002060"/>
          <w:sz w:val="16"/>
          <w:szCs w:val="16"/>
        </w:rPr>
        <w:t xml:space="preserve">На дивизию линейных кораблей возлагалось дальнее прикрытие минно-заградительной операции проводимой силами мобилизованных заградителей на подступах к Владивостоку. Практически это охранение сводилось к выдвижению линейных кораблей на 100 миль к юго-юго-востоку от острова Русский на все время, пока минные заградители будут выполнять свои работы, причем, в случае появления неприятеля, на дивизию возлагалась обязанность не допускать его до кромки минных заграждений. Если же это были бы главные силы противника, то дивизия должна была отступать к кромке минных полей, стараясь своим маневрированием выиграть как можно больше времени. По окончании работ заградителей и минной дивизии дивизия линейных кораблей уходит в пролив Босфор восточный, где становится по специальной диспозиции, принимая все меры охранения и находясь в полной готовности к немедленному выходу на позицию. При этом предполагается, что 1-я бригада выходит для прикрытия западного фланга позиции, а 2-я бригада восточного. Флагман остается в резерве. При наступлении противника на позицию бригада заблаговременно выходит к намеченным рубежам маневрирования и, находясь позади минного заграждения, принимает решительный бой. После выполнения мероприятий по обеспечению обороноспособности крепости Владивосток, дивизию линейных кораблей планировалось использовать, кроме целей обороны крепости, для дальнего прикрытия наступательных минно-заградительных операций и активных действий крейсерско-миноносных сил. В случае стремления высадить на подступах к Владивостоку неприятельский десант предполагалось использовать всю дивизию в ходе совместной операции сил флота по уничтожению десантных транспортов, согласно отдельного плана. </w:t>
      </w:r>
    </w:p>
    <w:p w14:paraId="5960D422" w14:textId="77777777" w:rsidR="000A6A9B" w:rsidRPr="00DE096C" w:rsidRDefault="000A6A9B" w:rsidP="00D45A46">
      <w:pPr>
        <w:jc w:val="both"/>
        <w:rPr>
          <w:bCs/>
          <w:color w:val="002060"/>
          <w:sz w:val="16"/>
          <w:szCs w:val="16"/>
        </w:rPr>
      </w:pPr>
      <w:r w:rsidRPr="00DE096C">
        <w:rPr>
          <w:bCs/>
          <w:color w:val="002060"/>
          <w:sz w:val="16"/>
          <w:szCs w:val="16"/>
        </w:rPr>
        <w:t xml:space="preserve">На 1-ю бригаду крейсеров и лидер минной дивизии, как на самые быстроходные крейсера, в период выполнения минно-заградительной операции на подступах к Владивостоку возлагалось развертывание разведочной завесы на удалении 200-250 миль к югу и к юго-востоку от острова Русский и поддержание там возможно большей бдительности, дабы заблаговременно обнаружить противника. Основной задачей разведочной завесы крейсеров являлось обнаружение главных сил противника. Однако задача эта являлась чрезвычайно трудной, особенно имея в виду, что сначала могли появиться броненосные крейсера. Крейсерам вменялось в обязанность не допустить легкие крейсера и миноносцы неприятеля в район работы минных заградителей, не отвлекаясь, однако, от своей основной задачи; что же касается броненосных крейсеров, противника, то бригаде вменялось в обязанность по возможности путем маневрирования и боя на больших дистанциях затруднить их продвижение, не принимая здесь решительного столкновения; наконец, в случае невозможности удержаться на линии завесы, а также в случае появления главных сил противника крейсера должны медленно отходить навстречу дивизии линейных кораблей и 3-й бригаде крейсеров, не теряя связи с неприятелем. В случае наступления последнего к позиции бригаде вменялось в обязанность, перейдя в районы безопасного маневрирования под защиту береговых батарей, совместно с главными силами флота принять решительный бой с противником. В течение всей разведывательной операции крейсера должны были находиться в самой тесной связи с командованием, главными силами флота, а также с фланговыми наблюдательными постами. После выполнения минно-заградительной операции крейсера планировали использовать раздельно для выполнения набеговых операций и активных минных постановок в прилегающих к Японии водах, с каковой целью полежали формированию 4 маневренных группы: </w:t>
      </w:r>
    </w:p>
    <w:p w14:paraId="72B70C84" w14:textId="77777777" w:rsidR="000A6A9B" w:rsidRPr="00DE096C" w:rsidRDefault="000A6A9B" w:rsidP="00D45A46">
      <w:pPr>
        <w:jc w:val="both"/>
        <w:rPr>
          <w:bCs/>
          <w:color w:val="002060"/>
          <w:sz w:val="16"/>
          <w:szCs w:val="16"/>
        </w:rPr>
      </w:pPr>
      <w:r w:rsidRPr="00DE096C">
        <w:rPr>
          <w:bCs/>
          <w:color w:val="002060"/>
          <w:sz w:val="16"/>
          <w:szCs w:val="16"/>
        </w:rPr>
        <w:t xml:space="preserve">Крейсера "Светлана" и 4-й ДЭМ - должны были, используя в качестве пунктов базирования Корсаков пост и Николаевск, проводить активные минные постановки на подходах к крупным портам острова Хоккайдо, действуя согласно призовому праву в отношении нейтральных судов, имеющих на борту военную контрабанду, уничтожать британские и японские торговые суда, а также японские каботажные и рыболовные суда. В случае встречи с военными судами противника предполагалось, используя преимущество в ходе в случае своего огневого превосходства уничтожать противника, либо отходить в случае превосходства противника. Порядок действий в случае встречи с линейным крейсером "Конго" изложен в приказе командующего флота "О действиях крейсерско-миноносных сил в особых ситуациях". </w:t>
      </w:r>
    </w:p>
    <w:p w14:paraId="736820EE" w14:textId="77777777" w:rsidR="000A6A9B" w:rsidRPr="00DE096C" w:rsidRDefault="000A6A9B" w:rsidP="00D45A46">
      <w:pPr>
        <w:jc w:val="both"/>
        <w:rPr>
          <w:bCs/>
          <w:color w:val="002060"/>
          <w:sz w:val="16"/>
          <w:szCs w:val="16"/>
        </w:rPr>
      </w:pPr>
      <w:r w:rsidRPr="00DE096C">
        <w:rPr>
          <w:bCs/>
          <w:color w:val="002060"/>
          <w:sz w:val="16"/>
          <w:szCs w:val="16"/>
        </w:rPr>
        <w:t xml:space="preserve">Крейсера "Рюрик", "Адмирал Нахимов", "Адмирал Корнилов" и 1-й, 2-й, 3-й ДЭМ соответственно, планировалось использовать у западного побережья Японии (о-ва Кюсю, Хонсю); на ближних подступах, и непосредственно в самом Цусимском проливе; вдоль восточного побережья Кореи - с целью постановки наступательных минных заграждений и минных банок на подходах к крупным портам и военно-морским базам, а также в районах интенсивного судоходства и рыболовства. Помимо осуществления поисковых и набеговых операций, крейсера должны были действовать согласно призовому праву в отношении нейтральных судов имеющих на борту военную контрабанду, уничтожать британские и японские торговые суда, а также японские каботажные и рыболовные суда. В случае встречи с военными судами противника предполагалось, используя преимущество в ходе в случае своего огневого превосходства уничтожать противника либо отходить в случае превосходства противника. </w:t>
      </w:r>
    </w:p>
    <w:p w14:paraId="7CC449C3" w14:textId="77777777" w:rsidR="000A6A9B" w:rsidRPr="00DE096C" w:rsidRDefault="000A6A9B" w:rsidP="00D45A46">
      <w:pPr>
        <w:jc w:val="both"/>
        <w:rPr>
          <w:bCs/>
          <w:color w:val="002060"/>
          <w:sz w:val="16"/>
          <w:szCs w:val="16"/>
        </w:rPr>
      </w:pPr>
      <w:r w:rsidRPr="00DE096C">
        <w:rPr>
          <w:bCs/>
          <w:color w:val="002060"/>
          <w:sz w:val="16"/>
          <w:szCs w:val="16"/>
        </w:rPr>
        <w:lastRenderedPageBreak/>
        <w:t xml:space="preserve">На 2-ю бригаду крейсеров возлагались достаточно ограниченные задачи. Так ей вменялась обязанность во взаимодействии с дивизией линейных кораблей выдвинуться к югу от острова Русский, и, перейдя в подчинение командира дивизии линкоров, оказывать им содействие, в том числе отражая атаки минных сил противника. При необходимости по плану командующего флотом не исключалось использование бригады для выполнения постановок минных банок на подходах к острову Русский. По окончании минно-заградительной операции на бригаду возлагалась задача проведения разведки на удаление до 100 миль от острова Русский, выполнение минно-заградительных операций, в том числе наступательных на больших удалениях от крепости, охрана подступов к крепости от действий крейсерско-миноносных сил противника. В случае стремления высадить на подступах к Владивостоку неприятельский десант предполагалось использовать крейсера совместно с линейными кораблями в ходе совместной операции сил флота по уничтожению десантных транспортов, согласно отдельного плана. </w:t>
      </w:r>
    </w:p>
    <w:p w14:paraId="114EAF0F" w14:textId="77777777" w:rsidR="000A6A9B" w:rsidRPr="00DE096C" w:rsidRDefault="000A6A9B" w:rsidP="00D45A46">
      <w:pPr>
        <w:jc w:val="both"/>
        <w:rPr>
          <w:bCs/>
          <w:color w:val="002060"/>
          <w:sz w:val="16"/>
          <w:szCs w:val="16"/>
        </w:rPr>
      </w:pPr>
      <w:r w:rsidRPr="00DE096C">
        <w:rPr>
          <w:bCs/>
          <w:color w:val="002060"/>
          <w:sz w:val="16"/>
          <w:szCs w:val="16"/>
        </w:rPr>
        <w:t xml:space="preserve">На 3-ю бригаду крейсеров возлагались также достаточно ограниченные задачи. Так ей вменялась обязанность во взаимодействии с дивизией линейных кораблей выдвинуться к югу от острова Русский, и, перейдя в подчинение командира дивизии линкоров оказывать им содействие, в том числе отражая атаки минных сил противника. При необходимости по плану командующего флотом не исключалось использование бригады для выполнения постановок минных банок на подходах к острову Русский. По окончании минно-заградительной операции бригаду предполагалось использовать для охраны подступов к крепости от действий крейсерско-миноносных сил противника и противостояние совместно с дивизией линкоров главным силам противника, для дальнего прикрытия наступательных минно-заградительных операций и активных действий крейсерско-миноносных сил. В случае стремления высадить на подступах к Владивостоку неприятельский десант предполагалось использовать крейсера совместно с линейными кораблями в ходе совместной операции сил флота по уничтожению десантных транспортов, согласно отдельного плана. </w:t>
      </w:r>
    </w:p>
    <w:p w14:paraId="129E979C" w14:textId="77777777" w:rsidR="000A6A9B" w:rsidRPr="00DE096C" w:rsidRDefault="000A6A9B" w:rsidP="00D45A46">
      <w:pPr>
        <w:jc w:val="both"/>
        <w:rPr>
          <w:bCs/>
          <w:color w:val="002060"/>
          <w:sz w:val="16"/>
          <w:szCs w:val="16"/>
        </w:rPr>
      </w:pPr>
      <w:r w:rsidRPr="00DE096C">
        <w:rPr>
          <w:bCs/>
          <w:color w:val="002060"/>
          <w:sz w:val="16"/>
          <w:szCs w:val="16"/>
        </w:rPr>
        <w:t xml:space="preserve">На минную дивизию возлагались следующие задачи: несение дозорной службы, сопровождение линейных кораблей, крейсеров и минных заградителей, выполнение отдельных минных постановок в прибрежных водах. В зависимости от образа действий противника, на дивизию могла быть возложена задача атаковать неприятеля ночью торпедами при подходе его к крепости. Кроме того, во время самого сражения на подступах к Владивостоку дивизия, смотря по обстоятельствам, должна была быть использована для противодействия миноносцам противника, для обстрела и уничтожения его тралящего каравана и для других целей. Кроме того, для активных действий против неприятеля совместно со своими крейсерами планировалось выделить 1-4 -е дивизионы эсминцев. 8-й дивизион эсминцев предполагалось в случае необходимости перевести в Корсаков пост, с целью обеспечения постановки вспомогательными заградителями минных заграждений в б. Анива и на подходах к м.Крильон и Анива. После чего дивизиону ставилась задача по несению дозорной службы в Лаперузовом проливе. </w:t>
      </w:r>
    </w:p>
    <w:p w14:paraId="692B083F" w14:textId="77777777" w:rsidR="000A6A9B" w:rsidRPr="00DE096C" w:rsidRDefault="000A6A9B" w:rsidP="00D45A46">
      <w:pPr>
        <w:jc w:val="both"/>
        <w:rPr>
          <w:bCs/>
          <w:color w:val="002060"/>
          <w:sz w:val="16"/>
          <w:szCs w:val="16"/>
        </w:rPr>
      </w:pPr>
      <w:r w:rsidRPr="00DE096C">
        <w:rPr>
          <w:bCs/>
          <w:color w:val="002060"/>
          <w:sz w:val="16"/>
          <w:szCs w:val="16"/>
        </w:rPr>
        <w:t xml:space="preserve">Бригада заградителей формировалась по мобилизации и состояла из вспомогательных судов флота оборудованных минными рельсами для постановки минных заграждений. На бригаду ставилась задача постановки оборонительных минных заграждений на подходах к Владивостоку, Николаевску, Корсакову посту. </w:t>
      </w:r>
    </w:p>
    <w:p w14:paraId="32E84B27" w14:textId="77777777" w:rsidR="000A6A9B" w:rsidRPr="00DE096C" w:rsidRDefault="000A6A9B" w:rsidP="00D45A46">
      <w:pPr>
        <w:jc w:val="both"/>
        <w:rPr>
          <w:bCs/>
          <w:color w:val="002060"/>
          <w:sz w:val="16"/>
          <w:szCs w:val="16"/>
        </w:rPr>
      </w:pPr>
      <w:r w:rsidRPr="00DE096C">
        <w:rPr>
          <w:bCs/>
          <w:color w:val="002060"/>
          <w:sz w:val="16"/>
          <w:szCs w:val="16"/>
        </w:rPr>
        <w:t xml:space="preserve">На бригаду подводных лодок возлагалась задача прикрытия минно-заградительной операции, скрытная постановка минных банок на входных фарватерах японских военно-морских баз, ведение разведки на подступах к ним, поиск и уничтожение неприятельских военных судов. </w:t>
      </w:r>
    </w:p>
    <w:p w14:paraId="1497F116" w14:textId="77777777" w:rsidR="000A6A9B" w:rsidRPr="00DE096C" w:rsidRDefault="000A6A9B" w:rsidP="00D45A46">
      <w:pPr>
        <w:jc w:val="both"/>
        <w:rPr>
          <w:bCs/>
          <w:color w:val="002060"/>
          <w:sz w:val="16"/>
          <w:szCs w:val="16"/>
        </w:rPr>
      </w:pPr>
      <w:r w:rsidRPr="00DE096C">
        <w:rPr>
          <w:bCs/>
          <w:color w:val="002060"/>
          <w:sz w:val="16"/>
          <w:szCs w:val="16"/>
        </w:rPr>
        <w:t xml:space="preserve">На отряд пограничных судов в случае мобилизации возлагалась задача принять на борт и установить артиллерию, минные аппараты, запасы и укомплектоваться. После чего уже вспомогательные крейсера подлежали посылке в океан для действий согласно призовому праву в отношении нейтральных судов имеющих на борту военную контрабанду, уничтожения британских и японских торговых судов, а также японских каботажных и рыболовных судов на торговых путях, а также в прибрежных водах Японии. </w:t>
      </w:r>
    </w:p>
    <w:p w14:paraId="24088B45" w14:textId="77777777" w:rsidR="000A6A9B" w:rsidRPr="00DE096C" w:rsidRDefault="000A6A9B" w:rsidP="00D45A46">
      <w:pPr>
        <w:jc w:val="both"/>
        <w:rPr>
          <w:bCs/>
          <w:color w:val="002060"/>
          <w:sz w:val="16"/>
          <w:szCs w:val="16"/>
        </w:rPr>
      </w:pPr>
      <w:r w:rsidRPr="00DE096C">
        <w:rPr>
          <w:bCs/>
          <w:color w:val="002060"/>
          <w:sz w:val="16"/>
          <w:szCs w:val="16"/>
        </w:rPr>
        <w:t xml:space="preserve">На службу связи флота возлагалась задача по перехвату и дешифровании переговоров Японского и Британского флотов с целью анализа, выявления закономерностей и прогнозирования выходов в море и проведения последними наступательных операций. </w:t>
      </w:r>
    </w:p>
    <w:p w14:paraId="76D3AB55" w14:textId="77777777" w:rsidR="000A6A9B" w:rsidRPr="00DE096C" w:rsidRDefault="000A6A9B" w:rsidP="00D45A46">
      <w:pPr>
        <w:jc w:val="both"/>
        <w:rPr>
          <w:bCs/>
          <w:color w:val="002060"/>
          <w:sz w:val="16"/>
          <w:szCs w:val="16"/>
        </w:rPr>
      </w:pPr>
      <w:r w:rsidRPr="00DE096C">
        <w:rPr>
          <w:bCs/>
          <w:color w:val="002060"/>
          <w:sz w:val="16"/>
          <w:szCs w:val="16"/>
        </w:rPr>
        <w:t xml:space="preserve">Порт-Артур </w:t>
      </w:r>
    </w:p>
    <w:p w14:paraId="3160D0D8" w14:textId="77777777" w:rsidR="000A6A9B" w:rsidRPr="00DE096C" w:rsidRDefault="000A6A9B" w:rsidP="00D45A46">
      <w:pPr>
        <w:jc w:val="both"/>
        <w:rPr>
          <w:bCs/>
          <w:color w:val="002060"/>
          <w:sz w:val="16"/>
          <w:szCs w:val="16"/>
        </w:rPr>
      </w:pPr>
      <w:r w:rsidRPr="00DE096C">
        <w:rPr>
          <w:bCs/>
          <w:color w:val="002060"/>
          <w:sz w:val="16"/>
          <w:szCs w:val="16"/>
        </w:rPr>
        <w:t xml:space="preserve">На бригаду береговой обороны возлагались следующие задачи: оборона морской крепости Порт-Артур во взаимодействии с береговыми батареями и крейсерами и минной бригадой. Оказание артиллерийской поддержки своим военно-сухопутным силам на флангах Цзинчжоуской укрепленной линии. Пресечение попыток неприятельских сил высадить десанты непосредственно на территории Квантунского полуострова. </w:t>
      </w:r>
    </w:p>
    <w:p w14:paraId="6A38B6C6" w14:textId="77777777" w:rsidR="000A6A9B" w:rsidRPr="00DE096C" w:rsidRDefault="000A6A9B" w:rsidP="00D45A46">
      <w:pPr>
        <w:jc w:val="both"/>
        <w:rPr>
          <w:bCs/>
          <w:color w:val="002060"/>
          <w:sz w:val="16"/>
          <w:szCs w:val="16"/>
        </w:rPr>
      </w:pPr>
      <w:r w:rsidRPr="00DE096C">
        <w:rPr>
          <w:bCs/>
          <w:color w:val="002060"/>
          <w:sz w:val="16"/>
          <w:szCs w:val="16"/>
        </w:rPr>
        <w:t xml:space="preserve">На бригаду крейсеров возлагались достаточно ограниченные задачи. Так ей вменялась обязанность во взаимодействии с бригадой береговой обороны прикрыть проведение силами вспомогательных минных заградителей и минной бригады проведение оборонительных минных постановок. Далее планировалось силами бригады в сопровождении эсминцев поставить наступательные минные заграждения в устье р. Ялу и у Бицзыво. После чего планировалось использовать крейсера для охраны подстпов к крепости, обеспечения развертывания и возвращения легких сил и при необходимости проведения минных постановок. Из состава бригады крейсеров и минной бригады формировалась быстроходная маневренная группа в составе крейсера "Боярин" и 9 ДЭМ для выполнения разведки, наступательных заградительных операций и поисковых операций. </w:t>
      </w:r>
    </w:p>
    <w:p w14:paraId="1CC8AEA3" w14:textId="77777777" w:rsidR="000A6A9B" w:rsidRPr="00DE096C" w:rsidRDefault="000A6A9B" w:rsidP="00D45A46">
      <w:pPr>
        <w:jc w:val="both"/>
        <w:rPr>
          <w:bCs/>
          <w:color w:val="002060"/>
          <w:sz w:val="16"/>
          <w:szCs w:val="16"/>
        </w:rPr>
      </w:pPr>
      <w:r w:rsidRPr="00DE096C">
        <w:rPr>
          <w:bCs/>
          <w:color w:val="002060"/>
          <w:sz w:val="16"/>
          <w:szCs w:val="16"/>
        </w:rPr>
        <w:t xml:space="preserve">На минную бригаду возлагались следующие задачи: несение дозорной службы, сопровождение крейсеров и броненосцев береговой обороны, выполнение как оборонительных, так и наступательных отдельных минных постановок. В зависимости от образа действий противника, на бригаду могла быть возложена задача атаковать неприятеля ночью торпедами при его подходе к крепости. Кроме того, во время самого сражения на подступах к Порт-Артуру бригада, смотря по обстоятельствам, должна была быть использована для противодействия миноносцам противника, для обстрела и уничтожения его тралящего каравана и для других целей. Кроме того, для активных действий против неприятеля совместно с быстроходным крейсером "Боярин" планировалось выделить 9-й дивизион эсминцев. </w:t>
      </w:r>
    </w:p>
    <w:p w14:paraId="59E05B7C" w14:textId="77777777" w:rsidR="000A6A9B" w:rsidRPr="00DE096C" w:rsidRDefault="000A6A9B" w:rsidP="00D45A46">
      <w:pPr>
        <w:jc w:val="both"/>
        <w:rPr>
          <w:bCs/>
          <w:color w:val="002060"/>
          <w:sz w:val="16"/>
          <w:szCs w:val="16"/>
        </w:rPr>
      </w:pPr>
      <w:r w:rsidRPr="00DE096C">
        <w:rPr>
          <w:bCs/>
          <w:color w:val="002060"/>
          <w:sz w:val="16"/>
          <w:szCs w:val="16"/>
        </w:rPr>
        <w:t xml:space="preserve">На дивизион подводных лодок возлагалась задача обороны крепости путем проведения минных атак против военных и транспортных судов противника. Не исключалось и использование подводных лодок в наступательных действиях, но с целью сохранения ограниченного моторесурса предполагалось буксировать лодки миноносцами к районам проведения атак. </w:t>
      </w:r>
    </w:p>
    <w:p w14:paraId="0F228DB3" w14:textId="77777777" w:rsidR="000A6A9B" w:rsidRPr="00DE096C" w:rsidRDefault="000A6A9B" w:rsidP="00D45A46">
      <w:pPr>
        <w:jc w:val="both"/>
        <w:rPr>
          <w:bCs/>
          <w:color w:val="002060"/>
          <w:sz w:val="16"/>
          <w:szCs w:val="16"/>
        </w:rPr>
      </w:pPr>
      <w:r w:rsidRPr="00DE096C">
        <w:rPr>
          <w:bCs/>
          <w:color w:val="002060"/>
          <w:sz w:val="16"/>
          <w:szCs w:val="16"/>
        </w:rPr>
        <w:t xml:space="preserve">Германские военно-морские силы на Дальнем Востоке </w:t>
      </w:r>
    </w:p>
    <w:p w14:paraId="3BA2C3D9" w14:textId="77777777" w:rsidR="000A6A9B" w:rsidRPr="00DE096C" w:rsidRDefault="000A6A9B" w:rsidP="00D45A46">
      <w:pPr>
        <w:jc w:val="both"/>
        <w:rPr>
          <w:bCs/>
          <w:color w:val="002060"/>
          <w:sz w:val="16"/>
          <w:szCs w:val="16"/>
        </w:rPr>
      </w:pPr>
      <w:r w:rsidRPr="00DE096C">
        <w:rPr>
          <w:bCs/>
          <w:color w:val="002060"/>
          <w:sz w:val="16"/>
          <w:szCs w:val="16"/>
        </w:rPr>
        <w:t xml:space="preserve">Согласно русско-германским морским соглашениям в случае угрозы начала военных действий предполагался переход германских сил под оперативный контроль командующего Тихоокеанским флотом. При этом для пришедших в 1913 году на русский Дальний восток 5 линкоров-додредноутов типа "Брауншвейг" была подготовлена для стоянки б.Уллисс. Использовать линкоры предполагалось в качестве 3-й бригады эскадры линейных кораблей. Крейсерская же эскадра оставалась в Циндао, так как в случае угрозы возникновения боевых действий, крейсера предстояло использовать против вражеских коммуникаций. Для обеспечения бесперебойной связи и управления командующему флота, командирам дивизии и бригад линейных кораблей и броненосных крейсеров, командирам бригад крейсеров и дивизионов миноносцев командируются офицеры германского флота в качестве офицеров связи. Русские офицеры связи командируются в штабы командующего германской эскадры и на все линкоры и крейсера. В случае возникновения угрозы военных действий русско-германские силы на Дальнем Востоке переходят на использования специального шифра "Ост". </w:t>
      </w:r>
    </w:p>
    <w:p w14:paraId="6E404208" w14:textId="77777777" w:rsidR="000A6A9B" w:rsidRPr="00DE096C" w:rsidRDefault="000A6A9B" w:rsidP="00D45A46">
      <w:pPr>
        <w:jc w:val="both"/>
        <w:rPr>
          <w:bCs/>
          <w:color w:val="002060"/>
          <w:sz w:val="16"/>
          <w:szCs w:val="16"/>
        </w:rPr>
      </w:pPr>
      <w:r w:rsidRPr="00DE096C">
        <w:rPr>
          <w:bCs/>
          <w:color w:val="002060"/>
          <w:sz w:val="16"/>
          <w:szCs w:val="16"/>
        </w:rPr>
        <w:t xml:space="preserve">Заключение </w:t>
      </w:r>
    </w:p>
    <w:p w14:paraId="323223D2" w14:textId="77777777" w:rsidR="000A6A9B" w:rsidRPr="00DE096C" w:rsidRDefault="000A6A9B" w:rsidP="00D45A46">
      <w:pPr>
        <w:jc w:val="both"/>
        <w:rPr>
          <w:bCs/>
          <w:color w:val="002060"/>
          <w:sz w:val="16"/>
          <w:szCs w:val="16"/>
        </w:rPr>
      </w:pPr>
      <w:r w:rsidRPr="00DE096C">
        <w:rPr>
          <w:bCs/>
          <w:color w:val="002060"/>
          <w:sz w:val="16"/>
          <w:szCs w:val="16"/>
        </w:rPr>
        <w:t xml:space="preserve">Планы стратегического развертывания и использования Тихоокеанского флота опирались, прежде всего, на опыт победоносной русско-японской войны и предусматривали в целом активный образ действий. Формулируя задачи флота, морской генеральный штаб особо указывал, что главной задачей является принуждение Японии к миру на условии статуса кво. Тем не менее, следует отметить, что в рамках плана предусматривались достаточно жесткие блокадные действия сил Тихоокеанского флота и германских сил на Дальнем востоке, ставящие себе целью провоцирование голода и беспорядков в японской метрополии. Опорой же для операций русско-германских сил становилась морская крепость Владивосток, в укрепление которой были вложены за прошедшие с момента окончании русско-японской войны 10 лет, колоссальные средства. Достаточно сказать, что именно на острове Русский была установлена единственная на тот момент в России 14" береговая батарея. Кроме того, фланги крепости были усилены 12" башенными батареями. Получила развитие и гидроавиция. Так к концу 1913 года была создана гидроавиастанция под Владивостоком. </w:t>
      </w:r>
    </w:p>
    <w:p w14:paraId="4894ECF4" w14:textId="77777777" w:rsidR="000A6A9B" w:rsidRPr="00DE096C" w:rsidRDefault="000A6A9B" w:rsidP="00D45A46">
      <w:pPr>
        <w:jc w:val="both"/>
        <w:rPr>
          <w:bCs/>
          <w:color w:val="002060"/>
          <w:sz w:val="16"/>
          <w:szCs w:val="16"/>
        </w:rPr>
      </w:pPr>
      <w:r w:rsidRPr="00DE096C">
        <w:rPr>
          <w:bCs/>
          <w:color w:val="002060"/>
          <w:sz w:val="16"/>
          <w:szCs w:val="16"/>
        </w:rPr>
        <w:t>В заключение стоит добавить, что, несмотря на устарелость кораблей, уровень боеготовности продолжал оставаться традиционно очень высоким. Так Тихоокеанцы наравне с Черноморцами, смогли освоить эскадренную стрельбу на большие дистанции с управлением огнем бригады с одного корабля. Начиная с 1906 года, на флоте практиковалось круглогодичное плавание. К сожалению, основные усилия по наращиванию сил флота были направлены на Балтику и Черное море. Тем не менее, за 2-3 года перед войной, в состав ТОФа вошли 1 линейный крейсер, 4 крейсера, 14 быстроходных эсминцев и 6 подводных лодок. Что и позволило к началу войны спланировать и потом и провести серию наступательных операций (12284).</w:t>
      </w:r>
    </w:p>
    <w:p w14:paraId="1453394A" w14:textId="77777777" w:rsidR="000A6A9B" w:rsidRPr="00DE096C" w:rsidRDefault="000A6A9B" w:rsidP="00D45A46">
      <w:pPr>
        <w:jc w:val="both"/>
        <w:rPr>
          <w:bCs/>
          <w:color w:val="002060"/>
          <w:sz w:val="16"/>
          <w:szCs w:val="16"/>
        </w:rPr>
      </w:pPr>
    </w:p>
    <w:p w14:paraId="5F9155E9" w14:textId="77777777" w:rsidR="000A6A9B" w:rsidRPr="00DE096C" w:rsidRDefault="000A6A9B" w:rsidP="00D45A46">
      <w:pPr>
        <w:shd w:val="clear" w:color="auto" w:fill="FFFFFF"/>
        <w:jc w:val="both"/>
        <w:rPr>
          <w:bCs/>
          <w:i/>
          <w:color w:val="002060"/>
          <w:sz w:val="16"/>
          <w:szCs w:val="16"/>
        </w:rPr>
      </w:pPr>
      <w:r w:rsidRPr="00DE096C">
        <w:rPr>
          <w:bCs/>
          <w:i/>
          <w:color w:val="002060"/>
          <w:sz w:val="16"/>
          <w:szCs w:val="16"/>
        </w:rPr>
        <w:t>Авиация:</w:t>
      </w:r>
    </w:p>
    <w:p w14:paraId="6599A448" w14:textId="77777777" w:rsidR="000A6A9B" w:rsidRPr="00DE096C" w:rsidRDefault="000A6A9B" w:rsidP="00D45A46">
      <w:pPr>
        <w:shd w:val="clear" w:color="auto" w:fill="FFFFFF"/>
        <w:jc w:val="both"/>
        <w:rPr>
          <w:bCs/>
          <w:i/>
          <w:color w:val="002060"/>
          <w:sz w:val="16"/>
          <w:szCs w:val="16"/>
        </w:rPr>
      </w:pPr>
    </w:p>
    <w:p w14:paraId="524059CA" w14:textId="77777777" w:rsidR="000A6A9B" w:rsidRPr="00DE096C" w:rsidRDefault="000A6A9B" w:rsidP="00D45A46">
      <w:pPr>
        <w:jc w:val="both"/>
        <w:rPr>
          <w:bCs/>
          <w:color w:val="002060"/>
          <w:sz w:val="16"/>
          <w:szCs w:val="16"/>
        </w:rPr>
      </w:pPr>
      <w:r w:rsidRPr="00DE096C">
        <w:rPr>
          <w:bCs/>
          <w:color w:val="002060"/>
          <w:sz w:val="16"/>
          <w:szCs w:val="16"/>
        </w:rPr>
        <w:t>В мае 1914 г., Ленин употребляет выражение "век аэропланов" и отмечает, что в России "сильнее противоречие века аэропланов, электричества, автомобилей и "зимней наемки" или "испольщины" (21417).</w:t>
      </w:r>
    </w:p>
    <w:p w14:paraId="09C168FC" w14:textId="77777777" w:rsidR="000A6A9B" w:rsidRPr="00DE096C" w:rsidRDefault="000A6A9B" w:rsidP="00D45A46">
      <w:pPr>
        <w:jc w:val="both"/>
        <w:rPr>
          <w:bCs/>
          <w:color w:val="002060"/>
          <w:sz w:val="16"/>
          <w:szCs w:val="16"/>
        </w:rPr>
      </w:pPr>
    </w:p>
    <w:p w14:paraId="5BE553C7" w14:textId="77777777" w:rsidR="000A6A9B" w:rsidRPr="00DE096C" w:rsidRDefault="000A6A9B" w:rsidP="00D45A46">
      <w:pPr>
        <w:shd w:val="clear" w:color="auto" w:fill="FFFFFF"/>
        <w:jc w:val="both"/>
        <w:rPr>
          <w:bCs/>
          <w:color w:val="002060"/>
          <w:sz w:val="16"/>
          <w:szCs w:val="16"/>
        </w:rPr>
      </w:pPr>
      <w:r w:rsidRPr="00DE096C">
        <w:rPr>
          <w:bCs/>
          <w:color w:val="002060"/>
          <w:sz w:val="16"/>
          <w:szCs w:val="16"/>
        </w:rPr>
        <w:t>В мае 1914 Главное управление Генерального штаба разослало во все военные округи директиву, запрещающую всем в ее иным летчи</w:t>
      </w:r>
      <w:r w:rsidRPr="00DE096C">
        <w:rPr>
          <w:bCs/>
          <w:color w:val="002060"/>
          <w:sz w:val="16"/>
          <w:szCs w:val="16"/>
        </w:rPr>
        <w:softHyphen/>
        <w:t>кам "производить мертвые петли и иные подобные сему упражнения чисто спортивного характера" (</w:t>
      </w:r>
      <w:r w:rsidRPr="00DE096C">
        <w:rPr>
          <w:bCs/>
          <w:smallCaps/>
          <w:color w:val="002060"/>
          <w:sz w:val="16"/>
          <w:szCs w:val="16"/>
        </w:rPr>
        <w:t xml:space="preserve">цгвиа; </w:t>
      </w:r>
      <w:r w:rsidRPr="00DE096C">
        <w:rPr>
          <w:bCs/>
          <w:color w:val="002060"/>
          <w:sz w:val="16"/>
          <w:szCs w:val="16"/>
        </w:rPr>
        <w:t>ф.2000, оп. 3, д. 297, л. 43).</w:t>
      </w:r>
    </w:p>
    <w:p w14:paraId="07CBD708" w14:textId="77777777" w:rsidR="000A6A9B" w:rsidRPr="00DE096C" w:rsidRDefault="000A6A9B" w:rsidP="00D45A46">
      <w:pPr>
        <w:shd w:val="clear" w:color="auto" w:fill="FFFFFF"/>
        <w:jc w:val="both"/>
        <w:rPr>
          <w:bCs/>
          <w:color w:val="002060"/>
          <w:sz w:val="16"/>
          <w:szCs w:val="16"/>
        </w:rPr>
      </w:pPr>
    </w:p>
    <w:p w14:paraId="32050A4D" w14:textId="77777777" w:rsidR="000A6A9B" w:rsidRPr="00DE096C" w:rsidRDefault="000A6A9B" w:rsidP="00D45A46">
      <w:pPr>
        <w:jc w:val="both"/>
        <w:rPr>
          <w:bCs/>
          <w:color w:val="002060"/>
          <w:sz w:val="16"/>
          <w:szCs w:val="16"/>
        </w:rPr>
      </w:pPr>
      <w:r w:rsidRPr="00DE096C">
        <w:rPr>
          <w:bCs/>
          <w:color w:val="002060"/>
          <w:sz w:val="16"/>
          <w:szCs w:val="16"/>
        </w:rPr>
        <w:t>В мае 1914 г. Главное управление генерального штаба разослало во все военные округа директиву запрещающую всем военным летчикам "про</w:t>
      </w:r>
      <w:r w:rsidRPr="00DE096C">
        <w:rPr>
          <w:bCs/>
          <w:color w:val="002060"/>
          <w:sz w:val="16"/>
          <w:szCs w:val="16"/>
        </w:rPr>
        <w:softHyphen/>
        <w:t>изводить мертвые петли и иные подобные сему упражнения чисто спортивного характера ". Как видно, военное ведомство еще не оценило качения высшего пилотажа.</w:t>
      </w:r>
    </w:p>
    <w:p w14:paraId="0668EEE3" w14:textId="77777777" w:rsidR="000A6A9B" w:rsidRPr="00DE096C" w:rsidRDefault="000A6A9B" w:rsidP="00D45A46">
      <w:pPr>
        <w:jc w:val="both"/>
        <w:rPr>
          <w:bCs/>
          <w:color w:val="002060"/>
          <w:sz w:val="16"/>
          <w:szCs w:val="16"/>
        </w:rPr>
      </w:pPr>
      <w:r w:rsidRPr="00DE096C">
        <w:rPr>
          <w:bCs/>
          <w:color w:val="002060"/>
          <w:sz w:val="16"/>
          <w:szCs w:val="16"/>
        </w:rPr>
        <w:t>/ЦГВИА, ф. 2000, оп. 3, Д. 297, Л. 43/ (23320).</w:t>
      </w:r>
    </w:p>
    <w:p w14:paraId="02A135D0" w14:textId="77777777" w:rsidR="000A6A9B" w:rsidRPr="00DE096C" w:rsidRDefault="000A6A9B" w:rsidP="00D45A46">
      <w:pPr>
        <w:jc w:val="both"/>
        <w:rPr>
          <w:bCs/>
          <w:color w:val="002060"/>
          <w:sz w:val="16"/>
          <w:szCs w:val="16"/>
        </w:rPr>
      </w:pPr>
    </w:p>
    <w:p w14:paraId="7D9A1AA4" w14:textId="77777777" w:rsidR="000A6A9B" w:rsidRPr="00DE096C" w:rsidRDefault="000A6A9B" w:rsidP="00D45A46">
      <w:pPr>
        <w:shd w:val="clear" w:color="auto" w:fill="FFFFFF"/>
        <w:jc w:val="both"/>
        <w:rPr>
          <w:bCs/>
          <w:color w:val="002060"/>
          <w:sz w:val="16"/>
          <w:szCs w:val="16"/>
        </w:rPr>
      </w:pPr>
      <w:r w:rsidRPr="00DE096C">
        <w:rPr>
          <w:bCs/>
          <w:color w:val="002060"/>
          <w:sz w:val="16"/>
          <w:szCs w:val="16"/>
        </w:rPr>
        <w:t>В мае 1914 г., авиационный отдел Офицер</w:t>
      </w:r>
      <w:r w:rsidRPr="00DE096C">
        <w:rPr>
          <w:bCs/>
          <w:color w:val="002060"/>
          <w:sz w:val="16"/>
          <w:szCs w:val="16"/>
        </w:rPr>
        <w:softHyphen/>
        <w:t>ской воздухоплавательной школы был превращен в самостоя</w:t>
      </w:r>
      <w:r w:rsidRPr="00DE096C">
        <w:rPr>
          <w:bCs/>
          <w:color w:val="002060"/>
          <w:sz w:val="16"/>
          <w:szCs w:val="16"/>
        </w:rPr>
        <w:softHyphen/>
        <w:t>тельное учебное заведение — военную авиационную школу, ко</w:t>
      </w:r>
      <w:r w:rsidRPr="00DE096C">
        <w:rPr>
          <w:bCs/>
          <w:color w:val="002060"/>
          <w:sz w:val="16"/>
          <w:szCs w:val="16"/>
        </w:rPr>
        <w:softHyphen/>
        <w:t>торая разместилась в г. Гатчине (278).</w:t>
      </w:r>
    </w:p>
    <w:p w14:paraId="1BFCFA9F" w14:textId="77777777" w:rsidR="000A6A9B" w:rsidRPr="00DE096C" w:rsidRDefault="000A6A9B" w:rsidP="00D45A46">
      <w:pPr>
        <w:shd w:val="clear" w:color="auto" w:fill="FFFFFF"/>
        <w:jc w:val="both"/>
        <w:rPr>
          <w:bCs/>
          <w:color w:val="002060"/>
          <w:sz w:val="16"/>
          <w:szCs w:val="16"/>
        </w:rPr>
      </w:pPr>
    </w:p>
    <w:p w14:paraId="532765AD" w14:textId="77777777" w:rsidR="000A6A9B" w:rsidRPr="00DE096C" w:rsidRDefault="000A6A9B" w:rsidP="00D45A46">
      <w:pPr>
        <w:jc w:val="both"/>
        <w:rPr>
          <w:bCs/>
          <w:color w:val="002060"/>
          <w:sz w:val="16"/>
          <w:szCs w:val="16"/>
        </w:rPr>
      </w:pPr>
      <w:r w:rsidRPr="00DE096C">
        <w:rPr>
          <w:bCs/>
          <w:color w:val="002060"/>
          <w:sz w:val="16"/>
          <w:szCs w:val="16"/>
        </w:rPr>
        <w:t xml:space="preserve">В мае 1914 г. Пегу прибыл в Петербург для демонстрации «мертвой петли». В ответ Нестеров разослал телеграммы в редакции российских газет: </w:t>
      </w:r>
      <w:r w:rsidRPr="00DE096C">
        <w:rPr>
          <w:bCs/>
          <w:i/>
          <w:color w:val="002060"/>
          <w:sz w:val="16"/>
          <w:szCs w:val="16"/>
        </w:rPr>
        <w:t>"Императорскому аэроклубу уже давно необходимо подтвердить, что первую «мертвую петлю» совершил русский летчик…"</w:t>
      </w:r>
    </w:p>
    <w:p w14:paraId="2974755E" w14:textId="77777777" w:rsidR="000A6A9B" w:rsidRPr="00DE096C" w:rsidRDefault="000A6A9B" w:rsidP="00D45A46">
      <w:pPr>
        <w:shd w:val="clear" w:color="auto" w:fill="FFFFFF"/>
        <w:jc w:val="both"/>
        <w:rPr>
          <w:bCs/>
          <w:i/>
          <w:color w:val="002060"/>
          <w:sz w:val="16"/>
          <w:szCs w:val="16"/>
        </w:rPr>
      </w:pPr>
    </w:p>
    <w:p w14:paraId="73C7509E" w14:textId="77777777" w:rsidR="000A6A9B" w:rsidRPr="00DE096C" w:rsidRDefault="000A6A9B" w:rsidP="00D45A46">
      <w:pPr>
        <w:pStyle w:val="2"/>
        <w:spacing w:before="0" w:after="0"/>
        <w:jc w:val="both"/>
        <w:rPr>
          <w:b w:val="0"/>
          <w:bCs/>
          <w:color w:val="002060"/>
          <w:sz w:val="16"/>
          <w:szCs w:val="16"/>
        </w:rPr>
      </w:pPr>
      <w:r w:rsidRPr="00DE096C">
        <w:rPr>
          <w:b w:val="0"/>
          <w:bCs/>
          <w:color w:val="002060"/>
          <w:sz w:val="16"/>
          <w:szCs w:val="16"/>
        </w:rPr>
        <w:t>Май 1914 можно смело назвать месяцем освоения «мертвых петель» русскими летчиками. Вопреки мнению высокого военного начальства, достижение Нестерова утверждалось в жизни по всей России. Самостоятельно научившись, 3 мая в Москве показывал петли А.А.Васильев. После первой же петли следующую он сделал уже с пассажиркой С.Г.Поповой. 4 мая Габер-Влынский сделал более 14 петель в Киеве, Шпицберг летал в Риге, Пегу — в Петербурге и Москве. Пуаре после Москвы добрался до Одессы, где за его полетами наблюдал и, конечно же, завидовал тяжело больной С.Уточкин. Газеты опубликовали «мнение Пуаре о том, что при приемке самолетов необходимым условием надо считать приспособленность последних к фигурным полетам». Писали, «что мнение Пуаре разделяется и нашими летчиками... но больше всего мертвых петель совершил наш выдающийся летчик Адам Мячеславович Габер - Влынский» (15464).</w:t>
      </w:r>
    </w:p>
    <w:p w14:paraId="406CA373" w14:textId="77777777" w:rsidR="000A6A9B" w:rsidRPr="00DE096C" w:rsidRDefault="000A6A9B" w:rsidP="00D45A46">
      <w:pPr>
        <w:pStyle w:val="2"/>
        <w:spacing w:before="0" w:after="0"/>
        <w:jc w:val="both"/>
        <w:rPr>
          <w:b w:val="0"/>
          <w:bCs/>
          <w:color w:val="002060"/>
          <w:sz w:val="16"/>
          <w:szCs w:val="16"/>
        </w:rPr>
      </w:pPr>
    </w:p>
    <w:p w14:paraId="22C75BE7" w14:textId="77777777" w:rsidR="000A6A9B" w:rsidRPr="00DE096C" w:rsidRDefault="000A6A9B" w:rsidP="00D45A46">
      <w:pPr>
        <w:pStyle w:val="16"/>
        <w:shd w:val="clear" w:color="auto" w:fill="auto"/>
        <w:spacing w:before="0" w:line="240" w:lineRule="auto"/>
        <w:ind w:firstLine="0"/>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В мае 1914 г. в Петербурге с огромным успехом прошла IV авиационная неделя, заду</w:t>
      </w:r>
      <w:r w:rsidRPr="00DE096C">
        <w:rPr>
          <w:rFonts w:ascii="Times New Roman" w:hAnsi="Times New Roman" w:cs="Times New Roman"/>
          <w:bCs/>
          <w:color w:val="002060"/>
          <w:sz w:val="16"/>
          <w:szCs w:val="16"/>
        </w:rPr>
        <w:softHyphen/>
        <w:t>манная как бенефис «мёртвой петли». В ней приняли участие, наряду с лучшими россий</w:t>
      </w:r>
      <w:r w:rsidRPr="00DE096C">
        <w:rPr>
          <w:rFonts w:ascii="Times New Roman" w:hAnsi="Times New Roman" w:cs="Times New Roman"/>
          <w:bCs/>
          <w:color w:val="002060"/>
          <w:sz w:val="16"/>
          <w:szCs w:val="16"/>
        </w:rPr>
        <w:softHyphen/>
        <w:t>скими пилотами, и французские пилотажники-виртуозы Ш. Пегу и А. Пуарэ. Все лучшие, кроме Габер-Влынского. Дело в том, что опять иностранцы выступали вне конкурса, и Га</w:t>
      </w:r>
      <w:r w:rsidRPr="00DE096C">
        <w:rPr>
          <w:rFonts w:ascii="Times New Roman" w:hAnsi="Times New Roman" w:cs="Times New Roman"/>
          <w:bCs/>
          <w:color w:val="002060"/>
          <w:sz w:val="16"/>
          <w:szCs w:val="16"/>
        </w:rPr>
        <w:softHyphen/>
        <w:t>бер предпочел «снимать сливки» в провинции (15781).</w:t>
      </w:r>
    </w:p>
    <w:p w14:paraId="551D80B0" w14:textId="77777777" w:rsidR="000A6A9B" w:rsidRPr="00DE096C" w:rsidRDefault="000A6A9B" w:rsidP="00D45A46">
      <w:pPr>
        <w:pStyle w:val="16"/>
        <w:shd w:val="clear" w:color="auto" w:fill="auto"/>
        <w:spacing w:before="0" w:line="240" w:lineRule="auto"/>
        <w:ind w:firstLine="0"/>
        <w:rPr>
          <w:rFonts w:ascii="Times New Roman" w:hAnsi="Times New Roman" w:cs="Times New Roman"/>
          <w:bCs/>
          <w:color w:val="002060"/>
          <w:sz w:val="16"/>
          <w:szCs w:val="16"/>
        </w:rPr>
      </w:pPr>
    </w:p>
    <w:p w14:paraId="67DEBC9F" w14:textId="77777777" w:rsidR="000A6A9B" w:rsidRPr="00DE096C" w:rsidRDefault="000A6A9B" w:rsidP="00D45A46">
      <w:pPr>
        <w:pStyle w:val="2"/>
        <w:spacing w:before="0" w:after="0"/>
        <w:jc w:val="both"/>
        <w:rPr>
          <w:b w:val="0"/>
          <w:bCs/>
          <w:color w:val="002060"/>
          <w:sz w:val="16"/>
          <w:szCs w:val="16"/>
        </w:rPr>
      </w:pPr>
      <w:r w:rsidRPr="00DE096C">
        <w:rPr>
          <w:b w:val="0"/>
          <w:bCs/>
          <w:color w:val="002060"/>
          <w:sz w:val="16"/>
          <w:szCs w:val="16"/>
        </w:rPr>
        <w:t>В мае 1914 г. последними воздушными праздниками, устроенными в Москве спортивным и научно-техническим комитетами МОВ, стали демонстрационные полеты французских воздушных акробатов Пегу и Пуарэ и научный семинар в Политехническом музее (15464).</w:t>
      </w:r>
    </w:p>
    <w:p w14:paraId="66F7140C" w14:textId="77777777" w:rsidR="000A6A9B" w:rsidRPr="00DE096C" w:rsidRDefault="000A6A9B" w:rsidP="00D45A46">
      <w:pPr>
        <w:pStyle w:val="2"/>
        <w:spacing w:before="0" w:after="0"/>
        <w:jc w:val="both"/>
        <w:rPr>
          <w:b w:val="0"/>
          <w:bCs/>
          <w:color w:val="002060"/>
          <w:sz w:val="16"/>
          <w:szCs w:val="16"/>
        </w:rPr>
      </w:pPr>
    </w:p>
    <w:p w14:paraId="153A15AE" w14:textId="3BA5C724" w:rsidR="000A6A9B" w:rsidRPr="00DE096C" w:rsidRDefault="000A6A9B" w:rsidP="00D45A46">
      <w:pPr>
        <w:shd w:val="clear" w:color="auto" w:fill="FFFFFF"/>
        <w:jc w:val="both"/>
        <w:rPr>
          <w:bCs/>
          <w:i/>
          <w:color w:val="002060"/>
          <w:sz w:val="16"/>
          <w:szCs w:val="16"/>
        </w:rPr>
      </w:pPr>
      <w:r w:rsidRPr="00DE096C">
        <w:rPr>
          <w:bCs/>
          <w:i/>
          <w:color w:val="002060"/>
          <w:sz w:val="16"/>
          <w:szCs w:val="16"/>
        </w:rPr>
        <w:t>Морская авиация:</w:t>
      </w:r>
    </w:p>
    <w:p w14:paraId="73C1D9D1" w14:textId="77777777" w:rsidR="000A6A9B" w:rsidRPr="00DE096C" w:rsidRDefault="000A6A9B" w:rsidP="00D45A46">
      <w:pPr>
        <w:shd w:val="clear" w:color="auto" w:fill="FFFFFF"/>
        <w:jc w:val="both"/>
        <w:rPr>
          <w:bCs/>
          <w:i/>
          <w:color w:val="002060"/>
          <w:sz w:val="16"/>
          <w:szCs w:val="16"/>
        </w:rPr>
      </w:pPr>
    </w:p>
    <w:p w14:paraId="6ECE2AB9" w14:textId="77777777" w:rsidR="000A6A9B" w:rsidRPr="00DE096C" w:rsidRDefault="000A6A9B" w:rsidP="00D45A46">
      <w:pPr>
        <w:jc w:val="both"/>
        <w:rPr>
          <w:bCs/>
          <w:color w:val="002060"/>
          <w:sz w:val="16"/>
          <w:szCs w:val="16"/>
        </w:rPr>
      </w:pPr>
      <w:r w:rsidRPr="00DE096C">
        <w:rPr>
          <w:bCs/>
          <w:color w:val="002060"/>
          <w:sz w:val="16"/>
          <w:szCs w:val="16"/>
        </w:rPr>
        <w:t>В мае 1914 года летчик Утгоф и наблюдатель Дем</w:t>
      </w:r>
      <w:r w:rsidRPr="00DE096C">
        <w:rPr>
          <w:bCs/>
          <w:color w:val="002060"/>
          <w:sz w:val="16"/>
          <w:szCs w:val="16"/>
        </w:rPr>
        <w:softHyphen/>
        <w:t>ченко провели на Кертисе опыты по поиску мин с воздуха. Как от</w:t>
      </w:r>
      <w:r w:rsidRPr="00DE096C">
        <w:rPr>
          <w:bCs/>
          <w:color w:val="002060"/>
          <w:sz w:val="16"/>
          <w:szCs w:val="16"/>
        </w:rPr>
        <w:softHyphen/>
        <w:t>мечается в документе, «опыты имели частичный успех» (23545).</w:t>
      </w:r>
    </w:p>
    <w:p w14:paraId="7649E886" w14:textId="77777777" w:rsidR="000A6A9B" w:rsidRPr="00DE096C" w:rsidRDefault="000A6A9B" w:rsidP="00D45A46">
      <w:pPr>
        <w:jc w:val="both"/>
        <w:rPr>
          <w:bCs/>
          <w:color w:val="002060"/>
          <w:sz w:val="16"/>
          <w:szCs w:val="16"/>
          <w:lang w:bidi="en-US"/>
        </w:rPr>
      </w:pPr>
    </w:p>
    <w:p w14:paraId="0C6A5D7C" w14:textId="77777777" w:rsidR="000A6A9B" w:rsidRPr="00DE096C" w:rsidRDefault="000A6A9B" w:rsidP="00D45A46">
      <w:pPr>
        <w:jc w:val="both"/>
        <w:rPr>
          <w:bCs/>
          <w:color w:val="002060"/>
          <w:sz w:val="16"/>
          <w:szCs w:val="16"/>
        </w:rPr>
      </w:pPr>
      <w:r w:rsidRPr="00DE096C">
        <w:rPr>
          <w:bCs/>
          <w:color w:val="002060"/>
          <w:sz w:val="16"/>
          <w:szCs w:val="16"/>
          <w:lang w:bidi="en-US"/>
        </w:rPr>
        <w:t>С мая 1914 г. по июль 1915 г. станцией Папенгольм командовал лейтенант П.Э. фон Липгарта, а затем лейтенанта В.А. Литвинова. В августе в Ревеле была сформирована 3-я база морской авиации (23525).</w:t>
      </w:r>
    </w:p>
    <w:p w14:paraId="67911AD0" w14:textId="77777777" w:rsidR="000A6A9B" w:rsidRPr="00DE096C" w:rsidRDefault="000A6A9B" w:rsidP="00D45A46">
      <w:pPr>
        <w:jc w:val="both"/>
        <w:rPr>
          <w:bCs/>
          <w:color w:val="002060"/>
          <w:sz w:val="16"/>
          <w:szCs w:val="16"/>
          <w:lang w:bidi="ru-RU"/>
        </w:rPr>
      </w:pPr>
    </w:p>
    <w:p w14:paraId="195646F2"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 и воздухоплавание Германии:</w:t>
      </w:r>
    </w:p>
    <w:p w14:paraId="1DEC755A" w14:textId="77777777" w:rsidR="00B67D7C" w:rsidRPr="00DE096C" w:rsidRDefault="00B67D7C" w:rsidP="00D45A46">
      <w:pPr>
        <w:shd w:val="clear" w:color="auto" w:fill="FFFFFF"/>
        <w:jc w:val="both"/>
        <w:rPr>
          <w:bCs/>
          <w:i/>
          <w:color w:val="002060"/>
          <w:sz w:val="16"/>
          <w:szCs w:val="16"/>
        </w:rPr>
      </w:pPr>
    </w:p>
    <w:p w14:paraId="634EDACF" w14:textId="77777777" w:rsidR="00727D11" w:rsidRPr="00DE096C" w:rsidRDefault="00727D11" w:rsidP="00D45A46">
      <w:pPr>
        <w:jc w:val="both"/>
        <w:rPr>
          <w:bCs/>
          <w:color w:val="002060"/>
          <w:sz w:val="16"/>
          <w:szCs w:val="16"/>
        </w:rPr>
      </w:pPr>
      <w:r w:rsidRPr="00DE096C">
        <w:rPr>
          <w:bCs/>
          <w:color w:val="002060"/>
          <w:sz w:val="16"/>
          <w:szCs w:val="16"/>
        </w:rPr>
        <w:t>В мае 1914 г. австрийский «миллионщик» Камилло Кастильони купил в Лиебау в немецкой тогда Нижней Силезии авиазавод «Ганза Флюгцойгверке» и перевел его в более оживленный город Бранденбург. На новом месте фирма стала именоваться «Ганза унд Бранденбургише Флюгцойгверке».</w:t>
      </w:r>
    </w:p>
    <w:p w14:paraId="632D2903" w14:textId="77777777" w:rsidR="00727D11" w:rsidRPr="00DE096C" w:rsidRDefault="00727D11" w:rsidP="00D45A46">
      <w:pPr>
        <w:jc w:val="both"/>
        <w:rPr>
          <w:bCs/>
          <w:color w:val="002060"/>
          <w:sz w:val="16"/>
          <w:szCs w:val="16"/>
        </w:rPr>
      </w:pPr>
      <w:r w:rsidRPr="00DE096C">
        <w:rPr>
          <w:bCs/>
          <w:color w:val="002060"/>
          <w:sz w:val="16"/>
          <w:szCs w:val="16"/>
        </w:rPr>
        <w:t>По закону все, что делалось в Германии, было немецким, Кастильони это устраивало, а когда началась война, это стало даже приносить некоторые комиссионные, а главным источником его благосостояния стали заказы немецкого Военного министерства. Дела быстро пошли в гору, и он построил еще два завода — в Берлине и в Гамбурге.</w:t>
      </w:r>
    </w:p>
    <w:p w14:paraId="568B54EB" w14:textId="77777777" w:rsidR="00727D11" w:rsidRPr="00DE096C" w:rsidRDefault="00727D11" w:rsidP="00D45A46">
      <w:pPr>
        <w:jc w:val="both"/>
        <w:rPr>
          <w:bCs/>
          <w:color w:val="002060"/>
          <w:sz w:val="16"/>
          <w:szCs w:val="16"/>
        </w:rPr>
      </w:pPr>
      <w:r w:rsidRPr="00DE096C">
        <w:rPr>
          <w:bCs/>
          <w:color w:val="002060"/>
          <w:sz w:val="16"/>
          <w:szCs w:val="16"/>
        </w:rPr>
        <w:t>К осени 1915 г. капитал фирмы достиг полутора миллионов марок (впрочем, это были не все деньги в кошельке богача-космополита), а число работающих превысило тысячу душ — «Бранденбург» стал крупнейшим производителем самолетов в Германии. Немецкие заводы Кастильони строили двухместные разведчики, но австрийские заказчики просили и истребители, причем под свои моторы AD 6 (22825).</w:t>
      </w:r>
    </w:p>
    <w:p w14:paraId="3A45ACBD" w14:textId="77777777" w:rsidR="00727D11" w:rsidRPr="00DE096C" w:rsidRDefault="00727D11" w:rsidP="00D45A46">
      <w:pPr>
        <w:jc w:val="both"/>
        <w:rPr>
          <w:bCs/>
          <w:color w:val="002060"/>
          <w:sz w:val="16"/>
          <w:szCs w:val="16"/>
        </w:rPr>
      </w:pPr>
    </w:p>
    <w:p w14:paraId="135EC375" w14:textId="7612422E" w:rsidR="00B67D7C" w:rsidRPr="00DE096C" w:rsidRDefault="007503DE"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мае 1914 года возможности новой машины - моноплана были продемонстрированы генералу фон Фалькенгауну - министру военного ведомства. Показом остались довольны и потребовали создания двухместных самолетов монопланного и бипланного типов. Им присвоили обозначение М5. Эти самолеты создавались по принятому в Германии классу "А" - невооруженный разведчик-моноплан и строились в новом цеху завода в Шверине.</w:t>
      </w:r>
    </w:p>
    <w:p w14:paraId="357D171A" w14:textId="77777777" w:rsidR="00B67D7C" w:rsidRPr="00DE096C" w:rsidRDefault="00B67D7C" w:rsidP="00D45A46">
      <w:pPr>
        <w:jc w:val="both"/>
        <w:rPr>
          <w:bCs/>
          <w:color w:val="002060"/>
          <w:sz w:val="16"/>
          <w:szCs w:val="16"/>
        </w:rPr>
      </w:pPr>
      <w:r w:rsidRPr="00DE096C">
        <w:rPr>
          <w:bCs/>
          <w:color w:val="002060"/>
          <w:sz w:val="16"/>
          <w:szCs w:val="16"/>
        </w:rPr>
        <w:t xml:space="preserve">Встречаются утверждения, что Фоккер М.5 был просто копией французского самолета Морана, но при внимательном изучении видно, что он имел много существенных отличий (например, металлическую конструкцию каркаса фюзеляжа). Форма рулевых поверхностей отчасти была "позаимствована" у Морана. Правда, в последствии руль поворота был заменен на другой, имевший большую площадь и имевший внешний вид "запятой". Эта типично фоккеровская особенность прослеживается вплоть до Фоккера D-VII, построенного в 1917. Получив 80-сильные моторы Oberursel U1 Фоккер предоставляет армии на испытания два варианта самолета: первый с размахом крыла 8,5м получил индекс К (kurz - короткий), второй - с размахом 9,6м - индекс L (lang длинный). М.5К был более маневренным, aM.5L - более послушным и терпимым к ошибкам пилотов. </w:t>
      </w:r>
    </w:p>
    <w:p w14:paraId="1AEC11BF" w14:textId="77777777" w:rsidR="00B67D7C" w:rsidRPr="00DE096C" w:rsidRDefault="00B67D7C" w:rsidP="00D45A46">
      <w:pPr>
        <w:pStyle w:val="Blockquote"/>
        <w:spacing w:before="0" w:after="0"/>
        <w:ind w:left="0" w:right="0"/>
        <w:jc w:val="both"/>
        <w:rPr>
          <w:bCs/>
          <w:color w:val="002060"/>
          <w:sz w:val="16"/>
          <w:szCs w:val="16"/>
        </w:rPr>
      </w:pPr>
    </w:p>
    <w:p w14:paraId="6D7182EF" w14:textId="537F0FF0" w:rsidR="00B67D7C" w:rsidRPr="00DE096C" w:rsidRDefault="007503DE" w:rsidP="00D45A46">
      <w:pPr>
        <w:pStyle w:val="Blockquote"/>
        <w:spacing w:before="0" w:after="0"/>
        <w:ind w:left="0" w:right="0"/>
        <w:jc w:val="both"/>
        <w:rPr>
          <w:bCs/>
          <w:color w:val="002060"/>
          <w:sz w:val="16"/>
          <w:szCs w:val="16"/>
        </w:rPr>
      </w:pPr>
      <w:r w:rsidRPr="00DE096C">
        <w:rPr>
          <w:bCs/>
          <w:color w:val="002060"/>
          <w:sz w:val="16"/>
          <w:szCs w:val="16"/>
        </w:rPr>
        <w:t>В</w:t>
      </w:r>
      <w:r w:rsidR="00B67D7C" w:rsidRPr="00DE096C">
        <w:rPr>
          <w:bCs/>
          <w:color w:val="002060"/>
          <w:sz w:val="16"/>
          <w:szCs w:val="16"/>
        </w:rPr>
        <w:t xml:space="preserve"> мае 1914 года</w:t>
      </w:r>
      <w:r w:rsidRPr="00DE096C">
        <w:rPr>
          <w:bCs/>
          <w:color w:val="002060"/>
          <w:sz w:val="16"/>
          <w:szCs w:val="16"/>
        </w:rPr>
        <w:t xml:space="preserve"> был построен дирижабль L-3 (LZ-24), по образцу еоторого строилось несколько дирижаблей</w:t>
      </w:r>
      <w:r w:rsidR="00B67D7C" w:rsidRPr="00DE096C">
        <w:rPr>
          <w:bCs/>
          <w:color w:val="002060"/>
          <w:sz w:val="16"/>
          <w:szCs w:val="16"/>
        </w:rPr>
        <w:t>. В конце 1914 года был выпущен новый значительно усовершенствованный тип дирижабля переходной серии «m/n» Z-XII (LZ-26) объемом 25 000 куб. м, у которого коридор, [103] соединяющий гондолы, проходил не по килю под корпусом дирижабля, как это делалось прежде, а был устроен внутри каркаса. Дирижабль имел более совершенную аэродинамику. [104]</w:t>
      </w:r>
    </w:p>
    <w:p w14:paraId="36B8EDA8" w14:textId="77777777" w:rsidR="00B67D7C" w:rsidRPr="00DE096C" w:rsidRDefault="00B67D7C" w:rsidP="00D45A46">
      <w:pPr>
        <w:jc w:val="both"/>
        <w:rPr>
          <w:bCs/>
          <w:color w:val="002060"/>
          <w:sz w:val="16"/>
          <w:szCs w:val="16"/>
        </w:rPr>
      </w:pPr>
      <w:r w:rsidRPr="00DE096C">
        <w:rPr>
          <w:bCs/>
          <w:color w:val="002060"/>
          <w:sz w:val="16"/>
          <w:szCs w:val="16"/>
        </w:rPr>
        <w:t xml:space="preserve">Армия получила четыре дирижабля: Z-IX, Z-X, Z-XI и Z-XII. Военные опасались вводить в свой состав «несчастливый» тринадцатый номер. Поэтому некоторое время использовались заводские обозначения. Большинство кораблей серии «m» были переданы флоту. </w:t>
      </w:r>
    </w:p>
    <w:p w14:paraId="6F820FFC" w14:textId="77777777" w:rsidR="00B67D7C" w:rsidRPr="00DE096C" w:rsidRDefault="00B67D7C" w:rsidP="00D45A46">
      <w:pPr>
        <w:jc w:val="both"/>
        <w:rPr>
          <w:bCs/>
          <w:color w:val="002060"/>
          <w:sz w:val="16"/>
          <w:szCs w:val="16"/>
        </w:rPr>
      </w:pPr>
      <w:r w:rsidRPr="00DE096C">
        <w:rPr>
          <w:bCs/>
          <w:color w:val="002060"/>
          <w:sz w:val="16"/>
          <w:szCs w:val="16"/>
        </w:rPr>
        <w:t xml:space="preserve">Энергией и стараниями Штрассера к новому 1915 году Дивизион воздушных кораблей пополнился сразу пятью боевыми единицами: L-4, L-5, L-6, L-7 и L-8. Однако на 6 дирижаблей приходилось 25 подготовленных экипажей, что никак не устраивало Штрассера. В его распоряжении уже находилось почти 4000 человек, рассредоточенных на воздухоплавательных базах и готовых по первому приказу вылететь на бомбардировку Англии. Правда, лететь пока им было не на чем, и поэтому Петер Штрассер фактически в одиночку провел переговоры с заводами Цеппелина и договорился о постройке к середине 1915 года двадцати восьми дирижаблей увеличенного объема, пригодных для налетов на Британские острова. </w:t>
      </w:r>
    </w:p>
    <w:p w14:paraId="6BAC1B19" w14:textId="77777777" w:rsidR="00B67D7C" w:rsidRPr="00DE096C" w:rsidRDefault="00B67D7C" w:rsidP="00D45A46">
      <w:pPr>
        <w:jc w:val="both"/>
        <w:rPr>
          <w:bCs/>
          <w:color w:val="002060"/>
          <w:sz w:val="16"/>
          <w:szCs w:val="16"/>
        </w:rPr>
      </w:pPr>
      <w:r w:rsidRPr="00DE096C">
        <w:rPr>
          <w:bCs/>
          <w:color w:val="002060"/>
          <w:sz w:val="16"/>
          <w:szCs w:val="16"/>
        </w:rPr>
        <w:t>Моряки использовали дирижабли в основном для патрулирования Северного и Балтийского морей и для установки минных заграждений. Морская разведка была столь интенсивна и успешна, что британцы с горечью отмечали: для этого дела один дирижабль стоит пяти-шести крейсеров (11324).</w:t>
      </w:r>
    </w:p>
    <w:p w14:paraId="4498854B" w14:textId="77777777" w:rsidR="00B67D7C" w:rsidRPr="00DE096C" w:rsidRDefault="00B67D7C" w:rsidP="00D45A46">
      <w:pPr>
        <w:jc w:val="both"/>
        <w:rPr>
          <w:bCs/>
          <w:i/>
          <w:color w:val="002060"/>
          <w:sz w:val="16"/>
          <w:szCs w:val="16"/>
        </w:rPr>
      </w:pPr>
    </w:p>
    <w:p w14:paraId="50F5137A" w14:textId="3BDCECFE" w:rsidR="00727D11" w:rsidRPr="00DE096C" w:rsidRDefault="00727D11" w:rsidP="00D45A46">
      <w:pPr>
        <w:jc w:val="both"/>
        <w:rPr>
          <w:bCs/>
          <w:i/>
          <w:color w:val="002060"/>
          <w:sz w:val="16"/>
          <w:szCs w:val="16"/>
        </w:rPr>
      </w:pPr>
      <w:r w:rsidRPr="00DE096C">
        <w:rPr>
          <w:bCs/>
          <w:i/>
          <w:color w:val="002060"/>
          <w:sz w:val="16"/>
          <w:szCs w:val="16"/>
        </w:rPr>
        <w:t>Авиация и воздухоплавание Франции:</w:t>
      </w:r>
    </w:p>
    <w:p w14:paraId="64F91752" w14:textId="77777777" w:rsidR="00727D11" w:rsidRPr="00DE096C" w:rsidRDefault="00727D11" w:rsidP="00D45A46">
      <w:pPr>
        <w:jc w:val="both"/>
        <w:rPr>
          <w:bCs/>
          <w:i/>
          <w:color w:val="002060"/>
          <w:sz w:val="16"/>
          <w:szCs w:val="16"/>
        </w:rPr>
      </w:pPr>
    </w:p>
    <w:p w14:paraId="577CD09E" w14:textId="77777777" w:rsidR="00727D11" w:rsidRPr="00DE096C" w:rsidRDefault="00727D11" w:rsidP="00D45A46">
      <w:pPr>
        <w:jc w:val="both"/>
        <w:rPr>
          <w:bCs/>
          <w:color w:val="002060"/>
          <w:sz w:val="16"/>
          <w:szCs w:val="16"/>
        </w:rPr>
      </w:pPr>
      <w:r w:rsidRPr="00DE096C">
        <w:rPr>
          <w:bCs/>
          <w:color w:val="002060"/>
          <w:sz w:val="16"/>
          <w:szCs w:val="16"/>
        </w:rPr>
        <w:t>В мае 1914 г. в больших маневрах французского флота в Средиземном море участвовали уже 12 гидропланов — они вели разведку на радиус до 200 км с главных морских баз в Тулоне и в Бизерте (Тунис) (22737).</w:t>
      </w:r>
    </w:p>
    <w:p w14:paraId="6A5C2B04" w14:textId="77777777" w:rsidR="00727D11" w:rsidRPr="00DE096C" w:rsidRDefault="00727D11" w:rsidP="00D45A46">
      <w:pPr>
        <w:jc w:val="both"/>
        <w:rPr>
          <w:bCs/>
          <w:color w:val="002060"/>
          <w:sz w:val="16"/>
          <w:szCs w:val="16"/>
        </w:rPr>
      </w:pPr>
    </w:p>
    <w:p w14:paraId="792DFE49" w14:textId="77777777" w:rsidR="00B93380" w:rsidRPr="00B52707" w:rsidRDefault="00B93380" w:rsidP="00B93380">
      <w:pPr>
        <w:jc w:val="both"/>
        <w:rPr>
          <w:color w:val="0070C0"/>
          <w:sz w:val="16"/>
          <w:szCs w:val="16"/>
        </w:rPr>
      </w:pPr>
      <w:r w:rsidRPr="00B52707">
        <w:rPr>
          <w:color w:val="0070C0"/>
          <w:sz w:val="16"/>
          <w:szCs w:val="16"/>
        </w:rPr>
        <w:t>В мае 1914 г. в больших маневрах французского флота в Средиземном море участвовали уже 12 гидропланов – они вели разведку на радиус до 200 км с главных морских баз в Тулоне на северном берегу Средиземного моря и на его берегу противоположном в Бизерте в Тунисе (25650).</w:t>
      </w:r>
    </w:p>
    <w:p w14:paraId="74812C3B" w14:textId="77777777" w:rsidR="00B93380" w:rsidRPr="00B52707" w:rsidRDefault="00B93380" w:rsidP="00B93380">
      <w:pPr>
        <w:jc w:val="both"/>
        <w:rPr>
          <w:color w:val="0070C0"/>
          <w:sz w:val="16"/>
          <w:szCs w:val="16"/>
        </w:rPr>
      </w:pPr>
    </w:p>
    <w:p w14:paraId="55DFADAB" w14:textId="1142725C" w:rsidR="00727D11" w:rsidRPr="00DE096C" w:rsidRDefault="00727D11" w:rsidP="00D45A46">
      <w:pPr>
        <w:jc w:val="both"/>
        <w:rPr>
          <w:bCs/>
          <w:i/>
          <w:color w:val="002060"/>
          <w:sz w:val="16"/>
          <w:szCs w:val="16"/>
        </w:rPr>
      </w:pPr>
      <w:r w:rsidRPr="00DE096C">
        <w:rPr>
          <w:bCs/>
          <w:i/>
          <w:color w:val="002060"/>
          <w:sz w:val="16"/>
          <w:szCs w:val="16"/>
        </w:rPr>
        <w:t>Авиация и воздухоплавание Англии:</w:t>
      </w:r>
    </w:p>
    <w:p w14:paraId="01165630" w14:textId="77777777" w:rsidR="00727D11" w:rsidRPr="00DE096C" w:rsidRDefault="00727D11" w:rsidP="00D45A46">
      <w:pPr>
        <w:jc w:val="both"/>
        <w:rPr>
          <w:bCs/>
          <w:i/>
          <w:color w:val="002060"/>
          <w:sz w:val="16"/>
          <w:szCs w:val="16"/>
        </w:rPr>
      </w:pPr>
    </w:p>
    <w:p w14:paraId="6CEB2EB0" w14:textId="77777777" w:rsidR="00727D11" w:rsidRPr="00DE096C" w:rsidRDefault="00727D11" w:rsidP="00D45A46">
      <w:pPr>
        <w:jc w:val="both"/>
        <w:rPr>
          <w:bCs/>
          <w:color w:val="002060"/>
          <w:sz w:val="16"/>
          <w:szCs w:val="16"/>
        </w:rPr>
      </w:pPr>
      <w:r w:rsidRPr="00DE096C">
        <w:rPr>
          <w:bCs/>
          <w:color w:val="002060"/>
          <w:sz w:val="16"/>
          <w:szCs w:val="16"/>
        </w:rPr>
        <w:t>В мае 1914 Королевский флот покупает недостроенный торговый корабль для полной модернизации. Она станет авианосцем Ark Royal (20337).</w:t>
      </w:r>
    </w:p>
    <w:p w14:paraId="156B07E8" w14:textId="77777777" w:rsidR="00727D11" w:rsidRPr="00DE096C" w:rsidRDefault="00727D11" w:rsidP="00D45A46">
      <w:pPr>
        <w:jc w:val="both"/>
        <w:rPr>
          <w:bCs/>
          <w:color w:val="002060"/>
          <w:sz w:val="16"/>
          <w:szCs w:val="16"/>
        </w:rPr>
      </w:pPr>
    </w:p>
    <w:p w14:paraId="2A3E67C9" w14:textId="77777777" w:rsidR="000F1AB4" w:rsidRPr="00DE096C" w:rsidRDefault="000F1AB4" w:rsidP="00D45A46">
      <w:pPr>
        <w:jc w:val="both"/>
        <w:rPr>
          <w:bCs/>
          <w:i/>
          <w:color w:val="002060"/>
          <w:sz w:val="16"/>
          <w:szCs w:val="16"/>
        </w:rPr>
      </w:pPr>
      <w:r w:rsidRPr="00DE096C">
        <w:rPr>
          <w:bCs/>
          <w:i/>
          <w:color w:val="002060"/>
          <w:sz w:val="16"/>
          <w:szCs w:val="16"/>
        </w:rPr>
        <w:t>Авиация и воздухоплавание за рубежом:</w:t>
      </w:r>
    </w:p>
    <w:p w14:paraId="3720662F" w14:textId="77777777" w:rsidR="000F1AB4" w:rsidRPr="00DE096C" w:rsidRDefault="000F1AB4" w:rsidP="00D45A46">
      <w:pPr>
        <w:jc w:val="both"/>
        <w:rPr>
          <w:bCs/>
          <w:i/>
          <w:color w:val="002060"/>
          <w:sz w:val="16"/>
          <w:szCs w:val="16"/>
        </w:rPr>
      </w:pPr>
    </w:p>
    <w:p w14:paraId="70FCDC95" w14:textId="77777777" w:rsidR="000F1AB4" w:rsidRPr="00DE096C" w:rsidRDefault="000F1AB4" w:rsidP="00D45A46">
      <w:pPr>
        <w:jc w:val="both"/>
        <w:rPr>
          <w:bCs/>
          <w:color w:val="002060"/>
          <w:sz w:val="16"/>
          <w:szCs w:val="16"/>
        </w:rPr>
      </w:pPr>
      <w:r w:rsidRPr="00DE096C">
        <w:rPr>
          <w:bCs/>
          <w:color w:val="002060"/>
          <w:sz w:val="16"/>
          <w:szCs w:val="16"/>
        </w:rPr>
        <w:t xml:space="preserve">В мае 1914 началась постройка самолёта </w:t>
      </w:r>
      <w:r w:rsidRPr="00DE096C">
        <w:rPr>
          <w:bCs/>
          <w:color w:val="002060"/>
          <w:sz w:val="16"/>
          <w:szCs w:val="16"/>
          <w:lang w:val="en-US"/>
        </w:rPr>
        <w:t>Martin</w:t>
      </w:r>
      <w:r w:rsidRPr="00DE096C">
        <w:rPr>
          <w:bCs/>
          <w:color w:val="002060"/>
          <w:sz w:val="16"/>
          <w:szCs w:val="16"/>
        </w:rPr>
        <w:t>-</w:t>
      </w:r>
      <w:r w:rsidRPr="00DE096C">
        <w:rPr>
          <w:bCs/>
          <w:color w:val="002060"/>
          <w:sz w:val="16"/>
          <w:szCs w:val="16"/>
          <w:lang w:val="en-US"/>
        </w:rPr>
        <w:t>HandasydeTransatlantic</w:t>
      </w:r>
      <w:r w:rsidRPr="00DE096C">
        <w:rPr>
          <w:bCs/>
          <w:color w:val="002060"/>
          <w:sz w:val="16"/>
          <w:szCs w:val="16"/>
        </w:rPr>
        <w:t>. Вскоре после этого, 23 мая 1914 г., Хэмел бесследно исчез при полёте на другом аэроплане над Ла-Маншем. Тем не менее пост</w:t>
      </w:r>
      <w:r w:rsidRPr="00DE096C">
        <w:rPr>
          <w:bCs/>
          <w:color w:val="002060"/>
          <w:sz w:val="16"/>
          <w:szCs w:val="16"/>
        </w:rPr>
        <w:softHyphen/>
        <w:t>ройка самолёта и поиск нового пилота продолжались вплоть до начала Первой Мировой войны (15834).</w:t>
      </w:r>
    </w:p>
    <w:p w14:paraId="2FA73338" w14:textId="77777777" w:rsidR="000F1AB4" w:rsidRPr="00DE096C" w:rsidRDefault="000F1AB4" w:rsidP="00D45A46">
      <w:pPr>
        <w:jc w:val="both"/>
        <w:rPr>
          <w:bCs/>
          <w:color w:val="002060"/>
          <w:sz w:val="16"/>
          <w:szCs w:val="16"/>
        </w:rPr>
      </w:pPr>
    </w:p>
    <w:p w14:paraId="3C64C52F"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00ED6DC0" w14:textId="77777777" w:rsidR="00B67D7C" w:rsidRPr="00DE096C" w:rsidRDefault="00B67D7C" w:rsidP="00D45A46">
      <w:pPr>
        <w:shd w:val="clear" w:color="auto" w:fill="FFFFFF"/>
        <w:jc w:val="both"/>
        <w:rPr>
          <w:bCs/>
          <w:i/>
          <w:color w:val="002060"/>
          <w:sz w:val="16"/>
          <w:szCs w:val="16"/>
        </w:rPr>
      </w:pPr>
    </w:p>
    <w:p w14:paraId="646E4D26" w14:textId="77777777" w:rsidR="00B66E26" w:rsidRPr="00DE096C" w:rsidRDefault="00B66E26" w:rsidP="00D45A46">
      <w:pPr>
        <w:jc w:val="both"/>
        <w:rPr>
          <w:bCs/>
          <w:color w:val="002060"/>
          <w:sz w:val="16"/>
          <w:szCs w:val="16"/>
        </w:rPr>
      </w:pPr>
      <w:r w:rsidRPr="00DE096C">
        <w:rPr>
          <w:bCs/>
          <w:color w:val="002060"/>
          <w:sz w:val="16"/>
          <w:szCs w:val="16"/>
        </w:rPr>
        <w:t>Весной 1914 г., была выработана программа отправных данных для разработки нашими заводами необходимых радиостанций. В основу требований к аэропланным радиостанциям было положено следующее: дальность действия до 10–12 верст, вес около 18 кг, на аэропланах устанавливаются только передающие радиостанции, которые не должны вызывать каких-либо конструктивных дополнений в аэропланах» (19951).</w:t>
      </w:r>
    </w:p>
    <w:p w14:paraId="76929AAB" w14:textId="77777777" w:rsidR="00B66E26" w:rsidRPr="00DE096C" w:rsidRDefault="00B66E26" w:rsidP="00D45A46">
      <w:pPr>
        <w:shd w:val="clear" w:color="auto" w:fill="FFFFFF"/>
        <w:jc w:val="both"/>
        <w:rPr>
          <w:bCs/>
          <w:color w:val="002060"/>
          <w:sz w:val="16"/>
          <w:szCs w:val="16"/>
        </w:rPr>
      </w:pPr>
    </w:p>
    <w:p w14:paraId="71449997" w14:textId="02395DB8" w:rsidR="00B66E26" w:rsidRPr="00DE096C" w:rsidRDefault="007503DE" w:rsidP="00D45A46">
      <w:pPr>
        <w:jc w:val="both"/>
        <w:rPr>
          <w:bCs/>
          <w:color w:val="002060"/>
          <w:sz w:val="16"/>
          <w:szCs w:val="16"/>
        </w:rPr>
      </w:pPr>
      <w:r w:rsidRPr="00DE096C">
        <w:rPr>
          <w:bCs/>
          <w:color w:val="002060"/>
          <w:sz w:val="16"/>
          <w:szCs w:val="16"/>
        </w:rPr>
        <w:t>В</w:t>
      </w:r>
      <w:r w:rsidR="00B66E26" w:rsidRPr="00DE096C">
        <w:rPr>
          <w:bCs/>
          <w:color w:val="002060"/>
          <w:sz w:val="16"/>
          <w:szCs w:val="16"/>
        </w:rPr>
        <w:t xml:space="preserve">есной 1915 г. </w:t>
      </w:r>
      <w:r w:rsidRPr="00DE096C">
        <w:rPr>
          <w:bCs/>
          <w:color w:val="002060"/>
          <w:sz w:val="16"/>
          <w:szCs w:val="16"/>
        </w:rPr>
        <w:t xml:space="preserve">прошла испытания установка под пулемет "Кольт", разработанная именно на заводе Лебедева, </w:t>
      </w:r>
      <w:r w:rsidR="00B66E26" w:rsidRPr="00DE096C">
        <w:rPr>
          <w:bCs/>
          <w:color w:val="002060"/>
          <w:sz w:val="16"/>
          <w:szCs w:val="16"/>
        </w:rPr>
        <w:t xml:space="preserve">и была рекомендована в серийное производство (20052). </w:t>
      </w:r>
    </w:p>
    <w:p w14:paraId="6FC51F47" w14:textId="77777777" w:rsidR="00B66E26" w:rsidRPr="00DE096C" w:rsidRDefault="00B66E26" w:rsidP="00D45A46">
      <w:pPr>
        <w:jc w:val="both"/>
        <w:rPr>
          <w:bCs/>
          <w:color w:val="002060"/>
          <w:sz w:val="16"/>
          <w:szCs w:val="16"/>
        </w:rPr>
      </w:pPr>
    </w:p>
    <w:p w14:paraId="2F9811C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Весной 1914 г. на «Дуксе» по проекту П.Н.Нестерова строили «Моран» с хвостовым оперением оригинальной конструкции, работы не завершили. В 1915 —1916 гг. на заводе разрабатывали боевые самолеты «Дукс-военный» 1915 г. и «Дукс двухмоторный», но без особого успеха (9651).</w:t>
      </w:r>
    </w:p>
    <w:p w14:paraId="77EECD84" w14:textId="77777777" w:rsidR="00B67D7C" w:rsidRPr="00DE096C" w:rsidRDefault="00B67D7C" w:rsidP="00D45A46">
      <w:pPr>
        <w:shd w:val="clear" w:color="auto" w:fill="FFFFFF"/>
        <w:jc w:val="both"/>
        <w:rPr>
          <w:bCs/>
          <w:color w:val="002060"/>
          <w:sz w:val="16"/>
          <w:szCs w:val="16"/>
        </w:rPr>
      </w:pPr>
    </w:p>
    <w:p w14:paraId="1F4F3E9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Весной 1912 г. М.И. Шишкевич выступил на проходившем в Москве </w:t>
      </w:r>
      <w:r w:rsidRPr="00DE096C">
        <w:rPr>
          <w:bCs/>
          <w:color w:val="002060"/>
          <w:sz w:val="16"/>
          <w:szCs w:val="16"/>
          <w:lang w:val="en-US"/>
        </w:rPr>
        <w:t>II</w:t>
      </w:r>
      <w:r w:rsidRPr="00DE096C">
        <w:rPr>
          <w:bCs/>
          <w:color w:val="002060"/>
          <w:sz w:val="16"/>
          <w:szCs w:val="16"/>
        </w:rPr>
        <w:t xml:space="preserve"> Воздухоплава</w:t>
      </w:r>
      <w:r w:rsidRPr="00DE096C">
        <w:rPr>
          <w:bCs/>
          <w:color w:val="002060"/>
          <w:sz w:val="16"/>
          <w:szCs w:val="16"/>
        </w:rPr>
        <w:softHyphen/>
        <w:t>тельном съезде, подробно рассказав об успехах московской авиашколы и о маневрах, где, по его словам, «воздушная разведка оказала начальникам громадные услуги». Ско</w:t>
      </w:r>
      <w:r w:rsidRPr="00DE096C">
        <w:rPr>
          <w:bCs/>
          <w:color w:val="002060"/>
          <w:sz w:val="16"/>
          <w:szCs w:val="16"/>
        </w:rPr>
        <w:softHyphen/>
        <w:t>рее всего, именно увлеченность авиацией вскоре привела 50-летнего генерала на пост начальника Воздухоплавательной части ГУ ГШ.</w:t>
      </w:r>
    </w:p>
    <w:p w14:paraId="3E2041C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Его деятельность в этой должности в значительной степени способствовала созданию военной авиации России. Поскольку инструкции, разработанные ГИУ, оказались уста</w:t>
      </w:r>
      <w:r w:rsidRPr="00DE096C">
        <w:rPr>
          <w:bCs/>
          <w:color w:val="002060"/>
          <w:sz w:val="16"/>
          <w:szCs w:val="16"/>
        </w:rPr>
        <w:softHyphen/>
        <w:t>ревшими, Воздухоплавательная часть издала специальное руководство «Краткие руко</w:t>
      </w:r>
      <w:r w:rsidRPr="00DE096C">
        <w:rPr>
          <w:bCs/>
          <w:color w:val="002060"/>
          <w:sz w:val="16"/>
          <w:szCs w:val="16"/>
        </w:rPr>
        <w:softHyphen/>
        <w:t>водящие данные по пользованию аэропланами, как средством разведки и связи, а также их боевого применения». В нем учли опыт 1-й Балканской войны (1912-1913 гг.) с участием русских лётчиков-добровольцев. По сравнению с ранее изданными анало</w:t>
      </w:r>
      <w:r w:rsidRPr="00DE096C">
        <w:rPr>
          <w:bCs/>
          <w:color w:val="002060"/>
          <w:sz w:val="16"/>
          <w:szCs w:val="16"/>
        </w:rPr>
        <w:softHyphen/>
        <w:t>гичными документами «Краткие руководящие данные...» имели большую тактическую направленность. В них, как и в «Общем плане...», разработанном в ГУ ГШ, делался ак</w:t>
      </w:r>
      <w:r w:rsidRPr="00DE096C">
        <w:rPr>
          <w:bCs/>
          <w:color w:val="002060"/>
          <w:sz w:val="16"/>
          <w:szCs w:val="16"/>
        </w:rPr>
        <w:softHyphen/>
        <w:t>цент на активное использование авиации, т. е. на ее применение для уничтожения про</w:t>
      </w:r>
      <w:r w:rsidRPr="00DE096C">
        <w:rPr>
          <w:bCs/>
          <w:color w:val="002060"/>
          <w:sz w:val="16"/>
          <w:szCs w:val="16"/>
        </w:rPr>
        <w:softHyphen/>
        <w:t>тивника. Такая постановка вопроса воспитывала лётный состав в духе творческого поис</w:t>
      </w:r>
      <w:r w:rsidRPr="00DE096C">
        <w:rPr>
          <w:bCs/>
          <w:color w:val="002060"/>
          <w:sz w:val="16"/>
          <w:szCs w:val="16"/>
        </w:rPr>
        <w:softHyphen/>
        <w:t>ка путей превращения авиации из средства, обеспечивающего боевые действия, в средство, ведущее боевые действия самостоятельно. Воздухоплавательная часть ГУ ГШ поощряла продвижение по службе энергичных и инициативных офицеров — П.Н. Несте</w:t>
      </w:r>
      <w:r w:rsidRPr="00DE096C">
        <w:rPr>
          <w:bCs/>
          <w:color w:val="002060"/>
          <w:sz w:val="16"/>
          <w:szCs w:val="16"/>
        </w:rPr>
        <w:softHyphen/>
        <w:t>рова, В.М. Ткачева, В.Р. Поплавко и др. Именно они привнесли в специальную подго</w:t>
      </w:r>
      <w:r w:rsidRPr="00DE096C">
        <w:rPr>
          <w:bCs/>
          <w:color w:val="002060"/>
          <w:sz w:val="16"/>
          <w:szCs w:val="16"/>
        </w:rPr>
        <w:softHyphen/>
        <w:t>товку дальние перелеты, аэрофотографирование, ночные полеты и корректирование огня артиллерии. Старший адъютант Варшавского ВО полковник Н.С. Батюшин разра</w:t>
      </w:r>
      <w:r w:rsidRPr="00DE096C">
        <w:rPr>
          <w:bCs/>
          <w:color w:val="002060"/>
          <w:sz w:val="16"/>
          <w:szCs w:val="16"/>
        </w:rPr>
        <w:softHyphen/>
        <w:t>ботал проект «Правил стрельбы по воздушным целям».</w:t>
      </w:r>
    </w:p>
    <w:p w14:paraId="768847D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Таким образом, в России еще до войны появились и обсуждались два главных призна</w:t>
      </w:r>
      <w:r w:rsidRPr="00DE096C">
        <w:rPr>
          <w:bCs/>
          <w:color w:val="002060"/>
          <w:sz w:val="16"/>
          <w:szCs w:val="16"/>
        </w:rPr>
        <w:softHyphen/>
        <w:t>ка воздушного боя — «маневр» и «огонь». По опыту специальной подготовки и учений Воздухоплавательная часть готовила изменения в организации авиачастей через приня</w:t>
      </w:r>
      <w:r w:rsidRPr="00DE096C">
        <w:rPr>
          <w:bCs/>
          <w:color w:val="002060"/>
          <w:sz w:val="16"/>
          <w:szCs w:val="16"/>
        </w:rPr>
        <w:softHyphen/>
        <w:t>тие штатов четырех видов авиаотрядов. Однако сначала требовалось решить проблему выбора типов самолётов для каждого из них.</w:t>
      </w:r>
    </w:p>
    <w:p w14:paraId="6539913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Следует особо отметить, что Воздухоплавательная часть ГУ ГШ в течение полутора лет своего существования стремилась выработать тип боевого самолёта, способного решать, прежде всего, активные задачи. Пренебрегая в некоторой степени реальными возможностями отечественных самолётостроительных предприятий, она добивалась установки на самолёт средств нападения, защиты и связи. Весной 1913г. Воздухопла</w:t>
      </w:r>
      <w:r w:rsidRPr="00DE096C">
        <w:rPr>
          <w:bCs/>
          <w:color w:val="002060"/>
          <w:sz w:val="16"/>
          <w:szCs w:val="16"/>
        </w:rPr>
        <w:softHyphen/>
        <w:t>вательная часть разработала «Требования к военному аэроплану», где, в частности, указывалось, что самолёт должен обеспечивать «возможность действовать оружием как вперед, так и вниз в стороны»; иметь запас мощности для подъёма, кроме экипажа из двух человек, груза не менее 80-100 кг; должен обеспечивать удобство наблюдения и возможность размещения беспроволочного телеграфа. Скорость — не менее 90 км/час.</w:t>
      </w:r>
    </w:p>
    <w:p w14:paraId="6C850A8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Документы свидетельствуют, что Воздухоплавательная часть планировала иметь в 1913 г. три вида самолётов: «разведочные — Ньюпоры (монопланы) с 70-сильными мо</w:t>
      </w:r>
      <w:r w:rsidRPr="00DE096C">
        <w:rPr>
          <w:bCs/>
          <w:color w:val="002060"/>
          <w:sz w:val="16"/>
          <w:szCs w:val="16"/>
        </w:rPr>
        <w:softHyphen/>
        <w:t>торами «Гном»; ... боевые — Фарманы со 100-сильными моторами «Гном» и один опыт</w:t>
      </w:r>
      <w:r w:rsidRPr="00DE096C">
        <w:rPr>
          <w:bCs/>
          <w:color w:val="002060"/>
          <w:sz w:val="16"/>
          <w:szCs w:val="16"/>
        </w:rPr>
        <w:softHyphen/>
        <w:t>ный отряд «Райт-Абрамович» (бипланы) со 100-сильными моторами». Боевыми самолё</w:t>
      </w:r>
      <w:r w:rsidRPr="00DE096C">
        <w:rPr>
          <w:bCs/>
          <w:color w:val="002060"/>
          <w:sz w:val="16"/>
          <w:szCs w:val="16"/>
        </w:rPr>
        <w:softHyphen/>
        <w:t>тами должны были снабжаться армейские авиаотряды. Для подъёма боевой нагрузки, пулемёта и брони на эти самолёты предполагалось устанавливать моторы повышенной мощности в 100 л.с. Корпусные и крепостные авиаотряды могли бы, по мнению Возду</w:t>
      </w:r>
      <w:r w:rsidRPr="00DE096C">
        <w:rPr>
          <w:bCs/>
          <w:color w:val="002060"/>
          <w:sz w:val="16"/>
          <w:szCs w:val="16"/>
        </w:rPr>
        <w:softHyphen/>
        <w:t>хоплавательной части, вооружаться самолётами того же типа, но облегченными за счет установки моторов меньшей мощности и, следовательно, с меньшей массой. Для от</w:t>
      </w:r>
      <w:r w:rsidRPr="00DE096C">
        <w:rPr>
          <w:bCs/>
          <w:color w:val="002060"/>
          <w:sz w:val="16"/>
          <w:szCs w:val="16"/>
        </w:rPr>
        <w:softHyphen/>
        <w:t>рядов особого назначения требовался тип легкого связного одноместного самолёта. Таким образом, выбор типа сводился фактически к выбору двигателя той или иной мощности. Требование по грузоподъемности выдвигалось на первый план в ущерб тре</w:t>
      </w:r>
      <w:r w:rsidRPr="00DE096C">
        <w:rPr>
          <w:bCs/>
          <w:color w:val="002060"/>
          <w:sz w:val="16"/>
          <w:szCs w:val="16"/>
        </w:rPr>
        <w:softHyphen/>
        <w:t>бованиям по высотности и маневренности (Елисеев С.П. Организационное строительство военной авиации России (1910-1917). М., ВВИА им. Н.Е. Жуковского, 2008. С. 26-27.)</w:t>
      </w:r>
      <w:r w:rsidRPr="00DE096C">
        <w:rPr>
          <w:bCs/>
          <w:color w:val="002060"/>
          <w:sz w:val="16"/>
          <w:szCs w:val="16"/>
          <w:vertAlign w:val="superscript"/>
        </w:rPr>
        <w:t>5</w:t>
      </w:r>
      <w:r w:rsidRPr="00DE096C">
        <w:rPr>
          <w:bCs/>
          <w:color w:val="002060"/>
          <w:sz w:val="16"/>
          <w:szCs w:val="16"/>
        </w:rPr>
        <w:t>.</w:t>
      </w:r>
    </w:p>
    <w:p w14:paraId="46F0C5B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«Для активных боевых действий» уже в конце 1912г. заводу «Дукс« заказали «...24 бо</w:t>
      </w:r>
      <w:r w:rsidRPr="00DE096C">
        <w:rPr>
          <w:bCs/>
          <w:color w:val="002060"/>
          <w:sz w:val="16"/>
          <w:szCs w:val="16"/>
        </w:rPr>
        <w:softHyphen/>
        <w:t>евых блиндированных аппаратов Фармана. Из этого числа 18 аэропланов — с 100-силь</w:t>
      </w:r>
      <w:r w:rsidRPr="00DE096C">
        <w:rPr>
          <w:bCs/>
          <w:color w:val="002060"/>
          <w:sz w:val="16"/>
          <w:szCs w:val="16"/>
        </w:rPr>
        <w:softHyphen/>
        <w:t>ными моторами Гном, с полной блиндировкой гондолы хромоникелевой сталью и с приспособлением для установки пулемёта...» Напомню, что в то время вооруженных и бронированных самолётов еще не было ни в одной армии мира.</w:t>
      </w:r>
    </w:p>
    <w:p w14:paraId="1DDCCE1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мае 1913 г. «наблюдающий офицер за изготовлением авиационного имущества» (военпред) на заводе «Дукс» штабс-капитан Быстрицкий в рапорте Начальнику Возду</w:t>
      </w:r>
      <w:r w:rsidRPr="00DE096C">
        <w:rPr>
          <w:bCs/>
          <w:color w:val="002060"/>
          <w:sz w:val="16"/>
          <w:szCs w:val="16"/>
        </w:rPr>
        <w:softHyphen/>
        <w:t>хоплавательной части, представляя разработанные заводом чертежи брони, просил утвердить схемы и условия бронирования самолёта «Биплан № 15» («Фарман»). Он спрашивал: «Возможно ли остановиться на образцах, построенных по этим чертежам»?</w:t>
      </w:r>
    </w:p>
    <w:p w14:paraId="3ADA804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Ответ с разрешением от М.И. Шишкевича последовал менее чем через две недели:</w:t>
      </w:r>
    </w:p>
    <w:p w14:paraId="6B77E14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 ...расположение брони в Фарманах сделано, имея в виду предохранить двига</w:t>
      </w:r>
      <w:r w:rsidRPr="00DE096C">
        <w:rPr>
          <w:bCs/>
          <w:color w:val="002060"/>
          <w:sz w:val="16"/>
          <w:szCs w:val="16"/>
        </w:rPr>
        <w:softHyphen/>
        <w:t>тель и пилота главным образом от ружейных пуль снизу;</w:t>
      </w:r>
    </w:p>
    <w:p w14:paraId="710B726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 броню нужно считать в числе полезного груза...»</w:t>
      </w:r>
    </w:p>
    <w:p w14:paraId="5F30F06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середине ноября 1913 г. начальнику Офицерской стрелковой школы от М.И. Шиш</w:t>
      </w:r>
      <w:r w:rsidRPr="00DE096C">
        <w:rPr>
          <w:bCs/>
          <w:color w:val="002060"/>
          <w:sz w:val="16"/>
          <w:szCs w:val="16"/>
        </w:rPr>
        <w:softHyphen/>
        <w:t>кевича поступила депеша «О производстве испытаний брони для самолётов», где он, направляя «образцы брони, предполагаемой к установке на аэропланах... просит спеш</w:t>
      </w:r>
      <w:r w:rsidRPr="00DE096C">
        <w:rPr>
          <w:bCs/>
          <w:color w:val="002060"/>
          <w:sz w:val="16"/>
          <w:szCs w:val="16"/>
        </w:rPr>
        <w:softHyphen/>
        <w:t>но, ввиду предстоящих заказов, произвести испытание означенной брони». 4 декабря 1913 г. от начальника Ружейного полигона в Ораниенбауме генерал-майора Филатова поступил рапорт «о результатах испытаний обстрелом самолётной брони», в кото</w:t>
      </w:r>
      <w:r w:rsidRPr="00DE096C">
        <w:rPr>
          <w:bCs/>
          <w:color w:val="002060"/>
          <w:sz w:val="16"/>
          <w:szCs w:val="16"/>
        </w:rPr>
        <w:softHyphen/>
        <w:t>ром сообщались подробности испытаний «на пробивное действие» двух образцов бро</w:t>
      </w:r>
      <w:r w:rsidRPr="00DE096C">
        <w:rPr>
          <w:bCs/>
          <w:color w:val="002060"/>
          <w:sz w:val="16"/>
          <w:szCs w:val="16"/>
        </w:rPr>
        <w:softHyphen/>
        <w:t>ни толщиною 3,2 мм и 2,7 мм. Стрельба проводилась перпендикулярно и под углом 30° на дистанциях 100-700 шагов. В самом начале 1914 г. Шишкевич послал на «Дукс» указание об установке на самолёте брони толщиною 2,7 мм.</w:t>
      </w:r>
    </w:p>
    <w:p w14:paraId="7383533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Так же интенсивно развернули опыты по стрельбе из пулемётов с аэропланов. В «ве</w:t>
      </w:r>
      <w:r w:rsidRPr="00DE096C">
        <w:rPr>
          <w:bCs/>
          <w:color w:val="002060"/>
          <w:sz w:val="16"/>
          <w:szCs w:val="16"/>
        </w:rPr>
        <w:softHyphen/>
        <w:t>домости... к производству опытов по воздухоплаванию...» на 1912 г. на стрельбы с аэ</w:t>
      </w:r>
      <w:r w:rsidRPr="00DE096C">
        <w:rPr>
          <w:bCs/>
          <w:color w:val="002060"/>
          <w:sz w:val="16"/>
          <w:szCs w:val="16"/>
        </w:rPr>
        <w:softHyphen/>
        <w:t>ропланов отпустили 3000 руб. (для сравнения, на «бросание снарядов с аэропланов — 4000 руб., на перевозку аэропланов — 2000 руб., на опыты с пропеллерами — 5500 руб.»), но, в отличие от других пунктов, без фамилии ответственного исполнителя, те. в «никуда». Однако уже в феврале 1913 г. по представлению Шишкевича начальник Генштаба Я.Г. Жилинский запрашивал у военного министра Сухомлинова разрешения передать первые 30 легких пулемётов «Виккерс» в авиационные отряды.</w:t>
      </w:r>
    </w:p>
    <w:p w14:paraId="101B6C5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Этими пулемётами, всего их заказали 268, планировали оснастить кавалерию. Первую партию пулемётов Акционерное общество «Виккерс» обязалось поставить к 16 апреля. В докладе Жилинский честно предупредил министра, что «передача этих пулемётов в авиационные отряды задержит на два месяца снабжение ими пулемётных команд конни</w:t>
      </w:r>
      <w:r w:rsidRPr="00DE096C">
        <w:rPr>
          <w:bCs/>
          <w:color w:val="002060"/>
          <w:sz w:val="16"/>
          <w:szCs w:val="16"/>
        </w:rPr>
        <w:softHyphen/>
        <w:t>цы Варшавского, Киевского и Виленского военных округов. Части же, стоящие в послед</w:t>
      </w:r>
      <w:r w:rsidRPr="00DE096C">
        <w:rPr>
          <w:bCs/>
          <w:color w:val="002060"/>
          <w:sz w:val="16"/>
          <w:szCs w:val="16"/>
        </w:rPr>
        <w:softHyphen/>
        <w:t>ней очереди по снабжению легкими пулемётами, в числе 4-х казачьих полков, получат в этом случае указанные пулемёты к концу 1914 года». Тем не менее, несмотря на значи</w:t>
      </w:r>
      <w:r w:rsidRPr="00DE096C">
        <w:rPr>
          <w:bCs/>
          <w:color w:val="002060"/>
          <w:sz w:val="16"/>
          <w:szCs w:val="16"/>
        </w:rPr>
        <w:softHyphen/>
        <w:t>тельную задержку в перевооружении конницы, военный министр согласился.</w:t>
      </w:r>
    </w:p>
    <w:p w14:paraId="07185B6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Первые 6 легких пулемётов 18 июля 1913 г. отправили в 8-ю авиационную роту для установки на боевых «Фарманах-15», к каждому прилагались 6000 патронов. Для опы</w:t>
      </w:r>
      <w:r w:rsidRPr="00DE096C">
        <w:rPr>
          <w:bCs/>
          <w:color w:val="002060"/>
          <w:sz w:val="16"/>
          <w:szCs w:val="16"/>
        </w:rPr>
        <w:softHyphen/>
        <w:t>тов по стрельбе с самолётов М.И. Шишкевич 7 июня 1913 г. распорядился откоман</w:t>
      </w:r>
      <w:r w:rsidRPr="00DE096C">
        <w:rPr>
          <w:bCs/>
          <w:color w:val="002060"/>
          <w:sz w:val="16"/>
          <w:szCs w:val="16"/>
        </w:rPr>
        <w:softHyphen/>
        <w:t>дировать из Севастопольской авиашколы лётчика поручика В.Р. Поплавко в Москву для «проведения опытов по установке пулемёта на самолёте и стрельбы из него по на</w:t>
      </w:r>
      <w:r w:rsidRPr="00DE096C">
        <w:rPr>
          <w:bCs/>
          <w:color w:val="002060"/>
          <w:sz w:val="16"/>
          <w:szCs w:val="16"/>
        </w:rPr>
        <w:softHyphen/>
        <w:t>земным и воздушным целям». В распоряжение Поплавко предоставили один из «Фар-манов», построенных на «Дуксе» по заказу военного ведомства, пулемёт и шар-зонд. От своего преемника — нового начальника штаба Московского военного округа — Шишкевич попросил содействия в проведении опытов, и «предоставить в распоряже</w:t>
      </w:r>
      <w:r w:rsidRPr="00DE096C">
        <w:rPr>
          <w:bCs/>
          <w:color w:val="002060"/>
          <w:sz w:val="16"/>
          <w:szCs w:val="16"/>
        </w:rPr>
        <w:softHyphen/>
        <w:t>ние поручика Поплавко пулемётные ленты с патронами (всего около 1</w:t>
      </w:r>
      <w:r w:rsidRPr="00DE096C">
        <w:rPr>
          <w:bCs/>
          <w:color w:val="002060"/>
          <w:sz w:val="16"/>
          <w:szCs w:val="16"/>
          <w:vertAlign w:val="superscript"/>
        </w:rPr>
        <w:t>1</w:t>
      </w:r>
      <w:r w:rsidRPr="00DE096C">
        <w:rPr>
          <w:bCs/>
          <w:color w:val="002060"/>
          <w:sz w:val="16"/>
          <w:szCs w:val="16"/>
        </w:rPr>
        <w:t>/2~2 тысяч па</w:t>
      </w:r>
      <w:r w:rsidRPr="00DE096C">
        <w:rPr>
          <w:bCs/>
          <w:color w:val="002060"/>
          <w:sz w:val="16"/>
          <w:szCs w:val="16"/>
        </w:rPr>
        <w:softHyphen/>
        <w:t>тронов), трех нижних чинов-пулемётчиков и мишени».</w:t>
      </w:r>
    </w:p>
    <w:p w14:paraId="4C76C2A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Первые опыты со стрельбой по наземным мишеням Поплавко начал на стрельбище на Ходынском поле, где ему выделили специальный участок с расставленными мишенями. Но из-за протестов местных жителей опытные стрельбы с самолёта продолжили на Кле-ментьевском полигоне под Можайском, куда Поплавко вылетел из Москвы 28 июля. За неделю с 31 июля по 6 августа он совершил 19 полетов с пулеметчиком общей продол</w:t>
      </w:r>
      <w:r w:rsidRPr="00DE096C">
        <w:rPr>
          <w:bCs/>
          <w:color w:val="002060"/>
          <w:sz w:val="16"/>
          <w:szCs w:val="16"/>
        </w:rPr>
        <w:softHyphen/>
        <w:t>жительностью 5 час 24 мин.</w:t>
      </w:r>
    </w:p>
    <w:p w14:paraId="03154FE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7 августа командование специально-пулеметного сбора подписало рапорт о стрель</w:t>
      </w:r>
      <w:r w:rsidRPr="00DE096C">
        <w:rPr>
          <w:bCs/>
          <w:color w:val="002060"/>
          <w:sz w:val="16"/>
          <w:szCs w:val="16"/>
        </w:rPr>
        <w:softHyphen/>
        <w:t>бах из пулемета с «Фармана-15» 6 августа: «...Произведено семь взлетов для стрельбы и... три стрельбы с аэроплана в воздухе; наибольшая высота аэроплана во время стрель</w:t>
      </w:r>
      <w:r w:rsidRPr="00DE096C">
        <w:rPr>
          <w:bCs/>
          <w:color w:val="002060"/>
          <w:sz w:val="16"/>
          <w:szCs w:val="16"/>
        </w:rPr>
        <w:softHyphen/>
        <w:t>бы 500 метров по воздушной цели и 300 метров по наземной цели (две роты в колон</w:t>
      </w:r>
      <w:r w:rsidRPr="00DE096C">
        <w:rPr>
          <w:bCs/>
          <w:color w:val="002060"/>
          <w:sz w:val="16"/>
          <w:szCs w:val="16"/>
        </w:rPr>
        <w:softHyphen/>
        <w:t>не по отделениям). Всего выпущено с воздуха 78 патронов. Происходили задержки из-за перекоса патронов, который получался оттого, что при полёте воздухом ленту отбрасы</w:t>
      </w:r>
      <w:r w:rsidRPr="00DE096C">
        <w:rPr>
          <w:bCs/>
          <w:color w:val="002060"/>
          <w:sz w:val="16"/>
          <w:szCs w:val="16"/>
        </w:rPr>
        <w:softHyphen/>
        <w:t>вает; необходимо совершенно закрыть ленту от действия воздуха. По наземным целям выпущено 37 патронов; попало три пули. По шару выпущено 25 патронов, попала одна пуля в нижний парашют (четвертый) — расстояние от нижнего конца 7 шагов. Стрельба слышна на земле, шум мотора ее не заглушает. Пулемёт Максима, весом 1 пуд и 5 фунтов (18,4 кг) тяжел для управления им с аэроплана; прибор установки пулемёта на аэроплане отлично выдерживает сотрясение и не сдает. При стрельбе с земли выпуще</w:t>
      </w:r>
      <w:r w:rsidRPr="00DE096C">
        <w:rPr>
          <w:bCs/>
          <w:color w:val="002060"/>
          <w:sz w:val="16"/>
          <w:szCs w:val="16"/>
        </w:rPr>
        <w:softHyphen/>
        <w:t>но 200 патронов — получилось громадное вертикальное рассеивание, которое происхо</w:t>
      </w:r>
      <w:r w:rsidRPr="00DE096C">
        <w:rPr>
          <w:bCs/>
          <w:color w:val="002060"/>
          <w:sz w:val="16"/>
          <w:szCs w:val="16"/>
        </w:rPr>
        <w:softHyphen/>
        <w:t>дило от сотрясения гондолы и амортизаторов и труб фюзеляжа; в воздухе же, по докладу поручика Поплавко, — никаких сотрясений на аэроплане от стрельбы из пулемёта не за</w:t>
      </w:r>
      <w:r w:rsidRPr="00DE096C">
        <w:rPr>
          <w:bCs/>
          <w:color w:val="002060"/>
          <w:sz w:val="16"/>
          <w:szCs w:val="16"/>
        </w:rPr>
        <w:softHyphen/>
        <w:t>мечается.</w:t>
      </w:r>
    </w:p>
    <w:p w14:paraId="63A78B0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Общее заключение:</w:t>
      </w:r>
    </w:p>
    <w:p w14:paraId="2D8DDFF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 Стрельба с аэроплана возможна.</w:t>
      </w:r>
    </w:p>
    <w:p w14:paraId="36D5F5B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 Произведенные опыты не дают возможности дать заключение о действительности огня с аэроплана.</w:t>
      </w:r>
    </w:p>
    <w:p w14:paraId="493FAE3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3) Опыты в этом направлении желательно продолжать, но при большей высоте, так как на высоте 300 м аэроплан находится под действительным ружейным огнем и бу</w:t>
      </w:r>
      <w:r w:rsidRPr="00DE096C">
        <w:rPr>
          <w:bCs/>
          <w:color w:val="002060"/>
          <w:sz w:val="16"/>
          <w:szCs w:val="16"/>
        </w:rPr>
        <w:softHyphen/>
        <w:t>дет сам расстрелян раньше, чем откроет огонь.</w:t>
      </w:r>
    </w:p>
    <w:p w14:paraId="2B0C4EA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4) Необходима полная слаженность работы лётчика и пулемётчика». 20 августа в Петербурге открывался очередной конкурс военных аэропланов. Вероят</w:t>
      </w:r>
      <w:r w:rsidRPr="00DE096C">
        <w:rPr>
          <w:bCs/>
          <w:color w:val="002060"/>
          <w:sz w:val="16"/>
          <w:szCs w:val="16"/>
        </w:rPr>
        <w:softHyphen/>
        <w:t xml:space="preserve">но, боевой «Фарман-15» должен быть принять в нем участие, так как Поплавко утром 3 сентября вылетел в Петербург, но долетел только до Меты, из-за остановки мотора совершил вынужденную посадку, и в тумане произошла поломка. На этом завершилась «эпопея» установки пулемётов на самолёты в 1913 г. Кроме этого аэроплана, </w:t>
      </w:r>
      <w:r w:rsidRPr="00DE096C">
        <w:rPr>
          <w:bCs/>
          <w:color w:val="002060"/>
          <w:sz w:val="16"/>
          <w:szCs w:val="16"/>
        </w:rPr>
        <w:lastRenderedPageBreak/>
        <w:t>на конкур</w:t>
      </w:r>
      <w:r w:rsidRPr="00DE096C">
        <w:rPr>
          <w:bCs/>
          <w:color w:val="002060"/>
          <w:sz w:val="16"/>
          <w:szCs w:val="16"/>
        </w:rPr>
        <w:softHyphen/>
        <w:t xml:space="preserve">се из пяти представленных «Дуксом» самолётов на двух монопланах — «Ю.А.Меллер </w:t>
      </w:r>
      <w:r w:rsidRPr="00DE096C">
        <w:rPr>
          <w:bCs/>
          <w:color w:val="002060"/>
          <w:sz w:val="16"/>
          <w:szCs w:val="16"/>
          <w:lang w:val="en-US"/>
        </w:rPr>
        <w:t>III</w:t>
      </w:r>
      <w:r w:rsidRPr="00DE096C">
        <w:rPr>
          <w:bCs/>
          <w:color w:val="002060"/>
          <w:sz w:val="16"/>
          <w:szCs w:val="16"/>
        </w:rPr>
        <w:t>» и «Дукс № 2» стояли пулеметные установки. Но все самолеты «Дукса» в том году не смогли выполнить условий конкурса, нет данных и о стрельбах с них в Петербурге.</w:t>
      </w:r>
    </w:p>
    <w:p w14:paraId="123307A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Весной 1914 г. на Ходынке испытали «Фарман-16» завода «Дукс» с бронированной ка</w:t>
      </w:r>
      <w:r w:rsidRPr="00DE096C">
        <w:rPr>
          <w:bCs/>
          <w:color w:val="002060"/>
          <w:sz w:val="16"/>
          <w:szCs w:val="16"/>
        </w:rPr>
        <w:softHyphen/>
        <w:t>биной и пулемётной установкой, а 22 мая 1914 г. постоянный член Технического коми</w:t>
      </w:r>
      <w:r w:rsidRPr="00DE096C">
        <w:rPr>
          <w:bCs/>
          <w:color w:val="002060"/>
          <w:sz w:val="16"/>
          <w:szCs w:val="16"/>
        </w:rPr>
        <w:softHyphen/>
        <w:t>тета генерал-лейтенант Н.Л. Кирпичев составил заключение о качестве бронирования самолётов «Депердюссен», построенных заводом: «Из чертежей, представленных фир</w:t>
      </w:r>
      <w:r w:rsidRPr="00DE096C">
        <w:rPr>
          <w:bCs/>
          <w:color w:val="002060"/>
          <w:sz w:val="16"/>
          <w:szCs w:val="16"/>
        </w:rPr>
        <w:softHyphen/>
        <w:t>мой, видно, что броня при толщине 2,7 мм и общем весе около 1 пуда, расположена внутри фюзеляжа в двух местах, прикрывая расходный и запасный бензиновые баки. Однако такое расположение брони почти нисколько не защищает пилота, предохраняя его лишь от выстрелов направленных снизу и спереди. Ни от выстрелов, направленных вертикально, ни от поражения в бок или сзади пилот не защищен».</w:t>
      </w:r>
    </w:p>
    <w:p w14:paraId="4AB8A1F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На основании заключения Кирпичева расположение брони на «Депердюссене» при</w:t>
      </w:r>
      <w:r w:rsidRPr="00DE096C">
        <w:rPr>
          <w:bCs/>
          <w:color w:val="002060"/>
          <w:sz w:val="16"/>
          <w:szCs w:val="16"/>
        </w:rPr>
        <w:softHyphen/>
        <w:t>знали неудовлетворительным и не соответствующим техническим условиям: «В случае, если установка брони, выполненная по требованиям технических условий, ухудшит летные качества самолёта, Технический комитет считает целесообразным вообще от</w:t>
      </w:r>
      <w:r w:rsidRPr="00DE096C">
        <w:rPr>
          <w:bCs/>
          <w:color w:val="002060"/>
          <w:sz w:val="16"/>
          <w:szCs w:val="16"/>
        </w:rPr>
        <w:softHyphen/>
        <w:t>казаться от бронирования самолёта» (Воздухоплаватель. 1912. № 4. С. 319-322.)</w:t>
      </w:r>
      <w:r w:rsidRPr="00DE096C">
        <w:rPr>
          <w:bCs/>
          <w:color w:val="002060"/>
          <w:sz w:val="16"/>
          <w:szCs w:val="16"/>
          <w:vertAlign w:val="superscript"/>
        </w:rPr>
        <w:t>6</w:t>
      </w:r>
      <w:r w:rsidRPr="00DE096C">
        <w:rPr>
          <w:bCs/>
          <w:color w:val="002060"/>
          <w:sz w:val="16"/>
          <w:szCs w:val="16"/>
        </w:rPr>
        <w:t>.</w:t>
      </w:r>
    </w:p>
    <w:p w14:paraId="2829C7C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Таким образом, к началу Первой мировой войны создать вооруженный и бронирован</w:t>
      </w:r>
      <w:r w:rsidRPr="00DE096C">
        <w:rPr>
          <w:bCs/>
          <w:color w:val="002060"/>
          <w:sz w:val="16"/>
          <w:szCs w:val="16"/>
        </w:rPr>
        <w:softHyphen/>
        <w:t>ный самолёт не удалось. В этом нет вины ни Шишкевича, ни завода «Дукс», просто 100-сильный двигатель еще не мог поднять такой груз, да еще обеспечить самолёту требуемую маневренность.</w:t>
      </w:r>
    </w:p>
    <w:p w14:paraId="65E2420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Однако впоследствии и «это лыко» поставили «в строку»... Недавно появилось мнение, что «желаемый результат по выпуску необходимого числа самолётов с вышеприведенны</w:t>
      </w:r>
      <w:r w:rsidRPr="00DE096C">
        <w:rPr>
          <w:bCs/>
          <w:color w:val="002060"/>
          <w:sz w:val="16"/>
          <w:szCs w:val="16"/>
        </w:rPr>
        <w:softHyphen/>
        <w:t>ми характеристиками в 1913 г. не был получен, так как заводы не выполнили договоры по срокам поставки авиатехники. Например, летом 1913 г. завод «Дукс» задержал выпуск</w:t>
      </w:r>
    </w:p>
    <w:p w14:paraId="340D23B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24 бронированных аппаратов, а впо</w:t>
      </w:r>
      <w:r w:rsidRPr="00DE096C">
        <w:rPr>
          <w:bCs/>
          <w:color w:val="002060"/>
          <w:sz w:val="16"/>
          <w:szCs w:val="16"/>
        </w:rPr>
        <w:softHyphen/>
        <w:t>следствии отказался от установки на них брони. Игнорировались также требования о монтаже на часть выпу</w:t>
      </w:r>
      <w:r w:rsidRPr="00DE096C">
        <w:rPr>
          <w:bCs/>
          <w:color w:val="002060"/>
          <w:sz w:val="16"/>
          <w:szCs w:val="16"/>
        </w:rPr>
        <w:softHyphen/>
        <w:t>скаемых самолётов приспособлений для размещения радиотелеграфа. Все это привело к тому, что в вопро</w:t>
      </w:r>
      <w:r w:rsidRPr="00DE096C">
        <w:rPr>
          <w:bCs/>
          <w:color w:val="002060"/>
          <w:sz w:val="16"/>
          <w:szCs w:val="16"/>
        </w:rPr>
        <w:softHyphen/>
        <w:t>се создания авиации «активного дей</w:t>
      </w:r>
      <w:r w:rsidRPr="00DE096C">
        <w:rPr>
          <w:bCs/>
          <w:color w:val="002060"/>
          <w:sz w:val="16"/>
          <w:szCs w:val="16"/>
        </w:rPr>
        <w:softHyphen/>
        <w:t>ствия» Воздухоплавательная часть в 1913 г. вынужденно ограничилась только подготовительными работами, а именно:</w:t>
      </w:r>
    </w:p>
    <w:p w14:paraId="771F533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 опытными стрельбами из пулемёта «Максим», установленного на «Фармане-ХУ» и опытами по бомбометанию с этого самолёта;</w:t>
      </w:r>
    </w:p>
    <w:p w14:paraId="07C8EA0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 испытаниями радиоприборов, прицелов и фотоаппаратов;</w:t>
      </w:r>
    </w:p>
    <w:p w14:paraId="41C7087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3) испытаниями брони для установки на 24 «боевых аэроплана»;</w:t>
      </w:r>
    </w:p>
    <w:p w14:paraId="0B9C11E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4) высылкой в авиачасти для вооружения экипажей «Маузеров»;</w:t>
      </w:r>
    </w:p>
    <w:p w14:paraId="7D68650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5) заказом 6 легких пулемётов для установки на «Фарманы-ХУ»» (Елисеев С.П. Организационное строительство военной авиации России... С. 28.)</w:t>
      </w:r>
      <w:r w:rsidRPr="00DE096C">
        <w:rPr>
          <w:bCs/>
          <w:color w:val="002060"/>
          <w:sz w:val="16"/>
          <w:szCs w:val="16"/>
          <w:vertAlign w:val="superscript"/>
        </w:rPr>
        <w:t>7</w:t>
      </w:r>
      <w:r w:rsidRPr="00DE096C">
        <w:rPr>
          <w:bCs/>
          <w:color w:val="002060"/>
          <w:sz w:val="16"/>
          <w:szCs w:val="16"/>
        </w:rPr>
        <w:t>.</w:t>
      </w:r>
    </w:p>
    <w:p w14:paraId="28F86C4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Увы, на этом фактически закончилась предвоенная напряжённая работа по созданию вооруженных и бронированных боевых самолётов, а указание М.И. Шишкевича по пово</w:t>
      </w:r>
      <w:r w:rsidRPr="00DE096C">
        <w:rPr>
          <w:bCs/>
          <w:color w:val="002060"/>
          <w:sz w:val="16"/>
          <w:szCs w:val="16"/>
        </w:rPr>
        <w:softHyphen/>
        <w:t>ду толщины брони в 2,7 мм стало последним его реальным вкладом в области развития боевой авиации.</w:t>
      </w:r>
    </w:p>
    <w:p w14:paraId="5D5F86A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25 декабря 1913 г. генерал-майор М.И. Шишкевич получил назначение на должность генерал-квартирмейстера штаба Одесского Военного округа и в дальнейшем развитием военной авиации не занимался. Печальным итогом его деятельности стал Циркуляр Глав</w:t>
      </w:r>
      <w:r w:rsidRPr="00DE096C">
        <w:rPr>
          <w:bCs/>
          <w:color w:val="002060"/>
          <w:sz w:val="16"/>
          <w:szCs w:val="16"/>
        </w:rPr>
        <w:softHyphen/>
        <w:t>ного штаба от 23 января 1914г. о расформировании Воздухоплавательной части ГУ ГШ.</w:t>
      </w:r>
    </w:p>
    <w:p w14:paraId="34BCEBB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Истинной причиной «отлучения« от авиации «коснувшегося неба» М.И. Шишкевича стал приказ № 666 по военному ведомству от 20 декабря 1913 г. ГИУ преобразовывалось в Главное военно-техническое управление (ГВТУ), в нем создавалось Воздухоплавательное отделение с хозяйственно-заготовительными и снабженческими функциями по отноше</w:t>
      </w:r>
      <w:r w:rsidRPr="00DE096C">
        <w:rPr>
          <w:bCs/>
          <w:color w:val="002060"/>
          <w:sz w:val="16"/>
          <w:szCs w:val="16"/>
        </w:rPr>
        <w:softHyphen/>
        <w:t>нию к авиационным и воздухоплавательным частям. Кроме того, в ГВТУ образовали Тех</w:t>
      </w:r>
      <w:r w:rsidRPr="00DE096C">
        <w:rPr>
          <w:bCs/>
          <w:color w:val="002060"/>
          <w:sz w:val="16"/>
          <w:szCs w:val="16"/>
        </w:rPr>
        <w:softHyphen/>
        <w:t>нический комитет, ведающий в числе других вопросов также и вопросом развития авиа</w:t>
      </w:r>
      <w:r w:rsidRPr="00DE096C">
        <w:rPr>
          <w:bCs/>
          <w:color w:val="002060"/>
          <w:sz w:val="16"/>
          <w:szCs w:val="16"/>
        </w:rPr>
        <w:softHyphen/>
        <w:t>ционной техники. Для ведения «воздухоплавательных дел» в составе Технического коми</w:t>
      </w:r>
      <w:r w:rsidRPr="00DE096C">
        <w:rPr>
          <w:bCs/>
          <w:color w:val="002060"/>
          <w:sz w:val="16"/>
          <w:szCs w:val="16"/>
        </w:rPr>
        <w:softHyphen/>
        <w:t>тета, а также в «отделении по личному составу», также входившем в ГВТУ, открывались соответствующие делопроизводства. Одновременно в ГУ ГШ формировалось отделение «по службе технических для связи войск» с административными правами по организации авиационных частей. Положительным стало лишь то, что офицеры, работавшие ранее в Воздухоплавательной части, продолжили работу в вышеназванных отделениях.</w:t>
      </w:r>
    </w:p>
    <w:p w14:paraId="4EAA9BE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Такая реорганизация назревала еще с середины 1913 г. Воздухоплавательная часть ГУГШ стремилась не только сформировать авиаотряды, но создать все условия для их деятельности, выявить боевые возможности авиации путем постановки перед ней пре</w:t>
      </w:r>
      <w:r w:rsidRPr="00DE096C">
        <w:rPr>
          <w:bCs/>
          <w:color w:val="002060"/>
          <w:sz w:val="16"/>
          <w:szCs w:val="16"/>
        </w:rPr>
        <w:softHyphen/>
        <w:t>имущественно активных задач. Вместе с тем ее небольшой штат не соответствовал объему работы, выполняемому в связи с быстрым развитием авиации. Весной 1913 г. предполагалось расширить состав Воздухоплавательной части, переформировав ее в Воздухоплавательный отдел. Его начальник должен был взять на себя инспекторские функции в отношении авиационных и воздухоплавательных частей, так как их инспек</w:t>
      </w:r>
      <w:r w:rsidRPr="00DE096C">
        <w:rPr>
          <w:bCs/>
          <w:color w:val="002060"/>
          <w:sz w:val="16"/>
          <w:szCs w:val="16"/>
        </w:rPr>
        <w:softHyphen/>
        <w:t>тирование, при непосредственном подчинении начальникам штабов округов и крепо</w:t>
      </w:r>
      <w:r w:rsidRPr="00DE096C">
        <w:rPr>
          <w:bCs/>
          <w:color w:val="002060"/>
          <w:sz w:val="16"/>
          <w:szCs w:val="16"/>
        </w:rPr>
        <w:softHyphen/>
        <w:t>стей, по-прежнему осуществляли инспекторы инженерной части округа, подчиненные в техническом отношении ГИУ. Это нарушало стройность управления авиачастями.</w:t>
      </w:r>
    </w:p>
    <w:p w14:paraId="022C968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настоящее время утверждают, что постановка вопроса об усилении центрального ап</w:t>
      </w:r>
      <w:r w:rsidRPr="00DE096C">
        <w:rPr>
          <w:bCs/>
          <w:color w:val="002060"/>
          <w:sz w:val="16"/>
          <w:szCs w:val="16"/>
        </w:rPr>
        <w:softHyphen/>
        <w:t>парата управления авиацией была «своевременной», так как в соответствии с «Малой программой развития технических войск», ставшей законом 10 июля 1913 г., предпола</w:t>
      </w:r>
      <w:r w:rsidRPr="00DE096C">
        <w:rPr>
          <w:bCs/>
          <w:color w:val="002060"/>
          <w:sz w:val="16"/>
          <w:szCs w:val="16"/>
        </w:rPr>
        <w:softHyphen/>
        <w:t>галось увеличение числа формируе</w:t>
      </w:r>
      <w:r w:rsidRPr="00DE096C">
        <w:rPr>
          <w:bCs/>
          <w:color w:val="002060"/>
          <w:sz w:val="16"/>
          <w:szCs w:val="16"/>
        </w:rPr>
        <w:softHyphen/>
        <w:t>мых авиаотрядов при увеличении и числа авиационных рот. К тому же на развитие авиации в это время от</w:t>
      </w:r>
      <w:r w:rsidRPr="00DE096C">
        <w:rPr>
          <w:bCs/>
          <w:color w:val="002060"/>
          <w:sz w:val="16"/>
          <w:szCs w:val="16"/>
        </w:rPr>
        <w:softHyphen/>
        <w:t>пустили более 7% из 125 млн. руб. дополнительных ассигнований, вы</w:t>
      </w:r>
      <w:r w:rsidRPr="00DE096C">
        <w:rPr>
          <w:bCs/>
          <w:color w:val="002060"/>
          <w:sz w:val="16"/>
          <w:szCs w:val="16"/>
        </w:rPr>
        <w:softHyphen/>
        <w:t>деленных Думой на оборону.</w:t>
      </w:r>
    </w:p>
    <w:p w14:paraId="0397CB8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Однако в Военном министерстве готовилось другое решение. Суть его заключалась в разделении между ГУ ГШ и ГИУ функций по управлению техническими вой</w:t>
      </w:r>
      <w:r w:rsidRPr="00DE096C">
        <w:rPr>
          <w:bCs/>
          <w:color w:val="002060"/>
          <w:sz w:val="16"/>
          <w:szCs w:val="16"/>
        </w:rPr>
        <w:softHyphen/>
        <w:t>сками, в которые входила и авиация. Первое должно было сосредоточить в себе структур</w:t>
      </w:r>
      <w:r w:rsidRPr="00DE096C">
        <w:rPr>
          <w:bCs/>
          <w:color w:val="002060"/>
          <w:sz w:val="16"/>
          <w:szCs w:val="16"/>
        </w:rPr>
        <w:softHyphen/>
        <w:t>ные подразделения, призванные решать организационные вопросы, а второе, путем пере</w:t>
      </w:r>
      <w:r w:rsidRPr="00DE096C">
        <w:rPr>
          <w:bCs/>
          <w:color w:val="002060"/>
          <w:sz w:val="16"/>
          <w:szCs w:val="16"/>
        </w:rPr>
        <w:softHyphen/>
        <w:t>формирования в ГВТУ, должно было сосредоточиться на выполнении технических, загото</w:t>
      </w:r>
      <w:r w:rsidRPr="00DE096C">
        <w:rPr>
          <w:bCs/>
          <w:color w:val="002060"/>
          <w:sz w:val="16"/>
          <w:szCs w:val="16"/>
        </w:rPr>
        <w:softHyphen/>
        <w:t>вительных и снабженческих задач. В масштабе военного ведомства эта реорганизация, направленная на специализацию структур высшего военного управления, была «объективно необходима». Относительно же авиации, в силу своей технической природы и интенсив</w:t>
      </w:r>
      <w:r w:rsidRPr="00DE096C">
        <w:rPr>
          <w:bCs/>
          <w:color w:val="002060"/>
          <w:sz w:val="16"/>
          <w:szCs w:val="16"/>
        </w:rPr>
        <w:softHyphen/>
        <w:t>ного развития в значительной степени зависевшей от снабжения, напрашивался вывод, что она снова фактически передавалась в ведение инженерного ведомства (Елисеев С.П. Организационное строительство военной авиации России... С. 29-30.)</w:t>
      </w:r>
      <w:r w:rsidRPr="00DE096C">
        <w:rPr>
          <w:bCs/>
          <w:color w:val="002060"/>
          <w:sz w:val="16"/>
          <w:szCs w:val="16"/>
          <w:vertAlign w:val="superscript"/>
        </w:rPr>
        <w:t>8</w:t>
      </w:r>
      <w:r w:rsidRPr="00DE096C">
        <w:rPr>
          <w:bCs/>
          <w:color w:val="002060"/>
          <w:sz w:val="16"/>
          <w:szCs w:val="16"/>
        </w:rPr>
        <w:t>.</w:t>
      </w:r>
    </w:p>
    <w:p w14:paraId="7167D80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Военное министерство, осуществляя такие преобразования ГУ ГШ и ГИУ, поставило авиационное дело в один ряд с автомобильными и железнодорожными частями, однако последние решали сугубо транспортные задачи, в то время как авиация к осени 1913 г. прочно утвердилась в качестве одного из средств разведки и связи, находящегося в распоряжении войсковых штабов. Кроме того, явно просматривалась тенденция пре</w:t>
      </w:r>
      <w:r w:rsidRPr="00DE096C">
        <w:rPr>
          <w:bCs/>
          <w:color w:val="002060"/>
          <w:sz w:val="16"/>
          <w:szCs w:val="16"/>
        </w:rPr>
        <w:softHyphen/>
        <w:t>вращения авиации в боевое средство. Все это требовало принятия адекватных мер со стороны российского военного ведомства.</w:t>
      </w:r>
    </w:p>
    <w:p w14:paraId="37D686A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Некоторые должностные лица, осознавшие нависшую над поступательным развити</w:t>
      </w:r>
      <w:r w:rsidRPr="00DE096C">
        <w:rPr>
          <w:bCs/>
          <w:color w:val="002060"/>
          <w:sz w:val="16"/>
          <w:szCs w:val="16"/>
        </w:rPr>
        <w:softHyphen/>
        <w:t>ем авиации угрозу, выступили против планов Военного министерства. Так, начальник ГИУ инженер-генерал Александров написал Военному министру: «Воздухоплавательное дело в армии развивается сильно и будет развиваться грандиозно. Я сильно опасаюсь, что в намечаемых условиях с делом мы не справимся и скомпрометируем русское воз</w:t>
      </w:r>
      <w:r w:rsidRPr="00DE096C">
        <w:rPr>
          <w:bCs/>
          <w:color w:val="002060"/>
          <w:sz w:val="16"/>
          <w:szCs w:val="16"/>
        </w:rPr>
        <w:softHyphen/>
        <w:t>духоплавание в новом техническом управлении». Генерал Шишкевич свою точку зрения выразил еще более резко: «В настоящее время в Канцелярии Военного министерства возникла мысль о создании нового Главного управления технических войск, в котором воздухоплавание представлено одним лишь отделением, наравне с отделением, веда</w:t>
      </w:r>
      <w:r w:rsidRPr="00DE096C">
        <w:rPr>
          <w:bCs/>
          <w:color w:val="002060"/>
          <w:sz w:val="16"/>
          <w:szCs w:val="16"/>
        </w:rPr>
        <w:softHyphen/>
        <w:t>ющим снабжением войск лопатами... Мы делаем шаг назад, то есть вместо расшире</w:t>
      </w:r>
      <w:r w:rsidRPr="00DE096C">
        <w:rPr>
          <w:bCs/>
          <w:color w:val="002060"/>
          <w:sz w:val="16"/>
          <w:szCs w:val="16"/>
        </w:rPr>
        <w:softHyphen/>
        <w:t>ния воздухоплавательной части сообразно росту дела, ее раздробляют на два различ</w:t>
      </w:r>
      <w:r w:rsidRPr="00DE096C">
        <w:rPr>
          <w:bCs/>
          <w:color w:val="002060"/>
          <w:sz w:val="16"/>
          <w:szCs w:val="16"/>
        </w:rPr>
        <w:softHyphen/>
        <w:t>ных органа и включают эти органы в различные Главные управления».</w:t>
      </w:r>
    </w:p>
    <w:p w14:paraId="3BF89FB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Начальник технического отделения Воздухоплавательной части подполковник Немчен-ко обратил внимание военного руководства, что на развитие авиации и воздухоплавания тратятся миллионы рублей, воз</w:t>
      </w:r>
      <w:r w:rsidRPr="00DE096C">
        <w:rPr>
          <w:bCs/>
          <w:color w:val="002060"/>
          <w:sz w:val="16"/>
          <w:szCs w:val="16"/>
        </w:rPr>
        <w:softHyphen/>
        <w:t>никает большое число «разных раз</w:t>
      </w:r>
      <w:r w:rsidRPr="00DE096C">
        <w:rPr>
          <w:bCs/>
          <w:color w:val="002060"/>
          <w:sz w:val="16"/>
          <w:szCs w:val="16"/>
        </w:rPr>
        <w:softHyphen/>
        <w:t>нородных частей и учреждений», уп</w:t>
      </w:r>
      <w:r w:rsidRPr="00DE096C">
        <w:rPr>
          <w:bCs/>
          <w:color w:val="002060"/>
          <w:sz w:val="16"/>
          <w:szCs w:val="16"/>
        </w:rPr>
        <w:softHyphen/>
        <w:t>равление которыми требует усиле</w:t>
      </w:r>
      <w:r w:rsidRPr="00DE096C">
        <w:rPr>
          <w:bCs/>
          <w:color w:val="002060"/>
          <w:sz w:val="16"/>
          <w:szCs w:val="16"/>
        </w:rPr>
        <w:softHyphen/>
        <w:t>ния центрального органа, «поэтому, казалось бы, воздухоплавательное дело должно быть выделено если не в отдельное Главное управление, то хотя бы в самостоятельный отдел во главе с начальником отдела, подчи</w:t>
      </w:r>
      <w:r w:rsidRPr="00DE096C">
        <w:rPr>
          <w:bCs/>
          <w:color w:val="002060"/>
          <w:sz w:val="16"/>
          <w:szCs w:val="16"/>
        </w:rPr>
        <w:softHyphen/>
        <w:t>няющимся непосредственно началь</w:t>
      </w:r>
      <w:r w:rsidRPr="00DE096C">
        <w:rPr>
          <w:bCs/>
          <w:color w:val="002060"/>
          <w:sz w:val="16"/>
          <w:szCs w:val="16"/>
        </w:rPr>
        <w:softHyphen/>
        <w:t>нику Главного управления и имею</w:t>
      </w:r>
      <w:r w:rsidRPr="00DE096C">
        <w:rPr>
          <w:bCs/>
          <w:color w:val="002060"/>
          <w:sz w:val="16"/>
          <w:szCs w:val="16"/>
        </w:rPr>
        <w:softHyphen/>
        <w:t>щим значительные права в хозяйст</w:t>
      </w:r>
      <w:r w:rsidRPr="00DE096C">
        <w:rPr>
          <w:bCs/>
          <w:color w:val="002060"/>
          <w:sz w:val="16"/>
          <w:szCs w:val="16"/>
        </w:rPr>
        <w:softHyphen/>
        <w:t>венном отношении».</w:t>
      </w:r>
    </w:p>
    <w:p w14:paraId="4C15052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Предложение Немченко реализова</w:t>
      </w:r>
      <w:r w:rsidRPr="00DE096C">
        <w:rPr>
          <w:bCs/>
          <w:color w:val="002060"/>
          <w:sz w:val="16"/>
          <w:szCs w:val="16"/>
        </w:rPr>
        <w:softHyphen/>
        <w:t>ли лишь спустя 2,5 года, уже во вре</w:t>
      </w:r>
      <w:r w:rsidRPr="00DE096C">
        <w:rPr>
          <w:bCs/>
          <w:color w:val="002060"/>
          <w:sz w:val="16"/>
          <w:szCs w:val="16"/>
        </w:rPr>
        <w:softHyphen/>
        <w:t>мя войны, когда создали Управление Военного воздушного флота (УВВФ)</w:t>
      </w:r>
    </w:p>
    <w:p w14:paraId="5D738DC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 центральный орган авиации, основные функции которого заключались в снабжении авиации действующей армии авиационной техникой и оказании помощи отечественной авиапромышленности в увеличении количества и качества выпускаемой авиационной продукции.</w:t>
      </w:r>
    </w:p>
    <w:p w14:paraId="3513A2C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Осенью 1913 г. вопрос о реорганизации ГУ ГШ и ГИУ отложили до конца года, и Воз</w:t>
      </w:r>
      <w:r w:rsidRPr="00DE096C">
        <w:rPr>
          <w:bCs/>
          <w:color w:val="002060"/>
          <w:sz w:val="16"/>
          <w:szCs w:val="16"/>
        </w:rPr>
        <w:softHyphen/>
        <w:t>духоплавательная часть продолжала свою деятельность по подготовке личного соста</w:t>
      </w:r>
      <w:r w:rsidRPr="00DE096C">
        <w:rPr>
          <w:bCs/>
          <w:color w:val="002060"/>
          <w:sz w:val="16"/>
          <w:szCs w:val="16"/>
        </w:rPr>
        <w:softHyphen/>
        <w:t>ва и заготовке авиационного имущества для намеченных к формированию авиачастей. В результате созидательной деятельности Воздухоплавательной части ГУ ГШ под руко</w:t>
      </w:r>
      <w:r w:rsidRPr="00DE096C">
        <w:rPr>
          <w:bCs/>
          <w:color w:val="002060"/>
          <w:sz w:val="16"/>
          <w:szCs w:val="16"/>
        </w:rPr>
        <w:softHyphen/>
        <w:t>водством М.И. Шишкевича к концу 1913 г. сложилась обновленная система управления русской военной авиацией.</w:t>
      </w:r>
    </w:p>
    <w:p w14:paraId="4D5873B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Дальнейшее развитие авиации продолжало осуществляться согласно «Большой про</w:t>
      </w:r>
      <w:r w:rsidRPr="00DE096C">
        <w:rPr>
          <w:bCs/>
          <w:color w:val="002060"/>
          <w:sz w:val="16"/>
          <w:szCs w:val="16"/>
        </w:rPr>
        <w:softHyphen/>
        <w:t xml:space="preserve">грамме по усилению русской армии», одобренной Николаем </w:t>
      </w:r>
      <w:r w:rsidRPr="00DE096C">
        <w:rPr>
          <w:bCs/>
          <w:color w:val="002060"/>
          <w:sz w:val="16"/>
          <w:szCs w:val="16"/>
          <w:lang w:val="en-US"/>
        </w:rPr>
        <w:t>II</w:t>
      </w:r>
      <w:r w:rsidRPr="00DE096C">
        <w:rPr>
          <w:bCs/>
          <w:color w:val="002060"/>
          <w:sz w:val="16"/>
          <w:szCs w:val="16"/>
        </w:rPr>
        <w:t xml:space="preserve"> 22 октября 1913г., так как «Общий план организации воздухоплавания и авиации в армии» включили в нее в каче</w:t>
      </w:r>
      <w:r w:rsidRPr="00DE096C">
        <w:rPr>
          <w:bCs/>
          <w:color w:val="002060"/>
          <w:sz w:val="16"/>
          <w:szCs w:val="16"/>
        </w:rPr>
        <w:softHyphen/>
        <w:t>стве составной части. Незадолго до войны, 24 июня 1914 года, «Большую программу...» утвердила Дума, и она стала законом (Елисеев С.П. Организационное строительство военной авиации России... С. 30-31.)</w:t>
      </w:r>
      <w:r w:rsidRPr="00DE096C">
        <w:rPr>
          <w:bCs/>
          <w:color w:val="002060"/>
          <w:sz w:val="16"/>
          <w:szCs w:val="16"/>
          <w:vertAlign w:val="superscript"/>
        </w:rPr>
        <w:t>9</w:t>
      </w:r>
      <w:r w:rsidRPr="00DE096C">
        <w:rPr>
          <w:bCs/>
          <w:color w:val="002060"/>
          <w:sz w:val="16"/>
          <w:szCs w:val="16"/>
        </w:rPr>
        <w:t>.</w:t>
      </w:r>
    </w:p>
    <w:p w14:paraId="555B77D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Рассредоточение функций по управлению авиацией между высшими министерскими структурами создавало предпосылки к снижению темпов формирования авиаотрядов и другим неурядицам, начавшим проявляться сразу после выхода в свет циркуляра Глав</w:t>
      </w:r>
      <w:r w:rsidRPr="00DE096C">
        <w:rPr>
          <w:bCs/>
          <w:color w:val="002060"/>
          <w:sz w:val="16"/>
          <w:szCs w:val="16"/>
        </w:rPr>
        <w:softHyphen/>
        <w:t>ного штаба об упразднении Воздухоплавательной части ГУ ГШ. В составе ГВТУ, его на</w:t>
      </w:r>
      <w:r w:rsidRPr="00DE096C">
        <w:rPr>
          <w:bCs/>
          <w:color w:val="002060"/>
          <w:sz w:val="16"/>
          <w:szCs w:val="16"/>
        </w:rPr>
        <w:softHyphen/>
        <w:t>чальником стал генерал-лейтенант барон Е.Э. Ропп, организовали Технический отдел под управлением генерал-майора И.М. Болотова, который в полном соответствии с своей фамилией затянул военную авиацию в «болото».</w:t>
      </w:r>
    </w:p>
    <w:p w14:paraId="3111367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Прежде всего, так и не решенным оставался вопрос о выборе типа самолёта для ка</w:t>
      </w:r>
      <w:r w:rsidRPr="00DE096C">
        <w:rPr>
          <w:bCs/>
          <w:color w:val="002060"/>
          <w:sz w:val="16"/>
          <w:szCs w:val="16"/>
        </w:rPr>
        <w:softHyphen/>
        <w:t>ждого из четырех видов авиаотрядов. В феврале 1914 г. в докладе «в Технический ко</w:t>
      </w:r>
      <w:r w:rsidRPr="00DE096C">
        <w:rPr>
          <w:bCs/>
          <w:color w:val="002060"/>
          <w:sz w:val="16"/>
          <w:szCs w:val="16"/>
        </w:rPr>
        <w:softHyphen/>
        <w:t>митет управления о типах самолётов, необходимых для военного воздушного флота, их оборудовании и вооружении» генерал Болотов отмечал, что для одно- и двухместных самолётов «полезны сравнительно легкие ружья, допускающие действовать по летатель</w:t>
      </w:r>
      <w:r w:rsidRPr="00DE096C">
        <w:rPr>
          <w:bCs/>
          <w:color w:val="002060"/>
          <w:sz w:val="16"/>
          <w:szCs w:val="16"/>
        </w:rPr>
        <w:softHyphen/>
        <w:t>ным аппаратам противника широко разлетающимся скопом пуль (картечи) с руки...» Во</w:t>
      </w:r>
      <w:r w:rsidRPr="00DE096C">
        <w:rPr>
          <w:bCs/>
          <w:color w:val="002060"/>
          <w:sz w:val="16"/>
          <w:szCs w:val="16"/>
        </w:rPr>
        <w:softHyphen/>
        <w:t xml:space="preserve">оружать новые авиационные «горе-стратеги» предлагали «только большие самолёты типа «Илья Муромец»». В отношении радиотелеграфа и других наработок, выполненных в свое время Воздухоплавательной частью, предлагалось следующее: «Ввиду неимения окончательного решения о броне, бомбах и </w:t>
      </w:r>
      <w:r w:rsidRPr="00DE096C">
        <w:rPr>
          <w:bCs/>
          <w:color w:val="002060"/>
          <w:sz w:val="16"/>
          <w:szCs w:val="16"/>
        </w:rPr>
        <w:lastRenderedPageBreak/>
        <w:t>телеграфе и принимая во внимание, что за</w:t>
      </w:r>
      <w:r w:rsidRPr="00DE096C">
        <w:rPr>
          <w:bCs/>
          <w:color w:val="002060"/>
          <w:sz w:val="16"/>
          <w:szCs w:val="16"/>
        </w:rPr>
        <w:softHyphen/>
        <w:t>казываемые аппараты служат свой срок в два года, при настоящем заказе не принимать во внимание этих потребностей, кроме съёмной брони, но не на всех аппаратах».</w:t>
      </w:r>
    </w:p>
    <w:p w14:paraId="7C63586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Предложения генерала Болотова трижды (4, 11 и 18 марта 1914 г.) рассматривались на заседаниях Технического комитета ГВТУ. На них из-за межведомственных трений отсутствовали представители Генштаба, в том числе и бывший начальник Воздухоплава</w:t>
      </w:r>
      <w:r w:rsidRPr="00DE096C">
        <w:rPr>
          <w:bCs/>
          <w:color w:val="002060"/>
          <w:sz w:val="16"/>
          <w:szCs w:val="16"/>
        </w:rPr>
        <w:softHyphen/>
        <w:t>тельной части Шишкевич. В результате обсуждения вопроса «О типах...» пришли к вы</w:t>
      </w:r>
      <w:r w:rsidRPr="00DE096C">
        <w:rPr>
          <w:bCs/>
          <w:color w:val="002060"/>
          <w:sz w:val="16"/>
          <w:szCs w:val="16"/>
        </w:rPr>
        <w:softHyphen/>
        <w:t>воду, что следует заказать для полевых (армейских) и крепостных отрядов самолёты: «Вуазен», «Сикорский-Х» и «Фарман-ХХИ», а для корпусных отрядов — «Депердюссен», «Моран-Парасоль» и «Сикорский-Х1». Для отрядов особого назначения предусматрива</w:t>
      </w:r>
      <w:r w:rsidRPr="00DE096C">
        <w:rPr>
          <w:bCs/>
          <w:color w:val="002060"/>
          <w:sz w:val="16"/>
          <w:szCs w:val="16"/>
        </w:rPr>
        <w:softHyphen/>
        <w:t>лось сделать заказы на одноместные «Моран-Сольнье».</w:t>
      </w:r>
    </w:p>
    <w:p w14:paraId="0A4289B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Так менее чем за полгода, обозначив «новую позицию» в вопросе о вооружении лета</w:t>
      </w:r>
      <w:r w:rsidRPr="00DE096C">
        <w:rPr>
          <w:bCs/>
          <w:color w:val="002060"/>
          <w:sz w:val="16"/>
          <w:szCs w:val="16"/>
        </w:rPr>
        <w:softHyphen/>
        <w:t>тельных аппаратов, «похоронили» пионерские работы по вооружению и бронированию са</w:t>
      </w:r>
      <w:r w:rsidRPr="00DE096C">
        <w:rPr>
          <w:bCs/>
          <w:color w:val="002060"/>
          <w:sz w:val="16"/>
          <w:szCs w:val="16"/>
        </w:rPr>
        <w:softHyphen/>
        <w:t>молётов, проводившиеся в 1912-1913 гг. под руководством Шишкевича. Понятно, что при таком подходе Шишкевичу уже не было места в новой структуре ГВТУ. Печальным итогом стало то, что начавшуюся летом 1914 г. Первую мировую войну русская боевая авиация встретила невооруженной, что и заставило П.Н. Нестерова пожертвовать собой, совершая первый в мире воздушный таран.</w:t>
      </w:r>
    </w:p>
    <w:p w14:paraId="35A8CF9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Вероятно, именно это имел в виду В.Б. Шавров, когда писал, что «с первых же дней войны стали сказываться тяжёлые просчеты, преступные упущения и крупнейшие не</w:t>
      </w:r>
      <w:r w:rsidRPr="00DE096C">
        <w:rPr>
          <w:bCs/>
          <w:color w:val="002060"/>
          <w:sz w:val="16"/>
          <w:szCs w:val="16"/>
        </w:rPr>
        <w:softHyphen/>
        <w:t>достатки в руководстве русской авиацией...» (Шавров В.Б. История конструкций самолётов в СССР до 1938 г. М., 1978. С. 151.)</w:t>
      </w:r>
      <w:r w:rsidRPr="00DE096C">
        <w:rPr>
          <w:bCs/>
          <w:color w:val="002060"/>
          <w:sz w:val="16"/>
          <w:szCs w:val="16"/>
          <w:vertAlign w:val="superscript"/>
        </w:rPr>
        <w:t>10</w:t>
      </w:r>
      <w:r w:rsidRPr="00DE096C">
        <w:rPr>
          <w:bCs/>
          <w:color w:val="002060"/>
          <w:sz w:val="16"/>
          <w:szCs w:val="16"/>
        </w:rPr>
        <w:t>.</w:t>
      </w:r>
    </w:p>
    <w:p w14:paraId="282FFB7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Кстати, именно М.И. Шишкевич высказал мысль о целесообразности 30-суточного ареста Нестерова за выполнение «мертвой петли«. Так что не все было гладко у «ге</w:t>
      </w:r>
      <w:r w:rsidRPr="00DE096C">
        <w:rPr>
          <w:bCs/>
          <w:color w:val="002060"/>
          <w:sz w:val="16"/>
          <w:szCs w:val="16"/>
        </w:rPr>
        <w:softHyphen/>
        <w:t>нерала от авиации« с перспективами её развития. Но в целом его деятельность на по</w:t>
      </w:r>
      <w:r w:rsidRPr="00DE096C">
        <w:rPr>
          <w:bCs/>
          <w:color w:val="002060"/>
          <w:sz w:val="16"/>
          <w:szCs w:val="16"/>
        </w:rPr>
        <w:softHyphen/>
        <w:t>сту начальника Воздухоплавательной части ГУ ГШ в 1912-1913 гг. следует оценивать весьма высоко. Несколько слов о его дальнейшей судьбе.</w:t>
      </w:r>
    </w:p>
    <w:p w14:paraId="53CDEB0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Во время первой мировой войны Шишкевич служил начальником штаба 7-й, 11-й и Дунайской армий, 2 декабря 1916г. стал начальником штаба Румынского фронта. В ян</w:t>
      </w:r>
      <w:r w:rsidRPr="00DE096C">
        <w:rPr>
          <w:bCs/>
          <w:color w:val="002060"/>
          <w:sz w:val="16"/>
          <w:szCs w:val="16"/>
        </w:rPr>
        <w:softHyphen/>
        <w:t>варе 1916 г. получил звание генерал-лейтенанта и 16 августа 1916 г. был награжден ор</w:t>
      </w:r>
      <w:r w:rsidRPr="00DE096C">
        <w:rPr>
          <w:bCs/>
          <w:color w:val="002060"/>
          <w:sz w:val="16"/>
          <w:szCs w:val="16"/>
        </w:rPr>
        <w:softHyphen/>
        <w:t>деном Св. Георгия 4-й степени. 29 апреля 1917 г. 55-летний генерал по болезни был «зачислен в резерв чинов«, а приказом по Московскому округу от 27 ноября 1917 г. уволен в отставку. Проживал в Москве по адресу Остоженка, д. 10, кв. 11 (РГВИА. Ф. 409ПС. Д. 151-522. 76)</w:t>
      </w:r>
      <w:r w:rsidRPr="00DE096C">
        <w:rPr>
          <w:bCs/>
          <w:color w:val="002060"/>
          <w:sz w:val="16"/>
          <w:szCs w:val="16"/>
          <w:vertAlign w:val="superscript"/>
        </w:rPr>
        <w:t>11</w:t>
      </w:r>
      <w:r w:rsidRPr="00DE096C">
        <w:rPr>
          <w:bCs/>
          <w:color w:val="002060"/>
          <w:sz w:val="16"/>
          <w:szCs w:val="16"/>
        </w:rPr>
        <w:t>.</w:t>
      </w:r>
    </w:p>
    <w:p w14:paraId="1DBD4DB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С этого адреса 14 июня 1918 г. в пенсионный отдел Главного штаба он отправил про</w:t>
      </w:r>
      <w:r w:rsidRPr="00DE096C">
        <w:rPr>
          <w:bCs/>
          <w:color w:val="002060"/>
          <w:sz w:val="16"/>
          <w:szCs w:val="16"/>
        </w:rPr>
        <w:softHyphen/>
        <w:t>шение о назначении пенсии. В течение месяца ранее служившему в МВО боевому ге</w:t>
      </w:r>
      <w:r w:rsidRPr="00DE096C">
        <w:rPr>
          <w:bCs/>
          <w:color w:val="002060"/>
          <w:sz w:val="16"/>
          <w:szCs w:val="16"/>
        </w:rPr>
        <w:softHyphen/>
        <w:t>нералу и кавалеру назначили пенсию из военной эмеритальной кассы и из Московской казенной палаты. По довоенным меркам сумма в 3600 руб. (2097+1503) могла считать</w:t>
      </w:r>
      <w:r w:rsidRPr="00DE096C">
        <w:rPr>
          <w:bCs/>
          <w:color w:val="002060"/>
          <w:sz w:val="16"/>
          <w:szCs w:val="16"/>
        </w:rPr>
        <w:softHyphen/>
        <w:t>ся вполне достаточной, но дело происходило в середине 1918 г.! Даже удивительно, что ещё функционировали финансовые структуры старого военного ведомства. Пенсионное дело Шишкевича закрыли 23 июля 1918 г., и неизвестно, получал ли от советской вла</w:t>
      </w:r>
      <w:r w:rsidRPr="00DE096C">
        <w:rPr>
          <w:bCs/>
          <w:color w:val="002060"/>
          <w:sz w:val="16"/>
          <w:szCs w:val="16"/>
        </w:rPr>
        <w:softHyphen/>
        <w:t>сти какие-либо выплаты царский генерал. Впрочем, в условиях бешеной инфляции во время гражданской войны этой суммы могло не хватить и на коробок спичек.</w:t>
      </w:r>
    </w:p>
    <w:p w14:paraId="025C5DB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Сведений о последних годах жизни первого генерала от авиации М.И. Шишкевича пока не найдено (11696).</w:t>
      </w:r>
    </w:p>
    <w:p w14:paraId="2C83502E" w14:textId="77777777" w:rsidR="00B67D7C" w:rsidRPr="00DE096C" w:rsidRDefault="00B67D7C" w:rsidP="00D45A46">
      <w:pPr>
        <w:shd w:val="clear" w:color="auto" w:fill="FFFFFF"/>
        <w:jc w:val="both"/>
        <w:rPr>
          <w:bCs/>
          <w:color w:val="002060"/>
          <w:sz w:val="16"/>
          <w:szCs w:val="16"/>
        </w:rPr>
      </w:pPr>
    </w:p>
    <w:p w14:paraId="44A7B860" w14:textId="69A17698" w:rsidR="00B67D7C" w:rsidRPr="00DE096C" w:rsidRDefault="007503DE" w:rsidP="00D45A46">
      <w:pPr>
        <w:jc w:val="both"/>
        <w:rPr>
          <w:bCs/>
          <w:color w:val="002060"/>
          <w:sz w:val="16"/>
          <w:szCs w:val="16"/>
        </w:rPr>
      </w:pPr>
      <w:r w:rsidRPr="00DE096C">
        <w:rPr>
          <w:bCs/>
          <w:color w:val="002060"/>
          <w:sz w:val="16"/>
          <w:szCs w:val="16"/>
        </w:rPr>
        <w:t>В</w:t>
      </w:r>
      <w:r w:rsidR="00B67D7C" w:rsidRPr="00DE096C">
        <w:rPr>
          <w:bCs/>
          <w:color w:val="002060"/>
          <w:sz w:val="16"/>
          <w:szCs w:val="16"/>
        </w:rPr>
        <w:t>есной 1914 г. Габер-Влынский испытал «Фарман-XVI» с бронированной кабиной и пулеметом «максим» (11236).</w:t>
      </w:r>
    </w:p>
    <w:p w14:paraId="7159062D" w14:textId="77777777" w:rsidR="00B67D7C" w:rsidRPr="00DE096C" w:rsidRDefault="00B67D7C" w:rsidP="00D45A46">
      <w:pPr>
        <w:jc w:val="both"/>
        <w:rPr>
          <w:bCs/>
          <w:color w:val="002060"/>
          <w:sz w:val="16"/>
          <w:szCs w:val="16"/>
        </w:rPr>
      </w:pPr>
    </w:p>
    <w:p w14:paraId="7F4EDB3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Весной 1914 г. А. Габер-Влынский испытывал самолет «Фарман-16» с бронированной кабиной и пулеметом «Максим».</w:t>
      </w:r>
    </w:p>
    <w:p w14:paraId="0F3DACC6" w14:textId="77777777" w:rsidR="00B67D7C" w:rsidRPr="00DE096C" w:rsidRDefault="00B67D7C" w:rsidP="00D45A46">
      <w:pPr>
        <w:shd w:val="clear" w:color="auto" w:fill="FFFFFF"/>
        <w:jc w:val="both"/>
        <w:rPr>
          <w:bCs/>
          <w:color w:val="002060"/>
          <w:sz w:val="16"/>
          <w:szCs w:val="16"/>
        </w:rPr>
      </w:pPr>
    </w:p>
    <w:p w14:paraId="0D136E6A" w14:textId="77777777" w:rsidR="007503DE" w:rsidRPr="00DE096C" w:rsidRDefault="007503DE" w:rsidP="00D45A46">
      <w:pPr>
        <w:shd w:val="clear" w:color="auto" w:fill="FFFFFF"/>
        <w:jc w:val="both"/>
        <w:rPr>
          <w:bCs/>
          <w:color w:val="002060"/>
          <w:sz w:val="16"/>
          <w:szCs w:val="16"/>
        </w:rPr>
      </w:pPr>
      <w:r w:rsidRPr="00DE096C">
        <w:rPr>
          <w:bCs/>
          <w:color w:val="002060"/>
          <w:sz w:val="16"/>
          <w:szCs w:val="16"/>
        </w:rPr>
        <w:t>Весной 1914 г. пилот А. Габер-Волынский испытал са</w:t>
      </w:r>
      <w:r w:rsidRPr="00DE096C">
        <w:rPr>
          <w:bCs/>
          <w:color w:val="002060"/>
          <w:sz w:val="16"/>
          <w:szCs w:val="16"/>
        </w:rPr>
        <w:softHyphen/>
        <w:t>молет «Фарман-16» с бронированной кабиной и пулеме</w:t>
      </w:r>
      <w:r w:rsidRPr="00DE096C">
        <w:rPr>
          <w:bCs/>
          <w:color w:val="002060"/>
          <w:sz w:val="16"/>
          <w:szCs w:val="16"/>
        </w:rPr>
        <w:softHyphen/>
        <w:t>том «Максим» (он весил 21 кг) (11060).</w:t>
      </w:r>
    </w:p>
    <w:p w14:paraId="3D7F89BC" w14:textId="77777777" w:rsidR="007503DE" w:rsidRPr="00DE096C" w:rsidRDefault="007503DE" w:rsidP="00D45A46">
      <w:pPr>
        <w:shd w:val="clear" w:color="auto" w:fill="FFFFFF"/>
        <w:jc w:val="both"/>
        <w:rPr>
          <w:bCs/>
          <w:color w:val="002060"/>
          <w:sz w:val="16"/>
          <w:szCs w:val="16"/>
        </w:rPr>
      </w:pPr>
    </w:p>
    <w:p w14:paraId="60D3D819" w14:textId="1C513B05" w:rsidR="007503DE" w:rsidRPr="00DE096C" w:rsidRDefault="007503DE" w:rsidP="00D45A46">
      <w:pPr>
        <w:jc w:val="both"/>
        <w:rPr>
          <w:bCs/>
          <w:color w:val="002060"/>
          <w:sz w:val="16"/>
          <w:szCs w:val="16"/>
        </w:rPr>
      </w:pPr>
      <w:r w:rsidRPr="00DE096C">
        <w:rPr>
          <w:bCs/>
          <w:color w:val="002060"/>
          <w:sz w:val="16"/>
          <w:szCs w:val="16"/>
        </w:rPr>
        <w:t>Весной 1914 г. пилот А. Габер-Волынский испытал самолет "Фарман-16" с бронированной кабиной и пулеметом "Максим" (он весил 21 кг).</w:t>
      </w:r>
      <w:r w:rsidR="0006581C">
        <w:rPr>
          <w:bCs/>
          <w:color w:val="002060"/>
          <w:sz w:val="16"/>
          <w:szCs w:val="16"/>
        </w:rPr>
        <w:t xml:space="preserve"> </w:t>
      </w:r>
      <w:r w:rsidRPr="00DE096C">
        <w:rPr>
          <w:bCs/>
          <w:color w:val="002060"/>
          <w:sz w:val="16"/>
          <w:szCs w:val="16"/>
        </w:rPr>
        <w:t>(11991).</w:t>
      </w:r>
    </w:p>
    <w:p w14:paraId="3A161904" w14:textId="77777777" w:rsidR="007503DE" w:rsidRPr="00DE096C" w:rsidRDefault="007503DE" w:rsidP="00D45A46">
      <w:pPr>
        <w:jc w:val="both"/>
        <w:rPr>
          <w:bCs/>
          <w:color w:val="002060"/>
          <w:sz w:val="16"/>
          <w:szCs w:val="16"/>
        </w:rPr>
      </w:pPr>
    </w:p>
    <w:p w14:paraId="4C19D3EA" w14:textId="1F32C3B6" w:rsidR="00B67D7C" w:rsidRPr="00DE096C" w:rsidRDefault="00B67D7C" w:rsidP="00D45A46">
      <w:pPr>
        <w:jc w:val="both"/>
        <w:rPr>
          <w:bCs/>
          <w:color w:val="002060"/>
          <w:sz w:val="16"/>
          <w:szCs w:val="16"/>
        </w:rPr>
      </w:pPr>
      <w:r w:rsidRPr="00DE096C">
        <w:rPr>
          <w:bCs/>
          <w:color w:val="002060"/>
          <w:sz w:val="16"/>
          <w:szCs w:val="16"/>
        </w:rPr>
        <w:t>Весной 1914</w:t>
      </w:r>
      <w:r w:rsidR="007503DE" w:rsidRPr="00DE096C">
        <w:rPr>
          <w:bCs/>
          <w:color w:val="002060"/>
          <w:sz w:val="16"/>
          <w:szCs w:val="16"/>
        </w:rPr>
        <w:t xml:space="preserve"> </w:t>
      </w:r>
      <w:r w:rsidRPr="00DE096C">
        <w:rPr>
          <w:bCs/>
          <w:color w:val="002060"/>
          <w:sz w:val="16"/>
          <w:szCs w:val="16"/>
        </w:rPr>
        <w:t>г.</w:t>
      </w:r>
      <w:r w:rsidR="007503DE" w:rsidRPr="00DE096C">
        <w:rPr>
          <w:bCs/>
          <w:color w:val="002060"/>
          <w:sz w:val="16"/>
          <w:szCs w:val="16"/>
        </w:rPr>
        <w:t xml:space="preserve"> в Одессе</w:t>
      </w:r>
      <w:r w:rsidRPr="00DE096C">
        <w:rPr>
          <w:bCs/>
          <w:color w:val="002060"/>
          <w:sz w:val="16"/>
          <w:szCs w:val="16"/>
        </w:rPr>
        <w:t xml:space="preserve"> в связи с увеличением заказов, началась постройка нового крупного завода, к концу 1914 года он вступил в строй. При постройке самолета «Анадва» в 1916г. А.К. Михалькевичем впервые был применен плазово-шаблонный метод.</w:t>
      </w:r>
      <w:r w:rsidRPr="00DE096C">
        <w:rPr>
          <w:bCs/>
          <w:color w:val="002060"/>
          <w:sz w:val="16"/>
          <w:szCs w:val="16"/>
          <w:vertAlign w:val="superscript"/>
        </w:rPr>
        <w:t>76</w:t>
      </w:r>
    </w:p>
    <w:p w14:paraId="15E38363" w14:textId="77777777" w:rsidR="00B67D7C" w:rsidRPr="00DE096C" w:rsidRDefault="00B67D7C" w:rsidP="00D45A46">
      <w:pPr>
        <w:jc w:val="both"/>
        <w:rPr>
          <w:bCs/>
          <w:color w:val="002060"/>
          <w:sz w:val="16"/>
          <w:szCs w:val="16"/>
        </w:rPr>
      </w:pPr>
      <w:r w:rsidRPr="00DE096C">
        <w:rPr>
          <w:bCs/>
          <w:color w:val="002060"/>
          <w:sz w:val="16"/>
          <w:szCs w:val="16"/>
        </w:rPr>
        <w:t>Кроме того, Анатра построил авиационные заводы в Симферополе и Киеве (в 1921г. киевский завод Анатра - в ведении Главкоавиа;</w:t>
      </w:r>
      <w:r w:rsidRPr="00DE096C">
        <w:rPr>
          <w:bCs/>
          <w:color w:val="002060"/>
          <w:sz w:val="16"/>
          <w:szCs w:val="16"/>
          <w:vertAlign w:val="superscript"/>
        </w:rPr>
        <w:t>144</w:t>
      </w:r>
      <w:r w:rsidRPr="00DE096C">
        <w:rPr>
          <w:bCs/>
          <w:color w:val="002060"/>
          <w:sz w:val="16"/>
          <w:szCs w:val="16"/>
        </w:rPr>
        <w:t xml:space="preserve"> возможно, это в действительности Симферопольский завод).</w:t>
      </w:r>
    </w:p>
    <w:p w14:paraId="54343C76" w14:textId="77777777" w:rsidR="00B67D7C" w:rsidRPr="00DE096C" w:rsidRDefault="00B67D7C" w:rsidP="00D45A46">
      <w:pPr>
        <w:jc w:val="both"/>
        <w:rPr>
          <w:bCs/>
          <w:color w:val="002060"/>
          <w:sz w:val="16"/>
          <w:szCs w:val="16"/>
        </w:rPr>
      </w:pPr>
      <w:r w:rsidRPr="00DE096C">
        <w:rPr>
          <w:bCs/>
          <w:color w:val="002060"/>
          <w:sz w:val="16"/>
          <w:szCs w:val="16"/>
        </w:rPr>
        <w:t>В 12.1917 г. завод национализирован.</w:t>
      </w:r>
      <w:r w:rsidRPr="00DE096C">
        <w:rPr>
          <w:bCs/>
          <w:color w:val="002060"/>
          <w:sz w:val="16"/>
          <w:szCs w:val="16"/>
          <w:vertAlign w:val="superscript"/>
        </w:rPr>
        <w:t>144</w:t>
      </w:r>
      <w:r w:rsidRPr="00DE096C">
        <w:rPr>
          <w:bCs/>
          <w:color w:val="002060"/>
          <w:sz w:val="16"/>
          <w:szCs w:val="16"/>
        </w:rPr>
        <w:t xml:space="preserve"> С весны 1918г. завод работал на Австро-Венгрию, войска которой оккупировали Одессу. В 11.1918г. австрийские войска покинули Одессу. В начале 1920г. после освобождения города завод национализирован и получил наименование Государственные авиамастерские (ГАМ) № 7 (Государственные авиамастерские (ГАМ) № 7 ГУВП ВСНХ, Завод А.А. Анатра, Государственный Авиационный завод № 11 (ГАЗ-11)). В 1921г. завод - в ведении Главкоавиа, в 1924г. ГАЗ-11 - в ведении ГУВП ВСНХ, весной 1925г. завод закрыт. Позднее на этом месте основан 562-й АРЗ МО.</w:t>
      </w:r>
    </w:p>
    <w:p w14:paraId="7300705A" w14:textId="77777777" w:rsidR="00B67D7C" w:rsidRPr="00DE096C" w:rsidRDefault="00B67D7C" w:rsidP="00D45A46">
      <w:pPr>
        <w:jc w:val="both"/>
        <w:rPr>
          <w:bCs/>
          <w:color w:val="002060"/>
          <w:sz w:val="16"/>
          <w:szCs w:val="16"/>
        </w:rPr>
      </w:pPr>
      <w:r w:rsidRPr="00DE096C">
        <w:rPr>
          <w:bCs/>
          <w:color w:val="002060"/>
          <w:sz w:val="16"/>
          <w:szCs w:val="16"/>
        </w:rPr>
        <w:t>Создан сельскохозяйственный самолет «Конек-Горбунок» (ВХ-5), первый полет 19.07.1924г.</w:t>
      </w:r>
    </w:p>
    <w:p w14:paraId="72E325B4" w14:textId="77777777" w:rsidR="00B67D7C" w:rsidRPr="00DE096C" w:rsidRDefault="00B67D7C" w:rsidP="00D45A46">
      <w:pPr>
        <w:jc w:val="both"/>
        <w:rPr>
          <w:bCs/>
          <w:color w:val="002060"/>
          <w:sz w:val="16"/>
          <w:szCs w:val="16"/>
        </w:rPr>
      </w:pPr>
      <w:r w:rsidRPr="00DE096C">
        <w:rPr>
          <w:bCs/>
          <w:color w:val="002060"/>
          <w:sz w:val="16"/>
          <w:szCs w:val="16"/>
        </w:rPr>
        <w:t>Численность персонала: (07.1914г.)- 95 чел., (06.1917г.)- 1380 чел.</w:t>
      </w:r>
    </w:p>
    <w:p w14:paraId="0F2A51B8" w14:textId="77777777" w:rsidR="00B67D7C" w:rsidRPr="00DE096C" w:rsidRDefault="00B67D7C" w:rsidP="00D45A46">
      <w:pPr>
        <w:jc w:val="both"/>
        <w:rPr>
          <w:bCs/>
          <w:color w:val="002060"/>
          <w:sz w:val="16"/>
          <w:szCs w:val="16"/>
        </w:rPr>
      </w:pPr>
      <w:r w:rsidRPr="00DE096C">
        <w:rPr>
          <w:bCs/>
          <w:color w:val="002060"/>
          <w:sz w:val="16"/>
          <w:szCs w:val="16"/>
        </w:rPr>
        <w:t xml:space="preserve">Гл. конструктор КБ завода- Г.М. Макеев, (1915-17г.)- Декан (Е.А. Де Камп, </w:t>
      </w:r>
      <w:r w:rsidRPr="00DE096C">
        <w:rPr>
          <w:bCs/>
          <w:color w:val="002060"/>
          <w:sz w:val="16"/>
          <w:szCs w:val="16"/>
          <w:lang w:val="en-US"/>
        </w:rPr>
        <w:t>DesCamps</w:t>
      </w:r>
      <w:r w:rsidRPr="00DE096C">
        <w:rPr>
          <w:bCs/>
          <w:color w:val="002060"/>
          <w:sz w:val="16"/>
          <w:szCs w:val="16"/>
        </w:rPr>
        <w:t>), (1921г.-)- В.Н. Хиони («Конек-Горбунок»),</w:t>
      </w:r>
    </w:p>
    <w:p w14:paraId="658DC5E6" w14:textId="77777777" w:rsidR="00B67D7C" w:rsidRPr="00DE096C" w:rsidRDefault="00B67D7C" w:rsidP="00D45A46">
      <w:pPr>
        <w:jc w:val="both"/>
        <w:rPr>
          <w:bCs/>
          <w:color w:val="002060"/>
          <w:sz w:val="16"/>
          <w:szCs w:val="16"/>
        </w:rPr>
      </w:pPr>
      <w:r w:rsidRPr="00DE096C">
        <w:rPr>
          <w:bCs/>
          <w:i/>
          <w:color w:val="002060"/>
          <w:sz w:val="16"/>
          <w:szCs w:val="16"/>
        </w:rPr>
        <w:t>Производство:</w:t>
      </w:r>
      <w:r w:rsidRPr="00DE096C">
        <w:rPr>
          <w:bCs/>
          <w:color w:val="002060"/>
          <w:sz w:val="16"/>
          <w:szCs w:val="16"/>
        </w:rPr>
        <w:t xml:space="preserve"> "</w:t>
      </w:r>
      <w:r w:rsidRPr="00DE096C">
        <w:rPr>
          <w:bCs/>
          <w:color w:val="002060"/>
          <w:sz w:val="16"/>
          <w:szCs w:val="16"/>
          <w:lang w:val="en-US"/>
        </w:rPr>
        <w:t>Farman</w:t>
      </w:r>
      <w:r w:rsidRPr="00DE096C">
        <w:rPr>
          <w:bCs/>
          <w:color w:val="002060"/>
          <w:sz w:val="16"/>
          <w:szCs w:val="16"/>
        </w:rPr>
        <w:t>-</w:t>
      </w:r>
      <w:r w:rsidRPr="00DE096C">
        <w:rPr>
          <w:bCs/>
          <w:color w:val="002060"/>
          <w:sz w:val="16"/>
          <w:szCs w:val="16"/>
          <w:lang w:val="en-US"/>
        </w:rPr>
        <w:t>IV</w:t>
      </w:r>
      <w:r w:rsidRPr="00DE096C">
        <w:rPr>
          <w:bCs/>
          <w:color w:val="002060"/>
          <w:sz w:val="16"/>
          <w:szCs w:val="16"/>
        </w:rPr>
        <w:t>" (04.1911-), "</w:t>
      </w:r>
      <w:r w:rsidRPr="00DE096C">
        <w:rPr>
          <w:bCs/>
          <w:color w:val="002060"/>
          <w:sz w:val="16"/>
          <w:szCs w:val="16"/>
          <w:lang w:val="en-US"/>
        </w:rPr>
        <w:t>Newport</w:t>
      </w:r>
      <w:r w:rsidRPr="00DE096C">
        <w:rPr>
          <w:bCs/>
          <w:color w:val="002060"/>
          <w:sz w:val="16"/>
          <w:szCs w:val="16"/>
        </w:rPr>
        <w:t>", "</w:t>
      </w:r>
      <w:r w:rsidRPr="00DE096C">
        <w:rPr>
          <w:bCs/>
          <w:color w:val="002060"/>
          <w:sz w:val="16"/>
          <w:szCs w:val="16"/>
          <w:lang w:val="en-US"/>
        </w:rPr>
        <w:t>Morane</w:t>
      </w:r>
      <w:r w:rsidRPr="00DE096C">
        <w:rPr>
          <w:bCs/>
          <w:color w:val="002060"/>
          <w:sz w:val="16"/>
          <w:szCs w:val="16"/>
        </w:rPr>
        <w:t>", "</w:t>
      </w:r>
      <w:r w:rsidRPr="00DE096C">
        <w:rPr>
          <w:bCs/>
          <w:color w:val="002060"/>
          <w:sz w:val="16"/>
          <w:szCs w:val="16"/>
          <w:lang w:val="en-US"/>
        </w:rPr>
        <w:t>Voisin</w:t>
      </w:r>
      <w:r w:rsidRPr="00DE096C">
        <w:rPr>
          <w:bCs/>
          <w:color w:val="002060"/>
          <w:sz w:val="16"/>
          <w:szCs w:val="16"/>
        </w:rPr>
        <w:t>"; "</w:t>
      </w:r>
      <w:r w:rsidRPr="00DE096C">
        <w:rPr>
          <w:bCs/>
          <w:color w:val="002060"/>
          <w:sz w:val="16"/>
          <w:szCs w:val="16"/>
          <w:lang w:val="en-US"/>
        </w:rPr>
        <w:t>Anade</w:t>
      </w:r>
      <w:r w:rsidRPr="00DE096C">
        <w:rPr>
          <w:bCs/>
          <w:color w:val="002060"/>
          <w:sz w:val="16"/>
          <w:szCs w:val="16"/>
        </w:rPr>
        <w:t>" (1916-18)- 225, "</w:t>
      </w:r>
      <w:r w:rsidRPr="00DE096C">
        <w:rPr>
          <w:bCs/>
          <w:color w:val="002060"/>
          <w:sz w:val="16"/>
          <w:szCs w:val="16"/>
          <w:lang w:val="en-US"/>
        </w:rPr>
        <w:t>Anacle</w:t>
      </w:r>
      <w:r w:rsidRPr="00DE096C">
        <w:rPr>
          <w:bCs/>
          <w:color w:val="002060"/>
          <w:sz w:val="16"/>
          <w:szCs w:val="16"/>
        </w:rPr>
        <w:t xml:space="preserve"> "(-1917)- 24, «В.И.» («Вуазен Иванова», 1916-17)- 150, </w:t>
      </w:r>
      <w:r w:rsidRPr="00DE096C">
        <w:rPr>
          <w:bCs/>
          <w:color w:val="002060"/>
          <w:sz w:val="16"/>
          <w:szCs w:val="16"/>
          <w:lang w:val="en-US"/>
        </w:rPr>
        <w:t>M</w:t>
      </w:r>
      <w:r w:rsidRPr="00DE096C">
        <w:rPr>
          <w:bCs/>
          <w:color w:val="002060"/>
          <w:sz w:val="16"/>
          <w:szCs w:val="16"/>
        </w:rPr>
        <w:t>-5 (1916), Анадва ВХ (1916-17)- 2, Анадис (1916)-1, "</w:t>
      </w:r>
      <w:r w:rsidRPr="00DE096C">
        <w:rPr>
          <w:bCs/>
          <w:color w:val="002060"/>
          <w:sz w:val="16"/>
          <w:szCs w:val="16"/>
          <w:lang w:val="en-US"/>
        </w:rPr>
        <w:t>Anasal</w:t>
      </w:r>
      <w:r w:rsidRPr="00DE096C">
        <w:rPr>
          <w:bCs/>
          <w:color w:val="002060"/>
          <w:sz w:val="16"/>
          <w:szCs w:val="16"/>
        </w:rPr>
        <w:t>" (1917-18)- не менее 450, ВХ-5 (1923-25)- 30.</w:t>
      </w:r>
    </w:p>
    <w:p w14:paraId="0AEE0264" w14:textId="77777777" w:rsidR="00047175" w:rsidRPr="00DE096C" w:rsidRDefault="00047175" w:rsidP="00D45A46">
      <w:pPr>
        <w:shd w:val="clear" w:color="auto" w:fill="FFFFFF"/>
        <w:jc w:val="both"/>
        <w:rPr>
          <w:bCs/>
          <w:color w:val="002060"/>
          <w:sz w:val="16"/>
          <w:szCs w:val="16"/>
        </w:rPr>
      </w:pPr>
    </w:p>
    <w:p w14:paraId="67DE772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Вес</w:t>
      </w:r>
      <w:r w:rsidRPr="00DE096C">
        <w:rPr>
          <w:bCs/>
          <w:color w:val="002060"/>
          <w:sz w:val="16"/>
          <w:szCs w:val="16"/>
        </w:rPr>
        <w:softHyphen/>
        <w:t>ной 1914 г. опыты по установке на самолетах радиотелеграфа стали проводиться в более широких масштабах, осуществлялись некоторые доработки, изучалась возможность замены выпускной антенны замк</w:t>
      </w:r>
      <w:r w:rsidRPr="00DE096C">
        <w:rPr>
          <w:bCs/>
          <w:color w:val="002060"/>
          <w:sz w:val="16"/>
          <w:szCs w:val="16"/>
        </w:rPr>
        <w:softHyphen/>
        <w:t>нутым контуром. Дальнейшие события с установкой оборудования на самолеты развивались по непонятным канонам (1085).</w:t>
      </w:r>
    </w:p>
    <w:p w14:paraId="5C8D7E7D" w14:textId="77777777" w:rsidR="00B67D7C" w:rsidRPr="00DE096C" w:rsidRDefault="00B67D7C" w:rsidP="00D45A46">
      <w:pPr>
        <w:shd w:val="clear" w:color="auto" w:fill="FFFFFF"/>
        <w:jc w:val="both"/>
        <w:rPr>
          <w:bCs/>
          <w:color w:val="002060"/>
          <w:sz w:val="16"/>
          <w:szCs w:val="16"/>
        </w:rPr>
      </w:pPr>
    </w:p>
    <w:p w14:paraId="3AF658D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Весной 1914 г. Ю.Меллер сообщил начальнику ГВТУ оценочную стои</w:t>
      </w:r>
      <w:r w:rsidRPr="00DE096C">
        <w:rPr>
          <w:bCs/>
          <w:color w:val="002060"/>
          <w:sz w:val="16"/>
          <w:szCs w:val="16"/>
        </w:rPr>
        <w:softHyphen/>
        <w:t>мость имущества и механического оборудования: каменный корпус с пристройками и землей — 150 тыс. руб.; новый сборочный корпус с оборудованием — 360 тыс. руб.; ме</w:t>
      </w:r>
      <w:r w:rsidRPr="00DE096C">
        <w:rPr>
          <w:bCs/>
          <w:color w:val="002060"/>
          <w:sz w:val="16"/>
          <w:szCs w:val="16"/>
        </w:rPr>
        <w:softHyphen/>
        <w:t>ханическое оборудование — 160 тыс. руб. В штате меха</w:t>
      </w:r>
      <w:r w:rsidRPr="00DE096C">
        <w:rPr>
          <w:bCs/>
          <w:color w:val="002060"/>
          <w:sz w:val="16"/>
          <w:szCs w:val="16"/>
        </w:rPr>
        <w:softHyphen/>
        <w:t>нического отдела числились 300 рабочих, в столярной, ма</w:t>
      </w:r>
      <w:r w:rsidRPr="00DE096C">
        <w:rPr>
          <w:bCs/>
          <w:color w:val="002060"/>
          <w:sz w:val="16"/>
          <w:szCs w:val="16"/>
        </w:rPr>
        <w:softHyphen/>
        <w:t>лярной, обойной и других мастерских — 250 чел. Оборот минувшего года — 2 млн. руб. Ежемесячный выпуск дос</w:t>
      </w:r>
      <w:r w:rsidRPr="00DE096C">
        <w:rPr>
          <w:bCs/>
          <w:color w:val="002060"/>
          <w:sz w:val="16"/>
          <w:szCs w:val="16"/>
        </w:rPr>
        <w:softHyphen/>
        <w:t>тигал 12 —15 самолетов. Завод вырабатывал самостоя</w:t>
      </w:r>
      <w:r w:rsidRPr="00DE096C">
        <w:rPr>
          <w:bCs/>
          <w:color w:val="002060"/>
          <w:sz w:val="16"/>
          <w:szCs w:val="16"/>
        </w:rPr>
        <w:softHyphen/>
        <w:t>тельно многие детали, «как-то: обода, спицы, втулки, тали для моторов, тендера, болты, т.е. все металлические и де</w:t>
      </w:r>
      <w:r w:rsidRPr="00DE096C">
        <w:rPr>
          <w:bCs/>
          <w:color w:val="002060"/>
          <w:sz w:val="16"/>
          <w:szCs w:val="16"/>
        </w:rPr>
        <w:softHyphen/>
        <w:t>ревянные части, имея целый ряд специальных станков» (9651).</w:t>
      </w:r>
    </w:p>
    <w:p w14:paraId="17BBA9B2" w14:textId="77777777" w:rsidR="00B67D7C" w:rsidRPr="00DE096C" w:rsidRDefault="00B67D7C" w:rsidP="00D45A46">
      <w:pPr>
        <w:shd w:val="clear" w:color="auto" w:fill="FFFFFF"/>
        <w:jc w:val="both"/>
        <w:rPr>
          <w:bCs/>
          <w:color w:val="002060"/>
          <w:sz w:val="16"/>
          <w:szCs w:val="16"/>
        </w:rPr>
      </w:pPr>
    </w:p>
    <w:p w14:paraId="567BE2FB" w14:textId="76C0F154" w:rsidR="00B67D7C" w:rsidRPr="00DE096C" w:rsidRDefault="007503DE" w:rsidP="00D45A46">
      <w:pPr>
        <w:shd w:val="clear" w:color="auto" w:fill="FFFFFF"/>
        <w:jc w:val="both"/>
        <w:rPr>
          <w:bCs/>
          <w:color w:val="002060"/>
          <w:sz w:val="16"/>
          <w:szCs w:val="16"/>
        </w:rPr>
      </w:pPr>
      <w:r w:rsidRPr="00DE096C">
        <w:rPr>
          <w:bCs/>
          <w:color w:val="002060"/>
          <w:sz w:val="16"/>
          <w:szCs w:val="16"/>
        </w:rPr>
        <w:t>В</w:t>
      </w:r>
      <w:r w:rsidR="00B67D7C" w:rsidRPr="00DE096C">
        <w:rPr>
          <w:bCs/>
          <w:color w:val="002060"/>
          <w:sz w:val="16"/>
          <w:szCs w:val="16"/>
        </w:rPr>
        <w:t xml:space="preserve">есной 1914 г. </w:t>
      </w:r>
      <w:r w:rsidRPr="00DE096C">
        <w:rPr>
          <w:bCs/>
          <w:color w:val="002060"/>
          <w:sz w:val="16"/>
          <w:szCs w:val="16"/>
        </w:rPr>
        <w:t>посетившая «Дукс»</w:t>
      </w:r>
      <w:r w:rsidR="00E70AA2" w:rsidRPr="00DE096C">
        <w:rPr>
          <w:bCs/>
          <w:color w:val="002060"/>
          <w:sz w:val="16"/>
          <w:szCs w:val="16"/>
        </w:rPr>
        <w:t xml:space="preserve"> </w:t>
      </w:r>
      <w:r w:rsidR="00B67D7C" w:rsidRPr="00DE096C">
        <w:rPr>
          <w:bCs/>
          <w:color w:val="002060"/>
          <w:sz w:val="16"/>
          <w:szCs w:val="16"/>
        </w:rPr>
        <w:t>инспекция Военного ведомства «удостоверила актом, что аэропланы, сработанные заводом «Дукс», по качеству материала, работе и легкости, значительно лучше французских образцов». «Дукс» первым освоил выпуск новых «Ньюпоров» и стал их основным поставщиком в каз</w:t>
      </w:r>
      <w:r w:rsidR="00B67D7C" w:rsidRPr="00DE096C">
        <w:rPr>
          <w:bCs/>
          <w:color w:val="002060"/>
          <w:sz w:val="16"/>
          <w:szCs w:val="16"/>
        </w:rPr>
        <w:softHyphen/>
        <w:t>ну. Начиная с 1912 г., завод стал в России единственным официальным представителем французских фирм «Фарман», «Блерио» и «Ньюпор».</w:t>
      </w:r>
    </w:p>
    <w:p w14:paraId="69BF8CD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Подводя итоги предвоенного развития военной авиации в России, отметим, что в «Обзоре русской авиации 1913 года» отмечалось, что «...в настоящее время авиация в России стоит уже на крепких ногах и даже отделилась от западно-европейского те</w:t>
      </w:r>
      <w:r w:rsidRPr="00DE096C">
        <w:rPr>
          <w:bCs/>
          <w:color w:val="002060"/>
          <w:sz w:val="16"/>
          <w:szCs w:val="16"/>
        </w:rPr>
        <w:softHyphen/>
        <w:t>чения и теперь идет по собственному пути. Наша зависимость от Запада и от Фран</w:t>
      </w:r>
      <w:r w:rsidRPr="00DE096C">
        <w:rPr>
          <w:bCs/>
          <w:color w:val="002060"/>
          <w:sz w:val="16"/>
          <w:szCs w:val="16"/>
        </w:rPr>
        <w:softHyphen/>
        <w:t>ции, в частности, почти совсем миновала.</w:t>
      </w:r>
    </w:p>
    <w:p w14:paraId="748A6C1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данное время мы сами строим себе аэропланы из русских материалов, даже мо</w:t>
      </w:r>
      <w:r w:rsidRPr="00DE096C">
        <w:rPr>
          <w:bCs/>
          <w:color w:val="002060"/>
          <w:sz w:val="16"/>
          <w:szCs w:val="16"/>
        </w:rPr>
        <w:softHyphen/>
        <w:t>торов не выписываем, т.к. в Москве есть отделение завода «Гном».</w:t>
      </w:r>
    </w:p>
    <w:p w14:paraId="7D61AEB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За минувший 1913 год русская авиационная промышленность вполне окрепла. И те</w:t>
      </w:r>
      <w:r w:rsidRPr="00DE096C">
        <w:rPr>
          <w:bCs/>
          <w:color w:val="002060"/>
          <w:sz w:val="16"/>
          <w:szCs w:val="16"/>
        </w:rPr>
        <w:softHyphen/>
        <w:t>перь у нас несколько превосходно оборудованных авиазаводов» (РБВЗ, «Дукс» и т.д) ...Дела авиазаводов идут превосходно, т.к. их поддерживает крупными заказами наше военное ведомство. Вся наша промышленная авиация держится на заказах военного ве</w:t>
      </w:r>
      <w:r w:rsidRPr="00DE096C">
        <w:rPr>
          <w:bCs/>
          <w:color w:val="002060"/>
          <w:sz w:val="16"/>
          <w:szCs w:val="16"/>
        </w:rPr>
        <w:softHyphen/>
        <w:t>домства, так же как и вся вообще русская авиация зиждется на военной авиации... Это господство военной авиации и двинуло нас так вперед в истекшем году. Минувший 1913 год можно назвать годом независимой от Запада русской авиации, причем гла</w:t>
      </w:r>
      <w:r w:rsidRPr="00DE096C">
        <w:rPr>
          <w:bCs/>
          <w:color w:val="002060"/>
          <w:sz w:val="16"/>
          <w:szCs w:val="16"/>
        </w:rPr>
        <w:softHyphen/>
        <w:t>венствующую роль играет военная авиация...»( Аэро-, 1914. № 2. С. 13-17. Авиация... в России в 1907-1914 гг. Вып. 5. 1913. С. 86-90.)</w:t>
      </w:r>
      <w:r w:rsidRPr="00DE096C">
        <w:rPr>
          <w:bCs/>
          <w:color w:val="002060"/>
          <w:sz w:val="16"/>
          <w:szCs w:val="16"/>
          <w:vertAlign w:val="superscript"/>
        </w:rPr>
        <w:t>28</w:t>
      </w:r>
      <w:r w:rsidRPr="00DE096C">
        <w:rPr>
          <w:bCs/>
          <w:color w:val="002060"/>
          <w:sz w:val="16"/>
          <w:szCs w:val="16"/>
        </w:rPr>
        <w:t>.</w:t>
      </w:r>
    </w:p>
    <w:p w14:paraId="2778357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ежегодном «Отчете Воздухоплавательной части ГУ ГШ...» за 1913 г. также говори</w:t>
      </w:r>
      <w:r w:rsidRPr="00DE096C">
        <w:rPr>
          <w:bCs/>
          <w:color w:val="002060"/>
          <w:sz w:val="16"/>
          <w:szCs w:val="16"/>
        </w:rPr>
        <w:softHyphen/>
        <w:t>лось, что при заказах и подрядах Военное ведомство поддерживало стремление раз</w:t>
      </w:r>
      <w:r w:rsidRPr="00DE096C">
        <w:rPr>
          <w:bCs/>
          <w:color w:val="002060"/>
          <w:sz w:val="16"/>
          <w:szCs w:val="16"/>
        </w:rPr>
        <w:softHyphen/>
        <w:t>вить русскую авиационную промышленность и сократить до минимума заграничные приобретения, отмечая, что из 651 принятых и заказанных аэропланов только 13 за</w:t>
      </w:r>
      <w:r w:rsidRPr="00DE096C">
        <w:rPr>
          <w:bCs/>
          <w:color w:val="002060"/>
          <w:sz w:val="16"/>
          <w:szCs w:val="16"/>
        </w:rPr>
        <w:softHyphen/>
        <w:t>граничного происхождения, а остальные построены на русских заводах (Авиация и воздухоплавание в России в 1907-1914 гг. Вып. 5. 1913. С. 146-150.)</w:t>
      </w:r>
      <w:r w:rsidRPr="00DE096C">
        <w:rPr>
          <w:bCs/>
          <w:color w:val="002060"/>
          <w:sz w:val="16"/>
          <w:szCs w:val="16"/>
          <w:vertAlign w:val="superscript"/>
        </w:rPr>
        <w:t>29</w:t>
      </w:r>
      <w:r w:rsidRPr="00DE096C">
        <w:rPr>
          <w:bCs/>
          <w:color w:val="002060"/>
          <w:sz w:val="16"/>
          <w:szCs w:val="16"/>
        </w:rPr>
        <w:t>.</w:t>
      </w:r>
    </w:p>
    <w:p w14:paraId="49A6E1E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В.Б. Шавров свидетельствует, что «до войны размеры закупок были по существу не</w:t>
      </w:r>
      <w:r w:rsidRPr="00DE096C">
        <w:rPr>
          <w:bCs/>
          <w:color w:val="002060"/>
          <w:sz w:val="16"/>
          <w:szCs w:val="16"/>
        </w:rPr>
        <w:softHyphen/>
        <w:t>значительны. Приобретались главным образом двигатели и приборы, что же касается! самолётов, то их было приобретено лишь несколько десятков». В 1910-1911 гг. Отдел) воздушного флота Комитета по усилению флота купил за границей около 50 самолё</w:t>
      </w:r>
      <w:r w:rsidRPr="00DE096C">
        <w:rPr>
          <w:bCs/>
          <w:color w:val="002060"/>
          <w:sz w:val="16"/>
          <w:szCs w:val="16"/>
        </w:rPr>
        <w:softHyphen/>
        <w:t>тов, переданных русским военным лётным школам. Примерно столько же самолётов приобрели частные лица и аэроклубы. Формируемые авиационные отряды, в основ-1 ном, снабжались самолётами зарубежных типов, но отечественного производства, ко</w:t>
      </w:r>
      <w:r w:rsidRPr="00DE096C">
        <w:rPr>
          <w:bCs/>
          <w:color w:val="002060"/>
          <w:sz w:val="16"/>
          <w:szCs w:val="16"/>
        </w:rPr>
        <w:softHyphen/>
        <w:t>торых приняли в казну свыше 300 экземпляров» (Шавров В.Б. История конструкций самолетов в СССР до 1938. М., 1978. С. 257.)</w:t>
      </w:r>
      <w:r w:rsidRPr="00DE096C">
        <w:rPr>
          <w:bCs/>
          <w:color w:val="002060"/>
          <w:sz w:val="16"/>
          <w:szCs w:val="16"/>
          <w:vertAlign w:val="superscript"/>
        </w:rPr>
        <w:t>30</w:t>
      </w:r>
      <w:r w:rsidRPr="00DE096C">
        <w:rPr>
          <w:bCs/>
          <w:color w:val="002060"/>
          <w:sz w:val="16"/>
          <w:szCs w:val="16"/>
        </w:rPr>
        <w:t>. Всего до войны в России построили] около 600 самолётов.</w:t>
      </w:r>
    </w:p>
    <w:p w14:paraId="2234469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С началом Первой мировой войны ситуация резко изменилась: «Как только выясни-1 лось, что убыль самолётов достигает 37% в месяц и что русские заводы не поспева</w:t>
      </w:r>
      <w:r w:rsidRPr="00DE096C">
        <w:rPr>
          <w:bCs/>
          <w:color w:val="002060"/>
          <w:sz w:val="16"/>
          <w:szCs w:val="16"/>
        </w:rPr>
        <w:softHyphen/>
        <w:t>ют ее восполнять, — пишет В.Б. Шавров, — командование армии стало все настойчи</w:t>
      </w:r>
      <w:r w:rsidRPr="00DE096C">
        <w:rPr>
          <w:bCs/>
          <w:color w:val="002060"/>
          <w:sz w:val="16"/>
          <w:szCs w:val="16"/>
        </w:rPr>
        <w:softHyphen/>
        <w:t>вее (иногда даже в унизительной для себя форме) обращаться за помощью к союзни</w:t>
      </w:r>
      <w:r w:rsidRPr="00DE096C">
        <w:rPr>
          <w:bCs/>
          <w:color w:val="002060"/>
          <w:sz w:val="16"/>
          <w:szCs w:val="16"/>
        </w:rPr>
        <w:softHyphen/>
        <w:t>кам — французам и англичанам. Однако Франция в 1915 г. еще только развертывала! свою авиапромышленность и потому отпускала своим союзникам не более 15% отоб-| щего объема производства самолётов и двигателей. Доставка морем через Архан</w:t>
      </w:r>
      <w:r w:rsidRPr="00DE096C">
        <w:rPr>
          <w:bCs/>
          <w:color w:val="002060"/>
          <w:sz w:val="16"/>
          <w:szCs w:val="16"/>
        </w:rPr>
        <w:softHyphen/>
        <w:t>гельск была долгой и в общем в 1915 г. до русского фронта дошло немного. Поставки] оживились в 1916 г. и достигли максимума в середине 1917 г. С осени 1916 г. нача</w:t>
      </w:r>
      <w:r w:rsidRPr="00DE096C">
        <w:rPr>
          <w:bCs/>
          <w:color w:val="002060"/>
          <w:sz w:val="16"/>
          <w:szCs w:val="16"/>
        </w:rPr>
        <w:softHyphen/>
        <w:t>лись поставки из Англии, но по сравнению с французскими они были невелики. Труд</w:t>
      </w:r>
      <w:r w:rsidRPr="00DE096C">
        <w:rPr>
          <w:bCs/>
          <w:color w:val="002060"/>
          <w:sz w:val="16"/>
          <w:szCs w:val="16"/>
        </w:rPr>
        <w:softHyphen/>
        <w:t>но установить в точности, сколько самолётов получили из-за границы. По данным ар</w:t>
      </w:r>
      <w:r w:rsidRPr="00DE096C">
        <w:rPr>
          <w:bCs/>
          <w:color w:val="002060"/>
          <w:sz w:val="16"/>
          <w:szCs w:val="16"/>
        </w:rPr>
        <w:softHyphen/>
        <w:t xml:space="preserve">хива А.А. Игнатьева и других источников (Игнатьев А.А. </w:t>
      </w:r>
      <w:r w:rsidRPr="00DE096C">
        <w:rPr>
          <w:bCs/>
          <w:color w:val="002060"/>
          <w:sz w:val="16"/>
          <w:szCs w:val="16"/>
        </w:rPr>
        <w:lastRenderedPageBreak/>
        <w:t>Пятьдесят лет в строю. М., 1988; Шавров В.Б. История конструкций самолетов в СССР до 1938. М., 1978. С. 258, со ссылкой на РГВИА. Ф. 2003. Оп. 11. Д. 634. Л. 34-35.)</w:t>
      </w:r>
      <w:r w:rsidRPr="00DE096C">
        <w:rPr>
          <w:bCs/>
          <w:color w:val="002060"/>
          <w:sz w:val="16"/>
          <w:szCs w:val="16"/>
          <w:vertAlign w:val="superscript"/>
        </w:rPr>
        <w:t>31</w:t>
      </w:r>
      <w:r w:rsidRPr="00DE096C">
        <w:rPr>
          <w:bCs/>
          <w:color w:val="002060"/>
          <w:sz w:val="16"/>
          <w:szCs w:val="16"/>
        </w:rPr>
        <w:t>, всего доставили около 1800 самолётов и| свыше 4000 двигателей. Все (или почти все) пароходы с этим грузом благополучно до</w:t>
      </w:r>
      <w:r w:rsidRPr="00DE096C">
        <w:rPr>
          <w:bCs/>
          <w:color w:val="002060"/>
          <w:sz w:val="16"/>
          <w:szCs w:val="16"/>
        </w:rPr>
        <w:softHyphen/>
        <w:t>стигли Архангельска. Однако с дальнейшим продвижением самолётов и двигателей на| фронт дело обстояло очень плохо.</w:t>
      </w:r>
    </w:p>
    <w:p w14:paraId="4A83C34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От Архангельска до Вологды шла лишь однопутная узкоколейная железнодорожная! линия с очень малой пропускной способностью. Она была перешита на нормальную (и| все-таки однопутную) колею лишь в 1916 г. Громоздкие ящики с самолётами не успевали вывозить, и скоро на пристанях Архангельска образовались целые залежи их. Вновь! прибывавшие ящики зачастую выгружались на предыдущие в два и даже в три этажа. Нижние ящики трескались, туда попадала вода, самолёты приходили в негодность...</w:t>
      </w:r>
    </w:p>
    <w:p w14:paraId="3BE740C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конце концов большое количество самолётов и двигателей так и не было вывезено из Архангельска до конца 1917 г. На фронт попало около 600 самолётов, а осталь{ ные оставались на различных базах и складах или же были в пути...» (Шавров В.Б. История конструкций самолетов в СССР до 1938. М., 1978. С. 258.)</w:t>
      </w:r>
      <w:r w:rsidRPr="00DE096C">
        <w:rPr>
          <w:bCs/>
          <w:color w:val="002060"/>
          <w:sz w:val="16"/>
          <w:szCs w:val="16"/>
          <w:vertAlign w:val="superscript"/>
        </w:rPr>
        <w:t>32</w:t>
      </w:r>
      <w:r w:rsidRPr="00DE096C">
        <w:rPr>
          <w:bCs/>
          <w:color w:val="002060"/>
          <w:sz w:val="16"/>
          <w:szCs w:val="16"/>
        </w:rPr>
        <w:t>.</w:t>
      </w:r>
    </w:p>
    <w:p w14:paraId="31ACDEC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Русский военный атташе во Франции А.А. ' Игнатьев писал, что «по свидетельству фран</w:t>
      </w:r>
      <w:r w:rsidRPr="00DE096C">
        <w:rPr>
          <w:bCs/>
          <w:color w:val="002060"/>
          <w:sz w:val="16"/>
          <w:szCs w:val="16"/>
        </w:rPr>
        <w:softHyphen/>
        <w:t>цузов, побывавших в порту [Архангельска], они в 1916 году проезжали на санях по крыш</w:t>
      </w:r>
      <w:r w:rsidRPr="00DE096C">
        <w:rPr>
          <w:bCs/>
          <w:color w:val="002060"/>
          <w:sz w:val="16"/>
          <w:szCs w:val="16"/>
        </w:rPr>
        <w:softHyphen/>
        <w:t>кам ящиков с французскими самолётами, за</w:t>
      </w:r>
      <w:r w:rsidRPr="00DE096C">
        <w:rPr>
          <w:bCs/>
          <w:color w:val="002060"/>
          <w:sz w:val="16"/>
          <w:szCs w:val="16"/>
        </w:rPr>
        <w:softHyphen/>
        <w:t>несёнными снегом и высланных мною еще летом 1915 года!» А между тем «авиационная техника развивалась такими быстрыми тем</w:t>
      </w:r>
      <w:r w:rsidRPr="00DE096C">
        <w:rPr>
          <w:bCs/>
          <w:color w:val="002060"/>
          <w:sz w:val="16"/>
          <w:szCs w:val="16"/>
        </w:rPr>
        <w:softHyphen/>
        <w:t>пами, что самолёты за время пути от Парижа до русского фронта уже оказывались уста</w:t>
      </w:r>
      <w:r w:rsidRPr="00DE096C">
        <w:rPr>
          <w:bCs/>
          <w:color w:val="002060"/>
          <w:sz w:val="16"/>
          <w:szCs w:val="16"/>
        </w:rPr>
        <w:softHyphen/>
        <w:t>ревшими, и германские аппараты неизменно превосходили их в скорости» (Игнатьев А.А. Пятьдесят лет в строю. С. 565.)</w:t>
      </w:r>
      <w:r w:rsidRPr="00DE096C">
        <w:rPr>
          <w:bCs/>
          <w:color w:val="002060"/>
          <w:sz w:val="16"/>
          <w:szCs w:val="16"/>
          <w:vertAlign w:val="superscript"/>
        </w:rPr>
        <w:t>33</w:t>
      </w:r>
      <w:r w:rsidRPr="00DE096C">
        <w:rPr>
          <w:bCs/>
          <w:color w:val="002060"/>
          <w:sz w:val="16"/>
          <w:szCs w:val="16"/>
        </w:rPr>
        <w:t>.</w:t>
      </w:r>
    </w:p>
    <w:p w14:paraId="4FEBFD0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Однако и «сверхсрочная» доставка авиатех</w:t>
      </w:r>
      <w:r w:rsidRPr="00DE096C">
        <w:rPr>
          <w:bCs/>
          <w:color w:val="002060"/>
          <w:sz w:val="16"/>
          <w:szCs w:val="16"/>
        </w:rPr>
        <w:softHyphen/>
        <w:t>ники не гарантировала повышения боеспо</w:t>
      </w:r>
      <w:r w:rsidRPr="00DE096C">
        <w:rPr>
          <w:bCs/>
          <w:color w:val="002060"/>
          <w:sz w:val="16"/>
          <w:szCs w:val="16"/>
        </w:rPr>
        <w:softHyphen/>
        <w:t>собности фронтовых авиаотрядов. Игнатьев просто негодовал: «Когда же после долгих усилий удавалось получить от французов новейшие модели и быстро доставить их в Россию, то и это не гарантировало возможности использовать самолёты на нашем фронте: «Все прибывающие от вас самолёты и автомобили оказались без магнето», — гласила лаконическая телеграмма... После всех затруднений, связанных с доставкой са</w:t>
      </w:r>
      <w:r w:rsidRPr="00DE096C">
        <w:rPr>
          <w:bCs/>
          <w:color w:val="002060"/>
          <w:sz w:val="16"/>
          <w:szCs w:val="16"/>
        </w:rPr>
        <w:softHyphen/>
        <w:t>молётов, отсутствие магнето на высылавшихся из Франции моторах сводило к нулю всю нашу работу в Париже».</w:t>
      </w:r>
    </w:p>
    <w:p w14:paraId="2B576D0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Всевозможные меры предосторожности в ходе доставки драгоценных магнето в Рос</w:t>
      </w:r>
      <w:r w:rsidRPr="00DE096C">
        <w:rPr>
          <w:bCs/>
          <w:color w:val="002060"/>
          <w:sz w:val="16"/>
          <w:szCs w:val="16"/>
        </w:rPr>
        <w:softHyphen/>
        <w:t>сию не спасали от хищений. Упакованные в отдельный ящик с отдельным номером по морскому коносаменту магнето также бесследно исчезли: «Ответ главного техническо</w:t>
      </w:r>
      <w:r w:rsidRPr="00DE096C">
        <w:rPr>
          <w:bCs/>
          <w:color w:val="002060"/>
          <w:sz w:val="16"/>
          <w:szCs w:val="16"/>
        </w:rPr>
        <w:softHyphen/>
        <w:t>го управления на телеграмму об отправке был еще более лаконичен: «Ящика за номе</w:t>
      </w:r>
      <w:r w:rsidRPr="00DE096C">
        <w:rPr>
          <w:bCs/>
          <w:color w:val="002060"/>
          <w:sz w:val="16"/>
          <w:szCs w:val="16"/>
        </w:rPr>
        <w:softHyphen/>
        <w:t>ром таким-то не оказалось». Из тысяч ящиков, отправленных на ста двадцати пароходах из Франции в Россию во время войны, это был первый и единственный пропавший в пути ящик» (Игнатьев А.А. Пятьдесят лет в строю. С. 565.)</w:t>
      </w:r>
      <w:r w:rsidRPr="00DE096C">
        <w:rPr>
          <w:bCs/>
          <w:color w:val="002060"/>
          <w:sz w:val="16"/>
          <w:szCs w:val="16"/>
          <w:vertAlign w:val="superscript"/>
        </w:rPr>
        <w:t>34</w:t>
      </w:r>
      <w:r w:rsidRPr="00DE096C">
        <w:rPr>
          <w:bCs/>
          <w:color w:val="002060"/>
          <w:sz w:val="16"/>
          <w:szCs w:val="16"/>
        </w:rPr>
        <w:t>. Зато, как рассказывали Игнатьеву приезжавшие из России французские офицеры связи, магнето «бош» по баснословной цене продавались на Невском проспе</w:t>
      </w:r>
      <w:r w:rsidRPr="00DE096C">
        <w:rPr>
          <w:bCs/>
          <w:color w:val="002060"/>
          <w:sz w:val="16"/>
          <w:szCs w:val="16"/>
        </w:rPr>
        <w:softHyphen/>
        <w:t>кте через Северный банк. Как отмечал Игнатьев, коррупция и спекуляция процветали не только в России, но и во Франции.</w:t>
      </w:r>
    </w:p>
    <w:p w14:paraId="53FEA42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1916 г. в Москве создали завод «Авиаприбор» по производству авиационных при</w:t>
      </w:r>
      <w:r w:rsidRPr="00DE096C">
        <w:rPr>
          <w:bCs/>
          <w:color w:val="002060"/>
          <w:sz w:val="16"/>
          <w:szCs w:val="16"/>
        </w:rPr>
        <w:softHyphen/>
        <w:t>боров и оборудования, но до конца 1917 г. реально организовать выпуск столь нужной фронту продукции так и не удалось.</w:t>
      </w:r>
    </w:p>
    <w:p w14:paraId="6AED04C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По данным В.Б. Шаврова, полная сводка строившихся в России самолётов ориги</w:t>
      </w:r>
      <w:r w:rsidRPr="00DE096C">
        <w:rPr>
          <w:bCs/>
          <w:color w:val="002060"/>
          <w:sz w:val="16"/>
          <w:szCs w:val="16"/>
        </w:rPr>
        <w:softHyphen/>
        <w:t>нальных русских конструкций насчитывает 315 названий, из них 38 строили серийно. Из 117 иностранных самолётов серийно строились 35, остальные — немногие экзем</w:t>
      </w:r>
      <w:r w:rsidRPr="00DE096C">
        <w:rPr>
          <w:bCs/>
          <w:color w:val="002060"/>
          <w:sz w:val="16"/>
          <w:szCs w:val="16"/>
        </w:rPr>
        <w:softHyphen/>
        <w:t>пляры. Из 315 русских самолётов летали 240 (76%), не летали (или же не достроены) 75 опытных машин. По общему количеству опытных конструкций Россия не отставала от передовых капиталистических стран тех лет. Производительность русских авиаза</w:t>
      </w:r>
      <w:r w:rsidRPr="00DE096C">
        <w:rPr>
          <w:bCs/>
          <w:color w:val="002060"/>
          <w:sz w:val="16"/>
          <w:szCs w:val="16"/>
        </w:rPr>
        <w:softHyphen/>
        <w:t>водов в наиболее удачные месяцы составляла в среднем до 8 самолётов в день. В то же время двигателей выпускали не более одного в день. По сравнению с выпуском са</w:t>
      </w:r>
      <w:r w:rsidRPr="00DE096C">
        <w:rPr>
          <w:bCs/>
          <w:color w:val="002060"/>
          <w:sz w:val="16"/>
          <w:szCs w:val="16"/>
        </w:rPr>
        <w:softHyphen/>
        <w:t>молётов и двигателей в Германии, Франции и Англии эти цифры (за сравнимые сро</w:t>
      </w:r>
      <w:r w:rsidRPr="00DE096C">
        <w:rPr>
          <w:bCs/>
          <w:color w:val="002060"/>
          <w:sz w:val="16"/>
          <w:szCs w:val="16"/>
        </w:rPr>
        <w:softHyphen/>
        <w:t>ки) меньше по самолётам в среднем в 4 раза, по двигателям — в 40-60 раз (Шавров В.Б. (до 1938 г.). М.: 1978. - с. 259.)</w:t>
      </w:r>
      <w:r w:rsidRPr="00DE096C">
        <w:rPr>
          <w:bCs/>
          <w:color w:val="002060"/>
          <w:sz w:val="16"/>
          <w:szCs w:val="16"/>
          <w:vertAlign w:val="superscript"/>
        </w:rPr>
        <w:t>35</w:t>
      </w:r>
      <w:r w:rsidRPr="00DE096C">
        <w:rPr>
          <w:bCs/>
          <w:color w:val="002060"/>
          <w:sz w:val="16"/>
          <w:szCs w:val="16"/>
        </w:rPr>
        <w:t>.</w:t>
      </w:r>
    </w:p>
    <w:p w14:paraId="21DD032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Уместно отметить, что если Россия за военные годы увеличила производительность отечественной авиапромышленности в десять раз, то все развитые воюющие страны увеличили выпуск самолётов и моторов примерно в 50 раз. В 1914-1918 гг. они постро</w:t>
      </w:r>
      <w:r w:rsidRPr="00DE096C">
        <w:rPr>
          <w:bCs/>
          <w:color w:val="002060"/>
          <w:sz w:val="16"/>
          <w:szCs w:val="16"/>
        </w:rPr>
        <w:softHyphen/>
        <w:t>или умопомрачительное по российским меркам количество самолётов и моторов: в Ве</w:t>
      </w:r>
      <w:r w:rsidRPr="00DE096C">
        <w:rPr>
          <w:bCs/>
          <w:color w:val="002060"/>
          <w:sz w:val="16"/>
          <w:szCs w:val="16"/>
        </w:rPr>
        <w:softHyphen/>
        <w:t>ликобритании — 55000 самолётов и 41000 моторов (в 1918 г. — 32100 и 22100, соответ</w:t>
      </w:r>
      <w:r w:rsidRPr="00DE096C">
        <w:rPr>
          <w:bCs/>
          <w:color w:val="002060"/>
          <w:sz w:val="16"/>
          <w:szCs w:val="16"/>
        </w:rPr>
        <w:softHyphen/>
        <w:t>ственно); во Франции — 51100 и 93100 (23700 и 44560); в Германии — 46000 и 40200; в Италии в 1918 г. — 6500 и 15000; в США в 1918 г. — 12000 и 34000 (Самолетостроение СССР (1917-1945). Кн. 1. - М.: 1992. - с. 20.)</w:t>
      </w:r>
      <w:r w:rsidRPr="00DE096C">
        <w:rPr>
          <w:bCs/>
          <w:color w:val="002060"/>
          <w:sz w:val="16"/>
          <w:szCs w:val="16"/>
          <w:vertAlign w:val="superscript"/>
        </w:rPr>
        <w:t>36</w:t>
      </w:r>
      <w:r w:rsidRPr="00DE096C">
        <w:rPr>
          <w:bCs/>
          <w:color w:val="002060"/>
          <w:sz w:val="16"/>
          <w:szCs w:val="16"/>
        </w:rPr>
        <w:t>.</w:t>
      </w:r>
    </w:p>
    <w:p w14:paraId="36CE1C1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Естественно, что России с ее отсталой металлургической промышленностью, практи</w:t>
      </w:r>
      <w:r w:rsidRPr="00DE096C">
        <w:rPr>
          <w:bCs/>
          <w:color w:val="002060"/>
          <w:sz w:val="16"/>
          <w:szCs w:val="16"/>
        </w:rPr>
        <w:softHyphen/>
        <w:t>чески отсутствовавшими автомобилестроением и моторостроением соревноваться в подобной «гонке моторов» было не по силам. Общий низкий уровень промышленного развития России в середине 1910-х годов в конечном итоге и определял темпы разви</w:t>
      </w:r>
      <w:r w:rsidRPr="00DE096C">
        <w:rPr>
          <w:bCs/>
          <w:color w:val="002060"/>
          <w:sz w:val="16"/>
          <w:szCs w:val="16"/>
        </w:rPr>
        <w:softHyphen/>
        <w:t>тия отечественного самолёте- и авиамоторостроения.</w:t>
      </w:r>
    </w:p>
    <w:p w14:paraId="1C17CDE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Таким образом, технико-экономическая отсталость царской России и ее зависимость от западных стран в ряде важнейших отраслей промышленности вынуждали русское военное ведомство делать многочисленные заказы и закупки авиационного имущест</w:t>
      </w:r>
      <w:r w:rsidRPr="00DE096C">
        <w:rPr>
          <w:bCs/>
          <w:color w:val="002060"/>
          <w:sz w:val="16"/>
          <w:szCs w:val="16"/>
        </w:rPr>
        <w:softHyphen/>
        <w:t>ва за рубежом, особенно во время Первой мировой войны. Но, как выяснилось в ходе активных боевых действий, этого оказалось явно недостаточно ни для победы над вра</w:t>
      </w:r>
      <w:r w:rsidRPr="00DE096C">
        <w:rPr>
          <w:bCs/>
          <w:color w:val="002060"/>
          <w:sz w:val="16"/>
          <w:szCs w:val="16"/>
        </w:rPr>
        <w:softHyphen/>
        <w:t>гом, ни для сохранения политической ситуации в стране (11696).</w:t>
      </w:r>
    </w:p>
    <w:p w14:paraId="58422DCB" w14:textId="77777777" w:rsidR="00B67D7C" w:rsidRPr="00DE096C" w:rsidRDefault="00B67D7C" w:rsidP="00D45A46">
      <w:pPr>
        <w:shd w:val="clear" w:color="auto" w:fill="FFFFFF"/>
        <w:jc w:val="both"/>
        <w:rPr>
          <w:bCs/>
          <w:color w:val="002060"/>
          <w:sz w:val="16"/>
          <w:szCs w:val="16"/>
        </w:rPr>
      </w:pPr>
    </w:p>
    <w:p w14:paraId="05C1F89A" w14:textId="77777777" w:rsidR="007925B0" w:rsidRPr="00B52707" w:rsidRDefault="007925B0" w:rsidP="007925B0">
      <w:pPr>
        <w:jc w:val="both"/>
        <w:rPr>
          <w:color w:val="0070C0"/>
          <w:sz w:val="16"/>
          <w:szCs w:val="16"/>
        </w:rPr>
      </w:pPr>
      <w:r w:rsidRPr="00B52707">
        <w:rPr>
          <w:rStyle w:val="ab"/>
          <w:rFonts w:ascii="Times New Roman" w:hAnsi="Times New Roman"/>
          <w:color w:val="0070C0"/>
          <w:spacing w:val="0"/>
          <w:sz w:val="16"/>
          <w:szCs w:val="16"/>
        </w:rPr>
        <w:t>Весной 1914 года на заседании отдела Воздушного флота при Особом комитете по усилению военного флота на добровольные пожертвования молодой инженер-конструктор А.А. Пороховщиков предложил проект развернуть вдоль южного побережья Финского и Рижского заливов воздушную оборону по линии Санкт- Петербург-Виндава. По мнению автора, указанная оборона структурно состояла бы из ряда запретных зон, исключавших полеты иностранных воздушных судов над территорией Санкт- Петербургского и Виленского военных округов. В запретных зонах предполагалось развернуть несколько линий воздушных станций (дальняя и ближняя), обеспечивавших непрерывный обзор воздушного пространства в приморских районах. При этом дальняя линия таких станций должна была располагаться вдоль побережья Балтийского моря на участке Санкт-Петербург-Виндава, а ближняя линия - на участке Санкт-Петербург-Сувалки (Царство Польское), то есть значительно отодвигалась вглубь территории страны. Для борьбы с воздушными нарушителями предусматривалось привлекать авиационные отряды и наземные средства огневого поражения. По замыслу А.А. Пороховщикова, на воздушные станции возлагались задачи по обнаружению самолетов и дирижаблей в зоне их ответственности, с установлением при этом государственной принадлежности летательных аппаратов. Размеры зоны определялись дальностью обзора воздушного пространства с помощью оптических приборов. В случае нарушения воздушного пространства в соответствующие воинские подразделения, привлекаемые для организации воздушной обороны, должны были оперативно поступать сведения о самом факте пролета ЛА и его предполагаемом направлении движения. По сути, на повестку дня был поставлен вопрос об организации в России (первоначально лишь на зональном уровне) службы воздушного наблюдения, оповещения и связи (ВНОС). Участники заседания признали желательным создание таких станций, удаленных на расстояние 15-150 км друг от друга, при условии обеспечения их средствами наземной связи и автомобильным транспортом. Однако вплоть до начала Первой мировой войны этот проект так и не получил реализации (25166).</w:t>
      </w:r>
    </w:p>
    <w:p w14:paraId="7D6AE590" w14:textId="77777777" w:rsidR="007925B0" w:rsidRPr="00B52707" w:rsidRDefault="007925B0" w:rsidP="007925B0">
      <w:pPr>
        <w:jc w:val="both"/>
        <w:rPr>
          <w:color w:val="0070C0"/>
          <w:sz w:val="16"/>
          <w:szCs w:val="16"/>
        </w:rPr>
      </w:pPr>
    </w:p>
    <w:p w14:paraId="540A6F56" w14:textId="77777777" w:rsidR="007925B0" w:rsidRPr="00B52707" w:rsidRDefault="007925B0" w:rsidP="007925B0">
      <w:pPr>
        <w:jc w:val="both"/>
        <w:rPr>
          <w:color w:val="0070C0"/>
          <w:sz w:val="16"/>
          <w:szCs w:val="16"/>
        </w:rPr>
      </w:pPr>
      <w:r w:rsidRPr="00B52707">
        <w:rPr>
          <w:color w:val="0070C0"/>
          <w:sz w:val="16"/>
          <w:szCs w:val="16"/>
        </w:rPr>
        <w:t>Весной 1914 г., перед началом Первой мировой войны, начался сдвиг в развитии морской авиации, когда в составе Морского генерального штаба, для упоря</w:t>
      </w:r>
      <w:r w:rsidRPr="00B52707">
        <w:rPr>
          <w:color w:val="0070C0"/>
          <w:sz w:val="16"/>
          <w:szCs w:val="16"/>
        </w:rPr>
        <w:softHyphen/>
        <w:t>дочения системы управления деятельнос</w:t>
      </w:r>
      <w:r w:rsidRPr="00B52707">
        <w:rPr>
          <w:color w:val="0070C0"/>
          <w:sz w:val="16"/>
          <w:szCs w:val="16"/>
        </w:rPr>
        <w:softHyphen/>
        <w:t>тью морской авиации, решения организа</w:t>
      </w:r>
      <w:r w:rsidRPr="00B52707">
        <w:rPr>
          <w:color w:val="0070C0"/>
          <w:sz w:val="16"/>
          <w:szCs w:val="16"/>
        </w:rPr>
        <w:softHyphen/>
        <w:t>ционных, кадровых и технических вопро</w:t>
      </w:r>
      <w:r w:rsidRPr="00B52707">
        <w:rPr>
          <w:color w:val="0070C0"/>
          <w:sz w:val="16"/>
          <w:szCs w:val="16"/>
        </w:rPr>
        <w:softHyphen/>
        <w:t>сов, было создано специальное отделе</w:t>
      </w:r>
      <w:r w:rsidRPr="00B52707">
        <w:rPr>
          <w:color w:val="0070C0"/>
          <w:sz w:val="16"/>
          <w:szCs w:val="16"/>
        </w:rPr>
        <w:softHyphen/>
        <w:t>ние авиации, в котором несли службу три офицера (Герасимов В.Л. Морская авиация Рос</w:t>
      </w:r>
      <w:r w:rsidRPr="00B52707">
        <w:rPr>
          <w:color w:val="0070C0"/>
          <w:sz w:val="16"/>
          <w:szCs w:val="16"/>
        </w:rPr>
        <w:softHyphen/>
        <w:t>сии в годы Первой мировой войны: зарождение, строительство и применение. Материалы на</w:t>
      </w:r>
      <w:r w:rsidRPr="00B52707">
        <w:rPr>
          <w:color w:val="0070C0"/>
          <w:sz w:val="16"/>
          <w:szCs w:val="16"/>
        </w:rPr>
        <w:softHyphen/>
        <w:t>учной конференции. М. Наука. 2006 г.) (24962).</w:t>
      </w:r>
    </w:p>
    <w:p w14:paraId="2F5E2690" w14:textId="77777777" w:rsidR="007925B0" w:rsidRPr="00B52707" w:rsidRDefault="007925B0" w:rsidP="007925B0">
      <w:pPr>
        <w:jc w:val="both"/>
        <w:rPr>
          <w:color w:val="0070C0"/>
          <w:sz w:val="16"/>
          <w:szCs w:val="16"/>
        </w:rPr>
      </w:pPr>
    </w:p>
    <w:p w14:paraId="49FA2081" w14:textId="77777777" w:rsidR="007925B0" w:rsidRPr="00B52707" w:rsidRDefault="007925B0" w:rsidP="007925B0">
      <w:pPr>
        <w:jc w:val="both"/>
        <w:rPr>
          <w:color w:val="0070C0"/>
          <w:sz w:val="16"/>
          <w:szCs w:val="16"/>
        </w:rPr>
      </w:pPr>
      <w:r w:rsidRPr="00B52707">
        <w:rPr>
          <w:rStyle w:val="ab"/>
          <w:rFonts w:ascii="Times New Roman" w:hAnsi="Times New Roman"/>
          <w:color w:val="0070C0"/>
          <w:spacing w:val="0"/>
          <w:sz w:val="16"/>
          <w:szCs w:val="16"/>
        </w:rPr>
        <w:t>Весной 1914 г. Морским министерством</w:t>
      </w:r>
      <w:r w:rsidRPr="00B52707">
        <w:rPr>
          <w:rStyle w:val="100"/>
          <w:rFonts w:ascii="Times New Roman" w:hAnsi="Times New Roman" w:cs="Times New Roman"/>
          <w:color w:val="0070C0"/>
          <w:sz w:val="16"/>
          <w:szCs w:val="16"/>
        </w:rPr>
        <w:t xml:space="preserve"> </w:t>
      </w:r>
      <w:r w:rsidRPr="00B52707">
        <w:rPr>
          <w:rStyle w:val="ab"/>
          <w:rFonts w:ascii="Times New Roman" w:hAnsi="Times New Roman"/>
          <w:color w:val="0070C0"/>
          <w:spacing w:val="0"/>
          <w:sz w:val="16"/>
          <w:szCs w:val="16"/>
        </w:rPr>
        <w:t>за границей был приобретён французский поплавковый гидросамолёт «Фарман». Его доставили во Владивосток, собрали, об</w:t>
      </w:r>
      <w:r w:rsidRPr="00B52707">
        <w:rPr>
          <w:rStyle w:val="ab"/>
          <w:rFonts w:ascii="Times New Roman" w:hAnsi="Times New Roman"/>
          <w:color w:val="0070C0"/>
          <w:spacing w:val="0"/>
          <w:sz w:val="16"/>
          <w:szCs w:val="16"/>
        </w:rPr>
        <w:softHyphen/>
        <w:t>летали и установили на ледокол «Таймыр». Вот что писал в своих воспоминаниях, относящимся к этому периоду, врач экспедиции Л.М. Старокадомский: «Впервые с нами отправлялся в плавание лётчик. На «Таймыр» погрузили гидросамолёт. Вряд ли кого-нибудь из современных лётчиков порадовала бы перспектива летать над ледяными просто</w:t>
      </w:r>
      <w:r w:rsidRPr="00B52707">
        <w:rPr>
          <w:rStyle w:val="ab"/>
          <w:rFonts w:ascii="Times New Roman" w:hAnsi="Times New Roman"/>
          <w:color w:val="0070C0"/>
          <w:spacing w:val="0"/>
          <w:sz w:val="16"/>
          <w:szCs w:val="16"/>
        </w:rPr>
        <w:softHyphen/>
        <w:t>рами Арктики на такой машине. Но в 1914 году лётное дело ещё только начинало развиваться, и на свой гидроплан экс</w:t>
      </w:r>
      <w:r w:rsidRPr="00B52707">
        <w:rPr>
          <w:rStyle w:val="ab"/>
          <w:rFonts w:ascii="Times New Roman" w:hAnsi="Times New Roman"/>
          <w:color w:val="0070C0"/>
          <w:spacing w:val="0"/>
          <w:sz w:val="16"/>
          <w:szCs w:val="16"/>
        </w:rPr>
        <w:softHyphen/>
        <w:t>педиция возлагала большие надежды. Предполагалось, что в трудных условиях самолёт поможет выяснить обстановку, определить границы льда, найти путь для обхода ледяной преграды». Пилотировал гидроплан инженер -механик капитан 2-го ранга Дмитрий Васильевич Александров (по другим данным Дмитрий Николаевич) (25653).</w:t>
      </w:r>
    </w:p>
    <w:p w14:paraId="1BBDC590" w14:textId="77777777" w:rsidR="007925B0" w:rsidRPr="00B52707" w:rsidRDefault="007925B0" w:rsidP="007925B0">
      <w:pPr>
        <w:jc w:val="both"/>
        <w:rPr>
          <w:color w:val="0070C0"/>
          <w:sz w:val="16"/>
          <w:szCs w:val="16"/>
        </w:rPr>
      </w:pPr>
    </w:p>
    <w:p w14:paraId="684EC4D3" w14:textId="5BA1D95E" w:rsidR="00B67D7C" w:rsidRPr="00DE096C" w:rsidRDefault="00B67D7C" w:rsidP="00D45A46">
      <w:pPr>
        <w:jc w:val="both"/>
        <w:rPr>
          <w:bCs/>
          <w:color w:val="002060"/>
          <w:sz w:val="16"/>
          <w:szCs w:val="16"/>
        </w:rPr>
      </w:pPr>
      <w:r w:rsidRPr="00DE096C">
        <w:rPr>
          <w:bCs/>
          <w:color w:val="002060"/>
          <w:sz w:val="16"/>
          <w:szCs w:val="16"/>
        </w:rPr>
        <w:t>Вес</w:t>
      </w:r>
      <w:r w:rsidRPr="00DE096C">
        <w:rPr>
          <w:bCs/>
          <w:color w:val="002060"/>
          <w:sz w:val="16"/>
          <w:szCs w:val="16"/>
        </w:rPr>
        <w:softHyphen/>
        <w:t>ной 1914 г. опыты по установке на самолетах радиотелеграфа стали проводиться в более широких мас</w:t>
      </w:r>
      <w:r w:rsidRPr="00DE096C">
        <w:rPr>
          <w:bCs/>
          <w:color w:val="002060"/>
          <w:sz w:val="16"/>
          <w:szCs w:val="16"/>
        </w:rPr>
        <w:softHyphen/>
        <w:t>штабах, осуществлялись некоторые доработки, изучалась возможность замены выпускной антенны замкну</w:t>
      </w:r>
      <w:r w:rsidRPr="00DE096C">
        <w:rPr>
          <w:bCs/>
          <w:color w:val="002060"/>
          <w:sz w:val="16"/>
          <w:szCs w:val="16"/>
        </w:rPr>
        <w:softHyphen/>
        <w:t>тым контуром. Дальнейшие собы</w:t>
      </w:r>
      <w:r w:rsidRPr="00DE096C">
        <w:rPr>
          <w:bCs/>
          <w:color w:val="002060"/>
          <w:sz w:val="16"/>
          <w:szCs w:val="16"/>
        </w:rPr>
        <w:softHyphen/>
        <w:t>тия с установкой оборудования на самолеты развивались по непонят</w:t>
      </w:r>
      <w:r w:rsidRPr="00DE096C">
        <w:rPr>
          <w:bCs/>
          <w:color w:val="002060"/>
          <w:sz w:val="16"/>
          <w:szCs w:val="16"/>
        </w:rPr>
        <w:softHyphen/>
        <w:t>ным канонам.</w:t>
      </w:r>
    </w:p>
    <w:p w14:paraId="30E1AFF0" w14:textId="77777777" w:rsidR="00B67D7C" w:rsidRPr="00DE096C" w:rsidRDefault="00B67D7C" w:rsidP="00D45A46">
      <w:pPr>
        <w:jc w:val="both"/>
        <w:rPr>
          <w:bCs/>
          <w:color w:val="002060"/>
          <w:sz w:val="16"/>
          <w:szCs w:val="16"/>
        </w:rPr>
      </w:pPr>
      <w:r w:rsidRPr="00DE096C">
        <w:rPr>
          <w:bCs/>
          <w:color w:val="002060"/>
          <w:sz w:val="16"/>
          <w:szCs w:val="16"/>
        </w:rPr>
        <w:t>В мае 1915 г. военно-морской атташе в США предложил приоб</w:t>
      </w:r>
      <w:r w:rsidRPr="00DE096C">
        <w:rPr>
          <w:bCs/>
          <w:color w:val="002060"/>
          <w:sz w:val="16"/>
          <w:szCs w:val="16"/>
        </w:rPr>
        <w:softHyphen/>
        <w:t>рести радиостанции «Де Фореста» и «Маркони». Решение никто не принял. В свою очередь торговый дом «Яков Прозоров с сыном» выс</w:t>
      </w:r>
      <w:r w:rsidRPr="00DE096C">
        <w:rPr>
          <w:bCs/>
          <w:color w:val="002060"/>
          <w:sz w:val="16"/>
          <w:szCs w:val="16"/>
        </w:rPr>
        <w:softHyphen/>
        <w:t>тупил посредником в приобретении аппаратов Рузе. Через военно-мор</w:t>
      </w:r>
      <w:r w:rsidRPr="00DE096C">
        <w:rPr>
          <w:bCs/>
          <w:color w:val="002060"/>
          <w:sz w:val="16"/>
          <w:szCs w:val="16"/>
        </w:rPr>
        <w:softHyphen/>
        <w:t>ского атташе во Франции аппара</w:t>
      </w:r>
      <w:r w:rsidRPr="00DE096C">
        <w:rPr>
          <w:bCs/>
          <w:color w:val="002060"/>
          <w:sz w:val="16"/>
          <w:szCs w:val="16"/>
        </w:rPr>
        <w:softHyphen/>
        <w:t>ты этого типа были закуплены. Ис</w:t>
      </w:r>
      <w:r w:rsidRPr="00DE096C">
        <w:rPr>
          <w:bCs/>
          <w:color w:val="002060"/>
          <w:sz w:val="16"/>
          <w:szCs w:val="16"/>
        </w:rPr>
        <w:softHyphen/>
        <w:t>пытания, проведенные в Ревеле, дали неплохие результаты. Морс</w:t>
      </w:r>
      <w:r w:rsidRPr="00DE096C">
        <w:rPr>
          <w:bCs/>
          <w:color w:val="002060"/>
          <w:sz w:val="16"/>
          <w:szCs w:val="16"/>
        </w:rPr>
        <w:softHyphen/>
        <w:t>кой генеральный штаб разрешил устанавливать их на самолеты, мощ</w:t>
      </w:r>
      <w:r w:rsidRPr="00DE096C">
        <w:rPr>
          <w:bCs/>
          <w:color w:val="002060"/>
          <w:sz w:val="16"/>
          <w:szCs w:val="16"/>
        </w:rPr>
        <w:softHyphen/>
        <w:t>ность двигателей у которых «150 сил и более». Но постоянно что-то ме</w:t>
      </w:r>
      <w:r w:rsidRPr="00DE096C">
        <w:rPr>
          <w:bCs/>
          <w:color w:val="002060"/>
          <w:sz w:val="16"/>
          <w:szCs w:val="16"/>
        </w:rPr>
        <w:softHyphen/>
        <w:t>шало осуществить задуманное. И пройдет почти сорок лет, когда самолеты смогут надежно связы</w:t>
      </w:r>
      <w:r w:rsidRPr="00DE096C">
        <w:rPr>
          <w:bCs/>
          <w:color w:val="002060"/>
          <w:sz w:val="16"/>
          <w:szCs w:val="16"/>
        </w:rPr>
        <w:softHyphen/>
        <w:t>ваться между собой и с наземными абонентами (11872).</w:t>
      </w:r>
    </w:p>
    <w:p w14:paraId="5D27697F" w14:textId="77777777" w:rsidR="00B67D7C" w:rsidRPr="00DE096C" w:rsidRDefault="00B67D7C" w:rsidP="00D45A46">
      <w:pPr>
        <w:jc w:val="both"/>
        <w:rPr>
          <w:bCs/>
          <w:color w:val="002060"/>
          <w:sz w:val="16"/>
          <w:szCs w:val="16"/>
        </w:rPr>
      </w:pPr>
    </w:p>
    <w:p w14:paraId="62F713FB" w14:textId="77777777" w:rsidR="00E70AA2" w:rsidRPr="00DE096C" w:rsidRDefault="00E70AA2" w:rsidP="00D45A46">
      <w:pPr>
        <w:jc w:val="both"/>
        <w:rPr>
          <w:bCs/>
          <w:color w:val="002060"/>
          <w:sz w:val="16"/>
          <w:szCs w:val="16"/>
        </w:rPr>
      </w:pPr>
      <w:r w:rsidRPr="00DE096C">
        <w:rPr>
          <w:bCs/>
          <w:color w:val="002060"/>
          <w:sz w:val="16"/>
          <w:szCs w:val="16"/>
        </w:rPr>
        <w:t>Весной 1914 г. Во</w:t>
      </w:r>
      <w:r w:rsidRPr="00DE096C">
        <w:rPr>
          <w:bCs/>
          <w:color w:val="002060"/>
          <w:sz w:val="16"/>
          <w:szCs w:val="16"/>
        </w:rPr>
        <w:softHyphen/>
        <w:t>енное ведомство заказало РБВЗ десять машин ИМ со сроком поставки в марте следую</w:t>
      </w:r>
      <w:r w:rsidRPr="00DE096C">
        <w:rPr>
          <w:bCs/>
          <w:color w:val="002060"/>
          <w:sz w:val="16"/>
          <w:szCs w:val="16"/>
        </w:rPr>
        <w:softHyphen/>
        <w:t>щего года, выплачивая за каждый по 150 тыс. руб. (морское ведом</w:t>
      </w:r>
      <w:r w:rsidRPr="00DE096C">
        <w:rPr>
          <w:bCs/>
          <w:color w:val="002060"/>
          <w:sz w:val="16"/>
          <w:szCs w:val="16"/>
        </w:rPr>
        <w:softHyphen/>
        <w:t>ство предлагало на 60 тыс. рублей меньше) (12284).</w:t>
      </w:r>
    </w:p>
    <w:p w14:paraId="3BC676C0" w14:textId="77777777" w:rsidR="00E70AA2" w:rsidRPr="00DE096C" w:rsidRDefault="00E70AA2" w:rsidP="00D45A46">
      <w:pPr>
        <w:jc w:val="both"/>
        <w:rPr>
          <w:bCs/>
          <w:color w:val="002060"/>
          <w:sz w:val="16"/>
          <w:szCs w:val="16"/>
        </w:rPr>
      </w:pPr>
    </w:p>
    <w:p w14:paraId="4C0708C6" w14:textId="77777777" w:rsidR="00B67D7C" w:rsidRPr="00DE096C" w:rsidRDefault="00B67D7C" w:rsidP="00D45A46">
      <w:pPr>
        <w:jc w:val="both"/>
        <w:rPr>
          <w:bCs/>
          <w:color w:val="002060"/>
          <w:sz w:val="16"/>
          <w:szCs w:val="16"/>
        </w:rPr>
      </w:pPr>
      <w:r w:rsidRPr="00DE096C">
        <w:rPr>
          <w:bCs/>
          <w:color w:val="002060"/>
          <w:sz w:val="16"/>
          <w:szCs w:val="16"/>
        </w:rPr>
        <w:t xml:space="preserve">С весны 1914-го Я.И.Седов работает летчиком-испытателем на заводе С.С. Щетинина вместе со своим боевым товарищем Петром Владимировичем Евсюковым . Завод осваивает гидросамолет М-1 (улучшенная копия французской «Донне-Левек»). Это была первая летающая лодка Д.П. Григоровича, отца русской гидроавиации. Выдающийся авиационный конструктор, создатель знаменитых летающих лодок серии «М» и не менее знаменитых истребителей И-2, ИП-1, один из основателей </w:t>
      </w:r>
      <w:r w:rsidRPr="00DE096C">
        <w:rPr>
          <w:bCs/>
          <w:color w:val="002060"/>
          <w:sz w:val="16"/>
          <w:szCs w:val="16"/>
        </w:rPr>
        <w:lastRenderedPageBreak/>
        <w:t>отечественной школы самолетостроения. Всего за свою жизнь Дмитрий Павлович Григорович создал около 80 конструкций самолетов, многие из которых строились серийно и состояли на вооружении русской и советской авиации.</w:t>
      </w:r>
    </w:p>
    <w:p w14:paraId="44E87363" w14:textId="77777777" w:rsidR="00B67D7C" w:rsidRPr="00DE096C" w:rsidRDefault="00B67D7C" w:rsidP="00D45A46">
      <w:pPr>
        <w:jc w:val="both"/>
        <w:rPr>
          <w:bCs/>
          <w:color w:val="002060"/>
          <w:sz w:val="16"/>
          <w:szCs w:val="16"/>
        </w:rPr>
      </w:pPr>
      <w:r w:rsidRPr="00DE096C">
        <w:rPr>
          <w:bCs/>
          <w:color w:val="002060"/>
          <w:sz w:val="16"/>
          <w:szCs w:val="16"/>
        </w:rPr>
        <w:t>С 1916-го года Яков Седов член профсоюза авиа-работников, номер профсоюзного билета 596084.</w:t>
      </w:r>
    </w:p>
    <w:p w14:paraId="249F868A" w14:textId="77777777" w:rsidR="00B67D7C" w:rsidRPr="00DE096C" w:rsidRDefault="00B67D7C" w:rsidP="00D45A46">
      <w:pPr>
        <w:jc w:val="both"/>
        <w:rPr>
          <w:bCs/>
          <w:color w:val="002060"/>
          <w:sz w:val="16"/>
          <w:szCs w:val="16"/>
        </w:rPr>
      </w:pPr>
      <w:r w:rsidRPr="00DE096C">
        <w:rPr>
          <w:bCs/>
          <w:color w:val="002060"/>
          <w:sz w:val="16"/>
          <w:szCs w:val="16"/>
        </w:rPr>
        <w:t>Свершившийся октябрьский переворот круто повернул историю страны и человеческие судьбы. Завод многократно переименовывался, переходил из одного ведомства в другое, укрупнялся, делился, переезжал. В общем, жизнь бурлила…(12149).</w:t>
      </w:r>
    </w:p>
    <w:p w14:paraId="16F9335A" w14:textId="77777777" w:rsidR="00B67D7C" w:rsidRPr="00DE096C" w:rsidRDefault="00B67D7C" w:rsidP="00D45A46">
      <w:pPr>
        <w:jc w:val="both"/>
        <w:rPr>
          <w:bCs/>
          <w:color w:val="002060"/>
          <w:sz w:val="16"/>
          <w:szCs w:val="16"/>
        </w:rPr>
      </w:pPr>
    </w:p>
    <w:p w14:paraId="7133C7A7" w14:textId="77777777" w:rsidR="00047175" w:rsidRPr="00DE096C" w:rsidRDefault="00047175" w:rsidP="00D45A46">
      <w:pPr>
        <w:jc w:val="both"/>
        <w:rPr>
          <w:bCs/>
          <w:color w:val="002060"/>
          <w:sz w:val="16"/>
          <w:szCs w:val="16"/>
        </w:rPr>
      </w:pPr>
      <w:r w:rsidRPr="00DE096C">
        <w:rPr>
          <w:bCs/>
          <w:color w:val="002060"/>
          <w:sz w:val="16"/>
          <w:szCs w:val="16"/>
        </w:rPr>
        <w:t>Весной 1914 г. Я.М. Гаккель возобновил свою конструкторскую деятельность. 25 ап</w:t>
      </w:r>
      <w:r w:rsidRPr="00DE096C">
        <w:rPr>
          <w:bCs/>
          <w:color w:val="002060"/>
          <w:sz w:val="16"/>
          <w:szCs w:val="16"/>
        </w:rPr>
        <w:softHyphen/>
        <w:t>реля он подал патентную заявку на проект биплана с двумя двигателями, расположен</w:t>
      </w:r>
      <w:r w:rsidRPr="00DE096C">
        <w:rPr>
          <w:bCs/>
          <w:color w:val="002060"/>
          <w:sz w:val="16"/>
          <w:szCs w:val="16"/>
        </w:rPr>
        <w:softHyphen/>
        <w:t>ными на крыле. Яков Модестович составил проект основания акционерного «Общества русских летательных аппаратов» (ОРЛА), желая заинтересовать какого-либо капитали</w:t>
      </w:r>
      <w:r w:rsidRPr="00DE096C">
        <w:rPr>
          <w:bCs/>
          <w:color w:val="002060"/>
          <w:sz w:val="16"/>
          <w:szCs w:val="16"/>
        </w:rPr>
        <w:softHyphen/>
        <w:t>ста для финансирования постройки своего изобретения, но такового, видимо, не на</w:t>
      </w:r>
      <w:r w:rsidRPr="00DE096C">
        <w:rPr>
          <w:bCs/>
          <w:color w:val="002060"/>
          <w:sz w:val="16"/>
          <w:szCs w:val="16"/>
        </w:rPr>
        <w:softHyphen/>
        <w:t>шлось. В это же время Балтийский судостроительный и механический завод'</w:t>
      </w:r>
      <w:r w:rsidRPr="00DE096C">
        <w:rPr>
          <w:bCs/>
          <w:color w:val="002060"/>
          <w:sz w:val="16"/>
          <w:szCs w:val="16"/>
          <w:vertAlign w:val="superscript"/>
        </w:rPr>
        <w:t>9</w:t>
      </w:r>
      <w:r w:rsidRPr="00DE096C">
        <w:rPr>
          <w:bCs/>
          <w:color w:val="002060"/>
          <w:sz w:val="16"/>
          <w:szCs w:val="16"/>
        </w:rPr>
        <w:t xml:space="preserve"> готов был, при наличии заказа от военного ведомства, начать постройку «самолёта-истреби- теля» по проекту Я.М. Гаккеля. На самом деле это был проект бомбардировщика, так как «истреблять» этот тяжелый самолёт должен был наземные объекты с помощью бомб. Он представлял собой триплан с четырьмя двигателями, расположенными в фю</w:t>
      </w:r>
      <w:r w:rsidRPr="00DE096C">
        <w:rPr>
          <w:bCs/>
          <w:color w:val="002060"/>
          <w:sz w:val="16"/>
          <w:szCs w:val="16"/>
        </w:rPr>
        <w:softHyphen/>
        <w:t>зеляже, приводившими в движение два толкающих пропеллера на крыльях.</w:t>
      </w:r>
    </w:p>
    <w:p w14:paraId="6A7F4834" w14:textId="77777777" w:rsidR="00047175" w:rsidRPr="00DE096C" w:rsidRDefault="00047175" w:rsidP="00D45A46">
      <w:pPr>
        <w:jc w:val="both"/>
        <w:rPr>
          <w:bCs/>
          <w:color w:val="002060"/>
          <w:sz w:val="16"/>
          <w:szCs w:val="16"/>
        </w:rPr>
      </w:pPr>
      <w:bookmarkStart w:id="26" w:name="_Hlk117149901"/>
      <w:r w:rsidRPr="00DE096C">
        <w:rPr>
          <w:bCs/>
          <w:color w:val="002060"/>
          <w:sz w:val="16"/>
          <w:szCs w:val="16"/>
        </w:rPr>
        <w:t>26 апреля 1914 г. Начальник Балтийского завода морского министерства официаль</w:t>
      </w:r>
      <w:r w:rsidRPr="00DE096C">
        <w:rPr>
          <w:bCs/>
          <w:color w:val="002060"/>
          <w:sz w:val="16"/>
          <w:szCs w:val="16"/>
        </w:rPr>
        <w:softHyphen/>
        <w:t>но предложил Начальнику Главного военно-технического управления (ГВТУ) барону Е.Э. Роппу построить два «тяжелых самолёта-бомбардировщика» по проекту Гаккеля:</w:t>
      </w:r>
    </w:p>
    <w:p w14:paraId="3001DA85" w14:textId="77777777" w:rsidR="00047175" w:rsidRPr="00DE096C" w:rsidRDefault="00047175" w:rsidP="00D45A46">
      <w:pPr>
        <w:jc w:val="both"/>
        <w:rPr>
          <w:bCs/>
          <w:color w:val="002060"/>
          <w:sz w:val="16"/>
          <w:szCs w:val="16"/>
        </w:rPr>
      </w:pPr>
      <w:r w:rsidRPr="00DE096C">
        <w:rPr>
          <w:bCs/>
          <w:color w:val="002060"/>
          <w:sz w:val="16"/>
          <w:szCs w:val="16"/>
        </w:rPr>
        <w:t>«Проект этих аэропланов разработан воздухоплавательным отделом завода совме</w:t>
      </w:r>
      <w:r w:rsidRPr="00DE096C">
        <w:rPr>
          <w:bCs/>
          <w:color w:val="002060"/>
          <w:sz w:val="16"/>
          <w:szCs w:val="16"/>
        </w:rPr>
        <w:softHyphen/>
        <w:t>стно с солидным специалистом... и по системе своей имеет много преимуществ над существующими типами. Завод мог бы взять на себя постройку двух таких аэропла</w:t>
      </w:r>
      <w:r w:rsidRPr="00DE096C">
        <w:rPr>
          <w:bCs/>
          <w:color w:val="002060"/>
          <w:sz w:val="16"/>
          <w:szCs w:val="16"/>
        </w:rPr>
        <w:softHyphen/>
        <w:t>нов «самолётов-истребителей» при гарантированной скорости полета в 90 км в час, по цене 90000 руб. за каждый «самолёт-истребитель», и премия в размере 3000 руб. за каждый лишний километр скорости в час, сверх 90 км/ч, данной «самолётом-истре- бителем» при сдаточных испытаниях. Срок готовности двух «самолётов-истребителей» будет 4 месяца со дня получения заказа, при условии сдачи их в С.-Петербурге»</w:t>
      </w:r>
      <w:r w:rsidRPr="00DE096C">
        <w:rPr>
          <w:bCs/>
          <w:color w:val="002060"/>
          <w:sz w:val="16"/>
          <w:szCs w:val="16"/>
          <w:vertAlign w:val="superscript"/>
        </w:rPr>
        <w:t>20</w:t>
      </w:r>
      <w:r w:rsidRPr="00DE096C">
        <w:rPr>
          <w:bCs/>
          <w:color w:val="002060"/>
          <w:sz w:val="16"/>
          <w:szCs w:val="16"/>
        </w:rPr>
        <w:t>.</w:t>
      </w:r>
    </w:p>
    <w:p w14:paraId="5228DBCF" w14:textId="77777777" w:rsidR="00047175" w:rsidRPr="00DE096C" w:rsidRDefault="00047175" w:rsidP="00D45A46">
      <w:pPr>
        <w:jc w:val="both"/>
        <w:rPr>
          <w:bCs/>
          <w:color w:val="002060"/>
          <w:sz w:val="16"/>
          <w:szCs w:val="16"/>
        </w:rPr>
      </w:pPr>
      <w:r w:rsidRPr="00DE096C">
        <w:rPr>
          <w:bCs/>
          <w:color w:val="002060"/>
          <w:sz w:val="16"/>
          <w:szCs w:val="16"/>
        </w:rPr>
        <w:t>В приложение к документу содержалось описание самолёта: «Настоящий самолёт- истребитель сконструирован для специальной цели быстрого перемещения в воздухе с большой скоростью и на большое расстояние двух мин, по 500 кг весом каждая или большого количества малых бомб общим весом около 1000 кг.</w:t>
      </w:r>
    </w:p>
    <w:p w14:paraId="04857696" w14:textId="77777777" w:rsidR="00047175" w:rsidRPr="00DE096C" w:rsidRDefault="00047175" w:rsidP="00D45A46">
      <w:pPr>
        <w:jc w:val="both"/>
        <w:rPr>
          <w:bCs/>
          <w:color w:val="002060"/>
          <w:sz w:val="16"/>
          <w:szCs w:val="16"/>
        </w:rPr>
      </w:pPr>
      <w:r w:rsidRPr="00DE096C">
        <w:rPr>
          <w:bCs/>
          <w:color w:val="002060"/>
          <w:sz w:val="16"/>
          <w:szCs w:val="16"/>
        </w:rPr>
        <w:t>Гарантированная продолжительность непрерывного полета самолёта-истребителя с ука</w:t>
      </w:r>
      <w:r w:rsidRPr="00DE096C">
        <w:rPr>
          <w:bCs/>
          <w:color w:val="002060"/>
          <w:sz w:val="16"/>
          <w:szCs w:val="16"/>
        </w:rPr>
        <w:softHyphen/>
        <w:t>занным грузом и с пятью человеками команды (2 механика, 2 пилота и 1 минер-командир) около 10 часов.</w:t>
      </w:r>
    </w:p>
    <w:p w14:paraId="0F22F891" w14:textId="77777777" w:rsidR="00047175" w:rsidRPr="00DE096C" w:rsidRDefault="00047175" w:rsidP="00D45A46">
      <w:pPr>
        <w:jc w:val="both"/>
        <w:rPr>
          <w:bCs/>
          <w:color w:val="002060"/>
          <w:sz w:val="16"/>
          <w:szCs w:val="16"/>
        </w:rPr>
      </w:pPr>
      <w:r w:rsidRPr="00DE096C">
        <w:rPr>
          <w:bCs/>
          <w:color w:val="002060"/>
          <w:sz w:val="16"/>
          <w:szCs w:val="16"/>
        </w:rPr>
        <w:t>При уменьшении вооружения на одну мину, длительность полёта увеличивается до 14 с половиной часов...</w:t>
      </w:r>
    </w:p>
    <w:p w14:paraId="4BA67C43" w14:textId="77777777" w:rsidR="00047175" w:rsidRPr="00DE096C" w:rsidRDefault="00047175" w:rsidP="00D45A46">
      <w:pPr>
        <w:pStyle w:val="16"/>
        <w:shd w:val="clear" w:color="auto" w:fill="auto"/>
        <w:spacing w:before="0" w:line="240" w:lineRule="auto"/>
        <w:ind w:firstLine="0"/>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Тело аэроплана общей длиной 14500 мм имеет рыбовидную форму, обеспечиваю</w:t>
      </w:r>
      <w:r w:rsidRPr="00DE096C">
        <w:rPr>
          <w:rFonts w:ascii="Times New Roman" w:hAnsi="Times New Roman" w:cs="Times New Roman"/>
          <w:bCs/>
          <w:color w:val="002060"/>
          <w:sz w:val="16"/>
          <w:szCs w:val="16"/>
        </w:rPr>
        <w:softHyphen/>
        <w:t>щую наименьшее сопротивление для движения в воздухе. 'Миделевое сечение тела имеет 1900 мм ширины и 2350 мм высоты.</w:t>
      </w:r>
    </w:p>
    <w:p w14:paraId="4CF9E8E9" w14:textId="77777777" w:rsidR="00047175" w:rsidRPr="00DE096C" w:rsidRDefault="00047175" w:rsidP="00D45A46">
      <w:pPr>
        <w:jc w:val="both"/>
        <w:rPr>
          <w:bCs/>
          <w:color w:val="002060"/>
          <w:sz w:val="16"/>
          <w:szCs w:val="16"/>
        </w:rPr>
      </w:pPr>
      <w:r w:rsidRPr="00DE096C">
        <w:rPr>
          <w:bCs/>
          <w:color w:val="002060"/>
          <w:sz w:val="16"/>
          <w:szCs w:val="16"/>
        </w:rPr>
        <w:t>В носовой части имеется одно открытое место для сиденья наблюдателя и для управ</w:t>
      </w:r>
      <w:r w:rsidRPr="00DE096C">
        <w:rPr>
          <w:bCs/>
          <w:color w:val="002060"/>
          <w:sz w:val="16"/>
          <w:szCs w:val="16"/>
        </w:rPr>
        <w:softHyphen/>
        <w:t>ления прожектором, далее идут 3 закрытых помещения.</w:t>
      </w:r>
    </w:p>
    <w:p w14:paraId="2A6912EE" w14:textId="77777777" w:rsidR="00047175" w:rsidRPr="00DE096C" w:rsidRDefault="00047175" w:rsidP="00D45A46">
      <w:pPr>
        <w:tabs>
          <w:tab w:val="left" w:pos="418"/>
        </w:tabs>
        <w:jc w:val="both"/>
        <w:rPr>
          <w:bCs/>
          <w:color w:val="002060"/>
          <w:sz w:val="16"/>
          <w:szCs w:val="16"/>
        </w:rPr>
      </w:pPr>
      <w:r w:rsidRPr="00DE096C">
        <w:rPr>
          <w:bCs/>
          <w:color w:val="002060"/>
          <w:sz w:val="16"/>
          <w:szCs w:val="16"/>
        </w:rPr>
        <w:t>а) отделение управления, длиною около 2 метров, внизу которого помещаются минные аппараты Т.Т.</w:t>
      </w:r>
    </w:p>
    <w:p w14:paraId="1C07F799" w14:textId="77777777" w:rsidR="00047175" w:rsidRPr="00DE096C" w:rsidRDefault="00047175" w:rsidP="00D45A46">
      <w:pPr>
        <w:tabs>
          <w:tab w:val="left" w:pos="457"/>
        </w:tabs>
        <w:jc w:val="both"/>
        <w:rPr>
          <w:bCs/>
          <w:color w:val="002060"/>
          <w:sz w:val="16"/>
          <w:szCs w:val="16"/>
        </w:rPr>
      </w:pPr>
      <w:r w:rsidRPr="00DE096C">
        <w:rPr>
          <w:bCs/>
          <w:color w:val="002060"/>
          <w:sz w:val="16"/>
          <w:szCs w:val="16"/>
        </w:rPr>
        <w:t>б) машинное отделение, длиною 4,6 м. Как видно из чертежа, для наилучшего обес</w:t>
      </w:r>
      <w:r w:rsidRPr="00DE096C">
        <w:rPr>
          <w:bCs/>
          <w:color w:val="002060"/>
          <w:sz w:val="16"/>
          <w:szCs w:val="16"/>
        </w:rPr>
        <w:softHyphen/>
        <w:t>печения непрерывности полёта применено четыре (4) мотора, связанных коническими зубчатыми передачами между собой с двумя тихоходными (выделено авт. — А.Д.) про</w:t>
      </w:r>
      <w:r w:rsidRPr="00DE096C">
        <w:rPr>
          <w:bCs/>
          <w:color w:val="002060"/>
          <w:sz w:val="16"/>
          <w:szCs w:val="16"/>
        </w:rPr>
        <w:softHyphen/>
        <w:t>пеллерами диаметром каждый 3750 мм.</w:t>
      </w:r>
    </w:p>
    <w:p w14:paraId="78B278D4" w14:textId="77777777" w:rsidR="00047175" w:rsidRPr="00DE096C" w:rsidRDefault="00047175" w:rsidP="00D45A46">
      <w:pPr>
        <w:jc w:val="both"/>
        <w:rPr>
          <w:bCs/>
          <w:color w:val="002060"/>
          <w:sz w:val="16"/>
          <w:szCs w:val="16"/>
        </w:rPr>
      </w:pPr>
      <w:r w:rsidRPr="00DE096C">
        <w:rPr>
          <w:bCs/>
          <w:color w:val="002060"/>
          <w:sz w:val="16"/>
          <w:szCs w:val="16"/>
        </w:rPr>
        <w:t>Моторы, мощностью по 100 НР каждый, установленные внутри закрытого помещения, вполне обеспечены хорошим уходом. Каждый из моторов соединяется с приводом фрик</w:t>
      </w:r>
      <w:r w:rsidRPr="00DE096C">
        <w:rPr>
          <w:bCs/>
          <w:color w:val="002060"/>
          <w:sz w:val="16"/>
          <w:szCs w:val="16"/>
        </w:rPr>
        <w:softHyphen/>
        <w:t>ционной муфтой, благодаря которой он может быть включен для остановки и ремонта во время полёта аэроплана, причем оба пропеллера будут продолжать работать с равными нагрузками, с уменьшением лишь общей мощности на одну четверть от полной.</w:t>
      </w:r>
    </w:p>
    <w:p w14:paraId="71D24B75" w14:textId="77777777" w:rsidR="00047175" w:rsidRPr="00DE096C" w:rsidRDefault="00047175" w:rsidP="00D45A46">
      <w:pPr>
        <w:jc w:val="both"/>
        <w:rPr>
          <w:bCs/>
          <w:color w:val="002060"/>
          <w:sz w:val="16"/>
          <w:szCs w:val="16"/>
        </w:rPr>
      </w:pPr>
      <w:r w:rsidRPr="00DE096C">
        <w:rPr>
          <w:bCs/>
          <w:color w:val="002060"/>
          <w:sz w:val="16"/>
          <w:szCs w:val="16"/>
        </w:rPr>
        <w:t>Выхлопные трубы моторов, весьма короткие, выведены наружу по обе стороны тела аппарата.</w:t>
      </w:r>
    </w:p>
    <w:p w14:paraId="2BA5BDD1" w14:textId="77777777" w:rsidR="00047175" w:rsidRPr="00DE096C" w:rsidRDefault="00047175" w:rsidP="00D45A46">
      <w:pPr>
        <w:jc w:val="both"/>
        <w:rPr>
          <w:bCs/>
          <w:color w:val="002060"/>
          <w:sz w:val="16"/>
          <w:szCs w:val="16"/>
        </w:rPr>
      </w:pPr>
      <w:r w:rsidRPr="00DE096C">
        <w:rPr>
          <w:bCs/>
          <w:color w:val="002060"/>
          <w:sz w:val="16"/>
          <w:szCs w:val="16"/>
        </w:rPr>
        <w:t>Радиаторы водяного охлаждения моторов располагаются вблизи своих моторов на наружных стенках машинного отделения.</w:t>
      </w:r>
    </w:p>
    <w:p w14:paraId="106FCD93" w14:textId="77777777" w:rsidR="00047175" w:rsidRPr="00DE096C" w:rsidRDefault="00047175" w:rsidP="00D45A46">
      <w:pPr>
        <w:jc w:val="both"/>
        <w:rPr>
          <w:bCs/>
          <w:color w:val="002060"/>
          <w:sz w:val="16"/>
          <w:szCs w:val="16"/>
        </w:rPr>
      </w:pPr>
      <w:r w:rsidRPr="00DE096C">
        <w:rPr>
          <w:bCs/>
          <w:color w:val="002060"/>
          <w:sz w:val="16"/>
          <w:szCs w:val="16"/>
        </w:rPr>
        <w:t>Бензиновые резервуары, числом 4, подвешиваются под потолком машинного отде</w:t>
      </w:r>
      <w:r w:rsidRPr="00DE096C">
        <w:rPr>
          <w:bCs/>
          <w:color w:val="002060"/>
          <w:sz w:val="16"/>
          <w:szCs w:val="16"/>
        </w:rPr>
        <w:softHyphen/>
        <w:t>ления, над моторами, не стесняя среднего прохода.</w:t>
      </w:r>
    </w:p>
    <w:p w14:paraId="2C2E414B" w14:textId="77777777" w:rsidR="00047175" w:rsidRPr="00DE096C" w:rsidRDefault="00047175" w:rsidP="00D45A46">
      <w:pPr>
        <w:tabs>
          <w:tab w:val="left" w:pos="471"/>
        </w:tabs>
        <w:jc w:val="both"/>
        <w:rPr>
          <w:bCs/>
          <w:color w:val="002060"/>
          <w:sz w:val="16"/>
          <w:szCs w:val="16"/>
        </w:rPr>
      </w:pPr>
      <w:r w:rsidRPr="00DE096C">
        <w:rPr>
          <w:bCs/>
          <w:color w:val="002060"/>
          <w:sz w:val="16"/>
          <w:szCs w:val="16"/>
        </w:rPr>
        <w:t>в) запасное отделение самолёта-истребителя, заднее, служит для входа в аэроплан (имеет боковую дверь). Оно может быть использовано, смотря по надобности, напри</w:t>
      </w:r>
      <w:r w:rsidRPr="00DE096C">
        <w:rPr>
          <w:bCs/>
          <w:color w:val="002060"/>
          <w:sz w:val="16"/>
          <w:szCs w:val="16"/>
        </w:rPr>
        <w:softHyphen/>
        <w:t>мер, для установки аппаратов беспроволочного телеграфа. Это отделение предназнача</w:t>
      </w:r>
      <w:r w:rsidRPr="00DE096C">
        <w:rPr>
          <w:bCs/>
          <w:color w:val="002060"/>
          <w:sz w:val="16"/>
          <w:szCs w:val="16"/>
        </w:rPr>
        <w:softHyphen/>
        <w:t>ется также для обстрела назад преследователей истребителя из ружья или из пулемета, для каковой цели в крыше предусмотрен открывающийся вверх люк.</w:t>
      </w:r>
    </w:p>
    <w:p w14:paraId="058B9944" w14:textId="77777777" w:rsidR="00047175" w:rsidRPr="00DE096C" w:rsidRDefault="00047175" w:rsidP="00D45A46">
      <w:pPr>
        <w:jc w:val="both"/>
        <w:rPr>
          <w:bCs/>
          <w:color w:val="002060"/>
          <w:sz w:val="16"/>
          <w:szCs w:val="16"/>
        </w:rPr>
      </w:pPr>
      <w:r w:rsidRPr="00DE096C">
        <w:rPr>
          <w:bCs/>
          <w:color w:val="002060"/>
          <w:sz w:val="16"/>
          <w:szCs w:val="16"/>
        </w:rPr>
        <w:t>Для прохода на носовое, открытое сиденье, имеется также люк, но в крыше отделе</w:t>
      </w:r>
      <w:r w:rsidRPr="00DE096C">
        <w:rPr>
          <w:bCs/>
          <w:color w:val="002060"/>
          <w:sz w:val="16"/>
          <w:szCs w:val="16"/>
        </w:rPr>
        <w:softHyphen/>
        <w:t>ния А, который избавляет от необходимости устройства двери в передней или одной из боковых стенок отделения, что значительно уменьшило бы прочность их и, кроме того, вследствие значительных, сравнимых с люком размеров, дверь представляет затрудне</w:t>
      </w:r>
      <w:r w:rsidRPr="00DE096C">
        <w:rPr>
          <w:bCs/>
          <w:color w:val="002060"/>
          <w:sz w:val="16"/>
          <w:szCs w:val="16"/>
        </w:rPr>
        <w:softHyphen/>
        <w:t>ния при открывании во время полёта.</w:t>
      </w:r>
    </w:p>
    <w:p w14:paraId="57836FF6" w14:textId="77777777" w:rsidR="00047175" w:rsidRPr="00DE096C" w:rsidRDefault="00047175" w:rsidP="00D45A46">
      <w:pPr>
        <w:jc w:val="both"/>
        <w:rPr>
          <w:bCs/>
          <w:color w:val="002060"/>
          <w:sz w:val="16"/>
          <w:szCs w:val="16"/>
        </w:rPr>
      </w:pPr>
      <w:r w:rsidRPr="00DE096C">
        <w:rPr>
          <w:bCs/>
          <w:color w:val="002060"/>
          <w:sz w:val="16"/>
          <w:szCs w:val="16"/>
        </w:rPr>
        <w:t xml:space="preserve">Главные несущие поверхности, вследствие весьма солидной площади </w:t>
      </w:r>
      <w:r w:rsidRPr="00DE096C">
        <w:rPr>
          <w:rStyle w:val="1pt"/>
          <w:rFonts w:ascii="Times New Roman" w:hAnsi="Times New Roman" w:cs="Times New Roman"/>
          <w:bCs/>
          <w:color w:val="002060"/>
          <w:spacing w:val="0"/>
          <w:sz w:val="16"/>
          <w:szCs w:val="16"/>
        </w:rPr>
        <w:t>их—</w:t>
      </w:r>
      <w:r w:rsidRPr="00DE096C">
        <w:rPr>
          <w:bCs/>
          <w:color w:val="002060"/>
          <w:sz w:val="16"/>
          <w:szCs w:val="16"/>
        </w:rPr>
        <w:t xml:space="preserve"> 165 кв.м. — разделены на три плана, из которых 2 верхних имеют общий размах (ширина аэро</w:t>
      </w:r>
      <w:r w:rsidRPr="00DE096C">
        <w:rPr>
          <w:bCs/>
          <w:color w:val="002060"/>
          <w:sz w:val="16"/>
          <w:szCs w:val="16"/>
        </w:rPr>
        <w:softHyphen/>
        <w:t>плана) в 25 м, 3-я же поверхность, нижняя, имеет меньший размах — в 20 м. Наружные концы последней поверхности значительно приподняты над землей — до 1 м, тогда как по средине аппарата эта поверхность примыкает к самому низу тела аппарата.</w:t>
      </w:r>
    </w:p>
    <w:p w14:paraId="686B1B4A" w14:textId="77777777" w:rsidR="00047175" w:rsidRPr="00DE096C" w:rsidRDefault="00047175" w:rsidP="00D45A46">
      <w:pPr>
        <w:jc w:val="both"/>
        <w:rPr>
          <w:bCs/>
          <w:color w:val="002060"/>
          <w:sz w:val="16"/>
          <w:szCs w:val="16"/>
        </w:rPr>
      </w:pPr>
      <w:r w:rsidRPr="00DE096C">
        <w:rPr>
          <w:bCs/>
          <w:color w:val="002060"/>
          <w:sz w:val="16"/>
          <w:szCs w:val="16"/>
        </w:rPr>
        <w:t>Средняя поверхность дает очертание верхней передней части тела аппарата, чем несомненно достигается минимум сопротивления воздуха предлагаемой системы.</w:t>
      </w:r>
    </w:p>
    <w:p w14:paraId="7002C770" w14:textId="77777777" w:rsidR="00047175" w:rsidRPr="00DE096C" w:rsidRDefault="00047175" w:rsidP="00D45A46">
      <w:pPr>
        <w:jc w:val="both"/>
        <w:rPr>
          <w:bCs/>
          <w:color w:val="002060"/>
          <w:sz w:val="16"/>
          <w:szCs w:val="16"/>
        </w:rPr>
      </w:pPr>
      <w:r w:rsidRPr="00DE096C">
        <w:rPr>
          <w:bCs/>
          <w:color w:val="002060"/>
          <w:sz w:val="16"/>
          <w:szCs w:val="16"/>
        </w:rPr>
        <w:t>Верхняя поверхность приподнята над телом аэроплана на 2 м. Расстояние между по</w:t>
      </w:r>
      <w:r w:rsidRPr="00DE096C">
        <w:rPr>
          <w:bCs/>
          <w:color w:val="002060"/>
          <w:sz w:val="16"/>
          <w:szCs w:val="16"/>
        </w:rPr>
        <w:softHyphen/>
        <w:t>верхностями в среднем ок. 1750 мм и для увеличения их активности при планирующем спу</w:t>
      </w:r>
      <w:r w:rsidRPr="00DE096C">
        <w:rPr>
          <w:bCs/>
          <w:color w:val="002060"/>
          <w:sz w:val="16"/>
          <w:szCs w:val="16"/>
        </w:rPr>
        <w:softHyphen/>
        <w:t>ске — применено ступенчатое их расположение, с выносом вперед верхних поверхностей.</w:t>
      </w:r>
    </w:p>
    <w:p w14:paraId="35AA008F" w14:textId="77777777" w:rsidR="00047175" w:rsidRPr="00DE096C" w:rsidRDefault="00047175" w:rsidP="00D45A46">
      <w:pPr>
        <w:jc w:val="both"/>
        <w:rPr>
          <w:bCs/>
          <w:color w:val="002060"/>
          <w:sz w:val="16"/>
          <w:szCs w:val="16"/>
        </w:rPr>
      </w:pPr>
      <w:r w:rsidRPr="00DE096C">
        <w:rPr>
          <w:bCs/>
          <w:color w:val="002060"/>
          <w:sz w:val="16"/>
          <w:szCs w:val="16"/>
        </w:rPr>
        <w:t>Поперечная устойчивость регулируется обычным способом, посредством подвижных клапанов, устроенных в задних частях концов двух верхних поверхностей.</w:t>
      </w:r>
    </w:p>
    <w:p w14:paraId="55E444F1" w14:textId="77777777" w:rsidR="00047175" w:rsidRPr="00DE096C" w:rsidRDefault="00047175" w:rsidP="00D45A46">
      <w:pPr>
        <w:jc w:val="both"/>
        <w:rPr>
          <w:bCs/>
          <w:color w:val="002060"/>
          <w:sz w:val="16"/>
          <w:szCs w:val="16"/>
        </w:rPr>
      </w:pPr>
      <w:r w:rsidRPr="00DE096C">
        <w:rPr>
          <w:bCs/>
          <w:color w:val="002060"/>
          <w:sz w:val="16"/>
          <w:szCs w:val="16"/>
        </w:rPr>
        <w:t>В хвостовой части аэроплана расположен стабилизатор (треугольной формы), к ко</w:t>
      </w:r>
      <w:r w:rsidRPr="00DE096C">
        <w:rPr>
          <w:bCs/>
          <w:color w:val="002060"/>
          <w:sz w:val="16"/>
          <w:szCs w:val="16"/>
        </w:rPr>
        <w:softHyphen/>
        <w:t>торому укреплен руль глубины.</w:t>
      </w:r>
    </w:p>
    <w:p w14:paraId="3135A6F8" w14:textId="77777777" w:rsidR="00047175" w:rsidRPr="00DE096C" w:rsidRDefault="00047175" w:rsidP="00D45A46">
      <w:pPr>
        <w:jc w:val="both"/>
        <w:rPr>
          <w:bCs/>
          <w:color w:val="002060"/>
          <w:sz w:val="16"/>
          <w:szCs w:val="16"/>
        </w:rPr>
      </w:pPr>
      <w:r w:rsidRPr="00DE096C">
        <w:rPr>
          <w:bCs/>
          <w:color w:val="002060"/>
          <w:sz w:val="16"/>
          <w:szCs w:val="16"/>
        </w:rPr>
        <w:t>В вырезе последнего помещается мощный вертикальный руль направления. Все ор</w:t>
      </w:r>
      <w:r w:rsidRPr="00DE096C">
        <w:rPr>
          <w:bCs/>
          <w:color w:val="002060"/>
          <w:sz w:val="16"/>
          <w:szCs w:val="16"/>
        </w:rPr>
        <w:softHyphen/>
        <w:t>ганы управления соединяются двойными, весьма прочными стальными тросами с пилот</w:t>
      </w:r>
      <w:r w:rsidRPr="00DE096C">
        <w:rPr>
          <w:bCs/>
          <w:color w:val="002060"/>
          <w:sz w:val="16"/>
          <w:szCs w:val="16"/>
        </w:rPr>
        <w:softHyphen/>
        <w:t>ским штурвалом (одним или двумя, по желанию военного ведомства).</w:t>
      </w:r>
    </w:p>
    <w:p w14:paraId="725354A1" w14:textId="77777777" w:rsidR="00047175" w:rsidRPr="00DE096C" w:rsidRDefault="00047175" w:rsidP="00D45A46">
      <w:pPr>
        <w:jc w:val="both"/>
        <w:rPr>
          <w:bCs/>
          <w:color w:val="002060"/>
          <w:sz w:val="16"/>
          <w:szCs w:val="16"/>
        </w:rPr>
      </w:pPr>
      <w:r w:rsidRPr="00DE096C">
        <w:rPr>
          <w:bCs/>
          <w:color w:val="002060"/>
          <w:sz w:val="16"/>
          <w:szCs w:val="16"/>
        </w:rPr>
        <w:t>Пропеллеры помещены по обеим сторонам тела, позади несущих поверхностей, при</w:t>
      </w:r>
      <w:r w:rsidRPr="00DE096C">
        <w:rPr>
          <w:bCs/>
          <w:color w:val="002060"/>
          <w:sz w:val="16"/>
          <w:szCs w:val="16"/>
        </w:rPr>
        <w:softHyphen/>
        <w:t>чем нижняя поверхность, благодаря ступенчатому расположению, прикрывает снизу пропеллеры и защищает их от повреждения щепками, камешками и т.д., часто подни</w:t>
      </w:r>
      <w:r w:rsidRPr="00DE096C">
        <w:rPr>
          <w:bCs/>
          <w:color w:val="002060"/>
          <w:sz w:val="16"/>
          <w:szCs w:val="16"/>
        </w:rPr>
        <w:softHyphen/>
        <w:t>мающимися с земли при пуске в ход пропеллера.</w:t>
      </w:r>
    </w:p>
    <w:p w14:paraId="01E28AD8" w14:textId="77777777" w:rsidR="00047175" w:rsidRPr="00DE096C" w:rsidRDefault="00047175" w:rsidP="00D45A46">
      <w:pPr>
        <w:jc w:val="both"/>
        <w:rPr>
          <w:bCs/>
          <w:color w:val="002060"/>
          <w:sz w:val="16"/>
          <w:szCs w:val="16"/>
        </w:rPr>
      </w:pPr>
      <w:r w:rsidRPr="00DE096C">
        <w:rPr>
          <w:bCs/>
          <w:color w:val="002060"/>
          <w:sz w:val="16"/>
          <w:szCs w:val="16"/>
        </w:rPr>
        <w:t>Шасси самолёта-истребителя состоит из двух пар главных пневматических колес, оси которых скрыты для уменьшения лобового сопротивления в теле аппарата и одной па</w:t>
      </w:r>
      <w:r w:rsidRPr="00DE096C">
        <w:rPr>
          <w:bCs/>
          <w:color w:val="002060"/>
          <w:sz w:val="16"/>
          <w:szCs w:val="16"/>
        </w:rPr>
        <w:softHyphen/>
        <w:t>ры малых колес, предохраняющих нос аппарата от зарывания в землю при чрезмерном его наклоне. Расположение колес видно из чертежей.</w:t>
      </w:r>
    </w:p>
    <w:p w14:paraId="6AF538BD" w14:textId="77777777" w:rsidR="00047175" w:rsidRPr="00DE096C" w:rsidRDefault="00047175" w:rsidP="00D45A46">
      <w:pPr>
        <w:jc w:val="both"/>
        <w:rPr>
          <w:bCs/>
          <w:color w:val="002060"/>
          <w:sz w:val="16"/>
          <w:szCs w:val="16"/>
        </w:rPr>
      </w:pPr>
      <w:r w:rsidRPr="00DE096C">
        <w:rPr>
          <w:bCs/>
          <w:color w:val="002060"/>
          <w:sz w:val="16"/>
          <w:szCs w:val="16"/>
        </w:rPr>
        <w:t>Представляемые при сем чертежи общего устройства самолёта-истребителя, соста</w:t>
      </w:r>
      <w:r w:rsidRPr="00DE096C">
        <w:rPr>
          <w:bCs/>
          <w:color w:val="002060"/>
          <w:sz w:val="16"/>
          <w:szCs w:val="16"/>
        </w:rPr>
        <w:softHyphen/>
        <w:t>вленные в масштабе 1/40...»</w:t>
      </w:r>
      <w:r w:rsidRPr="00DE096C">
        <w:rPr>
          <w:bCs/>
          <w:color w:val="002060"/>
          <w:sz w:val="16"/>
          <w:szCs w:val="16"/>
          <w:vertAlign w:val="superscript"/>
        </w:rPr>
        <w:t>21</w:t>
      </w:r>
      <w:r w:rsidRPr="00DE096C">
        <w:rPr>
          <w:bCs/>
          <w:color w:val="002060"/>
          <w:sz w:val="16"/>
          <w:szCs w:val="16"/>
        </w:rPr>
        <w:t>, к сожалению, пока обнаружить не удалось (15782).</w:t>
      </w:r>
    </w:p>
    <w:p w14:paraId="5C8E944F" w14:textId="77777777" w:rsidR="00047175" w:rsidRPr="00DE096C" w:rsidRDefault="00047175" w:rsidP="00D45A46">
      <w:pPr>
        <w:pStyle w:val="16"/>
        <w:shd w:val="clear" w:color="auto" w:fill="auto"/>
        <w:spacing w:before="0" w:line="240" w:lineRule="auto"/>
        <w:ind w:firstLine="0"/>
        <w:rPr>
          <w:rFonts w:ascii="Times New Roman" w:hAnsi="Times New Roman" w:cs="Times New Roman"/>
          <w:bCs/>
          <w:color w:val="002060"/>
          <w:sz w:val="16"/>
          <w:szCs w:val="16"/>
        </w:rPr>
      </w:pPr>
    </w:p>
    <w:bookmarkEnd w:id="26"/>
    <w:p w14:paraId="64DC8FF6" w14:textId="77777777" w:rsidR="00047175" w:rsidRPr="00DE096C" w:rsidRDefault="00047175" w:rsidP="00D45A46">
      <w:pPr>
        <w:pStyle w:val="31"/>
        <w:shd w:val="clear" w:color="auto" w:fill="auto"/>
        <w:spacing w:line="240" w:lineRule="auto"/>
        <w:ind w:firstLine="0"/>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Весной 1914 г. Ю.А. Меллер сообщил начальнику ГВТУ оценочную стоимость имущества и механического оборудования: каменный корпус с при</w:t>
      </w:r>
      <w:r w:rsidRPr="00DE096C">
        <w:rPr>
          <w:rFonts w:ascii="Times New Roman" w:hAnsi="Times New Roman" w:cs="Times New Roman"/>
          <w:bCs/>
          <w:color w:val="002060"/>
          <w:sz w:val="16"/>
          <w:szCs w:val="16"/>
        </w:rPr>
        <w:softHyphen/>
        <w:t>стройками и землей — 150 тыс. руб.; новый сборочный корпус с оборудованием — 360 тыс. руб; механическое оборудование — 160 тыс. руб. В штате механического отдела чи</w:t>
      </w:r>
      <w:r w:rsidRPr="00DE096C">
        <w:rPr>
          <w:rFonts w:ascii="Times New Roman" w:hAnsi="Times New Roman" w:cs="Times New Roman"/>
          <w:bCs/>
          <w:color w:val="002060"/>
          <w:sz w:val="16"/>
          <w:szCs w:val="16"/>
        </w:rPr>
        <w:softHyphen/>
        <w:t>слились 300 рабочих, в столярной, малярной, обойной и других мастерских — 250 чел. Оборот минувшего года достиг 2 млн. руб. Ежемесячный выпуск составлял 12-15 само</w:t>
      </w:r>
      <w:r w:rsidRPr="00DE096C">
        <w:rPr>
          <w:rFonts w:ascii="Times New Roman" w:hAnsi="Times New Roman" w:cs="Times New Roman"/>
          <w:bCs/>
          <w:color w:val="002060"/>
          <w:sz w:val="16"/>
          <w:szCs w:val="16"/>
        </w:rPr>
        <w:softHyphen/>
        <w:t>летов. Завод вырабатывал самостоятельно многие детали аэропланов, «как-то: обода, спицы, втулки, тали для моторов, тендера, болты, т.е. все металлические и деревянные части, имея целый ряд специальных станков» (15761).</w:t>
      </w:r>
    </w:p>
    <w:p w14:paraId="7C8BB478" w14:textId="77777777" w:rsidR="00047175" w:rsidRPr="00DE096C" w:rsidRDefault="00047175" w:rsidP="00D45A46">
      <w:pPr>
        <w:jc w:val="both"/>
        <w:rPr>
          <w:bCs/>
          <w:color w:val="002060"/>
          <w:sz w:val="16"/>
          <w:szCs w:val="16"/>
        </w:rPr>
      </w:pPr>
    </w:p>
    <w:p w14:paraId="16975336" w14:textId="77777777" w:rsidR="00047175" w:rsidRPr="00DE096C" w:rsidRDefault="00047175" w:rsidP="00D45A46">
      <w:pPr>
        <w:pStyle w:val="2"/>
        <w:spacing w:before="0" w:after="0"/>
        <w:jc w:val="both"/>
        <w:rPr>
          <w:b w:val="0"/>
          <w:bCs/>
          <w:color w:val="002060"/>
          <w:sz w:val="16"/>
          <w:szCs w:val="16"/>
        </w:rPr>
      </w:pPr>
      <w:r w:rsidRPr="00DE096C">
        <w:rPr>
          <w:b w:val="0"/>
          <w:bCs/>
          <w:color w:val="002060"/>
          <w:sz w:val="16"/>
          <w:szCs w:val="16"/>
        </w:rPr>
        <w:t>Весной 1914 г. Габер-Влынский испытал на Ходынке «Фарман-16» завода «Дукс» с бронированной кабиной и пулеметной установкой. Но было уже поздно. Новые чиновники военного ведомства, как отмечалось выше, посчитали, что для одно- и двухместных самолетов «полезны сравнительно легкие ружья, допускающие действовать по летательным аппаратам противника широко разлетающимся скопом пуль (картечи) с руки.» Они признавали целесообразным вооружать только большие самолеты типа «Илья Муромец», но никаких реальных шагов для этого накануне войны не делали. Одновременно военные рассматривали проекты тяжелых бомбардировщиков по типу «Ильи Муромца», разработанные Я.М.Гаккелем и Ч.М.Кеннеди. Оба самолета собирались оснастить пулеметным вооружением. Отсюда понятно, почему начавшуюся летом 1914 г. первую мировую войну русские боевые самолеты встретили невооруженными, что и заставило П.Н.Нестерова жертвовать собой, совершая первый в мире воздушный таран. В обзоре русской авиации за 1914 г. писали, что на фронте аэропланы использовали, главным образом, для разведки (15464).</w:t>
      </w:r>
    </w:p>
    <w:p w14:paraId="465FFC95" w14:textId="77777777" w:rsidR="00047175" w:rsidRPr="00DE096C" w:rsidRDefault="00047175" w:rsidP="00D45A46">
      <w:pPr>
        <w:pStyle w:val="2"/>
        <w:spacing w:before="0" w:after="0"/>
        <w:jc w:val="both"/>
        <w:rPr>
          <w:b w:val="0"/>
          <w:bCs/>
          <w:color w:val="002060"/>
          <w:sz w:val="16"/>
          <w:szCs w:val="16"/>
        </w:rPr>
      </w:pPr>
    </w:p>
    <w:p w14:paraId="57A96F57" w14:textId="77777777" w:rsidR="007925B0" w:rsidRPr="00B52707" w:rsidRDefault="007925B0" w:rsidP="007925B0">
      <w:pPr>
        <w:jc w:val="both"/>
        <w:rPr>
          <w:color w:val="0070C0"/>
          <w:sz w:val="16"/>
          <w:szCs w:val="16"/>
        </w:rPr>
      </w:pPr>
      <w:r w:rsidRPr="00B52707">
        <w:rPr>
          <w:color w:val="0070C0"/>
          <w:sz w:val="16"/>
          <w:szCs w:val="16"/>
        </w:rPr>
        <w:t>Весной 1914 г. Габер-Влынский летал на «Фармане-16», оснащенном бронированной кабиной и пулеметом «Максим». Самолёт был явно перегружен и показал неважные летные данные (25147).</w:t>
      </w:r>
    </w:p>
    <w:p w14:paraId="1A2146EE" w14:textId="77777777" w:rsidR="007925B0" w:rsidRPr="00B52707" w:rsidRDefault="007925B0" w:rsidP="007925B0">
      <w:pPr>
        <w:jc w:val="both"/>
        <w:rPr>
          <w:color w:val="0070C0"/>
          <w:sz w:val="16"/>
          <w:szCs w:val="16"/>
        </w:rPr>
      </w:pPr>
    </w:p>
    <w:p w14:paraId="6B69C248" w14:textId="77777777" w:rsidR="00047175" w:rsidRPr="00DE096C" w:rsidRDefault="00047175" w:rsidP="00D45A46">
      <w:pPr>
        <w:pStyle w:val="2"/>
        <w:spacing w:before="0" w:after="0"/>
        <w:jc w:val="both"/>
        <w:rPr>
          <w:b w:val="0"/>
          <w:bCs/>
          <w:color w:val="002060"/>
          <w:sz w:val="16"/>
          <w:szCs w:val="16"/>
        </w:rPr>
      </w:pPr>
      <w:r w:rsidRPr="00DE096C">
        <w:rPr>
          <w:b w:val="0"/>
          <w:bCs/>
          <w:color w:val="002060"/>
          <w:sz w:val="16"/>
          <w:szCs w:val="16"/>
        </w:rPr>
        <w:t>Весной 1914 г. не исключено, что началась постройка четырехстоечного биплана «Докучаев-3». Не сохранилось сведений о конструкторской деятельности А.Я .Докучаева в 1913—1914 гг. Позднее, уже во время войны он построил четыре самолета, успешно использовавшиеся в Московской школе авиации как учебные. Это был двухместный учебный самолет с 80-сильным «Гномом». В отличие от «Фарманов» последних типов крылья были одинакового, но существенно большего размаха с элеронами на верхнем крыле. Стойки бипланной коробки — обтекаемые из дерева. Передний руль высоты — от «Фармана-VIl», хвостовая ферма и шасси — от «Фармана-XVI». Самолет хорошо летал зимой 1914—1915 гг. (15464).</w:t>
      </w:r>
    </w:p>
    <w:p w14:paraId="534F4269" w14:textId="77777777" w:rsidR="00047175" w:rsidRPr="00DE096C" w:rsidRDefault="00047175" w:rsidP="00D45A46">
      <w:pPr>
        <w:pStyle w:val="2"/>
        <w:spacing w:before="0" w:after="0"/>
        <w:jc w:val="both"/>
        <w:rPr>
          <w:b w:val="0"/>
          <w:bCs/>
          <w:color w:val="002060"/>
          <w:sz w:val="16"/>
          <w:szCs w:val="16"/>
        </w:rPr>
      </w:pPr>
    </w:p>
    <w:p w14:paraId="22B39289" w14:textId="77777777" w:rsidR="00047175" w:rsidRPr="00DE096C" w:rsidRDefault="00047175" w:rsidP="00D45A46">
      <w:pPr>
        <w:jc w:val="both"/>
        <w:rPr>
          <w:bCs/>
          <w:color w:val="002060"/>
          <w:sz w:val="16"/>
          <w:szCs w:val="16"/>
        </w:rPr>
      </w:pPr>
      <w:r w:rsidRPr="00DE096C">
        <w:rPr>
          <w:bCs/>
          <w:color w:val="002060"/>
          <w:sz w:val="16"/>
          <w:szCs w:val="16"/>
        </w:rPr>
        <w:t xml:space="preserve">Весной 1914 г. «Муромец» был испытан. Военное ведомство рассчитывало иметь «Муромцы» в каждой армии (19566). </w:t>
      </w:r>
    </w:p>
    <w:p w14:paraId="5E0943D2" w14:textId="77777777" w:rsidR="00047175" w:rsidRPr="00DE096C" w:rsidRDefault="00047175" w:rsidP="00D45A46">
      <w:pPr>
        <w:jc w:val="both"/>
        <w:rPr>
          <w:bCs/>
          <w:color w:val="002060"/>
          <w:sz w:val="16"/>
          <w:szCs w:val="16"/>
        </w:rPr>
      </w:pPr>
    </w:p>
    <w:p w14:paraId="7030ECB8" w14:textId="77777777" w:rsidR="00A439B5" w:rsidRPr="00DE096C" w:rsidRDefault="00A439B5" w:rsidP="00D45A46">
      <w:pPr>
        <w:jc w:val="both"/>
        <w:rPr>
          <w:bCs/>
          <w:color w:val="002060"/>
          <w:sz w:val="16"/>
          <w:szCs w:val="16"/>
        </w:rPr>
      </w:pPr>
      <w:r w:rsidRPr="00DE096C">
        <w:rPr>
          <w:bCs/>
          <w:color w:val="002060"/>
          <w:sz w:val="16"/>
          <w:szCs w:val="16"/>
          <w:lang w:bidi="ru-RU"/>
        </w:rPr>
        <w:lastRenderedPageBreak/>
        <w:t xml:space="preserve">Весной 1914 г. Игорь Сикорский получил диплом инженера </w:t>
      </w:r>
      <w:r w:rsidRPr="00DE096C">
        <w:rPr>
          <w:bCs/>
          <w:color w:val="002060"/>
          <w:sz w:val="16"/>
          <w:szCs w:val="16"/>
          <w:lang w:bidi="en-US"/>
        </w:rPr>
        <w:t>«</w:t>
      </w:r>
      <w:r w:rsidRPr="00DE096C">
        <w:rPr>
          <w:bCs/>
          <w:color w:val="002060"/>
          <w:sz w:val="16"/>
          <w:szCs w:val="16"/>
          <w:lang w:val="en-US" w:bidi="en-US"/>
        </w:rPr>
        <w:t>Honoris</w:t>
      </w:r>
      <w:r w:rsidRPr="00DE096C">
        <w:rPr>
          <w:bCs/>
          <w:color w:val="002060"/>
          <w:sz w:val="16"/>
          <w:szCs w:val="16"/>
          <w:lang w:bidi="en-US"/>
        </w:rPr>
        <w:t xml:space="preserve"> </w:t>
      </w:r>
      <w:r w:rsidRPr="00DE096C">
        <w:rPr>
          <w:bCs/>
          <w:color w:val="002060"/>
          <w:sz w:val="16"/>
          <w:szCs w:val="16"/>
          <w:lang w:val="en-US" w:bidi="en-US"/>
        </w:rPr>
        <w:t>Causa</w:t>
      </w:r>
      <w:r w:rsidRPr="00DE096C">
        <w:rPr>
          <w:bCs/>
          <w:color w:val="002060"/>
          <w:sz w:val="16"/>
          <w:szCs w:val="16"/>
          <w:lang w:bidi="en-US"/>
        </w:rPr>
        <w:t xml:space="preserve">» </w:t>
      </w:r>
      <w:r w:rsidRPr="00DE096C">
        <w:rPr>
          <w:bCs/>
          <w:color w:val="002060"/>
          <w:sz w:val="16"/>
          <w:szCs w:val="16"/>
          <w:lang w:bidi="ru-RU"/>
        </w:rPr>
        <w:t>в Петербургском политехническом институте за создание многомоторных воздушных кораблей (23485).</w:t>
      </w:r>
    </w:p>
    <w:p w14:paraId="1FF634AC" w14:textId="77777777" w:rsidR="00A439B5" w:rsidRPr="00DE096C" w:rsidRDefault="00A439B5" w:rsidP="00D45A46">
      <w:pPr>
        <w:jc w:val="both"/>
        <w:rPr>
          <w:bCs/>
          <w:color w:val="002060"/>
          <w:sz w:val="16"/>
          <w:szCs w:val="16"/>
          <w:lang w:bidi="ru-RU"/>
        </w:rPr>
      </w:pPr>
    </w:p>
    <w:p w14:paraId="434F7EA1" w14:textId="77777777" w:rsidR="00A439B5" w:rsidRPr="00DE096C" w:rsidRDefault="00A439B5" w:rsidP="00D45A46">
      <w:pPr>
        <w:jc w:val="both"/>
        <w:rPr>
          <w:bCs/>
          <w:color w:val="002060"/>
          <w:sz w:val="16"/>
          <w:szCs w:val="16"/>
        </w:rPr>
      </w:pPr>
      <w:r w:rsidRPr="00DE096C">
        <w:rPr>
          <w:bCs/>
          <w:color w:val="002060"/>
          <w:sz w:val="16"/>
          <w:szCs w:val="16"/>
          <w:lang w:bidi="ru-RU"/>
        </w:rPr>
        <w:t>Весной 1914 г. на РБВЗ построили С-12 — заводской № 106. Пред</w:t>
      </w:r>
      <w:r w:rsidRPr="00DE096C">
        <w:rPr>
          <w:bCs/>
          <w:color w:val="002060"/>
          <w:sz w:val="16"/>
          <w:szCs w:val="16"/>
          <w:lang w:bidi="ru-RU"/>
        </w:rPr>
        <w:softHyphen/>
        <w:t>ставлял собой одноместный моноплан, ос</w:t>
      </w:r>
      <w:r w:rsidRPr="00DE096C">
        <w:rPr>
          <w:bCs/>
          <w:color w:val="002060"/>
          <w:sz w:val="16"/>
          <w:szCs w:val="16"/>
          <w:lang w:bidi="ru-RU"/>
        </w:rPr>
        <w:softHyphen/>
        <w:t>нащенный двигателем «Гном» 80 л.с., имел характерное для многих конструкций Сикор</w:t>
      </w:r>
      <w:r w:rsidRPr="00DE096C">
        <w:rPr>
          <w:bCs/>
          <w:color w:val="002060"/>
          <w:sz w:val="16"/>
          <w:szCs w:val="16"/>
          <w:lang w:bidi="ru-RU"/>
        </w:rPr>
        <w:softHyphen/>
        <w:t>ского шасси со сдвоенными колесами. От многих подобных аппаратов того периода отличался мощными рулевыми поверхнос</w:t>
      </w:r>
      <w:r w:rsidRPr="00DE096C">
        <w:rPr>
          <w:bCs/>
          <w:color w:val="002060"/>
          <w:sz w:val="16"/>
          <w:szCs w:val="16"/>
          <w:lang w:bidi="ru-RU"/>
        </w:rPr>
        <w:softHyphen/>
        <w:t>тями в стандартном исполнении, т.е. имел нормальные элероны, рули высоты и пово</w:t>
      </w:r>
      <w:r w:rsidRPr="00DE096C">
        <w:rPr>
          <w:bCs/>
          <w:color w:val="002060"/>
          <w:sz w:val="16"/>
          <w:szCs w:val="16"/>
          <w:lang w:bidi="ru-RU"/>
        </w:rPr>
        <w:softHyphen/>
        <w:t>рота при наличии стабилизатора и верти</w:t>
      </w:r>
      <w:r w:rsidRPr="00DE096C">
        <w:rPr>
          <w:bCs/>
          <w:color w:val="002060"/>
          <w:sz w:val="16"/>
          <w:szCs w:val="16"/>
          <w:lang w:bidi="ru-RU"/>
        </w:rPr>
        <w:softHyphen/>
        <w:t>кального киля. Крыло с небольшой стрело</w:t>
      </w:r>
      <w:r w:rsidRPr="00DE096C">
        <w:rPr>
          <w:bCs/>
          <w:color w:val="002060"/>
          <w:sz w:val="16"/>
          <w:szCs w:val="16"/>
          <w:lang w:bidi="ru-RU"/>
        </w:rPr>
        <w:softHyphen/>
        <w:t>видностью, его жесткость достигалась на</w:t>
      </w:r>
      <w:r w:rsidRPr="00DE096C">
        <w:rPr>
          <w:bCs/>
          <w:color w:val="002060"/>
          <w:sz w:val="16"/>
          <w:szCs w:val="16"/>
          <w:lang w:bidi="ru-RU"/>
        </w:rPr>
        <w:softHyphen/>
        <w:t>бором тросовых расчалок, крепящихся на соответствующих фюзеляжных стойках и пирамидальном шасси. Первый опытный образец, испытанный летчиком Г.В. Янков</w:t>
      </w:r>
      <w:r w:rsidRPr="00DE096C">
        <w:rPr>
          <w:bCs/>
          <w:color w:val="002060"/>
          <w:sz w:val="16"/>
          <w:szCs w:val="16"/>
          <w:lang w:bidi="ru-RU"/>
        </w:rPr>
        <w:softHyphen/>
        <w:t>ским 12 марта 1914 г., показал прекрасные летные качества. Просуществовал аппарат недолго — 6 июня 1914 г. Янковский в од</w:t>
      </w:r>
      <w:r w:rsidRPr="00DE096C">
        <w:rPr>
          <w:bCs/>
          <w:color w:val="002060"/>
          <w:sz w:val="16"/>
          <w:szCs w:val="16"/>
          <w:lang w:bidi="ru-RU"/>
        </w:rPr>
        <w:softHyphen/>
        <w:t>ном из полетов ошибся в пилотировании и разбил машину. Однако летные качества са</w:t>
      </w:r>
      <w:r w:rsidRPr="00DE096C">
        <w:rPr>
          <w:bCs/>
          <w:color w:val="002060"/>
          <w:sz w:val="16"/>
          <w:szCs w:val="16"/>
          <w:lang w:bidi="ru-RU"/>
        </w:rPr>
        <w:softHyphen/>
        <w:t>молета оказались столь впечатляющими, что именно в день аварии два новых С-12 включили в контракт, заключенный Военным ведомством с Акционерным обществом РБВЗ на поставку 45 «легких» самолетов Сикорского.</w:t>
      </w:r>
    </w:p>
    <w:p w14:paraId="5BB9BFA7" w14:textId="77777777" w:rsidR="00A439B5" w:rsidRPr="00DE096C" w:rsidRDefault="00A439B5" w:rsidP="00D45A46">
      <w:pPr>
        <w:pStyle w:val="41"/>
        <w:spacing w:line="240" w:lineRule="auto"/>
        <w:jc w:val="both"/>
        <w:rPr>
          <w:bCs/>
          <w:color w:val="002060"/>
          <w:sz w:val="16"/>
          <w:szCs w:val="16"/>
        </w:rPr>
      </w:pPr>
      <w:r w:rsidRPr="00DE096C">
        <w:rPr>
          <w:bCs/>
          <w:color w:val="002060"/>
          <w:sz w:val="16"/>
          <w:szCs w:val="16"/>
          <w:lang w:eastAsia="ru-RU" w:bidi="ru-RU"/>
        </w:rPr>
        <w:t>Летные и технические характеристики С-12 и С-12 бис</w:t>
      </w:r>
    </w:p>
    <w:tbl>
      <w:tblPr>
        <w:tblOverlap w:val="never"/>
        <w:tblW w:w="0" w:type="auto"/>
        <w:tblLayout w:type="fixed"/>
        <w:tblCellMar>
          <w:left w:w="10" w:type="dxa"/>
          <w:right w:w="10" w:type="dxa"/>
        </w:tblCellMar>
        <w:tblLook w:val="0000" w:firstRow="0" w:lastRow="0" w:firstColumn="0" w:lastColumn="0" w:noHBand="0" w:noVBand="0"/>
      </w:tblPr>
      <w:tblGrid>
        <w:gridCol w:w="2918"/>
        <w:gridCol w:w="1426"/>
        <w:gridCol w:w="1378"/>
      </w:tblGrid>
      <w:tr w:rsidR="00A439B5" w:rsidRPr="00DE096C" w14:paraId="18348CF5" w14:textId="77777777" w:rsidTr="00711059">
        <w:trPr>
          <w:trHeight w:val="221"/>
        </w:trPr>
        <w:tc>
          <w:tcPr>
            <w:tcW w:w="2918" w:type="dxa"/>
            <w:tcBorders>
              <w:top w:val="single" w:sz="4" w:space="0" w:color="auto"/>
              <w:left w:val="single" w:sz="4" w:space="0" w:color="auto"/>
            </w:tcBorders>
          </w:tcPr>
          <w:p w14:paraId="7FFA4959" w14:textId="77777777" w:rsidR="00A439B5" w:rsidRPr="00DE096C" w:rsidRDefault="00A439B5" w:rsidP="00D45A46">
            <w:pPr>
              <w:jc w:val="both"/>
              <w:rPr>
                <w:bCs/>
                <w:color w:val="002060"/>
                <w:sz w:val="16"/>
                <w:szCs w:val="16"/>
              </w:rPr>
            </w:pPr>
          </w:p>
        </w:tc>
        <w:tc>
          <w:tcPr>
            <w:tcW w:w="1426" w:type="dxa"/>
            <w:tcBorders>
              <w:top w:val="single" w:sz="4" w:space="0" w:color="auto"/>
            </w:tcBorders>
            <w:vAlign w:val="bottom"/>
          </w:tcPr>
          <w:p w14:paraId="3FDCD9D0" w14:textId="77777777" w:rsidR="00A439B5" w:rsidRPr="00DE096C" w:rsidRDefault="00A439B5"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С-12</w:t>
            </w:r>
          </w:p>
        </w:tc>
        <w:tc>
          <w:tcPr>
            <w:tcW w:w="1378" w:type="dxa"/>
            <w:tcBorders>
              <w:top w:val="single" w:sz="4" w:space="0" w:color="auto"/>
              <w:right w:val="single" w:sz="4" w:space="0" w:color="auto"/>
            </w:tcBorders>
            <w:vAlign w:val="bottom"/>
          </w:tcPr>
          <w:p w14:paraId="169CCB6B" w14:textId="77777777" w:rsidR="00A439B5" w:rsidRPr="00DE096C" w:rsidRDefault="00A439B5"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С-12бис</w:t>
            </w:r>
          </w:p>
        </w:tc>
      </w:tr>
      <w:tr w:rsidR="00A439B5" w:rsidRPr="00DE096C" w14:paraId="06138513" w14:textId="77777777" w:rsidTr="00711059">
        <w:trPr>
          <w:trHeight w:val="211"/>
        </w:trPr>
        <w:tc>
          <w:tcPr>
            <w:tcW w:w="2918" w:type="dxa"/>
            <w:tcBorders>
              <w:left w:val="single" w:sz="4" w:space="0" w:color="auto"/>
            </w:tcBorders>
            <w:vAlign w:val="bottom"/>
          </w:tcPr>
          <w:p w14:paraId="3310589D" w14:textId="77777777" w:rsidR="00A439B5" w:rsidRPr="00DE096C" w:rsidRDefault="00A439B5"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Размах крыла (м)</w:t>
            </w:r>
          </w:p>
        </w:tc>
        <w:tc>
          <w:tcPr>
            <w:tcW w:w="1426" w:type="dxa"/>
            <w:vAlign w:val="bottom"/>
          </w:tcPr>
          <w:p w14:paraId="15244F10" w14:textId="77777777" w:rsidR="00A439B5" w:rsidRPr="00DE096C" w:rsidRDefault="00A439B5"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10,7</w:t>
            </w:r>
          </w:p>
        </w:tc>
        <w:tc>
          <w:tcPr>
            <w:tcW w:w="1378" w:type="dxa"/>
            <w:tcBorders>
              <w:right w:val="single" w:sz="4" w:space="0" w:color="auto"/>
            </w:tcBorders>
            <w:vAlign w:val="bottom"/>
          </w:tcPr>
          <w:p w14:paraId="2CF9CBFD" w14:textId="77777777" w:rsidR="00A439B5" w:rsidRPr="00DE096C" w:rsidRDefault="00A439B5"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10,7</w:t>
            </w:r>
          </w:p>
        </w:tc>
      </w:tr>
      <w:tr w:rsidR="00A439B5" w:rsidRPr="00DE096C" w14:paraId="755761E2" w14:textId="77777777" w:rsidTr="00711059">
        <w:trPr>
          <w:trHeight w:val="197"/>
        </w:trPr>
        <w:tc>
          <w:tcPr>
            <w:tcW w:w="2918" w:type="dxa"/>
            <w:tcBorders>
              <w:left w:val="single" w:sz="4" w:space="0" w:color="auto"/>
            </w:tcBorders>
            <w:vAlign w:val="bottom"/>
          </w:tcPr>
          <w:p w14:paraId="35E4ED6A" w14:textId="77777777" w:rsidR="00A439B5" w:rsidRPr="00DE096C" w:rsidRDefault="00A439B5"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Длина (м)</w:t>
            </w:r>
          </w:p>
        </w:tc>
        <w:tc>
          <w:tcPr>
            <w:tcW w:w="1426" w:type="dxa"/>
            <w:vAlign w:val="bottom"/>
          </w:tcPr>
          <w:p w14:paraId="2A74C83C" w14:textId="77777777" w:rsidR="00A439B5" w:rsidRPr="00DE096C" w:rsidRDefault="00A439B5"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7,4</w:t>
            </w:r>
          </w:p>
        </w:tc>
        <w:tc>
          <w:tcPr>
            <w:tcW w:w="1378" w:type="dxa"/>
            <w:tcBorders>
              <w:right w:val="single" w:sz="4" w:space="0" w:color="auto"/>
            </w:tcBorders>
            <w:vAlign w:val="bottom"/>
          </w:tcPr>
          <w:p w14:paraId="5D327FA2" w14:textId="77777777" w:rsidR="00A439B5" w:rsidRPr="00DE096C" w:rsidRDefault="00A439B5"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7,4</w:t>
            </w:r>
          </w:p>
        </w:tc>
      </w:tr>
      <w:tr w:rsidR="00A439B5" w:rsidRPr="00DE096C" w14:paraId="4CE83CCC" w14:textId="77777777" w:rsidTr="00711059">
        <w:trPr>
          <w:trHeight w:val="197"/>
        </w:trPr>
        <w:tc>
          <w:tcPr>
            <w:tcW w:w="2918" w:type="dxa"/>
            <w:tcBorders>
              <w:left w:val="single" w:sz="4" w:space="0" w:color="auto"/>
            </w:tcBorders>
          </w:tcPr>
          <w:p w14:paraId="34531ADB" w14:textId="77777777" w:rsidR="00A439B5" w:rsidRPr="00DE096C" w:rsidRDefault="00A439B5"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Площадь крыла (м</w:t>
            </w:r>
            <w:r w:rsidRPr="00DE096C">
              <w:rPr>
                <w:rFonts w:ascii="Times New Roman" w:hAnsi="Times New Roman" w:cs="Times New Roman"/>
                <w:bCs/>
                <w:color w:val="002060"/>
                <w:sz w:val="16"/>
                <w:szCs w:val="16"/>
                <w:vertAlign w:val="superscript"/>
                <w:lang w:eastAsia="ru-RU" w:bidi="ru-RU"/>
              </w:rPr>
              <w:t>2</w:t>
            </w:r>
            <w:r w:rsidRPr="00DE096C">
              <w:rPr>
                <w:rFonts w:ascii="Times New Roman" w:hAnsi="Times New Roman" w:cs="Times New Roman"/>
                <w:bCs/>
                <w:color w:val="002060"/>
                <w:sz w:val="16"/>
                <w:szCs w:val="16"/>
                <w:lang w:eastAsia="ru-RU" w:bidi="ru-RU"/>
              </w:rPr>
              <w:t>)</w:t>
            </w:r>
          </w:p>
        </w:tc>
        <w:tc>
          <w:tcPr>
            <w:tcW w:w="1426" w:type="dxa"/>
          </w:tcPr>
          <w:p w14:paraId="733A11DB" w14:textId="77777777" w:rsidR="00A439B5" w:rsidRPr="00DE096C" w:rsidRDefault="00A439B5"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22,0</w:t>
            </w:r>
          </w:p>
        </w:tc>
        <w:tc>
          <w:tcPr>
            <w:tcW w:w="1378" w:type="dxa"/>
            <w:tcBorders>
              <w:right w:val="single" w:sz="4" w:space="0" w:color="auto"/>
            </w:tcBorders>
          </w:tcPr>
          <w:p w14:paraId="15CBF7A5" w14:textId="77777777" w:rsidR="00A439B5" w:rsidRPr="00DE096C" w:rsidRDefault="00A439B5"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22,0</w:t>
            </w:r>
          </w:p>
        </w:tc>
      </w:tr>
      <w:tr w:rsidR="00A439B5" w:rsidRPr="00DE096C" w14:paraId="27E52F6C" w14:textId="77777777" w:rsidTr="00711059">
        <w:trPr>
          <w:trHeight w:val="192"/>
        </w:trPr>
        <w:tc>
          <w:tcPr>
            <w:tcW w:w="2918" w:type="dxa"/>
            <w:tcBorders>
              <w:left w:val="single" w:sz="4" w:space="0" w:color="auto"/>
            </w:tcBorders>
          </w:tcPr>
          <w:p w14:paraId="04713F5F" w14:textId="77777777" w:rsidR="00A439B5" w:rsidRPr="00DE096C" w:rsidRDefault="00A439B5"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Вес пустого (кг)</w:t>
            </w:r>
          </w:p>
        </w:tc>
        <w:tc>
          <w:tcPr>
            <w:tcW w:w="1426" w:type="dxa"/>
          </w:tcPr>
          <w:p w14:paraId="0798CA26" w14:textId="77777777" w:rsidR="00A439B5" w:rsidRPr="00DE096C" w:rsidRDefault="00A439B5"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380</w:t>
            </w:r>
          </w:p>
        </w:tc>
        <w:tc>
          <w:tcPr>
            <w:tcW w:w="1378" w:type="dxa"/>
            <w:tcBorders>
              <w:right w:val="single" w:sz="4" w:space="0" w:color="auto"/>
            </w:tcBorders>
          </w:tcPr>
          <w:p w14:paraId="0B8FD4D9" w14:textId="77777777" w:rsidR="00A439B5" w:rsidRPr="00DE096C" w:rsidRDefault="00A439B5"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420</w:t>
            </w:r>
          </w:p>
        </w:tc>
      </w:tr>
      <w:tr w:rsidR="00A439B5" w:rsidRPr="00DE096C" w14:paraId="130DA0BB" w14:textId="77777777" w:rsidTr="00711059">
        <w:trPr>
          <w:trHeight w:val="187"/>
        </w:trPr>
        <w:tc>
          <w:tcPr>
            <w:tcW w:w="2918" w:type="dxa"/>
            <w:tcBorders>
              <w:left w:val="single" w:sz="4" w:space="0" w:color="auto"/>
            </w:tcBorders>
          </w:tcPr>
          <w:p w14:paraId="1E590A9E" w14:textId="77777777" w:rsidR="00A439B5" w:rsidRPr="00DE096C" w:rsidRDefault="00A439B5"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Полетный вес (кг)</w:t>
            </w:r>
          </w:p>
        </w:tc>
        <w:tc>
          <w:tcPr>
            <w:tcW w:w="1426" w:type="dxa"/>
          </w:tcPr>
          <w:p w14:paraId="58F914B5" w14:textId="77777777" w:rsidR="00A439B5" w:rsidRPr="00DE096C" w:rsidRDefault="00A439B5"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600</w:t>
            </w:r>
          </w:p>
        </w:tc>
        <w:tc>
          <w:tcPr>
            <w:tcW w:w="1378" w:type="dxa"/>
            <w:tcBorders>
              <w:right w:val="single" w:sz="4" w:space="0" w:color="auto"/>
            </w:tcBorders>
          </w:tcPr>
          <w:p w14:paraId="669C3E44" w14:textId="77777777" w:rsidR="00A439B5" w:rsidRPr="00DE096C" w:rsidRDefault="00A439B5"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700</w:t>
            </w:r>
          </w:p>
        </w:tc>
      </w:tr>
      <w:tr w:rsidR="00A439B5" w:rsidRPr="00DE096C" w14:paraId="1A24F4E2" w14:textId="77777777" w:rsidTr="00711059">
        <w:trPr>
          <w:trHeight w:val="206"/>
        </w:trPr>
        <w:tc>
          <w:tcPr>
            <w:tcW w:w="2918" w:type="dxa"/>
            <w:tcBorders>
              <w:left w:val="single" w:sz="4" w:space="0" w:color="auto"/>
            </w:tcBorders>
          </w:tcPr>
          <w:p w14:paraId="0CDBDA3D" w14:textId="77777777" w:rsidR="00A439B5" w:rsidRPr="00DE096C" w:rsidRDefault="00A439B5"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Полетная скорость (км/ч)</w:t>
            </w:r>
          </w:p>
        </w:tc>
        <w:tc>
          <w:tcPr>
            <w:tcW w:w="1426" w:type="dxa"/>
          </w:tcPr>
          <w:p w14:paraId="69500164" w14:textId="77777777" w:rsidR="00A439B5" w:rsidRPr="00DE096C" w:rsidRDefault="00A439B5"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129</w:t>
            </w:r>
          </w:p>
        </w:tc>
        <w:tc>
          <w:tcPr>
            <w:tcW w:w="1378" w:type="dxa"/>
            <w:tcBorders>
              <w:right w:val="single" w:sz="4" w:space="0" w:color="auto"/>
            </w:tcBorders>
          </w:tcPr>
          <w:p w14:paraId="3D52521D" w14:textId="77777777" w:rsidR="00A439B5" w:rsidRPr="00DE096C" w:rsidRDefault="00A439B5"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120</w:t>
            </w:r>
          </w:p>
        </w:tc>
      </w:tr>
      <w:tr w:rsidR="00A439B5" w:rsidRPr="00DE096C" w14:paraId="7F3CD82B" w14:textId="77777777" w:rsidTr="00711059">
        <w:trPr>
          <w:trHeight w:val="192"/>
        </w:trPr>
        <w:tc>
          <w:tcPr>
            <w:tcW w:w="2918" w:type="dxa"/>
            <w:tcBorders>
              <w:left w:val="single" w:sz="4" w:space="0" w:color="auto"/>
            </w:tcBorders>
          </w:tcPr>
          <w:p w14:paraId="16D34D7B" w14:textId="77777777" w:rsidR="00A439B5" w:rsidRPr="00DE096C" w:rsidRDefault="00A439B5"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Потолок (м)</w:t>
            </w:r>
          </w:p>
        </w:tc>
        <w:tc>
          <w:tcPr>
            <w:tcW w:w="1426" w:type="dxa"/>
          </w:tcPr>
          <w:p w14:paraId="4350372F" w14:textId="77777777" w:rsidR="00A439B5" w:rsidRPr="00DE096C" w:rsidRDefault="00A439B5"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3680</w:t>
            </w:r>
          </w:p>
        </w:tc>
        <w:tc>
          <w:tcPr>
            <w:tcW w:w="1378" w:type="dxa"/>
            <w:tcBorders>
              <w:right w:val="single" w:sz="4" w:space="0" w:color="auto"/>
            </w:tcBorders>
            <w:vAlign w:val="bottom"/>
          </w:tcPr>
          <w:p w14:paraId="7761D532" w14:textId="77777777" w:rsidR="00A439B5" w:rsidRPr="00DE096C" w:rsidRDefault="00A439B5"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w:t>
            </w:r>
          </w:p>
        </w:tc>
      </w:tr>
      <w:tr w:rsidR="00A439B5" w:rsidRPr="00DE096C" w14:paraId="5EE7731C" w14:textId="77777777" w:rsidTr="00711059">
        <w:trPr>
          <w:trHeight w:val="259"/>
        </w:trPr>
        <w:tc>
          <w:tcPr>
            <w:tcW w:w="2918" w:type="dxa"/>
            <w:tcBorders>
              <w:left w:val="single" w:sz="4" w:space="0" w:color="auto"/>
              <w:bottom w:val="single" w:sz="4" w:space="0" w:color="auto"/>
            </w:tcBorders>
          </w:tcPr>
          <w:p w14:paraId="5C3DF74F" w14:textId="77777777" w:rsidR="00A439B5" w:rsidRPr="00DE096C" w:rsidRDefault="00A439B5"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Дальность полета (км)</w:t>
            </w:r>
          </w:p>
        </w:tc>
        <w:tc>
          <w:tcPr>
            <w:tcW w:w="1426" w:type="dxa"/>
            <w:tcBorders>
              <w:bottom w:val="single" w:sz="4" w:space="0" w:color="auto"/>
            </w:tcBorders>
          </w:tcPr>
          <w:p w14:paraId="50457E1F" w14:textId="77777777" w:rsidR="00A439B5" w:rsidRPr="00DE096C" w:rsidRDefault="00A439B5"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350</w:t>
            </w:r>
          </w:p>
        </w:tc>
        <w:tc>
          <w:tcPr>
            <w:tcW w:w="1378" w:type="dxa"/>
            <w:tcBorders>
              <w:bottom w:val="single" w:sz="4" w:space="0" w:color="auto"/>
              <w:right w:val="single" w:sz="4" w:space="0" w:color="auto"/>
            </w:tcBorders>
            <w:vAlign w:val="center"/>
          </w:tcPr>
          <w:p w14:paraId="15043EBC" w14:textId="77777777" w:rsidR="00A439B5" w:rsidRPr="00DE096C" w:rsidRDefault="00A439B5"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w:t>
            </w:r>
          </w:p>
        </w:tc>
      </w:tr>
    </w:tbl>
    <w:p w14:paraId="7037D794" w14:textId="77777777" w:rsidR="00A439B5" w:rsidRPr="00DE096C" w:rsidRDefault="00A439B5" w:rsidP="00D45A46">
      <w:pPr>
        <w:jc w:val="both"/>
        <w:rPr>
          <w:bCs/>
          <w:color w:val="002060"/>
          <w:sz w:val="16"/>
          <w:szCs w:val="16"/>
        </w:rPr>
      </w:pPr>
      <w:r w:rsidRPr="00DE096C">
        <w:rPr>
          <w:bCs/>
          <w:color w:val="002060"/>
          <w:sz w:val="16"/>
          <w:szCs w:val="16"/>
        </w:rPr>
        <w:t>(23374).</w:t>
      </w:r>
    </w:p>
    <w:p w14:paraId="295643E0" w14:textId="77777777" w:rsidR="00A439B5" w:rsidRPr="00DE096C" w:rsidRDefault="00A439B5" w:rsidP="00D45A46">
      <w:pPr>
        <w:jc w:val="both"/>
        <w:rPr>
          <w:bCs/>
          <w:color w:val="002060"/>
          <w:sz w:val="16"/>
          <w:szCs w:val="16"/>
          <w:lang w:bidi="ru-RU"/>
        </w:rPr>
      </w:pPr>
    </w:p>
    <w:p w14:paraId="6D76ACA2" w14:textId="77777777" w:rsidR="00A439B5" w:rsidRPr="00DE096C" w:rsidRDefault="00A439B5" w:rsidP="00D45A46">
      <w:pPr>
        <w:jc w:val="both"/>
        <w:rPr>
          <w:bCs/>
          <w:color w:val="002060"/>
          <w:sz w:val="16"/>
          <w:szCs w:val="16"/>
        </w:rPr>
      </w:pPr>
      <w:r w:rsidRPr="00DE096C">
        <w:rPr>
          <w:bCs/>
          <w:color w:val="002060"/>
          <w:sz w:val="16"/>
          <w:szCs w:val="16"/>
        </w:rPr>
        <w:t>Весной 1914 г. «Дукс сдал военно-воздушному флоту» 10 монопланов «Депердюссен» и 10 бипланов «Фарман-22 бис», построенных в соответствии с контрактом конца 1913 г. (23472).</w:t>
      </w:r>
    </w:p>
    <w:p w14:paraId="7CC9AEE5" w14:textId="77777777" w:rsidR="00A439B5" w:rsidRPr="00DE096C" w:rsidRDefault="00A439B5" w:rsidP="00D45A46">
      <w:pPr>
        <w:jc w:val="both"/>
        <w:rPr>
          <w:bCs/>
          <w:color w:val="002060"/>
          <w:sz w:val="16"/>
          <w:szCs w:val="16"/>
        </w:rPr>
      </w:pPr>
    </w:p>
    <w:p w14:paraId="604784B2" w14:textId="77777777" w:rsidR="00A439B5" w:rsidRPr="00DE096C" w:rsidRDefault="00A439B5" w:rsidP="00D45A46">
      <w:pPr>
        <w:jc w:val="both"/>
        <w:rPr>
          <w:bCs/>
          <w:color w:val="002060"/>
          <w:sz w:val="16"/>
          <w:szCs w:val="16"/>
        </w:rPr>
      </w:pPr>
      <w:r w:rsidRPr="00DE096C">
        <w:rPr>
          <w:bCs/>
          <w:color w:val="002060"/>
          <w:sz w:val="16"/>
          <w:szCs w:val="16"/>
        </w:rPr>
        <w:t>Весной 1914 г. Владимир Александрович Лебедев, который был одним из первых русских пилотов, работал летчиком-инструктором в Императорском всероссийском аэроклубе, а потом возглавлял мастерскую по изготовлению авиационных пропеллеров, решил приобщиться к самолетостроению и возвел производственные помещения в Новой Деревне близ Коменданского аэродрома. В тот момент штат его завода насчитывал всего семь рабочих, но благодаря военным заказам (ему заказали 58 этих машин) предприятие быстро разрослось (23472).</w:t>
      </w:r>
    </w:p>
    <w:p w14:paraId="1AB7F405" w14:textId="77777777" w:rsidR="00A439B5" w:rsidRPr="00DE096C" w:rsidRDefault="00A439B5" w:rsidP="00D45A46">
      <w:pPr>
        <w:shd w:val="clear" w:color="auto" w:fill="FFFFFF"/>
        <w:jc w:val="both"/>
        <w:rPr>
          <w:bCs/>
          <w:i/>
          <w:color w:val="002060"/>
          <w:sz w:val="16"/>
          <w:szCs w:val="16"/>
        </w:rPr>
      </w:pPr>
    </w:p>
    <w:p w14:paraId="247BB605" w14:textId="71DF3317" w:rsidR="00B67D7C" w:rsidRPr="00DE096C" w:rsidRDefault="00B67D7C" w:rsidP="00D45A46">
      <w:pPr>
        <w:shd w:val="clear" w:color="auto" w:fill="FFFFFF"/>
        <w:jc w:val="both"/>
        <w:rPr>
          <w:bCs/>
          <w:i/>
          <w:color w:val="002060"/>
          <w:sz w:val="16"/>
          <w:szCs w:val="16"/>
        </w:rPr>
      </w:pPr>
      <w:r w:rsidRPr="00DE096C">
        <w:rPr>
          <w:bCs/>
          <w:i/>
          <w:color w:val="002060"/>
          <w:sz w:val="16"/>
          <w:szCs w:val="16"/>
        </w:rPr>
        <w:t>Другие оборонные отрасли:</w:t>
      </w:r>
    </w:p>
    <w:p w14:paraId="3902926B" w14:textId="77777777" w:rsidR="00B67D7C" w:rsidRPr="00DE096C" w:rsidRDefault="00B67D7C" w:rsidP="00D45A46">
      <w:pPr>
        <w:shd w:val="clear" w:color="auto" w:fill="FFFFFF"/>
        <w:jc w:val="both"/>
        <w:rPr>
          <w:bCs/>
          <w:i/>
          <w:color w:val="002060"/>
          <w:sz w:val="16"/>
          <w:szCs w:val="16"/>
        </w:rPr>
      </w:pPr>
    </w:p>
    <w:p w14:paraId="32B7D9FB" w14:textId="77777777" w:rsidR="00477188" w:rsidRPr="00DE096C" w:rsidRDefault="00477188" w:rsidP="00D45A46">
      <w:pPr>
        <w:pStyle w:val="ae"/>
        <w:shd w:val="clear" w:color="auto" w:fill="FFFFFF"/>
        <w:spacing w:before="0" w:beforeAutospacing="0" w:after="0" w:afterAutospacing="0"/>
        <w:jc w:val="both"/>
        <w:rPr>
          <w:bCs/>
          <w:color w:val="002060"/>
          <w:sz w:val="16"/>
          <w:szCs w:val="16"/>
        </w:rPr>
      </w:pPr>
      <w:r w:rsidRPr="00DE096C">
        <w:rPr>
          <w:bCs/>
          <w:color w:val="002060"/>
          <w:sz w:val="16"/>
          <w:szCs w:val="16"/>
        </w:rPr>
        <w:t>Весной 1914 года акционерное общество «Дукс» приняло участие в конкурсе производства велосипедов для армии. Во всем мире двухколесные машины уже использовались для армейских нужд. Во время первой мировой войны Германия имела несколько тысяч велобойцов. Они на тележках перевозили боеприпасы, продовольствие, медикаменты. Французы и бельгийцы использовали велосипедистов для связи, перевозки вооружений. Финляндия – для снабжения армии.</w:t>
      </w:r>
    </w:p>
    <w:p w14:paraId="5232341F" w14:textId="77777777" w:rsidR="00477188" w:rsidRPr="00DE096C" w:rsidRDefault="00477188" w:rsidP="00D45A46">
      <w:pPr>
        <w:pStyle w:val="ae"/>
        <w:shd w:val="clear" w:color="auto" w:fill="FFFFFF"/>
        <w:spacing w:before="0" w:beforeAutospacing="0" w:after="0" w:afterAutospacing="0"/>
        <w:jc w:val="both"/>
        <w:rPr>
          <w:bCs/>
          <w:color w:val="002060"/>
          <w:sz w:val="16"/>
          <w:szCs w:val="16"/>
        </w:rPr>
      </w:pPr>
      <w:r w:rsidRPr="00DE096C">
        <w:rPr>
          <w:bCs/>
          <w:color w:val="002060"/>
          <w:sz w:val="16"/>
          <w:szCs w:val="16"/>
        </w:rPr>
        <w:t>Генеральный штаб русской армии также решил создать самокатные подразделения. Для этого провел конкурс на лучший отечественный складной велосипед. Фабрика «Дукс» изготовила несколько таких машин. Военная комиссия признала лучшим велосипед системы А.Базилевского и заказала «Дуксу» партию таких машин для организации в России самокатной роты. Велосипеды «Дукс боевой» приобрели Семеновский, Измайловский, Павловский и другие известные полки русской армии (19826).</w:t>
      </w:r>
    </w:p>
    <w:p w14:paraId="6B065D1B" w14:textId="77777777" w:rsidR="00477188" w:rsidRPr="00DE096C" w:rsidRDefault="00477188" w:rsidP="00D45A46">
      <w:pPr>
        <w:pStyle w:val="ae"/>
        <w:shd w:val="clear" w:color="auto" w:fill="FFFFFF"/>
        <w:spacing w:before="0" w:beforeAutospacing="0" w:after="0" w:afterAutospacing="0"/>
        <w:jc w:val="both"/>
        <w:rPr>
          <w:bCs/>
          <w:color w:val="002060"/>
          <w:sz w:val="16"/>
          <w:szCs w:val="16"/>
        </w:rPr>
      </w:pPr>
    </w:p>
    <w:p w14:paraId="6E2EB876" w14:textId="01243460" w:rsidR="00B67D7C" w:rsidRPr="00DE096C" w:rsidRDefault="007D029B" w:rsidP="00D45A46">
      <w:pPr>
        <w:jc w:val="both"/>
        <w:rPr>
          <w:bCs/>
          <w:color w:val="002060"/>
          <w:sz w:val="16"/>
          <w:szCs w:val="16"/>
        </w:rPr>
      </w:pPr>
      <w:r w:rsidRPr="00DE096C">
        <w:rPr>
          <w:bCs/>
          <w:color w:val="002060"/>
          <w:sz w:val="16"/>
          <w:szCs w:val="16"/>
        </w:rPr>
        <w:t>В</w:t>
      </w:r>
      <w:r w:rsidR="00B67D7C" w:rsidRPr="00DE096C">
        <w:rPr>
          <w:bCs/>
          <w:color w:val="002060"/>
          <w:sz w:val="16"/>
          <w:szCs w:val="16"/>
        </w:rPr>
        <w:t>есной 1914 г.</w:t>
      </w:r>
      <w:r w:rsidRPr="00DE096C">
        <w:rPr>
          <w:bCs/>
          <w:color w:val="002060"/>
          <w:sz w:val="16"/>
          <w:szCs w:val="16"/>
        </w:rPr>
        <w:t xml:space="preserve"> на Путиловском заводе был полностью готов новый элинг</w:t>
      </w:r>
      <w:r w:rsidR="00B67D7C" w:rsidRPr="00DE096C">
        <w:rPr>
          <w:bCs/>
          <w:color w:val="002060"/>
          <w:sz w:val="16"/>
          <w:szCs w:val="16"/>
        </w:rPr>
        <w:t>, но закладка килей и проведение начального этапа корпусных работ было возможно в нем уже осенью 1913 г. (Тайц P.M., Ермольев Т.А., Горюнов Б.А. Корабельщики Нарвской заставы. — Л.: Судостроение, 1967. с.22. Этот эллинг стоит и поныне.)</w:t>
      </w:r>
    </w:p>
    <w:p w14:paraId="11677730" w14:textId="77777777" w:rsidR="00B67D7C" w:rsidRPr="00DE096C" w:rsidRDefault="00B67D7C" w:rsidP="00D45A46">
      <w:pPr>
        <w:jc w:val="both"/>
        <w:rPr>
          <w:bCs/>
          <w:color w:val="002060"/>
          <w:sz w:val="16"/>
          <w:szCs w:val="16"/>
        </w:rPr>
      </w:pPr>
      <w:r w:rsidRPr="00DE096C">
        <w:rPr>
          <w:bCs/>
          <w:color w:val="002060"/>
          <w:sz w:val="16"/>
          <w:szCs w:val="16"/>
        </w:rPr>
        <w:t>Эллинг имел размеры 252x76x37 м (в чистоте), был открытого типа и имел возможность перемещения всех подъемных кранов с одного пути на другой, что позволяло с более возрастающей интенсивностью вести работы в любой его части. Ежегодная производительность новой верфи по судостроению рассчитывалась на 10 тыс. т «металла в деле», т. е. путиловцы каждый год могли спускать на воду по линкору.</w:t>
      </w:r>
    </w:p>
    <w:p w14:paraId="49542AB4" w14:textId="77777777" w:rsidR="00B67D7C" w:rsidRPr="00DE096C" w:rsidRDefault="00B67D7C" w:rsidP="00D45A46">
      <w:pPr>
        <w:jc w:val="both"/>
        <w:rPr>
          <w:bCs/>
          <w:color w:val="002060"/>
          <w:sz w:val="16"/>
          <w:szCs w:val="16"/>
        </w:rPr>
      </w:pPr>
      <w:r w:rsidRPr="00DE096C">
        <w:rPr>
          <w:bCs/>
          <w:color w:val="002060"/>
          <w:sz w:val="16"/>
          <w:szCs w:val="16"/>
        </w:rPr>
        <w:t>Постройка двойного эллинга шатрового типа на Путиловской верфи, 2 мая 1914 г. Это грандиозное сооружение, стоящее и поныне, хорошо иллюстрирует размах путиловских промышленников, вдохновленных смелыми замыслами Морского министерства о серийном строительстве новых крупных линкоров (12109).</w:t>
      </w:r>
    </w:p>
    <w:p w14:paraId="3CF7130F" w14:textId="77777777" w:rsidR="00B67D7C" w:rsidRPr="00DE096C" w:rsidRDefault="00B67D7C" w:rsidP="00D45A46">
      <w:pPr>
        <w:jc w:val="both"/>
        <w:rPr>
          <w:bCs/>
          <w:color w:val="002060"/>
          <w:sz w:val="16"/>
          <w:szCs w:val="16"/>
        </w:rPr>
      </w:pPr>
    </w:p>
    <w:p w14:paraId="7392A7DF" w14:textId="78595BA6" w:rsidR="00B67D7C" w:rsidRPr="00DE096C" w:rsidRDefault="00B67D7C" w:rsidP="00D45A46">
      <w:pPr>
        <w:jc w:val="both"/>
        <w:rPr>
          <w:bCs/>
          <w:color w:val="002060"/>
          <w:sz w:val="16"/>
          <w:szCs w:val="16"/>
        </w:rPr>
      </w:pPr>
      <w:r w:rsidRPr="00DE096C">
        <w:rPr>
          <w:bCs/>
          <w:color w:val="002060"/>
          <w:sz w:val="16"/>
          <w:szCs w:val="16"/>
        </w:rPr>
        <w:t xml:space="preserve">Весной 1914 г. </w:t>
      </w:r>
      <w:r w:rsidR="007D029B" w:rsidRPr="00DE096C">
        <w:rPr>
          <w:bCs/>
          <w:color w:val="002060"/>
          <w:sz w:val="16"/>
          <w:szCs w:val="16"/>
        </w:rPr>
        <w:t xml:space="preserve">Обуховский </w:t>
      </w:r>
      <w:r w:rsidRPr="00DE096C">
        <w:rPr>
          <w:bCs/>
          <w:color w:val="002060"/>
          <w:sz w:val="16"/>
          <w:szCs w:val="16"/>
        </w:rPr>
        <w:t>завод совместно с артиллерийским отделом ГУК подготовил подробный план наращивания своих производственных мощностей, с указанием сроков и необходимых для этого ассигнований. В нем говорилось:</w:t>
      </w:r>
    </w:p>
    <w:p w14:paraId="5C3EFB2A" w14:textId="77777777" w:rsidR="00B67D7C" w:rsidRPr="00DE096C" w:rsidRDefault="00B67D7C" w:rsidP="00D45A46">
      <w:pPr>
        <w:pStyle w:val="Blockquote"/>
        <w:spacing w:before="0" w:after="0"/>
        <w:ind w:left="0" w:right="0"/>
        <w:jc w:val="both"/>
        <w:rPr>
          <w:bCs/>
          <w:color w:val="002060"/>
          <w:sz w:val="16"/>
          <w:szCs w:val="16"/>
        </w:rPr>
      </w:pPr>
      <w:r w:rsidRPr="00DE096C">
        <w:rPr>
          <w:bCs/>
          <w:color w:val="002060"/>
          <w:sz w:val="16"/>
          <w:szCs w:val="16"/>
        </w:rPr>
        <w:t>"… изготовление орудий 14" и в особенности 16" калибра из хромоникелевой стали на Обуховском сталелитейном заводе при наличии имеющихся средств должно быть в настоящее время признано несоответствующим требованиям которые предъявлены к изделиям столь решающего значения в деле государственной обороны…</w:t>
      </w:r>
    </w:p>
    <w:p w14:paraId="77365C7C" w14:textId="77777777" w:rsidR="00B67D7C" w:rsidRPr="00DE096C" w:rsidRDefault="00B67D7C" w:rsidP="00D45A46">
      <w:pPr>
        <w:pStyle w:val="Blockquote"/>
        <w:spacing w:before="0" w:after="0"/>
        <w:ind w:left="0" w:right="0"/>
        <w:jc w:val="both"/>
        <w:rPr>
          <w:bCs/>
          <w:color w:val="002060"/>
          <w:sz w:val="16"/>
          <w:szCs w:val="16"/>
        </w:rPr>
      </w:pPr>
      <w:r w:rsidRPr="00DE096C">
        <w:rPr>
          <w:bCs/>
          <w:color w:val="002060"/>
          <w:sz w:val="16"/>
          <w:szCs w:val="16"/>
        </w:rPr>
        <w:t>Мартеновский отдел сталелитейной мастерской располагает тремя печами: двумя по 30 т и одной пятнадцатитонной, что позволяет отливать болванку для внутренней трубы из двух печей для 14" орудия и для 16" орудия даже из всех трех печей. Такой способ отливки болванки для наиболее ответственной части орудия нельзя признать приемлемым, ибо им не только обуславливается высокий процент брака, но, что самое главное, способ этот не гарантирует при валовом производстве ни доброкачественности отливки, ни ее прочности. Представляется поэтому настоятельно необходимым сооружение новой печи достаточной вместимости для отливки из нее одной болванки наибольшего веса. Печь в 60–65 т была бы достаточна, ибо с перегрузкой в 10 т из нее можно отлить требуемую болванку в 75 т и с недогрузкой в 15 т она давала бы, при достаточно экономичном ходе, болванку около 40–45 т. Для отливок болванок меньшего размера по условиям производства необходимы еще две печи в 40 и 25 т…</w:t>
      </w:r>
    </w:p>
    <w:p w14:paraId="7B870644" w14:textId="77777777" w:rsidR="00B67D7C" w:rsidRPr="00DE096C" w:rsidRDefault="00B67D7C" w:rsidP="00D45A46">
      <w:pPr>
        <w:jc w:val="both"/>
        <w:rPr>
          <w:bCs/>
          <w:color w:val="002060"/>
          <w:sz w:val="16"/>
          <w:szCs w:val="16"/>
        </w:rPr>
      </w:pPr>
      <w:r w:rsidRPr="00DE096C">
        <w:rPr>
          <w:bCs/>
          <w:color w:val="002060"/>
          <w:sz w:val="16"/>
          <w:szCs w:val="16"/>
        </w:rPr>
        <w:t>Такое оборудование по сравнению с действующим в настоящее время не является преувеличением, если принять во внимание, что 60-тонная печь предположена к сооружению самых крупных калибров артиллерии 16" и 14" пушек и является, таким образом, при наибольшей нагрузке печью специального назначения" (Законопроект Морского министерства, представленный в Государственную думу 17 августа 1914 г., "Об отпуске сверхсметного кредита на дополнительное оборудование Обуховского сталелитейного завода в связи с изготовлением 14- и 16-дм. орудий из хромоникелевой стали, башенных установок для орудий до 16-дм. калибра и увеличением снарядного производства". с. 2, 3. РГАВМФ, ф.401, оп. 2, д. 617, лл. 70, 71.).</w:t>
      </w:r>
    </w:p>
    <w:p w14:paraId="06085D69" w14:textId="77777777" w:rsidR="00B67D7C" w:rsidRPr="00DE096C" w:rsidRDefault="00B67D7C" w:rsidP="00D45A46">
      <w:pPr>
        <w:jc w:val="both"/>
        <w:rPr>
          <w:bCs/>
          <w:color w:val="002060"/>
          <w:sz w:val="16"/>
          <w:szCs w:val="16"/>
        </w:rPr>
      </w:pPr>
      <w:r w:rsidRPr="00DE096C">
        <w:rPr>
          <w:bCs/>
          <w:color w:val="002060"/>
          <w:sz w:val="16"/>
          <w:szCs w:val="16"/>
        </w:rPr>
        <w:t>Что касается цехов пушечного отдела, то они были уже в основном приспособлены к сооружению 16" орудий и свободно могли выполнить предусмотренные для Обуховского завода программы при условии не очень значительных затрат на два токарных станка, могущих обрабатывать орудия весом до 115 т.</w:t>
      </w:r>
    </w:p>
    <w:p w14:paraId="09F43E9E" w14:textId="77777777" w:rsidR="00B67D7C" w:rsidRPr="00DE096C" w:rsidRDefault="00B67D7C" w:rsidP="00D45A46">
      <w:pPr>
        <w:jc w:val="both"/>
        <w:rPr>
          <w:bCs/>
          <w:color w:val="002060"/>
          <w:sz w:val="16"/>
          <w:szCs w:val="16"/>
        </w:rPr>
      </w:pPr>
      <w:r w:rsidRPr="00DE096C">
        <w:rPr>
          <w:bCs/>
          <w:color w:val="002060"/>
          <w:sz w:val="16"/>
          <w:szCs w:val="16"/>
        </w:rPr>
        <w:t>Кроме коренного переоборудования сталелитейной мастерской и дооборудования пушечной, планировалось также сооружение снарядной мастерской с полным оборудованием и дооборудование снаряднозакалочной, постройка нового чугунолитейного цеха и цеха скорострельной артиллерии. Помимо этого, было предусмотрено строительство нового здания и полное переоборудование заводской лаборатории.</w:t>
      </w:r>
    </w:p>
    <w:p w14:paraId="7A12F316" w14:textId="77777777" w:rsidR="00B67D7C" w:rsidRPr="00DE096C" w:rsidRDefault="00B67D7C" w:rsidP="00D45A46">
      <w:pPr>
        <w:jc w:val="both"/>
        <w:rPr>
          <w:bCs/>
          <w:color w:val="002060"/>
          <w:sz w:val="16"/>
          <w:szCs w:val="16"/>
        </w:rPr>
      </w:pPr>
      <w:r w:rsidRPr="00DE096C">
        <w:rPr>
          <w:bCs/>
          <w:color w:val="002060"/>
          <w:sz w:val="16"/>
          <w:szCs w:val="16"/>
        </w:rPr>
        <w:t>И, наконец, было запланировано расширение башенного отдела завода, необходимое для производства новых больших башен. Существовавший котельный цех, расположенный в противоположной части завода, в силу ограниченности его размеров и малой мощности грузоподъемных механизмов не мог изготавливать поворотные столы четырехорудийных 16" установок. Помимо этого, перемещение подобных крупных конструкций через весь завод было невозможным ввиду недостаточности железнодорожного габарита. Поэтому новым планом расширения завода предусматривалось возведение нового цеха заготовки башенных конструкций рядом с прокатным и сборочным цехами, сосредотачивавшее, таким образом, все башенное производство на едином участке. Сборочный цех, оборудованный по предшествующему плану расширения завода одним 150-тонным краном, предполагалось оснастить вторым таким же краном. Помимо этого, было решено реконструировать подкрановые пути и построить бассейн для подачи барж, на которых окончательно готовые части башен сплавлялись вниз по Неве к верфям для установки их на корабли.</w:t>
      </w:r>
    </w:p>
    <w:p w14:paraId="44047BF8" w14:textId="77777777" w:rsidR="00B67D7C" w:rsidRPr="00DE096C" w:rsidRDefault="00B67D7C" w:rsidP="00D45A46">
      <w:pPr>
        <w:jc w:val="both"/>
        <w:rPr>
          <w:bCs/>
          <w:color w:val="002060"/>
          <w:sz w:val="16"/>
          <w:szCs w:val="16"/>
        </w:rPr>
      </w:pPr>
      <w:r w:rsidRPr="00DE096C">
        <w:rPr>
          <w:bCs/>
          <w:color w:val="002060"/>
          <w:sz w:val="16"/>
          <w:szCs w:val="16"/>
        </w:rPr>
        <w:t xml:space="preserve">Затраты на дооборудование Обуховского завода под программу серийного производства 16" орудий, их установок и снарядов были исчислены в 6623 тыс. руб. Работы, в соответствии со степенью их срочности, разбивались на два этапа — 1914–1915 гг. и 1916 г., и были рассчитаны на три года. В объяснительной записке к проекту говорилось, что «…часть переустройства, обусловленная необходимостью приступить через 1,5–2 года к валовому производству 16» пушек и башенных к ним установок, должна вестись возможно ускоренным порядком, а потому нужные на эту часть переустройства средства должны быть отпущены в первую очередь…», причем имелось в виду, что «…переустройство осложняется необходимостью не задерживать текущее производство даже на самое короткое время» (Законопроект Морского министерства, представленный в Государственную думу 17 августа 1914 г., "Об отпуске сверхсметного кредита на дополнительное оборудование </w:t>
      </w:r>
      <w:r w:rsidRPr="00DE096C">
        <w:rPr>
          <w:bCs/>
          <w:color w:val="002060"/>
          <w:sz w:val="16"/>
          <w:szCs w:val="16"/>
        </w:rPr>
        <w:lastRenderedPageBreak/>
        <w:t>Обуховского сталелитейного завода в связи с изготовлением 14- и 16-дм. орудий из хромоникелевой стали, башенных установок для орудий до 16-дм. калибра и увеличением снарядного производства". с. 2, 3. РГАВМФ, ф.401, оп. 2, д. 617, лл. 70, 71.).</w:t>
      </w:r>
    </w:p>
    <w:p w14:paraId="7B149F00" w14:textId="77777777" w:rsidR="00B67D7C" w:rsidRPr="00DE096C" w:rsidRDefault="00B67D7C" w:rsidP="00D45A46">
      <w:pPr>
        <w:jc w:val="both"/>
        <w:rPr>
          <w:bCs/>
          <w:color w:val="002060"/>
          <w:sz w:val="16"/>
          <w:szCs w:val="16"/>
        </w:rPr>
      </w:pPr>
      <w:r w:rsidRPr="00DE096C">
        <w:rPr>
          <w:bCs/>
          <w:color w:val="002060"/>
          <w:sz w:val="16"/>
          <w:szCs w:val="16"/>
        </w:rPr>
        <w:t>Запрос в Думу «Об отпуске сверхсметного кредита на дополнительное оборудование Обуховского сталелитейного завода в связи с изготовлением 14» и 16 орудий из хромоникелевой стали, башенных установок для орудий 16" калибра и увеличения снарядного производства" (так полностью именовался законопроект) был подан И.К. Григоровичем 17 августа 1914 г., т. е. когда уже началась война. Принятие новых программ строительства линкоров было приостановлено, как тогда полагали, на время, но жизнь показала, что навсегда. Однако даже в тяжелые годы войны 1914–1918 гг. на перегруженном срочными заказами армии и флота Обуховском заводе пытались по возможности следовать предвоенному плану реконструкции. Так, в 1916 г. была «приведена в действие законченная сооружением новая башенная мастерская для монтажа трехорудийных башен для 16" пушек». Помимо этого, существенно было расширено производство стали, но полностью программа развития завода по плану 1914 г. реализована не была. ("Доклад по Морскому министерству за 1916 г.", с. 127.)</w:t>
      </w:r>
    </w:p>
    <w:p w14:paraId="6124AEE5" w14:textId="77777777" w:rsidR="00B67D7C" w:rsidRPr="00DE096C" w:rsidRDefault="00B67D7C" w:rsidP="00D45A46">
      <w:pPr>
        <w:jc w:val="both"/>
        <w:rPr>
          <w:bCs/>
          <w:color w:val="002060"/>
          <w:sz w:val="16"/>
          <w:szCs w:val="16"/>
        </w:rPr>
      </w:pPr>
      <w:r w:rsidRPr="00DE096C">
        <w:rPr>
          <w:bCs/>
          <w:color w:val="002060"/>
          <w:sz w:val="16"/>
          <w:szCs w:val="16"/>
        </w:rPr>
        <w:t>Вторым казенным заводом, предположенным для изготовления крупных морских орудий, должен был стать Пермский артиллерийский завод, до этого производивший лишь мелкие и средние орудия для Военного ведомства, станки для них и снаряды. Предложения о перевооружении Пермских заводов составлялись Горным ведомством в 1910-1911 гг., когда наибольшим перспективным калибром морской артиллерии считался калибр 14". Эти предложения одобрил Совет министров, и Законом от 23 июня 1913 г. было определено отпустить средства на перевооружение Пермских пушечных заводов для изготовления предметов артиллерийского вооружения и оборудования полигона при заводе на общую сумму в 10628 тыс. руб., причем главная часть ассигнований в размере 4831 тыс. руб. имела назначение установить на Пермских заводах оборудование для производства орудий самых крупных калибров до 12 штук в год (12109).</w:t>
      </w:r>
    </w:p>
    <w:p w14:paraId="5756769C" w14:textId="77777777" w:rsidR="00B67D7C" w:rsidRPr="00DE096C" w:rsidRDefault="00B67D7C" w:rsidP="00D45A46">
      <w:pPr>
        <w:jc w:val="both"/>
        <w:rPr>
          <w:bCs/>
          <w:color w:val="002060"/>
          <w:sz w:val="16"/>
          <w:szCs w:val="16"/>
        </w:rPr>
      </w:pPr>
    </w:p>
    <w:p w14:paraId="4EDAF050" w14:textId="60C90ED0" w:rsidR="00B67D7C" w:rsidRPr="00DE096C" w:rsidRDefault="00B67D7C" w:rsidP="00D45A46">
      <w:pPr>
        <w:jc w:val="both"/>
        <w:rPr>
          <w:bCs/>
          <w:color w:val="002060"/>
          <w:sz w:val="16"/>
          <w:szCs w:val="16"/>
        </w:rPr>
      </w:pPr>
      <w:r w:rsidRPr="00DE096C">
        <w:rPr>
          <w:bCs/>
          <w:color w:val="002060"/>
          <w:sz w:val="16"/>
          <w:szCs w:val="16"/>
        </w:rPr>
        <w:t>Весной 1914 г. новое дооборудование завода было полностью завершено. Обуховский завод представлял собой передовое артиллерийское производство, обладавшее широкими возможностями. Он был способен ежегодно изготавливать 72 12"/52 орудия, или соответствующее число орудий 14" — 16" калибра (первых до 48, вторых до 12), а также до 180 орудий средних калибров. Существенно было расширено и производство снарядов -1600 16" калибра или 2000 14" калибра, из которых 25 % в обоих случаях могли быть бронебойными; 3200 снарядов 12" калибра или 8000 снарядов 8" калибра, и, помимо этого, огромное количество снарядов для средней артиллерии.</w:t>
      </w:r>
    </w:p>
    <w:p w14:paraId="4041FFDC" w14:textId="77777777" w:rsidR="00B67D7C" w:rsidRPr="00DE096C" w:rsidRDefault="00B67D7C" w:rsidP="00D45A46">
      <w:pPr>
        <w:jc w:val="both"/>
        <w:rPr>
          <w:bCs/>
          <w:color w:val="002060"/>
          <w:sz w:val="16"/>
          <w:szCs w:val="16"/>
        </w:rPr>
      </w:pPr>
      <w:r w:rsidRPr="00DE096C">
        <w:rPr>
          <w:bCs/>
          <w:color w:val="002060"/>
          <w:sz w:val="16"/>
          <w:szCs w:val="16"/>
        </w:rPr>
        <w:t>На Обуховском заводе был образован оптико-механический отдел, где изготавливались для флота орудийные прицелы и перископы, а также производился ремонт и поверка крупных базисных дальномеров британской компании «Барр и Струд», с которой завод с 1911 г. состоял в соглашении.</w:t>
      </w:r>
    </w:p>
    <w:p w14:paraId="3F0169BF" w14:textId="77777777" w:rsidR="00B67D7C" w:rsidRPr="00DE096C" w:rsidRDefault="00B67D7C" w:rsidP="00D45A46">
      <w:pPr>
        <w:jc w:val="both"/>
        <w:rPr>
          <w:bCs/>
          <w:color w:val="002060"/>
          <w:sz w:val="16"/>
          <w:szCs w:val="16"/>
        </w:rPr>
      </w:pPr>
      <w:r w:rsidRPr="00DE096C">
        <w:rPr>
          <w:bCs/>
          <w:color w:val="002060"/>
          <w:sz w:val="16"/>
          <w:szCs w:val="16"/>
        </w:rPr>
        <w:t>Основная часть работ по разработке предметов артиллерийского вооружения и оснащения, производившихся на заводе, была сосредоточена в заводской Минно-артиллерийской технической конторе, образованной в 1908 г. Заведовал ей инженер В.В. Поляков. В состав этого проектного подразделения входило 70 инженеров, конструкторов и чертежников (12109).</w:t>
      </w:r>
    </w:p>
    <w:p w14:paraId="3442A186" w14:textId="77777777" w:rsidR="00B67D7C" w:rsidRPr="00DE096C" w:rsidRDefault="00B67D7C" w:rsidP="00D45A46">
      <w:pPr>
        <w:jc w:val="both"/>
        <w:rPr>
          <w:bCs/>
          <w:color w:val="002060"/>
          <w:sz w:val="16"/>
          <w:szCs w:val="16"/>
        </w:rPr>
      </w:pPr>
    </w:p>
    <w:p w14:paraId="7B3B630C"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w:t>
      </w:r>
    </w:p>
    <w:p w14:paraId="3053CD9A" w14:textId="77777777" w:rsidR="00B67D7C" w:rsidRPr="00DE096C" w:rsidRDefault="00B67D7C" w:rsidP="00D45A46">
      <w:pPr>
        <w:shd w:val="clear" w:color="auto" w:fill="FFFFFF"/>
        <w:jc w:val="both"/>
        <w:rPr>
          <w:bCs/>
          <w:i/>
          <w:color w:val="002060"/>
          <w:sz w:val="16"/>
          <w:szCs w:val="16"/>
        </w:rPr>
      </w:pPr>
    </w:p>
    <w:p w14:paraId="1A036BBB" w14:textId="77777777" w:rsidR="00047175" w:rsidRPr="00DE096C" w:rsidRDefault="00047175" w:rsidP="00D45A46">
      <w:pPr>
        <w:pStyle w:val="2"/>
        <w:spacing w:before="0" w:after="0"/>
        <w:jc w:val="both"/>
        <w:rPr>
          <w:b w:val="0"/>
          <w:bCs/>
          <w:color w:val="002060"/>
          <w:sz w:val="16"/>
          <w:szCs w:val="16"/>
        </w:rPr>
      </w:pPr>
      <w:r w:rsidRPr="00DE096C">
        <w:rPr>
          <w:b w:val="0"/>
          <w:bCs/>
          <w:color w:val="002060"/>
          <w:sz w:val="16"/>
          <w:szCs w:val="16"/>
        </w:rPr>
        <w:t>Весной 1914 г. инструктор школы ИВАК А.Е.Раевский долго и настойчиво добивался от руководства аэроклуба командировки во Францию. Вопрос даже обсуждали на специальном заседании совета ИВАК, где «было доложено, что мертвым петлям во Франции в настоящее время уже обучаются авиаторы: Т.Н.Ефимов, А.М.Габер-Влынский и Х.Славо- россов... Ефимов в начале марта прибыл в школу Блерио в Бюке и после короткой тренировки успешно выполнил ряд «мертвых петель». В апреле французские газеты сообщали, что «молодой русский пилот Е.Шпицберг, недавно окончивший школу Мораи-Сольнье, также успешно кувыркается в воздухе. Число русских авиаторов, летавших вниз головой, доходит теперь до пяти.» (15464).</w:t>
      </w:r>
    </w:p>
    <w:p w14:paraId="1048B629" w14:textId="77777777" w:rsidR="00047175" w:rsidRPr="00DE096C" w:rsidRDefault="00047175" w:rsidP="00D45A46">
      <w:pPr>
        <w:pStyle w:val="2"/>
        <w:spacing w:before="0" w:after="0"/>
        <w:jc w:val="both"/>
        <w:rPr>
          <w:b w:val="0"/>
          <w:bCs/>
          <w:color w:val="002060"/>
          <w:sz w:val="16"/>
          <w:szCs w:val="16"/>
        </w:rPr>
      </w:pPr>
    </w:p>
    <w:p w14:paraId="5080F279" w14:textId="77777777" w:rsidR="00047175" w:rsidRPr="00DE096C" w:rsidRDefault="00047175" w:rsidP="00D45A46">
      <w:pPr>
        <w:pStyle w:val="2"/>
        <w:spacing w:before="0" w:after="0"/>
        <w:jc w:val="both"/>
        <w:rPr>
          <w:b w:val="0"/>
          <w:bCs/>
          <w:color w:val="002060"/>
          <w:sz w:val="16"/>
          <w:szCs w:val="16"/>
        </w:rPr>
      </w:pPr>
      <w:r w:rsidRPr="00DE096C">
        <w:rPr>
          <w:b w:val="0"/>
          <w:bCs/>
          <w:color w:val="002060"/>
          <w:sz w:val="16"/>
          <w:szCs w:val="16"/>
        </w:rPr>
        <w:t>Весной 1914 г. петербургская и московская публика с нетерпением жаждали увидеть воздушных акробатов. Широко рекламировались полеты француза Паризони, прославившегося тем, что уже на следующий день после сдачи пилотского экзамена он выполнил 15 петель. Но первым в России весь комплекс высшего пилотажа продемонстрировал вернувшийся из Франции Габер-Влынский на Ходынке. К его приезду на «Дуксе» специально построили пилотажный «Моран-Сольнье». 4 апреля в 8 часов утра Габер впервые в Москве в присутствии членов МОВ и репортеров показал «скольжение» на крыло: «Этот номер состоял из крутейшего виража, когда аппарат описывает в воздухе лежачее О, причем крылья аэроплана находятся почти вертикально. После «скольжения» Габер показал мертвую петлю, при чем он опрокидывал аппарат вверх на спину, и затем, замкнув петлю, снова выравнивал его. Третьим трюком было «падение на хвост». При исполнении этого упражнения авиатор круто задирает вверх, отчего аппарат постепенно теряет скорость. Наконец он на момент застывает в воздухе и как-бы «обрывается», т.е. летит вниз хвостом вперед. Маневрированием рулем глубины авиатор снова приводит аппарат в горизонтальное положение, головная часть перевешивает и аэроплан снова начинает нормальный полет (сейчас эту фигуру называют «колокол»).» Обозреватели отметили, что «все вышеописанные трюки Габер-Влынский выполнил превосходно и все присутствовавшие наградили смелого летчика бурными овациями.» Так Габер вторым после Нестерова сделал третью по счету в России «мертвую петлю». Весь комплекс фигур высшего пилотажа москвичи увидели впервые (15464).</w:t>
      </w:r>
    </w:p>
    <w:p w14:paraId="7DE2F2E8" w14:textId="77777777" w:rsidR="00047175" w:rsidRPr="00DE096C" w:rsidRDefault="00047175" w:rsidP="00D45A46">
      <w:pPr>
        <w:pStyle w:val="2"/>
        <w:spacing w:before="0" w:after="0"/>
        <w:jc w:val="both"/>
        <w:rPr>
          <w:b w:val="0"/>
          <w:bCs/>
          <w:color w:val="002060"/>
          <w:sz w:val="16"/>
          <w:szCs w:val="16"/>
        </w:rPr>
      </w:pPr>
    </w:p>
    <w:p w14:paraId="068D9E27" w14:textId="77777777" w:rsidR="00047175" w:rsidRPr="00DE096C" w:rsidRDefault="00047175" w:rsidP="00D45A46">
      <w:pPr>
        <w:pStyle w:val="2"/>
        <w:spacing w:before="0" w:after="0"/>
        <w:jc w:val="both"/>
        <w:rPr>
          <w:b w:val="0"/>
          <w:bCs/>
          <w:color w:val="002060"/>
          <w:sz w:val="16"/>
          <w:szCs w:val="16"/>
        </w:rPr>
      </w:pPr>
      <w:r w:rsidRPr="00DE096C">
        <w:rPr>
          <w:b w:val="0"/>
          <w:bCs/>
          <w:color w:val="002060"/>
          <w:sz w:val="16"/>
          <w:szCs w:val="16"/>
        </w:rPr>
        <w:t>Весной 1914 г. после многочисленных акробатических полетов «Общество безопасного аэроплана» во Франции решило свою ежегодную премию за конструкцию автоматического стабилизатора не присуждать, а занялось изучением характеристик устойчивости и управляемости конструкций новых самолетов. Но окончательно вопрос закрыли только в конце 20-х годов с появлением надежных автопилотов." (15464).</w:t>
      </w:r>
    </w:p>
    <w:p w14:paraId="01F8F8FE" w14:textId="77777777" w:rsidR="00047175" w:rsidRPr="00DE096C" w:rsidRDefault="00047175" w:rsidP="00D45A46">
      <w:pPr>
        <w:pStyle w:val="2"/>
        <w:spacing w:before="0" w:after="0"/>
        <w:jc w:val="both"/>
        <w:rPr>
          <w:b w:val="0"/>
          <w:bCs/>
          <w:color w:val="002060"/>
          <w:sz w:val="16"/>
          <w:szCs w:val="16"/>
        </w:rPr>
      </w:pPr>
    </w:p>
    <w:p w14:paraId="4774CBF0" w14:textId="77777777" w:rsidR="00047175" w:rsidRPr="00DE096C" w:rsidRDefault="00047175" w:rsidP="00D45A46">
      <w:pPr>
        <w:pStyle w:val="2"/>
        <w:spacing w:before="0" w:after="0"/>
        <w:jc w:val="both"/>
        <w:rPr>
          <w:b w:val="0"/>
          <w:bCs/>
          <w:color w:val="002060"/>
          <w:sz w:val="16"/>
          <w:szCs w:val="16"/>
        </w:rPr>
      </w:pPr>
      <w:r w:rsidRPr="00DE096C">
        <w:rPr>
          <w:b w:val="0"/>
          <w:bCs/>
          <w:color w:val="002060"/>
          <w:sz w:val="16"/>
          <w:szCs w:val="16"/>
        </w:rPr>
        <w:t>Весной 1914 г. в ИВАК попытались создать профсоюз летчиков. 10 марта состоялось многолюдное собрание пилотов, председательствовал Г.В.Алехнович. На повестке дня стоял всего один вопрос — «об организации профессионального союза частных летчиков, членами которого могли бы быть исключительно авиаторы». Было решено, что «новое общество, помимо защиты профессиональных интересов своих членов, должно преследовать и этические задачи, должно образовать авиационный «суд чести» и заботиться о развитии русского воздухоплавания. Избрана комиссия по разработке устава нового общества» (15464).</w:t>
      </w:r>
    </w:p>
    <w:p w14:paraId="66C0A1B6" w14:textId="77777777" w:rsidR="00047175" w:rsidRPr="00DE096C" w:rsidRDefault="00047175" w:rsidP="00D45A46">
      <w:pPr>
        <w:pStyle w:val="2"/>
        <w:spacing w:before="0" w:after="0"/>
        <w:jc w:val="both"/>
        <w:rPr>
          <w:b w:val="0"/>
          <w:bCs/>
          <w:color w:val="002060"/>
          <w:sz w:val="16"/>
          <w:szCs w:val="16"/>
        </w:rPr>
      </w:pPr>
    </w:p>
    <w:p w14:paraId="0708A6B3" w14:textId="77777777" w:rsidR="00047175" w:rsidRPr="00DE096C" w:rsidRDefault="00047175" w:rsidP="00D45A46">
      <w:pPr>
        <w:jc w:val="both"/>
        <w:rPr>
          <w:bCs/>
          <w:color w:val="002060"/>
          <w:sz w:val="16"/>
          <w:szCs w:val="16"/>
        </w:rPr>
      </w:pPr>
      <w:r w:rsidRPr="00DE096C">
        <w:rPr>
          <w:bCs/>
          <w:color w:val="002060"/>
          <w:sz w:val="16"/>
          <w:szCs w:val="16"/>
        </w:rPr>
        <w:t>С весны 1914 г. началась расширенная подготовка летчиков-наблюдателей, вызванная ростом числа авиационных отрядов (19566).</w:t>
      </w:r>
    </w:p>
    <w:p w14:paraId="71EFE3DC" w14:textId="77777777" w:rsidR="00047175" w:rsidRPr="00DE096C" w:rsidRDefault="00047175" w:rsidP="00D45A46">
      <w:pPr>
        <w:jc w:val="both"/>
        <w:rPr>
          <w:bCs/>
          <w:color w:val="002060"/>
          <w:sz w:val="16"/>
          <w:szCs w:val="16"/>
        </w:rPr>
      </w:pPr>
    </w:p>
    <w:p w14:paraId="1B057007" w14:textId="77777777" w:rsidR="00047175" w:rsidRPr="00DE096C" w:rsidRDefault="00047175" w:rsidP="00D45A46">
      <w:pPr>
        <w:jc w:val="both"/>
        <w:rPr>
          <w:bCs/>
          <w:color w:val="002060"/>
          <w:sz w:val="16"/>
          <w:szCs w:val="16"/>
        </w:rPr>
      </w:pPr>
      <w:r w:rsidRPr="00DE096C">
        <w:rPr>
          <w:bCs/>
          <w:color w:val="002060"/>
          <w:sz w:val="16"/>
          <w:szCs w:val="16"/>
        </w:rPr>
        <w:t>Весной 1914 г. началось формирование еще трех авиарот и 21 авиаотряда. Оно шло достаточно быстро, так как личный состав был подобран заранее, а самолеты еще с осени накапливались на местных складах. Как и в 1913 г., силы и средства подлежащих расформированию нескольких воздухоплавательных рот использовались для укомплектования вновь создаваемых авиачастей.</w:t>
      </w:r>
    </w:p>
    <w:p w14:paraId="3AA76ED2" w14:textId="77777777" w:rsidR="00047175" w:rsidRPr="00DE096C" w:rsidRDefault="00047175" w:rsidP="00D45A46">
      <w:pPr>
        <w:jc w:val="both"/>
        <w:rPr>
          <w:bCs/>
          <w:color w:val="002060"/>
          <w:sz w:val="16"/>
          <w:szCs w:val="16"/>
        </w:rPr>
      </w:pPr>
      <w:r w:rsidRPr="00DE096C">
        <w:rPr>
          <w:bCs/>
          <w:color w:val="002060"/>
          <w:sz w:val="16"/>
          <w:szCs w:val="16"/>
        </w:rPr>
        <w:t>В начале лета 1914 г. появились следующие авиачасти: 4-я авиарота (Лида), при ней: 2, 3, 4, 6, 10, 20, 21-й корпусные авиаотряды; 5-я авиарота (Бронницы, под Москвой), при ней: авиаотряд Гренадерского корпуса, 13 и 17-й корпусные авиаотряды; 6-я авиарота (Одесса), при ней: 7, 8, 24, 25-й корпусные авиаотряды; 5, 16, 22-й корпусные отряды (вошли в состав 1-й авиароты); 4-й Сибирский крепостной авиаотряд (с. Спасское); три крепостные авиаотряда в Гродно, Севастополе и Владивостоке. Формирование авиачастей вновь сопровождалось организационными трудностями. Дислокация авиаотрядов часто не соответствовала дислокации штабов корпусов. Штабы округов не уделяли должного внимания боевой подготовке авиаотрядов. Так, лишь по просьбе летчиков 4-й авиароты начальник штаба Виленского ВО посетил аэродром в г. Лида, где формировались семь авиаотрядов. Вмешательство этого начальника помогло приступить к специальной подготовке. Летчики получили возможность тренироваться над Двинским полигоном. Однако появление нового средства войны – самолета не было в должной мере оценено командованием армии перед войной13. Таким образом, к началу войны, организационное строительство строевой авиации реализовалось во вновь созданную организационную структуру сухопутной военной авиации, количество авиачастей в которой позволяло обеспечить большую часть корпусов средствами воздушной разведки. Появилась также крепостная авиация в виде крепостных авиаотрядов, приданных по одному каждой крепости. Всего в армии в июле 1914 г. насчитывалось 39 авиаотрядов.</w:t>
      </w:r>
    </w:p>
    <w:p w14:paraId="4453438F" w14:textId="77777777" w:rsidR="00047175" w:rsidRPr="00DE096C" w:rsidRDefault="00047175" w:rsidP="00D45A46">
      <w:pPr>
        <w:jc w:val="both"/>
        <w:rPr>
          <w:bCs/>
          <w:color w:val="002060"/>
          <w:sz w:val="16"/>
          <w:szCs w:val="16"/>
        </w:rPr>
      </w:pPr>
      <w:r w:rsidRPr="00DE096C">
        <w:rPr>
          <w:bCs/>
          <w:color w:val="002060"/>
          <w:sz w:val="16"/>
          <w:szCs w:val="16"/>
        </w:rPr>
        <w:t>(РГВИА. Ф. 802. Оп. 4. Д. 2115. Л. 135.</w:t>
      </w:r>
    </w:p>
    <w:p w14:paraId="4953938C" w14:textId="77777777" w:rsidR="00047175" w:rsidRPr="00DE096C" w:rsidRDefault="00047175" w:rsidP="00D45A46">
      <w:pPr>
        <w:jc w:val="both"/>
        <w:rPr>
          <w:bCs/>
          <w:color w:val="002060"/>
          <w:sz w:val="16"/>
          <w:szCs w:val="16"/>
        </w:rPr>
      </w:pPr>
      <w:r w:rsidRPr="00DE096C">
        <w:rPr>
          <w:bCs/>
          <w:color w:val="002060"/>
          <w:sz w:val="16"/>
          <w:szCs w:val="16"/>
        </w:rPr>
        <w:t>Александров Е.В. Краткий исторический очерк развития инженерных войск русской армии. М. – 1939. – С. 39.</w:t>
      </w:r>
    </w:p>
    <w:p w14:paraId="26505075" w14:textId="77777777" w:rsidR="00047175" w:rsidRPr="00DE096C" w:rsidRDefault="00047175" w:rsidP="00D45A46">
      <w:pPr>
        <w:jc w:val="both"/>
        <w:rPr>
          <w:bCs/>
          <w:color w:val="002060"/>
          <w:sz w:val="16"/>
          <w:szCs w:val="16"/>
        </w:rPr>
      </w:pPr>
      <w:r w:rsidRPr="00DE096C">
        <w:rPr>
          <w:bCs/>
          <w:color w:val="002060"/>
          <w:sz w:val="16"/>
          <w:szCs w:val="16"/>
        </w:rPr>
        <w:t>Военная энциклопедия. Т.1. – СПб., 1911. – С. 150. 152) (19566).</w:t>
      </w:r>
    </w:p>
    <w:p w14:paraId="722B4FE0" w14:textId="77777777" w:rsidR="00047175" w:rsidRPr="00DE096C" w:rsidRDefault="00047175" w:rsidP="00D45A46">
      <w:pPr>
        <w:jc w:val="both"/>
        <w:rPr>
          <w:bCs/>
          <w:color w:val="002060"/>
          <w:sz w:val="16"/>
          <w:szCs w:val="16"/>
        </w:rPr>
      </w:pPr>
    </w:p>
    <w:p w14:paraId="02A42722" w14:textId="77777777" w:rsidR="00B67D7C" w:rsidRPr="00DE096C" w:rsidRDefault="00B67D7C" w:rsidP="00D45A46">
      <w:pPr>
        <w:jc w:val="both"/>
        <w:rPr>
          <w:bCs/>
          <w:color w:val="002060"/>
          <w:sz w:val="16"/>
          <w:szCs w:val="16"/>
        </w:rPr>
      </w:pPr>
      <w:r w:rsidRPr="00DE096C">
        <w:rPr>
          <w:bCs/>
          <w:color w:val="002060"/>
          <w:sz w:val="16"/>
          <w:szCs w:val="16"/>
        </w:rPr>
        <w:t>Весной 1914 года началось формирование еще 3 авиарот и 21 авиаотряда. Оно шло достаточно быстро, так как личный состав был подобран заранее, а самолеты с осени предыдущего года накапливались на местных складах. Как и ранее, силы и средства подлежащих расформированию некоторых воздухоплавательных рот использовались для укомплектования вновь создаваемых авиачастей. В результате авиационная служба к началу лета 1914-го пополнилась следующими авиачастями: 4-й авиаротой (г. Лида) и 2, 3, 4, 6, 10, 20, 21-м корпусными авиаотрядами; 5-й авиаротой (г. Бронницы под Москвой; при ней авиационный отряд Гренадерского корпуса, 13 и 17-й корпусные авиаотряды); 6-й авиаротой (г. Одесса; при ней 7, 8, 24 и 25-й корпусные авиаотряды); 5, 16, 22-м корпусными отрядами при уже сформированной в 1913 году 1-й авиароте; 4-м Сибирским крепостным авиационным отрядом (с. Спасское); Гродненским, Севастопольским и Владивостокским крепостными отрядами (РГВИА Ф. 802. Оп. 4. Д. 2115. Л. 135).</w:t>
      </w:r>
    </w:p>
    <w:p w14:paraId="6E7E0669" w14:textId="77777777" w:rsidR="00B67D7C" w:rsidRPr="00DE096C" w:rsidRDefault="00B67D7C" w:rsidP="00D45A46">
      <w:pPr>
        <w:jc w:val="both"/>
        <w:rPr>
          <w:bCs/>
          <w:color w:val="002060"/>
          <w:sz w:val="16"/>
          <w:szCs w:val="16"/>
        </w:rPr>
      </w:pPr>
      <w:r w:rsidRPr="00DE096C">
        <w:rPr>
          <w:bCs/>
          <w:color w:val="002060"/>
          <w:sz w:val="16"/>
          <w:szCs w:val="16"/>
        </w:rPr>
        <w:t>Формирование авиаотрядов заставило Военное министерство выбрать почти все резервы летного состава, что сразу потребовало расширения подготовки летчиков (11167).</w:t>
      </w:r>
    </w:p>
    <w:p w14:paraId="73C8D9CA" w14:textId="77777777" w:rsidR="00B67D7C" w:rsidRPr="00DE096C" w:rsidRDefault="00B67D7C" w:rsidP="00D45A46">
      <w:pPr>
        <w:jc w:val="both"/>
        <w:rPr>
          <w:bCs/>
          <w:color w:val="002060"/>
          <w:sz w:val="16"/>
          <w:szCs w:val="16"/>
        </w:rPr>
      </w:pPr>
    </w:p>
    <w:p w14:paraId="79AB3028" w14:textId="33EEFFF9" w:rsidR="00B67D7C" w:rsidRPr="00DE096C" w:rsidRDefault="00BE00AC" w:rsidP="00D45A46">
      <w:pPr>
        <w:jc w:val="both"/>
        <w:rPr>
          <w:bCs/>
          <w:color w:val="002060"/>
          <w:sz w:val="16"/>
          <w:szCs w:val="16"/>
        </w:rPr>
      </w:pPr>
      <w:r w:rsidRPr="00DE096C">
        <w:rPr>
          <w:bCs/>
          <w:color w:val="002060"/>
          <w:sz w:val="16"/>
          <w:szCs w:val="16"/>
        </w:rPr>
        <w:t>В</w:t>
      </w:r>
      <w:r w:rsidR="00B67D7C" w:rsidRPr="00DE096C">
        <w:rPr>
          <w:bCs/>
          <w:color w:val="002060"/>
          <w:sz w:val="16"/>
          <w:szCs w:val="16"/>
        </w:rPr>
        <w:t>есной 1914 года</w:t>
      </w:r>
      <w:r w:rsidRPr="00DE096C">
        <w:rPr>
          <w:bCs/>
          <w:color w:val="002060"/>
          <w:sz w:val="16"/>
          <w:szCs w:val="16"/>
        </w:rPr>
        <w:t xml:space="preserve"> с</w:t>
      </w:r>
      <w:r w:rsidR="00B67D7C" w:rsidRPr="00DE096C">
        <w:rPr>
          <w:bCs/>
          <w:color w:val="002060"/>
          <w:sz w:val="16"/>
          <w:szCs w:val="16"/>
        </w:rPr>
        <w:t xml:space="preserve"> </w:t>
      </w:r>
      <w:r w:rsidRPr="00DE096C">
        <w:rPr>
          <w:bCs/>
          <w:color w:val="002060"/>
          <w:sz w:val="16"/>
          <w:szCs w:val="16"/>
        </w:rPr>
        <w:t>бегового кругу в излюбленном месте отдыха “Зеленом острове”, на котром проводили не только конские бега, но и велосипедные и другие спортивные соревнования,</w:t>
      </w:r>
      <w:r w:rsidR="00B67D7C" w:rsidRPr="00DE096C">
        <w:rPr>
          <w:bCs/>
          <w:color w:val="002060"/>
          <w:sz w:val="16"/>
          <w:szCs w:val="16"/>
        </w:rPr>
        <w:t xml:space="preserve"> решил подняться над Никольск-Уссурийским Лагутин. Из Владивостока он привез “Фарман”. Посмотреть полеты собралось немало никольцев. Но как они были разочарованы, когда самолет, пробежавший несколько сажен по беговой дорожке, свернул вправо и задел своим крылом финишную доску. Еще минута, и весь аэроплан представлял собой бесформенную груду обломков. Авиатор Лагутин с трудом выбрался из-под них, проклиная чересчур любопытных зрителей, выскочивших на поле и тем самым заставивших пилота свернуть в сторону. Не повезло Лагутину и с демонстрацией полетов в Харбине: здесь сразу же после взлета он вынужден был приземлиться на соседнем с ипподромом картофельном поле. </w:t>
      </w:r>
    </w:p>
    <w:p w14:paraId="376360CC" w14:textId="77777777" w:rsidR="00B67D7C" w:rsidRPr="00DE096C" w:rsidRDefault="00B67D7C" w:rsidP="00D45A46">
      <w:pPr>
        <w:shd w:val="clear" w:color="auto" w:fill="FFFFFF"/>
        <w:jc w:val="both"/>
        <w:rPr>
          <w:bCs/>
          <w:color w:val="002060"/>
          <w:sz w:val="16"/>
          <w:szCs w:val="16"/>
        </w:rPr>
      </w:pPr>
    </w:p>
    <w:p w14:paraId="7A854C1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Весной 1914 г. журнал «Военный сборник» указывал, что пу</w:t>
      </w:r>
      <w:r w:rsidRPr="00DE096C">
        <w:rPr>
          <w:bCs/>
          <w:color w:val="002060"/>
          <w:sz w:val="16"/>
          <w:szCs w:val="16"/>
        </w:rPr>
        <w:softHyphen/>
        <w:t>лемет представляет собой серьезное оружие аэроплана, и реко</w:t>
      </w:r>
      <w:r w:rsidRPr="00DE096C">
        <w:rPr>
          <w:bCs/>
          <w:color w:val="002060"/>
          <w:sz w:val="16"/>
          <w:szCs w:val="16"/>
        </w:rPr>
        <w:softHyphen/>
        <w:t>мендовал некоторые тактические приемы ведения воздушного боя. «...Так как пристрелка в воздухе очень затруднительна,— указывалось в статье, — то положение солнца играет важную роль: выгоднее иметь солнце сзади себя» *. Далее в статье рас</w:t>
      </w:r>
      <w:r w:rsidRPr="00DE096C">
        <w:rPr>
          <w:bCs/>
          <w:color w:val="002060"/>
          <w:sz w:val="16"/>
          <w:szCs w:val="16"/>
        </w:rPr>
        <w:softHyphen/>
        <w:t>сматривается вопрос о групповых действиях авиации и отме</w:t>
      </w:r>
      <w:r w:rsidRPr="00DE096C">
        <w:rPr>
          <w:bCs/>
          <w:color w:val="002060"/>
          <w:sz w:val="16"/>
          <w:szCs w:val="16"/>
        </w:rPr>
        <w:softHyphen/>
        <w:t>чается, что важным условием при групповом полете является возможность «...действия каждого аппарата как. бомбами, так и огнестрельным оружием» (430).</w:t>
      </w:r>
    </w:p>
    <w:p w14:paraId="66C53AB0" w14:textId="77777777" w:rsidR="00B67D7C" w:rsidRPr="00DE096C" w:rsidRDefault="00B67D7C" w:rsidP="00D45A46">
      <w:pPr>
        <w:shd w:val="clear" w:color="auto" w:fill="FFFFFF"/>
        <w:jc w:val="both"/>
        <w:rPr>
          <w:bCs/>
          <w:color w:val="002060"/>
          <w:sz w:val="16"/>
          <w:szCs w:val="16"/>
        </w:rPr>
      </w:pPr>
    </w:p>
    <w:p w14:paraId="37696973" w14:textId="77777777" w:rsidR="00B67D7C" w:rsidRPr="00DE096C" w:rsidRDefault="00B67D7C" w:rsidP="00D45A46">
      <w:pPr>
        <w:jc w:val="both"/>
        <w:rPr>
          <w:bCs/>
          <w:color w:val="002060"/>
          <w:sz w:val="16"/>
          <w:szCs w:val="16"/>
        </w:rPr>
      </w:pPr>
      <w:r w:rsidRPr="00DE096C">
        <w:rPr>
          <w:bCs/>
          <w:color w:val="002060"/>
          <w:sz w:val="16"/>
          <w:szCs w:val="16"/>
        </w:rPr>
        <w:t>С весны 1914 года началась вызванная ростом числа авиационных отрядов расширенная подготовка летчиков-наблюдателей. В соответствии с этой задачей начальник ГШ утвердил 20 мая «Временные правила командирования офицеров всех родов войск в авиационные части для обучения службе разведки и наблюдения с аэропланов», исходя из которых в каждый корпусной и крепостной отряды могли быть командированы три и четыре офицера соответственно. В тот же день была утверждена и «Программа подготовки офицеров разведки и наблюдателей», рассчитанная на три месяца обучения (РГВИА. Ф. 802. Оп. 1. Д. 1069. Л. 153; Оп. 3. Д. 300. Л. 16—23; Ф. 2000. Оп. 2. Д. 230. Л. 16—18.). Подготовка мотористов и механиков велась в обеих авиашколах и частично в авиаротах. Резерв составляли специалисты аэроклубов, заводов и других гражданских учреждений, направлявшиеся после призыва в качестве нижних чинов в авиачасти, где они совершенствовали свои знания и навыки по эксплуатации и ремонту авиатехники.</w:t>
      </w:r>
    </w:p>
    <w:p w14:paraId="61FF2FC0" w14:textId="77777777" w:rsidR="00B67D7C" w:rsidRPr="00DE096C" w:rsidRDefault="00B67D7C" w:rsidP="00D45A46">
      <w:pPr>
        <w:jc w:val="both"/>
        <w:rPr>
          <w:bCs/>
          <w:color w:val="002060"/>
          <w:sz w:val="16"/>
          <w:szCs w:val="16"/>
        </w:rPr>
      </w:pPr>
      <w:r w:rsidRPr="00DE096C">
        <w:rPr>
          <w:bCs/>
          <w:color w:val="002060"/>
          <w:sz w:val="16"/>
          <w:szCs w:val="16"/>
        </w:rPr>
        <w:t>ТАКИМ образом, к началу войны в России в основном сложилась система подготовки авиационных кадров. В этой связи уместно отметить, что перед войной в Германии военных авиашкол не было вообще, и летная подготовка офицеров осуществлялась только при заводах (РГВИА. Ф. 844. Оп. 1. Д. 41. Л. 3).</w:t>
      </w:r>
    </w:p>
    <w:p w14:paraId="15D7C3D3" w14:textId="77777777" w:rsidR="00B67D7C" w:rsidRPr="00DE096C" w:rsidRDefault="00B67D7C" w:rsidP="00D45A46">
      <w:pPr>
        <w:jc w:val="both"/>
        <w:rPr>
          <w:bCs/>
          <w:color w:val="002060"/>
          <w:sz w:val="16"/>
          <w:szCs w:val="16"/>
        </w:rPr>
      </w:pPr>
    </w:p>
    <w:p w14:paraId="11803EC9" w14:textId="77777777" w:rsidR="00B67D7C" w:rsidRPr="00DE096C" w:rsidRDefault="00B67D7C" w:rsidP="00D45A46">
      <w:pPr>
        <w:jc w:val="both"/>
        <w:rPr>
          <w:bCs/>
          <w:color w:val="002060"/>
          <w:sz w:val="16"/>
          <w:szCs w:val="16"/>
        </w:rPr>
      </w:pPr>
      <w:r w:rsidRPr="00DE096C">
        <w:rPr>
          <w:bCs/>
          <w:color w:val="002060"/>
          <w:sz w:val="16"/>
          <w:szCs w:val="16"/>
        </w:rPr>
        <w:t>Весной 1914 г. в Петрограде группа инженеров и офицеров-авиаторов решила организовать перелет Петроград — Владивос</w:t>
      </w:r>
      <w:r w:rsidRPr="00DE096C">
        <w:rPr>
          <w:bCs/>
          <w:color w:val="002060"/>
          <w:sz w:val="16"/>
          <w:szCs w:val="16"/>
        </w:rPr>
        <w:softHyphen/>
        <w:t>ток. Был детально разработан план перелета, его маршрут, намечены пункты посадки. На</w:t>
      </w:r>
      <w:r w:rsidRPr="00DE096C">
        <w:rPr>
          <w:bCs/>
          <w:color w:val="002060"/>
          <w:sz w:val="16"/>
          <w:szCs w:val="16"/>
        </w:rPr>
        <w:softHyphen/>
        <w:t>чавшаяся война помешала осу</w:t>
      </w:r>
      <w:r w:rsidRPr="00DE096C">
        <w:rPr>
          <w:bCs/>
          <w:color w:val="002060"/>
          <w:sz w:val="16"/>
          <w:szCs w:val="16"/>
        </w:rPr>
        <w:softHyphen/>
        <w:t>ществлению этого смелого за</w:t>
      </w:r>
      <w:r w:rsidRPr="00DE096C">
        <w:rPr>
          <w:bCs/>
          <w:color w:val="002060"/>
          <w:sz w:val="16"/>
          <w:szCs w:val="16"/>
        </w:rPr>
        <w:softHyphen/>
        <w:t>мысла.</w:t>
      </w:r>
    </w:p>
    <w:p w14:paraId="7FF56348" w14:textId="77777777" w:rsidR="00B67D7C" w:rsidRPr="00DE096C" w:rsidRDefault="00B67D7C" w:rsidP="00D45A46">
      <w:pPr>
        <w:jc w:val="both"/>
        <w:rPr>
          <w:bCs/>
          <w:color w:val="002060"/>
          <w:sz w:val="16"/>
          <w:szCs w:val="16"/>
        </w:rPr>
      </w:pPr>
    </w:p>
    <w:p w14:paraId="03EEBF31" w14:textId="77777777" w:rsidR="00047175" w:rsidRPr="00DE096C" w:rsidRDefault="00047175" w:rsidP="00D45A46">
      <w:pPr>
        <w:jc w:val="both"/>
        <w:rPr>
          <w:bCs/>
          <w:i/>
          <w:color w:val="002060"/>
          <w:sz w:val="16"/>
          <w:szCs w:val="16"/>
        </w:rPr>
      </w:pPr>
      <w:r w:rsidRPr="00DE096C">
        <w:rPr>
          <w:bCs/>
          <w:i/>
          <w:color w:val="002060"/>
          <w:sz w:val="16"/>
          <w:szCs w:val="16"/>
        </w:rPr>
        <w:t>Армия:</w:t>
      </w:r>
    </w:p>
    <w:p w14:paraId="79295BFE" w14:textId="77777777" w:rsidR="00047175" w:rsidRPr="00DE096C" w:rsidRDefault="00047175" w:rsidP="00D45A46">
      <w:pPr>
        <w:jc w:val="both"/>
        <w:rPr>
          <w:bCs/>
          <w:i/>
          <w:color w:val="002060"/>
          <w:sz w:val="16"/>
          <w:szCs w:val="16"/>
        </w:rPr>
      </w:pPr>
    </w:p>
    <w:p w14:paraId="42BB0B05" w14:textId="77777777" w:rsidR="00047175" w:rsidRPr="00DE096C" w:rsidRDefault="00047175" w:rsidP="00D45A46">
      <w:pPr>
        <w:jc w:val="both"/>
        <w:rPr>
          <w:bCs/>
          <w:color w:val="002060"/>
          <w:sz w:val="16"/>
          <w:szCs w:val="16"/>
        </w:rPr>
      </w:pPr>
      <w:r w:rsidRPr="00DE096C">
        <w:rPr>
          <w:bCs/>
          <w:color w:val="002060"/>
          <w:sz w:val="16"/>
          <w:szCs w:val="16"/>
        </w:rPr>
        <w:t>Весной 1914 г. в ходе проведения ночных стрельб на линкоре флота Балтийского моря «Слава» вследствие недостаточного оборудования средствами связи плутонгов и противоминных постов произошел отстрел ствола одного из орудий3. Морской генеральный штаб (МГШ) потребовал от Артиллерийского отдела ГУК срочно обеспечить противоминные посты девяти важнейших кораблей флотов Балтийского и Черного морей переносными телефонами4. Соответствующий заказ на сумму более 15 тыс. руб. в условиях уже начавшейся Первой мировой войны был выдан разработчику – фирме «Н.К. Гейслер» (18297).</w:t>
      </w:r>
    </w:p>
    <w:p w14:paraId="1CA2A073" w14:textId="77777777" w:rsidR="00047175" w:rsidRPr="00DE096C" w:rsidRDefault="00047175" w:rsidP="00D45A46">
      <w:pPr>
        <w:jc w:val="both"/>
        <w:rPr>
          <w:bCs/>
          <w:color w:val="002060"/>
          <w:sz w:val="16"/>
          <w:szCs w:val="16"/>
        </w:rPr>
      </w:pPr>
    </w:p>
    <w:p w14:paraId="25F22941" w14:textId="77777777" w:rsidR="00B67D7C" w:rsidRPr="00DE096C" w:rsidRDefault="00B67D7C" w:rsidP="00D45A46">
      <w:pPr>
        <w:jc w:val="both"/>
        <w:rPr>
          <w:bCs/>
          <w:i/>
          <w:color w:val="002060"/>
          <w:sz w:val="16"/>
          <w:szCs w:val="16"/>
        </w:rPr>
      </w:pPr>
      <w:r w:rsidRPr="00DE096C">
        <w:rPr>
          <w:bCs/>
          <w:i/>
          <w:color w:val="002060"/>
          <w:sz w:val="16"/>
          <w:szCs w:val="16"/>
        </w:rPr>
        <w:t>Внешняя политика:</w:t>
      </w:r>
    </w:p>
    <w:p w14:paraId="56257568" w14:textId="77777777" w:rsidR="00B67D7C" w:rsidRPr="00DE096C" w:rsidRDefault="00B67D7C" w:rsidP="00D45A46">
      <w:pPr>
        <w:jc w:val="both"/>
        <w:rPr>
          <w:bCs/>
          <w:i/>
          <w:color w:val="002060"/>
          <w:sz w:val="16"/>
          <w:szCs w:val="16"/>
        </w:rPr>
      </w:pPr>
    </w:p>
    <w:p w14:paraId="414A8785" w14:textId="00808FE3" w:rsidR="00B67D7C" w:rsidRPr="00DE096C" w:rsidRDefault="00BE00AC" w:rsidP="00D45A46">
      <w:pPr>
        <w:pStyle w:val="DefinitionList"/>
        <w:ind w:left="0"/>
        <w:jc w:val="both"/>
        <w:rPr>
          <w:bCs/>
          <w:color w:val="002060"/>
          <w:sz w:val="16"/>
          <w:szCs w:val="16"/>
        </w:rPr>
      </w:pPr>
      <w:r w:rsidRPr="00DE096C">
        <w:rPr>
          <w:bCs/>
          <w:color w:val="002060"/>
          <w:sz w:val="16"/>
          <w:szCs w:val="16"/>
        </w:rPr>
        <w:t>В</w:t>
      </w:r>
      <w:r w:rsidR="00B67D7C" w:rsidRPr="00DE096C">
        <w:rPr>
          <w:bCs/>
          <w:color w:val="002060"/>
          <w:sz w:val="16"/>
          <w:szCs w:val="16"/>
        </w:rPr>
        <w:t>есной 1914 года в преддверии Балканского кризиса</w:t>
      </w:r>
      <w:r w:rsidRPr="00DE096C">
        <w:rPr>
          <w:bCs/>
          <w:color w:val="002060"/>
          <w:sz w:val="16"/>
          <w:szCs w:val="16"/>
        </w:rPr>
        <w:t xml:space="preserve"> имело место свидание начальников германского и российского морских генеральных штабов</w:t>
      </w:r>
      <w:r w:rsidR="00B67D7C" w:rsidRPr="00DE096C">
        <w:rPr>
          <w:bCs/>
          <w:color w:val="002060"/>
          <w:sz w:val="16"/>
          <w:szCs w:val="16"/>
        </w:rPr>
        <w:t xml:space="preserve">, и в основном внимание было сосредоточено на улучшении взаимодействия объединенных сил, в частности результатом стало наличие германских офицеров связи на русских кораблях и соответственно русских на германских кораблях. </w:t>
      </w:r>
    </w:p>
    <w:p w14:paraId="633DCB5C"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С началом общеевропейской войны, как и планировалось, оперативная эскадра Балтийского флота перешла под оперативный контроль германского командования, в свою очередь германские силы на Дальнем востоке перешли под оперативный контроль русского командования. Были введены новые шифры и сигнальные коды (12284). </w:t>
      </w:r>
    </w:p>
    <w:p w14:paraId="54AF84A7" w14:textId="5A07F825" w:rsidR="00B67D7C" w:rsidRPr="00DE096C" w:rsidRDefault="00B67D7C" w:rsidP="00D45A46">
      <w:pPr>
        <w:jc w:val="both"/>
        <w:rPr>
          <w:bCs/>
          <w:color w:val="002060"/>
          <w:sz w:val="16"/>
          <w:szCs w:val="16"/>
        </w:rPr>
      </w:pPr>
    </w:p>
    <w:p w14:paraId="7EC7873E" w14:textId="168340CD" w:rsidR="00B66E26" w:rsidRPr="00DE096C" w:rsidRDefault="00B66E26" w:rsidP="00D45A46">
      <w:pPr>
        <w:jc w:val="both"/>
        <w:rPr>
          <w:bCs/>
          <w:i/>
          <w:iCs/>
          <w:color w:val="002060"/>
          <w:sz w:val="16"/>
          <w:szCs w:val="16"/>
        </w:rPr>
      </w:pPr>
      <w:r w:rsidRPr="00DE096C">
        <w:rPr>
          <w:bCs/>
          <w:i/>
          <w:iCs/>
          <w:color w:val="002060"/>
          <w:sz w:val="16"/>
          <w:szCs w:val="16"/>
        </w:rPr>
        <w:t>Авиация и воздухоплавание Франции:</w:t>
      </w:r>
    </w:p>
    <w:p w14:paraId="534115F0" w14:textId="77777777" w:rsidR="00B66E26" w:rsidRPr="00DE096C" w:rsidRDefault="00B66E26" w:rsidP="00D45A46">
      <w:pPr>
        <w:jc w:val="both"/>
        <w:rPr>
          <w:bCs/>
          <w:i/>
          <w:iCs/>
          <w:color w:val="002060"/>
          <w:sz w:val="16"/>
          <w:szCs w:val="16"/>
        </w:rPr>
      </w:pPr>
    </w:p>
    <w:p w14:paraId="057BBB50" w14:textId="77777777" w:rsidR="00B66E26" w:rsidRPr="00DE096C" w:rsidRDefault="00B66E26" w:rsidP="00D45A46">
      <w:pPr>
        <w:shd w:val="clear" w:color="auto" w:fill="FFFFFF"/>
        <w:jc w:val="both"/>
        <w:rPr>
          <w:bCs/>
          <w:color w:val="002060"/>
          <w:sz w:val="16"/>
          <w:szCs w:val="16"/>
        </w:rPr>
      </w:pPr>
      <w:r w:rsidRPr="00DE096C">
        <w:rPr>
          <w:bCs/>
          <w:color w:val="002060"/>
          <w:sz w:val="16"/>
          <w:szCs w:val="16"/>
        </w:rPr>
        <w:t xml:space="preserve">Весной 1914 г. летчик-испытатель Штоффлер облетал еще одну конструкцию Вильда — «легкий кавалерийский самолет» Р.20 должен был выполнять быстрые рейды на позиции противника и в его тыл. В отличие от других машин фирмы, Р.20 имел ротативный мотор Оберурсель UR II — лицензионный вариант французского «Гнома». В мае 1914 г. он участвовал в перелете на приз принца Генриха, но из-за разрушения бензопровода был поломан на вынужденной посадке. Ремонт кончили в июне и Р.20 передали на испытания Военному министерству в Дармштадт, но они затянулись, и до начала войны в серию самолет запустить не успели (22732). </w:t>
      </w:r>
    </w:p>
    <w:p w14:paraId="76CD9F4F" w14:textId="77777777" w:rsidR="00B66E26" w:rsidRPr="00DE096C" w:rsidRDefault="00B66E26" w:rsidP="00D45A46">
      <w:pPr>
        <w:shd w:val="clear" w:color="auto" w:fill="FFFFFF"/>
        <w:jc w:val="both"/>
        <w:rPr>
          <w:bCs/>
          <w:color w:val="002060"/>
          <w:sz w:val="16"/>
          <w:szCs w:val="16"/>
        </w:rPr>
      </w:pPr>
    </w:p>
    <w:p w14:paraId="03C6BC93" w14:textId="2C370984" w:rsidR="00B66E26" w:rsidRPr="00DE096C" w:rsidRDefault="00B66E26" w:rsidP="00D45A46">
      <w:pPr>
        <w:jc w:val="both"/>
        <w:rPr>
          <w:bCs/>
          <w:i/>
          <w:iCs/>
          <w:color w:val="002060"/>
          <w:sz w:val="16"/>
          <w:szCs w:val="16"/>
        </w:rPr>
      </w:pPr>
      <w:r w:rsidRPr="00DE096C">
        <w:rPr>
          <w:bCs/>
          <w:i/>
          <w:iCs/>
          <w:color w:val="002060"/>
          <w:sz w:val="16"/>
          <w:szCs w:val="16"/>
        </w:rPr>
        <w:t>Авиация и воздухоплавание Англии:</w:t>
      </w:r>
    </w:p>
    <w:p w14:paraId="7A3D006E" w14:textId="77777777" w:rsidR="00B66E26" w:rsidRPr="00DE096C" w:rsidRDefault="00B66E26" w:rsidP="00D45A46">
      <w:pPr>
        <w:jc w:val="both"/>
        <w:rPr>
          <w:bCs/>
          <w:i/>
          <w:iCs/>
          <w:color w:val="002060"/>
          <w:sz w:val="16"/>
          <w:szCs w:val="16"/>
        </w:rPr>
      </w:pPr>
    </w:p>
    <w:p w14:paraId="4965A331" w14:textId="77777777" w:rsidR="00B66E26" w:rsidRPr="00DE096C" w:rsidRDefault="00B66E26" w:rsidP="00D45A46">
      <w:pPr>
        <w:shd w:val="clear" w:color="auto" w:fill="FFFFFF"/>
        <w:jc w:val="both"/>
        <w:rPr>
          <w:bCs/>
          <w:color w:val="002060"/>
          <w:sz w:val="16"/>
          <w:szCs w:val="16"/>
        </w:rPr>
      </w:pPr>
      <w:r w:rsidRPr="00DE096C">
        <w:rPr>
          <w:bCs/>
          <w:color w:val="002060"/>
          <w:sz w:val="16"/>
          <w:szCs w:val="16"/>
        </w:rPr>
        <w:t>Весной 1914 г. Сопвич Таблоид одержал победу в гонке гидропланов на кубок Шнейдера. Для этого с разрешения Военного министерства один из первых самолетов «Сервис Таблоид» был достроен с поплавковым шасси, и Пикстон прошел на нем 30 зачетных кругов со средней скоростью 139,74 км/ч — это было намного больше, чем у всех конкурентов, а максимальная скорость достигала 148 км/ч.</w:t>
      </w:r>
    </w:p>
    <w:p w14:paraId="5B3274A1" w14:textId="77777777" w:rsidR="00B66E26" w:rsidRPr="00DE096C" w:rsidRDefault="00B66E26" w:rsidP="00D45A46">
      <w:pPr>
        <w:shd w:val="clear" w:color="auto" w:fill="FFFFFF"/>
        <w:jc w:val="both"/>
        <w:rPr>
          <w:bCs/>
          <w:color w:val="002060"/>
          <w:sz w:val="16"/>
          <w:szCs w:val="16"/>
        </w:rPr>
      </w:pPr>
      <w:r w:rsidRPr="00DE096C">
        <w:rPr>
          <w:bCs/>
          <w:color w:val="002060"/>
          <w:sz w:val="16"/>
          <w:szCs w:val="16"/>
        </w:rPr>
        <w:t>На «Таблоиде» был установлен целый ряд официальных и полуофициальных спортивных достижений (22734).</w:t>
      </w:r>
    </w:p>
    <w:p w14:paraId="39B1188F" w14:textId="77777777" w:rsidR="00B66E26" w:rsidRPr="00DE096C" w:rsidRDefault="00B66E26" w:rsidP="00D45A46">
      <w:pPr>
        <w:shd w:val="clear" w:color="auto" w:fill="FFFFFF"/>
        <w:jc w:val="both"/>
        <w:rPr>
          <w:bCs/>
          <w:color w:val="002060"/>
          <w:sz w:val="16"/>
          <w:szCs w:val="16"/>
        </w:rPr>
      </w:pPr>
    </w:p>
    <w:p w14:paraId="325CC8F2" w14:textId="77777777" w:rsidR="007925B0" w:rsidRPr="00B52707" w:rsidRDefault="007925B0" w:rsidP="007925B0">
      <w:pPr>
        <w:jc w:val="both"/>
        <w:rPr>
          <w:color w:val="0070C0"/>
          <w:sz w:val="16"/>
          <w:szCs w:val="16"/>
        </w:rPr>
      </w:pPr>
      <w:r w:rsidRPr="00B52707">
        <w:rPr>
          <w:color w:val="0070C0"/>
          <w:sz w:val="16"/>
          <w:szCs w:val="16"/>
        </w:rPr>
        <w:t>Весной 1914 г. с разрешения Военного министерства один из первых самолетов «Сервис Таблоид» для участия в гонке гидропланов на кубок Шнейдера поставили на поплавковое шасси и Пикстон прошел на нем 30 зачетных кругов со средней скоростью 139,74 км/ч – намного больше, чем у всех конкурентов, а максимальная достигала 148 км/ч. Шумиха вокруг мероприятия сделала свое дело, и самолетом «Шнейдер Рейсер» в поплавковом и колесном («Таблоид») варианте заинтересовалось и Адмиралтейство, оформив свои заказы – дело пошло! (25679).</w:t>
      </w:r>
    </w:p>
    <w:p w14:paraId="2C95AE9A" w14:textId="77777777" w:rsidR="007925B0" w:rsidRPr="00B52707" w:rsidRDefault="007925B0" w:rsidP="007925B0">
      <w:pPr>
        <w:jc w:val="both"/>
        <w:rPr>
          <w:color w:val="0070C0"/>
          <w:sz w:val="16"/>
          <w:szCs w:val="16"/>
        </w:rPr>
      </w:pPr>
    </w:p>
    <w:p w14:paraId="6E403088" w14:textId="15D9A6FB" w:rsidR="007925B0" w:rsidRPr="00DE096C" w:rsidRDefault="007925B0" w:rsidP="007925B0">
      <w:pPr>
        <w:jc w:val="both"/>
        <w:rPr>
          <w:bCs/>
          <w:i/>
          <w:iCs/>
          <w:color w:val="002060"/>
          <w:sz w:val="16"/>
          <w:szCs w:val="16"/>
        </w:rPr>
      </w:pPr>
      <w:r w:rsidRPr="00DE096C">
        <w:rPr>
          <w:bCs/>
          <w:i/>
          <w:iCs/>
          <w:color w:val="002060"/>
          <w:sz w:val="16"/>
          <w:szCs w:val="16"/>
        </w:rPr>
        <w:t xml:space="preserve">Авиация и воздухоплавание </w:t>
      </w:r>
      <w:r>
        <w:rPr>
          <w:bCs/>
          <w:i/>
          <w:iCs/>
          <w:color w:val="002060"/>
          <w:sz w:val="16"/>
          <w:szCs w:val="16"/>
        </w:rPr>
        <w:t>Германии</w:t>
      </w:r>
      <w:r w:rsidRPr="00DE096C">
        <w:rPr>
          <w:bCs/>
          <w:i/>
          <w:iCs/>
          <w:color w:val="002060"/>
          <w:sz w:val="16"/>
          <w:szCs w:val="16"/>
        </w:rPr>
        <w:t>:</w:t>
      </w:r>
    </w:p>
    <w:p w14:paraId="2F92BC7B" w14:textId="77777777" w:rsidR="007925B0" w:rsidRPr="00DE096C" w:rsidRDefault="007925B0" w:rsidP="007925B0">
      <w:pPr>
        <w:jc w:val="both"/>
        <w:rPr>
          <w:bCs/>
          <w:i/>
          <w:iCs/>
          <w:color w:val="002060"/>
          <w:sz w:val="16"/>
          <w:szCs w:val="16"/>
        </w:rPr>
      </w:pPr>
    </w:p>
    <w:p w14:paraId="33D43919" w14:textId="77777777" w:rsidR="007925B0" w:rsidRPr="00B52707" w:rsidRDefault="007925B0" w:rsidP="007925B0">
      <w:pPr>
        <w:jc w:val="both"/>
        <w:rPr>
          <w:rFonts w:eastAsia="Trebuchet MS"/>
          <w:color w:val="0070C0"/>
          <w:sz w:val="16"/>
          <w:szCs w:val="16"/>
          <w:shd w:val="clear" w:color="auto" w:fill="FFFFFF"/>
        </w:rPr>
      </w:pPr>
      <w:r w:rsidRPr="00B52707">
        <w:rPr>
          <w:rFonts w:eastAsia="Trebuchet MS"/>
          <w:color w:val="0070C0"/>
          <w:sz w:val="16"/>
          <w:szCs w:val="16"/>
          <w:shd w:val="clear" w:color="auto" w:fill="FFFFFF"/>
        </w:rPr>
        <w:t>Весной 1914 г. летчик-испытатель Штоффлер облетал еще одну конструкцию Вильда фирмы «Авиатик» – «легкий кавалерийский самолет» Р.20 предназначался для быстрых рейдов на позиции противника и в его тыл. В отличие от других машин фирмы, Р.20 имел ротативный мотор Оберурсель Ur II – форсированный до ста сил лицензионный вариант французского Гнома 9В.</w:t>
      </w:r>
    </w:p>
    <w:p w14:paraId="6F9F4F6B" w14:textId="77777777" w:rsidR="007925B0" w:rsidRPr="00B52707" w:rsidRDefault="007925B0" w:rsidP="007925B0">
      <w:pPr>
        <w:jc w:val="both"/>
        <w:rPr>
          <w:rFonts w:eastAsia="Trebuchet MS"/>
          <w:color w:val="0070C0"/>
          <w:sz w:val="16"/>
          <w:szCs w:val="16"/>
          <w:shd w:val="clear" w:color="auto" w:fill="FFFFFF"/>
        </w:rPr>
      </w:pPr>
      <w:r w:rsidRPr="00B52707">
        <w:rPr>
          <w:rFonts w:eastAsia="Trebuchet MS"/>
          <w:color w:val="0070C0"/>
          <w:sz w:val="16"/>
          <w:szCs w:val="16"/>
          <w:shd w:val="clear" w:color="auto" w:fill="FFFFFF"/>
        </w:rPr>
        <w:t>В мае 1914 г. он участвовал в перелете на приз принца Генриха, но из-за разрушения бензопровода потерпел поломку на вынужденной посадке. Ремонт кончили в июне и Р.20 передали на испытания Военному министерству в Дармштадт, но они затянулись, и до начала войны в серию самолет запустить не успели (25724).</w:t>
      </w:r>
    </w:p>
    <w:p w14:paraId="4DB6A5D2" w14:textId="77777777" w:rsidR="007925B0" w:rsidRPr="00B52707" w:rsidRDefault="007925B0" w:rsidP="007925B0">
      <w:pPr>
        <w:jc w:val="both"/>
        <w:rPr>
          <w:rStyle w:val="ab"/>
          <w:rFonts w:ascii="Times New Roman" w:hAnsi="Times New Roman"/>
          <w:color w:val="0070C0"/>
          <w:spacing w:val="0"/>
          <w:sz w:val="16"/>
          <w:szCs w:val="16"/>
        </w:rPr>
      </w:pPr>
    </w:p>
    <w:p w14:paraId="6C80DAA6" w14:textId="77777777" w:rsidR="00B67D7C" w:rsidRPr="00DE096C" w:rsidRDefault="00B67D7C" w:rsidP="00D45A46">
      <w:pPr>
        <w:jc w:val="both"/>
        <w:rPr>
          <w:bCs/>
          <w:i/>
          <w:color w:val="002060"/>
          <w:sz w:val="16"/>
          <w:szCs w:val="16"/>
        </w:rPr>
      </w:pPr>
      <w:r w:rsidRPr="00DE096C">
        <w:rPr>
          <w:bCs/>
          <w:i/>
          <w:color w:val="002060"/>
          <w:sz w:val="16"/>
          <w:szCs w:val="16"/>
        </w:rPr>
        <w:t>Самолетостроение:</w:t>
      </w:r>
    </w:p>
    <w:p w14:paraId="2651064C" w14:textId="77777777" w:rsidR="00B67D7C" w:rsidRPr="00DE096C" w:rsidRDefault="00B67D7C" w:rsidP="00D45A46">
      <w:pPr>
        <w:jc w:val="both"/>
        <w:rPr>
          <w:bCs/>
          <w:i/>
          <w:color w:val="002060"/>
          <w:sz w:val="16"/>
          <w:szCs w:val="16"/>
        </w:rPr>
      </w:pPr>
    </w:p>
    <w:p w14:paraId="0D6B4BFB" w14:textId="21C4B91B" w:rsidR="00B67D7C" w:rsidRPr="00DE096C" w:rsidRDefault="00BE00AC" w:rsidP="00D45A46">
      <w:pPr>
        <w:shd w:val="clear" w:color="auto" w:fill="FFFFFF"/>
        <w:jc w:val="both"/>
        <w:rPr>
          <w:bCs/>
          <w:color w:val="002060"/>
          <w:sz w:val="16"/>
          <w:szCs w:val="16"/>
        </w:rPr>
      </w:pPr>
      <w:r w:rsidRPr="00DE096C">
        <w:rPr>
          <w:bCs/>
          <w:color w:val="002060"/>
          <w:sz w:val="16"/>
          <w:szCs w:val="16"/>
        </w:rPr>
        <w:t>В</w:t>
      </w:r>
      <w:r w:rsidR="00B67D7C" w:rsidRPr="00DE096C">
        <w:rPr>
          <w:bCs/>
          <w:color w:val="002060"/>
          <w:sz w:val="16"/>
          <w:szCs w:val="16"/>
        </w:rPr>
        <w:t xml:space="preserve"> середине весны 1914, авиационный комитет под председательством начальника Восточного района Службы связи и наблюдения капитана 2 ранга Б. Дудорова определил тактико-технические требования к двухместным и одномест</w:t>
      </w:r>
      <w:r w:rsidR="00B67D7C" w:rsidRPr="00DE096C">
        <w:rPr>
          <w:bCs/>
          <w:color w:val="002060"/>
          <w:sz w:val="16"/>
          <w:szCs w:val="16"/>
        </w:rPr>
        <w:softHyphen/>
        <w:t>ным летательным аппаратам, предназначенным для ведения дальней и ближней морской разведки. Вооруженные пулеме</w:t>
      </w:r>
      <w:r w:rsidR="00B67D7C" w:rsidRPr="00DE096C">
        <w:rPr>
          <w:bCs/>
          <w:color w:val="002060"/>
          <w:sz w:val="16"/>
          <w:szCs w:val="16"/>
        </w:rPr>
        <w:softHyphen/>
        <w:t>том гидроаэропланы должны были иметь радиус действия со</w:t>
      </w:r>
      <w:r w:rsidR="00B67D7C" w:rsidRPr="00DE096C">
        <w:rPr>
          <w:bCs/>
          <w:color w:val="002060"/>
          <w:sz w:val="16"/>
          <w:szCs w:val="16"/>
        </w:rPr>
        <w:softHyphen/>
        <w:t>ответственно не менее 400 и 250 километров. Иными словами, свободно достигать акватории германской Данцигской бухты и побережья шведского острова Готланд.</w:t>
      </w:r>
    </w:p>
    <w:p w14:paraId="684EA2C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По ходатайству командующего флотом морской министр предоставил служебную командировку в Англию старшему лей</w:t>
      </w:r>
      <w:r w:rsidRPr="00DE096C">
        <w:rPr>
          <w:bCs/>
          <w:color w:val="002060"/>
          <w:sz w:val="16"/>
          <w:szCs w:val="16"/>
        </w:rPr>
        <w:softHyphen/>
        <w:t>тенанту Б. Щербачеву и выздоровевшему инженеру П. Шиш</w:t>
      </w:r>
      <w:r w:rsidRPr="00DE096C">
        <w:rPr>
          <w:bCs/>
          <w:color w:val="002060"/>
          <w:sz w:val="16"/>
          <w:szCs w:val="16"/>
        </w:rPr>
        <w:softHyphen/>
        <w:t>кову. В конце мая - начале июня они посетили авиационные заводы фирм Шорт, Авро, Виккерс и ознакомились с продук</w:t>
      </w:r>
      <w:r w:rsidRPr="00DE096C">
        <w:rPr>
          <w:bCs/>
          <w:color w:val="002060"/>
          <w:sz w:val="16"/>
          <w:szCs w:val="16"/>
        </w:rPr>
        <w:softHyphen/>
        <w:t>цией, зная о предстоящем заказе небольшими партиями более 20 аэропланов. Наибольший интерес у посланцев вызвал гид</w:t>
      </w:r>
      <w:r w:rsidRPr="00DE096C">
        <w:rPr>
          <w:bCs/>
          <w:color w:val="002060"/>
          <w:sz w:val="16"/>
          <w:szCs w:val="16"/>
        </w:rPr>
        <w:softHyphen/>
        <w:t>роаэроплан «Авро». По указанию Морского генштаба, русский морской агент в Лондоне закажет такие аэропланы на сумму 420 тысяч рублей, но доставка их по назначению состоится не скоро.</w:t>
      </w:r>
    </w:p>
    <w:p w14:paraId="2BC7171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Начальник Папенгольмской воздушной станции Щербачев находился до осени за рубежом, а заведующий авиатехникой Службы связи и наблюдения Шишков возвратился в Петербург для выполнения порученного задания. Предстояло завершить разработку эскизного проекта и начать создание рабочих чер</w:t>
      </w:r>
      <w:r w:rsidRPr="00DE096C">
        <w:rPr>
          <w:bCs/>
          <w:color w:val="002060"/>
          <w:sz w:val="16"/>
          <w:szCs w:val="16"/>
        </w:rPr>
        <w:softHyphen/>
        <w:t>тежей задуманного им малого быстроходного крейсера-раз</w:t>
      </w:r>
      <w:r w:rsidRPr="00DE096C">
        <w:rPr>
          <w:bCs/>
          <w:color w:val="002060"/>
          <w:sz w:val="16"/>
          <w:szCs w:val="16"/>
        </w:rPr>
        <w:softHyphen/>
        <w:t>ведчика, оснащенного четырмя гидроаэропланами. Предпола</w:t>
      </w:r>
      <w:r w:rsidRPr="00DE096C">
        <w:rPr>
          <w:bCs/>
          <w:color w:val="002060"/>
          <w:sz w:val="16"/>
          <w:szCs w:val="16"/>
        </w:rPr>
        <w:softHyphen/>
        <w:t>галось, что, вынесенный стрелой за борт корабля, идущего на полном ходу, аэроплан будет взлетать с воды благодаря тяге винта и подъемной силе потока встречного ветра.</w:t>
      </w:r>
    </w:p>
    <w:p w14:paraId="0FCD97B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lastRenderedPageBreak/>
        <w:t>Ожидаемого принятия руководством Морского ведомства решения о постройке такого корабля и осуществления уже полученного согласия на переоборудование транспорта «Ар-гунь» в учебное авиасудно так и не последовало. В сложной и противоречивой обстановке на Балтийском морском театре накануне «европейской» войны у командования флотом было немало других более важных забот (11283).</w:t>
      </w:r>
    </w:p>
    <w:p w14:paraId="5D40F59B" w14:textId="77777777" w:rsidR="00B67D7C" w:rsidRPr="00DE096C" w:rsidRDefault="00B67D7C" w:rsidP="00D45A46">
      <w:pPr>
        <w:shd w:val="clear" w:color="auto" w:fill="FFFFFF"/>
        <w:jc w:val="both"/>
        <w:rPr>
          <w:bCs/>
          <w:color w:val="002060"/>
          <w:sz w:val="16"/>
          <w:szCs w:val="16"/>
        </w:rPr>
      </w:pPr>
    </w:p>
    <w:p w14:paraId="201B1DC4" w14:textId="77777777" w:rsidR="00B67D7C" w:rsidRPr="00DE096C" w:rsidRDefault="00B67D7C" w:rsidP="00D45A46">
      <w:pPr>
        <w:jc w:val="both"/>
        <w:rPr>
          <w:bCs/>
          <w:i/>
          <w:color w:val="002060"/>
          <w:sz w:val="16"/>
          <w:szCs w:val="16"/>
        </w:rPr>
      </w:pPr>
      <w:r w:rsidRPr="00DE096C">
        <w:rPr>
          <w:bCs/>
          <w:i/>
          <w:color w:val="002060"/>
          <w:sz w:val="16"/>
          <w:szCs w:val="16"/>
        </w:rPr>
        <w:t>Самолетостроение:</w:t>
      </w:r>
    </w:p>
    <w:p w14:paraId="4B51B59B" w14:textId="77777777" w:rsidR="00B67D7C" w:rsidRPr="00DE096C" w:rsidRDefault="00B67D7C" w:rsidP="00D45A46">
      <w:pPr>
        <w:jc w:val="both"/>
        <w:rPr>
          <w:bCs/>
          <w:i/>
          <w:color w:val="002060"/>
          <w:sz w:val="16"/>
          <w:szCs w:val="16"/>
        </w:rPr>
      </w:pPr>
    </w:p>
    <w:p w14:paraId="18B0C72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К лету 1914 г. на «Дуксе» построили около 100 «Нью</w:t>
      </w:r>
      <w:r w:rsidRPr="00DE096C">
        <w:rPr>
          <w:bCs/>
          <w:color w:val="002060"/>
          <w:sz w:val="16"/>
          <w:szCs w:val="16"/>
        </w:rPr>
        <w:softHyphen/>
        <w:t>поров», на фронт попало 94 аэроплана. Война потребова</w:t>
      </w:r>
      <w:r w:rsidRPr="00DE096C">
        <w:rPr>
          <w:bCs/>
          <w:color w:val="002060"/>
          <w:sz w:val="16"/>
          <w:szCs w:val="16"/>
        </w:rPr>
        <w:softHyphen/>
        <w:t>ла разработки новых типов боевых самолетов, и вскоре во Франции появились двухместные разведчики-бипланы «Ньюпор-ГХ» и «Ньюпор-Х» с мотором «Рон» в 80 л.с., в конце 1915 г. они попали в Россию. На «Дуксе» срочно освоили серийное производство. Одноместный вариант — «Ньюпор-Хбис» — строили на заводе с конца 1915 г. (9651).</w:t>
      </w:r>
    </w:p>
    <w:p w14:paraId="50D45CA9" w14:textId="77777777" w:rsidR="00B67D7C" w:rsidRPr="00DE096C" w:rsidRDefault="00B67D7C" w:rsidP="00D45A46">
      <w:pPr>
        <w:shd w:val="clear" w:color="auto" w:fill="FFFFFF"/>
        <w:jc w:val="both"/>
        <w:rPr>
          <w:bCs/>
          <w:color w:val="002060"/>
          <w:sz w:val="16"/>
          <w:szCs w:val="16"/>
        </w:rPr>
      </w:pPr>
    </w:p>
    <w:p w14:paraId="30AFFC97" w14:textId="77777777" w:rsidR="0052785E" w:rsidRPr="00DE096C" w:rsidRDefault="0052785E" w:rsidP="00D45A46">
      <w:pPr>
        <w:pStyle w:val="31"/>
        <w:shd w:val="clear" w:color="auto" w:fill="auto"/>
        <w:spacing w:line="240" w:lineRule="auto"/>
        <w:ind w:firstLine="0"/>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К лету 1914 г. «Дукс» стал крупнейшим в России авиастроительным заводом и для сво</w:t>
      </w:r>
      <w:r w:rsidRPr="00DE096C">
        <w:rPr>
          <w:rFonts w:ascii="Times New Roman" w:hAnsi="Times New Roman" w:cs="Times New Roman"/>
          <w:bCs/>
          <w:color w:val="002060"/>
          <w:sz w:val="16"/>
          <w:szCs w:val="16"/>
        </w:rPr>
        <w:softHyphen/>
        <w:t>его времени передовым предприятием с хорошо оснащёнными механическими мастер</w:t>
      </w:r>
      <w:r w:rsidRPr="00DE096C">
        <w:rPr>
          <w:rFonts w:ascii="Times New Roman" w:hAnsi="Times New Roman" w:cs="Times New Roman"/>
          <w:bCs/>
          <w:color w:val="002060"/>
          <w:sz w:val="16"/>
          <w:szCs w:val="16"/>
        </w:rPr>
        <w:softHyphen/>
        <w:t>скими и сборочными цехами, где удалось организовать и наладить крупносерийный производственный процесс. Здесь не только воспроизводили иностранные типы само</w:t>
      </w:r>
      <w:r w:rsidRPr="00DE096C">
        <w:rPr>
          <w:rFonts w:ascii="Times New Roman" w:hAnsi="Times New Roman" w:cs="Times New Roman"/>
          <w:bCs/>
          <w:color w:val="002060"/>
          <w:sz w:val="16"/>
          <w:szCs w:val="16"/>
        </w:rPr>
        <w:softHyphen/>
        <w:t>лётов, но и развивали собственные технологии. В 1911-1913 гг. сдали в казну 109 аэро</w:t>
      </w:r>
      <w:r w:rsidRPr="00DE096C">
        <w:rPr>
          <w:rFonts w:ascii="Times New Roman" w:hAnsi="Times New Roman" w:cs="Times New Roman"/>
          <w:bCs/>
          <w:color w:val="002060"/>
          <w:sz w:val="16"/>
          <w:szCs w:val="16"/>
        </w:rPr>
        <w:softHyphen/>
        <w:t>планов из 294 всех принятых. Весной 1914 г. Ю.А. Меллер сообщил начальнику ГВТУ оценочную стоимость имущества и механического оборудования: каменный корпус с при</w:t>
      </w:r>
      <w:r w:rsidRPr="00DE096C">
        <w:rPr>
          <w:rFonts w:ascii="Times New Roman" w:hAnsi="Times New Roman" w:cs="Times New Roman"/>
          <w:bCs/>
          <w:color w:val="002060"/>
          <w:sz w:val="16"/>
          <w:szCs w:val="16"/>
        </w:rPr>
        <w:softHyphen/>
        <w:t>стройками и землей — 150 тыс. руб.; новый сборочный корпус с оборудованием — 360 тыс. руб; механическое оборудование — 160 тыс. руб. В штате механического отдела чи</w:t>
      </w:r>
      <w:r w:rsidRPr="00DE096C">
        <w:rPr>
          <w:rFonts w:ascii="Times New Roman" w:hAnsi="Times New Roman" w:cs="Times New Roman"/>
          <w:bCs/>
          <w:color w:val="002060"/>
          <w:sz w:val="16"/>
          <w:szCs w:val="16"/>
        </w:rPr>
        <w:softHyphen/>
        <w:t>слились 300 рабочих, в столярной, малярной, обойной и других мастерских — 250 чел. Оборот минувшего года достиг 2 млн. руб. Ежемесячный выпуск составлял 12-15 само</w:t>
      </w:r>
      <w:r w:rsidRPr="00DE096C">
        <w:rPr>
          <w:rFonts w:ascii="Times New Roman" w:hAnsi="Times New Roman" w:cs="Times New Roman"/>
          <w:bCs/>
          <w:color w:val="002060"/>
          <w:sz w:val="16"/>
          <w:szCs w:val="16"/>
        </w:rPr>
        <w:softHyphen/>
        <w:t>летов. Завод вырабатывал самостоятельно многие детали аэропланов, «как-то: обода, спицы, втулки, тали для моторов, тендера, болты, т.е. все металлические и деревянные части, имея целый ряд специальных станков» (15761).</w:t>
      </w:r>
    </w:p>
    <w:p w14:paraId="6A79F7B5" w14:textId="77777777" w:rsidR="0052785E" w:rsidRPr="00DE096C" w:rsidRDefault="0052785E" w:rsidP="00D45A46">
      <w:pPr>
        <w:jc w:val="both"/>
        <w:rPr>
          <w:bCs/>
          <w:color w:val="002060"/>
          <w:sz w:val="16"/>
          <w:szCs w:val="16"/>
        </w:rPr>
      </w:pPr>
    </w:p>
    <w:p w14:paraId="271D5367" w14:textId="77777777" w:rsidR="00BE00AC" w:rsidRPr="00DE096C" w:rsidRDefault="00BE00AC" w:rsidP="00D45A46">
      <w:pPr>
        <w:pStyle w:val="2"/>
        <w:spacing w:before="0" w:after="0"/>
        <w:jc w:val="both"/>
        <w:rPr>
          <w:b w:val="0"/>
          <w:bCs/>
          <w:color w:val="002060"/>
          <w:sz w:val="16"/>
          <w:szCs w:val="16"/>
        </w:rPr>
      </w:pPr>
      <w:r w:rsidRPr="00DE096C">
        <w:rPr>
          <w:b w:val="0"/>
          <w:bCs/>
          <w:color w:val="002060"/>
          <w:sz w:val="16"/>
          <w:szCs w:val="16"/>
        </w:rPr>
        <w:t>К лету 1914 г. часть Нестерова собирались перевооружить на новые «Моран-Сольнье» тип G, строившиеся на «Дуксе», и один из них готовили к перелету Одесса – Петербург за день (15464).</w:t>
      </w:r>
    </w:p>
    <w:p w14:paraId="2B15683E" w14:textId="77777777" w:rsidR="00BE00AC" w:rsidRPr="00DE096C" w:rsidRDefault="00BE00AC" w:rsidP="00D45A46">
      <w:pPr>
        <w:pStyle w:val="2"/>
        <w:spacing w:before="0" w:after="0"/>
        <w:jc w:val="both"/>
        <w:rPr>
          <w:b w:val="0"/>
          <w:bCs/>
          <w:color w:val="002060"/>
          <w:sz w:val="16"/>
          <w:szCs w:val="16"/>
        </w:rPr>
      </w:pPr>
    </w:p>
    <w:p w14:paraId="7DF39C27" w14:textId="77777777" w:rsidR="00B67D7C" w:rsidRPr="00DE096C" w:rsidRDefault="00B67D7C" w:rsidP="00D45A46">
      <w:pPr>
        <w:jc w:val="both"/>
        <w:rPr>
          <w:bCs/>
          <w:i/>
          <w:color w:val="002060"/>
          <w:sz w:val="16"/>
          <w:szCs w:val="16"/>
        </w:rPr>
      </w:pPr>
      <w:r w:rsidRPr="00DE096C">
        <w:rPr>
          <w:bCs/>
          <w:i/>
          <w:color w:val="002060"/>
          <w:sz w:val="16"/>
          <w:szCs w:val="16"/>
        </w:rPr>
        <w:t>Другие оборонные отрасли:</w:t>
      </w:r>
    </w:p>
    <w:p w14:paraId="05BA7F6E" w14:textId="77777777" w:rsidR="00B67D7C" w:rsidRPr="00DE096C" w:rsidRDefault="00B67D7C" w:rsidP="00D45A46">
      <w:pPr>
        <w:jc w:val="both"/>
        <w:rPr>
          <w:bCs/>
          <w:i/>
          <w:color w:val="002060"/>
          <w:sz w:val="16"/>
          <w:szCs w:val="16"/>
        </w:rPr>
      </w:pPr>
    </w:p>
    <w:p w14:paraId="1D21D405" w14:textId="18EB577E" w:rsidR="00B67D7C" w:rsidRPr="00DE096C" w:rsidRDefault="00B67D7C" w:rsidP="00D45A46">
      <w:pPr>
        <w:jc w:val="both"/>
        <w:rPr>
          <w:bCs/>
          <w:color w:val="002060"/>
          <w:sz w:val="16"/>
          <w:szCs w:val="16"/>
        </w:rPr>
      </w:pPr>
      <w:r w:rsidRPr="00DE096C">
        <w:rPr>
          <w:bCs/>
          <w:color w:val="002060"/>
          <w:sz w:val="16"/>
          <w:szCs w:val="16"/>
        </w:rPr>
        <w:t xml:space="preserve">К лету 1914 года готовились заказать партии всех трех систем </w:t>
      </w:r>
      <w:r w:rsidR="00BE00AC" w:rsidRPr="00DE096C">
        <w:rPr>
          <w:bCs/>
          <w:color w:val="002060"/>
          <w:sz w:val="16"/>
          <w:szCs w:val="16"/>
        </w:rPr>
        <w:t>системы автоматических винтовок для войсковых испытаний: трехлинейная подъесаула Токарева, 6,5-мм полковника Федорова и трехлинейная Браунинга. Все они, отличаясь по устройству механизмов, имели автоматику на основе отдачи ствола с коротким ходом, считавшуюся в те годы наиболее надежной</w:t>
      </w:r>
      <w:r w:rsidRPr="00DE096C">
        <w:rPr>
          <w:bCs/>
          <w:color w:val="002060"/>
          <w:sz w:val="16"/>
          <w:szCs w:val="16"/>
        </w:rPr>
        <w:t>, но война сорвала все эти планы.</w:t>
      </w:r>
    </w:p>
    <w:p w14:paraId="35CF9112" w14:textId="77777777" w:rsidR="00B67D7C" w:rsidRPr="00DE096C" w:rsidRDefault="00B67D7C" w:rsidP="00D45A46">
      <w:pPr>
        <w:jc w:val="both"/>
        <w:rPr>
          <w:bCs/>
          <w:color w:val="002060"/>
          <w:sz w:val="16"/>
          <w:szCs w:val="16"/>
        </w:rPr>
      </w:pPr>
    </w:p>
    <w:p w14:paraId="1B2A08F5" w14:textId="77777777" w:rsidR="0088568E" w:rsidRPr="00B52707" w:rsidRDefault="0088568E" w:rsidP="0088568E">
      <w:pPr>
        <w:jc w:val="both"/>
        <w:rPr>
          <w:color w:val="0070C0"/>
          <w:sz w:val="16"/>
          <w:szCs w:val="16"/>
        </w:rPr>
      </w:pPr>
      <w:r w:rsidRPr="00B52707">
        <w:rPr>
          <w:rStyle w:val="ab"/>
          <w:rFonts w:ascii="Times New Roman" w:hAnsi="Times New Roman"/>
          <w:color w:val="0070C0"/>
          <w:spacing w:val="0"/>
          <w:sz w:val="16"/>
          <w:szCs w:val="16"/>
        </w:rPr>
        <w:t>К лету 1914 г. доля автомобилей не</w:t>
      </w:r>
      <w:r w:rsidRPr="00B52707">
        <w:rPr>
          <w:rStyle w:val="ab"/>
          <w:rFonts w:ascii="Times New Roman" w:hAnsi="Times New Roman"/>
          <w:color w:val="0070C0"/>
          <w:spacing w:val="0"/>
          <w:sz w:val="16"/>
          <w:szCs w:val="16"/>
        </w:rPr>
        <w:softHyphen/>
        <w:t>мецкого производства в России составляла более 80%. Далее со значительным отстава</w:t>
      </w:r>
      <w:r w:rsidRPr="00B52707">
        <w:rPr>
          <w:rStyle w:val="ab"/>
          <w:rFonts w:ascii="Times New Roman" w:hAnsi="Times New Roman"/>
          <w:color w:val="0070C0"/>
          <w:spacing w:val="0"/>
          <w:sz w:val="16"/>
          <w:szCs w:val="16"/>
        </w:rPr>
        <w:softHyphen/>
        <w:t>нием шли английские, французские, австрий</w:t>
      </w:r>
      <w:r w:rsidRPr="00B52707">
        <w:rPr>
          <w:rStyle w:val="ab"/>
          <w:rFonts w:ascii="Times New Roman" w:hAnsi="Times New Roman"/>
          <w:color w:val="0070C0"/>
          <w:spacing w:val="0"/>
          <w:sz w:val="16"/>
          <w:szCs w:val="16"/>
        </w:rPr>
        <w:softHyphen/>
        <w:t>ские, бельгийские, итальянские, швейцарские и американские машины (25109).</w:t>
      </w:r>
    </w:p>
    <w:p w14:paraId="36A65CF8" w14:textId="77777777" w:rsidR="0088568E" w:rsidRPr="00B52707" w:rsidRDefault="0088568E" w:rsidP="0088568E">
      <w:pPr>
        <w:jc w:val="both"/>
        <w:rPr>
          <w:color w:val="0070C0"/>
          <w:sz w:val="16"/>
          <w:szCs w:val="16"/>
        </w:rPr>
      </w:pPr>
    </w:p>
    <w:p w14:paraId="03821B1D" w14:textId="77777777" w:rsidR="00F55231" w:rsidRPr="00DE096C" w:rsidRDefault="00F55231" w:rsidP="00D45A46">
      <w:pPr>
        <w:jc w:val="both"/>
        <w:rPr>
          <w:bCs/>
          <w:i/>
          <w:color w:val="002060"/>
          <w:sz w:val="16"/>
          <w:szCs w:val="16"/>
        </w:rPr>
      </w:pPr>
      <w:r w:rsidRPr="00DE096C">
        <w:rPr>
          <w:bCs/>
          <w:i/>
          <w:color w:val="002060"/>
          <w:sz w:val="16"/>
          <w:szCs w:val="16"/>
        </w:rPr>
        <w:t>Авиация:</w:t>
      </w:r>
    </w:p>
    <w:p w14:paraId="3156D817" w14:textId="77777777" w:rsidR="00F55231" w:rsidRPr="00DE096C" w:rsidRDefault="00F55231" w:rsidP="00D45A46">
      <w:pPr>
        <w:jc w:val="both"/>
        <w:rPr>
          <w:bCs/>
          <w:i/>
          <w:color w:val="002060"/>
          <w:sz w:val="16"/>
          <w:szCs w:val="16"/>
        </w:rPr>
      </w:pPr>
    </w:p>
    <w:p w14:paraId="68A52A27" w14:textId="77777777" w:rsidR="00F55231" w:rsidRPr="00DE096C" w:rsidRDefault="00F55231" w:rsidP="00D45A46">
      <w:pPr>
        <w:shd w:val="clear" w:color="auto" w:fill="FFFFFF"/>
        <w:jc w:val="both"/>
        <w:rPr>
          <w:bCs/>
          <w:color w:val="002060"/>
          <w:sz w:val="16"/>
          <w:szCs w:val="16"/>
        </w:rPr>
      </w:pPr>
      <w:r w:rsidRPr="00DE096C">
        <w:rPr>
          <w:bCs/>
          <w:color w:val="002060"/>
          <w:sz w:val="16"/>
          <w:szCs w:val="16"/>
        </w:rPr>
        <w:t>К лету 1914 года в российской военной авиации насчитывалось 172 самолета (в т. ч. 48 в крепостных отрядах). К этому числу необходимо добавить еще 30 самолетов, находившихся в военных авиационных школах. Однако с началом мобилизации самолетный парк должен был пополниться машинами различных авиаклубов, и общее число самолетов в русской авиации, с учетом уже изготовленных к началу войны, составило 289 единиц. Еще 292 самолета, более современных конструкций, находились в стадии постройки на отечественных заводах (20023).</w:t>
      </w:r>
    </w:p>
    <w:p w14:paraId="234F016C" w14:textId="77777777" w:rsidR="00F55231" w:rsidRPr="00DE096C" w:rsidRDefault="00F55231" w:rsidP="00D45A46">
      <w:pPr>
        <w:shd w:val="clear" w:color="auto" w:fill="FFFFFF"/>
        <w:jc w:val="both"/>
        <w:rPr>
          <w:bCs/>
          <w:color w:val="002060"/>
          <w:sz w:val="16"/>
          <w:szCs w:val="16"/>
        </w:rPr>
      </w:pPr>
    </w:p>
    <w:p w14:paraId="39CB047B" w14:textId="77777777" w:rsidR="0052785E" w:rsidRPr="00DE096C" w:rsidRDefault="0052785E" w:rsidP="00D45A46">
      <w:pPr>
        <w:jc w:val="both"/>
        <w:rPr>
          <w:bCs/>
          <w:color w:val="002060"/>
          <w:sz w:val="16"/>
          <w:szCs w:val="16"/>
        </w:rPr>
      </w:pPr>
      <w:r w:rsidRPr="00DE096C">
        <w:rPr>
          <w:bCs/>
          <w:color w:val="002060"/>
          <w:sz w:val="16"/>
          <w:szCs w:val="16"/>
        </w:rPr>
        <w:t xml:space="preserve">К лету 1914 года, перед началом боевых действий, русская авиация имела шесть авиационных рот (39 отрядов), располагая 202 самолетами (124 - в полевых отрядах, 48 - в крепостных отрядах и 30 - в учебных). После мобилизации самолетов, принадлежащих гражданским аэроклубам, вступила в войну с самым многочисленым воздушным флотом, насчитывающим 263 самолета. Военно-морской флот располагал еще 18 самолетами и 15 летчиками (для сравнения етственно, 232, 156 и 56 самолетов). </w:t>
      </w:r>
    </w:p>
    <w:p w14:paraId="3C77B016" w14:textId="77777777" w:rsidR="0052785E" w:rsidRPr="00DE096C" w:rsidRDefault="0052785E" w:rsidP="00D45A46">
      <w:pPr>
        <w:jc w:val="both"/>
        <w:rPr>
          <w:bCs/>
          <w:color w:val="002060"/>
          <w:sz w:val="16"/>
          <w:szCs w:val="16"/>
        </w:rPr>
      </w:pPr>
      <w:r w:rsidRPr="00DE096C">
        <w:rPr>
          <w:bCs/>
          <w:color w:val="002060"/>
          <w:sz w:val="16"/>
          <w:szCs w:val="16"/>
        </w:rPr>
        <w:t>Основу самолетного парка российской военной авиации составили к осени 1914 года монопланы "Ньюпор-4" и бипланы "Фарман-16", обладавшие максимальной скоростью 90-100 км/ч, потолком 2000-2500 м и продолжительностью полета др двух часов. Ограничено применялись и самолеты других типов, в частности "Мораны" и "Депердюссены". Сравнительно немногочисленные самолеты отечественных конструкторов были представлены, в основном, машинами Русско-Балтийского вагонного завода (РБВЗ), разработанными под руководством Игоря Сикорского. Наиболее выдающщейся российской конструкцией стал четырехмоторный биплан "Илья Муромец", построенный в октябре 1913 года и на нескаолько лет опередивший аналогичные разработки за рубежом (первые тяжелые бомбардировщики появились у союзников лишь в 1916 году). Еще 28 февраля 1914 года Военный Совет утвердил представление Главного военного технического управления о заказе РБВЗ 10 "Муромцев", а 16-17 июня второй самолет этого типа - "Илья Муромец Киевский" - под управлением И.Сикорского совершил рекордный перелет Санкт-Перербург - Киев с одной промежуточной посадков в Орше. 1280 км было преодолено за 13 часов 5 минут. В ходе серийной постройки, продолжапвшейся до конца войны, самолет неоднократно модернизировался, менялись двигатели, усиливалось бомбардировочное и пулеметное свооружение. Всего было построено 79 самолетов типа "Илья Муромец" серий "Б", "Г", "Д" и "Е" (11184).</w:t>
      </w:r>
    </w:p>
    <w:p w14:paraId="56AB07D2" w14:textId="77777777" w:rsidR="0052785E" w:rsidRPr="00DE096C" w:rsidRDefault="0052785E" w:rsidP="00D45A46">
      <w:pPr>
        <w:jc w:val="both"/>
        <w:rPr>
          <w:bCs/>
          <w:color w:val="002060"/>
          <w:sz w:val="16"/>
          <w:szCs w:val="16"/>
        </w:rPr>
      </w:pPr>
    </w:p>
    <w:p w14:paraId="76FD1D6D"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Морская авиация:</w:t>
      </w:r>
    </w:p>
    <w:p w14:paraId="675EE026" w14:textId="77777777" w:rsidR="00B67D7C" w:rsidRPr="00DE096C" w:rsidRDefault="00B67D7C" w:rsidP="00D45A46">
      <w:pPr>
        <w:shd w:val="clear" w:color="auto" w:fill="FFFFFF"/>
        <w:jc w:val="both"/>
        <w:rPr>
          <w:bCs/>
          <w:i/>
          <w:color w:val="002060"/>
          <w:sz w:val="16"/>
          <w:szCs w:val="16"/>
        </w:rPr>
      </w:pPr>
    </w:p>
    <w:p w14:paraId="3DC9EDE4" w14:textId="77777777" w:rsidR="00B67D7C" w:rsidRPr="00DE096C" w:rsidRDefault="00B67D7C" w:rsidP="00D45A46">
      <w:pPr>
        <w:jc w:val="both"/>
        <w:rPr>
          <w:bCs/>
          <w:color w:val="002060"/>
          <w:sz w:val="16"/>
          <w:szCs w:val="16"/>
        </w:rPr>
      </w:pPr>
      <w:r w:rsidRPr="00DE096C">
        <w:rPr>
          <w:bCs/>
          <w:color w:val="002060"/>
          <w:sz w:val="16"/>
          <w:szCs w:val="16"/>
        </w:rPr>
        <w:t>К лету 1914 года на Балтике и Черном море имелось несколько "авиастанций", оснащенных гидросамолетами. С началом войны эти подразделения были объединены в авиаотряды. В 1916 году число гидросамолетов на Балтике достигло 40 машин, а на Черном море - 45. При этом на Черноморском флоте из десяти отрядов три были корабельными - в начале 1915 года флот получил авиатранспорты "Император Николай I" и "Император Александр I", переоборудованные из броненосцев, несколько позже подобное переоборудование прошел крейсер "Алмаз", а в 1917 году в строй вошел авиатранспорт "Румыния", созданный на базе пасажирского парохода. На Балтике имелся лишь один авиатранспорт - "Орлица", переоборудованный из парохода и введенный в строй в феврале 1915 года. Число гидросамолетов в корабельных отрядах вначале составляло четыре-пять единиц, а в 1917 году было доведено до семи-девяти летательных аппаратов (11184).</w:t>
      </w:r>
    </w:p>
    <w:p w14:paraId="06B826BD" w14:textId="77777777" w:rsidR="00B67D7C" w:rsidRPr="00DE096C" w:rsidRDefault="00B67D7C" w:rsidP="00D45A46">
      <w:pPr>
        <w:jc w:val="both"/>
        <w:rPr>
          <w:bCs/>
          <w:color w:val="002060"/>
          <w:sz w:val="16"/>
          <w:szCs w:val="16"/>
        </w:rPr>
      </w:pPr>
    </w:p>
    <w:p w14:paraId="495ECF1C" w14:textId="693C7267" w:rsidR="00F55231" w:rsidRPr="00DE096C" w:rsidRDefault="00F55231" w:rsidP="00D45A46">
      <w:pPr>
        <w:pStyle w:val="2"/>
        <w:spacing w:before="0" w:after="0"/>
        <w:jc w:val="both"/>
        <w:rPr>
          <w:b w:val="0"/>
          <w:bCs/>
          <w:i/>
          <w:iCs/>
          <w:color w:val="002060"/>
          <w:sz w:val="16"/>
          <w:szCs w:val="16"/>
        </w:rPr>
      </w:pPr>
      <w:r w:rsidRPr="00DE096C">
        <w:rPr>
          <w:b w:val="0"/>
          <w:bCs/>
          <w:i/>
          <w:iCs/>
          <w:color w:val="002060"/>
          <w:sz w:val="16"/>
          <w:szCs w:val="16"/>
        </w:rPr>
        <w:t xml:space="preserve">Авиация и воздухоплавание </w:t>
      </w:r>
      <w:r w:rsidR="00665D56" w:rsidRPr="00DE096C">
        <w:rPr>
          <w:b w:val="0"/>
          <w:bCs/>
          <w:i/>
          <w:iCs/>
          <w:color w:val="002060"/>
          <w:sz w:val="16"/>
          <w:szCs w:val="16"/>
        </w:rPr>
        <w:t>Германии:</w:t>
      </w:r>
    </w:p>
    <w:p w14:paraId="04CE364E" w14:textId="77777777" w:rsidR="00F55231" w:rsidRPr="00DE096C" w:rsidRDefault="00F55231" w:rsidP="00D45A46">
      <w:pPr>
        <w:pStyle w:val="2"/>
        <w:spacing w:before="0" w:after="0"/>
        <w:jc w:val="both"/>
        <w:rPr>
          <w:b w:val="0"/>
          <w:bCs/>
          <w:i/>
          <w:iCs/>
          <w:color w:val="002060"/>
          <w:sz w:val="16"/>
          <w:szCs w:val="16"/>
        </w:rPr>
      </w:pPr>
    </w:p>
    <w:p w14:paraId="4E047F64" w14:textId="77777777" w:rsidR="00F55231" w:rsidRPr="00DE096C" w:rsidRDefault="00F55231" w:rsidP="00D45A46">
      <w:pPr>
        <w:shd w:val="clear" w:color="auto" w:fill="FFFFFF"/>
        <w:jc w:val="both"/>
        <w:rPr>
          <w:bCs/>
          <w:color w:val="002060"/>
          <w:sz w:val="16"/>
          <w:szCs w:val="16"/>
        </w:rPr>
      </w:pPr>
      <w:r w:rsidRPr="00DE096C">
        <w:rPr>
          <w:bCs/>
          <w:color w:val="002060"/>
          <w:sz w:val="16"/>
          <w:szCs w:val="16"/>
        </w:rPr>
        <w:t>К лету 1914 г. Германия имела 232 аэроплана, которые были сведены в 33 полевых отряда и 7 крепостных, а также небольшие формирования морской авиации. Мобилизационные резервы немецкой военной авиации в 200 гражданских аэропланов были равны английским и превосходили таковые у Франции (22732).</w:t>
      </w:r>
    </w:p>
    <w:p w14:paraId="1D98054F" w14:textId="77777777" w:rsidR="00F55231" w:rsidRPr="00DE096C" w:rsidRDefault="00F55231" w:rsidP="00D45A46">
      <w:pPr>
        <w:shd w:val="clear" w:color="auto" w:fill="FFFFFF"/>
        <w:jc w:val="both"/>
        <w:rPr>
          <w:bCs/>
          <w:color w:val="002060"/>
          <w:sz w:val="16"/>
          <w:szCs w:val="16"/>
        </w:rPr>
      </w:pPr>
    </w:p>
    <w:p w14:paraId="000D38E8" w14:textId="77777777" w:rsidR="0088568E" w:rsidRPr="00B52707" w:rsidRDefault="0088568E" w:rsidP="0088568E">
      <w:pPr>
        <w:jc w:val="both"/>
        <w:rPr>
          <w:color w:val="0070C0"/>
          <w:sz w:val="16"/>
          <w:szCs w:val="16"/>
        </w:rPr>
      </w:pPr>
      <w:r w:rsidRPr="00B52707">
        <w:rPr>
          <w:color w:val="0070C0"/>
          <w:sz w:val="16"/>
          <w:szCs w:val="16"/>
        </w:rPr>
        <w:t>К лету 1914 года Германия имела 232 аэроплана, сведенных в 33 полевых отряда и семь крепостных, а также небольшие формирования морской авиации.</w:t>
      </w:r>
    </w:p>
    <w:p w14:paraId="164CC545" w14:textId="77777777" w:rsidR="0088568E" w:rsidRPr="00B52707" w:rsidRDefault="0088568E" w:rsidP="0088568E">
      <w:pPr>
        <w:jc w:val="both"/>
        <w:rPr>
          <w:color w:val="0070C0"/>
          <w:sz w:val="16"/>
          <w:szCs w:val="16"/>
        </w:rPr>
      </w:pPr>
      <w:r w:rsidRPr="00B52707">
        <w:rPr>
          <w:color w:val="0070C0"/>
          <w:sz w:val="16"/>
          <w:szCs w:val="16"/>
        </w:rPr>
        <w:t>Мобилизационные резервы немецкой военной авиации в 200 гражданских аэропланов равнялись английским, и превосходили таковые у Франции (25724).</w:t>
      </w:r>
    </w:p>
    <w:p w14:paraId="1A38A942" w14:textId="77777777" w:rsidR="0088568E" w:rsidRPr="00B52707" w:rsidRDefault="0088568E" w:rsidP="0088568E">
      <w:pPr>
        <w:jc w:val="both"/>
        <w:rPr>
          <w:color w:val="0070C0"/>
          <w:sz w:val="16"/>
          <w:szCs w:val="16"/>
        </w:rPr>
      </w:pPr>
    </w:p>
    <w:p w14:paraId="4BA7F487" w14:textId="2C72E856" w:rsidR="00665D56" w:rsidRPr="00DE096C" w:rsidRDefault="00665D56" w:rsidP="00D45A46">
      <w:pPr>
        <w:pStyle w:val="2"/>
        <w:spacing w:before="0" w:after="0"/>
        <w:jc w:val="both"/>
        <w:rPr>
          <w:b w:val="0"/>
          <w:bCs/>
          <w:i/>
          <w:iCs/>
          <w:color w:val="002060"/>
          <w:sz w:val="16"/>
          <w:szCs w:val="16"/>
        </w:rPr>
      </w:pPr>
      <w:r w:rsidRPr="00DE096C">
        <w:rPr>
          <w:b w:val="0"/>
          <w:bCs/>
          <w:i/>
          <w:iCs/>
          <w:color w:val="002060"/>
          <w:sz w:val="16"/>
          <w:szCs w:val="16"/>
        </w:rPr>
        <w:t>Авиация и воздухоплавание Англии:</w:t>
      </w:r>
    </w:p>
    <w:p w14:paraId="055CB716" w14:textId="77777777" w:rsidR="00665D56" w:rsidRPr="00DE096C" w:rsidRDefault="00665D56" w:rsidP="00D45A46">
      <w:pPr>
        <w:pStyle w:val="2"/>
        <w:spacing w:before="0" w:after="0"/>
        <w:jc w:val="both"/>
        <w:rPr>
          <w:b w:val="0"/>
          <w:bCs/>
          <w:i/>
          <w:iCs/>
          <w:color w:val="002060"/>
          <w:sz w:val="16"/>
          <w:szCs w:val="16"/>
        </w:rPr>
      </w:pPr>
    </w:p>
    <w:p w14:paraId="6C107A58" w14:textId="77777777" w:rsidR="00F55231" w:rsidRPr="00DE096C" w:rsidRDefault="00F55231" w:rsidP="00D45A46">
      <w:pPr>
        <w:pStyle w:val="book"/>
        <w:spacing w:before="0" w:beforeAutospacing="0" w:after="0" w:afterAutospacing="0"/>
        <w:jc w:val="both"/>
        <w:rPr>
          <w:bCs/>
          <w:color w:val="002060"/>
          <w:sz w:val="16"/>
          <w:szCs w:val="16"/>
        </w:rPr>
      </w:pPr>
      <w:r w:rsidRPr="00DE096C">
        <w:rPr>
          <w:bCs/>
          <w:color w:val="002060"/>
          <w:sz w:val="16"/>
          <w:szCs w:val="16"/>
        </w:rPr>
        <w:t>К лету 1914 г. вся британская авиация располагала лишь девятью десятками аэропланов, уступая России, Франции и Германии. Но в случае войны она могла мобилизовать еще 200 самолетов, находящихся в частном владении, — это было вдвое больше возможностей Франции и равнялось резервам Германии (22734).</w:t>
      </w:r>
    </w:p>
    <w:p w14:paraId="4F326938" w14:textId="77777777" w:rsidR="00F55231" w:rsidRPr="00DE096C" w:rsidRDefault="00F55231" w:rsidP="00D45A46">
      <w:pPr>
        <w:pStyle w:val="book"/>
        <w:spacing w:before="0" w:beforeAutospacing="0" w:after="0" w:afterAutospacing="0"/>
        <w:jc w:val="both"/>
        <w:rPr>
          <w:bCs/>
          <w:color w:val="002060"/>
          <w:sz w:val="16"/>
          <w:szCs w:val="16"/>
          <w:shd w:val="clear" w:color="auto" w:fill="FFFFFF"/>
        </w:rPr>
      </w:pPr>
    </w:p>
    <w:p w14:paraId="12CD3CF8" w14:textId="77777777" w:rsidR="0088568E" w:rsidRPr="00B52707" w:rsidRDefault="0088568E" w:rsidP="0088568E">
      <w:pPr>
        <w:jc w:val="both"/>
        <w:rPr>
          <w:color w:val="0070C0"/>
          <w:sz w:val="16"/>
          <w:szCs w:val="16"/>
        </w:rPr>
      </w:pPr>
      <w:r w:rsidRPr="00B52707">
        <w:rPr>
          <w:color w:val="0070C0"/>
          <w:sz w:val="16"/>
          <w:szCs w:val="16"/>
        </w:rPr>
        <w:t>К лету 1914 г. вся британская военная авиация располагала лишь девятью десятками аэропланов, уступая России, Франции и Германии. Но в случае войны она могла мобилизовать еще 200 самолетов, находящихся в частном владении – это вдвое превышало возможности Франции, и равнялось мобилизационным резервам Германии. Пока английские самолеты не отличались особым совершенством, но их создатели изо всех сил старались исправить положение (25679).</w:t>
      </w:r>
    </w:p>
    <w:p w14:paraId="66A8BEEC" w14:textId="77777777" w:rsidR="0088568E" w:rsidRPr="00B52707" w:rsidRDefault="0088568E" w:rsidP="0088568E">
      <w:pPr>
        <w:jc w:val="both"/>
        <w:rPr>
          <w:color w:val="0070C0"/>
          <w:sz w:val="16"/>
          <w:szCs w:val="16"/>
        </w:rPr>
      </w:pPr>
    </w:p>
    <w:p w14:paraId="50E88AE0" w14:textId="1C978C88" w:rsidR="00665D56" w:rsidRPr="00DE096C" w:rsidRDefault="00665D56" w:rsidP="00D45A46">
      <w:pPr>
        <w:pStyle w:val="2"/>
        <w:spacing w:before="0" w:after="0"/>
        <w:jc w:val="both"/>
        <w:rPr>
          <w:b w:val="0"/>
          <w:bCs/>
          <w:i/>
          <w:iCs/>
          <w:color w:val="002060"/>
          <w:sz w:val="16"/>
          <w:szCs w:val="16"/>
        </w:rPr>
      </w:pPr>
      <w:r w:rsidRPr="00DE096C">
        <w:rPr>
          <w:b w:val="0"/>
          <w:bCs/>
          <w:i/>
          <w:iCs/>
          <w:color w:val="002060"/>
          <w:sz w:val="16"/>
          <w:szCs w:val="16"/>
        </w:rPr>
        <w:t>Авиация и воздухоплавание Франция:</w:t>
      </w:r>
    </w:p>
    <w:p w14:paraId="0424A2F2" w14:textId="77777777" w:rsidR="00665D56" w:rsidRPr="00DE096C" w:rsidRDefault="00665D56" w:rsidP="00D45A46">
      <w:pPr>
        <w:pStyle w:val="2"/>
        <w:spacing w:before="0" w:after="0"/>
        <w:jc w:val="both"/>
        <w:rPr>
          <w:b w:val="0"/>
          <w:bCs/>
          <w:i/>
          <w:iCs/>
          <w:color w:val="002060"/>
          <w:sz w:val="16"/>
          <w:szCs w:val="16"/>
        </w:rPr>
      </w:pPr>
    </w:p>
    <w:p w14:paraId="5BFB6EDF" w14:textId="77777777" w:rsidR="00F55231" w:rsidRPr="00DE096C" w:rsidRDefault="00F55231" w:rsidP="00D45A46">
      <w:pPr>
        <w:pStyle w:val="book"/>
        <w:spacing w:before="0" w:beforeAutospacing="0" w:after="0" w:afterAutospacing="0"/>
        <w:jc w:val="both"/>
        <w:rPr>
          <w:bCs/>
          <w:color w:val="002060"/>
          <w:sz w:val="16"/>
          <w:szCs w:val="16"/>
          <w:shd w:val="clear" w:color="auto" w:fill="FFFFFF"/>
        </w:rPr>
      </w:pPr>
      <w:r w:rsidRPr="00DE096C">
        <w:rPr>
          <w:bCs/>
          <w:color w:val="002060"/>
          <w:sz w:val="16"/>
          <w:szCs w:val="16"/>
        </w:rPr>
        <w:t xml:space="preserve">К лету 1914 г. сухопутная военная авиация Франции имела 25 строевых эскадрилий, в которых числилось 148 самолетов. Современными были легкие одномоторные монопланы Моран типов G, H и L, бипланы Кодрон G.III и несколько более крупные Фарман M.F. XI, H.F.XV, XVI, ХХ, XXI и XXII, а также Вуазен III (Тип LА). Однако оставалось и немало откровенного старья — монопланы Блерио типов XIbis, XI 2-bis и XII (последний чаще называли «делателем вдов» за чрезвычайную аварийность), Ньюпор типов IV и VI, а также R.E.P Робера Эсно Пельтри уже не могли иметь боевой ценности. Структура и штаты ВВС все еще оставались в стадии </w:t>
      </w:r>
      <w:r w:rsidRPr="00DE096C">
        <w:rPr>
          <w:bCs/>
          <w:color w:val="002060"/>
          <w:sz w:val="16"/>
          <w:szCs w:val="16"/>
        </w:rPr>
        <w:lastRenderedPageBreak/>
        <w:t>реформ. К лету было узаконено положение, требующее иметь по шесть самолетов в армейской эскадрилье и по четыре — в эскадрилье при кавалерийском корпусе, однако где-то их было больше, а чаще — меньше, чем надо, а общий недокомлект составлял почти 9% от требуемой численности аэропланов. Хотя «кавалерийских» эскадрилий было всего три и для них надо было лишь 12 самолетов, однородного состава не удалось собрать и их пришлось вооружить смесью «Блерио» и «Кодронов» — аппаратов с самыми низкими летными данными (22737).</w:t>
      </w:r>
    </w:p>
    <w:p w14:paraId="57D93F92" w14:textId="77777777" w:rsidR="00F55231" w:rsidRPr="00DE096C" w:rsidRDefault="00F55231" w:rsidP="00D45A46">
      <w:pPr>
        <w:pStyle w:val="book"/>
        <w:spacing w:before="0" w:beforeAutospacing="0" w:after="0" w:afterAutospacing="0"/>
        <w:jc w:val="both"/>
        <w:rPr>
          <w:bCs/>
          <w:color w:val="002060"/>
          <w:sz w:val="16"/>
          <w:szCs w:val="16"/>
          <w:shd w:val="clear" w:color="auto" w:fill="FFFFFF"/>
        </w:rPr>
      </w:pPr>
    </w:p>
    <w:p w14:paraId="1A90DB50" w14:textId="77777777" w:rsidR="0088568E" w:rsidRPr="00B52707" w:rsidRDefault="0088568E" w:rsidP="0088568E">
      <w:pPr>
        <w:jc w:val="both"/>
        <w:rPr>
          <w:color w:val="0070C0"/>
          <w:sz w:val="16"/>
          <w:szCs w:val="16"/>
        </w:rPr>
      </w:pPr>
      <w:r w:rsidRPr="00B52707">
        <w:rPr>
          <w:color w:val="0070C0"/>
          <w:sz w:val="16"/>
          <w:szCs w:val="16"/>
        </w:rPr>
        <w:t>К лету 1914 г. сухопутная военная авиация Франции имела 25 строевых эскадрилий, в которой числилось 148 самолетов. Современными являлись легкие одномоторные монопланы Моран типов G, H и L, и бипланы Кодрон G.III и несколько более крупные Фарман M.F.XI, H.F.XV, XVI, ХХ, XXIи XXII, а также Вуазен III (Тип LА). Однако оставалось и немало откровенного старья – монопланы Блерио типов XIbis, XI2-bis и XII (последний чаще называли «делателем вдов» за чрезвычайную аварийность), Ньюпор типов IVи VI, а также R.E.P. Робера Эсно Пельтри уже не могли иметь боевой ценности и успели обветшать физически. Возник дефицит моторов и шин колес.</w:t>
      </w:r>
    </w:p>
    <w:p w14:paraId="423A3F3D" w14:textId="77777777" w:rsidR="0088568E" w:rsidRPr="00B52707" w:rsidRDefault="0088568E" w:rsidP="0088568E">
      <w:pPr>
        <w:jc w:val="both"/>
        <w:rPr>
          <w:color w:val="0070C0"/>
          <w:sz w:val="16"/>
          <w:szCs w:val="16"/>
        </w:rPr>
      </w:pPr>
      <w:r w:rsidRPr="00B52707">
        <w:rPr>
          <w:color w:val="0070C0"/>
          <w:sz w:val="16"/>
          <w:szCs w:val="16"/>
        </w:rPr>
        <w:t>Структура и штаты ВВС все еще оставались в стадии реформ, которые опять же тормозили бюрократы, но не только – даже самые прогрессивные военные и чиновники не могли четко указать правильный их путь по простой причине отсутствия опыта в новом деле. К лету удалось узаконить положение, требующее иметь по шесть самолетов в армейской эскадрилье, и по четыре в эскадрилье при кавалерийском корпусе, однако где-то их дали больше, а чаще меньше чем надо, а общий недокомлект составлял почти 9% от требуемой численности аэропланов. Хотя «кавалерийских» эскадрилий имелось всего три и для них надо требовалось лишь 12 самолетов, однородного состава не удалось собрать и как раз их пришлось вооружить смесью «Блерио» и «Кодронов» – аппаратов с самыми низкими летными данными. А между тем учения показали, что как раз кавалерия как самая мобильная сила армии, острее других нуждается в оперативной связи в и разведке. Пилот самолета мог вести ее быстрее и глубже, и видеть больше, чем целый эскадрон конников (25650).</w:t>
      </w:r>
    </w:p>
    <w:p w14:paraId="4F98E352" w14:textId="77777777" w:rsidR="0088568E" w:rsidRPr="00B52707" w:rsidRDefault="0088568E" w:rsidP="0088568E">
      <w:pPr>
        <w:jc w:val="both"/>
        <w:rPr>
          <w:color w:val="0070C0"/>
          <w:sz w:val="16"/>
          <w:szCs w:val="16"/>
        </w:rPr>
      </w:pPr>
    </w:p>
    <w:p w14:paraId="27A495DA" w14:textId="77777777" w:rsidR="00C921A6" w:rsidRPr="00DE096C" w:rsidRDefault="00C921A6" w:rsidP="00D45A46">
      <w:pPr>
        <w:shd w:val="clear" w:color="auto" w:fill="FFFFFF"/>
        <w:jc w:val="both"/>
        <w:rPr>
          <w:bCs/>
          <w:i/>
          <w:color w:val="002060"/>
          <w:sz w:val="16"/>
          <w:szCs w:val="16"/>
        </w:rPr>
      </w:pPr>
      <w:r w:rsidRPr="00DE096C">
        <w:rPr>
          <w:bCs/>
          <w:i/>
          <w:color w:val="002060"/>
          <w:sz w:val="16"/>
          <w:szCs w:val="16"/>
        </w:rPr>
        <w:t>Самолетостроение:</w:t>
      </w:r>
    </w:p>
    <w:p w14:paraId="70158909" w14:textId="77777777" w:rsidR="00C921A6" w:rsidRPr="00DE096C" w:rsidRDefault="00C921A6" w:rsidP="00D45A46">
      <w:pPr>
        <w:shd w:val="clear" w:color="auto" w:fill="FFFFFF"/>
        <w:jc w:val="both"/>
        <w:rPr>
          <w:bCs/>
          <w:i/>
          <w:color w:val="002060"/>
          <w:sz w:val="16"/>
          <w:szCs w:val="16"/>
        </w:rPr>
      </w:pPr>
    </w:p>
    <w:p w14:paraId="2E01858C" w14:textId="77777777" w:rsidR="00C921A6" w:rsidRPr="00DE096C" w:rsidRDefault="00C921A6" w:rsidP="00D45A46">
      <w:pPr>
        <w:jc w:val="both"/>
        <w:rPr>
          <w:bCs/>
          <w:color w:val="002060"/>
          <w:sz w:val="16"/>
          <w:szCs w:val="16"/>
        </w:rPr>
      </w:pPr>
      <w:r w:rsidRPr="00DE096C">
        <w:rPr>
          <w:bCs/>
          <w:color w:val="002060"/>
          <w:sz w:val="16"/>
          <w:szCs w:val="16"/>
        </w:rPr>
        <w:t>К началу июня 1914 г. из заказа военного ведомства был готов первый аппарат и получил наименование XV. Отличием армейских "Муромцев", а они так и обозначались по документам "ИМ-А", было использование более дешевых и менее мощных "Аргусов" мощностью 140 л.с. Военное ведомство, в отличие от морского, считало поначалу главным предназначением аппарата ведение разведки. Военное ведомство в июле 1914 года утвердило штат "Команды для аэроплана типа Илья Муромец, состоявшей из 4 офицеров, 1 военного чиновника и 40 нижних чинов. На аппарат предполагалось мощное вооружение: 37 мм пушка Гочкиса, 2 пулемета "Максим", 2 ружья-пулемета "Мадсен" и 2 пистолетов "Маузер"(от установки пушки отказались быстро). Один корабль приравнивался к полевому отряду и придавался штабам армий и фронтов. Командиром 2-го воздушного корабля был назначен штабс-капитан Е.В.Руднев, 15-го поручик А.В.Панкратьев (12284).</w:t>
      </w:r>
    </w:p>
    <w:p w14:paraId="0B6D27CD" w14:textId="77777777" w:rsidR="00C921A6" w:rsidRPr="00DE096C" w:rsidRDefault="00C921A6" w:rsidP="00D45A46">
      <w:pPr>
        <w:jc w:val="both"/>
        <w:rPr>
          <w:bCs/>
          <w:color w:val="002060"/>
          <w:sz w:val="16"/>
          <w:szCs w:val="16"/>
        </w:rPr>
      </w:pPr>
    </w:p>
    <w:p w14:paraId="275316C5" w14:textId="77777777" w:rsidR="00BE00AC" w:rsidRPr="00DE096C" w:rsidRDefault="00BE00AC" w:rsidP="00D45A46">
      <w:pPr>
        <w:jc w:val="both"/>
        <w:rPr>
          <w:bCs/>
          <w:i/>
          <w:color w:val="002060"/>
          <w:sz w:val="16"/>
          <w:szCs w:val="16"/>
        </w:rPr>
      </w:pPr>
      <w:r w:rsidRPr="00DE096C">
        <w:rPr>
          <w:bCs/>
          <w:i/>
          <w:color w:val="002060"/>
          <w:sz w:val="16"/>
          <w:szCs w:val="16"/>
        </w:rPr>
        <w:t>Авиация:</w:t>
      </w:r>
    </w:p>
    <w:p w14:paraId="399D5876" w14:textId="77777777" w:rsidR="00BE00AC" w:rsidRPr="00DE096C" w:rsidRDefault="00BE00AC" w:rsidP="00D45A46">
      <w:pPr>
        <w:jc w:val="both"/>
        <w:rPr>
          <w:bCs/>
          <w:i/>
          <w:color w:val="002060"/>
          <w:sz w:val="16"/>
          <w:szCs w:val="16"/>
        </w:rPr>
      </w:pPr>
    </w:p>
    <w:p w14:paraId="6457847D" w14:textId="77777777" w:rsidR="00BE00AC" w:rsidRPr="00DE096C" w:rsidRDefault="00BE00AC" w:rsidP="00D45A46">
      <w:pPr>
        <w:shd w:val="clear" w:color="auto" w:fill="FFFFFF"/>
        <w:jc w:val="both"/>
        <w:rPr>
          <w:bCs/>
          <w:color w:val="002060"/>
          <w:sz w:val="16"/>
          <w:szCs w:val="16"/>
        </w:rPr>
      </w:pPr>
      <w:r w:rsidRPr="00DE096C">
        <w:rPr>
          <w:bCs/>
          <w:color w:val="002060"/>
          <w:sz w:val="16"/>
          <w:szCs w:val="16"/>
        </w:rPr>
        <w:t>К июню 1914 г. Россия имела 263 военных аэроплана. Из них 147 штук находилось в составе одного гвардейского и 27 корпусных авиаотрядов, еще 48 самолетов было в восьми крепостных авиаотрядах и 18 — в трех сибирских отрядах, дислоцированных в глубоком тылу. Кроме того, 15 самолетов было в морской авиации и 35 — в военных летных школах. Такая структура определяла тактику действий авиации, которая пока имела в своем боевом уставе только две основные задачи — она должна была вести воздушную разведку и наблюдение за противником, а также выполнять функции курьерской связи. Корпусные отряды действовали в интересах полевых войск, крепостные находились в оперативном подчинении начальников укрепленных оборонительных районов, а сибирские оставались стратегическим резервом (22740).</w:t>
      </w:r>
    </w:p>
    <w:p w14:paraId="0C829ADC" w14:textId="77777777" w:rsidR="00BE00AC" w:rsidRPr="00DE096C" w:rsidRDefault="00BE00AC" w:rsidP="00D45A46">
      <w:pPr>
        <w:shd w:val="clear" w:color="auto" w:fill="FFFFFF"/>
        <w:jc w:val="both"/>
        <w:rPr>
          <w:bCs/>
          <w:color w:val="002060"/>
          <w:sz w:val="16"/>
          <w:szCs w:val="16"/>
        </w:rPr>
      </w:pPr>
    </w:p>
    <w:p w14:paraId="1831B69E" w14:textId="77777777" w:rsidR="00766E12" w:rsidRPr="00DE096C" w:rsidRDefault="00766E12" w:rsidP="00D45A46">
      <w:pPr>
        <w:shd w:val="clear" w:color="auto" w:fill="FFFFFF"/>
        <w:jc w:val="both"/>
        <w:rPr>
          <w:bCs/>
          <w:i/>
          <w:color w:val="002060"/>
          <w:sz w:val="16"/>
          <w:szCs w:val="16"/>
        </w:rPr>
      </w:pPr>
      <w:r w:rsidRPr="00DE096C">
        <w:rPr>
          <w:bCs/>
          <w:i/>
          <w:color w:val="002060"/>
          <w:sz w:val="16"/>
          <w:szCs w:val="16"/>
        </w:rPr>
        <w:t>Другие оборонные отрасли:</w:t>
      </w:r>
    </w:p>
    <w:p w14:paraId="463795A7" w14:textId="77777777" w:rsidR="00766E12" w:rsidRPr="00DE096C" w:rsidRDefault="00766E12" w:rsidP="00D45A46">
      <w:pPr>
        <w:shd w:val="clear" w:color="auto" w:fill="FFFFFF"/>
        <w:jc w:val="both"/>
        <w:rPr>
          <w:bCs/>
          <w:i/>
          <w:color w:val="002060"/>
          <w:sz w:val="16"/>
          <w:szCs w:val="16"/>
        </w:rPr>
      </w:pPr>
    </w:p>
    <w:p w14:paraId="5D7501BB" w14:textId="77777777" w:rsidR="00766E12" w:rsidRPr="00DE096C" w:rsidRDefault="00766E12" w:rsidP="00D45A46">
      <w:pPr>
        <w:jc w:val="both"/>
        <w:rPr>
          <w:bCs/>
          <w:color w:val="002060"/>
          <w:sz w:val="16"/>
          <w:szCs w:val="16"/>
        </w:rPr>
      </w:pPr>
      <w:r w:rsidRPr="00DE096C">
        <w:rPr>
          <w:bCs/>
          <w:color w:val="002060"/>
          <w:sz w:val="16"/>
          <w:szCs w:val="16"/>
        </w:rPr>
        <w:t xml:space="preserve">К началу лета 1914 года материальная часть русской морской артиллерии: </w:t>
      </w:r>
    </w:p>
    <w:p w14:paraId="6CD04982" w14:textId="77777777" w:rsidR="00766E12" w:rsidRPr="00DE096C" w:rsidRDefault="00766E12" w:rsidP="00D45A46">
      <w:pPr>
        <w:jc w:val="both"/>
        <w:rPr>
          <w:bCs/>
          <w:color w:val="002060"/>
          <w:sz w:val="16"/>
          <w:szCs w:val="16"/>
        </w:rPr>
      </w:pPr>
      <w:r w:rsidRPr="00DE096C">
        <w:rPr>
          <w:bCs/>
          <w:color w:val="002060"/>
          <w:sz w:val="16"/>
          <w:szCs w:val="16"/>
        </w:rPr>
        <w:t xml:space="preserve">356 мм/50 орудие образца 1913 года </w:t>
      </w:r>
    </w:p>
    <w:p w14:paraId="0DA0F39F" w14:textId="77777777" w:rsidR="00766E12" w:rsidRPr="00DE096C" w:rsidRDefault="00766E12" w:rsidP="00D45A46">
      <w:pPr>
        <w:jc w:val="both"/>
        <w:rPr>
          <w:bCs/>
          <w:color w:val="002060"/>
          <w:sz w:val="16"/>
          <w:szCs w:val="16"/>
        </w:rPr>
      </w:pPr>
      <w:r w:rsidRPr="00DE096C">
        <w:rPr>
          <w:bCs/>
          <w:color w:val="002060"/>
          <w:sz w:val="16"/>
          <w:szCs w:val="16"/>
        </w:rPr>
        <w:t xml:space="preserve">356мм/50 орудия предназначались для вооружения линейных кораблей типа "Измаил". Морское ведомство первоначально заказало 4 ствола для морского полигона в начале 1910 года. Два орудия были изготовлено на Обуховском заводе и 2 на фирме Круппа. Полигонные станки были изготовлены на Металлическом заводе. Огневые испытания первого орудия были начаты в Германии на опытном полигоне Круппа в ноябре 1911 года. Испытания на морском полигоне были начаты в январе 1912 года. По результатам проведения испытаний проект был доработан и 21 мая 1912 года был заключен контракт с Путиловским заводом на поставку 84 356мм/50 орудий. Из них 48 собирались поставить на линкоры, 6 для батареи на острове Русском, сооружение которой велось с лета 1911 года и 30 запасных орудий. Фирма Круппа получила заказ на 24 ствола, 60 стволов должен был изготовить Путиловский завод. Позднее, ввиду проблем с освоением производства стволов Круппу передали изготовление еще 12 стволов. Фирма Круппа отстреляла на полигоне первый серийный ствол весной 1913 года. Первый Путиловский ствол был закончен изготовлением в сентябре 1913 года. Заказы на башенные установки были распределены следующим образом. Заказ на три береговые башни получил Металлический завод в середине 1911 года. Заказ на башни линейных кораблей получили соответственно Путиловский(4), Металлический(8) и Обуховский(4) заводы. Береговые башни были собраны на ямах в начале 1913 года. Доработка проводилась в течении полугода, после чего башни были разобраны и отправлены во Владивосток. Башня N1 была изготовлена к стрельбе и испытана в мае 1914 года, башня N2 в августе 1914 года, башня N3 была закончена только летом 1915 года. Первая корабельная башня была закончена в декабре 1913 года на Металлическом заводе. Корабли вступали в строй с конца 1915 года. Устройство 356 мм/50 башен близко к устройству 305 мм/52 башен. Интересным новшеством стало то, что основные э/д башни должны были работать на переменном трехфазном токе, а не на постоянном. Длина ствола составляла 50 клб, число нарезов 84, крутизна их хода 30 клб, глубина нарезов 2.67 мм. Вес затвора 1.5 тонны. Вес ствола с затвором 81-82 тонны. Трехорудийная башенная установка: угол вертикального наведения -5R...+35R. Скорость вертикального наведения 3 град/с, скорость горизонтального наведения 3 град/с. Длина отката около 1,500 мм. Диаметр шарового погона 10,190 мм. Броня: лоб и задняя часть - 305 мм, крыша и бока - 203 мм, качающийся щит - 50 мм. Вес качающейся части одного орудия 127.7 тонны, вращающейся части башни - 1,200 тонн, вес всей башни 1,390 тонн. Скорострельность 1.5-2.5 выстр/мин. Боекомплект 85 выстрелов на ствол, из которых 50 для быстрой стрельбы и 35 - с перегрузкой. Башню обслуживало 18 двигателей переменного тока общей мощностью 510 л.с. К орудиям были приняты снаряды весом 747.8 кг: бронебойный обр.1913 года длиной 3.9 клб, взрывчатое вещество - 20 кг; фугасный и полубронебойный снаряды обр.1913 года длиной 4.5-4.75 клб, взрывчатое вещество - от 66 до 82 кг. Начальная скорость для снарядов была принята 800 м/с. Вес заряда 178-203 кг пороха. Приказом морского министра для 14" орудий определен боекомплект в 320 выстрелов на ствол. </w:t>
      </w:r>
    </w:p>
    <w:p w14:paraId="72AEC3BF" w14:textId="77777777" w:rsidR="00766E12" w:rsidRPr="00DE096C" w:rsidRDefault="00766E12" w:rsidP="00D45A46">
      <w:pPr>
        <w:jc w:val="both"/>
        <w:rPr>
          <w:bCs/>
          <w:color w:val="002060"/>
          <w:sz w:val="16"/>
          <w:szCs w:val="16"/>
        </w:rPr>
      </w:pPr>
      <w:r w:rsidRPr="00DE096C">
        <w:rPr>
          <w:bCs/>
          <w:color w:val="002060"/>
          <w:sz w:val="16"/>
          <w:szCs w:val="16"/>
        </w:rPr>
        <w:t xml:space="preserve">305 мм/52 орудие образца 1907 года </w:t>
      </w:r>
    </w:p>
    <w:p w14:paraId="35985DF0" w14:textId="77777777" w:rsidR="00766E12" w:rsidRPr="00DE096C" w:rsidRDefault="00766E12" w:rsidP="00D45A46">
      <w:pPr>
        <w:jc w:val="both"/>
        <w:rPr>
          <w:bCs/>
          <w:color w:val="002060"/>
          <w:sz w:val="16"/>
          <w:szCs w:val="16"/>
        </w:rPr>
      </w:pPr>
      <w:r w:rsidRPr="00DE096C">
        <w:rPr>
          <w:bCs/>
          <w:color w:val="002060"/>
          <w:sz w:val="16"/>
          <w:szCs w:val="16"/>
        </w:rPr>
        <w:t xml:space="preserve">В 1907 года на Обуховском сталелитейном заводе (ОСЗ) началось проектирование 305мм/50 пушки. Однако из-за низкого качества примененной стали ее ствол удлинили на 2 клб - чтобы снизить давление пороховых газов при сохранении баллистических характеристик. В середине 1907 года ОСЗ было заказано 34 305мм/52 пушки (32 для дредноутов типа "Петропавловск" и 2 на полигон). Ствол орудия состоял из внутренней трубы, скрепленной тремя рядами цилиндров (по два в ряду). Поверх цилиндров надевался кожух с кольцевыми выступами для соединения с салазками станка. Сзади в кожух ввинчивался казенник, в котором помещался поршневой затвор. Длина ствола 15,850/52 мм/клб, длина нарезной части 12,852 мм, длина каморы до дна снаряда 2,443.5 мм. Длина хода нарезов постоянная - 29.89 клб. Число нарезов 72. Глубина нарезов 2.28 мм. Вес затвора 933.6 кг. Вес ствола с затвором 50.6 тонны. Всего до 1 марта 1914 года Морское ведомство заказало для береговой обороны и кораблей ОСЗ 207 пушек, из 45 предназначались для береговой обороны. При заказе запасных стволов исходили из 1 запасного ствола на 4 орудия. 305мм/52 пушки установили на линкорах класса "Петропавловск", "Цусима", "Императрица Мария", "Император Николай II", крейсерах класса "Дмитрий Донской", на башенных береговых установках и на открытых береговых установках. К 305мм/52 пушкам были приняты снаряды обр.1907 года весом 446 кг. Бронебойный снаряд длиной 3.9 клб содержал 12.5 кг взрывчатого вещества, взрыватель КТМБ или КТМФ. Полубронебойный снаряд длиной 4.9 клб содержал 44.7 кг взрывчатого вещества, взрыватель КТМБ или КТМФ. Фугасный снаряд длиной 4.9 клб содержал 55.1 кг взрывчатого вещества, взрыватель МРД. В 1915 году в боекомплект ввели пулевую шрапнель весом 331.7 кг и длиной 3.1 клб с трубкой ТМ-10. В 1915 году в боекомплект 305мм/52 пушек поступают химические снаряды. Удушающим отравляющим веществом снаряжались практические снаряды. К 1 января 1916 года на флоты было отправлено 589 удушающих снарядов, переделанных из практических снарядов. На каждый ствол полагалось по 400 выстрелов. </w:t>
      </w:r>
    </w:p>
    <w:p w14:paraId="31589B3A" w14:textId="77777777" w:rsidR="00766E12" w:rsidRPr="00DE096C" w:rsidRDefault="00766E12" w:rsidP="00D45A46">
      <w:pPr>
        <w:jc w:val="both"/>
        <w:rPr>
          <w:bCs/>
          <w:color w:val="002060"/>
          <w:sz w:val="16"/>
          <w:szCs w:val="16"/>
        </w:rPr>
      </w:pPr>
      <w:r w:rsidRPr="00DE096C">
        <w:rPr>
          <w:bCs/>
          <w:color w:val="002060"/>
          <w:sz w:val="16"/>
          <w:szCs w:val="16"/>
        </w:rPr>
        <w:t xml:space="preserve">Для снарядов обр.1907 года был принят заряд весом 132 кг марки 305/52, V0 = 800 м/с, дальность стрельбы 23,230 метров при угле +25R и 26,500 метров при угле +35R. </w:t>
      </w:r>
    </w:p>
    <w:p w14:paraId="2F47CE26" w14:textId="77777777" w:rsidR="00766E12" w:rsidRPr="00DE096C" w:rsidRDefault="00766E12" w:rsidP="00D45A46">
      <w:pPr>
        <w:jc w:val="both"/>
        <w:rPr>
          <w:bCs/>
          <w:color w:val="002060"/>
          <w:sz w:val="16"/>
          <w:szCs w:val="16"/>
        </w:rPr>
      </w:pPr>
      <w:r w:rsidRPr="00DE096C">
        <w:rPr>
          <w:bCs/>
          <w:color w:val="002060"/>
          <w:sz w:val="16"/>
          <w:szCs w:val="16"/>
        </w:rPr>
        <w:t xml:space="preserve">Вначале были спроектированы двухорудийные башенные установки для линкоров типа "Петропавловск". Впоследствии в 1910 году проект был незначительно доработан, и было заказано еще 4 башенных установки для обороны Владивостока. Проектирование 305мм/52 трехорудийных башенных установок для линкоров типа "Цусима"/"Императрица Мария" начали в августе 1907 года. Для крейсеров типа "Дмитрий Донской" был принят немного модифицированный проект трехорудийной башенной установки отличающейся от линкоровских, прежде всего ослабленным бронированием. В общей сложности к 1 мая 1914 года Путиловским, Металлическим, Обуховским и Николаевским заводами было изготовлено окончания работ 14 двухорудийных башен и 32 трехорудийных башен. Станки установок имели гидравлические тормоза отката веретенного типа и гидропневматические накатники. Длина отката нормальная 1,270 мм. Наведение орудий производилось от </w:t>
      </w:r>
      <w:r w:rsidRPr="00DE096C">
        <w:rPr>
          <w:bCs/>
          <w:color w:val="002060"/>
          <w:sz w:val="16"/>
          <w:szCs w:val="16"/>
        </w:rPr>
        <w:lastRenderedPageBreak/>
        <w:t xml:space="preserve">э/д с помощью муфты Дженни. Впервые в этих установках в горизонтальном положении вместо катков использовались шары диаметром 152 мм. Угол вертикального составлял -5R...+35R, скорость вертикального наведения 3 град/с, скорость горизонтального наведения 3 град/с. </w:t>
      </w:r>
    </w:p>
    <w:p w14:paraId="70BC459E" w14:textId="77777777" w:rsidR="00766E12" w:rsidRPr="00DE096C" w:rsidRDefault="00766E12" w:rsidP="00D45A46">
      <w:pPr>
        <w:jc w:val="both"/>
        <w:rPr>
          <w:bCs/>
          <w:color w:val="002060"/>
          <w:sz w:val="16"/>
          <w:szCs w:val="16"/>
        </w:rPr>
      </w:pPr>
      <w:r w:rsidRPr="00DE096C">
        <w:rPr>
          <w:bCs/>
          <w:color w:val="002060"/>
          <w:sz w:val="16"/>
          <w:szCs w:val="16"/>
        </w:rPr>
        <w:t xml:space="preserve">305 мм/40 орудие образца 1895 года </w:t>
      </w:r>
    </w:p>
    <w:p w14:paraId="01C7B8FC" w14:textId="77777777" w:rsidR="00766E12" w:rsidRPr="00DE096C" w:rsidRDefault="00766E12" w:rsidP="00D45A46">
      <w:pPr>
        <w:jc w:val="both"/>
        <w:rPr>
          <w:bCs/>
          <w:color w:val="002060"/>
          <w:sz w:val="16"/>
          <w:szCs w:val="16"/>
        </w:rPr>
      </w:pPr>
      <w:r w:rsidRPr="00DE096C">
        <w:rPr>
          <w:bCs/>
          <w:color w:val="002060"/>
          <w:sz w:val="16"/>
          <w:szCs w:val="16"/>
        </w:rPr>
        <w:t xml:space="preserve">Проектирование 305 мм/40 орудия было начато Обуховским сталелитейным заводом (ОСЗ) согласно журналу МТК от 18 октября 1891 года. В марте 1895-го проведены испытания стрельбой первого 305 мм/40 орудия, изготовленного ОСЗ. 305мм/40 орудие стало первым орудием нового поколения. Это было первое 305 мм орудие, проектировавшееся под заряды бездымного пороха. Оно не имело цапф и было первым с поршневым затвором. </w:t>
      </w:r>
    </w:p>
    <w:p w14:paraId="66105551" w14:textId="77777777" w:rsidR="00766E12" w:rsidRPr="00DE096C" w:rsidRDefault="00766E12" w:rsidP="00D45A46">
      <w:pPr>
        <w:jc w:val="both"/>
        <w:rPr>
          <w:bCs/>
          <w:color w:val="002060"/>
          <w:sz w:val="16"/>
          <w:szCs w:val="16"/>
        </w:rPr>
      </w:pPr>
      <w:r w:rsidRPr="00DE096C">
        <w:rPr>
          <w:bCs/>
          <w:color w:val="002060"/>
          <w:sz w:val="16"/>
          <w:szCs w:val="16"/>
        </w:rPr>
        <w:t xml:space="preserve">Скрепление орудия состояло из трех рядов цилиндров и колец. На скрепленный ствол надевался кожух, в который ввинчивался казенник с резьбой для поршневого затвора. Длина ствола 12,192/40 мм/клб, нарезной части - 9,611 мм, каморы - 1,965.9 мм. Число нарезов 68. Глубина нарезов 1.78 мм. Крутизна нарезов смешанной системы: в начале на длине 0.5 клб нарезы постоянной крутизны, затем - прогрессивной крутизны и в конце на длине 4 клб - постоянной крутизны. Вес затвора около 800 кг. Вес орудия с затвором по проекту (на август 1892 г.) - 42,834 кг, в 1914-1917 гг. изготавливали орудия весом 44,250 кг. Сдача орудий велась ОСЗ с 1895 года по 1911 годы, при том в последние годы завод изготавливал запасные орудия и производил ремонт расстрелянных орудий. С началом великой войны ОСЗ был выданы новый заказ на производство 16 резервных стволов. 305 мм/40 орудия установили на броненосцах "Три святителя" (4), "Сисой Великий" (4), класса "Полтава" (12), "Ретвизан" (4), "Цесаревич" (4), класса "Бородино" (20), "Потемкин" (4), класса "Евстафий"(8), класса "Андрей Первозванный" (8) - всего 68 орудий. </w:t>
      </w:r>
    </w:p>
    <w:p w14:paraId="1BA5DFFE" w14:textId="77777777" w:rsidR="00766E12" w:rsidRPr="00DE096C" w:rsidRDefault="00766E12" w:rsidP="00D45A46">
      <w:pPr>
        <w:jc w:val="both"/>
        <w:rPr>
          <w:bCs/>
          <w:color w:val="002060"/>
          <w:sz w:val="16"/>
          <w:szCs w:val="16"/>
        </w:rPr>
      </w:pPr>
      <w:r w:rsidRPr="00DE096C">
        <w:rPr>
          <w:bCs/>
          <w:color w:val="002060"/>
          <w:sz w:val="16"/>
          <w:szCs w:val="16"/>
        </w:rPr>
        <w:t xml:space="preserve">После РЯВ, в срок до 1911 года произведен 21 ствол, с целью создания запаса. В 1911 году распоряжением морского министра 6 стволов было использовано для создания железнодорожных транспортеров, три из которых были введены в строй к весне 1914 года. Два транспортера строились для военного ведомства. Для их эксплуатации были созданы бетонные огневые позиции N1, N2, N3 у Порт-Артура. Приступили к созданию огневых позиций под Владивостоком. В мае 1914 года жд батарея N1 отправлена на Дальний Восток. Жд батарея N2 была введена в строй в начале 1915 года и была использована для обороны проливов. 305 мм/40 башенные установки для броненосцев "Сисой Великий", "Полтава" и "Петропавловск" были заказаны Металлическому заводу 18 мая 1893 года. Еще две двухорудийные установки для броненосца "Севастополь" - 20 ноября 1894 года. Обуховскому заводу по чертежам Металлического завода. Металлисты сдали все 6 башен с мая по сентябрь 1895 года. Испытания стрельбой были проведены на "Сисое Великом" в октябре 1896 года, на "Полтаве" в июне 1900 года и на "Севастополе" в сентябре 1900 года. Все приводы установок гидравлические. Угол вертикального наведения -5R...+15R. Скорость горизонтального наведения гидравлическим приводом 2.2 град/с. Время открывания гидравлического замка - 14 с. Фактическое время заряжания орудия на "Сисое Великом" в 1896 года 2 мин. 22 с. Длина отката фактическая 864-965 мм. На "Сисое Великом" толщина вертикальной брони 305 мм и вес всей брони 358 тонн, на "Полтаве" соответственно 254 мм и 316 тонн. </w:t>
      </w:r>
    </w:p>
    <w:p w14:paraId="458EDC67" w14:textId="77777777" w:rsidR="00766E12" w:rsidRPr="00DE096C" w:rsidRDefault="00766E12" w:rsidP="00D45A46">
      <w:pPr>
        <w:jc w:val="both"/>
        <w:rPr>
          <w:bCs/>
          <w:color w:val="002060"/>
          <w:sz w:val="16"/>
          <w:szCs w:val="16"/>
        </w:rPr>
      </w:pPr>
      <w:r w:rsidRPr="00DE096C">
        <w:rPr>
          <w:bCs/>
          <w:color w:val="002060"/>
          <w:sz w:val="16"/>
          <w:szCs w:val="16"/>
        </w:rPr>
        <w:t xml:space="preserve">305 мм/40 башенные установки для броненосца "Три святителя" заказали Металлическому заводу в мае 1892 года, испытаны стрельбой на корабле в декабре 1895 года. Это была последняя башенная установка с гидравлическим приводом на Черноморском флоте, тем не менее, и в ней имелись интересные нововведения: впервые подача снарядов производилась прямо из трюма без передачи на нижнюю палубу; впервые установки были уравновешены относительно оси вращения; компрессор станка, помещенный под орудием, не сообщался с гидравлическим трубопроводом, и накат орудия после выстрела производился не силой напора из этого трубопровода, а энергией, накапливаемой при откате в особом аккумуляторе, соединенном с воздушным резервуаром. Вертикальное наведение гидравлическое и ручное, в обоих случаях осуществлялось посредством зубчатой дуги, прикрепленной к станине прицельной рамы и соединенной с бесконечным винтом. Горизонтальное наведение гидравлическое и ручное. В поворотном механизме с гидравлическим приводом использовались тросы и полиспасты, а в ручном - цепь Галля. Прибойники гидравлические, телескопические. Угол вертикального наведения -5R...+15R, угол горизонтального наведения 270R. Длина отката 815 мм. Высота оси орудия над палубой 1,829 мм. Вес установки 176 тонн. 305 мм/40 башенные установки для броненосца "Ретвизан" заказаны Металлическому заводу в июне 1898 года. Обе установки были собраны на заводе, затем разобраны и в 1900 года отправлены в США для монтажа на корабле. В башнях "Ретвизана" впервые в отечественном флоте применили электрические приводы наведения, подачи снарядов и т.п. Ток во всех был постоянный. Тормоз отката гидравлический, накатник гидропневматический. Досылка снаряда производилась телескопическим прибойником и приводом от э/д. Замок орудия открывался только вручную. Угол вертикального наведения -5R...+15R. Скорость вертикального наведения 2.5 град/с. 305мм/40 башенные установки для броненосцев типа "Бородино" проектировались с июня 1898 года и изготавливались двумя заводами. Башни для броненосцев "Бородино", "Орел" и "Слава" делал Металлический завод, а для "Императора Александра III" и "Князя Суворова" - Путиловский завод. Приводы установок электрические. Тормоза отката гидравлические, накатники гидропневматические. Установки Металлического завода и Путиловского завода имели ряд конструктивных отличий, например, в прибойнике и т.п. Угол вертикального наведения -5R..+15R, угол горизонтального наведения ? 135R. Скорость горизонтального наведения 3 град/с. Толщина брони: вертикальной - 254 мм, крыши - 51 мм. Вес носовой установки 182 тонны, кормовой - 180 тонн (для башен Путиловского завода). На испытаниях на "Славе" скорость заряжания составляла 1.5 мин. В отношении произведенных до РЯВ башен стоит отметить, что на всех оставшихся в строю кораблях в ходе ремонтов, угол вертикального наведения удалось довести за счет откидывающихся бронезаслонок до 35 град. 305 мм/40 башенная установка броненосца "Князь Потемкин Таврический" спроектирована и изготовлена "Обществом судостроительных, механических и литейных заводов" в городе Николаеве. Сборку башен на корабле провели в октябре-декабре 1904 года, а первую стрельбу - 29 апреля 1905 года. Приводы башни электрические. Башню обслуживали 9 э/д общей мощностью 134 л.с. Тормоз отката гидравлический, накатник гидропневматический. Длина отката максимальная 1,067 мм. Механизм вертикального наведения секторный с электрическим приводом. Для обстрела укреплений Босфора угол вертикального наведения был сделан необычно большим -5R...+35R. Скорость вертикального наведения 2.7 град/с. Угол горизонтального наведения ? 130R, скорость горизонтального наведения 3 град/с. Скорострельность на приемных испытаниях башни - 1 выстрел за 4 мин. Толщина вертикальной брони спереди 254 мм, сзади 127 мм (у кормовой башни - 102 мм). Вес откатных частей с пушкой 51.87 тонны, вес качающейся части 64.2 тонны. Полный вес носовой установки 63.64 тонны, кормовой - 57.4 тонны. 305 мм/40 башенные установки броненосцев типа "Андрей Первозванный" проектировались Металлическим заводом с июля 1903 года. Их принципиальным отличием стала повышенная скорострельность, время заряжания было доведено до 30 с. Для этого, в частности, существенно переделали замок пушки. Заказы на 305 мм/40 башенные установки распределялись следующим образом: Металлический завод - для броненосцев "Андрей Первозванный" и "Рождество Христово", ОСЗ - для броненосцев "Евстафий" и "Иоанн Златоуст". Все установки строились по чертежам Металлического завода. Позднее заказ был дополнен. Путиловскому заводу было заказано 6 башен для 3-х башенных береговых батарей. 2-х для обороны Санкт-Петеребурга и 1-й для обороны Владивостока. Все приводы в башнях электрические. В марте 1911 года на линейных кораблях типа "Андрей Первозванный" начали работы по установке муфт Дженни, окончательно доработав башни к весне 1912 года. Тормоз отката гидравлический, накатник гидропневматический. Угол вертикального наведения -5R...+35R. Угол горизонтального наведения носовой башни 270R, кормовой - 300R. Скорость вертикального наведения 2.7 град/с., скорость горизонтального наведения 2.4 град/с. Бронирование: вертикальная броня спереди и с боков 203 мм, сзади 254 мм, крыша 63.5 мм (у "Евстафия" и "Иоанна Златоуста" вертикальная броня 254 мм кругом). Полный вес установки 221,719 кг. </w:t>
      </w:r>
    </w:p>
    <w:p w14:paraId="14AA400D" w14:textId="77777777" w:rsidR="00766E12" w:rsidRPr="00DE096C" w:rsidRDefault="00766E12" w:rsidP="00D45A46">
      <w:pPr>
        <w:jc w:val="both"/>
        <w:rPr>
          <w:bCs/>
          <w:color w:val="002060"/>
          <w:sz w:val="16"/>
          <w:szCs w:val="16"/>
        </w:rPr>
      </w:pPr>
      <w:r w:rsidRPr="00DE096C">
        <w:rPr>
          <w:bCs/>
          <w:color w:val="002060"/>
          <w:sz w:val="16"/>
          <w:szCs w:val="16"/>
        </w:rPr>
        <w:t xml:space="preserve">254 мм/45 орудие образца 1892 года </w:t>
      </w:r>
    </w:p>
    <w:p w14:paraId="6267E406" w14:textId="77777777" w:rsidR="00766E12" w:rsidRPr="00DE096C" w:rsidRDefault="00766E12" w:rsidP="00D45A46">
      <w:pPr>
        <w:jc w:val="both"/>
        <w:rPr>
          <w:bCs/>
          <w:color w:val="002060"/>
          <w:sz w:val="16"/>
          <w:szCs w:val="16"/>
        </w:rPr>
      </w:pPr>
      <w:r w:rsidRPr="00DE096C">
        <w:rPr>
          <w:bCs/>
          <w:color w:val="002060"/>
          <w:sz w:val="16"/>
          <w:szCs w:val="16"/>
        </w:rPr>
        <w:t xml:space="preserve">В 1891-1892 гг. Морское и Сухопутное ведомства решили принять единое 254 мм/45 орудие. Баллистические данные морских орудий кроме "Победы" оказались отвратительными. 254 мм береговые орудия оказались на примитивных лафетах и имели вначале низкую скорострельность. Производство 254 мм/45 орудий велось на Обуховском сталелитейном заводе (ОСЗ). Длина орудия составляла 11,430/45 мм/клб, длина канала 10,983/43.2 мм/клб, длина нарезной части 9,045 мм. Крутизна нарезов постоянная 30 клб (однако у части пушек была переменная, у дула 25 клб). Число нарезов 68, глубина нарезов 1.27 мм. Вес поршневого замка 400 кг. Вес орудия с замком колебался от 22.5 тонны (у "Пересвета" и "Ростислава") до 27.6 тонны (у "Победы"). В отличие от 254мм/45 береговых орудий морские орудия не имели цапф. В боекомплект пушек входили равновесные снаряды (225.2 кг) длиной 3.1-4 клб, унифицированные с боеприпасами 254мм/45 берегового орудия. Для боевых стрельб использовались только стальные снаряды. Снаряды обыкновенного чугуна при стрельбе боевыми зарядами часто раскалывались при вылете из дула. Поэтому их использовали только для практических стрельб. Для большинства орудий был принят заряд 65.6 кг бездымного пороха с V0=693 м/с и дальностью 16,840 метров при +35R. Орудия "Победы" имели V0=777 м/с и дальность 20,490 метров при +30R. 254мм/45 башенные установки для броненосцев береговой обороны "Адмирал Ушаков", "Адмирал Сенявин" и "Генерал-адмирал Апраксин" изготовили на Путиловском заводе. Компрессор станков гидравлический, а накатник гидропневматический. На "Адмирале Ушакове" и "Адмирале Сенявине" вертикальное наведение осуществлялось посредством двух гидравлических цилиндров, наполненных водой, штоки которых прикреплялись к качающимся рамам. Был и резервный механизм с ручным приводом и зубчатой дугой. Угол вертикального наведения -5R...+15R. Горизонтальное наведение также имело гидравлический и ручной приводы. Угол горизонтального наведения 270R. Толщина вертикальной брони 178 мм. На "Генерале-адмирале Апраксине" впервые в русском флоте приводы вертикального и горизонтального наведения делались электрическими. Угол вертикального наведения -5R...+35R. Вес башни на "Генерале-адмирале Апраксине" 244 тонн. Испытания башен стрельбой: "Адмирал Сенявин" - июль 1897 года; "Адмирал Ушаков" - сентябрь 1897 года; "Генерал-адмирал Апраксин" - июль-август 1899 года. Проект 254мм/45 башенных установок для броненосцев "Пересвет" и "Ослябя" был представлен Металлическим заводом в январе 1896 года. Первую из них изготовили в июне 1898 года. Стрельбы на "Пересвете" и "Ослябе" прошли в 1901 года. Компрессор станка гидравлический, накатник гидропневматический. Цилиндры противооткатных устройств при откате оставались неподвижными. Приводы наведения электрические. Подъемный механизм винтовой. Вращение башни производилось цепями Галля. Действия с замком - от электропривода или вручную при угле +2R. Угол вертикального наведения -5R...+35R. Угол горизонтального наведения (носовой и кормовой башни) 270R Вес станка без орудия 14,824 кг. Вес носовой башни 420 тонн, кормовой 370 тонн. Башню обслуживали 10 э/д общей мощностью 84 л.с. Для броненосца "Победа" башни изготавливались Путиловским заводом по тем же техническим условиям и имели небольшие отличия от башен Металлического завода. В частности, подъемный механизм имел зубчатый сектор, а не винт, а поворот башни осуществлялся шестерней, связанной с зубчатым погоном. </w:t>
      </w:r>
    </w:p>
    <w:p w14:paraId="46A3A7F3" w14:textId="77777777" w:rsidR="00766E12" w:rsidRPr="00DE096C" w:rsidRDefault="00766E12" w:rsidP="00D45A46">
      <w:pPr>
        <w:jc w:val="both"/>
        <w:rPr>
          <w:bCs/>
          <w:color w:val="002060"/>
          <w:sz w:val="16"/>
          <w:szCs w:val="16"/>
        </w:rPr>
      </w:pPr>
      <w:r w:rsidRPr="00DE096C">
        <w:rPr>
          <w:bCs/>
          <w:color w:val="002060"/>
          <w:sz w:val="16"/>
          <w:szCs w:val="16"/>
        </w:rPr>
        <w:t xml:space="preserve">В боекомплект для орудий после Русско-Японской войны входили снаряды весом 225.2 кг: бронебойный снаряд обр.1907 года, длинной 3.07 клб, содержащий 3.89 кг тротила; фугасный снаряд обр.1907 года с донным взрывателем, длинной 4 клб, содержащий 28.3 кг тротила; бронебойно-фугасный снаряд обр.1907 года, длинной </w:t>
      </w:r>
      <w:r w:rsidRPr="00DE096C">
        <w:rPr>
          <w:bCs/>
          <w:color w:val="002060"/>
          <w:sz w:val="16"/>
          <w:szCs w:val="16"/>
        </w:rPr>
        <w:lastRenderedPageBreak/>
        <w:t xml:space="preserve">3.2 клб, содержащий 8.3 кг тротила. Начальная скорость, с зарядом обр.1907 года составляла 762 м/с. Позднее, после передачи береговой обороны в ведение морского ведомства снаряды старого образца переснаряжались тротилом. Производство снарядов продолжалось вплоть до 1914 года. В период после русско-японской войны по мере расстрела стволов проводилась замена старых стволов, на вновь изготовленные. Для "Генерал-Адмирал Апраксина" была заново изготовлена башня после имевшего место взрыва в ней. Собрана на корабле в 1908 году. В ходе капитальных ремонтов на кораблях имевших 10" орудия, углы возвышения доводились до +35R. Осенью 1910 года Брянскому и Пермскому заводам были заказаны новые лафеты для береговых орудий позволяющие иметь углы вертикального наведения -5R...+35R. Заказ был завершен весной 1914 года. Вначале заменялись лафеты на батареях Дальневосточных крепостей. Затем на Черноморских. Работы по замене лафетов на Балтике завершили к началу 1916 года. Весной 1914 года на ОСЗ вновь приступили к изготовлению стволов для создания резерва на замену расстрелляных. Всего было произведено 18 стволов до весны 1916 года. </w:t>
      </w:r>
    </w:p>
    <w:p w14:paraId="0F6EF317" w14:textId="77777777" w:rsidR="00766E12" w:rsidRPr="00DE096C" w:rsidRDefault="00766E12" w:rsidP="00D45A46">
      <w:pPr>
        <w:jc w:val="both"/>
        <w:rPr>
          <w:bCs/>
          <w:color w:val="002060"/>
          <w:sz w:val="16"/>
          <w:szCs w:val="16"/>
        </w:rPr>
      </w:pPr>
      <w:r w:rsidRPr="00DE096C">
        <w:rPr>
          <w:bCs/>
          <w:color w:val="002060"/>
          <w:sz w:val="16"/>
          <w:szCs w:val="16"/>
        </w:rPr>
        <w:t xml:space="preserve">254 мм/50 орудие образца 1906 года </w:t>
      </w:r>
    </w:p>
    <w:p w14:paraId="2E707CB8" w14:textId="77777777" w:rsidR="00766E12" w:rsidRPr="00DE096C" w:rsidRDefault="00766E12" w:rsidP="00D45A46">
      <w:pPr>
        <w:jc w:val="both"/>
        <w:rPr>
          <w:bCs/>
          <w:color w:val="002060"/>
          <w:sz w:val="16"/>
          <w:szCs w:val="16"/>
        </w:rPr>
      </w:pPr>
      <w:r w:rsidRPr="00DE096C">
        <w:rPr>
          <w:bCs/>
          <w:color w:val="002060"/>
          <w:sz w:val="16"/>
          <w:szCs w:val="16"/>
        </w:rPr>
        <w:t xml:space="preserve">254 мм/50 орудия были установлены только на крейсере "Рюрик". Их спроекти-ровала и изготовила английская фирма "Виккерс". Проба ору-дий на крейсере состоялась 27 сентября 1908 года. Позже ОСЗ заказали орудия для "Рюрика" в запас. Первое было испытано 20 сентября 1911 года на морском полигоне, а еще пять завод сдал в 1912 году. Перед уходом на Дальний Восток на крейсере были заменены расстрелянные в ходе боевой подготовки стволы. Расстрелянные были отправлены на Завод для восстановления. </w:t>
      </w:r>
    </w:p>
    <w:p w14:paraId="2C6D5DA3" w14:textId="77777777" w:rsidR="00766E12" w:rsidRPr="00DE096C" w:rsidRDefault="00766E12" w:rsidP="00D45A46">
      <w:pPr>
        <w:jc w:val="both"/>
        <w:rPr>
          <w:bCs/>
          <w:color w:val="002060"/>
          <w:sz w:val="16"/>
          <w:szCs w:val="16"/>
        </w:rPr>
      </w:pPr>
      <w:r w:rsidRPr="00DE096C">
        <w:rPr>
          <w:bCs/>
          <w:color w:val="002060"/>
          <w:sz w:val="16"/>
          <w:szCs w:val="16"/>
        </w:rPr>
        <w:t xml:space="preserve">Внутренняя труба орудия скреплялась двумя рядами ци-линдров. Сзади на них был надет кожух, соединенный двумя кольцами с казенником. Затвор поршневой, системы Виккерса. Длина нарезной части 10 249 мм. Крутизна нарезов постоян-ная 30 клб. Число нарезов 60. Вес орудия с затвором 27 846 кг. В боекомплект к 254 мм пушке входили снаряды в 225,2 кг, взаимоза-меняемые с 254 мм/45 морской и береговой пушками: бронебойный снаряд обр. 1907 года длиной в 3,07 клб, ВВ 3,89 кг тротила; фугасный обр. 1907 года длиной в 4,0 клб, ВВ 28,3 кг тротила и фугасный "старого чертежа" длиной в 3,2 клб с ВВ 8,3 кг. Взры-ватели всех снарядов одинаковы: обр.1913 года - 11ДМ и 11ДТ. </w:t>
      </w:r>
    </w:p>
    <w:p w14:paraId="7AADF1EE" w14:textId="77777777" w:rsidR="00766E12" w:rsidRPr="00DE096C" w:rsidRDefault="00766E12" w:rsidP="00D45A46">
      <w:pPr>
        <w:jc w:val="both"/>
        <w:rPr>
          <w:bCs/>
          <w:color w:val="002060"/>
          <w:sz w:val="16"/>
          <w:szCs w:val="16"/>
        </w:rPr>
      </w:pPr>
      <w:r w:rsidRPr="00DE096C">
        <w:rPr>
          <w:bCs/>
          <w:color w:val="002060"/>
          <w:sz w:val="16"/>
          <w:szCs w:val="16"/>
        </w:rPr>
        <w:t xml:space="preserve">Заряды для всех снарядов одинаковы: 84-- 87 кг ленточ-ного пороха, дававшие Vo = 899 м/с. Дальность стрельбы сна-рядов обр. 1907 года 18 520 м при +21R и 22 224 м при +40R. </w:t>
      </w:r>
    </w:p>
    <w:p w14:paraId="7E272EBE" w14:textId="77777777" w:rsidR="00766E12" w:rsidRPr="00DE096C" w:rsidRDefault="00766E12" w:rsidP="00D45A46">
      <w:pPr>
        <w:jc w:val="both"/>
        <w:rPr>
          <w:bCs/>
          <w:color w:val="002060"/>
          <w:sz w:val="16"/>
          <w:szCs w:val="16"/>
        </w:rPr>
      </w:pPr>
      <w:r w:rsidRPr="00DE096C">
        <w:rPr>
          <w:bCs/>
          <w:color w:val="002060"/>
          <w:sz w:val="16"/>
          <w:szCs w:val="16"/>
        </w:rPr>
        <w:t xml:space="preserve">Конструкция 254 мм/50 башенных установок была разработана фирмой Виккерсом полностью по русским стандартам. Угол ВН --5R...+35R. Приводы ВН и ГН электрические. По техни-ческим условиям скорость ВН 2 град/с, скорость ГН 2 град/с. Длина отката максимальная 686 мм. Скорострельность около 2 выстр./мин. </w:t>
      </w:r>
    </w:p>
    <w:p w14:paraId="403935D2" w14:textId="77777777" w:rsidR="00766E12" w:rsidRPr="00DE096C" w:rsidRDefault="00766E12" w:rsidP="00D45A46">
      <w:pPr>
        <w:jc w:val="both"/>
        <w:rPr>
          <w:bCs/>
          <w:color w:val="002060"/>
          <w:sz w:val="16"/>
          <w:szCs w:val="16"/>
        </w:rPr>
      </w:pPr>
      <w:r w:rsidRPr="00DE096C">
        <w:rPr>
          <w:bCs/>
          <w:color w:val="002060"/>
          <w:sz w:val="16"/>
          <w:szCs w:val="16"/>
        </w:rPr>
        <w:t xml:space="preserve">203 мм/50 орудие образца 1907 года. </w:t>
      </w:r>
    </w:p>
    <w:p w14:paraId="6DD28A6F" w14:textId="77777777" w:rsidR="00766E12" w:rsidRPr="00DE096C" w:rsidRDefault="00766E12" w:rsidP="00D45A46">
      <w:pPr>
        <w:jc w:val="both"/>
        <w:rPr>
          <w:bCs/>
          <w:color w:val="002060"/>
          <w:sz w:val="16"/>
          <w:szCs w:val="16"/>
        </w:rPr>
      </w:pPr>
      <w:r w:rsidRPr="00DE096C">
        <w:rPr>
          <w:bCs/>
          <w:color w:val="002060"/>
          <w:sz w:val="16"/>
          <w:szCs w:val="16"/>
        </w:rPr>
        <w:t xml:space="preserve">203мм/50 пушка была спроектирована на Обуховском сталелитейном заводе в 1906 году. К огневым испытаниям ствола на полигонном станке приступили весной 1907 году. Ствол орудия состоял из внутренней трубы, трех скрепляющих цилиндров, кожуха и казенника. Нарезы постоянной крутизны. Глубина нарезов 1.52 мм. Затвор поршневой, трехтактный системы ОСЗ. Вес затвора 257 кг. Орудие оказалось малосерийное. Всего было изготовлено 12 орудий для вооружения линейных кораблей типа "Ефстафий", 6 орудий для перевооружения "Пантелеймона" и затем еще 12 стволов для береговых батарей и ЖД установок, в том числе и армейских. </w:t>
      </w:r>
    </w:p>
    <w:p w14:paraId="4115B9AA" w14:textId="77777777" w:rsidR="00766E12" w:rsidRPr="00DE096C" w:rsidRDefault="00766E12" w:rsidP="00D45A46">
      <w:pPr>
        <w:jc w:val="both"/>
        <w:rPr>
          <w:bCs/>
          <w:color w:val="002060"/>
          <w:sz w:val="16"/>
          <w:szCs w:val="16"/>
        </w:rPr>
      </w:pPr>
      <w:r w:rsidRPr="00DE096C">
        <w:rPr>
          <w:bCs/>
          <w:color w:val="002060"/>
          <w:sz w:val="16"/>
          <w:szCs w:val="16"/>
        </w:rPr>
        <w:t xml:space="preserve">В состав боекомплекта входили бронебойно-фугасный и фугасный снаряды весом 112.5 кг длиной 3.9-4.0 клб. Вес взрывчатки соответственно 14 и 15.1 кг. Снаряды комплектовались взрывателями МРД и МРН. Заряжание - картузное, зарядами бездымного пороха весом 39 кг. </w:t>
      </w:r>
    </w:p>
    <w:p w14:paraId="7980739D" w14:textId="77777777" w:rsidR="00766E12" w:rsidRPr="00DE096C" w:rsidRDefault="00766E12" w:rsidP="00D45A46">
      <w:pPr>
        <w:jc w:val="both"/>
        <w:rPr>
          <w:bCs/>
          <w:color w:val="002060"/>
          <w:sz w:val="16"/>
          <w:szCs w:val="16"/>
        </w:rPr>
      </w:pPr>
      <w:r w:rsidRPr="00DE096C">
        <w:rPr>
          <w:bCs/>
          <w:color w:val="002060"/>
          <w:sz w:val="16"/>
          <w:szCs w:val="16"/>
        </w:rPr>
        <w:t xml:space="preserve">Установки изготовливались на ОСЗ. Палубная установка имела следующие характеристики. Угол вертикального наведения -8R...+35R. Заряжание могло производиться при углах -3R...+5R. Скорость горизонтального и вертикального наведения вручную - 2R в секунду. Скорострельность 3-3.5 выстрела в минуту. </w:t>
      </w:r>
    </w:p>
    <w:p w14:paraId="4FE04B77" w14:textId="77777777" w:rsidR="00766E12" w:rsidRPr="00DE096C" w:rsidRDefault="00766E12" w:rsidP="00D45A46">
      <w:pPr>
        <w:jc w:val="both"/>
        <w:rPr>
          <w:bCs/>
          <w:color w:val="002060"/>
          <w:sz w:val="16"/>
          <w:szCs w:val="16"/>
        </w:rPr>
      </w:pPr>
      <w:r w:rsidRPr="00DE096C">
        <w:rPr>
          <w:bCs/>
          <w:color w:val="002060"/>
          <w:sz w:val="16"/>
          <w:szCs w:val="16"/>
        </w:rPr>
        <w:t xml:space="preserve">203 мм/45 орудие образца 1895 года </w:t>
      </w:r>
    </w:p>
    <w:p w14:paraId="6ABBF0C4" w14:textId="77777777" w:rsidR="00766E12" w:rsidRPr="00DE096C" w:rsidRDefault="00766E12" w:rsidP="00D45A46">
      <w:pPr>
        <w:jc w:val="both"/>
        <w:rPr>
          <w:bCs/>
          <w:color w:val="002060"/>
          <w:sz w:val="16"/>
          <w:szCs w:val="16"/>
        </w:rPr>
      </w:pPr>
      <w:r w:rsidRPr="00DE096C">
        <w:rPr>
          <w:bCs/>
          <w:color w:val="002060"/>
          <w:sz w:val="16"/>
          <w:szCs w:val="16"/>
        </w:rPr>
        <w:t xml:space="preserve">203мм/45 пушка была спроектирована на Обуховском сталелитейном заводе (ОСЗ) под руководством Бринка в 1892 года. Ствол орудия состоял из внутренней трубы, двух скрепляющих цилиндров и кожуха. Нарезы прогрессивной крутизны. Затвор поршневой, системы Розенберга. Длина нарезной части 7,530 мм. Число нарезов 48. Глубина нарезов 1.65 мм. Вес замка 201 кг, вес ствола с замком 12,183 кг. 203мм/45 пушки, изготовленные на ОСЗ, устанавливались на станках на центральном штыре и на одноорудийных башенных станках. К 1902 году ОСЗ изготовил 13 орудий. В ходе РЯВ было изготовлено еще 4 орудия. 203 мм/45 орудиями вооружались крейсера "Россия" (4), "Громобой" (4), "Баян" (2), а также канонерская лодка "Храбрый" (2, в ходе РЯВ сняты и отправлены на Дальний восток). В ходе войны изготовлено и установлено весной 1905 года на корабли 4 орудия. В 1906-1913 гг. изготовлено 29 орудий и 9 запасных стволов к ним. Орудия были установлены на крейсерах "Богатырь"(2), "Олег"(2), "Кагул"(2), "Очаков"(2), "Адмирал Макаров"(2), "Россия" и "Громобой" (добавлено по 2 орудия). В 1915 году производство 203 мм/45 пушек на ОСЗ возобновили, чтобы заменить расстрелянные орудия. </w:t>
      </w:r>
    </w:p>
    <w:p w14:paraId="4710758E" w14:textId="77777777" w:rsidR="00766E12" w:rsidRPr="00DE096C" w:rsidRDefault="00766E12" w:rsidP="00D45A46">
      <w:pPr>
        <w:jc w:val="both"/>
        <w:rPr>
          <w:bCs/>
          <w:color w:val="002060"/>
          <w:sz w:val="16"/>
          <w:szCs w:val="16"/>
        </w:rPr>
      </w:pPr>
      <w:r w:rsidRPr="00DE096C">
        <w:rPr>
          <w:bCs/>
          <w:color w:val="002060"/>
          <w:sz w:val="16"/>
          <w:szCs w:val="16"/>
        </w:rPr>
        <w:t xml:space="preserve">Первоначально (до 1907 г.) в состав боекомплекта входили бронебойный, фугасный и сегментный снаряды весом 87.8 кг и длиной 2.5-2.6 клб. Причем сегментные снаряды оснащались 45-секундными дистанционными трубками. Затем на вооружение принимаются снаряды обр. 1907 г.: фугасный весом 87.8 кг, вес взрывчатого вещества - 9.3 кг, длина 3.04 клб, взрыватель обр. 1913 г. и полубронебойный весом 106.9 кг, вес взрывчатого вещества - 9.3 кг, длина 3.95 клб, взрыватель МРД. Заряжание 203мм/45 пушки - картузное, зарядами бездымного пороха марки 203/45. Вес заряда 29-32 кг. 203мм/45 станки на центральном штыре были спроектированы на Обуховском заводе по образцу 152мм/45 станков Канэ на центральном штыре. Характерное отличие 203 мм/45 станка от 152мм/45 Канэ - наличие двух секторов подъемного механизма вместо одного. Угол вертикального наведения -5R...+18 первоначально, впоследствии для открытых установок был доведен до 40R, для казематных установок как правило доходил до 30-33R. Длина отката 429-476 мм. Высота оси цапф от основания тумбы 1,410 мм, диаметр окружности крепежных болтов 2,160 мм. Вес откатных частей с орудием 18,500 кг, качающейся части - 21,620 кг. Вес установки со щитом около 28.5 тонн. Все действия с 203 мм/45 установкой, включая наведение, производились исключительно вручную. В 1908 г. на Морском полигоне состоялись испытания 203 мм/45 станка, к которому фирмой "Дюфлон и КR" было приспособлено два э/д (4 л.с. к подъемному механизму и 2 л.с. к поворотному). Моторы имели только одну скорость (3R10' в секунду вертикальную и 2R24' в секунду горизонтальную), что послужило одной из причин отказа от данной системы электрического наведения. Одноорудийные башенные установки для крейсера "Баян" и "Адмирал Макаров", строившихся во Франции, были изготовлены французами, за исключением станков "Адмирала Макарова", изготовленных на Металлическом заводе. Вертикальное наведение производилось сектором, укрепленном на правой стороне станка. Угол вертикального наведения -8R...+35R. Тормоз отката гидравлический, накатник пружинный. Заряжание могло производиться при углах -8R...+5R. Из всех операций электрифицировали только две - горизонтальное наведение и подачу боеприпасов, для чего имелось два электродвигателя по 5 л.с. каждый. Открывание затвора, вертикальное наведение, досылка снаряда цепным прибойником и другие операции производились вручную. Скорость горизонтального наведения от электродвигателя - 2R в секунду, скорость вертикального наведения вручную 1.6R в секунду. Вес станка без орудия 11,172 кг. Толщина вертикальной брони 125 мм, крыши 51 мм. </w:t>
      </w:r>
    </w:p>
    <w:p w14:paraId="5D7AA712" w14:textId="77777777" w:rsidR="00766E12" w:rsidRPr="00DE096C" w:rsidRDefault="00766E12" w:rsidP="00D45A46">
      <w:pPr>
        <w:jc w:val="both"/>
        <w:rPr>
          <w:bCs/>
          <w:color w:val="002060"/>
          <w:sz w:val="16"/>
          <w:szCs w:val="16"/>
        </w:rPr>
      </w:pPr>
      <w:r w:rsidRPr="00DE096C">
        <w:rPr>
          <w:bCs/>
          <w:color w:val="002060"/>
          <w:sz w:val="16"/>
          <w:szCs w:val="16"/>
        </w:rPr>
        <w:t xml:space="preserve">152 мм/50 орудие образца 1913 года </w:t>
      </w:r>
    </w:p>
    <w:p w14:paraId="45683940" w14:textId="77777777" w:rsidR="00766E12" w:rsidRPr="00DE096C" w:rsidRDefault="00766E12" w:rsidP="00D45A46">
      <w:pPr>
        <w:jc w:val="both"/>
        <w:rPr>
          <w:bCs/>
          <w:color w:val="002060"/>
          <w:sz w:val="16"/>
          <w:szCs w:val="16"/>
        </w:rPr>
      </w:pPr>
      <w:r w:rsidRPr="00DE096C">
        <w:rPr>
          <w:bCs/>
          <w:color w:val="002060"/>
          <w:sz w:val="16"/>
          <w:szCs w:val="16"/>
        </w:rPr>
        <w:t xml:space="preserve">152мм/50 орудия спроектированы Обуховским сталелитейным заводом (ОСЗ) специально для вооружения новых крейсеров. Этими орудиями были вооружены крейсера типа "Светлана"(12), "Адмирал Нахимов"(14), "Адмирал Грейг"(48). Всего до лета 1913 года было заказано 74 орудия и 18 запасных стволов к ним. Тело орудия состояло из внутренней трубы, трех скрепляющих цилиндров, кожуха и скрепляющего кольца. Сзади в кожух ввинчивался казенник. Затвор поршневой трехтактный системы Виккерса. Длина ствола 7,620/50 мм/клб, длина канала 7,467 мм, длина нарезной части 6,121 мм. Крутизна нарезов 29.89 клб. Число нарезов 36, глубина их 1.14 мм. Вес орудия с замком 6,850 кг. В боекомплект орудия входили фугасные снаряды обр.1907 года, вес 49.76 кг, длина 4.1 клб., вес взрывчатого вещества 7.1 кг тротила, взрыватель обр. 1913 года. или МР. Заряжание орудия картузное. Вес заряда для фугасных снарядов 17 кг. V0 снарядов 823 м/с. Дальность стрельбы при +30R у фугасных снарядов обр.1907 года 14,640 метров. Компрессор гидравлический. Накатник пружинный. Подъемный механизм винтовой с ручным приводом. вертикального наведения -5R...+35R , скорость вертикального наведения 3 град/с, скорость горизонтального наведения 3 град/с. Длина отката 375 мм. Вес откатных частей 7,230 кг, вес качающейся части 10,150 кг. Скорострельность 5-7 выстр/мин. Для крейсеров типа "Светлана", "Нахимов" были произведены палубные орудия, прикрытые щитами с толщиной брони 25.4мм. С 1912 года Металлический завод приступил к проектированию 2-х орудийных башенных установок для крейсеров типа "Адмирал". Наведение предусматривалось от электроприводов при этом скорости и горизонтального и вертикального наведения должны были достигать 6 и 3.5 град.сек соответственно согласно ТТЗ. Первая двухорудийная башня была собрана на яме Металлического завода в летом 1914 года. </w:t>
      </w:r>
    </w:p>
    <w:p w14:paraId="4A6932AD" w14:textId="77777777" w:rsidR="00766E12" w:rsidRPr="00DE096C" w:rsidRDefault="00766E12" w:rsidP="00D45A46">
      <w:pPr>
        <w:jc w:val="both"/>
        <w:rPr>
          <w:bCs/>
          <w:color w:val="002060"/>
          <w:sz w:val="16"/>
          <w:szCs w:val="16"/>
        </w:rPr>
      </w:pPr>
      <w:r w:rsidRPr="00DE096C">
        <w:rPr>
          <w:bCs/>
          <w:color w:val="002060"/>
          <w:sz w:val="16"/>
          <w:szCs w:val="16"/>
        </w:rPr>
        <w:t xml:space="preserve">152 мм/45 орудие системы Кане образца 1891 года </w:t>
      </w:r>
    </w:p>
    <w:p w14:paraId="40C9FC4D" w14:textId="77777777" w:rsidR="00766E12" w:rsidRPr="00DE096C" w:rsidRDefault="00766E12" w:rsidP="00D45A46">
      <w:pPr>
        <w:jc w:val="both"/>
        <w:rPr>
          <w:bCs/>
          <w:color w:val="002060"/>
          <w:sz w:val="16"/>
          <w:szCs w:val="16"/>
        </w:rPr>
      </w:pPr>
      <w:r w:rsidRPr="00DE096C">
        <w:rPr>
          <w:bCs/>
          <w:color w:val="002060"/>
          <w:sz w:val="16"/>
          <w:szCs w:val="16"/>
        </w:rPr>
        <w:t xml:space="preserve">В начале 1891 года во Франции русской делегации была продемонстрирована стрельба из 120 мм/45 и 152 мм/45 пушек системы Канэ. Стрельба из них производилась унитарными патронами, и французы ухитрились получить огромную скорострельность - 12 выстр./мин. из 120-мм пушек и 10 выстр./мин. из 152-мм. Управляющий Морским министерством решил ограничиться приобретением у Канэ чертежей, не заказывая образцов орудий. В августе 1891 года был заключен договор с обществом "Forges et Chantiers de la Mediterranes", согласно которому Канэ представил чертежи станков к ним, снарядов, гильз и трубок (взрывателей). В 1893-1894 гг. в сухопутной артиллерии проводились опыты с 152 мм/50 пушкой Канэ. Но в 1895 года на вооружение береговых крепостей приняли 152 мм/45 пушку Канэ. Другие орудия, в том числе 75 мм/50 орудия Канэ, предлагались ГАУ, но приняты не были. С 1892 г. ОСЗ приступил к выполнению заказа. До января 1901 года завод сдал 135 152мм/45 пушек, а с мая 1900 года по май 1901 года - 46 . Несколько позже производство орудий Канэ начал Пермский завод. В 1897-1900 гг. ему заказали 37 152 мм/45 орудий. (Здесь и далее речь идет только об орудиях Морского ведомства.) В ходе русско-японской войны 1904-1905 гг. было отмечено несколько разрывов дульной части 152 мм/45 пушек, поэтому после войны развернули производство 152 мм/45 орудий, скрепленных до дула. Их устанавливали на послевоенных крейсерах. С 1909 года морское ведомство приобретало орудия для установки на береговых батареях. После РЯВ выпуском орудий занимались ОСЗ и Пермский завод. 152мм/45 пушки первого образца состояли из трубы, кожуха и муфты. Длина ствола 6,858 мм. Кожух скреплял ствол на длине 3,200 мм. Длина нарезной части 5,349 мм. Первые партии орудий имели постоянную крутизну нарезов в 30 клб., а последующие - переменную крутизну от 71.95 клб. в начале до 29.89 клб. к дулу. Число нарезов 38, глубина нарезов 1.0 мм. Затвор поршневой, весом 120-126 кг. Вес ствола с затвором 5,815-6,290 кг. 152 мм/45 пушки, скрепленные до дула, состояли из трубы, трех скрепляющих цилиндров, кожуха, казенника и двух колец. Внешние очертания пушки стали существенно другими, что потребовало изменения </w:t>
      </w:r>
      <w:r w:rsidRPr="00DE096C">
        <w:rPr>
          <w:bCs/>
          <w:color w:val="002060"/>
          <w:sz w:val="16"/>
          <w:szCs w:val="16"/>
        </w:rPr>
        <w:lastRenderedPageBreak/>
        <w:t xml:space="preserve">конструкции станков. Вес пушки остался прежним. Первоначально у всех снарядов для 152 мм/45 пушки вес был одинаков - около 41.4 кг. Так, бронебойный снаряд "старого чертежа" имел длину 2.8 клб. и содержал 1.23 кг мелинита, взрыватель 11ДМ. Фугасный стальной снаряд "старого чертежа" длиной 3 клб. содержал 2.713 кг тротила, взрыватель 9ДТ. Правда, часто, "в целях экономии" по-прежнему отливали снаряды из обыкновенного чугуна длиной 3.25 клб., с весом взрывчатого вещества 1.365 кг черного пороха и ударной трубкой обр. 1884 года. После 1907 года имеемые снаряды морского ведомства переснаряжались толом, а после 1910 года и снаряды, входившие в боекомплект береговых батарей. С 1907 года в боекомплект были введены фугасные снаряды обр. 1907 года, вес 49.76 кг, длина 4.1 клб., вес взрывчатого вещества 7.1 кг тротила, взрыватель обр. 1913 г. или МР. С 1913 года в боекомплект ввели шрапнель весом 41.46 кг, длиной 3.6 клб. с 45-секундной трубкой, позже замененной ТМ-10. Вес одной пули 0.021 кг, диаметр 15.9 мм. В 1915 году приняли ныряющий снаряд весом 48.1 кг и длиной 4.67 клб., вес взрывчатого вещества 10.2 кг, взрыватель НВ или НВ-2. В 1915 г. начали поступать химические (удушающие) снаряды, которых было выпущено до конца войны 3,000, переделанных из стальных практических снарядов. Пушки Канэ являлись первыми в России патронными орудиями среднего калибра. Первоначально заряжание в них было унитарным, но затем перешли к раздельному. Журналом МТК от 04 июня 1901 года для этого ввели укороченную на 19.3 мм гильзу, которая только касалась дна канала. Длина новых гильз составляла 1,095 мм, вес от 14.5 до 15.46 кг. </w:t>
      </w:r>
    </w:p>
    <w:p w14:paraId="1FE0ED91" w14:textId="77777777" w:rsidR="00766E12" w:rsidRPr="00DE096C" w:rsidRDefault="00766E12" w:rsidP="00D45A46">
      <w:pPr>
        <w:jc w:val="both"/>
        <w:rPr>
          <w:bCs/>
          <w:color w:val="002060"/>
          <w:sz w:val="16"/>
          <w:szCs w:val="16"/>
        </w:rPr>
      </w:pPr>
      <w:r w:rsidRPr="00DE096C">
        <w:rPr>
          <w:bCs/>
          <w:color w:val="002060"/>
          <w:sz w:val="16"/>
          <w:szCs w:val="16"/>
        </w:rPr>
        <w:t xml:space="preserve">К основным снарядам был принят заряд бездымного пороха весом 12-12.5 кг, а к ныряющему снаряду - 1.2 кг. Дальность стрельбы при угле, метры. </w:t>
      </w:r>
    </w:p>
    <w:p w14:paraId="1306941E" w14:textId="77777777" w:rsidR="00766E12" w:rsidRPr="00DE096C" w:rsidRDefault="00766E12" w:rsidP="00D45A46">
      <w:pPr>
        <w:jc w:val="both"/>
        <w:rPr>
          <w:bCs/>
          <w:color w:val="002060"/>
          <w:sz w:val="16"/>
          <w:szCs w:val="16"/>
        </w:rPr>
      </w:pPr>
      <w:r w:rsidRPr="00DE096C">
        <w:rPr>
          <w:bCs/>
          <w:color w:val="002060"/>
          <w:sz w:val="16"/>
          <w:szCs w:val="16"/>
        </w:rPr>
        <w:t xml:space="preserve">Снаряд V0, м/с 20R 25R 40R </w:t>
      </w:r>
    </w:p>
    <w:p w14:paraId="7E6CFE77" w14:textId="77777777" w:rsidR="00766E12" w:rsidRPr="00DE096C" w:rsidRDefault="00766E12" w:rsidP="00D45A46">
      <w:pPr>
        <w:jc w:val="both"/>
        <w:rPr>
          <w:bCs/>
          <w:color w:val="002060"/>
          <w:sz w:val="16"/>
          <w:szCs w:val="16"/>
        </w:rPr>
      </w:pPr>
      <w:r w:rsidRPr="00DE096C">
        <w:rPr>
          <w:bCs/>
          <w:color w:val="002060"/>
          <w:sz w:val="16"/>
          <w:szCs w:val="16"/>
        </w:rPr>
        <w:t xml:space="preserve">Фугасный, обр. 1907 года 762 14,080 15,550 18,470 </w:t>
      </w:r>
    </w:p>
    <w:p w14:paraId="366B0495" w14:textId="77777777" w:rsidR="00766E12" w:rsidRPr="00DE096C" w:rsidRDefault="00766E12" w:rsidP="00D45A46">
      <w:pPr>
        <w:jc w:val="both"/>
        <w:rPr>
          <w:bCs/>
          <w:color w:val="002060"/>
          <w:sz w:val="16"/>
          <w:szCs w:val="16"/>
        </w:rPr>
      </w:pPr>
      <w:r w:rsidRPr="00DE096C">
        <w:rPr>
          <w:bCs/>
          <w:color w:val="002060"/>
          <w:sz w:val="16"/>
          <w:szCs w:val="16"/>
        </w:rPr>
        <w:t xml:space="preserve">Шрапнель 793.6 11,890 --- --- </w:t>
      </w:r>
    </w:p>
    <w:p w14:paraId="429B8A97" w14:textId="77777777" w:rsidR="00766E12" w:rsidRPr="00DE096C" w:rsidRDefault="00766E12" w:rsidP="00D45A46">
      <w:pPr>
        <w:jc w:val="both"/>
        <w:rPr>
          <w:bCs/>
          <w:color w:val="002060"/>
          <w:sz w:val="16"/>
          <w:szCs w:val="16"/>
        </w:rPr>
      </w:pPr>
      <w:r w:rsidRPr="00DE096C">
        <w:rPr>
          <w:bCs/>
          <w:color w:val="002060"/>
          <w:sz w:val="16"/>
          <w:szCs w:val="16"/>
        </w:rPr>
        <w:t xml:space="preserve">Ныряющий 228.6 3,110 --- --- </w:t>
      </w:r>
    </w:p>
    <w:p w14:paraId="6420A11D" w14:textId="77777777" w:rsidR="00766E12" w:rsidRPr="00DE096C" w:rsidRDefault="00766E12" w:rsidP="00D45A46">
      <w:pPr>
        <w:jc w:val="both"/>
        <w:rPr>
          <w:bCs/>
          <w:color w:val="002060"/>
          <w:sz w:val="16"/>
          <w:szCs w:val="16"/>
        </w:rPr>
      </w:pPr>
      <w:r w:rsidRPr="00DE096C">
        <w:rPr>
          <w:bCs/>
          <w:color w:val="002060"/>
          <w:sz w:val="16"/>
          <w:szCs w:val="16"/>
        </w:rPr>
        <w:t xml:space="preserve">14 января 1892 года Артиллерийским отделением МТК были рассмотрены рабочие чертежи 152 мм/45 и 120 мм/45 установок Канэ на центральном штыре. Чертежи утвердили и передали в производство на ОСЗ. Устройство обоих станков аналогично. Подъемный механизм с зубчатой дугой. Угол вертикального наведения -6R...+20R. Угол горизонтального наведения 360R. Тормоз отката гидравлический, веретенного типа. Накатник пружинный. Длина отката 375-400 мм. Высота оси орудия над палубой 1,150 мм. Диаметр окружности по центрам фундаментных болтов 1,475 мм. Вес качающейся части 8,300 кг. Вес щита 991 кг. Общий вес станка без орудия 6,290 кг, с орудием - 14,690 кг. Станки на центральных штырах при угле горизонтального наведения 100R требовали больших портов, поэтому для закрытых батарей были введены бортовые станки. Бортовой станок вращался в горизонтальной плоскости на одном переднем и 4 задних катках. Ось вращения проходила через порт. Вес установки 6,961 кг. Для 152 мм/45 орудий, скрепленных до дула, Металлический завод специально спроектировал станок на центральном штыре. Подъемный механизм винтовой. Угол вертикального наведения -6R...+35R. Угол горизонтального наведения 360R. Скорость вертикального наведения 3 град./с., скорость горизонтального наведения 5 град./с. Тормоз отката веретенного типа, накатник пружинный, длина отката 380 мм. Высота оси орудия над палубой 1,359 мм. Диаметр окружности по центрам фундаментных болтов 1,475 мм. Щит башнеподобный, толщиной 76 мм, весом 3,440 кг. Вес качающейся части 9,170 кг. Вес станка без орудия 9,992 кг, с орудием - 16,240 кг. Скорострельность 7 выстр./мин. Расчет 10 человек. Летом 1912 г. был испытан станок обр.1911 г. на центральном штыре конструкции ОСЗ. Угол вертикального наведения -5R...+35R. Угол горизонтального наведения 360R. Максимальная длина отката 465 мм. Высота оси орудия от основания палубы 1,410 мм. Вес откатных частей 6,740 кг, вес качающейся части 8,990 кг. Вес установки с орудием 17,330 кг. Для линейного корабля "Три Святителя" выделили 14 152 мм/45 станков обр.1911 года. 152 мм/45 башенные установки в русском флоте изготавливались по собственным проектам четырьмя заводами: Металлическим - 26 башен; Путиловским - 18; Обуховским - 16; Французским - 6 башен для броненосца "Цесаревич" (по конструкции близки к установкам Путиловского завода). ОСЗ изготовил по четыре башни на три броненосца класса "Полтава" и на броненосец "Ростислав". 152 мм башенные установки ОСЗ, наиболее ранних выпусков, существенно отличались от установок Путиловского и Металлического заводов. Они оказались неудачными, и от их производства пришлось отказаться. Особенностью установок ОСЗ было то, что вращающийся стол был цилиндрический, а не эллиптический, как в прочих уравновешенных установках, но ось сдвинута по отношению к оси поданной трубы назад. В башнях размещались станки Канэ на центральном штыре с демонтированным поворотным механизмом. Вертикальное наведение только ручное. Горизонтальное наведение от электромотора или вручную. Путиловский завод изготовил 12 башен для броненосцев "Император Александр III" и "Князь Суворов". Вращающийся стол эллиптической формы. Горизонтальные катки конические. Установка центрировалась двумя системами (верхней и нижней) вертикальных катков. Станки тождественны станкам Канэ на центральном штыре. Угол вертикального наведения -6R...+20R. Угол горизонтального наведения для носовой и кормовой башен 135R, для средней - 180R. Вертикальное и горизонтальное наведение производилось от э/д (вертикальное наведение - 2х1.5 л.с., горизонтальное наведение - 1х10 л.с.). Скорость вертикального наведения 3.25 град./с., скорость горизонтального наведения 5 град./с. Толщина вертикальной брони 152 мм. Вес установки без брони и орудий 49,810 кг. Металлический завод изготовил двухорудийные 152-мм башенные установки для броненосцев "Бородино", "Орел", "Слава" (18х2) и крейсеров класса "Богатырь" (4х2) - итого 26 башен. Система вращалась на конических катках. Башня центрировалась системой вертикальных катков, а также особой цапфой (нижним штыром). Наибольшие отличия от других 152-мм башенных установок имели станки Металлического завода. Башенные станки Металлического завода представляли переходный этап от 152 мм станков Канэ к 152 мм станкам Металлического завода на центральном штыре. Компрессор еще откатывался вместе с орудием, но два пружинных накатника были неподвижны (они располагались по бокам станка). Подъемный механизм - винт, связанный шарниром с обоймой. Вертикальное и горизонтальное наведение от э/д. Угол вертикального наведения -6R...+25R. Досылка снарядов (ручная) производилась в пределах углов заряжания (-3R...+3R). Вес одного станка без орудия 3,440 кг, с орудием 9,271 кг. В заключение стоит отметить, что башенные установки после русско-японской войны модернизировались в ходе прохождение ремонтов. Как правило заменялись или дорабатывались электрические привода наведения, принимались меры ко всемерному увеличению углов вертикального наведения и скорости и точности наводки. Башенные установки с крейсеров были позднее установлены на берег и включены в состав береговой обороны Владивостока. Кроме того, после РЯВ модернизированные 152 мм орудия Кане обр.1891 года получили крейсера типа "Адмирал Витгефт". </w:t>
      </w:r>
    </w:p>
    <w:p w14:paraId="52D1C2B4" w14:textId="77777777" w:rsidR="00766E12" w:rsidRPr="00DE096C" w:rsidRDefault="00766E12" w:rsidP="00D45A46">
      <w:pPr>
        <w:jc w:val="both"/>
        <w:rPr>
          <w:bCs/>
          <w:color w:val="002060"/>
          <w:sz w:val="16"/>
          <w:szCs w:val="16"/>
        </w:rPr>
      </w:pPr>
      <w:r w:rsidRPr="00DE096C">
        <w:rPr>
          <w:bCs/>
          <w:color w:val="002060"/>
          <w:sz w:val="16"/>
          <w:szCs w:val="16"/>
        </w:rPr>
        <w:t xml:space="preserve">120 мм/50 орудие обр.1908 года </w:t>
      </w:r>
    </w:p>
    <w:p w14:paraId="5427662E" w14:textId="77777777" w:rsidR="00766E12" w:rsidRPr="00DE096C" w:rsidRDefault="00766E12" w:rsidP="00D45A46">
      <w:pPr>
        <w:jc w:val="both"/>
        <w:rPr>
          <w:bCs/>
          <w:color w:val="002060"/>
          <w:sz w:val="16"/>
          <w:szCs w:val="16"/>
        </w:rPr>
      </w:pPr>
      <w:r w:rsidRPr="00DE096C">
        <w:rPr>
          <w:bCs/>
          <w:color w:val="002060"/>
          <w:sz w:val="16"/>
          <w:szCs w:val="16"/>
        </w:rPr>
        <w:t xml:space="preserve">Первые 120 мм/50 орудия Виккерса доставили в Россию в начале 1905 г. для Сухопутного ведомства. Позже их назвали 120 мм/50 орудиями I образца. В ходе проектирования новых дредноутов было решено вооружить новые дредноуты более мощным противоминым орудием. Испытания нового орудия провели в 1909 году, после чего было начато валовое производство 120 мм/50 орудий на Обуховском сталелитейном заводе (ОСЗ) по заказу Морскогоо ведомства. </w:t>
      </w:r>
    </w:p>
    <w:p w14:paraId="0687D70B" w14:textId="77777777" w:rsidR="00766E12" w:rsidRPr="00DE096C" w:rsidRDefault="00766E12" w:rsidP="00D45A46">
      <w:pPr>
        <w:jc w:val="both"/>
        <w:rPr>
          <w:bCs/>
          <w:color w:val="002060"/>
          <w:sz w:val="16"/>
          <w:szCs w:val="16"/>
        </w:rPr>
      </w:pPr>
      <w:r w:rsidRPr="00DE096C">
        <w:rPr>
          <w:bCs/>
          <w:color w:val="002060"/>
          <w:sz w:val="16"/>
          <w:szCs w:val="16"/>
        </w:rPr>
        <w:t xml:space="preserve">Морские орудия, изготовленные ОСЗ и Пермским заводом, называли орудиями II образца. Орудия устанавливались на линейных кораблях и линейных крейсерах типа "Донской". Тело орудия состояло из внутренней трубы, скрепленной по всей длине тремя цилиндрами в один ряд, а с середины орудия до казенного среза - еще и кожухом. На кожух навинчен казенник. Замок поршневой системы Виккерса. Длина ствола 6,000 мм (50 клб.). Длина нарезной части 5,042 мм. Крутизна нарезов постоянная в 30 клб. Число нарезов 28, глубина 0.96 мм. Вес замка 82-84.5 кг. Вес ствола с замком 3,150 кг. В боекомплект 120 мм/50 орудия входили снаряды: </w:t>
      </w:r>
    </w:p>
    <w:p w14:paraId="24517CCA" w14:textId="77777777" w:rsidR="00766E12" w:rsidRPr="00DE096C" w:rsidRDefault="00766E12" w:rsidP="00D45A46">
      <w:pPr>
        <w:jc w:val="both"/>
        <w:rPr>
          <w:bCs/>
          <w:color w:val="002060"/>
          <w:sz w:val="16"/>
          <w:szCs w:val="16"/>
        </w:rPr>
      </w:pPr>
      <w:r w:rsidRPr="00DE096C">
        <w:rPr>
          <w:bCs/>
          <w:color w:val="002060"/>
          <w:sz w:val="16"/>
          <w:szCs w:val="16"/>
        </w:rPr>
        <w:t xml:space="preserve">- фугасный обр.1907 года весом 23.4 кг в 4.0 клб, взрывчатое вещество - 2.35 кг, взрыватели обр.1913 г., 7ДТ, МР; </w:t>
      </w:r>
    </w:p>
    <w:p w14:paraId="652D2946" w14:textId="77777777" w:rsidR="00766E12" w:rsidRPr="00DE096C" w:rsidRDefault="00766E12" w:rsidP="00D45A46">
      <w:pPr>
        <w:jc w:val="both"/>
        <w:rPr>
          <w:bCs/>
          <w:color w:val="002060"/>
          <w:sz w:val="16"/>
          <w:szCs w:val="16"/>
        </w:rPr>
      </w:pPr>
      <w:r w:rsidRPr="00DE096C">
        <w:rPr>
          <w:bCs/>
          <w:color w:val="002060"/>
          <w:sz w:val="16"/>
          <w:szCs w:val="16"/>
        </w:rPr>
        <w:t xml:space="preserve">- фугасный обр.1911 года весом 23.4 кг в 5.0 клб, взрывчатое вещество - 2.53 кг, взрыватели обр.1913 г., МР; </w:t>
      </w:r>
    </w:p>
    <w:p w14:paraId="10953EBF" w14:textId="77777777" w:rsidR="00766E12" w:rsidRPr="00DE096C" w:rsidRDefault="00766E12" w:rsidP="00D45A46">
      <w:pPr>
        <w:jc w:val="both"/>
        <w:rPr>
          <w:bCs/>
          <w:color w:val="002060"/>
          <w:sz w:val="16"/>
          <w:szCs w:val="16"/>
        </w:rPr>
      </w:pPr>
      <w:r w:rsidRPr="00DE096C">
        <w:rPr>
          <w:bCs/>
          <w:color w:val="002060"/>
          <w:sz w:val="16"/>
          <w:szCs w:val="16"/>
        </w:rPr>
        <w:t xml:space="preserve">- шрапнель (введена в 1915 г.), вес 20.7 кг, в 3.73 клб с 22-секундной трубкой или ТМ-6; - - ныряющий весом 26.1 кг. в 5 клб, взрывчатое вещество - 5.16 кг, взрыватель НВ; </w:t>
      </w:r>
    </w:p>
    <w:p w14:paraId="4894D078" w14:textId="77777777" w:rsidR="00766E12" w:rsidRPr="00DE096C" w:rsidRDefault="00766E12" w:rsidP="00D45A46">
      <w:pPr>
        <w:jc w:val="both"/>
        <w:rPr>
          <w:bCs/>
          <w:color w:val="002060"/>
          <w:sz w:val="16"/>
          <w:szCs w:val="16"/>
        </w:rPr>
      </w:pPr>
      <w:r w:rsidRPr="00DE096C">
        <w:rPr>
          <w:bCs/>
          <w:color w:val="002060"/>
          <w:sz w:val="16"/>
          <w:szCs w:val="16"/>
        </w:rPr>
        <w:t xml:space="preserve">- осветительный беспарашютный весом 23 кг в 4.3 клб с трубкой МТ-6; </w:t>
      </w:r>
    </w:p>
    <w:p w14:paraId="100E7672" w14:textId="77777777" w:rsidR="00766E12" w:rsidRPr="00DE096C" w:rsidRDefault="00766E12" w:rsidP="00D45A46">
      <w:pPr>
        <w:jc w:val="both"/>
        <w:rPr>
          <w:bCs/>
          <w:color w:val="002060"/>
          <w:sz w:val="16"/>
          <w:szCs w:val="16"/>
        </w:rPr>
      </w:pPr>
      <w:r w:rsidRPr="00DE096C">
        <w:rPr>
          <w:bCs/>
          <w:color w:val="002060"/>
          <w:sz w:val="16"/>
          <w:szCs w:val="16"/>
        </w:rPr>
        <w:t xml:space="preserve">- химический (МЗ было заказано в 1916 г. 25,000 таких снарядов). </w:t>
      </w:r>
    </w:p>
    <w:p w14:paraId="15E2A7A4" w14:textId="77777777" w:rsidR="00766E12" w:rsidRPr="00DE096C" w:rsidRDefault="00766E12" w:rsidP="00D45A46">
      <w:pPr>
        <w:jc w:val="both"/>
        <w:rPr>
          <w:bCs/>
          <w:color w:val="002060"/>
          <w:sz w:val="16"/>
          <w:szCs w:val="16"/>
        </w:rPr>
      </w:pPr>
      <w:r w:rsidRPr="00DE096C">
        <w:rPr>
          <w:bCs/>
          <w:color w:val="002060"/>
          <w:sz w:val="16"/>
          <w:szCs w:val="16"/>
        </w:rPr>
        <w:t xml:space="preserve">120мм/50 орудие ОСЗ имело унитарное заряжание, заряд 7-8 кг бездымного пороха. </w:t>
      </w:r>
    </w:p>
    <w:p w14:paraId="33460935" w14:textId="77777777" w:rsidR="00766E12" w:rsidRPr="00DE096C" w:rsidRDefault="00766E12" w:rsidP="00D45A46">
      <w:pPr>
        <w:jc w:val="both"/>
        <w:rPr>
          <w:bCs/>
          <w:color w:val="002060"/>
          <w:sz w:val="16"/>
          <w:szCs w:val="16"/>
        </w:rPr>
      </w:pPr>
      <w:r w:rsidRPr="00DE096C">
        <w:rPr>
          <w:bCs/>
          <w:color w:val="002060"/>
          <w:sz w:val="16"/>
          <w:szCs w:val="16"/>
        </w:rPr>
        <w:t xml:space="preserve">Снаряд обр.1907 года - V0 = 800 м/с и дальность 11,430 метров при +20R. </w:t>
      </w:r>
    </w:p>
    <w:p w14:paraId="20DC0CCC" w14:textId="77777777" w:rsidR="00766E12" w:rsidRPr="00DE096C" w:rsidRDefault="00766E12" w:rsidP="00D45A46">
      <w:pPr>
        <w:jc w:val="both"/>
        <w:rPr>
          <w:bCs/>
          <w:color w:val="002060"/>
          <w:sz w:val="16"/>
          <w:szCs w:val="16"/>
        </w:rPr>
      </w:pPr>
      <w:r w:rsidRPr="00DE096C">
        <w:rPr>
          <w:bCs/>
          <w:color w:val="002060"/>
          <w:sz w:val="16"/>
          <w:szCs w:val="16"/>
        </w:rPr>
        <w:t xml:space="preserve">Шрапнель - V0 = 820 м/с и дальность 10,610 метров по трубке. </w:t>
      </w:r>
    </w:p>
    <w:p w14:paraId="34E3C015" w14:textId="77777777" w:rsidR="00766E12" w:rsidRPr="00DE096C" w:rsidRDefault="00766E12" w:rsidP="00D45A46">
      <w:pPr>
        <w:jc w:val="both"/>
        <w:rPr>
          <w:bCs/>
          <w:color w:val="002060"/>
          <w:sz w:val="16"/>
          <w:szCs w:val="16"/>
        </w:rPr>
      </w:pPr>
      <w:r w:rsidRPr="00DE096C">
        <w:rPr>
          <w:bCs/>
          <w:color w:val="002060"/>
          <w:sz w:val="16"/>
          <w:szCs w:val="16"/>
        </w:rPr>
        <w:t xml:space="preserve">Осветительный снаряд V0 = 660 м/с и дальность 10,430 метров по трубке. </w:t>
      </w:r>
    </w:p>
    <w:p w14:paraId="204CB488" w14:textId="77777777" w:rsidR="00766E12" w:rsidRPr="00DE096C" w:rsidRDefault="00766E12" w:rsidP="00D45A46">
      <w:pPr>
        <w:jc w:val="both"/>
        <w:rPr>
          <w:bCs/>
          <w:color w:val="002060"/>
          <w:sz w:val="16"/>
          <w:szCs w:val="16"/>
        </w:rPr>
      </w:pPr>
      <w:r w:rsidRPr="00DE096C">
        <w:rPr>
          <w:bCs/>
          <w:color w:val="002060"/>
          <w:sz w:val="16"/>
          <w:szCs w:val="16"/>
        </w:rPr>
        <w:t xml:space="preserve">Ныряющий - V0 = 216.4 м/с и дальность 2,190 метров. </w:t>
      </w:r>
    </w:p>
    <w:p w14:paraId="39B68326" w14:textId="77777777" w:rsidR="00766E12" w:rsidRPr="00DE096C" w:rsidRDefault="00766E12" w:rsidP="00D45A46">
      <w:pPr>
        <w:jc w:val="both"/>
        <w:rPr>
          <w:bCs/>
          <w:color w:val="002060"/>
          <w:sz w:val="16"/>
          <w:szCs w:val="16"/>
        </w:rPr>
      </w:pPr>
      <w:r w:rsidRPr="00DE096C">
        <w:rPr>
          <w:bCs/>
          <w:color w:val="002060"/>
          <w:sz w:val="16"/>
          <w:szCs w:val="16"/>
        </w:rPr>
        <w:t xml:space="preserve">120 мм/50 морские орудия устанавливались на станки на центральном штыре. Компрессор гидравлический, накатник пружинный. Подъемный механизм секторный. Поворотный механизм червячного типа. Толщина броневого щита 76 мм. Угол вертикального наведения -10R...+25R. Угол горизонтального наведения 360R. Скорость вертикального наведения 3.5 град/с, скорость горизонтального наведения 4-5 град/с. Длина отката 272-290 мм. Высота оси ствола от основания тумбы 1,117 мм. Вес откатных частей 3,300 кг. Вес щита 1,855 кг. Полный вес установки 8,700 кг. Скорострельность палубных установок 7-8 выстрелов в минуту. Кроме этого с 1912 года было налажено производство башенных установок для линейных крейсеров типа "Дмитрий Донской", линейных кораблей типа "Измаил" и "Императора Николая II". Компрессор гидравлический. Накатник пружинный. Подъемный механизм винтовой с ручным приводом. Привод поворотного механизма электрический, с муфтами Дженни. Угол вертикального наведения -5R...+35R, скорость вертикального наведения 5 град/с, скорость горизонтального наведения 5-6 град/с. Длина отката 375 мм (279 мм). Высота оси цапф над плоскостью центров шаров 1,875 мм (1,519 мм), диаметр башни по шарам 2,591 мм. Бронирование: лоб, бока 51 мм, крыша 25.4 мм, неподвижная броня 51 мм. Вес откатных частей 3,300 кг, вес качающейся части 4,440 кг, общий вес башни 43.1 тонны. Скорострельность 5-6 выстр/мин. </w:t>
      </w:r>
    </w:p>
    <w:p w14:paraId="29D2160F" w14:textId="77777777" w:rsidR="00766E12" w:rsidRPr="00DE096C" w:rsidRDefault="00766E12" w:rsidP="00D45A46">
      <w:pPr>
        <w:jc w:val="both"/>
        <w:rPr>
          <w:bCs/>
          <w:color w:val="002060"/>
          <w:sz w:val="16"/>
          <w:szCs w:val="16"/>
        </w:rPr>
      </w:pPr>
      <w:r w:rsidRPr="00DE096C">
        <w:rPr>
          <w:bCs/>
          <w:color w:val="002060"/>
          <w:sz w:val="16"/>
          <w:szCs w:val="16"/>
        </w:rPr>
        <w:t xml:space="preserve">120 мм/45 орудие обр.1911 года </w:t>
      </w:r>
    </w:p>
    <w:p w14:paraId="7BA4FB56" w14:textId="77777777" w:rsidR="00766E12" w:rsidRPr="00DE096C" w:rsidRDefault="00766E12" w:rsidP="00D45A46">
      <w:pPr>
        <w:jc w:val="both"/>
        <w:rPr>
          <w:bCs/>
          <w:color w:val="002060"/>
          <w:sz w:val="16"/>
          <w:szCs w:val="16"/>
        </w:rPr>
      </w:pPr>
      <w:r w:rsidRPr="00DE096C">
        <w:rPr>
          <w:bCs/>
          <w:color w:val="002060"/>
          <w:sz w:val="16"/>
          <w:szCs w:val="16"/>
        </w:rPr>
        <w:t xml:space="preserve">Новое 120 мм орудие было спроектировано на основе 120/50 орудия образца 1908 года и было специально передназначено для вооружения новейших эскадренных миноносцев. Орудие было спроектировано на Обуховском заводе и прошло испытание весной-летом 1911 года. Первым новейшие орудия получил эсминец "Яростный". </w:t>
      </w:r>
    </w:p>
    <w:p w14:paraId="034B13CC" w14:textId="77777777" w:rsidR="00766E12" w:rsidRPr="00DE096C" w:rsidRDefault="00766E12" w:rsidP="00D45A46">
      <w:pPr>
        <w:jc w:val="both"/>
        <w:rPr>
          <w:bCs/>
          <w:color w:val="002060"/>
          <w:sz w:val="16"/>
          <w:szCs w:val="16"/>
        </w:rPr>
      </w:pPr>
      <w:r w:rsidRPr="00DE096C">
        <w:rPr>
          <w:bCs/>
          <w:color w:val="002060"/>
          <w:sz w:val="16"/>
          <w:szCs w:val="16"/>
        </w:rPr>
        <w:lastRenderedPageBreak/>
        <w:t xml:space="preserve">Тело орудия состояло из внутренней трубы, скрепленной по всей длине тремя цилиндрами в один ряд, а с середины орудия до казенного среза - еще и кожухом. На кожух навинчен казенник. Замок поршневой системы Виккерса. Длина ствола 5400 мм (45 клб.). Длина нарезной части 4,842 мм. Крутизна нарезов постоянная в 30 клб. Число нарезов 28, глубина 0.96 мм. Вес замка 82-84.5 кг. Вес ствола с замком 3,150 кг. В боекомплект 120 мм/50 орудия входили снаряды: </w:t>
      </w:r>
    </w:p>
    <w:p w14:paraId="72432ED5" w14:textId="77777777" w:rsidR="00766E12" w:rsidRPr="00DE096C" w:rsidRDefault="00766E12" w:rsidP="00D45A46">
      <w:pPr>
        <w:jc w:val="both"/>
        <w:rPr>
          <w:bCs/>
          <w:color w:val="002060"/>
          <w:sz w:val="16"/>
          <w:szCs w:val="16"/>
        </w:rPr>
      </w:pPr>
      <w:r w:rsidRPr="00DE096C">
        <w:rPr>
          <w:bCs/>
          <w:color w:val="002060"/>
          <w:sz w:val="16"/>
          <w:szCs w:val="16"/>
        </w:rPr>
        <w:t xml:space="preserve">- фугасный обр.1907 года весом 23.4 кг в 4.0 клб, взрывчатое вещество - 2.35 кг, взрыватели обр.1913 г., 7ДТ, МР; </w:t>
      </w:r>
    </w:p>
    <w:p w14:paraId="1668844A" w14:textId="77777777" w:rsidR="00766E12" w:rsidRPr="00DE096C" w:rsidRDefault="00766E12" w:rsidP="00D45A46">
      <w:pPr>
        <w:jc w:val="both"/>
        <w:rPr>
          <w:bCs/>
          <w:color w:val="002060"/>
          <w:sz w:val="16"/>
          <w:szCs w:val="16"/>
        </w:rPr>
      </w:pPr>
      <w:r w:rsidRPr="00DE096C">
        <w:rPr>
          <w:bCs/>
          <w:color w:val="002060"/>
          <w:sz w:val="16"/>
          <w:szCs w:val="16"/>
        </w:rPr>
        <w:t xml:space="preserve">- фугасный обр.1911 года весом 23.4 кг в 5.0 клб, взрывчатое вещество - 2.53 кг, взрыватели обр.1913 г., МР; </w:t>
      </w:r>
    </w:p>
    <w:p w14:paraId="42A7CC72" w14:textId="77777777" w:rsidR="00766E12" w:rsidRPr="00DE096C" w:rsidRDefault="00766E12" w:rsidP="00D45A46">
      <w:pPr>
        <w:jc w:val="both"/>
        <w:rPr>
          <w:bCs/>
          <w:color w:val="002060"/>
          <w:sz w:val="16"/>
          <w:szCs w:val="16"/>
        </w:rPr>
      </w:pPr>
      <w:r w:rsidRPr="00DE096C">
        <w:rPr>
          <w:bCs/>
          <w:color w:val="002060"/>
          <w:sz w:val="16"/>
          <w:szCs w:val="16"/>
        </w:rPr>
        <w:t xml:space="preserve">- шрапнель (введена в 1915 г.), вес 20.7 кг, в 3.73 клб с 22-секундной трубкой или ТМ-6; - - ныряющий весом 26.1 кг. в 5 клб, взрывчатое вещество - 5.16 кг, взрыватель НВ; </w:t>
      </w:r>
    </w:p>
    <w:p w14:paraId="3A5B08C8" w14:textId="77777777" w:rsidR="00766E12" w:rsidRPr="00DE096C" w:rsidRDefault="00766E12" w:rsidP="00D45A46">
      <w:pPr>
        <w:jc w:val="both"/>
        <w:rPr>
          <w:bCs/>
          <w:color w:val="002060"/>
          <w:sz w:val="16"/>
          <w:szCs w:val="16"/>
        </w:rPr>
      </w:pPr>
      <w:r w:rsidRPr="00DE096C">
        <w:rPr>
          <w:bCs/>
          <w:color w:val="002060"/>
          <w:sz w:val="16"/>
          <w:szCs w:val="16"/>
        </w:rPr>
        <w:t xml:space="preserve">- осветительный беспарашютный весом 23 кг в 4.3 клб с трубкой МТ-6; </w:t>
      </w:r>
    </w:p>
    <w:p w14:paraId="516CB28D" w14:textId="77777777" w:rsidR="00766E12" w:rsidRPr="00DE096C" w:rsidRDefault="00766E12" w:rsidP="00D45A46">
      <w:pPr>
        <w:jc w:val="both"/>
        <w:rPr>
          <w:bCs/>
          <w:color w:val="002060"/>
          <w:sz w:val="16"/>
          <w:szCs w:val="16"/>
        </w:rPr>
      </w:pPr>
      <w:r w:rsidRPr="00DE096C">
        <w:rPr>
          <w:bCs/>
          <w:color w:val="002060"/>
          <w:sz w:val="16"/>
          <w:szCs w:val="16"/>
        </w:rPr>
        <w:t xml:space="preserve">- химический (МЗ было заказано в 1916 г. 25,000 таких снарядов). </w:t>
      </w:r>
    </w:p>
    <w:p w14:paraId="520AB984" w14:textId="77777777" w:rsidR="00766E12" w:rsidRPr="00DE096C" w:rsidRDefault="00766E12" w:rsidP="00D45A46">
      <w:pPr>
        <w:jc w:val="both"/>
        <w:rPr>
          <w:bCs/>
          <w:color w:val="002060"/>
          <w:sz w:val="16"/>
          <w:szCs w:val="16"/>
        </w:rPr>
      </w:pPr>
      <w:r w:rsidRPr="00DE096C">
        <w:rPr>
          <w:bCs/>
          <w:color w:val="002060"/>
          <w:sz w:val="16"/>
          <w:szCs w:val="16"/>
        </w:rPr>
        <w:t xml:space="preserve">120мм/50 орудие ОСЗ имело унитарное заряжание, заряд 7-8 кг бездымного пороха. </w:t>
      </w:r>
    </w:p>
    <w:p w14:paraId="007BE52F" w14:textId="77777777" w:rsidR="00766E12" w:rsidRPr="00DE096C" w:rsidRDefault="00766E12" w:rsidP="00D45A46">
      <w:pPr>
        <w:jc w:val="both"/>
        <w:rPr>
          <w:bCs/>
          <w:color w:val="002060"/>
          <w:sz w:val="16"/>
          <w:szCs w:val="16"/>
        </w:rPr>
      </w:pPr>
      <w:r w:rsidRPr="00DE096C">
        <w:rPr>
          <w:bCs/>
          <w:color w:val="002060"/>
          <w:sz w:val="16"/>
          <w:szCs w:val="16"/>
        </w:rPr>
        <w:t xml:space="preserve">Снаряд обр.1907 года - V0 = 762 м/с и дальность 10,660 метров при +20R. </w:t>
      </w:r>
    </w:p>
    <w:p w14:paraId="2C13E297" w14:textId="77777777" w:rsidR="00766E12" w:rsidRPr="00DE096C" w:rsidRDefault="00766E12" w:rsidP="00D45A46">
      <w:pPr>
        <w:jc w:val="both"/>
        <w:rPr>
          <w:bCs/>
          <w:color w:val="002060"/>
          <w:sz w:val="16"/>
          <w:szCs w:val="16"/>
        </w:rPr>
      </w:pPr>
      <w:r w:rsidRPr="00DE096C">
        <w:rPr>
          <w:bCs/>
          <w:color w:val="002060"/>
          <w:sz w:val="16"/>
          <w:szCs w:val="16"/>
        </w:rPr>
        <w:t xml:space="preserve">Шрапнель - V0 = 792 м/с и дальность 10,610 метров по трубке. </w:t>
      </w:r>
    </w:p>
    <w:p w14:paraId="11E87C46" w14:textId="77777777" w:rsidR="00766E12" w:rsidRPr="00DE096C" w:rsidRDefault="00766E12" w:rsidP="00D45A46">
      <w:pPr>
        <w:jc w:val="both"/>
        <w:rPr>
          <w:bCs/>
          <w:color w:val="002060"/>
          <w:sz w:val="16"/>
          <w:szCs w:val="16"/>
        </w:rPr>
      </w:pPr>
      <w:r w:rsidRPr="00DE096C">
        <w:rPr>
          <w:bCs/>
          <w:color w:val="002060"/>
          <w:sz w:val="16"/>
          <w:szCs w:val="16"/>
        </w:rPr>
        <w:t xml:space="preserve">Осветительный снаряд V0 = 660 м/с и дальность 10,430 метров по трубке. </w:t>
      </w:r>
    </w:p>
    <w:p w14:paraId="1EF43800" w14:textId="77777777" w:rsidR="00766E12" w:rsidRPr="00DE096C" w:rsidRDefault="00766E12" w:rsidP="00D45A46">
      <w:pPr>
        <w:jc w:val="both"/>
        <w:rPr>
          <w:bCs/>
          <w:color w:val="002060"/>
          <w:sz w:val="16"/>
          <w:szCs w:val="16"/>
        </w:rPr>
      </w:pPr>
      <w:r w:rsidRPr="00DE096C">
        <w:rPr>
          <w:bCs/>
          <w:color w:val="002060"/>
          <w:sz w:val="16"/>
          <w:szCs w:val="16"/>
        </w:rPr>
        <w:t xml:space="preserve">Ныряющий - V0 = 216.4 м/с и дальность 2,190 метров. </w:t>
      </w:r>
    </w:p>
    <w:p w14:paraId="1A151A6D" w14:textId="77777777" w:rsidR="00766E12" w:rsidRPr="00DE096C" w:rsidRDefault="00766E12" w:rsidP="00D45A46">
      <w:pPr>
        <w:jc w:val="both"/>
        <w:rPr>
          <w:bCs/>
          <w:color w:val="002060"/>
          <w:sz w:val="16"/>
          <w:szCs w:val="16"/>
        </w:rPr>
      </w:pPr>
      <w:r w:rsidRPr="00DE096C">
        <w:rPr>
          <w:bCs/>
          <w:color w:val="002060"/>
          <w:sz w:val="16"/>
          <w:szCs w:val="16"/>
        </w:rPr>
        <w:t xml:space="preserve">120 мм/45 морские орудия устанавливались на станки на центральном штыре. Компрессор гидравлический, накатник пружинный. Подъемный механизм секторный. Поворотный механизм червячного типа. Толщина броневого щита 25 мм. Угол вертикального наведения -10R...+30R. Угол горизонтального наведения 360R. Скорость вертикального наведения 3.5 град/с, скорость горизонтального наведения 5-6 град/с. Длина отката 272-290 мм. Высота оси ствола от основания тумбы 1,117 мм. Вес откатных частей 3,300 кг. Вес щита 800 кг. Скорострельность 6-8 выстр/мин. </w:t>
      </w:r>
    </w:p>
    <w:p w14:paraId="36A38F31" w14:textId="77777777" w:rsidR="00766E12" w:rsidRPr="00DE096C" w:rsidRDefault="00766E12" w:rsidP="00D45A46">
      <w:pPr>
        <w:jc w:val="both"/>
        <w:rPr>
          <w:bCs/>
          <w:color w:val="002060"/>
          <w:sz w:val="16"/>
          <w:szCs w:val="16"/>
        </w:rPr>
      </w:pPr>
      <w:r w:rsidRPr="00DE096C">
        <w:rPr>
          <w:bCs/>
          <w:color w:val="002060"/>
          <w:sz w:val="16"/>
          <w:szCs w:val="16"/>
        </w:rPr>
        <w:t xml:space="preserve">120 мм/45 орудия обр.1891 года </w:t>
      </w:r>
    </w:p>
    <w:p w14:paraId="3BB926DA" w14:textId="77777777" w:rsidR="00766E12" w:rsidRPr="00DE096C" w:rsidRDefault="00766E12" w:rsidP="00D45A46">
      <w:pPr>
        <w:jc w:val="both"/>
        <w:rPr>
          <w:bCs/>
          <w:color w:val="002060"/>
          <w:sz w:val="16"/>
          <w:szCs w:val="16"/>
        </w:rPr>
      </w:pPr>
      <w:r w:rsidRPr="00DE096C">
        <w:rPr>
          <w:bCs/>
          <w:color w:val="002060"/>
          <w:sz w:val="16"/>
          <w:szCs w:val="16"/>
        </w:rPr>
        <w:t xml:space="preserve">Патронные 120мм/45 орудия Канэ были приняты на вооружение вместе со 152 мм/45 орудием. Первоначально их изготавливали только на Обуховском сталелитейном заводе, затем к выпуску был подключен Пермский завод. К 01.05.1901 г. завод сдал 76 таких орудий. После русско-японской войны ОСЗ перешел к выпуску 120 мм/45 орудий, скрепленных до дула. Эти орудия устанавливались на канонерских лодках, эсминцах и вспомогательных судах. Нескрепленный ствол состоял из трубы, скрепленной кожухом, и добавочного кольца. Затвор поршневой. Нарезка канала сначала постоянная, затем прогрессивная и, наконец, на длине 6 клб у дула - вновь постоянная. Скрепленный ствол состоял из внутренней трубы, трех цилиндров, скрепляющих трубу у дула, кожуха и казенника. Длина ствола 5,400 мм (45 клб), длина нарезной части 4,261.7 мм. Крутизна нарезов у дула 29.89 клб. Число нарезов 30, глубина 0.8 мм. Вес замка 67-69 кг. Вес орудия с замком 2,989-3,096 кг. Первоначально к 120 мм/45 орудиям полагались снаряды весом 20.47 кг: бронебойный длиной 2.8 клб и фугасный в 3.5 клб. После русско-японской войны применялись снаряды обр.1907 и 1911 годов: </w:t>
      </w:r>
    </w:p>
    <w:p w14:paraId="49144579" w14:textId="77777777" w:rsidR="00766E12" w:rsidRPr="00DE096C" w:rsidRDefault="00766E12" w:rsidP="00D45A46">
      <w:pPr>
        <w:jc w:val="both"/>
        <w:rPr>
          <w:bCs/>
          <w:color w:val="002060"/>
          <w:sz w:val="16"/>
          <w:szCs w:val="16"/>
        </w:rPr>
      </w:pPr>
      <w:r w:rsidRPr="00DE096C">
        <w:rPr>
          <w:bCs/>
          <w:color w:val="002060"/>
          <w:sz w:val="16"/>
          <w:szCs w:val="16"/>
        </w:rPr>
        <w:t xml:space="preserve">- фугасный обр.1907 года весом 23.4 кг в 4.0 клб, взрывчатое вещество - 2.35 кг, взрыватели обр.1913 г., 7ДТ, МР; </w:t>
      </w:r>
    </w:p>
    <w:p w14:paraId="29BA095A" w14:textId="77777777" w:rsidR="00766E12" w:rsidRPr="00DE096C" w:rsidRDefault="00766E12" w:rsidP="00D45A46">
      <w:pPr>
        <w:jc w:val="both"/>
        <w:rPr>
          <w:bCs/>
          <w:color w:val="002060"/>
          <w:sz w:val="16"/>
          <w:szCs w:val="16"/>
        </w:rPr>
      </w:pPr>
      <w:r w:rsidRPr="00DE096C">
        <w:rPr>
          <w:bCs/>
          <w:color w:val="002060"/>
          <w:sz w:val="16"/>
          <w:szCs w:val="16"/>
        </w:rPr>
        <w:t xml:space="preserve">- фугасный обр.1911 года весом 23.4 кг в 5.0 клб, взрывчатое вещество - 2.53 кг, взрыватели обр.1913 г., МР; </w:t>
      </w:r>
    </w:p>
    <w:p w14:paraId="610585BA" w14:textId="77777777" w:rsidR="00766E12" w:rsidRPr="00DE096C" w:rsidRDefault="00766E12" w:rsidP="00D45A46">
      <w:pPr>
        <w:jc w:val="both"/>
        <w:rPr>
          <w:bCs/>
          <w:color w:val="002060"/>
          <w:sz w:val="16"/>
          <w:szCs w:val="16"/>
        </w:rPr>
      </w:pPr>
      <w:r w:rsidRPr="00DE096C">
        <w:rPr>
          <w:bCs/>
          <w:color w:val="002060"/>
          <w:sz w:val="16"/>
          <w:szCs w:val="16"/>
        </w:rPr>
        <w:t xml:space="preserve">- шрапнель (введена в 1915 г.), вес 20.7 кг, в 3.73 клб с 22-секундной трубкой или ТМ-6; - - ныряющий весом 26.1 кг. в 5 клб, взрывчатое вещество - 5.16 кг, взрыватель НВ; </w:t>
      </w:r>
    </w:p>
    <w:p w14:paraId="2BE82E14" w14:textId="77777777" w:rsidR="00766E12" w:rsidRPr="00DE096C" w:rsidRDefault="00766E12" w:rsidP="00D45A46">
      <w:pPr>
        <w:jc w:val="both"/>
        <w:rPr>
          <w:bCs/>
          <w:color w:val="002060"/>
          <w:sz w:val="16"/>
          <w:szCs w:val="16"/>
        </w:rPr>
      </w:pPr>
      <w:r w:rsidRPr="00DE096C">
        <w:rPr>
          <w:bCs/>
          <w:color w:val="002060"/>
          <w:sz w:val="16"/>
          <w:szCs w:val="16"/>
        </w:rPr>
        <w:t xml:space="preserve">- осветительный беспарашютный весом 23 кг в 4.3 клб с трубкой МТ-6; </w:t>
      </w:r>
    </w:p>
    <w:p w14:paraId="053C7243" w14:textId="77777777" w:rsidR="00766E12" w:rsidRPr="00DE096C" w:rsidRDefault="00766E12" w:rsidP="00D45A46">
      <w:pPr>
        <w:jc w:val="both"/>
        <w:rPr>
          <w:bCs/>
          <w:color w:val="002060"/>
          <w:sz w:val="16"/>
          <w:szCs w:val="16"/>
        </w:rPr>
      </w:pPr>
      <w:r w:rsidRPr="00DE096C">
        <w:rPr>
          <w:bCs/>
          <w:color w:val="002060"/>
          <w:sz w:val="16"/>
          <w:szCs w:val="16"/>
        </w:rPr>
        <w:t xml:space="preserve">- химический (МЗ было заказано в 1916 г. 25,000 таких снарядов). </w:t>
      </w:r>
    </w:p>
    <w:p w14:paraId="7AF82245" w14:textId="77777777" w:rsidR="00766E12" w:rsidRPr="00DE096C" w:rsidRDefault="00766E12" w:rsidP="00D45A46">
      <w:pPr>
        <w:jc w:val="both"/>
        <w:rPr>
          <w:bCs/>
          <w:color w:val="002060"/>
          <w:sz w:val="16"/>
          <w:szCs w:val="16"/>
        </w:rPr>
      </w:pPr>
      <w:r w:rsidRPr="00DE096C">
        <w:rPr>
          <w:bCs/>
          <w:color w:val="002060"/>
          <w:sz w:val="16"/>
          <w:szCs w:val="16"/>
        </w:rPr>
        <w:t xml:space="preserve">Заряжание 120 мм/45 орудия унитарное. Длина гильзы 937 мм, вес 8.8 кг. Длина патрона от 1,308 до 1,477 мм. У снарядов 1890-х гг. V0 = 823 м/с, дальность 5,720 метров при +6R (предел - 9,520 метров). Для снаряда обр.1907 г. V0 = 762 м/с и дальность 11,300 метров при +25R, и 15,000 метров при +38R. Для шрапнели V0 = 792 м/с и дальность 10,100 метров по трубке (18R). Для ныряющего снаряда V0 = 350 м/с и дальность 2,380 метров. Первоначально для 120мм/45 орудий Канэ предназначались два станка системы Канэ - на центральном штыре и на бортовом (для закрытых батарей). Оба станка изготавливались ОСЗ. Станок Канэ на центральном штыре: цилиндр гидропневматического компрессора составлял одно целое с обоймой, соединенной со стволом. Накатник пружинный. Подъемный механизм имел одну зубчатую дугу. Штыровое основание - круглая стальная отливка, которая крепилась к палубе или бетонному основанию болтами. На нем имелся круговой желоб с шарами, на которых лежала своим дном поворотная рама. </w:t>
      </w:r>
    </w:p>
    <w:p w14:paraId="1C47982C" w14:textId="77777777" w:rsidR="00766E12" w:rsidRPr="00DE096C" w:rsidRDefault="00766E12" w:rsidP="00D45A46">
      <w:pPr>
        <w:jc w:val="both"/>
        <w:rPr>
          <w:bCs/>
          <w:color w:val="002060"/>
          <w:sz w:val="16"/>
          <w:szCs w:val="16"/>
        </w:rPr>
      </w:pPr>
      <w:r w:rsidRPr="00DE096C">
        <w:rPr>
          <w:bCs/>
          <w:color w:val="002060"/>
          <w:sz w:val="16"/>
          <w:szCs w:val="16"/>
        </w:rPr>
        <w:t xml:space="preserve">Угол вертикального наведения -7R...+20R. Угол горизонтального наведения 360R. Длина отката 294 мм. Высота оси цапф от основания тумбы 1,050 мм. Вес откатных частей 3,800 кг., вес качающейся части 4,400 кг. Вес щита 900 кг. Вес установки с пушкой и щитом 7,500 кг. Станок Канэ на бортовом штыре почти одинаков со станком на центральном штыре. Угол горизонтального наведения 100R. Высота оси цапф над основанием 1,150 мм. Вес станка без орудия 4881 кг. Внешние размеры скрепленных до дула 120 мм/45 орудий отличались от нескрепленных, и их нельзя было установить на станки Канэ. Поэтому Металлический завод спроектировал под новый образец орудия станок на центральном штыре для канонерских лодок. Принципиальное отличие станка Металлического завода от станков Канэ - замена подъемной дуги винтом, кроме того, противооткатные устройства сделали неподвижными. Угол вертикального наведения -7R...+25R, на более поздних моделях +30R. Угол горизонтального наведения 360R Длина отката 284 мм. Высота оси цапф от основания тумбы 1,125 мм. Вес откатных частей 3,608 кг, вес качающейся части 4,756 кг. Вес щита 1,402 кг. Вес установки с орудием и щитом 8,780 кг. </w:t>
      </w:r>
    </w:p>
    <w:p w14:paraId="01A58111" w14:textId="77777777" w:rsidR="00766E12" w:rsidRPr="00DE096C" w:rsidRDefault="00766E12" w:rsidP="00D45A46">
      <w:pPr>
        <w:jc w:val="both"/>
        <w:rPr>
          <w:bCs/>
          <w:color w:val="002060"/>
          <w:sz w:val="16"/>
          <w:szCs w:val="16"/>
        </w:rPr>
      </w:pPr>
      <w:r w:rsidRPr="00DE096C">
        <w:rPr>
          <w:bCs/>
          <w:color w:val="002060"/>
          <w:sz w:val="16"/>
          <w:szCs w:val="16"/>
        </w:rPr>
        <w:t xml:space="preserve">75 мм/50 орудие образца 1891 года. </w:t>
      </w:r>
    </w:p>
    <w:p w14:paraId="45551BAD" w14:textId="77777777" w:rsidR="00766E12" w:rsidRPr="00DE096C" w:rsidRDefault="00766E12" w:rsidP="00D45A46">
      <w:pPr>
        <w:jc w:val="both"/>
        <w:rPr>
          <w:bCs/>
          <w:color w:val="002060"/>
          <w:sz w:val="16"/>
          <w:szCs w:val="16"/>
        </w:rPr>
      </w:pPr>
      <w:r w:rsidRPr="00DE096C">
        <w:rPr>
          <w:bCs/>
          <w:color w:val="002060"/>
          <w:sz w:val="16"/>
          <w:szCs w:val="16"/>
        </w:rPr>
        <w:t xml:space="preserve">Документацию на 75 мм/50 пушку Канэ купили в 1891 г. вместе со 152 мм/45 и 120 мм/45 орудиями Канэ. 75 мм/50 пушки были приняты только в Морском ведомстве. Артиллерийский комитет ГАУ в июне 1892 г. рассмотрел вопрос о возможности введения 75мм/50 пушки Канэ в сухопутной артиллерии и отказался от нее. 75 мм/50 пушка серийно изготавливалась на Обуховском и Пермском заводах. Обуховский завод (ОСЗ) к 01.05.1901 г. сдал 234 пушки. С 01.08.1909 г. по 01.01.1917 г. - 268 пушек. В 1917 г. - 19 шт., в 1918-м - 0, в 1919-м - 10 шт., в 1920-м - 10 шт. и в 1921-м - 10 шт. Пермский завод в 1900-1907 гг. сдал около 70 орудий. Затем производство приостановили до 1914 г. В 1914-1916 гг. завод поставил 103 орудия. 75 мм орудие являлось основным противоминным калибром броненосцев и крейсеров русского флота и главным калибром миноносцев. После Русско-Японской войны 75 мм орудия теряют свое значение и постепенно снимаются с кораблей. Первоначально орудия складировались. С 1910 года было принято решение использовать 75 мм для береговой обороны и для вооружения вспомогательных судов. С 1912 года АО ГУК было принято решение использовать 75 мм орудия в качестве противовоздушных. Пушка состояла из ствола, скрепленного кожухом и добавочным кольцом. Затвор поршневой. Длина ствола 3,750/50 мм/клб., длина трубы 3,616/48.2 мм/клб., длина нарезной части 2,943.5 мм. Крутизна нарезов переменная (у дула 30 клб.) Число нарезов 18, глубина 0.6 мм. Вес замка 25 кг. Вес ствола с замком 879-901 кг. До 1905 г. в боекомплект 75мм/50 пушки входили только бронебойные снаряды весом 4.9 кг и длиной 2.7 клб. На дистанции 915 метров они пробивали по нормали 117-мм броню. В начале 1905 года была введена пулевая диафрагменная шрапнель весом 4.91 кг в 2.9 клб., содержавшая около 184 пуль диаметром 12.7 мм и весом 0.010 кг каждая. Трубка 22-секундная. Позже появился фугасный снаряд обр. 1907 г. весом 4.91 кг в 3.36 клб., взрывчатое вещество - 0.52 кг тротила, взрыватель обр. 1913 года или МР. В 1915 году ввели: фугасный зенитный снаряд весом 5.32 кг в 3.2 клб. с 22-секундной трубкой; ныряющий снаряд весом 4.5 кг в 3.4 клб., взрывчатое вещество - 0.76 кг, взрыватель НВ; зажигательный снаряд в 3.3 клб. и осветительный в 3.3 клб. с 18-секундной трубкой. В 1917 году введен зенитный снаряд Розенберга с палочной шрапнелью весом 5.75-5.97 кг, длиной 2.8-4.5 клб., трубка 22-секундная или МТ-6. </w:t>
      </w:r>
    </w:p>
    <w:p w14:paraId="6D13A605" w14:textId="77777777" w:rsidR="00766E12" w:rsidRPr="00DE096C" w:rsidRDefault="00766E12" w:rsidP="00D45A46">
      <w:pPr>
        <w:jc w:val="both"/>
        <w:rPr>
          <w:bCs/>
          <w:color w:val="002060"/>
          <w:sz w:val="16"/>
          <w:szCs w:val="16"/>
        </w:rPr>
      </w:pPr>
      <w:r w:rsidRPr="00DE096C">
        <w:rPr>
          <w:bCs/>
          <w:color w:val="002060"/>
          <w:sz w:val="16"/>
          <w:szCs w:val="16"/>
        </w:rPr>
        <w:t xml:space="preserve">Заряжание пушки унитарное. Гильза латунная длиной 662 мм, вес 3.032 кг. Заряд - 1.5 кг бездымного пороха, для ныряющего снаряда - 0.2 кг. </w:t>
      </w:r>
    </w:p>
    <w:p w14:paraId="25D501E2" w14:textId="77777777" w:rsidR="00766E12" w:rsidRPr="00DE096C" w:rsidRDefault="00766E12" w:rsidP="00D45A46">
      <w:pPr>
        <w:jc w:val="both"/>
        <w:rPr>
          <w:bCs/>
          <w:color w:val="002060"/>
          <w:sz w:val="16"/>
          <w:szCs w:val="16"/>
        </w:rPr>
      </w:pPr>
      <w:r w:rsidRPr="00DE096C">
        <w:rPr>
          <w:bCs/>
          <w:color w:val="002060"/>
          <w:sz w:val="16"/>
          <w:szCs w:val="16"/>
        </w:rPr>
        <w:t xml:space="preserve">По таблицам стрельбы 1896 г. бронебойный снаряд имел V0 = 823 м/с и дальность 6,400 метров при +13R и 869 м/с при +21R. Фугасный снаряд обр. 1907 г. V0 = 823 м/с, дальность 7,870 метров при +20R. Фугасный (толовый) зенитный V0 = 747 м/с, дальность 7,690 метров при +20R, 8,420 метров при +25R и 9,150 м. по трубке 28 секунд (+35R). Шрапнель пулевая с 22-секундной трубкой V0 = 823 м/с, дальность 6,400 метров по трубке. Шрапнель "Р" весом 5.75 кг. V0 = 738 м/с, дальность 7,500 метров при +19R41' и 8,970 метров при +40R. Ныряющий снаряд V0 = 229 м/с, дальность 2,010 метров. </w:t>
      </w:r>
    </w:p>
    <w:p w14:paraId="77B5FC83" w14:textId="77777777" w:rsidR="00766E12" w:rsidRPr="00DE096C" w:rsidRDefault="00766E12" w:rsidP="00D45A46">
      <w:pPr>
        <w:jc w:val="both"/>
        <w:rPr>
          <w:bCs/>
          <w:color w:val="002060"/>
          <w:sz w:val="16"/>
          <w:szCs w:val="16"/>
        </w:rPr>
      </w:pPr>
      <w:r w:rsidRPr="00DE096C">
        <w:rPr>
          <w:bCs/>
          <w:color w:val="002060"/>
          <w:sz w:val="16"/>
          <w:szCs w:val="16"/>
        </w:rPr>
        <w:t xml:space="preserve">Первоначально 75мм/50 пушки устанавливались на станках Канэ на центральном штыре. Компрессор гидравлический, откатывался вместе со стволом; накатник пружинный. Подъемный механизм с зубчатой дугой. Поворотный механизм посредством валов и шестерен сцеплялся с зубчатым погоном, прикрепленным к штыровому основанию. В 1896-1898 гг. на ОСЗ создали станок системы Меллера. Он весил почти в два раза меньше старого за счет облегчения и упрощения конструкции: механизм горизонтального наведения был упразднен, а поворот орудия производился плечом наводчика. Подъемный механизм имел зубчатую дугу. Чтобы уменьшить вес противооткатных устройств, ввели гидропневматический накатник и в два раза увеличили длину отката. Для палубных установок Металлическим заводом был создан 75мм/50 станок на центральном штыре обр. 1906 г. с центральным компрессором, неподвижным при откате. Накатник пружинный. Подъемный механизм винтовой. Поворотный механизм имел цилиндрическую шестерню, сцепленную с круговым погоном. Модернизированный вариант станка Металлического завода обр. 1906 г. получил название станка обр. 1908 г. Как ранее указывалось, 75 мм орудия было принято решение использовать для противовоздушной обороны. Первые переделанные зенитные станки сдали уже осенью 1913 года. Станок Меллера позволил орудию иметь угол возвышения +55R. Таких установок изготовлено 77 штук. Затем ОСЗ доработал станок, и угол возвышения удалось довести до 75R. С лета 1917 года орудие устанавливалось на новый станок, угол возвышения которого был доведен до +85R. </w:t>
      </w:r>
    </w:p>
    <w:p w14:paraId="1BA51D63" w14:textId="77777777" w:rsidR="00766E12" w:rsidRPr="00DE096C" w:rsidRDefault="00766E12" w:rsidP="00D45A46">
      <w:pPr>
        <w:jc w:val="both"/>
        <w:rPr>
          <w:bCs/>
          <w:color w:val="002060"/>
          <w:sz w:val="16"/>
          <w:szCs w:val="16"/>
        </w:rPr>
      </w:pPr>
      <w:r w:rsidRPr="00DE096C">
        <w:rPr>
          <w:bCs/>
          <w:color w:val="002060"/>
          <w:sz w:val="16"/>
          <w:szCs w:val="16"/>
        </w:rPr>
        <w:t xml:space="preserve">В заключении стоит добавить, что кроме указанных систем на вооружение Императорского флота поступили с 1906 года 8.8 см орудия SK L/45 C/06. этими орудиями частично закупленными в Германии, а большей частью изготовленными на Пермьском орудийном заводе, были вооружены достраивающиеся в течении 1906-1907 гг. эсминцы типа "Доблестный", "Лейтенант Бураков" и "Инженер-механик Зверев".. Кроме того одним из уроков Русско-Японской войны стала возрасшая опасность носителей торпедного оружия. И если для поражения эсминцев наиболее приемлимым на флоте считали 120 мм орудие, то для обстрела неожиданно появившихся на </w:t>
      </w:r>
      <w:r w:rsidRPr="00DE096C">
        <w:rPr>
          <w:bCs/>
          <w:color w:val="002060"/>
          <w:sz w:val="16"/>
          <w:szCs w:val="16"/>
        </w:rPr>
        <w:lastRenderedPageBreak/>
        <w:t xml:space="preserve">сверхмалых дистанциях минных катеров нужно было очень скорострельное оружие. Старые 47 мм и 37 мм орудия считались для этого уже неподходящими. Выходом посчитали принятие на вооружение 37 мм автоматического орудия Максима, производством которого занимался ОСЗ. Артоотдел МТК полагал необходимым вооружить 4-мя орудиями каждый корабль I ранга и 2-мя орудиями каждый корабль II ранга. Данное решение было утверждено морским министром, но производство автоматов в межвоенный период шло достаточно медленно, в основном из-за ограниченного финансирования и корабли в лучшем случае получили по паре орудий. Позднее после ряда опытов с 37 мм автоматами сочли возможным попробовать увеличить калибр и разработать орудие взяв за основу ствол и баллистику 47 мм орудия Гочкиса. В итоге в 1911 году была разработана новая 47 мм автоматическая пушка, которую после длительных испытаний приняли на вооружение в 1913 году, как 47 мм автоматическое орудие обр.1913 года с длинной ствола 43 калибра. До начала войны было произведено всего 17 орудий. </w:t>
      </w:r>
    </w:p>
    <w:p w14:paraId="286512BE" w14:textId="77777777" w:rsidR="00766E12" w:rsidRPr="00DE096C" w:rsidRDefault="00766E12" w:rsidP="00D45A46">
      <w:pPr>
        <w:jc w:val="both"/>
        <w:rPr>
          <w:bCs/>
          <w:color w:val="002060"/>
          <w:sz w:val="16"/>
          <w:szCs w:val="16"/>
        </w:rPr>
      </w:pPr>
      <w:r w:rsidRPr="00DE096C">
        <w:rPr>
          <w:bCs/>
          <w:color w:val="002060"/>
          <w:sz w:val="16"/>
          <w:szCs w:val="16"/>
        </w:rPr>
        <w:t xml:space="preserve">Тем не менее, тот факт, что ОСЗ к началу великой войны имел налаженное производство 37 мм и 47 мм автоматов сыграл огромную роль в организации впоследствии противовоздушной обороны флота и армии. В 1912 году была закуплена ограниченная партия (38 штук) американских автоматических пушек системы МакКлена. </w:t>
      </w:r>
    </w:p>
    <w:p w14:paraId="488CCA35" w14:textId="77777777" w:rsidR="00766E12" w:rsidRPr="00DE096C" w:rsidRDefault="00766E12" w:rsidP="00D45A46">
      <w:pPr>
        <w:jc w:val="both"/>
        <w:rPr>
          <w:bCs/>
          <w:color w:val="002060"/>
          <w:sz w:val="16"/>
          <w:szCs w:val="16"/>
        </w:rPr>
      </w:pPr>
      <w:r w:rsidRPr="00DE096C">
        <w:rPr>
          <w:bCs/>
          <w:color w:val="002060"/>
          <w:sz w:val="16"/>
          <w:szCs w:val="16"/>
        </w:rPr>
        <w:t xml:space="preserve">ТОРПЕДЫ </w:t>
      </w:r>
    </w:p>
    <w:p w14:paraId="5C361C28" w14:textId="77777777" w:rsidR="00766E12" w:rsidRPr="00DE096C" w:rsidRDefault="00766E12" w:rsidP="00D45A46">
      <w:pPr>
        <w:jc w:val="both"/>
        <w:rPr>
          <w:bCs/>
          <w:color w:val="002060"/>
          <w:sz w:val="16"/>
          <w:szCs w:val="16"/>
        </w:rPr>
      </w:pPr>
      <w:r w:rsidRPr="00DE096C">
        <w:rPr>
          <w:bCs/>
          <w:color w:val="002060"/>
          <w:sz w:val="16"/>
          <w:szCs w:val="16"/>
        </w:rPr>
        <w:t xml:space="preserve">Торпедное, или как тогда называли, минное оружие широко применялось в ходе Русско-Японской войны. Наиболее совершенной к РЯВ стала торпеда образца 1898 года под индексом "Л". Спроектированная заводом Лесснера на основе фиумских образцов, она в течение ряда лет находилась в серийном производстве на отечественных заводах. Ее скорость составляла 30 узлов, вес заряда взрывчатого вещества - 64 кг. Именно торпеды образца 1898 года, помимо заказанных в 1904 году Шварцкопфу, явились основным образцом, применявшимся кораблями Российского флота в русско-японской войне. Применялись торпеды главным образом миноносцами. Однако стреляли также крейсера с целью потопления поврежденных кораблей противника в ходе Цусимского сражения и транспортов. С миноносцев в основном стрельба производилась ночью или на рассвете в условиях ограниченной видимости, как в бою у острова Дажалет. Дистанция не превышала, как правило, нескольких кабельтовых. Первоначально стреляли одиночной торпедой, затем к концу войны применяли 2-3 торпеды в ходе атаки. В 1904 году Российский флот первым принял торпеду Уайтхеда калибра 450 мм, вследствие чего она получила название "Stlura Russo" - в переводе с итальянского "русская мина". В русско-японской войне торпеда образца 1904 года практически не использовалась. Фиумский завод поставил России 93 штуки. В дальнейшем производство наладили на Обуховском заводе и заводе Лесснера. С началом изготовления торпед в России в них внесли некоторые конструктивные улучшения. Важным этапом в развитии торпедного оружия явилось внедрение в энергосиловые установки "сухого", а затем и "влажного" подогрева сжатого воздуха. Еще в 1899 году лейтенант И.И. Назаров, проводя на Черноморском флоте эксперименты с подогревом сжатого воздуха, докладывал: "Результаты этих опытов... показывают, что прогревание сжатого воздуха в самодвижущихся минах является могучим средством для увеличения их скорости и дальности". Первой торпедой Уайтхеда с "сухим" подогревом сжатого воздуха стала торпеда образца 1908 года. Приобретенная в том же году для Российского флота, она в широких масштабах производилась и на отечественных заводах. Взаимоотношения русских специалистов с Фиумским заводом были деловыми и достаточно тесными. К началу 1912 года завод закончил разработку новой торпеды, а уже в апреле с фирмой Уайтхед и КR заключили договор на поставку 250 торпед этого типа с правом их изготовления в России и обязательством поставить два первых образца через пять месяцев со дня заключения контракта. В сентябре того же года в Фиум выехала русская комиссия, в состав которой вошли видные торпедисты Е.А. Пастухов, Б.Л. Пшенецкий, А.В. Трофимов и П.Н. Тахибиев. После испытаний, результаты которых убедили членов комиссии в соответствии торпед техническим условиям договора, завод приступил к изготовлению заказанной партии. Торпеда, получившая наименование 45-12, явилась последней и наиболее совершенной, созданной Фиумским заводом до начала великой войны. Ее главная особенность заключалась в "подогревательном аппарате с впрыскиванием и испарением воды". По сравнению со всеми предыдущими образцами благодаря подогревательному аппарату торпеда 45-12 обладала значительным преимуществом в дальности и скорости хода. К лету 1914 года Фиумский завод отправил 36 из 250 заказанных торпед. Остальные торпеды были получены к концу 1915 года. Производство торпед 45-12 было налажено на отечественных заводах к осени 1913 года. Поскольку в процессе изготовления и пристрелки первых их образцов обнаружилось немало недостатков, торпеда подверглась значительной модернизации. Многие изменения и улучшения в ее конструкцию были внесены представителями Минного отдела Главного управления кораблестроения и конструкторами заводов Г.А. Лесснера и Обуховского. </w:t>
      </w:r>
    </w:p>
    <w:p w14:paraId="22E3209F" w14:textId="77777777" w:rsidR="00766E12" w:rsidRPr="00DE096C" w:rsidRDefault="00766E12" w:rsidP="00D45A46">
      <w:pPr>
        <w:jc w:val="both"/>
        <w:rPr>
          <w:bCs/>
          <w:color w:val="002060"/>
          <w:sz w:val="16"/>
          <w:szCs w:val="16"/>
        </w:rPr>
      </w:pPr>
      <w:r w:rsidRPr="00DE096C">
        <w:rPr>
          <w:bCs/>
          <w:color w:val="002060"/>
          <w:sz w:val="16"/>
          <w:szCs w:val="16"/>
        </w:rPr>
        <w:t xml:space="preserve">1 ноября 1913 года приказом морского министра было впредь установлено именовать минами - неподвижные мины заграждения, а самодвижущиеся мины - торпедами. </w:t>
      </w:r>
    </w:p>
    <w:p w14:paraId="7E67316D" w14:textId="77777777" w:rsidR="00766E12" w:rsidRPr="00DE096C" w:rsidRDefault="00766E12" w:rsidP="00D45A46">
      <w:pPr>
        <w:jc w:val="both"/>
        <w:rPr>
          <w:bCs/>
          <w:color w:val="002060"/>
          <w:sz w:val="16"/>
          <w:szCs w:val="16"/>
        </w:rPr>
      </w:pPr>
      <w:r w:rsidRPr="00DE096C">
        <w:rPr>
          <w:bCs/>
          <w:color w:val="002060"/>
          <w:sz w:val="16"/>
          <w:szCs w:val="16"/>
        </w:rPr>
        <w:t xml:space="preserve">В марте 1914 года с аэроплана "Илья Муромец" был сброшен весо-габаритный макет торпеды Уайтхеда весом 30 пудов. 15 марта начальник МГШ направил письмо в минный отдел ГУК, в котором потребовал в кратчайший срок разработать и произвести специальную мину Уайтхеда. Испытания опытного образца были начаты в октябре 1914 года, но довести до валового производства торпеду удалось только к осени 1915 года, после чего торпеда получила наименование 45-15. Паралельно к маю 1914 специалисты завода Лесснера доработали для приминения с аэропланов 18 торпед типа "Л". Следующая партия из 24 торпед была доработана к декабрю 1914 года. </w:t>
      </w:r>
    </w:p>
    <w:p w14:paraId="57E00F3E" w14:textId="77777777" w:rsidR="00766E12" w:rsidRPr="00DE096C" w:rsidRDefault="00766E12" w:rsidP="00D45A46">
      <w:pPr>
        <w:jc w:val="both"/>
        <w:rPr>
          <w:bCs/>
          <w:color w:val="002060"/>
          <w:sz w:val="16"/>
          <w:szCs w:val="16"/>
        </w:rPr>
      </w:pPr>
      <w:r w:rsidRPr="00DE096C">
        <w:rPr>
          <w:bCs/>
          <w:color w:val="002060"/>
          <w:sz w:val="16"/>
          <w:szCs w:val="16"/>
        </w:rPr>
        <w:t xml:space="preserve">Опыты, проводившиеся с 1907 года с подрывом зарядов у борта списанных судов, прежде всего связанные с испытанием противоминной защиты новых линейных кораблей, дали ценную информацию заключающуюся в том, что для уничтожения тяжелых кораблей противника требуются более мощные заряды весом не менее 160-200 кг. Разместить такой заряд в корпусе калибра 450 мм практически не представлялось возможным, приходилось переходить на более крупный калибр. Во всем мире таким калибром стал 533 мм (21 дюйм). В конце 1914 года заводу Лесснера заказали шесть "опытовых 21-дюймовых мин". В разработке приняли деятельное участие представители фирмы Уайтхеда. Завод принялся за разработку этих образцов, и к осени 1915 год начали испытания 2-х опытных образцов. Конструктивно торпеда представляла собой увеличенную торпеду 45-12. Испытания и доработки продолжались вплоть до осени 1916 года, после чего приступили к валовому производству. Торпеда образца 1916 года обладала по тем временам высокими тактико-техническими данными. Ее боевой заряд составлял 215 кг, а расчетные скорость и дальность хода достигали 45 узлов на 3 километра и 30 узлов на 10 километров. </w:t>
      </w:r>
    </w:p>
    <w:p w14:paraId="49B5A60C" w14:textId="77777777" w:rsidR="00766E12" w:rsidRPr="00DE096C" w:rsidRDefault="00766E12" w:rsidP="00D45A46">
      <w:pPr>
        <w:jc w:val="both"/>
        <w:rPr>
          <w:bCs/>
          <w:color w:val="002060"/>
          <w:sz w:val="16"/>
          <w:szCs w:val="16"/>
        </w:rPr>
      </w:pPr>
      <w:r w:rsidRPr="00DE096C">
        <w:rPr>
          <w:bCs/>
          <w:color w:val="002060"/>
          <w:sz w:val="16"/>
          <w:szCs w:val="16"/>
        </w:rPr>
        <w:t xml:space="preserve">После 1906 года на вооружении Русского флота состояли следующие торпеды: </w:t>
      </w:r>
    </w:p>
    <w:p w14:paraId="58B0031C" w14:textId="77777777" w:rsidR="00766E12" w:rsidRPr="00DE096C" w:rsidRDefault="00766E12" w:rsidP="00D45A46">
      <w:pPr>
        <w:jc w:val="both"/>
        <w:rPr>
          <w:bCs/>
          <w:color w:val="002060"/>
          <w:sz w:val="16"/>
          <w:szCs w:val="16"/>
        </w:rPr>
      </w:pPr>
      <w:r w:rsidRPr="00DE096C">
        <w:rPr>
          <w:bCs/>
          <w:color w:val="002060"/>
          <w:sz w:val="16"/>
          <w:szCs w:val="16"/>
        </w:rPr>
        <w:t xml:space="preserve">15" (381мм) торпеда типа "С", образца 1897 года, весом 426 кг, имевшая 2 скоростных режима - 900 м/25 узлов и 400 м/30 узлов; снаряжалась 64 кг пироксилина. </w:t>
      </w:r>
    </w:p>
    <w:p w14:paraId="73742076" w14:textId="77777777" w:rsidR="00766E12" w:rsidRPr="00DE096C" w:rsidRDefault="00766E12" w:rsidP="00D45A46">
      <w:pPr>
        <w:jc w:val="both"/>
        <w:rPr>
          <w:bCs/>
          <w:color w:val="002060"/>
          <w:sz w:val="16"/>
          <w:szCs w:val="16"/>
        </w:rPr>
      </w:pPr>
      <w:r w:rsidRPr="00DE096C">
        <w:rPr>
          <w:bCs/>
          <w:color w:val="002060"/>
          <w:sz w:val="16"/>
          <w:szCs w:val="16"/>
        </w:rPr>
        <w:t xml:space="preserve">15" (381мм) торпеда типа "Л", образца 1898 года, весом 430 кг, имевшая 2 скоростных режима - 900 м/25 узлов и 600 м/30 узлов; снаряжалась 64 кг пироксилина. Торпеды типа "Л" использовавшиеся в Воздушных силах были переснаряжены на тротил. </w:t>
      </w:r>
    </w:p>
    <w:p w14:paraId="490E4029" w14:textId="77777777" w:rsidR="00766E12" w:rsidRPr="00DE096C" w:rsidRDefault="00766E12" w:rsidP="00D45A46">
      <w:pPr>
        <w:jc w:val="both"/>
        <w:rPr>
          <w:bCs/>
          <w:color w:val="002060"/>
          <w:sz w:val="16"/>
          <w:szCs w:val="16"/>
        </w:rPr>
      </w:pPr>
      <w:r w:rsidRPr="00DE096C">
        <w:rPr>
          <w:bCs/>
          <w:color w:val="002060"/>
          <w:sz w:val="16"/>
          <w:szCs w:val="16"/>
        </w:rPr>
        <w:t xml:space="preserve">18" (456мм) 45-04 торпеда проекта Фиумского завода обр.1904 года, весом 648 кг, имевшая 2 скоростных режима - 2000 м/25 узлов и 800 м/33 узла; снаряжались 70 кг пироксилина (с 1909 года, в ходе обслуживания переснаряжались тротилом). </w:t>
      </w:r>
    </w:p>
    <w:p w14:paraId="42C030F2" w14:textId="77777777" w:rsidR="00766E12" w:rsidRPr="00DE096C" w:rsidRDefault="00766E12" w:rsidP="00D45A46">
      <w:pPr>
        <w:jc w:val="both"/>
        <w:rPr>
          <w:bCs/>
          <w:color w:val="002060"/>
          <w:sz w:val="16"/>
          <w:szCs w:val="16"/>
        </w:rPr>
      </w:pPr>
      <w:r w:rsidRPr="00DE096C">
        <w:rPr>
          <w:bCs/>
          <w:color w:val="002060"/>
          <w:sz w:val="16"/>
          <w:szCs w:val="16"/>
        </w:rPr>
        <w:t xml:space="preserve">18" (456мм) 45-07 торпеда проекта Фиумского завода обр.1907 года, весом 641 кг, имевшая 3 скоростных режима - 2000 м/27 узлов, 1000 м/34 узла и 600 м/40 узлов; снаряжались 90 кг тротила. Сталебронзовая торпеда для подводных лодок. </w:t>
      </w:r>
    </w:p>
    <w:p w14:paraId="62229BC3" w14:textId="77777777" w:rsidR="00766E12" w:rsidRPr="00DE096C" w:rsidRDefault="00766E12" w:rsidP="00D45A46">
      <w:pPr>
        <w:jc w:val="both"/>
        <w:rPr>
          <w:bCs/>
          <w:color w:val="002060"/>
          <w:sz w:val="16"/>
          <w:szCs w:val="16"/>
        </w:rPr>
      </w:pPr>
      <w:r w:rsidRPr="00DE096C">
        <w:rPr>
          <w:bCs/>
          <w:color w:val="002060"/>
          <w:sz w:val="16"/>
          <w:szCs w:val="16"/>
        </w:rPr>
        <w:t xml:space="preserve">18" (456мм) 45-08 торпеда проекта Фиумского завода обр.1908 года, весом 650 кг, имевшая 3 скоростных режима - 3000 м/23 узла, 2000 м/27 узлов и 1000 м/38 узлов; снаряжались 95 кг тротила. Первая торпеда с сухим подогревом. </w:t>
      </w:r>
    </w:p>
    <w:p w14:paraId="64BE7E99" w14:textId="77777777" w:rsidR="00766E12" w:rsidRPr="00DE096C" w:rsidRDefault="00766E12" w:rsidP="00D45A46">
      <w:pPr>
        <w:jc w:val="both"/>
        <w:rPr>
          <w:bCs/>
          <w:color w:val="002060"/>
          <w:sz w:val="16"/>
          <w:szCs w:val="16"/>
        </w:rPr>
      </w:pPr>
      <w:r w:rsidRPr="00DE096C">
        <w:rPr>
          <w:bCs/>
          <w:color w:val="002060"/>
          <w:sz w:val="16"/>
          <w:szCs w:val="16"/>
        </w:rPr>
        <w:t xml:space="preserve">18" (456мм) 45-10 торпеда проекта Фиумского завода обр.1910 года, весом 665 кг, имевшая 4 скоростных режима - 4000 м/25 узлов, 3000 м/29 узлов, 2000 м/34 узла и 1000 м/40 узлов; снаряжались 100 кг тротила. Сталебронзовая торпеда для подводных лодок. </w:t>
      </w:r>
    </w:p>
    <w:p w14:paraId="7B0BAFF6" w14:textId="77777777" w:rsidR="00766E12" w:rsidRPr="00DE096C" w:rsidRDefault="00766E12" w:rsidP="00D45A46">
      <w:pPr>
        <w:jc w:val="both"/>
        <w:rPr>
          <w:bCs/>
          <w:color w:val="002060"/>
          <w:sz w:val="16"/>
          <w:szCs w:val="16"/>
        </w:rPr>
      </w:pPr>
      <w:r w:rsidRPr="00DE096C">
        <w:rPr>
          <w:bCs/>
          <w:color w:val="002060"/>
          <w:sz w:val="16"/>
          <w:szCs w:val="16"/>
        </w:rPr>
        <w:t xml:space="preserve">18" (456мм) 45-12 торпеда проекта Фиумского завода обр.1912 года, весом 810 кг, имевшая 3 скоростных режима - 6000 м/28 узлов, 5000 м/30 узлов и 2000 м/43 узла; снаряжались 112 кг тротила. Первая торпеда с влажным подогревом. </w:t>
      </w:r>
    </w:p>
    <w:p w14:paraId="0A6A5E4A" w14:textId="77777777" w:rsidR="00766E12" w:rsidRPr="00DE096C" w:rsidRDefault="00766E12" w:rsidP="00D45A46">
      <w:pPr>
        <w:jc w:val="both"/>
        <w:rPr>
          <w:bCs/>
          <w:color w:val="002060"/>
          <w:sz w:val="16"/>
          <w:szCs w:val="16"/>
        </w:rPr>
      </w:pPr>
      <w:r w:rsidRPr="00DE096C">
        <w:rPr>
          <w:bCs/>
          <w:color w:val="002060"/>
          <w:sz w:val="16"/>
          <w:szCs w:val="16"/>
        </w:rPr>
        <w:t xml:space="preserve">18" (456мм) 45-15 торпеда проекта завода Лесснера обр.1915 года, весом 460 кг, имевшая 1 скоростной режим - 1000 м/35 узлов; снаряжались 90 кг тротила. Специальная укороченная торпеда с влажным подогревом. Предназначалась для катеров и аэропланов. </w:t>
      </w:r>
    </w:p>
    <w:p w14:paraId="2DB00258" w14:textId="77777777" w:rsidR="00766E12" w:rsidRPr="00DE096C" w:rsidRDefault="00766E12" w:rsidP="00D45A46">
      <w:pPr>
        <w:jc w:val="both"/>
        <w:rPr>
          <w:bCs/>
          <w:color w:val="002060"/>
          <w:sz w:val="16"/>
          <w:szCs w:val="16"/>
        </w:rPr>
      </w:pPr>
      <w:r w:rsidRPr="00DE096C">
        <w:rPr>
          <w:bCs/>
          <w:color w:val="002060"/>
          <w:sz w:val="16"/>
          <w:szCs w:val="16"/>
        </w:rPr>
        <w:t xml:space="preserve">21" (533 мм) 53-16 торпеда проекта завода Лесснера обр.1916 года, весом 1660 кг, имевшая 2 скоростных режима - 10000 м/30 узлов, 3000 м/45 узла; снаряжались 225 кг тротила. Торпеда для подводных лодок и надводных кораблей. </w:t>
      </w:r>
    </w:p>
    <w:p w14:paraId="5456AC0E" w14:textId="77777777" w:rsidR="00766E12" w:rsidRPr="00DE096C" w:rsidRDefault="00766E12" w:rsidP="00D45A46">
      <w:pPr>
        <w:jc w:val="both"/>
        <w:rPr>
          <w:bCs/>
          <w:color w:val="002060"/>
          <w:sz w:val="16"/>
          <w:szCs w:val="16"/>
        </w:rPr>
      </w:pPr>
      <w:r w:rsidRPr="00DE096C">
        <w:rPr>
          <w:bCs/>
          <w:color w:val="002060"/>
          <w:sz w:val="16"/>
          <w:szCs w:val="16"/>
        </w:rPr>
        <w:t xml:space="preserve">По окончании русско-японской войны пришло время тщательного анализа результатов приминения минного оружия. Уже в первый послевоенный год в ходе боевой учебы миноносные соединения приступили к планомерной обработке группового приминения торпедного оружия. Миноносцы на всех флотах практически круглогодично соврешали учебные походы. Уже в 1908 году минный офицер Гончаров в своем рапорте указывал, что существующие пороховые заряды, используемые для выброса торпед, демаскируют корабль выходящий в атаку, и позволят противнику уклониться от торпедного выстрела. Кроме того, для достижения большей вероятности попадания следует применять все торпеды залпом, приняв все меры для увеличения скорости торпед и дальности их хода. Путь решения виделся следующий - создание беспламенных зарядов. Создать беспламенные заряды удалось только к лету 1913 года, когда удалось привлечь высочайшие возможности германской химической промышленности. Поставки специальных зарядов начались поздней осенью 1913 года. После Русско-Японской войны для эсминцев на Путиловском заводе были разработаны двухтрубный торпедый аппарат соответственно обр.1905 и 1908 гг. и трехтрубный торпедный аппарат образца 1913 года. </w:t>
      </w:r>
    </w:p>
    <w:p w14:paraId="1C1376DF" w14:textId="77777777" w:rsidR="00766E12" w:rsidRPr="00DE096C" w:rsidRDefault="00766E12" w:rsidP="00D45A46">
      <w:pPr>
        <w:jc w:val="both"/>
        <w:rPr>
          <w:bCs/>
          <w:color w:val="002060"/>
          <w:sz w:val="16"/>
          <w:szCs w:val="16"/>
        </w:rPr>
      </w:pPr>
      <w:r w:rsidRPr="00DE096C">
        <w:rPr>
          <w:bCs/>
          <w:color w:val="002060"/>
          <w:sz w:val="16"/>
          <w:szCs w:val="16"/>
        </w:rPr>
        <w:t xml:space="preserve">В заключении стоит рассказать о крайне важном в деле развития минного оружия вопросе пристрелочных станций. В Севастополе, первая постоянно действующая пристрелочная станция начала функционировать в 1887 году. Создали ее на базе старого парохода "Брестовец". На нем установили "две пусковые решетки, опускавшиеся на два фута (0.61 м) ниже днища, большой "воздухонагнетательный насос", станки и прочее оборудование. Для стрельбы из надводного аппарата станции придавалась миноноска. Место стоянки обоих судов определили в Килен-бухте. Отсюда по направлению к Голландии (местность на Северной стороне) и проходила линия стрельбы. За первый год своего существования Севастопольская станция пристреляла 24 торпеды. Для этого пришлось сделать 466 выстрелов. Береговая же пристрелочная станция появилась на Черноморском флоте лишь в 1898 году. Ее постройки возвели на южном берегу Северной бухты неподалеку от места якорной стоянки прежней станции. В связи с увеличившейся дальностью хода торпед пришлось лишь несколько переориентировать линию стрельбы. Теперь она проходила по направлению к Сухарной балке. Возросшие тактико-технические характеристики торпед обусловили необходимость создания новой пристрелочной станции и на Балтике. Размеры Военной гавани уже не могли обеспечить их пристрелку. Участились потери торпед от ударов о стенку гавани. В связи с этим осенью 1903 года для выбора нового места для пристрелочной станции создали специальную комиссию. Она рассмотрела три предварительно отобранных места: на малом </w:t>
      </w:r>
      <w:r w:rsidRPr="00DE096C">
        <w:rPr>
          <w:bCs/>
          <w:color w:val="002060"/>
          <w:sz w:val="16"/>
          <w:szCs w:val="16"/>
        </w:rPr>
        <w:lastRenderedPageBreak/>
        <w:t xml:space="preserve">Транзундском рейде в бухте Койвисто, в Выборгском заливе и в бухте Царевна под Свеаборгом. Последнее место признали наиболее подходящим. Однако острова, на которых предполагалось разместить станцию, являлись частной собственностью и уговорить их владельца на продажу не удалось. Непреодолимым препятствием оказалось и общественное мнение жителей Гельсингфорса, использовавших эти острова для летнего отдыха. В поисках другого места для пристрелочной станции были рассмотрены многие варианты, в том числе и такие, как постройка специального бассейна в Кронштадте восточнее Военной гавани, размещение станции на Шуваловских озерах, в Сестрорецком разливе и ряде других пунктов. Наконец в 1907 году место выбрали - Копенское озеро на южном берегу Копорского залива (в настоящее время оно называется Копанским). От залива озеро отделяется узким перешейком. Будучи вытянуто с севера на юг на семь верст, оно имело глубину до 49 футов (14.9 м) и славилось исключительно прозрачной водой. Его удаление от Петербурга по шоссе составляло 100 верст, а от железной дороги 20-30 верст. С владельцем озера герцогом Мекленбург-Стрелецким быстро договорились, и 20 октября 1907 года Обуховский завод получил заказ на строительство пристрелочной станции, оценивавшееся по предварительной смете в 313 тыс. руб. Требовалось соорудить саму станцию в виде деревянного строения на сваях или ряжах, построить каменную электростанцию, установить паровой котел и динамо-машину, возвести жилые дома и т. д. Предусматривалась даже разработка специального вагона для перевозки торпед по железной дороге. Строительство станции началось 14 января 1908 года, а уже 7 августа того же года Обуховский завод приступил к пристрелке первой партии торпед. Для их доставки в Копорский залив зафрахтовали пароход "Взрыв". От пристани, вынесенной из-за мелководья далеко в залив, торпеды предполагалось транспортировать по подвесной дороге. Часть ее проходила над водой, для чего между берегом и пристанью установили на ряжах столбы. Подвесная дорога приводилась в действие электромоторами, дублирующим средством являлась рельсовая колея, проложенная по специально сооруженной эстакаде. Однако в свой первый приход пароход "Взрыв" эту систему действующей не застал. Торпеды пришлось сбрасывать за борт "хвостами вниз", а затем буксировать к берегу. Далее до станции их катили по дороге, как бревна. По условиям договора ввод станции в действие должен был завершиться пристрелкой шести торпед с последующей их передачей на крейсер "Боярин". Но из-за повреждений, полученных во время транспортировки, пристрелять первую партию торпед в установленные сроки не удалось. Передача станции в собственность Морского министерства затянулась, и только в 1909 году для ее приемки создали специальную комиссию. В процессе ее работы выяснилось, что строительство станции осуществлялось со значительными упущениями и недостатками, в связи с чем, комиссия сделала многочисленные замечания и высказала ряд предложений. В их число включили строительство железной дороги по южному берегу Финского залива, проведение телефонной линии до Ораниенбаума для связи с Кронштадтом и Петербургом и т. д. Оказались среди замечаний и такие, что свидетельствуют о весьма заботливом отношении наших предшественников к вопросам экологии: "Всеми мерами оберегать озеро от загрязнений, тем более что в нем почти нет течения. Прекратить спуск жидких нечистот, устроив сливной бетонный колодец с насосом для опоражнивания". Честь замечаний Обуховский завод принял, как соответствующие договору, выполнение же других связал с дополнительным финансированием. Так или иначе, но 15 июля 1910 года Копенскую пристрелочную станцию приняли на баланс Морского министерства. Ее главным назначением стала пристрелка торпед, поступающих на флот с заводов Лесснера и Обуховского. Кронштадтскую станцию стали использовать лишь для пристрелки отремонтированных торпед. </w:t>
      </w:r>
    </w:p>
    <w:p w14:paraId="31C3FE10" w14:textId="77777777" w:rsidR="00766E12" w:rsidRPr="00DE096C" w:rsidRDefault="00766E12" w:rsidP="00D45A46">
      <w:pPr>
        <w:jc w:val="both"/>
        <w:rPr>
          <w:bCs/>
          <w:color w:val="002060"/>
          <w:sz w:val="16"/>
          <w:szCs w:val="16"/>
        </w:rPr>
      </w:pPr>
      <w:r w:rsidRPr="00DE096C">
        <w:rPr>
          <w:bCs/>
          <w:color w:val="002060"/>
          <w:sz w:val="16"/>
          <w:szCs w:val="16"/>
        </w:rPr>
        <w:t xml:space="preserve">МИНЫ </w:t>
      </w:r>
    </w:p>
    <w:p w14:paraId="46F6765E" w14:textId="77777777" w:rsidR="00766E12" w:rsidRPr="00DE096C" w:rsidRDefault="00766E12" w:rsidP="00D45A46">
      <w:pPr>
        <w:jc w:val="both"/>
        <w:rPr>
          <w:bCs/>
          <w:color w:val="002060"/>
          <w:sz w:val="16"/>
          <w:szCs w:val="16"/>
        </w:rPr>
      </w:pPr>
      <w:r w:rsidRPr="00DE096C">
        <w:rPr>
          <w:bCs/>
          <w:color w:val="002060"/>
          <w:sz w:val="16"/>
          <w:szCs w:val="16"/>
        </w:rPr>
        <w:t xml:space="preserve">Опыт применения мин в русско-японской войне определил два основных направления в их совершенствовании. Прежде всего, требовалось обеспечить безопасность обращения с минами при постановке в случае повреждения гальваноударных колпаков. Соляной (сахарный) предохранитель такую безопасность гарантировать не мог - в свежую погоду соляные (сахарные) таблетки могли растаять задолго до начала постановки. Во-вторых, требовалось приспособить минные якоря для быстрой и удобной постановки мин на ходу. </w:t>
      </w:r>
    </w:p>
    <w:p w14:paraId="7827C3B8" w14:textId="77777777" w:rsidR="00766E12" w:rsidRPr="00DE096C" w:rsidRDefault="00766E12" w:rsidP="00D45A46">
      <w:pPr>
        <w:jc w:val="both"/>
        <w:rPr>
          <w:bCs/>
          <w:color w:val="002060"/>
          <w:sz w:val="16"/>
          <w:szCs w:val="16"/>
        </w:rPr>
      </w:pPr>
      <w:r w:rsidRPr="00DE096C">
        <w:rPr>
          <w:bCs/>
          <w:color w:val="002060"/>
          <w:sz w:val="16"/>
          <w:szCs w:val="16"/>
        </w:rPr>
        <w:t xml:space="preserve">Первую проблему удалось решить просто. Вспомнили предложенный еще в 1901 году минным кондуктором Ф.Ф. Скрябиным гидростатический предохранитель, делавший мину опасной только после ее прихода на заданное углубление. Что касается второй проблемы, то еще в 1894 году лейтенант А.П. Угрюмов предложил ставить мины с рельсовых путей, проложенных на верхней палубе корабля. Но тогда после испытаний предпочтение отдали более надежному механическому способу лейтенанта В.А. Степанова и об идее Угрюмова забыли более чем на десять лет. Вспомнить о ней заставила война, в ходе которой мины ставили не только с минных заградителей, но и миноносцев. После войны инженер Миклашевский, предложил в 1906 году совместить якорь мины с тележкой. Это изобретение имело огромное значение, так как позволяло ставить мины с любых кораблей, оборудованных сравнительно простыми рельсовыми путями с минными скатами. Теперь появилась возможность устанавливать активные минные заграждения крейсерами, эсминцами и даже катерами. Перемещение мин по рельсам и забортным скатам обеспечивалось двумя роликами, держащая сила была увеличена за счет специальной лапы. Компактность нового якоря позволила существенно (на 30-60 %) увеличить количество мин, принимаемых на корабль. Проведенные испытания "... дали превосходные результаты, обращение с якорем удобное, постановка мин, производившаяся ... на ходах до 17-18 узлов, совершенно точная, автоматические механизмы ... действовали без отказа". Как показал опыт Великой войны, масштабы боевого применения мин на море и их влияние на ход боевых действий намного превзошли предвоенные расчеты и предположения. Оказалось, что наиболее подготовленными в этом отношении были русский и германский флоты. </w:t>
      </w:r>
    </w:p>
    <w:p w14:paraId="288C664D" w14:textId="77777777" w:rsidR="00766E12" w:rsidRPr="00DE096C" w:rsidRDefault="00766E12" w:rsidP="00D45A46">
      <w:pPr>
        <w:jc w:val="both"/>
        <w:rPr>
          <w:bCs/>
          <w:color w:val="002060"/>
          <w:sz w:val="16"/>
          <w:szCs w:val="16"/>
        </w:rPr>
      </w:pPr>
      <w:r w:rsidRPr="00DE096C">
        <w:rPr>
          <w:bCs/>
          <w:color w:val="002060"/>
          <w:sz w:val="16"/>
          <w:szCs w:val="16"/>
        </w:rPr>
        <w:t xml:space="preserve">Якорная гальвано-ударная мина образца 1908 года </w:t>
      </w:r>
    </w:p>
    <w:p w14:paraId="2D3D6693" w14:textId="77777777" w:rsidR="00766E12" w:rsidRPr="00DE096C" w:rsidRDefault="00766E12" w:rsidP="00D45A46">
      <w:pPr>
        <w:jc w:val="both"/>
        <w:rPr>
          <w:bCs/>
          <w:color w:val="002060"/>
          <w:sz w:val="16"/>
          <w:szCs w:val="16"/>
        </w:rPr>
      </w:pPr>
      <w:r w:rsidRPr="00DE096C">
        <w:rPr>
          <w:bCs/>
          <w:color w:val="002060"/>
          <w:sz w:val="16"/>
          <w:szCs w:val="16"/>
        </w:rPr>
        <w:t xml:space="preserve">Эта мина являлась дальнейшим развитием гальваноударных мин образца 1898 и 1906 годов. Предохранитель размещался в крышке единственной монтажной горловины сверху мины, пружинный буфер смягчал рывки минрепа, пять гальванических свинцовых колпаков размещались по периметру корпуса мины. Каждый колпак содержал в себе сухую угольно-цинковую батарею с электролитом в стеклянной ампуле - "склянке". При ударе корабля о мину, свинцовый колпак сминался, "склянка" разбивалась и электролит активизировал батарею. Ток от батареи поступал на запальное устройство и воспламенял детонатор. В качестве взрывчатого вещества вместо пироксилина стал использоваться тротил, якорь установили на 4 ролика, для удержания мины при качке предусмотрели рельсовые захваты. Мина была оборудована противотральными патронами - минными защитниками конструкции П.П. Киткина. Для постановки мины на заданное углубление использовался автоматический штерто-грузовой способ, предложенный еще в 1882 году лейтенантом Н.Н. Азаровым - выдающимся новатором минного дела в отечественном флоте. Суть этого способа заключалась в следующем. Размещенная на якоре вьюшка с минрепом оборудовалась специальным стопором, состоящим из щеколды, пружины и штерта с грузом. При сбрасывании за борт мина, обладавшая положительной плавучестью, оставалась на поверхности. Под действием груза штерт оттягивал щеколду, что обеспечивало свободное сматывание минрепа. Якорь начинал погружаться, разматывая минреп. В момент касания грузом дна напряжение штерта ослабевало, и щеколда под действием пружины стопорила вьюшку. Продолжая погружаться, якорь увлекал мину на глубину, которая точно соответствовала длине штерта с грузом. Порядок приготовления мины к постановке состоял из двух этапов: предварительного, когда устанавливались гальваноударные колпаки, "склянки" с электролитом, предохранительный прибор, приращивались проводники и проверялись все электрические цепи, и окончательного, предусматривающего лишь установку запальной принадлежности. Конструкция этой мины оказалась настолько удачной, что, после незначительной модернизации в 1936 году, под шифром "образца 1908/31 гг." она оставалась на вооружении отечественного флота вплоть до середины 60-х годов. </w:t>
      </w:r>
    </w:p>
    <w:p w14:paraId="2794DDA3" w14:textId="77777777" w:rsidR="00766E12" w:rsidRPr="00DE096C" w:rsidRDefault="00766E12" w:rsidP="00D45A46">
      <w:pPr>
        <w:jc w:val="both"/>
        <w:rPr>
          <w:bCs/>
          <w:color w:val="002060"/>
          <w:sz w:val="16"/>
          <w:szCs w:val="16"/>
        </w:rPr>
      </w:pPr>
      <w:r w:rsidRPr="00DE096C">
        <w:rPr>
          <w:bCs/>
          <w:color w:val="002060"/>
          <w:sz w:val="16"/>
          <w:szCs w:val="16"/>
        </w:rPr>
        <w:t xml:space="preserve">Тактико-технические характеристики: </w:t>
      </w:r>
    </w:p>
    <w:p w14:paraId="15076D97" w14:textId="77777777" w:rsidR="00766E12" w:rsidRPr="00DE096C" w:rsidRDefault="00766E12" w:rsidP="00D45A46">
      <w:pPr>
        <w:jc w:val="both"/>
        <w:rPr>
          <w:bCs/>
          <w:color w:val="002060"/>
          <w:sz w:val="16"/>
          <w:szCs w:val="16"/>
        </w:rPr>
      </w:pPr>
      <w:r w:rsidRPr="00DE096C">
        <w:rPr>
          <w:bCs/>
          <w:color w:val="002060"/>
          <w:sz w:val="16"/>
          <w:szCs w:val="16"/>
        </w:rPr>
        <w:t xml:space="preserve">Тип взрывчатого вещества, масса заряда: Тротил, 150 кг </w:t>
      </w:r>
    </w:p>
    <w:p w14:paraId="5903F63F" w14:textId="77777777" w:rsidR="00766E12" w:rsidRPr="00DE096C" w:rsidRDefault="00766E12" w:rsidP="00D45A46">
      <w:pPr>
        <w:jc w:val="both"/>
        <w:rPr>
          <w:bCs/>
          <w:color w:val="002060"/>
          <w:sz w:val="16"/>
          <w:szCs w:val="16"/>
        </w:rPr>
      </w:pPr>
      <w:r w:rsidRPr="00DE096C">
        <w:rPr>
          <w:bCs/>
          <w:color w:val="002060"/>
          <w:sz w:val="16"/>
          <w:szCs w:val="16"/>
        </w:rPr>
        <w:t xml:space="preserve">Взрыватель: 5 гальваноударных колпаков с электрическим запалом </w:t>
      </w:r>
    </w:p>
    <w:p w14:paraId="080AB82A" w14:textId="77777777" w:rsidR="00766E12" w:rsidRPr="00DE096C" w:rsidRDefault="00766E12" w:rsidP="00D45A46">
      <w:pPr>
        <w:jc w:val="both"/>
        <w:rPr>
          <w:bCs/>
          <w:color w:val="002060"/>
          <w:sz w:val="16"/>
          <w:szCs w:val="16"/>
        </w:rPr>
      </w:pPr>
      <w:r w:rsidRPr="00DE096C">
        <w:rPr>
          <w:bCs/>
          <w:color w:val="002060"/>
          <w:sz w:val="16"/>
          <w:szCs w:val="16"/>
        </w:rPr>
        <w:t xml:space="preserve">Предохранительное устройство: Соляной (сахарный) разъединитель </w:t>
      </w:r>
    </w:p>
    <w:p w14:paraId="1E47DE9A" w14:textId="77777777" w:rsidR="00766E12" w:rsidRPr="00DE096C" w:rsidRDefault="00766E12" w:rsidP="00D45A46">
      <w:pPr>
        <w:jc w:val="both"/>
        <w:rPr>
          <w:bCs/>
          <w:color w:val="002060"/>
          <w:sz w:val="16"/>
          <w:szCs w:val="16"/>
        </w:rPr>
      </w:pPr>
      <w:r w:rsidRPr="00DE096C">
        <w:rPr>
          <w:bCs/>
          <w:color w:val="002060"/>
          <w:sz w:val="16"/>
          <w:szCs w:val="16"/>
        </w:rPr>
        <w:t xml:space="preserve">Наибольшая глубина моря: 110 метров </w:t>
      </w:r>
    </w:p>
    <w:p w14:paraId="46338E64" w14:textId="77777777" w:rsidR="00766E12" w:rsidRPr="00DE096C" w:rsidRDefault="00766E12" w:rsidP="00D45A46">
      <w:pPr>
        <w:jc w:val="both"/>
        <w:rPr>
          <w:bCs/>
          <w:color w:val="002060"/>
          <w:sz w:val="16"/>
          <w:szCs w:val="16"/>
        </w:rPr>
      </w:pPr>
      <w:r w:rsidRPr="00DE096C">
        <w:rPr>
          <w:bCs/>
          <w:color w:val="002060"/>
          <w:sz w:val="16"/>
          <w:szCs w:val="16"/>
        </w:rPr>
        <w:t xml:space="preserve">Способ установки на заданное углубление: Автоматический штерто-грузовой, с поверхности </w:t>
      </w:r>
    </w:p>
    <w:p w14:paraId="42EA6101" w14:textId="77777777" w:rsidR="00766E12" w:rsidRPr="00DE096C" w:rsidRDefault="00766E12" w:rsidP="00D45A46">
      <w:pPr>
        <w:jc w:val="both"/>
        <w:rPr>
          <w:bCs/>
          <w:color w:val="002060"/>
          <w:sz w:val="16"/>
          <w:szCs w:val="16"/>
        </w:rPr>
      </w:pPr>
      <w:r w:rsidRPr="00DE096C">
        <w:rPr>
          <w:bCs/>
          <w:color w:val="002060"/>
          <w:sz w:val="16"/>
          <w:szCs w:val="16"/>
        </w:rPr>
        <w:t xml:space="preserve">Корпус: Шар из листового железа </w:t>
      </w:r>
    </w:p>
    <w:p w14:paraId="34983290" w14:textId="77777777" w:rsidR="00766E12" w:rsidRPr="00DE096C" w:rsidRDefault="00766E12" w:rsidP="00D45A46">
      <w:pPr>
        <w:jc w:val="both"/>
        <w:rPr>
          <w:bCs/>
          <w:color w:val="002060"/>
          <w:sz w:val="16"/>
          <w:szCs w:val="16"/>
        </w:rPr>
      </w:pPr>
      <w:r w:rsidRPr="00DE096C">
        <w:rPr>
          <w:bCs/>
          <w:color w:val="002060"/>
          <w:sz w:val="16"/>
          <w:szCs w:val="16"/>
        </w:rPr>
        <w:t xml:space="preserve">Якорная ударно-механическая мина образца 1912 года </w:t>
      </w:r>
    </w:p>
    <w:p w14:paraId="4DD897ED" w14:textId="77777777" w:rsidR="00766E12" w:rsidRPr="00DE096C" w:rsidRDefault="00766E12" w:rsidP="00D45A46">
      <w:pPr>
        <w:jc w:val="both"/>
        <w:rPr>
          <w:bCs/>
          <w:color w:val="002060"/>
          <w:sz w:val="16"/>
          <w:szCs w:val="16"/>
        </w:rPr>
      </w:pPr>
      <w:r w:rsidRPr="00DE096C">
        <w:rPr>
          <w:bCs/>
          <w:color w:val="002060"/>
          <w:sz w:val="16"/>
          <w:szCs w:val="16"/>
        </w:rPr>
        <w:t xml:space="preserve">Эта мина, созданная на базе мины образца 1908 года с ударно-механическим взрывателем, была снабжена гидростатической системой автоматической установки на заданное углубление, предложенной еще С.О. Макаровым. Сущность этого способа заключалась в следующем. Вьюшка с минрепом, размещенная на мине, снабжалась гидростатическим стопором. При сбрасывании мины за борт стопор препятствовал сматыванию минрепа. Увлекаемая якорем, мина начинала погружаться. При достижении определенной глубины гидростатический стопор освобождал вьюшку, и мина начинала всплывать, а якорь продолжал погружаться. С приходом мины на заданную глубину гидростат срабатывал, вьюшка стопорилась, и мина устанавливалась на нужное углубление. </w:t>
      </w:r>
    </w:p>
    <w:p w14:paraId="0949423B" w14:textId="77777777" w:rsidR="00766E12" w:rsidRPr="00DE096C" w:rsidRDefault="00766E12" w:rsidP="00D45A46">
      <w:pPr>
        <w:jc w:val="both"/>
        <w:rPr>
          <w:bCs/>
          <w:color w:val="002060"/>
          <w:sz w:val="16"/>
          <w:szCs w:val="16"/>
        </w:rPr>
      </w:pPr>
      <w:r w:rsidRPr="00DE096C">
        <w:rPr>
          <w:bCs/>
          <w:color w:val="002060"/>
          <w:sz w:val="16"/>
          <w:szCs w:val="16"/>
        </w:rPr>
        <w:t xml:space="preserve">Тактико-технические характеристики: </w:t>
      </w:r>
    </w:p>
    <w:p w14:paraId="5A7E90D2" w14:textId="77777777" w:rsidR="00766E12" w:rsidRPr="00DE096C" w:rsidRDefault="00766E12" w:rsidP="00D45A46">
      <w:pPr>
        <w:jc w:val="both"/>
        <w:rPr>
          <w:bCs/>
          <w:color w:val="002060"/>
          <w:sz w:val="16"/>
          <w:szCs w:val="16"/>
        </w:rPr>
      </w:pPr>
      <w:r w:rsidRPr="00DE096C">
        <w:rPr>
          <w:bCs/>
          <w:color w:val="002060"/>
          <w:sz w:val="16"/>
          <w:szCs w:val="16"/>
        </w:rPr>
        <w:t xml:space="preserve">Тип взрывчатого вещества, масса заряда: Тротил, 165 кг </w:t>
      </w:r>
    </w:p>
    <w:p w14:paraId="4486BBC1" w14:textId="77777777" w:rsidR="00766E12" w:rsidRPr="00DE096C" w:rsidRDefault="00766E12" w:rsidP="00D45A46">
      <w:pPr>
        <w:jc w:val="both"/>
        <w:rPr>
          <w:bCs/>
          <w:color w:val="002060"/>
          <w:sz w:val="16"/>
          <w:szCs w:val="16"/>
        </w:rPr>
      </w:pPr>
      <w:r w:rsidRPr="00DE096C">
        <w:rPr>
          <w:bCs/>
          <w:color w:val="002060"/>
          <w:sz w:val="16"/>
          <w:szCs w:val="16"/>
        </w:rPr>
        <w:t xml:space="preserve">Взрыватель: Ударно-механический с капсюльным запалом </w:t>
      </w:r>
    </w:p>
    <w:p w14:paraId="7FDDB16D" w14:textId="77777777" w:rsidR="00766E12" w:rsidRPr="00DE096C" w:rsidRDefault="00766E12" w:rsidP="00D45A46">
      <w:pPr>
        <w:jc w:val="both"/>
        <w:rPr>
          <w:bCs/>
          <w:color w:val="002060"/>
          <w:sz w:val="16"/>
          <w:szCs w:val="16"/>
        </w:rPr>
      </w:pPr>
      <w:r w:rsidRPr="00DE096C">
        <w:rPr>
          <w:bCs/>
          <w:color w:val="002060"/>
          <w:sz w:val="16"/>
          <w:szCs w:val="16"/>
        </w:rPr>
        <w:t xml:space="preserve">Предохранительное устройство: Соляной (сахарный) разъединитель и гидростат </w:t>
      </w:r>
    </w:p>
    <w:p w14:paraId="76ECAC63" w14:textId="77777777" w:rsidR="00766E12" w:rsidRPr="00DE096C" w:rsidRDefault="00766E12" w:rsidP="00D45A46">
      <w:pPr>
        <w:jc w:val="both"/>
        <w:rPr>
          <w:bCs/>
          <w:color w:val="002060"/>
          <w:sz w:val="16"/>
          <w:szCs w:val="16"/>
        </w:rPr>
      </w:pPr>
      <w:r w:rsidRPr="00DE096C">
        <w:rPr>
          <w:bCs/>
          <w:color w:val="002060"/>
          <w:sz w:val="16"/>
          <w:szCs w:val="16"/>
        </w:rPr>
        <w:t xml:space="preserve">Наибольшая глубина моря: 130 метров </w:t>
      </w:r>
    </w:p>
    <w:p w14:paraId="709E53AA" w14:textId="77777777" w:rsidR="00766E12" w:rsidRPr="00DE096C" w:rsidRDefault="00766E12" w:rsidP="00D45A46">
      <w:pPr>
        <w:jc w:val="both"/>
        <w:rPr>
          <w:bCs/>
          <w:color w:val="002060"/>
          <w:sz w:val="16"/>
          <w:szCs w:val="16"/>
        </w:rPr>
      </w:pPr>
      <w:r w:rsidRPr="00DE096C">
        <w:rPr>
          <w:bCs/>
          <w:color w:val="002060"/>
          <w:sz w:val="16"/>
          <w:szCs w:val="16"/>
        </w:rPr>
        <w:t xml:space="preserve">Способ установки на заданное углубление: Автоматический с гидростатическим стопором, с глубины </w:t>
      </w:r>
    </w:p>
    <w:p w14:paraId="04FC8AC9" w14:textId="77777777" w:rsidR="00766E12" w:rsidRPr="00DE096C" w:rsidRDefault="00766E12" w:rsidP="00D45A46">
      <w:pPr>
        <w:jc w:val="both"/>
        <w:rPr>
          <w:bCs/>
          <w:color w:val="002060"/>
          <w:sz w:val="16"/>
          <w:szCs w:val="16"/>
        </w:rPr>
      </w:pPr>
      <w:r w:rsidRPr="00DE096C">
        <w:rPr>
          <w:bCs/>
          <w:color w:val="002060"/>
          <w:sz w:val="16"/>
          <w:szCs w:val="16"/>
        </w:rPr>
        <w:t xml:space="preserve">Корпус: Шар из листового железа </w:t>
      </w:r>
    </w:p>
    <w:p w14:paraId="6764F564" w14:textId="77777777" w:rsidR="00766E12" w:rsidRPr="00DE096C" w:rsidRDefault="00766E12" w:rsidP="00D45A46">
      <w:pPr>
        <w:jc w:val="both"/>
        <w:rPr>
          <w:bCs/>
          <w:color w:val="002060"/>
          <w:sz w:val="16"/>
          <w:szCs w:val="16"/>
        </w:rPr>
      </w:pPr>
      <w:r w:rsidRPr="00DE096C">
        <w:rPr>
          <w:bCs/>
          <w:color w:val="002060"/>
          <w:sz w:val="16"/>
          <w:szCs w:val="16"/>
        </w:rPr>
        <w:t xml:space="preserve">Минный защитник конструкции П. П. Киткина, 1912 год </w:t>
      </w:r>
    </w:p>
    <w:p w14:paraId="2726FC42" w14:textId="77777777" w:rsidR="00766E12" w:rsidRPr="00DE096C" w:rsidRDefault="00766E12" w:rsidP="00D45A46">
      <w:pPr>
        <w:jc w:val="both"/>
        <w:rPr>
          <w:bCs/>
          <w:color w:val="002060"/>
          <w:sz w:val="16"/>
          <w:szCs w:val="16"/>
        </w:rPr>
      </w:pPr>
      <w:r w:rsidRPr="00DE096C">
        <w:rPr>
          <w:bCs/>
          <w:color w:val="002060"/>
          <w:sz w:val="16"/>
          <w:szCs w:val="16"/>
        </w:rPr>
        <w:t xml:space="preserve">В связи с появлением контактных тралов, флотские специалисты начали изыскивать пути защиты минных заграждений от траления. В 1912 году П.П. Киткин закончил разработку первого автоматического минного защитника. Конструктивно он представлял собой буй, удерживающийся под водой с помощью якоря. На буйрепе через определенные расстояния подвешивались подрывные патроны. При соприкосновении с ними трал перебивался. После успешных испытаний началось серийное производство минных защитников. </w:t>
      </w:r>
    </w:p>
    <w:p w14:paraId="1DA83E47" w14:textId="77777777" w:rsidR="00766E12" w:rsidRPr="00DE096C" w:rsidRDefault="00766E12" w:rsidP="00D45A46">
      <w:pPr>
        <w:jc w:val="both"/>
        <w:rPr>
          <w:bCs/>
          <w:color w:val="002060"/>
          <w:sz w:val="16"/>
          <w:szCs w:val="16"/>
        </w:rPr>
      </w:pPr>
      <w:r w:rsidRPr="00DE096C">
        <w:rPr>
          <w:bCs/>
          <w:color w:val="002060"/>
          <w:sz w:val="16"/>
          <w:szCs w:val="16"/>
        </w:rPr>
        <w:t xml:space="preserve">Малая якорная мина типа "Рыбка", образца 1915 год </w:t>
      </w:r>
    </w:p>
    <w:p w14:paraId="5A69FC83" w14:textId="77777777" w:rsidR="00766E12" w:rsidRPr="00DE096C" w:rsidRDefault="00766E12" w:rsidP="00D45A46">
      <w:pPr>
        <w:jc w:val="both"/>
        <w:rPr>
          <w:bCs/>
          <w:color w:val="002060"/>
          <w:sz w:val="16"/>
          <w:szCs w:val="16"/>
        </w:rPr>
      </w:pPr>
      <w:r w:rsidRPr="00DE096C">
        <w:rPr>
          <w:bCs/>
          <w:color w:val="002060"/>
          <w:sz w:val="16"/>
          <w:szCs w:val="16"/>
        </w:rPr>
        <w:lastRenderedPageBreak/>
        <w:t xml:space="preserve">Очень удачная по своим характеристикам мина, использовалась против подводных лодок противника и для постановки на малом углублении. </w:t>
      </w:r>
    </w:p>
    <w:p w14:paraId="2F091BD0" w14:textId="77777777" w:rsidR="00766E12" w:rsidRPr="00DE096C" w:rsidRDefault="00766E12" w:rsidP="00D45A46">
      <w:pPr>
        <w:jc w:val="both"/>
        <w:rPr>
          <w:bCs/>
          <w:color w:val="002060"/>
          <w:sz w:val="16"/>
          <w:szCs w:val="16"/>
        </w:rPr>
      </w:pPr>
      <w:r w:rsidRPr="00DE096C">
        <w:rPr>
          <w:bCs/>
          <w:color w:val="002060"/>
          <w:sz w:val="16"/>
          <w:szCs w:val="16"/>
        </w:rPr>
        <w:t xml:space="preserve">Тактико-технические характеристики: </w:t>
      </w:r>
    </w:p>
    <w:p w14:paraId="0B7CB576" w14:textId="77777777" w:rsidR="00766E12" w:rsidRPr="00DE096C" w:rsidRDefault="00766E12" w:rsidP="00D45A46">
      <w:pPr>
        <w:jc w:val="both"/>
        <w:rPr>
          <w:bCs/>
          <w:color w:val="002060"/>
          <w:sz w:val="16"/>
          <w:szCs w:val="16"/>
        </w:rPr>
      </w:pPr>
      <w:r w:rsidRPr="00DE096C">
        <w:rPr>
          <w:bCs/>
          <w:color w:val="002060"/>
          <w:sz w:val="16"/>
          <w:szCs w:val="16"/>
        </w:rPr>
        <w:t xml:space="preserve">Тип взрывчатого вещества, масса заряда: Тротил 15 кг </w:t>
      </w:r>
    </w:p>
    <w:p w14:paraId="4A4A1A80" w14:textId="77777777" w:rsidR="00766E12" w:rsidRPr="00DE096C" w:rsidRDefault="00766E12" w:rsidP="00D45A46">
      <w:pPr>
        <w:jc w:val="both"/>
        <w:rPr>
          <w:bCs/>
          <w:color w:val="002060"/>
          <w:sz w:val="16"/>
          <w:szCs w:val="16"/>
        </w:rPr>
      </w:pPr>
      <w:r w:rsidRPr="00DE096C">
        <w:rPr>
          <w:bCs/>
          <w:color w:val="002060"/>
          <w:sz w:val="16"/>
          <w:szCs w:val="16"/>
        </w:rPr>
        <w:t xml:space="preserve">Взрыватель: Ударно-механический с капсюльным запалом </w:t>
      </w:r>
    </w:p>
    <w:p w14:paraId="17E787E7" w14:textId="77777777" w:rsidR="00766E12" w:rsidRPr="00DE096C" w:rsidRDefault="00766E12" w:rsidP="00D45A46">
      <w:pPr>
        <w:jc w:val="both"/>
        <w:rPr>
          <w:bCs/>
          <w:color w:val="002060"/>
          <w:sz w:val="16"/>
          <w:szCs w:val="16"/>
        </w:rPr>
      </w:pPr>
      <w:r w:rsidRPr="00DE096C">
        <w:rPr>
          <w:bCs/>
          <w:color w:val="002060"/>
          <w:sz w:val="16"/>
          <w:szCs w:val="16"/>
        </w:rPr>
        <w:t xml:space="preserve">Предохранительное устройство: Гидростат </w:t>
      </w:r>
    </w:p>
    <w:p w14:paraId="285575DF" w14:textId="77777777" w:rsidR="00766E12" w:rsidRPr="00DE096C" w:rsidRDefault="00766E12" w:rsidP="00D45A46">
      <w:pPr>
        <w:jc w:val="both"/>
        <w:rPr>
          <w:bCs/>
          <w:color w:val="002060"/>
          <w:sz w:val="16"/>
          <w:szCs w:val="16"/>
        </w:rPr>
      </w:pPr>
      <w:r w:rsidRPr="00DE096C">
        <w:rPr>
          <w:bCs/>
          <w:color w:val="002060"/>
          <w:sz w:val="16"/>
          <w:szCs w:val="16"/>
        </w:rPr>
        <w:t xml:space="preserve">Наибольшая глубина моря: 130 метров </w:t>
      </w:r>
    </w:p>
    <w:p w14:paraId="7197B464" w14:textId="77777777" w:rsidR="00766E12" w:rsidRPr="00DE096C" w:rsidRDefault="00766E12" w:rsidP="00D45A46">
      <w:pPr>
        <w:jc w:val="both"/>
        <w:rPr>
          <w:bCs/>
          <w:color w:val="002060"/>
          <w:sz w:val="16"/>
          <w:szCs w:val="16"/>
        </w:rPr>
      </w:pPr>
      <w:r w:rsidRPr="00DE096C">
        <w:rPr>
          <w:bCs/>
          <w:color w:val="002060"/>
          <w:sz w:val="16"/>
          <w:szCs w:val="16"/>
        </w:rPr>
        <w:t xml:space="preserve">Способ установки на заданное углубление: Автоматический штерто-грузовой, с поверхности </w:t>
      </w:r>
    </w:p>
    <w:p w14:paraId="63F04C00" w14:textId="77777777" w:rsidR="00766E12" w:rsidRPr="00DE096C" w:rsidRDefault="00766E12" w:rsidP="00D45A46">
      <w:pPr>
        <w:jc w:val="both"/>
        <w:rPr>
          <w:bCs/>
          <w:color w:val="002060"/>
          <w:sz w:val="16"/>
          <w:szCs w:val="16"/>
        </w:rPr>
      </w:pPr>
      <w:r w:rsidRPr="00DE096C">
        <w:rPr>
          <w:bCs/>
          <w:color w:val="002060"/>
          <w:sz w:val="16"/>
          <w:szCs w:val="16"/>
        </w:rPr>
        <w:t xml:space="preserve">Корпус: Рыбовидный с хвостовым стабилизатором, из листового железа </w:t>
      </w:r>
    </w:p>
    <w:p w14:paraId="14A07697" w14:textId="77777777" w:rsidR="00766E12" w:rsidRPr="00DE096C" w:rsidRDefault="00766E12" w:rsidP="00D45A46">
      <w:pPr>
        <w:jc w:val="both"/>
        <w:rPr>
          <w:bCs/>
          <w:color w:val="002060"/>
          <w:sz w:val="16"/>
          <w:szCs w:val="16"/>
        </w:rPr>
      </w:pPr>
      <w:r w:rsidRPr="00DE096C">
        <w:rPr>
          <w:bCs/>
          <w:color w:val="002060"/>
          <w:sz w:val="16"/>
          <w:szCs w:val="16"/>
        </w:rPr>
        <w:t xml:space="preserve">Специальная подлодочная мина ПЛ-100 </w:t>
      </w:r>
    </w:p>
    <w:p w14:paraId="6AF2497B" w14:textId="77777777" w:rsidR="00766E12" w:rsidRPr="00DE096C" w:rsidRDefault="00766E12" w:rsidP="00D45A46">
      <w:pPr>
        <w:jc w:val="both"/>
        <w:rPr>
          <w:bCs/>
          <w:color w:val="002060"/>
          <w:sz w:val="16"/>
          <w:szCs w:val="16"/>
        </w:rPr>
      </w:pPr>
      <w:r w:rsidRPr="00DE096C">
        <w:rPr>
          <w:bCs/>
          <w:color w:val="002060"/>
          <w:sz w:val="16"/>
          <w:szCs w:val="16"/>
        </w:rPr>
        <w:t xml:space="preserve">С 1907 года велась разработка мины для строившегося в Николаеве первого в мире подводного минного заградителя "Краб". В работе непосредственное участие принимал конструктор "Краба" М.П. Налетов. В основе конструкции, получившей индекс ПЛ-100, лежала мина образца 1912 года, приспособленная к постановке из минных труб подводного заградителя. В собранном виде мина имела почти нулевую плавучесть, что обеспечивало сохранение диффрентовки заградителя в момент постановки мин. Достигалось это за счет специальной воздушной полости в якоре, которая, с выходом мины из трубы заградителя, быстро заполнялась водой. Якорь получал отрицательную плавучесть, и мина опускалась на дно. После отработки часового механизма срабатывал стопор вьюшки, мина начинала всплывать и устанавливалась на заданное углубление с помощью гидростата. </w:t>
      </w:r>
    </w:p>
    <w:p w14:paraId="6BF9F096" w14:textId="77777777" w:rsidR="00766E12" w:rsidRPr="00DE096C" w:rsidRDefault="00766E12" w:rsidP="00D45A46">
      <w:pPr>
        <w:jc w:val="both"/>
        <w:rPr>
          <w:bCs/>
          <w:color w:val="002060"/>
          <w:sz w:val="16"/>
          <w:szCs w:val="16"/>
        </w:rPr>
      </w:pPr>
      <w:r w:rsidRPr="00DE096C">
        <w:rPr>
          <w:bCs/>
          <w:color w:val="002060"/>
          <w:sz w:val="16"/>
          <w:szCs w:val="16"/>
        </w:rPr>
        <w:t xml:space="preserve">Тактико-технические характеристики: </w:t>
      </w:r>
    </w:p>
    <w:p w14:paraId="6E8FA2E6" w14:textId="77777777" w:rsidR="00766E12" w:rsidRPr="00DE096C" w:rsidRDefault="00766E12" w:rsidP="00D45A46">
      <w:pPr>
        <w:jc w:val="both"/>
        <w:rPr>
          <w:bCs/>
          <w:color w:val="002060"/>
          <w:sz w:val="16"/>
          <w:szCs w:val="16"/>
        </w:rPr>
      </w:pPr>
      <w:r w:rsidRPr="00DE096C">
        <w:rPr>
          <w:bCs/>
          <w:color w:val="002060"/>
          <w:sz w:val="16"/>
          <w:szCs w:val="16"/>
        </w:rPr>
        <w:t xml:space="preserve">Тип взрывчатого вещества, масса заряда: Тротил, 100 кг </w:t>
      </w:r>
    </w:p>
    <w:p w14:paraId="17694DDD" w14:textId="77777777" w:rsidR="00766E12" w:rsidRPr="00DE096C" w:rsidRDefault="00766E12" w:rsidP="00D45A46">
      <w:pPr>
        <w:jc w:val="both"/>
        <w:rPr>
          <w:bCs/>
          <w:color w:val="002060"/>
          <w:sz w:val="16"/>
          <w:szCs w:val="16"/>
        </w:rPr>
      </w:pPr>
      <w:r w:rsidRPr="00DE096C">
        <w:rPr>
          <w:bCs/>
          <w:color w:val="002060"/>
          <w:sz w:val="16"/>
          <w:szCs w:val="16"/>
        </w:rPr>
        <w:t xml:space="preserve">Взрыватель: Ударно-механический с капсюльным запалом </w:t>
      </w:r>
    </w:p>
    <w:p w14:paraId="3DDCD7F3" w14:textId="77777777" w:rsidR="00766E12" w:rsidRPr="00DE096C" w:rsidRDefault="00766E12" w:rsidP="00D45A46">
      <w:pPr>
        <w:jc w:val="both"/>
        <w:rPr>
          <w:bCs/>
          <w:color w:val="002060"/>
          <w:sz w:val="16"/>
          <w:szCs w:val="16"/>
        </w:rPr>
      </w:pPr>
      <w:r w:rsidRPr="00DE096C">
        <w:rPr>
          <w:bCs/>
          <w:color w:val="002060"/>
          <w:sz w:val="16"/>
          <w:szCs w:val="16"/>
        </w:rPr>
        <w:t xml:space="preserve">Предохранительное устройство: Соляной (сахарный) разъединитель и гидростат </w:t>
      </w:r>
    </w:p>
    <w:p w14:paraId="5C5555C0" w14:textId="77777777" w:rsidR="00766E12" w:rsidRPr="00DE096C" w:rsidRDefault="00766E12" w:rsidP="00D45A46">
      <w:pPr>
        <w:jc w:val="both"/>
        <w:rPr>
          <w:bCs/>
          <w:color w:val="002060"/>
          <w:sz w:val="16"/>
          <w:szCs w:val="16"/>
        </w:rPr>
      </w:pPr>
      <w:r w:rsidRPr="00DE096C">
        <w:rPr>
          <w:bCs/>
          <w:color w:val="002060"/>
          <w:sz w:val="16"/>
          <w:szCs w:val="16"/>
        </w:rPr>
        <w:t xml:space="preserve">Наибольшая глубина моря: 130 метров </w:t>
      </w:r>
    </w:p>
    <w:p w14:paraId="50C783BC" w14:textId="77777777" w:rsidR="00766E12" w:rsidRPr="00DE096C" w:rsidRDefault="00766E12" w:rsidP="00D45A46">
      <w:pPr>
        <w:jc w:val="both"/>
        <w:rPr>
          <w:bCs/>
          <w:color w:val="002060"/>
          <w:sz w:val="16"/>
          <w:szCs w:val="16"/>
        </w:rPr>
      </w:pPr>
      <w:r w:rsidRPr="00DE096C">
        <w:rPr>
          <w:bCs/>
          <w:color w:val="002060"/>
          <w:sz w:val="16"/>
          <w:szCs w:val="16"/>
        </w:rPr>
        <w:t xml:space="preserve">Способ установки на заданное углубление: Автоматический с гидростатическим стопором, с глубины </w:t>
      </w:r>
    </w:p>
    <w:p w14:paraId="1115AD19" w14:textId="77777777" w:rsidR="00766E12" w:rsidRPr="00DE096C" w:rsidRDefault="00766E12" w:rsidP="00D45A46">
      <w:pPr>
        <w:jc w:val="both"/>
        <w:rPr>
          <w:bCs/>
          <w:color w:val="002060"/>
          <w:sz w:val="16"/>
          <w:szCs w:val="16"/>
        </w:rPr>
      </w:pPr>
      <w:r w:rsidRPr="00DE096C">
        <w:rPr>
          <w:bCs/>
          <w:color w:val="002060"/>
          <w:sz w:val="16"/>
          <w:szCs w:val="16"/>
        </w:rPr>
        <w:t>Корпус: Шар из листового железа (12284).</w:t>
      </w:r>
    </w:p>
    <w:p w14:paraId="079E5DD8" w14:textId="77777777" w:rsidR="00766E12" w:rsidRPr="00DE096C" w:rsidRDefault="00766E12" w:rsidP="00D45A46">
      <w:pPr>
        <w:jc w:val="both"/>
        <w:rPr>
          <w:bCs/>
          <w:color w:val="002060"/>
          <w:sz w:val="16"/>
          <w:szCs w:val="16"/>
        </w:rPr>
      </w:pPr>
    </w:p>
    <w:p w14:paraId="235586D1" w14:textId="77777777" w:rsidR="007D7D86" w:rsidRPr="00DE096C" w:rsidRDefault="007D7D86" w:rsidP="007D7D86">
      <w:pPr>
        <w:jc w:val="both"/>
        <w:rPr>
          <w:bCs/>
          <w:i/>
          <w:color w:val="002060"/>
          <w:sz w:val="16"/>
          <w:szCs w:val="16"/>
        </w:rPr>
      </w:pPr>
      <w:r>
        <w:rPr>
          <w:bCs/>
          <w:i/>
          <w:color w:val="002060"/>
          <w:sz w:val="16"/>
          <w:szCs w:val="16"/>
        </w:rPr>
        <w:t>Морская а</w:t>
      </w:r>
      <w:r w:rsidRPr="00DE096C">
        <w:rPr>
          <w:bCs/>
          <w:i/>
          <w:color w:val="002060"/>
          <w:sz w:val="16"/>
          <w:szCs w:val="16"/>
        </w:rPr>
        <w:t>виация:</w:t>
      </w:r>
    </w:p>
    <w:p w14:paraId="2321BCD8" w14:textId="77777777" w:rsidR="007D7D86" w:rsidRPr="00DE096C" w:rsidRDefault="007D7D86" w:rsidP="007D7D86">
      <w:pPr>
        <w:jc w:val="both"/>
        <w:rPr>
          <w:bCs/>
          <w:i/>
          <w:color w:val="002060"/>
          <w:sz w:val="16"/>
          <w:szCs w:val="16"/>
        </w:rPr>
      </w:pPr>
    </w:p>
    <w:p w14:paraId="605677CB" w14:textId="77777777" w:rsidR="007D7D86" w:rsidRPr="00DE096C" w:rsidRDefault="007D7D86" w:rsidP="007D7D86">
      <w:pPr>
        <w:jc w:val="both"/>
        <w:rPr>
          <w:bCs/>
          <w:color w:val="002060"/>
          <w:sz w:val="16"/>
          <w:szCs w:val="16"/>
        </w:rPr>
      </w:pPr>
      <w:r w:rsidRPr="00DE096C">
        <w:rPr>
          <w:bCs/>
          <w:color w:val="002060"/>
          <w:sz w:val="16"/>
          <w:szCs w:val="16"/>
        </w:rPr>
        <w:t xml:space="preserve">К лету 1914 года на Балтике и Черном море имелось несколько "авиастанций", оснащенных гидросамолетами. С началом войны эти подразделения были объединены в авиаотряды. В 1916 году число гидросамолетов на Балтике достигло 40 машин, а на Черном море - 45. При этом на Черноморском флоте из десяти отрядов три были корабельными - в начале 1915 года флот получил авиатранспорты "Император Николай I" и "Император Александр I", переоборудованные из броненосцев, несколько позже подобное переоборудование прошел крейсер "Алмаз", а в 1917 году в строй вошел авиатранспорт "Румыния", созданный на базе пасажирского парохода. На Балтике имелся лишь один авиатранспорт - "Орлица", переоборудованный из парохода и введенный в строй в феврале 1915 года. </w:t>
      </w:r>
    </w:p>
    <w:p w14:paraId="703E91F7" w14:textId="77777777" w:rsidR="007D7D86" w:rsidRPr="00DE096C" w:rsidRDefault="007D7D86" w:rsidP="007D7D86">
      <w:pPr>
        <w:jc w:val="both"/>
        <w:rPr>
          <w:bCs/>
          <w:color w:val="002060"/>
          <w:sz w:val="16"/>
          <w:szCs w:val="16"/>
        </w:rPr>
      </w:pPr>
      <w:r w:rsidRPr="00DE096C">
        <w:rPr>
          <w:bCs/>
          <w:color w:val="002060"/>
          <w:sz w:val="16"/>
          <w:szCs w:val="16"/>
        </w:rPr>
        <w:t xml:space="preserve">Число гидросамолетов в корабельных отрядах вначале составляло четыре-пять единиц, а в 1917 году было доведено до семи-девяти летательных аппаратов. </w:t>
      </w:r>
    </w:p>
    <w:p w14:paraId="2B72AE29" w14:textId="77777777" w:rsidR="007D7D86" w:rsidRPr="00DE096C" w:rsidRDefault="007D7D86" w:rsidP="007D7D86">
      <w:pPr>
        <w:jc w:val="both"/>
        <w:rPr>
          <w:bCs/>
          <w:color w:val="002060"/>
          <w:sz w:val="16"/>
          <w:szCs w:val="16"/>
        </w:rPr>
      </w:pPr>
      <w:r w:rsidRPr="00DE096C">
        <w:rPr>
          <w:bCs/>
          <w:color w:val="002060"/>
          <w:sz w:val="16"/>
          <w:szCs w:val="16"/>
        </w:rPr>
        <w:t xml:space="preserve">По мере роста числа самолоетов в составе флотов было сформировано по одной воздушной дивизии во главе с контрадмиралом. Каждая дивизия, насчитававшая более сотни самолетов, состояла из двух авиабригад по три гидродиыизиона, причем на Черноморском флоте один дивизион являлся корабельным. </w:t>
      </w:r>
    </w:p>
    <w:p w14:paraId="6990376E" w14:textId="77777777" w:rsidR="007D7D86" w:rsidRPr="00DE096C" w:rsidRDefault="007D7D86" w:rsidP="007D7D86">
      <w:pPr>
        <w:jc w:val="both"/>
        <w:rPr>
          <w:bCs/>
          <w:color w:val="002060"/>
          <w:sz w:val="16"/>
          <w:szCs w:val="16"/>
        </w:rPr>
      </w:pPr>
      <w:r w:rsidRPr="00DE096C">
        <w:rPr>
          <w:bCs/>
          <w:color w:val="002060"/>
          <w:sz w:val="16"/>
          <w:szCs w:val="16"/>
        </w:rPr>
        <w:t xml:space="preserve">Сравнивая морскую авиацию России с авицией ВМС Германии, которая в 1915 году имела два авиатранспорта и семь авиастанций, можно сделать вывод, что Россия лидировала в этой области вплоть до 1917 года и имела определенное превосходство над противником. Всего к концу 1917 года в российской морской авиации имелось 240 самолетов и 133 летчика. </w:t>
      </w:r>
    </w:p>
    <w:p w14:paraId="5CAB5D50" w14:textId="77777777" w:rsidR="007D7D86" w:rsidRPr="00DE096C" w:rsidRDefault="007D7D86" w:rsidP="007D7D86">
      <w:pPr>
        <w:jc w:val="both"/>
        <w:rPr>
          <w:bCs/>
          <w:color w:val="002060"/>
          <w:sz w:val="16"/>
          <w:szCs w:val="16"/>
        </w:rPr>
      </w:pPr>
    </w:p>
    <w:p w14:paraId="2149C757"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2671132C" w14:textId="77777777" w:rsidR="00B67D7C" w:rsidRPr="00DE096C" w:rsidRDefault="00B67D7C" w:rsidP="00D45A46">
      <w:pPr>
        <w:shd w:val="clear" w:color="auto" w:fill="FFFFFF"/>
        <w:jc w:val="both"/>
        <w:rPr>
          <w:bCs/>
          <w:i/>
          <w:color w:val="002060"/>
          <w:sz w:val="16"/>
          <w:szCs w:val="16"/>
        </w:rPr>
      </w:pPr>
    </w:p>
    <w:p w14:paraId="0938FE16" w14:textId="08C434E6" w:rsidR="00961E44" w:rsidRPr="00DE096C" w:rsidRDefault="00961E44" w:rsidP="00D45A46">
      <w:pPr>
        <w:jc w:val="both"/>
        <w:rPr>
          <w:bCs/>
          <w:color w:val="002060"/>
          <w:sz w:val="16"/>
          <w:szCs w:val="16"/>
        </w:rPr>
      </w:pPr>
      <w:bookmarkStart w:id="27" w:name="_Hlk117156766"/>
      <w:r w:rsidRPr="00DE096C">
        <w:rPr>
          <w:bCs/>
          <w:color w:val="002060"/>
          <w:sz w:val="16"/>
          <w:szCs w:val="16"/>
        </w:rPr>
        <w:t xml:space="preserve">К 1 (14) июня 1914 года флотом было принято 8 кораблей ИМ (III, IV, V, VI, VII, VIII, IX, X). Для того чтобы отличить от аппаратов заказанных военным ведомством с мая 1914 года все имевшиеся ИМ получили дополнительное обозначение "М" - морской. Командирами кораблей распоряжением морского министра утверждались Лавров, Римский-Корсаков, Литвинов, Григорьев, Потемкин, Гессе, Воронцов, Иванов. 1 мая сформирован отдельный дивизион воздушных кораблей, командиром которого назначен капитан 2 ранга Додоров. Аэропланы собирались, облетывались и затем вновь разбирались и отправлялись на Черноморский флот, где к тому времени была организована гидростанция. В заключение стоит заметить, что первый успешный сброс учебной торпеды типа "Л" с корабля V был выполнен 2 мая 1914 года. Кроме этого, для Дивизиона в мае испытали тяжелые бомбы представлявшие собой переделанные 10" фугасные снаряды с трубкой мгновенного действия и приваренными стабилизаторами. Несколько таких бомб испытали в море в 12-14 мая 1914 года, и хотя в судно мишень не попали из 5 сброшенных бомб ни разу, самая ближайшая, разорвалась в 10 метрах от борта, нанеся серъезные осколочных повреждений. Испытания признали успешным и заготовили партию из 30 бомб силами Севастопольского арсенала. Бомба предназначена была для сброса с минной подвески. </w:t>
      </w:r>
    </w:p>
    <w:p w14:paraId="6A783B20" w14:textId="77777777" w:rsidR="00961E44" w:rsidRPr="00DE096C" w:rsidRDefault="00961E44" w:rsidP="00D45A46">
      <w:pPr>
        <w:jc w:val="both"/>
        <w:rPr>
          <w:bCs/>
          <w:color w:val="002060"/>
          <w:sz w:val="16"/>
          <w:szCs w:val="16"/>
        </w:rPr>
      </w:pPr>
      <w:r w:rsidRPr="00DE096C">
        <w:rPr>
          <w:bCs/>
          <w:color w:val="002060"/>
          <w:sz w:val="16"/>
          <w:szCs w:val="16"/>
        </w:rPr>
        <w:t>Из заказа военного ведомства первый аппарат был готов только к началу июня и получил наименование XV. Отличием армейских "Муромцев", а они так и обозначались по документам "ИМ-А", было использование более дешевых и менее мощных "Аргусов" мощностью 140 л.с. Военное ведомство, в отличие от морского, считало поначалу главным предназначением аппарата ведение разведки. Военное ведомство в июле 1914 года утвердило штат "Команды для аэроплана типа Илья Муромец, состоявшей из 4 офицеров, 1 военного чиновника и 40 нижних чинов. На аппарат предполагалось мощное вооружение: 37 мм пушка Гочкиса, 2 пулемета "Максим", 2 ружья-пулемета "Мадсен" и 2 пистолетов "Маузер"(от установки пушки отказались быстро). Один корабль приравнивался к полевому отряду и придавался штабам армий и фронтов. Командиром 2-го воздушного корабля был назначен штабс-капитан Е.В.Руднев, 15-го поручик А.В.Панкратьев (12284).</w:t>
      </w:r>
    </w:p>
    <w:p w14:paraId="2181301D" w14:textId="77777777" w:rsidR="00961E44" w:rsidRPr="00DE096C" w:rsidRDefault="00961E44" w:rsidP="00D45A46">
      <w:pPr>
        <w:jc w:val="both"/>
        <w:rPr>
          <w:bCs/>
          <w:color w:val="002060"/>
          <w:sz w:val="16"/>
          <w:szCs w:val="16"/>
        </w:rPr>
      </w:pPr>
    </w:p>
    <w:bookmarkEnd w:id="27"/>
    <w:p w14:paraId="5AF94C29" w14:textId="77777777" w:rsidR="00B67D7C" w:rsidRPr="00DE096C" w:rsidRDefault="00B67D7C" w:rsidP="00D45A46">
      <w:pPr>
        <w:jc w:val="both"/>
        <w:rPr>
          <w:bCs/>
          <w:color w:val="002060"/>
          <w:sz w:val="16"/>
          <w:szCs w:val="16"/>
        </w:rPr>
      </w:pPr>
      <w:r w:rsidRPr="00DE096C">
        <w:rPr>
          <w:bCs/>
          <w:color w:val="002060"/>
          <w:sz w:val="16"/>
          <w:szCs w:val="16"/>
        </w:rPr>
        <w:t>1 (14) июня 1914 года Кульнев поднял в воздух первый гидросамолет Григоровича. Летчик легко оторвал аппарат от воды и за десять минут набрал высоту 300 метров. Потом поднялся до высоты 600 метров и, пробыв в воздухе 32 минуты, закончил испытательный полет красивым планирующим спуском (Альбатросы).</w:t>
      </w:r>
    </w:p>
    <w:p w14:paraId="28EB9E2F" w14:textId="77777777" w:rsidR="00B67D7C" w:rsidRPr="00DE096C" w:rsidRDefault="00B67D7C" w:rsidP="00D45A46">
      <w:pPr>
        <w:shd w:val="clear" w:color="auto" w:fill="FFFFFF"/>
        <w:jc w:val="both"/>
        <w:rPr>
          <w:bCs/>
          <w:color w:val="002060"/>
          <w:sz w:val="16"/>
          <w:szCs w:val="16"/>
        </w:rPr>
      </w:pPr>
    </w:p>
    <w:p w14:paraId="72202A04" w14:textId="77777777" w:rsidR="00B67D7C" w:rsidRPr="00DE096C" w:rsidRDefault="00B67D7C" w:rsidP="00D45A46">
      <w:pPr>
        <w:jc w:val="both"/>
        <w:rPr>
          <w:bCs/>
          <w:color w:val="002060"/>
          <w:sz w:val="16"/>
          <w:szCs w:val="16"/>
        </w:rPr>
      </w:pPr>
      <w:r w:rsidRPr="00DE096C">
        <w:rPr>
          <w:bCs/>
          <w:color w:val="002060"/>
          <w:sz w:val="16"/>
          <w:szCs w:val="16"/>
        </w:rPr>
        <w:t>1 (14) июня 1914 года лейтенант С. Кульнев поднял в воздух первую отечественную летающую лодку М-1 (11239).</w:t>
      </w:r>
    </w:p>
    <w:p w14:paraId="56F8DD74" w14:textId="77777777" w:rsidR="00B67D7C" w:rsidRPr="00DE096C" w:rsidRDefault="00B67D7C" w:rsidP="00D45A46">
      <w:pPr>
        <w:jc w:val="both"/>
        <w:rPr>
          <w:bCs/>
          <w:color w:val="002060"/>
          <w:sz w:val="16"/>
          <w:szCs w:val="16"/>
        </w:rPr>
      </w:pPr>
    </w:p>
    <w:p w14:paraId="24548AAD" w14:textId="46F61D07"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1 (14) июня 1914 г. </w:t>
      </w:r>
      <w:r w:rsidR="00BA24E5" w:rsidRPr="00DE096C">
        <w:rPr>
          <w:bCs/>
          <w:color w:val="002060"/>
          <w:sz w:val="16"/>
          <w:szCs w:val="16"/>
        </w:rPr>
        <w:t xml:space="preserve">начались заводские испытания летающей лодки М-1 Григоровича. </w:t>
      </w:r>
      <w:r w:rsidRPr="00DE096C">
        <w:rPr>
          <w:bCs/>
          <w:color w:val="002060"/>
          <w:sz w:val="16"/>
          <w:szCs w:val="16"/>
        </w:rPr>
        <w:t>Шестого июня в Либаве на 1-й морской авиационной станции Балтийского флота приемная комиссия порта Императора Александра III занесла этот аппарат в списки казенного имущества после опытов, выполненных лейтенантом И. И. Кульневым. Во время 32-минутного полета, при достижении максимальной высоты в 600 м, летчик поднялся на 300 м за 10 минут, а затем совершил еще одно, 13-минутное, воздушное путешествие и, таким образом, успешно закончил обусловленную контрактом программу. Самолету присвоили флотский кодовый номер Щ-1, тогда как название М-1 также, вероят</w:t>
      </w:r>
      <w:r w:rsidRPr="00DE096C">
        <w:rPr>
          <w:bCs/>
          <w:color w:val="002060"/>
          <w:sz w:val="16"/>
          <w:szCs w:val="16"/>
        </w:rPr>
        <w:softHyphen/>
        <w:t>но, существовало (2807).</w:t>
      </w:r>
    </w:p>
    <w:p w14:paraId="5A58D906" w14:textId="77777777" w:rsidR="00B67D7C" w:rsidRPr="00DE096C" w:rsidRDefault="00B67D7C" w:rsidP="00D45A46">
      <w:pPr>
        <w:shd w:val="clear" w:color="auto" w:fill="FFFFFF"/>
        <w:jc w:val="both"/>
        <w:rPr>
          <w:bCs/>
          <w:color w:val="002060"/>
          <w:sz w:val="16"/>
          <w:szCs w:val="16"/>
        </w:rPr>
      </w:pPr>
    </w:p>
    <w:p w14:paraId="1D8AB4A4"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Другие оборонные отрасли:</w:t>
      </w:r>
    </w:p>
    <w:p w14:paraId="6D40BBE9" w14:textId="77777777" w:rsidR="00B67D7C" w:rsidRPr="00DE096C" w:rsidRDefault="00B67D7C" w:rsidP="00D45A46">
      <w:pPr>
        <w:shd w:val="clear" w:color="auto" w:fill="FFFFFF"/>
        <w:jc w:val="both"/>
        <w:rPr>
          <w:bCs/>
          <w:i/>
          <w:color w:val="002060"/>
          <w:sz w:val="16"/>
          <w:szCs w:val="16"/>
        </w:rPr>
      </w:pPr>
    </w:p>
    <w:p w14:paraId="6775CCA8" w14:textId="711D8116" w:rsidR="00B67D7C" w:rsidRPr="00DE096C" w:rsidRDefault="00BA24E5" w:rsidP="00D45A46">
      <w:pPr>
        <w:shd w:val="clear" w:color="auto" w:fill="FFFFFF"/>
        <w:jc w:val="both"/>
        <w:rPr>
          <w:bCs/>
          <w:color w:val="002060"/>
          <w:sz w:val="16"/>
          <w:szCs w:val="16"/>
        </w:rPr>
      </w:pPr>
      <w:r w:rsidRPr="00DE096C">
        <w:rPr>
          <w:bCs/>
          <w:color w:val="002060"/>
          <w:sz w:val="16"/>
          <w:szCs w:val="16"/>
        </w:rPr>
        <w:t>С</w:t>
      </w:r>
      <w:r w:rsidR="00B67D7C" w:rsidRPr="00DE096C">
        <w:rPr>
          <w:bCs/>
          <w:color w:val="002060"/>
          <w:sz w:val="16"/>
          <w:szCs w:val="16"/>
        </w:rPr>
        <w:t xml:space="preserve"> 29 мая по 1 </w:t>
      </w:r>
      <w:r w:rsidRPr="00DE096C">
        <w:rPr>
          <w:bCs/>
          <w:color w:val="002060"/>
          <w:sz w:val="16"/>
          <w:szCs w:val="16"/>
        </w:rPr>
        <w:t xml:space="preserve">(14) </w:t>
      </w:r>
      <w:r w:rsidR="00B67D7C" w:rsidRPr="00DE096C">
        <w:rPr>
          <w:bCs/>
          <w:color w:val="002060"/>
          <w:sz w:val="16"/>
          <w:szCs w:val="16"/>
        </w:rPr>
        <w:t xml:space="preserve">июня 1914 г. </w:t>
      </w:r>
      <w:r w:rsidRPr="00DE096C">
        <w:rPr>
          <w:bCs/>
          <w:color w:val="002060"/>
          <w:sz w:val="16"/>
          <w:szCs w:val="16"/>
        </w:rPr>
        <w:t>проходил первый организованный ГВТУ испытательный мотопробег, протяжённостью 1300 вёрст по маршруту Москва-Санкт-Петер</w:t>
      </w:r>
      <w:r w:rsidRPr="00DE096C">
        <w:rPr>
          <w:bCs/>
          <w:color w:val="002060"/>
          <w:sz w:val="16"/>
          <w:szCs w:val="16"/>
        </w:rPr>
        <w:softHyphen/>
        <w:t xml:space="preserve">бург и обратно с отдыхом в столице. </w:t>
      </w:r>
      <w:r w:rsidR="00B67D7C" w:rsidRPr="00DE096C">
        <w:rPr>
          <w:bCs/>
          <w:color w:val="002060"/>
          <w:sz w:val="16"/>
          <w:szCs w:val="16"/>
        </w:rPr>
        <w:t>Контрольные пункты находились в городах Тверь, Вышний Волочёк, Крестцы, Чудово, Санкт-Петербург, где техническая комиссия фиксировала отказы у мотоциклов и в соответствия с ними выставляла штрафные баллы. Принятая тогда система оценки надёжности мотоциклов в пробеге долгие годы использовалась в нашей стране, правда, с уточнениями. Так, за погнутую на учётном этапе педаль назначали 2 штраф</w:t>
      </w:r>
      <w:r w:rsidR="00B67D7C" w:rsidRPr="00DE096C">
        <w:rPr>
          <w:bCs/>
          <w:color w:val="002060"/>
          <w:sz w:val="16"/>
          <w:szCs w:val="16"/>
        </w:rPr>
        <w:softHyphen/>
        <w:t>ных очка, подножку - 4, руль - 2, шатун в двигателе - 2 (за каж</w:t>
      </w:r>
      <w:r w:rsidR="00B67D7C" w:rsidRPr="00DE096C">
        <w:rPr>
          <w:bCs/>
          <w:color w:val="002060"/>
          <w:sz w:val="16"/>
          <w:szCs w:val="16"/>
        </w:rPr>
        <w:softHyphen/>
        <w:t>дый); за поломку руля - 20; за поломку или потерю педали - 5, спицы - 2 (за каждую); за «восьмёрку» колеса (более 10 мм) - 6, поломку обода колеса - 8, деформацию глушителя - 4 и т.д. Всего назначили 44 контрольных позиции и установили зачёт</w:t>
      </w:r>
      <w:r w:rsidR="00B67D7C" w:rsidRPr="00DE096C">
        <w:rPr>
          <w:bCs/>
          <w:color w:val="002060"/>
          <w:sz w:val="16"/>
          <w:szCs w:val="16"/>
        </w:rPr>
        <w:softHyphen/>
        <w:t>ное время прохождения маршрута - не более 84 часов [2.23]. Для каждого мотоцикла предполагалось суммировать баллы. Мотоцикл с наименьшей суммой штрафных очков считался лучшим.</w:t>
      </w:r>
    </w:p>
    <w:p w14:paraId="2D39425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Из записавшихся 43 участников к старту прибыло 37. Мото</w:t>
      </w:r>
      <w:r w:rsidRPr="00DE096C">
        <w:rPr>
          <w:bCs/>
          <w:color w:val="002060"/>
          <w:sz w:val="16"/>
          <w:szCs w:val="16"/>
        </w:rPr>
        <w:softHyphen/>
        <w:t>циклисты стартовали поочерёдно с интервалом в две минуты. Первому дали отмашку в 2 ч 30 мин по Санкт-Петербургскому времени. Успешно закончили пробег лишь 16 участников, трое не уложились в норму времени, столько же - сняли с дистанции за нарушения правил, 15 - сошли с маршрута.</w:t>
      </w:r>
    </w:p>
    <w:p w14:paraId="08B2E05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Лучшее время показал прапорщик Б.М. Толокнов (Индиан, 7 л.с.) - 38 ч 50 мин (средняя скорость 33,5 версты в час). Ему вру</w:t>
      </w:r>
      <w:r w:rsidRPr="00DE096C">
        <w:rPr>
          <w:bCs/>
          <w:color w:val="002060"/>
          <w:sz w:val="16"/>
          <w:szCs w:val="16"/>
        </w:rPr>
        <w:softHyphen/>
        <w:t>чили Первый приз Московского клуба мотористов (МКМ). Вто</w:t>
      </w:r>
      <w:r w:rsidRPr="00DE096C">
        <w:rPr>
          <w:bCs/>
          <w:color w:val="002060"/>
          <w:sz w:val="16"/>
          <w:szCs w:val="16"/>
        </w:rPr>
        <w:softHyphen/>
        <w:t>рой и Третий получили А.Ф. Круминг (Индиан, 7 л.с.) и Ф.М. Грабовский (Скотт, 4 л.с.) соответственно. За лучшее состояние фи</w:t>
      </w:r>
      <w:r w:rsidRPr="00DE096C">
        <w:rPr>
          <w:bCs/>
          <w:color w:val="002060"/>
          <w:sz w:val="16"/>
          <w:szCs w:val="16"/>
        </w:rPr>
        <w:softHyphen/>
        <w:t>нишировавшего мотоцикла (наименьшее количество штрафных баллов) вручили призы МКМ, соответственно: Первый -П.Я. Кротову (Индиан, 7 л.с.), Второй - Л.В. Владимирову (Не-камсульм, 3,5 л.с.), Третий - И.А. Юргенсону (Вандерер, 3 л.с.). Главную награду - приз Императорского Российского Автомо</w:t>
      </w:r>
      <w:r w:rsidRPr="00DE096C">
        <w:rPr>
          <w:bCs/>
          <w:color w:val="002060"/>
          <w:sz w:val="16"/>
          <w:szCs w:val="16"/>
        </w:rPr>
        <w:softHyphen/>
        <w:t>бильного общества за наилучшее состояние мотоцикла на фини</w:t>
      </w:r>
      <w:r w:rsidRPr="00DE096C">
        <w:rPr>
          <w:bCs/>
          <w:color w:val="002060"/>
          <w:sz w:val="16"/>
          <w:szCs w:val="16"/>
        </w:rPr>
        <w:softHyphen/>
        <w:t>ше вручили А.С. Рупневскому (Рудж, 3,5 л.с.) [2.24].</w:t>
      </w:r>
    </w:p>
    <w:p w14:paraId="51564B0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По результатам этого испытания не провели анализ отказов участвовавших в нём мотоциклов и не выработали рекомендации о пригодности марок зарубежных мотоциклов к эксплуатации на дорогах России.</w:t>
      </w:r>
    </w:p>
    <w:p w14:paraId="7689B71D" w14:textId="77777777" w:rsidR="00B67D7C" w:rsidRPr="00DE096C" w:rsidRDefault="00B67D7C" w:rsidP="00D45A46">
      <w:pPr>
        <w:jc w:val="both"/>
        <w:rPr>
          <w:bCs/>
          <w:color w:val="002060"/>
          <w:sz w:val="16"/>
          <w:szCs w:val="16"/>
        </w:rPr>
      </w:pPr>
      <w:r w:rsidRPr="00DE096C">
        <w:rPr>
          <w:bCs/>
          <w:color w:val="002060"/>
          <w:sz w:val="16"/>
          <w:szCs w:val="16"/>
        </w:rPr>
        <w:lastRenderedPageBreak/>
        <w:t>Второй мотопробег предполагался более сложным. Он дол</w:t>
      </w:r>
      <w:r w:rsidRPr="00DE096C">
        <w:rPr>
          <w:bCs/>
          <w:color w:val="002060"/>
          <w:sz w:val="16"/>
          <w:szCs w:val="16"/>
        </w:rPr>
        <w:softHyphen/>
        <w:t>жен был стартовать и финишировать в одном месте - Санкт-Пе</w:t>
      </w:r>
      <w:r w:rsidRPr="00DE096C">
        <w:rPr>
          <w:bCs/>
          <w:color w:val="002060"/>
          <w:sz w:val="16"/>
          <w:szCs w:val="16"/>
        </w:rPr>
        <w:softHyphen/>
        <w:t>тербурге и проходить по более протяжённому маршруту -2603 версты, на котором чередовались бы езда по шоссе и грун</w:t>
      </w:r>
      <w:r w:rsidRPr="00DE096C">
        <w:rPr>
          <w:bCs/>
          <w:color w:val="002060"/>
          <w:sz w:val="16"/>
          <w:szCs w:val="16"/>
        </w:rPr>
        <w:softHyphen/>
        <w:t>товой дороге. Для мотоциклистов предусматривался отдых в кон</w:t>
      </w:r>
      <w:r w:rsidRPr="00DE096C">
        <w:rPr>
          <w:bCs/>
          <w:color w:val="002060"/>
          <w:sz w:val="16"/>
          <w:szCs w:val="16"/>
        </w:rPr>
        <w:softHyphen/>
        <w:t>трольных пунктах маршрута: Вильно, Варшава, Рига [2.25] (11429).</w:t>
      </w:r>
    </w:p>
    <w:p w14:paraId="1C42D6BD" w14:textId="77777777" w:rsidR="00B67D7C" w:rsidRPr="00DE096C" w:rsidRDefault="00B67D7C" w:rsidP="00D45A46">
      <w:pPr>
        <w:jc w:val="both"/>
        <w:rPr>
          <w:bCs/>
          <w:color w:val="002060"/>
          <w:sz w:val="16"/>
          <w:szCs w:val="16"/>
        </w:rPr>
      </w:pPr>
    </w:p>
    <w:p w14:paraId="4B34C63C"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Морская авиация:</w:t>
      </w:r>
    </w:p>
    <w:p w14:paraId="42A5C0C4" w14:textId="77777777" w:rsidR="00B67D7C" w:rsidRPr="00DE096C" w:rsidRDefault="00B67D7C" w:rsidP="00D45A46">
      <w:pPr>
        <w:shd w:val="clear" w:color="auto" w:fill="FFFFFF"/>
        <w:jc w:val="both"/>
        <w:rPr>
          <w:bCs/>
          <w:i/>
          <w:color w:val="002060"/>
          <w:sz w:val="16"/>
          <w:szCs w:val="16"/>
        </w:rPr>
      </w:pPr>
    </w:p>
    <w:p w14:paraId="23CAA3FE" w14:textId="7574F7CC" w:rsidR="00B67D7C" w:rsidRPr="00DE096C" w:rsidRDefault="003B399A" w:rsidP="00D45A46">
      <w:pPr>
        <w:jc w:val="both"/>
        <w:rPr>
          <w:bCs/>
          <w:color w:val="002060"/>
          <w:sz w:val="16"/>
          <w:szCs w:val="16"/>
        </w:rPr>
      </w:pPr>
      <w:r w:rsidRPr="00DE096C">
        <w:rPr>
          <w:bCs/>
          <w:color w:val="002060"/>
          <w:sz w:val="16"/>
          <w:szCs w:val="16"/>
        </w:rPr>
        <w:t>К</w:t>
      </w:r>
      <w:r w:rsidR="00B67D7C" w:rsidRPr="00DE096C">
        <w:rPr>
          <w:bCs/>
          <w:color w:val="002060"/>
          <w:sz w:val="16"/>
          <w:szCs w:val="16"/>
        </w:rPr>
        <w:t xml:space="preserve"> 1 </w:t>
      </w:r>
      <w:r w:rsidRPr="00DE096C">
        <w:rPr>
          <w:bCs/>
          <w:color w:val="002060"/>
          <w:sz w:val="16"/>
          <w:szCs w:val="16"/>
        </w:rPr>
        <w:t xml:space="preserve">(14) </w:t>
      </w:r>
      <w:r w:rsidR="00B67D7C" w:rsidRPr="00DE096C">
        <w:rPr>
          <w:bCs/>
          <w:color w:val="002060"/>
          <w:sz w:val="16"/>
          <w:szCs w:val="16"/>
        </w:rPr>
        <w:t>июня 1914 года</w:t>
      </w:r>
      <w:r w:rsidRPr="00DE096C">
        <w:rPr>
          <w:bCs/>
          <w:color w:val="002060"/>
          <w:sz w:val="16"/>
          <w:szCs w:val="16"/>
        </w:rPr>
        <w:t xml:space="preserve"> на вооружении Императорского флота состояли слежующие аэропланы и дирижабли:</w:t>
      </w:r>
    </w:p>
    <w:p w14:paraId="3001FB20" w14:textId="77777777" w:rsidR="00B67D7C" w:rsidRPr="00DE096C" w:rsidRDefault="00B67D7C" w:rsidP="00D45A46">
      <w:pPr>
        <w:jc w:val="both"/>
        <w:rPr>
          <w:bCs/>
          <w:color w:val="002060"/>
          <w:sz w:val="16"/>
          <w:szCs w:val="16"/>
        </w:rPr>
      </w:pPr>
      <w:r w:rsidRPr="00DE096C">
        <w:rPr>
          <w:bCs/>
          <w:color w:val="002060"/>
          <w:sz w:val="16"/>
          <w:szCs w:val="16"/>
        </w:rPr>
        <w:t xml:space="preserve">"Блерио-XI" </w:t>
      </w:r>
    </w:p>
    <w:p w14:paraId="570BC8C6" w14:textId="5734512D" w:rsidR="00B67D7C" w:rsidRPr="00DE096C" w:rsidRDefault="00B67D7C" w:rsidP="00D45A46">
      <w:pPr>
        <w:jc w:val="both"/>
        <w:rPr>
          <w:bCs/>
          <w:color w:val="002060"/>
          <w:sz w:val="16"/>
          <w:szCs w:val="16"/>
        </w:rPr>
      </w:pPr>
      <w:r w:rsidRPr="00DE096C">
        <w:rPr>
          <w:bCs/>
          <w:color w:val="002060"/>
          <w:sz w:val="16"/>
          <w:szCs w:val="16"/>
        </w:rPr>
        <w:t xml:space="preserve">Русским морским ведомством до начала войны было приобретено в общей сложности 11 аэропланов типа "Блерио". Из них 5 было приобретено непосредственно во Франции, из которых 3 было отправлено в Болгарию. Еще 6 было приобретено на заводе "Дукс". К лету 1914 года 4 исправных, но довольно изношенных аэроплана числились в составе воздушных сил Балтийского флота. </w:t>
      </w:r>
    </w:p>
    <w:p w14:paraId="7A223F13" w14:textId="77777777" w:rsidR="00B67D7C" w:rsidRPr="00DE096C" w:rsidRDefault="00B67D7C" w:rsidP="00D45A46">
      <w:pPr>
        <w:jc w:val="both"/>
        <w:rPr>
          <w:bCs/>
          <w:color w:val="002060"/>
          <w:sz w:val="16"/>
          <w:szCs w:val="16"/>
        </w:rPr>
      </w:pPr>
      <w:r w:rsidRPr="00DE096C">
        <w:rPr>
          <w:bCs/>
          <w:color w:val="002060"/>
          <w:sz w:val="16"/>
          <w:szCs w:val="16"/>
        </w:rPr>
        <w:t xml:space="preserve">ЛТХ имевшихся в наличии к лету 1914 года аппаратов: размах крыльев - 10.2 м, длинна 9 м, площадь крыла 20.9 м.кв., масса пустого самолета 350 кг, нормальная взлетная 570 кг, мотор "Гном" 80 л.с., макс.скорость 106 км/ч, крейсерская скорость 85 км/ч, продолжительность полета 3-3.5 часа, экипаж 1-2 че ловека. Вооружение: не предусмотрено. В отдельных случаях на борт брали несколько мелких бомб, сбрасывавшихся вручную или с помощью самодельных приспособлений. </w:t>
      </w:r>
    </w:p>
    <w:p w14:paraId="0EDAB25E" w14:textId="77777777" w:rsidR="00B67D7C" w:rsidRPr="00DE096C" w:rsidRDefault="00B67D7C" w:rsidP="00D45A46">
      <w:pPr>
        <w:jc w:val="both"/>
        <w:rPr>
          <w:bCs/>
          <w:color w:val="002060"/>
          <w:sz w:val="16"/>
          <w:szCs w:val="16"/>
        </w:rPr>
      </w:pPr>
      <w:r w:rsidRPr="00DE096C">
        <w:rPr>
          <w:bCs/>
          <w:color w:val="002060"/>
          <w:sz w:val="16"/>
          <w:szCs w:val="16"/>
        </w:rPr>
        <w:t xml:space="preserve">"Большой Балтийский" </w:t>
      </w:r>
    </w:p>
    <w:p w14:paraId="76F97A5D" w14:textId="3836362B" w:rsidR="00B67D7C" w:rsidRPr="00DE096C" w:rsidRDefault="00B67D7C" w:rsidP="00D45A46">
      <w:pPr>
        <w:jc w:val="both"/>
        <w:rPr>
          <w:bCs/>
          <w:color w:val="002060"/>
          <w:sz w:val="16"/>
          <w:szCs w:val="16"/>
        </w:rPr>
      </w:pPr>
      <w:bookmarkStart w:id="28" w:name="_Hlk117153555"/>
      <w:r w:rsidRPr="00DE096C">
        <w:rPr>
          <w:bCs/>
          <w:color w:val="002060"/>
          <w:sz w:val="16"/>
          <w:szCs w:val="16"/>
        </w:rPr>
        <w:t xml:space="preserve">В МГШ посчитали, что необходимо испробовать применить хорошо зарекомендовавшее себя оружие - самодвижущиеся мины, с аэроплана, что сулило существенное повышение эффективности дневного применения этого оружия. Для опытов специалисты Кронштадтского арсенала приступили к доработке 10 торпед типа "Л". Для проведения испытаний 22 июля "Гранд" перелетел на Гатчинскую авиастанцию. Сюда уже были доставлены макеты самодвижущихся мин обр.1898 года типа "Л". В течении месяца аппарат дорабатывался для подвески оружия. Дело было абсолютно новым. Подвеска была в кратчайший срок спроектирована лейтенантом Голенищевым-Кутузовым и рассчитывалась на применение торпед типа "Л". Уже 17 августа с аэроплана был сброшен в воду на Кронштадтском рейде габаритно-весовой макет торпеды. После чего ГУК заключило контракт с РБЗ на строительство к 12 ноября 2-х аппаратов по типу "Гранд" (в заказ было включено изготовление 2-х комплектов поплавков) с минной подвеской. </w:t>
      </w:r>
    </w:p>
    <w:p w14:paraId="5BD84728" w14:textId="12C8D4C8" w:rsidR="00B67D7C" w:rsidRPr="00DE096C" w:rsidRDefault="00B67D7C" w:rsidP="00D45A46">
      <w:pPr>
        <w:jc w:val="both"/>
        <w:rPr>
          <w:bCs/>
          <w:color w:val="002060"/>
          <w:sz w:val="16"/>
          <w:szCs w:val="16"/>
        </w:rPr>
      </w:pPr>
      <w:r w:rsidRPr="00DE096C">
        <w:rPr>
          <w:bCs/>
          <w:color w:val="002060"/>
          <w:sz w:val="16"/>
          <w:szCs w:val="16"/>
        </w:rPr>
        <w:t>Для опытов был выделен район невдалеке от строящихся укреплений у д.Красная Горка, куда была отбуксирована списанная яхта "Держава". После месячных учений со сбросами макетов было принято решение о сбросе снаряженной торпеды. 29 сентября 1913 года "Гранд", пилотируемый Сикорским, сбросив с третьего захода, торпеду, попал в среднюю часть яхты у фок-мачты. Яхта затонула спустя 10 минут. За полетами наблюдали с борта крейсера "Адмирал Витгефт" высшие чины морского ведомства во главе с морским министром светлейшим князем Ливеном. На следующий день Шидловский и Сикорский были приглашены на коллегию морского ведомства. По результатам обсуждения было принято решение о проектировании нового аэроплано лучше соответствующего требованиям морского ведомства.</w:t>
      </w:r>
    </w:p>
    <w:p w14:paraId="132EAFA9" w14:textId="77777777" w:rsidR="00B67D7C" w:rsidRPr="00DE096C" w:rsidRDefault="00B67D7C" w:rsidP="00D45A46">
      <w:pPr>
        <w:jc w:val="both"/>
        <w:rPr>
          <w:bCs/>
          <w:color w:val="002060"/>
          <w:sz w:val="16"/>
          <w:szCs w:val="16"/>
        </w:rPr>
      </w:pPr>
      <w:bookmarkStart w:id="29" w:name="_Hlk117154885"/>
      <w:bookmarkEnd w:id="28"/>
      <w:r w:rsidRPr="00DE096C">
        <w:rPr>
          <w:bCs/>
          <w:color w:val="002060"/>
          <w:sz w:val="16"/>
          <w:szCs w:val="16"/>
        </w:rPr>
        <w:t xml:space="preserve">Первый корабль по типу "Гранд" был изготовлен в середине ноября и перегнан на Гатчинский аэродром, где был принят лейтенантом Лавровым. Второй корабль был сдан 1 декабря 1913 года. "Гранд" остался в распоряжении завода и использовался для обучения пилотов и был серьезно поврежден при посадке 29 мая 1914 года. Более не восстанавливался. Флотские корабли I и II имели поплавки в отличии от первого "Гранда". Ввиду того, что погодные условия в Петербурге с трудом можно назвать благоприятными, 26 декабря было принято решение обучение летчиков для морского ведомства и отработку вопросов применения самодвижущихся и метательных мин перенести на Черное море. После отправки обоих кораблей на Черное море и облета их там, первый сброс торпеды типа "Л" флотскими летчиками был выполнен 7 марта 1914 года к востоку от Фороса. В начале мая корабль I был передан для дальнейшего использования в Севастопольскую авиашколу. Корабль II продолжал использоваться в основном в учебных целях в Дивизионе воздушных кораблей. </w:t>
      </w:r>
    </w:p>
    <w:p w14:paraId="0115AFFA" w14:textId="77777777" w:rsidR="00B67D7C" w:rsidRPr="00DE096C" w:rsidRDefault="00B67D7C" w:rsidP="00D45A46">
      <w:pPr>
        <w:jc w:val="both"/>
        <w:rPr>
          <w:bCs/>
          <w:color w:val="002060"/>
          <w:sz w:val="16"/>
          <w:szCs w:val="16"/>
        </w:rPr>
      </w:pPr>
      <w:r w:rsidRPr="00DE096C">
        <w:rPr>
          <w:bCs/>
          <w:color w:val="002060"/>
          <w:sz w:val="16"/>
          <w:szCs w:val="16"/>
        </w:rPr>
        <w:t xml:space="preserve">Летная эксплуатация построенных "Грандов" дала огромный объем информации. На базе полученных знаний и опыта эксплуатации первого "Гранда" уже строилась другая, более совершенная машина. Так русский "Гранд" стал родоначальником всех многомоторных тяжелых самолетов в мире. В заключении стоит заметить что распоряжением морского министра аэропланы следовало именовать "Большой Балтийский I и II". </w:t>
      </w:r>
    </w:p>
    <w:p w14:paraId="380CCB89" w14:textId="77777777" w:rsidR="00B67D7C" w:rsidRPr="00DE096C" w:rsidRDefault="00B67D7C" w:rsidP="00D45A46">
      <w:pPr>
        <w:jc w:val="both"/>
        <w:rPr>
          <w:bCs/>
          <w:color w:val="002060"/>
          <w:sz w:val="16"/>
          <w:szCs w:val="16"/>
        </w:rPr>
      </w:pPr>
      <w:r w:rsidRPr="00DE096C">
        <w:rPr>
          <w:bCs/>
          <w:color w:val="002060"/>
          <w:sz w:val="16"/>
          <w:szCs w:val="16"/>
        </w:rPr>
        <w:t xml:space="preserve">ЛТХ: размах крыльев - 27/22 м, длинна 20 м, площадь крыла 120 м.кв., масса пустого самолета 3500 кг, нормальная взлетная 4200 кг, 4 мотора "Аргус" по 100 л.с., макс.скорость 90 км/ч, крейсерская скорость 70 км/ч, дальность 270 км, экипаж 2-7 человек, вооружение: 1-2 ружья пулемета Мадсена, в начале лета в ходе мобилизации июня минная подвеска с кораблей сняты и заменены на сооруженную в севастопольских мастерских импровизированную кассету для сброса бомб. </w:t>
      </w:r>
    </w:p>
    <w:bookmarkEnd w:id="29"/>
    <w:p w14:paraId="5DE905B5" w14:textId="77777777" w:rsidR="00B67D7C" w:rsidRPr="00DE096C" w:rsidRDefault="00B67D7C" w:rsidP="00D45A46">
      <w:pPr>
        <w:jc w:val="both"/>
        <w:rPr>
          <w:bCs/>
          <w:color w:val="002060"/>
          <w:sz w:val="16"/>
          <w:szCs w:val="16"/>
        </w:rPr>
      </w:pPr>
      <w:r w:rsidRPr="00DE096C">
        <w:rPr>
          <w:bCs/>
          <w:color w:val="002060"/>
          <w:sz w:val="16"/>
          <w:szCs w:val="16"/>
        </w:rPr>
        <w:t xml:space="preserve">"Илья Муромец" </w:t>
      </w:r>
    </w:p>
    <w:p w14:paraId="4F8CEC3C" w14:textId="77777777" w:rsidR="00B67D7C" w:rsidRPr="00DE096C" w:rsidRDefault="00B67D7C" w:rsidP="00D45A46">
      <w:pPr>
        <w:jc w:val="both"/>
        <w:rPr>
          <w:bCs/>
          <w:color w:val="002060"/>
          <w:sz w:val="16"/>
          <w:szCs w:val="16"/>
        </w:rPr>
      </w:pPr>
      <w:r w:rsidRPr="00DE096C">
        <w:rPr>
          <w:bCs/>
          <w:color w:val="002060"/>
          <w:sz w:val="16"/>
          <w:szCs w:val="16"/>
        </w:rPr>
        <w:t xml:space="preserve">Полеты "Русского Витязя" полностью подтвердили возможность создания тяжелых многомоторных самолетов, и свою заинтересованность в таких аппаратах проявило военное министерство. С августа 1913 г. на Русско-Балтийском вагонным заводе (РБВЗ) началась постройка прототипа нового четырехмоторного тяжелого аэроплана, который получил название в честь русского былинного богатыря "Илья Муромец" (оно стало общим названием для различных модификаций этой машины, строившейся на заводе с 1913 года). Прототип был готов в начале декабря 1913 года и 10 числа совершен первый полет. На этом аппарате было сделано дополнительное среднее шасси. Уже после первого полета "Ильи Муромеца" ГУК заключило контракт на 12 аэропланов 26 декабря 1914 года. Главное Военно-Техническое Управление (ГВТУ) заключило 7 мая 1914 года контракт с РБВЗ на постройку еще 10 аэропланов этого типа. В феврале вне текущих контрактов РБВЗ был построен второй экземпляр, на котором были более мощные "Аргусы" - 2 по 125 и 2 по 140 сил. Корабль получил впоследствии почетное наименование "Киевский" в честь знаменательного апрельского перелета Петербург-Киев-Ново-Сокольники-Петербург. Первыми пилотами воздушных кораблей стали инструкторы Гатчинской авиашколы, которых учил вождению конструктор Сикорский на корабле "Киевском", ставшем учебным. В мае школа приобрела наличной покупкой этот "Муромец". Корабль получил N II. </w:t>
      </w:r>
    </w:p>
    <w:p w14:paraId="6C4FA0D2" w14:textId="77777777" w:rsidR="00B67D7C" w:rsidRPr="00DE096C" w:rsidRDefault="00B67D7C" w:rsidP="00D45A46">
      <w:pPr>
        <w:jc w:val="both"/>
        <w:rPr>
          <w:bCs/>
          <w:color w:val="002060"/>
          <w:sz w:val="16"/>
          <w:szCs w:val="16"/>
        </w:rPr>
      </w:pPr>
      <w:r w:rsidRPr="00DE096C">
        <w:rPr>
          <w:bCs/>
          <w:color w:val="002060"/>
          <w:sz w:val="16"/>
          <w:szCs w:val="16"/>
        </w:rPr>
        <w:t xml:space="preserve">Первый корабль, изготовленный для морского ведомства, был облетан 2 марта 1914 года лично Сикорским вместе со старшим лейтенантом Лавровым. Машина имела следующие отличия от опытного корабля. Вместо 100-сильных "Аргусов" были установлены "Майбахи" по 180 л.с. Сухопутное шасси было заменено на гидро: два поплавка крепились по одному под средними моторами к специальным стойкам шасси на резиновых шнурах-амортизаторах, третий же был хвостовой. Торпеда типа "Л" подвешивалась на усовершенствованной подвеске. Штат для флотских аэропланов был утвержден следующий: командир корабля, помощник, минный офицер, 1-2 механика. На аппарат полагалось вооружение из пулемета Максима в носовой части, и 1-2 ружей-пулеметов Мадсена или Федорова обр.1913 года. Для того чтобы отличить от аппаратов заказанных военным ведомством с мая 1914 года все имевшиеся ИМ получили дополнительное обозначение "М" - морской. Всего к 1 июня 1914 года было принято флотом 8 кораблей (III, IV, V, VI, VII, VIII, IX, X). Командирами кораблей распоряжением морского министра утверждались Лавров, Римский-Корсаков, Литвинов, Григорьев, Потемкин, Гессе, Воронцов, Иванов. 1 мая сформирован отдельный дивизион воздушных кораблей, командиром которого назначен капитан 2 ранга Додоров. Аэропланы собирались, облетывались и затем вновь разбирались и отправлялись на Черноморский флот, где к тому времени была организована гидростанция. В заключение стоит заметить, что первый успешный сброс учебной торпеды типа "Л" с корабля V был выполнен 2 мая 1914 года. Кроме этого, для Дивизиона в мае испытали тяжелые бомбы представлявшие собой переделанные 10" фугасные снаряды с трубкой мгновенного действия и приваренными стабилизаторами. Несколько таких бомб испытали в море в 12-14 мая 1914 года, и хотя в судно мишень не попали из 5 сброшенных бомб ни разу, самая ближайшая, разорвалась в 10 метрах от борта, нанеся серъезные осколочных повреждений. Испытания признали успешным и заготовили партию из 30 бомб силами Севастопольского арсенала. Бомба предназначена была для сброса с минной подвески. </w:t>
      </w:r>
    </w:p>
    <w:p w14:paraId="45D98F20" w14:textId="77777777" w:rsidR="00B67D7C" w:rsidRPr="00DE096C" w:rsidRDefault="00B67D7C" w:rsidP="00D45A46">
      <w:pPr>
        <w:jc w:val="both"/>
        <w:rPr>
          <w:bCs/>
          <w:color w:val="002060"/>
          <w:sz w:val="16"/>
          <w:szCs w:val="16"/>
        </w:rPr>
      </w:pPr>
      <w:r w:rsidRPr="00DE096C">
        <w:rPr>
          <w:bCs/>
          <w:color w:val="002060"/>
          <w:sz w:val="16"/>
          <w:szCs w:val="16"/>
        </w:rPr>
        <w:t xml:space="preserve">Из заказа военного ведомства первый аппарат был готов только к началу июня и получил наименование XV. Отличием армейских "Муромцев", а они так и обозначались по документам "ИМ-А", было использование более дешевых и менее мощных "Аргусов" мощностью 140 л.с. Военное ведомство, в отличие от морского, считало поначалу главным предназначением аппарата ведение разведки. Военное ведомство в июле 1914 года утвердило штат "Команды для аэроплана типа Илья Муромец, состоявшей из 4 офицеров, 1 военного чиновника и 40 нижних чинов. На аппарат предполагалось мощное вооружение: 37 мм пушка Гочкиса, 2 пулемета "Максим", 2 ружья-пулемета "Мадсен" и 2 пистолетов "Маузер"(от установки пушки отказались быстро). Один корабль приравнивался к полевому отряду и придавался штабам армий и фронтов. Командиром 2-го воздушного корабля был назначен штабс-капитан Е.В.Руднев, 15-го поручик А.В.Панкратьев. </w:t>
      </w:r>
    </w:p>
    <w:p w14:paraId="46549BC3" w14:textId="77777777" w:rsidR="00B67D7C" w:rsidRPr="00DE096C" w:rsidRDefault="00B67D7C" w:rsidP="00D45A46">
      <w:pPr>
        <w:jc w:val="both"/>
        <w:rPr>
          <w:bCs/>
          <w:color w:val="002060"/>
          <w:sz w:val="16"/>
          <w:szCs w:val="16"/>
        </w:rPr>
      </w:pPr>
      <w:r w:rsidRPr="00DE096C">
        <w:rPr>
          <w:bCs/>
          <w:color w:val="002060"/>
          <w:sz w:val="16"/>
          <w:szCs w:val="16"/>
        </w:rPr>
        <w:t xml:space="preserve">Модификации </w:t>
      </w:r>
    </w:p>
    <w:p w14:paraId="36E85936" w14:textId="77777777" w:rsidR="00B67D7C" w:rsidRPr="00DE096C" w:rsidRDefault="00B67D7C" w:rsidP="00D45A46">
      <w:pPr>
        <w:jc w:val="both"/>
        <w:rPr>
          <w:bCs/>
          <w:color w:val="002060"/>
          <w:sz w:val="16"/>
          <w:szCs w:val="16"/>
        </w:rPr>
      </w:pPr>
      <w:r w:rsidRPr="00DE096C">
        <w:rPr>
          <w:bCs/>
          <w:color w:val="002060"/>
          <w:sz w:val="16"/>
          <w:szCs w:val="16"/>
        </w:rPr>
        <w:t xml:space="preserve">"Илья Муромец": размах крыльев - 32/22 м, длинна 22 м, площадь крыла 182 м.кв., масса пустого самолета 3800 кг, нормальная взлетная 5100 кг, 4 мотора "Аргус" по 100 л.с., макс.скорость 97 км/ч, крейсерская скорость 70 км/ч, дальность 300 км, продолжительность полета 3 часа, потолок 1500 м, экипаж 7 человек, вооружение: проектом не предусматривалось. </w:t>
      </w:r>
    </w:p>
    <w:p w14:paraId="0AB35080" w14:textId="77777777" w:rsidR="00B67D7C" w:rsidRPr="00DE096C" w:rsidRDefault="00B67D7C" w:rsidP="00D45A46">
      <w:pPr>
        <w:jc w:val="both"/>
        <w:rPr>
          <w:bCs/>
          <w:color w:val="002060"/>
          <w:sz w:val="16"/>
          <w:szCs w:val="16"/>
        </w:rPr>
      </w:pPr>
      <w:r w:rsidRPr="00DE096C">
        <w:rPr>
          <w:bCs/>
          <w:color w:val="002060"/>
          <w:sz w:val="16"/>
          <w:szCs w:val="16"/>
        </w:rPr>
        <w:t xml:space="preserve">"Илья Муромец Киевский": размах крыльев - 30.95/22.45 м, длинна 19 м, площадь крыла 150 м.кв., масса пустого самолета 3040 кг, нормальная взлетная 4650 кг, 4 мотора "Аргус" 2х140 л.с. и 2х100 л.с., макс.скорость 100 км/ч, дальность 500 км, потолок 3000 м, экипаж 4 человека, вооружение: 1-2 пулемета Максима, 2-3 ружья-пулемета Мадсена или Федорова обр.1913 г., 150-200 кг бомб. </w:t>
      </w:r>
    </w:p>
    <w:p w14:paraId="1C23F6D9" w14:textId="77777777" w:rsidR="00B67D7C" w:rsidRPr="00DE096C" w:rsidRDefault="00B67D7C" w:rsidP="00D45A46">
      <w:pPr>
        <w:jc w:val="both"/>
        <w:rPr>
          <w:bCs/>
          <w:color w:val="002060"/>
          <w:sz w:val="16"/>
          <w:szCs w:val="16"/>
        </w:rPr>
      </w:pPr>
      <w:r w:rsidRPr="00DE096C">
        <w:rPr>
          <w:bCs/>
          <w:color w:val="002060"/>
          <w:sz w:val="16"/>
          <w:szCs w:val="16"/>
        </w:rPr>
        <w:t xml:space="preserve">"Илья Муромец-Ф (Флотский)": размах крыльев - 32/22 м, длинна 23.5 м, площадь крыла 182 м.кв., масса пустого самолета 4800 кг, нормальная взлетная 6300 кг, 4 мотора "Майбах" по 180 л.с., макс.скорость 115 км/ч, крейсерская скорость 80 км/ч, дальность 550 км, потолок 3500 м, экипаж 5 человек, вооружение: 1-2 пулемета Максима, ружье-пулемет Мадсена, торпеда типа "Л" на минной подвеске или 225 кг бомба. Во второй половине 1914 года оснащены бомбовыми кассетами для сброса небольших бомб. </w:t>
      </w:r>
    </w:p>
    <w:p w14:paraId="2AC1AD16" w14:textId="77777777" w:rsidR="00B67D7C" w:rsidRPr="00DE096C" w:rsidRDefault="00B67D7C" w:rsidP="00D45A46">
      <w:pPr>
        <w:jc w:val="both"/>
        <w:rPr>
          <w:bCs/>
          <w:color w:val="002060"/>
          <w:sz w:val="16"/>
          <w:szCs w:val="16"/>
        </w:rPr>
      </w:pPr>
      <w:r w:rsidRPr="00DE096C">
        <w:rPr>
          <w:bCs/>
          <w:color w:val="002060"/>
          <w:sz w:val="16"/>
          <w:szCs w:val="16"/>
        </w:rPr>
        <w:lastRenderedPageBreak/>
        <w:t xml:space="preserve">"Илья Муромец-А" (армейский): размах крыльев - 30.95/22.45 м, длинна 19 м, площадь крыла 150 м.кв., масса пустого самолета 3600 кг, нормальная взлетная 4800 кг, 4 мотора "Аргус" 2х140 л.с. и 2х125 л.с., макс.скорость 100 км/ч, дальность 400 км, потолок 2500 м, экипаж 4 человека, вооружение: 1-2 пулемета Максима, 2-3 ружья-пулемета Мадсена или Федорова обр.1913 г., 250-300 кг бомб. </w:t>
      </w:r>
    </w:p>
    <w:p w14:paraId="6319FF0E" w14:textId="77777777" w:rsidR="00B67D7C" w:rsidRPr="00DE096C" w:rsidRDefault="00B67D7C" w:rsidP="00D45A46">
      <w:pPr>
        <w:jc w:val="both"/>
        <w:rPr>
          <w:bCs/>
          <w:color w:val="002060"/>
          <w:sz w:val="16"/>
          <w:szCs w:val="16"/>
        </w:rPr>
      </w:pPr>
      <w:r w:rsidRPr="00DE096C">
        <w:rPr>
          <w:bCs/>
          <w:color w:val="002060"/>
          <w:sz w:val="16"/>
          <w:szCs w:val="16"/>
        </w:rPr>
        <w:t xml:space="preserve">Сикорский С-10 "Гидро" </w:t>
      </w:r>
    </w:p>
    <w:p w14:paraId="775AA2A9" w14:textId="77777777" w:rsidR="00B67D7C" w:rsidRPr="00DE096C" w:rsidRDefault="00B67D7C" w:rsidP="00D45A46">
      <w:pPr>
        <w:jc w:val="both"/>
        <w:rPr>
          <w:bCs/>
          <w:color w:val="002060"/>
          <w:sz w:val="16"/>
          <w:szCs w:val="16"/>
        </w:rPr>
      </w:pPr>
      <w:bookmarkStart w:id="30" w:name="_Hlk117157791"/>
      <w:r w:rsidRPr="00DE096C">
        <w:rPr>
          <w:bCs/>
          <w:color w:val="002060"/>
          <w:sz w:val="16"/>
          <w:szCs w:val="16"/>
        </w:rPr>
        <w:t xml:space="preserve">Первый С-10 был, по сути, облегченным за счет снижения прочности самолетом И. И. Сикорского С-6Б. Самолет разрабатывался с весны 1913 года. Договор на поставку был заключен между РБВЗ и ГУК 24 июня. С-10 "Гидро" предъявили комиссии 25 августа 1913 года. Фюзеляж самолета прямоугольного сечения с полукруглым гаргротом, имел деревянный каркас и обшивался фанерой (4-мм в носовой части и 3-мм в хвостовой). Капот двигателя изготавливался из алюминиевых листов. Самолет был двухместный, причем в кабине пилоты располагались рядом, а штурвал управления был перекидной от одного летчика к другому. Крыло двухлонжеронное, цельнодеревянной конструкции, обтянутое полотном. Элероны - только на верхнем крыле. Между нижним крылом и фюзеляжем были просветы по 0,45 м для обзора вниз. Оперение обычного типа со стабилизатором и треугольным килем. Каркас изготавливался из дерева и обтягивался полотном. Стойки крыла деревянные. Растяжки имели оригинальную, присущую машинам И. И. Сикорского конструкцию: это были две параллельно натянутые стальные проволоки с деревянной прокладкой между ними, обмотанные шнуром. Эта конструкция позволяла почти в 2 раза снизить аэродинамическое сопротивление растяжек. В отличие от С-5А, у С-10 появился небольшой гидроруль. Основные поплавки разделялись на несколько водонепроницаемых отсеков, их размеры: длина - до 4,0 м, ширина - 0,7 м, высота - 0,36 м. Ясеневый каркас поплавка обшивался фанерой толщиной от 3 мм (верх и переборки) до 6-12 мм (бока и днище), крепление медными болтами. Стойки поплавков изготавливались из ясеня, все остальное из американской сосны. Экипаж размещался в тандем в отдельных кабинах с двойным управлением. Для морского ведомства в конце августа 1913 года было заказано 11 поплавковых аэропланов. Двигатели ставились на самолетах морского ведомства только рядные 6-цилиндровые "Аргус" (100 л. с.) с бортовыми радиаторами. Вооружение отсутствовало. Топливные баки под крылом имели обтекаемую форму. К 1 июня 1914 года в исправном состоянии было 5 аэропланов, остальные были списаны по тем или иным причинам. Существенным фактором затруднившим эксплуатацию аппарата стала его чрезмерная хрупкость для морского самолета. </w:t>
      </w:r>
    </w:p>
    <w:p w14:paraId="6B1F20C8" w14:textId="77777777" w:rsidR="00B67D7C" w:rsidRPr="00DE096C" w:rsidRDefault="00B67D7C" w:rsidP="00D45A46">
      <w:pPr>
        <w:jc w:val="both"/>
        <w:rPr>
          <w:bCs/>
          <w:color w:val="002060"/>
          <w:sz w:val="16"/>
          <w:szCs w:val="16"/>
        </w:rPr>
      </w:pPr>
      <w:r w:rsidRPr="00DE096C">
        <w:rPr>
          <w:bCs/>
          <w:color w:val="002060"/>
          <w:sz w:val="16"/>
          <w:szCs w:val="16"/>
        </w:rPr>
        <w:t xml:space="preserve">ЛТХ: Размах крыльев - 13.68/8.8 м, длинна 8 м, площадь крыла 35 м.кв., масса пустого самолета 550 кг, нормальная взлетная 850 кг, мотор "Аргус" 100 л.с., макс.скорость 100 км/ч, крейсерская скорость 70 км/ч, продолжительность полета 4 часа, потолок 2000 м, экипаж 2 человека, вооружение: нет, с началом войны несколько небольших бомб, а впоследствии ружье-пулемет Мадсена или Федорова. </w:t>
      </w:r>
    </w:p>
    <w:bookmarkEnd w:id="30"/>
    <w:p w14:paraId="24398E5F" w14:textId="77777777" w:rsidR="00B67D7C" w:rsidRPr="00DE096C" w:rsidRDefault="00B67D7C" w:rsidP="00D45A46">
      <w:pPr>
        <w:jc w:val="both"/>
        <w:rPr>
          <w:bCs/>
          <w:color w:val="002060"/>
          <w:sz w:val="16"/>
          <w:szCs w:val="16"/>
        </w:rPr>
      </w:pPr>
      <w:r w:rsidRPr="00DE096C">
        <w:rPr>
          <w:bCs/>
          <w:color w:val="002060"/>
          <w:sz w:val="16"/>
          <w:szCs w:val="16"/>
        </w:rPr>
        <w:t xml:space="preserve">Авро-504 </w:t>
      </w:r>
    </w:p>
    <w:p w14:paraId="4F1793C6" w14:textId="294EB361" w:rsidR="00B67D7C" w:rsidRPr="00DE096C" w:rsidRDefault="00382732" w:rsidP="00D45A46">
      <w:pPr>
        <w:jc w:val="both"/>
        <w:rPr>
          <w:bCs/>
          <w:color w:val="002060"/>
          <w:sz w:val="16"/>
          <w:szCs w:val="16"/>
        </w:rPr>
      </w:pPr>
      <w:bookmarkStart w:id="31" w:name="_Hlk117158561"/>
      <w:r w:rsidRPr="00DE096C">
        <w:rPr>
          <w:bCs/>
          <w:color w:val="002060"/>
          <w:sz w:val="16"/>
          <w:szCs w:val="16"/>
        </w:rPr>
        <w:t>В</w:t>
      </w:r>
      <w:r w:rsidR="00B67D7C" w:rsidRPr="00DE096C">
        <w:rPr>
          <w:bCs/>
          <w:color w:val="002060"/>
          <w:sz w:val="16"/>
          <w:szCs w:val="16"/>
        </w:rPr>
        <w:t xml:space="preserve"> августе </w:t>
      </w:r>
      <w:r w:rsidRPr="00DE096C">
        <w:rPr>
          <w:bCs/>
          <w:color w:val="002060"/>
          <w:sz w:val="16"/>
          <w:szCs w:val="16"/>
        </w:rPr>
        <w:t xml:space="preserve">1913 г. исходя из опыта эксплуатации </w:t>
      </w:r>
      <w:r w:rsidR="00B67D7C" w:rsidRPr="00DE096C">
        <w:rPr>
          <w:bCs/>
          <w:color w:val="002060"/>
          <w:sz w:val="16"/>
          <w:szCs w:val="16"/>
        </w:rPr>
        <w:t xml:space="preserve">морское ведомство заказало </w:t>
      </w:r>
      <w:r w:rsidRPr="00DE096C">
        <w:rPr>
          <w:bCs/>
          <w:color w:val="002060"/>
          <w:sz w:val="16"/>
          <w:szCs w:val="16"/>
        </w:rPr>
        <w:t xml:space="preserve">РБВЗ </w:t>
      </w:r>
      <w:r w:rsidR="00B67D7C" w:rsidRPr="00DE096C">
        <w:rPr>
          <w:bCs/>
          <w:color w:val="002060"/>
          <w:sz w:val="16"/>
          <w:szCs w:val="16"/>
        </w:rPr>
        <w:t>50 аэропланов</w:t>
      </w:r>
      <w:r w:rsidRPr="00DE096C">
        <w:rPr>
          <w:bCs/>
          <w:color w:val="002060"/>
          <w:sz w:val="16"/>
          <w:szCs w:val="16"/>
        </w:rPr>
        <w:t xml:space="preserve"> Avro 504</w:t>
      </w:r>
      <w:r w:rsidR="00B67D7C" w:rsidRPr="00DE096C">
        <w:rPr>
          <w:bCs/>
          <w:color w:val="002060"/>
          <w:sz w:val="16"/>
          <w:szCs w:val="16"/>
        </w:rPr>
        <w:t xml:space="preserve">. </w:t>
      </w:r>
      <w:r w:rsidRPr="00DE096C">
        <w:rPr>
          <w:bCs/>
          <w:color w:val="002060"/>
          <w:sz w:val="16"/>
          <w:szCs w:val="16"/>
        </w:rPr>
        <w:t xml:space="preserve">Самолет также вызвал интерес и у Русского морского ведомства, ибо самолет отличался чрезвычайной легкостью управления. В итоге через подставных лиц было приобретено 3 колесных Avro 504 с комплектами поплавков. Все самолеты были отправлены в Севастополь ибо предназначались, прежде всего, для учебных целей. В ходе обучения был поврежден 1 аппарат и по решению авиотдела ГУК отправлен на РБВЗ с целью изучения и копирования. </w:t>
      </w:r>
      <w:r w:rsidR="00B67D7C" w:rsidRPr="00DE096C">
        <w:rPr>
          <w:bCs/>
          <w:color w:val="002060"/>
          <w:sz w:val="16"/>
          <w:szCs w:val="16"/>
        </w:rPr>
        <w:t xml:space="preserve">На серийных самолетах русской постройки ставились моторы "Гном" или "Калеп-80". Позднее стали ставиться также моторы "Оберрусель". Осенью самолетом заинтересовалось военное ведомство, заказав в ноябре 1914 года 100 самолетов. В заключение стоит отметить, что Авро-504 долго продолжал оставаться в эксплуатации, и как стандартный учебный самолет, использовался в военном и в морском ведомствах вплоть до 30-х. Кроме того, самолет оказался удобен в качестве гражданского и использовался как почтовый и экскурсионный самолет, а так же как буксировщик планеров. </w:t>
      </w:r>
    </w:p>
    <w:p w14:paraId="568CF4C9" w14:textId="77777777" w:rsidR="00B67D7C" w:rsidRPr="00DE096C" w:rsidRDefault="00B67D7C" w:rsidP="00D45A46">
      <w:pPr>
        <w:jc w:val="both"/>
        <w:rPr>
          <w:bCs/>
          <w:color w:val="002060"/>
          <w:sz w:val="16"/>
          <w:szCs w:val="16"/>
        </w:rPr>
      </w:pPr>
      <w:r w:rsidRPr="00DE096C">
        <w:rPr>
          <w:bCs/>
          <w:color w:val="002060"/>
          <w:sz w:val="16"/>
          <w:szCs w:val="16"/>
        </w:rPr>
        <w:t xml:space="preserve">ЛТХ: Размах крыльев - 10.97 м, длинна 9.1 м, площадь крыла 30.6 м.кв., масса пустого самолета 485 кг, взлетная 850 кг, мотор "Гном-80" или "Калеп-80" или "Оберрусель", макс.скорость 120 км/ч, крейсерская скорость 100 км/ч, продолжительность полета 4-6 часов, практическая дальность 400 км, потолок 2500 м, экипаж 2 человека, вооружение: нет, в боевые вылета брали несколько небольших бомб и штатное оружие состоявшие из револьверов и карабина, впоследствии стали брать ружье-пулемет Мадсена или Федорова обр.1913 г. </w:t>
      </w:r>
    </w:p>
    <w:bookmarkEnd w:id="31"/>
    <w:p w14:paraId="7897A566" w14:textId="77777777" w:rsidR="00B67D7C" w:rsidRPr="00DE096C" w:rsidRDefault="00B67D7C" w:rsidP="00D45A46">
      <w:pPr>
        <w:jc w:val="both"/>
        <w:rPr>
          <w:bCs/>
          <w:color w:val="002060"/>
          <w:sz w:val="16"/>
          <w:szCs w:val="16"/>
        </w:rPr>
      </w:pPr>
      <w:r w:rsidRPr="00DE096C">
        <w:rPr>
          <w:bCs/>
          <w:color w:val="002060"/>
          <w:sz w:val="16"/>
          <w:szCs w:val="16"/>
        </w:rPr>
        <w:t xml:space="preserve">Дукс-Farman HF.15/16 </w:t>
      </w:r>
    </w:p>
    <w:p w14:paraId="6CB126D9" w14:textId="45CEABFA" w:rsidR="00B67D7C" w:rsidRPr="00DE096C" w:rsidRDefault="00B67D7C" w:rsidP="00D45A46">
      <w:pPr>
        <w:jc w:val="both"/>
        <w:rPr>
          <w:bCs/>
          <w:color w:val="002060"/>
          <w:sz w:val="16"/>
          <w:szCs w:val="16"/>
        </w:rPr>
      </w:pPr>
      <w:bookmarkStart w:id="32" w:name="_Hlk117158830"/>
      <w:r w:rsidRPr="00DE096C">
        <w:rPr>
          <w:bCs/>
          <w:color w:val="002060"/>
          <w:sz w:val="16"/>
          <w:szCs w:val="16"/>
        </w:rPr>
        <w:t xml:space="preserve">Морское ведомство летом 1913 года приобрело 4 поплавковых Фармана на Дуксе, которые затем использовались в Севастопольской школе. . </w:t>
      </w:r>
    </w:p>
    <w:p w14:paraId="632C4924" w14:textId="77777777" w:rsidR="00B67D7C" w:rsidRPr="00DE096C" w:rsidRDefault="00B67D7C" w:rsidP="00D45A46">
      <w:pPr>
        <w:jc w:val="both"/>
        <w:rPr>
          <w:bCs/>
          <w:color w:val="002060"/>
          <w:sz w:val="16"/>
          <w:szCs w:val="16"/>
        </w:rPr>
      </w:pPr>
      <w:r w:rsidRPr="00DE096C">
        <w:rPr>
          <w:bCs/>
          <w:color w:val="002060"/>
          <w:sz w:val="16"/>
          <w:szCs w:val="16"/>
        </w:rPr>
        <w:t xml:space="preserve">ЛТХ: Размах крыльев - 13.76 м, длинна 8 м, площадь крыла 35 м.кв., масса пустого самолета 410 кг, нормальная взлетная 650 кг, на аппараты ставились моторы Гном мощностью 70 и 80 л.с., Калеп мощностью 80 и 100 л.с., макс.скорость 90 км/ч, крейсерская скорость 80 км/ч, продолжительность полета 3-3.5 часа, потолок 2500 м, экипаж 2 человека, вооружение: изначально не предусматривалось, с началом войны ставились пулеметы Максим на импровизированной установке или ружье-пулемет Мадсена. Пилоты могли брать 15-30 кг бомб в кабину. </w:t>
      </w:r>
    </w:p>
    <w:p w14:paraId="34FEE317" w14:textId="77777777" w:rsidR="00B67D7C" w:rsidRPr="00DE096C" w:rsidRDefault="00B67D7C" w:rsidP="00D45A46">
      <w:pPr>
        <w:jc w:val="both"/>
        <w:rPr>
          <w:bCs/>
          <w:color w:val="002060"/>
          <w:sz w:val="16"/>
          <w:szCs w:val="16"/>
        </w:rPr>
      </w:pPr>
      <w:bookmarkStart w:id="33" w:name="_Hlk117158986"/>
      <w:bookmarkEnd w:id="32"/>
      <w:r w:rsidRPr="00DE096C">
        <w:rPr>
          <w:bCs/>
          <w:color w:val="002060"/>
          <w:sz w:val="16"/>
          <w:szCs w:val="16"/>
        </w:rPr>
        <w:t xml:space="preserve">"Кертисс" моделей Ф/К </w:t>
      </w:r>
    </w:p>
    <w:p w14:paraId="315AAA3F" w14:textId="104DF941" w:rsidR="00B67D7C" w:rsidRPr="00DE096C" w:rsidRDefault="00397AB2" w:rsidP="00D45A46">
      <w:pPr>
        <w:jc w:val="both"/>
        <w:rPr>
          <w:bCs/>
          <w:color w:val="002060"/>
          <w:sz w:val="16"/>
          <w:szCs w:val="16"/>
        </w:rPr>
      </w:pPr>
      <w:r w:rsidRPr="00DE096C">
        <w:rPr>
          <w:bCs/>
          <w:color w:val="002060"/>
          <w:sz w:val="16"/>
          <w:szCs w:val="16"/>
        </w:rPr>
        <w:t>Д</w:t>
      </w:r>
      <w:r w:rsidR="00B67D7C" w:rsidRPr="00DE096C">
        <w:rPr>
          <w:bCs/>
          <w:color w:val="002060"/>
          <w:sz w:val="16"/>
          <w:szCs w:val="16"/>
        </w:rPr>
        <w:t xml:space="preserve">ля Тихоокеанского флота ГУК 2 сентября 1913 года было заказано 24 машины, из которых к июню 1914 года моряки получили 16 аппаратов. Остаток заказа из 4-х машин был получен в Николаевске в начале августа и отправлен по Амуру в Хабаровск, а оттуда во Владивосток, куда прибыл в сентябре. В ходе перевозки 4 аппарата были утеряны, будучи обнаружены на борту норвежского парохода "Сигурд" досмотровой группой британского крейсера. Таким образом, к 1 июля фирма Кертисса полностью выполнила заказ. Кроме того, фирма поставила полтора десятка моторов и полтора десятка ремкомплектов. В итоге на организованной при "Дальзаводе" авиамастерской было собрано еще 6 аппаратов к октябрю 1914 года. "Кертиссы" участвовали в боях на Тихом океане с начала войны. Аэропланы летали как с берега, так и с борта крейсера "Ангара". С весны 1915 стали постепенно заменяться, первоначально на Щ-5, а затем и на Щ-9. Последний экземпляр был разбит в середине 1917 года. </w:t>
      </w:r>
    </w:p>
    <w:p w14:paraId="7E41F1E6" w14:textId="77777777" w:rsidR="00B67D7C" w:rsidRPr="00DE096C" w:rsidRDefault="00B67D7C" w:rsidP="00D45A46">
      <w:pPr>
        <w:jc w:val="both"/>
        <w:rPr>
          <w:bCs/>
          <w:color w:val="002060"/>
          <w:sz w:val="16"/>
          <w:szCs w:val="16"/>
        </w:rPr>
      </w:pPr>
      <w:r w:rsidRPr="00DE096C">
        <w:rPr>
          <w:bCs/>
          <w:color w:val="002060"/>
          <w:sz w:val="16"/>
          <w:szCs w:val="16"/>
        </w:rPr>
        <w:t xml:space="preserve">ЛТХ: Размах крыльев - 12.67 м, длинна 8.33 м, площадь крыла 28.5 м.кв., масса пустого самолета 517 кг, нормальная взлетная 850 кг, мотор Кертисс VX мощностью 100 л.с., макс.скорость 100 км/ч, крейсерская скорость 72 км/ч, продолжительность полета 4 часа, потолок 2500 м, экипаж 2 человека, вооружение: не предусматривалось, с началом войны ставились пулеметы Максим на импровизированной установке или ружье-пулемет Мадсена или Федорова обр.1913 года. Пилоты могли брать 30-60 кг бомб в кабину. Позднее весной 1915 года, дальневосточные аэропланы получили 2 бомбодержателя. </w:t>
      </w:r>
    </w:p>
    <w:bookmarkEnd w:id="33"/>
    <w:p w14:paraId="42E9FB8A" w14:textId="77777777" w:rsidR="00B67D7C" w:rsidRPr="00DE096C" w:rsidRDefault="00B67D7C" w:rsidP="00D45A46">
      <w:pPr>
        <w:jc w:val="both"/>
        <w:rPr>
          <w:bCs/>
          <w:color w:val="002060"/>
          <w:sz w:val="16"/>
          <w:szCs w:val="16"/>
        </w:rPr>
      </w:pPr>
      <w:r w:rsidRPr="00DE096C">
        <w:rPr>
          <w:bCs/>
          <w:color w:val="002060"/>
          <w:sz w:val="16"/>
          <w:szCs w:val="16"/>
        </w:rPr>
        <w:t xml:space="preserve">Депердюссен поплавковый </w:t>
      </w:r>
    </w:p>
    <w:p w14:paraId="2563C80F" w14:textId="54F572FE" w:rsidR="00B67D7C" w:rsidRPr="00DE096C" w:rsidRDefault="00B67D7C" w:rsidP="00D45A46">
      <w:pPr>
        <w:jc w:val="both"/>
        <w:rPr>
          <w:bCs/>
          <w:color w:val="002060"/>
          <w:sz w:val="16"/>
          <w:szCs w:val="16"/>
        </w:rPr>
      </w:pPr>
      <w:r w:rsidRPr="00DE096C">
        <w:rPr>
          <w:bCs/>
          <w:color w:val="002060"/>
          <w:sz w:val="16"/>
          <w:szCs w:val="16"/>
        </w:rPr>
        <w:t xml:space="preserve">Морское ведомство приобрело 7 аппаратов </w:t>
      </w:r>
      <w:r w:rsidR="00397AB2" w:rsidRPr="00DE096C">
        <w:rPr>
          <w:bCs/>
          <w:color w:val="002060"/>
          <w:sz w:val="16"/>
          <w:szCs w:val="16"/>
        </w:rPr>
        <w:t xml:space="preserve">Депердюссен </w:t>
      </w:r>
      <w:r w:rsidRPr="00DE096C">
        <w:rPr>
          <w:bCs/>
          <w:color w:val="002060"/>
          <w:sz w:val="16"/>
          <w:szCs w:val="16"/>
        </w:rPr>
        <w:t xml:space="preserve">на колесах и 2 поплавковых по типу С-10. Самолеты летали на Балтийском флоте и в Севастопольской летной школе. </w:t>
      </w:r>
    </w:p>
    <w:p w14:paraId="7FFEA2A4" w14:textId="77777777" w:rsidR="00B67D7C" w:rsidRPr="00DE096C" w:rsidRDefault="00B67D7C" w:rsidP="00D45A46">
      <w:pPr>
        <w:jc w:val="both"/>
        <w:rPr>
          <w:bCs/>
          <w:color w:val="002060"/>
          <w:sz w:val="16"/>
          <w:szCs w:val="16"/>
        </w:rPr>
      </w:pPr>
      <w:r w:rsidRPr="00DE096C">
        <w:rPr>
          <w:bCs/>
          <w:color w:val="002060"/>
          <w:sz w:val="16"/>
          <w:szCs w:val="16"/>
        </w:rPr>
        <w:t xml:space="preserve">ЛТХ: Размах крыльев - 11.6 м, длинна 7.15 м, площадь крыла 23.5 м.кв., масса пустого самолета 450 кг, нормальная взлетная 750 кг, мотор Гном-Моносупап мощностью 80 л.с., или Калеп-80 мощностью 80 л.с., макс.скорость 101 км/ч, крейсерская скорость 80 км/ч, дальность полета 250-350 км, потолок 2500 м, экипаж 2 человека, вооружение: не предусматривалось, с началом войны ставились пулеметы Максим на шкворневой установке (позднее Максим-А) или ружье-пулемет Мадсена или Федорова обр.1913 года. На специальные бомбодержатели вдоль бортов кабины могли подвешиваться небольшие бомбы. Как правило могли взять в полет до 30-45 кг бомб. </w:t>
      </w:r>
    </w:p>
    <w:p w14:paraId="66B25A72" w14:textId="77777777" w:rsidR="00B67D7C" w:rsidRPr="00DE096C" w:rsidRDefault="00B67D7C" w:rsidP="00D45A46">
      <w:pPr>
        <w:jc w:val="both"/>
        <w:rPr>
          <w:bCs/>
          <w:color w:val="002060"/>
          <w:sz w:val="16"/>
          <w:szCs w:val="16"/>
        </w:rPr>
      </w:pPr>
      <w:r w:rsidRPr="00DE096C">
        <w:rPr>
          <w:bCs/>
          <w:color w:val="002060"/>
          <w:sz w:val="16"/>
          <w:szCs w:val="16"/>
        </w:rPr>
        <w:t xml:space="preserve">Донне-Левек ФБА </w:t>
      </w:r>
    </w:p>
    <w:p w14:paraId="6344C4C4" w14:textId="5BB1B332" w:rsidR="00B67D7C" w:rsidRPr="00DE096C" w:rsidRDefault="00B67D7C" w:rsidP="00D45A46">
      <w:pPr>
        <w:jc w:val="both"/>
        <w:rPr>
          <w:bCs/>
          <w:color w:val="002060"/>
          <w:sz w:val="16"/>
          <w:szCs w:val="16"/>
        </w:rPr>
      </w:pPr>
      <w:bookmarkStart w:id="34" w:name="_Hlk117159278"/>
      <w:r w:rsidRPr="00DE096C">
        <w:rPr>
          <w:bCs/>
          <w:color w:val="002060"/>
          <w:sz w:val="16"/>
          <w:szCs w:val="16"/>
        </w:rPr>
        <w:t>Осенью 1912 года русское морское ведомство приобрело летающую лодку</w:t>
      </w:r>
      <w:r w:rsidR="00397AB2" w:rsidRPr="00DE096C">
        <w:rPr>
          <w:bCs/>
          <w:color w:val="002060"/>
          <w:sz w:val="16"/>
          <w:szCs w:val="16"/>
        </w:rPr>
        <w:t xml:space="preserve"> Донне-Левек ФБА</w:t>
      </w:r>
      <w:r w:rsidRPr="00DE096C">
        <w:rPr>
          <w:bCs/>
          <w:color w:val="002060"/>
          <w:sz w:val="16"/>
          <w:szCs w:val="16"/>
        </w:rPr>
        <w:t xml:space="preserve">. Главными отличиями этой лодки, обозначавшейся в документах фирмы как модель "Б" была иная конструкция корпуса и складывающимися крыльями для хранения в судовых условиях. После двухмесячных испытаний было признано, что лодка вполне удовлетворяет нуждам флота, и было принято решение о строительстве лодок данного типа в России. Весной ГУК приступил к проведению конкурса на строительство партии из 36 летающих лодок Российскими предприятиями. Так как морское ведомство первоначально не устраивали заявленные цены, принятие решение затянулось до июля 1913 года, когда стороны, наконец пришли к соглашению. Контракт был заключен с заводом Лебедева на строительство 36 аппаратов. Первый изготовленный в России на аппарат облетан в конце сентября 1913 года. Летающие лодки ФБА "Донне-Левек" поступали в авиаотряды Балтийского, Черноморского и Тихоокеанского флотов. </w:t>
      </w:r>
    </w:p>
    <w:p w14:paraId="603D8EFC" w14:textId="77777777" w:rsidR="00B67D7C" w:rsidRPr="00DE096C" w:rsidRDefault="00B67D7C" w:rsidP="00D45A46">
      <w:pPr>
        <w:jc w:val="both"/>
        <w:rPr>
          <w:bCs/>
          <w:color w:val="002060"/>
          <w:sz w:val="16"/>
          <w:szCs w:val="16"/>
        </w:rPr>
      </w:pPr>
      <w:r w:rsidRPr="00DE096C">
        <w:rPr>
          <w:bCs/>
          <w:color w:val="002060"/>
          <w:sz w:val="16"/>
          <w:szCs w:val="16"/>
        </w:rPr>
        <w:t xml:space="preserve">ЛТХ: Размах крыльев - 13.68 м, длинна 8 м, площадь крыла 33.5 м.кв., масса пустого самолета 540 кг, нормальная взлетная 850 кг, на аппараты ставились моторы Гном-Моносупап мощностью 100 л.с., или Калеп-100 мощностью 100 л.с., макс.скорость 105 км/ч, крейсерская скорость 85 км/ч, дальность полета 350-400 км, потолок 2500 м, экипаж 2 человека, вооружение: не предусматривалось, с началом войны ставились пулеметы Максим на шкворневой установке (позднее Максим-Авиационный) либо ружья-пулеметы Мадсены или Федорова обр.1913 года. На специальные бомбодержатели вдоль бортов кабины могли подвешиваться небольшие бомбы. Как правило, могли взять в полет до 30-45 кг бомб. </w:t>
      </w:r>
    </w:p>
    <w:bookmarkEnd w:id="34"/>
    <w:p w14:paraId="34A33616" w14:textId="77777777" w:rsidR="00B67D7C" w:rsidRPr="00DE096C" w:rsidRDefault="00B67D7C" w:rsidP="00D45A46">
      <w:pPr>
        <w:jc w:val="both"/>
        <w:rPr>
          <w:bCs/>
          <w:color w:val="002060"/>
          <w:sz w:val="16"/>
          <w:szCs w:val="16"/>
        </w:rPr>
      </w:pPr>
      <w:r w:rsidRPr="00DE096C">
        <w:rPr>
          <w:bCs/>
          <w:color w:val="002060"/>
          <w:sz w:val="16"/>
          <w:szCs w:val="16"/>
        </w:rPr>
        <w:t xml:space="preserve">Щетинин - 1 </w:t>
      </w:r>
    </w:p>
    <w:p w14:paraId="745EA9FA" w14:textId="77777777" w:rsidR="00B67D7C" w:rsidRPr="00DE096C" w:rsidRDefault="00B67D7C" w:rsidP="00D45A46">
      <w:pPr>
        <w:jc w:val="both"/>
        <w:rPr>
          <w:bCs/>
          <w:color w:val="002060"/>
          <w:sz w:val="16"/>
          <w:szCs w:val="16"/>
        </w:rPr>
      </w:pPr>
      <w:r w:rsidRPr="00DE096C">
        <w:rPr>
          <w:bCs/>
          <w:color w:val="002060"/>
          <w:sz w:val="16"/>
          <w:szCs w:val="16"/>
        </w:rPr>
        <w:t xml:space="preserve">В начале лета 1913 года на заводе Щетинина начались первые работы по гидросамолетам. Начались они почти случайно. Морской летчик капитан по адмиралтейству Д.Н. Александров разбил летающую лодку купленную Франции, эксплуатировавшуюся в морской авиации Балтийского моря. Так как полет Александрова, закончившийся аварией, был им произведен с нарушением ряда формальностей и ему угрожало взыскание, которого можно было избежать, отремонтировав самолет и тем самым вернув казне убыток. Александров обратился на Русско-Балтийский вагонный завод. Там за ремонт запросили 6 500 руб., на заводе Лебедева - 6 тыс. руб. Такая цена была Александрову не по средствам. Тогда он обратился на завод Щетинина. Здесь Д.П. Григорович, по совету заведующего чертежным бюро Андрея Николаевича Седельникова, уговорил Щетинина отремонтировать самолет бесплатно, но при этом изучить его для дальнейших работ по летающим лодкам, к которым собирались приступить. С Александрова взяли для приличия 400 рублей и самолет ему отремонтировали. Поскольку нос лодки был разбит совершенно. </w:t>
      </w:r>
      <w:bookmarkStart w:id="35" w:name="_Hlk117159815"/>
      <w:r w:rsidRPr="00DE096C">
        <w:rPr>
          <w:bCs/>
          <w:color w:val="002060"/>
          <w:sz w:val="16"/>
          <w:szCs w:val="16"/>
        </w:rPr>
        <w:t xml:space="preserve">Д. П. Григорович восстановил его по своим соображениям, сделав более килеватым. В общем, получилась лодка Доннэ-Левек, но с изменениями. Она исправно летала. По чертежам гидросамолета Доннэ-Левек, выполненным с натуры при его восстановлении с некоторыми изменениями. Д. П. Григорович осенью 1913 г. построил свою первую летающую лодку Щ-1. Стоит отметить, что копирование было по сути нелегальным. Тем не менее, лодку построили. Корпус был на один метр короче, чем в </w:t>
      </w:r>
      <w:r w:rsidRPr="00DE096C">
        <w:rPr>
          <w:bCs/>
          <w:color w:val="002060"/>
          <w:sz w:val="16"/>
          <w:szCs w:val="16"/>
        </w:rPr>
        <w:lastRenderedPageBreak/>
        <w:t xml:space="preserve">Доннэ-Левек, кроме того, Д. П. Григорович изменил профиль крыльев, сделав его более близким к профилю Фармана. Нос лодки был сделан килеватым, днище на редане - вогнутым, за реданом - слабо килеватым, высота редана по бортам была около 200 мм, по оси - 80 мм. Двигатель - Гном в 70 л.с. Площадь и форма крыльев были, в общем сохранены. Коробка крыльев точно так же помещалась над корпусом лодки на трехногих кронштейнах высотой около 160 мм, сваренных из стальных труб. Самолет был облетан в январе 1914 года на лыжном шасси, после чего завод Щетинина получил заказ на строительство еще 5 аэропланов. Самолеты официально обозначались Щ-1 по названию завода С.С.Щетинина. Летающая лодка Щ-1 летала, в общем удовлетворительно, но требовалась ее дальнейшая доработка, повышение ее летных качеств. Следующей за Щ-1 летающей лодкой Григоровича стала Щ-2 (Морской второй) - более крупная, тоже двухместная, с двигателем Калеп в 80 л. с. Размеры и площадь крыльев были значительно увеличены, обводы лодки сильно изменены. Хвостовая часть трехгранного сечения (вершиной вверх) была приподнята на хвосте. Угол продольной килеватости был очень мал, редан вогнут и невысок. Под хвостом была пристроена на шарнирах лыжа. Коробка крыльев, установленная над корпусом лодки, монтировалась на стойках мотоустановки на высоте 100 мм над лодкой. Стабилизатор был сильно увеличен. Впервые в России постройка корпуса лодки Щ-2 производилась на стапеле килем вверх. Построено всего 2 самолета. Первый построили в середине июля 1914 года, и 1 августа начались испытания в Гребном порту. Они закончились катастрофой, летчик П.В.Евсюков погиб. Второй был сдан флоту в сентябре 1914 года после доработки. Летал на Черноморском флоте. За Щ-2 последовала летающая лодка Щ-3. Это было видоизменение самолета Щ-2 с двигателем Гном-Моносупап в 100 л. с. Корпус лодки оставлен прежний, но еще раз был изменен профиль крыльев. Полеты показали, что улучшений по сравнению с лодкой Щ-2 не получилось. Неудовлетворительной была мореходность. После опытной лодки Щ-3 была выпушена серийная летающая лодка Щ-4. Этот гидросамолет являлся видоизменением Щ-3 с тем же двигателем. Был изменен профиль крыльев и незначительно - корпус лодки. Редан был вогнутый, низкий, угол продольной килеватости очень малый. Стабилизатор был сделан с изменяемым в полете углом установки, для чего служил винтовой подъемник под его передней кромкой. Работы проводились осенью 1914-1915 гг. Все проведенные изменения дали некоторое улучшение и после испытаний, проведенных в Севастополе, летающая лодка Щ-4 была принята морским ведомством в шести экземплярах на Черноморском флоте к февралю 1915 года. </w:t>
      </w:r>
    </w:p>
    <w:p w14:paraId="6EABE0AA" w14:textId="77777777" w:rsidR="00B67D7C" w:rsidRPr="00DE096C" w:rsidRDefault="00B67D7C" w:rsidP="00D45A46">
      <w:pPr>
        <w:jc w:val="both"/>
        <w:rPr>
          <w:bCs/>
          <w:color w:val="002060"/>
          <w:sz w:val="16"/>
          <w:szCs w:val="16"/>
        </w:rPr>
      </w:pPr>
      <w:r w:rsidRPr="00DE096C">
        <w:rPr>
          <w:bCs/>
          <w:color w:val="002060"/>
          <w:sz w:val="16"/>
          <w:szCs w:val="16"/>
        </w:rPr>
        <w:t xml:space="preserve">ЛТХ: Размах крыльев - 13.68 м, длинна 8 м, площадь крыла 33.5 м.кв., масса пустого самолета 420 кг, нормальная взлетная 820 кг, на аппараты ставились моторы Гном мощностью 80 л.с., макс.скорость 90 км/ч, крейсерская скорость 70 км/ч, дальность полета 220-250 км, потолок 2000 м, экипаж 2 человека, вооружение: не предусматривалось, с началом войны ставились пулеметы Максим на импровизированной установке или ружье-пулеметы Мадсены или Федорова обр.1913 года. Пилоты могли брать 15-30 кг бомб в кабину. </w:t>
      </w:r>
    </w:p>
    <w:bookmarkEnd w:id="35"/>
    <w:p w14:paraId="52D6DBE8" w14:textId="77777777" w:rsidR="00B67D7C" w:rsidRPr="00DE096C" w:rsidRDefault="00B67D7C" w:rsidP="00D45A46">
      <w:pPr>
        <w:jc w:val="both"/>
        <w:rPr>
          <w:bCs/>
          <w:color w:val="002060"/>
          <w:sz w:val="16"/>
          <w:szCs w:val="16"/>
        </w:rPr>
      </w:pPr>
      <w:r w:rsidRPr="00DE096C">
        <w:rPr>
          <w:bCs/>
          <w:color w:val="002060"/>
          <w:sz w:val="16"/>
          <w:szCs w:val="16"/>
        </w:rPr>
        <w:t xml:space="preserve">Щетинин-5 </w:t>
      </w:r>
    </w:p>
    <w:p w14:paraId="17BF40C1" w14:textId="77777777" w:rsidR="00B67D7C" w:rsidRPr="00DE096C" w:rsidRDefault="00B67D7C" w:rsidP="00D45A46">
      <w:pPr>
        <w:jc w:val="both"/>
        <w:rPr>
          <w:bCs/>
          <w:color w:val="002060"/>
          <w:sz w:val="16"/>
          <w:szCs w:val="16"/>
        </w:rPr>
      </w:pPr>
      <w:r w:rsidRPr="00DE096C">
        <w:rPr>
          <w:bCs/>
          <w:color w:val="002060"/>
          <w:sz w:val="16"/>
          <w:szCs w:val="16"/>
        </w:rPr>
        <w:t xml:space="preserve">В продолжении следует заметить, что трудность проектирования гидросамолетов состоит в том, что, кроме аэродинамических качеств, присущих любому летательному аппарату, гидросамолет должен обладать еще и специфическими свойствами: плавучестью, остойчивостью, непотопляемостью и мореходностью. От Щ-1 до Щ-5 авиаконструктору приходилось буквально на ощупь подходить к оптимальному варианту проектируемого летательного аппарата. Двухместная летающая лодка Щ-5 совершила свой первый полет 27 декабря 1914 года. Контракт на 50 аэропланов был заключен с заводом Щетинина 28 января 1915 года. В целом Григоровичу удалось оптимально соединить в Щ-5 высокую мореходность корпуса лодки с великолепными летными данными самолета. Взлетно-посадочной площадкой для аппарата могла стать водная поверхность с высотой волны до 0,5м. Тщательно спрофилированное днище лодки не "прилипало" к воде и легко отделялось от нее при взлете. Посадочная скорость составляла всего 70 км/ч. Увеличена площадь нижнего крыла. Редан лодки оставался вогнутым, но высота его снижена в центре - до 70 мм, а по бортам - до 140 мм. Скулы на редане снабжены полозками, с помощью которых гидросамолет мог выходить из воды на площадку спуска. Щ-5 обладала хорошей мореходностью, была легкой и простой в управлении. На аэроплан уже предусматривалась установка пулемета Максим (авиационного) впереди правого сидения. Конструкция корпуса Щ-5 - типичная для других гидросамолетов Григоровича. Каркас лодки изготовлялся из ясеня, обшивка - фанерная, толщиной от 3 мм по бортам, а на палубе до 5-6 мм. Редан на днище накладной из 10 мм фанеры. Иногда для прочности корпуса толщина обшивки в средней части достигала 5 мм. Сборка корпуса проводилась на латунных шурупах и промазывалась свинцовыми или цинковыми белилами. В стыках обшивки корпуса ставились фанерные полоски-накладки на медных заклепках. Некоторые швы и стыки фанеры обивались снаружи медной фольгой и пропаивались оловом. Снаружи корпус лодки покрывался бесцветным лаком, внутри - олифой. Силовой набор корпуса лодки состоял из шпангоутов, и местами ставились диагональные раскосы, поперечный и продольный набор соединялся зажимами из 3 мм фанеры. Кроме того, применялся при сборке специальный "морской клей" и особый раствор творога в нашатырном спирте, повышавший гидростойкость склеенных соединений. Деревянные части крепились шурупами, на весь корпус лодки их уходило до 15 тысяч. Все работы выполнялись вручную. Конструкция крыльев - двухлонжеронная, расчалочная, очень тонкого профиля - порядка 4% хорды крыла. Верхнее и нижнее крылья соединены крестообразно металлическими расчалками и, кроме того, такие расчалки соединяли крылья с носом лодки. Тросы управления рулями и элеронами проложены вне лодки и крыльев. Хвостовое оперение, расположенное над изогнутой хвостовой частью лодки на стойках из металлических труб, было очень легким и не жестким: "хвост" на вираже заметно скручивался, дрожал от обдува воздушным винтом, но никогда не ломался. Стабилизатор - деревянный, с подкосами под задний лонжерон, соединенный также металлическими расчалками с килем. Угол установки стабилизатора мог изменяться перед полетом. Рули и киль сварены из тонкостенных стальных труб с несколькими деревянными нервюрами и обтянуты тканью. Звездообразный двигатель воздушного охлаждения устанавливался на центральных стойках коробки крыльев на листовой раме с дополнительной опорой под носок двигателя. Сам топливный бак располагался за кабиной летчиков. Летающая лодка Щ-5 - хорошо продуманная гармоничная конструкция с удачным аэродинамическим профилем и достаточной площадью крыльев, что обеспечивало неплохие летные данные машины. Удачное сочетание силовой установки с размерами и массой самолета обеспечивало простое и безопасное управление в воздухе. Лодка обеспечивала достаточный запас прочности при нормальной эксплуатации и позволяла легко производить отрыв от воды при взлете, обладала устойчивостью на рулении. </w:t>
      </w:r>
    </w:p>
    <w:p w14:paraId="1F23EE0D" w14:textId="77777777" w:rsidR="00B67D7C" w:rsidRPr="00DE096C" w:rsidRDefault="00B67D7C" w:rsidP="00D45A46">
      <w:pPr>
        <w:jc w:val="both"/>
        <w:rPr>
          <w:bCs/>
          <w:color w:val="002060"/>
          <w:sz w:val="16"/>
          <w:szCs w:val="16"/>
        </w:rPr>
      </w:pPr>
      <w:r w:rsidRPr="00DE096C">
        <w:rPr>
          <w:bCs/>
          <w:color w:val="002060"/>
          <w:sz w:val="16"/>
          <w:szCs w:val="16"/>
        </w:rPr>
        <w:t xml:space="preserve">ЛТХ: Размах крыльев - 13.62 м, длинна 8.6 м, площадь крыла 37.9 м.кв., масса пустого самолета 660 кг, нормальная взлетная 960 кг, на аппараты ставились моторы Гном-Моносупап мощностью 100 л.с. или Калеп-100, или импортные "Оберрусель", макс.скорость 105 км/ч, крейсерская скорость 87 км/ч, продолжительность полета 4 часа, потолок 3300 м, экипаж 2 человека, вооружение: не предусматривалось для учебных аппаратов, разведчики же получали пулеметы Максим, или Максим-Авиационный, или ружье-пулемет Мадсена или Федорова обр.1913 года. На специальные бомбодержатели вдоль бортов кабины могли подвешиваться небольшие бомбы. Как правило, могли взять в полет до 30-60 кг бомб. </w:t>
      </w:r>
    </w:p>
    <w:p w14:paraId="40703C91" w14:textId="77777777" w:rsidR="00B67D7C" w:rsidRPr="00DE096C" w:rsidRDefault="00B67D7C" w:rsidP="00D45A46">
      <w:pPr>
        <w:jc w:val="both"/>
        <w:rPr>
          <w:bCs/>
          <w:color w:val="002060"/>
          <w:sz w:val="16"/>
          <w:szCs w:val="16"/>
        </w:rPr>
      </w:pPr>
      <w:r w:rsidRPr="00DE096C">
        <w:rPr>
          <w:bCs/>
          <w:color w:val="002060"/>
          <w:sz w:val="16"/>
          <w:szCs w:val="16"/>
        </w:rPr>
        <w:t xml:space="preserve">Дирижабли </w:t>
      </w:r>
    </w:p>
    <w:p w14:paraId="2CD06A55" w14:textId="77777777" w:rsidR="00B67D7C" w:rsidRPr="00DE096C" w:rsidRDefault="00B67D7C" w:rsidP="00D45A46">
      <w:pPr>
        <w:jc w:val="both"/>
        <w:rPr>
          <w:bCs/>
          <w:color w:val="002060"/>
          <w:sz w:val="16"/>
          <w:szCs w:val="16"/>
        </w:rPr>
      </w:pPr>
      <w:r w:rsidRPr="00DE096C">
        <w:rPr>
          <w:bCs/>
          <w:color w:val="002060"/>
          <w:sz w:val="16"/>
          <w:szCs w:val="16"/>
        </w:rPr>
        <w:t xml:space="preserve">"Кобчик"- Дюфлон и Константинович, 1911 года., полужесткий. (или "Балтийский") </w:t>
      </w:r>
    </w:p>
    <w:p w14:paraId="528C08AF" w14:textId="77777777" w:rsidR="00B67D7C" w:rsidRPr="00DE096C" w:rsidRDefault="00B67D7C" w:rsidP="00D45A46">
      <w:pPr>
        <w:jc w:val="both"/>
        <w:rPr>
          <w:bCs/>
          <w:color w:val="002060"/>
          <w:sz w:val="16"/>
          <w:szCs w:val="16"/>
        </w:rPr>
      </w:pPr>
      <w:r w:rsidRPr="00DE096C">
        <w:rPr>
          <w:bCs/>
          <w:color w:val="002060"/>
          <w:sz w:val="16"/>
          <w:szCs w:val="16"/>
        </w:rPr>
        <w:t xml:space="preserve">Экипаж - 4 чел. Размеры: Длина- 48,0 м, Макс.диаметр- 9.5 м Объем оболочки 2400 куб. м. Вес: нагрузки- 400 кг. Двигатель1х50 л.с. Скорость полета- 50 км/ч. Время полета- 4 час. Потолок практический - 1000 м. Использовался в учебных целях. Разрушен в ходе шторма весной 1914 года. </w:t>
      </w:r>
    </w:p>
    <w:p w14:paraId="6135F831" w14:textId="77777777" w:rsidR="00B67D7C" w:rsidRPr="00DE096C" w:rsidRDefault="00B67D7C" w:rsidP="00D45A46">
      <w:pPr>
        <w:jc w:val="both"/>
        <w:rPr>
          <w:bCs/>
          <w:color w:val="002060"/>
          <w:sz w:val="16"/>
          <w:szCs w:val="16"/>
        </w:rPr>
      </w:pPr>
      <w:r w:rsidRPr="00DE096C">
        <w:rPr>
          <w:bCs/>
          <w:color w:val="002060"/>
          <w:sz w:val="16"/>
          <w:szCs w:val="16"/>
        </w:rPr>
        <w:t xml:space="preserve">"Гриф", Парсеваль, мягкий 1911 года., отремонтирован в 1913 г . (или "Черноморский N1") </w:t>
      </w:r>
    </w:p>
    <w:p w14:paraId="6E7F48BD" w14:textId="77777777" w:rsidR="00B67D7C" w:rsidRPr="00DE096C" w:rsidRDefault="00B67D7C" w:rsidP="00D45A46">
      <w:pPr>
        <w:jc w:val="both"/>
        <w:rPr>
          <w:bCs/>
          <w:color w:val="002060"/>
          <w:sz w:val="16"/>
          <w:szCs w:val="16"/>
        </w:rPr>
      </w:pPr>
      <w:r w:rsidRPr="00DE096C">
        <w:rPr>
          <w:bCs/>
          <w:color w:val="002060"/>
          <w:sz w:val="16"/>
          <w:szCs w:val="16"/>
        </w:rPr>
        <w:t xml:space="preserve">Экипаж - 5..15 чел. Размеры: Длина- 70,0 м, Макс.диаметр- 14,0 м Объем оболочки 7600 куб. м. Вес: нагрузки-3700 кг. Двигатель: "Бенц", 2х110 л.с. Скорость полета- 59,0 км/ч. Время полета- 20 час. Потолок практический - 2300 м Вооружение - 2 х7,62 мм "Дрейзе"х3000 патронов (на хребте оболочки и в гондоле), 350 кг бомб. Радиостанция 1 кВт Мор.Вед. обр.1911 года (100 миль). </w:t>
      </w:r>
    </w:p>
    <w:p w14:paraId="24166BCE" w14:textId="77777777" w:rsidR="00B67D7C" w:rsidRPr="00DE096C" w:rsidRDefault="00B67D7C" w:rsidP="00D45A46">
      <w:pPr>
        <w:jc w:val="both"/>
        <w:rPr>
          <w:bCs/>
          <w:color w:val="002060"/>
          <w:sz w:val="16"/>
          <w:szCs w:val="16"/>
        </w:rPr>
      </w:pPr>
      <w:r w:rsidRPr="00DE096C">
        <w:rPr>
          <w:bCs/>
          <w:color w:val="002060"/>
          <w:sz w:val="16"/>
          <w:szCs w:val="16"/>
        </w:rPr>
        <w:t xml:space="preserve">"Чайка"- Астра, 1913 года. Тип Астра-Торрес, мягкий. (или "Черноморский N2") </w:t>
      </w:r>
    </w:p>
    <w:p w14:paraId="0B327C1B" w14:textId="77777777" w:rsidR="00B67D7C" w:rsidRPr="00DE096C" w:rsidRDefault="00B67D7C" w:rsidP="00D45A46">
      <w:pPr>
        <w:jc w:val="both"/>
        <w:rPr>
          <w:bCs/>
          <w:color w:val="002060"/>
          <w:sz w:val="16"/>
          <w:szCs w:val="16"/>
        </w:rPr>
      </w:pPr>
      <w:r w:rsidRPr="00DE096C">
        <w:rPr>
          <w:bCs/>
          <w:color w:val="002060"/>
          <w:sz w:val="16"/>
          <w:szCs w:val="16"/>
        </w:rPr>
        <w:t xml:space="preserve">Экипаж -8..12 чел. Размеры: Длина-78,0 м, Макс. диаметр- 15,0 м Объем оболочки 10000 куб. м. Вес: нагрузки- 5400 кг. Двигатель: "Майбах", 2х200л.с. Скорость полета- 63,0 км/ч. Продолжительность полета - 20 час. Потолок практический - 3500 м. Вооружение - 2 х7,62 мм "Максим"х3000 патронов (на хребте оболочки и в гондоле), 410 кг бомб. Радиостанция 1 кВт Мор.Вед. обр.1911 года (100 миль). </w:t>
      </w:r>
    </w:p>
    <w:p w14:paraId="2ACFC91D" w14:textId="77777777" w:rsidR="00B67D7C" w:rsidRPr="00DE096C" w:rsidRDefault="00B67D7C" w:rsidP="00D45A46">
      <w:pPr>
        <w:jc w:val="both"/>
        <w:rPr>
          <w:bCs/>
          <w:color w:val="002060"/>
          <w:sz w:val="16"/>
          <w:szCs w:val="16"/>
        </w:rPr>
      </w:pPr>
      <w:r w:rsidRPr="00DE096C">
        <w:rPr>
          <w:bCs/>
          <w:color w:val="002060"/>
          <w:sz w:val="16"/>
          <w:szCs w:val="16"/>
        </w:rPr>
        <w:t xml:space="preserve">"Беркут"- Ижорский завод, мягкий, 1912 года. (или "Тихоокеанский N 1") </w:t>
      </w:r>
    </w:p>
    <w:p w14:paraId="006324F2" w14:textId="77777777" w:rsidR="00B67D7C" w:rsidRPr="00DE096C" w:rsidRDefault="00B67D7C" w:rsidP="00D45A46">
      <w:pPr>
        <w:jc w:val="both"/>
        <w:rPr>
          <w:bCs/>
          <w:color w:val="002060"/>
          <w:sz w:val="16"/>
          <w:szCs w:val="16"/>
        </w:rPr>
      </w:pPr>
      <w:r w:rsidRPr="00DE096C">
        <w:rPr>
          <w:bCs/>
          <w:color w:val="002060"/>
          <w:sz w:val="16"/>
          <w:szCs w:val="16"/>
        </w:rPr>
        <w:t xml:space="preserve">Экипаж -8..12 чел. Размеры: Длина-77,0 м, Макс.диаметр- 15,5 м Объем оболочки 9600 куб. м. Вес: нагрузки- 3530 кг. Двигатель: "Бенц", 2х150л.с. Скорость полета- 68 км/ч. Продолжительность полета - 20 час. Потолок практический - 2400 м. Вооружение - 2 х7,62 мм "Дрейзе"х3000 патронов (на хребте оболочки и в гондоле), 300 кг бомб. Радиостанция 1 кВт Мор.Вед. обр.1911 года (100 миль). </w:t>
      </w:r>
    </w:p>
    <w:p w14:paraId="768D0F5C" w14:textId="77777777" w:rsidR="00B67D7C" w:rsidRPr="00DE096C" w:rsidRDefault="00B67D7C" w:rsidP="00D45A46">
      <w:pPr>
        <w:jc w:val="both"/>
        <w:rPr>
          <w:bCs/>
          <w:color w:val="002060"/>
          <w:sz w:val="16"/>
          <w:szCs w:val="16"/>
        </w:rPr>
      </w:pPr>
      <w:r w:rsidRPr="00DE096C">
        <w:rPr>
          <w:bCs/>
          <w:color w:val="002060"/>
          <w:sz w:val="16"/>
          <w:szCs w:val="16"/>
        </w:rPr>
        <w:t xml:space="preserve">"Буревестник", "Орел", "Альбатрос"- Шютте-Ланц, 1914 года. Жесткий (или "Тихоокеанские N 2, 3, 4"). Доставлены на Дальний восток и собраны соответственно в феврале, апреле и июле 1914 года. </w:t>
      </w:r>
    </w:p>
    <w:p w14:paraId="1C932626" w14:textId="77777777" w:rsidR="00B67D7C" w:rsidRPr="00DE096C" w:rsidRDefault="00B67D7C" w:rsidP="00D45A46">
      <w:pPr>
        <w:jc w:val="both"/>
        <w:rPr>
          <w:bCs/>
          <w:color w:val="002060"/>
          <w:sz w:val="16"/>
          <w:szCs w:val="16"/>
        </w:rPr>
      </w:pPr>
      <w:r w:rsidRPr="00DE096C">
        <w:rPr>
          <w:bCs/>
          <w:color w:val="002060"/>
          <w:sz w:val="16"/>
          <w:szCs w:val="16"/>
        </w:rPr>
        <w:t xml:space="preserve">Экипаж -12..20 чел. Размеры: Длина-144,0 м, Макс.диаметр- 18,2 м Объем оболочки 25 000 куб. м. Вес: нагрузки- 6200 кг. Двигатель: "Майбах", 4х180 л.с. Скорость полета- 88,0 км/ч. Продолжительность полета - 20 час. Потолок практический - 5200 м. Вооружение - 2х7,62 мм "Максим"х3000 патронов (на хребте оболочки и в гондоле), 500 кг бомб. Радиостанция 2 кВт Мор.Вед. обр.1911 года (250 миль). </w:t>
      </w:r>
    </w:p>
    <w:p w14:paraId="542B4D0E" w14:textId="77777777" w:rsidR="00B67D7C" w:rsidRPr="00DE096C" w:rsidRDefault="00B67D7C" w:rsidP="00D45A46">
      <w:pPr>
        <w:jc w:val="both"/>
        <w:rPr>
          <w:bCs/>
          <w:color w:val="002060"/>
          <w:sz w:val="16"/>
          <w:szCs w:val="16"/>
        </w:rPr>
      </w:pPr>
      <w:r w:rsidRPr="00DE096C">
        <w:rPr>
          <w:bCs/>
          <w:color w:val="002060"/>
          <w:sz w:val="16"/>
          <w:szCs w:val="16"/>
        </w:rPr>
        <w:t xml:space="preserve">Боевой состав и организация Флотской Авиации. </w:t>
      </w:r>
    </w:p>
    <w:p w14:paraId="1C37F658" w14:textId="77777777" w:rsidR="00B67D7C" w:rsidRPr="00DE096C" w:rsidRDefault="00B67D7C" w:rsidP="00D45A46">
      <w:pPr>
        <w:jc w:val="both"/>
        <w:rPr>
          <w:bCs/>
          <w:color w:val="002060"/>
          <w:sz w:val="16"/>
          <w:szCs w:val="16"/>
        </w:rPr>
      </w:pPr>
      <w:r w:rsidRPr="00DE096C">
        <w:rPr>
          <w:bCs/>
          <w:color w:val="002060"/>
          <w:sz w:val="16"/>
          <w:szCs w:val="16"/>
        </w:rPr>
        <w:t xml:space="preserve">Всего на 1 июня 1914 года по спискам в составе Воздушных Сил Флота было 80 аэропланов и 5 дирижаблей. </w:t>
      </w:r>
    </w:p>
    <w:p w14:paraId="29F242CB" w14:textId="77777777" w:rsidR="00B67D7C" w:rsidRPr="00DE096C" w:rsidRDefault="00B67D7C" w:rsidP="00D45A46">
      <w:pPr>
        <w:jc w:val="both"/>
        <w:rPr>
          <w:bCs/>
          <w:color w:val="002060"/>
          <w:sz w:val="16"/>
          <w:szCs w:val="16"/>
        </w:rPr>
      </w:pPr>
      <w:r w:rsidRPr="00DE096C">
        <w:rPr>
          <w:bCs/>
          <w:color w:val="002060"/>
          <w:sz w:val="16"/>
          <w:szCs w:val="16"/>
        </w:rPr>
        <w:t xml:space="preserve">Разведывательная авиация. Первоначально Разведывательная авиация должна была входить в состав службы связи флотов. Позднее после утверждения морским министром положения об авиационной службе осенью 1912 года при командующих флотами организованы соответствующие авиационные службы. Приказом морского министра с мая 1914 года все авиационные части следовало именовать воздушными силами флота. К организации гидро и авиастанций на флотах приступили в 1911 году. </w:t>
      </w:r>
    </w:p>
    <w:p w14:paraId="4DF941C2" w14:textId="77777777" w:rsidR="00B67D7C" w:rsidRPr="00DE096C" w:rsidRDefault="00B67D7C" w:rsidP="00D45A46">
      <w:pPr>
        <w:jc w:val="both"/>
        <w:rPr>
          <w:bCs/>
          <w:color w:val="002060"/>
          <w:sz w:val="16"/>
          <w:szCs w:val="16"/>
        </w:rPr>
      </w:pPr>
      <w:r w:rsidRPr="00DE096C">
        <w:rPr>
          <w:bCs/>
          <w:color w:val="002060"/>
          <w:sz w:val="16"/>
          <w:szCs w:val="16"/>
        </w:rPr>
        <w:t xml:space="preserve">На лето 1914 года положение с системой базирования и обеспечения полетов было следующим: Балтийский флот располагал гидростанциями в Либаве, Ревеле и Кронштадте, а так же Гатчинской сухопутным учебным аэродромом под Петербургом(использовалась совместно с военным ведомством). Черноморский флот </w:t>
      </w:r>
      <w:r w:rsidRPr="00DE096C">
        <w:rPr>
          <w:bCs/>
          <w:color w:val="002060"/>
          <w:sz w:val="16"/>
          <w:szCs w:val="16"/>
        </w:rPr>
        <w:lastRenderedPageBreak/>
        <w:t xml:space="preserve">располагал гидростанцией в Севастополе и учебным аэродромом Качинской авиационной школы имевшей поле для полетов колесных самолетов и слип для летающих лодок. Тихоокеанский флот располагал сухопутной авиастанцией в Порт-Артуре, гидростанцией и сухопутным аэродромом во Владивостоке. </w:t>
      </w:r>
    </w:p>
    <w:p w14:paraId="6E5C8B69" w14:textId="77777777" w:rsidR="00B67D7C" w:rsidRPr="00DE096C" w:rsidRDefault="00B67D7C" w:rsidP="00D45A46">
      <w:pPr>
        <w:jc w:val="both"/>
        <w:rPr>
          <w:bCs/>
          <w:color w:val="002060"/>
          <w:sz w:val="16"/>
          <w:szCs w:val="16"/>
        </w:rPr>
      </w:pPr>
      <w:r w:rsidRPr="00DE096C">
        <w:rPr>
          <w:bCs/>
          <w:color w:val="002060"/>
          <w:sz w:val="16"/>
          <w:szCs w:val="16"/>
        </w:rPr>
        <w:t xml:space="preserve">Летом 1913 года утвержден штат авиаотряда, который по штатам мирного времени насчитывал 6 аэропланов (как правило, 4 постоянной готовности и 2 запасных) и до 36 человек, в том числе командира, 5 летчиков, 6 мотористов и мастеровых нижних чинов). Тяжелые аппараты типа "Гранд" и "Илья Муромец" сводились в Дивизион воздушных кораблей. </w:t>
      </w:r>
    </w:p>
    <w:p w14:paraId="6F5D3679" w14:textId="77777777" w:rsidR="00B67D7C" w:rsidRPr="00DE096C" w:rsidRDefault="00B67D7C" w:rsidP="00D45A46">
      <w:pPr>
        <w:jc w:val="both"/>
        <w:rPr>
          <w:bCs/>
          <w:color w:val="002060"/>
          <w:sz w:val="16"/>
          <w:szCs w:val="16"/>
        </w:rPr>
      </w:pPr>
      <w:r w:rsidRPr="00DE096C">
        <w:rPr>
          <w:bCs/>
          <w:color w:val="002060"/>
          <w:sz w:val="16"/>
          <w:szCs w:val="16"/>
        </w:rPr>
        <w:t xml:space="preserve">Воздухоплавательные части. Дирижабли. К лету 1914 года в ВСФ было 5 дирижаблей. Они состояли на вооружении 2 воздухоплавательных отрядов в Севастополе и Порт-Артуре. В этих местах были построены эллинги, газогенераторные станции и базы снабжения. Планировалось довести число больших дирижаблей до 12 к весне 1915 года. </w:t>
      </w:r>
    </w:p>
    <w:p w14:paraId="65FFBF8F" w14:textId="77777777" w:rsidR="00B67D7C" w:rsidRPr="00DE096C" w:rsidRDefault="00B67D7C" w:rsidP="00D45A46">
      <w:pPr>
        <w:jc w:val="both"/>
        <w:rPr>
          <w:bCs/>
          <w:color w:val="002060"/>
          <w:sz w:val="16"/>
          <w:szCs w:val="16"/>
        </w:rPr>
      </w:pPr>
      <w:r w:rsidRPr="00DE096C">
        <w:rPr>
          <w:bCs/>
          <w:color w:val="002060"/>
          <w:sz w:val="16"/>
          <w:szCs w:val="16"/>
        </w:rPr>
        <w:t xml:space="preserve">Экипаж большого дирижабля состоял из 7..20 человек разных военных специальностей. Каждый экипаж состоял из командира, вахтенного офицера (ответственного за газовые баллоны, обтяжку и балласт), офицера по обслуживанию двигателей (ответственного за энергоснабжение) и главного рулевого-штурмана. На борту находилось один-два унтер-офицера, ответственные за связь и, в зависимости от числа моторов, по одному... два нижних чина на мотор для его обслуживания. Кроме того, один-два человека обслуживали оболочки, а двое рулевых отвечали еще и за необходимую высоту полета. Обслуживали пулеметы и сбрасывали бомбы стрелки. Значительные штаты требовались и для наземного обслуживания, например, для поднятия в воздух и заведения в ангар при сильных порывах ветра, требовалось усилия до 200 человек, удерживавших дирижабль за ванты. Наземный технический персонал состоял обычно из 20-25 человек для большого дирижабля. </w:t>
      </w:r>
    </w:p>
    <w:p w14:paraId="1F64B7AE" w14:textId="77777777" w:rsidR="00B67D7C" w:rsidRPr="00DE096C" w:rsidRDefault="00B67D7C" w:rsidP="00D45A46">
      <w:pPr>
        <w:jc w:val="both"/>
        <w:rPr>
          <w:bCs/>
          <w:color w:val="002060"/>
          <w:sz w:val="16"/>
          <w:szCs w:val="16"/>
        </w:rPr>
      </w:pPr>
      <w:r w:rsidRPr="00DE096C">
        <w:rPr>
          <w:bCs/>
          <w:color w:val="002060"/>
          <w:sz w:val="16"/>
          <w:szCs w:val="16"/>
        </w:rPr>
        <w:t xml:space="preserve">Авиационное вооружение </w:t>
      </w:r>
    </w:p>
    <w:p w14:paraId="75E742CF" w14:textId="77777777" w:rsidR="00B67D7C" w:rsidRPr="00DE096C" w:rsidRDefault="00B67D7C" w:rsidP="00D45A46">
      <w:pPr>
        <w:jc w:val="both"/>
        <w:rPr>
          <w:bCs/>
          <w:color w:val="002060"/>
          <w:sz w:val="16"/>
          <w:szCs w:val="16"/>
        </w:rPr>
      </w:pPr>
      <w:r w:rsidRPr="00DE096C">
        <w:rPr>
          <w:bCs/>
          <w:color w:val="002060"/>
          <w:sz w:val="16"/>
          <w:szCs w:val="16"/>
        </w:rPr>
        <w:t xml:space="preserve">В морской авиации в это же время применялись 40 фнт авиабомбы конструкции старшего лейтенанта В.В. Дыбовского и система авиабомб калибром 1, 5 и 12 пудов конструкции представителя Минного управления Главного управления кораблестроения капитана 1 ранга Шрейбера, а так же прицелы лейтенанта Сидоренко. Кроме того, в авиабомбы к маю 1914 года было переделано три десятка 10" фугасных снаряда. </w:t>
      </w:r>
    </w:p>
    <w:p w14:paraId="43FAECAB" w14:textId="77777777" w:rsidR="00B67D7C" w:rsidRPr="00DE096C" w:rsidRDefault="00B67D7C" w:rsidP="00D45A46">
      <w:pPr>
        <w:jc w:val="both"/>
        <w:rPr>
          <w:bCs/>
          <w:color w:val="002060"/>
          <w:sz w:val="16"/>
          <w:szCs w:val="16"/>
        </w:rPr>
      </w:pPr>
      <w:r w:rsidRPr="00DE096C">
        <w:rPr>
          <w:bCs/>
          <w:color w:val="002060"/>
          <w:sz w:val="16"/>
          <w:szCs w:val="16"/>
        </w:rPr>
        <w:t xml:space="preserve">Авианесущие крейсера </w:t>
      </w:r>
    </w:p>
    <w:p w14:paraId="0C564480" w14:textId="77777777" w:rsidR="00B67D7C" w:rsidRPr="00DE096C" w:rsidRDefault="00B67D7C" w:rsidP="00D45A46">
      <w:pPr>
        <w:jc w:val="both"/>
        <w:rPr>
          <w:bCs/>
          <w:color w:val="002060"/>
          <w:sz w:val="16"/>
          <w:szCs w:val="16"/>
        </w:rPr>
      </w:pPr>
      <w:r w:rsidRPr="00DE096C">
        <w:rPr>
          <w:bCs/>
          <w:color w:val="002060"/>
          <w:sz w:val="16"/>
          <w:szCs w:val="16"/>
        </w:rPr>
        <w:t xml:space="preserve">Развитие морской авиации обусловило разработку вопроса об авианосцах - носителях колесных самолетов. В России с обоснованием их постройки выступил в 1909 году капитан корпуса корабельных инженеров Л. М. Мациевич. В 1910 г. подполковник М. М. Конокотин предложил морскому ведомству построить специальный корабль для транспортировки аэропланов. Представленный им проект первого в мире авианосца был принят. Но пока шли дебаты об отпуске средств, получили развитие гидросамолеты-летающие лодки, способные совершать взлет и посадку с воды, и это склонило ряд флотских специалистов к мысли о возможности боевого использования этих новых средств вооруженной борьбы на море с кораблей, так как базирование гидросамолетов на них признавалось сравнительно легко осуществимым: требовалось обеспечить хранение и эксплуатацию машин в корабельных условиях, а их спуск на воду и подъем мог осуществляться судовыми грузоподъемными механизмами. Специальные устройства для взлета с корабля и посадки на него самолетов в то время казались излишними. На Черноморском флоте в 1912 году опыты по подъему гидроаэроплана "Curtiss" на корабль и спуск его с палубы на воду проводил лейтенант Г.А.Фриде. Спустя год на транспорте "Днестр" с одобрения морского министра адмирала светлейшего князя Ливена установили деревянный разборный ангар на три аппарата, провели испытания по его сборке и разборке, а также по подъему на судно и спуску с него гидроаэропланов. Кроме того, на Черноморском флоте осенью 1913 года были выбраны 2 товаропассажирских парохода и крейсер "Алмаз" для размещения на них гидросамолетов. На Тихоокеанском флоте было принято решение оборудовать как носитель гидроавиации п/х "Ангара". Разработкой ТТЗ на переоборудование кораблей в носители гидросамолетов занимался инженер авиационной части ГУК П.А.Шишков, который как раз в это время разрабатывал проект быстроходного гидрокрейсера, который мог бы принять на борт четыре гидросамолета. Предполагалось, что корабль имел бы приспособления для их старта и приема на корабль, не стопоря машины. Для обеспечения взлетно-посадочных операций прорабатывалась катапульта и посадочный тент. В конечном итоге к лету 1914 года Российский императорский флот располагал 4-мя авианесущими кораблями. </w:t>
      </w:r>
    </w:p>
    <w:p w14:paraId="648E96F3" w14:textId="77777777" w:rsidR="00B67D7C" w:rsidRPr="00DE096C" w:rsidRDefault="00B67D7C" w:rsidP="00D45A46">
      <w:pPr>
        <w:jc w:val="both"/>
        <w:rPr>
          <w:bCs/>
          <w:color w:val="002060"/>
          <w:sz w:val="16"/>
          <w:szCs w:val="16"/>
        </w:rPr>
      </w:pPr>
      <w:r w:rsidRPr="00DE096C">
        <w:rPr>
          <w:bCs/>
          <w:color w:val="002060"/>
          <w:sz w:val="16"/>
          <w:szCs w:val="16"/>
        </w:rPr>
        <w:t xml:space="preserve">Приобретение и списание летальных аппаратов в период с 1908 по 1914 годы. </w:t>
      </w:r>
    </w:p>
    <w:p w14:paraId="6F9B40BD"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1909 год </w:t>
      </w:r>
    </w:p>
    <w:p w14:paraId="320F8C1F"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В течении года было закуплены 3 аппарата "Демуазель", "Райта", "Блерио-8". </w:t>
      </w:r>
    </w:p>
    <w:p w14:paraId="197F45AD"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К концу года, в летно-пригодном состоянии оставались "Блерио" и "Райт". </w:t>
      </w:r>
    </w:p>
    <w:p w14:paraId="42A0AB1B"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Приобретено - 3. </w:t>
      </w:r>
    </w:p>
    <w:p w14:paraId="28D0F98F"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Списано: - 1. </w:t>
      </w:r>
    </w:p>
    <w:p w14:paraId="7402B91D"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В наличии на 31 декабря - 2. </w:t>
      </w:r>
    </w:p>
    <w:p w14:paraId="27848965"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1910 год </w:t>
      </w:r>
    </w:p>
    <w:p w14:paraId="2297A4E9"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В течении года приобретен аэропланы 5 аппаратов: "Антуанетт-4", "Фарман-3", "Блерио-11", 2 "Вуазена-Канара". </w:t>
      </w:r>
    </w:p>
    <w:p w14:paraId="2E9E417B"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В течении года были полностью разбиты и списаны "Антуанет" и "Райт". </w:t>
      </w:r>
    </w:p>
    <w:p w14:paraId="0842E66D"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Числилось к началу года - 2. </w:t>
      </w:r>
    </w:p>
    <w:p w14:paraId="098E95CE"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Приобретено - 5. </w:t>
      </w:r>
    </w:p>
    <w:p w14:paraId="3E15A7C6"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Списано: - 2. </w:t>
      </w:r>
    </w:p>
    <w:p w14:paraId="5FD229A6"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В наличии на 31 декабря - 5. ("Фарман-III", "Блерио-8", "Блерио-XI", 2 "Вуазена-Канара".) </w:t>
      </w:r>
    </w:p>
    <w:p w14:paraId="1C94B387"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1911 год </w:t>
      </w:r>
    </w:p>
    <w:p w14:paraId="0FB7FCF1"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В течении года было приобретено 14 аппаратов: 2 "Фарман-IV", "Гаккель-V", "Гаккель-VII", 2 "Кертисс-А", 5 "Блерио-XI", Румплер "Таубе", 2 "Сикорских-V". </w:t>
      </w:r>
    </w:p>
    <w:p w14:paraId="206F5430"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К концу года было утеряно и списано 4 аппарата - "Блерио-8", "Блерио-XI", "Фарман-III", "Фарман-IV". </w:t>
      </w:r>
    </w:p>
    <w:p w14:paraId="69FD7679"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Имелось к началу года: - 5. </w:t>
      </w:r>
    </w:p>
    <w:p w14:paraId="3BB6F346"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Приобретено - 14. </w:t>
      </w:r>
    </w:p>
    <w:p w14:paraId="749F8CCF"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Списано: - 4. </w:t>
      </w:r>
    </w:p>
    <w:p w14:paraId="27E9CCDF"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В наличии на 31 декабря - 15. ("Фарман-IV", "Гаккель-V", "Гаккель-VII", 2 "Кертисс-А", 5 "Блерио-XI", Румплер "Таубе", 2 "Сикорских-V", 2 "Вуазена-Канара") </w:t>
      </w:r>
    </w:p>
    <w:p w14:paraId="4F656199"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1912 год </w:t>
      </w:r>
    </w:p>
    <w:p w14:paraId="7F5E1B92"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В течении года приобретено 27 аппаратов. Для Болгарии в середине года приобретено 3 "Блерио-XI", 5 "Дукс-Фарман-IV". 2 "Кертиса" передано из числа заказанных. Для морведа приобретено 5 "Кертисов", 2 "Гаккеля-IX", 2 "Гаккеля-VII", "Донне-Левек", 2 "Блерио-XI", 2 "Фармана-IV-поплавковых", 2 "Сикорских-5а", "Кодрон-Ж" </w:t>
      </w:r>
    </w:p>
    <w:p w14:paraId="5854ACF2"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В течении года списано и утеряно 9 аппаратов - 2 "Вуазена-Канара", "Гаккель-V", "Фарман-IV-поплавковый", 2 "Кертисс-А", "Блерио-XI", Румплер "Таубе", "Сикорских-V". </w:t>
      </w:r>
    </w:p>
    <w:p w14:paraId="437B91F6"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Имелось в начале года - 15. </w:t>
      </w:r>
    </w:p>
    <w:p w14:paraId="769B603B"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Приобретено - 27. </w:t>
      </w:r>
    </w:p>
    <w:p w14:paraId="41C7BDC8"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Списано: - 9. </w:t>
      </w:r>
    </w:p>
    <w:p w14:paraId="26C86F5C"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Передано Болгарам - 10. ( 3 "Блерио-XI", 5 "Фарман-IV", 2 "Кертис-А1".) </w:t>
      </w:r>
    </w:p>
    <w:p w14:paraId="7264DDC2"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В наличии на 31 декабря - 23. ("Гаккель-VII", 2 "Гаккеля-IX", 2 "Гаккеля-VIII", "Донне-Левек", 2 "Фармана-IV-поплавковых", "Кодрон-Ж", 5 "Кертисс-А", 6 "Блерио-XI", 2 "Сикорских-Vа", "Сикорских-V") </w:t>
      </w:r>
    </w:p>
    <w:p w14:paraId="229C444E"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1913 год </w:t>
      </w:r>
    </w:p>
    <w:p w14:paraId="5FF51C4E"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В течении года приобретено 49 аппаратов: 4 Фарман-Мф-15/16, 2 поплавковых и 7 колесных Депердессен обр.1913 года, 10 Сикорских-X, 8 Кертис-М, 13 ФБА, 3 Авро-504, 2 Гранда - больших Балтийских I и II. </w:t>
      </w:r>
    </w:p>
    <w:p w14:paraId="594BD079"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В течении года потеряно в авариях и списан 21 аппарат - "Гаккель-VII", "Гаккель-IX", "Гаккеля-VIII", 2 "Блерио-XI", "Донне-Левек", 2 Депердюссен, 3 "Кертисс-А", "Кодрон-Ж", 2 ФБА, Кертис-М, 2 "Фармана-IV-поплавковых", "Сикорских-Vа", "Сикорских-V", Сикорских-X, Авро-504. </w:t>
      </w:r>
    </w:p>
    <w:p w14:paraId="4C89A0A0"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Имелось в начале года - 23. </w:t>
      </w:r>
    </w:p>
    <w:p w14:paraId="56E3FED4"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Приобретено - 49. </w:t>
      </w:r>
    </w:p>
    <w:p w14:paraId="03B3E9A7"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Списано: - 21. </w:t>
      </w:r>
    </w:p>
    <w:p w14:paraId="28176EF5"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В наличии на 31 декабря - 51. ("Гаккель-IX", "Гаккель-VIII", 2 "Кертисс-А", 4 "Блерио-XI", 4 Фарман-Мф-15/16, 2 поплавковых и 5 колесных Депердюссен обр.1913 года, "Сикорский-Vа", 9 Сикорских-X, 7 Кертис-М, 11 ФБА, 2 Авро-504, 2 Гранда - больших Балтийских I и II.) </w:t>
      </w:r>
    </w:p>
    <w:p w14:paraId="260864D4"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1914 год </w:t>
      </w:r>
    </w:p>
    <w:p w14:paraId="2B10D8DB"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В течении первого полугодия 1914 года приобретено 33 самолета: 8 Илья-Муромец, 8 Кертис-М, 6 Щ-1, 14 ФБА. </w:t>
      </w:r>
    </w:p>
    <w:p w14:paraId="405C1A1B"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Потеряно и списано к 1 июня 1914 года - 7 самолетов - "Гаккель-IX", "Гаккеля-VIII", Депердюссен, Фарман-Мф-15/16, "Сикорских-Vа", Кертис-М, ФБА. </w:t>
      </w:r>
    </w:p>
    <w:p w14:paraId="286261C4"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Боевое расписание воздушных сил флота на 15 мая 1914 года. </w:t>
      </w:r>
    </w:p>
    <w:p w14:paraId="614D5B84"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(распоряжением морского министра от 9 мая 1914 года всем находящимся в строю аэропланам присвоены номера, начинавшиеся с "Ф"- флотский и далее с порядковым номером) </w:t>
      </w:r>
    </w:p>
    <w:p w14:paraId="6FBCC372"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В списках на 1 июня 1914 года значилось: </w:t>
      </w:r>
    </w:p>
    <w:p w14:paraId="37A2ED37"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lastRenderedPageBreak/>
        <w:t xml:space="preserve">2 "Кертисс-А"(Ф1,2), 4 "Блерио-XI" (Ф3-6), 3 "Фарман-Мф-15/16" (Ф7-9), 2 поплавковых и 4 колесных "Депердюссен" обр.1913 г. (Ф10-15), 9 "Сикорских-X" (Ф16-24), 2 "Авро-504" (Ф25, 26), 14 "Кертис-М" (Ф27-40), 24 ФБА (Ф41-64), 2 "Гранда - больших Балтийских I и II" (Ф65, 66), 6 Щ-1 (Ф67-72), 8 "Илья-Муромец-Морской" (Ф73-80). </w:t>
      </w:r>
    </w:p>
    <w:p w14:paraId="00733A1D"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Балтийский флот </w:t>
      </w:r>
    </w:p>
    <w:p w14:paraId="5F8929EC"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(19 аэропланов) </w:t>
      </w:r>
    </w:p>
    <w:p w14:paraId="2C1A3634"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Гатчина </w:t>
      </w:r>
    </w:p>
    <w:p w14:paraId="049E2450"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I морской авиаотряд: 4 "Блерио-XI" (Ф3-6), 2 колесных "Депердюссен" обр.1913 года (Ф14, 15) </w:t>
      </w:r>
    </w:p>
    <w:p w14:paraId="41E3C61D"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Кронштадт </w:t>
      </w:r>
    </w:p>
    <w:p w14:paraId="5A341116"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II морской авиаотряд: 2 поплавковых "Депердюссен" обр.1913 года (Ф12, 13). </w:t>
      </w:r>
    </w:p>
    <w:p w14:paraId="1A806EEF"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Ревель </w:t>
      </w:r>
    </w:p>
    <w:p w14:paraId="4C2C768E"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III морской авиаотряд: 5 "Сикорских-X" (Ф16-20). </w:t>
      </w:r>
    </w:p>
    <w:p w14:paraId="60CCF41C"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Либава </w:t>
      </w:r>
    </w:p>
    <w:p w14:paraId="31BDBDCD"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IV морской авиаотряд: 6 Щ-1 (Ф67-72). </w:t>
      </w:r>
    </w:p>
    <w:p w14:paraId="57271CF7"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Черноморский флот </w:t>
      </w:r>
    </w:p>
    <w:p w14:paraId="128F121D"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(39 аэропланов и 2 дирижабля) </w:t>
      </w:r>
    </w:p>
    <w:p w14:paraId="15B6A8F8"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Севастополь </w:t>
      </w:r>
    </w:p>
    <w:p w14:paraId="1B7D020B"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Авиационная школа морского ведомства: 2 "Авро-504" (Ф25, 26), 2 "Кертисс-А"(Ф1,2), "Гранд - большой Балтийский I" (Ф65), 2 "Фарман-Мф-15/16" (Ф7, 8), 3 "Сикорских-X" (Ф21-24), 4 ФБА (Ф61, 62, 63, 64), 2 колесных "Депердюссен" обр.1913 года (Ф12, 13). </w:t>
      </w:r>
    </w:p>
    <w:p w14:paraId="25C43292"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Дивизион воздушных кораблей: "Гранд - большой Балтийский II" (Ф66), 8 "Илья-Муромец-Морской" (Ф73-80). </w:t>
      </w:r>
    </w:p>
    <w:p w14:paraId="72D4C4F5"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V морской авиаотряд: 6 ФБА. (Ф41, 42, 43, 44, 45, 46) </w:t>
      </w:r>
    </w:p>
    <w:p w14:paraId="6794D480"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VI морской авиаотряд: 4 ФБА. (Ф47, 48, 49, 50) </w:t>
      </w:r>
    </w:p>
    <w:p w14:paraId="53A9291C"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VII морской авиаотряд: 4 ФБА. (Ф51, 52, 53, 54) </w:t>
      </w:r>
    </w:p>
    <w:p w14:paraId="1B9B059E"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I воздухоплавательный отряд: "Черноморский N1 и N2" </w:t>
      </w:r>
    </w:p>
    <w:p w14:paraId="25334E33"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Тихоокеанский флот </w:t>
      </w:r>
    </w:p>
    <w:p w14:paraId="3C4BBF2A"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(22 аэроплана и 3 дирижабля) </w:t>
      </w:r>
    </w:p>
    <w:p w14:paraId="40F1706B"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Владивосток </w:t>
      </w:r>
    </w:p>
    <w:p w14:paraId="0972A1A0"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Владивостокский авиадивизион: </w:t>
      </w:r>
    </w:p>
    <w:p w14:paraId="0DAF280E"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VIII морской авиаотряд: 5 Кертис-М. (Ф27, 28, 29, 30, 31) </w:t>
      </w:r>
    </w:p>
    <w:p w14:paraId="13A06C04"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IX морской авиаотряд: 6 Кертис-М. (Ф32, 33, 34, 35, 36, 37) </w:t>
      </w:r>
    </w:p>
    <w:p w14:paraId="0C5CA182"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X морской авиаотряд: 6 ФБА. (Ф55, 56, 57, 58, 59, 60) </w:t>
      </w:r>
    </w:p>
    <w:p w14:paraId="58ACB9B6"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Порт-Артур </w:t>
      </w:r>
    </w:p>
    <w:p w14:paraId="755D71E0"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II воздухоплавательный отряд: "Тихоокеанский N 1, 2, 3" </w:t>
      </w:r>
    </w:p>
    <w:p w14:paraId="1CE69AC2"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XI авиаотряд: 3 "Кертис-М" (Ф38, 39, 40), "Фарман-Мф-15/16" (Ф9), "Сикорских-X" (Ф21). </w:t>
      </w:r>
    </w:p>
    <w:p w14:paraId="55CBCC08"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Поступление аэропланов от заводов </w:t>
      </w:r>
    </w:p>
    <w:p w14:paraId="065F3AA8"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В общей сложности во второй половине от заводов морскими приемщиками было собрано, облетано и принято в состав флота от Санкт-Петербургского авиаотделения РБВЗ - 10 Илья Муромец-Флотский (Ф81-90). От Рижского отделения РБВЗ - 10 Авро-504(Ф91-100) и 10 ФБА (Ф101-110). От завода Щетинина было принято 30 ФБА (Ф111-140), 6 Щ-1 (Ф141-146), 2 Щ-2(Ф147, 148), Щ-3(Ф149)</w:t>
      </w:r>
      <w:bookmarkStart w:id="36" w:name="_Hlk117153302"/>
      <w:r w:rsidRPr="00DE096C">
        <w:rPr>
          <w:bCs/>
          <w:color w:val="002060"/>
          <w:sz w:val="16"/>
          <w:szCs w:val="16"/>
        </w:rPr>
        <w:t xml:space="preserve"> (12284)</w:t>
      </w:r>
      <w:bookmarkEnd w:id="36"/>
      <w:r w:rsidRPr="00DE096C">
        <w:rPr>
          <w:bCs/>
          <w:color w:val="002060"/>
          <w:sz w:val="16"/>
          <w:szCs w:val="16"/>
        </w:rPr>
        <w:t>.</w:t>
      </w:r>
    </w:p>
    <w:p w14:paraId="0E59FA27" w14:textId="77777777" w:rsidR="00B67D7C" w:rsidRPr="00DE096C" w:rsidRDefault="00B67D7C" w:rsidP="00D45A46">
      <w:pPr>
        <w:pStyle w:val="DefinitionList"/>
        <w:ind w:left="0"/>
        <w:jc w:val="both"/>
        <w:rPr>
          <w:bCs/>
          <w:color w:val="002060"/>
          <w:sz w:val="16"/>
          <w:szCs w:val="16"/>
        </w:rPr>
      </w:pPr>
    </w:p>
    <w:p w14:paraId="2CDE69B5" w14:textId="77777777" w:rsidR="00263E55" w:rsidRPr="00DE096C" w:rsidRDefault="00263E55" w:rsidP="00D45A46">
      <w:pPr>
        <w:jc w:val="both"/>
        <w:rPr>
          <w:bCs/>
          <w:i/>
          <w:color w:val="002060"/>
          <w:sz w:val="16"/>
          <w:szCs w:val="16"/>
        </w:rPr>
      </w:pPr>
      <w:r w:rsidRPr="00DE096C">
        <w:rPr>
          <w:bCs/>
          <w:i/>
          <w:color w:val="002060"/>
          <w:sz w:val="16"/>
          <w:szCs w:val="16"/>
        </w:rPr>
        <w:t>Авиация и воздухоплавание за рубежом:</w:t>
      </w:r>
    </w:p>
    <w:p w14:paraId="6B8A1FCA" w14:textId="77777777" w:rsidR="00263E55" w:rsidRPr="00DE096C" w:rsidRDefault="00263E55" w:rsidP="00D45A46">
      <w:pPr>
        <w:jc w:val="both"/>
        <w:rPr>
          <w:bCs/>
          <w:i/>
          <w:color w:val="002060"/>
          <w:sz w:val="16"/>
          <w:szCs w:val="16"/>
        </w:rPr>
      </w:pPr>
    </w:p>
    <w:p w14:paraId="2CF27CD3" w14:textId="77777777" w:rsidR="00263E55" w:rsidRPr="00DE096C" w:rsidRDefault="00263E55" w:rsidP="00D45A46">
      <w:pPr>
        <w:jc w:val="both"/>
        <w:rPr>
          <w:bCs/>
          <w:color w:val="002060"/>
          <w:sz w:val="16"/>
          <w:szCs w:val="16"/>
        </w:rPr>
      </w:pPr>
      <w:r w:rsidRPr="00DE096C">
        <w:rPr>
          <w:bCs/>
          <w:color w:val="002060"/>
          <w:sz w:val="16"/>
          <w:szCs w:val="16"/>
        </w:rPr>
        <w:t xml:space="preserve">1 (14) июня в 1914 году начало первого трансатлантического перелета на гидросамолете </w:t>
      </w:r>
      <w:hyperlink r:id="rId23" w:tgtFrame="_blank" w:history="1">
        <w:r w:rsidRPr="00DE096C">
          <w:rPr>
            <w:bCs/>
            <w:color w:val="002060"/>
            <w:sz w:val="16"/>
            <w:szCs w:val="16"/>
          </w:rPr>
          <w:t xml:space="preserve">«Кертисс NC-4». </w:t>
        </w:r>
      </w:hyperlink>
      <w:r w:rsidRPr="00DE096C">
        <w:rPr>
          <w:bCs/>
          <w:color w:val="002060"/>
          <w:sz w:val="16"/>
          <w:szCs w:val="16"/>
        </w:rPr>
        <w:t>Перелёт через Атлантический океан из Ньюфаундленда в Лисабон с промежуточными посадками на Азорских островах был выполнен экипажем Алберта С.Рида (14922).</w:t>
      </w:r>
    </w:p>
    <w:p w14:paraId="6DAB689E" w14:textId="2CD8D10F" w:rsidR="00263E55" w:rsidRPr="00DE096C" w:rsidRDefault="00263E55" w:rsidP="00D45A46">
      <w:pPr>
        <w:jc w:val="both"/>
        <w:rPr>
          <w:bCs/>
          <w:color w:val="002060"/>
          <w:sz w:val="16"/>
          <w:szCs w:val="16"/>
        </w:rPr>
      </w:pPr>
    </w:p>
    <w:p w14:paraId="14D8E6F9" w14:textId="1BBC8A5F" w:rsidR="00ED7894" w:rsidRPr="00DE096C" w:rsidRDefault="00ED7894" w:rsidP="00D45A46">
      <w:pPr>
        <w:jc w:val="both"/>
        <w:rPr>
          <w:bCs/>
          <w:i/>
          <w:iCs/>
          <w:color w:val="002060"/>
          <w:sz w:val="16"/>
          <w:szCs w:val="16"/>
        </w:rPr>
      </w:pPr>
      <w:r w:rsidRPr="00DE096C">
        <w:rPr>
          <w:bCs/>
          <w:i/>
          <w:iCs/>
          <w:color w:val="002060"/>
          <w:sz w:val="16"/>
          <w:szCs w:val="16"/>
        </w:rPr>
        <w:t>Авиация:</w:t>
      </w:r>
    </w:p>
    <w:p w14:paraId="021C38AF" w14:textId="77777777" w:rsidR="00ED7894" w:rsidRPr="00DE096C" w:rsidRDefault="00ED7894" w:rsidP="00D45A46">
      <w:pPr>
        <w:jc w:val="both"/>
        <w:rPr>
          <w:bCs/>
          <w:i/>
          <w:iCs/>
          <w:color w:val="002060"/>
          <w:sz w:val="16"/>
          <w:szCs w:val="16"/>
        </w:rPr>
      </w:pPr>
    </w:p>
    <w:p w14:paraId="34E27DBE" w14:textId="780D2F34" w:rsidR="00ED7894" w:rsidRPr="00DE096C" w:rsidRDefault="00ED7894" w:rsidP="00D45A46">
      <w:pPr>
        <w:pStyle w:val="2"/>
        <w:spacing w:before="0" w:after="0"/>
        <w:jc w:val="both"/>
        <w:rPr>
          <w:b w:val="0"/>
          <w:bCs/>
          <w:color w:val="002060"/>
          <w:sz w:val="16"/>
          <w:szCs w:val="16"/>
        </w:rPr>
      </w:pPr>
      <w:r w:rsidRPr="00DE096C">
        <w:rPr>
          <w:b w:val="0"/>
          <w:bCs/>
          <w:color w:val="002060"/>
          <w:sz w:val="16"/>
          <w:szCs w:val="16"/>
        </w:rPr>
        <w:t>2 (15) июня 1914, потратив на освоение самолета Моран несколько недель, Нестеров отправил зам. начальника ГВТУ подполковнику С.А.Немченко письмо по поводу приемки самолетов: «Тренировка на Моране очень еще серьезная необходима мне настолько, что я даже сомневаюсь, успею ли я подготовиться к концу июня настолько, чтобы управлять Мораном, как и Ньюгюром; настолько привычка к последнему въелась в меня. Летать же неуверенным в аппарате нельзя.» (15464).</w:t>
      </w:r>
    </w:p>
    <w:p w14:paraId="6FFEA11C" w14:textId="77777777" w:rsidR="00ED7894" w:rsidRPr="00DE096C" w:rsidRDefault="00ED7894" w:rsidP="00D45A46">
      <w:pPr>
        <w:pStyle w:val="2"/>
        <w:spacing w:before="0" w:after="0"/>
        <w:jc w:val="both"/>
        <w:rPr>
          <w:b w:val="0"/>
          <w:bCs/>
          <w:color w:val="002060"/>
          <w:sz w:val="16"/>
          <w:szCs w:val="16"/>
        </w:rPr>
      </w:pPr>
    </w:p>
    <w:p w14:paraId="63D9578D" w14:textId="3D7119B7" w:rsidR="00B67D7C" w:rsidRPr="00DE096C" w:rsidRDefault="00B67D7C" w:rsidP="00D45A46">
      <w:pPr>
        <w:shd w:val="clear" w:color="auto" w:fill="FFFFFF"/>
        <w:jc w:val="both"/>
        <w:rPr>
          <w:bCs/>
          <w:i/>
          <w:color w:val="002060"/>
          <w:sz w:val="16"/>
          <w:szCs w:val="16"/>
        </w:rPr>
      </w:pPr>
      <w:r w:rsidRPr="00DE096C">
        <w:rPr>
          <w:bCs/>
          <w:i/>
          <w:color w:val="002060"/>
          <w:sz w:val="16"/>
          <w:szCs w:val="16"/>
        </w:rPr>
        <w:t>Морск</w:t>
      </w:r>
      <w:r w:rsidR="00ED7894" w:rsidRPr="00DE096C">
        <w:rPr>
          <w:bCs/>
          <w:i/>
          <w:color w:val="002060"/>
          <w:sz w:val="16"/>
          <w:szCs w:val="16"/>
        </w:rPr>
        <w:t>ая авиация</w:t>
      </w:r>
      <w:r w:rsidRPr="00DE096C">
        <w:rPr>
          <w:bCs/>
          <w:i/>
          <w:color w:val="002060"/>
          <w:sz w:val="16"/>
          <w:szCs w:val="16"/>
        </w:rPr>
        <w:t>:</w:t>
      </w:r>
    </w:p>
    <w:p w14:paraId="2400BAA1" w14:textId="77777777" w:rsidR="00B67D7C" w:rsidRPr="00DE096C" w:rsidRDefault="00B67D7C" w:rsidP="00D45A46">
      <w:pPr>
        <w:shd w:val="clear" w:color="auto" w:fill="FFFFFF"/>
        <w:jc w:val="both"/>
        <w:rPr>
          <w:bCs/>
          <w:i/>
          <w:color w:val="002060"/>
          <w:sz w:val="16"/>
          <w:szCs w:val="16"/>
        </w:rPr>
      </w:pPr>
    </w:p>
    <w:p w14:paraId="053E0A15" w14:textId="74C70D21" w:rsidR="00B67D7C" w:rsidRPr="00DE096C" w:rsidRDefault="00B67D7C" w:rsidP="00D45A46">
      <w:pPr>
        <w:jc w:val="both"/>
        <w:rPr>
          <w:bCs/>
          <w:color w:val="002060"/>
          <w:sz w:val="16"/>
          <w:szCs w:val="16"/>
        </w:rPr>
      </w:pPr>
      <w:r w:rsidRPr="00DE096C">
        <w:rPr>
          <w:bCs/>
          <w:color w:val="002060"/>
          <w:sz w:val="16"/>
          <w:szCs w:val="16"/>
        </w:rPr>
        <w:t xml:space="preserve">2 </w:t>
      </w:r>
      <w:r w:rsidR="00ED7894" w:rsidRPr="00DE096C">
        <w:rPr>
          <w:bCs/>
          <w:color w:val="002060"/>
          <w:sz w:val="16"/>
          <w:szCs w:val="16"/>
        </w:rPr>
        <w:t xml:space="preserve">(15) </w:t>
      </w:r>
      <w:r w:rsidRPr="00DE096C">
        <w:rPr>
          <w:bCs/>
          <w:color w:val="002060"/>
          <w:sz w:val="16"/>
          <w:szCs w:val="16"/>
        </w:rPr>
        <w:t>июня 1914 года</w:t>
      </w:r>
      <w:r w:rsidR="00ED7894" w:rsidRPr="00DE096C">
        <w:rPr>
          <w:bCs/>
          <w:color w:val="002060"/>
          <w:sz w:val="16"/>
          <w:szCs w:val="16"/>
        </w:rPr>
        <w:t xml:space="preserve"> было предложение Главного морского штаба</w:t>
      </w:r>
      <w:r w:rsidRPr="00DE096C">
        <w:rPr>
          <w:bCs/>
          <w:color w:val="002060"/>
          <w:sz w:val="16"/>
          <w:szCs w:val="16"/>
        </w:rPr>
        <w:t xml:space="preserve"> о переоборудовании транспорта МСБМ «Аргунь» для базирования гидросамолетов, которые могли бы даже взлететь с его палубы</w:t>
      </w:r>
      <w:r w:rsidR="00ED7894" w:rsidRPr="00DE096C">
        <w:rPr>
          <w:bCs/>
          <w:color w:val="002060"/>
          <w:sz w:val="16"/>
          <w:szCs w:val="16"/>
        </w:rPr>
        <w:t>. Осталось на бумаге</w:t>
      </w:r>
      <w:r w:rsidRPr="00DE096C">
        <w:rPr>
          <w:bCs/>
          <w:color w:val="002060"/>
          <w:sz w:val="16"/>
          <w:szCs w:val="16"/>
        </w:rPr>
        <w:t xml:space="preserve"> (11333).</w:t>
      </w:r>
    </w:p>
    <w:p w14:paraId="38158CDD" w14:textId="77777777" w:rsidR="00B67D7C" w:rsidRPr="00DE096C" w:rsidRDefault="00B67D7C" w:rsidP="00D45A46">
      <w:pPr>
        <w:shd w:val="clear" w:color="auto" w:fill="FFFFFF"/>
        <w:jc w:val="both"/>
        <w:rPr>
          <w:bCs/>
          <w:i/>
          <w:color w:val="002060"/>
          <w:sz w:val="16"/>
          <w:szCs w:val="16"/>
        </w:rPr>
      </w:pPr>
    </w:p>
    <w:p w14:paraId="2DC9CDD5"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31EA2C29" w14:textId="77777777" w:rsidR="00B67D7C" w:rsidRPr="00DE096C" w:rsidRDefault="00B67D7C" w:rsidP="00D45A46">
      <w:pPr>
        <w:shd w:val="clear" w:color="auto" w:fill="FFFFFF"/>
        <w:jc w:val="both"/>
        <w:rPr>
          <w:bCs/>
          <w:i/>
          <w:color w:val="002060"/>
          <w:sz w:val="16"/>
          <w:szCs w:val="16"/>
        </w:rPr>
      </w:pPr>
    </w:p>
    <w:p w14:paraId="7FACFB2E" w14:textId="0791B07D" w:rsidR="00B67D7C" w:rsidRPr="00DE096C" w:rsidRDefault="00B67D7C" w:rsidP="00D45A46">
      <w:pPr>
        <w:jc w:val="both"/>
        <w:rPr>
          <w:bCs/>
          <w:color w:val="002060"/>
          <w:sz w:val="16"/>
          <w:szCs w:val="16"/>
        </w:rPr>
      </w:pPr>
      <w:r w:rsidRPr="00DE096C">
        <w:rPr>
          <w:bCs/>
          <w:color w:val="002060"/>
          <w:sz w:val="16"/>
          <w:szCs w:val="16"/>
        </w:rPr>
        <w:t xml:space="preserve">3 (17) июня 1914 г. </w:t>
      </w:r>
      <w:r w:rsidR="00ED7894" w:rsidRPr="00DE096C">
        <w:rPr>
          <w:bCs/>
          <w:color w:val="002060"/>
          <w:sz w:val="16"/>
          <w:szCs w:val="16"/>
        </w:rPr>
        <w:t xml:space="preserve">Предложение КОВ о присвоении конструктору Сикорскому почетного звания профессора подкрепилось заключением научно-технического комитета </w:t>
      </w:r>
      <w:r w:rsidRPr="00DE096C">
        <w:rPr>
          <w:bCs/>
          <w:color w:val="002060"/>
          <w:sz w:val="16"/>
          <w:szCs w:val="16"/>
        </w:rPr>
        <w:t xml:space="preserve">о значении деятельности Сикорского для воздухоплавания. Причем отмечалось, что его теоретические изыскания практическая работа по созданию летательных аппаратов тесно переплетались. Приводимые в своем комплексе факты вызывали изумление, принимая во внимание короткий срок деятельности конструктора. </w:t>
      </w:r>
    </w:p>
    <w:p w14:paraId="2A2D0F32" w14:textId="77777777" w:rsidR="00B67D7C" w:rsidRPr="00DE096C" w:rsidRDefault="00B67D7C" w:rsidP="00D45A46">
      <w:pPr>
        <w:jc w:val="both"/>
        <w:rPr>
          <w:bCs/>
          <w:color w:val="002060"/>
          <w:sz w:val="16"/>
          <w:szCs w:val="16"/>
        </w:rPr>
      </w:pPr>
      <w:r w:rsidRPr="00DE096C">
        <w:rPr>
          <w:bCs/>
          <w:color w:val="002060"/>
          <w:sz w:val="16"/>
          <w:szCs w:val="16"/>
        </w:rPr>
        <w:t xml:space="preserve">В заключении комитета подчеркивалось, что одной из характерных особенностей творческой деятельности конструктора является его стремление полностью освободиться при постройке летательного аппарата от иностранной зависимости в материалах и деталях, что в то время было весьма немаловажным делом. Результате изобретательской деятельности, как повествуется далее, "явилась постройка в Киеве в 1910 г. первого русского самобытного аэроплана, до последней мелочи сработанного в России и из русских материалов. Разрешение этой важной задачи было сопряжено с огромными затруднениями и требовало массы технических и инженерных знаний. Осуществление аэроплана неоспоримо доказало возможность постройки в России исключительно из русских материалов летательный машин и послужило могучим толчком для дальнейшего развития киевского и вообще русского воздухоплавания. В этом заключается огромная научная и историческая заслуга Игоря Ивановича Сикорского. Попутно с решением этой задачи Игорь Иванович совершенно самостоятельно в России (июнь 1910 г. ) установил винтомоторную группу с винтом на валу двигателя впереди биплана (Сикорский № 2). Новое конструктивное решение принципа аэроплана оказалось чрезвычайно удачным и впоследствии облегчила переход к типу бимонопланов. Выводы: </w:t>
      </w:r>
    </w:p>
    <w:p w14:paraId="1DACB1D4" w14:textId="77777777" w:rsidR="00B67D7C" w:rsidRPr="00DE096C" w:rsidRDefault="00B67D7C" w:rsidP="00D45A46">
      <w:pPr>
        <w:jc w:val="both"/>
        <w:rPr>
          <w:bCs/>
          <w:color w:val="002060"/>
          <w:sz w:val="16"/>
          <w:szCs w:val="16"/>
        </w:rPr>
      </w:pPr>
      <w:r w:rsidRPr="00DE096C">
        <w:rPr>
          <w:bCs/>
          <w:color w:val="002060"/>
          <w:sz w:val="16"/>
          <w:szCs w:val="16"/>
        </w:rPr>
        <w:t xml:space="preserve">1) устранена для пилота опасность быть раздавленным при падении сорвавшимся двигателем; </w:t>
      </w:r>
    </w:p>
    <w:p w14:paraId="052EE27E" w14:textId="77777777" w:rsidR="00B67D7C" w:rsidRPr="00DE096C" w:rsidRDefault="00B67D7C" w:rsidP="00D45A46">
      <w:pPr>
        <w:jc w:val="both"/>
        <w:rPr>
          <w:bCs/>
          <w:color w:val="002060"/>
          <w:sz w:val="16"/>
          <w:szCs w:val="16"/>
        </w:rPr>
      </w:pPr>
      <w:r w:rsidRPr="00DE096C">
        <w:rPr>
          <w:bCs/>
          <w:color w:val="002060"/>
          <w:sz w:val="16"/>
          <w:szCs w:val="16"/>
        </w:rPr>
        <w:t xml:space="preserve">2) уменьшены вес аэроплана и его лобовое сопротивление благодаря уменьшению размеров хвостовой фермы и увеличению прочности последней; </w:t>
      </w:r>
    </w:p>
    <w:p w14:paraId="72B3B265" w14:textId="77777777" w:rsidR="00B67D7C" w:rsidRPr="00DE096C" w:rsidRDefault="00B67D7C" w:rsidP="00D45A46">
      <w:pPr>
        <w:jc w:val="both"/>
        <w:rPr>
          <w:bCs/>
          <w:color w:val="002060"/>
          <w:sz w:val="16"/>
          <w:szCs w:val="16"/>
        </w:rPr>
      </w:pPr>
      <w:r w:rsidRPr="00DE096C">
        <w:rPr>
          <w:bCs/>
          <w:color w:val="002060"/>
          <w:sz w:val="16"/>
          <w:szCs w:val="16"/>
        </w:rPr>
        <w:t xml:space="preserve">3) винт был поставлен в наивыгоднейшие условия работы в совершенно невозмущенном воздухе, что улучшило его отдачу; </w:t>
      </w:r>
    </w:p>
    <w:p w14:paraId="72CFB67D" w14:textId="77777777" w:rsidR="00B67D7C" w:rsidRPr="00DE096C" w:rsidRDefault="00B67D7C" w:rsidP="00D45A46">
      <w:pPr>
        <w:jc w:val="both"/>
        <w:rPr>
          <w:bCs/>
          <w:color w:val="002060"/>
          <w:sz w:val="16"/>
          <w:szCs w:val="16"/>
        </w:rPr>
      </w:pPr>
      <w:r w:rsidRPr="00DE096C">
        <w:rPr>
          <w:bCs/>
          <w:color w:val="002060"/>
          <w:sz w:val="16"/>
          <w:szCs w:val="16"/>
        </w:rPr>
        <w:t xml:space="preserve">4) достигнуто наиболее интенсивное охлаждение двигателя напором встречного ветра; </w:t>
      </w:r>
    </w:p>
    <w:p w14:paraId="2598C589" w14:textId="77777777" w:rsidR="00B67D7C" w:rsidRPr="00DE096C" w:rsidRDefault="00B67D7C" w:rsidP="00D45A46">
      <w:pPr>
        <w:jc w:val="both"/>
        <w:rPr>
          <w:bCs/>
          <w:color w:val="002060"/>
          <w:sz w:val="16"/>
          <w:szCs w:val="16"/>
        </w:rPr>
      </w:pPr>
      <w:r w:rsidRPr="00DE096C">
        <w:rPr>
          <w:bCs/>
          <w:color w:val="002060"/>
          <w:sz w:val="16"/>
          <w:szCs w:val="16"/>
        </w:rPr>
        <w:t xml:space="preserve">5) устранена опасность при поломке винта разрушения хвостовой фермы. Это было очень серьезное усовершенствование в конструкции биплана". </w:t>
      </w:r>
    </w:p>
    <w:p w14:paraId="70DED070" w14:textId="77777777" w:rsidR="00B67D7C" w:rsidRPr="00DE096C" w:rsidRDefault="00B67D7C" w:rsidP="00D45A46">
      <w:pPr>
        <w:jc w:val="both"/>
        <w:rPr>
          <w:bCs/>
          <w:color w:val="002060"/>
          <w:sz w:val="16"/>
          <w:szCs w:val="16"/>
        </w:rPr>
      </w:pPr>
      <w:r w:rsidRPr="00DE096C">
        <w:rPr>
          <w:bCs/>
          <w:color w:val="002060"/>
          <w:sz w:val="16"/>
          <w:szCs w:val="16"/>
        </w:rPr>
        <w:t xml:space="preserve">Далее в заключении подчеркивались заслуги Сикорского в создании собственного метода расчета винтов, на базе которого он строил пропеллеры и "достиг здесь выдающихся результатов". Резюмируя, технические эксперты подчеркивали: "На основании сказанного научно-технический комитет при КОВ заключает, что Игорю Ивановичу удалось: 1) создать новое направление в авиационной науке настолько характерное, что его можно назвать школой Сикорского"; 2) выработать тип нового оригинального, всецело русского аэроплана, по качествам своим, как показали два военных конкурса 1912 и 1913 Седов, значительно превосходящего иностранные аппараты. Все это доказывает, что Сикорскому блестяще удалось овладеть научными методами современной техники. Его работы являются огромным научным вкладом в сокровищницу авиационной науки и во многом способствовали развитию мировой авиационной техники" (Киевлянин. 1914. ?162. ). </w:t>
      </w:r>
    </w:p>
    <w:p w14:paraId="2EEF5751" w14:textId="77777777" w:rsidR="00B67D7C" w:rsidRPr="00DE096C" w:rsidRDefault="00B67D7C" w:rsidP="00D45A46">
      <w:pPr>
        <w:jc w:val="both"/>
        <w:rPr>
          <w:bCs/>
          <w:color w:val="002060"/>
          <w:sz w:val="16"/>
          <w:szCs w:val="16"/>
        </w:rPr>
      </w:pPr>
      <w:r w:rsidRPr="00DE096C">
        <w:rPr>
          <w:bCs/>
          <w:color w:val="002060"/>
          <w:sz w:val="16"/>
          <w:szCs w:val="16"/>
        </w:rPr>
        <w:t>Разумеется, почетный диплом инженера был в торжественной обстановке вручен именитому конструктору (11294).</w:t>
      </w:r>
    </w:p>
    <w:p w14:paraId="2EF5975E" w14:textId="77777777" w:rsidR="00B67D7C" w:rsidRPr="00DE096C" w:rsidRDefault="00B67D7C" w:rsidP="00D45A46">
      <w:pPr>
        <w:jc w:val="both"/>
        <w:rPr>
          <w:bCs/>
          <w:color w:val="002060"/>
          <w:sz w:val="16"/>
          <w:szCs w:val="16"/>
        </w:rPr>
      </w:pPr>
    </w:p>
    <w:p w14:paraId="376B3549" w14:textId="48097349" w:rsidR="0013152A" w:rsidRPr="00DE096C" w:rsidRDefault="0013152A" w:rsidP="00D45A46">
      <w:pPr>
        <w:shd w:val="clear" w:color="auto" w:fill="FFFFFF"/>
        <w:jc w:val="both"/>
        <w:rPr>
          <w:bCs/>
          <w:i/>
          <w:color w:val="002060"/>
          <w:sz w:val="16"/>
          <w:szCs w:val="16"/>
        </w:rPr>
      </w:pPr>
      <w:r w:rsidRPr="00DE096C">
        <w:rPr>
          <w:bCs/>
          <w:i/>
          <w:color w:val="002060"/>
          <w:sz w:val="16"/>
          <w:szCs w:val="16"/>
        </w:rPr>
        <w:t>Другие оборонные отрасли:</w:t>
      </w:r>
    </w:p>
    <w:p w14:paraId="26E7FAA7" w14:textId="77777777" w:rsidR="0013152A" w:rsidRPr="00DE096C" w:rsidRDefault="0013152A" w:rsidP="00D45A46">
      <w:pPr>
        <w:shd w:val="clear" w:color="auto" w:fill="FFFFFF"/>
        <w:jc w:val="both"/>
        <w:rPr>
          <w:bCs/>
          <w:i/>
          <w:color w:val="002060"/>
          <w:sz w:val="16"/>
          <w:szCs w:val="16"/>
        </w:rPr>
      </w:pPr>
    </w:p>
    <w:p w14:paraId="1E1A464F" w14:textId="77777777" w:rsidR="0013152A" w:rsidRPr="00DE096C" w:rsidRDefault="0013152A" w:rsidP="00D45A46">
      <w:pPr>
        <w:pStyle w:val="book"/>
        <w:spacing w:before="0" w:beforeAutospacing="0" w:after="0" w:afterAutospacing="0"/>
        <w:jc w:val="both"/>
        <w:rPr>
          <w:bCs/>
          <w:color w:val="002060"/>
          <w:sz w:val="16"/>
          <w:szCs w:val="16"/>
          <w:shd w:val="clear" w:color="auto" w:fill="FFFFFF"/>
        </w:rPr>
      </w:pPr>
      <w:r w:rsidRPr="00DE096C">
        <w:rPr>
          <w:bCs/>
          <w:color w:val="002060"/>
          <w:sz w:val="16"/>
          <w:szCs w:val="16"/>
          <w:shd w:val="clear" w:color="auto" w:fill="FFFFFF"/>
        </w:rPr>
        <w:lastRenderedPageBreak/>
        <w:t>3 (16) июня 1914 года Санкт-Петербургская Городская Управа дала разрешение фирме "Автомобили Рено" на строительство "починочной мастерской" во 2-м участке Выборгской части по Б. Сампсониевскому проспекту, 75-77 между улицей Батенина (ныне улица А. Матросова) и Флюговым переулком (ныне Кантемировская улица) (20045).</w:t>
      </w:r>
    </w:p>
    <w:p w14:paraId="71080CB4" w14:textId="77777777" w:rsidR="0013152A" w:rsidRPr="00DE096C" w:rsidRDefault="0013152A" w:rsidP="00D45A46">
      <w:pPr>
        <w:pStyle w:val="book"/>
        <w:spacing w:before="0" w:beforeAutospacing="0" w:after="0" w:afterAutospacing="0"/>
        <w:jc w:val="both"/>
        <w:rPr>
          <w:bCs/>
          <w:color w:val="002060"/>
          <w:sz w:val="16"/>
          <w:szCs w:val="16"/>
          <w:shd w:val="clear" w:color="auto" w:fill="FFFFFF"/>
        </w:rPr>
      </w:pPr>
    </w:p>
    <w:p w14:paraId="2866927F"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020EE1CA" w14:textId="77777777" w:rsidR="00B67D7C" w:rsidRPr="00DE096C" w:rsidRDefault="00B67D7C" w:rsidP="00D45A46">
      <w:pPr>
        <w:shd w:val="clear" w:color="auto" w:fill="FFFFFF"/>
        <w:jc w:val="both"/>
        <w:rPr>
          <w:bCs/>
          <w:i/>
          <w:color w:val="002060"/>
          <w:sz w:val="16"/>
          <w:szCs w:val="16"/>
        </w:rPr>
      </w:pPr>
    </w:p>
    <w:p w14:paraId="71B8C918" w14:textId="77777777" w:rsidR="00ED7894" w:rsidRPr="00DE096C" w:rsidRDefault="00ED7894" w:rsidP="00D45A46">
      <w:pPr>
        <w:jc w:val="both"/>
        <w:rPr>
          <w:bCs/>
          <w:color w:val="002060"/>
          <w:sz w:val="16"/>
          <w:szCs w:val="16"/>
        </w:rPr>
      </w:pPr>
      <w:r w:rsidRPr="00DE096C">
        <w:rPr>
          <w:bCs/>
          <w:color w:val="002060"/>
          <w:sz w:val="16"/>
          <w:szCs w:val="16"/>
        </w:rPr>
        <w:t>4-5 (17-18) июня 1914 г. летчики Н.П .Сикорский и Г.И.Лавров на самолете "Илья Муромец" установили два мировых рекорда .В первом полете они подняли 10 пассажиров на высоту 2000 м и продержались с ними 1 ч. 29 минут, во втором, полете с 6 пассажирами продержались в воздухе 6 часов 33 минуты, пройдя за это время по замкнутому кругу 696 км.</w:t>
      </w:r>
    </w:p>
    <w:p w14:paraId="590787D1" w14:textId="77777777" w:rsidR="00ED7894" w:rsidRPr="00DE096C" w:rsidRDefault="00ED7894" w:rsidP="00D45A46">
      <w:pPr>
        <w:jc w:val="both"/>
        <w:rPr>
          <w:bCs/>
          <w:color w:val="002060"/>
          <w:sz w:val="16"/>
          <w:szCs w:val="16"/>
        </w:rPr>
      </w:pPr>
      <w:r w:rsidRPr="00DE096C">
        <w:rPr>
          <w:bCs/>
          <w:color w:val="002060"/>
          <w:sz w:val="16"/>
          <w:szCs w:val="16"/>
        </w:rPr>
        <w:t>/"Воздухеплаватель", 1914, № 7, стр. 494/ (23320).</w:t>
      </w:r>
    </w:p>
    <w:p w14:paraId="10F255A3" w14:textId="77777777" w:rsidR="00ED7894" w:rsidRPr="00DE096C" w:rsidRDefault="00ED7894" w:rsidP="00D45A46">
      <w:pPr>
        <w:jc w:val="both"/>
        <w:rPr>
          <w:bCs/>
          <w:color w:val="002060"/>
          <w:sz w:val="16"/>
          <w:szCs w:val="16"/>
        </w:rPr>
      </w:pPr>
    </w:p>
    <w:p w14:paraId="7F56A2E8" w14:textId="79872C75"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4-5 (17-18) июня 1914 </w:t>
      </w:r>
      <w:r w:rsidR="00ED7894" w:rsidRPr="00DE096C">
        <w:rPr>
          <w:bCs/>
          <w:color w:val="002060"/>
          <w:sz w:val="16"/>
          <w:szCs w:val="16"/>
        </w:rPr>
        <w:t xml:space="preserve">г. </w:t>
      </w:r>
      <w:r w:rsidRPr="00DE096C">
        <w:rPr>
          <w:bCs/>
          <w:color w:val="002060"/>
          <w:sz w:val="16"/>
          <w:szCs w:val="16"/>
        </w:rPr>
        <w:t>И.И.Сикорский и Г.И.Лавров на самолете "Илья Муромец" установили два мировых рекорда. В первом полете они подняли 10 пассажиров на высо-ту 2000 м и продержались с ними 1 час 29 минут, во втором полете с 6 пассажирами продержались в воздухе 6 час. 33 минуты, пройдя за это время по замкнутому кру</w:t>
      </w:r>
      <w:r w:rsidRPr="00DE096C">
        <w:rPr>
          <w:bCs/>
          <w:color w:val="002060"/>
          <w:sz w:val="16"/>
          <w:szCs w:val="16"/>
        </w:rPr>
        <w:softHyphen/>
        <w:t>гу 696 км ("Воздухоплаватель". 1914, № 7, стр.494).</w:t>
      </w:r>
    </w:p>
    <w:p w14:paraId="39B499EA" w14:textId="77777777" w:rsidR="00B67D7C" w:rsidRPr="00DE096C" w:rsidRDefault="00B67D7C" w:rsidP="00D45A46">
      <w:pPr>
        <w:shd w:val="clear" w:color="auto" w:fill="FFFFFF"/>
        <w:jc w:val="both"/>
        <w:rPr>
          <w:bCs/>
          <w:color w:val="002060"/>
          <w:sz w:val="16"/>
          <w:szCs w:val="16"/>
        </w:rPr>
      </w:pPr>
    </w:p>
    <w:p w14:paraId="4D9107F7" w14:textId="77777777" w:rsidR="00A01518" w:rsidRPr="00DE096C" w:rsidRDefault="00A01518" w:rsidP="00D45A46">
      <w:pPr>
        <w:jc w:val="both"/>
        <w:rPr>
          <w:bCs/>
          <w:color w:val="002060"/>
          <w:sz w:val="16"/>
          <w:szCs w:val="16"/>
        </w:rPr>
      </w:pPr>
      <w:bookmarkStart w:id="37" w:name="_Hlk117161260"/>
      <w:r w:rsidRPr="00DE096C">
        <w:rPr>
          <w:bCs/>
          <w:color w:val="002060"/>
          <w:sz w:val="16"/>
          <w:szCs w:val="16"/>
        </w:rPr>
        <w:t>4-5 (17-18) июня 1914 г. летчики Н.П .Сикорский и Г.И.Лавров на самолете "Илья Муромец" установили два мировых рекорда .В первом полете они подняли 10 пассажиров на высоту 2000 м и продержались с ними 1 ч. 29 минут, во втором, полете с 6 пассажирами продержались в воздухе 6 часов 33 минуты, пройдя за это время по замкнутому кругу 696 км.</w:t>
      </w:r>
    </w:p>
    <w:p w14:paraId="4FEB6A11" w14:textId="77777777" w:rsidR="00A01518" w:rsidRPr="00DE096C" w:rsidRDefault="00A01518" w:rsidP="00D45A46">
      <w:pPr>
        <w:jc w:val="both"/>
        <w:rPr>
          <w:bCs/>
          <w:color w:val="002060"/>
          <w:sz w:val="16"/>
          <w:szCs w:val="16"/>
        </w:rPr>
      </w:pPr>
      <w:r w:rsidRPr="00DE096C">
        <w:rPr>
          <w:bCs/>
          <w:color w:val="002060"/>
          <w:sz w:val="16"/>
          <w:szCs w:val="16"/>
        </w:rPr>
        <w:t>/"Воздухеплаватель", 1914, № 7, стр. 494/ (23320).</w:t>
      </w:r>
    </w:p>
    <w:p w14:paraId="1550F821" w14:textId="77777777" w:rsidR="00A01518" w:rsidRPr="00DE096C" w:rsidRDefault="00A01518" w:rsidP="00D45A46">
      <w:pPr>
        <w:jc w:val="both"/>
        <w:rPr>
          <w:bCs/>
          <w:color w:val="002060"/>
          <w:sz w:val="16"/>
          <w:szCs w:val="16"/>
        </w:rPr>
      </w:pPr>
    </w:p>
    <w:bookmarkEnd w:id="37"/>
    <w:p w14:paraId="193FC504" w14:textId="77777777" w:rsidR="00ED7894" w:rsidRPr="00DE096C" w:rsidRDefault="00ED7894" w:rsidP="00D45A46">
      <w:pPr>
        <w:jc w:val="both"/>
        <w:rPr>
          <w:bCs/>
          <w:color w:val="002060"/>
          <w:sz w:val="16"/>
          <w:szCs w:val="16"/>
        </w:rPr>
      </w:pPr>
      <w:r w:rsidRPr="00DE096C">
        <w:rPr>
          <w:bCs/>
          <w:color w:val="002060"/>
          <w:sz w:val="16"/>
          <w:szCs w:val="16"/>
        </w:rPr>
        <w:t>4 (17) июня 1914 г. на самолете «Илья Муромец» Б был установлен мировой рекорд высоты полёта с 10 человеками на борту — 2000 м, а 5 июня того же года — мировой рекорд продолжительности по</w:t>
      </w:r>
      <w:r w:rsidRPr="00DE096C">
        <w:rPr>
          <w:bCs/>
          <w:color w:val="002060"/>
          <w:sz w:val="16"/>
          <w:szCs w:val="16"/>
        </w:rPr>
        <w:softHyphen/>
        <w:t>лета с 6 человеками на борту — 6 часов 33 минуты (318).</w:t>
      </w:r>
    </w:p>
    <w:p w14:paraId="3E75E858" w14:textId="77777777" w:rsidR="00ED7894" w:rsidRPr="00DE096C" w:rsidRDefault="00ED7894" w:rsidP="00D45A46">
      <w:pPr>
        <w:jc w:val="both"/>
        <w:rPr>
          <w:bCs/>
          <w:color w:val="002060"/>
          <w:sz w:val="16"/>
          <w:szCs w:val="16"/>
        </w:rPr>
      </w:pPr>
    </w:p>
    <w:p w14:paraId="608174C1" w14:textId="77777777" w:rsidR="00B67D7C" w:rsidRPr="00DE096C" w:rsidRDefault="00B67D7C" w:rsidP="00D45A46">
      <w:pPr>
        <w:jc w:val="both"/>
        <w:rPr>
          <w:bCs/>
          <w:color w:val="002060"/>
          <w:sz w:val="16"/>
          <w:szCs w:val="16"/>
        </w:rPr>
      </w:pPr>
      <w:r w:rsidRPr="00DE096C">
        <w:rPr>
          <w:bCs/>
          <w:color w:val="002060"/>
          <w:sz w:val="16"/>
          <w:szCs w:val="16"/>
        </w:rPr>
        <w:t>4 (17) июня 1914 г. И. И. Сикорский поднял "Муромец" имея на борту 10 человек. Среди пассажиров было пять членов Государственной думы, в том числе член комитета Думы по военному снабжению. Постепенно набрав и 2000 м, и высокие пассажиры признали, что эта высота достаточна для тяжелого бомбардировщика. Полет, который опять стал мировым достижением, убедил самых ярых скептиков в больших резервах "Ильи Муромца". Тем не менее Сикорский понимал, что окончательно убедить всех в необыкновенных возможностях машины может только длительный перелет. Прикидочные расчеты позволяли выбрать маршрут Петербург - Киев с одной посадкой для дозаправки в Орше. По некоторым данным, маршрут планировался до Одессы и Севастополя, однако по ряду причин, среди которых была и начавшаяся мировая война, пройти по нему не удалось.]. При благоприятных условиях такой перелет можно осуществить за один день. Это было достаточно серьезным испытанием, поэтому нужно было тщательно выверить километровый расход топлива и масла (11294).</w:t>
      </w:r>
    </w:p>
    <w:p w14:paraId="61690CA4" w14:textId="77777777" w:rsidR="00B67D7C" w:rsidRPr="00DE096C" w:rsidRDefault="00B67D7C" w:rsidP="00D45A46">
      <w:pPr>
        <w:jc w:val="both"/>
        <w:rPr>
          <w:bCs/>
          <w:color w:val="002060"/>
          <w:sz w:val="16"/>
          <w:szCs w:val="16"/>
        </w:rPr>
      </w:pPr>
    </w:p>
    <w:p w14:paraId="1616EB70" w14:textId="269BF77C" w:rsidR="00B67D7C" w:rsidRPr="00DE096C" w:rsidRDefault="00B67D7C" w:rsidP="00D45A46">
      <w:pPr>
        <w:jc w:val="both"/>
        <w:rPr>
          <w:bCs/>
          <w:color w:val="002060"/>
          <w:sz w:val="16"/>
          <w:szCs w:val="16"/>
        </w:rPr>
      </w:pPr>
      <w:r w:rsidRPr="00DE096C">
        <w:rPr>
          <w:bCs/>
          <w:color w:val="002060"/>
          <w:sz w:val="16"/>
          <w:szCs w:val="16"/>
        </w:rPr>
        <w:t xml:space="preserve">4 </w:t>
      </w:r>
      <w:r w:rsidR="00ED7894" w:rsidRPr="00DE096C">
        <w:rPr>
          <w:bCs/>
          <w:color w:val="002060"/>
          <w:sz w:val="16"/>
          <w:szCs w:val="16"/>
        </w:rPr>
        <w:t xml:space="preserve">(17) </w:t>
      </w:r>
      <w:r w:rsidRPr="00DE096C">
        <w:rPr>
          <w:bCs/>
          <w:color w:val="002060"/>
          <w:sz w:val="16"/>
          <w:szCs w:val="16"/>
        </w:rPr>
        <w:t xml:space="preserve">июня </w:t>
      </w:r>
      <w:r w:rsidR="00ED7894" w:rsidRPr="00DE096C">
        <w:rPr>
          <w:bCs/>
          <w:color w:val="002060"/>
          <w:sz w:val="16"/>
          <w:szCs w:val="16"/>
        </w:rPr>
        <w:t xml:space="preserve">1914 г. </w:t>
      </w:r>
      <w:r w:rsidRPr="00DE096C">
        <w:rPr>
          <w:bCs/>
          <w:color w:val="002060"/>
          <w:sz w:val="16"/>
          <w:szCs w:val="16"/>
        </w:rPr>
        <w:t>вечером на «Илье Муромце» был установлен всемирный рекорд полета на высоту с несколькими пассажирами. Сикорский с десятью пассажирами поднялся выше 2000 метров. Весь полет продолжался 1 час 29 минут. Управляли попеременно аппаратом Сикорский и лейтенант Лавров. По общему отзыву всех авиаторов, которым пришлось управлять «Ильей Муромцем», аппарат очень послушен рулям и управление им легче, чем даже маленькими аэропланами (11334).</w:t>
      </w:r>
    </w:p>
    <w:p w14:paraId="0852E4D5" w14:textId="77777777" w:rsidR="00B67D7C" w:rsidRPr="00DE096C" w:rsidRDefault="00B67D7C" w:rsidP="00D45A46">
      <w:pPr>
        <w:shd w:val="clear" w:color="auto" w:fill="FFFFFF"/>
        <w:jc w:val="both"/>
        <w:rPr>
          <w:bCs/>
          <w:i/>
          <w:color w:val="002060"/>
          <w:sz w:val="16"/>
          <w:szCs w:val="16"/>
        </w:rPr>
      </w:pPr>
    </w:p>
    <w:p w14:paraId="4EDE2049" w14:textId="4CFD151D" w:rsidR="00B67D7C" w:rsidRPr="00DE096C" w:rsidRDefault="00B67D7C" w:rsidP="00D45A46">
      <w:pPr>
        <w:jc w:val="both"/>
        <w:rPr>
          <w:bCs/>
          <w:color w:val="002060"/>
          <w:sz w:val="16"/>
          <w:szCs w:val="16"/>
        </w:rPr>
      </w:pPr>
      <w:r w:rsidRPr="00DE096C">
        <w:rPr>
          <w:bCs/>
          <w:color w:val="002060"/>
          <w:sz w:val="16"/>
          <w:szCs w:val="16"/>
        </w:rPr>
        <w:t xml:space="preserve">4 </w:t>
      </w:r>
      <w:r w:rsidR="00ED7894" w:rsidRPr="00DE096C">
        <w:rPr>
          <w:bCs/>
          <w:color w:val="002060"/>
          <w:sz w:val="16"/>
          <w:szCs w:val="16"/>
        </w:rPr>
        <w:t xml:space="preserve">(17) </w:t>
      </w:r>
      <w:r w:rsidRPr="00DE096C">
        <w:rPr>
          <w:bCs/>
          <w:color w:val="002060"/>
          <w:sz w:val="16"/>
          <w:szCs w:val="16"/>
        </w:rPr>
        <w:t>июня 1914 года самолёт № 128 с 10 пассажирами борту поднялся в воздух и начал медленно кругами набирать высоту</w:t>
      </w:r>
      <w:r w:rsidR="00ED7894" w:rsidRPr="00DE096C">
        <w:rPr>
          <w:bCs/>
          <w:color w:val="002060"/>
          <w:sz w:val="16"/>
          <w:szCs w:val="16"/>
        </w:rPr>
        <w:t>.</w:t>
      </w:r>
      <w:r w:rsidRPr="00DE096C">
        <w:rPr>
          <w:bCs/>
          <w:color w:val="002060"/>
          <w:sz w:val="16"/>
          <w:szCs w:val="16"/>
        </w:rPr>
        <w:t xml:space="preserve"> Среди этих десяти было пять "думцев". Вид Петербурга с высоты даже в 1000 метров стал достаточно убедительным аргументом "за", но Сикорский продолжал набирать высоту.</w:t>
      </w:r>
    </w:p>
    <w:p w14:paraId="3A895D8C" w14:textId="43D8F8B8" w:rsidR="00B67D7C" w:rsidRPr="00DE096C" w:rsidRDefault="00B67D7C" w:rsidP="00D45A46">
      <w:pPr>
        <w:jc w:val="both"/>
        <w:rPr>
          <w:bCs/>
          <w:color w:val="002060"/>
          <w:sz w:val="16"/>
          <w:szCs w:val="16"/>
        </w:rPr>
      </w:pPr>
      <w:r w:rsidRPr="00DE096C">
        <w:rPr>
          <w:bCs/>
          <w:color w:val="002060"/>
          <w:sz w:val="16"/>
          <w:szCs w:val="16"/>
        </w:rPr>
        <w:t xml:space="preserve">Когда альтиметр показал 2000 метров, у государственных мужей исчезли последние сомнения, и все дружно начали "проситься" на землю. Второй акт был исполнен наследующий день, а точнее в ту же ночь - в </w:t>
      </w:r>
      <w:r w:rsidR="00ED7894" w:rsidRPr="00DE096C">
        <w:rPr>
          <w:bCs/>
          <w:color w:val="002060"/>
          <w:sz w:val="16"/>
          <w:szCs w:val="16"/>
        </w:rPr>
        <w:t>1</w:t>
      </w:r>
      <w:r w:rsidRPr="00DE096C">
        <w:rPr>
          <w:bCs/>
          <w:color w:val="002060"/>
          <w:sz w:val="16"/>
          <w:szCs w:val="16"/>
        </w:rPr>
        <w:t xml:space="preserve"> час 55 минут 5 июня в условиях "белой ночи" 128-й ушёл с Комендантского аэродрома в перелёт по маршруту Царское Село-Пулково-Охта-Коменлантский аэродром-Стрельня-Красное Село-Царское Село. На борту самолёта находились сам конструктор, имеющие практику пилотирования "Муромца" лётчики Янковский, Алехнович, Лавров и бессменный механик почти всех самолётов Сикорского Панасюк. Полёт продолжался 6.5 часов, и в его ходе пилоты сменяли друг друга за штурвалом. За это время было пройдено 650 вёрст (без малого 700 км), что явилось очередным мировым рекордом. </w:t>
      </w:r>
    </w:p>
    <w:p w14:paraId="42D69335" w14:textId="77777777" w:rsidR="00B67D7C" w:rsidRPr="00DE096C" w:rsidRDefault="00B67D7C" w:rsidP="00D45A46">
      <w:pPr>
        <w:jc w:val="both"/>
        <w:rPr>
          <w:bCs/>
          <w:color w:val="002060"/>
          <w:sz w:val="16"/>
          <w:szCs w:val="16"/>
        </w:rPr>
      </w:pPr>
      <w:r w:rsidRPr="00DE096C">
        <w:rPr>
          <w:bCs/>
          <w:color w:val="002060"/>
          <w:sz w:val="16"/>
          <w:szCs w:val="16"/>
        </w:rPr>
        <w:t>Дабы закрепить успех, Сикорский решил лететь в Одессу. Военный министр Сухомлинов поддержал его в этом начинании, направив телеграммы в Виленский, Киевский и Одесский военные округа о "всемерном содействии" экипажу 128-го. Вторыми пилотами Игорь Иванович захватил с собой военного лётчика штабс-капитана Х.Ф. Пруссиса и лейтенанта Г.И. Лаврова (ради этих перелётов прекратившего испытания в Либаве переделанного в гидроаэроплан 107-ого). Четвёртым членом экипажа был механик B.C. Панасюк. В час ночи 17 июня тяжело гружёный "Муромец" (общая нагрузка - 1610 кг), вылетел, держа курс вдоль железной дороги Петербург-Витебск. На борту, помимо четырёх человек, находилось 940 кг бензина, 260 кг масла и 150 кг различных запасных частей (инструменты, крепёж, винт, шины для колёс, шланги и помпы).</w:t>
      </w:r>
    </w:p>
    <w:p w14:paraId="3CDA3FCE" w14:textId="77777777" w:rsidR="00B67D7C" w:rsidRPr="00DE096C" w:rsidRDefault="00B67D7C" w:rsidP="00D45A46">
      <w:pPr>
        <w:jc w:val="both"/>
        <w:rPr>
          <w:bCs/>
          <w:color w:val="002060"/>
          <w:sz w:val="16"/>
          <w:szCs w:val="16"/>
        </w:rPr>
      </w:pPr>
      <w:r w:rsidRPr="00DE096C">
        <w:rPr>
          <w:bCs/>
          <w:color w:val="002060"/>
          <w:sz w:val="16"/>
          <w:szCs w:val="16"/>
        </w:rPr>
        <w:t>На подготовку отводилась неделя. В этой спешке Сикорский упустил важный момент - самолёт не был оснащён оборудованием для полётов в вечернее и ночное время, хотя опыт подобных полётов уже был накоплен на "Русском Витязе". Не было ни подсветки приборов в кабине, ни прожектора для освещения земли.</w:t>
      </w:r>
    </w:p>
    <w:p w14:paraId="1BCE9CBA" w14:textId="77777777" w:rsidR="00B67D7C" w:rsidRPr="00DE096C" w:rsidRDefault="00B67D7C" w:rsidP="00D45A46">
      <w:pPr>
        <w:jc w:val="both"/>
        <w:rPr>
          <w:bCs/>
          <w:color w:val="002060"/>
          <w:sz w:val="16"/>
          <w:szCs w:val="16"/>
        </w:rPr>
      </w:pPr>
      <w:r w:rsidRPr="00DE096C">
        <w:rPr>
          <w:bCs/>
          <w:color w:val="002060"/>
          <w:sz w:val="16"/>
          <w:szCs w:val="16"/>
        </w:rPr>
        <w:t>Над Витебском Сикорский сбросил пенал с запиской и деньгами, с просьбой послать телеграммы к нему домой в Киев и на завод. Пенал прикрепили к красному вымпелу и выбросили за борт. Этим способом пользовались несколько раз по всему маршруту перелёта. Все телеграммы были получены адресатами! Пробыв в воздухе более семи часов, "Муромец" сел под Оршей на поле у Днепра. Требовалась заправка самолёта. Сикорский торопился: он мог не успеть долететь до наступления темноты даже до Киева (не менее шести часов пути), а не то что до Одессы. Ведь в то врймя аэродромы этих пунктов назначения не были оборудованы для ночных посадок.</w:t>
      </w:r>
    </w:p>
    <w:p w14:paraId="605F4BB5" w14:textId="77777777" w:rsidR="00B67D7C" w:rsidRPr="00DE096C" w:rsidRDefault="00B67D7C" w:rsidP="00D45A46">
      <w:pPr>
        <w:jc w:val="both"/>
        <w:rPr>
          <w:bCs/>
          <w:color w:val="002060"/>
          <w:sz w:val="16"/>
          <w:szCs w:val="16"/>
        </w:rPr>
      </w:pPr>
      <w:r w:rsidRPr="00DE096C">
        <w:rPr>
          <w:bCs/>
          <w:color w:val="002060"/>
          <w:sz w:val="16"/>
          <w:szCs w:val="16"/>
        </w:rPr>
        <w:t>С помощью солдат и добровольцев из местных жителей начали перекачку бензина из приготовленных канистр в баки самолёта. Лавров и Сикорский убыли на время заправки самолёта в город и, вернувшись через пару часов, обнаружили, что дело ещё не закончено. Малая производительность помп сдерживала процесс заправки. При полётах в Петербурге на это мало кто обращал внимания, ибо времени на подготовку было сколько угодно.</w:t>
      </w:r>
    </w:p>
    <w:p w14:paraId="42E84B2D" w14:textId="77777777" w:rsidR="00B67D7C" w:rsidRPr="00DE096C" w:rsidRDefault="00B67D7C" w:rsidP="00D45A46">
      <w:pPr>
        <w:jc w:val="both"/>
        <w:rPr>
          <w:bCs/>
          <w:color w:val="002060"/>
          <w:sz w:val="16"/>
          <w:szCs w:val="16"/>
        </w:rPr>
      </w:pPr>
      <w:r w:rsidRPr="00DE096C">
        <w:rPr>
          <w:bCs/>
          <w:color w:val="002060"/>
          <w:sz w:val="16"/>
          <w:szCs w:val="16"/>
        </w:rPr>
        <w:t>Неудачная затянувшаяся дозаправка в Орше впервые показала, что на совершенно новый уровень выходят проблемы с аэродромным обслуживанием и специальным наземным оборудованием. Сложись такая ситуация в боевых условиях - и может быть сорвано выполнение боевой задачи.</w:t>
      </w:r>
    </w:p>
    <w:p w14:paraId="6498D0D1" w14:textId="77777777" w:rsidR="00B67D7C" w:rsidRPr="00DE096C" w:rsidRDefault="00B67D7C" w:rsidP="00D45A46">
      <w:pPr>
        <w:jc w:val="both"/>
        <w:rPr>
          <w:bCs/>
          <w:color w:val="002060"/>
          <w:sz w:val="16"/>
          <w:szCs w:val="16"/>
        </w:rPr>
      </w:pPr>
      <w:r w:rsidRPr="00DE096C">
        <w:rPr>
          <w:bCs/>
          <w:color w:val="002060"/>
          <w:sz w:val="16"/>
          <w:szCs w:val="16"/>
        </w:rPr>
        <w:t>Заправка продлилась более пяти часов, и взлететь смогли только в два часа пополудни. Еше при посадке была выбрана не слишком удачная площадка, которая с одной стороны была закрыта рощей, а с другой - речным обрывом. Тяжёлая машина с трудом взлетела, пролетев над Днепром и пройдя над Оршей, едва не задев крыши домов. Всё обошлось, но проблемы только начались. Аэроплан с трудом набирал высоту, то и дело проваливаясь в воздушные ямы. На высоте 60 метров пришлось сбрасывать канистры с водой и даже с запасом бензина! От сильной болтанки на выходе из карбюратора лопнул бензинопровод, топливо полилось на раскалённые патрубки мотора. Сикорский сразу же выключил мотор, но пожар уже начался: пламя того и гляди перекинется на стойку и крыло.</w:t>
      </w:r>
    </w:p>
    <w:p w14:paraId="558FC91A" w14:textId="77777777" w:rsidR="00B67D7C" w:rsidRPr="00DE096C" w:rsidRDefault="00B67D7C" w:rsidP="00D45A46">
      <w:pPr>
        <w:jc w:val="both"/>
        <w:rPr>
          <w:bCs/>
          <w:color w:val="002060"/>
          <w:sz w:val="16"/>
          <w:szCs w:val="16"/>
        </w:rPr>
      </w:pPr>
      <w:r w:rsidRPr="00DE096C">
        <w:rPr>
          <w:bCs/>
          <w:color w:val="002060"/>
          <w:sz w:val="16"/>
          <w:szCs w:val="16"/>
        </w:rPr>
        <w:t>Панасюк, несмотря на сильную качку самолёта, с огнетушителем моментально выскочил на крыло, забыв о том, что можно упасть вниз. За ним на крыло вылез Лавров. Ему пришлось в первую очередь тушить механика, так как на том загорелась одежда, Панасюк облился бензином, когда пытался заткнуть бензинопровод. Лавров перекрыл доступ топлива и вместе с Панасюком куртками потушил пожар в двигателе. Сикорский, подыскав подходящее место, посадил раненую машину. Повреждения были незначительными (обгорело крыло и почернели стойки). Панасюк за час выполнил ремонт, но лететь дальше было уже слишком поздно.</w:t>
      </w:r>
    </w:p>
    <w:p w14:paraId="0822C8DC" w14:textId="77777777" w:rsidR="00B67D7C" w:rsidRPr="00DE096C" w:rsidRDefault="00B67D7C" w:rsidP="00D45A46">
      <w:pPr>
        <w:jc w:val="both"/>
        <w:rPr>
          <w:bCs/>
          <w:color w:val="002060"/>
          <w:sz w:val="16"/>
          <w:szCs w:val="16"/>
        </w:rPr>
      </w:pPr>
      <w:r w:rsidRPr="00DE096C">
        <w:rPr>
          <w:bCs/>
          <w:color w:val="002060"/>
          <w:sz w:val="16"/>
          <w:szCs w:val="16"/>
        </w:rPr>
        <w:t>Решили лететь завтра. Рано утром отправились в дальнейший путь. Почти весь полёт лил сильный дождь, шли в условиях плохой видимости. Лейтенант Лавров в своём отчёте писал: "Шли 3 часа 20 минут исключительно по счислению. Дождь два часа лил как из ведра, временами не было видно крыльев...". Когда "Муромец" вынырнул из облаков на высоте 350 метров, перед ними открылась панорама Киева с хорошо узнаваемым цепным мостом через Днепр, крутым Андреевским спуском, домиками Подола и яркими куполами Киево-Печерской лавры. Наконец машина приземлилась на Куренев- ском аэродроме. Экипажу был устроен пышный восторженный приём (12041).</w:t>
      </w:r>
    </w:p>
    <w:p w14:paraId="39804E4E" w14:textId="01FA2622" w:rsidR="00B67D7C" w:rsidRPr="00DE096C" w:rsidRDefault="00B67D7C" w:rsidP="00D45A46">
      <w:pPr>
        <w:jc w:val="both"/>
        <w:rPr>
          <w:bCs/>
          <w:color w:val="002060"/>
          <w:sz w:val="16"/>
          <w:szCs w:val="16"/>
        </w:rPr>
      </w:pPr>
    </w:p>
    <w:p w14:paraId="493B07DA" w14:textId="5EF276ED" w:rsidR="005C3561" w:rsidRPr="00DE096C" w:rsidRDefault="005C3561" w:rsidP="00D45A46">
      <w:pPr>
        <w:jc w:val="both"/>
        <w:rPr>
          <w:bCs/>
          <w:color w:val="002060"/>
          <w:sz w:val="16"/>
          <w:szCs w:val="16"/>
        </w:rPr>
      </w:pPr>
      <w:r w:rsidRPr="00DE096C">
        <w:rPr>
          <w:bCs/>
          <w:color w:val="002060"/>
          <w:sz w:val="16"/>
          <w:szCs w:val="16"/>
          <w:lang w:bidi="ru-RU"/>
        </w:rPr>
        <w:t>4 (17) июня 1914 г. И.И. Сикорский поднял на втором экземпляре «ИМ», серийный №128 (который отличался от первого опытного образца уменьшенными размерами и наличием бо</w:t>
      </w:r>
      <w:r w:rsidRPr="00DE096C">
        <w:rPr>
          <w:bCs/>
          <w:color w:val="002060"/>
          <w:sz w:val="16"/>
          <w:szCs w:val="16"/>
          <w:lang w:bidi="ru-RU"/>
        </w:rPr>
        <w:softHyphen/>
        <w:t>лее мощной силовой установки, состоящей из 4-х двигателей «Аргус» 140 л.с.) 10 пассажиров на высоту 2000 м. В период 11—17 июня конструктор совершил на этом аппарате перелет из Пе</w:t>
      </w:r>
      <w:r w:rsidRPr="00DE096C">
        <w:rPr>
          <w:bCs/>
          <w:color w:val="002060"/>
          <w:sz w:val="16"/>
          <w:szCs w:val="16"/>
          <w:lang w:bidi="ru-RU"/>
        </w:rPr>
        <w:softHyphen/>
        <w:t>тербурга в Киев и обратно. Помимо него на борту находились Г.И. Лавров, Х.Ф. Пруссис и механик В.С. Панасюк. В ознаменование перелета воздушный корабль получил наи</w:t>
      </w:r>
      <w:r w:rsidRPr="00DE096C">
        <w:rPr>
          <w:bCs/>
          <w:color w:val="002060"/>
          <w:sz w:val="16"/>
          <w:szCs w:val="16"/>
          <w:lang w:bidi="ru-RU"/>
        </w:rPr>
        <w:softHyphen/>
        <w:t>менование «Киевский». Позднее он был приобретен Гатчинской авиашколой и ис</w:t>
      </w:r>
      <w:r w:rsidRPr="00DE096C">
        <w:rPr>
          <w:bCs/>
          <w:color w:val="002060"/>
          <w:sz w:val="16"/>
          <w:szCs w:val="16"/>
          <w:lang w:bidi="ru-RU"/>
        </w:rPr>
        <w:softHyphen/>
        <w:t>пользовался как учебный аппарат для под</w:t>
      </w:r>
      <w:r w:rsidRPr="00DE096C">
        <w:rPr>
          <w:bCs/>
          <w:color w:val="002060"/>
          <w:sz w:val="16"/>
          <w:szCs w:val="16"/>
          <w:lang w:bidi="ru-RU"/>
        </w:rPr>
        <w:softHyphen/>
        <w:t>готовки экипажей воздушных кораблей (23374).</w:t>
      </w:r>
    </w:p>
    <w:p w14:paraId="78A922B0" w14:textId="77777777" w:rsidR="005C3561" w:rsidRPr="00DE096C" w:rsidRDefault="005C3561" w:rsidP="00D45A46">
      <w:pPr>
        <w:jc w:val="both"/>
        <w:rPr>
          <w:bCs/>
          <w:color w:val="002060"/>
          <w:sz w:val="16"/>
          <w:szCs w:val="16"/>
        </w:rPr>
      </w:pPr>
    </w:p>
    <w:p w14:paraId="0BA4BABE" w14:textId="7CDC4543" w:rsidR="005C3561" w:rsidRPr="00DE096C" w:rsidRDefault="005C3561" w:rsidP="00D45A46">
      <w:pPr>
        <w:jc w:val="both"/>
        <w:rPr>
          <w:bCs/>
          <w:color w:val="002060"/>
          <w:sz w:val="16"/>
          <w:szCs w:val="16"/>
        </w:rPr>
      </w:pPr>
      <w:r w:rsidRPr="00DE096C">
        <w:rPr>
          <w:bCs/>
          <w:color w:val="002060"/>
          <w:sz w:val="16"/>
          <w:szCs w:val="16"/>
        </w:rPr>
        <w:t>4 (17) июня 1914 г. И. И. Сикорский поднял (второй) «Муромец», имея на борту 10 человек. Среди пассажиров было пять членов Государственной думы, в том числе член коми</w:t>
      </w:r>
      <w:r w:rsidRPr="00DE096C">
        <w:rPr>
          <w:bCs/>
          <w:color w:val="002060"/>
          <w:sz w:val="16"/>
          <w:szCs w:val="16"/>
        </w:rPr>
        <w:softHyphen/>
        <w:t>тета Думы по военному снабжению. Постепенно набрали 2000 м, и высокие пассажиры признали, что эта высота достаточна для тяжелого бомбардировщика.</w:t>
      </w:r>
    </w:p>
    <w:p w14:paraId="499CC7CA" w14:textId="77777777" w:rsidR="005C3561" w:rsidRPr="00DE096C" w:rsidRDefault="005C3561" w:rsidP="00D45A46">
      <w:pPr>
        <w:jc w:val="both"/>
        <w:rPr>
          <w:bCs/>
          <w:color w:val="002060"/>
          <w:sz w:val="16"/>
          <w:szCs w:val="16"/>
        </w:rPr>
      </w:pPr>
      <w:r w:rsidRPr="00DE096C">
        <w:rPr>
          <w:bCs/>
          <w:color w:val="002060"/>
          <w:sz w:val="16"/>
          <w:szCs w:val="16"/>
        </w:rPr>
        <w:lastRenderedPageBreak/>
        <w:t>Полет, который опять стал мировым достижением, убе</w:t>
      </w:r>
      <w:r w:rsidRPr="00DE096C">
        <w:rPr>
          <w:bCs/>
          <w:color w:val="002060"/>
          <w:sz w:val="16"/>
          <w:szCs w:val="16"/>
        </w:rPr>
        <w:softHyphen/>
        <w:t>дил самых ярых скептиков в больших резервах «Ильи Муромца». Тем не менее Сикорский понимал, что окон</w:t>
      </w:r>
      <w:r w:rsidRPr="00DE096C">
        <w:rPr>
          <w:bCs/>
          <w:color w:val="002060"/>
          <w:sz w:val="16"/>
          <w:szCs w:val="16"/>
        </w:rPr>
        <w:softHyphen/>
        <w:t>чательно убедить всех в необыкновенных возможно</w:t>
      </w:r>
      <w:r w:rsidRPr="00DE096C">
        <w:rPr>
          <w:bCs/>
          <w:color w:val="002060"/>
          <w:sz w:val="16"/>
          <w:szCs w:val="16"/>
        </w:rPr>
        <w:softHyphen/>
        <w:t>стях машины может только длительный перелет. Прикидочные расчеты позволяли выбрать маршрут Пе</w:t>
      </w:r>
      <w:r w:rsidRPr="00DE096C">
        <w:rPr>
          <w:bCs/>
          <w:color w:val="002060"/>
          <w:sz w:val="16"/>
          <w:szCs w:val="16"/>
        </w:rPr>
        <w:softHyphen/>
        <w:t>тербург — Киев с одной посадкой для дозаправки в Орше . При благоприятных условиях такой перелет можно осуществить за один день. Это было достаточно серьезным испытанием, поэтому нужно было тщательно выверить километровый расход топлива и масла (24177).</w:t>
      </w:r>
    </w:p>
    <w:p w14:paraId="1EA97623" w14:textId="77777777" w:rsidR="005C3561" w:rsidRPr="00DE096C" w:rsidRDefault="005C3561" w:rsidP="00D45A46">
      <w:pPr>
        <w:jc w:val="both"/>
        <w:rPr>
          <w:bCs/>
          <w:color w:val="002060"/>
          <w:sz w:val="16"/>
          <w:szCs w:val="16"/>
          <w:lang w:bidi="ru-RU"/>
        </w:rPr>
      </w:pPr>
    </w:p>
    <w:p w14:paraId="7495A06B" w14:textId="5F3DA830" w:rsidR="0013152A" w:rsidRPr="00DE096C" w:rsidRDefault="0013152A" w:rsidP="00D45A46">
      <w:pPr>
        <w:jc w:val="both"/>
        <w:rPr>
          <w:bCs/>
          <w:i/>
          <w:iCs/>
          <w:color w:val="002060"/>
          <w:sz w:val="16"/>
          <w:szCs w:val="16"/>
        </w:rPr>
      </w:pPr>
      <w:r w:rsidRPr="00DE096C">
        <w:rPr>
          <w:bCs/>
          <w:i/>
          <w:iCs/>
          <w:color w:val="002060"/>
          <w:sz w:val="16"/>
          <w:szCs w:val="16"/>
        </w:rPr>
        <w:t>Авиация и воздухоплавание Англии:</w:t>
      </w:r>
    </w:p>
    <w:p w14:paraId="233C55C9" w14:textId="77777777" w:rsidR="0013152A" w:rsidRPr="00DE096C" w:rsidRDefault="0013152A" w:rsidP="00D45A46">
      <w:pPr>
        <w:jc w:val="both"/>
        <w:rPr>
          <w:bCs/>
          <w:i/>
          <w:iCs/>
          <w:color w:val="002060"/>
          <w:sz w:val="16"/>
          <w:szCs w:val="16"/>
        </w:rPr>
      </w:pPr>
    </w:p>
    <w:p w14:paraId="228770C1" w14:textId="77777777" w:rsidR="0013152A" w:rsidRPr="00DE096C" w:rsidRDefault="0013152A" w:rsidP="00D45A46">
      <w:pPr>
        <w:pStyle w:val="book"/>
        <w:spacing w:before="0" w:beforeAutospacing="0" w:after="0" w:afterAutospacing="0"/>
        <w:jc w:val="both"/>
        <w:rPr>
          <w:bCs/>
          <w:color w:val="002060"/>
          <w:sz w:val="16"/>
          <w:szCs w:val="16"/>
          <w:shd w:val="clear" w:color="auto" w:fill="FFFFFF"/>
        </w:rPr>
      </w:pPr>
      <w:r w:rsidRPr="00DE096C">
        <w:rPr>
          <w:bCs/>
          <w:color w:val="002060"/>
          <w:sz w:val="16"/>
          <w:szCs w:val="16"/>
        </w:rPr>
        <w:t>4 (17) июня 1914 г. завода RAF закончили новый одноместный «скаут» S.E.4 Генри Фолланда с ротативным мотором Гном «Моносупап 14-цилиндровый» мощностью 160 л. с. и четырехлопастным воздушным винтом. В тот же день Норман Спратт выполнил первый полет. Самолет показал очень высокую скорость — 217 км/ч, но показался заказчику слишком сложным, хотя Фолланд еще до облета отказался от тех усовершенствований, которые явно опережали свое время, например от закрытой кабины в виде прозрачного каплевидного колпака. Но фюзеляж сохранил прямоугольную силовую ферму с обтянутой полотном легкой опалубкой на стрингерах, которая придавала ему округлое сечение, а элероны — возможность «зависать», отклоняться одновременно вниз для увеличения подъемной силы, хотя заказчик считал это излишеством (22792).</w:t>
      </w:r>
    </w:p>
    <w:p w14:paraId="40FD4FF7" w14:textId="77777777" w:rsidR="0013152A" w:rsidRPr="00DE096C" w:rsidRDefault="0013152A" w:rsidP="00D45A46">
      <w:pPr>
        <w:pStyle w:val="book"/>
        <w:spacing w:before="0" w:beforeAutospacing="0" w:after="0" w:afterAutospacing="0"/>
        <w:jc w:val="both"/>
        <w:rPr>
          <w:bCs/>
          <w:color w:val="002060"/>
          <w:sz w:val="16"/>
          <w:szCs w:val="16"/>
          <w:shd w:val="clear" w:color="auto" w:fill="FFFFFF"/>
        </w:rPr>
      </w:pPr>
    </w:p>
    <w:p w14:paraId="0A48CA86"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258E3566" w14:textId="77777777" w:rsidR="00B67D7C" w:rsidRPr="00DE096C" w:rsidRDefault="00B67D7C" w:rsidP="00D45A46">
      <w:pPr>
        <w:shd w:val="clear" w:color="auto" w:fill="FFFFFF"/>
        <w:jc w:val="both"/>
        <w:rPr>
          <w:bCs/>
          <w:i/>
          <w:color w:val="002060"/>
          <w:sz w:val="16"/>
          <w:szCs w:val="16"/>
        </w:rPr>
      </w:pPr>
    </w:p>
    <w:p w14:paraId="5BA33ECE" w14:textId="09300C07" w:rsidR="00263E55" w:rsidRPr="00DE096C" w:rsidRDefault="00263E55" w:rsidP="00D45A46">
      <w:pPr>
        <w:jc w:val="both"/>
        <w:rPr>
          <w:bCs/>
          <w:color w:val="002060"/>
          <w:sz w:val="16"/>
          <w:szCs w:val="16"/>
        </w:rPr>
      </w:pPr>
      <w:r w:rsidRPr="00DE096C">
        <w:rPr>
          <w:bCs/>
          <w:color w:val="002060"/>
          <w:sz w:val="16"/>
          <w:szCs w:val="16"/>
        </w:rPr>
        <w:t xml:space="preserve">5 </w:t>
      </w:r>
      <w:r w:rsidR="002922CF" w:rsidRPr="00DE096C">
        <w:rPr>
          <w:bCs/>
          <w:color w:val="002060"/>
          <w:sz w:val="16"/>
          <w:szCs w:val="16"/>
        </w:rPr>
        <w:t xml:space="preserve">(18) </w:t>
      </w:r>
      <w:r w:rsidRPr="00DE096C">
        <w:rPr>
          <w:bCs/>
          <w:color w:val="002060"/>
          <w:sz w:val="16"/>
          <w:szCs w:val="16"/>
        </w:rPr>
        <w:t xml:space="preserve">июня в 1914 году </w:t>
      </w:r>
      <w:r w:rsidR="002922CF" w:rsidRPr="00DE096C">
        <w:rPr>
          <w:bCs/>
          <w:color w:val="002060"/>
          <w:sz w:val="16"/>
          <w:szCs w:val="16"/>
        </w:rPr>
        <w:t xml:space="preserve">установлен </w:t>
      </w:r>
      <w:r w:rsidRPr="00DE096C">
        <w:rPr>
          <w:bCs/>
          <w:color w:val="002060"/>
          <w:sz w:val="16"/>
          <w:szCs w:val="16"/>
        </w:rPr>
        <w:t>мировой рекорд продолжительности полета на "Илье Муромце" - 6 ч 33 мин. Мировой рекорд продолжительности полета на "Илье Муромце" - 6 ч 33 мин. Самолет стартовал с Корпусного аэродрома, имея на борту 5 человек. Самолет пилотировали по очереди Сикорский, Алехнович, Янковский, Лавров. Полет проходил по кругу Царское Село - Пулково - Охта - Комендантский аэродром - Стрельня - Красное Село - Царское Село (14913).</w:t>
      </w:r>
    </w:p>
    <w:p w14:paraId="20AD39E2" w14:textId="77777777" w:rsidR="00263E55" w:rsidRPr="00DE096C" w:rsidRDefault="00263E55" w:rsidP="00D45A46">
      <w:pPr>
        <w:jc w:val="both"/>
        <w:rPr>
          <w:bCs/>
          <w:color w:val="002060"/>
          <w:sz w:val="16"/>
          <w:szCs w:val="16"/>
        </w:rPr>
      </w:pPr>
    </w:p>
    <w:p w14:paraId="30924CCC" w14:textId="77777777" w:rsidR="00B67D7C" w:rsidRPr="00DE096C" w:rsidRDefault="00B67D7C" w:rsidP="00D45A46">
      <w:pPr>
        <w:jc w:val="both"/>
        <w:rPr>
          <w:bCs/>
          <w:color w:val="002060"/>
          <w:sz w:val="16"/>
          <w:szCs w:val="16"/>
        </w:rPr>
      </w:pPr>
      <w:r w:rsidRPr="00DE096C">
        <w:rPr>
          <w:bCs/>
          <w:color w:val="002060"/>
          <w:sz w:val="16"/>
          <w:szCs w:val="16"/>
        </w:rPr>
        <w:t>5 (18) июня 1914 года на самолете «Илья Муромец» Б был установлен — мировой рекорд продолжительности по</w:t>
      </w:r>
      <w:r w:rsidRPr="00DE096C">
        <w:rPr>
          <w:bCs/>
          <w:color w:val="002060"/>
          <w:sz w:val="16"/>
          <w:szCs w:val="16"/>
        </w:rPr>
        <w:softHyphen/>
        <w:t>лета с 6 человеками на борту — 6 часов 33 минуты (318).</w:t>
      </w:r>
    </w:p>
    <w:p w14:paraId="779902B3" w14:textId="77777777" w:rsidR="00B67D7C" w:rsidRPr="00DE096C" w:rsidRDefault="00B67D7C" w:rsidP="00D45A46">
      <w:pPr>
        <w:jc w:val="both"/>
        <w:rPr>
          <w:bCs/>
          <w:color w:val="002060"/>
          <w:sz w:val="16"/>
          <w:szCs w:val="16"/>
        </w:rPr>
      </w:pPr>
    </w:p>
    <w:p w14:paraId="44099001" w14:textId="77777777" w:rsidR="00B67D7C" w:rsidRPr="00DE096C" w:rsidRDefault="00B67D7C" w:rsidP="00D45A46">
      <w:pPr>
        <w:jc w:val="both"/>
        <w:rPr>
          <w:bCs/>
          <w:color w:val="002060"/>
          <w:sz w:val="16"/>
          <w:szCs w:val="16"/>
        </w:rPr>
      </w:pPr>
      <w:r w:rsidRPr="00DE096C">
        <w:rPr>
          <w:bCs/>
          <w:color w:val="002060"/>
          <w:sz w:val="16"/>
          <w:szCs w:val="16"/>
        </w:rPr>
        <w:t>5 (18) июня 1914 г. в 1 ч 55 мин с Корпусного аэродрома стартовал "Илья Муромец", имея на борту пять человек. Самолет пилотировали по очереди Сикорский, Алехнович, Янковский, Лавров. За моторами следил Панасюк. Полет проходил по кругу Царское Село - Пулково - Охта - Комендантский аэродром - Стрельня - Красное Село - Царское Село и продол жался 6 ч 33 мин. Было пройдено 650 верст и установлен мировой рекорд продолжительности полета. Расчетные данные подтвердились (11294).</w:t>
      </w:r>
    </w:p>
    <w:p w14:paraId="3DE63D52" w14:textId="77777777" w:rsidR="00B67D7C" w:rsidRPr="00DE096C" w:rsidRDefault="00B67D7C" w:rsidP="00D45A46">
      <w:pPr>
        <w:jc w:val="both"/>
        <w:rPr>
          <w:bCs/>
          <w:color w:val="002060"/>
          <w:sz w:val="16"/>
          <w:szCs w:val="16"/>
        </w:rPr>
      </w:pPr>
    </w:p>
    <w:p w14:paraId="38EFB9D3" w14:textId="2FADBBA0" w:rsidR="005C3561" w:rsidRPr="00DE096C" w:rsidRDefault="005C3561" w:rsidP="00D45A46">
      <w:pPr>
        <w:jc w:val="both"/>
        <w:rPr>
          <w:bCs/>
          <w:color w:val="002060"/>
          <w:sz w:val="16"/>
          <w:szCs w:val="16"/>
        </w:rPr>
      </w:pPr>
      <w:r w:rsidRPr="00DE096C">
        <w:rPr>
          <w:bCs/>
          <w:color w:val="002060"/>
          <w:sz w:val="16"/>
          <w:szCs w:val="16"/>
        </w:rPr>
        <w:t>5 (18) июня 1914 г. в 1 ч 55 мин с Корпусного аэродрома стартовал «Илья Муромец», имея на борту пять человек. Самолет пилотировали по очереди Сикорский, Алехнович, Янковский, Лавров. За моторами следил Панасюк. Полет проходил по кругу Царское Село — Пулково — Охта — Комендантский аэродром — Стрельня — Красное Село — Царское Село и продолжался 6 ч 33 мин. Было пройдено 650 верст и установлен мировой рекорд продолжительности полета. Расчетные данные подтвердились. На 16 июня был на</w:t>
      </w:r>
      <w:r w:rsidRPr="00DE096C">
        <w:rPr>
          <w:bCs/>
          <w:color w:val="002060"/>
          <w:sz w:val="16"/>
          <w:szCs w:val="16"/>
        </w:rPr>
        <w:softHyphen/>
        <w:t>значен вылет в Киев. По некоторым данным, маршрут планировался до Одессы или Севастополя, однако по ряду причин, среди которых была и начавша</w:t>
      </w:r>
      <w:r w:rsidRPr="00DE096C">
        <w:rPr>
          <w:bCs/>
          <w:color w:val="002060"/>
          <w:sz w:val="16"/>
          <w:szCs w:val="16"/>
        </w:rPr>
        <w:softHyphen/>
        <w:t>яся мировая война, пройти по нему не удалось (24177).</w:t>
      </w:r>
    </w:p>
    <w:p w14:paraId="5FB899DC" w14:textId="77777777" w:rsidR="005C3561" w:rsidRPr="00DE096C" w:rsidRDefault="005C3561" w:rsidP="00D45A46">
      <w:pPr>
        <w:jc w:val="both"/>
        <w:rPr>
          <w:bCs/>
          <w:color w:val="002060"/>
          <w:sz w:val="16"/>
          <w:szCs w:val="16"/>
          <w:lang w:bidi="ru-RU"/>
        </w:rPr>
      </w:pPr>
    </w:p>
    <w:p w14:paraId="1BF74D6C" w14:textId="77777777" w:rsidR="00F3624E" w:rsidRPr="00DE096C" w:rsidRDefault="00F3624E" w:rsidP="00D45A46">
      <w:pPr>
        <w:jc w:val="both"/>
        <w:rPr>
          <w:bCs/>
          <w:color w:val="002060"/>
          <w:sz w:val="16"/>
          <w:szCs w:val="16"/>
        </w:rPr>
      </w:pPr>
      <w:r w:rsidRPr="00DE096C">
        <w:rPr>
          <w:bCs/>
          <w:color w:val="002060"/>
          <w:sz w:val="16"/>
          <w:szCs w:val="16"/>
        </w:rPr>
        <w:t>5 (18) июня 1914 г. «Ильей Муромцем» установлен новый мировой рекорд продолжительности с шестью пассажирами: «Илья Муромец» продержался в воздухе 6 часов 33 минуты. Общий вес полезного груза — запас горючего материала и пассажиров — 96 пудов. «Ильей Муромцем» управляли по очереди: сам Сикорский, Алехнович, Янковский и лейтенант Лавров, каждый по получасу (11334).</w:t>
      </w:r>
    </w:p>
    <w:p w14:paraId="7961E3BA" w14:textId="77777777" w:rsidR="00F3624E" w:rsidRPr="00DE096C" w:rsidRDefault="00F3624E" w:rsidP="00D45A46">
      <w:pPr>
        <w:jc w:val="both"/>
        <w:rPr>
          <w:bCs/>
          <w:i/>
          <w:color w:val="002060"/>
          <w:sz w:val="16"/>
          <w:szCs w:val="16"/>
        </w:rPr>
      </w:pPr>
    </w:p>
    <w:p w14:paraId="6230E013" w14:textId="7D2A308B" w:rsidR="00B67D7C" w:rsidRPr="00DE096C" w:rsidRDefault="00B67D7C" w:rsidP="00D45A46">
      <w:pPr>
        <w:jc w:val="both"/>
        <w:rPr>
          <w:bCs/>
          <w:color w:val="002060"/>
          <w:sz w:val="16"/>
          <w:szCs w:val="16"/>
        </w:rPr>
      </w:pPr>
      <w:r w:rsidRPr="00DE096C">
        <w:rPr>
          <w:bCs/>
          <w:color w:val="002060"/>
          <w:sz w:val="16"/>
          <w:szCs w:val="16"/>
        </w:rPr>
        <w:t xml:space="preserve">5 </w:t>
      </w:r>
      <w:r w:rsidR="002922CF" w:rsidRPr="00DE096C">
        <w:rPr>
          <w:bCs/>
          <w:color w:val="002060"/>
          <w:sz w:val="16"/>
          <w:szCs w:val="16"/>
        </w:rPr>
        <w:t xml:space="preserve">(18) </w:t>
      </w:r>
      <w:r w:rsidRPr="00DE096C">
        <w:rPr>
          <w:bCs/>
          <w:color w:val="002060"/>
          <w:sz w:val="16"/>
          <w:szCs w:val="16"/>
        </w:rPr>
        <w:t xml:space="preserve">июня </w:t>
      </w:r>
      <w:r w:rsidR="002922CF" w:rsidRPr="00DE096C">
        <w:rPr>
          <w:bCs/>
          <w:color w:val="002060"/>
          <w:sz w:val="16"/>
          <w:szCs w:val="16"/>
        </w:rPr>
        <w:t xml:space="preserve">1914 г. в 1 час 55 минут </w:t>
      </w:r>
      <w:r w:rsidRPr="00DE096C">
        <w:rPr>
          <w:bCs/>
          <w:color w:val="002060"/>
          <w:sz w:val="16"/>
          <w:szCs w:val="16"/>
        </w:rPr>
        <w:t xml:space="preserve">в условиях "белой ночи" 128-й ушёл с Комендантского аэродрома в перелёт по маршруту Царское Село-Пулково-Охта- Коменлантский аэродром-Стрельня-Красное Село-Царское Село. На борту самолёта находились сам конструктор, имеющие практику пилотирования "Муромца" лётчики Янковский, Алехнович, Лавров и бессменный механик почти всех самолётов Сикорского Панасюк. Полёт продолжался 6.5 часов, и в его ходе пилоты сменяли друг друга за штурвалом. За это время было пройдено 650 вёрст (без малого 700 км), что явилось очередным мировым рекордом. </w:t>
      </w:r>
    </w:p>
    <w:p w14:paraId="08111644" w14:textId="77777777" w:rsidR="00B67D7C" w:rsidRPr="00DE096C" w:rsidRDefault="00B67D7C" w:rsidP="00D45A46">
      <w:pPr>
        <w:jc w:val="both"/>
        <w:rPr>
          <w:bCs/>
          <w:color w:val="002060"/>
          <w:sz w:val="16"/>
          <w:szCs w:val="16"/>
        </w:rPr>
      </w:pPr>
      <w:r w:rsidRPr="00DE096C">
        <w:rPr>
          <w:bCs/>
          <w:color w:val="002060"/>
          <w:sz w:val="16"/>
          <w:szCs w:val="16"/>
        </w:rPr>
        <w:t>Дабы закрепить успех, Сикорский решил лететь в Одессу. Военный министр Сухомлинов поддержал его в этом начинании, направив телеграммы в Виленский, Киевский и Одесский военные округа о "всемерном содействии" экипажу 128-го. Вторыми пилотами Игорь Иванович захватил с собой военного лётчика штабс-капитана Х.Ф. Пруссиса и лейтенанта Г.И. Лаврова (ради этих перелётов прекратившего испытания в Либаве переделанного в гидроаэроплан 107-ого). Четвёртым членом экипажа был механик B.C. Панасюк. В час ночи 17 июня тяжело гружёный "Муромец" (общая нагрузка - 1610 кг), вылетел, держа курс вдоль железной дороги Петербург-Витебск. На борту, помимо четырёх человек, находилось 940 кг бензина, 260 кг масла и 150 кг различных запасных частей (инструменты, крепёж, винт, шины для колёс, шланги и помпы).</w:t>
      </w:r>
    </w:p>
    <w:p w14:paraId="128FEE9F" w14:textId="77777777" w:rsidR="00B67D7C" w:rsidRPr="00DE096C" w:rsidRDefault="00B67D7C" w:rsidP="00D45A46">
      <w:pPr>
        <w:jc w:val="both"/>
        <w:rPr>
          <w:bCs/>
          <w:color w:val="002060"/>
          <w:sz w:val="16"/>
          <w:szCs w:val="16"/>
        </w:rPr>
      </w:pPr>
      <w:r w:rsidRPr="00DE096C">
        <w:rPr>
          <w:bCs/>
          <w:color w:val="002060"/>
          <w:sz w:val="16"/>
          <w:szCs w:val="16"/>
        </w:rPr>
        <w:t>На подготовку отводилась неделя. В этой спешке Сикорский упустил важный момент - самолёт не был оснащён оборудованием для полётов в вечернее и ночное время, хотя опыт подобных полётов уже был накоплен на "Русском Витязе". Не было ни подсветки приборов в кабине, ни прожектора для освещения земли.</w:t>
      </w:r>
    </w:p>
    <w:p w14:paraId="36C1FAEA" w14:textId="77777777" w:rsidR="00B67D7C" w:rsidRPr="00DE096C" w:rsidRDefault="00B67D7C" w:rsidP="00D45A46">
      <w:pPr>
        <w:jc w:val="both"/>
        <w:rPr>
          <w:bCs/>
          <w:color w:val="002060"/>
          <w:sz w:val="16"/>
          <w:szCs w:val="16"/>
        </w:rPr>
      </w:pPr>
      <w:r w:rsidRPr="00DE096C">
        <w:rPr>
          <w:bCs/>
          <w:color w:val="002060"/>
          <w:sz w:val="16"/>
          <w:szCs w:val="16"/>
        </w:rPr>
        <w:t>Над Витебском Сикорский сбросил пенал с запиской и деньгами, с просьбой послать телеграммы к нему домой в Киев и на завод. Пенал прикрепили к красному вымпелу и выбросили за борт. Этим способом пользовались несколько раз по всему маршруту перелёта. Все телеграммы были получены адресатами! Пробыв в воздухе более семи часов, "Муромец" сел под Оршей на поле у Днепра. Требовалась заправка самолёта. Сикорский торопился: он мог не успеть долететь до наступления темноты даже до Киева (не менее шести часов пути), а не то что до Одессы. Ведь в то врймя аэродромы этих пунктов назначения не были оборудованы для ночных посадок.</w:t>
      </w:r>
    </w:p>
    <w:p w14:paraId="4AC3C2D7" w14:textId="77777777" w:rsidR="00B67D7C" w:rsidRPr="00DE096C" w:rsidRDefault="00B67D7C" w:rsidP="00D45A46">
      <w:pPr>
        <w:jc w:val="both"/>
        <w:rPr>
          <w:bCs/>
          <w:color w:val="002060"/>
          <w:sz w:val="16"/>
          <w:szCs w:val="16"/>
        </w:rPr>
      </w:pPr>
      <w:r w:rsidRPr="00DE096C">
        <w:rPr>
          <w:bCs/>
          <w:color w:val="002060"/>
          <w:sz w:val="16"/>
          <w:szCs w:val="16"/>
        </w:rPr>
        <w:t>С помощью солдат и добровольцев из местных жителей начали перекачку бензина из приготовленных канистр в баки самолёта. Лавров и Сикорский убыли на время заправки самолёта в город и, вернувшись через пару часов, обнаружили, что дело ещё не закончено. Малая производительность помп сдерживала процесс заправки. При полётах в Петербурге на это мало кто обращал внимания, ибо времени на подготовку было сколько угодно.</w:t>
      </w:r>
    </w:p>
    <w:p w14:paraId="53169828" w14:textId="77777777" w:rsidR="00B67D7C" w:rsidRPr="00DE096C" w:rsidRDefault="00B67D7C" w:rsidP="00D45A46">
      <w:pPr>
        <w:jc w:val="both"/>
        <w:rPr>
          <w:bCs/>
          <w:color w:val="002060"/>
          <w:sz w:val="16"/>
          <w:szCs w:val="16"/>
        </w:rPr>
      </w:pPr>
      <w:r w:rsidRPr="00DE096C">
        <w:rPr>
          <w:bCs/>
          <w:color w:val="002060"/>
          <w:sz w:val="16"/>
          <w:szCs w:val="16"/>
        </w:rPr>
        <w:t>Неудачная затянувшаяся дозаправка в Орше впервые показала, что на совершенно новый уровень выходят проблемы с аэродромным обслуживанием и специальным наземным оборудованием. Сложись такая ситуация в боевых условиях - и может быть сорвано выполнение боевой задачи.</w:t>
      </w:r>
    </w:p>
    <w:p w14:paraId="24D81F82" w14:textId="77777777" w:rsidR="00B67D7C" w:rsidRPr="00DE096C" w:rsidRDefault="00B67D7C" w:rsidP="00D45A46">
      <w:pPr>
        <w:jc w:val="both"/>
        <w:rPr>
          <w:bCs/>
          <w:color w:val="002060"/>
          <w:sz w:val="16"/>
          <w:szCs w:val="16"/>
        </w:rPr>
      </w:pPr>
      <w:r w:rsidRPr="00DE096C">
        <w:rPr>
          <w:bCs/>
          <w:color w:val="002060"/>
          <w:sz w:val="16"/>
          <w:szCs w:val="16"/>
        </w:rPr>
        <w:t>Заправка продлилась более пяти часов, и взлететь смогли только в два часа пополудни. Еше при посадке была выбрана не слишком удачная площадка, которая с одной стороны была закрыта рощей, а с другой - речным обрывом. Тяжёлая машина с трудом взлетела, пролетев над Днепром и пройдя над Оршей, едва не задев крыши домов. Всё обошлось, но проблемы только начались. Аэроплан с трудом набирал высоту, то и дело проваливаясь в воздушные ямы. На высоте 60 метров пришлось сбрасывать канистры с водой и даже с запасом бензина! От сильной болтанки на выходе из карбюратора лопнул бензинопровод, топливо полилось на раскалённые патрубки мотора. Сикорский сразу же выключил мотор, но пожар уже начался: пламя того и гляди перекинется на стойку и крыло.</w:t>
      </w:r>
    </w:p>
    <w:p w14:paraId="123D8410" w14:textId="77777777" w:rsidR="00B67D7C" w:rsidRPr="00DE096C" w:rsidRDefault="00B67D7C" w:rsidP="00D45A46">
      <w:pPr>
        <w:jc w:val="both"/>
        <w:rPr>
          <w:bCs/>
          <w:color w:val="002060"/>
          <w:sz w:val="16"/>
          <w:szCs w:val="16"/>
        </w:rPr>
      </w:pPr>
      <w:r w:rsidRPr="00DE096C">
        <w:rPr>
          <w:bCs/>
          <w:color w:val="002060"/>
          <w:sz w:val="16"/>
          <w:szCs w:val="16"/>
        </w:rPr>
        <w:t>Панасюк, несмотря на сильную качку самолёта, с огнетушителем моментально выскочил на крыло, забыв о том, что можно упасть вниз. За ним на крыло вылез Лавров. Ему пришлось в первую очередь тушить механика, так как на том загорелась одежда, Панасюк облился бензином, когда пытался заткнуть бензинопровод. Лавров перекрыл доступ топлива и вместе с Панасюком куртками потушил пожар в двигателе. Сикорский, подыскав подходящее место, посадил раненую машину. Повреждения были незначительными (обгорело крыло и почернели стойки). Панасюк за час выполнил ремонт, но лететь дальше было уже слишком поздно.</w:t>
      </w:r>
    </w:p>
    <w:p w14:paraId="5D001860" w14:textId="77777777" w:rsidR="00B67D7C" w:rsidRPr="00DE096C" w:rsidRDefault="00B67D7C" w:rsidP="00D45A46">
      <w:pPr>
        <w:jc w:val="both"/>
        <w:rPr>
          <w:bCs/>
          <w:color w:val="002060"/>
          <w:sz w:val="16"/>
          <w:szCs w:val="16"/>
        </w:rPr>
      </w:pPr>
      <w:r w:rsidRPr="00DE096C">
        <w:rPr>
          <w:bCs/>
          <w:color w:val="002060"/>
          <w:sz w:val="16"/>
          <w:szCs w:val="16"/>
        </w:rPr>
        <w:t>Решили лететь завтра. Рано утром отправились в дальнейший путь. Почти весь полёт лил сильный дождь, шли в условиях плохой видимости. Лейтенант Лавров в своём отчёте писал: "Шли 3 часа 20 минут исключительно по счислению. Дождь два часа лил как из ведра, временами не было видно крыльев...". Когда "Муромец" вынырнул из облаков на высоте 350 метров, перед ними открылась панорама Киева с хорошо узнаваемым цепным мостом через Днепр, крутым Андреевским спуском, домиками Подола и яркими куполами Киево-Печерской лавры. Наконец машина приземлилась на Куренев- ском аэродроме. Экипажу был устроен пышный восторженный приём (12041).</w:t>
      </w:r>
    </w:p>
    <w:p w14:paraId="67B40E6A" w14:textId="77777777" w:rsidR="00B67D7C" w:rsidRPr="00DE096C" w:rsidRDefault="00B67D7C" w:rsidP="00D45A46">
      <w:pPr>
        <w:jc w:val="both"/>
        <w:rPr>
          <w:bCs/>
          <w:color w:val="002060"/>
          <w:sz w:val="16"/>
          <w:szCs w:val="16"/>
        </w:rPr>
      </w:pPr>
    </w:p>
    <w:p w14:paraId="0199D5CC" w14:textId="77777777" w:rsidR="00B67D7C" w:rsidRPr="00DE096C" w:rsidRDefault="00B67D7C" w:rsidP="00D45A46">
      <w:pPr>
        <w:jc w:val="both"/>
        <w:rPr>
          <w:bCs/>
          <w:color w:val="002060"/>
          <w:sz w:val="16"/>
          <w:szCs w:val="16"/>
        </w:rPr>
      </w:pPr>
      <w:r w:rsidRPr="00DE096C">
        <w:rPr>
          <w:bCs/>
          <w:color w:val="002060"/>
          <w:sz w:val="16"/>
          <w:szCs w:val="16"/>
        </w:rPr>
        <w:t>5 (18) июня 1914 (РГВИА Ф. 802. Оп. 1. Д. 1584. Л. 154) вышел приказ по военному ведомству за № 406, который утвердил формирование 1 мая 1914 г. воздухоплавательного отделения ГВТУ. Вот почему работа по снабжению авиаотрядов самолетами, двигателями, запасными частями и бензином оказалась запущенной. Например, из-за нарушения централизованного поступления топлива авиачасти вплоть до начала боевых действий использовали бензин, заготовленный воздухоплавательной частью ГУ ГШ еще в 1912—1913 годах (Козлов Н. Очерк снабжения русской армии военно-техническим имуществом в мировую войну. От начала войны до половины 1916 г. М.-Л., 1926. С. 83).</w:t>
      </w:r>
    </w:p>
    <w:p w14:paraId="05ABAC0F" w14:textId="77777777" w:rsidR="00B67D7C" w:rsidRPr="00DE096C" w:rsidRDefault="00B67D7C" w:rsidP="00D45A46">
      <w:pPr>
        <w:jc w:val="both"/>
        <w:rPr>
          <w:bCs/>
          <w:color w:val="002060"/>
          <w:sz w:val="16"/>
          <w:szCs w:val="16"/>
        </w:rPr>
      </w:pPr>
      <w:r w:rsidRPr="00DE096C">
        <w:rPr>
          <w:bCs/>
          <w:color w:val="002060"/>
          <w:sz w:val="16"/>
          <w:szCs w:val="16"/>
        </w:rPr>
        <w:t xml:space="preserve">Не был решен также вопрос, какое из главных управлений должно руководить специальной подготовкой авиаотрядов, что в июне 1914 года стало поводом для принятия после обмена мнениями между ГВТУ, ГУ ГШ и канцелярией Военного министерства специального соглашения о переименовании специальных войск в технические с разделением их на следующие категории: инженерные, сообщения в составе автомобильных и железнодорожных войск, воздухоплавательные в составе авиационных и собственно воздухоплавательных войск (РГВИА. Ф. 802. Оп. 1. Д. 1063. Л. 18). Военный министр одобрил этот проект, но он не был ни проведен через </w:t>
      </w:r>
      <w:r w:rsidRPr="00DE096C">
        <w:rPr>
          <w:bCs/>
          <w:color w:val="002060"/>
          <w:sz w:val="16"/>
          <w:szCs w:val="16"/>
        </w:rPr>
        <w:lastRenderedPageBreak/>
        <w:t>военный совет, ни утвержден Николаем II по причине резко обострившейся международной обстановки, а военные приготовления не оставили времени на законодательное оформление создания авиационных и других технических войск (11167).</w:t>
      </w:r>
    </w:p>
    <w:p w14:paraId="25F470BA" w14:textId="77777777" w:rsidR="00B67D7C" w:rsidRPr="00DE096C" w:rsidRDefault="00B67D7C" w:rsidP="00D45A46">
      <w:pPr>
        <w:jc w:val="both"/>
        <w:rPr>
          <w:bCs/>
          <w:color w:val="002060"/>
          <w:sz w:val="16"/>
          <w:szCs w:val="16"/>
        </w:rPr>
      </w:pPr>
    </w:p>
    <w:p w14:paraId="5443AD80" w14:textId="77777777" w:rsidR="00097C1E" w:rsidRPr="00DE096C" w:rsidRDefault="00097C1E" w:rsidP="00D45A46">
      <w:pPr>
        <w:pStyle w:val="a3"/>
        <w:jc w:val="both"/>
        <w:rPr>
          <w:bCs/>
          <w:color w:val="002060"/>
          <w:spacing w:val="0"/>
          <w:kern w:val="0"/>
          <w:position w:val="0"/>
          <w:sz w:val="16"/>
          <w:szCs w:val="16"/>
        </w:rPr>
      </w:pPr>
      <w:r w:rsidRPr="00DE096C">
        <w:rPr>
          <w:bCs/>
          <w:color w:val="002060"/>
          <w:spacing w:val="0"/>
          <w:kern w:val="0"/>
          <w:position w:val="0"/>
          <w:sz w:val="16"/>
          <w:szCs w:val="16"/>
        </w:rPr>
        <w:t>Авиация и воздухоплавание за рубежом:</w:t>
      </w:r>
    </w:p>
    <w:p w14:paraId="4363D726" w14:textId="77777777" w:rsidR="00097C1E" w:rsidRPr="00DE096C" w:rsidRDefault="00097C1E" w:rsidP="00D45A46">
      <w:pPr>
        <w:pStyle w:val="a3"/>
        <w:jc w:val="both"/>
        <w:rPr>
          <w:bCs/>
          <w:color w:val="002060"/>
          <w:spacing w:val="0"/>
          <w:kern w:val="0"/>
          <w:position w:val="0"/>
          <w:sz w:val="16"/>
          <w:szCs w:val="16"/>
        </w:rPr>
      </w:pPr>
    </w:p>
    <w:p w14:paraId="6841A9DD" w14:textId="77777777" w:rsidR="00097C1E" w:rsidRPr="00DE096C" w:rsidRDefault="00097C1E" w:rsidP="00D45A46">
      <w:pPr>
        <w:jc w:val="both"/>
        <w:rPr>
          <w:bCs/>
          <w:color w:val="002060"/>
          <w:sz w:val="16"/>
          <w:szCs w:val="16"/>
        </w:rPr>
      </w:pPr>
      <w:r w:rsidRPr="00DE096C">
        <w:rPr>
          <w:bCs/>
          <w:color w:val="002060"/>
          <w:sz w:val="16"/>
          <w:szCs w:val="16"/>
        </w:rPr>
        <w:t>5 (18) июня 1914 был продемонстрирован первый действующий автопилот конструкции Элмера Сперри. Демонстрация состоялась на авиационной выставке в Париже. Автопилот был установлен на летающей лодке конструкции Кертисса. Демонстрировал работу сын конструктора Лоуренс. В полёте Сперри включил аппаратуру и бросил управление, а техник начал ходить вдоль крыльев, но самолёт продолжал полёт на постоянной высоте и в заданном направлении (22457).</w:t>
      </w:r>
    </w:p>
    <w:p w14:paraId="3A1E740E" w14:textId="77777777" w:rsidR="00097C1E" w:rsidRPr="00DE096C" w:rsidRDefault="00097C1E" w:rsidP="00D45A46">
      <w:pPr>
        <w:shd w:val="clear" w:color="auto" w:fill="FFFFFF"/>
        <w:jc w:val="both"/>
        <w:rPr>
          <w:bCs/>
          <w:color w:val="002060"/>
          <w:sz w:val="16"/>
          <w:szCs w:val="16"/>
          <w:shd w:val="clear" w:color="auto" w:fill="FFFFFF"/>
        </w:rPr>
      </w:pPr>
    </w:p>
    <w:p w14:paraId="214DAF8B" w14:textId="77777777" w:rsidR="00B67D7C" w:rsidRPr="00DE096C" w:rsidRDefault="00B67D7C" w:rsidP="00D45A46">
      <w:pPr>
        <w:jc w:val="both"/>
        <w:rPr>
          <w:bCs/>
          <w:i/>
          <w:color w:val="002060"/>
          <w:sz w:val="16"/>
          <w:szCs w:val="16"/>
        </w:rPr>
      </w:pPr>
      <w:r w:rsidRPr="00DE096C">
        <w:rPr>
          <w:bCs/>
          <w:i/>
          <w:color w:val="002060"/>
          <w:sz w:val="16"/>
          <w:szCs w:val="16"/>
        </w:rPr>
        <w:t>Самолетостроение:</w:t>
      </w:r>
    </w:p>
    <w:p w14:paraId="3C541F51" w14:textId="77777777" w:rsidR="00B67D7C" w:rsidRPr="00DE096C" w:rsidRDefault="00B67D7C" w:rsidP="00D45A46">
      <w:pPr>
        <w:jc w:val="both"/>
        <w:rPr>
          <w:bCs/>
          <w:i/>
          <w:color w:val="002060"/>
          <w:sz w:val="16"/>
          <w:szCs w:val="16"/>
        </w:rPr>
      </w:pPr>
    </w:p>
    <w:p w14:paraId="02424CA2" w14:textId="2C44D21A" w:rsidR="00263E55" w:rsidRPr="00DE096C" w:rsidRDefault="00263E55" w:rsidP="00D45A46">
      <w:pPr>
        <w:jc w:val="both"/>
        <w:rPr>
          <w:bCs/>
          <w:color w:val="002060"/>
          <w:sz w:val="16"/>
          <w:szCs w:val="16"/>
        </w:rPr>
      </w:pPr>
      <w:r w:rsidRPr="00DE096C">
        <w:rPr>
          <w:bCs/>
          <w:color w:val="002060"/>
          <w:sz w:val="16"/>
          <w:szCs w:val="16"/>
        </w:rPr>
        <w:t xml:space="preserve">6 </w:t>
      </w:r>
      <w:r w:rsidR="00A7574E" w:rsidRPr="00DE096C">
        <w:rPr>
          <w:bCs/>
          <w:color w:val="002060"/>
          <w:sz w:val="16"/>
          <w:szCs w:val="16"/>
        </w:rPr>
        <w:t xml:space="preserve">(19) </w:t>
      </w:r>
      <w:r w:rsidRPr="00DE096C">
        <w:rPr>
          <w:bCs/>
          <w:color w:val="002060"/>
          <w:sz w:val="16"/>
          <w:szCs w:val="16"/>
        </w:rPr>
        <w:t>июня в 1914 году пилот Г.В.Янковский в одном из полетов ошибся в пилотировании и разбил УТС Сикорского «С-12» - заводской № 106. Однако летные качества самолета оказались столь впечатляющими, что именно в день аварии два новых «С-12» включили в контракт, заключенный Военным ведомством с Акционерным обществом РБВЗ на поставку 45 "легких" самолетов Сикорского (14914).</w:t>
      </w:r>
    </w:p>
    <w:p w14:paraId="44828D09" w14:textId="77777777" w:rsidR="00263E55" w:rsidRPr="00DE096C" w:rsidRDefault="00263E55" w:rsidP="00D45A46">
      <w:pPr>
        <w:jc w:val="both"/>
        <w:rPr>
          <w:bCs/>
          <w:color w:val="002060"/>
          <w:sz w:val="16"/>
          <w:szCs w:val="16"/>
        </w:rPr>
      </w:pPr>
    </w:p>
    <w:p w14:paraId="32FB48C9" w14:textId="6EB53047" w:rsidR="005C3561" w:rsidRPr="00DE096C" w:rsidRDefault="005C3561" w:rsidP="00D45A46">
      <w:pPr>
        <w:jc w:val="both"/>
        <w:rPr>
          <w:bCs/>
          <w:color w:val="002060"/>
          <w:sz w:val="16"/>
          <w:szCs w:val="16"/>
        </w:rPr>
      </w:pPr>
      <w:r w:rsidRPr="00DE096C">
        <w:rPr>
          <w:bCs/>
          <w:color w:val="002060"/>
          <w:sz w:val="16"/>
          <w:szCs w:val="16"/>
          <w:lang w:bidi="ru-RU"/>
        </w:rPr>
        <w:t>6 (19) июня 1914 г. Янковский в од</w:t>
      </w:r>
      <w:r w:rsidRPr="00DE096C">
        <w:rPr>
          <w:bCs/>
          <w:color w:val="002060"/>
          <w:sz w:val="16"/>
          <w:szCs w:val="16"/>
          <w:lang w:bidi="ru-RU"/>
        </w:rPr>
        <w:softHyphen/>
        <w:t>ном из полетов ошибся в пилотировании и разбил С-12 Сикоркого. Однако летные качества са</w:t>
      </w:r>
      <w:r w:rsidRPr="00DE096C">
        <w:rPr>
          <w:bCs/>
          <w:color w:val="002060"/>
          <w:sz w:val="16"/>
          <w:szCs w:val="16"/>
          <w:lang w:bidi="ru-RU"/>
        </w:rPr>
        <w:softHyphen/>
        <w:t>молета оказались столь впечатляющими, что именно в день аварии два новых С-12 включили в контракт, заключенный Военным ведомством с Акционерным обществом РБВЗ на поставку 45 «легких» самолетов Сикорского (23374).</w:t>
      </w:r>
    </w:p>
    <w:p w14:paraId="6D240668" w14:textId="77777777" w:rsidR="005C3561" w:rsidRPr="00DE096C" w:rsidRDefault="005C3561" w:rsidP="00D45A46">
      <w:pPr>
        <w:jc w:val="both"/>
        <w:rPr>
          <w:bCs/>
          <w:color w:val="002060"/>
          <w:sz w:val="16"/>
          <w:szCs w:val="16"/>
          <w:lang w:bidi="ru-RU"/>
        </w:rPr>
      </w:pPr>
    </w:p>
    <w:p w14:paraId="1A16B740" w14:textId="29F7E4BC" w:rsidR="005C3561" w:rsidRPr="00DE096C" w:rsidRDefault="005C3561" w:rsidP="00D45A46">
      <w:pPr>
        <w:jc w:val="both"/>
        <w:rPr>
          <w:bCs/>
          <w:color w:val="002060"/>
          <w:sz w:val="16"/>
          <w:szCs w:val="16"/>
          <w:lang w:bidi="ru-RU"/>
        </w:rPr>
      </w:pPr>
      <w:r w:rsidRPr="00DE096C">
        <w:rPr>
          <w:bCs/>
          <w:color w:val="002060"/>
          <w:sz w:val="16"/>
          <w:szCs w:val="16"/>
        </w:rPr>
        <w:t>6 (19) июня 1914 г. Главное военно-техническое управление подписало с РБВЗ договор на поставку 45 аэропланов: 38 боевых (26 С-10А и 12 С-11А), двух учебных бипланов С-12 и пяти пилотажно-тренировочных монопланов С-8А. Все они должны были быть готовы к 15 сентября 1914 г. Но в силу ряда причин — проблем с поставками моторов из-за начала войны, занятости авиаотдела РБВЗ освоением выпуска четырехмоторного самолета «Илья Муромец», сильного пожара, уничтоживший находящиеся в производстве летательные аппараты, — из 45 самолетов РБВЗ сдал только 10, и то значительно позже срока (23472)</w:t>
      </w:r>
    </w:p>
    <w:p w14:paraId="7480C247" w14:textId="77777777" w:rsidR="005C3561" w:rsidRPr="00DE096C" w:rsidRDefault="005C3561" w:rsidP="00D45A46">
      <w:pPr>
        <w:jc w:val="both"/>
        <w:rPr>
          <w:bCs/>
          <w:color w:val="002060"/>
          <w:sz w:val="16"/>
          <w:szCs w:val="16"/>
          <w:lang w:bidi="ru-RU"/>
        </w:rPr>
      </w:pPr>
    </w:p>
    <w:p w14:paraId="5F69763A" w14:textId="16F7FD6C" w:rsidR="00B67D7C" w:rsidRPr="00DE096C" w:rsidRDefault="00A7574E" w:rsidP="00D45A46">
      <w:pPr>
        <w:shd w:val="clear" w:color="auto" w:fill="FFFFFF"/>
        <w:jc w:val="both"/>
        <w:rPr>
          <w:bCs/>
          <w:color w:val="002060"/>
          <w:sz w:val="16"/>
          <w:szCs w:val="16"/>
        </w:rPr>
      </w:pPr>
      <w:r w:rsidRPr="00DE096C">
        <w:rPr>
          <w:bCs/>
          <w:color w:val="002060"/>
          <w:sz w:val="16"/>
          <w:szCs w:val="16"/>
        </w:rPr>
        <w:t>6 (19)</w:t>
      </w:r>
      <w:r w:rsidR="00B67D7C" w:rsidRPr="00DE096C">
        <w:rPr>
          <w:bCs/>
          <w:color w:val="002060"/>
          <w:sz w:val="16"/>
          <w:szCs w:val="16"/>
        </w:rPr>
        <w:t xml:space="preserve"> июня 1914 в Либаве на 1-й морской авиационной станции Балтийского флота приемная комиссия порта Императора Александра III занесла </w:t>
      </w:r>
      <w:r w:rsidRPr="00DE096C">
        <w:rPr>
          <w:bCs/>
          <w:color w:val="002060"/>
          <w:sz w:val="16"/>
          <w:szCs w:val="16"/>
        </w:rPr>
        <w:t xml:space="preserve">М-1 Григоровича </w:t>
      </w:r>
      <w:r w:rsidR="00B67D7C" w:rsidRPr="00DE096C">
        <w:rPr>
          <w:bCs/>
          <w:color w:val="002060"/>
          <w:sz w:val="16"/>
          <w:szCs w:val="16"/>
        </w:rPr>
        <w:t>в списки казенного имущества после опытов, выполненных лейтенантом И. И. Кульневым. Во время 32-минутного полета, при достижении максимальной высоты в 600 м, летчик поднялся на 300 м за 10 минут, а затем совершил еще одно, 13-минутное, воздушное путешествие и, таким образом, успешно закончил обусловленную контрактом программу. Самолету присвоили флотский кодовый номер Щ-1, тогда как название М-1 также, вероят</w:t>
      </w:r>
      <w:r w:rsidR="00B67D7C" w:rsidRPr="00DE096C">
        <w:rPr>
          <w:bCs/>
          <w:color w:val="002060"/>
          <w:sz w:val="16"/>
          <w:szCs w:val="16"/>
        </w:rPr>
        <w:softHyphen/>
        <w:t>но, существовало (2807).</w:t>
      </w:r>
    </w:p>
    <w:p w14:paraId="6BE96563" w14:textId="77777777" w:rsidR="00B67D7C" w:rsidRPr="00DE096C" w:rsidRDefault="00B67D7C" w:rsidP="00D45A46">
      <w:pPr>
        <w:shd w:val="clear" w:color="auto" w:fill="FFFFFF"/>
        <w:jc w:val="both"/>
        <w:rPr>
          <w:bCs/>
          <w:color w:val="002060"/>
          <w:sz w:val="16"/>
          <w:szCs w:val="16"/>
        </w:rPr>
      </w:pPr>
    </w:p>
    <w:p w14:paraId="73E36A64" w14:textId="77777777" w:rsidR="00B67D7C" w:rsidRPr="00DE096C" w:rsidRDefault="00B67D7C" w:rsidP="00D45A46">
      <w:pPr>
        <w:shd w:val="clear" w:color="auto" w:fill="FFFFFF"/>
        <w:jc w:val="both"/>
        <w:rPr>
          <w:bCs/>
          <w:i/>
          <w:color w:val="002060"/>
          <w:sz w:val="16"/>
          <w:szCs w:val="16"/>
        </w:rPr>
      </w:pPr>
      <w:r w:rsidRPr="00DE096C">
        <w:rPr>
          <w:bCs/>
          <w:color w:val="002060"/>
          <w:sz w:val="16"/>
          <w:szCs w:val="16"/>
        </w:rPr>
        <w:t>6-10 (19-23) июня 1914 г. Пишоф выполнил на самолете «Терещенко № 5бис» с мотором «Рон» перелет по маршруту: Червонное-Городище-Кагарлык-Киев-Червонное, пре</w:t>
      </w:r>
      <w:r w:rsidRPr="00DE096C">
        <w:rPr>
          <w:bCs/>
          <w:color w:val="002060"/>
          <w:sz w:val="16"/>
          <w:szCs w:val="16"/>
        </w:rPr>
        <w:softHyphen/>
        <w:t>одолев в общей сложности 492 версты за 4 ч 29 мин полетного времени, причем не пользуясь услугами механика. Сохранилось подробное описание этого вояжа, сделан</w:t>
      </w:r>
      <w:r w:rsidRPr="00DE096C">
        <w:rPr>
          <w:bCs/>
          <w:color w:val="002060"/>
          <w:sz w:val="16"/>
          <w:szCs w:val="16"/>
        </w:rPr>
        <w:softHyphen/>
        <w:t>ное самим авиатором. Из него следует, что с наибольшими сложностями он столкнулся 8 июня при перелете из Кагарлыка в Киев, который проходил при сильном ветре, дож</w:t>
      </w:r>
      <w:r w:rsidRPr="00DE096C">
        <w:rPr>
          <w:bCs/>
          <w:color w:val="002060"/>
          <w:sz w:val="16"/>
          <w:szCs w:val="16"/>
        </w:rPr>
        <w:softHyphen/>
        <w:t>де и низкой облачности. Вскоре после стар</w:t>
      </w:r>
      <w:r w:rsidRPr="00DE096C">
        <w:rPr>
          <w:bCs/>
          <w:color w:val="002060"/>
          <w:sz w:val="16"/>
          <w:szCs w:val="16"/>
        </w:rPr>
        <w:softHyphen/>
        <w:t>та Пишоф потерял ориентировку и вынуж</w:t>
      </w:r>
      <w:r w:rsidRPr="00DE096C">
        <w:rPr>
          <w:bCs/>
          <w:color w:val="002060"/>
          <w:sz w:val="16"/>
          <w:szCs w:val="16"/>
        </w:rPr>
        <w:softHyphen/>
        <w:t xml:space="preserve">ден был вернуться на место взлета, чтобы </w:t>
      </w:r>
      <w:r w:rsidRPr="00DE096C">
        <w:rPr>
          <w:bCs/>
          <w:i/>
          <w:color w:val="002060"/>
          <w:sz w:val="16"/>
          <w:szCs w:val="16"/>
        </w:rPr>
        <w:t xml:space="preserve">«путем расспроса окружающих» </w:t>
      </w:r>
      <w:r w:rsidRPr="00DE096C">
        <w:rPr>
          <w:bCs/>
          <w:color w:val="002060"/>
          <w:sz w:val="16"/>
          <w:szCs w:val="16"/>
        </w:rPr>
        <w:t>опреде</w:t>
      </w:r>
      <w:r w:rsidRPr="00DE096C">
        <w:rPr>
          <w:bCs/>
          <w:color w:val="002060"/>
          <w:sz w:val="16"/>
          <w:szCs w:val="16"/>
        </w:rPr>
        <w:softHyphen/>
        <w:t>лить правильное направление полета. Большую часть пути пришлось идти в обла</w:t>
      </w:r>
      <w:r w:rsidRPr="00DE096C">
        <w:rPr>
          <w:bCs/>
          <w:color w:val="002060"/>
          <w:sz w:val="16"/>
          <w:szCs w:val="16"/>
        </w:rPr>
        <w:softHyphen/>
        <w:t xml:space="preserve">ках, </w:t>
      </w:r>
      <w:r w:rsidRPr="00DE096C">
        <w:rPr>
          <w:bCs/>
          <w:i/>
          <w:color w:val="002060"/>
          <w:sz w:val="16"/>
          <w:szCs w:val="16"/>
        </w:rPr>
        <w:t>«несмотря на то, что находился на вы</w:t>
      </w:r>
      <w:r w:rsidRPr="00DE096C">
        <w:rPr>
          <w:bCs/>
          <w:i/>
          <w:color w:val="002060"/>
          <w:sz w:val="16"/>
          <w:szCs w:val="16"/>
        </w:rPr>
        <w:softHyphen/>
        <w:t xml:space="preserve">соте не больше 200 м». </w:t>
      </w:r>
      <w:r w:rsidRPr="00DE096C">
        <w:rPr>
          <w:bCs/>
          <w:color w:val="002060"/>
          <w:sz w:val="16"/>
          <w:szCs w:val="16"/>
        </w:rPr>
        <w:t>Самолет сильно болтало. Тем не менее, через 41 минуту по</w:t>
      </w:r>
      <w:r w:rsidRPr="00DE096C">
        <w:rPr>
          <w:bCs/>
          <w:color w:val="002060"/>
          <w:sz w:val="16"/>
          <w:szCs w:val="16"/>
        </w:rPr>
        <w:softHyphen/>
        <w:t xml:space="preserve">лета Пишоф благополучно </w:t>
      </w:r>
      <w:r w:rsidRPr="00DE096C">
        <w:rPr>
          <w:bCs/>
          <w:i/>
          <w:color w:val="002060"/>
          <w:sz w:val="16"/>
          <w:szCs w:val="16"/>
        </w:rPr>
        <w:t xml:space="preserve">«спустился на Киевском военном аэродроме». </w:t>
      </w:r>
      <w:r w:rsidRPr="00DE096C">
        <w:rPr>
          <w:bCs/>
          <w:color w:val="002060"/>
          <w:sz w:val="16"/>
          <w:szCs w:val="16"/>
        </w:rPr>
        <w:t xml:space="preserve">Подводя итоги перелета, он констатировал: </w:t>
      </w:r>
      <w:r w:rsidRPr="00DE096C">
        <w:rPr>
          <w:bCs/>
          <w:i/>
          <w:color w:val="002060"/>
          <w:sz w:val="16"/>
          <w:szCs w:val="16"/>
        </w:rPr>
        <w:t>«В тече</w:t>
      </w:r>
      <w:r w:rsidRPr="00DE096C">
        <w:rPr>
          <w:bCs/>
          <w:i/>
          <w:color w:val="002060"/>
          <w:sz w:val="16"/>
          <w:szCs w:val="16"/>
        </w:rPr>
        <w:softHyphen/>
        <w:t>ние всего путешествия аппарат и мотор бы</w:t>
      </w:r>
      <w:r w:rsidRPr="00DE096C">
        <w:rPr>
          <w:bCs/>
          <w:i/>
          <w:color w:val="002060"/>
          <w:sz w:val="16"/>
          <w:szCs w:val="16"/>
        </w:rPr>
        <w:softHyphen/>
        <w:t>ли в полной исправности, несмотря на то, что спускаться приходилось на незнакомую и крайне неудобную местность и аппарат вынужден был находиться целую ночь на открытом воздухе под дождем. Этим было положено начало распространения частно</w:t>
      </w:r>
      <w:r w:rsidRPr="00DE096C">
        <w:rPr>
          <w:bCs/>
          <w:i/>
          <w:color w:val="002060"/>
          <w:sz w:val="16"/>
          <w:szCs w:val="16"/>
        </w:rPr>
        <w:softHyphen/>
        <w:t>го туризма в России на русском аэроплане» (11217).</w:t>
      </w:r>
    </w:p>
    <w:p w14:paraId="76758007" w14:textId="77777777" w:rsidR="00B67D7C" w:rsidRPr="00DE096C" w:rsidRDefault="00B67D7C" w:rsidP="00D45A46">
      <w:pPr>
        <w:shd w:val="clear" w:color="auto" w:fill="FFFFFF"/>
        <w:jc w:val="both"/>
        <w:rPr>
          <w:bCs/>
          <w:color w:val="002060"/>
          <w:sz w:val="16"/>
          <w:szCs w:val="16"/>
        </w:rPr>
      </w:pPr>
    </w:p>
    <w:p w14:paraId="13E407FE" w14:textId="07D7986A" w:rsidR="00B67D7C" w:rsidRPr="00DE096C" w:rsidRDefault="00B67D7C" w:rsidP="00D45A46">
      <w:pPr>
        <w:pStyle w:val="13"/>
        <w:spacing w:before="0" w:after="0"/>
        <w:jc w:val="both"/>
        <w:rPr>
          <w:bCs/>
          <w:color w:val="002060"/>
          <w:sz w:val="16"/>
          <w:szCs w:val="16"/>
        </w:rPr>
      </w:pPr>
      <w:r w:rsidRPr="00DE096C">
        <w:rPr>
          <w:bCs/>
          <w:color w:val="002060"/>
          <w:sz w:val="16"/>
          <w:szCs w:val="16"/>
        </w:rPr>
        <w:t xml:space="preserve">6-10 </w:t>
      </w:r>
      <w:r w:rsidR="00A7574E" w:rsidRPr="00DE096C">
        <w:rPr>
          <w:bCs/>
          <w:color w:val="002060"/>
          <w:sz w:val="16"/>
          <w:szCs w:val="16"/>
        </w:rPr>
        <w:t xml:space="preserve">(19-23) </w:t>
      </w:r>
      <w:r w:rsidRPr="00DE096C">
        <w:rPr>
          <w:bCs/>
          <w:color w:val="002060"/>
          <w:sz w:val="16"/>
          <w:szCs w:val="16"/>
        </w:rPr>
        <w:t xml:space="preserve">июня 1914 г. Пишоф выполнил на самолете «Терещенко №5бис» с мотором «Рон» перелет по маршруту: Червонное-Городище-Кагарлык-Киев-Червонное, преодолев в общей сложности 492 версты за 4 ч 29 мин полетного времени, причем не пользуясь услугами механика. Сохранилось подробное описание этого вояжа, сделанное самим авиатором. Из него следует, что с наибольшими сложностями он столкнулся 8 июня при перелете из Кагарлыка в Киев, который проходил при сильном ветре, дожде и низкой облачности. Вскоре после старта Пишоф потерял ориентировку и вынужден был вернуться на место взлета, чтобы </w:t>
      </w:r>
      <w:r w:rsidRPr="00DE096C">
        <w:rPr>
          <w:rStyle w:val="10"/>
          <w:rFonts w:eastAsiaTheme="majorEastAsia"/>
          <w:bCs/>
          <w:color w:val="002060"/>
          <w:sz w:val="16"/>
          <w:szCs w:val="16"/>
        </w:rPr>
        <w:t>«путем расспроса окружающих»</w:t>
      </w:r>
      <w:r w:rsidRPr="00DE096C">
        <w:rPr>
          <w:bCs/>
          <w:color w:val="002060"/>
          <w:sz w:val="16"/>
          <w:szCs w:val="16"/>
        </w:rPr>
        <w:t xml:space="preserve"> определить правильное направление полета. Большую часть пути пришлось идти в облаках, </w:t>
      </w:r>
      <w:r w:rsidRPr="00DE096C">
        <w:rPr>
          <w:rStyle w:val="10"/>
          <w:rFonts w:eastAsiaTheme="majorEastAsia"/>
          <w:bCs/>
          <w:color w:val="002060"/>
          <w:sz w:val="16"/>
          <w:szCs w:val="16"/>
        </w:rPr>
        <w:t>«несмотря на то, что находился на высоте не больше 200 м»</w:t>
      </w:r>
      <w:r w:rsidRPr="00DE096C">
        <w:rPr>
          <w:bCs/>
          <w:color w:val="002060"/>
          <w:sz w:val="16"/>
          <w:szCs w:val="16"/>
        </w:rPr>
        <w:t xml:space="preserve">. Самолет сильно болтало. Тем не менее, через 41 минуту полета Пишоф благополучно «спустился на Киевском военном аэродроме». Подводя итоги перелета, он констатировал: </w:t>
      </w:r>
      <w:r w:rsidRPr="00DE096C">
        <w:rPr>
          <w:rStyle w:val="10"/>
          <w:rFonts w:eastAsiaTheme="majorEastAsia"/>
          <w:bCs/>
          <w:color w:val="002060"/>
          <w:sz w:val="16"/>
          <w:szCs w:val="16"/>
        </w:rPr>
        <w:t>«В течение всего путешествия аппарат и мотор были в полной исправности, несмотря на то, что спускаться приходилось на незнакомую и крайне неудобную местность и аппарат вынужден был находиться целую ночь на открытом воздухе под дождем. Этим было положено начало распространения частного туризма в России на русском аэроплане»</w:t>
      </w:r>
      <w:r w:rsidRPr="00DE096C">
        <w:rPr>
          <w:bCs/>
          <w:color w:val="002060"/>
          <w:sz w:val="16"/>
          <w:szCs w:val="16"/>
        </w:rPr>
        <w:t>.</w:t>
      </w:r>
    </w:p>
    <w:p w14:paraId="2E1354E5" w14:textId="77777777" w:rsidR="00B67D7C" w:rsidRPr="00DE096C" w:rsidRDefault="00B67D7C" w:rsidP="00D45A46">
      <w:pPr>
        <w:pStyle w:val="13"/>
        <w:spacing w:before="0" w:after="0"/>
        <w:jc w:val="both"/>
        <w:rPr>
          <w:bCs/>
          <w:color w:val="002060"/>
          <w:sz w:val="16"/>
          <w:szCs w:val="16"/>
        </w:rPr>
      </w:pPr>
      <w:r w:rsidRPr="00DE096C">
        <w:rPr>
          <w:bCs/>
          <w:color w:val="002060"/>
          <w:sz w:val="16"/>
          <w:szCs w:val="16"/>
        </w:rPr>
        <w:t>Но самолетам Терещенко не суждено было служить для воздушных прогулок — началась война, и оба аппарата приобрели военные. Согласно хранящимся в ЦГИАКУ документам, «Терещенко № 5бис» с мотором «Рон» был сдан в сентябре 1914г., а его собрат с двигателем «Гном» — в январе 1915 г. Известно, что второй самолет проходил фронтовые испытания. В своих отчетах военные летчики отмечали его сносную управляемость, однако крыло мешало обзору нижней полусферы, что усложняло его использование в качестве разведчика.</w:t>
      </w:r>
    </w:p>
    <w:p w14:paraId="36ACA2D1" w14:textId="77777777" w:rsidR="00B67D7C" w:rsidRPr="00DE096C" w:rsidRDefault="00B67D7C" w:rsidP="00D45A46">
      <w:pPr>
        <w:pStyle w:val="13"/>
        <w:spacing w:before="0" w:after="0"/>
        <w:jc w:val="both"/>
        <w:rPr>
          <w:bCs/>
          <w:color w:val="002060"/>
          <w:sz w:val="16"/>
          <w:szCs w:val="16"/>
        </w:rPr>
      </w:pPr>
      <w:r w:rsidRPr="00DE096C">
        <w:rPr>
          <w:bCs/>
          <w:color w:val="002060"/>
          <w:sz w:val="16"/>
          <w:szCs w:val="16"/>
        </w:rPr>
        <w:t>вот у французского двухместного аэроплана «Моран-парасоль» такого недостатка не было. Контракт за № 1792/1179 на производство двух таких самолетов «улучшенного образца» был подписан с военным ведомством еще 3 апреля 1914 г. Стоимость одного самолета составляла 8800 руб., а общая сумма сделки, включая цену двух повозок для транспортировки самолетов, превысила 21 000 руб. Аэропланы следовало изготовить за 5 месяцев, но сделать этого так и не удалось. Началось с того, что в конце июля заказанные во Франции комплектующие при перевозке через Германию задержали местные власти. Вызволить их не смогли, как и приобрести новые. Далее в дело вмешалась фирма «Моран-Солнье». Ее представитель, угрожая судом, заявил протест против внесения любых «улучшений» в фирменную конструкцию. А ведь это предусматривал один из пунктов контракта. В конце концов, в апреле 1915 г. Терещенко пришлось обратиться в военное ведомство с просьбой расторгнуть этот контракт. Причем он указывал, что по принятым обязательствам на 1914 г. Червоннский завод должен был изготовить 10 самолетов: 8 «Фарманов» и 2 «Морана», а реально сдал даже больше: 10 «Фарманов» и 2 «одноместных моноплана Терещенко».</w:t>
      </w:r>
    </w:p>
    <w:p w14:paraId="17EF0CA9" w14:textId="77777777" w:rsidR="00B67D7C" w:rsidRPr="00DE096C" w:rsidRDefault="00B67D7C" w:rsidP="00D45A46">
      <w:pPr>
        <w:pStyle w:val="13"/>
        <w:spacing w:before="0" w:after="0"/>
        <w:jc w:val="both"/>
        <w:rPr>
          <w:bCs/>
          <w:color w:val="002060"/>
          <w:sz w:val="16"/>
          <w:szCs w:val="16"/>
        </w:rPr>
      </w:pPr>
      <w:r w:rsidRPr="00DE096C">
        <w:rPr>
          <w:bCs/>
          <w:color w:val="002060"/>
          <w:sz w:val="16"/>
          <w:szCs w:val="16"/>
        </w:rPr>
        <w:t>Серийные заказы способствовали дальнейшему расширению предприятия, количество работающих на котором в 1914 г. достигло 120 человек, а в сентябре 1915 г. в списках на получение зарплаты одних только мастеровых значилось 186 человек. Постоянно улучшалась оснащенность завода, в частности, были приобретены штамповочный пресс, несколько различных станков, 2 сварочных аппарата. Годовая производительность оценивалась в 50 аэропланов. Что касается выпуска самолетов в дальнейшем, то, к сожалению, исследованные источники не позволяют раскрыть этот вопрос полностью. Например, известно, что Червоннский завод перешел к постройке учебных аппаратов «Фарман XVI», причем в конструкцию их вносились определенные изменения, а это затрудняло эксплуатацию — к ним не подходили некоторые запчасти, выпущенные другими предприятиями.</w:t>
      </w:r>
    </w:p>
    <w:p w14:paraId="48C575FA" w14:textId="77777777" w:rsidR="00B67D7C" w:rsidRPr="00DE096C" w:rsidRDefault="00B67D7C" w:rsidP="00D45A46">
      <w:pPr>
        <w:pStyle w:val="13"/>
        <w:spacing w:before="0" w:after="0"/>
        <w:jc w:val="both"/>
        <w:rPr>
          <w:bCs/>
          <w:color w:val="002060"/>
          <w:sz w:val="16"/>
          <w:szCs w:val="16"/>
        </w:rPr>
      </w:pPr>
      <w:r w:rsidRPr="00DE096C">
        <w:rPr>
          <w:bCs/>
          <w:color w:val="002060"/>
          <w:sz w:val="16"/>
          <w:szCs w:val="16"/>
        </w:rPr>
        <w:t>Червонном продолжали вести проектные работы. Благодаря усилиям Григорьева, был сконструирован биплан «Терещенко №7» с расположенными рядом в одной кабине двумя сиденьями, оснащенный мотором «Гном Моносупап» мощностью 100 л.с. Достроить самолет в Червонном не успели, т.к. осенью 1915 г., в связи с приближением линии фронта, завод пришлось эвакуировать.</w:t>
      </w:r>
    </w:p>
    <w:p w14:paraId="5A4BD5B4" w14:textId="77777777" w:rsidR="00B67D7C" w:rsidRPr="00DE096C" w:rsidRDefault="00B67D7C" w:rsidP="00D45A46">
      <w:pPr>
        <w:pStyle w:val="13"/>
        <w:spacing w:before="0" w:after="0"/>
        <w:jc w:val="both"/>
        <w:rPr>
          <w:bCs/>
          <w:color w:val="002060"/>
          <w:sz w:val="16"/>
          <w:szCs w:val="16"/>
        </w:rPr>
      </w:pPr>
      <w:r w:rsidRPr="00DE096C">
        <w:rPr>
          <w:bCs/>
          <w:color w:val="002060"/>
          <w:sz w:val="16"/>
          <w:szCs w:val="16"/>
        </w:rPr>
        <w:t xml:space="preserve">Терещенко в это время выехал во Францию в составе комиссии </w:t>
      </w:r>
      <w:r w:rsidRPr="00DE096C">
        <w:rPr>
          <w:rStyle w:val="10"/>
          <w:rFonts w:eastAsiaTheme="majorEastAsia"/>
          <w:bCs/>
          <w:color w:val="002060"/>
          <w:sz w:val="16"/>
          <w:szCs w:val="16"/>
        </w:rPr>
        <w:t>«по заготовке авиационного и автомобильного имущества»</w:t>
      </w:r>
      <w:r w:rsidRPr="00DE096C">
        <w:rPr>
          <w:bCs/>
          <w:color w:val="002060"/>
          <w:sz w:val="16"/>
          <w:szCs w:val="16"/>
        </w:rPr>
        <w:t xml:space="preserve">. Пишоф перебрался в Одессу на </w:t>
      </w:r>
      <w:hyperlink r:id="rId24" w:history="1">
        <w:r w:rsidRPr="00DE096C">
          <w:rPr>
            <w:rStyle w:val="11"/>
            <w:rFonts w:eastAsiaTheme="majorEastAsia"/>
            <w:bCs/>
            <w:color w:val="002060"/>
            <w:sz w:val="16"/>
            <w:szCs w:val="16"/>
          </w:rPr>
          <w:t>завод Анатры</w:t>
        </w:r>
      </w:hyperlink>
      <w:r w:rsidRPr="00DE096C">
        <w:rPr>
          <w:bCs/>
          <w:color w:val="002060"/>
          <w:sz w:val="16"/>
          <w:szCs w:val="16"/>
        </w:rPr>
        <w:t>. Иордан пошел на военную службу и был назначен начальником авиационной базы 8-й армии. Поэтому основные заботы, связанные с эвакуацией, легли на плечи Вашкевича и других служащих главной конторы Терещенко. Была предпринята попытка перебазировать завод в Киев и при этом значительно расширить его, т.к. военные уведомили, что на дальнейшие заказы можно рассчитывать, лишь обеспечив выпуск около 150 самолетов в год. Разработали предварительный план, предусматривавший приобретение земельного участка площадью не менее 1500 кв. саженей, постройку новых производственных зданий и увеличение персонала до 368 человек. Сумма расходов на организационный период определили в 23100 руб. Но по неясным причинам этот план не реализовали. Зато в Киеве, в мастерских КПИ, удалось достроить аэроплан «Терещенко №7».</w:t>
      </w:r>
    </w:p>
    <w:p w14:paraId="2A524B16" w14:textId="77777777" w:rsidR="00B67D7C" w:rsidRPr="00DE096C" w:rsidRDefault="00B67D7C" w:rsidP="00D45A46">
      <w:pPr>
        <w:pStyle w:val="13"/>
        <w:spacing w:before="0" w:after="0"/>
        <w:jc w:val="both"/>
        <w:rPr>
          <w:bCs/>
          <w:color w:val="002060"/>
          <w:sz w:val="16"/>
          <w:szCs w:val="16"/>
        </w:rPr>
      </w:pPr>
      <w:r w:rsidRPr="00DE096C">
        <w:rPr>
          <w:bCs/>
          <w:color w:val="002060"/>
          <w:sz w:val="16"/>
          <w:szCs w:val="16"/>
        </w:rPr>
        <w:t>Практически все имущество завода вывезли в Москву и разместили на Ходынском поле. Начались переговоры о его продаже с акционерным обществом «Дукс». 3 октября 1915 г. «Дукс» направил в главную контору Терещенко письмо, в котором предлагал выплатить за все это добро, включая 15 аппаратов «Фарман XVI» (очевидно, в различной степени готовности), 111000 руб. Однако Терещенко решил распорядиться самолетами сам. В декабре 1915 г., находясь в Париже, он выдал доверенность на ведение всех дел по продаже военному ведомству этих аэропланов своему представителю А.И. Гуляницкому. И тому удалось провести такую сделку. Причем ряд должностных лиц, рассчитывавших на получение мзды, оказался обделенным. Свидетельство тому находим в письме Григорьева к Вашкевичу, написанному в Москве 28 сентября 1916 г. «По всему видно, что здешняя публика весьма восстановлена против имени Терещенко и всего, что от него исходит, видимо, за то, что труды и возможное их содействие по делу сдачи 15 «Фарманов» прошли для них без ожидаемых результатов».</w:t>
      </w:r>
    </w:p>
    <w:p w14:paraId="321745AA" w14:textId="77777777" w:rsidR="00B67D7C" w:rsidRPr="00DE096C" w:rsidRDefault="00B67D7C" w:rsidP="00D45A46">
      <w:pPr>
        <w:pStyle w:val="13"/>
        <w:spacing w:before="0" w:after="0"/>
        <w:jc w:val="both"/>
        <w:rPr>
          <w:bCs/>
          <w:color w:val="002060"/>
          <w:sz w:val="16"/>
          <w:szCs w:val="16"/>
        </w:rPr>
      </w:pPr>
      <w:r w:rsidRPr="00DE096C">
        <w:rPr>
          <w:bCs/>
          <w:color w:val="002060"/>
          <w:sz w:val="16"/>
          <w:szCs w:val="16"/>
        </w:rPr>
        <w:t xml:space="preserve">В это время основные хлопоты Григорьева в Москве были связаны с предстоящими испытаниями аэроплана «Терещенко № 7». В том же письме он пишет, что это дело </w:t>
      </w:r>
      <w:r w:rsidRPr="00DE096C">
        <w:rPr>
          <w:rStyle w:val="10"/>
          <w:rFonts w:eastAsiaTheme="majorEastAsia"/>
          <w:bCs/>
          <w:color w:val="002060"/>
          <w:sz w:val="16"/>
          <w:szCs w:val="16"/>
        </w:rPr>
        <w:t xml:space="preserve">«будет стоить больших денег, и не потому, что аппарат негодный хотим сделать годным..., а потому, что нужно победить нашу русскую... инертность ко </w:t>
      </w:r>
      <w:r w:rsidRPr="00DE096C">
        <w:rPr>
          <w:rStyle w:val="10"/>
          <w:rFonts w:eastAsiaTheme="majorEastAsia"/>
          <w:bCs/>
          <w:color w:val="002060"/>
          <w:sz w:val="16"/>
          <w:szCs w:val="16"/>
        </w:rPr>
        <w:lastRenderedPageBreak/>
        <w:t>всему новому, возникшую уже, вероятно, у некоторых недоброжелателей на почве возможной конкуренции...»</w:t>
      </w:r>
      <w:r w:rsidRPr="00DE096C">
        <w:rPr>
          <w:bCs/>
          <w:color w:val="002060"/>
          <w:sz w:val="16"/>
          <w:szCs w:val="16"/>
        </w:rPr>
        <w:t xml:space="preserve"> Надо сказать, что военные к этому самолету относились благосклонно, и в 1917 г. он успешно прошел испытания. Однако запустить его в серийное производство на каком-либо заводе не удалось. </w:t>
      </w:r>
    </w:p>
    <w:p w14:paraId="41D846DA" w14:textId="77777777" w:rsidR="00B67D7C" w:rsidRPr="00DE096C" w:rsidRDefault="00B67D7C" w:rsidP="00D45A46">
      <w:pPr>
        <w:pStyle w:val="13"/>
        <w:spacing w:before="0" w:after="0"/>
        <w:jc w:val="both"/>
        <w:rPr>
          <w:bCs/>
          <w:color w:val="002060"/>
          <w:sz w:val="16"/>
          <w:szCs w:val="16"/>
        </w:rPr>
      </w:pPr>
      <w:r w:rsidRPr="00DE096C">
        <w:rPr>
          <w:bCs/>
          <w:color w:val="002060"/>
          <w:sz w:val="16"/>
          <w:szCs w:val="16"/>
        </w:rPr>
        <w:t xml:space="preserve">Еще одним наследием Червоннского завода стал поезд-мастерская. Он был сформирован с использованием части оборудования предприятия и полностью за счет Терещенко, из средств которого даже выплачивалось денежное содержание руководящему составу. Например, за 1916 г. начальник поезда коллежский асессор С.Т.Самсонов получил 3600 руб., а заведующий мастерской подпоручик А.С.Ларионов — 3000 руб. Осенью 1915 г. мастерская прибыла в Москву. Для ее развертывания были необходимы помещения, которые подыскали далеко не сразу, и работу начали прямо под открытым небом, невзирая на холод, дождь, а потом и снег. Личный состав освоил ремонт самолетов и моторов самых разных типов, возвратив в строй в течение года 250 аэропланов и 70 двигателей. Эту работу высоко оценил начальник Управления военного воздушного флота (УВВФ) генерал-майор Пневский, выразивший «исключительную благодарность» руководящему звену поезда, а также объявивший свое спасибо «молодцам рабочим и нижним чинам». Как следует из приказа по УВВФ № 152 от 19 декабря 1916г., </w:t>
      </w:r>
      <w:r w:rsidRPr="00DE096C">
        <w:rPr>
          <w:rStyle w:val="10"/>
          <w:rFonts w:eastAsiaTheme="majorEastAsia"/>
          <w:bCs/>
          <w:color w:val="002060"/>
          <w:sz w:val="16"/>
          <w:szCs w:val="16"/>
        </w:rPr>
        <w:t>«Согласно указания Августейшего Полевого Генерал-инспектора Военного Воздушного Флота, поезд мастерская Его Императорского Величества Великого Князя Александра Михайловича Червоннского авиационного завода Федора Федоровича Терещенко oтправляется в состав действующей армии»</w:t>
      </w:r>
      <w:r w:rsidRPr="00DE096C">
        <w:rPr>
          <w:bCs/>
          <w:color w:val="002060"/>
          <w:sz w:val="16"/>
          <w:szCs w:val="16"/>
        </w:rPr>
        <w:t>. Через 2 недели Терещенко лично возглавил поезд. Действия передвижной мастерской во фронтовых условиях тоже оказались успешными. За руководство ею и другие заслуги в годы войны Федор Федорович был награжден орденами Св. Владимира 4-й степени и Св. Анны 2-й степени.</w:t>
      </w:r>
    </w:p>
    <w:p w14:paraId="2122E699" w14:textId="77777777" w:rsidR="00B67D7C" w:rsidRPr="00DE096C" w:rsidRDefault="00B67D7C" w:rsidP="00D45A46">
      <w:pPr>
        <w:pStyle w:val="13"/>
        <w:spacing w:before="0" w:after="0"/>
        <w:jc w:val="both"/>
        <w:rPr>
          <w:bCs/>
          <w:color w:val="002060"/>
          <w:sz w:val="16"/>
          <w:szCs w:val="16"/>
        </w:rPr>
      </w:pPr>
      <w:r w:rsidRPr="00DE096C">
        <w:rPr>
          <w:bCs/>
          <w:color w:val="002060"/>
          <w:sz w:val="16"/>
          <w:szCs w:val="16"/>
        </w:rPr>
        <w:t>ам Червоннский завод все-таки был продан «Дуксу». В конце 1915 г. — начале 1916 г. этой фирме передали различное оборудование, включая 15 станков, авиационные материалы, готовые изделия и т.п. на сумму 86039 руб. Остатки имущества ликвидированного предприятия П.Т.Замлилый еще длительное время распродавал в розницу. В частности, 22 мая 1916 г. он предложил приобрести моторы «Мерседес» в 50 л.с. и «Австро-Даймлер» в 40 л.с, а также различные запчасти к двигателям «Гном». Обращение осталось без ответа. Последнее упоминание о предприятии Tepeщенко датировано 18 января 1917 г., когда приобрело «наличной покупкой» (то есть без заключения контракта) из остатков имущества Червоннского завода один комплект запчастей к «Фарману XVI».</w:t>
      </w:r>
    </w:p>
    <w:p w14:paraId="52F54769" w14:textId="77777777" w:rsidR="00B67D7C" w:rsidRPr="00DE096C" w:rsidRDefault="00B67D7C" w:rsidP="00D45A46">
      <w:pPr>
        <w:pStyle w:val="13"/>
        <w:spacing w:before="0" w:after="0"/>
        <w:jc w:val="both"/>
        <w:rPr>
          <w:bCs/>
          <w:color w:val="002060"/>
          <w:sz w:val="16"/>
          <w:szCs w:val="16"/>
        </w:rPr>
      </w:pPr>
      <w:r w:rsidRPr="00DE096C">
        <w:rPr>
          <w:bCs/>
          <w:color w:val="002060"/>
          <w:sz w:val="16"/>
          <w:szCs w:val="16"/>
        </w:rPr>
        <w:t>После прихода в Украину советской власти имение Червонное было национализировано. О восстановлении там авиационного завода никто не помышлял, хотя все производственные помещения сохранялись довольно долго и были разобраны после Второй мировой войны. О судьбе самого Терещенко долгие годы на родине ничего не знали даже исследователи, занимавшиеся историей этой семьи. Лишь несколько лет назад, благодаря ycилиям киевского историка В.В.Ковалинского стало известно, что Федор Федорович эмигрировал во Францию и жил в Париже до своей кончины 30 января 1950 г. (12252)</w:t>
      </w:r>
    </w:p>
    <w:p w14:paraId="26C15A18" w14:textId="77777777" w:rsidR="00B67D7C" w:rsidRPr="00DE096C" w:rsidRDefault="00B67D7C" w:rsidP="00D45A46">
      <w:pPr>
        <w:jc w:val="both"/>
        <w:rPr>
          <w:bCs/>
          <w:i/>
          <w:color w:val="002060"/>
          <w:sz w:val="16"/>
          <w:szCs w:val="16"/>
        </w:rPr>
      </w:pPr>
    </w:p>
    <w:p w14:paraId="62AA011D" w14:textId="77777777" w:rsidR="00263E55" w:rsidRPr="00DE096C" w:rsidRDefault="00263E55" w:rsidP="00D45A46">
      <w:pPr>
        <w:jc w:val="both"/>
        <w:rPr>
          <w:bCs/>
          <w:i/>
          <w:color w:val="002060"/>
          <w:sz w:val="16"/>
          <w:szCs w:val="16"/>
        </w:rPr>
      </w:pPr>
      <w:r w:rsidRPr="00DE096C">
        <w:rPr>
          <w:bCs/>
          <w:i/>
          <w:color w:val="002060"/>
          <w:sz w:val="16"/>
          <w:szCs w:val="16"/>
        </w:rPr>
        <w:t>Другие оборонные отрасли:</w:t>
      </w:r>
    </w:p>
    <w:p w14:paraId="2EF9B0CB" w14:textId="77777777" w:rsidR="00263E55" w:rsidRPr="00DE096C" w:rsidRDefault="00263E55" w:rsidP="00D45A46">
      <w:pPr>
        <w:jc w:val="both"/>
        <w:rPr>
          <w:bCs/>
          <w:i/>
          <w:color w:val="002060"/>
          <w:sz w:val="16"/>
          <w:szCs w:val="16"/>
        </w:rPr>
      </w:pPr>
    </w:p>
    <w:p w14:paraId="3C002DDE" w14:textId="563A410A" w:rsidR="00263E55" w:rsidRPr="00DE096C" w:rsidRDefault="00263E55" w:rsidP="00D45A46">
      <w:pPr>
        <w:jc w:val="both"/>
        <w:rPr>
          <w:bCs/>
          <w:color w:val="002060"/>
          <w:sz w:val="16"/>
          <w:szCs w:val="16"/>
        </w:rPr>
      </w:pPr>
      <w:r w:rsidRPr="00DE096C">
        <w:rPr>
          <w:bCs/>
          <w:color w:val="002060"/>
          <w:sz w:val="16"/>
          <w:szCs w:val="16"/>
        </w:rPr>
        <w:t xml:space="preserve">7 </w:t>
      </w:r>
      <w:r w:rsidR="00A7574E" w:rsidRPr="00DE096C">
        <w:rPr>
          <w:bCs/>
          <w:color w:val="002060"/>
          <w:sz w:val="16"/>
          <w:szCs w:val="16"/>
        </w:rPr>
        <w:t xml:space="preserve">(20) </w:t>
      </w:r>
      <w:r w:rsidRPr="00DE096C">
        <w:rPr>
          <w:bCs/>
          <w:color w:val="002060"/>
          <w:sz w:val="16"/>
          <w:szCs w:val="16"/>
        </w:rPr>
        <w:t>июня 1914 г. А.А. Якимович, заведовавший всеми предприятиями ГАУ</w:t>
      </w:r>
      <w:r w:rsidR="00A7574E" w:rsidRPr="00DE096C">
        <w:rPr>
          <w:bCs/>
          <w:color w:val="002060"/>
          <w:sz w:val="16"/>
          <w:szCs w:val="16"/>
        </w:rPr>
        <w:t>,</w:t>
      </w:r>
      <w:r w:rsidRPr="00DE096C">
        <w:rPr>
          <w:bCs/>
          <w:color w:val="002060"/>
          <w:sz w:val="16"/>
          <w:szCs w:val="16"/>
        </w:rPr>
        <w:t xml:space="preserve"> указывал, что Петербургский орудийный завода, состоящий в ведении ГАУ, «является единственным производителем частей пушек и люлек (механизм, соединяющий ствол орудия с лафетом</w:t>
      </w:r>
      <w:r w:rsidRPr="00DE096C">
        <w:rPr>
          <w:bCs/>
          <w:i/>
          <w:iCs/>
          <w:color w:val="002060"/>
          <w:sz w:val="16"/>
          <w:szCs w:val="16"/>
        </w:rPr>
        <w:t>), </w:t>
      </w:r>
      <w:r w:rsidRPr="00DE096C">
        <w:rPr>
          <w:bCs/>
          <w:color w:val="002060"/>
          <w:sz w:val="16"/>
          <w:szCs w:val="16"/>
        </w:rPr>
        <w:t>прицелов, панорам (оптический угломер, взаимодействующий с прицелом</w:t>
      </w:r>
      <w:r w:rsidRPr="00DE096C">
        <w:rPr>
          <w:bCs/>
          <w:i/>
          <w:iCs/>
          <w:color w:val="002060"/>
          <w:sz w:val="16"/>
          <w:szCs w:val="16"/>
        </w:rPr>
        <w:t>) </w:t>
      </w:r>
      <w:r w:rsidRPr="00DE096C">
        <w:rPr>
          <w:bCs/>
          <w:color w:val="002060"/>
          <w:sz w:val="16"/>
          <w:szCs w:val="16"/>
        </w:rPr>
        <w:t>и телефонного имущества» и что «потребность в этих предметах значительно превышает производительность завода», положение изменится только с окончанием переустройства тесных помещений. На деле позднее выяснилось, что никакое «переустройство помещений» на старом месте не решает проблему и завод придется перенести куда-то из Петрограда. Но к началу войны расширение старого завода было в разгаре: «некоторые помещения пришлось освободить от станков», передвинув работы по исполняемым нарядам в другие места, хотя там для этого создались более «тяжелые условия» (17409).</w:t>
      </w:r>
    </w:p>
    <w:p w14:paraId="6DEC7A7B" w14:textId="77777777" w:rsidR="00263E55" w:rsidRPr="00DE096C" w:rsidRDefault="00263E55" w:rsidP="00D45A46">
      <w:pPr>
        <w:jc w:val="both"/>
        <w:rPr>
          <w:bCs/>
          <w:color w:val="002060"/>
          <w:sz w:val="16"/>
          <w:szCs w:val="16"/>
        </w:rPr>
      </w:pPr>
    </w:p>
    <w:p w14:paraId="6F46992D" w14:textId="3FB0AC42" w:rsidR="005C3561" w:rsidRPr="00DE096C" w:rsidRDefault="005C3561" w:rsidP="00D45A46">
      <w:pPr>
        <w:jc w:val="both"/>
        <w:rPr>
          <w:bCs/>
          <w:color w:val="002060"/>
          <w:sz w:val="16"/>
          <w:szCs w:val="16"/>
        </w:rPr>
      </w:pPr>
      <w:r w:rsidRPr="00DE096C">
        <w:rPr>
          <w:bCs/>
          <w:color w:val="002060"/>
          <w:sz w:val="16"/>
          <w:szCs w:val="16"/>
        </w:rPr>
        <w:t>7 (20) июня 1914 г. А.А.Якимович, заведовавший всеми предпри</w:t>
      </w:r>
      <w:r w:rsidRPr="00DE096C">
        <w:rPr>
          <w:bCs/>
          <w:color w:val="002060"/>
          <w:sz w:val="16"/>
          <w:szCs w:val="16"/>
        </w:rPr>
        <w:softHyphen/>
        <w:t>ятиями ГАУ, указывал, что слабость Петербургского орудийного завода ГАУ, который «является единственным производителем частей пушек и люлек, прицелов, панорам и телефонного имущества» ведет к тому, что «потребность в этих предметах значительно превышает производитель</w:t>
      </w:r>
      <w:r w:rsidRPr="00DE096C">
        <w:rPr>
          <w:bCs/>
          <w:color w:val="002060"/>
          <w:sz w:val="16"/>
          <w:szCs w:val="16"/>
        </w:rPr>
        <w:softHyphen/>
        <w:t>ность завода», положение изменится только с окончанием переустройства тесных помещений. На деле позднее выяс</w:t>
      </w:r>
      <w:r w:rsidRPr="00DE096C">
        <w:rPr>
          <w:bCs/>
          <w:color w:val="002060"/>
          <w:sz w:val="16"/>
          <w:szCs w:val="16"/>
        </w:rPr>
        <w:softHyphen/>
        <w:t>нилось, что никакое «переустройство помещений» на ста</w:t>
      </w:r>
      <w:r w:rsidRPr="00DE096C">
        <w:rPr>
          <w:bCs/>
          <w:color w:val="002060"/>
          <w:sz w:val="16"/>
          <w:szCs w:val="16"/>
        </w:rPr>
        <w:softHyphen/>
        <w:t>ром месте не решает проблему и завод придется перенести куда-то из Петрограда. Но к началу войны расширение старого завода было в разгаре: «некоторые помещения при</w:t>
      </w:r>
      <w:r w:rsidRPr="00DE096C">
        <w:rPr>
          <w:bCs/>
          <w:color w:val="002060"/>
          <w:sz w:val="16"/>
          <w:szCs w:val="16"/>
        </w:rPr>
        <w:softHyphen/>
        <w:t>шлось освободить от станков», передвинув работы по ис</w:t>
      </w:r>
      <w:r w:rsidRPr="00DE096C">
        <w:rPr>
          <w:bCs/>
          <w:color w:val="002060"/>
          <w:sz w:val="16"/>
          <w:szCs w:val="16"/>
        </w:rPr>
        <w:softHyphen/>
        <w:t>полняемым нарядам в другие места, хотя там для этого соз</w:t>
      </w:r>
      <w:r w:rsidRPr="00DE096C">
        <w:rPr>
          <w:bCs/>
          <w:color w:val="002060"/>
          <w:sz w:val="16"/>
          <w:szCs w:val="16"/>
        </w:rPr>
        <w:softHyphen/>
        <w:t>дались более «тяжелые условия» (23452).</w:t>
      </w:r>
    </w:p>
    <w:p w14:paraId="026F562D" w14:textId="77777777" w:rsidR="005C3561" w:rsidRPr="00DE096C" w:rsidRDefault="005C3561" w:rsidP="00D45A46">
      <w:pPr>
        <w:jc w:val="both"/>
        <w:rPr>
          <w:bCs/>
          <w:color w:val="002060"/>
          <w:sz w:val="16"/>
          <w:szCs w:val="16"/>
          <w:lang w:bidi="ru-RU"/>
        </w:rPr>
      </w:pPr>
    </w:p>
    <w:p w14:paraId="02348569" w14:textId="19DCA483" w:rsidR="0013152A" w:rsidRPr="00DE096C" w:rsidRDefault="0013152A" w:rsidP="00D45A46">
      <w:pPr>
        <w:jc w:val="both"/>
        <w:rPr>
          <w:bCs/>
          <w:i/>
          <w:color w:val="002060"/>
          <w:sz w:val="16"/>
          <w:szCs w:val="16"/>
        </w:rPr>
      </w:pPr>
      <w:r w:rsidRPr="00DE096C">
        <w:rPr>
          <w:bCs/>
          <w:i/>
          <w:color w:val="002060"/>
          <w:sz w:val="16"/>
          <w:szCs w:val="16"/>
        </w:rPr>
        <w:t>Авиация и воздухоплавание Англии:</w:t>
      </w:r>
    </w:p>
    <w:p w14:paraId="33EECBC9" w14:textId="77777777" w:rsidR="0013152A" w:rsidRPr="00DE096C" w:rsidRDefault="0013152A" w:rsidP="00D45A46">
      <w:pPr>
        <w:jc w:val="both"/>
        <w:rPr>
          <w:bCs/>
          <w:i/>
          <w:color w:val="002060"/>
          <w:sz w:val="16"/>
          <w:szCs w:val="16"/>
        </w:rPr>
      </w:pPr>
    </w:p>
    <w:p w14:paraId="5036959C" w14:textId="77777777" w:rsidR="0013152A" w:rsidRPr="00DE096C" w:rsidRDefault="0013152A" w:rsidP="00D45A46">
      <w:pPr>
        <w:jc w:val="both"/>
        <w:rPr>
          <w:bCs/>
          <w:color w:val="002060"/>
          <w:sz w:val="16"/>
          <w:szCs w:val="16"/>
        </w:rPr>
      </w:pPr>
      <w:r w:rsidRPr="00DE096C">
        <w:rPr>
          <w:bCs/>
          <w:color w:val="002060"/>
          <w:sz w:val="16"/>
          <w:szCs w:val="16"/>
        </w:rPr>
        <w:t>7 (20) июня 1914 руководство фирмы Викерс телеграммой запросило прислать пилотов из Инспекционного директората аэронавтики для их официальных испытаний шести аэропланов E.F.B.3 (Тип 18В), которые получили секретное наименование «Новый вооруженный биплан Виккерс» («New Vickers Gun-carrying Biplane») и номера с FB2 по FB7. Прибыли командир 3-й эскадрильи RFC майор Брук-Попхэм, капитан Чолмоднли и 2-й лейтенант О’Брайан Хаббард. В целом они оценили устойчивость и управляемость самолетов положительно, отметив лишь незначительные недостатки конструкции руля высоты. Командир Военного крыла RFC подполковник Сайкс 23 июля утвердил их заключение, но в рапорте написал уклончиво: «Я рекомендую выполнить еще несколько полетов с моими пилотами, которые дадут дальнейшие рекомендации, если это будет возможно, и заказываю две машины для дальнейших опытов с оружием».</w:t>
      </w:r>
    </w:p>
    <w:p w14:paraId="5916579D" w14:textId="77777777" w:rsidR="0013152A" w:rsidRPr="00DE096C" w:rsidRDefault="0013152A" w:rsidP="00D45A46">
      <w:pPr>
        <w:jc w:val="both"/>
        <w:rPr>
          <w:bCs/>
          <w:color w:val="002060"/>
          <w:sz w:val="16"/>
          <w:szCs w:val="16"/>
        </w:rPr>
      </w:pPr>
      <w:r w:rsidRPr="00DE096C">
        <w:rPr>
          <w:bCs/>
          <w:color w:val="002060"/>
          <w:sz w:val="16"/>
          <w:szCs w:val="16"/>
        </w:rPr>
        <w:t>Из-за этого оплаченные самолеты на баланс британских вооруженных сил до начала войны так и не поступили, и Англия упустила свой шанс первой принять на вооружение самолет-истребитель. Только когда 4 августа она объявила войну Германии, чиновники Адмиралтейства и Военного министерства лихорадочно забегали, оформляя заказы у «Виккерса». (22734).</w:t>
      </w:r>
    </w:p>
    <w:p w14:paraId="492C08FD" w14:textId="77777777" w:rsidR="0013152A" w:rsidRPr="00DE096C" w:rsidRDefault="0013152A" w:rsidP="00D45A46">
      <w:pPr>
        <w:pStyle w:val="book"/>
        <w:spacing w:before="0" w:beforeAutospacing="0" w:after="0" w:afterAutospacing="0"/>
        <w:jc w:val="both"/>
        <w:rPr>
          <w:bCs/>
          <w:color w:val="002060"/>
          <w:sz w:val="16"/>
          <w:szCs w:val="16"/>
          <w:shd w:val="clear" w:color="auto" w:fill="FFFFFF"/>
        </w:rPr>
      </w:pPr>
    </w:p>
    <w:p w14:paraId="285E2203" w14:textId="77777777" w:rsidR="0013152A" w:rsidRPr="00DE096C" w:rsidRDefault="0013152A" w:rsidP="00D45A46">
      <w:pPr>
        <w:jc w:val="both"/>
        <w:rPr>
          <w:bCs/>
          <w:i/>
          <w:color w:val="002060"/>
          <w:sz w:val="16"/>
          <w:szCs w:val="16"/>
        </w:rPr>
      </w:pPr>
      <w:r w:rsidRPr="00DE096C">
        <w:rPr>
          <w:bCs/>
          <w:i/>
          <w:color w:val="002060"/>
          <w:sz w:val="16"/>
          <w:szCs w:val="16"/>
        </w:rPr>
        <w:t>Авиация и воздухоплавание за рубежом:</w:t>
      </w:r>
    </w:p>
    <w:p w14:paraId="3E4B9D43" w14:textId="77777777" w:rsidR="0013152A" w:rsidRPr="00DE096C" w:rsidRDefault="0013152A" w:rsidP="00D45A46">
      <w:pPr>
        <w:jc w:val="both"/>
        <w:rPr>
          <w:bCs/>
          <w:i/>
          <w:color w:val="002060"/>
          <w:sz w:val="16"/>
          <w:szCs w:val="16"/>
        </w:rPr>
      </w:pPr>
    </w:p>
    <w:p w14:paraId="2BCA1F32" w14:textId="13DDF67A" w:rsidR="0013152A" w:rsidRPr="00DE096C" w:rsidRDefault="0013152A" w:rsidP="00D45A46">
      <w:pPr>
        <w:jc w:val="both"/>
        <w:rPr>
          <w:bCs/>
          <w:color w:val="002060"/>
          <w:sz w:val="16"/>
          <w:szCs w:val="16"/>
        </w:rPr>
      </w:pPr>
      <w:r w:rsidRPr="00DE096C">
        <w:rPr>
          <w:bCs/>
          <w:color w:val="002060"/>
          <w:sz w:val="16"/>
          <w:szCs w:val="16"/>
        </w:rPr>
        <w:t>7 (20) июня 1914 на австро-венгерском дирижабле Militärluftschiff III (или M.III) над Фишамендом испытывается новый аэрофотоаппарат. Пилот австро-венгерской армии пытается облетель M.III на биплане Farman. Самолет ударяется о верхнюю часть дирижабля, пробивая дыру и воспламеняет вытекающий водород. Оба аппарата уничтожены, оба члена экипажа в самолете и все семеро на борту M.III погибли. Это конец австро-венгерской программы дирижаблей (20337).</w:t>
      </w:r>
    </w:p>
    <w:p w14:paraId="041B7A43" w14:textId="0465D28E" w:rsidR="0013152A" w:rsidRPr="00DE096C" w:rsidRDefault="0013152A" w:rsidP="00D45A46">
      <w:pPr>
        <w:jc w:val="both"/>
        <w:rPr>
          <w:bCs/>
          <w:color w:val="002060"/>
          <w:sz w:val="16"/>
          <w:szCs w:val="16"/>
        </w:rPr>
      </w:pPr>
    </w:p>
    <w:p w14:paraId="165DE0A6" w14:textId="51AFABA4" w:rsidR="001B4A25" w:rsidRPr="00DE096C" w:rsidRDefault="001B4A25" w:rsidP="001B4A25">
      <w:pPr>
        <w:jc w:val="both"/>
        <w:rPr>
          <w:bCs/>
          <w:i/>
          <w:color w:val="002060"/>
          <w:sz w:val="16"/>
          <w:szCs w:val="16"/>
        </w:rPr>
      </w:pPr>
      <w:r w:rsidRPr="00DE096C">
        <w:rPr>
          <w:bCs/>
          <w:i/>
          <w:color w:val="002060"/>
          <w:sz w:val="16"/>
          <w:szCs w:val="16"/>
        </w:rPr>
        <w:t xml:space="preserve">Авиация и воздухоплавание </w:t>
      </w:r>
      <w:r>
        <w:rPr>
          <w:bCs/>
          <w:i/>
          <w:color w:val="002060"/>
          <w:sz w:val="16"/>
          <w:szCs w:val="16"/>
        </w:rPr>
        <w:t>Франции</w:t>
      </w:r>
      <w:r w:rsidRPr="00DE096C">
        <w:rPr>
          <w:bCs/>
          <w:i/>
          <w:color w:val="002060"/>
          <w:sz w:val="16"/>
          <w:szCs w:val="16"/>
        </w:rPr>
        <w:t>:</w:t>
      </w:r>
    </w:p>
    <w:p w14:paraId="2A7FF92D" w14:textId="77777777" w:rsidR="001B4A25" w:rsidRPr="00DE096C" w:rsidRDefault="001B4A25" w:rsidP="001B4A25">
      <w:pPr>
        <w:jc w:val="both"/>
        <w:rPr>
          <w:bCs/>
          <w:i/>
          <w:color w:val="002060"/>
          <w:sz w:val="16"/>
          <w:szCs w:val="16"/>
        </w:rPr>
      </w:pPr>
    </w:p>
    <w:p w14:paraId="6025D52D" w14:textId="77777777" w:rsidR="001B4A25" w:rsidRPr="00B52707" w:rsidRDefault="001B4A25" w:rsidP="001B4A25">
      <w:pPr>
        <w:jc w:val="both"/>
        <w:rPr>
          <w:color w:val="0070C0"/>
          <w:sz w:val="16"/>
          <w:szCs w:val="16"/>
        </w:rPr>
      </w:pPr>
      <w:r w:rsidRPr="00B52707">
        <w:rPr>
          <w:color w:val="0070C0"/>
          <w:sz w:val="16"/>
          <w:szCs w:val="16"/>
        </w:rPr>
        <w:t xml:space="preserve">8 (21) июня 1914 г. Первый полет на опытном аэроплане Моран-Солнье тип O или «Монокок» выполнил лично шеф-пилот фирмы Гарро. Хотя лето выдалось жарким и мотор постоянно перегревался, он показал хорошую, хотя и не рекордную скорость полета. Но заплатить за это пришлось ухудшением манёвренности и управляемости </w:t>
      </w:r>
      <w:r w:rsidRPr="00B52707">
        <w:rPr>
          <w:color w:val="0070C0"/>
          <w:sz w:val="16"/>
          <w:szCs w:val="16"/>
        </w:rPr>
        <w:softHyphen/>
        <w:t>– даже такой опытный летчик едва справлялся с норовистой машиной со слишком большой удельной нагрузкой на крыло и малым плечом оперения.</w:t>
      </w:r>
    </w:p>
    <w:p w14:paraId="266FF9F0" w14:textId="77777777" w:rsidR="001B4A25" w:rsidRPr="00B52707" w:rsidRDefault="001B4A25" w:rsidP="001B4A25">
      <w:pPr>
        <w:jc w:val="both"/>
        <w:rPr>
          <w:color w:val="0070C0"/>
          <w:sz w:val="16"/>
          <w:szCs w:val="16"/>
        </w:rPr>
      </w:pPr>
      <w:r w:rsidRPr="00B52707">
        <w:rPr>
          <w:color w:val="0070C0"/>
          <w:sz w:val="16"/>
          <w:szCs w:val="16"/>
        </w:rPr>
        <w:t>Тем не менее, Гарро убедил конструкторов и хозяев фирмы, что они на правильном пути. Именно на таком самолете можно будет бить «бошей» в будущих воздушных сражениях, а они не за горами – в этом пилот был полностью убежден.</w:t>
      </w:r>
    </w:p>
    <w:p w14:paraId="30D436D1" w14:textId="77777777" w:rsidR="001B4A25" w:rsidRPr="00B52707" w:rsidRDefault="001B4A25" w:rsidP="001B4A25">
      <w:pPr>
        <w:jc w:val="both"/>
        <w:rPr>
          <w:color w:val="0070C0"/>
          <w:sz w:val="16"/>
          <w:szCs w:val="16"/>
        </w:rPr>
      </w:pPr>
      <w:r w:rsidRPr="00B52707">
        <w:rPr>
          <w:color w:val="0070C0"/>
          <w:sz w:val="16"/>
          <w:szCs w:val="16"/>
        </w:rPr>
        <w:t>Однако Моран «Монокок» не соответствовал требованиям Военного ведомства Франции, поскольку был слишком маленьким и одноместным, к тому же тип L «Парасоль» отличался лучшим обзором вниз. Патриотизм патриотизмом, а коммерция – коммерцией, и дирекция фирмы «Моран-Солнье» решает все же вложить свободные деньги в серийный выпуск самолета для частных заказчиков. Всего за несколько дней был построен первый гоночный Моран-Солнье MS.5 «Монокок», который отличался от прототипа лишь несколько улучшенной системой управления. После коротких испытаний летом 1914 г. его начали строить серийно.</w:t>
      </w:r>
    </w:p>
    <w:p w14:paraId="5847C678" w14:textId="77777777" w:rsidR="001B4A25" w:rsidRPr="00B52707" w:rsidRDefault="001B4A25" w:rsidP="001B4A25">
      <w:pPr>
        <w:jc w:val="both"/>
        <w:rPr>
          <w:color w:val="0070C0"/>
          <w:sz w:val="16"/>
          <w:szCs w:val="16"/>
        </w:rPr>
      </w:pPr>
      <w:r w:rsidRPr="00B52707">
        <w:rPr>
          <w:color w:val="0070C0"/>
          <w:sz w:val="16"/>
          <w:szCs w:val="16"/>
        </w:rPr>
        <w:t>Пилотажные свойства машины и охлаждение мотора отнюдь не улучшились, и военное ведомство её демонстративно игнорировало, однако как только начнется война, все построенные самолеты этих типов будут мобилизованы и окажутся в армии под обозначением Моран Тип N (25650).</w:t>
      </w:r>
    </w:p>
    <w:p w14:paraId="5495BB90" w14:textId="77777777" w:rsidR="001B4A25" w:rsidRPr="00B52707" w:rsidRDefault="001B4A25" w:rsidP="001B4A25">
      <w:pPr>
        <w:jc w:val="both"/>
        <w:rPr>
          <w:color w:val="0070C0"/>
          <w:sz w:val="16"/>
          <w:szCs w:val="16"/>
        </w:rPr>
      </w:pPr>
    </w:p>
    <w:p w14:paraId="3C1AF9DF" w14:textId="77777777" w:rsidR="0013523B" w:rsidRPr="00F52B89" w:rsidRDefault="0013523B" w:rsidP="00742A1A">
      <w:pPr>
        <w:jc w:val="both"/>
        <w:rPr>
          <w:color w:val="0070C0"/>
          <w:sz w:val="16"/>
          <w:szCs w:val="16"/>
        </w:rPr>
      </w:pPr>
      <w:r w:rsidRPr="00F52B89">
        <w:rPr>
          <w:color w:val="0070C0"/>
          <w:sz w:val="16"/>
          <w:szCs w:val="16"/>
        </w:rPr>
        <w:t>8 (21) июня 1914 г.  шеф-пилот фирмы «Моран-Солнье» Гарро, облетал новый гоночный самолет Тип О, сознанный в развитие уже выпускавшегося в больших количествах и пользовавшегося любовью многих авиаторов-спортсменов моноплана Тип Н. В новой конструкции все направили на повышение скорости. Фюзеляж укоротили на 1,2 м, придав ему скругленное (вернее многогранное) сечение за счет опалубки из реек вокруг несущей фермы, по которой пустили полотняную обшивку, размах крыла уменьшили на 1,7 м, сократив площадь почти в полтора раза.</w:t>
      </w:r>
    </w:p>
    <w:p w14:paraId="71F0C10B" w14:textId="77777777" w:rsidR="0013523B" w:rsidRPr="00F52B89" w:rsidRDefault="0013523B" w:rsidP="00742A1A">
      <w:pPr>
        <w:jc w:val="both"/>
        <w:rPr>
          <w:color w:val="0070C0"/>
          <w:sz w:val="16"/>
          <w:szCs w:val="16"/>
        </w:rPr>
      </w:pPr>
      <w:r w:rsidRPr="00F52B89">
        <w:rPr>
          <w:color w:val="0070C0"/>
          <w:sz w:val="16"/>
          <w:szCs w:val="16"/>
        </w:rPr>
        <w:t>На фирме этот аэроплан назвали «Монококом», хотя изначально термин monocoque означал просто «самолет с фюзеляжем, полностью закрытым обшивкой», а тогда уже аэропланов с частично обшитым фюзеляжем уже не строили. Позже так стали называть фюзеляж с силовой обшивкой и легким силовым набором, но и к таким машинам Тип О не относился, тем не менее, именно это название стало общеупотребительным для всех его «потомков».</w:t>
      </w:r>
    </w:p>
    <w:p w14:paraId="3C2AA574" w14:textId="77777777" w:rsidR="0013523B" w:rsidRPr="00F52B89" w:rsidRDefault="0013523B" w:rsidP="00742A1A">
      <w:pPr>
        <w:jc w:val="both"/>
        <w:rPr>
          <w:color w:val="0070C0"/>
          <w:sz w:val="16"/>
          <w:szCs w:val="16"/>
        </w:rPr>
      </w:pPr>
      <w:r w:rsidRPr="00F52B89">
        <w:rPr>
          <w:color w:val="0070C0"/>
          <w:sz w:val="16"/>
          <w:szCs w:val="16"/>
        </w:rPr>
        <w:t>Девятицилиндровый ротативный двигатель Рон 9С мощностью 80 л.с. закрывал большой кок винта, который окрестили «кастрюлей», а охлаждающий воздух поступал к мотору через кольцевую щель между ним и капотом. Ее сделали узкой, из-за чего мотор часто перегревался, но на короткой дистанции мало кто не мог опередить этот аэроплан и то если мотор много мощнее, а стоило снять кок, и скорость резко падала.</w:t>
      </w:r>
    </w:p>
    <w:p w14:paraId="4B1A20B1" w14:textId="77777777" w:rsidR="0013523B" w:rsidRPr="00F52B89" w:rsidRDefault="0013523B" w:rsidP="00742A1A">
      <w:pPr>
        <w:jc w:val="both"/>
        <w:rPr>
          <w:color w:val="0070C0"/>
          <w:sz w:val="16"/>
          <w:szCs w:val="16"/>
        </w:rPr>
      </w:pPr>
      <w:r w:rsidRPr="00F52B89">
        <w:rPr>
          <w:color w:val="0070C0"/>
          <w:sz w:val="16"/>
          <w:szCs w:val="16"/>
        </w:rPr>
        <w:t>Летные данные всего на восьмидесяти силах получили очень высокие, хотя в сравнении со «стосильными болидами» и не выдающиеся. Фирма упирала на цену и экономичность движка и рассчитывала продавать новый аэроплан как во Франции, так и за рубежом, и летом 1914 г. его с успехом показали в Австрии. Но конструкторы знали, что из-за большой нагрузки на крыло он «тугой и резкий» в управлении, а сама его проводка имеет ряд «особенностей», не позволявших продавать новинку как есть без риска рекламаций (25772).</w:t>
      </w:r>
    </w:p>
    <w:p w14:paraId="44650011" w14:textId="77777777" w:rsidR="0013523B" w:rsidRPr="00F52B89" w:rsidRDefault="0013523B" w:rsidP="0013523B">
      <w:pPr>
        <w:rPr>
          <w:color w:val="0070C0"/>
          <w:sz w:val="16"/>
          <w:szCs w:val="16"/>
        </w:rPr>
      </w:pPr>
    </w:p>
    <w:p w14:paraId="08CA9A8E" w14:textId="27511EEC" w:rsidR="001B4A25" w:rsidRPr="00DE096C" w:rsidRDefault="001B4A25" w:rsidP="001B4A25">
      <w:pPr>
        <w:jc w:val="both"/>
        <w:rPr>
          <w:bCs/>
          <w:color w:val="002060"/>
          <w:sz w:val="16"/>
          <w:szCs w:val="16"/>
        </w:rPr>
      </w:pPr>
      <w:r>
        <w:rPr>
          <w:bCs/>
          <w:i/>
          <w:color w:val="002060"/>
          <w:sz w:val="16"/>
          <w:szCs w:val="16"/>
        </w:rPr>
        <w:t>Самолетостроение</w:t>
      </w:r>
      <w:r w:rsidRPr="00DE096C">
        <w:rPr>
          <w:bCs/>
          <w:i/>
          <w:color w:val="002060"/>
          <w:sz w:val="16"/>
          <w:szCs w:val="16"/>
        </w:rPr>
        <w:t>:</w:t>
      </w:r>
    </w:p>
    <w:p w14:paraId="5F97E677" w14:textId="77777777" w:rsidR="001B4A25" w:rsidRPr="00DE096C" w:rsidRDefault="001B4A25" w:rsidP="001B4A25">
      <w:pPr>
        <w:jc w:val="both"/>
        <w:rPr>
          <w:bCs/>
          <w:color w:val="002060"/>
          <w:sz w:val="16"/>
          <w:szCs w:val="16"/>
        </w:rPr>
      </w:pPr>
    </w:p>
    <w:p w14:paraId="0B9FF5E5" w14:textId="77777777" w:rsidR="001B4A25" w:rsidRPr="00B52707" w:rsidRDefault="001B4A25" w:rsidP="001B4A25">
      <w:pPr>
        <w:jc w:val="both"/>
        <w:rPr>
          <w:color w:val="0070C0"/>
          <w:sz w:val="16"/>
          <w:szCs w:val="16"/>
        </w:rPr>
      </w:pPr>
      <w:r w:rsidRPr="00B52707">
        <w:rPr>
          <w:rStyle w:val="ab"/>
          <w:rFonts w:ascii="Times New Roman" w:hAnsi="Times New Roman"/>
          <w:color w:val="0070C0"/>
          <w:spacing w:val="0"/>
          <w:sz w:val="16"/>
          <w:szCs w:val="16"/>
        </w:rPr>
        <w:t>9 (22) июня 1914 г. изготовленные по заказу российского правитель</w:t>
      </w:r>
      <w:r w:rsidRPr="00B52707">
        <w:rPr>
          <w:rStyle w:val="ab"/>
          <w:rFonts w:ascii="Times New Roman" w:hAnsi="Times New Roman"/>
          <w:color w:val="0070C0"/>
          <w:spacing w:val="0"/>
          <w:sz w:val="16"/>
          <w:szCs w:val="16"/>
        </w:rPr>
        <w:softHyphen/>
        <w:t>ства во Франции гидроаэропланы в разобранном виде погрузили на поисковые суда «Герта» и «Эклипс» доставили в столицу Норвегии Христианию (ныне г. Осло). 'Гем временем в связи с угрозой начала войны И.В. Евсюкова отозвали в Санкт-Петербург. Его заменил пилот Александров. Но, забегая вперед, отметим, что тому не повезло: в первом же вылете с мыса Челюскин он по</w:t>
      </w:r>
      <w:r w:rsidRPr="00B52707">
        <w:rPr>
          <w:rStyle w:val="ab"/>
          <w:rFonts w:ascii="Times New Roman" w:hAnsi="Times New Roman"/>
          <w:color w:val="0070C0"/>
          <w:spacing w:val="0"/>
          <w:sz w:val="16"/>
          <w:szCs w:val="16"/>
        </w:rPr>
        <w:softHyphen/>
        <w:t>терпел крушение.</w:t>
      </w:r>
    </w:p>
    <w:p w14:paraId="12A90C7D" w14:textId="77777777" w:rsidR="001B4A25" w:rsidRPr="00B52707" w:rsidRDefault="001B4A25" w:rsidP="001B4A25">
      <w:pPr>
        <w:jc w:val="both"/>
        <w:rPr>
          <w:color w:val="0070C0"/>
          <w:sz w:val="16"/>
          <w:szCs w:val="16"/>
        </w:rPr>
      </w:pPr>
      <w:r w:rsidRPr="00B52707">
        <w:rPr>
          <w:rStyle w:val="ab"/>
          <w:rFonts w:ascii="Times New Roman" w:hAnsi="Times New Roman"/>
          <w:color w:val="0070C0"/>
          <w:spacing w:val="0"/>
          <w:sz w:val="16"/>
          <w:szCs w:val="16"/>
        </w:rPr>
        <w:t>17 (30) июня 1914 г. разобранный и упакованный в 8 ящиков само</w:t>
      </w:r>
      <w:r w:rsidRPr="00B52707">
        <w:rPr>
          <w:rStyle w:val="ab"/>
          <w:rFonts w:ascii="Times New Roman" w:hAnsi="Times New Roman"/>
          <w:color w:val="0070C0"/>
          <w:spacing w:val="0"/>
          <w:sz w:val="16"/>
          <w:szCs w:val="16"/>
        </w:rPr>
        <w:softHyphen/>
        <w:t>лёт «Морис Фарман» перегрузили на судно «Эклипс», на котором уже был Я.И. Нагурский. I июля оно вышло из Христиании и 19 июля прибыло в порт Александровск. А через 12 дней лётчик вместе с самолётом держал курс к берегам Новой Земли па пароходе «Печора». Для поиска пропавшей экспедиции Г.Я. Седова Ян Иосифович получил задание: произнести обследование береговой линии от Кре</w:t>
      </w:r>
      <w:r w:rsidRPr="00B52707">
        <w:rPr>
          <w:rStyle w:val="ab"/>
          <w:rFonts w:ascii="Times New Roman" w:hAnsi="Times New Roman"/>
          <w:color w:val="0070C0"/>
          <w:spacing w:val="0"/>
          <w:sz w:val="16"/>
          <w:szCs w:val="16"/>
        </w:rPr>
        <w:softHyphen/>
        <w:t>стовой губы до Панкратьевых островов (25653).</w:t>
      </w:r>
    </w:p>
    <w:p w14:paraId="7A50D705" w14:textId="77777777" w:rsidR="001B4A25" w:rsidRPr="00B52707" w:rsidRDefault="001B4A25" w:rsidP="001B4A25">
      <w:pPr>
        <w:jc w:val="both"/>
        <w:rPr>
          <w:color w:val="0070C0"/>
          <w:sz w:val="16"/>
          <w:szCs w:val="16"/>
        </w:rPr>
      </w:pPr>
    </w:p>
    <w:p w14:paraId="21067705" w14:textId="6B9678FF" w:rsidR="0039093F" w:rsidRPr="00DE096C" w:rsidRDefault="0039093F" w:rsidP="0039093F">
      <w:pPr>
        <w:jc w:val="both"/>
        <w:rPr>
          <w:bCs/>
          <w:color w:val="002060"/>
          <w:sz w:val="16"/>
          <w:szCs w:val="16"/>
        </w:rPr>
      </w:pPr>
      <w:r>
        <w:rPr>
          <w:bCs/>
          <w:i/>
          <w:color w:val="002060"/>
          <w:sz w:val="16"/>
          <w:szCs w:val="16"/>
        </w:rPr>
        <w:t>Другие оборонные отрасли</w:t>
      </w:r>
      <w:r w:rsidRPr="00DE096C">
        <w:rPr>
          <w:bCs/>
          <w:i/>
          <w:color w:val="002060"/>
          <w:sz w:val="16"/>
          <w:szCs w:val="16"/>
        </w:rPr>
        <w:t>:</w:t>
      </w:r>
    </w:p>
    <w:p w14:paraId="1010AFB8" w14:textId="77777777" w:rsidR="0039093F" w:rsidRPr="00DE096C" w:rsidRDefault="0039093F" w:rsidP="0039093F">
      <w:pPr>
        <w:jc w:val="both"/>
        <w:rPr>
          <w:bCs/>
          <w:color w:val="002060"/>
          <w:sz w:val="16"/>
          <w:szCs w:val="16"/>
        </w:rPr>
      </w:pPr>
    </w:p>
    <w:p w14:paraId="35AF0AEA" w14:textId="77777777" w:rsidR="0039093F" w:rsidRPr="00B52707" w:rsidRDefault="0039093F" w:rsidP="0039093F">
      <w:pPr>
        <w:jc w:val="both"/>
        <w:rPr>
          <w:color w:val="0070C0"/>
          <w:sz w:val="16"/>
          <w:szCs w:val="16"/>
        </w:rPr>
      </w:pPr>
      <w:r w:rsidRPr="00B52707">
        <w:rPr>
          <w:color w:val="0070C0"/>
          <w:sz w:val="16"/>
          <w:szCs w:val="16"/>
        </w:rPr>
        <w:t>9 (22) июня 1914 г. Николай II наложил на «Большой программе по усилению армии» резолюцию «Быть по сему». Во всеподданнейшем докладе по Военному министерству отмечалось, что «проведение мероприятий, предусмотренных большой программой усиления армии, предположено закончить в 1917 году». Программа требовала на развитие вооружений и другие расходы 433 млн руб., но так как часть средств уже была отпущена по «Малой программе», то эта сумма не смутила депутатов Государственной думы и Государственного совета и возражений от них не последовало. До начала войны оставалось немногим более трех недель (25601).</w:t>
      </w:r>
    </w:p>
    <w:p w14:paraId="174286C8" w14:textId="77777777" w:rsidR="0039093F" w:rsidRPr="00B52707" w:rsidRDefault="0039093F" w:rsidP="0039093F">
      <w:pPr>
        <w:jc w:val="both"/>
        <w:rPr>
          <w:color w:val="0070C0"/>
          <w:sz w:val="16"/>
          <w:szCs w:val="16"/>
        </w:rPr>
      </w:pPr>
    </w:p>
    <w:p w14:paraId="514B4CC3" w14:textId="28064282" w:rsidR="0013152A" w:rsidRPr="00DE096C" w:rsidRDefault="0013152A" w:rsidP="00D45A46">
      <w:pPr>
        <w:jc w:val="both"/>
        <w:rPr>
          <w:bCs/>
          <w:color w:val="002060"/>
          <w:sz w:val="16"/>
          <w:szCs w:val="16"/>
        </w:rPr>
      </w:pPr>
      <w:r w:rsidRPr="00DE096C">
        <w:rPr>
          <w:bCs/>
          <w:i/>
          <w:color w:val="002060"/>
          <w:sz w:val="16"/>
          <w:szCs w:val="16"/>
        </w:rPr>
        <w:t>Воздухоплавание:</w:t>
      </w:r>
    </w:p>
    <w:p w14:paraId="559D96B8" w14:textId="77777777" w:rsidR="0013152A" w:rsidRPr="00DE096C" w:rsidRDefault="0013152A" w:rsidP="00D45A46">
      <w:pPr>
        <w:jc w:val="both"/>
        <w:rPr>
          <w:bCs/>
          <w:color w:val="002060"/>
          <w:sz w:val="16"/>
          <w:szCs w:val="16"/>
        </w:rPr>
      </w:pPr>
    </w:p>
    <w:p w14:paraId="39F4D267" w14:textId="77777777" w:rsidR="0013152A" w:rsidRPr="00DE096C" w:rsidRDefault="0013152A" w:rsidP="00D45A46">
      <w:pPr>
        <w:jc w:val="both"/>
        <w:rPr>
          <w:bCs/>
          <w:color w:val="002060"/>
          <w:sz w:val="16"/>
          <w:szCs w:val="16"/>
        </w:rPr>
      </w:pPr>
      <w:r w:rsidRPr="00DE096C">
        <w:rPr>
          <w:bCs/>
          <w:color w:val="002060"/>
          <w:sz w:val="16"/>
          <w:szCs w:val="16"/>
        </w:rPr>
        <w:t>9 (22) июня 1914 г. едва не стала при</w:t>
      </w:r>
      <w:r w:rsidRPr="00DE096C">
        <w:rPr>
          <w:bCs/>
          <w:color w:val="002060"/>
          <w:sz w:val="16"/>
          <w:szCs w:val="16"/>
        </w:rPr>
        <w:softHyphen/>
        <w:t>чиной гибели Голубя. Тогда на высоте 1500 м внезап</w:t>
      </w:r>
      <w:r w:rsidRPr="00DE096C">
        <w:rPr>
          <w:bCs/>
          <w:color w:val="002060"/>
          <w:sz w:val="16"/>
          <w:szCs w:val="16"/>
        </w:rPr>
        <w:softHyphen/>
        <w:t>но остановился мотор, и «Голубь» начал быстро снижаться. Для предотвращения падения по свидетельству капитана А.И. Шабского «... был выброшен остаток балласта, вылита вода и оста</w:t>
      </w:r>
      <w:r w:rsidRPr="00DE096C">
        <w:rPr>
          <w:bCs/>
          <w:color w:val="002060"/>
          <w:sz w:val="16"/>
          <w:szCs w:val="16"/>
        </w:rPr>
        <w:softHyphen/>
        <w:t>ток бензина, выброшен ремонтный инструмент и даже мостики — пилотский и рулевой. Все эти меры, а также заранее распущенный гайдроп по</w:t>
      </w:r>
      <w:r w:rsidRPr="00DE096C">
        <w:rPr>
          <w:bCs/>
          <w:color w:val="002060"/>
          <w:sz w:val="16"/>
          <w:szCs w:val="16"/>
        </w:rPr>
        <w:softHyphen/>
        <w:t>зволили ослабить несколько скорость падения, которая всё-таки была очень велика, и, конечно, повела бы за собой полное разрушение аэроста</w:t>
      </w:r>
      <w:r w:rsidRPr="00DE096C">
        <w:rPr>
          <w:bCs/>
          <w:color w:val="002060"/>
          <w:sz w:val="16"/>
          <w:szCs w:val="16"/>
        </w:rPr>
        <w:softHyphen/>
        <w:t>та и гибель экипажа, если бы по счастливой слу</w:t>
      </w:r>
      <w:r w:rsidRPr="00DE096C">
        <w:rPr>
          <w:bCs/>
          <w:color w:val="002060"/>
          <w:sz w:val="16"/>
          <w:szCs w:val="16"/>
        </w:rPr>
        <w:softHyphen/>
        <w:t>чайности аэростат не упал в болото, поросшее березняком»36. У «Голубя» оказалась порванной оболочка, сильно помяты рули, киль и стабили</w:t>
      </w:r>
      <w:r w:rsidRPr="00DE096C">
        <w:rPr>
          <w:bCs/>
          <w:color w:val="002060"/>
          <w:sz w:val="16"/>
          <w:szCs w:val="16"/>
        </w:rPr>
        <w:softHyphen/>
        <w:t>затор, повреждён нос гондолы.</w:t>
      </w:r>
    </w:p>
    <w:p w14:paraId="0038906A" w14:textId="77777777" w:rsidR="0013152A" w:rsidRPr="00DE096C" w:rsidRDefault="0013152A" w:rsidP="00D45A46">
      <w:pPr>
        <w:jc w:val="both"/>
        <w:rPr>
          <w:bCs/>
          <w:color w:val="002060"/>
          <w:sz w:val="16"/>
          <w:szCs w:val="16"/>
        </w:rPr>
      </w:pPr>
      <w:r w:rsidRPr="00DE096C">
        <w:rPr>
          <w:bCs/>
          <w:color w:val="002060"/>
          <w:sz w:val="16"/>
          <w:szCs w:val="16"/>
        </w:rPr>
        <w:t>В дальнейшем дирижабль находился в Лиде на вооружении 3-й воздухоплавательной роты. Его последнее наполнение состоялось в июне 1916 г. в Севастополе (20120).</w:t>
      </w:r>
    </w:p>
    <w:p w14:paraId="1508E191" w14:textId="77777777" w:rsidR="0013152A" w:rsidRPr="00DE096C" w:rsidRDefault="0013152A" w:rsidP="00D45A46">
      <w:pPr>
        <w:jc w:val="both"/>
        <w:rPr>
          <w:bCs/>
          <w:color w:val="002060"/>
          <w:sz w:val="16"/>
          <w:szCs w:val="16"/>
        </w:rPr>
      </w:pPr>
    </w:p>
    <w:p w14:paraId="2423C2E9" w14:textId="77777777" w:rsidR="00263E55" w:rsidRPr="00DE096C" w:rsidRDefault="00263E55" w:rsidP="00D45A46">
      <w:pPr>
        <w:jc w:val="both"/>
        <w:rPr>
          <w:bCs/>
          <w:i/>
          <w:color w:val="002060"/>
          <w:sz w:val="16"/>
          <w:szCs w:val="16"/>
        </w:rPr>
      </w:pPr>
      <w:r w:rsidRPr="00DE096C">
        <w:rPr>
          <w:bCs/>
          <w:i/>
          <w:color w:val="002060"/>
          <w:sz w:val="16"/>
          <w:szCs w:val="16"/>
        </w:rPr>
        <w:t>Авиация и воздухоплавание за рубежом:</w:t>
      </w:r>
    </w:p>
    <w:p w14:paraId="0AF932CC" w14:textId="77777777" w:rsidR="00263E55" w:rsidRPr="00DE096C" w:rsidRDefault="00263E55" w:rsidP="00D45A46">
      <w:pPr>
        <w:jc w:val="both"/>
        <w:rPr>
          <w:bCs/>
          <w:i/>
          <w:color w:val="002060"/>
          <w:sz w:val="16"/>
          <w:szCs w:val="16"/>
        </w:rPr>
      </w:pPr>
    </w:p>
    <w:p w14:paraId="151E80E6" w14:textId="77777777" w:rsidR="00263E55" w:rsidRPr="00DE096C" w:rsidRDefault="00263E55" w:rsidP="00D45A46">
      <w:pPr>
        <w:jc w:val="both"/>
        <w:rPr>
          <w:bCs/>
          <w:color w:val="002060"/>
          <w:sz w:val="16"/>
          <w:szCs w:val="16"/>
        </w:rPr>
      </w:pPr>
      <w:r w:rsidRPr="00DE096C">
        <w:rPr>
          <w:bCs/>
          <w:color w:val="002060"/>
          <w:sz w:val="16"/>
          <w:szCs w:val="16"/>
        </w:rPr>
        <w:t xml:space="preserve">9 (22) июня 1914 г. прототип </w:t>
      </w:r>
      <w:r w:rsidRPr="00DE096C">
        <w:rPr>
          <w:bCs/>
          <w:color w:val="002060"/>
          <w:sz w:val="16"/>
          <w:szCs w:val="16"/>
          <w:lang w:val="en-US"/>
        </w:rPr>
        <w:t>Curtiss</w:t>
      </w:r>
      <w:r w:rsidRPr="00DE096C">
        <w:rPr>
          <w:bCs/>
          <w:color w:val="002060"/>
          <w:sz w:val="16"/>
          <w:szCs w:val="16"/>
        </w:rPr>
        <w:t xml:space="preserve"> Н-1 для трансатлантического перелета был спущен на воду, первый полёт состоялся на следующий день. В процессе интенсивных испытаний был выявлен ряд недостатков, потре</w:t>
      </w:r>
      <w:r w:rsidRPr="00DE096C">
        <w:rPr>
          <w:bCs/>
          <w:color w:val="002060"/>
          <w:sz w:val="16"/>
          <w:szCs w:val="16"/>
        </w:rPr>
        <w:softHyphen/>
        <w:t>бовавших доработки конструкции. Но и после этого машина не могла поднять необходи</w:t>
      </w:r>
      <w:r w:rsidRPr="00DE096C">
        <w:rPr>
          <w:bCs/>
          <w:color w:val="002060"/>
          <w:sz w:val="16"/>
          <w:szCs w:val="16"/>
        </w:rPr>
        <w:softHyphen/>
        <w:t>мый запас топлива. Поэтому на верхнем крыле установили третий двигатель с тянущим винтом.</w:t>
      </w:r>
    </w:p>
    <w:p w14:paraId="4E43A14A" w14:textId="77777777" w:rsidR="00263E55" w:rsidRPr="00DE096C" w:rsidRDefault="00263E55" w:rsidP="00D45A46">
      <w:pPr>
        <w:jc w:val="both"/>
        <w:rPr>
          <w:bCs/>
          <w:color w:val="002060"/>
          <w:sz w:val="16"/>
          <w:szCs w:val="16"/>
        </w:rPr>
      </w:pPr>
      <w:r w:rsidRPr="00DE096C">
        <w:rPr>
          <w:bCs/>
          <w:color w:val="002060"/>
          <w:sz w:val="16"/>
          <w:szCs w:val="16"/>
        </w:rPr>
        <w:t>Решив технические проблемы, организаторы перелёта назначили старт на 5 августа 1914 г. (в источниках также приводится дата 15 августа). Стартовать экспедиция должна была из Сент-Джонса, Ньюфаундленд. Дальнейший маршрут проходил через острова Азорского архипелага Фаял и Сан-Мигел, где планировались промежуточные посадки. Оттуда "</w:t>
      </w:r>
      <w:r w:rsidRPr="00DE096C">
        <w:rPr>
          <w:bCs/>
          <w:color w:val="002060"/>
          <w:sz w:val="16"/>
          <w:szCs w:val="16"/>
          <w:lang w:val="en-US"/>
        </w:rPr>
        <w:t>America</w:t>
      </w:r>
      <w:r w:rsidRPr="00DE096C">
        <w:rPr>
          <w:bCs/>
          <w:color w:val="002060"/>
          <w:sz w:val="16"/>
          <w:szCs w:val="16"/>
        </w:rPr>
        <w:t>" должна была лететь в Португалию, затем пересечь Бискайский залив, Ла-Манш и достичь побережья Британии возле города Плимут.</w:t>
      </w:r>
    </w:p>
    <w:p w14:paraId="138F7465" w14:textId="77777777" w:rsidR="00263E55" w:rsidRPr="00DE096C" w:rsidRDefault="00263E55" w:rsidP="00D45A46">
      <w:pPr>
        <w:jc w:val="both"/>
        <w:rPr>
          <w:bCs/>
          <w:color w:val="002060"/>
          <w:sz w:val="16"/>
          <w:szCs w:val="16"/>
        </w:rPr>
      </w:pPr>
      <w:r w:rsidRPr="00DE096C">
        <w:rPr>
          <w:bCs/>
          <w:color w:val="002060"/>
          <w:sz w:val="16"/>
          <w:szCs w:val="16"/>
        </w:rPr>
        <w:t>В экипаж входили конструктор самолёта и его друг, военно-морской пилот Джон Тауэре (</w:t>
      </w:r>
      <w:r w:rsidRPr="00DE096C">
        <w:rPr>
          <w:bCs/>
          <w:color w:val="002060"/>
          <w:sz w:val="16"/>
          <w:szCs w:val="16"/>
          <w:lang w:val="en-US"/>
        </w:rPr>
        <w:t>JohnHenryTowers</w:t>
      </w:r>
      <w:r w:rsidRPr="00DE096C">
        <w:rPr>
          <w:bCs/>
          <w:color w:val="002060"/>
          <w:sz w:val="16"/>
          <w:szCs w:val="16"/>
        </w:rPr>
        <w:t>). Но полёту Кёртисса категорически воспротивилась его жена, а полёту Тауэрса - командование ВМС США (спустя пять лет он всё-таки принял участие в трансатлантической экспедиции).</w:t>
      </w:r>
    </w:p>
    <w:p w14:paraId="0170F85F" w14:textId="77777777" w:rsidR="00263E55" w:rsidRPr="00DE096C" w:rsidRDefault="00263E55" w:rsidP="00D45A46">
      <w:pPr>
        <w:jc w:val="both"/>
        <w:rPr>
          <w:bCs/>
          <w:color w:val="002060"/>
          <w:sz w:val="16"/>
          <w:szCs w:val="16"/>
        </w:rPr>
      </w:pPr>
      <w:r w:rsidRPr="00DE096C">
        <w:rPr>
          <w:bCs/>
          <w:color w:val="002060"/>
          <w:sz w:val="16"/>
          <w:szCs w:val="16"/>
        </w:rPr>
        <w:t>Тогда командиром экипажа Вейнамейкер назначил отставного лейтенанта британс</w:t>
      </w:r>
      <w:r w:rsidRPr="00DE096C">
        <w:rPr>
          <w:bCs/>
          <w:color w:val="002060"/>
          <w:sz w:val="16"/>
          <w:szCs w:val="16"/>
        </w:rPr>
        <w:softHyphen/>
        <w:t>кого флота Джона Порта (</w:t>
      </w:r>
      <w:r w:rsidRPr="00DE096C">
        <w:rPr>
          <w:bCs/>
          <w:color w:val="002060"/>
          <w:sz w:val="16"/>
          <w:szCs w:val="16"/>
          <w:lang w:val="en-US"/>
        </w:rPr>
        <w:t>JohnCyrillPorte</w:t>
      </w:r>
      <w:r w:rsidRPr="00DE096C">
        <w:rPr>
          <w:bCs/>
          <w:color w:val="002060"/>
          <w:sz w:val="16"/>
          <w:szCs w:val="16"/>
        </w:rPr>
        <w:t>, 1883-1919), а вторым пилотом американца Джорджа Халлета (</w:t>
      </w:r>
      <w:r w:rsidRPr="00DE096C">
        <w:rPr>
          <w:bCs/>
          <w:color w:val="002060"/>
          <w:sz w:val="16"/>
          <w:szCs w:val="16"/>
          <w:lang w:val="en-US"/>
        </w:rPr>
        <w:t>GeorgeHallett</w:t>
      </w:r>
      <w:r w:rsidRPr="00DE096C">
        <w:rPr>
          <w:bCs/>
          <w:color w:val="002060"/>
          <w:sz w:val="16"/>
          <w:szCs w:val="16"/>
        </w:rPr>
        <w:t>). Но началась Первая мировая война, и перелёт был отменён. Порт отправился на службу в королевский флот, и там уговорил лордов Адми</w:t>
      </w:r>
      <w:r w:rsidRPr="00DE096C">
        <w:rPr>
          <w:bCs/>
          <w:color w:val="002060"/>
          <w:sz w:val="16"/>
          <w:szCs w:val="16"/>
        </w:rPr>
        <w:softHyphen/>
        <w:t>ралтейства приобрести "Америку " и её дублёра (15834).</w:t>
      </w:r>
    </w:p>
    <w:p w14:paraId="65F51865" w14:textId="77777777" w:rsidR="00263E55" w:rsidRPr="00DE096C" w:rsidRDefault="00263E55" w:rsidP="00D45A46">
      <w:pPr>
        <w:jc w:val="both"/>
        <w:rPr>
          <w:bCs/>
          <w:color w:val="002060"/>
          <w:sz w:val="16"/>
          <w:szCs w:val="16"/>
        </w:rPr>
      </w:pPr>
    </w:p>
    <w:p w14:paraId="06B5CA44"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071D3D0B" w14:textId="77777777" w:rsidR="00B67D7C" w:rsidRPr="00DE096C" w:rsidRDefault="00B67D7C" w:rsidP="00D45A46">
      <w:pPr>
        <w:shd w:val="clear" w:color="auto" w:fill="FFFFFF"/>
        <w:jc w:val="both"/>
        <w:rPr>
          <w:bCs/>
          <w:i/>
          <w:color w:val="002060"/>
          <w:sz w:val="16"/>
          <w:szCs w:val="16"/>
        </w:rPr>
      </w:pPr>
    </w:p>
    <w:p w14:paraId="07BB742A" w14:textId="77777777" w:rsidR="00B67D7C" w:rsidRPr="00DE096C" w:rsidRDefault="00B67D7C" w:rsidP="00D45A46">
      <w:pPr>
        <w:jc w:val="both"/>
        <w:rPr>
          <w:bCs/>
          <w:color w:val="002060"/>
          <w:sz w:val="16"/>
          <w:szCs w:val="16"/>
        </w:rPr>
      </w:pPr>
      <w:r w:rsidRPr="00DE096C">
        <w:rPr>
          <w:bCs/>
          <w:color w:val="002060"/>
          <w:sz w:val="16"/>
          <w:szCs w:val="16"/>
        </w:rPr>
        <w:t xml:space="preserve">10 (23) июня 1914, хорошо отдохнув перед полетом, Сикорский сразу после полуночи приехал на аэродром. Экипаж был в сборе: второй пилот штабс-капитан Христофор Пруссис, штурман, второй пилот лейтенант Георгий Лавров и неизменный механик Владимир Панасюк. Учитывая результаты тренировочного полета на максимальную дальность, а также выбор для взлета самого прохладного времени суток, когда можно получить максимальную мощность двигателей, caмолет загрузили до предела и даже больше, чем в предыдущем полете. На борт было взято 940 кг бензина, 260 масла и 150 кг запчастей и материалов (запасной пропеллер, дополнительные канистры с бензином и масло, помпы и шланги для закачки, кое-какой инструмент). Общая нагрузка, включая всех членов экипажа, составила 1610 кг. </w:t>
      </w:r>
    </w:p>
    <w:p w14:paraId="3D642655" w14:textId="77777777" w:rsidR="00B67D7C" w:rsidRPr="00DE096C" w:rsidRDefault="00B67D7C" w:rsidP="00D45A46">
      <w:pPr>
        <w:jc w:val="both"/>
        <w:rPr>
          <w:bCs/>
          <w:color w:val="002060"/>
          <w:sz w:val="16"/>
          <w:szCs w:val="16"/>
        </w:rPr>
      </w:pPr>
      <w:r w:rsidRPr="00DE096C">
        <w:rPr>
          <w:bCs/>
          <w:color w:val="002060"/>
          <w:sz w:val="16"/>
          <w:szCs w:val="16"/>
        </w:rPr>
        <w:t xml:space="preserve">Ночь выдалась ясной и безветренной. Экипаж осмотрел самолет - все в порядке. Около часа ночи горизонт начал светлеть. Запустили двигатели, прогрели, проверили их на полную мощность. Сбоев нет, все нормально. Убрали колодки, и стартовая команда в 20 человек заняла свои поста позади самолета. Их задача - толкать перегруженную машину, пока она сама не сможет начать разбег. Сикорский еще раз проверил двигатели, осветил фонариком приборы и дал команду. Заревели двигатели, самолет медленно тронулся с места и постепенно стал ускорять мой разбег. Перегруженная машина, тяжело переваливаясь на неровностях, набирала скорость. Земля просматривалась с трудом, но направление разбега можно было хорошо выдерживать по ориентиру на горизонте. Отрыв. Время 1 ч 30 мин. Машина медленно, очень медленно идет вверх. За первые 15 мин удалось набрать только 150м. В течение первого часа полета по приборам приходилось время от времени пользоваться фонариком - приборы не имели подсветки. Сама же кабина освещалась электрическими лампочками, и за бортом ничего не было видно. После двух часов ночи стало светать. Воздух был совершенно спокоен. Постепенно топливо вырабатывалось, и облегченная машина быстрее набирала высоту. Через полтора часа полета самолет был на высоте 600 м. Двигатели выдержали перегрузку и уже работали на номинальном режиме. </w:t>
      </w:r>
    </w:p>
    <w:p w14:paraId="461F51C3" w14:textId="77777777" w:rsidR="00B67D7C" w:rsidRPr="00DE096C" w:rsidRDefault="00B67D7C" w:rsidP="00D45A46">
      <w:pPr>
        <w:jc w:val="both"/>
        <w:rPr>
          <w:bCs/>
          <w:color w:val="002060"/>
          <w:sz w:val="16"/>
          <w:szCs w:val="16"/>
        </w:rPr>
      </w:pPr>
      <w:r w:rsidRPr="00DE096C">
        <w:rPr>
          <w:bCs/>
          <w:color w:val="002060"/>
          <w:sz w:val="16"/>
          <w:szCs w:val="16"/>
        </w:rPr>
        <w:t xml:space="preserve">Погода была великолепной. Утреннее солнце освещало еще спящую землю. Над деревнями ни дымка. Леса, нуга, гладь рек и озер. Самолет спокойно плыл в недвижном воздухе. По очереди через полчаса пилоты меняли друг друга. Сикорский дважды выбирался на крыло к крайнему двигателю, чтобы понаблюдать за воздушным кораблем как бы со стороны, посмотреть на землю и самому убедиться в возможностях ремонта двигателя в плотном воздушном потоке. Он нащупал за двигателем более или менее защищенное от холодного ветра пространство и оттуда с упоением наблюдал, как в чистом утреннем воздухе на фоне просыпающейся земли висит огромное тело корабля с распростертыми желтыми крыльями. Зрелище было просто фантастическое. Он вспомнил, как всего лишь несколько лет назад ни чал свои первые опыты с хрупкими аппаратами, оснащенными слабосильными двигателями. Сейчас же в воздухе могучая машина - воздушный корабль. В эту пору маститому уже конструктору и знаменитому пилоту только минуло 25 лет. </w:t>
      </w:r>
    </w:p>
    <w:p w14:paraId="3A90793C" w14:textId="77777777" w:rsidR="00B67D7C" w:rsidRPr="00DE096C" w:rsidRDefault="00B67D7C" w:rsidP="00D45A46">
      <w:pPr>
        <w:jc w:val="both"/>
        <w:rPr>
          <w:bCs/>
          <w:color w:val="002060"/>
          <w:sz w:val="16"/>
          <w:szCs w:val="16"/>
        </w:rPr>
      </w:pPr>
      <w:r w:rsidRPr="00DE096C">
        <w:rPr>
          <w:bCs/>
          <w:color w:val="002060"/>
          <w:sz w:val="16"/>
          <w:szCs w:val="16"/>
        </w:rPr>
        <w:t xml:space="preserve">Прошло еще два часа. Самолет уже шел на высоте пол утора тысяч метров. Экипаж перекачал топливо из канистр в основные баки и освободил салон. Около семи утра, когда за штурвалом оставался Пруссис, Сикорский, Лавров и Павасюк сели за накрытый белой скатертью стол. На нем легкий завтрак - фрукты, бутерброды, горячий кофе. Удобные плетеные кресла давали возможность расслабиться и насладиться отдыхом. Этот коллективный завтрак в комфортабельном салоне на борту воздушного корабля тоже был впервые в мире. </w:t>
      </w:r>
    </w:p>
    <w:p w14:paraId="5387D301" w14:textId="77777777" w:rsidR="00B67D7C" w:rsidRPr="00DE096C" w:rsidRDefault="00B67D7C" w:rsidP="00D45A46">
      <w:pPr>
        <w:jc w:val="both"/>
        <w:rPr>
          <w:bCs/>
          <w:color w:val="002060"/>
          <w:sz w:val="16"/>
          <w:szCs w:val="16"/>
        </w:rPr>
      </w:pPr>
      <w:r w:rsidRPr="00DE096C">
        <w:rPr>
          <w:bCs/>
          <w:color w:val="002060"/>
          <w:sz w:val="16"/>
          <w:szCs w:val="16"/>
        </w:rPr>
        <w:t xml:space="preserve">После восьми утра на высоте 1200 м прошли Витебск. Видимость была великолепной. Город как на ладони улицы, дома, базарная площадь и большое количеств златоглавых церквей. Сикорский решил послать, как предусматривалось программой перелета, телеграммы - одну домой в Киев, другую на завод. Он написал текст, свернул его трубочкой и засунул в алюминиевый пенал. Туда же были вложены деньги и записка просьбой отправить телеграммы по адресам. Пенал обернули прикрепленным к нему вымпелом и выбросили. В падении красный вымпел развернулся и был хорошо виден издали. Этим способом пользовались ли всему маршруту, и все отправленные телеграммы до шли по назначению. </w:t>
      </w:r>
    </w:p>
    <w:p w14:paraId="1CB6AFE5" w14:textId="77777777" w:rsidR="00B67D7C" w:rsidRPr="00DE096C" w:rsidRDefault="00B67D7C" w:rsidP="00D45A46">
      <w:pPr>
        <w:jc w:val="both"/>
        <w:rPr>
          <w:bCs/>
          <w:color w:val="002060"/>
          <w:sz w:val="16"/>
          <w:szCs w:val="16"/>
        </w:rPr>
      </w:pPr>
      <w:r w:rsidRPr="00DE096C">
        <w:rPr>
          <w:bCs/>
          <w:color w:val="002060"/>
          <w:sz w:val="16"/>
          <w:szCs w:val="16"/>
        </w:rPr>
        <w:t xml:space="preserve">Вскоре впереди показалась Орша. На выбранном заранее поле была подготовлена площадка. Туда заблаговременно прибыл заводской инженер вместе с топливом для дозаправки. Сикорский сбавил обороты и стал снижаться. На 600 м стало побалтывать - уже сказывался прогрев земли. Посадка прошла без осложнений. Пилот зарулил самолет в угол площадки, где виднелись бочки с бензином. Закончился первый этап перелета. В воздухе пробыли более семи часов. </w:t>
      </w:r>
    </w:p>
    <w:p w14:paraId="2786B890" w14:textId="77777777" w:rsidR="00B67D7C" w:rsidRPr="00DE096C" w:rsidRDefault="00B67D7C" w:rsidP="00D45A46">
      <w:pPr>
        <w:jc w:val="both"/>
        <w:rPr>
          <w:bCs/>
          <w:color w:val="002060"/>
          <w:sz w:val="16"/>
          <w:szCs w:val="16"/>
        </w:rPr>
      </w:pPr>
      <w:r w:rsidRPr="00DE096C">
        <w:rPr>
          <w:bCs/>
          <w:color w:val="002060"/>
          <w:sz w:val="16"/>
          <w:szCs w:val="16"/>
        </w:rPr>
        <w:t xml:space="preserve">Когда экипаж вышел из самолета, его окружила возбужденная толпа. Все старались чем-то угостить пилотов, дотронуться до них, до людей, спустившихся небес, задавали массу вопросов. Сикорский и Лавров трудом выбрались из толпы. Нужно было осмотреть поле и наметить порядок и направление взлета. Площадка была ровной и твердой, но недостаточно болыш примерно 50х400 м, и выбрана не совсем удачно. На одом конце ее находилась роща, на другом - речной обрыв. За ним, внизу, в 30 м протекал Днепр, а за рекой раскинулся сам город. День был безоблачный, начиналась жара. Легкий ветерок дул в сторону обрыва. В этом же направлении площадка имела небольшой уклон. Все взвесив, пилоты решили (что делать!) взлетать по ветру в сторону обрыва. Шансов поднять перегруженную машину, взлетая в гору, да еще с препятствием на взлете, хотя бы и против ветра, не было. </w:t>
      </w:r>
    </w:p>
    <w:p w14:paraId="76633404" w14:textId="77777777" w:rsidR="00B67D7C" w:rsidRPr="00DE096C" w:rsidRDefault="00B67D7C" w:rsidP="00D45A46">
      <w:pPr>
        <w:jc w:val="both"/>
        <w:rPr>
          <w:bCs/>
          <w:color w:val="002060"/>
          <w:sz w:val="16"/>
          <w:szCs w:val="16"/>
        </w:rPr>
      </w:pPr>
      <w:r w:rsidRPr="00DE096C">
        <w:rPr>
          <w:bCs/>
          <w:color w:val="002060"/>
          <w:sz w:val="16"/>
          <w:szCs w:val="16"/>
        </w:rPr>
        <w:lastRenderedPageBreak/>
        <w:t xml:space="preserve">С вылетом надо было торопиться. День обещал быть жарким, и двигатели могли не дать на взлете нужной мощности. Кроме того, расчетное время полета до Киева шесть часов и надо оставить резерв. Это в Петербурге белые ночи, а в Киеве, на юге, темное время наступает быстро. Самолет же не был оборудован приборами для ночных полетов, да и киевский аэродром не мог принимать в это время суток. </w:t>
      </w:r>
    </w:p>
    <w:p w14:paraId="56CF7723" w14:textId="77777777" w:rsidR="00B67D7C" w:rsidRPr="00DE096C" w:rsidRDefault="00B67D7C" w:rsidP="00D45A46">
      <w:pPr>
        <w:jc w:val="both"/>
        <w:rPr>
          <w:bCs/>
          <w:color w:val="002060"/>
          <w:sz w:val="16"/>
          <w:szCs w:val="16"/>
        </w:rPr>
      </w:pPr>
      <w:r w:rsidRPr="00DE096C">
        <w:rPr>
          <w:bCs/>
          <w:color w:val="002060"/>
          <w:sz w:val="16"/>
          <w:szCs w:val="16"/>
        </w:rPr>
        <w:t xml:space="preserve">Когда Сикорский и Лавров в полдень вернулись к самолету, заправка еще не закончилась. Несмотря на энергичные действия механика и многочисленных помощников, закачка шла медленно - пропускная способность помп и шлангов не позволяла делать ее быстрее. </w:t>
      </w:r>
    </w:p>
    <w:p w14:paraId="701A52F4" w14:textId="77777777" w:rsidR="00B67D7C" w:rsidRPr="00DE096C" w:rsidRDefault="00B67D7C" w:rsidP="00D45A46">
      <w:pPr>
        <w:jc w:val="both"/>
        <w:rPr>
          <w:bCs/>
          <w:color w:val="002060"/>
          <w:sz w:val="16"/>
          <w:szCs w:val="16"/>
        </w:rPr>
      </w:pPr>
      <w:r w:rsidRPr="00DE096C">
        <w:rPr>
          <w:bCs/>
          <w:color w:val="002060"/>
          <w:sz w:val="16"/>
          <w:szCs w:val="16"/>
        </w:rPr>
        <w:t xml:space="preserve">К двум часам пополудни наконец машина была готова к вылету. Самолет закатили в самый угол площадки и развернули в направлении взлета. Из толпы отобрали около 20 добровольцев и объяснили, что они должны делать. В этот жаркий день на прогрев двигателей ушло немного времени. По сигналу добровольцы начали толкать. Заревели двигатели на полном газу, и машина очень неохотно тронулась с места. Постепенно она набирала скорость. Приближалась линия речного обрыва. Учитывая наклон площадки, Сикорский опустил нос, чтобы уменьшить лобовое сопротивление и увеличить скорость. Перегруженная машина неслась к обрыву, пилот не спешил брать штурвал на себя - нужно было максимально использовать полосу. Только бы не отказали двигатели. Если откажет хоть один, катастрофы не миновать. Вот и конец полосы. Впереди обрыв. Сикорский легонько потянул штурвал на себя - и машина уже в воздухе над водой. Она слегка просела, но удержалась. </w:t>
      </w:r>
    </w:p>
    <w:p w14:paraId="3CED414B" w14:textId="77777777" w:rsidR="00B67D7C" w:rsidRPr="00DE096C" w:rsidRDefault="00B67D7C" w:rsidP="00D45A46">
      <w:pPr>
        <w:jc w:val="both"/>
        <w:rPr>
          <w:bCs/>
          <w:color w:val="002060"/>
          <w:sz w:val="16"/>
          <w:szCs w:val="16"/>
        </w:rPr>
      </w:pPr>
      <w:r w:rsidRPr="00DE096C">
        <w:rPr>
          <w:bCs/>
          <w:color w:val="002060"/>
          <w:sz w:val="16"/>
          <w:szCs w:val="16"/>
        </w:rPr>
        <w:t xml:space="preserve">"Муромец" пересек Днепр на уровне взлетного поля и прошел над Оршей, чуть не задевая крыши домов. В городе был переполох - грохочущее чудище простирало свои огромные крылья. Пройдя город, Сикорский стал медленно разворачиваться на юг. Впереди поля, леса, болота. Последних было больше. Самолет с трудом набирал высоту: в жару двигатели не давали необходимой мощности. Едва набрали 70 м, началась болтанка. Один из воздушных потоков бросил огромную машину вниз, и она снова очутилась на высоте 30 м. Сикорский приказал выбросить за борт две канистры с водой и одну с маслом. Двигатели работали на полных оборотах, а высота набиралась по сантиметрам. Вот набрали чуть больше 100 м, но провалились в яму. Опять высота 60 м. В кабине было жарко и душно. Сикорский отчаянно работал штурвалом и педалями. Казалось, пилот и машина задыхались от жары. Самолет едва набирал высоту. Командир приказал Панасюку и Пруссису быть готовыми по команде выбросить оставшиеся канистры с бензином. </w:t>
      </w:r>
    </w:p>
    <w:p w14:paraId="74EEAE63" w14:textId="77777777" w:rsidR="00B67D7C" w:rsidRPr="00DE096C" w:rsidRDefault="00B67D7C" w:rsidP="00D45A46">
      <w:pPr>
        <w:jc w:val="both"/>
        <w:rPr>
          <w:bCs/>
          <w:color w:val="002060"/>
          <w:sz w:val="16"/>
          <w:szCs w:val="16"/>
        </w:rPr>
      </w:pPr>
      <w:r w:rsidRPr="00DE096C">
        <w:rPr>
          <w:bCs/>
          <w:color w:val="002060"/>
          <w:sz w:val="16"/>
          <w:szCs w:val="16"/>
        </w:rPr>
        <w:t xml:space="preserve">Беда не приходит одна. Вдруг Панасюк бросился в пилотскую, он показывал на правый ближний двигатель. От бешеной болтанки и тряски в десяти сантиметрах от карбюратора лопнул бензопровод, топливо хлестало наружу. Бензин выливался на раскаленные патрубки работающего на полных оборотах двигателя. Сикорский сразу выключил двигатель, но огненный трехметровый факел уже лизал крыло и деревянную стойку. Панасюк схватил огнетушитель и бросился к двигателю, за ним Лавров. Они не замечали скоростного напора, который рвал одежду и волосы, не думали, что в этой болтанке могут запросто свалиться с крыла. Ими владела только одна мысль - погасить. Панасюк пытался заткнуть пальцем бензопровод, но только облился бензином сам, и огнетушитель пришлось использовать, чтобы сбить с механика пламя. Лаврову удалось дотянуться до кранов наверху у бензобака и перекрыть топливо. Потом своими куртками они погасили огонь. Момент был очень острый. Сикорский уже не смотрел на товарищей: машина теряла скорость, винт выключенного двигателя работал в режиме ветряка и создавал большое сопротивление. Пилот перевел машину на снижение - скорость терять нельзя. Конечно, будь высоты побольше, да будь попрохладнее, можно было бы побороться за живучесть машины в воздухе, отремонтировать бензопровод. А тут три часа дня, температура наружного воздуха 28°С. страшная болтанка, мешающая ремонту и пилотированию на малой высоте. Нет, надо искать подходящую площадку и садиться. Прямо по курсу лес, слева и справа тоже. Зрительная память подсказала: несколько минут назад было поле ржи. Скорее туда. Сикорский выполнил разворот на 180° и в снижении взял курс на площадку. Посадка удалась. Все сошли на землю. Теперь можно широко, полной грудью вдохнуть пьянящий аромат цветов, ощутить спокойствие и тишину земли. </w:t>
      </w:r>
    </w:p>
    <w:p w14:paraId="03A50B7F" w14:textId="77777777" w:rsidR="00B67D7C" w:rsidRPr="00DE096C" w:rsidRDefault="00B67D7C" w:rsidP="00D45A46">
      <w:pPr>
        <w:jc w:val="both"/>
        <w:rPr>
          <w:bCs/>
          <w:color w:val="002060"/>
          <w:sz w:val="16"/>
          <w:szCs w:val="16"/>
        </w:rPr>
      </w:pPr>
      <w:r w:rsidRPr="00DE096C">
        <w:rPr>
          <w:bCs/>
          <w:color w:val="002060"/>
          <w:sz w:val="16"/>
          <w:szCs w:val="16"/>
        </w:rPr>
        <w:t xml:space="preserve">Обследовали место пожара - почерневшие стойки, обгоревшее крыло и тут же поздравили друг друга: отделались легким испугом. Конечно, здесь сыграли большую роль грамотные и самоотверженные действия экипажа, но все-таки самое главное было в другом - в конструктивной особенности машины, которая обеспечивала доступ к двигателям в полете. Не будь этого, не хватило бы времени для маневра и посадки, в считанные секунды самолет превратился бы в факел. Теперь правильность концепции Сикорского была доказана на практике в экстремальных, аварийных условиях реального полета. </w:t>
      </w:r>
    </w:p>
    <w:p w14:paraId="6DB6C09B" w14:textId="77777777" w:rsidR="00B67D7C" w:rsidRPr="00DE096C" w:rsidRDefault="00B67D7C" w:rsidP="00D45A46">
      <w:pPr>
        <w:jc w:val="both"/>
        <w:rPr>
          <w:bCs/>
          <w:color w:val="002060"/>
          <w:sz w:val="16"/>
          <w:szCs w:val="16"/>
        </w:rPr>
      </w:pPr>
      <w:r w:rsidRPr="00DE096C">
        <w:rPr>
          <w:bCs/>
          <w:color w:val="002060"/>
          <w:sz w:val="16"/>
          <w:szCs w:val="16"/>
        </w:rPr>
        <w:t xml:space="preserve">Панасюк разложил инструменты и приступил к ремонту. Сикорский тем временем осмотрел поле. Оно представляло собой узкую полоску с уклоном в сторону небольшого ручья. Пилот решил, как и в Орше, взлетать под уклон независимо от направления ветра. </w:t>
      </w:r>
    </w:p>
    <w:p w14:paraId="1707E05D" w14:textId="77777777" w:rsidR="00B67D7C" w:rsidRPr="00DE096C" w:rsidRDefault="00B67D7C" w:rsidP="00D45A46">
      <w:pPr>
        <w:jc w:val="both"/>
        <w:rPr>
          <w:bCs/>
          <w:color w:val="002060"/>
          <w:sz w:val="16"/>
          <w:szCs w:val="16"/>
        </w:rPr>
      </w:pPr>
      <w:r w:rsidRPr="00DE096C">
        <w:rPr>
          <w:bCs/>
          <w:color w:val="002060"/>
          <w:sz w:val="16"/>
          <w:szCs w:val="16"/>
        </w:rPr>
        <w:t xml:space="preserve">На ремонт ушло менее часа, но стартовать было уже поздно. Светлого времени, чтобы долететь до Киева, явно не хватало. Решили ночевать здесь. К этому моменту собралась большая толпа любопытных с близлежащей станции Копысь, готовых оказать авиаторам любую услугу. С их помощью откатили самолет в конец поля и установили его в направлении взлета. Местные жители все прибывали и прибывали. Они принесли столько еды, что можно было пробыть тут месяц. Они задавали самые невероятные вопросы: как такое огромное крыло может махать в воздухе, может ли самолет примоститься на дымовой трубе, а один наиболее "просвещенный" спросил, где размещается газ в этом дирижабле. Как могли, объясняли устройство самолета и принципы полета, но, кажется, это было не вполне убедительно. На пилотов смотрели, как на небожителей, а их летающая машина была вроде колесницы Ильи Пророка. </w:t>
      </w:r>
    </w:p>
    <w:p w14:paraId="2437128C" w14:textId="77777777" w:rsidR="00B67D7C" w:rsidRPr="00DE096C" w:rsidRDefault="00B67D7C" w:rsidP="00D45A46">
      <w:pPr>
        <w:jc w:val="both"/>
        <w:rPr>
          <w:bCs/>
          <w:color w:val="002060"/>
          <w:sz w:val="16"/>
          <w:szCs w:val="16"/>
        </w:rPr>
      </w:pPr>
      <w:r w:rsidRPr="00DE096C">
        <w:rPr>
          <w:bCs/>
          <w:color w:val="002060"/>
          <w:sz w:val="16"/>
          <w:szCs w:val="16"/>
        </w:rPr>
        <w:t xml:space="preserve">В десять вечера смогли наконец лечь спать. Около полуночи совсем некстати начался дождь, тяжелые капли барабанили по обшивке до утра. Все встали еще до рассвета. Около четырех часов запустили двигатели, прогрели. К этому моменту дождь перестал, но мрачные низкие тучи закрыли все небо. Экипаж занял свои места. Старт. Тяжелый самолет медленно начал разбег по мягкому, мокрому полю, затем все быстрее и быстрее понесся под уклон. В конце площадки Сикорский благополучно оторвал машину от земли. Самолет медленно, но уверенно набирал высоту. Над Шкловом он шел уже на высоте 450 м. Это была нижняя кромка облачности, город терялся в разрывах. Вскоре "Муромец" окутала плотная серая мгла. Утренний воздух был спокоен, и первый час полета не доставил особых хлопот. Курс выдерживался строго на юг, крен отсутствовал, моторы работали в номинале. Набор высоты продолжался. </w:t>
      </w:r>
    </w:p>
    <w:p w14:paraId="6FCF58A0" w14:textId="77777777" w:rsidR="00B67D7C" w:rsidRPr="00DE096C" w:rsidRDefault="00B67D7C" w:rsidP="00D45A46">
      <w:pPr>
        <w:jc w:val="both"/>
        <w:rPr>
          <w:bCs/>
          <w:color w:val="002060"/>
          <w:sz w:val="16"/>
          <w:szCs w:val="16"/>
        </w:rPr>
      </w:pPr>
      <w:r w:rsidRPr="00DE096C">
        <w:rPr>
          <w:bCs/>
          <w:color w:val="002060"/>
          <w:sz w:val="16"/>
          <w:szCs w:val="16"/>
        </w:rPr>
        <w:t xml:space="preserve">Постепенно погода стала ухудшаться. Начался дождь, и воздух становился неспокойным. В слепом полете Сикорский с трудом управлял тяжелым кораблем. Строго говоря, те приборы, которые имелись на борту, не давали полного представления о положении самолета, особенно при болтанке. Пока спасал опыт Сикорского как летчика-испытателя - он хорошо чувствовал машину, да время от времени просматривалась земля. </w:t>
      </w:r>
    </w:p>
    <w:p w14:paraId="0087F52E" w14:textId="77777777" w:rsidR="00B67D7C" w:rsidRPr="00DE096C" w:rsidRDefault="00B67D7C" w:rsidP="00D45A46">
      <w:pPr>
        <w:jc w:val="both"/>
        <w:rPr>
          <w:bCs/>
          <w:color w:val="002060"/>
          <w:sz w:val="16"/>
          <w:szCs w:val="16"/>
        </w:rPr>
      </w:pPr>
      <w:r w:rsidRPr="00DE096C">
        <w:rPr>
          <w:bCs/>
          <w:color w:val="002060"/>
          <w:sz w:val="16"/>
          <w:szCs w:val="16"/>
        </w:rPr>
        <w:t xml:space="preserve">Чтобы как-то облегчить положение пилота, Лавров стоял рядом и подсказывал курс. Самолет с трудом набирал высоту. Болтанка выматывала. Сикорский использовал все свое умение, чтобы вести корабль по курсу и набирать высоту. Тем временем дождь превратился в ливень. Механик забеспокоился за моторы. Они были совершенно открыты, и вода могла залить магнето. Однако двигатели работали ровно, без сбоев. </w:t>
      </w:r>
    </w:p>
    <w:p w14:paraId="7AD58D58" w14:textId="77777777" w:rsidR="00B67D7C" w:rsidRPr="00DE096C" w:rsidRDefault="00B67D7C" w:rsidP="00D45A46">
      <w:pPr>
        <w:jc w:val="both"/>
        <w:rPr>
          <w:bCs/>
          <w:color w:val="002060"/>
          <w:sz w:val="16"/>
          <w:szCs w:val="16"/>
        </w:rPr>
      </w:pPr>
      <w:r w:rsidRPr="00DE096C">
        <w:rPr>
          <w:bCs/>
          <w:color w:val="002060"/>
          <w:sz w:val="16"/>
          <w:szCs w:val="16"/>
        </w:rPr>
        <w:t xml:space="preserve">Уже более двух часов шли почти вслепую. Сикорский начал уставать, слабело внимание. При одном из порывов самолет резко накренился влево и почти сразу клюнул носом. Пилот бросил взгляд на приборы - высота 900 м сразу стала уменьшаться, стрелка компаса закрутилась. Еще не успели понять, в чем дело, как стрелка уже отсчитала два оборота, а высотомер показывал потерю 300 м. Сикорский пытался работать штурвалом - самолет не слушался ни элеронов, ни руля высоты. Последняя попытка - все рули в нейтральное положение. Вращение постепенно замедлилось, а потом и прекратилось. Пилот плавно вывел машину в горизонт. Потеря высоты составила 370 м. Сикорский в этот критический момент действовал в целом правильно. Но больше, так рисковать в полете вне видимости земли и горизонта было нельзя. После короткого совещания с Лавровым решили снижаться. Это был тоже риск. Никто не мог знать высоту нижней кромки облаков, а ведь она могла быть у самой земли. Никто не знал, где они находятся, над какой местностью, какова реальная высота, а не по прибору. И все-таки это был меньший риск. </w:t>
      </w:r>
    </w:p>
    <w:p w14:paraId="6D9C6C8B" w14:textId="77777777" w:rsidR="00B67D7C" w:rsidRPr="00DE096C" w:rsidRDefault="00B67D7C" w:rsidP="00D45A46">
      <w:pPr>
        <w:jc w:val="both"/>
        <w:rPr>
          <w:bCs/>
          <w:color w:val="002060"/>
          <w:sz w:val="16"/>
          <w:szCs w:val="16"/>
        </w:rPr>
      </w:pPr>
      <w:r w:rsidRPr="00DE096C">
        <w:rPr>
          <w:bCs/>
          <w:color w:val="002060"/>
          <w:sz w:val="16"/>
          <w:szCs w:val="16"/>
        </w:rPr>
        <w:t xml:space="preserve">Сикорский осторожно, с малой вертикальной скоростью повел машину на снижение. Каждый член экипажа смотрел в своем направлении, пытаясь увидеть просвет. Высота 250 м. Земли нет. Напряжение достигло предела. Когда высотомер показывал 200 м, за сеткой дождя показался луг и кусочек леса. Лавров попытался определиться и предложил держать курс на юго-запад. Хотя дождь был еще сильным, на этой высоте не так болтало, земля была видна и пилотировать тяжелую машину стало намного легче. Вскоре впереди показался Днепр. Снова курс на юг. Вот уже расчетная точка половины пути между Оршей и Киевом. На всякий случай старались идти на максимальной высоте под самой кромкой дождевых облаков, но не теряя земли из виду. Лавров следил за изгибами Днепра и мог точно определять место корабля и его путевую скорость. </w:t>
      </w:r>
    </w:p>
    <w:p w14:paraId="24FCF461" w14:textId="77777777" w:rsidR="00B67D7C" w:rsidRPr="00DE096C" w:rsidRDefault="00B67D7C" w:rsidP="00D45A46">
      <w:pPr>
        <w:jc w:val="both"/>
        <w:rPr>
          <w:bCs/>
          <w:color w:val="002060"/>
          <w:sz w:val="16"/>
          <w:szCs w:val="16"/>
        </w:rPr>
      </w:pPr>
      <w:r w:rsidRPr="00DE096C">
        <w:rPr>
          <w:bCs/>
          <w:color w:val="002060"/>
          <w:sz w:val="16"/>
          <w:szCs w:val="16"/>
        </w:rPr>
        <w:t xml:space="preserve">В полете находились уже более трех часов. Машина иаметно полегчала. Решили попытаться уйти от дождя наверх. Вот уже в серой мгле скрылась земля. Постепенно набрали 1000 м. Плотные облака, никаких просветов. На высоте 1100 м постепенно стало светлеть и вдруг брызнуло солнце - самолет вынырнул на поверхность белоснежного океана. Сверху ясное голубое небо, а вокруг хлопковые шапки облаков в сверкающих лучах благодатного солнца. На несколько мгновений все закрыли глаза - нестерпимо было глядеть на эту ослепительную белизну. </w:t>
      </w:r>
    </w:p>
    <w:p w14:paraId="1737E5A9" w14:textId="77777777" w:rsidR="00B67D7C" w:rsidRPr="00DE096C" w:rsidRDefault="00B67D7C" w:rsidP="00D45A46">
      <w:pPr>
        <w:jc w:val="both"/>
        <w:rPr>
          <w:bCs/>
          <w:color w:val="002060"/>
          <w:sz w:val="16"/>
          <w:szCs w:val="16"/>
        </w:rPr>
      </w:pPr>
      <w:r w:rsidRPr="00DE096C">
        <w:rPr>
          <w:bCs/>
          <w:color w:val="002060"/>
          <w:sz w:val="16"/>
          <w:szCs w:val="16"/>
        </w:rPr>
        <w:t xml:space="preserve">Болтанка совершенно прекратилась. Корабль медленно плыл над облачными вершинами. После стольких часов напряженного труда можно было смениться: в пилотское кресло сел Пруссис, Лавров, сидя в салоне, неспешно работал с картами, расстеленными на столике. Теперь корабль можно было вести только по счислению. </w:t>
      </w:r>
    </w:p>
    <w:p w14:paraId="5672559E" w14:textId="77777777" w:rsidR="00B67D7C" w:rsidRPr="00DE096C" w:rsidRDefault="00B67D7C" w:rsidP="00D45A46">
      <w:pPr>
        <w:jc w:val="both"/>
        <w:rPr>
          <w:bCs/>
          <w:color w:val="002060"/>
          <w:sz w:val="16"/>
          <w:szCs w:val="16"/>
        </w:rPr>
      </w:pPr>
      <w:r w:rsidRPr="00DE096C">
        <w:rPr>
          <w:bCs/>
          <w:color w:val="002060"/>
          <w:sz w:val="16"/>
          <w:szCs w:val="16"/>
        </w:rPr>
        <w:t xml:space="preserve">Сикорский выпил горячего кофе, надел теплое пальто и вышел на верхний мостик. Вокруг расстилалось безбрежное море облаков, огромный корабль, ярко освещенный солнцем, величественно плыл среди небесных айсбергов. Эта сказочная картина была наградой за его упорный и самоотверженный труд. Ни до, ни после этого дня более прекрасной панорамы Сикорский не видел. Может быть и потому, что потом с развитием авиации уже не было такой возможности свободно выходить из фюзеляжа наверх или на крыло и любоваться окружающим миром. "Муромец" в этом плане был уникальной машиной. </w:t>
      </w:r>
    </w:p>
    <w:p w14:paraId="7B4B6457" w14:textId="77777777" w:rsidR="00B67D7C" w:rsidRPr="00DE096C" w:rsidRDefault="00B67D7C" w:rsidP="00D45A46">
      <w:pPr>
        <w:jc w:val="both"/>
        <w:rPr>
          <w:bCs/>
          <w:color w:val="002060"/>
          <w:sz w:val="16"/>
          <w:szCs w:val="16"/>
        </w:rPr>
      </w:pPr>
      <w:r w:rsidRPr="00DE096C">
        <w:rPr>
          <w:bCs/>
          <w:color w:val="002060"/>
          <w:sz w:val="16"/>
          <w:szCs w:val="16"/>
        </w:rPr>
        <w:t xml:space="preserve">Вскоре, замерзнув, Сикорский спустился вниз в теплый салон и занял свое удобное кресло. За окном проплывал тот же пейзаж, но ощущения величия природы уже не было. </w:t>
      </w:r>
    </w:p>
    <w:p w14:paraId="1655448F" w14:textId="77777777" w:rsidR="00B67D7C" w:rsidRPr="00DE096C" w:rsidRDefault="00B67D7C" w:rsidP="00D45A46">
      <w:pPr>
        <w:jc w:val="both"/>
        <w:rPr>
          <w:bCs/>
          <w:color w:val="002060"/>
          <w:sz w:val="16"/>
          <w:szCs w:val="16"/>
        </w:rPr>
      </w:pPr>
      <w:r w:rsidRPr="00DE096C">
        <w:rPr>
          <w:bCs/>
          <w:color w:val="002060"/>
          <w:sz w:val="16"/>
          <w:szCs w:val="16"/>
        </w:rPr>
        <w:t xml:space="preserve">Два часа полета над облаками прошли легко и незаметно. Решили идти до расчетной точки снижения перед Киевом. Наконец Лавров объявил, что прямо по курсу в восьми километрах Киев. Сикорский взял управление кораблем на себя. Плавно перевел самолет на снижение, и вскоре снова вошли а облака. Дождя не было, болтанки - тоже. За бортом плотная мгла. Высота 500 м - земли не видно. 400. Шевельнулось беспокойство, но через пару минут самолет вынырнул из облаков. Прямо перед ними раскинулась панорама Киева, впереди - купола Киево-Печерской лавры, слева - цепной мост через Днепр. </w:t>
      </w:r>
    </w:p>
    <w:p w14:paraId="6033EB9A" w14:textId="77777777" w:rsidR="00B67D7C" w:rsidRPr="00DE096C" w:rsidRDefault="00B67D7C" w:rsidP="00D45A46">
      <w:pPr>
        <w:jc w:val="both"/>
        <w:rPr>
          <w:bCs/>
          <w:color w:val="002060"/>
          <w:sz w:val="16"/>
          <w:szCs w:val="16"/>
        </w:rPr>
      </w:pPr>
      <w:r w:rsidRPr="00DE096C">
        <w:rPr>
          <w:bCs/>
          <w:color w:val="002060"/>
          <w:sz w:val="16"/>
          <w:szCs w:val="16"/>
        </w:rPr>
        <w:lastRenderedPageBreak/>
        <w:t xml:space="preserve">Вот как описывает Г. И. Лавров последние часы этого беспримерного перелета в сообщении, направленном заведующему организацией воздухоплавания а Службе связи Балтийского моря: "Шли 3 ч. 20 мин. исключительно по счислению. Дождь два часа лил как из ведра, временами не было видно края крыльев. Компасы в жидкости я установил удачно настолько, что не видя сквозь облака Киева, мы начали планировать с 1200 м из точки счисления и только с 350 м увидели как раз под собой главную улицу Киева. Не знаю, как будет дальше, но пока удалась прокладка и даже пеленгование, как на корабле. </w:t>
      </w:r>
    </w:p>
    <w:p w14:paraId="42E261FD" w14:textId="77777777" w:rsidR="00B67D7C" w:rsidRPr="00DE096C" w:rsidRDefault="00B67D7C" w:rsidP="00D45A46">
      <w:pPr>
        <w:jc w:val="both"/>
        <w:rPr>
          <w:bCs/>
          <w:color w:val="002060"/>
          <w:sz w:val="16"/>
          <w:szCs w:val="16"/>
        </w:rPr>
      </w:pPr>
      <w:r w:rsidRPr="00DE096C">
        <w:rPr>
          <w:bCs/>
          <w:color w:val="002060"/>
          <w:sz w:val="16"/>
          <w:szCs w:val="16"/>
        </w:rPr>
        <w:t>Курьезно то, что "Муромца" клало в грозовых облаках на 30°. Без приборов пропали бы. . . " [* ЦГВИА, ф. 802, on. 4, д. 2223, л. 107. Орфография сохранена.]</w:t>
      </w:r>
    </w:p>
    <w:p w14:paraId="01D60819" w14:textId="77777777" w:rsidR="00B67D7C" w:rsidRPr="00DE096C" w:rsidRDefault="00B67D7C" w:rsidP="00D45A46">
      <w:pPr>
        <w:jc w:val="both"/>
        <w:rPr>
          <w:bCs/>
          <w:color w:val="002060"/>
          <w:sz w:val="16"/>
          <w:szCs w:val="16"/>
        </w:rPr>
      </w:pPr>
      <w:r w:rsidRPr="00DE096C">
        <w:rPr>
          <w:bCs/>
          <w:color w:val="002060"/>
          <w:sz w:val="16"/>
          <w:szCs w:val="16"/>
        </w:rPr>
        <w:t xml:space="preserve">Итак, "Муромец" над Киевом. Сикорский быстро развернулся и взял курс на Куреневский аэродром, где он всего несколько лет назад начинал свои полеты. По пути, конечно, не преминул пройти над отчим домом и gокачать крыльями. В это хмурое утро не ожидали раннего прибытия "Ильи Муромца" в Киев, однако несколько членов Киевского общества воздухоплавания и К. К. Эргант были на аэродроме. После общих приветствий и поздравлений кто-то сказал, что в Сараево убит австрийский эрцгерцог Франц Фердинанд. Весть была серьезная, хотя, конечно, никто не предполагал последствий этого события. Вечером экипаж чествовали в Киевском обществе воздухоплавания. И. И. Сикорскому вручили Большую Золотую медаль с надписью "Славному витязю русского воздушного океана Игорю Сикорскому". Потом было много взволнованных речей и поздравлений. </w:t>
      </w:r>
    </w:p>
    <w:p w14:paraId="0B014AC0" w14:textId="77777777" w:rsidR="00B67D7C" w:rsidRPr="00DE096C" w:rsidRDefault="00B67D7C" w:rsidP="00D45A46">
      <w:pPr>
        <w:jc w:val="both"/>
        <w:rPr>
          <w:bCs/>
          <w:color w:val="002060"/>
          <w:sz w:val="16"/>
          <w:szCs w:val="16"/>
        </w:rPr>
      </w:pPr>
      <w:r w:rsidRPr="00DE096C">
        <w:rPr>
          <w:bCs/>
          <w:color w:val="002060"/>
          <w:sz w:val="16"/>
          <w:szCs w:val="16"/>
        </w:rPr>
        <w:t xml:space="preserve">Киев устроил грандиозную встречу героям перелета. Несколько дней подряд толпы народа осаждали аэродром и осматривали чудо-корабль, правда, издали. Цепь солдат не подпускала любопытных ближе. Организаторы были весьма предусмотрительны. Публика разнесла бы машину по кусочкам. Сикорский сделал десять показательных полетов - провез официальных и сиятельных лиц, друзей, родных. Все были в восторге от необычной машины. Пассажиры любовались прекрасной панорамой Киева и его окрестностями, удивляясь возможностям воздушного корабля. Отец Сикорского был нездоров, но его все-таки привезли на аэродром в закрытой карете, и он смог посмотреть на детище своего сына, в звезду которого он так верил. Иван Алексеевич, окруженный дочерьми, внуками и зятьями, был в восхищении и совершенно счастлив. Ольге, уже давно получившей "воздушное крещение", было доверено провезти на "Муромце" своего шестилетнего племянника Дмитрия, сына Елены. Он потом долго вспоминал волнующие подробности полета. Один из участников такого полета изливал свой восторг в местной прессе: </w:t>
      </w:r>
    </w:p>
    <w:p w14:paraId="4B9D6CE9" w14:textId="77777777" w:rsidR="00B67D7C" w:rsidRPr="00DE096C" w:rsidRDefault="00B67D7C" w:rsidP="00D45A46">
      <w:pPr>
        <w:jc w:val="both"/>
        <w:rPr>
          <w:bCs/>
          <w:color w:val="002060"/>
          <w:sz w:val="16"/>
          <w:szCs w:val="16"/>
        </w:rPr>
      </w:pPr>
      <w:r w:rsidRPr="00DE096C">
        <w:rPr>
          <w:bCs/>
          <w:color w:val="002060"/>
          <w:sz w:val="16"/>
          <w:szCs w:val="16"/>
        </w:rPr>
        <w:t xml:space="preserve">" ... При работе моторов на земле ощущается в кают-компании тряска, но как только мы взлетели, она тотчас же исчезла. Мы чувствуем себя как на пароходе в абсолютно тихую погоду. </w:t>
      </w:r>
    </w:p>
    <w:p w14:paraId="71680A36" w14:textId="77777777" w:rsidR="00B67D7C" w:rsidRPr="00DE096C" w:rsidRDefault="00B67D7C" w:rsidP="00D45A46">
      <w:pPr>
        <w:jc w:val="both"/>
        <w:rPr>
          <w:bCs/>
          <w:color w:val="002060"/>
          <w:sz w:val="16"/>
          <w:szCs w:val="16"/>
        </w:rPr>
      </w:pPr>
      <w:r w:rsidRPr="00DE096C">
        <w:rPr>
          <w:bCs/>
          <w:color w:val="002060"/>
          <w:sz w:val="16"/>
          <w:szCs w:val="16"/>
        </w:rPr>
        <w:t xml:space="preserve">В начале полета "Ильей Муромцем" управлял военный летчик X. Ф. Пруссис, но вскоре управление принимает на себя наш любезный хозяин Игорь Иванович. В кают-компанию входит сменившийся штабс-капитан X. Ф. Пруссис. В просторной каюте "Ильи Муромца" мы чувствуем себя великолепно: в каюте светло, уютно, нет гари от работающих моторов; в открытые окна и дверь каюты можно свободно наблюдать за проходимым пространством. Только мы взлетели, я вышел на верхнюю площадку, т. н. "капитанский мостик". На нем замечательно приятно стоять - сильная струя ветра раздувает полы вашего платья; вы дышите свежим, чистым воздухом. С мостика положительно не хочется уходить - так приятно здесь стоять. Вы чувствуете, что стоите на твердой почве, а со всех сторон у вас расстилаются очаровательные виды; вы видите под собой гигантских размеров географическую карту. Вы видите все изгибы Днепра, Почайны и по ним узнаете эти реки. </w:t>
      </w:r>
    </w:p>
    <w:p w14:paraId="3F5CB9E5" w14:textId="77777777" w:rsidR="00B67D7C" w:rsidRPr="00DE096C" w:rsidRDefault="00B67D7C" w:rsidP="00D45A46">
      <w:pPr>
        <w:jc w:val="both"/>
        <w:rPr>
          <w:bCs/>
          <w:color w:val="002060"/>
          <w:sz w:val="16"/>
          <w:szCs w:val="16"/>
        </w:rPr>
      </w:pPr>
      <w:r w:rsidRPr="00DE096C">
        <w:rPr>
          <w:bCs/>
          <w:color w:val="002060"/>
          <w:sz w:val="16"/>
          <w:szCs w:val="16"/>
        </w:rPr>
        <w:t xml:space="preserve">Я поворачиваюсь в сторону хвоста - позади видно пройденное пространство и незначительные движения рулей поворота; наконец, поворот рулей сделан несколько энергичнее, "Илья Муромец" слегка накрени-вается во внутреннюю сторону и мы поворачиваем в город. Пролетаем через аэродром. Внизу виднеются кажущиеся миниатюрными ангары, аэропланы, люди. Летим на "Илье Муромце" над Подолом. Здесь мы различаем каждую улицу, кажущуюся узенькой полоской, каждый дом. Все это выглядит таким нарядным и чистеньким. Затем виден старый город. Софийский Собор восхитителен в лучах заходящего солнца. Вы ясно различаете остановившиеся на улицах трамваи, автомобили, пешеходов; все это спешит посмотреть на летящего в воздухе "Илью Муромца". Из Купеческого сада много приветствий, направленных в сторону "Ильи Муромца", особенно в восторге были дамы, усиленно махавшие платками. </w:t>
      </w:r>
    </w:p>
    <w:p w14:paraId="63545ED4" w14:textId="77777777" w:rsidR="00B67D7C" w:rsidRPr="00DE096C" w:rsidRDefault="00B67D7C" w:rsidP="00D45A46">
      <w:pPr>
        <w:jc w:val="both"/>
        <w:rPr>
          <w:bCs/>
          <w:color w:val="002060"/>
          <w:sz w:val="16"/>
          <w:szCs w:val="16"/>
        </w:rPr>
      </w:pPr>
      <w:r w:rsidRPr="00DE096C">
        <w:rPr>
          <w:bCs/>
          <w:color w:val="002060"/>
          <w:sz w:val="16"/>
          <w:szCs w:val="16"/>
        </w:rPr>
        <w:t xml:space="preserve">Мы открыли боковую дверь, и все собрались в маленьком коридорчике, чтобы еще лучше наблюдать происходящее в Купеческом саду, а наш спутник - художник производит один за другим ряд фотографических снимков. На Днепре та же картина. Виден идущий из Слободки пароход, но он идет, слегка описывая зигзаги, видимо, рулевого больше интересует курс, взятый "Ильей Муромцем", нежели свой собственный. На обратном пути мы снова летим над Днепром и скоро видим Куреневский аэродром, где "Илья Муромец" описывает еще круг и мягко садится на землю, что было совершенно незаметно, несмотря на все старания уловить этот момент, столь сильно заметный при посадке других аппаратов ... " (Киевлянин. 1914. № 175. ), </w:t>
      </w:r>
    </w:p>
    <w:p w14:paraId="36C6E6A6" w14:textId="77777777" w:rsidR="00B67D7C" w:rsidRPr="00DE096C" w:rsidRDefault="00B67D7C" w:rsidP="00D45A46">
      <w:pPr>
        <w:jc w:val="both"/>
        <w:rPr>
          <w:bCs/>
          <w:color w:val="002060"/>
          <w:sz w:val="16"/>
          <w:szCs w:val="16"/>
        </w:rPr>
      </w:pPr>
      <w:r w:rsidRPr="00DE096C">
        <w:rPr>
          <w:bCs/>
          <w:color w:val="002060"/>
          <w:sz w:val="16"/>
          <w:szCs w:val="16"/>
        </w:rPr>
        <w:t>В честь перелета отцы города устроили торжественный прием. Он состоялся в особняке Русского купеческого собрания, расположенном в одном из красивейших уголков Киева. На приеме было много гостей. Среди них штабс-капитан Нестеров, первым в мире выполнивший "мертвую петлю". Он совсем недавно совершил на двухместном самолете однодневный перелет Киев - Гатчина. Это был последний идиллический вечер, когда друзья и единомышленники собрались вместе. Через короткое время бури грандиозных событий разметают их по стране. Вскоре героически погибнет П. Н. Нестеров, вместе с крейсером "Паллада" уйдет на дно Сергей Сикорский, много друзей Игоря Ивановича покинет этот прекрасный мир (11294).</w:t>
      </w:r>
    </w:p>
    <w:p w14:paraId="078B3CE9" w14:textId="77777777" w:rsidR="00B67D7C" w:rsidRPr="00DE096C" w:rsidRDefault="00B67D7C" w:rsidP="00D45A46">
      <w:pPr>
        <w:jc w:val="both"/>
        <w:rPr>
          <w:bCs/>
          <w:color w:val="002060"/>
          <w:sz w:val="16"/>
          <w:szCs w:val="16"/>
        </w:rPr>
      </w:pPr>
    </w:p>
    <w:p w14:paraId="5E9DBB96" w14:textId="26DA6F82" w:rsidR="0039093F" w:rsidRPr="00B52707" w:rsidRDefault="0039093F" w:rsidP="0039093F">
      <w:pPr>
        <w:jc w:val="both"/>
        <w:rPr>
          <w:color w:val="0070C0"/>
          <w:sz w:val="16"/>
          <w:szCs w:val="16"/>
        </w:rPr>
      </w:pPr>
      <w:r w:rsidRPr="00B52707">
        <w:rPr>
          <w:color w:val="0070C0"/>
          <w:sz w:val="16"/>
          <w:szCs w:val="16"/>
        </w:rPr>
        <w:t>10 (16) июня 1914 г. в 1 час 30 минут самолет</w:t>
      </w:r>
      <w:r>
        <w:rPr>
          <w:color w:val="0070C0"/>
          <w:sz w:val="16"/>
          <w:szCs w:val="16"/>
        </w:rPr>
        <w:t xml:space="preserve"> ИМ</w:t>
      </w:r>
      <w:r w:rsidRPr="00B52707">
        <w:rPr>
          <w:color w:val="0070C0"/>
          <w:sz w:val="16"/>
          <w:szCs w:val="16"/>
        </w:rPr>
        <w:t>, на борту которого находились второй пилот штабс-капитан Христофор Пруссис, штурман, второй пилот лейтенант Георгий Лавров и механик Владимир Панасюк, поднялся в небо. На борту расположили 940 кг бензина, 260 кг масла и 150 кг запчастей и материалов. Общий вес составил 1610 килограммов.</w:t>
      </w:r>
    </w:p>
    <w:p w14:paraId="64323FF5" w14:textId="77777777" w:rsidR="0039093F" w:rsidRPr="00B52707" w:rsidRDefault="0039093F" w:rsidP="0039093F">
      <w:pPr>
        <w:jc w:val="both"/>
        <w:rPr>
          <w:color w:val="0070C0"/>
          <w:sz w:val="16"/>
          <w:szCs w:val="16"/>
        </w:rPr>
      </w:pPr>
      <w:r w:rsidRPr="00B52707">
        <w:rPr>
          <w:color w:val="0070C0"/>
          <w:sz w:val="16"/>
          <w:szCs w:val="16"/>
        </w:rPr>
        <w:t>Самолет поднимался тяжело, сказывалась большая нагрузка. За первые 15 мин. удалось набрать только 150 метров, через полтора часа полета самолет поднялся на высоту 600 метров.</w:t>
      </w:r>
    </w:p>
    <w:p w14:paraId="76CC8B5E" w14:textId="77777777" w:rsidR="0039093F" w:rsidRPr="00B52707" w:rsidRDefault="0039093F" w:rsidP="0039093F">
      <w:pPr>
        <w:jc w:val="both"/>
        <w:rPr>
          <w:color w:val="0070C0"/>
          <w:sz w:val="16"/>
          <w:szCs w:val="16"/>
        </w:rPr>
      </w:pPr>
      <w:r w:rsidRPr="00B52707">
        <w:rPr>
          <w:color w:val="0070C0"/>
          <w:sz w:val="16"/>
          <w:szCs w:val="16"/>
        </w:rPr>
        <w:t>Через два часа экипаж первым в мире позавтракал в небе. Во время перелета над Витебском с самолета были сброшены два металлических пенала с прикрепленным вымпелом. В них были записки с просьбой отправить телеграммы, самим текстом, а также деньги для отправки, при этом обе телеграммы были получены.</w:t>
      </w:r>
    </w:p>
    <w:p w14:paraId="200B8E89" w14:textId="77777777" w:rsidR="0039093F" w:rsidRPr="00B52707" w:rsidRDefault="0039093F" w:rsidP="0039093F">
      <w:pPr>
        <w:jc w:val="both"/>
        <w:rPr>
          <w:color w:val="0070C0"/>
          <w:sz w:val="16"/>
          <w:szCs w:val="16"/>
        </w:rPr>
      </w:pPr>
      <w:r w:rsidRPr="00B52707">
        <w:rPr>
          <w:color w:val="0070C0"/>
          <w:sz w:val="16"/>
          <w:szCs w:val="16"/>
        </w:rPr>
        <w:t>Посадка в Орше прошла без осложнений, начала производиться дозаправка. Но уже по прибытии выяснилось, что площадка, на которую приземлился «муромец», имеет уклон в сторону обрыва к Днепру, туда же дует ветер. Было решено взлетать по ветру в сторону обрыва. Перелет не остался без внимания, и весь экипаж вскоре окружила толпа. Дозаправка шла медленно, но самолет почти не мог лететь в темноте, поэтому нужно было торопиться. Наконец, когда заправка закончилась, добровольцы подтолкнули самолет в сторону Днепра, «муромцу» удалось пересечь реку.</w:t>
      </w:r>
    </w:p>
    <w:p w14:paraId="7667DB22" w14:textId="77777777" w:rsidR="0039093F" w:rsidRPr="00B52707" w:rsidRDefault="0039093F" w:rsidP="0039093F">
      <w:pPr>
        <w:jc w:val="both"/>
        <w:rPr>
          <w:color w:val="0070C0"/>
          <w:sz w:val="16"/>
          <w:szCs w:val="16"/>
        </w:rPr>
      </w:pPr>
      <w:r w:rsidRPr="00B52707">
        <w:rPr>
          <w:color w:val="0070C0"/>
          <w:sz w:val="16"/>
          <w:szCs w:val="16"/>
        </w:rPr>
        <w:t>Во время сильной тряски лопнул бензопровод, и выплескивающееся горючее загорелось. Двигатель был выключен, но пламя уже бушевало. Панасюк и Лавров попытались потушить пожар и продолжить полет в обычном режиме, но машина начала терять скорость, и Сикорский решил сажать машину в поле ржи. Посадка была мягкой. Когда все немного успокоились и осмотрели самолет, то стало ясно, что можно отремонтировать крыло и продолжить полет. Снова взлетать в этот день было уже нельзя, надвигались сумерки, поэтому решили заночевать рядом с машиной. К тому моменту подтянулись обитатели местных деревень с провизией, всех очень интересовал огромный летательный аппарат. После полуночи погода ухудшилась, начался дождь.</w:t>
      </w:r>
    </w:p>
    <w:p w14:paraId="094E9E7E" w14:textId="77777777" w:rsidR="0039093F" w:rsidRPr="00B52707" w:rsidRDefault="0039093F" w:rsidP="0039093F">
      <w:pPr>
        <w:jc w:val="both"/>
        <w:rPr>
          <w:color w:val="0070C0"/>
          <w:sz w:val="16"/>
          <w:szCs w:val="16"/>
        </w:rPr>
      </w:pPr>
      <w:r w:rsidRPr="00B52707">
        <w:rPr>
          <w:color w:val="0070C0"/>
          <w:sz w:val="16"/>
          <w:szCs w:val="16"/>
        </w:rPr>
        <w:t>В 4 утра экипаж взлетел, но самолет сильно трясло, из-за дождя лететь приходилось при минимальной видимости. Идти по приборам было трудно, поскольку они не давали точной картины. Более того, по ним было трудно вычислить высоту. Было решено снижаться. Земли не было видно. Наконец показался небольшой клочок леса, болтанка уменьшилась. На высоте 1100 метров показалось солнце. Сикорского сменил Пруссис, машину уже можно было вести по приборам. Наконец показался Киев.</w:t>
      </w:r>
    </w:p>
    <w:p w14:paraId="2822F40F" w14:textId="77777777" w:rsidR="0039093F" w:rsidRPr="00B52707" w:rsidRDefault="0039093F" w:rsidP="0039093F">
      <w:pPr>
        <w:jc w:val="both"/>
        <w:rPr>
          <w:color w:val="0070C0"/>
          <w:sz w:val="16"/>
          <w:szCs w:val="16"/>
        </w:rPr>
      </w:pPr>
      <w:r w:rsidRPr="00B52707">
        <w:rPr>
          <w:color w:val="0070C0"/>
          <w:sz w:val="16"/>
          <w:szCs w:val="16"/>
        </w:rPr>
        <w:t>После посадки на Куреневском аэродроме начались приветствия и поздравления, а вечером весь экипаж чествовали в Киевском обществе воздухоплавания. Весь Киев был взволнован, огромное количество людей пришло взглянуть на самолет и поздравить экипаж. Поздравить с триумфом Игоря Сикорского пришла вся его семья. Сестре Ольге было доверено привезти племянника Дмитрия.</w:t>
      </w:r>
    </w:p>
    <w:p w14:paraId="5FF9A456" w14:textId="77777777" w:rsidR="0039093F" w:rsidRPr="00B52707" w:rsidRDefault="0039093F" w:rsidP="0039093F">
      <w:pPr>
        <w:jc w:val="both"/>
        <w:rPr>
          <w:color w:val="0070C0"/>
          <w:sz w:val="16"/>
          <w:szCs w:val="16"/>
        </w:rPr>
      </w:pPr>
      <w:r w:rsidRPr="00B52707">
        <w:rPr>
          <w:color w:val="0070C0"/>
          <w:sz w:val="16"/>
          <w:szCs w:val="16"/>
        </w:rPr>
        <w:t>И.И. Сикорскому была вручена Большая золотая медаль с надписью «Славному витязю русского воздушного океана Игорю Сикорскому». Во время празднований мелькнула новость об убийстве в Сараево австрийского эрцгерцога Франца Фердинанда (24965).</w:t>
      </w:r>
    </w:p>
    <w:p w14:paraId="07225CA0" w14:textId="77777777" w:rsidR="0039093F" w:rsidRPr="00B52707" w:rsidRDefault="0039093F" w:rsidP="0039093F">
      <w:pPr>
        <w:jc w:val="both"/>
        <w:rPr>
          <w:color w:val="0070C0"/>
          <w:sz w:val="16"/>
          <w:szCs w:val="16"/>
        </w:rPr>
      </w:pPr>
    </w:p>
    <w:p w14:paraId="03AC5884"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w:t>
      </w:r>
    </w:p>
    <w:p w14:paraId="05CC7754" w14:textId="77777777" w:rsidR="00B67D7C" w:rsidRPr="00DE096C" w:rsidRDefault="00B67D7C" w:rsidP="00D45A46">
      <w:pPr>
        <w:shd w:val="clear" w:color="auto" w:fill="FFFFFF"/>
        <w:jc w:val="both"/>
        <w:rPr>
          <w:bCs/>
          <w:i/>
          <w:color w:val="002060"/>
          <w:sz w:val="16"/>
          <w:szCs w:val="16"/>
        </w:rPr>
      </w:pPr>
    </w:p>
    <w:p w14:paraId="100A8DE9" w14:textId="77777777" w:rsidR="00B67D7C" w:rsidRPr="00DE096C" w:rsidRDefault="00B67D7C" w:rsidP="00D45A46">
      <w:pPr>
        <w:shd w:val="clear" w:color="auto" w:fill="FFFFFF"/>
        <w:jc w:val="both"/>
        <w:rPr>
          <w:bCs/>
          <w:i/>
          <w:color w:val="002060"/>
          <w:sz w:val="16"/>
          <w:szCs w:val="16"/>
        </w:rPr>
      </w:pPr>
      <w:r w:rsidRPr="00DE096C">
        <w:rPr>
          <w:bCs/>
          <w:color w:val="002060"/>
          <w:sz w:val="16"/>
          <w:szCs w:val="16"/>
        </w:rPr>
        <w:t xml:space="preserve">10 (23) июня 1914 в школе московского общества воздухоплавателей П.Н.Нестеров выступил с докладом об управлении самолетами и причинах некоторых катастроф, произошедших в результате неправилъного пилотирования, в частности указал на причину срыва в штопор. Тут же он проанализировал достоинства и недостатки недавних полетов А.Пегу в Москве </w:t>
      </w:r>
      <w:r w:rsidRPr="00DE096C">
        <w:rPr>
          <w:bCs/>
          <w:i/>
          <w:color w:val="002060"/>
          <w:sz w:val="16"/>
          <w:szCs w:val="16"/>
        </w:rPr>
        <w:t>("Аэро". 1914, № 13, стр.7-10).</w:t>
      </w:r>
    </w:p>
    <w:p w14:paraId="7FF2E68D" w14:textId="77777777" w:rsidR="00B67D7C" w:rsidRPr="00DE096C" w:rsidRDefault="00B67D7C" w:rsidP="00D45A46">
      <w:pPr>
        <w:shd w:val="clear" w:color="auto" w:fill="FFFFFF"/>
        <w:jc w:val="both"/>
        <w:rPr>
          <w:bCs/>
          <w:i/>
          <w:color w:val="002060"/>
          <w:sz w:val="16"/>
          <w:szCs w:val="16"/>
        </w:rPr>
      </w:pPr>
    </w:p>
    <w:p w14:paraId="0850364D" w14:textId="77777777" w:rsidR="00A01518" w:rsidRPr="00DE096C" w:rsidRDefault="00A01518" w:rsidP="00D45A46">
      <w:pPr>
        <w:jc w:val="both"/>
        <w:rPr>
          <w:bCs/>
          <w:color w:val="002060"/>
          <w:sz w:val="16"/>
          <w:szCs w:val="16"/>
        </w:rPr>
      </w:pPr>
      <w:r w:rsidRPr="00DE096C">
        <w:rPr>
          <w:bCs/>
          <w:color w:val="002060"/>
          <w:sz w:val="16"/>
          <w:szCs w:val="16"/>
        </w:rPr>
        <w:t>10 (23) июня 1914 г. в школе московского общества воздухоплавателей П.Н.Нестеров выступил с докладом об управлении самолетами и причинах неко</w:t>
      </w:r>
      <w:r w:rsidRPr="00DE096C">
        <w:rPr>
          <w:bCs/>
          <w:color w:val="002060"/>
          <w:sz w:val="16"/>
          <w:szCs w:val="16"/>
        </w:rPr>
        <w:softHyphen/>
        <w:t>торых катастроф, происшедших в результате неправильного пилотирования, в частности указал на причину срыва в штопор. Тут же он проанализировал достоинства и недостатки недавних полетов А.Пегу в Москве.</w:t>
      </w:r>
    </w:p>
    <w:p w14:paraId="083FE199" w14:textId="77777777" w:rsidR="00A01518" w:rsidRPr="00DE096C" w:rsidRDefault="00A01518" w:rsidP="00D45A46">
      <w:pPr>
        <w:jc w:val="both"/>
        <w:rPr>
          <w:bCs/>
          <w:color w:val="002060"/>
          <w:sz w:val="16"/>
          <w:szCs w:val="16"/>
        </w:rPr>
      </w:pPr>
      <w:r w:rsidRPr="00DE096C">
        <w:rPr>
          <w:bCs/>
          <w:color w:val="002060"/>
          <w:sz w:val="16"/>
          <w:szCs w:val="16"/>
        </w:rPr>
        <w:t>/"Аэро", 1914, № 13, стр.7—10/ (23320).</w:t>
      </w:r>
    </w:p>
    <w:p w14:paraId="15BE51D9" w14:textId="77777777" w:rsidR="00A01518" w:rsidRPr="00DE096C" w:rsidRDefault="00A01518" w:rsidP="00D45A46">
      <w:pPr>
        <w:jc w:val="both"/>
        <w:rPr>
          <w:bCs/>
          <w:color w:val="002060"/>
          <w:sz w:val="16"/>
          <w:szCs w:val="16"/>
        </w:rPr>
      </w:pPr>
    </w:p>
    <w:p w14:paraId="7BB9577D" w14:textId="77777777" w:rsidR="0072340D" w:rsidRPr="00DE096C" w:rsidRDefault="0072340D" w:rsidP="00D45A46">
      <w:pPr>
        <w:jc w:val="both"/>
        <w:rPr>
          <w:bCs/>
          <w:i/>
          <w:color w:val="002060"/>
          <w:sz w:val="16"/>
          <w:szCs w:val="16"/>
        </w:rPr>
      </w:pPr>
      <w:r w:rsidRPr="00DE096C">
        <w:rPr>
          <w:bCs/>
          <w:i/>
          <w:color w:val="002060"/>
          <w:sz w:val="16"/>
          <w:szCs w:val="16"/>
        </w:rPr>
        <w:t>Авиация и воздухоплавание за рубежом:</w:t>
      </w:r>
    </w:p>
    <w:p w14:paraId="105E4F59" w14:textId="77777777" w:rsidR="0072340D" w:rsidRPr="00DE096C" w:rsidRDefault="0072340D" w:rsidP="00D45A46">
      <w:pPr>
        <w:jc w:val="both"/>
        <w:rPr>
          <w:bCs/>
          <w:i/>
          <w:color w:val="002060"/>
          <w:sz w:val="16"/>
          <w:szCs w:val="16"/>
        </w:rPr>
      </w:pPr>
    </w:p>
    <w:p w14:paraId="27AC7BD0" w14:textId="77777777" w:rsidR="0072340D" w:rsidRPr="00DE096C" w:rsidRDefault="0072340D" w:rsidP="00D45A46">
      <w:pPr>
        <w:jc w:val="both"/>
        <w:rPr>
          <w:bCs/>
          <w:color w:val="002060"/>
          <w:sz w:val="16"/>
          <w:szCs w:val="16"/>
        </w:rPr>
      </w:pPr>
      <w:r w:rsidRPr="00DE096C">
        <w:rPr>
          <w:bCs/>
          <w:color w:val="002060"/>
          <w:sz w:val="16"/>
          <w:szCs w:val="16"/>
        </w:rPr>
        <w:t>10 (23) июня 1914 первый полет летающей лодки America, которую бизнесмен Родман Ванамакер заказал с целью спонсирования первого трансатлантического перелета, происходит в Хаммондспорте, Нью-Йорк. Начало Первой мировой войны пятью неделями позже предотвратило попытку трансатлантического перелета (20337).</w:t>
      </w:r>
    </w:p>
    <w:p w14:paraId="1F16960F" w14:textId="77777777" w:rsidR="0072340D" w:rsidRPr="00DE096C" w:rsidRDefault="0072340D" w:rsidP="00D45A46">
      <w:pPr>
        <w:jc w:val="both"/>
        <w:rPr>
          <w:bCs/>
          <w:color w:val="002060"/>
          <w:sz w:val="16"/>
          <w:szCs w:val="16"/>
        </w:rPr>
      </w:pPr>
    </w:p>
    <w:p w14:paraId="2483B74B"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6C1B8CB0" w14:textId="77777777" w:rsidR="00B67D7C" w:rsidRPr="00DE096C" w:rsidRDefault="00B67D7C" w:rsidP="00D45A46">
      <w:pPr>
        <w:shd w:val="clear" w:color="auto" w:fill="FFFFFF"/>
        <w:jc w:val="both"/>
        <w:rPr>
          <w:bCs/>
          <w:i/>
          <w:color w:val="002060"/>
          <w:sz w:val="16"/>
          <w:szCs w:val="16"/>
        </w:rPr>
      </w:pPr>
    </w:p>
    <w:p w14:paraId="13FE8D1E" w14:textId="26C033F5" w:rsidR="005C3561" w:rsidRPr="00DE096C" w:rsidRDefault="005C3561" w:rsidP="00D45A46">
      <w:pPr>
        <w:jc w:val="both"/>
        <w:rPr>
          <w:bCs/>
          <w:color w:val="002060"/>
          <w:sz w:val="16"/>
          <w:szCs w:val="16"/>
        </w:rPr>
      </w:pPr>
      <w:r w:rsidRPr="00DE096C">
        <w:rPr>
          <w:bCs/>
          <w:color w:val="002060"/>
          <w:sz w:val="16"/>
          <w:szCs w:val="16"/>
          <w:lang w:bidi="ru-RU"/>
        </w:rPr>
        <w:t>В период 11—17 (24-30) июня 1914 г. Сикорский совершил на втором экземпляре «ИМ», серийный №128 (который отличался от первого опытного образца уменьшенными размерами и наличием бо</w:t>
      </w:r>
      <w:r w:rsidRPr="00DE096C">
        <w:rPr>
          <w:bCs/>
          <w:color w:val="002060"/>
          <w:sz w:val="16"/>
          <w:szCs w:val="16"/>
          <w:lang w:bidi="ru-RU"/>
        </w:rPr>
        <w:softHyphen/>
        <w:t>лее мощной силовой установки, состоящей из 4-х двигателей «Аргус» 140 л.с.) перелет из Пе</w:t>
      </w:r>
      <w:r w:rsidRPr="00DE096C">
        <w:rPr>
          <w:bCs/>
          <w:color w:val="002060"/>
          <w:sz w:val="16"/>
          <w:szCs w:val="16"/>
          <w:lang w:bidi="ru-RU"/>
        </w:rPr>
        <w:softHyphen/>
        <w:t>тербурга в Киев и обратно. Помимо него на борту находились Г.И. Лавров, Х.Ф. Пруссис и механик В.С. Панасюк. В ознаменование перелета воздушный корабль получил наи</w:t>
      </w:r>
      <w:r w:rsidRPr="00DE096C">
        <w:rPr>
          <w:bCs/>
          <w:color w:val="002060"/>
          <w:sz w:val="16"/>
          <w:szCs w:val="16"/>
          <w:lang w:bidi="ru-RU"/>
        </w:rPr>
        <w:softHyphen/>
        <w:t>менование «Киевский». Позднее он был приобретен Гатчинской авиашколой и ис</w:t>
      </w:r>
      <w:r w:rsidRPr="00DE096C">
        <w:rPr>
          <w:bCs/>
          <w:color w:val="002060"/>
          <w:sz w:val="16"/>
          <w:szCs w:val="16"/>
          <w:lang w:bidi="ru-RU"/>
        </w:rPr>
        <w:softHyphen/>
        <w:t>пользовался как учебный аппарат для под</w:t>
      </w:r>
      <w:r w:rsidRPr="00DE096C">
        <w:rPr>
          <w:bCs/>
          <w:color w:val="002060"/>
          <w:sz w:val="16"/>
          <w:szCs w:val="16"/>
          <w:lang w:bidi="ru-RU"/>
        </w:rPr>
        <w:softHyphen/>
        <w:t>готовки экипажей воздушных кораблей (23374).</w:t>
      </w:r>
    </w:p>
    <w:p w14:paraId="2778660E" w14:textId="77777777" w:rsidR="005C3561" w:rsidRPr="00DE096C" w:rsidRDefault="005C3561" w:rsidP="00D45A46">
      <w:pPr>
        <w:jc w:val="both"/>
        <w:rPr>
          <w:bCs/>
          <w:color w:val="002060"/>
          <w:sz w:val="16"/>
          <w:szCs w:val="16"/>
        </w:rPr>
      </w:pPr>
    </w:p>
    <w:p w14:paraId="50EFFCBA" w14:textId="1D1F1EF9" w:rsidR="005C3561" w:rsidRPr="00DE096C" w:rsidRDefault="005C3561" w:rsidP="00D45A46">
      <w:pPr>
        <w:jc w:val="both"/>
        <w:rPr>
          <w:bCs/>
          <w:color w:val="002060"/>
          <w:sz w:val="16"/>
          <w:szCs w:val="16"/>
          <w:lang w:bidi="en-US"/>
        </w:rPr>
      </w:pPr>
      <w:r w:rsidRPr="00DE096C">
        <w:rPr>
          <w:bCs/>
          <w:color w:val="002060"/>
          <w:sz w:val="16"/>
          <w:szCs w:val="16"/>
          <w:lang w:bidi="en-US"/>
        </w:rPr>
        <w:t>11 (24) июня 1914 г. Муромец Бех 1 № 1 Игоря Сикорского. 128 (</w:t>
      </w:r>
      <w:r w:rsidRPr="00DE096C">
        <w:rPr>
          <w:bCs/>
          <w:color w:val="002060"/>
          <w:sz w:val="16"/>
          <w:szCs w:val="16"/>
          <w:lang w:val="en-US" w:bidi="en-US"/>
        </w:rPr>
        <w:t>S</w:t>
      </w:r>
      <w:r w:rsidRPr="00DE096C">
        <w:rPr>
          <w:bCs/>
          <w:color w:val="002060"/>
          <w:sz w:val="16"/>
          <w:szCs w:val="16"/>
          <w:lang w:bidi="en-US"/>
        </w:rPr>
        <w:t>-13</w:t>
      </w:r>
      <w:r w:rsidRPr="00DE096C">
        <w:rPr>
          <w:bCs/>
          <w:color w:val="002060"/>
          <w:sz w:val="16"/>
          <w:szCs w:val="16"/>
          <w:lang w:val="en-US" w:bidi="en-US"/>
        </w:rPr>
        <w:t>B</w:t>
      </w:r>
      <w:r w:rsidRPr="00DE096C">
        <w:rPr>
          <w:bCs/>
          <w:color w:val="002060"/>
          <w:sz w:val="16"/>
          <w:szCs w:val="16"/>
          <w:lang w:bidi="en-US"/>
        </w:rPr>
        <w:t>) совершил полет в Санкт-Петербурге, достигнув высоты 1970 метров с десятью пассажирами (23525).</w:t>
      </w:r>
    </w:p>
    <w:p w14:paraId="21BF5D04" w14:textId="77777777" w:rsidR="005C3561" w:rsidRPr="00DE096C" w:rsidRDefault="005C3561" w:rsidP="00D45A46">
      <w:pPr>
        <w:jc w:val="both"/>
        <w:rPr>
          <w:bCs/>
          <w:color w:val="002060"/>
          <w:sz w:val="16"/>
          <w:szCs w:val="16"/>
        </w:rPr>
      </w:pPr>
    </w:p>
    <w:p w14:paraId="77F130F9" w14:textId="454551A1" w:rsidR="00B67D7C" w:rsidRPr="00DE096C" w:rsidRDefault="00B67D7C" w:rsidP="00D45A46">
      <w:pPr>
        <w:shd w:val="clear" w:color="auto" w:fill="FFFFFF"/>
        <w:jc w:val="both"/>
        <w:rPr>
          <w:bCs/>
          <w:color w:val="002060"/>
          <w:sz w:val="16"/>
          <w:szCs w:val="16"/>
        </w:rPr>
      </w:pPr>
      <w:r w:rsidRPr="00DE096C">
        <w:rPr>
          <w:bCs/>
          <w:color w:val="002060"/>
          <w:sz w:val="16"/>
          <w:szCs w:val="16"/>
        </w:rPr>
        <w:t>11 (24) июня 1914 лейтенант В. Р. Качинский и подпоручик по Адмиралтейству А. Е. Жуков, пило</w:t>
      </w:r>
      <w:r w:rsidRPr="00DE096C">
        <w:rPr>
          <w:bCs/>
          <w:color w:val="002060"/>
          <w:sz w:val="16"/>
          <w:szCs w:val="16"/>
        </w:rPr>
        <w:softHyphen/>
        <w:t>ты, летавшие на самолете «Моран-Солнье» с номером 14, заявили, что установка радиотелеграфа могла нести опасность для экипажа. Пятнадцатого числа их сообщение обсуждалось Авиационным комитетом Черноморского флота, пришедшим к выводу, что прочность аппарата не пострадала, а вот пожарная безопасность действительно нарушилась. Участники совещания нашли вдобавок, что передачу от рота-тивного «Гнома» к динамомашине передатчика стоило сделать шестеренчатой, а не с помощью металли</w:t>
      </w:r>
      <w:r w:rsidRPr="00DE096C">
        <w:rPr>
          <w:bCs/>
          <w:color w:val="002060"/>
          <w:sz w:val="16"/>
          <w:szCs w:val="16"/>
        </w:rPr>
        <w:softHyphen/>
        <w:t>ческой ленты (2807).</w:t>
      </w:r>
    </w:p>
    <w:p w14:paraId="7AF0B62B" w14:textId="77777777" w:rsidR="00B67D7C" w:rsidRPr="00DE096C" w:rsidRDefault="00B67D7C" w:rsidP="00D45A46">
      <w:pPr>
        <w:shd w:val="clear" w:color="auto" w:fill="FFFFFF"/>
        <w:jc w:val="both"/>
        <w:rPr>
          <w:bCs/>
          <w:color w:val="002060"/>
          <w:sz w:val="16"/>
          <w:szCs w:val="16"/>
        </w:rPr>
      </w:pPr>
    </w:p>
    <w:p w14:paraId="00A7011A" w14:textId="7DF8F281" w:rsidR="005C3561" w:rsidRPr="00DE096C" w:rsidRDefault="005C3561" w:rsidP="00D45A46">
      <w:pPr>
        <w:jc w:val="both"/>
        <w:rPr>
          <w:bCs/>
          <w:i/>
          <w:color w:val="002060"/>
          <w:sz w:val="16"/>
          <w:szCs w:val="16"/>
        </w:rPr>
      </w:pPr>
      <w:r w:rsidRPr="00DE096C">
        <w:rPr>
          <w:bCs/>
          <w:i/>
          <w:color w:val="002060"/>
          <w:sz w:val="16"/>
          <w:szCs w:val="16"/>
        </w:rPr>
        <w:t>Воздухоплавание:</w:t>
      </w:r>
    </w:p>
    <w:p w14:paraId="71A1D310" w14:textId="77777777" w:rsidR="005C3561" w:rsidRPr="00DE096C" w:rsidRDefault="005C3561" w:rsidP="00D45A46">
      <w:pPr>
        <w:jc w:val="both"/>
        <w:rPr>
          <w:bCs/>
          <w:i/>
          <w:color w:val="002060"/>
          <w:sz w:val="16"/>
          <w:szCs w:val="16"/>
        </w:rPr>
      </w:pPr>
    </w:p>
    <w:p w14:paraId="682B0FF9" w14:textId="1F8BB4B8" w:rsidR="005C3561" w:rsidRPr="00DE096C" w:rsidRDefault="007871CA" w:rsidP="00D45A46">
      <w:pPr>
        <w:jc w:val="both"/>
        <w:rPr>
          <w:bCs/>
          <w:color w:val="002060"/>
          <w:sz w:val="16"/>
          <w:szCs w:val="16"/>
          <w:lang w:bidi="en-US"/>
        </w:rPr>
      </w:pPr>
      <w:r>
        <w:rPr>
          <w:bCs/>
          <w:color w:val="002060"/>
          <w:sz w:val="16"/>
          <w:szCs w:val="16"/>
          <w:lang w:bidi="en-US"/>
        </w:rPr>
        <w:t>11 (</w:t>
      </w:r>
      <w:r w:rsidR="005C3561" w:rsidRPr="00DE096C">
        <w:rPr>
          <w:bCs/>
          <w:color w:val="002060"/>
          <w:sz w:val="16"/>
          <w:szCs w:val="16"/>
          <w:lang w:bidi="en-US"/>
        </w:rPr>
        <w:t>24</w:t>
      </w:r>
      <w:r>
        <w:rPr>
          <w:bCs/>
          <w:color w:val="002060"/>
          <w:sz w:val="16"/>
          <w:szCs w:val="16"/>
          <w:lang w:bidi="en-US"/>
        </w:rPr>
        <w:t>)</w:t>
      </w:r>
      <w:r w:rsidR="005C3561" w:rsidRPr="00DE096C">
        <w:rPr>
          <w:bCs/>
          <w:color w:val="002060"/>
          <w:sz w:val="16"/>
          <w:szCs w:val="16"/>
          <w:lang w:bidi="en-US"/>
        </w:rPr>
        <w:t xml:space="preserve"> июня 1914 г. нежесткий дирижабль «Голуб» с 3-й воздухоплавательной ротой во время перелета со своей базы в Лиде в Вильно попал в непогоду и был вынужден приземлиться на деревья, практически уничтожив корабль. Экипаж отделался лишь легкими травмами (23525).</w:t>
      </w:r>
    </w:p>
    <w:p w14:paraId="5710AF21" w14:textId="77777777" w:rsidR="005C3561" w:rsidRPr="00DE096C" w:rsidRDefault="005C3561" w:rsidP="00D45A46">
      <w:pPr>
        <w:jc w:val="both"/>
        <w:rPr>
          <w:bCs/>
          <w:color w:val="002060"/>
          <w:sz w:val="16"/>
          <w:szCs w:val="16"/>
        </w:rPr>
      </w:pPr>
    </w:p>
    <w:p w14:paraId="4720B60D" w14:textId="21E1E1D8" w:rsidR="0072340D" w:rsidRPr="00DE096C" w:rsidRDefault="0072340D" w:rsidP="00D45A46">
      <w:pPr>
        <w:jc w:val="both"/>
        <w:rPr>
          <w:bCs/>
          <w:i/>
          <w:color w:val="002060"/>
          <w:sz w:val="16"/>
          <w:szCs w:val="16"/>
        </w:rPr>
      </w:pPr>
      <w:r w:rsidRPr="00DE096C">
        <w:rPr>
          <w:bCs/>
          <w:i/>
          <w:color w:val="002060"/>
          <w:sz w:val="16"/>
          <w:szCs w:val="16"/>
        </w:rPr>
        <w:t>Авиация и воздухоплавание Германии:</w:t>
      </w:r>
    </w:p>
    <w:p w14:paraId="4CF4FCB2" w14:textId="77777777" w:rsidR="0072340D" w:rsidRPr="00DE096C" w:rsidRDefault="0072340D" w:rsidP="00D45A46">
      <w:pPr>
        <w:jc w:val="both"/>
        <w:rPr>
          <w:bCs/>
          <w:i/>
          <w:color w:val="002060"/>
          <w:sz w:val="16"/>
          <w:szCs w:val="16"/>
        </w:rPr>
      </w:pPr>
    </w:p>
    <w:p w14:paraId="37B904C8" w14:textId="77777777" w:rsidR="0072340D" w:rsidRPr="00DE096C" w:rsidRDefault="0072340D" w:rsidP="00D45A46">
      <w:pPr>
        <w:jc w:val="both"/>
        <w:rPr>
          <w:bCs/>
          <w:color w:val="002060"/>
          <w:sz w:val="16"/>
          <w:szCs w:val="16"/>
        </w:rPr>
      </w:pPr>
      <w:r w:rsidRPr="00DE096C">
        <w:rPr>
          <w:bCs/>
          <w:color w:val="002060"/>
          <w:sz w:val="16"/>
          <w:szCs w:val="16"/>
        </w:rPr>
        <w:t>11 (24) июня 1914 в Йоханнистале, Германия , немецкий авиатор Густав Бассер устанавливает новый рекорд продолжительности полета, пролетая без остановок 18 часов 10 минут (20337).</w:t>
      </w:r>
    </w:p>
    <w:p w14:paraId="4FF9357C" w14:textId="77777777" w:rsidR="0072340D" w:rsidRPr="00DE096C" w:rsidRDefault="0072340D" w:rsidP="00D45A46">
      <w:pPr>
        <w:jc w:val="both"/>
        <w:rPr>
          <w:bCs/>
          <w:color w:val="002060"/>
          <w:sz w:val="16"/>
          <w:szCs w:val="16"/>
        </w:rPr>
      </w:pPr>
    </w:p>
    <w:p w14:paraId="7F89773E"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Другие оборонные отрасли:</w:t>
      </w:r>
    </w:p>
    <w:p w14:paraId="57B08DD1" w14:textId="77777777" w:rsidR="00B67D7C" w:rsidRPr="00DE096C" w:rsidRDefault="00B67D7C" w:rsidP="00D45A46">
      <w:pPr>
        <w:shd w:val="clear" w:color="auto" w:fill="FFFFFF"/>
        <w:jc w:val="both"/>
        <w:rPr>
          <w:bCs/>
          <w:i/>
          <w:color w:val="002060"/>
          <w:sz w:val="16"/>
          <w:szCs w:val="16"/>
        </w:rPr>
      </w:pPr>
    </w:p>
    <w:p w14:paraId="18DDD56D" w14:textId="4401C6E5" w:rsidR="00A7574E" w:rsidRPr="00DE096C" w:rsidRDefault="00B67D7C" w:rsidP="00D45A46">
      <w:pPr>
        <w:jc w:val="both"/>
        <w:rPr>
          <w:bCs/>
          <w:color w:val="002060"/>
          <w:sz w:val="16"/>
          <w:szCs w:val="16"/>
        </w:rPr>
      </w:pPr>
      <w:r w:rsidRPr="00DE096C">
        <w:rPr>
          <w:bCs/>
          <w:color w:val="002060"/>
          <w:sz w:val="16"/>
          <w:szCs w:val="16"/>
        </w:rPr>
        <w:t xml:space="preserve">Скоро стало понятным, что огромная потребность в кирпиче не обеспечивается поставками кирпича со стороны, потребовалось строительство собственного </w:t>
      </w:r>
      <w:bookmarkStart w:id="38" w:name="_Hlk117162953"/>
    </w:p>
    <w:p w14:paraId="5E304B55" w14:textId="1F7BE440" w:rsidR="00B67D7C" w:rsidRPr="00DE096C" w:rsidRDefault="00A7574E" w:rsidP="00D45A46">
      <w:pPr>
        <w:jc w:val="both"/>
        <w:rPr>
          <w:bCs/>
          <w:color w:val="002060"/>
          <w:sz w:val="16"/>
          <w:szCs w:val="16"/>
        </w:rPr>
      </w:pPr>
      <w:r w:rsidRPr="00DE096C">
        <w:rPr>
          <w:bCs/>
          <w:color w:val="002060"/>
          <w:sz w:val="16"/>
          <w:szCs w:val="16"/>
        </w:rPr>
        <w:t>Н</w:t>
      </w:r>
      <w:r w:rsidR="00B67D7C" w:rsidRPr="00DE096C">
        <w:rPr>
          <w:bCs/>
          <w:color w:val="002060"/>
          <w:sz w:val="16"/>
          <w:szCs w:val="16"/>
        </w:rPr>
        <w:t>а 13 (2</w:t>
      </w:r>
      <w:r w:rsidRPr="00DE096C">
        <w:rPr>
          <w:bCs/>
          <w:color w:val="002060"/>
          <w:sz w:val="16"/>
          <w:szCs w:val="16"/>
        </w:rPr>
        <w:t>6</w:t>
      </w:r>
      <w:r w:rsidR="00B67D7C" w:rsidRPr="00DE096C">
        <w:rPr>
          <w:bCs/>
          <w:color w:val="002060"/>
          <w:sz w:val="16"/>
          <w:szCs w:val="16"/>
        </w:rPr>
        <w:t>) июня 1914 года</w:t>
      </w:r>
      <w:r w:rsidRPr="00DE096C">
        <w:rPr>
          <w:bCs/>
          <w:color w:val="002060"/>
          <w:sz w:val="16"/>
          <w:szCs w:val="16"/>
        </w:rPr>
        <w:t xml:space="preserve"> назначили торжественную закладку завода РАОАЗ. Сначала это событие было намечено на апрель 1914 года. Затем несколько раз откладывали.</w:t>
      </w:r>
    </w:p>
    <w:p w14:paraId="7DC6F4E2" w14:textId="77777777" w:rsidR="00B67D7C" w:rsidRPr="00DE096C" w:rsidRDefault="00B67D7C" w:rsidP="00D45A46">
      <w:pPr>
        <w:jc w:val="both"/>
        <w:rPr>
          <w:bCs/>
          <w:color w:val="002060"/>
          <w:sz w:val="16"/>
          <w:szCs w:val="16"/>
        </w:rPr>
      </w:pPr>
      <w:r w:rsidRPr="00DE096C">
        <w:rPr>
          <w:bCs/>
          <w:color w:val="002060"/>
          <w:sz w:val="16"/>
          <w:szCs w:val="16"/>
        </w:rPr>
        <w:t>Приглашения были разосланы многим важным персонам: Военному и Морскому министрам, великим князьям. К приезду готовились. Были с деланы парадная деревянная лестница от волжского причала, по пути следования гостей арки, украшенные цветами, праздничные павильоны для угощения, большой деревянный план-макет завода. Гости прибыли из Царицына на двух пароходах – «Верблюд» и «Калева». Среди них не было приглашенных ни министров, ни великих князей. Однако празднование почтили своим присутствием помощник (заместитель) Морского министра вице адмирал Н. В. Бубнов, начальник главного управления кораблестроения вице адмирал Н.Н. Муравьев, начальник главного артиллерийского управления генерал лейтенант Д. Д. Кузьмин-Караваев, губернатор Саратовской губернии А. А.Ширинский Шахматов. В празднование были вовлечены и рабочие, которым выдавались красные рубахи и платки, 50 копеек и бесплатный обед. Но вскоре о празднике старались не вспоминать. Через месяц – 15 (28) июля в страну пришла беда, грянула мировая война, позже названная Первой. Поначалу правлению казалось, что война может помочь в ускорении строительства военного завода, стоимость работ может снизиться, а основные проблемы будут в нехватке рабочих рук при этом. Однако прогноз оказался неверным. Хотя в целом мобилизация, безусловно, создала дефицит рабочих рук – с завода были призваны около 800 рабочих, особого дефицита рабочих рук на заводе не ощущалось. А вот цены поползли вверх, в первую очередь как раз на рабочую силу. Но наиболее серьезные проблемы, связанные с войной, подошли с другой стороны.</w:t>
      </w:r>
    </w:p>
    <w:p w14:paraId="54AD8FB7" w14:textId="77777777" w:rsidR="00B67D7C" w:rsidRPr="00DE096C" w:rsidRDefault="00B67D7C" w:rsidP="00D45A46">
      <w:pPr>
        <w:jc w:val="both"/>
        <w:rPr>
          <w:bCs/>
          <w:color w:val="002060"/>
          <w:sz w:val="16"/>
          <w:szCs w:val="16"/>
        </w:rPr>
      </w:pPr>
      <w:r w:rsidRPr="00DE096C">
        <w:rPr>
          <w:bCs/>
          <w:color w:val="002060"/>
          <w:sz w:val="16"/>
          <w:szCs w:val="16"/>
        </w:rPr>
        <w:t>Значительно выросший потенциал российской промышленности позволял выполнять многие заказы РАОАЗ, но в значительной степени в кооперации с западными фирмами. Особенно это касалось электрооборудования. Одна за другой компании (РЭАО «Динамо», «Всемирная электрическая компания», РАО «Сименс-Шукерт» и др.) стали снимать с себя ответственность за соблюдение сроков поставки оборудования, а иногда ставили под сомнение саму поставку. Нарушилось железнодорожное сообщение.</w:t>
      </w:r>
    </w:p>
    <w:p w14:paraId="216F4503" w14:textId="77777777" w:rsidR="00B67D7C" w:rsidRPr="00DE096C" w:rsidRDefault="00B67D7C" w:rsidP="00D45A46">
      <w:pPr>
        <w:jc w:val="both"/>
        <w:rPr>
          <w:bCs/>
          <w:color w:val="002060"/>
          <w:sz w:val="16"/>
          <w:szCs w:val="16"/>
        </w:rPr>
      </w:pPr>
      <w:r w:rsidRPr="00DE096C">
        <w:rPr>
          <w:bCs/>
          <w:color w:val="002060"/>
          <w:sz w:val="16"/>
          <w:szCs w:val="16"/>
        </w:rPr>
        <w:t>Предприятия партнеры в Польше, Прибалтике не могли отгрузить готовую продукцию, так как приоритет отдавался военным грузам.</w:t>
      </w:r>
    </w:p>
    <w:p w14:paraId="44B73C49" w14:textId="77777777" w:rsidR="00B67D7C" w:rsidRPr="00DE096C" w:rsidRDefault="00B67D7C" w:rsidP="00D45A46">
      <w:pPr>
        <w:jc w:val="both"/>
        <w:rPr>
          <w:bCs/>
          <w:color w:val="002060"/>
          <w:sz w:val="16"/>
          <w:szCs w:val="16"/>
        </w:rPr>
      </w:pPr>
      <w:r w:rsidRPr="00DE096C">
        <w:rPr>
          <w:bCs/>
          <w:color w:val="002060"/>
          <w:sz w:val="16"/>
          <w:szCs w:val="16"/>
        </w:rPr>
        <w:t>Правление РАОАЗ было вынуждено обратиться за помощью к военному и морскому министрам, чтобы грузы в адрес царицынского завода рассматривались как военные. Не сразу, но такого решения удалось добиться. Но самая серьезная проблема оказалась в доставках импортных грузов, основными поставщиками которых были английские предприятия.</w:t>
      </w:r>
    </w:p>
    <w:p w14:paraId="44909F33" w14:textId="77777777" w:rsidR="00B67D7C" w:rsidRPr="00DE096C" w:rsidRDefault="00B67D7C" w:rsidP="00D45A46">
      <w:pPr>
        <w:jc w:val="both"/>
        <w:rPr>
          <w:bCs/>
          <w:color w:val="002060"/>
          <w:sz w:val="16"/>
          <w:szCs w:val="16"/>
        </w:rPr>
      </w:pPr>
      <w:r w:rsidRPr="00DE096C">
        <w:rPr>
          <w:bCs/>
          <w:color w:val="002060"/>
          <w:sz w:val="16"/>
          <w:szCs w:val="16"/>
        </w:rPr>
        <w:t xml:space="preserve">Еще до начала боевых действий Турция, </w:t>
      </w:r>
      <w:r w:rsidRPr="00DE096C">
        <w:rPr>
          <w:bCs/>
          <w:color w:val="002060"/>
          <w:sz w:val="16"/>
          <w:szCs w:val="16"/>
          <w:lang w:val="en-US"/>
        </w:rPr>
        <w:t>c</w:t>
      </w:r>
      <w:r w:rsidRPr="00DE096C">
        <w:rPr>
          <w:bCs/>
          <w:color w:val="002060"/>
          <w:sz w:val="16"/>
          <w:szCs w:val="16"/>
        </w:rPr>
        <w:t>оюзник Германии в Первой мировой войне, задержала первое судно «Патмос» со станками, отправленное из Англии в Новороссийск. Специальные орудийные станки были конфискованы и установлены на турецком орудийном заводе. Так, наиболее короткий путь через Средиземное и Черное моря в Новороссийск был закрыт. Был закрыт путь и в прибалтийские порты – СанктПетербург, Ригу, Виндаву (Вентспилс) (12632).</w:t>
      </w:r>
    </w:p>
    <w:p w14:paraId="7B3849D4" w14:textId="77777777" w:rsidR="00B67D7C" w:rsidRPr="00DE096C" w:rsidRDefault="00B67D7C" w:rsidP="00D45A46">
      <w:pPr>
        <w:jc w:val="both"/>
        <w:rPr>
          <w:bCs/>
          <w:color w:val="002060"/>
          <w:sz w:val="16"/>
          <w:szCs w:val="16"/>
        </w:rPr>
      </w:pPr>
    </w:p>
    <w:bookmarkEnd w:id="38"/>
    <w:p w14:paraId="44B69E5C" w14:textId="7B9B96D3" w:rsidR="007871CA" w:rsidRPr="00DE096C" w:rsidRDefault="007871CA" w:rsidP="007871CA">
      <w:pPr>
        <w:shd w:val="clear" w:color="auto" w:fill="FFFFFF"/>
        <w:jc w:val="both"/>
        <w:rPr>
          <w:bCs/>
          <w:i/>
          <w:color w:val="002060"/>
          <w:sz w:val="16"/>
          <w:szCs w:val="16"/>
        </w:rPr>
      </w:pPr>
      <w:r>
        <w:rPr>
          <w:bCs/>
          <w:i/>
          <w:color w:val="002060"/>
          <w:sz w:val="16"/>
          <w:szCs w:val="16"/>
        </w:rPr>
        <w:t>Авиация и воздухоплавание Франции</w:t>
      </w:r>
      <w:r w:rsidRPr="00DE096C">
        <w:rPr>
          <w:bCs/>
          <w:i/>
          <w:color w:val="002060"/>
          <w:sz w:val="16"/>
          <w:szCs w:val="16"/>
        </w:rPr>
        <w:t>:</w:t>
      </w:r>
    </w:p>
    <w:p w14:paraId="2CE5FEC6" w14:textId="77777777" w:rsidR="007871CA" w:rsidRPr="00DE096C" w:rsidRDefault="007871CA" w:rsidP="007871CA">
      <w:pPr>
        <w:shd w:val="clear" w:color="auto" w:fill="FFFFFF"/>
        <w:jc w:val="both"/>
        <w:rPr>
          <w:bCs/>
          <w:i/>
          <w:color w:val="002060"/>
          <w:sz w:val="16"/>
          <w:szCs w:val="16"/>
        </w:rPr>
      </w:pPr>
    </w:p>
    <w:p w14:paraId="4DA0BD93" w14:textId="77777777" w:rsidR="007871CA" w:rsidRPr="00B52707" w:rsidRDefault="007871CA" w:rsidP="007871CA">
      <w:pPr>
        <w:jc w:val="both"/>
        <w:rPr>
          <w:color w:val="0070C0"/>
          <w:sz w:val="16"/>
          <w:szCs w:val="16"/>
        </w:rPr>
      </w:pPr>
      <w:r w:rsidRPr="00B52707">
        <w:rPr>
          <w:color w:val="0070C0"/>
          <w:sz w:val="16"/>
          <w:szCs w:val="16"/>
        </w:rPr>
        <w:t xml:space="preserve">К 13 (26) июня 1914 г. </w:t>
      </w:r>
      <w:r>
        <w:rPr>
          <w:color w:val="0070C0"/>
          <w:sz w:val="16"/>
          <w:szCs w:val="16"/>
        </w:rPr>
        <w:t>в</w:t>
      </w:r>
      <w:r w:rsidRPr="00B52707">
        <w:rPr>
          <w:color w:val="0070C0"/>
          <w:sz w:val="16"/>
          <w:szCs w:val="16"/>
        </w:rPr>
        <w:t>ся первая партия Сопвич «Таблоид» из 6-ти аппаратов была закончена (25679).</w:t>
      </w:r>
    </w:p>
    <w:p w14:paraId="2A959C3A" w14:textId="77777777" w:rsidR="007871CA" w:rsidRPr="00B52707" w:rsidRDefault="007871CA" w:rsidP="007871CA">
      <w:pPr>
        <w:jc w:val="both"/>
        <w:rPr>
          <w:color w:val="0070C0"/>
          <w:sz w:val="16"/>
          <w:szCs w:val="16"/>
        </w:rPr>
      </w:pPr>
    </w:p>
    <w:p w14:paraId="39755635"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65790365" w14:textId="77777777" w:rsidR="00B67D7C" w:rsidRPr="00DE096C" w:rsidRDefault="00B67D7C" w:rsidP="00D45A46">
      <w:pPr>
        <w:shd w:val="clear" w:color="auto" w:fill="FFFFFF"/>
        <w:jc w:val="both"/>
        <w:rPr>
          <w:bCs/>
          <w:i/>
          <w:color w:val="002060"/>
          <w:sz w:val="16"/>
          <w:szCs w:val="16"/>
        </w:rPr>
      </w:pPr>
    </w:p>
    <w:p w14:paraId="6E843938" w14:textId="72AAB96C" w:rsidR="00B67D7C" w:rsidRPr="00DE096C" w:rsidRDefault="00B67D7C" w:rsidP="00D45A46">
      <w:pPr>
        <w:jc w:val="both"/>
        <w:rPr>
          <w:bCs/>
          <w:color w:val="002060"/>
          <w:sz w:val="16"/>
          <w:szCs w:val="16"/>
        </w:rPr>
      </w:pPr>
      <w:r w:rsidRPr="00DE096C">
        <w:rPr>
          <w:bCs/>
          <w:color w:val="002060"/>
          <w:sz w:val="16"/>
          <w:szCs w:val="16"/>
        </w:rPr>
        <w:t xml:space="preserve">14 (27) июня 1914 </w:t>
      </w:r>
      <w:r w:rsidR="00A7574E" w:rsidRPr="00DE096C">
        <w:rPr>
          <w:bCs/>
          <w:color w:val="002060"/>
          <w:sz w:val="16"/>
          <w:szCs w:val="16"/>
        </w:rPr>
        <w:t xml:space="preserve">в докладе по МГШ </w:t>
      </w:r>
      <w:r w:rsidRPr="00DE096C">
        <w:rPr>
          <w:bCs/>
          <w:color w:val="002060"/>
          <w:sz w:val="16"/>
          <w:szCs w:val="16"/>
        </w:rPr>
        <w:t>говорилось, что гиганты могли быть с успехом использованы вместо морских дирижаблей, целесообразность применения которых обсуждалась в то же самое время. Ориентировочная стоимость одного дирижабля составляла примерно 500.000 руб. и еще около 1.000.000 руб, требовалось для возведения поворотного эллинга для него, тогда как цена одного поплавкового "Ильи Муромца" исчислялась теперь всего в 90.000 руб. Исходя из таких аргументов, делалось предложение о покупке 13 аппаратов Сикорского, которые были бы затем распределены между одним отрядом на Балтике и несколькими на Черном море. План мог вылиться в крупнейший авиационный контракт мирного времени, но начало Великой войны заставило забыть о нем (2843).</w:t>
      </w:r>
    </w:p>
    <w:p w14:paraId="6193F907" w14:textId="77777777" w:rsidR="00B67D7C" w:rsidRPr="00DE096C" w:rsidRDefault="00B67D7C" w:rsidP="00D45A46">
      <w:pPr>
        <w:jc w:val="both"/>
        <w:rPr>
          <w:bCs/>
          <w:color w:val="002060"/>
          <w:sz w:val="16"/>
          <w:szCs w:val="16"/>
        </w:rPr>
      </w:pPr>
    </w:p>
    <w:p w14:paraId="04C559BD" w14:textId="4A2366E4" w:rsidR="00263E55" w:rsidRPr="00DE096C" w:rsidRDefault="00263E55" w:rsidP="00D45A46">
      <w:pPr>
        <w:jc w:val="both"/>
        <w:rPr>
          <w:bCs/>
          <w:color w:val="002060"/>
          <w:sz w:val="16"/>
          <w:szCs w:val="16"/>
        </w:rPr>
      </w:pPr>
      <w:r w:rsidRPr="00DE096C">
        <w:rPr>
          <w:bCs/>
          <w:color w:val="002060"/>
          <w:sz w:val="16"/>
          <w:szCs w:val="16"/>
        </w:rPr>
        <w:t xml:space="preserve">14 </w:t>
      </w:r>
      <w:r w:rsidR="00A7574E" w:rsidRPr="00DE096C">
        <w:rPr>
          <w:bCs/>
          <w:color w:val="002060"/>
          <w:sz w:val="16"/>
          <w:szCs w:val="16"/>
        </w:rPr>
        <w:t xml:space="preserve">(27) </w:t>
      </w:r>
      <w:r w:rsidRPr="00DE096C">
        <w:rPr>
          <w:bCs/>
          <w:color w:val="002060"/>
          <w:sz w:val="16"/>
          <w:szCs w:val="16"/>
        </w:rPr>
        <w:t xml:space="preserve">июня в 1914 году </w:t>
      </w:r>
      <w:r w:rsidR="00A7574E" w:rsidRPr="00DE096C">
        <w:rPr>
          <w:bCs/>
          <w:color w:val="002060"/>
          <w:sz w:val="16"/>
          <w:szCs w:val="16"/>
        </w:rPr>
        <w:t xml:space="preserve">состоялся </w:t>
      </w:r>
      <w:r w:rsidRPr="00DE096C">
        <w:rPr>
          <w:bCs/>
          <w:color w:val="002060"/>
          <w:sz w:val="16"/>
          <w:szCs w:val="16"/>
        </w:rPr>
        <w:t xml:space="preserve">первый полет летающей лодки </w:t>
      </w:r>
      <w:hyperlink r:id="rId25" w:tgtFrame="_blank" w:history="1">
        <w:r w:rsidRPr="00DE096C">
          <w:rPr>
            <w:bCs/>
            <w:color w:val="002060"/>
            <w:sz w:val="16"/>
            <w:szCs w:val="16"/>
          </w:rPr>
          <w:t xml:space="preserve">«М-1» </w:t>
        </w:r>
      </w:hyperlink>
      <w:r w:rsidRPr="00DE096C">
        <w:rPr>
          <w:bCs/>
          <w:color w:val="002060"/>
          <w:sz w:val="16"/>
          <w:szCs w:val="16"/>
        </w:rPr>
        <w:t>Д.П.Григоровича</w:t>
      </w:r>
    </w:p>
    <w:p w14:paraId="2210531F" w14:textId="77777777" w:rsidR="00263E55" w:rsidRPr="00DE096C" w:rsidRDefault="00263E55" w:rsidP="00D45A46">
      <w:pPr>
        <w:jc w:val="both"/>
        <w:rPr>
          <w:bCs/>
          <w:color w:val="002060"/>
          <w:sz w:val="16"/>
          <w:szCs w:val="16"/>
        </w:rPr>
      </w:pPr>
    </w:p>
    <w:p w14:paraId="74CE2E3F" w14:textId="4FB3DD14" w:rsidR="0072340D" w:rsidRPr="00DE096C" w:rsidRDefault="0072340D" w:rsidP="00D45A46">
      <w:pPr>
        <w:jc w:val="both"/>
        <w:rPr>
          <w:bCs/>
          <w:i/>
          <w:color w:val="002060"/>
          <w:sz w:val="16"/>
          <w:szCs w:val="16"/>
        </w:rPr>
      </w:pPr>
      <w:r w:rsidRPr="00DE096C">
        <w:rPr>
          <w:bCs/>
          <w:i/>
          <w:color w:val="002060"/>
          <w:sz w:val="16"/>
          <w:szCs w:val="16"/>
        </w:rPr>
        <w:t>Другие оборонные отрасли:</w:t>
      </w:r>
    </w:p>
    <w:p w14:paraId="24D10ED0" w14:textId="77777777" w:rsidR="0072340D" w:rsidRPr="00DE096C" w:rsidRDefault="0072340D" w:rsidP="00D45A46">
      <w:pPr>
        <w:jc w:val="both"/>
        <w:rPr>
          <w:bCs/>
          <w:i/>
          <w:color w:val="002060"/>
          <w:sz w:val="16"/>
          <w:szCs w:val="16"/>
        </w:rPr>
      </w:pPr>
    </w:p>
    <w:p w14:paraId="648C72FB" w14:textId="77777777" w:rsidR="0072340D" w:rsidRPr="00DE096C" w:rsidRDefault="0072340D" w:rsidP="00D45A46">
      <w:pPr>
        <w:jc w:val="both"/>
        <w:rPr>
          <w:bCs/>
          <w:color w:val="002060"/>
          <w:sz w:val="16"/>
          <w:szCs w:val="16"/>
        </w:rPr>
      </w:pPr>
      <w:r w:rsidRPr="00DE096C">
        <w:rPr>
          <w:bCs/>
          <w:color w:val="002060"/>
          <w:sz w:val="16"/>
          <w:szCs w:val="16"/>
        </w:rPr>
        <w:t>14 (27) июня 1914 года в Царицыне был заложен завод по производству крупнокалиберной морской и береговой артиллерии. В годы революции и гражданской войны завод сильно пострадал, и о производстве здесь артиллерийских орудий речь уже не шла — завод кое-как производил валы, цилиндры, фланцы, трубы, а также чугунное, стальное и медное литье. Только в 1928 году в соответствии с первым пятилетним планом мощности завода стали использоваться в интересах Красной Армии (22974).</w:t>
      </w:r>
    </w:p>
    <w:p w14:paraId="7B23FDB8" w14:textId="77777777" w:rsidR="0072340D" w:rsidRPr="00DE096C" w:rsidRDefault="0072340D" w:rsidP="00D45A46">
      <w:pPr>
        <w:jc w:val="both"/>
        <w:rPr>
          <w:bCs/>
          <w:color w:val="002060"/>
          <w:sz w:val="16"/>
          <w:szCs w:val="16"/>
        </w:rPr>
      </w:pPr>
    </w:p>
    <w:p w14:paraId="28A5D597" w14:textId="77777777" w:rsidR="00B67D7C" w:rsidRPr="00DE096C" w:rsidRDefault="00B67D7C" w:rsidP="00D45A46">
      <w:pPr>
        <w:jc w:val="both"/>
        <w:rPr>
          <w:bCs/>
          <w:i/>
          <w:color w:val="002060"/>
          <w:sz w:val="16"/>
          <w:szCs w:val="16"/>
        </w:rPr>
      </w:pPr>
      <w:r w:rsidRPr="00DE096C">
        <w:rPr>
          <w:bCs/>
          <w:i/>
          <w:color w:val="002060"/>
          <w:sz w:val="16"/>
          <w:szCs w:val="16"/>
        </w:rPr>
        <w:t>Авиация:</w:t>
      </w:r>
    </w:p>
    <w:p w14:paraId="7CFFC6C9" w14:textId="77777777" w:rsidR="00B67D7C" w:rsidRPr="00DE096C" w:rsidRDefault="00B67D7C" w:rsidP="00D45A46">
      <w:pPr>
        <w:jc w:val="both"/>
        <w:rPr>
          <w:bCs/>
          <w:i/>
          <w:color w:val="002060"/>
          <w:sz w:val="16"/>
          <w:szCs w:val="16"/>
        </w:rPr>
      </w:pPr>
    </w:p>
    <w:p w14:paraId="7B7A116A" w14:textId="4A40E71B" w:rsidR="00B67D7C" w:rsidRPr="00DE096C" w:rsidRDefault="00B67D7C" w:rsidP="00D45A46">
      <w:pPr>
        <w:shd w:val="clear" w:color="auto" w:fill="FFFFFF"/>
        <w:jc w:val="both"/>
        <w:rPr>
          <w:bCs/>
          <w:color w:val="002060"/>
          <w:sz w:val="16"/>
          <w:szCs w:val="16"/>
        </w:rPr>
      </w:pPr>
      <w:r w:rsidRPr="00DE096C">
        <w:rPr>
          <w:bCs/>
          <w:color w:val="002060"/>
          <w:sz w:val="16"/>
          <w:szCs w:val="16"/>
        </w:rPr>
        <w:t>14 (27) июня 1914 был издан приказ, строжайше запрещавший летчикам летать над воинскими частями, выстроенными для парадов,</w:t>
      </w:r>
      <w:r w:rsidR="00EE196A" w:rsidRPr="00DE096C">
        <w:rPr>
          <w:bCs/>
          <w:color w:val="002060"/>
          <w:sz w:val="16"/>
          <w:szCs w:val="16"/>
        </w:rPr>
        <w:t xml:space="preserve"> </w:t>
      </w:r>
      <w:r w:rsidRPr="00DE096C">
        <w:rPr>
          <w:bCs/>
          <w:color w:val="002060"/>
          <w:sz w:val="16"/>
          <w:szCs w:val="16"/>
        </w:rPr>
        <w:t>смотров, вечерних зорь и т.п. (Из газет за июнь 1914 г.).</w:t>
      </w:r>
    </w:p>
    <w:p w14:paraId="14FB0E37" w14:textId="77777777" w:rsidR="00B67D7C" w:rsidRPr="00DE096C" w:rsidRDefault="00B67D7C" w:rsidP="00D45A46">
      <w:pPr>
        <w:shd w:val="clear" w:color="auto" w:fill="FFFFFF"/>
        <w:jc w:val="both"/>
        <w:rPr>
          <w:bCs/>
          <w:color w:val="002060"/>
          <w:sz w:val="16"/>
          <w:szCs w:val="16"/>
        </w:rPr>
      </w:pPr>
    </w:p>
    <w:p w14:paraId="297A8CA6" w14:textId="77777777" w:rsidR="0026718D" w:rsidRPr="00DE096C" w:rsidRDefault="0026718D" w:rsidP="00D45A46">
      <w:pPr>
        <w:jc w:val="both"/>
        <w:rPr>
          <w:bCs/>
          <w:color w:val="002060"/>
          <w:sz w:val="16"/>
          <w:szCs w:val="16"/>
        </w:rPr>
      </w:pPr>
      <w:r w:rsidRPr="00DE096C">
        <w:rPr>
          <w:bCs/>
          <w:color w:val="002060"/>
          <w:sz w:val="16"/>
          <w:szCs w:val="16"/>
        </w:rPr>
        <w:t>14 (27) июня 1914 г. был издан приказ, строжайше запрещавший летчикам летать над воинскими частями, выстроенными для парадов, смотров, вечерних зорь т.п.</w:t>
      </w:r>
    </w:p>
    <w:p w14:paraId="5D729279" w14:textId="77777777" w:rsidR="0026718D" w:rsidRPr="00DE096C" w:rsidRDefault="0026718D" w:rsidP="00D45A46">
      <w:pPr>
        <w:jc w:val="both"/>
        <w:rPr>
          <w:bCs/>
          <w:color w:val="002060"/>
          <w:sz w:val="16"/>
          <w:szCs w:val="16"/>
        </w:rPr>
      </w:pPr>
      <w:r w:rsidRPr="00DE096C">
        <w:rPr>
          <w:bCs/>
          <w:color w:val="002060"/>
          <w:sz w:val="16"/>
          <w:szCs w:val="16"/>
        </w:rPr>
        <w:t>/Из газет за июнь 1914/ (23320).</w:t>
      </w:r>
    </w:p>
    <w:p w14:paraId="0F6A0174" w14:textId="77777777" w:rsidR="0026718D" w:rsidRPr="00DE096C" w:rsidRDefault="0026718D" w:rsidP="00D45A46">
      <w:pPr>
        <w:jc w:val="both"/>
        <w:rPr>
          <w:bCs/>
          <w:color w:val="002060"/>
          <w:sz w:val="16"/>
          <w:szCs w:val="16"/>
        </w:rPr>
      </w:pPr>
    </w:p>
    <w:p w14:paraId="251F98DA"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Морская авиация:</w:t>
      </w:r>
    </w:p>
    <w:p w14:paraId="48379985" w14:textId="77777777" w:rsidR="00B67D7C" w:rsidRPr="00DE096C" w:rsidRDefault="00B67D7C" w:rsidP="00D45A46">
      <w:pPr>
        <w:shd w:val="clear" w:color="auto" w:fill="FFFFFF"/>
        <w:jc w:val="both"/>
        <w:rPr>
          <w:bCs/>
          <w:i/>
          <w:color w:val="002060"/>
          <w:sz w:val="16"/>
          <w:szCs w:val="16"/>
        </w:rPr>
      </w:pPr>
    </w:p>
    <w:p w14:paraId="1809513F" w14:textId="17816A1F" w:rsidR="00B67D7C" w:rsidRPr="00DE096C" w:rsidRDefault="00B67D7C" w:rsidP="00D45A46">
      <w:pPr>
        <w:jc w:val="both"/>
        <w:rPr>
          <w:bCs/>
          <w:color w:val="002060"/>
          <w:sz w:val="16"/>
          <w:szCs w:val="16"/>
        </w:rPr>
      </w:pPr>
      <w:r w:rsidRPr="00DE096C">
        <w:rPr>
          <w:bCs/>
          <w:color w:val="002060"/>
          <w:sz w:val="16"/>
          <w:szCs w:val="16"/>
        </w:rPr>
        <w:lastRenderedPageBreak/>
        <w:t xml:space="preserve">14 (27) июня 1914 гидросамолет </w:t>
      </w:r>
      <w:r w:rsidR="00EE196A" w:rsidRPr="00DE096C">
        <w:rPr>
          <w:bCs/>
          <w:color w:val="002060"/>
          <w:sz w:val="16"/>
          <w:szCs w:val="16"/>
        </w:rPr>
        <w:t xml:space="preserve">Нагурского </w:t>
      </w:r>
      <w:r w:rsidRPr="00DE096C">
        <w:rPr>
          <w:bCs/>
          <w:color w:val="002060"/>
          <w:sz w:val="16"/>
          <w:szCs w:val="16"/>
        </w:rPr>
        <w:t>был готов. Его по частям упаковали в ящики и 19 июля доставили в Александровск-на-Мурмане. 31 июля пароход «Печора» с летчиком и самолетом на борту взял курс к берегам Новой Земли. Нагурский получил задание: произвести обследование береговой линии от Крестовой губы до Панкратьевых островов с целью поиска пропавшей экспедиции.</w:t>
      </w:r>
    </w:p>
    <w:p w14:paraId="387E8DC4" w14:textId="77777777" w:rsidR="00B67D7C" w:rsidRPr="00DE096C" w:rsidRDefault="00B67D7C" w:rsidP="00D45A46">
      <w:pPr>
        <w:jc w:val="both"/>
        <w:rPr>
          <w:bCs/>
          <w:color w:val="002060"/>
          <w:sz w:val="16"/>
          <w:szCs w:val="16"/>
        </w:rPr>
      </w:pPr>
      <w:r w:rsidRPr="00DE096C">
        <w:rPr>
          <w:bCs/>
          <w:color w:val="002060"/>
          <w:sz w:val="16"/>
          <w:szCs w:val="16"/>
        </w:rPr>
        <w:t>Следует заметить, что гидросамолет Нагурского в первые дни экспедиции чуть было не использовали для другой цели. В дни пребывания Нагурского в Александровске-на-Мурмане стало известно, что Германия 19 июля объявила войну России. И уже 21 июля поступило сообщение, что немецкий флот движется в Белое море. Затем была получена телеграмма из Гаммерфеста от русского консула о том, что он якобы сам видел четыре германских крейсера, следующих на восток. В связи с зтим было предложено использовать гидросамолет Нагурского для поиска вражеских судов в море, а также для сбрасывания на них динамитных патронов, взятых для взрывания льда. Поскольку германские крейсеры так и не появились, Нагурскому не удалось принять участия в боевых действиях.</w:t>
      </w:r>
    </w:p>
    <w:p w14:paraId="6A1174AA" w14:textId="77777777" w:rsidR="00B67D7C" w:rsidRPr="00DE096C" w:rsidRDefault="00B67D7C" w:rsidP="00D45A46">
      <w:pPr>
        <w:shd w:val="clear" w:color="auto" w:fill="FFFFFF"/>
        <w:jc w:val="both"/>
        <w:rPr>
          <w:bCs/>
          <w:i/>
          <w:color w:val="002060"/>
          <w:sz w:val="16"/>
          <w:szCs w:val="16"/>
        </w:rPr>
      </w:pPr>
    </w:p>
    <w:p w14:paraId="3AB57D24"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5F8EB0AF" w14:textId="77777777" w:rsidR="00B67D7C" w:rsidRPr="00DE096C" w:rsidRDefault="00B67D7C" w:rsidP="00D45A46">
      <w:pPr>
        <w:shd w:val="clear" w:color="auto" w:fill="FFFFFF"/>
        <w:jc w:val="both"/>
        <w:rPr>
          <w:bCs/>
          <w:i/>
          <w:color w:val="002060"/>
          <w:sz w:val="16"/>
          <w:szCs w:val="16"/>
        </w:rPr>
      </w:pPr>
    </w:p>
    <w:p w14:paraId="001D04EB" w14:textId="0F893E11" w:rsidR="00B67D7C" w:rsidRPr="00DE096C" w:rsidRDefault="00EE196A" w:rsidP="00D45A46">
      <w:pPr>
        <w:shd w:val="clear" w:color="auto" w:fill="FFFFFF"/>
        <w:jc w:val="both"/>
        <w:rPr>
          <w:bCs/>
          <w:color w:val="002060"/>
          <w:sz w:val="16"/>
          <w:szCs w:val="16"/>
        </w:rPr>
      </w:pPr>
      <w:r w:rsidRPr="00DE096C">
        <w:rPr>
          <w:bCs/>
          <w:color w:val="002060"/>
          <w:sz w:val="16"/>
          <w:szCs w:val="16"/>
        </w:rPr>
        <w:t xml:space="preserve">15 </w:t>
      </w:r>
      <w:r w:rsidR="00B67D7C" w:rsidRPr="00DE096C">
        <w:rPr>
          <w:bCs/>
          <w:color w:val="002060"/>
          <w:sz w:val="16"/>
          <w:szCs w:val="16"/>
        </w:rPr>
        <w:t xml:space="preserve">(28) июня 1914 сообщение </w:t>
      </w:r>
      <w:r w:rsidRPr="00DE096C">
        <w:rPr>
          <w:bCs/>
          <w:color w:val="002060"/>
          <w:sz w:val="16"/>
          <w:szCs w:val="16"/>
        </w:rPr>
        <w:t>лейтенант В. Р. Качинский и подпоручик по Адмиралтейству А. Е. Жуков, пило</w:t>
      </w:r>
      <w:r w:rsidRPr="00DE096C">
        <w:rPr>
          <w:bCs/>
          <w:color w:val="002060"/>
          <w:sz w:val="16"/>
          <w:szCs w:val="16"/>
        </w:rPr>
        <w:softHyphen/>
        <w:t xml:space="preserve">тов, летавших на самолете «Моран-Солнье» с номером 14, которые заявили, что установка радиотелеграфа могла нести опасность для экипажа, </w:t>
      </w:r>
      <w:r w:rsidR="00B67D7C" w:rsidRPr="00DE096C">
        <w:rPr>
          <w:bCs/>
          <w:color w:val="002060"/>
          <w:sz w:val="16"/>
          <w:szCs w:val="16"/>
        </w:rPr>
        <w:t>обсуждалось Авиационным комитетом Черноморского флота, пришедшим к выводу, что прочность аппарата не пострадала, а вот пожарная безопасность действительно нарушилась. Участники совещания нашли вдобавок, что передачу от рота-тивного «Гнома» к динамомашине передатчика стоило сделать шестеренчатой, а не с помощью металли</w:t>
      </w:r>
      <w:r w:rsidR="00B67D7C" w:rsidRPr="00DE096C">
        <w:rPr>
          <w:bCs/>
          <w:color w:val="002060"/>
          <w:sz w:val="16"/>
          <w:szCs w:val="16"/>
        </w:rPr>
        <w:softHyphen/>
        <w:t>ческой ленты (2807).</w:t>
      </w:r>
    </w:p>
    <w:p w14:paraId="74524897" w14:textId="77777777" w:rsidR="00B67D7C" w:rsidRPr="00DE096C" w:rsidRDefault="00B67D7C" w:rsidP="00D45A46">
      <w:pPr>
        <w:shd w:val="clear" w:color="auto" w:fill="FFFFFF"/>
        <w:jc w:val="both"/>
        <w:rPr>
          <w:bCs/>
          <w:color w:val="002060"/>
          <w:sz w:val="16"/>
          <w:szCs w:val="16"/>
        </w:rPr>
      </w:pPr>
    </w:p>
    <w:p w14:paraId="2414C260" w14:textId="69CE61DC" w:rsidR="005C3561" w:rsidRPr="00DE096C" w:rsidRDefault="005C3561" w:rsidP="00D45A46">
      <w:pPr>
        <w:jc w:val="both"/>
        <w:rPr>
          <w:bCs/>
          <w:color w:val="002060"/>
          <w:sz w:val="16"/>
          <w:szCs w:val="16"/>
        </w:rPr>
      </w:pPr>
      <w:r w:rsidRPr="00DE096C">
        <w:rPr>
          <w:bCs/>
          <w:color w:val="002060"/>
          <w:sz w:val="16"/>
          <w:szCs w:val="16"/>
        </w:rPr>
        <w:t>15 (28) июня 1914 г., хорошо отдохнув перед полетом, Си</w:t>
      </w:r>
      <w:r w:rsidRPr="00DE096C">
        <w:rPr>
          <w:bCs/>
          <w:color w:val="002060"/>
          <w:sz w:val="16"/>
          <w:szCs w:val="16"/>
        </w:rPr>
        <w:softHyphen/>
        <w:t>корский сразу после полуночи приехал на аэродром. Экипаж был в сборе: второй пилот штабс-капитан Хри</w:t>
      </w:r>
      <w:r w:rsidRPr="00DE096C">
        <w:rPr>
          <w:bCs/>
          <w:color w:val="002060"/>
          <w:sz w:val="16"/>
          <w:szCs w:val="16"/>
        </w:rPr>
        <w:softHyphen/>
        <w:t>стофор Пруссис, штурман, второй пилот лейтенант Ге</w:t>
      </w:r>
      <w:r w:rsidRPr="00DE096C">
        <w:rPr>
          <w:bCs/>
          <w:color w:val="002060"/>
          <w:sz w:val="16"/>
          <w:szCs w:val="16"/>
        </w:rPr>
        <w:softHyphen/>
        <w:t>оргий Лавров и неизменный механик Владимир Панасюк. Учитывая результаты тренировочного поле</w:t>
      </w:r>
      <w:r w:rsidRPr="00DE096C">
        <w:rPr>
          <w:bCs/>
          <w:color w:val="002060"/>
          <w:sz w:val="16"/>
          <w:szCs w:val="16"/>
        </w:rPr>
        <w:softHyphen/>
        <w:t>та на максимальную дальность, а также выбор для взлета самого прохладного времени суток, когда можно получить максимальную мощность двигателей, само</w:t>
      </w:r>
      <w:r w:rsidRPr="00DE096C">
        <w:rPr>
          <w:bCs/>
          <w:color w:val="002060"/>
          <w:sz w:val="16"/>
          <w:szCs w:val="16"/>
        </w:rPr>
        <w:softHyphen/>
        <w:t>лет загрузили до предела и даже больше, чем в предыду</w:t>
      </w:r>
      <w:r w:rsidRPr="00DE096C">
        <w:rPr>
          <w:bCs/>
          <w:color w:val="002060"/>
          <w:sz w:val="16"/>
          <w:szCs w:val="16"/>
        </w:rPr>
        <w:softHyphen/>
        <w:t>щем полете. На борт было взято 940 кг бензина, 260 кг масла и 150 кг запчастей и материалов (запасной про</w:t>
      </w:r>
      <w:r w:rsidRPr="00DE096C">
        <w:rPr>
          <w:bCs/>
          <w:color w:val="002060"/>
          <w:sz w:val="16"/>
          <w:szCs w:val="16"/>
        </w:rPr>
        <w:softHyphen/>
        <w:t>пеллер, дополнительные канистры с бензином и маслом, помпы и шланги для закачки, кое-какой инстру</w:t>
      </w:r>
      <w:r w:rsidRPr="00DE096C">
        <w:rPr>
          <w:bCs/>
          <w:color w:val="002060"/>
          <w:sz w:val="16"/>
          <w:szCs w:val="16"/>
        </w:rPr>
        <w:softHyphen/>
        <w:t>мент). Общая нагрузка, включая всех членов экипажа, составила 1610 кг.</w:t>
      </w:r>
    </w:p>
    <w:p w14:paraId="4B71B032" w14:textId="77777777" w:rsidR="005C3561" w:rsidRPr="00DE096C" w:rsidRDefault="005C3561" w:rsidP="00D45A46">
      <w:pPr>
        <w:jc w:val="both"/>
        <w:rPr>
          <w:bCs/>
          <w:color w:val="002060"/>
          <w:sz w:val="16"/>
          <w:szCs w:val="16"/>
        </w:rPr>
      </w:pPr>
      <w:r w:rsidRPr="00DE096C">
        <w:rPr>
          <w:bCs/>
          <w:color w:val="002060"/>
          <w:sz w:val="16"/>
          <w:szCs w:val="16"/>
        </w:rPr>
        <w:t>Ночь выдалась ясной и безветренной. Экипаж осмотрел самолет — все в порядке. Около часа ночи горизонт начал светлеть. Запустили двигатели, прогрели, проверили их на полную мощность. Сбоев нет, все нормально. Убрали колодки, и стартовая команда в 20 человек заняла свои места позади самолета. Их задача — толкать перегруженную машину, пока она сама не сможет начать разбег. Сикорский еще раз проверил двигатели, осветил фонариком приборы и дал команду. Заревели двигатели, самолет медленно тронулся с места и постепенно стал ускорять свой разбег. Перегруженная машина, тяжело переваливаясь на неровностях, набирала скорость. Земля просмат</w:t>
      </w:r>
      <w:r w:rsidRPr="00DE096C">
        <w:rPr>
          <w:bCs/>
          <w:color w:val="002060"/>
          <w:sz w:val="16"/>
          <w:szCs w:val="16"/>
        </w:rPr>
        <w:softHyphen/>
        <w:t>ривалась с трудом, но направление разбега можно было хорошо выдерживать по ориентиру на горизонте. Отрыв. Время 1 ч 30 мин. Машина медленно, очень медленно идет вверх. За первые 15 мин удалось набрать только 150 м. В течение первого часа полета по приборам приходилось время от времени пользоваться фонариком — приборы не имели подсветки. Сама же кабина освещалась электрическими лампочками, и за бортом ничего не было видно. После двух часов ночи стало светать. Воздух был совершенно спокоен. Постепенно топливо вырабатывалось, и облегченная машина быстрее набирала высоту. Через полтора часа полета самолет был на высоте 600 м. Двигатели выдержали перегрузку и уже работали на номинальном режиме.</w:t>
      </w:r>
    </w:p>
    <w:p w14:paraId="63814767" w14:textId="77777777" w:rsidR="005C3561" w:rsidRPr="00DE096C" w:rsidRDefault="005C3561" w:rsidP="00D45A46">
      <w:pPr>
        <w:jc w:val="both"/>
        <w:rPr>
          <w:bCs/>
          <w:color w:val="002060"/>
          <w:sz w:val="16"/>
          <w:szCs w:val="16"/>
        </w:rPr>
      </w:pPr>
      <w:r w:rsidRPr="00DE096C">
        <w:rPr>
          <w:bCs/>
          <w:color w:val="002060"/>
          <w:sz w:val="16"/>
          <w:szCs w:val="16"/>
        </w:rPr>
        <w:t>Погода была великолепной. Утреннее солнце освеща</w:t>
      </w:r>
      <w:r w:rsidRPr="00DE096C">
        <w:rPr>
          <w:bCs/>
          <w:color w:val="002060"/>
          <w:sz w:val="16"/>
          <w:szCs w:val="16"/>
        </w:rPr>
        <w:softHyphen/>
        <w:t>ло еще спящую землю. Над деревнями ни дымка. Леса, луга, гладь рек и озер. Самолет спокойно плыл в не</w:t>
      </w:r>
      <w:r w:rsidRPr="00DE096C">
        <w:rPr>
          <w:bCs/>
          <w:color w:val="002060"/>
          <w:sz w:val="16"/>
          <w:szCs w:val="16"/>
        </w:rPr>
        <w:softHyphen/>
        <w:t>движном воздухе. По очереди через полчаса пилоты сменяли друг друга. Сикорский дважды выбирался на крыло к крайнему двигателю, чтобы понаблюдать за воздушным кораблем как бы со стороны, посмотреть на землю и самому убедиться в возможностях ремонта двигателя в плотном воздушном потоке. Он нащупал за двигателем более или менее защищенное от холодного ветра пространство и оттуда с упоением наблюдал, как в чистом утреннем воздухе на фоне просыпающейся земли висит огромное тело корабля с распростертыми желтыми крыльями. Зрелище было просто фантастиче</w:t>
      </w:r>
      <w:r w:rsidRPr="00DE096C">
        <w:rPr>
          <w:bCs/>
          <w:color w:val="002060"/>
          <w:sz w:val="16"/>
          <w:szCs w:val="16"/>
        </w:rPr>
        <w:softHyphen/>
        <w:t>ское. Он вспомнил, как всего лишь несколько лет назад начал свои первые опыты с хрупкими аппаратами, ос</w:t>
      </w:r>
      <w:r w:rsidRPr="00DE096C">
        <w:rPr>
          <w:bCs/>
          <w:color w:val="002060"/>
          <w:sz w:val="16"/>
          <w:szCs w:val="16"/>
        </w:rPr>
        <w:softHyphen/>
        <w:t>нащенными слабосильными двигателями. Сейчас же в воздухе могучая машина — воздушный корабль. В эту пору маститому уже конструктору и знаменитому пи</w:t>
      </w:r>
      <w:r w:rsidRPr="00DE096C">
        <w:rPr>
          <w:bCs/>
          <w:color w:val="002060"/>
          <w:sz w:val="16"/>
          <w:szCs w:val="16"/>
        </w:rPr>
        <w:softHyphen/>
        <w:t>лоту только минуло 25 лет.</w:t>
      </w:r>
    </w:p>
    <w:p w14:paraId="719D2111" w14:textId="77777777" w:rsidR="005C3561" w:rsidRPr="00DE096C" w:rsidRDefault="005C3561" w:rsidP="00D45A46">
      <w:pPr>
        <w:jc w:val="both"/>
        <w:rPr>
          <w:bCs/>
          <w:color w:val="002060"/>
          <w:sz w:val="16"/>
          <w:szCs w:val="16"/>
        </w:rPr>
      </w:pPr>
      <w:r w:rsidRPr="00DE096C">
        <w:rPr>
          <w:bCs/>
          <w:color w:val="002060"/>
          <w:sz w:val="16"/>
          <w:szCs w:val="16"/>
        </w:rPr>
        <w:t>Прошло еще два часа. Самолет уже шел на высоте полутора тысяч метров. Экипаж перекачал топливо из канистр в основные баки и освободил салон. Около семи утра, когда за штурвалом оставался Пруссис, Сикорский, Лавров и Панасюк сели за накрытый белой скатертью стол. На нем легкий завтрак — фрукты, бутерброды, горячий кофе. Удобные плетеные кресла давали возможность расслабиться и насладиться отдыхом. Этот коллективный завтрак в комфортабельном салоне на борту воздушного корабля тоже был впервые в мире.</w:t>
      </w:r>
    </w:p>
    <w:p w14:paraId="340A8389" w14:textId="77777777" w:rsidR="005C3561" w:rsidRPr="00DE096C" w:rsidRDefault="005C3561" w:rsidP="00D45A46">
      <w:pPr>
        <w:jc w:val="both"/>
        <w:rPr>
          <w:bCs/>
          <w:color w:val="002060"/>
          <w:sz w:val="16"/>
          <w:szCs w:val="16"/>
        </w:rPr>
      </w:pPr>
      <w:r w:rsidRPr="00DE096C">
        <w:rPr>
          <w:bCs/>
          <w:color w:val="002060"/>
          <w:sz w:val="16"/>
          <w:szCs w:val="16"/>
        </w:rPr>
        <w:t>После восьми утра на высоте 1200 м прошли Витебск. Видимость была великолепной. Город как на ладони — улицы, дома, базарная площадь и большое количество златоглавых церквей. Сикорский решил послать, как и предусматривалось программой перелета, телеграммы — одну домой в Киев, другую на завод. Он написал текст, свернул его трубочкой и засунул в алюминиевый пенал. Туда же были вложены деньги и записка с просьбой отправить телеграммы по адресам. Пенал обернули прикрепленным к нему вымпелом и выбросили. В падении красный вымпел развернулся и был хорошо виден издали. Этим способом пользовались по всему маршруту, и все отправленные телеграммы до</w:t>
      </w:r>
      <w:r w:rsidRPr="00DE096C">
        <w:rPr>
          <w:bCs/>
          <w:color w:val="002060"/>
          <w:sz w:val="16"/>
          <w:szCs w:val="16"/>
        </w:rPr>
        <w:softHyphen/>
        <w:t>шли по назначению.</w:t>
      </w:r>
    </w:p>
    <w:p w14:paraId="1264EA13" w14:textId="77777777" w:rsidR="005C3561" w:rsidRPr="00DE096C" w:rsidRDefault="005C3561" w:rsidP="00D45A46">
      <w:pPr>
        <w:jc w:val="both"/>
        <w:rPr>
          <w:bCs/>
          <w:color w:val="002060"/>
          <w:sz w:val="16"/>
          <w:szCs w:val="16"/>
        </w:rPr>
      </w:pPr>
      <w:r w:rsidRPr="00DE096C">
        <w:rPr>
          <w:bCs/>
          <w:color w:val="002060"/>
          <w:sz w:val="16"/>
          <w:szCs w:val="16"/>
        </w:rPr>
        <w:t>Вскоре впереди показалась Орша. На выбранном за</w:t>
      </w:r>
      <w:r w:rsidRPr="00DE096C">
        <w:rPr>
          <w:bCs/>
          <w:color w:val="002060"/>
          <w:sz w:val="16"/>
          <w:szCs w:val="16"/>
        </w:rPr>
        <w:softHyphen/>
        <w:t>ранее поле была подготовлена площадка. Туда забла</w:t>
      </w:r>
      <w:r w:rsidRPr="00DE096C">
        <w:rPr>
          <w:bCs/>
          <w:color w:val="002060"/>
          <w:sz w:val="16"/>
          <w:szCs w:val="16"/>
        </w:rPr>
        <w:softHyphen/>
        <w:t>говременно прибыл заводской инженер вместе с топливом для дозаправки. Сикорский сбавил обороты и стал снижаться. На 600 м стало побалтывать — уже сказывался прогрев земли. Посадка прошла без ослож</w:t>
      </w:r>
      <w:r w:rsidRPr="00DE096C">
        <w:rPr>
          <w:bCs/>
          <w:color w:val="002060"/>
          <w:sz w:val="16"/>
          <w:szCs w:val="16"/>
        </w:rPr>
        <w:softHyphen/>
        <w:t>нений. Пилот зарулил самолет в угол площадки, где виднелись бочки с бензином. Закончился первый этап перелета. В воздухе пробыли более семи часов.</w:t>
      </w:r>
    </w:p>
    <w:p w14:paraId="4474A36F" w14:textId="77777777" w:rsidR="005C3561" w:rsidRPr="00DE096C" w:rsidRDefault="005C3561" w:rsidP="00D45A46">
      <w:pPr>
        <w:jc w:val="both"/>
        <w:rPr>
          <w:bCs/>
          <w:color w:val="002060"/>
          <w:sz w:val="16"/>
          <w:szCs w:val="16"/>
        </w:rPr>
      </w:pPr>
      <w:r w:rsidRPr="00DE096C">
        <w:rPr>
          <w:bCs/>
          <w:color w:val="002060"/>
          <w:sz w:val="16"/>
          <w:szCs w:val="16"/>
        </w:rPr>
        <w:t>Когда экипаж вышел из самолета, его окружила воз</w:t>
      </w:r>
      <w:r w:rsidRPr="00DE096C">
        <w:rPr>
          <w:bCs/>
          <w:color w:val="002060"/>
          <w:sz w:val="16"/>
          <w:szCs w:val="16"/>
        </w:rPr>
        <w:softHyphen/>
        <w:t>бужденная толпа. Все старались чем-то угостить пило</w:t>
      </w:r>
      <w:r w:rsidRPr="00DE096C">
        <w:rPr>
          <w:bCs/>
          <w:color w:val="002060"/>
          <w:sz w:val="16"/>
          <w:szCs w:val="16"/>
        </w:rPr>
        <w:softHyphen/>
        <w:t>тов, дотронуться до них, до людей, спустившихся с небес, задавали массу вопросов. Сикорский и Лавров с трудом выбрались из толпы. Нужно было осмотреть по</w:t>
      </w:r>
      <w:r w:rsidRPr="00DE096C">
        <w:rPr>
          <w:bCs/>
          <w:color w:val="002060"/>
          <w:sz w:val="16"/>
          <w:szCs w:val="16"/>
        </w:rPr>
        <w:softHyphen/>
        <w:t>ле и наметить порядок и направление взлета. Площадка была ровной и твердой, но недостаточно большой, примерно 50x400 м, и выбрана не совсем удачно. Наод ном конце ее находилась роща, на другом — речной об</w:t>
      </w:r>
      <w:r w:rsidRPr="00DE096C">
        <w:rPr>
          <w:bCs/>
          <w:color w:val="002060"/>
          <w:sz w:val="16"/>
          <w:szCs w:val="16"/>
        </w:rPr>
        <w:softHyphen/>
        <w:t>рыв. За ним, внизу, в 30 м протекал Днепр, а за рекой раскинулся сам город. День был безоблачный, начина</w:t>
      </w:r>
      <w:r w:rsidRPr="00DE096C">
        <w:rPr>
          <w:bCs/>
          <w:color w:val="002060"/>
          <w:sz w:val="16"/>
          <w:szCs w:val="16"/>
        </w:rPr>
        <w:softHyphen/>
        <w:t>лась жара. Легкий ветерок дул в сторону обрыва. В этом же направлении площадка имела небольшой уклон. Все взвесив, пилоты решили (что делать!) взлетать по ветру в сторону обрыва. Шансов поднять перегруженную машину, взлетая в гору, да еще с препятствием на взлете, хотя бы и против ветра, не было.</w:t>
      </w:r>
    </w:p>
    <w:p w14:paraId="49AEAC92" w14:textId="77777777" w:rsidR="005C3561" w:rsidRPr="00DE096C" w:rsidRDefault="005C3561" w:rsidP="00D45A46">
      <w:pPr>
        <w:jc w:val="both"/>
        <w:rPr>
          <w:bCs/>
          <w:color w:val="002060"/>
          <w:sz w:val="16"/>
          <w:szCs w:val="16"/>
        </w:rPr>
      </w:pPr>
      <w:r w:rsidRPr="00DE096C">
        <w:rPr>
          <w:bCs/>
          <w:color w:val="002060"/>
          <w:sz w:val="16"/>
          <w:szCs w:val="16"/>
        </w:rPr>
        <w:t>С вылетом надо было торопиться. День обещал быть жарким, и двигатели могли не дать на взлете нужной мощности. Кроме того, расчетное время полета до Кие</w:t>
      </w:r>
      <w:r w:rsidRPr="00DE096C">
        <w:rPr>
          <w:bCs/>
          <w:color w:val="002060"/>
          <w:sz w:val="16"/>
          <w:szCs w:val="16"/>
        </w:rPr>
        <w:softHyphen/>
        <w:t>ва шесть часов и надо оставить резерв. Это в Петербурге белые ночи, а в Киеве, на юге, темное время наступает быстро. Самолет же не был оборудован приборами для ночных полетов, да и киевский аэродром не мог прини</w:t>
      </w:r>
      <w:r w:rsidRPr="00DE096C">
        <w:rPr>
          <w:bCs/>
          <w:color w:val="002060"/>
          <w:sz w:val="16"/>
          <w:szCs w:val="16"/>
        </w:rPr>
        <w:softHyphen/>
        <w:t>мать в это время суток.</w:t>
      </w:r>
    </w:p>
    <w:p w14:paraId="4D1F2F4F" w14:textId="77777777" w:rsidR="005C3561" w:rsidRPr="00DE096C" w:rsidRDefault="005C3561" w:rsidP="00D45A46">
      <w:pPr>
        <w:jc w:val="both"/>
        <w:rPr>
          <w:bCs/>
          <w:color w:val="002060"/>
          <w:sz w:val="16"/>
          <w:szCs w:val="16"/>
        </w:rPr>
      </w:pPr>
      <w:r w:rsidRPr="00DE096C">
        <w:rPr>
          <w:bCs/>
          <w:color w:val="002060"/>
          <w:sz w:val="16"/>
          <w:szCs w:val="16"/>
        </w:rPr>
        <w:t>Когда Сикорский и Лавров в полдень вернулись к са</w:t>
      </w:r>
      <w:r w:rsidRPr="00DE096C">
        <w:rPr>
          <w:bCs/>
          <w:color w:val="002060"/>
          <w:sz w:val="16"/>
          <w:szCs w:val="16"/>
        </w:rPr>
        <w:softHyphen/>
        <w:t>молету, заправка еще не закончилась. Несмотря на энергичные действия механика и многочисленных по</w:t>
      </w:r>
      <w:r w:rsidRPr="00DE096C">
        <w:rPr>
          <w:bCs/>
          <w:color w:val="002060"/>
          <w:sz w:val="16"/>
          <w:szCs w:val="16"/>
        </w:rPr>
        <w:softHyphen/>
        <w:t>мощников, закачка шла медленно — пропускная спо</w:t>
      </w:r>
      <w:r w:rsidRPr="00DE096C">
        <w:rPr>
          <w:bCs/>
          <w:color w:val="002060"/>
          <w:sz w:val="16"/>
          <w:szCs w:val="16"/>
        </w:rPr>
        <w:softHyphen/>
        <w:t>собность помп в шлангов не позволяла делать ее быстрее.</w:t>
      </w:r>
    </w:p>
    <w:p w14:paraId="4066D479" w14:textId="77777777" w:rsidR="005C3561" w:rsidRPr="00DE096C" w:rsidRDefault="005C3561" w:rsidP="00D45A46">
      <w:pPr>
        <w:jc w:val="both"/>
        <w:rPr>
          <w:bCs/>
          <w:color w:val="002060"/>
          <w:sz w:val="16"/>
          <w:szCs w:val="16"/>
        </w:rPr>
      </w:pPr>
      <w:r w:rsidRPr="00DE096C">
        <w:rPr>
          <w:bCs/>
          <w:color w:val="002060"/>
          <w:sz w:val="16"/>
          <w:szCs w:val="16"/>
        </w:rPr>
        <w:t>К двум часам пополудни наконец машина была готова к вылету. Самолет закатили в самый угол площадки и развернули в направлении взлета. Из толпы отобрали около 20 добровольцев и объяснили, что они должны делать. В этот жаркий день на прогрев двигателей ушло немного времени. По сигналу добровольцы начали толкать. Заревели двигатели на полном газу, и машина очень неохотно тронулась с места. Постепенно. она _ набирала скорость. Приближалась линия речного обрыва. Учитывая наклон площадки, Сикорский опустил нос, чтобы уменьшить лобовое сопротивление и увеличить скорость. Пере</w:t>
      </w:r>
      <w:r w:rsidRPr="00DE096C">
        <w:rPr>
          <w:bCs/>
          <w:color w:val="002060"/>
          <w:sz w:val="16"/>
          <w:szCs w:val="16"/>
        </w:rPr>
        <w:softHyphen/>
        <w:t>груженная машина неслась к обрыву, пилот не спешил брать штурвал на себя — нужно было максимально ис</w:t>
      </w:r>
      <w:r w:rsidRPr="00DE096C">
        <w:rPr>
          <w:bCs/>
          <w:color w:val="002060"/>
          <w:sz w:val="16"/>
          <w:szCs w:val="16"/>
        </w:rPr>
        <w:softHyphen/>
        <w:t>пользовать полосу. Только бы не отказали двигатели. Если откажет хоть один, катастрофы не миновать. Вот и конец полосы. Впереди обрыв. Сикорский легонько потянул штурвал на себя — и машина уже в воздухе над водой. Она слегка просела, но удержалась.</w:t>
      </w:r>
    </w:p>
    <w:p w14:paraId="43F1F994" w14:textId="77777777" w:rsidR="005C3561" w:rsidRPr="00DE096C" w:rsidRDefault="005C3561" w:rsidP="00D45A46">
      <w:pPr>
        <w:jc w:val="both"/>
        <w:rPr>
          <w:bCs/>
          <w:color w:val="002060"/>
          <w:sz w:val="16"/>
          <w:szCs w:val="16"/>
        </w:rPr>
      </w:pPr>
      <w:r w:rsidRPr="00DE096C">
        <w:rPr>
          <w:bCs/>
          <w:color w:val="002060"/>
          <w:sz w:val="16"/>
          <w:szCs w:val="16"/>
        </w:rPr>
        <w:t>«Муромец» пересек Днепр на уровне взлетного поля и прошел над Оршей, чуть не задевая крыши домов. В городе был переполох - грохочущее чудище простирало свои огромные крылья. Пройдя город, Сикорский стал медленно разворачиваться на юг. Впереди поля, леса, болота. Последних было больше. Самолет с трудом на</w:t>
      </w:r>
      <w:r w:rsidRPr="00DE096C">
        <w:rPr>
          <w:bCs/>
          <w:color w:val="002060"/>
          <w:sz w:val="16"/>
          <w:szCs w:val="16"/>
        </w:rPr>
        <w:softHyphen/>
        <w:t>бирал высоту: в жару двигатели не давали необходимой мощности. Едва набрали 70 м, началась болтанка. Один из воздушных потоков бросил огромную машину вниз, и она снова очутилась на высоте 30 м. Сикорский при</w:t>
      </w:r>
      <w:r w:rsidRPr="00DE096C">
        <w:rPr>
          <w:bCs/>
          <w:color w:val="002060"/>
          <w:sz w:val="16"/>
          <w:szCs w:val="16"/>
        </w:rPr>
        <w:softHyphen/>
        <w:t>казал выбросить за борт две канистры с водой и одну с маслом. Двигатели работали на полных оборотах, а вы</w:t>
      </w:r>
      <w:r w:rsidRPr="00DE096C">
        <w:rPr>
          <w:bCs/>
          <w:color w:val="002060"/>
          <w:sz w:val="16"/>
          <w:szCs w:val="16"/>
        </w:rPr>
        <w:softHyphen/>
        <w:t>сота набиралась по сантиметрам. Вот набрали чуть больше 100 м, но провалились в яму. Опять высота 60 м. В кабине было жарко и душно. Сикорский отча</w:t>
      </w:r>
      <w:r w:rsidRPr="00DE096C">
        <w:rPr>
          <w:bCs/>
          <w:color w:val="002060"/>
          <w:sz w:val="16"/>
          <w:szCs w:val="16"/>
        </w:rPr>
        <w:softHyphen/>
        <w:t>янно работал штурвалом и педалями. Казалось, пилот и машина задыхались от жары. Самолет едва набирал высоту. Командир приказал Панасюку и Пруссису быть готовыми по команде выбросить оставшиеся каннстры с бензином.</w:t>
      </w:r>
    </w:p>
    <w:p w14:paraId="35007184" w14:textId="77777777" w:rsidR="005C3561" w:rsidRPr="00DE096C" w:rsidRDefault="005C3561" w:rsidP="00D45A46">
      <w:pPr>
        <w:jc w:val="both"/>
        <w:rPr>
          <w:bCs/>
          <w:color w:val="002060"/>
          <w:sz w:val="16"/>
          <w:szCs w:val="16"/>
        </w:rPr>
      </w:pPr>
      <w:r w:rsidRPr="00DE096C">
        <w:rPr>
          <w:bCs/>
          <w:color w:val="002060"/>
          <w:sz w:val="16"/>
          <w:szCs w:val="16"/>
        </w:rPr>
        <w:t>Беда не приходит одна. Вдруг Панасюк бросился в пи</w:t>
      </w:r>
      <w:r w:rsidRPr="00DE096C">
        <w:rPr>
          <w:bCs/>
          <w:color w:val="002060"/>
          <w:sz w:val="16"/>
          <w:szCs w:val="16"/>
        </w:rPr>
        <w:softHyphen/>
        <w:t>лотскую, он показывал на правый ближний двигатель. От бешеной болтанки и тряски в десяти сантиметрах от карбюратора лопнул бензопровод, топливо хлестало на</w:t>
      </w:r>
      <w:r w:rsidRPr="00DE096C">
        <w:rPr>
          <w:bCs/>
          <w:color w:val="002060"/>
          <w:sz w:val="16"/>
          <w:szCs w:val="16"/>
        </w:rPr>
        <w:softHyphen/>
        <w:t>ружу. Бензин выливался на раскаленные патрубки ра</w:t>
      </w:r>
      <w:r w:rsidRPr="00DE096C">
        <w:rPr>
          <w:bCs/>
          <w:color w:val="002060"/>
          <w:sz w:val="16"/>
          <w:szCs w:val="16"/>
        </w:rPr>
        <w:softHyphen/>
        <w:t>ботающего на полных оборотах двигателя. Сикорский сразу выключил двигатель, но огненный трехметровый факел уже лизал крыло и деревянную стойку. Панасюк схватил огнетушитель и бросился к двигателю, за ним Лавров. Они не замечали скоростного напора, который рвал одежду и волосы, не думали, что в этой болтанке могут запросто свалиться с крыла. Ими владела только одна мысль — погасить. Панасюк пытался заткнуть пальцем бензопровод, но только облился бензином сам, и огнетушитель пришлось использовать, чтобы сбить с механика пламя. Лаврову удалось дотянуться до кра</w:t>
      </w:r>
      <w:r w:rsidRPr="00DE096C">
        <w:rPr>
          <w:bCs/>
          <w:color w:val="002060"/>
          <w:sz w:val="16"/>
          <w:szCs w:val="16"/>
        </w:rPr>
        <w:softHyphen/>
        <w:t>нов наверху у бензобака и перекрыть топливо. Потом своими куртками они погасили огонь. Момент был очень острый. Сикорский уже не смотрел на товари</w:t>
      </w:r>
      <w:r w:rsidRPr="00DE096C">
        <w:rPr>
          <w:bCs/>
          <w:color w:val="002060"/>
          <w:sz w:val="16"/>
          <w:szCs w:val="16"/>
        </w:rPr>
        <w:softHyphen/>
        <w:t>щей: машина теряла скорость, винт выключенного дви</w:t>
      </w:r>
      <w:r w:rsidRPr="00DE096C">
        <w:rPr>
          <w:bCs/>
          <w:color w:val="002060"/>
          <w:sz w:val="16"/>
          <w:szCs w:val="16"/>
        </w:rPr>
        <w:softHyphen/>
        <w:t>гателя работал в режиме ветряка и создавал большое сопротивление. Пилот перевел машину на снижение — скорость терять нельзя. Конечно, будь высоты поболь</w:t>
      </w:r>
      <w:r w:rsidRPr="00DE096C">
        <w:rPr>
          <w:bCs/>
          <w:color w:val="002060"/>
          <w:sz w:val="16"/>
          <w:szCs w:val="16"/>
        </w:rPr>
        <w:softHyphen/>
        <w:t>ше, да будь попрохладнее, можно было бы побороться за живучесть машины в воздухе, отремонтировать бен</w:t>
      </w:r>
      <w:r w:rsidRPr="00DE096C">
        <w:rPr>
          <w:bCs/>
          <w:color w:val="002060"/>
          <w:sz w:val="16"/>
          <w:szCs w:val="16"/>
        </w:rPr>
        <w:softHyphen/>
        <w:t>зопровод. А тут три часа дня, температура наружного воздуха 28°С, страшная болтанка, мешающая ремонту и пилотированию на малой высоте. Нет, надо искать подходящую площадку и садиться. Прямо по курсу лес, слева и справа тоже. Зрительная память подсказа</w:t>
      </w:r>
      <w:r w:rsidRPr="00DE096C">
        <w:rPr>
          <w:bCs/>
          <w:color w:val="002060"/>
          <w:sz w:val="16"/>
          <w:szCs w:val="16"/>
        </w:rPr>
        <w:softHyphen/>
        <w:t xml:space="preserve">ла: </w:t>
      </w:r>
      <w:r w:rsidRPr="00DE096C">
        <w:rPr>
          <w:bCs/>
          <w:color w:val="002060"/>
          <w:sz w:val="16"/>
          <w:szCs w:val="16"/>
        </w:rPr>
        <w:lastRenderedPageBreak/>
        <w:t>несколько минут назад было поле ржи. Скорее туда. Сикорский выполнил разворот на 180° и в снижении взял курс на площадку. Посадка удалась. Все сошли на землю. Теперь можно широко, полной грудью вдохнуть пьянящий аромат цветов, ощутить спокойствие и ти</w:t>
      </w:r>
      <w:r w:rsidRPr="00DE096C">
        <w:rPr>
          <w:bCs/>
          <w:color w:val="002060"/>
          <w:sz w:val="16"/>
          <w:szCs w:val="16"/>
        </w:rPr>
        <w:softHyphen/>
        <w:t>шину земли.</w:t>
      </w:r>
    </w:p>
    <w:p w14:paraId="6D0FAB1E" w14:textId="77777777" w:rsidR="005C3561" w:rsidRPr="00DE096C" w:rsidRDefault="005C3561" w:rsidP="00D45A46">
      <w:pPr>
        <w:jc w:val="both"/>
        <w:rPr>
          <w:bCs/>
          <w:color w:val="002060"/>
          <w:sz w:val="16"/>
          <w:szCs w:val="16"/>
        </w:rPr>
      </w:pPr>
      <w:r w:rsidRPr="00DE096C">
        <w:rPr>
          <w:bCs/>
          <w:color w:val="002060"/>
          <w:sz w:val="16"/>
          <w:szCs w:val="16"/>
        </w:rPr>
        <w:t>Обследовали место пожара — почерневшие стоики, обгоревшее крыло и тут же поздравили друг друга: от</w:t>
      </w:r>
      <w:r w:rsidRPr="00DE096C">
        <w:rPr>
          <w:bCs/>
          <w:color w:val="002060"/>
          <w:sz w:val="16"/>
          <w:szCs w:val="16"/>
        </w:rPr>
        <w:softHyphen/>
        <w:t>делались легким испугом. Конечно, здесь сыграли большую роль грамотные и самоотверженные действия экипажа, но все-таки самое главное было в другом — в конструктивной особенности машины, которая обеспе</w:t>
      </w:r>
      <w:r w:rsidRPr="00DE096C">
        <w:rPr>
          <w:bCs/>
          <w:color w:val="002060"/>
          <w:sz w:val="16"/>
          <w:szCs w:val="16"/>
        </w:rPr>
        <w:softHyphen/>
        <w:t>чивала доступ к двигателям в полете. Не будь этого, не хватило бы времени для маневра и посадки, в считан</w:t>
      </w:r>
      <w:r w:rsidRPr="00DE096C">
        <w:rPr>
          <w:bCs/>
          <w:color w:val="002060"/>
          <w:sz w:val="16"/>
          <w:szCs w:val="16"/>
        </w:rPr>
        <w:softHyphen/>
        <w:t>ные секунды самолет превратился бы в факел. Теперь правильность концепции Сикорского была доказана на практике в экстремальных, аварийных условиях ре</w:t>
      </w:r>
      <w:r w:rsidRPr="00DE096C">
        <w:rPr>
          <w:bCs/>
          <w:color w:val="002060"/>
          <w:sz w:val="16"/>
          <w:szCs w:val="16"/>
        </w:rPr>
        <w:softHyphen/>
        <w:t>ального полета.</w:t>
      </w:r>
    </w:p>
    <w:p w14:paraId="0D2499C2" w14:textId="77777777" w:rsidR="005C3561" w:rsidRPr="00DE096C" w:rsidRDefault="005C3561" w:rsidP="00D45A46">
      <w:pPr>
        <w:jc w:val="both"/>
        <w:rPr>
          <w:bCs/>
          <w:color w:val="002060"/>
          <w:sz w:val="16"/>
          <w:szCs w:val="16"/>
        </w:rPr>
      </w:pPr>
      <w:r w:rsidRPr="00DE096C">
        <w:rPr>
          <w:bCs/>
          <w:color w:val="002060"/>
          <w:sz w:val="16"/>
          <w:szCs w:val="16"/>
        </w:rPr>
        <w:t>Панасюк разложил инструменты и приступил к ре</w:t>
      </w:r>
      <w:r w:rsidRPr="00DE096C">
        <w:rPr>
          <w:bCs/>
          <w:color w:val="002060"/>
          <w:sz w:val="16"/>
          <w:szCs w:val="16"/>
        </w:rPr>
        <w:softHyphen/>
        <w:t>монту. Сикорский тем временем осмотрел поле. Оно представляло собой узкую полоску с уклоном в сторону небольшого ручья. Пилот решил, как и в Орше, взле</w:t>
      </w:r>
      <w:r w:rsidRPr="00DE096C">
        <w:rPr>
          <w:bCs/>
          <w:color w:val="002060"/>
          <w:sz w:val="16"/>
          <w:szCs w:val="16"/>
        </w:rPr>
        <w:softHyphen/>
        <w:t>тать под уклон независимо от направления ветра.</w:t>
      </w:r>
    </w:p>
    <w:p w14:paraId="502B64B1" w14:textId="77777777" w:rsidR="005C3561" w:rsidRPr="00DE096C" w:rsidRDefault="005C3561" w:rsidP="00D45A46">
      <w:pPr>
        <w:jc w:val="both"/>
        <w:rPr>
          <w:bCs/>
          <w:color w:val="002060"/>
          <w:sz w:val="16"/>
          <w:szCs w:val="16"/>
        </w:rPr>
      </w:pPr>
      <w:r w:rsidRPr="00DE096C">
        <w:rPr>
          <w:bCs/>
          <w:color w:val="002060"/>
          <w:sz w:val="16"/>
          <w:szCs w:val="16"/>
        </w:rPr>
        <w:t>На ремонт ушло менее часа, но стартовать было уже поздно. Светлого времени, чтобы долететь до Киева, яв</w:t>
      </w:r>
      <w:r w:rsidRPr="00DE096C">
        <w:rPr>
          <w:bCs/>
          <w:color w:val="002060"/>
          <w:sz w:val="16"/>
          <w:szCs w:val="16"/>
        </w:rPr>
        <w:softHyphen/>
        <w:t>но не хватало. Решили ночевать здесь. К этому моменту собралась большая толпа любопытных с близлежащей станции Копысь, готовых оказать авиаторам любую ус</w:t>
      </w:r>
      <w:r w:rsidRPr="00DE096C">
        <w:rPr>
          <w:bCs/>
          <w:color w:val="002060"/>
          <w:sz w:val="16"/>
          <w:szCs w:val="16"/>
        </w:rPr>
        <w:softHyphen/>
        <w:t>лугу. С их помощью откатили самолет в конец поля и установили его в направлении взлета. Местные жители все прибывали и прибывали. Они принесли столько еды, что можно было пробыть тут месяц. Они задавали самые невероятные вопросы: как такое огромное крыло может махать в воздухе, может ли самолет примоститься на дымовой трубе, а один наиболее «просвещенный» спросил, где размещается газ в этом дирижабле. Как могли, объясняли устройство самолета и принципы по</w:t>
      </w:r>
      <w:r w:rsidRPr="00DE096C">
        <w:rPr>
          <w:bCs/>
          <w:color w:val="002060"/>
          <w:sz w:val="16"/>
          <w:szCs w:val="16"/>
        </w:rPr>
        <w:softHyphen/>
        <w:t>лета, но, кажется, это было не вполне убедительно. На пилотов смотрели, как на небожителей, а их летающая машина была вроде колесницы Ильи Пророка.</w:t>
      </w:r>
    </w:p>
    <w:p w14:paraId="2BC2C380" w14:textId="77777777" w:rsidR="005C3561" w:rsidRPr="00DE096C" w:rsidRDefault="005C3561" w:rsidP="00D45A46">
      <w:pPr>
        <w:jc w:val="both"/>
        <w:rPr>
          <w:bCs/>
          <w:color w:val="002060"/>
          <w:sz w:val="16"/>
          <w:szCs w:val="16"/>
        </w:rPr>
      </w:pPr>
      <w:r w:rsidRPr="00DE096C">
        <w:rPr>
          <w:bCs/>
          <w:color w:val="002060"/>
          <w:sz w:val="16"/>
          <w:szCs w:val="16"/>
        </w:rPr>
        <w:t>В десять вечера смогли наконец лечь спать. Около полуночи совсем некстати начался дождь, тяжелые капли барабанили по обшивке до утра, Все встали еще до рассвета. Около четырех часов запустили двигатели, прогрели. К этому моменту дождь перестал, но мрачные низкие тучи закрыли все небо. Экипаж занял свои места. Старт. Тяжелый самолет медленно начал разбег по мягкому, мокрому полю, затем все быстрее и быстрее понесся под уклон. В конце площадки Сикорский благополучно оторвал машину от земли. Самолет мед</w:t>
      </w:r>
      <w:r w:rsidRPr="00DE096C">
        <w:rPr>
          <w:bCs/>
          <w:color w:val="002060"/>
          <w:sz w:val="16"/>
          <w:szCs w:val="16"/>
        </w:rPr>
        <w:softHyphen/>
        <w:t>ленно, но уверенно набирал высоту. Над Шкловом он шел уже на высоте 450 м. Это была нижняя кромка об</w:t>
      </w:r>
      <w:r w:rsidRPr="00DE096C">
        <w:rPr>
          <w:bCs/>
          <w:color w:val="002060"/>
          <w:sz w:val="16"/>
          <w:szCs w:val="16"/>
        </w:rPr>
        <w:softHyphen/>
        <w:t>лачности, город терялся в разрывах. Вскоре «Муромец» окутала плотная серая мгла. Утренний воздух был спокоен, и первый час полета не доставил особых хлопот. Курс выдерживался строго на юг, крен отсутст</w:t>
      </w:r>
      <w:r w:rsidRPr="00DE096C">
        <w:rPr>
          <w:bCs/>
          <w:color w:val="002060"/>
          <w:sz w:val="16"/>
          <w:szCs w:val="16"/>
        </w:rPr>
        <w:softHyphen/>
        <w:t>вовал, моторы работали в номинале. Набор высоты про</w:t>
      </w:r>
      <w:r w:rsidRPr="00DE096C">
        <w:rPr>
          <w:bCs/>
          <w:color w:val="002060"/>
          <w:sz w:val="16"/>
          <w:szCs w:val="16"/>
        </w:rPr>
        <w:softHyphen/>
        <w:t>должался.</w:t>
      </w:r>
    </w:p>
    <w:p w14:paraId="69D2E03C" w14:textId="77777777" w:rsidR="005C3561" w:rsidRPr="00DE096C" w:rsidRDefault="005C3561" w:rsidP="00D45A46">
      <w:pPr>
        <w:jc w:val="both"/>
        <w:rPr>
          <w:bCs/>
          <w:color w:val="002060"/>
          <w:sz w:val="16"/>
          <w:szCs w:val="16"/>
        </w:rPr>
      </w:pPr>
      <w:r w:rsidRPr="00DE096C">
        <w:rPr>
          <w:bCs/>
          <w:color w:val="002060"/>
          <w:sz w:val="16"/>
          <w:szCs w:val="16"/>
        </w:rPr>
        <w:t>Постепенно погода стала ухудшаться. Начался дождь, и воздух становился неспокойным. В слепом полете Сикорский с трудом управлял тяжелым кораблем. Строго говоря, те приборы, которые имелись на борту, не давали полного представления о положении самоле</w:t>
      </w:r>
      <w:r w:rsidRPr="00DE096C">
        <w:rPr>
          <w:bCs/>
          <w:color w:val="002060"/>
          <w:sz w:val="16"/>
          <w:szCs w:val="16"/>
        </w:rPr>
        <w:softHyphen/>
        <w:t>та, особенно при болтанке. Пока спасал опыт Сикорско</w:t>
      </w:r>
      <w:r w:rsidRPr="00DE096C">
        <w:rPr>
          <w:bCs/>
          <w:color w:val="002060"/>
          <w:sz w:val="16"/>
          <w:szCs w:val="16"/>
        </w:rPr>
        <w:softHyphen/>
        <w:t>го как летчика-испытателя — он хорошо чувствовал машину, да время от времени просматривалась земля. Чтобы как-то облегчить положение пилота, Лавров стоял рядом и подсказывал курс. Самолет с трудом на</w:t>
      </w:r>
      <w:r w:rsidRPr="00DE096C">
        <w:rPr>
          <w:bCs/>
          <w:color w:val="002060"/>
          <w:sz w:val="16"/>
          <w:szCs w:val="16"/>
        </w:rPr>
        <w:softHyphen/>
        <w:t>бирал высоту. Болтанка выматывала. Сикорский ис</w:t>
      </w:r>
      <w:r w:rsidRPr="00DE096C">
        <w:rPr>
          <w:bCs/>
          <w:color w:val="002060"/>
          <w:sz w:val="16"/>
          <w:szCs w:val="16"/>
        </w:rPr>
        <w:softHyphen/>
        <w:t>пользовал все свое умение, чтобы вести корабль по курсу и набирать высоту. Тем временем дождь превра</w:t>
      </w:r>
      <w:r w:rsidRPr="00DE096C">
        <w:rPr>
          <w:bCs/>
          <w:color w:val="002060"/>
          <w:sz w:val="16"/>
          <w:szCs w:val="16"/>
        </w:rPr>
        <w:softHyphen/>
        <w:t>тился в ливень. Механик забеспокоился за моторы. Они были совершенно открыты, и вода могла залить магне</w:t>
      </w:r>
      <w:r w:rsidRPr="00DE096C">
        <w:rPr>
          <w:bCs/>
          <w:color w:val="002060"/>
          <w:sz w:val="16"/>
          <w:szCs w:val="16"/>
        </w:rPr>
        <w:softHyphen/>
        <w:t>то. Однако двигатели работали ровно, без сбоев.</w:t>
      </w:r>
    </w:p>
    <w:p w14:paraId="59F15CB9" w14:textId="77777777" w:rsidR="005C3561" w:rsidRPr="00DE096C" w:rsidRDefault="005C3561" w:rsidP="00D45A46">
      <w:pPr>
        <w:jc w:val="both"/>
        <w:rPr>
          <w:bCs/>
          <w:color w:val="002060"/>
          <w:sz w:val="16"/>
          <w:szCs w:val="16"/>
        </w:rPr>
      </w:pPr>
      <w:r w:rsidRPr="00DE096C">
        <w:rPr>
          <w:bCs/>
          <w:color w:val="002060"/>
          <w:sz w:val="16"/>
          <w:szCs w:val="16"/>
        </w:rPr>
        <w:t>Уже более двух часов шли почти вслепую. Сикорский начал уставать, слабело вникание. При одном из поры</w:t>
      </w:r>
      <w:r w:rsidRPr="00DE096C">
        <w:rPr>
          <w:bCs/>
          <w:color w:val="002060"/>
          <w:sz w:val="16"/>
          <w:szCs w:val="16"/>
        </w:rPr>
        <w:softHyphen/>
        <w:t>вов самолет резко накренился влево и почти сразу клю</w:t>
      </w:r>
      <w:r w:rsidRPr="00DE096C">
        <w:rPr>
          <w:bCs/>
          <w:color w:val="002060"/>
          <w:sz w:val="16"/>
          <w:szCs w:val="16"/>
        </w:rPr>
        <w:softHyphen/>
        <w:t>нул носом. Пилот бросил взгляд на приборы — высота 900 м сразу стала уменьшаться, стрелка компаса закру</w:t>
      </w:r>
      <w:r w:rsidRPr="00DE096C">
        <w:rPr>
          <w:bCs/>
          <w:color w:val="002060"/>
          <w:sz w:val="16"/>
          <w:szCs w:val="16"/>
        </w:rPr>
        <w:softHyphen/>
        <w:t>тилась. Еще не успели понять, в чем дело, как стрелка уже отсчитала два оборота, а высотомер показывал по</w:t>
      </w:r>
      <w:r w:rsidRPr="00DE096C">
        <w:rPr>
          <w:bCs/>
          <w:color w:val="002060"/>
          <w:sz w:val="16"/>
          <w:szCs w:val="16"/>
        </w:rPr>
        <w:softHyphen/>
        <w:t>терю 300 м. Сикорский пытался работать штурвалом — самолет не слушался ни элеронов, ни руля высоты. По</w:t>
      </w:r>
      <w:r w:rsidRPr="00DE096C">
        <w:rPr>
          <w:bCs/>
          <w:color w:val="002060"/>
          <w:sz w:val="16"/>
          <w:szCs w:val="16"/>
        </w:rPr>
        <w:softHyphen/>
        <w:t>следняя попытка — все рули в нейтральное положение. Вращение постепенно замедлилось, а потом и прекра</w:t>
      </w:r>
      <w:r w:rsidRPr="00DE096C">
        <w:rPr>
          <w:bCs/>
          <w:color w:val="002060"/>
          <w:sz w:val="16"/>
          <w:szCs w:val="16"/>
        </w:rPr>
        <w:softHyphen/>
        <w:t>тилось. Пилот плавно вывел машину в горизонт. Потеря высоты составила 370 м. Сикорский в этот итический момент действовал в целом правильно. Но больше так рисковать в полете вне видимости земли и горизонта было нельзя. После короткого совещания с Лавровым решили снижаться. Это был тоже риск. Никто не мог знать высоту нижней кромки облаков, а ведь она могла быть у самой земли. Никто не знал, где они находятся, над какой местностью, какова реальная вы</w:t>
      </w:r>
      <w:r w:rsidRPr="00DE096C">
        <w:rPr>
          <w:bCs/>
          <w:color w:val="002060"/>
          <w:sz w:val="16"/>
          <w:szCs w:val="16"/>
        </w:rPr>
        <w:softHyphen/>
        <w:t>сота, а не по прибору. И все-таки это был меньший риск.</w:t>
      </w:r>
    </w:p>
    <w:p w14:paraId="1B7F19DF" w14:textId="77777777" w:rsidR="005C3561" w:rsidRPr="00DE096C" w:rsidRDefault="005C3561" w:rsidP="00D45A46">
      <w:pPr>
        <w:jc w:val="both"/>
        <w:rPr>
          <w:bCs/>
          <w:color w:val="002060"/>
          <w:sz w:val="16"/>
          <w:szCs w:val="16"/>
        </w:rPr>
      </w:pPr>
      <w:r w:rsidRPr="00DE096C">
        <w:rPr>
          <w:bCs/>
          <w:color w:val="002060"/>
          <w:sz w:val="16"/>
          <w:szCs w:val="16"/>
        </w:rPr>
        <w:t>Сикорский осторожно, с малой вертикальной скоро</w:t>
      </w:r>
      <w:r w:rsidRPr="00DE096C">
        <w:rPr>
          <w:bCs/>
          <w:color w:val="002060"/>
          <w:sz w:val="16"/>
          <w:szCs w:val="16"/>
        </w:rPr>
        <w:softHyphen/>
        <w:t>стью повел машину на снижение. Каждый член экипажа смотрел в своем направлении, пытаясь увидеть просвет. Высота 250 м. Земли нет. Напряжение достигло предела. Когда высотомер показывал 200 м, за сеткой дождя показался луг и кусочек леса. Лавров попытался определиться и предложил держать курс на юго-запад. Хотя дождь был еще сильным, на этой высоте не так болтало, земля была видна и пилотировать тяжелую машину стало намного легче. Вскоре впереди показался Днепр. Снова курс на юг. Вот уже расчетная точка половины пути между Оршей и Киевом. На всякий случай старались идти на максимальной высоте под самой кромкой дождевых облаков, но не теряя земли из виду. Лавров следил за изгибами Днепра и мог точно определять место корабля и его путевую скорость.</w:t>
      </w:r>
    </w:p>
    <w:p w14:paraId="761052BB" w14:textId="77777777" w:rsidR="005C3561" w:rsidRPr="00DE096C" w:rsidRDefault="005C3561" w:rsidP="00D45A46">
      <w:pPr>
        <w:jc w:val="both"/>
        <w:rPr>
          <w:bCs/>
          <w:color w:val="002060"/>
          <w:sz w:val="16"/>
          <w:szCs w:val="16"/>
        </w:rPr>
      </w:pPr>
      <w:r w:rsidRPr="00DE096C">
        <w:rPr>
          <w:bCs/>
          <w:color w:val="002060"/>
          <w:sz w:val="16"/>
          <w:szCs w:val="16"/>
        </w:rPr>
        <w:t>В полете находились уже более трех часов. Машина заметно полегчала. Решили попытаться уйти от дождя наверх. Вот уже в серой мгле скрылась земля. Посте</w:t>
      </w:r>
      <w:r w:rsidRPr="00DE096C">
        <w:rPr>
          <w:bCs/>
          <w:color w:val="002060"/>
          <w:sz w:val="16"/>
          <w:szCs w:val="16"/>
        </w:rPr>
        <w:softHyphen/>
        <w:t>пенно набрали 1000 м. Плотные облака, никаких про</w:t>
      </w:r>
      <w:r w:rsidRPr="00DE096C">
        <w:rPr>
          <w:bCs/>
          <w:color w:val="002060"/>
          <w:sz w:val="16"/>
          <w:szCs w:val="16"/>
        </w:rPr>
        <w:softHyphen/>
        <w:t>светов. На высоте 1100 м постепенно стало светлеть и вдруг брызнуло солнце — самолет вынырнул на повер</w:t>
      </w:r>
      <w:r w:rsidRPr="00DE096C">
        <w:rPr>
          <w:bCs/>
          <w:color w:val="002060"/>
          <w:sz w:val="16"/>
          <w:szCs w:val="16"/>
        </w:rPr>
        <w:softHyphen/>
        <w:t>хность белоснежного океана. Сверху ясное голубое не</w:t>
      </w:r>
      <w:r w:rsidRPr="00DE096C">
        <w:rPr>
          <w:bCs/>
          <w:color w:val="002060"/>
          <w:sz w:val="16"/>
          <w:szCs w:val="16"/>
        </w:rPr>
        <w:softHyphen/>
        <w:t>бо, а вокруг хлопковые шапки облаков в сверкающих лучах благодатного солнца. На несколько мгновений все закрыли глаза — нестерпимо было глядеть на эту ослепительную белизну.</w:t>
      </w:r>
    </w:p>
    <w:p w14:paraId="6B42BE27" w14:textId="77777777" w:rsidR="005C3561" w:rsidRPr="00DE096C" w:rsidRDefault="005C3561" w:rsidP="00D45A46">
      <w:pPr>
        <w:jc w:val="both"/>
        <w:rPr>
          <w:bCs/>
          <w:color w:val="002060"/>
          <w:sz w:val="16"/>
          <w:szCs w:val="16"/>
        </w:rPr>
      </w:pPr>
      <w:r w:rsidRPr="00DE096C">
        <w:rPr>
          <w:bCs/>
          <w:color w:val="002060"/>
          <w:sz w:val="16"/>
          <w:szCs w:val="16"/>
        </w:rPr>
        <w:t>Болтанка совершенно прекратилась. Корабль медленно плыл над облачными вершинами. После стольких часов напряженного труда можно было смениться: в пилотское кресло сел Пруссис, Лавров, сидя в салоне, неспешно работал с картами, расстеленными на столике. Теперь корабль можно было вести только по счислению.</w:t>
      </w:r>
    </w:p>
    <w:p w14:paraId="7A85BF7F" w14:textId="77777777" w:rsidR="005C3561" w:rsidRPr="00DE096C" w:rsidRDefault="005C3561" w:rsidP="00D45A46">
      <w:pPr>
        <w:jc w:val="both"/>
        <w:rPr>
          <w:bCs/>
          <w:color w:val="002060"/>
          <w:sz w:val="16"/>
          <w:szCs w:val="16"/>
        </w:rPr>
      </w:pPr>
      <w:r w:rsidRPr="00DE096C">
        <w:rPr>
          <w:bCs/>
          <w:color w:val="002060"/>
          <w:sz w:val="16"/>
          <w:szCs w:val="16"/>
        </w:rPr>
        <w:t>Сикорский выпил горячего кофе, надел теплое пальто и вышел на верхний мостик. Вокруг расстилалось без</w:t>
      </w:r>
      <w:r w:rsidRPr="00DE096C">
        <w:rPr>
          <w:bCs/>
          <w:color w:val="002060"/>
          <w:sz w:val="16"/>
          <w:szCs w:val="16"/>
        </w:rPr>
        <w:softHyphen/>
        <w:t>брежное море облаков, огромный корабль, ярко освещенныи солнцем, величественно плыл среди небесных айсбергов. Эта сказочная картина была наградой за его упорный и самоотверженный труд. Ни до, ни после это</w:t>
      </w:r>
      <w:r w:rsidRPr="00DE096C">
        <w:rPr>
          <w:bCs/>
          <w:color w:val="002060"/>
          <w:sz w:val="16"/>
          <w:szCs w:val="16"/>
        </w:rPr>
        <w:softHyphen/>
        <w:t>го дня более прекрасной панорамы Сикорский не ви</w:t>
      </w:r>
      <w:r w:rsidRPr="00DE096C">
        <w:rPr>
          <w:bCs/>
          <w:color w:val="002060"/>
          <w:sz w:val="16"/>
          <w:szCs w:val="16"/>
        </w:rPr>
        <w:softHyphen/>
        <w:t>дел. Может быть и потому, что потом с развитием авиации уже не было такой возможности свободно вы</w:t>
      </w:r>
      <w:r w:rsidRPr="00DE096C">
        <w:rPr>
          <w:bCs/>
          <w:color w:val="002060"/>
          <w:sz w:val="16"/>
          <w:szCs w:val="16"/>
        </w:rPr>
        <w:softHyphen/>
        <w:t>ходить из фюзеляжа наверх или на крыло и любоваться окружающим миром. «Муромец» в этом плане был уни</w:t>
      </w:r>
      <w:r w:rsidRPr="00DE096C">
        <w:rPr>
          <w:bCs/>
          <w:color w:val="002060"/>
          <w:sz w:val="16"/>
          <w:szCs w:val="16"/>
        </w:rPr>
        <w:softHyphen/>
        <w:t>кальной машиной.</w:t>
      </w:r>
    </w:p>
    <w:p w14:paraId="7810698A" w14:textId="77777777" w:rsidR="005C3561" w:rsidRPr="00DE096C" w:rsidRDefault="005C3561" w:rsidP="00D45A46">
      <w:pPr>
        <w:jc w:val="both"/>
        <w:rPr>
          <w:bCs/>
          <w:color w:val="002060"/>
          <w:sz w:val="16"/>
          <w:szCs w:val="16"/>
        </w:rPr>
      </w:pPr>
      <w:r w:rsidRPr="00DE096C">
        <w:rPr>
          <w:bCs/>
          <w:color w:val="002060"/>
          <w:sz w:val="16"/>
          <w:szCs w:val="16"/>
        </w:rPr>
        <w:t>Вскоре, замерзнув, Сикорский спустился вниз в теп</w:t>
      </w:r>
      <w:r w:rsidRPr="00DE096C">
        <w:rPr>
          <w:bCs/>
          <w:color w:val="002060"/>
          <w:sz w:val="16"/>
          <w:szCs w:val="16"/>
        </w:rPr>
        <w:softHyphen/>
        <w:t>лый салон и занял свое удобное кресло. За окном про</w:t>
      </w:r>
      <w:r w:rsidRPr="00DE096C">
        <w:rPr>
          <w:bCs/>
          <w:color w:val="002060"/>
          <w:sz w:val="16"/>
          <w:szCs w:val="16"/>
        </w:rPr>
        <w:softHyphen/>
        <w:t>плывал тот же пейзаж, но ощущения величия природы уже не было.</w:t>
      </w:r>
    </w:p>
    <w:p w14:paraId="28ADBD75" w14:textId="77777777" w:rsidR="005C3561" w:rsidRPr="00DE096C" w:rsidRDefault="005C3561" w:rsidP="00D45A46">
      <w:pPr>
        <w:jc w:val="both"/>
        <w:rPr>
          <w:bCs/>
          <w:color w:val="002060"/>
          <w:sz w:val="16"/>
          <w:szCs w:val="16"/>
        </w:rPr>
      </w:pPr>
      <w:r w:rsidRPr="00DE096C">
        <w:rPr>
          <w:bCs/>
          <w:color w:val="002060"/>
          <w:sz w:val="16"/>
          <w:szCs w:val="16"/>
        </w:rPr>
        <w:t>Два часа полета над облаками прошли легко и неза</w:t>
      </w:r>
      <w:r w:rsidRPr="00DE096C">
        <w:rPr>
          <w:bCs/>
          <w:color w:val="002060"/>
          <w:sz w:val="16"/>
          <w:szCs w:val="16"/>
        </w:rPr>
        <w:softHyphen/>
        <w:t>метно. Решили идти до расчетной точки снижения пе</w:t>
      </w:r>
      <w:r w:rsidRPr="00DE096C">
        <w:rPr>
          <w:bCs/>
          <w:color w:val="002060"/>
          <w:sz w:val="16"/>
          <w:szCs w:val="16"/>
        </w:rPr>
        <w:softHyphen/>
        <w:t>ред Киевом. Наконец Лавров объявил, что прямо по курсу в восьми километрах Киев. Сикорский взял уп</w:t>
      </w:r>
      <w:r w:rsidRPr="00DE096C">
        <w:rPr>
          <w:bCs/>
          <w:color w:val="002060"/>
          <w:sz w:val="16"/>
          <w:szCs w:val="16"/>
        </w:rPr>
        <w:softHyphen/>
        <w:t>равление кораблем на себя. Плавно перевел самолет на снижение, и вскоре снова вошли в облака. Дождя не было, болтанки — тоже. За бортом плотная мгла. Высота 500 м — земли не видно. 400. Шевельнулось беспо</w:t>
      </w:r>
      <w:r w:rsidRPr="00DE096C">
        <w:rPr>
          <w:bCs/>
          <w:color w:val="002060"/>
          <w:sz w:val="16"/>
          <w:szCs w:val="16"/>
        </w:rPr>
        <w:softHyphen/>
        <w:t>койство, но через пару минут самолет вынырнул из облаков. Прямо перед ними раскинулась панорама Ки</w:t>
      </w:r>
      <w:r w:rsidRPr="00DE096C">
        <w:rPr>
          <w:bCs/>
          <w:color w:val="002060"/>
          <w:sz w:val="16"/>
          <w:szCs w:val="16"/>
        </w:rPr>
        <w:softHyphen/>
        <w:t>ева, впереди — купола Киево-Печерской лавры, слева — цепной мост через Днепр.</w:t>
      </w:r>
    </w:p>
    <w:p w14:paraId="2C4A01C1" w14:textId="77777777" w:rsidR="005C3561" w:rsidRPr="00DE096C" w:rsidRDefault="005C3561" w:rsidP="00D45A46">
      <w:pPr>
        <w:jc w:val="both"/>
        <w:rPr>
          <w:bCs/>
          <w:color w:val="002060"/>
          <w:sz w:val="16"/>
          <w:szCs w:val="16"/>
        </w:rPr>
      </w:pPr>
      <w:r w:rsidRPr="00DE096C">
        <w:rPr>
          <w:bCs/>
          <w:color w:val="002060"/>
          <w:sz w:val="16"/>
          <w:szCs w:val="16"/>
        </w:rPr>
        <w:t>Вот как описывает Г. И. Лавров последние часы этого беспримерного перелета в сообщении, направленном заведующему организацией воздухоплавания а Службе связи Балтийского моря: «Шли 3 ч. 20 мин. исключи</w:t>
      </w:r>
      <w:r w:rsidRPr="00DE096C">
        <w:rPr>
          <w:bCs/>
          <w:color w:val="002060"/>
          <w:sz w:val="16"/>
          <w:szCs w:val="16"/>
        </w:rPr>
        <w:softHyphen/>
        <w:t>тельно по счислению. Дождь два часа лил как из ведра, временами не было видно края крыльев. Компасы в жидкости я установил удачно настолько, что не видя сквозь облака Киева, мы начали планировать с 1200 м из точки счисления и только с 350 м увидели как раз под собой главную улицу Киева. Не знаю, как будет дальше, но пока удалась прокладка и даже пеленгова</w:t>
      </w:r>
      <w:r w:rsidRPr="00DE096C">
        <w:rPr>
          <w:bCs/>
          <w:color w:val="002060"/>
          <w:sz w:val="16"/>
          <w:szCs w:val="16"/>
        </w:rPr>
        <w:softHyphen/>
        <w:t>ние, к™ »а короле</w:t>
      </w:r>
    </w:p>
    <w:p w14:paraId="2E321132" w14:textId="77777777" w:rsidR="005C3561" w:rsidRPr="00DE096C" w:rsidRDefault="005C3561" w:rsidP="00D45A46">
      <w:pPr>
        <w:jc w:val="both"/>
        <w:rPr>
          <w:bCs/>
          <w:color w:val="002060"/>
          <w:sz w:val="16"/>
          <w:szCs w:val="16"/>
        </w:rPr>
      </w:pPr>
      <w:r w:rsidRPr="00DE096C">
        <w:rPr>
          <w:bCs/>
          <w:color w:val="002060"/>
          <w:sz w:val="16"/>
          <w:szCs w:val="16"/>
        </w:rPr>
        <w:t>Итак, «Муромец» над Киевом. Сикорский быстро развернулся и взял курс на Куреневский аэродром, где он всего несколько лет назад начинал свои полеты. По пути, конечно, не преминул пройти над отчим домом и покачать крыльями, В это хмурое утро не ожидали ран</w:t>
      </w:r>
      <w:r w:rsidRPr="00DE096C">
        <w:rPr>
          <w:bCs/>
          <w:color w:val="002060"/>
          <w:sz w:val="16"/>
          <w:szCs w:val="16"/>
        </w:rPr>
        <w:softHyphen/>
        <w:t>него прибытия «Ильи Муромца» в Киев, однако не</w:t>
      </w:r>
      <w:r w:rsidRPr="00DE096C">
        <w:rPr>
          <w:bCs/>
          <w:color w:val="002060"/>
          <w:sz w:val="16"/>
          <w:szCs w:val="16"/>
        </w:rPr>
        <w:softHyphen/>
        <w:t>сколько членов Киевского общества воздухоплавания и К. К. Эргант были на аэродроме. После общих привет</w:t>
      </w:r>
      <w:r w:rsidRPr="00DE096C">
        <w:rPr>
          <w:bCs/>
          <w:color w:val="002060"/>
          <w:sz w:val="16"/>
          <w:szCs w:val="16"/>
        </w:rPr>
        <w:softHyphen/>
        <w:t>ствий и поздравлений кто-то сказал, что в Сараеве убит австрийский эрцгерцог Франц Фердинанд. Весть была серьезная, хотя, конечно, никто не предполагал по</w:t>
      </w:r>
      <w:r w:rsidRPr="00DE096C">
        <w:rPr>
          <w:bCs/>
          <w:color w:val="002060"/>
          <w:sz w:val="16"/>
          <w:szCs w:val="16"/>
        </w:rPr>
        <w:softHyphen/>
        <w:t>следствий этого события. Вечером экипаж чествовали в Киевском обществе воздухоплавания. И. И. Сикорско</w:t>
      </w:r>
      <w:r w:rsidRPr="00DE096C">
        <w:rPr>
          <w:bCs/>
          <w:color w:val="002060"/>
          <w:sz w:val="16"/>
          <w:szCs w:val="16"/>
        </w:rPr>
        <w:softHyphen/>
        <w:t>му вручили Большую Золотую медаль с надписью «Славному витязю русского воздушного океана Игорю Сикорскому». Потом было много взволнованных речей и поздравлений.</w:t>
      </w:r>
    </w:p>
    <w:p w14:paraId="51CA7AF6" w14:textId="77777777" w:rsidR="005C3561" w:rsidRPr="00DE096C" w:rsidRDefault="005C3561" w:rsidP="00D45A46">
      <w:pPr>
        <w:jc w:val="both"/>
        <w:rPr>
          <w:bCs/>
          <w:color w:val="002060"/>
          <w:sz w:val="16"/>
          <w:szCs w:val="16"/>
        </w:rPr>
      </w:pPr>
      <w:r w:rsidRPr="00DE096C">
        <w:rPr>
          <w:bCs/>
          <w:color w:val="002060"/>
          <w:sz w:val="16"/>
          <w:szCs w:val="16"/>
        </w:rPr>
        <w:t>Киев устроил грандиозную встречу героям перелета. Несколько дней подряд толпы народа осаждали аэрод</w:t>
      </w:r>
      <w:r w:rsidRPr="00DE096C">
        <w:rPr>
          <w:bCs/>
          <w:color w:val="002060"/>
          <w:sz w:val="16"/>
          <w:szCs w:val="16"/>
        </w:rPr>
        <w:softHyphen/>
        <w:t>ром и осматривали чудо-корабль, правда, издали. Цепь солдат не подпускала любопытных ближе. Организаторы были весьма предусмотрительны. Публика разнесла бы машину по кусочкам. Сикорский сделал десять по</w:t>
      </w:r>
      <w:r w:rsidRPr="00DE096C">
        <w:rPr>
          <w:bCs/>
          <w:color w:val="002060"/>
          <w:sz w:val="16"/>
          <w:szCs w:val="16"/>
        </w:rPr>
        <w:softHyphen/>
        <w:t>казательных полетов — провез официальных и сия</w:t>
      </w:r>
      <w:r w:rsidRPr="00DE096C">
        <w:rPr>
          <w:bCs/>
          <w:color w:val="002060"/>
          <w:sz w:val="16"/>
          <w:szCs w:val="16"/>
        </w:rPr>
        <w:softHyphen/>
        <w:t>тельных лиц, друзей, родных. Все были в восторге от необычной машины. Пассажиры любовались прекрас</w:t>
      </w:r>
      <w:r w:rsidRPr="00DE096C">
        <w:rPr>
          <w:bCs/>
          <w:color w:val="002060"/>
          <w:sz w:val="16"/>
          <w:szCs w:val="16"/>
        </w:rPr>
        <w:softHyphen/>
        <w:t>ной панорамой Киева и его окрестностями, удивляясь возможностям воздушного корабля. Отец Сикорского был нездоров, но его все-таки привезли на аэродром в закрытой карете, и он смог осмотреть детищс своего сына, в звезду которого он так верил. Иван Алексеевич, окруженный дочерьми, внуками и зятьями, был в восхищении и совершенно счастлив. Ольге, уже давно получившей «воздушное крещение», было доверено провезти на «Муромце» своего шестилетнего племян</w:t>
      </w:r>
      <w:r w:rsidRPr="00DE096C">
        <w:rPr>
          <w:bCs/>
          <w:color w:val="002060"/>
          <w:sz w:val="16"/>
          <w:szCs w:val="16"/>
        </w:rPr>
        <w:softHyphen/>
        <w:t>ника Дмитрия, сына Елены. Он потом долго вспоминал волнующие подробности полета. Один из участников такого полета изливал свой восторг в местной прессе: «...При работе моторов на земле ощущается в кают- компании тряска, но как только мы взлетели, она тот</w:t>
      </w:r>
      <w:r w:rsidRPr="00DE096C">
        <w:rPr>
          <w:bCs/>
          <w:color w:val="002060"/>
          <w:sz w:val="16"/>
          <w:szCs w:val="16"/>
        </w:rPr>
        <w:softHyphen/>
        <w:t>час же исчезла. Мы чувствуем себя как на пароходе в абсолютно тихую погоду.</w:t>
      </w:r>
    </w:p>
    <w:p w14:paraId="5FDC1A5D" w14:textId="77777777" w:rsidR="005C3561" w:rsidRPr="00DE096C" w:rsidRDefault="005C3561" w:rsidP="00D45A46">
      <w:pPr>
        <w:jc w:val="both"/>
        <w:rPr>
          <w:bCs/>
          <w:color w:val="002060"/>
          <w:sz w:val="16"/>
          <w:szCs w:val="16"/>
        </w:rPr>
      </w:pPr>
      <w:r w:rsidRPr="00DE096C">
        <w:rPr>
          <w:bCs/>
          <w:color w:val="002060"/>
          <w:sz w:val="16"/>
          <w:szCs w:val="16"/>
        </w:rPr>
        <w:t>В начале полета «Ильеи Муромцем» управлял военный летчик X. Ф. Пруссис, но вскоре управление принимает на себя наш любезный хозяин Игорь Иванович. В кают- компанию входит сменившийся штабс-капитан X. Ф. Пруссис. В просторной каюте «Ильи Муромца» мы чувствуем себя великолепно: в каюте светло, уютно, нет гари от работающих моторов; в открытые окна и дверь ка</w:t>
      </w:r>
      <w:r w:rsidRPr="00DE096C">
        <w:rPr>
          <w:bCs/>
          <w:color w:val="002060"/>
          <w:sz w:val="16"/>
          <w:szCs w:val="16"/>
        </w:rPr>
        <w:softHyphen/>
        <w:t>юты можно свободно наблюдать за проходимым про</w:t>
      </w:r>
      <w:r w:rsidRPr="00DE096C">
        <w:rPr>
          <w:bCs/>
          <w:color w:val="002060"/>
          <w:sz w:val="16"/>
          <w:szCs w:val="16"/>
        </w:rPr>
        <w:softHyphen/>
        <w:t>странством. Только мы взлетели, я вышел на верхнюю площадку, т.н. «капитанский мостик». На нем замеча</w:t>
      </w:r>
      <w:r w:rsidRPr="00DE096C">
        <w:rPr>
          <w:bCs/>
          <w:color w:val="002060"/>
          <w:sz w:val="16"/>
          <w:szCs w:val="16"/>
        </w:rPr>
        <w:softHyphen/>
        <w:t>тельно приятно стоять — сильная струя ветра раздувает полы вашего платья; вы дышите свежим, чистым воздухом. С мостика положительно не хочется уходить — так приятно здесь стоять. Вы чувствуете, что стоите на твердой почве, а со всех сторон у вас расстилаются очаровательные виды; вы видите под собой гигантских размеров географическую карту. Вы видите все изгибы Днепра, Почайны и по ним узнаете эти реки.</w:t>
      </w:r>
    </w:p>
    <w:p w14:paraId="19EC4A50" w14:textId="77777777" w:rsidR="005C3561" w:rsidRPr="00DE096C" w:rsidRDefault="005C3561" w:rsidP="00D45A46">
      <w:pPr>
        <w:jc w:val="both"/>
        <w:rPr>
          <w:bCs/>
          <w:color w:val="002060"/>
          <w:sz w:val="16"/>
          <w:szCs w:val="16"/>
        </w:rPr>
      </w:pPr>
      <w:r w:rsidRPr="00DE096C">
        <w:rPr>
          <w:bCs/>
          <w:color w:val="002060"/>
          <w:sz w:val="16"/>
          <w:szCs w:val="16"/>
        </w:rPr>
        <w:t>Я поворачиваюсь в сторону хвоста — позади видно пройденное пространство и незначительные движения рулей поворота; наконец, поворот рулей сделан не</w:t>
      </w:r>
      <w:r w:rsidRPr="00DE096C">
        <w:rPr>
          <w:bCs/>
          <w:color w:val="002060"/>
          <w:sz w:val="16"/>
          <w:szCs w:val="16"/>
        </w:rPr>
        <w:softHyphen/>
        <w:t>сколько энергичнее, «Илья Муромец» слегка накренивается во внутреннюю сторону и мы поворачиваем в город. Пролетаем через аэродром. Внизу виднеются ка</w:t>
      </w:r>
      <w:r w:rsidRPr="00DE096C">
        <w:rPr>
          <w:bCs/>
          <w:color w:val="002060"/>
          <w:sz w:val="16"/>
          <w:szCs w:val="16"/>
        </w:rPr>
        <w:softHyphen/>
        <w:t>жущиеся миниатюрными ангары, аэропланы, люди. Летим на «Илье Муромце» над Подолом. Здесь мы раз</w:t>
      </w:r>
      <w:r w:rsidRPr="00DE096C">
        <w:rPr>
          <w:bCs/>
          <w:color w:val="002060"/>
          <w:sz w:val="16"/>
          <w:szCs w:val="16"/>
        </w:rPr>
        <w:softHyphen/>
        <w:t>личаем каждую улицу, кажущуюся узенькой поло</w:t>
      </w:r>
      <w:r w:rsidRPr="00DE096C">
        <w:rPr>
          <w:bCs/>
          <w:color w:val="002060"/>
          <w:sz w:val="16"/>
          <w:szCs w:val="16"/>
        </w:rPr>
        <w:softHyphen/>
        <w:t xml:space="preserve">ской, каждый дом. </w:t>
      </w:r>
      <w:r w:rsidRPr="00DE096C">
        <w:rPr>
          <w:bCs/>
          <w:color w:val="002060"/>
          <w:sz w:val="16"/>
          <w:szCs w:val="16"/>
        </w:rPr>
        <w:lastRenderedPageBreak/>
        <w:t>Все это выглядит таким нарядным и чистеньким. Затем виден старый город. Софийский Собор восхитителен в лучах заходящего солнца. Вы ясно различаете остановившиеся на улицах трамваи, ав</w:t>
      </w:r>
      <w:r w:rsidRPr="00DE096C">
        <w:rPr>
          <w:bCs/>
          <w:color w:val="002060"/>
          <w:sz w:val="16"/>
          <w:szCs w:val="16"/>
        </w:rPr>
        <w:softHyphen/>
        <w:t>томобили, пешеходов; все это спешит посмотреть на летящего в воздухе «Илью Муромца». Из Купеческого сада много приветствий, направленных в сторону «Ильи Муромца», особенно в восторге были дамы, усиленно махавшие платками.</w:t>
      </w:r>
    </w:p>
    <w:p w14:paraId="18EBA174" w14:textId="77777777" w:rsidR="005C3561" w:rsidRPr="00DE096C" w:rsidRDefault="005C3561" w:rsidP="00D45A46">
      <w:pPr>
        <w:jc w:val="both"/>
        <w:rPr>
          <w:bCs/>
          <w:color w:val="002060"/>
          <w:sz w:val="16"/>
          <w:szCs w:val="16"/>
        </w:rPr>
      </w:pPr>
      <w:r w:rsidRPr="00DE096C">
        <w:rPr>
          <w:bCs/>
          <w:color w:val="002060"/>
          <w:sz w:val="16"/>
          <w:szCs w:val="16"/>
        </w:rPr>
        <w:t>Мы открыли боковую дверь, и все собрались в маленьком коридорчике, чтобы еще лучше наблюдать происходящее в Купеческом саду, а наш спутник — художник производит один за другим ряд фотографических снимков. На Днепре та же картина. Виден идущий из Сводки трохол но он щкг, сл™ описывая жгзаги, видимо, рулевого больше интересует курс, взятый «Ильеи Муромцем», нежели свой собственный. На обратном пути мы снова летим над Днепром и скоро видим Курекевский аэродром, где «Илья Муромец» описывает еще круг и мягко садится на землю, что было совершенно незаметно, несмотря на все старания уловить этот момент, столь сильно заметный при посадке других аппаратов...» (Киевлянин. 1914. № 175.) (24177).</w:t>
      </w:r>
    </w:p>
    <w:p w14:paraId="229D9012" w14:textId="77777777" w:rsidR="005C3561" w:rsidRPr="00DE096C" w:rsidRDefault="005C3561" w:rsidP="00D45A46">
      <w:pPr>
        <w:jc w:val="both"/>
        <w:rPr>
          <w:bCs/>
          <w:color w:val="002060"/>
          <w:sz w:val="16"/>
          <w:szCs w:val="16"/>
          <w:lang w:bidi="en-US"/>
        </w:rPr>
      </w:pPr>
    </w:p>
    <w:p w14:paraId="13B7C2EB"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Внешняя политика:</w:t>
      </w:r>
    </w:p>
    <w:p w14:paraId="0BBD6F31" w14:textId="77777777" w:rsidR="00B67D7C" w:rsidRPr="00DE096C" w:rsidRDefault="00B67D7C" w:rsidP="00D45A46">
      <w:pPr>
        <w:shd w:val="clear" w:color="auto" w:fill="FFFFFF"/>
        <w:jc w:val="both"/>
        <w:rPr>
          <w:bCs/>
          <w:i/>
          <w:color w:val="002060"/>
          <w:sz w:val="16"/>
          <w:szCs w:val="16"/>
        </w:rPr>
      </w:pPr>
    </w:p>
    <w:p w14:paraId="7D5F58A7" w14:textId="77777777" w:rsidR="00B67D7C" w:rsidRPr="00DE096C" w:rsidRDefault="00B67D7C" w:rsidP="00D45A46">
      <w:pPr>
        <w:jc w:val="both"/>
        <w:rPr>
          <w:bCs/>
          <w:color w:val="002060"/>
          <w:sz w:val="16"/>
          <w:szCs w:val="16"/>
        </w:rPr>
      </w:pPr>
      <w:r w:rsidRPr="00DE096C">
        <w:rPr>
          <w:bCs/>
          <w:color w:val="002060"/>
          <w:sz w:val="16"/>
          <w:szCs w:val="16"/>
        </w:rPr>
        <w:t>15 (28) июня 1914 года в Сараево Гаврила Принцип совершил свое печально знаменитое убийство эрцгерцога. Вена одновременно потеряла лидера политических кругов, мирно настроенных к славянству, и получила повод к развязыванию агрессии по отношению к Сербии. Гаврила Принцип был сербом по происхождению и членом подпольной террористической организации Млада Босна, теснейшим образом связанной с английскими политическими кругами. Так или иначе, пользуясь случаем. Вена предъявила Сербии заранее неприемлимый ультиматум. Россия неоднократно предлагала уррегулировать возникшие проблемы мирным путем, но все было тщетно</w:t>
      </w:r>
    </w:p>
    <w:p w14:paraId="4DD9052A" w14:textId="77777777" w:rsidR="00B67D7C" w:rsidRPr="00DE096C" w:rsidRDefault="00B67D7C" w:rsidP="00D45A46">
      <w:pPr>
        <w:shd w:val="clear" w:color="auto" w:fill="FFFFFF"/>
        <w:jc w:val="both"/>
        <w:rPr>
          <w:bCs/>
          <w:i/>
          <w:color w:val="002060"/>
          <w:sz w:val="16"/>
          <w:szCs w:val="16"/>
        </w:rPr>
      </w:pPr>
    </w:p>
    <w:p w14:paraId="6F466091" w14:textId="7926B839" w:rsidR="004918D4" w:rsidRPr="00DE096C" w:rsidRDefault="004918D4" w:rsidP="00D45A46">
      <w:pPr>
        <w:jc w:val="both"/>
        <w:rPr>
          <w:bCs/>
          <w:color w:val="002060"/>
          <w:sz w:val="16"/>
          <w:szCs w:val="16"/>
          <w:lang w:bidi="en-US"/>
        </w:rPr>
      </w:pPr>
      <w:r w:rsidRPr="00DE096C">
        <w:rPr>
          <w:bCs/>
          <w:color w:val="002060"/>
          <w:sz w:val="16"/>
          <w:szCs w:val="16"/>
          <w:lang w:bidi="en-US"/>
        </w:rPr>
        <w:t>15 (28) июня 1914 года австро-венгерский эрцгерцог Франц Фердинанд и его жена были убиты членами сербского националистического тайного общества «Черная рука» в Сараево в Боснии и Герцеговине, что вызвало искру, которая разожгла Первую мировую войну (23525).</w:t>
      </w:r>
    </w:p>
    <w:p w14:paraId="79F39388" w14:textId="77777777" w:rsidR="004918D4" w:rsidRPr="00DE096C" w:rsidRDefault="004918D4" w:rsidP="00D45A46">
      <w:pPr>
        <w:jc w:val="both"/>
        <w:rPr>
          <w:bCs/>
          <w:color w:val="002060"/>
          <w:sz w:val="16"/>
          <w:szCs w:val="16"/>
        </w:rPr>
      </w:pPr>
    </w:p>
    <w:p w14:paraId="6BA628E0"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607B16F4" w14:textId="77777777" w:rsidR="00B67D7C" w:rsidRPr="00DE096C" w:rsidRDefault="00B67D7C" w:rsidP="00D45A46">
      <w:pPr>
        <w:shd w:val="clear" w:color="auto" w:fill="FFFFFF"/>
        <w:jc w:val="both"/>
        <w:rPr>
          <w:bCs/>
          <w:i/>
          <w:color w:val="002060"/>
          <w:sz w:val="16"/>
          <w:szCs w:val="16"/>
        </w:rPr>
      </w:pPr>
    </w:p>
    <w:p w14:paraId="761D648A" w14:textId="492F42FB" w:rsidR="00B67D7C" w:rsidRPr="00DE096C" w:rsidRDefault="00B67D7C" w:rsidP="00D45A46">
      <w:pPr>
        <w:pStyle w:val="a4"/>
        <w:spacing w:before="0" w:after="0"/>
        <w:jc w:val="both"/>
        <w:rPr>
          <w:bCs/>
          <w:color w:val="002060"/>
          <w:sz w:val="16"/>
          <w:szCs w:val="16"/>
        </w:rPr>
      </w:pPr>
      <w:r w:rsidRPr="00DE096C">
        <w:rPr>
          <w:bCs/>
          <w:color w:val="002060"/>
          <w:sz w:val="16"/>
          <w:szCs w:val="16"/>
        </w:rPr>
        <w:t xml:space="preserve">16 </w:t>
      </w:r>
      <w:r w:rsidR="00EE196A" w:rsidRPr="00DE096C">
        <w:rPr>
          <w:bCs/>
          <w:color w:val="002060"/>
          <w:sz w:val="16"/>
          <w:szCs w:val="16"/>
        </w:rPr>
        <w:t xml:space="preserve">(29) </w:t>
      </w:r>
      <w:r w:rsidRPr="00DE096C">
        <w:rPr>
          <w:bCs/>
          <w:color w:val="002060"/>
          <w:sz w:val="16"/>
          <w:szCs w:val="16"/>
        </w:rPr>
        <w:t>июня 1914 г. из-за угро</w:t>
      </w:r>
      <w:r w:rsidRPr="00DE096C">
        <w:rPr>
          <w:bCs/>
          <w:color w:val="002060"/>
          <w:sz w:val="16"/>
          <w:szCs w:val="16"/>
        </w:rPr>
        <w:softHyphen/>
        <w:t>зы войны, решили перевести Либавскую воздушную станцию на о. Эзель. На миноносцах «Искусный» и «Прозорливый» вывезли авиаци</w:t>
      </w:r>
      <w:r w:rsidRPr="00DE096C">
        <w:rPr>
          <w:bCs/>
          <w:color w:val="002060"/>
          <w:sz w:val="16"/>
          <w:szCs w:val="16"/>
        </w:rPr>
        <w:softHyphen/>
        <w:t>онное имущество, летчики Щербачев, Липгардт, Литвинов и Кульнев перегнали самолёты на о. Эзель. Экипаж самолёта «Илья Муромец» получил приказ перелететь в Кильконд. Однако из-за встречного вет</w:t>
      </w:r>
      <w:r w:rsidRPr="00DE096C">
        <w:rPr>
          <w:bCs/>
          <w:color w:val="002060"/>
          <w:sz w:val="16"/>
          <w:szCs w:val="16"/>
        </w:rPr>
        <w:softHyphen/>
        <w:t>ра по маршруту полёта, расход топлива превысил расчётный и пи</w:t>
      </w:r>
      <w:r w:rsidRPr="00DE096C">
        <w:rPr>
          <w:bCs/>
          <w:color w:val="002060"/>
          <w:sz w:val="16"/>
          <w:szCs w:val="16"/>
        </w:rPr>
        <w:softHyphen/>
        <w:t>лотировавший самолёт лейтенант Лавров вынужден был произвести вынужденную посадку в бухте Ка</w:t>
      </w:r>
      <w:r w:rsidRPr="00DE096C">
        <w:rPr>
          <w:bCs/>
          <w:color w:val="002060"/>
          <w:sz w:val="16"/>
          <w:szCs w:val="16"/>
        </w:rPr>
        <w:softHyphen/>
        <w:t>рал на о. Эзель. Здесь его и заста</w:t>
      </w:r>
      <w:r w:rsidRPr="00DE096C">
        <w:rPr>
          <w:bCs/>
          <w:color w:val="002060"/>
          <w:sz w:val="16"/>
          <w:szCs w:val="16"/>
        </w:rPr>
        <w:softHyphen/>
        <w:t>ло известие о начале войны. Из записи в вахтенном журнале 2-й морской станции в Кильконде сле</w:t>
      </w:r>
      <w:r w:rsidRPr="00DE096C">
        <w:rPr>
          <w:bCs/>
          <w:color w:val="002060"/>
          <w:sz w:val="16"/>
          <w:szCs w:val="16"/>
        </w:rPr>
        <w:softHyphen/>
        <w:t>дует: «Аппарат «Илья Муромец» под командою лейтенанта Лаврова вышел, руля по воде, из бухты Ка</w:t>
      </w:r>
      <w:r w:rsidRPr="00DE096C">
        <w:rPr>
          <w:bCs/>
          <w:color w:val="002060"/>
          <w:sz w:val="16"/>
          <w:szCs w:val="16"/>
        </w:rPr>
        <w:softHyphen/>
        <w:t>рал, испугавшись миноносцев не</w:t>
      </w:r>
      <w:r w:rsidRPr="00DE096C">
        <w:rPr>
          <w:bCs/>
          <w:color w:val="002060"/>
          <w:sz w:val="16"/>
          <w:szCs w:val="16"/>
        </w:rPr>
        <w:softHyphen/>
        <w:t>приятеля так как уйти за неисправ</w:t>
      </w:r>
      <w:r w:rsidRPr="00DE096C">
        <w:rPr>
          <w:bCs/>
          <w:color w:val="002060"/>
          <w:sz w:val="16"/>
          <w:szCs w:val="16"/>
        </w:rPr>
        <w:softHyphen/>
        <w:t>ностью моторов не мог, открыли бак с бензином, подожгли, а поплавки изпорубили. Люди вернулись на рыбацкой шлюпке». Лавров принял приближающиеся посыльные суда Дирекции маяков и лоций, снимаю</w:t>
      </w:r>
      <w:r w:rsidRPr="00DE096C">
        <w:rPr>
          <w:bCs/>
          <w:color w:val="002060"/>
          <w:sz w:val="16"/>
          <w:szCs w:val="16"/>
        </w:rPr>
        <w:softHyphen/>
        <w:t>щие вехи за немецкие миноносцы. Лавров отправился в Ревель и едва избежал вполне заслуженного суда. Спасло его заступничество капита</w:t>
      </w:r>
      <w:r w:rsidRPr="00DE096C">
        <w:rPr>
          <w:bCs/>
          <w:color w:val="002060"/>
          <w:sz w:val="16"/>
          <w:szCs w:val="16"/>
        </w:rPr>
        <w:softHyphen/>
        <w:t>на 2-го ранга Б.П.Дудорова и дру</w:t>
      </w:r>
      <w:r w:rsidRPr="00DE096C">
        <w:rPr>
          <w:bCs/>
          <w:color w:val="002060"/>
          <w:sz w:val="16"/>
          <w:szCs w:val="16"/>
        </w:rPr>
        <w:softHyphen/>
        <w:t>гих офицеров, а флотское руковод</w:t>
      </w:r>
      <w:r w:rsidRPr="00DE096C">
        <w:rPr>
          <w:bCs/>
          <w:color w:val="002060"/>
          <w:sz w:val="16"/>
          <w:szCs w:val="16"/>
        </w:rPr>
        <w:softHyphen/>
        <w:t>ство попросило Морской генераль</w:t>
      </w:r>
      <w:r w:rsidRPr="00DE096C">
        <w:rPr>
          <w:bCs/>
          <w:color w:val="002060"/>
          <w:sz w:val="16"/>
          <w:szCs w:val="16"/>
        </w:rPr>
        <w:softHyphen/>
        <w:t>ный штаб выделить дирижабль в ка</w:t>
      </w:r>
      <w:r w:rsidRPr="00DE096C">
        <w:rPr>
          <w:bCs/>
          <w:color w:val="002060"/>
          <w:sz w:val="16"/>
          <w:szCs w:val="16"/>
        </w:rPr>
        <w:softHyphen/>
        <w:t>честве компенсации за уничтоженный самолёт. Их просьбу удовлет</w:t>
      </w:r>
      <w:r w:rsidRPr="00DE096C">
        <w:rPr>
          <w:bCs/>
          <w:color w:val="002060"/>
          <w:sz w:val="16"/>
          <w:szCs w:val="16"/>
        </w:rPr>
        <w:softHyphen/>
        <w:t>ворили, но военное ведомство пе</w:t>
      </w:r>
      <w:r w:rsidRPr="00DE096C">
        <w:rPr>
          <w:bCs/>
          <w:color w:val="002060"/>
          <w:sz w:val="16"/>
          <w:szCs w:val="16"/>
        </w:rPr>
        <w:softHyphen/>
        <w:t>редало не дирижабль, а старый уп</w:t>
      </w:r>
      <w:r w:rsidRPr="00DE096C">
        <w:rPr>
          <w:bCs/>
          <w:color w:val="002060"/>
          <w:sz w:val="16"/>
          <w:szCs w:val="16"/>
        </w:rPr>
        <w:softHyphen/>
        <w:t>равляемый аэростат. Балтийцы не</w:t>
      </w:r>
      <w:r w:rsidRPr="00DE096C">
        <w:rPr>
          <w:bCs/>
          <w:color w:val="002060"/>
          <w:sz w:val="16"/>
          <w:szCs w:val="16"/>
        </w:rPr>
        <w:softHyphen/>
        <w:t>которое время с ним помучились. Имелись основание полагать, что авторство идеи получить дирижабль принадлежит пытавшемуся реаби</w:t>
      </w:r>
      <w:r w:rsidRPr="00DE096C">
        <w:rPr>
          <w:bCs/>
          <w:color w:val="002060"/>
          <w:sz w:val="16"/>
          <w:szCs w:val="16"/>
        </w:rPr>
        <w:softHyphen/>
        <w:t>литироваться Лаврову. В конечном итоге почли за благо для упрежде</w:t>
      </w:r>
      <w:r w:rsidRPr="00DE096C">
        <w:rPr>
          <w:bCs/>
          <w:color w:val="002060"/>
          <w:sz w:val="16"/>
          <w:szCs w:val="16"/>
        </w:rPr>
        <w:softHyphen/>
        <w:t>ния обнаружения морских объектов поднимать в окрестностях Ревеля змейковый аэростат, выделяемый военным ведомством. Со временем, по-видимому, наступило озарение и понимание, что многомоторный самолёт способен решать задачи над морем, действуя с береговых аэродромов более эффективно, чем управляемый аэростат или дири</w:t>
      </w:r>
      <w:r w:rsidRPr="00DE096C">
        <w:rPr>
          <w:bCs/>
          <w:color w:val="002060"/>
          <w:sz w:val="16"/>
          <w:szCs w:val="16"/>
        </w:rPr>
        <w:softHyphen/>
        <w:t>жабль. Но самолётов М-22 флот так и не получил.</w:t>
      </w:r>
    </w:p>
    <w:p w14:paraId="60A70A5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Из приведенного следует, что сотрудничество с РБВЗ практичес</w:t>
      </w:r>
      <w:r w:rsidRPr="00DE096C">
        <w:rPr>
          <w:bCs/>
          <w:color w:val="002060"/>
          <w:sz w:val="16"/>
          <w:szCs w:val="16"/>
        </w:rPr>
        <w:softHyphen/>
        <w:t>ки ничего морской авиации не дало. Полученные пять самолетов С-Ю «Гидро» оказались недоработанны</w:t>
      </w:r>
      <w:r w:rsidRPr="00DE096C">
        <w:rPr>
          <w:bCs/>
          <w:color w:val="002060"/>
          <w:sz w:val="16"/>
          <w:szCs w:val="16"/>
        </w:rPr>
        <w:softHyphen/>
        <w:t>ми и к 1916 г. в боевом составе уже ;не числились. Впоследствии И.И. Сикорский безуспешно пытался оборудовать поплавками самолеты С-16 и С-20. В то же время (в 1911 - 1913 гг.) для морской авиации за</w:t>
      </w:r>
      <w:r w:rsidRPr="00DE096C">
        <w:rPr>
          <w:bCs/>
          <w:color w:val="002060"/>
          <w:sz w:val="16"/>
          <w:szCs w:val="16"/>
        </w:rPr>
        <w:softHyphen/>
        <w:t>купались самолеты французского и американского производства: поплавковые «Вуазен-Канар», «Моран», «Фарман», «Кертисс-Р» и ле</w:t>
      </w:r>
      <w:r w:rsidRPr="00DE096C">
        <w:rPr>
          <w:bCs/>
          <w:color w:val="002060"/>
          <w:sz w:val="16"/>
          <w:szCs w:val="16"/>
        </w:rPr>
        <w:softHyphen/>
        <w:t>тающие лодки «Левек», «Кертисс-К» и «Р.В.А.-С», (последний, впослед</w:t>
      </w:r>
      <w:r w:rsidRPr="00DE096C">
        <w:rPr>
          <w:bCs/>
          <w:color w:val="002060"/>
          <w:sz w:val="16"/>
          <w:szCs w:val="16"/>
        </w:rPr>
        <w:softHyphen/>
        <w:t>ствии выпускался на заводе Лебе</w:t>
      </w:r>
      <w:r w:rsidRPr="00DE096C">
        <w:rPr>
          <w:bCs/>
          <w:color w:val="002060"/>
          <w:sz w:val="16"/>
          <w:szCs w:val="16"/>
        </w:rPr>
        <w:softHyphen/>
        <w:t>дева под обозначением Ф.Б.А.). Вместе с тем поступали и сухопут</w:t>
      </w:r>
      <w:r w:rsidRPr="00DE096C">
        <w:rPr>
          <w:bCs/>
          <w:color w:val="002060"/>
          <w:sz w:val="16"/>
          <w:szCs w:val="16"/>
        </w:rPr>
        <w:softHyphen/>
        <w:t>ные самолеты, часть которых с усердием, заслуживающим лучшего применения, устанавливали на по</w:t>
      </w:r>
      <w:r w:rsidRPr="00DE096C">
        <w:rPr>
          <w:bCs/>
          <w:color w:val="002060"/>
          <w:sz w:val="16"/>
          <w:szCs w:val="16"/>
        </w:rPr>
        <w:softHyphen/>
        <w:t>плавки (11759).</w:t>
      </w:r>
    </w:p>
    <w:p w14:paraId="0345013B" w14:textId="77777777" w:rsidR="00B67D7C" w:rsidRPr="00DE096C" w:rsidRDefault="00B67D7C" w:rsidP="00D45A46">
      <w:pPr>
        <w:shd w:val="clear" w:color="auto" w:fill="FFFFFF"/>
        <w:jc w:val="both"/>
        <w:rPr>
          <w:bCs/>
          <w:color w:val="002060"/>
          <w:sz w:val="16"/>
          <w:szCs w:val="16"/>
        </w:rPr>
      </w:pPr>
    </w:p>
    <w:p w14:paraId="094CE271" w14:textId="57646165" w:rsidR="00263E55" w:rsidRPr="00DE096C" w:rsidRDefault="00263E55" w:rsidP="00D45A46">
      <w:pPr>
        <w:jc w:val="both"/>
        <w:rPr>
          <w:bCs/>
          <w:color w:val="002060"/>
          <w:sz w:val="16"/>
          <w:szCs w:val="16"/>
        </w:rPr>
      </w:pPr>
      <w:r w:rsidRPr="00DE096C">
        <w:rPr>
          <w:bCs/>
          <w:color w:val="002060"/>
          <w:sz w:val="16"/>
          <w:szCs w:val="16"/>
        </w:rPr>
        <w:t xml:space="preserve">16 </w:t>
      </w:r>
      <w:r w:rsidR="00A22F28" w:rsidRPr="00DE096C">
        <w:rPr>
          <w:bCs/>
          <w:color w:val="002060"/>
          <w:sz w:val="16"/>
          <w:szCs w:val="16"/>
        </w:rPr>
        <w:t xml:space="preserve">(29) </w:t>
      </w:r>
      <w:r w:rsidRPr="00DE096C">
        <w:rPr>
          <w:bCs/>
          <w:color w:val="002060"/>
          <w:sz w:val="16"/>
          <w:szCs w:val="16"/>
        </w:rPr>
        <w:t>июня в 1914 году день образования ГУП «Завод имени В.Я.Климова»</w:t>
      </w:r>
    </w:p>
    <w:p w14:paraId="6597D0C2" w14:textId="77777777" w:rsidR="00263E55" w:rsidRPr="00DE096C" w:rsidRDefault="00263E55" w:rsidP="00D45A46">
      <w:pPr>
        <w:jc w:val="both"/>
        <w:rPr>
          <w:bCs/>
          <w:color w:val="002060"/>
          <w:sz w:val="16"/>
          <w:szCs w:val="16"/>
        </w:rPr>
      </w:pPr>
    </w:p>
    <w:p w14:paraId="0C308CCB"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w:t>
      </w:r>
    </w:p>
    <w:p w14:paraId="3D9608A2" w14:textId="77777777" w:rsidR="00B67D7C" w:rsidRPr="00DE096C" w:rsidRDefault="00B67D7C" w:rsidP="00D45A46">
      <w:pPr>
        <w:shd w:val="clear" w:color="auto" w:fill="FFFFFF"/>
        <w:jc w:val="both"/>
        <w:rPr>
          <w:bCs/>
          <w:i/>
          <w:color w:val="002060"/>
          <w:sz w:val="16"/>
          <w:szCs w:val="16"/>
        </w:rPr>
      </w:pPr>
    </w:p>
    <w:p w14:paraId="3B2332FE" w14:textId="77777777" w:rsidR="00A22F28" w:rsidRPr="00DE096C" w:rsidRDefault="00A22F28" w:rsidP="00D45A46">
      <w:pPr>
        <w:shd w:val="clear" w:color="auto" w:fill="FFFFFF"/>
        <w:jc w:val="both"/>
        <w:rPr>
          <w:bCs/>
          <w:color w:val="002060"/>
          <w:sz w:val="16"/>
          <w:szCs w:val="16"/>
        </w:rPr>
      </w:pPr>
      <w:r w:rsidRPr="00DE096C">
        <w:rPr>
          <w:bCs/>
          <w:color w:val="002060"/>
          <w:sz w:val="16"/>
          <w:szCs w:val="16"/>
        </w:rPr>
        <w:t>16-17 (29-30) июня 1914 перелет Петербург—Орша—Копысь-Киев совершили И. И. Сикорский, X. Ф. Пруссис, Г. И. Лавров и В. С. Панасюк на са</w:t>
      </w:r>
      <w:r w:rsidRPr="00DE096C">
        <w:rPr>
          <w:bCs/>
          <w:color w:val="002060"/>
          <w:sz w:val="16"/>
          <w:szCs w:val="16"/>
        </w:rPr>
        <w:softHyphen/>
        <w:t>молете «Илья Муромец» (1280 км за 12 ч 50 мин летного времени). 28 июня обратный перелет (без Пруссиса) Киев- -Новосоколь-ники—Петербург (1200 км за 13 ч 5 мин летного времени). Уста</w:t>
      </w:r>
      <w:r w:rsidRPr="00DE096C">
        <w:rPr>
          <w:bCs/>
          <w:color w:val="002060"/>
          <w:sz w:val="16"/>
          <w:szCs w:val="16"/>
        </w:rPr>
        <w:softHyphen/>
        <w:t>новлены мировые рекорды дальности с 2 и 3 пассажирами (1137).</w:t>
      </w:r>
    </w:p>
    <w:p w14:paraId="50680234" w14:textId="77777777" w:rsidR="00A22F28" w:rsidRPr="00DE096C" w:rsidRDefault="00A22F28" w:rsidP="00D45A46">
      <w:pPr>
        <w:shd w:val="clear" w:color="auto" w:fill="FFFFFF"/>
        <w:jc w:val="both"/>
        <w:rPr>
          <w:bCs/>
          <w:color w:val="002060"/>
          <w:sz w:val="16"/>
          <w:szCs w:val="16"/>
        </w:rPr>
      </w:pPr>
    </w:p>
    <w:p w14:paraId="3FD6143B" w14:textId="54531DF9" w:rsidR="00263E55" w:rsidRPr="00DE096C" w:rsidRDefault="00263E55" w:rsidP="00D45A46">
      <w:pPr>
        <w:jc w:val="both"/>
        <w:rPr>
          <w:bCs/>
          <w:color w:val="002060"/>
          <w:sz w:val="16"/>
          <w:szCs w:val="16"/>
        </w:rPr>
      </w:pPr>
      <w:r w:rsidRPr="00DE096C">
        <w:rPr>
          <w:bCs/>
          <w:color w:val="002060"/>
          <w:sz w:val="16"/>
          <w:szCs w:val="16"/>
        </w:rPr>
        <w:t xml:space="preserve">16 </w:t>
      </w:r>
      <w:r w:rsidR="00A22F28" w:rsidRPr="00DE096C">
        <w:rPr>
          <w:bCs/>
          <w:color w:val="002060"/>
          <w:sz w:val="16"/>
          <w:szCs w:val="16"/>
        </w:rPr>
        <w:t xml:space="preserve">(29) </w:t>
      </w:r>
      <w:r w:rsidRPr="00DE096C">
        <w:rPr>
          <w:bCs/>
          <w:color w:val="002060"/>
          <w:sz w:val="16"/>
          <w:szCs w:val="16"/>
        </w:rPr>
        <w:t>июня в 1914 году начал</w:t>
      </w:r>
      <w:r w:rsidR="00A22F28" w:rsidRPr="00DE096C">
        <w:rPr>
          <w:bCs/>
          <w:color w:val="002060"/>
          <w:sz w:val="16"/>
          <w:szCs w:val="16"/>
        </w:rPr>
        <w:t>ся</w:t>
      </w:r>
      <w:r w:rsidRPr="00DE096C">
        <w:rPr>
          <w:bCs/>
          <w:color w:val="002060"/>
          <w:sz w:val="16"/>
          <w:szCs w:val="16"/>
        </w:rPr>
        <w:t xml:space="preserve"> перелет Санкт-Петербург - Орша - Киев и обратно И.И.Сикорского на </w:t>
      </w:r>
      <w:hyperlink r:id="rId26" w:tgtFrame="_blank" w:history="1">
        <w:r w:rsidRPr="00DE096C">
          <w:rPr>
            <w:bCs/>
            <w:color w:val="002060"/>
            <w:sz w:val="16"/>
            <w:szCs w:val="16"/>
          </w:rPr>
          <w:t xml:space="preserve">«Илье Муромце». </w:t>
        </w:r>
      </w:hyperlink>
    </w:p>
    <w:p w14:paraId="12D2EC0F" w14:textId="77777777" w:rsidR="00263E55" w:rsidRPr="00DE096C" w:rsidRDefault="00263E55" w:rsidP="00D45A46">
      <w:pPr>
        <w:jc w:val="both"/>
        <w:rPr>
          <w:bCs/>
          <w:color w:val="002060"/>
          <w:sz w:val="16"/>
          <w:szCs w:val="16"/>
        </w:rPr>
      </w:pPr>
    </w:p>
    <w:p w14:paraId="5EF22D07" w14:textId="41296D1E" w:rsidR="00B67D7C" w:rsidRPr="00DE096C" w:rsidRDefault="00B67D7C" w:rsidP="00D45A46">
      <w:pPr>
        <w:shd w:val="clear" w:color="auto" w:fill="FFFFFF"/>
        <w:jc w:val="both"/>
        <w:rPr>
          <w:bCs/>
          <w:color w:val="002060"/>
          <w:sz w:val="16"/>
          <w:szCs w:val="16"/>
        </w:rPr>
      </w:pPr>
      <w:r w:rsidRPr="00DE096C">
        <w:rPr>
          <w:bCs/>
          <w:color w:val="002060"/>
          <w:sz w:val="16"/>
          <w:szCs w:val="16"/>
        </w:rPr>
        <w:t>16-17 июня 1914</w:t>
      </w:r>
      <w:r w:rsidR="00A22F28" w:rsidRPr="00DE096C">
        <w:rPr>
          <w:bCs/>
          <w:color w:val="002060"/>
          <w:sz w:val="16"/>
          <w:szCs w:val="16"/>
        </w:rPr>
        <w:t xml:space="preserve"> </w:t>
      </w:r>
      <w:r w:rsidRPr="00DE096C">
        <w:rPr>
          <w:bCs/>
          <w:color w:val="002060"/>
          <w:sz w:val="16"/>
          <w:szCs w:val="16"/>
        </w:rPr>
        <w:t xml:space="preserve">г. Перелет Петербург-Орша-Копысь-Киев совершили И. И. Сикорский, </w:t>
      </w:r>
      <w:r w:rsidRPr="00DE096C">
        <w:rPr>
          <w:bCs/>
          <w:color w:val="002060"/>
          <w:sz w:val="16"/>
          <w:szCs w:val="16"/>
          <w:lang w:val="en-US"/>
        </w:rPr>
        <w:t>X</w:t>
      </w:r>
      <w:r w:rsidRPr="00DE096C">
        <w:rPr>
          <w:bCs/>
          <w:color w:val="002060"/>
          <w:sz w:val="16"/>
          <w:szCs w:val="16"/>
        </w:rPr>
        <w:t>. Ф. Пруссис, Г. И. Лавров и В. С. Панасюк на самолёте «Илья Муромец» (1280 км за 12 ч 50 мин летного времени). 28 июня обратный перелет (без Пруссиса) Киев-Новосокольники-Петербург (1200 км за 13 ч 5 мин летного времени). Установлены мировые рекорды дальности с 2 и 3 пассажирами (11425).</w:t>
      </w:r>
    </w:p>
    <w:p w14:paraId="0BB63C77" w14:textId="77777777" w:rsidR="00B67D7C" w:rsidRPr="00DE096C" w:rsidRDefault="00B67D7C" w:rsidP="00D45A46">
      <w:pPr>
        <w:shd w:val="clear" w:color="auto" w:fill="FFFFFF"/>
        <w:jc w:val="both"/>
        <w:rPr>
          <w:bCs/>
          <w:color w:val="002060"/>
          <w:sz w:val="16"/>
          <w:szCs w:val="16"/>
        </w:rPr>
      </w:pPr>
    </w:p>
    <w:p w14:paraId="693A4951" w14:textId="3F5B5442"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16 (29) июня 1914 </w:t>
      </w:r>
      <w:r w:rsidR="00A22F28" w:rsidRPr="00DE096C">
        <w:rPr>
          <w:bCs/>
          <w:color w:val="002060"/>
          <w:sz w:val="16"/>
          <w:szCs w:val="16"/>
        </w:rPr>
        <w:t xml:space="preserve">г. </w:t>
      </w:r>
      <w:r w:rsidRPr="00DE096C">
        <w:rPr>
          <w:bCs/>
          <w:color w:val="002060"/>
          <w:sz w:val="16"/>
          <w:szCs w:val="16"/>
        </w:rPr>
        <w:t>И.И.Сикорский, Х.Ф.Пруссис, Г.И.Лавров и механик В.С.Панасюк вылетели на самолете "Илья Муромец" из Петербурга в Киев. За 8 часов 3 минуты беспрерывного полета они долетели до Орши, покрыв расстояние около 700 км. В дальнейшем полете они сделали вынуаденную посадку у станции Копысь и утром 17-го прилетели в Киев. Это был выдающийся перелет в истории русской авиации, во время которого были установлены всероссийские рекорды дальности и продолжительности полета (''Воздухоплаватель</w:t>
      </w:r>
      <w:r w:rsidRPr="00DE096C">
        <w:rPr>
          <w:bCs/>
          <w:color w:val="002060"/>
          <w:sz w:val="16"/>
          <w:szCs w:val="16"/>
          <w:vertAlign w:val="superscript"/>
        </w:rPr>
        <w:t>15</w:t>
      </w:r>
      <w:r w:rsidRPr="00DE096C">
        <w:rPr>
          <w:bCs/>
          <w:color w:val="002060"/>
          <w:sz w:val="16"/>
          <w:szCs w:val="16"/>
        </w:rPr>
        <w:t>. 1914, № 7, стр.496; "Русский инвалид", 1914 г., 5 июля).</w:t>
      </w:r>
    </w:p>
    <w:p w14:paraId="7C1B8914" w14:textId="77777777" w:rsidR="00B67D7C" w:rsidRPr="00DE096C" w:rsidRDefault="00B67D7C" w:rsidP="00D45A46">
      <w:pPr>
        <w:shd w:val="clear" w:color="auto" w:fill="FFFFFF"/>
        <w:jc w:val="both"/>
        <w:rPr>
          <w:bCs/>
          <w:color w:val="002060"/>
          <w:sz w:val="16"/>
          <w:szCs w:val="16"/>
        </w:rPr>
      </w:pPr>
    </w:p>
    <w:p w14:paraId="1D4A32B7" w14:textId="77777777" w:rsidR="0026718D" w:rsidRPr="00DE096C" w:rsidRDefault="0026718D" w:rsidP="00D45A46">
      <w:pPr>
        <w:jc w:val="both"/>
        <w:rPr>
          <w:bCs/>
          <w:color w:val="002060"/>
          <w:sz w:val="16"/>
          <w:szCs w:val="16"/>
        </w:rPr>
      </w:pPr>
      <w:r w:rsidRPr="00DE096C">
        <w:rPr>
          <w:bCs/>
          <w:color w:val="002060"/>
          <w:sz w:val="16"/>
          <w:szCs w:val="16"/>
        </w:rPr>
        <w:t>16 (29) июня 1914 г. летчики И.И.Сикорский, Х.Ф.Пруссис, Г.И.Лавров и механик В.С.Панасюк вылетели на самолете "Илья Муромец" из Петербурга в Ки</w:t>
      </w:r>
      <w:r w:rsidRPr="00DE096C">
        <w:rPr>
          <w:bCs/>
          <w:color w:val="002060"/>
          <w:sz w:val="16"/>
          <w:szCs w:val="16"/>
        </w:rPr>
        <w:softHyphen/>
        <w:t>ев. За 8 час. 3 минуты беспрерывного .полета они долетели до Орши, покрыв расстояние около 700 км. В дальнейшем полете они сделали вынужденнную посадку у ст. Лопысь и утром 17-го прилетели в Киев. Это был вы— дающийся перелет в истории русской авиации, во время которого были установлены всероссийские рекорды дальности и продолжительности полета.</w:t>
      </w:r>
    </w:p>
    <w:p w14:paraId="4288642E" w14:textId="0860B605" w:rsidR="0026718D" w:rsidRPr="00DE096C" w:rsidRDefault="0026718D" w:rsidP="00D45A46">
      <w:pPr>
        <w:jc w:val="both"/>
        <w:rPr>
          <w:bCs/>
          <w:color w:val="002060"/>
          <w:sz w:val="16"/>
          <w:szCs w:val="16"/>
        </w:rPr>
      </w:pPr>
      <w:r w:rsidRPr="00DE096C">
        <w:rPr>
          <w:bCs/>
          <w:color w:val="002060"/>
          <w:sz w:val="16"/>
          <w:szCs w:val="16"/>
        </w:rPr>
        <w:t>/"Воздухоплаватель", 1914 № 7, стр.496; "Русский инвалид" за 5.7.14/ (23320).</w:t>
      </w:r>
    </w:p>
    <w:p w14:paraId="0578206A" w14:textId="77777777" w:rsidR="0026718D" w:rsidRPr="00DE096C" w:rsidRDefault="0026718D" w:rsidP="00D45A46">
      <w:pPr>
        <w:jc w:val="both"/>
        <w:rPr>
          <w:bCs/>
          <w:color w:val="002060"/>
          <w:sz w:val="16"/>
          <w:szCs w:val="16"/>
        </w:rPr>
      </w:pPr>
    </w:p>
    <w:p w14:paraId="4766D09B" w14:textId="792114B6" w:rsidR="00B67D7C" w:rsidRPr="00DE096C" w:rsidRDefault="00B67D7C" w:rsidP="00D45A46">
      <w:pPr>
        <w:jc w:val="both"/>
        <w:rPr>
          <w:bCs/>
          <w:color w:val="002060"/>
          <w:sz w:val="16"/>
          <w:szCs w:val="16"/>
        </w:rPr>
      </w:pPr>
      <w:r w:rsidRPr="00DE096C">
        <w:rPr>
          <w:bCs/>
          <w:color w:val="002060"/>
          <w:sz w:val="16"/>
          <w:szCs w:val="16"/>
        </w:rPr>
        <w:t xml:space="preserve">На 16 (29) июня 1914 </w:t>
      </w:r>
      <w:r w:rsidR="00A22F28" w:rsidRPr="00DE096C">
        <w:rPr>
          <w:bCs/>
          <w:color w:val="002060"/>
          <w:sz w:val="16"/>
          <w:szCs w:val="16"/>
        </w:rPr>
        <w:t xml:space="preserve">г. </w:t>
      </w:r>
      <w:r w:rsidRPr="00DE096C">
        <w:rPr>
          <w:bCs/>
          <w:color w:val="002060"/>
          <w:sz w:val="16"/>
          <w:szCs w:val="16"/>
        </w:rPr>
        <w:t>был назначен вылет в Киев. Пока Сикорский готовился к перелету, который до времени не афишировался, в Киеве руководство КОВ, восстанавливая справедливость, вышло с интересным предложением. Дело в том, что знаменитый, теперь всемирно известный конструктор до сих пор не имел диплома инженера. Он оказался настолько поглощенным и загруженным своей работой, что получение попутно диплома было совершенно не реально. Ведь программа подготовки инженера в России была восьми насыщенной. Студенты инженерно-механических факультетов первые три года изучали многие общетехнические дисциплины. Особое внимание уделялось механике, математике, физике, деталям машин, сопротивлению материалов, строительной механике, гидра и лике, электротехнике и др. Например, чтобы получить зачет, студент должен был на семинаре у преподавателя решить полтора десятка трудных задач и, по сути дела, сдать три экзамена по трем разделам курса. О том, какое внимание уделялось чертежной подготовке, говорит тот факт, что только курсовой проект по каждой дисциплине включал, как правило, более десяти листов ватмана, причем чертежи выполнялись тушью. На четвертом году начиналось изучение специальных предметов. С этого времени многие студенты уже совмещали учебу с работой на предприятии. Дипломному же проекту придавалось особое значение. Он включал в себя, например, 30-40 листов ватмана. В целом на проект при всех благоприятных условиях уходило в среднем полтора года. При столь напряженной учебе закончить институт в срок удавалось очень немногим. Конечно, программа подготовки российских инженеров была обширна и глубока. Зато и уровень значительно превосходил иностранный. Кстати, далеко не все иностранные дипломы признавались в России. Забегая вперед, можно заметить, что русские инженеры на Западе котировались настолько высоко, что в 20-е годы в Америке некоторые предприниматели, финансировавшие новые предприятия, ставили непременным условием, чтобы половина инженеров была из русских эмигрантов. Однако званием русского инженера дорожили и в России. Вот поэтому киевляне, чувствуя некоторую вину перед своим земляком, который на практике блестяще реализовал свои глубокие инженерные знания, и попытались восстановить статус-кво. "Ввиду неоспоримых заслуг пилота-авиатора и конструктора ..., имеющих громадное государственное значение в деле воздушной обороны страны, совет КОВ, постоянным членом коего Игорь Иванович состоит, на основании заключения научно-технического комитета того же общества, вошел в Совет СПб ПИ с ходатайством в присуждении Игорю Ивановичу звания инженера ... " (Киевлянин. 1914. № 162. ) (11294).</w:t>
      </w:r>
    </w:p>
    <w:p w14:paraId="4E5DAC64" w14:textId="77777777" w:rsidR="00B67D7C" w:rsidRPr="00DE096C" w:rsidRDefault="00B67D7C" w:rsidP="00D45A46">
      <w:pPr>
        <w:jc w:val="both"/>
        <w:rPr>
          <w:bCs/>
          <w:color w:val="002060"/>
          <w:sz w:val="16"/>
          <w:szCs w:val="16"/>
        </w:rPr>
      </w:pPr>
    </w:p>
    <w:p w14:paraId="7AAB493F" w14:textId="58BABCA5" w:rsidR="00B67D7C" w:rsidRPr="00DE096C" w:rsidRDefault="00A22F28" w:rsidP="00D45A46">
      <w:pPr>
        <w:jc w:val="both"/>
        <w:rPr>
          <w:bCs/>
          <w:color w:val="002060"/>
          <w:sz w:val="16"/>
          <w:szCs w:val="16"/>
        </w:rPr>
      </w:pPr>
      <w:r w:rsidRPr="00DE096C">
        <w:rPr>
          <w:bCs/>
          <w:color w:val="002060"/>
          <w:sz w:val="16"/>
          <w:szCs w:val="16"/>
        </w:rPr>
        <w:lastRenderedPageBreak/>
        <w:t>16-17 (29-30) июня 1914 п</w:t>
      </w:r>
      <w:r w:rsidR="00B67D7C" w:rsidRPr="00DE096C">
        <w:rPr>
          <w:bCs/>
          <w:color w:val="002060"/>
          <w:sz w:val="16"/>
          <w:szCs w:val="16"/>
        </w:rPr>
        <w:t xml:space="preserve">осле целого ряда пробных полетов на продолжительность и грузоподъемность И. И. Сикорский решил наконец, когда у него явилась полная уверенность в успехе, совершить большой перелет с пассажирами по маршруту Петроград — Киев. </w:t>
      </w:r>
    </w:p>
    <w:p w14:paraId="1825FCAF" w14:textId="77777777" w:rsidR="00B67D7C" w:rsidRPr="00DE096C" w:rsidRDefault="00B67D7C" w:rsidP="00D45A46">
      <w:pPr>
        <w:jc w:val="both"/>
        <w:rPr>
          <w:bCs/>
          <w:color w:val="002060"/>
          <w:sz w:val="16"/>
          <w:szCs w:val="16"/>
        </w:rPr>
      </w:pPr>
      <w:r w:rsidRPr="00DE096C">
        <w:rPr>
          <w:bCs/>
          <w:color w:val="002060"/>
          <w:sz w:val="16"/>
          <w:szCs w:val="16"/>
        </w:rPr>
        <w:t xml:space="preserve">Во что рассказывал И. И. Сикорский о своем воздушном путешествии: </w:t>
      </w:r>
    </w:p>
    <w:p w14:paraId="045B96BA" w14:textId="77777777" w:rsidR="00B67D7C" w:rsidRPr="00DE096C" w:rsidRDefault="00B67D7C" w:rsidP="00D45A46">
      <w:pPr>
        <w:jc w:val="both"/>
        <w:rPr>
          <w:bCs/>
          <w:color w:val="002060"/>
          <w:sz w:val="16"/>
          <w:szCs w:val="16"/>
        </w:rPr>
      </w:pPr>
      <w:r w:rsidRPr="00DE096C">
        <w:rPr>
          <w:bCs/>
          <w:color w:val="002060"/>
          <w:sz w:val="16"/>
          <w:szCs w:val="16"/>
        </w:rPr>
        <w:t xml:space="preserve">— Накануне отлета мы нагрузили пятьдесят шесть пудов бензина, шестнадцать пудов масла, около шести пудов инструментов, около трех пудов разных мелких вещей, два компаса, ящик с провизией, теплой одеждой, аптечкой и картой. </w:t>
      </w:r>
    </w:p>
    <w:p w14:paraId="48B2062E" w14:textId="77777777" w:rsidR="00B67D7C" w:rsidRPr="00DE096C" w:rsidRDefault="00B67D7C" w:rsidP="00D45A46">
      <w:pPr>
        <w:jc w:val="both"/>
        <w:rPr>
          <w:bCs/>
          <w:color w:val="002060"/>
          <w:sz w:val="16"/>
          <w:szCs w:val="16"/>
        </w:rPr>
      </w:pPr>
      <w:r w:rsidRPr="00DE096C">
        <w:rPr>
          <w:bCs/>
          <w:color w:val="002060"/>
          <w:sz w:val="16"/>
          <w:szCs w:val="16"/>
        </w:rPr>
        <w:t xml:space="preserve">Около полуночи мы поставили аппарат на старт. В час ночи запустили моторы и в начале второго снялись с Корпусного аэродрома. Сделав круг, мы легли на свой курс — на юг. В воздухе было сравнительно спокойно, но настолько темно, что приходилось управлять, освещая компасы и контрольные приборы электрическими лампочками. </w:t>
      </w:r>
    </w:p>
    <w:p w14:paraId="70A3FDC8" w14:textId="77777777" w:rsidR="00B67D7C" w:rsidRPr="00DE096C" w:rsidRDefault="00B67D7C" w:rsidP="00D45A46">
      <w:pPr>
        <w:jc w:val="both"/>
        <w:rPr>
          <w:bCs/>
          <w:color w:val="002060"/>
          <w:sz w:val="16"/>
          <w:szCs w:val="16"/>
        </w:rPr>
      </w:pPr>
      <w:r w:rsidRPr="00DE096C">
        <w:rPr>
          <w:bCs/>
          <w:color w:val="002060"/>
          <w:sz w:val="16"/>
          <w:szCs w:val="16"/>
        </w:rPr>
        <w:t xml:space="preserve">Через час полета сделалось светлее, и мы получили возможность видеть и приборы, и расстилавшуюся под нами землю. В это время мы уже имели около 500 метров высоты и шли главным образом по компасу, не следуя за извилинами железной дороги. </w:t>
      </w:r>
    </w:p>
    <w:p w14:paraId="5E4BD126" w14:textId="77777777" w:rsidR="00B67D7C" w:rsidRPr="00DE096C" w:rsidRDefault="00B67D7C" w:rsidP="00D45A46">
      <w:pPr>
        <w:jc w:val="both"/>
        <w:rPr>
          <w:bCs/>
          <w:color w:val="002060"/>
          <w:sz w:val="16"/>
          <w:szCs w:val="16"/>
        </w:rPr>
      </w:pPr>
      <w:r w:rsidRPr="00DE096C">
        <w:rPr>
          <w:bCs/>
          <w:color w:val="002060"/>
          <w:sz w:val="16"/>
          <w:szCs w:val="16"/>
        </w:rPr>
        <w:t xml:space="preserve">Довольно сильный боковой ветер давал себя чувствовать тем, что значительно уменьшал скорость «Ильи Муромца». Качки все это время не было. Мы летели все дальше и дальше, достигли к этому времени 1000 метров высоты и в свободное от управления время спокойно любовались величественной картиной, расстилавшейся под нами. Особенно красивы были большие озера, часто попадавшиеся в этой местности. Это лучшая ориентировка с высоты. [258] </w:t>
      </w:r>
    </w:p>
    <w:p w14:paraId="1DA38370" w14:textId="77777777" w:rsidR="00B67D7C" w:rsidRPr="00DE096C" w:rsidRDefault="00B67D7C" w:rsidP="00D45A46">
      <w:pPr>
        <w:jc w:val="both"/>
        <w:rPr>
          <w:bCs/>
          <w:color w:val="002060"/>
          <w:sz w:val="16"/>
          <w:szCs w:val="16"/>
        </w:rPr>
      </w:pPr>
      <w:r w:rsidRPr="00DE096C">
        <w:rPr>
          <w:bCs/>
          <w:color w:val="002060"/>
          <w:sz w:val="16"/>
          <w:szCs w:val="16"/>
        </w:rPr>
        <w:t xml:space="preserve">Таким образом мы летели довольно спокойно в продолжение нескольких часов. В 8 часов 40 минут мы прошли над Витебском на высоте 1200 метров. Воздух был чист, и мы отлично могли различать в бинокль движение на улице. В Витебске мы бросили аэрограмму. Вскоре после Витебска начало качать, Впрочем, это не затрудняло полета, так как никто не был утомлен. Во время этого этапа мы много раз сменяли друг друга, закусывали и пили кофе в каюте. </w:t>
      </w:r>
    </w:p>
    <w:p w14:paraId="24F610FE" w14:textId="77777777" w:rsidR="00B67D7C" w:rsidRPr="00DE096C" w:rsidRDefault="00B67D7C" w:rsidP="00D45A46">
      <w:pPr>
        <w:jc w:val="both"/>
        <w:rPr>
          <w:bCs/>
          <w:color w:val="002060"/>
          <w:sz w:val="16"/>
          <w:szCs w:val="16"/>
        </w:rPr>
      </w:pPr>
      <w:r w:rsidRPr="00DE096C">
        <w:rPr>
          <w:bCs/>
          <w:color w:val="002060"/>
          <w:sz w:val="16"/>
          <w:szCs w:val="16"/>
        </w:rPr>
        <w:t xml:space="preserve">Наконец в 9 часов 35 минут мы подошли к Орше и начали спускаться. Около 10 часов утра «Илья Муромец» благополучно спустился на поле возле Орши. </w:t>
      </w:r>
    </w:p>
    <w:p w14:paraId="0EF6A7AF" w14:textId="77777777" w:rsidR="00B67D7C" w:rsidRPr="00DE096C" w:rsidRDefault="00B67D7C" w:rsidP="00D45A46">
      <w:pPr>
        <w:jc w:val="both"/>
        <w:rPr>
          <w:bCs/>
          <w:color w:val="002060"/>
          <w:sz w:val="16"/>
          <w:szCs w:val="16"/>
        </w:rPr>
      </w:pPr>
      <w:r w:rsidRPr="00DE096C">
        <w:rPr>
          <w:bCs/>
          <w:color w:val="002060"/>
          <w:sz w:val="16"/>
          <w:szCs w:val="16"/>
        </w:rPr>
        <w:t xml:space="preserve">Во время полета в воздухе было очень прохладно, здесь же, на земле, нас встретил сильный зной. Пока мы отдыхали в палатке, механики возились с наливанием бензина, но ввиду отсутствия (по оплошности) хороших насосов «Илья Муромец» получил возможность лететь дальше только после 2 часов дня. </w:t>
      </w:r>
    </w:p>
    <w:p w14:paraId="278B9C06" w14:textId="77777777" w:rsidR="00B67D7C" w:rsidRPr="00DE096C" w:rsidRDefault="00B67D7C" w:rsidP="00D45A46">
      <w:pPr>
        <w:jc w:val="both"/>
        <w:rPr>
          <w:bCs/>
          <w:color w:val="002060"/>
          <w:sz w:val="16"/>
          <w:szCs w:val="16"/>
        </w:rPr>
      </w:pPr>
      <w:r w:rsidRPr="00DE096C">
        <w:rPr>
          <w:bCs/>
          <w:color w:val="002060"/>
          <w:sz w:val="16"/>
          <w:szCs w:val="16"/>
        </w:rPr>
        <w:t xml:space="preserve">В 2 часа 15 минут мы снялись, пролетели на небольшой высоте над городом и Днепром, повернули и взяли курс на юг. В воздухе была сильная качка. «Илью Муромца» сильно бросало, и все время приходилось работать над крылышками и рулями. Через четверть часа полета мы начали было забирать высоту, но в это время произошла маленькая авария: лопнула бензинопроводная трубка третьего мотора, мотор остановился, и вытекавший бензин загорелся от вспышки мотора. Выскочившие сейчас же на крылья лейтенант Лавров и механик Панасюк погасили пожар огнетушителем и тряпками. Однако ввиду сильной качки и значительной нагрузки мы решили не делать ремонта в воздухе и спустились на землю, верстах в двадцати от места вылета из Орши, в Копысе. </w:t>
      </w:r>
    </w:p>
    <w:p w14:paraId="31ED558B" w14:textId="77777777" w:rsidR="00B67D7C" w:rsidRPr="00DE096C" w:rsidRDefault="00B67D7C" w:rsidP="00D45A46">
      <w:pPr>
        <w:jc w:val="both"/>
        <w:rPr>
          <w:bCs/>
          <w:color w:val="002060"/>
          <w:sz w:val="16"/>
          <w:szCs w:val="16"/>
        </w:rPr>
      </w:pPr>
      <w:r w:rsidRPr="00DE096C">
        <w:rPr>
          <w:bCs/>
          <w:color w:val="002060"/>
          <w:sz w:val="16"/>
          <w:szCs w:val="16"/>
        </w:rPr>
        <w:t xml:space="preserve">Поломка вскоре была починена, но мы решили отложить вылет до рассвета следующего дня. Через несколько минут после нашего спуска приехал местный исправник с несколькими стражниками, желая нас арестовать, так как ему было сообщено, что спустились немецкие воздухоплаватели. Узнав истину, он радушно пригласил нас поужинать, оставив стражников охранять аппарат. </w:t>
      </w:r>
    </w:p>
    <w:p w14:paraId="78F77448" w14:textId="77777777" w:rsidR="00B67D7C" w:rsidRPr="00DE096C" w:rsidRDefault="00B67D7C" w:rsidP="00D45A46">
      <w:pPr>
        <w:jc w:val="both"/>
        <w:rPr>
          <w:bCs/>
          <w:color w:val="002060"/>
          <w:sz w:val="16"/>
          <w:szCs w:val="16"/>
        </w:rPr>
      </w:pPr>
      <w:r w:rsidRPr="00DE096C">
        <w:rPr>
          <w:bCs/>
          <w:color w:val="002060"/>
          <w:sz w:val="16"/>
          <w:szCs w:val="16"/>
        </w:rPr>
        <w:t xml:space="preserve">На рассвете следующего дня мы поднялись из Копыся и полетели дальше на юг. Первый час этого полета был очень спокойный, мы без затруднения держались курса и достигли к этому времени высоты 1000 метров. </w:t>
      </w:r>
    </w:p>
    <w:p w14:paraId="4834F69A" w14:textId="77777777" w:rsidR="00B67D7C" w:rsidRPr="00DE096C" w:rsidRDefault="00B67D7C" w:rsidP="00D45A46">
      <w:pPr>
        <w:jc w:val="both"/>
        <w:rPr>
          <w:bCs/>
          <w:color w:val="002060"/>
          <w:sz w:val="16"/>
          <w:szCs w:val="16"/>
        </w:rPr>
      </w:pPr>
      <w:r w:rsidRPr="00DE096C">
        <w:rPr>
          <w:bCs/>
          <w:color w:val="002060"/>
          <w:sz w:val="16"/>
          <w:szCs w:val="16"/>
        </w:rPr>
        <w:t xml:space="preserve">Около 4 часов утра мы заметили густой слой облаков и вскоре вошли в них. Аппарат временами очень качало, пошел дождь, направление держать приходилось исключительно по компасу, а около [259] 5 часов ливень и качка сделались настолько сильными, что пилот был вынужден все время делать сильные движения рулями и контролировать положение аппарата по приборам. </w:t>
      </w:r>
    </w:p>
    <w:p w14:paraId="32E542F2" w14:textId="77777777" w:rsidR="00B67D7C" w:rsidRPr="00DE096C" w:rsidRDefault="00B67D7C" w:rsidP="00D45A46">
      <w:pPr>
        <w:jc w:val="both"/>
        <w:rPr>
          <w:bCs/>
          <w:color w:val="002060"/>
          <w:sz w:val="16"/>
          <w:szCs w:val="16"/>
        </w:rPr>
      </w:pPr>
      <w:r w:rsidRPr="00DE096C">
        <w:rPr>
          <w:bCs/>
          <w:color w:val="002060"/>
          <w:sz w:val="16"/>
          <w:szCs w:val="16"/>
        </w:rPr>
        <w:t xml:space="preserve">Мы лишний раз убедились, что при невидимости горизонта и земли человек перестает чувствовать положение и наклон аппарата. Борьба с сильнейшим воздушным течением в этих, по-видимому, грозовых тучах требовала большого напряжения от пилота и лишала его возможности следить за курсом по компасу. Поэтому все это время, в течение двух часов, возле пилота находился еще кто-нибудь из нас, указывая рукой направление и беспрерывно следя за компасом. «Илья Муромец» стойко выдерживал борьбу с непогодой. Мы не прекратили полета, хотя в этих условиях не мог бы лететь, вероятно, ни один маленький аппарат и ни один дирижабль. Высота была около 1000 метров. В 6 часов утра мы решили снизиться, чтобы осмотреться и проверить свой курс, так как почти два часа не видели земли. Мы спускались все ниже и ниже и только на 400 метрах сквозь клочья облаков увидели под собой землю. Наш штурман лейтенант Лавров блестяще справился со своей задачей: оказалось, что мы математически точно шли по своему курсу. Мы решили снова подняться на значительную высоту. «Илья Муромец», несколько облегченный от бензина, стал быстро набирать высоту, и мы вскоре опять потеряли землю, попав в густые облака. Мы поднимались все выше и выше сквозь толщу облаков и наконец на высоте около 1100 метров нашли свободное воздушное пространство. К этому времени дождь и качка прекратились, и ветер от движения быстро высушил мокрые крылья и каюту. </w:t>
      </w:r>
    </w:p>
    <w:p w14:paraId="2045FEF4" w14:textId="77777777" w:rsidR="00B67D7C" w:rsidRPr="00DE096C" w:rsidRDefault="00B67D7C" w:rsidP="00D45A46">
      <w:pPr>
        <w:jc w:val="both"/>
        <w:rPr>
          <w:bCs/>
          <w:color w:val="002060"/>
          <w:sz w:val="16"/>
          <w:szCs w:val="16"/>
        </w:rPr>
      </w:pPr>
      <w:r w:rsidRPr="00DE096C">
        <w:rPr>
          <w:bCs/>
          <w:color w:val="002060"/>
          <w:sz w:val="16"/>
          <w:szCs w:val="16"/>
        </w:rPr>
        <w:t xml:space="preserve">Насколько первая часть этого этапа была трудной, настолько вторая половина была спокойной, и мы были вполне вознаграждены за все изумительными величественными картинами, расстилавшимися под нами. </w:t>
      </w:r>
    </w:p>
    <w:p w14:paraId="3852A398" w14:textId="77777777" w:rsidR="00B67D7C" w:rsidRPr="00DE096C" w:rsidRDefault="00B67D7C" w:rsidP="00D45A46">
      <w:pPr>
        <w:jc w:val="both"/>
        <w:rPr>
          <w:bCs/>
          <w:color w:val="002060"/>
          <w:sz w:val="16"/>
          <w:szCs w:val="16"/>
        </w:rPr>
      </w:pPr>
      <w:r w:rsidRPr="00DE096C">
        <w:rPr>
          <w:bCs/>
          <w:color w:val="002060"/>
          <w:sz w:val="16"/>
          <w:szCs w:val="16"/>
        </w:rPr>
        <w:t xml:space="preserve">«Илья Муромец» шел на высоте 1200 метров, и под ним во все стороны расстилались сказочные снежные местности с утесами и долинами. Я вышел на верхний балкон; было свежо, почти холодно, но я долго не мог оторваться от этой необычайной красоты. </w:t>
      </w:r>
    </w:p>
    <w:p w14:paraId="555AC699" w14:textId="77777777" w:rsidR="00B67D7C" w:rsidRPr="00DE096C" w:rsidRDefault="00B67D7C" w:rsidP="00D45A46">
      <w:pPr>
        <w:jc w:val="both"/>
        <w:rPr>
          <w:bCs/>
          <w:color w:val="002060"/>
          <w:sz w:val="16"/>
          <w:szCs w:val="16"/>
        </w:rPr>
      </w:pPr>
      <w:r w:rsidRPr="00DE096C">
        <w:rPr>
          <w:bCs/>
          <w:color w:val="002060"/>
          <w:sz w:val="16"/>
          <w:szCs w:val="16"/>
        </w:rPr>
        <w:t xml:space="preserve">Было около 8 часов утра, когда мы решили спуститься, так как, по нашему предположению, должен был вскоре показаться Киев. Мы уменьшили газ, и аппарат приближался к облакам. Увидев справа под собой проталину, мы снизились и в ней, как в окошке, увидели очертания Киево-Печерской лавры и Цепного моста. Оказалось, [260] что мы проскочили верст на тридцать дальше предполагаемого спуска. Сделав большой круг, мы опустились на знакомом Куреневском аэродроме. </w:t>
      </w:r>
    </w:p>
    <w:p w14:paraId="1681C742" w14:textId="77777777" w:rsidR="00B67D7C" w:rsidRPr="00DE096C" w:rsidRDefault="00B67D7C" w:rsidP="00D45A46">
      <w:pPr>
        <w:jc w:val="both"/>
        <w:rPr>
          <w:bCs/>
          <w:color w:val="002060"/>
          <w:sz w:val="16"/>
          <w:szCs w:val="16"/>
        </w:rPr>
      </w:pPr>
      <w:r w:rsidRPr="00DE096C">
        <w:rPr>
          <w:bCs/>
          <w:color w:val="002060"/>
          <w:sz w:val="16"/>
          <w:szCs w:val="16"/>
        </w:rPr>
        <w:t xml:space="preserve">Во время перелета Петроград — Киев аппаратом управляли большею частью штабс-капитан Пруссис и лейтенант Лавров. Прокладку курса и проверку его в дороге принял на себя лейтенант Лавров, и, несмотря на очень тяжелые временами условия, «Илья Муромец» ни разу не отклонился от своего пути, даже тогда, когда долгое время шел, не видя земли. </w:t>
      </w:r>
    </w:p>
    <w:p w14:paraId="0BC5E321" w14:textId="77777777" w:rsidR="00B67D7C" w:rsidRPr="00DE096C" w:rsidRDefault="00B67D7C" w:rsidP="00D45A46">
      <w:pPr>
        <w:jc w:val="both"/>
        <w:rPr>
          <w:bCs/>
          <w:color w:val="002060"/>
          <w:sz w:val="16"/>
          <w:szCs w:val="16"/>
        </w:rPr>
      </w:pPr>
      <w:r w:rsidRPr="00DE096C">
        <w:rPr>
          <w:bCs/>
          <w:color w:val="002060"/>
          <w:sz w:val="16"/>
          <w:szCs w:val="16"/>
        </w:rPr>
        <w:t xml:space="preserve">Пробыв в Киеве несколько дней, мы совершили за это время около 10 пассажирских полетов, после чего решили лететь обратно. 26 июня вылетели из Киева. Но через 20 минут полета у одного из моторов сломалась карбюраторная трубка, и мы вернулись обратно в Киев. Починив ее, мы на рассвете 28 июня снова вылетели на север. </w:t>
      </w:r>
    </w:p>
    <w:p w14:paraId="41A72CA6" w14:textId="77777777" w:rsidR="00B67D7C" w:rsidRPr="00DE096C" w:rsidRDefault="00B67D7C" w:rsidP="00D45A46">
      <w:pPr>
        <w:jc w:val="both"/>
        <w:rPr>
          <w:bCs/>
          <w:color w:val="002060"/>
          <w:sz w:val="16"/>
          <w:szCs w:val="16"/>
        </w:rPr>
      </w:pPr>
      <w:r w:rsidRPr="00DE096C">
        <w:rPr>
          <w:bCs/>
          <w:color w:val="002060"/>
          <w:sz w:val="16"/>
          <w:szCs w:val="16"/>
        </w:rPr>
        <w:t xml:space="preserve">Утро было ясное. Без затруднения мы достигли ста метров высоты и так летели все время, видя под собой невдалеке Днепр. Лететь было спокойно, аппарат совершенно не качало, воздух был чист, и горизонт ясно виден. По пути встречались города, которые мы видели уже за 30–40 верст впереди себя. Около 8 часов мы прошли над Могилевом и, едва потеряв его из виду, заметили впереди Оршу. Оршу мы прошли на высоте 1300 метров, бросив вниз аэрограмму с приветствием. В 9 1/2 часа пролетели Витебск, а в начале одиннадцатого часа прошли над Городком, достигнув в это время 1500 метров высоты. </w:t>
      </w:r>
    </w:p>
    <w:p w14:paraId="4568B6F8" w14:textId="77777777" w:rsidR="00B67D7C" w:rsidRPr="00DE096C" w:rsidRDefault="00B67D7C" w:rsidP="00D45A46">
      <w:pPr>
        <w:jc w:val="both"/>
        <w:rPr>
          <w:bCs/>
          <w:color w:val="002060"/>
          <w:sz w:val="16"/>
          <w:szCs w:val="16"/>
        </w:rPr>
      </w:pPr>
      <w:r w:rsidRPr="00DE096C">
        <w:rPr>
          <w:bCs/>
          <w:color w:val="002060"/>
          <w:sz w:val="16"/>
          <w:szCs w:val="16"/>
        </w:rPr>
        <w:t xml:space="preserve">Временами аппарат очень сильно качало, и в начале 11-го часа мы подошли к Новосокольникам, где и опустились для пополнения запаса бензина, покрыв, таким образом, в 7 часов 25 минут около 7000 километров. </w:t>
      </w:r>
    </w:p>
    <w:p w14:paraId="5D4019B0" w14:textId="77777777" w:rsidR="00B67D7C" w:rsidRPr="00DE096C" w:rsidRDefault="00B67D7C" w:rsidP="00D45A46">
      <w:pPr>
        <w:jc w:val="both"/>
        <w:rPr>
          <w:bCs/>
          <w:color w:val="002060"/>
          <w:sz w:val="16"/>
          <w:szCs w:val="16"/>
        </w:rPr>
      </w:pPr>
      <w:r w:rsidRPr="00DE096C">
        <w:rPr>
          <w:bCs/>
          <w:color w:val="002060"/>
          <w:sz w:val="16"/>
          <w:szCs w:val="16"/>
        </w:rPr>
        <w:t xml:space="preserve">На земле была страшная жара. Мы сейчас же начали наливать бензин, потом повернули аппарат и около половины первого часа снялись в дальнейший путь. Этот последний этап, самый короткий, был в то же время самым трудным. </w:t>
      </w:r>
    </w:p>
    <w:p w14:paraId="7F266DB8" w14:textId="77777777" w:rsidR="00B67D7C" w:rsidRPr="00DE096C" w:rsidRDefault="00B67D7C" w:rsidP="00D45A46">
      <w:pPr>
        <w:jc w:val="both"/>
        <w:rPr>
          <w:bCs/>
          <w:color w:val="002060"/>
          <w:sz w:val="16"/>
          <w:szCs w:val="16"/>
        </w:rPr>
      </w:pPr>
      <w:r w:rsidRPr="00DE096C">
        <w:rPr>
          <w:bCs/>
          <w:color w:val="002060"/>
          <w:sz w:val="16"/>
          <w:szCs w:val="16"/>
        </w:rPr>
        <w:t xml:space="preserve">Мы вылетели в дальнейший путь около полудня. В этот день, когда палящие лучи солнца беспрерывно нагревали землю, создались сильнейшие воздушные течения (воздушные ямы). Как только мы отделились от земли, нас начало сильно трепать. Аппарат раскачивало во все стороны, мы с трудом забирали высоту, но беспрестанные резкие удары ветра сбрасывали нас вниз, иногда на сотни метров в несколько секунд. [261] </w:t>
      </w:r>
    </w:p>
    <w:p w14:paraId="004C248F" w14:textId="77777777" w:rsidR="00B67D7C" w:rsidRPr="00DE096C" w:rsidRDefault="00B67D7C" w:rsidP="00D45A46">
      <w:pPr>
        <w:jc w:val="both"/>
        <w:rPr>
          <w:bCs/>
          <w:color w:val="002060"/>
          <w:sz w:val="16"/>
          <w:szCs w:val="16"/>
        </w:rPr>
      </w:pPr>
      <w:r w:rsidRPr="00DE096C">
        <w:rPr>
          <w:bCs/>
          <w:color w:val="002060"/>
          <w:sz w:val="16"/>
          <w:szCs w:val="16"/>
        </w:rPr>
        <w:t xml:space="preserve">Правда, в другие разы нас выбрасывало вверх тоже на сотню и более метров. Непрерывная борьба с воздушными течениями была утомительна, и мы часто сменялись у руля. Так прошло около двух часов. </w:t>
      </w:r>
    </w:p>
    <w:p w14:paraId="0423270B" w14:textId="77777777" w:rsidR="00B67D7C" w:rsidRPr="00DE096C" w:rsidRDefault="00B67D7C" w:rsidP="00D45A46">
      <w:pPr>
        <w:jc w:val="both"/>
        <w:rPr>
          <w:bCs/>
          <w:color w:val="002060"/>
          <w:sz w:val="16"/>
          <w:szCs w:val="16"/>
        </w:rPr>
      </w:pPr>
      <w:r w:rsidRPr="00DE096C">
        <w:rPr>
          <w:bCs/>
          <w:color w:val="002060"/>
          <w:sz w:val="16"/>
          <w:szCs w:val="16"/>
        </w:rPr>
        <w:t xml:space="preserve">Мы достигли 1100 метров, но сильнейшие воздушные течения не прекращались и на этой высоте. </w:t>
      </w:r>
    </w:p>
    <w:p w14:paraId="539D811A" w14:textId="77777777" w:rsidR="00B67D7C" w:rsidRPr="00DE096C" w:rsidRDefault="00B67D7C" w:rsidP="00D45A46">
      <w:pPr>
        <w:jc w:val="both"/>
        <w:rPr>
          <w:bCs/>
          <w:color w:val="002060"/>
          <w:sz w:val="16"/>
          <w:szCs w:val="16"/>
        </w:rPr>
      </w:pPr>
      <w:r w:rsidRPr="00DE096C">
        <w:rPr>
          <w:bCs/>
          <w:color w:val="002060"/>
          <w:sz w:val="16"/>
          <w:szCs w:val="16"/>
        </w:rPr>
        <w:t xml:space="preserve">Один раз мы попали в какую-то страшную воздушную яму, и в течение какой-нибудь минуты нас бросило вниз на 400 метров, хотя мы, заметив падение, дали полный ход двигателей и делали все возможное, чтобы сохранить высоту. </w:t>
      </w:r>
    </w:p>
    <w:p w14:paraId="5C6E9BD2" w14:textId="77777777" w:rsidR="00B67D7C" w:rsidRPr="00DE096C" w:rsidRDefault="00B67D7C" w:rsidP="00D45A46">
      <w:pPr>
        <w:jc w:val="both"/>
        <w:rPr>
          <w:bCs/>
          <w:color w:val="002060"/>
          <w:sz w:val="16"/>
          <w:szCs w:val="16"/>
        </w:rPr>
      </w:pPr>
      <w:r w:rsidRPr="00DE096C">
        <w:rPr>
          <w:bCs/>
          <w:color w:val="002060"/>
          <w:sz w:val="16"/>
          <w:szCs w:val="16"/>
        </w:rPr>
        <w:t xml:space="preserve">Мы надеялись, что в дальнейшей части нашего перелета качка ослабеет, но в действительности нас ожидало еще одно новое препятствие. </w:t>
      </w:r>
    </w:p>
    <w:p w14:paraId="1A5CA507" w14:textId="77777777" w:rsidR="00B67D7C" w:rsidRPr="00DE096C" w:rsidRDefault="00B67D7C" w:rsidP="00D45A46">
      <w:pPr>
        <w:jc w:val="both"/>
        <w:rPr>
          <w:bCs/>
          <w:color w:val="002060"/>
          <w:sz w:val="16"/>
          <w:szCs w:val="16"/>
        </w:rPr>
      </w:pPr>
      <w:r w:rsidRPr="00DE096C">
        <w:rPr>
          <w:bCs/>
          <w:color w:val="002060"/>
          <w:sz w:val="16"/>
          <w:szCs w:val="16"/>
        </w:rPr>
        <w:t xml:space="preserve">В начале четвертого часа мы заметили на горизонте темно-бурый туман, простиравшийся до самой земли. Подлетев ближе, мы убедились, что это был дым. Под нами расстилались горящие во многих местах огни. Огня мы не видели, но ясно могли различить выгоревшие черные места. </w:t>
      </w:r>
    </w:p>
    <w:p w14:paraId="6F33B9EF" w14:textId="77777777" w:rsidR="00B67D7C" w:rsidRPr="00DE096C" w:rsidRDefault="00B67D7C" w:rsidP="00D45A46">
      <w:pPr>
        <w:jc w:val="both"/>
        <w:rPr>
          <w:bCs/>
          <w:color w:val="002060"/>
          <w:sz w:val="16"/>
          <w:szCs w:val="16"/>
        </w:rPr>
      </w:pPr>
      <w:r w:rsidRPr="00DE096C">
        <w:rPr>
          <w:bCs/>
          <w:color w:val="002060"/>
          <w:sz w:val="16"/>
          <w:szCs w:val="16"/>
        </w:rPr>
        <w:t xml:space="preserve">Качка сделалась еще сильнее. Ходить в каюте не было возможности; мы частью ползали, частью двигались, держась за стены и брусья. Ориентировка была очень трудна, так как из-за полосы дыма мы могли видеть только вертикально под собой. </w:t>
      </w:r>
    </w:p>
    <w:p w14:paraId="2E70EF1A" w14:textId="77777777" w:rsidR="00B67D7C" w:rsidRPr="00DE096C" w:rsidRDefault="00B67D7C" w:rsidP="00D45A46">
      <w:pPr>
        <w:jc w:val="both"/>
        <w:rPr>
          <w:bCs/>
          <w:color w:val="002060"/>
          <w:sz w:val="16"/>
          <w:szCs w:val="16"/>
        </w:rPr>
      </w:pPr>
      <w:r w:rsidRPr="00DE096C">
        <w:rPr>
          <w:bCs/>
          <w:color w:val="002060"/>
          <w:sz w:val="16"/>
          <w:szCs w:val="16"/>
        </w:rPr>
        <w:t xml:space="preserve">Приходилось держать путь по компасу. В дыме и тумане, застилавшем все даже на 1000-метровой высоте, мы подошли к озеру Велья и попали в новую воздушную яму, в которой аппарат мгновенно завернул и наклонился на 45 градусов носом вниз. После этого мы двигались еще около получаса на той же высоте и, наконец, решили опуститься пониже. </w:t>
      </w:r>
    </w:p>
    <w:p w14:paraId="3D9173DD" w14:textId="77777777" w:rsidR="00B67D7C" w:rsidRPr="00DE096C" w:rsidRDefault="00B67D7C" w:rsidP="00D45A46">
      <w:pPr>
        <w:jc w:val="both"/>
        <w:rPr>
          <w:bCs/>
          <w:color w:val="002060"/>
          <w:sz w:val="16"/>
          <w:szCs w:val="16"/>
        </w:rPr>
      </w:pPr>
      <w:r w:rsidRPr="00DE096C">
        <w:rPr>
          <w:bCs/>
          <w:color w:val="002060"/>
          <w:sz w:val="16"/>
          <w:szCs w:val="16"/>
        </w:rPr>
        <w:t xml:space="preserve">С высоты 700 метров мы могли видеть землю довольно ясно, качка слабела. Это было приятно, но еще приятнее то, что мы приближались к месту своего назначения... Мы увидели под собой Павловск, а через 10 минут уже летели над окрестностями столицы. Долетев до Невского проспекта, мы повернули, уменьшили газ моторов, и вскоре «Муромец» спокойно спустился и остановился против своего ангара. </w:t>
      </w:r>
    </w:p>
    <w:p w14:paraId="1016C0B3" w14:textId="77777777" w:rsidR="00B67D7C" w:rsidRPr="00DE096C" w:rsidRDefault="00B67D7C" w:rsidP="00D45A46">
      <w:pPr>
        <w:jc w:val="both"/>
        <w:rPr>
          <w:bCs/>
          <w:color w:val="002060"/>
          <w:sz w:val="16"/>
          <w:szCs w:val="16"/>
        </w:rPr>
      </w:pPr>
      <w:r w:rsidRPr="00DE096C">
        <w:rPr>
          <w:bCs/>
          <w:color w:val="002060"/>
          <w:sz w:val="16"/>
          <w:szCs w:val="16"/>
        </w:rPr>
        <w:t xml:space="preserve">Таким образом, в этот день «Илья Муромец» утром снялся в Киеве и через 14 часов опустился в Петрограде, покрыв около 1200 километров. </w:t>
      </w:r>
      <w:r w:rsidRPr="00DE096C">
        <w:rPr>
          <w:bCs/>
          <w:i/>
          <w:color w:val="002060"/>
          <w:sz w:val="16"/>
          <w:szCs w:val="16"/>
        </w:rPr>
        <w:t>Воздухоплаватель. 1914. №8.</w:t>
      </w:r>
      <w:r w:rsidRPr="00DE096C">
        <w:rPr>
          <w:bCs/>
          <w:color w:val="002060"/>
          <w:sz w:val="16"/>
          <w:szCs w:val="16"/>
        </w:rPr>
        <w:t xml:space="preserve"> [262] (11334).</w:t>
      </w:r>
    </w:p>
    <w:p w14:paraId="53EB5D95" w14:textId="77777777" w:rsidR="00B67D7C" w:rsidRPr="00DE096C" w:rsidRDefault="00B67D7C" w:rsidP="00D45A46">
      <w:pPr>
        <w:shd w:val="clear" w:color="auto" w:fill="FFFFFF"/>
        <w:jc w:val="both"/>
        <w:rPr>
          <w:bCs/>
          <w:color w:val="002060"/>
          <w:sz w:val="16"/>
          <w:szCs w:val="16"/>
        </w:rPr>
      </w:pPr>
    </w:p>
    <w:p w14:paraId="0771ECB5" w14:textId="150A3C0A" w:rsidR="00B67D7C" w:rsidRPr="00DE096C" w:rsidRDefault="00B67D7C" w:rsidP="00D45A46">
      <w:pPr>
        <w:shd w:val="clear" w:color="auto" w:fill="FFFFFF"/>
        <w:jc w:val="both"/>
        <w:rPr>
          <w:bCs/>
          <w:color w:val="002060"/>
          <w:sz w:val="16"/>
          <w:szCs w:val="16"/>
        </w:rPr>
      </w:pPr>
      <w:r w:rsidRPr="00DE096C">
        <w:rPr>
          <w:bCs/>
          <w:color w:val="002060"/>
          <w:sz w:val="16"/>
          <w:szCs w:val="16"/>
        </w:rPr>
        <w:lastRenderedPageBreak/>
        <w:t>16 (29) июня 1914</w:t>
      </w:r>
      <w:r w:rsidR="00A22F28" w:rsidRPr="00DE096C">
        <w:rPr>
          <w:bCs/>
          <w:color w:val="002060"/>
          <w:sz w:val="16"/>
          <w:szCs w:val="16"/>
        </w:rPr>
        <w:t xml:space="preserve"> г</w:t>
      </w:r>
      <w:r w:rsidRPr="00DE096C">
        <w:rPr>
          <w:bCs/>
          <w:color w:val="002060"/>
          <w:sz w:val="16"/>
          <w:szCs w:val="16"/>
        </w:rPr>
        <w:t xml:space="preserve">. </w:t>
      </w:r>
      <w:r w:rsidR="00A22F28" w:rsidRPr="00DE096C">
        <w:rPr>
          <w:bCs/>
          <w:color w:val="002060"/>
          <w:sz w:val="16"/>
          <w:szCs w:val="16"/>
        </w:rPr>
        <w:t xml:space="preserve">начался групповой перелет военных летчиков 1-й авиационной роты по круговому маршруту Петербург-Ревелъ-Рига-Юрьев-Петербург. </w:t>
      </w:r>
      <w:r w:rsidRPr="00DE096C">
        <w:rPr>
          <w:bCs/>
          <w:color w:val="002060"/>
          <w:sz w:val="16"/>
          <w:szCs w:val="16"/>
        </w:rPr>
        <w:t>Группа состояла из 9 само</w:t>
      </w:r>
      <w:r w:rsidRPr="00DE096C">
        <w:rPr>
          <w:bCs/>
          <w:color w:val="002060"/>
          <w:sz w:val="16"/>
          <w:szCs w:val="16"/>
        </w:rPr>
        <w:softHyphen/>
        <w:t>летов "Нъюпор-4" и одного "Сикорский-12". Их вели 8 офицеров и два солдата. Возглавлял группу штабс-капитан Сергей Аркадьевич Войно-Родзевич. Закончили перелет 6 летчиков. Длина маршрута - 1100 км.</w:t>
      </w:r>
      <w:r w:rsidR="00A22F28" w:rsidRPr="00DE096C">
        <w:rPr>
          <w:bCs/>
          <w:color w:val="002060"/>
          <w:sz w:val="16"/>
          <w:szCs w:val="16"/>
        </w:rPr>
        <w:t xml:space="preserve"> Закончился 7 (20) июля 1914.</w:t>
      </w:r>
    </w:p>
    <w:p w14:paraId="38928B7C" w14:textId="77777777" w:rsidR="00B67D7C" w:rsidRPr="00DE096C" w:rsidRDefault="00B67D7C" w:rsidP="00D45A46">
      <w:pPr>
        <w:shd w:val="clear" w:color="auto" w:fill="FFFFFF"/>
        <w:jc w:val="both"/>
        <w:rPr>
          <w:bCs/>
          <w:color w:val="002060"/>
          <w:sz w:val="16"/>
          <w:szCs w:val="16"/>
        </w:rPr>
      </w:pPr>
    </w:p>
    <w:p w14:paraId="68FDE292"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6EE9E2AA" w14:textId="77777777" w:rsidR="00B67D7C" w:rsidRPr="00DE096C" w:rsidRDefault="00B67D7C" w:rsidP="00D45A46">
      <w:pPr>
        <w:shd w:val="clear" w:color="auto" w:fill="FFFFFF"/>
        <w:jc w:val="both"/>
        <w:rPr>
          <w:bCs/>
          <w:i/>
          <w:color w:val="002060"/>
          <w:sz w:val="16"/>
          <w:szCs w:val="16"/>
        </w:rPr>
      </w:pPr>
    </w:p>
    <w:p w14:paraId="70362FDC" w14:textId="308D4C24" w:rsidR="00B67D7C" w:rsidRPr="00DE096C" w:rsidRDefault="00B67D7C" w:rsidP="00D45A46">
      <w:pPr>
        <w:jc w:val="both"/>
        <w:rPr>
          <w:bCs/>
          <w:color w:val="002060"/>
          <w:sz w:val="16"/>
          <w:szCs w:val="16"/>
        </w:rPr>
      </w:pPr>
      <w:r w:rsidRPr="00DE096C">
        <w:rPr>
          <w:bCs/>
          <w:color w:val="002060"/>
          <w:sz w:val="16"/>
          <w:szCs w:val="16"/>
        </w:rPr>
        <w:t xml:space="preserve">17 </w:t>
      </w:r>
      <w:r w:rsidR="00A22F28" w:rsidRPr="00DE096C">
        <w:rPr>
          <w:bCs/>
          <w:color w:val="002060"/>
          <w:sz w:val="16"/>
          <w:szCs w:val="16"/>
        </w:rPr>
        <w:t xml:space="preserve">(30) </w:t>
      </w:r>
      <w:r w:rsidRPr="00DE096C">
        <w:rPr>
          <w:bCs/>
          <w:color w:val="002060"/>
          <w:sz w:val="16"/>
          <w:szCs w:val="16"/>
        </w:rPr>
        <w:t xml:space="preserve">июня </w:t>
      </w:r>
      <w:r w:rsidR="00A22F28" w:rsidRPr="00DE096C">
        <w:rPr>
          <w:bCs/>
          <w:color w:val="002060"/>
          <w:sz w:val="16"/>
          <w:szCs w:val="16"/>
        </w:rPr>
        <w:t xml:space="preserve">1914 г. в 1 час ночи </w:t>
      </w:r>
      <w:r w:rsidRPr="00DE096C">
        <w:rPr>
          <w:bCs/>
          <w:color w:val="002060"/>
          <w:sz w:val="16"/>
          <w:szCs w:val="16"/>
        </w:rPr>
        <w:t>тяжело гружёный "Муромец" (общая нагрузка - 1610 кг), вылетел, держа курс вдоль железной дороги Петербург-Витебск. На борту, помимо четырёх человек, находилось 940 кг бензина, 260 кг масла и 150 кг различных запасных частей (инструменты, крепёж, винт, шины для колёс, шланги и помпы).</w:t>
      </w:r>
    </w:p>
    <w:p w14:paraId="69D6F2D8" w14:textId="77777777" w:rsidR="00B67D7C" w:rsidRPr="00DE096C" w:rsidRDefault="00B67D7C" w:rsidP="00D45A46">
      <w:pPr>
        <w:jc w:val="both"/>
        <w:rPr>
          <w:bCs/>
          <w:color w:val="002060"/>
          <w:sz w:val="16"/>
          <w:szCs w:val="16"/>
        </w:rPr>
      </w:pPr>
      <w:r w:rsidRPr="00DE096C">
        <w:rPr>
          <w:bCs/>
          <w:color w:val="002060"/>
          <w:sz w:val="16"/>
          <w:szCs w:val="16"/>
        </w:rPr>
        <w:t>На подготовку отводилась неделя. В этой спешке Сикорский упустил важный момент - самолёт не был оснащён оборудованием для полётов в вечернее и ночное время, хотя опыт подобных полётов уже был накоплен на "Русском Витязе". Не было ни подсветки приборов в кабине, ни прожектора для освещения земли.</w:t>
      </w:r>
    </w:p>
    <w:p w14:paraId="762F4645" w14:textId="77777777" w:rsidR="00B67D7C" w:rsidRPr="00DE096C" w:rsidRDefault="00B67D7C" w:rsidP="00D45A46">
      <w:pPr>
        <w:jc w:val="both"/>
        <w:rPr>
          <w:bCs/>
          <w:color w:val="002060"/>
          <w:sz w:val="16"/>
          <w:szCs w:val="16"/>
        </w:rPr>
      </w:pPr>
      <w:r w:rsidRPr="00DE096C">
        <w:rPr>
          <w:bCs/>
          <w:color w:val="002060"/>
          <w:sz w:val="16"/>
          <w:szCs w:val="16"/>
        </w:rPr>
        <w:t>Над Витебском Сикорский сбросил пенал с запиской и деньгами, с просьбой послать телеграммы к нему домой в Киев и на завод. Пенал прикрепили к красному вымпелу и выбросили за борт. Этим способом пользовались несколько раз по всему маршруту перелёта. Все телеграммы были получены адресатами! Пробыв в воздухе более семи часов, "Муромец" сел под Оршей на поле у Днепра. Требовалась заправка самолёта. Сикорский торопился: он мог не успеть долететь до наступления темноты даже до Киева (не менее шести часов пути), а не то что до Одессы. Ведь в то врймя аэродромы этих пунктов назначения не были оборудованы для ночных посадок.</w:t>
      </w:r>
    </w:p>
    <w:p w14:paraId="0EA7C44C" w14:textId="77777777" w:rsidR="00B67D7C" w:rsidRPr="00DE096C" w:rsidRDefault="00B67D7C" w:rsidP="00D45A46">
      <w:pPr>
        <w:jc w:val="both"/>
        <w:rPr>
          <w:bCs/>
          <w:color w:val="002060"/>
          <w:sz w:val="16"/>
          <w:szCs w:val="16"/>
        </w:rPr>
      </w:pPr>
      <w:r w:rsidRPr="00DE096C">
        <w:rPr>
          <w:bCs/>
          <w:color w:val="002060"/>
          <w:sz w:val="16"/>
          <w:szCs w:val="16"/>
        </w:rPr>
        <w:t>С помощью солдат и добровольцев из местных жителей начали перекачку бензина из приготовленных канистр в баки самолёта. Лавров и Сикорский убыли на время заправки самолёта в город и, вернувшись через пару часов, обнаружили, что дело ещё не закончено. Малая производительность помп сдерживала процесс заправки. При полётах в Петербурге на это мало кто обращал внимания, ибо времени на подготовку было сколько угодно.</w:t>
      </w:r>
    </w:p>
    <w:p w14:paraId="55225B92" w14:textId="77777777" w:rsidR="00B67D7C" w:rsidRPr="00DE096C" w:rsidRDefault="00B67D7C" w:rsidP="00D45A46">
      <w:pPr>
        <w:jc w:val="both"/>
        <w:rPr>
          <w:bCs/>
          <w:color w:val="002060"/>
          <w:sz w:val="16"/>
          <w:szCs w:val="16"/>
        </w:rPr>
      </w:pPr>
      <w:r w:rsidRPr="00DE096C">
        <w:rPr>
          <w:bCs/>
          <w:color w:val="002060"/>
          <w:sz w:val="16"/>
          <w:szCs w:val="16"/>
        </w:rPr>
        <w:t>Неудачная затянувшаяся дозаправка в Орше впервые показала, что на совершенно новый уровень выходят проблемы с аэродромным обслуживанием и специальным наземным оборудованием. Сложись такая ситуация в боевых условиях - и может быть сорвано выполнение боевой задачи.</w:t>
      </w:r>
    </w:p>
    <w:p w14:paraId="221FC037" w14:textId="77777777" w:rsidR="00B67D7C" w:rsidRPr="00DE096C" w:rsidRDefault="00B67D7C" w:rsidP="00D45A46">
      <w:pPr>
        <w:jc w:val="both"/>
        <w:rPr>
          <w:bCs/>
          <w:color w:val="002060"/>
          <w:sz w:val="16"/>
          <w:szCs w:val="16"/>
        </w:rPr>
      </w:pPr>
      <w:r w:rsidRPr="00DE096C">
        <w:rPr>
          <w:bCs/>
          <w:color w:val="002060"/>
          <w:sz w:val="16"/>
          <w:szCs w:val="16"/>
        </w:rPr>
        <w:t>Заправка продлилась более пяти часов, и взлететь смогли только в два часа пополудни. Еше при посадке была выбрана не слишком удачная площадка, которая с одной стороны была закрыта рощей, а с другой - речным обрывом. Тяжёлая машина с трудом взлетела, пролетев над Днепром и пройдя над Оршей, едва не задев крыши домов. Всё обошлось, но проблемы только начались. Аэроплан с трудом набирал высоту, то и дело проваливаясь в воздушные ямы. На высоте 60 метров пришлось сбрасывать канистры с водой и даже с запасом бензина! От сильной болтанки на выходе из карбюратора лопнул бензинопровод, топливо полилось на раскалённые патрубки мотора. Сикорский сразу же выключил мотор, но пожар уже начался: пламя того и гляди перекинется на стойку и крыло.</w:t>
      </w:r>
    </w:p>
    <w:p w14:paraId="371DBF18" w14:textId="77777777" w:rsidR="00B67D7C" w:rsidRPr="00DE096C" w:rsidRDefault="00B67D7C" w:rsidP="00D45A46">
      <w:pPr>
        <w:jc w:val="both"/>
        <w:rPr>
          <w:bCs/>
          <w:color w:val="002060"/>
          <w:sz w:val="16"/>
          <w:szCs w:val="16"/>
        </w:rPr>
      </w:pPr>
      <w:r w:rsidRPr="00DE096C">
        <w:rPr>
          <w:bCs/>
          <w:color w:val="002060"/>
          <w:sz w:val="16"/>
          <w:szCs w:val="16"/>
        </w:rPr>
        <w:t>Панасюк, несмотря на сильную качку самолёта, с огнетушителем моментально выскочил на крыло, забыв о том, что можно упасть вниз. За ним на крыло вылез Лавров. Ему пришлось в первую очередь тушить механика, так как на том загорелась одежда, Панасюк облился бензином, когда пытался заткнуть бензинопровод. Лавров перекрыл доступ топлива и вместе с Панасюком куртками потушил пожар в двигателе. Сикорский, подыскав подходящее место, посадил раненую машину. Повреждения были незначительными (обгорело крыло и почернели стойки). Панасюк за час выполнил ремонт, но лететь дальше было уже слишком поздно.</w:t>
      </w:r>
    </w:p>
    <w:p w14:paraId="0B38CFA4" w14:textId="77777777" w:rsidR="00B67D7C" w:rsidRPr="00DE096C" w:rsidRDefault="00B67D7C" w:rsidP="00D45A46">
      <w:pPr>
        <w:jc w:val="both"/>
        <w:rPr>
          <w:bCs/>
          <w:color w:val="002060"/>
          <w:sz w:val="16"/>
          <w:szCs w:val="16"/>
        </w:rPr>
      </w:pPr>
      <w:r w:rsidRPr="00DE096C">
        <w:rPr>
          <w:bCs/>
          <w:color w:val="002060"/>
          <w:sz w:val="16"/>
          <w:szCs w:val="16"/>
        </w:rPr>
        <w:t>Решили лететь завтра. Рано утром отправились в дальнейший путь. Почти весь полёт лил сильный дождь, шли в условиях плохой видимости. Лейтенант Лавров в своём отчёте писал: "Шли 3 часа 20 минут исключительно по счислению. Дождь два часа лил как из ведра, временами не было видно крыльев...". Когда "Муромец" вынырнул из облаков на высоте 350 метров, перед ними открылась панорама Киева с хорошо узнаваемым цепным мостом через Днепр, крутым Андреевским спуском, домиками Подола и яркими куполами Киево-Печерской лавры. Наконец машина приземлилась на Куренев- ском аэродроме. Экипажу был устроен пышный восторженный приём (12041).</w:t>
      </w:r>
    </w:p>
    <w:p w14:paraId="1D828AD7" w14:textId="77777777" w:rsidR="00B67D7C" w:rsidRPr="00DE096C" w:rsidRDefault="00B67D7C" w:rsidP="00D45A46">
      <w:pPr>
        <w:jc w:val="both"/>
        <w:rPr>
          <w:bCs/>
          <w:color w:val="002060"/>
          <w:sz w:val="16"/>
          <w:szCs w:val="16"/>
        </w:rPr>
      </w:pPr>
    </w:p>
    <w:p w14:paraId="52BE1073" w14:textId="11BD2B58" w:rsidR="00B67D7C" w:rsidRPr="00DE096C" w:rsidRDefault="00B67D7C" w:rsidP="00D45A46">
      <w:pPr>
        <w:jc w:val="both"/>
        <w:rPr>
          <w:bCs/>
          <w:color w:val="002060"/>
          <w:sz w:val="16"/>
          <w:szCs w:val="16"/>
        </w:rPr>
      </w:pPr>
      <w:r w:rsidRPr="00DE096C">
        <w:rPr>
          <w:bCs/>
          <w:color w:val="002060"/>
          <w:sz w:val="16"/>
          <w:szCs w:val="16"/>
        </w:rPr>
        <w:t xml:space="preserve">17 </w:t>
      </w:r>
      <w:r w:rsidR="00A22F28" w:rsidRPr="00DE096C">
        <w:rPr>
          <w:bCs/>
          <w:color w:val="002060"/>
          <w:sz w:val="16"/>
          <w:szCs w:val="16"/>
        </w:rPr>
        <w:t xml:space="preserve">(30) </w:t>
      </w:r>
      <w:r w:rsidRPr="00DE096C">
        <w:rPr>
          <w:bCs/>
          <w:color w:val="002060"/>
          <w:sz w:val="16"/>
          <w:szCs w:val="16"/>
        </w:rPr>
        <w:t xml:space="preserve">июня сего 1914 года </w:t>
      </w:r>
      <w:r w:rsidR="00A22F28" w:rsidRPr="00DE096C">
        <w:rPr>
          <w:bCs/>
          <w:color w:val="002060"/>
          <w:sz w:val="16"/>
          <w:szCs w:val="16"/>
        </w:rPr>
        <w:t xml:space="preserve">в сотом номере Собрания Узаконений и Распоряжений Правительства </w:t>
      </w:r>
      <w:r w:rsidRPr="00DE096C">
        <w:rPr>
          <w:bCs/>
          <w:color w:val="002060"/>
          <w:sz w:val="16"/>
          <w:szCs w:val="16"/>
        </w:rPr>
        <w:t xml:space="preserve">в статье 834 </w:t>
      </w:r>
      <w:r w:rsidR="00A22F28" w:rsidRPr="00DE096C">
        <w:rPr>
          <w:bCs/>
          <w:color w:val="002060"/>
          <w:sz w:val="16"/>
          <w:szCs w:val="16"/>
        </w:rPr>
        <w:t xml:space="preserve">был опуюликован устав АО Лебедева. </w:t>
      </w:r>
      <w:r w:rsidRPr="00DE096C">
        <w:rPr>
          <w:bCs/>
          <w:color w:val="002060"/>
          <w:sz w:val="16"/>
          <w:szCs w:val="16"/>
        </w:rPr>
        <w:t>В. Лебедев до</w:t>
      </w:r>
      <w:r w:rsidR="00A22F28" w:rsidRPr="00DE096C">
        <w:rPr>
          <w:bCs/>
          <w:color w:val="002060"/>
          <w:sz w:val="16"/>
          <w:szCs w:val="16"/>
        </w:rPr>
        <w:t>кладывал</w:t>
      </w:r>
      <w:r w:rsidRPr="00DE096C">
        <w:rPr>
          <w:bCs/>
          <w:color w:val="002060"/>
          <w:sz w:val="16"/>
          <w:szCs w:val="16"/>
        </w:rPr>
        <w:t xml:space="preserve"> о том, что благодаря его усилиям и нанятого им для квалифицированного составления бумаг (что было весьма разумно в условиях царившей бюро-кратии и казуистики) поверенного в делах общества кандидата прав Н. И. Гальперина, удалось удвоить основной капитал общества и довести его до 200 тысяч рублей, разделенных на 2000 акций по 100 рублей каждая.</w:t>
      </w:r>
    </w:p>
    <w:p w14:paraId="2AA35CC0" w14:textId="60883D5E" w:rsidR="00B67D7C" w:rsidRPr="00DE096C" w:rsidRDefault="00B67D7C" w:rsidP="00D45A46">
      <w:pPr>
        <w:jc w:val="both"/>
        <w:rPr>
          <w:bCs/>
          <w:color w:val="002060"/>
          <w:sz w:val="16"/>
          <w:szCs w:val="16"/>
        </w:rPr>
      </w:pPr>
      <w:r w:rsidRPr="00DE096C">
        <w:rPr>
          <w:bCs/>
          <w:color w:val="002060"/>
          <w:sz w:val="16"/>
          <w:szCs w:val="16"/>
        </w:rPr>
        <w:t>А между тем, сидящие в торжественном молчании акционеры имели пока всего лишь 21000 рублей, что составляло всего 210 акций. Нет необходимости сегодня спустя много деся-тилетий разбираться в подробностях т.н. «финансовой реорганизации» общества. Ловкий и обо-ротистый коммерсант сумел, наконец создать свою фирму с довольно внушительным основным капиталом, который спустя короткое время достиг уже 400 тысяч рублей, При этом важно отме-тить, что избранный единогласно председателем общего собрания и директором правления Вла-димир Лебедев получил право кредитоваться в Государственном банке, а также в частных кре-дитных учреждениях и у частных лиц до суммы в миллион рублей</w:t>
      </w:r>
      <w:r w:rsidR="00A22F28" w:rsidRPr="00DE096C">
        <w:rPr>
          <w:bCs/>
          <w:color w:val="002060"/>
          <w:sz w:val="16"/>
          <w:szCs w:val="16"/>
        </w:rPr>
        <w:t xml:space="preserve"> </w:t>
      </w:r>
      <w:r w:rsidRPr="00DE096C">
        <w:rPr>
          <w:bCs/>
          <w:color w:val="002060"/>
          <w:sz w:val="16"/>
          <w:szCs w:val="16"/>
        </w:rPr>
        <w:t>(11642).</w:t>
      </w:r>
    </w:p>
    <w:p w14:paraId="5829F975" w14:textId="77777777" w:rsidR="00B67D7C" w:rsidRPr="00DE096C" w:rsidRDefault="00B67D7C" w:rsidP="00D45A46">
      <w:pPr>
        <w:jc w:val="both"/>
        <w:rPr>
          <w:bCs/>
          <w:color w:val="002060"/>
          <w:sz w:val="16"/>
          <w:szCs w:val="16"/>
        </w:rPr>
      </w:pPr>
    </w:p>
    <w:p w14:paraId="5D53D0D3"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w:t>
      </w:r>
    </w:p>
    <w:p w14:paraId="737F07E4" w14:textId="77777777" w:rsidR="00B67D7C" w:rsidRPr="00DE096C" w:rsidRDefault="00B67D7C" w:rsidP="00D45A46">
      <w:pPr>
        <w:shd w:val="clear" w:color="auto" w:fill="FFFFFF"/>
        <w:jc w:val="both"/>
        <w:rPr>
          <w:bCs/>
          <w:i/>
          <w:color w:val="002060"/>
          <w:sz w:val="16"/>
          <w:szCs w:val="16"/>
        </w:rPr>
      </w:pPr>
    </w:p>
    <w:p w14:paraId="6B5E9C7A" w14:textId="07BD3476" w:rsidR="00B67D7C" w:rsidRPr="00DE096C" w:rsidRDefault="00B67D7C" w:rsidP="00D45A46">
      <w:pPr>
        <w:jc w:val="both"/>
        <w:rPr>
          <w:bCs/>
          <w:color w:val="002060"/>
          <w:sz w:val="16"/>
          <w:szCs w:val="16"/>
        </w:rPr>
      </w:pPr>
      <w:r w:rsidRPr="00DE096C">
        <w:rPr>
          <w:bCs/>
          <w:color w:val="002060"/>
          <w:sz w:val="16"/>
          <w:szCs w:val="16"/>
        </w:rPr>
        <w:t xml:space="preserve">17 </w:t>
      </w:r>
      <w:r w:rsidR="00A22F28" w:rsidRPr="00DE096C">
        <w:rPr>
          <w:bCs/>
          <w:color w:val="002060"/>
          <w:sz w:val="16"/>
          <w:szCs w:val="16"/>
        </w:rPr>
        <w:t xml:space="preserve">(30) </w:t>
      </w:r>
      <w:r w:rsidRPr="00DE096C">
        <w:rPr>
          <w:bCs/>
          <w:color w:val="002060"/>
          <w:sz w:val="16"/>
          <w:szCs w:val="16"/>
        </w:rPr>
        <w:t xml:space="preserve">июня 1914 года в Псков впервые прилетело сразу три аэроплана. Опустились они на Завеличье, на Енисейском плацу (район ул. Народной, мебельный магазин). Самолеты пилотировали летчики 18-го гвардейского воздухоплавательного отряда. Вылетели они из Владимирского лагеря в Новгороде, в количестве пяти аэропланов. Начальник отряда капитан Голубев, штабс-капитан Рыжков и унтер-офицер Дитлер приземлились в Пскове. В тридцати верстах от Новгорода близ деревни Болотно разбился насмерть штабс-капитан Боерогло. Механик, рядовой Волуев, получил увечье. Тело капитана Боерогло отправили в Порховскую земскую больницу, одновременно туда же доставили на излечение механика. </w:t>
      </w:r>
    </w:p>
    <w:p w14:paraId="27A5EED4" w14:textId="77777777" w:rsidR="00B67D7C" w:rsidRPr="00DE096C" w:rsidRDefault="00B67D7C" w:rsidP="00D45A46">
      <w:pPr>
        <w:shd w:val="clear" w:color="auto" w:fill="FFFFFF"/>
        <w:jc w:val="both"/>
        <w:rPr>
          <w:bCs/>
          <w:i/>
          <w:color w:val="002060"/>
          <w:sz w:val="16"/>
          <w:szCs w:val="16"/>
        </w:rPr>
      </w:pPr>
    </w:p>
    <w:p w14:paraId="235A5E0C" w14:textId="77777777" w:rsidR="00564DB5" w:rsidRPr="00DE096C" w:rsidRDefault="00564DB5" w:rsidP="00564DB5">
      <w:pPr>
        <w:shd w:val="clear" w:color="auto" w:fill="FFFFFF"/>
        <w:jc w:val="both"/>
        <w:rPr>
          <w:bCs/>
          <w:i/>
          <w:color w:val="002060"/>
          <w:sz w:val="16"/>
          <w:szCs w:val="16"/>
        </w:rPr>
      </w:pPr>
      <w:r w:rsidRPr="00DE096C">
        <w:rPr>
          <w:bCs/>
          <w:i/>
          <w:color w:val="002060"/>
          <w:sz w:val="16"/>
          <w:szCs w:val="16"/>
        </w:rPr>
        <w:t>Самолетостроение:</w:t>
      </w:r>
    </w:p>
    <w:p w14:paraId="5CD6AADB" w14:textId="77777777" w:rsidR="00564DB5" w:rsidRPr="00DE096C" w:rsidRDefault="00564DB5" w:rsidP="00564DB5">
      <w:pPr>
        <w:shd w:val="clear" w:color="auto" w:fill="FFFFFF"/>
        <w:jc w:val="both"/>
        <w:rPr>
          <w:bCs/>
          <w:i/>
          <w:color w:val="002060"/>
          <w:sz w:val="16"/>
          <w:szCs w:val="16"/>
        </w:rPr>
      </w:pPr>
    </w:p>
    <w:p w14:paraId="538B69CE" w14:textId="77777777" w:rsidR="00564DB5" w:rsidRPr="00DE096C" w:rsidRDefault="00564DB5" w:rsidP="00564DB5">
      <w:pPr>
        <w:pStyle w:val="2"/>
        <w:spacing w:before="0" w:after="0"/>
        <w:jc w:val="both"/>
        <w:rPr>
          <w:b w:val="0"/>
          <w:bCs/>
          <w:color w:val="002060"/>
          <w:sz w:val="16"/>
          <w:szCs w:val="16"/>
        </w:rPr>
      </w:pPr>
      <w:r w:rsidRPr="00DE096C">
        <w:rPr>
          <w:b w:val="0"/>
          <w:bCs/>
          <w:color w:val="002060"/>
          <w:sz w:val="16"/>
          <w:szCs w:val="16"/>
        </w:rPr>
        <w:t>18 (31) июня 1914 В.В.Дыбовскому стартовал в перелете Севастополь – Петербург (через Москву) за один день на моноплане собственной конструкции, но к вечеру до Ходынки не долетел и выбыл из борьбы за приз. Из спортивного интереса он все-таки продолжил перелет и в итоге добрался до Петербурга, повторив весь маршрут двухлетней давности. Подробности полета 1914 г. пока не обнаружены (15464).</w:t>
      </w:r>
    </w:p>
    <w:p w14:paraId="2666DA01" w14:textId="77777777" w:rsidR="00564DB5" w:rsidRPr="00DE096C" w:rsidRDefault="00564DB5" w:rsidP="00564DB5">
      <w:pPr>
        <w:pStyle w:val="2"/>
        <w:spacing w:before="0" w:after="0"/>
        <w:jc w:val="both"/>
        <w:rPr>
          <w:b w:val="0"/>
          <w:bCs/>
          <w:color w:val="002060"/>
          <w:sz w:val="16"/>
          <w:szCs w:val="16"/>
        </w:rPr>
      </w:pPr>
    </w:p>
    <w:p w14:paraId="32F66BC6" w14:textId="0AC1053A" w:rsidR="0072340D" w:rsidRPr="00DE096C" w:rsidRDefault="0072340D" w:rsidP="00D45A46">
      <w:pPr>
        <w:jc w:val="both"/>
        <w:rPr>
          <w:bCs/>
          <w:i/>
          <w:color w:val="002060"/>
          <w:sz w:val="16"/>
          <w:szCs w:val="16"/>
        </w:rPr>
      </w:pPr>
      <w:r w:rsidRPr="00DE096C">
        <w:rPr>
          <w:bCs/>
          <w:i/>
          <w:color w:val="002060"/>
          <w:sz w:val="16"/>
          <w:szCs w:val="16"/>
        </w:rPr>
        <w:t>Авиация и воздухоплавание за рубежом:</w:t>
      </w:r>
    </w:p>
    <w:p w14:paraId="3291673E" w14:textId="77777777" w:rsidR="0072340D" w:rsidRPr="00DE096C" w:rsidRDefault="0072340D" w:rsidP="00D45A46">
      <w:pPr>
        <w:jc w:val="both"/>
        <w:rPr>
          <w:bCs/>
          <w:i/>
          <w:color w:val="002060"/>
          <w:sz w:val="16"/>
          <w:szCs w:val="16"/>
        </w:rPr>
      </w:pPr>
    </w:p>
    <w:p w14:paraId="2BE1FD35" w14:textId="7CD1A310" w:rsidR="0072340D" w:rsidRPr="00DE096C" w:rsidRDefault="0072340D" w:rsidP="00D45A46">
      <w:pPr>
        <w:jc w:val="both"/>
        <w:rPr>
          <w:bCs/>
          <w:color w:val="002060"/>
          <w:sz w:val="16"/>
          <w:szCs w:val="16"/>
        </w:rPr>
      </w:pPr>
      <w:r w:rsidRPr="00DE096C">
        <w:rPr>
          <w:bCs/>
          <w:color w:val="002060"/>
          <w:sz w:val="16"/>
          <w:szCs w:val="16"/>
        </w:rPr>
        <w:t>1</w:t>
      </w:r>
      <w:r w:rsidR="007E17C7" w:rsidRPr="00DE096C">
        <w:rPr>
          <w:bCs/>
          <w:color w:val="002060"/>
          <w:sz w:val="16"/>
          <w:szCs w:val="16"/>
        </w:rPr>
        <w:t>8</w:t>
      </w:r>
      <w:r w:rsidRPr="00DE096C">
        <w:rPr>
          <w:bCs/>
          <w:color w:val="002060"/>
          <w:sz w:val="16"/>
          <w:szCs w:val="16"/>
        </w:rPr>
        <w:t xml:space="preserve"> июня (1 июля) 1914 Военно- морские силы Соединенных Штатов создают свое первое авиационное управление - Бюро аэронавтики (20337).</w:t>
      </w:r>
    </w:p>
    <w:p w14:paraId="17BBA6AF" w14:textId="77777777" w:rsidR="0072340D" w:rsidRPr="00DE096C" w:rsidRDefault="0072340D" w:rsidP="00D45A46">
      <w:pPr>
        <w:jc w:val="both"/>
        <w:rPr>
          <w:bCs/>
          <w:color w:val="002060"/>
          <w:sz w:val="16"/>
          <w:szCs w:val="16"/>
        </w:rPr>
      </w:pPr>
    </w:p>
    <w:p w14:paraId="23C81442"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Другие оборонные отрасли:</w:t>
      </w:r>
    </w:p>
    <w:p w14:paraId="4DBDE844" w14:textId="77777777" w:rsidR="00B67D7C" w:rsidRPr="00DE096C" w:rsidRDefault="00B67D7C" w:rsidP="00D45A46">
      <w:pPr>
        <w:shd w:val="clear" w:color="auto" w:fill="FFFFFF"/>
        <w:jc w:val="both"/>
        <w:rPr>
          <w:bCs/>
          <w:i/>
          <w:color w:val="002060"/>
          <w:sz w:val="16"/>
          <w:szCs w:val="16"/>
        </w:rPr>
      </w:pPr>
    </w:p>
    <w:p w14:paraId="09844CB4" w14:textId="15E8ED7B" w:rsidR="00B67D7C" w:rsidRPr="00DE096C" w:rsidRDefault="00B67D7C" w:rsidP="00D45A46">
      <w:pPr>
        <w:autoSpaceDE/>
        <w:autoSpaceDN/>
        <w:adjustRightInd/>
        <w:jc w:val="both"/>
        <w:rPr>
          <w:bCs/>
          <w:color w:val="002060"/>
          <w:sz w:val="16"/>
          <w:szCs w:val="16"/>
        </w:rPr>
      </w:pPr>
      <w:r w:rsidRPr="00DE096C">
        <w:rPr>
          <w:bCs/>
          <w:color w:val="002060"/>
          <w:sz w:val="16"/>
          <w:szCs w:val="16"/>
        </w:rPr>
        <w:t xml:space="preserve">19 июня </w:t>
      </w:r>
      <w:r w:rsidR="007E17C7" w:rsidRPr="00DE096C">
        <w:rPr>
          <w:bCs/>
          <w:color w:val="002060"/>
          <w:sz w:val="16"/>
          <w:szCs w:val="16"/>
        </w:rPr>
        <w:t xml:space="preserve">(2 июля) </w:t>
      </w:r>
      <w:r w:rsidRPr="00DE096C">
        <w:rPr>
          <w:bCs/>
          <w:color w:val="002060"/>
          <w:sz w:val="16"/>
          <w:szCs w:val="16"/>
        </w:rPr>
        <w:t>1914 г.</w:t>
      </w:r>
      <w:r w:rsidR="007E17C7" w:rsidRPr="00DE096C">
        <w:rPr>
          <w:bCs/>
          <w:color w:val="002060"/>
          <w:sz w:val="16"/>
          <w:szCs w:val="16"/>
        </w:rPr>
        <w:t>,</w:t>
      </w:r>
      <w:r w:rsidRPr="00DE096C">
        <w:rPr>
          <w:bCs/>
          <w:color w:val="002060"/>
          <w:sz w:val="16"/>
          <w:szCs w:val="16"/>
        </w:rPr>
        <w:t xml:space="preserve"> </w:t>
      </w:r>
      <w:r w:rsidR="007E17C7" w:rsidRPr="00DE096C">
        <w:rPr>
          <w:bCs/>
          <w:color w:val="002060"/>
          <w:sz w:val="16"/>
          <w:szCs w:val="16"/>
        </w:rPr>
        <w:t xml:space="preserve">согласно Положению Военного Совета, </w:t>
      </w:r>
      <w:r w:rsidRPr="00DE096C">
        <w:rPr>
          <w:bCs/>
          <w:color w:val="002060"/>
          <w:sz w:val="16"/>
          <w:szCs w:val="16"/>
        </w:rPr>
        <w:t>заказ на 32 гаубицы решено дать Путиловскому заводу. Контракт с заводом был заключен 9 сентября 1914 г. Общая стоимость гаубиц составила 2352 тыс. рублей.</w:t>
      </w:r>
    </w:p>
    <w:p w14:paraId="337F3A42" w14:textId="77777777" w:rsidR="00B67D7C" w:rsidRPr="00DE096C" w:rsidRDefault="00B67D7C" w:rsidP="00D45A46">
      <w:pPr>
        <w:autoSpaceDE/>
        <w:autoSpaceDN/>
        <w:adjustRightInd/>
        <w:jc w:val="both"/>
        <w:rPr>
          <w:bCs/>
          <w:color w:val="002060"/>
          <w:sz w:val="16"/>
          <w:szCs w:val="16"/>
        </w:rPr>
      </w:pPr>
      <w:r w:rsidRPr="00DE096C">
        <w:rPr>
          <w:bCs/>
          <w:color w:val="002060"/>
          <w:sz w:val="16"/>
          <w:szCs w:val="16"/>
        </w:rPr>
        <w:t>После первых недель маневренной войны войска враждующих сторон укрылись в окопах, и началась позиционная война. Русская армия не имела орудий калибра более 152 мм. Русские военные агенты рыскали по свету и хватали за огромные деньги все, что попадалось под руку от вполне приемлемых 203-мм гаубиц Виккерса до абсолютно негодных 203-мм японских гаубиц обр. 1912 г. А Путиловский завод набрал столько заказов, что не мог выполнить и половину их. Национализация завода в 1915 г. ситуацию не изменила. В результате к 1 января 1918 г. было изготовлено лишь несколько полуфабрикатов, из которых нельзя было собрать даже одну 203-мм гаубицу (12705)</w:t>
      </w:r>
    </w:p>
    <w:p w14:paraId="32EAB78A" w14:textId="77777777" w:rsidR="00B67D7C" w:rsidRPr="00DE096C" w:rsidRDefault="00B67D7C" w:rsidP="00D45A46">
      <w:pPr>
        <w:autoSpaceDE/>
        <w:autoSpaceDN/>
        <w:adjustRightInd/>
        <w:jc w:val="both"/>
        <w:rPr>
          <w:bCs/>
          <w:color w:val="002060"/>
          <w:sz w:val="16"/>
          <w:szCs w:val="16"/>
        </w:rPr>
      </w:pPr>
    </w:p>
    <w:p w14:paraId="3C415CB6" w14:textId="77777777" w:rsidR="0072340D" w:rsidRPr="00DE096C" w:rsidRDefault="0072340D" w:rsidP="00D45A46">
      <w:pPr>
        <w:jc w:val="both"/>
        <w:rPr>
          <w:bCs/>
          <w:i/>
          <w:color w:val="002060"/>
          <w:sz w:val="16"/>
          <w:szCs w:val="16"/>
        </w:rPr>
      </w:pPr>
      <w:r w:rsidRPr="00DE096C">
        <w:rPr>
          <w:bCs/>
          <w:i/>
          <w:color w:val="002060"/>
          <w:sz w:val="16"/>
          <w:szCs w:val="16"/>
        </w:rPr>
        <w:t>Авиация и воздухоплавание Франции:</w:t>
      </w:r>
    </w:p>
    <w:p w14:paraId="328E940D" w14:textId="77777777" w:rsidR="0072340D" w:rsidRPr="00DE096C" w:rsidRDefault="0072340D" w:rsidP="00D45A46">
      <w:pPr>
        <w:jc w:val="both"/>
        <w:rPr>
          <w:bCs/>
          <w:i/>
          <w:color w:val="002060"/>
          <w:sz w:val="16"/>
          <w:szCs w:val="16"/>
        </w:rPr>
      </w:pPr>
    </w:p>
    <w:p w14:paraId="35EC078A" w14:textId="6AA818DB" w:rsidR="0072340D" w:rsidRPr="00DE096C" w:rsidRDefault="0072340D" w:rsidP="00D45A46">
      <w:pPr>
        <w:jc w:val="both"/>
        <w:rPr>
          <w:bCs/>
          <w:color w:val="002060"/>
          <w:sz w:val="16"/>
          <w:szCs w:val="16"/>
        </w:rPr>
      </w:pPr>
      <w:r w:rsidRPr="00DE096C">
        <w:rPr>
          <w:bCs/>
          <w:color w:val="002060"/>
          <w:sz w:val="16"/>
          <w:szCs w:val="16"/>
        </w:rPr>
        <w:t>1</w:t>
      </w:r>
      <w:r w:rsidR="007E17C7" w:rsidRPr="00DE096C">
        <w:rPr>
          <w:bCs/>
          <w:color w:val="002060"/>
          <w:sz w:val="16"/>
          <w:szCs w:val="16"/>
        </w:rPr>
        <w:t>9</w:t>
      </w:r>
      <w:r w:rsidRPr="00DE096C">
        <w:rPr>
          <w:bCs/>
          <w:color w:val="002060"/>
          <w:sz w:val="16"/>
          <w:szCs w:val="16"/>
        </w:rPr>
        <w:t xml:space="preserve"> июня (2 июля) 1914 - Лётчик Викторин Гаро (Victorin Garaix) на аэроплане Шмитта No.7 с тремя пассажирами установил рекорд продолжительности полёта 4 часа 3 минуты. Аэроплан Шмитта No.7 крупный биплан со 160-сильным двухрядным ротативным мотором "Гном" и механизмом, изменяющим угол установки крыльев относительно продольной оси фюзеляжа. Самолёт оказался вполне удачным (22442).</w:t>
      </w:r>
    </w:p>
    <w:p w14:paraId="3AE9F932" w14:textId="77777777" w:rsidR="0072340D" w:rsidRPr="00DE096C" w:rsidRDefault="0072340D" w:rsidP="00D45A46">
      <w:pPr>
        <w:jc w:val="both"/>
        <w:rPr>
          <w:bCs/>
          <w:color w:val="002060"/>
          <w:sz w:val="16"/>
          <w:szCs w:val="16"/>
        </w:rPr>
      </w:pPr>
    </w:p>
    <w:p w14:paraId="0F4391B3" w14:textId="77777777" w:rsidR="00D52F55" w:rsidRPr="00DE096C" w:rsidRDefault="00D52F55" w:rsidP="00D45A46">
      <w:pPr>
        <w:jc w:val="both"/>
        <w:rPr>
          <w:bCs/>
          <w:i/>
          <w:color w:val="002060"/>
          <w:sz w:val="16"/>
          <w:szCs w:val="16"/>
        </w:rPr>
      </w:pPr>
      <w:r w:rsidRPr="00DE096C">
        <w:rPr>
          <w:bCs/>
          <w:i/>
          <w:color w:val="002060"/>
          <w:sz w:val="16"/>
          <w:szCs w:val="16"/>
        </w:rPr>
        <w:t>Авиация и воздухоплавание Франции:</w:t>
      </w:r>
    </w:p>
    <w:p w14:paraId="2E3941D1" w14:textId="77777777" w:rsidR="00D52F55" w:rsidRPr="00DE096C" w:rsidRDefault="00D52F55" w:rsidP="00D45A46">
      <w:pPr>
        <w:jc w:val="both"/>
        <w:rPr>
          <w:bCs/>
          <w:i/>
          <w:color w:val="002060"/>
          <w:sz w:val="16"/>
          <w:szCs w:val="16"/>
        </w:rPr>
      </w:pPr>
    </w:p>
    <w:p w14:paraId="659EB4D5" w14:textId="77777777" w:rsidR="00D52F55" w:rsidRPr="00DE096C" w:rsidRDefault="00D52F55" w:rsidP="00D45A46">
      <w:pPr>
        <w:jc w:val="both"/>
        <w:rPr>
          <w:bCs/>
          <w:color w:val="002060"/>
          <w:sz w:val="16"/>
          <w:szCs w:val="16"/>
        </w:rPr>
      </w:pPr>
      <w:r w:rsidRPr="00DE096C">
        <w:rPr>
          <w:bCs/>
          <w:color w:val="002060"/>
          <w:sz w:val="16"/>
          <w:szCs w:val="16"/>
        </w:rPr>
        <w:t xml:space="preserve">20 июня (2 июля) в 1914 году летчик Гаро на </w:t>
      </w:r>
      <w:hyperlink r:id="rId27" w:tgtFrame="_blank" w:history="1">
        <w:r w:rsidRPr="00DE096C">
          <w:rPr>
            <w:bCs/>
            <w:color w:val="002060"/>
            <w:sz w:val="16"/>
            <w:szCs w:val="16"/>
          </w:rPr>
          <w:t xml:space="preserve">«аэроплане Шмитта №7» </w:t>
        </w:r>
      </w:hyperlink>
      <w:r w:rsidRPr="00DE096C">
        <w:rPr>
          <w:bCs/>
          <w:color w:val="002060"/>
          <w:sz w:val="16"/>
          <w:szCs w:val="16"/>
        </w:rPr>
        <w:t>с тремя пассажирами установил рекорд продолжительности полета 4 часа 3 минуты. «Аэроплан Шмитта №.7» крупный биплан со 160-сильным двухрядным ротативным мотором "Гном" и механизмом, изменяющим угол установки крыльев относительно продольной оси фюзеляжа. Самолет оказался вполне удачным (14940).</w:t>
      </w:r>
    </w:p>
    <w:p w14:paraId="148C3B47" w14:textId="77777777" w:rsidR="00D52F55" w:rsidRPr="00DE096C" w:rsidRDefault="00D52F55" w:rsidP="00D45A46">
      <w:pPr>
        <w:jc w:val="both"/>
        <w:rPr>
          <w:bCs/>
          <w:color w:val="002060"/>
          <w:sz w:val="16"/>
          <w:szCs w:val="16"/>
        </w:rPr>
      </w:pPr>
    </w:p>
    <w:p w14:paraId="62CADBD9" w14:textId="77777777" w:rsidR="00D52F55" w:rsidRPr="00DE096C" w:rsidRDefault="00D52F55" w:rsidP="00D45A46">
      <w:pPr>
        <w:jc w:val="both"/>
        <w:rPr>
          <w:bCs/>
          <w:i/>
          <w:color w:val="002060"/>
          <w:sz w:val="16"/>
          <w:szCs w:val="16"/>
        </w:rPr>
      </w:pPr>
      <w:r w:rsidRPr="00DE096C">
        <w:rPr>
          <w:bCs/>
          <w:i/>
          <w:color w:val="002060"/>
          <w:sz w:val="16"/>
          <w:szCs w:val="16"/>
        </w:rPr>
        <w:t>За рубежом:</w:t>
      </w:r>
    </w:p>
    <w:p w14:paraId="1B60F17F" w14:textId="77777777" w:rsidR="00D52F55" w:rsidRPr="00DE096C" w:rsidRDefault="00D52F55" w:rsidP="00D45A46">
      <w:pPr>
        <w:jc w:val="both"/>
        <w:rPr>
          <w:bCs/>
          <w:color w:val="002060"/>
          <w:sz w:val="16"/>
          <w:szCs w:val="16"/>
        </w:rPr>
      </w:pPr>
    </w:p>
    <w:p w14:paraId="711D4A8F" w14:textId="77777777" w:rsidR="00D52F55" w:rsidRPr="00DE096C" w:rsidRDefault="00D52F55" w:rsidP="00D45A46">
      <w:pPr>
        <w:jc w:val="both"/>
        <w:rPr>
          <w:bCs/>
          <w:color w:val="002060"/>
          <w:sz w:val="16"/>
          <w:szCs w:val="16"/>
        </w:rPr>
      </w:pPr>
      <w:r w:rsidRPr="00DE096C">
        <w:rPr>
          <w:bCs/>
          <w:color w:val="002060"/>
          <w:sz w:val="16"/>
          <w:szCs w:val="16"/>
        </w:rPr>
        <w:t>20 июня (2 июля) в 1914 году император Вильгельм II получил меморандум императора Австро-Венгрии Франца Иосифа: "... Удалось в качестве противовеса против проникновения Сербии заложить основы независимого албанского государства, которое, возможно, через несколько лет после завершения его внутренней организации станет военным фактором в расчетах Тройственного союза" (14940).</w:t>
      </w:r>
    </w:p>
    <w:p w14:paraId="0BC23D59" w14:textId="77777777" w:rsidR="00D52F55" w:rsidRPr="00DE096C" w:rsidRDefault="00D52F55" w:rsidP="00D45A46">
      <w:pPr>
        <w:jc w:val="both"/>
        <w:rPr>
          <w:bCs/>
          <w:color w:val="002060"/>
          <w:sz w:val="16"/>
          <w:szCs w:val="16"/>
        </w:rPr>
      </w:pPr>
    </w:p>
    <w:p w14:paraId="35B83A4D"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77A173EF" w14:textId="77777777" w:rsidR="00B67D7C" w:rsidRPr="00DE096C" w:rsidRDefault="00B67D7C" w:rsidP="00D45A46">
      <w:pPr>
        <w:shd w:val="clear" w:color="auto" w:fill="FFFFFF"/>
        <w:jc w:val="both"/>
        <w:rPr>
          <w:bCs/>
          <w:i/>
          <w:color w:val="002060"/>
          <w:sz w:val="16"/>
          <w:szCs w:val="16"/>
        </w:rPr>
      </w:pPr>
    </w:p>
    <w:p w14:paraId="07E9A179" w14:textId="1482690E" w:rsidR="00B67D7C" w:rsidRPr="00DE096C" w:rsidRDefault="00B67D7C" w:rsidP="00D45A46">
      <w:pPr>
        <w:jc w:val="both"/>
        <w:rPr>
          <w:bCs/>
          <w:color w:val="002060"/>
          <w:sz w:val="16"/>
          <w:szCs w:val="16"/>
        </w:rPr>
      </w:pPr>
      <w:r w:rsidRPr="00DE096C">
        <w:rPr>
          <w:bCs/>
          <w:color w:val="002060"/>
          <w:sz w:val="16"/>
          <w:szCs w:val="16"/>
        </w:rPr>
        <w:t>21 июня (4 июля) 1914</w:t>
      </w:r>
      <w:r w:rsidR="007E17C7" w:rsidRPr="00DE096C">
        <w:rPr>
          <w:bCs/>
          <w:color w:val="002060"/>
          <w:sz w:val="16"/>
          <w:szCs w:val="16"/>
        </w:rPr>
        <w:t xml:space="preserve"> г.</w:t>
      </w:r>
      <w:r w:rsidRPr="00DE096C">
        <w:rPr>
          <w:bCs/>
          <w:color w:val="002060"/>
          <w:sz w:val="16"/>
          <w:szCs w:val="16"/>
        </w:rPr>
        <w:t xml:space="preserve"> или в октябре 1913 была утверждена разрабатываемая с 1912 году “Большой программы по усилению армии“, одно из важнейших мероприятий военного ведомства по усилению сухопутных войск. “Большая программа” предусматривала обеспечение армии воздухоплавательной, авиационной и автомобильной техникой, расширение военных заводов и арсеналов. На осуществление “Большой программы” требовалось 433,2 млн. рублей. Реализация программы началась еще в 1913 г. война не позволила ее выполнить.</w:t>
      </w:r>
    </w:p>
    <w:p w14:paraId="28E445FF" w14:textId="77777777" w:rsidR="00B67D7C" w:rsidRPr="00DE096C" w:rsidRDefault="00B67D7C" w:rsidP="00D45A46">
      <w:pPr>
        <w:shd w:val="clear" w:color="auto" w:fill="FFFFFF"/>
        <w:jc w:val="both"/>
        <w:rPr>
          <w:bCs/>
          <w:color w:val="002060"/>
          <w:sz w:val="16"/>
          <w:szCs w:val="16"/>
        </w:rPr>
      </w:pPr>
    </w:p>
    <w:p w14:paraId="7C40C7D7" w14:textId="77777777" w:rsidR="007E17C7" w:rsidRPr="00DE096C" w:rsidRDefault="007E17C7" w:rsidP="00D45A46">
      <w:pPr>
        <w:jc w:val="both"/>
        <w:rPr>
          <w:bCs/>
          <w:i/>
          <w:color w:val="002060"/>
          <w:sz w:val="16"/>
          <w:szCs w:val="16"/>
        </w:rPr>
      </w:pPr>
      <w:r w:rsidRPr="00DE096C">
        <w:rPr>
          <w:bCs/>
          <w:i/>
          <w:color w:val="002060"/>
          <w:sz w:val="16"/>
          <w:szCs w:val="16"/>
        </w:rPr>
        <w:t>За рубежом:</w:t>
      </w:r>
    </w:p>
    <w:p w14:paraId="5C3F7B70" w14:textId="77777777" w:rsidR="007E17C7" w:rsidRPr="00DE096C" w:rsidRDefault="007E17C7" w:rsidP="00D45A46">
      <w:pPr>
        <w:jc w:val="both"/>
        <w:rPr>
          <w:bCs/>
          <w:color w:val="002060"/>
          <w:sz w:val="16"/>
          <w:szCs w:val="16"/>
        </w:rPr>
      </w:pPr>
    </w:p>
    <w:p w14:paraId="0A6F6D1B" w14:textId="77777777" w:rsidR="007E17C7" w:rsidRPr="00DE096C" w:rsidRDefault="007E17C7" w:rsidP="00D45A46">
      <w:pPr>
        <w:jc w:val="both"/>
        <w:rPr>
          <w:bCs/>
          <w:color w:val="002060"/>
          <w:sz w:val="16"/>
          <w:szCs w:val="16"/>
        </w:rPr>
      </w:pPr>
      <w:r w:rsidRPr="00DE096C">
        <w:rPr>
          <w:bCs/>
          <w:color w:val="002060"/>
          <w:sz w:val="16"/>
          <w:szCs w:val="16"/>
        </w:rPr>
        <w:t>22 июня (5 июля) в 1914 году кайзер Германии Вильгельм II заверил, что в случае европейской войны немцы выполнят свои союзнические обязательства перед Австро-Венгрией (14943).</w:t>
      </w:r>
    </w:p>
    <w:p w14:paraId="6FB94A1F" w14:textId="77777777" w:rsidR="007E17C7" w:rsidRPr="00DE096C" w:rsidRDefault="007E17C7" w:rsidP="00D45A46">
      <w:pPr>
        <w:jc w:val="both"/>
        <w:rPr>
          <w:bCs/>
          <w:color w:val="002060"/>
          <w:sz w:val="16"/>
          <w:szCs w:val="16"/>
        </w:rPr>
      </w:pPr>
    </w:p>
    <w:p w14:paraId="585E1377"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Другие оборонные отрасли:</w:t>
      </w:r>
    </w:p>
    <w:p w14:paraId="2C1D8F2D" w14:textId="77777777" w:rsidR="00B67D7C" w:rsidRPr="00DE096C" w:rsidRDefault="00B67D7C" w:rsidP="00D45A46">
      <w:pPr>
        <w:shd w:val="clear" w:color="auto" w:fill="FFFFFF"/>
        <w:jc w:val="both"/>
        <w:rPr>
          <w:bCs/>
          <w:i/>
          <w:color w:val="002060"/>
          <w:sz w:val="16"/>
          <w:szCs w:val="16"/>
        </w:rPr>
      </w:pPr>
    </w:p>
    <w:p w14:paraId="050A8E1D" w14:textId="7D5A49A6" w:rsidR="00B67D7C" w:rsidRPr="00DE096C" w:rsidRDefault="00B67D7C" w:rsidP="00D45A46">
      <w:pPr>
        <w:jc w:val="both"/>
        <w:rPr>
          <w:bCs/>
          <w:color w:val="002060"/>
          <w:sz w:val="16"/>
          <w:szCs w:val="16"/>
        </w:rPr>
      </w:pPr>
      <w:r w:rsidRPr="00DE096C">
        <w:rPr>
          <w:bCs/>
          <w:color w:val="002060"/>
          <w:sz w:val="16"/>
          <w:szCs w:val="16"/>
        </w:rPr>
        <w:t>23</w:t>
      </w:r>
      <w:r w:rsidR="007E17C7" w:rsidRPr="00DE096C">
        <w:rPr>
          <w:bCs/>
          <w:color w:val="002060"/>
          <w:sz w:val="16"/>
          <w:szCs w:val="16"/>
        </w:rPr>
        <w:t xml:space="preserve"> июня (6 июля) </w:t>
      </w:r>
      <w:r w:rsidRPr="00DE096C">
        <w:rPr>
          <w:bCs/>
          <w:color w:val="002060"/>
          <w:sz w:val="16"/>
          <w:szCs w:val="16"/>
        </w:rPr>
        <w:t>1914</w:t>
      </w:r>
      <w:r w:rsidR="007E17C7" w:rsidRPr="00DE096C">
        <w:rPr>
          <w:bCs/>
          <w:color w:val="002060"/>
          <w:sz w:val="16"/>
          <w:szCs w:val="16"/>
        </w:rPr>
        <w:t xml:space="preserve"> </w:t>
      </w:r>
      <w:r w:rsidRPr="00DE096C">
        <w:rPr>
          <w:bCs/>
          <w:color w:val="002060"/>
          <w:sz w:val="16"/>
          <w:szCs w:val="16"/>
        </w:rPr>
        <w:t>г. была открыта</w:t>
      </w:r>
      <w:r w:rsidR="007E17C7" w:rsidRPr="00DE096C">
        <w:rPr>
          <w:bCs/>
          <w:color w:val="002060"/>
          <w:sz w:val="16"/>
          <w:szCs w:val="16"/>
        </w:rPr>
        <w:t xml:space="preserve"> Бачмановская фабрика сельскохозяйственных машин (Бачмановская фабрика сельскохозяйственных машин товарищества «Эмиль Лингарт и К°»</w:t>
      </w:r>
      <w:r w:rsidRPr="00DE096C">
        <w:rPr>
          <w:bCs/>
          <w:color w:val="002060"/>
          <w:sz w:val="16"/>
          <w:szCs w:val="16"/>
        </w:rPr>
        <w:t xml:space="preserve">. </w:t>
      </w:r>
      <w:r w:rsidR="007E17C7" w:rsidRPr="00DE096C">
        <w:rPr>
          <w:bCs/>
          <w:color w:val="002060"/>
          <w:sz w:val="16"/>
          <w:szCs w:val="16"/>
        </w:rPr>
        <w:t xml:space="preserve">(Бачмановская фабрика сельскохозяйственных машин (Бачмановская фабрика сельскохозяйственных машин товарищества «Эмиль Лингарт и К°», Центральные артиллерийские мастерские (ЦАМ), Артиллерийский ремонтно-опытный завод (АРОЗ), Государственный артиллерийский ремонтно-опытный завод (ГАРОЗ) № 1 им. К.Е. Ворошилова НКО, НКОП, ГС завод им. К.Е. Ворошилова НКОП, Завод сельхозмашин им. Ворошилова, Бачмановский механический артиллерийский завод (мехартзавод, БМАЗ) им. Левшина, Завод им. Левшина ВСНХ /дер. Бачманово Московской губ., ст. Голутвино Московско-Казанской ж/д (1927г.); г. Коломна Московской обл./) </w:t>
      </w:r>
      <w:r w:rsidRPr="00DE096C">
        <w:rPr>
          <w:bCs/>
          <w:color w:val="002060"/>
          <w:sz w:val="16"/>
          <w:szCs w:val="16"/>
        </w:rPr>
        <w:t>Выпускала сельхозмашины: молотилки, веялки. 15.05.1915г. она была куплена Коломенским заводом и становится его снарядным отделом (по другой информации, фабрика стала отделением Петроградского ремартзавода). В годы 1-й Мировой войны завод выпускал артиллерийские снаряды.</w:t>
      </w:r>
    </w:p>
    <w:p w14:paraId="00FA9D12" w14:textId="77777777" w:rsidR="00B67D7C" w:rsidRPr="00DE096C" w:rsidRDefault="00B67D7C" w:rsidP="00D45A46">
      <w:pPr>
        <w:jc w:val="both"/>
        <w:rPr>
          <w:bCs/>
          <w:color w:val="002060"/>
          <w:sz w:val="16"/>
          <w:szCs w:val="16"/>
        </w:rPr>
      </w:pPr>
      <w:r w:rsidRPr="00DE096C">
        <w:rPr>
          <w:bCs/>
          <w:color w:val="002060"/>
          <w:sz w:val="16"/>
          <w:szCs w:val="16"/>
        </w:rPr>
        <w:t xml:space="preserve">В 1918г. на площадку завода эвакуирована основная часть Петроградского ремартзавода, а в 1919г. - Киевского. В 1920-е г. он преобразован в Центральные артиллерийские мастерские (ЦАМ). В 07.1927г. Завод им. Левшина - в ведении Орударса ВПУ ВСНХ. С 1930г. - АРОЗ, а с 1932г. - ГАРОЗ (публично и в печати назывался «Завод сельхозмашин им. Ворошилова»). По пр. № 167сс от 17.05.1938г. ГАРОЗ № 1 им. Ворошилова НКО передан в ведение НКОП, по пр. № 408 от 29.10.1938г. переименован в ГС завод им. Ворошилова (планировалось присвоить ему № 379, затем № 350, но не было выполнено), утвержден его Устав, в 07-12.1938г. - в ведении ЗГУ. В 02.1939г. Завод им. Ворошилова ЗГУ передан в ведение ЗГУ НКВ, с 1946г. - в ведении </w:t>
      </w:r>
      <w:r w:rsidRPr="00DE096C">
        <w:rPr>
          <w:bCs/>
          <w:color w:val="002060"/>
          <w:sz w:val="16"/>
          <w:szCs w:val="16"/>
          <w:lang w:val="en-US"/>
        </w:rPr>
        <w:t>MB</w:t>
      </w:r>
      <w:r w:rsidRPr="00DE096C">
        <w:rPr>
          <w:bCs/>
          <w:color w:val="002060"/>
          <w:sz w:val="16"/>
          <w:szCs w:val="16"/>
        </w:rPr>
        <w:t>.</w:t>
      </w:r>
    </w:p>
    <w:p w14:paraId="2968674D" w14:textId="77777777" w:rsidR="00B67D7C" w:rsidRPr="00DE096C" w:rsidRDefault="00B67D7C" w:rsidP="00D45A46">
      <w:pPr>
        <w:jc w:val="both"/>
        <w:rPr>
          <w:bCs/>
          <w:color w:val="002060"/>
          <w:sz w:val="16"/>
          <w:szCs w:val="16"/>
        </w:rPr>
      </w:pPr>
      <w:r w:rsidRPr="00DE096C">
        <w:rPr>
          <w:bCs/>
          <w:color w:val="002060"/>
          <w:sz w:val="16"/>
          <w:szCs w:val="16"/>
        </w:rPr>
        <w:t>По пр. № 167сс на заводе требовалось организовать производство 76-мм зенитной пушки особой доставки («ОД») по чертежам фирмы «Шкода», немедленно запустить в производство 1-ю серию; в срок 10 дней необходимо было организовать Бюро по приемке чертежей и материалов по 76-мм пушке. По пр. № 397с от 13.10.1938г. для начала подготовки производства пушки «ОД» на завод переведены: зам. начальника КБ завода № 92 П.И. Костин, назначенный начальником КБ завода им. Ворошилова; 7 специалистов с завода № 8, 10 технологов с других заводов и 20 молодых специалистов.</w:t>
      </w:r>
    </w:p>
    <w:p w14:paraId="254FAB73" w14:textId="77777777" w:rsidR="00B67D7C" w:rsidRPr="00DE096C" w:rsidRDefault="00B67D7C" w:rsidP="00D45A46">
      <w:pPr>
        <w:jc w:val="both"/>
        <w:rPr>
          <w:bCs/>
          <w:color w:val="002060"/>
          <w:sz w:val="16"/>
          <w:szCs w:val="16"/>
        </w:rPr>
      </w:pPr>
      <w:r w:rsidRPr="00DE096C">
        <w:rPr>
          <w:bCs/>
          <w:color w:val="002060"/>
          <w:sz w:val="16"/>
          <w:szCs w:val="16"/>
        </w:rPr>
        <w:t>По пр. ЗГУ № 143 от 5.08.1938г. на заводе на базе ОКСа создано УКС и введена должность начальника УКС/зам. директора по капстроительству.</w:t>
      </w:r>
    </w:p>
    <w:p w14:paraId="7C711BC6" w14:textId="77777777" w:rsidR="00B67D7C" w:rsidRPr="00DE096C" w:rsidRDefault="00B67D7C" w:rsidP="00D45A46">
      <w:pPr>
        <w:jc w:val="both"/>
        <w:rPr>
          <w:bCs/>
          <w:color w:val="002060"/>
          <w:sz w:val="16"/>
          <w:szCs w:val="16"/>
        </w:rPr>
      </w:pPr>
      <w:r w:rsidRPr="00DE096C">
        <w:rPr>
          <w:bCs/>
          <w:color w:val="002060"/>
          <w:sz w:val="16"/>
          <w:szCs w:val="16"/>
        </w:rPr>
        <w:t>Изготовлял зенитные орудия и другие изделия военной техники. Перед войной - ремонт артиллерийских систем.</w:t>
      </w:r>
    </w:p>
    <w:p w14:paraId="1A437DF2" w14:textId="77777777" w:rsidR="00B67D7C" w:rsidRPr="00DE096C" w:rsidRDefault="00B67D7C" w:rsidP="00D45A46">
      <w:pPr>
        <w:jc w:val="both"/>
        <w:rPr>
          <w:bCs/>
          <w:color w:val="002060"/>
          <w:sz w:val="16"/>
          <w:szCs w:val="16"/>
        </w:rPr>
      </w:pPr>
      <w:r w:rsidRPr="00DE096C">
        <w:rPr>
          <w:bCs/>
          <w:color w:val="002060"/>
          <w:sz w:val="16"/>
          <w:szCs w:val="16"/>
        </w:rPr>
        <w:t>Из состава ГАРОЗ был выделен самостоятельный завод № 4 им. Ворошилова НКВ.</w:t>
      </w:r>
    </w:p>
    <w:p w14:paraId="2A43644A" w14:textId="77777777" w:rsidR="00B67D7C" w:rsidRPr="00DE096C" w:rsidRDefault="00B67D7C" w:rsidP="00D45A46">
      <w:pPr>
        <w:jc w:val="both"/>
        <w:rPr>
          <w:bCs/>
          <w:color w:val="002060"/>
          <w:sz w:val="16"/>
          <w:szCs w:val="16"/>
        </w:rPr>
      </w:pPr>
      <w:r w:rsidRPr="00DE096C">
        <w:rPr>
          <w:bCs/>
          <w:color w:val="002060"/>
          <w:sz w:val="16"/>
          <w:szCs w:val="16"/>
        </w:rPr>
        <w:t>В 1941г. после начала войны завод эвакуирован в Красноярск. Около 10 тыс. человек, 537 вагонов со станками и 627 вагонов с материалами.</w:t>
      </w:r>
    </w:p>
    <w:p w14:paraId="766B2746" w14:textId="77777777" w:rsidR="00B67D7C" w:rsidRPr="00DE096C" w:rsidRDefault="00B67D7C" w:rsidP="00D45A46">
      <w:pPr>
        <w:jc w:val="both"/>
        <w:rPr>
          <w:bCs/>
          <w:color w:val="002060"/>
          <w:sz w:val="16"/>
          <w:szCs w:val="16"/>
        </w:rPr>
      </w:pPr>
      <w:r w:rsidRPr="00DE096C">
        <w:rPr>
          <w:bCs/>
          <w:color w:val="002060"/>
          <w:sz w:val="16"/>
          <w:szCs w:val="16"/>
        </w:rPr>
        <w:t>Численность персонала (1920г.)- около 4 тыс. чел.</w:t>
      </w:r>
    </w:p>
    <w:p w14:paraId="07CE91B5" w14:textId="77777777" w:rsidR="00B67D7C" w:rsidRPr="00DE096C" w:rsidRDefault="00B67D7C" w:rsidP="00D45A46">
      <w:pPr>
        <w:jc w:val="both"/>
        <w:rPr>
          <w:bCs/>
          <w:color w:val="002060"/>
          <w:sz w:val="16"/>
          <w:szCs w:val="16"/>
        </w:rPr>
      </w:pPr>
      <w:r w:rsidRPr="00DE096C">
        <w:rPr>
          <w:bCs/>
          <w:color w:val="002060"/>
          <w:sz w:val="16"/>
          <w:szCs w:val="16"/>
        </w:rPr>
        <w:t>Директор (08.1938; 29.10.1938г.-)- В.Ф. Елисеев, (1939-41г.)- ЯЛ. Шифрин, (1939-40г.)- Каганович, (1939- 41г.)- П.И. Костин, (1940-е)- Б.А. Хазанов, (1953г.)- Н.А. Носовский, (1997г.)- О.А. Сатиков.</w:t>
      </w:r>
    </w:p>
    <w:p w14:paraId="1AB8882D" w14:textId="77777777" w:rsidR="00B67D7C" w:rsidRPr="00DE096C" w:rsidRDefault="00B67D7C" w:rsidP="00D45A46">
      <w:pPr>
        <w:jc w:val="both"/>
        <w:rPr>
          <w:bCs/>
          <w:color w:val="002060"/>
          <w:sz w:val="16"/>
          <w:szCs w:val="16"/>
        </w:rPr>
      </w:pPr>
      <w:r w:rsidRPr="00DE096C">
        <w:rPr>
          <w:bCs/>
          <w:color w:val="002060"/>
          <w:sz w:val="16"/>
          <w:szCs w:val="16"/>
        </w:rPr>
        <w:t>Гл. инженер (19.07.1938г.-)- П.М. Лапчинский.</w:t>
      </w:r>
    </w:p>
    <w:p w14:paraId="344CDB66" w14:textId="77777777" w:rsidR="00B67D7C" w:rsidRPr="00DE096C" w:rsidRDefault="00B67D7C" w:rsidP="00D45A46">
      <w:pPr>
        <w:jc w:val="both"/>
        <w:rPr>
          <w:bCs/>
          <w:color w:val="002060"/>
          <w:sz w:val="16"/>
          <w:szCs w:val="16"/>
        </w:rPr>
      </w:pPr>
      <w:r w:rsidRPr="00DE096C">
        <w:rPr>
          <w:bCs/>
          <w:color w:val="002060"/>
          <w:sz w:val="16"/>
          <w:szCs w:val="16"/>
        </w:rPr>
        <w:t>Гл. технолог (17.07.1938г.-)- В.Т. Зубов.</w:t>
      </w:r>
    </w:p>
    <w:p w14:paraId="0389A29D" w14:textId="77777777" w:rsidR="00B67D7C" w:rsidRPr="00DE096C" w:rsidRDefault="00B67D7C" w:rsidP="00D45A46">
      <w:pPr>
        <w:jc w:val="both"/>
        <w:rPr>
          <w:bCs/>
          <w:color w:val="002060"/>
          <w:sz w:val="16"/>
          <w:szCs w:val="16"/>
        </w:rPr>
      </w:pPr>
      <w:r w:rsidRPr="00DE096C">
        <w:rPr>
          <w:bCs/>
          <w:color w:val="002060"/>
          <w:sz w:val="16"/>
          <w:szCs w:val="16"/>
        </w:rPr>
        <w:t>Начальник КБ (13.10.1938г.-&gt; П.И. Костин (11982).</w:t>
      </w:r>
    </w:p>
    <w:p w14:paraId="52300A3F" w14:textId="7F314A86" w:rsidR="00B67D7C" w:rsidRPr="00DE096C" w:rsidRDefault="00B67D7C" w:rsidP="00D45A46">
      <w:pPr>
        <w:jc w:val="both"/>
        <w:rPr>
          <w:bCs/>
          <w:color w:val="002060"/>
          <w:sz w:val="16"/>
          <w:szCs w:val="16"/>
        </w:rPr>
      </w:pPr>
    </w:p>
    <w:p w14:paraId="2104E0B5" w14:textId="1955AD6F" w:rsidR="00770198" w:rsidRPr="00DE096C" w:rsidRDefault="00770198" w:rsidP="00D45A46">
      <w:pPr>
        <w:jc w:val="both"/>
        <w:rPr>
          <w:bCs/>
          <w:i/>
          <w:iCs/>
          <w:color w:val="002060"/>
          <w:sz w:val="16"/>
          <w:szCs w:val="16"/>
        </w:rPr>
      </w:pPr>
      <w:r w:rsidRPr="00DE096C">
        <w:rPr>
          <w:bCs/>
          <w:i/>
          <w:iCs/>
          <w:color w:val="002060"/>
          <w:sz w:val="16"/>
          <w:szCs w:val="16"/>
        </w:rPr>
        <w:t>Авиация:</w:t>
      </w:r>
    </w:p>
    <w:p w14:paraId="0835AE8F" w14:textId="77777777" w:rsidR="00770198" w:rsidRPr="00DE096C" w:rsidRDefault="00770198" w:rsidP="00D45A46">
      <w:pPr>
        <w:jc w:val="both"/>
        <w:rPr>
          <w:bCs/>
          <w:i/>
          <w:iCs/>
          <w:color w:val="002060"/>
          <w:sz w:val="16"/>
          <w:szCs w:val="16"/>
        </w:rPr>
      </w:pPr>
    </w:p>
    <w:p w14:paraId="49648845" w14:textId="77777777" w:rsidR="00770198" w:rsidRPr="00DE096C" w:rsidRDefault="00770198" w:rsidP="00D45A46">
      <w:pPr>
        <w:jc w:val="both"/>
        <w:rPr>
          <w:bCs/>
          <w:color w:val="002060"/>
          <w:sz w:val="16"/>
          <w:szCs w:val="16"/>
        </w:rPr>
      </w:pPr>
      <w:r w:rsidRPr="00DE096C">
        <w:rPr>
          <w:bCs/>
          <w:color w:val="002060"/>
          <w:sz w:val="16"/>
          <w:szCs w:val="16"/>
        </w:rPr>
        <w:t>23 июня (6 июля) 1914 г. военный летчик подпоручик А.Е.Жуков на самолете Кертис выдетел из Севастополя в Петербург, надеясь получить приз Абамелек-Лазарова в 10.000 руб., установленный за такой перелет в течение 24 часов. При первой посадке за ст. Александровск Жуков поломал самолет прекратил полет.</w:t>
      </w:r>
    </w:p>
    <w:p w14:paraId="30CCADD0" w14:textId="77777777" w:rsidR="00770198" w:rsidRPr="00DE096C" w:rsidRDefault="00770198" w:rsidP="00D45A46">
      <w:pPr>
        <w:jc w:val="both"/>
        <w:rPr>
          <w:bCs/>
          <w:color w:val="002060"/>
          <w:sz w:val="16"/>
          <w:szCs w:val="16"/>
        </w:rPr>
      </w:pPr>
      <w:r w:rsidRPr="00DE096C">
        <w:rPr>
          <w:bCs/>
          <w:color w:val="002060"/>
          <w:sz w:val="16"/>
          <w:szCs w:val="16"/>
        </w:rPr>
        <w:t>/"Аэро" 1914, № 13/ (23320).</w:t>
      </w:r>
    </w:p>
    <w:p w14:paraId="3734C9DF" w14:textId="77777777" w:rsidR="00770198" w:rsidRPr="00DE096C" w:rsidRDefault="00770198" w:rsidP="00D45A46">
      <w:pPr>
        <w:jc w:val="both"/>
        <w:rPr>
          <w:bCs/>
          <w:color w:val="002060"/>
          <w:sz w:val="16"/>
          <w:szCs w:val="16"/>
        </w:rPr>
      </w:pPr>
    </w:p>
    <w:p w14:paraId="383F581A"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Другие оборонные отрасли:</w:t>
      </w:r>
    </w:p>
    <w:p w14:paraId="7123A3E0" w14:textId="77777777" w:rsidR="00B67D7C" w:rsidRPr="00DE096C" w:rsidRDefault="00B67D7C" w:rsidP="00D45A46">
      <w:pPr>
        <w:shd w:val="clear" w:color="auto" w:fill="FFFFFF"/>
        <w:jc w:val="both"/>
        <w:rPr>
          <w:bCs/>
          <w:i/>
          <w:color w:val="002060"/>
          <w:sz w:val="16"/>
          <w:szCs w:val="16"/>
        </w:rPr>
      </w:pPr>
    </w:p>
    <w:p w14:paraId="7C6AB57C" w14:textId="71C32B13" w:rsidR="00B67D7C" w:rsidRPr="00DE096C" w:rsidRDefault="00B67D7C" w:rsidP="00D45A46">
      <w:pPr>
        <w:jc w:val="both"/>
        <w:rPr>
          <w:bCs/>
          <w:color w:val="002060"/>
          <w:sz w:val="16"/>
          <w:szCs w:val="16"/>
        </w:rPr>
      </w:pPr>
      <w:r w:rsidRPr="00DE096C">
        <w:rPr>
          <w:bCs/>
          <w:color w:val="002060"/>
          <w:sz w:val="16"/>
          <w:szCs w:val="16"/>
        </w:rPr>
        <w:t>24 июня (7 июля) 1914 г.</w:t>
      </w:r>
      <w:r w:rsidR="009B7851" w:rsidRPr="00DE096C">
        <w:rPr>
          <w:bCs/>
          <w:color w:val="002060"/>
          <w:sz w:val="16"/>
          <w:szCs w:val="16"/>
        </w:rPr>
        <w:t xml:space="preserve"> разработанная ГУГШ большая программа 1913 г., предусматривающая значительное усиление артиллерии - большая программа, получила силу закона</w:t>
      </w:r>
      <w:r w:rsidRPr="00DE096C">
        <w:rPr>
          <w:bCs/>
          <w:color w:val="002060"/>
          <w:sz w:val="16"/>
          <w:szCs w:val="16"/>
        </w:rPr>
        <w:t>, а через месяц началась война.</w:t>
      </w:r>
    </w:p>
    <w:p w14:paraId="24C148EA" w14:textId="77777777" w:rsidR="00B67D7C" w:rsidRPr="00DE096C" w:rsidRDefault="00B67D7C" w:rsidP="00D45A46">
      <w:pPr>
        <w:jc w:val="both"/>
        <w:rPr>
          <w:bCs/>
          <w:color w:val="002060"/>
          <w:sz w:val="16"/>
          <w:szCs w:val="16"/>
        </w:rPr>
      </w:pPr>
      <w:r w:rsidRPr="00DE096C">
        <w:rPr>
          <w:bCs/>
          <w:color w:val="002060"/>
          <w:sz w:val="16"/>
          <w:szCs w:val="16"/>
        </w:rPr>
        <w:t xml:space="preserve">На неоднократные доклады начальника ГАУ военному министерству о необходимости приступить к осуществлению проекта усиления армии полевой артиллерией всегда получался один ответ: "денег нет". И этот ответ неизменно давался в течение полутора десятков лет до войны. </w:t>
      </w:r>
    </w:p>
    <w:p w14:paraId="2616FE05" w14:textId="77777777" w:rsidR="00B67D7C" w:rsidRPr="00DE096C" w:rsidRDefault="00B67D7C" w:rsidP="00D45A46">
      <w:pPr>
        <w:jc w:val="both"/>
        <w:rPr>
          <w:bCs/>
          <w:color w:val="002060"/>
          <w:sz w:val="16"/>
          <w:szCs w:val="16"/>
        </w:rPr>
      </w:pPr>
      <w:r w:rsidRPr="00DE096C">
        <w:rPr>
          <w:bCs/>
          <w:color w:val="002060"/>
          <w:sz w:val="16"/>
          <w:szCs w:val="16"/>
        </w:rPr>
        <w:t xml:space="preserve">Несогласие представителей министерства финансов базировалось на том, что "вопрос увеличения артиллерии лишь поставлен на очередь, но еще не получил утверждения". </w:t>
      </w:r>
    </w:p>
    <w:p w14:paraId="5B1BC475" w14:textId="77777777" w:rsidR="00B67D7C" w:rsidRPr="00DE096C" w:rsidRDefault="00B67D7C" w:rsidP="00D45A46">
      <w:pPr>
        <w:jc w:val="both"/>
        <w:rPr>
          <w:bCs/>
          <w:color w:val="002060"/>
          <w:sz w:val="16"/>
          <w:szCs w:val="16"/>
        </w:rPr>
      </w:pPr>
      <w:r w:rsidRPr="00DE096C">
        <w:rPr>
          <w:bCs/>
          <w:color w:val="002060"/>
          <w:sz w:val="16"/>
          <w:szCs w:val="16"/>
        </w:rPr>
        <w:t xml:space="preserve">Ввиду тяжелого положения государственного казначейства, контролирующие министерства даже настаивали на от-срочке доведения мобилизационных запасов до нормы (журнал "Сов. гос.. обор." 9 (22) мая 1908 г.), совершенно не до-пуская дополнительных ассигнований на удовлетворение потребностей военного ведомства. </w:t>
      </w:r>
    </w:p>
    <w:p w14:paraId="534C90A6" w14:textId="77777777" w:rsidR="00B67D7C" w:rsidRPr="00DE096C" w:rsidRDefault="00B67D7C" w:rsidP="00D45A46">
      <w:pPr>
        <w:jc w:val="both"/>
        <w:rPr>
          <w:bCs/>
          <w:color w:val="002060"/>
          <w:sz w:val="16"/>
          <w:szCs w:val="16"/>
        </w:rPr>
      </w:pPr>
      <w:r w:rsidRPr="00DE096C">
        <w:rPr>
          <w:bCs/>
          <w:color w:val="002060"/>
          <w:sz w:val="16"/>
          <w:szCs w:val="16"/>
        </w:rPr>
        <w:t xml:space="preserve">Так, в 1908 г., когда выяснилась настоятельная необходимость снять с вооружения некоторых батарей Кавказского и Туркестанского округов старые, негодные 2,5-дм. горные пушки обр. 1883 г., заменив их скорострельными горными пушками системы Шнейдер-Данглис, никаких денежных отпусков на это мероприятие не было, а последовало разрешение на перевооружение 24 батарей Кавказского и Туркестанского округов за счет временного сокращения боевого комплекта всей полевой артиллерии с 1.000 патронов на пушку до 942. </w:t>
      </w:r>
    </w:p>
    <w:p w14:paraId="3B560978" w14:textId="77777777" w:rsidR="00B67D7C" w:rsidRPr="00DE096C" w:rsidRDefault="00B67D7C" w:rsidP="00D45A46">
      <w:pPr>
        <w:jc w:val="both"/>
        <w:rPr>
          <w:bCs/>
          <w:color w:val="002060"/>
          <w:sz w:val="16"/>
          <w:szCs w:val="16"/>
        </w:rPr>
      </w:pPr>
      <w:r w:rsidRPr="00DE096C">
        <w:rPr>
          <w:bCs/>
          <w:color w:val="002060"/>
          <w:sz w:val="16"/>
          <w:szCs w:val="16"/>
        </w:rPr>
        <w:t xml:space="preserve">Путем уменьшения заказов снарядов, пороха и трубок были добыты необходимые для заказа скорострельной горной артиллерии 6,5 миллионов рублей. </w:t>
      </w:r>
    </w:p>
    <w:p w14:paraId="6EB62046" w14:textId="77777777" w:rsidR="00B67D7C" w:rsidRPr="00DE096C" w:rsidRDefault="00B67D7C" w:rsidP="00D45A46">
      <w:pPr>
        <w:jc w:val="both"/>
        <w:rPr>
          <w:bCs/>
          <w:color w:val="002060"/>
          <w:sz w:val="16"/>
          <w:szCs w:val="16"/>
        </w:rPr>
      </w:pPr>
      <w:r w:rsidRPr="00DE096C">
        <w:rPr>
          <w:bCs/>
          <w:color w:val="002060"/>
          <w:sz w:val="16"/>
          <w:szCs w:val="16"/>
        </w:rPr>
        <w:t xml:space="preserve">В позднейшее время, когда командующий войсками Иркутского округа настаивал на скорейшем снабжении артилле-рии округа 3-дм. орудиями обр. 1902 г. взамен износившихся орудий обр. 1900 г., а также на замене горных орудий обр. 1904 г. Обуховского завода горными орудаямн обр. 1909 г. системы Шнейдера - Данглиса, ГАУ не было разрешено требовать денежные средства на это мероприятие, как не подлежащее отнесе-нию на чрезвычайные кредиты, назначенные на пополнение запасов или на новые формирования, ведущие к численному усилению армии, но отнюдь не на замену неисправного вооружения. Начальник решил включить требуемые новые орудия в общую цифру пушек, исчисляемых для новых формирований. </w:t>
      </w:r>
    </w:p>
    <w:p w14:paraId="5C011BE8" w14:textId="77777777" w:rsidR="00B67D7C" w:rsidRPr="00DE096C" w:rsidRDefault="00B67D7C" w:rsidP="00D45A46">
      <w:pPr>
        <w:jc w:val="both"/>
        <w:rPr>
          <w:bCs/>
          <w:color w:val="002060"/>
          <w:sz w:val="16"/>
          <w:szCs w:val="16"/>
        </w:rPr>
      </w:pPr>
      <w:r w:rsidRPr="00DE096C">
        <w:rPr>
          <w:bCs/>
          <w:color w:val="002060"/>
          <w:sz w:val="16"/>
          <w:szCs w:val="16"/>
        </w:rPr>
        <w:t xml:space="preserve">Ходатайства ГАУ об усилении заводской казенной деятельности вообще, начатые с 1905 г., оставались безрезультат-ными. Приобретение артиллерийским ведомством горного пушечного завода было отклонено помощником военного ми-нистра ген. Поливановым. Перенос и переустройство Петербургского орудийного завода были отклонены из-за несогла-сия поверяющих ведомств и пр. </w:t>
      </w:r>
    </w:p>
    <w:p w14:paraId="31988480" w14:textId="77777777" w:rsidR="00B67D7C" w:rsidRPr="00DE096C" w:rsidRDefault="00B67D7C" w:rsidP="00D45A46">
      <w:pPr>
        <w:jc w:val="both"/>
        <w:rPr>
          <w:bCs/>
          <w:color w:val="002060"/>
          <w:sz w:val="16"/>
          <w:szCs w:val="16"/>
        </w:rPr>
      </w:pPr>
      <w:r w:rsidRPr="00DE096C">
        <w:rPr>
          <w:bCs/>
          <w:color w:val="002060"/>
          <w:sz w:val="16"/>
          <w:szCs w:val="16"/>
        </w:rPr>
        <w:t xml:space="preserve">Артиллерию, недостающую по мобилизационному расписанию 1910 г., начальник ГАУ не мог заказать своевременно и в достаточном размере казенным заводам, чтобы они могли оборудоваться и наладить производство новых систем ору-дий, так как он имеет право оперировать лишь в пределах разрешенных и ассигнованных в его распоряжение кредитов, а кредиты не отпускались. </w:t>
      </w:r>
    </w:p>
    <w:p w14:paraId="431FE796" w14:textId="77777777" w:rsidR="00B67D7C" w:rsidRPr="00DE096C" w:rsidRDefault="00B67D7C" w:rsidP="00D45A46">
      <w:pPr>
        <w:jc w:val="both"/>
        <w:rPr>
          <w:bCs/>
          <w:color w:val="002060"/>
          <w:sz w:val="16"/>
          <w:szCs w:val="16"/>
        </w:rPr>
      </w:pPr>
      <w:r w:rsidRPr="00DE096C">
        <w:rPr>
          <w:bCs/>
          <w:color w:val="002060"/>
          <w:sz w:val="16"/>
          <w:szCs w:val="16"/>
        </w:rPr>
        <w:t xml:space="preserve">Несомненно, что в конечном результате все сводилось к деньгам, но ведь одно дело - заплатить этими деньгами за заказ Круппу, Шнейдеру и Виккерсу и другое - израсходовать их (правда, в несколько большем количестве) на развитие и постройку своих заводов. Тут надо было понимать кое-что и помимо одной арифметики, и вот этого понимания н не было ни у военного ведомства, ни у министерства финансов и государственного контроля. </w:t>
      </w:r>
    </w:p>
    <w:p w14:paraId="3A042B1A" w14:textId="675862AC" w:rsidR="00B67D7C" w:rsidRPr="00DE096C" w:rsidRDefault="00B67D7C" w:rsidP="00D45A46">
      <w:pPr>
        <w:shd w:val="clear" w:color="auto" w:fill="FFFFFF"/>
        <w:jc w:val="both"/>
        <w:rPr>
          <w:bCs/>
          <w:color w:val="002060"/>
          <w:sz w:val="16"/>
          <w:szCs w:val="16"/>
        </w:rPr>
      </w:pPr>
      <w:r w:rsidRPr="00DE096C">
        <w:rPr>
          <w:bCs/>
          <w:color w:val="002060"/>
          <w:sz w:val="16"/>
          <w:szCs w:val="16"/>
        </w:rPr>
        <w:lastRenderedPageBreak/>
        <w:t xml:space="preserve">Само ГАУ ограничивалось робкими рапортами и докладами, представляемыми на милостивое благавоззрение его высокопревосходительства... Все это соответствовало тому холопскому укладу взаимоотношений, который издавна устано-вился в военном ведомстве царской России. </w:t>
      </w:r>
    </w:p>
    <w:p w14:paraId="451B6147"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Государственная дума уделяла "особое и горячее внимание нуждам армии" лишь в пределах, установленных 96 стать-ей основных законов царской России и положением Совета министров, утвержденным 24 августа (6 сентября) 1909 г., которым круг ведения законодательных учреждений по военным вопросам ограничивался случаями требований "новых денежных из казны ассигнований". </w:t>
      </w:r>
    </w:p>
    <w:p w14:paraId="466FA894"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Государственная дума уклонилась на путь контроля и улавливания военного министерства в незакономерных дейст-виях, на путь "громких фраз" и "критики ради критики". </w:t>
      </w:r>
    </w:p>
    <w:p w14:paraId="44A300B2"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При рассмотрении в Государственной думе сметы военного министерства 27 мая (9 июня) 1908 г. докладчик комиссии по государственной обороне А. И. Гучков, представляя тогда картину состояния армии и ее нужд, между прочим (говорил:</w:t>
      </w:r>
    </w:p>
    <w:p w14:paraId="3C5E78B8"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"Тот строй, который мы называем бюрократическим, может быть, нигде не свил себе такого прочного гнезда, как в нашем военном ведомстве. Канцелярия заполнила все; строй был подчинен канцелярии. Эта канцелярия из высших центральных военных управлений проникала и в местные управления, и в воинские части, и там она мертвила энергию, уби-вала живой дух, заглушала чувство ответственности. Она производила ту разрушительную работу, которая наложила свою печать на все области нашей общественной и государственной жизни". </w:t>
      </w:r>
    </w:p>
    <w:p w14:paraId="0F49EC56"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 издании академии Генерального штаба "Сообщения о русско-японской войне" есть целый ряд чрезвычайно правдивых и характерных отзывов. Так, очерк, в котором заключается описание военных действий под Сандепу, заканчивается следующими словами: "Наши вожди отражали в себе все несовершенства нашей военной системы. Наши приемы ведения войны основаны на ложных представлениях об употреблении боевой силы, представлениях, не имеющих ничего общего с данными, выработанными наукой. Пренебрежение военной наукой в широких кругах армии и сосредоточение ее данных в руках незначительного числа лиц, в свою очередь оторванных от войск, создают весьма неблагоприятные условия для совершенствования нашей военной системы". </w:t>
      </w:r>
    </w:p>
    <w:p w14:paraId="21FC4947"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Перечисляя нужды русской армии, выяснившиеся опытом тяжелых неудач русско-японской войны, А. И. Гучков го-ворил: </w:t>
      </w:r>
    </w:p>
    <w:p w14:paraId="6693FECF"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"Комплект пулеметов, как показал опыт войны, до смешного мал, и здесь ожидают нас крупные расходы. В полевой артиллерии необходимо образование гаубичных батарей, что вызывает также чрезвычайно крупные затраты. Опыт войны показал, что пронятые до сих пор комплекты наших патронов и снарядов совершенно не отвечают новым условиям вой-ны, и здесь вас ждут новые десятки миллионов расходов". </w:t>
      </w:r>
    </w:p>
    <w:p w14:paraId="56A3391E"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"Мы находимся в отношении снабжения нашей армии боевыми припасами в значительной зависимости от иностран-цев. Опыт последней войны показал, что наши заводы и мастерские не приспособлены к тому, чтобы покрыть весь необ-ходимый армии расход в случае сколько-нибудь значительной войны. Мы вынуждены были во время последней войны получать и патроны и снаряды из-за границы, и для вас ясно, что в случае европейской войны, когда такой подвоз будет невозможен, мы становимся в состояние, близкое к катастрофическому. Надо указать, что некоторые химические составы, необходимые для современных патронов и снарядов, вообще в России не добываются, а выписываются из-за границы. Необходимость в вооружении заводов меленитового, трубочного, гильзового, ракетного, снарядных мастерских, необходимость эта совершенно очевидна и сознана правительством. В связи с этим потребуется и перенос из Петербурга гильзового и трубочного завода, ибо оставление этого завода в Петербурге представляет в случае войны на западном фронте чрезвычайно крупные неудобства. Все это потребует по подсчету, который у меня имеется, десятки миллионов"... </w:t>
      </w:r>
    </w:p>
    <w:p w14:paraId="4ED31FA5"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"Можем ли мы ожидать, что тот поворотный пункт, к которому мы пришли, будет правильно оценен военным ведомством? С грустью мы должны признать наше глубокое сомнение в этом".</w:t>
      </w:r>
    </w:p>
    <w:p w14:paraId="1471DE6D"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 ответ на речи докладчика Гучкова и других бывший тогда военным министром ген. Редигер ответил еще более гру-стной речью: </w:t>
      </w:r>
    </w:p>
    <w:p w14:paraId="6F6EBB22"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"Три докладчика бюджетной комиссии представили нам подробный разбор современного положения военного дела у нас. Я должен сказать, что та критика, которую они произнесли, к сожалению, в значительной степени справедли-ва"... "...Мне было поставлено здесь в упрек, что военное министерство робко требует средства на то, чтобы восполнить недостатки нашей армии. Этот упрек напрасный. Военное министерство выяснило все нужды, и если оно не предъявляет Государственной думе в настоящее время более значительных требований, то это только под давлением необходимости, вследствие того что на основании постановления Совета министров, которому лучше известно финансовое по-ложение России, чем мне, который вовсе с этим делом не знаком; на основании постановления Совета министров даль-нейшие шаги в этом отношении являются невозможными. Тут был высказан упрек, что военное министерство в своих преобразованиях идет вперед медленно, что с его стороны не видно решительных шагов для улучшения у нас военного дела. Но благоволите принять во внимание все те недочеты, которые были вам указаны, благоволите принять во внима-ние и то, что два года тому назад и в армии было неспокойно, примите во внимание и то, что войска до последнего вре-мени в значительной степени отвлекались от своего прямого дела, и вам станут ясны все те трудности, которые стояли перед военным министерством. Приходилось делать реформы почти без всяких на то средств. Ведь до сих пор военное министерство в дополнение к своему предельному бюджету, едва-едва хватающему на самое необходимое, не по-лучало никаких средств, за исключением только тех 30 млн. руб. в год, которые мне удалось отвоевать три года назад от бывшего Государственного совета на улучшение положения нижних чинов. Затем все остальное приходилось делать без новых расходов из государственного казначейства. Таким образом, о существеннейших мероприятиях для по-полнения материальной части, об улучшении наших крепостей, - обо всем этом можно было мечтать, но делать что-нибудь существенное не было возможности". </w:t>
      </w:r>
    </w:p>
    <w:p w14:paraId="060E08C2"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Таким образом, ген. Редигер подтвердил, что многие "недочеты" в армии имеются и что реформы в армии приходится делать без новых расходов из казны, т. е. ничего существенного не делать. </w:t>
      </w:r>
    </w:p>
    <w:p w14:paraId="6372A243"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Кроме того, ген. Рергер .прозрачно намекнул, что в армии со времени русско-японской войны далеко не все благопо-лучно в политическом отношении и что войска "отвлекаются от своего прямого дела на подавление революционного движения рабочих и крестьянских масс". </w:t>
      </w:r>
    </w:p>
    <w:p w14:paraId="3FC7CF7D"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Государственная дума выносила немало благих пожеланий, она обращала внимание военного ведомства па необходи-мость заблаговременной подготовки к войне заводов, работающих на оборону. Так, при обсуждении законопроекта о до-полнительном отпуске на военные нужды 51 млн. руб. (сверх отпущенных 92 млн.) комиссия обороны при Государствен-ной думе высказала ряд пожеланий, касающихся: "улучшения производительности заводов: чтобы последние могли во всякое время, особенно при мобилизации, развить свою производительность до необходимой по обстоятельствам потреб-ности; подготовки специалистов по этой части; образования запасов сырых материалов, чтобы не зависеть от загранич-ных рынков и не оказаться в тяжелом положении в военное время; улучшения и развития минного дела; производства ручных гранат и пр.". </w:t>
      </w:r>
    </w:p>
    <w:p w14:paraId="6F6FBE82"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 частности комиссия Государственной думы остановилась на вопросе о недостаточной производительности патрон-ных заводов и выразила пожелание, "чтобы военное министерство безотлагательно и в кратчайший срок озаботилось вы-пиской из-за границы станков и вообще надлежащим, в целях повышения производительности, оборудованием наших патронных заводов". </w:t>
      </w:r>
    </w:p>
    <w:p w14:paraId="2CEC61BC"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Государственная дума высказала пожелание, чтобы военное ведомство немедленно приступило в покупке за границей материалов, необходимых на снаряжение патронов и снарядов. </w:t>
      </w:r>
    </w:p>
    <w:p w14:paraId="036E4157"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Изготовление орудий крупных калибров и снарядов к ним происходило на русских заводах со значительным опозда-нием вследствие недостаточной оборудованности заводов и медленности развития этой отрасли промышленности. Обсу-ждая этот вопрос в 1909 г. Государственная дума нашла, что "правительству и в частности военному ведомству надлежа-ло принять целесообразные меры как для своевременного оборудования и расширения наших казенных заводов, так и для поддержания и развития частной промышленности в столь важном для обороны страны производстве предметов вооружения". </w:t>
      </w:r>
    </w:p>
    <w:p w14:paraId="37CD6A7E"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Вместе с тем дума, принимая во внимание, что "полное упорядочение наших оборонительных средств не терпит ни малейшего отлагательства", признала необходимым, чтобы "военное ведомство, пользуясь р самых широких размерах производительностью русских заводов и поддерживая развитие последних своими заказами, немедленно приняло реши-тельные меры к ускорению табжения армии новейшею крупною артиллерией и фугасными снарядами, не останавливаясь при этом, в случае надобности, даже и перед заказами за границей". </w:t>
      </w:r>
    </w:p>
    <w:p w14:paraId="5E7B2CFA"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 том же 1909 г. комиссия обороны Государственной думы указала на необходимость выработки правил, "обеспечи-вающих заводы артиллерийского ведомства от опасности перерыва деятельности в военное время". </w:t>
      </w:r>
    </w:p>
    <w:p w14:paraId="36795E6B"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Государственная дума неоднократно высказывалась за необходимость реорганизации ГАУ. </w:t>
      </w:r>
    </w:p>
    <w:p w14:paraId="6928026A"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Царское правительство весьма хладнокровно выслушивало эти речи и предложения, но часто не удостаивало их даже ответом. </w:t>
      </w:r>
    </w:p>
    <w:p w14:paraId="3EF18AA7"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Военный министр ген. Сухомлинов вообще лично не давал объяснения в Государственной думе. Иногда с объясне-ниями выступал начальник канцелярии военного министра ген. Данилов Н. А., который давал успокоительные заверения: </w:t>
      </w:r>
    </w:p>
    <w:p w14:paraId="536102F5"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"Как представитель военного министерства, не боясь упрека в нескромности, скажу, что сделано в этот период очень много. Знающие историю русской армии скажут, что за 40 лет русская армия не переживала таких преобразований, кото-рые она пережила за последние 5 лет. Но, конечно, военное министерство не закрывает глаза на то, что хотя много сдела-но, но еще больше остается сделать". </w:t>
      </w:r>
    </w:p>
    <w:p w14:paraId="4BBB461F"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Когда в марте 1913 г. подняты были вопросы по поводу новой организации артиллерии и снабжения армии автомати-ческими ружьями, то помощник военного министра ген. Вернапдер дал объяснения, что эти вопросы "разрабатываются", что "есть некоторые разногласия относительно состава батарей, у специалистов идут споры" и т. д. </w:t>
      </w:r>
    </w:p>
    <w:p w14:paraId="6A7DFA49"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Что касается вопроса об автоматическом ружье, то, по объяснениям помощника военного министра и начальника ГАУ этот вопрос стоял "гораздо слабее", потому что он был мало разработан, хотя известно, что за границей (в Германии) де-лались большие опыты относительно автоматических ружей. </w:t>
      </w:r>
    </w:p>
    <w:p w14:paraId="7DF7B95A"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lastRenderedPageBreak/>
        <w:t xml:space="preserve">"У нас есть экземпляры автоматических ружей Федорова, Токарева и иностранные, - говорил начальник ГАУ, - чтобы перейти ж войсковому испытанию, прн разработке они дали хорошие результаты. Пока не испытают эти ружья войска, до тех пор нельзя дать решительного суждения. Ружье Федорова заслуживает самого серьезного внимания". </w:t>
      </w:r>
    </w:p>
    <w:p w14:paraId="238EB50C"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Подобные объяснения характеризуют весь стиль "работы" бюрократического аппарата царизма. </w:t>
      </w:r>
    </w:p>
    <w:p w14:paraId="34C450DF"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"Кратчайший срок" приведения армии в состояние боеспособности был растянут на 10-12 лет. </w:t>
      </w:r>
    </w:p>
    <w:p w14:paraId="6A5F47BC"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Средств было мало, а в то же время из года в год оставались громадные суммы, не израсходованные военным ведомством, и жгучие потребности армии неудовлетворенными. </w:t>
      </w:r>
    </w:p>
    <w:p w14:paraId="644FF77F"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Вскоре правительству надоели думские речи. Началось с "разъяснений" статьи 96 основных государственных зако-нов, помогавшей стеснить область критики. С изданием же закона 5 июля 1912 г. против шпионажа установлен был пере-чень вопросов, не подлежащих критике печати. Этот перечень был так обширен, что он в сущности преграждал всякий доступ общественной критике и просто обсуждению военных вопросов под страхом тяжкого обвинения и не менее тяжкой кары (11483).</w:t>
      </w:r>
    </w:p>
    <w:p w14:paraId="6AD6BB2B" w14:textId="77777777" w:rsidR="00B67D7C" w:rsidRPr="00DE096C" w:rsidRDefault="00B67D7C" w:rsidP="00D45A46">
      <w:pPr>
        <w:pStyle w:val="a3"/>
        <w:jc w:val="both"/>
        <w:rPr>
          <w:bCs/>
          <w:i w:val="0"/>
          <w:color w:val="002060"/>
          <w:spacing w:val="0"/>
          <w:kern w:val="0"/>
          <w:position w:val="0"/>
          <w:sz w:val="16"/>
          <w:szCs w:val="16"/>
        </w:rPr>
      </w:pPr>
    </w:p>
    <w:p w14:paraId="53CB2810" w14:textId="3F5613E0"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24 июня </w:t>
      </w:r>
      <w:r w:rsidR="001A4040" w:rsidRPr="00DE096C">
        <w:rPr>
          <w:bCs/>
          <w:color w:val="002060"/>
          <w:sz w:val="16"/>
          <w:szCs w:val="16"/>
        </w:rPr>
        <w:t xml:space="preserve">(7 июля) </w:t>
      </w:r>
      <w:r w:rsidRPr="00DE096C">
        <w:rPr>
          <w:bCs/>
          <w:color w:val="002060"/>
          <w:sz w:val="16"/>
          <w:szCs w:val="16"/>
        </w:rPr>
        <w:t>1914 года, «Большую программу...» утвердила Дума, и она стала законом (Елисеев С.П. Организационное строительство военной авиации России... С. 30-31.)</w:t>
      </w:r>
      <w:r w:rsidRPr="00DE096C">
        <w:rPr>
          <w:bCs/>
          <w:color w:val="002060"/>
          <w:sz w:val="16"/>
          <w:szCs w:val="16"/>
          <w:vertAlign w:val="superscript"/>
        </w:rPr>
        <w:t>9</w:t>
      </w:r>
      <w:r w:rsidRPr="00DE096C">
        <w:rPr>
          <w:bCs/>
          <w:color w:val="002060"/>
          <w:sz w:val="16"/>
          <w:szCs w:val="16"/>
        </w:rPr>
        <w:t>.</w:t>
      </w:r>
    </w:p>
    <w:p w14:paraId="33CCBFD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Рассредоточение функций по управлению авиацией между высшими министерскими структурами создавало предпосылки к снижению темпов формирования авиаотрядов и другим неурядицам, начавшим проявляться сразу после выхода в свет циркуляра Глав</w:t>
      </w:r>
      <w:r w:rsidRPr="00DE096C">
        <w:rPr>
          <w:bCs/>
          <w:color w:val="002060"/>
          <w:sz w:val="16"/>
          <w:szCs w:val="16"/>
        </w:rPr>
        <w:softHyphen/>
        <w:t>ного штаба об упразднении Воздухоплавательной части ГУ ГШ. В составе ГВТУ, его на</w:t>
      </w:r>
      <w:r w:rsidRPr="00DE096C">
        <w:rPr>
          <w:bCs/>
          <w:color w:val="002060"/>
          <w:sz w:val="16"/>
          <w:szCs w:val="16"/>
        </w:rPr>
        <w:softHyphen/>
        <w:t>чальником стал генерал-лейтенант барон Е.Э. Ропп, организовали Технический отдел под управлением генерал-майора И.М. Болотова, который в полном соответствии с своей фамилией затянул военную авиацию в «болото».</w:t>
      </w:r>
    </w:p>
    <w:p w14:paraId="50E947C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Прежде всего, так и не решенным оставался вопрос о выборе типа самолёта для ка</w:t>
      </w:r>
      <w:r w:rsidRPr="00DE096C">
        <w:rPr>
          <w:bCs/>
          <w:color w:val="002060"/>
          <w:sz w:val="16"/>
          <w:szCs w:val="16"/>
        </w:rPr>
        <w:softHyphen/>
        <w:t>ждого из четырех видов авиаотрядов. В феврале 1914 г. в докладе «в Технический ко</w:t>
      </w:r>
      <w:r w:rsidRPr="00DE096C">
        <w:rPr>
          <w:bCs/>
          <w:color w:val="002060"/>
          <w:sz w:val="16"/>
          <w:szCs w:val="16"/>
        </w:rPr>
        <w:softHyphen/>
        <w:t>митет управления о типах самолётов, необходимых для военного воздушного флота, их оборудовании и вооружении» генерал Болотов отмечал, что для одно- и двухместных самолётов «полезны сравнительно легкие ружья, допускающие действовать по летатель</w:t>
      </w:r>
      <w:r w:rsidRPr="00DE096C">
        <w:rPr>
          <w:bCs/>
          <w:color w:val="002060"/>
          <w:sz w:val="16"/>
          <w:szCs w:val="16"/>
        </w:rPr>
        <w:softHyphen/>
        <w:t>ным аппаратам противника широко разлетающимся скопом пуль (картечи) с руки...» Во</w:t>
      </w:r>
      <w:r w:rsidRPr="00DE096C">
        <w:rPr>
          <w:bCs/>
          <w:color w:val="002060"/>
          <w:sz w:val="16"/>
          <w:szCs w:val="16"/>
        </w:rPr>
        <w:softHyphen/>
        <w:t>оружать новые авиационные «горе-стратеги» предлагали «только большие самолёты типа «Илья Муромец»». В отношении радиотелеграфа и других наработок, выполненных в свое время Воздухоплавательной частью, предлагалось следующее: «Ввиду неимения окончательного решения о броне, бомбах и телеграфе и принимая во внимание, что за</w:t>
      </w:r>
      <w:r w:rsidRPr="00DE096C">
        <w:rPr>
          <w:bCs/>
          <w:color w:val="002060"/>
          <w:sz w:val="16"/>
          <w:szCs w:val="16"/>
        </w:rPr>
        <w:softHyphen/>
        <w:t>казываемые аппараты служат свой срок в два года, при настоящем заказе не принимать во внимание этих потребностей, кроме съёмной брони, но не на всех аппаратах».</w:t>
      </w:r>
    </w:p>
    <w:p w14:paraId="20740DA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Предложения генерала Болотова трижды (4, 11 и 18 марта 1914 г.) рассматривались на заседаниях Технического комитета ГВТУ. На них из-за межведомственных трений отсутствовали представители Генштаба, в том числе и бывший начальник Воздухоплава</w:t>
      </w:r>
      <w:r w:rsidRPr="00DE096C">
        <w:rPr>
          <w:bCs/>
          <w:color w:val="002060"/>
          <w:sz w:val="16"/>
          <w:szCs w:val="16"/>
        </w:rPr>
        <w:softHyphen/>
        <w:t>тельной части Шишкевич. В результате обсуждения вопроса «О типах...» пришли к вы</w:t>
      </w:r>
      <w:r w:rsidRPr="00DE096C">
        <w:rPr>
          <w:bCs/>
          <w:color w:val="002060"/>
          <w:sz w:val="16"/>
          <w:szCs w:val="16"/>
        </w:rPr>
        <w:softHyphen/>
        <w:t>воду, что следует заказать для полевых (армейских) и крепостных отрядов самолёты: «Вуазен», «Сикорский-Х» и «Фарман-ХХИ», а для корпусных отрядов — «Депердюссен», «Моран-Парасоль» и «Сикорский-Х1». Для отрядов особого назначения предусматрива</w:t>
      </w:r>
      <w:r w:rsidRPr="00DE096C">
        <w:rPr>
          <w:bCs/>
          <w:color w:val="002060"/>
          <w:sz w:val="16"/>
          <w:szCs w:val="16"/>
        </w:rPr>
        <w:softHyphen/>
        <w:t>лось сделать заказы на одноместные «Моран-Сольнье».</w:t>
      </w:r>
    </w:p>
    <w:p w14:paraId="1F3D013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Так менее чем за полгода, обозначив «новую позицию» в вопросе о вооружении лета</w:t>
      </w:r>
      <w:r w:rsidRPr="00DE096C">
        <w:rPr>
          <w:bCs/>
          <w:color w:val="002060"/>
          <w:sz w:val="16"/>
          <w:szCs w:val="16"/>
        </w:rPr>
        <w:softHyphen/>
        <w:t>тельных аппаратов, «похоронили» пионерские работы по вооружению и бронированию са</w:t>
      </w:r>
      <w:r w:rsidRPr="00DE096C">
        <w:rPr>
          <w:bCs/>
          <w:color w:val="002060"/>
          <w:sz w:val="16"/>
          <w:szCs w:val="16"/>
        </w:rPr>
        <w:softHyphen/>
        <w:t>молётов, проводившиеся в 1912-1913 гг. под руководством Шишкевича. Понятно, что при таком подходе Шишкевичу уже не было места в новой структуре ГВТУ. Печальным итогом стало то, что начавшуюся летом 1914 г. Первую мировую войну русская боевая авиация встретила невооруженной, что и заставило П.Н. Нестерова пожертвовать собой, совершая первый в мире воздушный таран.</w:t>
      </w:r>
    </w:p>
    <w:p w14:paraId="02642EE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Вероятно, именно это имел в виду В.Б. Шавров, когда писал, что «с первых же дней войны стали сказываться тяжёлые просчеты, преступные упущения и крупнейшие не</w:t>
      </w:r>
      <w:r w:rsidRPr="00DE096C">
        <w:rPr>
          <w:bCs/>
          <w:color w:val="002060"/>
          <w:sz w:val="16"/>
          <w:szCs w:val="16"/>
        </w:rPr>
        <w:softHyphen/>
        <w:t>достатки в руководстве русской авиацией...» (Шавров В.Б. История конструкций самолётов в СССР до 1938 г. М., 1978. С. 151.)</w:t>
      </w:r>
      <w:r w:rsidRPr="00DE096C">
        <w:rPr>
          <w:bCs/>
          <w:color w:val="002060"/>
          <w:sz w:val="16"/>
          <w:szCs w:val="16"/>
          <w:vertAlign w:val="superscript"/>
        </w:rPr>
        <w:t>10</w:t>
      </w:r>
      <w:r w:rsidRPr="00DE096C">
        <w:rPr>
          <w:bCs/>
          <w:color w:val="002060"/>
          <w:sz w:val="16"/>
          <w:szCs w:val="16"/>
        </w:rPr>
        <w:t>.</w:t>
      </w:r>
    </w:p>
    <w:p w14:paraId="5868869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Кстати, именно М.И. Шишкевич высказал мысль о целесообразности 30-суточного ареста Нестерова за выполнение «мертвой петли«. Так что не все было гладко у «ге</w:t>
      </w:r>
      <w:r w:rsidRPr="00DE096C">
        <w:rPr>
          <w:bCs/>
          <w:color w:val="002060"/>
          <w:sz w:val="16"/>
          <w:szCs w:val="16"/>
        </w:rPr>
        <w:softHyphen/>
        <w:t>нерала от авиации« с перспективами её развития. Но в целом его деятельность на по</w:t>
      </w:r>
      <w:r w:rsidRPr="00DE096C">
        <w:rPr>
          <w:bCs/>
          <w:color w:val="002060"/>
          <w:sz w:val="16"/>
          <w:szCs w:val="16"/>
        </w:rPr>
        <w:softHyphen/>
        <w:t>сту начальника Воздухоплавательной части ГУ ГШ в 1912-1913 гг. следует оценивать весьма высоко. Несколько слов о его дальнейшей судьбе.</w:t>
      </w:r>
    </w:p>
    <w:p w14:paraId="3D0163C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Во время первой мировой войны Шишкевич служил начальником штаба 7-й, 11-й и Дунайской армий, 2 декабря 1916г. стал начальником штаба Румынского фронта. В ян</w:t>
      </w:r>
      <w:r w:rsidRPr="00DE096C">
        <w:rPr>
          <w:bCs/>
          <w:color w:val="002060"/>
          <w:sz w:val="16"/>
          <w:szCs w:val="16"/>
        </w:rPr>
        <w:softHyphen/>
        <w:t>варе 1916 г. получил звание генерал-лейтенанта и 16 августа 1916 г. был награжден ор</w:t>
      </w:r>
      <w:r w:rsidRPr="00DE096C">
        <w:rPr>
          <w:bCs/>
          <w:color w:val="002060"/>
          <w:sz w:val="16"/>
          <w:szCs w:val="16"/>
        </w:rPr>
        <w:softHyphen/>
        <w:t>деном Св. Георгия 4-й степени. 29 апреля 1917 г. 55-летний генерал по болезни был «зачислен в резерв чинов«, а приказом по Московскому округу от 27 ноября 1917 г. уволен в отставку. Проживал в Москве по адресу Остоженка, д. 10, кв. 11 (РГВИА. Ф. 409ПС. Д. 151-522. 76)</w:t>
      </w:r>
      <w:r w:rsidRPr="00DE096C">
        <w:rPr>
          <w:bCs/>
          <w:color w:val="002060"/>
          <w:sz w:val="16"/>
          <w:szCs w:val="16"/>
          <w:vertAlign w:val="superscript"/>
        </w:rPr>
        <w:t>11</w:t>
      </w:r>
      <w:r w:rsidRPr="00DE096C">
        <w:rPr>
          <w:bCs/>
          <w:color w:val="002060"/>
          <w:sz w:val="16"/>
          <w:szCs w:val="16"/>
        </w:rPr>
        <w:t>.</w:t>
      </w:r>
    </w:p>
    <w:p w14:paraId="795D5D8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С этого адреса 14 июня 1918 г. в пенсионный отдел Главного штаба он отправил про</w:t>
      </w:r>
      <w:r w:rsidRPr="00DE096C">
        <w:rPr>
          <w:bCs/>
          <w:color w:val="002060"/>
          <w:sz w:val="16"/>
          <w:szCs w:val="16"/>
        </w:rPr>
        <w:softHyphen/>
        <w:t>шение о назначении пенсии. В течение месяца ранее служившему в МВО боевому ге</w:t>
      </w:r>
      <w:r w:rsidRPr="00DE096C">
        <w:rPr>
          <w:bCs/>
          <w:color w:val="002060"/>
          <w:sz w:val="16"/>
          <w:szCs w:val="16"/>
        </w:rPr>
        <w:softHyphen/>
        <w:t>нералу и кавалеру назначили пенсию из военной эмеритальной кассы и из Московской казенной палаты. По довоенным меркам сумма в 3600 руб. (2097+1503) могла считать</w:t>
      </w:r>
      <w:r w:rsidRPr="00DE096C">
        <w:rPr>
          <w:bCs/>
          <w:color w:val="002060"/>
          <w:sz w:val="16"/>
          <w:szCs w:val="16"/>
        </w:rPr>
        <w:softHyphen/>
        <w:t>ся вполне достаточной, но дело происходило в середине 1918 г.! Даже удивительно, что ещё функционировали финансовые структуры старого военного ведомства. Пенсионное дело Шишкевича закрыли 23 июля 1918 г., и неизвестно, получал ли от советской вла</w:t>
      </w:r>
      <w:r w:rsidRPr="00DE096C">
        <w:rPr>
          <w:bCs/>
          <w:color w:val="002060"/>
          <w:sz w:val="16"/>
          <w:szCs w:val="16"/>
        </w:rPr>
        <w:softHyphen/>
        <w:t>сти какие-либо выплаты царский генерал. Впрочем, в условиях бешеной инфляции во время гражданской войны этой суммы могло не хватить и на коробок спичек.</w:t>
      </w:r>
    </w:p>
    <w:p w14:paraId="0DD9B92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Сведений о последних годах жизни первого генерала от авиации М.И. Шишкевича пока не найдено (11696).</w:t>
      </w:r>
    </w:p>
    <w:p w14:paraId="74A17837" w14:textId="77777777" w:rsidR="00B67D7C" w:rsidRPr="00DE096C" w:rsidRDefault="00B67D7C" w:rsidP="00D45A46">
      <w:pPr>
        <w:shd w:val="clear" w:color="auto" w:fill="FFFFFF"/>
        <w:jc w:val="both"/>
        <w:rPr>
          <w:bCs/>
          <w:color w:val="002060"/>
          <w:sz w:val="16"/>
          <w:szCs w:val="16"/>
        </w:rPr>
      </w:pPr>
    </w:p>
    <w:p w14:paraId="0D97E2EC" w14:textId="2E8058DC" w:rsidR="005C3561" w:rsidRPr="00DE096C" w:rsidRDefault="005C3561" w:rsidP="00D45A46">
      <w:pPr>
        <w:pStyle w:val="af7"/>
        <w:spacing w:line="240" w:lineRule="auto"/>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24 июня (7 июля) 1914 г. «Большая программа» стала законом, од</w:t>
      </w:r>
      <w:r w:rsidRPr="00DE096C">
        <w:rPr>
          <w:rFonts w:ascii="Times New Roman" w:hAnsi="Times New Roman" w:cs="Times New Roman"/>
          <w:bCs/>
          <w:color w:val="002060"/>
          <w:sz w:val="16"/>
          <w:szCs w:val="16"/>
        </w:rPr>
        <w:softHyphen/>
        <w:t>нако через полтора месяца ее пришлось пересматривать при</w:t>
      </w:r>
      <w:r w:rsidRPr="00DE096C">
        <w:rPr>
          <w:rFonts w:ascii="Times New Roman" w:hAnsi="Times New Roman" w:cs="Times New Roman"/>
          <w:bCs/>
          <w:color w:val="002060"/>
          <w:sz w:val="16"/>
          <w:szCs w:val="16"/>
        </w:rPr>
        <w:softHyphen/>
        <w:t>менительно к условиям мировой войны, начатой на три года раньше программного срока готовности. Многое отменялось. На запрос Канцелярии Военного министерства, «какие ме</w:t>
      </w:r>
      <w:r w:rsidRPr="00DE096C">
        <w:rPr>
          <w:rFonts w:ascii="Times New Roman" w:hAnsi="Times New Roman" w:cs="Times New Roman"/>
          <w:bCs/>
          <w:color w:val="002060"/>
          <w:sz w:val="16"/>
          <w:szCs w:val="16"/>
        </w:rPr>
        <w:softHyphen/>
        <w:t>роприятия из числа предусмотренных Большой программой усиления армии будут в действительности приводиться в ис</w:t>
      </w:r>
      <w:r w:rsidRPr="00DE096C">
        <w:rPr>
          <w:rFonts w:ascii="Times New Roman" w:hAnsi="Times New Roman" w:cs="Times New Roman"/>
          <w:bCs/>
          <w:color w:val="002060"/>
          <w:sz w:val="16"/>
          <w:szCs w:val="16"/>
        </w:rPr>
        <w:softHyphen/>
        <w:t>полнение и какие будут отменены или отложены ввиду на</w:t>
      </w:r>
      <w:r w:rsidRPr="00DE096C">
        <w:rPr>
          <w:rFonts w:ascii="Times New Roman" w:hAnsi="Times New Roman" w:cs="Times New Roman"/>
          <w:bCs/>
          <w:color w:val="002060"/>
          <w:sz w:val="16"/>
          <w:szCs w:val="16"/>
        </w:rPr>
        <w:softHyphen/>
        <w:t>ступившей войны», Генеральный штаб 12 августа 1914 г. от</w:t>
      </w:r>
      <w:r w:rsidRPr="00DE096C">
        <w:rPr>
          <w:rFonts w:ascii="Times New Roman" w:hAnsi="Times New Roman" w:cs="Times New Roman"/>
          <w:bCs/>
          <w:color w:val="002060"/>
          <w:sz w:val="16"/>
          <w:szCs w:val="16"/>
        </w:rPr>
        <w:softHyphen/>
        <w:t>ветил, что «ни одно из мероприятий... организационного характера — осуществлению не подлежит». Но что касается мер в области производства вооружения и расширения во</w:t>
      </w:r>
      <w:r w:rsidRPr="00DE096C">
        <w:rPr>
          <w:rFonts w:ascii="Times New Roman" w:hAnsi="Times New Roman" w:cs="Times New Roman"/>
          <w:bCs/>
          <w:color w:val="002060"/>
          <w:sz w:val="16"/>
          <w:szCs w:val="16"/>
        </w:rPr>
        <w:softHyphen/>
        <w:t>енных заводов, то следовало продолжать их «полным ходом», причем предприятия артиллерийского ведомства «расширить за счет кредитов, предусматриваемых Большой программою» (</w:t>
      </w:r>
      <w:r w:rsidRPr="00DE096C">
        <w:rPr>
          <w:rFonts w:ascii="Times New Roman" w:hAnsi="Times New Roman" w:cs="Times New Roman"/>
          <w:bCs/>
          <w:color w:val="002060"/>
          <w:sz w:val="16"/>
          <w:szCs w:val="16"/>
          <w:lang w:eastAsia="ru-RU" w:bidi="ru-RU"/>
        </w:rPr>
        <w:t>ВПР. С. 20; Ошарин А.В. К вопросу о готовности России к Первой мировой войне // Историческое исследование и историческое повество</w:t>
      </w:r>
      <w:r w:rsidRPr="00DE096C">
        <w:rPr>
          <w:rFonts w:ascii="Times New Roman" w:hAnsi="Times New Roman" w:cs="Times New Roman"/>
          <w:bCs/>
          <w:color w:val="002060"/>
          <w:sz w:val="16"/>
          <w:szCs w:val="16"/>
          <w:lang w:eastAsia="ru-RU" w:bidi="ru-RU"/>
        </w:rPr>
        <w:softHyphen/>
        <w:t>вание. Традиции научной школы А.Л. Шапиро. СПб., 2013. С. 347. Ис</w:t>
      </w:r>
      <w:r w:rsidRPr="00DE096C">
        <w:rPr>
          <w:rFonts w:ascii="Times New Roman" w:hAnsi="Times New Roman" w:cs="Times New Roman"/>
          <w:bCs/>
          <w:color w:val="002060"/>
          <w:sz w:val="16"/>
          <w:szCs w:val="16"/>
          <w:lang w:eastAsia="ru-RU" w:bidi="ru-RU"/>
        </w:rPr>
        <w:softHyphen/>
        <w:t>ключение делалось для тех мер, которые к началу войны уже приво</w:t>
      </w:r>
      <w:r w:rsidRPr="00DE096C">
        <w:rPr>
          <w:rFonts w:ascii="Times New Roman" w:hAnsi="Times New Roman" w:cs="Times New Roman"/>
          <w:bCs/>
          <w:color w:val="002060"/>
          <w:sz w:val="16"/>
          <w:szCs w:val="16"/>
          <w:lang w:eastAsia="ru-RU" w:bidi="ru-RU"/>
        </w:rPr>
        <w:softHyphen/>
        <w:t>дились в исполнение, и для военно-учебных мероприятий.; Отменялось лишь сооружение снаряжательных мастерских в Кур</w:t>
      </w:r>
      <w:r w:rsidRPr="00DE096C">
        <w:rPr>
          <w:rFonts w:ascii="Times New Roman" w:hAnsi="Times New Roman" w:cs="Times New Roman"/>
          <w:bCs/>
          <w:color w:val="002060"/>
          <w:sz w:val="16"/>
          <w:szCs w:val="16"/>
          <w:lang w:eastAsia="ru-RU" w:bidi="ru-RU"/>
        </w:rPr>
        <w:softHyphen/>
        <w:t>ске и Кременчуге, намеченное в 1912 г., но не начатое. На запросы ГАУ, как поступить с подготовительными работами, ГУГШ ответило, что те</w:t>
      </w:r>
      <w:r w:rsidRPr="00DE096C">
        <w:rPr>
          <w:rFonts w:ascii="Times New Roman" w:hAnsi="Times New Roman" w:cs="Times New Roman"/>
          <w:bCs/>
          <w:color w:val="002060"/>
          <w:sz w:val="16"/>
          <w:szCs w:val="16"/>
          <w:lang w:eastAsia="ru-RU" w:bidi="ru-RU"/>
        </w:rPr>
        <w:softHyphen/>
        <w:t>перь эта постройка несвоевременна, «так как едва ли окажется возмож</w:t>
      </w:r>
      <w:r w:rsidRPr="00DE096C">
        <w:rPr>
          <w:rFonts w:ascii="Times New Roman" w:hAnsi="Times New Roman" w:cs="Times New Roman"/>
          <w:bCs/>
          <w:color w:val="002060"/>
          <w:sz w:val="16"/>
          <w:szCs w:val="16"/>
          <w:lang w:eastAsia="ru-RU" w:bidi="ru-RU"/>
        </w:rPr>
        <w:softHyphen/>
        <w:t xml:space="preserve">ным воспользоваться ими еще во время настоящей войны» (ГАРФ. Ф. 1467. </w:t>
      </w:r>
      <w:r w:rsidRPr="00DE096C">
        <w:rPr>
          <w:rFonts w:ascii="Times New Roman" w:hAnsi="Times New Roman" w:cs="Times New Roman"/>
          <w:bCs/>
          <w:color w:val="002060"/>
          <w:sz w:val="16"/>
          <w:szCs w:val="16"/>
          <w:lang w:val="en-US" w:bidi="en-US"/>
        </w:rPr>
        <w:t>On</w:t>
      </w:r>
      <w:r w:rsidRPr="00DE096C">
        <w:rPr>
          <w:rFonts w:ascii="Times New Roman" w:hAnsi="Times New Roman" w:cs="Times New Roman"/>
          <w:bCs/>
          <w:color w:val="002060"/>
          <w:sz w:val="16"/>
          <w:szCs w:val="16"/>
          <w:lang w:bidi="en-US"/>
        </w:rPr>
        <w:t xml:space="preserve">. </w:t>
      </w:r>
      <w:r w:rsidRPr="00DE096C">
        <w:rPr>
          <w:rFonts w:ascii="Times New Roman" w:hAnsi="Times New Roman" w:cs="Times New Roman"/>
          <w:bCs/>
          <w:color w:val="002060"/>
          <w:sz w:val="16"/>
          <w:szCs w:val="16"/>
          <w:lang w:eastAsia="ru-RU" w:bidi="ru-RU"/>
        </w:rPr>
        <w:t>1. Д. 556. Л. 20 и об.).</w:t>
      </w:r>
      <w:r w:rsidRPr="00DE096C">
        <w:rPr>
          <w:rFonts w:ascii="Times New Roman" w:hAnsi="Times New Roman" w:cs="Times New Roman"/>
          <w:bCs/>
          <w:color w:val="002060"/>
          <w:sz w:val="16"/>
          <w:szCs w:val="16"/>
        </w:rPr>
        <w:t>) (23452).</w:t>
      </w:r>
    </w:p>
    <w:p w14:paraId="16E92C43" w14:textId="77777777" w:rsidR="005C3561" w:rsidRPr="00DE096C" w:rsidRDefault="005C3561" w:rsidP="00D45A46">
      <w:pPr>
        <w:jc w:val="both"/>
        <w:rPr>
          <w:bCs/>
          <w:color w:val="002060"/>
          <w:sz w:val="16"/>
          <w:szCs w:val="16"/>
          <w:lang w:bidi="ru-RU"/>
        </w:rPr>
      </w:pPr>
    </w:p>
    <w:p w14:paraId="184A4CC0" w14:textId="77777777" w:rsidR="00FB26C6" w:rsidRPr="00B52707" w:rsidRDefault="00FB26C6" w:rsidP="00FB26C6">
      <w:pPr>
        <w:jc w:val="both"/>
        <w:rPr>
          <w:color w:val="0070C0"/>
          <w:sz w:val="16"/>
          <w:szCs w:val="16"/>
        </w:rPr>
      </w:pPr>
      <w:r w:rsidRPr="00B52707">
        <w:rPr>
          <w:color w:val="0070C0"/>
          <w:sz w:val="16"/>
          <w:szCs w:val="16"/>
        </w:rPr>
        <w:t>24 июня (7 июля) 1914 г., то есть незадолго до начала войны, была утверждена так называемая большая программа усиления армии и она не могла быть выполнена (24923).</w:t>
      </w:r>
    </w:p>
    <w:p w14:paraId="756F0FD4" w14:textId="77777777" w:rsidR="00FB26C6" w:rsidRPr="00B52707" w:rsidRDefault="00FB26C6" w:rsidP="00FB26C6">
      <w:pPr>
        <w:jc w:val="both"/>
        <w:rPr>
          <w:color w:val="0070C0"/>
          <w:sz w:val="16"/>
          <w:szCs w:val="16"/>
        </w:rPr>
      </w:pPr>
    </w:p>
    <w:p w14:paraId="40BF2D0E" w14:textId="77777777" w:rsidR="00FB26C6" w:rsidRPr="00B52707" w:rsidRDefault="00FB26C6" w:rsidP="00FB26C6">
      <w:pPr>
        <w:jc w:val="both"/>
        <w:rPr>
          <w:color w:val="0070C0"/>
          <w:sz w:val="16"/>
          <w:szCs w:val="16"/>
        </w:rPr>
      </w:pPr>
      <w:r w:rsidRPr="00B52707">
        <w:rPr>
          <w:color w:val="0070C0"/>
          <w:sz w:val="16"/>
          <w:szCs w:val="16"/>
        </w:rPr>
        <w:t>24 июня (7 июля) 1914 года так называемой большой программой, разработанной в соответствии с общим планом развития вооруженных сил, была установлена определенная организация авиационных частей. До этого во</w:t>
      </w:r>
      <w:r w:rsidRPr="00B52707">
        <w:rPr>
          <w:color w:val="0070C0"/>
          <w:sz w:val="16"/>
          <w:szCs w:val="16"/>
        </w:rPr>
        <w:softHyphen/>
        <w:t>просы организационного характера разрешались на осно</w:t>
      </w:r>
      <w:r w:rsidRPr="00B52707">
        <w:rPr>
          <w:color w:val="0070C0"/>
          <w:sz w:val="16"/>
          <w:szCs w:val="16"/>
        </w:rPr>
        <w:softHyphen/>
        <w:t>вании отдельных представлений первоначально ГИУ, а затем ГУГШ, при чем в последнем случае все подробные вопросы предварительно рассматривались в Комитете Генерального Штаба. Таким образом, по представлению ГИУ, па осно</w:t>
      </w:r>
      <w:r w:rsidRPr="00B52707">
        <w:rPr>
          <w:color w:val="0070C0"/>
          <w:sz w:val="16"/>
          <w:szCs w:val="16"/>
        </w:rPr>
        <w:softHyphen/>
        <w:t>вании положений Военного Совета от 6 апреля и 27 октября 1911 года и 5 июля 1912 года, было сформировано 12 кор</w:t>
      </w:r>
      <w:r w:rsidRPr="00B52707">
        <w:rPr>
          <w:color w:val="0070C0"/>
          <w:sz w:val="16"/>
          <w:szCs w:val="16"/>
        </w:rPr>
        <w:softHyphen/>
        <w:t>пусных, 1 полевой и 5 крепостных авиационных отрядов. Затем, по представлении ГУГШ, на основании положения Военного Совета от 19 декабря 1913 г., сформировано было еще 18 корпусных и 3 крепостных авиационных отряда.</w:t>
      </w:r>
    </w:p>
    <w:p w14:paraId="01304170" w14:textId="77777777" w:rsidR="00FB26C6" w:rsidRPr="00B52707" w:rsidRDefault="00FB26C6" w:rsidP="00FB26C6">
      <w:pPr>
        <w:jc w:val="both"/>
        <w:rPr>
          <w:color w:val="0070C0"/>
          <w:sz w:val="16"/>
          <w:szCs w:val="16"/>
        </w:rPr>
      </w:pPr>
      <w:r w:rsidRPr="00B52707">
        <w:rPr>
          <w:color w:val="0070C0"/>
          <w:sz w:val="16"/>
          <w:szCs w:val="16"/>
        </w:rPr>
        <w:t>Что касается большой программы, то ею намечено было сформировать: 40 корпусных авиационных отрядов для обслу</w:t>
      </w:r>
      <w:r w:rsidRPr="00B52707">
        <w:rPr>
          <w:color w:val="0070C0"/>
          <w:sz w:val="16"/>
          <w:szCs w:val="16"/>
        </w:rPr>
        <w:softHyphen/>
        <w:t>живания корпусов, 10 полевых отрядов для обслуживания армий, 9 крепостных отрядов, 8 отрядов особого назначения для обслуживания отдельных больших войсковых соеди</w:t>
      </w:r>
      <w:r w:rsidRPr="00B52707">
        <w:rPr>
          <w:color w:val="0070C0"/>
          <w:sz w:val="16"/>
          <w:szCs w:val="16"/>
        </w:rPr>
        <w:softHyphen/>
        <w:t>нений и 11 авиационных рот, предназначенных служить для придаваемых к ним авиационных отрядов базами-мастер</w:t>
      </w:r>
      <w:r w:rsidRPr="00B52707">
        <w:rPr>
          <w:color w:val="0070C0"/>
          <w:sz w:val="16"/>
          <w:szCs w:val="16"/>
        </w:rPr>
        <w:softHyphen/>
        <w:t>скими. Эту программу предположено было осуществить в пе</w:t>
      </w:r>
      <w:r w:rsidRPr="00B52707">
        <w:rPr>
          <w:color w:val="0070C0"/>
          <w:sz w:val="16"/>
          <w:szCs w:val="16"/>
        </w:rPr>
        <w:softHyphen/>
        <w:t>риод времени с половины 1914 г. по 1917 г. включительно. Однако, программа получила силу закона почти накануне войны (24 июня 1914 года) и поэтому не могла быть вы</w:t>
      </w:r>
      <w:r w:rsidRPr="00B52707">
        <w:rPr>
          <w:color w:val="0070C0"/>
          <w:sz w:val="16"/>
          <w:szCs w:val="16"/>
        </w:rPr>
        <w:softHyphen/>
        <w:t>полнена.</w:t>
      </w:r>
    </w:p>
    <w:p w14:paraId="334B26E0" w14:textId="77777777" w:rsidR="00FB26C6" w:rsidRPr="00B52707" w:rsidRDefault="00FB26C6" w:rsidP="00FB26C6">
      <w:pPr>
        <w:jc w:val="both"/>
        <w:rPr>
          <w:color w:val="0070C0"/>
          <w:sz w:val="16"/>
          <w:szCs w:val="16"/>
        </w:rPr>
      </w:pPr>
      <w:r w:rsidRPr="00B52707">
        <w:rPr>
          <w:color w:val="0070C0"/>
          <w:sz w:val="16"/>
          <w:szCs w:val="16"/>
        </w:rPr>
        <w:t>Таким образом, к началу войны в армии состояло: 30 корпусных, 1 полевой и 8 крепостных авиационных отря</w:t>
      </w:r>
      <w:r w:rsidRPr="00B52707">
        <w:rPr>
          <w:color w:val="0070C0"/>
          <w:sz w:val="16"/>
          <w:szCs w:val="16"/>
        </w:rPr>
        <w:softHyphen/>
        <w:t>дов; кроме того, к тому же времени, сформировано было 6 авиационных рот.</w:t>
      </w:r>
    </w:p>
    <w:p w14:paraId="651F3A43" w14:textId="77777777" w:rsidR="00FB26C6" w:rsidRPr="00B52707" w:rsidRDefault="00FB26C6" w:rsidP="00FB26C6">
      <w:pPr>
        <w:jc w:val="both"/>
        <w:rPr>
          <w:color w:val="0070C0"/>
          <w:sz w:val="16"/>
          <w:szCs w:val="16"/>
        </w:rPr>
      </w:pPr>
      <w:r w:rsidRPr="00B52707">
        <w:rPr>
          <w:color w:val="0070C0"/>
          <w:sz w:val="16"/>
          <w:szCs w:val="16"/>
        </w:rPr>
        <w:t>Из перечисленных отрядов 28 состояло при 6 авиа</w:t>
      </w:r>
      <w:r w:rsidRPr="00B52707">
        <w:rPr>
          <w:color w:val="0070C0"/>
          <w:sz w:val="16"/>
          <w:szCs w:val="16"/>
        </w:rPr>
        <w:softHyphen/>
        <w:t>ционных ротах, 3 отряда при Сибирской воздухоплавательной роте, а остальные 8 находились в крепостях: Ковно, Гродно, Осовце, Брест-Литовске, Ново-Георгиевске, Севасто</w:t>
      </w:r>
      <w:r w:rsidRPr="00B52707">
        <w:rPr>
          <w:color w:val="0070C0"/>
          <w:sz w:val="16"/>
          <w:szCs w:val="16"/>
        </w:rPr>
        <w:softHyphen/>
        <w:t>поле, Карсе и Владивостоке. Корпусные и полевые отряды, назначенные для непосредственного обслуживания соответ</w:t>
      </w:r>
      <w:r w:rsidRPr="00B52707">
        <w:rPr>
          <w:color w:val="0070C0"/>
          <w:sz w:val="16"/>
          <w:szCs w:val="16"/>
        </w:rPr>
        <w:softHyphen/>
        <w:t>ствующих войсковых частей в авиационном отношении, снабжены были аэропланами и придавались в разном числе (от 3 до 7) к ротам (24923).</w:t>
      </w:r>
    </w:p>
    <w:p w14:paraId="7A0B0E57" w14:textId="77777777" w:rsidR="00FB26C6" w:rsidRPr="00B52707" w:rsidRDefault="00FB26C6" w:rsidP="00FB26C6">
      <w:pPr>
        <w:jc w:val="both"/>
        <w:rPr>
          <w:color w:val="0070C0"/>
          <w:sz w:val="16"/>
          <w:szCs w:val="16"/>
        </w:rPr>
      </w:pPr>
    </w:p>
    <w:p w14:paraId="718DCEC3" w14:textId="1CEE041D" w:rsidR="00B67D7C" w:rsidRPr="00DE096C" w:rsidRDefault="00B67D7C" w:rsidP="00D45A46">
      <w:pPr>
        <w:jc w:val="both"/>
        <w:rPr>
          <w:bCs/>
          <w:color w:val="002060"/>
          <w:sz w:val="16"/>
          <w:szCs w:val="16"/>
        </w:rPr>
      </w:pPr>
      <w:r w:rsidRPr="00DE096C">
        <w:rPr>
          <w:bCs/>
          <w:color w:val="002060"/>
          <w:sz w:val="16"/>
          <w:szCs w:val="16"/>
        </w:rPr>
        <w:t xml:space="preserve">24 июня </w:t>
      </w:r>
      <w:r w:rsidR="001A4040" w:rsidRPr="00DE096C">
        <w:rPr>
          <w:bCs/>
          <w:color w:val="002060"/>
          <w:sz w:val="16"/>
          <w:szCs w:val="16"/>
        </w:rPr>
        <w:t xml:space="preserve">(7 июля) </w:t>
      </w:r>
      <w:r w:rsidRPr="00DE096C">
        <w:rPr>
          <w:bCs/>
          <w:color w:val="002060"/>
          <w:sz w:val="16"/>
          <w:szCs w:val="16"/>
        </w:rPr>
        <w:t xml:space="preserve">1914 г. </w:t>
      </w:r>
      <w:r w:rsidR="001A4040" w:rsidRPr="00DE096C">
        <w:rPr>
          <w:bCs/>
          <w:color w:val="002060"/>
          <w:sz w:val="16"/>
          <w:szCs w:val="16"/>
        </w:rPr>
        <w:t xml:space="preserve">Положению Военного совета от 13 и 27 марта 1914 г. </w:t>
      </w:r>
      <w:r w:rsidRPr="00DE096C">
        <w:rPr>
          <w:bCs/>
          <w:color w:val="002060"/>
          <w:sz w:val="16"/>
          <w:szCs w:val="16"/>
        </w:rPr>
        <w:t>о строительстве 4-го Тамбовского порохового завода</w:t>
      </w:r>
      <w:r w:rsidR="001A4040" w:rsidRPr="00DE096C">
        <w:rPr>
          <w:bCs/>
          <w:color w:val="002060"/>
          <w:sz w:val="16"/>
          <w:szCs w:val="16"/>
        </w:rPr>
        <w:t xml:space="preserve"> приобоело силу закона</w:t>
      </w:r>
      <w:r w:rsidRPr="00DE096C">
        <w:rPr>
          <w:bCs/>
          <w:color w:val="002060"/>
          <w:sz w:val="16"/>
          <w:szCs w:val="16"/>
        </w:rPr>
        <w:t>. С осени 1916 г. завод начал производить порох. В период Гражданской войны завод пришел в упадок, затем восстановлен как номерной (завод N 204), в н. в. - Котовский завод пластмасс.</w:t>
      </w:r>
    </w:p>
    <w:p w14:paraId="6842078C" w14:textId="4A5ABD2E" w:rsidR="00B67D7C" w:rsidRPr="00DE096C" w:rsidRDefault="00B67D7C" w:rsidP="00D45A46">
      <w:pPr>
        <w:jc w:val="both"/>
        <w:rPr>
          <w:bCs/>
          <w:color w:val="002060"/>
          <w:sz w:val="16"/>
          <w:szCs w:val="16"/>
        </w:rPr>
      </w:pPr>
      <w:r w:rsidRPr="00DE096C">
        <w:rPr>
          <w:bCs/>
          <w:color w:val="002060"/>
          <w:sz w:val="16"/>
          <w:szCs w:val="16"/>
        </w:rPr>
        <w:t>Циркуляры и предписания Главного артиллерийского управления (1916 - 1919). Копии приказов по Московскому военному округу и войскам Тамбовского гарнизона (1914 - 1917). Ф. 98, 206 ед. хр. , 1913 - 1926гг. , описи (11744).</w:t>
      </w:r>
    </w:p>
    <w:p w14:paraId="482877AD" w14:textId="77777777" w:rsidR="00D52F55" w:rsidRPr="00DE096C" w:rsidRDefault="00D52F55" w:rsidP="00D45A46">
      <w:pPr>
        <w:jc w:val="both"/>
        <w:rPr>
          <w:bCs/>
          <w:color w:val="002060"/>
          <w:sz w:val="16"/>
          <w:szCs w:val="16"/>
        </w:rPr>
      </w:pPr>
    </w:p>
    <w:p w14:paraId="5383FE50" w14:textId="051C3FFE" w:rsidR="00D52F55" w:rsidRPr="00DE096C" w:rsidRDefault="00D52F55" w:rsidP="00D45A46">
      <w:pPr>
        <w:jc w:val="both"/>
        <w:rPr>
          <w:bCs/>
          <w:color w:val="002060"/>
          <w:sz w:val="16"/>
          <w:szCs w:val="16"/>
        </w:rPr>
      </w:pPr>
      <w:r w:rsidRPr="00DE096C">
        <w:rPr>
          <w:bCs/>
          <w:color w:val="002060"/>
          <w:sz w:val="16"/>
          <w:szCs w:val="16"/>
        </w:rPr>
        <w:lastRenderedPageBreak/>
        <w:t xml:space="preserve">24 июня </w:t>
      </w:r>
      <w:r w:rsidR="001A4040" w:rsidRPr="00DE096C">
        <w:rPr>
          <w:bCs/>
          <w:color w:val="002060"/>
          <w:sz w:val="16"/>
          <w:szCs w:val="16"/>
        </w:rPr>
        <w:t xml:space="preserve">(7 июля) </w:t>
      </w:r>
      <w:r w:rsidRPr="00DE096C">
        <w:rPr>
          <w:bCs/>
          <w:color w:val="002060"/>
          <w:sz w:val="16"/>
          <w:szCs w:val="16"/>
        </w:rPr>
        <w:t>1914 г. «Большая программа» стала законом, однако через полтора месяца ее пришлось пересматривать применительно к условиям мировой войны, начатой на три года раньше программного срока готовности. Многое отменялось. На запрос Канцелярии Военного министерства, «какие мероприятия из числа предусмотренных Большой программой усиления армии будут в действительности приводиться в исполнение и какие будут отменены или отложены ввиду наступившей войны», Генеральный штаб 12 августа 1914 г. ответил, что «ни одно из мероприятий… организационного характера — осуществлению не подлежит». Но что касается мер в области производства вооружения и расширения военных заводов, то следовало продолжать их «полным ходом», причем предприятия артиллерийского ведомства «расширить за счет кредитов, предусматриваемых Большой программою» (18409).</w:t>
      </w:r>
    </w:p>
    <w:p w14:paraId="09C0346F" w14:textId="77777777" w:rsidR="00D52F55" w:rsidRPr="00DE096C" w:rsidRDefault="00D52F55" w:rsidP="00D45A46">
      <w:pPr>
        <w:jc w:val="both"/>
        <w:rPr>
          <w:bCs/>
          <w:color w:val="002060"/>
          <w:sz w:val="16"/>
          <w:szCs w:val="16"/>
        </w:rPr>
      </w:pPr>
    </w:p>
    <w:p w14:paraId="2DA832FC" w14:textId="58B59D27" w:rsidR="00D52F55" w:rsidRPr="00DE096C" w:rsidRDefault="00D52F55" w:rsidP="00D45A46">
      <w:pPr>
        <w:jc w:val="both"/>
        <w:rPr>
          <w:bCs/>
          <w:color w:val="002060"/>
          <w:sz w:val="16"/>
          <w:szCs w:val="16"/>
        </w:rPr>
      </w:pPr>
      <w:r w:rsidRPr="00DE096C">
        <w:rPr>
          <w:bCs/>
          <w:color w:val="002060"/>
          <w:sz w:val="16"/>
          <w:szCs w:val="16"/>
        </w:rPr>
        <w:t xml:space="preserve">24 июня </w:t>
      </w:r>
      <w:r w:rsidR="001A4040" w:rsidRPr="00DE096C">
        <w:rPr>
          <w:bCs/>
          <w:color w:val="002060"/>
          <w:sz w:val="16"/>
          <w:szCs w:val="16"/>
        </w:rPr>
        <w:t xml:space="preserve">(7 июля) </w:t>
      </w:r>
      <w:r w:rsidRPr="00DE096C">
        <w:rPr>
          <w:bCs/>
          <w:color w:val="002060"/>
          <w:sz w:val="16"/>
          <w:szCs w:val="16"/>
        </w:rPr>
        <w:t>1914 г. «Большая программа по усилению русской армии», одобренная Николаем I, была утверждена Думой и стала законом (19566).</w:t>
      </w:r>
    </w:p>
    <w:p w14:paraId="28B8AAEA" w14:textId="3C0BC618" w:rsidR="00D52F55" w:rsidRPr="00DE096C" w:rsidRDefault="00D52F55" w:rsidP="00D45A46">
      <w:pPr>
        <w:jc w:val="both"/>
        <w:rPr>
          <w:bCs/>
          <w:color w:val="002060"/>
          <w:sz w:val="16"/>
          <w:szCs w:val="16"/>
        </w:rPr>
      </w:pPr>
    </w:p>
    <w:p w14:paraId="2ABB4A9B" w14:textId="704E836E" w:rsidR="00AE34DF" w:rsidRPr="00DE096C" w:rsidRDefault="00AE34DF" w:rsidP="00D45A46">
      <w:pPr>
        <w:jc w:val="both"/>
        <w:rPr>
          <w:bCs/>
          <w:i/>
          <w:iCs/>
          <w:color w:val="002060"/>
          <w:sz w:val="16"/>
          <w:szCs w:val="16"/>
        </w:rPr>
      </w:pPr>
      <w:r w:rsidRPr="00DE096C">
        <w:rPr>
          <w:bCs/>
          <w:i/>
          <w:iCs/>
          <w:color w:val="002060"/>
          <w:sz w:val="16"/>
          <w:szCs w:val="16"/>
        </w:rPr>
        <w:t>Авиация:</w:t>
      </w:r>
    </w:p>
    <w:p w14:paraId="5856BE30" w14:textId="77777777" w:rsidR="00AE34DF" w:rsidRPr="00DE096C" w:rsidRDefault="00AE34DF" w:rsidP="00D45A46">
      <w:pPr>
        <w:jc w:val="both"/>
        <w:rPr>
          <w:bCs/>
          <w:i/>
          <w:iCs/>
          <w:color w:val="002060"/>
          <w:sz w:val="16"/>
          <w:szCs w:val="16"/>
        </w:rPr>
      </w:pPr>
    </w:p>
    <w:p w14:paraId="408FE20A" w14:textId="77777777" w:rsidR="00AE34DF" w:rsidRPr="00DE096C" w:rsidRDefault="00AE34DF" w:rsidP="00D45A46">
      <w:pPr>
        <w:jc w:val="both"/>
        <w:rPr>
          <w:bCs/>
          <w:color w:val="002060"/>
          <w:sz w:val="16"/>
          <w:szCs w:val="16"/>
        </w:rPr>
      </w:pPr>
      <w:r w:rsidRPr="00DE096C">
        <w:rPr>
          <w:bCs/>
          <w:color w:val="002060"/>
          <w:sz w:val="16"/>
          <w:szCs w:val="16"/>
        </w:rPr>
        <w:t>26 июня (9 июля) 1914 г. военный летчик поручик Михаил Геннадиевич Передков на самолете Ныопор-4 вылетел из Одессы в Петербург на приз АбамелекДазарева, но долетел только до Гомеля, где сделал вынужденную посадку и от дальнейшего полета отказался.</w:t>
      </w:r>
    </w:p>
    <w:p w14:paraId="6ADF69BB" w14:textId="77777777" w:rsidR="00AE34DF" w:rsidRPr="00DE096C" w:rsidRDefault="00AE34DF" w:rsidP="00D45A46">
      <w:pPr>
        <w:jc w:val="both"/>
        <w:rPr>
          <w:bCs/>
          <w:color w:val="002060"/>
          <w:sz w:val="16"/>
          <w:szCs w:val="16"/>
        </w:rPr>
      </w:pPr>
      <w:r w:rsidRPr="00DE096C">
        <w:rPr>
          <w:bCs/>
          <w:color w:val="002060"/>
          <w:sz w:val="16"/>
          <w:szCs w:val="16"/>
        </w:rPr>
        <w:t>/Архив В.М.Вишнева в ЦДА/ (23320).</w:t>
      </w:r>
    </w:p>
    <w:p w14:paraId="17E80B72" w14:textId="77777777" w:rsidR="00AE34DF" w:rsidRPr="00DE096C" w:rsidRDefault="00AE34DF" w:rsidP="00D45A46">
      <w:pPr>
        <w:jc w:val="both"/>
        <w:rPr>
          <w:bCs/>
          <w:color w:val="002060"/>
          <w:sz w:val="16"/>
          <w:szCs w:val="16"/>
        </w:rPr>
      </w:pPr>
    </w:p>
    <w:p w14:paraId="4A26643D" w14:textId="348C4221" w:rsidR="004918D4" w:rsidRPr="00DE096C" w:rsidRDefault="004918D4" w:rsidP="00D45A46">
      <w:pPr>
        <w:jc w:val="both"/>
        <w:rPr>
          <w:bCs/>
          <w:i/>
          <w:color w:val="002060"/>
          <w:sz w:val="16"/>
          <w:szCs w:val="16"/>
        </w:rPr>
      </w:pPr>
      <w:r w:rsidRPr="00DE096C">
        <w:rPr>
          <w:bCs/>
          <w:i/>
          <w:color w:val="002060"/>
          <w:sz w:val="16"/>
          <w:szCs w:val="16"/>
        </w:rPr>
        <w:t>Самолетостроение:</w:t>
      </w:r>
    </w:p>
    <w:p w14:paraId="619F9CB4" w14:textId="77777777" w:rsidR="004918D4" w:rsidRPr="00DE096C" w:rsidRDefault="004918D4" w:rsidP="00D45A46">
      <w:pPr>
        <w:jc w:val="both"/>
        <w:rPr>
          <w:bCs/>
          <w:color w:val="002060"/>
          <w:sz w:val="16"/>
          <w:szCs w:val="16"/>
        </w:rPr>
      </w:pPr>
    </w:p>
    <w:p w14:paraId="03D1C335" w14:textId="77777777" w:rsidR="004918D4" w:rsidRPr="00DE096C" w:rsidRDefault="004918D4" w:rsidP="00D45A46">
      <w:pPr>
        <w:jc w:val="both"/>
        <w:rPr>
          <w:bCs/>
          <w:color w:val="002060"/>
          <w:sz w:val="16"/>
          <w:szCs w:val="16"/>
        </w:rPr>
      </w:pPr>
      <w:r w:rsidRPr="00DE096C">
        <w:rPr>
          <w:bCs/>
          <w:color w:val="002060"/>
          <w:sz w:val="16"/>
          <w:szCs w:val="16"/>
        </w:rPr>
        <w:t>27 июня 1914 г. Морской штаб заявил, что гидросамолет ИМ может быть использован вместо морских дирижаблей, поскольку стоимость дирижабля составляла 500 000 рублей плюс один миллион рублей за его навес, а стоимость ИМ теперь составляла 90 000 рублей. Больше ничего с этой идеей сделано не было.</w:t>
      </w:r>
    </w:p>
    <w:p w14:paraId="213A8C37" w14:textId="77777777" w:rsidR="004918D4" w:rsidRPr="00DE096C" w:rsidRDefault="004918D4" w:rsidP="00D45A46">
      <w:pPr>
        <w:jc w:val="both"/>
        <w:rPr>
          <w:bCs/>
          <w:color w:val="002060"/>
          <w:sz w:val="16"/>
          <w:szCs w:val="16"/>
        </w:rPr>
      </w:pPr>
      <w:r w:rsidRPr="00DE096C">
        <w:rPr>
          <w:bCs/>
          <w:color w:val="002060"/>
          <w:sz w:val="16"/>
          <w:szCs w:val="16"/>
        </w:rPr>
        <w:t>Вскоре последовал самолет Сикорского № 128, новый тип «В» (Бех), совершивший полет 4 июня 1914 года в Санкт-Петербурге с десятью людьми на высоте 3200 метров. Рано утром 30 июня Сикорский вылетел в свой исторический 1100-километровый перелет в Киев. По возвращении Сикорского в июле. Царь Николай II почтил это событие, назвав самолет Кораблей Киевским. В ходе войны в серии «Илья Муромец» будет ряд будущих кораблей «Киевский».</w:t>
      </w:r>
    </w:p>
    <w:p w14:paraId="5E21EA27" w14:textId="77777777" w:rsidR="004918D4" w:rsidRPr="00DE096C" w:rsidRDefault="004918D4" w:rsidP="00D45A46">
      <w:pPr>
        <w:jc w:val="both"/>
        <w:rPr>
          <w:bCs/>
          <w:color w:val="002060"/>
          <w:sz w:val="16"/>
          <w:szCs w:val="16"/>
        </w:rPr>
      </w:pPr>
      <w:r w:rsidRPr="00DE096C">
        <w:rPr>
          <w:bCs/>
          <w:color w:val="002060"/>
          <w:sz w:val="16"/>
          <w:szCs w:val="16"/>
        </w:rPr>
        <w:t>Для поставки авиадвигателей, в первую очередь для «Ильи Муромца», фирма Шидловского Р-БВЗ открыла в Санкт-Петербурге (позже Петрограде) два авиамоторных завода, получивших название Р-БМЗ (Русско-Балтийский моторный завод). Они сосредоточились на двух моделях: модифицированном Argus мощностью 140 л.с., известном как MRB-6, и модифицированном Benz мощностью 150 л.с., известном как RBVZ-6. конструкции В. В. Киреева. 5 мая 1916 года завод получил заказ на 300 двигателей. Вероятно, 200 штук были построены на объектах в Петрограде и подмосковных Филях.</w:t>
      </w:r>
    </w:p>
    <w:p w14:paraId="5620C1A5" w14:textId="77777777" w:rsidR="004918D4" w:rsidRPr="00DE096C" w:rsidRDefault="004918D4" w:rsidP="00D45A46">
      <w:pPr>
        <w:jc w:val="both"/>
        <w:rPr>
          <w:bCs/>
          <w:color w:val="002060"/>
          <w:sz w:val="16"/>
          <w:szCs w:val="16"/>
        </w:rPr>
      </w:pPr>
      <w:r w:rsidRPr="00DE096C">
        <w:rPr>
          <w:bCs/>
          <w:color w:val="002060"/>
          <w:sz w:val="16"/>
          <w:szCs w:val="16"/>
        </w:rPr>
        <w:t>В июле 1914 г. Главком российского Генерального штаба заказал Р-БВЗ десять «Ильев Муромцев» (ИМ) с поставкой к марту 1915 г. Стоимость каждого самолета составляла около рупий. 150 000. Сикорский предвидел заказ и уже начал производственные планы.</w:t>
      </w:r>
    </w:p>
    <w:p w14:paraId="41B1AADC" w14:textId="77777777" w:rsidR="004918D4" w:rsidRPr="00DE096C" w:rsidRDefault="004918D4" w:rsidP="00D45A46">
      <w:pPr>
        <w:jc w:val="both"/>
        <w:rPr>
          <w:bCs/>
          <w:color w:val="002060"/>
          <w:sz w:val="16"/>
          <w:szCs w:val="16"/>
        </w:rPr>
      </w:pPr>
      <w:r w:rsidRPr="00DE096C">
        <w:rPr>
          <w:bCs/>
          <w:color w:val="002060"/>
          <w:sz w:val="16"/>
          <w:szCs w:val="16"/>
        </w:rPr>
        <w:t>31 августа Р-БВЗ передал армии два Ильи Муромца, ИМ Киевский (№ 128) и ИМ-I (№ 135). Вскоре за ними последуют другие корабли этой исторической серии.</w:t>
      </w:r>
    </w:p>
    <w:p w14:paraId="57F4A48B" w14:textId="77777777" w:rsidR="004918D4" w:rsidRPr="00DE096C" w:rsidRDefault="004918D4" w:rsidP="00D45A46">
      <w:pPr>
        <w:jc w:val="both"/>
        <w:rPr>
          <w:bCs/>
          <w:color w:val="002060"/>
          <w:sz w:val="16"/>
          <w:szCs w:val="16"/>
        </w:rPr>
      </w:pPr>
      <w:r w:rsidRPr="00DE096C">
        <w:rPr>
          <w:bCs/>
          <w:color w:val="002060"/>
          <w:sz w:val="16"/>
          <w:szCs w:val="16"/>
        </w:rPr>
        <w:t>Производство на Р-БВЗ во время войны было почти полностью сосредоточено на различных типах Sikorsky. Насколько известно, было построено 85 IM, один «А», шесть «В», 18 «В», 55 «Г», три «Д» и два «Е», по крайней мере половина из них — учебные. Еще три «Ги» были построены красными во время Гражданской войны. В сентябре 1915 года Центральное военно-техническое управление заказало восемнадцать С-16. Поставки начались в середине января 1916 года. Всего было построено тридцать три истребителя С-16 по цене около 9500 рублей (около 5000 долларов) каждый.</w:t>
      </w:r>
    </w:p>
    <w:p w14:paraId="5F59548B" w14:textId="77777777" w:rsidR="004918D4" w:rsidRPr="00DE096C" w:rsidRDefault="004918D4" w:rsidP="00D45A46">
      <w:pPr>
        <w:jc w:val="both"/>
        <w:rPr>
          <w:bCs/>
          <w:color w:val="002060"/>
          <w:sz w:val="16"/>
          <w:szCs w:val="16"/>
        </w:rPr>
      </w:pPr>
      <w:r w:rsidRPr="00DE096C">
        <w:rPr>
          <w:bCs/>
          <w:color w:val="002060"/>
          <w:sz w:val="16"/>
          <w:szCs w:val="16"/>
        </w:rPr>
        <w:t>С октября 1912 по апрель 1914 года Р-БВЗ произвел 38 французских самолетов Farmans и Nieuport IV. В 1910-1913 годах на Р-БВЗ было построено около 100 самолетов, с 1914 по 1917 год было построено около 140 самолетов. Не все из них были приняты.</w:t>
      </w:r>
    </w:p>
    <w:p w14:paraId="010D2F7E" w14:textId="77777777" w:rsidR="004918D4" w:rsidRPr="00DE096C" w:rsidRDefault="004918D4" w:rsidP="00D45A46">
      <w:pPr>
        <w:jc w:val="both"/>
        <w:rPr>
          <w:bCs/>
          <w:color w:val="002060"/>
          <w:sz w:val="16"/>
          <w:szCs w:val="16"/>
        </w:rPr>
      </w:pPr>
      <w:r w:rsidRPr="00DE096C">
        <w:rPr>
          <w:bCs/>
          <w:color w:val="002060"/>
          <w:sz w:val="16"/>
          <w:szCs w:val="16"/>
        </w:rPr>
        <w:t>К началу 1917 года производство выросло до шести ИМ и 30-40 самолетов других типов в месяц. В 1914 г. насчитывалось 270 рабочих, в 1915 г. их число возросло до 400, в 1916 г. — до 478, а в марте 1917 г. — до 475. На авиамоторном заводе в Петрограде (сдача началась в ноябре 1916 г.) было 266 рабочих в 1916 г. и 430 в 1917.</w:t>
      </w:r>
    </w:p>
    <w:p w14:paraId="71E3A3D3" w14:textId="77777777" w:rsidR="004918D4" w:rsidRPr="00DE096C" w:rsidRDefault="004918D4" w:rsidP="00D45A46">
      <w:pPr>
        <w:jc w:val="both"/>
        <w:rPr>
          <w:bCs/>
          <w:color w:val="002060"/>
          <w:sz w:val="16"/>
          <w:szCs w:val="16"/>
        </w:rPr>
      </w:pPr>
      <w:r w:rsidRPr="00DE096C">
        <w:rPr>
          <w:bCs/>
          <w:color w:val="002060"/>
          <w:sz w:val="16"/>
          <w:szCs w:val="16"/>
        </w:rPr>
        <w:t>Директором авиационного завода Р-БВЗ в 1916-1918 годах был Витольд Ярковский, бывший директор завода Щетинина в 1915-1916 годах и завода Лебедева в 1913-1915 годах.</w:t>
      </w:r>
    </w:p>
    <w:p w14:paraId="4510D88E" w14:textId="77777777" w:rsidR="004918D4" w:rsidRPr="00DE096C" w:rsidRDefault="004918D4" w:rsidP="00D45A46">
      <w:pPr>
        <w:jc w:val="both"/>
        <w:rPr>
          <w:bCs/>
          <w:color w:val="002060"/>
          <w:sz w:val="16"/>
          <w:szCs w:val="16"/>
        </w:rPr>
      </w:pPr>
      <w:r w:rsidRPr="00DE096C">
        <w:rPr>
          <w:bCs/>
          <w:color w:val="002060"/>
          <w:sz w:val="16"/>
          <w:szCs w:val="16"/>
        </w:rPr>
        <w:t>М. В. Шидловский и его сын Михаил были застрелены красногвардейцами 14 января 1921 г. при попытке бегства через границу в Финляндию (23125).</w:t>
      </w:r>
    </w:p>
    <w:p w14:paraId="32508B31" w14:textId="77777777" w:rsidR="004918D4" w:rsidRPr="00DE096C" w:rsidRDefault="004918D4" w:rsidP="00D45A46">
      <w:pPr>
        <w:jc w:val="both"/>
        <w:rPr>
          <w:bCs/>
          <w:color w:val="002060"/>
          <w:sz w:val="16"/>
          <w:szCs w:val="16"/>
        </w:rPr>
      </w:pPr>
    </w:p>
    <w:p w14:paraId="467DA377" w14:textId="3DE05166" w:rsidR="006D7DFE" w:rsidRPr="00DE096C" w:rsidRDefault="006D7DFE" w:rsidP="00D45A46">
      <w:pPr>
        <w:jc w:val="both"/>
        <w:rPr>
          <w:bCs/>
          <w:i/>
          <w:color w:val="002060"/>
          <w:sz w:val="16"/>
          <w:szCs w:val="16"/>
        </w:rPr>
      </w:pPr>
      <w:r w:rsidRPr="00DE096C">
        <w:rPr>
          <w:bCs/>
          <w:i/>
          <w:color w:val="002060"/>
          <w:sz w:val="16"/>
          <w:szCs w:val="16"/>
        </w:rPr>
        <w:t>Авиация и воздухоплавание Германии:</w:t>
      </w:r>
    </w:p>
    <w:p w14:paraId="5CF4F01C" w14:textId="77777777" w:rsidR="006D7DFE" w:rsidRPr="00DE096C" w:rsidRDefault="006D7DFE" w:rsidP="00D45A46">
      <w:pPr>
        <w:jc w:val="both"/>
        <w:rPr>
          <w:bCs/>
          <w:i/>
          <w:color w:val="002060"/>
          <w:sz w:val="16"/>
          <w:szCs w:val="16"/>
        </w:rPr>
      </w:pPr>
    </w:p>
    <w:p w14:paraId="7D1CE843" w14:textId="77777777" w:rsidR="006D7DFE" w:rsidRPr="00DE096C" w:rsidRDefault="006D7DFE" w:rsidP="00D45A46">
      <w:pPr>
        <w:jc w:val="both"/>
        <w:rPr>
          <w:bCs/>
          <w:color w:val="002060"/>
          <w:sz w:val="16"/>
          <w:szCs w:val="16"/>
        </w:rPr>
      </w:pPr>
      <w:r w:rsidRPr="00DE096C">
        <w:rPr>
          <w:bCs/>
          <w:color w:val="002060"/>
          <w:sz w:val="16"/>
          <w:szCs w:val="16"/>
        </w:rPr>
        <w:t>27-28 июня (10–11 июля) 1914 немец Рейнхольд Бём на своем биплане «Альбатрос» летал 24 часа 12 минут без дозаправки и без остановок. Этот рекорд полета одного человека сохраняется до 1927 года (20337).</w:t>
      </w:r>
    </w:p>
    <w:p w14:paraId="59073E16" w14:textId="77777777" w:rsidR="006D7DFE" w:rsidRPr="00DE096C" w:rsidRDefault="006D7DFE" w:rsidP="00D45A46">
      <w:pPr>
        <w:jc w:val="both"/>
        <w:rPr>
          <w:bCs/>
          <w:color w:val="002060"/>
          <w:sz w:val="16"/>
          <w:szCs w:val="16"/>
        </w:rPr>
      </w:pPr>
    </w:p>
    <w:p w14:paraId="06B1E151" w14:textId="3A5C431A" w:rsidR="006F6A44" w:rsidRPr="00DE096C" w:rsidRDefault="006F6A44" w:rsidP="00D45A46">
      <w:pPr>
        <w:jc w:val="both"/>
        <w:rPr>
          <w:bCs/>
          <w:i/>
          <w:color w:val="002060"/>
          <w:sz w:val="16"/>
          <w:szCs w:val="16"/>
        </w:rPr>
      </w:pPr>
      <w:r w:rsidRPr="00DE096C">
        <w:rPr>
          <w:bCs/>
          <w:i/>
          <w:color w:val="002060"/>
          <w:sz w:val="16"/>
          <w:szCs w:val="16"/>
        </w:rPr>
        <w:t>Авиация и воздухоплавание Франции:</w:t>
      </w:r>
    </w:p>
    <w:p w14:paraId="711D9C71" w14:textId="77777777" w:rsidR="006F6A44" w:rsidRPr="00DE096C" w:rsidRDefault="006F6A44" w:rsidP="00D45A46">
      <w:pPr>
        <w:jc w:val="both"/>
        <w:rPr>
          <w:bCs/>
          <w:i/>
          <w:color w:val="002060"/>
          <w:sz w:val="16"/>
          <w:szCs w:val="16"/>
        </w:rPr>
      </w:pPr>
    </w:p>
    <w:p w14:paraId="05E5B3A1" w14:textId="77777777" w:rsidR="006D7DFE" w:rsidRPr="00DE096C" w:rsidRDefault="006D7DFE" w:rsidP="00D45A46">
      <w:pPr>
        <w:jc w:val="both"/>
        <w:rPr>
          <w:bCs/>
          <w:color w:val="002060"/>
          <w:sz w:val="16"/>
          <w:szCs w:val="16"/>
        </w:rPr>
      </w:pPr>
      <w:r w:rsidRPr="00DE096C">
        <w:rPr>
          <w:bCs/>
          <w:color w:val="002060"/>
          <w:sz w:val="16"/>
          <w:szCs w:val="16"/>
        </w:rPr>
        <w:t>27 июня (10 июля) 1914 г. законом была определена первая организационно-штатная структура авиации ВМС Франции. Главный штаб в Париже включал службы аэронавтики (аэростаты и дирижабли) и авиации (самолеты), а также тыловые службы и Центральную службу — ее руководитель капитан I ранга Ноэль подчинялся непосредственно Морскому министру. Формирование Центральной службы Аэронаваль закончилось за несколько дней до начала войны — 1 августа 1914 г., а эскадрильи еще долго комплектовались, и, по сути, единственной боеготовой единицей Аэронаваль оставался «Ля Фадр» с экипажем.</w:t>
      </w:r>
    </w:p>
    <w:p w14:paraId="5828CE9A" w14:textId="77777777" w:rsidR="006D7DFE" w:rsidRPr="00DE096C" w:rsidRDefault="006D7DFE" w:rsidP="00D45A46">
      <w:pPr>
        <w:jc w:val="both"/>
        <w:rPr>
          <w:bCs/>
          <w:color w:val="002060"/>
          <w:sz w:val="16"/>
          <w:szCs w:val="16"/>
        </w:rPr>
      </w:pPr>
      <w:r w:rsidRPr="00DE096C">
        <w:rPr>
          <w:bCs/>
          <w:color w:val="002060"/>
          <w:sz w:val="16"/>
          <w:szCs w:val="16"/>
        </w:rPr>
        <w:t>Эскадрильи морской авиации Франции должны были действовать в зоне Северного моря против Германии, а на Средиземноморье — против Австро-Венгрии и Италии. Как и у сухопутной авиации, их задачей была разведка, однако было очевидно, что придется и противодействовать воздушному противнику. Правда, пока рассматривались только сценарии защиты флота в море и в базах от налетов «цеппелинов», а встречи с вражескими гидропланами считались маловероятными, хотя уже 2-я Балканская война показала, что и они также неизбежны (22737).</w:t>
      </w:r>
    </w:p>
    <w:p w14:paraId="308ABCBE" w14:textId="77777777" w:rsidR="006D7DFE" w:rsidRPr="00DE096C" w:rsidRDefault="006D7DFE" w:rsidP="00D45A46">
      <w:pPr>
        <w:jc w:val="both"/>
        <w:rPr>
          <w:bCs/>
          <w:color w:val="002060"/>
          <w:sz w:val="16"/>
          <w:szCs w:val="16"/>
        </w:rPr>
      </w:pPr>
    </w:p>
    <w:p w14:paraId="135A2D48" w14:textId="77777777" w:rsidR="00FB26C6" w:rsidRPr="00B52707" w:rsidRDefault="00FB26C6" w:rsidP="00FB26C6">
      <w:pPr>
        <w:jc w:val="both"/>
        <w:rPr>
          <w:color w:val="0070C0"/>
          <w:sz w:val="16"/>
          <w:szCs w:val="16"/>
        </w:rPr>
      </w:pPr>
      <w:r>
        <w:rPr>
          <w:color w:val="0070C0"/>
          <w:sz w:val="16"/>
          <w:szCs w:val="16"/>
        </w:rPr>
        <w:t>2</w:t>
      </w:r>
      <w:r w:rsidRPr="00B52707">
        <w:rPr>
          <w:color w:val="0070C0"/>
          <w:sz w:val="16"/>
          <w:szCs w:val="16"/>
        </w:rPr>
        <w:t>7 июня (10 июля) 1914 г. Главный штаб морской авиации в Париже включал службы аэронавтики (аэростаты и дирижабли) и авиации (самолеты), а также тыловые и Центральную службу – ее руководитель капитан I ранга Ноэль подчинялся непосредственно Морскому министру. Утряска штатов Центральной службы Аэронаваль закончилась за несколько дней до начала войны – 1 августа 1914 г., а эскадрильи еще долго комплектовались и по сути единственной боеготовой единицей Аэронаваль оставался тот самый «Ля Фадр» со своим экипажем.</w:t>
      </w:r>
    </w:p>
    <w:p w14:paraId="0587E938" w14:textId="77777777" w:rsidR="00FB26C6" w:rsidRPr="00B52707" w:rsidRDefault="00FB26C6" w:rsidP="00FB26C6">
      <w:pPr>
        <w:jc w:val="both"/>
        <w:rPr>
          <w:color w:val="0070C0"/>
          <w:sz w:val="16"/>
          <w:szCs w:val="16"/>
        </w:rPr>
      </w:pPr>
      <w:r w:rsidRPr="00B52707">
        <w:rPr>
          <w:color w:val="0070C0"/>
          <w:sz w:val="16"/>
          <w:szCs w:val="16"/>
        </w:rPr>
        <w:t>Эскадрильи морской авиации Франции предполагалось использовать для действий в Северном море против Германии, а на Средиземноморье – против Австро-Венгрии и Италии. Как и у сухопутной авиации, их задачей значилась разведка, однако многие уже тогда думали, что придется и противодействовать воздушному противнику. Правда пока рассматривались только сценарии защиты флота в море и в базах от налетов «цеппелинов», а встречи с вражескими гидропланами считались маловероятными, хотя уже 2-я Балканская война показала, что и они также неизбежны (25650).</w:t>
      </w:r>
    </w:p>
    <w:p w14:paraId="4A0AB673" w14:textId="77777777" w:rsidR="00FB26C6" w:rsidRPr="00B52707" w:rsidRDefault="00FB26C6" w:rsidP="00FB26C6">
      <w:pPr>
        <w:jc w:val="both"/>
        <w:rPr>
          <w:color w:val="0070C0"/>
          <w:sz w:val="16"/>
          <w:szCs w:val="16"/>
        </w:rPr>
      </w:pPr>
    </w:p>
    <w:p w14:paraId="4F81A3C8"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3B750227" w14:textId="77777777" w:rsidR="00B67D7C" w:rsidRPr="00DE096C" w:rsidRDefault="00B67D7C" w:rsidP="00D45A46">
      <w:pPr>
        <w:shd w:val="clear" w:color="auto" w:fill="FFFFFF"/>
        <w:jc w:val="both"/>
        <w:rPr>
          <w:bCs/>
          <w:i/>
          <w:color w:val="002060"/>
          <w:sz w:val="16"/>
          <w:szCs w:val="16"/>
        </w:rPr>
      </w:pPr>
    </w:p>
    <w:p w14:paraId="12E06B7C" w14:textId="46578885" w:rsidR="00B67D7C" w:rsidRPr="00DE096C" w:rsidRDefault="00B67D7C" w:rsidP="00D45A46">
      <w:pPr>
        <w:shd w:val="clear" w:color="auto" w:fill="FFFFFF"/>
        <w:jc w:val="both"/>
        <w:rPr>
          <w:bCs/>
          <w:color w:val="002060"/>
          <w:sz w:val="16"/>
          <w:szCs w:val="16"/>
        </w:rPr>
      </w:pPr>
      <w:r w:rsidRPr="00DE096C">
        <w:rPr>
          <w:bCs/>
          <w:color w:val="002060"/>
          <w:sz w:val="16"/>
          <w:szCs w:val="16"/>
        </w:rPr>
        <w:t>28 июня (</w:t>
      </w:r>
      <w:r w:rsidR="001A4040" w:rsidRPr="00DE096C">
        <w:rPr>
          <w:bCs/>
          <w:color w:val="002060"/>
          <w:sz w:val="16"/>
          <w:szCs w:val="16"/>
        </w:rPr>
        <w:t>11</w:t>
      </w:r>
      <w:r w:rsidRPr="00DE096C">
        <w:rPr>
          <w:bCs/>
          <w:color w:val="002060"/>
          <w:sz w:val="16"/>
          <w:szCs w:val="16"/>
        </w:rPr>
        <w:t xml:space="preserve"> июля) 1914 состоялся обратный перелет (без Пруссиса) Киев-Новосокольники—Петербург (1200 км за 13 ч 5 мин летного времени). Уста</w:t>
      </w:r>
      <w:r w:rsidRPr="00DE096C">
        <w:rPr>
          <w:bCs/>
          <w:color w:val="002060"/>
          <w:sz w:val="16"/>
          <w:szCs w:val="16"/>
        </w:rPr>
        <w:softHyphen/>
        <w:t>новлены мировые рекорды дальности с 2 и 3 пассажирами (1137).</w:t>
      </w:r>
    </w:p>
    <w:p w14:paraId="46883B4E" w14:textId="77777777" w:rsidR="00B67D7C" w:rsidRPr="00DE096C" w:rsidRDefault="00B67D7C" w:rsidP="00D45A46">
      <w:pPr>
        <w:shd w:val="clear" w:color="auto" w:fill="FFFFFF"/>
        <w:jc w:val="both"/>
        <w:rPr>
          <w:bCs/>
          <w:color w:val="002060"/>
          <w:sz w:val="16"/>
          <w:szCs w:val="16"/>
        </w:rPr>
      </w:pPr>
    </w:p>
    <w:p w14:paraId="7357EF35" w14:textId="35C4715F" w:rsidR="00B67D7C" w:rsidRPr="00DE096C" w:rsidRDefault="00B67D7C" w:rsidP="00D45A46">
      <w:pPr>
        <w:shd w:val="clear" w:color="auto" w:fill="FFFFFF"/>
        <w:jc w:val="both"/>
        <w:rPr>
          <w:bCs/>
          <w:i/>
          <w:color w:val="002060"/>
          <w:sz w:val="16"/>
          <w:szCs w:val="16"/>
        </w:rPr>
      </w:pPr>
      <w:r w:rsidRPr="00DE096C">
        <w:rPr>
          <w:bCs/>
          <w:color w:val="002060"/>
          <w:sz w:val="16"/>
          <w:szCs w:val="16"/>
        </w:rPr>
        <w:t>28 июня (1</w:t>
      </w:r>
      <w:r w:rsidR="001A4040" w:rsidRPr="00DE096C">
        <w:rPr>
          <w:bCs/>
          <w:color w:val="002060"/>
          <w:sz w:val="16"/>
          <w:szCs w:val="16"/>
        </w:rPr>
        <w:t>1</w:t>
      </w:r>
      <w:r w:rsidRPr="00DE096C">
        <w:rPr>
          <w:bCs/>
          <w:color w:val="002060"/>
          <w:sz w:val="16"/>
          <w:szCs w:val="16"/>
        </w:rPr>
        <w:t xml:space="preserve"> июля) 1914 И.И.Сикорский, Г.И.Лавров и механик В.С.Панасюк 18 самолете "Илья Муромец" совершили перелет из Киева в Петербург, пройдя весь путь около 1200 км за 12 часов 50 минут лет-[ного времени с одной остановкой в Новоеокольниках.Во время полета [производились опыты выключения одного и двух моторов с одной стороны, сбрасывался ящик с песком, при этом самолет держался устойчиво и без снижения. Все это делалось в предвидении буду-него использования самолета в качества бомбардировщика. После выполнения перелета Петербург-Киев и обратно этот самолет полу-шл название "Ильи Муромца Киевского" </w:t>
      </w:r>
      <w:r w:rsidRPr="00DE096C">
        <w:rPr>
          <w:bCs/>
          <w:i/>
          <w:color w:val="002060"/>
          <w:sz w:val="16"/>
          <w:szCs w:val="16"/>
        </w:rPr>
        <w:t>("Аэро", 1914, № 13; "Русский инвалид". 1914 г. 5 июля).</w:t>
      </w:r>
    </w:p>
    <w:p w14:paraId="0F80B639" w14:textId="77777777" w:rsidR="00B67D7C" w:rsidRPr="00DE096C" w:rsidRDefault="00B67D7C" w:rsidP="00D45A46">
      <w:pPr>
        <w:shd w:val="clear" w:color="auto" w:fill="FFFFFF"/>
        <w:jc w:val="both"/>
        <w:rPr>
          <w:bCs/>
          <w:i/>
          <w:color w:val="002060"/>
          <w:sz w:val="16"/>
          <w:szCs w:val="16"/>
        </w:rPr>
      </w:pPr>
    </w:p>
    <w:p w14:paraId="2A1F48B1" w14:textId="77777777" w:rsidR="00E76BC4" w:rsidRPr="00DE096C" w:rsidRDefault="00E76BC4" w:rsidP="00D45A46">
      <w:pPr>
        <w:jc w:val="both"/>
        <w:rPr>
          <w:bCs/>
          <w:color w:val="002060"/>
          <w:sz w:val="16"/>
          <w:szCs w:val="16"/>
        </w:rPr>
      </w:pPr>
      <w:r w:rsidRPr="00DE096C">
        <w:rPr>
          <w:bCs/>
          <w:color w:val="002060"/>
          <w:sz w:val="16"/>
          <w:szCs w:val="16"/>
        </w:rPr>
        <w:t>28 июня (11 июля) 1914 г. летчики И.И.Сикорский и Г.И.Лавров и механик В.С.Панасюк на самолете "Илья Муромец»» совершили перелет из Киева в Петербурв, пройдя весь путь около 1200 км за 12. ч. 50 минут летного времени с одной остановкой в Новосокольниках. Во время полета производились опыты выключения одного и двух моторов с одной стороны, сбрасывался ящик с песком, при этом самолет держался устойчиво и без снижения. Всe это делалось в предвидении будущего использования самолета в качестве бомбардировщика. После выполнения перелета Петербург-Киев и обратно этот самолет получил название "Ильи муромца Киевского».</w:t>
      </w:r>
    </w:p>
    <w:p w14:paraId="0D3483DF" w14:textId="77777777" w:rsidR="00E76BC4" w:rsidRPr="00DE096C" w:rsidRDefault="00E76BC4" w:rsidP="00D45A46">
      <w:pPr>
        <w:jc w:val="both"/>
        <w:rPr>
          <w:bCs/>
          <w:color w:val="002060"/>
          <w:sz w:val="16"/>
          <w:szCs w:val="16"/>
        </w:rPr>
      </w:pPr>
      <w:r w:rsidRPr="00DE096C">
        <w:rPr>
          <w:bCs/>
          <w:color w:val="002060"/>
          <w:sz w:val="16"/>
          <w:szCs w:val="16"/>
        </w:rPr>
        <w:t>/"Аэро", 1914, № 13; "Русский инвалид" за 5 июля 1914/ (23320).</w:t>
      </w:r>
    </w:p>
    <w:p w14:paraId="32B3C61F" w14:textId="77777777" w:rsidR="00E76BC4" w:rsidRPr="00DE096C" w:rsidRDefault="00E76BC4" w:rsidP="00D45A46">
      <w:pPr>
        <w:jc w:val="both"/>
        <w:rPr>
          <w:bCs/>
          <w:color w:val="002060"/>
          <w:sz w:val="16"/>
          <w:szCs w:val="16"/>
        </w:rPr>
      </w:pPr>
    </w:p>
    <w:p w14:paraId="57DB66D2" w14:textId="7917BD5F" w:rsidR="00D52F55" w:rsidRPr="00DE096C" w:rsidRDefault="00D52F55" w:rsidP="00D45A46">
      <w:pPr>
        <w:jc w:val="both"/>
        <w:rPr>
          <w:bCs/>
          <w:color w:val="002060"/>
          <w:sz w:val="16"/>
          <w:szCs w:val="16"/>
        </w:rPr>
      </w:pPr>
      <w:r w:rsidRPr="00DE096C">
        <w:rPr>
          <w:bCs/>
          <w:color w:val="002060"/>
          <w:sz w:val="16"/>
          <w:szCs w:val="16"/>
        </w:rPr>
        <w:lastRenderedPageBreak/>
        <w:t xml:space="preserve">28 июня </w:t>
      </w:r>
      <w:r w:rsidR="001A4040" w:rsidRPr="00DE096C">
        <w:rPr>
          <w:bCs/>
          <w:color w:val="002060"/>
          <w:sz w:val="16"/>
          <w:szCs w:val="16"/>
        </w:rPr>
        <w:t xml:space="preserve">(11 июля) </w:t>
      </w:r>
      <w:r w:rsidRPr="00DE096C">
        <w:rPr>
          <w:bCs/>
          <w:color w:val="002060"/>
          <w:sz w:val="16"/>
          <w:szCs w:val="16"/>
        </w:rPr>
        <w:t>в 1914 году экипаж И.И.Сикорского на самолете «Илья Муромец» установил мировой рекорд полета с двумя пассажирами на борту, пролетев по маршруту Киев - Сокольники - Санкт-Петербург за 14 ч 38 мин (13 ч 5 мин летного времени) 1200 км; Киевский журнал «Автомобильная жизнь и авиация» так оценивал перелет «Ильи Муромца»: «Таким образом, путь из Киева в Санкт-Петербург пройден «Ильей Муромцем» в течение 14 ч. 38 мин. На перелет из Киева в Ново-Сокольники (720 верст) употреблено 7 ч. 32 мин., что составляет мировой рекорд продолжительности и дальности полета трех лиц на борту аэроплана. Из Ново-Сокольников в Санкт-Петербург полет продолжается 6 ч. 33 мин. Этими блестящими перелетами окончился суровый экзамен новой системы русского аэроплана. Результаты оказались ошеломляющими» (14936).</w:t>
      </w:r>
    </w:p>
    <w:p w14:paraId="17047662" w14:textId="77777777" w:rsidR="00D52F55" w:rsidRPr="00DE096C" w:rsidRDefault="00D52F55" w:rsidP="00D45A46">
      <w:pPr>
        <w:jc w:val="both"/>
        <w:rPr>
          <w:bCs/>
          <w:color w:val="002060"/>
          <w:sz w:val="16"/>
          <w:szCs w:val="16"/>
        </w:rPr>
      </w:pPr>
    </w:p>
    <w:p w14:paraId="213E5D41" w14:textId="0ED56334" w:rsidR="00B67D7C" w:rsidRPr="00DE096C" w:rsidRDefault="00B67D7C" w:rsidP="00D45A46">
      <w:pPr>
        <w:shd w:val="clear" w:color="auto" w:fill="FFFFFF"/>
        <w:jc w:val="both"/>
        <w:rPr>
          <w:bCs/>
          <w:color w:val="002060"/>
          <w:sz w:val="16"/>
          <w:szCs w:val="16"/>
        </w:rPr>
      </w:pPr>
      <w:r w:rsidRPr="00DE096C">
        <w:rPr>
          <w:bCs/>
          <w:color w:val="002060"/>
          <w:sz w:val="16"/>
          <w:szCs w:val="16"/>
        </w:rPr>
        <w:t>28 июня</w:t>
      </w:r>
      <w:r w:rsidR="001A4040" w:rsidRPr="00DE096C">
        <w:rPr>
          <w:bCs/>
          <w:color w:val="002060"/>
          <w:sz w:val="16"/>
          <w:szCs w:val="16"/>
        </w:rPr>
        <w:t xml:space="preserve"> (11 июля) </w:t>
      </w:r>
      <w:r w:rsidRPr="00DE096C">
        <w:rPr>
          <w:bCs/>
          <w:color w:val="002060"/>
          <w:sz w:val="16"/>
          <w:szCs w:val="16"/>
        </w:rPr>
        <w:t xml:space="preserve">1914 </w:t>
      </w:r>
      <w:r w:rsidR="001A4040" w:rsidRPr="00DE096C">
        <w:rPr>
          <w:bCs/>
          <w:color w:val="002060"/>
          <w:sz w:val="16"/>
          <w:szCs w:val="16"/>
        </w:rPr>
        <w:t xml:space="preserve">г. был </w:t>
      </w:r>
      <w:r w:rsidRPr="00DE096C">
        <w:rPr>
          <w:bCs/>
          <w:color w:val="002060"/>
          <w:sz w:val="16"/>
          <w:szCs w:val="16"/>
        </w:rPr>
        <w:t>обратный перелет (без Пруссиса) Киев-Новосокольники-Петербург (1200 км за 13 ч 5 мин летного времени). Установлены мировые рекорды дальности с 2 и 3 пассажирами (11425).</w:t>
      </w:r>
    </w:p>
    <w:p w14:paraId="708C3D4F" w14:textId="77777777" w:rsidR="00B67D7C" w:rsidRPr="00DE096C" w:rsidRDefault="00B67D7C" w:rsidP="00D45A46">
      <w:pPr>
        <w:shd w:val="clear" w:color="auto" w:fill="FFFFFF"/>
        <w:jc w:val="both"/>
        <w:rPr>
          <w:bCs/>
          <w:color w:val="002060"/>
          <w:sz w:val="16"/>
          <w:szCs w:val="16"/>
        </w:rPr>
      </w:pPr>
    </w:p>
    <w:p w14:paraId="4F18F077" w14:textId="06EE3F54" w:rsidR="00B67D7C" w:rsidRPr="00DE096C" w:rsidRDefault="00B67D7C" w:rsidP="00D45A46">
      <w:pPr>
        <w:jc w:val="both"/>
        <w:rPr>
          <w:bCs/>
          <w:color w:val="002060"/>
          <w:sz w:val="16"/>
          <w:szCs w:val="16"/>
        </w:rPr>
      </w:pPr>
      <w:r w:rsidRPr="00DE096C">
        <w:rPr>
          <w:bCs/>
          <w:color w:val="002060"/>
          <w:sz w:val="16"/>
          <w:szCs w:val="16"/>
        </w:rPr>
        <w:t>28 июня (1</w:t>
      </w:r>
      <w:r w:rsidR="001A4040" w:rsidRPr="00DE096C">
        <w:rPr>
          <w:bCs/>
          <w:color w:val="002060"/>
          <w:sz w:val="16"/>
          <w:szCs w:val="16"/>
        </w:rPr>
        <w:t>1</w:t>
      </w:r>
      <w:r w:rsidRPr="00DE096C">
        <w:rPr>
          <w:bCs/>
          <w:color w:val="002060"/>
          <w:sz w:val="16"/>
          <w:szCs w:val="16"/>
        </w:rPr>
        <w:t xml:space="preserve"> июля) 1914 "Илья Муромец" вылетел в обратный путь. Курс на север. В экипаже теперь только три человека. Накануне вылета Пруссис уехал поездом. В Европе уже шла война, и инструктору Гатчинской школы военных летчиков надлежало быть на месте. Штабс-капитан не хотел рисковать из-за возможных задержек при перелете и предпочел наземный транспорт. Сикорский же был уверен, что, как показал опыт, даже в труднейших условиях в полете можно будет управиться и втроем. Используя экономию в весе, на борт взяли больше топлива - была реальная возможность установить мировые рекорды дальности и продолжительности полета, имея на борту трех человек. </w:t>
      </w:r>
    </w:p>
    <w:p w14:paraId="0ACDED4F" w14:textId="77777777" w:rsidR="00B67D7C" w:rsidRPr="00DE096C" w:rsidRDefault="00B67D7C" w:rsidP="00D45A46">
      <w:pPr>
        <w:jc w:val="both"/>
        <w:rPr>
          <w:bCs/>
          <w:color w:val="002060"/>
          <w:sz w:val="16"/>
          <w:szCs w:val="16"/>
        </w:rPr>
      </w:pPr>
      <w:r w:rsidRPr="00DE096C">
        <w:rPr>
          <w:bCs/>
          <w:color w:val="002060"/>
          <w:sz w:val="16"/>
          <w:szCs w:val="16"/>
        </w:rPr>
        <w:t xml:space="preserve">Погода в целом благоприятствовала полету, и через семь с половиной часов Сикорский благополучно посадил машину в Ново-Сокольниках. Пройдено более половины пути. Учитывая горький опыт в Орше, когда на заправку ушло более четырех часов, теперь представитель завода придумал простое, но очень эффективное приспособление с использованием сжатого воздуха. Все баки были заполнены за 45 минут. </w:t>
      </w:r>
    </w:p>
    <w:p w14:paraId="1915AEA4" w14:textId="77777777" w:rsidR="00B67D7C" w:rsidRPr="00DE096C" w:rsidRDefault="00B67D7C" w:rsidP="00D45A46">
      <w:pPr>
        <w:jc w:val="both"/>
        <w:rPr>
          <w:bCs/>
          <w:color w:val="002060"/>
          <w:sz w:val="16"/>
          <w:szCs w:val="16"/>
        </w:rPr>
      </w:pPr>
      <w:r w:rsidRPr="00DE096C">
        <w:rPr>
          <w:bCs/>
          <w:color w:val="002060"/>
          <w:sz w:val="16"/>
          <w:szCs w:val="16"/>
        </w:rPr>
        <w:t xml:space="preserve">Вскоре после полудня взлетели. Опять жара, болтанка. Перегруженный самолет не может набирать высоту, чтобы уйти в спасительную прохладу. Сикорский борется с болтанкой, все время работает штурвалом. Приходилось часто подменяться. Когда уже набрали 1100 м, начало так бросать, что самолет за одну минуту потерял более 400 м. А тут еще вошли в зону лесных пожаров. Видимость ухудшилась, стало тяжело дышать. При подходе к озеру Велья машину опять бросало вниз с креном в 45° и с таким же углом пикирования. Это были тяжелые минуты полета. Постепенно по мере выработки топлива машина набирает 1500 м. Здесь стало полегче. Можно отдышаться. Только пилот подумал об этом, как увидел, что из левого крайнего двигателя струёй бьет бензин. Он быстро передал управление Лаврову, а сам, держась за проволочные поручни, поспешил к месту аварии. Слава Богу, пожара не было. Оказалось, что от тряски и болтанки все четыре винта на верхней крышке карбюратора отвернулись. Два из них выпали совсем, и бензин бил из-под крышки. Сикорский затянул винты, и утечка прекратилась. </w:t>
      </w:r>
    </w:p>
    <w:p w14:paraId="6FD9933B" w14:textId="77777777" w:rsidR="00B67D7C" w:rsidRPr="00DE096C" w:rsidRDefault="00B67D7C" w:rsidP="00D45A46">
      <w:pPr>
        <w:jc w:val="both"/>
        <w:rPr>
          <w:bCs/>
          <w:color w:val="002060"/>
          <w:sz w:val="16"/>
          <w:szCs w:val="16"/>
        </w:rPr>
      </w:pPr>
      <w:r w:rsidRPr="00DE096C">
        <w:rPr>
          <w:bCs/>
          <w:color w:val="002060"/>
          <w:sz w:val="16"/>
          <w:szCs w:val="16"/>
        </w:rPr>
        <w:t xml:space="preserve">Около пяти вечера на горизонте показалось темное пятно. Петербург. Вскоре "Илья Муромец" торжественно проплыл над городом, развернулся и зашел па посадку на Корпусной аэродром. Позади 2500 км. Перелет убедительно доказал возможности многомоторных кораблей. Даже неисправности, обнаруженные и ликвидированные во время полета, оттеняли достоинства "Муромца". </w:t>
      </w:r>
    </w:p>
    <w:p w14:paraId="08F22D7B" w14:textId="77777777" w:rsidR="00B67D7C" w:rsidRPr="00DE096C" w:rsidRDefault="00B67D7C" w:rsidP="00D45A46">
      <w:pPr>
        <w:jc w:val="both"/>
        <w:rPr>
          <w:bCs/>
          <w:color w:val="002060"/>
          <w:sz w:val="16"/>
          <w:szCs w:val="16"/>
        </w:rPr>
      </w:pPr>
      <w:r w:rsidRPr="00DE096C">
        <w:rPr>
          <w:bCs/>
          <w:color w:val="002060"/>
          <w:sz w:val="16"/>
          <w:szCs w:val="16"/>
        </w:rPr>
        <w:t xml:space="preserve">Пресса отмечала перелет, но важность его уже заслонялась событиями, которые затрагивали всех: надвигалась мировая война. Киевский журнал "Автомобильная жизнь и авиация" так оценивал перелет "Ильи Муромца": </w:t>
      </w:r>
    </w:p>
    <w:p w14:paraId="4DC782A7" w14:textId="77777777" w:rsidR="00B67D7C" w:rsidRPr="00DE096C" w:rsidRDefault="00B67D7C" w:rsidP="00D45A46">
      <w:pPr>
        <w:jc w:val="both"/>
        <w:rPr>
          <w:bCs/>
          <w:color w:val="002060"/>
          <w:sz w:val="16"/>
          <w:szCs w:val="16"/>
        </w:rPr>
      </w:pPr>
      <w:r w:rsidRPr="00DE096C">
        <w:rPr>
          <w:bCs/>
          <w:color w:val="002060"/>
          <w:sz w:val="16"/>
          <w:szCs w:val="16"/>
        </w:rPr>
        <w:t xml:space="preserve">"Таким образом, путь из Киева в Петербург пройден "Ильей Муромцем" в течение 14 ч. 38 мин. На перелет из Киева в Ново-Сокольники (720 верст) употреблено 7 ч. 32 мин., что составляет мировой рекорд продолжительности и дальности полета трех лиц на борту аэроплана. Из Ново-Сокольников в Петербург полет продолжается 6 ч. 33 мин. </w:t>
      </w:r>
    </w:p>
    <w:p w14:paraId="79EC18A1" w14:textId="77777777" w:rsidR="00B67D7C" w:rsidRPr="00DE096C" w:rsidRDefault="00B67D7C" w:rsidP="00D45A46">
      <w:pPr>
        <w:jc w:val="both"/>
        <w:rPr>
          <w:bCs/>
          <w:color w:val="002060"/>
          <w:sz w:val="16"/>
          <w:szCs w:val="16"/>
        </w:rPr>
      </w:pPr>
      <w:r w:rsidRPr="00DE096C">
        <w:rPr>
          <w:bCs/>
          <w:color w:val="002060"/>
          <w:sz w:val="16"/>
          <w:szCs w:val="16"/>
        </w:rPr>
        <w:t>Этими блестящими перелетами окончился суровый экзамен новой системы русского аэроплана. Результаты оказались ошеломляющими". [Автомобильная жизнь и авиация. 1914. ? 6. С. 21-23. Орфография сохранена.]</w:t>
      </w:r>
    </w:p>
    <w:p w14:paraId="7179E221" w14:textId="77777777" w:rsidR="00B67D7C" w:rsidRPr="00DE096C" w:rsidRDefault="00B67D7C" w:rsidP="00D45A46">
      <w:pPr>
        <w:jc w:val="both"/>
        <w:rPr>
          <w:bCs/>
          <w:color w:val="002060"/>
          <w:sz w:val="16"/>
          <w:szCs w:val="16"/>
        </w:rPr>
      </w:pPr>
      <w:r w:rsidRPr="00DE096C">
        <w:rPr>
          <w:bCs/>
          <w:color w:val="002060"/>
          <w:sz w:val="16"/>
          <w:szCs w:val="16"/>
        </w:rPr>
        <w:t xml:space="preserve">Хотя в перелете был установлен ряд мировых достижений, доказаны преимущества использования многомоторных кораблей в длительных полетах, открыта дорога транспортной авиации и, кроме того, приобретен ценнейший опыт полета по приборам, в то время не смогли дать должную оценку этому выдающемуся событию. Конечно, здесь сыграла свою роль и начавшаяся вскоре мировая война, которая заслонила собой все (11294). </w:t>
      </w:r>
    </w:p>
    <w:p w14:paraId="6BE4FFC0" w14:textId="77777777" w:rsidR="00B67D7C" w:rsidRPr="00DE096C" w:rsidRDefault="00B67D7C" w:rsidP="00D45A46">
      <w:pPr>
        <w:jc w:val="both"/>
        <w:rPr>
          <w:bCs/>
          <w:color w:val="002060"/>
          <w:sz w:val="16"/>
          <w:szCs w:val="16"/>
        </w:rPr>
      </w:pPr>
    </w:p>
    <w:p w14:paraId="5F91F955" w14:textId="6B48338A" w:rsidR="004918D4" w:rsidRPr="00DE096C" w:rsidRDefault="004918D4" w:rsidP="00D45A46">
      <w:pPr>
        <w:jc w:val="both"/>
        <w:rPr>
          <w:bCs/>
          <w:color w:val="002060"/>
          <w:sz w:val="16"/>
          <w:szCs w:val="16"/>
        </w:rPr>
      </w:pPr>
      <w:r w:rsidRPr="00DE096C">
        <w:rPr>
          <w:bCs/>
          <w:color w:val="002060"/>
          <w:sz w:val="16"/>
          <w:szCs w:val="16"/>
        </w:rPr>
        <w:t>28 июня (11 июля) 1914 г. «Илья Муромец» вылетел из Киева в обратный путь. Курс на север. В экипаже теперь только три человека. Накануне вылета Пруссис уехал поездом. В Европе уже шла война, и инструктору Гатчинской школы военных летчиков надлежало быть на месте. Штабс-капитан не хотел рисковать из-за возможных задержек при перелете и предпочел наземный транспорт. Сикорский же был уверен, что, как показал опыт, даже в труднейших условиях в полете можно будет управиться и втроем. Используя экономию в весе, на борт взяли больше топлива — была реальная возможность установить мировые рекорды дальности и продолжительности полета, имея на борту- трех человек.</w:t>
      </w:r>
    </w:p>
    <w:p w14:paraId="7E171634" w14:textId="77777777" w:rsidR="004918D4" w:rsidRPr="00DE096C" w:rsidRDefault="004918D4" w:rsidP="00D45A46">
      <w:pPr>
        <w:jc w:val="both"/>
        <w:rPr>
          <w:bCs/>
          <w:color w:val="002060"/>
          <w:sz w:val="16"/>
          <w:szCs w:val="16"/>
        </w:rPr>
      </w:pPr>
      <w:r w:rsidRPr="00DE096C">
        <w:rPr>
          <w:bCs/>
          <w:color w:val="002060"/>
          <w:sz w:val="16"/>
          <w:szCs w:val="16"/>
        </w:rPr>
        <w:t>Погода в целом благоприятствовала полету, и через семь с половиной часов Сикорский благополучно посадил машину в Ново-Сокольниках. Пройдено более половины пути. Учитывая горький опыт в Орше, когда на заправку ушло более четырех часов, теперь представитель завода придумал простое, но очень эффективное приспособление с использованием сжатого воздуха. Все баки были заиолнены за 45 минут.</w:t>
      </w:r>
    </w:p>
    <w:p w14:paraId="56BBD169" w14:textId="77777777" w:rsidR="004918D4" w:rsidRPr="00DE096C" w:rsidRDefault="004918D4" w:rsidP="00D45A46">
      <w:pPr>
        <w:jc w:val="both"/>
        <w:rPr>
          <w:bCs/>
          <w:color w:val="002060"/>
          <w:sz w:val="16"/>
          <w:szCs w:val="16"/>
        </w:rPr>
      </w:pPr>
      <w:r w:rsidRPr="00DE096C">
        <w:rPr>
          <w:bCs/>
          <w:color w:val="002060"/>
          <w:sz w:val="16"/>
          <w:szCs w:val="16"/>
        </w:rPr>
        <w:t>Вскоре после полудня взлетели. Опять жара, болтанка. Перегруженный самолет не может набирать высоту, чтобы уйти в спасительную прохладу. Сикорский борется с болтанкой, все время работает штурвалом. Приходилось часто подменяться. Когда уже набрали 1100 м, начало так бросать, что самолет за одну минуту потерял более 400 м. А тут еще вошли в зону лесных пожаров. Видимость ухудшилась, стало тяжело дышать. При подходе к озеру Велья машину опять бросало вниз с креном в 45° и с таким же углом пикирования. Это были тяжелые минуты полета. Постепенно по мере выработки топлива машина набирает 1500 м. Здесь стало полегче. Можно отдышаться. Толь</w:t>
      </w:r>
      <w:r w:rsidRPr="00DE096C">
        <w:rPr>
          <w:bCs/>
          <w:color w:val="002060"/>
          <w:sz w:val="16"/>
          <w:szCs w:val="16"/>
        </w:rPr>
        <w:softHyphen/>
        <w:t>ко пилот подумал об этом, как увидел, что из левого крайнего двигателя струей бьет бензин. Он быстро пе</w:t>
      </w:r>
      <w:r w:rsidRPr="00DE096C">
        <w:rPr>
          <w:bCs/>
          <w:color w:val="002060"/>
          <w:sz w:val="16"/>
          <w:szCs w:val="16"/>
        </w:rPr>
        <w:softHyphen/>
        <w:t>редал управление Лаврову, а сам, держась за прово</w:t>
      </w:r>
      <w:r w:rsidRPr="00DE096C">
        <w:rPr>
          <w:bCs/>
          <w:color w:val="002060"/>
          <w:sz w:val="16"/>
          <w:szCs w:val="16"/>
        </w:rPr>
        <w:softHyphen/>
        <w:t>лочные поручни, поспешил к месту аварии. Слава Богу, пожара не было. Оказалось, что от тряски и бол</w:t>
      </w:r>
      <w:r w:rsidRPr="00DE096C">
        <w:rPr>
          <w:bCs/>
          <w:color w:val="002060"/>
          <w:sz w:val="16"/>
          <w:szCs w:val="16"/>
        </w:rPr>
        <w:softHyphen/>
        <w:t>танки все четыре винта на верхней крышке карбюра</w:t>
      </w:r>
      <w:r w:rsidRPr="00DE096C">
        <w:rPr>
          <w:bCs/>
          <w:color w:val="002060"/>
          <w:sz w:val="16"/>
          <w:szCs w:val="16"/>
        </w:rPr>
        <w:softHyphen/>
        <w:t>тора отвернулись. Два из них выпали совсем, и бензин бил из-под крышки. Сикорский затянул винты, и утеч</w:t>
      </w:r>
      <w:r w:rsidRPr="00DE096C">
        <w:rPr>
          <w:bCs/>
          <w:color w:val="002060"/>
          <w:sz w:val="16"/>
          <w:szCs w:val="16"/>
        </w:rPr>
        <w:softHyphen/>
        <w:t>ка прекратилась.</w:t>
      </w:r>
      <w:r w:rsidRPr="00DE096C">
        <w:rPr>
          <w:bCs/>
          <w:color w:val="002060"/>
          <w:sz w:val="16"/>
          <w:szCs w:val="16"/>
        </w:rPr>
        <w:tab/>
      </w:r>
    </w:p>
    <w:p w14:paraId="7E5D812F" w14:textId="77777777" w:rsidR="004918D4" w:rsidRPr="00DE096C" w:rsidRDefault="004918D4" w:rsidP="00D45A46">
      <w:pPr>
        <w:jc w:val="both"/>
        <w:rPr>
          <w:bCs/>
          <w:color w:val="002060"/>
          <w:sz w:val="16"/>
          <w:szCs w:val="16"/>
        </w:rPr>
      </w:pPr>
      <w:r w:rsidRPr="00DE096C">
        <w:rPr>
          <w:bCs/>
          <w:color w:val="002060"/>
          <w:sz w:val="16"/>
          <w:szCs w:val="16"/>
        </w:rPr>
        <w:t>Около пяти вечера на горизонте показалось темное пятно. Петербург. Вскоре «Илья Муромец» торжест</w:t>
      </w:r>
      <w:r w:rsidRPr="00DE096C">
        <w:rPr>
          <w:bCs/>
          <w:color w:val="002060"/>
          <w:sz w:val="16"/>
          <w:szCs w:val="16"/>
        </w:rPr>
        <w:softHyphen/>
        <w:t>венно проплыл над городом, развернулся и зашел на посадку на Корпусной аэродром. Позади 2500 км. Пе</w:t>
      </w:r>
      <w:r w:rsidRPr="00DE096C">
        <w:rPr>
          <w:bCs/>
          <w:color w:val="002060"/>
          <w:sz w:val="16"/>
          <w:szCs w:val="16"/>
        </w:rPr>
        <w:softHyphen/>
        <w:t>релет убедительно доказал возможности многомотор</w:t>
      </w:r>
      <w:r w:rsidRPr="00DE096C">
        <w:rPr>
          <w:bCs/>
          <w:color w:val="002060"/>
          <w:sz w:val="16"/>
          <w:szCs w:val="16"/>
        </w:rPr>
        <w:softHyphen/>
        <w:t>ных кораблей. Даже неисправности, обнаруженные и ликвидированные во время полета, оттеняли достоин</w:t>
      </w:r>
      <w:r w:rsidRPr="00DE096C">
        <w:rPr>
          <w:bCs/>
          <w:color w:val="002060"/>
          <w:sz w:val="16"/>
          <w:szCs w:val="16"/>
        </w:rPr>
        <w:softHyphen/>
        <w:t>ства «Муромца».</w:t>
      </w:r>
    </w:p>
    <w:p w14:paraId="6431D252" w14:textId="77777777" w:rsidR="004918D4" w:rsidRPr="00DE096C" w:rsidRDefault="004918D4" w:rsidP="00D45A46">
      <w:pPr>
        <w:jc w:val="both"/>
        <w:rPr>
          <w:bCs/>
          <w:color w:val="002060"/>
          <w:sz w:val="16"/>
          <w:szCs w:val="16"/>
        </w:rPr>
      </w:pPr>
      <w:r w:rsidRPr="00DE096C">
        <w:rPr>
          <w:bCs/>
          <w:color w:val="002060"/>
          <w:sz w:val="16"/>
          <w:szCs w:val="16"/>
        </w:rPr>
        <w:t>Пресса отмечала перелет, но важность его уже засло</w:t>
      </w:r>
      <w:r w:rsidRPr="00DE096C">
        <w:rPr>
          <w:bCs/>
          <w:color w:val="002060"/>
          <w:sz w:val="16"/>
          <w:szCs w:val="16"/>
        </w:rPr>
        <w:softHyphen/>
        <w:t>нялась событиями, которые затрагивали всех: надви</w:t>
      </w:r>
      <w:r w:rsidRPr="00DE096C">
        <w:rPr>
          <w:bCs/>
          <w:color w:val="002060"/>
          <w:sz w:val="16"/>
          <w:szCs w:val="16"/>
        </w:rPr>
        <w:softHyphen/>
        <w:t>галась мировая война. Киевский журнал «Автомобильная жизнь и авиация» так оценивал пере</w:t>
      </w:r>
      <w:r w:rsidRPr="00DE096C">
        <w:rPr>
          <w:bCs/>
          <w:color w:val="002060"/>
          <w:sz w:val="16"/>
          <w:szCs w:val="16"/>
        </w:rPr>
        <w:softHyphen/>
        <w:t>лет «Ильи Муромца»:</w:t>
      </w:r>
    </w:p>
    <w:p w14:paraId="665E8381" w14:textId="77777777" w:rsidR="004918D4" w:rsidRPr="00DE096C" w:rsidRDefault="004918D4" w:rsidP="00D45A46">
      <w:pPr>
        <w:jc w:val="both"/>
        <w:rPr>
          <w:bCs/>
          <w:color w:val="002060"/>
          <w:sz w:val="16"/>
          <w:szCs w:val="16"/>
        </w:rPr>
      </w:pPr>
      <w:r w:rsidRPr="00DE096C">
        <w:rPr>
          <w:bCs/>
          <w:color w:val="002060"/>
          <w:sz w:val="16"/>
          <w:szCs w:val="16"/>
        </w:rPr>
        <w:t>«Таким образом, путь из Киева в Петербург пройден «Ильей Муромцем» в течение 14 ч. 38 мин. На перелет из Киева в Ново-Сокольники (720 верст) употреблено 7 ч. 32 мин., что составляет мировой рекорд продол</w:t>
      </w:r>
      <w:r w:rsidRPr="00DE096C">
        <w:rPr>
          <w:bCs/>
          <w:color w:val="002060"/>
          <w:sz w:val="16"/>
          <w:szCs w:val="16"/>
        </w:rPr>
        <w:softHyphen/>
        <w:t>жительности и дальности полета трех лиц на борту аэроплана. Из Ново-Сокольников в Петербург полет продолжается 6 ч. 33 мин. (24177).</w:t>
      </w:r>
    </w:p>
    <w:p w14:paraId="52E7E565" w14:textId="77777777" w:rsidR="004918D4" w:rsidRPr="00DE096C" w:rsidRDefault="004918D4" w:rsidP="00D45A46">
      <w:pPr>
        <w:jc w:val="both"/>
        <w:rPr>
          <w:bCs/>
          <w:color w:val="002060"/>
          <w:sz w:val="16"/>
          <w:szCs w:val="16"/>
        </w:rPr>
      </w:pPr>
    </w:p>
    <w:p w14:paraId="7DC0B413" w14:textId="77777777" w:rsidR="00FB26C6" w:rsidRPr="00B52707" w:rsidRDefault="00FB26C6" w:rsidP="00FB26C6">
      <w:pPr>
        <w:jc w:val="both"/>
        <w:rPr>
          <w:color w:val="0070C0"/>
          <w:sz w:val="16"/>
          <w:szCs w:val="16"/>
        </w:rPr>
      </w:pPr>
      <w:r w:rsidRPr="00B52707">
        <w:rPr>
          <w:color w:val="0070C0"/>
          <w:sz w:val="16"/>
          <w:szCs w:val="16"/>
        </w:rPr>
        <w:t>28 июня (11 июля) 1914 г. на самолете «Моран-Ж» командир XI КАО штабс-капитан П.Н. Нестеров совершил перелет из Москвы в Петербург с промежуточными посадками продолжительностью 5 часов (25704).</w:t>
      </w:r>
    </w:p>
    <w:p w14:paraId="64C948CB" w14:textId="77777777" w:rsidR="00FB26C6" w:rsidRPr="00B52707" w:rsidRDefault="00FB26C6" w:rsidP="00FB26C6">
      <w:pPr>
        <w:jc w:val="both"/>
        <w:rPr>
          <w:color w:val="0070C0"/>
          <w:sz w:val="16"/>
          <w:szCs w:val="16"/>
        </w:rPr>
      </w:pPr>
    </w:p>
    <w:p w14:paraId="63FB7C2F" w14:textId="77777777" w:rsidR="0088213F" w:rsidRPr="00DE096C" w:rsidRDefault="0088213F" w:rsidP="00D45A46">
      <w:pPr>
        <w:jc w:val="both"/>
        <w:rPr>
          <w:bCs/>
          <w:i/>
          <w:color w:val="002060"/>
          <w:sz w:val="16"/>
          <w:szCs w:val="16"/>
        </w:rPr>
      </w:pPr>
      <w:r w:rsidRPr="00DE096C">
        <w:rPr>
          <w:bCs/>
          <w:i/>
          <w:color w:val="002060"/>
          <w:sz w:val="16"/>
          <w:szCs w:val="16"/>
        </w:rPr>
        <w:t>Авиация и воздухоплавание Франции:</w:t>
      </w:r>
    </w:p>
    <w:p w14:paraId="41D7FCD4" w14:textId="77777777" w:rsidR="0088213F" w:rsidRPr="00DE096C" w:rsidRDefault="0088213F" w:rsidP="00D45A46">
      <w:pPr>
        <w:jc w:val="both"/>
        <w:rPr>
          <w:bCs/>
          <w:i/>
          <w:color w:val="002060"/>
          <w:sz w:val="16"/>
          <w:szCs w:val="16"/>
        </w:rPr>
      </w:pPr>
    </w:p>
    <w:p w14:paraId="63E7A765" w14:textId="4BD6177B" w:rsidR="0088213F" w:rsidRPr="00DE096C" w:rsidRDefault="0088213F" w:rsidP="00D45A46">
      <w:pPr>
        <w:jc w:val="both"/>
        <w:rPr>
          <w:bCs/>
          <w:color w:val="002060"/>
          <w:sz w:val="16"/>
          <w:szCs w:val="16"/>
        </w:rPr>
      </w:pPr>
      <w:r w:rsidRPr="00DE096C">
        <w:rPr>
          <w:bCs/>
          <w:color w:val="002060"/>
          <w:sz w:val="16"/>
          <w:szCs w:val="16"/>
        </w:rPr>
        <w:t xml:space="preserve">28 июня (11 июля) 1914 воздушная гонка Лондон – Париж и обратно </w:t>
      </w:r>
      <w:r w:rsidR="001A4040" w:rsidRPr="00DE096C">
        <w:rPr>
          <w:bCs/>
          <w:color w:val="002060"/>
          <w:sz w:val="16"/>
          <w:szCs w:val="16"/>
        </w:rPr>
        <w:t xml:space="preserve">была </w:t>
      </w:r>
      <w:r w:rsidRPr="00DE096C">
        <w:rPr>
          <w:bCs/>
          <w:color w:val="002060"/>
          <w:sz w:val="16"/>
          <w:szCs w:val="16"/>
        </w:rPr>
        <w:t>выиграна американцем Уолтером Л. Броком (20337).</w:t>
      </w:r>
    </w:p>
    <w:p w14:paraId="490DB372" w14:textId="77777777" w:rsidR="0088213F" w:rsidRPr="00DE096C" w:rsidRDefault="0088213F" w:rsidP="00D45A46">
      <w:pPr>
        <w:jc w:val="both"/>
        <w:rPr>
          <w:bCs/>
          <w:color w:val="002060"/>
          <w:sz w:val="16"/>
          <w:szCs w:val="16"/>
        </w:rPr>
      </w:pPr>
    </w:p>
    <w:p w14:paraId="160B1E1F" w14:textId="5461788C" w:rsidR="0088213F" w:rsidRPr="00DE096C" w:rsidRDefault="0088213F" w:rsidP="00D45A46">
      <w:pPr>
        <w:jc w:val="both"/>
        <w:rPr>
          <w:bCs/>
          <w:i/>
          <w:color w:val="002060"/>
          <w:sz w:val="16"/>
          <w:szCs w:val="16"/>
        </w:rPr>
      </w:pPr>
      <w:r w:rsidRPr="00DE096C">
        <w:rPr>
          <w:bCs/>
          <w:i/>
          <w:color w:val="002060"/>
          <w:sz w:val="16"/>
          <w:szCs w:val="16"/>
        </w:rPr>
        <w:t>Авиация и воздухоплавание Германии:</w:t>
      </w:r>
    </w:p>
    <w:p w14:paraId="438F3B37" w14:textId="77777777" w:rsidR="0088213F" w:rsidRPr="00DE096C" w:rsidRDefault="0088213F" w:rsidP="00D45A46">
      <w:pPr>
        <w:jc w:val="both"/>
        <w:rPr>
          <w:bCs/>
          <w:i/>
          <w:color w:val="002060"/>
          <w:sz w:val="16"/>
          <w:szCs w:val="16"/>
        </w:rPr>
      </w:pPr>
    </w:p>
    <w:p w14:paraId="2DA9E984" w14:textId="56BC91CB" w:rsidR="0088213F" w:rsidRPr="00DE096C" w:rsidRDefault="0088213F" w:rsidP="00D45A46">
      <w:pPr>
        <w:jc w:val="both"/>
        <w:rPr>
          <w:bCs/>
          <w:color w:val="002060"/>
          <w:sz w:val="16"/>
          <w:szCs w:val="16"/>
        </w:rPr>
      </w:pPr>
      <w:r w:rsidRPr="00DE096C">
        <w:rPr>
          <w:bCs/>
          <w:color w:val="002060"/>
          <w:sz w:val="16"/>
          <w:szCs w:val="16"/>
        </w:rPr>
        <w:t>28 июня (11 июля) 1914 </w:t>
      </w:r>
      <w:r w:rsidR="001A4040" w:rsidRPr="00DE096C">
        <w:rPr>
          <w:bCs/>
          <w:color w:val="002060"/>
          <w:sz w:val="16"/>
          <w:szCs w:val="16"/>
        </w:rPr>
        <w:t>м</w:t>
      </w:r>
      <w:r w:rsidRPr="00DE096C">
        <w:rPr>
          <w:bCs/>
          <w:color w:val="002060"/>
          <w:sz w:val="16"/>
          <w:szCs w:val="16"/>
        </w:rPr>
        <w:t xml:space="preserve">ировой рекорд продолжительности полета </w:t>
      </w:r>
      <w:r w:rsidR="001A4040" w:rsidRPr="00DE096C">
        <w:rPr>
          <w:bCs/>
          <w:color w:val="002060"/>
          <w:sz w:val="16"/>
          <w:szCs w:val="16"/>
        </w:rPr>
        <w:t xml:space="preserve">был установлен </w:t>
      </w:r>
      <w:r w:rsidRPr="00DE096C">
        <w:rPr>
          <w:bCs/>
          <w:color w:val="002060"/>
          <w:sz w:val="16"/>
          <w:szCs w:val="16"/>
        </w:rPr>
        <w:t>на биплане «Альбатрос В-2» Р.Бем (Германия) - 24 час 12 мин. (22433).</w:t>
      </w:r>
    </w:p>
    <w:p w14:paraId="6A704345" w14:textId="77777777" w:rsidR="0088213F" w:rsidRPr="00DE096C" w:rsidRDefault="0088213F" w:rsidP="00D45A46">
      <w:pPr>
        <w:jc w:val="both"/>
        <w:rPr>
          <w:bCs/>
          <w:color w:val="002060"/>
          <w:sz w:val="16"/>
          <w:szCs w:val="16"/>
        </w:rPr>
      </w:pPr>
    </w:p>
    <w:p w14:paraId="0EAC3A5A" w14:textId="3EA08CCD" w:rsidR="00B62654" w:rsidRPr="00DE096C" w:rsidRDefault="00B62654" w:rsidP="00D45A46">
      <w:pPr>
        <w:jc w:val="both"/>
        <w:rPr>
          <w:bCs/>
          <w:color w:val="002060"/>
          <w:sz w:val="16"/>
          <w:szCs w:val="16"/>
        </w:rPr>
      </w:pPr>
      <w:r w:rsidRPr="00DE096C">
        <w:rPr>
          <w:bCs/>
          <w:color w:val="002060"/>
          <w:sz w:val="16"/>
          <w:szCs w:val="16"/>
        </w:rPr>
        <w:t xml:space="preserve">28 июня (11 июля) в 1914 году мировой рекорд продолжительности полета на биплане </w:t>
      </w:r>
      <w:hyperlink r:id="rId28" w:tgtFrame="_blank" w:history="1">
        <w:r w:rsidRPr="00DE096C">
          <w:rPr>
            <w:bCs/>
            <w:color w:val="002060"/>
            <w:sz w:val="16"/>
            <w:szCs w:val="16"/>
          </w:rPr>
          <w:t xml:space="preserve">Альбатрос» «В-2» </w:t>
        </w:r>
      </w:hyperlink>
      <w:r w:rsidRPr="00DE096C">
        <w:rPr>
          <w:bCs/>
          <w:color w:val="002060"/>
          <w:sz w:val="16"/>
          <w:szCs w:val="16"/>
        </w:rPr>
        <w:t>установил Р.Бем (Германия) - 24 час 12 мин (14949).</w:t>
      </w:r>
    </w:p>
    <w:p w14:paraId="004759B4" w14:textId="77777777" w:rsidR="00B62654" w:rsidRPr="00DE096C" w:rsidRDefault="00B62654" w:rsidP="00D45A46">
      <w:pPr>
        <w:jc w:val="both"/>
        <w:rPr>
          <w:bCs/>
          <w:color w:val="002060"/>
          <w:sz w:val="16"/>
          <w:szCs w:val="16"/>
        </w:rPr>
      </w:pPr>
    </w:p>
    <w:p w14:paraId="4B345B04" w14:textId="2867725C"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32948271" w14:textId="77777777" w:rsidR="00B67D7C" w:rsidRPr="00DE096C" w:rsidRDefault="00B67D7C" w:rsidP="00D45A46">
      <w:pPr>
        <w:shd w:val="clear" w:color="auto" w:fill="FFFFFF"/>
        <w:jc w:val="both"/>
        <w:rPr>
          <w:bCs/>
          <w:i/>
          <w:color w:val="002060"/>
          <w:sz w:val="16"/>
          <w:szCs w:val="16"/>
        </w:rPr>
      </w:pPr>
    </w:p>
    <w:p w14:paraId="065D08AA" w14:textId="31ADB97F" w:rsidR="00D52F55" w:rsidRPr="00DE096C" w:rsidRDefault="00D52F55" w:rsidP="00D45A46">
      <w:pPr>
        <w:jc w:val="both"/>
        <w:rPr>
          <w:bCs/>
          <w:color w:val="002060"/>
          <w:sz w:val="16"/>
          <w:szCs w:val="16"/>
        </w:rPr>
      </w:pPr>
      <w:r w:rsidRPr="00DE096C">
        <w:rPr>
          <w:bCs/>
          <w:color w:val="002060"/>
          <w:sz w:val="16"/>
          <w:szCs w:val="16"/>
        </w:rPr>
        <w:t xml:space="preserve">29 июня </w:t>
      </w:r>
      <w:r w:rsidR="001A4040" w:rsidRPr="00DE096C">
        <w:rPr>
          <w:bCs/>
          <w:color w:val="002060"/>
          <w:sz w:val="16"/>
          <w:szCs w:val="16"/>
        </w:rPr>
        <w:t xml:space="preserve">(12 июля) </w:t>
      </w:r>
      <w:r w:rsidRPr="00DE096C">
        <w:rPr>
          <w:bCs/>
          <w:color w:val="002060"/>
          <w:sz w:val="16"/>
          <w:szCs w:val="16"/>
        </w:rPr>
        <w:t>в 1914 году оконч</w:t>
      </w:r>
      <w:r w:rsidR="001A4040" w:rsidRPr="00DE096C">
        <w:rPr>
          <w:bCs/>
          <w:color w:val="002060"/>
          <w:sz w:val="16"/>
          <w:szCs w:val="16"/>
        </w:rPr>
        <w:t>ился</w:t>
      </w:r>
      <w:r w:rsidRPr="00DE096C">
        <w:rPr>
          <w:bCs/>
          <w:color w:val="002060"/>
          <w:sz w:val="16"/>
          <w:szCs w:val="16"/>
        </w:rPr>
        <w:t xml:space="preserve"> перелет самолета «Илья Муромец» И.И.Сикорского Санкт-Петербург - Орша - Копысь - Киев - Санкт-Петербург (экипаж И.И.Сикорского). Самолет преодолел расстояние в 2480 км, при этом находился в воздухе 28 часов 43 минуты. Этот был мировой рекорд дальности и продолжительности полета с двумя пассажирами на борту (14937).</w:t>
      </w:r>
    </w:p>
    <w:p w14:paraId="3A220C8B" w14:textId="77777777" w:rsidR="00D52F55" w:rsidRPr="00DE096C" w:rsidRDefault="00D52F55" w:rsidP="00D45A46">
      <w:pPr>
        <w:jc w:val="both"/>
        <w:rPr>
          <w:bCs/>
          <w:color w:val="002060"/>
          <w:sz w:val="16"/>
          <w:szCs w:val="16"/>
        </w:rPr>
      </w:pPr>
    </w:p>
    <w:p w14:paraId="4A37DF59" w14:textId="77777777" w:rsidR="00B62654" w:rsidRPr="00DE096C" w:rsidRDefault="00B62654" w:rsidP="00D45A46">
      <w:pPr>
        <w:jc w:val="both"/>
        <w:rPr>
          <w:bCs/>
          <w:color w:val="002060"/>
          <w:sz w:val="16"/>
          <w:szCs w:val="16"/>
        </w:rPr>
      </w:pPr>
      <w:r w:rsidRPr="00DE096C">
        <w:rPr>
          <w:bCs/>
          <w:color w:val="002060"/>
          <w:sz w:val="16"/>
          <w:szCs w:val="16"/>
        </w:rPr>
        <w:t>29 июня (12 июля) 1914 года "Муромец" отправился в обратный путь и через семь с половиной часов приземлился в Ново-Сокольниках. Пройдя 720 вёрст (почти 770 км), Сикорский установил новый мировой рекорд продолжительности и дальности полёта. В Петербург аэроплан прибыл через шесть с половиной часов.</w:t>
      </w:r>
    </w:p>
    <w:p w14:paraId="5C8033C5" w14:textId="77777777" w:rsidR="00B62654" w:rsidRPr="00DE096C" w:rsidRDefault="00B62654" w:rsidP="00D45A46">
      <w:pPr>
        <w:jc w:val="both"/>
        <w:rPr>
          <w:bCs/>
          <w:color w:val="002060"/>
          <w:sz w:val="16"/>
          <w:szCs w:val="16"/>
        </w:rPr>
      </w:pPr>
      <w:r w:rsidRPr="00DE096C">
        <w:rPr>
          <w:bCs/>
          <w:color w:val="002060"/>
          <w:sz w:val="16"/>
          <w:szCs w:val="16"/>
        </w:rPr>
        <w:lastRenderedPageBreak/>
        <w:t>Всего "Илья Муромец" № 128 прошёл по маршруту Петербург-Орша-Киев-Ново-Со- кольники-Петербург 2500 км, и в честь этого перелёта был назван "Киевским". А ведь вполне мог получить имя "Одесский"... (12041).</w:t>
      </w:r>
    </w:p>
    <w:p w14:paraId="3D4EEF9F" w14:textId="77777777" w:rsidR="00B62654" w:rsidRPr="00DE096C" w:rsidRDefault="00B62654" w:rsidP="00D45A46">
      <w:pPr>
        <w:jc w:val="both"/>
        <w:rPr>
          <w:bCs/>
          <w:color w:val="002060"/>
          <w:sz w:val="16"/>
          <w:szCs w:val="16"/>
        </w:rPr>
      </w:pPr>
    </w:p>
    <w:p w14:paraId="6B4E2E40" w14:textId="53F107CA" w:rsidR="00B67D7C" w:rsidRPr="00DE096C" w:rsidRDefault="00B67D7C" w:rsidP="00D45A46">
      <w:pPr>
        <w:jc w:val="both"/>
        <w:rPr>
          <w:bCs/>
          <w:color w:val="002060"/>
          <w:sz w:val="16"/>
          <w:szCs w:val="16"/>
        </w:rPr>
      </w:pPr>
      <w:r w:rsidRPr="00DE096C">
        <w:rPr>
          <w:bCs/>
          <w:color w:val="002060"/>
          <w:sz w:val="16"/>
          <w:szCs w:val="16"/>
        </w:rPr>
        <w:t xml:space="preserve">29 июня </w:t>
      </w:r>
      <w:r w:rsidR="001A4040" w:rsidRPr="00DE096C">
        <w:rPr>
          <w:bCs/>
          <w:color w:val="002060"/>
          <w:sz w:val="16"/>
          <w:szCs w:val="16"/>
        </w:rPr>
        <w:t xml:space="preserve">(12 июля) </w:t>
      </w:r>
      <w:r w:rsidRPr="00DE096C">
        <w:rPr>
          <w:bCs/>
          <w:color w:val="002060"/>
          <w:sz w:val="16"/>
          <w:szCs w:val="16"/>
        </w:rPr>
        <w:t xml:space="preserve">1914 года </w:t>
      </w:r>
      <w:r w:rsidR="001A4040" w:rsidRPr="00DE096C">
        <w:rPr>
          <w:bCs/>
          <w:color w:val="002060"/>
          <w:sz w:val="16"/>
          <w:szCs w:val="16"/>
        </w:rPr>
        <w:t xml:space="preserve">по всеподданнейшему докладу военного министра, Государь Император </w:t>
      </w:r>
      <w:r w:rsidRPr="00DE096C">
        <w:rPr>
          <w:bCs/>
          <w:color w:val="002060"/>
          <w:sz w:val="16"/>
          <w:szCs w:val="16"/>
        </w:rPr>
        <w:t>всемилостивейше соизволил пожаловать пилоту-авиатору, сыну действительного статского советника, из дворян, Игорю Сикорскому орден Святого равноапостольного князя Владимира 4-й степени за особо выдающиеся его заслуги, оказанные в деле военной авиации (11334).</w:t>
      </w:r>
    </w:p>
    <w:p w14:paraId="315131E1" w14:textId="77777777" w:rsidR="00B67D7C" w:rsidRPr="00DE096C" w:rsidRDefault="00B67D7C" w:rsidP="00D45A46">
      <w:pPr>
        <w:shd w:val="clear" w:color="auto" w:fill="FFFFFF"/>
        <w:jc w:val="both"/>
        <w:rPr>
          <w:bCs/>
          <w:i/>
          <w:color w:val="002060"/>
          <w:sz w:val="16"/>
          <w:szCs w:val="16"/>
        </w:rPr>
      </w:pPr>
    </w:p>
    <w:p w14:paraId="1D2FA910" w14:textId="1BD77107" w:rsidR="00B67D7C" w:rsidRPr="00DE096C" w:rsidRDefault="00B67D7C" w:rsidP="00D45A46">
      <w:pPr>
        <w:shd w:val="clear" w:color="auto" w:fill="FFFFFF"/>
        <w:jc w:val="both"/>
        <w:rPr>
          <w:bCs/>
          <w:color w:val="002060"/>
          <w:sz w:val="16"/>
          <w:szCs w:val="16"/>
        </w:rPr>
      </w:pPr>
      <w:r w:rsidRPr="00DE096C">
        <w:rPr>
          <w:bCs/>
          <w:color w:val="002060"/>
          <w:sz w:val="16"/>
          <w:szCs w:val="16"/>
        </w:rPr>
        <w:t>29 июня</w:t>
      </w:r>
      <w:r w:rsidR="001A4040" w:rsidRPr="00DE096C">
        <w:rPr>
          <w:bCs/>
          <w:color w:val="002060"/>
          <w:sz w:val="16"/>
          <w:szCs w:val="16"/>
        </w:rPr>
        <w:t xml:space="preserve"> (12 июля) 1914 г</w:t>
      </w:r>
      <w:r w:rsidRPr="00DE096C">
        <w:rPr>
          <w:bCs/>
          <w:color w:val="002060"/>
          <w:sz w:val="16"/>
          <w:szCs w:val="16"/>
        </w:rPr>
        <w:t xml:space="preserve">. </w:t>
      </w:r>
      <w:r w:rsidR="001A4040" w:rsidRPr="00DE096C">
        <w:rPr>
          <w:bCs/>
          <w:color w:val="002060"/>
          <w:sz w:val="16"/>
          <w:szCs w:val="16"/>
        </w:rPr>
        <w:t xml:space="preserve">контракт на постройку четырех летающих лодки М-2. </w:t>
      </w:r>
      <w:r w:rsidRPr="00DE096C">
        <w:rPr>
          <w:bCs/>
          <w:color w:val="002060"/>
          <w:sz w:val="16"/>
          <w:szCs w:val="16"/>
        </w:rPr>
        <w:t xml:space="preserve">Эти лодки и считаются промежуточными образцами: М-2, М-3 и М-4. </w:t>
      </w:r>
      <w:bookmarkStart w:id="39" w:name="_Hlk117165551"/>
      <w:r w:rsidRPr="00DE096C">
        <w:rPr>
          <w:bCs/>
          <w:color w:val="002060"/>
          <w:sz w:val="16"/>
          <w:szCs w:val="16"/>
        </w:rPr>
        <w:t>Первая из них — М-2 поступила на Опытную станцию в Гребном порту С-Петербурга 18 августа 1914 г, а через тринадцать дней, пилотируемая лётчиком-испы</w:t>
      </w:r>
      <w:r w:rsidRPr="00DE096C">
        <w:rPr>
          <w:bCs/>
          <w:color w:val="002060"/>
          <w:sz w:val="16"/>
          <w:szCs w:val="16"/>
        </w:rPr>
        <w:softHyphen/>
        <w:t>тателем П.В.Евсюковым потерпела катастрофу. Расследование не вы</w:t>
      </w:r>
      <w:r w:rsidRPr="00DE096C">
        <w:rPr>
          <w:bCs/>
          <w:color w:val="002060"/>
          <w:sz w:val="16"/>
          <w:szCs w:val="16"/>
        </w:rPr>
        <w:softHyphen/>
        <w:t>явило причину катастрофы и после внесения некоторых изменений в конце ноября новую лодку напра</w:t>
      </w:r>
      <w:r w:rsidRPr="00DE096C">
        <w:rPr>
          <w:bCs/>
          <w:color w:val="002060"/>
          <w:sz w:val="16"/>
          <w:szCs w:val="16"/>
        </w:rPr>
        <w:softHyphen/>
        <w:t>вили на 3-ю морскую станцию в Ревель, а затем доставили и вто</w:t>
      </w:r>
      <w:r w:rsidRPr="00DE096C">
        <w:rPr>
          <w:bCs/>
          <w:color w:val="002060"/>
          <w:sz w:val="16"/>
          <w:szCs w:val="16"/>
        </w:rPr>
        <w:softHyphen/>
        <w:t>рую лодку 24 апреля 1915 г. Два самолёта, облётанные лётчиком-</w:t>
      </w:r>
    </w:p>
    <w:p w14:paraId="48757E2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испытателем ПРТВ Я.И.Седовым-Серовым и лейтенантом И.И.Куль</w:t>
      </w:r>
      <w:r w:rsidRPr="00DE096C">
        <w:rPr>
          <w:bCs/>
          <w:color w:val="002060"/>
          <w:sz w:val="16"/>
          <w:szCs w:val="16"/>
        </w:rPr>
        <w:softHyphen/>
        <w:t>невым включили в состав авиаци</w:t>
      </w:r>
      <w:r w:rsidRPr="00DE096C">
        <w:rPr>
          <w:bCs/>
          <w:color w:val="002060"/>
          <w:sz w:val="16"/>
          <w:szCs w:val="16"/>
        </w:rPr>
        <w:softHyphen/>
        <w:t>онной части службы связи Балтийс</w:t>
      </w:r>
      <w:r w:rsidRPr="00DE096C">
        <w:rPr>
          <w:bCs/>
          <w:color w:val="002060"/>
          <w:sz w:val="16"/>
          <w:szCs w:val="16"/>
        </w:rPr>
        <w:softHyphen/>
        <w:t>кого флота, присвоив им номера Щ-2 и Щ-3.</w:t>
      </w:r>
    </w:p>
    <w:p w14:paraId="5E74EED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По просьбе черноморцев и пос</w:t>
      </w:r>
      <w:r w:rsidRPr="00DE096C">
        <w:rPr>
          <w:bCs/>
          <w:color w:val="002060"/>
          <w:sz w:val="16"/>
          <w:szCs w:val="16"/>
        </w:rPr>
        <w:softHyphen/>
        <w:t>ле переговоров с шефом русской авиации великим князем Александ</w:t>
      </w:r>
      <w:r w:rsidRPr="00DE096C">
        <w:rPr>
          <w:bCs/>
          <w:color w:val="002060"/>
          <w:sz w:val="16"/>
          <w:szCs w:val="16"/>
        </w:rPr>
        <w:softHyphen/>
        <w:t>ром Михайловичем, две оставшие</w:t>
      </w:r>
      <w:r w:rsidRPr="00DE096C">
        <w:rPr>
          <w:bCs/>
          <w:color w:val="002060"/>
          <w:sz w:val="16"/>
          <w:szCs w:val="16"/>
        </w:rPr>
        <w:softHyphen/>
        <w:t>ся от контракта лодки направили 10 марта 1915 г. на Чёрное море. По завершении испытаний им при</w:t>
      </w:r>
      <w:r w:rsidRPr="00DE096C">
        <w:rPr>
          <w:bCs/>
          <w:color w:val="002060"/>
          <w:sz w:val="16"/>
          <w:szCs w:val="16"/>
        </w:rPr>
        <w:softHyphen/>
        <w:t>своили бортовые номера 29 и 30. Первая из них, базируясь на авиатранспорте «Император Нико</w:t>
      </w:r>
      <w:r w:rsidRPr="00DE096C">
        <w:rPr>
          <w:bCs/>
          <w:color w:val="002060"/>
          <w:sz w:val="16"/>
          <w:szCs w:val="16"/>
        </w:rPr>
        <w:softHyphen/>
        <w:t xml:space="preserve">лай </w:t>
      </w:r>
      <w:r w:rsidRPr="00DE096C">
        <w:rPr>
          <w:bCs/>
          <w:color w:val="002060"/>
          <w:sz w:val="16"/>
          <w:szCs w:val="16"/>
          <w:lang w:val="en-US"/>
        </w:rPr>
        <w:t>I</w:t>
      </w:r>
      <w:r w:rsidRPr="00DE096C">
        <w:rPr>
          <w:bCs/>
          <w:color w:val="002060"/>
          <w:sz w:val="16"/>
          <w:szCs w:val="16"/>
        </w:rPr>
        <w:t>» с экипажем: подпоручиком по адмиралтейству А.Е. Жуковым и прапорщиком артиллерии С.Н.Кор</w:t>
      </w:r>
      <w:r w:rsidRPr="00DE096C">
        <w:rPr>
          <w:bCs/>
          <w:color w:val="002060"/>
          <w:sz w:val="16"/>
          <w:szCs w:val="16"/>
        </w:rPr>
        <w:softHyphen/>
        <w:t>саковым, участвовала в рейде к Босфору 12 апреля 1915 г., и пред</w:t>
      </w:r>
      <w:r w:rsidRPr="00DE096C">
        <w:rPr>
          <w:bCs/>
          <w:color w:val="002060"/>
          <w:sz w:val="16"/>
          <w:szCs w:val="16"/>
        </w:rPr>
        <w:softHyphen/>
        <w:t>приняла атаку бомбами турецкой канонерской лодки класса «Бурак Рейс».</w:t>
      </w:r>
    </w:p>
    <w:p w14:paraId="46FA833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Журнале заседаний авиаци</w:t>
      </w:r>
      <w:r w:rsidRPr="00DE096C">
        <w:rPr>
          <w:bCs/>
          <w:color w:val="002060"/>
          <w:sz w:val="16"/>
          <w:szCs w:val="16"/>
        </w:rPr>
        <w:softHyphen/>
        <w:t>онного комитета Службы связи Чёр</w:t>
      </w:r>
      <w:r w:rsidRPr="00DE096C">
        <w:rPr>
          <w:bCs/>
          <w:color w:val="002060"/>
          <w:sz w:val="16"/>
          <w:szCs w:val="16"/>
        </w:rPr>
        <w:softHyphen/>
        <w:t>ного моря за 24 апреля 1915 г. при</w:t>
      </w:r>
      <w:r w:rsidRPr="00DE096C">
        <w:rPr>
          <w:bCs/>
          <w:color w:val="002060"/>
          <w:sz w:val="16"/>
          <w:szCs w:val="16"/>
        </w:rPr>
        <w:softHyphen/>
        <w:t>водятся некоторые данные по ре</w:t>
      </w:r>
      <w:r w:rsidRPr="00DE096C">
        <w:rPr>
          <w:bCs/>
          <w:color w:val="002060"/>
          <w:sz w:val="16"/>
          <w:szCs w:val="16"/>
        </w:rPr>
        <w:softHyphen/>
        <w:t>зультатам испытаний летающей лод</w:t>
      </w:r>
      <w:r w:rsidRPr="00DE096C">
        <w:rPr>
          <w:bCs/>
          <w:color w:val="002060"/>
          <w:sz w:val="16"/>
          <w:szCs w:val="16"/>
        </w:rPr>
        <w:softHyphen/>
        <w:t>ки М-2: «Испытание лодки завода Щетинимо в открытом море 12 ап</w:t>
      </w:r>
      <w:r w:rsidRPr="00DE096C">
        <w:rPr>
          <w:bCs/>
          <w:color w:val="002060"/>
          <w:sz w:val="16"/>
          <w:szCs w:val="16"/>
        </w:rPr>
        <w:softHyphen/>
        <w:t>реля но волне дали следующие ре</w:t>
      </w:r>
      <w:r w:rsidRPr="00DE096C">
        <w:rPr>
          <w:bCs/>
          <w:color w:val="002060"/>
          <w:sz w:val="16"/>
          <w:szCs w:val="16"/>
        </w:rPr>
        <w:softHyphen/>
        <w:t>зультаты: на разбеге её не залива</w:t>
      </w:r>
      <w:r w:rsidRPr="00DE096C">
        <w:rPr>
          <w:bCs/>
          <w:color w:val="002060"/>
          <w:sz w:val="16"/>
          <w:szCs w:val="16"/>
        </w:rPr>
        <w:softHyphen/>
        <w:t>ло, лодка с полной нагрузкой быс</w:t>
      </w:r>
      <w:r w:rsidRPr="00DE096C">
        <w:rPr>
          <w:bCs/>
          <w:color w:val="002060"/>
          <w:sz w:val="16"/>
          <w:szCs w:val="16"/>
        </w:rPr>
        <w:softHyphen/>
        <w:t>тро оторвалась, хорошо взяла вы</w:t>
      </w:r>
      <w:r w:rsidRPr="00DE096C">
        <w:rPr>
          <w:bCs/>
          <w:color w:val="002060"/>
          <w:sz w:val="16"/>
          <w:szCs w:val="16"/>
        </w:rPr>
        <w:softHyphen/>
        <w:t>соту. По осмотре лодки воды в ней не оказалось и лётчиков нисколько не заливало, хотя пришлось прыгать с волны на волну. Считая это испы</w:t>
      </w:r>
      <w:r w:rsidRPr="00DE096C">
        <w:rPr>
          <w:bCs/>
          <w:color w:val="002060"/>
          <w:sz w:val="16"/>
          <w:szCs w:val="16"/>
        </w:rPr>
        <w:softHyphen/>
        <w:t>тание тяжелым и выполненным от</w:t>
      </w:r>
      <w:r w:rsidRPr="00DE096C">
        <w:rPr>
          <w:bCs/>
          <w:color w:val="002060"/>
          <w:sz w:val="16"/>
          <w:szCs w:val="16"/>
        </w:rPr>
        <w:softHyphen/>
        <w:t>лично, авиационный комитет при</w:t>
      </w:r>
      <w:r w:rsidRPr="00DE096C">
        <w:rPr>
          <w:bCs/>
          <w:color w:val="002060"/>
          <w:sz w:val="16"/>
          <w:szCs w:val="16"/>
        </w:rPr>
        <w:softHyphen/>
        <w:t>знаёт лодку Щетинина гораздо луч</w:t>
      </w:r>
      <w:r w:rsidRPr="00DE096C">
        <w:rPr>
          <w:bCs/>
          <w:color w:val="002060"/>
          <w:sz w:val="16"/>
          <w:szCs w:val="16"/>
        </w:rPr>
        <w:softHyphen/>
        <w:t>ше, нежели лодку ФБА. К недостат</w:t>
      </w:r>
      <w:r w:rsidRPr="00DE096C">
        <w:rPr>
          <w:bCs/>
          <w:color w:val="002060"/>
          <w:sz w:val="16"/>
          <w:szCs w:val="16"/>
        </w:rPr>
        <w:softHyphen/>
        <w:t>кам этой лодки относится скверный способ обшивки, так как на другой лодке при хорошей посадке отста</w:t>
      </w:r>
      <w:r w:rsidRPr="00DE096C">
        <w:rPr>
          <w:bCs/>
          <w:color w:val="002060"/>
          <w:sz w:val="16"/>
          <w:szCs w:val="16"/>
        </w:rPr>
        <w:softHyphen/>
        <w:t>ли листы фанеры». Но жизненный цикл этого варианта лодок оказал</w:t>
      </w:r>
      <w:r w:rsidRPr="00DE096C">
        <w:rPr>
          <w:bCs/>
          <w:color w:val="002060"/>
          <w:sz w:val="16"/>
          <w:szCs w:val="16"/>
        </w:rPr>
        <w:softHyphen/>
        <w:t>ся коротким: лодку №30 списали в октябре; но Балтике Щ-2 и Щ-3 ис</w:t>
      </w:r>
      <w:r w:rsidRPr="00DE096C">
        <w:rPr>
          <w:bCs/>
          <w:color w:val="002060"/>
          <w:sz w:val="16"/>
          <w:szCs w:val="16"/>
        </w:rPr>
        <w:softHyphen/>
        <w:t>пользовались до зимы 1915-1916 гг. после чего с них сняли двигатели (11759).</w:t>
      </w:r>
    </w:p>
    <w:p w14:paraId="1387E2A5" w14:textId="77777777" w:rsidR="00B67D7C" w:rsidRPr="00DE096C" w:rsidRDefault="00B67D7C" w:rsidP="00D45A46">
      <w:pPr>
        <w:shd w:val="clear" w:color="auto" w:fill="FFFFFF"/>
        <w:jc w:val="both"/>
        <w:rPr>
          <w:bCs/>
          <w:i/>
          <w:color w:val="002060"/>
          <w:sz w:val="16"/>
          <w:szCs w:val="16"/>
        </w:rPr>
      </w:pPr>
    </w:p>
    <w:bookmarkEnd w:id="39"/>
    <w:p w14:paraId="766D05A0" w14:textId="77777777" w:rsidR="004F636C" w:rsidRPr="00DE096C" w:rsidRDefault="004F636C" w:rsidP="00D45A46">
      <w:pPr>
        <w:jc w:val="both"/>
        <w:rPr>
          <w:bCs/>
          <w:i/>
          <w:color w:val="002060"/>
          <w:sz w:val="16"/>
          <w:szCs w:val="16"/>
        </w:rPr>
      </w:pPr>
      <w:r w:rsidRPr="00DE096C">
        <w:rPr>
          <w:bCs/>
          <w:i/>
          <w:color w:val="002060"/>
          <w:sz w:val="16"/>
          <w:szCs w:val="16"/>
        </w:rPr>
        <w:t>Другие оборонные отрасли:</w:t>
      </w:r>
    </w:p>
    <w:p w14:paraId="4F7DD55E" w14:textId="77777777" w:rsidR="004F636C" w:rsidRPr="00DE096C" w:rsidRDefault="004F636C" w:rsidP="00D45A46">
      <w:pPr>
        <w:jc w:val="both"/>
        <w:rPr>
          <w:bCs/>
          <w:i/>
          <w:color w:val="002060"/>
          <w:sz w:val="16"/>
          <w:szCs w:val="16"/>
        </w:rPr>
      </w:pPr>
    </w:p>
    <w:p w14:paraId="296F55EF" w14:textId="446E816F" w:rsidR="004F636C" w:rsidRPr="00DE096C" w:rsidRDefault="004F636C" w:rsidP="00D45A46">
      <w:pPr>
        <w:pStyle w:val="ae"/>
        <w:spacing w:before="0" w:beforeAutospacing="0" w:after="0" w:afterAutospacing="0"/>
        <w:jc w:val="both"/>
        <w:rPr>
          <w:bCs/>
          <w:color w:val="002060"/>
          <w:sz w:val="16"/>
          <w:szCs w:val="16"/>
        </w:rPr>
      </w:pPr>
      <w:r w:rsidRPr="00DE096C">
        <w:rPr>
          <w:bCs/>
          <w:color w:val="002060"/>
          <w:sz w:val="16"/>
          <w:szCs w:val="16"/>
        </w:rPr>
        <w:t xml:space="preserve">29 июня </w:t>
      </w:r>
      <w:r w:rsidR="00B62654" w:rsidRPr="00DE096C">
        <w:rPr>
          <w:bCs/>
          <w:color w:val="002060"/>
          <w:sz w:val="16"/>
          <w:szCs w:val="16"/>
        </w:rPr>
        <w:t xml:space="preserve">(12 июля) </w:t>
      </w:r>
      <w:r w:rsidRPr="00DE096C">
        <w:rPr>
          <w:bCs/>
          <w:color w:val="002060"/>
          <w:sz w:val="16"/>
          <w:szCs w:val="16"/>
        </w:rPr>
        <w:t>1914 года, императором были утверждены, а 30 июня 1914 г. Военным советом Военного ведомства введены в действие с 1 июля 1914 года временные штат и положение о ЦНТЛ ВВ. Г.А. Забудский 3 августа 1914 г. был назначен начальником ЦНТЛ ВВ, и только 26 августа 1914 г. военный министр В.А. Сухомлинов подписал Приказ № 551 об открытии ЦНТЛ (15736).</w:t>
      </w:r>
    </w:p>
    <w:p w14:paraId="2F40830C" w14:textId="77777777" w:rsidR="004F636C" w:rsidRPr="00DE096C" w:rsidRDefault="004F636C" w:rsidP="00D45A46">
      <w:pPr>
        <w:pStyle w:val="ae"/>
        <w:spacing w:before="0" w:beforeAutospacing="0" w:after="0" w:afterAutospacing="0"/>
        <w:jc w:val="both"/>
        <w:rPr>
          <w:bCs/>
          <w:color w:val="002060"/>
          <w:sz w:val="16"/>
          <w:szCs w:val="16"/>
        </w:rPr>
      </w:pPr>
    </w:p>
    <w:p w14:paraId="58F0394D" w14:textId="77777777" w:rsidR="00D52F55" w:rsidRPr="00DE096C" w:rsidRDefault="00D52F55" w:rsidP="00D45A46">
      <w:pPr>
        <w:shd w:val="clear" w:color="auto" w:fill="FFFFFF"/>
        <w:jc w:val="both"/>
        <w:rPr>
          <w:bCs/>
          <w:i/>
          <w:color w:val="002060"/>
          <w:sz w:val="16"/>
          <w:szCs w:val="16"/>
        </w:rPr>
      </w:pPr>
      <w:r w:rsidRPr="00DE096C">
        <w:rPr>
          <w:bCs/>
          <w:i/>
          <w:color w:val="002060"/>
          <w:sz w:val="16"/>
          <w:szCs w:val="16"/>
        </w:rPr>
        <w:t>Авиация:</w:t>
      </w:r>
    </w:p>
    <w:p w14:paraId="12D325ED" w14:textId="77777777" w:rsidR="00D52F55" w:rsidRPr="00DE096C" w:rsidRDefault="00D52F55" w:rsidP="00D45A46">
      <w:pPr>
        <w:shd w:val="clear" w:color="auto" w:fill="FFFFFF"/>
        <w:jc w:val="both"/>
        <w:rPr>
          <w:bCs/>
          <w:i/>
          <w:color w:val="002060"/>
          <w:sz w:val="16"/>
          <w:szCs w:val="16"/>
        </w:rPr>
      </w:pPr>
    </w:p>
    <w:p w14:paraId="4962BE9A" w14:textId="21BE5053" w:rsidR="00D52F55" w:rsidRPr="00DE096C" w:rsidRDefault="00D52F55" w:rsidP="00D45A46">
      <w:pPr>
        <w:jc w:val="both"/>
        <w:rPr>
          <w:bCs/>
          <w:color w:val="002060"/>
          <w:sz w:val="16"/>
          <w:szCs w:val="16"/>
        </w:rPr>
      </w:pPr>
      <w:r w:rsidRPr="00DE096C">
        <w:rPr>
          <w:bCs/>
          <w:color w:val="002060"/>
          <w:sz w:val="16"/>
          <w:szCs w:val="16"/>
        </w:rPr>
        <w:t xml:space="preserve">29 июня </w:t>
      </w:r>
      <w:r w:rsidR="00B62654" w:rsidRPr="00DE096C">
        <w:rPr>
          <w:bCs/>
          <w:color w:val="002060"/>
          <w:sz w:val="16"/>
          <w:szCs w:val="16"/>
        </w:rPr>
        <w:t xml:space="preserve">(12 июля) </w:t>
      </w:r>
      <w:r w:rsidRPr="00DE096C">
        <w:rPr>
          <w:bCs/>
          <w:color w:val="002060"/>
          <w:sz w:val="16"/>
          <w:szCs w:val="16"/>
        </w:rPr>
        <w:t xml:space="preserve">в 1914 году </w:t>
      </w:r>
      <w:r w:rsidR="00B62654" w:rsidRPr="00DE096C">
        <w:rPr>
          <w:bCs/>
          <w:color w:val="002060"/>
          <w:sz w:val="16"/>
          <w:szCs w:val="16"/>
        </w:rPr>
        <w:t xml:space="preserve">отмечено </w:t>
      </w:r>
      <w:r w:rsidRPr="00DE096C">
        <w:rPr>
          <w:bCs/>
          <w:color w:val="002060"/>
          <w:sz w:val="16"/>
          <w:szCs w:val="16"/>
        </w:rPr>
        <w:t>начало первых полетов на самолете в Арктику в поисках экспедиции Г.Я.Седова</w:t>
      </w:r>
      <w:r w:rsidR="00B62654" w:rsidRPr="00DE096C">
        <w:rPr>
          <w:bCs/>
          <w:color w:val="002060"/>
          <w:sz w:val="16"/>
          <w:szCs w:val="16"/>
        </w:rPr>
        <w:t>, которые</w:t>
      </w:r>
      <w:r w:rsidRPr="00DE096C">
        <w:rPr>
          <w:bCs/>
          <w:color w:val="002060"/>
          <w:sz w:val="16"/>
          <w:szCs w:val="16"/>
        </w:rPr>
        <w:t xml:space="preserve"> совершают Я.И.Нагурский и Е.В. Кузнецов (14937).</w:t>
      </w:r>
    </w:p>
    <w:p w14:paraId="6C36FB0D" w14:textId="77777777" w:rsidR="00D52F55" w:rsidRPr="00DE096C" w:rsidRDefault="00D52F55" w:rsidP="00D45A46">
      <w:pPr>
        <w:jc w:val="both"/>
        <w:rPr>
          <w:bCs/>
          <w:color w:val="002060"/>
          <w:sz w:val="16"/>
          <w:szCs w:val="16"/>
        </w:rPr>
      </w:pPr>
    </w:p>
    <w:p w14:paraId="41E303DE" w14:textId="77777777" w:rsidR="00B62654" w:rsidRPr="00DE096C" w:rsidRDefault="00B62654" w:rsidP="00D45A46">
      <w:pPr>
        <w:shd w:val="clear" w:color="auto" w:fill="FFFFFF"/>
        <w:jc w:val="both"/>
        <w:rPr>
          <w:bCs/>
          <w:color w:val="002060"/>
          <w:sz w:val="16"/>
          <w:szCs w:val="16"/>
        </w:rPr>
      </w:pPr>
      <w:r w:rsidRPr="00DE096C">
        <w:rPr>
          <w:bCs/>
          <w:color w:val="002060"/>
          <w:sz w:val="16"/>
          <w:szCs w:val="16"/>
        </w:rPr>
        <w:t xml:space="preserve">29 июня (12 июля) 1914 французский летчик Лепорт, летая на самолете </w:t>
      </w:r>
      <w:r w:rsidRPr="00DE096C">
        <w:rPr>
          <w:bCs/>
          <w:color w:val="002060"/>
          <w:sz w:val="16"/>
          <w:szCs w:val="16"/>
          <w:vertAlign w:val="superscript"/>
        </w:rPr>
        <w:t>в</w:t>
      </w:r>
      <w:r w:rsidRPr="00DE096C">
        <w:rPr>
          <w:bCs/>
          <w:color w:val="002060"/>
          <w:sz w:val="16"/>
          <w:szCs w:val="16"/>
        </w:rPr>
        <w:t>Вуазен</w:t>
      </w:r>
      <w:r w:rsidRPr="00DE096C">
        <w:rPr>
          <w:bCs/>
          <w:color w:val="002060"/>
          <w:sz w:val="16"/>
          <w:szCs w:val="16"/>
          <w:vertAlign w:val="superscript"/>
        </w:rPr>
        <w:t>в:</w:t>
      </w:r>
      <w:r w:rsidRPr="00DE096C">
        <w:rPr>
          <w:bCs/>
          <w:color w:val="002060"/>
          <w:sz w:val="16"/>
          <w:szCs w:val="16"/>
        </w:rPr>
        <w:t xml:space="preserve"> в окрестностях Петербурга (Пулково-Лигово-Петербург), продержался в воздухе 9 часов 5 минут, побив все рекорды продолжительности, установленные в России</w:t>
      </w:r>
      <w:r w:rsidRPr="00DE096C">
        <w:rPr>
          <w:bCs/>
          <w:smallCaps/>
          <w:color w:val="002060"/>
          <w:sz w:val="16"/>
          <w:szCs w:val="16"/>
        </w:rPr>
        <w:t xml:space="preserve">. </w:t>
      </w:r>
      <w:r w:rsidRPr="00DE096C">
        <w:rPr>
          <w:bCs/>
          <w:color w:val="002060"/>
          <w:sz w:val="16"/>
          <w:szCs w:val="16"/>
        </w:rPr>
        <w:t>С ним летали в качестве пассажиров летчики В.Я.Михайлов и поручик Сосновский. Полет начался в I час 45 минут ночи ("Аэро". 1914, № 14; "Утро России". 1914 г.,1 июля).</w:t>
      </w:r>
    </w:p>
    <w:p w14:paraId="3D182C1F" w14:textId="77777777" w:rsidR="00B62654" w:rsidRPr="00DE096C" w:rsidRDefault="00B62654" w:rsidP="00D45A46">
      <w:pPr>
        <w:shd w:val="clear" w:color="auto" w:fill="FFFFFF"/>
        <w:jc w:val="both"/>
        <w:rPr>
          <w:bCs/>
          <w:color w:val="002060"/>
          <w:sz w:val="16"/>
          <w:szCs w:val="16"/>
        </w:rPr>
      </w:pPr>
    </w:p>
    <w:p w14:paraId="7B5A7C40" w14:textId="77777777" w:rsidR="00AB27A6" w:rsidRPr="00DE096C" w:rsidRDefault="00AB27A6" w:rsidP="00D45A46">
      <w:pPr>
        <w:jc w:val="both"/>
        <w:rPr>
          <w:bCs/>
          <w:color w:val="002060"/>
          <w:sz w:val="16"/>
          <w:szCs w:val="16"/>
        </w:rPr>
      </w:pPr>
      <w:r w:rsidRPr="00DE096C">
        <w:rPr>
          <w:bCs/>
          <w:color w:val="002060"/>
          <w:sz w:val="16"/>
          <w:szCs w:val="16"/>
        </w:rPr>
        <w:t>29 июня (12 июля) 1914 г. французский летчик Лепорт, летая на самолете Вуазен в окрестностях Петербурга /Пулково-Лигово-Петербург/, продержался в воздухе 9 ч. 5 минут, побив все рекорды продолжительности, установ</w:t>
      </w:r>
      <w:r w:rsidRPr="00DE096C">
        <w:rPr>
          <w:bCs/>
          <w:color w:val="002060"/>
          <w:sz w:val="16"/>
          <w:szCs w:val="16"/>
        </w:rPr>
        <w:softHyphen/>
        <w:t>ленные в России. С ним летали в качестве пассажиров летчики В.Я.Ми</w:t>
      </w:r>
      <w:r w:rsidRPr="00DE096C">
        <w:rPr>
          <w:bCs/>
          <w:color w:val="002060"/>
          <w:sz w:val="16"/>
          <w:szCs w:val="16"/>
        </w:rPr>
        <w:softHyphen/>
        <w:t>хаилов и поручик Сосновский. Полет начался в 1 ч.45 минут ночи.</w:t>
      </w:r>
    </w:p>
    <w:p w14:paraId="595D9178" w14:textId="77777777" w:rsidR="00AB27A6" w:rsidRPr="00DE096C" w:rsidRDefault="00AB27A6" w:rsidP="00D45A46">
      <w:pPr>
        <w:jc w:val="both"/>
        <w:rPr>
          <w:bCs/>
          <w:color w:val="002060"/>
          <w:sz w:val="16"/>
          <w:szCs w:val="16"/>
        </w:rPr>
      </w:pPr>
      <w:r w:rsidRPr="00DE096C">
        <w:rPr>
          <w:bCs/>
          <w:color w:val="002060"/>
          <w:sz w:val="16"/>
          <w:szCs w:val="16"/>
        </w:rPr>
        <w:t>/"Аэро", 1914, № 14/ (23320).</w:t>
      </w:r>
    </w:p>
    <w:p w14:paraId="75A289EC" w14:textId="77777777" w:rsidR="00AB27A6" w:rsidRPr="00DE096C" w:rsidRDefault="00AB27A6" w:rsidP="00D45A46">
      <w:pPr>
        <w:jc w:val="both"/>
        <w:rPr>
          <w:bCs/>
          <w:color w:val="002060"/>
          <w:sz w:val="16"/>
          <w:szCs w:val="16"/>
        </w:rPr>
      </w:pPr>
    </w:p>
    <w:p w14:paraId="246E1755" w14:textId="77777777" w:rsidR="00926D3E" w:rsidRPr="00DE096C" w:rsidRDefault="00926D3E" w:rsidP="00D45A46">
      <w:pPr>
        <w:shd w:val="clear" w:color="auto" w:fill="FFFFFF"/>
        <w:jc w:val="both"/>
        <w:rPr>
          <w:bCs/>
          <w:i/>
          <w:color w:val="002060"/>
          <w:sz w:val="16"/>
          <w:szCs w:val="16"/>
        </w:rPr>
      </w:pPr>
      <w:r w:rsidRPr="00DE096C">
        <w:rPr>
          <w:bCs/>
          <w:i/>
          <w:color w:val="002060"/>
          <w:sz w:val="16"/>
          <w:szCs w:val="16"/>
        </w:rPr>
        <w:t>Авиация:</w:t>
      </w:r>
    </w:p>
    <w:p w14:paraId="2E81EA14" w14:textId="77777777" w:rsidR="00926D3E" w:rsidRPr="00DE096C" w:rsidRDefault="00926D3E" w:rsidP="00D45A46">
      <w:pPr>
        <w:shd w:val="clear" w:color="auto" w:fill="FFFFFF"/>
        <w:jc w:val="both"/>
        <w:rPr>
          <w:bCs/>
          <w:i/>
          <w:color w:val="002060"/>
          <w:sz w:val="16"/>
          <w:szCs w:val="16"/>
        </w:rPr>
      </w:pPr>
    </w:p>
    <w:p w14:paraId="02036520" w14:textId="77777777" w:rsidR="00926D3E" w:rsidRPr="00DE096C" w:rsidRDefault="00926D3E" w:rsidP="00D45A46">
      <w:pPr>
        <w:jc w:val="both"/>
        <w:rPr>
          <w:bCs/>
          <w:color w:val="002060"/>
          <w:sz w:val="16"/>
          <w:szCs w:val="16"/>
        </w:rPr>
      </w:pPr>
      <w:r w:rsidRPr="00DE096C">
        <w:rPr>
          <w:bCs/>
          <w:color w:val="002060"/>
          <w:sz w:val="16"/>
          <w:szCs w:val="16"/>
        </w:rPr>
        <w:t>30 июня (13 июля) 1914 г. военная авиация понесла две тяжелые потери. В Одессе разбился шт.—капитан П.З.Фирсов с пассажиром, в Очакове — шт. —капитан В.Н.Есипов с механиком. В обоих случаях катастрофа произошла вследствие ошибок в пилотировании при вынужденных посадках.</w:t>
      </w:r>
    </w:p>
    <w:p w14:paraId="574B369E" w14:textId="77777777" w:rsidR="00926D3E" w:rsidRPr="00DE096C" w:rsidRDefault="00926D3E" w:rsidP="00D45A46">
      <w:pPr>
        <w:jc w:val="both"/>
        <w:rPr>
          <w:bCs/>
          <w:color w:val="002060"/>
          <w:sz w:val="16"/>
          <w:szCs w:val="16"/>
        </w:rPr>
      </w:pPr>
      <w:r w:rsidRPr="00DE096C">
        <w:rPr>
          <w:bCs/>
          <w:color w:val="002060"/>
          <w:sz w:val="16"/>
          <w:szCs w:val="16"/>
        </w:rPr>
        <w:t>/«Русский инвалид» за 2 июля 1914/ (23320).</w:t>
      </w:r>
    </w:p>
    <w:p w14:paraId="7B7B3BDD" w14:textId="77777777" w:rsidR="00926D3E" w:rsidRPr="00DE096C" w:rsidRDefault="00926D3E" w:rsidP="00D45A46">
      <w:pPr>
        <w:jc w:val="both"/>
        <w:rPr>
          <w:bCs/>
          <w:color w:val="002060"/>
          <w:sz w:val="16"/>
          <w:szCs w:val="16"/>
        </w:rPr>
      </w:pPr>
    </w:p>
    <w:p w14:paraId="72AEE7FC" w14:textId="77777777" w:rsidR="00541F55" w:rsidRPr="00DE096C" w:rsidRDefault="00541F55" w:rsidP="00D45A46">
      <w:pPr>
        <w:shd w:val="clear" w:color="auto" w:fill="FFFFFF"/>
        <w:jc w:val="both"/>
        <w:rPr>
          <w:bCs/>
          <w:i/>
          <w:color w:val="002060"/>
          <w:sz w:val="16"/>
          <w:szCs w:val="16"/>
        </w:rPr>
      </w:pPr>
      <w:r w:rsidRPr="00DE096C">
        <w:rPr>
          <w:bCs/>
          <w:i/>
          <w:color w:val="002060"/>
          <w:sz w:val="16"/>
          <w:szCs w:val="16"/>
        </w:rPr>
        <w:t>Авиация:</w:t>
      </w:r>
    </w:p>
    <w:p w14:paraId="3B06B4D2" w14:textId="77777777" w:rsidR="00541F55" w:rsidRPr="00DE096C" w:rsidRDefault="00541F55" w:rsidP="00D45A46">
      <w:pPr>
        <w:shd w:val="clear" w:color="auto" w:fill="FFFFFF"/>
        <w:jc w:val="both"/>
        <w:rPr>
          <w:bCs/>
          <w:i/>
          <w:color w:val="002060"/>
          <w:sz w:val="16"/>
          <w:szCs w:val="16"/>
        </w:rPr>
      </w:pPr>
    </w:p>
    <w:p w14:paraId="64E14DFB" w14:textId="77777777" w:rsidR="00541F55" w:rsidRPr="00DE096C" w:rsidRDefault="00541F55" w:rsidP="00D45A46">
      <w:pPr>
        <w:jc w:val="both"/>
        <w:rPr>
          <w:bCs/>
          <w:color w:val="002060"/>
          <w:sz w:val="16"/>
          <w:szCs w:val="16"/>
          <w:lang w:bidi="en-US"/>
        </w:rPr>
      </w:pPr>
      <w:r w:rsidRPr="00DE096C">
        <w:rPr>
          <w:bCs/>
          <w:color w:val="002060"/>
          <w:sz w:val="16"/>
          <w:szCs w:val="16"/>
          <w:lang w:bidi="en-US"/>
        </w:rPr>
        <w:t>К концу июня 1914 г. авиашколы в Гатчине и Севастополе выпустили 147 летчиков.</w:t>
      </w:r>
    </w:p>
    <w:p w14:paraId="327990B1" w14:textId="77777777" w:rsidR="00541F55" w:rsidRPr="00DE096C" w:rsidRDefault="00541F55" w:rsidP="00D45A46">
      <w:pPr>
        <w:jc w:val="both"/>
        <w:rPr>
          <w:bCs/>
          <w:color w:val="002060"/>
          <w:sz w:val="16"/>
          <w:szCs w:val="16"/>
          <w:lang w:bidi="en-US"/>
        </w:rPr>
      </w:pPr>
    </w:p>
    <w:p w14:paraId="1E26B8D9" w14:textId="197697B4" w:rsidR="00FB26C6" w:rsidRPr="00DE096C" w:rsidRDefault="00FB26C6" w:rsidP="00FB26C6">
      <w:pPr>
        <w:shd w:val="clear" w:color="auto" w:fill="FFFFFF"/>
        <w:jc w:val="both"/>
        <w:rPr>
          <w:bCs/>
          <w:i/>
          <w:color w:val="002060"/>
          <w:sz w:val="16"/>
          <w:szCs w:val="16"/>
        </w:rPr>
      </w:pPr>
      <w:r w:rsidRPr="00DE096C">
        <w:rPr>
          <w:bCs/>
          <w:i/>
          <w:color w:val="002060"/>
          <w:sz w:val="16"/>
          <w:szCs w:val="16"/>
        </w:rPr>
        <w:t>Авиация</w:t>
      </w:r>
      <w:r>
        <w:rPr>
          <w:bCs/>
          <w:i/>
          <w:color w:val="002060"/>
          <w:sz w:val="16"/>
          <w:szCs w:val="16"/>
        </w:rPr>
        <w:t xml:space="preserve"> и воздухоплавание Англии</w:t>
      </w:r>
      <w:r w:rsidRPr="00DE096C">
        <w:rPr>
          <w:bCs/>
          <w:i/>
          <w:color w:val="002060"/>
          <w:sz w:val="16"/>
          <w:szCs w:val="16"/>
        </w:rPr>
        <w:t>:</w:t>
      </w:r>
    </w:p>
    <w:p w14:paraId="4E8E1A6C" w14:textId="77777777" w:rsidR="00FB26C6" w:rsidRPr="00DE096C" w:rsidRDefault="00FB26C6" w:rsidP="00FB26C6">
      <w:pPr>
        <w:shd w:val="clear" w:color="auto" w:fill="FFFFFF"/>
        <w:jc w:val="both"/>
        <w:rPr>
          <w:bCs/>
          <w:i/>
          <w:color w:val="002060"/>
          <w:sz w:val="16"/>
          <w:szCs w:val="16"/>
        </w:rPr>
      </w:pPr>
    </w:p>
    <w:p w14:paraId="180ECD90" w14:textId="77777777" w:rsidR="00FB26C6" w:rsidRPr="00B52707" w:rsidRDefault="00FB26C6" w:rsidP="00FB26C6">
      <w:pPr>
        <w:jc w:val="both"/>
        <w:rPr>
          <w:color w:val="0070C0"/>
          <w:sz w:val="16"/>
          <w:szCs w:val="16"/>
        </w:rPr>
      </w:pPr>
      <w:r w:rsidRPr="00B52707">
        <w:rPr>
          <w:color w:val="0070C0"/>
          <w:sz w:val="16"/>
          <w:szCs w:val="16"/>
        </w:rPr>
        <w:t>В конце июня 1914 г. с аэродрома Вулстон у города Саутгемптон на южном побережье Англии выполнил первый полет S.P.Gn. – Sopwith Pusher Gun(carrier). Испытания машины и отстрел пулемета «Льюис» провели быстро и она ушла заказчику - Греции, ведущей затяжную войну с Турцией. Самолет спроектировали с толкающим винтом и двухместной гондолой, в передней части которой должен был стоять пулемет. Первые пять машин этого типя неожиданно реквизировало анлийское Адмиралтейство – там наконец-то заметили, что, наверное, скоро будет война с Германией. «Носители пулеметов» направили на базу Большой Ярмут и там они получили приказ патрулировать воды Ла-Манша (25679).</w:t>
      </w:r>
    </w:p>
    <w:p w14:paraId="0AF0BD92" w14:textId="77777777" w:rsidR="00FB26C6" w:rsidRPr="00B52707" w:rsidRDefault="00FB26C6" w:rsidP="00FB26C6">
      <w:pPr>
        <w:jc w:val="both"/>
        <w:rPr>
          <w:color w:val="0070C0"/>
          <w:sz w:val="16"/>
          <w:szCs w:val="16"/>
        </w:rPr>
      </w:pPr>
    </w:p>
    <w:p w14:paraId="2FDB3A0B"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084E75E4" w14:textId="77777777" w:rsidR="00B67D7C" w:rsidRPr="00DE096C" w:rsidRDefault="00B67D7C" w:rsidP="00D45A46">
      <w:pPr>
        <w:shd w:val="clear" w:color="auto" w:fill="FFFFFF"/>
        <w:jc w:val="both"/>
        <w:rPr>
          <w:bCs/>
          <w:i/>
          <w:color w:val="002060"/>
          <w:sz w:val="16"/>
          <w:szCs w:val="16"/>
        </w:rPr>
      </w:pPr>
    </w:p>
    <w:p w14:paraId="450D60A7" w14:textId="77777777" w:rsidR="00D52F55" w:rsidRPr="00DE096C" w:rsidRDefault="00D52F55" w:rsidP="00D45A46">
      <w:pPr>
        <w:pStyle w:val="2"/>
        <w:spacing w:before="0" w:after="0"/>
        <w:jc w:val="both"/>
        <w:rPr>
          <w:b w:val="0"/>
          <w:bCs/>
          <w:color w:val="002060"/>
          <w:sz w:val="16"/>
          <w:szCs w:val="16"/>
        </w:rPr>
      </w:pPr>
      <w:r w:rsidRPr="00DE096C">
        <w:rPr>
          <w:b w:val="0"/>
          <w:bCs/>
          <w:color w:val="002060"/>
          <w:sz w:val="16"/>
          <w:szCs w:val="16"/>
        </w:rPr>
        <w:t>В июне 1914 г. для сдачи «Моранов» в Москву из Франции прибыл шеф-пилот завода «Моран» Пике. Летом он сдал 14 машин, прекрасно выдержавших испытания (15464).</w:t>
      </w:r>
    </w:p>
    <w:p w14:paraId="2D41C2AE" w14:textId="77777777" w:rsidR="00D52F55" w:rsidRPr="00DE096C" w:rsidRDefault="00D52F55" w:rsidP="00D45A46">
      <w:pPr>
        <w:pStyle w:val="2"/>
        <w:spacing w:before="0" w:after="0"/>
        <w:jc w:val="both"/>
        <w:rPr>
          <w:b w:val="0"/>
          <w:bCs/>
          <w:color w:val="002060"/>
          <w:sz w:val="16"/>
          <w:szCs w:val="16"/>
        </w:rPr>
      </w:pPr>
    </w:p>
    <w:p w14:paraId="4ED66926" w14:textId="77777777" w:rsidR="00B67D7C" w:rsidRPr="00DE096C" w:rsidRDefault="00B67D7C" w:rsidP="00D45A46">
      <w:pPr>
        <w:jc w:val="both"/>
        <w:rPr>
          <w:bCs/>
          <w:color w:val="002060"/>
          <w:sz w:val="16"/>
          <w:szCs w:val="16"/>
        </w:rPr>
      </w:pPr>
      <w:r w:rsidRPr="00DE096C">
        <w:rPr>
          <w:bCs/>
          <w:color w:val="002060"/>
          <w:sz w:val="16"/>
          <w:szCs w:val="16"/>
        </w:rPr>
        <w:t>В июне 1914 г. Акционерное общество Русско-Балтийского вагонного завода (АО РБВЗ) , где главным конструктором и управляющим Воздухоплавательного отделения работал И. И. Сикорский, заключило контракт с Главным военно-техническим управлением (ГВУ) Военного министерства на постройку до конца года 45 самолетов (14 бипланов-разведчиков С-10А, 24 моно план а-разведчика С-11А, 2 тренировочных моноплана С-12 и 5 «учебных бипланов» ). Заказ был достаточно крупным для того времени и мог бы быть еще больше, если бы не загруженность отделения серийной постройкой многомоторных муромцев. В то же время свою «Большую программу усиления военного флота» приняло и Морское министерство Российской империи, в которой большое внимание уделялось и развитию авиации. Предусматривалось создание ряда «авиационных станций» (без гидроавиации) , оснащенных новыми гидросамолетами, в том числе и поплавковыми С-10. Для новых аппаратов необходимо было подготовить новых летчиков, и морское ведомство заключило 1 сентября 1914 г. контракт с АО РБВЗ на постройку легкого учебного поплавкового биплана «Малютке» конструкции И. И. Сикорского. Ранее морская авиация в качестве учебного использовала маленький поплавковый самолет С-5А (11188).</w:t>
      </w:r>
    </w:p>
    <w:p w14:paraId="128CABC7" w14:textId="77777777" w:rsidR="00B67D7C" w:rsidRPr="00DE096C" w:rsidRDefault="00B67D7C" w:rsidP="00D45A46">
      <w:pPr>
        <w:jc w:val="both"/>
        <w:rPr>
          <w:bCs/>
          <w:color w:val="002060"/>
          <w:sz w:val="16"/>
          <w:szCs w:val="16"/>
        </w:rPr>
      </w:pPr>
    </w:p>
    <w:p w14:paraId="48EF2C88" w14:textId="69406D54" w:rsidR="00B67D7C" w:rsidRPr="00DE096C" w:rsidRDefault="00B62654" w:rsidP="00D45A46">
      <w:pPr>
        <w:jc w:val="both"/>
        <w:rPr>
          <w:bCs/>
          <w:color w:val="002060"/>
          <w:sz w:val="16"/>
          <w:szCs w:val="16"/>
        </w:rPr>
      </w:pPr>
      <w:bookmarkStart w:id="40" w:name="_Hlk117165980"/>
      <w:r w:rsidRPr="00DE096C">
        <w:rPr>
          <w:bCs/>
          <w:color w:val="002060"/>
          <w:sz w:val="16"/>
          <w:szCs w:val="16"/>
        </w:rPr>
        <w:t>В</w:t>
      </w:r>
      <w:r w:rsidR="00B67D7C" w:rsidRPr="00DE096C">
        <w:rPr>
          <w:bCs/>
          <w:color w:val="002060"/>
          <w:sz w:val="16"/>
          <w:szCs w:val="16"/>
        </w:rPr>
        <w:t xml:space="preserve"> июне 1914 г. </w:t>
      </w:r>
      <w:r w:rsidRPr="00DE096C">
        <w:rPr>
          <w:bCs/>
          <w:color w:val="002060"/>
          <w:sz w:val="16"/>
          <w:szCs w:val="16"/>
        </w:rPr>
        <w:t xml:space="preserve">Нестеров переучивался на «Моран» на заводе «Дукс». </w:t>
      </w:r>
      <w:r w:rsidR="00B67D7C" w:rsidRPr="00DE096C">
        <w:rPr>
          <w:bCs/>
          <w:color w:val="002060"/>
          <w:sz w:val="16"/>
          <w:szCs w:val="16"/>
        </w:rPr>
        <w:t xml:space="preserve">Системы управления самолетов «Моран» и «Ньюпор» резко отличались друг от друга. На «Ньюпоре» управление кренами осуществлялось ножным управлением, на «Моране» же — ручкой управления, аналогично современным самолетам, только крен создавался не элеронами, а искривлением концов крыльев (гошированием). </w:t>
      </w:r>
    </w:p>
    <w:p w14:paraId="1A8C39A5" w14:textId="77777777" w:rsidR="00B67D7C" w:rsidRPr="00DE096C" w:rsidRDefault="00B67D7C" w:rsidP="00D45A46">
      <w:pPr>
        <w:jc w:val="both"/>
        <w:rPr>
          <w:bCs/>
          <w:color w:val="002060"/>
          <w:sz w:val="16"/>
          <w:szCs w:val="16"/>
        </w:rPr>
      </w:pPr>
      <w:r w:rsidRPr="00DE096C">
        <w:rPr>
          <w:bCs/>
          <w:color w:val="002060"/>
          <w:sz w:val="16"/>
          <w:szCs w:val="16"/>
        </w:rPr>
        <w:t xml:space="preserve">Переучивание на «Моране» Нестерову далось с большим напряжением. После первой попытки сразу овладеть управлением в воздухе, когда сам он чувствовал себя отвратительно, ему пришлось отказаться от этого и перейти к последовательному освоению «Морана», начав с руления. 2 июня он написал подполковнику С. А. Немченко относительно приемки самолетов: «Тренировка на «Моране» очень еще серьезная, необходима мне настолько, что я даже сомневаюсь, успею ли я подготовиться к концу июня настолько, чтобы управлять «Мораном», как и «Ньюпором»; настолько привычка к последнему въелась в меня. Летать же неуверенным в аппарате нельзя». Следует заметить, что на «Моране» на высший пилотаж Нестеров не летал ни разу. </w:t>
      </w:r>
    </w:p>
    <w:p w14:paraId="108C396C" w14:textId="77777777" w:rsidR="00B67D7C" w:rsidRPr="00DE096C" w:rsidRDefault="00B67D7C" w:rsidP="00D45A46">
      <w:pPr>
        <w:jc w:val="both"/>
        <w:rPr>
          <w:bCs/>
          <w:color w:val="002060"/>
          <w:sz w:val="16"/>
          <w:szCs w:val="16"/>
        </w:rPr>
      </w:pPr>
      <w:r w:rsidRPr="00DE096C">
        <w:rPr>
          <w:bCs/>
          <w:color w:val="002060"/>
          <w:sz w:val="16"/>
          <w:szCs w:val="16"/>
        </w:rPr>
        <w:lastRenderedPageBreak/>
        <w:t>Возможно, обе эти причины в совокупности и привели к ошибке в пилотировании в момент тарана, что определило трагический исход первого в мире воздушного боя и никак не умаляет заслуг и героизма П. Н. Нестерова (11236).</w:t>
      </w:r>
    </w:p>
    <w:bookmarkEnd w:id="40"/>
    <w:p w14:paraId="6E83ACD6" w14:textId="77777777" w:rsidR="00B67D7C" w:rsidRPr="00DE096C" w:rsidRDefault="00B67D7C" w:rsidP="00D45A46">
      <w:pPr>
        <w:jc w:val="both"/>
        <w:rPr>
          <w:bCs/>
          <w:color w:val="002060"/>
          <w:sz w:val="16"/>
          <w:szCs w:val="16"/>
        </w:rPr>
      </w:pPr>
    </w:p>
    <w:p w14:paraId="7ABAA27D" w14:textId="1B212F11" w:rsidR="00B67D7C" w:rsidRPr="00DE096C" w:rsidRDefault="00B62654" w:rsidP="00D45A46">
      <w:pPr>
        <w:shd w:val="clear" w:color="auto" w:fill="FFFFFF"/>
        <w:jc w:val="both"/>
        <w:rPr>
          <w:bCs/>
          <w:color w:val="002060"/>
          <w:sz w:val="16"/>
          <w:szCs w:val="16"/>
        </w:rPr>
      </w:pPr>
      <w:bookmarkStart w:id="41" w:name="_Hlk117166064"/>
      <w:r w:rsidRPr="00DE096C">
        <w:rPr>
          <w:bCs/>
          <w:color w:val="002060"/>
          <w:sz w:val="16"/>
          <w:szCs w:val="16"/>
        </w:rPr>
        <w:t>В</w:t>
      </w:r>
      <w:r w:rsidR="00B67D7C" w:rsidRPr="00DE096C">
        <w:rPr>
          <w:bCs/>
          <w:color w:val="002060"/>
          <w:sz w:val="16"/>
          <w:szCs w:val="16"/>
        </w:rPr>
        <w:t xml:space="preserve"> июне 1914 г. </w:t>
      </w:r>
      <w:r w:rsidRPr="00DE096C">
        <w:rPr>
          <w:bCs/>
          <w:color w:val="002060"/>
          <w:sz w:val="16"/>
          <w:szCs w:val="16"/>
        </w:rPr>
        <w:t>первая летающая лодка М-1 по</w:t>
      </w:r>
      <w:r w:rsidRPr="00DE096C">
        <w:rPr>
          <w:bCs/>
          <w:color w:val="002060"/>
          <w:sz w:val="16"/>
          <w:szCs w:val="16"/>
        </w:rPr>
        <w:softHyphen/>
        <w:t xml:space="preserve">ступила на испытания. </w:t>
      </w:r>
      <w:r w:rsidR="00B67D7C" w:rsidRPr="00DE096C">
        <w:rPr>
          <w:bCs/>
          <w:color w:val="002060"/>
          <w:sz w:val="16"/>
          <w:szCs w:val="16"/>
        </w:rPr>
        <w:t>Лейтенант Кульнев выполнил на ней полёт продолжительностью 32 мин. и набрал высоту 600 м. Самолёту присвоили флотский кодовый номер Щ-1. Ещё до испытаний выявились недостатки лодки: слабый корпус, ненадёжная моторная рама и дру</w:t>
      </w:r>
      <w:r w:rsidR="00B67D7C" w:rsidRPr="00DE096C">
        <w:rPr>
          <w:bCs/>
          <w:color w:val="002060"/>
          <w:sz w:val="16"/>
          <w:szCs w:val="16"/>
        </w:rPr>
        <w:softHyphen/>
        <w:t>гие. Решили после поступления бо</w:t>
      </w:r>
      <w:r w:rsidR="00B67D7C" w:rsidRPr="00DE096C">
        <w:rPr>
          <w:bCs/>
          <w:color w:val="002060"/>
          <w:sz w:val="16"/>
          <w:szCs w:val="16"/>
        </w:rPr>
        <w:softHyphen/>
        <w:t>лее совершенного образца пере</w:t>
      </w:r>
      <w:r w:rsidR="00B67D7C" w:rsidRPr="00DE096C">
        <w:rPr>
          <w:bCs/>
          <w:color w:val="002060"/>
          <w:sz w:val="16"/>
          <w:szCs w:val="16"/>
        </w:rPr>
        <w:softHyphen/>
        <w:t>вести её в учебные. Но судьба са</w:t>
      </w:r>
      <w:r w:rsidR="00B67D7C" w:rsidRPr="00DE096C">
        <w:rPr>
          <w:bCs/>
          <w:color w:val="002060"/>
          <w:sz w:val="16"/>
          <w:szCs w:val="16"/>
        </w:rPr>
        <w:softHyphen/>
        <w:t>молёта решилась раньше. 2 декаб</w:t>
      </w:r>
      <w:r w:rsidR="00B67D7C" w:rsidRPr="00DE096C">
        <w:rPr>
          <w:bCs/>
          <w:color w:val="002060"/>
          <w:sz w:val="16"/>
          <w:szCs w:val="16"/>
        </w:rPr>
        <w:softHyphen/>
        <w:t>ря её разбил на посадке лейтенант А.А.Тучков, возглавлявший Воздухо</w:t>
      </w:r>
      <w:r w:rsidR="00B67D7C" w:rsidRPr="00DE096C">
        <w:rPr>
          <w:bCs/>
          <w:color w:val="002060"/>
          <w:sz w:val="16"/>
          <w:szCs w:val="16"/>
        </w:rPr>
        <w:softHyphen/>
        <w:t>плавательное отделение Морского генерального штаба, пожелавший научиться летать. Полёт состоялся на 2-й авиастанции в Кильконде (о.Эзель). При заходе на посадку самолёт, пилотируемый Тучковым, по всей видимости, потерял ско</w:t>
      </w:r>
      <w:r w:rsidR="00B67D7C" w:rsidRPr="00DE096C">
        <w:rPr>
          <w:bCs/>
          <w:color w:val="002060"/>
          <w:sz w:val="16"/>
          <w:szCs w:val="16"/>
        </w:rPr>
        <w:softHyphen/>
        <w:t>рость и зацепил правой консолью за землю. Самолёт развернуло на 45 град, он столкнулся с землёй и разрушился, после чего был списан. Лётчик отделался небольшими по</w:t>
      </w:r>
      <w:r w:rsidR="00B67D7C" w:rsidRPr="00DE096C">
        <w:rPr>
          <w:bCs/>
          <w:color w:val="002060"/>
          <w:sz w:val="16"/>
          <w:szCs w:val="16"/>
        </w:rPr>
        <w:softHyphen/>
        <w:t>вреждениями (11759).</w:t>
      </w:r>
    </w:p>
    <w:p w14:paraId="64F883DB" w14:textId="77777777" w:rsidR="00B67D7C" w:rsidRPr="00DE096C" w:rsidRDefault="00B67D7C" w:rsidP="00D45A46">
      <w:pPr>
        <w:shd w:val="clear" w:color="auto" w:fill="FFFFFF"/>
        <w:jc w:val="both"/>
        <w:rPr>
          <w:bCs/>
          <w:color w:val="002060"/>
          <w:sz w:val="16"/>
          <w:szCs w:val="16"/>
        </w:rPr>
      </w:pPr>
    </w:p>
    <w:p w14:paraId="2281BAE0" w14:textId="08E24D7A" w:rsidR="00B67D7C" w:rsidRPr="00DE096C" w:rsidRDefault="00651FAA" w:rsidP="00D45A46">
      <w:pPr>
        <w:jc w:val="both"/>
        <w:rPr>
          <w:bCs/>
          <w:color w:val="002060"/>
          <w:sz w:val="16"/>
          <w:szCs w:val="16"/>
        </w:rPr>
      </w:pPr>
      <w:bookmarkStart w:id="42" w:name="_Hlk117166243"/>
      <w:bookmarkEnd w:id="41"/>
      <w:r w:rsidRPr="00DE096C">
        <w:rPr>
          <w:bCs/>
          <w:color w:val="002060"/>
          <w:sz w:val="16"/>
          <w:szCs w:val="16"/>
        </w:rPr>
        <w:t>В</w:t>
      </w:r>
      <w:r w:rsidR="00B67D7C" w:rsidRPr="00DE096C">
        <w:rPr>
          <w:bCs/>
          <w:color w:val="002060"/>
          <w:sz w:val="16"/>
          <w:szCs w:val="16"/>
        </w:rPr>
        <w:t xml:space="preserve"> июне 1914 г. </w:t>
      </w:r>
      <w:r w:rsidRPr="00DE096C">
        <w:rPr>
          <w:bCs/>
          <w:color w:val="002060"/>
          <w:sz w:val="16"/>
          <w:szCs w:val="16"/>
        </w:rPr>
        <w:t xml:space="preserve">состоялись полетные испытания самолета, получившего обозначение М-1 (Морской-1). Первая лодка Григоровича имела слегка килеватое днище корпуса и значительное превышение размаха верхнего крыла над нижним. Она была оснащена ротатив- ным двигателем "Гном" 80 л.с. с толкающим воздушным винтом. </w:t>
      </w:r>
      <w:r w:rsidR="00B67D7C" w:rsidRPr="00DE096C">
        <w:rPr>
          <w:bCs/>
          <w:color w:val="002060"/>
          <w:sz w:val="16"/>
          <w:szCs w:val="16"/>
        </w:rPr>
        <w:t>Летные качества этой первой летающей лодки, по мнению пилотов, были далеки от совершенства, хотя и несколько более высокими, чем у "Донне-Левек" (12052).</w:t>
      </w:r>
    </w:p>
    <w:p w14:paraId="65EAF02D" w14:textId="77777777" w:rsidR="00B67D7C" w:rsidRPr="00DE096C" w:rsidRDefault="00B67D7C" w:rsidP="00D45A46">
      <w:pPr>
        <w:jc w:val="both"/>
        <w:rPr>
          <w:bCs/>
          <w:color w:val="002060"/>
          <w:sz w:val="16"/>
          <w:szCs w:val="16"/>
        </w:rPr>
      </w:pPr>
    </w:p>
    <w:bookmarkEnd w:id="42"/>
    <w:p w14:paraId="493A05C6" w14:textId="77777777" w:rsidR="00541F55" w:rsidRPr="00DE096C" w:rsidRDefault="00541F55" w:rsidP="00D45A46">
      <w:pPr>
        <w:jc w:val="both"/>
        <w:rPr>
          <w:bCs/>
          <w:color w:val="002060"/>
          <w:sz w:val="16"/>
          <w:szCs w:val="16"/>
          <w:lang w:bidi="en-US"/>
        </w:rPr>
      </w:pPr>
      <w:r w:rsidRPr="00DE096C">
        <w:rPr>
          <w:bCs/>
          <w:color w:val="002060"/>
          <w:sz w:val="16"/>
          <w:szCs w:val="16"/>
          <w:lang w:bidi="en-US"/>
        </w:rPr>
        <w:t xml:space="preserve">В июне 1914 г. Главное военно-техническое управление заключило контракт с Р-БВЗ на постройку легких самолетов с поставкой в армию до конца года 45 машин. Заказ включал четырнадцать </w:t>
      </w:r>
      <w:r w:rsidRPr="00DE096C">
        <w:rPr>
          <w:bCs/>
          <w:color w:val="002060"/>
          <w:sz w:val="16"/>
          <w:szCs w:val="16"/>
          <w:lang w:val="en-US" w:bidi="en-US"/>
        </w:rPr>
        <w:t>S</w:t>
      </w:r>
      <w:r w:rsidRPr="00DE096C">
        <w:rPr>
          <w:bCs/>
          <w:color w:val="002060"/>
          <w:sz w:val="16"/>
          <w:szCs w:val="16"/>
          <w:lang w:bidi="en-US"/>
        </w:rPr>
        <w:t>-10</w:t>
      </w:r>
      <w:r w:rsidRPr="00DE096C">
        <w:rPr>
          <w:bCs/>
          <w:color w:val="002060"/>
          <w:sz w:val="16"/>
          <w:szCs w:val="16"/>
          <w:lang w:val="en-US" w:bidi="en-US"/>
        </w:rPr>
        <w:t>A</w:t>
      </w:r>
      <w:r w:rsidRPr="00DE096C">
        <w:rPr>
          <w:bCs/>
          <w:color w:val="002060"/>
          <w:sz w:val="16"/>
          <w:szCs w:val="16"/>
          <w:lang w:bidi="en-US"/>
        </w:rPr>
        <w:t xml:space="preserve">, двадцать четыре </w:t>
      </w:r>
      <w:r w:rsidRPr="00DE096C">
        <w:rPr>
          <w:bCs/>
          <w:color w:val="002060"/>
          <w:sz w:val="16"/>
          <w:szCs w:val="16"/>
          <w:lang w:val="en-US" w:bidi="en-US"/>
        </w:rPr>
        <w:t>S</w:t>
      </w:r>
      <w:r w:rsidRPr="00DE096C">
        <w:rPr>
          <w:bCs/>
          <w:color w:val="002060"/>
          <w:sz w:val="16"/>
          <w:szCs w:val="16"/>
          <w:lang w:bidi="en-US"/>
        </w:rPr>
        <w:t xml:space="preserve">-11 и два </w:t>
      </w:r>
      <w:r w:rsidRPr="00DE096C">
        <w:rPr>
          <w:bCs/>
          <w:color w:val="002060"/>
          <w:sz w:val="16"/>
          <w:szCs w:val="16"/>
          <w:lang w:val="en-US" w:bidi="en-US"/>
        </w:rPr>
        <w:t>S</w:t>
      </w:r>
      <w:r w:rsidRPr="00DE096C">
        <w:rPr>
          <w:bCs/>
          <w:color w:val="002060"/>
          <w:sz w:val="16"/>
          <w:szCs w:val="16"/>
          <w:lang w:bidi="en-US"/>
        </w:rPr>
        <w:t>-12, а также пять других бипланов для использования в качестве учебных. Всем этим конструкциям Сикорского уже больше года (23525).</w:t>
      </w:r>
    </w:p>
    <w:p w14:paraId="51FC5E56" w14:textId="77777777" w:rsidR="00541F55" w:rsidRPr="00DE096C" w:rsidRDefault="00541F55" w:rsidP="00D45A46">
      <w:pPr>
        <w:jc w:val="both"/>
        <w:rPr>
          <w:bCs/>
          <w:color w:val="002060"/>
          <w:sz w:val="16"/>
          <w:szCs w:val="16"/>
        </w:rPr>
      </w:pPr>
    </w:p>
    <w:p w14:paraId="4726BE75" w14:textId="77777777" w:rsidR="00541F55" w:rsidRPr="00DE096C" w:rsidRDefault="00541F55" w:rsidP="00D45A46">
      <w:pPr>
        <w:jc w:val="both"/>
        <w:rPr>
          <w:bCs/>
          <w:color w:val="002060"/>
          <w:sz w:val="16"/>
          <w:szCs w:val="16"/>
        </w:rPr>
      </w:pPr>
      <w:r w:rsidRPr="00DE096C">
        <w:rPr>
          <w:bCs/>
          <w:color w:val="002060"/>
          <w:sz w:val="16"/>
          <w:szCs w:val="16"/>
          <w:lang w:bidi="ru-RU"/>
        </w:rPr>
        <w:t>В июне 1914 г. состоялись полетные испытания первого гидросамолета Григоровича. Согласно акту при</w:t>
      </w:r>
      <w:r w:rsidRPr="00DE096C">
        <w:rPr>
          <w:bCs/>
          <w:color w:val="002060"/>
          <w:sz w:val="16"/>
          <w:szCs w:val="16"/>
          <w:lang w:bidi="ru-RU"/>
        </w:rPr>
        <w:softHyphen/>
        <w:t>емки машину зачислили на службу под обозначением Щ-1. Летные качества этой первой летающей лодки, по мнению пило</w:t>
      </w:r>
      <w:r w:rsidRPr="00DE096C">
        <w:rPr>
          <w:bCs/>
          <w:color w:val="002060"/>
          <w:sz w:val="16"/>
          <w:szCs w:val="16"/>
          <w:lang w:bidi="ru-RU"/>
        </w:rPr>
        <w:softHyphen/>
        <w:t>тов, были далеки от совершенства, и ее использование предполагалось в качестве учебного аппарата. Впрочем, эксплуатация Щ-1 оказалась недолгой. 2 декабря 1914 г. самолет был полностью разбит при выпол</w:t>
      </w:r>
      <w:r w:rsidRPr="00DE096C">
        <w:rPr>
          <w:bCs/>
          <w:color w:val="002060"/>
          <w:sz w:val="16"/>
          <w:szCs w:val="16"/>
          <w:lang w:bidi="ru-RU"/>
        </w:rPr>
        <w:softHyphen/>
        <w:t>нении учебного полета (23374).</w:t>
      </w:r>
    </w:p>
    <w:p w14:paraId="34656293" w14:textId="77777777" w:rsidR="00541F55" w:rsidRPr="00DE096C" w:rsidRDefault="00541F55" w:rsidP="00D45A46">
      <w:pPr>
        <w:jc w:val="both"/>
        <w:rPr>
          <w:bCs/>
          <w:color w:val="002060"/>
          <w:sz w:val="16"/>
          <w:szCs w:val="16"/>
        </w:rPr>
      </w:pPr>
    </w:p>
    <w:p w14:paraId="40D8D004" w14:textId="77777777" w:rsidR="00A96210" w:rsidRPr="00B52707" w:rsidRDefault="00A96210" w:rsidP="00A96210">
      <w:pPr>
        <w:jc w:val="both"/>
        <w:rPr>
          <w:color w:val="0070C0"/>
          <w:sz w:val="16"/>
          <w:szCs w:val="16"/>
        </w:rPr>
      </w:pPr>
      <w:r w:rsidRPr="00B52707">
        <w:rPr>
          <w:color w:val="0070C0"/>
          <w:sz w:val="16"/>
          <w:szCs w:val="16"/>
        </w:rPr>
        <w:t>В июне 1914 года под наблюдением Яна Иосифовича Нагурского (1888-1976) во Франции построили два поплавковых самолета Farman M.F.11 для полетов в Арктике. Аэропланы были об</w:t>
      </w:r>
      <w:r w:rsidRPr="00B52707">
        <w:rPr>
          <w:color w:val="0070C0"/>
          <w:sz w:val="16"/>
          <w:szCs w:val="16"/>
        </w:rPr>
        <w:softHyphen/>
        <w:t>летаны, а затем в разобранном состоянии перевезены морем сначала в Норвегию, потом в Александровск-на-Мурмане (ныне Полярный). Один самолет Farman M.F.11 позже был доставлен на пароходе «Печора» в Крестовую бухту на западном берегу Новой Земли. Здесь Я.И. Нагурский и моторист матрос 1-й статьи Евгений Владимирович Кузнецов с помощью команды парохода по</w:t>
      </w:r>
      <w:r w:rsidRPr="00B52707">
        <w:rPr>
          <w:color w:val="0070C0"/>
          <w:sz w:val="16"/>
          <w:szCs w:val="16"/>
        </w:rPr>
        <w:softHyphen/>
        <w:t>вторно собрали аэроплан (24914).</w:t>
      </w:r>
    </w:p>
    <w:p w14:paraId="58B105FD" w14:textId="77777777" w:rsidR="00A96210" w:rsidRPr="00B52707" w:rsidRDefault="00A96210" w:rsidP="00A96210">
      <w:pPr>
        <w:jc w:val="both"/>
        <w:rPr>
          <w:color w:val="0070C0"/>
          <w:sz w:val="16"/>
          <w:szCs w:val="16"/>
        </w:rPr>
      </w:pPr>
    </w:p>
    <w:p w14:paraId="2A777169" w14:textId="1C9DF620" w:rsidR="00541F55" w:rsidRPr="00DE096C" w:rsidRDefault="00541F55" w:rsidP="00D45A46">
      <w:pPr>
        <w:shd w:val="clear" w:color="auto" w:fill="FFFFFF"/>
        <w:jc w:val="both"/>
        <w:rPr>
          <w:bCs/>
          <w:i/>
          <w:color w:val="002060"/>
          <w:sz w:val="16"/>
          <w:szCs w:val="16"/>
        </w:rPr>
      </w:pPr>
      <w:r w:rsidRPr="00DE096C">
        <w:rPr>
          <w:bCs/>
          <w:i/>
          <w:color w:val="002060"/>
          <w:sz w:val="16"/>
          <w:szCs w:val="16"/>
        </w:rPr>
        <w:t>Аэростатостроение:</w:t>
      </w:r>
    </w:p>
    <w:p w14:paraId="08042DEE" w14:textId="77777777" w:rsidR="00541F55" w:rsidRPr="00DE096C" w:rsidRDefault="00541F55" w:rsidP="00D45A46">
      <w:pPr>
        <w:shd w:val="clear" w:color="auto" w:fill="FFFFFF"/>
        <w:jc w:val="both"/>
        <w:rPr>
          <w:bCs/>
          <w:i/>
          <w:color w:val="002060"/>
          <w:sz w:val="16"/>
          <w:szCs w:val="16"/>
        </w:rPr>
      </w:pPr>
    </w:p>
    <w:p w14:paraId="1689CA45" w14:textId="77777777" w:rsidR="00541F55" w:rsidRPr="00DE096C" w:rsidRDefault="00541F55" w:rsidP="00D45A46">
      <w:pPr>
        <w:jc w:val="both"/>
        <w:rPr>
          <w:bCs/>
          <w:color w:val="002060"/>
          <w:sz w:val="16"/>
          <w:szCs w:val="16"/>
          <w:lang w:bidi="en-US"/>
        </w:rPr>
      </w:pPr>
      <w:r w:rsidRPr="00DE096C">
        <w:rPr>
          <w:bCs/>
          <w:color w:val="002060"/>
          <w:sz w:val="16"/>
          <w:szCs w:val="16"/>
          <w:lang w:bidi="en-US"/>
        </w:rPr>
        <w:t xml:space="preserve">В июне 1914 г. русский инженер Полковник А.И. Шабский завершил работы на Ижорском заводе над полужестким дирижаблем «Гигант» (63 000 м </w:t>
      </w:r>
      <w:r w:rsidRPr="00DE096C">
        <w:rPr>
          <w:bCs/>
          <w:color w:val="002060"/>
          <w:sz w:val="16"/>
          <w:szCs w:val="16"/>
          <w:vertAlign w:val="superscript"/>
          <w:lang w:bidi="en-US"/>
        </w:rPr>
        <w:t xml:space="preserve">3 </w:t>
      </w:r>
      <w:r w:rsidRPr="00DE096C">
        <w:rPr>
          <w:bCs/>
          <w:color w:val="002060"/>
          <w:sz w:val="16"/>
          <w:szCs w:val="16"/>
          <w:lang w:bidi="en-US"/>
        </w:rPr>
        <w:t>). Его длина составляла 150 метров. Он был разрушен в результате случайной аварии где-то в 1915 году (23525).</w:t>
      </w:r>
    </w:p>
    <w:p w14:paraId="3F216D5E" w14:textId="77777777" w:rsidR="00541F55" w:rsidRPr="00DE096C" w:rsidRDefault="00541F55" w:rsidP="00D45A46">
      <w:pPr>
        <w:jc w:val="both"/>
        <w:rPr>
          <w:bCs/>
          <w:color w:val="002060"/>
          <w:sz w:val="16"/>
          <w:szCs w:val="16"/>
        </w:rPr>
      </w:pPr>
    </w:p>
    <w:p w14:paraId="010CCF29" w14:textId="4346A3BC" w:rsidR="00B67D7C" w:rsidRPr="00DE096C" w:rsidRDefault="00B67D7C" w:rsidP="00D45A46">
      <w:pPr>
        <w:shd w:val="clear" w:color="auto" w:fill="FFFFFF"/>
        <w:jc w:val="both"/>
        <w:rPr>
          <w:bCs/>
          <w:i/>
          <w:color w:val="002060"/>
          <w:sz w:val="16"/>
          <w:szCs w:val="16"/>
        </w:rPr>
      </w:pPr>
      <w:r w:rsidRPr="00DE096C">
        <w:rPr>
          <w:bCs/>
          <w:i/>
          <w:color w:val="002060"/>
          <w:sz w:val="16"/>
          <w:szCs w:val="16"/>
        </w:rPr>
        <w:t>Другие оборонные отрасли:</w:t>
      </w:r>
    </w:p>
    <w:p w14:paraId="6373FF15" w14:textId="77777777" w:rsidR="00B67D7C" w:rsidRPr="00DE096C" w:rsidRDefault="00B67D7C" w:rsidP="00D45A46">
      <w:pPr>
        <w:shd w:val="clear" w:color="auto" w:fill="FFFFFF"/>
        <w:jc w:val="both"/>
        <w:rPr>
          <w:bCs/>
          <w:i/>
          <w:color w:val="002060"/>
          <w:sz w:val="16"/>
          <w:szCs w:val="16"/>
        </w:rPr>
      </w:pPr>
    </w:p>
    <w:p w14:paraId="1C1217F3" w14:textId="77777777" w:rsidR="0088213F" w:rsidRPr="00DE096C" w:rsidRDefault="0088213F" w:rsidP="00D45A46">
      <w:pPr>
        <w:pStyle w:val="book"/>
        <w:spacing w:before="0" w:beforeAutospacing="0" w:after="0" w:afterAutospacing="0"/>
        <w:jc w:val="both"/>
        <w:rPr>
          <w:bCs/>
          <w:color w:val="002060"/>
          <w:sz w:val="16"/>
          <w:szCs w:val="16"/>
        </w:rPr>
      </w:pPr>
      <w:r w:rsidRPr="00DE096C">
        <w:rPr>
          <w:bCs/>
          <w:color w:val="002060"/>
          <w:sz w:val="16"/>
          <w:szCs w:val="16"/>
          <w:shd w:val="clear" w:color="auto" w:fill="FFFFFF"/>
        </w:rPr>
        <w:t>В июне 1914 года началось строительство первого в Петербурге автомобильно-ремонтного предприятия, а к концу года производственные мастерские начали заполняться самыми передовыми и современными по тому времени оборудованием и станками. И первые отремонтированные и собранные автомобили стали выходить из ворот починочной мастерской (20045).</w:t>
      </w:r>
    </w:p>
    <w:p w14:paraId="7D2D8231" w14:textId="77777777" w:rsidR="0088213F" w:rsidRPr="00DE096C" w:rsidRDefault="0088213F" w:rsidP="00D45A46">
      <w:pPr>
        <w:jc w:val="both"/>
        <w:rPr>
          <w:bCs/>
          <w:color w:val="002060"/>
          <w:sz w:val="16"/>
          <w:szCs w:val="16"/>
        </w:rPr>
      </w:pPr>
    </w:p>
    <w:p w14:paraId="55E8857D" w14:textId="77777777" w:rsidR="0088213F" w:rsidRPr="00DE096C" w:rsidRDefault="0088213F" w:rsidP="00D45A46">
      <w:pPr>
        <w:jc w:val="both"/>
        <w:rPr>
          <w:bCs/>
          <w:color w:val="002060"/>
          <w:sz w:val="16"/>
          <w:szCs w:val="16"/>
        </w:rPr>
      </w:pPr>
      <w:r w:rsidRPr="00DE096C">
        <w:rPr>
          <w:bCs/>
          <w:color w:val="002060"/>
          <w:sz w:val="16"/>
          <w:szCs w:val="16"/>
        </w:rPr>
        <w:t>В июне 1914 г., когда и был выдан заказ Путиловскому заводу на изготовление первой партии из 12 орудий Артиллерий</w:t>
      </w:r>
      <w:r w:rsidRPr="00DE096C">
        <w:rPr>
          <w:bCs/>
          <w:color w:val="002060"/>
          <w:sz w:val="16"/>
          <w:szCs w:val="16"/>
        </w:rPr>
        <w:softHyphen/>
        <w:t>ский комитет утверди рассматривал с 1912 г., но утвердил Тактико-технические требования на создание специального зенитного орудия. Первым отечественным зенитным орудием стала трёхдюймовая проти- воаэростатная пушка образца 1914 г. системы Путиловского завода, базой для проектирования которой послужили материалы, разработанные конструктором Ф.Ф. Лендером в 1913-1914 гг.</w:t>
      </w:r>
    </w:p>
    <w:p w14:paraId="5455F7A2" w14:textId="77777777" w:rsidR="0088213F" w:rsidRPr="00DE096C" w:rsidRDefault="0088213F" w:rsidP="00D45A46">
      <w:pPr>
        <w:jc w:val="both"/>
        <w:rPr>
          <w:rStyle w:val="af"/>
          <w:rFonts w:ascii="Times New Roman" w:hAnsi="Times New Roman" w:cs="Times New Roman"/>
          <w:b w:val="0"/>
          <w:color w:val="002060"/>
          <w:sz w:val="16"/>
          <w:szCs w:val="16"/>
        </w:rPr>
      </w:pPr>
    </w:p>
    <w:p w14:paraId="740DA264" w14:textId="1BE7A31C" w:rsidR="00B67D7C" w:rsidRPr="00DE096C" w:rsidRDefault="00651FAA"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июне 1914 года</w:t>
      </w:r>
      <w:r w:rsidRPr="00DE096C">
        <w:rPr>
          <w:bCs/>
          <w:color w:val="002060"/>
          <w:sz w:val="16"/>
          <w:szCs w:val="16"/>
        </w:rPr>
        <w:t xml:space="preserve"> перед самой войной, окончательно был решен вопрос о постройке 4-го порохового завода.</w:t>
      </w:r>
      <w:r w:rsidR="00B67D7C" w:rsidRPr="00DE096C">
        <w:rPr>
          <w:bCs/>
          <w:color w:val="002060"/>
          <w:sz w:val="16"/>
          <w:szCs w:val="16"/>
        </w:rPr>
        <w:t xml:space="preserve"> Место для завода было выбрано в 15 верстах от г. Тамбова на берегу р. Цны. </w:t>
      </w:r>
    </w:p>
    <w:p w14:paraId="4A1BD2DC" w14:textId="77777777" w:rsidR="00B67D7C" w:rsidRPr="00DE096C" w:rsidRDefault="00B67D7C" w:rsidP="00D45A46">
      <w:pPr>
        <w:jc w:val="both"/>
        <w:rPr>
          <w:bCs/>
          <w:color w:val="002060"/>
          <w:sz w:val="16"/>
          <w:szCs w:val="16"/>
        </w:rPr>
      </w:pPr>
      <w:r w:rsidRPr="00DE096C">
        <w:rPr>
          <w:bCs/>
          <w:color w:val="002060"/>
          <w:sz w:val="16"/>
          <w:szCs w:val="16"/>
        </w:rPr>
        <w:t xml:space="preserve">Проектная производительность Тамбовского завода была 600 000 пудов. Строительные работы начались летом 1914 года. К началу 1917 г. были выстроены две пороходельные линии зданий, из коих одна была оборудована. Пироксилиновый отдел только начат был постройкой. Все сооружения общего технического обслуживания — водопровод, отопление, освещение и пр. — были исполнены. </w:t>
      </w:r>
    </w:p>
    <w:p w14:paraId="28751791" w14:textId="77777777" w:rsidR="00B67D7C" w:rsidRPr="00DE096C" w:rsidRDefault="00B67D7C" w:rsidP="00D45A46">
      <w:pPr>
        <w:jc w:val="both"/>
        <w:rPr>
          <w:bCs/>
          <w:color w:val="002060"/>
          <w:sz w:val="16"/>
          <w:szCs w:val="16"/>
        </w:rPr>
      </w:pPr>
      <w:r w:rsidRPr="00DE096C">
        <w:rPr>
          <w:bCs/>
          <w:color w:val="002060"/>
          <w:sz w:val="16"/>
          <w:szCs w:val="16"/>
        </w:rPr>
        <w:t xml:space="preserve">В конце войны завод начал готовить порох из американского пироксилина. С революцией строительство было остановлено и в дальнейшем не продолжалось. </w:t>
      </w:r>
    </w:p>
    <w:p w14:paraId="2F15E0C1" w14:textId="77777777" w:rsidR="00B67D7C" w:rsidRPr="00DE096C" w:rsidRDefault="00B67D7C" w:rsidP="00D45A46">
      <w:pPr>
        <w:jc w:val="both"/>
        <w:rPr>
          <w:bCs/>
          <w:color w:val="002060"/>
          <w:sz w:val="16"/>
          <w:szCs w:val="16"/>
        </w:rPr>
      </w:pPr>
      <w:r w:rsidRPr="00DE096C">
        <w:rPr>
          <w:bCs/>
          <w:color w:val="002060"/>
          <w:sz w:val="16"/>
          <w:szCs w:val="16"/>
        </w:rPr>
        <w:t xml:space="preserve">Стоимость постройки, рассчитанная по ценам 1916 г., выражалась в суммах (млн руб.):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104"/>
        <w:gridCol w:w="2916"/>
        <w:gridCol w:w="1476"/>
      </w:tblGrid>
      <w:tr w:rsidR="00B67D7C" w:rsidRPr="00DE096C" w14:paraId="5D5539D8" w14:textId="77777777" w:rsidTr="00C2024A">
        <w:tc>
          <w:tcPr>
            <w:tcW w:w="1104" w:type="dxa"/>
          </w:tcPr>
          <w:p w14:paraId="755C2619" w14:textId="77777777" w:rsidR="00B67D7C" w:rsidRPr="00DE096C" w:rsidRDefault="00B67D7C" w:rsidP="00D45A46">
            <w:pPr>
              <w:jc w:val="both"/>
              <w:rPr>
                <w:bCs/>
                <w:color w:val="002060"/>
                <w:sz w:val="16"/>
                <w:szCs w:val="16"/>
              </w:rPr>
            </w:pPr>
            <w:r w:rsidRPr="00DE096C">
              <w:rPr>
                <w:bCs/>
                <w:color w:val="002060"/>
                <w:sz w:val="16"/>
                <w:szCs w:val="16"/>
              </w:rPr>
              <w:t> </w:t>
            </w:r>
          </w:p>
        </w:tc>
        <w:tc>
          <w:tcPr>
            <w:tcW w:w="2916" w:type="dxa"/>
          </w:tcPr>
          <w:p w14:paraId="6B2E930D" w14:textId="77777777" w:rsidR="00B67D7C" w:rsidRPr="00DE096C" w:rsidRDefault="00B67D7C" w:rsidP="00D45A46">
            <w:pPr>
              <w:jc w:val="both"/>
              <w:rPr>
                <w:bCs/>
                <w:color w:val="002060"/>
                <w:sz w:val="16"/>
                <w:szCs w:val="16"/>
              </w:rPr>
            </w:pPr>
            <w:r w:rsidRPr="00DE096C">
              <w:rPr>
                <w:bCs/>
                <w:color w:val="002060"/>
                <w:sz w:val="16"/>
                <w:szCs w:val="16"/>
              </w:rPr>
              <w:t>строительные работы</w:t>
            </w:r>
          </w:p>
        </w:tc>
        <w:tc>
          <w:tcPr>
            <w:tcW w:w="1476" w:type="dxa"/>
          </w:tcPr>
          <w:p w14:paraId="74CC513B" w14:textId="77777777" w:rsidR="00B67D7C" w:rsidRPr="00DE096C" w:rsidRDefault="00B67D7C" w:rsidP="00D45A46">
            <w:pPr>
              <w:jc w:val="both"/>
              <w:rPr>
                <w:bCs/>
                <w:color w:val="002060"/>
                <w:sz w:val="16"/>
                <w:szCs w:val="16"/>
              </w:rPr>
            </w:pPr>
            <w:r w:rsidRPr="00DE096C">
              <w:rPr>
                <w:bCs/>
                <w:color w:val="002060"/>
                <w:sz w:val="16"/>
                <w:szCs w:val="16"/>
              </w:rPr>
              <w:t>12,1</w:t>
            </w:r>
          </w:p>
        </w:tc>
      </w:tr>
      <w:tr w:rsidR="00B67D7C" w:rsidRPr="00DE096C" w14:paraId="184217EB" w14:textId="77777777" w:rsidTr="00C2024A">
        <w:tc>
          <w:tcPr>
            <w:tcW w:w="1104" w:type="dxa"/>
          </w:tcPr>
          <w:p w14:paraId="29990596" w14:textId="77777777" w:rsidR="00B67D7C" w:rsidRPr="00DE096C" w:rsidRDefault="00B67D7C" w:rsidP="00D45A46">
            <w:pPr>
              <w:jc w:val="both"/>
              <w:rPr>
                <w:bCs/>
                <w:color w:val="002060"/>
                <w:sz w:val="16"/>
                <w:szCs w:val="16"/>
              </w:rPr>
            </w:pPr>
            <w:r w:rsidRPr="00DE096C">
              <w:rPr>
                <w:bCs/>
                <w:color w:val="002060"/>
                <w:sz w:val="16"/>
                <w:szCs w:val="16"/>
              </w:rPr>
              <w:t> </w:t>
            </w:r>
          </w:p>
        </w:tc>
        <w:tc>
          <w:tcPr>
            <w:tcW w:w="2916" w:type="dxa"/>
          </w:tcPr>
          <w:p w14:paraId="6E781778" w14:textId="77777777" w:rsidR="00B67D7C" w:rsidRPr="00DE096C" w:rsidRDefault="00B67D7C" w:rsidP="00D45A46">
            <w:pPr>
              <w:jc w:val="both"/>
              <w:rPr>
                <w:bCs/>
                <w:color w:val="002060"/>
                <w:sz w:val="16"/>
                <w:szCs w:val="16"/>
              </w:rPr>
            </w:pPr>
            <w:r w:rsidRPr="00DE096C">
              <w:rPr>
                <w:bCs/>
                <w:color w:val="002060"/>
                <w:sz w:val="16"/>
                <w:szCs w:val="16"/>
              </w:rPr>
              <w:t>механические работы</w:t>
            </w:r>
          </w:p>
        </w:tc>
        <w:tc>
          <w:tcPr>
            <w:tcW w:w="1476" w:type="dxa"/>
          </w:tcPr>
          <w:p w14:paraId="1029377B" w14:textId="77777777" w:rsidR="00B67D7C" w:rsidRPr="00DE096C" w:rsidRDefault="00B67D7C" w:rsidP="00D45A46">
            <w:pPr>
              <w:jc w:val="both"/>
              <w:rPr>
                <w:bCs/>
                <w:color w:val="002060"/>
                <w:sz w:val="16"/>
                <w:szCs w:val="16"/>
              </w:rPr>
            </w:pPr>
            <w:r w:rsidRPr="00DE096C">
              <w:rPr>
                <w:bCs/>
                <w:color w:val="002060"/>
                <w:sz w:val="16"/>
                <w:szCs w:val="16"/>
              </w:rPr>
              <w:t>16,6</w:t>
            </w:r>
          </w:p>
        </w:tc>
      </w:tr>
      <w:tr w:rsidR="00B67D7C" w:rsidRPr="00DE096C" w14:paraId="49AEB857" w14:textId="77777777" w:rsidTr="00C2024A">
        <w:tc>
          <w:tcPr>
            <w:tcW w:w="1104" w:type="dxa"/>
          </w:tcPr>
          <w:p w14:paraId="3A9C489F" w14:textId="77777777" w:rsidR="00B67D7C" w:rsidRPr="00DE096C" w:rsidRDefault="00B67D7C" w:rsidP="00D45A46">
            <w:pPr>
              <w:jc w:val="both"/>
              <w:rPr>
                <w:bCs/>
                <w:color w:val="002060"/>
                <w:sz w:val="16"/>
                <w:szCs w:val="16"/>
              </w:rPr>
            </w:pPr>
            <w:r w:rsidRPr="00DE096C">
              <w:rPr>
                <w:bCs/>
                <w:color w:val="002060"/>
                <w:sz w:val="16"/>
                <w:szCs w:val="16"/>
              </w:rPr>
              <w:t> </w:t>
            </w:r>
          </w:p>
        </w:tc>
        <w:tc>
          <w:tcPr>
            <w:tcW w:w="2916" w:type="dxa"/>
          </w:tcPr>
          <w:p w14:paraId="189AC2B9" w14:textId="77777777" w:rsidR="00B67D7C" w:rsidRPr="00DE096C" w:rsidRDefault="00B67D7C" w:rsidP="00D45A46">
            <w:pPr>
              <w:jc w:val="both"/>
              <w:rPr>
                <w:bCs/>
                <w:color w:val="002060"/>
                <w:sz w:val="16"/>
                <w:szCs w:val="16"/>
              </w:rPr>
            </w:pPr>
            <w:r w:rsidRPr="00DE096C">
              <w:rPr>
                <w:bCs/>
                <w:color w:val="002060"/>
                <w:sz w:val="16"/>
                <w:szCs w:val="16"/>
              </w:rPr>
              <w:t>прочие расходы</w:t>
            </w:r>
          </w:p>
        </w:tc>
        <w:tc>
          <w:tcPr>
            <w:tcW w:w="1476" w:type="dxa"/>
          </w:tcPr>
          <w:p w14:paraId="042CE736" w14:textId="77777777" w:rsidR="00B67D7C" w:rsidRPr="00DE096C" w:rsidRDefault="00B67D7C" w:rsidP="00D45A46">
            <w:pPr>
              <w:jc w:val="both"/>
              <w:rPr>
                <w:bCs/>
                <w:color w:val="002060"/>
                <w:sz w:val="16"/>
                <w:szCs w:val="16"/>
              </w:rPr>
            </w:pPr>
            <w:r w:rsidRPr="00DE096C">
              <w:rPr>
                <w:bCs/>
                <w:color w:val="002060"/>
                <w:sz w:val="16"/>
                <w:szCs w:val="16"/>
              </w:rPr>
              <w:t>1,4</w:t>
            </w:r>
          </w:p>
        </w:tc>
      </w:tr>
      <w:tr w:rsidR="00B67D7C" w:rsidRPr="00DE096C" w14:paraId="6913DD82" w14:textId="77777777" w:rsidTr="00C2024A">
        <w:tc>
          <w:tcPr>
            <w:tcW w:w="1104" w:type="dxa"/>
          </w:tcPr>
          <w:p w14:paraId="4EE2C483" w14:textId="77777777" w:rsidR="00B67D7C" w:rsidRPr="00DE096C" w:rsidRDefault="00B67D7C" w:rsidP="00D45A46">
            <w:pPr>
              <w:jc w:val="both"/>
              <w:rPr>
                <w:bCs/>
                <w:color w:val="002060"/>
                <w:sz w:val="16"/>
                <w:szCs w:val="16"/>
              </w:rPr>
            </w:pPr>
            <w:r w:rsidRPr="00DE096C">
              <w:rPr>
                <w:bCs/>
                <w:color w:val="002060"/>
                <w:sz w:val="16"/>
                <w:szCs w:val="16"/>
              </w:rPr>
              <w:t> </w:t>
            </w:r>
          </w:p>
        </w:tc>
        <w:tc>
          <w:tcPr>
            <w:tcW w:w="2916" w:type="dxa"/>
          </w:tcPr>
          <w:p w14:paraId="6C99A66F" w14:textId="77777777" w:rsidR="00B67D7C" w:rsidRPr="00DE096C" w:rsidRDefault="00B67D7C" w:rsidP="00D45A46">
            <w:pPr>
              <w:jc w:val="both"/>
              <w:rPr>
                <w:bCs/>
                <w:color w:val="002060"/>
                <w:sz w:val="16"/>
                <w:szCs w:val="16"/>
              </w:rPr>
            </w:pPr>
            <w:r w:rsidRPr="00DE096C">
              <w:rPr>
                <w:bCs/>
                <w:color w:val="002060"/>
                <w:sz w:val="16"/>
                <w:szCs w:val="16"/>
              </w:rPr>
              <w:t>Итого</w:t>
            </w:r>
          </w:p>
        </w:tc>
        <w:tc>
          <w:tcPr>
            <w:tcW w:w="1476" w:type="dxa"/>
          </w:tcPr>
          <w:p w14:paraId="5D92F027" w14:textId="77777777" w:rsidR="00B67D7C" w:rsidRPr="00DE096C" w:rsidRDefault="00B67D7C" w:rsidP="00D45A46">
            <w:pPr>
              <w:jc w:val="both"/>
              <w:rPr>
                <w:bCs/>
                <w:color w:val="002060"/>
                <w:sz w:val="16"/>
                <w:szCs w:val="16"/>
              </w:rPr>
            </w:pPr>
            <w:r w:rsidRPr="00DE096C">
              <w:rPr>
                <w:bCs/>
                <w:color w:val="002060"/>
                <w:sz w:val="16"/>
                <w:szCs w:val="16"/>
              </w:rPr>
              <w:t>30,1</w:t>
            </w:r>
          </w:p>
        </w:tc>
      </w:tr>
    </w:tbl>
    <w:p w14:paraId="3A25C029"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(11329).</w:t>
      </w:r>
    </w:p>
    <w:p w14:paraId="5549A901" w14:textId="77777777" w:rsidR="00B67D7C" w:rsidRPr="00DE096C" w:rsidRDefault="00B67D7C" w:rsidP="00D45A46">
      <w:pPr>
        <w:pStyle w:val="a3"/>
        <w:jc w:val="both"/>
        <w:rPr>
          <w:bCs/>
          <w:i w:val="0"/>
          <w:color w:val="002060"/>
          <w:spacing w:val="0"/>
          <w:kern w:val="0"/>
          <w:position w:val="0"/>
          <w:sz w:val="16"/>
          <w:szCs w:val="16"/>
        </w:rPr>
      </w:pPr>
    </w:p>
    <w:p w14:paraId="085AE08A" w14:textId="2F220038" w:rsidR="00541F55" w:rsidRPr="00DE096C" w:rsidRDefault="00541F55" w:rsidP="00D45A46">
      <w:pPr>
        <w:jc w:val="both"/>
        <w:rPr>
          <w:bCs/>
          <w:color w:val="002060"/>
          <w:sz w:val="16"/>
          <w:szCs w:val="16"/>
        </w:rPr>
      </w:pPr>
      <w:r w:rsidRPr="00DE096C">
        <w:rPr>
          <w:bCs/>
          <w:color w:val="002060"/>
          <w:sz w:val="16"/>
          <w:szCs w:val="16"/>
        </w:rPr>
        <w:t>В июне 1914 г., согласно доклада Борисова, в ответ на требование Николая II пред</w:t>
      </w:r>
      <w:r w:rsidRPr="00DE096C">
        <w:rPr>
          <w:bCs/>
          <w:color w:val="002060"/>
          <w:sz w:val="16"/>
          <w:szCs w:val="16"/>
        </w:rPr>
        <w:softHyphen/>
        <w:t>ставить сведения о ходе ружейного производства, «по выполнении данных в мирное время заказов, наши ружей</w:t>
      </w:r>
      <w:r w:rsidRPr="00DE096C">
        <w:rPr>
          <w:bCs/>
          <w:color w:val="002060"/>
          <w:sz w:val="16"/>
          <w:szCs w:val="16"/>
        </w:rPr>
        <w:softHyphen/>
        <w:t>ные заводы изготовили менее 1000 винтовок. Другими сло</w:t>
      </w:r>
      <w:r w:rsidRPr="00DE096C">
        <w:rPr>
          <w:bCs/>
          <w:color w:val="002060"/>
          <w:sz w:val="16"/>
          <w:szCs w:val="16"/>
        </w:rPr>
        <w:softHyphen/>
        <w:t>вами, к открытию военных действий казенные заводы поч</w:t>
      </w:r>
      <w:r w:rsidRPr="00DE096C">
        <w:rPr>
          <w:bCs/>
          <w:color w:val="002060"/>
          <w:sz w:val="16"/>
          <w:szCs w:val="16"/>
        </w:rPr>
        <w:softHyphen/>
        <w:t xml:space="preserve">ти прекратили изготовление винтовок», а к июлю 1915 г. эти три завода довели месячный выпуск до 60 тысяч (Там же. Ф. 2000. </w:t>
      </w:r>
      <w:r w:rsidRPr="00DE096C">
        <w:rPr>
          <w:bCs/>
          <w:color w:val="002060"/>
          <w:sz w:val="16"/>
          <w:szCs w:val="16"/>
          <w:lang w:val="en-US" w:bidi="en-US"/>
        </w:rPr>
        <w:t>On</w:t>
      </w:r>
      <w:r w:rsidRPr="00DE096C">
        <w:rPr>
          <w:bCs/>
          <w:color w:val="002060"/>
          <w:sz w:val="16"/>
          <w:szCs w:val="16"/>
          <w:lang w:bidi="en-US"/>
        </w:rPr>
        <w:t xml:space="preserve">. </w:t>
      </w:r>
      <w:r w:rsidRPr="00DE096C">
        <w:rPr>
          <w:bCs/>
          <w:color w:val="002060"/>
          <w:sz w:val="16"/>
          <w:szCs w:val="16"/>
        </w:rPr>
        <w:t>1. Д. 4388. Л. 1, 4.) 23452).</w:t>
      </w:r>
    </w:p>
    <w:p w14:paraId="2164D132" w14:textId="77777777" w:rsidR="00541F55" w:rsidRPr="00DE096C" w:rsidRDefault="00541F55" w:rsidP="00D45A46">
      <w:pPr>
        <w:jc w:val="both"/>
        <w:rPr>
          <w:bCs/>
          <w:color w:val="002060"/>
          <w:sz w:val="16"/>
          <w:szCs w:val="16"/>
          <w:lang w:bidi="ru-RU"/>
        </w:rPr>
      </w:pPr>
    </w:p>
    <w:p w14:paraId="05E5697A" w14:textId="77777777" w:rsidR="00B67D7C" w:rsidRPr="00DE096C" w:rsidRDefault="00B67D7C" w:rsidP="00D45A46">
      <w:pPr>
        <w:jc w:val="both"/>
        <w:rPr>
          <w:bCs/>
          <w:i/>
          <w:color w:val="002060"/>
          <w:sz w:val="16"/>
          <w:szCs w:val="16"/>
        </w:rPr>
      </w:pPr>
      <w:r w:rsidRPr="00DE096C">
        <w:rPr>
          <w:bCs/>
          <w:i/>
          <w:color w:val="002060"/>
          <w:sz w:val="16"/>
          <w:szCs w:val="16"/>
        </w:rPr>
        <w:t>Авиация:</w:t>
      </w:r>
    </w:p>
    <w:p w14:paraId="4D0C2631" w14:textId="77777777" w:rsidR="00B67D7C" w:rsidRPr="00DE096C" w:rsidRDefault="00B67D7C" w:rsidP="00D45A46">
      <w:pPr>
        <w:jc w:val="both"/>
        <w:rPr>
          <w:bCs/>
          <w:i/>
          <w:color w:val="002060"/>
          <w:sz w:val="16"/>
          <w:szCs w:val="16"/>
        </w:rPr>
      </w:pPr>
    </w:p>
    <w:p w14:paraId="56A3CE2F" w14:textId="2484AF17" w:rsidR="00B67D7C" w:rsidRPr="00DE096C" w:rsidRDefault="00651FAA"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июне 1914 года </w:t>
      </w:r>
      <w:r w:rsidRPr="00DE096C">
        <w:rPr>
          <w:bCs/>
          <w:color w:val="002060"/>
          <w:sz w:val="16"/>
          <w:szCs w:val="16"/>
        </w:rPr>
        <w:t xml:space="preserve">нерешенность вопроса о том, какое из главных управлений должно руководить специальной подготовкой авиаотрядов, </w:t>
      </w:r>
      <w:r w:rsidR="00B67D7C" w:rsidRPr="00DE096C">
        <w:rPr>
          <w:bCs/>
          <w:color w:val="002060"/>
          <w:sz w:val="16"/>
          <w:szCs w:val="16"/>
        </w:rPr>
        <w:t>стало поводом для принятия после обмена мнениями между ГВТУ, ГУ ГШ и канцелярией Военного министерства специального соглашения о переименовании специальных войск в технические с разделением их на следующие категории: инженерные, сообщения в составе автомобильных и железнодорожных войск, воздухоплавательные в составе авиационных и собственно воздухоплавательных войск. Военный министр одобрил этот проект, но он не был ни проведен через военный совет, ни утвержден Николаем II по причине резко обострившейся международной обстановки, а военные приготовления не оставили времени на законодательное оформление создания авиационных и других технических войск.</w:t>
      </w:r>
    </w:p>
    <w:p w14:paraId="6529BBCF" w14:textId="77777777" w:rsidR="00B67D7C" w:rsidRPr="00DE096C" w:rsidRDefault="00B67D7C" w:rsidP="00D45A46">
      <w:pPr>
        <w:jc w:val="both"/>
        <w:rPr>
          <w:bCs/>
          <w:color w:val="002060"/>
          <w:sz w:val="16"/>
          <w:szCs w:val="16"/>
        </w:rPr>
      </w:pPr>
      <w:r w:rsidRPr="00DE096C">
        <w:rPr>
          <w:bCs/>
          <w:color w:val="002060"/>
          <w:sz w:val="16"/>
          <w:szCs w:val="16"/>
        </w:rPr>
        <w:t>И все же можно утверждать, что к началу войны была создана организационная структура русской военной авиации, количество авиационных частей в которой в основном позволяло обеспечить вступающие в войну войска средствами воздушной разведки и связи (см. схему 3). Всего в армии к 19 июля 1914 года насчитывалось 39 авиаотрядов (1 полевой, 30 корпусных и 8 крепостных), имевших в своем составе 263 самолета. По количеству военных самолетов (даже без учета гидроавиации) Россия в это время оставила позади Германию (имела 232 самолета), Францию (156), Австро-Венгрию (65), Великобританию, Италию и США (по 30)41. Однако различный потенциал авиационной промышленности и наличие подготовленных гражданских летчиков в крупных государствах уже через полгода участия авиации в боевых действиях обусловили новое соотношение авиационных сил и средств между армиями стран — участниц Первой мировой войны...</w:t>
      </w:r>
    </w:p>
    <w:p w14:paraId="0D16F322" w14:textId="77777777" w:rsidR="00B67D7C" w:rsidRPr="00DE096C" w:rsidRDefault="00B67D7C" w:rsidP="00D45A46">
      <w:pPr>
        <w:jc w:val="both"/>
        <w:rPr>
          <w:bCs/>
          <w:color w:val="002060"/>
          <w:sz w:val="16"/>
          <w:szCs w:val="16"/>
        </w:rPr>
      </w:pPr>
    </w:p>
    <w:p w14:paraId="447A074A" w14:textId="77777777" w:rsidR="00B67D7C" w:rsidRPr="00DE096C" w:rsidRDefault="00B67D7C" w:rsidP="00D45A46">
      <w:pPr>
        <w:jc w:val="both"/>
        <w:rPr>
          <w:bCs/>
          <w:i/>
          <w:color w:val="002060"/>
          <w:sz w:val="16"/>
          <w:szCs w:val="16"/>
        </w:rPr>
      </w:pPr>
      <w:r w:rsidRPr="00DE096C">
        <w:rPr>
          <w:bCs/>
          <w:i/>
          <w:color w:val="002060"/>
          <w:sz w:val="16"/>
          <w:szCs w:val="16"/>
        </w:rPr>
        <w:t>Морская авиация:</w:t>
      </w:r>
    </w:p>
    <w:p w14:paraId="1876749B" w14:textId="77777777" w:rsidR="00B67D7C" w:rsidRPr="00DE096C" w:rsidRDefault="00B67D7C" w:rsidP="00D45A46">
      <w:pPr>
        <w:jc w:val="both"/>
        <w:rPr>
          <w:bCs/>
          <w:i/>
          <w:color w:val="002060"/>
          <w:sz w:val="16"/>
          <w:szCs w:val="16"/>
        </w:rPr>
      </w:pPr>
    </w:p>
    <w:p w14:paraId="1364262B" w14:textId="0858B003" w:rsidR="00B67D7C" w:rsidRPr="00DE096C" w:rsidRDefault="00B67D7C" w:rsidP="00D45A46">
      <w:pPr>
        <w:jc w:val="both"/>
        <w:rPr>
          <w:bCs/>
          <w:color w:val="002060"/>
          <w:sz w:val="16"/>
          <w:szCs w:val="16"/>
        </w:rPr>
      </w:pPr>
      <w:r w:rsidRPr="00DE096C">
        <w:rPr>
          <w:bCs/>
          <w:color w:val="002060"/>
          <w:sz w:val="16"/>
          <w:szCs w:val="16"/>
        </w:rPr>
        <w:t xml:space="preserve">В июне 1914 </w:t>
      </w:r>
      <w:r w:rsidR="00651FAA" w:rsidRPr="00DE096C">
        <w:rPr>
          <w:bCs/>
          <w:color w:val="002060"/>
          <w:sz w:val="16"/>
          <w:szCs w:val="16"/>
        </w:rPr>
        <w:t>а</w:t>
      </w:r>
      <w:r w:rsidRPr="00DE096C">
        <w:rPr>
          <w:bCs/>
          <w:color w:val="002060"/>
          <w:sz w:val="16"/>
          <w:szCs w:val="16"/>
        </w:rPr>
        <w:t xml:space="preserve">виация Черноморского флота организационно была разделена на два боевых и резервный авиаотряды, базировавшиеся в Круглой бухте. Боевой прибрежный отряд (Б-1) состоял из 6 летающих лодок, командир-лейтенант Н.Р. Вирен. Боевой корабельный отряд состоял из 4 летающих лодок, командир – В.В. Утгоф. </w:t>
      </w:r>
    </w:p>
    <w:p w14:paraId="0418FA85" w14:textId="77777777" w:rsidR="00B67D7C" w:rsidRPr="00DE096C" w:rsidRDefault="00B67D7C" w:rsidP="00D45A46">
      <w:pPr>
        <w:jc w:val="both"/>
        <w:rPr>
          <w:bCs/>
          <w:color w:val="002060"/>
          <w:sz w:val="16"/>
          <w:szCs w:val="16"/>
        </w:rPr>
      </w:pPr>
    </w:p>
    <w:p w14:paraId="4D4F6AF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lastRenderedPageBreak/>
        <w:t>В июне 1914 Датское общество воздухоплавания» организуя круговой перелет вдоль побережья Балтийского моря, обратилось к русским летчикам с предложением принять участие в этом перелете. Летчик В.Я.Михайлов дал согласие. Для него срочно стали строить ги</w:t>
      </w:r>
      <w:r w:rsidRPr="00DE096C">
        <w:rPr>
          <w:bCs/>
          <w:color w:val="002060"/>
          <w:sz w:val="16"/>
          <w:szCs w:val="16"/>
        </w:rPr>
        <w:softHyphen/>
        <w:t xml:space="preserve">дросамолет </w:t>
      </w:r>
      <w:r w:rsidRPr="00DE096C">
        <w:rPr>
          <w:bCs/>
          <w:color w:val="002060"/>
          <w:sz w:val="16"/>
          <w:szCs w:val="16"/>
          <w:vertAlign w:val="superscript"/>
        </w:rPr>
        <w:t>и</w:t>
      </w:r>
      <w:r w:rsidRPr="00DE096C">
        <w:rPr>
          <w:bCs/>
          <w:color w:val="002060"/>
          <w:sz w:val="16"/>
          <w:szCs w:val="16"/>
        </w:rPr>
        <w:t>Лебедъ-6", но начавшаяся мировая война помешала по</w:t>
      </w:r>
      <w:r w:rsidRPr="00DE096C">
        <w:rPr>
          <w:bCs/>
          <w:color w:val="002060"/>
          <w:sz w:val="16"/>
          <w:szCs w:val="16"/>
        </w:rPr>
        <w:softHyphen/>
        <w:t>лету ("Русский инвалид", 1914 г., 6 июля).</w:t>
      </w:r>
    </w:p>
    <w:p w14:paraId="7AC6D3AD" w14:textId="77777777" w:rsidR="00B67D7C" w:rsidRPr="00DE096C" w:rsidRDefault="00B67D7C" w:rsidP="00D45A46">
      <w:pPr>
        <w:shd w:val="clear" w:color="auto" w:fill="FFFFFF"/>
        <w:jc w:val="both"/>
        <w:rPr>
          <w:bCs/>
          <w:color w:val="002060"/>
          <w:sz w:val="16"/>
          <w:szCs w:val="16"/>
        </w:rPr>
      </w:pPr>
    </w:p>
    <w:p w14:paraId="01CDB853" w14:textId="657E2A0F" w:rsidR="00CE0F95" w:rsidRPr="00DE096C" w:rsidRDefault="00CE0F95" w:rsidP="00D45A46">
      <w:pPr>
        <w:jc w:val="both"/>
        <w:rPr>
          <w:bCs/>
          <w:color w:val="002060"/>
          <w:sz w:val="16"/>
          <w:szCs w:val="16"/>
        </w:rPr>
      </w:pPr>
      <w:r w:rsidRPr="00DE096C">
        <w:rPr>
          <w:bCs/>
          <w:color w:val="002060"/>
          <w:sz w:val="16"/>
          <w:szCs w:val="16"/>
        </w:rPr>
        <w:t>В июне 1914 г. Датское общество воздухоплавания, организуя круговой перелет вдоль побережья Балтийского моря, обратилось к русским летчикам с Предложением принять участие в этом перелете. Летчик В.Я.Михайлов изъявилл согласие. Для него срочно стали строить гидросамолет ”Лебедь-6", но начавшаяся мировая война помешала полету.</w:t>
      </w:r>
    </w:p>
    <w:p w14:paraId="4C24F14A" w14:textId="77777777" w:rsidR="00CE0F95" w:rsidRPr="00DE096C" w:rsidRDefault="00CE0F95" w:rsidP="00D45A46">
      <w:pPr>
        <w:jc w:val="both"/>
        <w:rPr>
          <w:bCs/>
          <w:color w:val="002060"/>
          <w:sz w:val="16"/>
          <w:szCs w:val="16"/>
        </w:rPr>
      </w:pPr>
      <w:r w:rsidRPr="00DE096C">
        <w:rPr>
          <w:bCs/>
          <w:color w:val="002060"/>
          <w:sz w:val="16"/>
          <w:szCs w:val="16"/>
        </w:rPr>
        <w:t>/«Русский инвалид» за 6 июля 1914/ (23320).</w:t>
      </w:r>
    </w:p>
    <w:p w14:paraId="40497302" w14:textId="77777777" w:rsidR="00CE0F95" w:rsidRPr="00DE096C" w:rsidRDefault="00CE0F95" w:rsidP="00D45A46">
      <w:pPr>
        <w:jc w:val="both"/>
        <w:rPr>
          <w:bCs/>
          <w:color w:val="002060"/>
          <w:sz w:val="16"/>
          <w:szCs w:val="16"/>
        </w:rPr>
      </w:pPr>
    </w:p>
    <w:p w14:paraId="5AB6A387" w14:textId="77777777" w:rsidR="00541F55" w:rsidRPr="00DE096C" w:rsidRDefault="00541F55" w:rsidP="00D45A46">
      <w:pPr>
        <w:jc w:val="both"/>
        <w:rPr>
          <w:bCs/>
          <w:color w:val="002060"/>
          <w:sz w:val="16"/>
          <w:szCs w:val="16"/>
          <w:lang w:bidi="en-US"/>
        </w:rPr>
      </w:pPr>
      <w:r w:rsidRPr="00DE096C">
        <w:rPr>
          <w:bCs/>
          <w:color w:val="002060"/>
          <w:sz w:val="16"/>
          <w:szCs w:val="16"/>
          <w:lang w:bidi="en-US"/>
        </w:rPr>
        <w:t>В июне 1914 г. генеральный штаб ВМФ России предложил командующему Балтийским флотом оборудовать транспорт «Аргун» для перевозки гидросамолетов, но планы так и не были реализованы (23525).</w:t>
      </w:r>
    </w:p>
    <w:p w14:paraId="2BAC6A28" w14:textId="77777777" w:rsidR="00541F55" w:rsidRPr="00DE096C" w:rsidRDefault="00541F55" w:rsidP="00D45A46">
      <w:pPr>
        <w:jc w:val="both"/>
        <w:rPr>
          <w:bCs/>
          <w:color w:val="002060"/>
          <w:sz w:val="16"/>
          <w:szCs w:val="16"/>
        </w:rPr>
      </w:pPr>
    </w:p>
    <w:p w14:paraId="0E881EC3" w14:textId="77777777" w:rsidR="00B67D7C" w:rsidRPr="00DE096C" w:rsidRDefault="00B67D7C" w:rsidP="00D45A46">
      <w:pPr>
        <w:jc w:val="both"/>
        <w:rPr>
          <w:bCs/>
          <w:i/>
          <w:color w:val="002060"/>
          <w:sz w:val="16"/>
          <w:szCs w:val="16"/>
        </w:rPr>
      </w:pPr>
      <w:r w:rsidRPr="00DE096C">
        <w:rPr>
          <w:bCs/>
          <w:i/>
          <w:color w:val="002060"/>
          <w:sz w:val="16"/>
          <w:szCs w:val="16"/>
        </w:rPr>
        <w:t>Авиация и воздухоплавание Франции:</w:t>
      </w:r>
    </w:p>
    <w:p w14:paraId="1710CEDF" w14:textId="77777777" w:rsidR="00B67D7C" w:rsidRPr="00DE096C" w:rsidRDefault="00B67D7C" w:rsidP="00D45A46">
      <w:pPr>
        <w:jc w:val="both"/>
        <w:rPr>
          <w:bCs/>
          <w:i/>
          <w:color w:val="002060"/>
          <w:sz w:val="16"/>
          <w:szCs w:val="16"/>
        </w:rPr>
      </w:pPr>
    </w:p>
    <w:p w14:paraId="7ADD050B" w14:textId="77777777" w:rsidR="00B67D7C" w:rsidRPr="00DE096C" w:rsidRDefault="00B67D7C" w:rsidP="00D45A46">
      <w:pPr>
        <w:jc w:val="both"/>
        <w:rPr>
          <w:bCs/>
          <w:color w:val="002060"/>
          <w:sz w:val="16"/>
          <w:szCs w:val="16"/>
        </w:rPr>
      </w:pPr>
      <w:r w:rsidRPr="00DE096C">
        <w:rPr>
          <w:bCs/>
          <w:color w:val="002060"/>
          <w:sz w:val="16"/>
          <w:szCs w:val="16"/>
        </w:rPr>
        <w:t>В июне 1914 года французский конструктор Солинье осуществил синхронную установку пулемета "Гочкис" кавалерийского образца на самолете "Моран Солинье" с ротативным мотором Рон мощностью 80 л.с. Синхронизатор испытаний не прошел, так как при некоторых режимах работы мотора пули пробивали винт. Работа над синхронизатором была приостановлена. Спустя немного времени выяснилось, что дело было не в синхронизаторе, а в пулемете. Тот же синхронизатор с пулеметом "Виккерс" работал безотказно.</w:t>
      </w:r>
    </w:p>
    <w:p w14:paraId="0C177481" w14:textId="77777777" w:rsidR="00B67D7C" w:rsidRPr="00DE096C" w:rsidRDefault="00B67D7C" w:rsidP="00D45A46">
      <w:pPr>
        <w:shd w:val="clear" w:color="auto" w:fill="FFFFFF"/>
        <w:jc w:val="both"/>
        <w:rPr>
          <w:bCs/>
          <w:color w:val="002060"/>
          <w:sz w:val="16"/>
          <w:szCs w:val="16"/>
        </w:rPr>
      </w:pPr>
    </w:p>
    <w:p w14:paraId="5424CD55" w14:textId="57643F7C" w:rsidR="0088213F" w:rsidRPr="00DE096C" w:rsidRDefault="0088213F" w:rsidP="00D45A46">
      <w:pPr>
        <w:jc w:val="both"/>
        <w:rPr>
          <w:bCs/>
          <w:i/>
          <w:color w:val="002060"/>
          <w:sz w:val="16"/>
          <w:szCs w:val="16"/>
        </w:rPr>
      </w:pPr>
      <w:r w:rsidRPr="00DE096C">
        <w:rPr>
          <w:bCs/>
          <w:i/>
          <w:color w:val="002060"/>
          <w:sz w:val="16"/>
          <w:szCs w:val="16"/>
        </w:rPr>
        <w:t>Авиация и воздухоплавание Англии:</w:t>
      </w:r>
    </w:p>
    <w:p w14:paraId="22E61112" w14:textId="77777777" w:rsidR="0088213F" w:rsidRPr="00DE096C" w:rsidRDefault="0088213F" w:rsidP="00D45A46">
      <w:pPr>
        <w:jc w:val="both"/>
        <w:rPr>
          <w:bCs/>
          <w:i/>
          <w:color w:val="002060"/>
          <w:sz w:val="16"/>
          <w:szCs w:val="16"/>
        </w:rPr>
      </w:pPr>
    </w:p>
    <w:p w14:paraId="70F04C80" w14:textId="77777777" w:rsidR="0088213F" w:rsidRPr="00DE096C" w:rsidRDefault="0088213F" w:rsidP="00D45A46">
      <w:pPr>
        <w:jc w:val="both"/>
        <w:rPr>
          <w:bCs/>
          <w:color w:val="002060"/>
          <w:sz w:val="16"/>
          <w:szCs w:val="16"/>
        </w:rPr>
      </w:pPr>
      <w:r w:rsidRPr="00DE096C">
        <w:rPr>
          <w:bCs/>
          <w:color w:val="002060"/>
          <w:sz w:val="16"/>
          <w:szCs w:val="16"/>
        </w:rPr>
        <w:t>В июне 1914 г., сразу после прихода на должность Главного конструктора фирмы «Эйрко», Дж. де Хэвилленд начал проектирование D.H.1 - вооруженного самолета-разведчик как продолжение его работ на заводе R.A.F. Конструктивно проект практически повторял спроектированный им ранее самолет RAF F.E.2: аэродинамическая схема классическая статически устойчивая, т.е. центровка самолета была нормальной, а угол атаки крыла больше, чем оперения; - по компоновке самолет представлял собой двухстоечный биплан с толкающим винтом; аэродинамическая схема классическая статически устойчивая, т.е. центровка самолета была нормальной, а угол атаки крыла больше, чем оперения; - по компоновке самолет представлял собой двухстоечный биплан с толкающим винтом; рядный двигатель жидкостного охлаждения «Бердмор» мощностью 120 л.с. был установлен в хвостовой части гондолы фюзеляжа и вращал двухлопастный толкающий воздушный винт; фронтальный радиатор автомобильного типа установлен на средней части гондолы фюзеляжа за 2-й кабиной: по бокам фюзеляжа установлены по потоку небольшие аэродинамические поверхности типа крылышек, которые служили воздушными тормозами, поворачиваясь на 90 град. (аэродинамические тормоза были применены на этом самолете впервые в мире, сама схема не прижилась, но в дальнейшем аэродинамические тормоза широко использовались); верхнее и нижнее крылья подобны по конструкции; каркас крыльев и элеронов деревянный, обшивка полотняная; межкрыльевые стойки имели переменное каплевидное сечение; жесткость бипланной коробки обеспечивалась растяжками; на обоих крыльях имелись элероны; фюзеляж состоял из носовой гондолы и хвостовой фермы; каркас гондолы фюзеляжа деревянный, обшивка носовой, верхней и задней частей фанерная, бортов – полотняная на шнуровке для легкого доступа к агрегатам силовой установки и управления; кабины экипажа расположены друг за другом на одном уровне, в передней кабине сидел летнаб, он же – стрелок курсового пулемета, за ним с превышением сидел пилот; стержни хвостовой фермы деревянные (продольные – круглого сечения, поперечные – сборные, круглые в каплевидных обтекателях); оперение заднее, однокилевое, - вертикальное оперение состояло из небольшого киля, установленного на стабилизаторе, и РН большой площади; нижняя часть РН имеет овальный выступ по передней кромке, находящийся за осью вращения (играл роль рогового компенсатора для снижения усилий на педалях); горизонтальное оперение состояло из стабилизатора и РВ (близких по площади); шасси трехопорное с хвостовым костылем; основные стойки шасси имеют жидкостные амортизаторы (послужили прототипом жидкостно-газовых амортизаторов, широко применяющихся на самолетах всех типов); сами основные стойки шасси имеют подвеску на винтовых пружинах (впервые в мировой практике, но решение не использовалось в дальнейшем); под нижним крылом имелись поддерживающие опоры для предохранения консолей от повреждения при посадке с креном; вооружение самолета состояло из одного подвижного пулемета «Льюис» калибра 7,69 мм, установленного на шкворне в 1-й кабине.</w:t>
      </w:r>
    </w:p>
    <w:p w14:paraId="4DB3C66E" w14:textId="27C7C465" w:rsidR="0088213F" w:rsidRPr="00DE096C" w:rsidRDefault="0088213F" w:rsidP="00D45A46">
      <w:pPr>
        <w:jc w:val="both"/>
        <w:rPr>
          <w:bCs/>
          <w:color w:val="002060"/>
          <w:sz w:val="16"/>
          <w:szCs w:val="16"/>
        </w:rPr>
      </w:pPr>
      <w:r w:rsidRPr="00DE096C">
        <w:rPr>
          <w:bCs/>
          <w:color w:val="002060"/>
          <w:sz w:val="16"/>
          <w:szCs w:val="16"/>
        </w:rPr>
        <w:t>Самолет был прост в управлении и статически устойчив, сохранял горизонтальный прямолинейный полет с брошенной ручкой управления. На испытаниях был выявлен ряд недостатков конструкции: низкие летные данные из-за слабого мотора; воздушные тормоза оказались неэффективны и были демонтированы; компоновка кабины оказалась не совсем удачной – стрелок закрывал обзор пилоту (особенно это мешало на посадке); амортизация шасси была неэффективной. Хотя мощность мотора была 70 л.с. оказалась недостаточной, самолет показал хорошую устойчивость и управляемость при достаточной маневренности, и был принят на вооружение с условием устранения недостатков.</w:t>
      </w:r>
      <w:r w:rsidR="0006581C">
        <w:rPr>
          <w:bCs/>
          <w:color w:val="002060"/>
          <w:sz w:val="16"/>
          <w:szCs w:val="16"/>
        </w:rPr>
        <w:t xml:space="preserve"> </w:t>
      </w:r>
      <w:r w:rsidRPr="00DE096C">
        <w:rPr>
          <w:bCs/>
          <w:color w:val="002060"/>
          <w:sz w:val="16"/>
          <w:szCs w:val="16"/>
        </w:rPr>
        <w:t xml:space="preserve"> После завершения испытаний в 1916 г. вероятно был передан в 14-ю АЭ RFC, которая действовала в составе Бригады английских войск на Среднем Востоке. Дорабатывался ли самолет до серийного типа при этом – не известно (22771).</w:t>
      </w:r>
    </w:p>
    <w:p w14:paraId="04D05496" w14:textId="16F613B7" w:rsidR="0088213F" w:rsidRPr="00DE096C" w:rsidRDefault="0088213F" w:rsidP="00D45A46">
      <w:pPr>
        <w:jc w:val="both"/>
        <w:rPr>
          <w:rStyle w:val="af"/>
          <w:rFonts w:ascii="Times New Roman" w:hAnsi="Times New Roman" w:cs="Times New Roman"/>
          <w:b w:val="0"/>
          <w:color w:val="002060"/>
          <w:sz w:val="16"/>
          <w:szCs w:val="16"/>
        </w:rPr>
      </w:pPr>
    </w:p>
    <w:p w14:paraId="07EA7A42" w14:textId="011D030D" w:rsidR="00A96210" w:rsidRPr="00DE096C" w:rsidRDefault="00A96210" w:rsidP="00A96210">
      <w:pPr>
        <w:jc w:val="both"/>
        <w:rPr>
          <w:rStyle w:val="af"/>
          <w:rFonts w:ascii="Times New Roman" w:hAnsi="Times New Roman" w:cs="Times New Roman"/>
          <w:b w:val="0"/>
          <w:i/>
          <w:iCs/>
          <w:color w:val="002060"/>
          <w:sz w:val="16"/>
          <w:szCs w:val="16"/>
        </w:rPr>
      </w:pPr>
      <w:r w:rsidRPr="00DE096C">
        <w:rPr>
          <w:rStyle w:val="af"/>
          <w:rFonts w:ascii="Times New Roman" w:hAnsi="Times New Roman" w:cs="Times New Roman"/>
          <w:b w:val="0"/>
          <w:i/>
          <w:iCs/>
          <w:color w:val="002060"/>
          <w:sz w:val="16"/>
          <w:szCs w:val="16"/>
        </w:rPr>
        <w:t xml:space="preserve">Авиация и воздухоплавание </w:t>
      </w:r>
      <w:r>
        <w:rPr>
          <w:rStyle w:val="af"/>
          <w:rFonts w:ascii="Times New Roman" w:hAnsi="Times New Roman" w:cs="Times New Roman"/>
          <w:b w:val="0"/>
          <w:i/>
          <w:iCs/>
          <w:color w:val="002060"/>
          <w:sz w:val="16"/>
          <w:szCs w:val="16"/>
        </w:rPr>
        <w:t>Германии</w:t>
      </w:r>
      <w:r w:rsidRPr="00DE096C">
        <w:rPr>
          <w:rStyle w:val="af"/>
          <w:rFonts w:ascii="Times New Roman" w:hAnsi="Times New Roman" w:cs="Times New Roman"/>
          <w:b w:val="0"/>
          <w:i/>
          <w:iCs/>
          <w:color w:val="002060"/>
          <w:sz w:val="16"/>
          <w:szCs w:val="16"/>
        </w:rPr>
        <w:t>:</w:t>
      </w:r>
    </w:p>
    <w:p w14:paraId="4960E0E9" w14:textId="77777777" w:rsidR="00A96210" w:rsidRPr="00DE096C" w:rsidRDefault="00A96210" w:rsidP="00A96210">
      <w:pPr>
        <w:jc w:val="both"/>
        <w:rPr>
          <w:rStyle w:val="af"/>
          <w:rFonts w:ascii="Times New Roman" w:hAnsi="Times New Roman" w:cs="Times New Roman"/>
          <w:b w:val="0"/>
          <w:i/>
          <w:iCs/>
          <w:color w:val="002060"/>
          <w:sz w:val="16"/>
          <w:szCs w:val="16"/>
        </w:rPr>
      </w:pPr>
    </w:p>
    <w:p w14:paraId="4656DAA9" w14:textId="77777777" w:rsidR="00A96210" w:rsidRPr="00B52707" w:rsidRDefault="00A96210" w:rsidP="00A96210">
      <w:pPr>
        <w:jc w:val="both"/>
        <w:rPr>
          <w:color w:val="0070C0"/>
          <w:sz w:val="16"/>
          <w:szCs w:val="16"/>
        </w:rPr>
      </w:pPr>
      <w:r w:rsidRPr="00B52707">
        <w:rPr>
          <w:color w:val="0070C0"/>
          <w:sz w:val="16"/>
          <w:szCs w:val="16"/>
        </w:rPr>
        <w:t>В июне 1914 г. появились два самолета Гота LE IV с новой силовой установкой с рядным двигателем Мерседес D I мощностью 105 л.с. с радиатором автомобильного типа. Они развивали хорошую скорость 120 км/ч, их выкупили для Воздушных Войск Германии, но применяли только как учебные.</w:t>
      </w:r>
    </w:p>
    <w:p w14:paraId="0D0F58F1" w14:textId="77777777" w:rsidR="00A96210" w:rsidRPr="00B52707" w:rsidRDefault="00A96210" w:rsidP="00A96210">
      <w:pPr>
        <w:jc w:val="both"/>
        <w:rPr>
          <w:color w:val="0070C0"/>
          <w:sz w:val="16"/>
          <w:szCs w:val="16"/>
        </w:rPr>
      </w:pPr>
      <w:r w:rsidRPr="00B52707">
        <w:rPr>
          <w:color w:val="0070C0"/>
          <w:sz w:val="16"/>
          <w:szCs w:val="16"/>
        </w:rPr>
        <w:t>Эдмунда Румплера в 1912 г. перешел на фирму «Гота», чтобы заниматься налаживанием серийного выпуска «Таубе» и там. Эта перемена обошлась без судебных дел, «мягко», и даже марка «Румплер» осталась за заводом и когда старый хозяин ушел.</w:t>
      </w:r>
    </w:p>
    <w:p w14:paraId="20D3DD56" w14:textId="77777777" w:rsidR="00A96210" w:rsidRPr="00B52707" w:rsidRDefault="00A96210" w:rsidP="00A96210">
      <w:pPr>
        <w:jc w:val="both"/>
        <w:rPr>
          <w:color w:val="0070C0"/>
          <w:sz w:val="16"/>
          <w:szCs w:val="16"/>
        </w:rPr>
      </w:pPr>
      <w:r w:rsidRPr="00B52707">
        <w:rPr>
          <w:color w:val="0070C0"/>
          <w:sz w:val="16"/>
          <w:szCs w:val="16"/>
        </w:rPr>
        <w:t>Уже в 1912 г. вышел головной «Таубе», сделанный «Готой» под военным обозначением LE I (LE – landeindecker, моноплан сухопутного базирования). Их сдали десять штук и предположительно все они пошли в военную летную школу в Дёберице. За ним пошел LE II «Гота-Таубе», считавшийся новым типом. Но его конструкторы Грюнлих и Бартл особо пока ничего менять не рисковали, стараясь лишь лучше приспособить машину к производству и обеспечить установку тех моторов, которые удалось бы купить быстрее и дешевле. Ее строительством и занялся Эдмунд Румплер и в этом преуспел – его заслуга не только в том, что за короткое время удалось сделать 58 таких аппаратов, но и в обустройстве и в оснащении цехов предприятия. За «двойкой» уже в 1913 г. там стали строить серию почти таких же LE III,</w:t>
      </w:r>
    </w:p>
    <w:p w14:paraId="7ADEE02A" w14:textId="77777777" w:rsidR="00A96210" w:rsidRPr="00B52707" w:rsidRDefault="00A96210" w:rsidP="00A96210">
      <w:pPr>
        <w:jc w:val="both"/>
        <w:rPr>
          <w:color w:val="0070C0"/>
          <w:sz w:val="16"/>
          <w:szCs w:val="16"/>
        </w:rPr>
      </w:pPr>
      <w:r w:rsidRPr="00B52707">
        <w:rPr>
          <w:color w:val="0070C0"/>
          <w:sz w:val="16"/>
          <w:szCs w:val="16"/>
        </w:rPr>
        <w:t>В 1912 г. законным образом купило лицензию на «Таубе» «Акционерное общество Немецкий самолетостроительный завод» (Deutsche Flugzeugwerke GmbH – DFW). Оно производило такие аэропланы для своего Военного министерства в их первозданном виде с деревянным каркасом вплоть до конца 1913 г., но вскоре начало делать и «Штальтаубе» (Stahltaube – стальной голубь) с каркасом фюзеляжа из стальных труб в основном для частников, а с 1913 г. пошел военный Тип А «Штальтаубе» с мотором Мерседес G 4F мощностью 95 л.с. Чертежи на новый фюзеляж делал лично Игнац Этрих.</w:t>
      </w:r>
    </w:p>
    <w:p w14:paraId="534AA6BD" w14:textId="77777777" w:rsidR="00A96210" w:rsidRPr="00B52707" w:rsidRDefault="00A96210" w:rsidP="00A96210">
      <w:pPr>
        <w:jc w:val="both"/>
        <w:rPr>
          <w:color w:val="0070C0"/>
          <w:sz w:val="16"/>
          <w:szCs w:val="16"/>
        </w:rPr>
      </w:pPr>
      <w:r w:rsidRPr="00B52707">
        <w:rPr>
          <w:color w:val="0070C0"/>
          <w:sz w:val="16"/>
          <w:szCs w:val="16"/>
        </w:rPr>
        <w:t>Фирма «Йеннин» (Jeannin Flugzeugbau GmbH) купила лицензию на «Штальтаубе» непосредственно у Этриха, и в 1913 г. продала первые такие аппараты частникам, а затем и немецкой военной авиации – под маркой Йеннин Тип А «Штальтаубе». Эти самолеты получали двигатели Опель Аргус As I в 100 л.с.</w:t>
      </w:r>
    </w:p>
    <w:p w14:paraId="71EB87AF" w14:textId="77777777" w:rsidR="00A96210" w:rsidRPr="00B52707" w:rsidRDefault="00A96210" w:rsidP="00A96210">
      <w:pPr>
        <w:jc w:val="both"/>
        <w:rPr>
          <w:color w:val="0070C0"/>
          <w:sz w:val="16"/>
          <w:szCs w:val="16"/>
        </w:rPr>
      </w:pPr>
      <w:r w:rsidRPr="00B52707">
        <w:rPr>
          <w:color w:val="0070C0"/>
          <w:sz w:val="16"/>
          <w:szCs w:val="16"/>
        </w:rPr>
        <w:t>В том же 1913-м году и тем же порядком выпуск «Таубе» для спортсменов и военных начал завод «Хальберштадт». Сначала он делал их строго по чертежам Этриха, но в декабре 1914 г., уже в войну, построил десять машин с двигателями Мерседес D I и с элеронами на крыле.</w:t>
      </w:r>
    </w:p>
    <w:p w14:paraId="73C13B68" w14:textId="77777777" w:rsidR="00A96210" w:rsidRPr="00B52707" w:rsidRDefault="00A96210" w:rsidP="00A96210">
      <w:pPr>
        <w:jc w:val="both"/>
        <w:rPr>
          <w:color w:val="0070C0"/>
          <w:sz w:val="16"/>
          <w:szCs w:val="16"/>
        </w:rPr>
      </w:pPr>
      <w:r w:rsidRPr="00B52707">
        <w:rPr>
          <w:color w:val="0070C0"/>
          <w:sz w:val="16"/>
          <w:szCs w:val="16"/>
        </w:rPr>
        <w:t>Фирма «Альбатрос» представила свой первый «Таубе» как гоночный, просто скопировав подвернувшийся образец в 1911 г., но дальше сочла за благо свои отношения с Этрихом узаконить, и в 1913 г. начала их крупносерийный выпуск уже в основном для военных. Первые машины не отличались от австрийских ни видом, ни названием, но вскоре в них стали вносить различные усовершенствования – такие изделия именовались «Таубе» Тип ЕЕ или Альбатрос Тип Е, и поставлялись как на колесах, так и на поплавках.</w:t>
      </w:r>
    </w:p>
    <w:p w14:paraId="57110848" w14:textId="77777777" w:rsidR="00A96210" w:rsidRPr="00B52707" w:rsidRDefault="00A96210" w:rsidP="00A96210">
      <w:pPr>
        <w:jc w:val="both"/>
        <w:rPr>
          <w:color w:val="0070C0"/>
          <w:sz w:val="16"/>
          <w:szCs w:val="16"/>
        </w:rPr>
      </w:pPr>
      <w:r w:rsidRPr="00B52707">
        <w:rPr>
          <w:color w:val="0070C0"/>
          <w:sz w:val="16"/>
          <w:szCs w:val="16"/>
        </w:rPr>
        <w:t>Не ясно, на каких основаниях выпускал «Штальтаубе» завод «LFG Роланд» (Luftfahrzeug-Gesellschaft, Roland). Вероятно, как раз он Этриху и не платил – первые аппараты для продажи аэроклубам он просто скопировал с чьей-то готовой машины, а для поставки Военному министерству под маркой LFG Роланд Тип А чертежи получил от немецкого правительства. Эти самолеты комплектовались моторами Опель-Аргус As I и выпускались до конца 1913 г. Так же нет сведений о приобретении лицензии на постройку «Таубе» и фирмой «Каспар» – ее продукция отличалась установкой ротативных моторов Оберурсель U I. Малую серию сдали в 1913 г. военным, машины эти войну застали, но только в тыловых частях.</w:t>
      </w:r>
    </w:p>
    <w:p w14:paraId="4377839A" w14:textId="77777777" w:rsidR="00A96210" w:rsidRPr="00B52707" w:rsidRDefault="00A96210" w:rsidP="00A96210">
      <w:pPr>
        <w:jc w:val="both"/>
        <w:rPr>
          <w:color w:val="0070C0"/>
          <w:sz w:val="16"/>
          <w:szCs w:val="16"/>
        </w:rPr>
      </w:pPr>
      <w:r w:rsidRPr="00B52707">
        <w:rPr>
          <w:color w:val="0070C0"/>
          <w:sz w:val="16"/>
          <w:szCs w:val="16"/>
        </w:rPr>
        <w:t>Вероятно, минуя самого Этриха чертежи «Штальтаубе» и заказ немецкого военного ведомства получил завод, управлявшийся городскими властями Любека. Его «Таубе» сохранили исходный планер машины, но полностью переделали силовую установку и шасси.</w:t>
      </w:r>
    </w:p>
    <w:p w14:paraId="5B0095CB" w14:textId="77777777" w:rsidR="00A96210" w:rsidRPr="00B52707" w:rsidRDefault="00A96210" w:rsidP="00A96210">
      <w:pPr>
        <w:jc w:val="both"/>
        <w:rPr>
          <w:color w:val="0070C0"/>
          <w:sz w:val="16"/>
          <w:szCs w:val="16"/>
        </w:rPr>
      </w:pPr>
      <w:r w:rsidRPr="00B52707">
        <w:rPr>
          <w:color w:val="0070C0"/>
          <w:sz w:val="16"/>
          <w:szCs w:val="16"/>
        </w:rPr>
        <w:t xml:space="preserve">Следующим счастливым приобретателем лицензии на выпуск «Таубе» стала компания «Кондор» (Kondor Flugzeugwerke GmbH). Начав с их поставок индивидуально и аэроклубам под маркой Этрих II, она получила и военный заказ. Эти машины отличались разве что обозначением Кондор Тип K 14 (т.е. Krieg, военный образца 1914 г.) их делали и для немецкой военной авиации, и для испанской, но здесь следует сделать важную оговорку, касающуюся производства самолетов в то время вообще на всех предприятиях. Отступление от чертежей по каким-то существенным причинам (замена материала на имеющийся, упрощение работы, внесение улучшений без фиксации их в документации) и даже просто потому, что рабочий решил в бумаги не смотреть, а делать, как сам знает, стало общепринятым. И потому серийные аэропланы одного типа могли существенно отличаться друг от друга, но выстроить всю линейку таких самочинных модификаций сейчас уже не получится. </w:t>
      </w:r>
      <w:r w:rsidRPr="00B52707">
        <w:rPr>
          <w:color w:val="0070C0"/>
          <w:sz w:val="16"/>
          <w:szCs w:val="16"/>
        </w:rPr>
        <w:lastRenderedPageBreak/>
        <w:t>Однако фирма «Кондор» сделала и «законную» модификацию «Отто Таубе» по имени главного конструктора предприятия Отто Бека, или Тип Н, нарастив размах крыла и удлинив хвостовую балку с оперением. Первый Кондор Тип Н облетали уже в военное время 4 сентября 1914 г. и последние из их малой серии оставались в строю до конца года 1915-го.</w:t>
      </w:r>
    </w:p>
    <w:p w14:paraId="407F6756" w14:textId="77777777" w:rsidR="00A96210" w:rsidRPr="00B52707" w:rsidRDefault="00A96210" w:rsidP="00A96210">
      <w:pPr>
        <w:jc w:val="both"/>
        <w:rPr>
          <w:color w:val="0070C0"/>
          <w:sz w:val="16"/>
          <w:szCs w:val="16"/>
        </w:rPr>
      </w:pPr>
      <w:r w:rsidRPr="00B52707">
        <w:rPr>
          <w:color w:val="0070C0"/>
          <w:sz w:val="16"/>
          <w:szCs w:val="16"/>
        </w:rPr>
        <w:t>Не поскупилась на роялти Этриху и компания «Эйлер». Она тоже начинала со спортивных «Таубе», но уже из первых машин часть пошла в военную летную школу и поступил уже прямой военный заказ на серию таких же аэропланов Эйлер Тип А «Таубе», который исполнили в 1913 г. Сначала они считались разведчиками и бомбардировщиками, но в лету 1914 г. тоже перешли в категорию учебных.</w:t>
      </w:r>
    </w:p>
    <w:p w14:paraId="72AC18DE" w14:textId="77777777" w:rsidR="00A96210" w:rsidRPr="00B52707" w:rsidRDefault="00A96210" w:rsidP="00A96210">
      <w:pPr>
        <w:jc w:val="both"/>
        <w:rPr>
          <w:color w:val="0070C0"/>
          <w:sz w:val="16"/>
          <w:szCs w:val="16"/>
        </w:rPr>
      </w:pPr>
      <w:r w:rsidRPr="00B52707">
        <w:rPr>
          <w:color w:val="0070C0"/>
          <w:sz w:val="16"/>
          <w:szCs w:val="16"/>
        </w:rPr>
        <w:t>В 1914 г. выпуск «Таубе» по лицензии разработчика для немецких Воздушных Войск начала фирма «Германия» и вела его по начало 1915 г. – вероятно, дольше других производителей. Первые самолеты Германия A I не отличались от оригинала, и только последняя серия получила значительные отличия – эти имели самое высокое аэродинамическое качество в своем семействе, но даже в таком виде уже устарели.</w:t>
      </w:r>
    </w:p>
    <w:p w14:paraId="4F42F98E" w14:textId="77777777" w:rsidR="00A96210" w:rsidRPr="00B52707" w:rsidRDefault="00A96210" w:rsidP="00A96210">
      <w:pPr>
        <w:jc w:val="both"/>
        <w:rPr>
          <w:color w:val="0070C0"/>
          <w:sz w:val="16"/>
          <w:szCs w:val="16"/>
        </w:rPr>
      </w:pPr>
      <w:r w:rsidRPr="00B52707">
        <w:rPr>
          <w:color w:val="0070C0"/>
          <w:sz w:val="16"/>
          <w:szCs w:val="16"/>
        </w:rPr>
        <w:t>В самой Австро-Венгрии «Таубе» выпускали заводы «Лёнер» и «Гёдекер» – и тоже по лицензии Этриха и по его чертежам, не особо пытаясь что-то улучшать. Большинство своих «Голубей» они сдали в 1913 г., а всего в Германии сделали 246 «Таубе» всех модификаций, а с австрийскими их построили более пятисот (25724).</w:t>
      </w:r>
    </w:p>
    <w:p w14:paraId="576C8EA2" w14:textId="77777777" w:rsidR="00A96210" w:rsidRPr="00B52707" w:rsidRDefault="00A96210" w:rsidP="00A96210">
      <w:pPr>
        <w:jc w:val="both"/>
        <w:rPr>
          <w:color w:val="0070C0"/>
          <w:sz w:val="16"/>
          <w:szCs w:val="16"/>
        </w:rPr>
      </w:pPr>
    </w:p>
    <w:p w14:paraId="795F0215" w14:textId="37A09823" w:rsidR="00FB1F25" w:rsidRPr="00DE096C" w:rsidRDefault="00FB1F25" w:rsidP="00D45A46">
      <w:pPr>
        <w:jc w:val="both"/>
        <w:rPr>
          <w:rStyle w:val="af"/>
          <w:rFonts w:ascii="Times New Roman" w:hAnsi="Times New Roman" w:cs="Times New Roman"/>
          <w:b w:val="0"/>
          <w:i/>
          <w:iCs/>
          <w:color w:val="002060"/>
          <w:sz w:val="16"/>
          <w:szCs w:val="16"/>
        </w:rPr>
      </w:pPr>
      <w:r w:rsidRPr="00DE096C">
        <w:rPr>
          <w:rStyle w:val="af"/>
          <w:rFonts w:ascii="Times New Roman" w:hAnsi="Times New Roman" w:cs="Times New Roman"/>
          <w:b w:val="0"/>
          <w:i/>
          <w:iCs/>
          <w:color w:val="002060"/>
          <w:sz w:val="16"/>
          <w:szCs w:val="16"/>
        </w:rPr>
        <w:t>Авиация и воздухоплавание за рубежом:</w:t>
      </w:r>
    </w:p>
    <w:p w14:paraId="437E016B" w14:textId="77777777" w:rsidR="00FB1F25" w:rsidRPr="00DE096C" w:rsidRDefault="00FB1F25" w:rsidP="00D45A46">
      <w:pPr>
        <w:jc w:val="both"/>
        <w:rPr>
          <w:rStyle w:val="af"/>
          <w:rFonts w:ascii="Times New Roman" w:hAnsi="Times New Roman" w:cs="Times New Roman"/>
          <w:b w:val="0"/>
          <w:i/>
          <w:iCs/>
          <w:color w:val="002060"/>
          <w:sz w:val="16"/>
          <w:szCs w:val="16"/>
        </w:rPr>
      </w:pPr>
    </w:p>
    <w:p w14:paraId="4FE1BEB7" w14:textId="77777777" w:rsidR="00FB1F25" w:rsidRPr="00DE096C" w:rsidRDefault="00FB1F25" w:rsidP="00D45A46">
      <w:pPr>
        <w:jc w:val="both"/>
        <w:rPr>
          <w:bCs/>
          <w:color w:val="002060"/>
          <w:sz w:val="16"/>
          <w:szCs w:val="16"/>
        </w:rPr>
      </w:pPr>
      <w:r w:rsidRPr="00DE096C">
        <w:rPr>
          <w:bCs/>
          <w:color w:val="002060"/>
          <w:sz w:val="16"/>
          <w:szCs w:val="16"/>
        </w:rPr>
        <w:t>В июне 1914 года Австро-Венгрия проводит военные маневры на своих южных границах, демонстрируя южным славянам свою силу и готовность покончить с их самостоятельностью. Важность маневров подчеркивалась присутствием наследника престола эрцгерцога Франца-Фердинанда, который, кстати говоря, в отличие от отца был настроен довольно лояльно по отношению к славянам.</w:t>
      </w:r>
    </w:p>
    <w:p w14:paraId="225E4E7F" w14:textId="77777777" w:rsidR="00FB1F25" w:rsidRPr="00DE096C" w:rsidRDefault="00FB1F25" w:rsidP="00D45A46">
      <w:pPr>
        <w:jc w:val="both"/>
        <w:rPr>
          <w:bCs/>
          <w:i/>
          <w:color w:val="002060"/>
          <w:sz w:val="16"/>
          <w:szCs w:val="16"/>
        </w:rPr>
      </w:pPr>
    </w:p>
    <w:p w14:paraId="235EA821" w14:textId="77777777" w:rsidR="00541F55" w:rsidRPr="00DE096C" w:rsidRDefault="00541F55" w:rsidP="00D45A46">
      <w:pPr>
        <w:jc w:val="both"/>
        <w:rPr>
          <w:bCs/>
          <w:color w:val="002060"/>
          <w:sz w:val="16"/>
          <w:szCs w:val="16"/>
        </w:rPr>
      </w:pPr>
      <w:r w:rsidRPr="00DE096C">
        <w:rPr>
          <w:bCs/>
          <w:color w:val="002060"/>
          <w:sz w:val="16"/>
          <w:szCs w:val="16"/>
          <w:lang w:bidi="en-US"/>
        </w:rPr>
        <w:t>В июне 1914 г. турецкое военное министерство начало проект по реорганизации турецкой воздушной службы. Были сформулированы планы по созданию трех центров морской авиации с двадцатью пятью морскими офицерами, которые будут обучены немецкими инструкторами в качестве пилотов и наблюдателей (23525).</w:t>
      </w:r>
    </w:p>
    <w:p w14:paraId="0164C718" w14:textId="77777777" w:rsidR="00541F55" w:rsidRPr="00DE096C" w:rsidRDefault="00541F55" w:rsidP="00D45A46">
      <w:pPr>
        <w:jc w:val="both"/>
        <w:rPr>
          <w:bCs/>
          <w:color w:val="002060"/>
          <w:sz w:val="16"/>
          <w:szCs w:val="16"/>
          <w:lang w:bidi="ru-RU"/>
        </w:rPr>
      </w:pPr>
    </w:p>
    <w:p w14:paraId="7ADD35ED" w14:textId="77777777" w:rsidR="00D52F55" w:rsidRPr="00DE096C" w:rsidRDefault="00D52F55" w:rsidP="00D45A46">
      <w:pPr>
        <w:jc w:val="both"/>
        <w:rPr>
          <w:bCs/>
          <w:i/>
          <w:color w:val="002060"/>
          <w:sz w:val="16"/>
          <w:szCs w:val="16"/>
        </w:rPr>
      </w:pPr>
      <w:r w:rsidRPr="00DE096C">
        <w:rPr>
          <w:bCs/>
          <w:i/>
          <w:color w:val="002060"/>
          <w:sz w:val="16"/>
          <w:szCs w:val="16"/>
        </w:rPr>
        <w:t>Самолетостроение:</w:t>
      </w:r>
    </w:p>
    <w:p w14:paraId="136AC6BA" w14:textId="77777777" w:rsidR="00D52F55" w:rsidRPr="00DE096C" w:rsidRDefault="00D52F55" w:rsidP="00D45A46">
      <w:pPr>
        <w:jc w:val="both"/>
        <w:rPr>
          <w:bCs/>
          <w:i/>
          <w:color w:val="002060"/>
          <w:sz w:val="16"/>
          <w:szCs w:val="16"/>
        </w:rPr>
      </w:pPr>
    </w:p>
    <w:p w14:paraId="02568A57" w14:textId="77777777" w:rsidR="00D52F55" w:rsidRPr="00DE096C" w:rsidRDefault="00D52F55" w:rsidP="00D45A46">
      <w:pPr>
        <w:jc w:val="both"/>
        <w:rPr>
          <w:bCs/>
          <w:color w:val="002060"/>
          <w:sz w:val="16"/>
          <w:szCs w:val="16"/>
        </w:rPr>
      </w:pPr>
      <w:r w:rsidRPr="00DE096C">
        <w:rPr>
          <w:bCs/>
          <w:color w:val="002060"/>
          <w:sz w:val="16"/>
          <w:szCs w:val="16"/>
        </w:rPr>
        <w:t>В июне-июле 1914, незадолго до начала войны Лебедев назначил инженера Леопольда Михайловича Шкульника главным конструктором. До этого Л.М.Шкульник служил на немецкой авиацинной фирме AGO. Именно он стал конструктором большинства самолетов завода Лебедева и их модификаций. За серийный выпуск аэропланов иностранной конструкции отвечал инженер Василий Иванович Ребиков. В производстве самолетов участвовали также инженеры Самуил Борисович Гуревич и Леонид Дементьевич Колпаков-Мирошниченко (18256).</w:t>
      </w:r>
    </w:p>
    <w:p w14:paraId="4D05EAFF" w14:textId="77777777" w:rsidR="00D52F55" w:rsidRPr="00DE096C" w:rsidRDefault="00D52F55" w:rsidP="00D45A46">
      <w:pPr>
        <w:jc w:val="both"/>
        <w:rPr>
          <w:bCs/>
          <w:color w:val="002060"/>
          <w:sz w:val="16"/>
          <w:szCs w:val="16"/>
        </w:rPr>
      </w:pPr>
    </w:p>
    <w:p w14:paraId="771505BD" w14:textId="77777777" w:rsidR="00D52F55" w:rsidRPr="00DE096C" w:rsidRDefault="00D52F55" w:rsidP="00D45A46">
      <w:pPr>
        <w:jc w:val="both"/>
        <w:rPr>
          <w:bCs/>
          <w:i/>
          <w:color w:val="002060"/>
          <w:sz w:val="16"/>
          <w:szCs w:val="16"/>
        </w:rPr>
      </w:pPr>
      <w:r w:rsidRPr="00DE096C">
        <w:rPr>
          <w:bCs/>
          <w:i/>
          <w:color w:val="002060"/>
          <w:sz w:val="16"/>
          <w:szCs w:val="16"/>
        </w:rPr>
        <w:t>Другие оборонные отрасли:</w:t>
      </w:r>
    </w:p>
    <w:p w14:paraId="7C8A10FA" w14:textId="77777777" w:rsidR="00D52F55" w:rsidRPr="00DE096C" w:rsidRDefault="00D52F55" w:rsidP="00D45A46">
      <w:pPr>
        <w:jc w:val="both"/>
        <w:rPr>
          <w:bCs/>
          <w:i/>
          <w:color w:val="002060"/>
          <w:sz w:val="16"/>
          <w:szCs w:val="16"/>
        </w:rPr>
      </w:pPr>
    </w:p>
    <w:p w14:paraId="57BA479F" w14:textId="77777777" w:rsidR="00D52F55" w:rsidRPr="00DE096C" w:rsidRDefault="00D52F55" w:rsidP="00D45A46">
      <w:pPr>
        <w:jc w:val="both"/>
        <w:rPr>
          <w:bCs/>
          <w:color w:val="002060"/>
          <w:sz w:val="16"/>
          <w:szCs w:val="16"/>
        </w:rPr>
      </w:pPr>
      <w:r w:rsidRPr="00DE096C">
        <w:rPr>
          <w:bCs/>
          <w:color w:val="002060"/>
          <w:sz w:val="16"/>
          <w:szCs w:val="16"/>
        </w:rPr>
        <w:t>В июне-июле 1914 г. Совещанием по судостроению выдало Радиотелеграфному депо чрезвычайно ответственный наряд на комплексное радиооборудование новейших кораблей двух флотов (Балтийского и Черного морей), строившихся в рамках двух судостроительных программ (в общей сложности 7 линкоров, 12 эсминцев, 2 малых крейсера и 4 подводные лодки) на сумму 167 тыс. руб. (18297).</w:t>
      </w:r>
    </w:p>
    <w:p w14:paraId="205A81E5" w14:textId="416C97AC" w:rsidR="00D52F55" w:rsidRPr="00DE096C" w:rsidRDefault="00D52F55" w:rsidP="00D45A46">
      <w:pPr>
        <w:jc w:val="both"/>
        <w:rPr>
          <w:bCs/>
          <w:color w:val="002060"/>
          <w:sz w:val="16"/>
          <w:szCs w:val="16"/>
        </w:rPr>
      </w:pPr>
    </w:p>
    <w:p w14:paraId="7B4279FC" w14:textId="53E8530D" w:rsidR="001C1E17" w:rsidRPr="00DE096C" w:rsidRDefault="001C1E17" w:rsidP="00D45A46">
      <w:pPr>
        <w:jc w:val="both"/>
        <w:rPr>
          <w:bCs/>
          <w:i/>
          <w:color w:val="002060"/>
          <w:sz w:val="16"/>
          <w:szCs w:val="16"/>
        </w:rPr>
      </w:pPr>
      <w:r w:rsidRPr="00DE096C">
        <w:rPr>
          <w:bCs/>
          <w:i/>
          <w:color w:val="002060"/>
          <w:sz w:val="16"/>
          <w:szCs w:val="16"/>
        </w:rPr>
        <w:t>Воздухоплавание:</w:t>
      </w:r>
    </w:p>
    <w:p w14:paraId="404EC1F7" w14:textId="77777777" w:rsidR="001C1E17" w:rsidRPr="00DE096C" w:rsidRDefault="001C1E17" w:rsidP="00D45A46">
      <w:pPr>
        <w:jc w:val="both"/>
        <w:rPr>
          <w:bCs/>
          <w:i/>
          <w:color w:val="002060"/>
          <w:sz w:val="16"/>
          <w:szCs w:val="16"/>
        </w:rPr>
      </w:pPr>
    </w:p>
    <w:p w14:paraId="336F0701" w14:textId="77777777" w:rsidR="001C1E17" w:rsidRPr="00DE096C" w:rsidRDefault="001C1E17" w:rsidP="00D45A46">
      <w:pPr>
        <w:jc w:val="both"/>
        <w:rPr>
          <w:bCs/>
          <w:color w:val="002060"/>
          <w:sz w:val="16"/>
          <w:szCs w:val="16"/>
        </w:rPr>
      </w:pPr>
      <w:r w:rsidRPr="00DE096C">
        <w:rPr>
          <w:bCs/>
          <w:color w:val="002060"/>
          <w:sz w:val="16"/>
          <w:szCs w:val="16"/>
        </w:rPr>
        <w:t>В начале лета 1914 г. дирижабль оставался в бата</w:t>
      </w:r>
      <w:r w:rsidRPr="00DE096C">
        <w:rPr>
          <w:bCs/>
          <w:color w:val="002060"/>
          <w:sz w:val="16"/>
          <w:szCs w:val="16"/>
        </w:rPr>
        <w:softHyphen/>
        <w:t>льоне ОВШ, когда поступило распоряжение срочно подготовить его перелёт из С.-Петербурга во Вла</w:t>
      </w:r>
      <w:r w:rsidRPr="00DE096C">
        <w:rPr>
          <w:bCs/>
          <w:color w:val="002060"/>
          <w:sz w:val="16"/>
          <w:szCs w:val="16"/>
        </w:rPr>
        <w:softHyphen/>
        <w:t>дивосток. Командиром «Альбатроса» назначили Р.Л. Нижевского, впоследствии вспоминавшего:</w:t>
      </w:r>
    </w:p>
    <w:p w14:paraId="456C7C11" w14:textId="77777777" w:rsidR="001C1E17" w:rsidRPr="00DE096C" w:rsidRDefault="001C1E17" w:rsidP="00D45A46">
      <w:pPr>
        <w:pStyle w:val="61"/>
        <w:shd w:val="clear" w:color="auto" w:fill="auto"/>
        <w:spacing w:before="0" w:line="240" w:lineRule="auto"/>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В первый момент это назначение, сулившее мне во время такого большого перелёта много приклю</w:t>
      </w:r>
      <w:r w:rsidRPr="00DE096C">
        <w:rPr>
          <w:rFonts w:ascii="Times New Roman" w:hAnsi="Times New Roman" w:cs="Times New Roman"/>
          <w:bCs/>
          <w:color w:val="002060"/>
          <w:sz w:val="16"/>
          <w:szCs w:val="16"/>
        </w:rPr>
        <w:softHyphen/>
        <w:t>чений, меня обрадовало, но хорошо всё обдумав, я пришёл к выводу, что совершить этот рейд мне бу</w:t>
      </w:r>
      <w:r w:rsidRPr="00DE096C">
        <w:rPr>
          <w:rFonts w:ascii="Times New Roman" w:hAnsi="Times New Roman" w:cs="Times New Roman"/>
          <w:bCs/>
          <w:color w:val="002060"/>
          <w:sz w:val="16"/>
          <w:szCs w:val="16"/>
        </w:rPr>
        <w:softHyphen/>
        <w:t>дет очень трудно, чтобы не сказать — невозможно. Главным препятствием, помимо расстояния больше чём в 6.000 вёрст, я считал перелёт через Уральский хребет и горные кряжи за озером Байкал со свойствен</w:t>
      </w:r>
      <w:r w:rsidRPr="00DE096C">
        <w:rPr>
          <w:rFonts w:ascii="Times New Roman" w:hAnsi="Times New Roman" w:cs="Times New Roman"/>
          <w:bCs/>
          <w:color w:val="002060"/>
          <w:sz w:val="16"/>
          <w:szCs w:val="16"/>
        </w:rPr>
        <w:softHyphen/>
        <w:t>ными им неожиданными переменами погоды и даже бурями. Но «приказ есть приказ», делать было нечего, и приготовления к полёту начались с того, что по ли</w:t>
      </w:r>
      <w:r w:rsidRPr="00DE096C">
        <w:rPr>
          <w:rFonts w:ascii="Times New Roman" w:hAnsi="Times New Roman" w:cs="Times New Roman"/>
          <w:bCs/>
          <w:color w:val="002060"/>
          <w:sz w:val="16"/>
          <w:szCs w:val="16"/>
        </w:rPr>
        <w:softHyphen/>
        <w:t>нии железной дороги были намечены места спусков с промежутками между ними в 200-250 вёрст. Во все эти пункты должны были быть отправлены неболь</w:t>
      </w:r>
      <w:r w:rsidRPr="00DE096C">
        <w:rPr>
          <w:rFonts w:ascii="Times New Roman" w:hAnsi="Times New Roman" w:cs="Times New Roman"/>
          <w:bCs/>
          <w:color w:val="002060"/>
          <w:sz w:val="16"/>
          <w:szCs w:val="16"/>
        </w:rPr>
        <w:softHyphen/>
        <w:t>шие команды солдат, снабжённые запасом бутылей со сжатым водородом, бензина, масла и некоторым инвентарём и материалом для мелкого ремонта. Такие команды были уже посланы до г. Омска включитель</w:t>
      </w:r>
      <w:r w:rsidRPr="00DE096C">
        <w:rPr>
          <w:rFonts w:ascii="Times New Roman" w:hAnsi="Times New Roman" w:cs="Times New Roman"/>
          <w:bCs/>
          <w:color w:val="002060"/>
          <w:sz w:val="16"/>
          <w:szCs w:val="16"/>
        </w:rPr>
        <w:softHyphen/>
        <w:t>но, когда началась война, вся эта затея, надо сказать — недостаточно продуманная, была оставлена37.</w:t>
      </w:r>
    </w:p>
    <w:p w14:paraId="6DE075AF" w14:textId="77777777" w:rsidR="001C1E17" w:rsidRPr="00DE096C" w:rsidRDefault="001C1E17" w:rsidP="00D45A46">
      <w:pPr>
        <w:jc w:val="both"/>
        <w:rPr>
          <w:bCs/>
          <w:color w:val="002060"/>
          <w:sz w:val="16"/>
          <w:szCs w:val="16"/>
        </w:rPr>
      </w:pPr>
      <w:r w:rsidRPr="00DE096C">
        <w:rPr>
          <w:bCs/>
          <w:color w:val="002060"/>
          <w:sz w:val="16"/>
          <w:szCs w:val="16"/>
        </w:rPr>
        <w:t>(29120).</w:t>
      </w:r>
    </w:p>
    <w:p w14:paraId="570FAEC9" w14:textId="77777777" w:rsidR="001C1E17" w:rsidRPr="00DE096C" w:rsidRDefault="001C1E17" w:rsidP="00D45A46">
      <w:pPr>
        <w:shd w:val="clear" w:color="auto" w:fill="FFFFFF"/>
        <w:jc w:val="both"/>
        <w:rPr>
          <w:bCs/>
          <w:color w:val="002060"/>
          <w:sz w:val="16"/>
          <w:szCs w:val="16"/>
        </w:rPr>
      </w:pPr>
    </w:p>
    <w:p w14:paraId="1126C944" w14:textId="77777777" w:rsidR="00D52F55" w:rsidRPr="00DE096C" w:rsidRDefault="00D52F55" w:rsidP="00D45A46">
      <w:pPr>
        <w:shd w:val="clear" w:color="auto" w:fill="FFFFFF"/>
        <w:jc w:val="both"/>
        <w:rPr>
          <w:bCs/>
          <w:i/>
          <w:color w:val="002060"/>
          <w:sz w:val="16"/>
          <w:szCs w:val="16"/>
        </w:rPr>
      </w:pPr>
      <w:r w:rsidRPr="00DE096C">
        <w:rPr>
          <w:bCs/>
          <w:i/>
          <w:color w:val="002060"/>
          <w:sz w:val="16"/>
          <w:szCs w:val="16"/>
        </w:rPr>
        <w:t>Авиация:</w:t>
      </w:r>
    </w:p>
    <w:p w14:paraId="1803E702" w14:textId="77777777" w:rsidR="00D52F55" w:rsidRPr="00DE096C" w:rsidRDefault="00D52F55" w:rsidP="00D45A46">
      <w:pPr>
        <w:shd w:val="clear" w:color="auto" w:fill="FFFFFF"/>
        <w:jc w:val="both"/>
        <w:rPr>
          <w:bCs/>
          <w:i/>
          <w:color w:val="002060"/>
          <w:sz w:val="16"/>
          <w:szCs w:val="16"/>
        </w:rPr>
      </w:pPr>
    </w:p>
    <w:p w14:paraId="68C1FF22" w14:textId="77777777" w:rsidR="00D52F55" w:rsidRPr="00DE096C" w:rsidRDefault="00D52F55" w:rsidP="00D45A46">
      <w:pPr>
        <w:jc w:val="both"/>
        <w:rPr>
          <w:bCs/>
          <w:color w:val="002060"/>
          <w:sz w:val="16"/>
          <w:szCs w:val="16"/>
        </w:rPr>
      </w:pPr>
      <w:r w:rsidRPr="00DE096C">
        <w:rPr>
          <w:bCs/>
          <w:color w:val="002060"/>
          <w:sz w:val="16"/>
          <w:szCs w:val="16"/>
        </w:rPr>
        <w:t>В начале лета 1914 г. появились следующие авиачасти: 4-я авиарота (Лида), при ней: 2, 3, 4, 6, 10, 20, 21-й корпусные авиаотряды; 5-я авиарота (Бронницы, под Москвой), при ней: авиаотряд Гренадерского корпуса, 13 и 17-й корпусные авиаотряды; 6-я авиарота (Одесса), при ней: 7, 8, 24, 25-й корпусные авиаотряды; 5, 16, 22-й корпусные отряды (вошли в состав 1-й авиароты); 4-й Сибирский крепостной авиаотряд (с. Спасское); три крепостные авиаотряда в Гродно, Севастополе и Владивостоке. Формирование авиачастей вновь сопровождалось организационными трудностями. Дислокация авиаотрядов часто не соответствовала дислокации штабов корпусов. Штабы округов не уделяли должного внимания боевой подготовке авиаотрядов. Так, лишь по просьбе летчиков 4-й авиароты начальник штаба Виленского ВО посетил аэродром в г. Лида, где формировались семь авиаотрядов. Вмешательство этого начальника помогло приступить к специальной подготовке. Летчики получили возможность тренироваться над Двинским полигоном. Однако появление нового средства войны – самолета не было в должной мере оценено командованием армии перед войной. Таким образом, к началу войны, организационное строительство строевой авиации реализовалось во вновь созданную организационную структуру сухопутной военной авиации, количество авиачастей в которой позволяло обеспечить большую часть корпусов средствами воздушной разведки. Появилась также крепостная авиация в виде крепостных авиаотрядов, приданных по одному каждой крепости. Всего в армии в июле 1914 г. насчитывалось 39 авиаотрядов</w:t>
      </w:r>
    </w:p>
    <w:p w14:paraId="75659929" w14:textId="77777777" w:rsidR="00D52F55" w:rsidRPr="00DE096C" w:rsidRDefault="00D52F55" w:rsidP="00D45A46">
      <w:pPr>
        <w:jc w:val="both"/>
        <w:rPr>
          <w:bCs/>
          <w:color w:val="002060"/>
          <w:sz w:val="16"/>
          <w:szCs w:val="16"/>
        </w:rPr>
      </w:pPr>
      <w:r w:rsidRPr="00DE096C">
        <w:rPr>
          <w:bCs/>
          <w:color w:val="002060"/>
          <w:sz w:val="16"/>
          <w:szCs w:val="16"/>
        </w:rPr>
        <w:t>(РГВИА. Ф. 802. Оп. 4. Д. 2115. Л. 135.</w:t>
      </w:r>
    </w:p>
    <w:p w14:paraId="55B1A39E" w14:textId="77777777" w:rsidR="00D52F55" w:rsidRPr="00DE096C" w:rsidRDefault="00D52F55" w:rsidP="00D45A46">
      <w:pPr>
        <w:jc w:val="both"/>
        <w:rPr>
          <w:bCs/>
          <w:color w:val="002060"/>
          <w:sz w:val="16"/>
          <w:szCs w:val="16"/>
        </w:rPr>
      </w:pPr>
      <w:r w:rsidRPr="00DE096C">
        <w:rPr>
          <w:bCs/>
          <w:color w:val="002060"/>
          <w:sz w:val="16"/>
          <w:szCs w:val="16"/>
        </w:rPr>
        <w:t>Александров Е.В. Краткий исторический очерк развития инженерных войск русской армии. М. – 1939. – С. 39.</w:t>
      </w:r>
    </w:p>
    <w:p w14:paraId="1ADEC9A1" w14:textId="77777777" w:rsidR="00D52F55" w:rsidRPr="00DE096C" w:rsidRDefault="00D52F55" w:rsidP="00D45A46">
      <w:pPr>
        <w:jc w:val="both"/>
        <w:rPr>
          <w:bCs/>
          <w:color w:val="002060"/>
          <w:sz w:val="16"/>
          <w:szCs w:val="16"/>
        </w:rPr>
      </w:pPr>
      <w:r w:rsidRPr="00DE096C">
        <w:rPr>
          <w:bCs/>
          <w:color w:val="002060"/>
          <w:sz w:val="16"/>
          <w:szCs w:val="16"/>
        </w:rPr>
        <w:t>Военная энциклопедия. Т.1. – СПб., 1911. – С. 150. 152) (19566).</w:t>
      </w:r>
    </w:p>
    <w:p w14:paraId="6FE9E82C" w14:textId="0A45CE7D" w:rsidR="00D52F55" w:rsidRPr="00DE096C" w:rsidRDefault="00D52F55" w:rsidP="00D45A46">
      <w:pPr>
        <w:jc w:val="both"/>
        <w:rPr>
          <w:bCs/>
          <w:color w:val="002060"/>
          <w:sz w:val="16"/>
          <w:szCs w:val="16"/>
        </w:rPr>
      </w:pPr>
    </w:p>
    <w:p w14:paraId="330F481C" w14:textId="4E4D550C" w:rsidR="00D31C30" w:rsidRPr="00DE096C" w:rsidRDefault="00D31C30" w:rsidP="00D45A46">
      <w:pPr>
        <w:jc w:val="both"/>
        <w:rPr>
          <w:bCs/>
          <w:i/>
          <w:iCs/>
          <w:color w:val="002060"/>
          <w:sz w:val="16"/>
          <w:szCs w:val="16"/>
        </w:rPr>
      </w:pPr>
      <w:r w:rsidRPr="00DE096C">
        <w:rPr>
          <w:bCs/>
          <w:i/>
          <w:iCs/>
          <w:color w:val="002060"/>
          <w:sz w:val="16"/>
          <w:szCs w:val="16"/>
        </w:rPr>
        <w:t>Морская авиация:</w:t>
      </w:r>
    </w:p>
    <w:p w14:paraId="0E973F8E" w14:textId="77777777" w:rsidR="00D31C30" w:rsidRPr="00DE096C" w:rsidRDefault="00D31C30" w:rsidP="00D45A46">
      <w:pPr>
        <w:jc w:val="both"/>
        <w:rPr>
          <w:bCs/>
          <w:i/>
          <w:iCs/>
          <w:color w:val="002060"/>
          <w:sz w:val="16"/>
          <w:szCs w:val="16"/>
        </w:rPr>
      </w:pPr>
    </w:p>
    <w:p w14:paraId="7CDB3C2E" w14:textId="77777777" w:rsidR="00D31C30" w:rsidRPr="00DE096C" w:rsidRDefault="00D31C30" w:rsidP="00D45A46">
      <w:pPr>
        <w:jc w:val="both"/>
        <w:rPr>
          <w:bCs/>
          <w:color w:val="002060"/>
          <w:sz w:val="16"/>
          <w:szCs w:val="16"/>
        </w:rPr>
      </w:pPr>
      <w:r w:rsidRPr="00DE096C">
        <w:rPr>
          <w:bCs/>
          <w:color w:val="002060"/>
          <w:sz w:val="16"/>
          <w:szCs w:val="16"/>
        </w:rPr>
        <w:t xml:space="preserve">В начале лета 1914 г. в ходе мобилизации июня минная подвеска с кораблей «Гранд» была снята и заменены на сооруженную в севастопольских мастерских импровизированную кассету для сброса бомб (12284). </w:t>
      </w:r>
    </w:p>
    <w:p w14:paraId="01A0A0CF" w14:textId="77777777" w:rsidR="00D31C30" w:rsidRPr="00DE096C" w:rsidRDefault="00D31C30" w:rsidP="00D45A46">
      <w:pPr>
        <w:jc w:val="both"/>
        <w:rPr>
          <w:bCs/>
          <w:color w:val="002060"/>
          <w:sz w:val="16"/>
          <w:szCs w:val="16"/>
        </w:rPr>
      </w:pPr>
    </w:p>
    <w:p w14:paraId="7B7CD325"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Военное воздухоплавание:</w:t>
      </w:r>
    </w:p>
    <w:p w14:paraId="7EBD39AF" w14:textId="77777777" w:rsidR="00B67D7C" w:rsidRPr="00DE096C" w:rsidRDefault="00B67D7C" w:rsidP="00D45A46">
      <w:pPr>
        <w:shd w:val="clear" w:color="auto" w:fill="FFFFFF"/>
        <w:jc w:val="both"/>
        <w:rPr>
          <w:bCs/>
          <w:i/>
          <w:color w:val="002060"/>
          <w:sz w:val="16"/>
          <w:szCs w:val="16"/>
        </w:rPr>
      </w:pPr>
    </w:p>
    <w:p w14:paraId="3C5AE988" w14:textId="77777777" w:rsidR="00B67D7C" w:rsidRPr="00DE096C" w:rsidRDefault="00B67D7C" w:rsidP="00D45A46">
      <w:pPr>
        <w:jc w:val="both"/>
        <w:rPr>
          <w:bCs/>
          <w:color w:val="002060"/>
          <w:sz w:val="16"/>
          <w:szCs w:val="16"/>
        </w:rPr>
      </w:pPr>
      <w:r w:rsidRPr="00DE096C">
        <w:rPr>
          <w:bCs/>
          <w:color w:val="002060"/>
          <w:sz w:val="16"/>
          <w:szCs w:val="16"/>
        </w:rPr>
        <w:t>В начале лета 1914 года «Альбатрос» находился в батальоне Воздухоплавательной школы и выполнял полеты с целью тренировок экипажей. В мае двигатели «Клеман-Байяр», которые полностью выработали свой ресурс, заменили на более надежные «Дансет-Жиле». «Альбатрос» ожидал отправки на Дальний Восток, где для [384] него строился эллинг, но война помешала осуществлению этого плана: с ее началом было принято решение отправить дирижабль на фронт. Командиром корабля стал Б. В. Голубов, который в спешном порядке набрал из добровольцев команду (11324).</w:t>
      </w:r>
    </w:p>
    <w:p w14:paraId="06BDE319" w14:textId="77777777" w:rsidR="00B67D7C" w:rsidRPr="00DE096C" w:rsidRDefault="00B67D7C" w:rsidP="00D45A46">
      <w:pPr>
        <w:shd w:val="clear" w:color="auto" w:fill="FFFFFF"/>
        <w:jc w:val="both"/>
        <w:rPr>
          <w:bCs/>
          <w:i/>
          <w:color w:val="002060"/>
          <w:sz w:val="16"/>
          <w:szCs w:val="16"/>
        </w:rPr>
      </w:pPr>
    </w:p>
    <w:p w14:paraId="3DBDDDA5"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37ECD92F" w14:textId="77777777" w:rsidR="00B67D7C" w:rsidRPr="00DE096C" w:rsidRDefault="00B67D7C" w:rsidP="00D45A46">
      <w:pPr>
        <w:shd w:val="clear" w:color="auto" w:fill="FFFFFF"/>
        <w:jc w:val="both"/>
        <w:rPr>
          <w:bCs/>
          <w:i/>
          <w:color w:val="002060"/>
          <w:sz w:val="16"/>
          <w:szCs w:val="16"/>
        </w:rPr>
      </w:pPr>
    </w:p>
    <w:p w14:paraId="34D2C1C6" w14:textId="7686736F" w:rsidR="008515A8" w:rsidRPr="00DE096C" w:rsidRDefault="008515A8" w:rsidP="00D45A46">
      <w:pPr>
        <w:pStyle w:val="23"/>
        <w:shd w:val="clear" w:color="auto" w:fill="auto"/>
        <w:spacing w:line="240" w:lineRule="auto"/>
        <w:ind w:firstLine="0"/>
        <w:jc w:val="both"/>
        <w:rPr>
          <w:bCs/>
          <w:color w:val="002060"/>
          <w:sz w:val="16"/>
          <w:szCs w:val="16"/>
        </w:rPr>
      </w:pPr>
      <w:r w:rsidRPr="00DE096C">
        <w:rPr>
          <w:bCs/>
          <w:color w:val="002060"/>
          <w:sz w:val="16"/>
          <w:szCs w:val="16"/>
        </w:rPr>
        <w:t>Летом 1914 г. на шестом этаже обычного жилого дома, в квартире</w:t>
      </w:r>
      <w:r w:rsidR="00F478FD" w:rsidRPr="00DE096C">
        <w:rPr>
          <w:bCs/>
          <w:color w:val="002060"/>
          <w:sz w:val="16"/>
          <w:szCs w:val="16"/>
        </w:rPr>
        <w:t>,</w:t>
      </w:r>
      <w:r w:rsidRPr="00DE096C">
        <w:rPr>
          <w:bCs/>
          <w:color w:val="002060"/>
          <w:sz w:val="16"/>
          <w:szCs w:val="16"/>
        </w:rPr>
        <w:t xml:space="preserve"> которую, к ужасу домовладельца, которую Пороховщиков превратил в филиал своей рижской мастерской был построен очередной самолет конструкции Пороховщикова № 2 «Би-Кок», или «Двухвостка». Самолет имел на редкость ори</w:t>
      </w:r>
      <w:r w:rsidRPr="00DE096C">
        <w:rPr>
          <w:bCs/>
          <w:color w:val="002060"/>
          <w:sz w:val="16"/>
          <w:szCs w:val="16"/>
        </w:rPr>
        <w:softHyphen/>
        <w:t>гинальный внешний вид и был прообразом всех последующих аппаратов двух-балочной схемы. Испытывать его никто не решался, да и не всякому конст</w:t>
      </w:r>
      <w:r w:rsidRPr="00DE096C">
        <w:rPr>
          <w:bCs/>
          <w:color w:val="002060"/>
          <w:sz w:val="16"/>
          <w:szCs w:val="16"/>
        </w:rPr>
        <w:softHyphen/>
        <w:t>руктор это доверил бы. Сам Пороховщиков в суете дел научиться летать так и не удосужился (15740).</w:t>
      </w:r>
    </w:p>
    <w:p w14:paraId="1460A445" w14:textId="77777777" w:rsidR="008515A8" w:rsidRPr="00DE096C" w:rsidRDefault="008515A8" w:rsidP="00D45A46">
      <w:pPr>
        <w:pStyle w:val="23"/>
        <w:shd w:val="clear" w:color="auto" w:fill="auto"/>
        <w:spacing w:line="240" w:lineRule="auto"/>
        <w:ind w:firstLine="0"/>
        <w:jc w:val="both"/>
        <w:rPr>
          <w:bCs/>
          <w:color w:val="002060"/>
          <w:sz w:val="16"/>
          <w:szCs w:val="16"/>
        </w:rPr>
      </w:pPr>
    </w:p>
    <w:p w14:paraId="5A8AAEA7" w14:textId="77777777" w:rsidR="008515A8" w:rsidRPr="00DE096C" w:rsidRDefault="008515A8" w:rsidP="00D45A46">
      <w:pPr>
        <w:pStyle w:val="ae"/>
        <w:spacing w:before="0" w:beforeAutospacing="0" w:after="0" w:afterAutospacing="0"/>
        <w:jc w:val="both"/>
        <w:rPr>
          <w:bCs/>
          <w:color w:val="002060"/>
          <w:sz w:val="16"/>
          <w:szCs w:val="16"/>
        </w:rPr>
      </w:pPr>
      <w:r w:rsidRPr="00DE096C">
        <w:rPr>
          <w:bCs/>
          <w:color w:val="002060"/>
          <w:sz w:val="16"/>
          <w:szCs w:val="16"/>
        </w:rPr>
        <w:t>Летом 1914 года финансировать постройку самолета Святогор взялся богатый польский помещик, член Всероссийского аэроклуба М.Млынский, который выделил для этих целей необходимые 100 тыс. рублей. Заказ на постройку «Святогора» достался </w:t>
      </w:r>
      <w:hyperlink r:id="rId29" w:history="1">
        <w:r w:rsidRPr="00DE096C">
          <w:rPr>
            <w:rStyle w:val="af0"/>
            <w:bCs/>
            <w:color w:val="002060"/>
            <w:sz w:val="16"/>
            <w:szCs w:val="16"/>
            <w:u w:val="none"/>
          </w:rPr>
          <w:t>Акционерному обществу В.А.Лебедева</w:t>
        </w:r>
      </w:hyperlink>
      <w:r w:rsidRPr="00DE096C">
        <w:rPr>
          <w:bCs/>
          <w:color w:val="002060"/>
          <w:sz w:val="16"/>
          <w:szCs w:val="16"/>
        </w:rPr>
        <w:t xml:space="preserve"> (18582).</w:t>
      </w:r>
    </w:p>
    <w:p w14:paraId="155B105E" w14:textId="77777777" w:rsidR="008515A8" w:rsidRPr="00DE096C" w:rsidRDefault="008515A8" w:rsidP="00D45A46">
      <w:pPr>
        <w:pStyle w:val="ae"/>
        <w:spacing w:before="0" w:beforeAutospacing="0" w:after="0" w:afterAutospacing="0"/>
        <w:jc w:val="both"/>
        <w:rPr>
          <w:bCs/>
          <w:color w:val="002060"/>
          <w:sz w:val="16"/>
          <w:szCs w:val="16"/>
        </w:rPr>
      </w:pPr>
    </w:p>
    <w:p w14:paraId="013E8B8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Летом 1914 г. Слесарев при участии своего брата Ивана Адриа</w:t>
      </w:r>
      <w:r w:rsidRPr="00DE096C">
        <w:rPr>
          <w:bCs/>
          <w:color w:val="002060"/>
          <w:sz w:val="16"/>
          <w:szCs w:val="16"/>
        </w:rPr>
        <w:softHyphen/>
        <w:t>новича, тоже окончившего ИТУ, разрабатывает проект своего тяже</w:t>
      </w:r>
      <w:r w:rsidRPr="00DE096C">
        <w:rPr>
          <w:bCs/>
          <w:color w:val="002060"/>
          <w:sz w:val="16"/>
          <w:szCs w:val="16"/>
        </w:rPr>
        <w:softHyphen/>
        <w:t>лого самолета, оставляя в нем пользовавшуюся в то время попу</w:t>
      </w:r>
      <w:r w:rsidRPr="00DE096C">
        <w:rPr>
          <w:bCs/>
          <w:color w:val="002060"/>
          <w:sz w:val="16"/>
          <w:szCs w:val="16"/>
        </w:rPr>
        <w:softHyphen/>
        <w:t>лярностью идею медленно вращающихся винтов большого диаметра. Во всем остальном Василий Адрианович, принимавший участие в раз</w:t>
      </w:r>
      <w:r w:rsidRPr="00DE096C">
        <w:rPr>
          <w:bCs/>
          <w:color w:val="002060"/>
          <w:sz w:val="16"/>
          <w:szCs w:val="16"/>
        </w:rPr>
        <w:softHyphen/>
        <w:t>работке тяжелых самолетов И.И.Сикорского, сумел создать по срав</w:t>
      </w:r>
      <w:r w:rsidRPr="00DE096C">
        <w:rPr>
          <w:bCs/>
          <w:color w:val="002060"/>
          <w:sz w:val="16"/>
          <w:szCs w:val="16"/>
        </w:rPr>
        <w:softHyphen/>
        <w:t>нению с "Кеннеди" № 2 гораздо более рациональную, аэродинамичес</w:t>
      </w:r>
      <w:r w:rsidRPr="00DE096C">
        <w:rPr>
          <w:bCs/>
          <w:color w:val="002060"/>
          <w:sz w:val="16"/>
          <w:szCs w:val="16"/>
        </w:rPr>
        <w:softHyphen/>
        <w:t>ки более совершенную конструкцию. 30 сентября он представил свой проект в Отдел воздушного флота (ОВФ) при Особом комитете по усилению флота на добровольные пожертвования /ЦГВИА, ф. 802, оп. 4, д. 2223, л. 193/. (Этот Комитет, образованный после разгрома русского флота при Цусиме, оказал существенную материальную помощь в строительстве новых кораблей, а затем, с образованием в 1910 г. ОВФ, и в развитии авиации). В своем заявлении в ОВФ В.А.Слесарев указывал, что подробный аэродинамический расчет такого же большого самолета, выполненный им для Ч.М.Кеннеди, весной был рассмотрен специаль</w:t>
      </w:r>
      <w:r w:rsidRPr="00DE096C">
        <w:rPr>
          <w:bCs/>
          <w:color w:val="002060"/>
          <w:sz w:val="16"/>
          <w:szCs w:val="16"/>
        </w:rPr>
        <w:softHyphen/>
        <w:t>ной комиссией и одобрен ГВТУ и Военным Советом (11069).</w:t>
      </w:r>
    </w:p>
    <w:p w14:paraId="577B0092" w14:textId="77777777" w:rsidR="00B67D7C" w:rsidRPr="00DE096C" w:rsidRDefault="00B67D7C" w:rsidP="00D45A46">
      <w:pPr>
        <w:shd w:val="clear" w:color="auto" w:fill="FFFFFF"/>
        <w:jc w:val="both"/>
        <w:rPr>
          <w:bCs/>
          <w:color w:val="002060"/>
          <w:sz w:val="16"/>
          <w:szCs w:val="16"/>
        </w:rPr>
      </w:pPr>
    </w:p>
    <w:p w14:paraId="62D74A0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Летом 1914, реально оценивая обстановку, Морской генеральный штаб вы</w:t>
      </w:r>
      <w:r w:rsidRPr="00DE096C">
        <w:rPr>
          <w:bCs/>
          <w:color w:val="002060"/>
          <w:sz w:val="16"/>
          <w:szCs w:val="16"/>
        </w:rPr>
        <w:softHyphen/>
        <w:t>шел- с ходатайством о закупке за границей партий самолетов анг</w:t>
      </w:r>
      <w:r w:rsidRPr="00DE096C">
        <w:rPr>
          <w:bCs/>
          <w:color w:val="002060"/>
          <w:sz w:val="16"/>
          <w:szCs w:val="16"/>
        </w:rPr>
        <w:softHyphen/>
        <w:t>лийского и французского производства. С учетом пожеланий авиа</w:t>
      </w:r>
      <w:r w:rsidRPr="00DE096C">
        <w:rPr>
          <w:bCs/>
          <w:color w:val="002060"/>
          <w:sz w:val="16"/>
          <w:szCs w:val="16"/>
        </w:rPr>
        <w:softHyphen/>
        <w:t>ционного комитета Балтийского флота предполагалось, что это будут гидросамолеты «Шорт», «Авро», «Виккерс», а также «Моран Сольнье» и «Кодрон».</w:t>
      </w:r>
    </w:p>
    <w:p w14:paraId="783FF23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Командируемые за границу старший лейтенант Щербачев и инженер Шишков получили самые подробные инструкции отно</w:t>
      </w:r>
      <w:r w:rsidRPr="00DE096C">
        <w:rPr>
          <w:bCs/>
          <w:color w:val="002060"/>
          <w:sz w:val="16"/>
          <w:szCs w:val="16"/>
        </w:rPr>
        <w:softHyphen/>
        <w:t>сительно методики подхода к оценке и выбору летательного аппарата, в частности такое категорическое указание: «Все аэропланы должны быть опробованы вами в полете, и только после этого могут быть заключаемы с фирмами контракты». Учитывая предшествующий опыт, когда фирмами предъявля</w:t>
      </w:r>
      <w:r w:rsidRPr="00DE096C">
        <w:rPr>
          <w:bCs/>
          <w:color w:val="002060"/>
          <w:sz w:val="16"/>
          <w:szCs w:val="16"/>
        </w:rPr>
        <w:softHyphen/>
        <w:t>лись претензии по поводу незаконного копирования приобретае</w:t>
      </w:r>
      <w:r w:rsidRPr="00DE096C">
        <w:rPr>
          <w:bCs/>
          <w:color w:val="002060"/>
          <w:sz w:val="16"/>
          <w:szCs w:val="16"/>
        </w:rPr>
        <w:softHyphen/>
        <w:t>мых образцов техники, в предписание включили специальный пункт: «При каждом аппарате надлежит требовать подробную опись отдельных частей с их расценкой и по возможности рабо</w:t>
      </w:r>
      <w:r w:rsidRPr="00DE096C">
        <w:rPr>
          <w:bCs/>
          <w:color w:val="002060"/>
          <w:sz w:val="16"/>
          <w:szCs w:val="16"/>
        </w:rPr>
        <w:softHyphen/>
        <w:t>чие чертежи для облегчения ремонта, при этом можно дать обязательство фирмам, что таковые чертежи не будут употреб</w:t>
      </w:r>
      <w:r w:rsidRPr="00DE096C">
        <w:rPr>
          <w:bCs/>
          <w:color w:val="002060"/>
          <w:sz w:val="16"/>
          <w:szCs w:val="16"/>
        </w:rPr>
        <w:softHyphen/>
        <w:t>ляться для постройки аппаратов».</w:t>
      </w:r>
    </w:p>
    <w:p w14:paraId="483B211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Из ранее сказанного следует, что сотрудничество с РБВЗ прак</w:t>
      </w:r>
      <w:r w:rsidRPr="00DE096C">
        <w:rPr>
          <w:bCs/>
          <w:color w:val="002060"/>
          <w:sz w:val="16"/>
          <w:szCs w:val="16"/>
        </w:rPr>
        <w:softHyphen/>
        <w:t>тически ничего флоту не дало — полученные пять самолетов С-10 «Гидро» оказались недоработанными и к 1916 г. в боевом составе уже не числились. Впоследствии И.И. Сикорский пытался обору</w:t>
      </w:r>
      <w:r w:rsidRPr="00DE096C">
        <w:rPr>
          <w:bCs/>
          <w:color w:val="002060"/>
          <w:sz w:val="16"/>
          <w:szCs w:val="16"/>
        </w:rPr>
        <w:softHyphen/>
        <w:t>довать поплавками самолеты С-16 и С-20 (1085).</w:t>
      </w:r>
    </w:p>
    <w:p w14:paraId="1F720AD0" w14:textId="77777777" w:rsidR="00B67D7C" w:rsidRPr="00DE096C" w:rsidRDefault="00B67D7C" w:rsidP="00D45A46">
      <w:pPr>
        <w:shd w:val="clear" w:color="auto" w:fill="FFFFFF"/>
        <w:jc w:val="both"/>
        <w:rPr>
          <w:bCs/>
          <w:color w:val="002060"/>
          <w:sz w:val="16"/>
          <w:szCs w:val="16"/>
        </w:rPr>
      </w:pPr>
    </w:p>
    <w:p w14:paraId="210A8805" w14:textId="77777777" w:rsidR="00541F55" w:rsidRPr="00DE096C" w:rsidRDefault="00541F55" w:rsidP="00D45A46">
      <w:pPr>
        <w:jc w:val="both"/>
        <w:rPr>
          <w:bCs/>
          <w:color w:val="002060"/>
          <w:sz w:val="16"/>
          <w:szCs w:val="16"/>
        </w:rPr>
      </w:pPr>
      <w:r w:rsidRPr="00DE096C">
        <w:rPr>
          <w:bCs/>
          <w:color w:val="002060"/>
          <w:sz w:val="16"/>
          <w:szCs w:val="16"/>
        </w:rPr>
        <w:t>Летом 1914 с «Дуксом» был подписан контракт, в соответствии с которым к 15 сентября 1914 г. «Дуксу» поручалось изготовить еще 10 «Фарман-22 бис» по цене 12 тыс. руб. и 23 самолета Моран-Солнье «Парасоль» по 10200 руб. за экземпляр. (Модель «Парасоль» отличалась от «Ж» приподнятым над фюзеляжем крылом, это обеспечивало превосходный обзор из кабины.).</w:t>
      </w:r>
    </w:p>
    <w:p w14:paraId="2C10F2E5" w14:textId="77777777" w:rsidR="00541F55" w:rsidRPr="00DE096C" w:rsidRDefault="00541F55" w:rsidP="00D45A46">
      <w:pPr>
        <w:jc w:val="both"/>
        <w:rPr>
          <w:bCs/>
          <w:color w:val="002060"/>
          <w:sz w:val="16"/>
          <w:szCs w:val="16"/>
        </w:rPr>
      </w:pPr>
      <w:r w:rsidRPr="00DE096C">
        <w:rPr>
          <w:bCs/>
          <w:color w:val="002060"/>
          <w:sz w:val="16"/>
          <w:szCs w:val="16"/>
        </w:rPr>
        <w:t>Заказ заводу Щетинина предусматривал выпуск к той же дате 30 «Фарманов-22 бис» и 40 «Депердюссенов». Стоимость «Депердюссена» была, как у Моран-Солнье «Парасоль» (23472).</w:t>
      </w:r>
    </w:p>
    <w:p w14:paraId="2143152F" w14:textId="77777777" w:rsidR="00541F55" w:rsidRPr="00DE096C" w:rsidRDefault="00541F55" w:rsidP="00D45A46">
      <w:pPr>
        <w:jc w:val="both"/>
        <w:rPr>
          <w:bCs/>
          <w:color w:val="002060"/>
          <w:sz w:val="16"/>
          <w:szCs w:val="16"/>
          <w:lang w:bidi="ru-RU"/>
        </w:rPr>
      </w:pPr>
    </w:p>
    <w:p w14:paraId="25906552" w14:textId="77777777" w:rsidR="00541F55" w:rsidRPr="00DE096C" w:rsidRDefault="00541F55" w:rsidP="00D45A46">
      <w:pPr>
        <w:jc w:val="both"/>
        <w:rPr>
          <w:bCs/>
          <w:color w:val="002060"/>
          <w:sz w:val="16"/>
          <w:szCs w:val="16"/>
        </w:rPr>
      </w:pPr>
      <w:r w:rsidRPr="00DE096C">
        <w:rPr>
          <w:bCs/>
          <w:color w:val="002060"/>
          <w:sz w:val="16"/>
          <w:szCs w:val="16"/>
          <w:lang w:bidi="ru-RU"/>
        </w:rPr>
        <w:t>Летом 1914 г., еще до наступления войны, в «Обществе» Лебедева при создании но</w:t>
      </w:r>
      <w:r w:rsidRPr="00DE096C">
        <w:rPr>
          <w:bCs/>
          <w:color w:val="002060"/>
          <w:sz w:val="16"/>
          <w:szCs w:val="16"/>
          <w:lang w:bidi="ru-RU"/>
        </w:rPr>
        <w:softHyphen/>
        <w:t>вых летательных аппаратов было решено в дальнейшем ориентироваться на успешные немецкие бипланы, оснащаемые рядными двигателями жидкостного охлаждения. Со</w:t>
      </w:r>
      <w:r w:rsidRPr="00DE096C">
        <w:rPr>
          <w:bCs/>
          <w:color w:val="002060"/>
          <w:sz w:val="16"/>
          <w:szCs w:val="16"/>
          <w:lang w:bidi="ru-RU"/>
        </w:rPr>
        <w:softHyphen/>
        <w:t>гласно сведениям, почерпнутым автором у историка В.Р. Михеева, первым таким ап</w:t>
      </w:r>
      <w:r w:rsidRPr="00DE096C">
        <w:rPr>
          <w:bCs/>
          <w:color w:val="002060"/>
          <w:sz w:val="16"/>
          <w:szCs w:val="16"/>
          <w:lang w:bidi="ru-RU"/>
        </w:rPr>
        <w:softHyphen/>
        <w:t xml:space="preserve">паратом явился биплан «Эльфауге» </w:t>
      </w:r>
      <w:r w:rsidRPr="00DE096C">
        <w:rPr>
          <w:bCs/>
          <w:color w:val="002060"/>
          <w:sz w:val="16"/>
          <w:szCs w:val="16"/>
          <w:lang w:bidi="en-US"/>
        </w:rPr>
        <w:t>(</w:t>
      </w:r>
      <w:r w:rsidRPr="00DE096C">
        <w:rPr>
          <w:bCs/>
          <w:color w:val="002060"/>
          <w:sz w:val="16"/>
          <w:szCs w:val="16"/>
          <w:lang w:val="en-US" w:bidi="en-US"/>
        </w:rPr>
        <w:t>LVG</w:t>
      </w:r>
      <w:r w:rsidRPr="00DE096C">
        <w:rPr>
          <w:bCs/>
          <w:color w:val="002060"/>
          <w:sz w:val="16"/>
          <w:szCs w:val="16"/>
          <w:lang w:bidi="en-US"/>
        </w:rPr>
        <w:t xml:space="preserve"> </w:t>
      </w:r>
      <w:r w:rsidRPr="00DE096C">
        <w:rPr>
          <w:bCs/>
          <w:color w:val="002060"/>
          <w:sz w:val="16"/>
          <w:szCs w:val="16"/>
          <w:lang w:bidi="ru-RU"/>
        </w:rPr>
        <w:t>В.1) швейцарского конструктора Ф. Шней</w:t>
      </w:r>
      <w:r w:rsidRPr="00DE096C">
        <w:rPr>
          <w:bCs/>
          <w:color w:val="002060"/>
          <w:sz w:val="16"/>
          <w:szCs w:val="16"/>
          <w:lang w:bidi="ru-RU"/>
        </w:rPr>
        <w:softHyphen/>
        <w:t>дера. Дополнительным обстоятельством интереса к данному типу самолета стало то, что приглашенный на завод Лебедева летчик В.Я. Михайлов лично привез из Гер</w:t>
      </w:r>
      <w:r w:rsidRPr="00DE096C">
        <w:rPr>
          <w:bCs/>
          <w:color w:val="002060"/>
          <w:sz w:val="16"/>
          <w:szCs w:val="16"/>
          <w:lang w:bidi="ru-RU"/>
        </w:rPr>
        <w:softHyphen/>
        <w:t>мании такой «Эльфауге» и передал его в Акционерное общество. По полученному образцу было решено построить подобный аппарат, который получил наименование «Лебедь</w:t>
      </w:r>
      <w:r w:rsidRPr="00DE096C">
        <w:rPr>
          <w:bCs/>
          <w:color w:val="002060"/>
          <w:sz w:val="16"/>
          <w:szCs w:val="16"/>
          <w:lang w:bidi="en-US"/>
        </w:rPr>
        <w:t>-</w:t>
      </w:r>
      <w:r w:rsidRPr="00DE096C">
        <w:rPr>
          <w:bCs/>
          <w:color w:val="002060"/>
          <w:sz w:val="16"/>
          <w:szCs w:val="16"/>
          <w:lang w:val="en-US" w:bidi="en-US"/>
        </w:rPr>
        <w:t>VIII</w:t>
      </w:r>
      <w:r w:rsidRPr="00DE096C">
        <w:rPr>
          <w:bCs/>
          <w:color w:val="002060"/>
          <w:sz w:val="16"/>
          <w:szCs w:val="16"/>
          <w:lang w:bidi="en-US"/>
        </w:rPr>
        <w:t xml:space="preserve">». </w:t>
      </w:r>
      <w:r w:rsidRPr="00DE096C">
        <w:rPr>
          <w:bCs/>
          <w:color w:val="002060"/>
          <w:sz w:val="16"/>
          <w:szCs w:val="16"/>
          <w:lang w:bidi="ru-RU"/>
        </w:rPr>
        <w:t>Так как двигателей «Мерсе</w:t>
      </w:r>
      <w:r w:rsidRPr="00DE096C">
        <w:rPr>
          <w:bCs/>
          <w:color w:val="002060"/>
          <w:sz w:val="16"/>
          <w:szCs w:val="16"/>
          <w:lang w:bidi="ru-RU"/>
        </w:rPr>
        <w:softHyphen/>
        <w:t>дес» мощностью 100 л.с. в наличии не имелось, на «Лебедь</w:t>
      </w:r>
      <w:r w:rsidRPr="00DE096C">
        <w:rPr>
          <w:bCs/>
          <w:color w:val="002060"/>
          <w:sz w:val="16"/>
          <w:szCs w:val="16"/>
          <w:lang w:bidi="en-US"/>
        </w:rPr>
        <w:t>-</w:t>
      </w:r>
      <w:r w:rsidRPr="00DE096C">
        <w:rPr>
          <w:bCs/>
          <w:color w:val="002060"/>
          <w:sz w:val="16"/>
          <w:szCs w:val="16"/>
          <w:lang w:val="en-US" w:bidi="en-US"/>
        </w:rPr>
        <w:t>VIII</w:t>
      </w:r>
      <w:r w:rsidRPr="00DE096C">
        <w:rPr>
          <w:bCs/>
          <w:color w:val="002060"/>
          <w:sz w:val="16"/>
          <w:szCs w:val="16"/>
          <w:lang w:bidi="en-US"/>
        </w:rPr>
        <w:t xml:space="preserve">» </w:t>
      </w:r>
      <w:r w:rsidRPr="00DE096C">
        <w:rPr>
          <w:bCs/>
          <w:color w:val="002060"/>
          <w:sz w:val="16"/>
          <w:szCs w:val="16"/>
          <w:lang w:bidi="ru-RU"/>
        </w:rPr>
        <w:t>установили дви</w:t>
      </w:r>
      <w:r w:rsidRPr="00DE096C">
        <w:rPr>
          <w:bCs/>
          <w:color w:val="002060"/>
          <w:sz w:val="16"/>
          <w:szCs w:val="16"/>
          <w:lang w:bidi="ru-RU"/>
        </w:rPr>
        <w:softHyphen/>
        <w:t>гатель «Аргус» той же мощности. Позднее были изготовлены как минимум два анало</w:t>
      </w:r>
      <w:r w:rsidRPr="00DE096C">
        <w:rPr>
          <w:bCs/>
          <w:color w:val="002060"/>
          <w:sz w:val="16"/>
          <w:szCs w:val="16"/>
          <w:lang w:bidi="ru-RU"/>
        </w:rPr>
        <w:softHyphen/>
        <w:t>гичных самолета, которые были направле</w:t>
      </w:r>
      <w:r w:rsidRPr="00DE096C">
        <w:rPr>
          <w:bCs/>
          <w:color w:val="002060"/>
          <w:sz w:val="16"/>
          <w:szCs w:val="16"/>
          <w:lang w:bidi="ru-RU"/>
        </w:rPr>
        <w:softHyphen/>
        <w:t>ны на фронт. Хотя, возможно, таких само</w:t>
      </w:r>
      <w:r w:rsidRPr="00DE096C">
        <w:rPr>
          <w:bCs/>
          <w:color w:val="002060"/>
          <w:sz w:val="16"/>
          <w:szCs w:val="16"/>
          <w:lang w:bidi="ru-RU"/>
        </w:rPr>
        <w:softHyphen/>
        <w:t>летов построили еще несколько экземпля</w:t>
      </w:r>
      <w:r w:rsidRPr="00DE096C">
        <w:rPr>
          <w:bCs/>
          <w:color w:val="002060"/>
          <w:sz w:val="16"/>
          <w:szCs w:val="16"/>
          <w:lang w:bidi="ru-RU"/>
        </w:rPr>
        <w:softHyphen/>
        <w:t>ров. В рекламных материалах Акционерно</w:t>
      </w:r>
      <w:r w:rsidRPr="00DE096C">
        <w:rPr>
          <w:bCs/>
          <w:color w:val="002060"/>
          <w:sz w:val="16"/>
          <w:szCs w:val="16"/>
          <w:lang w:bidi="ru-RU"/>
        </w:rPr>
        <w:softHyphen/>
        <w:t>го общества Лебедева в 1915 г. «Эльфауге» представлялся как освоенный тип и предполагался к дальнейшей серийной по</w:t>
      </w:r>
      <w:r w:rsidRPr="00DE096C">
        <w:rPr>
          <w:bCs/>
          <w:color w:val="002060"/>
          <w:sz w:val="16"/>
          <w:szCs w:val="16"/>
          <w:lang w:bidi="ru-RU"/>
        </w:rPr>
        <w:softHyphen/>
        <w:t>стройке. Впрочем, именно в этот период больший интерес вызывали самолеты «Альбатрос», поэтому дальнейшие усилия сосредоточили именно на них (23374).</w:t>
      </w:r>
    </w:p>
    <w:p w14:paraId="2F8BCBF0" w14:textId="77777777" w:rsidR="00541F55" w:rsidRPr="00DE096C" w:rsidRDefault="00541F55" w:rsidP="00D45A46">
      <w:pPr>
        <w:jc w:val="both"/>
        <w:rPr>
          <w:bCs/>
          <w:color w:val="002060"/>
          <w:sz w:val="16"/>
          <w:szCs w:val="16"/>
          <w:lang w:bidi="ru-RU"/>
        </w:rPr>
      </w:pPr>
    </w:p>
    <w:p w14:paraId="5F8192D5" w14:textId="77777777" w:rsidR="008B267B" w:rsidRPr="00B52707" w:rsidRDefault="008B267B" w:rsidP="008B267B">
      <w:pPr>
        <w:jc w:val="both"/>
        <w:rPr>
          <w:color w:val="0070C0"/>
          <w:sz w:val="16"/>
          <w:szCs w:val="16"/>
        </w:rPr>
      </w:pPr>
      <w:r w:rsidRPr="00B52707">
        <w:rPr>
          <w:color w:val="0070C0"/>
          <w:sz w:val="16"/>
          <w:szCs w:val="16"/>
        </w:rPr>
        <w:t>Летом 1914 г. гражданский летчик-приемщик завода «Акционерное общество ДУКС» в Москве Адам Мечиславович Габер-Влынский показывал возможность безопасного выполнения высшего пилотажа, включая петли Нестерова на самолете «Моран-Ж» прикрепленным к предприятию военным приемщикам и прибывающим строевым пилотам. Но его доказательства возможности и полезности таких полетов понимание находили далеко не у всех – многие, в т.ч. строевые летчики, считали это лишь «цирком», а не приемами воздушного боя (25704).</w:t>
      </w:r>
    </w:p>
    <w:p w14:paraId="08EAE181" w14:textId="77777777" w:rsidR="008B267B" w:rsidRPr="00B52707" w:rsidRDefault="008B267B" w:rsidP="008B267B">
      <w:pPr>
        <w:jc w:val="both"/>
        <w:rPr>
          <w:color w:val="0070C0"/>
          <w:sz w:val="16"/>
          <w:szCs w:val="16"/>
        </w:rPr>
      </w:pPr>
    </w:p>
    <w:p w14:paraId="7475B591" w14:textId="77777777" w:rsidR="00B408F8" w:rsidRPr="00DE096C" w:rsidRDefault="00B408F8" w:rsidP="00D45A46">
      <w:pPr>
        <w:jc w:val="both"/>
        <w:rPr>
          <w:bCs/>
          <w:i/>
          <w:iCs/>
          <w:color w:val="002060"/>
          <w:sz w:val="16"/>
          <w:szCs w:val="16"/>
        </w:rPr>
      </w:pPr>
      <w:r w:rsidRPr="00DE096C">
        <w:rPr>
          <w:bCs/>
          <w:i/>
          <w:iCs/>
          <w:color w:val="002060"/>
          <w:sz w:val="16"/>
          <w:szCs w:val="16"/>
        </w:rPr>
        <w:t>Аэростатостроение:</w:t>
      </w:r>
    </w:p>
    <w:p w14:paraId="62C36579" w14:textId="77777777" w:rsidR="00B408F8" w:rsidRPr="00DE096C" w:rsidRDefault="00B408F8" w:rsidP="00D45A46">
      <w:pPr>
        <w:jc w:val="both"/>
        <w:rPr>
          <w:bCs/>
          <w:i/>
          <w:iCs/>
          <w:color w:val="002060"/>
          <w:sz w:val="16"/>
          <w:szCs w:val="16"/>
        </w:rPr>
      </w:pPr>
    </w:p>
    <w:p w14:paraId="7D18BF13" w14:textId="77777777" w:rsidR="00B408F8" w:rsidRPr="00DE096C" w:rsidRDefault="00B408F8" w:rsidP="00D45A46">
      <w:pPr>
        <w:jc w:val="both"/>
        <w:rPr>
          <w:bCs/>
          <w:color w:val="002060"/>
          <w:sz w:val="16"/>
          <w:szCs w:val="16"/>
        </w:rPr>
      </w:pPr>
      <w:r w:rsidRPr="00DE096C">
        <w:rPr>
          <w:bCs/>
          <w:color w:val="002060"/>
          <w:sz w:val="16"/>
          <w:szCs w:val="16"/>
        </w:rPr>
        <w:t>Летом 1914 г. А.М.Кованько представил Николаю II на</w:t>
      </w:r>
      <w:r w:rsidRPr="00DE096C">
        <w:rPr>
          <w:bCs/>
          <w:color w:val="002060"/>
          <w:sz w:val="16"/>
          <w:szCs w:val="16"/>
        </w:rPr>
        <w:softHyphen/>
        <w:t>бросок проекта программы организации ди</w:t>
      </w:r>
      <w:r w:rsidRPr="00DE096C">
        <w:rPr>
          <w:bCs/>
          <w:color w:val="002060"/>
          <w:sz w:val="16"/>
          <w:szCs w:val="16"/>
        </w:rPr>
        <w:softHyphen/>
        <w:t>рижаблестроения в стране. Отметив «отсутствие до на</w:t>
      </w:r>
      <w:r w:rsidRPr="00DE096C">
        <w:rPr>
          <w:bCs/>
          <w:color w:val="002060"/>
          <w:sz w:val="16"/>
          <w:szCs w:val="16"/>
        </w:rPr>
        <w:softHyphen/>
        <w:t>стоящего времени воздухоплавательной стро</w:t>
      </w:r>
      <w:r w:rsidRPr="00DE096C">
        <w:rPr>
          <w:bCs/>
          <w:color w:val="002060"/>
          <w:sz w:val="16"/>
          <w:szCs w:val="16"/>
        </w:rPr>
        <w:softHyphen/>
        <w:t>ительной программы», он перечислил слабые стороны отечественного дирижаблестроения: отсутствие определённого, соответствующего русским требованиям типа дирижабля; разно</w:t>
      </w:r>
      <w:r w:rsidRPr="00DE096C">
        <w:rPr>
          <w:bCs/>
          <w:color w:val="002060"/>
          <w:sz w:val="16"/>
          <w:szCs w:val="16"/>
        </w:rPr>
        <w:softHyphen/>
        <w:t>типность и слабость имеющихся дирижаблей, которые не имеют военного значения; отсут</w:t>
      </w:r>
      <w:r w:rsidRPr="00DE096C">
        <w:rPr>
          <w:bCs/>
          <w:color w:val="002060"/>
          <w:sz w:val="16"/>
          <w:szCs w:val="16"/>
        </w:rPr>
        <w:softHyphen/>
        <w:t>ствие отечественных дирижабельных моторов; слабое оборудование заводов; (желательно до развития частных заводов иметь казённые вер</w:t>
      </w:r>
      <w:r w:rsidRPr="00DE096C">
        <w:rPr>
          <w:bCs/>
          <w:color w:val="002060"/>
          <w:sz w:val="16"/>
          <w:szCs w:val="16"/>
        </w:rPr>
        <w:softHyphen/>
        <w:t>фи); недостаточное производство водорода.</w:t>
      </w:r>
    </w:p>
    <w:p w14:paraId="3967403A" w14:textId="77777777" w:rsidR="00B408F8" w:rsidRPr="00DE096C" w:rsidRDefault="00B408F8" w:rsidP="00D45A46">
      <w:pPr>
        <w:pStyle w:val="book"/>
        <w:spacing w:before="0" w:beforeAutospacing="0" w:after="0" w:afterAutospacing="0"/>
        <w:jc w:val="both"/>
        <w:rPr>
          <w:bCs/>
          <w:color w:val="002060"/>
          <w:sz w:val="16"/>
          <w:szCs w:val="16"/>
        </w:rPr>
      </w:pPr>
      <w:r w:rsidRPr="00DE096C">
        <w:rPr>
          <w:bCs/>
          <w:color w:val="002060"/>
          <w:sz w:val="16"/>
          <w:szCs w:val="16"/>
        </w:rPr>
        <w:t>А.М. Кованько предлагал выработать тип бо</w:t>
      </w:r>
      <w:r w:rsidRPr="00DE096C">
        <w:rPr>
          <w:bCs/>
          <w:color w:val="002060"/>
          <w:sz w:val="16"/>
          <w:szCs w:val="16"/>
        </w:rPr>
        <w:softHyphen/>
        <w:t>евого дирижабля и дальнейшее строительство воздушных кораблей вести однотипными бри</w:t>
      </w:r>
      <w:r w:rsidRPr="00DE096C">
        <w:rPr>
          <w:bCs/>
          <w:color w:val="002060"/>
          <w:sz w:val="16"/>
          <w:szCs w:val="16"/>
        </w:rPr>
        <w:softHyphen/>
        <w:t>гадами по четыре единицы. Ежегодно предпола</w:t>
      </w:r>
      <w:r w:rsidRPr="00DE096C">
        <w:rPr>
          <w:bCs/>
          <w:color w:val="002060"/>
          <w:sz w:val="16"/>
          <w:szCs w:val="16"/>
        </w:rPr>
        <w:softHyphen/>
        <w:t>галось строить дивизию в составе двух бригад — восьми аэростатов — с расчётом не позже 1917 г. иметь три дивизии и один флагманский аэро</w:t>
      </w:r>
      <w:r w:rsidRPr="00DE096C">
        <w:rPr>
          <w:bCs/>
          <w:color w:val="002060"/>
          <w:sz w:val="16"/>
          <w:szCs w:val="16"/>
        </w:rPr>
        <w:softHyphen/>
        <w:t>стат, то есть 25 боевых единиц. При каждой ди</w:t>
      </w:r>
      <w:r w:rsidRPr="00DE096C">
        <w:rPr>
          <w:bCs/>
          <w:color w:val="002060"/>
          <w:sz w:val="16"/>
          <w:szCs w:val="16"/>
        </w:rPr>
        <w:softHyphen/>
        <w:t>визии желательно иметь один запасной аэростат и все запасные части. (Видно влияние «Закона об Императорском Российском флоте», составную часть которого — «Программу усиленного ко</w:t>
      </w:r>
      <w:r w:rsidRPr="00DE096C">
        <w:rPr>
          <w:bCs/>
          <w:color w:val="002060"/>
          <w:sz w:val="16"/>
          <w:szCs w:val="16"/>
        </w:rPr>
        <w:softHyphen/>
        <w:t>раблестроения 1912-1916 гг.», принятую Думой и Государственным Советом, Николай II утвер</w:t>
      </w:r>
      <w:r w:rsidRPr="00DE096C">
        <w:rPr>
          <w:bCs/>
          <w:color w:val="002060"/>
          <w:sz w:val="16"/>
          <w:szCs w:val="16"/>
        </w:rPr>
        <w:softHyphen/>
        <w:t>дил 23 июня 1912 г.)</w:t>
      </w:r>
    </w:p>
    <w:p w14:paraId="4917C284" w14:textId="77777777" w:rsidR="00B408F8" w:rsidRPr="00DE096C" w:rsidRDefault="00B408F8" w:rsidP="00D45A46">
      <w:pPr>
        <w:jc w:val="both"/>
        <w:rPr>
          <w:bCs/>
          <w:color w:val="002060"/>
          <w:sz w:val="16"/>
          <w:szCs w:val="16"/>
        </w:rPr>
      </w:pPr>
      <w:r w:rsidRPr="00DE096C">
        <w:rPr>
          <w:bCs/>
          <w:color w:val="002060"/>
          <w:sz w:val="16"/>
          <w:szCs w:val="16"/>
        </w:rPr>
        <w:t>Для обеспечения деятельности дирижаблей требовалось создать сеть баз разного уровня. Центральные базы, рассчитанные на приём как минимум бригады дирижаблей, предполагалось устроить в удалении от западной границы на ли</w:t>
      </w:r>
      <w:r w:rsidRPr="00DE096C">
        <w:rPr>
          <w:bCs/>
          <w:color w:val="002060"/>
          <w:sz w:val="16"/>
          <w:szCs w:val="16"/>
        </w:rPr>
        <w:softHyphen/>
        <w:t>нии Москва — Курск — Харьков. Дирижабли на базах прикрываются от нападения с воздуха ору</w:t>
      </w:r>
      <w:r w:rsidRPr="00DE096C">
        <w:rPr>
          <w:bCs/>
          <w:color w:val="002060"/>
          <w:sz w:val="16"/>
          <w:szCs w:val="16"/>
        </w:rPr>
        <w:softHyphen/>
        <w:t>диями и «сторожевыми аэропланами». Они име</w:t>
      </w:r>
      <w:r w:rsidRPr="00DE096C">
        <w:rPr>
          <w:bCs/>
          <w:color w:val="002060"/>
          <w:sz w:val="16"/>
          <w:szCs w:val="16"/>
        </w:rPr>
        <w:softHyphen/>
        <w:t>ют газодобывательные станции и ремонтные ма</w:t>
      </w:r>
      <w:r w:rsidRPr="00DE096C">
        <w:rPr>
          <w:bCs/>
          <w:color w:val="002060"/>
          <w:sz w:val="16"/>
          <w:szCs w:val="16"/>
        </w:rPr>
        <w:softHyphen/>
        <w:t>стерские. При главных базах находятся заводы, способные сократить срок постройки дирижабля с двух лет до шести месяцев и изготавливать соб</w:t>
      </w:r>
      <w:r w:rsidRPr="00DE096C">
        <w:rPr>
          <w:bCs/>
          <w:color w:val="002060"/>
          <w:sz w:val="16"/>
          <w:szCs w:val="16"/>
        </w:rPr>
        <w:softHyphen/>
        <w:t>ственные двигатели. По линии Киев — Брест — С.-Петербург — выдвигаются этапные эллинги. Вдоль границы оборудуются в возможно боль</w:t>
      </w:r>
      <w:r w:rsidRPr="00DE096C">
        <w:rPr>
          <w:bCs/>
          <w:color w:val="002060"/>
          <w:sz w:val="16"/>
          <w:szCs w:val="16"/>
        </w:rPr>
        <w:softHyphen/>
        <w:t>шем числе якорные стоянки. Заводы газодобывательных материалов отводятся в глубь страны. Водород на них получается электролитическим путём с использованием энергии водопадов. Ор</w:t>
      </w:r>
      <w:r w:rsidRPr="00DE096C">
        <w:rPr>
          <w:bCs/>
          <w:color w:val="002060"/>
          <w:sz w:val="16"/>
          <w:szCs w:val="16"/>
        </w:rPr>
        <w:softHyphen/>
        <w:t>ганизационно все дирижабли в мирное и военное время подчиняются Командующему воздушным флотом.</w:t>
      </w:r>
    </w:p>
    <w:p w14:paraId="2F8E2CCD" w14:textId="77777777" w:rsidR="00B408F8" w:rsidRPr="00DE096C" w:rsidRDefault="00B408F8" w:rsidP="00D45A46">
      <w:pPr>
        <w:jc w:val="both"/>
        <w:rPr>
          <w:bCs/>
          <w:color w:val="002060"/>
          <w:sz w:val="16"/>
          <w:szCs w:val="16"/>
        </w:rPr>
      </w:pPr>
      <w:r w:rsidRPr="00DE096C">
        <w:rPr>
          <w:bCs/>
          <w:color w:val="002060"/>
          <w:sz w:val="16"/>
          <w:szCs w:val="16"/>
        </w:rPr>
        <w:t>Тип дирижабля А.М. Кованько не упомянул, но, вероятно, он надеялся, что это будет разраба</w:t>
      </w:r>
      <w:r w:rsidRPr="00DE096C">
        <w:rPr>
          <w:bCs/>
          <w:color w:val="002060"/>
          <w:sz w:val="16"/>
          <w:szCs w:val="16"/>
        </w:rPr>
        <w:softHyphen/>
        <w:t>тывавшийся им с 1909 г. разборный дирижабль полужёсткой системы, на который 31 мая 1916 г. он получил привилегию № 28544.</w:t>
      </w:r>
    </w:p>
    <w:p w14:paraId="7C598F0F" w14:textId="77777777" w:rsidR="00B408F8" w:rsidRPr="00DE096C" w:rsidRDefault="00B408F8" w:rsidP="00D45A46">
      <w:pPr>
        <w:jc w:val="both"/>
        <w:rPr>
          <w:bCs/>
          <w:color w:val="002060"/>
          <w:sz w:val="16"/>
          <w:szCs w:val="16"/>
        </w:rPr>
      </w:pPr>
      <w:r w:rsidRPr="00DE096C">
        <w:rPr>
          <w:bCs/>
          <w:color w:val="002060"/>
          <w:sz w:val="16"/>
          <w:szCs w:val="16"/>
        </w:rPr>
        <w:t>Программа А.М. Кованько могла стать от</w:t>
      </w:r>
      <w:r w:rsidRPr="00DE096C">
        <w:rPr>
          <w:bCs/>
          <w:color w:val="002060"/>
          <w:sz w:val="16"/>
          <w:szCs w:val="16"/>
        </w:rPr>
        <w:softHyphen/>
        <w:t>правной точкой для разработки планов отече</w:t>
      </w:r>
      <w:r w:rsidRPr="00DE096C">
        <w:rPr>
          <w:bCs/>
          <w:color w:val="002060"/>
          <w:sz w:val="16"/>
          <w:szCs w:val="16"/>
        </w:rPr>
        <w:softHyphen/>
        <w:t>ственного дирижаблестроения. Но было позд</w:t>
      </w:r>
      <w:r w:rsidRPr="00DE096C">
        <w:rPr>
          <w:bCs/>
          <w:color w:val="002060"/>
          <w:sz w:val="16"/>
          <w:szCs w:val="16"/>
        </w:rPr>
        <w:softHyphen/>
        <w:t>но — 19 июля (1 августа) 1914 г. Германия объя</w:t>
      </w:r>
      <w:r w:rsidRPr="00DE096C">
        <w:rPr>
          <w:bCs/>
          <w:color w:val="002060"/>
          <w:sz w:val="16"/>
          <w:szCs w:val="16"/>
        </w:rPr>
        <w:softHyphen/>
        <w:t>вила войну России (20120).</w:t>
      </w:r>
    </w:p>
    <w:p w14:paraId="12D22372" w14:textId="77777777" w:rsidR="00B408F8" w:rsidRPr="00DE096C" w:rsidRDefault="00B408F8" w:rsidP="00D45A46">
      <w:pPr>
        <w:pStyle w:val="book"/>
        <w:spacing w:before="0" w:beforeAutospacing="0" w:after="0" w:afterAutospacing="0"/>
        <w:jc w:val="both"/>
        <w:rPr>
          <w:bCs/>
          <w:color w:val="002060"/>
          <w:sz w:val="16"/>
          <w:szCs w:val="16"/>
        </w:rPr>
      </w:pPr>
    </w:p>
    <w:p w14:paraId="2819611C"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Другие оборонные отрасли:</w:t>
      </w:r>
    </w:p>
    <w:p w14:paraId="70AF3228" w14:textId="77777777" w:rsidR="00B67D7C" w:rsidRPr="00DE096C" w:rsidRDefault="00B67D7C" w:rsidP="00D45A46">
      <w:pPr>
        <w:pStyle w:val="a3"/>
        <w:jc w:val="both"/>
        <w:rPr>
          <w:bCs/>
          <w:color w:val="002060"/>
          <w:spacing w:val="0"/>
          <w:kern w:val="0"/>
          <w:position w:val="0"/>
          <w:sz w:val="16"/>
          <w:szCs w:val="16"/>
        </w:rPr>
      </w:pPr>
    </w:p>
    <w:p w14:paraId="5CBE681E" w14:textId="77777777" w:rsidR="00F478FD" w:rsidRPr="00DE096C" w:rsidRDefault="00F478FD" w:rsidP="00D45A46">
      <w:pPr>
        <w:jc w:val="both"/>
        <w:rPr>
          <w:bCs/>
          <w:color w:val="002060"/>
          <w:sz w:val="16"/>
          <w:szCs w:val="16"/>
        </w:rPr>
      </w:pPr>
      <w:r w:rsidRPr="00DE096C">
        <w:rPr>
          <w:bCs/>
          <w:color w:val="002060"/>
          <w:sz w:val="16"/>
          <w:szCs w:val="16"/>
        </w:rPr>
        <w:t>Летом 1914 г. не только велось поспешное расширение заводов, предусмотренное «Малой» и «Большой» программами военного ведомства, но и намечалось создание иных объектов. Не теряло времени и морское ведомство. Источники не подтверждают мнения, будто «мировая война застала русские заводы врасплох» или будто в 1914 г. ГАУ «совершенно не занималось» развитием производства на казенных заводах, что «ключевые» постановления о заводах состоялись не ранее конца 1914 г. — версия, восходящая к выгораживанию великих князей Верховной следственной комиссией (18409).</w:t>
      </w:r>
    </w:p>
    <w:p w14:paraId="0FAD2D7B" w14:textId="77777777" w:rsidR="00F478FD" w:rsidRPr="00DE096C" w:rsidRDefault="00F478FD" w:rsidP="00D45A46">
      <w:pPr>
        <w:jc w:val="both"/>
        <w:rPr>
          <w:bCs/>
          <w:color w:val="002060"/>
          <w:sz w:val="16"/>
          <w:szCs w:val="16"/>
        </w:rPr>
      </w:pPr>
    </w:p>
    <w:p w14:paraId="5E3452AF" w14:textId="77777777" w:rsidR="00B67D7C" w:rsidRPr="00DE096C" w:rsidRDefault="00B67D7C" w:rsidP="00D45A46">
      <w:pPr>
        <w:jc w:val="both"/>
        <w:rPr>
          <w:bCs/>
          <w:color w:val="002060"/>
          <w:sz w:val="16"/>
          <w:szCs w:val="16"/>
        </w:rPr>
      </w:pPr>
      <w:r w:rsidRPr="00DE096C">
        <w:rPr>
          <w:bCs/>
          <w:color w:val="002060"/>
          <w:sz w:val="16"/>
          <w:szCs w:val="16"/>
        </w:rPr>
        <w:t>Летом 1914 г., перед внесением в Думу новой судостроительной программы, предусматривавшей постройку четырех линкоров для Балтики, Морское министерство подготовило план развития Балтийского завода. Он заключал в себе крупные мероприятия по развитию производственных мощностей завода и расширению его территории. Последний вопрос стоял особенно остро. Его предполагалось решить приобретением трех граничивших с заводом участков земли, что в общей сложности давало 7,1 га дополнительной площади. Однако в связи с высокими ценами, заявленными владельцами, было решено прибегнуть к «принудительному отчуждению земли», затраты на которое были исчислены в 2331 тыс. руб.</w:t>
      </w:r>
    </w:p>
    <w:p w14:paraId="1854F17F" w14:textId="77777777" w:rsidR="00B67D7C" w:rsidRPr="00DE096C" w:rsidRDefault="00B67D7C" w:rsidP="00D45A46">
      <w:pPr>
        <w:jc w:val="both"/>
        <w:rPr>
          <w:bCs/>
          <w:color w:val="002060"/>
          <w:sz w:val="16"/>
          <w:szCs w:val="16"/>
        </w:rPr>
      </w:pPr>
      <w:r w:rsidRPr="00DE096C">
        <w:rPr>
          <w:bCs/>
          <w:color w:val="002060"/>
          <w:sz w:val="16"/>
          <w:szCs w:val="16"/>
        </w:rPr>
        <w:t>Вторым предусмотренным планом крупным вопросом развития Балтийского завода было установление на нем производства дизелей для подводных лодок и больших надводных кораблей. Желая идти в ногу с передовой зарубежной практикой, Морское министерство по этому поводу объясняло, что «прогресс техники в постройке тепловых двигателей идет настолько быстро, что по-видимому недалеко то время, когда военный флот перейдет к этим двигателям, дающим судам громадные тактические преимущества (наибольший район плавания, экономичность малых ходов и пр.)». Стоимость постройки и оборудования цехов дизельного производства определялась в 1001 тыс. руб.</w:t>
      </w:r>
    </w:p>
    <w:p w14:paraId="0DC15A86" w14:textId="77777777" w:rsidR="00B67D7C" w:rsidRPr="00DE096C" w:rsidRDefault="00B67D7C" w:rsidP="00D45A46">
      <w:pPr>
        <w:jc w:val="both"/>
        <w:rPr>
          <w:bCs/>
          <w:color w:val="002060"/>
          <w:sz w:val="16"/>
          <w:szCs w:val="16"/>
        </w:rPr>
      </w:pPr>
      <w:r w:rsidRPr="00DE096C">
        <w:rPr>
          <w:bCs/>
          <w:color w:val="002060"/>
          <w:sz w:val="16"/>
          <w:szCs w:val="16"/>
        </w:rPr>
        <w:lastRenderedPageBreak/>
        <w:t>Планом развития завода предусматривалось расширение находящейся в постройке новой электростанции, что требовалось для снабжения электроэнергией создаваемого на противоположном берегу Невы башенного отдела Адмиралтейского завода (1381 тыс. руб.), а также «расширение оборудования завода вообще для соответствующего увеличения его производительности» (4543 тыс. руб.). Причем в последний раздел входила постройка нового ковочного цеха (1335 тыс. руб.), предназначенного как для нужд Балтийского завода (крупные поковки турбин), так и Адмиралтейского (поковки орудийных станков и башенных установок).</w:t>
      </w:r>
    </w:p>
    <w:p w14:paraId="4DBA81CC" w14:textId="77777777" w:rsidR="00B67D7C" w:rsidRPr="00DE096C" w:rsidRDefault="00B67D7C" w:rsidP="00D45A46">
      <w:pPr>
        <w:jc w:val="both"/>
        <w:rPr>
          <w:bCs/>
          <w:color w:val="002060"/>
          <w:sz w:val="16"/>
          <w:szCs w:val="16"/>
        </w:rPr>
      </w:pPr>
      <w:r w:rsidRPr="00DE096C">
        <w:rPr>
          <w:bCs/>
          <w:color w:val="002060"/>
          <w:sz w:val="16"/>
          <w:szCs w:val="16"/>
        </w:rPr>
        <w:t>Полная стоимость дооборудования Балтийского завода под новые программы строительства линкоров составляла 9256 тыс. руб. Причем если полное дооборудование завода в соответствии с разработанной программой планировалось осуществить до 1918 г., то кредиты на расширение территории, создание цеха дизелей и электростанции были необходимы в течение 1914–1916 гг. (Законопроект Морского министерства, представленный в Государственную думу 17 августа 1914 г., "Об отпуске дополнительного кредита на расширение Балтийского судостроительного и механического завода в связи с увеличением его территории и в зависимости от объединения с Адмиралтейским судостроительным заводом". РГАВМФ, ф.410, оп.3, д. 1268, лл.436–438.)</w:t>
      </w:r>
    </w:p>
    <w:p w14:paraId="07125504" w14:textId="77777777" w:rsidR="00B67D7C" w:rsidRPr="00DE096C" w:rsidRDefault="00B67D7C" w:rsidP="00D45A46">
      <w:pPr>
        <w:jc w:val="both"/>
        <w:rPr>
          <w:bCs/>
          <w:color w:val="002060"/>
          <w:sz w:val="16"/>
          <w:szCs w:val="16"/>
        </w:rPr>
      </w:pPr>
      <w:r w:rsidRPr="00DE096C">
        <w:rPr>
          <w:bCs/>
          <w:color w:val="002060"/>
          <w:sz w:val="16"/>
          <w:szCs w:val="16"/>
        </w:rPr>
        <w:t>Так, к 1913 г. сформировался основной костяк петербургских судостроительных заводов, которые могли реально осуществлять крупные программы по строительству линейных судов самых современных типов на Балтике. В лице Адмиралтейского и Балтийского заводов Морское министерство имело мощных подрядчиков, располагавших также передовыми конструкторскими кадрами. Кроме того, эти заводы, будучи государственными предприятиями, полностью контролировались министерством. В таком сложнейшем деле, как строительство линкоров, это было немаловажно. Таким образом, Главное управление кораблестроения имело в своем распоряжении четыре крупнейших в стране стапеля и, поскольку стапельный период постройки линейных судов в то время в России составлял примерно два года (имея стойкую тенденцию к сокращению при переходе от одного класса дредноутов к другому), этого было в целом достаточно для ритмичного строительства всех предполагаемых по «Закону о флоте» линейных судов (12109).</w:t>
      </w:r>
    </w:p>
    <w:p w14:paraId="65542F20" w14:textId="77777777" w:rsidR="00B67D7C" w:rsidRPr="00DE096C" w:rsidRDefault="00B67D7C" w:rsidP="00D45A46">
      <w:pPr>
        <w:jc w:val="both"/>
        <w:rPr>
          <w:bCs/>
          <w:color w:val="002060"/>
          <w:sz w:val="16"/>
          <w:szCs w:val="16"/>
        </w:rPr>
      </w:pPr>
    </w:p>
    <w:p w14:paraId="2A9B3F24" w14:textId="311B1CDB" w:rsidR="00FB1F25" w:rsidRPr="00DE096C" w:rsidRDefault="00FB1F25" w:rsidP="00D45A46">
      <w:pPr>
        <w:jc w:val="both"/>
        <w:rPr>
          <w:bCs/>
          <w:color w:val="002060"/>
          <w:sz w:val="16"/>
          <w:szCs w:val="16"/>
        </w:rPr>
      </w:pPr>
      <w:r w:rsidRPr="00DE096C">
        <w:rPr>
          <w:bCs/>
          <w:color w:val="002060"/>
          <w:sz w:val="16"/>
          <w:szCs w:val="16"/>
        </w:rPr>
        <w:t xml:space="preserve">Летом 1914 года начались строительные работы на четвертом, тамбовском пороховом заводе. К началу 1917 г. были выстроены две пороходельные линии зданий, из коих одна была оборудована. Пироксилиновый отдел только начат был постройкой. Все сооружения общего технического обслуживания — водопровод, отопление, освещение и пр. — были исполнены. </w:t>
      </w:r>
    </w:p>
    <w:p w14:paraId="20D21ABA" w14:textId="77777777" w:rsidR="00FB1F25" w:rsidRPr="00DE096C" w:rsidRDefault="00FB1F25" w:rsidP="00D45A46">
      <w:pPr>
        <w:jc w:val="both"/>
        <w:rPr>
          <w:bCs/>
          <w:color w:val="002060"/>
          <w:sz w:val="16"/>
          <w:szCs w:val="16"/>
        </w:rPr>
      </w:pPr>
      <w:r w:rsidRPr="00DE096C">
        <w:rPr>
          <w:bCs/>
          <w:color w:val="002060"/>
          <w:sz w:val="16"/>
          <w:szCs w:val="16"/>
        </w:rPr>
        <w:t xml:space="preserve">В конце войны завод начал готовить порох из американского пироксилина. С революцией строительство было остановлено и в дальнейшем не продолжалось. </w:t>
      </w:r>
    </w:p>
    <w:p w14:paraId="37581276" w14:textId="77777777" w:rsidR="00FB1F25" w:rsidRPr="00DE096C" w:rsidRDefault="00FB1F25" w:rsidP="00D45A46">
      <w:pPr>
        <w:jc w:val="both"/>
        <w:rPr>
          <w:bCs/>
          <w:color w:val="002060"/>
          <w:sz w:val="16"/>
          <w:szCs w:val="16"/>
        </w:rPr>
      </w:pPr>
      <w:r w:rsidRPr="00DE096C">
        <w:rPr>
          <w:bCs/>
          <w:color w:val="002060"/>
          <w:sz w:val="16"/>
          <w:szCs w:val="16"/>
        </w:rPr>
        <w:t xml:space="preserve">Стоимость постройки, рассчитанная по ценам 1916 г., выражалась в суммах (млн руб.):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104"/>
        <w:gridCol w:w="2916"/>
        <w:gridCol w:w="1476"/>
      </w:tblGrid>
      <w:tr w:rsidR="00FB1F25" w:rsidRPr="00DE096C" w14:paraId="232ED88C" w14:textId="77777777" w:rsidTr="00D34AC1">
        <w:tc>
          <w:tcPr>
            <w:tcW w:w="1104" w:type="dxa"/>
          </w:tcPr>
          <w:p w14:paraId="48C8F7E2" w14:textId="77777777" w:rsidR="00FB1F25" w:rsidRPr="00DE096C" w:rsidRDefault="00FB1F25" w:rsidP="00D45A46">
            <w:pPr>
              <w:jc w:val="both"/>
              <w:rPr>
                <w:bCs/>
                <w:color w:val="002060"/>
                <w:sz w:val="16"/>
                <w:szCs w:val="16"/>
              </w:rPr>
            </w:pPr>
            <w:r w:rsidRPr="00DE096C">
              <w:rPr>
                <w:bCs/>
                <w:color w:val="002060"/>
                <w:sz w:val="16"/>
                <w:szCs w:val="16"/>
              </w:rPr>
              <w:t> </w:t>
            </w:r>
          </w:p>
        </w:tc>
        <w:tc>
          <w:tcPr>
            <w:tcW w:w="2916" w:type="dxa"/>
          </w:tcPr>
          <w:p w14:paraId="60DA69B9" w14:textId="77777777" w:rsidR="00FB1F25" w:rsidRPr="00DE096C" w:rsidRDefault="00FB1F25" w:rsidP="00D45A46">
            <w:pPr>
              <w:jc w:val="both"/>
              <w:rPr>
                <w:bCs/>
                <w:color w:val="002060"/>
                <w:sz w:val="16"/>
                <w:szCs w:val="16"/>
              </w:rPr>
            </w:pPr>
            <w:r w:rsidRPr="00DE096C">
              <w:rPr>
                <w:bCs/>
                <w:color w:val="002060"/>
                <w:sz w:val="16"/>
                <w:szCs w:val="16"/>
              </w:rPr>
              <w:t>строительные работы</w:t>
            </w:r>
          </w:p>
        </w:tc>
        <w:tc>
          <w:tcPr>
            <w:tcW w:w="1476" w:type="dxa"/>
          </w:tcPr>
          <w:p w14:paraId="3616C921" w14:textId="77777777" w:rsidR="00FB1F25" w:rsidRPr="00DE096C" w:rsidRDefault="00FB1F25" w:rsidP="00D45A46">
            <w:pPr>
              <w:jc w:val="both"/>
              <w:rPr>
                <w:bCs/>
                <w:color w:val="002060"/>
                <w:sz w:val="16"/>
                <w:szCs w:val="16"/>
              </w:rPr>
            </w:pPr>
            <w:r w:rsidRPr="00DE096C">
              <w:rPr>
                <w:bCs/>
                <w:color w:val="002060"/>
                <w:sz w:val="16"/>
                <w:szCs w:val="16"/>
              </w:rPr>
              <w:t>12,1</w:t>
            </w:r>
          </w:p>
        </w:tc>
      </w:tr>
      <w:tr w:rsidR="00FB1F25" w:rsidRPr="00DE096C" w14:paraId="3EC8BEC8" w14:textId="77777777" w:rsidTr="00D34AC1">
        <w:tc>
          <w:tcPr>
            <w:tcW w:w="1104" w:type="dxa"/>
          </w:tcPr>
          <w:p w14:paraId="5736395E" w14:textId="77777777" w:rsidR="00FB1F25" w:rsidRPr="00DE096C" w:rsidRDefault="00FB1F25" w:rsidP="00D45A46">
            <w:pPr>
              <w:jc w:val="both"/>
              <w:rPr>
                <w:bCs/>
                <w:color w:val="002060"/>
                <w:sz w:val="16"/>
                <w:szCs w:val="16"/>
              </w:rPr>
            </w:pPr>
            <w:r w:rsidRPr="00DE096C">
              <w:rPr>
                <w:bCs/>
                <w:color w:val="002060"/>
                <w:sz w:val="16"/>
                <w:szCs w:val="16"/>
              </w:rPr>
              <w:t> </w:t>
            </w:r>
          </w:p>
        </w:tc>
        <w:tc>
          <w:tcPr>
            <w:tcW w:w="2916" w:type="dxa"/>
          </w:tcPr>
          <w:p w14:paraId="5643A210" w14:textId="77777777" w:rsidR="00FB1F25" w:rsidRPr="00DE096C" w:rsidRDefault="00FB1F25" w:rsidP="00D45A46">
            <w:pPr>
              <w:jc w:val="both"/>
              <w:rPr>
                <w:bCs/>
                <w:color w:val="002060"/>
                <w:sz w:val="16"/>
                <w:szCs w:val="16"/>
              </w:rPr>
            </w:pPr>
            <w:r w:rsidRPr="00DE096C">
              <w:rPr>
                <w:bCs/>
                <w:color w:val="002060"/>
                <w:sz w:val="16"/>
                <w:szCs w:val="16"/>
              </w:rPr>
              <w:t>механические работы</w:t>
            </w:r>
          </w:p>
        </w:tc>
        <w:tc>
          <w:tcPr>
            <w:tcW w:w="1476" w:type="dxa"/>
          </w:tcPr>
          <w:p w14:paraId="7BAD349F" w14:textId="77777777" w:rsidR="00FB1F25" w:rsidRPr="00DE096C" w:rsidRDefault="00FB1F25" w:rsidP="00D45A46">
            <w:pPr>
              <w:jc w:val="both"/>
              <w:rPr>
                <w:bCs/>
                <w:color w:val="002060"/>
                <w:sz w:val="16"/>
                <w:szCs w:val="16"/>
              </w:rPr>
            </w:pPr>
            <w:r w:rsidRPr="00DE096C">
              <w:rPr>
                <w:bCs/>
                <w:color w:val="002060"/>
                <w:sz w:val="16"/>
                <w:szCs w:val="16"/>
              </w:rPr>
              <w:t>16,6</w:t>
            </w:r>
          </w:p>
        </w:tc>
      </w:tr>
      <w:tr w:rsidR="00FB1F25" w:rsidRPr="00DE096C" w14:paraId="285C0F56" w14:textId="77777777" w:rsidTr="00D34AC1">
        <w:tc>
          <w:tcPr>
            <w:tcW w:w="1104" w:type="dxa"/>
          </w:tcPr>
          <w:p w14:paraId="364BE4C9" w14:textId="77777777" w:rsidR="00FB1F25" w:rsidRPr="00DE096C" w:rsidRDefault="00FB1F25" w:rsidP="00D45A46">
            <w:pPr>
              <w:jc w:val="both"/>
              <w:rPr>
                <w:bCs/>
                <w:color w:val="002060"/>
                <w:sz w:val="16"/>
                <w:szCs w:val="16"/>
              </w:rPr>
            </w:pPr>
            <w:r w:rsidRPr="00DE096C">
              <w:rPr>
                <w:bCs/>
                <w:color w:val="002060"/>
                <w:sz w:val="16"/>
                <w:szCs w:val="16"/>
              </w:rPr>
              <w:t> </w:t>
            </w:r>
          </w:p>
        </w:tc>
        <w:tc>
          <w:tcPr>
            <w:tcW w:w="2916" w:type="dxa"/>
          </w:tcPr>
          <w:p w14:paraId="1894BC9A" w14:textId="77777777" w:rsidR="00FB1F25" w:rsidRPr="00DE096C" w:rsidRDefault="00FB1F25" w:rsidP="00D45A46">
            <w:pPr>
              <w:jc w:val="both"/>
              <w:rPr>
                <w:bCs/>
                <w:color w:val="002060"/>
                <w:sz w:val="16"/>
                <w:szCs w:val="16"/>
              </w:rPr>
            </w:pPr>
            <w:r w:rsidRPr="00DE096C">
              <w:rPr>
                <w:bCs/>
                <w:color w:val="002060"/>
                <w:sz w:val="16"/>
                <w:szCs w:val="16"/>
              </w:rPr>
              <w:t>прочие расходы</w:t>
            </w:r>
          </w:p>
        </w:tc>
        <w:tc>
          <w:tcPr>
            <w:tcW w:w="1476" w:type="dxa"/>
          </w:tcPr>
          <w:p w14:paraId="1D1421A9" w14:textId="77777777" w:rsidR="00FB1F25" w:rsidRPr="00DE096C" w:rsidRDefault="00FB1F25" w:rsidP="00D45A46">
            <w:pPr>
              <w:jc w:val="both"/>
              <w:rPr>
                <w:bCs/>
                <w:color w:val="002060"/>
                <w:sz w:val="16"/>
                <w:szCs w:val="16"/>
              </w:rPr>
            </w:pPr>
            <w:r w:rsidRPr="00DE096C">
              <w:rPr>
                <w:bCs/>
                <w:color w:val="002060"/>
                <w:sz w:val="16"/>
                <w:szCs w:val="16"/>
              </w:rPr>
              <w:t>1,4</w:t>
            </w:r>
          </w:p>
        </w:tc>
      </w:tr>
      <w:tr w:rsidR="00FB1F25" w:rsidRPr="00DE096C" w14:paraId="6288A7F4" w14:textId="77777777" w:rsidTr="00D34AC1">
        <w:tc>
          <w:tcPr>
            <w:tcW w:w="1104" w:type="dxa"/>
          </w:tcPr>
          <w:p w14:paraId="6EC51FE5" w14:textId="77777777" w:rsidR="00FB1F25" w:rsidRPr="00DE096C" w:rsidRDefault="00FB1F25" w:rsidP="00D45A46">
            <w:pPr>
              <w:jc w:val="both"/>
              <w:rPr>
                <w:bCs/>
                <w:color w:val="002060"/>
                <w:sz w:val="16"/>
                <w:szCs w:val="16"/>
              </w:rPr>
            </w:pPr>
            <w:r w:rsidRPr="00DE096C">
              <w:rPr>
                <w:bCs/>
                <w:color w:val="002060"/>
                <w:sz w:val="16"/>
                <w:szCs w:val="16"/>
              </w:rPr>
              <w:t> </w:t>
            </w:r>
          </w:p>
        </w:tc>
        <w:tc>
          <w:tcPr>
            <w:tcW w:w="2916" w:type="dxa"/>
          </w:tcPr>
          <w:p w14:paraId="1B65833D" w14:textId="77777777" w:rsidR="00FB1F25" w:rsidRPr="00DE096C" w:rsidRDefault="00FB1F25" w:rsidP="00D45A46">
            <w:pPr>
              <w:jc w:val="both"/>
              <w:rPr>
                <w:bCs/>
                <w:color w:val="002060"/>
                <w:sz w:val="16"/>
                <w:szCs w:val="16"/>
              </w:rPr>
            </w:pPr>
            <w:r w:rsidRPr="00DE096C">
              <w:rPr>
                <w:bCs/>
                <w:color w:val="002060"/>
                <w:sz w:val="16"/>
                <w:szCs w:val="16"/>
              </w:rPr>
              <w:t>Итого</w:t>
            </w:r>
          </w:p>
        </w:tc>
        <w:tc>
          <w:tcPr>
            <w:tcW w:w="1476" w:type="dxa"/>
          </w:tcPr>
          <w:p w14:paraId="20687622" w14:textId="77777777" w:rsidR="00FB1F25" w:rsidRPr="00DE096C" w:rsidRDefault="00FB1F25" w:rsidP="00D45A46">
            <w:pPr>
              <w:jc w:val="both"/>
              <w:rPr>
                <w:bCs/>
                <w:color w:val="002060"/>
                <w:sz w:val="16"/>
                <w:szCs w:val="16"/>
              </w:rPr>
            </w:pPr>
            <w:r w:rsidRPr="00DE096C">
              <w:rPr>
                <w:bCs/>
                <w:color w:val="002060"/>
                <w:sz w:val="16"/>
                <w:szCs w:val="16"/>
              </w:rPr>
              <w:t>30,1</w:t>
            </w:r>
          </w:p>
        </w:tc>
      </w:tr>
    </w:tbl>
    <w:p w14:paraId="2FA01EEC" w14:textId="77777777" w:rsidR="00FB1F25" w:rsidRPr="00DE096C" w:rsidRDefault="00FB1F25"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(11329).</w:t>
      </w:r>
    </w:p>
    <w:p w14:paraId="2CCF1110" w14:textId="77777777" w:rsidR="00FB1F25" w:rsidRPr="00DE096C" w:rsidRDefault="00FB1F25" w:rsidP="00D45A46">
      <w:pPr>
        <w:pStyle w:val="a3"/>
        <w:jc w:val="both"/>
        <w:rPr>
          <w:bCs/>
          <w:i w:val="0"/>
          <w:color w:val="002060"/>
          <w:spacing w:val="0"/>
          <w:kern w:val="0"/>
          <w:position w:val="0"/>
          <w:sz w:val="16"/>
          <w:szCs w:val="16"/>
        </w:rPr>
      </w:pPr>
    </w:p>
    <w:p w14:paraId="14B0C0E8" w14:textId="77777777" w:rsidR="000B43C4" w:rsidRPr="00DE096C" w:rsidRDefault="000B43C4" w:rsidP="00D45A46">
      <w:pPr>
        <w:jc w:val="both"/>
        <w:rPr>
          <w:bCs/>
          <w:i/>
          <w:iCs/>
          <w:color w:val="002060"/>
          <w:sz w:val="16"/>
          <w:szCs w:val="16"/>
        </w:rPr>
      </w:pPr>
      <w:r w:rsidRPr="00DE096C">
        <w:rPr>
          <w:bCs/>
          <w:i/>
          <w:iCs/>
          <w:color w:val="002060"/>
          <w:sz w:val="16"/>
          <w:szCs w:val="16"/>
        </w:rPr>
        <w:t>Авиация:</w:t>
      </w:r>
    </w:p>
    <w:p w14:paraId="5BE54252" w14:textId="77777777" w:rsidR="000B43C4" w:rsidRPr="00DE096C" w:rsidRDefault="000B43C4" w:rsidP="00D45A46">
      <w:pPr>
        <w:jc w:val="both"/>
        <w:rPr>
          <w:bCs/>
          <w:i/>
          <w:iCs/>
          <w:color w:val="002060"/>
          <w:sz w:val="16"/>
          <w:szCs w:val="16"/>
        </w:rPr>
      </w:pPr>
    </w:p>
    <w:p w14:paraId="740B0004" w14:textId="77777777" w:rsidR="00F478FD" w:rsidRPr="00DE096C" w:rsidRDefault="00F478FD" w:rsidP="00D45A46">
      <w:pPr>
        <w:shd w:val="clear" w:color="auto" w:fill="FFFFFF"/>
        <w:jc w:val="both"/>
        <w:rPr>
          <w:bCs/>
          <w:color w:val="002060"/>
          <w:sz w:val="16"/>
          <w:szCs w:val="16"/>
        </w:rPr>
      </w:pPr>
      <w:r w:rsidRPr="00DE096C">
        <w:rPr>
          <w:bCs/>
          <w:color w:val="002060"/>
          <w:sz w:val="16"/>
          <w:szCs w:val="16"/>
        </w:rPr>
        <w:t>Летом 1914 г. в Петербург прибыла французская военная миссия для со</w:t>
      </w:r>
      <w:r w:rsidRPr="00DE096C">
        <w:rPr>
          <w:bCs/>
          <w:color w:val="002060"/>
          <w:sz w:val="16"/>
          <w:szCs w:val="16"/>
        </w:rPr>
        <w:softHyphen/>
        <w:t>гласования совместных военных действий против Германии. Мис</w:t>
      </w:r>
      <w:r w:rsidRPr="00DE096C">
        <w:rPr>
          <w:bCs/>
          <w:color w:val="002060"/>
          <w:sz w:val="16"/>
          <w:szCs w:val="16"/>
        </w:rPr>
        <w:softHyphen/>
        <w:t>сию ознакомили с воздухоплавательным делом в России, демонст</w:t>
      </w:r>
      <w:r w:rsidRPr="00DE096C">
        <w:rPr>
          <w:bCs/>
          <w:color w:val="002060"/>
          <w:sz w:val="16"/>
          <w:szCs w:val="16"/>
        </w:rPr>
        <w:softHyphen/>
        <w:t>рировали добывание водорода щелочным способом. Можно пред</w:t>
      </w:r>
      <w:r w:rsidRPr="00DE096C">
        <w:rPr>
          <w:bCs/>
          <w:color w:val="002060"/>
          <w:sz w:val="16"/>
          <w:szCs w:val="16"/>
        </w:rPr>
        <w:softHyphen/>
        <w:t>полагать, что эта миссия вела с русским командованием перегово</w:t>
      </w:r>
      <w:r w:rsidRPr="00DE096C">
        <w:rPr>
          <w:bCs/>
          <w:color w:val="002060"/>
          <w:sz w:val="16"/>
          <w:szCs w:val="16"/>
        </w:rPr>
        <w:softHyphen/>
        <w:t>ры о быстрейшей подготовке русских военно-воздушных сил к пред</w:t>
      </w:r>
      <w:r w:rsidRPr="00DE096C">
        <w:rPr>
          <w:bCs/>
          <w:color w:val="002060"/>
          <w:sz w:val="16"/>
          <w:szCs w:val="16"/>
        </w:rPr>
        <w:softHyphen/>
        <w:t>стоящей войне. Но настоящей подготовки воздухоплавательных частей к войне правительство так и не начало. Так же, как и авиация, русскос-воздухоплавание встретило войну неподготовленным, за что тяжело расплачивалось в ходе боевых действий (11042,247).</w:t>
      </w:r>
    </w:p>
    <w:p w14:paraId="650C869F" w14:textId="77777777" w:rsidR="00F478FD" w:rsidRPr="00DE096C" w:rsidRDefault="00F478FD" w:rsidP="00D45A46">
      <w:pPr>
        <w:shd w:val="clear" w:color="auto" w:fill="FFFFFF"/>
        <w:jc w:val="both"/>
        <w:rPr>
          <w:bCs/>
          <w:color w:val="002060"/>
          <w:sz w:val="16"/>
          <w:szCs w:val="16"/>
        </w:rPr>
      </w:pPr>
    </w:p>
    <w:p w14:paraId="425021FA" w14:textId="77777777" w:rsidR="0077008C" w:rsidRPr="00DE096C" w:rsidRDefault="0077008C" w:rsidP="00D45A46">
      <w:pPr>
        <w:shd w:val="clear" w:color="auto" w:fill="FFFFFF"/>
        <w:jc w:val="both"/>
        <w:rPr>
          <w:bCs/>
          <w:color w:val="002060"/>
          <w:sz w:val="16"/>
          <w:szCs w:val="16"/>
        </w:rPr>
      </w:pPr>
      <w:r w:rsidRPr="00DE096C">
        <w:rPr>
          <w:bCs/>
          <w:color w:val="002060"/>
          <w:sz w:val="16"/>
          <w:szCs w:val="16"/>
        </w:rPr>
        <w:t>Летом 1914 г. началась Первая мировая война... Наиболее многочисленной по количеству боевых самолётов была русская военная авиация... до 250 самолётов... Однако это преиму</w:t>
      </w:r>
      <w:r w:rsidRPr="00DE096C">
        <w:rPr>
          <w:bCs/>
          <w:color w:val="002060"/>
          <w:sz w:val="16"/>
          <w:szCs w:val="16"/>
        </w:rPr>
        <w:softHyphen/>
        <w:t>щество России... никак не отразилось на дальнейшем ходе вооружённой борьбы в воздухе и вскоре было утрачено. С первых же дней войны стали сказываться тяжелые просчеты, пре</w:t>
      </w:r>
      <w:r w:rsidRPr="00DE096C">
        <w:rPr>
          <w:bCs/>
          <w:color w:val="002060"/>
          <w:sz w:val="16"/>
          <w:szCs w:val="16"/>
        </w:rPr>
        <w:softHyphen/>
        <w:t>ступные упущения и крупнейшие недостатки в руководстве русской авиацией (выделено автором. — А.Д.), вытекающие из всей природы политического строя России того времени. (Шавров В.Б. История конструкций самолётов в СССР до 1938 г. М., 1978. С. 151.) (11696)</w:t>
      </w:r>
    </w:p>
    <w:p w14:paraId="17344E69" w14:textId="77777777" w:rsidR="0077008C" w:rsidRPr="00DE096C" w:rsidRDefault="0077008C" w:rsidP="00D45A46">
      <w:pPr>
        <w:shd w:val="clear" w:color="auto" w:fill="FFFFFF"/>
        <w:jc w:val="both"/>
        <w:rPr>
          <w:bCs/>
          <w:color w:val="002060"/>
          <w:sz w:val="16"/>
          <w:szCs w:val="16"/>
        </w:rPr>
      </w:pPr>
    </w:p>
    <w:p w14:paraId="2C12211C" w14:textId="77777777" w:rsidR="00F478FD" w:rsidRPr="00DE096C" w:rsidRDefault="00F478FD" w:rsidP="00D45A46">
      <w:pPr>
        <w:jc w:val="both"/>
        <w:rPr>
          <w:bCs/>
          <w:color w:val="002060"/>
          <w:sz w:val="16"/>
          <w:szCs w:val="16"/>
        </w:rPr>
      </w:pPr>
      <w:r w:rsidRPr="00DE096C">
        <w:rPr>
          <w:bCs/>
          <w:color w:val="002060"/>
          <w:sz w:val="16"/>
          <w:szCs w:val="16"/>
        </w:rPr>
        <w:t>Летом 1914 г. в 21-м корпусном авиаотряде из пяти мотористов только два имели опыт эксплуатации авиатехники. Через полтора месяца военных действий в этом отряде по вине личного состава было выведено из строя четыре самолета. Вместе с тем, нельзя не принимать во внимание и изношенность основной массы самолетов в русской армии, имевшую место перед войной. Например, на ЮЗФ больше половины аппаратов имели моторы «Гном», 200-часовой ресурс которых в августе 1914 г. подходил к концу (19556).</w:t>
      </w:r>
    </w:p>
    <w:p w14:paraId="4E8CE978" w14:textId="77777777" w:rsidR="00F478FD" w:rsidRPr="00DE096C" w:rsidRDefault="00F478FD" w:rsidP="00D45A46">
      <w:pPr>
        <w:jc w:val="both"/>
        <w:rPr>
          <w:bCs/>
          <w:color w:val="002060"/>
          <w:sz w:val="16"/>
          <w:szCs w:val="16"/>
        </w:rPr>
      </w:pPr>
    </w:p>
    <w:p w14:paraId="052E2CEB" w14:textId="77777777" w:rsidR="000B43C4" w:rsidRPr="00DE096C" w:rsidRDefault="000B43C4" w:rsidP="00D45A46">
      <w:pPr>
        <w:shd w:val="clear" w:color="auto" w:fill="FFFFFF"/>
        <w:jc w:val="both"/>
        <w:rPr>
          <w:bCs/>
          <w:color w:val="002060"/>
          <w:sz w:val="16"/>
          <w:szCs w:val="16"/>
        </w:rPr>
      </w:pPr>
      <w:r w:rsidRPr="00DE096C">
        <w:rPr>
          <w:bCs/>
          <w:color w:val="002060"/>
          <w:sz w:val="16"/>
          <w:szCs w:val="16"/>
          <w:shd w:val="clear" w:color="auto" w:fill="FFFFFF"/>
        </w:rPr>
        <w:t>Летом 1914 г. обсуждался вопрос о снабжении его парашютами экипажей тяжелых бомбардировщиков «Илья Муромец». За это горячо ратовал летчик Г.В. Алехнович. Предполагалось, что в полете «ременная упряжь» будет постоянно находиться на людях, а ранцы с парашютами – храниться в укладке у входной двери. При необходимости летчик возьмет свой ранец, пристегнет замки, а затем, взяв ранец за боковую ручку, как баул, шагнет за борт. 30 августа 1914 г. Котельников получил письмо, извещавшее о том, что военное министерство решило заказать 70 парашютов его конструкции (21505).</w:t>
      </w:r>
    </w:p>
    <w:p w14:paraId="577DE0C7" w14:textId="3672D456" w:rsidR="000B43C4" w:rsidRPr="00DE096C" w:rsidRDefault="000B43C4" w:rsidP="00D45A46">
      <w:pPr>
        <w:shd w:val="clear" w:color="auto" w:fill="FFFFFF"/>
        <w:jc w:val="both"/>
        <w:rPr>
          <w:bCs/>
          <w:color w:val="002060"/>
          <w:sz w:val="16"/>
          <w:szCs w:val="16"/>
        </w:rPr>
      </w:pPr>
    </w:p>
    <w:p w14:paraId="7A745914" w14:textId="77777777" w:rsidR="00B408F8" w:rsidRPr="00DE096C" w:rsidRDefault="00B408F8" w:rsidP="00D45A46">
      <w:pPr>
        <w:shd w:val="clear" w:color="auto" w:fill="FFFFFF"/>
        <w:jc w:val="both"/>
        <w:rPr>
          <w:bCs/>
          <w:color w:val="002060"/>
          <w:sz w:val="16"/>
          <w:szCs w:val="16"/>
        </w:rPr>
      </w:pPr>
      <w:r w:rsidRPr="00DE096C">
        <w:rPr>
          <w:bCs/>
          <w:color w:val="002060"/>
          <w:sz w:val="16"/>
          <w:szCs w:val="16"/>
        </w:rPr>
        <w:t>Летом 1914 года, в условиях начавшейся войны, в поисках затерявшейся арктической экспедиции во главе с лейтенан</w:t>
      </w:r>
      <w:r w:rsidRPr="00DE096C">
        <w:rPr>
          <w:bCs/>
          <w:color w:val="002060"/>
          <w:sz w:val="16"/>
          <w:szCs w:val="16"/>
        </w:rPr>
        <w:softHyphen/>
        <w:t>том Георгием Седовым, участвовало промысловое судно «Пе</w:t>
      </w:r>
      <w:r w:rsidRPr="00DE096C">
        <w:rPr>
          <w:bCs/>
          <w:color w:val="002060"/>
          <w:sz w:val="16"/>
          <w:szCs w:val="16"/>
        </w:rPr>
        <w:softHyphen/>
        <w:t>чора». На ее борту находился специально доставленный из Франции в Александровск-на-Мурмане поплавковый гидроплан «Фарман». Его пилот адмиралтейский поручик Ян Нагурский с механиком матросом Евгением Кузнецовым из новоземельской Крестовой бухты совершили несколько полетов на рас</w:t>
      </w:r>
      <w:r w:rsidRPr="00DE096C">
        <w:rPr>
          <w:bCs/>
          <w:color w:val="002060"/>
          <w:sz w:val="16"/>
          <w:szCs w:val="16"/>
        </w:rPr>
        <w:softHyphen/>
        <w:t>стояние до ста километров, но обнаружить затертое льдами судно «Святой Фока» не смогли (11283).</w:t>
      </w:r>
    </w:p>
    <w:p w14:paraId="413C1853" w14:textId="77777777" w:rsidR="00B408F8" w:rsidRPr="00DE096C" w:rsidRDefault="00B408F8" w:rsidP="00D45A46">
      <w:pPr>
        <w:shd w:val="clear" w:color="auto" w:fill="FFFFFF"/>
        <w:jc w:val="both"/>
        <w:rPr>
          <w:bCs/>
          <w:i/>
          <w:iCs/>
          <w:color w:val="002060"/>
          <w:sz w:val="16"/>
          <w:szCs w:val="16"/>
        </w:rPr>
      </w:pPr>
    </w:p>
    <w:p w14:paraId="6E48B1F1" w14:textId="5C8A506C" w:rsidR="00F478FD" w:rsidRPr="00DE096C" w:rsidRDefault="00F478FD" w:rsidP="00D45A46">
      <w:pPr>
        <w:shd w:val="clear" w:color="auto" w:fill="FFFFFF"/>
        <w:jc w:val="both"/>
        <w:rPr>
          <w:bCs/>
          <w:i/>
          <w:iCs/>
          <w:color w:val="002060"/>
          <w:sz w:val="16"/>
          <w:szCs w:val="16"/>
        </w:rPr>
      </w:pPr>
      <w:r w:rsidRPr="00DE096C">
        <w:rPr>
          <w:bCs/>
          <w:i/>
          <w:iCs/>
          <w:color w:val="002060"/>
          <w:sz w:val="16"/>
          <w:szCs w:val="16"/>
        </w:rPr>
        <w:t>Морская авиация:</w:t>
      </w:r>
    </w:p>
    <w:p w14:paraId="179C1973" w14:textId="77777777" w:rsidR="00F478FD" w:rsidRPr="00DE096C" w:rsidRDefault="00F478FD" w:rsidP="00D45A46">
      <w:pPr>
        <w:shd w:val="clear" w:color="auto" w:fill="FFFFFF"/>
        <w:jc w:val="both"/>
        <w:rPr>
          <w:bCs/>
          <w:i/>
          <w:iCs/>
          <w:color w:val="002060"/>
          <w:sz w:val="16"/>
          <w:szCs w:val="16"/>
        </w:rPr>
      </w:pPr>
    </w:p>
    <w:p w14:paraId="16659611" w14:textId="77777777" w:rsidR="00F478FD" w:rsidRPr="00DE096C" w:rsidRDefault="00F478FD" w:rsidP="00D45A46">
      <w:pPr>
        <w:jc w:val="both"/>
        <w:rPr>
          <w:bCs/>
          <w:color w:val="002060"/>
          <w:sz w:val="16"/>
          <w:szCs w:val="16"/>
        </w:rPr>
      </w:pPr>
      <w:r w:rsidRPr="00DE096C">
        <w:rPr>
          <w:bCs/>
          <w:color w:val="002060"/>
          <w:sz w:val="16"/>
          <w:szCs w:val="16"/>
        </w:rPr>
        <w:t>До лета 1914 года велась работа по определению роли и места морской авиации в будущей войне на море, в планах применения Балтийского и Черноморского флотов задачи морской авиации определены не были, да и большой надежды в предстоявшей войне руководство Морского министерства на морскую авиацию не возлагало. Тем не менее в самом ее начале появился документ, который касался исключительно морской авиации и конкретизировал ее задачи. Введенное 29 августа 1914 года в действие «Положение о службе авиации в службе связи» закрепило организационное включение морской авиации в состав службы связи Балтийского и Черного морей. Этот основополагающий документ определил конкретные задачи уже всей отечественной морской авиации, без привязки к конкретному морскому театру военных действий. В нем указывалось: «1. Для наблюдения за морем вне видимости береговых постов, для несения разведочной и сторожевой служб, для борьбы с воздушной разведкой противника и других активно-боевых целей при службе связи имеется служба авиации» (Российский государственный архив Военно-морского флота (РГА ВМФ). Ф. 249. Оп. 1. Д. 92. Л. 151.). Таким образом, в первом официальном документе отечественной морской авиации ставилась только одна задача — ведение воздушной разведки, остальные задачи не раскрывались, а были указаны в общем, как «другие активно-боевые цели». Указанный документ до введения в действие на протяжении двух лет (1912—1914 гг.) обсуждался в Морском министерстве, на Балтийском и Черноморском флотах. При этом предложения черноморцев, учитывавшие особенности их театра, учтены были незначительно, и еще до официального утверждения положения было ясно, что документ в первую очередь будет соответствовать и отвечать требованиям морской авиации берегового базирования (иначе — морской авиации прибрежного действия или авиации службы связи Балтийского моря) (11177).</w:t>
      </w:r>
    </w:p>
    <w:p w14:paraId="523AD7BA" w14:textId="77777777" w:rsidR="00F478FD" w:rsidRPr="00DE096C" w:rsidRDefault="00F478FD" w:rsidP="00D45A46">
      <w:pPr>
        <w:jc w:val="both"/>
        <w:rPr>
          <w:bCs/>
          <w:color w:val="002060"/>
          <w:sz w:val="16"/>
          <w:szCs w:val="16"/>
        </w:rPr>
      </w:pPr>
    </w:p>
    <w:p w14:paraId="13250EFB" w14:textId="77777777" w:rsidR="000B43C4" w:rsidRPr="00DE096C" w:rsidRDefault="000B43C4" w:rsidP="00D45A46">
      <w:pPr>
        <w:shd w:val="clear" w:color="auto" w:fill="FFFFFF"/>
        <w:jc w:val="both"/>
        <w:rPr>
          <w:bCs/>
          <w:i/>
          <w:color w:val="002060"/>
          <w:sz w:val="16"/>
          <w:szCs w:val="16"/>
        </w:rPr>
      </w:pPr>
      <w:r w:rsidRPr="00DE096C">
        <w:rPr>
          <w:bCs/>
          <w:i/>
          <w:color w:val="002060"/>
          <w:sz w:val="16"/>
          <w:szCs w:val="16"/>
        </w:rPr>
        <w:t>Военное воздухоплавание:</w:t>
      </w:r>
    </w:p>
    <w:p w14:paraId="0FBC811D" w14:textId="77777777" w:rsidR="000B43C4" w:rsidRPr="00DE096C" w:rsidRDefault="000B43C4" w:rsidP="00D45A46">
      <w:pPr>
        <w:shd w:val="clear" w:color="auto" w:fill="FFFFFF"/>
        <w:jc w:val="both"/>
        <w:rPr>
          <w:bCs/>
          <w:i/>
          <w:color w:val="002060"/>
          <w:sz w:val="16"/>
          <w:szCs w:val="16"/>
        </w:rPr>
      </w:pPr>
    </w:p>
    <w:p w14:paraId="2C8AEDE3" w14:textId="77777777" w:rsidR="000B43C4" w:rsidRPr="00DE096C" w:rsidRDefault="000B43C4" w:rsidP="00D45A46">
      <w:pPr>
        <w:jc w:val="both"/>
        <w:rPr>
          <w:bCs/>
          <w:color w:val="002060"/>
          <w:sz w:val="16"/>
          <w:szCs w:val="16"/>
        </w:rPr>
      </w:pPr>
      <w:r w:rsidRPr="00DE096C">
        <w:rPr>
          <w:bCs/>
          <w:color w:val="002060"/>
          <w:sz w:val="16"/>
          <w:szCs w:val="16"/>
        </w:rPr>
        <w:t>Летом 1914 г., осуществляя по приказу штаба Северо-Западного фронта ночную бомбардировку подъездных путей к Осовцу, дирижабль Альбатрос ошибочно был обстрелян оружейным огнем из своих же позиций. Со множеством пробоин его решено было перебазировать в Брест-Литовск. И хотя по завершении ремонтных работ в середине сентября 1914 г. дирижабль вернулся в Белосток, прослужил он недолго: 13 октября, в один из вылетов в качестве разведчика, в 40 километрах от линии фронта плохие погодные условия спровоцировали аварийную ситуацию. Исправление повреждений в полевых условиях оказалось невозможным, аппарат пришлось разобрать, но благодаря техническим характеристикам он занял достойное место в эпохе российского дирижаблестроения (22673).</w:t>
      </w:r>
    </w:p>
    <w:p w14:paraId="68D4F534" w14:textId="77777777" w:rsidR="000B43C4" w:rsidRPr="00DE096C" w:rsidRDefault="000B43C4" w:rsidP="00D45A46">
      <w:pPr>
        <w:jc w:val="both"/>
        <w:rPr>
          <w:bCs/>
          <w:color w:val="002060"/>
          <w:sz w:val="16"/>
          <w:szCs w:val="16"/>
        </w:rPr>
      </w:pPr>
    </w:p>
    <w:p w14:paraId="4CCFC0A1" w14:textId="77777777" w:rsidR="000B43C4" w:rsidRPr="00DE096C" w:rsidRDefault="000B43C4" w:rsidP="00D45A46">
      <w:pPr>
        <w:jc w:val="both"/>
        <w:rPr>
          <w:rStyle w:val="43"/>
          <w:rFonts w:ascii="Times New Roman" w:hAnsi="Times New Roman" w:cs="Times New Roman"/>
          <w:bCs/>
          <w:color w:val="002060"/>
          <w:w w:val="100"/>
          <w:sz w:val="16"/>
          <w:szCs w:val="16"/>
        </w:rPr>
      </w:pPr>
      <w:r w:rsidRPr="00DE096C">
        <w:rPr>
          <w:rStyle w:val="43"/>
          <w:rFonts w:ascii="Times New Roman" w:hAnsi="Times New Roman" w:cs="Times New Roman"/>
          <w:bCs/>
          <w:color w:val="002060"/>
          <w:w w:val="100"/>
          <w:sz w:val="16"/>
          <w:szCs w:val="16"/>
        </w:rPr>
        <w:t>Летом 1914 г. в России имелось пять возду</w:t>
      </w:r>
      <w:r w:rsidRPr="00DE096C">
        <w:rPr>
          <w:rStyle w:val="43"/>
          <w:rFonts w:ascii="Times New Roman" w:hAnsi="Times New Roman" w:cs="Times New Roman"/>
          <w:bCs/>
          <w:color w:val="002060"/>
          <w:w w:val="100"/>
          <w:sz w:val="16"/>
          <w:szCs w:val="16"/>
        </w:rPr>
        <w:softHyphen/>
        <w:t>хоплавательных рот с управляемыми аэроста</w:t>
      </w:r>
      <w:r w:rsidRPr="00DE096C">
        <w:rPr>
          <w:rStyle w:val="43"/>
          <w:rFonts w:ascii="Times New Roman" w:hAnsi="Times New Roman" w:cs="Times New Roman"/>
          <w:bCs/>
          <w:color w:val="002060"/>
          <w:w w:val="100"/>
          <w:sz w:val="16"/>
          <w:szCs w:val="16"/>
        </w:rPr>
        <w:softHyphen/>
        <w:t>тами:</w:t>
      </w:r>
    </w:p>
    <w:p w14:paraId="591DBA2D" w14:textId="77777777" w:rsidR="000B43C4" w:rsidRPr="00DE096C" w:rsidRDefault="000B43C4" w:rsidP="00D45A46">
      <w:pPr>
        <w:jc w:val="both"/>
        <w:rPr>
          <w:bCs/>
          <w:color w:val="002060"/>
          <w:sz w:val="16"/>
          <w:szCs w:val="16"/>
        </w:rPr>
      </w:pPr>
      <w:r w:rsidRPr="00DE096C">
        <w:rPr>
          <w:rStyle w:val="43"/>
          <w:rFonts w:ascii="Times New Roman" w:hAnsi="Times New Roman" w:cs="Times New Roman"/>
          <w:bCs/>
          <w:color w:val="002060"/>
          <w:w w:val="100"/>
          <w:sz w:val="16"/>
          <w:szCs w:val="16"/>
        </w:rPr>
        <w:t>2-я рота батальона ОВШ, 2-я, 3-я и 4-я воздухоплавательные роты на западной грани</w:t>
      </w:r>
      <w:r w:rsidRPr="00DE096C">
        <w:rPr>
          <w:rStyle w:val="43"/>
          <w:rFonts w:ascii="Times New Roman" w:hAnsi="Times New Roman" w:cs="Times New Roman"/>
          <w:bCs/>
          <w:color w:val="002060"/>
          <w:w w:val="100"/>
          <w:sz w:val="16"/>
          <w:szCs w:val="16"/>
        </w:rPr>
        <w:softHyphen/>
        <w:t>це и Сибирская воздухоплавательная рота. Они располагали девятью дирижаблями. В постройке находились дирижабли «Гигант», «Воздушный крейсер» и «Клеман-Баяр».</w:t>
      </w:r>
    </w:p>
    <w:p w14:paraId="647C3A72" w14:textId="77777777" w:rsidR="000B43C4" w:rsidRPr="00DE096C" w:rsidRDefault="000B43C4" w:rsidP="00D45A46">
      <w:pPr>
        <w:jc w:val="both"/>
        <w:rPr>
          <w:rStyle w:val="43"/>
          <w:rFonts w:ascii="Times New Roman" w:hAnsi="Times New Roman" w:cs="Times New Roman"/>
          <w:bCs/>
          <w:color w:val="002060"/>
          <w:w w:val="100"/>
          <w:sz w:val="16"/>
          <w:szCs w:val="16"/>
        </w:rPr>
      </w:pPr>
      <w:r w:rsidRPr="00DE096C">
        <w:rPr>
          <w:rStyle w:val="43"/>
          <w:rFonts w:ascii="Times New Roman" w:hAnsi="Times New Roman" w:cs="Times New Roman"/>
          <w:bCs/>
          <w:color w:val="002060"/>
          <w:w w:val="100"/>
          <w:sz w:val="16"/>
          <w:szCs w:val="16"/>
        </w:rPr>
        <w:lastRenderedPageBreak/>
        <w:t>2-я рота батальона ОВШ, преобразованная в 12-ю воздухоплавательную роту, располагала эллингами под Петроградом на Волковом поле и в д. Сализи. Рота обслуживала малый дири</w:t>
      </w:r>
      <w:r w:rsidRPr="00DE096C">
        <w:rPr>
          <w:rStyle w:val="43"/>
          <w:rFonts w:ascii="Times New Roman" w:hAnsi="Times New Roman" w:cs="Times New Roman"/>
          <w:bCs/>
          <w:color w:val="002060"/>
          <w:w w:val="100"/>
          <w:sz w:val="16"/>
          <w:szCs w:val="16"/>
        </w:rPr>
        <w:softHyphen/>
        <w:t>жабль «Ястреб» и должна была эксплуатировать строящийся дирижабль «Гигант». В её распоря</w:t>
      </w:r>
      <w:r w:rsidRPr="00DE096C">
        <w:rPr>
          <w:rStyle w:val="43"/>
          <w:rFonts w:ascii="Times New Roman" w:hAnsi="Times New Roman" w:cs="Times New Roman"/>
          <w:bCs/>
          <w:color w:val="002060"/>
          <w:w w:val="100"/>
          <w:sz w:val="16"/>
          <w:szCs w:val="16"/>
        </w:rPr>
        <w:softHyphen/>
        <w:t>жении находился также «Альбатрос», оставлен</w:t>
      </w:r>
      <w:r w:rsidRPr="00DE096C">
        <w:rPr>
          <w:rStyle w:val="43"/>
          <w:rFonts w:ascii="Times New Roman" w:hAnsi="Times New Roman" w:cs="Times New Roman"/>
          <w:bCs/>
          <w:color w:val="002060"/>
          <w:w w:val="100"/>
          <w:sz w:val="16"/>
          <w:szCs w:val="16"/>
        </w:rPr>
        <w:softHyphen/>
        <w:t xml:space="preserve">ный в батальоне ОВШ для практики экипажа, так как строительство большого эллинга для него во Владивостоке ещё не завершилось. </w:t>
      </w:r>
    </w:p>
    <w:p w14:paraId="0CDB090D" w14:textId="77777777" w:rsidR="000B43C4" w:rsidRPr="00DE096C" w:rsidRDefault="000B43C4" w:rsidP="00D45A46">
      <w:pPr>
        <w:jc w:val="both"/>
        <w:rPr>
          <w:bCs/>
          <w:color w:val="002060"/>
          <w:sz w:val="16"/>
          <w:szCs w:val="16"/>
        </w:rPr>
      </w:pPr>
      <w:r w:rsidRPr="00DE096C">
        <w:rPr>
          <w:rStyle w:val="43"/>
          <w:rFonts w:ascii="Times New Roman" w:hAnsi="Times New Roman" w:cs="Times New Roman"/>
          <w:bCs/>
          <w:color w:val="002060"/>
          <w:w w:val="100"/>
          <w:sz w:val="16"/>
          <w:szCs w:val="16"/>
        </w:rPr>
        <w:t>В августе 1914 г. «Альбатрос» перелетел в г. Лиду и вошёл в состав 3-й воздухоплавательной роты. «Ястреб» использовался для испытания парашютов, бомб и подготовки пилотов дирижаблей. В течение зимы 1914-1915 гг. ОВШ выпустила пять пило- тов-дирижаблистов.</w:t>
      </w:r>
    </w:p>
    <w:p w14:paraId="49F6DED6" w14:textId="77777777" w:rsidR="000B43C4" w:rsidRPr="00DE096C" w:rsidRDefault="000B43C4" w:rsidP="00D45A46">
      <w:pPr>
        <w:jc w:val="both"/>
        <w:rPr>
          <w:bCs/>
          <w:color w:val="002060"/>
          <w:sz w:val="16"/>
          <w:szCs w:val="16"/>
        </w:rPr>
      </w:pPr>
      <w:r w:rsidRPr="00DE096C">
        <w:rPr>
          <w:rStyle w:val="43"/>
          <w:rFonts w:ascii="Times New Roman" w:hAnsi="Times New Roman" w:cs="Times New Roman"/>
          <w:bCs/>
          <w:color w:val="002060"/>
          <w:w w:val="100"/>
          <w:sz w:val="16"/>
          <w:szCs w:val="16"/>
        </w:rPr>
        <w:t>2-я воздухоплавательная рота базировалась в Брест-Литовске. На её вооружении находился большой дирижабль «Кондор». Малые дирижаб</w:t>
      </w:r>
      <w:r w:rsidRPr="00DE096C">
        <w:rPr>
          <w:rStyle w:val="43"/>
          <w:rFonts w:ascii="Times New Roman" w:hAnsi="Times New Roman" w:cs="Times New Roman"/>
          <w:bCs/>
          <w:color w:val="002060"/>
          <w:w w:val="100"/>
          <w:sz w:val="16"/>
          <w:szCs w:val="16"/>
        </w:rPr>
        <w:softHyphen/>
        <w:t>ли «Коршун» и «Беркут» хранились на складе. Осенью 1914 г. воздухоплавательную роту пере</w:t>
      </w:r>
      <w:r w:rsidRPr="00DE096C">
        <w:rPr>
          <w:rStyle w:val="43"/>
          <w:rFonts w:ascii="Times New Roman" w:hAnsi="Times New Roman" w:cs="Times New Roman"/>
          <w:bCs/>
          <w:color w:val="002060"/>
          <w:w w:val="100"/>
          <w:sz w:val="16"/>
          <w:szCs w:val="16"/>
        </w:rPr>
        <w:softHyphen/>
        <w:t>дислоцировали в Львов.</w:t>
      </w:r>
    </w:p>
    <w:p w14:paraId="1ECF8A8A" w14:textId="77777777" w:rsidR="000B43C4" w:rsidRPr="00DE096C" w:rsidRDefault="000B43C4" w:rsidP="00D45A46">
      <w:pPr>
        <w:tabs>
          <w:tab w:val="left" w:pos="745"/>
        </w:tabs>
        <w:jc w:val="both"/>
        <w:rPr>
          <w:bCs/>
          <w:color w:val="002060"/>
          <w:sz w:val="16"/>
          <w:szCs w:val="16"/>
        </w:rPr>
      </w:pPr>
      <w:r w:rsidRPr="00DE096C">
        <w:rPr>
          <w:rStyle w:val="43"/>
          <w:rFonts w:ascii="Times New Roman" w:hAnsi="Times New Roman" w:cs="Times New Roman"/>
          <w:bCs/>
          <w:color w:val="002060"/>
          <w:w w:val="100"/>
          <w:sz w:val="16"/>
          <w:szCs w:val="16"/>
        </w:rPr>
        <w:t>3-я воздухоплавательная рота базировалась в Лиде и располагала эллингами в Ковно и Бе</w:t>
      </w:r>
      <w:r w:rsidRPr="00DE096C">
        <w:rPr>
          <w:rStyle w:val="43"/>
          <w:rFonts w:ascii="Times New Roman" w:hAnsi="Times New Roman" w:cs="Times New Roman"/>
          <w:bCs/>
          <w:color w:val="002060"/>
          <w:w w:val="100"/>
          <w:sz w:val="16"/>
          <w:szCs w:val="16"/>
        </w:rPr>
        <w:softHyphen/>
        <w:t>лостоке. На её вооружении находились большой дирижабль «Астра XIII» и малый «Голубь». В ав</w:t>
      </w:r>
      <w:r w:rsidRPr="00DE096C">
        <w:rPr>
          <w:rStyle w:val="43"/>
          <w:rFonts w:ascii="Times New Roman" w:hAnsi="Times New Roman" w:cs="Times New Roman"/>
          <w:bCs/>
          <w:color w:val="002060"/>
          <w:w w:val="100"/>
          <w:sz w:val="16"/>
          <w:szCs w:val="16"/>
        </w:rPr>
        <w:softHyphen/>
        <w:t>густе к ним присоединился большой дирижабль «Альбатрос». В декабре 1914 г. в Белостоке собра</w:t>
      </w:r>
      <w:r w:rsidRPr="00DE096C">
        <w:rPr>
          <w:rStyle w:val="43"/>
          <w:rFonts w:ascii="Times New Roman" w:hAnsi="Times New Roman" w:cs="Times New Roman"/>
          <w:bCs/>
          <w:color w:val="002060"/>
          <w:w w:val="100"/>
          <w:sz w:val="16"/>
          <w:szCs w:val="16"/>
        </w:rPr>
        <w:softHyphen/>
        <w:t>ли «Буревестник».</w:t>
      </w:r>
    </w:p>
    <w:p w14:paraId="1B029EF6" w14:textId="77777777" w:rsidR="000B43C4" w:rsidRPr="00DE096C" w:rsidRDefault="000B43C4" w:rsidP="00D45A46">
      <w:pPr>
        <w:tabs>
          <w:tab w:val="left" w:pos="740"/>
        </w:tabs>
        <w:jc w:val="both"/>
        <w:rPr>
          <w:bCs/>
          <w:color w:val="002060"/>
          <w:sz w:val="16"/>
          <w:szCs w:val="16"/>
        </w:rPr>
      </w:pPr>
      <w:r w:rsidRPr="00DE096C">
        <w:rPr>
          <w:rStyle w:val="43"/>
          <w:rFonts w:ascii="Times New Roman" w:hAnsi="Times New Roman" w:cs="Times New Roman"/>
          <w:bCs/>
          <w:color w:val="002060"/>
          <w:w w:val="100"/>
          <w:sz w:val="16"/>
          <w:szCs w:val="16"/>
        </w:rPr>
        <w:t>4-я воздухоплавательная рота базировалась в Бердичеве и имела эллинги в Ровно и Луцке. Она располагала дирижаблями «Буревестник», «Гриф» и «Сокол». При объявлении войны «Со</w:t>
      </w:r>
      <w:r w:rsidRPr="00DE096C">
        <w:rPr>
          <w:rStyle w:val="43"/>
          <w:rFonts w:ascii="Times New Roman" w:hAnsi="Times New Roman" w:cs="Times New Roman"/>
          <w:bCs/>
          <w:color w:val="002060"/>
          <w:w w:val="100"/>
          <w:sz w:val="16"/>
          <w:szCs w:val="16"/>
        </w:rPr>
        <w:softHyphen/>
        <w:t>кол» находился в наполненном состоянии, но на фронт его не послали. «Гриф» остался в разо</w:t>
      </w:r>
      <w:r w:rsidRPr="00DE096C">
        <w:rPr>
          <w:rStyle w:val="43"/>
          <w:rFonts w:ascii="Times New Roman" w:hAnsi="Times New Roman" w:cs="Times New Roman"/>
          <w:bCs/>
          <w:color w:val="002060"/>
          <w:w w:val="100"/>
          <w:sz w:val="16"/>
          <w:szCs w:val="16"/>
        </w:rPr>
        <w:softHyphen/>
        <w:t>бранном состоянии, а «Буревестник» отправили в Белосток.</w:t>
      </w:r>
    </w:p>
    <w:p w14:paraId="4E98FA24" w14:textId="77777777" w:rsidR="000B43C4" w:rsidRPr="00DE096C" w:rsidRDefault="000B43C4" w:rsidP="00D45A46">
      <w:pPr>
        <w:jc w:val="both"/>
        <w:rPr>
          <w:rStyle w:val="43"/>
          <w:rFonts w:ascii="Times New Roman" w:hAnsi="Times New Roman" w:cs="Times New Roman"/>
          <w:bCs/>
          <w:color w:val="002060"/>
          <w:w w:val="100"/>
          <w:sz w:val="16"/>
          <w:szCs w:val="16"/>
        </w:rPr>
      </w:pPr>
      <w:r w:rsidRPr="00DE096C">
        <w:rPr>
          <w:rStyle w:val="43"/>
          <w:rFonts w:ascii="Times New Roman" w:hAnsi="Times New Roman" w:cs="Times New Roman"/>
          <w:bCs/>
          <w:color w:val="002060"/>
          <w:w w:val="100"/>
          <w:sz w:val="16"/>
          <w:szCs w:val="16"/>
        </w:rPr>
        <w:t>Сибирская воздухоплавательная рота базиро</w:t>
      </w:r>
      <w:r w:rsidRPr="00DE096C">
        <w:rPr>
          <w:rStyle w:val="43"/>
          <w:rFonts w:ascii="Times New Roman" w:hAnsi="Times New Roman" w:cs="Times New Roman"/>
          <w:bCs/>
          <w:color w:val="002060"/>
          <w:w w:val="100"/>
          <w:sz w:val="16"/>
          <w:szCs w:val="16"/>
        </w:rPr>
        <w:softHyphen/>
        <w:t>валась на г. Никольск-Уссурийский. На её воору</w:t>
      </w:r>
      <w:r w:rsidRPr="00DE096C">
        <w:rPr>
          <w:rStyle w:val="43"/>
          <w:rFonts w:ascii="Times New Roman" w:hAnsi="Times New Roman" w:cs="Times New Roman"/>
          <w:bCs/>
          <w:color w:val="002060"/>
          <w:w w:val="100"/>
          <w:sz w:val="16"/>
          <w:szCs w:val="16"/>
        </w:rPr>
        <w:softHyphen/>
        <w:t>жении находились малые дирижабли «Кобчик» и «Чайка». В 1915 г. её перевели на фронт, но там она использовалась как рота с привязными аэростатами, так как «Чайка» погибла в 1914 г. (до объявления войны), а «Кобчик» мало подхо</w:t>
      </w:r>
      <w:r w:rsidRPr="00DE096C">
        <w:rPr>
          <w:rStyle w:val="43"/>
          <w:rFonts w:ascii="Times New Roman" w:hAnsi="Times New Roman" w:cs="Times New Roman"/>
          <w:bCs/>
          <w:color w:val="002060"/>
          <w:w w:val="100"/>
          <w:sz w:val="16"/>
          <w:szCs w:val="16"/>
        </w:rPr>
        <w:softHyphen/>
        <w:t>дил для боевых полётов (20120).</w:t>
      </w:r>
    </w:p>
    <w:p w14:paraId="2B3E507E" w14:textId="77777777" w:rsidR="00541F55" w:rsidRPr="00DE096C" w:rsidRDefault="00541F55" w:rsidP="00D45A46">
      <w:pPr>
        <w:pStyle w:val="a3"/>
        <w:jc w:val="both"/>
        <w:rPr>
          <w:bCs/>
          <w:color w:val="002060"/>
          <w:spacing w:val="0"/>
          <w:kern w:val="0"/>
          <w:position w:val="0"/>
          <w:sz w:val="16"/>
          <w:szCs w:val="16"/>
        </w:rPr>
      </w:pPr>
    </w:p>
    <w:p w14:paraId="360A841D" w14:textId="03D0131F" w:rsidR="008B267B" w:rsidRPr="00DE096C" w:rsidRDefault="008B267B" w:rsidP="008B267B">
      <w:pPr>
        <w:pStyle w:val="a3"/>
        <w:jc w:val="both"/>
        <w:rPr>
          <w:bCs/>
          <w:color w:val="002060"/>
          <w:spacing w:val="0"/>
          <w:kern w:val="0"/>
          <w:position w:val="0"/>
          <w:sz w:val="16"/>
          <w:szCs w:val="16"/>
        </w:rPr>
      </w:pPr>
      <w:r>
        <w:rPr>
          <w:bCs/>
          <w:color w:val="002060"/>
          <w:spacing w:val="0"/>
          <w:kern w:val="0"/>
          <w:position w:val="0"/>
          <w:sz w:val="16"/>
          <w:szCs w:val="16"/>
        </w:rPr>
        <w:t>Авиация и воздухоплавание Германии</w:t>
      </w:r>
      <w:r w:rsidRPr="00DE096C">
        <w:rPr>
          <w:bCs/>
          <w:color w:val="002060"/>
          <w:spacing w:val="0"/>
          <w:kern w:val="0"/>
          <w:position w:val="0"/>
          <w:sz w:val="16"/>
          <w:szCs w:val="16"/>
        </w:rPr>
        <w:t>:</w:t>
      </w:r>
    </w:p>
    <w:p w14:paraId="4C7B16CA" w14:textId="77777777" w:rsidR="008B267B" w:rsidRPr="00DE096C" w:rsidRDefault="008B267B" w:rsidP="008B267B">
      <w:pPr>
        <w:pStyle w:val="a3"/>
        <w:jc w:val="both"/>
        <w:rPr>
          <w:bCs/>
          <w:color w:val="002060"/>
          <w:spacing w:val="0"/>
          <w:kern w:val="0"/>
          <w:position w:val="0"/>
          <w:sz w:val="16"/>
          <w:szCs w:val="16"/>
        </w:rPr>
      </w:pPr>
    </w:p>
    <w:p w14:paraId="530D94E9" w14:textId="77777777" w:rsidR="008B267B" w:rsidRPr="00B52707" w:rsidRDefault="008B267B" w:rsidP="008B267B">
      <w:pPr>
        <w:jc w:val="both"/>
        <w:rPr>
          <w:color w:val="0070C0"/>
          <w:sz w:val="16"/>
          <w:szCs w:val="16"/>
        </w:rPr>
      </w:pPr>
      <w:r w:rsidRPr="00B52707">
        <w:rPr>
          <w:rStyle w:val="ab"/>
          <w:rFonts w:ascii="Times New Roman" w:hAnsi="Times New Roman"/>
          <w:color w:val="0070C0"/>
          <w:spacing w:val="0"/>
          <w:sz w:val="16"/>
          <w:szCs w:val="16"/>
        </w:rPr>
        <w:t xml:space="preserve">Летом 1914 года в Германии на заводе </w:t>
      </w:r>
      <w:r w:rsidRPr="00B52707">
        <w:rPr>
          <w:rStyle w:val="ab"/>
          <w:rFonts w:ascii="Times New Roman" w:hAnsi="Times New Roman"/>
          <w:color w:val="0070C0"/>
          <w:spacing w:val="0"/>
          <w:sz w:val="16"/>
          <w:szCs w:val="16"/>
          <w:lang w:val="en-US"/>
        </w:rPr>
        <w:t>Luftfahrzeug</w:t>
      </w:r>
      <w:r w:rsidRPr="00B52707">
        <w:rPr>
          <w:rStyle w:val="ab"/>
          <w:rFonts w:ascii="Times New Roman" w:hAnsi="Times New Roman"/>
          <w:color w:val="0070C0"/>
          <w:spacing w:val="0"/>
          <w:sz w:val="16"/>
          <w:szCs w:val="16"/>
        </w:rPr>
        <w:t>-</w:t>
      </w:r>
      <w:r w:rsidRPr="00B52707">
        <w:rPr>
          <w:rStyle w:val="ab"/>
          <w:rFonts w:ascii="Times New Roman" w:hAnsi="Times New Roman"/>
          <w:color w:val="0070C0"/>
          <w:spacing w:val="0"/>
          <w:sz w:val="16"/>
          <w:szCs w:val="16"/>
          <w:lang w:val="en-US"/>
        </w:rPr>
        <w:t>Gesellschaft</w:t>
      </w:r>
      <w:r w:rsidRPr="00B52707">
        <w:rPr>
          <w:rStyle w:val="ab"/>
          <w:rFonts w:ascii="Times New Roman" w:hAnsi="Times New Roman"/>
          <w:color w:val="0070C0"/>
          <w:spacing w:val="0"/>
          <w:sz w:val="16"/>
          <w:szCs w:val="16"/>
        </w:rPr>
        <w:t xml:space="preserve"> (около г. Берлин) были построены три дирижабля системы «Парсеваль» мягкой конструкции. Последующий заказ (еще три воздушных корабля) для иностранных армий с началом войны был приостановлен. В результате изготовленный к этому времени дирижабль (№ 19) был передан военному ведомству и отправлен в г. Кёнигсберг. Воздушный корабль, оснащенный двумя моторами фирмы Майбах (</w:t>
      </w:r>
      <w:r w:rsidRPr="00B52707">
        <w:rPr>
          <w:rStyle w:val="ab"/>
          <w:rFonts w:ascii="Times New Roman" w:hAnsi="Times New Roman"/>
          <w:color w:val="0070C0"/>
          <w:spacing w:val="0"/>
          <w:sz w:val="16"/>
          <w:szCs w:val="16"/>
          <w:lang w:val="en-US"/>
        </w:rPr>
        <w:t>Maybach</w:t>
      </w:r>
      <w:r w:rsidRPr="00B52707">
        <w:rPr>
          <w:rStyle w:val="ab"/>
          <w:rFonts w:ascii="Times New Roman" w:hAnsi="Times New Roman"/>
          <w:color w:val="0070C0"/>
          <w:spacing w:val="0"/>
          <w:sz w:val="16"/>
          <w:szCs w:val="16"/>
        </w:rPr>
        <w:t>), при полезной нагрузке в 2,6 тонн мог развивать скорость до 76,6 км/час (25166).</w:t>
      </w:r>
    </w:p>
    <w:p w14:paraId="4B16A2B5" w14:textId="77777777" w:rsidR="008B267B" w:rsidRPr="00B52707" w:rsidRDefault="008B267B" w:rsidP="008B267B">
      <w:pPr>
        <w:jc w:val="both"/>
        <w:rPr>
          <w:color w:val="0070C0"/>
          <w:sz w:val="16"/>
          <w:szCs w:val="16"/>
        </w:rPr>
      </w:pPr>
    </w:p>
    <w:p w14:paraId="40A60D80" w14:textId="77777777" w:rsidR="00541F55" w:rsidRPr="00DE096C" w:rsidRDefault="00541F55" w:rsidP="00D45A46">
      <w:pPr>
        <w:pStyle w:val="a3"/>
        <w:jc w:val="both"/>
        <w:rPr>
          <w:bCs/>
          <w:color w:val="002060"/>
          <w:spacing w:val="0"/>
          <w:kern w:val="0"/>
          <w:position w:val="0"/>
          <w:sz w:val="16"/>
          <w:szCs w:val="16"/>
        </w:rPr>
      </w:pPr>
      <w:r w:rsidRPr="00DE096C">
        <w:rPr>
          <w:bCs/>
          <w:color w:val="002060"/>
          <w:spacing w:val="0"/>
          <w:kern w:val="0"/>
          <w:position w:val="0"/>
          <w:sz w:val="16"/>
          <w:szCs w:val="16"/>
        </w:rPr>
        <w:t>Самолетостроение:</w:t>
      </w:r>
    </w:p>
    <w:p w14:paraId="3D60C96F" w14:textId="77777777" w:rsidR="00541F55" w:rsidRPr="00DE096C" w:rsidRDefault="00541F55" w:rsidP="00D45A46">
      <w:pPr>
        <w:pStyle w:val="a3"/>
        <w:jc w:val="both"/>
        <w:rPr>
          <w:bCs/>
          <w:color w:val="002060"/>
          <w:spacing w:val="0"/>
          <w:kern w:val="0"/>
          <w:position w:val="0"/>
          <w:sz w:val="16"/>
          <w:szCs w:val="16"/>
        </w:rPr>
      </w:pPr>
    </w:p>
    <w:p w14:paraId="10A2C279" w14:textId="77777777" w:rsidR="00541F55" w:rsidRPr="00DE096C" w:rsidRDefault="00541F55" w:rsidP="00D45A46">
      <w:pPr>
        <w:jc w:val="both"/>
        <w:rPr>
          <w:bCs/>
          <w:color w:val="002060"/>
          <w:sz w:val="16"/>
          <w:szCs w:val="16"/>
        </w:rPr>
      </w:pPr>
      <w:r w:rsidRPr="00DE096C">
        <w:rPr>
          <w:bCs/>
          <w:color w:val="002060"/>
          <w:sz w:val="16"/>
          <w:szCs w:val="16"/>
        </w:rPr>
        <w:t>Летом-осенью 1914 г. на основании результатов испытаний и первого опыта строевой службы самолетов «Илья Муромец» Тип Б Главный инженер Воздухоплавательного отделения «Русско-Балтийского вагонного завода» (РБВЗ) в Санкт-Петербурге Игорь Иванович Сикорский начал проектирование следующей модификации самолета ИМ-В (С-23) с улучшенной конструкцией. Эта работа началась до того, как начались перебои со снабжением моторами производства фирмы «Аргус», основной капитал которой был немецким, а заказчиком были выставлены какие-либо замечания к самолету, и имела целью повышение тактико-технических данных и лучшее приспособление машины к существующим условиям производства и эксплуатации.</w:t>
      </w:r>
    </w:p>
    <w:p w14:paraId="4F0B677C" w14:textId="77777777" w:rsidR="00541F55" w:rsidRPr="00DE096C" w:rsidRDefault="00541F55" w:rsidP="00D45A46">
      <w:pPr>
        <w:jc w:val="both"/>
        <w:rPr>
          <w:bCs/>
          <w:color w:val="002060"/>
          <w:sz w:val="16"/>
          <w:szCs w:val="16"/>
        </w:rPr>
      </w:pPr>
      <w:r w:rsidRPr="00DE096C">
        <w:rPr>
          <w:bCs/>
          <w:color w:val="002060"/>
          <w:sz w:val="16"/>
          <w:szCs w:val="16"/>
        </w:rPr>
        <w:t>Все проектные работы по этой модификации самолета выполнялись под личным руководством И.И. Сикорского на базе РБВЗ в Санкт-Петербурге.</w:t>
      </w:r>
    </w:p>
    <w:p w14:paraId="038DDD7D" w14:textId="77777777" w:rsidR="00541F55" w:rsidRPr="00DE096C" w:rsidRDefault="00541F55" w:rsidP="00D45A46">
      <w:pPr>
        <w:jc w:val="both"/>
        <w:rPr>
          <w:bCs/>
          <w:color w:val="002060"/>
          <w:sz w:val="16"/>
          <w:szCs w:val="16"/>
        </w:rPr>
      </w:pPr>
      <w:bookmarkStart w:id="43" w:name="_Hlk136676071"/>
      <w:r w:rsidRPr="00DE096C">
        <w:rPr>
          <w:bCs/>
          <w:color w:val="002060"/>
          <w:sz w:val="16"/>
          <w:szCs w:val="16"/>
        </w:rPr>
        <w:t>По сравнению с самолетами ИМ-Б в конструкцию новой модификации были введены следующиеизменения:</w:t>
      </w:r>
    </w:p>
    <w:bookmarkEnd w:id="43"/>
    <w:p w14:paraId="7476A4ED" w14:textId="77777777" w:rsidR="00541F55" w:rsidRPr="00DE096C" w:rsidRDefault="00541F55" w:rsidP="00D45A46">
      <w:pPr>
        <w:jc w:val="both"/>
        <w:rPr>
          <w:bCs/>
          <w:color w:val="002060"/>
          <w:sz w:val="16"/>
          <w:szCs w:val="16"/>
        </w:rPr>
      </w:pPr>
      <w:r w:rsidRPr="00DE096C">
        <w:rPr>
          <w:bCs/>
          <w:color w:val="002060"/>
          <w:sz w:val="16"/>
          <w:szCs w:val="16"/>
        </w:rPr>
        <w:t>- для исключения попадания бензина на горячие моторы при простреле баков сделана новая топливная система, состоящая из двух главных баков увеличенного размера, установленных между фюзеляжем и верхним крылом (на типе Б-4 бака размещались каждый над своим мотором);</w:t>
      </w:r>
    </w:p>
    <w:p w14:paraId="06A211DC" w14:textId="77777777" w:rsidR="00541F55" w:rsidRPr="00DE096C" w:rsidRDefault="00541F55" w:rsidP="00D45A46">
      <w:pPr>
        <w:jc w:val="both"/>
        <w:rPr>
          <w:bCs/>
          <w:color w:val="002060"/>
          <w:sz w:val="16"/>
          <w:szCs w:val="16"/>
        </w:rPr>
      </w:pPr>
      <w:r w:rsidRPr="00DE096C">
        <w:rPr>
          <w:bCs/>
          <w:color w:val="002060"/>
          <w:sz w:val="16"/>
          <w:szCs w:val="16"/>
        </w:rPr>
        <w:t>- маслобаки размещены за моторами и опущены вниз;</w:t>
      </w:r>
    </w:p>
    <w:p w14:paraId="1293DED8" w14:textId="77777777" w:rsidR="00541F55" w:rsidRPr="00DE096C" w:rsidRDefault="00541F55" w:rsidP="00D45A46">
      <w:pPr>
        <w:jc w:val="both"/>
        <w:rPr>
          <w:bCs/>
          <w:color w:val="002060"/>
          <w:sz w:val="16"/>
          <w:szCs w:val="16"/>
        </w:rPr>
      </w:pPr>
      <w:r w:rsidRPr="00DE096C">
        <w:rPr>
          <w:bCs/>
          <w:color w:val="002060"/>
          <w:sz w:val="16"/>
          <w:szCs w:val="16"/>
        </w:rPr>
        <w:t>- уменьшены основные размеры планера;</w:t>
      </w:r>
    </w:p>
    <w:p w14:paraId="4DD8C79B" w14:textId="77777777" w:rsidR="00541F55" w:rsidRPr="00DE096C" w:rsidRDefault="00541F55" w:rsidP="00D45A46">
      <w:pPr>
        <w:jc w:val="both"/>
        <w:rPr>
          <w:bCs/>
          <w:color w:val="002060"/>
          <w:sz w:val="16"/>
          <w:szCs w:val="16"/>
        </w:rPr>
      </w:pPr>
      <w:r w:rsidRPr="00DE096C">
        <w:rPr>
          <w:bCs/>
          <w:color w:val="002060"/>
          <w:sz w:val="16"/>
          <w:szCs w:val="16"/>
        </w:rPr>
        <w:t>- наружные ободы (кромки) крыльев изготовлены из стальных труб (на типе Б – из дерева);</w:t>
      </w:r>
    </w:p>
    <w:p w14:paraId="106E558F" w14:textId="77777777" w:rsidR="00541F55" w:rsidRPr="00DE096C" w:rsidRDefault="00541F55" w:rsidP="00D45A46">
      <w:pPr>
        <w:jc w:val="both"/>
        <w:rPr>
          <w:bCs/>
          <w:color w:val="002060"/>
          <w:sz w:val="16"/>
          <w:szCs w:val="16"/>
        </w:rPr>
      </w:pPr>
      <w:r w:rsidRPr="00DE096C">
        <w:rPr>
          <w:bCs/>
          <w:color w:val="002060"/>
          <w:sz w:val="16"/>
          <w:szCs w:val="16"/>
        </w:rPr>
        <w:t>- изменена носовая часть (у типа Б имелась средняя панель остекления, установленная под прямым углом к направлению полета, у типа В обводы НЧФ по бортам были в виде двух панелей с дуговыми образующими, сходящихся по ПСС, а также верхней и нижней изогнутых панелей;</w:t>
      </w:r>
    </w:p>
    <w:p w14:paraId="73D51707" w14:textId="77777777" w:rsidR="00541F55" w:rsidRPr="00DE096C" w:rsidRDefault="00541F55" w:rsidP="00D45A46">
      <w:pPr>
        <w:jc w:val="both"/>
        <w:rPr>
          <w:bCs/>
          <w:color w:val="002060"/>
          <w:sz w:val="16"/>
          <w:szCs w:val="16"/>
        </w:rPr>
      </w:pPr>
      <w:r w:rsidRPr="00DE096C">
        <w:rPr>
          <w:bCs/>
          <w:color w:val="002060"/>
          <w:sz w:val="16"/>
          <w:szCs w:val="16"/>
        </w:rPr>
        <w:t>- уменьшено количество окон в бортах кабины;</w:t>
      </w:r>
    </w:p>
    <w:p w14:paraId="50E15DB4" w14:textId="77777777" w:rsidR="00541F55" w:rsidRPr="00DE096C" w:rsidRDefault="00541F55" w:rsidP="00D45A46">
      <w:pPr>
        <w:jc w:val="both"/>
        <w:rPr>
          <w:bCs/>
          <w:color w:val="002060"/>
          <w:sz w:val="16"/>
          <w:szCs w:val="16"/>
        </w:rPr>
      </w:pPr>
      <w:r w:rsidRPr="00DE096C">
        <w:rPr>
          <w:bCs/>
          <w:color w:val="002060"/>
          <w:sz w:val="16"/>
          <w:szCs w:val="16"/>
        </w:rPr>
        <w:t>- по правому борту фюзеляжа прорезана вторая дверь;</w:t>
      </w:r>
    </w:p>
    <w:p w14:paraId="70D4AD76" w14:textId="77777777" w:rsidR="00541F55" w:rsidRPr="00DE096C" w:rsidRDefault="00541F55" w:rsidP="00D45A46">
      <w:pPr>
        <w:jc w:val="both"/>
        <w:rPr>
          <w:bCs/>
          <w:color w:val="002060"/>
          <w:sz w:val="16"/>
          <w:szCs w:val="16"/>
        </w:rPr>
      </w:pPr>
      <w:r w:rsidRPr="00DE096C">
        <w:rPr>
          <w:bCs/>
          <w:color w:val="002060"/>
          <w:sz w:val="16"/>
          <w:szCs w:val="16"/>
        </w:rPr>
        <w:t>- высота РН увеличена за счет нижней его части, которая стала сильнее выступать за нижний обвод фюзеляжа;</w:t>
      </w:r>
    </w:p>
    <w:p w14:paraId="2A0F775D" w14:textId="77777777" w:rsidR="00541F55" w:rsidRPr="00DE096C" w:rsidRDefault="00541F55" w:rsidP="00D45A46">
      <w:pPr>
        <w:jc w:val="both"/>
        <w:rPr>
          <w:bCs/>
          <w:color w:val="002060"/>
          <w:sz w:val="16"/>
          <w:szCs w:val="16"/>
        </w:rPr>
      </w:pPr>
      <w:r w:rsidRPr="00DE096C">
        <w:rPr>
          <w:bCs/>
          <w:color w:val="002060"/>
          <w:sz w:val="16"/>
          <w:szCs w:val="16"/>
        </w:rPr>
        <w:t>- сделана новая хвостовая опора шасси – костыль рычажного типа, состоящий из пирамидальной стойки из 5 стержней с шарниром в нижней точке центрального, костыля из деревянного бруса с оковкой и шарниром навески, резинового амортизатора и растяжек для обеспечения жесткости стойки;</w:t>
      </w:r>
    </w:p>
    <w:p w14:paraId="2E62E90D" w14:textId="77777777" w:rsidR="00541F55" w:rsidRPr="00DE096C" w:rsidRDefault="00541F55" w:rsidP="00D45A46">
      <w:pPr>
        <w:jc w:val="both"/>
        <w:rPr>
          <w:bCs/>
          <w:color w:val="002060"/>
          <w:sz w:val="16"/>
          <w:szCs w:val="16"/>
        </w:rPr>
      </w:pPr>
      <w:r w:rsidRPr="00DE096C">
        <w:rPr>
          <w:bCs/>
          <w:color w:val="002060"/>
          <w:sz w:val="16"/>
          <w:szCs w:val="16"/>
        </w:rPr>
        <w:t>- сделаны две новые кассеты для пяти бомб калибра до 32 кг (2 пуда) каждая, обеспечивающие механический сброс их одиночно или серией от 2 до 5 шт. – вероятно, впервые в мире;</w:t>
      </w:r>
    </w:p>
    <w:p w14:paraId="23936F64" w14:textId="77777777" w:rsidR="00541F55" w:rsidRPr="00DE096C" w:rsidRDefault="00541F55" w:rsidP="00D45A46">
      <w:pPr>
        <w:jc w:val="both"/>
        <w:rPr>
          <w:bCs/>
          <w:color w:val="002060"/>
          <w:sz w:val="16"/>
          <w:szCs w:val="16"/>
        </w:rPr>
      </w:pPr>
      <w:r w:rsidRPr="00DE096C">
        <w:rPr>
          <w:bCs/>
          <w:color w:val="002060"/>
          <w:sz w:val="16"/>
          <w:szCs w:val="16"/>
        </w:rPr>
        <w:t>- перед носовым остеклением кабины летчика установлен механический прицел, позволявший определять упреждение при сбросе бомб и учитывать снос самолета и бомб боковым ветром;</w:t>
      </w:r>
    </w:p>
    <w:p w14:paraId="6A2516BC" w14:textId="77777777" w:rsidR="00541F55" w:rsidRPr="00DE096C" w:rsidRDefault="00541F55" w:rsidP="00D45A46">
      <w:pPr>
        <w:jc w:val="both"/>
        <w:rPr>
          <w:bCs/>
          <w:color w:val="002060"/>
          <w:sz w:val="16"/>
          <w:szCs w:val="16"/>
        </w:rPr>
      </w:pPr>
      <w:r w:rsidRPr="00DE096C">
        <w:rPr>
          <w:bCs/>
          <w:color w:val="002060"/>
          <w:sz w:val="16"/>
          <w:szCs w:val="16"/>
        </w:rPr>
        <w:t>- оборонительное вооружение сразу при выполнении первых чертежей самолета, по-видимому, определено не было, но было признано необходимым отказаться от установки пушек калибра 37 мм и тяжелых (станковых) пулеметов «Максим», заменив их легкими (ручными) пулеметами, которые были эффективнее и удобнее в размещении и ведении огня.</w:t>
      </w:r>
    </w:p>
    <w:p w14:paraId="2BE6081C" w14:textId="77777777" w:rsidR="00541F55" w:rsidRPr="00DE096C" w:rsidRDefault="00541F55" w:rsidP="00D45A46">
      <w:pPr>
        <w:jc w:val="both"/>
        <w:rPr>
          <w:bCs/>
          <w:color w:val="002060"/>
          <w:sz w:val="16"/>
          <w:szCs w:val="16"/>
        </w:rPr>
      </w:pPr>
      <w:r w:rsidRPr="00DE096C">
        <w:rPr>
          <w:bCs/>
          <w:color w:val="002060"/>
          <w:sz w:val="16"/>
          <w:szCs w:val="16"/>
        </w:rPr>
        <w:t>Всего построено и облетано 19 самолетов ИМ-В, из которых один переоборудован в ИМГ-2 после облета. Еще 10 самолетов, заложенных как ИМ-В, переоборудованы в ходе сборки и достроены как ИМГ-1, см. ниже.</w:t>
      </w:r>
    </w:p>
    <w:p w14:paraId="32D1DD89" w14:textId="77777777" w:rsidR="00541F55" w:rsidRPr="00DE096C" w:rsidRDefault="00541F55" w:rsidP="00D45A46">
      <w:pPr>
        <w:jc w:val="both"/>
        <w:rPr>
          <w:bCs/>
          <w:color w:val="002060"/>
          <w:sz w:val="16"/>
          <w:szCs w:val="16"/>
        </w:rPr>
      </w:pPr>
      <w:r w:rsidRPr="00DE096C">
        <w:rPr>
          <w:bCs/>
          <w:color w:val="002060"/>
          <w:sz w:val="16"/>
          <w:szCs w:val="16"/>
        </w:rPr>
        <w:t>Создание самолета «Илья Муромец» тип В (С-23) ознаменовало начало большой работы по совершенствованию машины. Объем изменений, вносимых в силовую установку, планер, системы и вооружение строящихся «Русско-Балтийским воздухоплавательным заводом» аэропланов ИМ был таким, что ряд исследователей, в т.ч. авторитетнейший специалист в истории отечественной авиации Вадим Борисович Шавров, считают типы этого самолета Б, В, Г, Д и Е не модификациями исходного проекта, обозначенного литерой А (или же Б-1), а действительно самостоятельными типами летательных аппаратов – каждый со своим техническим обликом.</w:t>
      </w:r>
    </w:p>
    <w:p w14:paraId="382C8F8F" w14:textId="77777777" w:rsidR="00541F55" w:rsidRPr="00DE096C" w:rsidRDefault="00541F55" w:rsidP="00D45A46">
      <w:pPr>
        <w:jc w:val="both"/>
        <w:rPr>
          <w:bCs/>
          <w:color w:val="002060"/>
          <w:sz w:val="16"/>
          <w:szCs w:val="16"/>
        </w:rPr>
      </w:pPr>
      <w:r w:rsidRPr="00DE096C">
        <w:rPr>
          <w:bCs/>
          <w:color w:val="002060"/>
          <w:sz w:val="16"/>
          <w:szCs w:val="16"/>
        </w:rPr>
        <w:t>Появлению такого мнения способствовали присвоение Сикорским каждому такому типу нового обозначения с инициалом «С» и каждый раз с новым числом, обозначающим тип, и сам характер заказа самолетов «Илья Муромец» русским Военным ведомством – на каждый «тип» оформлялся отдельный предварительный контракт. Но производство их на РБВЗ на уровне агрегатной сборки, по сути, шло не сериями, определяемыми этими контрактами, а каждого в отдельности, и только заготовка материалов и изготовление закладных деталей шло сериями.</w:t>
      </w:r>
    </w:p>
    <w:p w14:paraId="208C4308" w14:textId="77777777" w:rsidR="00541F55" w:rsidRPr="00DE096C" w:rsidRDefault="00541F55" w:rsidP="00D45A46">
      <w:pPr>
        <w:jc w:val="both"/>
        <w:rPr>
          <w:bCs/>
          <w:color w:val="002060"/>
          <w:sz w:val="16"/>
          <w:szCs w:val="16"/>
        </w:rPr>
      </w:pPr>
      <w:r w:rsidRPr="00DE096C">
        <w:rPr>
          <w:bCs/>
          <w:color w:val="002060"/>
          <w:sz w:val="16"/>
          <w:szCs w:val="16"/>
        </w:rPr>
        <w:t>Тем не менее, на самом «Русско-Балтийском воздухоплавательном заводе» и лично Сикорским, судя по опубликованным позже его личным воспоминаниям и книге [Финне К.Н. Русские воздушные богатыри И.И. Сикорского. Белград, Югославия, - 1930 г.] все эти самолеты считались лишь модификациями одного и того же типа «Илья Муромец». В то же время такой подход, очевидно, появился уже после эмиграции Сикорского в США, где он начал организовывать собственную авиастроительную фирму, рекламируя для этого свои прежние достижения в России. Тогда Сикорскому стало выгодно показывать возможным заказчикам, что главная его работа в это время, тяжелый бомбардировщик и стратегический разведчик «Илья Муромец» был не рядом малых серий различных самолетов, а «крупносерийным изделием» (23563).</w:t>
      </w:r>
    </w:p>
    <w:p w14:paraId="3FF45AD4" w14:textId="77777777" w:rsidR="00541F55" w:rsidRPr="00DE096C" w:rsidRDefault="00541F55" w:rsidP="00D45A46">
      <w:pPr>
        <w:jc w:val="both"/>
        <w:rPr>
          <w:bCs/>
          <w:color w:val="002060"/>
          <w:sz w:val="16"/>
          <w:szCs w:val="16"/>
        </w:rPr>
      </w:pPr>
    </w:p>
    <w:p w14:paraId="1C4D5773" w14:textId="77777777" w:rsidR="00541F55" w:rsidRPr="00DE096C" w:rsidRDefault="00541F55" w:rsidP="00D45A46">
      <w:pPr>
        <w:jc w:val="both"/>
        <w:rPr>
          <w:bCs/>
          <w:color w:val="002060"/>
          <w:sz w:val="16"/>
          <w:szCs w:val="16"/>
        </w:rPr>
      </w:pPr>
      <w:r w:rsidRPr="00DE096C">
        <w:rPr>
          <w:bCs/>
          <w:color w:val="002060"/>
          <w:sz w:val="16"/>
          <w:szCs w:val="16"/>
        </w:rPr>
        <w:t>Летом или осенью 1914 г., когда самолет М-2 строился или вскоре после его катастрофы в первом полете, когда было решено достраивать остальные заказанные аппараты в том же виде, что и первый, но уже стали видны некоторые недостатки конструкции и слишком большая нагрузка на мощность, Дмитрием Павловичем Григоровичем на заводе ПРТВ С.С. Щетинина был разработан М-3 («Морской третий», Щ-3, «Щетинин третий») проект и опытный, морской разведчик – летающая лодка.</w:t>
      </w:r>
    </w:p>
    <w:p w14:paraId="5E20A7D9" w14:textId="77777777" w:rsidR="00541F55" w:rsidRPr="00DE096C" w:rsidRDefault="00541F55" w:rsidP="00D45A46">
      <w:pPr>
        <w:jc w:val="both"/>
        <w:rPr>
          <w:bCs/>
          <w:color w:val="002060"/>
          <w:sz w:val="16"/>
          <w:szCs w:val="16"/>
        </w:rPr>
      </w:pPr>
      <w:r w:rsidRPr="00DE096C">
        <w:rPr>
          <w:bCs/>
          <w:color w:val="002060"/>
          <w:sz w:val="16"/>
          <w:szCs w:val="16"/>
        </w:rPr>
        <w:t>Были внесены следующие отличия в конструкцию и комплектацию самолета:</w:t>
      </w:r>
    </w:p>
    <w:p w14:paraId="25D41E34" w14:textId="77777777" w:rsidR="00541F55" w:rsidRPr="00DE096C" w:rsidRDefault="00541F55" w:rsidP="00D45A46">
      <w:pPr>
        <w:jc w:val="both"/>
        <w:rPr>
          <w:bCs/>
          <w:color w:val="002060"/>
          <w:sz w:val="16"/>
          <w:szCs w:val="16"/>
        </w:rPr>
      </w:pPr>
      <w:r w:rsidRPr="00DE096C">
        <w:rPr>
          <w:bCs/>
          <w:color w:val="002060"/>
          <w:sz w:val="16"/>
          <w:szCs w:val="16"/>
        </w:rPr>
        <w:t>- установлен звездообразный ротативный 9-цилиндровый мотор воздушного охлаждения Гном «Моносупап-В» номинальной мощностью 100 л.с.;</w:t>
      </w:r>
    </w:p>
    <w:p w14:paraId="559779B8" w14:textId="77777777" w:rsidR="00541F55" w:rsidRPr="00DE096C" w:rsidRDefault="00541F55" w:rsidP="00D45A46">
      <w:pPr>
        <w:jc w:val="both"/>
        <w:rPr>
          <w:bCs/>
          <w:color w:val="002060"/>
          <w:sz w:val="16"/>
          <w:szCs w:val="16"/>
        </w:rPr>
      </w:pPr>
      <w:r w:rsidRPr="00DE096C">
        <w:rPr>
          <w:bCs/>
          <w:color w:val="002060"/>
          <w:sz w:val="16"/>
          <w:szCs w:val="16"/>
        </w:rPr>
        <w:t>- мощность двигателя регулировалась выключением зажигания части цилиндров, соответственно не установлен рычаг управления двигателем и его проводка;</w:t>
      </w:r>
    </w:p>
    <w:p w14:paraId="2F2576F7" w14:textId="77777777" w:rsidR="00541F55" w:rsidRPr="00DE096C" w:rsidRDefault="00541F55" w:rsidP="00D45A46">
      <w:pPr>
        <w:jc w:val="both"/>
        <w:rPr>
          <w:bCs/>
          <w:color w:val="002060"/>
          <w:sz w:val="16"/>
          <w:szCs w:val="16"/>
        </w:rPr>
      </w:pPr>
      <w:r w:rsidRPr="00DE096C">
        <w:rPr>
          <w:bCs/>
          <w:color w:val="002060"/>
          <w:sz w:val="16"/>
          <w:szCs w:val="16"/>
        </w:rPr>
        <w:t>- изменен профиль крыльев, на который пало подозрение, что он и есть причина катастрофы;</w:t>
      </w:r>
    </w:p>
    <w:p w14:paraId="4B51A384" w14:textId="77777777" w:rsidR="00541F55" w:rsidRPr="00DE096C" w:rsidRDefault="00541F55" w:rsidP="00D45A46">
      <w:pPr>
        <w:jc w:val="both"/>
        <w:rPr>
          <w:bCs/>
          <w:color w:val="002060"/>
          <w:sz w:val="16"/>
          <w:szCs w:val="16"/>
        </w:rPr>
      </w:pPr>
      <w:r w:rsidRPr="00DE096C">
        <w:rPr>
          <w:bCs/>
          <w:color w:val="002060"/>
          <w:sz w:val="16"/>
          <w:szCs w:val="16"/>
        </w:rPr>
        <w:t>- нижнее крыло установлено на фюзеляж по переднему лонжерону на продолжении передних стоек «кабана» бипланной коробки, которые соединялись с ним спереди, а также на призматической ферме, зашитой фанерой, которая соединялась с передними подкосами мотоустановки (крепление его по заднему лонжерону не изменилось – на двух стержнях, являвшихся продолжением задних стоек «кабана»).</w:t>
      </w:r>
    </w:p>
    <w:p w14:paraId="15FAEB3A" w14:textId="77777777" w:rsidR="00541F55" w:rsidRPr="00DE096C" w:rsidRDefault="00541F55" w:rsidP="00D45A46">
      <w:pPr>
        <w:jc w:val="both"/>
        <w:rPr>
          <w:bCs/>
          <w:color w:val="002060"/>
          <w:sz w:val="16"/>
          <w:szCs w:val="16"/>
        </w:rPr>
      </w:pPr>
      <w:r w:rsidRPr="00DE096C">
        <w:rPr>
          <w:bCs/>
          <w:color w:val="002060"/>
          <w:sz w:val="16"/>
          <w:szCs w:val="16"/>
        </w:rPr>
        <w:t>Опытный самолет построен заводом ПРТВ сразу вслед за М-2 №1 и одновременно с М-2 №№2 и 3 и совершил первый полет в конце 1914 г.</w:t>
      </w:r>
    </w:p>
    <w:p w14:paraId="561ED59A" w14:textId="77777777" w:rsidR="00541F55" w:rsidRPr="00DE096C" w:rsidRDefault="00541F55" w:rsidP="00D45A46">
      <w:pPr>
        <w:jc w:val="both"/>
        <w:rPr>
          <w:bCs/>
          <w:color w:val="002060"/>
          <w:sz w:val="16"/>
          <w:szCs w:val="16"/>
        </w:rPr>
      </w:pPr>
      <w:r w:rsidRPr="00DE096C">
        <w:rPr>
          <w:bCs/>
          <w:color w:val="002060"/>
          <w:sz w:val="16"/>
          <w:szCs w:val="16"/>
        </w:rPr>
        <w:t>Испытания показали, что летные данные и мореходность не улучшились, при этом по воде самолет двигался неустойчиво.</w:t>
      </w:r>
    </w:p>
    <w:p w14:paraId="77F5645C" w14:textId="77777777" w:rsidR="00541F55" w:rsidRPr="00DE096C" w:rsidRDefault="00541F55" w:rsidP="00D45A46">
      <w:pPr>
        <w:jc w:val="both"/>
        <w:rPr>
          <w:bCs/>
          <w:color w:val="002060"/>
          <w:sz w:val="16"/>
          <w:szCs w:val="16"/>
        </w:rPr>
      </w:pPr>
      <w:r w:rsidRPr="00DE096C">
        <w:rPr>
          <w:bCs/>
          <w:color w:val="002060"/>
          <w:sz w:val="16"/>
          <w:szCs w:val="16"/>
        </w:rPr>
        <w:t>В последующих полетах сняли «лопату» – пластину на резиновом буфере под хвостовой частью фюзеляжа, служившую для гашения килевой качки, но после этого устойчивость только ухудшилась – вероятно, из-за изменения центровки. Хотя свое назначение это устройство явно не выполняло, его снятие в данном случае показало, что причина не в его неудовлетворительной работе, только лишь таким простым способом недостаток устранен быть не может и в чертежи следует вносить более значительные изменения.</w:t>
      </w:r>
    </w:p>
    <w:p w14:paraId="1C182173" w14:textId="77777777" w:rsidR="00541F55" w:rsidRPr="00DE096C" w:rsidRDefault="00541F55" w:rsidP="00D45A46">
      <w:pPr>
        <w:jc w:val="both"/>
        <w:rPr>
          <w:bCs/>
          <w:color w:val="002060"/>
          <w:sz w:val="16"/>
          <w:szCs w:val="16"/>
        </w:rPr>
      </w:pPr>
      <w:r w:rsidRPr="00DE096C">
        <w:rPr>
          <w:bCs/>
          <w:color w:val="002060"/>
          <w:sz w:val="16"/>
          <w:szCs w:val="16"/>
        </w:rPr>
        <w:lastRenderedPageBreak/>
        <w:t>Самолет на вооружение принят не и в серию не запускался (23594).</w:t>
      </w:r>
    </w:p>
    <w:p w14:paraId="64C7EE59" w14:textId="77777777" w:rsidR="00541F55" w:rsidRPr="00DE096C" w:rsidRDefault="00541F55" w:rsidP="00D45A46">
      <w:pPr>
        <w:jc w:val="both"/>
        <w:rPr>
          <w:bCs/>
          <w:color w:val="002060"/>
          <w:sz w:val="16"/>
          <w:szCs w:val="16"/>
        </w:rPr>
      </w:pPr>
    </w:p>
    <w:p w14:paraId="69A0D310" w14:textId="576A7CB0"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Самолетостроение:</w:t>
      </w:r>
    </w:p>
    <w:p w14:paraId="59CDF0FE" w14:textId="77777777" w:rsidR="00B67D7C" w:rsidRPr="00DE096C" w:rsidRDefault="00B67D7C" w:rsidP="00D45A46">
      <w:pPr>
        <w:pStyle w:val="a3"/>
        <w:jc w:val="both"/>
        <w:rPr>
          <w:bCs/>
          <w:color w:val="002060"/>
          <w:spacing w:val="0"/>
          <w:kern w:val="0"/>
          <w:position w:val="0"/>
          <w:sz w:val="16"/>
          <w:szCs w:val="16"/>
        </w:rPr>
      </w:pPr>
    </w:p>
    <w:p w14:paraId="2A2D70D8" w14:textId="6849630A" w:rsidR="00D52F55" w:rsidRPr="00DE096C" w:rsidRDefault="00D52F55" w:rsidP="00D45A46">
      <w:pPr>
        <w:jc w:val="both"/>
        <w:rPr>
          <w:bCs/>
          <w:color w:val="002060"/>
          <w:sz w:val="16"/>
          <w:szCs w:val="16"/>
        </w:rPr>
      </w:pPr>
      <w:r w:rsidRPr="00DE096C">
        <w:rPr>
          <w:bCs/>
          <w:color w:val="002060"/>
          <w:sz w:val="16"/>
          <w:szCs w:val="16"/>
        </w:rPr>
        <w:t xml:space="preserve">В первую половину 1914 г. на заводе Авиабалте работали лишь днем 270 человек по 9 часов, </w:t>
      </w:r>
      <w:r w:rsidR="00F478FD" w:rsidRPr="00DE096C">
        <w:rPr>
          <w:bCs/>
          <w:color w:val="002060"/>
          <w:sz w:val="16"/>
          <w:szCs w:val="16"/>
        </w:rPr>
        <w:t>а</w:t>
      </w:r>
      <w:r w:rsidRPr="00DE096C">
        <w:rPr>
          <w:bCs/>
          <w:color w:val="002060"/>
          <w:sz w:val="16"/>
          <w:szCs w:val="16"/>
        </w:rPr>
        <w:t xml:space="preserve"> в конце 1914 г. — 470 человек по 10–11 часов, причем в механическом цехе — 230, в столярном —111, в сборочном — 74, в малярном — 29. Станочный парк насчитывал 18 деревообрабатывающих станков, 15 — токарно-винторезных, 2 — револьверных, 2 — автоматических, 1 — фрезерный, 5 — сверлильных, 1 — долбежный. Директором авиационного отделения (в годы войны предприятие иногда называли «Авиабалт») являлся М. Ф. Климиксеев (15125).</w:t>
      </w:r>
    </w:p>
    <w:p w14:paraId="2C4EE6F6" w14:textId="5502E5D6" w:rsidR="00D52F55" w:rsidRPr="00DE096C" w:rsidRDefault="00D52F55" w:rsidP="00D45A46">
      <w:pPr>
        <w:jc w:val="both"/>
        <w:rPr>
          <w:bCs/>
          <w:color w:val="002060"/>
          <w:sz w:val="16"/>
          <w:szCs w:val="16"/>
        </w:rPr>
      </w:pPr>
    </w:p>
    <w:p w14:paraId="7303D032" w14:textId="77777777" w:rsidR="00541F55" w:rsidRPr="00DE096C" w:rsidRDefault="00541F55" w:rsidP="00D45A46">
      <w:pPr>
        <w:jc w:val="both"/>
        <w:rPr>
          <w:bCs/>
          <w:color w:val="002060"/>
          <w:sz w:val="16"/>
          <w:szCs w:val="16"/>
        </w:rPr>
      </w:pPr>
      <w:r w:rsidRPr="00DE096C">
        <w:rPr>
          <w:bCs/>
          <w:color w:val="002060"/>
          <w:sz w:val="16"/>
          <w:szCs w:val="16"/>
          <w:lang w:bidi="ru-RU"/>
        </w:rPr>
        <w:t>В первой половине 1914 г. в «Обществе» заложили биплан, для которого в качестве прототипа избрали двухместный англий</w:t>
      </w:r>
      <w:r w:rsidRPr="00DE096C">
        <w:rPr>
          <w:bCs/>
          <w:color w:val="002060"/>
          <w:sz w:val="16"/>
          <w:szCs w:val="16"/>
          <w:lang w:bidi="ru-RU"/>
        </w:rPr>
        <w:softHyphen/>
        <w:t>ский биплан Сопвич «Таблоид» образца 1913 г. Самолет под обозначением «Лебедь</w:t>
      </w:r>
      <w:r w:rsidRPr="00DE096C">
        <w:rPr>
          <w:bCs/>
          <w:color w:val="002060"/>
          <w:sz w:val="16"/>
          <w:szCs w:val="16"/>
          <w:lang w:bidi="en-US"/>
        </w:rPr>
        <w:t>-</w:t>
      </w:r>
      <w:r w:rsidRPr="00DE096C">
        <w:rPr>
          <w:bCs/>
          <w:color w:val="002060"/>
          <w:sz w:val="16"/>
          <w:szCs w:val="16"/>
          <w:lang w:val="en-US" w:bidi="en-US"/>
        </w:rPr>
        <w:t>VII</w:t>
      </w:r>
      <w:r w:rsidRPr="00DE096C">
        <w:rPr>
          <w:bCs/>
          <w:color w:val="002060"/>
          <w:sz w:val="16"/>
          <w:szCs w:val="16"/>
          <w:lang w:bidi="en-US"/>
        </w:rPr>
        <w:t xml:space="preserve">» </w:t>
      </w:r>
      <w:r w:rsidRPr="00DE096C">
        <w:rPr>
          <w:bCs/>
          <w:color w:val="002060"/>
          <w:sz w:val="16"/>
          <w:szCs w:val="16"/>
          <w:lang w:bidi="ru-RU"/>
        </w:rPr>
        <w:t>строился в одноместном и двух</w:t>
      </w:r>
      <w:r w:rsidRPr="00DE096C">
        <w:rPr>
          <w:bCs/>
          <w:color w:val="002060"/>
          <w:sz w:val="16"/>
          <w:szCs w:val="16"/>
          <w:lang w:bidi="ru-RU"/>
        </w:rPr>
        <w:softHyphen/>
        <w:t>местном варианте с двигателями «Гном» и «Клерже». Уже с наступлением военных действий первые три аппарата с успехом были испытаны и поступили в практичес</w:t>
      </w:r>
      <w:r w:rsidRPr="00DE096C">
        <w:rPr>
          <w:bCs/>
          <w:color w:val="002060"/>
          <w:sz w:val="16"/>
          <w:szCs w:val="16"/>
          <w:lang w:bidi="ru-RU"/>
        </w:rPr>
        <w:softHyphen/>
        <w:t>кую эксплуатацию. Один экземпляр, снаб</w:t>
      </w:r>
      <w:r w:rsidRPr="00DE096C">
        <w:rPr>
          <w:bCs/>
          <w:color w:val="002060"/>
          <w:sz w:val="16"/>
          <w:szCs w:val="16"/>
          <w:lang w:bidi="ru-RU"/>
        </w:rPr>
        <w:softHyphen/>
        <w:t>женный двигателем «Гном» 80 л.с., посту</w:t>
      </w:r>
      <w:r w:rsidRPr="00DE096C">
        <w:rPr>
          <w:bCs/>
          <w:color w:val="002060"/>
          <w:sz w:val="16"/>
          <w:szCs w:val="16"/>
          <w:lang w:bidi="ru-RU"/>
        </w:rPr>
        <w:softHyphen/>
        <w:t>пил в 21-й корпусной авиаотряд, где поль</w:t>
      </w:r>
      <w:r w:rsidRPr="00DE096C">
        <w:rPr>
          <w:bCs/>
          <w:color w:val="002060"/>
          <w:sz w:val="16"/>
          <w:szCs w:val="16"/>
          <w:lang w:bidi="ru-RU"/>
        </w:rPr>
        <w:softHyphen/>
        <w:t>зовался популярностью. По своим летным характеристикам «Лебедь</w:t>
      </w:r>
      <w:r w:rsidRPr="00DE096C">
        <w:rPr>
          <w:bCs/>
          <w:color w:val="002060"/>
          <w:sz w:val="16"/>
          <w:szCs w:val="16"/>
          <w:lang w:bidi="en-US"/>
        </w:rPr>
        <w:t>-</w:t>
      </w:r>
      <w:r w:rsidRPr="00DE096C">
        <w:rPr>
          <w:bCs/>
          <w:color w:val="002060"/>
          <w:sz w:val="16"/>
          <w:szCs w:val="16"/>
          <w:lang w:val="en-US" w:bidi="en-US"/>
        </w:rPr>
        <w:t>VII</w:t>
      </w:r>
      <w:r w:rsidRPr="00DE096C">
        <w:rPr>
          <w:bCs/>
          <w:color w:val="002060"/>
          <w:sz w:val="16"/>
          <w:szCs w:val="16"/>
          <w:lang w:bidi="en-US"/>
        </w:rPr>
        <w:t xml:space="preserve">» </w:t>
      </w:r>
      <w:r w:rsidRPr="00DE096C">
        <w:rPr>
          <w:bCs/>
          <w:color w:val="002060"/>
          <w:sz w:val="16"/>
          <w:szCs w:val="16"/>
          <w:lang w:bidi="ru-RU"/>
        </w:rPr>
        <w:t>был выше многих самолетов того периода и уже в 1915 году вполне мог использоваться в ка</w:t>
      </w:r>
      <w:r w:rsidRPr="00DE096C">
        <w:rPr>
          <w:bCs/>
          <w:color w:val="002060"/>
          <w:sz w:val="16"/>
          <w:szCs w:val="16"/>
          <w:lang w:bidi="ru-RU"/>
        </w:rPr>
        <w:softHyphen/>
        <w:t>честве истребителя. Впрочем, время во</w:t>
      </w:r>
      <w:r w:rsidRPr="00DE096C">
        <w:rPr>
          <w:bCs/>
          <w:color w:val="002060"/>
          <w:sz w:val="16"/>
          <w:szCs w:val="16"/>
          <w:lang w:bidi="ru-RU"/>
        </w:rPr>
        <w:softHyphen/>
        <w:t>оруженных одноместных аппаратов еще не наступило, и удачный биплан «Лебедь</w:t>
      </w:r>
      <w:r w:rsidRPr="00DE096C">
        <w:rPr>
          <w:bCs/>
          <w:color w:val="002060"/>
          <w:sz w:val="16"/>
          <w:szCs w:val="16"/>
          <w:lang w:bidi="en-US"/>
        </w:rPr>
        <w:t>-</w:t>
      </w:r>
      <w:r w:rsidRPr="00DE096C">
        <w:rPr>
          <w:bCs/>
          <w:color w:val="002060"/>
          <w:sz w:val="16"/>
          <w:szCs w:val="16"/>
          <w:lang w:val="en-US" w:bidi="en-US"/>
        </w:rPr>
        <w:t>VII</w:t>
      </w:r>
      <w:r w:rsidRPr="00DE096C">
        <w:rPr>
          <w:bCs/>
          <w:color w:val="002060"/>
          <w:sz w:val="16"/>
          <w:szCs w:val="16"/>
          <w:lang w:bidi="en-US"/>
        </w:rPr>
        <w:t xml:space="preserve">» </w:t>
      </w:r>
      <w:r w:rsidRPr="00DE096C">
        <w:rPr>
          <w:bCs/>
          <w:color w:val="002060"/>
          <w:sz w:val="16"/>
          <w:szCs w:val="16"/>
          <w:lang w:bidi="ru-RU"/>
        </w:rPr>
        <w:t>дальнейшего продолжения не получил (23374).</w:t>
      </w:r>
    </w:p>
    <w:p w14:paraId="74570393" w14:textId="77777777" w:rsidR="00541F55" w:rsidRPr="00DE096C" w:rsidRDefault="00541F55" w:rsidP="00D45A46">
      <w:pPr>
        <w:jc w:val="both"/>
        <w:rPr>
          <w:bCs/>
          <w:color w:val="002060"/>
          <w:sz w:val="16"/>
          <w:szCs w:val="16"/>
        </w:rPr>
      </w:pPr>
    </w:p>
    <w:p w14:paraId="6B382DBD" w14:textId="1B18CB16" w:rsidR="00631ADA" w:rsidRPr="00DE096C" w:rsidRDefault="00631ADA" w:rsidP="00D45A46">
      <w:pPr>
        <w:jc w:val="both"/>
        <w:rPr>
          <w:bCs/>
          <w:i/>
          <w:iCs/>
          <w:color w:val="002060"/>
          <w:sz w:val="16"/>
          <w:szCs w:val="16"/>
        </w:rPr>
      </w:pPr>
      <w:r w:rsidRPr="00DE096C">
        <w:rPr>
          <w:bCs/>
          <w:i/>
          <w:iCs/>
          <w:color w:val="002060"/>
          <w:sz w:val="16"/>
          <w:szCs w:val="16"/>
        </w:rPr>
        <w:t>Авиация:</w:t>
      </w:r>
    </w:p>
    <w:p w14:paraId="5324B7E6" w14:textId="77777777" w:rsidR="00631ADA" w:rsidRPr="00DE096C" w:rsidRDefault="00631ADA" w:rsidP="00D45A46">
      <w:pPr>
        <w:jc w:val="both"/>
        <w:rPr>
          <w:bCs/>
          <w:i/>
          <w:iCs/>
          <w:color w:val="002060"/>
          <w:sz w:val="16"/>
          <w:szCs w:val="16"/>
        </w:rPr>
      </w:pPr>
    </w:p>
    <w:p w14:paraId="2F3B05A1" w14:textId="77777777" w:rsidR="00631ADA" w:rsidRPr="00DE096C" w:rsidRDefault="00631ADA" w:rsidP="00D45A46">
      <w:pPr>
        <w:shd w:val="clear" w:color="auto" w:fill="FFFFFF"/>
        <w:jc w:val="both"/>
        <w:rPr>
          <w:bCs/>
          <w:color w:val="002060"/>
          <w:sz w:val="16"/>
          <w:szCs w:val="16"/>
        </w:rPr>
      </w:pPr>
      <w:r w:rsidRPr="00DE096C">
        <w:rPr>
          <w:bCs/>
          <w:color w:val="002060"/>
          <w:sz w:val="16"/>
          <w:szCs w:val="16"/>
        </w:rPr>
        <w:t>В первой половине 1914 года Нестеров совер</w:t>
      </w:r>
      <w:r w:rsidRPr="00DE096C">
        <w:rPr>
          <w:bCs/>
          <w:color w:val="002060"/>
          <w:sz w:val="16"/>
          <w:szCs w:val="16"/>
        </w:rPr>
        <w:softHyphen/>
        <w:t>шил два рекордных перелета: Киев-Одесса за 3 часа 10 мин и Киев-Гатчина за 9 часов 35 мин. Для того времени это было большим достижением, хотя дли</w:t>
      </w:r>
      <w:r w:rsidRPr="00DE096C">
        <w:rPr>
          <w:bCs/>
          <w:color w:val="002060"/>
          <w:sz w:val="16"/>
          <w:szCs w:val="16"/>
        </w:rPr>
        <w:softHyphen/>
        <w:t>тельные перелеты между городами уже не считались новостью. Для доказательства своей идеи, что «в воздухе для самолета везде опора», 27 августа 1913 года в Киеве над Сырецким полем П.Н. Нестеров впервые в мире выполнил на самолете «Ньюпор-4» с двигателем «Гном» в 70 л.с. замкнутую петлю в вертикальной плос</w:t>
      </w:r>
      <w:r w:rsidRPr="00DE096C">
        <w:rPr>
          <w:bCs/>
          <w:color w:val="002060"/>
          <w:sz w:val="16"/>
          <w:szCs w:val="16"/>
        </w:rPr>
        <w:softHyphen/>
        <w:t>кости. Этим маневром Не</w:t>
      </w:r>
      <w:r w:rsidRPr="00DE096C">
        <w:rPr>
          <w:bCs/>
          <w:color w:val="002060"/>
          <w:sz w:val="16"/>
          <w:szCs w:val="16"/>
        </w:rPr>
        <w:softHyphen/>
        <w:t>стеров еще раз доказал, что самолет в любом положении подвластен летчику, чем по</w:t>
      </w:r>
      <w:r w:rsidRPr="00DE096C">
        <w:rPr>
          <w:bCs/>
          <w:color w:val="002060"/>
          <w:sz w:val="16"/>
          <w:szCs w:val="16"/>
        </w:rPr>
        <w:softHyphen/>
        <w:t>ложил начало высшему пи</w:t>
      </w:r>
      <w:r w:rsidRPr="00DE096C">
        <w:rPr>
          <w:bCs/>
          <w:color w:val="002060"/>
          <w:sz w:val="16"/>
          <w:szCs w:val="16"/>
        </w:rPr>
        <w:softHyphen/>
        <w:t>лотажу.</w:t>
      </w:r>
    </w:p>
    <w:p w14:paraId="0653B993" w14:textId="77777777" w:rsidR="00631ADA" w:rsidRPr="00DE096C" w:rsidRDefault="00631ADA" w:rsidP="00D45A46">
      <w:pPr>
        <w:shd w:val="clear" w:color="auto" w:fill="FFFFFF"/>
        <w:jc w:val="both"/>
        <w:rPr>
          <w:bCs/>
          <w:color w:val="002060"/>
          <w:sz w:val="16"/>
          <w:szCs w:val="16"/>
        </w:rPr>
      </w:pPr>
    </w:p>
    <w:p w14:paraId="69A1A406" w14:textId="77777777" w:rsidR="00BE2F70" w:rsidRPr="00DE096C" w:rsidRDefault="00BE2F70" w:rsidP="00BE2F70">
      <w:pPr>
        <w:shd w:val="clear" w:color="auto" w:fill="FFFFFF"/>
        <w:jc w:val="both"/>
        <w:rPr>
          <w:bCs/>
          <w:color w:val="002060"/>
          <w:sz w:val="16"/>
          <w:szCs w:val="16"/>
        </w:rPr>
      </w:pPr>
      <w:r w:rsidRPr="00DE096C">
        <w:rPr>
          <w:bCs/>
          <w:color w:val="002060"/>
          <w:sz w:val="16"/>
          <w:szCs w:val="16"/>
        </w:rPr>
        <w:t>В первой половине 1914 года Нестеров совер</w:t>
      </w:r>
      <w:r w:rsidRPr="00DE096C">
        <w:rPr>
          <w:bCs/>
          <w:color w:val="002060"/>
          <w:sz w:val="16"/>
          <w:szCs w:val="16"/>
        </w:rPr>
        <w:softHyphen/>
        <w:t>шил два рекордных перелета: Киев-Одесса за 3 часа 10 мин и Киев-Гатчина за 9 часов 35 мин. Для того времени это было большим достижением, хотя дли</w:t>
      </w:r>
      <w:r w:rsidRPr="00DE096C">
        <w:rPr>
          <w:bCs/>
          <w:color w:val="002060"/>
          <w:sz w:val="16"/>
          <w:szCs w:val="16"/>
        </w:rPr>
        <w:softHyphen/>
        <w:t xml:space="preserve">тельные перелеты между городами уже не считались новостью. Для доказательства своей идеи, что «в воздухе для самолета везде опора», </w:t>
      </w:r>
    </w:p>
    <w:p w14:paraId="791E7775" w14:textId="77777777" w:rsidR="00BE2F70" w:rsidRPr="00DE096C" w:rsidRDefault="00BE2F70" w:rsidP="00BE2F70">
      <w:pPr>
        <w:jc w:val="both"/>
        <w:rPr>
          <w:bCs/>
          <w:color w:val="002060"/>
          <w:sz w:val="16"/>
          <w:szCs w:val="16"/>
        </w:rPr>
      </w:pPr>
    </w:p>
    <w:p w14:paraId="03412C4C" w14:textId="77777777" w:rsidR="007D7D86" w:rsidRPr="00B52707" w:rsidRDefault="007D7D86" w:rsidP="007D7D86">
      <w:pPr>
        <w:jc w:val="both"/>
        <w:rPr>
          <w:color w:val="0070C0"/>
          <w:sz w:val="16"/>
          <w:szCs w:val="16"/>
        </w:rPr>
      </w:pPr>
      <w:r w:rsidRPr="00B52707">
        <w:rPr>
          <w:color w:val="0070C0"/>
          <w:sz w:val="16"/>
          <w:szCs w:val="16"/>
        </w:rPr>
        <w:t>За первое полугодие 1914 г. допол</w:t>
      </w:r>
      <w:r w:rsidRPr="00B52707">
        <w:rPr>
          <w:color w:val="0070C0"/>
          <w:sz w:val="16"/>
          <w:szCs w:val="16"/>
        </w:rPr>
        <w:softHyphen/>
        <w:t>нительно были сформированы (РГВИА. Фонд 802 опись 4 дело 2115):</w:t>
      </w:r>
    </w:p>
    <w:p w14:paraId="764D0991" w14:textId="77777777" w:rsidR="007D7D86" w:rsidRPr="00B52707" w:rsidRDefault="007D7D86" w:rsidP="007D7D86">
      <w:pPr>
        <w:jc w:val="both"/>
        <w:rPr>
          <w:color w:val="0070C0"/>
          <w:sz w:val="16"/>
          <w:szCs w:val="16"/>
        </w:rPr>
      </w:pPr>
      <w:r w:rsidRPr="00B52707">
        <w:rPr>
          <w:color w:val="0070C0"/>
          <w:sz w:val="16"/>
          <w:szCs w:val="16"/>
        </w:rPr>
        <w:t>- 4-я авиационная рота (в г. Лида) с 2-м, 3-м, 4-м, 6-м, 10-м, 20-м и 21-м корпусными авиаотрядами;</w:t>
      </w:r>
    </w:p>
    <w:p w14:paraId="04750378" w14:textId="77777777" w:rsidR="007D7D86" w:rsidRPr="00B52707" w:rsidRDefault="007D7D86" w:rsidP="007D7D86">
      <w:pPr>
        <w:jc w:val="both"/>
        <w:rPr>
          <w:color w:val="0070C0"/>
          <w:sz w:val="16"/>
          <w:szCs w:val="16"/>
        </w:rPr>
      </w:pPr>
      <w:r w:rsidRPr="00B52707">
        <w:rPr>
          <w:color w:val="0070C0"/>
          <w:sz w:val="16"/>
          <w:szCs w:val="16"/>
        </w:rPr>
        <w:t>- 5-я авиационная рота (в г. Бронни</w:t>
      </w:r>
      <w:r w:rsidRPr="00B52707">
        <w:rPr>
          <w:color w:val="0070C0"/>
          <w:sz w:val="16"/>
          <w:szCs w:val="16"/>
        </w:rPr>
        <w:softHyphen/>
        <w:t>цы, Московская губерния), с ави</w:t>
      </w:r>
      <w:r w:rsidRPr="00B52707">
        <w:rPr>
          <w:color w:val="0070C0"/>
          <w:sz w:val="16"/>
          <w:szCs w:val="16"/>
        </w:rPr>
        <w:softHyphen/>
        <w:t>ационным отрядом гренадерско</w:t>
      </w:r>
      <w:r w:rsidRPr="00B52707">
        <w:rPr>
          <w:color w:val="0070C0"/>
          <w:sz w:val="16"/>
          <w:szCs w:val="16"/>
        </w:rPr>
        <w:softHyphen/>
        <w:t>го корпуса, 13-м и 17-м корпусными авиаотрядами;</w:t>
      </w:r>
    </w:p>
    <w:p w14:paraId="1812B357" w14:textId="77777777" w:rsidR="007D7D86" w:rsidRPr="00B52707" w:rsidRDefault="007D7D86" w:rsidP="007D7D86">
      <w:pPr>
        <w:jc w:val="both"/>
        <w:rPr>
          <w:color w:val="0070C0"/>
          <w:sz w:val="16"/>
          <w:szCs w:val="16"/>
        </w:rPr>
      </w:pPr>
      <w:r w:rsidRPr="00B52707">
        <w:rPr>
          <w:color w:val="0070C0"/>
          <w:sz w:val="16"/>
          <w:szCs w:val="16"/>
        </w:rPr>
        <w:t>6-я авиационная рота (в г. Одесса), с 7-м, 8-м, 24-м и 25-м корпусными авиаотрядами.</w:t>
      </w:r>
    </w:p>
    <w:p w14:paraId="2076D28B" w14:textId="77777777" w:rsidR="007D7D86" w:rsidRPr="00B52707" w:rsidRDefault="007D7D86" w:rsidP="007D7D86">
      <w:pPr>
        <w:jc w:val="both"/>
        <w:rPr>
          <w:color w:val="0070C0"/>
          <w:sz w:val="16"/>
          <w:szCs w:val="16"/>
        </w:rPr>
      </w:pPr>
      <w:r w:rsidRPr="00B52707">
        <w:rPr>
          <w:color w:val="0070C0"/>
          <w:sz w:val="16"/>
          <w:szCs w:val="16"/>
        </w:rPr>
        <w:t>При уже сформированной в 1913 г. 1-й авиационной роте дополнительно сформировали 5-й, 16-й и 22-й корпус</w:t>
      </w:r>
      <w:r w:rsidRPr="00B52707">
        <w:rPr>
          <w:color w:val="0070C0"/>
          <w:sz w:val="16"/>
          <w:szCs w:val="16"/>
        </w:rPr>
        <w:softHyphen/>
        <w:t>ные отряды. Так же сформировали 4-й Си</w:t>
      </w:r>
      <w:r w:rsidRPr="00B52707">
        <w:rPr>
          <w:color w:val="0070C0"/>
          <w:sz w:val="16"/>
          <w:szCs w:val="16"/>
        </w:rPr>
        <w:softHyphen/>
        <w:t>бирский крепостной авиационный отряд (в с. Спасское, на Дальнем Востоке); Грод</w:t>
      </w:r>
      <w:r w:rsidRPr="00B52707">
        <w:rPr>
          <w:color w:val="0070C0"/>
          <w:sz w:val="16"/>
          <w:szCs w:val="16"/>
        </w:rPr>
        <w:softHyphen/>
        <w:t>ненский, Севастопольский и Владивосток</w:t>
      </w:r>
      <w:r w:rsidRPr="00B52707">
        <w:rPr>
          <w:color w:val="0070C0"/>
          <w:sz w:val="16"/>
          <w:szCs w:val="16"/>
        </w:rPr>
        <w:softHyphen/>
        <w:t>ский крепостные отряды.</w:t>
      </w:r>
    </w:p>
    <w:p w14:paraId="0977F258" w14:textId="77777777" w:rsidR="007D7D86" w:rsidRPr="00B52707" w:rsidRDefault="007D7D86" w:rsidP="007D7D86">
      <w:pPr>
        <w:jc w:val="both"/>
        <w:rPr>
          <w:color w:val="0070C0"/>
          <w:sz w:val="16"/>
          <w:szCs w:val="16"/>
        </w:rPr>
      </w:pPr>
      <w:r w:rsidRPr="00B52707">
        <w:rPr>
          <w:color w:val="0070C0"/>
          <w:sz w:val="16"/>
          <w:szCs w:val="16"/>
        </w:rPr>
        <w:t>Принятые меры позволили Воен</w:t>
      </w:r>
      <w:r w:rsidRPr="00B52707">
        <w:rPr>
          <w:color w:val="0070C0"/>
          <w:sz w:val="16"/>
          <w:szCs w:val="16"/>
        </w:rPr>
        <w:softHyphen/>
        <w:t>но-Воздушному флоту Российской им</w:t>
      </w:r>
      <w:r w:rsidRPr="00B52707">
        <w:rPr>
          <w:color w:val="0070C0"/>
          <w:sz w:val="16"/>
          <w:szCs w:val="16"/>
        </w:rPr>
        <w:softHyphen/>
        <w:t>перии, перед Перовой мировой войной, стать самым большим в мире по количе</w:t>
      </w:r>
      <w:r w:rsidRPr="00B52707">
        <w:rPr>
          <w:color w:val="0070C0"/>
          <w:sz w:val="16"/>
          <w:szCs w:val="16"/>
        </w:rPr>
        <w:softHyphen/>
        <w:t>ству летательных аппаратов (24962).</w:t>
      </w:r>
    </w:p>
    <w:p w14:paraId="5998D742" w14:textId="77777777" w:rsidR="007D7D86" w:rsidRPr="00B52707" w:rsidRDefault="007D7D86" w:rsidP="007D7D86">
      <w:pPr>
        <w:jc w:val="both"/>
        <w:rPr>
          <w:color w:val="0070C0"/>
          <w:sz w:val="16"/>
          <w:szCs w:val="16"/>
        </w:rPr>
      </w:pPr>
    </w:p>
    <w:p w14:paraId="15BA70DA" w14:textId="77777777" w:rsidR="00BE2F70" w:rsidRPr="00DE096C" w:rsidRDefault="00BE2F70" w:rsidP="00BE2F70">
      <w:pPr>
        <w:shd w:val="clear" w:color="auto" w:fill="FFFFFF"/>
        <w:jc w:val="both"/>
        <w:rPr>
          <w:bCs/>
          <w:color w:val="002060"/>
          <w:sz w:val="16"/>
          <w:szCs w:val="16"/>
        </w:rPr>
      </w:pPr>
      <w:r w:rsidRPr="00DE096C">
        <w:rPr>
          <w:bCs/>
          <w:color w:val="002060"/>
          <w:sz w:val="16"/>
          <w:szCs w:val="16"/>
        </w:rPr>
        <w:t>За первую половину 1914 г. Севасто</w:t>
      </w:r>
      <w:r w:rsidRPr="00DE096C">
        <w:rPr>
          <w:bCs/>
          <w:color w:val="002060"/>
          <w:sz w:val="16"/>
          <w:szCs w:val="16"/>
        </w:rPr>
        <w:softHyphen/>
        <w:t>польская и Гатчинская школы подготовили всего 147 летчиков, из которых 133 человека получили звание военного летчика (11042,242).</w:t>
      </w:r>
    </w:p>
    <w:p w14:paraId="2C8818A3" w14:textId="77777777" w:rsidR="00BE2F70" w:rsidRPr="00DE096C" w:rsidRDefault="00BE2F70" w:rsidP="00BE2F70">
      <w:pPr>
        <w:shd w:val="clear" w:color="auto" w:fill="FFFFFF"/>
        <w:jc w:val="both"/>
        <w:rPr>
          <w:bCs/>
          <w:color w:val="002060"/>
          <w:sz w:val="16"/>
          <w:szCs w:val="16"/>
        </w:rPr>
      </w:pPr>
    </w:p>
    <w:p w14:paraId="2C907E87" w14:textId="1F2EF129" w:rsidR="00740194" w:rsidRPr="00DE096C" w:rsidRDefault="00740194" w:rsidP="00D45A46">
      <w:pPr>
        <w:jc w:val="both"/>
        <w:rPr>
          <w:bCs/>
          <w:i/>
          <w:color w:val="002060"/>
          <w:sz w:val="16"/>
          <w:szCs w:val="16"/>
        </w:rPr>
      </w:pPr>
      <w:r w:rsidRPr="00DE096C">
        <w:rPr>
          <w:bCs/>
          <w:i/>
          <w:color w:val="002060"/>
          <w:sz w:val="16"/>
          <w:szCs w:val="16"/>
        </w:rPr>
        <w:t>Авиация и воздухоплавание Германии:</w:t>
      </w:r>
    </w:p>
    <w:p w14:paraId="3E52BCE9" w14:textId="77777777" w:rsidR="00740194" w:rsidRPr="00DE096C" w:rsidRDefault="00740194" w:rsidP="00D45A46">
      <w:pPr>
        <w:jc w:val="both"/>
        <w:rPr>
          <w:bCs/>
          <w:i/>
          <w:color w:val="002060"/>
          <w:sz w:val="16"/>
          <w:szCs w:val="16"/>
        </w:rPr>
      </w:pPr>
    </w:p>
    <w:p w14:paraId="3B85EFCF" w14:textId="62B9FB4E" w:rsidR="00631ADA" w:rsidRPr="00DE096C" w:rsidRDefault="00631ADA" w:rsidP="00D45A46">
      <w:pPr>
        <w:shd w:val="clear" w:color="auto" w:fill="FFFFFF"/>
        <w:jc w:val="both"/>
        <w:rPr>
          <w:bCs/>
          <w:color w:val="002060"/>
          <w:sz w:val="16"/>
          <w:szCs w:val="16"/>
        </w:rPr>
      </w:pPr>
      <w:r w:rsidRPr="00DE096C">
        <w:rPr>
          <w:bCs/>
          <w:color w:val="002060"/>
          <w:sz w:val="16"/>
          <w:szCs w:val="16"/>
        </w:rPr>
        <w:t>В первой половине 1914 г. немецкие летчи</w:t>
      </w:r>
      <w:r w:rsidRPr="00DE096C">
        <w:rPr>
          <w:bCs/>
          <w:color w:val="002060"/>
          <w:sz w:val="16"/>
          <w:szCs w:val="16"/>
        </w:rPr>
        <w:softHyphen/>
        <w:t>ки на бипланах с тянущим винтом и с относительно мощными двигателями жидкостного охлаждения немецких и австрийских конструкторы, создавщих в короткий срок целый ряд подобных машин («Авиатик» Шнейдера, «Альбатрос» Хейикеля и др.), сумели завоевать все мировые авиаци</w:t>
      </w:r>
      <w:r w:rsidRPr="00DE096C">
        <w:rPr>
          <w:bCs/>
          <w:color w:val="002060"/>
          <w:sz w:val="16"/>
          <w:szCs w:val="16"/>
        </w:rPr>
        <w:softHyphen/>
        <w:t>онные рекорды (11042,243).</w:t>
      </w:r>
    </w:p>
    <w:p w14:paraId="1C4DB783" w14:textId="77777777" w:rsidR="00631ADA" w:rsidRPr="00DE096C" w:rsidRDefault="00631ADA" w:rsidP="00D45A46">
      <w:pPr>
        <w:shd w:val="clear" w:color="auto" w:fill="FFFFFF"/>
        <w:jc w:val="both"/>
        <w:rPr>
          <w:bCs/>
          <w:color w:val="002060"/>
          <w:sz w:val="16"/>
          <w:szCs w:val="16"/>
        </w:rPr>
      </w:pPr>
    </w:p>
    <w:p w14:paraId="263656FC" w14:textId="77777777" w:rsidR="00740194" w:rsidRPr="00DE096C" w:rsidRDefault="00740194" w:rsidP="00D45A46">
      <w:pPr>
        <w:jc w:val="both"/>
        <w:rPr>
          <w:bCs/>
          <w:color w:val="002060"/>
          <w:sz w:val="16"/>
          <w:szCs w:val="16"/>
        </w:rPr>
      </w:pPr>
      <w:r w:rsidRPr="00DE096C">
        <w:rPr>
          <w:bCs/>
          <w:color w:val="002060"/>
          <w:sz w:val="16"/>
          <w:szCs w:val="16"/>
        </w:rPr>
        <w:t>В первой половине 1914 г. уже под руководством Хейнкеля был создан уменьшенный Альбатрос DD II, который благодаря лучшей прочности мог брать больше топлива или вооружение, но какое именно — пока не решили. Быстрый, маневренный и высотный DD II был принят на вооружение под обозначением Альбатрос L 2. Заказ на новую машину фирма получила летом 1914 г., начав ее выпуск параллельно с L 1 в трех вариантах — стандартном, с поплавковым шасси и с дальнейшим усилением планера и радиаторами не на бортах фюзеляжа, а на центроплане верхнего крыла. Этой машиной также заинтересовались и союзники Германии — на военных заказах акции фирмы пошли в гору (22732).</w:t>
      </w:r>
    </w:p>
    <w:p w14:paraId="0DB3D04D" w14:textId="77777777" w:rsidR="00740194" w:rsidRPr="00DE096C" w:rsidRDefault="00740194" w:rsidP="00D45A46">
      <w:pPr>
        <w:jc w:val="both"/>
        <w:rPr>
          <w:bCs/>
          <w:color w:val="002060"/>
          <w:sz w:val="16"/>
          <w:szCs w:val="16"/>
        </w:rPr>
      </w:pPr>
    </w:p>
    <w:p w14:paraId="308D9EC4" w14:textId="77777777" w:rsidR="007D7D86" w:rsidRPr="00B52707" w:rsidRDefault="007D7D86" w:rsidP="007D7D86">
      <w:pPr>
        <w:jc w:val="both"/>
        <w:rPr>
          <w:color w:val="0070C0"/>
          <w:sz w:val="16"/>
          <w:szCs w:val="16"/>
        </w:rPr>
      </w:pPr>
      <w:r w:rsidRPr="00B52707">
        <w:rPr>
          <w:color w:val="0070C0"/>
          <w:sz w:val="16"/>
          <w:szCs w:val="16"/>
        </w:rPr>
        <w:t>В первой половине 1914 г. уже под руководством Хейнкеля построили уменьшенный Альбатрос DD II, который благодаря лучшей прочности мог бы брать больше топлива или вооружение, но какое именно – пока не решили. Быстрый, маневренный и высотный DD II приняли на вооружение под обозначением Альбатрос L 2. Заказ на новинку фирма получила летом 1914 г., начав ее выпуск параллельно с L 1 в трех вариантах – стандартном, с поплавковым шасси и с дальнейшим усилением планера и радиаторами не на бортах фюзеляжа, а в центроплане верхнего крыла. «Двойкой» заинтересовались и союзники Германии – на военных заказах акции фирмы пошли в гору. Но как часто бывает, когда в компании начинают водиться деньги, сразу появляются и обделенные ими. Одним из первых решил, что ему платят мало и «тормозят» повышение в должности Эрнст Хейнкель.</w:t>
      </w:r>
    </w:p>
    <w:p w14:paraId="44109DD8" w14:textId="77777777" w:rsidR="007D7D86" w:rsidRPr="00B52707" w:rsidRDefault="007D7D86" w:rsidP="007D7D86">
      <w:pPr>
        <w:jc w:val="both"/>
        <w:rPr>
          <w:color w:val="0070C0"/>
          <w:sz w:val="16"/>
          <w:szCs w:val="16"/>
        </w:rPr>
      </w:pPr>
      <w:r w:rsidRPr="00B52707">
        <w:rPr>
          <w:color w:val="0070C0"/>
          <w:sz w:val="16"/>
          <w:szCs w:val="16"/>
        </w:rPr>
        <w:t>В 1914 г., когда техническим директором на «Альбатросе» назначили не его, а Телена, а проектный отдел возглавил инженер Шуберт, Хейнкель «хлопнул дверью» и ушел на фирму «Ганза». Но та как раз переживала резкий поворот в своей истории. Финансировавший ее австрийский магнат итальянского происхождения Камилло Кастильони смог выкупить контрольный пакет акций и права собственности на нее у Игнаца Этриха и стал переводить производство из приграничного Лиебау в Бранденбург-на-Хафеле и там предприятие переучредил под новым названием «Ганза Бранденбург» – Hansa und Brandenburgische Flugzeugwerke (25724).</w:t>
      </w:r>
    </w:p>
    <w:p w14:paraId="4C843CBD" w14:textId="77777777" w:rsidR="007D7D86" w:rsidRPr="00B52707" w:rsidRDefault="007D7D86" w:rsidP="007D7D86">
      <w:pPr>
        <w:jc w:val="both"/>
        <w:rPr>
          <w:color w:val="0070C0"/>
          <w:sz w:val="16"/>
          <w:szCs w:val="16"/>
        </w:rPr>
      </w:pPr>
    </w:p>
    <w:p w14:paraId="67E439C4" w14:textId="77777777" w:rsidR="00631ADA" w:rsidRPr="00DE096C" w:rsidRDefault="00631ADA" w:rsidP="00D45A46">
      <w:pPr>
        <w:jc w:val="both"/>
        <w:rPr>
          <w:bCs/>
          <w:color w:val="002060"/>
          <w:sz w:val="16"/>
          <w:szCs w:val="16"/>
        </w:rPr>
      </w:pPr>
      <w:r w:rsidRPr="00DE096C">
        <w:rPr>
          <w:bCs/>
          <w:color w:val="002060"/>
          <w:sz w:val="16"/>
          <w:szCs w:val="16"/>
        </w:rPr>
        <w:t>В первой половине 1914 г. пилот Алинкур подтвердил ожидания конструктора Р.15 фирмы Авиатик и самолет был запущен в серийное производство для Флигертруппен, хотя некоторое время продолжалась и постройка Р.14, которых сдали 98 штук. Для выпуска Р.15 фирма построила новый завод в Фрайбурге-им-Брайсгау (земля БаденВюртемберг на юго-западе Германии).</w:t>
      </w:r>
    </w:p>
    <w:p w14:paraId="39890293" w14:textId="77777777" w:rsidR="00631ADA" w:rsidRPr="00DE096C" w:rsidRDefault="00631ADA" w:rsidP="00D45A46">
      <w:pPr>
        <w:jc w:val="both"/>
        <w:rPr>
          <w:bCs/>
          <w:color w:val="002060"/>
          <w:sz w:val="16"/>
          <w:szCs w:val="16"/>
        </w:rPr>
      </w:pPr>
      <w:r w:rsidRPr="00DE096C">
        <w:rPr>
          <w:bCs/>
          <w:color w:val="002060"/>
          <w:sz w:val="16"/>
          <w:szCs w:val="16"/>
        </w:rPr>
        <w:t>Р.15 был двухстоечным бипланом с расширенным применением листового алюминия. Управляемость самолета улучшили элероны (до этого пилот создавал крен перекашиванием концов крыльев) и новое оперение (22732).</w:t>
      </w:r>
    </w:p>
    <w:p w14:paraId="58348A3B" w14:textId="77777777" w:rsidR="00631ADA" w:rsidRPr="00DE096C" w:rsidRDefault="00631ADA" w:rsidP="00D45A46">
      <w:pPr>
        <w:jc w:val="both"/>
        <w:rPr>
          <w:bCs/>
          <w:color w:val="002060"/>
          <w:sz w:val="16"/>
          <w:szCs w:val="16"/>
        </w:rPr>
      </w:pPr>
    </w:p>
    <w:p w14:paraId="1462FD69" w14:textId="77777777" w:rsidR="0060518D" w:rsidRPr="00B52707" w:rsidRDefault="0060518D" w:rsidP="0060518D">
      <w:pPr>
        <w:jc w:val="both"/>
        <w:rPr>
          <w:color w:val="0070C0"/>
          <w:sz w:val="16"/>
          <w:szCs w:val="16"/>
        </w:rPr>
      </w:pPr>
      <w:r w:rsidRPr="00B52707">
        <w:rPr>
          <w:color w:val="0070C0"/>
          <w:sz w:val="16"/>
          <w:szCs w:val="16"/>
        </w:rPr>
        <w:t>В первой половине 1914 г. заводской пилот Алинкур подтвердил ожидания конструктора, и самолет Р-15 фирмы «Авиатик» запустили в серийное производство для Флигертруппен, хотя некоторое время продолжалась и постройка Р.14, которых сдали 98 штук. Для выпуска Р.15 фирма построила новый завод в Фрайбурге-им-Брайсгау в земле Баден-Вюртемберг на юго-западе Германии (25724).</w:t>
      </w:r>
    </w:p>
    <w:p w14:paraId="34A05CD1" w14:textId="77777777" w:rsidR="0060518D" w:rsidRPr="00B52707" w:rsidRDefault="0060518D" w:rsidP="0060518D">
      <w:pPr>
        <w:jc w:val="both"/>
        <w:rPr>
          <w:color w:val="0070C0"/>
          <w:sz w:val="16"/>
          <w:szCs w:val="16"/>
        </w:rPr>
      </w:pPr>
    </w:p>
    <w:p w14:paraId="328A1591"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Самолетостроение:</w:t>
      </w:r>
    </w:p>
    <w:p w14:paraId="766A38F5" w14:textId="77777777" w:rsidR="00B67D7C" w:rsidRPr="00DE096C" w:rsidRDefault="00B67D7C" w:rsidP="00D45A46">
      <w:pPr>
        <w:pStyle w:val="a3"/>
        <w:jc w:val="both"/>
        <w:rPr>
          <w:bCs/>
          <w:color w:val="002060"/>
          <w:spacing w:val="0"/>
          <w:kern w:val="0"/>
          <w:position w:val="0"/>
          <w:sz w:val="16"/>
          <w:szCs w:val="16"/>
        </w:rPr>
      </w:pPr>
    </w:p>
    <w:p w14:paraId="2F8E602D" w14:textId="77777777" w:rsidR="00740194" w:rsidRPr="00DE096C" w:rsidRDefault="00740194" w:rsidP="00D45A46">
      <w:pPr>
        <w:jc w:val="both"/>
        <w:rPr>
          <w:bCs/>
          <w:color w:val="002060"/>
          <w:sz w:val="16"/>
          <w:szCs w:val="16"/>
        </w:rPr>
      </w:pPr>
      <w:r w:rsidRPr="00DE096C">
        <w:rPr>
          <w:bCs/>
          <w:color w:val="002060"/>
          <w:sz w:val="16"/>
          <w:szCs w:val="16"/>
        </w:rPr>
        <w:t>В середине 1914 г. по распоряжению руководителя Петербургского воздухоплавательного отделения Русско-балтийского вагонного завода (РБВЗ) Михаила Владимировича Шидловского для обучения летчиков Морской авиации России полетам на четырехмоторных разведчиках и бомбардировщиках «Илья Муромец» начало проектировать двухместный биплан С-16. Главный инженер РБВЗ Игорь Иванович Сикорский в то время был занят доводкой, испытаниями и выпуском «Муромцев» и выполнил только чертежи и расчеты его общего вида, главных силовых агрегатов и веса, а остальное делалось Техническим бюро Воздухоплавательного отделения под руководством А. А. Серебренникова. Сикорский сделал продувки моделей самолета в аэродинамических трубах РБВЗ и Петербургского политехнического института и привлек к его проектированию летчика-приемщика Авиации ВМФ Г. И. Лаврова, которому предстояло его испытывать. Как образец был взят английский Сопвич «Таблоид», но С-16 его копией не являлся, переняв лишь некоторые идеи и пропорции, да и то по ходу дела измененные. Вышел, скорее, уменьшенный Сикорский С-10 с частями от С-5 и С-8 (22826).</w:t>
      </w:r>
    </w:p>
    <w:p w14:paraId="040C76B1" w14:textId="77777777" w:rsidR="00740194" w:rsidRPr="00DE096C" w:rsidRDefault="00740194" w:rsidP="00D45A46">
      <w:pPr>
        <w:jc w:val="both"/>
        <w:rPr>
          <w:bCs/>
          <w:color w:val="002060"/>
          <w:sz w:val="16"/>
          <w:szCs w:val="16"/>
        </w:rPr>
      </w:pPr>
    </w:p>
    <w:p w14:paraId="6D321DB2" w14:textId="77777777" w:rsidR="00740194" w:rsidRPr="00DE096C" w:rsidRDefault="00740194" w:rsidP="00D45A46">
      <w:pPr>
        <w:jc w:val="both"/>
        <w:rPr>
          <w:bCs/>
          <w:color w:val="002060"/>
          <w:sz w:val="16"/>
          <w:szCs w:val="16"/>
        </w:rPr>
      </w:pPr>
      <w:bookmarkStart w:id="44" w:name="_Hlk95466453"/>
      <w:r w:rsidRPr="00DE096C">
        <w:rPr>
          <w:bCs/>
          <w:color w:val="002060"/>
          <w:sz w:val="16"/>
          <w:szCs w:val="16"/>
        </w:rPr>
        <w:lastRenderedPageBreak/>
        <w:t>В середине 1914 г. Ю.А. Меллер с сыном убыли в деловую поездку в Германию и с началом войны были там интернированы. Они вернулись в Россию через нейтральную Швецию только в 1915 г. В отсутствие директора предприятие продолжало нормально работать, выполняя увеличившиеся военные заказы. По возвращении Ю.А. Меллер сменил немецкую фамилию на русскую Брежнев и продолжил руководить своей фирмой (23127).</w:t>
      </w:r>
    </w:p>
    <w:p w14:paraId="36AA14C0" w14:textId="77777777" w:rsidR="00740194" w:rsidRPr="00DE096C" w:rsidRDefault="00740194" w:rsidP="00D45A46">
      <w:pPr>
        <w:jc w:val="both"/>
        <w:rPr>
          <w:bCs/>
          <w:color w:val="002060"/>
          <w:sz w:val="16"/>
          <w:szCs w:val="16"/>
        </w:rPr>
      </w:pPr>
    </w:p>
    <w:p w14:paraId="65D8FDD4" w14:textId="77777777" w:rsidR="0060518D" w:rsidRPr="00B52707" w:rsidRDefault="0060518D" w:rsidP="0060518D">
      <w:pPr>
        <w:jc w:val="both"/>
        <w:rPr>
          <w:color w:val="0070C0"/>
          <w:sz w:val="16"/>
          <w:szCs w:val="16"/>
        </w:rPr>
      </w:pPr>
      <w:bookmarkStart w:id="45" w:name="_Hlk117176835"/>
      <w:bookmarkEnd w:id="44"/>
      <w:r w:rsidRPr="00B52707">
        <w:rPr>
          <w:color w:val="0070C0"/>
          <w:sz w:val="16"/>
          <w:szCs w:val="16"/>
        </w:rPr>
        <w:t>В середине 1914 г. Ю.А. Меллер с сыном убыли в деловую поездку в Германию и с началом войны были там интернированы. Они вернулись в Россию через нейтральную Швецию только в 1915 г. В отсутствие директора предприятие продолжало нормально работать, выполняя увеличившиеся военные заказы. По возвращении Ю.А. Меллер сменил немецкую фамилию на русскую Брежнев и продолжил руководить своей фирмой. Общий темп выпуска самолетов завод резко увеличил, однако расширился их типаж – завод строил самолеты Вуазен V, Ньюпор IV, X (10AR), 10бис, XI (11), XVI (16), XХI (21), XVII (17), XXIII (23), XXIVбис (24бис), СПАД VII, Фарман XХVII и др. (25442).</w:t>
      </w:r>
    </w:p>
    <w:p w14:paraId="508EA706" w14:textId="77777777" w:rsidR="0060518D" w:rsidRPr="00B52707" w:rsidRDefault="0060518D" w:rsidP="0060518D">
      <w:pPr>
        <w:jc w:val="both"/>
        <w:rPr>
          <w:color w:val="0070C0"/>
          <w:sz w:val="16"/>
          <w:szCs w:val="16"/>
        </w:rPr>
      </w:pPr>
    </w:p>
    <w:p w14:paraId="641814AD" w14:textId="56DF3132" w:rsidR="00B67D7C" w:rsidRPr="00DE096C" w:rsidRDefault="00E57BA2" w:rsidP="00D45A46">
      <w:pPr>
        <w:shd w:val="clear" w:color="auto" w:fill="FFFFFF"/>
        <w:jc w:val="both"/>
        <w:rPr>
          <w:bCs/>
          <w:color w:val="002060"/>
          <w:sz w:val="16"/>
          <w:szCs w:val="16"/>
        </w:rPr>
      </w:pPr>
      <w:r w:rsidRPr="00DE096C">
        <w:rPr>
          <w:bCs/>
          <w:color w:val="002060"/>
          <w:sz w:val="16"/>
          <w:szCs w:val="16"/>
        </w:rPr>
        <w:t>К</w:t>
      </w:r>
      <w:r w:rsidR="00B67D7C" w:rsidRPr="00DE096C">
        <w:rPr>
          <w:bCs/>
          <w:color w:val="002060"/>
          <w:sz w:val="16"/>
          <w:szCs w:val="16"/>
        </w:rPr>
        <w:t xml:space="preserve"> середине 1914 г. </w:t>
      </w:r>
      <w:r w:rsidRPr="00DE096C">
        <w:rPr>
          <w:bCs/>
          <w:color w:val="002060"/>
          <w:sz w:val="16"/>
          <w:szCs w:val="16"/>
        </w:rPr>
        <w:t xml:space="preserve">ни один из авиационных двигателей отечественной конструкции </w:t>
      </w:r>
      <w:r w:rsidR="00B67D7C" w:rsidRPr="00DE096C">
        <w:rPr>
          <w:bCs/>
          <w:color w:val="002060"/>
          <w:sz w:val="16"/>
          <w:szCs w:val="16"/>
        </w:rPr>
        <w:t>не довели до состояния, пригодного для серийного производства. Да и двигателей ино</w:t>
      </w:r>
      <w:r w:rsidR="00B67D7C" w:rsidRPr="00DE096C">
        <w:rPr>
          <w:bCs/>
          <w:color w:val="002060"/>
          <w:sz w:val="16"/>
          <w:szCs w:val="16"/>
        </w:rPr>
        <w:softHyphen/>
        <w:t>странных конструкций и их модификаций в России выпускали немного. Это приводило к сильной зависимости самолетостроительной промышлен</w:t>
      </w:r>
      <w:r w:rsidR="00B67D7C" w:rsidRPr="00DE096C">
        <w:rPr>
          <w:bCs/>
          <w:color w:val="002060"/>
          <w:sz w:val="16"/>
          <w:szCs w:val="16"/>
        </w:rPr>
        <w:softHyphen/>
        <w:t>ности от импорта моторов из-за границы. В этот период в основном вво</w:t>
      </w:r>
      <w:r w:rsidR="00B67D7C" w:rsidRPr="00DE096C">
        <w:rPr>
          <w:bCs/>
          <w:color w:val="002060"/>
          <w:sz w:val="16"/>
          <w:szCs w:val="16"/>
        </w:rPr>
        <w:softHyphen/>
        <w:t>зили двигатели французского и германского производства, но встречались также итальянские, английские и американские (11852).</w:t>
      </w:r>
    </w:p>
    <w:p w14:paraId="0ADE0C7D" w14:textId="77777777" w:rsidR="00B67D7C" w:rsidRPr="00DE096C" w:rsidRDefault="00B67D7C" w:rsidP="00D45A46">
      <w:pPr>
        <w:shd w:val="clear" w:color="auto" w:fill="FFFFFF"/>
        <w:jc w:val="both"/>
        <w:rPr>
          <w:bCs/>
          <w:color w:val="002060"/>
          <w:sz w:val="16"/>
          <w:szCs w:val="16"/>
        </w:rPr>
      </w:pPr>
    </w:p>
    <w:bookmarkEnd w:id="45"/>
    <w:p w14:paraId="0391D082" w14:textId="01EDB97C" w:rsidR="00B67D7C" w:rsidRPr="00DE096C" w:rsidRDefault="00B67D7C" w:rsidP="00D45A46">
      <w:pPr>
        <w:jc w:val="both"/>
        <w:rPr>
          <w:bCs/>
          <w:color w:val="002060"/>
          <w:sz w:val="16"/>
          <w:szCs w:val="16"/>
        </w:rPr>
      </w:pPr>
      <w:r w:rsidRPr="00DE096C">
        <w:rPr>
          <w:bCs/>
          <w:color w:val="002060"/>
          <w:sz w:val="16"/>
          <w:szCs w:val="16"/>
        </w:rPr>
        <w:t xml:space="preserve">В период до середины 1914 г. </w:t>
      </w:r>
      <w:r w:rsidR="00E57BA2" w:rsidRPr="00DE096C">
        <w:rPr>
          <w:bCs/>
          <w:color w:val="002060"/>
          <w:sz w:val="16"/>
          <w:szCs w:val="16"/>
        </w:rPr>
        <w:t>на Балтийском флоте, который стал единственным покупателем</w:t>
      </w:r>
      <w:r w:rsidR="00631ADA" w:rsidRPr="00DE096C">
        <w:rPr>
          <w:bCs/>
          <w:color w:val="002060"/>
          <w:sz w:val="16"/>
          <w:szCs w:val="16"/>
        </w:rPr>
        <w:t xml:space="preserve"> самолетов РБВЗих,</w:t>
      </w:r>
      <w:r w:rsidRPr="00DE096C">
        <w:rPr>
          <w:bCs/>
          <w:color w:val="002060"/>
          <w:sz w:val="16"/>
          <w:szCs w:val="16"/>
        </w:rPr>
        <w:t xml:space="preserve"> нашла применение весьма примитивная алфавитная система, по которой гидроаэропланам Сикорского присваивались буквенные обозначения: "А", "Б", "В" и т.д. Этот способ не мог существовать долго, т.к. он не позволял идентифицировать тип самолета, тогда как флот начинал использовать модели нескольких фирм, но только один алфавит имелся в наличии. Метод был забыт, но и тот, что ввели следом, давал лишь возможность определить имя конструктора и производителя и порядковый номер аппарата, а не его тип или модификацию. С конца 1914 г. флотские обозначения состояли из заглавной буквы "С" (Сикорский) и цифры, указывавшей, в тео</w:t>
      </w:r>
      <w:r w:rsidRPr="00DE096C">
        <w:rPr>
          <w:bCs/>
          <w:color w:val="002060"/>
          <w:sz w:val="16"/>
          <w:szCs w:val="16"/>
        </w:rPr>
        <w:softHyphen/>
        <w:t>рии, на порядковое положение того или иного самолета постройки Р-БВЗ. Таким образом, код С-2 принадлежал 2-й машине Сикорского/Р-БВЗ в составе морской авиации на Балтике, код С-5 — 5-й и т.д. Позднее в 1915-1916 гг. в употребление вошли обозначения типа С. 10-4 (или С-10-4), где заглавная буква и первая цифра были признаками модели, а вторая цифра — собственно номером аппарата. Наконец, последние из С-10, все еще остававшиеся в авиаотрядах, получили код "СА", т.е. "Сикорский с мотором Аргус", к ко</w:t>
      </w:r>
      <w:r w:rsidRPr="00DE096C">
        <w:rPr>
          <w:bCs/>
          <w:color w:val="002060"/>
          <w:sz w:val="16"/>
          <w:szCs w:val="16"/>
        </w:rPr>
        <w:softHyphen/>
        <w:t>торому прибавлялись их прежние порядковые номера. Единственный обретенный Морским ведомством поплавковый "Илья Муромец" по неизвестной причине, а, скорее всего, из-за своей слишком непродолжительной карьеры, не удостоился никакого флотского номера (ко</w:t>
      </w:r>
      <w:r w:rsidRPr="00DE096C">
        <w:rPr>
          <w:bCs/>
          <w:color w:val="002060"/>
          <w:sz w:val="16"/>
          <w:szCs w:val="16"/>
        </w:rPr>
        <w:softHyphen/>
        <w:t>да). Также нет никакого намека на то, что флотские номера наносились на каких-либо поверхностях гидроаэропланов постройки Р-БВЗ, хотя, с другой стороны, это все же должно было делаться в соответствии с общей практикой. Все конструкции Сикорского, так или иначе имевшие отношение к Морскому ведомству, представлены здесь в следующей после</w:t>
      </w:r>
      <w:r w:rsidRPr="00DE096C">
        <w:rPr>
          <w:bCs/>
          <w:color w:val="002060"/>
          <w:sz w:val="16"/>
          <w:szCs w:val="16"/>
        </w:rPr>
        <w:softHyphen/>
        <w:t>довательности: сначала аппараты с кодовыми заводскими обозначениями, а затем "именные" аэропланы — эти располагаются в алфавитном порядке. Что касается самолета "Гаккель" тип V, то он лишь мельком упомянут в данной главе, будучи построенным Р-БВЗ, но не имея почти ничего общего с военно-морской авиацией (2843).</w:t>
      </w:r>
    </w:p>
    <w:p w14:paraId="0BF8CE71" w14:textId="77777777" w:rsidR="00B67D7C" w:rsidRPr="00DE096C" w:rsidRDefault="00B67D7C" w:rsidP="00D45A46">
      <w:pPr>
        <w:jc w:val="both"/>
        <w:rPr>
          <w:bCs/>
          <w:color w:val="002060"/>
          <w:sz w:val="16"/>
          <w:szCs w:val="16"/>
        </w:rPr>
      </w:pPr>
    </w:p>
    <w:p w14:paraId="375A08EB" w14:textId="77777777" w:rsidR="00541F55" w:rsidRPr="00DE096C" w:rsidRDefault="00541F55" w:rsidP="00D45A46">
      <w:pPr>
        <w:jc w:val="both"/>
        <w:rPr>
          <w:bCs/>
          <w:color w:val="002060"/>
          <w:sz w:val="16"/>
          <w:szCs w:val="16"/>
        </w:rPr>
      </w:pPr>
      <w:r w:rsidRPr="00DE096C">
        <w:rPr>
          <w:bCs/>
          <w:color w:val="002060"/>
          <w:sz w:val="16"/>
          <w:szCs w:val="16"/>
        </w:rPr>
        <w:t>В середине 1914 г. на заводе А.А. Ана</w:t>
      </w:r>
      <w:r w:rsidRPr="00DE096C">
        <w:rPr>
          <w:bCs/>
          <w:color w:val="002060"/>
          <w:sz w:val="16"/>
          <w:szCs w:val="16"/>
        </w:rPr>
        <w:softHyphen/>
        <w:t>тра количество рабочих не превышало 100 человек — через три года, в 1917-м — об</w:t>
      </w:r>
      <w:r w:rsidRPr="00DE096C">
        <w:rPr>
          <w:bCs/>
          <w:color w:val="002060"/>
          <w:sz w:val="16"/>
          <w:szCs w:val="16"/>
        </w:rPr>
        <w:softHyphen/>
        <w:t>щее количество технического персонала и рабочих составило 1684 человека (234 слу</w:t>
      </w:r>
      <w:r w:rsidRPr="00DE096C">
        <w:rPr>
          <w:bCs/>
          <w:color w:val="002060"/>
          <w:sz w:val="16"/>
          <w:szCs w:val="16"/>
        </w:rPr>
        <w:softHyphen/>
        <w:t>жащих и 1450 рабочих). Если в первона</w:t>
      </w:r>
      <w:r w:rsidRPr="00DE096C">
        <w:rPr>
          <w:bCs/>
          <w:color w:val="002060"/>
          <w:sz w:val="16"/>
          <w:szCs w:val="16"/>
        </w:rPr>
        <w:softHyphen/>
        <w:t>чальный период здесь ежемесячно выпус</w:t>
      </w:r>
      <w:r w:rsidRPr="00DE096C">
        <w:rPr>
          <w:bCs/>
          <w:color w:val="002060"/>
          <w:sz w:val="16"/>
          <w:szCs w:val="16"/>
        </w:rPr>
        <w:softHyphen/>
        <w:t>калось до пяти самолетов, то в середине 1917 г. ежедневно — до двух-трех аппара</w:t>
      </w:r>
      <w:r w:rsidRPr="00DE096C">
        <w:rPr>
          <w:bCs/>
          <w:color w:val="002060"/>
          <w:sz w:val="16"/>
          <w:szCs w:val="16"/>
        </w:rPr>
        <w:softHyphen/>
        <w:t>тов, что позволило определять одесский завод как наиболее развитое и мощное авиапредприятие на юге России (23374).</w:t>
      </w:r>
    </w:p>
    <w:p w14:paraId="1414FEC2" w14:textId="77777777" w:rsidR="00541F55" w:rsidRPr="00DE096C" w:rsidRDefault="00541F55" w:rsidP="00D45A46">
      <w:pPr>
        <w:jc w:val="both"/>
        <w:rPr>
          <w:bCs/>
          <w:color w:val="002060"/>
          <w:sz w:val="16"/>
          <w:szCs w:val="16"/>
        </w:rPr>
      </w:pPr>
    </w:p>
    <w:p w14:paraId="047E14B9" w14:textId="77777777" w:rsidR="00541F55" w:rsidRPr="00DE096C" w:rsidRDefault="00541F55" w:rsidP="00D45A46">
      <w:pPr>
        <w:jc w:val="both"/>
        <w:rPr>
          <w:bCs/>
          <w:color w:val="002060"/>
          <w:sz w:val="16"/>
          <w:szCs w:val="16"/>
        </w:rPr>
      </w:pPr>
      <w:r w:rsidRPr="00DE096C">
        <w:rPr>
          <w:bCs/>
          <w:color w:val="002060"/>
          <w:sz w:val="16"/>
          <w:szCs w:val="16"/>
          <w:lang w:bidi="ru-RU"/>
        </w:rPr>
        <w:t>К середине 1914 г. построили два но</w:t>
      </w:r>
      <w:r w:rsidRPr="00DE096C">
        <w:rPr>
          <w:bCs/>
          <w:color w:val="002060"/>
          <w:sz w:val="16"/>
          <w:szCs w:val="16"/>
          <w:lang w:bidi="ru-RU"/>
        </w:rPr>
        <w:softHyphen/>
        <w:t>вых С-12, которые отличались центральной четырех</w:t>
      </w:r>
      <w:r w:rsidRPr="00DE096C">
        <w:rPr>
          <w:bCs/>
          <w:color w:val="002060"/>
          <w:sz w:val="16"/>
          <w:szCs w:val="16"/>
          <w:lang w:bidi="ru-RU"/>
        </w:rPr>
        <w:softHyphen/>
        <w:t>стержневой пирамидой, установленной сверху на фюзеляже для крепления расча</w:t>
      </w:r>
      <w:r w:rsidRPr="00DE096C">
        <w:rPr>
          <w:bCs/>
          <w:color w:val="002060"/>
          <w:sz w:val="16"/>
          <w:szCs w:val="16"/>
          <w:lang w:bidi="ru-RU"/>
        </w:rPr>
        <w:softHyphen/>
        <w:t>лок крыла. С-12, заводской №131, корот</w:t>
      </w:r>
      <w:r w:rsidRPr="00DE096C">
        <w:rPr>
          <w:bCs/>
          <w:color w:val="002060"/>
          <w:sz w:val="16"/>
          <w:szCs w:val="16"/>
          <w:lang w:bidi="ru-RU"/>
        </w:rPr>
        <w:softHyphen/>
        <w:t>кое время использовался в 22-м авиаотря</w:t>
      </w:r>
      <w:r w:rsidRPr="00DE096C">
        <w:rPr>
          <w:bCs/>
          <w:color w:val="002060"/>
          <w:sz w:val="16"/>
          <w:szCs w:val="16"/>
          <w:lang w:bidi="ru-RU"/>
        </w:rPr>
        <w:softHyphen/>
        <w:t>де. На С-12 с заводским №132 летал Ян</w:t>
      </w:r>
      <w:r w:rsidRPr="00DE096C">
        <w:rPr>
          <w:bCs/>
          <w:color w:val="002060"/>
          <w:sz w:val="16"/>
          <w:szCs w:val="16"/>
          <w:lang w:bidi="ru-RU"/>
        </w:rPr>
        <w:softHyphen/>
        <w:t>ковский, излечившийся после аварии. С объявлением мобилизации Янковский по</w:t>
      </w:r>
      <w:r w:rsidRPr="00DE096C">
        <w:rPr>
          <w:bCs/>
          <w:color w:val="002060"/>
          <w:sz w:val="16"/>
          <w:szCs w:val="16"/>
          <w:lang w:bidi="ru-RU"/>
        </w:rPr>
        <w:softHyphen/>
        <w:t>ступил в 16-й корпусной авиаотряд и до</w:t>
      </w:r>
      <w:r w:rsidRPr="00DE096C">
        <w:rPr>
          <w:bCs/>
          <w:color w:val="002060"/>
          <w:sz w:val="16"/>
          <w:szCs w:val="16"/>
          <w:lang w:bidi="ru-RU"/>
        </w:rPr>
        <w:softHyphen/>
        <w:t>блестно воевал на своем С-12 до мая 1915 г., когда поступили три новых аппарата этого типа. Указанные самолеты были вы</w:t>
      </w:r>
      <w:r w:rsidRPr="00DE096C">
        <w:rPr>
          <w:bCs/>
          <w:color w:val="002060"/>
          <w:sz w:val="16"/>
          <w:szCs w:val="16"/>
          <w:lang w:bidi="ru-RU"/>
        </w:rPr>
        <w:softHyphen/>
        <w:t>полнены двухместными, снабжены двига</w:t>
      </w:r>
      <w:r w:rsidRPr="00DE096C">
        <w:rPr>
          <w:bCs/>
          <w:color w:val="002060"/>
          <w:sz w:val="16"/>
          <w:szCs w:val="16"/>
          <w:lang w:bidi="ru-RU"/>
        </w:rPr>
        <w:softHyphen/>
        <w:t>телями «Рон» 80 л.с. и получили обозначе</w:t>
      </w:r>
      <w:r w:rsidRPr="00DE096C">
        <w:rPr>
          <w:bCs/>
          <w:color w:val="002060"/>
          <w:sz w:val="16"/>
          <w:szCs w:val="16"/>
          <w:lang w:bidi="ru-RU"/>
        </w:rPr>
        <w:softHyphen/>
        <w:t>ние С-12 бис. Использовались в Эскадре воздушных кораблей и в 16-м корпусном авиаотряде (23374).</w:t>
      </w:r>
    </w:p>
    <w:p w14:paraId="73EDB22E" w14:textId="77777777" w:rsidR="00541F55" w:rsidRPr="00DE096C" w:rsidRDefault="00541F55" w:rsidP="00D45A46">
      <w:pPr>
        <w:jc w:val="both"/>
        <w:rPr>
          <w:bCs/>
          <w:color w:val="002060"/>
          <w:sz w:val="16"/>
          <w:szCs w:val="16"/>
          <w:lang w:bidi="ru-RU"/>
        </w:rPr>
      </w:pPr>
    </w:p>
    <w:p w14:paraId="00D978AA" w14:textId="77777777" w:rsidR="00541F55" w:rsidRPr="00DE096C" w:rsidRDefault="00541F55" w:rsidP="00D45A46">
      <w:pPr>
        <w:jc w:val="both"/>
        <w:rPr>
          <w:bCs/>
          <w:color w:val="002060"/>
          <w:sz w:val="16"/>
          <w:szCs w:val="16"/>
        </w:rPr>
      </w:pPr>
      <w:r w:rsidRPr="00DE096C">
        <w:rPr>
          <w:bCs/>
          <w:color w:val="002060"/>
          <w:sz w:val="16"/>
          <w:szCs w:val="16"/>
        </w:rPr>
        <w:t>В середине 1914 г., еще в мирное время по распоряжению директора РБВЗ («Русско-Балтийский вагонный завод» – авиационное отделение в Риге и Санкт-Петербурге, в дальнейшем – «Русско-Балтийский воздухоплавательный завод», «Авиа-Балт») Михаила Владимировича Шидловского на предприятии начата разработка самолета для обучения летчиков Авиации ВМФ России. Работа была предварительно согласована с командованием Авиации ВМФ, которое назначило летчиком-приемщиком самолета л-та Георгия Ивановича Лаврова, который уже испытывал др. самолеты РБВЗ.</w:t>
      </w:r>
    </w:p>
    <w:p w14:paraId="31F6BF3E" w14:textId="77777777" w:rsidR="00541F55" w:rsidRPr="00DE096C" w:rsidRDefault="00541F55" w:rsidP="00D45A46">
      <w:pPr>
        <w:jc w:val="both"/>
        <w:rPr>
          <w:bCs/>
          <w:color w:val="002060"/>
          <w:sz w:val="16"/>
          <w:szCs w:val="16"/>
        </w:rPr>
      </w:pPr>
      <w:r w:rsidRPr="00DE096C">
        <w:rPr>
          <w:bCs/>
          <w:color w:val="002060"/>
          <w:sz w:val="16"/>
          <w:szCs w:val="16"/>
        </w:rPr>
        <w:t>Руководителем разработки самолета был назначен Главный инженер РБВЗ Игорь Иванович Сикорский, но будучи в то время занят доводкой, испытаниями и запуском в серийное производство самолетов ИМ, он выполнил только общее проектирование, чертежи общего вида и расчеты главных силовых агрегатов, а также веса, а остальное делалось Техническим бюро Воздухоплавательного отделения АО РВВЗ под руководством его начальника Анатолия Анатольевича Серебренникова.</w:t>
      </w:r>
    </w:p>
    <w:p w14:paraId="62136AD0" w14:textId="77777777" w:rsidR="00541F55" w:rsidRPr="00DE096C" w:rsidRDefault="00541F55" w:rsidP="00D45A46">
      <w:pPr>
        <w:jc w:val="both"/>
        <w:rPr>
          <w:bCs/>
          <w:color w:val="002060"/>
          <w:sz w:val="16"/>
          <w:szCs w:val="16"/>
        </w:rPr>
      </w:pPr>
      <w:r w:rsidRPr="00DE096C">
        <w:rPr>
          <w:bCs/>
          <w:color w:val="002060"/>
          <w:sz w:val="16"/>
          <w:szCs w:val="16"/>
        </w:rPr>
        <w:t>Хотя участие самого Сикорского в этом проекте было более ограниченным, чем в предыдущих, обозначен он был литерой «С» как его машина с 16-м номером, который утратил уже порядковое значение, а был лишь опознавательным признаком чертежей деталей.</w:t>
      </w:r>
    </w:p>
    <w:p w14:paraId="1DF5A93C" w14:textId="77777777" w:rsidR="00541F55" w:rsidRPr="00DE096C" w:rsidRDefault="00541F55" w:rsidP="00D45A46">
      <w:pPr>
        <w:jc w:val="both"/>
        <w:rPr>
          <w:bCs/>
          <w:color w:val="002060"/>
          <w:sz w:val="16"/>
          <w:szCs w:val="16"/>
        </w:rPr>
      </w:pPr>
      <w:r w:rsidRPr="00DE096C">
        <w:rPr>
          <w:bCs/>
          <w:color w:val="002060"/>
          <w:sz w:val="16"/>
          <w:szCs w:val="16"/>
        </w:rPr>
        <w:t>При проектировании самолета под руководством И.И. Сикорского были выполнены продувки моделей некоторых агрегатов будущего самолета (достоверно известно об исследовании отсека крыла, но этим не ограничилось) в малой аэродинамической трубе, построенной на территории РБВЗ, а также продувка модели самолета в АДТ Аэродинамической лаборатории Петербургского политехнического института, что сделал Василий Адрианович Слесарев.</w:t>
      </w:r>
    </w:p>
    <w:p w14:paraId="746A21BC" w14:textId="77777777" w:rsidR="00541F55" w:rsidRPr="00DE096C" w:rsidRDefault="00541F55" w:rsidP="00D45A46">
      <w:pPr>
        <w:jc w:val="both"/>
        <w:rPr>
          <w:bCs/>
          <w:color w:val="002060"/>
          <w:sz w:val="16"/>
          <w:szCs w:val="16"/>
        </w:rPr>
      </w:pPr>
      <w:r w:rsidRPr="00DE096C">
        <w:rPr>
          <w:bCs/>
          <w:color w:val="002060"/>
          <w:sz w:val="16"/>
          <w:szCs w:val="16"/>
        </w:rPr>
        <w:t>Также в разработке самолета с самого начала участвовал летчик-приемщик Авиации ВМФ Г.И. Лавров.</w:t>
      </w:r>
    </w:p>
    <w:p w14:paraId="269D1951" w14:textId="77777777" w:rsidR="00541F55" w:rsidRPr="00DE096C" w:rsidRDefault="00541F55" w:rsidP="00D45A46">
      <w:pPr>
        <w:jc w:val="both"/>
        <w:rPr>
          <w:bCs/>
          <w:color w:val="002060"/>
          <w:sz w:val="16"/>
          <w:szCs w:val="16"/>
        </w:rPr>
      </w:pPr>
      <w:r w:rsidRPr="00DE096C">
        <w:rPr>
          <w:bCs/>
          <w:color w:val="002060"/>
          <w:sz w:val="16"/>
          <w:szCs w:val="16"/>
        </w:rPr>
        <w:t>Как образец при проектировании был взят английский самолет Sopwith Tabloid (первый полет – 27.11.13 г.), но разрабатываемый РБВЗ аэроплан его копией не являлся, а взял от него лишь некоторые идеи и пропорции, да и то по ходу дела измененные (23557).</w:t>
      </w:r>
    </w:p>
    <w:p w14:paraId="73E1012E" w14:textId="77777777" w:rsidR="00541F55" w:rsidRPr="00DE096C" w:rsidRDefault="00541F55" w:rsidP="00D45A46">
      <w:pPr>
        <w:jc w:val="both"/>
        <w:rPr>
          <w:bCs/>
          <w:color w:val="002060"/>
          <w:sz w:val="16"/>
          <w:szCs w:val="16"/>
          <w:lang w:bidi="en-US"/>
        </w:rPr>
      </w:pPr>
    </w:p>
    <w:p w14:paraId="631475E7" w14:textId="77777777" w:rsidR="00B67D7C" w:rsidRPr="00DE096C" w:rsidRDefault="00B67D7C" w:rsidP="00D45A46">
      <w:pPr>
        <w:jc w:val="both"/>
        <w:rPr>
          <w:bCs/>
          <w:i/>
          <w:color w:val="002060"/>
          <w:sz w:val="16"/>
          <w:szCs w:val="16"/>
        </w:rPr>
      </w:pPr>
      <w:r w:rsidRPr="00DE096C">
        <w:rPr>
          <w:bCs/>
          <w:i/>
          <w:color w:val="002060"/>
          <w:sz w:val="16"/>
          <w:szCs w:val="16"/>
        </w:rPr>
        <w:t>Другие оборонные отрасли:</w:t>
      </w:r>
    </w:p>
    <w:p w14:paraId="22FC093E" w14:textId="77777777" w:rsidR="00B67D7C" w:rsidRPr="00DE096C" w:rsidRDefault="00B67D7C" w:rsidP="00D45A46">
      <w:pPr>
        <w:jc w:val="both"/>
        <w:rPr>
          <w:bCs/>
          <w:i/>
          <w:color w:val="002060"/>
          <w:sz w:val="16"/>
          <w:szCs w:val="16"/>
        </w:rPr>
      </w:pPr>
    </w:p>
    <w:p w14:paraId="39FB5FB3" w14:textId="77777777" w:rsidR="008515A8" w:rsidRPr="00DE096C" w:rsidRDefault="008515A8" w:rsidP="00D45A46">
      <w:pPr>
        <w:jc w:val="both"/>
        <w:rPr>
          <w:bCs/>
          <w:color w:val="002060"/>
          <w:sz w:val="16"/>
          <w:szCs w:val="16"/>
        </w:rPr>
      </w:pPr>
      <w:r w:rsidRPr="00DE096C">
        <w:rPr>
          <w:bCs/>
          <w:color w:val="002060"/>
          <w:sz w:val="16"/>
          <w:szCs w:val="16"/>
        </w:rPr>
        <w:t>Вплоть до середины 1914 г. общество «Лесснер» косвенно продолжало свое автомобильное дело, при заводе содержался общественный гараж, а бывший моторный отдел занимался ремонтом автомобилей всех систем по казенным и частным заказам. В 1915 г. фирма, имевшая уже два завода в Петрограде («Старый Лесснер» и «Новый Лесснер»), объединилась с концерном «Нобель», ведущим российским производителем стационарных и судовых дизельных двигателей марки «Русский Дизель». Так родилось объединение «Ноблесснер». После революции национализированные заводы «Ноблесснер» неоднократно меняли свой профиль. Oни входили в Машиностроительное объединение имени Карла Маркса, причем завод «Двигатель» (бывший «Старый Лесснер») выпускал, между прочим, и масштабные модели автомобилей (18383).</w:t>
      </w:r>
    </w:p>
    <w:p w14:paraId="7B931723" w14:textId="77777777" w:rsidR="008515A8" w:rsidRPr="00DE096C" w:rsidRDefault="008515A8" w:rsidP="00D45A46">
      <w:pPr>
        <w:jc w:val="both"/>
        <w:rPr>
          <w:bCs/>
          <w:iCs/>
          <w:color w:val="002060"/>
          <w:sz w:val="16"/>
          <w:szCs w:val="16"/>
        </w:rPr>
      </w:pPr>
    </w:p>
    <w:p w14:paraId="54EB93FF" w14:textId="77777777" w:rsidR="00B67D7C" w:rsidRPr="00DE096C" w:rsidRDefault="00B67D7C" w:rsidP="00D45A46">
      <w:pPr>
        <w:jc w:val="both"/>
        <w:rPr>
          <w:bCs/>
          <w:color w:val="002060"/>
          <w:sz w:val="16"/>
          <w:szCs w:val="16"/>
        </w:rPr>
      </w:pPr>
      <w:r w:rsidRPr="00DE096C">
        <w:rPr>
          <w:bCs/>
          <w:color w:val="002060"/>
          <w:sz w:val="16"/>
          <w:szCs w:val="16"/>
        </w:rPr>
        <w:t xml:space="preserve">В середине 1914 В мастерских Севастопольского порта крейсер II ранга «Алмаз» был переоборудован в авиатранспорт. На нем были установлены 120 мм пушки, между второй и третьей мачтой смонтировали авиационную катапульту и кильблоки для двух разведывательных гидроаэропланов. </w:t>
      </w:r>
    </w:p>
    <w:p w14:paraId="6C998842" w14:textId="77777777" w:rsidR="00B67D7C" w:rsidRPr="00DE096C" w:rsidRDefault="00B67D7C" w:rsidP="00D45A46">
      <w:pPr>
        <w:shd w:val="clear" w:color="auto" w:fill="FFFFFF"/>
        <w:jc w:val="both"/>
        <w:rPr>
          <w:bCs/>
          <w:color w:val="002060"/>
          <w:sz w:val="16"/>
          <w:szCs w:val="16"/>
        </w:rPr>
      </w:pPr>
    </w:p>
    <w:p w14:paraId="5E3E5826" w14:textId="79EA5407" w:rsidR="00B67D7C" w:rsidRPr="00DE096C" w:rsidRDefault="00B67D7C" w:rsidP="00D45A46">
      <w:pPr>
        <w:jc w:val="both"/>
        <w:rPr>
          <w:bCs/>
          <w:color w:val="002060"/>
          <w:sz w:val="16"/>
          <w:szCs w:val="16"/>
        </w:rPr>
      </w:pPr>
      <w:r w:rsidRPr="00DE096C">
        <w:rPr>
          <w:bCs/>
          <w:color w:val="002060"/>
          <w:sz w:val="16"/>
          <w:szCs w:val="16"/>
        </w:rPr>
        <w:t xml:space="preserve">К середине 1914 г. строительство завода </w:t>
      </w:r>
      <w:r w:rsidR="00E57BA2" w:rsidRPr="00DE096C">
        <w:rPr>
          <w:bCs/>
          <w:color w:val="002060"/>
          <w:sz w:val="16"/>
          <w:szCs w:val="16"/>
        </w:rPr>
        <w:t xml:space="preserve">«Русско-Балтийского судостроительного и механического общество», созданного на основе объединения трех заводов в Ревеле, </w:t>
      </w:r>
      <w:r w:rsidRPr="00DE096C">
        <w:rPr>
          <w:bCs/>
          <w:color w:val="002060"/>
          <w:sz w:val="16"/>
          <w:szCs w:val="16"/>
        </w:rPr>
        <w:t xml:space="preserve">находилось в самом разгаре. </w:t>
      </w:r>
      <w:r w:rsidR="00E57BA2" w:rsidRPr="00DE096C">
        <w:rPr>
          <w:bCs/>
          <w:color w:val="002060"/>
          <w:sz w:val="16"/>
          <w:szCs w:val="16"/>
        </w:rPr>
        <w:t xml:space="preserve">Местоположение его было выбрано исключительно удачно. Строительство завода велось ускоренными темпами. К маю 1913 г. была закончена постройка подъездных путей к заводу, электростанции, плаза и четырех малых стапелей. В ноябре 1913 г. на энергично воздвигаемом заводе была произведена закладка двух легких крейсеров — «Светлана» и «Адмирал Грейг», и четырех эсминцев класса «Гавриил». </w:t>
      </w:r>
      <w:r w:rsidRPr="00DE096C">
        <w:rPr>
          <w:bCs/>
          <w:color w:val="002060"/>
          <w:sz w:val="16"/>
          <w:szCs w:val="16"/>
        </w:rPr>
        <w:t>На площади в 27 га создавалось мощное и богато оборудованное современное судостроительное производство. В ходе постройки завода первоначальные планы были даже превзойдены. При окончательной планировке местности предусмотрели площадку для третьего большого стапеля, на случай дальнейшего расширения завода. Сами стапеля для тяжелых кораблей в ходе строительства были существенно увеличены, что давало возможность строить на них корпуса линкоров длиной до 250 м, шириной до 37 м и водоизмещением до 40 тыс. т при спусковом весе до 10 тыс.т. Большие стапеля обслуживались шестью пятитонными подъемными башенными кранами. Помимо них, имелось шесть стапелей для эсминцев.</w:t>
      </w:r>
    </w:p>
    <w:p w14:paraId="18C87F4D" w14:textId="77777777" w:rsidR="00B67D7C" w:rsidRPr="00DE096C" w:rsidRDefault="00B67D7C" w:rsidP="00D45A46">
      <w:pPr>
        <w:jc w:val="both"/>
        <w:rPr>
          <w:bCs/>
          <w:color w:val="002060"/>
          <w:sz w:val="16"/>
          <w:szCs w:val="16"/>
        </w:rPr>
      </w:pPr>
      <w:r w:rsidRPr="00DE096C">
        <w:rPr>
          <w:bCs/>
          <w:color w:val="002060"/>
          <w:sz w:val="16"/>
          <w:szCs w:val="16"/>
        </w:rPr>
        <w:t>Мощности механического отдела создавались в расчете на выпуск восьми турбин в год. Трехпролетный турбинный цех был оснащен двумя 60-тонными кранами, двумя кранами по 15 т и новейшим станочным оборудованием. Почти таких же размеров были малая судостроительная, механическая, котельная, медницкая, литейная мастерские и кузница. Большой судостроительный цех был еще более внушительных размеров. Он помещался в здании размерами 250x45 м и был разделен на три пролета — средний в 18 м и два боковых по 13,5 м, каждый из которых обслуживался двумя 5-тонными мостовыми кранами. Над средним пролетом помещался разбивочный плаз размерами 120x18 м.</w:t>
      </w:r>
    </w:p>
    <w:p w14:paraId="5EC86A1D" w14:textId="77777777" w:rsidR="00B67D7C" w:rsidRPr="00DE096C" w:rsidRDefault="00B67D7C" w:rsidP="00D45A46">
      <w:pPr>
        <w:jc w:val="both"/>
        <w:rPr>
          <w:bCs/>
          <w:color w:val="002060"/>
          <w:sz w:val="16"/>
          <w:szCs w:val="16"/>
        </w:rPr>
      </w:pPr>
      <w:r w:rsidRPr="00DE096C">
        <w:rPr>
          <w:bCs/>
          <w:color w:val="002060"/>
          <w:sz w:val="16"/>
          <w:szCs w:val="16"/>
        </w:rPr>
        <w:t xml:space="preserve">Проектом предусматривалась постройка на заводе крупнейшего в России сухого дока длиной 300 м и шириной 38 м для кораблей до 12 м аварийной осадки. Для достройки судов предполагалось иметь большой бассейн (достроечный ковш) площадью свыше 72 тыс. м с береговой линией около 1000 м. Вдоль каждой из трех сторон бассейна проходили пути для трех поворотных кранов-травеллеров (два 40-тонных, один 30-тонный). Помимо них, для обслуживания достроечного бассейна </w:t>
      </w:r>
      <w:r w:rsidRPr="00DE096C">
        <w:rPr>
          <w:bCs/>
          <w:color w:val="002060"/>
          <w:sz w:val="16"/>
          <w:szCs w:val="16"/>
        </w:rPr>
        <w:lastRenderedPageBreak/>
        <w:t>предусматривался один 150-тонный плавкран. «В проект судостроения, — докладывал правлению строитель завода, — положена как основание возможность в ближайшем будущем вести постройку самых крупных военных и коммерческих судов» (ЦИА СПб. ф.2145, оп. 1, д.95, лл.3-4).</w:t>
      </w:r>
    </w:p>
    <w:p w14:paraId="499BBCC4" w14:textId="77777777" w:rsidR="00B67D7C" w:rsidRPr="00DE096C" w:rsidRDefault="00B67D7C" w:rsidP="00D45A46">
      <w:pPr>
        <w:jc w:val="both"/>
        <w:rPr>
          <w:bCs/>
          <w:color w:val="002060"/>
          <w:sz w:val="16"/>
          <w:szCs w:val="16"/>
        </w:rPr>
      </w:pPr>
      <w:r w:rsidRPr="00DE096C">
        <w:rPr>
          <w:bCs/>
          <w:color w:val="002060"/>
          <w:sz w:val="16"/>
          <w:szCs w:val="16"/>
        </w:rPr>
        <w:t>Осмотр в 1916 г. цехов и оборудования Русско-Балтийского завода, еще и тогда не полностью законченного, по словам одного из членов правительственного правления Путиловского завода, «вызвал искреннее чувство зависти». Всего на 1 июля 1914 г. в строительство и оборудование Русско-Балтийского завода было вложено около 25 млн. руб.</w:t>
      </w:r>
    </w:p>
    <w:p w14:paraId="76A58A0F" w14:textId="77777777" w:rsidR="00B67D7C" w:rsidRPr="00DE096C" w:rsidRDefault="00B67D7C" w:rsidP="00D45A46">
      <w:pPr>
        <w:jc w:val="both"/>
        <w:rPr>
          <w:bCs/>
          <w:color w:val="002060"/>
          <w:sz w:val="16"/>
          <w:szCs w:val="16"/>
        </w:rPr>
      </w:pPr>
      <w:r w:rsidRPr="00DE096C">
        <w:rPr>
          <w:bCs/>
          <w:color w:val="002060"/>
          <w:sz w:val="16"/>
          <w:szCs w:val="16"/>
        </w:rPr>
        <w:t>Новый завод был укомплектован передовыми инженерно-техническими кадрами. Должность технического директора на нем исполнял крупный русский корабельный инженер И.А.Гаврилов, переведенный в Ревель для укрепления растущего предприятия с петербургского Адмиралтейского завода, где он в 1907–1912 гг. возглавлял отдел проектирования судов. На Русско-Балтийском заводе работали такие известные инженеры, как А.А.Пукашевич (заведующий техбюро по кораблестроению), П.В.Яньков и А.И.Дмитриев (Гаврилов И.А. Описание возникновения, строительства и деятельности Русско-Балтийского судостроительного и механического завода в Ревеле, 19121917 гг. (рукопись), 1962. с. 12.). Быстро набиравшее силу новое судостроительное общество являлось весомой составляющей в ряду балтийских заводов, способных быстро и эффективно претворять в жизнь широкие кораблестроительные программы Морского министерства (12109).</w:t>
      </w:r>
    </w:p>
    <w:p w14:paraId="47AE6001" w14:textId="77777777" w:rsidR="00B67D7C" w:rsidRPr="00DE096C" w:rsidRDefault="00B67D7C" w:rsidP="00D45A46">
      <w:pPr>
        <w:jc w:val="both"/>
        <w:rPr>
          <w:bCs/>
          <w:color w:val="002060"/>
          <w:sz w:val="16"/>
          <w:szCs w:val="16"/>
        </w:rPr>
      </w:pPr>
    </w:p>
    <w:p w14:paraId="07A5D843" w14:textId="114A631D" w:rsidR="00B67D7C" w:rsidRPr="00DE096C" w:rsidRDefault="00B67D7C" w:rsidP="00D45A46">
      <w:pPr>
        <w:jc w:val="both"/>
        <w:rPr>
          <w:bCs/>
          <w:color w:val="002060"/>
          <w:sz w:val="16"/>
          <w:szCs w:val="16"/>
        </w:rPr>
      </w:pPr>
      <w:r w:rsidRPr="00DE096C">
        <w:rPr>
          <w:bCs/>
          <w:color w:val="002060"/>
          <w:sz w:val="16"/>
          <w:szCs w:val="16"/>
        </w:rPr>
        <w:t>К середине 1914 г. Обуховский завод являлся оборудованным по последнему слову техники предприятием-гигантом, работавшим и развивавшимся «полным усиленным ходом». Мощный фундамент широкомасштабных морских программ обеспечил заводу невиданно высокие темпы развития. Площадь, занимаемая предприятием к этому времени, возросла до 147,7 га. Число инженеров, техников и рабочих составляло почти 5500 человек. Обуховский завод производил орудия всех калибров, башенные установки, станки, лафеты, учебные стволы, снаряды всех калибров, торпеды, приборы управления к ним («приборы Обри»), оптические прицелы, трубы, панорамы, бинокли, всевозможных сортов высокого качества стальные, медные и чугунные отливки, простые и фасонные поковки, металлопрокат, разнообразные стальные конструкции, а также производил ремонт всех видов артиллерийской техники. (Каптерев Н.А. Обуховский сталелитейный завод. — СПб, 1913. с.72.)</w:t>
      </w:r>
    </w:p>
    <w:p w14:paraId="00664A46" w14:textId="77777777" w:rsidR="00B67D7C" w:rsidRPr="00DE096C" w:rsidRDefault="00B67D7C" w:rsidP="00D45A46">
      <w:pPr>
        <w:jc w:val="both"/>
        <w:rPr>
          <w:bCs/>
          <w:color w:val="002060"/>
          <w:sz w:val="16"/>
          <w:szCs w:val="16"/>
        </w:rPr>
      </w:pPr>
      <w:r w:rsidRPr="00DE096C">
        <w:rPr>
          <w:bCs/>
          <w:color w:val="002060"/>
          <w:sz w:val="16"/>
          <w:szCs w:val="16"/>
        </w:rPr>
        <w:t>К 1914 г. резкое повышение калибра тяжелых морских орудий и огромное увеличение их дульной энергии заставили искать пути увеличения прочности орудийных стволов. Выход был найден в переходе на среднелегированную хромоникелевую сталь с пределом упругости 4500 кг/см против 3500 кг/см у общепринятых тогда в орудийном производстве углеродистых сталей. Это технологическое новшество, совместно с планируемым в ближайшем будущем переходом к поточному изготовлению 16", а затем, возможно, и орудий еще более крупных калибров, не оставляло при подготовке к их производству никакого иного пути, кроме как очередное, третье по счету, крупное расширение Обуховского завода.</w:t>
      </w:r>
    </w:p>
    <w:p w14:paraId="6F3C214A" w14:textId="77777777" w:rsidR="00B67D7C" w:rsidRPr="00DE096C" w:rsidRDefault="00B67D7C" w:rsidP="00D45A46">
      <w:pPr>
        <w:jc w:val="both"/>
        <w:rPr>
          <w:bCs/>
          <w:color w:val="002060"/>
          <w:sz w:val="16"/>
          <w:szCs w:val="16"/>
        </w:rPr>
      </w:pPr>
      <w:r w:rsidRPr="00DE096C">
        <w:rPr>
          <w:bCs/>
          <w:color w:val="002060"/>
          <w:sz w:val="16"/>
          <w:szCs w:val="16"/>
        </w:rPr>
        <w:t>Весной 1914 г. завод совместно с артиллерийским отделом ГУК подготовил подробный план наращивания своих производственных мощностей, с указанием сроков и необходимых для этого ассигнований. В нем говорилось:</w:t>
      </w:r>
    </w:p>
    <w:p w14:paraId="70D6071F" w14:textId="77777777" w:rsidR="00B67D7C" w:rsidRPr="00DE096C" w:rsidRDefault="00B67D7C" w:rsidP="00D45A46">
      <w:pPr>
        <w:pStyle w:val="Blockquote"/>
        <w:spacing w:before="0" w:after="0"/>
        <w:ind w:left="0" w:right="0"/>
        <w:jc w:val="both"/>
        <w:rPr>
          <w:bCs/>
          <w:color w:val="002060"/>
          <w:sz w:val="16"/>
          <w:szCs w:val="16"/>
        </w:rPr>
      </w:pPr>
      <w:r w:rsidRPr="00DE096C">
        <w:rPr>
          <w:bCs/>
          <w:color w:val="002060"/>
          <w:sz w:val="16"/>
          <w:szCs w:val="16"/>
        </w:rPr>
        <w:t>"… изготовление орудий 14" и в особенности 16" калибра из хромоникелевой стали на Обуховском сталелитейном заводе при наличии имеющихся средств должно быть в настоящее время признано несоответствующим требованиям которые предъявлены к изделиям столь решающего значения в деле государственной обороны…</w:t>
      </w:r>
    </w:p>
    <w:p w14:paraId="5DDC266C" w14:textId="77777777" w:rsidR="00B67D7C" w:rsidRPr="00DE096C" w:rsidRDefault="00B67D7C" w:rsidP="00D45A46">
      <w:pPr>
        <w:pStyle w:val="Blockquote"/>
        <w:spacing w:before="0" w:after="0"/>
        <w:ind w:left="0" w:right="0"/>
        <w:jc w:val="both"/>
        <w:rPr>
          <w:bCs/>
          <w:color w:val="002060"/>
          <w:sz w:val="16"/>
          <w:szCs w:val="16"/>
        </w:rPr>
      </w:pPr>
      <w:r w:rsidRPr="00DE096C">
        <w:rPr>
          <w:bCs/>
          <w:color w:val="002060"/>
          <w:sz w:val="16"/>
          <w:szCs w:val="16"/>
        </w:rPr>
        <w:t>Мартеновский отдел сталелитейной мастерской располагает тремя печами: двумя по 30 т и одной пятнадцатитонной, что позволяет отливать болванку для внутренней трубы из двух печей для 14" орудия и для 16" орудия даже из всех трех печей. Такой способ отливки болванки для наиболее ответственной части орудия нельзя признать приемлемым, ибо им не только обуславливается высокий процент брака, но, что самое главное, способ этот не гарантирует при валовом производстве ни доброкачественности отливки, ни ее прочности. Представляется поэтому настоятельно необходимым сооружение новой печи достаточной вместимости для отливки из нее одной болванки наибольшего веса. Печь в 60–65 т была бы достаточна, ибо с перегрузкой в 10 т из нее можно отлить требуемую болванку в 75 т и с недогрузкой в 15 т она давала бы, при достаточно экономичном ходе, болванку около 40–45 т. Для отливок болванок меньшего размера по условиям производства необходимы еще две печи в 40 и 25 т…</w:t>
      </w:r>
    </w:p>
    <w:p w14:paraId="61BAE84E" w14:textId="77777777" w:rsidR="00B67D7C" w:rsidRPr="00DE096C" w:rsidRDefault="00B67D7C" w:rsidP="00D45A46">
      <w:pPr>
        <w:jc w:val="both"/>
        <w:rPr>
          <w:bCs/>
          <w:color w:val="002060"/>
          <w:sz w:val="16"/>
          <w:szCs w:val="16"/>
        </w:rPr>
      </w:pPr>
      <w:r w:rsidRPr="00DE096C">
        <w:rPr>
          <w:bCs/>
          <w:color w:val="002060"/>
          <w:sz w:val="16"/>
          <w:szCs w:val="16"/>
        </w:rPr>
        <w:t>Такое оборудование по сравнению с действующим в настоящее время не является преувеличением, если принять во внимание, что 60-тонная печь предположена к сооружению самых крупных калибров артиллерии 16" и 14" пушек и является, таким образом, при наибольшей нагрузке печью специального назначения" (Законопроект Морского министерства, представленный в Государственную думу 17 августа 1914 г., "Об отпуске сверхсметного кредита на дополнительное оборудование Обуховского сталелитейного завода в связи с изготовлением 14- и 16-дм. орудий из хромоникелевой стали, башенных установок для орудий до 16-дм. калибра и увеличением снарядного производства". с. 2, 3. РГАВМФ, ф.401, оп. 2, д. 617, лл. 70, 71.).</w:t>
      </w:r>
    </w:p>
    <w:p w14:paraId="5A6EE7D4" w14:textId="77777777" w:rsidR="00B67D7C" w:rsidRPr="00DE096C" w:rsidRDefault="00B67D7C" w:rsidP="00D45A46">
      <w:pPr>
        <w:jc w:val="both"/>
        <w:rPr>
          <w:bCs/>
          <w:color w:val="002060"/>
          <w:sz w:val="16"/>
          <w:szCs w:val="16"/>
        </w:rPr>
      </w:pPr>
      <w:r w:rsidRPr="00DE096C">
        <w:rPr>
          <w:bCs/>
          <w:color w:val="002060"/>
          <w:sz w:val="16"/>
          <w:szCs w:val="16"/>
        </w:rPr>
        <w:t>Что касается цехов пушечного отдела, то они были уже в основном приспособлены к сооружению 16" орудий и свободно могли выполнить предусмотренные для Обуховского завода программы при условии не очень значительных затрат на два токарных станка, могущих обрабатывать орудия весом до 115 т.</w:t>
      </w:r>
    </w:p>
    <w:p w14:paraId="6BC094A4" w14:textId="77777777" w:rsidR="00B67D7C" w:rsidRPr="00DE096C" w:rsidRDefault="00B67D7C" w:rsidP="00D45A46">
      <w:pPr>
        <w:jc w:val="both"/>
        <w:rPr>
          <w:bCs/>
          <w:color w:val="002060"/>
          <w:sz w:val="16"/>
          <w:szCs w:val="16"/>
        </w:rPr>
      </w:pPr>
      <w:r w:rsidRPr="00DE096C">
        <w:rPr>
          <w:bCs/>
          <w:color w:val="002060"/>
          <w:sz w:val="16"/>
          <w:szCs w:val="16"/>
        </w:rPr>
        <w:t>Кроме коренного переоборудования сталелитейной мастерской и дооборудования пушечной, планировалось также сооружение снарядной мастерской с полным оборудованием и дооборудование снаряднозакалочной, постройка нового чугунолитейного цеха и цеха скорострельной артиллерии. Помимо этого, было предусмотрено строительство нового здания и полное переоборудование заводской лаборатории.</w:t>
      </w:r>
    </w:p>
    <w:p w14:paraId="5613559B" w14:textId="77777777" w:rsidR="00B67D7C" w:rsidRPr="00DE096C" w:rsidRDefault="00B67D7C" w:rsidP="00D45A46">
      <w:pPr>
        <w:jc w:val="both"/>
        <w:rPr>
          <w:bCs/>
          <w:color w:val="002060"/>
          <w:sz w:val="16"/>
          <w:szCs w:val="16"/>
        </w:rPr>
      </w:pPr>
      <w:r w:rsidRPr="00DE096C">
        <w:rPr>
          <w:bCs/>
          <w:color w:val="002060"/>
          <w:sz w:val="16"/>
          <w:szCs w:val="16"/>
        </w:rPr>
        <w:t>И, наконец, было запланировано расширение башенного отдела завода, необходимое для производства новых больших башен. Существовавший котельный цех, расположенный в противоположной части завода, в силу ограниченности его размеров и малой мощности грузоподъемных механизмов не мог изготавливать поворотные столы четырехорудийных 16" установок. Помимо этого, перемещение подобных крупных конструкций через весь завод было невозможным ввиду недостаточности железнодорожного габарита. Поэтому новым планом расширения завода предусматривалось возведение нового цеха заготовки башенных конструкций рядом с прокатным и сборочным цехами, сосредотачивавшее, таким образом, все башенное производство на едином участке. Сборочный цех, оборудованный по предшествующему плану расширения завода одним 150-тонным краном, предполагалось оснастить вторым таким же краном. Помимо этого, было решено реконструировать подкрановые пути и построить бассейн для подачи барж, на которых окончательно готовые части башен сплавлялись вниз по Неве к верфям для установки их на корабли.</w:t>
      </w:r>
    </w:p>
    <w:p w14:paraId="3EC8093B" w14:textId="77777777" w:rsidR="00B67D7C" w:rsidRPr="00DE096C" w:rsidRDefault="00B67D7C" w:rsidP="00D45A46">
      <w:pPr>
        <w:jc w:val="both"/>
        <w:rPr>
          <w:bCs/>
          <w:color w:val="002060"/>
          <w:sz w:val="16"/>
          <w:szCs w:val="16"/>
        </w:rPr>
      </w:pPr>
      <w:r w:rsidRPr="00DE096C">
        <w:rPr>
          <w:bCs/>
          <w:color w:val="002060"/>
          <w:sz w:val="16"/>
          <w:szCs w:val="16"/>
        </w:rPr>
        <w:t>Затраты на дооборудование Обуховского завода под программу серийного производства 16" орудий, их установок и снарядов были исчислены в 6623 тыс. руб. Работы, в соответствии со степенью их срочности, разбивались на два этапа — 1914–1915 гг. и 1916 г., и были рассчитаны на три года. В объяснительной записке к проекту говорилось, что «…часть переустройства, обусловленная необходимостью приступить через 1,5–2 года к валовому производству 16» пушек и башенных к ним установок, должна вестись возможно ускоренным порядком, а потому нужные на эту часть переустройства средства должны быть отпущены в первую очередь…», причем имелось в виду, что «…переустройство осложняется необходимостью не задерживать текущее производство даже на самое короткое время» (Законопроект Морского министерства, представленный в Государственную думу 17 августа 1914 г., "Об отпуске сверхсметного кредита на дополнительное оборудование Обуховского сталелитейного завода в связи с изготовлением 14- и 16-дм. орудий из хромоникелевой стали, башенных установок для орудий до 16-дм. калибра и увеличением снарядного производства". с. 2, 3. РГАВМФ, ф.401, оп. 2, д. 617, лл. 70, 71.).</w:t>
      </w:r>
    </w:p>
    <w:p w14:paraId="1B16E1D2" w14:textId="77777777" w:rsidR="00B67D7C" w:rsidRPr="00DE096C" w:rsidRDefault="00B67D7C" w:rsidP="00D45A46">
      <w:pPr>
        <w:jc w:val="both"/>
        <w:rPr>
          <w:bCs/>
          <w:color w:val="002060"/>
          <w:sz w:val="16"/>
          <w:szCs w:val="16"/>
        </w:rPr>
      </w:pPr>
      <w:r w:rsidRPr="00DE096C">
        <w:rPr>
          <w:bCs/>
          <w:color w:val="002060"/>
          <w:sz w:val="16"/>
          <w:szCs w:val="16"/>
        </w:rPr>
        <w:t>Запрос в Думу «Об отпуске сверхсметного кредита на дополнительное оборудование Обуховского сталелитейного завода в связи с изготовлением 14» и 16 орудий из хромоникелевой стали, башенных установок для орудий 16" калибра и увеличения снарядного производства" (так полностью именовался законопроект) был подан И.К. Григоровичем 17 августа 1914 г., т. е. когда уже началась война. Принятие новых программ строительства линкоров было приостановлено, как тогда полагали, на время, но жизнь показала, что навсегда. Однако даже в тяжелые годы войны 1914–1918 гг. на перегруженном срочными заказами армии и флота Обуховском заводе пытались по возможности следовать предвоенному плану реконструкции. Так, в 1916 г. была «приведена в действие законченная сооружением новая башенная мастерская для монтажа трехорудийных башен для 16" пушек». Помимо этого, существенно было расширено производство стали, но полностью программа развития завода по плану 1914 г. реализована не была. ("Доклад по Морскому министерству за 1916 г.", с. 127.)</w:t>
      </w:r>
    </w:p>
    <w:p w14:paraId="57E1F068" w14:textId="77777777" w:rsidR="00B67D7C" w:rsidRPr="00DE096C" w:rsidRDefault="00B67D7C" w:rsidP="00D45A46">
      <w:pPr>
        <w:jc w:val="both"/>
        <w:rPr>
          <w:bCs/>
          <w:color w:val="002060"/>
          <w:sz w:val="16"/>
          <w:szCs w:val="16"/>
        </w:rPr>
      </w:pPr>
      <w:r w:rsidRPr="00DE096C">
        <w:rPr>
          <w:bCs/>
          <w:color w:val="002060"/>
          <w:sz w:val="16"/>
          <w:szCs w:val="16"/>
        </w:rPr>
        <w:t>Вторым казенным заводом, предположенным для изготовления крупных морских орудий, должен был стать Пермский артиллерийский завод, до этого производивший лишь мелкие и средние орудия для Военного ведомства, станки для них и снаряды. Предложения о перевооружении Пермских заводов составлялись Горным ведомством в 1910-1911 гг., когда наибольшим перспективным калибром морской артиллерии считался калибр 14". Эти предложения одобрил Совет министров, и Законом от 23 июня 1913 г. было определено отпустить средства на перевооружение Пермских пушечных заводов для изготовления предметов артиллерийского вооружения и оборудования полигона при заводе на общую сумму в 10628 тыс. руб., причем главная часть ассигнований в размере 4831 тыс. руб. имела назначение установить на Пермских заводах оборудование для производства орудий самых крупных калибров до 12 штук в год (12109).</w:t>
      </w:r>
    </w:p>
    <w:p w14:paraId="11D0ABB0" w14:textId="77777777" w:rsidR="00B67D7C" w:rsidRPr="00DE096C" w:rsidRDefault="00B67D7C" w:rsidP="00D45A46">
      <w:pPr>
        <w:jc w:val="both"/>
        <w:rPr>
          <w:bCs/>
          <w:color w:val="002060"/>
          <w:sz w:val="16"/>
          <w:szCs w:val="16"/>
        </w:rPr>
      </w:pPr>
    </w:p>
    <w:p w14:paraId="75E8D802" w14:textId="368B8996" w:rsidR="0032740E" w:rsidRPr="00DE096C" w:rsidRDefault="0032740E" w:rsidP="00D45A46">
      <w:pPr>
        <w:jc w:val="both"/>
        <w:rPr>
          <w:bCs/>
          <w:color w:val="002060"/>
          <w:sz w:val="16"/>
          <w:szCs w:val="16"/>
        </w:rPr>
      </w:pPr>
      <w:r w:rsidRPr="00DE096C">
        <w:rPr>
          <w:bCs/>
          <w:color w:val="002060"/>
          <w:sz w:val="16"/>
          <w:szCs w:val="16"/>
        </w:rPr>
        <w:t>К середине 1914 года работы по строительству завода РАОАЗ велись полномасштабно и с привлечением большого числа рабочих. К этому времени на заводе работало около тысячи собственных рабочих и около полутора тысяч привлеченных подрядчиками со стороны. Было решено провести торжественную закладку завода.</w:t>
      </w:r>
    </w:p>
    <w:p w14:paraId="05E72671" w14:textId="77777777" w:rsidR="0032740E" w:rsidRPr="00DE096C" w:rsidRDefault="0032740E" w:rsidP="00D45A46">
      <w:pPr>
        <w:jc w:val="both"/>
        <w:rPr>
          <w:bCs/>
          <w:color w:val="002060"/>
          <w:sz w:val="16"/>
          <w:szCs w:val="16"/>
        </w:rPr>
      </w:pPr>
      <w:r w:rsidRPr="00DE096C">
        <w:rPr>
          <w:bCs/>
          <w:color w:val="002060"/>
          <w:sz w:val="16"/>
          <w:szCs w:val="16"/>
        </w:rPr>
        <w:t>На 13 (26) июня 1914 года назначили торжественную закладку завода РАОАЗ. Сначала это событие было намечено на апрель 1914 года. Затем несколько раз откладывали.</w:t>
      </w:r>
    </w:p>
    <w:p w14:paraId="0FBA7D15" w14:textId="77777777" w:rsidR="0032740E" w:rsidRPr="00DE096C" w:rsidRDefault="0032740E" w:rsidP="00D45A46">
      <w:pPr>
        <w:jc w:val="both"/>
        <w:rPr>
          <w:bCs/>
          <w:color w:val="002060"/>
          <w:sz w:val="16"/>
          <w:szCs w:val="16"/>
        </w:rPr>
      </w:pPr>
      <w:r w:rsidRPr="00DE096C">
        <w:rPr>
          <w:bCs/>
          <w:color w:val="002060"/>
          <w:sz w:val="16"/>
          <w:szCs w:val="16"/>
        </w:rPr>
        <w:t xml:space="preserve">Приглашения были разосланы многим важным персонам: Военному и Морскому министрам, великим князьям. К приезду готовились. Были с деланы парадная деревянная лестница от волжского причала, по пути следования гостей арки, украшенные цветами, праздничные павильоны для угощения, большой деревянный план-макет завода. Гости прибыли из Царицына на двух пароходах – «Верблюд» и «Калева». Среди них не было приглашенных ни министров, ни великих князей. Однако празднование почтили своим присутствием помощник (заместитель) Морского министра вице адмирал Н. В. Бубнов, начальник главного управления кораблестроения вице адмирал Н.Н. Муравьев, начальник главного артиллерийского управления генерал лейтенант Д. Д. Кузьмин-Караваев, губернатор Саратовской губернии А. А.Ширинский Шахматов. В празднование были вовлечены и рабочие, которым выдавались красные рубахи и платки, 50 копеек и бесплатный обед. Но вскоре о </w:t>
      </w:r>
      <w:r w:rsidRPr="00DE096C">
        <w:rPr>
          <w:bCs/>
          <w:color w:val="002060"/>
          <w:sz w:val="16"/>
          <w:szCs w:val="16"/>
        </w:rPr>
        <w:lastRenderedPageBreak/>
        <w:t>празднике старались не вспоминать. Через месяц – 15 (28) июля в страну пришла беда, грянула мировая война, позже названная Первой. Поначалу правлению казалось, что война может помочь в ускорении строительства военного завода, стоимость работ может снизиться, а основные проблемы будут в нехватке рабочих рук при этом. Однако прогноз оказался неверным. Хотя в целом мобилизация, безусловно, создала дефицит рабочих рук – с завода были призваны около 800 рабочих, особого дефицита рабочих рук на заводе не ощущалось. А вот цены поползли вверх, в первую очередь как раз на рабочую силу. Но наиболее серьезные проблемы, связанные с войной, подошли с другой стороны.</w:t>
      </w:r>
    </w:p>
    <w:p w14:paraId="005D370F" w14:textId="77777777" w:rsidR="0032740E" w:rsidRPr="00DE096C" w:rsidRDefault="0032740E" w:rsidP="00D45A46">
      <w:pPr>
        <w:jc w:val="both"/>
        <w:rPr>
          <w:bCs/>
          <w:color w:val="002060"/>
          <w:sz w:val="16"/>
          <w:szCs w:val="16"/>
        </w:rPr>
      </w:pPr>
      <w:r w:rsidRPr="00DE096C">
        <w:rPr>
          <w:bCs/>
          <w:color w:val="002060"/>
          <w:sz w:val="16"/>
          <w:szCs w:val="16"/>
        </w:rPr>
        <w:t>Значительно выросший потенциал российской промышленности позволял выполнять многие заказы РАОАЗ, но в значительной степени в кооперации с западными фирмами. Особенно это касалось электрооборудования. Одна за другой компании (РЭАО «Динамо», «Всемирная электрическая компания», РАО «Сименс-Шукерт» и др.) стали снимать с себя ответственность за соблюдение сроков поставки оборудования, а иногда ставили под сомнение саму поставку. Нарушилось железнодорожное сообщение.</w:t>
      </w:r>
    </w:p>
    <w:p w14:paraId="1315DA8F" w14:textId="77777777" w:rsidR="0032740E" w:rsidRPr="00DE096C" w:rsidRDefault="0032740E" w:rsidP="00D45A46">
      <w:pPr>
        <w:jc w:val="both"/>
        <w:rPr>
          <w:bCs/>
          <w:color w:val="002060"/>
          <w:sz w:val="16"/>
          <w:szCs w:val="16"/>
        </w:rPr>
      </w:pPr>
      <w:r w:rsidRPr="00DE096C">
        <w:rPr>
          <w:bCs/>
          <w:color w:val="002060"/>
          <w:sz w:val="16"/>
          <w:szCs w:val="16"/>
        </w:rPr>
        <w:t>Предприятия партнеры в Польше, Прибалтике не могли отгрузить готовую продукцию, так как приоритет отдавался военным грузам.</w:t>
      </w:r>
    </w:p>
    <w:p w14:paraId="486E6034" w14:textId="77777777" w:rsidR="0032740E" w:rsidRPr="00DE096C" w:rsidRDefault="0032740E" w:rsidP="00D45A46">
      <w:pPr>
        <w:jc w:val="both"/>
        <w:rPr>
          <w:bCs/>
          <w:color w:val="002060"/>
          <w:sz w:val="16"/>
          <w:szCs w:val="16"/>
        </w:rPr>
      </w:pPr>
      <w:r w:rsidRPr="00DE096C">
        <w:rPr>
          <w:bCs/>
          <w:color w:val="002060"/>
          <w:sz w:val="16"/>
          <w:szCs w:val="16"/>
        </w:rPr>
        <w:t>Правление РАОАЗ было вынуждено обратиться за помощью к военному и морскому министрам, чтобы грузы в адрес царицынского завода рассматривались как военные. Не сразу, но такого решения удалось добиться. Но самая серьезная проблема оказалась в доставках импортных грузов, основными поставщиками которых были английские предприятия.</w:t>
      </w:r>
    </w:p>
    <w:p w14:paraId="4D6D7696" w14:textId="77777777" w:rsidR="0032740E" w:rsidRPr="00DE096C" w:rsidRDefault="0032740E" w:rsidP="00D45A46">
      <w:pPr>
        <w:jc w:val="both"/>
        <w:rPr>
          <w:bCs/>
          <w:color w:val="002060"/>
          <w:sz w:val="16"/>
          <w:szCs w:val="16"/>
        </w:rPr>
      </w:pPr>
      <w:r w:rsidRPr="00DE096C">
        <w:rPr>
          <w:bCs/>
          <w:color w:val="002060"/>
          <w:sz w:val="16"/>
          <w:szCs w:val="16"/>
        </w:rPr>
        <w:t xml:space="preserve">Еще до начала боевых действий Турция, </w:t>
      </w:r>
      <w:r w:rsidRPr="00DE096C">
        <w:rPr>
          <w:bCs/>
          <w:color w:val="002060"/>
          <w:sz w:val="16"/>
          <w:szCs w:val="16"/>
          <w:lang w:val="en-US"/>
        </w:rPr>
        <w:t>c</w:t>
      </w:r>
      <w:r w:rsidRPr="00DE096C">
        <w:rPr>
          <w:bCs/>
          <w:color w:val="002060"/>
          <w:sz w:val="16"/>
          <w:szCs w:val="16"/>
        </w:rPr>
        <w:t>оюзник Германии в Первой мировой войне, задержала первое судно «Патмос» со станками, отправленное из Англии в Новороссийск. Специальные орудийные станки были конфискованы и установлены на турецком орудийном заводе. Так, наиболее короткий путь через Средиземное и Черное моря в Новороссийск был закрыт. Был закрыт путь и в прибалтийские порты – СанктПетербург, Ригу, Виндаву (Вентспилс) (12632).</w:t>
      </w:r>
    </w:p>
    <w:p w14:paraId="5BE987DE" w14:textId="77777777" w:rsidR="0032740E" w:rsidRPr="00DE096C" w:rsidRDefault="0032740E" w:rsidP="00D45A46">
      <w:pPr>
        <w:jc w:val="both"/>
        <w:rPr>
          <w:bCs/>
          <w:i/>
          <w:color w:val="002060"/>
          <w:sz w:val="16"/>
          <w:szCs w:val="16"/>
        </w:rPr>
      </w:pPr>
    </w:p>
    <w:p w14:paraId="0D57339E" w14:textId="7B6B3BFE" w:rsidR="00B67D7C" w:rsidRPr="00DE096C" w:rsidRDefault="00B67D7C" w:rsidP="00D45A46">
      <w:pPr>
        <w:jc w:val="both"/>
        <w:rPr>
          <w:bCs/>
          <w:i/>
          <w:color w:val="002060"/>
          <w:sz w:val="16"/>
          <w:szCs w:val="16"/>
        </w:rPr>
      </w:pPr>
      <w:r w:rsidRPr="00DE096C">
        <w:rPr>
          <w:bCs/>
          <w:i/>
          <w:color w:val="002060"/>
          <w:sz w:val="16"/>
          <w:szCs w:val="16"/>
        </w:rPr>
        <w:t>Морская авиация:</w:t>
      </w:r>
    </w:p>
    <w:p w14:paraId="6563DC1C" w14:textId="77777777" w:rsidR="00B67D7C" w:rsidRPr="00DE096C" w:rsidRDefault="00B67D7C" w:rsidP="00D45A46">
      <w:pPr>
        <w:jc w:val="both"/>
        <w:rPr>
          <w:bCs/>
          <w:i/>
          <w:color w:val="002060"/>
          <w:sz w:val="16"/>
          <w:szCs w:val="16"/>
        </w:rPr>
      </w:pPr>
    </w:p>
    <w:p w14:paraId="4300025A" w14:textId="77777777" w:rsidR="00B67D7C" w:rsidRPr="00DE096C" w:rsidRDefault="00B67D7C" w:rsidP="00D45A46">
      <w:pPr>
        <w:jc w:val="both"/>
        <w:rPr>
          <w:bCs/>
          <w:color w:val="002060"/>
          <w:sz w:val="16"/>
          <w:szCs w:val="16"/>
        </w:rPr>
      </w:pPr>
      <w:r w:rsidRPr="00DE096C">
        <w:rPr>
          <w:bCs/>
          <w:color w:val="002060"/>
          <w:sz w:val="16"/>
          <w:szCs w:val="16"/>
        </w:rPr>
        <w:t xml:space="preserve">В середине 1914 Командование пришло к выводу о необходимости разделить воздушное пространство над морем на отдельные районы. На Черном море было организовано 2 района – Севастопольский и Восточный. Первоначально район обслуживался одной, реже двумя станциями. </w:t>
      </w:r>
    </w:p>
    <w:p w14:paraId="72670AE9" w14:textId="77777777" w:rsidR="00B67D7C" w:rsidRPr="00DE096C" w:rsidRDefault="00B67D7C" w:rsidP="00D45A46">
      <w:pPr>
        <w:shd w:val="clear" w:color="auto" w:fill="FFFFFF"/>
        <w:jc w:val="both"/>
        <w:rPr>
          <w:bCs/>
          <w:color w:val="002060"/>
          <w:sz w:val="16"/>
          <w:szCs w:val="16"/>
        </w:rPr>
      </w:pPr>
    </w:p>
    <w:p w14:paraId="2C4D3EF1" w14:textId="0A73C1CE" w:rsidR="0060518D" w:rsidRPr="00DE096C" w:rsidRDefault="0060518D" w:rsidP="0060518D">
      <w:pPr>
        <w:jc w:val="both"/>
        <w:rPr>
          <w:bCs/>
          <w:i/>
          <w:color w:val="002060"/>
          <w:sz w:val="16"/>
          <w:szCs w:val="16"/>
        </w:rPr>
      </w:pPr>
      <w:r w:rsidRPr="00DE096C">
        <w:rPr>
          <w:bCs/>
          <w:i/>
          <w:color w:val="002060"/>
          <w:sz w:val="16"/>
          <w:szCs w:val="16"/>
        </w:rPr>
        <w:t xml:space="preserve">Авиация и воздухоплавание </w:t>
      </w:r>
      <w:r>
        <w:rPr>
          <w:bCs/>
          <w:i/>
          <w:color w:val="002060"/>
          <w:sz w:val="16"/>
          <w:szCs w:val="16"/>
        </w:rPr>
        <w:t>Франции</w:t>
      </w:r>
      <w:r w:rsidRPr="00DE096C">
        <w:rPr>
          <w:bCs/>
          <w:i/>
          <w:color w:val="002060"/>
          <w:sz w:val="16"/>
          <w:szCs w:val="16"/>
        </w:rPr>
        <w:t>:</w:t>
      </w:r>
    </w:p>
    <w:p w14:paraId="2A74639E" w14:textId="77777777" w:rsidR="0060518D" w:rsidRPr="00DE096C" w:rsidRDefault="0060518D" w:rsidP="0060518D">
      <w:pPr>
        <w:jc w:val="both"/>
        <w:rPr>
          <w:bCs/>
          <w:i/>
          <w:color w:val="002060"/>
          <w:sz w:val="16"/>
          <w:szCs w:val="16"/>
        </w:rPr>
      </w:pPr>
    </w:p>
    <w:p w14:paraId="245E18A0" w14:textId="77777777" w:rsidR="0060518D" w:rsidRPr="00B52707" w:rsidRDefault="0060518D" w:rsidP="0060518D">
      <w:pPr>
        <w:jc w:val="both"/>
        <w:rPr>
          <w:color w:val="0070C0"/>
          <w:sz w:val="16"/>
          <w:szCs w:val="16"/>
        </w:rPr>
      </w:pPr>
      <w:r w:rsidRPr="00B52707">
        <w:rPr>
          <w:color w:val="0070C0"/>
          <w:sz w:val="16"/>
          <w:szCs w:val="16"/>
        </w:rPr>
        <w:t>На середину 1914 года ВМС Франции имели уже 24 самолета и столько же пилотов. Первую организационно-штатную структуру морской авиации Франции определил закон от 10 июля 1914 г. Главный штаб в Париже включал службы аэронавтики (аэростаты и дирижабли) и авиации (самолеты), а также тыловые и Центральную службу – ее руководитель капитан I ранга Ноэль подчинялся непосредственно Морскому министру. Утряска штатов Центральной службы Аэронаваль закончилась за несколько дней до начала войны – 1 августа 1914 г., а эскадрильи еще долго комплектовались и по сути единственной боеготовой единицей Аэронаваль оставался тот самый «Ля Фадр» со своим экипажем (25650).</w:t>
      </w:r>
    </w:p>
    <w:p w14:paraId="48E36CDE" w14:textId="77777777" w:rsidR="0060518D" w:rsidRPr="00B52707" w:rsidRDefault="0060518D" w:rsidP="0060518D">
      <w:pPr>
        <w:jc w:val="both"/>
        <w:rPr>
          <w:color w:val="0070C0"/>
          <w:sz w:val="16"/>
          <w:szCs w:val="16"/>
        </w:rPr>
      </w:pPr>
    </w:p>
    <w:p w14:paraId="761A9323" w14:textId="77777777" w:rsidR="00B67D7C" w:rsidRPr="00DE096C" w:rsidRDefault="00B67D7C" w:rsidP="00D45A46">
      <w:pPr>
        <w:jc w:val="both"/>
        <w:rPr>
          <w:bCs/>
          <w:i/>
          <w:color w:val="002060"/>
          <w:sz w:val="16"/>
          <w:szCs w:val="16"/>
        </w:rPr>
      </w:pPr>
      <w:r w:rsidRPr="00DE096C">
        <w:rPr>
          <w:bCs/>
          <w:i/>
          <w:color w:val="002060"/>
          <w:sz w:val="16"/>
          <w:szCs w:val="16"/>
        </w:rPr>
        <w:t>Авиация и воздухоплавание за рубежом:</w:t>
      </w:r>
    </w:p>
    <w:p w14:paraId="748BA7B6" w14:textId="77777777" w:rsidR="00B67D7C" w:rsidRPr="00DE096C" w:rsidRDefault="00B67D7C" w:rsidP="00D45A46">
      <w:pPr>
        <w:jc w:val="both"/>
        <w:rPr>
          <w:bCs/>
          <w:i/>
          <w:color w:val="002060"/>
          <w:sz w:val="16"/>
          <w:szCs w:val="16"/>
        </w:rPr>
      </w:pPr>
    </w:p>
    <w:p w14:paraId="2CADF704" w14:textId="36AB0050" w:rsidR="00B67D7C" w:rsidRPr="00DE096C" w:rsidRDefault="00B67D7C" w:rsidP="00D45A46">
      <w:pPr>
        <w:jc w:val="both"/>
        <w:rPr>
          <w:bCs/>
          <w:color w:val="002060"/>
          <w:sz w:val="16"/>
          <w:szCs w:val="16"/>
        </w:rPr>
      </w:pPr>
      <w:r w:rsidRPr="00DE096C">
        <w:rPr>
          <w:bCs/>
          <w:color w:val="002060"/>
          <w:sz w:val="16"/>
          <w:szCs w:val="16"/>
        </w:rPr>
        <w:t xml:space="preserve">К середине 1914 года в Японии имелось всего 2 дирижабля, купленных за границей (11324). </w:t>
      </w:r>
    </w:p>
    <w:p w14:paraId="28EA1EB5" w14:textId="7A25403E" w:rsidR="00B67D7C" w:rsidRPr="00DE096C" w:rsidRDefault="00B67D7C" w:rsidP="00D45A46">
      <w:pPr>
        <w:jc w:val="both"/>
        <w:rPr>
          <w:bCs/>
          <w:color w:val="002060"/>
          <w:sz w:val="16"/>
          <w:szCs w:val="16"/>
        </w:rPr>
      </w:pPr>
    </w:p>
    <w:p w14:paraId="38A8DFD2" w14:textId="77777777" w:rsidR="008B7B07" w:rsidRPr="00DE096C" w:rsidRDefault="008B7B07" w:rsidP="00D45A46">
      <w:pPr>
        <w:jc w:val="both"/>
        <w:rPr>
          <w:bCs/>
          <w:i/>
          <w:color w:val="002060"/>
          <w:sz w:val="16"/>
          <w:szCs w:val="16"/>
        </w:rPr>
      </w:pPr>
      <w:r w:rsidRPr="00DE096C">
        <w:rPr>
          <w:bCs/>
          <w:i/>
          <w:color w:val="002060"/>
          <w:sz w:val="16"/>
          <w:szCs w:val="16"/>
        </w:rPr>
        <w:t>Другие оборонные отрасли:</w:t>
      </w:r>
    </w:p>
    <w:p w14:paraId="419F3B81" w14:textId="77777777" w:rsidR="008B7B07" w:rsidRPr="00DE096C" w:rsidRDefault="008B7B07" w:rsidP="00D45A46">
      <w:pPr>
        <w:jc w:val="both"/>
        <w:rPr>
          <w:bCs/>
          <w:i/>
          <w:color w:val="002060"/>
          <w:sz w:val="16"/>
          <w:szCs w:val="16"/>
        </w:rPr>
      </w:pPr>
    </w:p>
    <w:p w14:paraId="14BA90E4" w14:textId="77777777" w:rsidR="008B7B07" w:rsidRPr="00DE096C" w:rsidRDefault="008B7B07" w:rsidP="00D45A46">
      <w:pPr>
        <w:jc w:val="both"/>
        <w:rPr>
          <w:bCs/>
          <w:color w:val="002060"/>
          <w:sz w:val="16"/>
          <w:szCs w:val="16"/>
        </w:rPr>
      </w:pPr>
      <w:r w:rsidRPr="00DE096C">
        <w:rPr>
          <w:bCs/>
          <w:color w:val="002060"/>
          <w:sz w:val="16"/>
          <w:szCs w:val="16"/>
        </w:rPr>
        <w:t>К июлю 1914 г. в русской армии имелось порядка сотни мотоциклов. В августе началось формирование мотоциклетных частей, и для их укомплектования на основании закона о военно-автомобильной повинности для военных нужд была реквизирована значительная часть находящихся у населения мотоциклов. К 12 сентября военные учли 983 реквизированных мотоцикла. В августе 1914 г. параллельно с началом формирования мотоциклетных частей председатель особой комиссии и начальник ВАШ, полковник П. И. Секретов подготовил представление, согласно которого следовало срочно приобрести 3000 мотоциклов и 455 боковых колясок к ним. Это представление 30 августа было одобрено Военным Советом. Позднее заказ существенно увеличили. Заказ на первую партию в 3000 мотоциклов поручили четырем английским и двум американским фирмам. В дальнейшем мотоциклы самых разных марок стали приобретаться и в других странах, например в Италии и Франции. Помимо реквизиций у гражданского населения и закупки за рубежом, в период с июля 1915 г. по июнь 1916 г. у подданных стран, находившихся в войне с Россией, конфисковали 1802 мотоцикла. Из общего числа мотоциклов, поступивших военным, наибольшее число поставила фирма «Индиан» — 2300 шт. Фирмы «Харлей-Дэвидсон» и «Рудж-Мульт» направили военным 680 и 650 шт. мотоциклов соответственно. Поставки мотоциклов большинства остальных (более чем пятидесяти фирм) исчислялись преимущественно десятками или даже единицами. Хотя Indian лидировала в поставках мотоциклов в годы Первой мировой войны, в последующие годы она уступила пальму первенства Harley-Davidson (19776).</w:t>
      </w:r>
    </w:p>
    <w:p w14:paraId="54554A2D" w14:textId="77777777" w:rsidR="008B7B07" w:rsidRPr="00DE096C" w:rsidRDefault="008B7B07" w:rsidP="00D45A46">
      <w:pPr>
        <w:jc w:val="both"/>
        <w:rPr>
          <w:bCs/>
          <w:color w:val="002060"/>
          <w:sz w:val="16"/>
          <w:szCs w:val="16"/>
        </w:rPr>
      </w:pPr>
    </w:p>
    <w:p w14:paraId="3D5D6B92" w14:textId="4C35C0E0" w:rsidR="0012494E" w:rsidRPr="00DE096C" w:rsidRDefault="0012494E" w:rsidP="00D45A46">
      <w:pPr>
        <w:jc w:val="both"/>
        <w:rPr>
          <w:bCs/>
          <w:i/>
          <w:color w:val="002060"/>
          <w:sz w:val="16"/>
          <w:szCs w:val="16"/>
        </w:rPr>
      </w:pPr>
      <w:r w:rsidRPr="00DE096C">
        <w:rPr>
          <w:bCs/>
          <w:i/>
          <w:color w:val="002060"/>
          <w:sz w:val="16"/>
          <w:szCs w:val="16"/>
        </w:rPr>
        <w:t>Авиация:</w:t>
      </w:r>
    </w:p>
    <w:p w14:paraId="43F48C8A" w14:textId="77777777" w:rsidR="0012494E" w:rsidRPr="00DE096C" w:rsidRDefault="0012494E" w:rsidP="00D45A46">
      <w:pPr>
        <w:jc w:val="both"/>
        <w:rPr>
          <w:bCs/>
          <w:i/>
          <w:color w:val="002060"/>
          <w:sz w:val="16"/>
          <w:szCs w:val="16"/>
        </w:rPr>
      </w:pPr>
    </w:p>
    <w:p w14:paraId="2CEFB022" w14:textId="77777777" w:rsidR="0012494E" w:rsidRPr="00DE096C" w:rsidRDefault="0012494E" w:rsidP="00D45A46">
      <w:pPr>
        <w:jc w:val="both"/>
        <w:rPr>
          <w:bCs/>
          <w:color w:val="002060"/>
          <w:sz w:val="16"/>
          <w:szCs w:val="16"/>
        </w:rPr>
      </w:pPr>
      <w:r w:rsidRPr="00DE096C">
        <w:rPr>
          <w:bCs/>
          <w:color w:val="002060"/>
          <w:sz w:val="16"/>
          <w:szCs w:val="16"/>
        </w:rPr>
        <w:t>К июлю 1914 года на вооружении русской военной авиации состояли самолеты типа «Ньюпор-4», «Фарман-16» и несколько единиц типа «Моран-Парасоль», которые производились на семи отечественных предприятиях. Общая производительность этих авиационных заводов не превышала 30 – 40 ед. в месяц. Большая часть находившихся в отрядах машин была сильно изношена, а отсутствие необходимого количества запасных частей затрудняло их эксплуатацию (20023).</w:t>
      </w:r>
    </w:p>
    <w:p w14:paraId="0244CCC4" w14:textId="77777777" w:rsidR="0012494E" w:rsidRPr="00DE096C" w:rsidRDefault="0012494E" w:rsidP="00D45A46">
      <w:pPr>
        <w:shd w:val="clear" w:color="auto" w:fill="FFFFFF"/>
        <w:jc w:val="both"/>
        <w:rPr>
          <w:bCs/>
          <w:color w:val="002060"/>
          <w:sz w:val="16"/>
          <w:szCs w:val="16"/>
        </w:rPr>
      </w:pPr>
    </w:p>
    <w:p w14:paraId="25E297B5" w14:textId="77777777" w:rsidR="001920FA" w:rsidRPr="00DE096C" w:rsidRDefault="001920FA" w:rsidP="00D45A46">
      <w:pPr>
        <w:jc w:val="both"/>
        <w:rPr>
          <w:bCs/>
          <w:color w:val="002060"/>
          <w:sz w:val="16"/>
          <w:szCs w:val="16"/>
        </w:rPr>
      </w:pPr>
      <w:r w:rsidRPr="00DE096C">
        <w:rPr>
          <w:bCs/>
          <w:color w:val="002060"/>
          <w:sz w:val="16"/>
          <w:szCs w:val="16"/>
        </w:rPr>
        <w:t xml:space="preserve">К июлю 1914 г. на испытательной станции, которая была переведена из С.-Петербурга в Порт Александра III-го, был готов Большой спуск, и на нем производились испытания «Ильи Муромца», поставленого на поплавки, но к началу войны не был закончен ангар. </w:t>
      </w:r>
    </w:p>
    <w:p w14:paraId="00E2C9E2" w14:textId="77777777" w:rsidR="001920FA" w:rsidRPr="00DE096C" w:rsidRDefault="001920FA" w:rsidP="00D45A46">
      <w:pPr>
        <w:jc w:val="both"/>
        <w:rPr>
          <w:bCs/>
          <w:color w:val="002060"/>
          <w:sz w:val="16"/>
          <w:szCs w:val="16"/>
        </w:rPr>
      </w:pPr>
      <w:r w:rsidRPr="00DE096C">
        <w:rPr>
          <w:bCs/>
          <w:color w:val="002060"/>
          <w:sz w:val="16"/>
          <w:szCs w:val="16"/>
        </w:rPr>
        <w:t xml:space="preserve">В то же время в Виндаве была оборудована, своими средствами, воздушная станция 2-го разряда, служившая промежуточной базой между Либавой и Килькондом. В 1914 г. была открыта станция 1-го разряда в Або, а И. И. Сикорский продемонстрировал своего «Илью Муромца». </w:t>
      </w:r>
    </w:p>
    <w:p w14:paraId="17678F63" w14:textId="77777777" w:rsidR="001920FA" w:rsidRPr="00DE096C" w:rsidRDefault="001920FA" w:rsidP="00D45A46">
      <w:pPr>
        <w:jc w:val="both"/>
        <w:rPr>
          <w:bCs/>
          <w:color w:val="002060"/>
          <w:sz w:val="16"/>
          <w:szCs w:val="16"/>
        </w:rPr>
      </w:pPr>
      <w:r w:rsidRPr="00DE096C">
        <w:rPr>
          <w:bCs/>
          <w:color w:val="002060"/>
          <w:sz w:val="16"/>
          <w:szCs w:val="16"/>
        </w:rPr>
        <w:t>На С.-Петербургской станции производились испытания и сдача новых аппаратов Сикорского «С-10», давших отличные результаты. Там же находилась лодка Бомона, позже немного поврежденная во время учебного полета. Завод Лебедева, ее чинивший, снял с нее чертежи, что и послужило к озданию более усовершенствованного типа летающих лодок, известных во флоте вод литерой «Щ» (Щетинин) или «М» (морской) (11701).</w:t>
      </w:r>
    </w:p>
    <w:p w14:paraId="7AF489DA" w14:textId="77777777" w:rsidR="001920FA" w:rsidRPr="00DE096C" w:rsidRDefault="001920FA" w:rsidP="00D45A46">
      <w:pPr>
        <w:jc w:val="both"/>
        <w:rPr>
          <w:bCs/>
          <w:color w:val="002060"/>
          <w:sz w:val="16"/>
          <w:szCs w:val="16"/>
        </w:rPr>
      </w:pPr>
    </w:p>
    <w:p w14:paraId="7F7BCFE8" w14:textId="00A96A00" w:rsidR="00073939" w:rsidRPr="00DE096C" w:rsidRDefault="00073939" w:rsidP="00D45A46">
      <w:pPr>
        <w:jc w:val="both"/>
        <w:rPr>
          <w:bCs/>
          <w:i/>
          <w:color w:val="002060"/>
          <w:sz w:val="16"/>
          <w:szCs w:val="16"/>
        </w:rPr>
      </w:pPr>
      <w:r w:rsidRPr="00DE096C">
        <w:rPr>
          <w:bCs/>
          <w:i/>
          <w:color w:val="002060"/>
          <w:sz w:val="16"/>
          <w:szCs w:val="16"/>
        </w:rPr>
        <w:t>Жизнь и внутренняя политика:</w:t>
      </w:r>
    </w:p>
    <w:p w14:paraId="00F6A01D" w14:textId="77777777" w:rsidR="00073939" w:rsidRPr="00DE096C" w:rsidRDefault="00073939" w:rsidP="00D45A46">
      <w:pPr>
        <w:jc w:val="both"/>
        <w:rPr>
          <w:bCs/>
          <w:i/>
          <w:color w:val="002060"/>
          <w:sz w:val="16"/>
          <w:szCs w:val="16"/>
        </w:rPr>
      </w:pPr>
    </w:p>
    <w:p w14:paraId="106934EE" w14:textId="77777777" w:rsidR="00073939" w:rsidRPr="00DE096C" w:rsidRDefault="00073939" w:rsidP="00D45A46">
      <w:pPr>
        <w:jc w:val="both"/>
        <w:rPr>
          <w:bCs/>
          <w:color w:val="002060"/>
          <w:sz w:val="16"/>
          <w:szCs w:val="16"/>
          <w:lang w:bidi="en-US"/>
        </w:rPr>
      </w:pPr>
      <w:r w:rsidRPr="00DE096C">
        <w:rPr>
          <w:bCs/>
          <w:color w:val="002060"/>
          <w:sz w:val="16"/>
          <w:szCs w:val="16"/>
          <w:lang w:bidi="en-US"/>
        </w:rPr>
        <w:t>К июлю 1914 года администрация российского правительства разрослась и усложнилась. Только в Петербурге было 52 тысячи государственных служащих. Правительство активно участвовало в развитии индустриализации страны, а также в преобразовании крестьянского сельского хозяйства, которым мешала неэффективность бюрократической системы. Царский режим сильно зависел от полицейского государства и в значительной степени изолировал себя от большей части политической, социальной и военной элиты (23525).</w:t>
      </w:r>
    </w:p>
    <w:p w14:paraId="2F205160" w14:textId="77777777" w:rsidR="00073939" w:rsidRPr="00DE096C" w:rsidRDefault="00073939" w:rsidP="00D45A46">
      <w:pPr>
        <w:jc w:val="both"/>
        <w:rPr>
          <w:bCs/>
          <w:color w:val="002060"/>
          <w:sz w:val="16"/>
          <w:szCs w:val="16"/>
        </w:rPr>
      </w:pPr>
    </w:p>
    <w:p w14:paraId="5177F286" w14:textId="087D37F4" w:rsidR="00BE2F70" w:rsidRPr="00DE096C" w:rsidRDefault="00BE2F70" w:rsidP="00BE2F70">
      <w:pPr>
        <w:jc w:val="both"/>
        <w:rPr>
          <w:bCs/>
          <w:i/>
          <w:color w:val="002060"/>
          <w:sz w:val="16"/>
          <w:szCs w:val="16"/>
        </w:rPr>
      </w:pPr>
      <w:r>
        <w:rPr>
          <w:bCs/>
          <w:i/>
          <w:color w:val="002060"/>
          <w:sz w:val="16"/>
          <w:szCs w:val="16"/>
        </w:rPr>
        <w:t>Авиация и воздухоплавание Германии</w:t>
      </w:r>
      <w:r w:rsidRPr="00DE096C">
        <w:rPr>
          <w:bCs/>
          <w:i/>
          <w:color w:val="002060"/>
          <w:sz w:val="16"/>
          <w:szCs w:val="16"/>
        </w:rPr>
        <w:t>:</w:t>
      </w:r>
    </w:p>
    <w:p w14:paraId="019FD0F5" w14:textId="77777777" w:rsidR="00BE2F70" w:rsidRPr="00DE096C" w:rsidRDefault="00BE2F70" w:rsidP="00BE2F70">
      <w:pPr>
        <w:jc w:val="both"/>
        <w:rPr>
          <w:bCs/>
          <w:i/>
          <w:color w:val="002060"/>
          <w:sz w:val="16"/>
          <w:szCs w:val="16"/>
        </w:rPr>
      </w:pPr>
    </w:p>
    <w:p w14:paraId="5D7ED101" w14:textId="77777777" w:rsidR="00BE2F70" w:rsidRPr="00B52707" w:rsidRDefault="00BE2F70" w:rsidP="00BE2F70">
      <w:pPr>
        <w:jc w:val="both"/>
        <w:rPr>
          <w:color w:val="0070C0"/>
          <w:sz w:val="16"/>
          <w:szCs w:val="16"/>
        </w:rPr>
      </w:pPr>
      <w:r w:rsidRPr="00B52707">
        <w:rPr>
          <w:color w:val="0070C0"/>
          <w:sz w:val="16"/>
          <w:szCs w:val="16"/>
        </w:rPr>
        <w:t>К июлю 1914 года – за месяц до начала войны – дирижаблями DELAG было совершено 1588 полетов продолжительностью 3176 часов, перевезя в общей сложности 34028 пассажиров и пройдя 172535 км. К этому времени обществу принадлежали три воздушных корабля: to LZ 11 Victoria Luise, LZ 13 Hansa и LZ 17 Sachsen, которые после начала войны были реквизированы и адаптированы под армейские требования. Их основной задачей стала подготовка экипажей боевых дирижаблей. Ни один из них не дожил до окончания войны: в начале октября 1915 года LZ 11 получил повреждения при заходе в эллинг и разломился, LZ 13 и LZ 17 в 1916 году были признаны устаревшими, после чего были разобраны – Hansa в августе в Гётеборге (Göteborg), а Sachsen – в следующем месяце в Дюрене.</w:t>
      </w:r>
    </w:p>
    <w:p w14:paraId="6524F255" w14:textId="77777777" w:rsidR="00BE2F70" w:rsidRPr="00B52707" w:rsidRDefault="00BE2F70" w:rsidP="00BE2F70">
      <w:pPr>
        <w:jc w:val="both"/>
        <w:rPr>
          <w:color w:val="0070C0"/>
          <w:sz w:val="16"/>
          <w:szCs w:val="16"/>
        </w:rPr>
      </w:pPr>
      <w:r w:rsidRPr="00B52707">
        <w:rPr>
          <w:color w:val="0070C0"/>
          <w:sz w:val="16"/>
          <w:szCs w:val="16"/>
        </w:rPr>
        <w:t>Во время войны немецкие военные дирижабли получили славу смертоносного оружия, выполнив в общей сложности 51 налет в основном на цели в Великобритании (25283).</w:t>
      </w:r>
    </w:p>
    <w:p w14:paraId="55719CAA" w14:textId="77777777" w:rsidR="00BE2F70" w:rsidRPr="00B52707" w:rsidRDefault="00BE2F70" w:rsidP="00BE2F70">
      <w:pPr>
        <w:jc w:val="both"/>
        <w:rPr>
          <w:color w:val="0070C0"/>
          <w:sz w:val="16"/>
          <w:szCs w:val="16"/>
        </w:rPr>
      </w:pPr>
    </w:p>
    <w:p w14:paraId="06BBE4E0" w14:textId="7D616826" w:rsidR="00BE2F70" w:rsidRPr="00DE096C" w:rsidRDefault="00BE2F70" w:rsidP="00BE2F70">
      <w:pPr>
        <w:jc w:val="both"/>
        <w:rPr>
          <w:bCs/>
          <w:i/>
          <w:color w:val="002060"/>
          <w:sz w:val="16"/>
          <w:szCs w:val="16"/>
        </w:rPr>
      </w:pPr>
      <w:r>
        <w:rPr>
          <w:bCs/>
          <w:i/>
          <w:color w:val="002060"/>
          <w:sz w:val="16"/>
          <w:szCs w:val="16"/>
        </w:rPr>
        <w:t>Авиация и воздухоплавание Франции</w:t>
      </w:r>
      <w:r w:rsidRPr="00DE096C">
        <w:rPr>
          <w:bCs/>
          <w:i/>
          <w:color w:val="002060"/>
          <w:sz w:val="16"/>
          <w:szCs w:val="16"/>
        </w:rPr>
        <w:t>:</w:t>
      </w:r>
    </w:p>
    <w:p w14:paraId="71480ACD" w14:textId="77777777" w:rsidR="00BE2F70" w:rsidRPr="00DE096C" w:rsidRDefault="00BE2F70" w:rsidP="00BE2F70">
      <w:pPr>
        <w:jc w:val="both"/>
        <w:rPr>
          <w:bCs/>
          <w:i/>
          <w:color w:val="002060"/>
          <w:sz w:val="16"/>
          <w:szCs w:val="16"/>
        </w:rPr>
      </w:pPr>
    </w:p>
    <w:p w14:paraId="56543051" w14:textId="77777777" w:rsidR="00BE2F70" w:rsidRPr="00B52707" w:rsidRDefault="00BE2F70" w:rsidP="00BE2F70">
      <w:pPr>
        <w:jc w:val="both"/>
        <w:rPr>
          <w:color w:val="0070C0"/>
          <w:sz w:val="16"/>
          <w:szCs w:val="16"/>
        </w:rPr>
      </w:pPr>
      <w:r w:rsidRPr="00B52707">
        <w:rPr>
          <w:color w:val="0070C0"/>
          <w:sz w:val="16"/>
          <w:szCs w:val="16"/>
        </w:rPr>
        <w:t>На июль 1914 г. во Франции в ее Военном флоте числились один гидроавиатранспорт «Ля Фадр» и семнадцать гидросамолетов – семь Ньюпор IV, шесть Вуазен «Канар» II и по два Кодрон G.III и Бреге IV. Морское министерство страны проигнорировало самолет Моран-Солнье Тип G «Гидро», хотя он превосходил всех остальных по летным данным, которые приближались к показателям лучших гидропланов того времени с намного более мощными, но дорогими, неэкономичными по расходу топлива и ненадежными двигателями, показав себя и практичным, и способным к дальним полетам над морем (25442).</w:t>
      </w:r>
    </w:p>
    <w:p w14:paraId="76CE66AB" w14:textId="77777777" w:rsidR="00BE2F70" w:rsidRPr="00B52707" w:rsidRDefault="00BE2F70" w:rsidP="00BE2F70">
      <w:pPr>
        <w:jc w:val="both"/>
        <w:rPr>
          <w:color w:val="0070C0"/>
          <w:sz w:val="16"/>
          <w:szCs w:val="16"/>
        </w:rPr>
      </w:pPr>
    </w:p>
    <w:p w14:paraId="670B87E6" w14:textId="4BE3E5E0" w:rsidR="00B67D7C" w:rsidRPr="00DE096C" w:rsidRDefault="00B67D7C" w:rsidP="00D45A46">
      <w:pPr>
        <w:jc w:val="both"/>
        <w:rPr>
          <w:bCs/>
          <w:i/>
          <w:color w:val="002060"/>
          <w:sz w:val="16"/>
          <w:szCs w:val="16"/>
        </w:rPr>
      </w:pPr>
      <w:r w:rsidRPr="00DE096C">
        <w:rPr>
          <w:bCs/>
          <w:i/>
          <w:color w:val="002060"/>
          <w:sz w:val="16"/>
          <w:szCs w:val="16"/>
        </w:rPr>
        <w:t>Другие оборонные отрасли:</w:t>
      </w:r>
    </w:p>
    <w:p w14:paraId="40695D71" w14:textId="77777777" w:rsidR="00B67D7C" w:rsidRPr="00DE096C" w:rsidRDefault="00B67D7C" w:rsidP="00D45A46">
      <w:pPr>
        <w:jc w:val="both"/>
        <w:rPr>
          <w:bCs/>
          <w:i/>
          <w:color w:val="002060"/>
          <w:sz w:val="16"/>
          <w:szCs w:val="16"/>
        </w:rPr>
      </w:pPr>
    </w:p>
    <w:p w14:paraId="6E297004" w14:textId="78A102F9" w:rsidR="00B67D7C" w:rsidRPr="00DE096C" w:rsidRDefault="00E57BA2" w:rsidP="00D45A46">
      <w:pPr>
        <w:jc w:val="both"/>
        <w:rPr>
          <w:bCs/>
          <w:color w:val="002060"/>
          <w:sz w:val="16"/>
          <w:szCs w:val="16"/>
        </w:rPr>
      </w:pPr>
      <w:r w:rsidRPr="00DE096C">
        <w:rPr>
          <w:bCs/>
          <w:color w:val="002060"/>
          <w:sz w:val="16"/>
          <w:szCs w:val="16"/>
        </w:rPr>
        <w:t>Н</w:t>
      </w:r>
      <w:r w:rsidR="00B67D7C" w:rsidRPr="00DE096C">
        <w:rPr>
          <w:bCs/>
          <w:color w:val="002060"/>
          <w:sz w:val="16"/>
          <w:szCs w:val="16"/>
        </w:rPr>
        <w:t xml:space="preserve">а 1 </w:t>
      </w:r>
      <w:r w:rsidRPr="00DE096C">
        <w:rPr>
          <w:bCs/>
          <w:color w:val="002060"/>
          <w:sz w:val="16"/>
          <w:szCs w:val="16"/>
        </w:rPr>
        <w:t xml:space="preserve">(14) </w:t>
      </w:r>
      <w:r w:rsidR="00B67D7C" w:rsidRPr="00DE096C">
        <w:rPr>
          <w:bCs/>
          <w:color w:val="002060"/>
          <w:sz w:val="16"/>
          <w:szCs w:val="16"/>
        </w:rPr>
        <w:t xml:space="preserve">июля 1914 г. в строительство и оборудование Русско-Балтийского завода </w:t>
      </w:r>
      <w:r w:rsidR="0039784D" w:rsidRPr="00DE096C">
        <w:rPr>
          <w:bCs/>
          <w:color w:val="002060"/>
          <w:sz w:val="16"/>
          <w:szCs w:val="16"/>
        </w:rPr>
        <w:t xml:space="preserve">в Таллине </w:t>
      </w:r>
      <w:r w:rsidR="00B67D7C" w:rsidRPr="00DE096C">
        <w:rPr>
          <w:bCs/>
          <w:color w:val="002060"/>
          <w:sz w:val="16"/>
          <w:szCs w:val="16"/>
        </w:rPr>
        <w:t>было вложено около 25 млн. руб.</w:t>
      </w:r>
    </w:p>
    <w:p w14:paraId="46BB3041" w14:textId="77777777" w:rsidR="00B67D7C" w:rsidRPr="00DE096C" w:rsidRDefault="00B67D7C" w:rsidP="00D45A46">
      <w:pPr>
        <w:jc w:val="both"/>
        <w:rPr>
          <w:bCs/>
          <w:color w:val="002060"/>
          <w:sz w:val="16"/>
          <w:szCs w:val="16"/>
        </w:rPr>
      </w:pPr>
      <w:r w:rsidRPr="00DE096C">
        <w:rPr>
          <w:bCs/>
          <w:color w:val="002060"/>
          <w:sz w:val="16"/>
          <w:szCs w:val="16"/>
        </w:rPr>
        <w:t>Новый завод был укомплектован передовыми инженерно-техническими кадрами. Должность технического директора на нем исполнял крупный русский корабельный инженер И.А.Гаврилов, переведенный в Ревель для укрепления растущего предприятия с петербургского Адмиралтейского завода, где он в 1907–1912 гг. возглавлял отдел проектирования судов. На Русско-Балтийском заводе работали такие известные инженеры, как А.А.Пукашевич (заведующий техбюро по кораблестроению), П.В.Яньков и А.И.Дмитриев (Гаврилов И.А. Описание возникновения, строительства и деятельности Русско-Балтийского судостроительного и механического завода в Ревеле, 1912-1917 гг. (рукопись), 1962. с. 12.). Быстро набиравшее силу новое судостроительное общество являлось весомой составляющей в ряду балтийских заводов, способных быстро и эффективно претворять в жизнь широкие кораблестроительные программы Морского министерства (12109).</w:t>
      </w:r>
    </w:p>
    <w:p w14:paraId="16370F8C" w14:textId="77777777" w:rsidR="00B67D7C" w:rsidRPr="00DE096C" w:rsidRDefault="00B67D7C" w:rsidP="00D45A46">
      <w:pPr>
        <w:jc w:val="both"/>
        <w:rPr>
          <w:bCs/>
          <w:color w:val="002060"/>
          <w:sz w:val="16"/>
          <w:szCs w:val="16"/>
        </w:rPr>
      </w:pPr>
    </w:p>
    <w:p w14:paraId="595C30D8" w14:textId="3755B0AB" w:rsidR="00387780" w:rsidRPr="00DE096C" w:rsidRDefault="00387780" w:rsidP="00D45A46">
      <w:pPr>
        <w:jc w:val="both"/>
        <w:rPr>
          <w:bCs/>
          <w:color w:val="002060"/>
          <w:sz w:val="16"/>
          <w:szCs w:val="16"/>
        </w:rPr>
      </w:pPr>
      <w:r w:rsidRPr="00DE096C">
        <w:rPr>
          <w:bCs/>
          <w:color w:val="002060"/>
          <w:sz w:val="16"/>
          <w:szCs w:val="16"/>
        </w:rPr>
        <w:t xml:space="preserve">За период с 1 </w:t>
      </w:r>
      <w:r w:rsidR="0039784D" w:rsidRPr="00DE096C">
        <w:rPr>
          <w:bCs/>
          <w:color w:val="002060"/>
          <w:sz w:val="16"/>
          <w:szCs w:val="16"/>
        </w:rPr>
        <w:t xml:space="preserve">(14) </w:t>
      </w:r>
      <w:r w:rsidRPr="00DE096C">
        <w:rPr>
          <w:bCs/>
          <w:color w:val="002060"/>
          <w:sz w:val="16"/>
          <w:szCs w:val="16"/>
        </w:rPr>
        <w:t xml:space="preserve">июля 1914 г. по 1 </w:t>
      </w:r>
      <w:r w:rsidR="0039784D" w:rsidRPr="00DE096C">
        <w:rPr>
          <w:bCs/>
          <w:color w:val="002060"/>
          <w:sz w:val="16"/>
          <w:szCs w:val="16"/>
        </w:rPr>
        <w:t xml:space="preserve">(14) </w:t>
      </w:r>
      <w:r w:rsidRPr="00DE096C">
        <w:rPr>
          <w:bCs/>
          <w:color w:val="002060"/>
          <w:sz w:val="16"/>
          <w:szCs w:val="16"/>
        </w:rPr>
        <w:t xml:space="preserve">января 1918 г. поступления </w:t>
      </w:r>
      <w:r w:rsidR="0039784D" w:rsidRPr="00DE096C">
        <w:rPr>
          <w:bCs/>
          <w:color w:val="002060"/>
          <w:sz w:val="16"/>
          <w:szCs w:val="16"/>
        </w:rPr>
        <w:t xml:space="preserve">порохов </w:t>
      </w:r>
      <w:r w:rsidRPr="00DE096C">
        <w:rPr>
          <w:bCs/>
          <w:color w:val="002060"/>
          <w:sz w:val="16"/>
          <w:szCs w:val="16"/>
        </w:rPr>
        <w:t>можно определить количеством в 6 млн 334 тыс. пудов, или 104 тыс. тонн. Начальник ГАУ в годы Первой мировой войны А.А. Маниковский писал: «Потребность, исчисленная по данным Ставки на период с 1 ноября 1916 г. по 1 января 1918 г., выразилась в 11 млн пудов или около 700 000 пудов в месяц. Приблизительно только одна треть этой последней потребности могла быть удовлетворена русскими заводами, остальные две трети приходилось заказывать за границей (15989).</w:t>
      </w:r>
    </w:p>
    <w:p w14:paraId="40CAB725" w14:textId="77777777" w:rsidR="00387780" w:rsidRPr="00DE096C" w:rsidRDefault="00387780" w:rsidP="00D45A46">
      <w:pPr>
        <w:jc w:val="both"/>
        <w:rPr>
          <w:bCs/>
          <w:color w:val="002060"/>
          <w:sz w:val="16"/>
          <w:szCs w:val="16"/>
        </w:rPr>
      </w:pPr>
    </w:p>
    <w:p w14:paraId="3BE0D6C4" w14:textId="77777777" w:rsidR="00387780" w:rsidRPr="00DE096C" w:rsidRDefault="00387780" w:rsidP="00D45A46">
      <w:pPr>
        <w:jc w:val="both"/>
        <w:rPr>
          <w:bCs/>
          <w:i/>
          <w:color w:val="002060"/>
          <w:sz w:val="16"/>
          <w:szCs w:val="16"/>
        </w:rPr>
      </w:pPr>
      <w:r w:rsidRPr="00DE096C">
        <w:rPr>
          <w:bCs/>
          <w:i/>
          <w:color w:val="002060"/>
          <w:sz w:val="16"/>
          <w:szCs w:val="16"/>
        </w:rPr>
        <w:t>Авиация и воздухоплавание за рубежом:</w:t>
      </w:r>
    </w:p>
    <w:p w14:paraId="3B9BEC41" w14:textId="77777777" w:rsidR="00387780" w:rsidRPr="00DE096C" w:rsidRDefault="00387780" w:rsidP="00D45A46">
      <w:pPr>
        <w:jc w:val="both"/>
        <w:rPr>
          <w:bCs/>
          <w:i/>
          <w:color w:val="002060"/>
          <w:sz w:val="16"/>
          <w:szCs w:val="16"/>
        </w:rPr>
      </w:pPr>
    </w:p>
    <w:p w14:paraId="67C3454A" w14:textId="77777777" w:rsidR="00387780" w:rsidRPr="00DE096C" w:rsidRDefault="00387780" w:rsidP="00D45A46">
      <w:pPr>
        <w:jc w:val="both"/>
        <w:rPr>
          <w:bCs/>
          <w:color w:val="002060"/>
          <w:sz w:val="16"/>
          <w:szCs w:val="16"/>
        </w:rPr>
      </w:pPr>
      <w:r w:rsidRPr="00DE096C">
        <w:rPr>
          <w:bCs/>
          <w:color w:val="002060"/>
          <w:sz w:val="16"/>
          <w:szCs w:val="16"/>
        </w:rPr>
        <w:t>1 (14) июля в 1914 году в США патентуется первая ракета на жидком топливе (14952).</w:t>
      </w:r>
    </w:p>
    <w:p w14:paraId="49461341" w14:textId="77777777" w:rsidR="00387780" w:rsidRPr="00DE096C" w:rsidRDefault="00387780" w:rsidP="00D45A46">
      <w:pPr>
        <w:jc w:val="both"/>
        <w:rPr>
          <w:bCs/>
          <w:color w:val="002060"/>
          <w:sz w:val="16"/>
          <w:szCs w:val="16"/>
        </w:rPr>
      </w:pPr>
    </w:p>
    <w:p w14:paraId="205D899E" w14:textId="77777777" w:rsidR="00FC261B" w:rsidRPr="00DE096C" w:rsidRDefault="00FC261B" w:rsidP="00D45A46">
      <w:pPr>
        <w:jc w:val="both"/>
        <w:rPr>
          <w:bCs/>
          <w:i/>
          <w:color w:val="002060"/>
          <w:sz w:val="16"/>
          <w:szCs w:val="16"/>
        </w:rPr>
      </w:pPr>
      <w:r w:rsidRPr="00DE096C">
        <w:rPr>
          <w:bCs/>
          <w:i/>
          <w:color w:val="002060"/>
          <w:sz w:val="16"/>
          <w:szCs w:val="16"/>
        </w:rPr>
        <w:t>Другие оборонные отрасли:</w:t>
      </w:r>
    </w:p>
    <w:p w14:paraId="3F75468B" w14:textId="77777777" w:rsidR="00FC261B" w:rsidRPr="00DE096C" w:rsidRDefault="00FC261B" w:rsidP="00D45A46">
      <w:pPr>
        <w:jc w:val="both"/>
        <w:rPr>
          <w:bCs/>
          <w:i/>
          <w:color w:val="002060"/>
          <w:sz w:val="16"/>
          <w:szCs w:val="16"/>
        </w:rPr>
      </w:pPr>
    </w:p>
    <w:p w14:paraId="11201BAA" w14:textId="01B67C86" w:rsidR="00FC261B" w:rsidRPr="00DE096C" w:rsidRDefault="00FC261B" w:rsidP="00D45A46">
      <w:pPr>
        <w:pStyle w:val="p1"/>
        <w:spacing w:before="0" w:beforeAutospacing="0" w:after="0" w:afterAutospacing="0"/>
        <w:jc w:val="both"/>
        <w:rPr>
          <w:bCs/>
          <w:color w:val="002060"/>
          <w:sz w:val="16"/>
          <w:szCs w:val="16"/>
        </w:rPr>
      </w:pPr>
      <w:r w:rsidRPr="00DE096C">
        <w:rPr>
          <w:bCs/>
          <w:color w:val="002060"/>
          <w:sz w:val="16"/>
          <w:szCs w:val="16"/>
        </w:rPr>
        <w:t xml:space="preserve">2 </w:t>
      </w:r>
      <w:r w:rsidR="0039784D" w:rsidRPr="00DE096C">
        <w:rPr>
          <w:bCs/>
          <w:color w:val="002060"/>
          <w:sz w:val="16"/>
          <w:szCs w:val="16"/>
        </w:rPr>
        <w:t xml:space="preserve">(15) </w:t>
      </w:r>
      <w:r w:rsidRPr="00DE096C">
        <w:rPr>
          <w:bCs/>
          <w:color w:val="002060"/>
          <w:sz w:val="16"/>
          <w:szCs w:val="16"/>
        </w:rPr>
        <w:t>июля 1914 г. начальник Охтенского порохового завода М.П. Дымша доложил ГАУ о результате сравнения химического состава и экономической выгодности чилийской селитры и селитры искусственной, закупленной у Норвежского общества добывания азотных веществ. Была удостоверена, «как и следовало ожидать, полная пригодность искусственной селитры для изготовления азотной кислоты». Дымша сообщил, что норвежскую фирму он уже запросил «о цене селитры при заказе больших количеств». Азотная кислота из норвежской селитры, при небольшой покупке, 700 пудов, обошлась в 2 руб. 70 коп. за пуд, дороже, чем из чилийской селитры (2 руб. 23 коп.). После этого рапорта в ГАУ снова заинтересовались собственным проектом. «Прошу ускорить ответ о заводе азотной кислоты», — гласит резолюция на докладе Дымши. А тем временем в первой половине августа 1914 г. из-за отсутствия натровой селитры и, соответственно, нехватки азотной кислоты для нитрации толуола почти остановилось производство тротила на Самарском заводе взрывчатых веществ (18409).</w:t>
      </w:r>
    </w:p>
    <w:p w14:paraId="17D20215" w14:textId="77777777" w:rsidR="00FC261B" w:rsidRPr="00DE096C" w:rsidRDefault="00FC261B" w:rsidP="00D45A46">
      <w:pPr>
        <w:pStyle w:val="p1"/>
        <w:spacing w:before="0" w:beforeAutospacing="0" w:after="0" w:afterAutospacing="0"/>
        <w:jc w:val="both"/>
        <w:rPr>
          <w:bCs/>
          <w:color w:val="002060"/>
          <w:sz w:val="16"/>
          <w:szCs w:val="16"/>
        </w:rPr>
      </w:pPr>
    </w:p>
    <w:p w14:paraId="605CBB20" w14:textId="1C362BA5" w:rsidR="00073939" w:rsidRPr="00DE096C" w:rsidRDefault="00073939" w:rsidP="00D45A46">
      <w:pPr>
        <w:pStyle w:val="af7"/>
        <w:spacing w:line="240" w:lineRule="auto"/>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2 (15) июля 1914 г. начальник Охтенского порохового завода М.П. Дымша доложил ГАУ о результате сравнения хими</w:t>
      </w:r>
      <w:r w:rsidRPr="00DE096C">
        <w:rPr>
          <w:rFonts w:ascii="Times New Roman" w:hAnsi="Times New Roman" w:cs="Times New Roman"/>
          <w:bCs/>
          <w:color w:val="002060"/>
          <w:sz w:val="16"/>
          <w:szCs w:val="16"/>
        </w:rPr>
        <w:softHyphen/>
        <w:t>ческого состава и экономической выгодности чилийской селитры и селитры искусственной, закупленной у Норвеж</w:t>
      </w:r>
      <w:r w:rsidRPr="00DE096C">
        <w:rPr>
          <w:rFonts w:ascii="Times New Roman" w:hAnsi="Times New Roman" w:cs="Times New Roman"/>
          <w:bCs/>
          <w:color w:val="002060"/>
          <w:sz w:val="16"/>
          <w:szCs w:val="16"/>
        </w:rPr>
        <w:softHyphen/>
        <w:t>ского общества добывания азотных веществ. Была удосто</w:t>
      </w:r>
      <w:r w:rsidRPr="00DE096C">
        <w:rPr>
          <w:rFonts w:ascii="Times New Roman" w:hAnsi="Times New Roman" w:cs="Times New Roman"/>
          <w:bCs/>
          <w:color w:val="002060"/>
          <w:sz w:val="16"/>
          <w:szCs w:val="16"/>
        </w:rPr>
        <w:softHyphen/>
        <w:t>верена, «как и следовало ожидать, полная пригодность ис</w:t>
      </w:r>
      <w:r w:rsidRPr="00DE096C">
        <w:rPr>
          <w:rFonts w:ascii="Times New Roman" w:hAnsi="Times New Roman" w:cs="Times New Roman"/>
          <w:bCs/>
          <w:color w:val="002060"/>
          <w:sz w:val="16"/>
          <w:szCs w:val="16"/>
        </w:rPr>
        <w:softHyphen/>
        <w:t>кусственной селитры для изготовления азотной кислоты». Дымша сообщил, что норвежскую фирму он уже запросил «о цене селитры при заказе больших количеств». Азотная кислота из норвежской селитры, при небольшой покупке, 700 пудов, обошлась в 2 руб. 70 коп. за пуд, дороже, чем из чилийской селитры (2 руб. 23 коп.). После этого рапорта в ГАУ снова заинтересовались собственным проектом. «Про</w:t>
      </w:r>
      <w:r w:rsidRPr="00DE096C">
        <w:rPr>
          <w:rFonts w:ascii="Times New Roman" w:hAnsi="Times New Roman" w:cs="Times New Roman"/>
          <w:bCs/>
          <w:color w:val="002060"/>
          <w:sz w:val="16"/>
          <w:szCs w:val="16"/>
        </w:rPr>
        <w:softHyphen/>
        <w:t>шу ускорить ответ о заводе азотной кислоты», — гласит резолюция на докладе Дымши1. А тем временем в первой половине августа 1914 г. из-за отсутствия натровой селитры и, соответственно, нехватки азотной кислоты для нитрации толуола почти остановилось производство тротила на Са</w:t>
      </w:r>
      <w:r w:rsidRPr="00DE096C">
        <w:rPr>
          <w:rFonts w:ascii="Times New Roman" w:hAnsi="Times New Roman" w:cs="Times New Roman"/>
          <w:bCs/>
          <w:color w:val="002060"/>
          <w:sz w:val="16"/>
          <w:szCs w:val="16"/>
        </w:rPr>
        <w:softHyphen/>
        <w:t>марском заводе взрывчатых веществ (РГВИА. Ф. 504. Оп. 8. Д. 2391. Л. 469 и об.; ВПР. С. 771.) (23452).</w:t>
      </w:r>
    </w:p>
    <w:p w14:paraId="60839BA8" w14:textId="77777777" w:rsidR="00073939" w:rsidRPr="00DE096C" w:rsidRDefault="00073939" w:rsidP="00D45A46">
      <w:pPr>
        <w:pStyle w:val="af7"/>
        <w:spacing w:line="240" w:lineRule="auto"/>
        <w:jc w:val="both"/>
        <w:rPr>
          <w:rFonts w:ascii="Times New Roman" w:hAnsi="Times New Roman" w:cs="Times New Roman"/>
          <w:bCs/>
          <w:color w:val="002060"/>
          <w:sz w:val="16"/>
          <w:szCs w:val="16"/>
        </w:rPr>
      </w:pPr>
    </w:p>
    <w:p w14:paraId="6EA69161" w14:textId="77777777" w:rsidR="00B67D7C" w:rsidRPr="00DE096C" w:rsidRDefault="00B67D7C" w:rsidP="00D45A46">
      <w:pPr>
        <w:jc w:val="both"/>
        <w:rPr>
          <w:bCs/>
          <w:i/>
          <w:color w:val="002060"/>
          <w:sz w:val="16"/>
          <w:szCs w:val="16"/>
        </w:rPr>
      </w:pPr>
      <w:r w:rsidRPr="00DE096C">
        <w:rPr>
          <w:bCs/>
          <w:i/>
          <w:color w:val="002060"/>
          <w:sz w:val="16"/>
          <w:szCs w:val="16"/>
        </w:rPr>
        <w:t>Морская авиация:</w:t>
      </w:r>
    </w:p>
    <w:p w14:paraId="07242775" w14:textId="77777777" w:rsidR="00B67D7C" w:rsidRPr="00DE096C" w:rsidRDefault="00B67D7C" w:rsidP="00D45A46">
      <w:pPr>
        <w:jc w:val="both"/>
        <w:rPr>
          <w:bCs/>
          <w:i/>
          <w:color w:val="002060"/>
          <w:sz w:val="16"/>
          <w:szCs w:val="16"/>
        </w:rPr>
      </w:pPr>
    </w:p>
    <w:p w14:paraId="110A78AA" w14:textId="7DCA763A" w:rsidR="00B67D7C" w:rsidRPr="00DE096C" w:rsidRDefault="00B67D7C" w:rsidP="00D45A46">
      <w:pPr>
        <w:pStyle w:val="a5"/>
        <w:rPr>
          <w:bCs/>
          <w:color w:val="002060"/>
          <w:sz w:val="16"/>
          <w:szCs w:val="16"/>
          <w:lang w:val="ru-RU"/>
        </w:rPr>
      </w:pPr>
      <w:r w:rsidRPr="00DE096C">
        <w:rPr>
          <w:bCs/>
          <w:color w:val="002060"/>
          <w:sz w:val="16"/>
          <w:szCs w:val="16"/>
          <w:lang w:val="ru-RU"/>
        </w:rPr>
        <w:t xml:space="preserve">2 </w:t>
      </w:r>
      <w:r w:rsidR="0039784D" w:rsidRPr="00DE096C">
        <w:rPr>
          <w:bCs/>
          <w:color w:val="002060"/>
          <w:sz w:val="16"/>
          <w:szCs w:val="16"/>
          <w:lang w:val="ru-RU"/>
        </w:rPr>
        <w:t xml:space="preserve">(15) </w:t>
      </w:r>
      <w:r w:rsidRPr="00DE096C">
        <w:rPr>
          <w:bCs/>
          <w:color w:val="002060"/>
          <w:sz w:val="16"/>
          <w:szCs w:val="16"/>
          <w:lang w:val="ru-RU"/>
        </w:rPr>
        <w:t>июля 1914 г.</w:t>
      </w:r>
      <w:r w:rsidR="0039784D" w:rsidRPr="00DE096C">
        <w:rPr>
          <w:bCs/>
          <w:color w:val="002060"/>
          <w:sz w:val="16"/>
          <w:szCs w:val="16"/>
          <w:lang w:val="ru-RU"/>
        </w:rPr>
        <w:t xml:space="preserve"> опыт черноморцев по отработ</w:t>
      </w:r>
      <w:r w:rsidR="0039784D" w:rsidRPr="00DE096C">
        <w:rPr>
          <w:bCs/>
          <w:color w:val="002060"/>
          <w:sz w:val="16"/>
          <w:szCs w:val="16"/>
          <w:lang w:val="ru-RU"/>
        </w:rPr>
        <w:softHyphen/>
        <w:t>ке базирования самолётов на су</w:t>
      </w:r>
      <w:r w:rsidR="0039784D" w:rsidRPr="00DE096C">
        <w:rPr>
          <w:bCs/>
          <w:color w:val="002060"/>
          <w:sz w:val="16"/>
          <w:szCs w:val="16"/>
          <w:lang w:val="ru-RU"/>
        </w:rPr>
        <w:softHyphen/>
        <w:t>дах решили распространить на Балтийский флот</w:t>
      </w:r>
      <w:r w:rsidRPr="00DE096C">
        <w:rPr>
          <w:bCs/>
          <w:color w:val="002060"/>
          <w:sz w:val="16"/>
          <w:szCs w:val="16"/>
          <w:lang w:val="ru-RU"/>
        </w:rPr>
        <w:t xml:space="preserve"> </w:t>
      </w:r>
      <w:r w:rsidR="0039784D" w:rsidRPr="00DE096C">
        <w:rPr>
          <w:bCs/>
          <w:color w:val="002060"/>
          <w:sz w:val="16"/>
          <w:szCs w:val="16"/>
          <w:lang w:val="ru-RU"/>
        </w:rPr>
        <w:t xml:space="preserve">и </w:t>
      </w:r>
      <w:r w:rsidRPr="00DE096C">
        <w:rPr>
          <w:bCs/>
          <w:color w:val="002060"/>
          <w:sz w:val="16"/>
          <w:szCs w:val="16"/>
          <w:lang w:val="ru-RU"/>
        </w:rPr>
        <w:t>начальник Морского генерального штаба предложил отработку подъё</w:t>
      </w:r>
      <w:r w:rsidRPr="00DE096C">
        <w:rPr>
          <w:bCs/>
          <w:color w:val="002060"/>
          <w:sz w:val="16"/>
          <w:szCs w:val="16"/>
          <w:lang w:val="ru-RU"/>
        </w:rPr>
        <w:softHyphen/>
        <w:t>ма и спуска гидросамолётов орга</w:t>
      </w:r>
      <w:r w:rsidRPr="00DE096C">
        <w:rPr>
          <w:bCs/>
          <w:color w:val="002060"/>
          <w:sz w:val="16"/>
          <w:szCs w:val="16"/>
          <w:lang w:val="ru-RU"/>
        </w:rPr>
        <w:softHyphen/>
        <w:t>низовать на транспорте «Аргунь», однако право окончательного вы</w:t>
      </w:r>
      <w:r w:rsidRPr="00DE096C">
        <w:rPr>
          <w:bCs/>
          <w:color w:val="002060"/>
          <w:sz w:val="16"/>
          <w:szCs w:val="16"/>
          <w:lang w:val="ru-RU"/>
        </w:rPr>
        <w:softHyphen/>
        <w:t>бора судна оставили за балтийца</w:t>
      </w:r>
      <w:r w:rsidRPr="00DE096C">
        <w:rPr>
          <w:bCs/>
          <w:color w:val="002060"/>
          <w:sz w:val="16"/>
          <w:szCs w:val="16"/>
          <w:lang w:val="ru-RU"/>
        </w:rPr>
        <w:softHyphen/>
        <w:t>ми. Пользуясь возможностью выб</w:t>
      </w:r>
      <w:r w:rsidRPr="00DE096C">
        <w:rPr>
          <w:bCs/>
          <w:color w:val="002060"/>
          <w:sz w:val="16"/>
          <w:szCs w:val="16"/>
          <w:lang w:val="ru-RU"/>
        </w:rPr>
        <w:softHyphen/>
        <w:t>рать судно, балтийцы остановились на пароходе «Императрица Алек</w:t>
      </w:r>
      <w:r w:rsidRPr="00DE096C">
        <w:rPr>
          <w:bCs/>
          <w:color w:val="002060"/>
          <w:sz w:val="16"/>
          <w:szCs w:val="16"/>
          <w:lang w:val="ru-RU"/>
        </w:rPr>
        <w:softHyphen/>
        <w:t>сандра» рижской судоходной ком</w:t>
      </w:r>
      <w:r w:rsidRPr="00DE096C">
        <w:rPr>
          <w:bCs/>
          <w:color w:val="002060"/>
          <w:sz w:val="16"/>
          <w:szCs w:val="16"/>
          <w:lang w:val="ru-RU"/>
        </w:rPr>
        <w:softHyphen/>
        <w:t>пании «Гельмсинг и Гримм». До вой</w:t>
      </w:r>
      <w:r w:rsidRPr="00DE096C">
        <w:rPr>
          <w:bCs/>
          <w:color w:val="002060"/>
          <w:sz w:val="16"/>
          <w:szCs w:val="16"/>
          <w:lang w:val="ru-RU"/>
        </w:rPr>
        <w:softHyphen/>
        <w:t>ны пароход эксплуатировался на линии Петербург-Лондон, постро</w:t>
      </w:r>
      <w:r w:rsidRPr="00DE096C">
        <w:rPr>
          <w:bCs/>
          <w:color w:val="002060"/>
          <w:sz w:val="16"/>
          <w:szCs w:val="16"/>
          <w:lang w:val="ru-RU"/>
        </w:rPr>
        <w:softHyphen/>
        <w:t>ен он был в Великобритании и 9 июля 1903 г. приобретен торговым домом братьев Лассман в Москве, присвоившим ему наименование «Вологда». Двухпалубное судно имело длину 88,4 м, наибольшую ширину 12,2 м, водоизмещение 3 800 т, скорость до 12 узлов. Впос</w:t>
      </w:r>
      <w:r w:rsidRPr="00DE096C">
        <w:rPr>
          <w:bCs/>
          <w:color w:val="002060"/>
          <w:sz w:val="16"/>
          <w:szCs w:val="16"/>
          <w:lang w:val="ru-RU"/>
        </w:rPr>
        <w:softHyphen/>
        <w:t>ледствии судно приобрела компа</w:t>
      </w:r>
      <w:r w:rsidRPr="00DE096C">
        <w:rPr>
          <w:bCs/>
          <w:color w:val="002060"/>
          <w:sz w:val="16"/>
          <w:szCs w:val="16"/>
          <w:lang w:val="ru-RU"/>
        </w:rPr>
        <w:softHyphen/>
        <w:t>ния «Гельмсинг и Гримм», которая переименовала его в «Императри</w:t>
      </w:r>
      <w:r w:rsidRPr="00DE096C">
        <w:rPr>
          <w:bCs/>
          <w:color w:val="002060"/>
          <w:sz w:val="16"/>
          <w:szCs w:val="16"/>
          <w:lang w:val="ru-RU"/>
        </w:rPr>
        <w:softHyphen/>
        <w:t>цу Александру». Адмирал Эссен предложил приобрести пароход в собственность морского ведомства и переоборудовать для базирова</w:t>
      </w:r>
      <w:r w:rsidRPr="00DE096C">
        <w:rPr>
          <w:bCs/>
          <w:color w:val="002060"/>
          <w:sz w:val="16"/>
          <w:szCs w:val="16"/>
          <w:lang w:val="ru-RU"/>
        </w:rPr>
        <w:softHyphen/>
        <w:t>ния самолётов. Разработку проек</w:t>
      </w:r>
      <w:r w:rsidRPr="00DE096C">
        <w:rPr>
          <w:bCs/>
          <w:color w:val="002060"/>
          <w:sz w:val="16"/>
          <w:szCs w:val="16"/>
          <w:lang w:val="ru-RU"/>
        </w:rPr>
        <w:softHyphen/>
        <w:t>та поручили инженеру по авиаци</w:t>
      </w:r>
      <w:r w:rsidRPr="00DE096C">
        <w:rPr>
          <w:bCs/>
          <w:color w:val="002060"/>
          <w:sz w:val="16"/>
          <w:szCs w:val="16"/>
          <w:lang w:val="ru-RU"/>
        </w:rPr>
        <w:softHyphen/>
        <w:t>онной части Службы связи Балтий</w:t>
      </w:r>
      <w:r w:rsidRPr="00DE096C">
        <w:rPr>
          <w:bCs/>
          <w:color w:val="002060"/>
          <w:sz w:val="16"/>
          <w:szCs w:val="16"/>
          <w:lang w:val="ru-RU"/>
        </w:rPr>
        <w:softHyphen/>
        <w:t>ского моря П.А. Шишкову со сро</w:t>
      </w:r>
      <w:r w:rsidRPr="00DE096C">
        <w:rPr>
          <w:bCs/>
          <w:color w:val="002060"/>
          <w:sz w:val="16"/>
          <w:szCs w:val="16"/>
          <w:lang w:val="ru-RU"/>
        </w:rPr>
        <w:softHyphen/>
        <w:t>ком готовности корабля не позже апреля 1915 г. Работы выполняли Адмиралтейский судостроительный завод и Петроградский порт.</w:t>
      </w:r>
    </w:p>
    <w:p w14:paraId="59C3DE55" w14:textId="77777777" w:rsidR="00B67D7C" w:rsidRPr="00DE096C" w:rsidRDefault="00B67D7C" w:rsidP="00D45A46">
      <w:pPr>
        <w:jc w:val="both"/>
        <w:rPr>
          <w:bCs/>
          <w:color w:val="002060"/>
          <w:sz w:val="16"/>
          <w:szCs w:val="16"/>
        </w:rPr>
      </w:pPr>
      <w:r w:rsidRPr="00DE096C">
        <w:rPr>
          <w:bCs/>
          <w:color w:val="002060"/>
          <w:sz w:val="16"/>
          <w:szCs w:val="16"/>
        </w:rPr>
        <w:t>Морской министр И.К.Григоро</w:t>
      </w:r>
      <w:r w:rsidRPr="00DE096C">
        <w:rPr>
          <w:bCs/>
          <w:color w:val="002060"/>
          <w:sz w:val="16"/>
          <w:szCs w:val="16"/>
        </w:rPr>
        <w:softHyphen/>
        <w:t>вич 15 января 1915 г согласился на переоборудование судна, но пола</w:t>
      </w:r>
      <w:r w:rsidRPr="00DE096C">
        <w:rPr>
          <w:bCs/>
          <w:color w:val="002060"/>
          <w:sz w:val="16"/>
          <w:szCs w:val="16"/>
        </w:rPr>
        <w:softHyphen/>
        <w:t>гал, что к работам также следует привлечь Путиловский и Невский заводы. 24 января 1915 г. Григоро</w:t>
      </w:r>
      <w:r w:rsidRPr="00DE096C">
        <w:rPr>
          <w:bCs/>
          <w:color w:val="002060"/>
          <w:sz w:val="16"/>
          <w:szCs w:val="16"/>
        </w:rPr>
        <w:softHyphen/>
        <w:t>вич разрешил дать наряд Путилов- ской верфи на переоборудование парохода до 1 апреля 1915 г, воз</w:t>
      </w:r>
      <w:r w:rsidRPr="00DE096C">
        <w:rPr>
          <w:bCs/>
          <w:color w:val="002060"/>
          <w:sz w:val="16"/>
          <w:szCs w:val="16"/>
        </w:rPr>
        <w:softHyphen/>
        <w:t>ложив наблюдение за работами от морского ведомства на капитана 2-го ранга Б.П.Дудорова, назначен</w:t>
      </w:r>
      <w:r w:rsidRPr="00DE096C">
        <w:rPr>
          <w:bCs/>
          <w:color w:val="002060"/>
          <w:sz w:val="16"/>
          <w:szCs w:val="16"/>
        </w:rPr>
        <w:softHyphen/>
        <w:t>ного впоследствии (6 марта) коман</w:t>
      </w:r>
      <w:r w:rsidRPr="00DE096C">
        <w:rPr>
          <w:bCs/>
          <w:color w:val="002060"/>
          <w:sz w:val="16"/>
          <w:szCs w:val="16"/>
        </w:rPr>
        <w:softHyphen/>
        <w:t>диром корабля.</w:t>
      </w:r>
    </w:p>
    <w:p w14:paraId="4A355525" w14:textId="77777777" w:rsidR="00B67D7C" w:rsidRPr="00DE096C" w:rsidRDefault="00B67D7C" w:rsidP="00D45A46">
      <w:pPr>
        <w:pStyle w:val="a5"/>
        <w:rPr>
          <w:bCs/>
          <w:color w:val="002060"/>
          <w:sz w:val="16"/>
          <w:szCs w:val="16"/>
          <w:lang w:val="ru-RU"/>
        </w:rPr>
      </w:pPr>
      <w:r w:rsidRPr="00DE096C">
        <w:rPr>
          <w:bCs/>
          <w:color w:val="002060"/>
          <w:sz w:val="16"/>
          <w:szCs w:val="16"/>
          <w:lang w:val="ru-RU"/>
        </w:rPr>
        <w:t xml:space="preserve">Приказом по флоту и морскому ведомству за № 43 от 7 февраля 1915 г. император Николай </w:t>
      </w:r>
      <w:r w:rsidRPr="00DE096C">
        <w:rPr>
          <w:bCs/>
          <w:color w:val="002060"/>
          <w:sz w:val="16"/>
          <w:szCs w:val="16"/>
        </w:rPr>
        <w:t>II</w:t>
      </w:r>
      <w:r w:rsidRPr="00DE096C">
        <w:rPr>
          <w:bCs/>
          <w:color w:val="002060"/>
          <w:sz w:val="16"/>
          <w:szCs w:val="16"/>
          <w:lang w:val="ru-RU"/>
        </w:rPr>
        <w:t xml:space="preserve"> пове</w:t>
      </w:r>
      <w:r w:rsidRPr="00DE096C">
        <w:rPr>
          <w:bCs/>
          <w:color w:val="002060"/>
          <w:sz w:val="16"/>
          <w:szCs w:val="16"/>
          <w:lang w:val="ru-RU"/>
        </w:rPr>
        <w:softHyphen/>
        <w:t>лел зачислить пароход в класс учеб</w:t>
      </w:r>
      <w:r w:rsidRPr="00DE096C">
        <w:rPr>
          <w:bCs/>
          <w:color w:val="002060"/>
          <w:sz w:val="16"/>
          <w:szCs w:val="16"/>
          <w:lang w:val="ru-RU"/>
        </w:rPr>
        <w:softHyphen/>
        <w:t>ных судов и присвоить ему наиме</w:t>
      </w:r>
      <w:r w:rsidRPr="00DE096C">
        <w:rPr>
          <w:bCs/>
          <w:color w:val="002060"/>
          <w:sz w:val="16"/>
          <w:szCs w:val="16"/>
          <w:lang w:val="ru-RU"/>
        </w:rPr>
        <w:softHyphen/>
        <w:t>нование «Орлица». В документах «Орлицу» называли авиационной базой, авиационным судном, авиа</w:t>
      </w:r>
      <w:r w:rsidRPr="00DE096C">
        <w:rPr>
          <w:bCs/>
          <w:color w:val="002060"/>
          <w:sz w:val="16"/>
          <w:szCs w:val="16"/>
          <w:lang w:val="ru-RU"/>
        </w:rPr>
        <w:softHyphen/>
        <w:t>транспортом. Согласно боевому расписанию 1915 г. «Орлицу» пред</w:t>
      </w:r>
      <w:r w:rsidRPr="00DE096C">
        <w:rPr>
          <w:bCs/>
          <w:color w:val="002060"/>
          <w:sz w:val="16"/>
          <w:szCs w:val="16"/>
          <w:lang w:val="ru-RU"/>
        </w:rPr>
        <w:softHyphen/>
        <w:t>полагалось использовать «при Службе связи» Балтийского моря. Судно должно было нести четыре гидросамолета в готовом к спуску виде и четыре запасных в состоя</w:t>
      </w:r>
      <w:r w:rsidRPr="00DE096C">
        <w:rPr>
          <w:bCs/>
          <w:color w:val="002060"/>
          <w:sz w:val="16"/>
          <w:szCs w:val="16"/>
          <w:lang w:val="ru-RU"/>
        </w:rPr>
        <w:softHyphen/>
        <w:t>нии четырехчасовой готовности.</w:t>
      </w:r>
    </w:p>
    <w:p w14:paraId="7B10465A" w14:textId="77777777" w:rsidR="00B67D7C" w:rsidRPr="00DE096C" w:rsidRDefault="00B67D7C" w:rsidP="00D45A46">
      <w:pPr>
        <w:pStyle w:val="a5"/>
        <w:rPr>
          <w:bCs/>
          <w:color w:val="002060"/>
          <w:sz w:val="16"/>
          <w:szCs w:val="16"/>
          <w:lang w:val="ru-RU"/>
        </w:rPr>
      </w:pPr>
      <w:r w:rsidRPr="00DE096C">
        <w:rPr>
          <w:bCs/>
          <w:color w:val="002060"/>
          <w:sz w:val="16"/>
          <w:szCs w:val="16"/>
          <w:lang w:val="ru-RU"/>
        </w:rPr>
        <w:t>В процессе переоборудования на «Орлице» смонтировали четы</w:t>
      </w:r>
      <w:r w:rsidRPr="00DE096C">
        <w:rPr>
          <w:bCs/>
          <w:color w:val="002060"/>
          <w:sz w:val="16"/>
          <w:szCs w:val="16"/>
          <w:lang w:val="ru-RU"/>
        </w:rPr>
        <w:softHyphen/>
        <w:t>ре облегчённые поворотные стре</w:t>
      </w:r>
      <w:r w:rsidRPr="00DE096C">
        <w:rPr>
          <w:bCs/>
          <w:color w:val="002060"/>
          <w:sz w:val="16"/>
          <w:szCs w:val="16"/>
          <w:lang w:val="ru-RU"/>
        </w:rPr>
        <w:softHyphen/>
        <w:t>лы для подъёма и спуска самолё</w:t>
      </w:r>
      <w:r w:rsidRPr="00DE096C">
        <w:rPr>
          <w:bCs/>
          <w:color w:val="002060"/>
          <w:sz w:val="16"/>
          <w:szCs w:val="16"/>
          <w:lang w:val="ru-RU"/>
        </w:rPr>
        <w:softHyphen/>
        <w:t>тов, кильблоки (подставка для уста</w:t>
      </w:r>
      <w:r w:rsidRPr="00DE096C">
        <w:rPr>
          <w:bCs/>
          <w:color w:val="002060"/>
          <w:sz w:val="16"/>
          <w:szCs w:val="16"/>
          <w:lang w:val="ru-RU"/>
        </w:rPr>
        <w:softHyphen/>
        <w:t>новки гидросамолёта), импровизи</w:t>
      </w:r>
      <w:r w:rsidRPr="00DE096C">
        <w:rPr>
          <w:bCs/>
          <w:color w:val="002060"/>
          <w:sz w:val="16"/>
          <w:szCs w:val="16"/>
          <w:lang w:val="ru-RU"/>
        </w:rPr>
        <w:softHyphen/>
        <w:t>рованные носовой и кормовой ангары на два гидросамолета (типа ФБА) каждый, прикрытые с бортов брезентовыми обвесами. Для извле</w:t>
      </w:r>
      <w:r w:rsidRPr="00DE096C">
        <w:rPr>
          <w:bCs/>
          <w:color w:val="002060"/>
          <w:sz w:val="16"/>
          <w:szCs w:val="16"/>
          <w:lang w:val="ru-RU"/>
        </w:rPr>
        <w:softHyphen/>
        <w:t>чения самолета из ангара брезент закатывался кверху, стойки завали</w:t>
      </w:r>
      <w:r w:rsidRPr="00DE096C">
        <w:rPr>
          <w:bCs/>
          <w:color w:val="002060"/>
          <w:sz w:val="16"/>
          <w:szCs w:val="16"/>
          <w:lang w:val="ru-RU"/>
        </w:rPr>
        <w:softHyphen/>
        <w:t>вались. Четыре гидросамолета под</w:t>
      </w:r>
      <w:r w:rsidRPr="00DE096C">
        <w:rPr>
          <w:bCs/>
          <w:color w:val="002060"/>
          <w:sz w:val="16"/>
          <w:szCs w:val="16"/>
          <w:lang w:val="ru-RU"/>
        </w:rPr>
        <w:softHyphen/>
        <w:t>нимались на борт за 20 мин, спуск занимал 12 мин. В конструкцию верхней палубы и полубака ввели подкрепления для установки орудий. Кроме того, было смонтировано оборудование и верстак для ремон</w:t>
      </w:r>
      <w:r w:rsidRPr="00DE096C">
        <w:rPr>
          <w:bCs/>
          <w:color w:val="002060"/>
          <w:sz w:val="16"/>
          <w:szCs w:val="16"/>
          <w:lang w:val="ru-RU"/>
        </w:rPr>
        <w:softHyphen/>
        <w:t>та авиамоторов, установили два токарных, револьверный, фрезер</w:t>
      </w:r>
      <w:r w:rsidRPr="00DE096C">
        <w:rPr>
          <w:bCs/>
          <w:color w:val="002060"/>
          <w:sz w:val="16"/>
          <w:szCs w:val="16"/>
          <w:lang w:val="ru-RU"/>
        </w:rPr>
        <w:softHyphen/>
        <w:t>ный, два сверлильных станка и дру</w:t>
      </w:r>
      <w:r w:rsidRPr="00DE096C">
        <w:rPr>
          <w:bCs/>
          <w:color w:val="002060"/>
          <w:sz w:val="16"/>
          <w:szCs w:val="16"/>
          <w:lang w:val="ru-RU"/>
        </w:rPr>
        <w:softHyphen/>
        <w:t>гое оборудование для ремонта самолётов. В трюмах устроили два артиллерийских погреба для сна</w:t>
      </w:r>
      <w:r w:rsidRPr="00DE096C">
        <w:rPr>
          <w:bCs/>
          <w:color w:val="002060"/>
          <w:sz w:val="16"/>
          <w:szCs w:val="16"/>
          <w:lang w:val="ru-RU"/>
        </w:rPr>
        <w:softHyphen/>
        <w:t>рядов, авиабомб калибра 12,4-кг, две цистерны для бензина по 3,28 т (бензин по трубопроводам под дав</w:t>
      </w:r>
      <w:r w:rsidRPr="00DE096C">
        <w:rPr>
          <w:bCs/>
          <w:color w:val="002060"/>
          <w:sz w:val="16"/>
          <w:szCs w:val="16"/>
          <w:lang w:val="ru-RU"/>
        </w:rPr>
        <w:softHyphen/>
        <w:t>лением подавался в сборочную мастерскую и к гидросамолетам), кладовые для авиационного масла и другого имущества. На крыше ходовой рубки и легком настиле у гакаборта установили два 75-см прожектора. Вооружение «Орлицы» состояло из шести орудий калибра 75 мм и четырёх пулеметов.</w:t>
      </w:r>
    </w:p>
    <w:p w14:paraId="3A67E9B3" w14:textId="77777777" w:rsidR="00B67D7C" w:rsidRPr="00DE096C" w:rsidRDefault="00B67D7C" w:rsidP="00D45A46">
      <w:pPr>
        <w:pStyle w:val="a5"/>
        <w:rPr>
          <w:bCs/>
          <w:color w:val="002060"/>
          <w:sz w:val="16"/>
          <w:szCs w:val="16"/>
          <w:lang w:val="ru-RU"/>
        </w:rPr>
      </w:pPr>
      <w:r w:rsidRPr="00DE096C">
        <w:rPr>
          <w:bCs/>
          <w:color w:val="002060"/>
          <w:sz w:val="16"/>
          <w:szCs w:val="16"/>
          <w:lang w:val="ru-RU"/>
        </w:rPr>
        <w:t>20 апреля 1915 года судно офи</w:t>
      </w:r>
      <w:r w:rsidRPr="00DE096C">
        <w:rPr>
          <w:bCs/>
          <w:color w:val="002060"/>
          <w:sz w:val="16"/>
          <w:szCs w:val="16"/>
          <w:lang w:val="ru-RU"/>
        </w:rPr>
        <w:softHyphen/>
        <w:t>циально зачислили в состав Служ</w:t>
      </w:r>
      <w:r w:rsidRPr="00DE096C">
        <w:rPr>
          <w:bCs/>
          <w:color w:val="002060"/>
          <w:sz w:val="16"/>
          <w:szCs w:val="16"/>
          <w:lang w:val="ru-RU"/>
        </w:rPr>
        <w:softHyphen/>
        <w:t>бы связи Балтийского моря, и 15 мая оно начало кампанию. Одна</w:t>
      </w:r>
      <w:r w:rsidRPr="00DE096C">
        <w:rPr>
          <w:bCs/>
          <w:color w:val="002060"/>
          <w:sz w:val="16"/>
          <w:szCs w:val="16"/>
          <w:lang w:val="ru-RU"/>
        </w:rPr>
        <w:softHyphen/>
        <w:t>ко мелкие работы на «Орлице» вы</w:t>
      </w:r>
      <w:r w:rsidRPr="00DE096C">
        <w:rPr>
          <w:bCs/>
          <w:color w:val="002060"/>
          <w:sz w:val="16"/>
          <w:szCs w:val="16"/>
          <w:lang w:val="ru-RU"/>
        </w:rPr>
        <w:softHyphen/>
        <w:t>полнялись вплоть до ноября 1915 г., даже в период ее участия в боевых действиях.</w:t>
      </w:r>
    </w:p>
    <w:p w14:paraId="3F7D4D5F" w14:textId="77777777" w:rsidR="00B67D7C" w:rsidRPr="00DE096C" w:rsidRDefault="00B67D7C" w:rsidP="00D45A46">
      <w:pPr>
        <w:pStyle w:val="a5"/>
        <w:rPr>
          <w:bCs/>
          <w:color w:val="002060"/>
          <w:sz w:val="16"/>
          <w:szCs w:val="16"/>
          <w:lang w:val="ru-RU"/>
        </w:rPr>
      </w:pPr>
      <w:r w:rsidRPr="00DE096C">
        <w:rPr>
          <w:bCs/>
          <w:color w:val="002060"/>
          <w:sz w:val="16"/>
          <w:szCs w:val="16"/>
          <w:lang w:val="ru-RU"/>
        </w:rPr>
        <w:t>Несколько расширенное описа</w:t>
      </w:r>
      <w:r w:rsidRPr="00DE096C">
        <w:rPr>
          <w:bCs/>
          <w:color w:val="002060"/>
          <w:sz w:val="16"/>
          <w:szCs w:val="16"/>
          <w:lang w:val="ru-RU"/>
        </w:rPr>
        <w:softHyphen/>
        <w:t>ние авиационного оборудования приведено, чтобы показать слож</w:t>
      </w:r>
      <w:r w:rsidRPr="00DE096C">
        <w:rPr>
          <w:bCs/>
          <w:color w:val="002060"/>
          <w:sz w:val="16"/>
          <w:szCs w:val="16"/>
          <w:lang w:val="ru-RU"/>
        </w:rPr>
        <w:softHyphen/>
        <w:t>ность работ. Уже первый опыт по</w:t>
      </w:r>
      <w:r w:rsidRPr="00DE096C">
        <w:rPr>
          <w:bCs/>
          <w:color w:val="002060"/>
          <w:sz w:val="16"/>
          <w:szCs w:val="16"/>
          <w:lang w:val="ru-RU"/>
        </w:rPr>
        <w:softHyphen/>
        <w:t>казал, что ангары «Орлицы» нуж</w:t>
      </w:r>
      <w:r w:rsidRPr="00DE096C">
        <w:rPr>
          <w:bCs/>
          <w:color w:val="002060"/>
          <w:sz w:val="16"/>
          <w:szCs w:val="16"/>
          <w:lang w:val="ru-RU"/>
        </w:rPr>
        <w:softHyphen/>
        <w:t>даются в доработке и в конце фев</w:t>
      </w:r>
      <w:r w:rsidRPr="00DE096C">
        <w:rPr>
          <w:bCs/>
          <w:color w:val="002060"/>
          <w:sz w:val="16"/>
          <w:szCs w:val="16"/>
          <w:lang w:val="ru-RU"/>
        </w:rPr>
        <w:softHyphen/>
        <w:t>раля 1916 г. их произвели на заво</w:t>
      </w:r>
      <w:r w:rsidRPr="00DE096C">
        <w:rPr>
          <w:bCs/>
          <w:color w:val="002060"/>
          <w:sz w:val="16"/>
          <w:szCs w:val="16"/>
          <w:lang w:val="ru-RU"/>
        </w:rPr>
        <w:softHyphen/>
        <w:t>де в Гельсингфорсе. С 23 мая по 2 июня 1916 года, во время захода «Орлицы» под командованием ка</w:t>
      </w:r>
      <w:r w:rsidRPr="00DE096C">
        <w:rPr>
          <w:bCs/>
          <w:color w:val="002060"/>
          <w:sz w:val="16"/>
          <w:szCs w:val="16"/>
          <w:lang w:val="ru-RU"/>
        </w:rPr>
        <w:softHyphen/>
        <w:t>питана 2-го ранга Н.Н.Ромашева в Петроград, были выполнены рабо</w:t>
      </w:r>
      <w:r w:rsidRPr="00DE096C">
        <w:rPr>
          <w:bCs/>
          <w:color w:val="002060"/>
          <w:sz w:val="16"/>
          <w:szCs w:val="16"/>
          <w:lang w:val="ru-RU"/>
        </w:rPr>
        <w:softHyphen/>
        <w:t>ты, чтобы обеспечить базирование гидросамолетов М-9. Наблюдение за работами осуществлял полков</w:t>
      </w:r>
      <w:r w:rsidRPr="00DE096C">
        <w:rPr>
          <w:bCs/>
          <w:color w:val="002060"/>
          <w:sz w:val="16"/>
          <w:szCs w:val="16"/>
          <w:lang w:val="ru-RU"/>
        </w:rPr>
        <w:softHyphen/>
        <w:t>ник корпуса корабельных инжене</w:t>
      </w:r>
      <w:r w:rsidRPr="00DE096C">
        <w:rPr>
          <w:bCs/>
          <w:color w:val="002060"/>
          <w:sz w:val="16"/>
          <w:szCs w:val="16"/>
          <w:lang w:val="ru-RU"/>
        </w:rPr>
        <w:softHyphen/>
        <w:t>ров И.Е.Храповицкий. Специалисты Путиловской верфи установили новые кильблоки для М-9 и устрой</w:t>
      </w:r>
      <w:r w:rsidRPr="00DE096C">
        <w:rPr>
          <w:bCs/>
          <w:color w:val="002060"/>
          <w:sz w:val="16"/>
          <w:szCs w:val="16"/>
          <w:lang w:val="ru-RU"/>
        </w:rPr>
        <w:softHyphen/>
        <w:t>ства для их крепления по-походно</w:t>
      </w:r>
      <w:r w:rsidRPr="00DE096C">
        <w:rPr>
          <w:bCs/>
          <w:color w:val="002060"/>
          <w:sz w:val="16"/>
          <w:szCs w:val="16"/>
          <w:lang w:val="ru-RU"/>
        </w:rPr>
        <w:softHyphen/>
        <w:t>му. Гаки с карабинами для спуска и подъема гидросамолетов заменили более мощными. «Орлица» прини</w:t>
      </w:r>
      <w:r w:rsidRPr="00DE096C">
        <w:rPr>
          <w:bCs/>
          <w:color w:val="002060"/>
          <w:sz w:val="16"/>
          <w:szCs w:val="16"/>
          <w:lang w:val="ru-RU"/>
        </w:rPr>
        <w:softHyphen/>
        <w:t>мала участие в боевых действиях, а в апреле 1918 г. в составе одно</w:t>
      </w:r>
      <w:r w:rsidRPr="00DE096C">
        <w:rPr>
          <w:bCs/>
          <w:color w:val="002060"/>
          <w:sz w:val="16"/>
          <w:szCs w:val="16"/>
          <w:lang w:val="ru-RU"/>
        </w:rPr>
        <w:softHyphen/>
        <w:t>го из эшелонов Ледового похода перешла в Кронштадт. В начале августа 1918 г. «Орлицу» разору</w:t>
      </w:r>
      <w:r w:rsidRPr="00DE096C">
        <w:rPr>
          <w:bCs/>
          <w:color w:val="002060"/>
          <w:sz w:val="16"/>
          <w:szCs w:val="16"/>
          <w:lang w:val="ru-RU"/>
        </w:rPr>
        <w:softHyphen/>
        <w:t>жили, передали Главному управле</w:t>
      </w:r>
      <w:r w:rsidRPr="00DE096C">
        <w:rPr>
          <w:bCs/>
          <w:color w:val="002060"/>
          <w:sz w:val="16"/>
          <w:szCs w:val="16"/>
          <w:lang w:val="ru-RU"/>
        </w:rPr>
        <w:softHyphen/>
        <w:t>нию водного транспорта Народно</w:t>
      </w:r>
      <w:r w:rsidRPr="00DE096C">
        <w:rPr>
          <w:bCs/>
          <w:color w:val="002060"/>
          <w:sz w:val="16"/>
          <w:szCs w:val="16"/>
          <w:lang w:val="ru-RU"/>
        </w:rPr>
        <w:softHyphen/>
        <w:t>го комиссариата путей сообщения и переименовали в «Совет». Паро</w:t>
      </w:r>
      <w:r w:rsidRPr="00DE096C">
        <w:rPr>
          <w:bCs/>
          <w:color w:val="002060"/>
          <w:sz w:val="16"/>
          <w:szCs w:val="16"/>
          <w:lang w:val="ru-RU"/>
        </w:rPr>
        <w:softHyphen/>
        <w:t>ход выполнял грузо-пассажирские перевозки, числясь в Балтийском морском пароходстве. В 1930 г. «Со</w:t>
      </w:r>
      <w:r w:rsidRPr="00DE096C">
        <w:rPr>
          <w:bCs/>
          <w:color w:val="002060"/>
          <w:sz w:val="16"/>
          <w:szCs w:val="16"/>
          <w:lang w:val="ru-RU"/>
        </w:rPr>
        <w:softHyphen/>
        <w:t>вет» перешел с Балтики во Влади</w:t>
      </w:r>
      <w:r w:rsidRPr="00DE096C">
        <w:rPr>
          <w:bCs/>
          <w:color w:val="002060"/>
          <w:sz w:val="16"/>
          <w:szCs w:val="16"/>
          <w:lang w:val="ru-RU"/>
        </w:rPr>
        <w:softHyphen/>
        <w:t>восток и вошел в состав Дальнево</w:t>
      </w:r>
      <w:r w:rsidRPr="00DE096C">
        <w:rPr>
          <w:bCs/>
          <w:color w:val="002060"/>
          <w:sz w:val="16"/>
          <w:szCs w:val="16"/>
          <w:lang w:val="ru-RU"/>
        </w:rPr>
        <w:softHyphen/>
        <w:t>сточного морского пароходства. Судно обслуживало экспрессную линию Владивосток — Совгавань — Александровск, а также перевози</w:t>
      </w:r>
      <w:r w:rsidRPr="00DE096C">
        <w:rPr>
          <w:bCs/>
          <w:color w:val="002060"/>
          <w:sz w:val="16"/>
          <w:szCs w:val="16"/>
          <w:lang w:val="ru-RU"/>
        </w:rPr>
        <w:softHyphen/>
        <w:t>ло людей и грузы на линиях Влади</w:t>
      </w:r>
      <w:r w:rsidRPr="00DE096C">
        <w:rPr>
          <w:bCs/>
          <w:color w:val="002060"/>
          <w:sz w:val="16"/>
          <w:szCs w:val="16"/>
          <w:lang w:val="ru-RU"/>
        </w:rPr>
        <w:softHyphen/>
        <w:t>восток — Нагаево и Владивосток — Петропавловск. В феврале 1934 г. «Совет» под командованием капи</w:t>
      </w:r>
      <w:r w:rsidRPr="00DE096C">
        <w:rPr>
          <w:bCs/>
          <w:color w:val="002060"/>
          <w:sz w:val="16"/>
          <w:szCs w:val="16"/>
          <w:lang w:val="ru-RU"/>
        </w:rPr>
        <w:softHyphen/>
        <w:t>тана В.П.Сиднева с дирижаблями на борту вышел к берегам Чукотки для участия в операции по спасе</w:t>
      </w:r>
      <w:r w:rsidRPr="00DE096C">
        <w:rPr>
          <w:bCs/>
          <w:color w:val="002060"/>
          <w:sz w:val="16"/>
          <w:szCs w:val="16"/>
          <w:lang w:val="ru-RU"/>
        </w:rPr>
        <w:softHyphen/>
        <w:t>нию пассажиров и экипажа паро</w:t>
      </w:r>
      <w:r w:rsidRPr="00DE096C">
        <w:rPr>
          <w:bCs/>
          <w:color w:val="002060"/>
          <w:sz w:val="16"/>
          <w:szCs w:val="16"/>
          <w:lang w:val="ru-RU"/>
        </w:rPr>
        <w:softHyphen/>
        <w:t>хода «Челюскин». В Охотском море обнаружились неполадки в силовой установке, и «Совет» зашел в Пет</w:t>
      </w:r>
      <w:r w:rsidRPr="00DE096C">
        <w:rPr>
          <w:bCs/>
          <w:color w:val="002060"/>
          <w:sz w:val="16"/>
          <w:szCs w:val="16"/>
          <w:lang w:val="ru-RU"/>
        </w:rPr>
        <w:softHyphen/>
        <w:t>ропавловск-Камчатский, где сдал груз, после чего судно поставили на длительный ремонт. В конце июля 1938 г., во время советско-японско</w:t>
      </w:r>
      <w:r w:rsidRPr="00DE096C">
        <w:rPr>
          <w:bCs/>
          <w:color w:val="002060"/>
          <w:sz w:val="16"/>
          <w:szCs w:val="16"/>
          <w:lang w:val="ru-RU"/>
        </w:rPr>
        <w:softHyphen/>
        <w:t>го вооруженного конфликта у озе</w:t>
      </w:r>
      <w:r w:rsidRPr="00DE096C">
        <w:rPr>
          <w:bCs/>
          <w:color w:val="002060"/>
          <w:sz w:val="16"/>
          <w:szCs w:val="16"/>
          <w:lang w:val="ru-RU"/>
        </w:rPr>
        <w:softHyphen/>
        <w:t>ра Хасан, пароход занимался пе</w:t>
      </w:r>
      <w:r w:rsidRPr="00DE096C">
        <w:rPr>
          <w:bCs/>
          <w:color w:val="002060"/>
          <w:sz w:val="16"/>
          <w:szCs w:val="16"/>
          <w:lang w:val="ru-RU"/>
        </w:rPr>
        <w:softHyphen/>
        <w:t>ревозкой войск, оружия, боеприпа</w:t>
      </w:r>
      <w:r w:rsidRPr="00DE096C">
        <w:rPr>
          <w:bCs/>
          <w:color w:val="002060"/>
          <w:sz w:val="16"/>
          <w:szCs w:val="16"/>
          <w:lang w:val="ru-RU"/>
        </w:rPr>
        <w:softHyphen/>
        <w:t>сов и военной техники. В годы Ве</w:t>
      </w:r>
      <w:r w:rsidRPr="00DE096C">
        <w:rPr>
          <w:bCs/>
          <w:color w:val="002060"/>
          <w:sz w:val="16"/>
          <w:szCs w:val="16"/>
          <w:lang w:val="ru-RU"/>
        </w:rPr>
        <w:softHyphen/>
        <w:t>ликой Отечественной войны судно, по-видимому, не совершало даль</w:t>
      </w:r>
      <w:r w:rsidRPr="00DE096C">
        <w:rPr>
          <w:bCs/>
          <w:color w:val="002060"/>
          <w:sz w:val="16"/>
          <w:szCs w:val="16"/>
          <w:lang w:val="ru-RU"/>
        </w:rPr>
        <w:softHyphen/>
        <w:t>них плаваний. Его списали на ме</w:t>
      </w:r>
      <w:r w:rsidRPr="00DE096C">
        <w:rPr>
          <w:bCs/>
          <w:color w:val="002060"/>
          <w:sz w:val="16"/>
          <w:szCs w:val="16"/>
          <w:lang w:val="ru-RU"/>
        </w:rPr>
        <w:softHyphen/>
        <w:t>таллолом в 1964 г. (напомним, что построен пароход был в 1903 г.) (11925).</w:t>
      </w:r>
    </w:p>
    <w:p w14:paraId="450E0B14" w14:textId="77777777" w:rsidR="00B67D7C" w:rsidRPr="00DE096C" w:rsidRDefault="00B67D7C" w:rsidP="00D45A46">
      <w:pPr>
        <w:pStyle w:val="a5"/>
        <w:rPr>
          <w:bCs/>
          <w:color w:val="002060"/>
          <w:sz w:val="16"/>
          <w:szCs w:val="16"/>
          <w:lang w:val="ru-RU"/>
        </w:rPr>
      </w:pPr>
    </w:p>
    <w:p w14:paraId="5C2FEAA5" w14:textId="77777777" w:rsidR="008C02D6" w:rsidRPr="00DE096C" w:rsidRDefault="008C02D6" w:rsidP="008C02D6">
      <w:pPr>
        <w:jc w:val="both"/>
        <w:rPr>
          <w:bCs/>
          <w:i/>
          <w:color w:val="002060"/>
          <w:sz w:val="16"/>
          <w:szCs w:val="16"/>
        </w:rPr>
      </w:pPr>
      <w:r w:rsidRPr="00DE096C">
        <w:rPr>
          <w:bCs/>
          <w:i/>
          <w:color w:val="002060"/>
          <w:sz w:val="16"/>
          <w:szCs w:val="16"/>
        </w:rPr>
        <w:t>Самолетостроение:</w:t>
      </w:r>
    </w:p>
    <w:p w14:paraId="3549A5D1" w14:textId="77777777" w:rsidR="008C02D6" w:rsidRPr="00DE096C" w:rsidRDefault="008C02D6" w:rsidP="008C02D6">
      <w:pPr>
        <w:jc w:val="both"/>
        <w:rPr>
          <w:bCs/>
          <w:i/>
          <w:color w:val="002060"/>
          <w:sz w:val="16"/>
          <w:szCs w:val="16"/>
        </w:rPr>
      </w:pPr>
    </w:p>
    <w:p w14:paraId="27F55197" w14:textId="0AD41609" w:rsidR="008C02D6" w:rsidRPr="00B52707" w:rsidRDefault="008C02D6" w:rsidP="008C02D6">
      <w:pPr>
        <w:jc w:val="both"/>
        <w:rPr>
          <w:color w:val="0070C0"/>
          <w:sz w:val="16"/>
          <w:szCs w:val="16"/>
        </w:rPr>
      </w:pPr>
      <w:r w:rsidRPr="00B52707">
        <w:rPr>
          <w:rStyle w:val="ab"/>
          <w:rFonts w:ascii="Times New Roman" w:hAnsi="Times New Roman"/>
          <w:color w:val="0070C0"/>
          <w:spacing w:val="0"/>
          <w:sz w:val="16"/>
          <w:szCs w:val="16"/>
        </w:rPr>
        <w:lastRenderedPageBreak/>
        <w:t>3 (19) июля 1914 г. разобранный и упакованный в 8 ящиков само</w:t>
      </w:r>
      <w:r w:rsidRPr="00B52707">
        <w:rPr>
          <w:rStyle w:val="ab"/>
          <w:rFonts w:ascii="Times New Roman" w:hAnsi="Times New Roman"/>
          <w:color w:val="0070C0"/>
          <w:spacing w:val="0"/>
          <w:sz w:val="16"/>
          <w:szCs w:val="16"/>
        </w:rPr>
        <w:softHyphen/>
        <w:t>лёт «Морис Фарман»</w:t>
      </w:r>
      <w:r w:rsidR="0006581C">
        <w:rPr>
          <w:rStyle w:val="ab"/>
          <w:rFonts w:ascii="Times New Roman" w:hAnsi="Times New Roman"/>
          <w:color w:val="0070C0"/>
          <w:spacing w:val="0"/>
          <w:sz w:val="16"/>
          <w:szCs w:val="16"/>
        </w:rPr>
        <w:t xml:space="preserve"> </w:t>
      </w:r>
      <w:r w:rsidRPr="00B52707">
        <w:rPr>
          <w:rStyle w:val="ab"/>
          <w:rFonts w:ascii="Times New Roman" w:hAnsi="Times New Roman"/>
          <w:color w:val="0070C0"/>
          <w:spacing w:val="0"/>
          <w:sz w:val="16"/>
          <w:szCs w:val="16"/>
        </w:rPr>
        <w:t>на судно «Эклипс» прибыл в порт Александровск. А через 12 дней лётчик вместе с самолётом держал курс к берегам Новой Земли па пароходе «Печора». Для поиска пропавшей экспедиции Г.Я. Седова Ян Иосифович получил задание: произнести обследование береговой линии от Кре</w:t>
      </w:r>
      <w:r w:rsidRPr="00B52707">
        <w:rPr>
          <w:rStyle w:val="ab"/>
          <w:rFonts w:ascii="Times New Roman" w:hAnsi="Times New Roman"/>
          <w:color w:val="0070C0"/>
          <w:spacing w:val="0"/>
          <w:sz w:val="16"/>
          <w:szCs w:val="16"/>
        </w:rPr>
        <w:softHyphen/>
        <w:t>стовой губы до Панкратьевых островов (25653).</w:t>
      </w:r>
    </w:p>
    <w:p w14:paraId="0947CDEC" w14:textId="77777777" w:rsidR="008C02D6" w:rsidRPr="00B52707" w:rsidRDefault="008C02D6" w:rsidP="008C02D6">
      <w:pPr>
        <w:jc w:val="both"/>
        <w:rPr>
          <w:color w:val="0070C0"/>
          <w:sz w:val="16"/>
          <w:szCs w:val="16"/>
        </w:rPr>
      </w:pPr>
    </w:p>
    <w:p w14:paraId="28FB9C3A" w14:textId="0F6B4A24" w:rsidR="00847427" w:rsidRPr="00DE096C" w:rsidRDefault="00847427" w:rsidP="00D45A46">
      <w:pPr>
        <w:shd w:val="clear" w:color="auto" w:fill="FFFFFF"/>
        <w:jc w:val="both"/>
        <w:rPr>
          <w:bCs/>
          <w:i/>
          <w:color w:val="002060"/>
          <w:sz w:val="16"/>
          <w:szCs w:val="16"/>
        </w:rPr>
      </w:pPr>
      <w:r w:rsidRPr="00DE096C">
        <w:rPr>
          <w:bCs/>
          <w:i/>
          <w:color w:val="002060"/>
          <w:sz w:val="16"/>
          <w:szCs w:val="16"/>
        </w:rPr>
        <w:t>Авиация и воздухоплавание Англии:</w:t>
      </w:r>
    </w:p>
    <w:p w14:paraId="57A52959" w14:textId="77777777" w:rsidR="00847427" w:rsidRPr="00DE096C" w:rsidRDefault="00847427" w:rsidP="00D45A46">
      <w:pPr>
        <w:shd w:val="clear" w:color="auto" w:fill="FFFFFF"/>
        <w:jc w:val="both"/>
        <w:rPr>
          <w:bCs/>
          <w:i/>
          <w:color w:val="002060"/>
          <w:sz w:val="16"/>
          <w:szCs w:val="16"/>
        </w:rPr>
      </w:pPr>
    </w:p>
    <w:p w14:paraId="4351EE02" w14:textId="754891F1" w:rsidR="00847427" w:rsidRPr="00DE096C" w:rsidRDefault="00847427" w:rsidP="00D45A46">
      <w:pPr>
        <w:jc w:val="both"/>
        <w:rPr>
          <w:bCs/>
          <w:color w:val="002060"/>
          <w:sz w:val="16"/>
          <w:szCs w:val="16"/>
        </w:rPr>
      </w:pPr>
      <w:r w:rsidRPr="00DE096C">
        <w:rPr>
          <w:bCs/>
          <w:color w:val="002060"/>
          <w:sz w:val="16"/>
          <w:szCs w:val="16"/>
        </w:rPr>
        <w:t>4 (17) июля 1914 </w:t>
      </w:r>
      <w:r w:rsidR="0039784D" w:rsidRPr="00DE096C">
        <w:rPr>
          <w:bCs/>
          <w:color w:val="002060"/>
          <w:sz w:val="16"/>
          <w:szCs w:val="16"/>
        </w:rPr>
        <w:t>состояля п</w:t>
      </w:r>
      <w:r w:rsidRPr="00DE096C">
        <w:rPr>
          <w:bCs/>
          <w:color w:val="002060"/>
          <w:sz w:val="16"/>
          <w:szCs w:val="16"/>
        </w:rPr>
        <w:t>ервый полет Vickers F.B.5 (Fighting Biplane 5) (известный как «Gunbus»), британский двухместный военный биплан Первой мировой войны, первый самолет, специально построенный для воздушного боя.</w:t>
      </w:r>
    </w:p>
    <w:p w14:paraId="39249479" w14:textId="77777777" w:rsidR="00847427" w:rsidRPr="00DE096C" w:rsidRDefault="00847427" w:rsidP="00D45A46">
      <w:pPr>
        <w:jc w:val="both"/>
        <w:rPr>
          <w:bCs/>
          <w:color w:val="002060"/>
          <w:sz w:val="16"/>
          <w:szCs w:val="16"/>
        </w:rPr>
      </w:pPr>
      <w:r w:rsidRPr="00DE096C">
        <w:rPr>
          <w:bCs/>
          <w:color w:val="002060"/>
          <w:sz w:val="16"/>
          <w:szCs w:val="16"/>
        </w:rPr>
        <w:t>Было выпущено более 200 самолетов F.B.5 Gunbus (22427).</w:t>
      </w:r>
    </w:p>
    <w:p w14:paraId="4B60C650" w14:textId="77777777" w:rsidR="00847427" w:rsidRPr="00DE096C" w:rsidRDefault="00847427" w:rsidP="00D45A46">
      <w:pPr>
        <w:jc w:val="both"/>
        <w:rPr>
          <w:bCs/>
          <w:color w:val="002060"/>
          <w:sz w:val="16"/>
          <w:szCs w:val="16"/>
        </w:rPr>
      </w:pPr>
    </w:p>
    <w:p w14:paraId="46CBE8BD" w14:textId="77777777" w:rsidR="004E7A9E" w:rsidRPr="00DE096C" w:rsidRDefault="004E7A9E" w:rsidP="00D45A46">
      <w:pPr>
        <w:jc w:val="both"/>
        <w:rPr>
          <w:bCs/>
          <w:i/>
          <w:color w:val="002060"/>
          <w:sz w:val="16"/>
          <w:szCs w:val="16"/>
        </w:rPr>
      </w:pPr>
      <w:r w:rsidRPr="00DE096C">
        <w:rPr>
          <w:bCs/>
          <w:i/>
          <w:color w:val="002060"/>
          <w:sz w:val="16"/>
          <w:szCs w:val="16"/>
        </w:rPr>
        <w:t>Самолетостроение:</w:t>
      </w:r>
    </w:p>
    <w:p w14:paraId="17AC78C6" w14:textId="77777777" w:rsidR="004E7A9E" w:rsidRPr="00DE096C" w:rsidRDefault="004E7A9E" w:rsidP="00D45A46">
      <w:pPr>
        <w:jc w:val="both"/>
        <w:rPr>
          <w:bCs/>
          <w:i/>
          <w:color w:val="002060"/>
          <w:sz w:val="16"/>
          <w:szCs w:val="16"/>
        </w:rPr>
      </w:pPr>
    </w:p>
    <w:p w14:paraId="4EA1FCCD" w14:textId="1D5DDCD0" w:rsidR="004E7A9E" w:rsidRPr="00DE096C" w:rsidRDefault="004E7A9E" w:rsidP="00D45A46">
      <w:pPr>
        <w:jc w:val="both"/>
        <w:rPr>
          <w:bCs/>
          <w:color w:val="002060"/>
          <w:sz w:val="16"/>
          <w:szCs w:val="16"/>
        </w:rPr>
      </w:pPr>
      <w:r w:rsidRPr="00DE096C">
        <w:rPr>
          <w:bCs/>
          <w:color w:val="002060"/>
          <w:sz w:val="16"/>
          <w:szCs w:val="16"/>
        </w:rPr>
        <w:t xml:space="preserve">7 </w:t>
      </w:r>
      <w:r w:rsidR="0039784D" w:rsidRPr="00DE096C">
        <w:rPr>
          <w:bCs/>
          <w:color w:val="002060"/>
          <w:sz w:val="16"/>
          <w:szCs w:val="16"/>
        </w:rPr>
        <w:t xml:space="preserve">(20) </w:t>
      </w:r>
      <w:r w:rsidRPr="00DE096C">
        <w:rPr>
          <w:bCs/>
          <w:color w:val="002060"/>
          <w:sz w:val="16"/>
          <w:szCs w:val="16"/>
        </w:rPr>
        <w:t>июля в 1914 году мировой рекорд дальности полета за сутки, И.И.Сикорский с двумя пассажирами на самолете «Илья Муромец» (14945).</w:t>
      </w:r>
    </w:p>
    <w:p w14:paraId="376C1924" w14:textId="77777777" w:rsidR="004E7A9E" w:rsidRPr="00DE096C" w:rsidRDefault="004E7A9E" w:rsidP="00D45A46">
      <w:pPr>
        <w:jc w:val="both"/>
        <w:rPr>
          <w:bCs/>
          <w:color w:val="002060"/>
          <w:sz w:val="16"/>
          <w:szCs w:val="16"/>
        </w:rPr>
      </w:pPr>
    </w:p>
    <w:p w14:paraId="490D5DA8"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w:t>
      </w:r>
    </w:p>
    <w:p w14:paraId="20CEDF3C" w14:textId="77777777" w:rsidR="00B67D7C" w:rsidRPr="00DE096C" w:rsidRDefault="00B67D7C" w:rsidP="00D45A46">
      <w:pPr>
        <w:shd w:val="clear" w:color="auto" w:fill="FFFFFF"/>
        <w:jc w:val="both"/>
        <w:rPr>
          <w:bCs/>
          <w:i/>
          <w:color w:val="002060"/>
          <w:sz w:val="16"/>
          <w:szCs w:val="16"/>
        </w:rPr>
      </w:pPr>
    </w:p>
    <w:p w14:paraId="3B56B52C" w14:textId="2F5C5F21"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7 (20) июля 1914 </w:t>
      </w:r>
      <w:r w:rsidR="002B5CC5" w:rsidRPr="00DE096C">
        <w:rPr>
          <w:bCs/>
          <w:color w:val="002060"/>
          <w:sz w:val="16"/>
          <w:szCs w:val="16"/>
        </w:rPr>
        <w:t xml:space="preserve">г. </w:t>
      </w:r>
      <w:r w:rsidRPr="00DE096C">
        <w:rPr>
          <w:bCs/>
          <w:color w:val="002060"/>
          <w:sz w:val="16"/>
          <w:szCs w:val="16"/>
        </w:rPr>
        <w:t>закончился групповой перелет военных летчиков 1-й авиационной роты по круговому маршруту Петербург-Ревелъ-Рига-Юрьев-Петербург,.начатый 16 - июня. Группа состояла из 9 само</w:t>
      </w:r>
      <w:r w:rsidRPr="00DE096C">
        <w:rPr>
          <w:bCs/>
          <w:color w:val="002060"/>
          <w:sz w:val="16"/>
          <w:szCs w:val="16"/>
        </w:rPr>
        <w:softHyphen/>
        <w:t>летов "Нъюпор-4" и одного "Сикорский-12". Их вели 8 офицеров и два солдата. Возглавлял группу штабс-капитан Сергей Аркадьевич Войно-Родзевич. Закончили перелет 6 летчиков. Длина маршрута - 1100 км.</w:t>
      </w:r>
    </w:p>
    <w:p w14:paraId="0871318E" w14:textId="65B94FF8" w:rsidR="00B67D7C" w:rsidRPr="00DE096C" w:rsidRDefault="00B67D7C" w:rsidP="00D45A46">
      <w:pPr>
        <w:shd w:val="clear" w:color="auto" w:fill="FFFFFF"/>
        <w:jc w:val="both"/>
        <w:rPr>
          <w:bCs/>
          <w:color w:val="002060"/>
          <w:sz w:val="16"/>
          <w:szCs w:val="16"/>
        </w:rPr>
      </w:pPr>
    </w:p>
    <w:p w14:paraId="79C4C142" w14:textId="1CDE8BA4" w:rsidR="00FA3F37" w:rsidRPr="00DE096C" w:rsidRDefault="00FA3F37" w:rsidP="00D45A46">
      <w:pPr>
        <w:jc w:val="both"/>
        <w:rPr>
          <w:bCs/>
          <w:color w:val="002060"/>
          <w:sz w:val="16"/>
          <w:szCs w:val="16"/>
        </w:rPr>
      </w:pPr>
      <w:r w:rsidRPr="00DE096C">
        <w:rPr>
          <w:bCs/>
          <w:color w:val="002060"/>
          <w:sz w:val="16"/>
          <w:szCs w:val="16"/>
        </w:rPr>
        <w:t>7 (20) июля 1</w:t>
      </w:r>
      <w:r w:rsidR="002B5CC5" w:rsidRPr="00DE096C">
        <w:rPr>
          <w:bCs/>
          <w:color w:val="002060"/>
          <w:sz w:val="16"/>
          <w:szCs w:val="16"/>
        </w:rPr>
        <w:t>9</w:t>
      </w:r>
      <w:r w:rsidRPr="00DE096C">
        <w:rPr>
          <w:bCs/>
          <w:color w:val="002060"/>
          <w:sz w:val="16"/>
          <w:szCs w:val="16"/>
        </w:rPr>
        <w:t>14 г. закончился групповой перелет военных летчиков по круго</w:t>
      </w:r>
      <w:r w:rsidRPr="00DE096C">
        <w:rPr>
          <w:bCs/>
          <w:color w:val="002060"/>
          <w:sz w:val="16"/>
          <w:szCs w:val="16"/>
        </w:rPr>
        <w:softHyphen/>
        <w:t>вому маршруту Петербург-Ревель-Рига-Юрьев-Петербург, начатый 1б-го июня. Группа состояла из 9 самолетов Ньюпор-4 и одного Сикорский-12. Их вели 8 офицеров и два солдата. Возглавлял группу шт.-капитан Сергей Аркадьевич Бойно-Родзевич. Закончили перелет 6 летчиков, ос</w:t>
      </w:r>
      <w:r w:rsidRPr="00DE096C">
        <w:rPr>
          <w:bCs/>
          <w:color w:val="002060"/>
          <w:sz w:val="16"/>
          <w:szCs w:val="16"/>
        </w:rPr>
        <w:softHyphen/>
        <w:t>тальные вышли из строя в связи с авариями самолетов и моторов. Длина маршрута - 1100 км. За самолетами следовали их механики на авто</w:t>
      </w:r>
      <w:r w:rsidRPr="00DE096C">
        <w:rPr>
          <w:bCs/>
          <w:color w:val="002060"/>
          <w:sz w:val="16"/>
          <w:szCs w:val="16"/>
        </w:rPr>
        <w:softHyphen/>
        <w:t>мобилях с набором инструментов, двух запасных моторов и запасных частей (23320).</w:t>
      </w:r>
    </w:p>
    <w:p w14:paraId="0C36EF59" w14:textId="1EF068BD" w:rsidR="00FA3F37" w:rsidRPr="00DE096C" w:rsidRDefault="00FA3F37" w:rsidP="00D45A46">
      <w:pPr>
        <w:jc w:val="both"/>
        <w:rPr>
          <w:bCs/>
          <w:color w:val="002060"/>
          <w:sz w:val="16"/>
          <w:szCs w:val="16"/>
        </w:rPr>
      </w:pPr>
    </w:p>
    <w:p w14:paraId="12FF0A7D" w14:textId="77777777" w:rsidR="008C02D6" w:rsidRPr="00B52707" w:rsidRDefault="008C02D6" w:rsidP="008C02D6">
      <w:pPr>
        <w:jc w:val="both"/>
        <w:rPr>
          <w:color w:val="0070C0"/>
          <w:sz w:val="16"/>
          <w:szCs w:val="16"/>
        </w:rPr>
      </w:pPr>
      <w:r w:rsidRPr="00B52707">
        <w:rPr>
          <w:color w:val="0070C0"/>
          <w:sz w:val="16"/>
          <w:szCs w:val="16"/>
        </w:rPr>
        <w:t>7 (20) июля 1914 г., при низкой облачности и моросящем дожде, южный пост донес, что видит 4 миноносца противника, идущих вдоль берега в северном направлении. Из-за плохой видимости Лавров не смог вылететь и приказал усилить наблюдение за морем; было 10 часов утра, когда в неясной дымке появились два миноносца. Была объявлена тревога, и команда, вооруженная пулеметами и винтовками, заняла прибрежные окопы.</w:t>
      </w:r>
    </w:p>
    <w:p w14:paraId="5D4211DC" w14:textId="77777777" w:rsidR="008C02D6" w:rsidRPr="00B52707" w:rsidRDefault="008C02D6" w:rsidP="008C02D6">
      <w:pPr>
        <w:jc w:val="both"/>
        <w:rPr>
          <w:color w:val="0070C0"/>
          <w:sz w:val="16"/>
          <w:szCs w:val="16"/>
        </w:rPr>
      </w:pPr>
      <w:r w:rsidRPr="00B52707">
        <w:rPr>
          <w:color w:val="0070C0"/>
          <w:sz w:val="16"/>
          <w:szCs w:val="16"/>
        </w:rPr>
        <w:t>Миноносцы приближались, и за ними показались еще два миноносца. Передний корабль открыл огонь, но снаряды ложились с большим перелетом. Когда второй миноносец стал стрелять, Лавров, ввиду опасности высадки десанта и захвата «муромца», приказал открыть бензиновые краники и поджечь корабль.</w:t>
      </w:r>
    </w:p>
    <w:p w14:paraId="4AB40475" w14:textId="77777777" w:rsidR="008C02D6" w:rsidRPr="00B52707" w:rsidRDefault="008C02D6" w:rsidP="008C02D6">
      <w:pPr>
        <w:jc w:val="both"/>
        <w:rPr>
          <w:color w:val="0070C0"/>
          <w:sz w:val="16"/>
          <w:szCs w:val="16"/>
        </w:rPr>
      </w:pPr>
      <w:r w:rsidRPr="00B52707">
        <w:rPr>
          <w:color w:val="0070C0"/>
          <w:sz w:val="16"/>
          <w:szCs w:val="16"/>
        </w:rPr>
        <w:t>Немцы наблюдали большой пожар, окончившийся взрывом бензобаков, и донесли, вероятно, о взрыве склада боеприпасов. Так неудачно кончился опыт с гидросамолетом «Илья Муромец». Впоследствии установка «муромцев» на поплавки не повторялась (24965).</w:t>
      </w:r>
    </w:p>
    <w:p w14:paraId="771BC6AE" w14:textId="77777777" w:rsidR="008C02D6" w:rsidRPr="00B52707" w:rsidRDefault="008C02D6" w:rsidP="008C02D6">
      <w:pPr>
        <w:jc w:val="both"/>
        <w:rPr>
          <w:color w:val="0070C0"/>
          <w:sz w:val="16"/>
          <w:szCs w:val="16"/>
        </w:rPr>
      </w:pPr>
    </w:p>
    <w:p w14:paraId="7986BC85"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 и воздухоплавание Франции:</w:t>
      </w:r>
    </w:p>
    <w:p w14:paraId="40FB3367" w14:textId="77777777" w:rsidR="00B67D7C" w:rsidRPr="00DE096C" w:rsidRDefault="00B67D7C" w:rsidP="00D45A46">
      <w:pPr>
        <w:shd w:val="clear" w:color="auto" w:fill="FFFFFF"/>
        <w:jc w:val="both"/>
        <w:rPr>
          <w:bCs/>
          <w:i/>
          <w:color w:val="002060"/>
          <w:sz w:val="16"/>
          <w:szCs w:val="16"/>
        </w:rPr>
      </w:pPr>
    </w:p>
    <w:p w14:paraId="7FEFBE45" w14:textId="345941B9"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8 (21) июля 1914 года Гарро продемонстрировал новый аэроплан</w:t>
      </w:r>
      <w:r w:rsidR="0039784D" w:rsidRPr="00DE096C">
        <w:rPr>
          <w:bCs/>
          <w:i w:val="0"/>
          <w:color w:val="002060"/>
          <w:spacing w:val="0"/>
          <w:kern w:val="0"/>
          <w:position w:val="0"/>
          <w:sz w:val="16"/>
          <w:szCs w:val="16"/>
        </w:rPr>
        <w:t xml:space="preserve"> "Моран-Солнье" тип N, который стал дальнейшим развитием идеи своего моноплана для фирмы</w:t>
      </w:r>
      <w:r w:rsidRPr="00DE096C">
        <w:rPr>
          <w:bCs/>
          <w:i w:val="0"/>
          <w:color w:val="002060"/>
          <w:spacing w:val="0"/>
          <w:kern w:val="0"/>
          <w:position w:val="0"/>
          <w:sz w:val="16"/>
          <w:szCs w:val="16"/>
        </w:rPr>
        <w:t>. Это был знакомый тип Н, но с многогранным фюзеляжем, состоящим из реек с полотняной обшивкой, получившим название "монокок". (Впоследствии этот термин приобрел другое значение). На самолете появился киль с рулем поворота, а на винт надевался большой кок. Все это придавало самолету хорошо обтекаемую каплевидную форму. Это дало заметный прирост скорости. Но самолет стал более строгим в управлении и не обрел популярности у пилотов. Построено всего 49 экземпляров в период с мая 1915 по июнь 1916 года. Кроме версии "N" с мотором "Рон" в 60 л. с., строится модификация "I" с 80-сильным мотором и версия V с увеличенной продолжительностью полета до 3,5 часа (у "N" она составляла 1,5 час, у "I" - 1,75 часа). Эти "Мораны" поступили на вооружение в эскадрильи MS. 12 и 49, где на них воевали такие асы, как Жан Наварр и Адольф Пегу (11265).</w:t>
      </w:r>
    </w:p>
    <w:p w14:paraId="2B6364B0" w14:textId="77777777" w:rsidR="00B67D7C" w:rsidRPr="00DE096C" w:rsidRDefault="00B67D7C" w:rsidP="00D45A46">
      <w:pPr>
        <w:pStyle w:val="a3"/>
        <w:jc w:val="both"/>
        <w:rPr>
          <w:bCs/>
          <w:i w:val="0"/>
          <w:color w:val="002060"/>
          <w:spacing w:val="0"/>
          <w:kern w:val="0"/>
          <w:position w:val="0"/>
          <w:sz w:val="16"/>
          <w:szCs w:val="16"/>
        </w:rPr>
      </w:pPr>
    </w:p>
    <w:p w14:paraId="1F1A8516" w14:textId="77777777" w:rsidR="004E7A9E" w:rsidRPr="00DE096C" w:rsidRDefault="004E7A9E" w:rsidP="00D45A46">
      <w:pPr>
        <w:jc w:val="both"/>
        <w:rPr>
          <w:bCs/>
          <w:color w:val="002060"/>
          <w:sz w:val="16"/>
          <w:szCs w:val="16"/>
        </w:rPr>
      </w:pPr>
      <w:r w:rsidRPr="00DE096C">
        <w:rPr>
          <w:bCs/>
          <w:color w:val="002060"/>
          <w:sz w:val="16"/>
          <w:szCs w:val="16"/>
        </w:rPr>
        <w:t xml:space="preserve">8 (21) июля в 1914 году Роллан Гарро продемонстрировал новый аэроплан фирмы «Morane-Saulnier» самолет </w:t>
      </w:r>
      <w:hyperlink r:id="rId30" w:tgtFrame="_blank" w:history="1">
        <w:r w:rsidRPr="00DE096C">
          <w:rPr>
            <w:bCs/>
            <w:color w:val="002060"/>
            <w:sz w:val="16"/>
            <w:szCs w:val="16"/>
          </w:rPr>
          <w:t xml:space="preserve">«Morane-Saulnie»r «Type H» </w:t>
        </w:r>
      </w:hyperlink>
      <w:r w:rsidRPr="00DE096C">
        <w:rPr>
          <w:bCs/>
          <w:color w:val="002060"/>
          <w:sz w:val="16"/>
          <w:szCs w:val="16"/>
        </w:rPr>
        <w:t>с мотором "Рон" в 60 л. с.. Это был знакомый «тип Н», но с многогранным фюзеляжем, состоящим из реек с полотняной обшивкой, получившим название "монокок". (Впоследствии этот термин приобрел другое значение). На самолете появился киль с рулем поворота, а на винт надевался большой кок. Все это придавало самолету хорошо обтекаемую каплевидную форму. Это дало заметный прирост скорости. Но самолет стал более строгим в управлении и не обрел популярности у пилотов. Построено всего 49 экземпляров в период с мая 1915 по июнь 1916 года. Самолет «Type N» был так же известен во Франции как «Morane Monocoque», а в Британии как «Morane Bullet». Мораны пользовались большой популярностью в России. Наиболее яркими эпизодами боевой работы "Моранов" в России были подвиги П.Н.Нестерова и А.А.Казакова, неоднократно описанные в различных источниках. Интересно, что не получивший широкого распространения во Франции "Моран - монокок" стал одним из наиболее известных в 1916 году истребителей в России. Произошло это во многом благодаря тому, что на этих машинах (у нас их называли "Мормон") воевала самая результативная на русско-германском фронте первая боевая авиагруппа Казакова. Всею в нашу страну поступило 11 "Мормонов" (14959).</w:t>
      </w:r>
    </w:p>
    <w:p w14:paraId="57706BF7" w14:textId="1E04A4EB" w:rsidR="004E7A9E" w:rsidRPr="00DE096C" w:rsidRDefault="004E7A9E" w:rsidP="00D45A46">
      <w:pPr>
        <w:jc w:val="both"/>
        <w:rPr>
          <w:bCs/>
          <w:color w:val="002060"/>
          <w:sz w:val="16"/>
          <w:szCs w:val="16"/>
        </w:rPr>
      </w:pPr>
    </w:p>
    <w:p w14:paraId="122066D0" w14:textId="4409A1CA" w:rsidR="00847427" w:rsidRPr="00DE096C" w:rsidRDefault="00847427" w:rsidP="00D45A46">
      <w:pPr>
        <w:jc w:val="both"/>
        <w:rPr>
          <w:bCs/>
          <w:color w:val="002060"/>
          <w:sz w:val="16"/>
          <w:szCs w:val="16"/>
        </w:rPr>
      </w:pPr>
      <w:r w:rsidRPr="00DE096C">
        <w:rPr>
          <w:bCs/>
          <w:color w:val="002060"/>
          <w:sz w:val="16"/>
          <w:szCs w:val="16"/>
        </w:rPr>
        <w:t>8 (21) июля 1914 </w:t>
      </w:r>
      <w:r w:rsidR="0039784D" w:rsidRPr="00DE096C">
        <w:rPr>
          <w:bCs/>
          <w:color w:val="002060"/>
          <w:sz w:val="16"/>
          <w:szCs w:val="16"/>
        </w:rPr>
        <w:t xml:space="preserve">г. </w:t>
      </w:r>
      <w:r w:rsidRPr="00DE096C">
        <w:rPr>
          <w:bCs/>
          <w:color w:val="002060"/>
          <w:sz w:val="16"/>
          <w:szCs w:val="16"/>
        </w:rPr>
        <w:t>Роллан Гарро продемонстрировал новый аэроплан фирмы Morane-Saulnier самолет Morane-Saulnier Type N с мотором "Рон" в 60 л. с.. Это был знакомый тип Н, но с многогранным фюзеляжем, состоящим из реек с полотняной обшивкой, получившим название "монокок". (Впоследствии этот термин приобрел другое значение). На самолете появился киль с рулем поворота, а на винт надевался большой кок. Все это придавало самолету хорошо обтекаемую каплевидную форму. Это дало заметный прирост скорости. Но самолет стал более строгим в управлении и не обрел популярности у пилотов. Построено всего 49 экземпляров в период с мая 1915 по июнь 1916 года. Самолет Type N был так же известен во Франции как Morane Monocoque, а в Британии как Morane Bullet. Мораны пользовались большой популярностью в России. Наиболее яркими эпизодами боевой работы "Моранов" в России были подвиги П.Н.Нестерова и А.А.Казакова, неоднократно описанные в различных источниках. Интересно, что не получивший широкого распространения во Франции "Моран - монокок" стал одним из наиболее известных в 1916 году истребителей в России. Произошло это во многом благодаря тому, что на этих машинах (у нас их называли "Мормон") воевала самая результативная на русско-германском фронте первая боевая авиагруппа Казакова.Всего в нашу страну поступило 11 "Мормонов" (22423).</w:t>
      </w:r>
    </w:p>
    <w:p w14:paraId="0014E985" w14:textId="77777777" w:rsidR="00847427" w:rsidRPr="00DE096C" w:rsidRDefault="00847427" w:rsidP="00D45A46">
      <w:pPr>
        <w:shd w:val="clear" w:color="auto" w:fill="FFFFFF"/>
        <w:jc w:val="both"/>
        <w:rPr>
          <w:bCs/>
          <w:color w:val="002060"/>
          <w:sz w:val="16"/>
          <w:szCs w:val="16"/>
        </w:rPr>
      </w:pPr>
    </w:p>
    <w:p w14:paraId="0EEACDCE" w14:textId="77777777" w:rsidR="00864696" w:rsidRPr="00DE096C" w:rsidRDefault="00864696" w:rsidP="00D45A46">
      <w:pPr>
        <w:jc w:val="both"/>
        <w:rPr>
          <w:bCs/>
          <w:i/>
          <w:color w:val="002060"/>
          <w:sz w:val="16"/>
          <w:szCs w:val="16"/>
        </w:rPr>
      </w:pPr>
      <w:r w:rsidRPr="00DE096C">
        <w:rPr>
          <w:bCs/>
          <w:i/>
          <w:color w:val="002060"/>
          <w:sz w:val="16"/>
          <w:szCs w:val="16"/>
        </w:rPr>
        <w:t>Другие оборонные отрасли:</w:t>
      </w:r>
    </w:p>
    <w:p w14:paraId="60E620F7" w14:textId="77777777" w:rsidR="00864696" w:rsidRPr="00DE096C" w:rsidRDefault="00864696" w:rsidP="00D45A46">
      <w:pPr>
        <w:jc w:val="both"/>
        <w:rPr>
          <w:bCs/>
          <w:i/>
          <w:color w:val="002060"/>
          <w:sz w:val="16"/>
          <w:szCs w:val="16"/>
        </w:rPr>
      </w:pPr>
    </w:p>
    <w:p w14:paraId="778B885B" w14:textId="4C48D8D5" w:rsidR="00864696" w:rsidRPr="00DE096C" w:rsidRDefault="00864696" w:rsidP="00D45A46">
      <w:pPr>
        <w:jc w:val="both"/>
        <w:rPr>
          <w:bCs/>
          <w:color w:val="002060"/>
          <w:sz w:val="16"/>
          <w:szCs w:val="16"/>
        </w:rPr>
      </w:pPr>
      <w:r w:rsidRPr="00DE096C">
        <w:rPr>
          <w:bCs/>
          <w:color w:val="002060"/>
          <w:sz w:val="16"/>
          <w:szCs w:val="16"/>
        </w:rPr>
        <w:t xml:space="preserve">9 </w:t>
      </w:r>
      <w:r w:rsidR="0039784D" w:rsidRPr="00DE096C">
        <w:rPr>
          <w:bCs/>
          <w:color w:val="002060"/>
          <w:sz w:val="16"/>
          <w:szCs w:val="16"/>
        </w:rPr>
        <w:t xml:space="preserve">(22) </w:t>
      </w:r>
      <w:r w:rsidRPr="00DE096C">
        <w:rPr>
          <w:bCs/>
          <w:color w:val="002060"/>
          <w:sz w:val="16"/>
          <w:szCs w:val="16"/>
        </w:rPr>
        <w:t>июля 1914 г. была полностью готова открытая батарея форта Ино, которая получила № 13. Башенная батарея вошла в штат 16 октября 1915 г. под № 12. По окончательному проекту (в 1912 г. для «Ино») на каждом форту устанавливалось по 8 орудий 12/52-дм. На форту «Ино» должны быть установлены две двухорудийных башни МБ-2-12 и четыре открытых установки (журавли). Такое решение ГАУ было принято из тех соображений, что в случае выхода из строя по техническим причинам или в результате огневого воздействия противника одной башни, на форту оставалась бы ещё одна башня и четыре открытых установки. Башенная установка имела один существенный недостаток, в случае попадания снаряда противника в стык брони башни с бетонной поверхностью батарей, башню могло заклинить, и при абсолютно исправных орудиях и механизмах башни, батарея теряла 2 орудия. На Обуховском заводе спроектировали и изготовили тела орудий. Лафеты и башни проектировал и изготавливал Металлический завод. Только по заказу ГАУ ОСЗ изготовил к 1917 г. 35 тел орудий. Орудие оказалось настолько удачным, что прослужило без малого 100 лет. Для открытых установок Р. А. Дурляхер спроектировал береговой лафет. Этот лафет и дал в просторечье название установке — «журавль». В январе 1915 г. форт «Ино» был введён в штат боевых оборонительных сооружений крепости «Кронштадт» с присвоением наименования «Николаевский». На конец 1916 г. на вооружении форта были восемь 12-дм пушек, восемь 10-дм пушек, восемь 6-дм пушек и восемь 11 - дм мортир. На этих батареях предусматривались казематы для орудийной прислуги и для боезапаса, электростанции, вентиляционное оборудование и паровое отопление (15132).</w:t>
      </w:r>
    </w:p>
    <w:p w14:paraId="3EFB0917" w14:textId="77777777" w:rsidR="00864696" w:rsidRPr="00DE096C" w:rsidRDefault="00864696" w:rsidP="00D45A46">
      <w:pPr>
        <w:jc w:val="both"/>
        <w:rPr>
          <w:bCs/>
          <w:color w:val="002060"/>
          <w:sz w:val="16"/>
          <w:szCs w:val="16"/>
        </w:rPr>
      </w:pPr>
    </w:p>
    <w:p w14:paraId="11A1F979" w14:textId="23FC000D" w:rsidR="00073939" w:rsidRPr="00DE096C" w:rsidRDefault="00073939" w:rsidP="00D45A46">
      <w:pPr>
        <w:jc w:val="both"/>
        <w:rPr>
          <w:bCs/>
          <w:i/>
          <w:color w:val="002060"/>
          <w:sz w:val="16"/>
          <w:szCs w:val="16"/>
        </w:rPr>
      </w:pPr>
      <w:r w:rsidRPr="00DE096C">
        <w:rPr>
          <w:bCs/>
          <w:i/>
          <w:color w:val="002060"/>
          <w:sz w:val="16"/>
          <w:szCs w:val="16"/>
        </w:rPr>
        <w:t>Самолетостроение:</w:t>
      </w:r>
    </w:p>
    <w:p w14:paraId="3DB98CF2" w14:textId="77777777" w:rsidR="00073939" w:rsidRPr="00DE096C" w:rsidRDefault="00073939" w:rsidP="00D45A46">
      <w:pPr>
        <w:jc w:val="both"/>
        <w:rPr>
          <w:bCs/>
          <w:i/>
          <w:color w:val="002060"/>
          <w:sz w:val="16"/>
          <w:szCs w:val="16"/>
        </w:rPr>
      </w:pPr>
    </w:p>
    <w:p w14:paraId="1260E560" w14:textId="09CE2E09" w:rsidR="00073939" w:rsidRPr="00DE096C" w:rsidRDefault="00073939" w:rsidP="00D45A46">
      <w:pPr>
        <w:jc w:val="both"/>
        <w:rPr>
          <w:bCs/>
          <w:color w:val="002060"/>
          <w:sz w:val="16"/>
          <w:szCs w:val="16"/>
          <w:lang w:bidi="en-US"/>
        </w:rPr>
      </w:pPr>
      <w:r w:rsidRPr="00DE096C">
        <w:rPr>
          <w:bCs/>
          <w:color w:val="002060"/>
          <w:sz w:val="16"/>
          <w:szCs w:val="16"/>
          <w:lang w:bidi="en-US"/>
        </w:rPr>
        <w:t xml:space="preserve">10 </w:t>
      </w:r>
      <w:r w:rsidR="00130210" w:rsidRPr="00DE096C">
        <w:rPr>
          <w:bCs/>
          <w:color w:val="002060"/>
          <w:sz w:val="16"/>
          <w:szCs w:val="16"/>
          <w:lang w:bidi="en-US"/>
        </w:rPr>
        <w:t xml:space="preserve">(23) </w:t>
      </w:r>
      <w:r w:rsidRPr="00DE096C">
        <w:rPr>
          <w:bCs/>
          <w:color w:val="002060"/>
          <w:sz w:val="16"/>
          <w:szCs w:val="16"/>
          <w:lang w:bidi="en-US"/>
        </w:rPr>
        <w:t xml:space="preserve">июля 1914 г. Игорь Иванович Сикорский с экипажем летчика Штабс Капитан Х.Ф. Пруссис, штурман и летчик лейтенант Г.И. Лавров и инженер В.С. Панасюк совершили рекордный перелет 1100 км на своем гигантском четырехмоторном «Илье Муромце Бех-1» (№ 128) с Корпусного аэродрома в Санкт-Петербурге на аэродром Куреневский в Киеве. , что заняло шесть часов и тридцать три минуты. Была дозаправка в Орше, ненастная погода и возгорание в одном двигателе, которое быстро потушили, хотя бы утром следующего дня в Киев. Обратный перелет в Санкт-Петербург с одной дозаправкой занял тринадцать часов, установив мировой рекорд дальности. В конце июля царь окрестил корабль ИМ «Кораблей Киевский» (Киевский корабль) в честь рейса в Киев и из Киева. К сентябрю 1914 г. было поставлено еще десять типов </w:t>
      </w:r>
      <w:r w:rsidRPr="00DE096C">
        <w:rPr>
          <w:bCs/>
          <w:color w:val="002060"/>
          <w:sz w:val="16"/>
          <w:szCs w:val="16"/>
          <w:lang w:val="en-US" w:bidi="en-US"/>
        </w:rPr>
        <w:t>Beh</w:t>
      </w:r>
      <w:r w:rsidRPr="00DE096C">
        <w:rPr>
          <w:bCs/>
          <w:color w:val="002060"/>
          <w:sz w:val="16"/>
          <w:szCs w:val="16"/>
          <w:lang w:bidi="en-US"/>
        </w:rPr>
        <w:t>, №№ 135–144 (23525).</w:t>
      </w:r>
    </w:p>
    <w:p w14:paraId="2A4C55F7" w14:textId="77777777" w:rsidR="00073939" w:rsidRPr="00DE096C" w:rsidRDefault="00073939" w:rsidP="00D45A46">
      <w:pPr>
        <w:jc w:val="both"/>
        <w:rPr>
          <w:bCs/>
          <w:color w:val="002060"/>
          <w:sz w:val="16"/>
          <w:szCs w:val="16"/>
        </w:rPr>
      </w:pPr>
    </w:p>
    <w:p w14:paraId="3F987EEA" w14:textId="0DEC4FAE" w:rsidR="00864696" w:rsidRPr="00DE096C" w:rsidRDefault="00864696" w:rsidP="00D45A46">
      <w:pPr>
        <w:jc w:val="both"/>
        <w:rPr>
          <w:bCs/>
          <w:i/>
          <w:color w:val="002060"/>
          <w:sz w:val="16"/>
          <w:szCs w:val="16"/>
        </w:rPr>
      </w:pPr>
      <w:r w:rsidRPr="00DE096C">
        <w:rPr>
          <w:bCs/>
          <w:i/>
          <w:color w:val="002060"/>
          <w:sz w:val="16"/>
          <w:szCs w:val="16"/>
        </w:rPr>
        <w:t>Другие оборонные отрасли:</w:t>
      </w:r>
    </w:p>
    <w:p w14:paraId="58499C64" w14:textId="77777777" w:rsidR="00864696" w:rsidRPr="00DE096C" w:rsidRDefault="00864696" w:rsidP="00D45A46">
      <w:pPr>
        <w:jc w:val="both"/>
        <w:rPr>
          <w:bCs/>
          <w:i/>
          <w:color w:val="002060"/>
          <w:sz w:val="16"/>
          <w:szCs w:val="16"/>
        </w:rPr>
      </w:pPr>
    </w:p>
    <w:p w14:paraId="1B0189D0" w14:textId="3B465BD5" w:rsidR="00864696" w:rsidRPr="00DE096C" w:rsidRDefault="00864696" w:rsidP="00D45A46">
      <w:pPr>
        <w:jc w:val="both"/>
        <w:rPr>
          <w:bCs/>
          <w:color w:val="002060"/>
          <w:sz w:val="16"/>
          <w:szCs w:val="16"/>
        </w:rPr>
      </w:pPr>
      <w:r w:rsidRPr="00DE096C">
        <w:rPr>
          <w:bCs/>
          <w:color w:val="002060"/>
          <w:sz w:val="16"/>
          <w:szCs w:val="16"/>
        </w:rPr>
        <w:t xml:space="preserve">10 </w:t>
      </w:r>
      <w:r w:rsidR="0039784D" w:rsidRPr="00DE096C">
        <w:rPr>
          <w:bCs/>
          <w:color w:val="002060"/>
          <w:sz w:val="16"/>
          <w:szCs w:val="16"/>
        </w:rPr>
        <w:t xml:space="preserve">(23) </w:t>
      </w:r>
      <w:r w:rsidRPr="00DE096C">
        <w:rPr>
          <w:bCs/>
          <w:color w:val="002060"/>
          <w:sz w:val="16"/>
          <w:szCs w:val="16"/>
        </w:rPr>
        <w:t>июля 1914 г. на</w:t>
      </w:r>
      <w:r w:rsidR="0039784D" w:rsidRPr="00DE096C">
        <w:rPr>
          <w:bCs/>
          <w:color w:val="002060"/>
          <w:sz w:val="16"/>
          <w:szCs w:val="16"/>
        </w:rPr>
        <w:t xml:space="preserve"> </w:t>
      </w:r>
      <w:r w:rsidRPr="00DE096C">
        <w:rPr>
          <w:bCs/>
          <w:color w:val="002060"/>
          <w:sz w:val="16"/>
          <w:szCs w:val="16"/>
        </w:rPr>
        <w:t>заседании СМ глава землеустроительного ведомства А.В. Кривошеий сожалел, что «программа нашего вооружения не закончена», и сомневался, «способны ли будут наши армия и флот равняться с Германией и Австро-Венгрией. Наши промышленные и культурные достижения, — говорил Кривошеий, — были настолько различны с вышеназванными странами, что для нас невозможно в настоящее время достигнуть даже одинакового уровня с ними». Сухомлинов и морской министр И.К. Григорович подтвердили, что программы не закончены и что не приходится рассчитывать на «превосходство наших сил в случае возникновения конфликта с Тройственным Союзом». Министр финансов П.Л. Барк, уходя с заседания, сказал Кривошеину, что его «чрезвычайно тревожила» нависшая опасность: «Я очень сомневаюсь, чтобы военное и морское ведомства оказались на высоте современных требований; война с Японией показала, насколько наша военная техника отстала во всех областях, и если нам тогда с маленькой Японией не удалось справиться, то тем менее мы будем в силах сражаться с таким организованным противником, как Германия, даже если бы мы за восемь лет и улучшили наше военное снаряжение». Кривошеий ответил, что «он также смотрит очень мрачно на исход вооруженного столкновения» (18409).</w:t>
      </w:r>
    </w:p>
    <w:p w14:paraId="2510B01B" w14:textId="77777777" w:rsidR="00864696" w:rsidRPr="00DE096C" w:rsidRDefault="00864696" w:rsidP="00D45A46">
      <w:pPr>
        <w:jc w:val="both"/>
        <w:rPr>
          <w:bCs/>
          <w:color w:val="002060"/>
          <w:sz w:val="16"/>
          <w:szCs w:val="16"/>
        </w:rPr>
      </w:pPr>
    </w:p>
    <w:p w14:paraId="381B5834" w14:textId="002492D2" w:rsidR="00073939" w:rsidRPr="00DE096C" w:rsidRDefault="00073939" w:rsidP="00D45A46">
      <w:pPr>
        <w:pStyle w:val="af7"/>
        <w:spacing w:line="240" w:lineRule="auto"/>
        <w:jc w:val="both"/>
        <w:rPr>
          <w:rFonts w:ascii="Times New Roman" w:hAnsi="Times New Roman" w:cs="Times New Roman"/>
          <w:bCs/>
          <w:color w:val="002060"/>
          <w:sz w:val="16"/>
          <w:szCs w:val="16"/>
          <w:lang w:eastAsia="ru-RU" w:bidi="ru-RU"/>
        </w:rPr>
      </w:pPr>
      <w:r w:rsidRPr="00DE096C">
        <w:rPr>
          <w:rFonts w:ascii="Times New Roman" w:hAnsi="Times New Roman" w:cs="Times New Roman"/>
          <w:bCs/>
          <w:color w:val="002060"/>
          <w:sz w:val="16"/>
          <w:szCs w:val="16"/>
        </w:rPr>
        <w:t xml:space="preserve">10 </w:t>
      </w:r>
      <w:r w:rsidR="00130210" w:rsidRPr="00DE096C">
        <w:rPr>
          <w:rFonts w:ascii="Times New Roman" w:hAnsi="Times New Roman" w:cs="Times New Roman"/>
          <w:bCs/>
          <w:color w:val="002060"/>
          <w:sz w:val="16"/>
          <w:szCs w:val="16"/>
        </w:rPr>
        <w:t xml:space="preserve">(23) </w:t>
      </w:r>
      <w:r w:rsidRPr="00DE096C">
        <w:rPr>
          <w:rFonts w:ascii="Times New Roman" w:hAnsi="Times New Roman" w:cs="Times New Roman"/>
          <w:bCs/>
          <w:color w:val="002060"/>
          <w:sz w:val="16"/>
          <w:szCs w:val="16"/>
        </w:rPr>
        <w:t>июля 1914 г., Совет министров вполне понимал неготовность к войне и на заседании (</w:t>
      </w:r>
      <w:r w:rsidRPr="00DE096C">
        <w:rPr>
          <w:rFonts w:ascii="Times New Roman" w:hAnsi="Times New Roman" w:cs="Times New Roman"/>
          <w:bCs/>
          <w:color w:val="002060"/>
          <w:sz w:val="16"/>
          <w:szCs w:val="16"/>
          <w:lang w:eastAsia="ru-RU" w:bidi="ru-RU"/>
        </w:rPr>
        <w:t>«Государство и монополии» и другие работы К.Ф. Шацилло; Барк П.Л. Июльские дни 1914 года // Возрождение. Париж. 1959. Июль. № 91. С. 22-25.</w:t>
      </w:r>
      <w:r w:rsidRPr="00DE096C">
        <w:rPr>
          <w:rFonts w:ascii="Times New Roman" w:hAnsi="Times New Roman" w:cs="Times New Roman"/>
          <w:bCs/>
          <w:color w:val="002060"/>
          <w:sz w:val="16"/>
          <w:szCs w:val="16"/>
        </w:rPr>
        <w:t>) глава землеустроительного ведомства А.В. Кривошеин сожалел, что «программа наше</w:t>
      </w:r>
      <w:r w:rsidRPr="00DE096C">
        <w:rPr>
          <w:rFonts w:ascii="Times New Roman" w:hAnsi="Times New Roman" w:cs="Times New Roman"/>
          <w:bCs/>
          <w:color w:val="002060"/>
          <w:sz w:val="16"/>
          <w:szCs w:val="16"/>
        </w:rPr>
        <w:softHyphen/>
        <w:t>го вооружения не закончена», и сомневался, «способны ли будут наши армия и флот равняться с Германией и Австро- Венгрией. Наши промышленные и культурные достиже</w:t>
      </w:r>
      <w:r w:rsidRPr="00DE096C">
        <w:rPr>
          <w:rFonts w:ascii="Times New Roman" w:hAnsi="Times New Roman" w:cs="Times New Roman"/>
          <w:bCs/>
          <w:color w:val="002060"/>
          <w:sz w:val="16"/>
          <w:szCs w:val="16"/>
        </w:rPr>
        <w:softHyphen/>
        <w:t>ния, — говорил Кривошеин, — были настолько различны с вышеназванными странами, что для нас невозможно в настоящее время достигнуть даже одинакового уровня с ними». Сухомлинов и морской министр И.К. Григорович подтвердили, что программы не закончены и что не при</w:t>
      </w:r>
      <w:r w:rsidRPr="00DE096C">
        <w:rPr>
          <w:rFonts w:ascii="Times New Roman" w:hAnsi="Times New Roman" w:cs="Times New Roman"/>
          <w:bCs/>
          <w:color w:val="002060"/>
          <w:sz w:val="16"/>
          <w:szCs w:val="16"/>
        </w:rPr>
        <w:softHyphen/>
        <w:t>ходится рассчитывать на «превосходство наших сил в слу</w:t>
      </w:r>
      <w:r w:rsidRPr="00DE096C">
        <w:rPr>
          <w:rFonts w:ascii="Times New Roman" w:hAnsi="Times New Roman" w:cs="Times New Roman"/>
          <w:bCs/>
          <w:color w:val="002060"/>
          <w:sz w:val="16"/>
          <w:szCs w:val="16"/>
        </w:rPr>
        <w:softHyphen/>
        <w:t>чае возникновения конфликта с Тройственным Союзом». Министр финансов П.Л. Барк, уходя с заседания, сказал Кривошеину, что его «чрезвычайно тревожила» нависшая опасность: «Я очень сомневаюсь, чтобы военное и морское ведомства оказались на высоте современных требований; война с Японией показала, насколько наша военная техни</w:t>
      </w:r>
      <w:r w:rsidRPr="00DE096C">
        <w:rPr>
          <w:rFonts w:ascii="Times New Roman" w:hAnsi="Times New Roman" w:cs="Times New Roman"/>
          <w:bCs/>
          <w:color w:val="002060"/>
          <w:sz w:val="16"/>
          <w:szCs w:val="16"/>
        </w:rPr>
        <w:softHyphen/>
        <w:t>ка отстала во всех областях, и если нам тогда с маленькой Японией не удалось справиться, то тем менее мы будем в силах сражаться с таким организованным противником, как Германия, даже если бы мы за восемь лет и улучшили наше военное снаряжение». Кривошеин ответил, что «он также смотрит очень мрачно на исход вооруженного столк</w:t>
      </w:r>
      <w:r w:rsidRPr="00DE096C">
        <w:rPr>
          <w:rFonts w:ascii="Times New Roman" w:hAnsi="Times New Roman" w:cs="Times New Roman"/>
          <w:bCs/>
          <w:color w:val="002060"/>
          <w:sz w:val="16"/>
          <w:szCs w:val="16"/>
        </w:rPr>
        <w:softHyphen/>
        <w:t>новения» (23452).</w:t>
      </w:r>
    </w:p>
    <w:p w14:paraId="0C1382A8" w14:textId="77777777" w:rsidR="00073939" w:rsidRPr="00DE096C" w:rsidRDefault="00073939" w:rsidP="00D45A46">
      <w:pPr>
        <w:jc w:val="both"/>
        <w:rPr>
          <w:bCs/>
          <w:color w:val="002060"/>
          <w:sz w:val="16"/>
          <w:szCs w:val="16"/>
          <w:lang w:bidi="ru-RU"/>
        </w:rPr>
      </w:pPr>
    </w:p>
    <w:p w14:paraId="1748448D" w14:textId="77777777" w:rsidR="002164F7" w:rsidRPr="00DE096C" w:rsidRDefault="002164F7" w:rsidP="00D45A46">
      <w:pPr>
        <w:jc w:val="both"/>
        <w:rPr>
          <w:bCs/>
          <w:i/>
          <w:color w:val="002060"/>
          <w:sz w:val="16"/>
          <w:szCs w:val="16"/>
        </w:rPr>
      </w:pPr>
      <w:r w:rsidRPr="00DE096C">
        <w:rPr>
          <w:bCs/>
          <w:i/>
          <w:color w:val="002060"/>
          <w:sz w:val="16"/>
          <w:szCs w:val="16"/>
        </w:rPr>
        <w:t>Жизнь и внутренячя политика:</w:t>
      </w:r>
    </w:p>
    <w:p w14:paraId="4A7A9A4E" w14:textId="77777777" w:rsidR="002164F7" w:rsidRPr="00DE096C" w:rsidRDefault="002164F7" w:rsidP="00D45A46">
      <w:pPr>
        <w:jc w:val="both"/>
        <w:rPr>
          <w:bCs/>
          <w:i/>
          <w:color w:val="002060"/>
          <w:sz w:val="16"/>
          <w:szCs w:val="16"/>
        </w:rPr>
      </w:pPr>
    </w:p>
    <w:p w14:paraId="7E263CB8" w14:textId="67DDFF40" w:rsidR="002164F7" w:rsidRPr="00DE096C" w:rsidRDefault="002164F7" w:rsidP="00D45A46">
      <w:pPr>
        <w:jc w:val="both"/>
        <w:rPr>
          <w:bCs/>
          <w:color w:val="002060"/>
          <w:sz w:val="16"/>
          <w:szCs w:val="16"/>
        </w:rPr>
      </w:pPr>
      <w:r w:rsidRPr="00DE096C">
        <w:rPr>
          <w:bCs/>
          <w:color w:val="002060"/>
          <w:sz w:val="16"/>
          <w:szCs w:val="16"/>
        </w:rPr>
        <w:t xml:space="preserve">10 </w:t>
      </w:r>
      <w:r w:rsidR="0039784D" w:rsidRPr="00DE096C">
        <w:rPr>
          <w:bCs/>
          <w:color w:val="002060"/>
          <w:sz w:val="16"/>
          <w:szCs w:val="16"/>
        </w:rPr>
        <w:t xml:space="preserve">(23) </w:t>
      </w:r>
      <w:r w:rsidRPr="00DE096C">
        <w:rPr>
          <w:bCs/>
          <w:color w:val="002060"/>
          <w:sz w:val="16"/>
          <w:szCs w:val="16"/>
        </w:rPr>
        <w:t>июля</w:t>
      </w:r>
      <w:r w:rsidR="0039784D" w:rsidRPr="00DE096C">
        <w:rPr>
          <w:bCs/>
          <w:color w:val="002060"/>
          <w:sz w:val="16"/>
          <w:szCs w:val="16"/>
        </w:rPr>
        <w:t xml:space="preserve"> 1914 г</w:t>
      </w:r>
      <w:r w:rsidRPr="00DE096C">
        <w:rPr>
          <w:bCs/>
          <w:color w:val="002060"/>
          <w:sz w:val="16"/>
          <w:szCs w:val="16"/>
        </w:rPr>
        <w:t>.</w:t>
      </w:r>
      <w:r w:rsidR="0039784D" w:rsidRPr="00DE096C">
        <w:rPr>
          <w:bCs/>
          <w:color w:val="002060"/>
          <w:sz w:val="16"/>
          <w:szCs w:val="16"/>
        </w:rPr>
        <w:t xml:space="preserve"> в редакционной статье "Вестника" писалось, что массовые беспорядки, начавшиеся после визита в Санкт-Петербург французского президента Пуанкаре и докатившиеся до Риги. "Такие явно враждебные выступления. несомненно, убийственно вредно отразятся на мирном течении рабочего движения и надолго затормозят стремление рабочего класса обеспечить себе путем солидарности кусок насущного хлеба"</w:t>
      </w:r>
    </w:p>
    <w:p w14:paraId="1BF45EC0" w14:textId="77777777" w:rsidR="002164F7" w:rsidRPr="00DE096C" w:rsidRDefault="002164F7" w:rsidP="00D45A46">
      <w:pPr>
        <w:jc w:val="both"/>
        <w:rPr>
          <w:bCs/>
          <w:color w:val="002060"/>
          <w:sz w:val="16"/>
          <w:szCs w:val="16"/>
        </w:rPr>
      </w:pPr>
      <w:r w:rsidRPr="00DE096C">
        <w:rPr>
          <w:bCs/>
          <w:color w:val="002060"/>
          <w:sz w:val="16"/>
          <w:szCs w:val="16"/>
        </w:rPr>
        <w:t xml:space="preserve">Либаво-Роменская железная дорога уже 4-й день находилась на положении чрезвычайной охраны. На море и в заливе в этот день, 16 июля, распоряжением военных властей был закрыт ряд стационарных маяков и сняты плавучие маяки. Между Гельсингфорсом и Ганге было воспрещено прохождение торговых судов. Оговаривалось, что если какое-либо будет двигаться в данном регтоне и откажется выполнять требования встречного военного корабля, его надлежит расстреливать. </w:t>
      </w:r>
    </w:p>
    <w:p w14:paraId="08E3A1A1" w14:textId="77777777" w:rsidR="002164F7" w:rsidRPr="00DE096C" w:rsidRDefault="002164F7" w:rsidP="00D45A46">
      <w:pPr>
        <w:pStyle w:val="a3"/>
        <w:jc w:val="both"/>
        <w:rPr>
          <w:bCs/>
          <w:color w:val="002060"/>
          <w:spacing w:val="0"/>
          <w:kern w:val="0"/>
          <w:position w:val="0"/>
          <w:sz w:val="16"/>
          <w:szCs w:val="16"/>
        </w:rPr>
      </w:pPr>
    </w:p>
    <w:p w14:paraId="5AC878FF"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Внешняя политика:</w:t>
      </w:r>
    </w:p>
    <w:p w14:paraId="57D6A3E7" w14:textId="77777777" w:rsidR="00B67D7C" w:rsidRPr="00DE096C" w:rsidRDefault="00B67D7C" w:rsidP="00D45A46">
      <w:pPr>
        <w:pStyle w:val="a3"/>
        <w:jc w:val="both"/>
        <w:rPr>
          <w:bCs/>
          <w:color w:val="002060"/>
          <w:spacing w:val="0"/>
          <w:kern w:val="0"/>
          <w:position w:val="0"/>
          <w:sz w:val="16"/>
          <w:szCs w:val="16"/>
        </w:rPr>
      </w:pPr>
    </w:p>
    <w:p w14:paraId="605AC9E1" w14:textId="20A3C142" w:rsidR="00B67D7C" w:rsidRPr="00DE096C" w:rsidRDefault="00B67D7C" w:rsidP="00D45A46">
      <w:pPr>
        <w:jc w:val="both"/>
        <w:rPr>
          <w:bCs/>
          <w:color w:val="002060"/>
          <w:sz w:val="16"/>
          <w:szCs w:val="16"/>
        </w:rPr>
      </w:pPr>
      <w:r w:rsidRPr="00DE096C">
        <w:rPr>
          <w:bCs/>
          <w:color w:val="002060"/>
          <w:sz w:val="16"/>
          <w:szCs w:val="16"/>
        </w:rPr>
        <w:t xml:space="preserve">10 </w:t>
      </w:r>
      <w:r w:rsidR="0039784D" w:rsidRPr="00DE096C">
        <w:rPr>
          <w:bCs/>
          <w:color w:val="002060"/>
          <w:sz w:val="16"/>
          <w:szCs w:val="16"/>
        </w:rPr>
        <w:t xml:space="preserve">(23) </w:t>
      </w:r>
      <w:r w:rsidRPr="00DE096C">
        <w:rPr>
          <w:bCs/>
          <w:color w:val="002060"/>
          <w:sz w:val="16"/>
          <w:szCs w:val="16"/>
        </w:rPr>
        <w:t>июля 1914 г. Австро-Венгрия предъявила Сербии ультиматум, в котором содержались столь унизительные требования, что Сербия заведомо должна была их отклонить. 16 июля 1914 г. началась австрийская бомбардировка Белграда. Россия не могла остаться в стороне от конфликта. Смириться с неизбежным разгромом Сербии, бросив ее на произвол судьбы, означало для России утрату влияния на Балканах. В этой связи царское правительство, заручившись поддержкой Франции, заняло твердую позицию, не пренебрегая в то же время и мирными средствами улаживания конфликта. После начала Австрией военных действий Николай II (16 июля 1914 г.) подписал указ о всеобщей мобилизации. Правда, на следующий день, получив телеграмму от Вильгельма II, которую он понял как просьбу не доводить дело до войны, Николай II отменил принятое накануне решение. Однако в конечном счете доводы С.Д.Сазонова, убедившего императора в том, что «лучше, не опасаясь вызвать войну нашими к ней приготовлениями, тщательно озаботиться последними, нежели из страха дать повод к войне быть застигнутыми ею врасплох», произвели впечатление на Николая II, и он вновь санкционировал всеобщую мобилизацию. Германия направила России ультиматум, потребовав приостановить мобилизацию. Получив отказ, германский посол 19 июля 1914 г. вручил С.Д.Сазонову ноту с объявлением войны. 3 августа (н. ст.) Германия объявила войну Франции. На следующий день Англия, под предлогом нарушения немецкими войсками нейтралитета Бельгии, объявила войну Германии. 23 августа 1914 г. в войну на стороне Антанты вступила Япония. Вооруженный конфликт быстро приобрел мировой характер.</w:t>
      </w:r>
    </w:p>
    <w:p w14:paraId="15FFAB56" w14:textId="77777777" w:rsidR="00B67D7C" w:rsidRPr="00DE096C" w:rsidRDefault="00B67D7C" w:rsidP="00D45A46">
      <w:pPr>
        <w:jc w:val="both"/>
        <w:rPr>
          <w:bCs/>
          <w:color w:val="002060"/>
          <w:sz w:val="16"/>
          <w:szCs w:val="16"/>
        </w:rPr>
      </w:pPr>
    </w:p>
    <w:p w14:paraId="0C5CB99E" w14:textId="77777777" w:rsidR="00864696" w:rsidRPr="00DE096C" w:rsidRDefault="00864696" w:rsidP="00D45A46">
      <w:pPr>
        <w:jc w:val="both"/>
        <w:rPr>
          <w:bCs/>
          <w:color w:val="002060"/>
          <w:sz w:val="16"/>
          <w:szCs w:val="16"/>
        </w:rPr>
      </w:pPr>
      <w:r w:rsidRPr="00DE096C">
        <w:rPr>
          <w:bCs/>
          <w:color w:val="002060"/>
          <w:sz w:val="16"/>
          <w:szCs w:val="16"/>
        </w:rPr>
        <w:t>10 (23) июля 1914 года, когда Австро-Венгрия объявила Сербии об ультиматуме, касающемся расследования дела об убийстве эрцгерцога Франца Фердинанда можно считать первым днём паники. Поздняя новость уже не могла обвалить фондовые рынки Европы и парализовать работу банков, но сумела спровоцировать падение котировок в Торонто и Монреале. Далее последовал обвал в самой Европе (18155).</w:t>
      </w:r>
    </w:p>
    <w:p w14:paraId="5C499ECA" w14:textId="77777777" w:rsidR="00864696" w:rsidRPr="00DE096C" w:rsidRDefault="00864696" w:rsidP="00D45A46">
      <w:pPr>
        <w:jc w:val="both"/>
        <w:rPr>
          <w:bCs/>
          <w:color w:val="002060"/>
          <w:sz w:val="16"/>
          <w:szCs w:val="16"/>
        </w:rPr>
      </w:pPr>
    </w:p>
    <w:p w14:paraId="0F5D94A9"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Авиация:</w:t>
      </w:r>
    </w:p>
    <w:p w14:paraId="141CD2BE" w14:textId="77777777" w:rsidR="00B67D7C" w:rsidRPr="00DE096C" w:rsidRDefault="00B67D7C" w:rsidP="00D45A46">
      <w:pPr>
        <w:pStyle w:val="a3"/>
        <w:jc w:val="both"/>
        <w:rPr>
          <w:bCs/>
          <w:color w:val="002060"/>
          <w:spacing w:val="0"/>
          <w:kern w:val="0"/>
          <w:position w:val="0"/>
          <w:sz w:val="16"/>
          <w:szCs w:val="16"/>
        </w:rPr>
      </w:pPr>
    </w:p>
    <w:p w14:paraId="30CD711B" w14:textId="55F62B40"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11 (24) июля 1914 года состоялся знаменитый перелет П. Н. Нестерова из Москвы в С.-Петербург за 5 часов на "Моране" G (11265).</w:t>
      </w:r>
    </w:p>
    <w:p w14:paraId="5478E77B" w14:textId="77777777" w:rsidR="00B67D7C" w:rsidRPr="00DE096C" w:rsidRDefault="00B67D7C" w:rsidP="00D45A46">
      <w:pPr>
        <w:pStyle w:val="a3"/>
        <w:jc w:val="both"/>
        <w:rPr>
          <w:bCs/>
          <w:i w:val="0"/>
          <w:color w:val="002060"/>
          <w:spacing w:val="0"/>
          <w:kern w:val="0"/>
          <w:position w:val="0"/>
          <w:sz w:val="16"/>
          <w:szCs w:val="16"/>
        </w:rPr>
      </w:pPr>
    </w:p>
    <w:p w14:paraId="3D554F3F" w14:textId="0C58ABBC"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11 (24) июля 1914 </w:t>
      </w:r>
      <w:r w:rsidR="0039784D" w:rsidRPr="00DE096C">
        <w:rPr>
          <w:bCs/>
          <w:color w:val="002060"/>
          <w:sz w:val="16"/>
          <w:szCs w:val="16"/>
        </w:rPr>
        <w:t xml:space="preserve">г. </w:t>
      </w:r>
      <w:r w:rsidRPr="00DE096C">
        <w:rPr>
          <w:bCs/>
          <w:color w:val="002060"/>
          <w:sz w:val="16"/>
          <w:szCs w:val="16"/>
        </w:rPr>
        <w:t>П.Н.Нестеров взялся оспаривать приз Абамелек-Лазарева, назначенный за перелет в одни сутки- из Петербурга в Севастополь. Для этой цели он на самолете "Моран</w:t>
      </w:r>
      <w:r w:rsidRPr="00DE096C">
        <w:rPr>
          <w:bCs/>
          <w:color w:val="002060"/>
          <w:sz w:val="16"/>
          <w:szCs w:val="16"/>
          <w:vertAlign w:val="superscript"/>
        </w:rPr>
        <w:t>и</w:t>
      </w:r>
      <w:r w:rsidRPr="00DE096C">
        <w:rPr>
          <w:bCs/>
          <w:color w:val="002060"/>
          <w:sz w:val="16"/>
          <w:szCs w:val="16"/>
        </w:rPr>
        <w:t xml:space="preserve">типа </w:t>
      </w:r>
      <w:r w:rsidRPr="00DE096C">
        <w:rPr>
          <w:bCs/>
          <w:color w:val="002060"/>
          <w:sz w:val="16"/>
          <w:szCs w:val="16"/>
          <w:vertAlign w:val="superscript"/>
        </w:rPr>
        <w:t>:</w:t>
      </w:r>
      <w:r w:rsidRPr="00DE096C">
        <w:rPr>
          <w:bCs/>
          <w:color w:val="002060"/>
          <w:sz w:val="16"/>
          <w:szCs w:val="16"/>
        </w:rPr>
        <w:t>'$" [вылетел из Москвы в Петербург, пройдя весь путь за 4 часа 40 инут летного времени с одной остановкой в пути близ Тосно. Однако начавшаяся вскоре мировая война помешала ему осущзствитъ рк этот перелет, так и другие его творческие планы ("Известия Николаевской военной академии". 1914; "Утро России". 1914, 13 июля).</w:t>
      </w:r>
    </w:p>
    <w:p w14:paraId="0CCDFD81" w14:textId="77777777" w:rsidR="00B67D7C" w:rsidRPr="00DE096C" w:rsidRDefault="00B67D7C" w:rsidP="00D45A46">
      <w:pPr>
        <w:shd w:val="clear" w:color="auto" w:fill="FFFFFF"/>
        <w:jc w:val="both"/>
        <w:rPr>
          <w:bCs/>
          <w:color w:val="002060"/>
          <w:sz w:val="16"/>
          <w:szCs w:val="16"/>
        </w:rPr>
      </w:pPr>
    </w:p>
    <w:p w14:paraId="5582FAA1" w14:textId="6A0940ED" w:rsidR="00B67D7C" w:rsidRPr="00DE096C" w:rsidRDefault="00B67D7C" w:rsidP="00D45A46">
      <w:pPr>
        <w:jc w:val="both"/>
        <w:rPr>
          <w:bCs/>
          <w:color w:val="002060"/>
          <w:sz w:val="16"/>
          <w:szCs w:val="16"/>
        </w:rPr>
      </w:pPr>
      <w:r w:rsidRPr="00DE096C">
        <w:rPr>
          <w:bCs/>
          <w:color w:val="002060"/>
          <w:sz w:val="16"/>
          <w:szCs w:val="16"/>
        </w:rPr>
        <w:t xml:space="preserve">11 </w:t>
      </w:r>
      <w:r w:rsidR="0039784D" w:rsidRPr="00DE096C">
        <w:rPr>
          <w:bCs/>
          <w:color w:val="002060"/>
          <w:sz w:val="16"/>
          <w:szCs w:val="16"/>
        </w:rPr>
        <w:t xml:space="preserve">(24) </w:t>
      </w:r>
      <w:r w:rsidRPr="00DE096C">
        <w:rPr>
          <w:bCs/>
          <w:color w:val="002060"/>
          <w:sz w:val="16"/>
          <w:szCs w:val="16"/>
        </w:rPr>
        <w:t xml:space="preserve">июля </w:t>
      </w:r>
      <w:r w:rsidR="0039784D" w:rsidRPr="00DE096C">
        <w:rPr>
          <w:bCs/>
          <w:color w:val="002060"/>
          <w:sz w:val="16"/>
          <w:szCs w:val="16"/>
        </w:rPr>
        <w:t xml:space="preserve">1914 г. </w:t>
      </w:r>
      <w:r w:rsidRPr="00DE096C">
        <w:rPr>
          <w:bCs/>
          <w:color w:val="002060"/>
          <w:sz w:val="16"/>
          <w:szCs w:val="16"/>
        </w:rPr>
        <w:t>на Корпусной аэродром спустился штабс-капитан Нестеров, вылетевший в 4 часа утра того же дня из Москвы, которого никто не ждал. Без десяти минут одиннадцать на высоте 1000 метров показался «Моран», тот самый «Моран», который отважный летчик получил от военного ведомства после замечательного перелета Киев — Гатчина. Петр Нестеров рассказал, что в четыре часа утра он, имея полные баки бензина и масла, решился лететь в Петербург. Все трудности пути перелета из-за Валдайской возвышенности были ему хорошо известны благодаря попыткам других авиаторов, оспаривавших Романовский приз. Над Валдаем его неимоверно трепало. Вылетев из Москвы, Нестеров сделал одну остановку в Тосно для осмотра аппарата. Убедившись в полной исправности машины и [263] мотора, без посторонней помощи пустился в путь и прибыл в Петербург благополучно. Он первый из русских летчиков поборол все трудности воздушного пути между Москвой и Петербургом за семь часов (11334).</w:t>
      </w:r>
    </w:p>
    <w:p w14:paraId="1CD5D83E" w14:textId="77777777" w:rsidR="00B67D7C" w:rsidRPr="00DE096C" w:rsidRDefault="00B67D7C" w:rsidP="00D45A46">
      <w:pPr>
        <w:pStyle w:val="a3"/>
        <w:jc w:val="both"/>
        <w:rPr>
          <w:bCs/>
          <w:color w:val="002060"/>
          <w:spacing w:val="0"/>
          <w:kern w:val="0"/>
          <w:position w:val="0"/>
          <w:sz w:val="16"/>
          <w:szCs w:val="16"/>
        </w:rPr>
      </w:pPr>
    </w:p>
    <w:p w14:paraId="52D58FA0" w14:textId="0D7D90E3" w:rsidR="00864696" w:rsidRPr="00DE096C" w:rsidRDefault="00864696" w:rsidP="00D45A46">
      <w:pPr>
        <w:jc w:val="both"/>
        <w:rPr>
          <w:bCs/>
          <w:color w:val="002060"/>
          <w:sz w:val="16"/>
          <w:szCs w:val="16"/>
        </w:rPr>
      </w:pPr>
      <w:r w:rsidRPr="00DE096C">
        <w:rPr>
          <w:bCs/>
          <w:color w:val="002060"/>
          <w:sz w:val="16"/>
          <w:szCs w:val="16"/>
        </w:rPr>
        <w:t xml:space="preserve">11 </w:t>
      </w:r>
      <w:r w:rsidR="0039784D" w:rsidRPr="00DE096C">
        <w:rPr>
          <w:bCs/>
          <w:color w:val="002060"/>
          <w:sz w:val="16"/>
          <w:szCs w:val="16"/>
        </w:rPr>
        <w:t xml:space="preserve">(24) </w:t>
      </w:r>
      <w:r w:rsidRPr="00DE096C">
        <w:rPr>
          <w:bCs/>
          <w:color w:val="002060"/>
          <w:sz w:val="16"/>
          <w:szCs w:val="16"/>
        </w:rPr>
        <w:t xml:space="preserve">июля в 1914 году состоялся знаменитый перелет П.Н.Нестерова из Москвы в Санкт-Петербург за 5 часов на </w:t>
      </w:r>
      <w:hyperlink r:id="rId31" w:tgtFrame="_blank" w:history="1">
        <w:r w:rsidRPr="00DE096C">
          <w:rPr>
            <w:bCs/>
            <w:color w:val="002060"/>
            <w:sz w:val="16"/>
            <w:szCs w:val="16"/>
          </w:rPr>
          <w:t>«Моране» «G» (14945).</w:t>
        </w:r>
      </w:hyperlink>
    </w:p>
    <w:p w14:paraId="65F3C371" w14:textId="77777777" w:rsidR="00864696" w:rsidRPr="00DE096C" w:rsidRDefault="00864696" w:rsidP="00D45A46">
      <w:pPr>
        <w:jc w:val="both"/>
        <w:rPr>
          <w:bCs/>
          <w:color w:val="002060"/>
          <w:sz w:val="16"/>
          <w:szCs w:val="16"/>
        </w:rPr>
      </w:pPr>
    </w:p>
    <w:p w14:paraId="6E8D48AE" w14:textId="611EA342" w:rsidR="001B7CBD" w:rsidRPr="00DE096C" w:rsidRDefault="001B7CBD" w:rsidP="00D45A46">
      <w:pPr>
        <w:jc w:val="both"/>
        <w:rPr>
          <w:bCs/>
          <w:color w:val="002060"/>
          <w:sz w:val="16"/>
          <w:szCs w:val="16"/>
          <w:lang w:bidi="en-US"/>
        </w:rPr>
      </w:pPr>
      <w:r w:rsidRPr="00DE096C">
        <w:rPr>
          <w:bCs/>
          <w:color w:val="002060"/>
          <w:sz w:val="16"/>
          <w:szCs w:val="16"/>
          <w:lang w:bidi="en-US"/>
        </w:rPr>
        <w:t xml:space="preserve">11 (24) июля 1914 г. штабс-капитан П.Н. Нестеров на моноплане </w:t>
      </w:r>
      <w:r w:rsidRPr="00DE096C">
        <w:rPr>
          <w:bCs/>
          <w:color w:val="002060"/>
          <w:sz w:val="16"/>
          <w:szCs w:val="16"/>
          <w:lang w:val="en-US" w:bidi="en-US"/>
        </w:rPr>
        <w:t>Morane</w:t>
      </w:r>
      <w:r w:rsidRPr="00DE096C">
        <w:rPr>
          <w:bCs/>
          <w:color w:val="002060"/>
          <w:sz w:val="16"/>
          <w:szCs w:val="16"/>
          <w:lang w:bidi="en-US"/>
        </w:rPr>
        <w:t xml:space="preserve"> </w:t>
      </w:r>
      <w:r w:rsidRPr="00DE096C">
        <w:rPr>
          <w:bCs/>
          <w:color w:val="002060"/>
          <w:sz w:val="16"/>
          <w:szCs w:val="16"/>
          <w:lang w:val="en-US" w:bidi="en-US"/>
        </w:rPr>
        <w:t>Saulnier</w:t>
      </w:r>
      <w:r w:rsidRPr="00DE096C">
        <w:rPr>
          <w:bCs/>
          <w:color w:val="002060"/>
          <w:sz w:val="16"/>
          <w:szCs w:val="16"/>
          <w:lang w:bidi="en-US"/>
        </w:rPr>
        <w:t xml:space="preserve"> совершил успешный перелет из Москвы в Санкт-Петербург протяженностью 600 км (23525).</w:t>
      </w:r>
    </w:p>
    <w:p w14:paraId="0E8FCBF6" w14:textId="77777777" w:rsidR="001B7CBD" w:rsidRPr="00DE096C" w:rsidRDefault="001B7CBD" w:rsidP="00D45A46">
      <w:pPr>
        <w:pStyle w:val="2"/>
        <w:spacing w:before="0" w:after="0"/>
        <w:jc w:val="both"/>
        <w:rPr>
          <w:b w:val="0"/>
          <w:bCs/>
          <w:color w:val="002060"/>
          <w:sz w:val="16"/>
          <w:szCs w:val="16"/>
        </w:rPr>
      </w:pPr>
    </w:p>
    <w:p w14:paraId="539DA97B" w14:textId="35796E78" w:rsidR="00864696" w:rsidRPr="00DE096C" w:rsidRDefault="00864696" w:rsidP="00D45A46">
      <w:pPr>
        <w:pStyle w:val="2"/>
        <w:spacing w:before="0" w:after="0"/>
        <w:jc w:val="both"/>
        <w:rPr>
          <w:b w:val="0"/>
          <w:bCs/>
          <w:color w:val="002060"/>
          <w:sz w:val="16"/>
          <w:szCs w:val="16"/>
        </w:rPr>
      </w:pPr>
      <w:r w:rsidRPr="00DE096C">
        <w:rPr>
          <w:b w:val="0"/>
          <w:bCs/>
          <w:color w:val="002060"/>
          <w:sz w:val="16"/>
          <w:szCs w:val="16"/>
        </w:rPr>
        <w:t xml:space="preserve">11 </w:t>
      </w:r>
      <w:r w:rsidR="0039784D" w:rsidRPr="00DE096C">
        <w:rPr>
          <w:b w:val="0"/>
          <w:bCs/>
          <w:color w:val="002060"/>
          <w:sz w:val="16"/>
          <w:szCs w:val="16"/>
        </w:rPr>
        <w:t xml:space="preserve">(24) </w:t>
      </w:r>
      <w:r w:rsidRPr="00DE096C">
        <w:rPr>
          <w:b w:val="0"/>
          <w:bCs/>
          <w:color w:val="002060"/>
          <w:sz w:val="16"/>
          <w:szCs w:val="16"/>
        </w:rPr>
        <w:t xml:space="preserve">июля 1914 </w:t>
      </w:r>
      <w:r w:rsidR="0039784D" w:rsidRPr="00DE096C">
        <w:rPr>
          <w:b w:val="0"/>
          <w:bCs/>
          <w:color w:val="002060"/>
          <w:sz w:val="16"/>
          <w:szCs w:val="16"/>
        </w:rPr>
        <w:t xml:space="preserve">г. </w:t>
      </w:r>
      <w:r w:rsidRPr="00DE096C">
        <w:rPr>
          <w:b w:val="0"/>
          <w:bCs/>
          <w:color w:val="002060"/>
          <w:sz w:val="16"/>
          <w:szCs w:val="16"/>
        </w:rPr>
        <w:t>Нестеров на «Моране» совершил перелет Москва—Петербург за 7 часов (5 летных) с двумя посадками в Тосно (долетел за 4,5 час) и Средней Рогатке. Документальных подробностей перелета сохранилось немного, зато слухов и домыслов в литературе можно встретить немало (15464).</w:t>
      </w:r>
    </w:p>
    <w:p w14:paraId="627BAEF2" w14:textId="77777777" w:rsidR="00864696" w:rsidRPr="00DE096C" w:rsidRDefault="00864696" w:rsidP="00D45A46">
      <w:pPr>
        <w:pStyle w:val="2"/>
        <w:spacing w:before="0" w:after="0"/>
        <w:jc w:val="both"/>
        <w:rPr>
          <w:b w:val="0"/>
          <w:bCs/>
          <w:color w:val="002060"/>
          <w:sz w:val="16"/>
          <w:szCs w:val="16"/>
        </w:rPr>
      </w:pPr>
    </w:p>
    <w:p w14:paraId="1621DD29" w14:textId="77777777" w:rsidR="00895D15" w:rsidRPr="00DE096C" w:rsidRDefault="00895D15" w:rsidP="00D45A46">
      <w:pPr>
        <w:jc w:val="both"/>
        <w:rPr>
          <w:bCs/>
          <w:color w:val="002060"/>
          <w:sz w:val="16"/>
          <w:szCs w:val="16"/>
        </w:rPr>
      </w:pPr>
      <w:r w:rsidRPr="00DE096C">
        <w:rPr>
          <w:bCs/>
          <w:color w:val="002060"/>
          <w:sz w:val="16"/>
          <w:szCs w:val="16"/>
        </w:rPr>
        <w:t>11 (24) июля 1914 г. П.Н.Нестеров взялся оспаривать приз Абамелек-Лазарева, назначенный за перелет в одни сутки из Петербурга в Севастополь. Для этой цели он на самолете Моран типа ”Ж” вылетел из Москвы в Петербург, пройдя весь путь за 4 ч. 40 минут летного времени с одной оста</w:t>
      </w:r>
      <w:r w:rsidRPr="00DE096C">
        <w:rPr>
          <w:bCs/>
          <w:color w:val="002060"/>
          <w:sz w:val="16"/>
          <w:szCs w:val="16"/>
        </w:rPr>
        <w:softHyphen/>
        <w:t>новкой в пути близ Тосно. Однако, начавшаяся вскоре мировая война помешала ему осуществить как этот перелет, так и другие его творческие планы.</w:t>
      </w:r>
    </w:p>
    <w:p w14:paraId="2C2E215F" w14:textId="77777777" w:rsidR="00895D15" w:rsidRPr="00DE096C" w:rsidRDefault="00895D15" w:rsidP="00D45A46">
      <w:pPr>
        <w:jc w:val="both"/>
        <w:rPr>
          <w:bCs/>
          <w:color w:val="002060"/>
          <w:sz w:val="16"/>
          <w:szCs w:val="16"/>
        </w:rPr>
      </w:pPr>
      <w:r w:rsidRPr="00DE096C">
        <w:rPr>
          <w:bCs/>
          <w:color w:val="002060"/>
          <w:sz w:val="16"/>
          <w:szCs w:val="16"/>
        </w:rPr>
        <w:t>/«Известия Николаевской военной академии», 1914; К.Вейгелин. Пувь Летчика Нестерова, 1939/ (23320).</w:t>
      </w:r>
    </w:p>
    <w:p w14:paraId="00C30B30" w14:textId="77777777" w:rsidR="00895D15" w:rsidRPr="00DE096C" w:rsidRDefault="00895D15" w:rsidP="00D45A46">
      <w:pPr>
        <w:jc w:val="both"/>
        <w:rPr>
          <w:bCs/>
          <w:color w:val="002060"/>
          <w:sz w:val="16"/>
          <w:szCs w:val="16"/>
        </w:rPr>
      </w:pPr>
    </w:p>
    <w:p w14:paraId="3DF35CE5" w14:textId="77777777" w:rsidR="00864696" w:rsidRPr="00DE096C" w:rsidRDefault="00864696" w:rsidP="00D45A46">
      <w:pPr>
        <w:jc w:val="both"/>
        <w:rPr>
          <w:bCs/>
          <w:i/>
          <w:color w:val="002060"/>
          <w:sz w:val="16"/>
          <w:szCs w:val="16"/>
        </w:rPr>
      </w:pPr>
      <w:r w:rsidRPr="00DE096C">
        <w:rPr>
          <w:bCs/>
          <w:i/>
          <w:color w:val="002060"/>
          <w:sz w:val="16"/>
          <w:szCs w:val="16"/>
        </w:rPr>
        <w:t>За рубежом:</w:t>
      </w:r>
    </w:p>
    <w:p w14:paraId="3C3F9502" w14:textId="77777777" w:rsidR="00864696" w:rsidRPr="00DE096C" w:rsidRDefault="00864696" w:rsidP="00D45A46">
      <w:pPr>
        <w:jc w:val="both"/>
        <w:rPr>
          <w:bCs/>
          <w:color w:val="002060"/>
          <w:sz w:val="16"/>
          <w:szCs w:val="16"/>
        </w:rPr>
      </w:pPr>
    </w:p>
    <w:p w14:paraId="6E444311" w14:textId="77777777" w:rsidR="00864696" w:rsidRPr="00DE096C" w:rsidRDefault="00864696" w:rsidP="00D45A46">
      <w:pPr>
        <w:jc w:val="both"/>
        <w:rPr>
          <w:bCs/>
          <w:color w:val="002060"/>
          <w:sz w:val="16"/>
          <w:szCs w:val="16"/>
        </w:rPr>
      </w:pPr>
      <w:r w:rsidRPr="00DE096C">
        <w:rPr>
          <w:bCs/>
          <w:color w:val="002060"/>
          <w:sz w:val="16"/>
          <w:szCs w:val="16"/>
        </w:rPr>
        <w:lastRenderedPageBreak/>
        <w:t>11-12 (24–25) июля 1914 рухнули курсы на Берлинской бирже, а затем, в воскресенье 26 июля, руководства бирж в Вене и Будапеште решили не начинать торги в понедельник. В понедельник же 27 июля закрылись после рекордного падения фондовые рынки в Париже, Брюсселе, Осло, Стокгольме и Одессе. В следующие два дня лихорадило уже все крупные финансовые центры (18155).</w:t>
      </w:r>
    </w:p>
    <w:p w14:paraId="4BCDDF1B" w14:textId="77777777" w:rsidR="00864696" w:rsidRPr="00DE096C" w:rsidRDefault="00864696" w:rsidP="00D45A46">
      <w:pPr>
        <w:jc w:val="both"/>
        <w:rPr>
          <w:bCs/>
          <w:color w:val="002060"/>
          <w:sz w:val="16"/>
          <w:szCs w:val="16"/>
        </w:rPr>
      </w:pPr>
    </w:p>
    <w:p w14:paraId="33F4F96F" w14:textId="55E07ABC" w:rsidR="00864696" w:rsidRPr="00DE096C" w:rsidRDefault="00864696" w:rsidP="00D45A46">
      <w:pPr>
        <w:jc w:val="both"/>
        <w:rPr>
          <w:bCs/>
          <w:color w:val="002060"/>
          <w:sz w:val="16"/>
          <w:szCs w:val="16"/>
        </w:rPr>
      </w:pPr>
      <w:r w:rsidRPr="00DE096C">
        <w:rPr>
          <w:bCs/>
          <w:color w:val="002060"/>
          <w:sz w:val="16"/>
          <w:szCs w:val="16"/>
        </w:rPr>
        <w:t xml:space="preserve">11 (24) июля в 1914 году </w:t>
      </w:r>
      <w:r w:rsidR="0039784D" w:rsidRPr="00DE096C">
        <w:rPr>
          <w:bCs/>
          <w:color w:val="002060"/>
          <w:sz w:val="16"/>
          <w:szCs w:val="16"/>
        </w:rPr>
        <w:t xml:space="preserve">состоялось </w:t>
      </w:r>
      <w:r w:rsidRPr="00DE096C">
        <w:rPr>
          <w:bCs/>
          <w:color w:val="002060"/>
          <w:sz w:val="16"/>
          <w:szCs w:val="16"/>
        </w:rPr>
        <w:t>объявление Австро-Венгрией войны России (14962).</w:t>
      </w:r>
    </w:p>
    <w:p w14:paraId="5811DD02" w14:textId="77777777" w:rsidR="00864696" w:rsidRPr="00DE096C" w:rsidRDefault="00864696" w:rsidP="00D45A46">
      <w:pPr>
        <w:jc w:val="both"/>
        <w:rPr>
          <w:bCs/>
          <w:color w:val="002060"/>
          <w:sz w:val="16"/>
          <w:szCs w:val="16"/>
        </w:rPr>
      </w:pPr>
    </w:p>
    <w:p w14:paraId="40586CB8"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Морская авиация:</w:t>
      </w:r>
    </w:p>
    <w:p w14:paraId="1B4FA444" w14:textId="77777777" w:rsidR="00B67D7C" w:rsidRPr="00DE096C" w:rsidRDefault="00B67D7C" w:rsidP="00D45A46">
      <w:pPr>
        <w:pStyle w:val="a3"/>
        <w:jc w:val="both"/>
        <w:rPr>
          <w:bCs/>
          <w:color w:val="002060"/>
          <w:spacing w:val="0"/>
          <w:kern w:val="0"/>
          <w:position w:val="0"/>
          <w:sz w:val="16"/>
          <w:szCs w:val="16"/>
        </w:rPr>
      </w:pPr>
    </w:p>
    <w:p w14:paraId="142AC30F" w14:textId="086A7AFB" w:rsidR="00B67D7C" w:rsidRPr="00DE096C" w:rsidRDefault="00B67D7C" w:rsidP="00D45A46">
      <w:pPr>
        <w:jc w:val="both"/>
        <w:rPr>
          <w:bCs/>
          <w:color w:val="002060"/>
          <w:sz w:val="16"/>
          <w:szCs w:val="16"/>
        </w:rPr>
      </w:pPr>
      <w:r w:rsidRPr="00DE096C">
        <w:rPr>
          <w:bCs/>
          <w:color w:val="002060"/>
          <w:sz w:val="16"/>
          <w:szCs w:val="16"/>
        </w:rPr>
        <w:t xml:space="preserve">12 </w:t>
      </w:r>
      <w:r w:rsidR="0039784D" w:rsidRPr="00DE096C">
        <w:rPr>
          <w:bCs/>
          <w:color w:val="002060"/>
          <w:sz w:val="16"/>
          <w:szCs w:val="16"/>
        </w:rPr>
        <w:t xml:space="preserve">(25) </w:t>
      </w:r>
      <w:r w:rsidRPr="00DE096C">
        <w:rPr>
          <w:bCs/>
          <w:color w:val="002060"/>
          <w:sz w:val="16"/>
          <w:szCs w:val="16"/>
        </w:rPr>
        <w:t xml:space="preserve">июля 1914 г. </w:t>
      </w:r>
      <w:r w:rsidR="0039784D" w:rsidRPr="00DE096C">
        <w:rPr>
          <w:bCs/>
          <w:color w:val="002060"/>
          <w:sz w:val="16"/>
          <w:szCs w:val="16"/>
        </w:rPr>
        <w:t xml:space="preserve">в соответствии с оперативным планом Балтийского флота </w:t>
      </w:r>
      <w:r w:rsidRPr="00DE096C">
        <w:rPr>
          <w:bCs/>
          <w:color w:val="002060"/>
          <w:sz w:val="16"/>
          <w:szCs w:val="16"/>
        </w:rPr>
        <w:t>из Либавы (Лиеп</w:t>
      </w:r>
      <w:r w:rsidR="0039784D" w:rsidRPr="00DE096C">
        <w:rPr>
          <w:bCs/>
          <w:color w:val="002060"/>
          <w:sz w:val="16"/>
          <w:szCs w:val="16"/>
        </w:rPr>
        <w:t>аи</w:t>
      </w:r>
      <w:r w:rsidRPr="00DE096C">
        <w:rPr>
          <w:bCs/>
          <w:color w:val="002060"/>
          <w:sz w:val="16"/>
          <w:szCs w:val="16"/>
        </w:rPr>
        <w:t>) вывели все корабли, а самолёты решили перевести на остров Эзель и базировать на спешно достраиваемой авиационной станции 1-го разряда Кильконд</w:t>
      </w:r>
      <w:r w:rsidR="0039784D" w:rsidRPr="00DE096C">
        <w:rPr>
          <w:bCs/>
          <w:color w:val="002060"/>
          <w:sz w:val="16"/>
          <w:szCs w:val="16"/>
        </w:rPr>
        <w:t xml:space="preserve"> (11927)</w:t>
      </w:r>
      <w:r w:rsidRPr="00DE096C">
        <w:rPr>
          <w:bCs/>
          <w:color w:val="002060"/>
          <w:sz w:val="16"/>
          <w:szCs w:val="16"/>
        </w:rPr>
        <w:t>.</w:t>
      </w:r>
    </w:p>
    <w:p w14:paraId="41DC458B" w14:textId="77777777" w:rsidR="0039784D" w:rsidRPr="00DE096C" w:rsidRDefault="0039784D" w:rsidP="00D45A46">
      <w:pPr>
        <w:jc w:val="both"/>
        <w:rPr>
          <w:bCs/>
          <w:color w:val="002060"/>
          <w:sz w:val="16"/>
          <w:szCs w:val="16"/>
        </w:rPr>
      </w:pPr>
    </w:p>
    <w:p w14:paraId="0EAEBCFC" w14:textId="77777777" w:rsidR="00864696" w:rsidRPr="00DE096C" w:rsidRDefault="00864696" w:rsidP="00D45A46">
      <w:pPr>
        <w:jc w:val="both"/>
        <w:rPr>
          <w:bCs/>
          <w:i/>
          <w:color w:val="002060"/>
          <w:sz w:val="16"/>
          <w:szCs w:val="16"/>
        </w:rPr>
      </w:pPr>
      <w:r w:rsidRPr="00DE096C">
        <w:rPr>
          <w:bCs/>
          <w:i/>
          <w:color w:val="002060"/>
          <w:sz w:val="16"/>
          <w:szCs w:val="16"/>
        </w:rPr>
        <w:t>За рубежом:</w:t>
      </w:r>
    </w:p>
    <w:p w14:paraId="6094D468" w14:textId="77777777" w:rsidR="00864696" w:rsidRPr="00DE096C" w:rsidRDefault="00864696" w:rsidP="00D45A46">
      <w:pPr>
        <w:jc w:val="both"/>
        <w:rPr>
          <w:bCs/>
          <w:color w:val="002060"/>
          <w:sz w:val="16"/>
          <w:szCs w:val="16"/>
        </w:rPr>
      </w:pPr>
    </w:p>
    <w:p w14:paraId="48A570D9" w14:textId="77777777" w:rsidR="00864696" w:rsidRPr="00DE096C" w:rsidRDefault="00864696" w:rsidP="00D45A46">
      <w:pPr>
        <w:jc w:val="both"/>
        <w:rPr>
          <w:bCs/>
          <w:color w:val="002060"/>
          <w:sz w:val="16"/>
          <w:szCs w:val="16"/>
        </w:rPr>
      </w:pPr>
      <w:r w:rsidRPr="00DE096C">
        <w:rPr>
          <w:bCs/>
          <w:color w:val="002060"/>
          <w:sz w:val="16"/>
          <w:szCs w:val="16"/>
        </w:rPr>
        <w:t>12 (25) июля в 1914 году Сербия приняла ультиматум Австро-Венгрии. Сербия объявляет о мобилизации в армию. Германия подталкивает Австро-Венгрию к объявлению войны Сербии (14963).</w:t>
      </w:r>
    </w:p>
    <w:p w14:paraId="0DE71139" w14:textId="77777777" w:rsidR="00864696" w:rsidRPr="00DE096C" w:rsidRDefault="00864696" w:rsidP="00D45A46">
      <w:pPr>
        <w:jc w:val="both"/>
        <w:rPr>
          <w:bCs/>
          <w:color w:val="002060"/>
          <w:sz w:val="16"/>
          <w:szCs w:val="16"/>
        </w:rPr>
      </w:pPr>
    </w:p>
    <w:p w14:paraId="748C69C2" w14:textId="77777777" w:rsidR="00864696" w:rsidRPr="00DE096C" w:rsidRDefault="00864696" w:rsidP="00D45A46">
      <w:pPr>
        <w:jc w:val="both"/>
        <w:rPr>
          <w:bCs/>
          <w:i/>
          <w:color w:val="002060"/>
          <w:sz w:val="16"/>
          <w:szCs w:val="16"/>
        </w:rPr>
      </w:pPr>
      <w:r w:rsidRPr="00DE096C">
        <w:rPr>
          <w:bCs/>
          <w:i/>
          <w:color w:val="002060"/>
          <w:sz w:val="16"/>
          <w:szCs w:val="16"/>
        </w:rPr>
        <w:t>Другие оборонные отрасли:</w:t>
      </w:r>
    </w:p>
    <w:p w14:paraId="49C21E34" w14:textId="77777777" w:rsidR="00864696" w:rsidRPr="00DE096C" w:rsidRDefault="00864696" w:rsidP="00D45A46">
      <w:pPr>
        <w:jc w:val="both"/>
        <w:rPr>
          <w:bCs/>
          <w:i/>
          <w:color w:val="002060"/>
          <w:sz w:val="16"/>
          <w:szCs w:val="16"/>
        </w:rPr>
      </w:pPr>
    </w:p>
    <w:p w14:paraId="370D8BEE" w14:textId="2F656AEF" w:rsidR="00864696" w:rsidRPr="00DE096C" w:rsidRDefault="00864696" w:rsidP="00D45A46">
      <w:pPr>
        <w:jc w:val="both"/>
        <w:rPr>
          <w:bCs/>
          <w:color w:val="002060"/>
          <w:sz w:val="16"/>
          <w:szCs w:val="16"/>
        </w:rPr>
      </w:pPr>
      <w:r w:rsidRPr="00DE096C">
        <w:rPr>
          <w:bCs/>
          <w:color w:val="002060"/>
          <w:sz w:val="16"/>
          <w:szCs w:val="16"/>
        </w:rPr>
        <w:t xml:space="preserve">13 </w:t>
      </w:r>
      <w:r w:rsidR="0039784D" w:rsidRPr="00DE096C">
        <w:rPr>
          <w:bCs/>
          <w:color w:val="002060"/>
          <w:sz w:val="16"/>
          <w:szCs w:val="16"/>
        </w:rPr>
        <w:t xml:space="preserve">(26) </w:t>
      </w:r>
      <w:r w:rsidRPr="00DE096C">
        <w:rPr>
          <w:bCs/>
          <w:color w:val="002060"/>
          <w:sz w:val="16"/>
          <w:szCs w:val="16"/>
        </w:rPr>
        <w:t>июля 1914 г. по приказанию военного министра В.А. Сухомлинова экспериментальная станция на территории завода РОБТиТ, построенная для испытания приборов и машин, которые предназначались для 100 кВт радиостанции Военного ведомства в Николаеве была занята личным составом ОЭШ и использовалась для связи с Францией и Англией. 24 октября 1914 г. по приказу военного министра «… Петроградская радиостанция на заводе фирмы передается под наблюдение и руководство Комитета при Главном военно-техническом управлении по устройству постоянных радиостанций» (18297).</w:t>
      </w:r>
    </w:p>
    <w:p w14:paraId="1DBDF78A" w14:textId="77777777" w:rsidR="00864696" w:rsidRPr="00DE096C" w:rsidRDefault="00864696" w:rsidP="00D45A46">
      <w:pPr>
        <w:jc w:val="both"/>
        <w:rPr>
          <w:bCs/>
          <w:color w:val="002060"/>
          <w:sz w:val="16"/>
          <w:szCs w:val="16"/>
        </w:rPr>
      </w:pPr>
    </w:p>
    <w:p w14:paraId="761CD994" w14:textId="4E05AAA8" w:rsidR="00847427" w:rsidRPr="00DE096C" w:rsidRDefault="00847427" w:rsidP="00D45A46">
      <w:pPr>
        <w:jc w:val="both"/>
        <w:rPr>
          <w:bCs/>
          <w:i/>
          <w:color w:val="002060"/>
          <w:sz w:val="16"/>
          <w:szCs w:val="16"/>
        </w:rPr>
      </w:pPr>
      <w:r w:rsidRPr="00DE096C">
        <w:rPr>
          <w:bCs/>
          <w:i/>
          <w:color w:val="002060"/>
          <w:sz w:val="16"/>
          <w:szCs w:val="16"/>
        </w:rPr>
        <w:t>Авиация и воздухоплавание за рубежом:</w:t>
      </w:r>
    </w:p>
    <w:p w14:paraId="4BD4055E" w14:textId="77777777" w:rsidR="00847427" w:rsidRPr="00DE096C" w:rsidRDefault="00847427" w:rsidP="00D45A46">
      <w:pPr>
        <w:jc w:val="both"/>
        <w:rPr>
          <w:bCs/>
          <w:color w:val="002060"/>
          <w:sz w:val="16"/>
          <w:szCs w:val="16"/>
        </w:rPr>
      </w:pPr>
    </w:p>
    <w:p w14:paraId="0C1FCBB0" w14:textId="77777777" w:rsidR="00847427" w:rsidRPr="00DE096C" w:rsidRDefault="00847427" w:rsidP="00D45A46">
      <w:pPr>
        <w:jc w:val="both"/>
        <w:rPr>
          <w:bCs/>
          <w:color w:val="002060"/>
          <w:sz w:val="16"/>
          <w:szCs w:val="16"/>
        </w:rPr>
      </w:pPr>
      <w:r w:rsidRPr="00DE096C">
        <w:rPr>
          <w:rStyle w:val="43"/>
          <w:rFonts w:ascii="Times New Roman" w:hAnsi="Times New Roman" w:cs="Times New Roman"/>
          <w:bCs/>
          <w:color w:val="002060"/>
          <w:w w:val="100"/>
          <w:sz w:val="16"/>
          <w:szCs w:val="16"/>
        </w:rPr>
        <w:t>13 (26) июля 1914 г. при объявлении Сербией мобилизации первое аэростатное отделение (командир — капитан Йован Югович) располагало одним исправным змейковым аэро</w:t>
      </w:r>
      <w:r w:rsidRPr="00DE096C">
        <w:rPr>
          <w:rStyle w:val="43"/>
          <w:rFonts w:ascii="Times New Roman" w:hAnsi="Times New Roman" w:cs="Times New Roman"/>
          <w:bCs/>
          <w:color w:val="002060"/>
          <w:w w:val="100"/>
          <w:sz w:val="16"/>
          <w:szCs w:val="16"/>
        </w:rPr>
        <w:softHyphen/>
        <w:t>статом и одним сферическим аэростатом для сво</w:t>
      </w:r>
      <w:r w:rsidRPr="00DE096C">
        <w:rPr>
          <w:rStyle w:val="43"/>
          <w:rFonts w:ascii="Times New Roman" w:hAnsi="Times New Roman" w:cs="Times New Roman"/>
          <w:bCs/>
          <w:color w:val="002060"/>
          <w:w w:val="100"/>
          <w:sz w:val="16"/>
          <w:szCs w:val="16"/>
        </w:rPr>
        <w:softHyphen/>
        <w:t>бодных полётов. Вместе с эскадрой аэропланов и голубиной почтой отделение организационно входило в состав Воздухоплавательной команды, командиром которой был майор Коста Милетич.</w:t>
      </w:r>
    </w:p>
    <w:p w14:paraId="3AD5C6A6" w14:textId="77777777" w:rsidR="00847427" w:rsidRPr="00DE096C" w:rsidRDefault="00847427" w:rsidP="00D45A46">
      <w:pPr>
        <w:jc w:val="both"/>
        <w:rPr>
          <w:bCs/>
          <w:color w:val="002060"/>
          <w:sz w:val="16"/>
          <w:szCs w:val="16"/>
        </w:rPr>
      </w:pPr>
      <w:r w:rsidRPr="00DE096C">
        <w:rPr>
          <w:rStyle w:val="43"/>
          <w:rFonts w:ascii="Times New Roman" w:hAnsi="Times New Roman" w:cs="Times New Roman"/>
          <w:bCs/>
          <w:color w:val="002060"/>
          <w:w w:val="100"/>
          <w:sz w:val="16"/>
          <w:szCs w:val="16"/>
        </w:rPr>
        <w:t>С сентября 1914 г. по июнь 1915 г. аэроста</w:t>
      </w:r>
      <w:r w:rsidRPr="00DE096C">
        <w:rPr>
          <w:rStyle w:val="43"/>
          <w:rFonts w:ascii="Times New Roman" w:hAnsi="Times New Roman" w:cs="Times New Roman"/>
          <w:bCs/>
          <w:color w:val="002060"/>
          <w:w w:val="100"/>
          <w:sz w:val="16"/>
          <w:szCs w:val="16"/>
        </w:rPr>
        <w:softHyphen/>
        <w:t>ты участвовали во всех боях, но уже 13 апреля 1915 г. Коста Милетич обратился к командованию с просьбой купить в России в счёт кредитов два змейковых аэростата для организации трёх аэро</w:t>
      </w:r>
      <w:r w:rsidRPr="00DE096C">
        <w:rPr>
          <w:rStyle w:val="43"/>
          <w:rFonts w:ascii="Times New Roman" w:hAnsi="Times New Roman" w:cs="Times New Roman"/>
          <w:bCs/>
          <w:color w:val="002060"/>
          <w:w w:val="100"/>
          <w:sz w:val="16"/>
          <w:szCs w:val="16"/>
        </w:rPr>
        <w:softHyphen/>
        <w:t>статных станций (включая резервную со старым аэростатом). В начале июля из России прислали два змейковых аэростата производства завода «Треу</w:t>
      </w:r>
      <w:r w:rsidRPr="00DE096C">
        <w:rPr>
          <w:rStyle w:val="43"/>
          <w:rFonts w:ascii="Times New Roman" w:hAnsi="Times New Roman" w:cs="Times New Roman"/>
          <w:bCs/>
          <w:color w:val="002060"/>
          <w:w w:val="100"/>
          <w:sz w:val="16"/>
          <w:szCs w:val="16"/>
        </w:rPr>
        <w:softHyphen/>
        <w:t>гольник» (объём 750 м3), взятые, вероятно, из запа</w:t>
      </w:r>
      <w:r w:rsidRPr="00DE096C">
        <w:rPr>
          <w:rStyle w:val="43"/>
          <w:rFonts w:ascii="Times New Roman" w:hAnsi="Times New Roman" w:cs="Times New Roman"/>
          <w:bCs/>
          <w:color w:val="002060"/>
          <w:w w:val="100"/>
          <w:sz w:val="16"/>
          <w:szCs w:val="16"/>
        </w:rPr>
        <w:softHyphen/>
        <w:t>сов Киевского воздухоплавательного парка. После испытания один из них отправили на фронт (20120).</w:t>
      </w:r>
    </w:p>
    <w:p w14:paraId="3632B27C" w14:textId="77777777" w:rsidR="00847427" w:rsidRPr="00DE096C" w:rsidRDefault="00847427" w:rsidP="00D45A46">
      <w:pPr>
        <w:jc w:val="both"/>
        <w:rPr>
          <w:bCs/>
          <w:color w:val="002060"/>
          <w:sz w:val="16"/>
          <w:szCs w:val="16"/>
        </w:rPr>
      </w:pPr>
    </w:p>
    <w:p w14:paraId="1BCE26F4" w14:textId="77777777" w:rsidR="00864696" w:rsidRPr="00DE096C" w:rsidRDefault="00864696" w:rsidP="00D45A46">
      <w:pPr>
        <w:jc w:val="both"/>
        <w:rPr>
          <w:bCs/>
          <w:i/>
          <w:color w:val="002060"/>
          <w:sz w:val="16"/>
          <w:szCs w:val="16"/>
        </w:rPr>
      </w:pPr>
      <w:r w:rsidRPr="00DE096C">
        <w:rPr>
          <w:bCs/>
          <w:i/>
          <w:color w:val="002060"/>
          <w:sz w:val="16"/>
          <w:szCs w:val="16"/>
        </w:rPr>
        <w:t>За рубежом:</w:t>
      </w:r>
    </w:p>
    <w:p w14:paraId="4EB90C7F" w14:textId="77777777" w:rsidR="00864696" w:rsidRPr="00DE096C" w:rsidRDefault="00864696" w:rsidP="00D45A46">
      <w:pPr>
        <w:jc w:val="both"/>
        <w:rPr>
          <w:bCs/>
          <w:color w:val="002060"/>
          <w:sz w:val="16"/>
          <w:szCs w:val="16"/>
        </w:rPr>
      </w:pPr>
    </w:p>
    <w:p w14:paraId="2C214445" w14:textId="77777777" w:rsidR="00864696" w:rsidRPr="00DE096C" w:rsidRDefault="00864696" w:rsidP="00D45A46">
      <w:pPr>
        <w:jc w:val="both"/>
        <w:rPr>
          <w:bCs/>
          <w:color w:val="002060"/>
          <w:sz w:val="16"/>
          <w:szCs w:val="16"/>
        </w:rPr>
      </w:pPr>
      <w:r w:rsidRPr="00DE096C">
        <w:rPr>
          <w:bCs/>
          <w:color w:val="002060"/>
          <w:sz w:val="16"/>
          <w:szCs w:val="16"/>
        </w:rPr>
        <w:t>13 (26) июля в 1914 году Австро-Венгрия объявляет всеобщую мобилизацию и сосредоточивает войска на границе с Россией (14964).</w:t>
      </w:r>
    </w:p>
    <w:p w14:paraId="1344E6A2" w14:textId="77777777" w:rsidR="00864696" w:rsidRPr="00DE096C" w:rsidRDefault="00864696" w:rsidP="00D45A46">
      <w:pPr>
        <w:jc w:val="both"/>
        <w:rPr>
          <w:bCs/>
          <w:color w:val="002060"/>
          <w:sz w:val="16"/>
          <w:szCs w:val="16"/>
        </w:rPr>
      </w:pPr>
    </w:p>
    <w:p w14:paraId="555086FA" w14:textId="77777777" w:rsidR="001E0CA1" w:rsidRPr="00DE096C" w:rsidRDefault="001E0CA1" w:rsidP="00D45A46">
      <w:pPr>
        <w:jc w:val="both"/>
        <w:rPr>
          <w:bCs/>
          <w:color w:val="002060"/>
          <w:sz w:val="16"/>
          <w:szCs w:val="16"/>
        </w:rPr>
      </w:pPr>
      <w:r w:rsidRPr="00DE096C">
        <w:rPr>
          <w:bCs/>
          <w:color w:val="002060"/>
          <w:sz w:val="16"/>
          <w:szCs w:val="16"/>
        </w:rPr>
        <w:t>13 (26) июля 1914 руководства бирж в Вене и Будапеште решили не начинать торги в понедельник. В понедельник же 27 июля закрылись после рекордного падения фондовые рынки в Париже, Брюсселе, Осло, Стокгольме и Одессе. В следующие два дня лихорадило уже все крупные финансовые центры (18155).</w:t>
      </w:r>
    </w:p>
    <w:p w14:paraId="0D571285" w14:textId="77777777" w:rsidR="001E0CA1" w:rsidRPr="00DE096C" w:rsidRDefault="001E0CA1" w:rsidP="00D45A46">
      <w:pPr>
        <w:jc w:val="both"/>
        <w:rPr>
          <w:bCs/>
          <w:color w:val="002060"/>
          <w:sz w:val="16"/>
          <w:szCs w:val="16"/>
        </w:rPr>
      </w:pPr>
    </w:p>
    <w:p w14:paraId="5CEC423F" w14:textId="77777777" w:rsidR="00B337DD" w:rsidRPr="00B52707" w:rsidRDefault="00B337DD" w:rsidP="00B337DD">
      <w:pPr>
        <w:jc w:val="both"/>
        <w:rPr>
          <w:color w:val="0070C0"/>
          <w:sz w:val="16"/>
          <w:szCs w:val="16"/>
        </w:rPr>
      </w:pPr>
      <w:r w:rsidRPr="00B52707">
        <w:rPr>
          <w:rStyle w:val="ab"/>
          <w:rFonts w:ascii="Times New Roman" w:hAnsi="Times New Roman"/>
          <w:color w:val="0070C0"/>
          <w:spacing w:val="0"/>
          <w:sz w:val="16"/>
          <w:szCs w:val="16"/>
        </w:rPr>
        <w:t>13 (26) июля 1914 года после предъявления Австро-Венгрией ультиматума Сербии Совет министров России принял специальное постановление о подготовительном к войне периоде. 16 (29) июля был подписан Именной Высочайший Указ о переводе на военное положение части армии и флота. Приграничные западные военные округа и их военные крепости были переведены на военное положение. На основании вышеуказанных правовых актов комендантами крепостей принимались соответствующие решения, включавшие введение полного запрета на полеты иностранных воздушных судов над пунктами и районами, переведенными на военное положение (ранее разрешались лишь полеты, согласованные с российской стороной) (25166).</w:t>
      </w:r>
    </w:p>
    <w:p w14:paraId="6EB649D1" w14:textId="77777777" w:rsidR="00B337DD" w:rsidRPr="00B52707" w:rsidRDefault="00B337DD" w:rsidP="00B337DD">
      <w:pPr>
        <w:jc w:val="both"/>
        <w:rPr>
          <w:color w:val="0070C0"/>
          <w:sz w:val="16"/>
          <w:szCs w:val="16"/>
        </w:rPr>
      </w:pPr>
    </w:p>
    <w:p w14:paraId="606E28CB"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Самолетостроение:</w:t>
      </w:r>
    </w:p>
    <w:p w14:paraId="7D1FE196" w14:textId="77777777" w:rsidR="00B67D7C" w:rsidRPr="00DE096C" w:rsidRDefault="00B67D7C" w:rsidP="00D45A46">
      <w:pPr>
        <w:pStyle w:val="a3"/>
        <w:jc w:val="both"/>
        <w:rPr>
          <w:bCs/>
          <w:color w:val="002060"/>
          <w:spacing w:val="0"/>
          <w:kern w:val="0"/>
          <w:position w:val="0"/>
          <w:sz w:val="16"/>
          <w:szCs w:val="16"/>
        </w:rPr>
      </w:pPr>
    </w:p>
    <w:p w14:paraId="4B1E42A2" w14:textId="009E0801" w:rsidR="00B67D7C" w:rsidRPr="00DE096C" w:rsidRDefault="00B67D7C" w:rsidP="00D45A46">
      <w:pPr>
        <w:jc w:val="both"/>
        <w:rPr>
          <w:bCs/>
          <w:color w:val="002060"/>
          <w:sz w:val="16"/>
          <w:szCs w:val="16"/>
        </w:rPr>
      </w:pPr>
      <w:r w:rsidRPr="00DE096C">
        <w:rPr>
          <w:bCs/>
          <w:color w:val="002060"/>
          <w:sz w:val="16"/>
          <w:szCs w:val="16"/>
        </w:rPr>
        <w:t>14 (27) июля 1914 г., в день официального принятия аппарата в казну</w:t>
      </w:r>
      <w:r w:rsidR="0039784D" w:rsidRPr="00DE096C">
        <w:rPr>
          <w:bCs/>
          <w:color w:val="002060"/>
          <w:sz w:val="16"/>
          <w:szCs w:val="16"/>
        </w:rPr>
        <w:t xml:space="preserve"> завершились испытания нового гиганта ИМ с двумя 140- и двумя 125-сильными "Аргусами"</w:t>
      </w:r>
      <w:r w:rsidRPr="00DE096C">
        <w:rPr>
          <w:bCs/>
          <w:color w:val="002060"/>
          <w:sz w:val="16"/>
          <w:szCs w:val="16"/>
        </w:rPr>
        <w:t xml:space="preserve">. </w:t>
      </w:r>
      <w:r w:rsidR="0039784D" w:rsidRPr="00DE096C">
        <w:rPr>
          <w:bCs/>
          <w:color w:val="002060"/>
          <w:sz w:val="16"/>
          <w:szCs w:val="16"/>
        </w:rPr>
        <w:t>Аппарат развивал скорость около 95 км/ч и забирался на высоту 500 м за 1.5 минут с грузом в 1390 кг (включавшим вес 15 пассажиров и массу бензина и масла в 320 кг). Он мог не терять высоты, двигаясь с одним выключенным "Аргусом" 125 л.с., и сохранял устойчивость при двух работающих двигателях и не удивительно, что все моряки были приятно поражены его возможностями</w:t>
      </w:r>
      <w:r w:rsidR="00BF29AB" w:rsidRPr="00DE096C">
        <w:rPr>
          <w:bCs/>
          <w:color w:val="002060"/>
          <w:sz w:val="16"/>
          <w:szCs w:val="16"/>
        </w:rPr>
        <w:t xml:space="preserve">. </w:t>
      </w:r>
      <w:r w:rsidRPr="00DE096C">
        <w:rPr>
          <w:bCs/>
          <w:color w:val="002060"/>
          <w:sz w:val="16"/>
          <w:szCs w:val="16"/>
        </w:rPr>
        <w:t>Черноморцы, включая Жукова, затаили некий скептицизм относительно поплавкового варианта и еще весной заявили, что заказ подобных машин стоило отложить до тех пор, пока они не были бы способны летать со скоростью 100 км/ч и достигать высоты 2000 м за 45 минут, неся при том нагрузку в 1280 кг и запас топлива и масла на 6-часовой полет (2843).</w:t>
      </w:r>
    </w:p>
    <w:p w14:paraId="62EF2687" w14:textId="77777777" w:rsidR="00B67D7C" w:rsidRPr="00DE096C" w:rsidRDefault="00B67D7C" w:rsidP="00D45A46">
      <w:pPr>
        <w:jc w:val="both"/>
        <w:rPr>
          <w:bCs/>
          <w:color w:val="002060"/>
          <w:sz w:val="16"/>
          <w:szCs w:val="16"/>
        </w:rPr>
      </w:pPr>
    </w:p>
    <w:p w14:paraId="5A7EB233" w14:textId="77777777" w:rsidR="004405DB" w:rsidRPr="00DE096C" w:rsidRDefault="004405DB" w:rsidP="00D45A46">
      <w:pPr>
        <w:jc w:val="both"/>
        <w:rPr>
          <w:bCs/>
          <w:color w:val="002060"/>
          <w:sz w:val="16"/>
          <w:szCs w:val="16"/>
        </w:rPr>
      </w:pPr>
      <w:r w:rsidRPr="00DE096C">
        <w:rPr>
          <w:bCs/>
          <w:color w:val="002060"/>
          <w:sz w:val="16"/>
          <w:szCs w:val="16"/>
        </w:rPr>
        <w:t>14 (27) июля 1914 г. несмотря на конструктивные недостатки поплавковый "Илья Муромец" был принят в казну и стал собственностью Балтийского флота. В ходе испытания, проходивших с 14 мая 1914 года, гидроаэроплан показал удовлетворительную мореходность и хорошую управляемость на воде, так как пилот помимо рулей мог "играть" тягой моторов. Вертикальная скорость (скороподъёмность) была небольшой: подъём на высоту в 2000 метров занял целый час. Сыграло роль значительное воздушное сопротивление, оказываемое моторами "Сальмсон" и поплавками (12041).</w:t>
      </w:r>
    </w:p>
    <w:p w14:paraId="49874151" w14:textId="77777777" w:rsidR="004405DB" w:rsidRPr="00DE096C" w:rsidRDefault="004405DB" w:rsidP="00D45A46">
      <w:pPr>
        <w:jc w:val="both"/>
        <w:rPr>
          <w:bCs/>
          <w:color w:val="002060"/>
          <w:sz w:val="16"/>
          <w:szCs w:val="16"/>
        </w:rPr>
      </w:pPr>
    </w:p>
    <w:p w14:paraId="481592DD" w14:textId="1C31101B" w:rsidR="00B337DD" w:rsidRPr="00DE096C" w:rsidRDefault="00B337DD" w:rsidP="00B337DD">
      <w:pPr>
        <w:jc w:val="both"/>
        <w:rPr>
          <w:bCs/>
          <w:i/>
          <w:color w:val="002060"/>
          <w:sz w:val="16"/>
          <w:szCs w:val="16"/>
        </w:rPr>
      </w:pPr>
      <w:r>
        <w:rPr>
          <w:bCs/>
          <w:i/>
          <w:color w:val="002060"/>
          <w:sz w:val="16"/>
          <w:szCs w:val="16"/>
        </w:rPr>
        <w:t>Другие оборонные отрасли</w:t>
      </w:r>
      <w:r w:rsidRPr="00DE096C">
        <w:rPr>
          <w:bCs/>
          <w:i/>
          <w:color w:val="002060"/>
          <w:sz w:val="16"/>
          <w:szCs w:val="16"/>
        </w:rPr>
        <w:t>:</w:t>
      </w:r>
    </w:p>
    <w:p w14:paraId="7EB00D36" w14:textId="77777777" w:rsidR="00B337DD" w:rsidRPr="00DE096C" w:rsidRDefault="00B337DD" w:rsidP="00B337DD">
      <w:pPr>
        <w:jc w:val="both"/>
        <w:rPr>
          <w:bCs/>
          <w:i/>
          <w:color w:val="002060"/>
          <w:sz w:val="16"/>
          <w:szCs w:val="16"/>
        </w:rPr>
      </w:pPr>
    </w:p>
    <w:p w14:paraId="3E96A1FA" w14:textId="77777777" w:rsidR="00B337DD" w:rsidRPr="00B52707" w:rsidRDefault="00B337DD" w:rsidP="00B337DD">
      <w:pPr>
        <w:jc w:val="both"/>
        <w:rPr>
          <w:color w:val="0070C0"/>
          <w:sz w:val="16"/>
          <w:szCs w:val="16"/>
        </w:rPr>
      </w:pPr>
      <w:r w:rsidRPr="00B52707">
        <w:rPr>
          <w:color w:val="0070C0"/>
          <w:sz w:val="16"/>
          <w:szCs w:val="16"/>
        </w:rPr>
        <w:t>14 (27) июля 1914 г. ГУГШ вошло в Со</w:t>
      </w:r>
      <w:r w:rsidRPr="00B52707">
        <w:rPr>
          <w:color w:val="0070C0"/>
          <w:sz w:val="16"/>
          <w:szCs w:val="16"/>
        </w:rPr>
        <w:softHyphen/>
        <w:t>вет министров с представлением о введении закона о военно</w:t>
      </w:r>
      <w:r w:rsidRPr="00B52707">
        <w:rPr>
          <w:color w:val="0070C0"/>
          <w:sz w:val="16"/>
          <w:szCs w:val="16"/>
        </w:rPr>
        <w:softHyphen/>
        <w:t>автомобильной повинности в порядке ст. 87 основных за</w:t>
      </w:r>
      <w:r w:rsidRPr="00B52707">
        <w:rPr>
          <w:color w:val="0070C0"/>
          <w:sz w:val="16"/>
          <w:szCs w:val="16"/>
        </w:rPr>
        <w:softHyphen/>
        <w:t>конов. 17 июля закон этот был, наконец, об'явлен в приказе по воен. вед. от 19 июля за № 435.</w:t>
      </w:r>
    </w:p>
    <w:p w14:paraId="33D0D1C8" w14:textId="77777777" w:rsidR="00B337DD" w:rsidRPr="00B52707" w:rsidRDefault="00B337DD" w:rsidP="00B337DD">
      <w:pPr>
        <w:jc w:val="both"/>
        <w:rPr>
          <w:color w:val="0070C0"/>
          <w:sz w:val="16"/>
          <w:szCs w:val="16"/>
        </w:rPr>
      </w:pPr>
      <w:r w:rsidRPr="00B52707">
        <w:rPr>
          <w:color w:val="0070C0"/>
          <w:sz w:val="16"/>
          <w:szCs w:val="16"/>
        </w:rPr>
        <w:t>Всего при мобилизации у населения было взято по военно-автомобильной повинности 475 грузовых и 3.562 легковых автомобиля, которые и были употреблены на пополнение недостатка самодвижущихся повозок в суще</w:t>
      </w:r>
      <w:r w:rsidRPr="00B52707">
        <w:rPr>
          <w:color w:val="0070C0"/>
          <w:sz w:val="16"/>
          <w:szCs w:val="16"/>
        </w:rPr>
        <w:softHyphen/>
        <w:t>ствовавших к тому времени казенных парках войсковых штабов и автомобильных рот, каковой недостаток к началу войны определился в размере 224 — 275 легковых и 255 гру</w:t>
      </w:r>
      <w:r w:rsidRPr="00B52707">
        <w:rPr>
          <w:color w:val="0070C0"/>
          <w:sz w:val="16"/>
          <w:szCs w:val="16"/>
        </w:rPr>
        <w:softHyphen/>
        <w:t>зовых автомобилей. Кроме того, автомобилями, взятыми у населения, были снабжены сформированные после объявле</w:t>
      </w:r>
      <w:r w:rsidRPr="00B52707">
        <w:rPr>
          <w:color w:val="0070C0"/>
          <w:sz w:val="16"/>
          <w:szCs w:val="16"/>
        </w:rPr>
        <w:softHyphen/>
        <w:t>ния войны 6, 7, 8 и 9 автомобильные роты.</w:t>
      </w:r>
    </w:p>
    <w:p w14:paraId="6D0CB6F3" w14:textId="77777777" w:rsidR="00B337DD" w:rsidRPr="00B52707" w:rsidRDefault="00B337DD" w:rsidP="00B337DD">
      <w:pPr>
        <w:jc w:val="both"/>
        <w:rPr>
          <w:color w:val="0070C0"/>
          <w:sz w:val="16"/>
          <w:szCs w:val="16"/>
        </w:rPr>
      </w:pPr>
      <w:r w:rsidRPr="00B52707">
        <w:rPr>
          <w:color w:val="0070C0"/>
          <w:sz w:val="16"/>
          <w:szCs w:val="16"/>
        </w:rPr>
        <w:t>Вообще, военно - автомобильная повинность (не оправ</w:t>
      </w:r>
      <w:r w:rsidRPr="00B52707">
        <w:rPr>
          <w:color w:val="0070C0"/>
          <w:sz w:val="16"/>
          <w:szCs w:val="16"/>
        </w:rPr>
        <w:softHyphen/>
        <w:t>дала возлагавшихся на нее надежд. Большая часть посту</w:t>
      </w:r>
      <w:r w:rsidRPr="00B52707">
        <w:rPr>
          <w:color w:val="0070C0"/>
          <w:sz w:val="16"/>
          <w:szCs w:val="16"/>
        </w:rPr>
        <w:softHyphen/>
        <w:t>пивших по повинности грузовых автомобилей от продолжи</w:t>
      </w:r>
      <w:r w:rsidRPr="00B52707">
        <w:rPr>
          <w:color w:val="0070C0"/>
          <w:sz w:val="16"/>
          <w:szCs w:val="16"/>
        </w:rPr>
        <w:softHyphen/>
        <w:t>тельного употребления находилась в таком состоянии, которое совершенно не обеспечивало надежной службы их в армии, вследствие чего представилось необходимым в самое ближайшее время заменить их другими;' кроме того, многие автомобили не имели запасных частей (24923).</w:t>
      </w:r>
    </w:p>
    <w:p w14:paraId="1BD38B8E" w14:textId="77777777" w:rsidR="00B337DD" w:rsidRPr="00B52707" w:rsidRDefault="00B337DD" w:rsidP="00B337DD">
      <w:pPr>
        <w:jc w:val="both"/>
        <w:rPr>
          <w:color w:val="0070C0"/>
          <w:sz w:val="16"/>
          <w:szCs w:val="16"/>
        </w:rPr>
      </w:pPr>
    </w:p>
    <w:p w14:paraId="0BA5F58B" w14:textId="77777777" w:rsidR="004E7A9E" w:rsidRPr="00DE096C" w:rsidRDefault="004E7A9E" w:rsidP="00D45A46">
      <w:pPr>
        <w:jc w:val="both"/>
        <w:rPr>
          <w:bCs/>
          <w:i/>
          <w:color w:val="002060"/>
          <w:sz w:val="16"/>
          <w:szCs w:val="16"/>
        </w:rPr>
      </w:pPr>
      <w:r w:rsidRPr="00DE096C">
        <w:rPr>
          <w:bCs/>
          <w:i/>
          <w:color w:val="002060"/>
          <w:sz w:val="16"/>
          <w:szCs w:val="16"/>
        </w:rPr>
        <w:t>Армия:</w:t>
      </w:r>
    </w:p>
    <w:p w14:paraId="78C98991" w14:textId="77777777" w:rsidR="004E7A9E" w:rsidRPr="00DE096C" w:rsidRDefault="004E7A9E" w:rsidP="00D45A46">
      <w:pPr>
        <w:jc w:val="both"/>
        <w:rPr>
          <w:bCs/>
          <w:i/>
          <w:color w:val="002060"/>
          <w:sz w:val="16"/>
          <w:szCs w:val="16"/>
        </w:rPr>
      </w:pPr>
    </w:p>
    <w:p w14:paraId="50C2B1D4" w14:textId="015B5736" w:rsidR="004E7A9E" w:rsidRPr="00DE096C" w:rsidRDefault="004E7A9E" w:rsidP="00D45A46">
      <w:pPr>
        <w:shd w:val="clear" w:color="auto" w:fill="FFFFFF"/>
        <w:jc w:val="both"/>
        <w:rPr>
          <w:bCs/>
          <w:color w:val="002060"/>
          <w:sz w:val="16"/>
          <w:szCs w:val="16"/>
        </w:rPr>
      </w:pPr>
      <w:r w:rsidRPr="00DE096C">
        <w:rPr>
          <w:bCs/>
          <w:color w:val="002060"/>
          <w:sz w:val="16"/>
          <w:szCs w:val="16"/>
        </w:rPr>
        <w:t xml:space="preserve">14 </w:t>
      </w:r>
      <w:r w:rsidR="00BF29AB" w:rsidRPr="00DE096C">
        <w:rPr>
          <w:bCs/>
          <w:color w:val="002060"/>
          <w:sz w:val="16"/>
          <w:szCs w:val="16"/>
        </w:rPr>
        <w:t xml:space="preserve">(27) </w:t>
      </w:r>
      <w:r w:rsidRPr="00DE096C">
        <w:rPr>
          <w:bCs/>
          <w:color w:val="002060"/>
          <w:sz w:val="16"/>
          <w:szCs w:val="16"/>
        </w:rPr>
        <w:t xml:space="preserve">июля 1914 г. </w:t>
      </w:r>
      <w:r w:rsidR="00BF29AB" w:rsidRPr="00DE096C">
        <w:rPr>
          <w:bCs/>
          <w:color w:val="002060"/>
          <w:sz w:val="16"/>
          <w:szCs w:val="16"/>
        </w:rPr>
        <w:t xml:space="preserve">одобрили заявку Санкт-Петербургского военного округа на получение 60 мотоциклов. </w:t>
      </w:r>
      <w:r w:rsidRPr="00DE096C">
        <w:rPr>
          <w:bCs/>
          <w:color w:val="002060"/>
          <w:sz w:val="16"/>
          <w:szCs w:val="16"/>
        </w:rPr>
        <w:t>Однако из-за неотлаженности механизма приобретения этой техники и вскоре начавшейся Первой мировой войны её не испол</w:t>
      </w:r>
      <w:r w:rsidRPr="00DE096C">
        <w:rPr>
          <w:bCs/>
          <w:color w:val="002060"/>
          <w:sz w:val="16"/>
          <w:szCs w:val="16"/>
        </w:rPr>
        <w:softHyphen/>
        <w:t>нили [2.22].</w:t>
      </w:r>
    </w:p>
    <w:p w14:paraId="582CDFDD" w14:textId="77777777" w:rsidR="004E7A9E" w:rsidRPr="00DE096C" w:rsidRDefault="004E7A9E" w:rsidP="00D45A46">
      <w:pPr>
        <w:shd w:val="clear" w:color="auto" w:fill="FFFFFF"/>
        <w:jc w:val="both"/>
        <w:rPr>
          <w:bCs/>
          <w:color w:val="002060"/>
          <w:sz w:val="16"/>
          <w:szCs w:val="16"/>
        </w:rPr>
      </w:pPr>
      <w:r w:rsidRPr="00DE096C">
        <w:rPr>
          <w:bCs/>
          <w:color w:val="002060"/>
          <w:sz w:val="16"/>
          <w:szCs w:val="16"/>
        </w:rPr>
        <w:t>Предполагалось снабжать войска импортными мотоциклами, поскольку к тому времени в России мотоциклы не выпускали в достаточном количестве. Чтобы составить представление о при</w:t>
      </w:r>
      <w:r w:rsidRPr="00DE096C">
        <w:rPr>
          <w:bCs/>
          <w:color w:val="002060"/>
          <w:sz w:val="16"/>
          <w:szCs w:val="16"/>
        </w:rPr>
        <w:softHyphen/>
        <w:t>годности различных иномарок для обеспечения армии, требова</w:t>
      </w:r>
      <w:r w:rsidRPr="00DE096C">
        <w:rPr>
          <w:bCs/>
          <w:color w:val="002060"/>
          <w:sz w:val="16"/>
          <w:szCs w:val="16"/>
        </w:rPr>
        <w:softHyphen/>
        <w:t>лось организовать их испытания. В стране не было научно-иссле</w:t>
      </w:r>
      <w:r w:rsidRPr="00DE096C">
        <w:rPr>
          <w:bCs/>
          <w:color w:val="002060"/>
          <w:sz w:val="16"/>
          <w:szCs w:val="16"/>
        </w:rPr>
        <w:softHyphen/>
        <w:t>довательских учреждений, и ГВТУ решило проводить испыта</w:t>
      </w:r>
      <w:r w:rsidRPr="00DE096C">
        <w:rPr>
          <w:bCs/>
          <w:color w:val="002060"/>
          <w:sz w:val="16"/>
          <w:szCs w:val="16"/>
        </w:rPr>
        <w:softHyphen/>
        <w:t>тельные мотопробеги по замкнутым маршрутам, когда места старта и финиша совпадают (11429).</w:t>
      </w:r>
    </w:p>
    <w:p w14:paraId="4C9516EC" w14:textId="77777777" w:rsidR="004E7A9E" w:rsidRPr="00DE096C" w:rsidRDefault="004E7A9E" w:rsidP="00D45A46">
      <w:pPr>
        <w:shd w:val="clear" w:color="auto" w:fill="FFFFFF"/>
        <w:jc w:val="both"/>
        <w:rPr>
          <w:bCs/>
          <w:color w:val="002060"/>
          <w:sz w:val="16"/>
          <w:szCs w:val="16"/>
        </w:rPr>
      </w:pPr>
    </w:p>
    <w:p w14:paraId="65E388D1" w14:textId="77777777" w:rsidR="00D10A1C" w:rsidRPr="00DE096C" w:rsidRDefault="00D10A1C" w:rsidP="00D45A46">
      <w:pPr>
        <w:jc w:val="both"/>
        <w:rPr>
          <w:bCs/>
          <w:color w:val="002060"/>
          <w:sz w:val="16"/>
          <w:szCs w:val="16"/>
        </w:rPr>
      </w:pPr>
      <w:r w:rsidRPr="00DE096C">
        <w:rPr>
          <w:bCs/>
          <w:color w:val="002060"/>
          <w:sz w:val="16"/>
          <w:szCs w:val="16"/>
        </w:rPr>
        <w:t xml:space="preserve">14 (27) июля 1914 года с вечера, после получения высочайшего указа о мобилизации началась Подготовка крепостной артиллерии Варшавы к военным действиям. Однако мало кто предполагал, что ударам с воздуха будут подвергаться гражданские объекты. А залпового огня пехоты считалось вполне достаточно для уничтожения вражеских летательных аппаратов. Но с приближением противника к Варшаве вопрос обострился. Город находился в центре четырех эллингов противника - Кенигсберге, Торне (ныне Торунь), Позене (Познань) и Бреслау (Вроцлав). Если аэропланы не обладали еще достаточными дальностью полета и бомбовой нагрузкой, </w:t>
      </w:r>
      <w:r w:rsidRPr="00DE096C">
        <w:rPr>
          <w:bCs/>
          <w:color w:val="002060"/>
          <w:sz w:val="16"/>
          <w:szCs w:val="16"/>
        </w:rPr>
        <w:lastRenderedPageBreak/>
        <w:t>то дирижабли, особенно жесткой конструкции «Цеппелин», могли наносить бомбовые удары в значительной глубине тылового района. Поэтому комендант Александровской цитадели, узнав 12 (25) сентября о полете на Варшаву дирижабля со стороны Калиша, приказал подготовиться к возможному бою.</w:t>
      </w:r>
    </w:p>
    <w:p w14:paraId="6504A0E0" w14:textId="77777777" w:rsidR="00D10A1C" w:rsidRPr="00DE096C" w:rsidRDefault="00D10A1C" w:rsidP="00D45A46">
      <w:pPr>
        <w:jc w:val="both"/>
        <w:rPr>
          <w:bCs/>
          <w:color w:val="002060"/>
          <w:sz w:val="16"/>
          <w:szCs w:val="16"/>
        </w:rPr>
      </w:pPr>
      <w:r w:rsidRPr="00DE096C">
        <w:rPr>
          <w:bCs/>
          <w:color w:val="002060"/>
          <w:sz w:val="16"/>
          <w:szCs w:val="16"/>
        </w:rPr>
        <w:t>Спереди и справа от форта № 6 уступом были установлены четыре 3-дм скорострельных орудия батареи подпоручика М.А. Буковского, при орудиях были усилены расчеты, позиция подготовлена к ведению огня при крайнем угле возвышения, в колонии Опачь оставлен наблюдательный пункт, связанный с батареей телефоном; подготовка материальной части велась в соответствии с «Краткими указаниями о стрельбе по воздушным целям» штаба армий Северо-Западного фронта: огонь надлежало открывать с дистанции в пять верст, когда угол цели еще невелик, а эффективность по высоте определялась в 1500 метров. Для увеличения угла возвышения орудия под хоботом лафета делались ровики глубиной до 2 футов (примерно 60 см).</w:t>
      </w:r>
    </w:p>
    <w:p w14:paraId="7D9CA13D" w14:textId="77777777" w:rsidR="00D10A1C" w:rsidRPr="00DE096C" w:rsidRDefault="00D10A1C" w:rsidP="00D45A46">
      <w:pPr>
        <w:jc w:val="both"/>
        <w:rPr>
          <w:bCs/>
          <w:color w:val="002060"/>
          <w:sz w:val="16"/>
          <w:szCs w:val="16"/>
        </w:rPr>
      </w:pPr>
    </w:p>
    <w:p w14:paraId="0E9D3C52" w14:textId="77777777" w:rsidR="00B67D7C" w:rsidRPr="00DE096C" w:rsidRDefault="00B67D7C" w:rsidP="00D45A46">
      <w:pPr>
        <w:jc w:val="both"/>
        <w:rPr>
          <w:bCs/>
          <w:i/>
          <w:color w:val="002060"/>
          <w:sz w:val="16"/>
          <w:szCs w:val="16"/>
        </w:rPr>
      </w:pPr>
      <w:r w:rsidRPr="00DE096C">
        <w:rPr>
          <w:bCs/>
          <w:i/>
          <w:color w:val="002060"/>
          <w:sz w:val="16"/>
          <w:szCs w:val="16"/>
        </w:rPr>
        <w:t>Жизнь и внутренячя политика:</w:t>
      </w:r>
    </w:p>
    <w:p w14:paraId="411FCE6F" w14:textId="77777777" w:rsidR="00B67D7C" w:rsidRPr="00DE096C" w:rsidRDefault="00B67D7C" w:rsidP="00D45A46">
      <w:pPr>
        <w:jc w:val="both"/>
        <w:rPr>
          <w:bCs/>
          <w:i/>
          <w:color w:val="002060"/>
          <w:sz w:val="16"/>
          <w:szCs w:val="16"/>
        </w:rPr>
      </w:pPr>
    </w:p>
    <w:p w14:paraId="7C3F5E73" w14:textId="40D66380" w:rsidR="00BF29AB" w:rsidRPr="00DE096C" w:rsidRDefault="00B67D7C" w:rsidP="00D45A46">
      <w:pPr>
        <w:jc w:val="both"/>
        <w:rPr>
          <w:bCs/>
          <w:color w:val="002060"/>
          <w:sz w:val="16"/>
          <w:szCs w:val="16"/>
        </w:rPr>
      </w:pPr>
      <w:r w:rsidRPr="00DE096C">
        <w:rPr>
          <w:bCs/>
          <w:color w:val="002060"/>
          <w:sz w:val="16"/>
          <w:szCs w:val="16"/>
        </w:rPr>
        <w:t xml:space="preserve">14 </w:t>
      </w:r>
      <w:r w:rsidR="00BF29AB" w:rsidRPr="00DE096C">
        <w:rPr>
          <w:bCs/>
          <w:color w:val="002060"/>
          <w:sz w:val="16"/>
          <w:szCs w:val="16"/>
        </w:rPr>
        <w:t xml:space="preserve">(27) </w:t>
      </w:r>
      <w:r w:rsidRPr="00DE096C">
        <w:rPr>
          <w:bCs/>
          <w:color w:val="002060"/>
          <w:sz w:val="16"/>
          <w:szCs w:val="16"/>
        </w:rPr>
        <w:t>июля была введена военная цензура</w:t>
      </w:r>
    </w:p>
    <w:p w14:paraId="0921C76B" w14:textId="77777777" w:rsidR="00B67D7C" w:rsidRPr="00DE096C" w:rsidRDefault="00B67D7C" w:rsidP="00D45A46">
      <w:pPr>
        <w:pStyle w:val="a3"/>
        <w:jc w:val="both"/>
        <w:rPr>
          <w:bCs/>
          <w:color w:val="002060"/>
          <w:spacing w:val="0"/>
          <w:kern w:val="0"/>
          <w:position w:val="0"/>
          <w:sz w:val="16"/>
          <w:szCs w:val="16"/>
        </w:rPr>
      </w:pPr>
    </w:p>
    <w:p w14:paraId="6FEC1548" w14:textId="77777777" w:rsidR="001E0CA1" w:rsidRPr="00DE096C" w:rsidRDefault="001E0CA1" w:rsidP="00D45A46">
      <w:pPr>
        <w:jc w:val="both"/>
        <w:rPr>
          <w:bCs/>
          <w:i/>
          <w:color w:val="002060"/>
          <w:sz w:val="16"/>
          <w:szCs w:val="16"/>
        </w:rPr>
      </w:pPr>
      <w:r w:rsidRPr="00DE096C">
        <w:rPr>
          <w:bCs/>
          <w:i/>
          <w:color w:val="002060"/>
          <w:sz w:val="16"/>
          <w:szCs w:val="16"/>
        </w:rPr>
        <w:t>За рубежом:</w:t>
      </w:r>
    </w:p>
    <w:p w14:paraId="4EF95AF3" w14:textId="77777777" w:rsidR="001E0CA1" w:rsidRPr="00DE096C" w:rsidRDefault="001E0CA1" w:rsidP="00D45A46">
      <w:pPr>
        <w:jc w:val="both"/>
        <w:rPr>
          <w:bCs/>
          <w:color w:val="002060"/>
          <w:sz w:val="16"/>
          <w:szCs w:val="16"/>
        </w:rPr>
      </w:pPr>
    </w:p>
    <w:p w14:paraId="4F22F66A" w14:textId="77777777" w:rsidR="001E0CA1" w:rsidRPr="00DE096C" w:rsidRDefault="001E0CA1" w:rsidP="00D45A46">
      <w:pPr>
        <w:jc w:val="both"/>
        <w:rPr>
          <w:bCs/>
          <w:color w:val="002060"/>
          <w:sz w:val="16"/>
          <w:szCs w:val="16"/>
        </w:rPr>
      </w:pPr>
      <w:r w:rsidRPr="00DE096C">
        <w:rPr>
          <w:bCs/>
          <w:color w:val="002060"/>
          <w:sz w:val="16"/>
          <w:szCs w:val="16"/>
        </w:rPr>
        <w:t>С 14 (27 июля) по 24 июля (6 августа) 1914 мировой золотой стандарт де-факто исчез, поскольку свободная конвертация золотой валюты была отменена. Только восемь стран — Великобритания, США, Нидерланды, Швейцария, Япония, Австралия, Новая Зеландия и Южно-Африканский Союз — сохранили конвертацию (18155).</w:t>
      </w:r>
    </w:p>
    <w:p w14:paraId="0B542E0E" w14:textId="77777777" w:rsidR="001E0CA1" w:rsidRPr="00DE096C" w:rsidRDefault="001E0CA1" w:rsidP="00D45A46">
      <w:pPr>
        <w:jc w:val="both"/>
        <w:rPr>
          <w:bCs/>
          <w:color w:val="002060"/>
          <w:sz w:val="16"/>
          <w:szCs w:val="16"/>
        </w:rPr>
      </w:pPr>
    </w:p>
    <w:p w14:paraId="473AA3D0" w14:textId="01567F8D" w:rsidR="00E75B54" w:rsidRPr="00DE096C" w:rsidRDefault="00E75B54" w:rsidP="00E75B54">
      <w:pPr>
        <w:jc w:val="both"/>
        <w:rPr>
          <w:bCs/>
          <w:i/>
          <w:color w:val="002060"/>
          <w:sz w:val="16"/>
          <w:szCs w:val="16"/>
        </w:rPr>
      </w:pPr>
      <w:r>
        <w:rPr>
          <w:bCs/>
          <w:i/>
          <w:color w:val="002060"/>
          <w:sz w:val="16"/>
          <w:szCs w:val="16"/>
        </w:rPr>
        <w:t>Самолетостроение</w:t>
      </w:r>
      <w:r w:rsidRPr="00DE096C">
        <w:rPr>
          <w:bCs/>
          <w:i/>
          <w:color w:val="002060"/>
          <w:sz w:val="16"/>
          <w:szCs w:val="16"/>
        </w:rPr>
        <w:t>:</w:t>
      </w:r>
    </w:p>
    <w:p w14:paraId="2FAB2CE5" w14:textId="77777777" w:rsidR="00E75B54" w:rsidRPr="00DE096C" w:rsidRDefault="00E75B54" w:rsidP="00E75B54">
      <w:pPr>
        <w:jc w:val="both"/>
        <w:rPr>
          <w:bCs/>
          <w:i/>
          <w:color w:val="002060"/>
          <w:sz w:val="16"/>
          <w:szCs w:val="16"/>
        </w:rPr>
      </w:pPr>
    </w:p>
    <w:p w14:paraId="3E110476" w14:textId="77777777" w:rsidR="00E75B54" w:rsidRPr="00B52707" w:rsidRDefault="00E75B54" w:rsidP="00E75B54">
      <w:pPr>
        <w:jc w:val="both"/>
        <w:rPr>
          <w:color w:val="0070C0"/>
          <w:sz w:val="16"/>
          <w:szCs w:val="16"/>
        </w:rPr>
      </w:pPr>
      <w:r w:rsidRPr="00B52707">
        <w:rPr>
          <w:color w:val="0070C0"/>
          <w:sz w:val="16"/>
          <w:szCs w:val="16"/>
        </w:rPr>
        <w:t>15 (28) июля 1914 г. «Илья Муромец» вылетел в обратный путь из Киева. На этот раз экипаж состоял из трех человек. Поначалу погода благоприятствовала. Была совершена посадка в Ново-Сокольниках. Дозаправка в Орше проводилась на этот раз быстрее, за счет простого приспособления со сжатым воздухом.</w:t>
      </w:r>
    </w:p>
    <w:p w14:paraId="2DE4E541" w14:textId="77777777" w:rsidR="00E75B54" w:rsidRPr="00B52707" w:rsidRDefault="00E75B54" w:rsidP="00E75B54">
      <w:pPr>
        <w:jc w:val="both"/>
        <w:rPr>
          <w:color w:val="0070C0"/>
          <w:sz w:val="16"/>
          <w:szCs w:val="16"/>
        </w:rPr>
      </w:pPr>
      <w:r w:rsidRPr="00B52707">
        <w:rPr>
          <w:color w:val="0070C0"/>
          <w:sz w:val="16"/>
          <w:szCs w:val="16"/>
        </w:rPr>
        <w:t>Дальше путь был сложный, почти все время трясло. Постоянно стояла жара. Вошли в зону лесных пожаров. Видимость сильно ухудшилась, было даже трудно дышать. При подходе к озеру Велья машину опять бросало вниз с креном в 45° и с таким же углом пикирования. Когда была набрана высота в 1500 метров положение улучшилось. Была замечена одна серьезная неполадка: из крайнего левого двигателя выплескивался бензин. На этот раз пожара удалось избежать.</w:t>
      </w:r>
    </w:p>
    <w:p w14:paraId="413BC5E8" w14:textId="77777777" w:rsidR="00E75B54" w:rsidRPr="00B52707" w:rsidRDefault="00E75B54" w:rsidP="00E75B54">
      <w:pPr>
        <w:jc w:val="both"/>
        <w:rPr>
          <w:color w:val="0070C0"/>
          <w:sz w:val="16"/>
          <w:szCs w:val="16"/>
        </w:rPr>
      </w:pPr>
      <w:r w:rsidRPr="00B52707">
        <w:rPr>
          <w:color w:val="0070C0"/>
          <w:sz w:val="16"/>
          <w:szCs w:val="16"/>
        </w:rPr>
        <w:t>Около пяти вечера на горизонте показался Петербург. Вскоре был совершен заход на Корпусный аэродром. Прославленный «Илья Муромец» преодолел 2500 километров пути. Снова был установлен мировой рекорд.</w:t>
      </w:r>
    </w:p>
    <w:p w14:paraId="2D242036" w14:textId="77777777" w:rsidR="00E75B54" w:rsidRPr="00B52707" w:rsidRDefault="00E75B54" w:rsidP="00E75B54">
      <w:pPr>
        <w:jc w:val="both"/>
        <w:rPr>
          <w:color w:val="0070C0"/>
          <w:sz w:val="16"/>
          <w:szCs w:val="16"/>
        </w:rPr>
      </w:pPr>
      <w:r w:rsidRPr="00B52707">
        <w:rPr>
          <w:color w:val="0070C0"/>
          <w:sz w:val="16"/>
          <w:szCs w:val="16"/>
        </w:rPr>
        <w:t>В честь этого события серия получила название «Киевской» (24965).</w:t>
      </w:r>
    </w:p>
    <w:p w14:paraId="5DF483AB" w14:textId="77777777" w:rsidR="00E75B54" w:rsidRPr="00B52707" w:rsidRDefault="00E75B54" w:rsidP="00E75B54">
      <w:pPr>
        <w:jc w:val="both"/>
        <w:rPr>
          <w:color w:val="0070C0"/>
          <w:sz w:val="16"/>
          <w:szCs w:val="16"/>
        </w:rPr>
      </w:pPr>
    </w:p>
    <w:p w14:paraId="302D083E" w14:textId="0A95EBE0" w:rsidR="00E75B54" w:rsidRPr="00DE096C" w:rsidRDefault="00E75B54" w:rsidP="00E75B54">
      <w:pPr>
        <w:jc w:val="both"/>
        <w:rPr>
          <w:bCs/>
          <w:i/>
          <w:color w:val="002060"/>
          <w:sz w:val="16"/>
          <w:szCs w:val="16"/>
        </w:rPr>
      </w:pPr>
      <w:r w:rsidRPr="00DE096C">
        <w:rPr>
          <w:bCs/>
          <w:i/>
          <w:color w:val="002060"/>
          <w:sz w:val="16"/>
          <w:szCs w:val="16"/>
        </w:rPr>
        <w:t>А</w:t>
      </w:r>
      <w:r>
        <w:rPr>
          <w:bCs/>
          <w:i/>
          <w:color w:val="002060"/>
          <w:sz w:val="16"/>
          <w:szCs w:val="16"/>
        </w:rPr>
        <w:t>виация</w:t>
      </w:r>
      <w:r w:rsidRPr="00DE096C">
        <w:rPr>
          <w:bCs/>
          <w:i/>
          <w:color w:val="002060"/>
          <w:sz w:val="16"/>
          <w:szCs w:val="16"/>
        </w:rPr>
        <w:t>:</w:t>
      </w:r>
    </w:p>
    <w:p w14:paraId="4AA204F2" w14:textId="77777777" w:rsidR="00E75B54" w:rsidRPr="00DE096C" w:rsidRDefault="00E75B54" w:rsidP="00E75B54">
      <w:pPr>
        <w:jc w:val="both"/>
        <w:rPr>
          <w:bCs/>
          <w:i/>
          <w:color w:val="002060"/>
          <w:sz w:val="16"/>
          <w:szCs w:val="16"/>
        </w:rPr>
      </w:pPr>
    </w:p>
    <w:p w14:paraId="55B32937" w14:textId="77777777" w:rsidR="00E75B54" w:rsidRPr="00B52707" w:rsidRDefault="00E75B54" w:rsidP="00E75B54">
      <w:pPr>
        <w:jc w:val="both"/>
        <w:rPr>
          <w:rStyle w:val="ab"/>
          <w:rFonts w:ascii="Times New Roman" w:hAnsi="Times New Roman"/>
          <w:color w:val="0070C0"/>
          <w:spacing w:val="0"/>
          <w:sz w:val="16"/>
          <w:szCs w:val="16"/>
        </w:rPr>
      </w:pPr>
      <w:r w:rsidRPr="00B52707">
        <w:rPr>
          <w:rStyle w:val="ab"/>
          <w:rFonts w:ascii="Times New Roman" w:hAnsi="Times New Roman"/>
          <w:color w:val="0070C0"/>
          <w:spacing w:val="0"/>
          <w:sz w:val="16"/>
          <w:szCs w:val="16"/>
        </w:rPr>
        <w:t>15 (28) июля 1914 г. лётчик Н.Я.Нагурский вместе с самолётом Фарман уже держал курс к берегам Новой Земли па пароходе «Печора». Для поиска пропавшей экспедиции Г.Я. Седова Ян Иосифович получил задание: произнести обследование береговой линии от Кре</w:t>
      </w:r>
      <w:r w:rsidRPr="00B52707">
        <w:rPr>
          <w:rStyle w:val="ab"/>
          <w:rFonts w:ascii="Times New Roman" w:hAnsi="Times New Roman"/>
          <w:color w:val="0070C0"/>
          <w:spacing w:val="0"/>
          <w:sz w:val="16"/>
          <w:szCs w:val="16"/>
        </w:rPr>
        <w:softHyphen/>
        <w:t>стовой губы до Панкратьевых островов.</w:t>
      </w:r>
    </w:p>
    <w:p w14:paraId="5540FCD2" w14:textId="77777777" w:rsidR="00E75B54" w:rsidRPr="00B52707" w:rsidRDefault="00E75B54" w:rsidP="00E75B54">
      <w:pPr>
        <w:jc w:val="both"/>
        <w:rPr>
          <w:color w:val="0070C0"/>
          <w:sz w:val="16"/>
          <w:szCs w:val="16"/>
        </w:rPr>
      </w:pPr>
      <w:r w:rsidRPr="00B52707">
        <w:rPr>
          <w:rStyle w:val="ab"/>
          <w:rFonts w:ascii="Times New Roman" w:hAnsi="Times New Roman"/>
          <w:color w:val="0070C0"/>
          <w:spacing w:val="0"/>
          <w:sz w:val="16"/>
          <w:szCs w:val="16"/>
        </w:rPr>
        <w:t>В первые дни экспедиции гидро</w:t>
      </w:r>
      <w:r w:rsidRPr="00B52707">
        <w:rPr>
          <w:rStyle w:val="ab"/>
          <w:rFonts w:ascii="Times New Roman" w:hAnsi="Times New Roman"/>
          <w:color w:val="0070C0"/>
          <w:spacing w:val="0"/>
          <w:sz w:val="16"/>
          <w:szCs w:val="16"/>
        </w:rPr>
        <w:softHyphen/>
        <w:t>аэроплан Я.И. Нагурского чуть было не применили для другой цели. Ещё во время пребывания нилота в Алексан</w:t>
      </w:r>
      <w:r w:rsidRPr="00B52707">
        <w:rPr>
          <w:rStyle w:val="ab"/>
          <w:rFonts w:ascii="Times New Roman" w:hAnsi="Times New Roman"/>
          <w:color w:val="0070C0"/>
          <w:spacing w:val="0"/>
          <w:sz w:val="16"/>
          <w:szCs w:val="16"/>
        </w:rPr>
        <w:softHyphen/>
        <w:t>дровске стало известно, что Германия объявила войну России. А 8 (21) июля поступило донесение, что немецкий флот якобы движется в Белое море. В связи с этим было предложено ис</w:t>
      </w:r>
      <w:r w:rsidRPr="00B52707">
        <w:rPr>
          <w:rStyle w:val="ab"/>
          <w:rFonts w:ascii="Times New Roman" w:hAnsi="Times New Roman"/>
          <w:color w:val="0070C0"/>
          <w:spacing w:val="0"/>
          <w:sz w:val="16"/>
          <w:szCs w:val="16"/>
        </w:rPr>
        <w:softHyphen/>
        <w:t>пользовать самолёт Нагурского для поиска и уничтожения вражеских судов путём сбрасывания на них динамитных патронов, подготовленных для подрывов льда. Но поскольку германские крейсеры так и не появились, Я.И. 11агурскому не довелось принять участия в боевых действиях на Север</w:t>
      </w:r>
      <w:r w:rsidRPr="00B52707">
        <w:rPr>
          <w:rStyle w:val="ab"/>
          <w:rFonts w:ascii="Times New Roman" w:hAnsi="Times New Roman"/>
          <w:color w:val="0070C0"/>
          <w:spacing w:val="0"/>
          <w:sz w:val="16"/>
          <w:szCs w:val="16"/>
        </w:rPr>
        <w:softHyphen/>
        <w:t>ном морском театре (25653).</w:t>
      </w:r>
    </w:p>
    <w:p w14:paraId="392FD5F6" w14:textId="77777777" w:rsidR="00E75B54" w:rsidRPr="00B52707" w:rsidRDefault="00E75B54" w:rsidP="00E75B54">
      <w:pPr>
        <w:jc w:val="both"/>
        <w:rPr>
          <w:color w:val="0070C0"/>
          <w:sz w:val="16"/>
          <w:szCs w:val="16"/>
        </w:rPr>
      </w:pPr>
    </w:p>
    <w:p w14:paraId="001E88CA" w14:textId="77777777" w:rsidR="00564EB1" w:rsidRPr="00DE096C" w:rsidRDefault="00564EB1" w:rsidP="00D45A46">
      <w:pPr>
        <w:jc w:val="both"/>
        <w:rPr>
          <w:bCs/>
          <w:i/>
          <w:color w:val="002060"/>
          <w:sz w:val="16"/>
          <w:szCs w:val="16"/>
        </w:rPr>
      </w:pPr>
      <w:r w:rsidRPr="00DE096C">
        <w:rPr>
          <w:bCs/>
          <w:i/>
          <w:color w:val="002060"/>
          <w:sz w:val="16"/>
          <w:szCs w:val="16"/>
        </w:rPr>
        <w:t>Армия:</w:t>
      </w:r>
    </w:p>
    <w:p w14:paraId="2E726FD8" w14:textId="77777777" w:rsidR="00564EB1" w:rsidRPr="00DE096C" w:rsidRDefault="00564EB1" w:rsidP="00D45A46">
      <w:pPr>
        <w:jc w:val="both"/>
        <w:rPr>
          <w:bCs/>
          <w:i/>
          <w:color w:val="002060"/>
          <w:sz w:val="16"/>
          <w:szCs w:val="16"/>
        </w:rPr>
      </w:pPr>
    </w:p>
    <w:p w14:paraId="77398FBA" w14:textId="77777777" w:rsidR="00564EB1" w:rsidRPr="00DE096C" w:rsidRDefault="00564EB1" w:rsidP="00D45A46">
      <w:pPr>
        <w:jc w:val="both"/>
        <w:rPr>
          <w:bCs/>
          <w:color w:val="002060"/>
          <w:sz w:val="16"/>
          <w:szCs w:val="16"/>
        </w:rPr>
      </w:pPr>
      <w:r w:rsidRPr="00DE096C">
        <w:rPr>
          <w:bCs/>
          <w:color w:val="002060"/>
          <w:sz w:val="16"/>
          <w:szCs w:val="16"/>
        </w:rPr>
        <w:t>15 (28) июля в 1914 году в ходе подготовки к началу Первой мировой войны 1914–1918 гг. отряд кораблей Балтийского флота под командованием вице-адмирала В.А.Канина выставил минное заграждение на подступах к Кронштадту. Минные заградители «Амур», «Енисей», «Ладога» и «Нарва» за 3 ч 39 мин выставили на Центральной позиции 2124 мины в 8 линий, преградив противнику вход в Финский залив (14966).</w:t>
      </w:r>
    </w:p>
    <w:p w14:paraId="764BCE20" w14:textId="77777777" w:rsidR="00564EB1" w:rsidRPr="00DE096C" w:rsidRDefault="00564EB1" w:rsidP="00D45A46">
      <w:pPr>
        <w:jc w:val="both"/>
        <w:rPr>
          <w:bCs/>
          <w:color w:val="002060"/>
          <w:sz w:val="16"/>
          <w:szCs w:val="16"/>
        </w:rPr>
      </w:pPr>
    </w:p>
    <w:p w14:paraId="3670748C" w14:textId="77777777" w:rsidR="00E75B54" w:rsidRPr="00B52707" w:rsidRDefault="00E75B54" w:rsidP="00E75B54">
      <w:pPr>
        <w:jc w:val="both"/>
        <w:rPr>
          <w:color w:val="0070C0"/>
          <w:sz w:val="16"/>
          <w:szCs w:val="16"/>
        </w:rPr>
      </w:pPr>
      <w:r w:rsidRPr="00B52707">
        <w:rPr>
          <w:color w:val="0070C0"/>
          <w:sz w:val="16"/>
          <w:szCs w:val="16"/>
        </w:rPr>
        <w:t>15 июля (28) 1914 г. было утверждено предположение о сформировании 5 автомобильных рот и 6 отдельных команд. Таким образом, к началу войны в составе автомобиль</w:t>
      </w:r>
      <w:r w:rsidRPr="00B52707">
        <w:rPr>
          <w:color w:val="0070C0"/>
          <w:sz w:val="16"/>
          <w:szCs w:val="16"/>
        </w:rPr>
        <w:softHyphen/>
        <w:t>ных войсковых частей у нас числилось пять автомобильных рот, шесть отдельных команд и Учебная автомобильная рота. Такое количество автомобильных частей было, ко</w:t>
      </w:r>
      <w:r w:rsidRPr="00B52707">
        <w:rPr>
          <w:color w:val="0070C0"/>
          <w:sz w:val="16"/>
          <w:szCs w:val="16"/>
        </w:rPr>
        <w:softHyphen/>
        <w:t>нечно, совершенно недостаточно для обслуживания наших армий во время войны, и увеличение числа их потребова</w:t>
      </w:r>
      <w:r w:rsidRPr="00B52707">
        <w:rPr>
          <w:color w:val="0070C0"/>
          <w:sz w:val="16"/>
          <w:szCs w:val="16"/>
        </w:rPr>
        <w:softHyphen/>
        <w:t>лось с самого начала военных действий (23923).</w:t>
      </w:r>
    </w:p>
    <w:p w14:paraId="1333E00D" w14:textId="77777777" w:rsidR="00E75B54" w:rsidRPr="00B52707" w:rsidRDefault="00E75B54" w:rsidP="00E75B54">
      <w:pPr>
        <w:jc w:val="both"/>
        <w:rPr>
          <w:color w:val="0070C0"/>
          <w:sz w:val="16"/>
          <w:szCs w:val="16"/>
        </w:rPr>
      </w:pPr>
    </w:p>
    <w:p w14:paraId="74817714" w14:textId="77777777" w:rsidR="00847427" w:rsidRPr="00DE096C" w:rsidRDefault="00847427" w:rsidP="00D45A46">
      <w:pPr>
        <w:pStyle w:val="a3"/>
        <w:jc w:val="both"/>
        <w:rPr>
          <w:bCs/>
          <w:color w:val="002060"/>
          <w:spacing w:val="0"/>
          <w:kern w:val="0"/>
          <w:position w:val="0"/>
          <w:sz w:val="16"/>
          <w:szCs w:val="16"/>
        </w:rPr>
      </w:pPr>
      <w:r w:rsidRPr="00DE096C">
        <w:rPr>
          <w:bCs/>
          <w:color w:val="002060"/>
          <w:spacing w:val="0"/>
          <w:kern w:val="0"/>
          <w:position w:val="0"/>
          <w:sz w:val="16"/>
          <w:szCs w:val="16"/>
        </w:rPr>
        <w:t>Авиация и воздухоплавание Англии:</w:t>
      </w:r>
    </w:p>
    <w:p w14:paraId="25C227AA" w14:textId="77777777" w:rsidR="00847427" w:rsidRPr="00DE096C" w:rsidRDefault="00847427" w:rsidP="00D45A46">
      <w:pPr>
        <w:pStyle w:val="a3"/>
        <w:jc w:val="both"/>
        <w:rPr>
          <w:bCs/>
          <w:color w:val="002060"/>
          <w:spacing w:val="0"/>
          <w:kern w:val="0"/>
          <w:position w:val="0"/>
          <w:sz w:val="16"/>
          <w:szCs w:val="16"/>
        </w:rPr>
      </w:pPr>
    </w:p>
    <w:p w14:paraId="0A2311E0" w14:textId="059AFE5F" w:rsidR="00847427" w:rsidRPr="00DE096C" w:rsidRDefault="00847427" w:rsidP="00D45A46">
      <w:pPr>
        <w:jc w:val="both"/>
        <w:rPr>
          <w:bCs/>
          <w:color w:val="002060"/>
          <w:sz w:val="16"/>
          <w:szCs w:val="16"/>
        </w:rPr>
      </w:pPr>
      <w:r w:rsidRPr="00DE096C">
        <w:rPr>
          <w:bCs/>
          <w:color w:val="002060"/>
          <w:sz w:val="16"/>
          <w:szCs w:val="16"/>
        </w:rPr>
        <w:t>Ориентировочно 15 (28) июля 1914 г. самолет Мартинсайд S.1, построенный на заводе фирмы в Бруклендсе (Brooklands, р-н Лондона) совершил первый с аэродрома в Бруклендсе (видимо, этот аэродром был общего пользования – на нем же проводились испытания самолетов Sopwith и др.), а 04.08.14 г. Великобритания вступила в мировую войну. Результаты заводских испытаний найти не удалось – возможно, из-за спешки, вызванной вступлением в войну, никакие документы об этом и не оформлялись.</w:t>
      </w:r>
      <w:r w:rsidR="0006581C">
        <w:rPr>
          <w:bCs/>
          <w:color w:val="002060"/>
          <w:sz w:val="16"/>
          <w:szCs w:val="16"/>
        </w:rPr>
        <w:t xml:space="preserve"> </w:t>
      </w:r>
      <w:r w:rsidRPr="00DE096C">
        <w:rPr>
          <w:bCs/>
          <w:color w:val="002060"/>
          <w:sz w:val="16"/>
          <w:szCs w:val="16"/>
        </w:rPr>
        <w:t xml:space="preserve"> С началом войны самолет был передан на официальные испытания на базу RFC в Фарнборо. Полетов было сделано всего несколько, но завершились только 25.09.14 г. – самолет был принят на вооружение, выкуплен у фирмы и ей было заказано еще 11 таких машин.</w:t>
      </w:r>
    </w:p>
    <w:p w14:paraId="7E717E10" w14:textId="4887C9C6" w:rsidR="00847427" w:rsidRPr="00DE096C" w:rsidRDefault="00847427" w:rsidP="00D45A46">
      <w:pPr>
        <w:jc w:val="both"/>
        <w:rPr>
          <w:bCs/>
          <w:color w:val="002060"/>
          <w:sz w:val="16"/>
          <w:szCs w:val="16"/>
        </w:rPr>
      </w:pPr>
      <w:r w:rsidRPr="00DE096C">
        <w:rPr>
          <w:bCs/>
          <w:color w:val="002060"/>
          <w:sz w:val="16"/>
          <w:szCs w:val="16"/>
        </w:rPr>
        <w:t>11 самолетов первого заказа были сданы RFC в конце 1914 г. На Западный фронт они поступили в январе 1915 г.</w:t>
      </w:r>
      <w:r w:rsidR="0006581C">
        <w:rPr>
          <w:bCs/>
          <w:color w:val="002060"/>
          <w:sz w:val="16"/>
          <w:szCs w:val="16"/>
        </w:rPr>
        <w:t xml:space="preserve"> </w:t>
      </w:r>
      <w:r w:rsidRPr="00DE096C">
        <w:rPr>
          <w:bCs/>
          <w:color w:val="002060"/>
          <w:sz w:val="16"/>
          <w:szCs w:val="16"/>
        </w:rPr>
        <w:t xml:space="preserve"> В начале 1915 г. построено еще 48 самолетов. Итого выпущено 59 серийных машин (23099).</w:t>
      </w:r>
    </w:p>
    <w:p w14:paraId="48704F4A" w14:textId="720BFCDB" w:rsidR="00847427" w:rsidRPr="00DE096C" w:rsidRDefault="00847427" w:rsidP="00D45A46">
      <w:pPr>
        <w:jc w:val="both"/>
        <w:rPr>
          <w:bCs/>
          <w:color w:val="002060"/>
          <w:sz w:val="16"/>
          <w:szCs w:val="16"/>
        </w:rPr>
      </w:pPr>
      <w:r w:rsidRPr="00DE096C">
        <w:rPr>
          <w:bCs/>
          <w:color w:val="002060"/>
          <w:sz w:val="16"/>
          <w:szCs w:val="16"/>
        </w:rPr>
        <w:t>В конце 1914 г. 11 самолетов Мартинсайд S.1 первого заказа были сданы RFC На Западный фронт они поступили в январе 1915 г.</w:t>
      </w:r>
      <w:r w:rsidR="0006581C">
        <w:rPr>
          <w:bCs/>
          <w:color w:val="002060"/>
          <w:sz w:val="16"/>
          <w:szCs w:val="16"/>
        </w:rPr>
        <w:t xml:space="preserve"> </w:t>
      </w:r>
      <w:r w:rsidRPr="00DE096C">
        <w:rPr>
          <w:bCs/>
          <w:color w:val="002060"/>
          <w:sz w:val="16"/>
          <w:szCs w:val="16"/>
        </w:rPr>
        <w:t xml:space="preserve"> В начале 1915 г. построено еще 48 самолетов. Итого выпущено 59 серийных машин (23099).</w:t>
      </w:r>
    </w:p>
    <w:p w14:paraId="179EB5C8" w14:textId="77777777" w:rsidR="00847427" w:rsidRPr="00DE096C" w:rsidRDefault="00847427" w:rsidP="00D45A46">
      <w:pPr>
        <w:jc w:val="both"/>
        <w:rPr>
          <w:bCs/>
          <w:color w:val="002060"/>
          <w:sz w:val="16"/>
          <w:szCs w:val="16"/>
        </w:rPr>
      </w:pPr>
    </w:p>
    <w:p w14:paraId="552F8FB2" w14:textId="77777777" w:rsidR="00564EB1" w:rsidRPr="00DE096C" w:rsidRDefault="00564EB1" w:rsidP="00D45A46">
      <w:pPr>
        <w:jc w:val="both"/>
        <w:rPr>
          <w:bCs/>
          <w:i/>
          <w:color w:val="002060"/>
          <w:sz w:val="16"/>
          <w:szCs w:val="16"/>
        </w:rPr>
      </w:pPr>
      <w:r w:rsidRPr="00DE096C">
        <w:rPr>
          <w:bCs/>
          <w:i/>
          <w:color w:val="002060"/>
          <w:sz w:val="16"/>
          <w:szCs w:val="16"/>
        </w:rPr>
        <w:t>За рубежом:</w:t>
      </w:r>
    </w:p>
    <w:p w14:paraId="1CA87310" w14:textId="77777777" w:rsidR="00564EB1" w:rsidRPr="00DE096C" w:rsidRDefault="00564EB1" w:rsidP="00D45A46">
      <w:pPr>
        <w:jc w:val="both"/>
        <w:rPr>
          <w:bCs/>
          <w:color w:val="002060"/>
          <w:sz w:val="16"/>
          <w:szCs w:val="16"/>
        </w:rPr>
      </w:pPr>
    </w:p>
    <w:p w14:paraId="0552E6A9" w14:textId="77777777" w:rsidR="00564EB1" w:rsidRPr="00DE096C" w:rsidRDefault="00564EB1" w:rsidP="00D45A46">
      <w:pPr>
        <w:jc w:val="both"/>
        <w:rPr>
          <w:bCs/>
          <w:color w:val="002060"/>
          <w:sz w:val="16"/>
          <w:szCs w:val="16"/>
        </w:rPr>
      </w:pPr>
      <w:r w:rsidRPr="00DE096C">
        <w:rPr>
          <w:bCs/>
          <w:color w:val="002060"/>
          <w:sz w:val="16"/>
          <w:szCs w:val="16"/>
        </w:rPr>
        <w:t xml:space="preserve">15 (28) июля 1914 года газеты писали: </w:t>
      </w:r>
      <w:r w:rsidRPr="00DE096C">
        <w:rPr>
          <w:bCs/>
          <w:iCs/>
          <w:color w:val="002060"/>
          <w:sz w:val="16"/>
          <w:szCs w:val="16"/>
          <w:bdr w:val="none" w:sz="0" w:space="0" w:color="auto" w:frame="1"/>
        </w:rPr>
        <w:t>«Биржа пережила панику, какой давно не видела. Даже сведения о созыве чрезвычайного собрания банковского «Красного Креста», обычно влияющие на биржу успокоительно, не оказали сегодня никакого влияния. Все ценности, не исключая государственной ренты, летели вниз с головокружительной быстротой!» (18155).</w:t>
      </w:r>
    </w:p>
    <w:p w14:paraId="58679D90" w14:textId="77777777" w:rsidR="00564EB1" w:rsidRPr="00DE096C" w:rsidRDefault="00564EB1" w:rsidP="00D45A46">
      <w:pPr>
        <w:jc w:val="both"/>
        <w:rPr>
          <w:bCs/>
          <w:color w:val="002060"/>
          <w:sz w:val="16"/>
          <w:szCs w:val="16"/>
        </w:rPr>
      </w:pPr>
    </w:p>
    <w:p w14:paraId="1A1471AF"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Авиация и воздухоплавание Англии:</w:t>
      </w:r>
    </w:p>
    <w:p w14:paraId="1D5A0E48" w14:textId="77777777" w:rsidR="00B67D7C" w:rsidRPr="00DE096C" w:rsidRDefault="00B67D7C" w:rsidP="00D45A46">
      <w:pPr>
        <w:pStyle w:val="a3"/>
        <w:jc w:val="both"/>
        <w:rPr>
          <w:bCs/>
          <w:color w:val="002060"/>
          <w:spacing w:val="0"/>
          <w:kern w:val="0"/>
          <w:position w:val="0"/>
          <w:sz w:val="16"/>
          <w:szCs w:val="16"/>
        </w:rPr>
      </w:pPr>
    </w:p>
    <w:p w14:paraId="6E0C288F" w14:textId="0D0E3F3B" w:rsidR="00B67D7C" w:rsidRPr="00DE096C" w:rsidRDefault="00B67D7C" w:rsidP="00D45A46">
      <w:pPr>
        <w:jc w:val="both"/>
        <w:rPr>
          <w:bCs/>
          <w:color w:val="002060"/>
          <w:sz w:val="16"/>
          <w:szCs w:val="16"/>
        </w:rPr>
      </w:pPr>
      <w:r w:rsidRPr="00DE096C">
        <w:rPr>
          <w:bCs/>
          <w:color w:val="002060"/>
          <w:sz w:val="16"/>
          <w:szCs w:val="16"/>
        </w:rPr>
        <w:t>15 (28)</w:t>
      </w:r>
      <w:r w:rsidR="00BF29AB" w:rsidRPr="00DE096C">
        <w:rPr>
          <w:bCs/>
          <w:color w:val="002060"/>
          <w:sz w:val="16"/>
          <w:szCs w:val="16"/>
        </w:rPr>
        <w:t xml:space="preserve"> июля </w:t>
      </w:r>
      <w:r w:rsidRPr="00DE096C">
        <w:rPr>
          <w:bCs/>
          <w:color w:val="002060"/>
          <w:sz w:val="16"/>
          <w:szCs w:val="16"/>
        </w:rPr>
        <w:t>1914</w:t>
      </w:r>
      <w:r w:rsidR="00BF29AB" w:rsidRPr="00DE096C">
        <w:rPr>
          <w:bCs/>
          <w:color w:val="002060"/>
          <w:sz w:val="16"/>
          <w:szCs w:val="16"/>
        </w:rPr>
        <w:t xml:space="preserve"> г. в Анлии состоялся первый успешный сброс 356-мм торпеды (вес около 385 кг)</w:t>
      </w:r>
      <w:r w:rsidRPr="00DE096C">
        <w:rPr>
          <w:bCs/>
          <w:color w:val="002060"/>
          <w:sz w:val="16"/>
          <w:szCs w:val="16"/>
        </w:rPr>
        <w:t>. Хотя гидросамолет фирмы "Шорт" с 160-сильным мотором успешно справился с этой задачей, приняли решение сконструировать специальный торпедоносец. Так в 1915 г. появился знаменитый "Шорт 184" - самолет, совершивший 12 августа того же года первую боевую торпедную атаку с воздуха. Ее целью являлся одиночный турецкий пароход в Мраморном море. До конца Дарданельской кампании английские "Шорты" совершили еще несколько атак, тяжело повредив транспорт и потопив буксир. Это дало толчок к развитию торпедоносной авиации в других странах, в первую очередь в Германии. Уже 12.9.1916 группа немецких торпедоносцев безуспешно атаковала русский линкор "Слава" в Ирбен- ском проливе. Немцы расширили свои эксперименты, и на следующий год их самолеты в Рижском заливе осуществили первые в истории минные постановки с воздуха. Одновременно германские торпедоносцы, базировавшиеся на аэродромы Фландрии, потопили несколько английских судов в проливе Па- де-Кале. К концу 1917 г. собственными торпедоносцами обзавелись флоты США и Австро-Венгрии, вскоре после окончания войны - Франции и Японии. В межвоенный период небольшими торпедоносными подразделениями обзавелись многие мелкие страны, которые видели угрозу для себя со стороны противников, находящихся за морем, например Голландия, Швеция, Норвегия и т.д.</w:t>
      </w:r>
    </w:p>
    <w:p w14:paraId="637CDC99" w14:textId="77777777" w:rsidR="00B67D7C" w:rsidRPr="00DE096C" w:rsidRDefault="00B67D7C" w:rsidP="00D45A46">
      <w:pPr>
        <w:jc w:val="both"/>
        <w:rPr>
          <w:bCs/>
          <w:color w:val="002060"/>
          <w:sz w:val="16"/>
          <w:szCs w:val="16"/>
        </w:rPr>
      </w:pPr>
      <w:r w:rsidRPr="00DE096C">
        <w:rPr>
          <w:bCs/>
          <w:color w:val="002060"/>
          <w:sz w:val="16"/>
          <w:szCs w:val="16"/>
        </w:rPr>
        <w:t>Сейчас при ретроспективном анализе возникновения и казалось бы, успешного развития торпедоносной авиации трудно не обратить внимание на любопытный факт: несмотря на разрешение всего комплекса технических проблем подвески торпеды под самолет и успешный боевой дебют торпедоносцев в Первой мировой войне, они не смогли в течение межвоенного периода вытеснить другие ударные рода ВВС из состава морской авиации. Почему?</w:t>
      </w:r>
    </w:p>
    <w:p w14:paraId="4827D417" w14:textId="77777777" w:rsidR="00B67D7C" w:rsidRPr="00DE096C" w:rsidRDefault="00B67D7C" w:rsidP="00D45A46">
      <w:pPr>
        <w:jc w:val="both"/>
        <w:rPr>
          <w:bCs/>
          <w:color w:val="002060"/>
          <w:sz w:val="16"/>
          <w:szCs w:val="16"/>
        </w:rPr>
      </w:pPr>
      <w:r w:rsidRPr="00DE096C">
        <w:rPr>
          <w:bCs/>
          <w:color w:val="002060"/>
          <w:sz w:val="16"/>
          <w:szCs w:val="16"/>
        </w:rPr>
        <w:t>Для того чтобы ответить на этот важный вопрос, необходимо рассмотреть все способы атаки кораблей с воздуха (12002).</w:t>
      </w:r>
    </w:p>
    <w:p w14:paraId="3B004F85" w14:textId="77777777" w:rsidR="00B67D7C" w:rsidRPr="00DE096C" w:rsidRDefault="00B67D7C" w:rsidP="00D45A46">
      <w:pPr>
        <w:jc w:val="both"/>
        <w:rPr>
          <w:bCs/>
          <w:color w:val="002060"/>
          <w:sz w:val="16"/>
          <w:szCs w:val="16"/>
        </w:rPr>
      </w:pPr>
    </w:p>
    <w:p w14:paraId="0DD2F8AF" w14:textId="7D34CDFB" w:rsidR="00BF29AB" w:rsidRPr="00DE096C" w:rsidRDefault="00BF29AB" w:rsidP="00D45A46">
      <w:pPr>
        <w:jc w:val="both"/>
        <w:rPr>
          <w:bCs/>
          <w:color w:val="002060"/>
          <w:sz w:val="16"/>
          <w:szCs w:val="16"/>
        </w:rPr>
      </w:pPr>
      <w:r w:rsidRPr="00DE096C">
        <w:rPr>
          <w:bCs/>
          <w:color w:val="002060"/>
          <w:sz w:val="16"/>
          <w:szCs w:val="16"/>
        </w:rPr>
        <w:lastRenderedPageBreak/>
        <w:t xml:space="preserve">15 (28) июля в 1914 году состоялся первый в мире опытный сброс торпеды с </w:t>
      </w:r>
      <w:hyperlink r:id="rId32" w:tgtFrame="_blank" w:history="1">
        <w:r w:rsidRPr="00DE096C">
          <w:rPr>
            <w:bCs/>
            <w:color w:val="002060"/>
            <w:sz w:val="16"/>
            <w:szCs w:val="16"/>
          </w:rPr>
          <w:t xml:space="preserve">самолета «тип 184» («Short» «S.184»). </w:t>
        </w:r>
      </w:hyperlink>
      <w:r w:rsidRPr="00DE096C">
        <w:rPr>
          <w:bCs/>
          <w:color w:val="002060"/>
          <w:sz w:val="16"/>
          <w:szCs w:val="16"/>
        </w:rPr>
        <w:t>Выпускались самолеты в модификации полутораплана с укороченным нижним крылом. Имелось два варианта размещения экипажа. Если летчик находился в передней кабине, задняя оснащалась турелью с пулеметом. Пилотская кабина могла располагаться сзади. В этом случае турель поднималась над передней кабиной на стойках до уровня верхнего крыла. Стрелку приходилось становиться на сиденье, но зато он мог вести огонь на 360°. Торпеда калибра 350 мм и массой 408 кг подвешивалась между поплавками. При взлете торпеда практически полностью находилась в воде, а потому сильно тормозила движение машины. В морской авиации самолет называли "Два-два-пять" (14966).</w:t>
      </w:r>
    </w:p>
    <w:p w14:paraId="719B1C0D" w14:textId="77777777" w:rsidR="00BF29AB" w:rsidRPr="00DE096C" w:rsidRDefault="00BF29AB" w:rsidP="00D45A46">
      <w:pPr>
        <w:jc w:val="both"/>
        <w:rPr>
          <w:bCs/>
          <w:color w:val="002060"/>
          <w:sz w:val="16"/>
          <w:szCs w:val="16"/>
        </w:rPr>
      </w:pPr>
    </w:p>
    <w:p w14:paraId="15F78101" w14:textId="77777777" w:rsidR="001E0CA1" w:rsidRPr="00DE096C" w:rsidRDefault="001E0CA1" w:rsidP="00D45A46">
      <w:pPr>
        <w:jc w:val="both"/>
        <w:rPr>
          <w:bCs/>
          <w:i/>
          <w:color w:val="002060"/>
          <w:sz w:val="16"/>
          <w:szCs w:val="16"/>
        </w:rPr>
      </w:pPr>
      <w:r w:rsidRPr="00DE096C">
        <w:rPr>
          <w:bCs/>
          <w:i/>
          <w:color w:val="002060"/>
          <w:sz w:val="16"/>
          <w:szCs w:val="16"/>
        </w:rPr>
        <w:t>За рубежом:</w:t>
      </w:r>
    </w:p>
    <w:p w14:paraId="531CB51D" w14:textId="77777777" w:rsidR="001E0CA1" w:rsidRPr="00DE096C" w:rsidRDefault="001E0CA1" w:rsidP="00D45A46">
      <w:pPr>
        <w:jc w:val="both"/>
        <w:rPr>
          <w:bCs/>
          <w:color w:val="002060"/>
          <w:sz w:val="16"/>
          <w:szCs w:val="16"/>
        </w:rPr>
      </w:pPr>
    </w:p>
    <w:p w14:paraId="0F5D0AC1" w14:textId="77777777" w:rsidR="001E0CA1" w:rsidRPr="00DE096C" w:rsidRDefault="001E0CA1" w:rsidP="00D45A46">
      <w:pPr>
        <w:jc w:val="both"/>
        <w:rPr>
          <w:bCs/>
          <w:color w:val="002060"/>
          <w:sz w:val="16"/>
          <w:szCs w:val="16"/>
        </w:rPr>
      </w:pPr>
      <w:r w:rsidRPr="00DE096C">
        <w:rPr>
          <w:bCs/>
          <w:color w:val="002060"/>
          <w:sz w:val="16"/>
          <w:szCs w:val="16"/>
        </w:rPr>
        <w:t xml:space="preserve">15 (28) июля в 1914 году Австро-Венгрия объявляет войну Сербии. Пройдет несколько дней, и война перерастет в мировую. Вот как описывается ее возникновение в издании Скобелевского комитета "Вторая отечественная война по рассказам ее героев" (с приближением орфографии к правилам начала века): "Полубольной сербъ-фанатикъ, изъ самой-же австрiйской Боснiи, изстрадавшiйся, по его словамъ, за невыносимое австрiйское иго надъ боснiйскими славянами, двумя выстрелами покончилъ съ наследнымъ австрiйским эрцгерцогомъ Францемъ-Фердинандомъ и его марганатической супругой Марiей Хотекъ. По германской подсказке Австрiя обвинила въ этом убiйстве всю Сербiю. Въ Боснiи начались антисербскie погромы. Видные сербы были арестованы и линчевались въ темницахъ. Сербское королевство тотчасъ-же после злодеянiя выразило глубокое сочувствiе Австрiи по поводу тяжелой утраты и оффицiально заявило, что Сербiя, как государство, совершенно неповинно въ крови престолонаследника. Желая обострить отношенiя, Австрiя не обратила вниманiя на такое заявленiе Сербiи и 10 iюля (даты по старому стилю) передала сербскому правительству ноту-ультиматумъ, въ которой ему предлагалось дать согласiе въ теченiе сорока восьми часовъ на то, чтобы Австрiя лично вела судебное следствiе въ Сербiи по делу убiйства престолонасследника съ правом захвата и ареста техъ сербовъ, коихъ арестовать она сочтетъ необходимымъ, а также полнаго подчиненiя въ этомъ деле Австрiи всехъ сербскихъ властей. Можетъ ли допустить любое независимое государство, чтобы на его территорiи хозяйничали власти другого государства? Конечно, нетъ!.. Въ такую страшную минуту для маленькой Сербiи, когда, казалось, она была обречена на растерзанiе, раздался любвеобильный голосъ Верховнаго Покровителя Славянъ — Россiйскаго Императора. Въ телеграмме на имя Сербскаго наследнаго королевича, который, по болезни отца своего, Короля Сербiи, управляетъ всей страной, Его Величество изволилъ сообщить Королевичу: "Пока есть малейшая надежда избежать кровопролитiя — все Наши усилия должны быть направлены къ этой цели. Если-же, вопреки Нашимъ искреннимъ желанiямъ, Мы въ этомъ не успеемъ, Ваше Высочество можете быть уверены, что ни въ какомъ случае Россiя не останется равнодушной къ участи Сербiи". Германiя и Австрiя не пожелали считаться съ такими определенными словами русской наболевшей души и, съ полнаго одобренiя Германiи, какъ это теперь известно, австрiйцы 16 iюля, безъ особаго объявленiя, начали войну съ Сербiей и подвергли обстрелу Сербскую столицу Белградъ..." </w:t>
      </w:r>
    </w:p>
    <w:p w14:paraId="7F725332" w14:textId="77777777" w:rsidR="001E0CA1" w:rsidRPr="00DE096C" w:rsidRDefault="001E0CA1" w:rsidP="00D45A46">
      <w:pPr>
        <w:jc w:val="both"/>
        <w:rPr>
          <w:bCs/>
          <w:color w:val="002060"/>
          <w:sz w:val="16"/>
          <w:szCs w:val="16"/>
        </w:rPr>
      </w:pPr>
    </w:p>
    <w:p w14:paraId="672AADE2" w14:textId="2070FE10" w:rsidR="006E4D00" w:rsidRPr="00DE096C" w:rsidRDefault="006E4D00" w:rsidP="00D45A46">
      <w:pPr>
        <w:jc w:val="both"/>
        <w:rPr>
          <w:bCs/>
          <w:color w:val="002060"/>
          <w:sz w:val="16"/>
          <w:szCs w:val="16"/>
          <w:lang w:bidi="en-US"/>
        </w:rPr>
      </w:pPr>
      <w:r w:rsidRPr="00DE096C">
        <w:rPr>
          <w:bCs/>
          <w:color w:val="002060"/>
          <w:sz w:val="16"/>
          <w:szCs w:val="16"/>
          <w:lang w:bidi="en-US"/>
        </w:rPr>
        <w:t>15 (28) июля 1914 года Австро-Венгрия объявила войну Сербии. Это было началом Первой мировой войны (23525).</w:t>
      </w:r>
    </w:p>
    <w:p w14:paraId="22221299" w14:textId="77777777" w:rsidR="006E4D00" w:rsidRPr="00DE096C" w:rsidRDefault="006E4D00" w:rsidP="00D45A46">
      <w:pPr>
        <w:jc w:val="both"/>
        <w:rPr>
          <w:bCs/>
          <w:color w:val="002060"/>
          <w:sz w:val="16"/>
          <w:szCs w:val="16"/>
        </w:rPr>
      </w:pPr>
    </w:p>
    <w:p w14:paraId="412BFB12" w14:textId="45CB44FA" w:rsidR="001E0CA1" w:rsidRPr="00DE096C" w:rsidRDefault="001E0CA1" w:rsidP="00D45A46">
      <w:pPr>
        <w:jc w:val="both"/>
        <w:rPr>
          <w:bCs/>
          <w:color w:val="002060"/>
          <w:sz w:val="16"/>
          <w:szCs w:val="16"/>
        </w:rPr>
      </w:pPr>
      <w:r w:rsidRPr="00DE096C">
        <w:rPr>
          <w:bCs/>
          <w:color w:val="002060"/>
          <w:sz w:val="16"/>
          <w:szCs w:val="16"/>
        </w:rPr>
        <w:t>15 (28) июля 1914 В венском Первом сберегательном банке 7000 вкладчиков забрали свои вклады. За несколько дней перед войной сумма вкладов в банках Германии сократилась на 20%. Во Франции осаждённые толпами банки выдали сумму, эквивалентную 120 млн фунтов стерлингов, при том, что общие запасы золота в центральном «Банк де Франс» оценивались в 165 млн фунтов стерлингов (18155).</w:t>
      </w:r>
    </w:p>
    <w:p w14:paraId="4F4BB994" w14:textId="77777777" w:rsidR="001E0CA1" w:rsidRPr="00DE096C" w:rsidRDefault="001E0CA1" w:rsidP="00D45A46">
      <w:pPr>
        <w:jc w:val="both"/>
        <w:rPr>
          <w:bCs/>
          <w:color w:val="002060"/>
          <w:sz w:val="16"/>
          <w:szCs w:val="16"/>
        </w:rPr>
      </w:pPr>
    </w:p>
    <w:p w14:paraId="3DCBB153" w14:textId="77777777" w:rsidR="00F7703E" w:rsidRPr="00DE096C" w:rsidRDefault="00F7703E" w:rsidP="00D45A46">
      <w:pPr>
        <w:pStyle w:val="a3"/>
        <w:jc w:val="both"/>
        <w:rPr>
          <w:bCs/>
          <w:color w:val="002060"/>
          <w:spacing w:val="0"/>
          <w:kern w:val="0"/>
          <w:position w:val="0"/>
          <w:sz w:val="16"/>
          <w:szCs w:val="16"/>
        </w:rPr>
      </w:pPr>
      <w:r w:rsidRPr="00DE096C">
        <w:rPr>
          <w:bCs/>
          <w:color w:val="002060"/>
          <w:spacing w:val="0"/>
          <w:kern w:val="0"/>
          <w:position w:val="0"/>
          <w:sz w:val="16"/>
          <w:szCs w:val="16"/>
        </w:rPr>
        <w:t>Самолетостроение:</w:t>
      </w:r>
    </w:p>
    <w:p w14:paraId="4A5E9771" w14:textId="77777777" w:rsidR="00F7703E" w:rsidRPr="00DE096C" w:rsidRDefault="00F7703E" w:rsidP="00D45A46">
      <w:pPr>
        <w:pStyle w:val="a3"/>
        <w:jc w:val="both"/>
        <w:rPr>
          <w:bCs/>
          <w:color w:val="002060"/>
          <w:spacing w:val="0"/>
          <w:kern w:val="0"/>
          <w:position w:val="0"/>
          <w:sz w:val="16"/>
          <w:szCs w:val="16"/>
        </w:rPr>
      </w:pPr>
    </w:p>
    <w:p w14:paraId="54885759" w14:textId="77777777" w:rsidR="00583D75" w:rsidRPr="00B52707" w:rsidRDefault="00583D75" w:rsidP="00583D75">
      <w:pPr>
        <w:jc w:val="both"/>
        <w:rPr>
          <w:color w:val="0070C0"/>
          <w:sz w:val="16"/>
          <w:szCs w:val="16"/>
        </w:rPr>
      </w:pPr>
      <w:r w:rsidRPr="00B52707">
        <w:rPr>
          <w:color w:val="0070C0"/>
          <w:sz w:val="16"/>
          <w:szCs w:val="16"/>
        </w:rPr>
        <w:t>В середине июля 1914 г. третий выпущенный с завода корабль, установленный на поплавки по заказу Морского ведомства и отправленный в разобранном виде по железной дороге в район Риги со всем имуществом, был доставлен к месту сборки, собран и опробован лейтенантом Лавровым в полете. О своем пробном полете Лавров писал Сикорскому, что «муромец» легко оторвался от воды, показал нормальную управляемость, но медленно набирает высоту, и ему не удалось поднять корабль выше 1500 м. Лавров считал, что надо сменить моторы «Сальмсон» на «Аргус».</w:t>
      </w:r>
    </w:p>
    <w:p w14:paraId="0D8BD969" w14:textId="77777777" w:rsidR="00583D75" w:rsidRPr="00B52707" w:rsidRDefault="00583D75" w:rsidP="00583D75">
      <w:pPr>
        <w:jc w:val="both"/>
        <w:rPr>
          <w:color w:val="0070C0"/>
          <w:sz w:val="16"/>
          <w:szCs w:val="16"/>
        </w:rPr>
      </w:pPr>
      <w:r w:rsidRPr="00B52707">
        <w:rPr>
          <w:color w:val="0070C0"/>
          <w:sz w:val="16"/>
          <w:szCs w:val="16"/>
        </w:rPr>
        <w:t>Морское командование рассчитывало использовать «муромец» для наблюдения за морем и не согласилось на перестановку моторов, тем более что немецкие моторы «Аргус» с началом войны стали недоступны. Лаврову было приказано перелететь на остров Эзель, где была подготовлена стоянка для корабля, установлена палатка и отправлена команда для охраны. Вскоре Лавров прибыл на остров и, найдя приготовленный ангар-палатку, приказал завести корабль и установить связь с береговыми постами наблюдения (24965).</w:t>
      </w:r>
    </w:p>
    <w:p w14:paraId="49205016" w14:textId="77777777" w:rsidR="00583D75" w:rsidRPr="00B52707" w:rsidRDefault="00583D75" w:rsidP="00583D75">
      <w:pPr>
        <w:jc w:val="both"/>
        <w:rPr>
          <w:color w:val="0070C0"/>
          <w:sz w:val="16"/>
          <w:szCs w:val="16"/>
        </w:rPr>
      </w:pPr>
    </w:p>
    <w:p w14:paraId="4A4E557E" w14:textId="77777777" w:rsidR="00F7703E" w:rsidRPr="00DE096C" w:rsidRDefault="00F7703E" w:rsidP="00D45A46">
      <w:pPr>
        <w:jc w:val="both"/>
        <w:rPr>
          <w:bCs/>
          <w:color w:val="002060"/>
          <w:sz w:val="16"/>
          <w:szCs w:val="16"/>
        </w:rPr>
      </w:pPr>
      <w:r w:rsidRPr="00DE096C">
        <w:rPr>
          <w:bCs/>
          <w:color w:val="002060"/>
          <w:sz w:val="16"/>
          <w:szCs w:val="16"/>
        </w:rPr>
        <w:t>В середине июля 1914 года построили первый (из 2-х) Ще-2, и 1 августа начались испытания в Гребном порту. Они закончились катастрофой, летчик П.В.Евсюков погиб. Второй был сдан флоту в сентябре 1914 года после доработки. Летал на Черноморском флоте.</w:t>
      </w:r>
    </w:p>
    <w:p w14:paraId="3A32A348" w14:textId="77777777" w:rsidR="00F7703E" w:rsidRPr="00DE096C" w:rsidRDefault="00F7703E" w:rsidP="00D45A46">
      <w:pPr>
        <w:jc w:val="both"/>
        <w:rPr>
          <w:bCs/>
          <w:color w:val="002060"/>
          <w:sz w:val="16"/>
          <w:szCs w:val="16"/>
        </w:rPr>
      </w:pPr>
      <w:r w:rsidRPr="00DE096C">
        <w:rPr>
          <w:bCs/>
          <w:color w:val="002060"/>
          <w:sz w:val="16"/>
          <w:szCs w:val="16"/>
        </w:rPr>
        <w:t>Щ-2 (Морской второй) - более крупная, тоже двухместная, с двигателем Калеп в 80 л. с. Размеры и площадь крыльев были значительно увеличены, обводы лодки сильно изменены. Хвостовая часть трехгранного сечения (вершиной вверх) была приподнята на хвосте. Угол продольной килеватости был очень мал, редан вогнут и невысок. Под хвостом была пристроена на шарнирах лыжа. Коробка крыльев, установленная над корпусом лодки, монтировалась на стойках мотоустановки на высоте 100 мм над лодкой. Стабилизатор был сильно увеличен. Впервые в России постройка корпуса лодки Щ-2 производилась на стапеле килем вверх. Построено всего 2 самолета.</w:t>
      </w:r>
    </w:p>
    <w:p w14:paraId="43AED932" w14:textId="77777777" w:rsidR="00F7703E" w:rsidRPr="00DE096C" w:rsidRDefault="00F7703E" w:rsidP="00D45A46">
      <w:pPr>
        <w:jc w:val="both"/>
        <w:rPr>
          <w:bCs/>
          <w:color w:val="002060"/>
          <w:sz w:val="16"/>
          <w:szCs w:val="16"/>
        </w:rPr>
      </w:pPr>
      <w:r w:rsidRPr="00DE096C">
        <w:rPr>
          <w:bCs/>
          <w:color w:val="002060"/>
          <w:sz w:val="16"/>
          <w:szCs w:val="16"/>
        </w:rPr>
        <w:t xml:space="preserve">За Щ-2 последовала летающая лодка Щ-3. Это было видоизменение самолета Щ-2 с двигателем Гном-Моносупап в 100 л. с. Корпус лодки оставлен прежний, но еще раз был изменен профиль крыльев. Полеты показали, что улучшений по сравнению с лодкой Щ-2 не получилось. Неудовлетворительной была мореходность. После опытной лодки Щ-3 была выпушена серийная летающая лодка Щ-4. Этот гидросамолет являлся видоизменением Щ-3 с тем же двигателем. Был изменен профиль крыльев и незначительно - корпус лодки. Редан был вогнутый, низкий, угол продольной килеватости очень малый. Стабилизатор был сделан с изменяемым в полете углом установки, для чего служил винтовой подъемник под его передней кромкой. Работы проводились осенью 1914-1915 гг. Все проведенные изменения дали некоторое улучшение и после испытаний, проведенных в Севастополе, летающая лодка Щ-4 была принята морским ведомством в шести экземплярах на Черноморском флоте к февралю 1915 года. </w:t>
      </w:r>
    </w:p>
    <w:p w14:paraId="25CF3D6A" w14:textId="77777777" w:rsidR="00F7703E" w:rsidRPr="00DE096C" w:rsidRDefault="00F7703E" w:rsidP="00D45A46">
      <w:pPr>
        <w:jc w:val="both"/>
        <w:rPr>
          <w:bCs/>
          <w:color w:val="002060"/>
          <w:sz w:val="16"/>
          <w:szCs w:val="16"/>
        </w:rPr>
      </w:pPr>
      <w:r w:rsidRPr="00DE096C">
        <w:rPr>
          <w:bCs/>
          <w:color w:val="002060"/>
          <w:sz w:val="16"/>
          <w:szCs w:val="16"/>
        </w:rPr>
        <w:t xml:space="preserve">ЛТХ: Размах крыльев - 13.68 м, длинна 8 м, площадь крыла 33.5 м.кв., масса пустого самолета 420 кг, нормальная взлетная 820 кг, на аппараты ставились моторы Гном мощностью 80 л.с., макс.скорость 90 км/ч, крейсерская скорость 70 км/ч, дальность полета 220-250 км, потолок 2000 м, экипаж 2 человека, вооружение: не предусматривалось, с началом войны ставились пулеметы Максим на импровизированной установке или ружье-пулеметы Мадсены или Федорова обр.1913 года. Пилоты могли брать 15-30 кг бомб в кабину (12284). </w:t>
      </w:r>
    </w:p>
    <w:p w14:paraId="1A73D4B7" w14:textId="77777777" w:rsidR="00F7703E" w:rsidRPr="00DE096C" w:rsidRDefault="00F7703E" w:rsidP="00D45A46">
      <w:pPr>
        <w:jc w:val="both"/>
        <w:rPr>
          <w:bCs/>
          <w:color w:val="002060"/>
          <w:sz w:val="16"/>
          <w:szCs w:val="16"/>
        </w:rPr>
      </w:pPr>
    </w:p>
    <w:p w14:paraId="271B4D04"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Самолетостроение:</w:t>
      </w:r>
    </w:p>
    <w:p w14:paraId="5D665BA8" w14:textId="77777777" w:rsidR="00B67D7C" w:rsidRPr="00DE096C" w:rsidRDefault="00B67D7C" w:rsidP="00D45A46">
      <w:pPr>
        <w:pStyle w:val="a3"/>
        <w:jc w:val="both"/>
        <w:rPr>
          <w:bCs/>
          <w:color w:val="002060"/>
          <w:spacing w:val="0"/>
          <w:kern w:val="0"/>
          <w:position w:val="0"/>
          <w:sz w:val="16"/>
          <w:szCs w:val="16"/>
        </w:rPr>
      </w:pPr>
    </w:p>
    <w:p w14:paraId="3AD727A1" w14:textId="07617795"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16 (29) июля 1914 </w:t>
      </w:r>
      <w:r w:rsidR="000A25A6" w:rsidRPr="00DE096C">
        <w:rPr>
          <w:bCs/>
          <w:color w:val="002060"/>
          <w:sz w:val="16"/>
          <w:szCs w:val="16"/>
        </w:rPr>
        <w:t>морской ИМ</w:t>
      </w:r>
      <w:r w:rsidRPr="00DE096C">
        <w:rPr>
          <w:bCs/>
          <w:color w:val="002060"/>
          <w:sz w:val="16"/>
          <w:szCs w:val="16"/>
        </w:rPr>
        <w:t>, пилотируем</w:t>
      </w:r>
      <w:r w:rsidR="00BF29AB" w:rsidRPr="00DE096C">
        <w:rPr>
          <w:bCs/>
          <w:color w:val="002060"/>
          <w:sz w:val="16"/>
          <w:szCs w:val="16"/>
        </w:rPr>
        <w:t>ый</w:t>
      </w:r>
      <w:r w:rsidRPr="00DE096C">
        <w:rPr>
          <w:bCs/>
          <w:color w:val="002060"/>
          <w:sz w:val="16"/>
          <w:szCs w:val="16"/>
        </w:rPr>
        <w:t xml:space="preserve"> лейтенантом Г.И. Лавровым, направилс</w:t>
      </w:r>
      <w:r w:rsidR="00BF29AB" w:rsidRPr="00DE096C">
        <w:rPr>
          <w:bCs/>
          <w:color w:val="002060"/>
          <w:sz w:val="16"/>
          <w:szCs w:val="16"/>
        </w:rPr>
        <w:t>я</w:t>
      </w:r>
      <w:r w:rsidRPr="00DE096C">
        <w:rPr>
          <w:bCs/>
          <w:color w:val="002060"/>
          <w:sz w:val="16"/>
          <w:szCs w:val="16"/>
        </w:rPr>
        <w:t xml:space="preserve"> из Либавы в Кильконд, но из-за каких-то неполадок был вынужден приводниться в бухте Карал на острове Эзель. Утром следующего дня на помощь устремилась команда с островной базы, тем более, что в том же месте еще один русский гидроаэроплан с летчиком лейтенантом И.И. Куль</w:t>
      </w:r>
      <w:r w:rsidRPr="00DE096C">
        <w:rPr>
          <w:bCs/>
          <w:color w:val="002060"/>
          <w:sz w:val="16"/>
          <w:szCs w:val="16"/>
        </w:rPr>
        <w:softHyphen/>
        <w:t>невым также ожидал содействия в ремонте. Однако известие об объявлении войны 19 июля Г.И. Лавров встретил на прежней злополучной стоянке, а 21 июля последняя запись об "Илье Муромце", сделанная в вахтенном журнале 2-й морской авиастанции в Кильконде, звучала следующим образом:</w:t>
      </w:r>
    </w:p>
    <w:p w14:paraId="6B181F0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"Аппарат "Илья Муромец" под командою лейтенанта Лаврова вышел, руля по воде, из бухты Карал, испугавшись миноносцев неприятеля. Т.к. уйти за неисправностью моторов не мог, открыли баки с бензином, подожгли, а поплавки изпорубили. Люди вернулись на рыбацкой шлюпке".</w:t>
      </w:r>
    </w:p>
    <w:p w14:paraId="176B640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тот же день Лавров отправился в Ревель и вскоре едва избежал суда, т.к. корабли, принятые им за германские, на деле не были таковыми (2843).</w:t>
      </w:r>
    </w:p>
    <w:p w14:paraId="0DEA212A" w14:textId="77777777" w:rsidR="00B67D7C" w:rsidRPr="00DE096C" w:rsidRDefault="00B67D7C" w:rsidP="00D45A46">
      <w:pPr>
        <w:shd w:val="clear" w:color="auto" w:fill="FFFFFF"/>
        <w:jc w:val="both"/>
        <w:rPr>
          <w:bCs/>
          <w:color w:val="002060"/>
          <w:sz w:val="16"/>
          <w:szCs w:val="16"/>
        </w:rPr>
      </w:pPr>
    </w:p>
    <w:p w14:paraId="6A0704F3" w14:textId="0F53B042" w:rsidR="00AC39E6" w:rsidRPr="00DE096C" w:rsidRDefault="00AC39E6" w:rsidP="00D45A46">
      <w:pPr>
        <w:jc w:val="both"/>
        <w:rPr>
          <w:bCs/>
          <w:color w:val="002060"/>
          <w:sz w:val="16"/>
          <w:szCs w:val="16"/>
        </w:rPr>
      </w:pPr>
      <w:r w:rsidRPr="00DE096C">
        <w:rPr>
          <w:bCs/>
          <w:color w:val="002060"/>
          <w:sz w:val="16"/>
          <w:szCs w:val="16"/>
        </w:rPr>
        <w:t xml:space="preserve">16 </w:t>
      </w:r>
      <w:r w:rsidR="00BF29AB" w:rsidRPr="00DE096C">
        <w:rPr>
          <w:bCs/>
          <w:color w:val="002060"/>
          <w:sz w:val="16"/>
          <w:szCs w:val="16"/>
        </w:rPr>
        <w:t xml:space="preserve">(29) </w:t>
      </w:r>
      <w:r w:rsidRPr="00DE096C">
        <w:rPr>
          <w:bCs/>
          <w:color w:val="002060"/>
          <w:sz w:val="16"/>
          <w:szCs w:val="16"/>
        </w:rPr>
        <w:t>июля в 1914 году гидросамолет «ИМ», пилотируемый Г.И.Лавровым, летел из Либавы в Кильконд, но из-за неполадок совершил вынужденную посадку в бухте Карал на о.Эзель. Несмотря на высланную помощь, известие об объявлении войны 19 июля Г.И.Лавров встретил на прежней злополучной стоянке, а 21 июля в вахтенном журнале 2-й морской станции в Кильконде появилась последняя запись об "Илье Муромце":</w:t>
      </w:r>
    </w:p>
    <w:p w14:paraId="2A55BD10" w14:textId="77777777" w:rsidR="00AC39E6" w:rsidRPr="00DE096C" w:rsidRDefault="00AC39E6" w:rsidP="00D45A46">
      <w:pPr>
        <w:jc w:val="both"/>
        <w:rPr>
          <w:bCs/>
          <w:color w:val="002060"/>
          <w:sz w:val="16"/>
          <w:szCs w:val="16"/>
        </w:rPr>
      </w:pPr>
      <w:r w:rsidRPr="00DE096C">
        <w:rPr>
          <w:bCs/>
          <w:color w:val="002060"/>
          <w:sz w:val="16"/>
          <w:szCs w:val="16"/>
        </w:rPr>
        <w:t>"Аппарат "Илья Муромец" под командою лейтенанта Лаврова вышел, руля по воде, из бухты Карал, испугавшись неприятеля. Так как уйти за неисправностью моторов не мог, открыли баки с бензином, подожгли, а поплавки порубили. Люди вернулись на рыбацкой шлюпке". К сожалению, корабли, принятые за немецкие, на самом деле таковыми не являлись (14954).</w:t>
      </w:r>
    </w:p>
    <w:p w14:paraId="3642E009" w14:textId="03339921" w:rsidR="00AC39E6" w:rsidRPr="00DE096C" w:rsidRDefault="00AC39E6" w:rsidP="00D45A46">
      <w:pPr>
        <w:jc w:val="both"/>
        <w:rPr>
          <w:bCs/>
          <w:color w:val="002060"/>
          <w:sz w:val="16"/>
          <w:szCs w:val="16"/>
        </w:rPr>
      </w:pPr>
    </w:p>
    <w:p w14:paraId="6D8648D9" w14:textId="0BB44765" w:rsidR="00203CD2" w:rsidRPr="00DE096C" w:rsidRDefault="00203CD2" w:rsidP="00D45A46">
      <w:pPr>
        <w:jc w:val="both"/>
        <w:rPr>
          <w:bCs/>
          <w:i/>
          <w:iCs/>
          <w:color w:val="002060"/>
          <w:sz w:val="16"/>
          <w:szCs w:val="16"/>
        </w:rPr>
      </w:pPr>
      <w:r w:rsidRPr="00DE096C">
        <w:rPr>
          <w:bCs/>
          <w:i/>
          <w:iCs/>
          <w:color w:val="002060"/>
          <w:sz w:val="16"/>
          <w:szCs w:val="16"/>
        </w:rPr>
        <w:t>Другие оборонные отрасли:</w:t>
      </w:r>
    </w:p>
    <w:p w14:paraId="13FAD165" w14:textId="77777777" w:rsidR="00203CD2" w:rsidRPr="00DE096C" w:rsidRDefault="00203CD2" w:rsidP="00D45A46">
      <w:pPr>
        <w:jc w:val="both"/>
        <w:rPr>
          <w:bCs/>
          <w:color w:val="002060"/>
          <w:sz w:val="16"/>
          <w:szCs w:val="16"/>
        </w:rPr>
      </w:pPr>
    </w:p>
    <w:p w14:paraId="1EA88984" w14:textId="48A2E43F" w:rsidR="00203CD2" w:rsidRPr="00DE096C" w:rsidRDefault="00203CD2" w:rsidP="00D45A46">
      <w:pPr>
        <w:jc w:val="both"/>
        <w:rPr>
          <w:bCs/>
          <w:color w:val="002060"/>
          <w:sz w:val="16"/>
          <w:szCs w:val="16"/>
        </w:rPr>
      </w:pPr>
      <w:r w:rsidRPr="00DE096C">
        <w:rPr>
          <w:bCs/>
          <w:color w:val="002060"/>
          <w:sz w:val="16"/>
          <w:szCs w:val="16"/>
        </w:rPr>
        <w:t xml:space="preserve">16 (29) июля </w:t>
      </w:r>
      <w:r w:rsidR="007305C5" w:rsidRPr="00DE096C">
        <w:rPr>
          <w:bCs/>
          <w:color w:val="002060"/>
          <w:sz w:val="16"/>
          <w:szCs w:val="16"/>
        </w:rPr>
        <w:t xml:space="preserve">1914 г. </w:t>
      </w:r>
      <w:r w:rsidRPr="00DE096C">
        <w:rPr>
          <w:bCs/>
          <w:color w:val="002060"/>
          <w:sz w:val="16"/>
          <w:szCs w:val="16"/>
        </w:rPr>
        <w:t>в 5 верстах от Риги по Митавскому (Елгавскому) шоссе завершился 3-й автопробег имени вел. кн. Виктории Федоровны в присутствии самой покровительницы гонок и ее супруга. В семь часов вечера супруги, встречаемые толпами горожан, прибыли в украшенную национальными флагами Ригу. а в 10 присутствовали на рауте в Дворянском собрании.</w:t>
      </w:r>
    </w:p>
    <w:p w14:paraId="42B05EDA" w14:textId="77777777" w:rsidR="00203CD2" w:rsidRPr="00DE096C" w:rsidRDefault="00203CD2" w:rsidP="00D45A46">
      <w:pPr>
        <w:jc w:val="both"/>
        <w:rPr>
          <w:bCs/>
          <w:color w:val="002060"/>
          <w:sz w:val="16"/>
          <w:szCs w:val="16"/>
        </w:rPr>
      </w:pPr>
    </w:p>
    <w:p w14:paraId="11B1E87B" w14:textId="77777777" w:rsidR="007305C5" w:rsidRPr="00DE096C" w:rsidRDefault="007305C5" w:rsidP="00D45A46">
      <w:pPr>
        <w:jc w:val="both"/>
        <w:rPr>
          <w:bCs/>
          <w:color w:val="002060"/>
          <w:sz w:val="16"/>
          <w:szCs w:val="16"/>
        </w:rPr>
      </w:pPr>
      <w:r w:rsidRPr="00DE096C">
        <w:rPr>
          <w:bCs/>
          <w:color w:val="002060"/>
          <w:sz w:val="16"/>
          <w:szCs w:val="16"/>
        </w:rPr>
        <w:t xml:space="preserve">16 (29) июля 1914 г. было утверждено Положение которое стало известным исполнителям после начала войны. Положение шло даже в разрез с назначением, задачами и деятельностью артарсеналов и отчасти с деятельностью артскладов. </w:t>
      </w:r>
    </w:p>
    <w:p w14:paraId="71306716" w14:textId="2C1B1AAE" w:rsidR="007305C5" w:rsidRPr="00DE096C" w:rsidRDefault="007305C5" w:rsidP="00D45A46">
      <w:pPr>
        <w:jc w:val="both"/>
        <w:rPr>
          <w:bCs/>
          <w:color w:val="002060"/>
          <w:sz w:val="16"/>
          <w:szCs w:val="16"/>
        </w:rPr>
      </w:pPr>
      <w:r w:rsidRPr="00DE096C">
        <w:rPr>
          <w:bCs/>
          <w:color w:val="002060"/>
          <w:sz w:val="16"/>
          <w:szCs w:val="16"/>
        </w:rPr>
        <w:t xml:space="preserve">Создавшаяся с первых же шагов применения Положения обстановка внесла большую путаницу в работу ГАУ, распоряжения которого в некоторых случаях даже не исполнялись артиллерийскими складами и арсеналами, находящимися на театре войны. </w:t>
      </w:r>
    </w:p>
    <w:p w14:paraId="68EF9DDE" w14:textId="3BEB3A49" w:rsidR="007305C5" w:rsidRPr="00DE096C" w:rsidRDefault="007305C5" w:rsidP="00D45A46">
      <w:pPr>
        <w:jc w:val="both"/>
        <w:rPr>
          <w:bCs/>
          <w:color w:val="002060"/>
          <w:sz w:val="16"/>
          <w:szCs w:val="16"/>
        </w:rPr>
      </w:pPr>
      <w:r w:rsidRPr="00DE096C">
        <w:rPr>
          <w:bCs/>
          <w:color w:val="002060"/>
          <w:sz w:val="16"/>
          <w:szCs w:val="16"/>
        </w:rPr>
        <w:t xml:space="preserve">Взаимоотношения фронтов и отдельных армий с центральным органом артснабжения вне театра военных действий, т. е. с ГАУ, никем не регулируемые, естественно, не могли иметь положительных результатов, вследствие чего замечалась неравномерность обеспечения войск артимуществом и несогласованность обеспечения с оперативными заданиями. </w:t>
      </w:r>
    </w:p>
    <w:p w14:paraId="4B88369F" w14:textId="3BB1A012" w:rsidR="007305C5" w:rsidRPr="00DE096C" w:rsidRDefault="007305C5" w:rsidP="00D45A46">
      <w:pPr>
        <w:jc w:val="both"/>
        <w:rPr>
          <w:bCs/>
          <w:color w:val="002060"/>
          <w:sz w:val="16"/>
          <w:szCs w:val="16"/>
        </w:rPr>
      </w:pPr>
      <w:r w:rsidRPr="00DE096C">
        <w:rPr>
          <w:bCs/>
          <w:color w:val="002060"/>
          <w:sz w:val="16"/>
          <w:szCs w:val="16"/>
        </w:rPr>
        <w:t xml:space="preserve">Положение 1914 г. во многом противоречило жизненным потребностям армии в боевом снабжении; оно явно недооценивало значение артиллерийского снабжения как в целом, так и в отдельных действиях. </w:t>
      </w:r>
    </w:p>
    <w:p w14:paraId="43A45DF5" w14:textId="1E1A6E31" w:rsidR="007305C5" w:rsidRPr="00DE096C" w:rsidRDefault="007305C5" w:rsidP="00D45A46">
      <w:pPr>
        <w:jc w:val="both"/>
        <w:rPr>
          <w:bCs/>
          <w:color w:val="002060"/>
          <w:sz w:val="16"/>
          <w:szCs w:val="16"/>
        </w:rPr>
      </w:pPr>
      <w:r w:rsidRPr="00DE096C">
        <w:rPr>
          <w:bCs/>
          <w:color w:val="002060"/>
          <w:sz w:val="16"/>
          <w:szCs w:val="16"/>
        </w:rPr>
        <w:t xml:space="preserve">Все это обнаружилось в первые же месяцы мировой войны. </w:t>
      </w:r>
    </w:p>
    <w:p w14:paraId="13B564EF" w14:textId="77777777" w:rsidR="007305C5" w:rsidRPr="00DE096C" w:rsidRDefault="007305C5" w:rsidP="00D45A46">
      <w:pPr>
        <w:jc w:val="both"/>
        <w:rPr>
          <w:bCs/>
          <w:color w:val="002060"/>
          <w:sz w:val="16"/>
          <w:szCs w:val="16"/>
        </w:rPr>
      </w:pPr>
      <w:r w:rsidRPr="00DE096C">
        <w:rPr>
          <w:bCs/>
          <w:color w:val="002060"/>
          <w:sz w:val="16"/>
          <w:szCs w:val="16"/>
        </w:rPr>
        <w:t xml:space="preserve">Однако, доводы рассудка и очевидности не так скоро доходили до сознания Ставки, пренебрежение которой отчасти ко всему артиллерийскому делу красной нитью сквозило во всех ее действиях до 1916 г. Потребовалось немало жертв и крупный неудач, прежде чем Положение 1914 г. стали перерабатывать соответственно потребностям жизни, подходя все ближе и ближе... к старому Положению 1890 г. </w:t>
      </w:r>
    </w:p>
    <w:p w14:paraId="30EDF200" w14:textId="77777777" w:rsidR="007305C5" w:rsidRPr="00DE096C" w:rsidRDefault="007305C5" w:rsidP="00D45A46">
      <w:pPr>
        <w:jc w:val="both"/>
        <w:rPr>
          <w:bCs/>
          <w:color w:val="002060"/>
          <w:sz w:val="16"/>
          <w:szCs w:val="16"/>
        </w:rPr>
      </w:pPr>
      <w:r w:rsidRPr="00DE096C">
        <w:rPr>
          <w:bCs/>
          <w:color w:val="002060"/>
          <w:sz w:val="16"/>
          <w:szCs w:val="16"/>
        </w:rPr>
        <w:t>Потребовались все поражения 1915 г., чтобы, наконец, 5 января 1916 г. был отдан приказ наштаверха за № 24 с объявлением Положения о полевом генерал-инспекторе артиллерии и его управлении (Упарте). Но и в данном случае бывший генерал-квартирмейстер Штаба главковерха Ю. Н. Данилов оставался упрямо верным себе. Чрезвычайно характерно заключение его по поводу проекта Положения о полевом генерал-инспекторе артиллерии: "По моему мнению, следовало бы относиться с осторожностью ко всяким дополнительным формированиям в период войны" (11483).</w:t>
      </w:r>
    </w:p>
    <w:p w14:paraId="3369C749" w14:textId="77777777" w:rsidR="007305C5" w:rsidRPr="00DE096C" w:rsidRDefault="007305C5" w:rsidP="00D45A46">
      <w:pPr>
        <w:jc w:val="both"/>
        <w:rPr>
          <w:bCs/>
          <w:color w:val="002060"/>
          <w:sz w:val="16"/>
          <w:szCs w:val="16"/>
        </w:rPr>
      </w:pPr>
    </w:p>
    <w:p w14:paraId="3E998F36"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Армия:</w:t>
      </w:r>
    </w:p>
    <w:p w14:paraId="2417F192" w14:textId="77777777" w:rsidR="00B67D7C" w:rsidRPr="00DE096C" w:rsidRDefault="00B67D7C" w:rsidP="00D45A46">
      <w:pPr>
        <w:shd w:val="clear" w:color="auto" w:fill="FFFFFF"/>
        <w:jc w:val="both"/>
        <w:rPr>
          <w:bCs/>
          <w:i/>
          <w:color w:val="002060"/>
          <w:sz w:val="16"/>
          <w:szCs w:val="16"/>
        </w:rPr>
      </w:pPr>
    </w:p>
    <w:p w14:paraId="161A4A0A" w14:textId="77777777" w:rsidR="00583D75" w:rsidRPr="00B52707" w:rsidRDefault="00583D75" w:rsidP="00583D75">
      <w:pPr>
        <w:jc w:val="both"/>
        <w:rPr>
          <w:color w:val="0070C0"/>
          <w:sz w:val="16"/>
          <w:szCs w:val="16"/>
        </w:rPr>
      </w:pPr>
      <w:r w:rsidRPr="00B52707">
        <w:rPr>
          <w:rStyle w:val="ab"/>
          <w:rFonts w:ascii="Times New Roman" w:hAnsi="Times New Roman"/>
          <w:color w:val="0070C0"/>
          <w:spacing w:val="0"/>
          <w:sz w:val="16"/>
          <w:szCs w:val="16"/>
        </w:rPr>
        <w:t>16 (29) июля 1914 г. был подписан Именной Высочайший Указ о переводе на военное положение части армии и флота. Приграничные западные военные округа и их военные крепости были переведены на военное положение. На основании вышеуказанных правовых актов комендантами крепостей принимались соответствующие решения, включавшие введение полного запрета на полеты иностранных воздушных судов над пунктами и районами, переведенными на военное положение (ранее разрешались лишь полеты, согласованные с российской стороной) (25166).</w:t>
      </w:r>
    </w:p>
    <w:p w14:paraId="09971F01" w14:textId="77777777" w:rsidR="00583D75" w:rsidRPr="00B52707" w:rsidRDefault="00583D75" w:rsidP="00583D75">
      <w:pPr>
        <w:jc w:val="both"/>
        <w:rPr>
          <w:color w:val="0070C0"/>
          <w:sz w:val="16"/>
          <w:szCs w:val="16"/>
        </w:rPr>
      </w:pPr>
    </w:p>
    <w:p w14:paraId="65BB7D0C" w14:textId="77777777" w:rsidR="00847427" w:rsidRPr="00DE096C" w:rsidRDefault="00847427" w:rsidP="00D45A46">
      <w:pPr>
        <w:shd w:val="clear" w:color="auto" w:fill="FFFFFF"/>
        <w:jc w:val="both"/>
        <w:rPr>
          <w:bCs/>
          <w:color w:val="002060"/>
          <w:sz w:val="16"/>
          <w:szCs w:val="16"/>
        </w:rPr>
      </w:pPr>
      <w:r w:rsidRPr="00DE096C">
        <w:rPr>
          <w:bCs/>
          <w:color w:val="002060"/>
          <w:sz w:val="16"/>
          <w:szCs w:val="16"/>
          <w:shd w:val="clear" w:color="auto" w:fill="FFFFFF"/>
        </w:rPr>
        <w:t>16 (29) июля 1914 г. великий князь Александр Михайлович написал императору письмо, в котором просил в случае войны с Австрией и Германией дать ему какое-нибудь назначение в армию, </w:t>
      </w:r>
      <w:r w:rsidRPr="00DE096C">
        <w:rPr>
          <w:bCs/>
          <w:color w:val="002060"/>
          <w:sz w:val="16"/>
          <w:szCs w:val="16"/>
          <w:bdr w:val="none" w:sz="0" w:space="0" w:color="auto" w:frame="1"/>
          <w:shd w:val="clear" w:color="auto" w:fill="FFFFFF"/>
        </w:rPr>
        <w:t>«куда угодно и на что угодно, роту, полк — что хочешь, только в первую линию»</w:t>
      </w:r>
      <w:r w:rsidRPr="00DE096C">
        <w:rPr>
          <w:bCs/>
          <w:color w:val="002060"/>
          <w:sz w:val="16"/>
          <w:szCs w:val="16"/>
          <w:shd w:val="clear" w:color="auto" w:fill="FFFFFF"/>
        </w:rPr>
        <w:t>, а 14 августа на него была возложена обязанность руководить </w:t>
      </w:r>
      <w:r w:rsidRPr="00DE096C">
        <w:rPr>
          <w:bCs/>
          <w:color w:val="002060"/>
          <w:sz w:val="16"/>
          <w:szCs w:val="16"/>
          <w:bdr w:val="none" w:sz="0" w:space="0" w:color="auto" w:frame="1"/>
          <w:shd w:val="clear" w:color="auto" w:fill="FFFFFF"/>
        </w:rPr>
        <w:t>«устройством и обеспечением различными видами специального имущества авиационных и воздухоплавательных частей Юго-Западного фронта»</w:t>
      </w:r>
      <w:r w:rsidRPr="00DE096C">
        <w:rPr>
          <w:bCs/>
          <w:color w:val="002060"/>
          <w:sz w:val="16"/>
          <w:szCs w:val="16"/>
          <w:shd w:val="clear" w:color="auto" w:fill="FFFFFF"/>
        </w:rPr>
        <w:t>. А 3 сентября 1915 г. по распоряжению императора «для установления единообразия в обучении летчиков и постановки такого обучения на вполне рациональных началах и в соответствие с требованиями, вытекающими из опыта войны, возложить на все время настоящей войны на Августейшего заведующего организацией авиационного дела в действующей армии великого князя Александра Михайловича... общее руководство деятельностью как военных, так и частных авиационных школ, а равно и Офицерской воздухоплавательной школы по всем отделам обучения». Ему предоставлялось </w:t>
      </w:r>
      <w:r w:rsidRPr="00DE096C">
        <w:rPr>
          <w:bCs/>
          <w:color w:val="002060"/>
          <w:sz w:val="16"/>
          <w:szCs w:val="16"/>
          <w:bdr w:val="none" w:sz="0" w:space="0" w:color="auto" w:frame="1"/>
          <w:shd w:val="clear" w:color="auto" w:fill="FFFFFF"/>
        </w:rPr>
        <w:t>«право давать руководящие указания по вопросам обшего направления деятельности школ, инспектировать все означенные школы, а также входить в непосредственные сношения по вопросам обучения с соответствующими Главными управлениями Военного министерства... В целях полного согласования дела снабжения авиационных и воздухоплавательных частей с интересами армии предоставить Августейшему заведующему организацией авиационного дела в действующей армии право давать руководящие указания по вопросам, касающимися заказов и приема этого имущества, проверять деятельность всех заводов, изготовляющих авиационное и воздухоплавательное имущество, и складов, хранящих и отправляющих такое имущество в армию, а равно входить по изложенным вопросам в непосредственные сношения с подлежащими Главными управлениями Военного министерства»{</w:t>
      </w:r>
      <w:r w:rsidRPr="00DE096C">
        <w:rPr>
          <w:bCs/>
          <w:color w:val="002060"/>
          <w:sz w:val="16"/>
          <w:szCs w:val="16"/>
          <w:shd w:val="clear" w:color="auto" w:fill="FFFFFF"/>
        </w:rPr>
        <w:t xml:space="preserve"> ГАРФ. Ф. 555. Oп. 1. Д. 141. Л. 1, 2.</w:t>
      </w:r>
      <w:r w:rsidRPr="00DE096C">
        <w:rPr>
          <w:bCs/>
          <w:color w:val="002060"/>
          <w:sz w:val="16"/>
          <w:szCs w:val="16"/>
          <w:bdr w:val="none" w:sz="0" w:space="0" w:color="auto" w:frame="1"/>
          <w:shd w:val="clear" w:color="auto" w:fill="FFFFFF"/>
        </w:rPr>
        <w:t xml:space="preserve"> }</w:t>
      </w:r>
      <w:r w:rsidRPr="00DE096C">
        <w:rPr>
          <w:bCs/>
          <w:color w:val="002060"/>
          <w:sz w:val="16"/>
          <w:szCs w:val="16"/>
          <w:shd w:val="clear" w:color="auto" w:fill="FFFFFF"/>
        </w:rPr>
        <w:t>. В 1916 г. великий князь получил звание полевого генерала-инспектора военно-воздушного флота (19949).</w:t>
      </w:r>
    </w:p>
    <w:p w14:paraId="64B9290C" w14:textId="77777777" w:rsidR="00847427" w:rsidRPr="00DE096C" w:rsidRDefault="00847427" w:rsidP="00D45A46">
      <w:pPr>
        <w:shd w:val="clear" w:color="auto" w:fill="FFFFFF"/>
        <w:jc w:val="both"/>
        <w:rPr>
          <w:bCs/>
          <w:color w:val="002060"/>
          <w:sz w:val="16"/>
          <w:szCs w:val="16"/>
        </w:rPr>
      </w:pPr>
    </w:p>
    <w:p w14:paraId="31173351"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Внешняя политика:</w:t>
      </w:r>
    </w:p>
    <w:p w14:paraId="62186C70" w14:textId="77777777" w:rsidR="00B67D7C" w:rsidRPr="00DE096C" w:rsidRDefault="00B67D7C" w:rsidP="00D45A46">
      <w:pPr>
        <w:pStyle w:val="a3"/>
        <w:jc w:val="both"/>
        <w:rPr>
          <w:bCs/>
          <w:color w:val="002060"/>
          <w:spacing w:val="0"/>
          <w:kern w:val="0"/>
          <w:position w:val="0"/>
          <w:sz w:val="16"/>
          <w:szCs w:val="16"/>
        </w:rPr>
      </w:pPr>
    </w:p>
    <w:p w14:paraId="033D5074" w14:textId="4B4AAA91" w:rsidR="001E0CA1" w:rsidRPr="00DE096C" w:rsidRDefault="001E0CA1" w:rsidP="00D45A46">
      <w:pPr>
        <w:jc w:val="both"/>
        <w:rPr>
          <w:bCs/>
          <w:color w:val="002060"/>
          <w:sz w:val="16"/>
          <w:szCs w:val="16"/>
        </w:rPr>
      </w:pPr>
      <w:r w:rsidRPr="00DE096C">
        <w:rPr>
          <w:bCs/>
          <w:color w:val="002060"/>
          <w:sz w:val="16"/>
          <w:szCs w:val="16"/>
        </w:rPr>
        <w:t>16 (29) июля в 1914 году спустя месяц после убийства австрийского эрцгерцога Франца Фердинанда, совершенного сербами в Сараеве, столице</w:t>
      </w:r>
      <w:r w:rsidR="00564DB5" w:rsidRPr="00DE096C">
        <w:rPr>
          <w:bCs/>
          <w:color w:val="002060"/>
          <w:sz w:val="16"/>
          <w:szCs w:val="16"/>
        </w:rPr>
        <w:t>,</w:t>
      </w:r>
      <w:r w:rsidRPr="00DE096C">
        <w:rPr>
          <w:bCs/>
          <w:color w:val="002060"/>
          <w:sz w:val="16"/>
          <w:szCs w:val="16"/>
        </w:rPr>
        <w:t xml:space="preserve"> входившей тогда в состав Австро-Венгрии провинции Босния и Герцеговина, австрийские войска произвели с боснийской территории артиллерийский обстрел столицы Сербии Белграда. Никакого военного эффекта эта вооруженная акция не произвела, но уже вечером в России была объявлена мобилизация, а еще через 3 дня началась Первая мировая война (14967).</w:t>
      </w:r>
    </w:p>
    <w:p w14:paraId="62441F05" w14:textId="77777777" w:rsidR="001E0CA1" w:rsidRPr="00DE096C" w:rsidRDefault="001E0CA1" w:rsidP="00D45A46">
      <w:pPr>
        <w:jc w:val="both"/>
        <w:rPr>
          <w:bCs/>
          <w:color w:val="002060"/>
          <w:sz w:val="16"/>
          <w:szCs w:val="16"/>
        </w:rPr>
      </w:pPr>
    </w:p>
    <w:p w14:paraId="6A66FB73" w14:textId="77777777" w:rsidR="001E0CA1" w:rsidRPr="00DE096C" w:rsidRDefault="001E0CA1" w:rsidP="00D45A46">
      <w:pPr>
        <w:jc w:val="both"/>
        <w:rPr>
          <w:bCs/>
          <w:i/>
          <w:color w:val="002060"/>
          <w:sz w:val="16"/>
          <w:szCs w:val="16"/>
        </w:rPr>
      </w:pPr>
      <w:r w:rsidRPr="00DE096C">
        <w:rPr>
          <w:bCs/>
          <w:i/>
          <w:color w:val="002060"/>
          <w:sz w:val="16"/>
          <w:szCs w:val="16"/>
        </w:rPr>
        <w:t>За рубежом:</w:t>
      </w:r>
    </w:p>
    <w:p w14:paraId="0BC96C8F" w14:textId="77777777" w:rsidR="001E0CA1" w:rsidRPr="00DE096C" w:rsidRDefault="001E0CA1" w:rsidP="00D45A46">
      <w:pPr>
        <w:jc w:val="both"/>
        <w:rPr>
          <w:bCs/>
          <w:color w:val="002060"/>
          <w:sz w:val="16"/>
          <w:szCs w:val="16"/>
        </w:rPr>
      </w:pPr>
    </w:p>
    <w:p w14:paraId="49564E24" w14:textId="77777777" w:rsidR="001E0CA1" w:rsidRPr="00DE096C" w:rsidRDefault="001E0CA1" w:rsidP="00D45A46">
      <w:pPr>
        <w:jc w:val="both"/>
        <w:rPr>
          <w:bCs/>
          <w:color w:val="002060"/>
          <w:sz w:val="16"/>
          <w:szCs w:val="16"/>
        </w:rPr>
      </w:pPr>
      <w:r w:rsidRPr="00DE096C">
        <w:rPr>
          <w:bCs/>
          <w:color w:val="002060"/>
          <w:sz w:val="16"/>
          <w:szCs w:val="16"/>
        </w:rPr>
        <w:t>16 (29) июля в 1914 году пускается в строй первая трансамериканская телефонная линия Нью-Йорк - Сан-Франциско (14967).</w:t>
      </w:r>
    </w:p>
    <w:p w14:paraId="0F008AA8" w14:textId="77777777" w:rsidR="001E0CA1" w:rsidRPr="00DE096C" w:rsidRDefault="001E0CA1" w:rsidP="00D45A46">
      <w:pPr>
        <w:jc w:val="both"/>
        <w:rPr>
          <w:bCs/>
          <w:color w:val="002060"/>
          <w:sz w:val="16"/>
          <w:szCs w:val="16"/>
        </w:rPr>
      </w:pPr>
    </w:p>
    <w:p w14:paraId="22D3FEC3" w14:textId="77777777" w:rsidR="00447E42" w:rsidRPr="00DE096C" w:rsidRDefault="00447E42" w:rsidP="00D45A46">
      <w:pPr>
        <w:jc w:val="both"/>
        <w:rPr>
          <w:bCs/>
          <w:i/>
          <w:color w:val="002060"/>
          <w:sz w:val="16"/>
          <w:szCs w:val="16"/>
        </w:rPr>
      </w:pPr>
      <w:r w:rsidRPr="00DE096C">
        <w:rPr>
          <w:bCs/>
          <w:i/>
          <w:color w:val="002060"/>
          <w:sz w:val="16"/>
          <w:szCs w:val="16"/>
        </w:rPr>
        <w:t>Другие оборонные отрасли:</w:t>
      </w:r>
    </w:p>
    <w:p w14:paraId="39E14D5E" w14:textId="77777777" w:rsidR="00447E42" w:rsidRPr="00DE096C" w:rsidRDefault="00447E42" w:rsidP="00D45A46">
      <w:pPr>
        <w:jc w:val="both"/>
        <w:rPr>
          <w:bCs/>
          <w:i/>
          <w:color w:val="002060"/>
          <w:sz w:val="16"/>
          <w:szCs w:val="16"/>
        </w:rPr>
      </w:pPr>
    </w:p>
    <w:p w14:paraId="1361D06A" w14:textId="5956537F" w:rsidR="00447E42" w:rsidRPr="00DE096C" w:rsidRDefault="00447E42" w:rsidP="00D45A46">
      <w:pPr>
        <w:pStyle w:val="31"/>
        <w:shd w:val="clear" w:color="auto" w:fill="auto"/>
        <w:spacing w:line="240" w:lineRule="auto"/>
        <w:ind w:firstLine="0"/>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 xml:space="preserve">17 </w:t>
      </w:r>
      <w:r w:rsidR="004405DB" w:rsidRPr="00DE096C">
        <w:rPr>
          <w:rFonts w:ascii="Times New Roman" w:hAnsi="Times New Roman" w:cs="Times New Roman"/>
          <w:bCs/>
          <w:color w:val="002060"/>
          <w:sz w:val="16"/>
          <w:szCs w:val="16"/>
        </w:rPr>
        <w:t xml:space="preserve">(30) </w:t>
      </w:r>
      <w:r w:rsidRPr="00DE096C">
        <w:rPr>
          <w:rFonts w:ascii="Times New Roman" w:hAnsi="Times New Roman" w:cs="Times New Roman"/>
          <w:bCs/>
          <w:color w:val="002060"/>
          <w:sz w:val="16"/>
          <w:szCs w:val="16"/>
        </w:rPr>
        <w:t>июля 1914 г. вышло Положением о военно-автомобильной повин</w:t>
      </w:r>
      <w:r w:rsidRPr="00DE096C">
        <w:rPr>
          <w:rFonts w:ascii="Times New Roman" w:hAnsi="Times New Roman" w:cs="Times New Roman"/>
          <w:bCs/>
          <w:color w:val="002060"/>
          <w:sz w:val="16"/>
          <w:szCs w:val="16"/>
        </w:rPr>
        <w:softHyphen/>
        <w:t>ности как обязательная поставка от населения</w:t>
      </w:r>
      <w:r w:rsidRPr="00DE096C">
        <w:rPr>
          <w:rStyle w:val="af1"/>
          <w:rFonts w:eastAsia="Arial Narrow"/>
          <w:bCs/>
          <w:i w:val="0"/>
          <w:color w:val="002060"/>
          <w:sz w:val="16"/>
          <w:szCs w:val="16"/>
        </w:rPr>
        <w:t xml:space="preserve"> «са</w:t>
      </w:r>
      <w:r w:rsidRPr="00DE096C">
        <w:rPr>
          <w:rStyle w:val="af1"/>
          <w:rFonts w:eastAsia="Arial Narrow"/>
          <w:bCs/>
          <w:i w:val="0"/>
          <w:color w:val="002060"/>
          <w:sz w:val="16"/>
          <w:szCs w:val="16"/>
        </w:rPr>
        <w:softHyphen/>
        <w:t>модвижущихся экипажей»</w:t>
      </w:r>
      <w:r w:rsidRPr="00DE096C">
        <w:rPr>
          <w:rFonts w:ascii="Times New Roman" w:hAnsi="Times New Roman" w:cs="Times New Roman"/>
          <w:bCs/>
          <w:color w:val="002060"/>
          <w:sz w:val="16"/>
          <w:szCs w:val="16"/>
        </w:rPr>
        <w:t xml:space="preserve"> с частичным возмещением владельцам их стоимости. К числу самодвижущихся экипажей отнесли и машины проживавших в России граждан других стран, а также у торговых предс</w:t>
      </w:r>
      <w:r w:rsidRPr="00DE096C">
        <w:rPr>
          <w:rFonts w:ascii="Times New Roman" w:hAnsi="Times New Roman" w:cs="Times New Roman"/>
          <w:bCs/>
          <w:color w:val="002060"/>
          <w:sz w:val="16"/>
          <w:szCs w:val="16"/>
        </w:rPr>
        <w:softHyphen/>
        <w:t>тавительств этих стран, машины изымались без денежной компенсации. Однако в первую волну мобилизации в Русскую армию поступили от населения все</w:t>
      </w:r>
      <w:r w:rsidRPr="00DE096C">
        <w:rPr>
          <w:rFonts w:ascii="Times New Roman" w:hAnsi="Times New Roman" w:cs="Times New Roman"/>
          <w:bCs/>
          <w:color w:val="002060"/>
          <w:sz w:val="16"/>
          <w:szCs w:val="16"/>
        </w:rPr>
        <w:softHyphen/>
        <w:t>го лишь два гусеничных трактора. Множество крестьян призвали на службу, а страна и армия по-прежнему нуждались в продовольствии и фураже. К тому же начало войны совпало по времени с уборкой урожая. Видимо, чтобы не сорвать поставки зерновых, рутьеры не спе</w:t>
      </w:r>
      <w:r w:rsidRPr="00DE096C">
        <w:rPr>
          <w:rFonts w:ascii="Times New Roman" w:hAnsi="Times New Roman" w:cs="Times New Roman"/>
          <w:bCs/>
          <w:color w:val="002060"/>
          <w:sz w:val="16"/>
          <w:szCs w:val="16"/>
        </w:rPr>
        <w:softHyphen/>
        <w:t>шили забирать. Мало того, находившиеся в тылу воинские части временами привлекались к оказанию помощи крупным крестьянским хо</w:t>
      </w:r>
      <w:r w:rsidRPr="00DE096C">
        <w:rPr>
          <w:rFonts w:ascii="Times New Roman" w:hAnsi="Times New Roman" w:cs="Times New Roman"/>
          <w:bCs/>
          <w:color w:val="002060"/>
          <w:sz w:val="16"/>
          <w:szCs w:val="16"/>
        </w:rPr>
        <w:softHyphen/>
        <w:t>зяйствам. Уж не тогда ли зародилась хорошо известная в СССР традиция участия армии в уборочной? Позднее, при Временном прави</w:t>
      </w:r>
      <w:r w:rsidRPr="00DE096C">
        <w:rPr>
          <w:rFonts w:ascii="Times New Roman" w:hAnsi="Times New Roman" w:cs="Times New Roman"/>
          <w:bCs/>
          <w:color w:val="002060"/>
          <w:sz w:val="16"/>
          <w:szCs w:val="16"/>
        </w:rPr>
        <w:softHyphen/>
        <w:t>тельстве, прошла новая волна мобилизации техники, которая затронула и сельскохозяй</w:t>
      </w:r>
      <w:r w:rsidRPr="00DE096C">
        <w:rPr>
          <w:rFonts w:ascii="Times New Roman" w:hAnsi="Times New Roman" w:cs="Times New Roman"/>
          <w:bCs/>
          <w:color w:val="002060"/>
          <w:sz w:val="16"/>
          <w:szCs w:val="16"/>
        </w:rPr>
        <w:softHyphen/>
        <w:t>ственные машины. Мобилизованные в 1917 г. рутьеры были направлены на фронт, где ис</w:t>
      </w:r>
      <w:r w:rsidRPr="00DE096C">
        <w:rPr>
          <w:rFonts w:ascii="Times New Roman" w:hAnsi="Times New Roman" w:cs="Times New Roman"/>
          <w:bCs/>
          <w:color w:val="002060"/>
          <w:sz w:val="16"/>
          <w:szCs w:val="16"/>
        </w:rPr>
        <w:softHyphen/>
        <w:t>пользовались преимущественно в качестве ар</w:t>
      </w:r>
      <w:r w:rsidRPr="00DE096C">
        <w:rPr>
          <w:rFonts w:ascii="Times New Roman" w:hAnsi="Times New Roman" w:cs="Times New Roman"/>
          <w:bCs/>
          <w:color w:val="002060"/>
          <w:sz w:val="16"/>
          <w:szCs w:val="16"/>
        </w:rPr>
        <w:softHyphen/>
        <w:t>тиллерийских тягачей (14775).</w:t>
      </w:r>
    </w:p>
    <w:p w14:paraId="2A852E01" w14:textId="77777777" w:rsidR="00447E42" w:rsidRPr="00DE096C" w:rsidRDefault="00447E42" w:rsidP="00D45A46">
      <w:pPr>
        <w:jc w:val="both"/>
        <w:rPr>
          <w:bCs/>
          <w:color w:val="002060"/>
          <w:sz w:val="16"/>
          <w:szCs w:val="16"/>
        </w:rPr>
      </w:pPr>
    </w:p>
    <w:p w14:paraId="2D93DD40" w14:textId="77777777" w:rsidR="000A25A6" w:rsidRPr="00DE096C" w:rsidRDefault="000A25A6" w:rsidP="00D45A46">
      <w:pPr>
        <w:shd w:val="clear" w:color="auto" w:fill="FFFFFF"/>
        <w:jc w:val="both"/>
        <w:rPr>
          <w:bCs/>
          <w:i/>
          <w:color w:val="002060"/>
          <w:sz w:val="16"/>
          <w:szCs w:val="16"/>
        </w:rPr>
      </w:pPr>
      <w:r w:rsidRPr="00DE096C">
        <w:rPr>
          <w:bCs/>
          <w:i/>
          <w:color w:val="002060"/>
          <w:sz w:val="16"/>
          <w:szCs w:val="16"/>
        </w:rPr>
        <w:t>Авиация:</w:t>
      </w:r>
    </w:p>
    <w:p w14:paraId="195F22A6" w14:textId="77777777" w:rsidR="000A25A6" w:rsidRPr="00DE096C" w:rsidRDefault="000A25A6" w:rsidP="00D45A46">
      <w:pPr>
        <w:shd w:val="clear" w:color="auto" w:fill="FFFFFF"/>
        <w:jc w:val="both"/>
        <w:rPr>
          <w:bCs/>
          <w:i/>
          <w:color w:val="002060"/>
          <w:sz w:val="16"/>
          <w:szCs w:val="16"/>
        </w:rPr>
      </w:pPr>
    </w:p>
    <w:p w14:paraId="005AB689" w14:textId="77777777" w:rsidR="00583D75" w:rsidRPr="00B52707" w:rsidRDefault="00583D75" w:rsidP="00583D75">
      <w:pPr>
        <w:jc w:val="both"/>
        <w:rPr>
          <w:color w:val="0070C0"/>
          <w:sz w:val="16"/>
          <w:szCs w:val="16"/>
        </w:rPr>
      </w:pPr>
      <w:r w:rsidRPr="00B52707">
        <w:rPr>
          <w:color w:val="0070C0"/>
          <w:sz w:val="16"/>
          <w:szCs w:val="16"/>
        </w:rPr>
        <w:t>17 (30) июля 1914 года, только накануне объявле</w:t>
      </w:r>
      <w:r w:rsidRPr="00B52707">
        <w:rPr>
          <w:color w:val="0070C0"/>
          <w:sz w:val="16"/>
          <w:szCs w:val="16"/>
        </w:rPr>
        <w:softHyphen/>
        <w:t>ния мобилизации, начальник ГВТУ донес военному министру о необходимости, в виду тревожного времени, спешно пополнить недостаток табель</w:t>
      </w:r>
      <w:r w:rsidRPr="00B52707">
        <w:rPr>
          <w:color w:val="0070C0"/>
          <w:sz w:val="16"/>
          <w:szCs w:val="16"/>
        </w:rPr>
        <w:softHyphen/>
        <w:t>ного запаса бензина, отпустив для ускорения снабжения, авиационным частям деньги, с тем, чтобы эти части сами приобретали бензин с расчетом на местах. О том же на</w:t>
      </w:r>
      <w:r w:rsidRPr="00B52707">
        <w:rPr>
          <w:color w:val="0070C0"/>
          <w:sz w:val="16"/>
          <w:szCs w:val="16"/>
        </w:rPr>
        <w:softHyphen/>
        <w:t>чальник управления 19 июля сделал представление в Воен</w:t>
      </w:r>
      <w:r w:rsidRPr="00B52707">
        <w:rPr>
          <w:color w:val="0070C0"/>
          <w:sz w:val="16"/>
          <w:szCs w:val="16"/>
        </w:rPr>
        <w:softHyphen/>
        <w:t>ный Совет, который 24 июля утвердил это представление.</w:t>
      </w:r>
    </w:p>
    <w:p w14:paraId="33195ECB" w14:textId="77777777" w:rsidR="00583D75" w:rsidRPr="00B52707" w:rsidRDefault="00583D75" w:rsidP="00583D75">
      <w:pPr>
        <w:jc w:val="both"/>
        <w:rPr>
          <w:color w:val="0070C0"/>
          <w:sz w:val="16"/>
          <w:szCs w:val="16"/>
        </w:rPr>
      </w:pPr>
      <w:r w:rsidRPr="00B52707">
        <w:rPr>
          <w:color w:val="0070C0"/>
          <w:sz w:val="16"/>
          <w:szCs w:val="16"/>
        </w:rPr>
        <w:t>Но так как авиационные части при отправлении на театр военных действий не имели никакой возможности заготовлять бензин,- то, заготовку бензина должно было взять на себя ГВТУ. Заготовка должна была быть произве</w:t>
      </w:r>
      <w:r w:rsidRPr="00B52707">
        <w:rPr>
          <w:color w:val="0070C0"/>
          <w:sz w:val="16"/>
          <w:szCs w:val="16"/>
        </w:rPr>
        <w:softHyphen/>
        <w:t>дена в скорейшем времени, так как уже с об‘явлением мобилизации из всех округов стали поступать заявления о недостатке бензина. В виду этого, -представлялось не</w:t>
      </w:r>
      <w:r w:rsidRPr="00B52707">
        <w:rPr>
          <w:color w:val="0070C0"/>
          <w:sz w:val="16"/>
          <w:szCs w:val="16"/>
        </w:rPr>
        <w:softHyphen/>
        <w:t>обходимым приобрести бензин не путем заказа на срок, а путем наличной покупки того бензина, который в то время имелся на рынке. Так как нужно было сразу приобрести большое количество бензина и притом высшего сорта и так как, вследствие продолжительной забастовки на бакинских промыслах, запасы бензина на рынке были истощены, то ГВТУ было поставлено в чрезвычайно затруднительное положение, которое усугублялось еще тем, что для целей авиации требовался специальный, высшего сорта, бензин, при приемке которого необходимо было руководствоваться определенными техническими условиями. Но таковых усло</w:t>
      </w:r>
      <w:r w:rsidRPr="00B52707">
        <w:rPr>
          <w:color w:val="0070C0"/>
          <w:sz w:val="16"/>
          <w:szCs w:val="16"/>
        </w:rPr>
        <w:softHyphen/>
        <w:t>вий к началу войны не существовало, и только 31 июля 1914 года Технический Комитет выработал технические условия, при чем, между прочим, установлено было, что удельный вес авиационного бензина при 15° С не должен быть выше 0,720, и что при испарении этого бензина не должно получаться твердого остатка.</w:t>
      </w:r>
    </w:p>
    <w:p w14:paraId="6F564DFD" w14:textId="77777777" w:rsidR="00583D75" w:rsidRPr="00B52707" w:rsidRDefault="00583D75" w:rsidP="00583D75">
      <w:pPr>
        <w:jc w:val="both"/>
        <w:rPr>
          <w:color w:val="0070C0"/>
          <w:sz w:val="16"/>
          <w:szCs w:val="16"/>
        </w:rPr>
      </w:pPr>
      <w:r w:rsidRPr="00B52707">
        <w:rPr>
          <w:color w:val="0070C0"/>
          <w:sz w:val="16"/>
          <w:szCs w:val="16"/>
        </w:rPr>
        <w:t>Для выхода из критического положения ГВТУ при</w:t>
      </w:r>
      <w:r w:rsidRPr="00B52707">
        <w:rPr>
          <w:color w:val="0070C0"/>
          <w:sz w:val="16"/>
          <w:szCs w:val="16"/>
        </w:rPr>
        <w:softHyphen/>
        <w:t>бегло к такой мере: оно задержало на складе товарищества бр. Нобель в Петрограде 25.000 пудов (416,6 тн.) бензина, который уже запродан был товариществу Российско - Аме</w:t>
      </w:r>
      <w:r w:rsidRPr="00B52707">
        <w:rPr>
          <w:color w:val="0070C0"/>
          <w:sz w:val="16"/>
          <w:szCs w:val="16"/>
        </w:rPr>
        <w:softHyphen/>
        <w:t>риканской резиновой мануфактуры (фирме „Треугольник") и который, хотя и имел удельный вес 0,745 — 750, но, по мнению управления, был пригоден для авиационных двига</w:t>
      </w:r>
      <w:r w:rsidRPr="00B52707">
        <w:rPr>
          <w:color w:val="0070C0"/>
          <w:sz w:val="16"/>
          <w:szCs w:val="16"/>
        </w:rPr>
        <w:softHyphen/>
        <w:t>телей (24923).</w:t>
      </w:r>
    </w:p>
    <w:p w14:paraId="5CFACCA2" w14:textId="77777777" w:rsidR="00583D75" w:rsidRPr="00B52707" w:rsidRDefault="00583D75" w:rsidP="00583D75">
      <w:pPr>
        <w:jc w:val="both"/>
        <w:rPr>
          <w:color w:val="0070C0"/>
          <w:sz w:val="16"/>
          <w:szCs w:val="16"/>
        </w:rPr>
      </w:pPr>
    </w:p>
    <w:p w14:paraId="52429861" w14:textId="1C9BA03E" w:rsidR="00B67D7C" w:rsidRPr="00DE096C" w:rsidRDefault="00B67D7C" w:rsidP="00D45A46">
      <w:pPr>
        <w:shd w:val="clear" w:color="auto" w:fill="FFFFFF"/>
        <w:jc w:val="both"/>
        <w:rPr>
          <w:bCs/>
          <w:i/>
          <w:color w:val="002060"/>
          <w:sz w:val="16"/>
          <w:szCs w:val="16"/>
        </w:rPr>
      </w:pPr>
      <w:r w:rsidRPr="00DE096C">
        <w:rPr>
          <w:bCs/>
          <w:i/>
          <w:color w:val="002060"/>
          <w:sz w:val="16"/>
          <w:szCs w:val="16"/>
        </w:rPr>
        <w:t>Морская авиация:</w:t>
      </w:r>
    </w:p>
    <w:p w14:paraId="5FDCAE08" w14:textId="77777777" w:rsidR="00B67D7C" w:rsidRPr="00DE096C" w:rsidRDefault="00B67D7C" w:rsidP="00D45A46">
      <w:pPr>
        <w:shd w:val="clear" w:color="auto" w:fill="FFFFFF"/>
        <w:jc w:val="both"/>
        <w:rPr>
          <w:bCs/>
          <w:i/>
          <w:color w:val="002060"/>
          <w:sz w:val="16"/>
          <w:szCs w:val="16"/>
        </w:rPr>
      </w:pPr>
    </w:p>
    <w:p w14:paraId="595111AA" w14:textId="3DEE59BB" w:rsidR="00B67D7C" w:rsidRPr="00DE096C" w:rsidRDefault="00B67D7C" w:rsidP="00D45A46">
      <w:pPr>
        <w:jc w:val="both"/>
        <w:rPr>
          <w:bCs/>
          <w:color w:val="002060"/>
          <w:sz w:val="16"/>
          <w:szCs w:val="16"/>
        </w:rPr>
      </w:pPr>
      <w:r w:rsidRPr="00DE096C">
        <w:rPr>
          <w:bCs/>
          <w:color w:val="002060"/>
          <w:sz w:val="16"/>
          <w:szCs w:val="16"/>
        </w:rPr>
        <w:t xml:space="preserve">В ночь на 17 </w:t>
      </w:r>
      <w:r w:rsidR="004405DB" w:rsidRPr="00DE096C">
        <w:rPr>
          <w:bCs/>
          <w:color w:val="002060"/>
          <w:sz w:val="16"/>
          <w:szCs w:val="16"/>
        </w:rPr>
        <w:t xml:space="preserve">(30) </w:t>
      </w:r>
      <w:r w:rsidRPr="00DE096C">
        <w:rPr>
          <w:bCs/>
          <w:color w:val="002060"/>
          <w:sz w:val="16"/>
          <w:szCs w:val="16"/>
        </w:rPr>
        <w:t xml:space="preserve">июля </w:t>
      </w:r>
      <w:r w:rsidR="000A25A6" w:rsidRPr="00DE096C">
        <w:rPr>
          <w:bCs/>
          <w:color w:val="002060"/>
          <w:sz w:val="16"/>
          <w:szCs w:val="16"/>
        </w:rPr>
        <w:t xml:space="preserve">1914 г. </w:t>
      </w:r>
      <w:r w:rsidRPr="00DE096C">
        <w:rPr>
          <w:bCs/>
          <w:color w:val="002060"/>
          <w:sz w:val="16"/>
          <w:szCs w:val="16"/>
        </w:rPr>
        <w:t xml:space="preserve">была объявлена мобилизация, и в согласии с мобилизационным планом в середине того же дня Лавров направил аэроплан </w:t>
      </w:r>
      <w:r w:rsidR="000A25A6" w:rsidRPr="00DE096C">
        <w:rPr>
          <w:bCs/>
          <w:color w:val="002060"/>
          <w:sz w:val="16"/>
          <w:szCs w:val="16"/>
        </w:rPr>
        <w:t xml:space="preserve">принятый 14 июня поплавковый ИМ </w:t>
      </w:r>
      <w:r w:rsidRPr="00DE096C">
        <w:rPr>
          <w:bCs/>
          <w:color w:val="002060"/>
          <w:sz w:val="16"/>
          <w:szCs w:val="16"/>
        </w:rPr>
        <w:t xml:space="preserve">на 2-ю морскую авиационную станцию, расположенную на полуострове Папенгольм у селения Кильконд (остров Эзель). Из-за плохой </w:t>
      </w:r>
      <w:r w:rsidRPr="00DE096C">
        <w:rPr>
          <w:bCs/>
          <w:color w:val="002060"/>
          <w:sz w:val="16"/>
          <w:szCs w:val="16"/>
        </w:rPr>
        <w:lastRenderedPageBreak/>
        <w:t>погоды, или из-за технических неполадок перелёт был прерван: Лавров решил посадить машину в Эзельской бухте Карал (приблизительно в 105 км по прямой от Кильконда).</w:t>
      </w:r>
    </w:p>
    <w:p w14:paraId="161F83BF" w14:textId="77777777" w:rsidR="00B67D7C" w:rsidRPr="00DE096C" w:rsidRDefault="00B67D7C" w:rsidP="00D45A46">
      <w:pPr>
        <w:jc w:val="both"/>
        <w:rPr>
          <w:bCs/>
          <w:color w:val="002060"/>
          <w:sz w:val="16"/>
          <w:szCs w:val="16"/>
        </w:rPr>
      </w:pPr>
      <w:r w:rsidRPr="00DE096C">
        <w:rPr>
          <w:bCs/>
          <w:color w:val="002060"/>
          <w:sz w:val="16"/>
          <w:szCs w:val="16"/>
        </w:rPr>
        <w:t>В бухте Карал уже находилась неисправная летающая лодка лейтенанта И.И. Кульнева. 18 июля с 2-й авиационной станции на помощь авиаторам выступила ремонтная команда, однако известие о войне с Германией, начавшейся 19 июля, застало Лаврова на месте вынужденной посадки. Запись, сделанная 21 июля в вахтенном журнале 2-й морской авиационной станции, проливает свет на дальнейшие события. "Аппарат "Илья Муромец", - сообщает журнал, - под командою лейтенанта Лаврова вышел, руля по воде, из бухты Карал, испугавшись миноносцев неприятеля. Т.к. уйти за неисправностью моторов не мог, открыли баки с бензином, подожгли, а поплавки изпоруби- ли. Люди вернулись на рыбацкой лодке" .</w:t>
      </w:r>
    </w:p>
    <w:p w14:paraId="520DF9D2" w14:textId="77777777" w:rsidR="00B67D7C" w:rsidRPr="00DE096C" w:rsidRDefault="00B67D7C" w:rsidP="00D45A46">
      <w:pPr>
        <w:jc w:val="both"/>
        <w:rPr>
          <w:bCs/>
          <w:color w:val="002060"/>
          <w:sz w:val="16"/>
          <w:szCs w:val="16"/>
        </w:rPr>
      </w:pPr>
      <w:r w:rsidRPr="00DE096C">
        <w:rPr>
          <w:bCs/>
          <w:color w:val="002060"/>
          <w:sz w:val="16"/>
          <w:szCs w:val="16"/>
        </w:rPr>
        <w:t>Слух о том, что Лавров уничтожил машину, чтобы скрыть следы технической некомпетентности и грубой посадки, не заслуживает серьёзного внимания. Вполне очевидно, что ответственность за поломку аппарата была бы меньшей, нежели ответственность за сожжение его.</w:t>
      </w:r>
    </w:p>
    <w:p w14:paraId="7D35D968" w14:textId="77777777" w:rsidR="00B67D7C" w:rsidRPr="00DE096C" w:rsidRDefault="00B67D7C" w:rsidP="00D45A46">
      <w:pPr>
        <w:jc w:val="both"/>
        <w:rPr>
          <w:bCs/>
          <w:color w:val="002060"/>
          <w:sz w:val="16"/>
          <w:szCs w:val="16"/>
        </w:rPr>
      </w:pPr>
      <w:r w:rsidRPr="00DE096C">
        <w:rPr>
          <w:bCs/>
          <w:color w:val="002060"/>
          <w:sz w:val="16"/>
          <w:szCs w:val="16"/>
        </w:rPr>
        <w:t xml:space="preserve">Суда, замеченные с берега, не были неприятельскими. С учётом этого обстоятельства потеря "Ильи Муромца", причинившая флоту ущерб в размере не менее 170 000 рублей, выглядела особенно неприглядной. Командующий флотом негодовал и хотел отдать Лаврова под суд, но заступничество Ду- дорова спасло офицера от такого позора. Ду- доров убедил командующего в том, что было бы неверным ожидать многого от опытной машины и что утрата её не ослабила морские силы. Что касается денег, то их, как известно, в военное время не считают (12041). </w:t>
      </w:r>
    </w:p>
    <w:p w14:paraId="15E26F1C" w14:textId="77777777" w:rsidR="00B67D7C" w:rsidRPr="00DE096C" w:rsidRDefault="00B67D7C" w:rsidP="00D45A46">
      <w:pPr>
        <w:jc w:val="both"/>
        <w:rPr>
          <w:bCs/>
          <w:color w:val="002060"/>
          <w:sz w:val="16"/>
          <w:szCs w:val="16"/>
        </w:rPr>
      </w:pPr>
    </w:p>
    <w:p w14:paraId="2ACD3042" w14:textId="77777777" w:rsidR="00344C8D" w:rsidRPr="00DE096C" w:rsidRDefault="00344C8D" w:rsidP="00D45A46">
      <w:pPr>
        <w:jc w:val="both"/>
        <w:rPr>
          <w:bCs/>
          <w:i/>
          <w:color w:val="002060"/>
          <w:sz w:val="16"/>
          <w:szCs w:val="16"/>
        </w:rPr>
      </w:pPr>
      <w:r w:rsidRPr="00DE096C">
        <w:rPr>
          <w:bCs/>
          <w:i/>
          <w:color w:val="002060"/>
          <w:sz w:val="16"/>
          <w:szCs w:val="16"/>
        </w:rPr>
        <w:t>Жизнь и внутренняя политика:</w:t>
      </w:r>
    </w:p>
    <w:p w14:paraId="1CC11877" w14:textId="77777777" w:rsidR="00344C8D" w:rsidRPr="00DE096C" w:rsidRDefault="00344C8D" w:rsidP="00D45A46">
      <w:pPr>
        <w:jc w:val="both"/>
        <w:rPr>
          <w:bCs/>
          <w:i/>
          <w:color w:val="002060"/>
          <w:sz w:val="16"/>
          <w:szCs w:val="16"/>
        </w:rPr>
      </w:pPr>
    </w:p>
    <w:p w14:paraId="36D44175" w14:textId="77777777" w:rsidR="00344C8D" w:rsidRPr="00DE096C" w:rsidRDefault="00344C8D" w:rsidP="00D45A46">
      <w:pPr>
        <w:jc w:val="both"/>
        <w:rPr>
          <w:bCs/>
          <w:color w:val="002060"/>
          <w:sz w:val="16"/>
          <w:szCs w:val="16"/>
        </w:rPr>
      </w:pPr>
      <w:r w:rsidRPr="00DE096C">
        <w:rPr>
          <w:bCs/>
          <w:color w:val="002060"/>
          <w:sz w:val="16"/>
          <w:szCs w:val="16"/>
        </w:rPr>
        <w:t>17 (30) июля в 1914 году указом императора Николая II в России была объявлена всеобщая мобилизация. 1 августа Германия объявила войну России, 3 августа) – Франции, 4 августа Великобритания объявила войну Германии. 23 августа 1914 г. на стороне Антанты вступила в войну Япония. В этот же день на съезде уполномоченных губернских земств в Москве был создан Всероссийский земский союз помощи больным и раненым воинам (был ликвидирован после Февральской революции декретом СНК от 17 января 1918 г. Продолжил деятельность в эмиграции). Председателем главного комитета союза стал князь Г.Е.Львов (14968).</w:t>
      </w:r>
    </w:p>
    <w:p w14:paraId="07DFF023" w14:textId="77777777" w:rsidR="00344C8D" w:rsidRPr="00DE096C" w:rsidRDefault="00344C8D" w:rsidP="00D45A46">
      <w:pPr>
        <w:jc w:val="both"/>
        <w:rPr>
          <w:bCs/>
          <w:color w:val="002060"/>
          <w:sz w:val="16"/>
          <w:szCs w:val="16"/>
        </w:rPr>
      </w:pPr>
    </w:p>
    <w:p w14:paraId="7F3941D5" w14:textId="77777777" w:rsidR="00594FAB" w:rsidRPr="00DE096C" w:rsidRDefault="00594FAB" w:rsidP="00D45A46">
      <w:pPr>
        <w:jc w:val="both"/>
        <w:rPr>
          <w:bCs/>
          <w:i/>
          <w:iCs/>
          <w:color w:val="002060"/>
          <w:sz w:val="16"/>
          <w:szCs w:val="16"/>
        </w:rPr>
      </w:pPr>
      <w:r w:rsidRPr="00DE096C">
        <w:rPr>
          <w:bCs/>
          <w:i/>
          <w:iCs/>
          <w:color w:val="002060"/>
          <w:sz w:val="16"/>
          <w:szCs w:val="16"/>
        </w:rPr>
        <w:t>Внешняя политика:</w:t>
      </w:r>
    </w:p>
    <w:p w14:paraId="4AFA4876" w14:textId="77777777" w:rsidR="00594FAB" w:rsidRPr="00DE096C" w:rsidRDefault="00594FAB" w:rsidP="00D45A46">
      <w:pPr>
        <w:jc w:val="both"/>
        <w:rPr>
          <w:bCs/>
          <w:i/>
          <w:iCs/>
          <w:color w:val="002060"/>
          <w:sz w:val="16"/>
          <w:szCs w:val="16"/>
        </w:rPr>
      </w:pPr>
    </w:p>
    <w:p w14:paraId="6668B49C" w14:textId="7213922C" w:rsidR="00594FAB" w:rsidRPr="00DE096C" w:rsidRDefault="00594FAB" w:rsidP="00D45A46">
      <w:pPr>
        <w:jc w:val="both"/>
        <w:rPr>
          <w:bCs/>
          <w:color w:val="002060"/>
          <w:sz w:val="16"/>
          <w:szCs w:val="16"/>
        </w:rPr>
      </w:pPr>
      <w:r w:rsidRPr="00DE096C">
        <w:rPr>
          <w:bCs/>
          <w:color w:val="002060"/>
          <w:sz w:val="16"/>
          <w:szCs w:val="16"/>
        </w:rPr>
        <w:t>17 (30) июля 1914 г. Николай II</w:t>
      </w:r>
      <w:r w:rsidR="001C2826" w:rsidRPr="00DE096C">
        <w:rPr>
          <w:bCs/>
          <w:color w:val="002060"/>
          <w:sz w:val="16"/>
          <w:szCs w:val="16"/>
        </w:rPr>
        <w:t>, который после начала Австрией военных действий</w:t>
      </w:r>
      <w:r w:rsidRPr="00DE096C">
        <w:rPr>
          <w:bCs/>
          <w:color w:val="002060"/>
          <w:sz w:val="16"/>
          <w:szCs w:val="16"/>
        </w:rPr>
        <w:t xml:space="preserve"> (16 июля 1914 г.) подписал указ о всеобщей мобилизации</w:t>
      </w:r>
      <w:r w:rsidR="001C2826" w:rsidRPr="00DE096C">
        <w:rPr>
          <w:bCs/>
          <w:color w:val="002060"/>
          <w:sz w:val="16"/>
          <w:szCs w:val="16"/>
        </w:rPr>
        <w:t>,</w:t>
      </w:r>
      <w:r w:rsidRPr="00DE096C">
        <w:rPr>
          <w:bCs/>
          <w:color w:val="002060"/>
          <w:sz w:val="16"/>
          <w:szCs w:val="16"/>
        </w:rPr>
        <w:t xml:space="preserve"> получив телеграмму от Вильгельма II, которую он понял как просьбу не доводить дело до войны, отменил принятое накануне решение. Однако в конечном счете доводы С.Д.Сазонова, убедившего императора в том, что «лучше, не опасаясь вызвать войну нашими к ней приготовлениями, тщательно озаботиться последними, нежели из страха дать повод к войне быть застигнутыми ею врасплох», произвели впечатление на Николая II, и он вновь санкционировал всеобщую мобилизацию. Германия направила России ультиматум, потребовав приостановить мобилизацию. Получив отказ, </w:t>
      </w:r>
    </w:p>
    <w:p w14:paraId="59E5A0AF" w14:textId="77777777" w:rsidR="00594FAB" w:rsidRPr="00DE096C" w:rsidRDefault="00594FAB" w:rsidP="00D45A46">
      <w:pPr>
        <w:jc w:val="both"/>
        <w:rPr>
          <w:bCs/>
          <w:color w:val="002060"/>
          <w:sz w:val="16"/>
          <w:szCs w:val="16"/>
        </w:rPr>
      </w:pPr>
    </w:p>
    <w:p w14:paraId="350C1EE5" w14:textId="77777777" w:rsidR="0095449C" w:rsidRPr="00DE096C" w:rsidRDefault="0095449C" w:rsidP="00D45A46">
      <w:pPr>
        <w:jc w:val="both"/>
        <w:rPr>
          <w:bCs/>
          <w:i/>
          <w:color w:val="002060"/>
          <w:sz w:val="16"/>
          <w:szCs w:val="16"/>
        </w:rPr>
      </w:pPr>
      <w:r w:rsidRPr="00DE096C">
        <w:rPr>
          <w:bCs/>
          <w:i/>
          <w:color w:val="002060"/>
          <w:sz w:val="16"/>
          <w:szCs w:val="16"/>
        </w:rPr>
        <w:t>Авиация и воздухоплавание Франции:</w:t>
      </w:r>
    </w:p>
    <w:p w14:paraId="2D0A092A" w14:textId="77777777" w:rsidR="0095449C" w:rsidRPr="00DE096C" w:rsidRDefault="0095449C" w:rsidP="00D45A46">
      <w:pPr>
        <w:jc w:val="both"/>
        <w:rPr>
          <w:bCs/>
          <w:i/>
          <w:color w:val="002060"/>
          <w:sz w:val="16"/>
          <w:szCs w:val="16"/>
        </w:rPr>
      </w:pPr>
    </w:p>
    <w:p w14:paraId="750E5F28" w14:textId="77777777" w:rsidR="0095449C" w:rsidRPr="00DE096C" w:rsidRDefault="0095449C" w:rsidP="00D45A46">
      <w:pPr>
        <w:jc w:val="both"/>
        <w:rPr>
          <w:bCs/>
          <w:color w:val="002060"/>
          <w:sz w:val="16"/>
          <w:szCs w:val="16"/>
        </w:rPr>
      </w:pPr>
      <w:r w:rsidRPr="00DE096C">
        <w:rPr>
          <w:bCs/>
          <w:color w:val="002060"/>
          <w:sz w:val="16"/>
          <w:szCs w:val="16"/>
        </w:rPr>
        <w:t>17 (30) июля в 1914 году норвежский пилот Триггве Гран на моноплане "Блерио" совершает первый полет на аэроплане через Северное море (14968).</w:t>
      </w:r>
    </w:p>
    <w:p w14:paraId="436565A3" w14:textId="77777777" w:rsidR="0095449C" w:rsidRPr="00DE096C" w:rsidRDefault="0095449C" w:rsidP="00D45A46">
      <w:pPr>
        <w:jc w:val="both"/>
        <w:rPr>
          <w:bCs/>
          <w:color w:val="002060"/>
          <w:sz w:val="16"/>
          <w:szCs w:val="16"/>
        </w:rPr>
      </w:pPr>
    </w:p>
    <w:p w14:paraId="5D5585D0" w14:textId="77777777" w:rsidR="00847427" w:rsidRPr="00DE096C" w:rsidRDefault="00847427" w:rsidP="00D45A46">
      <w:pPr>
        <w:jc w:val="both"/>
        <w:rPr>
          <w:bCs/>
          <w:color w:val="002060"/>
          <w:sz w:val="16"/>
          <w:szCs w:val="16"/>
        </w:rPr>
      </w:pPr>
      <w:r w:rsidRPr="00DE096C">
        <w:rPr>
          <w:bCs/>
          <w:color w:val="002060"/>
          <w:sz w:val="16"/>
          <w:szCs w:val="16"/>
        </w:rPr>
        <w:t>17 (30) июля 1914 норвежский авиатор Tryggve Гран выполнил на Блерио XI-2 Ca Флотт выполнил первое пересечение Северного моря на самолете, пролетев 465 км (289 миль) от Cruden Bay , Шотландия , в Йэрен, Норвегия за 4 часа 10 минут (20337).</w:t>
      </w:r>
    </w:p>
    <w:p w14:paraId="34FB5368" w14:textId="77777777" w:rsidR="00847427" w:rsidRPr="00DE096C" w:rsidRDefault="00847427" w:rsidP="00D45A46">
      <w:pPr>
        <w:jc w:val="both"/>
        <w:rPr>
          <w:bCs/>
          <w:color w:val="002060"/>
          <w:sz w:val="16"/>
          <w:szCs w:val="16"/>
        </w:rPr>
      </w:pPr>
    </w:p>
    <w:p w14:paraId="23F8EB78"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w:t>
      </w:r>
      <w:r w:rsidR="00344C8D" w:rsidRPr="00DE096C">
        <w:rPr>
          <w:bCs/>
          <w:i/>
          <w:color w:val="002060"/>
          <w:sz w:val="16"/>
          <w:szCs w:val="16"/>
        </w:rPr>
        <w:t>о</w:t>
      </w:r>
      <w:r w:rsidRPr="00DE096C">
        <w:rPr>
          <w:bCs/>
          <w:i/>
          <w:color w:val="002060"/>
          <w:sz w:val="16"/>
          <w:szCs w:val="16"/>
        </w:rPr>
        <w:t>летостроение:</w:t>
      </w:r>
    </w:p>
    <w:p w14:paraId="1F6E187D" w14:textId="77777777" w:rsidR="00B67D7C" w:rsidRPr="00DE096C" w:rsidRDefault="00B67D7C" w:rsidP="00D45A46">
      <w:pPr>
        <w:shd w:val="clear" w:color="auto" w:fill="FFFFFF"/>
        <w:jc w:val="both"/>
        <w:rPr>
          <w:bCs/>
          <w:i/>
          <w:color w:val="002060"/>
          <w:sz w:val="16"/>
          <w:szCs w:val="16"/>
        </w:rPr>
      </w:pPr>
    </w:p>
    <w:p w14:paraId="5DAE283C" w14:textId="0F7D5919" w:rsidR="00B67D7C" w:rsidRPr="00DE096C" w:rsidRDefault="00B67D7C" w:rsidP="00D45A46">
      <w:pPr>
        <w:jc w:val="both"/>
        <w:rPr>
          <w:bCs/>
          <w:color w:val="002060"/>
          <w:sz w:val="16"/>
          <w:szCs w:val="16"/>
        </w:rPr>
      </w:pPr>
      <w:r w:rsidRPr="00DE096C">
        <w:rPr>
          <w:bCs/>
          <w:color w:val="002060"/>
          <w:sz w:val="16"/>
          <w:szCs w:val="16"/>
        </w:rPr>
        <w:t xml:space="preserve">18 </w:t>
      </w:r>
      <w:r w:rsidR="000A25A6" w:rsidRPr="00DE096C">
        <w:rPr>
          <w:bCs/>
          <w:color w:val="002060"/>
          <w:sz w:val="16"/>
          <w:szCs w:val="16"/>
        </w:rPr>
        <w:t xml:space="preserve">(31) </w:t>
      </w:r>
      <w:r w:rsidRPr="00DE096C">
        <w:rPr>
          <w:bCs/>
          <w:color w:val="002060"/>
          <w:sz w:val="16"/>
          <w:szCs w:val="16"/>
        </w:rPr>
        <w:t>июля 1914 г., за день до объявления Германией войны, заведующий авиацией Службы связи Балтийского моря капитан 2-го ранга Дудоров телеграфировал из Либавы в Морской генеральный штаб, что если РБВЗ или завод Щетинина имеют, или могут относительно быстро изготовить какие- нибудь морские самолеты, то их нужно приобрести.</w:t>
      </w:r>
    </w:p>
    <w:p w14:paraId="7D4A61CE" w14:textId="77777777" w:rsidR="00B67D7C" w:rsidRPr="00DE096C" w:rsidRDefault="00B67D7C" w:rsidP="00D45A46">
      <w:pPr>
        <w:jc w:val="both"/>
        <w:rPr>
          <w:bCs/>
          <w:color w:val="002060"/>
          <w:sz w:val="16"/>
          <w:szCs w:val="16"/>
        </w:rPr>
      </w:pPr>
      <w:r w:rsidRPr="00DE096C">
        <w:rPr>
          <w:bCs/>
          <w:color w:val="002060"/>
          <w:sz w:val="16"/>
          <w:szCs w:val="16"/>
        </w:rPr>
        <w:t>Уже 20 июля завод Щетинина предложил поставить флоту пять М-2 без моторов в шестинедельный срок. Через два дня, 22 июля, последовало подписание договора о поставке четырех летающих лодок М-2 без моторов. Указанное соглашение заставило форсировать начавшиеся ранее работы.</w:t>
      </w:r>
    </w:p>
    <w:p w14:paraId="29971E23" w14:textId="77777777" w:rsidR="00B67D7C" w:rsidRPr="00DE096C" w:rsidRDefault="00B67D7C" w:rsidP="00D45A46">
      <w:pPr>
        <w:jc w:val="both"/>
        <w:rPr>
          <w:bCs/>
          <w:color w:val="002060"/>
          <w:sz w:val="16"/>
          <w:szCs w:val="16"/>
        </w:rPr>
      </w:pPr>
      <w:r w:rsidRPr="00DE096C">
        <w:rPr>
          <w:bCs/>
          <w:color w:val="002060"/>
          <w:sz w:val="16"/>
          <w:szCs w:val="16"/>
        </w:rPr>
        <w:t>Заводские испытания первого экземпляра М-2, оснащенного двигателем "Гном" 80 л.с. начались в августе 1914 г. К сожалению, уже 31 августа самолет потерпел катастрофу, в результате которой погиб летчик П.В. Евсюков. Причины несчастья достоверно не установили, однако фактов, указывающих на недостатки конструкции, также не было выявлено, поэтому изготовление последующих М-2 продолжили. Четыре построенных однотипных аппарата отличались от первого образца более мощными двигателями "Гном-Моносупап" в 100 л.с.</w:t>
      </w:r>
    </w:p>
    <w:p w14:paraId="256BF9C3" w14:textId="77777777" w:rsidR="00B67D7C" w:rsidRPr="00DE096C" w:rsidRDefault="00B67D7C" w:rsidP="00D45A46">
      <w:pPr>
        <w:jc w:val="both"/>
        <w:rPr>
          <w:bCs/>
          <w:color w:val="002060"/>
          <w:sz w:val="16"/>
          <w:szCs w:val="16"/>
        </w:rPr>
      </w:pPr>
      <w:r w:rsidRPr="00DE096C">
        <w:rPr>
          <w:bCs/>
          <w:color w:val="002060"/>
          <w:sz w:val="16"/>
          <w:szCs w:val="16"/>
        </w:rPr>
        <w:t>23 ноября 1914 г. в Ревель на 3-ю станцию были высланы первые две М-2, которые прибыли к месту назначения на следующий день. Сборка первого экземпляра выявила достаточно много дефектов конструкции, нестыковок, случаев явного и скрытого брака - сказалась спешка с выполнением заказа. Поэтому все усилия решили поначалу сосредоточить на доводке одного самолета, а во второй ввести изменения по опыту первого. Для ускорения доводки этого М-2 в Ревель приехал сам Григорович.</w:t>
      </w:r>
    </w:p>
    <w:p w14:paraId="3A596789" w14:textId="77777777" w:rsidR="00B67D7C" w:rsidRPr="00DE096C" w:rsidRDefault="00B67D7C" w:rsidP="00D45A46">
      <w:pPr>
        <w:jc w:val="both"/>
        <w:rPr>
          <w:bCs/>
          <w:color w:val="002060"/>
          <w:sz w:val="16"/>
          <w:szCs w:val="16"/>
        </w:rPr>
      </w:pPr>
      <w:r w:rsidRPr="00DE096C">
        <w:rPr>
          <w:bCs/>
          <w:color w:val="002060"/>
          <w:sz w:val="16"/>
          <w:szCs w:val="16"/>
        </w:rPr>
        <w:t>Отметим, что 20 декабря на 3-ю станцию прибыли три летающие лодки ФБА (Ргапсо-ВпТ1сЬ-Ау|'а1юп - франко-британская фирма, строившая летающие лодки с 1912 г.) из шести заказанных во Франции 12 сентября 1914 г. На тот момент это были наиболее доведенные машины, как по конструкции, так и по летным и эксплуатационным характеристикам. Сравнение двух типов аппаратов было явно не в пользу М-2, поэтому представители флота заняли более жесткую позицию в отношении приемки лодок Григоровича. К первому января 1915 г. ни одна из них еще не прошла сдаточных испытаний.</w:t>
      </w:r>
    </w:p>
    <w:p w14:paraId="12E5C75E" w14:textId="77777777" w:rsidR="00B67D7C" w:rsidRPr="00DE096C" w:rsidRDefault="00B67D7C" w:rsidP="00D45A46">
      <w:pPr>
        <w:jc w:val="both"/>
        <w:rPr>
          <w:bCs/>
          <w:color w:val="002060"/>
          <w:sz w:val="16"/>
          <w:szCs w:val="16"/>
        </w:rPr>
      </w:pPr>
      <w:r w:rsidRPr="00DE096C">
        <w:rPr>
          <w:bCs/>
          <w:color w:val="002060"/>
          <w:sz w:val="16"/>
          <w:szCs w:val="16"/>
        </w:rPr>
        <w:t>Несмотря на трудности доводки М-2, первую такую лодку в начале февраля 1915 г. удалось испытать. Доработанные по ее опыту детали и узлы заново изготовили на заводе Щетинина, доставили в Ревель и установили на второй экземпляр. По причине изменений конструкции, он получил новое обозначение - М-3. Сдаточные испытания закончились в марте 1915 г., затем М-2 и М-3 зачислили в состав Службы связи Балтийского моря под обозначением Щ-2 и Щ-3 (12083).</w:t>
      </w:r>
    </w:p>
    <w:p w14:paraId="141E1766" w14:textId="77777777" w:rsidR="00B67D7C" w:rsidRPr="00DE096C" w:rsidRDefault="00B67D7C" w:rsidP="00D45A46">
      <w:pPr>
        <w:jc w:val="both"/>
        <w:rPr>
          <w:bCs/>
          <w:color w:val="002060"/>
          <w:sz w:val="16"/>
          <w:szCs w:val="16"/>
        </w:rPr>
      </w:pPr>
      <w:r w:rsidRPr="00DE096C">
        <w:rPr>
          <w:bCs/>
          <w:color w:val="002060"/>
          <w:sz w:val="16"/>
          <w:szCs w:val="16"/>
        </w:rPr>
        <w:t>Между тем, затянувшаяся сдача этих первых летающих лодок отечественного производства негативно повлияла на отношение к ним со стороны морского ведомства. В середине января 1915 г. штаб заведующего авиацией при Службе связи Балтийского моря принял решение о заказе большой партии летающих лодок ФБА для оснащения отрядов и станций на Балтике. Впрочем, реализация этого решения поначалу сдерживалась тем обстоятельством, что производственные мощности французской фирмы до предела были загружены заказами собственного флота. Начались переговоры о лицензионном соглашении.</w:t>
      </w:r>
    </w:p>
    <w:p w14:paraId="61746B03" w14:textId="77777777" w:rsidR="00B67D7C" w:rsidRPr="00DE096C" w:rsidRDefault="00B67D7C" w:rsidP="00D45A46">
      <w:pPr>
        <w:jc w:val="both"/>
        <w:rPr>
          <w:bCs/>
          <w:color w:val="002060"/>
          <w:sz w:val="16"/>
          <w:szCs w:val="16"/>
        </w:rPr>
      </w:pPr>
      <w:r w:rsidRPr="00DE096C">
        <w:rPr>
          <w:bCs/>
          <w:color w:val="002060"/>
          <w:sz w:val="16"/>
          <w:szCs w:val="16"/>
        </w:rPr>
        <w:t>2 февраля 1915 г. было получено сообщение, что фирма ФБА готова продать комплект чертежей своей летающей лодки России за 13000 рублей и, кроме того, фирма пожелала получать по 1300 рублей за каждый построенный такой самолет на русских заводах. После подписания лицензионного соглашения от приемки двух оставшихся лодок Щетинина отказались, выплатив заводу лишь небольшую неустойку. А французские ФБА в довольно большом числе экземпляров начал строить в Петрограде завод В.А. Лебедева.</w:t>
      </w:r>
    </w:p>
    <w:p w14:paraId="4A3A2C74" w14:textId="77777777" w:rsidR="00B67D7C" w:rsidRPr="00DE096C" w:rsidRDefault="00B67D7C" w:rsidP="00D45A46">
      <w:pPr>
        <w:jc w:val="both"/>
        <w:rPr>
          <w:bCs/>
          <w:color w:val="002060"/>
          <w:sz w:val="16"/>
          <w:szCs w:val="16"/>
        </w:rPr>
      </w:pPr>
      <w:r w:rsidRPr="00DE096C">
        <w:rPr>
          <w:bCs/>
          <w:color w:val="002060"/>
          <w:sz w:val="16"/>
          <w:szCs w:val="16"/>
        </w:rPr>
        <w:t>Принятые флотом М-2 (Щ-2) и М-3 (Щ-3) использовались на 3-й станции в качестве учебных машин. Летом 1915 г. почти одновременно они получили при жесткой посадке довольно серьезные повреждения конструкции и до октября находились в долговременном ремонте. В ноябре того же года их списали.</w:t>
      </w:r>
    </w:p>
    <w:p w14:paraId="34C83A3A" w14:textId="77777777" w:rsidR="00B67D7C" w:rsidRPr="00DE096C" w:rsidRDefault="00B67D7C" w:rsidP="00D45A46">
      <w:pPr>
        <w:jc w:val="both"/>
        <w:rPr>
          <w:bCs/>
          <w:color w:val="002060"/>
          <w:sz w:val="16"/>
          <w:szCs w:val="16"/>
        </w:rPr>
      </w:pPr>
      <w:r w:rsidRPr="00DE096C">
        <w:rPr>
          <w:bCs/>
          <w:color w:val="002060"/>
          <w:sz w:val="16"/>
          <w:szCs w:val="16"/>
        </w:rPr>
        <w:t>На Черном море летом 1914 г. еще царила довольно благодушная обстановка. Казалось, война далеко, а время для реорганизаций еще есть. В сентябре морская авиация Черноморского флота насчитывала всего шесть боевых машин. По-ложение резко изменилось в октябре, когда после набега немецких крейсеров "Гебен" и "Бреслау" при участии части турецкого флота Турция объявила войну России. Обострение военной ситуации показало острую нехватку боеспособных самолетов.</w:t>
      </w:r>
    </w:p>
    <w:p w14:paraId="006EA5FB" w14:textId="77777777" w:rsidR="00B67D7C" w:rsidRPr="00DE096C" w:rsidRDefault="00B67D7C" w:rsidP="00D45A46">
      <w:pPr>
        <w:jc w:val="both"/>
        <w:rPr>
          <w:bCs/>
          <w:color w:val="002060"/>
          <w:sz w:val="16"/>
          <w:szCs w:val="16"/>
        </w:rPr>
      </w:pPr>
      <w:r w:rsidRPr="00DE096C">
        <w:rPr>
          <w:bCs/>
          <w:color w:val="002060"/>
          <w:sz w:val="16"/>
          <w:szCs w:val="16"/>
        </w:rPr>
        <w:t xml:space="preserve">В сложившихся условиях предложение Щетинина о поставке двух летающих лодок типа М-2 командованием Черноморского флота было встречено вполне благожелательно. Имеющиеся в наличии на заводе две недостроенные лодки срочно доработали по типу М-3, кроме того, внесли дополнительные изменения и дооборудовали кабину. После чего они получили обозначение М-4 и уже весной 1915 г. прибыли на Черное море. </w:t>
      </w:r>
    </w:p>
    <w:p w14:paraId="2FE238AB" w14:textId="77777777" w:rsidR="00B67D7C" w:rsidRPr="00DE096C" w:rsidRDefault="00B67D7C" w:rsidP="00D45A46">
      <w:pPr>
        <w:jc w:val="both"/>
        <w:rPr>
          <w:bCs/>
          <w:color w:val="002060"/>
          <w:sz w:val="16"/>
          <w:szCs w:val="16"/>
        </w:rPr>
      </w:pPr>
      <w:r w:rsidRPr="00DE096C">
        <w:rPr>
          <w:bCs/>
          <w:color w:val="002060"/>
          <w:sz w:val="16"/>
          <w:szCs w:val="16"/>
        </w:rPr>
        <w:t>После проведения сдаточных испытаний в апреле 1915 г. самолеты зачислили в состав авиации Черноморского флота. Летчики встретили их довольно хорошо: по сравнению с летающими лодками американского производства "Кер- тисс" (СигН$$) машины Григоровича имели лучшие мореходные, летные и эксплуатационные характеристики. Один самолет использовался в составе корабельного отряда, другой состоял в береговом отряде. Скоро оба экземпляра успешно опробовали в боевой обстановке. 12 апреля аппарат с бортовым номером "29", спущенный с борта крейсера "Император Николай I", в районе Босфора впервые атаковал турецкую канонерку. Это сообщение, наряду с другими положительными отзывами об ис-пользовании летающих лодок Щетинина-Григоровича, позволило вполне уверенно продолжать строительство следующих гидросамолетов (12083).</w:t>
      </w:r>
    </w:p>
    <w:p w14:paraId="14A4D197" w14:textId="77777777" w:rsidR="00B67D7C" w:rsidRPr="00DE096C" w:rsidRDefault="00B67D7C" w:rsidP="00D45A46">
      <w:pPr>
        <w:jc w:val="both"/>
        <w:rPr>
          <w:bCs/>
          <w:color w:val="002060"/>
          <w:sz w:val="16"/>
          <w:szCs w:val="16"/>
        </w:rPr>
      </w:pPr>
    </w:p>
    <w:p w14:paraId="12094831"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Другие оборонные отрасли:</w:t>
      </w:r>
    </w:p>
    <w:p w14:paraId="09232FB9" w14:textId="77777777" w:rsidR="00B67D7C" w:rsidRPr="00DE096C" w:rsidRDefault="00B67D7C" w:rsidP="00D45A46">
      <w:pPr>
        <w:shd w:val="clear" w:color="auto" w:fill="FFFFFF"/>
        <w:jc w:val="both"/>
        <w:rPr>
          <w:bCs/>
          <w:i/>
          <w:color w:val="002060"/>
          <w:sz w:val="16"/>
          <w:szCs w:val="16"/>
        </w:rPr>
      </w:pPr>
    </w:p>
    <w:p w14:paraId="3EC8D25B" w14:textId="2E1E0925" w:rsidR="00B67D7C" w:rsidRPr="00DE096C" w:rsidRDefault="00B67D7C" w:rsidP="00D45A46">
      <w:pPr>
        <w:jc w:val="both"/>
        <w:rPr>
          <w:bCs/>
          <w:color w:val="002060"/>
          <w:sz w:val="16"/>
          <w:szCs w:val="16"/>
        </w:rPr>
      </w:pPr>
      <w:r w:rsidRPr="00DE096C">
        <w:rPr>
          <w:bCs/>
          <w:color w:val="002060"/>
          <w:sz w:val="16"/>
          <w:szCs w:val="16"/>
        </w:rPr>
        <w:lastRenderedPageBreak/>
        <w:t xml:space="preserve">18 </w:t>
      </w:r>
      <w:r w:rsidR="000A25A6" w:rsidRPr="00DE096C">
        <w:rPr>
          <w:bCs/>
          <w:color w:val="002060"/>
          <w:sz w:val="16"/>
          <w:szCs w:val="16"/>
        </w:rPr>
        <w:t xml:space="preserve">(31) </w:t>
      </w:r>
      <w:r w:rsidRPr="00DE096C">
        <w:rPr>
          <w:bCs/>
          <w:color w:val="002060"/>
          <w:sz w:val="16"/>
          <w:szCs w:val="16"/>
        </w:rPr>
        <w:t>июля 1914 года приказом во военному ведомству № 452 под названием «инспектор по арсенальной части»</w:t>
      </w:r>
      <w:r w:rsidR="000A25A6" w:rsidRPr="00DE096C">
        <w:rPr>
          <w:bCs/>
          <w:color w:val="002060"/>
          <w:sz w:val="16"/>
          <w:szCs w:val="16"/>
        </w:rPr>
        <w:t xml:space="preserve"> была воссоздана должность, упраздненная 15 декабря 1908 года распоряжением императора Николая II о реорганизации управления в артиллерии и технических артиллерийских заведениях, опубликованном в приказе по военному ведомству № 587 от 31 декабря 1908 года</w:t>
      </w:r>
      <w:r w:rsidRPr="00DE096C">
        <w:rPr>
          <w:bCs/>
          <w:color w:val="002060"/>
          <w:sz w:val="16"/>
          <w:szCs w:val="16"/>
        </w:rPr>
        <w:t>.</w:t>
      </w:r>
    </w:p>
    <w:p w14:paraId="393AC6A3" w14:textId="77777777" w:rsidR="00B67D7C" w:rsidRPr="00DE096C" w:rsidRDefault="00B67D7C" w:rsidP="00D45A46">
      <w:pPr>
        <w:jc w:val="both"/>
        <w:rPr>
          <w:bCs/>
          <w:color w:val="002060"/>
          <w:sz w:val="16"/>
          <w:szCs w:val="16"/>
        </w:rPr>
      </w:pPr>
      <w:r w:rsidRPr="00DE096C">
        <w:rPr>
          <w:bCs/>
          <w:color w:val="002060"/>
          <w:sz w:val="16"/>
          <w:szCs w:val="16"/>
        </w:rPr>
        <w:t>После Октябрьской революции 1917 года в связи с созданием советской системы управления артиллерийским ведомством должность была окончательно ликвидирована приказом начальника ГАУ от 27 февраля 1919 года.</w:t>
      </w:r>
    </w:p>
    <w:p w14:paraId="1EE327A5" w14:textId="77777777" w:rsidR="00B67D7C" w:rsidRPr="00DE096C" w:rsidRDefault="00B67D7C" w:rsidP="00D45A46">
      <w:pPr>
        <w:jc w:val="both"/>
        <w:rPr>
          <w:bCs/>
          <w:color w:val="002060"/>
          <w:sz w:val="16"/>
          <w:szCs w:val="16"/>
        </w:rPr>
      </w:pPr>
      <w:r w:rsidRPr="00DE096C">
        <w:rPr>
          <w:rStyle w:val="10"/>
          <w:bCs/>
          <w:color w:val="002060"/>
          <w:sz w:val="16"/>
          <w:szCs w:val="16"/>
        </w:rPr>
        <w:t>Источники: Свод воен. постановлений 1869 г. 3-е изд. СПб., 1907. Кн. 1. Ст. 257—278; Приказы по воен. ведомству. 1885 г. № 173; 1908. № 587; 1914. № 452, 603; Приказы нач-ка ГАУ. 1918. № 237,443; 1919. № 382.</w:t>
      </w:r>
    </w:p>
    <w:p w14:paraId="0B74A2E9" w14:textId="77777777" w:rsidR="00B67D7C" w:rsidRPr="00DE096C" w:rsidRDefault="00B67D7C" w:rsidP="00D45A46">
      <w:pPr>
        <w:jc w:val="both"/>
        <w:rPr>
          <w:rStyle w:val="1"/>
          <w:b w:val="0"/>
          <w:bCs/>
          <w:color w:val="002060"/>
          <w:sz w:val="16"/>
          <w:szCs w:val="16"/>
        </w:rPr>
      </w:pPr>
      <w:r w:rsidRPr="00DE096C">
        <w:rPr>
          <w:rStyle w:val="1"/>
          <w:b w:val="0"/>
          <w:bCs/>
          <w:color w:val="002060"/>
          <w:sz w:val="16"/>
          <w:szCs w:val="16"/>
        </w:rPr>
        <w:t>И.В. Карпеев (11722).</w:t>
      </w:r>
    </w:p>
    <w:p w14:paraId="149A8071" w14:textId="77777777" w:rsidR="00B67D7C" w:rsidRPr="00DE096C" w:rsidRDefault="00B67D7C" w:rsidP="00D45A46">
      <w:pPr>
        <w:jc w:val="both"/>
        <w:rPr>
          <w:rStyle w:val="1"/>
          <w:b w:val="0"/>
          <w:bCs/>
          <w:color w:val="002060"/>
          <w:sz w:val="16"/>
          <w:szCs w:val="16"/>
        </w:rPr>
      </w:pPr>
    </w:p>
    <w:p w14:paraId="063E2095"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w:t>
      </w:r>
    </w:p>
    <w:p w14:paraId="1874AA14" w14:textId="77777777" w:rsidR="00B67D7C" w:rsidRPr="00DE096C" w:rsidRDefault="00B67D7C" w:rsidP="00D45A46">
      <w:pPr>
        <w:shd w:val="clear" w:color="auto" w:fill="FFFFFF"/>
        <w:jc w:val="both"/>
        <w:rPr>
          <w:bCs/>
          <w:i/>
          <w:color w:val="002060"/>
          <w:sz w:val="16"/>
          <w:szCs w:val="16"/>
        </w:rPr>
      </w:pPr>
    </w:p>
    <w:p w14:paraId="48FCF052" w14:textId="304413D9" w:rsidR="00447E42" w:rsidRPr="00DE096C" w:rsidRDefault="00447E42" w:rsidP="00D45A46">
      <w:pPr>
        <w:jc w:val="both"/>
        <w:rPr>
          <w:bCs/>
          <w:color w:val="002060"/>
          <w:sz w:val="16"/>
          <w:szCs w:val="16"/>
        </w:rPr>
      </w:pPr>
      <w:r w:rsidRPr="00DE096C">
        <w:rPr>
          <w:bCs/>
          <w:color w:val="002060"/>
          <w:sz w:val="16"/>
          <w:szCs w:val="16"/>
        </w:rPr>
        <w:t xml:space="preserve">18 </w:t>
      </w:r>
      <w:r w:rsidR="000A25A6" w:rsidRPr="00DE096C">
        <w:rPr>
          <w:bCs/>
          <w:color w:val="002060"/>
          <w:sz w:val="16"/>
          <w:szCs w:val="16"/>
        </w:rPr>
        <w:t xml:space="preserve">(31) </w:t>
      </w:r>
      <w:r w:rsidRPr="00DE096C">
        <w:rPr>
          <w:bCs/>
          <w:color w:val="002060"/>
          <w:sz w:val="16"/>
          <w:szCs w:val="16"/>
        </w:rPr>
        <w:t>июля 1914 г., за день до начала войны,</w:t>
      </w:r>
      <w:r w:rsidR="0006581C">
        <w:rPr>
          <w:bCs/>
          <w:color w:val="002060"/>
          <w:sz w:val="16"/>
          <w:szCs w:val="16"/>
        </w:rPr>
        <w:t xml:space="preserve"> </w:t>
      </w:r>
      <w:r w:rsidRPr="00DE096C">
        <w:rPr>
          <w:bCs/>
          <w:color w:val="002060"/>
          <w:sz w:val="16"/>
          <w:szCs w:val="16"/>
        </w:rPr>
        <w:t>Отдел по устройству войск ГУ ГШ счел необходимым обратиться в ГВТУ с просьбой о замене в авиаотрядах не совсем здоровых летчиков («потерпевших во время полетов более или менее серьезные аварии») летчиками, занимающимися на заводах приемкой авиатехники. По этому указанию была, однако, осуществлена замена только трех человек. Для уяснения отношения ГУ ГШ к подготовке летных кадров можно привести и такой пример: как только началась война ГВТУ настойчиво добивалось от ГУ ГШ «установления порядка командирования офицеров в авиационные школы в условиях военного времени». Наконец, Начальник ГШ разрешил ГВТУ направлять в авиашколы преимущественно офицеров, имевших ранения или не находившихся в действующей армии. Таким образом, уже в начале войны обозначилась тенденция комплектования авиашкол переменным составом по остаточному принципу. Отсутствие плана подготовки авиационных кадров в условиях войны внесло элемент неорганизованности в деятельность двух основных авиашкол. Так, инструкторы ГВАШ в июле-августе 1914 г. под руководством конструктора И.И. Сикорского обучались пилотированию самолетов «Илья Муромец», а затем, по мере готовности, стали отбывать во главе их экипажей на фронт. В результате учебная деятельность школы резко затормозилась. Не способствовало учебному процессу и то, что по требованию Генштаба ГВАШ стала работать как запасная авиачасть (19566).</w:t>
      </w:r>
    </w:p>
    <w:p w14:paraId="2A9C447F" w14:textId="77777777" w:rsidR="00447E42" w:rsidRPr="00DE096C" w:rsidRDefault="00447E42" w:rsidP="00D45A46">
      <w:pPr>
        <w:jc w:val="both"/>
        <w:rPr>
          <w:bCs/>
          <w:color w:val="002060"/>
          <w:sz w:val="16"/>
          <w:szCs w:val="16"/>
        </w:rPr>
      </w:pPr>
    </w:p>
    <w:p w14:paraId="47FC7349" w14:textId="268BC423" w:rsidR="00B67D7C" w:rsidRPr="00DE096C" w:rsidRDefault="000A25A6" w:rsidP="00D45A46">
      <w:pPr>
        <w:shd w:val="clear" w:color="auto" w:fill="FFFFFF"/>
        <w:jc w:val="both"/>
        <w:rPr>
          <w:bCs/>
          <w:color w:val="002060"/>
          <w:sz w:val="16"/>
          <w:szCs w:val="16"/>
        </w:rPr>
      </w:pPr>
      <w:r w:rsidRPr="00DE096C">
        <w:rPr>
          <w:bCs/>
          <w:color w:val="002060"/>
          <w:sz w:val="16"/>
          <w:szCs w:val="16"/>
        </w:rPr>
        <w:t>Н</w:t>
      </w:r>
      <w:r w:rsidR="00B67D7C" w:rsidRPr="00DE096C">
        <w:rPr>
          <w:bCs/>
          <w:color w:val="002060"/>
          <w:sz w:val="16"/>
          <w:szCs w:val="16"/>
        </w:rPr>
        <w:t xml:space="preserve">а 18 </w:t>
      </w:r>
      <w:r w:rsidRPr="00DE096C">
        <w:rPr>
          <w:bCs/>
          <w:color w:val="002060"/>
          <w:sz w:val="16"/>
          <w:szCs w:val="16"/>
        </w:rPr>
        <w:t xml:space="preserve">(31) </w:t>
      </w:r>
      <w:r w:rsidR="00B67D7C" w:rsidRPr="00DE096C">
        <w:rPr>
          <w:bCs/>
          <w:color w:val="002060"/>
          <w:sz w:val="16"/>
          <w:szCs w:val="16"/>
        </w:rPr>
        <w:t xml:space="preserve">июля 1914 г. </w:t>
      </w:r>
      <w:r w:rsidRPr="00DE096C">
        <w:rPr>
          <w:bCs/>
          <w:color w:val="002060"/>
          <w:sz w:val="16"/>
          <w:szCs w:val="16"/>
        </w:rPr>
        <w:t xml:space="preserve">общее число военных самолетов в строю </w:t>
      </w:r>
      <w:r w:rsidR="00B67D7C" w:rsidRPr="00DE096C">
        <w:rPr>
          <w:bCs/>
          <w:color w:val="002060"/>
          <w:sz w:val="16"/>
          <w:szCs w:val="16"/>
        </w:rPr>
        <w:t>(ЦГВИА, ф. 366, оп. 1, д. 1, л. 1-4.)</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824"/>
        <w:gridCol w:w="806"/>
        <w:gridCol w:w="797"/>
        <w:gridCol w:w="787"/>
        <w:gridCol w:w="806"/>
        <w:gridCol w:w="797"/>
        <w:gridCol w:w="787"/>
      </w:tblGrid>
      <w:tr w:rsidR="00B67D7C" w:rsidRPr="00DE096C" w14:paraId="634F7B2B" w14:textId="77777777" w:rsidTr="00C2024A">
        <w:trPr>
          <w:trHeight w:val="586"/>
        </w:trPr>
        <w:tc>
          <w:tcPr>
            <w:tcW w:w="1824" w:type="dxa"/>
          </w:tcPr>
          <w:p w14:paraId="3ADF855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Страна</w:t>
            </w:r>
          </w:p>
          <w:p w14:paraId="2C0C5CCA" w14:textId="77777777" w:rsidR="00B67D7C" w:rsidRPr="00DE096C" w:rsidRDefault="00B67D7C" w:rsidP="00D45A46">
            <w:pPr>
              <w:shd w:val="clear" w:color="auto" w:fill="FFFFFF"/>
              <w:jc w:val="both"/>
              <w:rPr>
                <w:bCs/>
                <w:color w:val="002060"/>
                <w:sz w:val="16"/>
                <w:szCs w:val="16"/>
              </w:rPr>
            </w:pPr>
          </w:p>
        </w:tc>
        <w:tc>
          <w:tcPr>
            <w:tcW w:w="806" w:type="dxa"/>
          </w:tcPr>
          <w:p w14:paraId="71506B9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Россия</w:t>
            </w:r>
          </w:p>
          <w:p w14:paraId="353CD1F5" w14:textId="77777777" w:rsidR="00B67D7C" w:rsidRPr="00DE096C" w:rsidRDefault="00B67D7C" w:rsidP="00D45A46">
            <w:pPr>
              <w:shd w:val="clear" w:color="auto" w:fill="FFFFFF"/>
              <w:jc w:val="both"/>
              <w:rPr>
                <w:bCs/>
                <w:color w:val="002060"/>
                <w:sz w:val="16"/>
                <w:szCs w:val="16"/>
              </w:rPr>
            </w:pPr>
          </w:p>
        </w:tc>
        <w:tc>
          <w:tcPr>
            <w:tcW w:w="797" w:type="dxa"/>
          </w:tcPr>
          <w:p w14:paraId="794F63C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Германия</w:t>
            </w:r>
          </w:p>
          <w:p w14:paraId="75B34625" w14:textId="77777777" w:rsidR="00B67D7C" w:rsidRPr="00DE096C" w:rsidRDefault="00B67D7C" w:rsidP="00D45A46">
            <w:pPr>
              <w:shd w:val="clear" w:color="auto" w:fill="FFFFFF"/>
              <w:jc w:val="both"/>
              <w:rPr>
                <w:bCs/>
                <w:color w:val="002060"/>
                <w:sz w:val="16"/>
                <w:szCs w:val="16"/>
              </w:rPr>
            </w:pPr>
          </w:p>
        </w:tc>
        <w:tc>
          <w:tcPr>
            <w:tcW w:w="787" w:type="dxa"/>
          </w:tcPr>
          <w:p w14:paraId="7996E1A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Франция</w:t>
            </w:r>
          </w:p>
          <w:p w14:paraId="2C5C2A13" w14:textId="77777777" w:rsidR="00B67D7C" w:rsidRPr="00DE096C" w:rsidRDefault="00B67D7C" w:rsidP="00D45A46">
            <w:pPr>
              <w:shd w:val="clear" w:color="auto" w:fill="FFFFFF"/>
              <w:jc w:val="both"/>
              <w:rPr>
                <w:bCs/>
                <w:color w:val="002060"/>
                <w:sz w:val="16"/>
                <w:szCs w:val="16"/>
              </w:rPr>
            </w:pPr>
          </w:p>
        </w:tc>
        <w:tc>
          <w:tcPr>
            <w:tcW w:w="806" w:type="dxa"/>
          </w:tcPr>
          <w:p w14:paraId="66C6E35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Австро-Венгрия</w:t>
            </w:r>
          </w:p>
          <w:p w14:paraId="770D0CB2" w14:textId="77777777" w:rsidR="00B67D7C" w:rsidRPr="00DE096C" w:rsidRDefault="00B67D7C" w:rsidP="00D45A46">
            <w:pPr>
              <w:shd w:val="clear" w:color="auto" w:fill="FFFFFF"/>
              <w:jc w:val="both"/>
              <w:rPr>
                <w:bCs/>
                <w:color w:val="002060"/>
                <w:sz w:val="16"/>
                <w:szCs w:val="16"/>
              </w:rPr>
            </w:pPr>
          </w:p>
        </w:tc>
        <w:tc>
          <w:tcPr>
            <w:tcW w:w="797" w:type="dxa"/>
          </w:tcPr>
          <w:p w14:paraId="4AAD056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Англия</w:t>
            </w:r>
          </w:p>
          <w:p w14:paraId="6AB5C458" w14:textId="77777777" w:rsidR="00B67D7C" w:rsidRPr="00DE096C" w:rsidRDefault="00B67D7C" w:rsidP="00D45A46">
            <w:pPr>
              <w:shd w:val="clear" w:color="auto" w:fill="FFFFFF"/>
              <w:jc w:val="both"/>
              <w:rPr>
                <w:bCs/>
                <w:color w:val="002060"/>
                <w:sz w:val="16"/>
                <w:szCs w:val="16"/>
              </w:rPr>
            </w:pPr>
          </w:p>
        </w:tc>
        <w:tc>
          <w:tcPr>
            <w:tcW w:w="787" w:type="dxa"/>
          </w:tcPr>
          <w:p w14:paraId="5A3A421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США</w:t>
            </w:r>
          </w:p>
          <w:p w14:paraId="0805D881" w14:textId="77777777" w:rsidR="00B67D7C" w:rsidRPr="00DE096C" w:rsidRDefault="00B67D7C" w:rsidP="00D45A46">
            <w:pPr>
              <w:shd w:val="clear" w:color="auto" w:fill="FFFFFF"/>
              <w:jc w:val="both"/>
              <w:rPr>
                <w:bCs/>
                <w:color w:val="002060"/>
                <w:sz w:val="16"/>
                <w:szCs w:val="16"/>
              </w:rPr>
            </w:pPr>
          </w:p>
        </w:tc>
      </w:tr>
      <w:tr w:rsidR="00B67D7C" w:rsidRPr="00DE096C" w14:paraId="1FF575E8" w14:textId="77777777" w:rsidTr="00C2024A">
        <w:trPr>
          <w:trHeight w:val="509"/>
        </w:trPr>
        <w:tc>
          <w:tcPr>
            <w:tcW w:w="1824" w:type="dxa"/>
          </w:tcPr>
          <w:p w14:paraId="7B35043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Число военных само-</w:t>
            </w:r>
          </w:p>
          <w:p w14:paraId="3BEF01BA" w14:textId="77777777" w:rsidR="00B67D7C" w:rsidRPr="00DE096C" w:rsidRDefault="00B67D7C" w:rsidP="00D45A46">
            <w:pPr>
              <w:shd w:val="clear" w:color="auto" w:fill="FFFFFF"/>
              <w:jc w:val="both"/>
              <w:rPr>
                <w:bCs/>
                <w:color w:val="002060"/>
                <w:sz w:val="16"/>
                <w:szCs w:val="16"/>
              </w:rPr>
            </w:pPr>
          </w:p>
        </w:tc>
        <w:tc>
          <w:tcPr>
            <w:tcW w:w="806" w:type="dxa"/>
          </w:tcPr>
          <w:p w14:paraId="5B22174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244</w:t>
            </w:r>
          </w:p>
          <w:p w14:paraId="45E50A44" w14:textId="77777777" w:rsidR="00B67D7C" w:rsidRPr="00DE096C" w:rsidRDefault="00B67D7C" w:rsidP="00D45A46">
            <w:pPr>
              <w:shd w:val="clear" w:color="auto" w:fill="FFFFFF"/>
              <w:jc w:val="both"/>
              <w:rPr>
                <w:bCs/>
                <w:color w:val="002060"/>
                <w:sz w:val="16"/>
                <w:szCs w:val="16"/>
              </w:rPr>
            </w:pPr>
          </w:p>
        </w:tc>
        <w:tc>
          <w:tcPr>
            <w:tcW w:w="797" w:type="dxa"/>
          </w:tcPr>
          <w:p w14:paraId="7EC7A10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232</w:t>
            </w:r>
          </w:p>
          <w:p w14:paraId="4B787615" w14:textId="77777777" w:rsidR="00B67D7C" w:rsidRPr="00DE096C" w:rsidRDefault="00B67D7C" w:rsidP="00D45A46">
            <w:pPr>
              <w:shd w:val="clear" w:color="auto" w:fill="FFFFFF"/>
              <w:jc w:val="both"/>
              <w:rPr>
                <w:bCs/>
                <w:color w:val="002060"/>
                <w:sz w:val="16"/>
                <w:szCs w:val="16"/>
              </w:rPr>
            </w:pPr>
          </w:p>
        </w:tc>
        <w:tc>
          <w:tcPr>
            <w:tcW w:w="787" w:type="dxa"/>
          </w:tcPr>
          <w:p w14:paraId="6756F1D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156</w:t>
            </w:r>
          </w:p>
          <w:p w14:paraId="0D88F318" w14:textId="77777777" w:rsidR="00B67D7C" w:rsidRPr="00DE096C" w:rsidRDefault="00B67D7C" w:rsidP="00D45A46">
            <w:pPr>
              <w:shd w:val="clear" w:color="auto" w:fill="FFFFFF"/>
              <w:jc w:val="both"/>
              <w:rPr>
                <w:bCs/>
                <w:color w:val="002060"/>
                <w:sz w:val="16"/>
                <w:szCs w:val="16"/>
              </w:rPr>
            </w:pPr>
          </w:p>
        </w:tc>
        <w:tc>
          <w:tcPr>
            <w:tcW w:w="806" w:type="dxa"/>
          </w:tcPr>
          <w:p w14:paraId="59E28A5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65</w:t>
            </w:r>
          </w:p>
          <w:p w14:paraId="62E28618" w14:textId="77777777" w:rsidR="00B67D7C" w:rsidRPr="00DE096C" w:rsidRDefault="00B67D7C" w:rsidP="00D45A46">
            <w:pPr>
              <w:shd w:val="clear" w:color="auto" w:fill="FFFFFF"/>
              <w:jc w:val="both"/>
              <w:rPr>
                <w:bCs/>
                <w:color w:val="002060"/>
                <w:sz w:val="16"/>
                <w:szCs w:val="16"/>
              </w:rPr>
            </w:pPr>
          </w:p>
        </w:tc>
        <w:tc>
          <w:tcPr>
            <w:tcW w:w="797" w:type="dxa"/>
          </w:tcPr>
          <w:p w14:paraId="273F3A0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30</w:t>
            </w:r>
          </w:p>
          <w:p w14:paraId="3FA233A7" w14:textId="77777777" w:rsidR="00B67D7C" w:rsidRPr="00DE096C" w:rsidRDefault="00B67D7C" w:rsidP="00D45A46">
            <w:pPr>
              <w:shd w:val="clear" w:color="auto" w:fill="FFFFFF"/>
              <w:jc w:val="both"/>
              <w:rPr>
                <w:bCs/>
                <w:color w:val="002060"/>
                <w:sz w:val="16"/>
                <w:szCs w:val="16"/>
              </w:rPr>
            </w:pPr>
          </w:p>
        </w:tc>
        <w:tc>
          <w:tcPr>
            <w:tcW w:w="787" w:type="dxa"/>
          </w:tcPr>
          <w:p w14:paraId="4CA452F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30</w:t>
            </w:r>
          </w:p>
          <w:p w14:paraId="57101B55" w14:textId="77777777" w:rsidR="00B67D7C" w:rsidRPr="00DE096C" w:rsidRDefault="00B67D7C" w:rsidP="00D45A46">
            <w:pPr>
              <w:shd w:val="clear" w:color="auto" w:fill="FFFFFF"/>
              <w:jc w:val="both"/>
              <w:rPr>
                <w:bCs/>
                <w:color w:val="002060"/>
                <w:sz w:val="16"/>
                <w:szCs w:val="16"/>
              </w:rPr>
            </w:pPr>
          </w:p>
        </w:tc>
      </w:tr>
    </w:tbl>
    <w:p w14:paraId="26B8F99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Основную массу самолетов, находившихся на вооружении рус</w:t>
      </w:r>
      <w:r w:rsidRPr="00DE096C">
        <w:rPr>
          <w:bCs/>
          <w:color w:val="002060"/>
          <w:sz w:val="16"/>
          <w:szCs w:val="16"/>
        </w:rPr>
        <w:softHyphen/>
        <w:t>ской авиации, составляли устаревшие самолеты Ньюпор 4 и Фарман 16 русской постройки. Тяжелые самолеты «Илья Муромец» с четырьмя двигателями только начинали поступать в армию.Морская авиация состояла из небольшого числа летающих лодок М-5.</w:t>
      </w:r>
    </w:p>
    <w:p w14:paraId="214B9AB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Все эти самолеты могли успешно выполнять только разведку ближних фронтовых и армейских тылов противника и нести службу связи. Серийные военные самолеты к началу войны никакого воору</w:t>
      </w:r>
      <w:r w:rsidRPr="00DE096C">
        <w:rPr>
          <w:bCs/>
          <w:color w:val="002060"/>
          <w:sz w:val="16"/>
          <w:szCs w:val="16"/>
        </w:rPr>
        <w:softHyphen/>
        <w:t>жения не имели. Только немногие опытные самолеты были воору</w:t>
      </w:r>
      <w:r w:rsidRPr="00DE096C">
        <w:rPr>
          <w:bCs/>
          <w:color w:val="002060"/>
          <w:sz w:val="16"/>
          <w:szCs w:val="16"/>
        </w:rPr>
        <w:softHyphen/>
        <w:t>жены несинхронными пулеметами, примитивными бомбодержате</w:t>
      </w:r>
      <w:r w:rsidRPr="00DE096C">
        <w:rPr>
          <w:bCs/>
          <w:color w:val="002060"/>
          <w:sz w:val="16"/>
          <w:szCs w:val="16"/>
        </w:rPr>
        <w:softHyphen/>
        <w:t>лями и бомбардировочными прицелами. В течение 1914—1915 гг. в России, раньше чем за границей, были созданы и усовершенство</w:t>
      </w:r>
      <w:r w:rsidRPr="00DE096C">
        <w:rPr>
          <w:bCs/>
          <w:color w:val="002060"/>
          <w:sz w:val="16"/>
          <w:szCs w:val="16"/>
        </w:rPr>
        <w:softHyphen/>
        <w:t>ваны новые типы военных самолетов: бомбардировщик, истребитель и разведчик. Однако в результате общей промышленной отсталости царской России во время войны производство военных самолетов и авиационных двигателей было развернуто совершенно недостаточно. В то время как военный воздушный флот Антанты и ее противни</w:t>
      </w:r>
      <w:r w:rsidRPr="00DE096C">
        <w:rPr>
          <w:bCs/>
          <w:color w:val="002060"/>
          <w:sz w:val="16"/>
          <w:szCs w:val="16"/>
        </w:rPr>
        <w:softHyphen/>
        <w:t>ков к концу войны насчитывал несколько десятков тысяч самолетов, армия царской России к 1 марта 1917 г. имела на вооружении всего около 1200 исправных самолетов (318).</w:t>
      </w:r>
    </w:p>
    <w:p w14:paraId="6C7BA3FD" w14:textId="77777777" w:rsidR="00B67D7C" w:rsidRPr="00DE096C" w:rsidRDefault="00B67D7C" w:rsidP="00D45A46">
      <w:pPr>
        <w:jc w:val="both"/>
        <w:rPr>
          <w:bCs/>
          <w:color w:val="002060"/>
          <w:sz w:val="16"/>
          <w:szCs w:val="16"/>
        </w:rPr>
      </w:pPr>
    </w:p>
    <w:p w14:paraId="5E4F199E" w14:textId="7DF694BC" w:rsidR="00B67D7C" w:rsidRPr="00DE096C" w:rsidRDefault="00B67D7C" w:rsidP="00D45A46">
      <w:pPr>
        <w:jc w:val="both"/>
        <w:rPr>
          <w:bCs/>
          <w:color w:val="002060"/>
          <w:sz w:val="16"/>
          <w:szCs w:val="16"/>
        </w:rPr>
      </w:pPr>
      <w:r w:rsidRPr="00DE096C">
        <w:rPr>
          <w:bCs/>
          <w:color w:val="002060"/>
          <w:sz w:val="16"/>
          <w:szCs w:val="16"/>
        </w:rPr>
        <w:t xml:space="preserve">К 18 </w:t>
      </w:r>
      <w:r w:rsidR="000A25A6" w:rsidRPr="00DE096C">
        <w:rPr>
          <w:bCs/>
          <w:color w:val="002060"/>
          <w:sz w:val="16"/>
          <w:szCs w:val="16"/>
        </w:rPr>
        <w:t xml:space="preserve">(31) </w:t>
      </w:r>
      <w:r w:rsidRPr="00DE096C">
        <w:rPr>
          <w:bCs/>
          <w:color w:val="002060"/>
          <w:sz w:val="16"/>
          <w:szCs w:val="16"/>
        </w:rPr>
        <w:t>июля 1914 года в строю находилось всего 244 самолета, которые распределялись между шестью ротами и 39 авиаотрядами: 1 гвардейский, 1 гренадерский, 3 полевых, 25 корпусных, 3 сибирских, 8 крепостных и 1 добровольческий авиаотряд (сформированный Всероссийским аэроклубом и переименованный впоследствии в 34-й корпусной). По штату корпусной авиаотряд состоял из шести разведчиков, двух истребителей и двух самолетов — корректировщиков артогня (артиллерийских самолетов). Гвардейский, гренадерский и три сибирских отряда ничем не отличались от корпусных. Основной задачей корпусного отряда была разведка и корректировка огня артиллерии в полосе действия пехотного корпуса. Германия имела на ту же дату 232 аэроплана в 34 отрядах, Франция — 138 в 25, Англия — 56 самолетов первой линии, Австро-Венгрия — около 30 машин. Учитывая, что державы германского блока сосредоточили большинство самолетов на Западном и Сербском фронтах, русские ВВС получили в начале войны численное преимущество над противником (11040).</w:t>
      </w:r>
    </w:p>
    <w:p w14:paraId="1B96B438" w14:textId="77777777" w:rsidR="00B67D7C" w:rsidRPr="00DE096C" w:rsidRDefault="00B67D7C" w:rsidP="00D45A46">
      <w:pPr>
        <w:shd w:val="clear" w:color="auto" w:fill="FFFFFF"/>
        <w:jc w:val="both"/>
        <w:rPr>
          <w:bCs/>
          <w:color w:val="002060"/>
          <w:sz w:val="16"/>
          <w:szCs w:val="16"/>
        </w:rPr>
      </w:pPr>
    </w:p>
    <w:p w14:paraId="7F8C7872" w14:textId="422661A2" w:rsidR="00B67D7C" w:rsidRPr="00DE096C" w:rsidRDefault="00B67D7C" w:rsidP="00D45A46">
      <w:pPr>
        <w:jc w:val="both"/>
        <w:rPr>
          <w:bCs/>
          <w:color w:val="002060"/>
          <w:sz w:val="16"/>
          <w:szCs w:val="16"/>
        </w:rPr>
      </w:pPr>
      <w:r w:rsidRPr="00DE096C">
        <w:rPr>
          <w:bCs/>
          <w:color w:val="002060"/>
          <w:sz w:val="16"/>
          <w:szCs w:val="16"/>
        </w:rPr>
        <w:t xml:space="preserve">К 18 </w:t>
      </w:r>
      <w:r w:rsidR="000A25A6" w:rsidRPr="00DE096C">
        <w:rPr>
          <w:bCs/>
          <w:color w:val="002060"/>
          <w:sz w:val="16"/>
          <w:szCs w:val="16"/>
        </w:rPr>
        <w:t xml:space="preserve">(31) </w:t>
      </w:r>
      <w:r w:rsidRPr="00DE096C">
        <w:rPr>
          <w:bCs/>
          <w:color w:val="002060"/>
          <w:sz w:val="16"/>
          <w:szCs w:val="16"/>
        </w:rPr>
        <w:t xml:space="preserve">июля 1914 года в строю находилось всего 244 самолета, которые распределялись между шестью ротами и 39 авиаотрядами: 1 гвардейский, 1 гренадерский, 3 полевых, 25 корпусных, 3 сибирских, 8 крепостных и 1 добровольческий авиаотряд (сформированный Всероссийским аэроклубом и переименованный впоследствии в 34-й корпусной). По штату корпусной авиаотряд состоял из шести разведчиков, двух истребителей и двух самолетов — корректировщиков артогня (артиллерийских самолетов). Гвардейский, гренадерский и три сибирских отряда ничем не отличались от корпусных. Основной задачей корпусного отряда была разведка и корректировка огня артиллерии в полосе действия пехотного корпуса. Германия имела на ту же дату 232 аэроплана в 34 отрядах, Франция — 138 в 25, Англия — 56 самолетов первой линии, Австро-Венгрия — около 30 машин. Учитывая, что державы германского блока сосредоточили большинство самолетов на Западном и Сербском фронтах, русские ВВС получили в начале войны численное преимущество над противником. </w:t>
      </w:r>
    </w:p>
    <w:p w14:paraId="4AF59EC8" w14:textId="77777777" w:rsidR="00B67D7C" w:rsidRPr="00DE096C" w:rsidRDefault="00B67D7C" w:rsidP="00D45A46">
      <w:pPr>
        <w:jc w:val="both"/>
        <w:rPr>
          <w:bCs/>
          <w:color w:val="002060"/>
          <w:sz w:val="16"/>
          <w:szCs w:val="16"/>
        </w:rPr>
      </w:pPr>
      <w:r w:rsidRPr="00DE096C">
        <w:rPr>
          <w:bCs/>
          <w:color w:val="002060"/>
          <w:sz w:val="16"/>
          <w:szCs w:val="16"/>
        </w:rPr>
        <w:t xml:space="preserve">Значительная часть русских самолетов была построена на семи отечественных заводах: Русско-Балтийский завод в Риге с филиалом в Петрограде; завод С. С. Щетинина, акционерное общество В. А. Лебедева (оба — Петроград); акционерные общества «Дукс» и «Моска» (Москва); завод А. А. Анатра (Одесса); завод В. В. Слюсаренко. В ходе войны в строй вступило еще пять заводов: Ф. Р. Терещенко, В. Ф. Адаменко, «Безобразов и Ко», А. А. Пороховщикова и «Матиас». Однако военное министерство фактически устранилось от координации выпуска самолетов. В большинстве случаев выпускались аэропланы иностранных конструкций (в серийном производстве находилось 16 зарубежных моделей и лишь 12 отечественных). Иностранные фирмы отнюдь не спешили передавать русским свои новейшие технические разработки. К моменту, когда их все-таки продавали в Россию, они успевали уже порядком устареть. При этом изобретения талантливых русских конструкторов — Сикорского, Стенглау, Гаккеля — так и не были запущены в серийное производство. Так же обстояло дело и с самыми современными на тот момент аппаратами для аэрофотосъемки систем С. А. Ульянина и В. Ф. Потте. Тот же Ульянин в 1914 году предложил военному министерству первый в мире проект аппарата для дистанционного управления самолетом, который прошел успешные испытания в военно-морском управлении. Не получив поддержки у отечественных бюрократов, талантливый русский инженер уехал в Лондон — только там он смог продолжить свои работы. </w:t>
      </w:r>
    </w:p>
    <w:p w14:paraId="4BD931C0" w14:textId="77777777" w:rsidR="00B67D7C" w:rsidRPr="00DE096C" w:rsidRDefault="00B67D7C" w:rsidP="00D45A46">
      <w:pPr>
        <w:jc w:val="both"/>
        <w:rPr>
          <w:bCs/>
          <w:color w:val="002060"/>
          <w:sz w:val="16"/>
          <w:szCs w:val="16"/>
        </w:rPr>
      </w:pPr>
      <w:r w:rsidRPr="00DE096C">
        <w:rPr>
          <w:bCs/>
          <w:color w:val="002060"/>
          <w:sz w:val="16"/>
          <w:szCs w:val="16"/>
        </w:rPr>
        <w:t>Недостаточное производство самолетов в России пытались возместить закупками за границей. Но и эта мера не принесла ожидаемого результата. Только летом 1916 года наконец-то были выделены средства для централизованных закупок. Поставки осуществлялись с большими перебоями, а после боев под Верденом, где союзная авиация понесла большие потери, вообще резко сократились. Очень часто поступающая продукция была низкого качества и требовала доработки на месте. Всего до 1 ноября 1916 года из-за границы было получено 883 самолета и 2326 двигателей. Из них во Франции закуплено 65% самолетов и 90% моторов, в Англии — по 10%, в Италии — 25% самолетов (в самой России за всю войну выпустили только 511 авиадвигателей) (11205).</w:t>
      </w:r>
    </w:p>
    <w:p w14:paraId="66567D72" w14:textId="77777777" w:rsidR="00B67D7C" w:rsidRPr="00DE096C" w:rsidRDefault="00B67D7C" w:rsidP="00D45A46">
      <w:pPr>
        <w:shd w:val="clear" w:color="auto" w:fill="FFFFFF"/>
        <w:jc w:val="both"/>
        <w:rPr>
          <w:bCs/>
          <w:color w:val="002060"/>
          <w:sz w:val="16"/>
          <w:szCs w:val="16"/>
        </w:rPr>
      </w:pPr>
    </w:p>
    <w:p w14:paraId="1F17716E" w14:textId="759AADDD" w:rsidR="00B67D7C" w:rsidRPr="00DE096C" w:rsidRDefault="00B67D7C" w:rsidP="00D45A46">
      <w:pPr>
        <w:jc w:val="both"/>
        <w:rPr>
          <w:bCs/>
          <w:color w:val="002060"/>
          <w:sz w:val="16"/>
          <w:szCs w:val="16"/>
        </w:rPr>
      </w:pPr>
      <w:r w:rsidRPr="00DE096C">
        <w:rPr>
          <w:bCs/>
          <w:color w:val="002060"/>
          <w:sz w:val="16"/>
          <w:szCs w:val="16"/>
        </w:rPr>
        <w:t xml:space="preserve">К 18 </w:t>
      </w:r>
      <w:r w:rsidR="000A25A6" w:rsidRPr="00DE096C">
        <w:rPr>
          <w:bCs/>
          <w:color w:val="002060"/>
          <w:sz w:val="16"/>
          <w:szCs w:val="16"/>
        </w:rPr>
        <w:t xml:space="preserve">(31) </w:t>
      </w:r>
      <w:r w:rsidRPr="00DE096C">
        <w:rPr>
          <w:bCs/>
          <w:color w:val="002060"/>
          <w:sz w:val="16"/>
          <w:szCs w:val="16"/>
        </w:rPr>
        <w:t>июля 1914 года России в строю находилось 244 самолета. Германия имела на ту же дату 232 аэроплана в 34 отрядах, Франция - 138 в 25, Англия - 56 самолетов, Австро-Венгрия - около 30 машин.</w:t>
      </w:r>
    </w:p>
    <w:p w14:paraId="61675BD4" w14:textId="77777777" w:rsidR="00B67D7C" w:rsidRPr="00DE096C" w:rsidRDefault="00B67D7C" w:rsidP="00D45A46">
      <w:pPr>
        <w:jc w:val="both"/>
        <w:rPr>
          <w:bCs/>
          <w:color w:val="002060"/>
          <w:sz w:val="16"/>
          <w:szCs w:val="16"/>
        </w:rPr>
      </w:pPr>
      <w:r w:rsidRPr="00DE096C">
        <w:rPr>
          <w:bCs/>
          <w:color w:val="002060"/>
          <w:sz w:val="16"/>
          <w:szCs w:val="16"/>
        </w:rPr>
        <w:t>Дирижабли в России также имелись, но в значительно меньших количествах. В России к началу Первой мировой войны имелось 14 дирижаблей, но из них лишь 4 - "Альбатрос", "Астра", "Кондор" и "Буревестник" - по своим летно-техническим характеристикам могли считаться пригодными для участия в боевых действиях.</w:t>
      </w:r>
    </w:p>
    <w:p w14:paraId="553AD02C" w14:textId="77777777" w:rsidR="00B67D7C" w:rsidRPr="00DE096C" w:rsidRDefault="00B67D7C" w:rsidP="00D45A46">
      <w:pPr>
        <w:jc w:val="both"/>
        <w:rPr>
          <w:bCs/>
          <w:color w:val="002060"/>
          <w:sz w:val="16"/>
          <w:szCs w:val="16"/>
        </w:rPr>
      </w:pPr>
      <w:r w:rsidRPr="00DE096C">
        <w:rPr>
          <w:bCs/>
          <w:color w:val="002060"/>
          <w:sz w:val="16"/>
          <w:szCs w:val="16"/>
        </w:rPr>
        <w:t>А Германия еще в январе 1914 года по общему объему (244 000 куб. м) и по боевым качествам своих дирижаблей обладала самым мощным воздухоплавательным флотом в мире. К ведению боевых операций на суше были готовы шесть жестких дирижаблей фирмы "Цеппелин", два мобилизованных гражданских транспортных цеппелина "Саксония", один дирижабль SL-2 (Лигнице) и три "Парсеваля". Германский флот имел боеготовый дирижабль L-3, гражданский цеппелин "Виктория-Луиза", дирижабль системы Гросс-Базенах "Милитэр" M-IV, который был передан из армии, и два "Парсеваля", предназначенных для учебы и тренировок экипажей.</w:t>
      </w:r>
    </w:p>
    <w:p w14:paraId="4C510100" w14:textId="77777777" w:rsidR="00B67D7C" w:rsidRPr="00DE096C" w:rsidRDefault="00B67D7C" w:rsidP="00D45A46">
      <w:pPr>
        <w:jc w:val="both"/>
        <w:rPr>
          <w:bCs/>
          <w:color w:val="002060"/>
          <w:sz w:val="16"/>
          <w:szCs w:val="16"/>
        </w:rPr>
      </w:pPr>
      <w:r w:rsidRPr="00DE096C">
        <w:rPr>
          <w:bCs/>
          <w:color w:val="002060"/>
          <w:sz w:val="16"/>
          <w:szCs w:val="16"/>
        </w:rPr>
        <w:t>По дирижаблям Германия явно превосходила Россию. Но, как вскоре выяснилось, перевес этот почти никак не отражался на ходе боевых действий (11203).</w:t>
      </w:r>
    </w:p>
    <w:p w14:paraId="5AA02EBF" w14:textId="77777777" w:rsidR="00B67D7C" w:rsidRPr="00DE096C" w:rsidRDefault="00B67D7C" w:rsidP="00D45A46">
      <w:pPr>
        <w:jc w:val="both"/>
        <w:rPr>
          <w:bCs/>
          <w:color w:val="002060"/>
          <w:sz w:val="16"/>
          <w:szCs w:val="16"/>
        </w:rPr>
      </w:pPr>
      <w:r w:rsidRPr="00DE096C">
        <w:rPr>
          <w:bCs/>
          <w:color w:val="002060"/>
          <w:sz w:val="16"/>
          <w:szCs w:val="16"/>
        </w:rPr>
        <w:t xml:space="preserve">С появлением в 1915 году самолетов-истребителей, вооруженных пулеметами, тихоходные воздушные гиганты стали слишком уязвимы из-за низкой маневренности и легковоспламеняемой обшивки. Вскоре для их защиты пришлось также поднимать в воздух самолеты-истребители. Но самолеты прикрытия не могли эффективно защитить дирижабли от огня зенитной артиллерии. Немцам пришлось использовать дирижабли в основном для бомбежек французских и британских городов, что никак не отражалось на исходе наземных боев. А в России в 1916 году удары по врагу наносили уже 5 дивизионов тяжелых самолетов. Их производство на Русско-Балтийском заводе было поставлено на поток. Скорость "Муромцев" достигла 162 км/ч, полезная нагрузка - 2,5 т, потолок -3000 м. Надо признать, что русское военное </w:t>
      </w:r>
      <w:r w:rsidRPr="00DE096C">
        <w:rPr>
          <w:bCs/>
          <w:color w:val="002060"/>
          <w:sz w:val="16"/>
          <w:szCs w:val="16"/>
        </w:rPr>
        <w:lastRenderedPageBreak/>
        <w:t>руководство накануне Первой мировой войны в выборе между аэропланом и дирижаблем приняло правильное решение, чего нельзя сказать о командовании немецком (11203).</w:t>
      </w:r>
    </w:p>
    <w:p w14:paraId="4E2E35BE" w14:textId="77777777" w:rsidR="00B67D7C" w:rsidRPr="00DE096C" w:rsidRDefault="00B67D7C" w:rsidP="00D45A46">
      <w:pPr>
        <w:jc w:val="both"/>
        <w:rPr>
          <w:bCs/>
          <w:color w:val="002060"/>
          <w:sz w:val="16"/>
          <w:szCs w:val="16"/>
        </w:rPr>
      </w:pPr>
    </w:p>
    <w:p w14:paraId="5DD0AA7D" w14:textId="00D8A66E" w:rsidR="00B67D7C" w:rsidRPr="00DE096C" w:rsidRDefault="000A25A6" w:rsidP="00D45A46">
      <w:pPr>
        <w:jc w:val="both"/>
        <w:rPr>
          <w:bCs/>
          <w:color w:val="002060"/>
          <w:sz w:val="16"/>
          <w:szCs w:val="16"/>
        </w:rPr>
      </w:pPr>
      <w:r w:rsidRPr="00DE096C">
        <w:rPr>
          <w:bCs/>
          <w:color w:val="002060"/>
          <w:sz w:val="16"/>
          <w:szCs w:val="16"/>
        </w:rPr>
        <w:t>К</w:t>
      </w:r>
      <w:r w:rsidR="00B67D7C" w:rsidRPr="00DE096C">
        <w:rPr>
          <w:bCs/>
          <w:color w:val="002060"/>
          <w:sz w:val="16"/>
          <w:szCs w:val="16"/>
        </w:rPr>
        <w:t xml:space="preserve"> 18 </w:t>
      </w:r>
      <w:r w:rsidRPr="00DE096C">
        <w:rPr>
          <w:bCs/>
          <w:color w:val="002060"/>
          <w:sz w:val="16"/>
          <w:szCs w:val="16"/>
        </w:rPr>
        <w:t xml:space="preserve">(31) </w:t>
      </w:r>
      <w:r w:rsidR="00B67D7C" w:rsidRPr="00DE096C">
        <w:rPr>
          <w:bCs/>
          <w:color w:val="002060"/>
          <w:sz w:val="16"/>
          <w:szCs w:val="16"/>
        </w:rPr>
        <w:t xml:space="preserve">июля 1914 г. в российской армии находилось всего 244 самолета, которые распределялись между шестью ротами и 39 авиаотрядами. По штату авиаотряд состоял из шести разведчиков, двух истребителей и двух самолетов - корректировщиков артиллерийского огня. Следует добавить, что до 1914 г. боевые самолеты не различались по назначению. Лишь Первая мировая война разделила авиационный парк на разведчики, истребители и бомбардировщики. Причем долгое время основным самолетом фронтовой авиации оставался разведчик. Сложился и его классический тип - одномоторный двухместный биплан с пулеметной установкой в кабине летчика-наблюдателя, малокалиберными бомбами на наружной подвеске и фотоаппаратом (11120). </w:t>
      </w:r>
    </w:p>
    <w:p w14:paraId="29296FE7" w14:textId="77777777" w:rsidR="00B67D7C" w:rsidRPr="00DE096C" w:rsidRDefault="00B67D7C" w:rsidP="00D45A46">
      <w:pPr>
        <w:jc w:val="both"/>
        <w:rPr>
          <w:bCs/>
          <w:color w:val="002060"/>
          <w:sz w:val="16"/>
          <w:szCs w:val="16"/>
        </w:rPr>
      </w:pPr>
      <w:r w:rsidRPr="00DE096C">
        <w:rPr>
          <w:bCs/>
          <w:color w:val="002060"/>
          <w:sz w:val="16"/>
          <w:szCs w:val="16"/>
        </w:rPr>
        <w:t xml:space="preserve">Германия на 1 августа 1914 г. имела 232 аэроплана в 34 отрядах, Франция - 138 в 25, Англия - 56 самолетов первой линии, Австро-Венгрия - около 30 машин. Учитывая, что державы германского блока сосредоточили большинство самолетов на Западном и Сербском фронтах, российские ВВС получили в начале войны численное преимущество над противником (11120). </w:t>
      </w:r>
    </w:p>
    <w:p w14:paraId="35B6B960" w14:textId="77777777" w:rsidR="00B67D7C" w:rsidRPr="00DE096C" w:rsidRDefault="00B67D7C" w:rsidP="00D45A46">
      <w:pPr>
        <w:jc w:val="both"/>
        <w:rPr>
          <w:bCs/>
          <w:color w:val="002060"/>
          <w:sz w:val="16"/>
          <w:szCs w:val="16"/>
        </w:rPr>
      </w:pPr>
      <w:r w:rsidRPr="00DE096C">
        <w:rPr>
          <w:bCs/>
          <w:color w:val="002060"/>
          <w:sz w:val="16"/>
          <w:szCs w:val="16"/>
        </w:rPr>
        <w:t xml:space="preserve">Недостаточное производство самолетов в России пытались возместить закупками за границей. Но и эта мера не принесла ожидаемого результата. Поставки осуществлялись с большими перебоями, а после боев под Верденом, где союзная авиация понесла большие потери, вообще резко сократились. Очень часто поступающая продукция была низкого качества и требовала доработки на месте. Всего до 1 ноября 1916 г. из-за границы было получено 883 самолета из них 65 % были закуплены во Франции (11120). </w:t>
      </w:r>
    </w:p>
    <w:p w14:paraId="3DF26427" w14:textId="77777777" w:rsidR="00B67D7C" w:rsidRPr="00DE096C" w:rsidRDefault="00B67D7C" w:rsidP="00D45A46">
      <w:pPr>
        <w:jc w:val="both"/>
        <w:rPr>
          <w:bCs/>
          <w:color w:val="002060"/>
          <w:sz w:val="16"/>
          <w:szCs w:val="16"/>
        </w:rPr>
      </w:pPr>
      <w:r w:rsidRPr="00DE096C">
        <w:rPr>
          <w:bCs/>
          <w:color w:val="002060"/>
          <w:sz w:val="16"/>
          <w:szCs w:val="16"/>
        </w:rPr>
        <w:t xml:space="preserve">Не лучше дело обстояло и с подготовкой летного состава. И хотя к началу войны на каждый самолет приходилось в среднем по два летчика, при этом резерва обученных летчиков попросту не было, и Россия стала единственной из воюющих стран, не имевшей плана мобилизации гражданских летчиков. Лишь большие потери среди авиаторов заставили главное командование принять более решительные меры - все частные школы были подчинены военному ведомству (11120). </w:t>
      </w:r>
    </w:p>
    <w:p w14:paraId="16F90290" w14:textId="77777777" w:rsidR="00B67D7C" w:rsidRPr="00DE096C" w:rsidRDefault="00B67D7C" w:rsidP="00D45A46">
      <w:pPr>
        <w:jc w:val="both"/>
        <w:rPr>
          <w:bCs/>
          <w:color w:val="002060"/>
          <w:sz w:val="16"/>
          <w:szCs w:val="16"/>
        </w:rPr>
      </w:pPr>
    </w:p>
    <w:p w14:paraId="69E41258" w14:textId="1E41A857"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18 </w:t>
      </w:r>
      <w:r w:rsidR="000A25A6" w:rsidRPr="00DE096C">
        <w:rPr>
          <w:bCs/>
          <w:color w:val="002060"/>
          <w:sz w:val="16"/>
          <w:szCs w:val="16"/>
        </w:rPr>
        <w:t xml:space="preserve">(31) </w:t>
      </w:r>
      <w:r w:rsidRPr="00DE096C">
        <w:rPr>
          <w:bCs/>
          <w:color w:val="002060"/>
          <w:sz w:val="16"/>
          <w:szCs w:val="16"/>
        </w:rPr>
        <w:t xml:space="preserve">июля 1914 </w:t>
      </w:r>
      <w:r w:rsidR="000A25A6" w:rsidRPr="00DE096C">
        <w:rPr>
          <w:bCs/>
          <w:color w:val="002060"/>
          <w:sz w:val="16"/>
          <w:szCs w:val="16"/>
        </w:rPr>
        <w:t>была о</w:t>
      </w:r>
      <w:r w:rsidRPr="00DE096C">
        <w:rPr>
          <w:bCs/>
          <w:color w:val="002060"/>
          <w:sz w:val="16"/>
          <w:szCs w:val="16"/>
        </w:rPr>
        <w:t xml:space="preserve">бъявлена всеобщая мобилизация русской армии и военно-морского флота. Вместе с сухопутными и морскими силами зсии был мобилизован и воздушный флот. К началу мобилизации воздушный флот России состоял из 39 авиаотрядов, 6 авиационных и 12 воздухоплавательных рот. Авиаотряды: 25 корпусных, 8 крепостных (Брест-Литовский, Ковенский, Гродненский, Севастопольский, Осовецкий, Ново-Георгиевский, Владивостокский, Карский), 3-х Сибирских (1, 4 и 5-й), I полевой (3-й), I Гренадерский и I гвардейский. В семидневный срок отряды были приведены в боевую готовность и отправлены на фронт. По завершении мобилизации во всех авиационных ротах и отрядах оказалось 221 летчик (170 офицеров, 35 солдат и 16 добровольцев) и около 100 наблюдателей. Материальная часть состояла из 263 самолетов и двигателей, Это были в основном французские образцы: монопланы </w:t>
      </w:r>
      <w:r w:rsidRPr="00DE096C">
        <w:rPr>
          <w:bCs/>
          <w:color w:val="002060"/>
          <w:sz w:val="16"/>
          <w:szCs w:val="16"/>
          <w:vertAlign w:val="superscript"/>
        </w:rPr>
        <w:t>|?</w:t>
      </w:r>
      <w:r w:rsidRPr="00DE096C">
        <w:rPr>
          <w:bCs/>
          <w:color w:val="002060"/>
          <w:sz w:val="16"/>
          <w:szCs w:val="16"/>
        </w:rPr>
        <w:t>Ньюпор-4</w:t>
      </w:r>
      <w:r w:rsidRPr="00DE096C">
        <w:rPr>
          <w:bCs/>
          <w:color w:val="002060"/>
          <w:sz w:val="16"/>
          <w:szCs w:val="16"/>
          <w:vertAlign w:val="superscript"/>
        </w:rPr>
        <w:t>п</w:t>
      </w:r>
      <w:r w:rsidRPr="00DE096C">
        <w:rPr>
          <w:bCs/>
          <w:color w:val="002060"/>
          <w:sz w:val="16"/>
          <w:szCs w:val="16"/>
        </w:rPr>
        <w:t xml:space="preserve"> и "Моран-Ж", бипланы "Фарман" типов ХУ, и ХУ1, ХХ и XXII. На всех самолетах стояли ностранные двигатели 70-100 л.с. Вооружения на самолетах не было. Скорость само</w:t>
      </w:r>
      <w:r w:rsidRPr="00DE096C">
        <w:rPr>
          <w:bCs/>
          <w:color w:val="002060"/>
          <w:sz w:val="16"/>
          <w:szCs w:val="16"/>
        </w:rPr>
        <w:softHyphen/>
        <w:t>лов не превышала 115 км/ч. Материальная часть была заметно изношена, никаких резервов не было. По количеству самолетов Россия была на первом месте, но качество их было ниже, чем у шетов противника. Воздухоплавание состояло из трех рот управляемых аэростатов, семи крепостных рот, Кавказской и и Сибирской воздухоплавательных рот (ЦГВИА. ф,493, оп.З, д.102, сведения об авиачастях в действующей армии).</w:t>
      </w:r>
    </w:p>
    <w:p w14:paraId="6DA0B779" w14:textId="77777777" w:rsidR="00B67D7C" w:rsidRPr="00DE096C" w:rsidRDefault="00B67D7C" w:rsidP="00D45A46">
      <w:pPr>
        <w:shd w:val="clear" w:color="auto" w:fill="FFFFFF"/>
        <w:jc w:val="both"/>
        <w:rPr>
          <w:bCs/>
          <w:color w:val="002060"/>
          <w:sz w:val="16"/>
          <w:szCs w:val="16"/>
        </w:rPr>
      </w:pPr>
    </w:p>
    <w:p w14:paraId="0B0D0435" w14:textId="77777777" w:rsidR="00583D75" w:rsidRPr="00B52707" w:rsidRDefault="00583D75" w:rsidP="00583D75">
      <w:pPr>
        <w:jc w:val="both"/>
        <w:rPr>
          <w:color w:val="0070C0"/>
          <w:sz w:val="16"/>
          <w:szCs w:val="16"/>
        </w:rPr>
      </w:pPr>
      <w:r w:rsidRPr="00B52707">
        <w:rPr>
          <w:color w:val="0070C0"/>
          <w:sz w:val="16"/>
          <w:szCs w:val="16"/>
        </w:rPr>
        <w:t>По состоянию на 18 июля (1 августа) 1914 г., авиационные отряды в действующей ар</w:t>
      </w:r>
      <w:r w:rsidRPr="00B52707">
        <w:rPr>
          <w:color w:val="0070C0"/>
          <w:sz w:val="16"/>
          <w:szCs w:val="16"/>
        </w:rPr>
        <w:softHyphen/>
        <w:t>мии распределялись следующим образом (РГВИА. Фонд 41105 опись 1 дело 84):</w:t>
      </w:r>
    </w:p>
    <w:p w14:paraId="0D671044" w14:textId="77777777" w:rsidR="00583D75" w:rsidRPr="00B52707" w:rsidRDefault="00583D75" w:rsidP="00583D75">
      <w:pPr>
        <w:jc w:val="both"/>
        <w:rPr>
          <w:color w:val="0070C0"/>
          <w:sz w:val="16"/>
          <w:szCs w:val="16"/>
        </w:rPr>
      </w:pPr>
      <w:bookmarkStart w:id="46" w:name="bookmark83"/>
      <w:bookmarkStart w:id="47" w:name="bookmark81"/>
      <w:bookmarkStart w:id="48" w:name="bookmark82"/>
      <w:bookmarkStart w:id="49" w:name="bookmark84"/>
      <w:bookmarkEnd w:id="46"/>
      <w:r w:rsidRPr="00B52707">
        <w:rPr>
          <w:color w:val="0070C0"/>
          <w:sz w:val="16"/>
          <w:szCs w:val="16"/>
        </w:rPr>
        <w:t>1-я АВИАЦИОННАЯ РОТА</w:t>
      </w:r>
      <w:bookmarkEnd w:id="47"/>
      <w:bookmarkEnd w:id="48"/>
      <w:bookmarkEnd w:id="49"/>
    </w:p>
    <w:p w14:paraId="45E7BE38" w14:textId="77777777" w:rsidR="00583D75" w:rsidRPr="00B52707" w:rsidRDefault="00583D75" w:rsidP="00583D75">
      <w:pPr>
        <w:jc w:val="both"/>
        <w:rPr>
          <w:color w:val="0070C0"/>
          <w:sz w:val="16"/>
          <w:szCs w:val="16"/>
        </w:rPr>
      </w:pPr>
      <w:r w:rsidRPr="00B52707">
        <w:rPr>
          <w:color w:val="0070C0"/>
          <w:sz w:val="16"/>
          <w:szCs w:val="16"/>
        </w:rPr>
        <w:t>(г. Санкт-Петербург) в составе:</w:t>
      </w:r>
    </w:p>
    <w:p w14:paraId="6679490D" w14:textId="77777777" w:rsidR="00583D75" w:rsidRPr="00B52707" w:rsidRDefault="00583D75" w:rsidP="00583D75">
      <w:pPr>
        <w:jc w:val="both"/>
        <w:rPr>
          <w:color w:val="0070C0"/>
          <w:sz w:val="16"/>
          <w:szCs w:val="16"/>
        </w:rPr>
      </w:pPr>
      <w:bookmarkStart w:id="50" w:name="bookmark85"/>
      <w:bookmarkEnd w:id="50"/>
      <w:r w:rsidRPr="00B52707">
        <w:rPr>
          <w:color w:val="0070C0"/>
          <w:sz w:val="16"/>
          <w:szCs w:val="16"/>
        </w:rPr>
        <w:t>Гвардейский корпусной авиацион</w:t>
      </w:r>
      <w:r w:rsidRPr="00B52707">
        <w:rPr>
          <w:color w:val="0070C0"/>
          <w:sz w:val="16"/>
          <w:szCs w:val="16"/>
        </w:rPr>
        <w:softHyphen/>
        <w:t>ный отряд (6 Nieuport IV);</w:t>
      </w:r>
    </w:p>
    <w:p w14:paraId="55F46857" w14:textId="77777777" w:rsidR="00583D75" w:rsidRPr="00B52707" w:rsidRDefault="00583D75" w:rsidP="00583D75">
      <w:pPr>
        <w:jc w:val="both"/>
        <w:rPr>
          <w:color w:val="0070C0"/>
          <w:sz w:val="16"/>
          <w:szCs w:val="16"/>
        </w:rPr>
      </w:pPr>
      <w:bookmarkStart w:id="51" w:name="bookmark86"/>
      <w:bookmarkEnd w:id="51"/>
      <w:r w:rsidRPr="00B52707">
        <w:rPr>
          <w:color w:val="0070C0"/>
          <w:sz w:val="16"/>
          <w:szCs w:val="16"/>
        </w:rPr>
        <w:t>1-й корпусной авиационный отряд (6 Farman HF.16 + 2 Farman HF.22);</w:t>
      </w:r>
    </w:p>
    <w:p w14:paraId="1C53ABAC" w14:textId="77777777" w:rsidR="00583D75" w:rsidRPr="00B52707" w:rsidRDefault="00583D75" w:rsidP="00583D75">
      <w:pPr>
        <w:jc w:val="both"/>
        <w:rPr>
          <w:color w:val="0070C0"/>
          <w:sz w:val="16"/>
          <w:szCs w:val="16"/>
        </w:rPr>
      </w:pPr>
      <w:r w:rsidRPr="00B52707">
        <w:rPr>
          <w:color w:val="0070C0"/>
          <w:sz w:val="16"/>
          <w:szCs w:val="16"/>
        </w:rPr>
        <w:t>5-й корпусной авиационный отряд (6 Farman HF.22);</w:t>
      </w:r>
    </w:p>
    <w:p w14:paraId="50EDA5B2" w14:textId="77777777" w:rsidR="00583D75" w:rsidRPr="00B52707" w:rsidRDefault="00583D75" w:rsidP="00583D75">
      <w:pPr>
        <w:jc w:val="both"/>
        <w:rPr>
          <w:color w:val="0070C0"/>
          <w:sz w:val="16"/>
          <w:szCs w:val="16"/>
        </w:rPr>
      </w:pPr>
      <w:bookmarkStart w:id="52" w:name="bookmark88"/>
      <w:bookmarkEnd w:id="52"/>
      <w:r w:rsidRPr="00B52707">
        <w:rPr>
          <w:color w:val="0070C0"/>
          <w:sz w:val="16"/>
          <w:szCs w:val="16"/>
        </w:rPr>
        <w:t>16-й корпусной авиационный отряд (9 Morane-Saulnier Type G, произ</w:t>
      </w:r>
      <w:r w:rsidRPr="00B52707">
        <w:rPr>
          <w:color w:val="0070C0"/>
          <w:sz w:val="16"/>
          <w:szCs w:val="16"/>
        </w:rPr>
        <w:softHyphen/>
        <w:t>водство Дукс);</w:t>
      </w:r>
    </w:p>
    <w:p w14:paraId="47FA910E" w14:textId="77777777" w:rsidR="00583D75" w:rsidRPr="00B52707" w:rsidRDefault="00583D75" w:rsidP="00583D75">
      <w:pPr>
        <w:jc w:val="both"/>
        <w:rPr>
          <w:color w:val="0070C0"/>
          <w:sz w:val="16"/>
          <w:szCs w:val="16"/>
        </w:rPr>
      </w:pPr>
      <w:bookmarkStart w:id="53" w:name="bookmark89"/>
      <w:bookmarkEnd w:id="53"/>
      <w:r w:rsidRPr="00B52707">
        <w:rPr>
          <w:color w:val="0070C0"/>
          <w:sz w:val="16"/>
          <w:szCs w:val="16"/>
        </w:rPr>
        <w:t>18-й корпусной авиационный отряд (10 Nieuport IV + 1 Voisin LA);</w:t>
      </w:r>
    </w:p>
    <w:p w14:paraId="729B956F" w14:textId="77777777" w:rsidR="00583D75" w:rsidRPr="00B52707" w:rsidRDefault="00583D75" w:rsidP="00583D75">
      <w:pPr>
        <w:jc w:val="both"/>
        <w:rPr>
          <w:color w:val="0070C0"/>
          <w:sz w:val="16"/>
          <w:szCs w:val="16"/>
        </w:rPr>
      </w:pPr>
      <w:bookmarkStart w:id="54" w:name="bookmark90"/>
      <w:bookmarkEnd w:id="54"/>
      <w:r w:rsidRPr="00B52707">
        <w:rPr>
          <w:color w:val="0070C0"/>
          <w:sz w:val="16"/>
          <w:szCs w:val="16"/>
        </w:rPr>
        <w:t>22-й корпусной авиационный отряд (7 Deperdussin Type D + 1 Сикор</w:t>
      </w:r>
      <w:r w:rsidRPr="00B52707">
        <w:rPr>
          <w:color w:val="0070C0"/>
          <w:sz w:val="16"/>
          <w:szCs w:val="16"/>
        </w:rPr>
        <w:softHyphen/>
        <w:t>ский С-12).</w:t>
      </w:r>
    </w:p>
    <w:p w14:paraId="55C0AAE0" w14:textId="77777777" w:rsidR="00583D75" w:rsidRPr="00B52707" w:rsidRDefault="00583D75" w:rsidP="00583D75">
      <w:pPr>
        <w:jc w:val="both"/>
        <w:rPr>
          <w:color w:val="0070C0"/>
          <w:sz w:val="16"/>
          <w:szCs w:val="16"/>
        </w:rPr>
      </w:pPr>
      <w:bookmarkStart w:id="55" w:name="bookmark91"/>
      <w:bookmarkStart w:id="56" w:name="bookmark94"/>
      <w:r w:rsidRPr="00B52707">
        <w:rPr>
          <w:color w:val="0070C0"/>
          <w:sz w:val="16"/>
          <w:szCs w:val="16"/>
        </w:rPr>
        <w:t>2-я АВИАЦИОННАЯ РОТА</w:t>
      </w:r>
      <w:bookmarkEnd w:id="55"/>
      <w:bookmarkEnd w:id="56"/>
    </w:p>
    <w:p w14:paraId="5B682E69" w14:textId="77777777" w:rsidR="00583D75" w:rsidRPr="00B52707" w:rsidRDefault="00583D75" w:rsidP="00583D75">
      <w:pPr>
        <w:jc w:val="both"/>
        <w:rPr>
          <w:color w:val="0070C0"/>
          <w:sz w:val="16"/>
          <w:szCs w:val="16"/>
        </w:rPr>
      </w:pPr>
      <w:r w:rsidRPr="00B52707">
        <w:rPr>
          <w:color w:val="0070C0"/>
          <w:sz w:val="16"/>
          <w:szCs w:val="16"/>
        </w:rPr>
        <w:t>(г. Севастополь) в составе:</w:t>
      </w:r>
    </w:p>
    <w:p w14:paraId="46C96695" w14:textId="77777777" w:rsidR="00583D75" w:rsidRPr="00B52707" w:rsidRDefault="00583D75" w:rsidP="00583D75">
      <w:pPr>
        <w:jc w:val="both"/>
        <w:rPr>
          <w:color w:val="0070C0"/>
          <w:sz w:val="16"/>
          <w:szCs w:val="16"/>
        </w:rPr>
      </w:pPr>
      <w:bookmarkStart w:id="57" w:name="bookmark95"/>
      <w:bookmarkEnd w:id="57"/>
      <w:r w:rsidRPr="00B52707">
        <w:rPr>
          <w:color w:val="0070C0"/>
          <w:sz w:val="16"/>
          <w:szCs w:val="16"/>
        </w:rPr>
        <w:t>14-й корпусной авиационный отряд (6 Nieuport IV);</w:t>
      </w:r>
    </w:p>
    <w:p w14:paraId="3771464F" w14:textId="77777777" w:rsidR="00583D75" w:rsidRPr="00B52707" w:rsidRDefault="00583D75" w:rsidP="00583D75">
      <w:pPr>
        <w:jc w:val="both"/>
        <w:rPr>
          <w:color w:val="0070C0"/>
          <w:sz w:val="16"/>
          <w:szCs w:val="16"/>
        </w:rPr>
      </w:pPr>
      <w:bookmarkStart w:id="58" w:name="bookmark96"/>
      <w:bookmarkEnd w:id="58"/>
      <w:r w:rsidRPr="00B52707">
        <w:rPr>
          <w:color w:val="0070C0"/>
          <w:sz w:val="16"/>
          <w:szCs w:val="16"/>
        </w:rPr>
        <w:t>15-й корпусной авиационный отряд (6 Nieuport IV);</w:t>
      </w:r>
    </w:p>
    <w:p w14:paraId="0FA318EC" w14:textId="77777777" w:rsidR="00583D75" w:rsidRPr="00B52707" w:rsidRDefault="00583D75" w:rsidP="00583D75">
      <w:pPr>
        <w:jc w:val="both"/>
        <w:rPr>
          <w:color w:val="0070C0"/>
          <w:sz w:val="16"/>
          <w:szCs w:val="16"/>
        </w:rPr>
      </w:pPr>
      <w:bookmarkStart w:id="59" w:name="bookmark97"/>
      <w:bookmarkEnd w:id="59"/>
      <w:r w:rsidRPr="00B52707">
        <w:rPr>
          <w:color w:val="0070C0"/>
          <w:sz w:val="16"/>
          <w:szCs w:val="16"/>
        </w:rPr>
        <w:t>19-й корпусной авиационный отряд (5 Farman HF.16 + 1 Farman HF.22);</w:t>
      </w:r>
    </w:p>
    <w:p w14:paraId="7EFFCF80" w14:textId="77777777" w:rsidR="00583D75" w:rsidRPr="00B52707" w:rsidRDefault="00583D75" w:rsidP="00583D75">
      <w:pPr>
        <w:jc w:val="both"/>
        <w:rPr>
          <w:color w:val="0070C0"/>
          <w:sz w:val="16"/>
          <w:szCs w:val="16"/>
        </w:rPr>
      </w:pPr>
      <w:r w:rsidRPr="00B52707">
        <w:rPr>
          <w:color w:val="0070C0"/>
          <w:sz w:val="16"/>
          <w:szCs w:val="16"/>
        </w:rPr>
        <w:t>23-й корпусной авиационный отряд (5 Farman</w:t>
      </w:r>
    </w:p>
    <w:p w14:paraId="36C8636D" w14:textId="77777777" w:rsidR="00583D75" w:rsidRPr="00B52707" w:rsidRDefault="00583D75" w:rsidP="00583D75">
      <w:pPr>
        <w:jc w:val="both"/>
        <w:rPr>
          <w:color w:val="0070C0"/>
          <w:sz w:val="16"/>
          <w:szCs w:val="16"/>
        </w:rPr>
      </w:pPr>
      <w:bookmarkStart w:id="60" w:name="bookmark114"/>
      <w:bookmarkEnd w:id="60"/>
      <w:r w:rsidRPr="00B52707">
        <w:rPr>
          <w:color w:val="0070C0"/>
          <w:sz w:val="16"/>
          <w:szCs w:val="16"/>
        </w:rPr>
        <w:t>6-й корпусной авиационный отряд (4 Farman HF.22bis);</w:t>
      </w:r>
    </w:p>
    <w:p w14:paraId="409B253D" w14:textId="77777777" w:rsidR="00583D75" w:rsidRPr="00B52707" w:rsidRDefault="00583D75" w:rsidP="00583D75">
      <w:pPr>
        <w:jc w:val="both"/>
        <w:rPr>
          <w:color w:val="0070C0"/>
          <w:sz w:val="16"/>
          <w:szCs w:val="16"/>
        </w:rPr>
      </w:pPr>
      <w:r w:rsidRPr="00B52707">
        <w:rPr>
          <w:color w:val="0070C0"/>
          <w:sz w:val="16"/>
          <w:szCs w:val="16"/>
        </w:rPr>
        <w:t>10-й корпусной авиационный отряд (6 Farman HF.16);</w:t>
      </w:r>
    </w:p>
    <w:p w14:paraId="1AF06A6E" w14:textId="77777777" w:rsidR="00583D75" w:rsidRPr="00B52707" w:rsidRDefault="00583D75" w:rsidP="00583D75">
      <w:pPr>
        <w:jc w:val="both"/>
        <w:rPr>
          <w:color w:val="0070C0"/>
          <w:sz w:val="16"/>
          <w:szCs w:val="16"/>
        </w:rPr>
      </w:pPr>
      <w:bookmarkStart w:id="61" w:name="bookmark116"/>
      <w:bookmarkEnd w:id="61"/>
      <w:r w:rsidRPr="00B52707">
        <w:rPr>
          <w:color w:val="0070C0"/>
          <w:sz w:val="16"/>
          <w:szCs w:val="16"/>
        </w:rPr>
        <w:t>20-й корпусной авиационный отряд (4 Nieuport IV);</w:t>
      </w:r>
    </w:p>
    <w:p w14:paraId="142FCC90" w14:textId="77777777" w:rsidR="00583D75" w:rsidRPr="00B52707" w:rsidRDefault="00583D75" w:rsidP="00583D75">
      <w:pPr>
        <w:jc w:val="both"/>
        <w:rPr>
          <w:color w:val="0070C0"/>
          <w:sz w:val="16"/>
          <w:szCs w:val="16"/>
        </w:rPr>
      </w:pPr>
      <w:r w:rsidRPr="00B52707">
        <w:rPr>
          <w:color w:val="0070C0"/>
          <w:sz w:val="16"/>
          <w:szCs w:val="16"/>
        </w:rPr>
        <w:t>21-й корпусной авиационный отряд (5 Farman HF.16 + 2 Farman HF.22).</w:t>
      </w:r>
    </w:p>
    <w:p w14:paraId="08C7788C" w14:textId="77777777" w:rsidR="00583D75" w:rsidRPr="00B52707" w:rsidRDefault="00583D75" w:rsidP="00583D75">
      <w:pPr>
        <w:jc w:val="both"/>
        <w:rPr>
          <w:color w:val="0070C0"/>
          <w:sz w:val="16"/>
          <w:szCs w:val="16"/>
        </w:rPr>
      </w:pPr>
      <w:bookmarkStart w:id="62" w:name="bookmark120"/>
      <w:bookmarkStart w:id="63" w:name="bookmark121"/>
      <w:bookmarkEnd w:id="62"/>
      <w:r w:rsidRPr="00B52707">
        <w:rPr>
          <w:color w:val="0070C0"/>
          <w:sz w:val="16"/>
          <w:szCs w:val="16"/>
        </w:rPr>
        <w:t>3-я АВИАЦИОННАЯ РОТА</w:t>
      </w:r>
      <w:bookmarkEnd w:id="63"/>
    </w:p>
    <w:p w14:paraId="67684A3B" w14:textId="77777777" w:rsidR="00583D75" w:rsidRPr="00B52707" w:rsidRDefault="00583D75" w:rsidP="00583D75">
      <w:pPr>
        <w:jc w:val="both"/>
        <w:rPr>
          <w:color w:val="0070C0"/>
          <w:sz w:val="16"/>
          <w:szCs w:val="16"/>
        </w:rPr>
      </w:pPr>
      <w:r w:rsidRPr="00B52707">
        <w:rPr>
          <w:color w:val="0070C0"/>
          <w:sz w:val="16"/>
          <w:szCs w:val="16"/>
        </w:rPr>
        <w:t>(г. Бронницы) в составе:</w:t>
      </w:r>
    </w:p>
    <w:p w14:paraId="26F49C31" w14:textId="77777777" w:rsidR="00583D75" w:rsidRPr="00B52707" w:rsidRDefault="00583D75" w:rsidP="00583D75">
      <w:pPr>
        <w:jc w:val="both"/>
        <w:rPr>
          <w:color w:val="0070C0"/>
          <w:sz w:val="16"/>
          <w:szCs w:val="16"/>
        </w:rPr>
      </w:pPr>
      <w:bookmarkStart w:id="64" w:name="bookmark122"/>
      <w:bookmarkEnd w:id="64"/>
      <w:r w:rsidRPr="00B52707">
        <w:rPr>
          <w:color w:val="0070C0"/>
          <w:sz w:val="16"/>
          <w:szCs w:val="16"/>
        </w:rPr>
        <w:t>Гренадёрский корпусной авиаци</w:t>
      </w:r>
      <w:r w:rsidRPr="00B52707">
        <w:rPr>
          <w:color w:val="0070C0"/>
          <w:sz w:val="16"/>
          <w:szCs w:val="16"/>
        </w:rPr>
        <w:softHyphen/>
        <w:t>онный отряд (6 Morane-Saulnier Type G);</w:t>
      </w:r>
    </w:p>
    <w:p w14:paraId="1118C6B7" w14:textId="77777777" w:rsidR="00583D75" w:rsidRPr="00B52707" w:rsidRDefault="00583D75" w:rsidP="00583D75">
      <w:pPr>
        <w:jc w:val="both"/>
        <w:rPr>
          <w:color w:val="0070C0"/>
          <w:sz w:val="16"/>
          <w:szCs w:val="16"/>
        </w:rPr>
      </w:pPr>
      <w:bookmarkStart w:id="65" w:name="bookmark123"/>
      <w:bookmarkEnd w:id="65"/>
      <w:r w:rsidRPr="00B52707">
        <w:rPr>
          <w:color w:val="0070C0"/>
          <w:sz w:val="16"/>
          <w:szCs w:val="16"/>
        </w:rPr>
        <w:t>13-й корпусной авиационный отряд (6 Nieuport IV);</w:t>
      </w:r>
    </w:p>
    <w:p w14:paraId="7E8C15D2" w14:textId="77777777" w:rsidR="00583D75" w:rsidRPr="00B52707" w:rsidRDefault="00583D75" w:rsidP="00583D75">
      <w:pPr>
        <w:jc w:val="both"/>
        <w:rPr>
          <w:color w:val="0070C0"/>
          <w:sz w:val="16"/>
          <w:szCs w:val="16"/>
        </w:rPr>
      </w:pPr>
      <w:bookmarkStart w:id="66" w:name="bookmark124"/>
      <w:bookmarkEnd w:id="66"/>
      <w:r w:rsidRPr="00B52707">
        <w:rPr>
          <w:color w:val="0070C0"/>
          <w:sz w:val="16"/>
          <w:szCs w:val="16"/>
        </w:rPr>
        <w:t>17-й корпусной авиационный отряд (6 Nieuport IV).</w:t>
      </w:r>
    </w:p>
    <w:p w14:paraId="5F2E1418" w14:textId="77777777" w:rsidR="00583D75" w:rsidRPr="00B52707" w:rsidRDefault="00583D75" w:rsidP="00583D75">
      <w:pPr>
        <w:jc w:val="both"/>
        <w:rPr>
          <w:color w:val="0070C0"/>
          <w:sz w:val="16"/>
          <w:szCs w:val="16"/>
        </w:rPr>
      </w:pPr>
      <w:bookmarkStart w:id="67" w:name="bookmark127"/>
      <w:bookmarkStart w:id="68" w:name="bookmark125"/>
      <w:bookmarkStart w:id="69" w:name="bookmark126"/>
      <w:bookmarkStart w:id="70" w:name="bookmark128"/>
      <w:bookmarkEnd w:id="67"/>
      <w:r w:rsidRPr="00B52707">
        <w:rPr>
          <w:color w:val="0070C0"/>
          <w:sz w:val="16"/>
          <w:szCs w:val="16"/>
        </w:rPr>
        <w:t>4-я АВИАЦИОННАЯ РОТА</w:t>
      </w:r>
      <w:bookmarkEnd w:id="68"/>
      <w:bookmarkEnd w:id="69"/>
      <w:bookmarkEnd w:id="70"/>
    </w:p>
    <w:p w14:paraId="05C5D1D6" w14:textId="77777777" w:rsidR="00583D75" w:rsidRPr="00B52707" w:rsidRDefault="00583D75" w:rsidP="00583D75">
      <w:pPr>
        <w:jc w:val="both"/>
        <w:rPr>
          <w:color w:val="0070C0"/>
          <w:sz w:val="16"/>
          <w:szCs w:val="16"/>
        </w:rPr>
      </w:pPr>
      <w:r w:rsidRPr="00B52707">
        <w:rPr>
          <w:color w:val="0070C0"/>
          <w:sz w:val="16"/>
          <w:szCs w:val="16"/>
        </w:rPr>
        <w:t>(г. Одесса) в составе:</w:t>
      </w:r>
    </w:p>
    <w:p w14:paraId="110FAE8D" w14:textId="77777777" w:rsidR="00583D75" w:rsidRPr="00B52707" w:rsidRDefault="00583D75" w:rsidP="00583D75">
      <w:pPr>
        <w:jc w:val="both"/>
        <w:rPr>
          <w:color w:val="0070C0"/>
          <w:sz w:val="16"/>
          <w:szCs w:val="16"/>
        </w:rPr>
      </w:pPr>
      <w:bookmarkStart w:id="71" w:name="bookmark129"/>
      <w:bookmarkEnd w:id="71"/>
      <w:r w:rsidRPr="00B52707">
        <w:rPr>
          <w:color w:val="0070C0"/>
          <w:sz w:val="16"/>
          <w:szCs w:val="16"/>
        </w:rPr>
        <w:t>7-й корпусной авиационный отряд (8 Nieuport IV + 1 Morane-Saulnier Type G);</w:t>
      </w:r>
    </w:p>
    <w:p w14:paraId="21A8065B" w14:textId="77777777" w:rsidR="00583D75" w:rsidRPr="00B52707" w:rsidRDefault="00583D75" w:rsidP="00583D75">
      <w:pPr>
        <w:jc w:val="both"/>
        <w:rPr>
          <w:color w:val="0070C0"/>
          <w:sz w:val="16"/>
          <w:szCs w:val="16"/>
        </w:rPr>
      </w:pPr>
      <w:bookmarkStart w:id="72" w:name="bookmark130"/>
      <w:bookmarkEnd w:id="72"/>
      <w:r w:rsidRPr="00B52707">
        <w:rPr>
          <w:color w:val="0070C0"/>
          <w:sz w:val="16"/>
          <w:szCs w:val="16"/>
        </w:rPr>
        <w:t>8-й корпусной авиационный отряд (8 Nieuport IV);</w:t>
      </w:r>
    </w:p>
    <w:p w14:paraId="46088E33" w14:textId="77777777" w:rsidR="00583D75" w:rsidRPr="00B52707" w:rsidRDefault="00583D75" w:rsidP="00583D75">
      <w:pPr>
        <w:jc w:val="both"/>
        <w:rPr>
          <w:color w:val="0070C0"/>
          <w:sz w:val="16"/>
          <w:szCs w:val="16"/>
        </w:rPr>
      </w:pPr>
      <w:bookmarkStart w:id="73" w:name="bookmark131"/>
      <w:bookmarkEnd w:id="73"/>
      <w:r w:rsidRPr="00B52707">
        <w:rPr>
          <w:color w:val="0070C0"/>
          <w:sz w:val="16"/>
          <w:szCs w:val="16"/>
        </w:rPr>
        <w:t>24-й корпусной авиационный от</w:t>
      </w:r>
      <w:r w:rsidRPr="00B52707">
        <w:rPr>
          <w:color w:val="0070C0"/>
          <w:sz w:val="16"/>
          <w:szCs w:val="16"/>
        </w:rPr>
        <w:softHyphen/>
        <w:t>ряд (3 Farman HF.16 + 4 Farman HF.22bis);</w:t>
      </w:r>
    </w:p>
    <w:p w14:paraId="51441CC2" w14:textId="77777777" w:rsidR="00583D75" w:rsidRPr="00B52707" w:rsidRDefault="00583D75" w:rsidP="00583D75">
      <w:pPr>
        <w:jc w:val="both"/>
        <w:rPr>
          <w:color w:val="0070C0"/>
          <w:sz w:val="16"/>
          <w:szCs w:val="16"/>
        </w:rPr>
      </w:pPr>
      <w:bookmarkStart w:id="74" w:name="bookmark132"/>
      <w:bookmarkEnd w:id="74"/>
      <w:r w:rsidRPr="00B52707">
        <w:rPr>
          <w:color w:val="0070C0"/>
          <w:sz w:val="16"/>
          <w:szCs w:val="16"/>
        </w:rPr>
        <w:t>25-й корпусной авиационный отряд (9 Nieuport IV + 1 Albatros).</w:t>
      </w:r>
    </w:p>
    <w:p w14:paraId="3D101D56" w14:textId="77777777" w:rsidR="00583D75" w:rsidRPr="00B52707" w:rsidRDefault="00583D75" w:rsidP="00583D75">
      <w:pPr>
        <w:jc w:val="both"/>
        <w:rPr>
          <w:color w:val="0070C0"/>
          <w:sz w:val="16"/>
          <w:szCs w:val="16"/>
        </w:rPr>
      </w:pPr>
      <w:r w:rsidRPr="00B52707">
        <w:rPr>
          <w:color w:val="0070C0"/>
          <w:sz w:val="16"/>
          <w:szCs w:val="16"/>
        </w:rPr>
        <w:t>КРЕПОСТНЫЕ АВИАЦИОННЫЕ</w:t>
      </w:r>
    </w:p>
    <w:p w14:paraId="2E42446F" w14:textId="77777777" w:rsidR="00583D75" w:rsidRPr="00B52707" w:rsidRDefault="00583D75" w:rsidP="00583D75">
      <w:pPr>
        <w:jc w:val="both"/>
        <w:rPr>
          <w:color w:val="0070C0"/>
          <w:sz w:val="16"/>
          <w:szCs w:val="16"/>
        </w:rPr>
      </w:pPr>
      <w:bookmarkStart w:id="75" w:name="bookmark133"/>
      <w:r w:rsidRPr="00B52707">
        <w:rPr>
          <w:color w:val="0070C0"/>
          <w:sz w:val="16"/>
          <w:szCs w:val="16"/>
        </w:rPr>
        <w:t>ОТРЯДЫ:</w:t>
      </w:r>
      <w:bookmarkEnd w:id="75"/>
    </w:p>
    <w:p w14:paraId="3F482825" w14:textId="77777777" w:rsidR="00583D75" w:rsidRPr="00B52707" w:rsidRDefault="00583D75" w:rsidP="00583D75">
      <w:pPr>
        <w:jc w:val="both"/>
        <w:rPr>
          <w:color w:val="0070C0"/>
          <w:sz w:val="16"/>
          <w:szCs w:val="16"/>
        </w:rPr>
      </w:pPr>
      <w:bookmarkStart w:id="76" w:name="bookmark137"/>
      <w:bookmarkEnd w:id="76"/>
      <w:r w:rsidRPr="00B52707">
        <w:rPr>
          <w:color w:val="0070C0"/>
          <w:sz w:val="16"/>
          <w:szCs w:val="16"/>
        </w:rPr>
        <w:t>Ковельский крепостной авиаци</w:t>
      </w:r>
      <w:r w:rsidRPr="00B52707">
        <w:rPr>
          <w:color w:val="0070C0"/>
          <w:sz w:val="16"/>
          <w:szCs w:val="16"/>
        </w:rPr>
        <w:softHyphen/>
        <w:t>онный отряд (6 Farman HF.16 + 2 Farman HF.22bis);</w:t>
      </w:r>
    </w:p>
    <w:p w14:paraId="4E38FAC4" w14:textId="77777777" w:rsidR="00583D75" w:rsidRPr="00B52707" w:rsidRDefault="00583D75" w:rsidP="00583D75">
      <w:pPr>
        <w:jc w:val="both"/>
        <w:rPr>
          <w:color w:val="0070C0"/>
          <w:sz w:val="16"/>
          <w:szCs w:val="16"/>
        </w:rPr>
      </w:pPr>
      <w:bookmarkStart w:id="77" w:name="bookmark138"/>
      <w:bookmarkEnd w:id="77"/>
      <w:r w:rsidRPr="00B52707">
        <w:rPr>
          <w:color w:val="0070C0"/>
          <w:sz w:val="16"/>
          <w:szCs w:val="16"/>
        </w:rPr>
        <w:t>Гродненский крепостной авиационный отряд (6 Farman HF.16 + 2 Farman HF.22bis);</w:t>
      </w:r>
    </w:p>
    <w:p w14:paraId="7AF91D8C" w14:textId="77777777" w:rsidR="00583D75" w:rsidRPr="00B52707" w:rsidRDefault="00583D75" w:rsidP="00583D75">
      <w:pPr>
        <w:jc w:val="both"/>
        <w:rPr>
          <w:color w:val="0070C0"/>
          <w:sz w:val="16"/>
          <w:szCs w:val="16"/>
        </w:rPr>
      </w:pPr>
      <w:bookmarkStart w:id="78" w:name="bookmark139"/>
      <w:bookmarkEnd w:id="78"/>
      <w:r w:rsidRPr="00B52707">
        <w:rPr>
          <w:color w:val="0070C0"/>
          <w:sz w:val="16"/>
          <w:szCs w:val="16"/>
        </w:rPr>
        <w:t>Осовецкий крепостной авиаци</w:t>
      </w:r>
      <w:r w:rsidRPr="00B52707">
        <w:rPr>
          <w:color w:val="0070C0"/>
          <w:sz w:val="16"/>
          <w:szCs w:val="16"/>
        </w:rPr>
        <w:softHyphen/>
        <w:t>онный отряд (8 Farman HF.16 + 4 Farman HF.22bis);</w:t>
      </w:r>
    </w:p>
    <w:p w14:paraId="41EF76BA" w14:textId="77777777" w:rsidR="00583D75" w:rsidRPr="00B52707" w:rsidRDefault="00583D75" w:rsidP="00583D75">
      <w:pPr>
        <w:jc w:val="both"/>
        <w:rPr>
          <w:color w:val="0070C0"/>
          <w:sz w:val="16"/>
          <w:szCs w:val="16"/>
        </w:rPr>
      </w:pPr>
      <w:bookmarkStart w:id="79" w:name="bookmark140"/>
      <w:bookmarkEnd w:id="79"/>
      <w:r w:rsidRPr="00B52707">
        <w:rPr>
          <w:color w:val="0070C0"/>
          <w:sz w:val="16"/>
          <w:szCs w:val="16"/>
        </w:rPr>
        <w:t>Новогеоргиевский крепостной ави</w:t>
      </w:r>
      <w:r w:rsidRPr="00B52707">
        <w:rPr>
          <w:color w:val="0070C0"/>
          <w:sz w:val="16"/>
          <w:szCs w:val="16"/>
        </w:rPr>
        <w:softHyphen/>
        <w:t>ационный отряд (10 Farman HF.16 + 2 Farman HF.22bis);</w:t>
      </w:r>
    </w:p>
    <w:p w14:paraId="1AAA8295" w14:textId="77777777" w:rsidR="00583D75" w:rsidRPr="00B52707" w:rsidRDefault="00583D75" w:rsidP="00583D75">
      <w:pPr>
        <w:jc w:val="both"/>
        <w:rPr>
          <w:color w:val="0070C0"/>
          <w:sz w:val="16"/>
          <w:szCs w:val="16"/>
        </w:rPr>
      </w:pPr>
      <w:bookmarkStart w:id="80" w:name="bookmark141"/>
      <w:bookmarkEnd w:id="80"/>
      <w:r w:rsidRPr="00B52707">
        <w:rPr>
          <w:color w:val="0070C0"/>
          <w:sz w:val="16"/>
          <w:szCs w:val="16"/>
        </w:rPr>
        <w:t>Брест-Литовский крепостной ави</w:t>
      </w:r>
      <w:r w:rsidRPr="00B52707">
        <w:rPr>
          <w:color w:val="0070C0"/>
          <w:sz w:val="16"/>
          <w:szCs w:val="16"/>
        </w:rPr>
        <w:softHyphen/>
        <w:t>ационный отряд (6 Farman HF.16 + 2 Farman HF.22bis) (24962).</w:t>
      </w:r>
    </w:p>
    <w:p w14:paraId="1A604CC6" w14:textId="77777777" w:rsidR="00583D75" w:rsidRPr="00B52707" w:rsidRDefault="00583D75" w:rsidP="00583D75">
      <w:pPr>
        <w:jc w:val="both"/>
        <w:rPr>
          <w:color w:val="0070C0"/>
          <w:sz w:val="16"/>
          <w:szCs w:val="16"/>
        </w:rPr>
      </w:pPr>
    </w:p>
    <w:p w14:paraId="7B6DF5B5" w14:textId="77777777" w:rsidR="00583D75" w:rsidRPr="00B52707" w:rsidRDefault="00583D75" w:rsidP="00583D75">
      <w:pPr>
        <w:jc w:val="both"/>
        <w:rPr>
          <w:color w:val="0070C0"/>
          <w:sz w:val="16"/>
          <w:szCs w:val="16"/>
        </w:rPr>
      </w:pPr>
      <w:r w:rsidRPr="00B52707">
        <w:rPr>
          <w:color w:val="0070C0"/>
          <w:sz w:val="16"/>
          <w:szCs w:val="16"/>
        </w:rPr>
        <w:t>По со</w:t>
      </w:r>
      <w:r w:rsidRPr="00B52707">
        <w:rPr>
          <w:color w:val="0070C0"/>
          <w:sz w:val="16"/>
          <w:szCs w:val="16"/>
        </w:rPr>
        <w:softHyphen/>
        <w:t>стоянию на 18 июля (1 августа) 1914 г. в составе авиационных частей имелось 263 аэроплана, из них 224 - в составе 39 авиационных отрядов. Сам же состав РИВВФ был следующим (РГВИА. Фонд 493 опись 3 дело 102):</w:t>
      </w:r>
    </w:p>
    <w:p w14:paraId="44782048" w14:textId="77777777" w:rsidR="00583D75" w:rsidRPr="00B52707" w:rsidRDefault="00583D75" w:rsidP="00583D75">
      <w:pPr>
        <w:jc w:val="both"/>
        <w:rPr>
          <w:color w:val="0070C0"/>
          <w:sz w:val="16"/>
          <w:szCs w:val="16"/>
        </w:rPr>
      </w:pPr>
      <w:r w:rsidRPr="00B52707">
        <w:rPr>
          <w:color w:val="0070C0"/>
          <w:sz w:val="16"/>
          <w:szCs w:val="16"/>
        </w:rPr>
        <w:t>Воздухоплавательная часть при Главном Управлении Генераль</w:t>
      </w:r>
      <w:r w:rsidRPr="00B52707">
        <w:rPr>
          <w:color w:val="0070C0"/>
          <w:sz w:val="16"/>
          <w:szCs w:val="16"/>
        </w:rPr>
        <w:softHyphen/>
        <w:t>ного штаба (орган управления);</w:t>
      </w:r>
    </w:p>
    <w:p w14:paraId="4F7B49FD" w14:textId="77777777" w:rsidR="00583D75" w:rsidRPr="00B52707" w:rsidRDefault="00583D75" w:rsidP="00583D75">
      <w:pPr>
        <w:jc w:val="both"/>
        <w:rPr>
          <w:color w:val="0070C0"/>
          <w:sz w:val="16"/>
          <w:szCs w:val="16"/>
        </w:rPr>
      </w:pPr>
      <w:r w:rsidRPr="00B52707">
        <w:rPr>
          <w:color w:val="0070C0"/>
          <w:sz w:val="16"/>
          <w:szCs w:val="16"/>
        </w:rPr>
        <w:t>- 1-я, 2-я, 3-я, 4-я, 5-я, 6-я авиацион</w:t>
      </w:r>
      <w:r w:rsidRPr="00B52707">
        <w:rPr>
          <w:color w:val="0070C0"/>
          <w:sz w:val="16"/>
          <w:szCs w:val="16"/>
        </w:rPr>
        <w:softHyphen/>
        <w:t>ные роты (занимались ремонтом и техническим обслуживанием всех авиаотрядов);</w:t>
      </w:r>
    </w:p>
    <w:p w14:paraId="47D254F6" w14:textId="77777777" w:rsidR="00583D75" w:rsidRPr="00B52707" w:rsidRDefault="00583D75" w:rsidP="00583D75">
      <w:pPr>
        <w:jc w:val="both"/>
        <w:rPr>
          <w:color w:val="0070C0"/>
          <w:sz w:val="16"/>
          <w:szCs w:val="16"/>
        </w:rPr>
      </w:pPr>
      <w:r w:rsidRPr="00B52707">
        <w:rPr>
          <w:color w:val="0070C0"/>
          <w:sz w:val="16"/>
          <w:szCs w:val="16"/>
        </w:rPr>
        <w:t>- 3-й полевой авиационный отряд (при 3-й армии, в г. Киев);</w:t>
      </w:r>
    </w:p>
    <w:p w14:paraId="6B124A57" w14:textId="77777777" w:rsidR="00583D75" w:rsidRPr="00B52707" w:rsidRDefault="00583D75" w:rsidP="00583D75">
      <w:pPr>
        <w:jc w:val="both"/>
        <w:rPr>
          <w:color w:val="0070C0"/>
          <w:sz w:val="16"/>
          <w:szCs w:val="16"/>
        </w:rPr>
      </w:pPr>
      <w:bookmarkStart w:id="81" w:name="bookmark62"/>
      <w:bookmarkEnd w:id="81"/>
      <w:r w:rsidRPr="00B52707">
        <w:rPr>
          <w:color w:val="0070C0"/>
          <w:sz w:val="16"/>
          <w:szCs w:val="16"/>
        </w:rPr>
        <w:t>- Гвардейский корпусной авиацион</w:t>
      </w:r>
      <w:r w:rsidRPr="00B52707">
        <w:rPr>
          <w:color w:val="0070C0"/>
          <w:sz w:val="16"/>
          <w:szCs w:val="16"/>
        </w:rPr>
        <w:softHyphen/>
        <w:t>ный отряд;</w:t>
      </w:r>
    </w:p>
    <w:p w14:paraId="37BAD7CE" w14:textId="77777777" w:rsidR="00583D75" w:rsidRPr="00B52707" w:rsidRDefault="00583D75" w:rsidP="00583D75">
      <w:pPr>
        <w:jc w:val="both"/>
        <w:rPr>
          <w:color w:val="0070C0"/>
          <w:sz w:val="16"/>
          <w:szCs w:val="16"/>
        </w:rPr>
      </w:pPr>
      <w:bookmarkStart w:id="82" w:name="bookmark63"/>
      <w:bookmarkEnd w:id="82"/>
      <w:r w:rsidRPr="00B52707">
        <w:rPr>
          <w:color w:val="0070C0"/>
          <w:sz w:val="16"/>
          <w:szCs w:val="16"/>
        </w:rPr>
        <w:t>- Гренадерский корпусной авиацион</w:t>
      </w:r>
      <w:r w:rsidRPr="00B52707">
        <w:rPr>
          <w:color w:val="0070C0"/>
          <w:sz w:val="16"/>
          <w:szCs w:val="16"/>
        </w:rPr>
        <w:softHyphen/>
        <w:t>ный отряд;</w:t>
      </w:r>
    </w:p>
    <w:p w14:paraId="15F5B867" w14:textId="77777777" w:rsidR="00583D75" w:rsidRPr="00B52707" w:rsidRDefault="00583D75" w:rsidP="00583D75">
      <w:pPr>
        <w:jc w:val="both"/>
        <w:rPr>
          <w:color w:val="0070C0"/>
          <w:sz w:val="16"/>
          <w:szCs w:val="16"/>
        </w:rPr>
      </w:pPr>
      <w:bookmarkStart w:id="83" w:name="bookmark64"/>
      <w:bookmarkEnd w:id="83"/>
      <w:r w:rsidRPr="00B52707">
        <w:rPr>
          <w:color w:val="0070C0"/>
          <w:sz w:val="16"/>
          <w:szCs w:val="16"/>
        </w:rPr>
        <w:t>- 1-й, 4-й, 5-й Сибирские корпусные авиационные отряды;</w:t>
      </w:r>
    </w:p>
    <w:p w14:paraId="0EB01499" w14:textId="77777777" w:rsidR="00583D75" w:rsidRPr="00B52707" w:rsidRDefault="00583D75" w:rsidP="00583D75">
      <w:pPr>
        <w:jc w:val="both"/>
        <w:rPr>
          <w:color w:val="0070C0"/>
          <w:sz w:val="16"/>
          <w:szCs w:val="16"/>
        </w:rPr>
      </w:pPr>
      <w:bookmarkStart w:id="84" w:name="bookmark65"/>
      <w:bookmarkEnd w:id="84"/>
      <w:r w:rsidRPr="00B52707">
        <w:rPr>
          <w:color w:val="0070C0"/>
          <w:sz w:val="16"/>
          <w:szCs w:val="16"/>
        </w:rPr>
        <w:t>- 1-й, 2-й, 3-й, 4-й, 5-й, 6-й, 7-й, 8-й, 9-й, 10-й, 11-й, 12-й, 13-й, 14-й, 15-й, 16-й, 17-й, 18-й, 19-й, 20-й, 21-й, 22-й, 23-й, 24-й, 25-й корпус</w:t>
      </w:r>
      <w:r w:rsidRPr="00B52707">
        <w:rPr>
          <w:color w:val="0070C0"/>
          <w:sz w:val="16"/>
          <w:szCs w:val="16"/>
        </w:rPr>
        <w:softHyphen/>
        <w:t>ные авиационные отряды;</w:t>
      </w:r>
    </w:p>
    <w:p w14:paraId="1412E882" w14:textId="77777777" w:rsidR="00583D75" w:rsidRPr="00B52707" w:rsidRDefault="00583D75" w:rsidP="00583D75">
      <w:pPr>
        <w:jc w:val="both"/>
        <w:rPr>
          <w:color w:val="0070C0"/>
          <w:sz w:val="16"/>
          <w:szCs w:val="16"/>
        </w:rPr>
      </w:pPr>
      <w:bookmarkStart w:id="85" w:name="bookmark66"/>
      <w:bookmarkEnd w:id="85"/>
      <w:r w:rsidRPr="00B52707">
        <w:rPr>
          <w:color w:val="0070C0"/>
          <w:sz w:val="16"/>
          <w:szCs w:val="16"/>
        </w:rPr>
        <w:t>- Брест-Литовский, Владивостокский, Гродненский, Осовецкий, Карский, Ковенский, Севастопольский, Ново</w:t>
      </w:r>
      <w:r w:rsidRPr="00B52707">
        <w:rPr>
          <w:color w:val="0070C0"/>
          <w:sz w:val="16"/>
          <w:szCs w:val="16"/>
        </w:rPr>
        <w:softHyphen/>
        <w:t>георгиевский крепостные авиаци</w:t>
      </w:r>
      <w:r w:rsidRPr="00B52707">
        <w:rPr>
          <w:color w:val="0070C0"/>
          <w:sz w:val="16"/>
          <w:szCs w:val="16"/>
        </w:rPr>
        <w:softHyphen/>
        <w:t>онные отряды.</w:t>
      </w:r>
    </w:p>
    <w:p w14:paraId="346E7C2C" w14:textId="77777777" w:rsidR="00583D75" w:rsidRPr="00B52707" w:rsidRDefault="00583D75" w:rsidP="00583D75">
      <w:pPr>
        <w:jc w:val="both"/>
        <w:rPr>
          <w:color w:val="0070C0"/>
          <w:sz w:val="16"/>
          <w:szCs w:val="16"/>
        </w:rPr>
      </w:pPr>
      <w:r w:rsidRPr="00B52707">
        <w:rPr>
          <w:color w:val="0070C0"/>
          <w:sz w:val="16"/>
          <w:szCs w:val="16"/>
        </w:rPr>
        <w:t>Каждый корпусной авиационный от</w:t>
      </w:r>
      <w:r w:rsidRPr="00B52707">
        <w:rPr>
          <w:color w:val="0070C0"/>
          <w:sz w:val="16"/>
          <w:szCs w:val="16"/>
        </w:rPr>
        <w:softHyphen/>
        <w:t>ряд в военное время должен был иметь 6 самолётов, крепостной - 8. Каждый кор</w:t>
      </w:r>
      <w:r w:rsidRPr="00B52707">
        <w:rPr>
          <w:color w:val="0070C0"/>
          <w:sz w:val="16"/>
          <w:szCs w:val="16"/>
        </w:rPr>
        <w:softHyphen/>
        <w:t>пусной и полевой авиационный отряд должен был иметь 7 лётчиков (5 офице</w:t>
      </w:r>
      <w:r w:rsidRPr="00B52707">
        <w:rPr>
          <w:color w:val="0070C0"/>
          <w:sz w:val="16"/>
          <w:szCs w:val="16"/>
        </w:rPr>
        <w:softHyphen/>
        <w:t>ров и 2 нижних чина).</w:t>
      </w:r>
    </w:p>
    <w:p w14:paraId="0D9E7FA0" w14:textId="77777777" w:rsidR="00583D75" w:rsidRPr="00B52707" w:rsidRDefault="00583D75" w:rsidP="00583D75">
      <w:pPr>
        <w:jc w:val="both"/>
        <w:rPr>
          <w:color w:val="0070C0"/>
          <w:sz w:val="16"/>
          <w:szCs w:val="16"/>
        </w:rPr>
      </w:pPr>
      <w:r w:rsidRPr="00B52707">
        <w:rPr>
          <w:color w:val="0070C0"/>
          <w:sz w:val="16"/>
          <w:szCs w:val="16"/>
        </w:rPr>
        <w:t>Для подготовки, переподготовки и об</w:t>
      </w:r>
      <w:r w:rsidRPr="00B52707">
        <w:rPr>
          <w:color w:val="0070C0"/>
          <w:sz w:val="16"/>
          <w:szCs w:val="16"/>
        </w:rPr>
        <w:softHyphen/>
        <w:t>учения лётчиков имелись военные авиа</w:t>
      </w:r>
      <w:r w:rsidRPr="00B52707">
        <w:rPr>
          <w:color w:val="0070C0"/>
          <w:sz w:val="16"/>
          <w:szCs w:val="16"/>
        </w:rPr>
        <w:softHyphen/>
        <w:t>ционные школы:</w:t>
      </w:r>
    </w:p>
    <w:p w14:paraId="1492D639" w14:textId="77777777" w:rsidR="00583D75" w:rsidRPr="00B52707" w:rsidRDefault="00583D75" w:rsidP="00583D75">
      <w:pPr>
        <w:jc w:val="both"/>
        <w:rPr>
          <w:color w:val="0070C0"/>
          <w:sz w:val="16"/>
          <w:szCs w:val="16"/>
        </w:rPr>
      </w:pPr>
      <w:bookmarkStart w:id="86" w:name="bookmark67"/>
      <w:bookmarkEnd w:id="86"/>
      <w:r w:rsidRPr="00B52707">
        <w:rPr>
          <w:color w:val="0070C0"/>
          <w:sz w:val="16"/>
          <w:szCs w:val="16"/>
        </w:rPr>
        <w:t>Военная авиационная школа</w:t>
      </w:r>
    </w:p>
    <w:p w14:paraId="60310BEB" w14:textId="77777777" w:rsidR="00583D75" w:rsidRPr="00B52707" w:rsidRDefault="00583D75" w:rsidP="00583D75">
      <w:pPr>
        <w:jc w:val="both"/>
        <w:rPr>
          <w:color w:val="0070C0"/>
          <w:sz w:val="16"/>
          <w:szCs w:val="16"/>
        </w:rPr>
      </w:pPr>
      <w:r w:rsidRPr="00B52707">
        <w:rPr>
          <w:color w:val="0070C0"/>
          <w:sz w:val="16"/>
          <w:szCs w:val="16"/>
        </w:rPr>
        <w:t>(г. Гатчина);</w:t>
      </w:r>
    </w:p>
    <w:p w14:paraId="54A30D96" w14:textId="77777777" w:rsidR="00583D75" w:rsidRPr="00B52707" w:rsidRDefault="00583D75" w:rsidP="00583D75">
      <w:pPr>
        <w:jc w:val="both"/>
        <w:rPr>
          <w:color w:val="0070C0"/>
          <w:sz w:val="16"/>
          <w:szCs w:val="16"/>
        </w:rPr>
      </w:pPr>
      <w:bookmarkStart w:id="87" w:name="bookmark68"/>
      <w:bookmarkEnd w:id="87"/>
      <w:r w:rsidRPr="00B52707">
        <w:rPr>
          <w:color w:val="0070C0"/>
          <w:sz w:val="16"/>
          <w:szCs w:val="16"/>
        </w:rPr>
        <w:t>Севастопольская Его Величества Ве</w:t>
      </w:r>
      <w:r w:rsidRPr="00B52707">
        <w:rPr>
          <w:color w:val="0070C0"/>
          <w:sz w:val="16"/>
          <w:szCs w:val="16"/>
        </w:rPr>
        <w:softHyphen/>
        <w:t>ликого Князя Александра Михайло</w:t>
      </w:r>
      <w:r w:rsidRPr="00B52707">
        <w:rPr>
          <w:color w:val="0070C0"/>
          <w:sz w:val="16"/>
          <w:szCs w:val="16"/>
        </w:rPr>
        <w:softHyphen/>
        <w:t>вича военная авиационная школа (п. Кача, под г. Севастополем).</w:t>
      </w:r>
    </w:p>
    <w:p w14:paraId="0E4D1DD2" w14:textId="77777777" w:rsidR="00583D75" w:rsidRPr="00B52707" w:rsidRDefault="00583D75" w:rsidP="00583D75">
      <w:pPr>
        <w:jc w:val="both"/>
        <w:rPr>
          <w:color w:val="0070C0"/>
          <w:sz w:val="16"/>
          <w:szCs w:val="16"/>
        </w:rPr>
      </w:pPr>
      <w:r w:rsidRPr="00B52707">
        <w:rPr>
          <w:color w:val="0070C0"/>
          <w:sz w:val="16"/>
          <w:szCs w:val="16"/>
        </w:rPr>
        <w:t>Так же имелись Теоретические курсы авиации при Петроградском Политехни</w:t>
      </w:r>
      <w:r w:rsidRPr="00B52707">
        <w:rPr>
          <w:color w:val="0070C0"/>
          <w:sz w:val="16"/>
          <w:szCs w:val="16"/>
        </w:rPr>
        <w:softHyphen/>
        <w:t>ческом Институте.</w:t>
      </w:r>
    </w:p>
    <w:p w14:paraId="3F7DAB19" w14:textId="77777777" w:rsidR="00583D75" w:rsidRPr="00B52707" w:rsidRDefault="00583D75" w:rsidP="00583D75">
      <w:pPr>
        <w:jc w:val="both"/>
        <w:rPr>
          <w:color w:val="0070C0"/>
          <w:sz w:val="16"/>
          <w:szCs w:val="16"/>
        </w:rPr>
      </w:pPr>
      <w:r w:rsidRPr="00B52707">
        <w:rPr>
          <w:color w:val="0070C0"/>
          <w:sz w:val="16"/>
          <w:szCs w:val="16"/>
        </w:rPr>
        <w:lastRenderedPageBreak/>
        <w:t>Обучение пилотов для численно рас</w:t>
      </w:r>
      <w:r w:rsidRPr="00B52707">
        <w:rPr>
          <w:color w:val="0070C0"/>
          <w:sz w:val="16"/>
          <w:szCs w:val="16"/>
        </w:rPr>
        <w:softHyphen/>
        <w:t>тущих авиационных частей осуществля</w:t>
      </w:r>
      <w:r w:rsidRPr="00B52707">
        <w:rPr>
          <w:color w:val="0070C0"/>
          <w:sz w:val="16"/>
          <w:szCs w:val="16"/>
        </w:rPr>
        <w:softHyphen/>
        <w:t>лось в авиационных школах: Севастополь</w:t>
      </w:r>
      <w:r w:rsidRPr="00B52707">
        <w:rPr>
          <w:color w:val="0070C0"/>
          <w:sz w:val="16"/>
          <w:szCs w:val="16"/>
        </w:rPr>
        <w:softHyphen/>
        <w:t>ской и Гатчинской, которые уже к 1914 г. с трудом уже могли полностью удовлет</w:t>
      </w:r>
      <w:r w:rsidRPr="00B52707">
        <w:rPr>
          <w:color w:val="0070C0"/>
          <w:sz w:val="16"/>
          <w:szCs w:val="16"/>
        </w:rPr>
        <w:softHyphen/>
        <w:t>ворить потребности армии в авиацион</w:t>
      </w:r>
      <w:r w:rsidRPr="00B52707">
        <w:rPr>
          <w:color w:val="0070C0"/>
          <w:sz w:val="16"/>
          <w:szCs w:val="16"/>
        </w:rPr>
        <w:softHyphen/>
        <w:t>ных кадрах.</w:t>
      </w:r>
    </w:p>
    <w:p w14:paraId="5319C58F" w14:textId="77777777" w:rsidR="00583D75" w:rsidRPr="00B52707" w:rsidRDefault="00583D75" w:rsidP="00583D75">
      <w:pPr>
        <w:jc w:val="both"/>
        <w:rPr>
          <w:color w:val="0070C0"/>
          <w:sz w:val="16"/>
          <w:szCs w:val="16"/>
        </w:rPr>
      </w:pPr>
      <w:r w:rsidRPr="00B52707">
        <w:rPr>
          <w:color w:val="0070C0"/>
          <w:sz w:val="16"/>
          <w:szCs w:val="16"/>
        </w:rPr>
        <w:t>Стоит так же указать на тот факт, что состав Военно-Воздушного флота Рос</w:t>
      </w:r>
      <w:r w:rsidRPr="00B52707">
        <w:rPr>
          <w:color w:val="0070C0"/>
          <w:sz w:val="16"/>
          <w:szCs w:val="16"/>
        </w:rPr>
        <w:softHyphen/>
        <w:t>сийской империи был весьма неодно</w:t>
      </w:r>
      <w:r w:rsidRPr="00B52707">
        <w:rPr>
          <w:color w:val="0070C0"/>
          <w:sz w:val="16"/>
          <w:szCs w:val="16"/>
        </w:rPr>
        <w:softHyphen/>
        <w:t>родным. Несмотря на наличие некоторо</w:t>
      </w:r>
      <w:r w:rsidRPr="00B52707">
        <w:rPr>
          <w:color w:val="0070C0"/>
          <w:sz w:val="16"/>
          <w:szCs w:val="16"/>
        </w:rPr>
        <w:softHyphen/>
        <w:t>го количества самолетов (точнее аэро</w:t>
      </w:r>
      <w:r w:rsidRPr="00B52707">
        <w:rPr>
          <w:color w:val="0070C0"/>
          <w:sz w:val="16"/>
          <w:szCs w:val="16"/>
        </w:rPr>
        <w:softHyphen/>
        <w:t>планов - как было принято их называть в то время) отечественных конструк</w:t>
      </w:r>
      <w:r w:rsidRPr="00B52707">
        <w:rPr>
          <w:color w:val="0070C0"/>
          <w:sz w:val="16"/>
          <w:szCs w:val="16"/>
        </w:rPr>
        <w:softHyphen/>
        <w:t>ций (Виллиш ВМ-5, Моска МБбис, Сикор</w:t>
      </w:r>
      <w:r w:rsidRPr="00B52707">
        <w:rPr>
          <w:color w:val="0070C0"/>
          <w:sz w:val="16"/>
          <w:szCs w:val="16"/>
        </w:rPr>
        <w:softHyphen/>
        <w:t>ский С-16, С-18, С-20; Григорович М-5, М-20, М-9, М-11, М-12, М-15, М-17, «Ана- тра» тип Д и ДС, «Лебедь» моделей 7, 11, 12), большую часть русских воздушных сил все же составляли иностранные ма</w:t>
      </w:r>
      <w:r w:rsidRPr="00B52707">
        <w:rPr>
          <w:color w:val="0070C0"/>
          <w:sz w:val="16"/>
          <w:szCs w:val="16"/>
        </w:rPr>
        <w:softHyphen/>
        <w:t>шины. Они как закупались во Франции (Bleriot, Caudron, Farman, Morane-Saulnier, Nieuport, Spad, Voisin) и Англии (Sopwith, Vickers), так и строились по лицензии на отечественных заводах (ДУКС, Лебе</w:t>
      </w:r>
      <w:r w:rsidRPr="00B52707">
        <w:rPr>
          <w:color w:val="0070C0"/>
          <w:sz w:val="16"/>
          <w:szCs w:val="16"/>
        </w:rPr>
        <w:softHyphen/>
        <w:t>дев). Позже добавились трофейные са</w:t>
      </w:r>
      <w:r w:rsidRPr="00B52707">
        <w:rPr>
          <w:color w:val="0070C0"/>
          <w:sz w:val="16"/>
          <w:szCs w:val="16"/>
        </w:rPr>
        <w:softHyphen/>
        <w:t>молеты, произведенные в Германии и Австро-Венгрии.</w:t>
      </w:r>
    </w:p>
    <w:p w14:paraId="1EBCD2DF" w14:textId="77777777" w:rsidR="00583D75" w:rsidRPr="00B52707" w:rsidRDefault="00583D75" w:rsidP="00583D75">
      <w:pPr>
        <w:jc w:val="both"/>
        <w:rPr>
          <w:color w:val="0070C0"/>
          <w:sz w:val="16"/>
          <w:szCs w:val="16"/>
        </w:rPr>
      </w:pPr>
      <w:r w:rsidRPr="00B52707">
        <w:rPr>
          <w:color w:val="0070C0"/>
          <w:sz w:val="16"/>
          <w:szCs w:val="16"/>
        </w:rPr>
        <w:t>Историческим моментом отечествен</w:t>
      </w:r>
      <w:r w:rsidRPr="00B52707">
        <w:rPr>
          <w:color w:val="0070C0"/>
          <w:sz w:val="16"/>
          <w:szCs w:val="16"/>
        </w:rPr>
        <w:softHyphen/>
        <w:t>ной авиации стало принятие на вооруже</w:t>
      </w:r>
      <w:r w:rsidRPr="00B52707">
        <w:rPr>
          <w:color w:val="0070C0"/>
          <w:sz w:val="16"/>
          <w:szCs w:val="16"/>
        </w:rPr>
        <w:softHyphen/>
        <w:t>ние первого в мире 4-моторного бомбар</w:t>
      </w:r>
      <w:r w:rsidRPr="00B52707">
        <w:rPr>
          <w:color w:val="0070C0"/>
          <w:sz w:val="16"/>
          <w:szCs w:val="16"/>
        </w:rPr>
        <w:softHyphen/>
        <w:t>дировщика Сикорский «Илья Муромец». В мае 1914 г., после удачных испытаний первого самолета был, заключен контракт с РБВЗ на массовую поставку самолетов «Илья Муромец» (24962).</w:t>
      </w:r>
    </w:p>
    <w:p w14:paraId="4CF27945" w14:textId="77777777" w:rsidR="00583D75" w:rsidRPr="00B52707" w:rsidRDefault="00583D75" w:rsidP="00583D75">
      <w:pPr>
        <w:jc w:val="both"/>
        <w:rPr>
          <w:color w:val="0070C0"/>
          <w:sz w:val="16"/>
          <w:szCs w:val="16"/>
        </w:rPr>
      </w:pPr>
    </w:p>
    <w:p w14:paraId="0D23381E" w14:textId="77777777" w:rsidR="00583D75" w:rsidRPr="00B52707" w:rsidRDefault="00583D75" w:rsidP="00583D75">
      <w:pPr>
        <w:jc w:val="both"/>
        <w:rPr>
          <w:color w:val="0070C0"/>
          <w:sz w:val="16"/>
          <w:szCs w:val="16"/>
        </w:rPr>
      </w:pPr>
      <w:r w:rsidRPr="00B52707">
        <w:rPr>
          <w:color w:val="0070C0"/>
          <w:sz w:val="16"/>
          <w:szCs w:val="16"/>
        </w:rPr>
        <w:t>На 18 июля (1 августа) 1914 г. имелись следую</w:t>
      </w:r>
      <w:r w:rsidRPr="00B52707">
        <w:rPr>
          <w:color w:val="0070C0"/>
          <w:sz w:val="16"/>
          <w:szCs w:val="16"/>
        </w:rPr>
        <w:softHyphen/>
        <w:t>щие воздухоплавательные части РИВВФ (РГВИА. Фонд 493 опись 3 дело 102):</w:t>
      </w:r>
    </w:p>
    <w:p w14:paraId="1B2C8788" w14:textId="77777777" w:rsidR="00583D75" w:rsidRPr="00B52707" w:rsidRDefault="00583D75" w:rsidP="00583D75">
      <w:pPr>
        <w:jc w:val="both"/>
        <w:rPr>
          <w:color w:val="0070C0"/>
          <w:sz w:val="16"/>
          <w:szCs w:val="16"/>
        </w:rPr>
      </w:pPr>
      <w:r w:rsidRPr="00B52707">
        <w:rPr>
          <w:color w:val="0070C0"/>
          <w:sz w:val="16"/>
          <w:szCs w:val="16"/>
        </w:rPr>
        <w:t>- 2-я, 3-я, 4-я воздухоплавательные роты с управляемыми аэростатами (штат №22 от 16 мая 1910 г.);</w:t>
      </w:r>
    </w:p>
    <w:p w14:paraId="16581B77" w14:textId="77777777" w:rsidR="00583D75" w:rsidRPr="00B52707" w:rsidRDefault="00583D75" w:rsidP="00583D75">
      <w:pPr>
        <w:jc w:val="both"/>
        <w:rPr>
          <w:color w:val="0070C0"/>
          <w:sz w:val="16"/>
          <w:szCs w:val="16"/>
        </w:rPr>
      </w:pPr>
      <w:bookmarkStart w:id="88" w:name="bookmark78"/>
      <w:bookmarkEnd w:id="88"/>
      <w:r w:rsidRPr="00B52707">
        <w:rPr>
          <w:color w:val="0070C0"/>
          <w:sz w:val="16"/>
          <w:szCs w:val="16"/>
        </w:rPr>
        <w:t>- Сибирская воздухоплавательная рота (штат №1 от 31 января 1914 г.);</w:t>
      </w:r>
    </w:p>
    <w:p w14:paraId="4D225A67" w14:textId="77777777" w:rsidR="00583D75" w:rsidRPr="00B52707" w:rsidRDefault="00583D75" w:rsidP="00583D75">
      <w:pPr>
        <w:jc w:val="both"/>
        <w:rPr>
          <w:color w:val="0070C0"/>
          <w:sz w:val="16"/>
          <w:szCs w:val="16"/>
        </w:rPr>
      </w:pPr>
      <w:bookmarkStart w:id="89" w:name="bookmark79"/>
      <w:bookmarkEnd w:id="89"/>
      <w:r w:rsidRPr="00B52707">
        <w:rPr>
          <w:color w:val="0070C0"/>
          <w:sz w:val="16"/>
          <w:szCs w:val="16"/>
        </w:rPr>
        <w:t>- Кавказская воздухоплавательная рота (штат №1 от 31 января 1914 г.);</w:t>
      </w:r>
    </w:p>
    <w:p w14:paraId="39F307C5" w14:textId="77777777" w:rsidR="00583D75" w:rsidRPr="00B52707" w:rsidRDefault="00583D75" w:rsidP="00583D75">
      <w:pPr>
        <w:jc w:val="both"/>
        <w:rPr>
          <w:color w:val="0070C0"/>
          <w:sz w:val="16"/>
          <w:szCs w:val="16"/>
        </w:rPr>
      </w:pPr>
      <w:bookmarkStart w:id="90" w:name="bookmark80"/>
      <w:bookmarkEnd w:id="90"/>
      <w:r w:rsidRPr="00B52707">
        <w:rPr>
          <w:color w:val="0070C0"/>
          <w:sz w:val="16"/>
          <w:szCs w:val="16"/>
        </w:rPr>
        <w:t>- Брест-Литовская, Владивостокская, Гродненская, Карсская, Ковенская, Новогеоргиевская, Осовецкая, Свеаборгская крепостные воздухоплава</w:t>
      </w:r>
      <w:r w:rsidRPr="00B52707">
        <w:rPr>
          <w:color w:val="0070C0"/>
          <w:sz w:val="16"/>
          <w:szCs w:val="16"/>
        </w:rPr>
        <w:softHyphen/>
        <w:t>тельные роты (штат №1 от 31 янва</w:t>
      </w:r>
      <w:r w:rsidRPr="00B52707">
        <w:rPr>
          <w:color w:val="0070C0"/>
          <w:sz w:val="16"/>
          <w:szCs w:val="16"/>
        </w:rPr>
        <w:softHyphen/>
        <w:t>ря 1914 г.) (24962).</w:t>
      </w:r>
    </w:p>
    <w:p w14:paraId="3B7DEF0D" w14:textId="77777777" w:rsidR="00583D75" w:rsidRPr="00B52707" w:rsidRDefault="00583D75" w:rsidP="00583D75">
      <w:pPr>
        <w:jc w:val="both"/>
        <w:rPr>
          <w:color w:val="0070C0"/>
          <w:sz w:val="16"/>
          <w:szCs w:val="16"/>
        </w:rPr>
      </w:pPr>
    </w:p>
    <w:p w14:paraId="6948A16F" w14:textId="77777777" w:rsidR="00583D75" w:rsidRPr="00B52707" w:rsidRDefault="00583D75" w:rsidP="00583D75">
      <w:pPr>
        <w:jc w:val="both"/>
        <w:rPr>
          <w:color w:val="0070C0"/>
          <w:sz w:val="16"/>
          <w:szCs w:val="16"/>
        </w:rPr>
      </w:pPr>
      <w:r w:rsidRPr="00B52707">
        <w:rPr>
          <w:color w:val="0070C0"/>
          <w:sz w:val="16"/>
          <w:szCs w:val="16"/>
        </w:rPr>
        <w:t>По состоя</w:t>
      </w:r>
      <w:r w:rsidRPr="00B52707">
        <w:rPr>
          <w:color w:val="0070C0"/>
          <w:sz w:val="16"/>
          <w:szCs w:val="16"/>
        </w:rPr>
        <w:softHyphen/>
        <w:t>нию на 18 июля (1 августа) 1914 г. в Морской ави</w:t>
      </w:r>
      <w:r w:rsidRPr="00B52707">
        <w:rPr>
          <w:color w:val="0070C0"/>
          <w:sz w:val="16"/>
          <w:szCs w:val="16"/>
        </w:rPr>
        <w:softHyphen/>
        <w:t>ации России насчитывалось всего лишь 18 самолётов различных типов (10 - на Балтике и 8 на Черном море) и око</w:t>
      </w:r>
      <w:r w:rsidRPr="00B52707">
        <w:rPr>
          <w:color w:val="0070C0"/>
          <w:sz w:val="16"/>
          <w:szCs w:val="16"/>
        </w:rPr>
        <w:softHyphen/>
        <w:t>ло 20 лётчиков. Ещё около 10 офице</w:t>
      </w:r>
      <w:r w:rsidRPr="00B52707">
        <w:rPr>
          <w:color w:val="0070C0"/>
          <w:sz w:val="16"/>
          <w:szCs w:val="16"/>
        </w:rPr>
        <w:softHyphen/>
        <w:t>ров проходило лётную подготовку непо</w:t>
      </w:r>
      <w:r w:rsidRPr="00B52707">
        <w:rPr>
          <w:color w:val="0070C0"/>
          <w:sz w:val="16"/>
          <w:szCs w:val="16"/>
        </w:rPr>
        <w:softHyphen/>
        <w:t>средственно на флотах. На Тихом океане предполагалось развернуть авиацион</w:t>
      </w:r>
      <w:r w:rsidRPr="00B52707">
        <w:rPr>
          <w:color w:val="0070C0"/>
          <w:sz w:val="16"/>
          <w:szCs w:val="16"/>
        </w:rPr>
        <w:softHyphen/>
        <w:t>ные отряды лишь к лету 1915 г., однако это не было реализовано из-за начавшей</w:t>
      </w:r>
      <w:r w:rsidRPr="00B52707">
        <w:rPr>
          <w:color w:val="0070C0"/>
          <w:sz w:val="16"/>
          <w:szCs w:val="16"/>
        </w:rPr>
        <w:softHyphen/>
        <w:t>ся войны.</w:t>
      </w:r>
    </w:p>
    <w:p w14:paraId="226605C1" w14:textId="77777777" w:rsidR="00583D75" w:rsidRPr="00B52707" w:rsidRDefault="00583D75" w:rsidP="00583D75">
      <w:pPr>
        <w:jc w:val="both"/>
        <w:rPr>
          <w:color w:val="0070C0"/>
          <w:sz w:val="16"/>
          <w:szCs w:val="16"/>
        </w:rPr>
      </w:pPr>
      <w:r w:rsidRPr="00B52707">
        <w:rPr>
          <w:color w:val="0070C0"/>
          <w:sz w:val="16"/>
          <w:szCs w:val="16"/>
        </w:rPr>
        <w:t>Авиационные части флота носили в то время официальные названия «ави</w:t>
      </w:r>
      <w:r w:rsidRPr="00B52707">
        <w:rPr>
          <w:color w:val="0070C0"/>
          <w:sz w:val="16"/>
          <w:szCs w:val="16"/>
        </w:rPr>
        <w:softHyphen/>
        <w:t>ационных команд службы связи морей». В состав Службы связи моря входили ави</w:t>
      </w:r>
      <w:r w:rsidRPr="00B52707">
        <w:rPr>
          <w:color w:val="0070C0"/>
          <w:sz w:val="16"/>
          <w:szCs w:val="16"/>
        </w:rPr>
        <w:softHyphen/>
        <w:t>ационные станции 1-го и 2-го разрядов, авиационные посты, ремонтные партии, авиационные отряды. Общее руководст</w:t>
      </w:r>
      <w:r w:rsidRPr="00B52707">
        <w:rPr>
          <w:color w:val="0070C0"/>
          <w:sz w:val="16"/>
          <w:szCs w:val="16"/>
        </w:rPr>
        <w:softHyphen/>
        <w:t>во морской авиацией осуществлял Мор</w:t>
      </w:r>
      <w:r w:rsidRPr="00B52707">
        <w:rPr>
          <w:color w:val="0070C0"/>
          <w:sz w:val="16"/>
          <w:szCs w:val="16"/>
        </w:rPr>
        <w:softHyphen/>
        <w:t>ской генеральный штаб (РГА ВМФ. Фонд 249 опись 1 дело 92).</w:t>
      </w:r>
    </w:p>
    <w:p w14:paraId="3EF77C34" w14:textId="77777777" w:rsidR="00583D75" w:rsidRPr="00B52707" w:rsidRDefault="00583D75" w:rsidP="00583D75">
      <w:pPr>
        <w:jc w:val="both"/>
        <w:rPr>
          <w:color w:val="0070C0"/>
          <w:sz w:val="16"/>
          <w:szCs w:val="16"/>
        </w:rPr>
      </w:pPr>
      <w:r w:rsidRPr="00B52707">
        <w:rPr>
          <w:color w:val="0070C0"/>
          <w:sz w:val="16"/>
          <w:szCs w:val="16"/>
        </w:rPr>
        <w:t>Станция 1-го и 2-го разряда - гидро</w:t>
      </w:r>
      <w:r w:rsidRPr="00B52707">
        <w:rPr>
          <w:color w:val="0070C0"/>
          <w:sz w:val="16"/>
          <w:szCs w:val="16"/>
        </w:rPr>
        <w:softHyphen/>
        <w:t>аэродром для постоянного и временного базирования авиации соответственно. Са</w:t>
      </w:r>
      <w:r w:rsidRPr="00B52707">
        <w:rPr>
          <w:color w:val="0070C0"/>
          <w:sz w:val="16"/>
          <w:szCs w:val="16"/>
        </w:rPr>
        <w:softHyphen/>
        <w:t>мостоятельная станция не входила в со</w:t>
      </w:r>
      <w:r w:rsidRPr="00B52707">
        <w:rPr>
          <w:color w:val="0070C0"/>
          <w:sz w:val="16"/>
          <w:szCs w:val="16"/>
        </w:rPr>
        <w:softHyphen/>
        <w:t>став воздушного района.</w:t>
      </w:r>
    </w:p>
    <w:p w14:paraId="3764AE7C" w14:textId="77777777" w:rsidR="00583D75" w:rsidRPr="00B52707" w:rsidRDefault="00583D75" w:rsidP="00583D75">
      <w:pPr>
        <w:jc w:val="both"/>
        <w:rPr>
          <w:color w:val="0070C0"/>
          <w:sz w:val="16"/>
          <w:szCs w:val="16"/>
        </w:rPr>
      </w:pPr>
      <w:r w:rsidRPr="00B52707">
        <w:rPr>
          <w:color w:val="0070C0"/>
          <w:sz w:val="16"/>
          <w:szCs w:val="16"/>
        </w:rPr>
        <w:t>Отдельный пост - самостоятельный пост (наблюдательный, метеорологиче</w:t>
      </w:r>
      <w:r w:rsidRPr="00B52707">
        <w:rPr>
          <w:color w:val="0070C0"/>
          <w:sz w:val="16"/>
          <w:szCs w:val="16"/>
        </w:rPr>
        <w:softHyphen/>
        <w:t>ский или передаточный), не входящий в состав района.</w:t>
      </w:r>
    </w:p>
    <w:p w14:paraId="2C868B7D" w14:textId="77777777" w:rsidR="00583D75" w:rsidRPr="00B52707" w:rsidRDefault="00583D75" w:rsidP="00583D75">
      <w:pPr>
        <w:jc w:val="both"/>
        <w:rPr>
          <w:color w:val="0070C0"/>
          <w:sz w:val="16"/>
          <w:szCs w:val="16"/>
        </w:rPr>
      </w:pPr>
      <w:r w:rsidRPr="00B52707">
        <w:rPr>
          <w:color w:val="0070C0"/>
          <w:sz w:val="16"/>
          <w:szCs w:val="16"/>
        </w:rPr>
        <w:t>Ремонтная партия - подразделение для выполнения текущего ремонта на ле</w:t>
      </w:r>
      <w:r w:rsidRPr="00B52707">
        <w:rPr>
          <w:color w:val="0070C0"/>
          <w:sz w:val="16"/>
          <w:szCs w:val="16"/>
        </w:rPr>
        <w:softHyphen/>
        <w:t>тательных аппаратах конкретного воз</w:t>
      </w:r>
      <w:r w:rsidRPr="00B52707">
        <w:rPr>
          <w:color w:val="0070C0"/>
          <w:sz w:val="16"/>
          <w:szCs w:val="16"/>
        </w:rPr>
        <w:softHyphen/>
        <w:t>душного района (24962).</w:t>
      </w:r>
    </w:p>
    <w:p w14:paraId="40A1F5FA" w14:textId="77777777" w:rsidR="00583D75" w:rsidRPr="00B52707" w:rsidRDefault="00583D75" w:rsidP="00583D75">
      <w:pPr>
        <w:jc w:val="both"/>
        <w:rPr>
          <w:color w:val="0070C0"/>
          <w:sz w:val="16"/>
          <w:szCs w:val="16"/>
        </w:rPr>
      </w:pPr>
    </w:p>
    <w:p w14:paraId="2066612C" w14:textId="77777777" w:rsidR="00583D75" w:rsidRPr="00B52707" w:rsidRDefault="00583D75" w:rsidP="00583D75">
      <w:pPr>
        <w:jc w:val="both"/>
        <w:rPr>
          <w:rStyle w:val="ab"/>
          <w:rFonts w:ascii="Times New Roman" w:hAnsi="Times New Roman"/>
          <w:color w:val="0070C0"/>
          <w:spacing w:val="0"/>
          <w:sz w:val="16"/>
          <w:szCs w:val="16"/>
        </w:rPr>
      </w:pPr>
      <w:r w:rsidRPr="00B52707">
        <w:rPr>
          <w:color w:val="0070C0"/>
          <w:sz w:val="16"/>
          <w:szCs w:val="16"/>
        </w:rPr>
        <w:t xml:space="preserve">18 июля (1 августа) 1914 </w:t>
      </w:r>
      <w:r w:rsidRPr="00B52707">
        <w:rPr>
          <w:rStyle w:val="ab"/>
          <w:rFonts w:ascii="Times New Roman" w:hAnsi="Times New Roman"/>
          <w:color w:val="0070C0"/>
          <w:spacing w:val="0"/>
          <w:sz w:val="16"/>
          <w:szCs w:val="16"/>
        </w:rPr>
        <w:t>года м/к Кронштадт была переведена на осадное положение с предоставлением права создания собственной воздушной обороны. Ее коменданту предписывалось немедленно организовать воздушное наблюдение в зоне ответственности крепостной артиллерии. Из числа лиц военного гарнизона и гражданской администрации формировались суточные наблюдательные посты с последующим выставлением их на крышах высотных зданий города и фортах крепости. Мероприятия по линии ВоздО осуществлялись в тесном взаимодействии с руководством приморских крепостей Выборга, Свеаборга и м/к Императора Петра Великого (г. Ревель). Существенная помощь оказывалась и со стороны пограничной стражи. В первый месяц войны для охраны приморских районов Финского и Ботнического заливов была создана 1-я пограничная Петроградская Императора Александра III бригада. Все донесения о морской и воздушной обстановке ежедневно стали стекаться в штаб 6-й армии (строевое отделение). Принятые меры оказались своевременными. Так, по докладу коменданта Свеаборгской крепости генерал- лейтенанта А.Ф. Бауэра на юге Финляндии была отмечена активизация полетов воздушных судов. Только в период с 3 по 8 сентября военные наблюдатели и местные жители зафиксировали появление в небе 11 ЛА (6 дирижаблей и 5 аэропланов) без установления их государственной принадлежности. Почти все они были российского происхождения. Вследствие отсутствия налаженной системы воздушного контроля в заданном районе доклады по линии ВВФ о маршрутах полетов ЛА поступали с большим опозданием. На этом фоне возникла реальная опасность появления над Финским заливом неприятельских самолетов и цеппелинов. Но пока в первый год войны отмечались лишь их редкие разведывательные полеты в районе Рижского залива (25166).</w:t>
      </w:r>
    </w:p>
    <w:p w14:paraId="12AA974D" w14:textId="77777777" w:rsidR="00583D75" w:rsidRPr="00B52707" w:rsidRDefault="00583D75" w:rsidP="00583D75">
      <w:pPr>
        <w:jc w:val="both"/>
        <w:rPr>
          <w:rStyle w:val="ab"/>
          <w:rFonts w:ascii="Times New Roman" w:hAnsi="Times New Roman"/>
          <w:color w:val="0070C0"/>
          <w:spacing w:val="0"/>
          <w:sz w:val="16"/>
          <w:szCs w:val="16"/>
        </w:rPr>
      </w:pPr>
    </w:p>
    <w:p w14:paraId="357B0EEF" w14:textId="77777777" w:rsidR="00583D75" w:rsidRPr="00B52707" w:rsidRDefault="00583D75" w:rsidP="00583D75">
      <w:pPr>
        <w:jc w:val="both"/>
        <w:rPr>
          <w:color w:val="0070C0"/>
          <w:sz w:val="16"/>
          <w:szCs w:val="16"/>
        </w:rPr>
      </w:pPr>
      <w:r w:rsidRPr="00B52707">
        <w:rPr>
          <w:rStyle w:val="ab"/>
          <w:rFonts w:ascii="Times New Roman" w:hAnsi="Times New Roman"/>
          <w:color w:val="0070C0"/>
          <w:spacing w:val="0"/>
          <w:sz w:val="16"/>
          <w:szCs w:val="16"/>
        </w:rPr>
        <w:t>18 июля (1 августа) 1914 г. экспедиция Б.А. Вплькнцкого добралась из Владивостока до залива Провидения. 'Гам в бухте Эммы было решено использовать «Фарман». Для этого его по частям перевезли па берег, где и собрали. На утро при тихой ясной погоде хрупкая летающая лодка, пилотируемая Д.В. Алек</w:t>
      </w:r>
      <w:r w:rsidRPr="00B52707">
        <w:rPr>
          <w:rStyle w:val="ab"/>
          <w:rFonts w:ascii="Times New Roman" w:hAnsi="Times New Roman"/>
          <w:color w:val="0070C0"/>
          <w:spacing w:val="0"/>
          <w:sz w:val="16"/>
          <w:szCs w:val="16"/>
        </w:rPr>
        <w:softHyphen/>
        <w:t>сандровым с механиком Тыркаловым, отделилась от воды, но тотчас же снова села. При повторном взлёте у машины сло</w:t>
      </w:r>
      <w:r w:rsidRPr="00B52707">
        <w:rPr>
          <w:rStyle w:val="ab"/>
          <w:rFonts w:ascii="Times New Roman" w:hAnsi="Times New Roman"/>
          <w:color w:val="0070C0"/>
          <w:spacing w:val="0"/>
          <w:sz w:val="16"/>
          <w:szCs w:val="16"/>
        </w:rPr>
        <w:softHyphen/>
        <w:t>малась хвостовая ферма с рулевой частью. Аппарат отбукси</w:t>
      </w:r>
      <w:r w:rsidRPr="00B52707">
        <w:rPr>
          <w:rStyle w:val="ab"/>
          <w:rFonts w:ascii="Times New Roman" w:hAnsi="Times New Roman"/>
          <w:color w:val="0070C0"/>
          <w:spacing w:val="0"/>
          <w:sz w:val="16"/>
          <w:szCs w:val="16"/>
        </w:rPr>
        <w:softHyphen/>
        <w:t>ровали к берегу, вновь разобрали и погрузили на «Таймыр». Предполагалось поломанные части заменить в Америке, при заходе парохода в I [ом (штат Аляска). Но началась первая мировая война, и планы были пересмотрены. Тем не менее. Дмитрий Васильевич Александров стал вторым российским лётчиком, поднявшимся в небо За</w:t>
      </w:r>
      <w:r w:rsidRPr="00B52707">
        <w:rPr>
          <w:rStyle w:val="ab"/>
          <w:rFonts w:ascii="Times New Roman" w:hAnsi="Times New Roman"/>
          <w:color w:val="0070C0"/>
          <w:spacing w:val="0"/>
          <w:sz w:val="16"/>
          <w:szCs w:val="16"/>
        </w:rPr>
        <w:softHyphen/>
        <w:t>полярья (25653).</w:t>
      </w:r>
    </w:p>
    <w:p w14:paraId="4CF8B5E0" w14:textId="77777777" w:rsidR="00583D75" w:rsidRPr="00B52707" w:rsidRDefault="00583D75" w:rsidP="00583D75">
      <w:pPr>
        <w:jc w:val="both"/>
        <w:rPr>
          <w:rStyle w:val="ab"/>
          <w:rFonts w:ascii="Times New Roman" w:hAnsi="Times New Roman"/>
          <w:color w:val="0070C0"/>
          <w:spacing w:val="0"/>
          <w:sz w:val="16"/>
          <w:szCs w:val="16"/>
        </w:rPr>
      </w:pPr>
    </w:p>
    <w:p w14:paraId="139D09A2"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Морская авиация:</w:t>
      </w:r>
    </w:p>
    <w:p w14:paraId="0A873EA8" w14:textId="77777777" w:rsidR="00B67D7C" w:rsidRPr="00DE096C" w:rsidRDefault="00B67D7C" w:rsidP="00D45A46">
      <w:pPr>
        <w:shd w:val="clear" w:color="auto" w:fill="FFFFFF"/>
        <w:jc w:val="both"/>
        <w:rPr>
          <w:bCs/>
          <w:i/>
          <w:color w:val="002060"/>
          <w:sz w:val="16"/>
          <w:szCs w:val="16"/>
        </w:rPr>
      </w:pPr>
    </w:p>
    <w:p w14:paraId="017B6C5B" w14:textId="7D182C0E"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18 </w:t>
      </w:r>
      <w:r w:rsidR="000A25A6" w:rsidRPr="00DE096C">
        <w:rPr>
          <w:bCs/>
          <w:color w:val="002060"/>
          <w:sz w:val="16"/>
          <w:szCs w:val="16"/>
        </w:rPr>
        <w:t xml:space="preserve">(31) </w:t>
      </w:r>
      <w:r w:rsidRPr="00DE096C">
        <w:rPr>
          <w:bCs/>
          <w:color w:val="002060"/>
          <w:sz w:val="16"/>
          <w:szCs w:val="16"/>
        </w:rPr>
        <w:t>июля 1914 капитан 2 р. Б. П. Дудоров просил МГШ без промедления купить у ПРТВ и РБВЗ все гидроаэропланы — как готовые, так и те, что могли быть собраны за короткий срок. В таких обстоятельствах С. С. Щетинин отдал распоряжение о выпуске четырех летающих лодок, тогда как подписание официального контракта на их производство состоя</w:t>
      </w:r>
      <w:r w:rsidRPr="00DE096C">
        <w:rPr>
          <w:bCs/>
          <w:color w:val="002060"/>
          <w:sz w:val="16"/>
          <w:szCs w:val="16"/>
        </w:rPr>
        <w:softHyphen/>
        <w:t>лось 29 июля (по другим данным, даже 29 июня). Программа постройки машин, называемых каждая «летающей лодкой № 2», а затем аппаратом «Морской-2» (иначе М-2), определялась следующим распи</w:t>
      </w:r>
      <w:r w:rsidRPr="00DE096C">
        <w:rPr>
          <w:bCs/>
          <w:color w:val="002060"/>
          <w:sz w:val="16"/>
          <w:szCs w:val="16"/>
        </w:rPr>
        <w:softHyphen/>
        <w:t>санием: завершение первого самолета к 7, второго — к 12, третьего — к 17 и четвертого — к 23 августа 1914г. Стоимость гидроплана составляла 8 тыс. рублей, а 4 мотора «Гном» мощностью от 80 до 100 л. с. ожидали теперь от Морского ведомства. В ходе сдаточных испытаний аппаратам предстояло покорять высоту 500м за 12 (при 100-сильном двигателе) или 15 минут (при 80-сильном), неся при этом полезную нагрузку в 75 кг — не считая веса экипажа и запасов бензина и масла, достаточных для 3-часового вылета (2807).</w:t>
      </w:r>
    </w:p>
    <w:p w14:paraId="76F890CF" w14:textId="77777777" w:rsidR="00B67D7C" w:rsidRPr="00DE096C" w:rsidRDefault="00B67D7C" w:rsidP="00D45A46">
      <w:pPr>
        <w:shd w:val="clear" w:color="auto" w:fill="FFFFFF"/>
        <w:jc w:val="both"/>
        <w:rPr>
          <w:bCs/>
          <w:color w:val="002060"/>
          <w:sz w:val="16"/>
          <w:szCs w:val="16"/>
        </w:rPr>
      </w:pPr>
    </w:p>
    <w:p w14:paraId="53FE6562" w14:textId="3145C1DA" w:rsidR="00B67D7C" w:rsidRPr="00DE096C" w:rsidRDefault="00A719EB"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ночь на 18 </w:t>
      </w:r>
      <w:r w:rsidRPr="00DE096C">
        <w:rPr>
          <w:bCs/>
          <w:color w:val="002060"/>
          <w:sz w:val="16"/>
          <w:szCs w:val="16"/>
        </w:rPr>
        <w:t xml:space="preserve">(31) </w:t>
      </w:r>
      <w:r w:rsidR="00B67D7C" w:rsidRPr="00DE096C">
        <w:rPr>
          <w:bCs/>
          <w:color w:val="002060"/>
          <w:sz w:val="16"/>
          <w:szCs w:val="16"/>
        </w:rPr>
        <w:t>июля</w:t>
      </w:r>
      <w:r w:rsidRPr="00DE096C">
        <w:rPr>
          <w:bCs/>
          <w:color w:val="002060"/>
          <w:sz w:val="16"/>
          <w:szCs w:val="16"/>
        </w:rPr>
        <w:t xml:space="preserve"> 1914 г. начались полеты на воздушную разведку</w:t>
      </w:r>
      <w:r w:rsidR="00B67D7C" w:rsidRPr="00DE096C">
        <w:rPr>
          <w:bCs/>
          <w:color w:val="002060"/>
          <w:sz w:val="16"/>
          <w:szCs w:val="16"/>
        </w:rPr>
        <w:t>. Они ограничивалась обследованием береговой черты и прилегающей полосы моря. Из донесения начальника службы связи Балтийского моря контр-адмирало Непенина командующему флотом от 19 июля 1914 г.: "...открыла действии 2-я авиационная станция в селении Кильконд (полуостров Папенгольм на о. Эзель) на коковую перешёл полностью состав 1-й авиационной станции, находившейся в порту имени Александра III. После мобилизационного периода эта 1-я авиационная станция была развёрнута с ответственным дополнением прибывших по мобилизации чинов во 2-ю и 3-ю авиационные станции..."</w:t>
      </w:r>
    </w:p>
    <w:p w14:paraId="61844D78" w14:textId="77777777" w:rsidR="00B67D7C" w:rsidRPr="00DE096C" w:rsidRDefault="00B67D7C" w:rsidP="00D45A46">
      <w:pPr>
        <w:jc w:val="both"/>
        <w:rPr>
          <w:bCs/>
          <w:color w:val="002060"/>
          <w:sz w:val="16"/>
          <w:szCs w:val="16"/>
        </w:rPr>
      </w:pPr>
      <w:r w:rsidRPr="00DE096C">
        <w:rPr>
          <w:bCs/>
          <w:color w:val="002060"/>
          <w:sz w:val="16"/>
          <w:szCs w:val="16"/>
        </w:rPr>
        <w:t>Впоследствии, 2-ю авиационную станцию со всем имуществом перевели в Ревель (Таллинн) где она и находилась в готовности к развёртыванию.</w:t>
      </w:r>
    </w:p>
    <w:p w14:paraId="2B9CF1E0" w14:textId="77777777" w:rsidR="00B67D7C" w:rsidRPr="00DE096C" w:rsidRDefault="00B67D7C" w:rsidP="00D45A46">
      <w:pPr>
        <w:jc w:val="both"/>
        <w:rPr>
          <w:bCs/>
          <w:color w:val="002060"/>
          <w:sz w:val="16"/>
          <w:szCs w:val="16"/>
        </w:rPr>
      </w:pPr>
      <w:r w:rsidRPr="00DE096C">
        <w:rPr>
          <w:bCs/>
          <w:color w:val="002060"/>
          <w:sz w:val="16"/>
          <w:szCs w:val="16"/>
        </w:rPr>
        <w:t>Ввиду отсутствия радиостанций на самолётах, даже те скудные данные, которые удавалось получить экипажам, сообщались после посадки по телеграфу. От устаревшей информации польза была небольшой, что не могло не раздражать флотское командование. В условиях неблагоприятной погоды удалось организовать наблюдение до о. Готланд и за три четверти суток произвести восемь самолёто-вылетов (11927).</w:t>
      </w:r>
    </w:p>
    <w:p w14:paraId="3EF7ECD3" w14:textId="77777777" w:rsidR="00B67D7C" w:rsidRPr="00DE096C" w:rsidRDefault="00B67D7C" w:rsidP="00D45A46">
      <w:pPr>
        <w:jc w:val="both"/>
        <w:rPr>
          <w:bCs/>
          <w:color w:val="002060"/>
          <w:sz w:val="16"/>
          <w:szCs w:val="16"/>
        </w:rPr>
      </w:pPr>
    </w:p>
    <w:p w14:paraId="560FB90B" w14:textId="078631E6" w:rsidR="00883E05" w:rsidRPr="00DE096C" w:rsidRDefault="00883E05" w:rsidP="00D45A46">
      <w:pPr>
        <w:jc w:val="both"/>
        <w:rPr>
          <w:bCs/>
          <w:color w:val="002060"/>
          <w:sz w:val="16"/>
          <w:szCs w:val="16"/>
        </w:rPr>
      </w:pPr>
      <w:r w:rsidRPr="00DE096C">
        <w:rPr>
          <w:bCs/>
          <w:color w:val="002060"/>
          <w:sz w:val="16"/>
          <w:szCs w:val="16"/>
        </w:rPr>
        <w:t>18 (31) июля 1914 г. объявлена всеобщая мобилизация русской армии и императорского флота</w:t>
      </w:r>
      <w:r w:rsidR="00A719EB" w:rsidRPr="00DE096C">
        <w:rPr>
          <w:bCs/>
          <w:color w:val="002060"/>
          <w:sz w:val="16"/>
          <w:szCs w:val="16"/>
        </w:rPr>
        <w:t>.</w:t>
      </w:r>
      <w:r w:rsidRPr="00DE096C">
        <w:rPr>
          <w:bCs/>
          <w:color w:val="002060"/>
          <w:sz w:val="16"/>
          <w:szCs w:val="16"/>
        </w:rPr>
        <w:t xml:space="preserve"> Вмест</w:t>
      </w:r>
      <w:r w:rsidR="00A719EB" w:rsidRPr="00DE096C">
        <w:rPr>
          <w:bCs/>
          <w:color w:val="002060"/>
          <w:sz w:val="16"/>
          <w:szCs w:val="16"/>
        </w:rPr>
        <w:t>е</w:t>
      </w:r>
      <w:r w:rsidRPr="00DE096C">
        <w:rPr>
          <w:bCs/>
          <w:color w:val="002060"/>
          <w:sz w:val="16"/>
          <w:szCs w:val="16"/>
        </w:rPr>
        <w:t xml:space="preserve"> а сухопутными и морскими силами России был мобилизован и воздушиый флот. К началу мобилизации воздушный флот Россия состоял из 39 авиаотрядов, 6 авиационных и 12 воздухоплавательных рот, Авиаотряды: 25 корпусных, 8 крепостных /Брест-Литовский, Ковенский, Гродненский, Севастопольский, Осовецкий, Ново-георгиевский, Владивостокский, Карский, 9 сибирских /1, 4 и 6-й/, 1 полевой /3-й/, 11 Гренадерский и 1 гвардейский, В семидневный срок отряды были приведены в боевую готовность и отправлены на фронт</w:t>
      </w:r>
      <w:r w:rsidR="0006581C">
        <w:rPr>
          <w:bCs/>
          <w:color w:val="002060"/>
          <w:sz w:val="16"/>
          <w:szCs w:val="16"/>
        </w:rPr>
        <w:t xml:space="preserve"> </w:t>
      </w:r>
      <w:r w:rsidRPr="00DE096C">
        <w:rPr>
          <w:bCs/>
          <w:color w:val="002060"/>
          <w:sz w:val="16"/>
          <w:szCs w:val="16"/>
        </w:rPr>
        <w:t>По завершению мо</w:t>
      </w:r>
      <w:r w:rsidRPr="00DE096C">
        <w:rPr>
          <w:bCs/>
          <w:color w:val="002060"/>
          <w:sz w:val="16"/>
          <w:szCs w:val="16"/>
        </w:rPr>
        <w:softHyphen/>
        <w:t>билизации во всех авиационных ротах и отрядах оказалось 221 летчик /170 офицеров, 35 солдат и 16 добровольцев/ и около 100 наблюдателей.</w:t>
      </w:r>
    </w:p>
    <w:p w14:paraId="343AB9A2" w14:textId="77777777" w:rsidR="00883E05" w:rsidRPr="00DE096C" w:rsidRDefault="00883E05" w:rsidP="00D45A46">
      <w:pPr>
        <w:jc w:val="both"/>
        <w:rPr>
          <w:bCs/>
          <w:color w:val="002060"/>
          <w:sz w:val="16"/>
          <w:szCs w:val="16"/>
        </w:rPr>
      </w:pPr>
      <w:r w:rsidRPr="00DE096C">
        <w:rPr>
          <w:bCs/>
          <w:color w:val="002060"/>
          <w:sz w:val="16"/>
          <w:szCs w:val="16"/>
        </w:rPr>
        <w:t>Материальная часть состояла из 263 самолетов и 289 моторов. Это были в основном французские конструкции: монопланы Ньюпор-4 и Моран-Ж, бипланя Фарман типов ХУ, ХУ1, XX, XXII. На всех самолетах стояли иностранные моторы мощностью 70-100 л.с. Вооружения на самолетах не было. Скорость самих быстроходных самолетов не превышала 115 км/ч. Материальная часть была сильно изношена, никаких резервов не было.</w:t>
      </w:r>
    </w:p>
    <w:p w14:paraId="4BF03F23" w14:textId="77777777" w:rsidR="00883E05" w:rsidRPr="00DE096C" w:rsidRDefault="00883E05" w:rsidP="00D45A46">
      <w:pPr>
        <w:jc w:val="both"/>
        <w:rPr>
          <w:bCs/>
          <w:color w:val="002060"/>
          <w:sz w:val="16"/>
          <w:szCs w:val="16"/>
        </w:rPr>
      </w:pPr>
      <w:r w:rsidRPr="00DE096C">
        <w:rPr>
          <w:bCs/>
          <w:color w:val="002060"/>
          <w:sz w:val="16"/>
          <w:szCs w:val="16"/>
        </w:rPr>
        <w:t>Пл количеству самолетов Россия была на первом месте, но качество было ниже самолетов противника. Воздухоплавание состояло из трех управляемых аэростатов, семи крепостных, Кавказской и Сибирской воздухоплавательных рот.</w:t>
      </w:r>
    </w:p>
    <w:p w14:paraId="5AB2FFE6" w14:textId="77777777" w:rsidR="00883E05" w:rsidRPr="00DE096C" w:rsidRDefault="00883E05" w:rsidP="00D45A46">
      <w:pPr>
        <w:jc w:val="both"/>
        <w:rPr>
          <w:bCs/>
          <w:color w:val="002060"/>
          <w:sz w:val="16"/>
          <w:szCs w:val="16"/>
        </w:rPr>
      </w:pPr>
      <w:r w:rsidRPr="00DE096C">
        <w:rPr>
          <w:bCs/>
          <w:color w:val="002060"/>
          <w:sz w:val="16"/>
          <w:szCs w:val="16"/>
        </w:rPr>
        <w:t>/ЦГВИА, ф. 493, оп. 3, д. 102, сведения об авиачастях в Действ. армии/ (23320).</w:t>
      </w:r>
    </w:p>
    <w:p w14:paraId="201000C2" w14:textId="77777777" w:rsidR="00883E05" w:rsidRPr="00DE096C" w:rsidRDefault="00883E05" w:rsidP="00D45A46">
      <w:pPr>
        <w:jc w:val="both"/>
        <w:rPr>
          <w:bCs/>
          <w:color w:val="002060"/>
          <w:sz w:val="16"/>
          <w:szCs w:val="16"/>
        </w:rPr>
      </w:pPr>
    </w:p>
    <w:p w14:paraId="2E82DC9D" w14:textId="7E525EE1" w:rsidR="00CC2D6D" w:rsidRPr="00DE096C" w:rsidRDefault="00CC2D6D" w:rsidP="00D45A46">
      <w:pPr>
        <w:jc w:val="both"/>
        <w:rPr>
          <w:bCs/>
          <w:color w:val="002060"/>
          <w:sz w:val="16"/>
          <w:szCs w:val="16"/>
        </w:rPr>
      </w:pPr>
      <w:r w:rsidRPr="00DE096C">
        <w:rPr>
          <w:bCs/>
          <w:color w:val="002060"/>
          <w:sz w:val="16"/>
          <w:szCs w:val="16"/>
          <w:lang w:bidi="en-US"/>
        </w:rPr>
        <w:t xml:space="preserve">18 (31) июля 1914 г. вышло Положение о морской авиации Служб связи и связи Балтийского и Черноморского флотов. Черноморская авиация связи и связи приступила к формированию частей Бл и Б.2 (оба боевые) и Р (резервные). В августе-октябре были сформированы две временные части, которым было приказано провести воздушную разведку в Батуме и у устья реки Дунай на румынском побережье. С 1915 г. боевая часть Бл (1-я корабельная часть) действовала с гидросамолетов авианосец «Император Александр </w:t>
      </w:r>
      <w:r w:rsidRPr="00DE096C">
        <w:rPr>
          <w:bCs/>
          <w:color w:val="002060"/>
          <w:sz w:val="16"/>
          <w:szCs w:val="16"/>
          <w:lang w:val="en-US" w:bidi="en-US"/>
        </w:rPr>
        <w:t>I</w:t>
      </w:r>
      <w:r w:rsidRPr="00DE096C">
        <w:rPr>
          <w:bCs/>
          <w:color w:val="002060"/>
          <w:sz w:val="16"/>
          <w:szCs w:val="16"/>
          <w:lang w:bidi="en-US"/>
        </w:rPr>
        <w:t xml:space="preserve">», а боевая часть Б.2 (2-я корабельная часть) действовала с авианосца «Император Николай </w:t>
      </w:r>
      <w:r w:rsidRPr="00DE096C">
        <w:rPr>
          <w:bCs/>
          <w:color w:val="002060"/>
          <w:sz w:val="16"/>
          <w:szCs w:val="16"/>
          <w:lang w:val="en-US" w:bidi="en-US"/>
        </w:rPr>
        <w:t>I</w:t>
      </w:r>
      <w:r w:rsidRPr="00DE096C">
        <w:rPr>
          <w:bCs/>
          <w:color w:val="002060"/>
          <w:sz w:val="16"/>
          <w:szCs w:val="16"/>
          <w:lang w:bidi="en-US"/>
        </w:rPr>
        <w:t>».</w:t>
      </w:r>
    </w:p>
    <w:p w14:paraId="6D56477A" w14:textId="77777777" w:rsidR="00CC2D6D" w:rsidRPr="00DE096C" w:rsidRDefault="00CC2D6D" w:rsidP="00D45A46">
      <w:pPr>
        <w:jc w:val="both"/>
        <w:rPr>
          <w:bCs/>
          <w:color w:val="002060"/>
          <w:sz w:val="16"/>
          <w:szCs w:val="16"/>
          <w:lang w:bidi="en-US"/>
        </w:rPr>
      </w:pPr>
      <w:r w:rsidRPr="00DE096C">
        <w:rPr>
          <w:bCs/>
          <w:color w:val="002060"/>
          <w:sz w:val="16"/>
          <w:szCs w:val="16"/>
          <w:lang w:bidi="en-US"/>
        </w:rPr>
        <w:lastRenderedPageBreak/>
        <w:t>К этому времени русские авиационные заводы могли выпускать только 30-40 машин ежемесячно. Такое медленное производство быстро перестало бы удовлетворять растущие потребности частей фронтовой авиации. Потери за первый месяц войны были таковы, что на 1 сентября в строю оставалось всего 145 самолетов (23525).</w:t>
      </w:r>
    </w:p>
    <w:p w14:paraId="2201085C" w14:textId="77777777" w:rsidR="00CC2D6D" w:rsidRPr="00DE096C" w:rsidRDefault="00CC2D6D" w:rsidP="00D45A46">
      <w:pPr>
        <w:jc w:val="both"/>
        <w:rPr>
          <w:bCs/>
          <w:color w:val="002060"/>
          <w:sz w:val="16"/>
          <w:szCs w:val="16"/>
        </w:rPr>
      </w:pPr>
    </w:p>
    <w:p w14:paraId="48453B4F" w14:textId="77777777" w:rsidR="00344C8D" w:rsidRPr="00DE096C" w:rsidRDefault="00344C8D" w:rsidP="00D45A46">
      <w:pPr>
        <w:jc w:val="both"/>
        <w:rPr>
          <w:bCs/>
          <w:i/>
          <w:color w:val="002060"/>
          <w:sz w:val="16"/>
          <w:szCs w:val="16"/>
        </w:rPr>
      </w:pPr>
      <w:r w:rsidRPr="00DE096C">
        <w:rPr>
          <w:bCs/>
          <w:i/>
          <w:color w:val="002060"/>
          <w:sz w:val="16"/>
          <w:szCs w:val="16"/>
        </w:rPr>
        <w:t>Жизнь и внутренняя политика:</w:t>
      </w:r>
    </w:p>
    <w:p w14:paraId="23012BAE" w14:textId="77777777" w:rsidR="00344C8D" w:rsidRPr="00DE096C" w:rsidRDefault="00344C8D" w:rsidP="00D45A46">
      <w:pPr>
        <w:jc w:val="both"/>
        <w:rPr>
          <w:bCs/>
          <w:i/>
          <w:color w:val="002060"/>
          <w:sz w:val="16"/>
          <w:szCs w:val="16"/>
        </w:rPr>
      </w:pPr>
    </w:p>
    <w:p w14:paraId="7EF56DDA" w14:textId="77777777" w:rsidR="00344C8D" w:rsidRPr="00DE096C" w:rsidRDefault="00344C8D" w:rsidP="00D45A46">
      <w:pPr>
        <w:jc w:val="both"/>
        <w:rPr>
          <w:bCs/>
          <w:color w:val="002060"/>
          <w:sz w:val="16"/>
          <w:szCs w:val="16"/>
        </w:rPr>
      </w:pPr>
      <w:r w:rsidRPr="00DE096C">
        <w:rPr>
          <w:bCs/>
          <w:color w:val="002060"/>
          <w:sz w:val="16"/>
          <w:szCs w:val="16"/>
        </w:rPr>
        <w:t>18 (31) июля в 1914 году в России начата всеобщая мобилизация в связи с нападением Австро-Венгрии на Сербию (14969).</w:t>
      </w:r>
    </w:p>
    <w:p w14:paraId="28843484" w14:textId="77777777" w:rsidR="00344C8D" w:rsidRPr="00DE096C" w:rsidRDefault="00344C8D" w:rsidP="00D45A46">
      <w:pPr>
        <w:jc w:val="both"/>
        <w:rPr>
          <w:bCs/>
          <w:color w:val="002060"/>
          <w:sz w:val="16"/>
          <w:szCs w:val="16"/>
        </w:rPr>
      </w:pPr>
    </w:p>
    <w:p w14:paraId="193C9EC4" w14:textId="77777777" w:rsidR="00847427" w:rsidRPr="00DE096C" w:rsidRDefault="00847427" w:rsidP="00D45A46">
      <w:pPr>
        <w:jc w:val="both"/>
        <w:rPr>
          <w:bCs/>
          <w:i/>
          <w:color w:val="002060"/>
          <w:sz w:val="16"/>
          <w:szCs w:val="16"/>
        </w:rPr>
      </w:pPr>
      <w:r w:rsidRPr="00DE096C">
        <w:rPr>
          <w:bCs/>
          <w:i/>
          <w:color w:val="002060"/>
          <w:sz w:val="16"/>
          <w:szCs w:val="16"/>
        </w:rPr>
        <w:t>Внешняя политика:</w:t>
      </w:r>
    </w:p>
    <w:p w14:paraId="45A39048" w14:textId="77777777" w:rsidR="00847427" w:rsidRPr="00DE096C" w:rsidRDefault="00847427" w:rsidP="00D45A46">
      <w:pPr>
        <w:jc w:val="both"/>
        <w:rPr>
          <w:bCs/>
          <w:i/>
          <w:color w:val="002060"/>
          <w:sz w:val="16"/>
          <w:szCs w:val="16"/>
        </w:rPr>
      </w:pPr>
    </w:p>
    <w:p w14:paraId="2EE2F426" w14:textId="77777777" w:rsidR="00847427" w:rsidRPr="00DE096C" w:rsidRDefault="00847427" w:rsidP="00D45A46">
      <w:pPr>
        <w:jc w:val="both"/>
        <w:rPr>
          <w:bCs/>
          <w:color w:val="002060"/>
          <w:sz w:val="16"/>
          <w:szCs w:val="16"/>
        </w:rPr>
      </w:pPr>
      <w:r w:rsidRPr="00DE096C">
        <w:rPr>
          <w:bCs/>
          <w:color w:val="002060"/>
          <w:sz w:val="16"/>
          <w:szCs w:val="16"/>
        </w:rPr>
        <w:t>18 (31) июля в 1914 году Германия требует от России прекратить призыв в армию. Франция, Австро-Венгрия и Германия проводят мобилизацию. Великобритания требует от Германии соблюдать нейтралитет Бельгии (14969).</w:t>
      </w:r>
    </w:p>
    <w:p w14:paraId="53BD0F0D" w14:textId="77777777" w:rsidR="00847427" w:rsidRPr="00DE096C" w:rsidRDefault="00847427" w:rsidP="00D45A46">
      <w:pPr>
        <w:jc w:val="both"/>
        <w:rPr>
          <w:bCs/>
          <w:color w:val="002060"/>
          <w:sz w:val="16"/>
          <w:szCs w:val="16"/>
        </w:rPr>
      </w:pPr>
    </w:p>
    <w:p w14:paraId="16F736DF" w14:textId="4E24E539" w:rsidR="00847427" w:rsidRPr="00DE096C" w:rsidRDefault="00847427" w:rsidP="00D45A46">
      <w:pPr>
        <w:jc w:val="both"/>
        <w:rPr>
          <w:bCs/>
          <w:color w:val="002060"/>
          <w:sz w:val="16"/>
          <w:szCs w:val="16"/>
        </w:rPr>
      </w:pPr>
      <w:r w:rsidRPr="00DE096C">
        <w:rPr>
          <w:bCs/>
          <w:color w:val="002060"/>
          <w:sz w:val="16"/>
          <w:szCs w:val="16"/>
        </w:rPr>
        <w:t xml:space="preserve">18 </w:t>
      </w:r>
      <w:r w:rsidR="00A719EB" w:rsidRPr="00DE096C">
        <w:rPr>
          <w:bCs/>
          <w:color w:val="002060"/>
          <w:sz w:val="16"/>
          <w:szCs w:val="16"/>
        </w:rPr>
        <w:t xml:space="preserve">(31) </w:t>
      </w:r>
      <w:r w:rsidRPr="00DE096C">
        <w:rPr>
          <w:bCs/>
          <w:color w:val="002060"/>
          <w:sz w:val="16"/>
          <w:szCs w:val="16"/>
        </w:rPr>
        <w:t>июля в 1914 году посол Германии в России граф Фридрих Пурталес (1853–1928), посетив министра иностранных дел Сергея Дмитриевича Сазонова (1860–1927), потребовал ответ на ультиматум, выдвинутый ранее и требовавший отмену всеобщей мобилизации в России, объявленной Николаем II. Получив отказ, посол вручил Сазонуву ноту с объявлением войны. Начало Первой мировой войны. В этот день опубликован манифест Николая II об объявлении войны Германии. Война началась между 8 государствами Европы и со временем охватила 38 государств (на стороне Антанты воевало 34). Формальным поводом к войне послужило убийство наследника австро-венгерского престола эрцгерцога Франца-Фердинанда в городе Сараево (Босния). Война длилась 51 месяц и 2 недели. Численность действовавших в ней армий коалиций — около 37 млн. человек (январь 1917 г.). Протяженность фронтов достигла 2,5–4 тысяч км, людские потери сторон составили 9,5 млн. убитыми и 20 млн. ранеными (14970).</w:t>
      </w:r>
    </w:p>
    <w:p w14:paraId="2500D7FD" w14:textId="77777777" w:rsidR="00847427" w:rsidRPr="00DE096C" w:rsidRDefault="00847427" w:rsidP="00D45A46">
      <w:pPr>
        <w:jc w:val="both"/>
        <w:rPr>
          <w:bCs/>
          <w:color w:val="002060"/>
          <w:sz w:val="16"/>
          <w:szCs w:val="16"/>
        </w:rPr>
      </w:pPr>
    </w:p>
    <w:p w14:paraId="72DF6A37" w14:textId="77777777" w:rsidR="00B67D7C" w:rsidRPr="00DE096C" w:rsidRDefault="00B67D7C" w:rsidP="00D45A46">
      <w:pPr>
        <w:jc w:val="both"/>
        <w:rPr>
          <w:bCs/>
          <w:i/>
          <w:color w:val="002060"/>
          <w:sz w:val="16"/>
          <w:szCs w:val="16"/>
        </w:rPr>
      </w:pPr>
      <w:r w:rsidRPr="00DE096C">
        <w:rPr>
          <w:bCs/>
          <w:i/>
          <w:color w:val="002060"/>
          <w:sz w:val="16"/>
          <w:szCs w:val="16"/>
        </w:rPr>
        <w:t>Авиация и воздухоплавание Германии:</w:t>
      </w:r>
    </w:p>
    <w:p w14:paraId="7FFABE02" w14:textId="77777777" w:rsidR="00B67D7C" w:rsidRPr="00DE096C" w:rsidRDefault="00B67D7C" w:rsidP="00D45A46">
      <w:pPr>
        <w:jc w:val="both"/>
        <w:rPr>
          <w:bCs/>
          <w:i/>
          <w:color w:val="002060"/>
          <w:sz w:val="16"/>
          <w:szCs w:val="16"/>
        </w:rPr>
      </w:pPr>
    </w:p>
    <w:p w14:paraId="53DF524A" w14:textId="77777777" w:rsidR="00B67D7C" w:rsidRPr="00DE096C" w:rsidRDefault="00B67D7C" w:rsidP="00D45A46">
      <w:pPr>
        <w:jc w:val="both"/>
        <w:rPr>
          <w:bCs/>
          <w:color w:val="002060"/>
          <w:sz w:val="16"/>
          <w:szCs w:val="16"/>
        </w:rPr>
      </w:pPr>
      <w:r w:rsidRPr="00DE096C">
        <w:rPr>
          <w:bCs/>
          <w:color w:val="002060"/>
          <w:sz w:val="16"/>
          <w:szCs w:val="16"/>
        </w:rPr>
        <w:t xml:space="preserve">На 18 июля (1 августа) 1914 года Дивизион воздушных кораблей состоял из 273 человек и имел стоянку в Фульсбиттеле, у Гамбурга (1 сдвоенный эллинг длиной 160 м, сгоревший 16 сентября 1916 года). Морское воздухоплавание в начале войны не проявляло особой активности. Дивизион воздушных кораблей в этот момент завершал освоение цеппелина L-3, вскоре начавшего патрулирование Северного моря с базы в Фульсбиттеле. Он усердно старался летать в любую погоду и настойчиво стремился охватить зону патрулирования до норвежских берегов. На фоне армейских воздухоплавательных частей, которые насчитывали 6 боевых цеппелинов, флот выглядел бледно, однако баланс довольно быстро восстановился после того, как погибли армейские корабли Z-VI, Z-VII и Z-VIII, выполнявшие разведывательные полеты над Бельгией и Францией. В отличие от армейского воздухоплавания, которое было несколько деморализовано первыми тяжелыми потерями, моряки постоянно повышали выучку экипажей и играли ведущую роль в боевом использовании цеппелинов. </w:t>
      </w:r>
    </w:p>
    <w:p w14:paraId="3964C2AA" w14:textId="77777777" w:rsidR="00B67D7C" w:rsidRPr="00DE096C" w:rsidRDefault="00B67D7C" w:rsidP="00D45A46">
      <w:pPr>
        <w:jc w:val="both"/>
        <w:rPr>
          <w:bCs/>
          <w:color w:val="002060"/>
          <w:sz w:val="16"/>
          <w:szCs w:val="16"/>
        </w:rPr>
      </w:pPr>
      <w:r w:rsidRPr="00DE096C">
        <w:rPr>
          <w:bCs/>
          <w:color w:val="002060"/>
          <w:sz w:val="16"/>
          <w:szCs w:val="16"/>
        </w:rPr>
        <w:t xml:space="preserve">«Когда, наконец, армия поймет, что дирижабли не предназначены для ведения разведки и рекогносцировки?» — возмущался Штрассер. Он не стеснялся высказывать свое возмущение и высокому военному начальству, ратовавшему за отказ от использования цеппелинов в военных целях. «Разведка [97] над линией фронта и в тылу — дело самолетов, маленьких, легких, быстроходных. Они мало уязвимы от огня с земли. Стихия дирижаблей — полеты ночью, в плохую погоду и обязательно на большой высоте. Их задача — подкрасться незаметно и обрушить на голову врага груз фугасных и зажигательных бомб». </w:t>
      </w:r>
    </w:p>
    <w:p w14:paraId="698CCF2B" w14:textId="77777777" w:rsidR="00B67D7C" w:rsidRPr="00DE096C" w:rsidRDefault="00B67D7C" w:rsidP="00D45A46">
      <w:pPr>
        <w:jc w:val="both"/>
        <w:rPr>
          <w:bCs/>
          <w:color w:val="002060"/>
          <w:sz w:val="16"/>
          <w:szCs w:val="16"/>
        </w:rPr>
      </w:pPr>
      <w:r w:rsidRPr="00DE096C">
        <w:rPr>
          <w:bCs/>
          <w:color w:val="002060"/>
          <w:sz w:val="16"/>
          <w:szCs w:val="16"/>
        </w:rPr>
        <w:t xml:space="preserve">Главные задачи морских дирижаблей в общем были сходны с задачами дирижаблей сухопутной армии, но естественно, что здесь играли роль еще и большие расстояния. В рамках ведения морской войны, наряду с бомбардировочными налетами, немаловажное значение имела дальняя разведка и воздушная охрана прибрежных районов. Сравнивая работу самолетов и дирижаблей за время войны, адмирал Шеер писал: «Для большего радиуса разведки они (дирижабли) сохранили свое значение и преимущество перед самолетами, потому что они могут гораздо дольше держаться в воздухе и не зависят от вспомогательных судов». </w:t>
      </w:r>
    </w:p>
    <w:p w14:paraId="59F49589" w14:textId="77777777" w:rsidR="00B67D7C" w:rsidRPr="00DE096C" w:rsidRDefault="00B67D7C" w:rsidP="00D45A46">
      <w:pPr>
        <w:jc w:val="both"/>
        <w:rPr>
          <w:bCs/>
          <w:color w:val="002060"/>
          <w:sz w:val="16"/>
          <w:szCs w:val="16"/>
        </w:rPr>
      </w:pPr>
      <w:r w:rsidRPr="00DE096C">
        <w:rPr>
          <w:bCs/>
          <w:color w:val="002060"/>
          <w:sz w:val="16"/>
          <w:szCs w:val="16"/>
        </w:rPr>
        <w:t xml:space="preserve">Уместно привести и менее одобрительный по этому поводу отзыв адмирала фон Тирпица. В его воспоминаниях имеется такое место: «Я, как морской офицер, который знаком с силой и коварством ветра еще по парусному флоту, никогда не ожидал очень многого от дирижаблей, и война доказала, что я был прав». Однако тот же Тирпиц говорил и совсем другое: «Я лично убежден в том, что аэропланы необыкновенно пригодны для морской боевой службы, но цеппелины превосходят их в этом случае». </w:t>
      </w:r>
    </w:p>
    <w:p w14:paraId="17199EB6" w14:textId="77777777" w:rsidR="00B67D7C" w:rsidRPr="00DE096C" w:rsidRDefault="00B67D7C" w:rsidP="00D45A46">
      <w:pPr>
        <w:jc w:val="both"/>
        <w:rPr>
          <w:bCs/>
          <w:color w:val="002060"/>
          <w:sz w:val="16"/>
          <w:szCs w:val="16"/>
        </w:rPr>
      </w:pPr>
      <w:r w:rsidRPr="00DE096C">
        <w:rPr>
          <w:bCs/>
          <w:color w:val="002060"/>
          <w:sz w:val="16"/>
          <w:szCs w:val="16"/>
        </w:rPr>
        <w:t xml:space="preserve">«Даже в самые тяжелые для Дивизиона воздушных кораблей дни, его командир ни на секунду не терял веру в большое военное будущее дирижаблей, — вспоминал фон Буттлар. — В начале войны Штрассер постоянно был занят тем, что пытался доказать эту аксиому флотскому начальству». </w:t>
      </w:r>
    </w:p>
    <w:p w14:paraId="4CEA5BD9" w14:textId="77777777" w:rsidR="00B67D7C" w:rsidRPr="00DE096C" w:rsidRDefault="00B67D7C" w:rsidP="00D45A46">
      <w:pPr>
        <w:jc w:val="both"/>
        <w:rPr>
          <w:bCs/>
          <w:color w:val="002060"/>
          <w:sz w:val="16"/>
          <w:szCs w:val="16"/>
        </w:rPr>
      </w:pPr>
      <w:r w:rsidRPr="00DE096C">
        <w:rPr>
          <w:bCs/>
          <w:color w:val="002060"/>
          <w:sz w:val="16"/>
          <w:szCs w:val="16"/>
        </w:rPr>
        <w:t xml:space="preserve">А вот что писал по этому поводу еще один офицер дивизиона Ганс фон Шиллер: «Его тактика была проста. Сначала Штрассер брал начальство в осаду своими бесконечными рапортами, предложениями, запросами, иногда не совсем реальными. Затем, когда оборона противника начинала давать слабину, он вводил в действие «главный калибр» — кого-нибудь из виднейших авторитетов воздухоплавания, включая Хуго Эккнера и самого графа Цеппелина. И в конце концов добивался своего». </w:t>
      </w:r>
    </w:p>
    <w:p w14:paraId="55D2625B" w14:textId="77777777" w:rsidR="00B67D7C" w:rsidRPr="00DE096C" w:rsidRDefault="00B67D7C" w:rsidP="00D45A46">
      <w:pPr>
        <w:jc w:val="both"/>
        <w:rPr>
          <w:bCs/>
          <w:color w:val="002060"/>
          <w:sz w:val="16"/>
          <w:szCs w:val="16"/>
        </w:rPr>
      </w:pPr>
      <w:r w:rsidRPr="00DE096C">
        <w:rPr>
          <w:bCs/>
          <w:color w:val="002060"/>
          <w:sz w:val="16"/>
          <w:szCs w:val="16"/>
        </w:rPr>
        <w:t xml:space="preserve">Удивительной чертой Петера Штрассера было полное отсутствие чувства страха пред начальством. Иногда казалось, что собственная карьера его нисколько не волнует. В то время как все военное руководство Германии во главе с кайзером ополчилось против дирижаблей, лейтенант Штрассер позволял себе спорить с адмиралами, отстаивая необходимость постройки сети воздухоплавательных баз на побережье Северного моря, в непосредственной близости от берегов Великобритании. И, самое удивительное, добился своего — уже до конца 1914 года дирижабли флота могли базироваться в Тондерне, Седдене и Нордхольце. Причем для крупнейшей базы дивизиона в Нордхольце Штрассер лично спроектировал громадный [98] эллинг, в котором могли поместиться сразу 4 цеппелина. Ко всему прочему, это чудо техники поворачивалось вокруг своей оси, что позволяло осуществлять вывод дирижаблей прямо против ветра. </w:t>
      </w:r>
    </w:p>
    <w:p w14:paraId="031424B0" w14:textId="77777777" w:rsidR="00B67D7C" w:rsidRPr="00DE096C" w:rsidRDefault="00B67D7C" w:rsidP="00D45A46">
      <w:pPr>
        <w:jc w:val="both"/>
        <w:rPr>
          <w:bCs/>
          <w:color w:val="002060"/>
          <w:sz w:val="16"/>
          <w:szCs w:val="16"/>
        </w:rPr>
      </w:pPr>
      <w:r w:rsidRPr="00DE096C">
        <w:rPr>
          <w:bCs/>
          <w:color w:val="002060"/>
          <w:sz w:val="16"/>
          <w:szCs w:val="16"/>
        </w:rPr>
        <w:t xml:space="preserve">Об эллингах необходимо сказать особо. В опубликованных архивах германского морского штаба за 1914-1918 годы имеется очень интересная информация о том, что во время одного из сражений понадобилось в срочном порядке провести дирижаблями L-11 и L-17, базирующимися в Нордхольце, разведку тылов противника. Эту задачу они не выполнили. В документах лаконично было сказано, что наземная команда не смогла вывести цеппелины из эллинга по причине сильного бокового ветра. Возникшую проблему удалось разрешить только с помощью L-21 и L-23, которые содержались в эллинге, способном разворачиваться в нужную сторону по ветру и тем самым сводить к минимуму вредные воздействия воздушных завихрений. </w:t>
      </w:r>
    </w:p>
    <w:p w14:paraId="36D02F6E" w14:textId="77777777" w:rsidR="00B67D7C" w:rsidRPr="00DE096C" w:rsidRDefault="00B67D7C" w:rsidP="00D45A46">
      <w:pPr>
        <w:jc w:val="both"/>
        <w:rPr>
          <w:bCs/>
          <w:color w:val="002060"/>
          <w:sz w:val="16"/>
          <w:szCs w:val="16"/>
        </w:rPr>
      </w:pPr>
      <w:r w:rsidRPr="00DE096C">
        <w:rPr>
          <w:bCs/>
          <w:color w:val="002060"/>
          <w:sz w:val="16"/>
          <w:szCs w:val="16"/>
        </w:rPr>
        <w:t xml:space="preserve">Над вопросами аэродинамики эллингов стали задумываться еще до войны, но до конца решить эту задачу из-за ее сложности для техники тех лет так и не смогли. Самым ответственным моментом при парковке дирижабля в эллинг является подход аппарата к его воротам. Здесь завихрения воздушных потоков наиболее сильны и очень опасны для гигантских воздушных кораблей. Когда нос дирижабля вошел в ворота, эта опасность устраняется, но не для всех эллингов. Так эллинг Лейкхерста, вмещавший 2 дирижабля, создавал вредные завихрения и после ввода носовой части корабля в ворота. Гигантские размеры строения и особенно его высота образовывали ниспадающий поток воздуха, который давил на дирижабль, пытаясь прижать его к земле. Эти завихрения при открытых воротах преследовали дирижабль и внутри эллинга. Несмотря на широкие ворота, ввести и вывести воздушный корабль из неподвижного эллинга Лейкхерста при перпендикулярных воздушных потоках всегда представляло проблему. </w:t>
      </w:r>
    </w:p>
    <w:p w14:paraId="6BB87157" w14:textId="77777777" w:rsidR="00B67D7C" w:rsidRPr="00DE096C" w:rsidRDefault="00B67D7C" w:rsidP="00D45A46">
      <w:pPr>
        <w:jc w:val="both"/>
        <w:rPr>
          <w:bCs/>
          <w:color w:val="002060"/>
          <w:sz w:val="16"/>
          <w:szCs w:val="16"/>
        </w:rPr>
      </w:pPr>
      <w:r w:rsidRPr="00DE096C">
        <w:rPr>
          <w:bCs/>
          <w:color w:val="002060"/>
          <w:sz w:val="16"/>
          <w:szCs w:val="16"/>
        </w:rPr>
        <w:t xml:space="preserve">Остроту ситуации удалось ослабить, когда были созданы причальные мачты, которые резко упростили маневры при швартовке воздушного корабля и стали единственно приемлемым и дешевым средством временного хранения дирижаблей на промежуточных стоянках. К причальным мачтам предъявлялись определенные требования: высота ее должна была составлять 60-90 м для того, чтобы устранить возможность столкновения дирижабля с землей; следовало обеспечить полную свободу в горизонтальном перемещении (принцип флюгера), чтобы ликвидировать последствия боковых ударов ветра; мачта должна была быть достаточно жесткой, чтобы не допустить резонансных явлений. </w:t>
      </w:r>
    </w:p>
    <w:p w14:paraId="1DE11A68" w14:textId="77777777" w:rsidR="00B67D7C" w:rsidRPr="00DE096C" w:rsidRDefault="00B67D7C" w:rsidP="00D45A46">
      <w:pPr>
        <w:jc w:val="both"/>
        <w:rPr>
          <w:bCs/>
          <w:color w:val="002060"/>
          <w:sz w:val="16"/>
          <w:szCs w:val="16"/>
        </w:rPr>
      </w:pPr>
      <w:r w:rsidRPr="00DE096C">
        <w:rPr>
          <w:bCs/>
          <w:color w:val="002060"/>
          <w:sz w:val="16"/>
          <w:szCs w:val="16"/>
        </w:rPr>
        <w:t xml:space="preserve">Германия, начиная войну, рассчитывала, что Великобритания останется нейтральной. Когда же та все-таки выступила на стороне Франции, в Германии поднялась волна истерической ненависти к «коварному Альбиону». Местью должно было стать уничтожение [99] военно-морской мощи на пока еще недоступных островах при помощи цеппелинов. Император Вильгельм II долгое время запрещал использование дирижаблей для бомбардировки городов и решительно определил вначале список целей и запретных областей, однако реальность отличалась от замыслов. Отсутствие средств точной ориентации в ночное время привело к тому, что командиры цеппелинов сбрасывали свои бомбы чаще на мирных жителей, чем на военные объекты. </w:t>
      </w:r>
    </w:p>
    <w:p w14:paraId="5FBECEBD" w14:textId="77777777" w:rsidR="00B67D7C" w:rsidRPr="00DE096C" w:rsidRDefault="00B67D7C" w:rsidP="00D45A46">
      <w:pPr>
        <w:jc w:val="both"/>
        <w:rPr>
          <w:bCs/>
          <w:color w:val="002060"/>
          <w:sz w:val="16"/>
          <w:szCs w:val="16"/>
        </w:rPr>
      </w:pPr>
      <w:r w:rsidRPr="00DE096C">
        <w:rPr>
          <w:bCs/>
          <w:color w:val="002060"/>
          <w:sz w:val="16"/>
          <w:szCs w:val="16"/>
        </w:rPr>
        <w:t xml:space="preserve">Но прежде чем приступить к серьезным бомбардировочным операциям, необходимо было увеличить число действующих дирижаблей и подготовить достаточное количество новых экипажей для них. «Люфтшиффбау Цеппелин» и в меньшей степени «Шютте-Ланц» начали работать на полную мощь. Заводы Цеппелина разворачивались, пришло много рабочих и специалистов. Его заводы постепенно превратились в огромные военные предприятия. Вместо того чтобы спокойно доживать свой век дома, в своем имении, он большей частью жил в гостинице рядом с Фридрихсхафеном, часто посещая заводы, где собирали его дирижабли. Фердинанд фон Цеппелин к этому времени стал скорее символом дирежаблестроения, чем действующим лицом. В глазах общественности граф по-прежнему возглавлял созданное им дело, хотя реально уже не участвовал в управлении компанией. Тем не менее он доставлял немало хлопот многим влиятельным людям страны, когда в начале войны с неожиданной для его возраста активностью пытался ускорить темпы строительства воздушных кораблей. </w:t>
      </w:r>
    </w:p>
    <w:p w14:paraId="360E0306" w14:textId="77777777" w:rsidR="00B67D7C" w:rsidRPr="00DE096C" w:rsidRDefault="00B67D7C" w:rsidP="00D45A46">
      <w:pPr>
        <w:jc w:val="both"/>
        <w:rPr>
          <w:bCs/>
          <w:color w:val="002060"/>
          <w:sz w:val="16"/>
          <w:szCs w:val="16"/>
        </w:rPr>
      </w:pPr>
      <w:r w:rsidRPr="00DE096C">
        <w:rPr>
          <w:bCs/>
          <w:color w:val="002060"/>
          <w:sz w:val="16"/>
          <w:szCs w:val="16"/>
        </w:rPr>
        <w:t xml:space="preserve">Несмотря на то что ему в 1914 году исполнилось 76 лет, он со всей своей неуемной энергией и страстью занимался новым проектом — созданием больших самолетов. Активный изобретатель дирижаблей, фон Цеппелин не остался фанатичным приверженцем только этой идеи, он ясно осознавал и огромный военный потенциал аэропланов. Вскоре после начала войны Цеппелин организовал компанию по изготовлению бомбардировщика, способного нести 1000-кг бомбу. Учитывая громадный опыт и энергию графа, можно было не сомневаться в успехе. Фактически уже первый такой бомбардировщик «Гота» показал неплохие результаты, и военные, которые </w:t>
      </w:r>
      <w:r w:rsidRPr="00DE096C">
        <w:rPr>
          <w:bCs/>
          <w:color w:val="002060"/>
          <w:sz w:val="16"/>
          <w:szCs w:val="16"/>
        </w:rPr>
        <w:lastRenderedPageBreak/>
        <w:t xml:space="preserve">вначале достаточно не серьезно отнеслись к этой инициативе Цеппелина, активно заинтересовались проектом. Были построены большие четырех — и даже пятимоторные бомбардировщики. Но старый граф не дожил до той поры, когда его творение получило боевое крещение. </w:t>
      </w:r>
    </w:p>
    <w:p w14:paraId="5296D944" w14:textId="77777777" w:rsidR="00B67D7C" w:rsidRPr="00DE096C" w:rsidRDefault="00B67D7C" w:rsidP="00D45A46">
      <w:pPr>
        <w:jc w:val="both"/>
        <w:rPr>
          <w:bCs/>
          <w:color w:val="002060"/>
          <w:sz w:val="16"/>
          <w:szCs w:val="16"/>
        </w:rPr>
      </w:pPr>
      <w:r w:rsidRPr="00DE096C">
        <w:rPr>
          <w:bCs/>
          <w:color w:val="002060"/>
          <w:sz w:val="16"/>
          <w:szCs w:val="16"/>
        </w:rPr>
        <w:t xml:space="preserve">Эрнст Хейнкель вспоминал: «Что же касается моей работы в области создания многомоторных самолетов, то она имеет свою историю. Начавшаяся война разлучила меня с Гельмутом Хиртом. До меня доходили слухи, что этот известный летчик служит в армии, а его авиационное соединение базируется в местечке Менц. В конце лета 1915 года, находясь в Бранденбурге, я получил довольно длинную телеграмму от отца Гельмута. В ней мне предлагалось прибыть [100] 1 сентября в Штутгарт в дом Клейна, директора одного из заводов, принадлежавших промышленнику Бошу. </w:t>
      </w:r>
    </w:p>
    <w:p w14:paraId="0019E89D" w14:textId="77777777" w:rsidR="00B67D7C" w:rsidRPr="00DE096C" w:rsidRDefault="00B67D7C" w:rsidP="00D45A46">
      <w:pPr>
        <w:jc w:val="both"/>
        <w:rPr>
          <w:bCs/>
          <w:color w:val="002060"/>
          <w:sz w:val="16"/>
          <w:szCs w:val="16"/>
        </w:rPr>
      </w:pPr>
      <w:r w:rsidRPr="00DE096C">
        <w:rPr>
          <w:bCs/>
          <w:color w:val="002060"/>
          <w:sz w:val="16"/>
          <w:szCs w:val="16"/>
        </w:rPr>
        <w:t xml:space="preserve">Клейна я знал лично и познакомился с ним, когда он приобретал в собственное пользование один из самолетов компании «Альбатрос». Он имел в Штутгарте дом, но жил в нем мало. Основным местом его жительства было небольшое поместье на берегу озера Бодензее. Мы с Гельмутом Хиртом доставили купленный им за 15 000 марок самолет в его загородный дом. Клейн встретил нас в рабочей одежде с инструментом в руках. Он собственноручно чинил крышу большого сарая, куда хотел поставить доставленный нами самолет. Директор, который сам чинит крышу, произвел на меня сильное впечатление, и я проникся к нему уважением. Увидев в телеграмме его фамилию, я тотчас же решил выехать в Штутгарт. </w:t>
      </w:r>
    </w:p>
    <w:p w14:paraId="7CFD7984" w14:textId="77777777" w:rsidR="00B67D7C" w:rsidRPr="00DE096C" w:rsidRDefault="00B67D7C" w:rsidP="00D45A46">
      <w:pPr>
        <w:jc w:val="both"/>
        <w:rPr>
          <w:bCs/>
          <w:color w:val="002060"/>
          <w:sz w:val="16"/>
          <w:szCs w:val="16"/>
        </w:rPr>
      </w:pPr>
      <w:r w:rsidRPr="00DE096C">
        <w:rPr>
          <w:bCs/>
          <w:color w:val="002060"/>
          <w:sz w:val="16"/>
          <w:szCs w:val="16"/>
        </w:rPr>
        <w:t xml:space="preserve">В Штутгарте я оказался под вечер и поехал домой к Клейну. У него собралось довольно интересное общество, которое, откровенно говоря, привело меня в некоторое смущение. Первое, что бросилось мне в глаза, это круглая голова и большие белые усы графа Цеппелина. Передо мной был человек, которому я благодарен за то, что он своим подвигом привел меня в авиацию. Кроме того, я увидел окладистую бороду Роберта Боша, одного из крупных промышленников Германии. Здесь был и отец Гельмута Хирта, который мне слегка поклонился. Клейн представил меня собравшимся и сообщил все, что знал обо мне. Меня коротко ввели в курс дела. </w:t>
      </w:r>
    </w:p>
    <w:p w14:paraId="232BBCC9" w14:textId="77777777" w:rsidR="00B67D7C" w:rsidRPr="00DE096C" w:rsidRDefault="00B67D7C" w:rsidP="00D45A46">
      <w:pPr>
        <w:jc w:val="both"/>
        <w:rPr>
          <w:bCs/>
          <w:color w:val="002060"/>
          <w:sz w:val="16"/>
          <w:szCs w:val="16"/>
        </w:rPr>
      </w:pPr>
      <w:r w:rsidRPr="00DE096C">
        <w:rPr>
          <w:bCs/>
          <w:color w:val="002060"/>
          <w:sz w:val="16"/>
          <w:szCs w:val="16"/>
        </w:rPr>
        <w:t xml:space="preserve">Старый граф Цеппелин, осознавший, что его военные дирижабли к тому времени стали прекрасной мишенью для самолетов Антанты, прибыл сюда с единственным желанием создать большой самолет или дирижабль, который мог бы сбросить огромную бомбу на лондонскую гавань. Он полагал, что волна от такого взрыва потопит там все суда. Участники совещания пытались доказать ему, что взрыв от большой бомбы поднимет воду вверх и не создаст достаточно мощной волны, а поэтому его идея ошибочна. Цеппелин не был согласен с выдвинутыми доводами, но спорить прекратил. </w:t>
      </w:r>
    </w:p>
    <w:p w14:paraId="5FF627A3" w14:textId="77777777" w:rsidR="00B67D7C" w:rsidRPr="00DE096C" w:rsidRDefault="00B67D7C" w:rsidP="00D45A46">
      <w:pPr>
        <w:jc w:val="both"/>
        <w:rPr>
          <w:bCs/>
          <w:color w:val="002060"/>
          <w:sz w:val="16"/>
          <w:szCs w:val="16"/>
        </w:rPr>
      </w:pPr>
      <w:r w:rsidRPr="00DE096C">
        <w:rPr>
          <w:bCs/>
          <w:color w:val="002060"/>
          <w:sz w:val="16"/>
          <w:szCs w:val="16"/>
        </w:rPr>
        <w:t xml:space="preserve">Выступавший в качестве консультанта профессор Солман доказывал, что ни дирижаблестроение, ни самолетостроение не в состоянии на нынешнем этапе создать конструкцию летательного аппарата, способного произвести такую бомбардировку. В заключение своего выступления, ссылаясь на Роберта Боша, он сказал, что у того имеется план создания большого бомбардировщика, который вполне можно реализовать. Взявший слово Бош заявил, что он готов представить собравшимся план и попытался вкратце изложить его суть. Из его доклада выяснилось, что идея большого бомбардировщика возникла у Гельмута Хирта, о чем он и сообщил своему отцу. Сам Бош узнал о ней от старого Хирта. В своем письме Гельмут Хирт также сообщал отцу, что без моей помощи такой самолет невозможно будет построить. Поэтому меня пригласили в дом Клейна для важного разговора. [101] </w:t>
      </w:r>
    </w:p>
    <w:p w14:paraId="015B7009" w14:textId="77777777" w:rsidR="00B67D7C" w:rsidRPr="00DE096C" w:rsidRDefault="00B67D7C" w:rsidP="00D45A46">
      <w:pPr>
        <w:jc w:val="both"/>
        <w:rPr>
          <w:bCs/>
          <w:color w:val="002060"/>
          <w:sz w:val="16"/>
          <w:szCs w:val="16"/>
        </w:rPr>
      </w:pPr>
      <w:r w:rsidRPr="00DE096C">
        <w:rPr>
          <w:bCs/>
          <w:color w:val="002060"/>
          <w:sz w:val="16"/>
          <w:szCs w:val="16"/>
        </w:rPr>
        <w:t xml:space="preserve">Мы долго обсуждали возможную конструкцию аэроплана, способного производить бомбардировку по Лондону. В конце совещания я заявил, что смогу спроектировать такой самолет, но для теоретических расчетов и деталировки его мне нужна помощь. В теоретическом плане я просил привлечь к работе своего бывшего преподавателя профессора Баумана. Собравшиеся согласились. Граф Цеппелин, посмотрев на меня маленькими живыми глазами, на прощание сказал: «Я полагаю, что завтра мы совместно с господином Хейнкелём и господином Гельмутом Хиртом подведем окончательные итоги нашего совещания». </w:t>
      </w:r>
    </w:p>
    <w:p w14:paraId="2BE5B840" w14:textId="77777777" w:rsidR="00B67D7C" w:rsidRPr="00DE096C" w:rsidRDefault="00B67D7C" w:rsidP="00D45A46">
      <w:pPr>
        <w:jc w:val="both"/>
        <w:rPr>
          <w:bCs/>
          <w:color w:val="002060"/>
          <w:sz w:val="16"/>
          <w:szCs w:val="16"/>
        </w:rPr>
      </w:pPr>
      <w:r w:rsidRPr="00DE096C">
        <w:rPr>
          <w:bCs/>
          <w:color w:val="002060"/>
          <w:sz w:val="16"/>
          <w:szCs w:val="16"/>
        </w:rPr>
        <w:t xml:space="preserve">На другой день, довольно рано, на двух автомобилях мы выехали в Менц. В первом находился граф Цеппелин, одетый в генеральскую форму со всеми регалиями. В деревнях, через которые мы следовали, все узнавали графа Цеппелина и приветствовали его громкими криками «Ура!». Во втором автомобиле ехал я с профессором Бауманом, которого пригласили принять участие в нашей работе. Вместо восторга и оваций нам доставалась дорожная пыль от первой машины. Она попадала в глаза, уши и рот. Перед обедом мы были в Менце — Гельмут Хирт нас уже ждал. Вместе с ним был Клаудиус Дорнье, работавший у Цеппелина. Я впервые видел Дорнье. Он показался мне замкнутым человеком. Эта замкнутость мне вначале показалась наигранной. Но позже я убедился, что таким он был всегда. </w:t>
      </w:r>
    </w:p>
    <w:p w14:paraId="26DA44D2" w14:textId="77777777" w:rsidR="00B67D7C" w:rsidRPr="00DE096C" w:rsidRDefault="00B67D7C" w:rsidP="00D45A46">
      <w:pPr>
        <w:jc w:val="both"/>
        <w:rPr>
          <w:bCs/>
          <w:color w:val="002060"/>
          <w:sz w:val="16"/>
          <w:szCs w:val="16"/>
        </w:rPr>
      </w:pPr>
      <w:r w:rsidRPr="00DE096C">
        <w:rPr>
          <w:bCs/>
          <w:color w:val="002060"/>
          <w:sz w:val="16"/>
          <w:szCs w:val="16"/>
        </w:rPr>
        <w:t xml:space="preserve">Перед обедом началось совещание. В конце его мы приняли решение создать рабочую группу в составе профессора Баумана и меня. По моей просьбе группа должна была работать в Бранденбурге. Я был загружен работой на Бранденбургском авиационном заводе и проектированию бомбардировщика мог отводить только свое свободное время. Наше сообщество из трех человек было названо «Бюро по опытному строительству трехмоторного самолета». Мы начали энергично работать. Спустя некоторое время выяснилось, что основная работа запущена. Пришлось деятельность в этом конструкторском бюро отодвинуть на второй план. Когда проект трехмоторного самолета в основном был закончен, «Бюро по опытному строительству трехмоторного самолета» перебралось в один из цехов Готского вагоностроительного завода. Сделанный там трехмоторный бомбардировщик стал называться «Гота». Таким образом, благодаря графу Цеппелину, я приобрел опыт в создании многомоторных самолетов». Несмотря на возраст — в июле 1916 года ему исполнилось 78 лет — фон Цеппелин выглядел прекрасно. Эрнест Леман, который весной 1916 года по служебным делам встретился с фон Цеппелином, нашел его столь же энергичным, как и обычно. В феврале 1917 года, во время посещения аэровоздушной выставки, проходившей в Берлине, у графа неожиданно воспалился кишечник. Была произведена успешная операция, но, как говорится, беда не приходит одна. В больнице Цеппелин заболел пневмонией, и уже 8 марта его не стало. [102] </w:t>
      </w:r>
    </w:p>
    <w:p w14:paraId="1E8EFBE7" w14:textId="77777777" w:rsidR="00B67D7C" w:rsidRPr="00DE096C" w:rsidRDefault="00B67D7C" w:rsidP="00D45A46">
      <w:pPr>
        <w:jc w:val="both"/>
        <w:rPr>
          <w:bCs/>
          <w:color w:val="002060"/>
          <w:sz w:val="16"/>
          <w:szCs w:val="16"/>
        </w:rPr>
      </w:pPr>
      <w:r w:rsidRPr="00DE096C">
        <w:rPr>
          <w:bCs/>
          <w:color w:val="002060"/>
          <w:sz w:val="16"/>
          <w:szCs w:val="16"/>
        </w:rPr>
        <w:t>Во время похорон над Вюртембергом, под торжественный перезвон колоколов, летали два цеппелина, драпированные в траурные черные цвета (11324).</w:t>
      </w:r>
    </w:p>
    <w:p w14:paraId="6E629350" w14:textId="77777777" w:rsidR="00B67D7C" w:rsidRPr="00DE096C" w:rsidRDefault="00B67D7C" w:rsidP="00D45A46">
      <w:pPr>
        <w:shd w:val="clear" w:color="auto" w:fill="FFFFFF"/>
        <w:jc w:val="both"/>
        <w:rPr>
          <w:bCs/>
          <w:i/>
          <w:color w:val="002060"/>
          <w:sz w:val="16"/>
          <w:szCs w:val="16"/>
        </w:rPr>
      </w:pPr>
    </w:p>
    <w:p w14:paraId="2079B9F4" w14:textId="6E85ACE0" w:rsidR="00847427" w:rsidRPr="00DE096C" w:rsidRDefault="00847427" w:rsidP="00D45A46">
      <w:pPr>
        <w:jc w:val="both"/>
        <w:rPr>
          <w:bCs/>
          <w:i/>
          <w:color w:val="002060"/>
          <w:sz w:val="16"/>
          <w:szCs w:val="16"/>
        </w:rPr>
      </w:pPr>
      <w:r w:rsidRPr="00DE096C">
        <w:rPr>
          <w:bCs/>
          <w:i/>
          <w:color w:val="002060"/>
          <w:sz w:val="16"/>
          <w:szCs w:val="16"/>
        </w:rPr>
        <w:t>Авиация и воздухоплавание за рубежом:</w:t>
      </w:r>
    </w:p>
    <w:p w14:paraId="78DF97D5" w14:textId="77777777" w:rsidR="00847427" w:rsidRPr="00DE096C" w:rsidRDefault="00847427" w:rsidP="00D45A46">
      <w:pPr>
        <w:jc w:val="both"/>
        <w:rPr>
          <w:bCs/>
          <w:i/>
          <w:color w:val="002060"/>
          <w:sz w:val="16"/>
          <w:szCs w:val="16"/>
        </w:rPr>
      </w:pPr>
    </w:p>
    <w:p w14:paraId="0502AF06" w14:textId="77777777" w:rsidR="00A719EB" w:rsidRPr="00DE096C" w:rsidRDefault="00A719EB" w:rsidP="00D45A46">
      <w:pPr>
        <w:shd w:val="clear" w:color="auto" w:fill="FFFFFF"/>
        <w:jc w:val="both"/>
        <w:rPr>
          <w:bCs/>
          <w:color w:val="002060"/>
          <w:sz w:val="16"/>
          <w:szCs w:val="16"/>
        </w:rPr>
      </w:pPr>
      <w:r w:rsidRPr="00DE096C">
        <w:rPr>
          <w:bCs/>
          <w:color w:val="002060"/>
          <w:sz w:val="16"/>
          <w:szCs w:val="16"/>
        </w:rPr>
        <w:t>18 (31) июля 1914 г. Австро-Венгрия объявила войну России. Что касается воздушных сил, Австро-Венгрия имела всего 3 дирижабля. Самый большой из них «Военный-2» — 5000 м</w:t>
      </w:r>
      <w:r w:rsidRPr="00DE096C">
        <w:rPr>
          <w:bCs/>
          <w:color w:val="002060"/>
          <w:sz w:val="16"/>
          <w:szCs w:val="16"/>
          <w:vertAlign w:val="superscript"/>
        </w:rPr>
        <w:t>3</w:t>
      </w:r>
      <w:r w:rsidRPr="00DE096C">
        <w:rPr>
          <w:bCs/>
          <w:color w:val="002060"/>
          <w:sz w:val="16"/>
          <w:szCs w:val="16"/>
        </w:rPr>
        <w:t>. Воздушных гаваней в Австро-Венгрии было две. Вся воздухоплавательная часть состояла из австрийских офицеров штаба и 10-ти воздухоплавательных парков. Аэропланов, в основном, германских — 100 (11060).</w:t>
      </w:r>
    </w:p>
    <w:p w14:paraId="53012383" w14:textId="77777777" w:rsidR="00A719EB" w:rsidRPr="00DE096C" w:rsidRDefault="00A719EB" w:rsidP="00D45A46">
      <w:pPr>
        <w:shd w:val="clear" w:color="auto" w:fill="FFFFFF"/>
        <w:jc w:val="both"/>
        <w:rPr>
          <w:bCs/>
          <w:color w:val="002060"/>
          <w:sz w:val="16"/>
          <w:szCs w:val="16"/>
        </w:rPr>
      </w:pPr>
    </w:p>
    <w:p w14:paraId="6625CC94" w14:textId="77777777" w:rsidR="00B14ED4" w:rsidRPr="00DE096C" w:rsidRDefault="00B14ED4" w:rsidP="00D45A46">
      <w:pPr>
        <w:jc w:val="both"/>
        <w:rPr>
          <w:bCs/>
          <w:i/>
          <w:color w:val="002060"/>
          <w:sz w:val="16"/>
          <w:szCs w:val="16"/>
        </w:rPr>
      </w:pPr>
      <w:r w:rsidRPr="00DE096C">
        <w:rPr>
          <w:bCs/>
          <w:i/>
          <w:color w:val="002060"/>
          <w:sz w:val="16"/>
          <w:szCs w:val="16"/>
        </w:rPr>
        <w:t>За рубежом:</w:t>
      </w:r>
    </w:p>
    <w:p w14:paraId="5326404D" w14:textId="77777777" w:rsidR="00B14ED4" w:rsidRPr="00DE096C" w:rsidRDefault="00B14ED4" w:rsidP="00D45A46">
      <w:pPr>
        <w:jc w:val="both"/>
        <w:rPr>
          <w:bCs/>
          <w:color w:val="002060"/>
          <w:sz w:val="16"/>
          <w:szCs w:val="16"/>
        </w:rPr>
      </w:pPr>
    </w:p>
    <w:p w14:paraId="7D7DB172" w14:textId="77777777" w:rsidR="00B14ED4" w:rsidRPr="00DE096C" w:rsidRDefault="00B14ED4" w:rsidP="00D45A46">
      <w:pPr>
        <w:jc w:val="both"/>
        <w:rPr>
          <w:bCs/>
          <w:color w:val="002060"/>
          <w:sz w:val="16"/>
          <w:szCs w:val="16"/>
        </w:rPr>
      </w:pPr>
      <w:r w:rsidRPr="00DE096C">
        <w:rPr>
          <w:bCs/>
          <w:color w:val="002060"/>
          <w:sz w:val="16"/>
          <w:szCs w:val="16"/>
        </w:rPr>
        <w:t>18 (31) июля 1914 пали последние бастионы — биржи Лондона и Нью-Йорка. Современный автор приводит слова свидетеля кризиса:</w:t>
      </w:r>
    </w:p>
    <w:p w14:paraId="5A0D5CB2" w14:textId="77777777" w:rsidR="00B14ED4" w:rsidRPr="00DE096C" w:rsidRDefault="00B14ED4" w:rsidP="00D45A46">
      <w:pPr>
        <w:jc w:val="both"/>
        <w:rPr>
          <w:bCs/>
          <w:iCs/>
          <w:color w:val="002060"/>
          <w:sz w:val="16"/>
          <w:szCs w:val="16"/>
        </w:rPr>
      </w:pPr>
      <w:r w:rsidRPr="00DE096C">
        <w:rPr>
          <w:bCs/>
          <w:iCs/>
          <w:color w:val="002060"/>
          <w:sz w:val="16"/>
          <w:szCs w:val="16"/>
          <w:bdr w:val="none" w:sz="0" w:space="0" w:color="auto" w:frame="1"/>
        </w:rPr>
        <w:t>«Фондовая биржа была закрыта с 31 июля до середины декабря 1914 года, и Уолл-стрит пребывала в запустении. Не было денег, не было никаких сделок… Я уже был должен всем своим друзьям, и поэтому мне было неловко опять просить их о помощи, тем более что в тогдашней ситуации никто не располагал достаточными возможностями для этого. Поскольку фондовая биржа была закрыта, ни один брокер был не в силах чем-либо мне помочь, так что добыча денег превращалась в почти неразрешимую задачу» (18155).</w:t>
      </w:r>
    </w:p>
    <w:p w14:paraId="4DAA0349" w14:textId="77777777" w:rsidR="00B14ED4" w:rsidRPr="00DE096C" w:rsidRDefault="00B14ED4" w:rsidP="00D45A46">
      <w:pPr>
        <w:jc w:val="both"/>
        <w:rPr>
          <w:bCs/>
          <w:color w:val="002060"/>
          <w:sz w:val="16"/>
          <w:szCs w:val="16"/>
        </w:rPr>
      </w:pPr>
    </w:p>
    <w:p w14:paraId="1679F9DB" w14:textId="77777777" w:rsidR="002F5B61" w:rsidRPr="00DE096C" w:rsidRDefault="002F5B61" w:rsidP="002F5B61">
      <w:pPr>
        <w:shd w:val="clear" w:color="auto" w:fill="FFFFFF"/>
        <w:jc w:val="both"/>
        <w:rPr>
          <w:bCs/>
          <w:i/>
          <w:color w:val="002060"/>
          <w:sz w:val="16"/>
          <w:szCs w:val="16"/>
        </w:rPr>
      </w:pPr>
      <w:r w:rsidRPr="00DE096C">
        <w:rPr>
          <w:bCs/>
          <w:i/>
          <w:color w:val="002060"/>
          <w:sz w:val="16"/>
          <w:szCs w:val="16"/>
        </w:rPr>
        <w:t>Армия:</w:t>
      </w:r>
    </w:p>
    <w:p w14:paraId="60730BA4" w14:textId="77777777" w:rsidR="002F5B61" w:rsidRPr="00DE096C" w:rsidRDefault="002F5B61" w:rsidP="002F5B61">
      <w:pPr>
        <w:shd w:val="clear" w:color="auto" w:fill="FFFFFF"/>
        <w:jc w:val="both"/>
        <w:rPr>
          <w:bCs/>
          <w:i/>
          <w:color w:val="002060"/>
          <w:sz w:val="16"/>
          <w:szCs w:val="16"/>
        </w:rPr>
      </w:pPr>
    </w:p>
    <w:p w14:paraId="2FF26430" w14:textId="77777777" w:rsidR="002F5B61" w:rsidRPr="00B52707" w:rsidRDefault="002F5B61" w:rsidP="002F5B61">
      <w:pPr>
        <w:jc w:val="both"/>
        <w:rPr>
          <w:rStyle w:val="ab"/>
          <w:rFonts w:ascii="Times New Roman" w:hAnsi="Times New Roman"/>
          <w:color w:val="0070C0"/>
          <w:spacing w:val="0"/>
          <w:sz w:val="16"/>
          <w:szCs w:val="16"/>
        </w:rPr>
      </w:pPr>
      <w:r w:rsidRPr="00B52707">
        <w:rPr>
          <w:rFonts w:eastAsia="Trebuchet MS"/>
          <w:color w:val="0070C0"/>
          <w:sz w:val="16"/>
          <w:szCs w:val="16"/>
          <w:shd w:val="clear" w:color="auto" w:fill="FFFFFF"/>
        </w:rPr>
        <w:t>К началу войны Россия располагала 244 самолетами. Для сравнения: Франция имела 156 самолетов, Англия – 258, Германия – 232. Ежемесячно в стране изготавливалось до 40 самолетов различных типов. Их строили в основном частные предприятия: завод «Дукс» (Москва), заводы С.С. Щетинина и В.А. Лебедева (Петроград), завод А.А. Анатра (Одесса) и др. С августа 1914 по июнь 1916 г. они выпустили 1 512 самолетов. В ходе войны вступили в строй еще два небольших авиастроительных предприятия. Подсчитать точное количество произведенных в России самолетов сложно, так как значительная часть была некомплектна в основном из-за отсутствия моторов. Грешит и статистика, поскольку в число изготовленных заносили также отремонтированные машины. По данным военного и морского ведомств, в 1914–1917 гг. они приняли 3 949 самолетов44. Но этого было недостаточно. Пришлось и в этой сфере прибегать к заказам за границей. Организация закупок в 1915 г. была возложена на «Комиссию, командируемую за границу для заготовления авиационного и воздухоплавательного имущества». Снабжение русской армии авиационным имуществом постоянно было в центре внимания правительства, Ставки и Военного министерства (25601).</w:t>
      </w:r>
    </w:p>
    <w:p w14:paraId="00FA4A9A" w14:textId="77777777" w:rsidR="002F5B61" w:rsidRPr="00B52707" w:rsidRDefault="002F5B61" w:rsidP="002F5B61">
      <w:pPr>
        <w:jc w:val="both"/>
        <w:rPr>
          <w:rStyle w:val="ab"/>
          <w:rFonts w:ascii="Times New Roman" w:hAnsi="Times New Roman"/>
          <w:color w:val="0070C0"/>
          <w:spacing w:val="0"/>
          <w:sz w:val="16"/>
          <w:szCs w:val="16"/>
        </w:rPr>
      </w:pPr>
    </w:p>
    <w:p w14:paraId="1D0C9C29" w14:textId="77777777" w:rsidR="002F5B61" w:rsidRPr="00B52707" w:rsidRDefault="002F5B61" w:rsidP="002F5B61">
      <w:pPr>
        <w:jc w:val="both"/>
        <w:rPr>
          <w:color w:val="0070C0"/>
          <w:sz w:val="16"/>
          <w:szCs w:val="16"/>
        </w:rPr>
      </w:pPr>
      <w:r w:rsidRPr="00B52707">
        <w:rPr>
          <w:color w:val="0070C0"/>
          <w:sz w:val="16"/>
          <w:szCs w:val="16"/>
        </w:rPr>
        <w:t>К началу Первой миро</w:t>
      </w:r>
      <w:r w:rsidRPr="00B52707">
        <w:rPr>
          <w:color w:val="0070C0"/>
          <w:sz w:val="16"/>
          <w:szCs w:val="16"/>
        </w:rPr>
        <w:softHyphen/>
        <w:t>вой войны имелся и довольно большой негативный фактор. Дело в том, что еще со времени расформирования возду</w:t>
      </w:r>
      <w:r w:rsidRPr="00B52707">
        <w:rPr>
          <w:color w:val="0070C0"/>
          <w:sz w:val="16"/>
          <w:szCs w:val="16"/>
        </w:rPr>
        <w:softHyphen/>
        <w:t>хоплавательной части ГУ ГШ (20 декаб</w:t>
      </w:r>
      <w:r w:rsidRPr="00B52707">
        <w:rPr>
          <w:color w:val="0070C0"/>
          <w:sz w:val="16"/>
          <w:szCs w:val="16"/>
        </w:rPr>
        <w:softHyphen/>
        <w:t>ря 1913 г.) и вплоть до начала войны шёл процесс разделения управления техниче</w:t>
      </w:r>
      <w:r w:rsidRPr="00B52707">
        <w:rPr>
          <w:color w:val="0070C0"/>
          <w:sz w:val="16"/>
          <w:szCs w:val="16"/>
        </w:rPr>
        <w:softHyphen/>
        <w:t>скими войсками между ГУ ГШ и ГВТУ.</w:t>
      </w:r>
    </w:p>
    <w:p w14:paraId="07CF9CCD" w14:textId="77777777" w:rsidR="002F5B61" w:rsidRPr="00B52707" w:rsidRDefault="002F5B61" w:rsidP="002F5B61">
      <w:pPr>
        <w:jc w:val="both"/>
        <w:rPr>
          <w:color w:val="0070C0"/>
          <w:sz w:val="16"/>
          <w:szCs w:val="16"/>
        </w:rPr>
      </w:pPr>
      <w:r w:rsidRPr="00B52707">
        <w:rPr>
          <w:color w:val="0070C0"/>
          <w:sz w:val="16"/>
          <w:szCs w:val="16"/>
        </w:rPr>
        <w:t>В этот период авиационные части управлялись фактически только инспек</w:t>
      </w:r>
      <w:r w:rsidRPr="00B52707">
        <w:rPr>
          <w:color w:val="0070C0"/>
          <w:sz w:val="16"/>
          <w:szCs w:val="16"/>
        </w:rPr>
        <w:softHyphen/>
        <w:t>торами инженерных частей округов (воз</w:t>
      </w:r>
      <w:r w:rsidRPr="00B52707">
        <w:rPr>
          <w:color w:val="0070C0"/>
          <w:sz w:val="16"/>
          <w:szCs w:val="16"/>
        </w:rPr>
        <w:softHyphen/>
        <w:t>духоплавательное отделение в ГВТУ было сформировано лишь 1 мая 1914 г., а соот</w:t>
      </w:r>
      <w:r w:rsidRPr="00B52707">
        <w:rPr>
          <w:color w:val="0070C0"/>
          <w:sz w:val="16"/>
          <w:szCs w:val="16"/>
        </w:rPr>
        <w:softHyphen/>
        <w:t>ветствующий приказ по военному ведом</w:t>
      </w:r>
      <w:r w:rsidRPr="00B52707">
        <w:rPr>
          <w:color w:val="0070C0"/>
          <w:sz w:val="16"/>
          <w:szCs w:val="16"/>
        </w:rPr>
        <w:softHyphen/>
        <w:t>ству за №406 был издан и того позже - 5 июня (РГВИА. Фонд 802 опись 1 дело 1584), в связи с чем работа по снабжению ави</w:t>
      </w:r>
      <w:r w:rsidRPr="00B52707">
        <w:rPr>
          <w:color w:val="0070C0"/>
          <w:sz w:val="16"/>
          <w:szCs w:val="16"/>
        </w:rPr>
        <w:softHyphen/>
        <w:t>аотрядов самолетами, двигателями, за</w:t>
      </w:r>
      <w:r w:rsidRPr="00B52707">
        <w:rPr>
          <w:color w:val="0070C0"/>
          <w:sz w:val="16"/>
          <w:szCs w:val="16"/>
        </w:rPr>
        <w:softHyphen/>
        <w:t>пасными частями и бензином оказалась запущенной (24962).</w:t>
      </w:r>
    </w:p>
    <w:p w14:paraId="42BF2386" w14:textId="77777777" w:rsidR="002F5B61" w:rsidRPr="00B52707" w:rsidRDefault="002F5B61" w:rsidP="002F5B61">
      <w:pPr>
        <w:jc w:val="both"/>
        <w:rPr>
          <w:color w:val="0070C0"/>
          <w:sz w:val="16"/>
          <w:szCs w:val="16"/>
        </w:rPr>
      </w:pPr>
    </w:p>
    <w:p w14:paraId="39C2B2F8" w14:textId="77777777" w:rsidR="002F5B61" w:rsidRPr="00B52707" w:rsidRDefault="002F5B61" w:rsidP="002F5B61">
      <w:pPr>
        <w:jc w:val="both"/>
        <w:rPr>
          <w:color w:val="0070C0"/>
          <w:sz w:val="16"/>
          <w:szCs w:val="16"/>
        </w:rPr>
      </w:pPr>
      <w:r w:rsidRPr="00B52707">
        <w:rPr>
          <w:color w:val="0070C0"/>
          <w:sz w:val="16"/>
          <w:szCs w:val="16"/>
        </w:rPr>
        <w:t>К началу Первой мировой войны армия Российской империи располагала воздушными силами, которые были сведены в 26 корпусных (плюс 1-й, 4-й и 5-й Сибирские авиаотряды, 3-й полевой авиаотряд и авиаотряд гвардейского корпуса) и 8 крепостных авиаотрядов. Согласно штату, который был утвержден Военным советом 19 декабря 1913 года, каждый корпусной авиаотряд должен был включать в себя 7 летчиков (5 офицеров и двух солдат). Согласно утвержденным нормативам каждый из корпусных авиационных отрядов в военное время должен был располагать 6 самолетами (крепостные авиаотряды — 8), четырьмя комплектами запасных частей, двумя запасными моторами, запасом бензина — 240 пудов (1 пуд = 16,38 кг) и касторового масла 50 пудов (для крепостных авиаотрядов — 480 и 100 пудов соответственно).</w:t>
      </w:r>
    </w:p>
    <w:p w14:paraId="7D58A9CF" w14:textId="77777777" w:rsidR="002F5B61" w:rsidRPr="00B52707" w:rsidRDefault="002F5B61" w:rsidP="002F5B61">
      <w:pPr>
        <w:jc w:val="both"/>
        <w:rPr>
          <w:color w:val="0070C0"/>
          <w:sz w:val="16"/>
          <w:szCs w:val="16"/>
        </w:rPr>
      </w:pPr>
      <w:r w:rsidRPr="00B52707">
        <w:rPr>
          <w:color w:val="0070C0"/>
          <w:sz w:val="16"/>
          <w:szCs w:val="16"/>
        </w:rPr>
        <w:t xml:space="preserve">При этом в каждой авиационной роте должно было храниться бензина и масел в виде запаса на случай войны — от 2000 до 3500 пудов (в зависимости от количества приданных авиационных отрядов). Таким образом, в 39 авиационных отрядах и 6 авиаротах к началу Первой мировой войны должно было находиться 25 280 пудов </w:t>
      </w:r>
      <w:r w:rsidRPr="00B52707">
        <w:rPr>
          <w:color w:val="0070C0"/>
          <w:sz w:val="16"/>
          <w:szCs w:val="16"/>
        </w:rPr>
        <w:lastRenderedPageBreak/>
        <w:t>только бензина. На практике же удалось заготовить и разослать в авиационные части русской армии всего 4640 пудов. Это негативным образом отразилось на действиях российской военной авиации на первом этапе войны.</w:t>
      </w:r>
    </w:p>
    <w:p w14:paraId="4D77629C" w14:textId="77777777" w:rsidR="002F5B61" w:rsidRPr="00B52707" w:rsidRDefault="002F5B61" w:rsidP="002F5B61">
      <w:pPr>
        <w:jc w:val="both"/>
        <w:rPr>
          <w:color w:val="0070C0"/>
          <w:sz w:val="16"/>
          <w:szCs w:val="16"/>
        </w:rPr>
      </w:pPr>
      <w:r w:rsidRPr="00B52707">
        <w:rPr>
          <w:color w:val="0070C0"/>
          <w:sz w:val="16"/>
          <w:szCs w:val="16"/>
        </w:rPr>
        <w:t>Помимо этого, в авиаотрядах был некомплект личного состава (30%). При штате 203 летчика-офицера и 86 летчиков-солдат к началу Первой мировой войны фактически имелось 200 летчиков (164 офицера и 36 солдат). Имелся и некомплект самолетов, по штату их должно было быть 250, но согласно данным Генерального штаба перед войной русские армии располагали 172 самолетами. Хотя число самолетов удалось частично восполнить мобилизацией (25155)</w:t>
      </w:r>
    </w:p>
    <w:p w14:paraId="780ED09D" w14:textId="77777777" w:rsidR="002F5B61" w:rsidRPr="00B52707" w:rsidRDefault="002F5B61" w:rsidP="002F5B61">
      <w:pPr>
        <w:jc w:val="both"/>
        <w:rPr>
          <w:color w:val="0070C0"/>
          <w:sz w:val="16"/>
          <w:szCs w:val="16"/>
        </w:rPr>
      </w:pPr>
    </w:p>
    <w:p w14:paraId="6B65FDFC" w14:textId="77777777" w:rsidR="002F5B61" w:rsidRPr="00B52707" w:rsidRDefault="002F5B61" w:rsidP="002F5B61">
      <w:pPr>
        <w:jc w:val="both"/>
        <w:rPr>
          <w:color w:val="0070C0"/>
          <w:sz w:val="16"/>
          <w:szCs w:val="16"/>
        </w:rPr>
      </w:pPr>
      <w:r w:rsidRPr="00B52707">
        <w:rPr>
          <w:color w:val="0070C0"/>
          <w:sz w:val="16"/>
          <w:szCs w:val="16"/>
        </w:rPr>
        <w:t>Перед Перовой мировой войной воз</w:t>
      </w:r>
      <w:r w:rsidRPr="00B52707">
        <w:rPr>
          <w:color w:val="0070C0"/>
          <w:sz w:val="16"/>
          <w:szCs w:val="16"/>
        </w:rPr>
        <w:softHyphen/>
        <w:t>духоплавательные роты имели 46 змейко</w:t>
      </w:r>
      <w:r w:rsidRPr="00B52707">
        <w:rPr>
          <w:color w:val="0070C0"/>
          <w:sz w:val="16"/>
          <w:szCs w:val="16"/>
        </w:rPr>
        <w:softHyphen/>
        <w:t>вых аэростатов системы «Parseval» (пред</w:t>
      </w:r>
      <w:r w:rsidRPr="00B52707">
        <w:rPr>
          <w:color w:val="0070C0"/>
          <w:sz w:val="16"/>
          <w:szCs w:val="16"/>
        </w:rPr>
        <w:softHyphen/>
        <w:t>назначенных для воздушной разведки, стрельбы по позициям противника, воз</w:t>
      </w:r>
      <w:r w:rsidRPr="00B52707">
        <w:rPr>
          <w:color w:val="0070C0"/>
          <w:sz w:val="16"/>
          <w:szCs w:val="16"/>
        </w:rPr>
        <w:softHyphen/>
        <w:t>душной связи и сторожевой службы). Они были распределены между 13 воз</w:t>
      </w:r>
      <w:r w:rsidRPr="00B52707">
        <w:rPr>
          <w:color w:val="0070C0"/>
          <w:sz w:val="16"/>
          <w:szCs w:val="16"/>
        </w:rPr>
        <w:softHyphen/>
        <w:t>духоплавательными ротами, в основном располагавшиеся в крепостях. В воен</w:t>
      </w:r>
      <w:r w:rsidRPr="00B52707">
        <w:rPr>
          <w:color w:val="0070C0"/>
          <w:sz w:val="16"/>
          <w:szCs w:val="16"/>
        </w:rPr>
        <w:softHyphen/>
        <w:t>ное время к ним должны были добавить</w:t>
      </w:r>
      <w:r w:rsidRPr="00B52707">
        <w:rPr>
          <w:color w:val="0070C0"/>
          <w:sz w:val="16"/>
          <w:szCs w:val="16"/>
        </w:rPr>
        <w:softHyphen/>
        <w:t>ся 2 полевые роты, формируемые на базе офицерской воздухоплавательной школы (Дузь. П.Д. История воздухоплавания и авиации в России. М. 1981 г.).</w:t>
      </w:r>
    </w:p>
    <w:p w14:paraId="42CD9C91" w14:textId="77777777" w:rsidR="002F5B61" w:rsidRPr="00B52707" w:rsidRDefault="002F5B61" w:rsidP="002F5B61">
      <w:pPr>
        <w:jc w:val="both"/>
        <w:rPr>
          <w:color w:val="0070C0"/>
          <w:sz w:val="16"/>
          <w:szCs w:val="16"/>
        </w:rPr>
      </w:pPr>
      <w:r w:rsidRPr="00B52707">
        <w:rPr>
          <w:color w:val="0070C0"/>
          <w:sz w:val="16"/>
          <w:szCs w:val="16"/>
        </w:rPr>
        <w:t>Каждая воздухоплавательная рота имела две-три наблюдательные станции. Станция располагала одним основным и одним запасным змейковым аэроста</w:t>
      </w:r>
      <w:r w:rsidRPr="00B52707">
        <w:rPr>
          <w:color w:val="0070C0"/>
          <w:sz w:val="16"/>
          <w:szCs w:val="16"/>
        </w:rPr>
        <w:softHyphen/>
        <w:t>тами с лебедками (в основном конными) для их подъема и спуска, подвижными га</w:t>
      </w:r>
      <w:r w:rsidRPr="00B52707">
        <w:rPr>
          <w:color w:val="0070C0"/>
          <w:sz w:val="16"/>
          <w:szCs w:val="16"/>
        </w:rPr>
        <w:softHyphen/>
        <w:t>зодобывающими аппаратами. Числен</w:t>
      </w:r>
      <w:r w:rsidRPr="00B52707">
        <w:rPr>
          <w:color w:val="0070C0"/>
          <w:sz w:val="16"/>
          <w:szCs w:val="16"/>
        </w:rPr>
        <w:softHyphen/>
        <w:t>ный состав воздухоплавательной роты со</w:t>
      </w:r>
      <w:r w:rsidRPr="00B52707">
        <w:rPr>
          <w:color w:val="0070C0"/>
          <w:sz w:val="16"/>
          <w:szCs w:val="16"/>
        </w:rPr>
        <w:softHyphen/>
        <w:t>ставлял 60-100 человек. Кроме того, рота имела вспомогательную часть, ведавшую техническим снабжением, и команду свя</w:t>
      </w:r>
      <w:r w:rsidRPr="00B52707">
        <w:rPr>
          <w:color w:val="0070C0"/>
          <w:sz w:val="16"/>
          <w:szCs w:val="16"/>
        </w:rPr>
        <w:softHyphen/>
        <w:t>зи (телефон) (24962).</w:t>
      </w:r>
    </w:p>
    <w:p w14:paraId="64FC2F6E" w14:textId="77777777" w:rsidR="002F5B61" w:rsidRPr="00B52707" w:rsidRDefault="002F5B61" w:rsidP="002F5B61">
      <w:pPr>
        <w:jc w:val="both"/>
        <w:rPr>
          <w:color w:val="0070C0"/>
          <w:sz w:val="16"/>
          <w:szCs w:val="16"/>
        </w:rPr>
      </w:pPr>
    </w:p>
    <w:p w14:paraId="39B4771D" w14:textId="77777777" w:rsidR="002F5B61" w:rsidRPr="00B52707" w:rsidRDefault="002F5B61" w:rsidP="002F5B61">
      <w:pPr>
        <w:jc w:val="both"/>
        <w:rPr>
          <w:color w:val="0070C0"/>
          <w:sz w:val="16"/>
          <w:szCs w:val="16"/>
        </w:rPr>
      </w:pPr>
      <w:r w:rsidRPr="00B52707">
        <w:rPr>
          <w:color w:val="0070C0"/>
          <w:sz w:val="16"/>
          <w:szCs w:val="16"/>
        </w:rPr>
        <w:t>К началу войны организация авиационных рот также не была закончена, так как формирование их производилось чрезвычайно беспорядочно и неэнергично.</w:t>
      </w:r>
    </w:p>
    <w:p w14:paraId="5B4A5971" w14:textId="77777777" w:rsidR="002F5B61" w:rsidRPr="00B52707" w:rsidRDefault="002F5B61" w:rsidP="002F5B61">
      <w:pPr>
        <w:jc w:val="both"/>
        <w:rPr>
          <w:color w:val="0070C0"/>
          <w:sz w:val="16"/>
          <w:szCs w:val="16"/>
        </w:rPr>
      </w:pPr>
      <w:r w:rsidRPr="00B52707">
        <w:rPr>
          <w:color w:val="0070C0"/>
          <w:sz w:val="16"/>
          <w:szCs w:val="16"/>
        </w:rPr>
        <w:t>С об’явлением войны, согласно выработанному в мирное время плану, все корпусные авиационные отряды, отделив</w:t>
      </w:r>
      <w:r w:rsidRPr="00B52707">
        <w:rPr>
          <w:color w:val="0070C0"/>
          <w:sz w:val="16"/>
          <w:szCs w:val="16"/>
        </w:rPr>
        <w:softHyphen/>
        <w:t>шись от авиационных рот, поступили в распоряжение шта</w:t>
      </w:r>
      <w:r w:rsidRPr="00B52707">
        <w:rPr>
          <w:color w:val="0070C0"/>
          <w:sz w:val="16"/>
          <w:szCs w:val="16"/>
        </w:rPr>
        <w:softHyphen/>
        <w:t>бов корпусов; полевой авиационный отряд —в распоряжение штаба армии, а крепостные авиационные отряды продолжали существовать на основании мирного времени. Авиацион</w:t>
      </w:r>
      <w:r w:rsidRPr="00B52707">
        <w:rPr>
          <w:color w:val="0070C0"/>
          <w:sz w:val="16"/>
          <w:szCs w:val="16"/>
        </w:rPr>
        <w:softHyphen/>
        <w:t>ные же роты были обращены в базы-мастерские для своих авиационных отрядов.</w:t>
      </w:r>
    </w:p>
    <w:p w14:paraId="4E562FF2" w14:textId="77777777" w:rsidR="002F5B61" w:rsidRPr="00B52707" w:rsidRDefault="002F5B61" w:rsidP="002F5B61">
      <w:pPr>
        <w:jc w:val="both"/>
        <w:rPr>
          <w:color w:val="0070C0"/>
          <w:sz w:val="16"/>
          <w:szCs w:val="16"/>
        </w:rPr>
      </w:pPr>
      <w:r w:rsidRPr="00B52707">
        <w:rPr>
          <w:color w:val="0070C0"/>
          <w:sz w:val="16"/>
          <w:szCs w:val="16"/>
        </w:rPr>
        <w:t>Выяснилось, что недостаток табель</w:t>
      </w:r>
      <w:r w:rsidRPr="00B52707">
        <w:rPr>
          <w:color w:val="0070C0"/>
          <w:sz w:val="16"/>
          <w:szCs w:val="16"/>
        </w:rPr>
        <w:softHyphen/>
        <w:t>ных аэропланов в некоторых авиационных отрядах, а также отсутствие запасных аппаратов, не позволяют пользоваться средствами воздушной разведки настолько широко, чтобы предоставлять их в распоряжение каждого корпуса, вслед</w:t>
      </w:r>
      <w:r w:rsidRPr="00B52707">
        <w:rPr>
          <w:color w:val="0070C0"/>
          <w:sz w:val="16"/>
          <w:szCs w:val="16"/>
        </w:rPr>
        <w:softHyphen/>
        <w:t>ствие чего принято было решение свести авиационные отряды в группы по армиям. В соответствии с этим авиа</w:t>
      </w:r>
      <w:r w:rsidRPr="00B52707">
        <w:rPr>
          <w:color w:val="0070C0"/>
          <w:sz w:val="16"/>
          <w:szCs w:val="16"/>
        </w:rPr>
        <w:softHyphen/>
        <w:t>ционные отряды были распределены по армиям, при чем, в отношении питания, каждая армейская группа была при</w:t>
      </w:r>
      <w:r w:rsidRPr="00B52707">
        <w:rPr>
          <w:color w:val="0070C0"/>
          <w:sz w:val="16"/>
          <w:szCs w:val="16"/>
        </w:rPr>
        <w:softHyphen/>
        <w:t>писана к одной из ближайших авиационных рот. Мера эта, вызванная необходимостью, не могла, однако, не отразиться весьма неблагоприятно на интересах разведки в корпусных районах (24923).</w:t>
      </w:r>
    </w:p>
    <w:p w14:paraId="5B7A4655" w14:textId="77777777" w:rsidR="002F5B61" w:rsidRPr="00B52707" w:rsidRDefault="002F5B61" w:rsidP="002F5B61">
      <w:pPr>
        <w:jc w:val="both"/>
        <w:rPr>
          <w:color w:val="0070C0"/>
          <w:sz w:val="16"/>
          <w:szCs w:val="16"/>
        </w:rPr>
      </w:pPr>
    </w:p>
    <w:p w14:paraId="7CE90889" w14:textId="77777777" w:rsidR="002F5B61" w:rsidRPr="00B52707" w:rsidRDefault="002F5B61" w:rsidP="002F5B61">
      <w:pPr>
        <w:jc w:val="both"/>
        <w:rPr>
          <w:color w:val="0070C0"/>
          <w:sz w:val="16"/>
          <w:szCs w:val="16"/>
        </w:rPr>
      </w:pPr>
      <w:r w:rsidRPr="00B52707">
        <w:rPr>
          <w:color w:val="0070C0"/>
          <w:sz w:val="16"/>
          <w:szCs w:val="16"/>
        </w:rPr>
        <w:t>Ко времени об'явления войны в составе наших воздухо</w:t>
      </w:r>
      <w:r w:rsidRPr="00B52707">
        <w:rPr>
          <w:color w:val="0070C0"/>
          <w:sz w:val="16"/>
          <w:szCs w:val="16"/>
        </w:rPr>
        <w:softHyphen/>
        <w:t>плавательных частей числились:</w:t>
      </w:r>
    </w:p>
    <w:p w14:paraId="12F971EC" w14:textId="77777777" w:rsidR="002F5B61" w:rsidRPr="00B52707" w:rsidRDefault="002F5B61" w:rsidP="002F5B61">
      <w:pPr>
        <w:jc w:val="both"/>
        <w:rPr>
          <w:color w:val="0070C0"/>
          <w:sz w:val="16"/>
          <w:szCs w:val="16"/>
        </w:rPr>
      </w:pPr>
      <w:r w:rsidRPr="00B52707">
        <w:rPr>
          <w:color w:val="0070C0"/>
          <w:sz w:val="16"/>
          <w:szCs w:val="16"/>
        </w:rPr>
        <w:t>1 воздухоплавательный батальон (из 2-х рот, из кото</w:t>
      </w:r>
      <w:r w:rsidRPr="00B52707">
        <w:rPr>
          <w:color w:val="0070C0"/>
          <w:sz w:val="16"/>
          <w:szCs w:val="16"/>
        </w:rPr>
        <w:softHyphen/>
        <w:t>рых одна снабжена была управляемыми, а другая привяз</w:t>
      </w:r>
      <w:r w:rsidRPr="00B52707">
        <w:rPr>
          <w:color w:val="0070C0"/>
          <w:sz w:val="16"/>
          <w:szCs w:val="16"/>
        </w:rPr>
        <w:softHyphen/>
        <w:t>ными аэростатами) при офицерской воздухоплавательной школе;</w:t>
      </w:r>
    </w:p>
    <w:p w14:paraId="069431D8" w14:textId="77777777" w:rsidR="002F5B61" w:rsidRPr="00B52707" w:rsidRDefault="002F5B61" w:rsidP="002F5B61">
      <w:pPr>
        <w:jc w:val="both"/>
        <w:rPr>
          <w:color w:val="0070C0"/>
          <w:sz w:val="16"/>
          <w:szCs w:val="16"/>
        </w:rPr>
      </w:pPr>
      <w:r w:rsidRPr="00B52707">
        <w:rPr>
          <w:color w:val="0070C0"/>
          <w:sz w:val="16"/>
          <w:szCs w:val="16"/>
        </w:rPr>
        <w:t>4 воздухоплавательные роты с управляемыми аэроста</w:t>
      </w:r>
      <w:r w:rsidRPr="00B52707">
        <w:rPr>
          <w:color w:val="0070C0"/>
          <w:sz w:val="16"/>
          <w:szCs w:val="16"/>
        </w:rPr>
        <w:softHyphen/>
        <w:t>тами (дирижаблями);</w:t>
      </w:r>
    </w:p>
    <w:p w14:paraId="7E48ED67" w14:textId="77777777" w:rsidR="002F5B61" w:rsidRPr="00B52707" w:rsidRDefault="002F5B61" w:rsidP="002F5B61">
      <w:pPr>
        <w:jc w:val="both"/>
        <w:rPr>
          <w:color w:val="0070C0"/>
          <w:sz w:val="16"/>
          <w:szCs w:val="16"/>
        </w:rPr>
      </w:pPr>
      <w:r w:rsidRPr="00B52707">
        <w:rPr>
          <w:color w:val="0070C0"/>
          <w:sz w:val="16"/>
          <w:szCs w:val="16"/>
        </w:rPr>
        <w:t>7 крепостных воздухоплавательных рот, расположен</w:t>
      </w:r>
      <w:r w:rsidRPr="00B52707">
        <w:rPr>
          <w:color w:val="0070C0"/>
          <w:sz w:val="16"/>
          <w:szCs w:val="16"/>
        </w:rPr>
        <w:softHyphen/>
        <w:t>ных в крепостях: Ковно, Гродно, Осовце, Брест-Литовске, Новогеоргиевске, Карсе и Владивостоке;</w:t>
      </w:r>
    </w:p>
    <w:p w14:paraId="4EC882A0" w14:textId="77777777" w:rsidR="002F5B61" w:rsidRPr="00B52707" w:rsidRDefault="002F5B61" w:rsidP="002F5B61">
      <w:pPr>
        <w:jc w:val="both"/>
        <w:rPr>
          <w:color w:val="0070C0"/>
          <w:sz w:val="16"/>
          <w:szCs w:val="16"/>
        </w:rPr>
      </w:pPr>
      <w:r w:rsidRPr="00B52707">
        <w:rPr>
          <w:color w:val="0070C0"/>
          <w:sz w:val="16"/>
          <w:szCs w:val="16"/>
        </w:rPr>
        <w:t>1 Свеаборгское крепостное воздухоплавательное отде</w:t>
      </w:r>
      <w:r w:rsidRPr="00B52707">
        <w:rPr>
          <w:color w:val="0070C0"/>
          <w:sz w:val="16"/>
          <w:szCs w:val="16"/>
        </w:rPr>
        <w:softHyphen/>
        <w:t>ление.</w:t>
      </w:r>
    </w:p>
    <w:p w14:paraId="7D4817DA" w14:textId="77777777" w:rsidR="002F5B61" w:rsidRPr="00B52707" w:rsidRDefault="002F5B61" w:rsidP="002F5B61">
      <w:pPr>
        <w:jc w:val="both"/>
        <w:rPr>
          <w:color w:val="0070C0"/>
          <w:sz w:val="16"/>
          <w:szCs w:val="16"/>
        </w:rPr>
      </w:pPr>
      <w:r w:rsidRPr="00B52707">
        <w:rPr>
          <w:color w:val="0070C0"/>
          <w:sz w:val="16"/>
          <w:szCs w:val="16"/>
        </w:rPr>
        <w:t>С об‘явлением войны воздухоплавательный батальон развернулся в три отдельные роты: одну с управляемым и две с привязными аэростатами (24923).</w:t>
      </w:r>
    </w:p>
    <w:p w14:paraId="51C7FD55" w14:textId="77777777" w:rsidR="002F5B61" w:rsidRPr="00B52707" w:rsidRDefault="002F5B61" w:rsidP="002F5B61">
      <w:pPr>
        <w:jc w:val="both"/>
        <w:rPr>
          <w:color w:val="0070C0"/>
          <w:sz w:val="16"/>
          <w:szCs w:val="16"/>
        </w:rPr>
      </w:pPr>
    </w:p>
    <w:p w14:paraId="004E7887" w14:textId="77777777" w:rsidR="002F5B61" w:rsidRPr="00B52707" w:rsidRDefault="002F5B61" w:rsidP="002F5B61">
      <w:pPr>
        <w:jc w:val="both"/>
        <w:rPr>
          <w:color w:val="0070C0"/>
          <w:sz w:val="16"/>
          <w:szCs w:val="16"/>
        </w:rPr>
      </w:pPr>
      <w:r w:rsidRPr="00B52707">
        <w:rPr>
          <w:color w:val="0070C0"/>
          <w:sz w:val="16"/>
          <w:szCs w:val="16"/>
        </w:rPr>
        <w:t>С об'явления войны до начала 1915 года заказано было в России и за границей всего около 300 аэропланов мелкими партиями (от 1 до 30 аэропланов), отчасти вследствие отдельных требований с фронта, а отчасти по инициативе самого ГВТУ (24923).</w:t>
      </w:r>
    </w:p>
    <w:p w14:paraId="5D7293EE" w14:textId="77777777" w:rsidR="002F5B61" w:rsidRPr="00B52707" w:rsidRDefault="002F5B61" w:rsidP="002F5B61">
      <w:pPr>
        <w:jc w:val="both"/>
        <w:rPr>
          <w:color w:val="0070C0"/>
          <w:sz w:val="16"/>
          <w:szCs w:val="16"/>
        </w:rPr>
      </w:pPr>
    </w:p>
    <w:p w14:paraId="0FA1F6D8" w14:textId="77777777" w:rsidR="002F5B61" w:rsidRPr="00B52707" w:rsidRDefault="002F5B61" w:rsidP="002F5B61">
      <w:pPr>
        <w:jc w:val="both"/>
        <w:rPr>
          <w:color w:val="0070C0"/>
          <w:sz w:val="16"/>
          <w:szCs w:val="16"/>
        </w:rPr>
      </w:pPr>
      <w:r w:rsidRPr="00B52707">
        <w:rPr>
          <w:color w:val="0070C0"/>
          <w:sz w:val="16"/>
          <w:szCs w:val="16"/>
        </w:rPr>
        <w:t>К началу войны снабжение аэропланов предметами вооружения до войны не предусматривалось табелями и поэтому авиационные отряды совершенно не имели никакого вооружения, хотя необходимость его была очевидна. Только во время самой войны ГВТУ, вследствие требований с фронта, приняло меры к выработке типов бомб для сбрасывания с аэропланов, зажигательных снарядов, стрел, летучих пуль и т. п. и к изготовлению всех этих предметов.</w:t>
      </w:r>
    </w:p>
    <w:p w14:paraId="5387751D" w14:textId="77777777" w:rsidR="002F5B61" w:rsidRPr="00B52707" w:rsidRDefault="002F5B61" w:rsidP="002F5B61">
      <w:pPr>
        <w:jc w:val="both"/>
        <w:rPr>
          <w:color w:val="0070C0"/>
          <w:sz w:val="16"/>
          <w:szCs w:val="16"/>
        </w:rPr>
      </w:pPr>
      <w:r w:rsidRPr="00B52707">
        <w:rPr>
          <w:color w:val="0070C0"/>
          <w:sz w:val="16"/>
          <w:szCs w:val="16"/>
        </w:rPr>
        <w:t>К 1 июля 1916 г. на фронт было отправлено: 71.530 бомб (снаряженных тротилом или динамитом, весом от 2 килогр. до 0,4 тон.), 1.830.000 стрел и пуль и 113.000 за</w:t>
      </w:r>
      <w:r w:rsidRPr="00B52707">
        <w:rPr>
          <w:color w:val="0070C0"/>
          <w:sz w:val="16"/>
          <w:szCs w:val="16"/>
        </w:rPr>
        <w:softHyphen/>
        <w:t>жигательных снарядов (24923).</w:t>
      </w:r>
    </w:p>
    <w:p w14:paraId="0EA4BFAA" w14:textId="77777777" w:rsidR="002F5B61" w:rsidRPr="00B52707" w:rsidRDefault="002F5B61" w:rsidP="002F5B61">
      <w:pPr>
        <w:jc w:val="both"/>
        <w:rPr>
          <w:color w:val="0070C0"/>
          <w:sz w:val="16"/>
          <w:szCs w:val="16"/>
        </w:rPr>
      </w:pPr>
    </w:p>
    <w:p w14:paraId="6159A656" w14:textId="77777777" w:rsidR="002F5B61" w:rsidRPr="00B52707" w:rsidRDefault="002F5B61" w:rsidP="002F5B61">
      <w:pPr>
        <w:jc w:val="both"/>
        <w:rPr>
          <w:color w:val="0070C0"/>
          <w:sz w:val="16"/>
          <w:szCs w:val="16"/>
        </w:rPr>
      </w:pPr>
      <w:r w:rsidRPr="00B52707">
        <w:rPr>
          <w:color w:val="0070C0"/>
          <w:sz w:val="16"/>
          <w:szCs w:val="16"/>
        </w:rPr>
        <w:t>В начале войны в действовавшую армию отправлен был, во-первых, „специальный" бензин, неподвергавшийся никакому предварительному испытанию, во-вторых, американский бензин, хотя, по отзыву военно-авиа</w:t>
      </w:r>
      <w:r w:rsidRPr="00B52707">
        <w:rPr>
          <w:color w:val="0070C0"/>
          <w:sz w:val="16"/>
          <w:szCs w:val="16"/>
        </w:rPr>
        <w:softHyphen/>
        <w:t>ционной школы, и пригодный для авиационных двигателей^ но, по своему удельному весу и вообще по своим качествам, приближавшийся к 2 сорту бензина Нобеля, и, наконец, задержанный на Владикавказской железной дороге бензин, признанный тою же школою нежелательным для авиацион</w:t>
      </w:r>
      <w:r w:rsidRPr="00B52707">
        <w:rPr>
          <w:color w:val="0070C0"/>
          <w:sz w:val="16"/>
          <w:szCs w:val="16"/>
        </w:rPr>
        <w:softHyphen/>
        <w:t>ных частей. В виду этого надо было ожидать, что эти части останутся недовольны высланным им бензином.</w:t>
      </w:r>
    </w:p>
    <w:p w14:paraId="474F1951" w14:textId="77777777" w:rsidR="002F5B61" w:rsidRPr="00B52707" w:rsidRDefault="002F5B61" w:rsidP="002F5B61">
      <w:pPr>
        <w:jc w:val="both"/>
        <w:rPr>
          <w:color w:val="0070C0"/>
          <w:sz w:val="16"/>
          <w:szCs w:val="16"/>
        </w:rPr>
      </w:pPr>
      <w:r w:rsidRPr="00B52707">
        <w:rPr>
          <w:color w:val="0070C0"/>
          <w:sz w:val="16"/>
          <w:szCs w:val="16"/>
        </w:rPr>
        <w:t>И, действительно, по мере поступления в действовавшую армию бензина, высланного из Петрограда со складов Но</w:t>
      </w:r>
      <w:r w:rsidRPr="00B52707">
        <w:rPr>
          <w:color w:val="0070C0"/>
          <w:sz w:val="16"/>
          <w:szCs w:val="16"/>
        </w:rPr>
        <w:softHyphen/>
        <w:t>беля и с Владикавказской железной дороги, авиационные части стали заявлять жалобы на плохое качество получен</w:t>
      </w:r>
      <w:r w:rsidRPr="00B52707">
        <w:rPr>
          <w:color w:val="0070C0"/>
          <w:sz w:val="16"/>
          <w:szCs w:val="16"/>
        </w:rPr>
        <w:softHyphen/>
        <w:t>ного ими бензина.</w:t>
      </w:r>
    </w:p>
    <w:p w14:paraId="408B1DBB" w14:textId="77777777" w:rsidR="002F5B61" w:rsidRPr="00B52707" w:rsidRDefault="002F5B61" w:rsidP="002F5B61">
      <w:pPr>
        <w:jc w:val="both"/>
        <w:rPr>
          <w:color w:val="0070C0"/>
          <w:sz w:val="16"/>
          <w:szCs w:val="16"/>
        </w:rPr>
      </w:pPr>
      <w:r w:rsidRPr="00B52707">
        <w:rPr>
          <w:color w:val="0070C0"/>
          <w:sz w:val="16"/>
          <w:szCs w:val="16"/>
        </w:rPr>
        <w:t>Специальные исследования, произведенные уже на. театре военных действий, подтвердили справедливость этих жалоб. Бензин, доставленный в авиационные части из Петрограда со складов Нобеля и носивший название «спе</w:t>
      </w:r>
      <w:r w:rsidRPr="00B52707">
        <w:rPr>
          <w:color w:val="0070C0"/>
          <w:sz w:val="16"/>
          <w:szCs w:val="16"/>
        </w:rPr>
        <w:softHyphen/>
        <w:t>циального», был подвергнут испытанию в комиссии, при чем она признала этот бензин непригодным для полетов, вследствие слишком большого удельного веса — 0,725, обу</w:t>
      </w:r>
      <w:r w:rsidRPr="00B52707">
        <w:rPr>
          <w:color w:val="0070C0"/>
          <w:sz w:val="16"/>
          <w:szCs w:val="16"/>
        </w:rPr>
        <w:softHyphen/>
        <w:t>словливающего быстрое уменьшение числа оборотов мотора при взлете аэроплана в высоту, а, следовательно, и умень</w:t>
      </w:r>
      <w:r w:rsidRPr="00B52707">
        <w:rPr>
          <w:color w:val="0070C0"/>
          <w:sz w:val="16"/>
          <w:szCs w:val="16"/>
        </w:rPr>
        <w:softHyphen/>
        <w:t>шение высоты полета. Подвергся испытанию и тот бензин, который был доставлен в действовавшую армию из г. Гроз</w:t>
      </w:r>
      <w:r w:rsidRPr="00B52707">
        <w:rPr>
          <w:color w:val="0070C0"/>
          <w:sz w:val="16"/>
          <w:szCs w:val="16"/>
        </w:rPr>
        <w:softHyphen/>
        <w:t>ного. Это исследование было произведено по распоряже</w:t>
      </w:r>
      <w:r w:rsidRPr="00B52707">
        <w:rPr>
          <w:color w:val="0070C0"/>
          <w:sz w:val="16"/>
          <w:szCs w:val="16"/>
        </w:rPr>
        <w:softHyphen/>
        <w:t>нию заведывающего авиациею в действовавшей армии,' в присутствии экспертов на Киевском казенном ректифи</w:t>
      </w:r>
      <w:r w:rsidRPr="00B52707">
        <w:rPr>
          <w:color w:val="0070C0"/>
          <w:sz w:val="16"/>
          <w:szCs w:val="16"/>
        </w:rPr>
        <w:softHyphen/>
        <w:t>кационном заводе, при чем эксперты дали следующее за</w:t>
      </w:r>
      <w:r w:rsidRPr="00B52707">
        <w:rPr>
          <w:color w:val="0070C0"/>
          <w:sz w:val="16"/>
          <w:szCs w:val="16"/>
        </w:rPr>
        <w:softHyphen/>
        <w:t>ключение:</w:t>
      </w:r>
    </w:p>
    <w:p w14:paraId="34005897" w14:textId="77777777" w:rsidR="002F5B61" w:rsidRPr="00B52707" w:rsidRDefault="002F5B61" w:rsidP="002F5B61">
      <w:pPr>
        <w:jc w:val="both"/>
        <w:rPr>
          <w:color w:val="0070C0"/>
          <w:sz w:val="16"/>
          <w:szCs w:val="16"/>
        </w:rPr>
      </w:pPr>
      <w:bookmarkStart w:id="91" w:name="bookmark117"/>
      <w:bookmarkEnd w:id="91"/>
      <w:r w:rsidRPr="00B52707">
        <w:rPr>
          <w:color w:val="0070C0"/>
          <w:sz w:val="16"/>
          <w:szCs w:val="16"/>
        </w:rPr>
        <w:t>«Хотя исследуемый бензин и имеет удельный вес 0,700, но, вследствие присутствия в нем громадного коли</w:t>
      </w:r>
      <w:r w:rsidRPr="00B52707">
        <w:rPr>
          <w:color w:val="0070C0"/>
          <w:sz w:val="16"/>
          <w:szCs w:val="16"/>
        </w:rPr>
        <w:softHyphen/>
        <w:t>чества эфирообразных продуктов, он не удовлетворяет тре</w:t>
      </w:r>
      <w:r w:rsidRPr="00B52707">
        <w:rPr>
          <w:color w:val="0070C0"/>
          <w:sz w:val="16"/>
          <w:szCs w:val="16"/>
        </w:rPr>
        <w:softHyphen/>
        <w:t>бованиям, пред'являемым к бензину 1-го сорта;</w:t>
      </w:r>
    </w:p>
    <w:p w14:paraId="0C53618A" w14:textId="77777777" w:rsidR="002F5B61" w:rsidRPr="00B52707" w:rsidRDefault="002F5B61" w:rsidP="002F5B61">
      <w:pPr>
        <w:jc w:val="both"/>
        <w:rPr>
          <w:color w:val="0070C0"/>
          <w:sz w:val="16"/>
          <w:szCs w:val="16"/>
        </w:rPr>
      </w:pPr>
      <w:bookmarkStart w:id="92" w:name="bookmark118"/>
      <w:bookmarkEnd w:id="92"/>
      <w:r w:rsidRPr="00B52707">
        <w:rPr>
          <w:color w:val="0070C0"/>
          <w:sz w:val="16"/>
          <w:szCs w:val="16"/>
        </w:rPr>
        <w:t>присутствие в бензине значительного количества легко испаряющегося дистиллата удельного веса 0,616 должно обусловливать, с течением времени, вследствие испарения дистиллата, увеличение удельного веса бензина до 0,710 и более;</w:t>
      </w:r>
    </w:p>
    <w:p w14:paraId="75D1A5F3" w14:textId="77777777" w:rsidR="002F5B61" w:rsidRPr="00B52707" w:rsidRDefault="002F5B61" w:rsidP="002F5B61">
      <w:pPr>
        <w:jc w:val="both"/>
        <w:rPr>
          <w:color w:val="0070C0"/>
          <w:sz w:val="16"/>
          <w:szCs w:val="16"/>
        </w:rPr>
      </w:pPr>
      <w:bookmarkStart w:id="93" w:name="bookmark119"/>
      <w:bookmarkEnd w:id="93"/>
      <w:r w:rsidRPr="00B52707">
        <w:rPr>
          <w:color w:val="0070C0"/>
          <w:sz w:val="16"/>
          <w:szCs w:val="16"/>
        </w:rPr>
        <w:t>присутствие дистиллата в бензине вообще можно объяснить тем, что продавцы примешивают его к тяжелому бензину для того, чтобы получить смесь, имеющую такой удельный вес, который требуется от бензина 1-го сорта» (24923).</w:t>
      </w:r>
    </w:p>
    <w:p w14:paraId="06D84BAC" w14:textId="77777777" w:rsidR="002F5B61" w:rsidRPr="00B52707" w:rsidRDefault="002F5B61" w:rsidP="002F5B61">
      <w:pPr>
        <w:jc w:val="both"/>
        <w:rPr>
          <w:color w:val="0070C0"/>
          <w:sz w:val="16"/>
          <w:szCs w:val="16"/>
        </w:rPr>
      </w:pPr>
    </w:p>
    <w:p w14:paraId="32DBCAA5" w14:textId="77777777" w:rsidR="002F5B61" w:rsidRPr="00B52707" w:rsidRDefault="002F5B61" w:rsidP="002F5B61">
      <w:pPr>
        <w:jc w:val="both"/>
        <w:rPr>
          <w:color w:val="0070C0"/>
          <w:sz w:val="16"/>
          <w:szCs w:val="16"/>
        </w:rPr>
      </w:pPr>
      <w:r w:rsidRPr="00B52707">
        <w:rPr>
          <w:color w:val="0070C0"/>
          <w:sz w:val="16"/>
          <w:szCs w:val="16"/>
        </w:rPr>
        <w:t>Началу войны, согласно табелям, полагалось иметь в каждой из 8 рот с привязными аэростатами по 6 змейковых аппаратов, в кре</w:t>
      </w:r>
      <w:r w:rsidRPr="00B52707">
        <w:rPr>
          <w:color w:val="0070C0"/>
          <w:sz w:val="16"/>
          <w:szCs w:val="16"/>
        </w:rPr>
        <w:softHyphen/>
        <w:t>постном отделении 2 змейковых аэростата и в каждой из 5-ти рот с управляемыми аэростатами по одному аппарату. Следовательно, к началу войны в наших воздухоплаватель</w:t>
      </w:r>
      <w:r w:rsidRPr="00B52707">
        <w:rPr>
          <w:color w:val="0070C0"/>
          <w:sz w:val="16"/>
          <w:szCs w:val="16"/>
        </w:rPr>
        <w:softHyphen/>
        <w:t>ных частях должно было быть 50 змейковых и 5 управляе</w:t>
      </w:r>
      <w:r w:rsidRPr="00B52707">
        <w:rPr>
          <w:color w:val="0070C0"/>
          <w:sz w:val="16"/>
          <w:szCs w:val="16"/>
        </w:rPr>
        <w:softHyphen/>
        <w:t>мых аэростатов; состояло же на лицо, не считая малых учебных, 43 змейковых (не доставало 3 в Карской и по од</w:t>
      </w:r>
      <w:r w:rsidRPr="00B52707">
        <w:rPr>
          <w:color w:val="0070C0"/>
          <w:sz w:val="16"/>
          <w:szCs w:val="16"/>
        </w:rPr>
        <w:softHyphen/>
        <w:t>ному— в Гродненской, Осовецкой, Брест-Литовской и Ново</w:t>
      </w:r>
      <w:r w:rsidRPr="00B52707">
        <w:rPr>
          <w:color w:val="0070C0"/>
          <w:sz w:val="16"/>
          <w:szCs w:val="16"/>
        </w:rPr>
        <w:softHyphen/>
        <w:t>георгиевской крепостях) и 4 управляемых аэростата (не до</w:t>
      </w:r>
      <w:r w:rsidRPr="00B52707">
        <w:rPr>
          <w:color w:val="0070C0"/>
          <w:sz w:val="16"/>
          <w:szCs w:val="16"/>
        </w:rPr>
        <w:softHyphen/>
        <w:t>ставало одного в Сибирской воздухоплавательной роте).</w:t>
      </w:r>
    </w:p>
    <w:p w14:paraId="34F9E885" w14:textId="77777777" w:rsidR="002F5B61" w:rsidRPr="00B52707" w:rsidRDefault="002F5B61" w:rsidP="002F5B61">
      <w:pPr>
        <w:jc w:val="both"/>
        <w:rPr>
          <w:color w:val="0070C0"/>
          <w:sz w:val="16"/>
          <w:szCs w:val="16"/>
        </w:rPr>
      </w:pPr>
      <w:r w:rsidRPr="00B52707">
        <w:rPr>
          <w:color w:val="0070C0"/>
          <w:sz w:val="16"/>
          <w:szCs w:val="16"/>
        </w:rPr>
        <w:t>Три дирижабля — «Альбатрос», «Кондор» и «Астра» принадлежали к полужесткой системе, а четвертый — «Парсеваль» — к мягкой. Аэростатов жесткой системы, типа цеп</w:t>
      </w:r>
      <w:r w:rsidRPr="00B52707">
        <w:rPr>
          <w:color w:val="0070C0"/>
          <w:sz w:val="16"/>
          <w:szCs w:val="16"/>
        </w:rPr>
        <w:softHyphen/>
        <w:t>пелинов, у нас не заказывалось, хотя в 1912 году Ижорский завод и предлагал изготовлять такие аэростаты. Названные дирижабли как по скорости хода, так и по высоте под‘ема, более подходили к учебным, чем к боевым аэростатам. Это видно, между прочим, из того, что за время войны был сделан только один полет по заданию для бросания бомб в ст. Лык, на весьма незначительную дистанцию; это за</w:t>
      </w:r>
      <w:r w:rsidRPr="00B52707">
        <w:rPr>
          <w:color w:val="0070C0"/>
          <w:sz w:val="16"/>
          <w:szCs w:val="16"/>
        </w:rPr>
        <w:softHyphen/>
        <w:t>дание удалось осуществить, только вследствие благоприят</w:t>
      </w:r>
      <w:r w:rsidRPr="00B52707">
        <w:rPr>
          <w:color w:val="0070C0"/>
          <w:sz w:val="16"/>
          <w:szCs w:val="16"/>
        </w:rPr>
        <w:softHyphen/>
        <w:t>ного стечения обстоятельств.</w:t>
      </w:r>
    </w:p>
    <w:p w14:paraId="725A0237" w14:textId="77777777" w:rsidR="002F5B61" w:rsidRPr="00B52707" w:rsidRDefault="002F5B61" w:rsidP="002F5B61">
      <w:pPr>
        <w:jc w:val="both"/>
        <w:rPr>
          <w:color w:val="0070C0"/>
          <w:sz w:val="16"/>
          <w:szCs w:val="16"/>
        </w:rPr>
      </w:pPr>
      <w:r w:rsidRPr="00B52707">
        <w:rPr>
          <w:color w:val="0070C0"/>
          <w:sz w:val="16"/>
          <w:szCs w:val="16"/>
        </w:rPr>
        <w:t>Для дирижаблей построены были большие, средние и малые эллинги в следующих пунктах: в Сализях (близ Гатчины), Ковно, Белостоке, Брест-Литовске, Лиде, Берди- чеве, Луцке (переносный) и Петрограде.</w:t>
      </w:r>
    </w:p>
    <w:p w14:paraId="0213F843" w14:textId="77777777" w:rsidR="002F5B61" w:rsidRPr="00B52707" w:rsidRDefault="002F5B61" w:rsidP="002F5B61">
      <w:pPr>
        <w:jc w:val="both"/>
        <w:rPr>
          <w:color w:val="0070C0"/>
          <w:sz w:val="16"/>
          <w:szCs w:val="16"/>
        </w:rPr>
      </w:pPr>
      <w:r w:rsidRPr="00B52707">
        <w:rPr>
          <w:color w:val="0070C0"/>
          <w:sz w:val="16"/>
          <w:szCs w:val="16"/>
        </w:rPr>
        <w:t>Надо заметить, что управляемые аэростаты представляют собою весьма сложные и громоздкие аппараты, с массой мелких частей важного для жизненности всей системы зна</w:t>
      </w:r>
      <w:r w:rsidRPr="00B52707">
        <w:rPr>
          <w:color w:val="0070C0"/>
          <w:sz w:val="16"/>
          <w:szCs w:val="16"/>
        </w:rPr>
        <w:softHyphen/>
        <w:t>чения и в то же время они являются машинами очень хрупкой конструкции, склонными к поломкам и подвержен</w:t>
      </w:r>
      <w:r w:rsidRPr="00B52707">
        <w:rPr>
          <w:color w:val="0070C0"/>
          <w:sz w:val="16"/>
          <w:szCs w:val="16"/>
        </w:rPr>
        <w:softHyphen/>
        <w:t>ными всяким случайностям как со стороны внешних усло</w:t>
      </w:r>
      <w:r w:rsidRPr="00B52707">
        <w:rPr>
          <w:color w:val="0070C0"/>
          <w:sz w:val="16"/>
          <w:szCs w:val="16"/>
        </w:rPr>
        <w:softHyphen/>
        <w:t>вий, так равно и со стороны правильности функциониро</w:t>
      </w:r>
      <w:r w:rsidRPr="00B52707">
        <w:rPr>
          <w:color w:val="0070C0"/>
          <w:sz w:val="16"/>
          <w:szCs w:val="16"/>
        </w:rPr>
        <w:softHyphen/>
        <w:t>вания всех своих механизмов.</w:t>
      </w:r>
    </w:p>
    <w:p w14:paraId="5327D49E" w14:textId="77777777" w:rsidR="002F5B61" w:rsidRPr="00B52707" w:rsidRDefault="002F5B61" w:rsidP="002F5B61">
      <w:pPr>
        <w:jc w:val="both"/>
        <w:rPr>
          <w:color w:val="0070C0"/>
          <w:sz w:val="16"/>
          <w:szCs w:val="16"/>
        </w:rPr>
      </w:pPr>
      <w:r w:rsidRPr="00B52707">
        <w:rPr>
          <w:color w:val="0070C0"/>
          <w:sz w:val="16"/>
          <w:szCs w:val="16"/>
        </w:rPr>
        <w:t>В виду таких свойств управляемых аэростатов упра</w:t>
      </w:r>
      <w:r w:rsidRPr="00B52707">
        <w:rPr>
          <w:color w:val="0070C0"/>
          <w:sz w:val="16"/>
          <w:szCs w:val="16"/>
        </w:rPr>
        <w:softHyphen/>
        <w:t>вление ими требует особенно хорошо подготовленного команд</w:t>
      </w:r>
      <w:r w:rsidRPr="00B52707">
        <w:rPr>
          <w:color w:val="0070C0"/>
          <w:sz w:val="16"/>
          <w:szCs w:val="16"/>
        </w:rPr>
        <w:softHyphen/>
        <w:t>ного состава, который должен практически изучить все ка</w:t>
      </w:r>
      <w:r w:rsidRPr="00B52707">
        <w:rPr>
          <w:color w:val="0070C0"/>
          <w:sz w:val="16"/>
          <w:szCs w:val="16"/>
        </w:rPr>
        <w:softHyphen/>
        <w:t>чествами особенности своего дирижабля.</w:t>
      </w:r>
    </w:p>
    <w:p w14:paraId="3A1486AB" w14:textId="77777777" w:rsidR="002F5B61" w:rsidRPr="00B52707" w:rsidRDefault="002F5B61" w:rsidP="002F5B61">
      <w:pPr>
        <w:jc w:val="both"/>
        <w:rPr>
          <w:color w:val="0070C0"/>
          <w:sz w:val="16"/>
          <w:szCs w:val="16"/>
        </w:rPr>
      </w:pPr>
      <w:r w:rsidRPr="00B52707">
        <w:rPr>
          <w:color w:val="0070C0"/>
          <w:sz w:val="16"/>
          <w:szCs w:val="16"/>
        </w:rPr>
        <w:t>Между тем, для службы с нашими дирижаблями, вы</w:t>
      </w:r>
      <w:r w:rsidRPr="00B52707">
        <w:rPr>
          <w:color w:val="0070C0"/>
          <w:sz w:val="16"/>
          <w:szCs w:val="16"/>
        </w:rPr>
        <w:softHyphen/>
        <w:t>ставленными на фронт, был назначен не тот командный со</w:t>
      </w:r>
      <w:r w:rsidRPr="00B52707">
        <w:rPr>
          <w:color w:val="0070C0"/>
          <w:sz w:val="16"/>
          <w:szCs w:val="16"/>
        </w:rPr>
        <w:softHyphen/>
        <w:t>став, который готовился к этому в мирное время, а новый, совершенно не подготовленный к службе с дирижаблями. Только шесть месяцев спустя после начала войны удалось получить в роты для дирижаблей несколько офицеров, обу</w:t>
      </w:r>
      <w:r w:rsidRPr="00B52707">
        <w:rPr>
          <w:color w:val="0070C0"/>
          <w:sz w:val="16"/>
          <w:szCs w:val="16"/>
        </w:rPr>
        <w:softHyphen/>
        <w:t>чавшихся службе с этими аэростатами в мирное время, и подготовить совершенно заново команды для ночных про</w:t>
      </w:r>
      <w:r w:rsidRPr="00B52707">
        <w:rPr>
          <w:color w:val="0070C0"/>
          <w:sz w:val="16"/>
          <w:szCs w:val="16"/>
        </w:rPr>
        <w:softHyphen/>
        <w:t>должительных и на большой высоте полетов (24923).</w:t>
      </w:r>
    </w:p>
    <w:p w14:paraId="407F33B9" w14:textId="77777777" w:rsidR="002F5B61" w:rsidRPr="00B52707" w:rsidRDefault="002F5B61" w:rsidP="002F5B61">
      <w:pPr>
        <w:jc w:val="both"/>
        <w:rPr>
          <w:color w:val="0070C0"/>
          <w:sz w:val="16"/>
          <w:szCs w:val="16"/>
        </w:rPr>
      </w:pPr>
    </w:p>
    <w:p w14:paraId="6AF025BC" w14:textId="77777777" w:rsidR="002F5B61" w:rsidRPr="00B52707" w:rsidRDefault="002F5B61" w:rsidP="002F5B61">
      <w:pPr>
        <w:jc w:val="both"/>
        <w:rPr>
          <w:color w:val="0070C0"/>
          <w:sz w:val="16"/>
          <w:szCs w:val="16"/>
        </w:rPr>
      </w:pPr>
      <w:r w:rsidRPr="00B52707">
        <w:rPr>
          <w:color w:val="0070C0"/>
          <w:sz w:val="16"/>
          <w:szCs w:val="16"/>
        </w:rPr>
        <w:t>К началу Первой мировой войны российские заводы произвели по государственным заказам около 500 самолетов (24966).</w:t>
      </w:r>
    </w:p>
    <w:p w14:paraId="19E47BDC" w14:textId="77777777" w:rsidR="002F5B61" w:rsidRPr="00B52707" w:rsidRDefault="002F5B61" w:rsidP="002F5B61">
      <w:pPr>
        <w:jc w:val="both"/>
        <w:rPr>
          <w:color w:val="0070C0"/>
          <w:sz w:val="16"/>
          <w:szCs w:val="16"/>
        </w:rPr>
      </w:pPr>
    </w:p>
    <w:p w14:paraId="6D706363" w14:textId="77777777" w:rsidR="002F5B61" w:rsidRPr="00B52707" w:rsidRDefault="002F5B61" w:rsidP="002F5B61">
      <w:pPr>
        <w:jc w:val="both"/>
        <w:rPr>
          <w:color w:val="0070C0"/>
          <w:sz w:val="16"/>
          <w:szCs w:val="16"/>
        </w:rPr>
      </w:pPr>
      <w:r w:rsidRPr="00B52707">
        <w:rPr>
          <w:color w:val="0070C0"/>
          <w:sz w:val="16"/>
          <w:szCs w:val="16"/>
        </w:rPr>
        <w:t xml:space="preserve">Накануне войны артиллерийские орудия в России производили арсеналы I разряда (Петербургский, Брянский, Киевский) и арсеналы II разряда (Варшавский, Тифлисский и Хабаровский). Изготовляли орудия для армии Обуховский сталелитейный завод морского ведомства и Пермский пушечный завод горного ведомства. </w:t>
      </w:r>
      <w:r w:rsidRPr="00B52707">
        <w:rPr>
          <w:color w:val="0070C0"/>
          <w:sz w:val="16"/>
          <w:szCs w:val="16"/>
        </w:rPr>
        <w:lastRenderedPageBreak/>
        <w:t>Военные заказы выполнял ряд крупных частных заводов: Путиловский, Гельсингфорский, Балтийский, Коломенский, Сормовский и др. Однако только Путиловский осуществлял полный цикл производства. Остальные изготавливали отдельные детали: лафеты, артиллерийский обоз и т.п. В годы войны ГАУ удалось привлечь к выполнению заказов на производство артиллерийских орудий и боеприпасов к ним большое количество казенных и частных заводов. Выпуск орудий рос стремительно, хотя и отставал от потребности. Если в 1915 г. заводами было выпущено 2 106 орудий, то в 1916 г. уже 5135 (Шигалин Г.И. Военная экономика в первую мировую войну (1914–1918 гг.). М., 1956. С. 173) (25601).</w:t>
      </w:r>
    </w:p>
    <w:p w14:paraId="0BA1BD36" w14:textId="77777777" w:rsidR="002F5B61" w:rsidRPr="00B52707" w:rsidRDefault="002F5B61" w:rsidP="002F5B61">
      <w:pPr>
        <w:jc w:val="both"/>
        <w:rPr>
          <w:color w:val="0070C0"/>
          <w:sz w:val="16"/>
          <w:szCs w:val="16"/>
        </w:rPr>
      </w:pPr>
    </w:p>
    <w:p w14:paraId="56E477FD" w14:textId="77777777" w:rsidR="002F5B61" w:rsidRPr="00B52707" w:rsidRDefault="002F5B61" w:rsidP="002F5B61">
      <w:pPr>
        <w:jc w:val="both"/>
        <w:rPr>
          <w:color w:val="0070C0"/>
          <w:sz w:val="16"/>
          <w:szCs w:val="16"/>
        </w:rPr>
      </w:pPr>
      <w:r w:rsidRPr="00B52707">
        <w:rPr>
          <w:color w:val="0070C0"/>
          <w:sz w:val="16"/>
          <w:szCs w:val="16"/>
        </w:rPr>
        <w:t>К началу Первой мировой войны были учтены 187 тракторов различных марок, использовавшихся в народном хозяйстве страны. К 1917 г. за счет импорта (главным образом для военного ведомства) тракторный парк увеличился до 1500 машин. К этому времени почти все имевшиеся в народном хозяйстве тракторы были реквизированы военными.</w:t>
      </w:r>
    </w:p>
    <w:p w14:paraId="15DC07AB" w14:textId="77777777" w:rsidR="002F5B61" w:rsidRPr="00B52707" w:rsidRDefault="002F5B61" w:rsidP="002F5B61">
      <w:pPr>
        <w:jc w:val="both"/>
        <w:rPr>
          <w:color w:val="0070C0"/>
          <w:sz w:val="16"/>
          <w:szCs w:val="16"/>
        </w:rPr>
      </w:pPr>
      <w:r w:rsidRPr="00B52707">
        <w:rPr>
          <w:color w:val="0070C0"/>
          <w:sz w:val="16"/>
          <w:szCs w:val="16"/>
        </w:rPr>
        <w:t>После революции, поражения в империалистической войне, начала Гражданской войны и интервенции тракторный парк народного хозяйства пришел в запустение. К 1921 г. в РСФСР было учтено 60 исправных тракторов, имевшихся в народном хозяйстве. В 1922–1923 гг. Муганское мелиоративное строительство, Техноимпорт, общество Агро-Джойнт, Селотехника, миссия доктора Нансена, Межрабпром в Сибири, Сахаротрест, Центросоюз, научные учреждения и отдельные организации (без учета закупок военного ведомства) ввезли из-за границы 1000 тракторов различных марок (25580).</w:t>
      </w:r>
    </w:p>
    <w:p w14:paraId="351EEE08" w14:textId="77777777" w:rsidR="002F5B61" w:rsidRPr="00B52707" w:rsidRDefault="002F5B61" w:rsidP="002F5B61">
      <w:pPr>
        <w:jc w:val="both"/>
        <w:rPr>
          <w:color w:val="0070C0"/>
          <w:sz w:val="16"/>
          <w:szCs w:val="16"/>
        </w:rPr>
      </w:pPr>
    </w:p>
    <w:p w14:paraId="7E9E8A9C" w14:textId="77777777" w:rsidR="002F5B61" w:rsidRPr="00B52707" w:rsidRDefault="002F5B61" w:rsidP="002F5B61">
      <w:pPr>
        <w:jc w:val="both"/>
        <w:rPr>
          <w:color w:val="0070C0"/>
          <w:sz w:val="16"/>
          <w:szCs w:val="16"/>
        </w:rPr>
      </w:pPr>
      <w:r w:rsidRPr="00B52707">
        <w:rPr>
          <w:rStyle w:val="ab"/>
          <w:rFonts w:ascii="Times New Roman" w:hAnsi="Times New Roman"/>
          <w:color w:val="0070C0"/>
          <w:spacing w:val="0"/>
          <w:sz w:val="16"/>
          <w:szCs w:val="16"/>
        </w:rPr>
        <w:t>К началу Первой мировой войны в распоряжении Балтфлота имелось семь летающих лодок: пять ЛА типа «С-Х», один - «Фарман- XVI» и воздушный корабль «Илья Муромец» (переоборудованный в поплавковый вариант).</w:t>
      </w:r>
    </w:p>
    <w:p w14:paraId="23387D7B" w14:textId="77777777" w:rsidR="002F5B61" w:rsidRPr="00B52707" w:rsidRDefault="002F5B61" w:rsidP="002F5B61">
      <w:pPr>
        <w:jc w:val="both"/>
        <w:rPr>
          <w:color w:val="0070C0"/>
          <w:sz w:val="16"/>
          <w:szCs w:val="16"/>
        </w:rPr>
      </w:pPr>
      <w:r w:rsidRPr="00B52707">
        <w:rPr>
          <w:rStyle w:val="ab"/>
          <w:rFonts w:ascii="Times New Roman" w:hAnsi="Times New Roman"/>
          <w:color w:val="0070C0"/>
          <w:spacing w:val="0"/>
          <w:sz w:val="16"/>
          <w:szCs w:val="16"/>
        </w:rPr>
        <w:t>Командование Балтийского флота, имея сведения о концентрации в Северном море крупной группировки германских кораблей с дополнительным развертыванием на севере Германии воздушных баз, уже в предвоенные годы озаботилось мерами противовоздушного характера. Шла проработка вопроса по оснащению противодесантной и зенитной артиллерией укреплений Або-Оландской и Ревель-Поркалаудской позиций на подступах к Финскому заливу. Продолжались работы по переоборудованию крепостных сооружений о. Котлин и прилегавших к нему фортов. В ближайшем будущем планировалось разместить на крупных морских судах зенитные орудия. С этой целью морское ведомство летом 1914 года сделало заказ столичному Обществу Путиловских заводов на приобретение первой партии специальных зенитных орудий (морского типа) на тумбовых установках (25166).</w:t>
      </w:r>
    </w:p>
    <w:p w14:paraId="4932A66F" w14:textId="77777777" w:rsidR="002F5B61" w:rsidRPr="00B52707" w:rsidRDefault="002F5B61" w:rsidP="002F5B61">
      <w:pPr>
        <w:jc w:val="both"/>
        <w:rPr>
          <w:color w:val="0070C0"/>
          <w:sz w:val="16"/>
          <w:szCs w:val="16"/>
        </w:rPr>
      </w:pPr>
    </w:p>
    <w:p w14:paraId="5D23AFA2"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Армия:</w:t>
      </w:r>
    </w:p>
    <w:p w14:paraId="3D15C466" w14:textId="77777777" w:rsidR="00B67D7C" w:rsidRPr="00DE096C" w:rsidRDefault="00B67D7C" w:rsidP="00D45A46">
      <w:pPr>
        <w:shd w:val="clear" w:color="auto" w:fill="FFFFFF"/>
        <w:jc w:val="both"/>
        <w:rPr>
          <w:bCs/>
          <w:i/>
          <w:color w:val="002060"/>
          <w:sz w:val="16"/>
          <w:szCs w:val="16"/>
        </w:rPr>
      </w:pPr>
    </w:p>
    <w:p w14:paraId="6981ED64" w14:textId="77777777" w:rsidR="002F5B61" w:rsidRPr="00B52707" w:rsidRDefault="002F5B61" w:rsidP="002F5B61">
      <w:pPr>
        <w:jc w:val="both"/>
        <w:rPr>
          <w:color w:val="0070C0"/>
          <w:sz w:val="16"/>
          <w:szCs w:val="16"/>
        </w:rPr>
      </w:pPr>
      <w:r w:rsidRPr="00B52707">
        <w:rPr>
          <w:color w:val="0070C0"/>
          <w:sz w:val="16"/>
          <w:szCs w:val="16"/>
        </w:rPr>
        <w:t>19 июля (1 августа) 1914 г. в 18:00 в Германии в Берлине послу России Сазонову официально объявлено о состоянии войны между Германией и Россией в связи с ее позицией в отношении кризиса между Австро-Венгрией и Сербией и проводимой всеобщей мобилизацией (25704_.</w:t>
      </w:r>
    </w:p>
    <w:p w14:paraId="387D1754" w14:textId="77777777" w:rsidR="002F5B61" w:rsidRPr="00B52707" w:rsidRDefault="002F5B61" w:rsidP="002F5B61">
      <w:pPr>
        <w:jc w:val="both"/>
        <w:rPr>
          <w:color w:val="0070C0"/>
          <w:sz w:val="16"/>
          <w:szCs w:val="16"/>
        </w:rPr>
      </w:pPr>
    </w:p>
    <w:p w14:paraId="595EE606" w14:textId="5A606551" w:rsidR="00E02878" w:rsidRPr="00DE096C" w:rsidRDefault="00E02878" w:rsidP="00D45A46">
      <w:pPr>
        <w:jc w:val="both"/>
        <w:rPr>
          <w:bCs/>
          <w:color w:val="002060"/>
          <w:sz w:val="16"/>
          <w:szCs w:val="16"/>
        </w:rPr>
      </w:pPr>
      <w:r w:rsidRPr="00DE096C">
        <w:rPr>
          <w:bCs/>
          <w:color w:val="002060"/>
          <w:sz w:val="16"/>
          <w:szCs w:val="16"/>
        </w:rPr>
        <w:t>К 19 июля (</w:t>
      </w:r>
      <w:r w:rsidR="00B0661F" w:rsidRPr="00DE096C">
        <w:rPr>
          <w:bCs/>
          <w:color w:val="002060"/>
          <w:sz w:val="16"/>
          <w:szCs w:val="16"/>
        </w:rPr>
        <w:t>1</w:t>
      </w:r>
      <w:r w:rsidRPr="00DE096C">
        <w:rPr>
          <w:bCs/>
          <w:color w:val="002060"/>
          <w:sz w:val="16"/>
          <w:szCs w:val="16"/>
        </w:rPr>
        <w:t xml:space="preserve"> августа) 1914 г. </w:t>
      </w:r>
      <w:r w:rsidR="00B0661F" w:rsidRPr="00DE096C">
        <w:rPr>
          <w:bCs/>
          <w:color w:val="002060"/>
          <w:sz w:val="16"/>
          <w:szCs w:val="16"/>
        </w:rPr>
        <w:t xml:space="preserve">- </w:t>
      </w:r>
      <w:r w:rsidRPr="00DE096C">
        <w:rPr>
          <w:bCs/>
          <w:color w:val="002060"/>
          <w:sz w:val="16"/>
          <w:szCs w:val="16"/>
        </w:rPr>
        <w:t>началу войны</w:t>
      </w:r>
      <w:r w:rsidR="00B0661F" w:rsidRPr="00DE096C">
        <w:rPr>
          <w:bCs/>
          <w:color w:val="002060"/>
          <w:sz w:val="16"/>
          <w:szCs w:val="16"/>
        </w:rPr>
        <w:t xml:space="preserve"> - </w:t>
      </w:r>
      <w:r w:rsidRPr="00DE096C">
        <w:rPr>
          <w:bCs/>
          <w:color w:val="002060"/>
          <w:sz w:val="16"/>
          <w:szCs w:val="16"/>
        </w:rPr>
        <w:t>в результате претворения в жизнь идеологии Военного министра в отношении авиации сложилась достаточно сложная система управления авиационными отрядами. Военный министр возложил на ГВТУ весьма расплывчатые функции в отношении авиачастей, которые можно обобщить понятием «руководство в техническом отношении». Проверку же их готовности к выполнению боевых задач должно было осуществлять ГУ ГШ. В итоге получилось, что ГВТУ руководит, но не проверяет, а ГУ ГШ проверяет, но не руководит. В строевом же отношении авиачасти подчинялись начальникам штабов округов. Позднее ГВТУ все таки добилось возложения контроля над специальной подготовкой авиачастей на инспекторов инженерных частей округов через введение должностей их помощников по авиационной части. Поскольку же эти инспекторы находились в техническом отношении в подчинении у ГВТУ, то специальная подготовка стала контролироваться одновременно и ГВТУ, и ГУ ГШ. В условиях, когда между этими Управлениями постоянно возникали трения, о выражении единой воли в управлении авиачастями не могло быть и речи (19566).</w:t>
      </w:r>
    </w:p>
    <w:p w14:paraId="28AB4986" w14:textId="77777777" w:rsidR="00E02878" w:rsidRPr="00DE096C" w:rsidRDefault="00E02878" w:rsidP="00D45A46">
      <w:pPr>
        <w:pStyle w:val="af3"/>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Новыми штатами авиационные отряды подразделялись на 4 категории: полевые (армейские), корпусные, крепостные и особого назначения. Это осложнило выбор типов самолётов на ближайшую перспективу. Например, какие и для решения каких задач нужны типы самолётов: ведение ближней воздушной разведки, организация связи, корректировка артиллерийского огня, бомбометания. В военном ведомстве и на страницах газет и журналов велась дискуссия, какими самолётами должна оснащаться русская авиация. Высказывалось мнение, что самолёты должны оснащаться стрелковым оружием, пулемётами и гранатами, что нужны самолёты для уничтожения самолётов противника в воздухе (20112).</w:t>
      </w:r>
    </w:p>
    <w:p w14:paraId="4E306F3F" w14:textId="77777777" w:rsidR="00E02878" w:rsidRPr="00DE096C" w:rsidRDefault="00E02878" w:rsidP="00D45A46">
      <w:pPr>
        <w:jc w:val="both"/>
        <w:rPr>
          <w:bCs/>
          <w:color w:val="002060"/>
          <w:sz w:val="16"/>
          <w:szCs w:val="16"/>
        </w:rPr>
      </w:pPr>
    </w:p>
    <w:p w14:paraId="51C13261" w14:textId="77777777" w:rsidR="00203CD2" w:rsidRPr="00DE096C" w:rsidRDefault="00203CD2" w:rsidP="00D45A46">
      <w:pPr>
        <w:jc w:val="both"/>
        <w:rPr>
          <w:bCs/>
          <w:color w:val="002060"/>
          <w:sz w:val="16"/>
          <w:szCs w:val="16"/>
        </w:rPr>
      </w:pPr>
      <w:r w:rsidRPr="00DE096C">
        <w:rPr>
          <w:bCs/>
          <w:color w:val="002060"/>
          <w:sz w:val="16"/>
          <w:szCs w:val="16"/>
        </w:rPr>
        <w:t>19 июля (1 августа) 1914 г. Германия объявила войну России. Председатель особого комитета по усилению флота но добровольные пожертвования Великий князь Александр Михайлович 2 августа 1914 г. обратился с призывом к добровольцам идти на службу в авиацию.</w:t>
      </w:r>
      <w:r w:rsidRPr="00DE096C">
        <w:rPr>
          <w:bCs/>
          <w:color w:val="002060"/>
          <w:sz w:val="16"/>
          <w:szCs w:val="16"/>
        </w:rPr>
        <w:cr/>
        <w:t>Силы балтийской авиации тогда не потрясали могуществом и состояли из четырех самолётов "ФБА", трёх "Фарманов", двух С- 10 "Гидро" с сомнительными перспективами существенного пополнения самолётного парка в ближайшее время. Впрочем, в конце июля 1914 г. Морскому генеральному штабу удалось приобрести два С- 10 с двигателями .мощностью 124 л.с. и заказать самолеты типа "Дюпердюссен" со сменным шасси.</w:t>
      </w:r>
    </w:p>
    <w:p w14:paraId="7BB68DE6" w14:textId="77777777" w:rsidR="00203CD2" w:rsidRPr="00DE096C" w:rsidRDefault="00203CD2" w:rsidP="00D45A46">
      <w:pPr>
        <w:jc w:val="both"/>
        <w:rPr>
          <w:bCs/>
          <w:color w:val="002060"/>
          <w:sz w:val="16"/>
          <w:szCs w:val="16"/>
        </w:rPr>
      </w:pPr>
      <w:r w:rsidRPr="00DE096C">
        <w:rPr>
          <w:bCs/>
          <w:color w:val="002060"/>
          <w:sz w:val="16"/>
          <w:szCs w:val="16"/>
        </w:rPr>
        <w:t>Полеты на воздушную разведку начались в ночь на 18 июля. Они ограничивалась обследованием береговой черты и прилегающей полосы моря. Из донесения начальника службы связи Балтийского моря контр-адмирало Непенина командующему флотом от 19 июля 1914 г.: "...открыла действии 2-я авиационная станция в селении Кильконд (полуостров Папенгольм на о. Эзель) на коковую перешёл полностью состав 1-й авиационной станции, находившейся в порту имени Александра III. После мобилизационного периода эта 1-я авиационная станция была развёрнута с ответственным дополнением прибывших по мобилизации чинов во 2-ю и 3-ю авиационные станции..."</w:t>
      </w:r>
    </w:p>
    <w:p w14:paraId="256EA884" w14:textId="77777777" w:rsidR="00203CD2" w:rsidRPr="00DE096C" w:rsidRDefault="00203CD2" w:rsidP="00D45A46">
      <w:pPr>
        <w:jc w:val="both"/>
        <w:rPr>
          <w:bCs/>
          <w:color w:val="002060"/>
          <w:sz w:val="16"/>
          <w:szCs w:val="16"/>
        </w:rPr>
      </w:pPr>
      <w:r w:rsidRPr="00DE096C">
        <w:rPr>
          <w:bCs/>
          <w:color w:val="002060"/>
          <w:sz w:val="16"/>
          <w:szCs w:val="16"/>
        </w:rPr>
        <w:t>Впоследствии, 2-ю авиационную станцию со всем имуществом перевели в Ревель (Таллинн) где она и находилась в готовности к развёртыванию.</w:t>
      </w:r>
    </w:p>
    <w:p w14:paraId="2143A274" w14:textId="77777777" w:rsidR="00203CD2" w:rsidRPr="00DE096C" w:rsidRDefault="00203CD2" w:rsidP="00D45A46">
      <w:pPr>
        <w:jc w:val="both"/>
        <w:rPr>
          <w:bCs/>
          <w:color w:val="002060"/>
          <w:sz w:val="16"/>
          <w:szCs w:val="16"/>
        </w:rPr>
      </w:pPr>
      <w:r w:rsidRPr="00DE096C">
        <w:rPr>
          <w:bCs/>
          <w:color w:val="002060"/>
          <w:sz w:val="16"/>
          <w:szCs w:val="16"/>
        </w:rPr>
        <w:t>Ввиду отсутствия радиостанций на самолётах, даже те скудные данные, которые удавалось получить экипажам, сообщались после посадки по телеграфу. От устаревшей информации польза была небольшой, что не могло не раздражать флотское командование. В условиях неблагоприятной погоды удалось организовать наблюдение до о. Готланд и за три четверти суток произвести восемь самолёто-вылетов (11927).</w:t>
      </w:r>
    </w:p>
    <w:p w14:paraId="3ABBEF18" w14:textId="77777777" w:rsidR="00203CD2" w:rsidRPr="00DE096C" w:rsidRDefault="00203CD2" w:rsidP="00D45A46">
      <w:pPr>
        <w:jc w:val="both"/>
        <w:rPr>
          <w:bCs/>
          <w:color w:val="002060"/>
          <w:sz w:val="16"/>
          <w:szCs w:val="16"/>
        </w:rPr>
      </w:pPr>
    </w:p>
    <w:p w14:paraId="3328AE5C" w14:textId="234CC023" w:rsidR="00E02878" w:rsidRPr="00DE096C" w:rsidRDefault="00E02878" w:rsidP="00D45A46">
      <w:pPr>
        <w:jc w:val="both"/>
        <w:rPr>
          <w:bCs/>
          <w:color w:val="002060"/>
          <w:sz w:val="16"/>
          <w:szCs w:val="16"/>
        </w:rPr>
      </w:pPr>
      <w:r w:rsidRPr="00DE096C">
        <w:rPr>
          <w:bCs/>
          <w:color w:val="002060"/>
          <w:sz w:val="16"/>
          <w:szCs w:val="16"/>
        </w:rPr>
        <w:t xml:space="preserve">19 </w:t>
      </w:r>
      <w:r w:rsidR="00B0661F" w:rsidRPr="00DE096C">
        <w:rPr>
          <w:bCs/>
          <w:color w:val="002060"/>
          <w:sz w:val="16"/>
          <w:szCs w:val="16"/>
        </w:rPr>
        <w:t>и</w:t>
      </w:r>
      <w:r w:rsidRPr="00DE096C">
        <w:rPr>
          <w:bCs/>
          <w:color w:val="002060"/>
          <w:sz w:val="16"/>
          <w:szCs w:val="16"/>
        </w:rPr>
        <w:t xml:space="preserve">юля (1 августа) 1914 года </w:t>
      </w:r>
    </w:p>
    <w:p w14:paraId="3AB5DD88" w14:textId="77777777" w:rsidR="00E02878" w:rsidRPr="00DE096C" w:rsidRDefault="00E02878" w:rsidP="00D45A46">
      <w:pPr>
        <w:jc w:val="both"/>
        <w:rPr>
          <w:bCs/>
          <w:color w:val="002060"/>
          <w:sz w:val="16"/>
          <w:szCs w:val="16"/>
        </w:rPr>
      </w:pPr>
      <w:r w:rsidRPr="00DE096C">
        <w:rPr>
          <w:bCs/>
          <w:color w:val="002060"/>
          <w:sz w:val="16"/>
          <w:szCs w:val="16"/>
        </w:rPr>
        <w:t>№ 62. ОСОБЫЙ ЖУРНАЛ СОВЕТА МИНИСТРОВ</w:t>
      </w:r>
    </w:p>
    <w:p w14:paraId="6E0089A3" w14:textId="77777777" w:rsidR="00E02878" w:rsidRPr="00DE096C" w:rsidRDefault="00E02878" w:rsidP="00D45A46">
      <w:pPr>
        <w:jc w:val="both"/>
        <w:rPr>
          <w:bCs/>
          <w:color w:val="002060"/>
          <w:sz w:val="16"/>
          <w:szCs w:val="16"/>
        </w:rPr>
      </w:pPr>
      <w:r w:rsidRPr="00DE096C">
        <w:rPr>
          <w:bCs/>
          <w:color w:val="002060"/>
          <w:sz w:val="16"/>
          <w:szCs w:val="16"/>
        </w:rPr>
        <w:t>19 Июля 1914 года</w:t>
      </w:r>
    </w:p>
    <w:p w14:paraId="25AD2D40" w14:textId="77777777" w:rsidR="00E02878" w:rsidRPr="00DE096C" w:rsidRDefault="00E02878" w:rsidP="00D45A46">
      <w:pPr>
        <w:jc w:val="both"/>
        <w:rPr>
          <w:bCs/>
          <w:color w:val="002060"/>
          <w:sz w:val="16"/>
          <w:szCs w:val="16"/>
        </w:rPr>
      </w:pPr>
      <w:r w:rsidRPr="00DE096C">
        <w:rPr>
          <w:bCs/>
          <w:color w:val="002060"/>
          <w:sz w:val="16"/>
          <w:szCs w:val="16"/>
        </w:rPr>
        <w:t>Об отпуске чрезвычайного кредита на расходы, связанные с приведением армии на военное положение</w:t>
      </w:r>
    </w:p>
    <w:p w14:paraId="7FADAD9D" w14:textId="77777777" w:rsidR="00E02878" w:rsidRPr="00DE096C" w:rsidRDefault="00E02878" w:rsidP="00D45A46">
      <w:pPr>
        <w:jc w:val="both"/>
        <w:rPr>
          <w:bCs/>
          <w:color w:val="002060"/>
          <w:sz w:val="16"/>
          <w:szCs w:val="16"/>
        </w:rPr>
      </w:pPr>
      <w:r w:rsidRPr="00DE096C">
        <w:rPr>
          <w:bCs/>
          <w:color w:val="002060"/>
          <w:sz w:val="16"/>
          <w:szCs w:val="16"/>
        </w:rPr>
        <w:t>Военный Министр вошел в Совет Министров с представлением об отпуске чрезвычайного кредита, в размере 478.195.193 рублей, на дополнительные расходы по содержанию мобилизованных войск, управлений и учреждений по предметам текущего довольствия в течение первых четырех месяцев со дня объявления мобилизации и на заготовление материалов и предметов, не составляющих текущего довольствия, соответственно размерам предположенного военным ведомством заготовления. Расходы эти проведены по перечням, представленным на рассмотрение Совета Министров.</w:t>
      </w:r>
    </w:p>
    <w:p w14:paraId="44EA572C" w14:textId="77777777" w:rsidR="00E02878" w:rsidRPr="00DE096C" w:rsidRDefault="00E02878" w:rsidP="00D45A46">
      <w:pPr>
        <w:jc w:val="both"/>
        <w:rPr>
          <w:bCs/>
          <w:color w:val="002060"/>
          <w:sz w:val="16"/>
          <w:szCs w:val="16"/>
        </w:rPr>
      </w:pPr>
      <w:r w:rsidRPr="00DE096C">
        <w:rPr>
          <w:bCs/>
          <w:color w:val="002060"/>
          <w:sz w:val="16"/>
          <w:szCs w:val="16"/>
        </w:rPr>
        <w:t>Вместе с сим Генерал-Адъютант Сухомлинов испрашивает также кредит, в сумме 5.000.000 рублей, на удовлетворение могущих представиться в ближайшем времени не предусмотренных при составлении упомянутых перечней расходов.</w:t>
      </w:r>
    </w:p>
    <w:p w14:paraId="6D1F05A1" w14:textId="77777777" w:rsidR="00E02878" w:rsidRPr="00DE096C" w:rsidRDefault="00E02878" w:rsidP="00D45A46">
      <w:pPr>
        <w:jc w:val="both"/>
        <w:rPr>
          <w:bCs/>
          <w:color w:val="002060"/>
          <w:sz w:val="16"/>
          <w:szCs w:val="16"/>
        </w:rPr>
      </w:pPr>
      <w:r w:rsidRPr="00DE096C">
        <w:rPr>
          <w:bCs/>
          <w:color w:val="002060"/>
          <w:sz w:val="16"/>
          <w:szCs w:val="16"/>
        </w:rPr>
        <w:t>Таким образом, общий итог чрезвычайного кредита, потребного ныне военному ведомству к ассигнованию по случаю приведения войск на военное положение, выражается в сумме 483.195.193 рублей.</w:t>
      </w:r>
    </w:p>
    <w:p w14:paraId="5A27D8BD" w14:textId="041C4818" w:rsidR="00E02878" w:rsidRPr="00DE096C" w:rsidRDefault="0006581C" w:rsidP="00D45A46">
      <w:pPr>
        <w:jc w:val="both"/>
        <w:rPr>
          <w:bCs/>
          <w:color w:val="002060"/>
          <w:sz w:val="16"/>
          <w:szCs w:val="16"/>
        </w:rPr>
      </w:pPr>
      <w:r>
        <w:rPr>
          <w:bCs/>
          <w:color w:val="002060"/>
          <w:sz w:val="16"/>
          <w:szCs w:val="16"/>
        </w:rPr>
        <w:t xml:space="preserve"> </w:t>
      </w:r>
      <w:r w:rsidR="00E02878" w:rsidRPr="00DE096C">
        <w:rPr>
          <w:bCs/>
          <w:color w:val="002060"/>
          <w:sz w:val="16"/>
          <w:szCs w:val="16"/>
        </w:rPr>
        <w:t xml:space="preserve"> Одновременно Генерал-Адъютант Сухомлинов, испрашивая у Совета Министров утверждения произведенного уже, по соглашению с Министром Финансов, в подготовительный к войне период ассигнования, в размере 5.597.842 рублей, на вывоз семейств военнослужащих из приграничной полосы, на устройство и развитие важнейших железнодорожных станций, на охрану железных дорог и на авансы для крепостей, ходатайствует об отпуске сверх сего 3.389.000 рублей — на заготовление конского снаряжения для стрелковых полков, на заготовление бензина и масла для авиационных отрядов и на дополнительный аванс на нужды крепостей, с причислением всех указанных сумм к особому, последнему, параграфу чрезвычайной сметы Канцелярии Военного Министерства текущего года.</w:t>
      </w:r>
    </w:p>
    <w:p w14:paraId="45B2B030" w14:textId="2C0C71B6" w:rsidR="00E02878" w:rsidRPr="00DE096C" w:rsidRDefault="0006581C" w:rsidP="00D45A46">
      <w:pPr>
        <w:jc w:val="both"/>
        <w:rPr>
          <w:bCs/>
          <w:color w:val="002060"/>
          <w:sz w:val="16"/>
          <w:szCs w:val="16"/>
        </w:rPr>
      </w:pPr>
      <w:r>
        <w:rPr>
          <w:bCs/>
          <w:color w:val="002060"/>
          <w:sz w:val="16"/>
          <w:szCs w:val="16"/>
        </w:rPr>
        <w:t xml:space="preserve"> </w:t>
      </w:r>
      <w:r w:rsidR="00E02878" w:rsidRPr="00DE096C">
        <w:rPr>
          <w:bCs/>
          <w:color w:val="002060"/>
          <w:sz w:val="16"/>
          <w:szCs w:val="16"/>
        </w:rPr>
        <w:t xml:space="preserve"> Рассмотрев настоящее представление и вполне сознавая настоятельную необходимость ассигнования теперь же в распоряжение военного ведомства потребных сумм на производство связанных с чрезвычайными обстоятельствами данного времени расходов, Совет Министров тем не менее затруднился удовлетворить полностью ходатайство Военного Министра, так как представленные им перечни предполагаемых расходов не могли быть за краткостью времени надлежаще проверены финансовым и контрольным ведомствами. Вследствие сего Совет Министров счел более осторожным ныне же отпустить Военному Министерству, в счет заявленной суммы в 483.195.193 рублей, лишь 200.000.000 рублей, с тем, чтобы остальная часть испрашиваемого кредита отпущена была Военному Министерству по ближайшем ознакомлении финансового и контрольного ведомств, с представленными Совету перечнями предполагаемых расходов.</w:t>
      </w:r>
    </w:p>
    <w:p w14:paraId="731DFFFF" w14:textId="006E31BE" w:rsidR="00E02878" w:rsidRPr="00DE096C" w:rsidRDefault="0006581C" w:rsidP="00D45A46">
      <w:pPr>
        <w:jc w:val="both"/>
        <w:rPr>
          <w:bCs/>
          <w:color w:val="002060"/>
          <w:sz w:val="16"/>
          <w:szCs w:val="16"/>
        </w:rPr>
      </w:pPr>
      <w:r>
        <w:rPr>
          <w:bCs/>
          <w:color w:val="002060"/>
          <w:sz w:val="16"/>
          <w:szCs w:val="16"/>
        </w:rPr>
        <w:t xml:space="preserve"> </w:t>
      </w:r>
      <w:r w:rsidR="00E02878" w:rsidRPr="00DE096C">
        <w:rPr>
          <w:bCs/>
          <w:color w:val="002060"/>
          <w:sz w:val="16"/>
          <w:szCs w:val="16"/>
        </w:rPr>
        <w:t xml:space="preserve"> Принимая затем во внимание, что согласно состоявшемуся, 19 же сего Июля, положению</w:t>
      </w:r>
    </w:p>
    <w:p w14:paraId="60F2BC51" w14:textId="77777777" w:rsidR="00E02878" w:rsidRPr="00DE096C" w:rsidRDefault="00E02878" w:rsidP="00D45A46">
      <w:pPr>
        <w:jc w:val="both"/>
        <w:rPr>
          <w:bCs/>
          <w:color w:val="002060"/>
          <w:sz w:val="16"/>
          <w:szCs w:val="16"/>
        </w:rPr>
      </w:pPr>
      <w:r w:rsidRPr="00DE096C">
        <w:rPr>
          <w:bCs/>
          <w:color w:val="002060"/>
          <w:sz w:val="16"/>
          <w:szCs w:val="16"/>
        </w:rPr>
        <w:t xml:space="preserve">Совета Министров, в целях облегчения военному ведомству производства расходов и ведения отчетности, все кредиты по обыкновенным сметам Военного Министерства на довольствие мобилизованных войск, управлений, учреждений и заведений подлежат закрытию и денежные средства, необходимые на содержание указанных частей, должны ассигновываться впредь из особого военного фонда, Совет не встретил препятствий теперь же отпустить в распоряжение Военного </w:t>
      </w:r>
      <w:r w:rsidRPr="00DE096C">
        <w:rPr>
          <w:bCs/>
          <w:color w:val="002060"/>
          <w:sz w:val="16"/>
          <w:szCs w:val="16"/>
        </w:rPr>
        <w:lastRenderedPageBreak/>
        <w:t>Министерства 71.503.066 рублей, в счет подлежащих закрытию обыкновенных кредитов по содержанию армии в мирном составе, с причислением означенной суммы к упомянутому выше военному фонду.</w:t>
      </w:r>
    </w:p>
    <w:p w14:paraId="5B2F51CE" w14:textId="5462BFC7" w:rsidR="00E02878" w:rsidRPr="00DE096C" w:rsidRDefault="0006581C" w:rsidP="00D45A46">
      <w:pPr>
        <w:jc w:val="both"/>
        <w:rPr>
          <w:bCs/>
          <w:color w:val="002060"/>
          <w:sz w:val="16"/>
          <w:szCs w:val="16"/>
        </w:rPr>
      </w:pPr>
      <w:r>
        <w:rPr>
          <w:bCs/>
          <w:color w:val="002060"/>
          <w:sz w:val="16"/>
          <w:szCs w:val="16"/>
        </w:rPr>
        <w:t xml:space="preserve"> </w:t>
      </w:r>
      <w:r w:rsidR="00E02878" w:rsidRPr="00DE096C">
        <w:rPr>
          <w:bCs/>
          <w:color w:val="002060"/>
          <w:sz w:val="16"/>
          <w:szCs w:val="16"/>
        </w:rPr>
        <w:t xml:space="preserve"> Что же касается ассигнования 3.389.000 рублей на заготовление продовольственных запасов и на постройку сараев для них, равно 5.000.000 рублей на заготовление конского снаряжения для стрелковых полков, на заготовление бензина и масла для авиационных отрядов и на дополнительный аванс на нужды крепостей, а также утверждения уже произведенного, </w:t>
      </w:r>
    </w:p>
    <w:p w14:paraId="416238A2" w14:textId="77777777" w:rsidR="00E02878" w:rsidRPr="00DE096C" w:rsidRDefault="00E02878" w:rsidP="00D45A46">
      <w:pPr>
        <w:jc w:val="both"/>
        <w:rPr>
          <w:bCs/>
          <w:color w:val="002060"/>
          <w:sz w:val="16"/>
          <w:szCs w:val="16"/>
        </w:rPr>
      </w:pPr>
      <w:r w:rsidRPr="00DE096C">
        <w:rPr>
          <w:bCs/>
          <w:color w:val="002060"/>
          <w:sz w:val="16"/>
          <w:szCs w:val="16"/>
        </w:rPr>
        <w:t>по соглашению с Министром Финансов, ассигнования в течение подготовительного к войне периода 5.597.842 рублей на вывоз семейств военнослужащих из приграничной полосы, на устройство и развитие важнейших железнодорожных станций, на охрану железных дорог и на авансы для крепостей, то к сему со стороны Совета Министров никаких возражений не встретилось.</w:t>
      </w:r>
    </w:p>
    <w:p w14:paraId="70236ECC" w14:textId="7933A6A8" w:rsidR="00E02878" w:rsidRPr="00DE096C" w:rsidRDefault="0006581C" w:rsidP="00D45A46">
      <w:pPr>
        <w:jc w:val="both"/>
        <w:rPr>
          <w:bCs/>
          <w:color w:val="002060"/>
          <w:sz w:val="16"/>
          <w:szCs w:val="16"/>
        </w:rPr>
      </w:pPr>
      <w:r>
        <w:rPr>
          <w:bCs/>
          <w:color w:val="002060"/>
          <w:sz w:val="16"/>
          <w:szCs w:val="16"/>
        </w:rPr>
        <w:t xml:space="preserve"> </w:t>
      </w:r>
      <w:r w:rsidR="00E02878" w:rsidRPr="00DE096C">
        <w:rPr>
          <w:bCs/>
          <w:color w:val="002060"/>
          <w:sz w:val="16"/>
          <w:szCs w:val="16"/>
        </w:rPr>
        <w:t xml:space="preserve"> Ввиду изложенного и за изъявленным Помощником Военного Министра согласием Совет Министров полагает:</w:t>
      </w:r>
    </w:p>
    <w:p w14:paraId="1A5E810C" w14:textId="272C5555" w:rsidR="00E02878" w:rsidRPr="00DE096C" w:rsidRDefault="0006581C" w:rsidP="00D45A46">
      <w:pPr>
        <w:jc w:val="both"/>
        <w:rPr>
          <w:bCs/>
          <w:color w:val="002060"/>
          <w:sz w:val="16"/>
          <w:szCs w:val="16"/>
        </w:rPr>
      </w:pPr>
      <w:r>
        <w:rPr>
          <w:bCs/>
          <w:color w:val="002060"/>
          <w:sz w:val="16"/>
          <w:szCs w:val="16"/>
        </w:rPr>
        <w:t xml:space="preserve"> </w:t>
      </w:r>
      <w:r w:rsidR="00E02878" w:rsidRPr="00DE096C">
        <w:rPr>
          <w:bCs/>
          <w:color w:val="002060"/>
          <w:sz w:val="16"/>
          <w:szCs w:val="16"/>
        </w:rPr>
        <w:t xml:space="preserve"> I.</w:t>
      </w:r>
      <w:r>
        <w:rPr>
          <w:bCs/>
          <w:color w:val="002060"/>
          <w:sz w:val="16"/>
          <w:szCs w:val="16"/>
        </w:rPr>
        <w:t xml:space="preserve"> </w:t>
      </w:r>
      <w:r w:rsidR="00E02878" w:rsidRPr="00DE096C">
        <w:rPr>
          <w:bCs/>
          <w:color w:val="002060"/>
          <w:sz w:val="16"/>
          <w:szCs w:val="16"/>
        </w:rPr>
        <w:t xml:space="preserve"> На основании статьи 18 Правил о порядке рассмотрения государственной росписи доходов и расходов, а равно о производстве из казны расходов, росписью не предусмотренных (Св. Зак., т. 1, ч. 2, изд. 1906 г.), и в согласность с разъяснениями Совета Министров, преподанными в ВЫСОЧАЙШЕ утвержденном, 7 Декабря 1912 года, особом журнале Совета о новом порядке ассигнования чрезвычайных кредитов в подготовительный к войне период, отпустить Военному Министерству из средств государственного казначейства чрезвычайный кредит, в размере двухсот семидесяти одного миллиона пятисот трех тысяч шестидесяти шести рублей, на расходы военного времени, с причислением сего кредита к особому параграфу 5 сметы Канцелярии Военного Министерства текущего года, под наименованием «военный фонд».</w:t>
      </w:r>
    </w:p>
    <w:p w14:paraId="3689636E" w14:textId="65515E94" w:rsidR="00E02878" w:rsidRPr="00DE096C" w:rsidRDefault="0006581C" w:rsidP="00D45A46">
      <w:pPr>
        <w:jc w:val="both"/>
        <w:rPr>
          <w:bCs/>
          <w:color w:val="002060"/>
          <w:sz w:val="16"/>
          <w:szCs w:val="16"/>
        </w:rPr>
      </w:pPr>
      <w:r>
        <w:rPr>
          <w:bCs/>
          <w:color w:val="002060"/>
          <w:sz w:val="16"/>
          <w:szCs w:val="16"/>
        </w:rPr>
        <w:t xml:space="preserve"> </w:t>
      </w:r>
      <w:r w:rsidR="00E02878" w:rsidRPr="00DE096C">
        <w:rPr>
          <w:bCs/>
          <w:color w:val="002060"/>
          <w:sz w:val="16"/>
          <w:szCs w:val="16"/>
        </w:rPr>
        <w:t xml:space="preserve"> II.</w:t>
      </w:r>
      <w:r>
        <w:rPr>
          <w:bCs/>
          <w:color w:val="002060"/>
          <w:sz w:val="16"/>
          <w:szCs w:val="16"/>
        </w:rPr>
        <w:t xml:space="preserve"> </w:t>
      </w:r>
      <w:r w:rsidR="00E02878" w:rsidRPr="00DE096C">
        <w:rPr>
          <w:bCs/>
          <w:color w:val="002060"/>
          <w:sz w:val="16"/>
          <w:szCs w:val="16"/>
        </w:rPr>
        <w:t xml:space="preserve"> На основании статьи 8 ВЫСОЧАЙШЕ утвержденного, 17 Февраля 1913 года, Положения о подготовительном к войне периоде: 1) утвердить произведенное Министром Финансов ассигнование, в течение подготовительного к войне периода, пяти миллионов пятисот девяноста семи тысяч восьмисот сорока двух рублей на расходы по вывозу семейств военнослужащих из приграничной полосы, на устройство и развитие важнейших железнодорожных станций, на охрану железных дорог и на авансы для крепостей, и 2) отпустить Военному Министерству, из средств государственного казначейства чрезвычайный кредит, в размере восьми миллионов трехсот восьмидесяти девяти тысяч рублей, на расходы подготовительного к войне периода, с причислением сего кредита к особому, последнему, параграфу чрезвычайной сметы Канцелярии Военного Министерства на текущий год.</w:t>
      </w:r>
    </w:p>
    <w:p w14:paraId="4FB84408" w14:textId="5CD4D4F0" w:rsidR="00E02878" w:rsidRPr="00DE096C" w:rsidRDefault="0006581C" w:rsidP="00D45A46">
      <w:pPr>
        <w:jc w:val="both"/>
        <w:rPr>
          <w:bCs/>
          <w:color w:val="002060"/>
          <w:sz w:val="16"/>
          <w:szCs w:val="16"/>
        </w:rPr>
      </w:pPr>
      <w:r>
        <w:rPr>
          <w:bCs/>
          <w:color w:val="002060"/>
          <w:sz w:val="16"/>
          <w:szCs w:val="16"/>
        </w:rPr>
        <w:t xml:space="preserve"> </w:t>
      </w:r>
      <w:r w:rsidR="00E02878" w:rsidRPr="00DE096C">
        <w:rPr>
          <w:bCs/>
          <w:color w:val="002060"/>
          <w:sz w:val="16"/>
          <w:szCs w:val="16"/>
        </w:rPr>
        <w:t xml:space="preserve"> III.</w:t>
      </w:r>
      <w:r>
        <w:rPr>
          <w:bCs/>
          <w:color w:val="002060"/>
          <w:sz w:val="16"/>
          <w:szCs w:val="16"/>
        </w:rPr>
        <w:t xml:space="preserve"> </w:t>
      </w:r>
      <w:r w:rsidR="00E02878" w:rsidRPr="00DE096C">
        <w:rPr>
          <w:bCs/>
          <w:color w:val="002060"/>
          <w:sz w:val="16"/>
          <w:szCs w:val="16"/>
        </w:rPr>
        <w:t xml:space="preserve"> Образовать при Военном Министерстве особое междуведомственное, под председательством Начальника Канцелярии Военного Министерства, совещание, из представителей военного, финансового и контрольного ведомств, для подробного рассмотрения составленных Военным Министерством перечней военных расходов, с тем, чтобы заключения сего совещания внесены были затем на уважение Совета Министров.</w:t>
      </w:r>
    </w:p>
    <w:p w14:paraId="6B16D546" w14:textId="6AF55922" w:rsidR="00E02878" w:rsidRPr="00DE096C" w:rsidRDefault="0006581C" w:rsidP="00D45A46">
      <w:pPr>
        <w:jc w:val="both"/>
        <w:rPr>
          <w:bCs/>
          <w:color w:val="002060"/>
          <w:sz w:val="16"/>
          <w:szCs w:val="16"/>
        </w:rPr>
      </w:pPr>
      <w:r>
        <w:rPr>
          <w:bCs/>
          <w:color w:val="002060"/>
          <w:sz w:val="16"/>
          <w:szCs w:val="16"/>
        </w:rPr>
        <w:t xml:space="preserve"> </w:t>
      </w:r>
      <w:r w:rsidR="00E02878" w:rsidRPr="00DE096C">
        <w:rPr>
          <w:bCs/>
          <w:color w:val="002060"/>
          <w:sz w:val="16"/>
          <w:szCs w:val="16"/>
        </w:rPr>
        <w:t xml:space="preserve"> Таковые свои заключения Совета Министров всеподданнейшим долгом почитает повергнуть на ВЫСОЧАЙШЕЕ ВАШЕГО ИМПЕРАТОРСКОГО ВЕЛИЧЕСТВА благовоззрение.</w:t>
      </w:r>
    </w:p>
    <w:p w14:paraId="6600CD9F" w14:textId="24467637" w:rsidR="00E02878" w:rsidRPr="00DE096C" w:rsidRDefault="0006581C" w:rsidP="00D45A46">
      <w:pPr>
        <w:jc w:val="both"/>
        <w:rPr>
          <w:bCs/>
          <w:color w:val="002060"/>
          <w:sz w:val="16"/>
          <w:szCs w:val="16"/>
        </w:rPr>
      </w:pPr>
      <w:r>
        <w:rPr>
          <w:bCs/>
          <w:color w:val="002060"/>
          <w:sz w:val="16"/>
          <w:szCs w:val="16"/>
        </w:rPr>
        <w:t xml:space="preserve"> </w:t>
      </w:r>
      <w:r w:rsidR="00E02878" w:rsidRPr="00DE096C">
        <w:rPr>
          <w:bCs/>
          <w:color w:val="002060"/>
          <w:sz w:val="16"/>
          <w:szCs w:val="16"/>
        </w:rPr>
        <w:t xml:space="preserve"> Подписи: И.Л.Горемыкин, В.К.Саблер, И.К.Григорович, П.А.Харитонов, С.В.Рухлов, А.В.Кривошеин, С.Д.Сазонов, Н.А.Маклаков, С.И.Тимашев, П.Л.Барк.</w:t>
      </w:r>
    </w:p>
    <w:p w14:paraId="47DD3BE1" w14:textId="1A32532F" w:rsidR="00E02878" w:rsidRPr="00DE096C" w:rsidRDefault="0006581C" w:rsidP="00D45A46">
      <w:pPr>
        <w:jc w:val="both"/>
        <w:rPr>
          <w:bCs/>
          <w:color w:val="002060"/>
          <w:sz w:val="16"/>
          <w:szCs w:val="16"/>
        </w:rPr>
      </w:pPr>
      <w:r>
        <w:rPr>
          <w:bCs/>
          <w:color w:val="002060"/>
          <w:sz w:val="16"/>
          <w:szCs w:val="16"/>
        </w:rPr>
        <w:t xml:space="preserve"> </w:t>
      </w:r>
      <w:r w:rsidR="00E02878" w:rsidRPr="00DE096C">
        <w:rPr>
          <w:bCs/>
          <w:color w:val="002060"/>
          <w:sz w:val="16"/>
          <w:szCs w:val="16"/>
        </w:rPr>
        <w:t xml:space="preserve"> Скрепа: Исправляющий должность Управляющего делами Совета Министров И. Н. Л одыженский.</w:t>
      </w:r>
    </w:p>
    <w:p w14:paraId="0D4F0EE4" w14:textId="77777777" w:rsidR="00E02878" w:rsidRPr="00DE096C" w:rsidRDefault="00E02878" w:rsidP="00D45A46">
      <w:pPr>
        <w:jc w:val="both"/>
        <w:rPr>
          <w:bCs/>
          <w:color w:val="002060"/>
          <w:sz w:val="16"/>
          <w:szCs w:val="16"/>
        </w:rPr>
      </w:pPr>
      <w:r w:rsidRPr="00DE096C">
        <w:rPr>
          <w:bCs/>
          <w:color w:val="002060"/>
          <w:sz w:val="16"/>
          <w:szCs w:val="16"/>
        </w:rPr>
        <w:t>РГИА. Ф. 1276. Оп. 20. Д. 72. Л. 61-63; Ф. 1276. Оп. 10. Д. 715 (20701).</w:t>
      </w:r>
    </w:p>
    <w:p w14:paraId="2CFB06BD" w14:textId="77777777" w:rsidR="00E02878" w:rsidRPr="00DE096C" w:rsidRDefault="00E02878" w:rsidP="00D45A46">
      <w:pPr>
        <w:jc w:val="both"/>
        <w:rPr>
          <w:bCs/>
          <w:color w:val="002060"/>
          <w:sz w:val="16"/>
          <w:szCs w:val="16"/>
        </w:rPr>
      </w:pPr>
    </w:p>
    <w:p w14:paraId="72C8DD38"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1EDBA921" w14:textId="77777777" w:rsidR="00B67D7C" w:rsidRPr="00DE096C" w:rsidRDefault="00B67D7C" w:rsidP="00D45A46">
      <w:pPr>
        <w:shd w:val="clear" w:color="auto" w:fill="FFFFFF"/>
        <w:jc w:val="both"/>
        <w:rPr>
          <w:bCs/>
          <w:i/>
          <w:color w:val="002060"/>
          <w:sz w:val="16"/>
          <w:szCs w:val="16"/>
        </w:rPr>
      </w:pPr>
    </w:p>
    <w:p w14:paraId="6BF40D29" w14:textId="7F61B8E2" w:rsidR="00B67D7C" w:rsidRPr="00DE096C" w:rsidRDefault="00B67D7C" w:rsidP="00D45A46">
      <w:pPr>
        <w:shd w:val="clear" w:color="auto" w:fill="FFFFFF"/>
        <w:jc w:val="both"/>
        <w:rPr>
          <w:bCs/>
          <w:color w:val="002060"/>
          <w:sz w:val="16"/>
          <w:szCs w:val="16"/>
        </w:rPr>
      </w:pPr>
      <w:r w:rsidRPr="00DE096C">
        <w:rPr>
          <w:bCs/>
          <w:color w:val="002060"/>
          <w:sz w:val="16"/>
          <w:szCs w:val="16"/>
        </w:rPr>
        <w:t>19 июля (</w:t>
      </w:r>
      <w:r w:rsidR="00F56C15" w:rsidRPr="00DE096C">
        <w:rPr>
          <w:bCs/>
          <w:color w:val="002060"/>
          <w:sz w:val="16"/>
          <w:szCs w:val="16"/>
        </w:rPr>
        <w:t>1</w:t>
      </w:r>
      <w:r w:rsidRPr="00DE096C">
        <w:rPr>
          <w:bCs/>
          <w:color w:val="002060"/>
          <w:sz w:val="16"/>
          <w:szCs w:val="16"/>
        </w:rPr>
        <w:t xml:space="preserve"> августа) 1914 Г.И. Лавров встретил на прежней злополучной стоянке</w:t>
      </w:r>
      <w:r w:rsidR="00F56C15" w:rsidRPr="00DE096C">
        <w:rPr>
          <w:bCs/>
          <w:color w:val="002060"/>
          <w:sz w:val="16"/>
          <w:szCs w:val="16"/>
        </w:rPr>
        <w:t xml:space="preserve"> известие об объявлении войны</w:t>
      </w:r>
      <w:r w:rsidRPr="00DE096C">
        <w:rPr>
          <w:bCs/>
          <w:color w:val="002060"/>
          <w:sz w:val="16"/>
          <w:szCs w:val="16"/>
        </w:rPr>
        <w:t>, а 21 июля последняя запись об "Илье Муромце", сделанная в вахтенном журнале 2-й морской авиастанции в Кильконде, звучала следующим образом:</w:t>
      </w:r>
    </w:p>
    <w:p w14:paraId="0CA9C44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"Аппарат "Илья Муромец" под командою лейтенанта Лаврова вышел, руля по воде, из бухты Карал, испугавшись миноносцев неприятеля. Т.к. уйти за неисправностью моторов не мог, открыли баки с бензином, подожгли, а поплавки изпорубили. Люди вернулись на рыбацкой шлюпке".</w:t>
      </w:r>
    </w:p>
    <w:p w14:paraId="67DA838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тот же день Лавров отправился в Ревель и вскоре едва избежал суда, т.к. корабли, принятые им за германские, на деле не были таковыми (2843).</w:t>
      </w:r>
    </w:p>
    <w:p w14:paraId="44F46EF7" w14:textId="77777777" w:rsidR="00B67D7C" w:rsidRPr="00DE096C" w:rsidRDefault="00B67D7C" w:rsidP="00D45A46">
      <w:pPr>
        <w:shd w:val="clear" w:color="auto" w:fill="FFFFFF"/>
        <w:jc w:val="both"/>
        <w:rPr>
          <w:bCs/>
          <w:color w:val="002060"/>
          <w:sz w:val="16"/>
          <w:szCs w:val="16"/>
        </w:rPr>
      </w:pPr>
    </w:p>
    <w:p w14:paraId="533A4288" w14:textId="77777777" w:rsidR="00594FAB" w:rsidRPr="00DE096C" w:rsidRDefault="00594FAB" w:rsidP="00D45A46">
      <w:pPr>
        <w:jc w:val="both"/>
        <w:rPr>
          <w:bCs/>
          <w:color w:val="002060"/>
          <w:sz w:val="16"/>
          <w:szCs w:val="16"/>
        </w:rPr>
      </w:pPr>
      <w:r w:rsidRPr="00DE096C">
        <w:rPr>
          <w:bCs/>
          <w:color w:val="002060"/>
          <w:sz w:val="16"/>
          <w:szCs w:val="16"/>
        </w:rPr>
        <w:t>19 июля (1 августа) 1914 г. начало войны с Германией застало Лаврова на месте вынужденной посадки. Запись, сделанная 21 июля в вахтенном журнале 2-й морской авиационной станции, проливает свет на дальнейшие события. "Аппарат "Илья Муромец", - сообщает журнал, - под командою лейтенанта Лаврова вышел, руля по воде, из бухты Карал, испугавшись миноносцев неприятеля. Т.к. уйти за неисправностью моторов не мог, открыли баки с бензином, подожгли, а поплавки изпоруби- ли. Люди вернулись на рыбацкой лодке" .</w:t>
      </w:r>
    </w:p>
    <w:p w14:paraId="7D1744C1" w14:textId="77777777" w:rsidR="00594FAB" w:rsidRPr="00DE096C" w:rsidRDefault="00594FAB" w:rsidP="00D45A46">
      <w:pPr>
        <w:jc w:val="both"/>
        <w:rPr>
          <w:bCs/>
          <w:color w:val="002060"/>
          <w:sz w:val="16"/>
          <w:szCs w:val="16"/>
        </w:rPr>
      </w:pPr>
      <w:r w:rsidRPr="00DE096C">
        <w:rPr>
          <w:bCs/>
          <w:color w:val="002060"/>
          <w:sz w:val="16"/>
          <w:szCs w:val="16"/>
        </w:rPr>
        <w:t>Слух о том, что Лавров уничтожил машину, чтобы скрыть следы технической некомпетентности и грубой посадки, не заслуживает серьёзного внимания. Вполне очевидно, что ответственность за поломку аппарата была бы меньшей, нежели ответственность за сожжение его.</w:t>
      </w:r>
    </w:p>
    <w:p w14:paraId="00B588CB" w14:textId="77777777" w:rsidR="00594FAB" w:rsidRPr="00DE096C" w:rsidRDefault="00594FAB" w:rsidP="00D45A46">
      <w:pPr>
        <w:jc w:val="both"/>
        <w:rPr>
          <w:bCs/>
          <w:color w:val="002060"/>
          <w:sz w:val="16"/>
          <w:szCs w:val="16"/>
        </w:rPr>
      </w:pPr>
      <w:r w:rsidRPr="00DE096C">
        <w:rPr>
          <w:bCs/>
          <w:color w:val="002060"/>
          <w:sz w:val="16"/>
          <w:szCs w:val="16"/>
        </w:rPr>
        <w:t xml:space="preserve">Суда, замеченные с берега, не были неприятельскими. С учётом этого обстоятельства потеря "Ильи Муромца", причинившая флоту ущерб в размере не менее 170 000 рублей, выглядела особенно неприглядной. Командующий флотом негодовал и хотел отдать Лаврова под суд, но заступничество Ду- дорова спасло офицера от такого позора. Ду- доров убедил командующего в том, что было бы неверным ожидать многого от опытной машины и что утрата её не ослабила морские силы. Что касается денег, то их, как известно, в военное время не считают (12041). </w:t>
      </w:r>
    </w:p>
    <w:p w14:paraId="4F4D7DC8" w14:textId="77777777" w:rsidR="00594FAB" w:rsidRPr="00DE096C" w:rsidRDefault="00594FAB" w:rsidP="00D45A46">
      <w:pPr>
        <w:jc w:val="both"/>
        <w:rPr>
          <w:bCs/>
          <w:color w:val="002060"/>
          <w:sz w:val="16"/>
          <w:szCs w:val="16"/>
        </w:rPr>
      </w:pPr>
    </w:p>
    <w:p w14:paraId="4962C6EC"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w:t>
      </w:r>
    </w:p>
    <w:p w14:paraId="6D762D24" w14:textId="77777777" w:rsidR="00B67D7C" w:rsidRPr="00DE096C" w:rsidRDefault="00B67D7C" w:rsidP="00D45A46">
      <w:pPr>
        <w:shd w:val="clear" w:color="auto" w:fill="FFFFFF"/>
        <w:jc w:val="both"/>
        <w:rPr>
          <w:bCs/>
          <w:i/>
          <w:color w:val="002060"/>
          <w:sz w:val="16"/>
          <w:szCs w:val="16"/>
        </w:rPr>
      </w:pPr>
    </w:p>
    <w:p w14:paraId="69AE9D03" w14:textId="283F641D" w:rsidR="00447E42" w:rsidRPr="00DE096C" w:rsidRDefault="00447E42" w:rsidP="00D45A46">
      <w:pPr>
        <w:jc w:val="both"/>
        <w:rPr>
          <w:bCs/>
          <w:color w:val="002060"/>
          <w:sz w:val="16"/>
          <w:szCs w:val="16"/>
        </w:rPr>
      </w:pPr>
      <w:r w:rsidRPr="00DE096C">
        <w:rPr>
          <w:bCs/>
          <w:color w:val="002060"/>
          <w:sz w:val="16"/>
          <w:szCs w:val="16"/>
        </w:rPr>
        <w:t xml:space="preserve">По состоянию на 19 июля </w:t>
      </w:r>
      <w:r w:rsidR="00F56C15" w:rsidRPr="00DE096C">
        <w:rPr>
          <w:bCs/>
          <w:color w:val="002060"/>
          <w:sz w:val="16"/>
          <w:szCs w:val="16"/>
        </w:rPr>
        <w:t xml:space="preserve">(1 августа) </w:t>
      </w:r>
      <w:r w:rsidRPr="00DE096C">
        <w:rPr>
          <w:bCs/>
          <w:color w:val="002060"/>
          <w:sz w:val="16"/>
          <w:szCs w:val="16"/>
        </w:rPr>
        <w:t>1914 г. в Гатчинской военной авиационной школе (ГВАШ) обучались летному делу уже 35 офицеров и 10 нижних чинов. В том же году увеличила набор и СОША. Значительную помощь в обучении офицеров летному делу продолжали оказывать аэроклубовские школы. Работали также Теоретические курсы авиации при Петербургском политехническом институте, где будущие летчики проходили по специально разработанной программе первый этап обучения перед освоением практики полетов. При Кораблестроительном отделении того же института на трехсеместровых теоретических курсах осуществлялась подготовка инженеров «для проектирования воздухоплавательных и авиационных аппаратов». На этих курсах могли обучаться только студенты или лица, имеющие высшее образование (19566).</w:t>
      </w:r>
    </w:p>
    <w:p w14:paraId="6ACA5B52" w14:textId="77777777" w:rsidR="00447E42" w:rsidRPr="00DE096C" w:rsidRDefault="00447E42" w:rsidP="00D45A46">
      <w:pPr>
        <w:jc w:val="both"/>
        <w:rPr>
          <w:bCs/>
          <w:color w:val="002060"/>
          <w:sz w:val="16"/>
          <w:szCs w:val="16"/>
        </w:rPr>
      </w:pPr>
    </w:p>
    <w:p w14:paraId="701E53D2" w14:textId="0F17B85F" w:rsidR="00447E42" w:rsidRPr="00DE096C" w:rsidRDefault="00447E42" w:rsidP="00D45A46">
      <w:pPr>
        <w:jc w:val="both"/>
        <w:rPr>
          <w:bCs/>
          <w:color w:val="002060"/>
          <w:sz w:val="16"/>
          <w:szCs w:val="16"/>
        </w:rPr>
      </w:pPr>
      <w:r w:rsidRPr="00DE096C">
        <w:rPr>
          <w:bCs/>
          <w:color w:val="002060"/>
          <w:sz w:val="16"/>
          <w:szCs w:val="16"/>
        </w:rPr>
        <w:t xml:space="preserve">К 19 июля </w:t>
      </w:r>
      <w:r w:rsidR="00594FAB" w:rsidRPr="00DE096C">
        <w:rPr>
          <w:bCs/>
          <w:color w:val="002060"/>
          <w:sz w:val="16"/>
          <w:szCs w:val="16"/>
        </w:rPr>
        <w:t xml:space="preserve">(1 августа) </w:t>
      </w:r>
      <w:r w:rsidRPr="00DE096C">
        <w:rPr>
          <w:bCs/>
          <w:color w:val="002060"/>
          <w:sz w:val="16"/>
          <w:szCs w:val="16"/>
        </w:rPr>
        <w:t>1914 г. в распоряжении военного ведомства были 1 полевой, 30 корпусных и 8 крепостных авиаотрядов. После проведения мобилизации, по состоянию на конец июля 1914 г. в них насчитывалось 244 (по другим данным – 263) самолета. Полевой отряд находился при штабе 3-й армии ЮгоЗападного фронта (ЮЗФ), корпусные отряды прибыли на полевые аэродромы согласно плану развертывания армий к началу августа 1914 г., а крепостные отряды оставались пока при крепостях. Между тем боевые действия уже в начале августа 1914 г. показали войсковому командованию, что авиация является весьма действенным средством для получения данных о противнике. Неясность обстановки на Северо-Западном и Юго-Западном фронтах требовала все более интенсивной работы воздушных разведчиков. Однако увеличение боевого напряжения уже через семь – десять дней приграничной войны привело к большим потерям авиационной техники. Чтобы вообще не лишиться средств воздушной разведки, Верховный Главнокомандующий издал 12 августа 1914 г. приказ № 6 с требованием использовать авиацию лишь при «действительной необходимости», однако никто не мог определить ее пределы (19566).</w:t>
      </w:r>
    </w:p>
    <w:p w14:paraId="56828304" w14:textId="77777777" w:rsidR="00447E42" w:rsidRPr="00DE096C" w:rsidRDefault="00447E42" w:rsidP="00D45A46">
      <w:pPr>
        <w:jc w:val="both"/>
        <w:rPr>
          <w:bCs/>
          <w:color w:val="002060"/>
          <w:sz w:val="16"/>
          <w:szCs w:val="16"/>
        </w:rPr>
      </w:pPr>
    </w:p>
    <w:p w14:paraId="67E927A9" w14:textId="5396118C" w:rsidR="00447E42" w:rsidRPr="00DE096C" w:rsidRDefault="00447E42" w:rsidP="00D45A46">
      <w:pPr>
        <w:jc w:val="both"/>
        <w:rPr>
          <w:bCs/>
          <w:color w:val="002060"/>
          <w:sz w:val="16"/>
          <w:szCs w:val="16"/>
        </w:rPr>
      </w:pPr>
      <w:r w:rsidRPr="00DE096C">
        <w:rPr>
          <w:bCs/>
          <w:color w:val="002060"/>
          <w:sz w:val="16"/>
          <w:szCs w:val="16"/>
        </w:rPr>
        <w:t xml:space="preserve">К 19 июля </w:t>
      </w:r>
      <w:r w:rsidR="00594FAB" w:rsidRPr="00DE096C">
        <w:rPr>
          <w:bCs/>
          <w:color w:val="002060"/>
          <w:sz w:val="16"/>
          <w:szCs w:val="16"/>
        </w:rPr>
        <w:t xml:space="preserve">(1 августа) </w:t>
      </w:r>
      <w:r w:rsidRPr="00DE096C">
        <w:rPr>
          <w:bCs/>
          <w:color w:val="002060"/>
          <w:sz w:val="16"/>
          <w:szCs w:val="16"/>
        </w:rPr>
        <w:t>1914 г. в результате претворения в жизнь идеологии Военного министра в отношении авиации сложилась достаточно сложная система управления авиационными отрядами. Военный министр возложил на ГВТУ весьма расплывчатые функции в отношении авиачастей, которые можно обобщить понятием «руководство в техническом отношении». Проверку же их готовности к выполнению боевых задач должно было осуществлять ГУ ГШ. В итоге получилось, что ГВТУ руководит, но не проверяет, а ГУ ГШ проверяет, но не руководит. В строевом же отношении авиачасти подчинялись начальникам штабов округов. Позднее ГВТУ всетаки добилось возложения контроля над специальной подготовкой авиачастей на инспекторов инженерных частей округов через введение должностей их помощников по авиационной части. Поскольку же эти инспекторы находились в техническом отношении в подчинении у ГВТУ, то специальная подготовка стала контролироваться одновременно и ГВТУ, и ГУ ГШ. В условиях, когда между этими Управлениями постоянно возникали трения, о выражении единой воли в управлении авиачастями не могло быть и речи (19566).</w:t>
      </w:r>
    </w:p>
    <w:p w14:paraId="76A37E38" w14:textId="77777777" w:rsidR="00447E42" w:rsidRPr="00DE096C" w:rsidRDefault="00447E42" w:rsidP="00D45A46">
      <w:pPr>
        <w:jc w:val="both"/>
        <w:rPr>
          <w:bCs/>
          <w:color w:val="002060"/>
          <w:sz w:val="16"/>
          <w:szCs w:val="16"/>
        </w:rPr>
      </w:pPr>
    </w:p>
    <w:p w14:paraId="792E25E6" w14:textId="165E20CC" w:rsidR="00B67D7C" w:rsidRPr="00DE096C" w:rsidRDefault="00B67D7C" w:rsidP="00D45A46">
      <w:pPr>
        <w:jc w:val="both"/>
        <w:rPr>
          <w:bCs/>
          <w:color w:val="002060"/>
          <w:sz w:val="16"/>
          <w:szCs w:val="16"/>
        </w:rPr>
      </w:pPr>
      <w:r w:rsidRPr="00DE096C">
        <w:rPr>
          <w:bCs/>
          <w:color w:val="002060"/>
          <w:sz w:val="16"/>
          <w:szCs w:val="16"/>
        </w:rPr>
        <w:t>19 июля (</w:t>
      </w:r>
      <w:r w:rsidR="00594FAB" w:rsidRPr="00DE096C">
        <w:rPr>
          <w:bCs/>
          <w:color w:val="002060"/>
          <w:sz w:val="16"/>
          <w:szCs w:val="16"/>
        </w:rPr>
        <w:t>1</w:t>
      </w:r>
      <w:r w:rsidRPr="00DE096C">
        <w:rPr>
          <w:bCs/>
          <w:color w:val="002060"/>
          <w:sz w:val="16"/>
          <w:szCs w:val="16"/>
        </w:rPr>
        <w:t xml:space="preserve"> августа) 1914 года (по стечению обстоятельств — в день вступления России в войну) вышел приказ по военному ведомству № 436 о преобразовании авиационного отдела ОВШ в Гатчинскую военную авиационную школу (ГВАШ) для одновременного обучения летному делу 35 офицеров и 10 нижних чинов (РГВИА. Ф. 493. Оп. 2. Д. 4. Л. 456; Ф. 802. Оп. 1. Д. 1069. Л. 49—51.). Увеличила набор и Севастопольская офицерская школа авиации. ЗНАЧИТЕЛЬНУЮ помощь в подготовке летчиков для военного ведомства по-прежнему продолжали оказывать аэроклубовские школы. Функционировали также теоретические курсы авиации при Петербургском политехническом институте, где будущие летчики проходили первый теоретический этап обучения (РГВИА. Ф. 2000. Оп. 7. Д. 84. Л. 57—59; Ф. 802. Оп. 1. Д. 1079. Л. 55).</w:t>
      </w:r>
    </w:p>
    <w:p w14:paraId="7A70D69F" w14:textId="77777777" w:rsidR="00B67D7C" w:rsidRPr="00DE096C" w:rsidRDefault="00B67D7C" w:rsidP="00D45A46">
      <w:pPr>
        <w:jc w:val="both"/>
        <w:rPr>
          <w:bCs/>
          <w:color w:val="002060"/>
          <w:sz w:val="16"/>
          <w:szCs w:val="16"/>
        </w:rPr>
      </w:pPr>
      <w:r w:rsidRPr="00DE096C">
        <w:rPr>
          <w:bCs/>
          <w:color w:val="002060"/>
          <w:sz w:val="16"/>
          <w:szCs w:val="16"/>
        </w:rPr>
        <w:t xml:space="preserve">При кораблестроительном отделении того же института на трехсеместровых курсах готовились инженеры для проектирования воздухоплавательных и авиационных аппаратов. Московское общество воздухоплавания организовало при Московском университете курсы для офицеров, желающих пройти обучение летному делу, руководил которыми профессор Н.Е. Жуковский (Авиация в России // К 100-летию отечественного самолетостроения. М., 1983. С. 362), а при Офицерской </w:t>
      </w:r>
      <w:r w:rsidRPr="00DE096C">
        <w:rPr>
          <w:bCs/>
          <w:color w:val="002060"/>
          <w:sz w:val="16"/>
          <w:szCs w:val="16"/>
        </w:rPr>
        <w:lastRenderedPageBreak/>
        <w:t>воздухоплавательной школе для повышения общетехнической подготовки офицеров, поступающих в Гатчинскую авиашколу и не имеющих технического образования, открылись трехмесячные теоретические курсы (11167).</w:t>
      </w:r>
    </w:p>
    <w:p w14:paraId="55E68B85" w14:textId="77777777" w:rsidR="00B67D7C" w:rsidRPr="00DE096C" w:rsidRDefault="00B67D7C" w:rsidP="00D45A46">
      <w:pPr>
        <w:jc w:val="both"/>
        <w:rPr>
          <w:bCs/>
          <w:color w:val="002060"/>
          <w:sz w:val="16"/>
          <w:szCs w:val="16"/>
        </w:rPr>
      </w:pPr>
    </w:p>
    <w:p w14:paraId="31EFD0D2" w14:textId="541CE873" w:rsidR="00B67D7C" w:rsidRPr="00DE096C" w:rsidRDefault="00594FAB" w:rsidP="00D45A46">
      <w:pPr>
        <w:jc w:val="both"/>
        <w:rPr>
          <w:bCs/>
          <w:color w:val="002060"/>
          <w:sz w:val="16"/>
          <w:szCs w:val="16"/>
        </w:rPr>
      </w:pPr>
      <w:r w:rsidRPr="00DE096C">
        <w:rPr>
          <w:bCs/>
          <w:color w:val="002060"/>
          <w:sz w:val="16"/>
          <w:szCs w:val="16"/>
        </w:rPr>
        <w:t>К</w:t>
      </w:r>
      <w:r w:rsidR="00B67D7C" w:rsidRPr="00DE096C">
        <w:rPr>
          <w:bCs/>
          <w:color w:val="002060"/>
          <w:sz w:val="16"/>
          <w:szCs w:val="16"/>
        </w:rPr>
        <w:t xml:space="preserve"> 19 июля </w:t>
      </w:r>
      <w:r w:rsidRPr="00DE096C">
        <w:rPr>
          <w:bCs/>
          <w:color w:val="002060"/>
          <w:sz w:val="16"/>
          <w:szCs w:val="16"/>
        </w:rPr>
        <w:t xml:space="preserve">(1 августа) </w:t>
      </w:r>
      <w:r w:rsidR="00B67D7C" w:rsidRPr="00DE096C">
        <w:rPr>
          <w:bCs/>
          <w:color w:val="002060"/>
          <w:sz w:val="16"/>
          <w:szCs w:val="16"/>
        </w:rPr>
        <w:t>1914 года насчитывалось 39 авиаотрядов (1 полевой, 30 корпусных и 8 крепостных), имевших в своем составе 263 самолета. По количеству военных самолетов (даже без учета гидроавиации) Россия в это время оставила позади Германию (имела 232 самолета), Францию (156), Австро-Венгрию (65), Великобританию, Италию и США (по 30)41. Однако различный потенциал авиационной промышленности и наличие подготовленных гражданских летчиков в крупных государствах уже через полгода участия авиации в боевых действиях обусловили новое соотношение авиационных сил и средств между армиями стран — участниц Первой мировой войны...</w:t>
      </w:r>
    </w:p>
    <w:p w14:paraId="582AD816" w14:textId="77777777" w:rsidR="00B67D7C" w:rsidRPr="00DE096C" w:rsidRDefault="00B67D7C" w:rsidP="00D45A46">
      <w:pPr>
        <w:jc w:val="both"/>
        <w:rPr>
          <w:bCs/>
          <w:color w:val="002060"/>
          <w:sz w:val="16"/>
          <w:szCs w:val="16"/>
        </w:rPr>
      </w:pPr>
    </w:p>
    <w:p w14:paraId="7EB0AEFC" w14:textId="336C273F" w:rsidR="00B67D7C" w:rsidRPr="00DE096C" w:rsidRDefault="00594FAB" w:rsidP="00D45A46">
      <w:pPr>
        <w:jc w:val="both"/>
        <w:rPr>
          <w:bCs/>
          <w:color w:val="002060"/>
          <w:sz w:val="16"/>
          <w:szCs w:val="16"/>
        </w:rPr>
      </w:pPr>
      <w:r w:rsidRPr="00DE096C">
        <w:rPr>
          <w:bCs/>
          <w:color w:val="002060"/>
          <w:sz w:val="16"/>
          <w:szCs w:val="16"/>
        </w:rPr>
        <w:t>П</w:t>
      </w:r>
      <w:r w:rsidR="00B67D7C" w:rsidRPr="00DE096C">
        <w:rPr>
          <w:bCs/>
          <w:color w:val="002060"/>
          <w:sz w:val="16"/>
          <w:szCs w:val="16"/>
        </w:rPr>
        <w:t xml:space="preserve">о состоянию на 19 июля 1914 г. </w:t>
      </w:r>
      <w:r w:rsidRPr="00DE096C">
        <w:rPr>
          <w:bCs/>
          <w:color w:val="002060"/>
          <w:sz w:val="16"/>
          <w:szCs w:val="16"/>
        </w:rPr>
        <w:t>Организационная структура русской военной авиации</w:t>
      </w:r>
      <w:r w:rsidR="00B67D7C" w:rsidRPr="00DE096C">
        <w:rPr>
          <w:bCs/>
          <w:color w:val="002060"/>
          <w:sz w:val="16"/>
          <w:szCs w:val="16"/>
        </w:rPr>
        <w:t xml:space="preserve">: </w:t>
      </w:r>
    </w:p>
    <w:p w14:paraId="5B36086F" w14:textId="77777777" w:rsidR="00B67D7C" w:rsidRPr="00DE096C" w:rsidRDefault="00B67D7C" w:rsidP="00D45A46">
      <w:pPr>
        <w:jc w:val="both"/>
        <w:rPr>
          <w:bCs/>
          <w:color w:val="002060"/>
          <w:sz w:val="16"/>
          <w:szCs w:val="16"/>
        </w:rPr>
      </w:pPr>
      <w:r w:rsidRPr="00DE096C">
        <w:rPr>
          <w:bCs/>
          <w:color w:val="002060"/>
          <w:sz w:val="16"/>
          <w:szCs w:val="16"/>
        </w:rPr>
        <w:t xml:space="preserve">1-я авиационная рота - СПб. ВО (Санкт-Петербург) рота включала 1, 5, 16, 18, 22-й корпусные авиаотряды (КАО), Гвардейский авиаотряд (Прим. 29.06.1916 г. 1-я авиационная рота переименована в 1-й авиационный парк) </w:t>
      </w:r>
    </w:p>
    <w:p w14:paraId="42EE7326" w14:textId="77777777" w:rsidR="00B67D7C" w:rsidRPr="00DE096C" w:rsidRDefault="00B67D7C" w:rsidP="00D45A46">
      <w:pPr>
        <w:jc w:val="both"/>
        <w:rPr>
          <w:bCs/>
          <w:color w:val="002060"/>
          <w:sz w:val="16"/>
          <w:szCs w:val="16"/>
        </w:rPr>
      </w:pPr>
      <w:r w:rsidRPr="00DE096C">
        <w:rPr>
          <w:bCs/>
          <w:color w:val="002060"/>
          <w:sz w:val="16"/>
          <w:szCs w:val="16"/>
        </w:rPr>
        <w:t xml:space="preserve">2-я авиационная рота - Варшавский ВО (Варшава) рота включала 14, 15, 19, 23-й КАО </w:t>
      </w:r>
    </w:p>
    <w:p w14:paraId="50C45710" w14:textId="77777777" w:rsidR="00B67D7C" w:rsidRPr="00DE096C" w:rsidRDefault="00B67D7C" w:rsidP="00D45A46">
      <w:pPr>
        <w:jc w:val="both"/>
        <w:rPr>
          <w:bCs/>
          <w:color w:val="002060"/>
          <w:sz w:val="16"/>
          <w:szCs w:val="16"/>
        </w:rPr>
      </w:pPr>
      <w:r w:rsidRPr="00DE096C">
        <w:rPr>
          <w:bCs/>
          <w:color w:val="002060"/>
          <w:sz w:val="16"/>
          <w:szCs w:val="16"/>
        </w:rPr>
        <w:t xml:space="preserve">3-я авиационная рота - Киевский ВО (Киев) рота включала 9, 11, 12-й КАО и 3-й полевой авиаотряд </w:t>
      </w:r>
    </w:p>
    <w:p w14:paraId="174CEDFC" w14:textId="77777777" w:rsidR="00B67D7C" w:rsidRPr="00DE096C" w:rsidRDefault="00B67D7C" w:rsidP="00D45A46">
      <w:pPr>
        <w:jc w:val="both"/>
        <w:rPr>
          <w:bCs/>
          <w:color w:val="002060"/>
          <w:sz w:val="16"/>
          <w:szCs w:val="16"/>
        </w:rPr>
      </w:pPr>
      <w:r w:rsidRPr="00DE096C">
        <w:rPr>
          <w:bCs/>
          <w:color w:val="002060"/>
          <w:sz w:val="16"/>
          <w:szCs w:val="16"/>
        </w:rPr>
        <w:t xml:space="preserve">4-я авиационная рота - Виленский ВО (Лида) рота включала 2, 3, 4, 6, 10, 20, 21-й КАО; </w:t>
      </w:r>
    </w:p>
    <w:p w14:paraId="7D52A8F8" w14:textId="77777777" w:rsidR="00B67D7C" w:rsidRPr="00DE096C" w:rsidRDefault="00B67D7C" w:rsidP="00D45A46">
      <w:pPr>
        <w:jc w:val="both"/>
        <w:rPr>
          <w:bCs/>
          <w:color w:val="002060"/>
          <w:sz w:val="16"/>
          <w:szCs w:val="16"/>
        </w:rPr>
      </w:pPr>
      <w:r w:rsidRPr="00DE096C">
        <w:rPr>
          <w:bCs/>
          <w:color w:val="002060"/>
          <w:sz w:val="16"/>
          <w:szCs w:val="16"/>
        </w:rPr>
        <w:t xml:space="preserve">5-я авиационная рота - Московский ВО (Бронницы под Москвой) рота включала авиаотряд Гренадерского корпуса, 13 и 17-й КАО </w:t>
      </w:r>
    </w:p>
    <w:p w14:paraId="67293CC9" w14:textId="77777777" w:rsidR="00B67D7C" w:rsidRPr="00DE096C" w:rsidRDefault="00B67D7C" w:rsidP="00D45A46">
      <w:pPr>
        <w:jc w:val="both"/>
        <w:rPr>
          <w:bCs/>
          <w:color w:val="002060"/>
          <w:sz w:val="16"/>
          <w:szCs w:val="16"/>
        </w:rPr>
      </w:pPr>
      <w:r w:rsidRPr="00DE096C">
        <w:rPr>
          <w:bCs/>
          <w:color w:val="002060"/>
          <w:sz w:val="16"/>
          <w:szCs w:val="16"/>
        </w:rPr>
        <w:t>6-я авиационная рота - Одесский ВО (Одесса) рота включала 7, 8, 24, 25-й КАО</w:t>
      </w:r>
    </w:p>
    <w:p w14:paraId="340DCD40" w14:textId="77777777" w:rsidR="00B67D7C" w:rsidRPr="00DE096C" w:rsidRDefault="00B67D7C" w:rsidP="00D45A46">
      <w:pPr>
        <w:jc w:val="both"/>
        <w:rPr>
          <w:bCs/>
          <w:color w:val="002060"/>
          <w:sz w:val="16"/>
          <w:szCs w:val="16"/>
        </w:rPr>
      </w:pPr>
      <w:r w:rsidRPr="00DE096C">
        <w:rPr>
          <w:bCs/>
          <w:color w:val="002060"/>
          <w:sz w:val="16"/>
          <w:szCs w:val="16"/>
        </w:rPr>
        <w:t>С.П. ЕЛИСЕЕВ в статье "СОЗДАНИЕ ОРГАНИЗАЦИОННОЙ СТРУКТУРЫ АВИАЦИОННОЙ СЛУЖБЫ РУССКОЙ АРМИИ" (11701).</w:t>
      </w:r>
    </w:p>
    <w:p w14:paraId="1087EF1D" w14:textId="77777777" w:rsidR="00B67D7C" w:rsidRPr="00DE096C" w:rsidRDefault="00B67D7C" w:rsidP="00D45A46">
      <w:pPr>
        <w:jc w:val="both"/>
        <w:rPr>
          <w:bCs/>
          <w:color w:val="002060"/>
          <w:sz w:val="16"/>
          <w:szCs w:val="16"/>
        </w:rPr>
      </w:pPr>
    </w:p>
    <w:p w14:paraId="49ECDD5D"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Морская авиация:</w:t>
      </w:r>
    </w:p>
    <w:p w14:paraId="1EF50A9C" w14:textId="77777777" w:rsidR="00B67D7C" w:rsidRPr="00DE096C" w:rsidRDefault="00B67D7C" w:rsidP="00D45A46">
      <w:pPr>
        <w:shd w:val="clear" w:color="auto" w:fill="FFFFFF"/>
        <w:jc w:val="both"/>
        <w:rPr>
          <w:bCs/>
          <w:i/>
          <w:color w:val="002060"/>
          <w:sz w:val="16"/>
          <w:szCs w:val="16"/>
        </w:rPr>
      </w:pPr>
    </w:p>
    <w:p w14:paraId="39A4C3A3" w14:textId="0285E6E0" w:rsidR="00B67D7C" w:rsidRPr="00DE096C" w:rsidRDefault="00B67D7C" w:rsidP="00D45A46">
      <w:pPr>
        <w:jc w:val="both"/>
        <w:rPr>
          <w:bCs/>
          <w:color w:val="002060"/>
          <w:sz w:val="16"/>
          <w:szCs w:val="16"/>
        </w:rPr>
      </w:pPr>
      <w:r w:rsidRPr="00DE096C">
        <w:rPr>
          <w:bCs/>
          <w:color w:val="002060"/>
          <w:sz w:val="16"/>
          <w:szCs w:val="16"/>
        </w:rPr>
        <w:t>19 июля (</w:t>
      </w:r>
      <w:r w:rsidR="00594FAB" w:rsidRPr="00DE096C">
        <w:rPr>
          <w:bCs/>
          <w:color w:val="002060"/>
          <w:sz w:val="16"/>
          <w:szCs w:val="16"/>
        </w:rPr>
        <w:t>1</w:t>
      </w:r>
      <w:r w:rsidRPr="00DE096C">
        <w:rPr>
          <w:bCs/>
          <w:color w:val="002060"/>
          <w:sz w:val="16"/>
          <w:szCs w:val="16"/>
        </w:rPr>
        <w:t xml:space="preserve"> августа) 1914 </w:t>
      </w:r>
      <w:r w:rsidR="00594FAB" w:rsidRPr="00DE096C">
        <w:rPr>
          <w:bCs/>
          <w:color w:val="002060"/>
          <w:sz w:val="16"/>
          <w:szCs w:val="16"/>
        </w:rPr>
        <w:t xml:space="preserve">г. гидросамолет Нагурского </w:t>
      </w:r>
      <w:r w:rsidRPr="00DE096C">
        <w:rPr>
          <w:bCs/>
          <w:color w:val="002060"/>
          <w:sz w:val="16"/>
          <w:szCs w:val="16"/>
        </w:rPr>
        <w:t>доставили в Александровск-на-Мурмане. 31 июля пароход «Печора» с летчиком и самолетом на борту взял курс к берегам Новой Земли. Нагурский получил задание: произвести обследование береговой линии от Крестовой губы до Панкратьевых островов с целью поиска пропавшей экспедиции.</w:t>
      </w:r>
    </w:p>
    <w:p w14:paraId="00F20A34" w14:textId="77777777" w:rsidR="00B67D7C" w:rsidRPr="00DE096C" w:rsidRDefault="00B67D7C" w:rsidP="00D45A46">
      <w:pPr>
        <w:jc w:val="both"/>
        <w:rPr>
          <w:bCs/>
          <w:color w:val="002060"/>
          <w:sz w:val="16"/>
          <w:szCs w:val="16"/>
        </w:rPr>
      </w:pPr>
      <w:r w:rsidRPr="00DE096C">
        <w:rPr>
          <w:bCs/>
          <w:color w:val="002060"/>
          <w:sz w:val="16"/>
          <w:szCs w:val="16"/>
        </w:rPr>
        <w:t>Следует заметить, что гидросамолет Нагурского в первые дни экспедиции чуть было не использовали для другой цели. В дни пребывания Нагурского в Александровске-на-Мурмане стало известно, что Германия 19 июля объявила войну России. И уже 21 июля поступило сообщение, что немецкий флот движется в Белое море. Затем была получена телеграмма из Гаммерфеста от русского консула о том, что он якобы сам видел четыре германских крейсера, следующих на восток. В связи с зтим было предложено использовать гидросамолет Нагурского для поиска вражеских судов в море, а также для сбрасывания на них динамитных патронов, взятых для взрывания льда. Поскольку германские крейсеры так и не появились, Нагурскому не удалось принять участия в боевых действиях.</w:t>
      </w:r>
    </w:p>
    <w:p w14:paraId="4A9354E5" w14:textId="77777777" w:rsidR="00594FAB" w:rsidRPr="00DE096C" w:rsidRDefault="00594FAB" w:rsidP="00D45A46">
      <w:pPr>
        <w:jc w:val="both"/>
        <w:rPr>
          <w:bCs/>
          <w:color w:val="002060"/>
          <w:sz w:val="16"/>
          <w:szCs w:val="16"/>
        </w:rPr>
      </w:pPr>
    </w:p>
    <w:p w14:paraId="2BAE7558" w14:textId="293DF034" w:rsidR="00B67D7C" w:rsidRPr="00DE096C" w:rsidRDefault="00B67D7C" w:rsidP="00D45A46">
      <w:pPr>
        <w:jc w:val="both"/>
        <w:rPr>
          <w:bCs/>
          <w:color w:val="002060"/>
          <w:sz w:val="16"/>
          <w:szCs w:val="16"/>
        </w:rPr>
      </w:pPr>
      <w:r w:rsidRPr="00DE096C">
        <w:rPr>
          <w:bCs/>
          <w:color w:val="002060"/>
          <w:sz w:val="16"/>
          <w:szCs w:val="16"/>
        </w:rPr>
        <w:t xml:space="preserve">19 июля </w:t>
      </w:r>
      <w:r w:rsidR="00594FAB" w:rsidRPr="00DE096C">
        <w:rPr>
          <w:bCs/>
          <w:color w:val="002060"/>
          <w:sz w:val="16"/>
          <w:szCs w:val="16"/>
        </w:rPr>
        <w:t xml:space="preserve">(1 августа) </w:t>
      </w:r>
      <w:r w:rsidRPr="00DE096C">
        <w:rPr>
          <w:bCs/>
          <w:color w:val="002060"/>
          <w:sz w:val="16"/>
          <w:szCs w:val="16"/>
        </w:rPr>
        <w:t>1914 г.</w:t>
      </w:r>
      <w:r w:rsidR="00594FAB" w:rsidRPr="00DE096C">
        <w:rPr>
          <w:bCs/>
          <w:color w:val="002060"/>
          <w:sz w:val="16"/>
          <w:szCs w:val="16"/>
        </w:rPr>
        <w:t xml:space="preserve"> было донесение начальника службы связи Балтийского моря контр-адмирало Непенина командующему флотом</w:t>
      </w:r>
      <w:r w:rsidRPr="00DE096C">
        <w:rPr>
          <w:bCs/>
          <w:color w:val="002060"/>
          <w:sz w:val="16"/>
          <w:szCs w:val="16"/>
        </w:rPr>
        <w:t>: "...открыла действии 2-я авиационная станция в селении Кильконд (полуостров Папенгольм на о. Эзель) на коковую перешёл полностью состав 1-й авиационной станции, находившейся в порту имени Александра III. После мобилизационного периода эта 1-я авиационная станция была развёрнута с ответственным дополнением прибывших по мобилизации чинов во 2-ю и 3-ю авиационные станции..."</w:t>
      </w:r>
    </w:p>
    <w:p w14:paraId="5ED88E54" w14:textId="77777777" w:rsidR="00B67D7C" w:rsidRPr="00DE096C" w:rsidRDefault="00B67D7C" w:rsidP="00D45A46">
      <w:pPr>
        <w:jc w:val="both"/>
        <w:rPr>
          <w:bCs/>
          <w:color w:val="002060"/>
          <w:sz w:val="16"/>
          <w:szCs w:val="16"/>
        </w:rPr>
      </w:pPr>
      <w:r w:rsidRPr="00DE096C">
        <w:rPr>
          <w:bCs/>
          <w:color w:val="002060"/>
          <w:sz w:val="16"/>
          <w:szCs w:val="16"/>
        </w:rPr>
        <w:t>Впоследствии, 2-ю авиационную станцию со всем имуществом перевели в Ревель (Таллинн) где она и находилась в готовности к развёртыванию.</w:t>
      </w:r>
    </w:p>
    <w:p w14:paraId="34D912CB" w14:textId="77777777" w:rsidR="00B67D7C" w:rsidRPr="00DE096C" w:rsidRDefault="00B67D7C" w:rsidP="00D45A46">
      <w:pPr>
        <w:jc w:val="both"/>
        <w:rPr>
          <w:bCs/>
          <w:color w:val="002060"/>
          <w:sz w:val="16"/>
          <w:szCs w:val="16"/>
        </w:rPr>
      </w:pPr>
      <w:r w:rsidRPr="00DE096C">
        <w:rPr>
          <w:bCs/>
          <w:color w:val="002060"/>
          <w:sz w:val="16"/>
          <w:szCs w:val="16"/>
        </w:rPr>
        <w:t>Ввиду отсутствия радиостанций на самолётах, даже те скудные данные, которые удавалось получить экипажам, сообщались после посадки по телеграфу. От устаревшей информации польза была небольшой, что не могло не раздражать флотское командование. В условиях неблагоприятной погоды удалось организовать наблюдение до о. Готланд и за три четверти суток произвести восемь самолёто-вылетов (11927).</w:t>
      </w:r>
    </w:p>
    <w:p w14:paraId="06B2CD44" w14:textId="77777777" w:rsidR="00B67D7C" w:rsidRPr="00DE096C" w:rsidRDefault="00B67D7C" w:rsidP="00D45A46">
      <w:pPr>
        <w:jc w:val="both"/>
        <w:rPr>
          <w:bCs/>
          <w:color w:val="002060"/>
          <w:sz w:val="16"/>
          <w:szCs w:val="16"/>
        </w:rPr>
      </w:pPr>
    </w:p>
    <w:p w14:paraId="1479632D" w14:textId="77777777" w:rsidR="002060BB" w:rsidRPr="00DE096C" w:rsidRDefault="002060BB" w:rsidP="00D45A46">
      <w:pPr>
        <w:jc w:val="both"/>
        <w:rPr>
          <w:bCs/>
          <w:i/>
          <w:color w:val="002060"/>
          <w:sz w:val="16"/>
          <w:szCs w:val="16"/>
        </w:rPr>
      </w:pPr>
      <w:r w:rsidRPr="00DE096C">
        <w:rPr>
          <w:bCs/>
          <w:i/>
          <w:color w:val="002060"/>
          <w:sz w:val="16"/>
          <w:szCs w:val="16"/>
        </w:rPr>
        <w:t>Армия:</w:t>
      </w:r>
    </w:p>
    <w:p w14:paraId="0FDE750A" w14:textId="77777777" w:rsidR="002060BB" w:rsidRPr="00DE096C" w:rsidRDefault="002060BB" w:rsidP="00D45A46">
      <w:pPr>
        <w:jc w:val="both"/>
        <w:rPr>
          <w:bCs/>
          <w:i/>
          <w:color w:val="002060"/>
          <w:sz w:val="16"/>
          <w:szCs w:val="16"/>
        </w:rPr>
      </w:pPr>
    </w:p>
    <w:p w14:paraId="643CC33E" w14:textId="2A9600DA" w:rsidR="002060BB" w:rsidRPr="00DE096C" w:rsidRDefault="002060BB" w:rsidP="00D45A46">
      <w:pPr>
        <w:jc w:val="both"/>
        <w:rPr>
          <w:bCs/>
          <w:color w:val="002060"/>
          <w:sz w:val="16"/>
          <w:szCs w:val="16"/>
        </w:rPr>
      </w:pPr>
      <w:r w:rsidRPr="00DE096C">
        <w:rPr>
          <w:bCs/>
          <w:color w:val="002060"/>
          <w:sz w:val="16"/>
          <w:szCs w:val="16"/>
        </w:rPr>
        <w:t>19 июля (</w:t>
      </w:r>
      <w:r w:rsidR="00594FAB" w:rsidRPr="00DE096C">
        <w:rPr>
          <w:bCs/>
          <w:color w:val="002060"/>
          <w:sz w:val="16"/>
          <w:szCs w:val="16"/>
        </w:rPr>
        <w:t>1</w:t>
      </w:r>
      <w:r w:rsidRPr="00DE096C">
        <w:rPr>
          <w:bCs/>
          <w:color w:val="002060"/>
          <w:sz w:val="16"/>
          <w:szCs w:val="16"/>
        </w:rPr>
        <w:t xml:space="preserve"> августа) в 1914 году объявляется манифест императора Николая II о войне с Германией. В столице на волне панславянских настроений война встречается почти с восторгом, поскольку "общество" ратует за то, чтобы во что бы то ни стало защитить "братьев-славян", то есть сербов. Охваченные верноподданническими чувствами юнкера готовы мириться даже с "цуканием" (так называется жалкое подобие современной армейской "дедовщины"). За 100 верст от двух столиц царит другое настроение. "Мы - калуцкие!" - говорят крестьяне, то есть, мол, Вильгельм до Калуги не дойдет. До Калуги он действительно не дойдет, но за 3 года общественные настроения в России изменятся настолько кардинально, что итогом этой перемены станут две революции, навечно изменившие лицо России (14971).</w:t>
      </w:r>
    </w:p>
    <w:p w14:paraId="0A1B0DB9" w14:textId="77777777" w:rsidR="002060BB" w:rsidRPr="00DE096C" w:rsidRDefault="002060BB" w:rsidP="00D45A46">
      <w:pPr>
        <w:jc w:val="both"/>
        <w:rPr>
          <w:bCs/>
          <w:color w:val="002060"/>
          <w:sz w:val="16"/>
          <w:szCs w:val="16"/>
        </w:rPr>
      </w:pPr>
    </w:p>
    <w:p w14:paraId="4AEA30C6" w14:textId="69AE40DB" w:rsidR="002060BB" w:rsidRPr="00DE096C" w:rsidRDefault="002060BB" w:rsidP="00D45A46">
      <w:pPr>
        <w:jc w:val="both"/>
        <w:rPr>
          <w:bCs/>
          <w:color w:val="002060"/>
          <w:sz w:val="16"/>
          <w:szCs w:val="16"/>
        </w:rPr>
      </w:pPr>
      <w:r w:rsidRPr="00DE096C">
        <w:rPr>
          <w:bCs/>
          <w:color w:val="002060"/>
          <w:sz w:val="16"/>
          <w:szCs w:val="16"/>
        </w:rPr>
        <w:t>19 июля (</w:t>
      </w:r>
      <w:r w:rsidR="00594FAB" w:rsidRPr="00DE096C">
        <w:rPr>
          <w:bCs/>
          <w:color w:val="002060"/>
          <w:sz w:val="16"/>
          <w:szCs w:val="16"/>
        </w:rPr>
        <w:t>1</w:t>
      </w:r>
      <w:r w:rsidRPr="00DE096C">
        <w:rPr>
          <w:bCs/>
          <w:color w:val="002060"/>
          <w:sz w:val="16"/>
          <w:szCs w:val="16"/>
        </w:rPr>
        <w:t xml:space="preserve"> августа) в 1914 году Россия вторгается в Восточную Пруссию (14971).</w:t>
      </w:r>
    </w:p>
    <w:p w14:paraId="155DE91C" w14:textId="77777777" w:rsidR="002060BB" w:rsidRPr="00DE096C" w:rsidRDefault="002060BB" w:rsidP="00D45A46">
      <w:pPr>
        <w:jc w:val="both"/>
        <w:rPr>
          <w:bCs/>
          <w:color w:val="002060"/>
          <w:sz w:val="16"/>
          <w:szCs w:val="16"/>
        </w:rPr>
      </w:pPr>
    </w:p>
    <w:p w14:paraId="4EC48E18"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Внешняя политика:</w:t>
      </w:r>
    </w:p>
    <w:p w14:paraId="658C0E07" w14:textId="77777777" w:rsidR="00B67D7C" w:rsidRPr="00DE096C" w:rsidRDefault="00B67D7C" w:rsidP="00D45A46">
      <w:pPr>
        <w:shd w:val="clear" w:color="auto" w:fill="FFFFFF"/>
        <w:jc w:val="both"/>
        <w:rPr>
          <w:bCs/>
          <w:i/>
          <w:color w:val="002060"/>
          <w:sz w:val="16"/>
          <w:szCs w:val="16"/>
        </w:rPr>
      </w:pPr>
    </w:p>
    <w:p w14:paraId="4902FE2E" w14:textId="6861A0FE" w:rsidR="00B67D7C" w:rsidRPr="00DE096C" w:rsidRDefault="00B67D7C" w:rsidP="00D45A46">
      <w:pPr>
        <w:jc w:val="both"/>
        <w:rPr>
          <w:bCs/>
          <w:color w:val="002060"/>
          <w:sz w:val="16"/>
          <w:szCs w:val="16"/>
        </w:rPr>
      </w:pPr>
      <w:r w:rsidRPr="00DE096C">
        <w:rPr>
          <w:bCs/>
          <w:color w:val="002060"/>
          <w:sz w:val="16"/>
          <w:szCs w:val="16"/>
        </w:rPr>
        <w:t xml:space="preserve">19 июля </w:t>
      </w:r>
      <w:r w:rsidR="00594FAB" w:rsidRPr="00DE096C">
        <w:rPr>
          <w:bCs/>
          <w:color w:val="002060"/>
          <w:sz w:val="16"/>
          <w:szCs w:val="16"/>
        </w:rPr>
        <w:t xml:space="preserve">(1 августа) </w:t>
      </w:r>
      <w:r w:rsidRPr="00DE096C">
        <w:rPr>
          <w:bCs/>
          <w:color w:val="002060"/>
          <w:sz w:val="16"/>
          <w:szCs w:val="16"/>
        </w:rPr>
        <w:t>1914 года Германия объявила войну России, 21 июля-Франции и 22 июля Англии</w:t>
      </w:r>
    </w:p>
    <w:p w14:paraId="12DE0A2C" w14:textId="77777777" w:rsidR="00B67D7C" w:rsidRPr="00DE096C" w:rsidRDefault="00B67D7C" w:rsidP="00D45A46">
      <w:pPr>
        <w:jc w:val="both"/>
        <w:rPr>
          <w:bCs/>
          <w:i/>
          <w:color w:val="002060"/>
          <w:sz w:val="16"/>
          <w:szCs w:val="16"/>
        </w:rPr>
      </w:pPr>
    </w:p>
    <w:p w14:paraId="6B38FD31" w14:textId="15FBEF30" w:rsidR="00B67D7C" w:rsidRPr="00DE096C" w:rsidRDefault="00B67D7C" w:rsidP="00D45A46">
      <w:pPr>
        <w:jc w:val="both"/>
        <w:rPr>
          <w:bCs/>
          <w:color w:val="002060"/>
          <w:sz w:val="16"/>
          <w:szCs w:val="16"/>
        </w:rPr>
      </w:pPr>
      <w:r w:rsidRPr="00DE096C">
        <w:rPr>
          <w:bCs/>
          <w:color w:val="002060"/>
          <w:sz w:val="16"/>
          <w:szCs w:val="16"/>
        </w:rPr>
        <w:t xml:space="preserve">19 июля </w:t>
      </w:r>
      <w:r w:rsidR="00594FAB" w:rsidRPr="00DE096C">
        <w:rPr>
          <w:bCs/>
          <w:color w:val="002060"/>
          <w:sz w:val="16"/>
          <w:szCs w:val="16"/>
        </w:rPr>
        <w:t xml:space="preserve">(1 августа) </w:t>
      </w:r>
      <w:r w:rsidRPr="00DE096C">
        <w:rPr>
          <w:bCs/>
          <w:color w:val="002060"/>
          <w:sz w:val="16"/>
          <w:szCs w:val="16"/>
        </w:rPr>
        <w:t xml:space="preserve">1914 г. </w:t>
      </w:r>
      <w:r w:rsidR="00594FAB" w:rsidRPr="00DE096C">
        <w:rPr>
          <w:bCs/>
          <w:color w:val="002060"/>
          <w:sz w:val="16"/>
          <w:szCs w:val="16"/>
        </w:rPr>
        <w:t xml:space="preserve">германский посол </w:t>
      </w:r>
      <w:r w:rsidRPr="00DE096C">
        <w:rPr>
          <w:bCs/>
          <w:color w:val="002060"/>
          <w:sz w:val="16"/>
          <w:szCs w:val="16"/>
        </w:rPr>
        <w:t>вручил С.Д.Сазонову ноту с объявлением войны. 3 августа (н. ст.) Германия объявила войну Франции. На следующий день Англия, под предлогом нарушения немецкими войсками нейтралитета Бельгии, объявила войну Германии. 23 августа 1914 г. в войну на стороне Антанты вступила Япония. Вооруженный конфликт быстро приобрел мировой характер.</w:t>
      </w:r>
    </w:p>
    <w:p w14:paraId="04563E62" w14:textId="77777777" w:rsidR="00B67D7C" w:rsidRPr="00DE096C" w:rsidRDefault="00B67D7C" w:rsidP="00D45A46">
      <w:pPr>
        <w:jc w:val="both"/>
        <w:rPr>
          <w:bCs/>
          <w:color w:val="002060"/>
          <w:sz w:val="16"/>
          <w:szCs w:val="16"/>
        </w:rPr>
      </w:pPr>
    </w:p>
    <w:p w14:paraId="6FF7464F" w14:textId="1AF6A35F" w:rsidR="00B67D7C" w:rsidRPr="00DE096C" w:rsidRDefault="00B67D7C" w:rsidP="00D45A46">
      <w:pPr>
        <w:shd w:val="clear" w:color="auto" w:fill="FFFFFF"/>
        <w:jc w:val="both"/>
        <w:rPr>
          <w:bCs/>
          <w:color w:val="002060"/>
          <w:sz w:val="16"/>
          <w:szCs w:val="16"/>
        </w:rPr>
      </w:pPr>
      <w:bookmarkStart w:id="94" w:name="TOC_idm410856"/>
      <w:bookmarkStart w:id="95" w:name="TOC_idm410728"/>
      <w:bookmarkEnd w:id="94"/>
      <w:bookmarkEnd w:id="95"/>
      <w:r w:rsidRPr="00DE096C">
        <w:rPr>
          <w:bCs/>
          <w:color w:val="002060"/>
          <w:sz w:val="16"/>
          <w:szCs w:val="16"/>
        </w:rPr>
        <w:t>19 июля (1 августа) 1914 года</w:t>
      </w:r>
      <w:r w:rsidR="001C2826" w:rsidRPr="00DE096C">
        <w:rPr>
          <w:bCs/>
          <w:color w:val="002060"/>
          <w:sz w:val="16"/>
          <w:szCs w:val="16"/>
        </w:rPr>
        <w:t xml:space="preserve"> вечером Германский посол в России граф Пурталес вручил министру иностранных дел Сазонову ноту</w:t>
      </w:r>
      <w:r w:rsidRPr="00DE096C">
        <w:rPr>
          <w:bCs/>
          <w:color w:val="002060"/>
          <w:sz w:val="16"/>
          <w:szCs w:val="16"/>
        </w:rPr>
        <w:t>. В ноте говорилось: «Его величество император, мой августейший повелитель, от имени империи, принимая вызов, считает себя в состоянии войны с Россией» (12238).</w:t>
      </w:r>
    </w:p>
    <w:p w14:paraId="7C5125E1" w14:textId="77777777" w:rsidR="00B67D7C" w:rsidRPr="00DE096C" w:rsidRDefault="00B67D7C" w:rsidP="00D45A46">
      <w:pPr>
        <w:jc w:val="both"/>
        <w:rPr>
          <w:bCs/>
          <w:color w:val="002060"/>
          <w:sz w:val="16"/>
          <w:szCs w:val="16"/>
        </w:rPr>
      </w:pPr>
    </w:p>
    <w:p w14:paraId="4406D221" w14:textId="77777777" w:rsidR="005F240D" w:rsidRPr="00DE096C" w:rsidRDefault="005F240D" w:rsidP="00D45A46">
      <w:pPr>
        <w:jc w:val="both"/>
        <w:rPr>
          <w:bCs/>
          <w:i/>
          <w:color w:val="002060"/>
          <w:sz w:val="16"/>
          <w:szCs w:val="16"/>
        </w:rPr>
      </w:pPr>
      <w:r w:rsidRPr="00DE096C">
        <w:rPr>
          <w:bCs/>
          <w:i/>
          <w:color w:val="002060"/>
          <w:sz w:val="16"/>
          <w:szCs w:val="16"/>
        </w:rPr>
        <w:t>Авиация и воздухоплавание Франции:</w:t>
      </w:r>
    </w:p>
    <w:p w14:paraId="54B807F7" w14:textId="77777777" w:rsidR="005F240D" w:rsidRPr="00DE096C" w:rsidRDefault="005F240D" w:rsidP="00D45A46">
      <w:pPr>
        <w:jc w:val="both"/>
        <w:rPr>
          <w:bCs/>
          <w:i/>
          <w:color w:val="002060"/>
          <w:sz w:val="16"/>
          <w:szCs w:val="16"/>
        </w:rPr>
      </w:pPr>
    </w:p>
    <w:p w14:paraId="54046073" w14:textId="77777777" w:rsidR="005F240D" w:rsidRPr="00DE096C" w:rsidRDefault="005F240D" w:rsidP="00D45A46">
      <w:pPr>
        <w:jc w:val="both"/>
        <w:rPr>
          <w:bCs/>
          <w:color w:val="002060"/>
          <w:sz w:val="16"/>
          <w:szCs w:val="16"/>
        </w:rPr>
      </w:pPr>
      <w:r w:rsidRPr="00DE096C">
        <w:rPr>
          <w:bCs/>
          <w:color w:val="002060"/>
          <w:sz w:val="16"/>
          <w:szCs w:val="16"/>
        </w:rPr>
        <w:t>19 июля (1 августа) 1914 Конгресс США создает авиационную секцию в Корпусе связи армии США (20337).</w:t>
      </w:r>
    </w:p>
    <w:p w14:paraId="46F4F744" w14:textId="77777777" w:rsidR="005F240D" w:rsidRPr="00DE096C" w:rsidRDefault="005F240D" w:rsidP="00D45A46">
      <w:pPr>
        <w:jc w:val="both"/>
        <w:rPr>
          <w:bCs/>
          <w:color w:val="002060"/>
          <w:sz w:val="16"/>
          <w:szCs w:val="16"/>
        </w:rPr>
      </w:pPr>
    </w:p>
    <w:p w14:paraId="78C5B239"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Самолетостроение:</w:t>
      </w:r>
    </w:p>
    <w:p w14:paraId="535339DB" w14:textId="77777777" w:rsidR="00B67D7C" w:rsidRPr="00DE096C" w:rsidRDefault="00B67D7C" w:rsidP="00D45A46">
      <w:pPr>
        <w:pStyle w:val="a3"/>
        <w:jc w:val="both"/>
        <w:rPr>
          <w:bCs/>
          <w:color w:val="002060"/>
          <w:spacing w:val="0"/>
          <w:kern w:val="0"/>
          <w:position w:val="0"/>
          <w:sz w:val="16"/>
          <w:szCs w:val="16"/>
        </w:rPr>
      </w:pPr>
    </w:p>
    <w:p w14:paraId="3ADF57DB" w14:textId="1D8F3938" w:rsidR="00B67D7C" w:rsidRPr="00DE096C" w:rsidRDefault="00B67D7C" w:rsidP="00D45A46">
      <w:pPr>
        <w:shd w:val="clear" w:color="auto" w:fill="FFFFFF"/>
        <w:jc w:val="both"/>
        <w:rPr>
          <w:bCs/>
          <w:color w:val="002060"/>
          <w:sz w:val="16"/>
          <w:szCs w:val="16"/>
        </w:rPr>
      </w:pPr>
      <w:bookmarkStart w:id="96" w:name="_Hlk117188530"/>
      <w:r w:rsidRPr="00DE096C">
        <w:rPr>
          <w:bCs/>
          <w:color w:val="002060"/>
          <w:sz w:val="16"/>
          <w:szCs w:val="16"/>
        </w:rPr>
        <w:t>20 июля (3 августа) 1914, т.е. на следующий день после начала боевых действий</w:t>
      </w:r>
      <w:r w:rsidR="001C2826" w:rsidRPr="00DE096C">
        <w:rPr>
          <w:bCs/>
          <w:color w:val="002060"/>
          <w:sz w:val="16"/>
          <w:szCs w:val="16"/>
        </w:rPr>
        <w:t>, несмотря на понятный скептицизм в их отношении, 2 машины С-10 со 125-сильными моторами были востребованы командиром Петербургского порта</w:t>
      </w:r>
      <w:r w:rsidRPr="00DE096C">
        <w:rPr>
          <w:bCs/>
          <w:color w:val="002060"/>
          <w:sz w:val="16"/>
          <w:szCs w:val="16"/>
        </w:rPr>
        <w:t>. Официальный контракт подписали 24 июля, а еще один — на 2 С-10 со 100-сильными "Аргусами", последовал 22 сентября; третий, и последний договор на поставку гидроаэроплана С-10 с двигателем "Аргус" 115 л.с. состоялся 25 февраля 1915 г. Из этих пяти только две машины были в конце концов приняты Морским ведомством, а от прочих отказа</w:t>
      </w:r>
      <w:r w:rsidRPr="00DE096C">
        <w:rPr>
          <w:bCs/>
          <w:color w:val="002060"/>
          <w:sz w:val="16"/>
          <w:szCs w:val="16"/>
        </w:rPr>
        <w:softHyphen/>
        <w:t>лись из-за срыва сроков поставки и невыполнения технических условий (2843).</w:t>
      </w:r>
    </w:p>
    <w:p w14:paraId="253A4979" w14:textId="77777777" w:rsidR="00B67D7C" w:rsidRPr="00DE096C" w:rsidRDefault="00B67D7C" w:rsidP="00D45A46">
      <w:pPr>
        <w:shd w:val="clear" w:color="auto" w:fill="FFFFFF"/>
        <w:jc w:val="both"/>
        <w:rPr>
          <w:bCs/>
          <w:color w:val="002060"/>
          <w:sz w:val="16"/>
          <w:szCs w:val="16"/>
        </w:rPr>
      </w:pPr>
    </w:p>
    <w:bookmarkEnd w:id="96"/>
    <w:p w14:paraId="43F0167A" w14:textId="558C8277" w:rsidR="00B67D7C" w:rsidRPr="00DE096C" w:rsidRDefault="00B67D7C" w:rsidP="00D45A46">
      <w:pPr>
        <w:jc w:val="both"/>
        <w:rPr>
          <w:bCs/>
          <w:color w:val="002060"/>
          <w:sz w:val="16"/>
          <w:szCs w:val="16"/>
        </w:rPr>
      </w:pPr>
      <w:r w:rsidRPr="00DE096C">
        <w:rPr>
          <w:bCs/>
          <w:color w:val="002060"/>
          <w:sz w:val="16"/>
          <w:szCs w:val="16"/>
        </w:rPr>
        <w:t xml:space="preserve">20 июля </w:t>
      </w:r>
      <w:r w:rsidR="001C2826" w:rsidRPr="00DE096C">
        <w:rPr>
          <w:bCs/>
          <w:color w:val="002060"/>
          <w:sz w:val="16"/>
          <w:szCs w:val="16"/>
        </w:rPr>
        <w:t xml:space="preserve">(2 августа) 1914 г. </w:t>
      </w:r>
      <w:r w:rsidRPr="00DE096C">
        <w:rPr>
          <w:bCs/>
          <w:color w:val="002060"/>
          <w:sz w:val="16"/>
          <w:szCs w:val="16"/>
        </w:rPr>
        <w:t>завод Щетинина предложил поставить флоту пять М-2 без моторов в шестинедельный срок. Через два дня, 22 июля, последовало подписание договора о поставке четырех летающих лодок М-2 без моторов. Указанное соглашение заставило форсировать начавшиеся ранее работы.</w:t>
      </w:r>
    </w:p>
    <w:p w14:paraId="6C9B23E7" w14:textId="77777777" w:rsidR="00B67D7C" w:rsidRPr="00DE096C" w:rsidRDefault="00B67D7C" w:rsidP="00D45A46">
      <w:pPr>
        <w:jc w:val="both"/>
        <w:rPr>
          <w:bCs/>
          <w:color w:val="002060"/>
          <w:sz w:val="16"/>
          <w:szCs w:val="16"/>
        </w:rPr>
      </w:pPr>
      <w:r w:rsidRPr="00DE096C">
        <w:rPr>
          <w:bCs/>
          <w:color w:val="002060"/>
          <w:sz w:val="16"/>
          <w:szCs w:val="16"/>
        </w:rPr>
        <w:t>Заводские испытания первого экземпляра М-2, оснащенного двигателем "Гном" 80 л.с. начались в августе 1914 г. К сожалению, уже 31 августа самолет потерпел катастрофу, в результате которой погиб летчик П.В. Евсюков. Причины несчастья достоверно не установили, однако фактов, указывающих на недостатки конструкции, также не было выявлено, поэтому изготовление последующих М-2 продолжили. Четыре построенных однотипных аппарата отличались от первого образца более мощными двигателями "Гном-Моносупап" в 100 л.с.</w:t>
      </w:r>
    </w:p>
    <w:p w14:paraId="16BD501A" w14:textId="77777777" w:rsidR="00B67D7C" w:rsidRPr="00DE096C" w:rsidRDefault="00B67D7C" w:rsidP="00D45A46">
      <w:pPr>
        <w:jc w:val="both"/>
        <w:rPr>
          <w:bCs/>
          <w:color w:val="002060"/>
          <w:sz w:val="16"/>
          <w:szCs w:val="16"/>
        </w:rPr>
      </w:pPr>
      <w:r w:rsidRPr="00DE096C">
        <w:rPr>
          <w:bCs/>
          <w:color w:val="002060"/>
          <w:sz w:val="16"/>
          <w:szCs w:val="16"/>
        </w:rPr>
        <w:t>23 ноября 1914 г. в Ревель на 3-ю станцию были высланы первые две М-2, которые прибыли к месту назначения на следующий день. Сборка первого экземпляра выявила достаточно много дефектов конструкции, нестыковок, случаев явного и скрытого брака - сказалась спешка с выполнением заказа. Поэтому все усилия решили поначалу сосредоточить на доводке одного самолета, а во второй ввести изменения по опыту первого. Для ускорения доводки этого М-2 в Ревель приехал сам Григорович.</w:t>
      </w:r>
    </w:p>
    <w:p w14:paraId="77B6C098" w14:textId="77777777" w:rsidR="00B67D7C" w:rsidRPr="00DE096C" w:rsidRDefault="00B67D7C" w:rsidP="00D45A46">
      <w:pPr>
        <w:jc w:val="both"/>
        <w:rPr>
          <w:bCs/>
          <w:color w:val="002060"/>
          <w:sz w:val="16"/>
          <w:szCs w:val="16"/>
        </w:rPr>
      </w:pPr>
      <w:r w:rsidRPr="00DE096C">
        <w:rPr>
          <w:bCs/>
          <w:color w:val="002060"/>
          <w:sz w:val="16"/>
          <w:szCs w:val="16"/>
        </w:rPr>
        <w:t>Отметим, что 20 декабря на 3-ю станцию прибыли три летающие лодки ФБА (Ргапсо-ВпТ1сЬ-Ау|'а1юп - франко-британская фирма, строившая летающие лодки с 1912 г.) из шести заказанных во Франции 12 сентября 1914 г. На тот момент это были наиболее доведенные машины, как по конструкции, так и по летным и эксплуатационным характеристикам. Сравнение двух типов аппаратов было явно не в пользу М-2, поэтому представители флота заняли более жесткую позицию в отношении приемки лодок Григоровича. К первому января 1915 г. ни одна из них еще не прошла сдаточных испытаний.</w:t>
      </w:r>
    </w:p>
    <w:p w14:paraId="39078E8A" w14:textId="77777777" w:rsidR="00B67D7C" w:rsidRPr="00DE096C" w:rsidRDefault="00B67D7C" w:rsidP="00D45A46">
      <w:pPr>
        <w:jc w:val="both"/>
        <w:rPr>
          <w:bCs/>
          <w:color w:val="002060"/>
          <w:sz w:val="16"/>
          <w:szCs w:val="16"/>
        </w:rPr>
      </w:pPr>
      <w:r w:rsidRPr="00DE096C">
        <w:rPr>
          <w:bCs/>
          <w:color w:val="002060"/>
          <w:sz w:val="16"/>
          <w:szCs w:val="16"/>
        </w:rPr>
        <w:lastRenderedPageBreak/>
        <w:t>Несмотря на трудности доводки М-2, первую такую лодку в начале февраля 1915 г. удалось испытать. Доработанные по ее опыту детали и узлы заново изготовили на заводе Щетинина, доставили в Ревель и установили на второй экземпляр. По причине изменений конструкции, он получил новое обозначение - М-3. Сдаточные испытания закончились в марте 1915 г., затем М-2 и М-3 зачислили в состав Службы связи Балтийского моря под обозначением Щ-2 и Щ-3 (12083).</w:t>
      </w:r>
    </w:p>
    <w:p w14:paraId="71F41FC4" w14:textId="77777777" w:rsidR="00B67D7C" w:rsidRPr="00DE096C" w:rsidRDefault="00B67D7C" w:rsidP="00D45A46">
      <w:pPr>
        <w:jc w:val="both"/>
        <w:rPr>
          <w:bCs/>
          <w:color w:val="002060"/>
          <w:sz w:val="16"/>
          <w:szCs w:val="16"/>
        </w:rPr>
      </w:pPr>
      <w:r w:rsidRPr="00DE096C">
        <w:rPr>
          <w:bCs/>
          <w:color w:val="002060"/>
          <w:sz w:val="16"/>
          <w:szCs w:val="16"/>
        </w:rPr>
        <w:t>Между тем, затянувшаяся сдача этих первых летающих лодок отечественного производства негативно повлияла на отношение к ним со стороны морского ведомства. В середине января 1915 г. штаб заведующего авиацией при Службе связи Балтийского моря принял решение о заказе большой партии летающих лодок ФБА для оснащения отрядов и станций на Балтике. Впрочем, реализация этого решения поначалу сдерживалась тем обстоятельством, что производственные мощности французской фирмы до предела были загружены заказами собственного флота. Начались переговоры о лицензионном соглашении.</w:t>
      </w:r>
    </w:p>
    <w:p w14:paraId="3D73A807" w14:textId="77777777" w:rsidR="00B67D7C" w:rsidRPr="00DE096C" w:rsidRDefault="00B67D7C" w:rsidP="00D45A46">
      <w:pPr>
        <w:jc w:val="both"/>
        <w:rPr>
          <w:bCs/>
          <w:color w:val="002060"/>
          <w:sz w:val="16"/>
          <w:szCs w:val="16"/>
        </w:rPr>
      </w:pPr>
      <w:r w:rsidRPr="00DE096C">
        <w:rPr>
          <w:bCs/>
          <w:color w:val="002060"/>
          <w:sz w:val="16"/>
          <w:szCs w:val="16"/>
        </w:rPr>
        <w:t>2 февраля 1915 г. было получено сообщение, что фирма ФБА готова продать комплект чертежей своей летающей лодки России за 13000 рублей и, кроме того, фирма пожелала получать по 1300 рублей за каждый построенный такой самолет на русских заводах. После подписания лицензионного соглашения от приемки двух оставшихся лодок Щетинина отказались, выплатив заводу лишь небольшую неустойку. А французские ФБА в довольно большом числе экземпляров начал строить в Петрограде завод В.А. Лебедева.</w:t>
      </w:r>
    </w:p>
    <w:p w14:paraId="1901D7E8" w14:textId="77777777" w:rsidR="00B67D7C" w:rsidRPr="00DE096C" w:rsidRDefault="00B67D7C" w:rsidP="00D45A46">
      <w:pPr>
        <w:jc w:val="both"/>
        <w:rPr>
          <w:bCs/>
          <w:color w:val="002060"/>
          <w:sz w:val="16"/>
          <w:szCs w:val="16"/>
        </w:rPr>
      </w:pPr>
      <w:r w:rsidRPr="00DE096C">
        <w:rPr>
          <w:bCs/>
          <w:color w:val="002060"/>
          <w:sz w:val="16"/>
          <w:szCs w:val="16"/>
        </w:rPr>
        <w:t>Принятые флотом М-2 (Щ-2) и М-3 (Щ-3) использовались на 3-й станции в качестве учебных машин. Летом 1915 г. почти одновременно они получили при жесткой посадке довольно серьезные повреждения конструкции и до октября находились в долговременном ремонте. В ноябре того же года их списали.</w:t>
      </w:r>
    </w:p>
    <w:p w14:paraId="76C49E11" w14:textId="77777777" w:rsidR="00B67D7C" w:rsidRPr="00DE096C" w:rsidRDefault="00B67D7C" w:rsidP="00D45A46">
      <w:pPr>
        <w:jc w:val="both"/>
        <w:rPr>
          <w:bCs/>
          <w:color w:val="002060"/>
          <w:sz w:val="16"/>
          <w:szCs w:val="16"/>
        </w:rPr>
      </w:pPr>
      <w:r w:rsidRPr="00DE096C">
        <w:rPr>
          <w:bCs/>
          <w:color w:val="002060"/>
          <w:sz w:val="16"/>
          <w:szCs w:val="16"/>
        </w:rPr>
        <w:t>На Черном море летом 1914 г. еще царила довольно благодушная обстановка. Казалось, война далеко, а время для реорганизаций еще есть. В сентябре морская авиация Черноморского флота насчитывала всего шесть боевых машин. По-ложение резко изменилось в октябре, когда после набега немецких крейсеров "Гебен" и "Бреслау" при участии части турецкого флота Турция объявила войну России. Обострение военной ситуации показало острую нехватку боеспособных самолетов.</w:t>
      </w:r>
    </w:p>
    <w:p w14:paraId="6FF0FA9E" w14:textId="77777777" w:rsidR="00B67D7C" w:rsidRPr="00DE096C" w:rsidRDefault="00B67D7C" w:rsidP="00D45A46">
      <w:pPr>
        <w:jc w:val="both"/>
        <w:rPr>
          <w:bCs/>
          <w:color w:val="002060"/>
          <w:sz w:val="16"/>
          <w:szCs w:val="16"/>
        </w:rPr>
      </w:pPr>
      <w:r w:rsidRPr="00DE096C">
        <w:rPr>
          <w:bCs/>
          <w:color w:val="002060"/>
          <w:sz w:val="16"/>
          <w:szCs w:val="16"/>
        </w:rPr>
        <w:t xml:space="preserve">В сложившихся условиях предложение Щетинина о поставке двух летающих лодок типа М-2 командованием Черноморского флота было встречено вполне благожелательно. Имеющиеся в наличии на заводе две недостроенные лодки срочно доработали по типу М-3, кроме того, внесли дополнительные изменения и дооборудовали кабину. После чего они получили обозначение М-4 и уже весной 1915 г. прибыли на Черное море. </w:t>
      </w:r>
    </w:p>
    <w:p w14:paraId="0ACB76C3" w14:textId="77777777" w:rsidR="00B67D7C" w:rsidRPr="00DE096C" w:rsidRDefault="00B67D7C" w:rsidP="00D45A46">
      <w:pPr>
        <w:jc w:val="both"/>
        <w:rPr>
          <w:bCs/>
          <w:color w:val="002060"/>
          <w:sz w:val="16"/>
          <w:szCs w:val="16"/>
        </w:rPr>
      </w:pPr>
      <w:r w:rsidRPr="00DE096C">
        <w:rPr>
          <w:bCs/>
          <w:color w:val="002060"/>
          <w:sz w:val="16"/>
          <w:szCs w:val="16"/>
        </w:rPr>
        <w:t>После проведения сдаточных испытаний в апреле 1915 г. самолеты зачислили в состав авиации Черноморского флота. Летчики встретили их довольно хорошо: по сравнению с летающими лодками американского производства "Кер- тисс" (СигН$$) машины Григоровича имели лучшие мореходные, летные и эксплуатационные характеристики. Один самолет использовался в составе корабельного отряда, другой состоял в береговом отряде. Скоро оба экземпляра успешно опробовали в боевой обстановке. 12 апреля аппарат с бортовым номером "29", спущенный с борта крейсера "Император Николай I", в районе Босфора впервые атаковал турецкую канонерку. Это сообщение, наряду с другими положительными отзывами об ис-пользовании летающих лодок Щетинина-Григоровича, позволило вполне уверенно продолжать строительство следующих гидросамолетов (12083).</w:t>
      </w:r>
    </w:p>
    <w:p w14:paraId="3A97D7F4" w14:textId="77777777" w:rsidR="00B67D7C" w:rsidRPr="00DE096C" w:rsidRDefault="00B67D7C" w:rsidP="00D45A46">
      <w:pPr>
        <w:jc w:val="both"/>
        <w:rPr>
          <w:bCs/>
          <w:color w:val="002060"/>
          <w:sz w:val="16"/>
          <w:szCs w:val="16"/>
        </w:rPr>
      </w:pPr>
    </w:p>
    <w:p w14:paraId="6E447F8F" w14:textId="77777777" w:rsidR="002060BB" w:rsidRPr="00DE096C" w:rsidRDefault="002060BB" w:rsidP="00D45A46">
      <w:pPr>
        <w:jc w:val="both"/>
        <w:rPr>
          <w:bCs/>
          <w:i/>
          <w:color w:val="002060"/>
          <w:sz w:val="16"/>
          <w:szCs w:val="16"/>
        </w:rPr>
      </w:pPr>
      <w:r w:rsidRPr="00DE096C">
        <w:rPr>
          <w:bCs/>
          <w:i/>
          <w:color w:val="002060"/>
          <w:sz w:val="16"/>
          <w:szCs w:val="16"/>
        </w:rPr>
        <w:t>Другие оборонные отрасли:</w:t>
      </w:r>
    </w:p>
    <w:p w14:paraId="54DE7B92" w14:textId="77777777" w:rsidR="002060BB" w:rsidRPr="00DE096C" w:rsidRDefault="002060BB" w:rsidP="00D45A46">
      <w:pPr>
        <w:jc w:val="both"/>
        <w:rPr>
          <w:bCs/>
          <w:i/>
          <w:color w:val="002060"/>
          <w:sz w:val="16"/>
          <w:szCs w:val="16"/>
        </w:rPr>
      </w:pPr>
    </w:p>
    <w:p w14:paraId="76377C28" w14:textId="7DDFDA66" w:rsidR="002060BB" w:rsidRPr="00DE096C" w:rsidRDefault="002060BB" w:rsidP="00D45A46">
      <w:pPr>
        <w:pStyle w:val="ae"/>
        <w:spacing w:before="0" w:beforeAutospacing="0" w:after="0" w:afterAutospacing="0"/>
        <w:jc w:val="both"/>
        <w:rPr>
          <w:bCs/>
          <w:color w:val="002060"/>
          <w:sz w:val="16"/>
          <w:szCs w:val="16"/>
        </w:rPr>
      </w:pPr>
      <w:r w:rsidRPr="00DE096C">
        <w:rPr>
          <w:bCs/>
          <w:color w:val="002060"/>
          <w:sz w:val="16"/>
          <w:szCs w:val="16"/>
        </w:rPr>
        <w:t>20 июля (</w:t>
      </w:r>
      <w:r w:rsidR="001C2826" w:rsidRPr="00DE096C">
        <w:rPr>
          <w:bCs/>
          <w:color w:val="002060"/>
          <w:sz w:val="16"/>
          <w:szCs w:val="16"/>
        </w:rPr>
        <w:t>2</w:t>
      </w:r>
      <w:r w:rsidRPr="00DE096C">
        <w:rPr>
          <w:bCs/>
          <w:color w:val="002060"/>
          <w:sz w:val="16"/>
          <w:szCs w:val="16"/>
        </w:rPr>
        <w:t xml:space="preserve"> августа) 1914 г. представленный проект правил об объявлении казенных заводов, изготовляющих предметы, необходимые для обороны государства, на особом положении рассматривался в особом заседании Совета министров</w:t>
      </w:r>
      <w:hyperlink r:id="rId33" w:anchor="111p" w:history="1">
        <w:r w:rsidRPr="00DE096C">
          <w:rPr>
            <w:rStyle w:val="af0"/>
            <w:bCs/>
            <w:color w:val="002060"/>
            <w:sz w:val="16"/>
            <w:szCs w:val="16"/>
            <w:vertAlign w:val="superscript"/>
          </w:rPr>
          <w:t>111</w:t>
        </w:r>
      </w:hyperlink>
      <w:r w:rsidRPr="00DE096C">
        <w:rPr>
          <w:bCs/>
          <w:color w:val="002060"/>
          <w:sz w:val="16"/>
          <w:szCs w:val="16"/>
        </w:rPr>
        <w:t>. Совет министров утвердил представленный проект в принципе, но на практике признал его несвоевременным и отказался осуществить. Интересны мотивы, которыми руководствовался Совет министров. Он прежде всего обратил внимание на то обстоятельство, что «при наблюдаемом в рабочей среде общем со всем населением империи одушевлении» (??) нет нужды в особых мерах, регулирующих работу военных предприятий в данное время. Поэтому представленные правила «подлежат утверждению лишь на случай могущей возникнуть впоследствии необходимости их изменения». Так гласит сухая протокольная запись журнала Совета министров. Нетрудно видеть, что под событиями, могущими «возникнуть впоследствии», подразумевались рабочие забастовки. В августе только что было покончено с июльской забастовкой в Петрограде и Баку. Правительство попросту боялось осложнений и волнений, которые могли быть вызваны новыми правилами. На заседании присутствовал министр внутренних дел, прекрасно осведомленный о том, что борьба рабочего класса была временно сломлена. Опасно было новыми правилами задеть рабочих и вызвать новый подъем рабочего движения (18524).</w:t>
      </w:r>
    </w:p>
    <w:p w14:paraId="49A30EDB" w14:textId="77777777" w:rsidR="002060BB" w:rsidRPr="00DE096C" w:rsidRDefault="002060BB" w:rsidP="00D45A46">
      <w:pPr>
        <w:pStyle w:val="ae"/>
        <w:spacing w:before="0" w:beforeAutospacing="0" w:after="0" w:afterAutospacing="0"/>
        <w:jc w:val="both"/>
        <w:rPr>
          <w:bCs/>
          <w:color w:val="002060"/>
          <w:sz w:val="16"/>
          <w:szCs w:val="16"/>
        </w:rPr>
      </w:pPr>
    </w:p>
    <w:p w14:paraId="0F7DB902"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Армия:</w:t>
      </w:r>
    </w:p>
    <w:p w14:paraId="652F4636" w14:textId="77777777" w:rsidR="00B67D7C" w:rsidRPr="00DE096C" w:rsidRDefault="00B67D7C" w:rsidP="00D45A46">
      <w:pPr>
        <w:shd w:val="clear" w:color="auto" w:fill="FFFFFF"/>
        <w:jc w:val="both"/>
        <w:rPr>
          <w:bCs/>
          <w:i/>
          <w:color w:val="002060"/>
          <w:sz w:val="16"/>
          <w:szCs w:val="16"/>
        </w:rPr>
      </w:pPr>
    </w:p>
    <w:p w14:paraId="380D7D3C" w14:textId="7330914A" w:rsidR="001C2826" w:rsidRPr="00DE096C" w:rsidRDefault="001C2826" w:rsidP="00D45A46">
      <w:pPr>
        <w:jc w:val="both"/>
        <w:rPr>
          <w:bCs/>
          <w:color w:val="002060"/>
          <w:sz w:val="16"/>
          <w:szCs w:val="16"/>
        </w:rPr>
      </w:pPr>
      <w:r w:rsidRPr="00DE096C">
        <w:rPr>
          <w:bCs/>
          <w:color w:val="002060"/>
          <w:sz w:val="16"/>
          <w:szCs w:val="16"/>
        </w:rPr>
        <w:t>20 июля (2 августа) 1914 г.:</w:t>
      </w:r>
    </w:p>
    <w:p w14:paraId="61A56034" w14:textId="1FC3DD4C" w:rsidR="00B67D7C" w:rsidRPr="00DE096C" w:rsidRDefault="00B67D7C" w:rsidP="00D45A46">
      <w:pPr>
        <w:jc w:val="both"/>
        <w:rPr>
          <w:bCs/>
          <w:color w:val="002060"/>
          <w:sz w:val="16"/>
          <w:szCs w:val="16"/>
        </w:rPr>
      </w:pPr>
      <w:r w:rsidRPr="00DE096C">
        <w:rPr>
          <w:bCs/>
          <w:color w:val="002060"/>
          <w:sz w:val="16"/>
          <w:szCs w:val="16"/>
        </w:rPr>
        <w:t xml:space="preserve">Манифест </w:t>
      </w:r>
    </w:p>
    <w:p w14:paraId="20689BE2" w14:textId="77777777" w:rsidR="00B67D7C" w:rsidRPr="00DE096C" w:rsidRDefault="00B67D7C" w:rsidP="00D45A46">
      <w:pPr>
        <w:jc w:val="both"/>
        <w:rPr>
          <w:bCs/>
          <w:color w:val="002060"/>
          <w:sz w:val="16"/>
          <w:szCs w:val="16"/>
        </w:rPr>
      </w:pPr>
      <w:r w:rsidRPr="00DE096C">
        <w:rPr>
          <w:bCs/>
          <w:color w:val="002060"/>
          <w:sz w:val="16"/>
          <w:szCs w:val="16"/>
        </w:rPr>
        <w:t xml:space="preserve">Божиею милостию, Мы, Николай Второй, император и самодержец Всероссийский, царь Польский, Великий князь Финляндский и прочая, и прочая, и прочая, объявляем всем верным нашим подданным. </w:t>
      </w:r>
    </w:p>
    <w:p w14:paraId="683103A4" w14:textId="77777777" w:rsidR="00B67D7C" w:rsidRPr="00DE096C" w:rsidRDefault="00B67D7C" w:rsidP="00D45A46">
      <w:pPr>
        <w:jc w:val="both"/>
        <w:rPr>
          <w:bCs/>
          <w:color w:val="002060"/>
          <w:sz w:val="16"/>
          <w:szCs w:val="16"/>
        </w:rPr>
      </w:pPr>
      <w:r w:rsidRPr="00DE096C">
        <w:rPr>
          <w:bCs/>
          <w:color w:val="002060"/>
          <w:sz w:val="16"/>
          <w:szCs w:val="16"/>
        </w:rPr>
        <w:t xml:space="preserve">Следуя историческим своим заветам, Россия, единая по вере и крови со славянскими народами, никогда не взирала на их судьбу безучастно. С полным единодушием и особою силою пробудились и братские, чувства русского народа к славянам в последние дни, когда Австро-Венгрия предъявила Сербии заведомо неприемлемые для державного государства требования. </w:t>
      </w:r>
    </w:p>
    <w:p w14:paraId="3B65A2EA" w14:textId="77777777" w:rsidR="00B67D7C" w:rsidRPr="00DE096C" w:rsidRDefault="00B67D7C" w:rsidP="00D45A46">
      <w:pPr>
        <w:jc w:val="both"/>
        <w:rPr>
          <w:bCs/>
          <w:color w:val="002060"/>
          <w:sz w:val="16"/>
          <w:szCs w:val="16"/>
        </w:rPr>
      </w:pPr>
      <w:r w:rsidRPr="00DE096C">
        <w:rPr>
          <w:bCs/>
          <w:color w:val="002060"/>
          <w:sz w:val="16"/>
          <w:szCs w:val="16"/>
        </w:rPr>
        <w:t xml:space="preserve">Презрев уступчивый и миролюбивый ответ сербского правительства, отвергнув доброжелательное посредничество России, Австрия поспешно перешла в вооруженное нападение, открыв бомбардировку беззащитною Белграда. </w:t>
      </w:r>
    </w:p>
    <w:p w14:paraId="4527B9E8" w14:textId="77777777" w:rsidR="00B67D7C" w:rsidRPr="00DE096C" w:rsidRDefault="00B67D7C" w:rsidP="00D45A46">
      <w:pPr>
        <w:jc w:val="both"/>
        <w:rPr>
          <w:bCs/>
          <w:color w:val="002060"/>
          <w:sz w:val="16"/>
          <w:szCs w:val="16"/>
        </w:rPr>
      </w:pPr>
      <w:r w:rsidRPr="00DE096C">
        <w:rPr>
          <w:bCs/>
          <w:color w:val="002060"/>
          <w:sz w:val="16"/>
          <w:szCs w:val="16"/>
        </w:rPr>
        <w:t xml:space="preserve">Вынужденные, в силу создавшихся условий, принять необходимые меры предосторожности, мы повелели привести армию и флот на военное положение, но, дорожа кровью и достоянием наших подданных, прилагали все усилия к мирному исходу начавшихся переговоров. </w:t>
      </w:r>
    </w:p>
    <w:p w14:paraId="2013DD63" w14:textId="77777777" w:rsidR="00B67D7C" w:rsidRPr="00DE096C" w:rsidRDefault="00B67D7C" w:rsidP="00D45A46">
      <w:pPr>
        <w:jc w:val="both"/>
        <w:rPr>
          <w:bCs/>
          <w:color w:val="002060"/>
          <w:sz w:val="16"/>
          <w:szCs w:val="16"/>
        </w:rPr>
      </w:pPr>
      <w:r w:rsidRPr="00DE096C">
        <w:rPr>
          <w:bCs/>
          <w:color w:val="002060"/>
          <w:sz w:val="16"/>
          <w:szCs w:val="16"/>
        </w:rPr>
        <w:t xml:space="preserve">Среди дружественных сношений союзная Австрии Германия, вопреки нашим надеждам на вековое доброе соседство и не внемля заверению нашему, что принятые меры отнюдь не имеют враждебных ей целей, стала домогаться немедленной их отмены и, встретив отказ в этом требовании, внезапно объявила России войну. </w:t>
      </w:r>
    </w:p>
    <w:p w14:paraId="3520EC38" w14:textId="77777777" w:rsidR="00B67D7C" w:rsidRPr="00DE096C" w:rsidRDefault="00B67D7C" w:rsidP="00D45A46">
      <w:pPr>
        <w:jc w:val="both"/>
        <w:rPr>
          <w:bCs/>
          <w:color w:val="002060"/>
          <w:sz w:val="16"/>
          <w:szCs w:val="16"/>
        </w:rPr>
      </w:pPr>
      <w:r w:rsidRPr="00DE096C">
        <w:rPr>
          <w:bCs/>
          <w:color w:val="002060"/>
          <w:sz w:val="16"/>
          <w:szCs w:val="16"/>
        </w:rPr>
        <w:t xml:space="preserve">Ныне предстоит уже не заступаться только за несправедливо обиженную родственную нам страну, но оградить честь, достоинство, целость России и положение ее среди великих держав. Мы непоколебимо верим, что на защиту Русской Земли дружно и самоотверженно встанут все верные наши подданные. [271] </w:t>
      </w:r>
    </w:p>
    <w:p w14:paraId="4B12DE3C" w14:textId="77777777" w:rsidR="00B67D7C" w:rsidRPr="00DE096C" w:rsidRDefault="00B67D7C" w:rsidP="00D45A46">
      <w:pPr>
        <w:jc w:val="both"/>
        <w:rPr>
          <w:bCs/>
          <w:color w:val="002060"/>
          <w:sz w:val="16"/>
          <w:szCs w:val="16"/>
        </w:rPr>
      </w:pPr>
      <w:r w:rsidRPr="00DE096C">
        <w:rPr>
          <w:bCs/>
          <w:color w:val="002060"/>
          <w:sz w:val="16"/>
          <w:szCs w:val="16"/>
        </w:rPr>
        <w:t xml:space="preserve">В грозный час испытания да будут забыты внутренние распри. Да укрепится еще теснее единение царя с его народом, и да отразит Россия, поднявшаяся, как один человек, дерзкий натиск врага. </w:t>
      </w:r>
    </w:p>
    <w:p w14:paraId="2DE47EFC" w14:textId="77777777" w:rsidR="00B67D7C" w:rsidRPr="00DE096C" w:rsidRDefault="00B67D7C" w:rsidP="00D45A46">
      <w:pPr>
        <w:jc w:val="both"/>
        <w:rPr>
          <w:bCs/>
          <w:color w:val="002060"/>
          <w:sz w:val="16"/>
          <w:szCs w:val="16"/>
        </w:rPr>
      </w:pPr>
      <w:r w:rsidRPr="00DE096C">
        <w:rPr>
          <w:bCs/>
          <w:color w:val="002060"/>
          <w:sz w:val="16"/>
          <w:szCs w:val="16"/>
        </w:rPr>
        <w:t xml:space="preserve">С глубокою верою в правоту нашего дела и смиренным упованием на всемогущий Промысел мы молитвенно призываем на Святую Русь и доблестные войска нагни Божие благословение. </w:t>
      </w:r>
    </w:p>
    <w:p w14:paraId="31E8658F" w14:textId="77777777" w:rsidR="00B67D7C" w:rsidRPr="00DE096C" w:rsidRDefault="00B67D7C" w:rsidP="00D45A46">
      <w:pPr>
        <w:jc w:val="both"/>
        <w:rPr>
          <w:bCs/>
          <w:color w:val="002060"/>
          <w:sz w:val="16"/>
          <w:szCs w:val="16"/>
        </w:rPr>
      </w:pPr>
      <w:r w:rsidRPr="00DE096C">
        <w:rPr>
          <w:bCs/>
          <w:color w:val="002060"/>
          <w:sz w:val="16"/>
          <w:szCs w:val="16"/>
        </w:rPr>
        <w:t xml:space="preserve">Дан в Санкт-Петербурге, в двадцатый день июля, в лето от Рождества Христова тысяча девятьсот четырнадцатое, царствования же нашего двадцатое. </w:t>
      </w:r>
      <w:r w:rsidRPr="00DE096C">
        <w:rPr>
          <w:bCs/>
          <w:i/>
          <w:color w:val="002060"/>
          <w:sz w:val="16"/>
          <w:szCs w:val="16"/>
        </w:rPr>
        <w:t>Николай</w:t>
      </w:r>
      <w:r w:rsidRPr="00DE096C">
        <w:rPr>
          <w:bCs/>
          <w:color w:val="002060"/>
          <w:sz w:val="16"/>
          <w:szCs w:val="16"/>
        </w:rPr>
        <w:t xml:space="preserve"> (11334).</w:t>
      </w:r>
    </w:p>
    <w:p w14:paraId="3B8CFAE3" w14:textId="77777777" w:rsidR="00B67D7C" w:rsidRPr="00DE096C" w:rsidRDefault="00B67D7C" w:rsidP="00D45A46">
      <w:pPr>
        <w:shd w:val="clear" w:color="auto" w:fill="FFFFFF"/>
        <w:jc w:val="both"/>
        <w:rPr>
          <w:bCs/>
          <w:i/>
          <w:color w:val="002060"/>
          <w:sz w:val="16"/>
          <w:szCs w:val="16"/>
        </w:rPr>
      </w:pPr>
    </w:p>
    <w:p w14:paraId="2A81AB6F" w14:textId="65F4A949" w:rsidR="00B67D7C" w:rsidRPr="00DE096C" w:rsidRDefault="00B67D7C" w:rsidP="00D45A46">
      <w:pPr>
        <w:jc w:val="both"/>
        <w:rPr>
          <w:bCs/>
          <w:color w:val="002060"/>
          <w:sz w:val="16"/>
          <w:szCs w:val="16"/>
        </w:rPr>
      </w:pPr>
      <w:r w:rsidRPr="00DE096C">
        <w:rPr>
          <w:bCs/>
          <w:color w:val="002060"/>
          <w:sz w:val="16"/>
          <w:szCs w:val="16"/>
        </w:rPr>
        <w:t>20 июля</w:t>
      </w:r>
      <w:r w:rsidR="001C2826" w:rsidRPr="00DE096C">
        <w:rPr>
          <w:bCs/>
          <w:color w:val="002060"/>
          <w:sz w:val="16"/>
          <w:szCs w:val="16"/>
        </w:rPr>
        <w:t xml:space="preserve"> (2 августа) 1914 г.</w:t>
      </w:r>
      <w:r w:rsidRPr="00DE096C">
        <w:rPr>
          <w:bCs/>
          <w:color w:val="002060"/>
          <w:sz w:val="16"/>
          <w:szCs w:val="16"/>
        </w:rPr>
        <w:t>, т. е. на следующий же день после объявления войны, Либава (Лиепая) была обстреляна немец­ким крейсером "Аугсбург". Все началось с того, что еще утром этого дня в верстах пяти от мор­ской либавской сигнальной станции было замечено стоявшее неподвижно одно неприятельское судно. К вечеру к нему присоеди­нились еще четыре, и вместе они исчезли за горизонтом. В полде­вятого вечера показались 3 корабля и дымки на небосклоне севернее военного порта. Были видимы 4-х и 2-трубные суда, которые через несколько минут начали обстрел порта с расстояния 6-8 верст. Первое время снаряды попадали только в море, тогда неприятель подошел на три версты и открыл огонь по порту и госпиталю, несмотря на то, что над последним развевалось семь (или по другим данным шесть) флагов Красного Креста. Во многих местах был пробит докторский дом, попаданием двух гранат испорчен дом главного врача, одна граната влетела в ок­но 6-го барака, при этом совершенно не повредив пол и стены. Один снаряд попал в фундамент 10-го барака, другим снарядом был снесен угол прачечной, а в 9-м бараке уничтожена труба. Очень густо падали снаряды у помещения госпитальной команды и 6-го барака. Был сбит один из флагов Красного Креста. Кроме того, много снарядов упало на дороге и в палисаднике госпитальных зданий. Против конторы морского госпиталя упало 10 гранат, на портовом шоссе у докторского дома - 11, около квартиры главного врача -14 снарядов и против аптеки -1. Всего по госпитальному району было сделано 86 выстрелов. Между госпитальным районом и казармами упало 14 снарядов. После обстрела повсюду в военном порту остались ямы и выбоины от гранат и 4-дюймовых морских снарядов. Эти снаряды легко пробивали стены в четверть- и пол-аршина толщиной.</w:t>
      </w:r>
    </w:p>
    <w:p w14:paraId="4B9A9A6A" w14:textId="77777777" w:rsidR="00B67D7C" w:rsidRPr="00DE096C" w:rsidRDefault="00B67D7C" w:rsidP="00D45A46">
      <w:pPr>
        <w:jc w:val="both"/>
        <w:rPr>
          <w:bCs/>
          <w:color w:val="002060"/>
          <w:sz w:val="16"/>
          <w:szCs w:val="16"/>
        </w:rPr>
      </w:pPr>
      <w:r w:rsidRPr="00DE096C">
        <w:rPr>
          <w:bCs/>
          <w:color w:val="002060"/>
          <w:sz w:val="16"/>
          <w:szCs w:val="16"/>
        </w:rPr>
        <w:t xml:space="preserve">По самому городу было сдела­но 15 выстрелов, 2 снаряда упали в воду шагах в 20 от пляжа, два упали между 6-й батареей и Кургаузным садом, один – против красильной фабрики Эйзингера и 5 - в море против маяка. Кроме того, одна граната упала в канал напротив таможни, три - в судно "Ковало", одна - на "Казино", одна у водокачки и одна - во дворе Лазаревской улицы, где опрокинула бочки с водой и засыпала землей сарай. </w:t>
      </w:r>
    </w:p>
    <w:p w14:paraId="0522AD3A" w14:textId="77777777" w:rsidR="00B67D7C" w:rsidRPr="00DE096C" w:rsidRDefault="00B67D7C" w:rsidP="00D45A46">
      <w:pPr>
        <w:jc w:val="both"/>
        <w:rPr>
          <w:bCs/>
          <w:color w:val="002060"/>
          <w:sz w:val="16"/>
          <w:szCs w:val="16"/>
        </w:rPr>
      </w:pPr>
      <w:r w:rsidRPr="00DE096C">
        <w:rPr>
          <w:bCs/>
          <w:color w:val="002060"/>
          <w:sz w:val="16"/>
          <w:szCs w:val="16"/>
        </w:rPr>
        <w:t>К счастью, никто не пострадал, только одна старушка была оцарапана осколками. Рига узнала об этом только через несколько дней то ли военная цензура размышляла, о чем стоит рассказывать, то ли время ушло на подсчет воронок и разрушений. Большинство лиепайчан восприняло обстрел как своего рода военную экзотику, и "Рижский вестник" оптимистически писал: "Немецкие гранаты выкатываются и продаются любителям на память по 15-20 руб. за штуку".</w:t>
      </w:r>
    </w:p>
    <w:p w14:paraId="1E5C3FF2" w14:textId="77777777" w:rsidR="00B67D7C" w:rsidRPr="00DE096C" w:rsidRDefault="00B67D7C" w:rsidP="00D45A46">
      <w:pPr>
        <w:shd w:val="clear" w:color="auto" w:fill="FFFFFF"/>
        <w:jc w:val="both"/>
        <w:rPr>
          <w:bCs/>
          <w:i/>
          <w:color w:val="002060"/>
          <w:sz w:val="16"/>
          <w:szCs w:val="16"/>
        </w:rPr>
      </w:pPr>
    </w:p>
    <w:p w14:paraId="3BAA41D4" w14:textId="77777777" w:rsidR="001C2826" w:rsidRPr="00DE096C" w:rsidRDefault="001C2826" w:rsidP="00D45A46">
      <w:pPr>
        <w:jc w:val="both"/>
        <w:rPr>
          <w:bCs/>
          <w:color w:val="002060"/>
          <w:sz w:val="16"/>
          <w:szCs w:val="16"/>
        </w:rPr>
      </w:pPr>
      <w:r w:rsidRPr="00DE096C">
        <w:rPr>
          <w:bCs/>
          <w:color w:val="002060"/>
          <w:sz w:val="16"/>
          <w:szCs w:val="16"/>
        </w:rPr>
        <w:t>20 июля (2 августа) в 1914 году происходит первая морская акция первой мировой войны - немецкий крейсер "Аугсбург" бомбит русский порт Либава (Лиепая) (14972).</w:t>
      </w:r>
    </w:p>
    <w:p w14:paraId="0DAC22E8" w14:textId="77777777" w:rsidR="001C2826" w:rsidRPr="00DE096C" w:rsidRDefault="001C2826" w:rsidP="00D45A46">
      <w:pPr>
        <w:jc w:val="both"/>
        <w:rPr>
          <w:bCs/>
          <w:color w:val="002060"/>
          <w:sz w:val="16"/>
          <w:szCs w:val="16"/>
        </w:rPr>
      </w:pPr>
    </w:p>
    <w:p w14:paraId="540DF164" w14:textId="629B998B" w:rsidR="002060BB" w:rsidRPr="00DE096C" w:rsidRDefault="002060BB" w:rsidP="00D45A46">
      <w:pPr>
        <w:jc w:val="both"/>
        <w:rPr>
          <w:bCs/>
          <w:color w:val="002060"/>
          <w:sz w:val="16"/>
          <w:szCs w:val="16"/>
        </w:rPr>
      </w:pPr>
      <w:r w:rsidRPr="00DE096C">
        <w:rPr>
          <w:bCs/>
          <w:color w:val="002060"/>
          <w:sz w:val="16"/>
          <w:szCs w:val="16"/>
        </w:rPr>
        <w:t>20 июля (</w:t>
      </w:r>
      <w:r w:rsidR="001C2826" w:rsidRPr="00DE096C">
        <w:rPr>
          <w:bCs/>
          <w:color w:val="002060"/>
          <w:sz w:val="16"/>
          <w:szCs w:val="16"/>
        </w:rPr>
        <w:t>2</w:t>
      </w:r>
      <w:r w:rsidRPr="00DE096C">
        <w:rPr>
          <w:bCs/>
          <w:color w:val="002060"/>
          <w:sz w:val="16"/>
          <w:szCs w:val="16"/>
        </w:rPr>
        <w:t xml:space="preserve"> августа) в 1914 году немецкие войска вторгаются на российскую территорию (в Польшу) (14972).</w:t>
      </w:r>
    </w:p>
    <w:p w14:paraId="35F2784C" w14:textId="77777777" w:rsidR="002060BB" w:rsidRPr="00DE096C" w:rsidRDefault="002060BB" w:rsidP="00D45A46">
      <w:pPr>
        <w:jc w:val="both"/>
        <w:rPr>
          <w:bCs/>
          <w:color w:val="002060"/>
          <w:sz w:val="16"/>
          <w:szCs w:val="16"/>
        </w:rPr>
      </w:pPr>
    </w:p>
    <w:p w14:paraId="4A8DA0C0" w14:textId="2EE08A98" w:rsidR="005B041C" w:rsidRPr="00DE096C" w:rsidRDefault="005B041C" w:rsidP="00D45A46">
      <w:pPr>
        <w:jc w:val="both"/>
        <w:rPr>
          <w:bCs/>
          <w:color w:val="002060"/>
          <w:sz w:val="16"/>
          <w:szCs w:val="16"/>
          <w:lang w:bidi="en-US"/>
        </w:rPr>
      </w:pPr>
      <w:r w:rsidRPr="00DE096C">
        <w:rPr>
          <w:bCs/>
          <w:color w:val="002060"/>
          <w:sz w:val="16"/>
          <w:szCs w:val="16"/>
          <w:lang w:bidi="en-US"/>
        </w:rPr>
        <w:lastRenderedPageBreak/>
        <w:t>2 (20) августа 1914 г. царь назначил великого князя Николая Николаевича Верховным главнокомандующим русскими вооруженными силами. Его начальником штаба был генерал Н.Н. Янушкевич, а генерал-квартирмейстером Ю.Н. Данилов (23525).</w:t>
      </w:r>
    </w:p>
    <w:p w14:paraId="365CD35F" w14:textId="77777777" w:rsidR="005B041C" w:rsidRPr="00DE096C" w:rsidRDefault="005B041C" w:rsidP="00D45A46">
      <w:pPr>
        <w:jc w:val="both"/>
        <w:rPr>
          <w:bCs/>
          <w:color w:val="002060"/>
          <w:sz w:val="16"/>
          <w:szCs w:val="16"/>
        </w:rPr>
      </w:pPr>
    </w:p>
    <w:p w14:paraId="23E41C9F" w14:textId="77777777" w:rsidR="001E0CA1" w:rsidRPr="00DE096C" w:rsidRDefault="001E0CA1" w:rsidP="00D45A46">
      <w:pPr>
        <w:jc w:val="both"/>
        <w:rPr>
          <w:bCs/>
          <w:i/>
          <w:color w:val="002060"/>
          <w:sz w:val="16"/>
          <w:szCs w:val="16"/>
        </w:rPr>
      </w:pPr>
      <w:r w:rsidRPr="00DE096C">
        <w:rPr>
          <w:bCs/>
          <w:i/>
          <w:color w:val="002060"/>
          <w:sz w:val="16"/>
          <w:szCs w:val="16"/>
        </w:rPr>
        <w:t>Жизнь и внутренняя политика:</w:t>
      </w:r>
    </w:p>
    <w:p w14:paraId="012AD004" w14:textId="77777777" w:rsidR="001E0CA1" w:rsidRPr="00DE096C" w:rsidRDefault="001E0CA1" w:rsidP="00D45A46">
      <w:pPr>
        <w:jc w:val="both"/>
        <w:rPr>
          <w:bCs/>
          <w:i/>
          <w:color w:val="002060"/>
          <w:sz w:val="16"/>
          <w:szCs w:val="16"/>
        </w:rPr>
      </w:pPr>
    </w:p>
    <w:p w14:paraId="627ACB2B" w14:textId="400F655A" w:rsidR="001E0CA1" w:rsidRPr="00DE096C" w:rsidRDefault="001E0CA1" w:rsidP="00D45A46">
      <w:pPr>
        <w:jc w:val="both"/>
        <w:rPr>
          <w:bCs/>
          <w:color w:val="002060"/>
          <w:sz w:val="16"/>
          <w:szCs w:val="16"/>
        </w:rPr>
      </w:pPr>
      <w:r w:rsidRPr="00DE096C">
        <w:rPr>
          <w:bCs/>
          <w:color w:val="002060"/>
          <w:sz w:val="16"/>
          <w:szCs w:val="16"/>
        </w:rPr>
        <w:t xml:space="preserve">20 июля </w:t>
      </w:r>
      <w:r w:rsidR="001C2826" w:rsidRPr="00DE096C">
        <w:rPr>
          <w:bCs/>
          <w:color w:val="002060"/>
          <w:sz w:val="16"/>
          <w:szCs w:val="16"/>
        </w:rPr>
        <w:t xml:space="preserve">(2 августа) </w:t>
      </w:r>
      <w:r w:rsidRPr="00DE096C">
        <w:rPr>
          <w:bCs/>
          <w:color w:val="002060"/>
          <w:sz w:val="16"/>
          <w:szCs w:val="16"/>
        </w:rPr>
        <w:t>в 1914 году русский проповедник Григорий Распутин выжил при попытке покушения на него (14958).</w:t>
      </w:r>
    </w:p>
    <w:p w14:paraId="1BD126C9" w14:textId="78642229" w:rsidR="001E0CA1" w:rsidRPr="00DE096C" w:rsidRDefault="001E0CA1" w:rsidP="00D45A46">
      <w:pPr>
        <w:jc w:val="both"/>
        <w:rPr>
          <w:bCs/>
          <w:color w:val="002060"/>
          <w:sz w:val="16"/>
          <w:szCs w:val="16"/>
        </w:rPr>
      </w:pPr>
    </w:p>
    <w:p w14:paraId="347F6FED" w14:textId="3EFCF724" w:rsidR="001C2826" w:rsidRPr="00DE096C" w:rsidRDefault="001C2826" w:rsidP="00D45A46">
      <w:pPr>
        <w:jc w:val="both"/>
        <w:rPr>
          <w:bCs/>
          <w:i/>
          <w:iCs/>
          <w:color w:val="002060"/>
          <w:sz w:val="16"/>
          <w:szCs w:val="16"/>
        </w:rPr>
      </w:pPr>
      <w:r w:rsidRPr="00DE096C">
        <w:rPr>
          <w:bCs/>
          <w:i/>
          <w:iCs/>
          <w:color w:val="002060"/>
          <w:sz w:val="16"/>
          <w:szCs w:val="16"/>
        </w:rPr>
        <w:t>Внешняя политика:</w:t>
      </w:r>
    </w:p>
    <w:p w14:paraId="44BD5973" w14:textId="77777777" w:rsidR="001C2826" w:rsidRPr="00DE096C" w:rsidRDefault="001C2826" w:rsidP="00D45A46">
      <w:pPr>
        <w:jc w:val="both"/>
        <w:rPr>
          <w:bCs/>
          <w:i/>
          <w:iCs/>
          <w:color w:val="002060"/>
          <w:sz w:val="16"/>
          <w:szCs w:val="16"/>
        </w:rPr>
      </w:pPr>
    </w:p>
    <w:p w14:paraId="05A85AD4" w14:textId="77777777" w:rsidR="001C2826" w:rsidRPr="00DE096C" w:rsidRDefault="001C2826" w:rsidP="00D45A46">
      <w:pPr>
        <w:jc w:val="both"/>
        <w:rPr>
          <w:bCs/>
          <w:color w:val="002060"/>
          <w:sz w:val="16"/>
          <w:szCs w:val="16"/>
        </w:rPr>
      </w:pPr>
      <w:r w:rsidRPr="00DE096C">
        <w:rPr>
          <w:bCs/>
          <w:color w:val="002060"/>
          <w:sz w:val="16"/>
          <w:szCs w:val="16"/>
        </w:rPr>
        <w:t>20 июля (2 августа) в 1914 году Франция объявляет о поддержке России, а Великобритания - о поддержке Франции. Во Франции начинается мобилизация (14971).</w:t>
      </w:r>
    </w:p>
    <w:p w14:paraId="26B13C54" w14:textId="77777777" w:rsidR="001C2826" w:rsidRPr="00DE096C" w:rsidRDefault="001C2826" w:rsidP="00D45A46">
      <w:pPr>
        <w:jc w:val="both"/>
        <w:rPr>
          <w:bCs/>
          <w:color w:val="002060"/>
          <w:sz w:val="16"/>
          <w:szCs w:val="16"/>
        </w:rPr>
      </w:pPr>
    </w:p>
    <w:p w14:paraId="3AB12038" w14:textId="77777777" w:rsidR="005F240D" w:rsidRPr="00DE096C" w:rsidRDefault="005F240D" w:rsidP="00D45A46">
      <w:pPr>
        <w:jc w:val="both"/>
        <w:rPr>
          <w:bCs/>
          <w:i/>
          <w:color w:val="002060"/>
          <w:sz w:val="16"/>
          <w:szCs w:val="16"/>
        </w:rPr>
      </w:pPr>
      <w:r w:rsidRPr="00DE096C">
        <w:rPr>
          <w:bCs/>
          <w:i/>
          <w:color w:val="002060"/>
          <w:sz w:val="16"/>
          <w:szCs w:val="16"/>
        </w:rPr>
        <w:t>Авиация и воздухоплавание Франции:</w:t>
      </w:r>
    </w:p>
    <w:p w14:paraId="382DE814" w14:textId="77777777" w:rsidR="005F240D" w:rsidRPr="00DE096C" w:rsidRDefault="005F240D" w:rsidP="00D45A46">
      <w:pPr>
        <w:jc w:val="both"/>
        <w:rPr>
          <w:bCs/>
          <w:i/>
          <w:color w:val="002060"/>
          <w:sz w:val="16"/>
          <w:szCs w:val="16"/>
        </w:rPr>
      </w:pPr>
    </w:p>
    <w:p w14:paraId="542D08AD" w14:textId="2D5223F4" w:rsidR="005F240D" w:rsidRPr="00DE096C" w:rsidRDefault="005F240D"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На 2</w:t>
      </w:r>
      <w:r w:rsidR="00BB7964" w:rsidRPr="00DE096C">
        <w:rPr>
          <w:bCs/>
          <w:i w:val="0"/>
          <w:color w:val="002060"/>
          <w:spacing w:val="0"/>
          <w:kern w:val="0"/>
          <w:position w:val="0"/>
          <w:sz w:val="16"/>
          <w:szCs w:val="16"/>
        </w:rPr>
        <w:t>0</w:t>
      </w:r>
      <w:r w:rsidRPr="00DE096C">
        <w:rPr>
          <w:bCs/>
          <w:i w:val="0"/>
          <w:color w:val="002060"/>
          <w:spacing w:val="0"/>
          <w:kern w:val="0"/>
          <w:position w:val="0"/>
          <w:sz w:val="16"/>
          <w:szCs w:val="16"/>
        </w:rPr>
        <w:t xml:space="preserve"> июля (2 августа) 1914 года Франция располагала 500 подготовленными пилотами, то есть небо над полем боя было еще пустынным. Редкие самолеты враждующих сторон если и встречались, то на приличном расстоянии друг от друга. Очевидно, такое положение дел долго сохраняться не могло. Противника следовало уничтожать и в воздухе (11262).</w:t>
      </w:r>
    </w:p>
    <w:p w14:paraId="5EB2C4A4" w14:textId="77777777" w:rsidR="005F240D" w:rsidRPr="00DE096C" w:rsidRDefault="005F240D" w:rsidP="00D45A46">
      <w:pPr>
        <w:pStyle w:val="a3"/>
        <w:jc w:val="both"/>
        <w:rPr>
          <w:bCs/>
          <w:i w:val="0"/>
          <w:color w:val="002060"/>
          <w:spacing w:val="0"/>
          <w:kern w:val="0"/>
          <w:position w:val="0"/>
          <w:sz w:val="16"/>
          <w:szCs w:val="16"/>
        </w:rPr>
      </w:pPr>
    </w:p>
    <w:p w14:paraId="3899309E" w14:textId="5F84BCA8" w:rsidR="005B041C" w:rsidRPr="00DE096C" w:rsidRDefault="005B041C" w:rsidP="00D45A46">
      <w:pPr>
        <w:jc w:val="both"/>
        <w:rPr>
          <w:bCs/>
          <w:i/>
          <w:color w:val="002060"/>
          <w:sz w:val="16"/>
          <w:szCs w:val="16"/>
        </w:rPr>
      </w:pPr>
      <w:r w:rsidRPr="00DE096C">
        <w:rPr>
          <w:bCs/>
          <w:i/>
          <w:color w:val="002060"/>
          <w:sz w:val="16"/>
          <w:szCs w:val="16"/>
        </w:rPr>
        <w:t>Авиация и воздухоплавание Германии:</w:t>
      </w:r>
    </w:p>
    <w:p w14:paraId="67EAF8F5" w14:textId="77777777" w:rsidR="005B041C" w:rsidRPr="00DE096C" w:rsidRDefault="005B041C" w:rsidP="00D45A46">
      <w:pPr>
        <w:jc w:val="both"/>
        <w:rPr>
          <w:bCs/>
          <w:i/>
          <w:color w:val="002060"/>
          <w:sz w:val="16"/>
          <w:szCs w:val="16"/>
        </w:rPr>
      </w:pPr>
    </w:p>
    <w:p w14:paraId="51686192" w14:textId="77777777" w:rsidR="005B041C" w:rsidRPr="00DE096C" w:rsidRDefault="005B041C" w:rsidP="00D45A46">
      <w:pPr>
        <w:jc w:val="both"/>
        <w:rPr>
          <w:bCs/>
          <w:color w:val="002060"/>
          <w:sz w:val="16"/>
          <w:szCs w:val="16"/>
          <w:lang w:bidi="en-US"/>
        </w:rPr>
      </w:pPr>
      <w:r w:rsidRPr="00DE096C">
        <w:rPr>
          <w:bCs/>
          <w:color w:val="002060"/>
          <w:sz w:val="16"/>
          <w:szCs w:val="16"/>
          <w:lang w:bidi="en-US"/>
        </w:rPr>
        <w:t xml:space="preserve">2 августа 1914 г. немцы установили </w:t>
      </w:r>
      <w:r w:rsidRPr="00DE096C">
        <w:rPr>
          <w:bCs/>
          <w:color w:val="002060"/>
          <w:sz w:val="16"/>
          <w:szCs w:val="16"/>
          <w:lang w:val="en-US" w:bidi="en-US"/>
        </w:rPr>
        <w:t>Seeflugstation</w:t>
      </w:r>
      <w:r w:rsidRPr="00DE096C">
        <w:rPr>
          <w:bCs/>
          <w:color w:val="002060"/>
          <w:sz w:val="16"/>
          <w:szCs w:val="16"/>
          <w:lang w:bidi="en-US"/>
        </w:rPr>
        <w:t xml:space="preserve"> </w:t>
      </w:r>
      <w:r w:rsidRPr="00DE096C">
        <w:rPr>
          <w:bCs/>
          <w:color w:val="002060"/>
          <w:sz w:val="16"/>
          <w:szCs w:val="16"/>
          <w:lang w:val="en-US" w:bidi="en-US"/>
        </w:rPr>
        <w:t>Putzig</w:t>
      </w:r>
      <w:r w:rsidRPr="00DE096C">
        <w:rPr>
          <w:bCs/>
          <w:color w:val="002060"/>
          <w:sz w:val="16"/>
          <w:szCs w:val="16"/>
          <w:lang w:bidi="en-US"/>
        </w:rPr>
        <w:t xml:space="preserve"> недалеко от Данцига в Восточной Пруссии. Части </w:t>
      </w:r>
      <w:r w:rsidRPr="00DE096C">
        <w:rPr>
          <w:bCs/>
          <w:color w:val="002060"/>
          <w:sz w:val="16"/>
          <w:szCs w:val="16"/>
          <w:lang w:val="en-US" w:bidi="en-US"/>
        </w:rPr>
        <w:t>l</w:t>
      </w:r>
      <w:r w:rsidRPr="00DE096C">
        <w:rPr>
          <w:bCs/>
          <w:color w:val="002060"/>
          <w:sz w:val="16"/>
          <w:szCs w:val="16"/>
          <w:lang w:bidi="en-US"/>
        </w:rPr>
        <w:t>.</w:t>
      </w:r>
      <w:r w:rsidRPr="00DE096C">
        <w:rPr>
          <w:bCs/>
          <w:color w:val="002060"/>
          <w:sz w:val="16"/>
          <w:szCs w:val="16"/>
          <w:lang w:val="en-US" w:bidi="en-US"/>
        </w:rPr>
        <w:t>Seefliegerabteilung</w:t>
      </w:r>
      <w:r w:rsidRPr="00DE096C">
        <w:rPr>
          <w:bCs/>
          <w:color w:val="002060"/>
          <w:sz w:val="16"/>
          <w:szCs w:val="16"/>
          <w:lang w:bidi="en-US"/>
        </w:rPr>
        <w:t xml:space="preserve"> базировались там, а затем во время войны в Либаве и Виндау. </w:t>
      </w:r>
      <w:r w:rsidRPr="00DE096C">
        <w:rPr>
          <w:bCs/>
          <w:color w:val="002060"/>
          <w:sz w:val="16"/>
          <w:szCs w:val="16"/>
          <w:lang w:val="en-US" w:bidi="en-US"/>
        </w:rPr>
        <w:t>Seeflugstation</w:t>
      </w:r>
      <w:r w:rsidRPr="00DE096C">
        <w:rPr>
          <w:bCs/>
          <w:color w:val="002060"/>
          <w:sz w:val="16"/>
          <w:szCs w:val="16"/>
          <w:lang w:bidi="en-US"/>
        </w:rPr>
        <w:t xml:space="preserve"> </w:t>
      </w:r>
      <w:r w:rsidRPr="00DE096C">
        <w:rPr>
          <w:bCs/>
          <w:color w:val="002060"/>
          <w:sz w:val="16"/>
          <w:szCs w:val="16"/>
          <w:lang w:val="en-US" w:bidi="en-US"/>
        </w:rPr>
        <w:t>Putzig</w:t>
      </w:r>
      <w:r w:rsidRPr="00DE096C">
        <w:rPr>
          <w:bCs/>
          <w:color w:val="002060"/>
          <w:sz w:val="16"/>
          <w:szCs w:val="16"/>
          <w:lang w:bidi="en-US"/>
        </w:rPr>
        <w:t xml:space="preserve"> была расформирована 15 декабря 1918 года (23525).</w:t>
      </w:r>
    </w:p>
    <w:p w14:paraId="2C740E6F" w14:textId="77777777" w:rsidR="005B041C" w:rsidRPr="00DE096C" w:rsidRDefault="005B041C" w:rsidP="00D45A46">
      <w:pPr>
        <w:jc w:val="both"/>
        <w:rPr>
          <w:bCs/>
          <w:color w:val="002060"/>
          <w:sz w:val="16"/>
          <w:szCs w:val="16"/>
        </w:rPr>
      </w:pPr>
    </w:p>
    <w:p w14:paraId="7D8E7287" w14:textId="77777777" w:rsidR="00234D24" w:rsidRPr="00DE096C" w:rsidRDefault="00234D24" w:rsidP="00D45A46">
      <w:pPr>
        <w:jc w:val="both"/>
        <w:rPr>
          <w:bCs/>
          <w:i/>
          <w:color w:val="002060"/>
          <w:sz w:val="16"/>
          <w:szCs w:val="16"/>
        </w:rPr>
      </w:pPr>
      <w:r w:rsidRPr="00DE096C">
        <w:rPr>
          <w:bCs/>
          <w:i/>
          <w:color w:val="002060"/>
          <w:sz w:val="16"/>
          <w:szCs w:val="16"/>
        </w:rPr>
        <w:t>За рубежом:</w:t>
      </w:r>
    </w:p>
    <w:p w14:paraId="5CCCA7F1" w14:textId="77777777" w:rsidR="00234D24" w:rsidRPr="00DE096C" w:rsidRDefault="00234D24" w:rsidP="00D45A46">
      <w:pPr>
        <w:jc w:val="both"/>
        <w:rPr>
          <w:bCs/>
          <w:color w:val="002060"/>
          <w:sz w:val="16"/>
          <w:szCs w:val="16"/>
        </w:rPr>
      </w:pPr>
    </w:p>
    <w:p w14:paraId="3253AEFB" w14:textId="77777777" w:rsidR="00234D24" w:rsidRPr="00DE096C" w:rsidRDefault="00234D24" w:rsidP="00D45A46">
      <w:pPr>
        <w:jc w:val="both"/>
        <w:rPr>
          <w:bCs/>
          <w:color w:val="002060"/>
          <w:sz w:val="16"/>
          <w:szCs w:val="16"/>
        </w:rPr>
      </w:pPr>
      <w:r w:rsidRPr="00DE096C">
        <w:rPr>
          <w:bCs/>
          <w:color w:val="002060"/>
          <w:sz w:val="16"/>
          <w:szCs w:val="16"/>
        </w:rPr>
        <w:t>20 июля (2 августа) в 1914 году Германия оккупирует Люксембург под предлогом обеспечения контроля над железными дорогами и требует от Бельгии пропустить свои войска (14971).</w:t>
      </w:r>
    </w:p>
    <w:p w14:paraId="4F6C9246" w14:textId="77777777" w:rsidR="00234D24" w:rsidRPr="00DE096C" w:rsidRDefault="00234D24" w:rsidP="00D45A46">
      <w:pPr>
        <w:jc w:val="both"/>
        <w:rPr>
          <w:bCs/>
          <w:color w:val="002060"/>
          <w:sz w:val="16"/>
          <w:szCs w:val="16"/>
        </w:rPr>
      </w:pPr>
    </w:p>
    <w:p w14:paraId="1B65EC4A" w14:textId="77777777" w:rsidR="002F5B61" w:rsidRPr="00B52707" w:rsidRDefault="002F5B61" w:rsidP="002F5B61">
      <w:pPr>
        <w:jc w:val="both"/>
        <w:rPr>
          <w:color w:val="0070C0"/>
          <w:sz w:val="16"/>
          <w:szCs w:val="16"/>
        </w:rPr>
      </w:pPr>
      <w:r>
        <w:rPr>
          <w:color w:val="0070C0"/>
          <w:sz w:val="16"/>
          <w:szCs w:val="16"/>
        </w:rPr>
        <w:t>2</w:t>
      </w:r>
      <w:r w:rsidRPr="00B52707">
        <w:rPr>
          <w:color w:val="0070C0"/>
          <w:sz w:val="16"/>
          <w:szCs w:val="16"/>
        </w:rPr>
        <w:t>0 июля (2 августа) 1914 года на досках объявлений у администраций всех французских городов были расклеены объявления о всеобщей мобилизации, а 3 августа 1914 года Германия официально объявила войну Франции (25741).</w:t>
      </w:r>
    </w:p>
    <w:p w14:paraId="3026A54E" w14:textId="77777777" w:rsidR="002F5B61" w:rsidRPr="00B52707" w:rsidRDefault="002F5B61" w:rsidP="002F5B61">
      <w:pPr>
        <w:jc w:val="both"/>
        <w:rPr>
          <w:color w:val="0070C0"/>
          <w:sz w:val="16"/>
          <w:szCs w:val="16"/>
        </w:rPr>
      </w:pPr>
    </w:p>
    <w:p w14:paraId="2DD000E4" w14:textId="77777777" w:rsidR="002F1585" w:rsidRPr="00DE096C" w:rsidRDefault="002F1585" w:rsidP="00D45A46">
      <w:pPr>
        <w:shd w:val="clear" w:color="auto" w:fill="FFFFFF"/>
        <w:jc w:val="both"/>
        <w:rPr>
          <w:bCs/>
          <w:i/>
          <w:color w:val="002060"/>
          <w:sz w:val="16"/>
          <w:szCs w:val="16"/>
        </w:rPr>
      </w:pPr>
      <w:r w:rsidRPr="00DE096C">
        <w:rPr>
          <w:bCs/>
          <w:i/>
          <w:color w:val="002060"/>
          <w:sz w:val="16"/>
          <w:szCs w:val="16"/>
        </w:rPr>
        <w:t>Самолетостроение:</w:t>
      </w:r>
    </w:p>
    <w:p w14:paraId="1FBEFE00" w14:textId="77777777" w:rsidR="002F1585" w:rsidRPr="00DE096C" w:rsidRDefault="002F1585" w:rsidP="00D45A46">
      <w:pPr>
        <w:shd w:val="clear" w:color="auto" w:fill="FFFFFF"/>
        <w:jc w:val="both"/>
        <w:rPr>
          <w:bCs/>
          <w:i/>
          <w:color w:val="002060"/>
          <w:sz w:val="16"/>
          <w:szCs w:val="16"/>
        </w:rPr>
      </w:pPr>
    </w:p>
    <w:p w14:paraId="7D23114D" w14:textId="77777777" w:rsidR="002F1585" w:rsidRPr="00DE096C" w:rsidRDefault="002F1585"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21 (3 августа) июля 1914 г. первый морской "Муромец" был потерян в бухте Карал на острове при следующих обстоятельствах. Ввиду приближения "миноносцев неприятеля", аппарат попытался вырулить из бухты, но из-за неисправности моторов не смог этого сделать. Пришлось вылить из баков бензин и поджечь гидроплан. Впоследствии выяснилось, что увиденные суда не были германскими (11277).</w:t>
      </w:r>
    </w:p>
    <w:p w14:paraId="455BA5DE" w14:textId="77777777" w:rsidR="002F1585" w:rsidRPr="00DE096C" w:rsidRDefault="002F1585" w:rsidP="00D45A46">
      <w:pPr>
        <w:pStyle w:val="a3"/>
        <w:jc w:val="both"/>
        <w:rPr>
          <w:bCs/>
          <w:i w:val="0"/>
          <w:color w:val="002060"/>
          <w:spacing w:val="0"/>
          <w:kern w:val="0"/>
          <w:position w:val="0"/>
          <w:sz w:val="16"/>
          <w:szCs w:val="16"/>
        </w:rPr>
      </w:pPr>
    </w:p>
    <w:p w14:paraId="67F708E4" w14:textId="77777777" w:rsidR="002F1585" w:rsidRPr="00DE096C" w:rsidRDefault="002F1585" w:rsidP="00D45A46">
      <w:pPr>
        <w:shd w:val="clear" w:color="auto" w:fill="FFFFFF"/>
        <w:jc w:val="both"/>
        <w:rPr>
          <w:bCs/>
          <w:color w:val="002060"/>
          <w:sz w:val="16"/>
          <w:szCs w:val="16"/>
        </w:rPr>
      </w:pPr>
      <w:r w:rsidRPr="00DE096C">
        <w:rPr>
          <w:bCs/>
          <w:color w:val="002060"/>
          <w:sz w:val="16"/>
          <w:szCs w:val="16"/>
        </w:rPr>
        <w:t>21 июля (3 августа) 1914 г. была сделана последняя запись об "Илье Муромце" в вахтенном журнале 2-й морской авиастанции в Кильконде, которая звучала следующим образом:</w:t>
      </w:r>
    </w:p>
    <w:p w14:paraId="0B1D0B77" w14:textId="77777777" w:rsidR="002F1585" w:rsidRPr="00DE096C" w:rsidRDefault="002F1585" w:rsidP="00D45A46">
      <w:pPr>
        <w:shd w:val="clear" w:color="auto" w:fill="FFFFFF"/>
        <w:jc w:val="both"/>
        <w:rPr>
          <w:bCs/>
          <w:color w:val="002060"/>
          <w:sz w:val="16"/>
          <w:szCs w:val="16"/>
        </w:rPr>
      </w:pPr>
      <w:r w:rsidRPr="00DE096C">
        <w:rPr>
          <w:bCs/>
          <w:color w:val="002060"/>
          <w:sz w:val="16"/>
          <w:szCs w:val="16"/>
        </w:rPr>
        <w:t>"Аппарат "Илья Муромец" под командою лейтенанта Лаврова вышел, руля по воде, из бухты Карал, испугавшись миноносцев неприятеля. Т.к. уйти за неисправностью моторов не мог, открыли баки с бензином, подожгли, а поплавки изпорубили. Люди вернулись на рыбацкой шлюпке".</w:t>
      </w:r>
    </w:p>
    <w:p w14:paraId="744D98A3" w14:textId="77777777" w:rsidR="002F1585" w:rsidRPr="00DE096C" w:rsidRDefault="002F1585" w:rsidP="00D45A46">
      <w:pPr>
        <w:shd w:val="clear" w:color="auto" w:fill="FFFFFF"/>
        <w:jc w:val="both"/>
        <w:rPr>
          <w:bCs/>
          <w:color w:val="002060"/>
          <w:sz w:val="16"/>
          <w:szCs w:val="16"/>
        </w:rPr>
      </w:pPr>
      <w:r w:rsidRPr="00DE096C">
        <w:rPr>
          <w:bCs/>
          <w:color w:val="002060"/>
          <w:sz w:val="16"/>
          <w:szCs w:val="16"/>
        </w:rPr>
        <w:t>В тот же день Лавров отправился в Ревель и вскоре едва избежал суда, т.к. корабли, принятые им за германские, на деле не были таковыми (2843).</w:t>
      </w:r>
    </w:p>
    <w:p w14:paraId="5FE59F32" w14:textId="77777777" w:rsidR="002F1585" w:rsidRPr="00DE096C" w:rsidRDefault="002F1585" w:rsidP="00D45A46">
      <w:pPr>
        <w:shd w:val="clear" w:color="auto" w:fill="FFFFFF"/>
        <w:jc w:val="both"/>
        <w:rPr>
          <w:bCs/>
          <w:color w:val="002060"/>
          <w:sz w:val="16"/>
          <w:szCs w:val="16"/>
        </w:rPr>
      </w:pPr>
    </w:p>
    <w:p w14:paraId="07193648" w14:textId="03967208" w:rsidR="002F1585" w:rsidRPr="00DE096C" w:rsidRDefault="002F1585" w:rsidP="00D45A46">
      <w:pPr>
        <w:jc w:val="both"/>
        <w:rPr>
          <w:bCs/>
          <w:color w:val="002060"/>
          <w:sz w:val="16"/>
          <w:szCs w:val="16"/>
        </w:rPr>
      </w:pPr>
      <w:r w:rsidRPr="00DE096C">
        <w:rPr>
          <w:bCs/>
          <w:color w:val="002060"/>
          <w:sz w:val="16"/>
          <w:szCs w:val="16"/>
        </w:rPr>
        <w:t>21 июля (3 августа) 1914 г. запись, сделанная в вахтенном журнале 2-й морской авиационной станции, проливает свет на дальнейшие события. "Аппарат "Илья Муромец", - сообщает журнал, - под командою лейтенанта Лаврова вышел, руля по воде, из бухты Карал, испугавшись миноносцев неприятеля. Т.к. уйти за неисправностью моторов не мог, открыли баки с бензином, подожгли, а поплавки изпорубили. Люди вернулись на рыбацкой лодке" .</w:t>
      </w:r>
    </w:p>
    <w:p w14:paraId="6D4417F5" w14:textId="77777777" w:rsidR="002F1585" w:rsidRPr="00DE096C" w:rsidRDefault="002F1585" w:rsidP="00D45A46">
      <w:pPr>
        <w:jc w:val="both"/>
        <w:rPr>
          <w:bCs/>
          <w:color w:val="002060"/>
          <w:sz w:val="16"/>
          <w:szCs w:val="16"/>
        </w:rPr>
      </w:pPr>
      <w:r w:rsidRPr="00DE096C">
        <w:rPr>
          <w:bCs/>
          <w:color w:val="002060"/>
          <w:sz w:val="16"/>
          <w:szCs w:val="16"/>
        </w:rPr>
        <w:t>Слух о том, что Лавров уничтожил машину, чтобы скрыть следы технической некомпетентности и грубой посадки, не заслуживает серьёзного внимания. Вполне очевидно, что ответственность за поломку аппарата была бы меньшей, нежели ответственность за сожжение его.</w:t>
      </w:r>
    </w:p>
    <w:p w14:paraId="68580DDC" w14:textId="77777777" w:rsidR="002F1585" w:rsidRPr="00DE096C" w:rsidRDefault="002F1585" w:rsidP="00D45A46">
      <w:pPr>
        <w:jc w:val="both"/>
        <w:rPr>
          <w:bCs/>
          <w:color w:val="002060"/>
          <w:sz w:val="16"/>
          <w:szCs w:val="16"/>
        </w:rPr>
      </w:pPr>
      <w:r w:rsidRPr="00DE096C">
        <w:rPr>
          <w:bCs/>
          <w:color w:val="002060"/>
          <w:sz w:val="16"/>
          <w:szCs w:val="16"/>
        </w:rPr>
        <w:t xml:space="preserve">Суда, замеченные с берега, не были неприятельскими. С учётом этого обстоятельства потеря "Ильи Муромца", причинившая флоту ущерб в размере не менее 170 000 рублей, выглядела особенно неприглядной. Командующий флотом негодовал и хотел отдать Лаврова под суд, но заступничество Ду- дорова спасло офицера от такого позора. Ду- доров убедил командующего в том, что было бы неверным ожидать многого от опытной машины и что утрата её не ослабила морские силы. Что касается денег, то их, как известно, в военное время не считают (12041). </w:t>
      </w:r>
    </w:p>
    <w:p w14:paraId="15189481" w14:textId="77777777" w:rsidR="002F1585" w:rsidRPr="00DE096C" w:rsidRDefault="002F1585" w:rsidP="00D45A46">
      <w:pPr>
        <w:jc w:val="both"/>
        <w:rPr>
          <w:bCs/>
          <w:color w:val="002060"/>
          <w:sz w:val="16"/>
          <w:szCs w:val="16"/>
        </w:rPr>
      </w:pPr>
    </w:p>
    <w:p w14:paraId="183B747D" w14:textId="77777777" w:rsidR="00C27191" w:rsidRPr="00DE096C" w:rsidRDefault="00C27191" w:rsidP="00D45A46">
      <w:pPr>
        <w:jc w:val="both"/>
        <w:rPr>
          <w:bCs/>
          <w:color w:val="002060"/>
          <w:sz w:val="16"/>
          <w:szCs w:val="16"/>
        </w:rPr>
      </w:pPr>
      <w:r w:rsidRPr="00DE096C">
        <w:rPr>
          <w:bCs/>
          <w:color w:val="002060"/>
          <w:sz w:val="16"/>
          <w:szCs w:val="16"/>
          <w:lang w:bidi="ru-RU"/>
        </w:rPr>
        <w:t>21 июля (3 августа) 1914 г. при обнаружении в открытом море неизвестных кораблей и, приняв их за неприятельские, команда поплавкового «ИМ» попыталась вырулить из бухты Карал на острове Эзель и взле</w:t>
      </w:r>
      <w:r w:rsidRPr="00DE096C">
        <w:rPr>
          <w:bCs/>
          <w:color w:val="002060"/>
          <w:sz w:val="16"/>
          <w:szCs w:val="16"/>
          <w:lang w:bidi="ru-RU"/>
        </w:rPr>
        <w:softHyphen/>
        <w:t>теть. Моторы не запускались, и в отчаянии аппарат уничтожили (23374).</w:t>
      </w:r>
    </w:p>
    <w:p w14:paraId="3BF08EFD" w14:textId="77777777" w:rsidR="00C27191" w:rsidRPr="00DE096C" w:rsidRDefault="00C27191" w:rsidP="00D45A46">
      <w:pPr>
        <w:jc w:val="both"/>
        <w:rPr>
          <w:bCs/>
          <w:color w:val="002060"/>
          <w:sz w:val="16"/>
          <w:szCs w:val="16"/>
        </w:rPr>
      </w:pPr>
    </w:p>
    <w:p w14:paraId="16AA66DD" w14:textId="77777777" w:rsidR="00C27191" w:rsidRPr="00DE096C" w:rsidRDefault="00C27191" w:rsidP="00D45A46">
      <w:pPr>
        <w:jc w:val="both"/>
        <w:rPr>
          <w:bCs/>
          <w:color w:val="002060"/>
          <w:sz w:val="16"/>
          <w:szCs w:val="16"/>
        </w:rPr>
      </w:pPr>
      <w:r w:rsidRPr="00DE096C">
        <w:rPr>
          <w:bCs/>
          <w:color w:val="002060"/>
          <w:sz w:val="16"/>
          <w:szCs w:val="16"/>
        </w:rPr>
        <w:t>21 июля (3 августа по н.ст.) 1914 г. на Эзеле возникла паника, вызванная тем, что свои корабли были приняты по одним данным за десант, а по другим – за миноносцы немцев. По одним сведениям бензина чтобы перегнать самолет в тыл не было, по другим (М. Хайрулин) не запустились моторы. В любом случае перелет самолета на безопасный аэродром оказался невозможен, и в тот же день, не выяснив всех обстоятельств и в условиях отсутствия распоряжений своих начальников, команда самолет сожгла (23574).</w:t>
      </w:r>
    </w:p>
    <w:p w14:paraId="2238F5CB" w14:textId="77777777" w:rsidR="00C27191" w:rsidRPr="00DE096C" w:rsidRDefault="00C27191" w:rsidP="00D45A46">
      <w:pPr>
        <w:jc w:val="both"/>
        <w:rPr>
          <w:bCs/>
          <w:color w:val="002060"/>
          <w:sz w:val="16"/>
          <w:szCs w:val="16"/>
        </w:rPr>
      </w:pPr>
    </w:p>
    <w:p w14:paraId="675D6239" w14:textId="1CF2A09D" w:rsidR="00D77E6C" w:rsidRDefault="00D77E6C" w:rsidP="00D77E6C">
      <w:pPr>
        <w:jc w:val="both"/>
        <w:rPr>
          <w:bCs/>
          <w:i/>
          <w:color w:val="002060"/>
          <w:sz w:val="16"/>
          <w:szCs w:val="16"/>
        </w:rPr>
      </w:pPr>
      <w:r w:rsidRPr="00DE096C">
        <w:rPr>
          <w:bCs/>
          <w:i/>
          <w:color w:val="002060"/>
          <w:sz w:val="16"/>
          <w:szCs w:val="16"/>
        </w:rPr>
        <w:t>Авиация:</w:t>
      </w:r>
    </w:p>
    <w:p w14:paraId="5B92772B" w14:textId="77777777" w:rsidR="00D77E6C" w:rsidRDefault="00D77E6C" w:rsidP="00D77E6C">
      <w:pPr>
        <w:jc w:val="both"/>
        <w:rPr>
          <w:bCs/>
          <w:i/>
          <w:color w:val="002060"/>
          <w:sz w:val="16"/>
          <w:szCs w:val="16"/>
        </w:rPr>
      </w:pPr>
    </w:p>
    <w:p w14:paraId="6D871D9F" w14:textId="048E20F1" w:rsidR="00D77E6C" w:rsidRPr="00B52707" w:rsidRDefault="00D77E6C" w:rsidP="00D77E6C">
      <w:pPr>
        <w:jc w:val="both"/>
        <w:rPr>
          <w:color w:val="0070C0"/>
          <w:sz w:val="16"/>
          <w:szCs w:val="16"/>
        </w:rPr>
      </w:pPr>
      <w:r w:rsidRPr="00B52707">
        <w:rPr>
          <w:rStyle w:val="ab"/>
          <w:rFonts w:ascii="Times New Roman" w:hAnsi="Times New Roman"/>
          <w:color w:val="0070C0"/>
          <w:spacing w:val="0"/>
          <w:sz w:val="16"/>
          <w:szCs w:val="16"/>
        </w:rPr>
        <w:t>21 июля (3 августа) 1914 г. «Печора» с Фарманом Нагурского достигла губы Крестовой и встала па якорь. Через день разобранный гидроаэроплан перевезли па берег к становищу Ольгино, где 6 августа Ян Иосифович Нагурский вместе с мотористом матросом 1-й статьи Ев</w:t>
      </w:r>
      <w:r w:rsidRPr="00B52707">
        <w:rPr>
          <w:rStyle w:val="ab"/>
          <w:rFonts w:ascii="Times New Roman" w:hAnsi="Times New Roman"/>
          <w:color w:val="0070C0"/>
          <w:spacing w:val="0"/>
          <w:sz w:val="16"/>
          <w:szCs w:val="16"/>
        </w:rPr>
        <w:softHyphen/>
        <w:t>гением Владимировичем Кузнецовым приступил к сборке машины. Дело оказалось не простым: открытый всем ветрам берег, метели, сильный туман, дождь со снегом и холод за</w:t>
      </w:r>
      <w:r w:rsidRPr="00B52707">
        <w:rPr>
          <w:rStyle w:val="ab"/>
          <w:rFonts w:ascii="Times New Roman" w:hAnsi="Times New Roman"/>
          <w:color w:val="0070C0"/>
          <w:spacing w:val="0"/>
          <w:sz w:val="16"/>
          <w:szCs w:val="16"/>
        </w:rPr>
        <w:softHyphen/>
        <w:t>трудняли работы (25653).</w:t>
      </w:r>
    </w:p>
    <w:p w14:paraId="7388497B" w14:textId="77777777" w:rsidR="00D77E6C" w:rsidRPr="00B52707" w:rsidRDefault="00D77E6C" w:rsidP="00D77E6C">
      <w:pPr>
        <w:jc w:val="both"/>
        <w:rPr>
          <w:color w:val="0070C0"/>
          <w:sz w:val="16"/>
          <w:szCs w:val="16"/>
        </w:rPr>
      </w:pPr>
    </w:p>
    <w:p w14:paraId="41C9BD1E"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 и воздухоплавание Германии:</w:t>
      </w:r>
    </w:p>
    <w:p w14:paraId="73690867" w14:textId="77777777" w:rsidR="00B67D7C" w:rsidRPr="00DE096C" w:rsidRDefault="00B67D7C" w:rsidP="00D45A46">
      <w:pPr>
        <w:shd w:val="clear" w:color="auto" w:fill="FFFFFF"/>
        <w:jc w:val="both"/>
        <w:rPr>
          <w:bCs/>
          <w:i/>
          <w:color w:val="002060"/>
          <w:sz w:val="16"/>
          <w:szCs w:val="16"/>
        </w:rPr>
      </w:pPr>
    </w:p>
    <w:p w14:paraId="1F7455D3" w14:textId="5B2E299E" w:rsidR="00B67D7C" w:rsidRPr="00DE096C" w:rsidRDefault="00B67D7C" w:rsidP="00D45A46">
      <w:pPr>
        <w:jc w:val="both"/>
        <w:rPr>
          <w:bCs/>
          <w:color w:val="002060"/>
          <w:sz w:val="16"/>
          <w:szCs w:val="16"/>
        </w:rPr>
      </w:pPr>
      <w:r w:rsidRPr="00DE096C">
        <w:rPr>
          <w:bCs/>
          <w:color w:val="002060"/>
          <w:sz w:val="16"/>
          <w:szCs w:val="16"/>
        </w:rPr>
        <w:t>2</w:t>
      </w:r>
      <w:r w:rsidR="00234D24" w:rsidRPr="00DE096C">
        <w:rPr>
          <w:bCs/>
          <w:color w:val="002060"/>
          <w:sz w:val="16"/>
          <w:szCs w:val="16"/>
        </w:rPr>
        <w:t>1</w:t>
      </w:r>
      <w:r w:rsidRPr="00DE096C">
        <w:rPr>
          <w:bCs/>
          <w:color w:val="002060"/>
          <w:sz w:val="16"/>
          <w:szCs w:val="16"/>
        </w:rPr>
        <w:t xml:space="preserve"> июля (3 августа) 1914 года Германия объявила войну Франции. К ведению боевых действий дирижабли приступили не сразу. Многие в руководстве сухопутных войск недооценивали возможности воздушных кораблей и придерживали их до поры до времени, не желая рисковать достаточно дорогими боевыми воздушными аппаратами. Серьезной проблемой, с которой пришлось столкнуться командованию германских войск на Западном фронте, было практически полное отсутствие возможности ведения дальней, стратегической разведки. Авиация в силу технического несовершенства самолетного парка не могла обеспечить в полном объеме решение этих важнейших задач. Именно из-за этого обстоятельства высадка британского экспедиционного корпуса во Франции прошла практически незамеченной. Однако даже этот факт не заставил командование обратить свои взоры на практически бездействующие дирижабли. </w:t>
      </w:r>
    </w:p>
    <w:p w14:paraId="4D0D439D" w14:textId="77777777" w:rsidR="00B67D7C" w:rsidRPr="00DE096C" w:rsidRDefault="00B67D7C" w:rsidP="00D45A46">
      <w:pPr>
        <w:jc w:val="both"/>
        <w:rPr>
          <w:bCs/>
          <w:color w:val="002060"/>
          <w:sz w:val="16"/>
          <w:szCs w:val="16"/>
        </w:rPr>
      </w:pPr>
      <w:r w:rsidRPr="00DE096C">
        <w:rPr>
          <w:bCs/>
          <w:color w:val="002060"/>
          <w:sz w:val="16"/>
          <w:szCs w:val="16"/>
        </w:rPr>
        <w:t>Военные дирижабли находились в непосредственном подчинении у главного командования; иногда они придавались фронтам или армиям. В начале войны дирижабли выполняли боевые задания под руководством командируемых на дирижабли офицеров генерального штаба. В этом случае командиру дирижабля отводилась роль вахтенного офицера. Так как такое решение не всегда давало положительные результаты, вскоре подобные командировки штабистов прекратились (11324).</w:t>
      </w:r>
    </w:p>
    <w:p w14:paraId="10E7AE36" w14:textId="77777777" w:rsidR="00B67D7C" w:rsidRPr="00DE096C" w:rsidRDefault="00B67D7C" w:rsidP="00D45A46">
      <w:pPr>
        <w:shd w:val="clear" w:color="auto" w:fill="FFFFFF"/>
        <w:jc w:val="both"/>
        <w:rPr>
          <w:bCs/>
          <w:color w:val="002060"/>
          <w:sz w:val="16"/>
          <w:szCs w:val="16"/>
        </w:rPr>
      </w:pPr>
    </w:p>
    <w:p w14:paraId="23130EBB" w14:textId="271EA3DE" w:rsidR="00B67D7C" w:rsidRPr="00DE096C" w:rsidRDefault="00B67D7C" w:rsidP="00D45A46">
      <w:pPr>
        <w:shd w:val="clear" w:color="auto" w:fill="FFFFFF"/>
        <w:jc w:val="both"/>
        <w:rPr>
          <w:bCs/>
          <w:color w:val="002060"/>
          <w:sz w:val="16"/>
          <w:szCs w:val="16"/>
        </w:rPr>
      </w:pPr>
      <w:r w:rsidRPr="00DE096C">
        <w:rPr>
          <w:bCs/>
          <w:color w:val="002060"/>
          <w:sz w:val="16"/>
          <w:szCs w:val="16"/>
        </w:rPr>
        <w:t>2</w:t>
      </w:r>
      <w:r w:rsidR="00234D24" w:rsidRPr="00DE096C">
        <w:rPr>
          <w:bCs/>
          <w:color w:val="002060"/>
          <w:sz w:val="16"/>
          <w:szCs w:val="16"/>
        </w:rPr>
        <w:t>1</w:t>
      </w:r>
      <w:r w:rsidRPr="00DE096C">
        <w:rPr>
          <w:bCs/>
          <w:color w:val="002060"/>
          <w:sz w:val="16"/>
          <w:szCs w:val="16"/>
        </w:rPr>
        <w:t xml:space="preserve"> июля (3 августа) 1914 «В 14.25 со стороны Арракура появи</w:t>
      </w:r>
      <w:r w:rsidRPr="00DE096C">
        <w:rPr>
          <w:bCs/>
          <w:color w:val="002060"/>
          <w:sz w:val="16"/>
          <w:szCs w:val="16"/>
        </w:rPr>
        <w:softHyphen/>
        <w:t>лись 2 цеппелина, вместимостью на глаз до 28 тыс. куб. мет</w:t>
      </w:r>
      <w:r w:rsidRPr="00DE096C">
        <w:rPr>
          <w:bCs/>
          <w:color w:val="002060"/>
          <w:sz w:val="16"/>
          <w:szCs w:val="16"/>
        </w:rPr>
        <w:softHyphen/>
        <w:t>ров. Держась на высоте 1500-1000 м, они скоро оказались над Нанси. В 14.30 раздалось несколько оглушительных взрывов... С правильностью артиллерийской стрельбы цеппелины бро</w:t>
      </w:r>
      <w:r w:rsidRPr="00DE096C">
        <w:rPr>
          <w:bCs/>
          <w:color w:val="002060"/>
          <w:sz w:val="16"/>
          <w:szCs w:val="16"/>
        </w:rPr>
        <w:softHyphen/>
        <w:t>сили бомбы: 2 на вокзал, 6 на авиапарк, 3 на казармы, к счас</w:t>
      </w:r>
      <w:r w:rsidRPr="00DE096C">
        <w:rPr>
          <w:bCs/>
          <w:color w:val="002060"/>
          <w:sz w:val="16"/>
          <w:szCs w:val="16"/>
        </w:rPr>
        <w:softHyphen/>
        <w:t>тью, пустые в этот час... Атака длилась всего 4 минуты... Сна</w:t>
      </w:r>
      <w:r w:rsidRPr="00DE096C">
        <w:rPr>
          <w:bCs/>
          <w:color w:val="002060"/>
          <w:sz w:val="16"/>
          <w:szCs w:val="16"/>
        </w:rPr>
        <w:softHyphen/>
        <w:t>ряды 90-100 кг. Трое из наших товарищей погибли...»</w:t>
      </w:r>
    </w:p>
    <w:p w14:paraId="2D28EFD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Крепостной авиационный отряд Туля, расположенный в 20 км от Нанси, имеющий в своем распоряжении 6 бипла</w:t>
      </w:r>
      <w:r w:rsidRPr="00DE096C">
        <w:rPr>
          <w:bCs/>
          <w:color w:val="002060"/>
          <w:sz w:val="16"/>
          <w:szCs w:val="16"/>
        </w:rPr>
        <w:softHyphen/>
        <w:t>нов Блерио, получает задачу нанести ответный удар.</w:t>
      </w:r>
    </w:p>
    <w:p w14:paraId="168668D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4 биплана были немедленно отправлены к Мецу с при</w:t>
      </w:r>
      <w:r w:rsidRPr="00DE096C">
        <w:rPr>
          <w:bCs/>
          <w:color w:val="002060"/>
          <w:sz w:val="16"/>
          <w:szCs w:val="16"/>
        </w:rPr>
        <w:softHyphen/>
        <w:t>казанием взорвать германский авиационный парк во Фрас-кати. 2 аэроплана с приказанием разрушить железнодорож</w:t>
      </w:r>
      <w:r w:rsidRPr="00DE096C">
        <w:rPr>
          <w:bCs/>
          <w:color w:val="002060"/>
          <w:sz w:val="16"/>
          <w:szCs w:val="16"/>
        </w:rPr>
        <w:softHyphen/>
        <w:t>ные мосты и тоннель на магистралях Страсбург — Мец, Карлсруэ — Мец, а также стратегический железнодорожный узел, расположенный в Меце, с целью задержать продвиже</w:t>
      </w:r>
      <w:r w:rsidRPr="00DE096C">
        <w:rPr>
          <w:bCs/>
          <w:color w:val="002060"/>
          <w:sz w:val="16"/>
          <w:szCs w:val="16"/>
        </w:rPr>
        <w:softHyphen/>
        <w:t>ние германских войск на этих направлениях. Авиаторы вы</w:t>
      </w:r>
      <w:r w:rsidRPr="00DE096C">
        <w:rPr>
          <w:bCs/>
          <w:color w:val="002060"/>
          <w:sz w:val="16"/>
          <w:szCs w:val="16"/>
        </w:rPr>
        <w:softHyphen/>
        <w:t>летают в заданных направлениях, вооруженные только лич</w:t>
      </w:r>
      <w:r w:rsidRPr="00DE096C">
        <w:rPr>
          <w:bCs/>
          <w:color w:val="002060"/>
          <w:sz w:val="16"/>
          <w:szCs w:val="16"/>
        </w:rPr>
        <w:softHyphen/>
        <w:t xml:space="preserve">ным оружием и </w:t>
      </w:r>
      <w:r w:rsidRPr="00DE096C">
        <w:rPr>
          <w:bCs/>
          <w:color w:val="002060"/>
          <w:sz w:val="16"/>
          <w:szCs w:val="16"/>
        </w:rPr>
        <w:lastRenderedPageBreak/>
        <w:t>легкими фугасными бомбами, которые нуж</w:t>
      </w:r>
      <w:r w:rsidRPr="00DE096C">
        <w:rPr>
          <w:bCs/>
          <w:color w:val="002060"/>
          <w:sz w:val="16"/>
          <w:szCs w:val="16"/>
        </w:rPr>
        <w:softHyphen/>
        <w:t>но бросать через борт вручную. В начале Первой мировой войны французская авиация применяла для сбрасывания с самолета переделанные артиллерийские снаряды калибра от 75 до 155 мм. Для устойчивости в падении к снарядам при</w:t>
      </w:r>
      <w:r w:rsidRPr="00DE096C">
        <w:rPr>
          <w:bCs/>
          <w:color w:val="002060"/>
          <w:sz w:val="16"/>
          <w:szCs w:val="16"/>
        </w:rPr>
        <w:softHyphen/>
        <w:t>креплялся стабилизатор. Но эти первые французские авиа</w:t>
      </w:r>
      <w:r w:rsidRPr="00DE096C">
        <w:rPr>
          <w:bCs/>
          <w:color w:val="002060"/>
          <w:sz w:val="16"/>
          <w:szCs w:val="16"/>
        </w:rPr>
        <w:softHyphen/>
        <w:t>ционные бомбы не отвечали требованиям воздушного бом</w:t>
      </w:r>
      <w:r w:rsidRPr="00DE096C">
        <w:rPr>
          <w:bCs/>
          <w:color w:val="002060"/>
          <w:sz w:val="16"/>
          <w:szCs w:val="16"/>
        </w:rPr>
        <w:softHyphen/>
        <w:t>бометания. Устойчивость бомбы была недостаточна, очень часто они падали боком, и поэтому взрыватели не действо</w:t>
      </w:r>
      <w:r w:rsidRPr="00DE096C">
        <w:rPr>
          <w:bCs/>
          <w:color w:val="002060"/>
          <w:sz w:val="16"/>
          <w:szCs w:val="16"/>
        </w:rPr>
        <w:softHyphen/>
        <w:t>вали. В дальнейшем для снаряжения бомб, переделанных из снарядов, был сконструирован специальный взрыватель, действовавший при ударе бомбы о землю любой стороной.</w:t>
      </w:r>
    </w:p>
    <w:p w14:paraId="3D7005F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Другого вооружения летчики еще не имели. Правда, ко</w:t>
      </w:r>
      <w:r w:rsidRPr="00DE096C">
        <w:rPr>
          <w:bCs/>
          <w:color w:val="002060"/>
          <w:sz w:val="16"/>
          <w:szCs w:val="16"/>
        </w:rPr>
        <w:softHyphen/>
        <w:t>мандир этой эскадрильи, лейтенант Сен-Бри, утверждал, что на его аэроплане уже в первый день войны был установлен пулемет. Однако далее он рассказывает, что ему пришлось, хотя и с сожалением, снять пулемет с борта во время перво</w:t>
      </w:r>
      <w:r w:rsidRPr="00DE096C">
        <w:rPr>
          <w:bCs/>
          <w:color w:val="002060"/>
          <w:sz w:val="16"/>
          <w:szCs w:val="16"/>
        </w:rPr>
        <w:softHyphen/>
        <w:t>го же боевого вылета из-за возникших проблем с мотором (11060).</w:t>
      </w:r>
    </w:p>
    <w:p w14:paraId="0DA1F874" w14:textId="77777777" w:rsidR="00B67D7C" w:rsidRPr="00DE096C" w:rsidRDefault="00B67D7C" w:rsidP="00D45A46">
      <w:pPr>
        <w:shd w:val="clear" w:color="auto" w:fill="FFFFFF"/>
        <w:jc w:val="both"/>
        <w:rPr>
          <w:bCs/>
          <w:color w:val="002060"/>
          <w:sz w:val="16"/>
          <w:szCs w:val="16"/>
        </w:rPr>
      </w:pPr>
    </w:p>
    <w:p w14:paraId="19C52933" w14:textId="4B3134AC" w:rsidR="00B67D7C" w:rsidRPr="00DE096C" w:rsidRDefault="00234D24" w:rsidP="00D45A46">
      <w:pPr>
        <w:jc w:val="both"/>
        <w:rPr>
          <w:bCs/>
          <w:color w:val="002060"/>
          <w:sz w:val="16"/>
          <w:szCs w:val="16"/>
        </w:rPr>
      </w:pPr>
      <w:r w:rsidRPr="00DE096C">
        <w:rPr>
          <w:bCs/>
          <w:color w:val="002060"/>
          <w:sz w:val="16"/>
          <w:szCs w:val="16"/>
        </w:rPr>
        <w:t>21 июля (</w:t>
      </w:r>
      <w:r w:rsidR="00B67D7C" w:rsidRPr="00DE096C">
        <w:rPr>
          <w:bCs/>
          <w:color w:val="002060"/>
          <w:sz w:val="16"/>
          <w:szCs w:val="16"/>
        </w:rPr>
        <w:t>3 августа</w:t>
      </w:r>
      <w:r w:rsidRPr="00DE096C">
        <w:rPr>
          <w:bCs/>
          <w:color w:val="002060"/>
          <w:sz w:val="16"/>
          <w:szCs w:val="16"/>
        </w:rPr>
        <w:t>)</w:t>
      </w:r>
      <w:r w:rsidR="00B67D7C" w:rsidRPr="00DE096C">
        <w:rPr>
          <w:bCs/>
          <w:color w:val="002060"/>
          <w:sz w:val="16"/>
          <w:szCs w:val="16"/>
        </w:rPr>
        <w:t xml:space="preserve"> 1914 Два германских цеппелина атаковали французский аэродром, находящийся у границы Эльзаса в крепости Нанси. Французские авиаразведчики, несмотря на регулярный облет по секторам окрестностей, не смогли обнаружить приближения врага; цеппелины возникли совершенно неожиданно.</w:t>
      </w:r>
    </w:p>
    <w:p w14:paraId="3BCA3FB3" w14:textId="77777777" w:rsidR="00B67D7C" w:rsidRPr="00DE096C" w:rsidRDefault="00B67D7C" w:rsidP="00D45A46">
      <w:pPr>
        <w:jc w:val="both"/>
        <w:rPr>
          <w:bCs/>
          <w:color w:val="002060"/>
          <w:sz w:val="16"/>
          <w:szCs w:val="16"/>
        </w:rPr>
      </w:pPr>
      <w:r w:rsidRPr="00DE096C">
        <w:rPr>
          <w:bCs/>
          <w:color w:val="002060"/>
          <w:sz w:val="16"/>
          <w:szCs w:val="16"/>
        </w:rPr>
        <w:t>Из воспоминаний командира 20-го французского корпуса генерала Сервента: "В 14.25 со стороны Арракура появились 2 цеппелина, вместимостью на глаз до 28 тыс. куб. метров. Держась на высоте 1500-1000 м, они скоро оказались над Нанси. В 14.30 раздалось несколько оглушительных взрывов... С правильностью артиллерийской стрельбы цеппелины бросили бомбы: 2 на вокзал, 6 на авиапарк, 3 на казармы, к счастью, пустые в этот час... Атака длилась всего 4 минуты... Снаряды 90-100 кг. Трое из наших товарищей погибли..."</w:t>
      </w:r>
    </w:p>
    <w:p w14:paraId="58FA9C61" w14:textId="77777777" w:rsidR="00B67D7C" w:rsidRPr="00DE096C" w:rsidRDefault="00B67D7C" w:rsidP="00D45A46">
      <w:pPr>
        <w:jc w:val="both"/>
        <w:rPr>
          <w:bCs/>
          <w:color w:val="002060"/>
          <w:sz w:val="16"/>
          <w:szCs w:val="16"/>
        </w:rPr>
      </w:pPr>
      <w:r w:rsidRPr="00DE096C">
        <w:rPr>
          <w:bCs/>
          <w:color w:val="002060"/>
          <w:sz w:val="16"/>
          <w:szCs w:val="16"/>
        </w:rPr>
        <w:t>Крепостной авиационный отряд Туля, расположенный в 20 км от Нанси, имеющий в своем распоряжении 6 бипланов Блерио, получает задачу нанести ответный удар.</w:t>
      </w:r>
    </w:p>
    <w:p w14:paraId="214E13BA" w14:textId="77777777" w:rsidR="00B67D7C" w:rsidRPr="00DE096C" w:rsidRDefault="00B67D7C" w:rsidP="00D45A46">
      <w:pPr>
        <w:jc w:val="both"/>
        <w:rPr>
          <w:bCs/>
          <w:color w:val="002060"/>
          <w:sz w:val="16"/>
          <w:szCs w:val="16"/>
        </w:rPr>
      </w:pPr>
      <w:r w:rsidRPr="00DE096C">
        <w:rPr>
          <w:bCs/>
          <w:color w:val="002060"/>
          <w:sz w:val="16"/>
          <w:szCs w:val="16"/>
        </w:rPr>
        <w:t>4 биплана были немедленно отправлены к Мецу с приказанием взорвать германский авиационный парк во Фрас- кати. 2 аэроплана с приказанием разрушить железнодорожные мосты и тоннель на магистралях Страсбург - Мец, Карлсруэ - Мец, а также стратегический железнодорожный узел, расположенный в Меце, с целью задержать продвижение германских войск на этих направлениях. Авиаторы вылетают в заданных направлениях, вооруженные только личным оружием и легкими фугасными бомбами, которые нужно бросать через борт вручную. В начале Первой мировой войны французская авиация применяла для сбрасывания с самолета переделанные артиллерийские снаряды калибра от 75 до 155 мм. Для устойчивости в падении к снарядам прикреплялся стабилизатор. Но эти первые французские авиационные бомбы не отвечали требованиям воздушного бомбометания. Устойчивость бомбы была недостаточна, очень часто они падали боком, и поэтому взрыватели не действовали. В дальнейшем для снаряжения бомб, переделанных из снарядов, был сконструирован специальный взрыватель, действовавший при ударе бомбы о землю любой стороной.</w:t>
      </w:r>
    </w:p>
    <w:p w14:paraId="4B577BEB" w14:textId="77777777" w:rsidR="00B67D7C" w:rsidRPr="00DE096C" w:rsidRDefault="00B67D7C" w:rsidP="00D45A46">
      <w:pPr>
        <w:jc w:val="both"/>
        <w:rPr>
          <w:bCs/>
          <w:color w:val="002060"/>
          <w:sz w:val="16"/>
          <w:szCs w:val="16"/>
        </w:rPr>
      </w:pPr>
      <w:r w:rsidRPr="00DE096C">
        <w:rPr>
          <w:bCs/>
          <w:color w:val="002060"/>
          <w:sz w:val="16"/>
          <w:szCs w:val="16"/>
        </w:rPr>
        <w:t>Другого вооружения летчики еще не имели. Правда, командир этой эскадрильи, лейтенант Сен-Бри, утверждал, что на его аэроплане уже в первый день войны был установлен пулемет. Однако далее он рассказывает, что ему пришлось, хотя и с сожалением, снять пулемет с борта во время первого же боевого вылета из-за возникших проблем с мотором (11999).</w:t>
      </w:r>
    </w:p>
    <w:p w14:paraId="7639CCCC" w14:textId="77777777" w:rsidR="00B67D7C" w:rsidRPr="00DE096C" w:rsidRDefault="00B67D7C" w:rsidP="00D45A46">
      <w:pPr>
        <w:jc w:val="both"/>
        <w:rPr>
          <w:bCs/>
          <w:color w:val="002060"/>
          <w:sz w:val="16"/>
          <w:szCs w:val="16"/>
        </w:rPr>
      </w:pPr>
    </w:p>
    <w:p w14:paraId="22729390" w14:textId="77777777" w:rsidR="001B3C0D" w:rsidRPr="00DE096C" w:rsidRDefault="001B3C0D" w:rsidP="00D45A46">
      <w:pPr>
        <w:jc w:val="both"/>
        <w:rPr>
          <w:bCs/>
          <w:i/>
          <w:color w:val="002060"/>
          <w:sz w:val="16"/>
          <w:szCs w:val="16"/>
        </w:rPr>
      </w:pPr>
      <w:r w:rsidRPr="00DE096C">
        <w:rPr>
          <w:bCs/>
          <w:i/>
          <w:color w:val="002060"/>
          <w:sz w:val="16"/>
          <w:szCs w:val="16"/>
        </w:rPr>
        <w:t>Авиация и воздухоплавание Англии:</w:t>
      </w:r>
    </w:p>
    <w:p w14:paraId="2093D30E" w14:textId="77777777" w:rsidR="001B3C0D" w:rsidRPr="00DE096C" w:rsidRDefault="001B3C0D" w:rsidP="00D45A46">
      <w:pPr>
        <w:jc w:val="both"/>
        <w:rPr>
          <w:bCs/>
          <w:i/>
          <w:color w:val="002060"/>
          <w:sz w:val="16"/>
          <w:szCs w:val="16"/>
        </w:rPr>
      </w:pPr>
    </w:p>
    <w:p w14:paraId="62148E76" w14:textId="5CB37827" w:rsidR="001B3C0D" w:rsidRPr="00DE096C" w:rsidRDefault="001B3C0D" w:rsidP="00D45A46">
      <w:pPr>
        <w:jc w:val="both"/>
        <w:rPr>
          <w:bCs/>
          <w:color w:val="002060"/>
          <w:sz w:val="16"/>
          <w:szCs w:val="16"/>
        </w:rPr>
      </w:pPr>
      <w:r w:rsidRPr="00DE096C">
        <w:rPr>
          <w:bCs/>
          <w:color w:val="002060"/>
          <w:sz w:val="16"/>
          <w:szCs w:val="16"/>
        </w:rPr>
        <w:t>2</w:t>
      </w:r>
      <w:r w:rsidR="00234D24" w:rsidRPr="00DE096C">
        <w:rPr>
          <w:bCs/>
          <w:color w:val="002060"/>
          <w:sz w:val="16"/>
          <w:szCs w:val="16"/>
        </w:rPr>
        <w:t>1</w:t>
      </w:r>
      <w:r w:rsidRPr="00DE096C">
        <w:rPr>
          <w:bCs/>
          <w:color w:val="002060"/>
          <w:sz w:val="16"/>
          <w:szCs w:val="16"/>
        </w:rPr>
        <w:t xml:space="preserve"> июля (3 августа) в 1914 году в Хендоне проводятся последние авиационные состязания, состоявшиеся в Великобритании перед началом первой мировой войны. В их программу входят полет по маршруту и скоростная гонка с гандикапом. Первый вид состязаний выигрывает Р.Дж.Ллиллиуайт, второй - американец У.Л.Брок (14972).</w:t>
      </w:r>
    </w:p>
    <w:p w14:paraId="49AA1E8E" w14:textId="77777777" w:rsidR="001B3C0D" w:rsidRPr="00DE096C" w:rsidRDefault="001B3C0D" w:rsidP="00D45A46">
      <w:pPr>
        <w:jc w:val="both"/>
        <w:rPr>
          <w:bCs/>
          <w:color w:val="002060"/>
          <w:sz w:val="16"/>
          <w:szCs w:val="16"/>
        </w:rPr>
      </w:pPr>
    </w:p>
    <w:p w14:paraId="135B3D41" w14:textId="77777777" w:rsidR="002F1585" w:rsidRPr="00DE096C" w:rsidRDefault="002F1585" w:rsidP="00D45A46">
      <w:pPr>
        <w:jc w:val="both"/>
        <w:rPr>
          <w:bCs/>
          <w:color w:val="002060"/>
          <w:sz w:val="16"/>
          <w:szCs w:val="16"/>
        </w:rPr>
      </w:pPr>
      <w:r w:rsidRPr="00DE096C">
        <w:rPr>
          <w:bCs/>
          <w:color w:val="002060"/>
          <w:sz w:val="16"/>
          <w:szCs w:val="16"/>
        </w:rPr>
        <w:t>21 июля (3 августа) 1914 - В Хендоне закончились последние авиационные состязания, состоявшиеся в Великобритании перед началом первой мировой войны. В их программу входили полёт по маршруту и скоростная гонка с гандикапом. Первый вид состязаний выигрывает Р.Дж.Ллиллиуайт, второй - американец У.Л.Брок (22410).</w:t>
      </w:r>
    </w:p>
    <w:p w14:paraId="2E4999DE" w14:textId="77777777" w:rsidR="002F1585" w:rsidRPr="00DE096C" w:rsidRDefault="002F1585" w:rsidP="00D45A46">
      <w:pPr>
        <w:jc w:val="both"/>
        <w:rPr>
          <w:bCs/>
          <w:color w:val="002060"/>
          <w:sz w:val="16"/>
          <w:szCs w:val="16"/>
        </w:rPr>
      </w:pPr>
    </w:p>
    <w:p w14:paraId="3BC58822" w14:textId="77777777" w:rsidR="002F1585" w:rsidRPr="00DE096C" w:rsidRDefault="002F1585" w:rsidP="00D45A46">
      <w:pPr>
        <w:pStyle w:val="a3"/>
        <w:jc w:val="both"/>
        <w:rPr>
          <w:bCs/>
          <w:color w:val="002060"/>
          <w:spacing w:val="0"/>
          <w:kern w:val="0"/>
          <w:position w:val="0"/>
          <w:sz w:val="16"/>
          <w:szCs w:val="16"/>
        </w:rPr>
      </w:pPr>
      <w:r w:rsidRPr="00DE096C">
        <w:rPr>
          <w:bCs/>
          <w:color w:val="002060"/>
          <w:spacing w:val="0"/>
          <w:kern w:val="0"/>
          <w:position w:val="0"/>
          <w:sz w:val="16"/>
          <w:szCs w:val="16"/>
        </w:rPr>
        <w:t>Авиация и воздухоплавание Франции:</w:t>
      </w:r>
    </w:p>
    <w:p w14:paraId="2404528D" w14:textId="77777777" w:rsidR="002F1585" w:rsidRPr="00DE096C" w:rsidRDefault="002F1585" w:rsidP="00D45A46">
      <w:pPr>
        <w:pStyle w:val="a3"/>
        <w:jc w:val="both"/>
        <w:rPr>
          <w:bCs/>
          <w:color w:val="002060"/>
          <w:spacing w:val="0"/>
          <w:kern w:val="0"/>
          <w:position w:val="0"/>
          <w:sz w:val="16"/>
          <w:szCs w:val="16"/>
        </w:rPr>
      </w:pPr>
    </w:p>
    <w:p w14:paraId="490F4571" w14:textId="6EEA8407" w:rsidR="002F1585" w:rsidRPr="00DE096C" w:rsidRDefault="002F1585" w:rsidP="00D45A46">
      <w:pPr>
        <w:jc w:val="both"/>
        <w:rPr>
          <w:bCs/>
          <w:color w:val="002060"/>
          <w:sz w:val="16"/>
          <w:szCs w:val="16"/>
        </w:rPr>
      </w:pPr>
      <w:r w:rsidRPr="00DE096C">
        <w:rPr>
          <w:bCs/>
          <w:color w:val="002060"/>
          <w:sz w:val="16"/>
          <w:szCs w:val="16"/>
        </w:rPr>
        <w:t>21 июля (3 августа) 1914 г., согласно «Юнайтед Пресс Интернешнл» (UPI) — Гарро атаковал над городком Лонгви у бельгийской границы немецкий «цеппелин», сбил его, положив начало истребительной авиации… Однако на самом деле этого события никогда не было. Гарро ушел на фронт добровольцем 2 августа. При тогдашней французской мобилизационной системе медосмотр занимал целый день. Еще минимум день тратился на выдачу направления, ведь он шел не офицером, а рядовым. С учетом дальности тогдашних самолетов его авиаотряд не мог быть далеко от места события, а от Парижа, откуда призывался Гарро, это примерно 300 км, и ему надо было минимум день, чтобы доехать туда — личного аэроплана у него не было, да и вообще он попал в пехоту. Германия объявила войну Франции 3 августа, а первые активные боевые столкновения отмечены только 4-го вечером. Так что «цеппелин» 3 августа 1914 г. вряд ли мог быть сбит вообще. И наконец, по немецким данным, первая боевая потеря среди «цеппелинов» имела место только 21 августа, когда огнем с земли был сбит дирижабль Z VIII, а 5 августа Z VI (и опять же — огнем с земли!) был лишь поврежден, совершив вынужденную посадку в Бонне (22750).</w:t>
      </w:r>
    </w:p>
    <w:p w14:paraId="69E7D65E" w14:textId="77777777" w:rsidR="002F1585" w:rsidRPr="00DE096C" w:rsidRDefault="002F1585" w:rsidP="00D45A46">
      <w:pPr>
        <w:jc w:val="both"/>
        <w:rPr>
          <w:bCs/>
          <w:color w:val="002060"/>
          <w:sz w:val="16"/>
          <w:szCs w:val="16"/>
        </w:rPr>
      </w:pPr>
    </w:p>
    <w:p w14:paraId="41590871" w14:textId="77777777" w:rsidR="003D5A34" w:rsidRPr="00CF03EC" w:rsidRDefault="003D5A34" w:rsidP="003D5A34">
      <w:pPr>
        <w:jc w:val="both"/>
        <w:rPr>
          <w:color w:val="0070C0"/>
          <w:sz w:val="16"/>
          <w:szCs w:val="16"/>
        </w:rPr>
      </w:pPr>
      <w:r w:rsidRPr="00CF03EC">
        <w:rPr>
          <w:color w:val="0070C0"/>
          <w:sz w:val="16"/>
          <w:szCs w:val="16"/>
        </w:rPr>
        <w:t>2</w:t>
      </w:r>
      <w:r>
        <w:rPr>
          <w:color w:val="0070C0"/>
          <w:sz w:val="16"/>
          <w:szCs w:val="16"/>
        </w:rPr>
        <w:t>1</w:t>
      </w:r>
      <w:r w:rsidRPr="00CF03EC">
        <w:rPr>
          <w:color w:val="0070C0"/>
          <w:sz w:val="16"/>
          <w:szCs w:val="16"/>
        </w:rPr>
        <w:t xml:space="preserve"> июля (3 августа) 1914 г. француз Ролан Гарро атаковал над городком Лонгви у бельгийской границы немецкий «цеппелин» и сбил его, положив начало истребительной авиации…</w:t>
      </w:r>
    </w:p>
    <w:p w14:paraId="0FA5A667" w14:textId="77777777" w:rsidR="003D5A34" w:rsidRPr="00CF03EC" w:rsidRDefault="003D5A34" w:rsidP="003D5A34">
      <w:pPr>
        <w:jc w:val="both"/>
        <w:rPr>
          <w:color w:val="0070C0"/>
          <w:sz w:val="16"/>
          <w:szCs w:val="16"/>
        </w:rPr>
      </w:pPr>
      <w:r w:rsidRPr="00CF03EC">
        <w:rPr>
          <w:color w:val="0070C0"/>
          <w:sz w:val="16"/>
          <w:szCs w:val="16"/>
        </w:rPr>
        <w:t>Однако на самом деле этого не произошло. Шеф-пилот фирмы «Моран-Солнье», авиатор и вообще популярнейший тогда спортсмен Ролан Гарро пошел в армию добровольцем в последний мирный для Франции день 2 августа. При тогдашней ее мобилизационной системе медосмотр занимал целый день. Еще минимум день тратился на выдачу направления, ведь он шел не офицером, а рядовым – и вообще он для начала попал в пехоту. Как велосипедист, которые тоже считались ценными кадрами, а не как авиатор. Германия объявила войну Франции 3 августа, а первые активные боевые столкновения отмечены только 4-го вечером. Так что дирижабль или вообще какой-либо летательный аппарат 3 августа 1914 года вряд ли мог быть сбит вообще. И наконец, по немецким данным первая боевая потеря среди воздушных судов легче воздуха имела место только 21 августа 1914 г., когда огнем с земли сбили Цеппелин Z VIII, а 5 августа Z VI (и опять же – пехоте!) удалось лишь повредить, и он совершил вынужденную, но не аварийную посадку в Бонне (25772).</w:t>
      </w:r>
    </w:p>
    <w:p w14:paraId="60ED7E9B" w14:textId="77777777" w:rsidR="003D5A34" w:rsidRPr="00CF03EC" w:rsidRDefault="003D5A34" w:rsidP="003D5A34">
      <w:pPr>
        <w:jc w:val="both"/>
        <w:rPr>
          <w:color w:val="0070C0"/>
          <w:sz w:val="16"/>
          <w:szCs w:val="16"/>
        </w:rPr>
      </w:pPr>
    </w:p>
    <w:p w14:paraId="1E6317B0" w14:textId="77777777" w:rsidR="001B3C0D" w:rsidRPr="00DE096C" w:rsidRDefault="001B3C0D" w:rsidP="00D45A46">
      <w:pPr>
        <w:jc w:val="both"/>
        <w:rPr>
          <w:bCs/>
          <w:i/>
          <w:color w:val="002060"/>
          <w:sz w:val="16"/>
          <w:szCs w:val="16"/>
        </w:rPr>
      </w:pPr>
      <w:r w:rsidRPr="00DE096C">
        <w:rPr>
          <w:bCs/>
          <w:i/>
          <w:color w:val="002060"/>
          <w:sz w:val="16"/>
          <w:szCs w:val="16"/>
        </w:rPr>
        <w:t>За рубежом:</w:t>
      </w:r>
    </w:p>
    <w:p w14:paraId="5A907634" w14:textId="77777777" w:rsidR="001B3C0D" w:rsidRPr="00DE096C" w:rsidRDefault="001B3C0D" w:rsidP="00D45A46">
      <w:pPr>
        <w:jc w:val="both"/>
        <w:rPr>
          <w:bCs/>
          <w:color w:val="002060"/>
          <w:sz w:val="16"/>
          <w:szCs w:val="16"/>
        </w:rPr>
      </w:pPr>
    </w:p>
    <w:p w14:paraId="73139CBA" w14:textId="07520593" w:rsidR="002060BB" w:rsidRPr="00DE096C" w:rsidRDefault="002060BB" w:rsidP="00D45A46">
      <w:pPr>
        <w:jc w:val="both"/>
        <w:rPr>
          <w:bCs/>
          <w:color w:val="002060"/>
          <w:sz w:val="16"/>
          <w:szCs w:val="16"/>
        </w:rPr>
      </w:pPr>
      <w:r w:rsidRPr="00DE096C">
        <w:rPr>
          <w:bCs/>
          <w:color w:val="002060"/>
          <w:sz w:val="16"/>
          <w:szCs w:val="16"/>
        </w:rPr>
        <w:t>2</w:t>
      </w:r>
      <w:r w:rsidR="00234D24" w:rsidRPr="00DE096C">
        <w:rPr>
          <w:bCs/>
          <w:color w:val="002060"/>
          <w:sz w:val="16"/>
          <w:szCs w:val="16"/>
        </w:rPr>
        <w:t>1</w:t>
      </w:r>
      <w:r w:rsidRPr="00DE096C">
        <w:rPr>
          <w:bCs/>
          <w:color w:val="002060"/>
          <w:sz w:val="16"/>
          <w:szCs w:val="16"/>
        </w:rPr>
        <w:t xml:space="preserve"> июля (3 августа) в 1914 году США объявляют о своем нейтралитете в начинающейся первой мировой войне (14972).</w:t>
      </w:r>
    </w:p>
    <w:p w14:paraId="527084BB" w14:textId="77777777" w:rsidR="002060BB" w:rsidRPr="00DE096C" w:rsidRDefault="002060BB" w:rsidP="00D45A46">
      <w:pPr>
        <w:jc w:val="both"/>
        <w:rPr>
          <w:bCs/>
          <w:color w:val="002060"/>
          <w:sz w:val="16"/>
          <w:szCs w:val="16"/>
        </w:rPr>
      </w:pPr>
    </w:p>
    <w:p w14:paraId="41A0C8D5" w14:textId="28287546" w:rsidR="002060BB" w:rsidRPr="00DE096C" w:rsidRDefault="002060BB" w:rsidP="00D45A46">
      <w:pPr>
        <w:jc w:val="both"/>
        <w:rPr>
          <w:bCs/>
          <w:color w:val="002060"/>
          <w:sz w:val="16"/>
          <w:szCs w:val="16"/>
        </w:rPr>
      </w:pPr>
      <w:r w:rsidRPr="00DE096C">
        <w:rPr>
          <w:bCs/>
          <w:color w:val="002060"/>
          <w:sz w:val="16"/>
          <w:szCs w:val="16"/>
        </w:rPr>
        <w:t>2</w:t>
      </w:r>
      <w:r w:rsidR="00234D24" w:rsidRPr="00DE096C">
        <w:rPr>
          <w:bCs/>
          <w:color w:val="002060"/>
          <w:sz w:val="16"/>
          <w:szCs w:val="16"/>
        </w:rPr>
        <w:t>1</w:t>
      </w:r>
      <w:r w:rsidRPr="00DE096C">
        <w:rPr>
          <w:bCs/>
          <w:color w:val="002060"/>
          <w:sz w:val="16"/>
          <w:szCs w:val="16"/>
        </w:rPr>
        <w:t xml:space="preserve"> июля (3 августа) в 1914 году Германия оккупирует Бельгию (14972).</w:t>
      </w:r>
    </w:p>
    <w:p w14:paraId="5045777C" w14:textId="77777777" w:rsidR="002060BB" w:rsidRPr="00DE096C" w:rsidRDefault="002060BB" w:rsidP="00D45A46">
      <w:pPr>
        <w:jc w:val="both"/>
        <w:rPr>
          <w:bCs/>
          <w:color w:val="002060"/>
          <w:sz w:val="16"/>
          <w:szCs w:val="16"/>
        </w:rPr>
      </w:pPr>
    </w:p>
    <w:p w14:paraId="14059D4D" w14:textId="156ADCC0" w:rsidR="002060BB" w:rsidRPr="00DE096C" w:rsidRDefault="002060BB" w:rsidP="00D45A46">
      <w:pPr>
        <w:jc w:val="both"/>
        <w:rPr>
          <w:bCs/>
          <w:color w:val="002060"/>
          <w:sz w:val="16"/>
          <w:szCs w:val="16"/>
        </w:rPr>
      </w:pPr>
      <w:r w:rsidRPr="00DE096C">
        <w:rPr>
          <w:bCs/>
          <w:color w:val="002060"/>
          <w:sz w:val="16"/>
          <w:szCs w:val="16"/>
        </w:rPr>
        <w:t>2</w:t>
      </w:r>
      <w:r w:rsidR="00234D24" w:rsidRPr="00DE096C">
        <w:rPr>
          <w:bCs/>
          <w:color w:val="002060"/>
          <w:sz w:val="16"/>
          <w:szCs w:val="16"/>
        </w:rPr>
        <w:t>1</w:t>
      </w:r>
      <w:r w:rsidRPr="00DE096C">
        <w:rPr>
          <w:bCs/>
          <w:color w:val="002060"/>
          <w:sz w:val="16"/>
          <w:szCs w:val="16"/>
        </w:rPr>
        <w:t xml:space="preserve"> июля (3 августа) в 1914 году Германия объявила войну Франции, которая, будучи союзницей России, 1 августа начала всеобщую мобилизацию (14972).</w:t>
      </w:r>
    </w:p>
    <w:p w14:paraId="367050DD" w14:textId="77777777" w:rsidR="002060BB" w:rsidRPr="00DE096C" w:rsidRDefault="002060BB" w:rsidP="00D45A46">
      <w:pPr>
        <w:jc w:val="both"/>
        <w:rPr>
          <w:bCs/>
          <w:color w:val="002060"/>
          <w:sz w:val="16"/>
          <w:szCs w:val="16"/>
        </w:rPr>
      </w:pPr>
    </w:p>
    <w:p w14:paraId="0DDB097A" w14:textId="7977FEDC" w:rsidR="002060BB" w:rsidRPr="00DE096C" w:rsidRDefault="002060BB" w:rsidP="00D45A46">
      <w:pPr>
        <w:jc w:val="both"/>
        <w:rPr>
          <w:bCs/>
          <w:color w:val="002060"/>
          <w:sz w:val="16"/>
          <w:szCs w:val="16"/>
        </w:rPr>
      </w:pPr>
      <w:r w:rsidRPr="00DE096C">
        <w:rPr>
          <w:bCs/>
          <w:color w:val="002060"/>
          <w:sz w:val="16"/>
          <w:szCs w:val="16"/>
        </w:rPr>
        <w:t>2</w:t>
      </w:r>
      <w:r w:rsidR="00234D24" w:rsidRPr="00DE096C">
        <w:rPr>
          <w:bCs/>
          <w:color w:val="002060"/>
          <w:sz w:val="16"/>
          <w:szCs w:val="16"/>
        </w:rPr>
        <w:t>1</w:t>
      </w:r>
      <w:r w:rsidRPr="00DE096C">
        <w:rPr>
          <w:bCs/>
          <w:color w:val="002060"/>
          <w:sz w:val="16"/>
          <w:szCs w:val="16"/>
        </w:rPr>
        <w:t xml:space="preserve"> июля (3 августа) в 1914 году первое судно проходит через Панамский Канал (14972).</w:t>
      </w:r>
    </w:p>
    <w:p w14:paraId="270742F9" w14:textId="77777777" w:rsidR="002060BB" w:rsidRPr="00DE096C" w:rsidRDefault="002060BB" w:rsidP="00D45A46">
      <w:pPr>
        <w:jc w:val="both"/>
        <w:rPr>
          <w:bCs/>
          <w:color w:val="002060"/>
          <w:sz w:val="16"/>
          <w:szCs w:val="16"/>
        </w:rPr>
      </w:pPr>
    </w:p>
    <w:p w14:paraId="7C14B626" w14:textId="77777777" w:rsidR="00F34C3D" w:rsidRPr="00DE096C" w:rsidRDefault="00F34C3D" w:rsidP="00D45A46">
      <w:pPr>
        <w:shd w:val="clear" w:color="auto" w:fill="FFFFFF"/>
        <w:jc w:val="both"/>
        <w:rPr>
          <w:bCs/>
          <w:i/>
          <w:color w:val="002060"/>
          <w:sz w:val="16"/>
          <w:szCs w:val="16"/>
        </w:rPr>
      </w:pPr>
      <w:r w:rsidRPr="00DE096C">
        <w:rPr>
          <w:bCs/>
          <w:i/>
          <w:color w:val="002060"/>
          <w:sz w:val="16"/>
          <w:szCs w:val="16"/>
        </w:rPr>
        <w:t>Самолетостроение:</w:t>
      </w:r>
    </w:p>
    <w:p w14:paraId="419CC9B7" w14:textId="77777777" w:rsidR="00F34C3D" w:rsidRPr="00DE096C" w:rsidRDefault="00F34C3D" w:rsidP="00D45A46">
      <w:pPr>
        <w:shd w:val="clear" w:color="auto" w:fill="FFFFFF"/>
        <w:jc w:val="both"/>
        <w:rPr>
          <w:bCs/>
          <w:i/>
          <w:color w:val="002060"/>
          <w:sz w:val="16"/>
          <w:szCs w:val="16"/>
        </w:rPr>
      </w:pPr>
    </w:p>
    <w:p w14:paraId="2BEB7980" w14:textId="4DD6EDE4" w:rsidR="00F34C3D" w:rsidRPr="00DE096C" w:rsidRDefault="00F34C3D" w:rsidP="00D45A46">
      <w:pPr>
        <w:jc w:val="both"/>
        <w:rPr>
          <w:bCs/>
          <w:color w:val="002060"/>
          <w:sz w:val="16"/>
          <w:szCs w:val="16"/>
        </w:rPr>
      </w:pPr>
      <w:r w:rsidRPr="00DE096C">
        <w:rPr>
          <w:bCs/>
          <w:color w:val="002060"/>
          <w:sz w:val="16"/>
          <w:szCs w:val="16"/>
        </w:rPr>
        <w:t>22 июля (4 августа) 1914 г. с заводом Щетинина был подписан договора о поставке четырех летающих лодок М-2 без моторов. Указанное соглашение заставило форсировать начавшиеся ранее работы.</w:t>
      </w:r>
    </w:p>
    <w:p w14:paraId="03A0F480" w14:textId="77777777" w:rsidR="00F34C3D" w:rsidRPr="00DE096C" w:rsidRDefault="00F34C3D" w:rsidP="00D45A46">
      <w:pPr>
        <w:jc w:val="both"/>
        <w:rPr>
          <w:bCs/>
          <w:color w:val="002060"/>
          <w:sz w:val="16"/>
          <w:szCs w:val="16"/>
        </w:rPr>
      </w:pPr>
      <w:r w:rsidRPr="00DE096C">
        <w:rPr>
          <w:bCs/>
          <w:color w:val="002060"/>
          <w:sz w:val="16"/>
          <w:szCs w:val="16"/>
        </w:rPr>
        <w:t>Заводские испытания первого экземпляра М-2, оснащенного двигателем "Гном" 80 л.с. начались в августе 1914 г. К сожалению, уже 31 августа самолет потерпел катастрофу, в результате которой погиб летчик П.В. Евсюков. Причины несчастья достоверно не установили, однако фактов, указывающих на недостатки конструкции, также не было выявлено, поэтому изготовление последующих М-2 продолжили. Четыре построенных однотипных аппарата отличались от первого образца более мощными двигателями "Гном-Моносупап" в 100 л.с.</w:t>
      </w:r>
    </w:p>
    <w:p w14:paraId="50D09389" w14:textId="77777777" w:rsidR="00F34C3D" w:rsidRPr="00DE096C" w:rsidRDefault="00F34C3D" w:rsidP="00D45A46">
      <w:pPr>
        <w:jc w:val="both"/>
        <w:rPr>
          <w:bCs/>
          <w:color w:val="002060"/>
          <w:sz w:val="16"/>
          <w:szCs w:val="16"/>
        </w:rPr>
      </w:pPr>
      <w:r w:rsidRPr="00DE096C">
        <w:rPr>
          <w:bCs/>
          <w:color w:val="002060"/>
          <w:sz w:val="16"/>
          <w:szCs w:val="16"/>
        </w:rPr>
        <w:t>23 ноября 1914 г. в Ревель на 3-ю станцию были высланы первые две М-2, которые прибыли к месту назначения на следующий день. Сборка первого экземпляра выявила достаточно много дефектов конструкции, нестыковок, случаев явного и скрытого брака - сказалась спешка с выполнением заказа. Поэтому все усилия решили поначалу сосредоточить на доводке одного самолета, а во второй ввести изменения по опыту первого. Для ускорения доводки этого М-2 в Ревель приехал сам Григорович.</w:t>
      </w:r>
    </w:p>
    <w:p w14:paraId="6CB8E215" w14:textId="77777777" w:rsidR="00F34C3D" w:rsidRPr="00DE096C" w:rsidRDefault="00F34C3D" w:rsidP="00D45A46">
      <w:pPr>
        <w:jc w:val="both"/>
        <w:rPr>
          <w:bCs/>
          <w:color w:val="002060"/>
          <w:sz w:val="16"/>
          <w:szCs w:val="16"/>
        </w:rPr>
      </w:pPr>
      <w:r w:rsidRPr="00DE096C">
        <w:rPr>
          <w:bCs/>
          <w:color w:val="002060"/>
          <w:sz w:val="16"/>
          <w:szCs w:val="16"/>
        </w:rPr>
        <w:t>Отметим, что 20 декабря на 3-ю станцию прибыли три летающие лодки ФБА (Ргапсо-ВпТ1сЬ-Ау|'а1юп - франко-британская фирма, строившая летающие лодки с 1912 г.) из шести заказанных во Франции 12 сентября 1914 г. На тот момент это были наиболее доведенные машины, как по конструкции, так и по летным и эксплуатационным характеристикам. Сравнение двух типов аппаратов было явно не в пользу М-2, поэтому представители флота заняли более жесткую позицию в отношении приемки лодок Григоровича. К первому января 1915 г. ни одна из них еще не прошла сдаточных испытаний.</w:t>
      </w:r>
    </w:p>
    <w:p w14:paraId="0BC62E60" w14:textId="77777777" w:rsidR="00F34C3D" w:rsidRPr="00DE096C" w:rsidRDefault="00F34C3D" w:rsidP="00D45A46">
      <w:pPr>
        <w:jc w:val="both"/>
        <w:rPr>
          <w:bCs/>
          <w:color w:val="002060"/>
          <w:sz w:val="16"/>
          <w:szCs w:val="16"/>
        </w:rPr>
      </w:pPr>
      <w:r w:rsidRPr="00DE096C">
        <w:rPr>
          <w:bCs/>
          <w:color w:val="002060"/>
          <w:sz w:val="16"/>
          <w:szCs w:val="16"/>
        </w:rPr>
        <w:lastRenderedPageBreak/>
        <w:t>Несмотря на трудности доводки М-2, первую такую лодку в начале февраля 1915 г. удалось испытать. Доработанные по ее опыту детали и узлы заново изготовили на заводе Щетинина, доставили в Ревель и установили на второй экземпляр. По причине изменений конструкции, он получил новое обозначение - М-3. Сдаточные испытания закончились в марте 1915 г., затем М-2 и М-3 зачислили в состав Службы связи Балтийского моря под обозначением Щ-2 и Щ-3 (12083).</w:t>
      </w:r>
    </w:p>
    <w:p w14:paraId="4CEDDE55" w14:textId="77777777" w:rsidR="00F34C3D" w:rsidRPr="00DE096C" w:rsidRDefault="00F34C3D" w:rsidP="00D45A46">
      <w:pPr>
        <w:jc w:val="both"/>
        <w:rPr>
          <w:bCs/>
          <w:color w:val="002060"/>
          <w:sz w:val="16"/>
          <w:szCs w:val="16"/>
        </w:rPr>
      </w:pPr>
      <w:r w:rsidRPr="00DE096C">
        <w:rPr>
          <w:bCs/>
          <w:color w:val="002060"/>
          <w:sz w:val="16"/>
          <w:szCs w:val="16"/>
        </w:rPr>
        <w:t>Между тем, затянувшаяся сдача этих первых летающих лодок отечественного производства негативно повлияла на отношение к ним со стороны морского ведомства. В середине января 1915 г. штаб заведующего авиацией при Службе связи Балтийского моря принял решение о заказе большой партии летающих лодок ФБА для оснащения отрядов и станций на Балтике. Впрочем, реализация этого решения поначалу сдерживалась тем обстоятельством, что производственные мощности французской фирмы до предела были загружены заказами собственного флота. Начались переговоры о лицензионном соглашении.</w:t>
      </w:r>
    </w:p>
    <w:p w14:paraId="5C774B54" w14:textId="77777777" w:rsidR="00F34C3D" w:rsidRPr="00DE096C" w:rsidRDefault="00F34C3D" w:rsidP="00D45A46">
      <w:pPr>
        <w:jc w:val="both"/>
        <w:rPr>
          <w:bCs/>
          <w:color w:val="002060"/>
          <w:sz w:val="16"/>
          <w:szCs w:val="16"/>
        </w:rPr>
      </w:pPr>
      <w:r w:rsidRPr="00DE096C">
        <w:rPr>
          <w:bCs/>
          <w:color w:val="002060"/>
          <w:sz w:val="16"/>
          <w:szCs w:val="16"/>
        </w:rPr>
        <w:t>2 февраля 1915 г. было получено сообщение, что фирма ФБА готова продать комплект чертежей своей летающей лодки России за 13000 рублей и, кроме того, фирма пожелала получать по 1300 рублей за каждый построенный такой самолет на русских заводах. После подписания лицензионного соглашения от приемки двух оставшихся лодок Щетинина отказались, выплатив заводу лишь небольшую неустойку. А французские ФБА в довольно большом числе экземпляров начал строить в Петрограде завод В.А. Лебедева.</w:t>
      </w:r>
    </w:p>
    <w:p w14:paraId="6791B74C" w14:textId="77777777" w:rsidR="00F34C3D" w:rsidRPr="00DE096C" w:rsidRDefault="00F34C3D" w:rsidP="00D45A46">
      <w:pPr>
        <w:jc w:val="both"/>
        <w:rPr>
          <w:bCs/>
          <w:color w:val="002060"/>
          <w:sz w:val="16"/>
          <w:szCs w:val="16"/>
        </w:rPr>
      </w:pPr>
      <w:r w:rsidRPr="00DE096C">
        <w:rPr>
          <w:bCs/>
          <w:color w:val="002060"/>
          <w:sz w:val="16"/>
          <w:szCs w:val="16"/>
        </w:rPr>
        <w:t>Принятые флотом М-2 (Щ-2) и М-3 (Щ-3) использовались на 3-й станции в качестве учебных машин. Летом 1915 г. почти одновременно они получили при жесткой посадке довольно серьезные повреждения конструкции и до октября находились в долговременном ремонте. В ноябре того же года их списали.</w:t>
      </w:r>
    </w:p>
    <w:p w14:paraId="5C31BA05" w14:textId="77777777" w:rsidR="00F34C3D" w:rsidRPr="00DE096C" w:rsidRDefault="00F34C3D" w:rsidP="00D45A46">
      <w:pPr>
        <w:jc w:val="both"/>
        <w:rPr>
          <w:bCs/>
          <w:color w:val="002060"/>
          <w:sz w:val="16"/>
          <w:szCs w:val="16"/>
        </w:rPr>
      </w:pPr>
      <w:r w:rsidRPr="00DE096C">
        <w:rPr>
          <w:bCs/>
          <w:color w:val="002060"/>
          <w:sz w:val="16"/>
          <w:szCs w:val="16"/>
        </w:rPr>
        <w:t>На Черном море летом 1914 г. еще царила довольно благодушная обстановка. Казалось, война далеко, а время для реорганизаций еще есть. В сентябре морская авиация Черноморского флота насчитывала всего шесть боевых машин. По-ложение резко изменилось в октябре, когда после набега немецких крейсеров "Гебен" и "Бреслау" при участии части турецкого флота Турция объявила войну России. Обострение военной ситуации показало острую нехватку боеспособных самолетов.</w:t>
      </w:r>
    </w:p>
    <w:p w14:paraId="7ABA42BB" w14:textId="77777777" w:rsidR="00F34C3D" w:rsidRPr="00DE096C" w:rsidRDefault="00F34C3D" w:rsidP="00D45A46">
      <w:pPr>
        <w:jc w:val="both"/>
        <w:rPr>
          <w:bCs/>
          <w:color w:val="002060"/>
          <w:sz w:val="16"/>
          <w:szCs w:val="16"/>
        </w:rPr>
      </w:pPr>
      <w:r w:rsidRPr="00DE096C">
        <w:rPr>
          <w:bCs/>
          <w:color w:val="002060"/>
          <w:sz w:val="16"/>
          <w:szCs w:val="16"/>
        </w:rPr>
        <w:t xml:space="preserve">В сложившихся условиях предложение Щетинина о поставке двух летающих лодок типа М-2 командованием Черноморского флота было встречено вполне благожелательно. Имеющиеся в наличии на заводе две недостроенные лодки срочно доработали по типу М-3, кроме того, внесли дополнительные изменения и дооборудовали кабину. После чего они получили обозначение М-4 и уже весной 1915 г. прибыли на Черное море. </w:t>
      </w:r>
    </w:p>
    <w:p w14:paraId="569EF5DF" w14:textId="77777777" w:rsidR="00F34C3D" w:rsidRPr="00DE096C" w:rsidRDefault="00F34C3D" w:rsidP="00D45A46">
      <w:pPr>
        <w:jc w:val="both"/>
        <w:rPr>
          <w:bCs/>
          <w:color w:val="002060"/>
          <w:sz w:val="16"/>
          <w:szCs w:val="16"/>
        </w:rPr>
      </w:pPr>
      <w:r w:rsidRPr="00DE096C">
        <w:rPr>
          <w:bCs/>
          <w:color w:val="002060"/>
          <w:sz w:val="16"/>
          <w:szCs w:val="16"/>
        </w:rPr>
        <w:t>После проведения сдаточных испытаний в апреле 1915 г. самолеты зачислили в состав авиации Черноморского флота. Летчики встретили их довольно хорошо: по сравнению с летающими лодками американского производства "Кер- тисс" (СигН$$) машины Григоровича имели лучшие мореходные, летные и эксплуатационные характеристики. Один самолет использовался в составе корабельного отряда, другой состоял в береговом отряде. Скоро оба экземпляра успешно опробовали в боевой обстановке. 12 апреля аппарат с бортовым номером "29", спущенный с борта крейсера "Император Николай I", в районе Босфора впервые атаковал турецкую канонерку. Это сообщение, наряду с другими положительными отзывами об ис-пользовании летающих лодок Щетинина-Григоровича, позволило вполне уверенно продолжать строительство следующих гидросамолетов (12083).</w:t>
      </w:r>
    </w:p>
    <w:p w14:paraId="2B4B4241" w14:textId="77777777" w:rsidR="00F34C3D" w:rsidRPr="00DE096C" w:rsidRDefault="00F34C3D" w:rsidP="00D45A46">
      <w:pPr>
        <w:jc w:val="both"/>
        <w:rPr>
          <w:bCs/>
          <w:color w:val="002060"/>
          <w:sz w:val="16"/>
          <w:szCs w:val="16"/>
        </w:rPr>
      </w:pPr>
    </w:p>
    <w:p w14:paraId="0E8BAD6A"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Внешняя политика:</w:t>
      </w:r>
    </w:p>
    <w:p w14:paraId="1F886DC9" w14:textId="77777777" w:rsidR="00B67D7C" w:rsidRPr="00DE096C" w:rsidRDefault="00B67D7C" w:rsidP="00D45A46">
      <w:pPr>
        <w:pStyle w:val="a3"/>
        <w:jc w:val="both"/>
        <w:rPr>
          <w:bCs/>
          <w:color w:val="002060"/>
          <w:spacing w:val="0"/>
          <w:kern w:val="0"/>
          <w:position w:val="0"/>
          <w:sz w:val="16"/>
          <w:szCs w:val="16"/>
        </w:rPr>
      </w:pPr>
    </w:p>
    <w:p w14:paraId="4FE88D4A" w14:textId="5ACA3CC4" w:rsidR="00B67D7C" w:rsidRPr="00DE096C" w:rsidRDefault="00B67D7C" w:rsidP="00D45A46">
      <w:pPr>
        <w:shd w:val="clear" w:color="auto" w:fill="FFFFFF"/>
        <w:jc w:val="both"/>
        <w:rPr>
          <w:bCs/>
          <w:color w:val="002060"/>
          <w:sz w:val="16"/>
          <w:szCs w:val="16"/>
        </w:rPr>
      </w:pPr>
      <w:r w:rsidRPr="00DE096C">
        <w:rPr>
          <w:bCs/>
          <w:color w:val="002060"/>
          <w:sz w:val="16"/>
          <w:szCs w:val="16"/>
        </w:rPr>
        <w:t>2</w:t>
      </w:r>
      <w:r w:rsidR="002F1585" w:rsidRPr="00DE096C">
        <w:rPr>
          <w:bCs/>
          <w:color w:val="002060"/>
          <w:sz w:val="16"/>
          <w:szCs w:val="16"/>
        </w:rPr>
        <w:t>2</w:t>
      </w:r>
      <w:r w:rsidRPr="00DE096C">
        <w:rPr>
          <w:bCs/>
          <w:color w:val="002060"/>
          <w:sz w:val="16"/>
          <w:szCs w:val="16"/>
        </w:rPr>
        <w:t xml:space="preserve"> июля (4 августа) 1914 После отказа Германии сохранить нейтрали</w:t>
      </w:r>
      <w:r w:rsidRPr="00DE096C">
        <w:rPr>
          <w:bCs/>
          <w:color w:val="002060"/>
          <w:sz w:val="16"/>
          <w:szCs w:val="16"/>
        </w:rPr>
        <w:softHyphen/>
        <w:t>тет Бельгии, к России и Франции присоединилась Англия. Таймс: «Мы вступаем в войну, в которую мы вынужде</w:t>
      </w:r>
      <w:r w:rsidRPr="00DE096C">
        <w:rPr>
          <w:bCs/>
          <w:color w:val="002060"/>
          <w:sz w:val="16"/>
          <w:szCs w:val="16"/>
        </w:rPr>
        <w:softHyphen/>
        <w:t>ны вмешаться, как защитники слабых и борцы за свободу Европы» (11060).</w:t>
      </w:r>
    </w:p>
    <w:p w14:paraId="27811E7C" w14:textId="77777777" w:rsidR="00B67D7C" w:rsidRPr="00DE096C" w:rsidRDefault="00B67D7C" w:rsidP="00D45A46">
      <w:pPr>
        <w:shd w:val="clear" w:color="auto" w:fill="FFFFFF"/>
        <w:jc w:val="both"/>
        <w:rPr>
          <w:bCs/>
          <w:color w:val="002060"/>
          <w:sz w:val="16"/>
          <w:szCs w:val="16"/>
        </w:rPr>
      </w:pPr>
    </w:p>
    <w:p w14:paraId="1F7B4348"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Авиация и воздухоплавание Франции:</w:t>
      </w:r>
    </w:p>
    <w:p w14:paraId="56D0D887" w14:textId="77777777" w:rsidR="00B67D7C" w:rsidRPr="00DE096C" w:rsidRDefault="00B67D7C" w:rsidP="00D45A46">
      <w:pPr>
        <w:pStyle w:val="a3"/>
        <w:jc w:val="both"/>
        <w:rPr>
          <w:bCs/>
          <w:color w:val="002060"/>
          <w:spacing w:val="0"/>
          <w:kern w:val="0"/>
          <w:position w:val="0"/>
          <w:sz w:val="16"/>
          <w:szCs w:val="16"/>
        </w:rPr>
      </w:pPr>
    </w:p>
    <w:p w14:paraId="250F95CD" w14:textId="18C24ABD" w:rsidR="00B67D7C" w:rsidRPr="00DE096C" w:rsidRDefault="00B67D7C" w:rsidP="00D45A46">
      <w:pPr>
        <w:shd w:val="clear" w:color="auto" w:fill="FFFFFF"/>
        <w:jc w:val="both"/>
        <w:rPr>
          <w:bCs/>
          <w:color w:val="002060"/>
          <w:sz w:val="16"/>
          <w:szCs w:val="16"/>
        </w:rPr>
      </w:pPr>
      <w:r w:rsidRPr="00DE096C">
        <w:rPr>
          <w:bCs/>
          <w:color w:val="002060"/>
          <w:sz w:val="16"/>
          <w:szCs w:val="16"/>
        </w:rPr>
        <w:t>2</w:t>
      </w:r>
      <w:r w:rsidR="002F1585" w:rsidRPr="00DE096C">
        <w:rPr>
          <w:bCs/>
          <w:color w:val="002060"/>
          <w:sz w:val="16"/>
          <w:szCs w:val="16"/>
        </w:rPr>
        <w:t>2</w:t>
      </w:r>
      <w:r w:rsidRPr="00DE096C">
        <w:rPr>
          <w:bCs/>
          <w:color w:val="002060"/>
          <w:sz w:val="16"/>
          <w:szCs w:val="16"/>
        </w:rPr>
        <w:t xml:space="preserve"> июля (4 августа) 1914 3-я французская эскадрилья, впоследствии названная эскадрильей Гийнемера, поступила в распоряжение центра воздушного наблюдения над Бельфором. Эскадрилья с это</w:t>
      </w:r>
      <w:r w:rsidRPr="00DE096C">
        <w:rPr>
          <w:bCs/>
          <w:color w:val="002060"/>
          <w:sz w:val="16"/>
          <w:szCs w:val="16"/>
        </w:rPr>
        <w:softHyphen/>
        <w:t>го дня приступила к выполнению первых боевых заданий по воздушной разведке Сернея, Мюльгаузена, Лорраха, Альткирхена (11060).</w:t>
      </w:r>
    </w:p>
    <w:p w14:paraId="61F29C62" w14:textId="77777777" w:rsidR="00B67D7C" w:rsidRPr="00DE096C" w:rsidRDefault="00B67D7C" w:rsidP="00D45A46">
      <w:pPr>
        <w:shd w:val="clear" w:color="auto" w:fill="FFFFFF"/>
        <w:jc w:val="both"/>
        <w:rPr>
          <w:bCs/>
          <w:color w:val="002060"/>
          <w:sz w:val="16"/>
          <w:szCs w:val="16"/>
        </w:rPr>
      </w:pPr>
    </w:p>
    <w:p w14:paraId="32A9972F" w14:textId="3AF997C9" w:rsidR="00F34C3D" w:rsidRPr="00DE096C" w:rsidRDefault="00F34C3D" w:rsidP="00D45A46">
      <w:pPr>
        <w:pStyle w:val="a3"/>
        <w:jc w:val="both"/>
        <w:rPr>
          <w:bCs/>
          <w:color w:val="002060"/>
          <w:spacing w:val="0"/>
          <w:kern w:val="0"/>
          <w:position w:val="0"/>
          <w:sz w:val="16"/>
          <w:szCs w:val="16"/>
        </w:rPr>
      </w:pPr>
      <w:r w:rsidRPr="00DE096C">
        <w:rPr>
          <w:bCs/>
          <w:color w:val="002060"/>
          <w:spacing w:val="0"/>
          <w:kern w:val="0"/>
          <w:position w:val="0"/>
          <w:sz w:val="16"/>
          <w:szCs w:val="16"/>
        </w:rPr>
        <w:t>Авиация и воздухоплавание Англии:</w:t>
      </w:r>
    </w:p>
    <w:p w14:paraId="2F19A757" w14:textId="77777777" w:rsidR="00F34C3D" w:rsidRPr="00DE096C" w:rsidRDefault="00F34C3D" w:rsidP="00D45A46">
      <w:pPr>
        <w:pStyle w:val="a3"/>
        <w:jc w:val="both"/>
        <w:rPr>
          <w:bCs/>
          <w:color w:val="002060"/>
          <w:spacing w:val="0"/>
          <w:kern w:val="0"/>
          <w:position w:val="0"/>
          <w:sz w:val="16"/>
          <w:szCs w:val="16"/>
        </w:rPr>
      </w:pPr>
    </w:p>
    <w:p w14:paraId="5EECAB3D" w14:textId="13073363" w:rsidR="00F34C3D" w:rsidRPr="00DE096C" w:rsidRDefault="00F34C3D" w:rsidP="00D45A46">
      <w:pPr>
        <w:jc w:val="both"/>
        <w:rPr>
          <w:bCs/>
          <w:color w:val="002060"/>
          <w:sz w:val="16"/>
          <w:szCs w:val="16"/>
        </w:rPr>
      </w:pPr>
      <w:r w:rsidRPr="00DE096C">
        <w:rPr>
          <w:bCs/>
          <w:color w:val="002060"/>
          <w:sz w:val="16"/>
          <w:szCs w:val="16"/>
        </w:rPr>
        <w:t>22 июля (4 августа) 1914 г. — в день, когда Великобритания вступила в войну. Оба аэроплана фирмы Бристоль - Скаут и Скаут В, на котором собирались переделать растяжки бипланной коробки и поставить новый звездообразный мотор «Статекс» с очень маленьким диаметром, ожидая существенный прирост скорости (поставщик его не прислал, и пришлось брать те же Гномы 9) - были готовы к сдаче. Военное министерство и Адмиралтейство стали наперегонки реквизировать все, что попадалось под руку, и оба «Скаута» В к концу августа оказались на базе RFC в Фарнборо, а затем и во Франции. Первый отдали одному из пионеров английской военной авиации лейтенанту Чолмондли в 3-ю эскадрилью RFC, а второй — майору Хиггинсу из 5-й эскадрильи. Оба были просто в восторге от машины, назвав ее, не сговариваясь, «Буллет» — пуля. Хиггинс поставил по бортам «Скаута» два карабина, направив стволы вне диска винта, но никого сбить ему не удалось (22749).</w:t>
      </w:r>
    </w:p>
    <w:p w14:paraId="38722CBC" w14:textId="77777777" w:rsidR="00F34C3D" w:rsidRPr="00DE096C" w:rsidRDefault="00F34C3D" w:rsidP="00D45A46">
      <w:pPr>
        <w:jc w:val="both"/>
        <w:rPr>
          <w:bCs/>
          <w:color w:val="002060"/>
          <w:sz w:val="16"/>
          <w:szCs w:val="16"/>
        </w:rPr>
      </w:pPr>
    </w:p>
    <w:p w14:paraId="0F7035A3" w14:textId="77777777" w:rsidR="00F34C3D" w:rsidRPr="00DE096C" w:rsidRDefault="00F34C3D" w:rsidP="00D45A46">
      <w:pPr>
        <w:pStyle w:val="book"/>
        <w:spacing w:before="0" w:beforeAutospacing="0" w:after="0" w:afterAutospacing="0"/>
        <w:jc w:val="both"/>
        <w:rPr>
          <w:bCs/>
          <w:color w:val="002060"/>
          <w:sz w:val="16"/>
          <w:szCs w:val="16"/>
          <w:shd w:val="clear" w:color="auto" w:fill="FFFFFF"/>
        </w:rPr>
      </w:pPr>
      <w:r w:rsidRPr="00DE096C">
        <w:rPr>
          <w:bCs/>
          <w:color w:val="002060"/>
          <w:sz w:val="16"/>
          <w:szCs w:val="16"/>
        </w:rPr>
        <w:t>22 июля (4 августа) 1914 г., как раз в день, когда Великобритания объявила войну Германии, новый одноместный «скаут» S.E.4 Генри Фолланда с ротативным мотором Гном «Моносупап 14-цилиндровый» мощностью 160 л. с. и четырехлопастным воздушным винтом, облетал строевой пилот RFC майор Салмон и заключил, что посадочная скорость 84 км/ч (вероятно, зависание элеронов не использовалось) слишком высока для среднего летчика. Тем не менее RAF S.E.4 был принят заказчиком, получил примитивный «камуфляж» и бортовой номер 628 (22792).</w:t>
      </w:r>
    </w:p>
    <w:p w14:paraId="5EC6576D" w14:textId="77777777" w:rsidR="00F34C3D" w:rsidRPr="00DE096C" w:rsidRDefault="00F34C3D" w:rsidP="00D45A46">
      <w:pPr>
        <w:jc w:val="both"/>
        <w:rPr>
          <w:bCs/>
          <w:color w:val="002060"/>
          <w:sz w:val="16"/>
          <w:szCs w:val="16"/>
        </w:rPr>
      </w:pPr>
    </w:p>
    <w:p w14:paraId="396B8047" w14:textId="77777777" w:rsidR="00F34C3D" w:rsidRPr="00DE096C" w:rsidRDefault="00F34C3D" w:rsidP="00D45A46">
      <w:pPr>
        <w:jc w:val="both"/>
        <w:rPr>
          <w:bCs/>
          <w:color w:val="002060"/>
          <w:sz w:val="16"/>
          <w:szCs w:val="16"/>
        </w:rPr>
      </w:pPr>
      <w:r w:rsidRPr="00DE096C">
        <w:rPr>
          <w:bCs/>
          <w:color w:val="002060"/>
          <w:sz w:val="16"/>
          <w:szCs w:val="16"/>
        </w:rPr>
        <w:t>22 июля (4 августа) 1914 Великобритания вступает в Первую мировую войну, объявляя войну Германии. В то время у Королевской военно-морской авиации имеется 52 гидросамолета , из которых только 26 находятся в рабочем состоянии, еще 46 находились в состоянии заказа. Нейтральная Италия имела 28 боеспособных самолетов и 18 военных самолетов в резерве. Италия вступит в войну на стороне союзников в мае 1915 года. 1 августа - Германия и Россия вступают в Первую мировую войну. 3 августа Франция и Бельгия вступают в Первую мировую войну, когда Германия вторгается в Бельгию и объявляет войну Франции. Императорский Германский флот арендует грузопассажирское судно Answald для преобразования в первый носитель гидросамолетов SMS Answald , обозначенная Flugzeugmutterschiff I (Airplane Mothership I) (20337).</w:t>
      </w:r>
    </w:p>
    <w:p w14:paraId="6C2505A6" w14:textId="77777777" w:rsidR="00F34C3D" w:rsidRPr="00DE096C" w:rsidRDefault="00F34C3D" w:rsidP="00D45A46">
      <w:pPr>
        <w:jc w:val="both"/>
        <w:rPr>
          <w:bCs/>
          <w:color w:val="002060"/>
          <w:sz w:val="16"/>
          <w:szCs w:val="16"/>
        </w:rPr>
      </w:pPr>
    </w:p>
    <w:p w14:paraId="7204032C" w14:textId="77777777" w:rsidR="00F34C3D" w:rsidRPr="00DE096C" w:rsidRDefault="00F34C3D" w:rsidP="00D45A46">
      <w:pPr>
        <w:jc w:val="both"/>
        <w:rPr>
          <w:bCs/>
          <w:i/>
          <w:color w:val="002060"/>
          <w:sz w:val="16"/>
          <w:szCs w:val="16"/>
        </w:rPr>
      </w:pPr>
      <w:r w:rsidRPr="00DE096C">
        <w:rPr>
          <w:bCs/>
          <w:i/>
          <w:color w:val="002060"/>
          <w:sz w:val="16"/>
          <w:szCs w:val="16"/>
        </w:rPr>
        <w:t>Авиация и воздухоплавание за рубежом:</w:t>
      </w:r>
    </w:p>
    <w:p w14:paraId="1EFA94F7" w14:textId="77777777" w:rsidR="00F34C3D" w:rsidRPr="00DE096C" w:rsidRDefault="00F34C3D" w:rsidP="00D45A46">
      <w:pPr>
        <w:jc w:val="both"/>
        <w:rPr>
          <w:bCs/>
          <w:color w:val="002060"/>
          <w:sz w:val="16"/>
          <w:szCs w:val="16"/>
        </w:rPr>
      </w:pPr>
    </w:p>
    <w:p w14:paraId="0E318374" w14:textId="77777777" w:rsidR="00F34C3D" w:rsidRPr="00DE096C" w:rsidRDefault="00F34C3D" w:rsidP="00D45A46">
      <w:pPr>
        <w:jc w:val="both"/>
        <w:rPr>
          <w:bCs/>
          <w:color w:val="002060"/>
          <w:sz w:val="16"/>
          <w:szCs w:val="16"/>
        </w:rPr>
      </w:pPr>
      <w:r w:rsidRPr="00DE096C">
        <w:rPr>
          <w:bCs/>
          <w:color w:val="002060"/>
          <w:sz w:val="16"/>
          <w:szCs w:val="16"/>
        </w:rPr>
        <w:t>22 июля (4 августа) 1914 линейные корабли австро-венгерского флота Erzherzog Franz Ferdinand, Radetzky и SMS Zrínyi перевозят по одной летающей лодке из Полы в залив Каттаро. На следующий день они проводят разведку границы с Черногорией. Это первые полеты морской авиации в Европе (20337).</w:t>
      </w:r>
    </w:p>
    <w:p w14:paraId="1C8CA3B4" w14:textId="77777777" w:rsidR="00F34C3D" w:rsidRPr="00DE096C" w:rsidRDefault="00F34C3D" w:rsidP="00D45A46">
      <w:pPr>
        <w:jc w:val="both"/>
        <w:rPr>
          <w:bCs/>
          <w:color w:val="002060"/>
          <w:sz w:val="16"/>
          <w:szCs w:val="16"/>
        </w:rPr>
      </w:pPr>
    </w:p>
    <w:p w14:paraId="33663D4F" w14:textId="77777777" w:rsidR="00887299" w:rsidRPr="00DE096C" w:rsidRDefault="00887299" w:rsidP="00D45A46">
      <w:pPr>
        <w:jc w:val="both"/>
        <w:rPr>
          <w:bCs/>
          <w:i/>
          <w:color w:val="002060"/>
          <w:sz w:val="16"/>
          <w:szCs w:val="16"/>
        </w:rPr>
      </w:pPr>
      <w:r w:rsidRPr="00DE096C">
        <w:rPr>
          <w:bCs/>
          <w:i/>
          <w:color w:val="002060"/>
          <w:sz w:val="16"/>
          <w:szCs w:val="16"/>
        </w:rPr>
        <w:t>За рубежом:</w:t>
      </w:r>
    </w:p>
    <w:p w14:paraId="744AD424" w14:textId="77777777" w:rsidR="00887299" w:rsidRPr="00DE096C" w:rsidRDefault="00887299" w:rsidP="00D45A46">
      <w:pPr>
        <w:jc w:val="both"/>
        <w:rPr>
          <w:bCs/>
          <w:color w:val="002060"/>
          <w:sz w:val="16"/>
          <w:szCs w:val="16"/>
        </w:rPr>
      </w:pPr>
    </w:p>
    <w:p w14:paraId="75B95E1D" w14:textId="54088C53" w:rsidR="00887299" w:rsidRPr="00DE096C" w:rsidRDefault="00887299" w:rsidP="00D45A46">
      <w:pPr>
        <w:jc w:val="both"/>
        <w:rPr>
          <w:bCs/>
          <w:color w:val="002060"/>
          <w:sz w:val="16"/>
          <w:szCs w:val="16"/>
        </w:rPr>
      </w:pPr>
      <w:r w:rsidRPr="00DE096C">
        <w:rPr>
          <w:bCs/>
          <w:color w:val="002060"/>
          <w:sz w:val="16"/>
          <w:szCs w:val="16"/>
        </w:rPr>
        <w:t>2</w:t>
      </w:r>
      <w:r w:rsidR="00F34C3D" w:rsidRPr="00DE096C">
        <w:rPr>
          <w:bCs/>
          <w:color w:val="002060"/>
          <w:sz w:val="16"/>
          <w:szCs w:val="16"/>
        </w:rPr>
        <w:t>2</w:t>
      </w:r>
      <w:r w:rsidRPr="00DE096C">
        <w:rPr>
          <w:bCs/>
          <w:color w:val="002060"/>
          <w:sz w:val="16"/>
          <w:szCs w:val="16"/>
        </w:rPr>
        <w:t xml:space="preserve"> июля (4 августа) в 1914 году используя в качестве главного повода для вступления в войну обращение Бельгии с просьбой о помощи, Великобритания объявила войну Германии. Днем ранее британское правительство потребовало от Германии не нарушать нейтралитета Бельгии. Срок ультиматума истекал в 11 часов по лондонскому времени, а в 11 часов 20 минут началась война (14973).</w:t>
      </w:r>
    </w:p>
    <w:p w14:paraId="635C743F" w14:textId="77777777" w:rsidR="00887299" w:rsidRPr="00DE096C" w:rsidRDefault="00887299" w:rsidP="00D45A46">
      <w:pPr>
        <w:jc w:val="both"/>
        <w:rPr>
          <w:bCs/>
          <w:color w:val="002060"/>
          <w:sz w:val="16"/>
          <w:szCs w:val="16"/>
        </w:rPr>
      </w:pPr>
    </w:p>
    <w:p w14:paraId="6CE47C83" w14:textId="764F64A5" w:rsidR="00887299" w:rsidRPr="00DE096C" w:rsidRDefault="00887299" w:rsidP="00D45A46">
      <w:pPr>
        <w:jc w:val="both"/>
        <w:rPr>
          <w:bCs/>
          <w:color w:val="002060"/>
          <w:sz w:val="16"/>
          <w:szCs w:val="16"/>
        </w:rPr>
      </w:pPr>
      <w:r w:rsidRPr="00DE096C">
        <w:rPr>
          <w:bCs/>
          <w:color w:val="002060"/>
          <w:sz w:val="16"/>
          <w:szCs w:val="16"/>
        </w:rPr>
        <w:t>2</w:t>
      </w:r>
      <w:r w:rsidR="00F34C3D" w:rsidRPr="00DE096C">
        <w:rPr>
          <w:bCs/>
          <w:color w:val="002060"/>
          <w:sz w:val="16"/>
          <w:szCs w:val="16"/>
        </w:rPr>
        <w:t>2</w:t>
      </w:r>
      <w:r w:rsidRPr="00DE096C">
        <w:rPr>
          <w:bCs/>
          <w:color w:val="002060"/>
          <w:sz w:val="16"/>
          <w:szCs w:val="16"/>
        </w:rPr>
        <w:t xml:space="preserve"> июля (4 августа) в 1914 году вводится в действие Акт о защите королевства в Англии. Акт предоставляет правительству чрезвычайные полномочия и временно ограничивает ряд гражданских прав и свобод. Вскоре профсоюзы объявят о прекращении на период войны стачек и забастовок (14973).</w:t>
      </w:r>
    </w:p>
    <w:p w14:paraId="14898F73" w14:textId="77777777" w:rsidR="00887299" w:rsidRPr="00DE096C" w:rsidRDefault="00887299" w:rsidP="00D45A46">
      <w:pPr>
        <w:jc w:val="both"/>
        <w:rPr>
          <w:bCs/>
          <w:color w:val="002060"/>
          <w:sz w:val="16"/>
          <w:szCs w:val="16"/>
        </w:rPr>
      </w:pPr>
    </w:p>
    <w:p w14:paraId="7C50EAF1" w14:textId="47E836F4" w:rsidR="00D34C3B" w:rsidRPr="00DE096C" w:rsidRDefault="00D34C3B" w:rsidP="00D45A46">
      <w:pPr>
        <w:jc w:val="both"/>
        <w:rPr>
          <w:bCs/>
          <w:color w:val="002060"/>
          <w:sz w:val="16"/>
          <w:szCs w:val="16"/>
        </w:rPr>
      </w:pPr>
      <w:r w:rsidRPr="00DE096C">
        <w:rPr>
          <w:bCs/>
          <w:color w:val="002060"/>
          <w:sz w:val="16"/>
          <w:szCs w:val="16"/>
        </w:rPr>
        <w:t>2</w:t>
      </w:r>
      <w:r w:rsidR="00F34C3D" w:rsidRPr="00DE096C">
        <w:rPr>
          <w:bCs/>
          <w:color w:val="002060"/>
          <w:sz w:val="16"/>
          <w:szCs w:val="16"/>
        </w:rPr>
        <w:t>2</w:t>
      </w:r>
      <w:r w:rsidRPr="00DE096C">
        <w:rPr>
          <w:bCs/>
          <w:color w:val="002060"/>
          <w:sz w:val="16"/>
          <w:szCs w:val="16"/>
        </w:rPr>
        <w:t xml:space="preserve"> июля (4 августа) 1914 года</w:t>
      </w:r>
      <w:r w:rsidR="00F34C3D" w:rsidRPr="00DE096C">
        <w:rPr>
          <w:bCs/>
          <w:color w:val="002060"/>
          <w:sz w:val="16"/>
          <w:szCs w:val="16"/>
        </w:rPr>
        <w:t xml:space="preserve"> Британия объявила войну Германии только</w:t>
      </w:r>
      <w:r w:rsidRPr="00DE096C">
        <w:rPr>
          <w:bCs/>
          <w:color w:val="002060"/>
          <w:sz w:val="16"/>
          <w:szCs w:val="16"/>
        </w:rPr>
        <w:t>, после того как германские войска перешли границу с Бельгией. Здесь есть смысл коснуться некоторых проблем, с которыми пришлось столкнуться Англии и которые имеют прямое отношение к теме нашего повествования. До Первой мировой войны все нападения на Великобританию начинались с моря. И это было естественно, учитывая ее островное положение. Многовековой опыт морских сражений принудил Англию создать огромный военно-морской флот, имеющий славные боевые традиции. Это обстоятельство вызывало у британцев законное чувство уверенности, что никакой враг не смеет приблизиться к берегам «туманного Альбиона» (11324).</w:t>
      </w:r>
    </w:p>
    <w:p w14:paraId="47521A49" w14:textId="77777777" w:rsidR="00D34C3B" w:rsidRPr="00DE096C" w:rsidRDefault="00D34C3B" w:rsidP="00D45A46">
      <w:pPr>
        <w:jc w:val="both"/>
        <w:rPr>
          <w:bCs/>
          <w:i/>
          <w:color w:val="002060"/>
          <w:sz w:val="16"/>
          <w:szCs w:val="16"/>
        </w:rPr>
      </w:pPr>
    </w:p>
    <w:p w14:paraId="33C72A60" w14:textId="7FF6B440" w:rsidR="00887299" w:rsidRPr="00DE096C" w:rsidRDefault="00887299" w:rsidP="00D45A46">
      <w:pPr>
        <w:jc w:val="both"/>
        <w:rPr>
          <w:bCs/>
          <w:color w:val="002060"/>
          <w:sz w:val="16"/>
          <w:szCs w:val="16"/>
        </w:rPr>
      </w:pPr>
      <w:r w:rsidRPr="00DE096C">
        <w:rPr>
          <w:bCs/>
          <w:color w:val="002060"/>
          <w:sz w:val="16"/>
          <w:szCs w:val="16"/>
        </w:rPr>
        <w:t>2</w:t>
      </w:r>
      <w:r w:rsidR="00F34C3D" w:rsidRPr="00DE096C">
        <w:rPr>
          <w:bCs/>
          <w:color w:val="002060"/>
          <w:sz w:val="16"/>
          <w:szCs w:val="16"/>
        </w:rPr>
        <w:t>2</w:t>
      </w:r>
      <w:r w:rsidRPr="00DE096C">
        <w:rPr>
          <w:bCs/>
          <w:color w:val="002060"/>
          <w:sz w:val="16"/>
          <w:szCs w:val="16"/>
        </w:rPr>
        <w:t xml:space="preserve"> июля (4 августа) в 1914 году вступление немецких войск на территорию нейтральной Бельгии (14973).</w:t>
      </w:r>
    </w:p>
    <w:p w14:paraId="7AB18621" w14:textId="77777777" w:rsidR="00887299" w:rsidRPr="00DE096C" w:rsidRDefault="00887299" w:rsidP="00D45A46">
      <w:pPr>
        <w:jc w:val="both"/>
        <w:rPr>
          <w:bCs/>
          <w:color w:val="002060"/>
          <w:sz w:val="16"/>
          <w:szCs w:val="16"/>
        </w:rPr>
      </w:pPr>
    </w:p>
    <w:p w14:paraId="0773975A" w14:textId="3396AB6D" w:rsidR="00887299" w:rsidRPr="00DE096C" w:rsidRDefault="00887299" w:rsidP="00D45A46">
      <w:pPr>
        <w:jc w:val="both"/>
        <w:rPr>
          <w:bCs/>
          <w:color w:val="002060"/>
          <w:sz w:val="16"/>
          <w:szCs w:val="16"/>
        </w:rPr>
      </w:pPr>
      <w:r w:rsidRPr="00DE096C">
        <w:rPr>
          <w:bCs/>
          <w:color w:val="002060"/>
          <w:sz w:val="16"/>
          <w:szCs w:val="16"/>
        </w:rPr>
        <w:t>2</w:t>
      </w:r>
      <w:r w:rsidR="00F34C3D" w:rsidRPr="00DE096C">
        <w:rPr>
          <w:bCs/>
          <w:color w:val="002060"/>
          <w:sz w:val="16"/>
          <w:szCs w:val="16"/>
        </w:rPr>
        <w:t>2</w:t>
      </w:r>
      <w:r w:rsidRPr="00DE096C">
        <w:rPr>
          <w:bCs/>
          <w:color w:val="002060"/>
          <w:sz w:val="16"/>
          <w:szCs w:val="16"/>
        </w:rPr>
        <w:t xml:space="preserve"> июля (4 августа) в 1914 году президент Вильсон объявляет о нейтралитете США по отношению к войне в Европе (14973).</w:t>
      </w:r>
    </w:p>
    <w:p w14:paraId="788218CE" w14:textId="77777777" w:rsidR="00887299" w:rsidRPr="00DE096C" w:rsidRDefault="00887299" w:rsidP="00D45A46">
      <w:pPr>
        <w:jc w:val="both"/>
        <w:rPr>
          <w:bCs/>
          <w:color w:val="002060"/>
          <w:sz w:val="16"/>
          <w:szCs w:val="16"/>
        </w:rPr>
      </w:pPr>
    </w:p>
    <w:p w14:paraId="5E40FFA2" w14:textId="77777777" w:rsidR="00F34C3D" w:rsidRPr="00DE096C" w:rsidRDefault="00F34C3D" w:rsidP="00D45A46">
      <w:pPr>
        <w:shd w:val="clear" w:color="auto" w:fill="FFFFFF"/>
        <w:jc w:val="both"/>
        <w:rPr>
          <w:bCs/>
          <w:i/>
          <w:color w:val="002060"/>
          <w:sz w:val="16"/>
          <w:szCs w:val="16"/>
        </w:rPr>
      </w:pPr>
      <w:r w:rsidRPr="00DE096C">
        <w:rPr>
          <w:bCs/>
          <w:i/>
          <w:color w:val="002060"/>
          <w:sz w:val="16"/>
          <w:szCs w:val="16"/>
        </w:rPr>
        <w:t>Авиация:</w:t>
      </w:r>
    </w:p>
    <w:p w14:paraId="7E9BD6F2" w14:textId="77777777" w:rsidR="00F34C3D" w:rsidRPr="00DE096C" w:rsidRDefault="00F34C3D" w:rsidP="00D45A46">
      <w:pPr>
        <w:shd w:val="clear" w:color="auto" w:fill="FFFFFF"/>
        <w:jc w:val="both"/>
        <w:rPr>
          <w:bCs/>
          <w:i/>
          <w:color w:val="002060"/>
          <w:sz w:val="16"/>
          <w:szCs w:val="16"/>
        </w:rPr>
      </w:pPr>
    </w:p>
    <w:p w14:paraId="3B91EDBD" w14:textId="13533152" w:rsidR="00F34C3D" w:rsidRPr="00DE096C" w:rsidRDefault="00F34C3D" w:rsidP="00D45A46">
      <w:pPr>
        <w:shd w:val="clear" w:color="auto" w:fill="FFFFFF"/>
        <w:jc w:val="both"/>
        <w:rPr>
          <w:bCs/>
          <w:color w:val="002060"/>
          <w:sz w:val="16"/>
          <w:szCs w:val="16"/>
        </w:rPr>
      </w:pPr>
      <w:r w:rsidRPr="00DE096C">
        <w:rPr>
          <w:bCs/>
          <w:color w:val="002060"/>
          <w:sz w:val="16"/>
          <w:szCs w:val="16"/>
        </w:rPr>
        <w:lastRenderedPageBreak/>
        <w:t>23 июля (5 августа) 1914 на корпусном аэродроме в Петербурге И. И. Сикорский начал вывозные полеты инструкторов Авиационного отдела ОВШ на самолетах «Илья Муромец» (1137).</w:t>
      </w:r>
    </w:p>
    <w:p w14:paraId="685A2DD2" w14:textId="77777777" w:rsidR="00F34C3D" w:rsidRPr="00DE096C" w:rsidRDefault="00F34C3D" w:rsidP="00D45A46">
      <w:pPr>
        <w:shd w:val="clear" w:color="auto" w:fill="FFFFFF"/>
        <w:jc w:val="both"/>
        <w:rPr>
          <w:bCs/>
          <w:color w:val="002060"/>
          <w:sz w:val="16"/>
          <w:szCs w:val="16"/>
        </w:rPr>
      </w:pPr>
    </w:p>
    <w:p w14:paraId="669CBA09" w14:textId="4F1AA5AB" w:rsidR="00F34C3D" w:rsidRPr="00DE096C" w:rsidRDefault="00F34C3D" w:rsidP="00D45A46">
      <w:pPr>
        <w:shd w:val="clear" w:color="auto" w:fill="FFFFFF"/>
        <w:jc w:val="both"/>
        <w:rPr>
          <w:bCs/>
          <w:color w:val="002060"/>
          <w:sz w:val="16"/>
          <w:szCs w:val="16"/>
        </w:rPr>
      </w:pPr>
      <w:r w:rsidRPr="00DE096C">
        <w:rPr>
          <w:bCs/>
          <w:color w:val="002060"/>
          <w:sz w:val="16"/>
          <w:szCs w:val="16"/>
        </w:rPr>
        <w:t>23 июля 1914г. на корпусном аэродроме в Петербурге И. И. Сикорский начал вывозные полеты инструкторов Авиационного отдела ОВШ на самолётах «Илья Муромец» (11425).</w:t>
      </w:r>
    </w:p>
    <w:p w14:paraId="2599E8ED" w14:textId="77777777" w:rsidR="00F34C3D" w:rsidRPr="00DE096C" w:rsidRDefault="00F34C3D" w:rsidP="00D45A46">
      <w:pPr>
        <w:shd w:val="clear" w:color="auto" w:fill="FFFFFF"/>
        <w:jc w:val="both"/>
        <w:rPr>
          <w:bCs/>
          <w:color w:val="002060"/>
          <w:sz w:val="16"/>
          <w:szCs w:val="16"/>
        </w:rPr>
      </w:pPr>
    </w:p>
    <w:p w14:paraId="146CE31A" w14:textId="77777777" w:rsidR="00D77E6C" w:rsidRPr="00B52707" w:rsidRDefault="00D77E6C" w:rsidP="00D77E6C">
      <w:pPr>
        <w:jc w:val="both"/>
        <w:rPr>
          <w:color w:val="0070C0"/>
          <w:sz w:val="16"/>
          <w:szCs w:val="16"/>
        </w:rPr>
      </w:pPr>
      <w:r w:rsidRPr="00B52707">
        <w:rPr>
          <w:color w:val="0070C0"/>
          <w:sz w:val="16"/>
          <w:szCs w:val="16"/>
        </w:rPr>
        <w:t>23 июля (5 августа) 1914 года ГВТУ вошло в Военный Совет с представлением о необходимости, в виду чрезвычайных обстоятельств, приобрести наличной покупкой у товари</w:t>
      </w:r>
      <w:r w:rsidRPr="00B52707">
        <w:rPr>
          <w:color w:val="0070C0"/>
          <w:sz w:val="16"/>
          <w:szCs w:val="16"/>
        </w:rPr>
        <w:softHyphen/>
        <w:t>щества бр. Нобель бензин, которое утверждено было Военным Советом 26 того же июля. Это утверждение представляло, впрочем, простую формальность, так как еще 22 июля ГВТУ, не сомневаясь в согласии Военного Совета на покупку бензина, поручило заведывавшему инженерными приемками принять от товарищества бр. Нобель без техни</w:t>
      </w:r>
      <w:r w:rsidRPr="00B52707">
        <w:rPr>
          <w:color w:val="0070C0"/>
          <w:sz w:val="16"/>
          <w:szCs w:val="16"/>
        </w:rPr>
        <w:softHyphen/>
        <w:t>ческих условий задержанный бензин, носивший название „специальный". Часть этого бензина, в количестве около 9.000 пудов (150 тн.), была принята воздухоплавательной приемной комиссией и отправлена в Осовецкий, Брест- Литовский, Новогеоргиевский, Киевский и Гродненский крепостные авиационные отряды, а также во 2 авиацион</w:t>
      </w:r>
      <w:r w:rsidRPr="00B52707">
        <w:rPr>
          <w:color w:val="0070C0"/>
          <w:sz w:val="16"/>
          <w:szCs w:val="16"/>
        </w:rPr>
        <w:softHyphen/>
        <w:t>ную роту.</w:t>
      </w:r>
    </w:p>
    <w:p w14:paraId="305120DB" w14:textId="77777777" w:rsidR="00D77E6C" w:rsidRPr="00B52707" w:rsidRDefault="00D77E6C" w:rsidP="00D77E6C">
      <w:pPr>
        <w:jc w:val="both"/>
        <w:rPr>
          <w:color w:val="0070C0"/>
          <w:sz w:val="16"/>
          <w:szCs w:val="16"/>
        </w:rPr>
      </w:pPr>
      <w:r w:rsidRPr="00B52707">
        <w:rPr>
          <w:color w:val="0070C0"/>
          <w:sz w:val="16"/>
          <w:szCs w:val="16"/>
        </w:rPr>
        <w:t>Из 25.000 пуд. задержанного „специального" бензина (бензина, который уже запродан был товариществу Российско - Аме</w:t>
      </w:r>
      <w:r w:rsidRPr="00B52707">
        <w:rPr>
          <w:color w:val="0070C0"/>
          <w:sz w:val="16"/>
          <w:szCs w:val="16"/>
        </w:rPr>
        <w:softHyphen/>
        <w:t>риканской резиновой мануфактуры (фирме „Треугольник")) разослано было в авиационные части только 9.000 пудов по той причине, что фирма „Треугольник" заявила протест против распоряжения о принудительном отчуждении всего задержанного бензина, ссылаясь на то, что последний не</w:t>
      </w:r>
      <w:r w:rsidRPr="00B52707">
        <w:rPr>
          <w:color w:val="0070C0"/>
          <w:sz w:val="16"/>
          <w:szCs w:val="16"/>
        </w:rPr>
        <w:softHyphen/>
        <w:t>обходим ей для выполнения срочных заказов военного ведомства. Вместе с тем, фирма предложила взамен „спе</w:t>
      </w:r>
      <w:r w:rsidRPr="00B52707">
        <w:rPr>
          <w:color w:val="0070C0"/>
          <w:sz w:val="16"/>
          <w:szCs w:val="16"/>
        </w:rPr>
        <w:softHyphen/>
        <w:t>циального" бензина доставить соответствующее количество имевшегося у нее американского бензина 1 сорта, если таковой окажется при испытании пригодным для авиацион</w:t>
      </w:r>
      <w:r w:rsidRPr="00B52707">
        <w:rPr>
          <w:color w:val="0070C0"/>
          <w:sz w:val="16"/>
          <w:szCs w:val="16"/>
        </w:rPr>
        <w:softHyphen/>
        <w:t>ных двигателей. ГВТУ из'явило согласие на это предло</w:t>
      </w:r>
      <w:r w:rsidRPr="00B52707">
        <w:rPr>
          <w:color w:val="0070C0"/>
          <w:sz w:val="16"/>
          <w:szCs w:val="16"/>
        </w:rPr>
        <w:softHyphen/>
        <w:t>жение, и в военно - авиационной школе было произведено практическое испытание бенвцна.</w:t>
      </w:r>
    </w:p>
    <w:p w14:paraId="3366452E" w14:textId="77777777" w:rsidR="00D77E6C" w:rsidRPr="00B52707" w:rsidRDefault="00D77E6C" w:rsidP="00D77E6C">
      <w:pPr>
        <w:jc w:val="both"/>
        <w:rPr>
          <w:color w:val="0070C0"/>
          <w:sz w:val="16"/>
          <w:szCs w:val="16"/>
        </w:rPr>
      </w:pPr>
      <w:r w:rsidRPr="00B52707">
        <w:rPr>
          <w:color w:val="0070C0"/>
          <w:sz w:val="16"/>
          <w:szCs w:val="16"/>
        </w:rPr>
        <w:t>Школа дала о бензине следующий отзыв: „Бензин, присланный для испытания, имеет удельный вес 0,722 — 0,724. При испытании мотор Гном в 60 сил работает до</w:t>
      </w:r>
      <w:r w:rsidRPr="00B52707">
        <w:rPr>
          <w:color w:val="0070C0"/>
          <w:sz w:val="16"/>
          <w:szCs w:val="16"/>
        </w:rPr>
        <w:softHyphen/>
        <w:t>статочно хорошо, повидимому, нагару будет больше, также как и при работе на бензине 2 сорта Нобеля. Вообще бензин пригоден для автомобилей и авиационных двигателей.</w:t>
      </w:r>
    </w:p>
    <w:p w14:paraId="7578C475" w14:textId="77777777" w:rsidR="00D77E6C" w:rsidRPr="00B52707" w:rsidRDefault="00D77E6C" w:rsidP="00D77E6C">
      <w:pPr>
        <w:jc w:val="both"/>
        <w:rPr>
          <w:color w:val="0070C0"/>
          <w:sz w:val="16"/>
          <w:szCs w:val="16"/>
        </w:rPr>
      </w:pPr>
      <w:r w:rsidRPr="00B52707">
        <w:rPr>
          <w:color w:val="0070C0"/>
          <w:sz w:val="16"/>
          <w:szCs w:val="16"/>
        </w:rPr>
        <w:t>После этого американский бензин в количестве 16.000 пудов (266,6 тн.) был принят и так же, как и 9.000 пу</w:t>
      </w:r>
      <w:r w:rsidRPr="00B52707">
        <w:rPr>
          <w:color w:val="0070C0"/>
          <w:sz w:val="16"/>
          <w:szCs w:val="16"/>
        </w:rPr>
        <w:softHyphen/>
        <w:t>дов специального бензина, разослан в авиационные части в период времени с 28 июля по 14 августа 1914 г.</w:t>
      </w:r>
    </w:p>
    <w:p w14:paraId="3515B909" w14:textId="77777777" w:rsidR="00D77E6C" w:rsidRPr="00B52707" w:rsidRDefault="00D77E6C" w:rsidP="00D77E6C">
      <w:pPr>
        <w:jc w:val="both"/>
        <w:rPr>
          <w:color w:val="0070C0"/>
          <w:sz w:val="16"/>
          <w:szCs w:val="16"/>
        </w:rPr>
      </w:pPr>
      <w:r w:rsidRPr="00B52707">
        <w:rPr>
          <w:color w:val="0070C0"/>
          <w:sz w:val="16"/>
          <w:szCs w:val="16"/>
        </w:rPr>
        <w:t>Но отправка 25.000 пудов бензина не могла удовлетво</w:t>
      </w:r>
      <w:r w:rsidRPr="00B52707">
        <w:rPr>
          <w:color w:val="0070C0"/>
          <w:sz w:val="16"/>
          <w:szCs w:val="16"/>
        </w:rPr>
        <w:softHyphen/>
        <w:t>рить па более или менее продолжительное время потребности наших авиационных частей, которые к половине августа должны были уже израсходовать значительное количество бензина, вследствие чего ГВТУ не могло ограничиться спешною заготовкою только 25.000 пудов бензина. При со</w:t>
      </w:r>
      <w:r w:rsidRPr="00B52707">
        <w:rPr>
          <w:color w:val="0070C0"/>
          <w:sz w:val="16"/>
          <w:szCs w:val="16"/>
        </w:rPr>
        <w:softHyphen/>
        <w:t>действии фирмы Нобель в июле месяце был намечен план снабжения действовавшей армии бензином, но фирма зая</w:t>
      </w:r>
      <w:r w:rsidRPr="00B52707">
        <w:rPr>
          <w:color w:val="0070C0"/>
          <w:sz w:val="16"/>
          <w:szCs w:val="16"/>
        </w:rPr>
        <w:softHyphen/>
        <w:t>вила, что она может приступить к осуществлению этого плана не ранее, как через 20 — 25 дней. Получилось весьма тяжелое положение, и только одно, совершенно случайное, обстоятельство помогло выйти из этого положения. ГВТУ от частных лиц узнало, что на Владикавказской железной дороге имеется большое количество бензина, предназначен</w:t>
      </w:r>
      <w:r w:rsidRPr="00B52707">
        <w:rPr>
          <w:color w:val="0070C0"/>
          <w:sz w:val="16"/>
          <w:szCs w:val="16"/>
        </w:rPr>
        <w:softHyphen/>
        <w:t>ного для вывоза во Францию. Получив это сведение, ГВТУ 22 июля обратилось к Начальнику военных сообщений ГУГШ с просьбой о задержании бензина, находившегося на Владикавказской и Закавказских железных дорогах. Как оказалось, задержанный бензин принадлежал обществу Грозненского нефтяного производства под фирмою: „И. А. Ахвердов“, контрагентом которого в г. Грозном состоял тот же Нобель. В виду этого, ГВТУ 11 августа 1914 года дало товариществу бр. Нобель наряд на отправку в армию 65 цистерн бензина 1 сорта, с удельным весом не выше 0,720 при 15° С (24923).</w:t>
      </w:r>
    </w:p>
    <w:p w14:paraId="1D6863EA" w14:textId="77777777" w:rsidR="00D77E6C" w:rsidRPr="00B52707" w:rsidRDefault="00D77E6C" w:rsidP="00D77E6C">
      <w:pPr>
        <w:jc w:val="both"/>
        <w:rPr>
          <w:color w:val="0070C0"/>
          <w:sz w:val="16"/>
          <w:szCs w:val="16"/>
        </w:rPr>
      </w:pPr>
    </w:p>
    <w:p w14:paraId="4C703136" w14:textId="77777777" w:rsidR="00D77E6C" w:rsidRPr="00B52707" w:rsidRDefault="00D77E6C" w:rsidP="00D77E6C">
      <w:pPr>
        <w:jc w:val="both"/>
        <w:rPr>
          <w:color w:val="0070C0"/>
          <w:sz w:val="16"/>
          <w:szCs w:val="16"/>
        </w:rPr>
      </w:pPr>
      <w:r w:rsidRPr="00B52707">
        <w:rPr>
          <w:color w:val="0070C0"/>
          <w:sz w:val="16"/>
          <w:szCs w:val="16"/>
        </w:rPr>
        <w:t>23 июля (5 августа) 1914 г. в полосе действующей армии был открыт боевой счет сбитым неприятельским ЛА наземными огневыми средствами. Германский аэроплан, летевший по направлению г. Вильковишки (Мариямпольский уезд), вблизи границы был сбит ружейными выстрелами нашей конницы. При падении аппарата экипаж (офицер-пилот и механик) получил легкие ранения (25135).</w:t>
      </w:r>
    </w:p>
    <w:p w14:paraId="071CB22C" w14:textId="77777777" w:rsidR="00D77E6C" w:rsidRPr="00B52707" w:rsidRDefault="00D77E6C" w:rsidP="00D77E6C">
      <w:pPr>
        <w:jc w:val="both"/>
        <w:rPr>
          <w:color w:val="0070C0"/>
          <w:sz w:val="16"/>
          <w:szCs w:val="16"/>
        </w:rPr>
      </w:pPr>
    </w:p>
    <w:p w14:paraId="72EBF562" w14:textId="77777777" w:rsidR="00D77E6C" w:rsidRPr="00B52707" w:rsidRDefault="00D77E6C" w:rsidP="00D77E6C">
      <w:pPr>
        <w:jc w:val="both"/>
        <w:rPr>
          <w:rStyle w:val="ab"/>
          <w:rFonts w:ascii="Times New Roman" w:hAnsi="Times New Roman"/>
          <w:color w:val="0070C0"/>
          <w:spacing w:val="0"/>
          <w:sz w:val="16"/>
          <w:szCs w:val="16"/>
        </w:rPr>
      </w:pPr>
      <w:r w:rsidRPr="00B52707">
        <w:rPr>
          <w:rStyle w:val="ab"/>
          <w:rFonts w:ascii="Times New Roman" w:hAnsi="Times New Roman"/>
          <w:color w:val="0070C0"/>
          <w:spacing w:val="0"/>
          <w:sz w:val="16"/>
          <w:szCs w:val="16"/>
        </w:rPr>
        <w:t>23 июля (5 августа) 1914 г., над городскими кварталами Риги пролетел немецкий аэроплан, с кабины которого разбрасывались прокламации (25166).</w:t>
      </w:r>
    </w:p>
    <w:p w14:paraId="6131A1AB" w14:textId="77777777" w:rsidR="00D77E6C" w:rsidRPr="00B52707" w:rsidRDefault="00D77E6C" w:rsidP="00D77E6C">
      <w:pPr>
        <w:jc w:val="both"/>
        <w:rPr>
          <w:rStyle w:val="ab"/>
          <w:rFonts w:ascii="Times New Roman" w:hAnsi="Times New Roman"/>
          <w:color w:val="0070C0"/>
          <w:spacing w:val="0"/>
          <w:sz w:val="16"/>
          <w:szCs w:val="16"/>
        </w:rPr>
      </w:pPr>
    </w:p>
    <w:p w14:paraId="1C899707" w14:textId="77777777" w:rsidR="00F34C3D" w:rsidRPr="00DE096C" w:rsidRDefault="00F34C3D" w:rsidP="00D45A46">
      <w:pPr>
        <w:shd w:val="clear" w:color="auto" w:fill="FFFFFF"/>
        <w:jc w:val="both"/>
        <w:rPr>
          <w:bCs/>
          <w:i/>
          <w:color w:val="002060"/>
          <w:sz w:val="16"/>
          <w:szCs w:val="16"/>
        </w:rPr>
      </w:pPr>
      <w:r w:rsidRPr="00DE096C">
        <w:rPr>
          <w:bCs/>
          <w:i/>
          <w:color w:val="002060"/>
          <w:sz w:val="16"/>
          <w:szCs w:val="16"/>
        </w:rPr>
        <w:t>Морская авиация:</w:t>
      </w:r>
    </w:p>
    <w:p w14:paraId="6573B398" w14:textId="77777777" w:rsidR="00F34C3D" w:rsidRPr="00DE096C" w:rsidRDefault="00F34C3D" w:rsidP="00D45A46">
      <w:pPr>
        <w:shd w:val="clear" w:color="auto" w:fill="FFFFFF"/>
        <w:jc w:val="both"/>
        <w:rPr>
          <w:bCs/>
          <w:i/>
          <w:color w:val="002060"/>
          <w:sz w:val="16"/>
          <w:szCs w:val="16"/>
        </w:rPr>
      </w:pPr>
    </w:p>
    <w:p w14:paraId="22BDB612" w14:textId="29960C62" w:rsidR="00F34C3D" w:rsidRPr="00DE096C" w:rsidRDefault="00F34C3D" w:rsidP="00D45A46">
      <w:pPr>
        <w:shd w:val="clear" w:color="auto" w:fill="FFFFFF"/>
        <w:jc w:val="both"/>
        <w:rPr>
          <w:bCs/>
          <w:color w:val="002060"/>
          <w:sz w:val="16"/>
          <w:szCs w:val="16"/>
        </w:rPr>
      </w:pPr>
      <w:r w:rsidRPr="00DE096C">
        <w:rPr>
          <w:bCs/>
          <w:color w:val="002060"/>
          <w:sz w:val="16"/>
          <w:szCs w:val="16"/>
        </w:rPr>
        <w:t>23 июля (5 августа) 1914 года</w:t>
      </w:r>
      <w:r w:rsidR="00E61531" w:rsidRPr="00DE096C">
        <w:rPr>
          <w:bCs/>
          <w:color w:val="002060"/>
          <w:sz w:val="16"/>
          <w:szCs w:val="16"/>
        </w:rPr>
        <w:t xml:space="preserve"> вышло</w:t>
      </w:r>
      <w:r w:rsidRPr="00DE096C">
        <w:rPr>
          <w:bCs/>
          <w:color w:val="002060"/>
          <w:sz w:val="16"/>
          <w:szCs w:val="16"/>
        </w:rPr>
        <w:t xml:space="preserve"> постановлению Адмиралтейств – Совета</w:t>
      </w:r>
      <w:r w:rsidR="00E61531" w:rsidRPr="00DE096C">
        <w:rPr>
          <w:bCs/>
          <w:color w:val="002060"/>
          <w:sz w:val="16"/>
          <w:szCs w:val="16"/>
        </w:rPr>
        <w:t xml:space="preserve"> о «Положе</w:t>
      </w:r>
      <w:r w:rsidR="00E61531" w:rsidRPr="00DE096C">
        <w:rPr>
          <w:bCs/>
          <w:color w:val="002060"/>
          <w:sz w:val="16"/>
          <w:szCs w:val="16"/>
        </w:rPr>
        <w:softHyphen/>
        <w:t>нии о службе связи и службе авиации»</w:t>
      </w:r>
      <w:r w:rsidRPr="00DE096C">
        <w:rPr>
          <w:bCs/>
          <w:color w:val="002060"/>
          <w:sz w:val="16"/>
          <w:szCs w:val="16"/>
        </w:rPr>
        <w:t xml:space="preserve">, </w:t>
      </w:r>
      <w:r w:rsidR="00E61531" w:rsidRPr="00DE096C">
        <w:rPr>
          <w:bCs/>
          <w:color w:val="002060"/>
          <w:sz w:val="16"/>
          <w:szCs w:val="16"/>
        </w:rPr>
        <w:t xml:space="preserve">которое </w:t>
      </w:r>
      <w:r w:rsidRPr="00DE096C">
        <w:rPr>
          <w:bCs/>
          <w:color w:val="002060"/>
          <w:sz w:val="16"/>
          <w:szCs w:val="16"/>
        </w:rPr>
        <w:t>император Николай II вскоре утвердил. Спустя неделю Герма</w:t>
      </w:r>
      <w:r w:rsidRPr="00DE096C">
        <w:rPr>
          <w:bCs/>
          <w:color w:val="002060"/>
          <w:sz w:val="16"/>
          <w:szCs w:val="16"/>
        </w:rPr>
        <w:softHyphen/>
        <w:t>ния объявила России войну, и в Прибалтике начались боевые действия.</w:t>
      </w:r>
    </w:p>
    <w:p w14:paraId="62FEA0EF" w14:textId="77777777" w:rsidR="00F34C3D" w:rsidRPr="00DE096C" w:rsidRDefault="00F34C3D" w:rsidP="00D45A46">
      <w:pPr>
        <w:shd w:val="clear" w:color="auto" w:fill="FFFFFF"/>
        <w:jc w:val="both"/>
        <w:rPr>
          <w:bCs/>
          <w:color w:val="002060"/>
          <w:sz w:val="16"/>
          <w:szCs w:val="16"/>
        </w:rPr>
      </w:pPr>
      <w:r w:rsidRPr="00DE096C">
        <w:rPr>
          <w:bCs/>
          <w:color w:val="002060"/>
          <w:sz w:val="16"/>
          <w:szCs w:val="16"/>
        </w:rPr>
        <w:t>Об утверждении этого «Положения» морской министр объя</w:t>
      </w:r>
      <w:r w:rsidRPr="00DE096C">
        <w:rPr>
          <w:bCs/>
          <w:color w:val="002060"/>
          <w:sz w:val="16"/>
          <w:szCs w:val="16"/>
        </w:rPr>
        <w:softHyphen/>
        <w:t>вил в своем приказе по Флоту и Морскому ведомству № 269 от 16 августа 1914 года. Непосредственное отношение к службе авиации в «Положении» имело лишь пять статей. Наиболь</w:t>
      </w:r>
      <w:r w:rsidRPr="00DE096C">
        <w:rPr>
          <w:bCs/>
          <w:color w:val="002060"/>
          <w:sz w:val="16"/>
          <w:szCs w:val="16"/>
        </w:rPr>
        <w:softHyphen/>
        <w:t>шую важность представляли 2-я и 4-я статьи, где ответствен</w:t>
      </w:r>
      <w:r w:rsidRPr="00DE096C">
        <w:rPr>
          <w:bCs/>
          <w:color w:val="002060"/>
          <w:sz w:val="16"/>
          <w:szCs w:val="16"/>
        </w:rPr>
        <w:softHyphen/>
        <w:t>ность за развитие авиации возлагалась на Морской генераль</w:t>
      </w:r>
      <w:r w:rsidRPr="00DE096C">
        <w:rPr>
          <w:bCs/>
          <w:color w:val="002060"/>
          <w:sz w:val="16"/>
          <w:szCs w:val="16"/>
        </w:rPr>
        <w:softHyphen/>
        <w:t>ный штаб и определялись его полномочия, а руководство ее боевым использованием предоставлялось командующим фло</w:t>
      </w:r>
      <w:r w:rsidRPr="00DE096C">
        <w:rPr>
          <w:bCs/>
          <w:color w:val="002060"/>
          <w:sz w:val="16"/>
          <w:szCs w:val="16"/>
        </w:rPr>
        <w:softHyphen/>
        <w:t>тами.</w:t>
      </w:r>
    </w:p>
    <w:p w14:paraId="5D70ED34" w14:textId="77777777" w:rsidR="00F34C3D" w:rsidRPr="00DE096C" w:rsidRDefault="00F34C3D" w:rsidP="00D45A46">
      <w:pPr>
        <w:shd w:val="clear" w:color="auto" w:fill="FFFFFF"/>
        <w:jc w:val="both"/>
        <w:rPr>
          <w:bCs/>
          <w:color w:val="002060"/>
          <w:sz w:val="16"/>
          <w:szCs w:val="16"/>
        </w:rPr>
      </w:pPr>
      <w:r w:rsidRPr="00DE096C">
        <w:rPr>
          <w:bCs/>
          <w:color w:val="002060"/>
          <w:sz w:val="16"/>
          <w:szCs w:val="16"/>
        </w:rPr>
        <w:t>Таким образом, в предвоенный период развитие отечествен</w:t>
      </w:r>
      <w:r w:rsidRPr="00DE096C">
        <w:rPr>
          <w:bCs/>
          <w:color w:val="002060"/>
          <w:sz w:val="16"/>
          <w:szCs w:val="16"/>
        </w:rPr>
        <w:softHyphen/>
        <w:t>ной морской авиации было направлено по верному пути, но шло недопустимо медленными темпами. Главная причина этого заключалась в неверной оценке потенциальных возможнос</w:t>
      </w:r>
      <w:r w:rsidRPr="00DE096C">
        <w:rPr>
          <w:bCs/>
          <w:color w:val="002060"/>
          <w:sz w:val="16"/>
          <w:szCs w:val="16"/>
        </w:rPr>
        <w:softHyphen/>
        <w:t>тей гидроаэропланов, тактико-технические характеристики которых улучшались довольно быстро. В результате Морское ведомство не проявило должного интереса к установлению де</w:t>
      </w:r>
      <w:r w:rsidRPr="00DE096C">
        <w:rPr>
          <w:bCs/>
          <w:color w:val="002060"/>
          <w:sz w:val="16"/>
          <w:szCs w:val="16"/>
        </w:rPr>
        <w:softHyphen/>
        <w:t>ловых отношений с появившимися русскими авиазаводами, как это сделало Военное ведомство. По его заказам в период с осени 1912 по весну 1914 годов только петербургский завод Щетинина изготовил 87 «НьюпоровЛУ» и 36 «Фарманов-У1». Другие заводы тоже неохотно брались за постройку аэропла</w:t>
      </w:r>
      <w:r w:rsidRPr="00DE096C">
        <w:rPr>
          <w:bCs/>
          <w:color w:val="002060"/>
          <w:sz w:val="16"/>
          <w:szCs w:val="16"/>
        </w:rPr>
        <w:softHyphen/>
        <w:t>нов русских конструкций, предпочитая пользоваться чертежа</w:t>
      </w:r>
      <w:r w:rsidRPr="00DE096C">
        <w:rPr>
          <w:bCs/>
          <w:color w:val="002060"/>
          <w:sz w:val="16"/>
          <w:szCs w:val="16"/>
        </w:rPr>
        <w:softHyphen/>
        <w:t>ми зарубежных фирм и зачастую собирали аэропланы из куп</w:t>
      </w:r>
      <w:r w:rsidRPr="00DE096C">
        <w:rPr>
          <w:bCs/>
          <w:color w:val="002060"/>
          <w:sz w:val="16"/>
          <w:szCs w:val="16"/>
        </w:rPr>
        <w:softHyphen/>
        <w:t>ленных у них деталей. Тем не менее, к началу Первой мировой войны русская армия имела 39 авиаотрядов с 228 аэроплана</w:t>
      </w:r>
      <w:r w:rsidRPr="00DE096C">
        <w:rPr>
          <w:bCs/>
          <w:color w:val="002060"/>
          <w:sz w:val="16"/>
          <w:szCs w:val="16"/>
        </w:rPr>
        <w:softHyphen/>
        <w:t>ми и почти 200 более или менее подготовленных пилотов.</w:t>
      </w:r>
    </w:p>
    <w:p w14:paraId="5048D1CF" w14:textId="77777777" w:rsidR="00F34C3D" w:rsidRPr="00DE096C" w:rsidRDefault="00F34C3D" w:rsidP="00D45A46">
      <w:pPr>
        <w:shd w:val="clear" w:color="auto" w:fill="FFFFFF"/>
        <w:jc w:val="both"/>
        <w:rPr>
          <w:bCs/>
          <w:color w:val="002060"/>
          <w:sz w:val="16"/>
          <w:szCs w:val="16"/>
        </w:rPr>
      </w:pPr>
      <w:r w:rsidRPr="00DE096C">
        <w:rPr>
          <w:bCs/>
          <w:color w:val="002060"/>
          <w:sz w:val="16"/>
          <w:szCs w:val="16"/>
        </w:rPr>
        <w:t>Допущенные Морским генеральным штабом и другими структурами Морского министерства просчеты привели к тому, что Балтийский и Черноморский флоты в первый период вой</w:t>
      </w:r>
      <w:r w:rsidRPr="00DE096C">
        <w:rPr>
          <w:bCs/>
          <w:color w:val="002060"/>
          <w:sz w:val="16"/>
          <w:szCs w:val="16"/>
        </w:rPr>
        <w:softHyphen/>
        <w:t>ны имели ограниченные авиационные силы, не справлявшие</w:t>
      </w:r>
      <w:r w:rsidRPr="00DE096C">
        <w:rPr>
          <w:bCs/>
          <w:color w:val="002060"/>
          <w:sz w:val="16"/>
          <w:szCs w:val="16"/>
        </w:rPr>
        <w:softHyphen/>
        <w:t>ся со все возрастающими масштабами действий, испытываю</w:t>
      </w:r>
      <w:r w:rsidRPr="00DE096C">
        <w:rPr>
          <w:bCs/>
          <w:color w:val="002060"/>
          <w:sz w:val="16"/>
          <w:szCs w:val="16"/>
        </w:rPr>
        <w:softHyphen/>
        <w:t>щие постоянные трудности с материально-техническим обеспечением.</w:t>
      </w:r>
    </w:p>
    <w:p w14:paraId="14A5DDF3" w14:textId="77777777" w:rsidR="00F34C3D" w:rsidRPr="00DE096C" w:rsidRDefault="00F34C3D" w:rsidP="00D45A46">
      <w:pPr>
        <w:shd w:val="clear" w:color="auto" w:fill="FFFFFF"/>
        <w:jc w:val="both"/>
        <w:rPr>
          <w:bCs/>
          <w:color w:val="002060"/>
          <w:sz w:val="16"/>
          <w:szCs w:val="16"/>
        </w:rPr>
      </w:pPr>
      <w:r w:rsidRPr="00DE096C">
        <w:rPr>
          <w:bCs/>
          <w:color w:val="002060"/>
          <w:sz w:val="16"/>
          <w:szCs w:val="16"/>
        </w:rPr>
        <w:t>В официальных документах такое положение сглаживалось и замалчивалось различными способами. Так, например, во «Все-подданейшем докладе по Морскому министерству за 1914 год» сказано буквально следующее. «Деятельность службы связи и морской авиации во всех морях продолжали свое развитие, при</w:t>
      </w:r>
      <w:r w:rsidRPr="00DE096C">
        <w:rPr>
          <w:bCs/>
          <w:color w:val="002060"/>
          <w:sz w:val="16"/>
          <w:szCs w:val="16"/>
        </w:rPr>
        <w:softHyphen/>
        <w:t>чем эта отрасль морской службы получила в истекшем году надлежащую организацию». В большом разделе доклада, посвященном судостроению и технике, о количественном и качественном состоянии морской авиации даже не упомя</w:t>
      </w:r>
      <w:r w:rsidRPr="00DE096C">
        <w:rPr>
          <w:bCs/>
          <w:color w:val="002060"/>
          <w:sz w:val="16"/>
          <w:szCs w:val="16"/>
        </w:rPr>
        <w:softHyphen/>
        <w:t>нуто.</w:t>
      </w:r>
    </w:p>
    <w:p w14:paraId="3A406E65" w14:textId="77777777" w:rsidR="00F34C3D" w:rsidRPr="00DE096C" w:rsidRDefault="00F34C3D" w:rsidP="00D45A46">
      <w:pPr>
        <w:shd w:val="clear" w:color="auto" w:fill="FFFFFF"/>
        <w:jc w:val="both"/>
        <w:rPr>
          <w:bCs/>
          <w:color w:val="002060"/>
          <w:sz w:val="16"/>
          <w:szCs w:val="16"/>
        </w:rPr>
      </w:pPr>
      <w:r w:rsidRPr="00DE096C">
        <w:rPr>
          <w:bCs/>
          <w:color w:val="002060"/>
          <w:sz w:val="16"/>
          <w:szCs w:val="16"/>
        </w:rPr>
        <w:t>Следует заметить, что руководство Морского министерства не предприняло далее попытки устройства возле Архангельс</w:t>
      </w:r>
      <w:r w:rsidRPr="00DE096C">
        <w:rPr>
          <w:bCs/>
          <w:color w:val="002060"/>
          <w:sz w:val="16"/>
          <w:szCs w:val="16"/>
        </w:rPr>
        <w:softHyphen/>
        <w:t>ка малой воздушной станции и формирования там заполяр</w:t>
      </w:r>
      <w:r w:rsidRPr="00DE096C">
        <w:rPr>
          <w:bCs/>
          <w:color w:val="002060"/>
          <w:sz w:val="16"/>
          <w:szCs w:val="16"/>
        </w:rPr>
        <w:softHyphen/>
        <w:t>ного авиаотряда в интересах обеспечения значительных воен</w:t>
      </w:r>
      <w:r w:rsidRPr="00DE096C">
        <w:rPr>
          <w:bCs/>
          <w:color w:val="002060"/>
          <w:sz w:val="16"/>
          <w:szCs w:val="16"/>
        </w:rPr>
        <w:softHyphen/>
        <w:t>ных перевозок союзниками преимущественно на своих транспортных судах. Между тем, возможность применения авиации в Арктике на примитивном еще аэроплане без необ</w:t>
      </w:r>
      <w:r w:rsidRPr="00DE096C">
        <w:rPr>
          <w:bCs/>
          <w:color w:val="002060"/>
          <w:sz w:val="16"/>
          <w:szCs w:val="16"/>
        </w:rPr>
        <w:softHyphen/>
        <w:t>ходимых приборов была доказана на конкретном примере (11283).</w:t>
      </w:r>
    </w:p>
    <w:p w14:paraId="54D7FE98" w14:textId="77777777" w:rsidR="00F34C3D" w:rsidRPr="00DE096C" w:rsidRDefault="00F34C3D" w:rsidP="00D45A46">
      <w:pPr>
        <w:shd w:val="clear" w:color="auto" w:fill="FFFFFF"/>
        <w:jc w:val="both"/>
        <w:rPr>
          <w:bCs/>
          <w:color w:val="002060"/>
          <w:sz w:val="16"/>
          <w:szCs w:val="16"/>
        </w:rPr>
      </w:pPr>
    </w:p>
    <w:p w14:paraId="7D4EE841" w14:textId="77777777" w:rsidR="00F34C3D" w:rsidRPr="00DE096C" w:rsidRDefault="00F34C3D" w:rsidP="00D45A46">
      <w:pPr>
        <w:shd w:val="clear" w:color="auto" w:fill="FFFFFF"/>
        <w:jc w:val="both"/>
        <w:rPr>
          <w:bCs/>
          <w:i/>
          <w:color w:val="002060"/>
          <w:sz w:val="16"/>
          <w:szCs w:val="16"/>
        </w:rPr>
      </w:pPr>
      <w:r w:rsidRPr="00DE096C">
        <w:rPr>
          <w:bCs/>
          <w:i/>
          <w:color w:val="002060"/>
          <w:sz w:val="16"/>
          <w:szCs w:val="16"/>
        </w:rPr>
        <w:t>Авиация и воздухоплавание Германии:</w:t>
      </w:r>
    </w:p>
    <w:p w14:paraId="5730FA0D" w14:textId="77777777" w:rsidR="00F34C3D" w:rsidRPr="00DE096C" w:rsidRDefault="00F34C3D" w:rsidP="00D45A46">
      <w:pPr>
        <w:shd w:val="clear" w:color="auto" w:fill="FFFFFF"/>
        <w:jc w:val="both"/>
        <w:rPr>
          <w:bCs/>
          <w:i/>
          <w:color w:val="002060"/>
          <w:sz w:val="16"/>
          <w:szCs w:val="16"/>
        </w:rPr>
      </w:pPr>
    </w:p>
    <w:p w14:paraId="0CF5A90E" w14:textId="77777777" w:rsidR="00F34C3D" w:rsidRPr="00DE096C" w:rsidRDefault="00F34C3D" w:rsidP="00D45A46">
      <w:pPr>
        <w:jc w:val="both"/>
        <w:rPr>
          <w:bCs/>
          <w:color w:val="002060"/>
          <w:sz w:val="16"/>
          <w:szCs w:val="16"/>
        </w:rPr>
      </w:pPr>
      <w:r w:rsidRPr="00DE096C">
        <w:rPr>
          <w:bCs/>
          <w:color w:val="002060"/>
          <w:sz w:val="16"/>
          <w:szCs w:val="16"/>
        </w:rPr>
        <w:t>23 июля (5 августа) 1914</w:t>
      </w:r>
      <w:r w:rsidRPr="00DE096C">
        <w:rPr>
          <w:rFonts w:eastAsia="Times-Roman"/>
          <w:bCs/>
          <w:color w:val="002060"/>
          <w:sz w:val="16"/>
          <w:szCs w:val="16"/>
        </w:rPr>
        <w:t>L</w:t>
      </w:r>
      <w:r w:rsidRPr="00DE096C">
        <w:rPr>
          <w:bCs/>
          <w:color w:val="002060"/>
          <w:sz w:val="16"/>
          <w:szCs w:val="16"/>
        </w:rPr>
        <w:t>Z-6 нанес бомбовый удар по крепости Льежа. Вслед за этим были бомбардированы крепости Антверпена, склады Остенде, Кале и работавшие на оборону заводы Нанси. На востоке были нанесены бомбовые удары по лагерям противника близ Гумбинена, Норденбурга, Инстербурга, Белостока, Лыка, а также Мульдзена, Варшавской крепости и Млавы. Совместные действия нескольких дирижаблей были затруднены удаленностью их баз друг от друга. Тем не менее, противник опасался боевой деятельности наших дирижаблей, как показывает его налет на эллинги в Дюссельдорфе и на верфи в Фридрихсгафене (11282).</w:t>
      </w:r>
    </w:p>
    <w:p w14:paraId="476339E1" w14:textId="77777777" w:rsidR="00F34C3D" w:rsidRPr="00DE096C" w:rsidRDefault="00F34C3D" w:rsidP="00D45A46">
      <w:pPr>
        <w:jc w:val="both"/>
        <w:rPr>
          <w:bCs/>
          <w:color w:val="002060"/>
          <w:sz w:val="16"/>
          <w:szCs w:val="16"/>
        </w:rPr>
      </w:pPr>
    </w:p>
    <w:p w14:paraId="44B044A1" w14:textId="51B86434" w:rsidR="00F34C3D" w:rsidRPr="00DE096C" w:rsidRDefault="00F34C3D" w:rsidP="00D45A46">
      <w:pPr>
        <w:jc w:val="both"/>
        <w:rPr>
          <w:bCs/>
          <w:color w:val="002060"/>
          <w:sz w:val="16"/>
          <w:szCs w:val="16"/>
        </w:rPr>
      </w:pPr>
      <w:r w:rsidRPr="00DE096C">
        <w:rPr>
          <w:bCs/>
          <w:color w:val="002060"/>
          <w:sz w:val="16"/>
          <w:szCs w:val="16"/>
        </w:rPr>
        <w:t>23 июля (5 августа) 1914 утром к коменданту Льежа генералу Ле- ману явились парламентеры с предложением пропустить германские войска через город, но вновь получили категорический отказ.</w:t>
      </w:r>
    </w:p>
    <w:p w14:paraId="3945B0CD" w14:textId="77777777" w:rsidR="00F34C3D" w:rsidRPr="00DE096C" w:rsidRDefault="00F34C3D" w:rsidP="00D45A46">
      <w:pPr>
        <w:jc w:val="both"/>
        <w:rPr>
          <w:bCs/>
          <w:color w:val="002060"/>
          <w:sz w:val="16"/>
          <w:szCs w:val="16"/>
        </w:rPr>
      </w:pPr>
      <w:r w:rsidRPr="00DE096C">
        <w:rPr>
          <w:bCs/>
          <w:color w:val="002060"/>
          <w:sz w:val="16"/>
          <w:szCs w:val="16"/>
        </w:rPr>
        <w:t>Обеспокоенный задержкой у Льежа, дававшей возможность французской армии беспрепятственно закончить мобилизацию и двинуть большую армию к бельгийской границе, император Вильгельм сделал попытку склонить короля Альберта к заключению мира. Король Альберт отверг предложения германского правительства и обратился к защитникам Льежа: "Независимости нашей страны угрожает опасность. Но я всецело полагаюсь на ваши полки. Я вам доверяю эти знамена, символы независимости страны, и приглашаю полки сплотиться вокруг них... Я всецело предан нашей прекрасной национальной армии. Душой и сердцем я с вами!"</w:t>
      </w:r>
    </w:p>
    <w:p w14:paraId="419C79EC" w14:textId="77777777" w:rsidR="00F34C3D" w:rsidRPr="00DE096C" w:rsidRDefault="00F34C3D" w:rsidP="00D45A46">
      <w:pPr>
        <w:jc w:val="both"/>
        <w:rPr>
          <w:bCs/>
          <w:color w:val="002060"/>
          <w:sz w:val="16"/>
          <w:szCs w:val="16"/>
        </w:rPr>
      </w:pPr>
      <w:r w:rsidRPr="00DE096C">
        <w:rPr>
          <w:bCs/>
          <w:color w:val="002060"/>
          <w:sz w:val="16"/>
          <w:szCs w:val="16"/>
        </w:rPr>
        <w:t>Авангарды кавалерийского корпуса фон Марвица переходят Маас. Начато обложение Льежа и обстрел его фортов 210-мм артиллерией. Германские военные пригрозили разрушить город бомбардировками, если форты не сложат оружие.</w:t>
      </w:r>
    </w:p>
    <w:p w14:paraId="2AFE1738" w14:textId="77777777" w:rsidR="00F34C3D" w:rsidRPr="00DE096C" w:rsidRDefault="00F34C3D" w:rsidP="00D45A46">
      <w:pPr>
        <w:jc w:val="both"/>
        <w:rPr>
          <w:bCs/>
          <w:color w:val="002060"/>
          <w:sz w:val="16"/>
          <w:szCs w:val="16"/>
        </w:rPr>
      </w:pPr>
      <w:r w:rsidRPr="00DE096C">
        <w:rPr>
          <w:bCs/>
          <w:color w:val="002060"/>
          <w:sz w:val="16"/>
          <w:szCs w:val="16"/>
        </w:rPr>
        <w:t>Передовые германские разъезды появились под Намюром.</w:t>
      </w:r>
    </w:p>
    <w:p w14:paraId="70CD99EE" w14:textId="77777777" w:rsidR="00F34C3D" w:rsidRPr="00DE096C" w:rsidRDefault="00F34C3D" w:rsidP="00D45A46">
      <w:pPr>
        <w:jc w:val="both"/>
        <w:rPr>
          <w:bCs/>
          <w:color w:val="002060"/>
          <w:sz w:val="16"/>
          <w:szCs w:val="16"/>
        </w:rPr>
      </w:pPr>
      <w:r w:rsidRPr="00DE096C">
        <w:rPr>
          <w:bCs/>
          <w:color w:val="002060"/>
          <w:sz w:val="16"/>
          <w:szCs w:val="16"/>
        </w:rPr>
        <w:t>В этот день германский цеппелин Z-VI произвел разведку и бомбардировку крепости Льеж.</w:t>
      </w:r>
    </w:p>
    <w:p w14:paraId="1A973075" w14:textId="0793A9A5" w:rsidR="00F34C3D" w:rsidRPr="00DE096C" w:rsidRDefault="00F34C3D" w:rsidP="00D45A46">
      <w:pPr>
        <w:jc w:val="both"/>
        <w:rPr>
          <w:bCs/>
          <w:color w:val="002060"/>
          <w:sz w:val="16"/>
          <w:szCs w:val="16"/>
        </w:rPr>
      </w:pPr>
      <w:r w:rsidRPr="00DE096C">
        <w:rPr>
          <w:bCs/>
          <w:color w:val="002060"/>
          <w:sz w:val="16"/>
          <w:szCs w:val="16"/>
        </w:rPr>
        <w:t>Из записок очевидца</w:t>
      </w:r>
      <w:r w:rsidR="0006581C">
        <w:rPr>
          <w:bCs/>
          <w:color w:val="002060"/>
          <w:sz w:val="16"/>
          <w:szCs w:val="16"/>
        </w:rPr>
        <w:t xml:space="preserve"> </w:t>
      </w:r>
      <w:r w:rsidRPr="00DE096C">
        <w:rPr>
          <w:bCs/>
          <w:color w:val="002060"/>
          <w:sz w:val="16"/>
          <w:szCs w:val="16"/>
        </w:rPr>
        <w:t>осады Льежа: "Один инцидент, разыгравшийся в самом начале, свидетельствует о том, каким образом слагаются легенды в осажденных городах. Мой сосед Т. прибежал к нам и рассказал о виденной им перестрелке между цеппелином и фортами, о том, как обстреливали цеппелин с аэроплана и как произошел взрыв. Он сам видел, что аэроплан остался невредим. Несколько недель спустя я прочел в газете "Тайме" описание того же случая... Корреспондент "Тайме" видел двух бельгийских летчиков, которых сперва обстреляла германская авиация, а потом вслед за ней и оба форта, приняв их за неприятельских авиаторов".</w:t>
      </w:r>
    </w:p>
    <w:p w14:paraId="352AA8AF" w14:textId="77777777" w:rsidR="00F34C3D" w:rsidRPr="00DE096C" w:rsidRDefault="00F34C3D" w:rsidP="00D45A46">
      <w:pPr>
        <w:jc w:val="both"/>
        <w:rPr>
          <w:bCs/>
          <w:color w:val="002060"/>
          <w:sz w:val="16"/>
          <w:szCs w:val="16"/>
        </w:rPr>
      </w:pPr>
      <w:r w:rsidRPr="00DE096C">
        <w:rPr>
          <w:bCs/>
          <w:color w:val="002060"/>
          <w:sz w:val="16"/>
          <w:szCs w:val="16"/>
        </w:rPr>
        <w:lastRenderedPageBreak/>
        <w:t>Здесь любопытна путаница, характеризующая начало военных действий. Пролетевший прежде всего с целью разведки германский цеппелин Z-VI отбомбил крепость Льеж и достаточно быстро скрылся из глаз, чтобы многим не показаться миражом. Безрезультатный и беспорядочный обстрел аэропланов (как своих так и чужих) также являлся наиболее характерной чертой военных действий этих дней. Неудивительно, что два события, произошедших примерно в одно и то же время, сплелись в возбужденном мозгу простого человека в одно целое.</w:t>
      </w:r>
    </w:p>
    <w:p w14:paraId="4096138C" w14:textId="77777777" w:rsidR="00F34C3D" w:rsidRPr="00DE096C" w:rsidRDefault="00F34C3D" w:rsidP="00D45A46">
      <w:pPr>
        <w:jc w:val="both"/>
        <w:rPr>
          <w:bCs/>
          <w:color w:val="002060"/>
          <w:sz w:val="16"/>
          <w:szCs w:val="16"/>
        </w:rPr>
      </w:pPr>
      <w:r w:rsidRPr="00DE096C">
        <w:rPr>
          <w:bCs/>
          <w:color w:val="002060"/>
          <w:sz w:val="16"/>
          <w:szCs w:val="16"/>
        </w:rPr>
        <w:t>Что касается бельгийских летчиков, то следует отметить, что у Бельгии практически не было своей авиации, с бельгийской стороны принимали участие в военных действиях в основном французские летчики.</w:t>
      </w:r>
    </w:p>
    <w:p w14:paraId="5878B0C2" w14:textId="77777777" w:rsidR="00F34C3D" w:rsidRPr="00DE096C" w:rsidRDefault="00F34C3D" w:rsidP="00D45A46">
      <w:pPr>
        <w:jc w:val="both"/>
        <w:rPr>
          <w:bCs/>
          <w:color w:val="002060"/>
          <w:sz w:val="16"/>
          <w:szCs w:val="16"/>
        </w:rPr>
      </w:pPr>
      <w:r w:rsidRPr="00DE096C">
        <w:rPr>
          <w:bCs/>
          <w:color w:val="002060"/>
          <w:sz w:val="16"/>
          <w:szCs w:val="16"/>
        </w:rPr>
        <w:t>Из Главной квартиры генерального французского штаба: "Париж, 5 августа, 7 ч. 20 м...</w:t>
      </w:r>
    </w:p>
    <w:p w14:paraId="2921E695" w14:textId="77777777" w:rsidR="00F34C3D" w:rsidRPr="00DE096C" w:rsidRDefault="00F34C3D" w:rsidP="00D45A46">
      <w:pPr>
        <w:jc w:val="both"/>
        <w:rPr>
          <w:bCs/>
          <w:color w:val="002060"/>
          <w:sz w:val="16"/>
          <w:szCs w:val="16"/>
        </w:rPr>
      </w:pPr>
      <w:r w:rsidRPr="00DE096C">
        <w:rPr>
          <w:bCs/>
          <w:color w:val="002060"/>
          <w:sz w:val="16"/>
          <w:szCs w:val="16"/>
        </w:rPr>
        <w:t>1. Французским самолетам и дирижаблям разрешено летать над бельгийской территорией. Но так как еще вчера бельгийские войска имели приказ стрелять по всякому воздушному кораблю, и контрприказ может быть еще не известен всем, необходимо, чтобы наши пилоты летали достаточно высоко...</w:t>
      </w:r>
    </w:p>
    <w:p w14:paraId="1497AF62" w14:textId="77777777" w:rsidR="00F34C3D" w:rsidRPr="00DE096C" w:rsidRDefault="00F34C3D" w:rsidP="00D45A46">
      <w:pPr>
        <w:jc w:val="both"/>
        <w:rPr>
          <w:bCs/>
          <w:color w:val="002060"/>
          <w:sz w:val="16"/>
          <w:szCs w:val="16"/>
        </w:rPr>
      </w:pPr>
      <w:r w:rsidRPr="00DE096C">
        <w:rPr>
          <w:bCs/>
          <w:color w:val="002060"/>
          <w:sz w:val="16"/>
          <w:szCs w:val="16"/>
        </w:rPr>
        <w:t>Верховный главнокомандующий Жоффр".</w:t>
      </w:r>
    </w:p>
    <w:p w14:paraId="1A30007F" w14:textId="77777777" w:rsidR="00F34C3D" w:rsidRPr="00DE096C" w:rsidRDefault="00F34C3D" w:rsidP="00D45A46">
      <w:pPr>
        <w:jc w:val="both"/>
        <w:rPr>
          <w:bCs/>
          <w:color w:val="002060"/>
          <w:sz w:val="16"/>
          <w:szCs w:val="16"/>
        </w:rPr>
      </w:pPr>
      <w:r w:rsidRPr="00DE096C">
        <w:rPr>
          <w:bCs/>
          <w:color w:val="002060"/>
          <w:sz w:val="16"/>
          <w:szCs w:val="16"/>
        </w:rPr>
        <w:t>После полуночи завязались бои за крепость Льеж. Основное острие атаки было нацелено на наименее (как это показалось с воздуха) защищенный сектор между р. Урт и р. Мез. 13 тыс. германцев бросились в атаку при лунном свете, но их встретил убийственный огонь с шанцев и заграждений. В предрассветном тумане германская армия понесла первые потери - около полка пехоты, расстрелянной из митральез фортов .</w:t>
      </w:r>
    </w:p>
    <w:p w14:paraId="3E8FBCF6" w14:textId="77777777" w:rsidR="00F34C3D" w:rsidRPr="00DE096C" w:rsidRDefault="00F34C3D" w:rsidP="00D45A46">
      <w:pPr>
        <w:jc w:val="both"/>
        <w:rPr>
          <w:bCs/>
          <w:color w:val="002060"/>
          <w:sz w:val="16"/>
          <w:szCs w:val="16"/>
        </w:rPr>
      </w:pPr>
      <w:r w:rsidRPr="00DE096C">
        <w:rPr>
          <w:bCs/>
          <w:color w:val="002060"/>
          <w:sz w:val="16"/>
          <w:szCs w:val="16"/>
        </w:rPr>
        <w:t>Бельгийская армия закончила свое развертывание раньше других союзных армий и к этому дню располагалась всеми своими силами в треугольнике Брюссель - Льеж - Намюр. Главные силы заняли район Лювен - Вавр - Тир- лемон - Первез; кавалерийская дивизия расположилась впереди этого района у Вартема. Общее число бельгийских войск достигало 175 тыс. человек (из них в полевых войсках 117 тыс.) (11999).</w:t>
      </w:r>
    </w:p>
    <w:p w14:paraId="2B510561" w14:textId="77777777" w:rsidR="00F34C3D" w:rsidRPr="00DE096C" w:rsidRDefault="00F34C3D" w:rsidP="00D45A46">
      <w:pPr>
        <w:jc w:val="both"/>
        <w:rPr>
          <w:bCs/>
          <w:color w:val="002060"/>
          <w:sz w:val="16"/>
          <w:szCs w:val="16"/>
        </w:rPr>
      </w:pPr>
    </w:p>
    <w:p w14:paraId="68174A85" w14:textId="77777777" w:rsidR="009E1FD2" w:rsidRPr="00CF03EC" w:rsidRDefault="009E1FD2" w:rsidP="009E1FD2">
      <w:pPr>
        <w:jc w:val="both"/>
        <w:rPr>
          <w:color w:val="0070C0"/>
          <w:sz w:val="16"/>
          <w:szCs w:val="16"/>
        </w:rPr>
      </w:pPr>
      <w:r w:rsidRPr="00CF03EC">
        <w:rPr>
          <w:color w:val="0070C0"/>
          <w:sz w:val="16"/>
          <w:szCs w:val="16"/>
        </w:rPr>
        <w:t>2</w:t>
      </w:r>
      <w:r>
        <w:rPr>
          <w:color w:val="0070C0"/>
          <w:sz w:val="16"/>
          <w:szCs w:val="16"/>
        </w:rPr>
        <w:t>3</w:t>
      </w:r>
      <w:r w:rsidRPr="00CF03EC">
        <w:rPr>
          <w:color w:val="0070C0"/>
          <w:sz w:val="16"/>
          <w:szCs w:val="16"/>
        </w:rPr>
        <w:t xml:space="preserve"> июля (5 августа) 1914 пехоте удалось повредить цеппелин Z VI и он совершил вынужденную, но не аварийную посадку в Бонне (25772).</w:t>
      </w:r>
    </w:p>
    <w:p w14:paraId="6092AF06" w14:textId="77777777" w:rsidR="009E1FD2" w:rsidRPr="00CF03EC" w:rsidRDefault="009E1FD2" w:rsidP="009E1FD2">
      <w:pPr>
        <w:jc w:val="both"/>
        <w:rPr>
          <w:color w:val="0070C0"/>
          <w:sz w:val="16"/>
          <w:szCs w:val="16"/>
        </w:rPr>
      </w:pPr>
    </w:p>
    <w:p w14:paraId="2BD29498" w14:textId="77777777" w:rsidR="00F34C3D" w:rsidRPr="00DE096C" w:rsidRDefault="00F34C3D" w:rsidP="00D45A46">
      <w:pPr>
        <w:pStyle w:val="a3"/>
        <w:jc w:val="both"/>
        <w:rPr>
          <w:bCs/>
          <w:color w:val="002060"/>
          <w:spacing w:val="0"/>
          <w:kern w:val="0"/>
          <w:position w:val="0"/>
          <w:sz w:val="16"/>
          <w:szCs w:val="16"/>
        </w:rPr>
      </w:pPr>
      <w:r w:rsidRPr="00DE096C">
        <w:rPr>
          <w:bCs/>
          <w:color w:val="002060"/>
          <w:spacing w:val="0"/>
          <w:kern w:val="0"/>
          <w:position w:val="0"/>
          <w:sz w:val="16"/>
          <w:szCs w:val="16"/>
        </w:rPr>
        <w:t>Авиация и воздухоплавание Франции:</w:t>
      </w:r>
    </w:p>
    <w:p w14:paraId="489B52DA" w14:textId="77777777" w:rsidR="00F34C3D" w:rsidRPr="00DE096C" w:rsidRDefault="00F34C3D" w:rsidP="00D45A46">
      <w:pPr>
        <w:pStyle w:val="a3"/>
        <w:jc w:val="both"/>
        <w:rPr>
          <w:bCs/>
          <w:color w:val="002060"/>
          <w:spacing w:val="0"/>
          <w:kern w:val="0"/>
          <w:position w:val="0"/>
          <w:sz w:val="16"/>
          <w:szCs w:val="16"/>
        </w:rPr>
      </w:pPr>
    </w:p>
    <w:p w14:paraId="09C6418D" w14:textId="11A0F354" w:rsidR="00F34C3D" w:rsidRPr="00DE096C" w:rsidRDefault="00F34C3D" w:rsidP="00D45A46">
      <w:pPr>
        <w:shd w:val="clear" w:color="auto" w:fill="FFFFFF"/>
        <w:jc w:val="both"/>
        <w:rPr>
          <w:bCs/>
          <w:color w:val="002060"/>
          <w:sz w:val="16"/>
          <w:szCs w:val="16"/>
        </w:rPr>
      </w:pPr>
      <w:r w:rsidRPr="00DE096C">
        <w:rPr>
          <w:bCs/>
          <w:color w:val="002060"/>
          <w:sz w:val="16"/>
          <w:szCs w:val="16"/>
        </w:rPr>
        <w:t>23 июля (5 августа) 1914 г. французский военный летчик 3-й эскад</w:t>
      </w:r>
      <w:r w:rsidRPr="00DE096C">
        <w:rPr>
          <w:bCs/>
          <w:color w:val="002060"/>
          <w:sz w:val="16"/>
          <w:szCs w:val="16"/>
        </w:rPr>
        <w:softHyphen/>
        <w:t>рильи де Серр, выполняя боевое задание по разведке гер</w:t>
      </w:r>
      <w:r w:rsidRPr="00DE096C">
        <w:rPr>
          <w:bCs/>
          <w:color w:val="002060"/>
          <w:sz w:val="16"/>
          <w:szCs w:val="16"/>
        </w:rPr>
        <w:softHyphen/>
        <w:t>манских позиций, впервые перелетел на своем Блерио че</w:t>
      </w:r>
      <w:r w:rsidRPr="00DE096C">
        <w:rPr>
          <w:bCs/>
          <w:color w:val="002060"/>
          <w:sz w:val="16"/>
          <w:szCs w:val="16"/>
        </w:rPr>
        <w:softHyphen/>
        <w:t>рез Рейн на высоте 1200 м (11060).</w:t>
      </w:r>
    </w:p>
    <w:p w14:paraId="15CD7539" w14:textId="77777777" w:rsidR="00F34C3D" w:rsidRPr="00DE096C" w:rsidRDefault="00F34C3D" w:rsidP="00D45A46">
      <w:pPr>
        <w:shd w:val="clear" w:color="auto" w:fill="FFFFFF"/>
        <w:jc w:val="both"/>
        <w:rPr>
          <w:bCs/>
          <w:color w:val="002060"/>
          <w:sz w:val="16"/>
          <w:szCs w:val="16"/>
        </w:rPr>
      </w:pPr>
    </w:p>
    <w:p w14:paraId="0616CBA0" w14:textId="2FC6E65D" w:rsidR="00F34C3D" w:rsidRPr="00DE096C" w:rsidRDefault="00F34C3D" w:rsidP="00D45A46">
      <w:pPr>
        <w:jc w:val="both"/>
        <w:rPr>
          <w:bCs/>
          <w:color w:val="002060"/>
          <w:sz w:val="16"/>
          <w:szCs w:val="16"/>
        </w:rPr>
      </w:pPr>
      <w:r w:rsidRPr="00DE096C">
        <w:rPr>
          <w:bCs/>
          <w:color w:val="002060"/>
          <w:sz w:val="16"/>
          <w:szCs w:val="16"/>
        </w:rPr>
        <w:t>23 июля (5 августа) 1914 г. французский военный летчик 3-й эскадрильи де Серр, выполняя боевое задание по разведке германских позиций, впервые перелетел на своем Блерио через Рейн на высоте 1200 м (11999).</w:t>
      </w:r>
    </w:p>
    <w:p w14:paraId="338E6A47" w14:textId="77777777" w:rsidR="00F34C3D" w:rsidRPr="00DE096C" w:rsidRDefault="00F34C3D" w:rsidP="00D45A46">
      <w:pPr>
        <w:jc w:val="both"/>
        <w:rPr>
          <w:bCs/>
          <w:color w:val="002060"/>
          <w:sz w:val="16"/>
          <w:szCs w:val="16"/>
        </w:rPr>
      </w:pPr>
    </w:p>
    <w:p w14:paraId="799005A0" w14:textId="77777777" w:rsidR="00F34C3D" w:rsidRPr="00DE096C" w:rsidRDefault="00F34C3D" w:rsidP="00D45A46">
      <w:pPr>
        <w:pStyle w:val="a3"/>
        <w:jc w:val="both"/>
        <w:rPr>
          <w:bCs/>
          <w:color w:val="002060"/>
          <w:spacing w:val="0"/>
          <w:kern w:val="0"/>
          <w:position w:val="0"/>
          <w:sz w:val="16"/>
          <w:szCs w:val="16"/>
        </w:rPr>
      </w:pPr>
      <w:r w:rsidRPr="00DE096C">
        <w:rPr>
          <w:bCs/>
          <w:color w:val="002060"/>
          <w:spacing w:val="0"/>
          <w:kern w:val="0"/>
          <w:position w:val="0"/>
          <w:sz w:val="16"/>
          <w:szCs w:val="16"/>
        </w:rPr>
        <w:t>Авиация и воздухоплавание Англии:</w:t>
      </w:r>
    </w:p>
    <w:p w14:paraId="2534B12E" w14:textId="77777777" w:rsidR="00F34C3D" w:rsidRPr="00DE096C" w:rsidRDefault="00F34C3D" w:rsidP="00D45A46">
      <w:pPr>
        <w:pStyle w:val="a3"/>
        <w:jc w:val="both"/>
        <w:rPr>
          <w:bCs/>
          <w:color w:val="002060"/>
          <w:spacing w:val="0"/>
          <w:kern w:val="0"/>
          <w:position w:val="0"/>
          <w:sz w:val="16"/>
          <w:szCs w:val="16"/>
        </w:rPr>
      </w:pPr>
    </w:p>
    <w:p w14:paraId="717DF478" w14:textId="4827EEFE" w:rsidR="00F34C3D" w:rsidRPr="00DE096C" w:rsidRDefault="00F34C3D" w:rsidP="00D45A46">
      <w:pPr>
        <w:shd w:val="clear" w:color="auto" w:fill="FFFFFF"/>
        <w:jc w:val="both"/>
        <w:rPr>
          <w:bCs/>
          <w:color w:val="002060"/>
          <w:sz w:val="16"/>
          <w:szCs w:val="16"/>
        </w:rPr>
      </w:pPr>
      <w:r w:rsidRPr="00DE096C">
        <w:rPr>
          <w:bCs/>
          <w:color w:val="002060"/>
          <w:sz w:val="16"/>
          <w:szCs w:val="16"/>
        </w:rPr>
        <w:t>На 23 июля (5 августа) 1914 Британская воздушная служба состояла из Морского Крыла (Ыауа! \\^п§), известного под инициала</w:t>
      </w:r>
      <w:r w:rsidRPr="00DE096C">
        <w:rPr>
          <w:bCs/>
          <w:color w:val="002060"/>
          <w:sz w:val="16"/>
          <w:szCs w:val="16"/>
        </w:rPr>
        <w:softHyphen/>
        <w:t>ми К.ЫА5 (Коуа! Ыауа! А1г Зегуюе — Королевская Морская Воздушная Служба), Военного Крыла (МПйагу Шш§), из</w:t>
      </w:r>
      <w:r w:rsidRPr="00DE096C">
        <w:rPr>
          <w:bCs/>
          <w:color w:val="002060"/>
          <w:sz w:val="16"/>
          <w:szCs w:val="16"/>
        </w:rPr>
        <w:softHyphen/>
        <w:t>вестного под инициалами К.РС (Коуа! Р1у1п§ Согрз — Ко</w:t>
      </w:r>
      <w:r w:rsidRPr="00DE096C">
        <w:rPr>
          <w:bCs/>
          <w:color w:val="002060"/>
          <w:sz w:val="16"/>
          <w:szCs w:val="16"/>
        </w:rPr>
        <w:softHyphen/>
        <w:t>ролевский Летный Корпус) и Центральной Летной Шко</w:t>
      </w:r>
      <w:r w:rsidRPr="00DE096C">
        <w:rPr>
          <w:bCs/>
          <w:color w:val="002060"/>
          <w:sz w:val="16"/>
          <w:szCs w:val="16"/>
        </w:rPr>
        <w:softHyphen/>
        <w:t>лы (Сепгта! Р1ут§ 5сЬоо1) (11060). Морское Крыло, подведомственное Адмиралтейству, заключало в себе отряд дирижаблей, недавно взятых из Военного Крыла, 3 авиационных и 1 гидроавиационный от</w:t>
      </w:r>
      <w:r w:rsidRPr="00DE096C">
        <w:rPr>
          <w:bCs/>
          <w:color w:val="002060"/>
          <w:sz w:val="16"/>
          <w:szCs w:val="16"/>
        </w:rPr>
        <w:softHyphen/>
        <w:t>ряды с общим количеством в 93 аэроплана. Военное Кры</w:t>
      </w:r>
      <w:r w:rsidRPr="00DE096C">
        <w:rPr>
          <w:bCs/>
          <w:color w:val="002060"/>
          <w:sz w:val="16"/>
          <w:szCs w:val="16"/>
        </w:rPr>
        <w:softHyphen/>
        <w:t>ло, подведомственное Военному министерству, состояло из 4 авиационных отрядов с общим количеством в 179 аэро</w:t>
      </w:r>
      <w:r w:rsidRPr="00DE096C">
        <w:rPr>
          <w:bCs/>
          <w:color w:val="002060"/>
          <w:sz w:val="16"/>
          <w:szCs w:val="16"/>
        </w:rPr>
        <w:softHyphen/>
        <w:t>планов. Летный состав обоих Крыльев вместе взятых — 197 офицеров и 1647 других чинов(11060). По объявлении войны КЫА5 сформировала несколько добавочных отрядов, два из которых были посланы в Бель гию с морской дивизией для защиты Антверпена. Всего Бри</w:t>
      </w:r>
      <w:r w:rsidRPr="00DE096C">
        <w:rPr>
          <w:bCs/>
          <w:color w:val="002060"/>
          <w:sz w:val="16"/>
          <w:szCs w:val="16"/>
        </w:rPr>
        <w:softHyphen/>
        <w:t>тания насчитывала к этому моменту 272 аэроплана. Кроме того, к началу войны военное ведомство Британии распола</w:t>
      </w:r>
      <w:r w:rsidRPr="00DE096C">
        <w:rPr>
          <w:bCs/>
          <w:color w:val="002060"/>
          <w:sz w:val="16"/>
          <w:szCs w:val="16"/>
        </w:rPr>
        <w:softHyphen/>
        <w:t>гало двумя старыми дирижаблями «Бета» и «Гамма» и од</w:t>
      </w:r>
      <w:r w:rsidRPr="00DE096C">
        <w:rPr>
          <w:bCs/>
          <w:color w:val="002060"/>
          <w:sz w:val="16"/>
          <w:szCs w:val="16"/>
        </w:rPr>
        <w:softHyphen/>
        <w:t>ним дирижаблем «Парсефаль», купленным в Германии(11060).</w:t>
      </w:r>
    </w:p>
    <w:p w14:paraId="081899BB" w14:textId="77777777" w:rsidR="00F34C3D" w:rsidRPr="00DE096C" w:rsidRDefault="00F34C3D" w:rsidP="00D45A46">
      <w:pPr>
        <w:shd w:val="clear" w:color="auto" w:fill="FFFFFF"/>
        <w:jc w:val="both"/>
        <w:rPr>
          <w:bCs/>
          <w:color w:val="002060"/>
          <w:sz w:val="16"/>
          <w:szCs w:val="16"/>
        </w:rPr>
      </w:pPr>
    </w:p>
    <w:p w14:paraId="32CE5168" w14:textId="474CA82D" w:rsidR="00F34C3D" w:rsidRPr="00DE096C" w:rsidRDefault="00F34C3D" w:rsidP="00D45A46">
      <w:pPr>
        <w:jc w:val="both"/>
        <w:rPr>
          <w:bCs/>
          <w:color w:val="002060"/>
          <w:sz w:val="16"/>
          <w:szCs w:val="16"/>
        </w:rPr>
      </w:pPr>
      <w:r w:rsidRPr="00DE096C">
        <w:rPr>
          <w:bCs/>
          <w:color w:val="002060"/>
          <w:sz w:val="16"/>
          <w:szCs w:val="16"/>
        </w:rPr>
        <w:t>На 23 июля (5 августа) 1914 Британская воздушная служба состояла из Морского Крыла (Naval Wing), известного под инициалами RNAS (Royal Naval Air Service - Королевская Морская Воздушная Служба), Военного Крыла (Military Wing), известного под инициалами RFC (Royal Flying Corps - Королевский Летный Корпус) и Центральной Летной Школы (Central Flying School).</w:t>
      </w:r>
    </w:p>
    <w:p w14:paraId="3015DEA5" w14:textId="77777777" w:rsidR="00F34C3D" w:rsidRPr="00DE096C" w:rsidRDefault="00F34C3D" w:rsidP="00D45A46">
      <w:pPr>
        <w:jc w:val="both"/>
        <w:rPr>
          <w:bCs/>
          <w:color w:val="002060"/>
          <w:sz w:val="16"/>
          <w:szCs w:val="16"/>
        </w:rPr>
      </w:pPr>
      <w:r w:rsidRPr="00DE096C">
        <w:rPr>
          <w:bCs/>
          <w:color w:val="002060"/>
          <w:sz w:val="16"/>
          <w:szCs w:val="16"/>
        </w:rPr>
        <w:t>Морское Крыло, подведомственное Адмиралтейству, заключало в себе отряд дирижаблей, недавно взятых из Военного Крыла, 3 авиационных и 1 гидроавиационный отряды с общим количеством в 93 аэроплана. Военное Крыло, подведомственное Военному министерству, состояло из 4 авиационных отрядов с общим количеством в 179 аэропланов. Летный состав обоих Крыльев вместе взятых - 197 офицеров и 1647 других чинов.</w:t>
      </w:r>
    </w:p>
    <w:p w14:paraId="520B2DF1" w14:textId="77777777" w:rsidR="00F34C3D" w:rsidRPr="00DE096C" w:rsidRDefault="00F34C3D" w:rsidP="00D45A46">
      <w:pPr>
        <w:jc w:val="both"/>
        <w:rPr>
          <w:bCs/>
          <w:color w:val="002060"/>
          <w:sz w:val="16"/>
          <w:szCs w:val="16"/>
        </w:rPr>
      </w:pPr>
      <w:r w:rsidRPr="00DE096C">
        <w:rPr>
          <w:bCs/>
          <w:color w:val="002060"/>
          <w:sz w:val="16"/>
          <w:szCs w:val="16"/>
        </w:rPr>
        <w:t>По объявлении войны RNAS сформировала несколько добавочных отрядов, два из которых были посланы в Бельгию с морской дивизией для защиты Антверпена. Всего Британия насчитывала к этому моменту 272 аэроплана. Кроме того, к началу войны военное ведомство Британии располагало двумя старыми дирижаблями "Бета" и "Гамма" и одним дирижаблем "Парсефаль", купленным в Германии (11999).</w:t>
      </w:r>
    </w:p>
    <w:p w14:paraId="11EE53C4" w14:textId="77777777" w:rsidR="00F34C3D" w:rsidRPr="00DE096C" w:rsidRDefault="00F34C3D" w:rsidP="00D45A46">
      <w:pPr>
        <w:jc w:val="both"/>
        <w:rPr>
          <w:bCs/>
          <w:color w:val="002060"/>
          <w:sz w:val="16"/>
          <w:szCs w:val="16"/>
        </w:rPr>
      </w:pPr>
    </w:p>
    <w:p w14:paraId="7F10382D" w14:textId="77777777" w:rsidR="00F34C3D" w:rsidRPr="00DE096C" w:rsidRDefault="00F34C3D" w:rsidP="00D45A46">
      <w:pPr>
        <w:jc w:val="both"/>
        <w:rPr>
          <w:bCs/>
          <w:color w:val="002060"/>
          <w:sz w:val="16"/>
          <w:szCs w:val="16"/>
        </w:rPr>
      </w:pPr>
      <w:r w:rsidRPr="00DE096C">
        <w:rPr>
          <w:bCs/>
          <w:color w:val="002060"/>
          <w:sz w:val="16"/>
          <w:szCs w:val="16"/>
        </w:rPr>
        <w:t>23 июля (5 августа) 1914 на следующий день после объявления войны флотские дирижабли «Парсеваль» и «Астра-Торрес» приступили к патрулированию побережья страны и проводке транспортов в районе Ла-Манша. Несколько полетов было выполнено для рекогносцировки Северного моря. Дирижабли справились со [273] своими задачами, но не добились особых успехов. В принципе они оправдали себя и считалось, что у них есть будущее (11324).</w:t>
      </w:r>
    </w:p>
    <w:p w14:paraId="2C481C79" w14:textId="77777777" w:rsidR="00F34C3D" w:rsidRPr="00DE096C" w:rsidRDefault="00F34C3D" w:rsidP="00D45A46">
      <w:pPr>
        <w:shd w:val="clear" w:color="auto" w:fill="FFFFFF"/>
        <w:jc w:val="both"/>
        <w:rPr>
          <w:bCs/>
          <w:i/>
          <w:color w:val="002060"/>
          <w:sz w:val="16"/>
          <w:szCs w:val="16"/>
        </w:rPr>
      </w:pPr>
    </w:p>
    <w:p w14:paraId="657906D3" w14:textId="77777777" w:rsidR="00F34C3D" w:rsidRPr="00DE096C" w:rsidRDefault="00F34C3D" w:rsidP="00D45A46">
      <w:pPr>
        <w:pStyle w:val="a3"/>
        <w:jc w:val="both"/>
        <w:rPr>
          <w:bCs/>
          <w:color w:val="002060"/>
          <w:spacing w:val="0"/>
          <w:kern w:val="0"/>
          <w:position w:val="0"/>
          <w:sz w:val="16"/>
          <w:szCs w:val="16"/>
        </w:rPr>
      </w:pPr>
      <w:r w:rsidRPr="00DE096C">
        <w:rPr>
          <w:bCs/>
          <w:color w:val="002060"/>
          <w:spacing w:val="0"/>
          <w:kern w:val="0"/>
          <w:position w:val="0"/>
          <w:sz w:val="16"/>
          <w:szCs w:val="16"/>
        </w:rPr>
        <w:t>Авиация и воздухоплавание за рубежом:</w:t>
      </w:r>
    </w:p>
    <w:p w14:paraId="6F07C7AF" w14:textId="77777777" w:rsidR="00F34C3D" w:rsidRPr="00DE096C" w:rsidRDefault="00F34C3D" w:rsidP="00D45A46">
      <w:pPr>
        <w:pStyle w:val="a3"/>
        <w:jc w:val="both"/>
        <w:rPr>
          <w:bCs/>
          <w:color w:val="002060"/>
          <w:spacing w:val="0"/>
          <w:kern w:val="0"/>
          <w:position w:val="0"/>
          <w:sz w:val="16"/>
          <w:szCs w:val="16"/>
        </w:rPr>
      </w:pPr>
    </w:p>
    <w:p w14:paraId="18846828" w14:textId="77777777" w:rsidR="00F34C3D" w:rsidRPr="00DE096C" w:rsidRDefault="00F34C3D" w:rsidP="00D45A46">
      <w:pPr>
        <w:jc w:val="both"/>
        <w:rPr>
          <w:bCs/>
          <w:color w:val="002060"/>
          <w:sz w:val="16"/>
          <w:szCs w:val="16"/>
        </w:rPr>
      </w:pPr>
      <w:r w:rsidRPr="00DE096C">
        <w:rPr>
          <w:bCs/>
          <w:color w:val="002060"/>
          <w:sz w:val="16"/>
          <w:szCs w:val="16"/>
        </w:rPr>
        <w:t>23 июля (5 августа) 1914 Нидерланды постановили, что все голландские военные самолеты должны иметь оранжевый диск на каждой стороне фюзеляжа, а также на верхней и нижней поверхностях крыльев (20337).</w:t>
      </w:r>
    </w:p>
    <w:p w14:paraId="2A9C8972" w14:textId="77777777" w:rsidR="00F34C3D" w:rsidRPr="00DE096C" w:rsidRDefault="00F34C3D" w:rsidP="00D45A46">
      <w:pPr>
        <w:jc w:val="both"/>
        <w:rPr>
          <w:bCs/>
          <w:color w:val="002060"/>
          <w:sz w:val="16"/>
          <w:szCs w:val="16"/>
        </w:rPr>
      </w:pPr>
    </w:p>
    <w:p w14:paraId="7E5F4672" w14:textId="77777777" w:rsidR="00887299" w:rsidRPr="00DE096C" w:rsidRDefault="00887299" w:rsidP="00D45A46">
      <w:pPr>
        <w:jc w:val="both"/>
        <w:rPr>
          <w:bCs/>
          <w:i/>
          <w:color w:val="002060"/>
          <w:sz w:val="16"/>
          <w:szCs w:val="16"/>
        </w:rPr>
      </w:pPr>
      <w:r w:rsidRPr="00DE096C">
        <w:rPr>
          <w:bCs/>
          <w:i/>
          <w:color w:val="002060"/>
          <w:sz w:val="16"/>
          <w:szCs w:val="16"/>
        </w:rPr>
        <w:t>За рубежом:</w:t>
      </w:r>
    </w:p>
    <w:p w14:paraId="281E8FFB" w14:textId="77777777" w:rsidR="00887299" w:rsidRPr="00DE096C" w:rsidRDefault="00887299" w:rsidP="00D45A46">
      <w:pPr>
        <w:jc w:val="both"/>
        <w:rPr>
          <w:bCs/>
          <w:color w:val="002060"/>
          <w:sz w:val="16"/>
          <w:szCs w:val="16"/>
        </w:rPr>
      </w:pPr>
    </w:p>
    <w:p w14:paraId="378660BB" w14:textId="38DF81F1" w:rsidR="00887299" w:rsidRPr="00DE096C" w:rsidRDefault="00887299" w:rsidP="00D45A46">
      <w:pPr>
        <w:jc w:val="both"/>
        <w:rPr>
          <w:bCs/>
          <w:color w:val="002060"/>
          <w:sz w:val="16"/>
          <w:szCs w:val="16"/>
        </w:rPr>
      </w:pPr>
      <w:r w:rsidRPr="00DE096C">
        <w:rPr>
          <w:bCs/>
          <w:color w:val="002060"/>
          <w:sz w:val="16"/>
          <w:szCs w:val="16"/>
        </w:rPr>
        <w:t>2</w:t>
      </w:r>
      <w:r w:rsidR="00F34C3D" w:rsidRPr="00DE096C">
        <w:rPr>
          <w:bCs/>
          <w:color w:val="002060"/>
          <w:sz w:val="16"/>
          <w:szCs w:val="16"/>
        </w:rPr>
        <w:t>3</w:t>
      </w:r>
      <w:r w:rsidRPr="00DE096C">
        <w:rPr>
          <w:bCs/>
          <w:color w:val="002060"/>
          <w:sz w:val="16"/>
          <w:szCs w:val="16"/>
        </w:rPr>
        <w:t xml:space="preserve"> июля (5 августа) в 1914 году первые в мире светофоры, регулирующие дорожное движение, устанавливаются на перекрестке авеню Эвклида и 105-й Восточной улицы в Кливленде (штат Огайо). Они будут переключать красный и зеленый свет и издавать предупреждающий звуковой сигнал. Ныне единственным местом в мире, где разрешен проезд на красный свет, является Рио-де-Жанейро. Да и то только в том случае, если водитель докажет полиции, что он пытался скрыться от вооруженных бандитов (14974).</w:t>
      </w:r>
    </w:p>
    <w:p w14:paraId="3939C9E4" w14:textId="77777777" w:rsidR="00887299" w:rsidRPr="00DE096C" w:rsidRDefault="00887299" w:rsidP="00D45A46">
      <w:pPr>
        <w:jc w:val="both"/>
        <w:rPr>
          <w:bCs/>
          <w:color w:val="002060"/>
          <w:sz w:val="16"/>
          <w:szCs w:val="16"/>
        </w:rPr>
      </w:pPr>
    </w:p>
    <w:p w14:paraId="7902EF24" w14:textId="269CB0C8" w:rsidR="00887299" w:rsidRPr="00DE096C" w:rsidRDefault="00887299" w:rsidP="00D45A46">
      <w:pPr>
        <w:jc w:val="both"/>
        <w:rPr>
          <w:bCs/>
          <w:color w:val="002060"/>
          <w:sz w:val="16"/>
          <w:szCs w:val="16"/>
        </w:rPr>
      </w:pPr>
      <w:r w:rsidRPr="00DE096C">
        <w:rPr>
          <w:bCs/>
          <w:color w:val="002060"/>
          <w:sz w:val="16"/>
          <w:szCs w:val="16"/>
        </w:rPr>
        <w:t>2</w:t>
      </w:r>
      <w:r w:rsidR="00F34C3D" w:rsidRPr="00DE096C">
        <w:rPr>
          <w:bCs/>
          <w:color w:val="002060"/>
          <w:sz w:val="16"/>
          <w:szCs w:val="16"/>
        </w:rPr>
        <w:t>3</w:t>
      </w:r>
      <w:r w:rsidRPr="00DE096C">
        <w:rPr>
          <w:bCs/>
          <w:color w:val="002060"/>
          <w:sz w:val="16"/>
          <w:szCs w:val="16"/>
        </w:rPr>
        <w:t xml:space="preserve"> июля (5 августа) в 1914 году германская Вторая армия достигает Льежа, где встречает ожесточенное сопротивление бельгийских войск (сражение будет продолжаться до 16 августа, первая крупная битва первой мировой войны). Слабая бельгийская армия после упорной двенадцатидневной обороны крепости сдала ее и отошла к Антверпену (14974).</w:t>
      </w:r>
    </w:p>
    <w:p w14:paraId="009D2494" w14:textId="77777777" w:rsidR="00887299" w:rsidRPr="00DE096C" w:rsidRDefault="00887299" w:rsidP="00D45A46">
      <w:pPr>
        <w:jc w:val="both"/>
        <w:rPr>
          <w:bCs/>
          <w:color w:val="002060"/>
          <w:sz w:val="16"/>
          <w:szCs w:val="16"/>
        </w:rPr>
      </w:pPr>
    </w:p>
    <w:p w14:paraId="2790F5D8" w14:textId="2140F14C" w:rsidR="00887299" w:rsidRPr="00DE096C" w:rsidRDefault="00887299" w:rsidP="00D45A46">
      <w:pPr>
        <w:jc w:val="both"/>
        <w:rPr>
          <w:bCs/>
          <w:color w:val="002060"/>
          <w:sz w:val="16"/>
          <w:szCs w:val="16"/>
        </w:rPr>
      </w:pPr>
      <w:r w:rsidRPr="00DE096C">
        <w:rPr>
          <w:bCs/>
          <w:color w:val="002060"/>
          <w:sz w:val="16"/>
          <w:szCs w:val="16"/>
        </w:rPr>
        <w:t>2</w:t>
      </w:r>
      <w:r w:rsidR="00F34C3D" w:rsidRPr="00DE096C">
        <w:rPr>
          <w:bCs/>
          <w:color w:val="002060"/>
          <w:sz w:val="16"/>
          <w:szCs w:val="16"/>
        </w:rPr>
        <w:t>3</w:t>
      </w:r>
      <w:r w:rsidRPr="00DE096C">
        <w:rPr>
          <w:bCs/>
          <w:color w:val="002060"/>
          <w:sz w:val="16"/>
          <w:szCs w:val="16"/>
        </w:rPr>
        <w:t xml:space="preserve"> июля (5 августа) в 1914 году Турция, выступавшая в начале Первой мировой войны в качестве союзника Германии, закрыла для прохода русских судов проливы Босфор и Дарданеллы (14974).</w:t>
      </w:r>
    </w:p>
    <w:p w14:paraId="7F341C29" w14:textId="77777777" w:rsidR="00887299" w:rsidRPr="00DE096C" w:rsidRDefault="00887299" w:rsidP="00D45A46">
      <w:pPr>
        <w:jc w:val="both"/>
        <w:rPr>
          <w:bCs/>
          <w:color w:val="002060"/>
          <w:sz w:val="16"/>
          <w:szCs w:val="16"/>
        </w:rPr>
      </w:pPr>
    </w:p>
    <w:p w14:paraId="04A0EB3E"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2C6D5C1A" w14:textId="77777777" w:rsidR="00B67D7C" w:rsidRPr="00DE096C" w:rsidRDefault="00B67D7C" w:rsidP="00D45A46">
      <w:pPr>
        <w:shd w:val="clear" w:color="auto" w:fill="FFFFFF"/>
        <w:jc w:val="both"/>
        <w:rPr>
          <w:bCs/>
          <w:i/>
          <w:color w:val="002060"/>
          <w:sz w:val="16"/>
          <w:szCs w:val="16"/>
        </w:rPr>
      </w:pPr>
    </w:p>
    <w:p w14:paraId="7A731C38" w14:textId="442803FF" w:rsidR="00B67D7C" w:rsidRPr="00DE096C" w:rsidRDefault="00B67D7C" w:rsidP="00D45A46">
      <w:pPr>
        <w:shd w:val="clear" w:color="auto" w:fill="FFFFFF"/>
        <w:jc w:val="both"/>
        <w:rPr>
          <w:bCs/>
          <w:color w:val="002060"/>
          <w:sz w:val="16"/>
          <w:szCs w:val="16"/>
        </w:rPr>
      </w:pPr>
      <w:r w:rsidRPr="00DE096C">
        <w:rPr>
          <w:bCs/>
          <w:color w:val="002060"/>
          <w:sz w:val="16"/>
          <w:szCs w:val="16"/>
        </w:rPr>
        <w:t>24 июля (6 августа) 1914</w:t>
      </w:r>
      <w:r w:rsidR="00F34C3D" w:rsidRPr="00DE096C">
        <w:rPr>
          <w:bCs/>
          <w:color w:val="002060"/>
          <w:sz w:val="16"/>
          <w:szCs w:val="16"/>
        </w:rPr>
        <w:t xml:space="preserve"> был подписан контракт</w:t>
      </w:r>
      <w:r w:rsidR="009A7EB7" w:rsidRPr="00DE096C">
        <w:rPr>
          <w:bCs/>
          <w:color w:val="002060"/>
          <w:sz w:val="16"/>
          <w:szCs w:val="16"/>
        </w:rPr>
        <w:t xml:space="preserve"> с РБВЗ на 2 машины со 125-сильными моторами, которые были востребованы командиром Петербургского порта 20 июля</w:t>
      </w:r>
      <w:r w:rsidRPr="00DE096C">
        <w:rPr>
          <w:bCs/>
          <w:color w:val="002060"/>
          <w:sz w:val="16"/>
          <w:szCs w:val="16"/>
        </w:rPr>
        <w:t>, а еще один — на 2 С-10 со 100-сильными "Аргусами", последовал 22 сентября; третий, и последний договор на поставку гидроаэроплана С-10 с двигателем "Аргус" 115 л.с. состоялся 25 февраля 1915 г. Из этих пяти только две машины были в конце концов приняты Морским ведомством, а от прочих отказа</w:t>
      </w:r>
      <w:r w:rsidRPr="00DE096C">
        <w:rPr>
          <w:bCs/>
          <w:color w:val="002060"/>
          <w:sz w:val="16"/>
          <w:szCs w:val="16"/>
        </w:rPr>
        <w:softHyphen/>
        <w:t>лись из-за срыва сроков поставки и невыполнения технических условий (2843).</w:t>
      </w:r>
    </w:p>
    <w:p w14:paraId="2D0E9B30" w14:textId="77777777" w:rsidR="00B67D7C" w:rsidRPr="00DE096C" w:rsidRDefault="00B67D7C" w:rsidP="00D45A46">
      <w:pPr>
        <w:shd w:val="clear" w:color="auto" w:fill="FFFFFF"/>
        <w:jc w:val="both"/>
        <w:rPr>
          <w:bCs/>
          <w:color w:val="002060"/>
          <w:sz w:val="16"/>
          <w:szCs w:val="16"/>
        </w:rPr>
      </w:pPr>
    </w:p>
    <w:p w14:paraId="24644A3E" w14:textId="77777777" w:rsidR="001E0CA1" w:rsidRPr="00DE096C" w:rsidRDefault="001E0CA1" w:rsidP="00D45A46">
      <w:pPr>
        <w:jc w:val="both"/>
        <w:rPr>
          <w:bCs/>
          <w:i/>
          <w:color w:val="002060"/>
          <w:sz w:val="16"/>
          <w:szCs w:val="16"/>
        </w:rPr>
      </w:pPr>
      <w:r w:rsidRPr="00DE096C">
        <w:rPr>
          <w:bCs/>
          <w:i/>
          <w:color w:val="002060"/>
          <w:sz w:val="16"/>
          <w:szCs w:val="16"/>
        </w:rPr>
        <w:t>Другие оборонные отрасли:</w:t>
      </w:r>
    </w:p>
    <w:p w14:paraId="36810324" w14:textId="77777777" w:rsidR="001E0CA1" w:rsidRPr="00DE096C" w:rsidRDefault="001E0CA1" w:rsidP="00D45A46">
      <w:pPr>
        <w:jc w:val="both"/>
        <w:rPr>
          <w:bCs/>
          <w:i/>
          <w:color w:val="002060"/>
          <w:sz w:val="16"/>
          <w:szCs w:val="16"/>
        </w:rPr>
      </w:pPr>
    </w:p>
    <w:p w14:paraId="0E625505" w14:textId="77777777" w:rsidR="001E0CA1" w:rsidRPr="00DE096C" w:rsidRDefault="001E0CA1" w:rsidP="00D45A46">
      <w:pPr>
        <w:pStyle w:val="p1"/>
        <w:spacing w:before="0" w:beforeAutospacing="0" w:after="0" w:afterAutospacing="0"/>
        <w:jc w:val="both"/>
        <w:rPr>
          <w:bCs/>
          <w:color w:val="002060"/>
          <w:sz w:val="16"/>
          <w:szCs w:val="16"/>
        </w:rPr>
      </w:pPr>
      <w:r w:rsidRPr="00DE096C">
        <w:rPr>
          <w:bCs/>
          <w:color w:val="002060"/>
          <w:sz w:val="16"/>
          <w:szCs w:val="16"/>
        </w:rPr>
        <w:t>24 июля 1914 г., ГАУ поставило ТОЗ задачей довести выпуск пулеметов до 80 в месяц, то есть 900 в год; два месяца спустя Ставка потребовала увеличить этот показатель до 180–202. При потребности, исчисленной на октябрь 1915 г. в 2078 пулеметов в месяц, ТОЗ выпускал около 500 шт. (в 1916 г. — свыше 900 в месяц в среднем). Всего пулеметный отдел ТОЗ дал в 1914 г. 833</w:t>
      </w:r>
      <w:r w:rsidRPr="00DE096C">
        <w:rPr>
          <w:bCs/>
          <w:color w:val="002060"/>
          <w:sz w:val="16"/>
          <w:szCs w:val="16"/>
          <w:vertAlign w:val="superscript"/>
        </w:rPr>
        <w:t>{166}</w:t>
      </w:r>
      <w:r w:rsidRPr="00DE096C">
        <w:rPr>
          <w:bCs/>
          <w:color w:val="002060"/>
          <w:sz w:val="16"/>
          <w:szCs w:val="16"/>
        </w:rPr>
        <w:t>,[40] в 1915 г. — 4251, в 1916 г. — 11 072 пулемета, увеличив, таким образом, производство более чем в 10 раз (за 1914–1917 гг. было выпущено 27 477 шт., ввезено 42 318). Пополнение оборудования опережало расширение площадей: к концу войны пространство на один станок сократилось почти втрое (18409).</w:t>
      </w:r>
    </w:p>
    <w:p w14:paraId="6D646B98" w14:textId="77777777" w:rsidR="001E0CA1" w:rsidRPr="00DE096C" w:rsidRDefault="001E0CA1" w:rsidP="00D45A46">
      <w:pPr>
        <w:pStyle w:val="p1"/>
        <w:spacing w:before="0" w:beforeAutospacing="0" w:after="0" w:afterAutospacing="0"/>
        <w:jc w:val="both"/>
        <w:rPr>
          <w:bCs/>
          <w:color w:val="002060"/>
          <w:sz w:val="16"/>
          <w:szCs w:val="16"/>
        </w:rPr>
      </w:pPr>
    </w:p>
    <w:p w14:paraId="40808AB3"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w:t>
      </w:r>
    </w:p>
    <w:p w14:paraId="1E55BED6" w14:textId="77777777" w:rsidR="00B67D7C" w:rsidRPr="00DE096C" w:rsidRDefault="00B67D7C" w:rsidP="00D45A46">
      <w:pPr>
        <w:shd w:val="clear" w:color="auto" w:fill="FFFFFF"/>
        <w:jc w:val="both"/>
        <w:rPr>
          <w:bCs/>
          <w:i/>
          <w:color w:val="002060"/>
          <w:sz w:val="16"/>
          <w:szCs w:val="16"/>
        </w:rPr>
      </w:pPr>
    </w:p>
    <w:p w14:paraId="5A86C7FF" w14:textId="3F217B70"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24 июля (6 августа) 1914 </w:t>
      </w:r>
      <w:r w:rsidR="009A7EB7" w:rsidRPr="00DE096C">
        <w:rPr>
          <w:bCs/>
          <w:color w:val="002060"/>
          <w:sz w:val="16"/>
          <w:szCs w:val="16"/>
        </w:rPr>
        <w:t>г. г</w:t>
      </w:r>
      <w:r w:rsidRPr="00DE096C">
        <w:rPr>
          <w:bCs/>
          <w:color w:val="002060"/>
          <w:sz w:val="16"/>
          <w:szCs w:val="16"/>
        </w:rPr>
        <w:t>ерманский самолет, летавший в тыл наших войск в районе Вилковишки, был сбит ружейным огнем конницы. Самолет и экипаж, состоявший из раненых летчика-офицера и мейшка, попали в плен. Это был первый неприятельский самолет, сбитый нашими войсками (Воздушный справочник , 1915, стр.2).</w:t>
      </w:r>
    </w:p>
    <w:p w14:paraId="7FB35A93" w14:textId="77777777" w:rsidR="00B67D7C" w:rsidRPr="00DE096C" w:rsidRDefault="00B67D7C" w:rsidP="00D45A46">
      <w:pPr>
        <w:shd w:val="clear" w:color="auto" w:fill="FFFFFF"/>
        <w:jc w:val="both"/>
        <w:rPr>
          <w:bCs/>
          <w:color w:val="002060"/>
          <w:sz w:val="16"/>
          <w:szCs w:val="16"/>
        </w:rPr>
      </w:pPr>
    </w:p>
    <w:p w14:paraId="2EA50ABC" w14:textId="77777777" w:rsidR="00A71855" w:rsidRPr="00DE096C" w:rsidRDefault="00A71855" w:rsidP="00D45A46">
      <w:pPr>
        <w:jc w:val="both"/>
        <w:rPr>
          <w:bCs/>
          <w:color w:val="002060"/>
          <w:sz w:val="16"/>
          <w:szCs w:val="16"/>
        </w:rPr>
      </w:pPr>
      <w:r w:rsidRPr="00DE096C">
        <w:rPr>
          <w:bCs/>
          <w:color w:val="002060"/>
          <w:sz w:val="16"/>
          <w:szCs w:val="16"/>
        </w:rPr>
        <w:t>24 июля (6 августа) 1914 г. германский самолет, летавший в тыл наших войск в районе Вилковики был сбит ружейным огнем конницы, само лет и раненый экипаж, состоявший из летчика-офицера и механика, попал в плен. Это был первый неприятельский самолет, сбитый нашими войсками.</w:t>
      </w:r>
    </w:p>
    <w:p w14:paraId="0C999FE6" w14:textId="6A76E761" w:rsidR="00A71855" w:rsidRPr="00DE096C" w:rsidRDefault="00A71855" w:rsidP="00D45A46">
      <w:pPr>
        <w:jc w:val="both"/>
        <w:rPr>
          <w:bCs/>
          <w:color w:val="002060"/>
          <w:sz w:val="16"/>
          <w:szCs w:val="16"/>
        </w:rPr>
      </w:pPr>
      <w:r w:rsidRPr="00DE096C">
        <w:rPr>
          <w:bCs/>
          <w:color w:val="002060"/>
          <w:sz w:val="16"/>
          <w:szCs w:val="16"/>
        </w:rPr>
        <w:t>/Воздушный справочник, 1915, стр. 2/ (23320).</w:t>
      </w:r>
    </w:p>
    <w:p w14:paraId="7C97E69C" w14:textId="77777777" w:rsidR="00A71855" w:rsidRPr="00DE096C" w:rsidRDefault="00A71855" w:rsidP="00D45A46">
      <w:pPr>
        <w:jc w:val="both"/>
        <w:rPr>
          <w:bCs/>
          <w:color w:val="002060"/>
          <w:sz w:val="16"/>
          <w:szCs w:val="16"/>
        </w:rPr>
      </w:pPr>
    </w:p>
    <w:p w14:paraId="1EA6AA8C"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Авиация и воздухоплавание Франции:</w:t>
      </w:r>
    </w:p>
    <w:p w14:paraId="7AE97B1F" w14:textId="77777777" w:rsidR="00B67D7C" w:rsidRPr="00DE096C" w:rsidRDefault="00B67D7C" w:rsidP="00D45A46">
      <w:pPr>
        <w:pStyle w:val="a3"/>
        <w:jc w:val="both"/>
        <w:rPr>
          <w:bCs/>
          <w:color w:val="002060"/>
          <w:spacing w:val="0"/>
          <w:kern w:val="0"/>
          <w:position w:val="0"/>
          <w:sz w:val="16"/>
          <w:szCs w:val="16"/>
        </w:rPr>
      </w:pPr>
    </w:p>
    <w:p w14:paraId="6A25524A" w14:textId="19115ECA" w:rsidR="00B67D7C" w:rsidRPr="00DE096C" w:rsidRDefault="00B67D7C" w:rsidP="00D45A46">
      <w:pPr>
        <w:jc w:val="both"/>
        <w:rPr>
          <w:bCs/>
          <w:color w:val="002060"/>
          <w:sz w:val="16"/>
          <w:szCs w:val="16"/>
        </w:rPr>
      </w:pPr>
      <w:r w:rsidRPr="00DE096C">
        <w:rPr>
          <w:bCs/>
          <w:color w:val="002060"/>
          <w:sz w:val="16"/>
          <w:szCs w:val="16"/>
        </w:rPr>
        <w:t>24 июля (6 августа)</w:t>
      </w:r>
      <w:r w:rsidR="009A7EB7" w:rsidRPr="00DE096C">
        <w:rPr>
          <w:bCs/>
          <w:color w:val="002060"/>
          <w:sz w:val="16"/>
          <w:szCs w:val="16"/>
        </w:rPr>
        <w:t xml:space="preserve"> 1914 г. состоялась первая попытка применения сухопутного дирижабля в боевых действиях, </w:t>
      </w:r>
      <w:r w:rsidRPr="00DE096C">
        <w:rPr>
          <w:bCs/>
          <w:color w:val="002060"/>
          <w:sz w:val="16"/>
          <w:szCs w:val="16"/>
        </w:rPr>
        <w:t xml:space="preserve">когда из Колина под Рейном стартовал цеппелин Z-VI. Его целью был город Льеж. И этот блин вышел комом — над городом цеппелин получил порцию шрапнели. Экипаж смог довести поврежденный корабль до германской территории, но во время посадки у Бонна дирижабль был уничтожен. 24 [94] августа Z-IX произвел первое воздушное нападение на крепость Антверпен. </w:t>
      </w:r>
    </w:p>
    <w:p w14:paraId="34D2CECE" w14:textId="77777777" w:rsidR="00B67D7C" w:rsidRPr="00DE096C" w:rsidRDefault="00B67D7C" w:rsidP="00D45A46">
      <w:pPr>
        <w:jc w:val="both"/>
        <w:rPr>
          <w:bCs/>
          <w:color w:val="002060"/>
          <w:sz w:val="16"/>
          <w:szCs w:val="16"/>
        </w:rPr>
      </w:pPr>
      <w:r w:rsidRPr="00DE096C">
        <w:rPr>
          <w:bCs/>
          <w:color w:val="002060"/>
          <w:sz w:val="16"/>
          <w:szCs w:val="16"/>
        </w:rPr>
        <w:t xml:space="preserve">В очередной раз о воздушных кораблях вспомнили, когда в районе Эльзаса левый фланг германских войск попал в тяжелое положение. Имея перед собой превосходящие силы противника и гористую местность, войска очень слабо ориентировались в обстановке. Высланные в разведку конные части баварской дивизии понесли большие потери и не смогли проникнуть в расположение противника более чем на 15 км. Авиация также была не в состоянии обеспечить эффективную разведку из-за плохой погоды, отсутствия подходящих аэродромов и сильно пересеченной местности. </w:t>
      </w:r>
    </w:p>
    <w:p w14:paraId="16547A39" w14:textId="77777777" w:rsidR="00B67D7C" w:rsidRPr="00DE096C" w:rsidRDefault="00B67D7C" w:rsidP="00D45A46">
      <w:pPr>
        <w:pStyle w:val="a3"/>
        <w:jc w:val="both"/>
        <w:rPr>
          <w:bCs/>
          <w:color w:val="002060"/>
          <w:spacing w:val="0"/>
          <w:kern w:val="0"/>
          <w:position w:val="0"/>
          <w:sz w:val="16"/>
          <w:szCs w:val="16"/>
        </w:rPr>
      </w:pPr>
    </w:p>
    <w:p w14:paraId="0580A5A1" w14:textId="0A33EC93"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24 июля (6 августа) 1914 </w:t>
      </w:r>
      <w:r w:rsidR="009A7EB7" w:rsidRPr="00DE096C">
        <w:rPr>
          <w:bCs/>
          <w:color w:val="002060"/>
          <w:sz w:val="16"/>
          <w:szCs w:val="16"/>
        </w:rPr>
        <w:t>г. п</w:t>
      </w:r>
      <w:r w:rsidRPr="00DE096C">
        <w:rPr>
          <w:bCs/>
          <w:color w:val="002060"/>
          <w:sz w:val="16"/>
          <w:szCs w:val="16"/>
        </w:rPr>
        <w:t>илот 3-й французской эскадрильи Тьерсонье при пе</w:t>
      </w:r>
      <w:r w:rsidRPr="00DE096C">
        <w:rPr>
          <w:bCs/>
          <w:color w:val="002060"/>
          <w:sz w:val="16"/>
          <w:szCs w:val="16"/>
        </w:rPr>
        <w:softHyphen/>
        <w:t>релете из Кольмара к Фрайбургу был впервые обстрелян германской артиллерией. Разрывы снарядов лопались «как раскаленные орехи», не причинив никакого вреда летчику и его машине (11060).</w:t>
      </w:r>
    </w:p>
    <w:p w14:paraId="335EB934" w14:textId="77777777" w:rsidR="00B67D7C" w:rsidRPr="00DE096C" w:rsidRDefault="00B67D7C" w:rsidP="00D45A46">
      <w:pPr>
        <w:shd w:val="clear" w:color="auto" w:fill="FFFFFF"/>
        <w:jc w:val="both"/>
        <w:rPr>
          <w:bCs/>
          <w:color w:val="002060"/>
          <w:sz w:val="16"/>
          <w:szCs w:val="16"/>
        </w:rPr>
      </w:pPr>
    </w:p>
    <w:p w14:paraId="637682DF" w14:textId="7A817392" w:rsidR="00793FAC" w:rsidRPr="00DE096C" w:rsidRDefault="00793FAC" w:rsidP="00D45A46">
      <w:pPr>
        <w:pStyle w:val="a3"/>
        <w:jc w:val="both"/>
        <w:rPr>
          <w:bCs/>
          <w:color w:val="002060"/>
          <w:spacing w:val="0"/>
          <w:kern w:val="0"/>
          <w:position w:val="0"/>
          <w:sz w:val="16"/>
          <w:szCs w:val="16"/>
        </w:rPr>
      </w:pPr>
      <w:r w:rsidRPr="00DE096C">
        <w:rPr>
          <w:bCs/>
          <w:color w:val="002060"/>
          <w:spacing w:val="0"/>
          <w:kern w:val="0"/>
          <w:position w:val="0"/>
          <w:sz w:val="16"/>
          <w:szCs w:val="16"/>
        </w:rPr>
        <w:t>Авиация и воздухоплавание Германии:</w:t>
      </w:r>
    </w:p>
    <w:p w14:paraId="548783A5" w14:textId="77777777" w:rsidR="00793FAC" w:rsidRPr="00DE096C" w:rsidRDefault="00793FAC" w:rsidP="00D45A46">
      <w:pPr>
        <w:pStyle w:val="a3"/>
        <w:jc w:val="both"/>
        <w:rPr>
          <w:bCs/>
          <w:color w:val="002060"/>
          <w:spacing w:val="0"/>
          <w:kern w:val="0"/>
          <w:position w:val="0"/>
          <w:sz w:val="16"/>
          <w:szCs w:val="16"/>
        </w:rPr>
      </w:pPr>
    </w:p>
    <w:p w14:paraId="652C77F1" w14:textId="1137F7E0" w:rsidR="00793FAC" w:rsidRPr="00DE096C" w:rsidRDefault="00793FAC" w:rsidP="00D45A46">
      <w:pPr>
        <w:jc w:val="both"/>
        <w:rPr>
          <w:bCs/>
          <w:color w:val="002060"/>
          <w:sz w:val="16"/>
          <w:szCs w:val="16"/>
        </w:rPr>
      </w:pPr>
      <w:r w:rsidRPr="00DE096C">
        <w:rPr>
          <w:bCs/>
          <w:color w:val="002060"/>
          <w:sz w:val="16"/>
          <w:szCs w:val="16"/>
        </w:rPr>
        <w:t xml:space="preserve">24 июля (6 августа) 1914 </w:t>
      </w:r>
      <w:r w:rsidR="009A7EB7" w:rsidRPr="00DE096C">
        <w:rPr>
          <w:bCs/>
          <w:color w:val="002060"/>
          <w:sz w:val="16"/>
          <w:szCs w:val="16"/>
        </w:rPr>
        <w:t xml:space="preserve">г. </w:t>
      </w:r>
      <w:r w:rsidRPr="00DE096C">
        <w:rPr>
          <w:bCs/>
          <w:color w:val="002060"/>
          <w:sz w:val="16"/>
          <w:szCs w:val="16"/>
        </w:rPr>
        <w:t>первый дирижабль потерян в бою - Цеппелин Z VI имперской армии Германии . Сильно поврежденная артиллерийским и пехотным огнем во время своего первого боевого вылета при бомбардировке Льежа, Бельгия, на малой высоте, он с трудом возвращается в Германию и терпит крушение при аварийной посадке в лесу недалеко от Бонна (20337).</w:t>
      </w:r>
    </w:p>
    <w:p w14:paraId="7602542E" w14:textId="77777777" w:rsidR="00793FAC" w:rsidRPr="00DE096C" w:rsidRDefault="00793FAC" w:rsidP="00D45A46">
      <w:pPr>
        <w:jc w:val="both"/>
        <w:rPr>
          <w:bCs/>
          <w:color w:val="002060"/>
          <w:sz w:val="16"/>
          <w:szCs w:val="16"/>
        </w:rPr>
      </w:pPr>
    </w:p>
    <w:p w14:paraId="24CDC84C" w14:textId="77777777" w:rsidR="00463704" w:rsidRPr="00DE096C" w:rsidRDefault="00463704" w:rsidP="00D45A46">
      <w:pPr>
        <w:jc w:val="both"/>
        <w:rPr>
          <w:bCs/>
          <w:color w:val="002060"/>
          <w:sz w:val="16"/>
          <w:szCs w:val="16"/>
        </w:rPr>
      </w:pPr>
      <w:r w:rsidRPr="00DE096C">
        <w:rPr>
          <w:bCs/>
          <w:color w:val="002060"/>
          <w:sz w:val="16"/>
          <w:szCs w:val="16"/>
        </w:rPr>
        <w:t xml:space="preserve">24 июля (6 августа) состоялась первая попытка применения сухопутного дирижабля в боевых действиях, когда из Колина под Рейном стартовал цеппелин Z-VI. Его целью был город Льеж. И этот блин вышел комом — над городом цеппелин получил порцию шрапнели. Экипаж смог довести поврежденный корабль до германской территории, но во время посадки у Бонна дирижабль был уничтожен. </w:t>
      </w:r>
    </w:p>
    <w:p w14:paraId="0589C42F" w14:textId="77777777" w:rsidR="00463704" w:rsidRPr="00DE096C" w:rsidRDefault="00463704" w:rsidP="00D45A46">
      <w:pPr>
        <w:jc w:val="both"/>
        <w:rPr>
          <w:bCs/>
          <w:color w:val="002060"/>
          <w:sz w:val="16"/>
          <w:szCs w:val="16"/>
        </w:rPr>
      </w:pPr>
    </w:p>
    <w:p w14:paraId="6D50E272" w14:textId="77777777" w:rsidR="009A7EB7" w:rsidRPr="00DE096C" w:rsidRDefault="009A7EB7" w:rsidP="00D45A46">
      <w:pPr>
        <w:jc w:val="both"/>
        <w:rPr>
          <w:bCs/>
          <w:i/>
          <w:color w:val="002060"/>
          <w:sz w:val="16"/>
          <w:szCs w:val="16"/>
        </w:rPr>
      </w:pPr>
      <w:r w:rsidRPr="00DE096C">
        <w:rPr>
          <w:bCs/>
          <w:i/>
          <w:color w:val="002060"/>
          <w:sz w:val="16"/>
          <w:szCs w:val="16"/>
        </w:rPr>
        <w:t>За рубежом:</w:t>
      </w:r>
    </w:p>
    <w:p w14:paraId="530C28A6" w14:textId="77777777" w:rsidR="009A7EB7" w:rsidRPr="00DE096C" w:rsidRDefault="009A7EB7" w:rsidP="00D45A46">
      <w:pPr>
        <w:jc w:val="both"/>
        <w:rPr>
          <w:bCs/>
          <w:color w:val="002060"/>
          <w:sz w:val="16"/>
          <w:szCs w:val="16"/>
        </w:rPr>
      </w:pPr>
    </w:p>
    <w:p w14:paraId="14803E40" w14:textId="77777777" w:rsidR="009A7EB7" w:rsidRPr="00DE096C" w:rsidRDefault="009A7EB7" w:rsidP="00D45A46">
      <w:pPr>
        <w:jc w:val="both"/>
        <w:rPr>
          <w:bCs/>
          <w:color w:val="002060"/>
          <w:sz w:val="16"/>
          <w:szCs w:val="16"/>
        </w:rPr>
      </w:pPr>
      <w:r w:rsidRPr="00DE096C">
        <w:rPr>
          <w:bCs/>
          <w:color w:val="002060"/>
          <w:sz w:val="16"/>
          <w:szCs w:val="16"/>
        </w:rPr>
        <w:t>24 июля (6 августа) в 1914 году Австро-Венгрия объявила войну России, Сербия и Черногория Германии. Правительство Австро-Венгрии объявило, что в ее планы входит аннексия Польши (14975).</w:t>
      </w:r>
    </w:p>
    <w:p w14:paraId="16E0DDD7" w14:textId="77777777" w:rsidR="009A7EB7" w:rsidRPr="00DE096C" w:rsidRDefault="009A7EB7" w:rsidP="00D45A46">
      <w:pPr>
        <w:jc w:val="both"/>
        <w:rPr>
          <w:bCs/>
          <w:color w:val="002060"/>
          <w:sz w:val="16"/>
          <w:szCs w:val="16"/>
        </w:rPr>
      </w:pPr>
    </w:p>
    <w:p w14:paraId="4BAB4A9C" w14:textId="77777777" w:rsidR="009A7EB7" w:rsidRPr="00DE096C" w:rsidRDefault="009A7EB7" w:rsidP="00D45A46">
      <w:pPr>
        <w:jc w:val="both"/>
        <w:rPr>
          <w:bCs/>
          <w:color w:val="002060"/>
          <w:sz w:val="16"/>
          <w:szCs w:val="16"/>
        </w:rPr>
      </w:pPr>
      <w:r w:rsidRPr="00DE096C">
        <w:rPr>
          <w:bCs/>
          <w:color w:val="002060"/>
          <w:sz w:val="16"/>
          <w:szCs w:val="16"/>
        </w:rPr>
        <w:t>24 июля (6 августа) в 1914 году Сербия и Черногория объявляют войну Германии (14975).</w:t>
      </w:r>
    </w:p>
    <w:p w14:paraId="055A23C8" w14:textId="77777777" w:rsidR="009A7EB7" w:rsidRPr="00DE096C" w:rsidRDefault="009A7EB7" w:rsidP="00D45A46">
      <w:pPr>
        <w:jc w:val="both"/>
        <w:rPr>
          <w:bCs/>
          <w:color w:val="002060"/>
          <w:sz w:val="16"/>
          <w:szCs w:val="16"/>
        </w:rPr>
      </w:pPr>
    </w:p>
    <w:p w14:paraId="6E1B72B7" w14:textId="77777777" w:rsidR="009A7EB7" w:rsidRPr="00DE096C" w:rsidRDefault="009A7EB7" w:rsidP="00D45A46">
      <w:pPr>
        <w:jc w:val="both"/>
        <w:rPr>
          <w:bCs/>
          <w:color w:val="002060"/>
          <w:sz w:val="16"/>
          <w:szCs w:val="16"/>
        </w:rPr>
      </w:pPr>
      <w:r w:rsidRPr="00DE096C">
        <w:rPr>
          <w:bCs/>
          <w:color w:val="002060"/>
          <w:sz w:val="16"/>
          <w:szCs w:val="16"/>
        </w:rPr>
        <w:t>24 июля (6 августа) в 1914 году правительство Австро-Венгрии объявляет, что в ее планы входит аннексия Польши (14975).</w:t>
      </w:r>
    </w:p>
    <w:p w14:paraId="2E0CC620" w14:textId="77777777" w:rsidR="009A7EB7" w:rsidRPr="00DE096C" w:rsidRDefault="009A7EB7" w:rsidP="00D45A46">
      <w:pPr>
        <w:jc w:val="both"/>
        <w:rPr>
          <w:bCs/>
          <w:color w:val="002060"/>
          <w:sz w:val="16"/>
          <w:szCs w:val="16"/>
        </w:rPr>
      </w:pPr>
    </w:p>
    <w:p w14:paraId="3B1985FA" w14:textId="77777777" w:rsidR="009A7EB7" w:rsidRPr="00DE096C" w:rsidRDefault="009A7EB7" w:rsidP="00D45A46">
      <w:pPr>
        <w:jc w:val="both"/>
        <w:rPr>
          <w:bCs/>
          <w:color w:val="002060"/>
          <w:sz w:val="16"/>
          <w:szCs w:val="16"/>
        </w:rPr>
      </w:pPr>
      <w:r w:rsidRPr="00DE096C">
        <w:rPr>
          <w:bCs/>
          <w:color w:val="002060"/>
          <w:sz w:val="16"/>
          <w:szCs w:val="16"/>
        </w:rPr>
        <w:t>24 июля (6 августа) в 1914 году начинает боевые действия Польский легион во главе с полковником Пилсудским (14975).</w:t>
      </w:r>
    </w:p>
    <w:p w14:paraId="5D35A52E" w14:textId="77777777" w:rsidR="009A7EB7" w:rsidRPr="00DE096C" w:rsidRDefault="009A7EB7" w:rsidP="00D45A46">
      <w:pPr>
        <w:jc w:val="both"/>
        <w:rPr>
          <w:bCs/>
          <w:color w:val="002060"/>
          <w:sz w:val="16"/>
          <w:szCs w:val="16"/>
        </w:rPr>
      </w:pPr>
    </w:p>
    <w:p w14:paraId="6E0EBBFC" w14:textId="77777777" w:rsidR="009A7EB7" w:rsidRPr="00DE096C" w:rsidRDefault="009A7EB7" w:rsidP="00D45A46">
      <w:pPr>
        <w:jc w:val="both"/>
        <w:rPr>
          <w:bCs/>
          <w:color w:val="002060"/>
          <w:sz w:val="16"/>
          <w:szCs w:val="16"/>
        </w:rPr>
      </w:pPr>
      <w:r w:rsidRPr="00DE096C">
        <w:rPr>
          <w:bCs/>
          <w:color w:val="002060"/>
          <w:sz w:val="16"/>
          <w:szCs w:val="16"/>
        </w:rPr>
        <w:t>24 июля (6 августа) в 1914 году Китай объявляет о своем нейтралитете в начинающейся первой мировой войне (14975).</w:t>
      </w:r>
    </w:p>
    <w:p w14:paraId="464EB06D" w14:textId="77777777" w:rsidR="009A7EB7" w:rsidRPr="00DE096C" w:rsidRDefault="009A7EB7" w:rsidP="00D45A46">
      <w:pPr>
        <w:jc w:val="both"/>
        <w:rPr>
          <w:bCs/>
          <w:color w:val="002060"/>
          <w:sz w:val="16"/>
          <w:szCs w:val="16"/>
        </w:rPr>
      </w:pPr>
    </w:p>
    <w:p w14:paraId="53F3BDB5" w14:textId="77777777" w:rsidR="00E74A51" w:rsidRPr="00DE096C" w:rsidRDefault="00E74A51" w:rsidP="00D45A46">
      <w:pPr>
        <w:jc w:val="both"/>
        <w:rPr>
          <w:bCs/>
          <w:i/>
          <w:color w:val="002060"/>
          <w:sz w:val="16"/>
          <w:szCs w:val="16"/>
        </w:rPr>
      </w:pPr>
      <w:r w:rsidRPr="00DE096C">
        <w:rPr>
          <w:bCs/>
          <w:i/>
          <w:color w:val="002060"/>
          <w:sz w:val="16"/>
          <w:szCs w:val="16"/>
        </w:rPr>
        <w:t>За рубежом:</w:t>
      </w:r>
    </w:p>
    <w:p w14:paraId="48C19CF9" w14:textId="77777777" w:rsidR="00E74A51" w:rsidRPr="00DE096C" w:rsidRDefault="00E74A51" w:rsidP="00D45A46">
      <w:pPr>
        <w:jc w:val="both"/>
        <w:rPr>
          <w:bCs/>
          <w:color w:val="002060"/>
          <w:sz w:val="16"/>
          <w:szCs w:val="16"/>
        </w:rPr>
      </w:pPr>
    </w:p>
    <w:p w14:paraId="46AFDC97" w14:textId="6856E5B8" w:rsidR="00E74A51" w:rsidRPr="00DE096C" w:rsidRDefault="00E74A51" w:rsidP="00D45A46">
      <w:pPr>
        <w:jc w:val="both"/>
        <w:rPr>
          <w:bCs/>
          <w:color w:val="002060"/>
          <w:sz w:val="16"/>
          <w:szCs w:val="16"/>
        </w:rPr>
      </w:pPr>
      <w:r w:rsidRPr="00DE096C">
        <w:rPr>
          <w:bCs/>
          <w:color w:val="002060"/>
          <w:sz w:val="16"/>
          <w:szCs w:val="16"/>
        </w:rPr>
        <w:t>2</w:t>
      </w:r>
      <w:r w:rsidR="009A7EB7" w:rsidRPr="00DE096C">
        <w:rPr>
          <w:bCs/>
          <w:color w:val="002060"/>
          <w:sz w:val="16"/>
          <w:szCs w:val="16"/>
        </w:rPr>
        <w:t>5</w:t>
      </w:r>
      <w:r w:rsidRPr="00DE096C">
        <w:rPr>
          <w:bCs/>
          <w:color w:val="002060"/>
          <w:sz w:val="16"/>
          <w:szCs w:val="16"/>
        </w:rPr>
        <w:t xml:space="preserve"> июля (7 августа) в 1914 году немецкие войска оккупируют Льеж (Бельгия) (14976).</w:t>
      </w:r>
    </w:p>
    <w:p w14:paraId="63AE686A" w14:textId="77777777" w:rsidR="00E74A51" w:rsidRPr="00DE096C" w:rsidRDefault="00E74A51" w:rsidP="00D45A46">
      <w:pPr>
        <w:jc w:val="both"/>
        <w:rPr>
          <w:bCs/>
          <w:color w:val="002060"/>
          <w:sz w:val="16"/>
          <w:szCs w:val="16"/>
        </w:rPr>
      </w:pPr>
    </w:p>
    <w:p w14:paraId="34E8A95D"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5CB61C1E" w14:textId="77777777" w:rsidR="00B67D7C" w:rsidRPr="00DE096C" w:rsidRDefault="00B67D7C" w:rsidP="00D45A46">
      <w:pPr>
        <w:shd w:val="clear" w:color="auto" w:fill="FFFFFF"/>
        <w:jc w:val="both"/>
        <w:rPr>
          <w:bCs/>
          <w:i/>
          <w:color w:val="002060"/>
          <w:sz w:val="16"/>
          <w:szCs w:val="16"/>
        </w:rPr>
      </w:pPr>
    </w:p>
    <w:p w14:paraId="516181BD" w14:textId="4B955184" w:rsidR="00B67D7C" w:rsidRPr="00DE096C" w:rsidRDefault="00B67D7C" w:rsidP="00D45A46">
      <w:pPr>
        <w:shd w:val="clear" w:color="auto" w:fill="FFFFFF"/>
        <w:jc w:val="both"/>
        <w:rPr>
          <w:bCs/>
          <w:color w:val="002060"/>
          <w:sz w:val="16"/>
          <w:szCs w:val="16"/>
        </w:rPr>
      </w:pPr>
      <w:bookmarkStart w:id="97" w:name="_Hlk117227306"/>
      <w:r w:rsidRPr="00DE096C">
        <w:rPr>
          <w:bCs/>
          <w:color w:val="002060"/>
          <w:sz w:val="16"/>
          <w:szCs w:val="16"/>
        </w:rPr>
        <w:t xml:space="preserve">25 июля (7 августа) 1914 </w:t>
      </w:r>
      <w:r w:rsidR="005E1B05" w:rsidRPr="00DE096C">
        <w:rPr>
          <w:bCs/>
          <w:color w:val="002060"/>
          <w:sz w:val="16"/>
          <w:szCs w:val="16"/>
        </w:rPr>
        <w:t>появился проект покупки флотом сухопутного "Ильи Муромца", который должен оперировать на удалении до 60 миль от берега</w:t>
      </w:r>
      <w:r w:rsidRPr="00DE096C">
        <w:rPr>
          <w:bCs/>
          <w:color w:val="002060"/>
          <w:sz w:val="16"/>
          <w:szCs w:val="16"/>
        </w:rPr>
        <w:t>, но через</w:t>
      </w:r>
      <w:r w:rsidR="005E1B05" w:rsidRPr="00DE096C">
        <w:rPr>
          <w:bCs/>
          <w:color w:val="002060"/>
          <w:sz w:val="16"/>
          <w:szCs w:val="16"/>
        </w:rPr>
        <w:t xml:space="preserve"> </w:t>
      </w:r>
      <w:r w:rsidRPr="00DE096C">
        <w:rPr>
          <w:bCs/>
          <w:color w:val="002060"/>
          <w:sz w:val="16"/>
          <w:szCs w:val="16"/>
        </w:rPr>
        <w:t>4 дня 29 июля (10 августа) 1914 делу дали отбой, при том, что теперь для защиты морских объектов в окрестностях Ревеля предполагалось использовать змейковый аэростат, выделяемый армейскими воз</w:t>
      </w:r>
      <w:r w:rsidRPr="00DE096C">
        <w:rPr>
          <w:bCs/>
          <w:color w:val="002060"/>
          <w:sz w:val="16"/>
          <w:szCs w:val="16"/>
        </w:rPr>
        <w:softHyphen/>
        <w:t>духоплавателями (2843).</w:t>
      </w:r>
    </w:p>
    <w:p w14:paraId="24BB1D82" w14:textId="77777777" w:rsidR="00B67D7C" w:rsidRPr="00DE096C" w:rsidRDefault="00B67D7C" w:rsidP="00D45A46">
      <w:pPr>
        <w:shd w:val="clear" w:color="auto" w:fill="FFFFFF"/>
        <w:jc w:val="both"/>
        <w:rPr>
          <w:bCs/>
          <w:color w:val="002060"/>
          <w:sz w:val="16"/>
          <w:szCs w:val="16"/>
        </w:rPr>
      </w:pPr>
    </w:p>
    <w:bookmarkEnd w:id="97"/>
    <w:p w14:paraId="30623149" w14:textId="77777777" w:rsidR="00793FAC" w:rsidRPr="00DE096C" w:rsidRDefault="00793FAC" w:rsidP="00D45A46">
      <w:pPr>
        <w:jc w:val="both"/>
        <w:rPr>
          <w:rStyle w:val="43"/>
          <w:rFonts w:ascii="Times New Roman" w:hAnsi="Times New Roman" w:cs="Times New Roman"/>
          <w:bCs/>
          <w:color w:val="002060"/>
          <w:w w:val="100"/>
          <w:sz w:val="16"/>
          <w:szCs w:val="16"/>
        </w:rPr>
      </w:pPr>
      <w:r w:rsidRPr="00DE096C">
        <w:rPr>
          <w:rStyle w:val="43"/>
          <w:rFonts w:ascii="Times New Roman" w:hAnsi="Times New Roman" w:cs="Times New Roman"/>
          <w:bCs/>
          <w:color w:val="002060"/>
          <w:w w:val="100"/>
          <w:sz w:val="16"/>
          <w:szCs w:val="16"/>
        </w:rPr>
        <w:t>25 июля (7 августа) 1914 начальник МГШ вице-адмирал А.И. Русин сообщил, что Военное ведомство уступает флоту старый ненадёжный дирижабль, с которым будет много хлопот. Поэтому А.И. Ру</w:t>
      </w:r>
      <w:r w:rsidRPr="00DE096C">
        <w:rPr>
          <w:rStyle w:val="43"/>
          <w:rFonts w:ascii="Times New Roman" w:hAnsi="Times New Roman" w:cs="Times New Roman"/>
          <w:bCs/>
          <w:color w:val="002060"/>
          <w:w w:val="100"/>
          <w:sz w:val="16"/>
          <w:szCs w:val="16"/>
        </w:rPr>
        <w:softHyphen/>
        <w:t>син предлагал приобрести сухопутный самолёт «Илья Муромец», способный производить раз</w:t>
      </w:r>
      <w:r w:rsidRPr="00DE096C">
        <w:rPr>
          <w:rStyle w:val="43"/>
          <w:rFonts w:ascii="Times New Roman" w:hAnsi="Times New Roman" w:cs="Times New Roman"/>
          <w:bCs/>
          <w:color w:val="002060"/>
          <w:w w:val="100"/>
          <w:sz w:val="16"/>
          <w:szCs w:val="16"/>
        </w:rPr>
        <w:softHyphen/>
        <w:t>ведку на 60 миль от берега. Эссен от дирижабля отказался и просил дать из 6-й армии змейковый аэростат (29120).</w:t>
      </w:r>
    </w:p>
    <w:p w14:paraId="420978F0" w14:textId="77777777" w:rsidR="00793FAC" w:rsidRPr="00DE096C" w:rsidRDefault="00793FAC" w:rsidP="00D45A46">
      <w:pPr>
        <w:jc w:val="both"/>
        <w:rPr>
          <w:bCs/>
          <w:color w:val="002060"/>
          <w:sz w:val="16"/>
          <w:szCs w:val="16"/>
        </w:rPr>
      </w:pPr>
    </w:p>
    <w:p w14:paraId="312588AD"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Армия:</w:t>
      </w:r>
    </w:p>
    <w:p w14:paraId="07F91EBB" w14:textId="77777777" w:rsidR="00B67D7C" w:rsidRPr="00DE096C" w:rsidRDefault="00B67D7C" w:rsidP="00D45A46">
      <w:pPr>
        <w:pStyle w:val="a3"/>
        <w:jc w:val="both"/>
        <w:rPr>
          <w:bCs/>
          <w:color w:val="002060"/>
          <w:spacing w:val="0"/>
          <w:kern w:val="0"/>
          <w:position w:val="0"/>
          <w:sz w:val="16"/>
          <w:szCs w:val="16"/>
        </w:rPr>
      </w:pPr>
    </w:p>
    <w:p w14:paraId="7B1CA327" w14:textId="7F91F054" w:rsidR="00B67D7C" w:rsidRPr="00DE096C" w:rsidRDefault="00B67D7C" w:rsidP="00D45A46">
      <w:pPr>
        <w:jc w:val="both"/>
        <w:rPr>
          <w:bCs/>
          <w:color w:val="002060"/>
          <w:sz w:val="16"/>
          <w:szCs w:val="16"/>
        </w:rPr>
      </w:pPr>
      <w:bookmarkStart w:id="98" w:name="_Hlk117227351"/>
      <w:r w:rsidRPr="00DE096C">
        <w:rPr>
          <w:bCs/>
          <w:color w:val="002060"/>
          <w:sz w:val="16"/>
          <w:szCs w:val="16"/>
        </w:rPr>
        <w:t xml:space="preserve">25-26 июля (7-8) августа 1914 года </w:t>
      </w:r>
      <w:r w:rsidR="00E3027F" w:rsidRPr="00DE096C">
        <w:rPr>
          <w:bCs/>
          <w:color w:val="002060"/>
          <w:sz w:val="16"/>
          <w:szCs w:val="16"/>
        </w:rPr>
        <w:t xml:space="preserve">дирижабль Z-V, один из двух, наряду с Z-IV, которые были приданы армии Гинденбурга, </w:t>
      </w:r>
      <w:r w:rsidRPr="00DE096C">
        <w:rPr>
          <w:bCs/>
          <w:color w:val="002060"/>
          <w:sz w:val="16"/>
          <w:szCs w:val="16"/>
        </w:rPr>
        <w:t xml:space="preserve">произвел из Кенигсберга, где он базировался, разведку района Вроцлав — Плоцк — Кутно — Лодзь, а 11 и 12 августа повторил ее. В последнем полете дирижабль был обстрелян русскими, а затем и германскими войсками и получил значительные повреждения. Однако он доставил в штаб ценные сведения о концентрации войск в районе Новогеоргиевска. Воздушный корабль произвел также бомбардировку железнодорожного узла Млава и разогнал своим огнем и бомбами казачий полк, который готовился к атаке. Z-V также совершил большое количество ночных разведывательных полетов в район Осовца и Шавлей, доставляя в штаб Восточного фронта большое количество ценной информации о противнике. </w:t>
      </w:r>
    </w:p>
    <w:p w14:paraId="14AC0A5A" w14:textId="77777777" w:rsidR="00B67D7C" w:rsidRPr="00DE096C" w:rsidRDefault="00B67D7C" w:rsidP="00D45A46">
      <w:pPr>
        <w:jc w:val="both"/>
        <w:rPr>
          <w:bCs/>
          <w:color w:val="002060"/>
          <w:sz w:val="16"/>
          <w:szCs w:val="16"/>
        </w:rPr>
      </w:pPr>
      <w:r w:rsidRPr="00DE096C">
        <w:rPr>
          <w:bCs/>
          <w:color w:val="002060"/>
          <w:sz w:val="16"/>
          <w:szCs w:val="16"/>
        </w:rPr>
        <w:t xml:space="preserve">В одном из последующих полетов дирижабль был серьезно поврежден шрапнельным огнем, потерял много водорода и совершил вынужденную посадку около Липовца. Экипаж был взят в плен при попытке уничтожить дирижабль. </w:t>
      </w:r>
    </w:p>
    <w:p w14:paraId="2715E9DA" w14:textId="77777777" w:rsidR="00B67D7C" w:rsidRPr="00DE096C" w:rsidRDefault="00B67D7C" w:rsidP="00D45A46">
      <w:pPr>
        <w:jc w:val="both"/>
        <w:rPr>
          <w:bCs/>
          <w:color w:val="002060"/>
          <w:sz w:val="16"/>
          <w:szCs w:val="16"/>
        </w:rPr>
      </w:pPr>
      <w:r w:rsidRPr="00DE096C">
        <w:rPr>
          <w:bCs/>
          <w:color w:val="002060"/>
          <w:sz w:val="16"/>
          <w:szCs w:val="16"/>
        </w:rPr>
        <w:t xml:space="preserve">Второй цеппелин, Z-IV, выполнил ряд дерзких налетов из Познани на скопления русских войск на малой высоте. Он неоднократно попадал под ружейный обстрел: из одного полета вернулся, имея около 300 пробоин. [179] </w:t>
      </w:r>
    </w:p>
    <w:p w14:paraId="0EB90ACB" w14:textId="77777777" w:rsidR="00B67D7C" w:rsidRPr="00DE096C" w:rsidRDefault="00B67D7C" w:rsidP="00D45A46">
      <w:pPr>
        <w:jc w:val="both"/>
        <w:rPr>
          <w:bCs/>
          <w:color w:val="002060"/>
          <w:sz w:val="16"/>
          <w:szCs w:val="16"/>
        </w:rPr>
      </w:pPr>
      <w:r w:rsidRPr="00DE096C">
        <w:rPr>
          <w:bCs/>
          <w:color w:val="002060"/>
          <w:sz w:val="16"/>
          <w:szCs w:val="16"/>
        </w:rPr>
        <w:t xml:space="preserve">Приведем красноречивое свидетельство боевой работы цеппелинов на Восточном фронте, оставленное генералом русской армии Ренненкампфом. </w:t>
      </w:r>
    </w:p>
    <w:p w14:paraId="6BDFC2DE" w14:textId="77777777" w:rsidR="00B67D7C" w:rsidRPr="00DE096C" w:rsidRDefault="00B67D7C" w:rsidP="00D45A46">
      <w:pPr>
        <w:jc w:val="both"/>
        <w:rPr>
          <w:bCs/>
          <w:color w:val="002060"/>
          <w:sz w:val="16"/>
          <w:szCs w:val="16"/>
        </w:rPr>
      </w:pPr>
      <w:r w:rsidRPr="00DE096C">
        <w:rPr>
          <w:bCs/>
          <w:color w:val="002060"/>
          <w:sz w:val="16"/>
          <w:szCs w:val="16"/>
        </w:rPr>
        <w:t xml:space="preserve">«Когда мы вошли в Восточную Пруссию в августе 1914 года, неприятельская авиация проявляла себя столь незначительно, что к сегодняшнему дню о ней не сохранилось почти никаких воспоминаний. Зато господство в воздухе германских воздушных кораблей запомнилось крепко. </w:t>
      </w:r>
    </w:p>
    <w:p w14:paraId="0243B68A" w14:textId="77777777" w:rsidR="00B67D7C" w:rsidRPr="00DE096C" w:rsidRDefault="00B67D7C" w:rsidP="00D45A46">
      <w:pPr>
        <w:jc w:val="both"/>
        <w:rPr>
          <w:bCs/>
          <w:color w:val="002060"/>
          <w:sz w:val="16"/>
          <w:szCs w:val="16"/>
        </w:rPr>
      </w:pPr>
      <w:r w:rsidRPr="00DE096C">
        <w:rPr>
          <w:bCs/>
          <w:color w:val="002060"/>
          <w:sz w:val="16"/>
          <w:szCs w:val="16"/>
        </w:rPr>
        <w:t xml:space="preserve">Впервые о том, что несет с собой цеппелин, мы узнали в ночь на 23 августа, когда его бомба попала в бивак 110-го пехотного Камского полка и вывела из строя убитыми и ранеными сразу 17 человек. Другой раз цеппелин в одном из своих ночных налетов на место расположения 1-й армии в городе Инстербурге сбросил несколько легких бомб в стоящий на восточной окраине города артиллерийский парк. Попадания пришлись в коновязь. На утро там можно было видеть 30 убитых лошадей с развороченными внутренностями. </w:t>
      </w:r>
    </w:p>
    <w:p w14:paraId="7ABE7138" w14:textId="77777777" w:rsidR="00B67D7C" w:rsidRPr="00DE096C" w:rsidRDefault="00B67D7C" w:rsidP="00D45A46">
      <w:pPr>
        <w:jc w:val="both"/>
        <w:rPr>
          <w:bCs/>
          <w:color w:val="002060"/>
          <w:sz w:val="16"/>
          <w:szCs w:val="16"/>
        </w:rPr>
      </w:pPr>
      <w:r w:rsidRPr="00DE096C">
        <w:rPr>
          <w:bCs/>
          <w:color w:val="002060"/>
          <w:sz w:val="16"/>
          <w:szCs w:val="16"/>
        </w:rPr>
        <w:t xml:space="preserve">В тот период при штабе 1-й армии имелся охранный отряд, состоящий из трех родов войск. Обычно на ночь от отряда выставлялось вокруг штаба со всех сторон охранение. Сохранился один из приказов от 27 августа по одному отряду за № 164: </w:t>
      </w:r>
    </w:p>
    <w:p w14:paraId="770A6E2C" w14:textId="77777777" w:rsidR="00B67D7C" w:rsidRPr="00DE096C" w:rsidRDefault="00B67D7C" w:rsidP="00D45A46">
      <w:pPr>
        <w:jc w:val="both"/>
        <w:rPr>
          <w:bCs/>
          <w:color w:val="002060"/>
          <w:sz w:val="16"/>
          <w:szCs w:val="16"/>
        </w:rPr>
      </w:pPr>
      <w:r w:rsidRPr="00DE096C">
        <w:rPr>
          <w:bCs/>
          <w:color w:val="002060"/>
          <w:sz w:val="16"/>
          <w:szCs w:val="16"/>
        </w:rPr>
        <w:t xml:space="preserve">«Последние дни ночью и на рассвете над ночлегами войск появляется цеппелин, бросающий вниз бомбы. Предписываю частям, несущим службу охранения, открывать по неприятельскому воздушному кораблю ружейный и артиллерийский огонь. Батарея (или ее дежурная часть) должна постоянно иметь орудия, еще с </w:t>
      </w:r>
      <w:r w:rsidRPr="00DE096C">
        <w:rPr>
          <w:bCs/>
          <w:color w:val="002060"/>
          <w:sz w:val="16"/>
          <w:szCs w:val="16"/>
        </w:rPr>
        <w:lastRenderedPageBreak/>
        <w:t xml:space="preserve">вечера направленными в разные стороны, с врытыми в землю (ямы) хоботами и поднятыми дулами, насколько возможно. С приближением неприятельского воздушного корабля немедленно тушить [180] все огни. На биваках (по возможности) не располагаться открыто. </w:t>
      </w:r>
    </w:p>
    <w:p w14:paraId="6631966D" w14:textId="77777777" w:rsidR="00B67D7C" w:rsidRPr="00DE096C" w:rsidRDefault="00B67D7C" w:rsidP="00D45A46">
      <w:pPr>
        <w:jc w:val="both"/>
        <w:rPr>
          <w:bCs/>
          <w:color w:val="002060"/>
          <w:sz w:val="16"/>
          <w:szCs w:val="16"/>
        </w:rPr>
      </w:pPr>
      <w:r w:rsidRPr="00DE096C">
        <w:rPr>
          <w:bCs/>
          <w:color w:val="002060"/>
          <w:sz w:val="16"/>
          <w:szCs w:val="16"/>
        </w:rPr>
        <w:t xml:space="preserve">Командующий армией обещает Георгиевские кресты тем чинам, выстрелами которых будет спущен на землю неприятельский воздушный корабль, захвачен или уничтожен. </w:t>
      </w:r>
    </w:p>
    <w:p w14:paraId="1764CAF6" w14:textId="77777777" w:rsidR="00B67D7C" w:rsidRPr="00DE096C" w:rsidRDefault="00B67D7C" w:rsidP="00D45A46">
      <w:pPr>
        <w:jc w:val="both"/>
        <w:rPr>
          <w:bCs/>
          <w:color w:val="002060"/>
          <w:sz w:val="16"/>
          <w:szCs w:val="16"/>
        </w:rPr>
      </w:pPr>
      <w:r w:rsidRPr="00DE096C">
        <w:rPr>
          <w:bCs/>
          <w:color w:val="002060"/>
          <w:sz w:val="16"/>
          <w:szCs w:val="16"/>
        </w:rPr>
        <w:t xml:space="preserve">О возможности ночной стрельбы вверх по воздушному кораблю должны быть предупреждены все без исключения чины главной квартиры, охранного отряда и проходящие части. </w:t>
      </w:r>
    </w:p>
    <w:p w14:paraId="10CB0068" w14:textId="77777777" w:rsidR="00B67D7C" w:rsidRPr="00DE096C" w:rsidRDefault="00B67D7C" w:rsidP="00D45A46">
      <w:pPr>
        <w:jc w:val="both"/>
        <w:rPr>
          <w:bCs/>
          <w:color w:val="002060"/>
          <w:sz w:val="16"/>
          <w:szCs w:val="16"/>
        </w:rPr>
      </w:pPr>
      <w:r w:rsidRPr="00DE096C">
        <w:rPr>
          <w:bCs/>
          <w:color w:val="002060"/>
          <w:sz w:val="16"/>
          <w:szCs w:val="16"/>
        </w:rPr>
        <w:t xml:space="preserve">Об изложенном объявляю по отряду для сведения и руководства. Начальник охранного отряда». </w:t>
      </w:r>
    </w:p>
    <w:p w14:paraId="56DB62BB" w14:textId="77777777" w:rsidR="00B67D7C" w:rsidRPr="00DE096C" w:rsidRDefault="00B67D7C" w:rsidP="00D45A46">
      <w:pPr>
        <w:jc w:val="both"/>
        <w:rPr>
          <w:bCs/>
          <w:color w:val="002060"/>
          <w:sz w:val="16"/>
          <w:szCs w:val="16"/>
        </w:rPr>
      </w:pPr>
      <w:r w:rsidRPr="00DE096C">
        <w:rPr>
          <w:bCs/>
          <w:color w:val="002060"/>
          <w:sz w:val="16"/>
          <w:szCs w:val="16"/>
        </w:rPr>
        <w:t>Потом была обещана денежная награда за сбитие цеппелина. Это привело к тому, что во время одного из ночных визитов германского воздушного корабля в Инстербурге на улице был замечен один из чинов армейского управления, стреляющий по цеппелину из... револьвера. Однако, несмотря на все это, ни один из кораблей в Восточной Пруссии над Инстербургом подбит не был. С другой стороны, за все время цеппелины не причинили штабу армии никакого вреда. Для борьбы с ними в воздухе мы тогда не располагали соответствующими воздушными силами. А между тем перед войной в составе войск Виленского округа числилась 4-я воздухоплавательная рота, расположенная в Ковно, 5-я воздухоплавательная рота в Гродно и 9-я воздухоплавательная рота в Лиде. В последней имелись воздушные корабли и, между прочим, дирижабль «Астра», полученный летом 1913 года. Мне удалось 31 августа того же года подняться на нем, причем он обратил на себя внимание крайней медлительностью и тем, что ни за что не брал высоты. Было ясно, что для военных целей он окажется непригодным» (11324).</w:t>
      </w:r>
    </w:p>
    <w:p w14:paraId="39678EAE" w14:textId="77777777" w:rsidR="00B67D7C" w:rsidRPr="00DE096C" w:rsidRDefault="00B67D7C" w:rsidP="00D45A46">
      <w:pPr>
        <w:pStyle w:val="a3"/>
        <w:jc w:val="both"/>
        <w:rPr>
          <w:bCs/>
          <w:color w:val="002060"/>
          <w:spacing w:val="0"/>
          <w:kern w:val="0"/>
          <w:position w:val="0"/>
          <w:sz w:val="16"/>
          <w:szCs w:val="16"/>
        </w:rPr>
      </w:pPr>
    </w:p>
    <w:bookmarkEnd w:id="98"/>
    <w:p w14:paraId="7E8F21D2" w14:textId="77777777" w:rsidR="00793FAC" w:rsidRPr="00DE096C" w:rsidRDefault="00793FAC" w:rsidP="00D45A46">
      <w:pPr>
        <w:shd w:val="clear" w:color="auto" w:fill="FFFFFF"/>
        <w:jc w:val="both"/>
        <w:rPr>
          <w:bCs/>
          <w:i/>
          <w:color w:val="002060"/>
          <w:sz w:val="16"/>
          <w:szCs w:val="16"/>
        </w:rPr>
      </w:pPr>
      <w:r w:rsidRPr="00DE096C">
        <w:rPr>
          <w:bCs/>
          <w:i/>
          <w:color w:val="002060"/>
          <w:sz w:val="16"/>
          <w:szCs w:val="16"/>
        </w:rPr>
        <w:t>Жизнь и внутреняя политика:</w:t>
      </w:r>
    </w:p>
    <w:p w14:paraId="54116754" w14:textId="77777777" w:rsidR="00793FAC" w:rsidRPr="00DE096C" w:rsidRDefault="00793FAC" w:rsidP="00D45A46">
      <w:pPr>
        <w:shd w:val="clear" w:color="auto" w:fill="FFFFFF"/>
        <w:jc w:val="both"/>
        <w:rPr>
          <w:bCs/>
          <w:i/>
          <w:color w:val="002060"/>
          <w:sz w:val="16"/>
          <w:szCs w:val="16"/>
        </w:rPr>
      </w:pPr>
    </w:p>
    <w:p w14:paraId="3AB5ED0A" w14:textId="3DB78BC5" w:rsidR="00793FAC" w:rsidRPr="00DE096C" w:rsidRDefault="00793FAC" w:rsidP="00D45A46">
      <w:pPr>
        <w:pStyle w:val="a3"/>
        <w:jc w:val="both"/>
        <w:rPr>
          <w:bCs/>
          <w:i w:val="0"/>
          <w:color w:val="002060"/>
          <w:spacing w:val="0"/>
          <w:kern w:val="0"/>
          <w:position w:val="0"/>
          <w:sz w:val="16"/>
          <w:szCs w:val="16"/>
        </w:rPr>
      </w:pPr>
      <w:bookmarkStart w:id="99" w:name="_Hlk117227470"/>
      <w:r w:rsidRPr="00DE096C">
        <w:rPr>
          <w:bCs/>
          <w:i w:val="0"/>
          <w:color w:val="002060"/>
          <w:spacing w:val="0"/>
          <w:kern w:val="0"/>
          <w:position w:val="0"/>
          <w:sz w:val="16"/>
          <w:szCs w:val="16"/>
        </w:rPr>
        <w:t>25 июля (7 августа) 1914 г.</w:t>
      </w:r>
      <w:r w:rsidR="00E3027F" w:rsidRPr="00DE096C">
        <w:rPr>
          <w:bCs/>
          <w:i w:val="0"/>
          <w:color w:val="002060"/>
          <w:spacing w:val="0"/>
          <w:kern w:val="0"/>
          <w:position w:val="0"/>
          <w:sz w:val="16"/>
          <w:szCs w:val="16"/>
        </w:rPr>
        <w:t xml:space="preserve"> Московская губернская земская управа предложила экстренному собранию, созванному в этот день</w:t>
      </w:r>
      <w:r w:rsidRPr="00DE096C">
        <w:rPr>
          <w:bCs/>
          <w:i w:val="0"/>
          <w:color w:val="002060"/>
          <w:spacing w:val="0"/>
          <w:kern w:val="0"/>
          <w:position w:val="0"/>
          <w:sz w:val="16"/>
          <w:szCs w:val="16"/>
        </w:rPr>
        <w:t>, создать общеземскую организацию помощи раненым и просила ассигновать 500 000 рублей; с этой целью телеграммою же уведомила о новом коллективном земском деле и остальные земства. Через несколько дней ответные телеграммы были получены почти со всей России. Съезд представителей земств, состоявшийся 30 июля 1914 г., конституировал образование Земского союза. К Союзу примкнула 41 земская губерния (исключение составляло Курское губернское земство и Область войска Донского). Его высшим органом являлся съезд уполномоченных земств (по два уполномоченных от каждой земской губернии: от губернского земского собрания и губернской земской управы). Между съездами делами союза ведал Главный комитет из десяти членов во главе с главноуполномоченным. Первым главноуполномоченным стал князь г.Е.Львов. Общее руководство деятельностью Союза было сохранено за собранием уполномоченных губернских земств, которые избирали главноуполномоченного и Главный комитет. С первых же дней при Союзе возник ряд отделов: по лечебному делу, эвакуации, трудовому посредничеству, которые позднее были разбиты на отделы: эвакуационный, заготовительный, отдел санитарных поездов и т.д. Эти усилия были закреплены 12 августа 1914 г. по всеподданнейшему докладу министра внутренних дел. Средства же центральной организации Земского союза складывались из пособий государства, ассигнований земских собраний и частных пожертвований (11270).</w:t>
      </w:r>
    </w:p>
    <w:p w14:paraId="70536535" w14:textId="68A04E18" w:rsidR="00793FAC" w:rsidRPr="00DE096C" w:rsidRDefault="00793FAC" w:rsidP="00D45A46">
      <w:pPr>
        <w:pStyle w:val="a3"/>
        <w:jc w:val="both"/>
        <w:rPr>
          <w:bCs/>
          <w:i w:val="0"/>
          <w:color w:val="002060"/>
          <w:spacing w:val="0"/>
          <w:kern w:val="0"/>
          <w:position w:val="0"/>
          <w:sz w:val="16"/>
          <w:szCs w:val="16"/>
        </w:rPr>
      </w:pPr>
    </w:p>
    <w:p w14:paraId="68E0EC85" w14:textId="13FB7DA9" w:rsidR="00BB7964" w:rsidRPr="00DE096C" w:rsidRDefault="00BB7964" w:rsidP="00D45A46">
      <w:pPr>
        <w:pStyle w:val="a3"/>
        <w:jc w:val="both"/>
        <w:rPr>
          <w:bCs/>
          <w:iCs/>
          <w:color w:val="002060"/>
          <w:spacing w:val="0"/>
          <w:kern w:val="0"/>
          <w:position w:val="0"/>
          <w:sz w:val="16"/>
          <w:szCs w:val="16"/>
        </w:rPr>
      </w:pPr>
      <w:r w:rsidRPr="00DE096C">
        <w:rPr>
          <w:bCs/>
          <w:iCs/>
          <w:color w:val="002060"/>
          <w:spacing w:val="0"/>
          <w:kern w:val="0"/>
          <w:position w:val="0"/>
          <w:sz w:val="16"/>
          <w:szCs w:val="16"/>
        </w:rPr>
        <w:t>Авиация и воздухоплавание Германии:</w:t>
      </w:r>
    </w:p>
    <w:p w14:paraId="5F7D658F" w14:textId="77777777" w:rsidR="00BB7964" w:rsidRPr="00DE096C" w:rsidRDefault="00BB7964" w:rsidP="00D45A46">
      <w:pPr>
        <w:pStyle w:val="a3"/>
        <w:jc w:val="both"/>
        <w:rPr>
          <w:bCs/>
          <w:iCs/>
          <w:color w:val="002060"/>
          <w:spacing w:val="0"/>
          <w:kern w:val="0"/>
          <w:position w:val="0"/>
          <w:sz w:val="16"/>
          <w:szCs w:val="16"/>
        </w:rPr>
      </w:pPr>
    </w:p>
    <w:bookmarkEnd w:id="99"/>
    <w:p w14:paraId="2A9DC4F4" w14:textId="6AC6D32D" w:rsidR="00BB7964" w:rsidRPr="00DE096C" w:rsidRDefault="00BB7964" w:rsidP="00D45A46">
      <w:pPr>
        <w:jc w:val="both"/>
        <w:rPr>
          <w:bCs/>
          <w:color w:val="002060"/>
          <w:sz w:val="16"/>
          <w:szCs w:val="16"/>
        </w:rPr>
      </w:pPr>
      <w:r w:rsidRPr="00DE096C">
        <w:rPr>
          <w:bCs/>
          <w:color w:val="002060"/>
          <w:sz w:val="16"/>
          <w:szCs w:val="16"/>
        </w:rPr>
        <w:t>25-26 июля (7-8) августа 1914 года дирижабль Z-V, один из двух, наряду с Z-IV, которые были приданы армии Гинденбурга, произвел из Кенигсберга, где он базировался, разведку района Вроцлав — Плоцк — Кутно — Лодзь.</w:t>
      </w:r>
    </w:p>
    <w:p w14:paraId="01998575" w14:textId="77777777" w:rsidR="00BB7964" w:rsidRPr="00DE096C" w:rsidRDefault="00BB7964" w:rsidP="00D45A46">
      <w:pPr>
        <w:jc w:val="both"/>
        <w:rPr>
          <w:bCs/>
          <w:color w:val="002060"/>
          <w:sz w:val="16"/>
          <w:szCs w:val="16"/>
        </w:rPr>
      </w:pPr>
    </w:p>
    <w:p w14:paraId="54D96E85" w14:textId="77777777" w:rsidR="001E0CA1" w:rsidRPr="00DE096C" w:rsidRDefault="001E0CA1" w:rsidP="00D45A46">
      <w:pPr>
        <w:jc w:val="both"/>
        <w:rPr>
          <w:bCs/>
          <w:i/>
          <w:color w:val="002060"/>
          <w:sz w:val="16"/>
          <w:szCs w:val="16"/>
        </w:rPr>
      </w:pPr>
      <w:r w:rsidRPr="00DE096C">
        <w:rPr>
          <w:bCs/>
          <w:i/>
          <w:color w:val="002060"/>
          <w:sz w:val="16"/>
          <w:szCs w:val="16"/>
        </w:rPr>
        <w:t>Самолетостроение:</w:t>
      </w:r>
    </w:p>
    <w:p w14:paraId="3471BED5" w14:textId="77777777" w:rsidR="001E0CA1" w:rsidRPr="00DE096C" w:rsidRDefault="001E0CA1" w:rsidP="00D45A46">
      <w:pPr>
        <w:jc w:val="both"/>
        <w:rPr>
          <w:bCs/>
          <w:i/>
          <w:color w:val="002060"/>
          <w:sz w:val="16"/>
          <w:szCs w:val="16"/>
        </w:rPr>
      </w:pPr>
    </w:p>
    <w:p w14:paraId="0AB2B50B" w14:textId="61145003" w:rsidR="001E0CA1" w:rsidRPr="00DE096C" w:rsidRDefault="001E0CA1" w:rsidP="00D45A46">
      <w:pPr>
        <w:jc w:val="both"/>
        <w:rPr>
          <w:bCs/>
          <w:color w:val="002060"/>
          <w:sz w:val="16"/>
          <w:szCs w:val="16"/>
        </w:rPr>
      </w:pPr>
      <w:r w:rsidRPr="00DE096C">
        <w:rPr>
          <w:bCs/>
          <w:color w:val="002060"/>
          <w:sz w:val="16"/>
          <w:szCs w:val="16"/>
        </w:rPr>
        <w:t xml:space="preserve">26 июля </w:t>
      </w:r>
      <w:r w:rsidR="00E3027F" w:rsidRPr="00DE096C">
        <w:rPr>
          <w:bCs/>
          <w:color w:val="002060"/>
          <w:sz w:val="16"/>
          <w:szCs w:val="16"/>
        </w:rPr>
        <w:t xml:space="preserve">(8 августа) </w:t>
      </w:r>
      <w:r w:rsidRPr="00DE096C">
        <w:rPr>
          <w:bCs/>
          <w:color w:val="002060"/>
          <w:sz w:val="16"/>
          <w:szCs w:val="16"/>
        </w:rPr>
        <w:t>в 1914 году при Петроградском электротехническом институте была организована мастерская по ремонту термоэлектрических приборов, на основе которой в 1929 г. был основан завод (ныне ОАО «Пирометр», Санкт-Петербург) – крупный российский производитель авионики для военной и гражданской авиации. Созданной на предприятии техникой оснащено свыше 60 процентов отечественной авиации и космических аппаратов, в том числе самолеты «Ту-154», «Ил-62», «МиГ-29», «Су-27», комплексы С-300 (14964).</w:t>
      </w:r>
    </w:p>
    <w:p w14:paraId="04D81B4D" w14:textId="77777777" w:rsidR="001E0CA1" w:rsidRPr="00DE096C" w:rsidRDefault="001E0CA1" w:rsidP="00D45A46">
      <w:pPr>
        <w:jc w:val="both"/>
        <w:rPr>
          <w:bCs/>
          <w:color w:val="002060"/>
          <w:sz w:val="16"/>
          <w:szCs w:val="16"/>
        </w:rPr>
      </w:pPr>
    </w:p>
    <w:p w14:paraId="719C0434"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Другие оборонные отрасли:</w:t>
      </w:r>
    </w:p>
    <w:p w14:paraId="095A37AE" w14:textId="77777777" w:rsidR="00B67D7C" w:rsidRPr="00DE096C" w:rsidRDefault="00B67D7C" w:rsidP="00D45A46">
      <w:pPr>
        <w:shd w:val="clear" w:color="auto" w:fill="FFFFFF"/>
        <w:jc w:val="both"/>
        <w:rPr>
          <w:bCs/>
          <w:i/>
          <w:color w:val="002060"/>
          <w:sz w:val="16"/>
          <w:szCs w:val="16"/>
        </w:rPr>
      </w:pPr>
    </w:p>
    <w:p w14:paraId="608032FE" w14:textId="163E69E7" w:rsidR="00B67D7C" w:rsidRPr="00DE096C" w:rsidRDefault="00B67D7C" w:rsidP="00D45A46">
      <w:pPr>
        <w:pStyle w:val="a3"/>
        <w:jc w:val="both"/>
        <w:rPr>
          <w:bCs/>
          <w:i w:val="0"/>
          <w:color w:val="002060"/>
          <w:spacing w:val="0"/>
          <w:kern w:val="0"/>
          <w:position w:val="0"/>
          <w:sz w:val="16"/>
          <w:szCs w:val="16"/>
        </w:rPr>
      </w:pPr>
      <w:bookmarkStart w:id="100" w:name="_Hlk117227650"/>
      <w:r w:rsidRPr="00DE096C">
        <w:rPr>
          <w:bCs/>
          <w:i w:val="0"/>
          <w:color w:val="002060"/>
          <w:spacing w:val="0"/>
          <w:kern w:val="0"/>
          <w:position w:val="0"/>
          <w:sz w:val="16"/>
          <w:szCs w:val="16"/>
        </w:rPr>
        <w:t xml:space="preserve">26 июля (8 августа) 1914 и 27 января 1915 г. </w:t>
      </w:r>
      <w:r w:rsidR="00E3027F" w:rsidRPr="00DE096C">
        <w:rPr>
          <w:bCs/>
          <w:i w:val="0"/>
          <w:color w:val="002060"/>
          <w:spacing w:val="0"/>
          <w:kern w:val="0"/>
          <w:position w:val="0"/>
          <w:sz w:val="16"/>
          <w:szCs w:val="16"/>
        </w:rPr>
        <w:t xml:space="preserve">Милюкова выступил с думской трибуны с предложением буржуазии попытаться укрепить свои позиции в государственной системе управления путем соглашений с царизмом, посредством тактики внутреннего мира. </w:t>
      </w:r>
      <w:r w:rsidRPr="00DE096C">
        <w:rPr>
          <w:bCs/>
          <w:i w:val="0"/>
          <w:color w:val="002060"/>
          <w:spacing w:val="0"/>
          <w:kern w:val="0"/>
          <w:position w:val="0"/>
          <w:sz w:val="16"/>
          <w:szCs w:val="16"/>
        </w:rPr>
        <w:t>В своей речи 26 июля он, в частности, заявил: «В этой борьбе мы все заодно — мы не ставим условий и требований: мы просто кладем на весы борьбы нашу твердую волю одолеть насильника».</w:t>
      </w:r>
    </w:p>
    <w:p w14:paraId="31312FC3"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Тем не менее тревога за исход и последствия войны либералов никогла не покидала. Еще 2 августа 1914 г. на заседании ЦК кадетской партии Милюков вынужден был признать, что «единство 26 июля» является «довольно фиктивным», но его «надо всё же некоторое время поддерживать», ибо «демонстрация расхождения между властью и народом сейчас была бы очень неудобна с общей точки зрения». Но уже 14 ноября 1914 г. на заседании ЦК кадетской партии обсуждается вопрос о возможности революции во время войны. Интенсивность обсуждения этого вопроса приходится на начало 1915 г., когда представителями с мест выдвигается призыв о немедленном начале оппозиционной борьбы против внутреннего врага — царского правительства (11270).</w:t>
      </w:r>
    </w:p>
    <w:p w14:paraId="47021E7C"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 пользу такого решения говорило всё: поражение русской армии, усиление революционных и оппозиционных настроений в обществе, создание думского Прогрессивного блока, деятельность общественных буржуазных организаций. Это заставило либералов поставить вопрос о власти. </w:t>
      </w:r>
    </w:p>
    <w:p w14:paraId="3758624D"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Пути передачи власти буржуазии предполагались разные, но все они сводились к одному — «власть надо брать в любой момент», но никак не революционным путем, а посредством эволюционного общественного развития в рамках существующего парламентарного строя. И тем не менее в 1915 г. буржуазия не решалась еще на дворцовый переворот, к признанию необходимости которого она пришла осенью 1916 г. Тогда они считали для себя возможным продолжать борьбу за создание «министерства общественного доверия», которое, по их разумению, будет приемлемым и для верховной власти, так как ни в коем случае не предусматривало какого-либо радикального политического переворота, и одновременно могло быть рассмотрено в перспективе в качестве «ступеньки» к созданию думского ответственного министерства. </w:t>
      </w:r>
    </w:p>
    <w:p w14:paraId="54BFE2FD"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Дебаты вокруг этого вопроса продолжались в либеральной среде вплоть до самой Февральской революции. Они то ослабевали, то усиливались, принимая радикальное направление в зависимости от положения в стране. Споры касались и перспектив развития кризисной ситуации, и возможности революции. Но споры оставались лишь спорами, в то время как политическая обстановка всё более осложнялась. </w:t>
      </w:r>
    </w:p>
    <w:p w14:paraId="6073D488"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Одной из причин политической нестабильности стал экономический кризис. Во многом он был вызван переключением на военное производство тех отраслей промышленности, которые изготавливали предметы потребления. В результате нарушился обмен между городом и деревней, ухудшилось снабжение городского трудового населения и значительно сократилось потребление трудящихся.</w:t>
      </w:r>
    </w:p>
    <w:p w14:paraId="56AD5054"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Выход из создавшегося положения виделся правительствам воюющих держав в проведении всеобъемлющей централизации снабжения. В России с 1915 г. карточная система явочным путем стала проводиться городскими самоуправлениями на дефицитные продукты: сахар и керосин. Но официально, в виде общегосударственной меры, карточная система появилась лишь с введением хлебной монополии 25 марта 1917 г.</w:t>
      </w:r>
    </w:p>
    <w:p w14:paraId="51EF8812"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Обсуждались в России и проекты введения трудовой повинности, но идея оказалась непопулярной. Власть, опасаясь волнений рабочих и обострения социального вопроса, не пошла на принятие этого законопроекта.</w:t>
      </w:r>
    </w:p>
    <w:p w14:paraId="6D440768"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Огромные жертвы, затяжной и кровопролитный характер войны, рост дороговизны в тылу воюющих государств привели в политической сфере к смещению акцентов — от грандиозной вспышки национализма и шовинизма, идей гражданского мира во имя победы над внешним врагом к созданию в широких народных массах совершенно новой психологии военного коммунизма с присущими ей настроениями максимализма, нетерпения, всеобщего уравнительства, с ориентацией на насилие и прямое революционное действие (11270).</w:t>
      </w:r>
    </w:p>
    <w:p w14:paraId="65DD1E0F" w14:textId="77777777" w:rsidR="00B67D7C" w:rsidRPr="00DE096C" w:rsidRDefault="00B67D7C" w:rsidP="00D45A46">
      <w:pPr>
        <w:pStyle w:val="a3"/>
        <w:jc w:val="both"/>
        <w:rPr>
          <w:bCs/>
          <w:i w:val="0"/>
          <w:color w:val="002060"/>
          <w:spacing w:val="0"/>
          <w:kern w:val="0"/>
          <w:position w:val="0"/>
          <w:sz w:val="16"/>
          <w:szCs w:val="16"/>
        </w:rPr>
      </w:pPr>
    </w:p>
    <w:bookmarkEnd w:id="100"/>
    <w:p w14:paraId="6ED71A43" w14:textId="38532C73" w:rsidR="00B67D7C" w:rsidRPr="00DE096C" w:rsidRDefault="00B67D7C" w:rsidP="00D45A46">
      <w:pPr>
        <w:jc w:val="both"/>
        <w:rPr>
          <w:bCs/>
          <w:color w:val="002060"/>
          <w:sz w:val="16"/>
          <w:szCs w:val="16"/>
        </w:rPr>
      </w:pPr>
      <w:r w:rsidRPr="00DE096C">
        <w:rPr>
          <w:bCs/>
          <w:color w:val="002060"/>
          <w:sz w:val="16"/>
          <w:szCs w:val="16"/>
        </w:rPr>
        <w:t>26 июля (8 августа) 1914 года наместник императора на Кавказе генерал-лейтенант граф И.И. Воронцов-Дашков в письме председателю Совета министров высказал свои предложения на этот счет.</w:t>
      </w:r>
    </w:p>
    <w:p w14:paraId="4D175CFF" w14:textId="77777777" w:rsidR="00B67D7C" w:rsidRPr="00DE096C" w:rsidRDefault="00B67D7C" w:rsidP="00D45A46">
      <w:pPr>
        <w:jc w:val="both"/>
        <w:rPr>
          <w:bCs/>
          <w:color w:val="002060"/>
          <w:sz w:val="16"/>
          <w:szCs w:val="16"/>
        </w:rPr>
      </w:pPr>
      <w:r w:rsidRPr="00DE096C">
        <w:rPr>
          <w:bCs/>
          <w:color w:val="002060"/>
          <w:sz w:val="16"/>
          <w:szCs w:val="16"/>
        </w:rPr>
        <w:t>«Ввиду особой важности, — писал он, — удовлетворения действующей армии, флота и железных дорог в мазуте, керосине, бензине, масле и других нефтяных продуктах нахожу настоятельно необходимым спешно разработать и ввести в действие особые правила, обеспечивающие точный учет и правильный выпуск этих продуктов из нефтяных районов под контролем военного ведомства с тем, чтобы прежде всего была удовлетворена потребность в них, вызываемая военными обстоятельствами» (Ибрагимов М.Дж. Нефтяная промышленность Азербайджана в период империализма. Баку: Изд. АН АзССР «Элм», 1984. С. 183.) (11178).</w:t>
      </w:r>
    </w:p>
    <w:p w14:paraId="145788C4" w14:textId="77777777" w:rsidR="00B67D7C" w:rsidRPr="00DE096C" w:rsidRDefault="00B67D7C" w:rsidP="00D45A46">
      <w:pPr>
        <w:jc w:val="both"/>
        <w:rPr>
          <w:bCs/>
          <w:color w:val="002060"/>
          <w:sz w:val="16"/>
          <w:szCs w:val="16"/>
        </w:rPr>
      </w:pPr>
    </w:p>
    <w:p w14:paraId="4970B667" w14:textId="77777777" w:rsidR="001B7CBD" w:rsidRPr="00DE096C" w:rsidRDefault="001B7CBD" w:rsidP="00D45A46">
      <w:pPr>
        <w:jc w:val="both"/>
        <w:rPr>
          <w:bCs/>
          <w:color w:val="002060"/>
          <w:sz w:val="16"/>
          <w:szCs w:val="16"/>
        </w:rPr>
      </w:pPr>
      <w:r w:rsidRPr="00DE096C">
        <w:rPr>
          <w:bCs/>
          <w:color w:val="002060"/>
          <w:sz w:val="16"/>
          <w:szCs w:val="16"/>
        </w:rPr>
        <w:t xml:space="preserve">26 июля 1914 г. был принят новый штат ГАУ. Согласно нему, количество артиллерийских приемщиков не изменилось: один заведующий и его помощник, четыре старших артиллерийских приемщика в звании генерал- майора, восемь старших приемщиков в звании полковника и по двенадцать младших артиллерийских приемщиков в званиях полковников и подполковников соответственно. То есть общее количество чинов осталось таким же, как и в начале </w:t>
      </w:r>
      <w:r w:rsidRPr="00DE096C">
        <w:rPr>
          <w:bCs/>
          <w:color w:val="002060"/>
          <w:sz w:val="16"/>
          <w:szCs w:val="16"/>
          <w:lang w:val="en-US" w:bidi="en-US"/>
        </w:rPr>
        <w:t>XX</w:t>
      </w:r>
      <w:r w:rsidRPr="00DE096C">
        <w:rPr>
          <w:bCs/>
          <w:color w:val="002060"/>
          <w:sz w:val="16"/>
          <w:szCs w:val="16"/>
          <w:lang w:bidi="en-US"/>
        </w:rPr>
        <w:t xml:space="preserve"> </w:t>
      </w:r>
      <w:r w:rsidRPr="00DE096C">
        <w:rPr>
          <w:bCs/>
          <w:color w:val="002060"/>
          <w:sz w:val="16"/>
          <w:szCs w:val="16"/>
        </w:rPr>
        <w:t xml:space="preserve">в. Однако была значимо </w:t>
      </w:r>
      <w:r w:rsidRPr="00DE096C">
        <w:rPr>
          <w:bCs/>
          <w:color w:val="002060"/>
          <w:sz w:val="16"/>
          <w:szCs w:val="16"/>
        </w:rPr>
        <w:lastRenderedPageBreak/>
        <w:t>повышена штатно-должностная категория старших артиллерийских приемщиков: четырех - до генерал-майора и восьми - до подполковника. Взамен полковничьей должности офицера для особых поручений вводилась полноценная должность помощника инспектора, который стал исполнять обязанности его заместителя, в звании генерал-майора. Штатно-должностная категория младших артиллерийских приемщиков высшего оклада была поднята до звания полковника (таблица 11).</w:t>
      </w:r>
    </w:p>
    <w:p w14:paraId="04127460" w14:textId="77777777" w:rsidR="001B7CBD" w:rsidRPr="00DE096C" w:rsidRDefault="001B7CBD" w:rsidP="00D45A46">
      <w:pPr>
        <w:pStyle w:val="afd"/>
        <w:spacing w:line="240" w:lineRule="auto"/>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Таблица 11. Штат артиллерийских приемщиков на казенных горных и частных заводах на 1914 г.</w:t>
      </w:r>
    </w:p>
    <w:tbl>
      <w:tblPr>
        <w:tblOverlap w:val="never"/>
        <w:tblW w:w="0" w:type="auto"/>
        <w:tblLayout w:type="fixed"/>
        <w:tblCellMar>
          <w:left w:w="10" w:type="dxa"/>
          <w:right w:w="10" w:type="dxa"/>
        </w:tblCellMar>
        <w:tblLook w:val="04A0" w:firstRow="1" w:lastRow="0" w:firstColumn="1" w:lastColumn="0" w:noHBand="0" w:noVBand="1"/>
      </w:tblPr>
      <w:tblGrid>
        <w:gridCol w:w="4454"/>
        <w:gridCol w:w="1003"/>
      </w:tblGrid>
      <w:tr w:rsidR="001B7CBD" w:rsidRPr="00DE096C" w14:paraId="3FC5A360" w14:textId="77777777" w:rsidTr="00711059">
        <w:trPr>
          <w:trHeight w:val="398"/>
        </w:trPr>
        <w:tc>
          <w:tcPr>
            <w:tcW w:w="4454" w:type="dxa"/>
            <w:tcBorders>
              <w:top w:val="single" w:sz="4" w:space="0" w:color="auto"/>
              <w:left w:val="single" w:sz="4" w:space="0" w:color="auto"/>
            </w:tcBorders>
            <w:vAlign w:val="center"/>
          </w:tcPr>
          <w:p w14:paraId="53072A04" w14:textId="77777777" w:rsidR="001B7CBD" w:rsidRPr="00DE096C" w:rsidRDefault="001B7CBD" w:rsidP="00D45A46">
            <w:pPr>
              <w:pStyle w:val="afb"/>
              <w:ind w:firstLine="0"/>
              <w:jc w:val="both"/>
              <w:rPr>
                <w:rFonts w:ascii="Times New Roman" w:hAnsi="Times New Roman" w:cs="Times New Roman"/>
                <w:bCs/>
                <w:color w:val="002060"/>
                <w:sz w:val="16"/>
                <w:szCs w:val="16"/>
              </w:rPr>
            </w:pPr>
            <w:r w:rsidRPr="00DE096C">
              <w:rPr>
                <w:rFonts w:ascii="Times New Roman" w:eastAsia="Calibri" w:hAnsi="Times New Roman" w:cs="Times New Roman"/>
                <w:bCs/>
                <w:color w:val="002060"/>
                <w:sz w:val="16"/>
                <w:szCs w:val="16"/>
              </w:rPr>
              <w:t>Должность и зван не</w:t>
            </w:r>
          </w:p>
        </w:tc>
        <w:tc>
          <w:tcPr>
            <w:tcW w:w="1003" w:type="dxa"/>
            <w:tcBorders>
              <w:top w:val="single" w:sz="4" w:space="0" w:color="auto"/>
              <w:left w:val="single" w:sz="4" w:space="0" w:color="auto"/>
              <w:right w:val="single" w:sz="4" w:space="0" w:color="auto"/>
            </w:tcBorders>
          </w:tcPr>
          <w:p w14:paraId="54E3BC8F" w14:textId="77777777" w:rsidR="001B7CBD" w:rsidRPr="00DE096C" w:rsidRDefault="001B7CBD" w:rsidP="00D45A46">
            <w:pPr>
              <w:pStyle w:val="afb"/>
              <w:ind w:firstLine="0"/>
              <w:jc w:val="both"/>
              <w:rPr>
                <w:rFonts w:ascii="Times New Roman" w:hAnsi="Times New Roman" w:cs="Times New Roman"/>
                <w:bCs/>
                <w:color w:val="002060"/>
                <w:sz w:val="16"/>
                <w:szCs w:val="16"/>
              </w:rPr>
            </w:pPr>
            <w:r w:rsidRPr="00DE096C">
              <w:rPr>
                <w:rFonts w:ascii="Times New Roman" w:eastAsia="Calibri" w:hAnsi="Times New Roman" w:cs="Times New Roman"/>
                <w:bCs/>
                <w:color w:val="002060"/>
                <w:sz w:val="16"/>
                <w:szCs w:val="16"/>
              </w:rPr>
              <w:t>Количество чинов</w:t>
            </w:r>
          </w:p>
        </w:tc>
      </w:tr>
      <w:tr w:rsidR="001B7CBD" w:rsidRPr="00DE096C" w14:paraId="65FE18B8" w14:textId="77777777" w:rsidTr="00711059">
        <w:trPr>
          <w:trHeight w:val="370"/>
        </w:trPr>
        <w:tc>
          <w:tcPr>
            <w:tcW w:w="4454" w:type="dxa"/>
            <w:tcBorders>
              <w:top w:val="single" w:sz="4" w:space="0" w:color="auto"/>
              <w:left w:val="single" w:sz="4" w:space="0" w:color="auto"/>
            </w:tcBorders>
            <w:vAlign w:val="bottom"/>
          </w:tcPr>
          <w:p w14:paraId="1C196328" w14:textId="77777777" w:rsidR="001B7CBD" w:rsidRPr="00DE096C" w:rsidRDefault="001B7CBD"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Заведующий артиллерийскими приемками (генерал-майор/ген ер ал- лейтенант)</w:t>
            </w:r>
          </w:p>
        </w:tc>
        <w:tc>
          <w:tcPr>
            <w:tcW w:w="1003" w:type="dxa"/>
            <w:tcBorders>
              <w:top w:val="single" w:sz="4" w:space="0" w:color="auto"/>
              <w:left w:val="single" w:sz="4" w:space="0" w:color="auto"/>
              <w:right w:val="single" w:sz="4" w:space="0" w:color="auto"/>
            </w:tcBorders>
            <w:vAlign w:val="center"/>
          </w:tcPr>
          <w:p w14:paraId="14FDC1BC" w14:textId="77777777" w:rsidR="001B7CBD" w:rsidRPr="00DE096C" w:rsidRDefault="001B7CBD"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1</w:t>
            </w:r>
          </w:p>
        </w:tc>
      </w:tr>
      <w:tr w:rsidR="001B7CBD" w:rsidRPr="00DE096C" w14:paraId="2F00B71A" w14:textId="77777777" w:rsidTr="00711059">
        <w:trPr>
          <w:trHeight w:val="384"/>
        </w:trPr>
        <w:tc>
          <w:tcPr>
            <w:tcW w:w="4454" w:type="dxa"/>
            <w:tcBorders>
              <w:top w:val="single" w:sz="4" w:space="0" w:color="auto"/>
              <w:left w:val="single" w:sz="4" w:space="0" w:color="auto"/>
            </w:tcBorders>
            <w:vAlign w:val="bottom"/>
          </w:tcPr>
          <w:p w14:paraId="6007395D" w14:textId="77777777" w:rsidR="001B7CBD" w:rsidRPr="00DE096C" w:rsidRDefault="001B7CBD"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Помощник (генерал-майор)</w:t>
            </w:r>
          </w:p>
        </w:tc>
        <w:tc>
          <w:tcPr>
            <w:tcW w:w="1003" w:type="dxa"/>
            <w:tcBorders>
              <w:top w:val="single" w:sz="4" w:space="0" w:color="auto"/>
              <w:left w:val="single" w:sz="4" w:space="0" w:color="auto"/>
              <w:right w:val="single" w:sz="4" w:space="0" w:color="auto"/>
            </w:tcBorders>
            <w:vAlign w:val="center"/>
          </w:tcPr>
          <w:p w14:paraId="10307B8E" w14:textId="77777777" w:rsidR="001B7CBD" w:rsidRPr="00DE096C" w:rsidRDefault="001B7CBD"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1</w:t>
            </w:r>
          </w:p>
        </w:tc>
      </w:tr>
      <w:tr w:rsidR="001B7CBD" w:rsidRPr="00DE096C" w14:paraId="6F1B9131" w14:textId="77777777" w:rsidTr="00711059">
        <w:trPr>
          <w:trHeight w:val="384"/>
        </w:trPr>
        <w:tc>
          <w:tcPr>
            <w:tcW w:w="4454" w:type="dxa"/>
            <w:tcBorders>
              <w:top w:val="single" w:sz="4" w:space="0" w:color="auto"/>
              <w:left w:val="single" w:sz="4" w:space="0" w:color="auto"/>
            </w:tcBorders>
            <w:vAlign w:val="bottom"/>
          </w:tcPr>
          <w:p w14:paraId="497D22FB" w14:textId="77777777" w:rsidR="001B7CBD" w:rsidRPr="00DE096C" w:rsidRDefault="001B7CBD"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Старшин артиллерийский приемщик (генерал-майор)</w:t>
            </w:r>
          </w:p>
        </w:tc>
        <w:tc>
          <w:tcPr>
            <w:tcW w:w="1003" w:type="dxa"/>
            <w:tcBorders>
              <w:top w:val="single" w:sz="4" w:space="0" w:color="auto"/>
              <w:left w:val="single" w:sz="4" w:space="0" w:color="auto"/>
              <w:right w:val="single" w:sz="4" w:space="0" w:color="auto"/>
            </w:tcBorders>
            <w:vAlign w:val="center"/>
          </w:tcPr>
          <w:p w14:paraId="60B3DC69" w14:textId="77777777" w:rsidR="001B7CBD" w:rsidRPr="00DE096C" w:rsidRDefault="001B7CBD"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4</w:t>
            </w:r>
          </w:p>
        </w:tc>
      </w:tr>
      <w:tr w:rsidR="001B7CBD" w:rsidRPr="00DE096C" w14:paraId="0F7E1E8F" w14:textId="77777777" w:rsidTr="00711059">
        <w:trPr>
          <w:trHeight w:val="379"/>
        </w:trPr>
        <w:tc>
          <w:tcPr>
            <w:tcW w:w="4454" w:type="dxa"/>
            <w:tcBorders>
              <w:top w:val="single" w:sz="4" w:space="0" w:color="auto"/>
              <w:left w:val="single" w:sz="4" w:space="0" w:color="auto"/>
            </w:tcBorders>
            <w:vAlign w:val="bottom"/>
          </w:tcPr>
          <w:p w14:paraId="0F9DF7F8" w14:textId="77777777" w:rsidR="001B7CBD" w:rsidRPr="00DE096C" w:rsidRDefault="001B7CBD"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Старший артиллерийский приемщик (полковник)</w:t>
            </w:r>
          </w:p>
        </w:tc>
        <w:tc>
          <w:tcPr>
            <w:tcW w:w="1003" w:type="dxa"/>
            <w:tcBorders>
              <w:top w:val="single" w:sz="4" w:space="0" w:color="auto"/>
              <w:left w:val="single" w:sz="4" w:space="0" w:color="auto"/>
              <w:right w:val="single" w:sz="4" w:space="0" w:color="auto"/>
            </w:tcBorders>
            <w:vAlign w:val="center"/>
          </w:tcPr>
          <w:p w14:paraId="3A3E9F9D" w14:textId="77777777" w:rsidR="001B7CBD" w:rsidRPr="00DE096C" w:rsidRDefault="001B7CBD"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8</w:t>
            </w:r>
          </w:p>
        </w:tc>
      </w:tr>
      <w:tr w:rsidR="001B7CBD" w:rsidRPr="00DE096C" w14:paraId="5720B0BA" w14:textId="77777777" w:rsidTr="00711059">
        <w:trPr>
          <w:trHeight w:val="384"/>
        </w:trPr>
        <w:tc>
          <w:tcPr>
            <w:tcW w:w="4454" w:type="dxa"/>
            <w:tcBorders>
              <w:top w:val="single" w:sz="4" w:space="0" w:color="auto"/>
              <w:left w:val="single" w:sz="4" w:space="0" w:color="auto"/>
            </w:tcBorders>
            <w:vAlign w:val="bottom"/>
          </w:tcPr>
          <w:p w14:paraId="7467033A" w14:textId="77777777" w:rsidR="001B7CBD" w:rsidRPr="00DE096C" w:rsidRDefault="001B7CBD"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Младший артиллерийский приемщик старшего оклада (полковник)</w:t>
            </w:r>
          </w:p>
        </w:tc>
        <w:tc>
          <w:tcPr>
            <w:tcW w:w="1003" w:type="dxa"/>
            <w:tcBorders>
              <w:top w:val="single" w:sz="4" w:space="0" w:color="auto"/>
              <w:left w:val="single" w:sz="4" w:space="0" w:color="auto"/>
              <w:right w:val="single" w:sz="4" w:space="0" w:color="auto"/>
            </w:tcBorders>
            <w:vAlign w:val="center"/>
          </w:tcPr>
          <w:p w14:paraId="2EF3B983" w14:textId="77777777" w:rsidR="001B7CBD" w:rsidRPr="00DE096C" w:rsidRDefault="001B7CBD"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12</w:t>
            </w:r>
          </w:p>
        </w:tc>
      </w:tr>
      <w:tr w:rsidR="001B7CBD" w:rsidRPr="00DE096C" w14:paraId="3381DE90" w14:textId="77777777" w:rsidTr="00711059">
        <w:trPr>
          <w:trHeight w:val="384"/>
        </w:trPr>
        <w:tc>
          <w:tcPr>
            <w:tcW w:w="4454" w:type="dxa"/>
            <w:tcBorders>
              <w:top w:val="single" w:sz="4" w:space="0" w:color="auto"/>
              <w:left w:val="single" w:sz="4" w:space="0" w:color="auto"/>
            </w:tcBorders>
            <w:vAlign w:val="bottom"/>
          </w:tcPr>
          <w:p w14:paraId="1C28BD1E" w14:textId="77777777" w:rsidR="001B7CBD" w:rsidRPr="00DE096C" w:rsidRDefault="001B7CBD"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Младший артиллерийский приемщик младшего оклада (подполковник)</w:t>
            </w:r>
          </w:p>
        </w:tc>
        <w:tc>
          <w:tcPr>
            <w:tcW w:w="1003" w:type="dxa"/>
            <w:tcBorders>
              <w:top w:val="single" w:sz="4" w:space="0" w:color="auto"/>
              <w:left w:val="single" w:sz="4" w:space="0" w:color="auto"/>
              <w:right w:val="single" w:sz="4" w:space="0" w:color="auto"/>
            </w:tcBorders>
            <w:vAlign w:val="center"/>
          </w:tcPr>
          <w:p w14:paraId="61EBF0CD" w14:textId="77777777" w:rsidR="001B7CBD" w:rsidRPr="00DE096C" w:rsidRDefault="001B7CBD"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12</w:t>
            </w:r>
          </w:p>
        </w:tc>
      </w:tr>
      <w:tr w:rsidR="001B7CBD" w:rsidRPr="00DE096C" w14:paraId="7AD6A39A" w14:textId="77777777" w:rsidTr="00711059">
        <w:trPr>
          <w:trHeight w:val="389"/>
        </w:trPr>
        <w:tc>
          <w:tcPr>
            <w:tcW w:w="4454" w:type="dxa"/>
            <w:tcBorders>
              <w:top w:val="single" w:sz="4" w:space="0" w:color="auto"/>
              <w:left w:val="single" w:sz="4" w:space="0" w:color="auto"/>
              <w:bottom w:val="single" w:sz="4" w:space="0" w:color="auto"/>
            </w:tcBorders>
            <w:vAlign w:val="center"/>
          </w:tcPr>
          <w:p w14:paraId="1843F7FB" w14:textId="77777777" w:rsidR="001B7CBD" w:rsidRPr="00DE096C" w:rsidRDefault="001B7CBD"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Всего</w:t>
            </w:r>
          </w:p>
        </w:tc>
        <w:tc>
          <w:tcPr>
            <w:tcW w:w="1003" w:type="dxa"/>
            <w:tcBorders>
              <w:top w:val="single" w:sz="4" w:space="0" w:color="auto"/>
              <w:left w:val="single" w:sz="4" w:space="0" w:color="auto"/>
              <w:bottom w:val="single" w:sz="4" w:space="0" w:color="auto"/>
              <w:right w:val="single" w:sz="4" w:space="0" w:color="auto"/>
            </w:tcBorders>
            <w:vAlign w:val="center"/>
          </w:tcPr>
          <w:p w14:paraId="028D1E78" w14:textId="77777777" w:rsidR="001B7CBD" w:rsidRPr="00DE096C" w:rsidRDefault="001B7CBD"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38</w:t>
            </w:r>
          </w:p>
        </w:tc>
      </w:tr>
    </w:tbl>
    <w:p w14:paraId="174F4C20" w14:textId="77777777" w:rsidR="001B7CBD" w:rsidRPr="00DE096C" w:rsidRDefault="001B7CBD" w:rsidP="00D45A46">
      <w:pPr>
        <w:jc w:val="both"/>
        <w:rPr>
          <w:bCs/>
          <w:color w:val="002060"/>
          <w:sz w:val="16"/>
          <w:szCs w:val="16"/>
        </w:rPr>
      </w:pPr>
      <w:r w:rsidRPr="00DE096C">
        <w:rPr>
          <w:bCs/>
          <w:color w:val="002060"/>
          <w:sz w:val="16"/>
          <w:szCs w:val="16"/>
        </w:rPr>
        <w:t>Также в очередной раз было увеличено денежное содержание приемщиков: заведующего - с 4800 до 6000 рублей в год, его помощника - с 2400 до 4000 рублей, младших артиллерийских приемщиков высшего и нижнего оклада - с 2000 до 2400 рублей и с 1440 до 1920 рублей соответственно. Без изменений оставлено довольствие старших артиллерийских приемщиков - 3000 рублей в год (ПВВ № 452 от 26 июля 1914 г.).</w:t>
      </w:r>
    </w:p>
    <w:p w14:paraId="582837DF" w14:textId="77777777" w:rsidR="001B7CBD" w:rsidRPr="00DE096C" w:rsidRDefault="001B7CBD" w:rsidP="00D45A46">
      <w:pPr>
        <w:jc w:val="both"/>
        <w:rPr>
          <w:bCs/>
          <w:color w:val="002060"/>
          <w:sz w:val="16"/>
          <w:szCs w:val="16"/>
        </w:rPr>
      </w:pPr>
      <w:r w:rsidRPr="00DE096C">
        <w:rPr>
          <w:bCs/>
          <w:color w:val="002060"/>
          <w:sz w:val="16"/>
          <w:szCs w:val="16"/>
        </w:rPr>
        <w:t>В таком составе и качестве отечественный институт военной приемки артиллерийского ведомства встретил Первую мировую войну. Вооруженному противостоянию Тройственного союза и Антанты суждено было внести коренные изменения в работу военной промышленности воюющих стран. Вызванные тотальной войной проблемы в развитии экономики России затронут и деятельность артиллерийских приемщиков, которая приобретет новый, более сложный и мобилизационный характер.</w:t>
      </w:r>
    </w:p>
    <w:p w14:paraId="19F45475" w14:textId="77777777" w:rsidR="001B7CBD" w:rsidRPr="00DE096C" w:rsidRDefault="001B7CBD" w:rsidP="00D45A46">
      <w:pPr>
        <w:jc w:val="both"/>
        <w:rPr>
          <w:bCs/>
          <w:color w:val="002060"/>
          <w:sz w:val="16"/>
          <w:szCs w:val="16"/>
        </w:rPr>
      </w:pPr>
      <w:r w:rsidRPr="00DE096C">
        <w:rPr>
          <w:bCs/>
          <w:color w:val="002060"/>
          <w:sz w:val="16"/>
          <w:szCs w:val="16"/>
        </w:rPr>
        <w:t>Таким образом, в конце XIX - начале XX в. отечественный институт военной приемки прошел очередной этап своего развития. Происходило активное расширение его штата, повышались штатно-должностные категории приемщиков, на регулярной основе происходило увеличение их денежного довольствия. Вместе с тем, часть независимых органов военной приемки (приемные и поверочные комиссии) были ликвидированы (23530).</w:t>
      </w:r>
    </w:p>
    <w:p w14:paraId="4D58DC4D" w14:textId="77777777" w:rsidR="001B7CBD" w:rsidRPr="00DE096C" w:rsidRDefault="001B7CBD" w:rsidP="00D45A46">
      <w:pPr>
        <w:jc w:val="both"/>
        <w:rPr>
          <w:bCs/>
          <w:color w:val="002060"/>
          <w:sz w:val="16"/>
          <w:szCs w:val="16"/>
        </w:rPr>
      </w:pPr>
    </w:p>
    <w:p w14:paraId="219065C2" w14:textId="28B3F96A" w:rsidR="00633CA8" w:rsidRPr="00DE096C" w:rsidRDefault="00633CA8" w:rsidP="00D45A46">
      <w:pPr>
        <w:pStyle w:val="a3"/>
        <w:jc w:val="both"/>
        <w:rPr>
          <w:bCs/>
          <w:color w:val="002060"/>
          <w:spacing w:val="0"/>
          <w:kern w:val="0"/>
          <w:position w:val="0"/>
          <w:sz w:val="16"/>
          <w:szCs w:val="16"/>
        </w:rPr>
      </w:pPr>
      <w:r w:rsidRPr="00DE096C">
        <w:rPr>
          <w:bCs/>
          <w:color w:val="002060"/>
          <w:spacing w:val="0"/>
          <w:kern w:val="0"/>
          <w:position w:val="0"/>
          <w:sz w:val="16"/>
          <w:szCs w:val="16"/>
        </w:rPr>
        <w:t>Армия:</w:t>
      </w:r>
    </w:p>
    <w:p w14:paraId="7C38E40F" w14:textId="77777777" w:rsidR="00633CA8" w:rsidRPr="00DE096C" w:rsidRDefault="00633CA8" w:rsidP="00D45A46">
      <w:pPr>
        <w:pStyle w:val="a3"/>
        <w:jc w:val="both"/>
        <w:rPr>
          <w:bCs/>
          <w:color w:val="002060"/>
          <w:spacing w:val="0"/>
          <w:kern w:val="0"/>
          <w:position w:val="0"/>
          <w:sz w:val="16"/>
          <w:szCs w:val="16"/>
        </w:rPr>
      </w:pPr>
    </w:p>
    <w:p w14:paraId="2D9217A0" w14:textId="7AB805B1" w:rsidR="00633CA8" w:rsidRPr="00DE096C" w:rsidRDefault="00633CA8" w:rsidP="00D45A46">
      <w:pPr>
        <w:jc w:val="both"/>
        <w:rPr>
          <w:bCs/>
          <w:color w:val="002060"/>
          <w:sz w:val="16"/>
          <w:szCs w:val="16"/>
          <w:lang w:bidi="en-US"/>
        </w:rPr>
      </w:pPr>
      <w:r w:rsidRPr="00DE096C">
        <w:rPr>
          <w:bCs/>
          <w:color w:val="002060"/>
          <w:sz w:val="16"/>
          <w:szCs w:val="16"/>
          <w:lang w:bidi="en-US"/>
        </w:rPr>
        <w:t>26 июля (8 августа) 1914 г. начались боевые действия на Юго-Западном фронте, когда 3-я армия русских форсировала реку Стырь в Галиции. В ответ австро-венгерские войска двинулись в Галицию, их целями были Красник и Комаров (23525).</w:t>
      </w:r>
    </w:p>
    <w:p w14:paraId="58A1187C" w14:textId="77777777" w:rsidR="00633CA8" w:rsidRPr="00DE096C" w:rsidRDefault="00633CA8" w:rsidP="00D45A46">
      <w:pPr>
        <w:jc w:val="both"/>
        <w:rPr>
          <w:bCs/>
          <w:color w:val="002060"/>
          <w:sz w:val="16"/>
          <w:szCs w:val="16"/>
        </w:rPr>
      </w:pPr>
    </w:p>
    <w:p w14:paraId="7D2690C8" w14:textId="3B9C74C8"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Авиация:</w:t>
      </w:r>
    </w:p>
    <w:p w14:paraId="4B8D30BB" w14:textId="77777777" w:rsidR="00B67D7C" w:rsidRPr="00DE096C" w:rsidRDefault="00B67D7C" w:rsidP="00D45A46">
      <w:pPr>
        <w:pStyle w:val="a3"/>
        <w:jc w:val="both"/>
        <w:rPr>
          <w:bCs/>
          <w:color w:val="002060"/>
          <w:spacing w:val="0"/>
          <w:kern w:val="0"/>
          <w:position w:val="0"/>
          <w:sz w:val="16"/>
          <w:szCs w:val="16"/>
        </w:rPr>
      </w:pPr>
    </w:p>
    <w:p w14:paraId="02935B51" w14:textId="451D52E8"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26 июля (8 августа) 1914 года </w:t>
      </w:r>
      <w:r w:rsidR="00E3027F" w:rsidRPr="00DE096C">
        <w:rPr>
          <w:bCs/>
          <w:color w:val="002060"/>
          <w:sz w:val="16"/>
          <w:szCs w:val="16"/>
        </w:rPr>
        <w:t>после объявления вой</w:t>
      </w:r>
      <w:r w:rsidR="00E3027F" w:rsidRPr="00DE096C">
        <w:rPr>
          <w:bCs/>
          <w:color w:val="002060"/>
          <w:sz w:val="16"/>
          <w:szCs w:val="16"/>
        </w:rPr>
        <w:softHyphen/>
        <w:t>ны Нестеров вместе со сво</w:t>
      </w:r>
      <w:r w:rsidR="00E3027F" w:rsidRPr="00DE096C">
        <w:rPr>
          <w:bCs/>
          <w:color w:val="002060"/>
          <w:sz w:val="16"/>
          <w:szCs w:val="16"/>
        </w:rPr>
        <w:softHyphen/>
        <w:t xml:space="preserve">им авиаотрядом </w:t>
      </w:r>
      <w:r w:rsidRPr="00DE096C">
        <w:rPr>
          <w:bCs/>
          <w:color w:val="002060"/>
          <w:sz w:val="16"/>
          <w:szCs w:val="16"/>
        </w:rPr>
        <w:t>отбыл из Киева в действующую армию. 11 авиаотряд принимал участие во взятии Львова, причем Нестеров лично совершил ряд воздушных разведок Львова, произвел одну из первых бомбардировок приспособленными для этого артиллерийскими снарядами (553).</w:t>
      </w:r>
    </w:p>
    <w:p w14:paraId="6A22DCA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К 1914 году всю «огневую мощь» аэропланов со</w:t>
      </w:r>
      <w:r w:rsidRPr="00DE096C">
        <w:rPr>
          <w:bCs/>
          <w:color w:val="002060"/>
          <w:sz w:val="16"/>
          <w:szCs w:val="16"/>
        </w:rPr>
        <w:softHyphen/>
        <w:t>ставляли личные револьверы летчиков. Встретившись в воздухе, противники обменивались редкими выстре</w:t>
      </w:r>
      <w:r w:rsidRPr="00DE096C">
        <w:rPr>
          <w:bCs/>
          <w:color w:val="002060"/>
          <w:sz w:val="16"/>
          <w:szCs w:val="16"/>
        </w:rPr>
        <w:softHyphen/>
        <w:t>лами или, поднявшись выше вражеского самолета, сб</w:t>
      </w:r>
      <w:r w:rsidRPr="00DE096C">
        <w:rPr>
          <w:bCs/>
          <w:color w:val="002060"/>
          <w:sz w:val="16"/>
          <w:szCs w:val="16"/>
        </w:rPr>
        <w:softHyphen/>
        <w:t>расывали на тот бомбы. Подобный способ ведения воздушного боя был крайне неэффективен, а снаб</w:t>
      </w:r>
      <w:r w:rsidRPr="00DE096C">
        <w:rPr>
          <w:bCs/>
          <w:color w:val="002060"/>
          <w:sz w:val="16"/>
          <w:szCs w:val="16"/>
        </w:rPr>
        <w:softHyphen/>
        <w:t>дить аэропланы пулеметами правительства воюющих держав, в том числе и России, не спешили.</w:t>
      </w:r>
    </w:p>
    <w:p w14:paraId="5679108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Выход из сложившегося положения Нестеров пытался найти, оснастив самолеты своего отряда ря</w:t>
      </w:r>
      <w:r w:rsidRPr="00DE096C">
        <w:rPr>
          <w:bCs/>
          <w:color w:val="002060"/>
          <w:sz w:val="16"/>
          <w:szCs w:val="16"/>
        </w:rPr>
        <w:softHyphen/>
        <w:t>дом приспособлений собственной конструкции.</w:t>
      </w:r>
    </w:p>
    <w:p w14:paraId="7D7AD0B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Для разрушения оболочки дирижабля установил в хвостовой части аэроплана «нож-пилу», а для пора</w:t>
      </w:r>
      <w:r w:rsidRPr="00DE096C">
        <w:rPr>
          <w:bCs/>
          <w:color w:val="002060"/>
          <w:sz w:val="16"/>
          <w:szCs w:val="16"/>
        </w:rPr>
        <w:softHyphen/>
        <w:t>жения воздушного винта неприятельского самолета — длинный трос с грузом на конце в виде «кошки». Кроме того, для воздушного боя Петр Николаевич придумал боевой маневр «таран» (553).</w:t>
      </w:r>
    </w:p>
    <w:p w14:paraId="6BA52077" w14:textId="77777777" w:rsidR="00B67D7C" w:rsidRPr="00DE096C" w:rsidRDefault="00B67D7C" w:rsidP="00D45A46">
      <w:pPr>
        <w:shd w:val="clear" w:color="auto" w:fill="FFFFFF"/>
        <w:jc w:val="both"/>
        <w:rPr>
          <w:bCs/>
          <w:color w:val="002060"/>
          <w:sz w:val="16"/>
          <w:szCs w:val="16"/>
        </w:rPr>
      </w:pPr>
    </w:p>
    <w:p w14:paraId="5162F3F3" w14:textId="77777777" w:rsidR="00D77E6C" w:rsidRPr="00B52707" w:rsidRDefault="00D77E6C" w:rsidP="00D77E6C">
      <w:pPr>
        <w:jc w:val="both"/>
        <w:rPr>
          <w:rFonts w:eastAsia="Trebuchet MS"/>
          <w:color w:val="0070C0"/>
          <w:sz w:val="16"/>
          <w:szCs w:val="16"/>
          <w:shd w:val="clear" w:color="auto" w:fill="FFFFFF"/>
        </w:rPr>
      </w:pPr>
      <w:r w:rsidRPr="00B52707">
        <w:rPr>
          <w:rFonts w:eastAsia="Trebuchet MS"/>
          <w:color w:val="0070C0"/>
          <w:sz w:val="16"/>
          <w:szCs w:val="16"/>
          <w:shd w:val="clear" w:color="auto" w:fill="FFFFFF"/>
        </w:rPr>
        <w:t>26 июля (8 августа) 1914 г. из Киева на Юго-Западный фронт в распоряжение III армии выступил XI корпусной авиаотряд под командованием, который имел четыре самолета «Ньюпор-IV» и три «Моран-Ж». Лучшими летчиками отряда считались Петр Николаевич Нестеров и Евргаф Николаевич Крутень – оба освоили самолет «Морже» на отлично.</w:t>
      </w:r>
    </w:p>
    <w:p w14:paraId="5C358E90" w14:textId="77777777" w:rsidR="00D77E6C" w:rsidRPr="00B52707" w:rsidRDefault="00D77E6C" w:rsidP="00D77E6C">
      <w:pPr>
        <w:jc w:val="both"/>
        <w:rPr>
          <w:rFonts w:eastAsia="Trebuchet MS"/>
          <w:color w:val="0070C0"/>
          <w:sz w:val="16"/>
          <w:szCs w:val="16"/>
          <w:shd w:val="clear" w:color="auto" w:fill="FFFFFF"/>
        </w:rPr>
      </w:pPr>
      <w:r w:rsidRPr="00B52707">
        <w:rPr>
          <w:rFonts w:eastAsia="Trebuchet MS"/>
          <w:color w:val="0070C0"/>
          <w:sz w:val="16"/>
          <w:szCs w:val="16"/>
          <w:shd w:val="clear" w:color="auto" w:fill="FFFFFF"/>
        </w:rPr>
        <w:t>Отряд прибыл на ЮЗФ во время боев за Львов, в которых принял участие. По случайному совпадению его разместили у г. Золочев (около 90 км восточнее Львова, Галиция) в поместье барона Фридриха фон Розенталь (Friedrich von Rosenthal), который в это время служил летчиком-наблюдателем – командиром экипажа самолета Альбатрос B I австрийской авиароты, также действовавшей на этом участке фронта в непосредственной близости от базы русского XI КАО. По обнародованным позже воспоминаниям сослуживцев, Розенталь «имел своего человека в имении», который докладывал ему обо всем происходящем, и был взбешен, когда узнал, что там обосновались русские авиаторы. Он получал о них достаточно оперативные и подробные сведения, которые передавал командованию.</w:t>
      </w:r>
    </w:p>
    <w:p w14:paraId="0DAB09A0" w14:textId="77777777" w:rsidR="00D77E6C" w:rsidRPr="00B52707" w:rsidRDefault="00D77E6C" w:rsidP="00D77E6C">
      <w:pPr>
        <w:jc w:val="both"/>
        <w:rPr>
          <w:rFonts w:eastAsia="Trebuchet MS"/>
          <w:color w:val="0070C0"/>
          <w:sz w:val="16"/>
          <w:szCs w:val="16"/>
          <w:shd w:val="clear" w:color="auto" w:fill="FFFFFF"/>
        </w:rPr>
      </w:pPr>
      <w:r w:rsidRPr="00B52707">
        <w:rPr>
          <w:rFonts w:eastAsia="Trebuchet MS"/>
          <w:color w:val="0070C0"/>
          <w:sz w:val="16"/>
          <w:szCs w:val="16"/>
          <w:shd w:val="clear" w:color="auto" w:fill="FFFFFF"/>
        </w:rPr>
        <w:t>Барон фон Розенталь имел собственный самолет Альбатрос B I, который был сделан по его заказу трехместным и помимо штатного пилота Франца Малины (Franz Malina) часто брал с собой и стрелка с карабином и он же мог метать ручные гранаты по наземным целям.</w:t>
      </w:r>
    </w:p>
    <w:p w14:paraId="759CF465" w14:textId="77777777" w:rsidR="00D77E6C" w:rsidRPr="00B52707" w:rsidRDefault="00D77E6C" w:rsidP="00D77E6C">
      <w:pPr>
        <w:jc w:val="both"/>
        <w:rPr>
          <w:rFonts w:eastAsia="Trebuchet MS"/>
          <w:color w:val="0070C0"/>
          <w:sz w:val="16"/>
          <w:szCs w:val="16"/>
          <w:shd w:val="clear" w:color="auto" w:fill="FFFFFF"/>
        </w:rPr>
      </w:pPr>
      <w:r w:rsidRPr="00B52707">
        <w:rPr>
          <w:rFonts w:eastAsia="Trebuchet MS"/>
          <w:color w:val="0070C0"/>
          <w:sz w:val="16"/>
          <w:szCs w:val="16"/>
          <w:shd w:val="clear" w:color="auto" w:fill="FFFFFF"/>
        </w:rPr>
        <w:t>В это время летчики 11-го КАО вели, в основном, воздушную разведку в интересах сухопутных войск. Командир отряда Нестеров также выполнил одну из первых в ИВФ бомбардировок позиций неприятеля, используя обычные артиллерийские снаряды.</w:t>
      </w:r>
    </w:p>
    <w:p w14:paraId="2158CC84" w14:textId="77777777" w:rsidR="00D77E6C" w:rsidRPr="00B52707" w:rsidRDefault="00D77E6C" w:rsidP="00D77E6C">
      <w:pPr>
        <w:jc w:val="both"/>
        <w:rPr>
          <w:rFonts w:eastAsia="Trebuchet MS"/>
          <w:color w:val="0070C0"/>
          <w:sz w:val="16"/>
          <w:szCs w:val="16"/>
          <w:shd w:val="clear" w:color="auto" w:fill="FFFFFF"/>
        </w:rPr>
      </w:pPr>
      <w:r w:rsidRPr="00B52707">
        <w:rPr>
          <w:rFonts w:eastAsia="Trebuchet MS"/>
          <w:color w:val="0070C0"/>
          <w:sz w:val="16"/>
          <w:szCs w:val="16"/>
          <w:shd w:val="clear" w:color="auto" w:fill="FFFFFF"/>
        </w:rPr>
        <w:t>По сведениям агентурной разведки, командование австрийских войск на этом участке фронта узнало, что бомбардировку выполнил лично командир XI КАО Нестеров и назначило награду тому, кто его собьет. Предположительно, сведения эти получены были именно через Розенталя и он сам был инициатором объявления награды, надеясь ее получить.</w:t>
      </w:r>
    </w:p>
    <w:p w14:paraId="66AAA750" w14:textId="77777777" w:rsidR="00D77E6C" w:rsidRPr="00B52707" w:rsidRDefault="00D77E6C" w:rsidP="00D77E6C">
      <w:pPr>
        <w:jc w:val="both"/>
        <w:rPr>
          <w:rFonts w:eastAsia="Trebuchet MS"/>
          <w:color w:val="0070C0"/>
          <w:sz w:val="16"/>
          <w:szCs w:val="16"/>
          <w:shd w:val="clear" w:color="auto" w:fill="FFFFFF"/>
        </w:rPr>
      </w:pPr>
      <w:r w:rsidRPr="00B52707">
        <w:rPr>
          <w:rFonts w:eastAsia="Trebuchet MS"/>
          <w:color w:val="0070C0"/>
          <w:sz w:val="16"/>
          <w:szCs w:val="16"/>
          <w:shd w:val="clear" w:color="auto" w:fill="FFFFFF"/>
        </w:rPr>
        <w:t>Со своей стороны командир XI КАО штаб-капитан Нестеров также пытался разработать способ борьбы с вражескими аэропланами, дорабатывая свой самолет, пытаясь установить на нем «пилу» на хвостовом костыле и «кошку» на тросе. Нестеров утверждал, что таким образом и даже простым ударом основными опорами шасси своего самолета по вражескому сверху можно противника сбить и при этом самому продолжить полет (25704).</w:t>
      </w:r>
    </w:p>
    <w:p w14:paraId="3BE18D37" w14:textId="77777777" w:rsidR="00D77E6C" w:rsidRPr="00B52707" w:rsidRDefault="00D77E6C" w:rsidP="00D77E6C">
      <w:pPr>
        <w:jc w:val="both"/>
        <w:rPr>
          <w:rStyle w:val="ab"/>
          <w:rFonts w:ascii="Times New Roman" w:hAnsi="Times New Roman"/>
          <w:color w:val="0070C0"/>
          <w:spacing w:val="0"/>
          <w:sz w:val="16"/>
          <w:szCs w:val="16"/>
        </w:rPr>
      </w:pPr>
    </w:p>
    <w:p w14:paraId="20D780D6" w14:textId="77777777" w:rsidR="00D77E6C" w:rsidRPr="00B52707" w:rsidRDefault="00D77E6C" w:rsidP="00D77E6C">
      <w:pPr>
        <w:jc w:val="both"/>
        <w:rPr>
          <w:rStyle w:val="ab"/>
          <w:rFonts w:ascii="Times New Roman" w:hAnsi="Times New Roman"/>
          <w:color w:val="0070C0"/>
          <w:spacing w:val="0"/>
          <w:sz w:val="16"/>
          <w:szCs w:val="16"/>
        </w:rPr>
      </w:pPr>
      <w:r w:rsidRPr="00B52707">
        <w:rPr>
          <w:rStyle w:val="ab"/>
          <w:rFonts w:ascii="Times New Roman" w:hAnsi="Times New Roman"/>
          <w:color w:val="0070C0"/>
          <w:spacing w:val="0"/>
          <w:sz w:val="16"/>
          <w:szCs w:val="16"/>
        </w:rPr>
        <w:t>26 июля (8 августа) 1914 г. рано утром, в 4 часа 30 минут, рус</w:t>
      </w:r>
      <w:r w:rsidRPr="00B52707">
        <w:rPr>
          <w:rStyle w:val="ab"/>
          <w:rFonts w:ascii="Times New Roman" w:hAnsi="Times New Roman"/>
          <w:color w:val="0070C0"/>
          <w:spacing w:val="0"/>
          <w:sz w:val="16"/>
          <w:szCs w:val="16"/>
        </w:rPr>
        <w:softHyphen/>
        <w:t>ский экипаж в составе Я.И. Нагурского и Е.В. Кузнецова первым в мире поднялся на самолёте в арктическое небо. Он вылетел па обследование западного берега Повой Земли. В полёте и плот ориентировался исключительно визуально по береговой линии Новой Земли и отчасти по показаниям компаса. От мыса Борисова начались редкий лёд и торосы, а потом с севера надвинулся густой туман и облака. Ориентировка затруднилась пришлось лететь по компасу. И здесь предусмотрительность Я.И. Нагур</w:t>
      </w:r>
      <w:r w:rsidRPr="00B52707">
        <w:rPr>
          <w:rStyle w:val="ab"/>
          <w:rFonts w:ascii="Times New Roman" w:hAnsi="Times New Roman"/>
          <w:color w:val="0070C0"/>
          <w:spacing w:val="0"/>
          <w:sz w:val="16"/>
          <w:szCs w:val="16"/>
        </w:rPr>
        <w:softHyphen/>
        <w:t>ского, захватившего компас отечественного изготовления, оказалась нелишней - французский аналог отказал. При</w:t>
      </w:r>
      <w:r w:rsidRPr="00B52707">
        <w:rPr>
          <w:rStyle w:val="ab"/>
          <w:rFonts w:ascii="Times New Roman" w:hAnsi="Times New Roman"/>
          <w:color w:val="0070C0"/>
          <w:spacing w:val="0"/>
          <w:sz w:val="16"/>
          <w:szCs w:val="16"/>
        </w:rPr>
        <w:softHyphen/>
        <w:t>шлось лететь почти целый час вне видимости. Разглядеть земные ориентиры удалось только в районе Горбовых островов. Во всех проливах стоял старый, нетронутый лсд. Экипаж «Фармана» пролетел к мысу Литке, обогнул его и направился обратно. У острова Панкратьева из-за льда и тумана сесть не смогли, и пришлось лететь дальше на юг, до мыса Борисова. В общей сложности экипаж Я.II. Нагурского пробыл в воздухе 4 часа 20 минут. Од</w:t>
      </w:r>
      <w:r w:rsidRPr="00B52707">
        <w:rPr>
          <w:rStyle w:val="ab"/>
          <w:rFonts w:ascii="Times New Roman" w:hAnsi="Times New Roman"/>
          <w:color w:val="0070C0"/>
          <w:spacing w:val="0"/>
          <w:sz w:val="16"/>
          <w:szCs w:val="16"/>
        </w:rPr>
        <w:softHyphen/>
        <w:t>нако подойти к берегу гидроаэроплану в этом месте было трудно: он оказался высок, скалист, а из воды перед ним торчали острые камни. В результате при рулёжке постра</w:t>
      </w:r>
      <w:r w:rsidRPr="00B52707">
        <w:rPr>
          <w:rStyle w:val="ab"/>
          <w:rFonts w:ascii="Times New Roman" w:hAnsi="Times New Roman"/>
          <w:color w:val="0070C0"/>
          <w:spacing w:val="0"/>
          <w:sz w:val="16"/>
          <w:szCs w:val="16"/>
        </w:rPr>
        <w:softHyphen/>
        <w:t>дал левый поплавок, в который постоянно набиралась вода. Чтобы выйти на берег, экипажу пришлось лезть в воду. Основательно закрепив самолёт, Я.И. Нагурский и Ё,В. Кузнецов развели костры из плавника и, утомлённые перелётом, моментально уснули. Вскоре мимо их стоянки проследовало судно «Андромеда», которое и заправило аппарат топливом и маслом. Так состоялся первый авиа</w:t>
      </w:r>
      <w:r w:rsidRPr="00B52707">
        <w:rPr>
          <w:rStyle w:val="ab"/>
          <w:rFonts w:ascii="Times New Roman" w:hAnsi="Times New Roman"/>
          <w:color w:val="0070C0"/>
          <w:spacing w:val="0"/>
          <w:sz w:val="16"/>
          <w:szCs w:val="16"/>
        </w:rPr>
        <w:softHyphen/>
        <w:t>ционный вылет в Арктике (25653).</w:t>
      </w:r>
    </w:p>
    <w:p w14:paraId="06764F30" w14:textId="77777777" w:rsidR="00D77E6C" w:rsidRPr="00B52707" w:rsidRDefault="00D77E6C" w:rsidP="00D77E6C">
      <w:pPr>
        <w:jc w:val="both"/>
        <w:rPr>
          <w:rStyle w:val="ab"/>
          <w:rFonts w:ascii="Times New Roman" w:hAnsi="Times New Roman"/>
          <w:color w:val="0070C0"/>
          <w:spacing w:val="0"/>
          <w:sz w:val="16"/>
          <w:szCs w:val="16"/>
        </w:rPr>
      </w:pPr>
    </w:p>
    <w:p w14:paraId="73D80C9B" w14:textId="77777777" w:rsidR="00B67D7C" w:rsidRPr="00DE096C" w:rsidRDefault="00B67D7C" w:rsidP="00D45A46">
      <w:pPr>
        <w:jc w:val="both"/>
        <w:rPr>
          <w:bCs/>
          <w:i/>
          <w:color w:val="002060"/>
          <w:sz w:val="16"/>
          <w:szCs w:val="16"/>
        </w:rPr>
      </w:pPr>
      <w:r w:rsidRPr="00DE096C">
        <w:rPr>
          <w:bCs/>
          <w:i/>
          <w:color w:val="002060"/>
          <w:sz w:val="16"/>
          <w:szCs w:val="16"/>
        </w:rPr>
        <w:t>Жизнь и внутренняя политика:</w:t>
      </w:r>
    </w:p>
    <w:p w14:paraId="42688F9E" w14:textId="77777777" w:rsidR="00B67D7C" w:rsidRPr="00DE096C" w:rsidRDefault="00B67D7C" w:rsidP="00D45A46">
      <w:pPr>
        <w:jc w:val="both"/>
        <w:rPr>
          <w:bCs/>
          <w:i/>
          <w:color w:val="002060"/>
          <w:sz w:val="16"/>
          <w:szCs w:val="16"/>
        </w:rPr>
      </w:pPr>
    </w:p>
    <w:p w14:paraId="5B8D72D7" w14:textId="3CDA2B80" w:rsidR="00D77E6C" w:rsidRDefault="00D77E6C" w:rsidP="00D45A46">
      <w:pPr>
        <w:jc w:val="both"/>
        <w:rPr>
          <w:bCs/>
          <w:color w:val="002060"/>
          <w:sz w:val="16"/>
          <w:szCs w:val="16"/>
        </w:rPr>
      </w:pPr>
      <w:r w:rsidRPr="00DE096C">
        <w:rPr>
          <w:bCs/>
          <w:color w:val="002060"/>
          <w:sz w:val="16"/>
          <w:szCs w:val="16"/>
        </w:rPr>
        <w:t xml:space="preserve">26 июля </w:t>
      </w:r>
      <w:r>
        <w:rPr>
          <w:bCs/>
          <w:color w:val="002060"/>
          <w:sz w:val="16"/>
          <w:szCs w:val="16"/>
        </w:rPr>
        <w:t xml:space="preserve">(8 августа) </w:t>
      </w:r>
      <w:r w:rsidRPr="00DE096C">
        <w:rPr>
          <w:bCs/>
          <w:color w:val="002060"/>
          <w:sz w:val="16"/>
          <w:szCs w:val="16"/>
        </w:rPr>
        <w:t>1914 г.</w:t>
      </w:r>
    </w:p>
    <w:p w14:paraId="405A7D3C" w14:textId="5E075D26" w:rsidR="00B67D7C" w:rsidRPr="00DE096C" w:rsidRDefault="00B67D7C" w:rsidP="00D45A46">
      <w:pPr>
        <w:jc w:val="both"/>
        <w:rPr>
          <w:bCs/>
          <w:color w:val="002060"/>
          <w:sz w:val="16"/>
          <w:szCs w:val="16"/>
        </w:rPr>
      </w:pPr>
      <w:r w:rsidRPr="00DE096C">
        <w:rPr>
          <w:bCs/>
          <w:color w:val="002060"/>
          <w:sz w:val="16"/>
          <w:szCs w:val="16"/>
        </w:rPr>
        <w:t xml:space="preserve">Видит Господь, что не ради воинственных замыслов или суетной мирской славы подняли Мы оружие, но ограждая достоинство и безопасность Богом хранимой Нашей Империи, боремся за правое дело... </w:t>
      </w:r>
    </w:p>
    <w:p w14:paraId="6A8342A8" w14:textId="77777777" w:rsidR="00B67D7C" w:rsidRPr="00DE096C" w:rsidRDefault="00B67D7C" w:rsidP="00D45A46">
      <w:pPr>
        <w:jc w:val="both"/>
        <w:rPr>
          <w:bCs/>
          <w:color w:val="002060"/>
          <w:sz w:val="16"/>
          <w:szCs w:val="16"/>
        </w:rPr>
      </w:pPr>
      <w:r w:rsidRPr="00DE096C">
        <w:rPr>
          <w:bCs/>
          <w:color w:val="002060"/>
          <w:sz w:val="16"/>
          <w:szCs w:val="16"/>
        </w:rPr>
        <w:lastRenderedPageBreak/>
        <w:t>Из Императорского Манифеста 26 июля 1914 г. [270] (11334)</w:t>
      </w:r>
    </w:p>
    <w:p w14:paraId="48A11B65" w14:textId="77777777" w:rsidR="00B67D7C" w:rsidRPr="00DE096C" w:rsidRDefault="00B67D7C" w:rsidP="00D45A46">
      <w:pPr>
        <w:jc w:val="both"/>
        <w:rPr>
          <w:bCs/>
          <w:i/>
          <w:color w:val="002060"/>
          <w:sz w:val="16"/>
          <w:szCs w:val="16"/>
        </w:rPr>
      </w:pPr>
    </w:p>
    <w:p w14:paraId="67A4CEE6" w14:textId="77777777" w:rsidR="00B67D7C" w:rsidRPr="00DE096C" w:rsidRDefault="00B67D7C" w:rsidP="00D45A46">
      <w:pPr>
        <w:jc w:val="both"/>
        <w:rPr>
          <w:bCs/>
          <w:color w:val="002060"/>
          <w:sz w:val="16"/>
          <w:szCs w:val="16"/>
        </w:rPr>
      </w:pPr>
      <w:r w:rsidRPr="00DE096C">
        <w:rPr>
          <w:bCs/>
          <w:color w:val="002060"/>
          <w:sz w:val="16"/>
          <w:szCs w:val="16"/>
        </w:rPr>
        <w:t>26 июля (8 августа) служащие и рабочие Русско-Балтийскогозавода обратились в дирекцию за разрешением построить в свободное от основной работы время санитарный вагон на базе лучшей в тогдашнем мире пульмановской модели.</w:t>
      </w:r>
    </w:p>
    <w:p w14:paraId="38A24C42" w14:textId="77777777" w:rsidR="00B67D7C" w:rsidRPr="00DE096C" w:rsidRDefault="00B67D7C" w:rsidP="00D45A46">
      <w:pPr>
        <w:jc w:val="both"/>
        <w:rPr>
          <w:bCs/>
          <w:color w:val="002060"/>
          <w:sz w:val="16"/>
          <w:szCs w:val="16"/>
        </w:rPr>
      </w:pPr>
      <w:r w:rsidRPr="00DE096C">
        <w:rPr>
          <w:bCs/>
          <w:color w:val="002060"/>
          <w:sz w:val="16"/>
          <w:szCs w:val="16"/>
        </w:rPr>
        <w:t xml:space="preserve">28 июля (10 августа) служащие завода "Феникс" принимают решение ежемесячно отчислять </w:t>
      </w:r>
      <w:r w:rsidRPr="00DE096C">
        <w:rPr>
          <w:bCs/>
          <w:i/>
          <w:color w:val="002060"/>
          <w:sz w:val="16"/>
          <w:szCs w:val="16"/>
        </w:rPr>
        <w:t xml:space="preserve">2% </w:t>
      </w:r>
      <w:r w:rsidRPr="00DE096C">
        <w:rPr>
          <w:bCs/>
          <w:color w:val="002060"/>
          <w:sz w:val="16"/>
          <w:szCs w:val="16"/>
        </w:rPr>
        <w:t>своего жалованья в пользу семей своих товарищей, ушедших на фронт, и 1 % на нужды Крскжого Креста.</w:t>
      </w:r>
    </w:p>
    <w:p w14:paraId="45545FBC" w14:textId="77777777" w:rsidR="00B67D7C" w:rsidRPr="00DE096C" w:rsidRDefault="00B67D7C" w:rsidP="00D45A46">
      <w:pPr>
        <w:jc w:val="both"/>
        <w:rPr>
          <w:bCs/>
          <w:i/>
          <w:color w:val="002060"/>
          <w:sz w:val="16"/>
          <w:szCs w:val="16"/>
        </w:rPr>
      </w:pPr>
    </w:p>
    <w:p w14:paraId="50E98E61" w14:textId="77777777" w:rsidR="00F10146" w:rsidRPr="00DE096C" w:rsidRDefault="00F10146" w:rsidP="00D45A46">
      <w:pPr>
        <w:shd w:val="clear" w:color="auto" w:fill="FFFFFF"/>
        <w:jc w:val="both"/>
        <w:rPr>
          <w:bCs/>
          <w:i/>
          <w:color w:val="002060"/>
          <w:sz w:val="16"/>
          <w:szCs w:val="16"/>
        </w:rPr>
      </w:pPr>
      <w:r w:rsidRPr="00DE096C">
        <w:rPr>
          <w:bCs/>
          <w:i/>
          <w:color w:val="002060"/>
          <w:sz w:val="16"/>
          <w:szCs w:val="16"/>
        </w:rPr>
        <w:t>Авиация и воздухоплавание Франции:</w:t>
      </w:r>
    </w:p>
    <w:p w14:paraId="2B080C56" w14:textId="77777777" w:rsidR="00F10146" w:rsidRPr="00DE096C" w:rsidRDefault="00F10146" w:rsidP="00D45A46">
      <w:pPr>
        <w:shd w:val="clear" w:color="auto" w:fill="FFFFFF"/>
        <w:jc w:val="both"/>
        <w:rPr>
          <w:bCs/>
          <w:i/>
          <w:color w:val="002060"/>
          <w:sz w:val="16"/>
          <w:szCs w:val="16"/>
        </w:rPr>
      </w:pPr>
    </w:p>
    <w:p w14:paraId="6ECE04B3" w14:textId="3BB3DB54" w:rsidR="00F10146" w:rsidRPr="00DE096C" w:rsidRDefault="00793FAC" w:rsidP="00D45A46">
      <w:pPr>
        <w:jc w:val="both"/>
        <w:rPr>
          <w:bCs/>
          <w:color w:val="002060"/>
          <w:sz w:val="16"/>
          <w:szCs w:val="16"/>
        </w:rPr>
      </w:pPr>
      <w:r w:rsidRPr="00DE096C">
        <w:rPr>
          <w:bCs/>
          <w:color w:val="002060"/>
          <w:sz w:val="16"/>
          <w:szCs w:val="16"/>
        </w:rPr>
        <w:t xml:space="preserve">26 июля (8 августа) </w:t>
      </w:r>
      <w:r w:rsidR="00F10146" w:rsidRPr="00DE096C">
        <w:rPr>
          <w:bCs/>
          <w:color w:val="002060"/>
          <w:sz w:val="16"/>
          <w:szCs w:val="16"/>
        </w:rPr>
        <w:t>1914 обстрел германской артиллерии впервые вынуждает французского пилота сменить курс полета своего аэроплана (11999).</w:t>
      </w:r>
    </w:p>
    <w:p w14:paraId="70972F7A" w14:textId="77777777" w:rsidR="00F10146" w:rsidRPr="00DE096C" w:rsidRDefault="00F10146" w:rsidP="00D45A46">
      <w:pPr>
        <w:shd w:val="clear" w:color="auto" w:fill="FFFFFF"/>
        <w:jc w:val="both"/>
        <w:rPr>
          <w:bCs/>
          <w:i/>
          <w:color w:val="002060"/>
          <w:sz w:val="16"/>
          <w:szCs w:val="16"/>
        </w:rPr>
      </w:pPr>
    </w:p>
    <w:p w14:paraId="11191E74" w14:textId="77777777" w:rsidR="00793FAC" w:rsidRPr="00DE096C" w:rsidRDefault="00793FAC" w:rsidP="00D45A46">
      <w:pPr>
        <w:jc w:val="both"/>
        <w:rPr>
          <w:bCs/>
          <w:color w:val="002060"/>
          <w:sz w:val="16"/>
          <w:szCs w:val="16"/>
        </w:rPr>
      </w:pPr>
      <w:r w:rsidRPr="00DE096C">
        <w:rPr>
          <w:bCs/>
          <w:color w:val="002060"/>
          <w:sz w:val="16"/>
          <w:szCs w:val="16"/>
        </w:rPr>
        <w:t>26 июля (8 августа) 1914 французский воздушный наблюдатель ранен из стрелкового оружия, став первой жертвой авиацией, пострадавшей в стране и в войне (20337).</w:t>
      </w:r>
    </w:p>
    <w:p w14:paraId="0BB1F1E1" w14:textId="77777777" w:rsidR="00793FAC" w:rsidRPr="00DE096C" w:rsidRDefault="00793FAC" w:rsidP="00D45A46">
      <w:pPr>
        <w:jc w:val="both"/>
        <w:rPr>
          <w:bCs/>
          <w:color w:val="002060"/>
          <w:sz w:val="16"/>
          <w:szCs w:val="16"/>
        </w:rPr>
      </w:pPr>
    </w:p>
    <w:p w14:paraId="47197174" w14:textId="77777777" w:rsidR="007716A7" w:rsidRPr="00DE096C" w:rsidRDefault="007716A7" w:rsidP="00D45A46">
      <w:pPr>
        <w:jc w:val="both"/>
        <w:rPr>
          <w:bCs/>
          <w:color w:val="002060"/>
          <w:sz w:val="16"/>
          <w:szCs w:val="16"/>
        </w:rPr>
      </w:pPr>
      <w:r w:rsidRPr="00DE096C">
        <w:rPr>
          <w:bCs/>
          <w:color w:val="002060"/>
          <w:sz w:val="16"/>
          <w:szCs w:val="16"/>
        </w:rPr>
        <w:t>В ночь с 26 на 27 июля (8 на 9) августа 1914 года из Вердена в направлении Германии вылетел дирижабль «Флерю» под командованием капитана Фиксиера, став первым воздушном средством союзников, появившимся над германской территорией. После разведки вдоль реки Саар, воздушный корабль долетел до Трира, где сбросил несколько бомб на вокзал и благополучно вернулся обратно. «Флерю», закончивший свою службу в морском ведомстве, имел короткую историю: 5 полетов в 1914 году с 32 часами и 25 минутами налета, за это время он прошел 730 км. В каждом полете он сбрасывал 155-мм гранаты.</w:t>
      </w:r>
    </w:p>
    <w:p w14:paraId="362255CB" w14:textId="77777777" w:rsidR="007716A7" w:rsidRPr="00DE096C" w:rsidRDefault="007716A7" w:rsidP="00D45A46">
      <w:pPr>
        <w:jc w:val="both"/>
        <w:rPr>
          <w:bCs/>
          <w:color w:val="002060"/>
          <w:sz w:val="16"/>
          <w:szCs w:val="16"/>
        </w:rPr>
      </w:pPr>
      <w:r w:rsidRPr="00DE096C">
        <w:rPr>
          <w:bCs/>
          <w:color w:val="002060"/>
          <w:sz w:val="16"/>
          <w:szCs w:val="16"/>
        </w:rPr>
        <w:t>Другому французскому дирижаблю «Дюпюи де Лом» не повезло. В страхе перед немецкими цеппелинами французские солдаты, не утруждая себя опознанием летательных аппаратов, стреляли в каждый дирижабль, появлявшийся у них над головой. Метким огнем своих подразделений «Дюпюи де Лом» был сбит над Реймсом при возвращении из Мобежа, экипаж погиб. Так как подобные инциденты продолжались и далее, весной 1915 года над линией фронта были введены коридоры безопасности, в которых стрельба в ночное время по любым дирижаблям была запрещена. Устанавливались небольшие световые маячки, помогавшие экипажам дирижаблей ориентироваться при возвращении с ночного боевого вылета (11324).</w:t>
      </w:r>
    </w:p>
    <w:p w14:paraId="5E4220BD" w14:textId="77777777" w:rsidR="007716A7" w:rsidRPr="00DE096C" w:rsidRDefault="007716A7" w:rsidP="00D45A46">
      <w:pPr>
        <w:shd w:val="clear" w:color="auto" w:fill="FFFFFF"/>
        <w:jc w:val="both"/>
        <w:rPr>
          <w:bCs/>
          <w:i/>
          <w:color w:val="002060"/>
          <w:sz w:val="16"/>
          <w:szCs w:val="16"/>
        </w:rPr>
      </w:pPr>
    </w:p>
    <w:p w14:paraId="73053D40" w14:textId="77777777" w:rsidR="00E74A51" w:rsidRPr="00DE096C" w:rsidRDefault="00E74A51" w:rsidP="00D45A46">
      <w:pPr>
        <w:jc w:val="both"/>
        <w:rPr>
          <w:bCs/>
          <w:i/>
          <w:color w:val="002060"/>
          <w:sz w:val="16"/>
          <w:szCs w:val="16"/>
        </w:rPr>
      </w:pPr>
      <w:r w:rsidRPr="00DE096C">
        <w:rPr>
          <w:bCs/>
          <w:i/>
          <w:color w:val="002060"/>
          <w:sz w:val="16"/>
          <w:szCs w:val="16"/>
        </w:rPr>
        <w:t>За рубежом:</w:t>
      </w:r>
    </w:p>
    <w:p w14:paraId="2B0BA9AD" w14:textId="77777777" w:rsidR="00E74A51" w:rsidRPr="00DE096C" w:rsidRDefault="00E74A51" w:rsidP="00D45A46">
      <w:pPr>
        <w:jc w:val="both"/>
        <w:rPr>
          <w:bCs/>
          <w:color w:val="002060"/>
          <w:sz w:val="16"/>
          <w:szCs w:val="16"/>
        </w:rPr>
      </w:pPr>
    </w:p>
    <w:p w14:paraId="79791B33" w14:textId="77777777" w:rsidR="00E74A51" w:rsidRPr="00DE096C" w:rsidRDefault="00E74A51" w:rsidP="00D45A46">
      <w:pPr>
        <w:jc w:val="both"/>
        <w:rPr>
          <w:bCs/>
          <w:color w:val="002060"/>
          <w:sz w:val="16"/>
          <w:szCs w:val="16"/>
        </w:rPr>
      </w:pPr>
      <w:r w:rsidRPr="00DE096C">
        <w:rPr>
          <w:bCs/>
          <w:color w:val="002060"/>
          <w:sz w:val="16"/>
          <w:szCs w:val="16"/>
        </w:rPr>
        <w:t xml:space="preserve">26 июля (8 августа) в 1914 году линкор </w:t>
      </w:r>
      <w:hyperlink r:id="rId34" w:anchor="101022" w:tgtFrame="_blank" w:history="1">
        <w:r w:rsidRPr="00DE096C">
          <w:rPr>
            <w:bCs/>
            <w:color w:val="002060"/>
            <w:sz w:val="16"/>
            <w:szCs w:val="16"/>
          </w:rPr>
          <w:t xml:space="preserve">«Монарх» </w:t>
        </w:r>
      </w:hyperlink>
      <w:r w:rsidRPr="00DE096C">
        <w:rPr>
          <w:bCs/>
          <w:color w:val="002060"/>
          <w:sz w:val="16"/>
          <w:szCs w:val="16"/>
        </w:rPr>
        <w:t>безуспешно атакован вражеской подводной лодкой «U-15». Этот инцидент стал первой атакой боевого корабля из-под воды (14977).</w:t>
      </w:r>
    </w:p>
    <w:p w14:paraId="36156D10" w14:textId="77777777" w:rsidR="00E74A51" w:rsidRPr="00DE096C" w:rsidRDefault="00E74A51" w:rsidP="00D45A46">
      <w:pPr>
        <w:jc w:val="both"/>
        <w:rPr>
          <w:bCs/>
          <w:color w:val="002060"/>
          <w:sz w:val="16"/>
          <w:szCs w:val="16"/>
        </w:rPr>
      </w:pPr>
    </w:p>
    <w:p w14:paraId="6F05CA43" w14:textId="77777777" w:rsidR="00B67D7C" w:rsidRPr="00DE096C" w:rsidRDefault="00B67D7C" w:rsidP="00D45A46">
      <w:pPr>
        <w:jc w:val="both"/>
        <w:rPr>
          <w:bCs/>
          <w:i/>
          <w:color w:val="002060"/>
          <w:sz w:val="16"/>
          <w:szCs w:val="16"/>
        </w:rPr>
      </w:pPr>
      <w:r w:rsidRPr="00DE096C">
        <w:rPr>
          <w:bCs/>
          <w:i/>
          <w:color w:val="002060"/>
          <w:sz w:val="16"/>
          <w:szCs w:val="16"/>
        </w:rPr>
        <w:t>Самолетостроение:</w:t>
      </w:r>
    </w:p>
    <w:p w14:paraId="4C2D692C" w14:textId="77777777" w:rsidR="00B67D7C" w:rsidRPr="00DE096C" w:rsidRDefault="00B67D7C" w:rsidP="00D45A46">
      <w:pPr>
        <w:jc w:val="both"/>
        <w:rPr>
          <w:bCs/>
          <w:i/>
          <w:color w:val="002060"/>
          <w:sz w:val="16"/>
          <w:szCs w:val="16"/>
        </w:rPr>
      </w:pPr>
    </w:p>
    <w:p w14:paraId="05288824" w14:textId="4E2348BB" w:rsidR="00B67D7C" w:rsidRPr="00DE096C" w:rsidRDefault="00B67D7C" w:rsidP="00D45A46">
      <w:pPr>
        <w:jc w:val="both"/>
        <w:rPr>
          <w:bCs/>
          <w:color w:val="002060"/>
          <w:sz w:val="16"/>
          <w:szCs w:val="16"/>
        </w:rPr>
      </w:pPr>
      <w:bookmarkStart w:id="101" w:name="_Hlk117228011"/>
      <w:r w:rsidRPr="00DE096C">
        <w:rPr>
          <w:bCs/>
          <w:color w:val="002060"/>
          <w:sz w:val="16"/>
          <w:szCs w:val="16"/>
        </w:rPr>
        <w:t>27 июля (</w:t>
      </w:r>
      <w:r w:rsidR="007716A7" w:rsidRPr="00DE096C">
        <w:rPr>
          <w:bCs/>
          <w:color w:val="002060"/>
          <w:sz w:val="16"/>
          <w:szCs w:val="16"/>
        </w:rPr>
        <w:t>9</w:t>
      </w:r>
      <w:r w:rsidRPr="00DE096C">
        <w:rPr>
          <w:bCs/>
          <w:color w:val="002060"/>
          <w:sz w:val="16"/>
          <w:szCs w:val="16"/>
        </w:rPr>
        <w:t xml:space="preserve"> августа) 1914 г. МГШ просил командира Петроградского порта о даче Р-БВЗ срочного наряда на приобретение "гидроаэроплана системы Сикорский-15 с 125НР (125 л.с. — А А) мотором Аргус, стоимостью 14,000 руб". Сделка была официально закреп</w:t>
      </w:r>
      <w:r w:rsidRPr="00DE096C">
        <w:rPr>
          <w:bCs/>
          <w:color w:val="002060"/>
          <w:sz w:val="16"/>
          <w:szCs w:val="16"/>
        </w:rPr>
        <w:softHyphen/>
        <w:t>лена только 13 августа, т.к. руководство компании неожиданно увеличило цену до 17,000 руб. Спор длился недолго и 20 августа аппарат С-15 доставили в Гребной порт вместе с двумя С-10, вариант "бис" или "в". Через два дня всех их подготовили к сдаточным испытаниям, которые пришлось отложить из-за плохой погоды. В конце сентября — начале октября 1914 г. С-15 был отправлен в Ревель и опробован там, но не удовлетворил требованиям, предъ</w:t>
      </w:r>
      <w:r w:rsidRPr="00DE096C">
        <w:rPr>
          <w:bCs/>
          <w:color w:val="002060"/>
          <w:sz w:val="16"/>
          <w:szCs w:val="16"/>
        </w:rPr>
        <w:softHyphen/>
        <w:t>являвшимся к нему. В середине октября его послали обратно на завод и более сведений о нем не поступало (2843).</w:t>
      </w:r>
    </w:p>
    <w:p w14:paraId="7EFB87AB" w14:textId="77777777" w:rsidR="00B67D7C" w:rsidRPr="00DE096C" w:rsidRDefault="00B67D7C" w:rsidP="00D45A46">
      <w:pPr>
        <w:shd w:val="clear" w:color="auto" w:fill="FFFFFF"/>
        <w:jc w:val="both"/>
        <w:rPr>
          <w:bCs/>
          <w:color w:val="002060"/>
          <w:sz w:val="16"/>
          <w:szCs w:val="16"/>
        </w:rPr>
      </w:pPr>
    </w:p>
    <w:bookmarkEnd w:id="101"/>
    <w:p w14:paraId="5C8F98BC" w14:textId="61D7C00A" w:rsidR="005F421D" w:rsidRPr="00DE096C" w:rsidRDefault="005F421D" w:rsidP="005F421D">
      <w:pPr>
        <w:jc w:val="both"/>
        <w:rPr>
          <w:bCs/>
          <w:i/>
          <w:color w:val="002060"/>
          <w:sz w:val="16"/>
          <w:szCs w:val="16"/>
        </w:rPr>
      </w:pPr>
      <w:r>
        <w:rPr>
          <w:bCs/>
          <w:i/>
          <w:color w:val="002060"/>
          <w:sz w:val="16"/>
          <w:szCs w:val="16"/>
        </w:rPr>
        <w:t>Другие оборонные льрасли</w:t>
      </w:r>
      <w:r w:rsidRPr="00DE096C">
        <w:rPr>
          <w:bCs/>
          <w:i/>
          <w:color w:val="002060"/>
          <w:sz w:val="16"/>
          <w:szCs w:val="16"/>
        </w:rPr>
        <w:t>:</w:t>
      </w:r>
    </w:p>
    <w:p w14:paraId="0BE35285" w14:textId="77777777" w:rsidR="005F421D" w:rsidRPr="00DE096C" w:rsidRDefault="005F421D" w:rsidP="005F421D">
      <w:pPr>
        <w:jc w:val="both"/>
        <w:rPr>
          <w:bCs/>
          <w:i/>
          <w:color w:val="002060"/>
          <w:sz w:val="16"/>
          <w:szCs w:val="16"/>
        </w:rPr>
      </w:pPr>
    </w:p>
    <w:p w14:paraId="4D46AB05" w14:textId="77777777" w:rsidR="005F421D" w:rsidRPr="00B52707" w:rsidRDefault="005F421D" w:rsidP="005F421D">
      <w:pPr>
        <w:jc w:val="both"/>
        <w:rPr>
          <w:color w:val="0070C0"/>
          <w:sz w:val="16"/>
          <w:szCs w:val="16"/>
        </w:rPr>
      </w:pPr>
      <w:r w:rsidRPr="00B52707">
        <w:rPr>
          <w:color w:val="0070C0"/>
          <w:sz w:val="16"/>
          <w:szCs w:val="16"/>
        </w:rPr>
        <w:t>27 июля (9 августа) 1914 г. за № 2693 появилось первое указание ГКГШ в адрес ГВТУ по поводу потребного количества автомобилей, в кото</w:t>
      </w:r>
      <w:r w:rsidRPr="00B52707">
        <w:rPr>
          <w:color w:val="0070C0"/>
          <w:sz w:val="16"/>
          <w:szCs w:val="16"/>
        </w:rPr>
        <w:softHyphen/>
        <w:t>ром намечено было сформировать: 1) команду при штабе верх, глав —щего и шестую автороту для шестой армии; 7, 8 и 9 автороты —в первую очередь и 3) 10, 11 и 12 автороты —во вторую очередь. Для снабжения этих частей, а также авиационных рот и - отрядов, ГУГШ полагало не</w:t>
      </w:r>
      <w:r w:rsidRPr="00B52707">
        <w:rPr>
          <w:color w:val="0070C0"/>
          <w:sz w:val="16"/>
          <w:szCs w:val="16"/>
        </w:rPr>
        <w:softHyphen/>
        <w:t>обходимым заготовить 843 грузовика. Предполагая, что половина этого количества должна поступить по военно- автомобильной повинности, управление указало на необхо</w:t>
      </w:r>
      <w:r w:rsidRPr="00B52707">
        <w:rPr>
          <w:color w:val="0070C0"/>
          <w:sz w:val="16"/>
          <w:szCs w:val="16"/>
        </w:rPr>
        <w:softHyphen/>
        <w:t>димость приобретения 422 грузовиков путем покупки в нейтральных или союзных с нами иностранных госу</w:t>
      </w:r>
      <w:r w:rsidRPr="00B52707">
        <w:rPr>
          <w:color w:val="0070C0"/>
          <w:sz w:val="16"/>
          <w:szCs w:val="16"/>
        </w:rPr>
        <w:softHyphen/>
        <w:t>дарствах.</w:t>
      </w:r>
    </w:p>
    <w:p w14:paraId="2B1BADF1" w14:textId="77777777" w:rsidR="005F421D" w:rsidRPr="00B52707" w:rsidRDefault="005F421D" w:rsidP="005F421D">
      <w:pPr>
        <w:jc w:val="both"/>
        <w:rPr>
          <w:color w:val="0070C0"/>
          <w:sz w:val="16"/>
          <w:szCs w:val="16"/>
        </w:rPr>
      </w:pPr>
      <w:r w:rsidRPr="00B52707">
        <w:rPr>
          <w:color w:val="0070C0"/>
          <w:sz w:val="16"/>
          <w:szCs w:val="16"/>
        </w:rPr>
        <w:t>Вследствие этого указания ГВТУ 30 июля того же года вошло с представлением в Военный Совет о разре</w:t>
      </w:r>
      <w:r w:rsidRPr="00B52707">
        <w:rPr>
          <w:color w:val="0070C0"/>
          <w:sz w:val="16"/>
          <w:szCs w:val="16"/>
        </w:rPr>
        <w:softHyphen/>
        <w:t>шении приобрести за границей 422 грузовых автомобиля через особо назначенную для этого комиссию. Хотя 5 августа 1914 г. Военный Совет и разрешил сделать эту заготовку через комиссию, однако, в особом междуведом</w:t>
      </w:r>
      <w:r w:rsidRPr="00B52707">
        <w:rPr>
          <w:color w:val="0070C0"/>
          <w:sz w:val="16"/>
          <w:szCs w:val="16"/>
        </w:rPr>
        <w:softHyphen/>
        <w:t>ственном совещании 7 августа 1914 г. было постановлено заключать контракты в Петербурге, не прибегая к посылке комиссий, как это имело место в 1912 г. Кроме того, это совещание постановило производить платежи по прибытии предметов заготовления в один из русских портов, с расче</w:t>
      </w:r>
      <w:r w:rsidRPr="00B52707">
        <w:rPr>
          <w:color w:val="0070C0"/>
          <w:sz w:val="16"/>
          <w:szCs w:val="16"/>
        </w:rPr>
        <w:softHyphen/>
        <w:t>том в рублях.</w:t>
      </w:r>
    </w:p>
    <w:p w14:paraId="5FECC932" w14:textId="77777777" w:rsidR="005F421D" w:rsidRPr="00B52707" w:rsidRDefault="005F421D" w:rsidP="005F421D">
      <w:pPr>
        <w:jc w:val="both"/>
        <w:rPr>
          <w:color w:val="0070C0"/>
          <w:sz w:val="16"/>
          <w:szCs w:val="16"/>
        </w:rPr>
      </w:pPr>
      <w:r w:rsidRPr="00B52707">
        <w:rPr>
          <w:color w:val="0070C0"/>
          <w:sz w:val="16"/>
          <w:szCs w:val="16"/>
        </w:rPr>
        <w:t>При таких условиях, приемлемых предложений на по</w:t>
      </w:r>
      <w:r w:rsidRPr="00B52707">
        <w:rPr>
          <w:color w:val="0070C0"/>
          <w:sz w:val="16"/>
          <w:szCs w:val="16"/>
        </w:rPr>
        <w:softHyphen/>
        <w:t>ставку автомобилей в ГВТУ не поступило, вследствие чего разрешено было заключать контракты с уплатой в иностранной валюте. Тогда в ГВТУ явился рекомендо</w:t>
      </w:r>
      <w:r w:rsidRPr="00B52707">
        <w:rPr>
          <w:color w:val="0070C0"/>
          <w:sz w:val="16"/>
          <w:szCs w:val="16"/>
        </w:rPr>
        <w:softHyphen/>
        <w:t>ванный помощнику военного министра, генералу Вернандеру, английским послом в Петербурге представитель Бри</w:t>
      </w:r>
      <w:r w:rsidRPr="00B52707">
        <w:rPr>
          <w:color w:val="0070C0"/>
          <w:sz w:val="16"/>
          <w:szCs w:val="16"/>
        </w:rPr>
        <w:softHyphen/>
        <w:t>танской Сибирской Инженерной Компании Маршалл, который принял заказ на 422 автомобиля по весьма высокой цене. Такая цена обгоняется тем, что Маршалл принимал на себя как обыкновенный морской риск, так и риск от военных опасностей, доходивший до 25°/0 стоимости автомобилей. Но и при высоких ценах выполнить заказ Маршалл не мог до тех пор, пока не были изменены условия уплаты, и ра</w:t>
      </w:r>
      <w:r w:rsidRPr="00B52707">
        <w:rPr>
          <w:color w:val="0070C0"/>
          <w:sz w:val="16"/>
          <w:szCs w:val="16"/>
        </w:rPr>
        <w:softHyphen/>
        <w:t>счет не стал производиться в Лондоне, по предъявлении там пароходных коносаментов, и без уплаты военного риска. Вследствие новых условий уплаты, цены па автомобили сразу в значительной степени понизились.</w:t>
      </w:r>
    </w:p>
    <w:p w14:paraId="19EF6A6B" w14:textId="77777777" w:rsidR="005F421D" w:rsidRPr="00B52707" w:rsidRDefault="005F421D" w:rsidP="005F421D">
      <w:pPr>
        <w:jc w:val="both"/>
        <w:rPr>
          <w:color w:val="0070C0"/>
          <w:sz w:val="16"/>
          <w:szCs w:val="16"/>
        </w:rPr>
      </w:pPr>
      <w:r w:rsidRPr="00B52707">
        <w:rPr>
          <w:color w:val="0070C0"/>
          <w:sz w:val="16"/>
          <w:szCs w:val="16"/>
        </w:rPr>
        <w:t>Для приема автомобилей, приобретенных от Британской Инженерной Компании, в Лондон командирована была ко</w:t>
      </w:r>
      <w:r w:rsidRPr="00B52707">
        <w:rPr>
          <w:color w:val="0070C0"/>
          <w:sz w:val="16"/>
          <w:szCs w:val="16"/>
        </w:rPr>
        <w:softHyphen/>
        <w:t>миссия под председательством командира Учебной автомо</w:t>
      </w:r>
      <w:r w:rsidRPr="00B52707">
        <w:rPr>
          <w:color w:val="0070C0"/>
          <w:sz w:val="16"/>
          <w:szCs w:val="16"/>
        </w:rPr>
        <w:softHyphen/>
        <w:t>бильной роты Секретова. Кроме того, той же комиссии поручено было самостоятельно приобрести в Англии авто</w:t>
      </w:r>
      <w:r w:rsidRPr="00B52707">
        <w:rPr>
          <w:color w:val="0070C0"/>
          <w:sz w:val="16"/>
          <w:szCs w:val="16"/>
        </w:rPr>
        <w:softHyphen/>
        <w:t>мобили, мотоциклеты и тракторы, вследствие указаний Ставки (сношение деж. ген. при верх, глав-щтабе от 17 авг. 1914 г. № 17) на необходимость принять в возможно не</w:t>
      </w:r>
      <w:r w:rsidRPr="00B52707">
        <w:rPr>
          <w:color w:val="0070C0"/>
          <w:sz w:val="16"/>
          <w:szCs w:val="16"/>
        </w:rPr>
        <w:softHyphen/>
        <w:t>продолжительном времени соответствующие меры, связанные с постановкой автомобильного дела в действующей армии, а именно:</w:t>
      </w:r>
    </w:p>
    <w:p w14:paraId="10D249E4" w14:textId="77777777" w:rsidR="005F421D" w:rsidRPr="00B52707" w:rsidRDefault="005F421D" w:rsidP="005F421D">
      <w:pPr>
        <w:jc w:val="both"/>
        <w:rPr>
          <w:color w:val="0070C0"/>
          <w:sz w:val="16"/>
          <w:szCs w:val="16"/>
        </w:rPr>
      </w:pPr>
      <w:r w:rsidRPr="00B52707">
        <w:rPr>
          <w:color w:val="0070C0"/>
          <w:sz w:val="16"/>
          <w:szCs w:val="16"/>
        </w:rPr>
        <w:t>ускорить формирование 7, 8 и 9 и приступить к формированию 10, 11 и 12 авторот, а также к дальней</w:t>
      </w:r>
      <w:r w:rsidRPr="00B52707">
        <w:rPr>
          <w:color w:val="0070C0"/>
          <w:sz w:val="16"/>
          <w:szCs w:val="16"/>
        </w:rPr>
        <w:softHyphen/>
        <w:t>шему формированию мотоциклетных рот (к этому времени сформирована была только одна такая рота);</w:t>
      </w:r>
    </w:p>
    <w:p w14:paraId="6E695A16" w14:textId="77777777" w:rsidR="005F421D" w:rsidRPr="00B52707" w:rsidRDefault="005F421D" w:rsidP="005F421D">
      <w:pPr>
        <w:jc w:val="both"/>
        <w:rPr>
          <w:color w:val="0070C0"/>
          <w:sz w:val="16"/>
          <w:szCs w:val="16"/>
        </w:rPr>
      </w:pPr>
      <w:bookmarkStart w:id="102" w:name="bookmark47"/>
      <w:bookmarkEnd w:id="102"/>
      <w:r w:rsidRPr="00B52707">
        <w:rPr>
          <w:color w:val="0070C0"/>
          <w:sz w:val="16"/>
          <w:szCs w:val="16"/>
        </w:rPr>
        <w:t>для каждой из армий (9) сформировать автомобиль</w:t>
      </w:r>
      <w:r w:rsidRPr="00B52707">
        <w:rPr>
          <w:color w:val="0070C0"/>
          <w:sz w:val="16"/>
          <w:szCs w:val="16"/>
        </w:rPr>
        <w:softHyphen/>
        <w:t>ные санитарные транспорты (команды), имеющие каждый не менее 10 грузовозов;</w:t>
      </w:r>
    </w:p>
    <w:p w14:paraId="5AB1E8EA" w14:textId="77777777" w:rsidR="005F421D" w:rsidRPr="00B52707" w:rsidRDefault="005F421D" w:rsidP="005F421D">
      <w:pPr>
        <w:jc w:val="both"/>
        <w:rPr>
          <w:color w:val="0070C0"/>
          <w:sz w:val="16"/>
          <w:szCs w:val="16"/>
        </w:rPr>
      </w:pPr>
      <w:bookmarkStart w:id="103" w:name="bookmark48"/>
      <w:bookmarkEnd w:id="103"/>
      <w:r w:rsidRPr="00B52707">
        <w:rPr>
          <w:color w:val="0070C0"/>
          <w:sz w:val="16"/>
          <w:szCs w:val="16"/>
        </w:rPr>
        <w:t>для штаба армий юго-западного фронта сформиро</w:t>
      </w:r>
      <w:r w:rsidRPr="00B52707">
        <w:rPr>
          <w:color w:val="0070C0"/>
          <w:sz w:val="16"/>
          <w:szCs w:val="16"/>
        </w:rPr>
        <w:softHyphen/>
        <w:t>вать автомобильную команду и 10 легковых автомобилей;</w:t>
      </w:r>
    </w:p>
    <w:p w14:paraId="76413AA3" w14:textId="77777777" w:rsidR="005F421D" w:rsidRPr="00B52707" w:rsidRDefault="005F421D" w:rsidP="005F421D">
      <w:pPr>
        <w:jc w:val="both"/>
        <w:rPr>
          <w:color w:val="0070C0"/>
          <w:sz w:val="16"/>
          <w:szCs w:val="16"/>
        </w:rPr>
      </w:pPr>
      <w:bookmarkStart w:id="104" w:name="bookmark49"/>
      <w:bookmarkEnd w:id="104"/>
      <w:r w:rsidRPr="00B52707">
        <w:rPr>
          <w:color w:val="0070C0"/>
          <w:sz w:val="16"/>
          <w:szCs w:val="16"/>
        </w:rPr>
        <w:t>снабдить крепость Новогеоргиевск некоторым числом многотонных грузовых автомобилей и тракторов;</w:t>
      </w:r>
    </w:p>
    <w:p w14:paraId="3F73730E" w14:textId="77777777" w:rsidR="005F421D" w:rsidRPr="00B52707" w:rsidRDefault="005F421D" w:rsidP="005F421D">
      <w:pPr>
        <w:jc w:val="both"/>
        <w:rPr>
          <w:color w:val="0070C0"/>
          <w:sz w:val="16"/>
          <w:szCs w:val="16"/>
        </w:rPr>
      </w:pPr>
      <w:bookmarkStart w:id="105" w:name="bookmark50"/>
      <w:bookmarkEnd w:id="105"/>
      <w:r w:rsidRPr="00B52707">
        <w:rPr>
          <w:color w:val="0070C0"/>
          <w:sz w:val="16"/>
          <w:szCs w:val="16"/>
        </w:rPr>
        <w:t>сделать распоряжения о направлении в Учебную автороту со всей Европейской России шоферов, мото</w:t>
      </w:r>
      <w:r w:rsidRPr="00B52707">
        <w:rPr>
          <w:color w:val="0070C0"/>
          <w:sz w:val="16"/>
          <w:szCs w:val="16"/>
        </w:rPr>
        <w:softHyphen/>
        <w:t>циклистов и слесарей, знающих ремонт автомобилей, из числа подлежащих призыву на службу в октябре 1914 г.</w:t>
      </w:r>
    </w:p>
    <w:p w14:paraId="4B11B308" w14:textId="77777777" w:rsidR="005F421D" w:rsidRPr="00B52707" w:rsidRDefault="005F421D" w:rsidP="005F421D">
      <w:pPr>
        <w:jc w:val="both"/>
        <w:rPr>
          <w:color w:val="0070C0"/>
          <w:sz w:val="16"/>
          <w:szCs w:val="16"/>
        </w:rPr>
      </w:pPr>
      <w:r w:rsidRPr="00B52707">
        <w:rPr>
          <w:color w:val="0070C0"/>
          <w:sz w:val="16"/>
          <w:szCs w:val="16"/>
        </w:rPr>
        <w:t>В развитие этих указаний ГУГШ сообщило ГВТУ о настоятельной необходимости принятия чрезвычайных мер к удовлетворению всей заявленной потребности, которая определилась в отношении грузовых автомобилей не менее, чем в 1.000 мащин.</w:t>
      </w:r>
    </w:p>
    <w:p w14:paraId="010E16AC" w14:textId="77777777" w:rsidR="005F421D" w:rsidRPr="00B52707" w:rsidRDefault="005F421D" w:rsidP="005F421D">
      <w:pPr>
        <w:jc w:val="both"/>
        <w:rPr>
          <w:color w:val="0070C0"/>
          <w:sz w:val="16"/>
          <w:szCs w:val="16"/>
        </w:rPr>
      </w:pPr>
      <w:r w:rsidRPr="00B52707">
        <w:rPr>
          <w:color w:val="0070C0"/>
          <w:sz w:val="16"/>
          <w:szCs w:val="16"/>
        </w:rPr>
        <w:t>Кроме того, ГУГШ указало на необходимость сформи</w:t>
      </w:r>
      <w:r w:rsidRPr="00B52707">
        <w:rPr>
          <w:color w:val="0070C0"/>
          <w:sz w:val="16"/>
          <w:szCs w:val="16"/>
        </w:rPr>
        <w:softHyphen/>
        <w:t>ровать не менее 40 команд с 2.000 мотоциклетов для кава</w:t>
      </w:r>
      <w:r w:rsidRPr="00B52707">
        <w:rPr>
          <w:color w:val="0070C0"/>
          <w:sz w:val="16"/>
          <w:szCs w:val="16"/>
        </w:rPr>
        <w:softHyphen/>
        <w:t>лерийских дивизий и для штабов некоторых армий и 12 — 15 санитарных транспортов с 15- автомобилями в ка</w:t>
      </w:r>
      <w:r w:rsidRPr="00B52707">
        <w:rPr>
          <w:color w:val="0070C0"/>
          <w:sz w:val="16"/>
          <w:szCs w:val="16"/>
        </w:rPr>
        <w:softHyphen/>
        <w:t>ждом, а также приобрести за границей 40 — 50 тракторов с прицепными повозками для покрытия возможной потреб</w:t>
      </w:r>
      <w:r w:rsidRPr="00B52707">
        <w:rPr>
          <w:color w:val="0070C0"/>
          <w:sz w:val="16"/>
          <w:szCs w:val="16"/>
        </w:rPr>
        <w:softHyphen/>
        <w:t>ности в них при осаде неприятельских крепостей.</w:t>
      </w:r>
    </w:p>
    <w:p w14:paraId="14887305" w14:textId="77777777" w:rsidR="005F421D" w:rsidRPr="00B52707" w:rsidRDefault="005F421D" w:rsidP="005F421D">
      <w:pPr>
        <w:jc w:val="both"/>
        <w:rPr>
          <w:color w:val="0070C0"/>
          <w:sz w:val="16"/>
          <w:szCs w:val="16"/>
        </w:rPr>
      </w:pPr>
      <w:r w:rsidRPr="00B52707">
        <w:rPr>
          <w:color w:val="0070C0"/>
          <w:sz w:val="16"/>
          <w:szCs w:val="16"/>
        </w:rPr>
        <w:t>Имея в виду эти указания, ГВТУ нашло необходимым сверх 422 автомобилей, уже заказанных Британской Инже</w:t>
      </w:r>
      <w:r w:rsidRPr="00B52707">
        <w:rPr>
          <w:color w:val="0070C0"/>
          <w:sz w:val="16"/>
          <w:szCs w:val="16"/>
        </w:rPr>
        <w:softHyphen/>
        <w:t>нерной Компании, приобрести 1.484 автомобиля разного назначения, 74 трактора и 3.000 мотоциклеток с запасными частями и материалами, а также с тремя комплектами ма</w:t>
      </w:r>
      <w:r w:rsidRPr="00B52707">
        <w:rPr>
          <w:color w:val="0070C0"/>
          <w:sz w:val="16"/>
          <w:szCs w:val="16"/>
        </w:rPr>
        <w:softHyphen/>
        <w:t>шин и инструментов для оборудования тыловых мастерских. Исчисляя в таком размере потребность армии в самодвижущихся повозках, ГВТУ имело в виду снабжение этими повозками не только тех частей, которые указаны были ГУГП1, но также и санитарных транспортов, мотоциклет</w:t>
      </w:r>
      <w:r w:rsidRPr="00B52707">
        <w:rPr>
          <w:color w:val="0070C0"/>
          <w:sz w:val="16"/>
          <w:szCs w:val="16"/>
        </w:rPr>
        <w:softHyphen/>
        <w:t>ных команд, бронированных взводов, крепостей (кроме Новогеоргиевска), прожекторных станций, авиационных и воздухоплавательных отрядов.</w:t>
      </w:r>
    </w:p>
    <w:p w14:paraId="51B13293" w14:textId="77777777" w:rsidR="005F421D" w:rsidRPr="00B52707" w:rsidRDefault="005F421D" w:rsidP="005F421D">
      <w:pPr>
        <w:jc w:val="both"/>
        <w:rPr>
          <w:color w:val="0070C0"/>
          <w:sz w:val="16"/>
          <w:szCs w:val="16"/>
        </w:rPr>
      </w:pPr>
      <w:r w:rsidRPr="00B52707">
        <w:rPr>
          <w:color w:val="0070C0"/>
          <w:sz w:val="16"/>
          <w:szCs w:val="16"/>
        </w:rPr>
        <w:t>Общая стоимость всей этой заготовки была определена в сумме 23.972.000 руб. Относительно способа заготовки автомобилей ГВТУ в своем представлении Военному Совету высказалось за необходимость командировать в Англию ко</w:t>
      </w:r>
      <w:r w:rsidRPr="00B52707">
        <w:rPr>
          <w:color w:val="0070C0"/>
          <w:sz w:val="16"/>
          <w:szCs w:val="16"/>
        </w:rPr>
        <w:softHyphen/>
        <w:t>миссию, возложив на нее подробное обследование вопроса о возможности и условиях поставки потребного количества автомобилей лучшими заводами до закрытия навига</w:t>
      </w:r>
      <w:r w:rsidRPr="00B52707">
        <w:rPr>
          <w:color w:val="0070C0"/>
          <w:sz w:val="16"/>
          <w:szCs w:val="16"/>
        </w:rPr>
        <w:softHyphen/>
        <w:t>ции в Архангельске и, в случае приемлемости предложений, самую заготовку автомашин.</w:t>
      </w:r>
    </w:p>
    <w:p w14:paraId="15EE19BE" w14:textId="77777777" w:rsidR="005F421D" w:rsidRPr="00B52707" w:rsidRDefault="005F421D" w:rsidP="005F421D">
      <w:pPr>
        <w:jc w:val="both"/>
        <w:rPr>
          <w:color w:val="0070C0"/>
          <w:sz w:val="16"/>
          <w:szCs w:val="16"/>
        </w:rPr>
      </w:pPr>
      <w:r w:rsidRPr="00B52707">
        <w:rPr>
          <w:color w:val="0070C0"/>
          <w:sz w:val="16"/>
          <w:szCs w:val="16"/>
        </w:rPr>
        <w:t>В соответствии с этими соображениями ГВТУ полагало необходимым:</w:t>
      </w:r>
    </w:p>
    <w:p w14:paraId="6A5E5235" w14:textId="77777777" w:rsidR="005F421D" w:rsidRPr="00B52707" w:rsidRDefault="005F421D" w:rsidP="005F421D">
      <w:pPr>
        <w:jc w:val="both"/>
        <w:rPr>
          <w:color w:val="0070C0"/>
          <w:sz w:val="16"/>
          <w:szCs w:val="16"/>
        </w:rPr>
      </w:pPr>
      <w:bookmarkStart w:id="106" w:name="bookmark51"/>
      <w:bookmarkEnd w:id="106"/>
      <w:r w:rsidRPr="00B52707">
        <w:rPr>
          <w:color w:val="0070C0"/>
          <w:sz w:val="16"/>
          <w:szCs w:val="16"/>
        </w:rPr>
        <w:t>разрешить заготовку указанного числа самодвижущихся повозок таким способом, который, по обстоятельствам дела окажется применимым, и при том чрез особо уполно</w:t>
      </w:r>
      <w:r w:rsidRPr="00B52707">
        <w:rPr>
          <w:color w:val="0070C0"/>
          <w:sz w:val="16"/>
          <w:szCs w:val="16"/>
        </w:rPr>
        <w:softHyphen/>
        <w:t>моченную для сего комиссию,</w:t>
      </w:r>
    </w:p>
    <w:p w14:paraId="3F84A055" w14:textId="77777777" w:rsidR="005F421D" w:rsidRPr="00B52707" w:rsidRDefault="005F421D" w:rsidP="005F421D">
      <w:pPr>
        <w:jc w:val="both"/>
        <w:rPr>
          <w:color w:val="0070C0"/>
          <w:sz w:val="16"/>
          <w:szCs w:val="16"/>
        </w:rPr>
      </w:pPr>
      <w:r w:rsidRPr="00B52707">
        <w:rPr>
          <w:color w:val="0070C0"/>
          <w:sz w:val="16"/>
          <w:szCs w:val="16"/>
        </w:rPr>
        <w:t>предоставить этой комиссии право делать заготовку наличной покупкой или заказом па срок по соглашенным с фирмами ценам и сообразно с этим: а) заключать кон</w:t>
      </w:r>
      <w:r w:rsidRPr="00B52707">
        <w:rPr>
          <w:color w:val="0070C0"/>
          <w:sz w:val="16"/>
          <w:szCs w:val="16"/>
        </w:rPr>
        <w:softHyphen/>
        <w:t>тракты и выдавать наряды; б) производить платежи, однако, не ранее извещения ГВТУ о прибытии приобретенных пред</w:t>
      </w:r>
      <w:r w:rsidRPr="00B52707">
        <w:rPr>
          <w:color w:val="0070C0"/>
          <w:sz w:val="16"/>
          <w:szCs w:val="16"/>
        </w:rPr>
        <w:softHyphen/>
        <w:t>метов в Архангельский порт и выгрузке с судов; в) вхо</w:t>
      </w:r>
      <w:r w:rsidRPr="00B52707">
        <w:rPr>
          <w:color w:val="0070C0"/>
          <w:sz w:val="16"/>
          <w:szCs w:val="16"/>
        </w:rPr>
        <w:softHyphen/>
        <w:t>дить в соглашения с транспортными и страховыми обще</w:t>
      </w:r>
      <w:r w:rsidRPr="00B52707">
        <w:rPr>
          <w:color w:val="0070C0"/>
          <w:sz w:val="16"/>
          <w:szCs w:val="16"/>
        </w:rPr>
        <w:softHyphen/>
        <w:t>ствами и заключать с ними условия на перевозку и стра</w:t>
      </w:r>
      <w:r w:rsidRPr="00B52707">
        <w:rPr>
          <w:color w:val="0070C0"/>
          <w:sz w:val="16"/>
          <w:szCs w:val="16"/>
        </w:rPr>
        <w:softHyphen/>
        <w:t xml:space="preserve">хование в пути отправляемых грузов; г) </w:t>
      </w:r>
      <w:r w:rsidRPr="00B52707">
        <w:rPr>
          <w:color w:val="0070C0"/>
          <w:sz w:val="16"/>
          <w:szCs w:val="16"/>
        </w:rPr>
        <w:lastRenderedPageBreak/>
        <w:t>делать отступления от технических условий, установленных на поставку авто</w:t>
      </w:r>
      <w:r w:rsidRPr="00B52707">
        <w:rPr>
          <w:color w:val="0070C0"/>
          <w:sz w:val="16"/>
          <w:szCs w:val="16"/>
        </w:rPr>
        <w:softHyphen/>
        <w:t>мобилей военному ведомству; д) приобретать автомобили, в случае недостатка готовых, в незаконченном или необо</w:t>
      </w:r>
      <w:r w:rsidRPr="00B52707">
        <w:rPr>
          <w:color w:val="0070C0"/>
          <w:sz w:val="16"/>
          <w:szCs w:val="16"/>
        </w:rPr>
        <w:softHyphen/>
        <w:t>рудованном виде, если доделка их в России не встретит затруднений (24923).</w:t>
      </w:r>
    </w:p>
    <w:p w14:paraId="5E07B7FD" w14:textId="77777777" w:rsidR="005F421D" w:rsidRDefault="005F421D" w:rsidP="005F421D">
      <w:pPr>
        <w:jc w:val="both"/>
        <w:rPr>
          <w:color w:val="0070C0"/>
          <w:sz w:val="16"/>
          <w:szCs w:val="16"/>
        </w:rPr>
      </w:pPr>
    </w:p>
    <w:p w14:paraId="3EA56618" w14:textId="3E79B6A2" w:rsidR="005F421D" w:rsidRPr="005F421D" w:rsidRDefault="005F421D" w:rsidP="005F421D">
      <w:pPr>
        <w:jc w:val="both"/>
        <w:rPr>
          <w:i/>
          <w:iCs/>
          <w:color w:val="002060"/>
          <w:sz w:val="16"/>
          <w:szCs w:val="16"/>
        </w:rPr>
      </w:pPr>
      <w:r w:rsidRPr="005F421D">
        <w:rPr>
          <w:i/>
          <w:iCs/>
          <w:color w:val="002060"/>
          <w:sz w:val="16"/>
          <w:szCs w:val="16"/>
        </w:rPr>
        <w:t>Авиация:</w:t>
      </w:r>
    </w:p>
    <w:p w14:paraId="480D35CB" w14:textId="77777777" w:rsidR="005F421D" w:rsidRPr="005F421D" w:rsidRDefault="005F421D" w:rsidP="005F421D">
      <w:pPr>
        <w:jc w:val="both"/>
        <w:rPr>
          <w:i/>
          <w:iCs/>
          <w:color w:val="002060"/>
          <w:sz w:val="16"/>
          <w:szCs w:val="16"/>
        </w:rPr>
      </w:pPr>
    </w:p>
    <w:p w14:paraId="2F223CDD" w14:textId="77777777" w:rsidR="005F421D" w:rsidRPr="00B52707" w:rsidRDefault="005F421D" w:rsidP="005F421D">
      <w:pPr>
        <w:jc w:val="both"/>
        <w:rPr>
          <w:color w:val="0070C0"/>
          <w:sz w:val="16"/>
          <w:szCs w:val="16"/>
        </w:rPr>
      </w:pPr>
      <w:r w:rsidRPr="00B52707">
        <w:rPr>
          <w:color w:val="0070C0"/>
          <w:sz w:val="16"/>
          <w:szCs w:val="16"/>
        </w:rPr>
        <w:t>27 июля (9 августа) 1914 г. нашими наблюдательными постами был зафиксирован разведывательный полет германского аэроплана на г. Кальвария (Сувалкская губ.).</w:t>
      </w:r>
    </w:p>
    <w:p w14:paraId="4F85AEFE" w14:textId="77777777" w:rsidR="005F421D" w:rsidRPr="00B52707" w:rsidRDefault="005F421D" w:rsidP="005F421D">
      <w:pPr>
        <w:jc w:val="both"/>
        <w:rPr>
          <w:color w:val="0070C0"/>
          <w:sz w:val="16"/>
          <w:szCs w:val="16"/>
        </w:rPr>
      </w:pPr>
      <w:r w:rsidRPr="00B52707">
        <w:rPr>
          <w:color w:val="0070C0"/>
          <w:sz w:val="16"/>
          <w:szCs w:val="16"/>
        </w:rPr>
        <w:t>Отмечались полеты неприятельской авиации и с пропагандистскими целями. На позиции русских войск немецкие летчики сбрасывали многочисленные прокламации (преимущественно для нижних чинов) следующего содержания: «Солдаты! У австрийской границы русская армия разбита и отступает. Много русских солдат остались на поле сражений. В Польше мятежи. В Москве и Одессе революция и скоро распространится на всю Россию. &lt;…&gt; Вам начальство говорит, что мы мучаем русских пленных. Не верьте этой клевете. Да где нашлись бы палачи, чтоб убивать стотысячную армию русских пленных? Ваши пленные теперь спокойно проживают внутри нашей страны вместе с французами, бельгийцами и англичанами, они очень, очень довольны. Не стоит умирать за потерянное дело, живите для жен и детей ваших, для вашего родного края, для новой и счастливой России».</w:t>
      </w:r>
    </w:p>
    <w:p w14:paraId="569735C4" w14:textId="77777777" w:rsidR="005F421D" w:rsidRPr="00B52707" w:rsidRDefault="005F421D" w:rsidP="005F421D">
      <w:pPr>
        <w:jc w:val="both"/>
        <w:rPr>
          <w:color w:val="0070C0"/>
          <w:sz w:val="16"/>
          <w:szCs w:val="16"/>
        </w:rPr>
      </w:pPr>
      <w:r w:rsidRPr="00B52707">
        <w:rPr>
          <w:color w:val="0070C0"/>
          <w:sz w:val="16"/>
          <w:szCs w:val="16"/>
        </w:rPr>
        <w:t xml:space="preserve">С началом войны накануне занятия австро-венгерскими войсками населенных пунктов Сендзишев (Сендзишув), Вольбром, Мехов, Войдислав, Андреев, Бялогу и Кельцы (Кельце) (царство Польское) неприятельские летчики разбрасывали над ними прокламации на польском языке, призывавшие местное население не подчиняться русской администрации (25135). </w:t>
      </w:r>
    </w:p>
    <w:p w14:paraId="01F684D6" w14:textId="77777777" w:rsidR="005F421D" w:rsidRPr="00B52707" w:rsidRDefault="005F421D" w:rsidP="005F421D">
      <w:pPr>
        <w:jc w:val="both"/>
        <w:rPr>
          <w:color w:val="0070C0"/>
          <w:sz w:val="16"/>
          <w:szCs w:val="16"/>
        </w:rPr>
      </w:pPr>
    </w:p>
    <w:p w14:paraId="7F0CDC89" w14:textId="1511DA78" w:rsidR="00313B39" w:rsidRPr="00DE096C" w:rsidRDefault="00313B39" w:rsidP="00D45A46">
      <w:pPr>
        <w:jc w:val="both"/>
        <w:rPr>
          <w:bCs/>
          <w:i/>
          <w:color w:val="002060"/>
          <w:sz w:val="16"/>
          <w:szCs w:val="16"/>
        </w:rPr>
      </w:pPr>
      <w:r w:rsidRPr="00DE096C">
        <w:rPr>
          <w:bCs/>
          <w:i/>
          <w:color w:val="002060"/>
          <w:sz w:val="16"/>
          <w:szCs w:val="16"/>
        </w:rPr>
        <w:t>Военное воздухоплавание:</w:t>
      </w:r>
    </w:p>
    <w:p w14:paraId="2B7568A9" w14:textId="77777777" w:rsidR="00313B39" w:rsidRPr="00DE096C" w:rsidRDefault="00313B39" w:rsidP="00D45A46">
      <w:pPr>
        <w:jc w:val="both"/>
        <w:rPr>
          <w:bCs/>
          <w:i/>
          <w:color w:val="002060"/>
          <w:sz w:val="16"/>
          <w:szCs w:val="16"/>
        </w:rPr>
      </w:pPr>
    </w:p>
    <w:p w14:paraId="057F3FF2" w14:textId="77777777" w:rsidR="00313B39" w:rsidRPr="00DE096C" w:rsidRDefault="00313B39" w:rsidP="00D45A46">
      <w:pPr>
        <w:jc w:val="both"/>
        <w:rPr>
          <w:bCs/>
          <w:color w:val="002060"/>
          <w:sz w:val="16"/>
          <w:szCs w:val="16"/>
        </w:rPr>
      </w:pPr>
      <w:bookmarkStart w:id="107" w:name="_Hlk117228053"/>
      <w:r w:rsidRPr="00DE096C">
        <w:rPr>
          <w:rStyle w:val="43"/>
          <w:rFonts w:ascii="Times New Roman" w:hAnsi="Times New Roman" w:cs="Times New Roman"/>
          <w:bCs/>
          <w:color w:val="002060"/>
          <w:w w:val="100"/>
          <w:sz w:val="16"/>
          <w:szCs w:val="16"/>
        </w:rPr>
        <w:t>27 июля (9 августа) 1914 начальник штаба командую</w:t>
      </w:r>
      <w:r w:rsidRPr="00DE096C">
        <w:rPr>
          <w:rStyle w:val="43"/>
          <w:rFonts w:ascii="Times New Roman" w:hAnsi="Times New Roman" w:cs="Times New Roman"/>
          <w:bCs/>
          <w:color w:val="002060"/>
          <w:w w:val="100"/>
          <w:sz w:val="16"/>
          <w:szCs w:val="16"/>
        </w:rPr>
        <w:softHyphen/>
        <w:t>щего флотом Балтийского моря контр-адмирал Л.Б. Кербер запросил штаб главнокомандующего 6-й армией о возможности передачи змейкового аэростата «с принадлежностью и обслуживаю</w:t>
      </w:r>
      <w:r w:rsidRPr="00DE096C">
        <w:rPr>
          <w:rStyle w:val="43"/>
          <w:rFonts w:ascii="Times New Roman" w:hAnsi="Times New Roman" w:cs="Times New Roman"/>
          <w:bCs/>
          <w:color w:val="002060"/>
          <w:w w:val="100"/>
          <w:sz w:val="16"/>
          <w:szCs w:val="16"/>
        </w:rPr>
        <w:softHyphen/>
        <w:t>щим его персоналом» в распоряжение крепости Императора Петра Великого. Армейское коман</w:t>
      </w:r>
      <w:r w:rsidRPr="00DE096C">
        <w:rPr>
          <w:rStyle w:val="43"/>
          <w:rFonts w:ascii="Times New Roman" w:hAnsi="Times New Roman" w:cs="Times New Roman"/>
          <w:bCs/>
          <w:color w:val="002060"/>
          <w:w w:val="100"/>
          <w:sz w:val="16"/>
          <w:szCs w:val="16"/>
        </w:rPr>
        <w:softHyphen/>
        <w:t>дование навстречу флоту не пошло, и 3 августа генерал-лейтенант А. Гулевич ответил отказом, мотивируя его тем, что аэростат «необходим для другого назначения». В дальнейшем авиа</w:t>
      </w:r>
      <w:r w:rsidRPr="00DE096C">
        <w:rPr>
          <w:rStyle w:val="43"/>
          <w:rFonts w:ascii="Times New Roman" w:hAnsi="Times New Roman" w:cs="Times New Roman"/>
          <w:bCs/>
          <w:color w:val="002060"/>
          <w:w w:val="100"/>
          <w:sz w:val="16"/>
          <w:szCs w:val="16"/>
        </w:rPr>
        <w:softHyphen/>
        <w:t>ционная разведка на Балтике наладилась, и не</w:t>
      </w:r>
      <w:r w:rsidRPr="00DE096C">
        <w:rPr>
          <w:rStyle w:val="43"/>
          <w:rFonts w:ascii="Times New Roman" w:hAnsi="Times New Roman" w:cs="Times New Roman"/>
          <w:bCs/>
          <w:color w:val="002060"/>
          <w:w w:val="100"/>
          <w:sz w:val="16"/>
          <w:szCs w:val="16"/>
        </w:rPr>
        <w:softHyphen/>
        <w:t>обходимость в дирижаблях отпала. Однако уже в следующем году управляемые аэростаты по</w:t>
      </w:r>
      <w:r w:rsidRPr="00DE096C">
        <w:rPr>
          <w:rStyle w:val="43"/>
          <w:rFonts w:ascii="Times New Roman" w:hAnsi="Times New Roman" w:cs="Times New Roman"/>
          <w:bCs/>
          <w:color w:val="002060"/>
          <w:w w:val="100"/>
          <w:sz w:val="16"/>
          <w:szCs w:val="16"/>
        </w:rPr>
        <w:softHyphen/>
        <w:t>требовались на Чёрном море для противолодоч</w:t>
      </w:r>
      <w:r w:rsidRPr="00DE096C">
        <w:rPr>
          <w:rStyle w:val="43"/>
          <w:rFonts w:ascii="Times New Roman" w:hAnsi="Times New Roman" w:cs="Times New Roman"/>
          <w:bCs/>
          <w:color w:val="002060"/>
          <w:w w:val="100"/>
          <w:sz w:val="16"/>
          <w:szCs w:val="16"/>
        </w:rPr>
        <w:softHyphen/>
        <w:t>ной обороны (20120).</w:t>
      </w:r>
    </w:p>
    <w:p w14:paraId="7DC4DD89" w14:textId="77777777" w:rsidR="00313B39" w:rsidRPr="00DE096C" w:rsidRDefault="00313B39" w:rsidP="00D45A46">
      <w:pPr>
        <w:jc w:val="both"/>
        <w:rPr>
          <w:rStyle w:val="43"/>
          <w:rFonts w:ascii="Times New Roman" w:hAnsi="Times New Roman" w:cs="Times New Roman"/>
          <w:bCs/>
          <w:color w:val="002060"/>
          <w:w w:val="100"/>
          <w:sz w:val="16"/>
          <w:szCs w:val="16"/>
        </w:rPr>
      </w:pPr>
    </w:p>
    <w:bookmarkEnd w:id="107"/>
    <w:p w14:paraId="1290ACFA" w14:textId="77777777" w:rsidR="00F10146" w:rsidRPr="00DE096C" w:rsidRDefault="00F10146" w:rsidP="00D45A46">
      <w:pPr>
        <w:jc w:val="both"/>
        <w:rPr>
          <w:bCs/>
          <w:i/>
          <w:color w:val="002060"/>
          <w:sz w:val="16"/>
          <w:szCs w:val="16"/>
        </w:rPr>
      </w:pPr>
      <w:r w:rsidRPr="00DE096C">
        <w:rPr>
          <w:bCs/>
          <w:i/>
          <w:color w:val="002060"/>
          <w:sz w:val="16"/>
          <w:szCs w:val="16"/>
        </w:rPr>
        <w:t>Жизнь и внутренняя политика:</w:t>
      </w:r>
    </w:p>
    <w:p w14:paraId="53489E0E" w14:textId="77777777" w:rsidR="00F10146" w:rsidRPr="00DE096C" w:rsidRDefault="00F10146" w:rsidP="00D45A46">
      <w:pPr>
        <w:jc w:val="both"/>
        <w:rPr>
          <w:bCs/>
          <w:i/>
          <w:color w:val="002060"/>
          <w:sz w:val="16"/>
          <w:szCs w:val="16"/>
        </w:rPr>
      </w:pPr>
    </w:p>
    <w:p w14:paraId="23E45182" w14:textId="77777777" w:rsidR="00F10146" w:rsidRPr="00DE096C" w:rsidRDefault="00F10146" w:rsidP="00D45A46">
      <w:pPr>
        <w:pStyle w:val="ae"/>
        <w:spacing w:before="0" w:beforeAutospacing="0" w:after="0" w:afterAutospacing="0"/>
        <w:jc w:val="both"/>
        <w:textAlignment w:val="top"/>
        <w:rPr>
          <w:bCs/>
          <w:color w:val="002060"/>
          <w:sz w:val="16"/>
          <w:szCs w:val="16"/>
        </w:rPr>
      </w:pPr>
      <w:r w:rsidRPr="00DE096C">
        <w:rPr>
          <w:bCs/>
          <w:color w:val="002060"/>
          <w:sz w:val="16"/>
          <w:szCs w:val="16"/>
        </w:rPr>
        <w:t>27 июля (9 августа) 1914 г. был остановлен свободный размен бумажного рубля на золото, что ограничило возможности заказов за границей (18384).</w:t>
      </w:r>
    </w:p>
    <w:p w14:paraId="0917BA94" w14:textId="77777777" w:rsidR="00F10146" w:rsidRPr="00DE096C" w:rsidRDefault="00F10146" w:rsidP="00D45A46">
      <w:pPr>
        <w:pStyle w:val="ae"/>
        <w:spacing w:before="0" w:beforeAutospacing="0" w:after="0" w:afterAutospacing="0"/>
        <w:jc w:val="both"/>
        <w:textAlignment w:val="top"/>
        <w:rPr>
          <w:bCs/>
          <w:color w:val="002060"/>
          <w:sz w:val="16"/>
          <w:szCs w:val="16"/>
        </w:rPr>
      </w:pPr>
    </w:p>
    <w:p w14:paraId="7A3FF531" w14:textId="77777777" w:rsidR="00313B39" w:rsidRPr="00DE096C" w:rsidRDefault="00313B39" w:rsidP="00D45A46">
      <w:pPr>
        <w:shd w:val="clear" w:color="auto" w:fill="FFFFFF"/>
        <w:jc w:val="both"/>
        <w:rPr>
          <w:bCs/>
          <w:i/>
          <w:color w:val="002060"/>
          <w:sz w:val="16"/>
          <w:szCs w:val="16"/>
        </w:rPr>
      </w:pPr>
      <w:r w:rsidRPr="00DE096C">
        <w:rPr>
          <w:bCs/>
          <w:i/>
          <w:color w:val="002060"/>
          <w:sz w:val="16"/>
          <w:szCs w:val="16"/>
        </w:rPr>
        <w:t>Авиация и воздухоплавание Франции:</w:t>
      </w:r>
    </w:p>
    <w:p w14:paraId="02AE472D" w14:textId="77777777" w:rsidR="00313B39" w:rsidRPr="00DE096C" w:rsidRDefault="00313B39" w:rsidP="00D45A46">
      <w:pPr>
        <w:shd w:val="clear" w:color="auto" w:fill="FFFFFF"/>
        <w:jc w:val="both"/>
        <w:rPr>
          <w:bCs/>
          <w:i/>
          <w:color w:val="002060"/>
          <w:sz w:val="16"/>
          <w:szCs w:val="16"/>
        </w:rPr>
      </w:pPr>
    </w:p>
    <w:p w14:paraId="41AB3567" w14:textId="77777777" w:rsidR="00313B39" w:rsidRPr="00DE096C" w:rsidRDefault="00313B39" w:rsidP="00D45A46">
      <w:pPr>
        <w:jc w:val="both"/>
        <w:rPr>
          <w:bCs/>
          <w:color w:val="002060"/>
          <w:sz w:val="16"/>
          <w:szCs w:val="16"/>
        </w:rPr>
      </w:pPr>
      <w:r w:rsidRPr="00DE096C">
        <w:rPr>
          <w:bCs/>
          <w:color w:val="002060"/>
          <w:sz w:val="16"/>
          <w:szCs w:val="16"/>
        </w:rPr>
        <w:t>27-28 июля (9–10 августа) 1914, выполняя разведывательную миссию, французский дирижабль Fleurus становится первым аппаратом союзников, пролетевшим над Германией во время Первой мировой войны (20337).</w:t>
      </w:r>
    </w:p>
    <w:p w14:paraId="602C927F" w14:textId="77777777" w:rsidR="00313B39" w:rsidRPr="00DE096C" w:rsidRDefault="00313B39" w:rsidP="00D45A46">
      <w:pPr>
        <w:jc w:val="both"/>
        <w:rPr>
          <w:bCs/>
          <w:color w:val="002060"/>
          <w:sz w:val="16"/>
          <w:szCs w:val="16"/>
        </w:rPr>
      </w:pPr>
    </w:p>
    <w:p w14:paraId="5C7AD16C" w14:textId="5F6B35C0" w:rsidR="007716A7" w:rsidRPr="00DE096C" w:rsidRDefault="007716A7" w:rsidP="00D45A46">
      <w:pPr>
        <w:jc w:val="both"/>
        <w:rPr>
          <w:bCs/>
          <w:color w:val="002060"/>
          <w:sz w:val="16"/>
          <w:szCs w:val="16"/>
        </w:rPr>
      </w:pPr>
      <w:r w:rsidRPr="00DE096C">
        <w:rPr>
          <w:bCs/>
          <w:color w:val="002060"/>
          <w:sz w:val="16"/>
          <w:szCs w:val="16"/>
        </w:rPr>
        <w:t>27 июля (9 августа) 1914 г. атака 7-го французского корпуса захлебывается. Командующий дает указание 3-й эскадрилье провести разведку района атаки. Пилот д' Альанзье, вылетев на разведку, обнаружил германскую дивизию. Однако, ввиду отсутствия на этом участке французской артиллерии, рассеять ее было нечем. Командир эскадрильи лейтенант Бельемуа приказывает пилоту вновь вылететь в том же направлении, прихватив с собой коробку, в которой упаковано 1500 стрел.</w:t>
      </w:r>
    </w:p>
    <w:p w14:paraId="6EC0F360" w14:textId="77777777" w:rsidR="007716A7" w:rsidRPr="00DE096C" w:rsidRDefault="007716A7" w:rsidP="00D45A46">
      <w:pPr>
        <w:jc w:val="both"/>
        <w:rPr>
          <w:bCs/>
          <w:color w:val="002060"/>
          <w:sz w:val="16"/>
          <w:szCs w:val="16"/>
        </w:rPr>
      </w:pPr>
      <w:r w:rsidRPr="00DE096C">
        <w:rPr>
          <w:bCs/>
          <w:color w:val="002060"/>
          <w:sz w:val="16"/>
          <w:szCs w:val="16"/>
        </w:rPr>
        <w:t>Действительность берет свое, военные пилоты не могут просто так летать над противником и безучастно наблюдать за его действиями. Поэтому прибегают хотя бы к сбрасыванию с аэроплана стрел, поскольку выпуск авиабомб еще не налажен.</w:t>
      </w:r>
    </w:p>
    <w:p w14:paraId="7B458D3A" w14:textId="77777777" w:rsidR="007716A7" w:rsidRPr="00DE096C" w:rsidRDefault="007716A7" w:rsidP="00D45A46">
      <w:pPr>
        <w:jc w:val="both"/>
        <w:rPr>
          <w:bCs/>
          <w:color w:val="002060"/>
          <w:sz w:val="16"/>
          <w:szCs w:val="16"/>
        </w:rPr>
      </w:pPr>
      <w:r w:rsidRPr="00DE096C">
        <w:rPr>
          <w:bCs/>
          <w:color w:val="002060"/>
          <w:sz w:val="16"/>
          <w:szCs w:val="16"/>
        </w:rPr>
        <w:t>Тем не менее, в этот день германские аэропланы впервые "бомбили" Париж. Вместе с бомбами были сброшены листовки: "Парижане! Германская армия находится у ворот Парижа, и вам остается только сдаться!" Погибло три человека (11999).</w:t>
      </w:r>
    </w:p>
    <w:p w14:paraId="3647E4E1" w14:textId="77777777" w:rsidR="007716A7" w:rsidRPr="00DE096C" w:rsidRDefault="007716A7" w:rsidP="00D45A46">
      <w:pPr>
        <w:jc w:val="both"/>
        <w:rPr>
          <w:bCs/>
          <w:color w:val="002060"/>
          <w:sz w:val="16"/>
          <w:szCs w:val="16"/>
        </w:rPr>
      </w:pPr>
    </w:p>
    <w:p w14:paraId="6E5D64C7" w14:textId="77777777" w:rsidR="00C3237F" w:rsidRPr="00DE096C" w:rsidRDefault="00C3237F" w:rsidP="00D45A46">
      <w:pPr>
        <w:jc w:val="both"/>
        <w:rPr>
          <w:bCs/>
          <w:i/>
          <w:color w:val="002060"/>
          <w:sz w:val="16"/>
          <w:szCs w:val="16"/>
        </w:rPr>
      </w:pPr>
      <w:r w:rsidRPr="00DE096C">
        <w:rPr>
          <w:bCs/>
          <w:i/>
          <w:color w:val="002060"/>
          <w:sz w:val="16"/>
          <w:szCs w:val="16"/>
        </w:rPr>
        <w:t>За рубежом:</w:t>
      </w:r>
    </w:p>
    <w:p w14:paraId="0FF01C29" w14:textId="77777777" w:rsidR="00C3237F" w:rsidRPr="00DE096C" w:rsidRDefault="00C3237F" w:rsidP="00D45A46">
      <w:pPr>
        <w:jc w:val="both"/>
        <w:rPr>
          <w:bCs/>
          <w:color w:val="002060"/>
          <w:sz w:val="16"/>
          <w:szCs w:val="16"/>
        </w:rPr>
      </w:pPr>
    </w:p>
    <w:p w14:paraId="0974F9BC" w14:textId="2381D6F3" w:rsidR="00C3237F" w:rsidRPr="00DE096C" w:rsidRDefault="00C3237F" w:rsidP="00D45A46">
      <w:pPr>
        <w:jc w:val="both"/>
        <w:rPr>
          <w:bCs/>
          <w:color w:val="002060"/>
          <w:sz w:val="16"/>
          <w:szCs w:val="16"/>
        </w:rPr>
      </w:pPr>
      <w:r w:rsidRPr="00DE096C">
        <w:rPr>
          <w:bCs/>
          <w:color w:val="002060"/>
          <w:sz w:val="16"/>
          <w:szCs w:val="16"/>
        </w:rPr>
        <w:t>2</w:t>
      </w:r>
      <w:r w:rsidR="007716A7" w:rsidRPr="00DE096C">
        <w:rPr>
          <w:bCs/>
          <w:color w:val="002060"/>
          <w:sz w:val="16"/>
          <w:szCs w:val="16"/>
        </w:rPr>
        <w:t>8</w:t>
      </w:r>
      <w:r w:rsidRPr="00DE096C">
        <w:rPr>
          <w:bCs/>
          <w:color w:val="002060"/>
          <w:sz w:val="16"/>
          <w:szCs w:val="16"/>
        </w:rPr>
        <w:t xml:space="preserve"> июля (10 августа) в 1914 году Франция объявляет войну Австро-Венгрии (14979).</w:t>
      </w:r>
    </w:p>
    <w:p w14:paraId="679D548C" w14:textId="77777777" w:rsidR="00C3237F" w:rsidRPr="00DE096C" w:rsidRDefault="00C3237F" w:rsidP="00D45A46">
      <w:pPr>
        <w:jc w:val="both"/>
        <w:rPr>
          <w:bCs/>
          <w:color w:val="002060"/>
          <w:sz w:val="16"/>
          <w:szCs w:val="16"/>
        </w:rPr>
      </w:pPr>
    </w:p>
    <w:p w14:paraId="19C161FE" w14:textId="2DB6DBD8" w:rsidR="00C3237F" w:rsidRPr="00DE096C" w:rsidRDefault="00C3237F" w:rsidP="00D45A46">
      <w:pPr>
        <w:jc w:val="both"/>
        <w:rPr>
          <w:bCs/>
          <w:color w:val="002060"/>
          <w:sz w:val="16"/>
          <w:szCs w:val="16"/>
        </w:rPr>
      </w:pPr>
      <w:r w:rsidRPr="00DE096C">
        <w:rPr>
          <w:bCs/>
          <w:color w:val="002060"/>
          <w:sz w:val="16"/>
          <w:szCs w:val="16"/>
        </w:rPr>
        <w:t>2</w:t>
      </w:r>
      <w:r w:rsidR="007716A7" w:rsidRPr="00DE096C">
        <w:rPr>
          <w:bCs/>
          <w:color w:val="002060"/>
          <w:sz w:val="16"/>
          <w:szCs w:val="16"/>
        </w:rPr>
        <w:t>8</w:t>
      </w:r>
      <w:r w:rsidRPr="00DE096C">
        <w:rPr>
          <w:bCs/>
          <w:color w:val="002060"/>
          <w:sz w:val="16"/>
          <w:szCs w:val="16"/>
        </w:rPr>
        <w:t xml:space="preserve"> июля (10 августа) в 1914 году в Лондоне создан концентрационный лагерь для пленных немцев (14979).</w:t>
      </w:r>
    </w:p>
    <w:p w14:paraId="2AD90CAA" w14:textId="77777777" w:rsidR="00C3237F" w:rsidRPr="00DE096C" w:rsidRDefault="00C3237F" w:rsidP="00D45A46">
      <w:pPr>
        <w:jc w:val="both"/>
        <w:rPr>
          <w:bCs/>
          <w:color w:val="002060"/>
          <w:sz w:val="16"/>
          <w:szCs w:val="16"/>
        </w:rPr>
      </w:pPr>
    </w:p>
    <w:p w14:paraId="63C7A2DB" w14:textId="799B58EE" w:rsidR="00C3237F" w:rsidRPr="00DE096C" w:rsidRDefault="00C3237F" w:rsidP="00D45A46">
      <w:pPr>
        <w:jc w:val="both"/>
        <w:rPr>
          <w:bCs/>
          <w:color w:val="002060"/>
          <w:sz w:val="16"/>
          <w:szCs w:val="16"/>
        </w:rPr>
      </w:pPr>
      <w:r w:rsidRPr="00DE096C">
        <w:rPr>
          <w:bCs/>
          <w:color w:val="002060"/>
          <w:sz w:val="16"/>
          <w:szCs w:val="16"/>
        </w:rPr>
        <w:t>2</w:t>
      </w:r>
      <w:r w:rsidR="007716A7" w:rsidRPr="00DE096C">
        <w:rPr>
          <w:bCs/>
          <w:color w:val="002060"/>
          <w:sz w:val="16"/>
          <w:szCs w:val="16"/>
        </w:rPr>
        <w:t>8</w:t>
      </w:r>
      <w:r w:rsidRPr="00DE096C">
        <w:rPr>
          <w:bCs/>
          <w:color w:val="002060"/>
          <w:sz w:val="16"/>
          <w:szCs w:val="16"/>
        </w:rPr>
        <w:t xml:space="preserve"> июля (10 августа) в 1914 году германским крейсерам "Бреслау" и "Гебен" в Средиземном море удается проскользнуть мимо британских кораблей и войти в Черное море, где затем они продаются Турции для замены кораблей, захваченных Англией (14979).</w:t>
      </w:r>
    </w:p>
    <w:p w14:paraId="7CBFA83C" w14:textId="77777777" w:rsidR="00C3237F" w:rsidRPr="00DE096C" w:rsidRDefault="00C3237F" w:rsidP="00D45A46">
      <w:pPr>
        <w:jc w:val="both"/>
        <w:rPr>
          <w:bCs/>
          <w:color w:val="002060"/>
          <w:sz w:val="16"/>
          <w:szCs w:val="16"/>
        </w:rPr>
      </w:pPr>
    </w:p>
    <w:p w14:paraId="25F30A96"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77E9E312" w14:textId="77777777" w:rsidR="00B67D7C" w:rsidRPr="00DE096C" w:rsidRDefault="00B67D7C" w:rsidP="00D45A46">
      <w:pPr>
        <w:shd w:val="clear" w:color="auto" w:fill="FFFFFF"/>
        <w:jc w:val="both"/>
        <w:rPr>
          <w:bCs/>
          <w:i/>
          <w:color w:val="002060"/>
          <w:sz w:val="16"/>
          <w:szCs w:val="16"/>
        </w:rPr>
      </w:pPr>
    </w:p>
    <w:p w14:paraId="62B92DC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Характеристики аппарата, называемого нами моделью М-1, оказали не слишком благоприятное впечатление на руководителей флотской авиации, но те пока еще не имели сколь-нибудь четких пред</w:t>
      </w:r>
      <w:r w:rsidRPr="00DE096C">
        <w:rPr>
          <w:bCs/>
          <w:color w:val="002060"/>
          <w:sz w:val="16"/>
          <w:szCs w:val="16"/>
        </w:rPr>
        <w:softHyphen/>
        <w:t>ставлений о путях развития начатого ими и вверенного им дела. Потому, не спеша отдавать предпочте</w:t>
      </w:r>
      <w:r w:rsidRPr="00DE096C">
        <w:rPr>
          <w:bCs/>
          <w:color w:val="002060"/>
          <w:sz w:val="16"/>
          <w:szCs w:val="16"/>
        </w:rPr>
        <w:softHyphen/>
        <w:t>ние тому или иному типу морского самолета, авиаторы маневрировали, осматриваясь и выжидая. Пока</w:t>
      </w:r>
      <w:r w:rsidRPr="00DE096C">
        <w:rPr>
          <w:bCs/>
          <w:color w:val="002060"/>
          <w:sz w:val="16"/>
          <w:szCs w:val="16"/>
        </w:rPr>
        <w:softHyphen/>
        <w:t>зателен документ от 28 (9 августа) июня 1914 г. «Морской генеральный штаб &lt;...&gt; выходя из положения, что крайне желательно поло</w:t>
      </w:r>
      <w:r w:rsidRPr="00DE096C">
        <w:rPr>
          <w:bCs/>
          <w:color w:val="002060"/>
          <w:sz w:val="16"/>
          <w:szCs w:val="16"/>
        </w:rPr>
        <w:softHyphen/>
        <w:t>жить начало постройки у нас гидроаэропланов, выносит следующее заключение:</w:t>
      </w:r>
    </w:p>
    <w:p w14:paraId="751E68C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 По готовности "Летающей лодки", сконструированной и строящейся на заводе Това</w:t>
      </w:r>
      <w:r w:rsidRPr="00DE096C">
        <w:rPr>
          <w:bCs/>
          <w:color w:val="002060"/>
          <w:sz w:val="16"/>
          <w:szCs w:val="16"/>
        </w:rPr>
        <w:softHyphen/>
        <w:t>рищества С. С. Щетинина и К°, представить возможность заводу произвести испытания при авиационной станции в Порту Императора Александра III, но при непременном условии, что</w:t>
      </w:r>
      <w:r w:rsidRPr="00DE096C">
        <w:rPr>
          <w:bCs/>
          <w:color w:val="002060"/>
          <w:sz w:val="16"/>
          <w:szCs w:val="16"/>
        </w:rPr>
        <w:softHyphen/>
        <w:t>бы пилот был от завода.</w:t>
      </w:r>
    </w:p>
    <w:p w14:paraId="2AA6CF0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 В случае успеха испытаний "Летающая лодка" будет приобретена для нужд авиации Балтийского моря.</w:t>
      </w:r>
    </w:p>
    <w:p w14:paraId="5C60D12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3. В случае, если при дальнейшей своей деятельности "Летающая лодка" даст хорошие результаты, Морской генеральный штаб предполагает заказать несколько таких лодок при условии исправления замеченных недостатков» (2807).</w:t>
      </w:r>
    </w:p>
    <w:p w14:paraId="094492F2" w14:textId="77777777" w:rsidR="00B67D7C" w:rsidRPr="00DE096C" w:rsidRDefault="00B67D7C" w:rsidP="00D45A46">
      <w:pPr>
        <w:shd w:val="clear" w:color="auto" w:fill="FFFFFF"/>
        <w:jc w:val="both"/>
        <w:rPr>
          <w:bCs/>
          <w:color w:val="002060"/>
          <w:sz w:val="16"/>
          <w:szCs w:val="16"/>
        </w:rPr>
      </w:pPr>
    </w:p>
    <w:p w14:paraId="26C61639" w14:textId="0ED6C8F2" w:rsidR="00B67D7C" w:rsidRPr="00DE096C" w:rsidRDefault="00B67D7C" w:rsidP="00D45A46">
      <w:pPr>
        <w:shd w:val="clear" w:color="auto" w:fill="FFFFFF"/>
        <w:jc w:val="both"/>
        <w:rPr>
          <w:bCs/>
          <w:i/>
          <w:color w:val="002060"/>
          <w:sz w:val="16"/>
          <w:szCs w:val="16"/>
        </w:rPr>
      </w:pPr>
      <w:r w:rsidRPr="00DE096C">
        <w:rPr>
          <w:bCs/>
          <w:i/>
          <w:color w:val="002060"/>
          <w:sz w:val="16"/>
          <w:szCs w:val="16"/>
        </w:rPr>
        <w:t>Морская авиация:</w:t>
      </w:r>
    </w:p>
    <w:p w14:paraId="184F470D" w14:textId="77777777" w:rsidR="00B67D7C" w:rsidRPr="00DE096C" w:rsidRDefault="00B67D7C" w:rsidP="00D45A46">
      <w:pPr>
        <w:shd w:val="clear" w:color="auto" w:fill="FFFFFF"/>
        <w:jc w:val="both"/>
        <w:rPr>
          <w:bCs/>
          <w:i/>
          <w:color w:val="002060"/>
          <w:sz w:val="16"/>
          <w:szCs w:val="16"/>
        </w:rPr>
      </w:pPr>
    </w:p>
    <w:p w14:paraId="346575FF" w14:textId="32C876F0" w:rsidR="00B67D7C" w:rsidRPr="00DE096C" w:rsidRDefault="00B67D7C" w:rsidP="00D45A46">
      <w:pPr>
        <w:shd w:val="clear" w:color="auto" w:fill="FFFFFF"/>
        <w:jc w:val="both"/>
        <w:rPr>
          <w:bCs/>
          <w:color w:val="002060"/>
          <w:sz w:val="16"/>
          <w:szCs w:val="16"/>
        </w:rPr>
      </w:pPr>
      <w:r w:rsidRPr="00DE096C">
        <w:rPr>
          <w:bCs/>
          <w:color w:val="002060"/>
          <w:sz w:val="16"/>
          <w:szCs w:val="16"/>
        </w:rPr>
        <w:t>28 июля (</w:t>
      </w:r>
      <w:r w:rsidR="007716A7" w:rsidRPr="00DE096C">
        <w:rPr>
          <w:bCs/>
          <w:color w:val="002060"/>
          <w:sz w:val="16"/>
          <w:szCs w:val="16"/>
        </w:rPr>
        <w:t>10</w:t>
      </w:r>
      <w:r w:rsidRPr="00DE096C">
        <w:rPr>
          <w:bCs/>
          <w:color w:val="002060"/>
          <w:sz w:val="16"/>
          <w:szCs w:val="16"/>
        </w:rPr>
        <w:t xml:space="preserve"> августа) 1914 г</w:t>
      </w:r>
      <w:r w:rsidR="007716A7" w:rsidRPr="00DE096C">
        <w:rPr>
          <w:bCs/>
          <w:color w:val="002060"/>
          <w:sz w:val="16"/>
          <w:szCs w:val="16"/>
        </w:rPr>
        <w:t>. проект</w:t>
      </w:r>
      <w:r w:rsidRPr="00DE096C">
        <w:rPr>
          <w:bCs/>
          <w:color w:val="002060"/>
          <w:sz w:val="16"/>
          <w:szCs w:val="16"/>
        </w:rPr>
        <w:t xml:space="preserve"> </w:t>
      </w:r>
      <w:r w:rsidR="007716A7" w:rsidRPr="00DE096C">
        <w:rPr>
          <w:bCs/>
          <w:color w:val="002060"/>
          <w:sz w:val="16"/>
          <w:szCs w:val="16"/>
        </w:rPr>
        <w:t>Положение о службе авиации в Службе связи доложили императору Николаю II, и он утвер</w:t>
      </w:r>
      <w:r w:rsidR="007716A7" w:rsidRPr="00DE096C">
        <w:rPr>
          <w:bCs/>
          <w:color w:val="002060"/>
          <w:sz w:val="16"/>
          <w:szCs w:val="16"/>
        </w:rPr>
        <w:softHyphen/>
        <w:t xml:space="preserve">дил его </w:t>
      </w:r>
      <w:r w:rsidRPr="00DE096C">
        <w:rPr>
          <w:bCs/>
          <w:color w:val="002060"/>
          <w:sz w:val="16"/>
          <w:szCs w:val="16"/>
        </w:rPr>
        <w:t>(1085).</w:t>
      </w:r>
    </w:p>
    <w:p w14:paraId="336C7AEC" w14:textId="77777777" w:rsidR="00B67D7C" w:rsidRPr="00DE096C" w:rsidRDefault="00B67D7C" w:rsidP="00D45A46">
      <w:pPr>
        <w:shd w:val="clear" w:color="auto" w:fill="FFFFFF"/>
        <w:jc w:val="both"/>
        <w:rPr>
          <w:bCs/>
          <w:color w:val="002060"/>
          <w:sz w:val="16"/>
          <w:szCs w:val="16"/>
        </w:rPr>
      </w:pPr>
    </w:p>
    <w:p w14:paraId="176F3F60" w14:textId="48385EE2" w:rsidR="00633CA8" w:rsidRPr="00DE096C" w:rsidRDefault="00633CA8" w:rsidP="00D45A46">
      <w:pPr>
        <w:jc w:val="both"/>
        <w:rPr>
          <w:bCs/>
          <w:color w:val="002060"/>
          <w:sz w:val="16"/>
          <w:szCs w:val="16"/>
          <w:lang w:bidi="en-US"/>
        </w:rPr>
      </w:pPr>
      <w:r w:rsidRPr="00DE096C">
        <w:rPr>
          <w:bCs/>
          <w:color w:val="002060"/>
          <w:sz w:val="16"/>
          <w:szCs w:val="16"/>
          <w:lang w:bidi="en-US"/>
        </w:rPr>
        <w:t>28 июля (10 августа) 1914 царь окончательно утвердил создание авиационной службы в составе Служб связи/связи Балтийского и Черноморского флотов (23525).</w:t>
      </w:r>
    </w:p>
    <w:p w14:paraId="21DF0A10" w14:textId="77777777" w:rsidR="00633CA8" w:rsidRPr="00DE096C" w:rsidRDefault="00633CA8" w:rsidP="00D45A46">
      <w:pPr>
        <w:jc w:val="both"/>
        <w:rPr>
          <w:bCs/>
          <w:color w:val="002060"/>
          <w:sz w:val="16"/>
          <w:szCs w:val="16"/>
        </w:rPr>
      </w:pPr>
    </w:p>
    <w:p w14:paraId="184E7090"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14410115" w14:textId="77777777" w:rsidR="00B67D7C" w:rsidRPr="00DE096C" w:rsidRDefault="00B67D7C" w:rsidP="00D45A46">
      <w:pPr>
        <w:shd w:val="clear" w:color="auto" w:fill="FFFFFF"/>
        <w:jc w:val="both"/>
        <w:rPr>
          <w:bCs/>
          <w:i/>
          <w:color w:val="002060"/>
          <w:sz w:val="16"/>
          <w:szCs w:val="16"/>
        </w:rPr>
      </w:pPr>
    </w:p>
    <w:p w14:paraId="1CD34205" w14:textId="4662CD69" w:rsidR="00B67D7C" w:rsidRPr="00DE096C" w:rsidRDefault="00B67D7C" w:rsidP="00D45A46">
      <w:pPr>
        <w:shd w:val="clear" w:color="auto" w:fill="FFFFFF"/>
        <w:jc w:val="both"/>
        <w:rPr>
          <w:bCs/>
          <w:color w:val="002060"/>
          <w:sz w:val="16"/>
          <w:szCs w:val="16"/>
        </w:rPr>
      </w:pPr>
      <w:r w:rsidRPr="00DE096C">
        <w:rPr>
          <w:bCs/>
          <w:color w:val="002060"/>
          <w:sz w:val="16"/>
          <w:szCs w:val="16"/>
        </w:rPr>
        <w:t>29 июля (1</w:t>
      </w:r>
      <w:r w:rsidR="007716A7" w:rsidRPr="00DE096C">
        <w:rPr>
          <w:bCs/>
          <w:color w:val="002060"/>
          <w:sz w:val="16"/>
          <w:szCs w:val="16"/>
        </w:rPr>
        <w:t>1</w:t>
      </w:r>
      <w:r w:rsidRPr="00DE096C">
        <w:rPr>
          <w:bCs/>
          <w:color w:val="002060"/>
          <w:sz w:val="16"/>
          <w:szCs w:val="16"/>
        </w:rPr>
        <w:t xml:space="preserve"> августа) 1914 (по другим данным, даже 29 июня) состоялось подписание официального контракта на производство 4 М2 Щетинина. Программа постройки машин, называемых каждая «летающей лодкой № 2», а затем аппаратом «Морской-2» (иначе М-2), определялась следующим распи</w:t>
      </w:r>
      <w:r w:rsidRPr="00DE096C">
        <w:rPr>
          <w:bCs/>
          <w:color w:val="002060"/>
          <w:sz w:val="16"/>
          <w:szCs w:val="16"/>
        </w:rPr>
        <w:softHyphen/>
        <w:t>санием: завершение первого самолета к 7, второго — к 12, третьего — к 17 и четвертого — к 23 августа 1914г. Стоимость гидроплана составляла 8 тыс. рублей, а 4 мотора «Гном» мощностью от 80 до 100 л. с. ожидали теперь от Морского ведомства. В ходе сдаточных испытаний аппаратам предстояло покорять высоту 500м за 12 (при 100-сильном двигателе) или 15 минут (при 80-сильном), неся при этом полезную нагрузку в 75 кг — не считая веса экипажа и запасов бензина и масла, достаточных для 3-часового вылета (2807).</w:t>
      </w:r>
    </w:p>
    <w:p w14:paraId="6F9886E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Сведения о контракте на аппараты М-2/М-4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B67D7C" w:rsidRPr="00DE096C" w14:paraId="1A4E1B6A" w14:textId="77777777" w:rsidTr="00C2024A">
        <w:tc>
          <w:tcPr>
            <w:tcW w:w="4788" w:type="dxa"/>
            <w:shd w:val="clear" w:color="auto" w:fill="FFFFFF"/>
          </w:tcPr>
          <w:p w14:paraId="497CBBB0" w14:textId="77777777" w:rsidR="00B67D7C" w:rsidRPr="00DE096C" w:rsidRDefault="00B67D7C" w:rsidP="00D45A46">
            <w:pPr>
              <w:jc w:val="both"/>
              <w:rPr>
                <w:bCs/>
                <w:color w:val="002060"/>
                <w:sz w:val="16"/>
                <w:szCs w:val="16"/>
              </w:rPr>
            </w:pPr>
            <w:r w:rsidRPr="00DE096C">
              <w:rPr>
                <w:bCs/>
                <w:color w:val="002060"/>
                <w:sz w:val="16"/>
                <w:szCs w:val="16"/>
              </w:rPr>
              <w:t>Дата контракта</w:t>
            </w:r>
          </w:p>
        </w:tc>
        <w:tc>
          <w:tcPr>
            <w:tcW w:w="4788" w:type="dxa"/>
            <w:shd w:val="clear" w:color="auto" w:fill="FFFFFF"/>
          </w:tcPr>
          <w:p w14:paraId="5139325E" w14:textId="5B8780BE" w:rsidR="00B67D7C" w:rsidRPr="00DE096C" w:rsidRDefault="00B67D7C" w:rsidP="00D45A46">
            <w:pPr>
              <w:jc w:val="both"/>
              <w:rPr>
                <w:bCs/>
                <w:color w:val="002060"/>
                <w:sz w:val="16"/>
                <w:szCs w:val="16"/>
              </w:rPr>
            </w:pPr>
            <w:r w:rsidRPr="00DE096C">
              <w:rPr>
                <w:bCs/>
                <w:color w:val="002060"/>
                <w:sz w:val="16"/>
                <w:szCs w:val="16"/>
              </w:rPr>
              <w:t>Июль 29 (1</w:t>
            </w:r>
            <w:r w:rsidR="007716A7" w:rsidRPr="00DE096C">
              <w:rPr>
                <w:bCs/>
                <w:color w:val="002060"/>
                <w:sz w:val="16"/>
                <w:szCs w:val="16"/>
              </w:rPr>
              <w:t>1</w:t>
            </w:r>
            <w:r w:rsidRPr="00DE096C">
              <w:rPr>
                <w:bCs/>
                <w:color w:val="002060"/>
                <w:sz w:val="16"/>
                <w:szCs w:val="16"/>
              </w:rPr>
              <w:t xml:space="preserve"> августа) 1914 г.</w:t>
            </w:r>
          </w:p>
        </w:tc>
      </w:tr>
      <w:tr w:rsidR="00B67D7C" w:rsidRPr="00DE096C" w14:paraId="64325964" w14:textId="77777777" w:rsidTr="00C2024A">
        <w:tc>
          <w:tcPr>
            <w:tcW w:w="4788" w:type="dxa"/>
            <w:shd w:val="clear" w:color="auto" w:fill="FFFFFF"/>
          </w:tcPr>
          <w:p w14:paraId="417E6E20" w14:textId="77777777" w:rsidR="00B67D7C" w:rsidRPr="00DE096C" w:rsidRDefault="00B67D7C" w:rsidP="00D45A46">
            <w:pPr>
              <w:jc w:val="both"/>
              <w:rPr>
                <w:bCs/>
                <w:color w:val="002060"/>
                <w:sz w:val="16"/>
                <w:szCs w:val="16"/>
              </w:rPr>
            </w:pPr>
          </w:p>
        </w:tc>
        <w:tc>
          <w:tcPr>
            <w:tcW w:w="4788" w:type="dxa"/>
            <w:shd w:val="clear" w:color="auto" w:fill="FFFFFF"/>
          </w:tcPr>
          <w:p w14:paraId="2A539971" w14:textId="77777777" w:rsidR="00B67D7C" w:rsidRPr="00DE096C" w:rsidRDefault="00B67D7C" w:rsidP="00D45A46">
            <w:pPr>
              <w:jc w:val="both"/>
              <w:rPr>
                <w:bCs/>
                <w:color w:val="002060"/>
                <w:sz w:val="16"/>
                <w:szCs w:val="16"/>
              </w:rPr>
            </w:pPr>
            <w:r w:rsidRPr="00DE096C">
              <w:rPr>
                <w:bCs/>
                <w:color w:val="002060"/>
                <w:sz w:val="16"/>
                <w:szCs w:val="16"/>
              </w:rPr>
              <w:t>(по другой версии, 29 июня 1914 г.)</w:t>
            </w:r>
          </w:p>
        </w:tc>
      </w:tr>
      <w:tr w:rsidR="00B67D7C" w:rsidRPr="00DE096C" w14:paraId="718C64F6" w14:textId="77777777" w:rsidTr="00C2024A">
        <w:tc>
          <w:tcPr>
            <w:tcW w:w="4788" w:type="dxa"/>
            <w:shd w:val="clear" w:color="auto" w:fill="FFFFFF"/>
          </w:tcPr>
          <w:p w14:paraId="7A9C4D42" w14:textId="77777777" w:rsidR="00B67D7C" w:rsidRPr="00DE096C" w:rsidRDefault="00B67D7C" w:rsidP="00D45A46">
            <w:pPr>
              <w:jc w:val="both"/>
              <w:rPr>
                <w:bCs/>
                <w:color w:val="002060"/>
                <w:sz w:val="16"/>
                <w:szCs w:val="16"/>
              </w:rPr>
            </w:pPr>
            <w:r w:rsidRPr="00DE096C">
              <w:rPr>
                <w:bCs/>
                <w:color w:val="002060"/>
                <w:sz w:val="16"/>
                <w:szCs w:val="16"/>
              </w:rPr>
              <w:t>Число заказанных аэропланов</w:t>
            </w:r>
          </w:p>
        </w:tc>
        <w:tc>
          <w:tcPr>
            <w:tcW w:w="4788" w:type="dxa"/>
            <w:shd w:val="clear" w:color="auto" w:fill="FFFFFF"/>
          </w:tcPr>
          <w:p w14:paraId="594CC773" w14:textId="77777777" w:rsidR="00B67D7C" w:rsidRPr="00DE096C" w:rsidRDefault="00B67D7C" w:rsidP="00D45A46">
            <w:pPr>
              <w:jc w:val="both"/>
              <w:rPr>
                <w:bCs/>
                <w:color w:val="002060"/>
                <w:sz w:val="16"/>
                <w:szCs w:val="16"/>
              </w:rPr>
            </w:pPr>
            <w:r w:rsidRPr="00DE096C">
              <w:rPr>
                <w:bCs/>
                <w:color w:val="002060"/>
                <w:sz w:val="16"/>
                <w:szCs w:val="16"/>
              </w:rPr>
              <w:t>4</w:t>
            </w:r>
          </w:p>
        </w:tc>
      </w:tr>
      <w:tr w:rsidR="00B67D7C" w:rsidRPr="00DE096C" w14:paraId="02EABA73" w14:textId="77777777" w:rsidTr="00C2024A">
        <w:tc>
          <w:tcPr>
            <w:tcW w:w="4788" w:type="dxa"/>
            <w:shd w:val="clear" w:color="auto" w:fill="FFFFFF"/>
          </w:tcPr>
          <w:p w14:paraId="320A1792" w14:textId="77777777" w:rsidR="00B67D7C" w:rsidRPr="00DE096C" w:rsidRDefault="00B67D7C" w:rsidP="00D45A46">
            <w:pPr>
              <w:jc w:val="both"/>
              <w:rPr>
                <w:bCs/>
                <w:color w:val="002060"/>
                <w:sz w:val="16"/>
                <w:szCs w:val="16"/>
              </w:rPr>
            </w:pPr>
            <w:r w:rsidRPr="00DE096C">
              <w:rPr>
                <w:bCs/>
                <w:color w:val="002060"/>
                <w:sz w:val="16"/>
                <w:szCs w:val="16"/>
              </w:rPr>
              <w:t>Заводские номера сданных аэропланов</w:t>
            </w:r>
          </w:p>
        </w:tc>
        <w:tc>
          <w:tcPr>
            <w:tcW w:w="4788" w:type="dxa"/>
            <w:shd w:val="clear" w:color="auto" w:fill="FFFFFF"/>
          </w:tcPr>
          <w:p w14:paraId="48370C96" w14:textId="77777777" w:rsidR="00B67D7C" w:rsidRPr="00DE096C" w:rsidRDefault="00B67D7C" w:rsidP="00D45A46">
            <w:pPr>
              <w:jc w:val="both"/>
              <w:rPr>
                <w:bCs/>
                <w:color w:val="002060"/>
                <w:sz w:val="16"/>
                <w:szCs w:val="16"/>
              </w:rPr>
            </w:pPr>
            <w:r w:rsidRPr="00DE096C">
              <w:rPr>
                <w:bCs/>
                <w:color w:val="002060"/>
                <w:sz w:val="16"/>
                <w:szCs w:val="16"/>
              </w:rPr>
              <w:t>196, 197</w:t>
            </w:r>
          </w:p>
        </w:tc>
      </w:tr>
      <w:tr w:rsidR="00B67D7C" w:rsidRPr="00DE096C" w14:paraId="4DD277A2" w14:textId="77777777" w:rsidTr="00C2024A">
        <w:tc>
          <w:tcPr>
            <w:tcW w:w="4788" w:type="dxa"/>
            <w:shd w:val="clear" w:color="auto" w:fill="FFFFFF"/>
          </w:tcPr>
          <w:p w14:paraId="01FF8D19" w14:textId="77777777" w:rsidR="00B67D7C" w:rsidRPr="00DE096C" w:rsidRDefault="00B67D7C" w:rsidP="00D45A46">
            <w:pPr>
              <w:jc w:val="both"/>
              <w:rPr>
                <w:bCs/>
                <w:color w:val="002060"/>
                <w:sz w:val="16"/>
                <w:szCs w:val="16"/>
              </w:rPr>
            </w:pPr>
          </w:p>
        </w:tc>
        <w:tc>
          <w:tcPr>
            <w:tcW w:w="4788" w:type="dxa"/>
            <w:shd w:val="clear" w:color="auto" w:fill="FFFFFF"/>
          </w:tcPr>
          <w:p w14:paraId="43D497DB" w14:textId="77777777" w:rsidR="00B67D7C" w:rsidRPr="00DE096C" w:rsidRDefault="00B67D7C" w:rsidP="00D45A46">
            <w:pPr>
              <w:jc w:val="both"/>
              <w:rPr>
                <w:bCs/>
                <w:color w:val="002060"/>
                <w:sz w:val="16"/>
                <w:szCs w:val="16"/>
              </w:rPr>
            </w:pPr>
            <w:r w:rsidRPr="00DE096C">
              <w:rPr>
                <w:bCs/>
                <w:color w:val="002060"/>
                <w:sz w:val="16"/>
                <w:szCs w:val="16"/>
              </w:rPr>
              <w:t>(прочие неизвестны)</w:t>
            </w:r>
          </w:p>
        </w:tc>
      </w:tr>
      <w:tr w:rsidR="00B67D7C" w:rsidRPr="00DE096C" w14:paraId="5BBFDAC7" w14:textId="77777777" w:rsidTr="00C2024A">
        <w:tc>
          <w:tcPr>
            <w:tcW w:w="4788" w:type="dxa"/>
            <w:shd w:val="clear" w:color="auto" w:fill="FFFFFF"/>
          </w:tcPr>
          <w:p w14:paraId="1E445433" w14:textId="77777777" w:rsidR="00B67D7C" w:rsidRPr="00DE096C" w:rsidRDefault="00B67D7C" w:rsidP="00D45A46">
            <w:pPr>
              <w:jc w:val="both"/>
              <w:rPr>
                <w:bCs/>
                <w:color w:val="002060"/>
                <w:sz w:val="16"/>
                <w:szCs w:val="16"/>
              </w:rPr>
            </w:pPr>
            <w:r w:rsidRPr="00DE096C">
              <w:rPr>
                <w:bCs/>
                <w:color w:val="002060"/>
                <w:sz w:val="16"/>
                <w:szCs w:val="16"/>
              </w:rPr>
              <w:t>УСЛОВИЯ:</w:t>
            </w:r>
          </w:p>
        </w:tc>
        <w:tc>
          <w:tcPr>
            <w:tcW w:w="4788" w:type="dxa"/>
            <w:shd w:val="clear" w:color="auto" w:fill="FFFFFF"/>
          </w:tcPr>
          <w:p w14:paraId="3E5EF3E8" w14:textId="77777777" w:rsidR="00B67D7C" w:rsidRPr="00DE096C" w:rsidRDefault="00B67D7C" w:rsidP="00D45A46">
            <w:pPr>
              <w:jc w:val="both"/>
              <w:rPr>
                <w:bCs/>
                <w:color w:val="002060"/>
                <w:sz w:val="16"/>
                <w:szCs w:val="16"/>
              </w:rPr>
            </w:pPr>
            <w:r w:rsidRPr="00DE096C">
              <w:rPr>
                <w:bCs/>
                <w:color w:val="002060"/>
                <w:sz w:val="16"/>
                <w:szCs w:val="16"/>
              </w:rPr>
              <w:t>8 тыс. руб. за аппарат под мотор 80 или 100 л. с., срок исполнения с 7 по 23 августа 1914 г. (выполнен к 25 апреля 1915г.) (2807)</w:t>
            </w:r>
          </w:p>
        </w:tc>
      </w:tr>
    </w:tbl>
    <w:p w14:paraId="6A38F9C7" w14:textId="77777777" w:rsidR="00B67D7C" w:rsidRPr="00DE096C" w:rsidRDefault="00B67D7C" w:rsidP="00D45A46">
      <w:pPr>
        <w:shd w:val="clear" w:color="auto" w:fill="FFFFFF"/>
        <w:jc w:val="both"/>
        <w:rPr>
          <w:bCs/>
          <w:color w:val="002060"/>
          <w:sz w:val="16"/>
          <w:szCs w:val="16"/>
        </w:rPr>
      </w:pPr>
    </w:p>
    <w:p w14:paraId="45D9BD16" w14:textId="77777777" w:rsidR="00861807" w:rsidRPr="00DE096C" w:rsidRDefault="00861807" w:rsidP="00D45A46">
      <w:pPr>
        <w:jc w:val="both"/>
        <w:rPr>
          <w:bCs/>
          <w:i/>
          <w:color w:val="002060"/>
          <w:sz w:val="16"/>
          <w:szCs w:val="16"/>
        </w:rPr>
      </w:pPr>
      <w:r w:rsidRPr="00DE096C">
        <w:rPr>
          <w:bCs/>
          <w:i/>
          <w:color w:val="002060"/>
          <w:sz w:val="16"/>
          <w:szCs w:val="16"/>
        </w:rPr>
        <w:t>Другие оборонные отрасли:</w:t>
      </w:r>
    </w:p>
    <w:p w14:paraId="4D37C59D" w14:textId="77777777" w:rsidR="00861807" w:rsidRPr="00DE096C" w:rsidRDefault="00861807" w:rsidP="00D45A46">
      <w:pPr>
        <w:jc w:val="both"/>
        <w:rPr>
          <w:bCs/>
          <w:i/>
          <w:color w:val="002060"/>
          <w:sz w:val="16"/>
          <w:szCs w:val="16"/>
        </w:rPr>
      </w:pPr>
    </w:p>
    <w:p w14:paraId="6FA502F5" w14:textId="77777777" w:rsidR="00861807" w:rsidRPr="00DE096C" w:rsidRDefault="00861807" w:rsidP="00D45A46">
      <w:pPr>
        <w:pStyle w:val="ae"/>
        <w:spacing w:before="0" w:beforeAutospacing="0" w:after="0" w:afterAutospacing="0"/>
        <w:jc w:val="both"/>
        <w:rPr>
          <w:bCs/>
          <w:color w:val="002060"/>
          <w:sz w:val="16"/>
          <w:szCs w:val="16"/>
        </w:rPr>
      </w:pPr>
      <w:r w:rsidRPr="00DE096C">
        <w:rPr>
          <w:bCs/>
          <w:color w:val="002060"/>
          <w:sz w:val="16"/>
          <w:szCs w:val="16"/>
        </w:rPr>
        <w:t>29 июля 1914 г., Главное артиллерийское управление вошло в Совет министров «С проектом правил об объявлении казенных заводов, изготовляющих предметы, необходимые для обороны государства, на особом положении». Проект был подписан военным министром В. А. Сухомлиновым и начальником ГАУ Д. Д. Кузьминым-Караваевым</w:t>
      </w:r>
      <w:bookmarkStart w:id="108" w:name="110r"/>
      <w:bookmarkEnd w:id="108"/>
      <w:r w:rsidRPr="00DE096C">
        <w:rPr>
          <w:bCs/>
          <w:color w:val="002060"/>
          <w:sz w:val="16"/>
          <w:szCs w:val="16"/>
        </w:rPr>
        <w:t>. На «особое положение» должны были быть переведены заводы, арсеналы и мастерские военного и морского ведомств, а также те казенные заводы других ведомств, которые выполняют заказы на оборону. Список предприятий подлежал утверждению Совета министров. Следовательно, проект Военного министерства касался не всей промышленности, а лишь казенных предприятий, составлявших основное ядро военной промышленности в начале войны.</w:t>
      </w:r>
    </w:p>
    <w:p w14:paraId="286F5290" w14:textId="77777777" w:rsidR="00861807" w:rsidRPr="00DE096C" w:rsidRDefault="00861807" w:rsidP="00D45A46">
      <w:pPr>
        <w:pStyle w:val="ae"/>
        <w:spacing w:before="0" w:beforeAutospacing="0" w:after="0" w:afterAutospacing="0"/>
        <w:jc w:val="both"/>
        <w:rPr>
          <w:bCs/>
          <w:color w:val="002060"/>
          <w:sz w:val="16"/>
          <w:szCs w:val="16"/>
        </w:rPr>
      </w:pPr>
      <w:r w:rsidRPr="00DE096C">
        <w:rPr>
          <w:bCs/>
          <w:color w:val="002060"/>
          <w:sz w:val="16"/>
          <w:szCs w:val="16"/>
        </w:rPr>
        <w:t>В чем заключался смысл «особого положения»? Прежде всего в закрепощении рабочих за данными предприятиями, в лишении их права перехода на другие. «Особое положение» отменяло обычное рабочее законодательство и устанавливало особый порядок работы на предприятиях. Правда, пункт II этого положения говорил о том, что продолжительность рабочего дня, количество рабочих часов в сутки и неделю, размеры заработка могут быть изменены только «с обоюдного согласия сторон». На деле же предлагалось ввести настоящую каторгу для рабочих и служащих, усиливалась ответственность, вводилось тюремное заключение за небрежное выполнение работы, за неявку на работу или «дерзость», а когда эти проступки совершались рабочими «по соглашению», тогда степень ответственности их еще более усиливалась. Проект был направлен своим острием против рабочих и рабочего движения. «Виновные» наказывались тюремным заключением от 4 месяцев до 1 года 4 месяцев. За время стачки зарплата не выплачивалась. Так выглядело «особое положение» для рабочих. Они делались целиком зависимыми от военной администрации казенных предприятий, полностью лишались своих мизерных гражданских и экономических прав и, прикрепленные к своим предприятиям, должны были затрачивать все свои силы на увеличение производства.</w:t>
      </w:r>
    </w:p>
    <w:p w14:paraId="51BF24F8" w14:textId="77777777" w:rsidR="00861807" w:rsidRPr="00DE096C" w:rsidRDefault="00861807" w:rsidP="00D45A46">
      <w:pPr>
        <w:pStyle w:val="ae"/>
        <w:spacing w:before="0" w:beforeAutospacing="0" w:after="0" w:afterAutospacing="0"/>
        <w:jc w:val="both"/>
        <w:rPr>
          <w:bCs/>
          <w:color w:val="002060"/>
          <w:sz w:val="16"/>
          <w:szCs w:val="16"/>
        </w:rPr>
      </w:pPr>
      <w:r w:rsidRPr="00DE096C">
        <w:rPr>
          <w:bCs/>
          <w:color w:val="002060"/>
          <w:sz w:val="16"/>
          <w:szCs w:val="16"/>
        </w:rPr>
        <w:t>3 августа 1914 г. представленный проект рассматривался в особом заседании Совета министров</w:t>
      </w:r>
      <w:bookmarkStart w:id="109" w:name="111r"/>
      <w:bookmarkEnd w:id="109"/>
      <w:r w:rsidRPr="00DE096C">
        <w:rPr>
          <w:bCs/>
          <w:color w:val="002060"/>
          <w:sz w:val="16"/>
          <w:szCs w:val="16"/>
        </w:rPr>
        <w:t>. Совет министров утвердил представленный проект в принципе, но на практике признал его несвоевременным и отказался осуществить. Интересны мотивы, которыми руководствовался Совет министров. Он прежде всего обратил внимание на то обстоятельство, что «при наблюдаемом в рабочей среде общем со всем населением империи одушевлении» (??) нет нужды в особых мерах, регулирующих работу военных предприятий в данное время. Поэтому представленные правила «подлежат утверждению лишь на случай могущей возникнуть впоследствии необходимости их изменения». Так гласит сухая протокольная запись журнала Совета министров. Нетрудно видеть, что под событиями, могущими «возникнуть впоследствии», подразумевались рабочие забастовки. В августе только что было покончено с июльской забастовкой в Петрограде и Баку. Правительство попросту боялось осложнений и волнений, которые могли быть вызваны новыми правилами. На заседании присутствовал министр внутренних дел, прекрасно осведомленный о том, что борьба рабочего класса была временно сломлена. Опасно было новыми правилами задеть рабочих и вызвать новый подъем рабочего движения (18524).</w:t>
      </w:r>
    </w:p>
    <w:p w14:paraId="2CFA22F3" w14:textId="77777777" w:rsidR="00861807" w:rsidRPr="00DE096C" w:rsidRDefault="00861807" w:rsidP="00D45A46">
      <w:pPr>
        <w:pStyle w:val="ae"/>
        <w:spacing w:before="0" w:beforeAutospacing="0" w:after="0" w:afterAutospacing="0"/>
        <w:jc w:val="both"/>
        <w:rPr>
          <w:bCs/>
          <w:color w:val="002060"/>
          <w:sz w:val="16"/>
          <w:szCs w:val="16"/>
        </w:rPr>
      </w:pPr>
    </w:p>
    <w:p w14:paraId="6C34839F" w14:textId="086EEFFE" w:rsidR="006E4D00" w:rsidRPr="00DE096C" w:rsidRDefault="006E4D00" w:rsidP="00D45A46">
      <w:pPr>
        <w:pStyle w:val="a3"/>
        <w:jc w:val="both"/>
        <w:rPr>
          <w:bCs/>
          <w:color w:val="002060"/>
          <w:spacing w:val="0"/>
          <w:kern w:val="0"/>
          <w:position w:val="0"/>
          <w:sz w:val="16"/>
          <w:szCs w:val="16"/>
        </w:rPr>
      </w:pPr>
      <w:r w:rsidRPr="00DE096C">
        <w:rPr>
          <w:bCs/>
          <w:color w:val="002060"/>
          <w:spacing w:val="0"/>
          <w:kern w:val="0"/>
          <w:position w:val="0"/>
          <w:sz w:val="16"/>
          <w:szCs w:val="16"/>
        </w:rPr>
        <w:t>Армия:</w:t>
      </w:r>
    </w:p>
    <w:p w14:paraId="60F10FDD" w14:textId="77777777" w:rsidR="006E4D00" w:rsidRPr="00DE096C" w:rsidRDefault="006E4D00" w:rsidP="00D45A46">
      <w:pPr>
        <w:pStyle w:val="a3"/>
        <w:jc w:val="both"/>
        <w:rPr>
          <w:bCs/>
          <w:color w:val="002060"/>
          <w:spacing w:val="0"/>
          <w:kern w:val="0"/>
          <w:position w:val="0"/>
          <w:sz w:val="16"/>
          <w:szCs w:val="16"/>
        </w:rPr>
      </w:pPr>
    </w:p>
    <w:p w14:paraId="1AFA6B5A" w14:textId="1BD7A40D" w:rsidR="006E4D00" w:rsidRPr="00DE096C" w:rsidRDefault="006E4D00" w:rsidP="00D45A46">
      <w:pPr>
        <w:jc w:val="both"/>
        <w:rPr>
          <w:bCs/>
          <w:color w:val="002060"/>
          <w:sz w:val="16"/>
          <w:szCs w:val="16"/>
          <w:lang w:bidi="en-US"/>
        </w:rPr>
      </w:pPr>
      <w:r w:rsidRPr="00DE096C">
        <w:rPr>
          <w:bCs/>
          <w:color w:val="002060"/>
          <w:sz w:val="16"/>
          <w:szCs w:val="16"/>
          <w:lang w:bidi="en-US"/>
        </w:rPr>
        <w:t xml:space="preserve">29 июля (11 августа) 1914 г. царь Николай </w:t>
      </w:r>
      <w:r w:rsidRPr="00DE096C">
        <w:rPr>
          <w:bCs/>
          <w:color w:val="002060"/>
          <w:sz w:val="16"/>
          <w:szCs w:val="16"/>
          <w:lang w:val="en-US" w:bidi="en-US"/>
        </w:rPr>
        <w:t>II</w:t>
      </w:r>
      <w:r w:rsidRPr="00DE096C">
        <w:rPr>
          <w:bCs/>
          <w:color w:val="002060"/>
          <w:sz w:val="16"/>
          <w:szCs w:val="16"/>
          <w:lang w:bidi="en-US"/>
        </w:rPr>
        <w:t xml:space="preserve"> утвердил «Закон о полевом управлении армией в военное время», который должен был переопределить полномочия и отношения внутри командной структуры. Он был предназначен для обеспечения бесперебойного функционирования между фронтом и тылом, при этом Николай </w:t>
      </w:r>
      <w:r w:rsidRPr="00DE096C">
        <w:rPr>
          <w:bCs/>
          <w:color w:val="002060"/>
          <w:sz w:val="16"/>
          <w:szCs w:val="16"/>
          <w:lang w:val="en-US" w:bidi="en-US"/>
        </w:rPr>
        <w:t>II</w:t>
      </w:r>
      <w:r w:rsidRPr="00DE096C">
        <w:rPr>
          <w:bCs/>
          <w:color w:val="002060"/>
          <w:sz w:val="16"/>
          <w:szCs w:val="16"/>
          <w:lang w:bidi="en-US"/>
        </w:rPr>
        <w:t xml:space="preserve"> действовал как верховный военный главнокомандующий и высший гражданский администратор. Закон вскоре окажется неработоспособным и вызовет много ненужных трений между командующими фронтами и гражданскими властями в тылу (23525).</w:t>
      </w:r>
    </w:p>
    <w:p w14:paraId="13F51BE9" w14:textId="77777777" w:rsidR="006E4D00" w:rsidRPr="00DE096C" w:rsidRDefault="006E4D00" w:rsidP="00D45A46">
      <w:pPr>
        <w:jc w:val="both"/>
        <w:rPr>
          <w:bCs/>
          <w:color w:val="002060"/>
          <w:sz w:val="16"/>
          <w:szCs w:val="16"/>
        </w:rPr>
      </w:pPr>
    </w:p>
    <w:p w14:paraId="131B8A7D" w14:textId="35AA4A4C"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А</w:t>
      </w:r>
      <w:r w:rsidR="009A2FCA" w:rsidRPr="00DE096C">
        <w:rPr>
          <w:bCs/>
          <w:color w:val="002060"/>
          <w:spacing w:val="0"/>
          <w:kern w:val="0"/>
          <w:position w:val="0"/>
          <w:sz w:val="16"/>
          <w:szCs w:val="16"/>
        </w:rPr>
        <w:t>виация</w:t>
      </w:r>
      <w:r w:rsidRPr="00DE096C">
        <w:rPr>
          <w:bCs/>
          <w:color w:val="002060"/>
          <w:spacing w:val="0"/>
          <w:kern w:val="0"/>
          <w:position w:val="0"/>
          <w:sz w:val="16"/>
          <w:szCs w:val="16"/>
        </w:rPr>
        <w:t>:</w:t>
      </w:r>
    </w:p>
    <w:p w14:paraId="229C9875" w14:textId="77777777" w:rsidR="00B67D7C" w:rsidRPr="00DE096C" w:rsidRDefault="00B67D7C" w:rsidP="00D45A46">
      <w:pPr>
        <w:pStyle w:val="a3"/>
        <w:jc w:val="both"/>
        <w:rPr>
          <w:bCs/>
          <w:color w:val="002060"/>
          <w:spacing w:val="0"/>
          <w:kern w:val="0"/>
          <w:position w:val="0"/>
          <w:sz w:val="16"/>
          <w:szCs w:val="16"/>
        </w:rPr>
      </w:pPr>
    </w:p>
    <w:p w14:paraId="6C917913" w14:textId="6C263E76" w:rsidR="00B67D7C" w:rsidRPr="00DE096C" w:rsidRDefault="009A2FCA" w:rsidP="00D45A46">
      <w:pPr>
        <w:jc w:val="both"/>
        <w:rPr>
          <w:bCs/>
          <w:color w:val="002060"/>
          <w:sz w:val="16"/>
          <w:szCs w:val="16"/>
        </w:rPr>
      </w:pPr>
      <w:r w:rsidRPr="00DE096C">
        <w:rPr>
          <w:bCs/>
          <w:color w:val="002060"/>
          <w:sz w:val="16"/>
          <w:szCs w:val="16"/>
        </w:rPr>
        <w:t>29 июля (</w:t>
      </w:r>
      <w:r w:rsidR="00B67D7C" w:rsidRPr="00DE096C">
        <w:rPr>
          <w:bCs/>
          <w:color w:val="002060"/>
          <w:sz w:val="16"/>
          <w:szCs w:val="16"/>
        </w:rPr>
        <w:t>11 августа</w:t>
      </w:r>
      <w:r w:rsidRPr="00DE096C">
        <w:rPr>
          <w:bCs/>
          <w:color w:val="002060"/>
          <w:sz w:val="16"/>
          <w:szCs w:val="16"/>
        </w:rPr>
        <w:t>)</w:t>
      </w:r>
      <w:r w:rsidR="00B67D7C" w:rsidRPr="00DE096C">
        <w:rPr>
          <w:bCs/>
          <w:color w:val="002060"/>
          <w:sz w:val="16"/>
          <w:szCs w:val="16"/>
        </w:rPr>
        <w:t xml:space="preserve"> 1914 командир 11-го авиаотряда 3-й русской армии военный летчик штабс-капитан П.Н. Нестеров производит первую с российской стороны регулярную военную разведку в районе Дубно с наблюдателем генерального штаба штабс-капитаном Лазаревым; продолжительность полета - 1 час 35 минут.</w:t>
      </w:r>
    </w:p>
    <w:p w14:paraId="23DEAD10" w14:textId="29F8C6D9" w:rsidR="00B67D7C" w:rsidRPr="00DE096C" w:rsidRDefault="00B67D7C" w:rsidP="00D45A46">
      <w:pPr>
        <w:jc w:val="both"/>
        <w:rPr>
          <w:bCs/>
          <w:color w:val="002060"/>
          <w:sz w:val="16"/>
          <w:szCs w:val="16"/>
        </w:rPr>
      </w:pPr>
      <w:r w:rsidRPr="00DE096C">
        <w:rPr>
          <w:bCs/>
          <w:color w:val="002060"/>
          <w:sz w:val="16"/>
          <w:szCs w:val="16"/>
        </w:rPr>
        <w:t>Аэродромы были неподготовлены, после сильного дождя, шедшего накануне, земля размокла. Выдержка из отчета: "при спуске на пахоть аппарат "Моран-Сольнье" № 218 с мотором "Гном" 80 HP за № 328/957, управляемый военным летчиком штабс-капитаном Нестеровым, скапотировал. Сломаны: винт, руль, направления, нижние брусья фюзеляжа, погнуты оси колес, кожух и носок мотора, порваны амортизаторы. Часть сломанного аппарата взята для исправления другого аппарата. Подан акт об исключении за № 51" (11999).</w:t>
      </w:r>
    </w:p>
    <w:p w14:paraId="30A20CAA" w14:textId="0E4DCD00" w:rsidR="00B67D7C" w:rsidRPr="00DE096C" w:rsidRDefault="00B67D7C" w:rsidP="00D45A46">
      <w:pPr>
        <w:jc w:val="both"/>
        <w:rPr>
          <w:bCs/>
          <w:color w:val="002060"/>
          <w:sz w:val="16"/>
          <w:szCs w:val="16"/>
        </w:rPr>
      </w:pPr>
    </w:p>
    <w:p w14:paraId="195A5E42" w14:textId="77777777" w:rsidR="009A2FCA" w:rsidRPr="00DE096C" w:rsidRDefault="009A2FCA" w:rsidP="00D45A46">
      <w:pPr>
        <w:shd w:val="clear" w:color="auto" w:fill="FFFFFF"/>
        <w:jc w:val="both"/>
        <w:rPr>
          <w:bCs/>
          <w:i/>
          <w:iCs/>
          <w:color w:val="002060"/>
          <w:sz w:val="16"/>
          <w:szCs w:val="16"/>
        </w:rPr>
      </w:pPr>
      <w:r w:rsidRPr="00DE096C">
        <w:rPr>
          <w:bCs/>
          <w:i/>
          <w:iCs/>
          <w:color w:val="002060"/>
          <w:sz w:val="16"/>
          <w:szCs w:val="16"/>
        </w:rPr>
        <w:t>Морская авиация:</w:t>
      </w:r>
    </w:p>
    <w:p w14:paraId="3ADED80D" w14:textId="77777777" w:rsidR="009A2FCA" w:rsidRPr="00DE096C" w:rsidRDefault="009A2FCA" w:rsidP="00D45A46">
      <w:pPr>
        <w:shd w:val="clear" w:color="auto" w:fill="FFFFFF"/>
        <w:jc w:val="both"/>
        <w:rPr>
          <w:bCs/>
          <w:i/>
          <w:iCs/>
          <w:color w:val="002060"/>
          <w:sz w:val="16"/>
          <w:szCs w:val="16"/>
        </w:rPr>
      </w:pPr>
    </w:p>
    <w:p w14:paraId="12134EE8" w14:textId="77777777" w:rsidR="009A2FCA" w:rsidRPr="00DE096C" w:rsidRDefault="009A2FCA" w:rsidP="00D45A46">
      <w:pPr>
        <w:shd w:val="clear" w:color="auto" w:fill="FFFFFF"/>
        <w:jc w:val="both"/>
        <w:rPr>
          <w:bCs/>
          <w:color w:val="002060"/>
          <w:sz w:val="16"/>
          <w:szCs w:val="16"/>
        </w:rPr>
      </w:pPr>
      <w:r w:rsidRPr="00DE096C">
        <w:rPr>
          <w:bCs/>
          <w:color w:val="002060"/>
          <w:sz w:val="16"/>
          <w:szCs w:val="16"/>
        </w:rPr>
        <w:t>29 июля (11 августа) 1914 г. проекту покупки флотом сухопутного "Ильи Муромца", должного оперировать на удалении до 60 миль от берега, дали отбой, при том, что теперь для защиты морских объектов в окрестностях Ревеля предполагалось использовать змейковый аэростат, выделяемый армейскими воз</w:t>
      </w:r>
      <w:r w:rsidRPr="00DE096C">
        <w:rPr>
          <w:bCs/>
          <w:color w:val="002060"/>
          <w:sz w:val="16"/>
          <w:szCs w:val="16"/>
        </w:rPr>
        <w:softHyphen/>
        <w:t>духоплавателями (2843).</w:t>
      </w:r>
    </w:p>
    <w:p w14:paraId="09C6C824" w14:textId="77777777" w:rsidR="009A2FCA" w:rsidRPr="00DE096C" w:rsidRDefault="009A2FCA" w:rsidP="00D45A46">
      <w:pPr>
        <w:shd w:val="clear" w:color="auto" w:fill="FFFFFF"/>
        <w:jc w:val="both"/>
        <w:rPr>
          <w:bCs/>
          <w:color w:val="002060"/>
          <w:sz w:val="16"/>
          <w:szCs w:val="16"/>
        </w:rPr>
      </w:pPr>
    </w:p>
    <w:p w14:paraId="59BE2E46" w14:textId="21B17B35" w:rsidR="009A2FCA" w:rsidRPr="00DE096C" w:rsidRDefault="009A2FCA" w:rsidP="00D45A46">
      <w:pPr>
        <w:jc w:val="both"/>
        <w:rPr>
          <w:bCs/>
          <w:i/>
          <w:iCs/>
          <w:color w:val="002060"/>
          <w:sz w:val="16"/>
          <w:szCs w:val="16"/>
        </w:rPr>
      </w:pPr>
      <w:r w:rsidRPr="00DE096C">
        <w:rPr>
          <w:bCs/>
          <w:i/>
          <w:iCs/>
          <w:color w:val="002060"/>
          <w:sz w:val="16"/>
          <w:szCs w:val="16"/>
        </w:rPr>
        <w:t>Армия:</w:t>
      </w:r>
    </w:p>
    <w:p w14:paraId="1A9B780B" w14:textId="77777777" w:rsidR="009A2FCA" w:rsidRPr="00DE096C" w:rsidRDefault="009A2FCA" w:rsidP="00D45A46">
      <w:pPr>
        <w:jc w:val="both"/>
        <w:rPr>
          <w:bCs/>
          <w:i/>
          <w:iCs/>
          <w:color w:val="002060"/>
          <w:sz w:val="16"/>
          <w:szCs w:val="16"/>
        </w:rPr>
      </w:pPr>
    </w:p>
    <w:p w14:paraId="53CCA508" w14:textId="3AA46149" w:rsidR="00B67D7C" w:rsidRPr="00DE096C" w:rsidRDefault="00B67D7C" w:rsidP="00D45A46">
      <w:pPr>
        <w:jc w:val="both"/>
        <w:rPr>
          <w:bCs/>
          <w:color w:val="002060"/>
          <w:sz w:val="16"/>
          <w:szCs w:val="16"/>
        </w:rPr>
      </w:pPr>
      <w:r w:rsidRPr="00DE096C">
        <w:rPr>
          <w:bCs/>
          <w:color w:val="002060"/>
          <w:sz w:val="16"/>
          <w:szCs w:val="16"/>
        </w:rPr>
        <w:t xml:space="preserve">29-30 июля (11 и 12) августа 1914 </w:t>
      </w:r>
      <w:r w:rsidR="009A2FCA" w:rsidRPr="00DE096C">
        <w:rPr>
          <w:bCs/>
          <w:color w:val="002060"/>
          <w:sz w:val="16"/>
          <w:szCs w:val="16"/>
        </w:rPr>
        <w:t xml:space="preserve">дирижабль Z-V, вместе с Z-IV приданный армии Гинденбурга, </w:t>
      </w:r>
      <w:r w:rsidRPr="00DE096C">
        <w:rPr>
          <w:bCs/>
          <w:color w:val="002060"/>
          <w:sz w:val="16"/>
          <w:szCs w:val="16"/>
        </w:rPr>
        <w:t xml:space="preserve">повторил </w:t>
      </w:r>
      <w:r w:rsidR="009A2FCA" w:rsidRPr="00DE096C">
        <w:rPr>
          <w:bCs/>
          <w:color w:val="002060"/>
          <w:sz w:val="16"/>
          <w:szCs w:val="16"/>
        </w:rPr>
        <w:t>разведку района Вроцлав — Плоцк — Кутно — Лодзь</w:t>
      </w:r>
      <w:r w:rsidRPr="00DE096C">
        <w:rPr>
          <w:bCs/>
          <w:color w:val="002060"/>
          <w:sz w:val="16"/>
          <w:szCs w:val="16"/>
        </w:rPr>
        <w:t xml:space="preserve">. В последнем полете дирижабль был обстрелян русскими, а затем и германскими войсками и получил значительные повреждения. Однако он доставил в штаб ценные сведения о концентрации войск в районе Новогеоргиевска. Воздушный корабль произвел также бомбардировку железнодорожного узла Млава и разогнал своим огнем и бомбами казачий полк, который готовился к атаке. Z-V также совершил большое количество ночных разведывательных полетов в район Осовца и Шавлей, доставляя в штаб Восточного фронта большое количество ценной информации о противнике. </w:t>
      </w:r>
    </w:p>
    <w:p w14:paraId="6CE4047D" w14:textId="77777777" w:rsidR="00B67D7C" w:rsidRPr="00DE096C" w:rsidRDefault="00B67D7C" w:rsidP="00D45A46">
      <w:pPr>
        <w:jc w:val="both"/>
        <w:rPr>
          <w:bCs/>
          <w:color w:val="002060"/>
          <w:sz w:val="16"/>
          <w:szCs w:val="16"/>
        </w:rPr>
      </w:pPr>
      <w:r w:rsidRPr="00DE096C">
        <w:rPr>
          <w:bCs/>
          <w:color w:val="002060"/>
          <w:sz w:val="16"/>
          <w:szCs w:val="16"/>
        </w:rPr>
        <w:t xml:space="preserve">В одном из последующих полетов дирижабль был серьезно поврежден шрапнельным огнем, потерял много водорода и совершил вынужденную посадку около Липовца. Экипаж был взят в плен при попытке уничтожить дирижабль. </w:t>
      </w:r>
    </w:p>
    <w:p w14:paraId="028D0E6C" w14:textId="77777777" w:rsidR="00B67D7C" w:rsidRPr="00DE096C" w:rsidRDefault="00B67D7C" w:rsidP="00D45A46">
      <w:pPr>
        <w:jc w:val="both"/>
        <w:rPr>
          <w:bCs/>
          <w:color w:val="002060"/>
          <w:sz w:val="16"/>
          <w:szCs w:val="16"/>
        </w:rPr>
      </w:pPr>
      <w:r w:rsidRPr="00DE096C">
        <w:rPr>
          <w:bCs/>
          <w:color w:val="002060"/>
          <w:sz w:val="16"/>
          <w:szCs w:val="16"/>
        </w:rPr>
        <w:t xml:space="preserve">Второй цеппелин, Z-IV, выполнил ряд дерзких налетов из Познани на скопления русских войск на малой высоте. Он неоднократно попадал под ружейный обстрел: из одного полета вернулся, имея около 300 пробоин. [179] </w:t>
      </w:r>
    </w:p>
    <w:p w14:paraId="786F04FF" w14:textId="77777777" w:rsidR="00B67D7C" w:rsidRPr="00DE096C" w:rsidRDefault="00B67D7C" w:rsidP="00D45A46">
      <w:pPr>
        <w:jc w:val="both"/>
        <w:rPr>
          <w:bCs/>
          <w:color w:val="002060"/>
          <w:sz w:val="16"/>
          <w:szCs w:val="16"/>
        </w:rPr>
      </w:pPr>
      <w:r w:rsidRPr="00DE096C">
        <w:rPr>
          <w:bCs/>
          <w:color w:val="002060"/>
          <w:sz w:val="16"/>
          <w:szCs w:val="16"/>
        </w:rPr>
        <w:t xml:space="preserve">Приведем красноречивое свидетельство боевой работы цеппелинов на Восточном фронте, оставленное генералом русской армии Ренненкампфом. </w:t>
      </w:r>
    </w:p>
    <w:p w14:paraId="561F9A95" w14:textId="77777777" w:rsidR="00B67D7C" w:rsidRPr="00DE096C" w:rsidRDefault="00B67D7C" w:rsidP="00D45A46">
      <w:pPr>
        <w:jc w:val="both"/>
        <w:rPr>
          <w:bCs/>
          <w:color w:val="002060"/>
          <w:sz w:val="16"/>
          <w:szCs w:val="16"/>
        </w:rPr>
      </w:pPr>
      <w:r w:rsidRPr="00DE096C">
        <w:rPr>
          <w:bCs/>
          <w:color w:val="002060"/>
          <w:sz w:val="16"/>
          <w:szCs w:val="16"/>
        </w:rPr>
        <w:t xml:space="preserve">«Когда мы вошли в Восточную Пруссию в августе 1914 года, неприятельская авиация проявляла себя столь незначительно, что к сегодняшнему дню о ней не сохранилось почти никаких воспоминаний. Зато господство в воздухе германских воздушных кораблей запомнилось крепко. </w:t>
      </w:r>
    </w:p>
    <w:p w14:paraId="157A1EEC" w14:textId="77777777" w:rsidR="00B67D7C" w:rsidRPr="00DE096C" w:rsidRDefault="00B67D7C" w:rsidP="00D45A46">
      <w:pPr>
        <w:jc w:val="both"/>
        <w:rPr>
          <w:bCs/>
          <w:color w:val="002060"/>
          <w:sz w:val="16"/>
          <w:szCs w:val="16"/>
        </w:rPr>
      </w:pPr>
      <w:r w:rsidRPr="00DE096C">
        <w:rPr>
          <w:bCs/>
          <w:color w:val="002060"/>
          <w:sz w:val="16"/>
          <w:szCs w:val="16"/>
        </w:rPr>
        <w:t xml:space="preserve">Впервые о том, что несет с собой цеппелин, мы узнали в ночь на 23 августа, когда его бомба попала в бивак 110-го пехотного Камского полка и вывела из строя убитыми и ранеными сразу 17 человек. Другой раз цеппелин в одном из своих ночных налетов на место расположения 1-й армии в городе Инстербурге сбросил несколько легких бомб в стоящий на восточной окраине города артиллерийский парк. Попадания пришлись в коновязь. На утро там можно было видеть 30 убитых лошадей с развороченными внутренностями. </w:t>
      </w:r>
    </w:p>
    <w:p w14:paraId="09010094" w14:textId="77777777" w:rsidR="00B67D7C" w:rsidRPr="00DE096C" w:rsidRDefault="00B67D7C" w:rsidP="00D45A46">
      <w:pPr>
        <w:jc w:val="both"/>
        <w:rPr>
          <w:bCs/>
          <w:color w:val="002060"/>
          <w:sz w:val="16"/>
          <w:szCs w:val="16"/>
        </w:rPr>
      </w:pPr>
      <w:r w:rsidRPr="00DE096C">
        <w:rPr>
          <w:bCs/>
          <w:color w:val="002060"/>
          <w:sz w:val="16"/>
          <w:szCs w:val="16"/>
        </w:rPr>
        <w:t xml:space="preserve">В тот период при штабе 1-й армии имелся охранный отряд, состоящий из трех родов войск. Обычно на ночь от отряда выставлялось вокруг штаба со всех сторон охранение. Сохранился один из приказов от 27 августа по одному отряду за № 164: </w:t>
      </w:r>
    </w:p>
    <w:p w14:paraId="067FF421" w14:textId="77777777" w:rsidR="00B67D7C" w:rsidRPr="00DE096C" w:rsidRDefault="00B67D7C" w:rsidP="00D45A46">
      <w:pPr>
        <w:jc w:val="both"/>
        <w:rPr>
          <w:bCs/>
          <w:color w:val="002060"/>
          <w:sz w:val="16"/>
          <w:szCs w:val="16"/>
        </w:rPr>
      </w:pPr>
      <w:r w:rsidRPr="00DE096C">
        <w:rPr>
          <w:bCs/>
          <w:color w:val="002060"/>
          <w:sz w:val="16"/>
          <w:szCs w:val="16"/>
        </w:rPr>
        <w:t xml:space="preserve">«Последние дни ночью и на рассвете над ночлегами войск появляется цеппелин, бросающий вниз бомбы. Предписываю частям, несущим службу охранения, открывать по неприятельскому воздушному кораблю ружейный и артиллерийский огонь. Батарея (или ее дежурная часть) должна постоянно иметь орудия, еще с вечера направленными в разные стороны, с врытыми в землю (ямы) хоботами и поднятыми дулами, насколько возможно. С приближением неприятельского воздушного корабля немедленно тушить [180] все огни. На биваках (по возможности) не располагаться открыто. </w:t>
      </w:r>
    </w:p>
    <w:p w14:paraId="75C5389A" w14:textId="77777777" w:rsidR="00B67D7C" w:rsidRPr="00DE096C" w:rsidRDefault="00B67D7C" w:rsidP="00D45A46">
      <w:pPr>
        <w:jc w:val="both"/>
        <w:rPr>
          <w:bCs/>
          <w:color w:val="002060"/>
          <w:sz w:val="16"/>
          <w:szCs w:val="16"/>
        </w:rPr>
      </w:pPr>
      <w:r w:rsidRPr="00DE096C">
        <w:rPr>
          <w:bCs/>
          <w:color w:val="002060"/>
          <w:sz w:val="16"/>
          <w:szCs w:val="16"/>
        </w:rPr>
        <w:t xml:space="preserve">Командующий армией обещает Георгиевские кресты тем чинам, выстрелами которых будет спущен на землю неприятельский воздушный корабль, захвачен или уничтожен. </w:t>
      </w:r>
    </w:p>
    <w:p w14:paraId="2A196901" w14:textId="77777777" w:rsidR="00B67D7C" w:rsidRPr="00DE096C" w:rsidRDefault="00B67D7C" w:rsidP="00D45A46">
      <w:pPr>
        <w:jc w:val="both"/>
        <w:rPr>
          <w:bCs/>
          <w:color w:val="002060"/>
          <w:sz w:val="16"/>
          <w:szCs w:val="16"/>
        </w:rPr>
      </w:pPr>
      <w:r w:rsidRPr="00DE096C">
        <w:rPr>
          <w:bCs/>
          <w:color w:val="002060"/>
          <w:sz w:val="16"/>
          <w:szCs w:val="16"/>
        </w:rPr>
        <w:t xml:space="preserve">О возможности ночной стрельбы вверх по воздушному кораблю должны быть предупреждены все без исключения чины главной квартиры, охранного отряда и проходящие части. </w:t>
      </w:r>
    </w:p>
    <w:p w14:paraId="2BDE04FC" w14:textId="77777777" w:rsidR="00B67D7C" w:rsidRPr="00DE096C" w:rsidRDefault="00B67D7C" w:rsidP="00D45A46">
      <w:pPr>
        <w:jc w:val="both"/>
        <w:rPr>
          <w:bCs/>
          <w:color w:val="002060"/>
          <w:sz w:val="16"/>
          <w:szCs w:val="16"/>
        </w:rPr>
      </w:pPr>
      <w:r w:rsidRPr="00DE096C">
        <w:rPr>
          <w:bCs/>
          <w:color w:val="002060"/>
          <w:sz w:val="16"/>
          <w:szCs w:val="16"/>
        </w:rPr>
        <w:t xml:space="preserve">Об изложенном объявляю по отряду для сведения и руководства. Начальник охранного отряда». </w:t>
      </w:r>
    </w:p>
    <w:p w14:paraId="7F72052B" w14:textId="77777777" w:rsidR="00B67D7C" w:rsidRPr="00DE096C" w:rsidRDefault="00B67D7C" w:rsidP="00D45A46">
      <w:pPr>
        <w:jc w:val="both"/>
        <w:rPr>
          <w:bCs/>
          <w:color w:val="002060"/>
          <w:sz w:val="16"/>
          <w:szCs w:val="16"/>
        </w:rPr>
      </w:pPr>
      <w:r w:rsidRPr="00DE096C">
        <w:rPr>
          <w:bCs/>
          <w:color w:val="002060"/>
          <w:sz w:val="16"/>
          <w:szCs w:val="16"/>
        </w:rPr>
        <w:t>Потом была обещана денежная награда за сбитие цеппелина. Это привело к тому, что во время одного из ночных визитов германского воздушного корабля в Инстербурге на улице был замечен один из чинов армейского управления, стреляющий по цеппелину из... револьвера. Однако, несмотря на все это, ни один из кораблей в Восточной Пруссии над Инстербургом подбит не был. С другой стороны, за все время цеппелины не причинили штабу армии никакого вреда. Для борьбы с ними в воздухе мы тогда не располагали соответствующими воздушными силами. А между тем перед войной в составе войск Виленского округа числилась 4-я воздухоплавательная рота, расположенная в Ковно, 5-я воздухоплавательная рота в Гродно и 9-я воздухоплавательная рота в Лиде. В последней имелись воздушные корабли и, между прочим, дирижабль «Астра», полученный летом 1913 года. Мне удалось 31 августа того же года подняться на нем, причем он обратил на себя внимание крайней медлительностью и тем, что ни за что не брал высоты. Было ясно, что для военных целей он окажется непригодным» (11324).</w:t>
      </w:r>
    </w:p>
    <w:p w14:paraId="543D49B7" w14:textId="77777777" w:rsidR="00B67D7C" w:rsidRPr="00DE096C" w:rsidRDefault="00B67D7C" w:rsidP="00D45A46">
      <w:pPr>
        <w:pStyle w:val="a3"/>
        <w:jc w:val="both"/>
        <w:rPr>
          <w:bCs/>
          <w:color w:val="002060"/>
          <w:spacing w:val="0"/>
          <w:kern w:val="0"/>
          <w:position w:val="0"/>
          <w:sz w:val="16"/>
          <w:szCs w:val="16"/>
        </w:rPr>
      </w:pPr>
    </w:p>
    <w:p w14:paraId="4E41DE80"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 и воздухоплавание Германии:</w:t>
      </w:r>
    </w:p>
    <w:p w14:paraId="5001B95A" w14:textId="77777777" w:rsidR="00B67D7C" w:rsidRPr="00DE096C" w:rsidRDefault="00B67D7C" w:rsidP="00D45A46">
      <w:pPr>
        <w:shd w:val="clear" w:color="auto" w:fill="FFFFFF"/>
        <w:jc w:val="both"/>
        <w:rPr>
          <w:bCs/>
          <w:i/>
          <w:color w:val="002060"/>
          <w:sz w:val="16"/>
          <w:szCs w:val="16"/>
        </w:rPr>
      </w:pPr>
    </w:p>
    <w:p w14:paraId="6D309E44" w14:textId="4D36ADBB" w:rsidR="00B67D7C" w:rsidRPr="00DE096C" w:rsidRDefault="009A2FCA" w:rsidP="00D45A46">
      <w:pPr>
        <w:jc w:val="both"/>
        <w:rPr>
          <w:bCs/>
          <w:color w:val="002060"/>
          <w:sz w:val="16"/>
          <w:szCs w:val="16"/>
        </w:rPr>
      </w:pPr>
      <w:r w:rsidRPr="00DE096C">
        <w:rPr>
          <w:bCs/>
          <w:color w:val="002060"/>
          <w:sz w:val="16"/>
          <w:szCs w:val="16"/>
        </w:rPr>
        <w:t>29 июля (</w:t>
      </w:r>
      <w:r w:rsidR="00B67D7C" w:rsidRPr="00DE096C">
        <w:rPr>
          <w:bCs/>
          <w:color w:val="002060"/>
          <w:sz w:val="16"/>
          <w:szCs w:val="16"/>
        </w:rPr>
        <w:t>11 августа</w:t>
      </w:r>
      <w:r w:rsidRPr="00DE096C">
        <w:rPr>
          <w:bCs/>
          <w:color w:val="002060"/>
          <w:sz w:val="16"/>
          <w:szCs w:val="16"/>
        </w:rPr>
        <w:t>)</w:t>
      </w:r>
      <w:r w:rsidR="00B67D7C" w:rsidRPr="00DE096C">
        <w:rPr>
          <w:bCs/>
          <w:color w:val="002060"/>
          <w:sz w:val="16"/>
          <w:szCs w:val="16"/>
        </w:rPr>
        <w:t xml:space="preserve"> 1914 Бельгийская армия, отбиваясь от наседающих немцев, отходит. Над ней в ярком солнечном свете летают германские аэропланы; это разведчики из авиаотряда III армейского корпуса. Пока они бессильны что-либо сделать</w:t>
      </w:r>
      <w:r w:rsidRPr="00DE096C">
        <w:rPr>
          <w:bCs/>
          <w:color w:val="002060"/>
          <w:sz w:val="16"/>
          <w:szCs w:val="16"/>
        </w:rPr>
        <w:t>,</w:t>
      </w:r>
      <w:r w:rsidR="00B67D7C" w:rsidRPr="00DE096C">
        <w:rPr>
          <w:bCs/>
          <w:color w:val="002060"/>
          <w:sz w:val="16"/>
          <w:szCs w:val="16"/>
        </w:rPr>
        <w:t xml:space="preserve"> и бельгийские военные посматривают на них лишь с любопытством. Однако по возвращении из полета германские летчики четко докладывают командованию об очищении бельгийских позиций у Гента и об общем отходе бельгийской армии к Антверпену (11999).</w:t>
      </w:r>
    </w:p>
    <w:p w14:paraId="7D34781B" w14:textId="77777777" w:rsidR="00B67D7C" w:rsidRPr="00DE096C" w:rsidRDefault="00B67D7C" w:rsidP="00D45A46">
      <w:pPr>
        <w:jc w:val="both"/>
        <w:rPr>
          <w:bCs/>
          <w:color w:val="002060"/>
          <w:sz w:val="16"/>
          <w:szCs w:val="16"/>
        </w:rPr>
      </w:pPr>
    </w:p>
    <w:p w14:paraId="60F0A91B"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0B94500C" w14:textId="77777777" w:rsidR="00B67D7C" w:rsidRPr="00DE096C" w:rsidRDefault="00B67D7C" w:rsidP="00D45A46">
      <w:pPr>
        <w:shd w:val="clear" w:color="auto" w:fill="FFFFFF"/>
        <w:jc w:val="both"/>
        <w:rPr>
          <w:bCs/>
          <w:i/>
          <w:color w:val="002060"/>
          <w:sz w:val="16"/>
          <w:szCs w:val="16"/>
        </w:rPr>
      </w:pPr>
    </w:p>
    <w:p w14:paraId="53CF8AAA" w14:textId="09EAE1C7"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30 июля (12 августа) 1914 г. </w:t>
      </w:r>
      <w:r w:rsidR="009A2FCA" w:rsidRPr="00DE096C">
        <w:rPr>
          <w:bCs/>
          <w:color w:val="002060"/>
          <w:sz w:val="16"/>
          <w:szCs w:val="16"/>
        </w:rPr>
        <w:t xml:space="preserve">в деловой корреспонденции между Морским ведомством и ПРТВ </w:t>
      </w:r>
      <w:r w:rsidRPr="00DE096C">
        <w:rPr>
          <w:bCs/>
          <w:color w:val="002060"/>
          <w:sz w:val="16"/>
          <w:szCs w:val="16"/>
        </w:rPr>
        <w:t>сообщалось:</w:t>
      </w:r>
    </w:p>
    <w:p w14:paraId="5C077F5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«Офицером, командированным вчера на Ваш завод, замечено небрежное выполнение столярных работ, неаккуратная сборка и совершенно недопустимая установка железных час</w:t>
      </w:r>
      <w:r w:rsidRPr="00DE096C">
        <w:rPr>
          <w:bCs/>
          <w:color w:val="002060"/>
          <w:sz w:val="16"/>
          <w:szCs w:val="16"/>
        </w:rPr>
        <w:softHyphen/>
        <w:t>тей там, где надлежит иметь их медными (днище). Считаю долгом предупредить, что подобные упущения, как влияющие на сокращение живучести корпуса, могут повести к нарушению контракта».</w:t>
      </w:r>
    </w:p>
    <w:p w14:paraId="26ACEF7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Наблюдающим офицером служил уже знакомый читателю лейтенант И. И. Кульнев; к сожалению, несмотря на его и других моряков усилия, руководство ПРТВ не сумело вовремя искоренить дефекты, и болезнь приняла затяжной хронический характер (2807).</w:t>
      </w:r>
    </w:p>
    <w:p w14:paraId="536A9CC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Сведения о контракте на аппараты М-2/М-4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B67D7C" w:rsidRPr="00DE096C" w14:paraId="158C297D" w14:textId="77777777" w:rsidTr="00C2024A">
        <w:tc>
          <w:tcPr>
            <w:tcW w:w="4788" w:type="dxa"/>
            <w:shd w:val="clear" w:color="auto" w:fill="FFFFFF"/>
          </w:tcPr>
          <w:p w14:paraId="3C0DC9F3" w14:textId="77777777" w:rsidR="00B67D7C" w:rsidRPr="00DE096C" w:rsidRDefault="00B67D7C" w:rsidP="00D45A46">
            <w:pPr>
              <w:jc w:val="both"/>
              <w:rPr>
                <w:bCs/>
                <w:color w:val="002060"/>
                <w:sz w:val="16"/>
                <w:szCs w:val="16"/>
              </w:rPr>
            </w:pPr>
            <w:r w:rsidRPr="00DE096C">
              <w:rPr>
                <w:bCs/>
                <w:color w:val="002060"/>
                <w:sz w:val="16"/>
                <w:szCs w:val="16"/>
              </w:rPr>
              <w:t>Дата контракта</w:t>
            </w:r>
          </w:p>
        </w:tc>
        <w:tc>
          <w:tcPr>
            <w:tcW w:w="4788" w:type="dxa"/>
            <w:shd w:val="clear" w:color="auto" w:fill="FFFFFF"/>
          </w:tcPr>
          <w:p w14:paraId="78093D93" w14:textId="77777777" w:rsidR="00B67D7C" w:rsidRPr="00DE096C" w:rsidRDefault="00B67D7C" w:rsidP="00D45A46">
            <w:pPr>
              <w:jc w:val="both"/>
              <w:rPr>
                <w:bCs/>
                <w:color w:val="002060"/>
                <w:sz w:val="16"/>
                <w:szCs w:val="16"/>
              </w:rPr>
            </w:pPr>
            <w:r w:rsidRPr="00DE096C">
              <w:rPr>
                <w:bCs/>
                <w:color w:val="002060"/>
                <w:sz w:val="16"/>
                <w:szCs w:val="16"/>
              </w:rPr>
              <w:t>Июль 29 1914 г.</w:t>
            </w:r>
          </w:p>
        </w:tc>
      </w:tr>
      <w:tr w:rsidR="00B67D7C" w:rsidRPr="00DE096C" w14:paraId="6252835D" w14:textId="77777777" w:rsidTr="00C2024A">
        <w:tc>
          <w:tcPr>
            <w:tcW w:w="4788" w:type="dxa"/>
            <w:shd w:val="clear" w:color="auto" w:fill="FFFFFF"/>
          </w:tcPr>
          <w:p w14:paraId="3D206844" w14:textId="77777777" w:rsidR="00B67D7C" w:rsidRPr="00DE096C" w:rsidRDefault="00B67D7C" w:rsidP="00D45A46">
            <w:pPr>
              <w:jc w:val="both"/>
              <w:rPr>
                <w:bCs/>
                <w:color w:val="002060"/>
                <w:sz w:val="16"/>
                <w:szCs w:val="16"/>
              </w:rPr>
            </w:pPr>
          </w:p>
        </w:tc>
        <w:tc>
          <w:tcPr>
            <w:tcW w:w="4788" w:type="dxa"/>
            <w:shd w:val="clear" w:color="auto" w:fill="FFFFFF"/>
          </w:tcPr>
          <w:p w14:paraId="1F4CD9F6" w14:textId="77777777" w:rsidR="00B67D7C" w:rsidRPr="00DE096C" w:rsidRDefault="00B67D7C" w:rsidP="00D45A46">
            <w:pPr>
              <w:jc w:val="both"/>
              <w:rPr>
                <w:bCs/>
                <w:color w:val="002060"/>
                <w:sz w:val="16"/>
                <w:szCs w:val="16"/>
              </w:rPr>
            </w:pPr>
            <w:r w:rsidRPr="00DE096C">
              <w:rPr>
                <w:bCs/>
                <w:color w:val="002060"/>
                <w:sz w:val="16"/>
                <w:szCs w:val="16"/>
              </w:rPr>
              <w:t>(по другой версии, 29 июня 1914 г.)</w:t>
            </w:r>
          </w:p>
        </w:tc>
      </w:tr>
      <w:tr w:rsidR="00B67D7C" w:rsidRPr="00DE096C" w14:paraId="45D568B5" w14:textId="77777777" w:rsidTr="00C2024A">
        <w:tc>
          <w:tcPr>
            <w:tcW w:w="4788" w:type="dxa"/>
            <w:shd w:val="clear" w:color="auto" w:fill="FFFFFF"/>
          </w:tcPr>
          <w:p w14:paraId="12866E30" w14:textId="77777777" w:rsidR="00B67D7C" w:rsidRPr="00DE096C" w:rsidRDefault="00B67D7C" w:rsidP="00D45A46">
            <w:pPr>
              <w:jc w:val="both"/>
              <w:rPr>
                <w:bCs/>
                <w:color w:val="002060"/>
                <w:sz w:val="16"/>
                <w:szCs w:val="16"/>
              </w:rPr>
            </w:pPr>
            <w:r w:rsidRPr="00DE096C">
              <w:rPr>
                <w:bCs/>
                <w:color w:val="002060"/>
                <w:sz w:val="16"/>
                <w:szCs w:val="16"/>
              </w:rPr>
              <w:t>Число заказанных аэропланов</w:t>
            </w:r>
          </w:p>
        </w:tc>
        <w:tc>
          <w:tcPr>
            <w:tcW w:w="4788" w:type="dxa"/>
            <w:shd w:val="clear" w:color="auto" w:fill="FFFFFF"/>
          </w:tcPr>
          <w:p w14:paraId="4A3DF463" w14:textId="77777777" w:rsidR="00B67D7C" w:rsidRPr="00DE096C" w:rsidRDefault="00B67D7C" w:rsidP="00D45A46">
            <w:pPr>
              <w:jc w:val="both"/>
              <w:rPr>
                <w:bCs/>
                <w:color w:val="002060"/>
                <w:sz w:val="16"/>
                <w:szCs w:val="16"/>
              </w:rPr>
            </w:pPr>
            <w:r w:rsidRPr="00DE096C">
              <w:rPr>
                <w:bCs/>
                <w:color w:val="002060"/>
                <w:sz w:val="16"/>
                <w:szCs w:val="16"/>
              </w:rPr>
              <w:t>4</w:t>
            </w:r>
          </w:p>
        </w:tc>
      </w:tr>
      <w:tr w:rsidR="00B67D7C" w:rsidRPr="00DE096C" w14:paraId="2FC63732" w14:textId="77777777" w:rsidTr="00C2024A">
        <w:tc>
          <w:tcPr>
            <w:tcW w:w="4788" w:type="dxa"/>
            <w:shd w:val="clear" w:color="auto" w:fill="FFFFFF"/>
          </w:tcPr>
          <w:p w14:paraId="271ED36D" w14:textId="77777777" w:rsidR="00B67D7C" w:rsidRPr="00DE096C" w:rsidRDefault="00B67D7C" w:rsidP="00D45A46">
            <w:pPr>
              <w:jc w:val="both"/>
              <w:rPr>
                <w:bCs/>
                <w:color w:val="002060"/>
                <w:sz w:val="16"/>
                <w:szCs w:val="16"/>
              </w:rPr>
            </w:pPr>
            <w:r w:rsidRPr="00DE096C">
              <w:rPr>
                <w:bCs/>
                <w:color w:val="002060"/>
                <w:sz w:val="16"/>
                <w:szCs w:val="16"/>
              </w:rPr>
              <w:t>Заводские номера сданных аэропланов</w:t>
            </w:r>
          </w:p>
        </w:tc>
        <w:tc>
          <w:tcPr>
            <w:tcW w:w="4788" w:type="dxa"/>
            <w:shd w:val="clear" w:color="auto" w:fill="FFFFFF"/>
          </w:tcPr>
          <w:p w14:paraId="64A1D71C" w14:textId="77777777" w:rsidR="00B67D7C" w:rsidRPr="00DE096C" w:rsidRDefault="00B67D7C" w:rsidP="00D45A46">
            <w:pPr>
              <w:jc w:val="both"/>
              <w:rPr>
                <w:bCs/>
                <w:color w:val="002060"/>
                <w:sz w:val="16"/>
                <w:szCs w:val="16"/>
              </w:rPr>
            </w:pPr>
            <w:r w:rsidRPr="00DE096C">
              <w:rPr>
                <w:bCs/>
                <w:color w:val="002060"/>
                <w:sz w:val="16"/>
                <w:szCs w:val="16"/>
              </w:rPr>
              <w:t>196, 197</w:t>
            </w:r>
          </w:p>
        </w:tc>
      </w:tr>
      <w:tr w:rsidR="00B67D7C" w:rsidRPr="00DE096C" w14:paraId="27630275" w14:textId="77777777" w:rsidTr="00C2024A">
        <w:tc>
          <w:tcPr>
            <w:tcW w:w="4788" w:type="dxa"/>
            <w:shd w:val="clear" w:color="auto" w:fill="FFFFFF"/>
          </w:tcPr>
          <w:p w14:paraId="624053D3" w14:textId="77777777" w:rsidR="00B67D7C" w:rsidRPr="00DE096C" w:rsidRDefault="00B67D7C" w:rsidP="00D45A46">
            <w:pPr>
              <w:jc w:val="both"/>
              <w:rPr>
                <w:bCs/>
                <w:color w:val="002060"/>
                <w:sz w:val="16"/>
                <w:szCs w:val="16"/>
              </w:rPr>
            </w:pPr>
          </w:p>
        </w:tc>
        <w:tc>
          <w:tcPr>
            <w:tcW w:w="4788" w:type="dxa"/>
            <w:shd w:val="clear" w:color="auto" w:fill="FFFFFF"/>
          </w:tcPr>
          <w:p w14:paraId="58DCBD9D" w14:textId="77777777" w:rsidR="00B67D7C" w:rsidRPr="00DE096C" w:rsidRDefault="00B67D7C" w:rsidP="00D45A46">
            <w:pPr>
              <w:jc w:val="both"/>
              <w:rPr>
                <w:bCs/>
                <w:color w:val="002060"/>
                <w:sz w:val="16"/>
                <w:szCs w:val="16"/>
              </w:rPr>
            </w:pPr>
            <w:r w:rsidRPr="00DE096C">
              <w:rPr>
                <w:bCs/>
                <w:color w:val="002060"/>
                <w:sz w:val="16"/>
                <w:szCs w:val="16"/>
              </w:rPr>
              <w:t>(прочие неизвестны)</w:t>
            </w:r>
          </w:p>
        </w:tc>
      </w:tr>
      <w:tr w:rsidR="00B67D7C" w:rsidRPr="00DE096C" w14:paraId="57F068E6" w14:textId="77777777" w:rsidTr="00C2024A">
        <w:tc>
          <w:tcPr>
            <w:tcW w:w="4788" w:type="dxa"/>
            <w:shd w:val="clear" w:color="auto" w:fill="FFFFFF"/>
          </w:tcPr>
          <w:p w14:paraId="1C6214DA" w14:textId="77777777" w:rsidR="00B67D7C" w:rsidRPr="00DE096C" w:rsidRDefault="00B67D7C" w:rsidP="00D45A46">
            <w:pPr>
              <w:jc w:val="both"/>
              <w:rPr>
                <w:bCs/>
                <w:color w:val="002060"/>
                <w:sz w:val="16"/>
                <w:szCs w:val="16"/>
              </w:rPr>
            </w:pPr>
            <w:r w:rsidRPr="00DE096C">
              <w:rPr>
                <w:bCs/>
                <w:color w:val="002060"/>
                <w:sz w:val="16"/>
                <w:szCs w:val="16"/>
              </w:rPr>
              <w:t>УСЛОВИЯ:</w:t>
            </w:r>
          </w:p>
        </w:tc>
        <w:tc>
          <w:tcPr>
            <w:tcW w:w="4788" w:type="dxa"/>
            <w:shd w:val="clear" w:color="auto" w:fill="FFFFFF"/>
          </w:tcPr>
          <w:p w14:paraId="79C6BA92" w14:textId="77777777" w:rsidR="00B67D7C" w:rsidRPr="00DE096C" w:rsidRDefault="00B67D7C" w:rsidP="00D45A46">
            <w:pPr>
              <w:jc w:val="both"/>
              <w:rPr>
                <w:bCs/>
                <w:color w:val="002060"/>
                <w:sz w:val="16"/>
                <w:szCs w:val="16"/>
              </w:rPr>
            </w:pPr>
            <w:r w:rsidRPr="00DE096C">
              <w:rPr>
                <w:bCs/>
                <w:color w:val="002060"/>
                <w:sz w:val="16"/>
                <w:szCs w:val="16"/>
              </w:rPr>
              <w:t>8 тыс. руб. за аппарат под мотор 80 или 100 л. с., срок исполнения с 7 по 23 августа 1914 г. (выполнен к 25 апреля 1915г.) (2807)</w:t>
            </w:r>
          </w:p>
        </w:tc>
      </w:tr>
    </w:tbl>
    <w:p w14:paraId="3CF5351E" w14:textId="77777777" w:rsidR="00B67D7C" w:rsidRPr="00DE096C" w:rsidRDefault="00B67D7C" w:rsidP="00D45A46">
      <w:pPr>
        <w:shd w:val="clear" w:color="auto" w:fill="FFFFFF"/>
        <w:jc w:val="both"/>
        <w:rPr>
          <w:bCs/>
          <w:color w:val="002060"/>
          <w:sz w:val="16"/>
          <w:szCs w:val="16"/>
        </w:rPr>
      </w:pPr>
    </w:p>
    <w:p w14:paraId="26039984" w14:textId="4792272E"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w:t>
      </w:r>
    </w:p>
    <w:p w14:paraId="732519B8" w14:textId="77777777" w:rsidR="00B67D7C" w:rsidRPr="00DE096C" w:rsidRDefault="00B67D7C" w:rsidP="00D45A46">
      <w:pPr>
        <w:shd w:val="clear" w:color="auto" w:fill="FFFFFF"/>
        <w:jc w:val="both"/>
        <w:rPr>
          <w:bCs/>
          <w:i/>
          <w:color w:val="002060"/>
          <w:sz w:val="16"/>
          <w:szCs w:val="16"/>
        </w:rPr>
      </w:pPr>
    </w:p>
    <w:p w14:paraId="4CF5DA7D" w14:textId="2B9E0F46" w:rsidR="00633CA8" w:rsidRPr="00DE096C" w:rsidRDefault="00633CA8" w:rsidP="00D45A46">
      <w:pPr>
        <w:jc w:val="both"/>
        <w:rPr>
          <w:bCs/>
          <w:color w:val="002060"/>
          <w:sz w:val="16"/>
          <w:szCs w:val="16"/>
        </w:rPr>
      </w:pPr>
      <w:r w:rsidRPr="00DE096C">
        <w:rPr>
          <w:bCs/>
          <w:color w:val="002060"/>
          <w:sz w:val="16"/>
          <w:szCs w:val="16"/>
          <w:lang w:bidi="en-US"/>
        </w:rPr>
        <w:t>30 июля (12 августа) 1914 г. 1-я русская армия под командованием генерала П. В. Ренненкампфа начала наступление на запад в Восточную Пруссию при поддержке 2-й, 3-й, 4-й и 10-й КАО. 20-го русская 2-я армия во главе с генералом А. В. Самсоновым в составе 1-й, 13-й, 15-й, 21-й и 23-й КАО приготовилась к наступлению с юга. Кампания закончилась сокрушительным поражением 2-й русской армии в битве при Танненберге 27–30 августа.</w:t>
      </w:r>
    </w:p>
    <w:p w14:paraId="0ECBD1E4" w14:textId="77777777" w:rsidR="00633CA8" w:rsidRPr="00DE096C" w:rsidRDefault="00633CA8" w:rsidP="00D45A46">
      <w:pPr>
        <w:jc w:val="both"/>
        <w:rPr>
          <w:bCs/>
          <w:color w:val="002060"/>
          <w:sz w:val="16"/>
          <w:szCs w:val="16"/>
          <w:lang w:bidi="en-US"/>
        </w:rPr>
      </w:pPr>
      <w:r w:rsidRPr="00DE096C">
        <w:rPr>
          <w:bCs/>
          <w:color w:val="002060"/>
          <w:sz w:val="16"/>
          <w:szCs w:val="16"/>
          <w:lang w:bidi="en-US"/>
        </w:rPr>
        <w:t>Русское командование не поверило сообщениям своих летчиков о передвижениях противника и не отдало приказов о достаточном количестве полетов, чтобы обеспечить надлежащую связь между различными армейскими корпусами. 13-я КАО и другие КАО потеряли большую часть своего оборудования при отступлении. В немецких сообщениях говорилось, что русских летчиков видели на фронте довольно редко, но редко за его пределами. Немецкое командование поверило сообщениям своих летчиков и быстро отреагировало на них (23525).</w:t>
      </w:r>
    </w:p>
    <w:p w14:paraId="3C3FE18F" w14:textId="77777777" w:rsidR="00633CA8" w:rsidRPr="00DE096C" w:rsidRDefault="00633CA8" w:rsidP="00D45A46">
      <w:pPr>
        <w:jc w:val="both"/>
        <w:rPr>
          <w:bCs/>
          <w:color w:val="002060"/>
          <w:sz w:val="16"/>
          <w:szCs w:val="16"/>
        </w:rPr>
      </w:pPr>
    </w:p>
    <w:p w14:paraId="71588D98" w14:textId="12745566" w:rsidR="00B67D7C" w:rsidRPr="00DE096C" w:rsidRDefault="00B67D7C" w:rsidP="00D45A46">
      <w:pPr>
        <w:jc w:val="both"/>
        <w:rPr>
          <w:bCs/>
          <w:color w:val="002060"/>
          <w:sz w:val="16"/>
          <w:szCs w:val="16"/>
        </w:rPr>
      </w:pPr>
      <w:r w:rsidRPr="00DE096C">
        <w:rPr>
          <w:bCs/>
          <w:color w:val="002060"/>
          <w:sz w:val="16"/>
          <w:szCs w:val="16"/>
        </w:rPr>
        <w:t>30 июля (12 августа) 1914</w:t>
      </w:r>
      <w:r w:rsidR="00EA5517" w:rsidRPr="00DE096C">
        <w:rPr>
          <w:bCs/>
          <w:color w:val="002060"/>
          <w:sz w:val="16"/>
          <w:szCs w:val="16"/>
        </w:rPr>
        <w:t xml:space="preserve"> </w:t>
      </w:r>
      <w:r w:rsidRPr="00DE096C">
        <w:rPr>
          <w:bCs/>
          <w:color w:val="002060"/>
          <w:sz w:val="16"/>
          <w:szCs w:val="16"/>
        </w:rPr>
        <w:t xml:space="preserve">г. начальник 7-го корпусного авиаотряда штабс-капитан Степанов вылетел для производства воздушной разведки, пролетая над местечком Ярмолинцы, подвергся обстрелу залпами... получил пробоины в стабилизатор и крыло. Расследование показало... стреляли роты 60-го пехотного Замоского полка". В тот же день летчик того же отряда поручик Сабельников попал в такую же ситуацию. Результат - 4 пробоины. Подобных примеров было много, и это вынудило командование издать приказы, запрещавшие "стрелять по своим и планирующим аппаратам, стрельбу вести только по приказу офицера или при бросании бомб противником". Господам офицерам было приказано изучить знаки своих и неприятельских аэропланов, знать их силуэты. Начальный период войны выявил плохую организацию в снабжении авиационных отрядов и рот бензином, касторовым маслом, запчастями, палатками и другим авиационным имуществом. Самолеты и моторы быстро выходили из строя в суровых полевых условиях, особенно с наступлением ненастной осенней погоды, когда остро сказались нехватка палаток и переносных ангаров, использование для аэродромов малопригодных площадок. Уже после первых месяцев войны многие авиаотряды пришлось отвести в тыл для снабжения аэропланами новых систем и для переучивания летчиков на них. Так, пилоты, летавшие на "Ньюпорах", освоили "Мораны". Широко использовалась для вооружения отрядов отремонтированная трофейная авиатехника. Поставки самолетов и назначения личного состава целиком зависели от штаба авиации, возглавлявшегося Великим князем Александром Михайловичем. Он часто назначал командирами рот и начальниками отрядов офицеров, хорошо писавших отчеты, но мало летавших. В этой ситуации протежируемые отряды снабжались самолетами вне очереди , тогда как части, несшие ответственную и тяжелую работу, оставались без аэропланов. Снабжение самолетами оставалось большой проблемой, которая часто решалась на самом высоком уровне. Так, </w:t>
      </w:r>
      <w:bookmarkStart w:id="110" w:name="_Hlk117229258"/>
      <w:r w:rsidRPr="00DE096C">
        <w:rPr>
          <w:bCs/>
          <w:color w:val="002060"/>
          <w:sz w:val="16"/>
          <w:szCs w:val="16"/>
        </w:rPr>
        <w:t>31 августа 1914 г. командующий 8-й армией генерал Брусилов бьет челом Великому князю: "Настоящее время лишился совершенно воздушных аппаратов, столь драгоценных для разведок, что ставит управление войсками в крайне трудное положение. ...Покорно прошу Ваше императорское высочество оказать армии величайшую помощь "Фарманами" и "Ньюпорами". Деятельность летчиков в разведке незаменима." Просьба Брусилова была удовлетворена, и армия получила 4 самолета из состава Брест-Литовского крепостного авиаотряда. Однако таких просьб было множество, а дефицит самолетов и моторов стал хронической болезнью русской авиации до конца войны. К началу боевых действий в составе воздушного флота России насчитывался 221 летчик: 170 офицеров, 35 нижних чинов и 16 вольноопределяющихся (добровольцев). На 1 января 1915 г. потери летчиков составили 33 человека или 14,9% от общего состава. Из них 6 погибли от действий неприятеля, 5 - в авариях, 22 попали в плен и пропали без вести. Среди погибших: штабс-капитаны Грузинов, Нестеров, поручики Лемешко, Гудим, старший унтер-офицер Доброшинский и др. Пропали без вести: поручики Николаевский, Шамин, Машерек и др. Ранены или разбились при падении: капитан Витковский, гвардии штабс-капитан Мельницкий, штабс-капитан Мучник, поручики Городецкий, Корнидов, Павлов, доброволец Шпицберг. Некоторые из них, например, летчик-доброволец 16-го КАО Шпицберг, впоследствии скончались в госпитале. В скорбный список боевых потерь одним из первых попал военный летчик начальник 14-го КАО Ефграф Ефграфович Грузинов, смертельно раненный шрапнелью в воздухе во время выполнения боевого задания. 17 августа он вылетел на разведку района Кщонов-Пиляш-Ковице-Быхов-Люблин и обратно не вернулся. Самолет упал на вражеской территории, которую вскоре заняли русские войска. У села Быхово близ Янова были найдены свежая могила и разбитый "Ньюпор". В могиле обнаружили тело Грузинова, вопрос местных жителей и пленных австрийцев дал представление об обстоятельствах его гибели. Выяснилось, что самолет пролетал над австрийскими позициями на высоте 1000-1200 м и был обстрелян сначала пехотой, потом артиллерийской батареей, которая дала три залпа. Два первых цели не достигли. После третьего аппарат дрогнул, перевернулся и, сделав крутой вираж, врезался в землю с работающим мотором. Посмертно высочайшим приказом штабс-капитан Грузинов был награжден орденом Святого Георгия 4-й степени. Состоялись и первые воздушные бои. Таран и героическая гибель 26 августа военного летчика начальника 11-го КАО Петра Николаевича Нестерова открыли новую эпоху борьбы в воздухе. Из вооружения у русских авиаторов имелись только пистолеты "Маузер" и карабины. Хроника тех лет описывает несколько случаев воздушных боев. Так, 28 октября в окрестностях Петроково (под Варшавой) "появился неприятельский аэроплан. Через несколько минут поднялись два наших летчика и после воздушного боя сбросили "Таубе" на землю. Немецкие авиаторы разбились. Неприятельский аэроплан исковеркан". К сожалению, подтверждения этому газетному сообщению не нашлось. А вот воздушный бой и совместные действия с артиллерией, принесшие успех военному летчику Гродненского крепостного авиаотряда поручику Семенову, были подтверждены несколькими донесениями, хранящимися в Военно-историческом архиве. 27 августа Семенов с наблюдателем корнетом Николаевым при перелете через озеро Мейер, что в Восточной Пруссии, заметил неприятельский аэроплан, летевший к Летцену. Обойдя противника с правой стороны, Семенов атаковал его, заставил спуститься ниже и изменить направление полета в район русских позиций, где тот был обстрелян и около озера упал (11237).</w:t>
      </w:r>
    </w:p>
    <w:p w14:paraId="6D3CF3D5" w14:textId="77777777" w:rsidR="00B67D7C" w:rsidRPr="00DE096C" w:rsidRDefault="00B67D7C" w:rsidP="00D45A46">
      <w:pPr>
        <w:jc w:val="both"/>
        <w:rPr>
          <w:bCs/>
          <w:i/>
          <w:color w:val="002060"/>
          <w:sz w:val="16"/>
          <w:szCs w:val="16"/>
        </w:rPr>
      </w:pPr>
    </w:p>
    <w:bookmarkEnd w:id="110"/>
    <w:p w14:paraId="566316B5" w14:textId="5D06BAF3"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30 июля (12 августа) 1914</w:t>
      </w:r>
      <w:r w:rsidR="00EA5517" w:rsidRPr="00DE096C">
        <w:rPr>
          <w:bCs/>
          <w:i w:val="0"/>
          <w:color w:val="002060"/>
          <w:spacing w:val="0"/>
          <w:kern w:val="0"/>
          <w:position w:val="0"/>
          <w:sz w:val="16"/>
          <w:szCs w:val="16"/>
        </w:rPr>
        <w:t xml:space="preserve"> </w:t>
      </w:r>
      <w:r w:rsidRPr="00DE096C">
        <w:rPr>
          <w:bCs/>
          <w:i w:val="0"/>
          <w:color w:val="002060"/>
          <w:spacing w:val="0"/>
          <w:kern w:val="0"/>
          <w:position w:val="0"/>
          <w:sz w:val="16"/>
          <w:szCs w:val="16"/>
        </w:rPr>
        <w:t>г. начальник 7-го корпусного авиаотряда штабскапитан Степанов вылетел для производства воздушной разведки, пролетая над местечком Ярмолинцы, подвергся обстрелу залпами... получил пробоины в стабилизатор и крыло (11278). Расследование показало... стреляли роты 60-го пехотного Замоского полка". В тот же день летчик того же отряда поручик Сабельников попал в такую же ситуацию. Результат - 4 пробоины. Подобных примеров было много, и это вынудило командование издать приказы, запрещавшие "стрелять по своим и планирующим аппаратам, стрельбу вести только по приказу офицера или при бросании бомб противником". Господам офицерам было приказано изучить знаки своих и неприятельских аэропланов, знать их силуэты (11278).</w:t>
      </w:r>
    </w:p>
    <w:p w14:paraId="326AFFFC" w14:textId="77777777" w:rsidR="00B67D7C" w:rsidRPr="00DE096C" w:rsidRDefault="00B67D7C" w:rsidP="00D45A46">
      <w:pPr>
        <w:pStyle w:val="a3"/>
        <w:jc w:val="both"/>
        <w:rPr>
          <w:bCs/>
          <w:i w:val="0"/>
          <w:color w:val="002060"/>
          <w:spacing w:val="0"/>
          <w:kern w:val="0"/>
          <w:position w:val="0"/>
          <w:sz w:val="16"/>
          <w:szCs w:val="16"/>
        </w:rPr>
      </w:pPr>
    </w:p>
    <w:p w14:paraId="4DEB4568" w14:textId="1FF19881" w:rsidR="00126FA1" w:rsidRPr="00DE096C" w:rsidRDefault="00126FA1" w:rsidP="00D45A46">
      <w:pPr>
        <w:pStyle w:val="2"/>
        <w:spacing w:before="0" w:after="0"/>
        <w:jc w:val="both"/>
        <w:rPr>
          <w:b w:val="0"/>
          <w:bCs/>
          <w:color w:val="002060"/>
          <w:sz w:val="16"/>
          <w:szCs w:val="16"/>
        </w:rPr>
      </w:pPr>
      <w:r w:rsidRPr="00DE096C">
        <w:rPr>
          <w:b w:val="0"/>
          <w:bCs/>
          <w:color w:val="002060"/>
          <w:sz w:val="16"/>
          <w:szCs w:val="16"/>
        </w:rPr>
        <w:t xml:space="preserve">30 июля </w:t>
      </w:r>
      <w:r w:rsidR="00EA5517" w:rsidRPr="00DE096C">
        <w:rPr>
          <w:b w:val="0"/>
          <w:bCs/>
          <w:color w:val="002060"/>
          <w:sz w:val="16"/>
          <w:szCs w:val="16"/>
        </w:rPr>
        <w:t xml:space="preserve">(12 августа) </w:t>
      </w:r>
      <w:r w:rsidRPr="00DE096C">
        <w:rPr>
          <w:b w:val="0"/>
          <w:bCs/>
          <w:color w:val="002060"/>
          <w:sz w:val="16"/>
          <w:szCs w:val="16"/>
        </w:rPr>
        <w:t xml:space="preserve">1914 </w:t>
      </w:r>
      <w:r w:rsidR="00EA5517" w:rsidRPr="00DE096C">
        <w:rPr>
          <w:b w:val="0"/>
          <w:bCs/>
          <w:color w:val="002060"/>
          <w:sz w:val="16"/>
          <w:szCs w:val="16"/>
        </w:rPr>
        <w:t xml:space="preserve">г. </w:t>
      </w:r>
      <w:r w:rsidRPr="00DE096C">
        <w:rPr>
          <w:b w:val="0"/>
          <w:bCs/>
          <w:color w:val="002060"/>
          <w:sz w:val="16"/>
          <w:szCs w:val="16"/>
        </w:rPr>
        <w:t>начальника 7-го као штабс-капитана Степанова над местечком Ярмолинцы обстрелял залпами... 60-й пехотный Замоский полк, он получил пробоины в крыле и стабилизаторе. В тот же день четыре пробоины получил его подчиненный поручик Сабельников. 13 августа при перелете линии фронта своими войсками был сбит и погиб летчик 25-го као поручик Гудим, 27 августа после обстрела при посадке разбился летчик 11-го отряда поручик Лемешко. Вскоре вышел строжайший приказ открывать огонь только по команде офицера или «при бросании бомб противником». Офицерам приказали изучить опознавательные знаки своих и вражеских аэропланов и их силуэты (15464).</w:t>
      </w:r>
    </w:p>
    <w:p w14:paraId="55D27EF9" w14:textId="77777777" w:rsidR="00126FA1" w:rsidRPr="00DE096C" w:rsidRDefault="00126FA1" w:rsidP="00D45A46">
      <w:pPr>
        <w:pStyle w:val="2"/>
        <w:spacing w:before="0" w:after="0"/>
        <w:jc w:val="both"/>
        <w:rPr>
          <w:b w:val="0"/>
          <w:bCs/>
          <w:color w:val="002060"/>
          <w:sz w:val="16"/>
          <w:szCs w:val="16"/>
        </w:rPr>
      </w:pPr>
    </w:p>
    <w:p w14:paraId="4FE03E81" w14:textId="77777777" w:rsidR="005F421D" w:rsidRPr="00B52707" w:rsidRDefault="005F421D" w:rsidP="005F421D">
      <w:pPr>
        <w:jc w:val="both"/>
        <w:rPr>
          <w:color w:val="0070C0"/>
          <w:sz w:val="16"/>
          <w:szCs w:val="16"/>
        </w:rPr>
      </w:pPr>
      <w:r w:rsidRPr="00B52707">
        <w:rPr>
          <w:color w:val="0070C0"/>
          <w:sz w:val="16"/>
          <w:szCs w:val="16"/>
        </w:rPr>
        <w:t>30 июля (12 августа) 1914г. начальник 7-го корпусного авиаотряда штабс-капитан Степанов вылетел для произведет воздушной разведки, пролетая над местечком Ярмолинцы, подвергся обстрелу залпами, получил пробоины в стабилизатор и крыло.</w:t>
      </w:r>
    </w:p>
    <w:p w14:paraId="68CAACE8" w14:textId="77777777" w:rsidR="005F421D" w:rsidRPr="00B52707" w:rsidRDefault="005F421D" w:rsidP="005F421D">
      <w:pPr>
        <w:jc w:val="both"/>
        <w:rPr>
          <w:color w:val="0070C0"/>
          <w:sz w:val="16"/>
          <w:szCs w:val="16"/>
        </w:rPr>
      </w:pPr>
      <w:r w:rsidRPr="00B52707">
        <w:rPr>
          <w:color w:val="0070C0"/>
          <w:sz w:val="16"/>
          <w:szCs w:val="16"/>
        </w:rPr>
        <w:t>Расследование показало… стреляли роты 60-го пехотного "Замоского полка".</w:t>
      </w:r>
    </w:p>
    <w:p w14:paraId="42583C83" w14:textId="77777777" w:rsidR="005F421D" w:rsidRPr="00B52707" w:rsidRDefault="005F421D" w:rsidP="005F421D">
      <w:pPr>
        <w:jc w:val="both"/>
        <w:rPr>
          <w:color w:val="0070C0"/>
          <w:sz w:val="16"/>
          <w:szCs w:val="16"/>
        </w:rPr>
      </w:pPr>
      <w:r w:rsidRPr="00B52707">
        <w:rPr>
          <w:color w:val="0070C0"/>
          <w:sz w:val="16"/>
          <w:szCs w:val="16"/>
        </w:rPr>
        <w:t>В тот же день летчик того же отряда поручик Сабельников попал в такую же ситуацию. Результат – 4 пробоины. Подобных примеров было много, и это вынудило командование издать приказы, запрещавшие "стрелять по своим и планирующим аппаратам, стрельбу вести только по приказу офицера или при бросании бомб противником". Господам офицерам было приказано изучить знаки своих и неприятельских аэропланов, знать их силуэты (25150).</w:t>
      </w:r>
    </w:p>
    <w:p w14:paraId="4E164D93" w14:textId="77777777" w:rsidR="005F421D" w:rsidRPr="00B52707" w:rsidRDefault="005F421D" w:rsidP="005F421D">
      <w:pPr>
        <w:jc w:val="both"/>
        <w:rPr>
          <w:color w:val="0070C0"/>
          <w:sz w:val="16"/>
          <w:szCs w:val="16"/>
        </w:rPr>
      </w:pPr>
    </w:p>
    <w:p w14:paraId="48AACE07" w14:textId="77777777" w:rsidR="005F421D" w:rsidRPr="00B52707" w:rsidRDefault="005F421D" w:rsidP="005F421D">
      <w:pPr>
        <w:jc w:val="both"/>
        <w:rPr>
          <w:color w:val="0070C0"/>
          <w:sz w:val="16"/>
          <w:szCs w:val="16"/>
        </w:rPr>
      </w:pPr>
      <w:r w:rsidRPr="00B52707">
        <w:rPr>
          <w:color w:val="0070C0"/>
          <w:sz w:val="16"/>
          <w:szCs w:val="16"/>
        </w:rPr>
        <w:t>С 30 июля (12 августа) 1914 г. появились новые должности: За</w:t>
      </w:r>
      <w:r w:rsidRPr="00B52707">
        <w:rPr>
          <w:color w:val="0070C0"/>
          <w:sz w:val="16"/>
          <w:szCs w:val="16"/>
        </w:rPr>
        <w:softHyphen/>
        <w:t>ведующего организацией авиационного дела в армиях Северо-Западного фронта и Заведующего организацией авиацион</w:t>
      </w:r>
      <w:r w:rsidRPr="00B52707">
        <w:rPr>
          <w:color w:val="0070C0"/>
          <w:sz w:val="16"/>
          <w:szCs w:val="16"/>
        </w:rPr>
        <w:softHyphen/>
        <w:t>ного дела в армиях Юго-Западного фрон</w:t>
      </w:r>
      <w:r w:rsidRPr="00B52707">
        <w:rPr>
          <w:color w:val="0070C0"/>
          <w:sz w:val="16"/>
          <w:szCs w:val="16"/>
        </w:rPr>
        <w:softHyphen/>
        <w:t>та (РГВИА. Фонд 2008 опись 1 дело 657) (24962).</w:t>
      </w:r>
    </w:p>
    <w:p w14:paraId="5BAEC346" w14:textId="77777777" w:rsidR="005F421D" w:rsidRPr="00B52707" w:rsidRDefault="005F421D" w:rsidP="005F421D">
      <w:pPr>
        <w:jc w:val="both"/>
        <w:rPr>
          <w:color w:val="0070C0"/>
          <w:sz w:val="16"/>
          <w:szCs w:val="16"/>
        </w:rPr>
      </w:pPr>
    </w:p>
    <w:p w14:paraId="075DE848" w14:textId="77777777" w:rsidR="00B67D7C" w:rsidRPr="00DE096C" w:rsidRDefault="00B67D7C" w:rsidP="00D45A46">
      <w:pPr>
        <w:jc w:val="both"/>
        <w:rPr>
          <w:bCs/>
          <w:i/>
          <w:color w:val="002060"/>
          <w:sz w:val="16"/>
          <w:szCs w:val="16"/>
        </w:rPr>
      </w:pPr>
      <w:r w:rsidRPr="00DE096C">
        <w:rPr>
          <w:bCs/>
          <w:i/>
          <w:color w:val="002060"/>
          <w:sz w:val="16"/>
          <w:szCs w:val="16"/>
        </w:rPr>
        <w:t>Жизнь и внутреняя политика:</w:t>
      </w:r>
    </w:p>
    <w:p w14:paraId="38A4D31F" w14:textId="77777777" w:rsidR="00B67D7C" w:rsidRPr="00DE096C" w:rsidRDefault="00B67D7C" w:rsidP="00D45A46">
      <w:pPr>
        <w:jc w:val="both"/>
        <w:rPr>
          <w:bCs/>
          <w:i/>
          <w:color w:val="002060"/>
          <w:sz w:val="16"/>
          <w:szCs w:val="16"/>
        </w:rPr>
      </w:pPr>
    </w:p>
    <w:p w14:paraId="2644123F" w14:textId="7755D8BE"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30 июля (12 августа) 1914 г.</w:t>
      </w:r>
      <w:r w:rsidR="00EA5517" w:rsidRPr="00DE096C">
        <w:rPr>
          <w:bCs/>
          <w:i w:val="0"/>
          <w:color w:val="002060"/>
          <w:spacing w:val="0"/>
          <w:kern w:val="0"/>
          <w:position w:val="0"/>
          <w:sz w:val="16"/>
          <w:szCs w:val="16"/>
        </w:rPr>
        <w:t xml:space="preserve"> Съезд представителей земств</w:t>
      </w:r>
      <w:r w:rsidRPr="00DE096C">
        <w:rPr>
          <w:bCs/>
          <w:i w:val="0"/>
          <w:color w:val="002060"/>
          <w:spacing w:val="0"/>
          <w:kern w:val="0"/>
          <w:position w:val="0"/>
          <w:sz w:val="16"/>
          <w:szCs w:val="16"/>
        </w:rPr>
        <w:t xml:space="preserve"> конституировал образование Земского союза. К Союзу примкнула 41 земская губерния (исключение составляло Курское губернское земство и Область войска Донского). Его высшим органом являлся съезд уполномоченных земств (по два уполномоченных от каждой земской губернии: от губернского земского собрания и губернской земской управы). Между съездами делами союза ведал Главный комитет из десяти членов во главе с главноуполномоченным. Первым главноуполномоченным стал князь г.Е.Львов. Общее руководство деятельностью Союза было сохранено за собранием уполномоченных губернских земств, которые избирали главноуполномоченного и Главный комитет. С первых же дней при Союзе возник ряд отделов: по лечебному делу, эвакуации, трудовому посредничеству, которые позднее были разбиты на отделы: эвакуационный, заготовительный, отдел санитарных поездов и т.д. Эти усилия были закреплены 12 августа 1914 г. по всеподданнейшему докладу министра внутренних дел. Средства же центральной организации Земского союза складывались из пособий государства, ассигнований земских собраний и частных пожертвований (11270).</w:t>
      </w:r>
    </w:p>
    <w:p w14:paraId="1C7CC764" w14:textId="77777777" w:rsidR="00B67D7C" w:rsidRPr="00DE096C" w:rsidRDefault="00B67D7C" w:rsidP="00D45A46">
      <w:pPr>
        <w:pStyle w:val="a3"/>
        <w:jc w:val="both"/>
        <w:rPr>
          <w:bCs/>
          <w:i w:val="0"/>
          <w:color w:val="002060"/>
          <w:spacing w:val="0"/>
          <w:kern w:val="0"/>
          <w:position w:val="0"/>
          <w:sz w:val="16"/>
          <w:szCs w:val="16"/>
        </w:rPr>
      </w:pPr>
    </w:p>
    <w:p w14:paraId="79FA0C42" w14:textId="77777777" w:rsidR="00C3237F" w:rsidRPr="00DE096C" w:rsidRDefault="00C3237F" w:rsidP="00D45A46">
      <w:pPr>
        <w:jc w:val="both"/>
        <w:rPr>
          <w:bCs/>
          <w:i/>
          <w:color w:val="002060"/>
          <w:sz w:val="16"/>
          <w:szCs w:val="16"/>
        </w:rPr>
      </w:pPr>
      <w:r w:rsidRPr="00DE096C">
        <w:rPr>
          <w:bCs/>
          <w:i/>
          <w:color w:val="002060"/>
          <w:sz w:val="16"/>
          <w:szCs w:val="16"/>
        </w:rPr>
        <w:t>Авиация и воздухоплавание Германии:</w:t>
      </w:r>
    </w:p>
    <w:p w14:paraId="08B54461" w14:textId="77777777" w:rsidR="00C3237F" w:rsidRPr="00DE096C" w:rsidRDefault="00C3237F" w:rsidP="00D45A46">
      <w:pPr>
        <w:jc w:val="both"/>
        <w:rPr>
          <w:bCs/>
          <w:i/>
          <w:color w:val="002060"/>
          <w:sz w:val="16"/>
          <w:szCs w:val="16"/>
        </w:rPr>
      </w:pPr>
    </w:p>
    <w:p w14:paraId="2D0CEF38" w14:textId="77777777" w:rsidR="00C3237F" w:rsidRPr="00DE096C" w:rsidRDefault="00C3237F" w:rsidP="00D45A46">
      <w:pPr>
        <w:jc w:val="both"/>
        <w:rPr>
          <w:bCs/>
          <w:color w:val="002060"/>
          <w:sz w:val="16"/>
          <w:szCs w:val="16"/>
        </w:rPr>
      </w:pPr>
      <w:r w:rsidRPr="00DE096C">
        <w:rPr>
          <w:bCs/>
          <w:color w:val="002060"/>
          <w:sz w:val="16"/>
          <w:szCs w:val="16"/>
        </w:rPr>
        <w:t>30 июля (12 августа) в 1914 году первый успешный боевой вылет германского дирижабля во время первой мировой войны, когда цеппелин L-3 обнаруживает в море за Тершеллингом (Вадденейланден, Северное море) датский линкор "Ди Зевен Провинсиен" и сопровождающие его эсминцы (14981).</w:t>
      </w:r>
    </w:p>
    <w:p w14:paraId="6441F0BD" w14:textId="77777777" w:rsidR="00C3237F" w:rsidRPr="00DE096C" w:rsidRDefault="00C3237F" w:rsidP="00D45A46">
      <w:pPr>
        <w:jc w:val="both"/>
        <w:rPr>
          <w:bCs/>
          <w:color w:val="002060"/>
          <w:sz w:val="16"/>
          <w:szCs w:val="16"/>
        </w:rPr>
      </w:pPr>
    </w:p>
    <w:p w14:paraId="50BD61BE" w14:textId="77777777" w:rsidR="00C3237F" w:rsidRPr="00DE096C" w:rsidRDefault="00C3237F" w:rsidP="00D45A46">
      <w:pPr>
        <w:jc w:val="both"/>
        <w:rPr>
          <w:bCs/>
          <w:color w:val="002060"/>
          <w:sz w:val="16"/>
          <w:szCs w:val="16"/>
        </w:rPr>
      </w:pPr>
      <w:r w:rsidRPr="00DE096C">
        <w:rPr>
          <w:bCs/>
          <w:color w:val="002060"/>
          <w:sz w:val="16"/>
          <w:szCs w:val="16"/>
        </w:rPr>
        <w:t>30 июля (12 августа) в 1914 году немец Янов становится первым летчиком, погибшим на первой мировой войне (на Западном фронте) (14981).</w:t>
      </w:r>
    </w:p>
    <w:p w14:paraId="0C5BA31F" w14:textId="77777777" w:rsidR="00C3237F" w:rsidRPr="00DE096C" w:rsidRDefault="00C3237F" w:rsidP="00D45A46">
      <w:pPr>
        <w:jc w:val="both"/>
        <w:rPr>
          <w:bCs/>
          <w:color w:val="002060"/>
          <w:sz w:val="16"/>
          <w:szCs w:val="16"/>
        </w:rPr>
      </w:pPr>
    </w:p>
    <w:p w14:paraId="361B112C" w14:textId="297D6EA8" w:rsidR="00EA5517" w:rsidRPr="00DE096C" w:rsidRDefault="00EA5517" w:rsidP="00D45A46">
      <w:pPr>
        <w:jc w:val="both"/>
        <w:rPr>
          <w:bCs/>
          <w:color w:val="002060"/>
          <w:sz w:val="16"/>
          <w:szCs w:val="16"/>
        </w:rPr>
      </w:pPr>
      <w:r w:rsidRPr="00DE096C">
        <w:rPr>
          <w:bCs/>
          <w:color w:val="002060"/>
          <w:sz w:val="16"/>
          <w:szCs w:val="16"/>
        </w:rPr>
        <w:t>30 июля (12 августа) в 1914 году первым пилотом германских ВВС</w:t>
      </w:r>
      <w:r w:rsidR="00AD33C6" w:rsidRPr="00DE096C">
        <w:rPr>
          <w:bCs/>
          <w:color w:val="002060"/>
          <w:sz w:val="16"/>
          <w:szCs w:val="16"/>
        </w:rPr>
        <w:t>,</w:t>
      </w:r>
      <w:r w:rsidRPr="00DE096C">
        <w:rPr>
          <w:bCs/>
          <w:color w:val="002060"/>
          <w:sz w:val="16"/>
          <w:szCs w:val="16"/>
        </w:rPr>
        <w:t xml:space="preserve"> погибшим при выполнении служебных обязанностей, был обер-лейтенант Рейнольд Янов, который получил смертельные травмы в авиакатастрофе, происшедшей в Мальмеди (Бельгия). Р.Янов имел немецкое пилотское свидетельство №80 и являлся ветераном балканской компании 1912 года</w:t>
      </w:r>
      <w:r w:rsidR="00AD33C6" w:rsidRPr="00DE096C">
        <w:rPr>
          <w:bCs/>
          <w:color w:val="002060"/>
          <w:sz w:val="16"/>
          <w:szCs w:val="16"/>
        </w:rPr>
        <w:t>,</w:t>
      </w:r>
      <w:r w:rsidRPr="00DE096C">
        <w:rPr>
          <w:bCs/>
          <w:color w:val="002060"/>
          <w:sz w:val="16"/>
          <w:szCs w:val="16"/>
        </w:rPr>
        <w:t xml:space="preserve"> во время которой выполнял разведывательные полёты для турок (14981).</w:t>
      </w:r>
    </w:p>
    <w:p w14:paraId="476E8712" w14:textId="77777777" w:rsidR="00EA5517" w:rsidRPr="00DE096C" w:rsidRDefault="00EA5517" w:rsidP="00D45A46">
      <w:pPr>
        <w:jc w:val="both"/>
        <w:rPr>
          <w:bCs/>
          <w:color w:val="002060"/>
          <w:sz w:val="16"/>
          <w:szCs w:val="16"/>
        </w:rPr>
      </w:pPr>
    </w:p>
    <w:p w14:paraId="328DA1B9" w14:textId="77777777" w:rsidR="006D6352" w:rsidRPr="00DE096C" w:rsidRDefault="006D6352" w:rsidP="00D45A46">
      <w:pPr>
        <w:jc w:val="both"/>
        <w:rPr>
          <w:bCs/>
          <w:i/>
          <w:color w:val="002060"/>
          <w:sz w:val="16"/>
          <w:szCs w:val="16"/>
        </w:rPr>
      </w:pPr>
      <w:r w:rsidRPr="00DE096C">
        <w:rPr>
          <w:bCs/>
          <w:i/>
          <w:color w:val="002060"/>
          <w:sz w:val="16"/>
          <w:szCs w:val="16"/>
        </w:rPr>
        <w:t>Авиация и воздухоплавание Англии:</w:t>
      </w:r>
    </w:p>
    <w:p w14:paraId="7E81F84A" w14:textId="77777777" w:rsidR="006D6352" w:rsidRPr="00DE096C" w:rsidRDefault="006D6352" w:rsidP="00D45A46">
      <w:pPr>
        <w:jc w:val="both"/>
        <w:rPr>
          <w:bCs/>
          <w:i/>
          <w:color w:val="002060"/>
          <w:sz w:val="16"/>
          <w:szCs w:val="16"/>
        </w:rPr>
      </w:pPr>
    </w:p>
    <w:p w14:paraId="5E2A44EB" w14:textId="77777777" w:rsidR="00E1737A" w:rsidRPr="00DE096C" w:rsidRDefault="00E1737A" w:rsidP="00D45A46">
      <w:pPr>
        <w:jc w:val="both"/>
        <w:rPr>
          <w:bCs/>
          <w:color w:val="002060"/>
          <w:sz w:val="16"/>
          <w:szCs w:val="16"/>
        </w:rPr>
      </w:pPr>
      <w:r w:rsidRPr="00DE096C">
        <w:rPr>
          <w:bCs/>
          <w:color w:val="002060"/>
          <w:sz w:val="16"/>
          <w:szCs w:val="16"/>
        </w:rPr>
        <w:t>30 июля (12 августа) 1914 лейтенант Робин Р. Скин и механик Р. Барлоу разбивают свой моноплан Блерио по пути в Дувр, став первыми членами Королевского летного корпуса, погибшими при действительной военной службе (20337).</w:t>
      </w:r>
    </w:p>
    <w:p w14:paraId="16A2C8A9" w14:textId="77777777" w:rsidR="00E1737A" w:rsidRPr="00DE096C" w:rsidRDefault="00E1737A" w:rsidP="00D45A46">
      <w:pPr>
        <w:jc w:val="both"/>
        <w:rPr>
          <w:bCs/>
          <w:color w:val="002060"/>
          <w:sz w:val="16"/>
          <w:szCs w:val="16"/>
        </w:rPr>
      </w:pPr>
    </w:p>
    <w:p w14:paraId="7DF8B456" w14:textId="77777777" w:rsidR="00E1737A" w:rsidRPr="00DE096C" w:rsidRDefault="00E1737A" w:rsidP="00D45A46">
      <w:pPr>
        <w:jc w:val="both"/>
        <w:rPr>
          <w:bCs/>
          <w:color w:val="002060"/>
          <w:sz w:val="16"/>
          <w:szCs w:val="16"/>
        </w:rPr>
      </w:pPr>
      <w:r w:rsidRPr="00DE096C">
        <w:rPr>
          <w:bCs/>
          <w:color w:val="002060"/>
          <w:sz w:val="16"/>
          <w:szCs w:val="16"/>
        </w:rPr>
        <w:t>30 июля (12 августа) 1914 г. самолет RAF S.E.4, на котором двухрядный звездообразный мотор вышел из строя и был заменен на обычный «Моносупап» в 100 сил (потеряв сразу 69 км/ч скорости) был разбит на посадке, но Фолланд не оставил попыток сделать скоростной и маневренный одноместный «скаут», сразу начав проектировать улучшенный S.E.4a. Однако начавшаяся война теперь не давала заниматься им, и хотя конструкция машины была упрощена и сделана под дешевый и доступный мотор Гном 9 мощностью 80 л. с., опытная машина была облетана только 25 июня 1915 г. (22792).</w:t>
      </w:r>
    </w:p>
    <w:p w14:paraId="492B493E" w14:textId="77777777" w:rsidR="00E1737A" w:rsidRPr="00DE096C" w:rsidRDefault="00E1737A" w:rsidP="00D45A46">
      <w:pPr>
        <w:jc w:val="both"/>
        <w:rPr>
          <w:bCs/>
          <w:color w:val="002060"/>
          <w:sz w:val="16"/>
          <w:szCs w:val="16"/>
        </w:rPr>
      </w:pPr>
    </w:p>
    <w:p w14:paraId="1FA87B6E" w14:textId="77777777" w:rsidR="00C3237F" w:rsidRPr="00DE096C" w:rsidRDefault="00C3237F" w:rsidP="00D45A46">
      <w:pPr>
        <w:jc w:val="both"/>
        <w:rPr>
          <w:bCs/>
          <w:i/>
          <w:color w:val="002060"/>
          <w:sz w:val="16"/>
          <w:szCs w:val="16"/>
        </w:rPr>
      </w:pPr>
      <w:r w:rsidRPr="00DE096C">
        <w:rPr>
          <w:bCs/>
          <w:i/>
          <w:color w:val="002060"/>
          <w:sz w:val="16"/>
          <w:szCs w:val="16"/>
        </w:rPr>
        <w:t>За рубежом:</w:t>
      </w:r>
    </w:p>
    <w:p w14:paraId="1D93F66B" w14:textId="77777777" w:rsidR="00C3237F" w:rsidRPr="00DE096C" w:rsidRDefault="00C3237F" w:rsidP="00D45A46">
      <w:pPr>
        <w:jc w:val="both"/>
        <w:rPr>
          <w:bCs/>
          <w:color w:val="002060"/>
          <w:sz w:val="16"/>
          <w:szCs w:val="16"/>
        </w:rPr>
      </w:pPr>
    </w:p>
    <w:p w14:paraId="506116F9" w14:textId="77777777" w:rsidR="00C3237F" w:rsidRPr="00DE096C" w:rsidRDefault="00C3237F" w:rsidP="00D45A46">
      <w:pPr>
        <w:jc w:val="both"/>
        <w:rPr>
          <w:bCs/>
          <w:color w:val="002060"/>
          <w:sz w:val="16"/>
          <w:szCs w:val="16"/>
        </w:rPr>
      </w:pPr>
      <w:r w:rsidRPr="00DE096C">
        <w:rPr>
          <w:bCs/>
          <w:color w:val="002060"/>
          <w:sz w:val="16"/>
          <w:szCs w:val="16"/>
        </w:rPr>
        <w:t>30 июля (12 августа) в 1914 году Великобритания объявляет войну Австро-Венгрии (14981).</w:t>
      </w:r>
    </w:p>
    <w:p w14:paraId="37BB3FD3" w14:textId="77777777" w:rsidR="00C3237F" w:rsidRPr="00DE096C" w:rsidRDefault="00C3237F" w:rsidP="00D45A46">
      <w:pPr>
        <w:jc w:val="both"/>
        <w:rPr>
          <w:bCs/>
          <w:color w:val="002060"/>
          <w:sz w:val="16"/>
          <w:szCs w:val="16"/>
        </w:rPr>
      </w:pPr>
    </w:p>
    <w:p w14:paraId="258C54AD" w14:textId="77777777" w:rsidR="00C3237F" w:rsidRPr="00DE096C" w:rsidRDefault="00C3237F" w:rsidP="00D45A46">
      <w:pPr>
        <w:jc w:val="both"/>
        <w:rPr>
          <w:bCs/>
          <w:color w:val="002060"/>
          <w:sz w:val="16"/>
          <w:szCs w:val="16"/>
        </w:rPr>
      </w:pPr>
      <w:r w:rsidRPr="00DE096C">
        <w:rPr>
          <w:bCs/>
          <w:color w:val="002060"/>
          <w:sz w:val="16"/>
          <w:szCs w:val="16"/>
        </w:rPr>
        <w:t>30 июля (12 августа) в 1914 году австрийские войска вторгаются в Сербию (14981).</w:t>
      </w:r>
    </w:p>
    <w:p w14:paraId="13992E38" w14:textId="77777777" w:rsidR="00C3237F" w:rsidRPr="00DE096C" w:rsidRDefault="00C3237F" w:rsidP="00D45A46">
      <w:pPr>
        <w:jc w:val="both"/>
        <w:rPr>
          <w:bCs/>
          <w:color w:val="002060"/>
          <w:sz w:val="16"/>
          <w:szCs w:val="16"/>
        </w:rPr>
      </w:pPr>
    </w:p>
    <w:p w14:paraId="768EC4C0" w14:textId="343F3188" w:rsidR="00B67D7C" w:rsidRPr="00DE096C" w:rsidRDefault="00480877" w:rsidP="00D45A46">
      <w:pPr>
        <w:pStyle w:val="a3"/>
        <w:jc w:val="both"/>
        <w:rPr>
          <w:bCs/>
          <w:color w:val="002060"/>
          <w:spacing w:val="0"/>
          <w:kern w:val="0"/>
          <w:position w:val="0"/>
          <w:sz w:val="16"/>
          <w:szCs w:val="16"/>
        </w:rPr>
      </w:pPr>
      <w:r>
        <w:rPr>
          <w:bCs/>
          <w:color w:val="002060"/>
          <w:spacing w:val="0"/>
          <w:kern w:val="0"/>
          <w:position w:val="0"/>
          <w:sz w:val="16"/>
          <w:szCs w:val="16"/>
        </w:rPr>
        <w:t>Саиолетостроение</w:t>
      </w:r>
      <w:r w:rsidR="00B67D7C" w:rsidRPr="00DE096C">
        <w:rPr>
          <w:bCs/>
          <w:color w:val="002060"/>
          <w:spacing w:val="0"/>
          <w:kern w:val="0"/>
          <w:position w:val="0"/>
          <w:sz w:val="16"/>
          <w:szCs w:val="16"/>
        </w:rPr>
        <w:t>:</w:t>
      </w:r>
    </w:p>
    <w:p w14:paraId="5E1EF29C" w14:textId="77777777" w:rsidR="00B67D7C" w:rsidRPr="00DE096C" w:rsidRDefault="00B67D7C" w:rsidP="00D45A46">
      <w:pPr>
        <w:pStyle w:val="a3"/>
        <w:jc w:val="both"/>
        <w:rPr>
          <w:bCs/>
          <w:color w:val="002060"/>
          <w:spacing w:val="0"/>
          <w:kern w:val="0"/>
          <w:position w:val="0"/>
          <w:sz w:val="16"/>
          <w:szCs w:val="16"/>
        </w:rPr>
      </w:pPr>
    </w:p>
    <w:p w14:paraId="644E240F" w14:textId="67CD41D6" w:rsidR="00B67D7C" w:rsidRPr="00DE096C" w:rsidRDefault="00B67D7C" w:rsidP="00D45A46">
      <w:pPr>
        <w:jc w:val="both"/>
        <w:rPr>
          <w:bCs/>
          <w:color w:val="002060"/>
          <w:sz w:val="16"/>
          <w:szCs w:val="16"/>
        </w:rPr>
      </w:pPr>
      <w:r w:rsidRPr="00DE096C">
        <w:rPr>
          <w:bCs/>
          <w:color w:val="002060"/>
          <w:sz w:val="16"/>
          <w:szCs w:val="16"/>
        </w:rPr>
        <w:t>31 июля (13 августа) 1914 г.</w:t>
      </w:r>
      <w:r w:rsidR="00AD33C6" w:rsidRPr="00DE096C">
        <w:rPr>
          <w:bCs/>
          <w:color w:val="002060"/>
          <w:sz w:val="16"/>
          <w:szCs w:val="16"/>
        </w:rPr>
        <w:t xml:space="preserve"> Сикорский выпустил Горшкова самостоятельно на "Киевском", приобретенном у завода военным ведомством</w:t>
      </w:r>
      <w:r w:rsidRPr="00DE096C">
        <w:rPr>
          <w:bCs/>
          <w:color w:val="002060"/>
          <w:sz w:val="16"/>
          <w:szCs w:val="16"/>
        </w:rPr>
        <w:t xml:space="preserve">, а уже тот вместе с главным конструктором займется на этой же машине процессом переучивания. </w:t>
      </w:r>
      <w:r w:rsidR="00AD33C6" w:rsidRPr="00DE096C">
        <w:rPr>
          <w:bCs/>
          <w:color w:val="002060"/>
          <w:sz w:val="16"/>
          <w:szCs w:val="16"/>
        </w:rPr>
        <w:t xml:space="preserve">Все командиры кораблей и их помощники имели звание "военный летчик", однако на "Муромцах" не летал никто, кроме Алехновича. </w:t>
      </w:r>
      <w:r w:rsidRPr="00DE096C">
        <w:rPr>
          <w:bCs/>
          <w:color w:val="002060"/>
          <w:sz w:val="16"/>
          <w:szCs w:val="16"/>
        </w:rPr>
        <w:t>Горшков быстро освоил "Муромца" и теперь, используя каждый погожий день, тренировал командиров кораблей и их помощников. В среднем понадобилось 4 - 5 полетов, чтобы выпустить летчика самостоятельно. Некоторым было достаточно в трех полетов. Во время этих тренировок в августе произошел невероятный случай, который еще раз подчеркнул особые качества "Муромца". Был обычный утренний полет - взлет, набор высоты 500 м по большому кругу и посадка. На борту находилось шесть человек. Вдруг одновременно встали все двигатели. Горшков быстро сменил стажера, перевел "Муромца" на режим снижения в сторону аэродрома. Механик пытался запустить двигатели, но безуспешно. Как потом выяснилось, в баках каким-то непонятным образом не оказалось горючего. Горшков установил на планировании обычную скорость, правда, угол был покруче. Этот режим со всеми остановленными двигателями не отрабатывался даже в испытательных полетах, и никто с уверенностью не мог сказать, как поведет себя тяжелая машина с винтами, работающими в режиме ветряка и создающими большое лобовое сопротивление. Однако "Муромец" вел себя вполне прилично и показал для такого корабля прекрасные планерные качества. Теперь Горшков держал минимальную вертикальную скорость. Аэродром уже рядом, надо только перетянуть небольшую березовую рощицу. Уже казалось, что удастся миновать это препятствие, но вот одна вершина чиркнула по шасси, вторая, и ветки захлестали по фюзеляжу и крыльям. В последнее мгновение Горшков успел резко взять штурвал на себя и ... корабль замер на деревьях. Никто не пострадал, если не считать царапин и ушибов. Машина висела всего в двух метрах над землей, и экипаж смог спрыгнуть на землю. Беглый осмотр не выявил сколько-нибудь серьезных повреждений. Прибывшая команда солдат уже к полудню сняла самолет с деревьев и к вечеру на новых шасси отбуксировала корабль к ангару. В течение недели все повреждения были устранены, и воздушный гигант снова был в строю (11230).</w:t>
      </w:r>
    </w:p>
    <w:p w14:paraId="24CA480A" w14:textId="77777777" w:rsidR="00B67D7C" w:rsidRPr="00DE096C" w:rsidRDefault="00B67D7C" w:rsidP="00D45A46">
      <w:pPr>
        <w:jc w:val="both"/>
        <w:rPr>
          <w:bCs/>
          <w:color w:val="002060"/>
          <w:sz w:val="16"/>
          <w:szCs w:val="16"/>
        </w:rPr>
      </w:pPr>
      <w:r w:rsidRPr="00DE096C">
        <w:rPr>
          <w:bCs/>
          <w:color w:val="002060"/>
          <w:sz w:val="16"/>
          <w:szCs w:val="16"/>
        </w:rPr>
        <w:t>Этот самолет находился в строю около двух лет и использовался для подготовки летчиков в Гатчинской Авиашколе. В память исторического перелета в дальнейшем на фронте рядом с номерными "Муромцами" всегда рядом находился корабль, носивший вместо эскадренного номера название "Киевский". Он считался флагманом эскадры. Как только этот корабль отрабатывал свой ресурс или выходил из строя в боевых условиях, на его место вставал новый "Киевский". Сначала экипаж флагмана возглавлялся ведущим летчиком эскадры Г. Г. Горшковым, а впоследствии И. С. Башко (11230).</w:t>
      </w:r>
    </w:p>
    <w:p w14:paraId="7F3A7362" w14:textId="77777777" w:rsidR="00B67D7C" w:rsidRPr="00DE096C" w:rsidRDefault="00B67D7C" w:rsidP="00D45A46">
      <w:pPr>
        <w:jc w:val="both"/>
        <w:rPr>
          <w:bCs/>
          <w:color w:val="002060"/>
          <w:sz w:val="16"/>
          <w:szCs w:val="16"/>
        </w:rPr>
      </w:pPr>
    </w:p>
    <w:p w14:paraId="55178802" w14:textId="77777777" w:rsidR="00480877" w:rsidRPr="00DE096C" w:rsidRDefault="00480877" w:rsidP="00480877">
      <w:pPr>
        <w:pStyle w:val="a3"/>
        <w:jc w:val="both"/>
        <w:rPr>
          <w:bCs/>
          <w:color w:val="002060"/>
          <w:spacing w:val="0"/>
          <w:kern w:val="0"/>
          <w:position w:val="0"/>
          <w:sz w:val="16"/>
          <w:szCs w:val="16"/>
        </w:rPr>
      </w:pPr>
      <w:r w:rsidRPr="00DE096C">
        <w:rPr>
          <w:bCs/>
          <w:color w:val="002060"/>
          <w:spacing w:val="0"/>
          <w:kern w:val="0"/>
          <w:position w:val="0"/>
          <w:sz w:val="16"/>
          <w:szCs w:val="16"/>
        </w:rPr>
        <w:t>Авиация:</w:t>
      </w:r>
    </w:p>
    <w:p w14:paraId="02C987AD" w14:textId="77777777" w:rsidR="00480877" w:rsidRPr="00DE096C" w:rsidRDefault="00480877" w:rsidP="00480877">
      <w:pPr>
        <w:pStyle w:val="a3"/>
        <w:jc w:val="both"/>
        <w:rPr>
          <w:bCs/>
          <w:color w:val="002060"/>
          <w:spacing w:val="0"/>
          <w:kern w:val="0"/>
          <w:position w:val="0"/>
          <w:sz w:val="16"/>
          <w:szCs w:val="16"/>
        </w:rPr>
      </w:pPr>
    </w:p>
    <w:p w14:paraId="0D5EE91E" w14:textId="11466BE5" w:rsidR="00CC2D6D" w:rsidRPr="00DE096C" w:rsidRDefault="00CC2D6D" w:rsidP="00D45A46">
      <w:pPr>
        <w:jc w:val="both"/>
        <w:rPr>
          <w:bCs/>
          <w:color w:val="002060"/>
          <w:sz w:val="16"/>
          <w:szCs w:val="16"/>
        </w:rPr>
      </w:pPr>
      <w:r w:rsidRPr="00DE096C">
        <w:rPr>
          <w:bCs/>
          <w:color w:val="002060"/>
          <w:sz w:val="16"/>
          <w:szCs w:val="16"/>
        </w:rPr>
        <w:t>С 31 июля (13 августа) 1914 г. Сикорский первым из летчиков для отрядов ИМ стал готовить Горшкова на «Киевском», приобретенном у завода военным ведомством, а уже тот вместе с главным конструктором должен был заняться на этой же машине процессом переучивания других пилотов на ИМ. Горшков быстро освоил «Му</w:t>
      </w:r>
      <w:r w:rsidRPr="00DE096C">
        <w:rPr>
          <w:bCs/>
          <w:color w:val="002060"/>
          <w:sz w:val="16"/>
          <w:szCs w:val="16"/>
        </w:rPr>
        <w:softHyphen/>
        <w:t>ромца» и теперь, используя каждый погожий день, тре</w:t>
      </w:r>
      <w:r w:rsidRPr="00DE096C">
        <w:rPr>
          <w:bCs/>
          <w:color w:val="002060"/>
          <w:sz w:val="16"/>
          <w:szCs w:val="16"/>
        </w:rPr>
        <w:softHyphen/>
        <w:t>нировал командиров кораблей и их помощников. В среднем понадобилось 4 — 5 полетов, чтобы выпустить летчика самостоятельно. Некоторым было достаточно и трех полетов (24177).</w:t>
      </w:r>
    </w:p>
    <w:p w14:paraId="0D21D834" w14:textId="77777777" w:rsidR="00CC2D6D" w:rsidRPr="00DE096C" w:rsidRDefault="00CC2D6D" w:rsidP="00D45A46">
      <w:pPr>
        <w:jc w:val="both"/>
        <w:rPr>
          <w:bCs/>
          <w:color w:val="002060"/>
          <w:sz w:val="16"/>
          <w:szCs w:val="16"/>
        </w:rPr>
      </w:pPr>
    </w:p>
    <w:p w14:paraId="256ADAE3" w14:textId="77777777" w:rsidR="00480877" w:rsidRPr="00B52707" w:rsidRDefault="00480877" w:rsidP="00480877">
      <w:pPr>
        <w:jc w:val="both"/>
        <w:rPr>
          <w:color w:val="0070C0"/>
          <w:sz w:val="16"/>
          <w:szCs w:val="16"/>
        </w:rPr>
      </w:pPr>
      <w:r w:rsidRPr="00B52707">
        <w:rPr>
          <w:color w:val="0070C0"/>
          <w:sz w:val="16"/>
          <w:szCs w:val="16"/>
        </w:rPr>
        <w:t>31 июля (13 августа) 1914 г. «в 12 верстах к западу от Симно [район оз. Амальва, Сувалкская губерния] нами сбит немецкий аэроплан; 4 летчика, офицеры, при падении убиты» (по другим данным – отдельные получили ранения)</w:t>
      </w:r>
      <w:hyperlink r:id="rId35" w:anchor="idm139863465606992" w:history="1">
        <w:r w:rsidRPr="00B52707">
          <w:rPr>
            <w:rStyle w:val="af0"/>
            <w:color w:val="0070C0"/>
            <w:sz w:val="16"/>
            <w:szCs w:val="16"/>
            <w:vertAlign w:val="superscript"/>
          </w:rPr>
          <w:t>16</w:t>
        </w:r>
      </w:hyperlink>
      <w:r w:rsidRPr="00B52707">
        <w:rPr>
          <w:color w:val="0070C0"/>
          <w:sz w:val="16"/>
          <w:szCs w:val="16"/>
        </w:rPr>
        <w:t>. В руки русскому командованию попал один из секретных документов ВВФ Германии. На следующий день в том же районе (м. Олита /Алитус) был подбит еще один германский ЛА.</w:t>
      </w:r>
    </w:p>
    <w:p w14:paraId="0F5BF3E9" w14:textId="77777777" w:rsidR="00480877" w:rsidRPr="00B52707" w:rsidRDefault="00480877" w:rsidP="00480877">
      <w:pPr>
        <w:jc w:val="both"/>
        <w:rPr>
          <w:color w:val="0070C0"/>
          <w:sz w:val="16"/>
          <w:szCs w:val="16"/>
        </w:rPr>
      </w:pPr>
      <w:r w:rsidRPr="00B52707">
        <w:rPr>
          <w:color w:val="0070C0"/>
          <w:sz w:val="16"/>
          <w:szCs w:val="16"/>
        </w:rPr>
        <w:t>По данным Штаба ВГК, «в Сувалкской и Ковненской губерниях нашими войсками ведется борьба с воздушной разведкой противника». Подтверждая их, над г. Ковно (Каунас) под артиллерийский огонь с фортов крепости попал очередной германский летательный аппарат, «подстреленный летчик упал с аэропланом» (25135).</w:t>
      </w:r>
    </w:p>
    <w:p w14:paraId="55A8E305" w14:textId="77777777" w:rsidR="00480877" w:rsidRPr="00B52707" w:rsidRDefault="00480877" w:rsidP="00480877">
      <w:pPr>
        <w:jc w:val="both"/>
        <w:rPr>
          <w:color w:val="0070C0"/>
          <w:sz w:val="16"/>
          <w:szCs w:val="16"/>
        </w:rPr>
      </w:pPr>
    </w:p>
    <w:p w14:paraId="006968F2" w14:textId="77777777" w:rsidR="00B67D7C" w:rsidRPr="00DE096C" w:rsidRDefault="00B67D7C" w:rsidP="00D45A46">
      <w:pPr>
        <w:jc w:val="both"/>
        <w:rPr>
          <w:bCs/>
          <w:i/>
          <w:color w:val="002060"/>
          <w:sz w:val="16"/>
          <w:szCs w:val="16"/>
        </w:rPr>
      </w:pPr>
      <w:r w:rsidRPr="00DE096C">
        <w:rPr>
          <w:bCs/>
          <w:i/>
          <w:color w:val="002060"/>
          <w:sz w:val="16"/>
          <w:szCs w:val="16"/>
        </w:rPr>
        <w:lastRenderedPageBreak/>
        <w:t>Морская авиация:</w:t>
      </w:r>
    </w:p>
    <w:p w14:paraId="66EBC695" w14:textId="77777777" w:rsidR="00B67D7C" w:rsidRPr="00DE096C" w:rsidRDefault="00B67D7C" w:rsidP="00D45A46">
      <w:pPr>
        <w:jc w:val="both"/>
        <w:rPr>
          <w:bCs/>
          <w:i/>
          <w:color w:val="002060"/>
          <w:sz w:val="16"/>
          <w:szCs w:val="16"/>
        </w:rPr>
      </w:pPr>
    </w:p>
    <w:p w14:paraId="7E2E2495" w14:textId="7CFA0D9D" w:rsidR="00B67D7C" w:rsidRPr="00DE096C" w:rsidRDefault="00B67D7C" w:rsidP="00D45A46">
      <w:pPr>
        <w:jc w:val="both"/>
        <w:rPr>
          <w:bCs/>
          <w:color w:val="002060"/>
          <w:sz w:val="16"/>
          <w:szCs w:val="16"/>
        </w:rPr>
      </w:pPr>
      <w:r w:rsidRPr="00DE096C">
        <w:rPr>
          <w:bCs/>
          <w:color w:val="002060"/>
          <w:sz w:val="16"/>
          <w:szCs w:val="16"/>
        </w:rPr>
        <w:t xml:space="preserve">31 июля (13 августа) 1914 пароход «Печора» с летчиком </w:t>
      </w:r>
      <w:r w:rsidR="00AD33C6" w:rsidRPr="00DE096C">
        <w:rPr>
          <w:bCs/>
          <w:color w:val="002060"/>
          <w:sz w:val="16"/>
          <w:szCs w:val="16"/>
        </w:rPr>
        <w:t xml:space="preserve">Нагурским </w:t>
      </w:r>
      <w:r w:rsidRPr="00DE096C">
        <w:rPr>
          <w:bCs/>
          <w:color w:val="002060"/>
          <w:sz w:val="16"/>
          <w:szCs w:val="16"/>
        </w:rPr>
        <w:t>и самолетом на борту взял курс к берегам Новой Земли. Нагурский получил задание: произвести обследование береговой линии от Крестовой губы до Панкратьевых островов с целью поиска пропавшей экспедиции.</w:t>
      </w:r>
    </w:p>
    <w:p w14:paraId="4B3E6A47" w14:textId="77777777" w:rsidR="00B67D7C" w:rsidRPr="00DE096C" w:rsidRDefault="00B67D7C" w:rsidP="00D45A46">
      <w:pPr>
        <w:jc w:val="both"/>
        <w:rPr>
          <w:bCs/>
          <w:color w:val="002060"/>
          <w:sz w:val="16"/>
          <w:szCs w:val="16"/>
        </w:rPr>
      </w:pPr>
      <w:r w:rsidRPr="00DE096C">
        <w:rPr>
          <w:bCs/>
          <w:color w:val="002060"/>
          <w:sz w:val="16"/>
          <w:szCs w:val="16"/>
        </w:rPr>
        <w:t>Следует заметить, что гидросамолет Нагурского в первые дни экспедиции чуть было не использовали для другой цели. В дни пребывания Нагурского в Александровске-на-Мурмане стало известно, что Германия 19 июля объявила войну России. И уже 21 июля поступило сообщение, что немецкий флот движется в Белое море. Затем была получена телеграмма из Гаммерфеста от русского консула о том, что он якобы сам видел четыре германских крейсера, следующих на восток. В связи с зтим было предложено использовать гидросамолет Нагурского для поиска вражеских судов в море, а также для сбрасывания на них динамитных патронов, взятых для взрывания льда. Поскольку германские крейсеры так и не появились, Нагурскому не удалось принять участия в боевых действиях.</w:t>
      </w:r>
    </w:p>
    <w:p w14:paraId="34801344" w14:textId="77777777" w:rsidR="00B67D7C" w:rsidRPr="00DE096C" w:rsidRDefault="00B67D7C" w:rsidP="00D45A46">
      <w:pPr>
        <w:jc w:val="both"/>
        <w:rPr>
          <w:bCs/>
          <w:i/>
          <w:color w:val="002060"/>
          <w:sz w:val="16"/>
          <w:szCs w:val="16"/>
        </w:rPr>
      </w:pPr>
    </w:p>
    <w:p w14:paraId="306FD9A4" w14:textId="77777777" w:rsidR="00B67D7C" w:rsidRPr="00DE096C" w:rsidRDefault="00B67D7C" w:rsidP="00D45A46">
      <w:pPr>
        <w:jc w:val="both"/>
        <w:rPr>
          <w:bCs/>
          <w:i/>
          <w:color w:val="002060"/>
          <w:sz w:val="16"/>
          <w:szCs w:val="16"/>
        </w:rPr>
      </w:pPr>
      <w:r w:rsidRPr="00DE096C">
        <w:rPr>
          <w:bCs/>
          <w:i/>
          <w:color w:val="002060"/>
          <w:sz w:val="16"/>
          <w:szCs w:val="16"/>
        </w:rPr>
        <w:t>Авиация и воздухоплавание Англии:</w:t>
      </w:r>
    </w:p>
    <w:p w14:paraId="4DFD3C6C" w14:textId="77777777" w:rsidR="00B67D7C" w:rsidRPr="00DE096C" w:rsidRDefault="00B67D7C" w:rsidP="00D45A46">
      <w:pPr>
        <w:jc w:val="both"/>
        <w:rPr>
          <w:bCs/>
          <w:i/>
          <w:color w:val="002060"/>
          <w:sz w:val="16"/>
          <w:szCs w:val="16"/>
        </w:rPr>
      </w:pPr>
    </w:p>
    <w:p w14:paraId="0703DEE5" w14:textId="77777777" w:rsidR="006D6352" w:rsidRPr="00DE096C" w:rsidRDefault="006D6352" w:rsidP="00D45A46">
      <w:pPr>
        <w:jc w:val="both"/>
        <w:rPr>
          <w:bCs/>
          <w:color w:val="002060"/>
          <w:sz w:val="16"/>
          <w:szCs w:val="16"/>
        </w:rPr>
      </w:pPr>
      <w:r w:rsidRPr="00DE096C">
        <w:rPr>
          <w:bCs/>
          <w:color w:val="002060"/>
          <w:sz w:val="16"/>
          <w:szCs w:val="16"/>
        </w:rPr>
        <w:t xml:space="preserve">31 июля (13 августа) в 1914 году начали свои полёты прибывшие во Францию первыми 2-я, 3-я, 4-я и 5-я английские эскадрильи, у которых на вооружении находились «Ньюпор - 17», «Блерио», </w:t>
      </w:r>
      <w:hyperlink r:id="rId36" w:tgtFrame="_blank" w:history="1">
        <w:r w:rsidRPr="00DE096C">
          <w:rPr>
            <w:bCs/>
            <w:color w:val="002060"/>
            <w:sz w:val="16"/>
            <w:szCs w:val="16"/>
          </w:rPr>
          <w:t xml:space="preserve">«RAF» «ВЕ-2», «RAF» «ВE-5», «RAF» «ВЕ 8», «Фарман» </w:t>
        </w:r>
      </w:hyperlink>
      <w:r w:rsidRPr="00DE096C">
        <w:rPr>
          <w:bCs/>
          <w:color w:val="002060"/>
          <w:sz w:val="16"/>
          <w:szCs w:val="16"/>
        </w:rPr>
        <w:t>«Фарман» и «Авро 504». Фарманы являлись первыми вооружёнными английскими самолётами (14982).</w:t>
      </w:r>
    </w:p>
    <w:p w14:paraId="3A8A9AA2" w14:textId="77777777" w:rsidR="006D6352" w:rsidRPr="00DE096C" w:rsidRDefault="006D6352" w:rsidP="00D45A46">
      <w:pPr>
        <w:jc w:val="both"/>
        <w:rPr>
          <w:bCs/>
          <w:color w:val="002060"/>
          <w:sz w:val="16"/>
          <w:szCs w:val="16"/>
        </w:rPr>
      </w:pPr>
    </w:p>
    <w:p w14:paraId="725B0F77" w14:textId="35E75B6C" w:rsidR="00B67D7C" w:rsidRPr="00DE096C" w:rsidRDefault="00AD33C6" w:rsidP="00D45A46">
      <w:pPr>
        <w:jc w:val="both"/>
        <w:rPr>
          <w:bCs/>
          <w:color w:val="002060"/>
          <w:sz w:val="16"/>
          <w:szCs w:val="16"/>
        </w:rPr>
      </w:pPr>
      <w:r w:rsidRPr="00DE096C">
        <w:rPr>
          <w:bCs/>
          <w:color w:val="002060"/>
          <w:sz w:val="16"/>
          <w:szCs w:val="16"/>
        </w:rPr>
        <w:t>3</w:t>
      </w:r>
      <w:r w:rsidR="00B67D7C" w:rsidRPr="00DE096C">
        <w:rPr>
          <w:bCs/>
          <w:color w:val="002060"/>
          <w:sz w:val="16"/>
          <w:szCs w:val="16"/>
        </w:rPr>
        <w:t>1</w:t>
      </w:r>
      <w:r w:rsidRPr="00DE096C">
        <w:rPr>
          <w:bCs/>
          <w:color w:val="002060"/>
          <w:sz w:val="16"/>
          <w:szCs w:val="16"/>
        </w:rPr>
        <w:t xml:space="preserve"> июля</w:t>
      </w:r>
      <w:r w:rsidR="00B67D7C" w:rsidRPr="00DE096C">
        <w:rPr>
          <w:bCs/>
          <w:color w:val="002060"/>
          <w:sz w:val="16"/>
          <w:szCs w:val="16"/>
        </w:rPr>
        <w:t xml:space="preserve"> </w:t>
      </w:r>
      <w:r w:rsidRPr="00DE096C">
        <w:rPr>
          <w:bCs/>
          <w:color w:val="002060"/>
          <w:sz w:val="16"/>
          <w:szCs w:val="16"/>
        </w:rPr>
        <w:t xml:space="preserve">(13 августа) </w:t>
      </w:r>
      <w:r w:rsidR="00B67D7C" w:rsidRPr="00DE096C">
        <w:rPr>
          <w:bCs/>
          <w:color w:val="002060"/>
          <w:sz w:val="16"/>
          <w:szCs w:val="16"/>
        </w:rPr>
        <w:t xml:space="preserve">1914 </w:t>
      </w:r>
      <w:r w:rsidRPr="00DE096C">
        <w:rPr>
          <w:bCs/>
          <w:color w:val="002060"/>
          <w:sz w:val="16"/>
          <w:szCs w:val="16"/>
        </w:rPr>
        <w:t xml:space="preserve">г. </w:t>
      </w:r>
      <w:r w:rsidR="00B67D7C" w:rsidRPr="00DE096C">
        <w:rPr>
          <w:bCs/>
          <w:color w:val="002060"/>
          <w:sz w:val="16"/>
          <w:szCs w:val="16"/>
        </w:rPr>
        <w:t>в Дублине собраны все пилоты и машины Королевского Военного Крыла (RFC), пригодные для службы на континенте в составе 4-х авиаотрядов (56 аэропланов), которые затем в сопровождении авиационного парка переправились во Францию.</w:t>
      </w:r>
    </w:p>
    <w:p w14:paraId="2A6D4789" w14:textId="77777777" w:rsidR="00B67D7C" w:rsidRPr="00DE096C" w:rsidRDefault="00B67D7C" w:rsidP="00D45A46">
      <w:pPr>
        <w:jc w:val="both"/>
        <w:rPr>
          <w:bCs/>
          <w:color w:val="002060"/>
          <w:sz w:val="16"/>
          <w:szCs w:val="16"/>
        </w:rPr>
      </w:pPr>
      <w:r w:rsidRPr="00DE096C">
        <w:rPr>
          <w:bCs/>
          <w:color w:val="002060"/>
          <w:sz w:val="16"/>
          <w:szCs w:val="16"/>
        </w:rPr>
        <w:t>Англия из 272 имеющихся на ее счету воздушных машин направила на Западноевропейский театр военных действий лишь 30 (11999).</w:t>
      </w:r>
    </w:p>
    <w:p w14:paraId="3D5E1DA0" w14:textId="77777777" w:rsidR="00B67D7C" w:rsidRPr="00DE096C" w:rsidRDefault="00B67D7C" w:rsidP="00D45A46">
      <w:pPr>
        <w:jc w:val="both"/>
        <w:rPr>
          <w:bCs/>
          <w:color w:val="002060"/>
          <w:sz w:val="16"/>
          <w:szCs w:val="16"/>
        </w:rPr>
      </w:pPr>
    </w:p>
    <w:p w14:paraId="1CD35219" w14:textId="5CA019E4" w:rsidR="00B67D7C" w:rsidRPr="00DE096C" w:rsidRDefault="00B67D7C" w:rsidP="00D45A46">
      <w:pPr>
        <w:jc w:val="both"/>
        <w:rPr>
          <w:bCs/>
          <w:color w:val="002060"/>
          <w:sz w:val="16"/>
          <w:szCs w:val="16"/>
        </w:rPr>
      </w:pPr>
      <w:r w:rsidRPr="00DE096C">
        <w:rPr>
          <w:bCs/>
          <w:color w:val="002060"/>
          <w:sz w:val="16"/>
          <w:szCs w:val="16"/>
        </w:rPr>
        <w:t>31 июля (13 августа) 1914 года были закуплены 3 быстроходных корабля «Эмпресс», «Ривьера» и «Энгадайн», которые тут же подверглись модернизации с целью размещения на них поплавковых самолетов и использования в качестве плавбаз. Эти относительно небольшие суда, водоизмещением от 2000 до 2500 т, имели скорость 20-22 узла и были приданы отряду, базирующемуся в Гарвиче. Ангары, спешно построенные на корме судов (стенки из полотна), позволяли хранить 2-3 гидросамолета.</w:t>
      </w:r>
    </w:p>
    <w:p w14:paraId="72013C41" w14:textId="4D66C22E" w:rsidR="00B67D7C" w:rsidRPr="00DE096C" w:rsidRDefault="00AD33C6" w:rsidP="00D45A46">
      <w:pPr>
        <w:jc w:val="both"/>
        <w:rPr>
          <w:bCs/>
          <w:color w:val="002060"/>
          <w:sz w:val="16"/>
          <w:szCs w:val="16"/>
        </w:rPr>
      </w:pPr>
      <w:r w:rsidRPr="00DE096C">
        <w:rPr>
          <w:bCs/>
          <w:color w:val="002060"/>
          <w:sz w:val="16"/>
          <w:szCs w:val="16"/>
        </w:rPr>
        <w:t xml:space="preserve">Адмиралтейство сделало правильные выводы из всех событий, развивавшихся вокруг воздушной обороны метрополии от нападения цеппелинов, точно определило ведущую роль авиации в этом вопросе и предприняло ряд энергичных шагов. </w:t>
      </w:r>
      <w:r w:rsidR="00B67D7C" w:rsidRPr="00DE096C">
        <w:rPr>
          <w:bCs/>
          <w:color w:val="002060"/>
          <w:sz w:val="16"/>
          <w:szCs w:val="16"/>
        </w:rPr>
        <w:t xml:space="preserve">Стратеги из Адмиралтейства еще с начала войны планировали нападение на Германию в районе ее северных морских границ. Они надеялись выманить главные силы [266] ВМФ Германии в Северном море, уничтожить их, а затем осуществить широкомасштабную высадку десанта. Нападение на ангары цеппелинов в Куксхафене прекрасно вписывалось в общую концепцию этих замыслов. </w:t>
      </w:r>
    </w:p>
    <w:p w14:paraId="34718C24" w14:textId="77777777" w:rsidR="00B67D7C" w:rsidRPr="00DE096C" w:rsidRDefault="00B67D7C" w:rsidP="00D45A46">
      <w:pPr>
        <w:jc w:val="both"/>
        <w:rPr>
          <w:bCs/>
          <w:color w:val="002060"/>
          <w:sz w:val="16"/>
          <w:szCs w:val="16"/>
        </w:rPr>
      </w:pPr>
      <w:r w:rsidRPr="00DE096C">
        <w:rPr>
          <w:bCs/>
          <w:color w:val="002060"/>
          <w:sz w:val="16"/>
          <w:szCs w:val="16"/>
        </w:rPr>
        <w:t xml:space="preserve">План атаки на Куксхафен был достаточно прост, и поэтому имел хорошие перспективы. Три плавбазы, каждая из которых транспортировала по 3 поплавковых самолета, под охраной эскорта крейсеров и эсминцев, следуют в нужную точку Гельголандского залива и запускают оттуда самолеты в сторону намеченной цели. </w:t>
      </w:r>
    </w:p>
    <w:p w14:paraId="031A04BE" w14:textId="77777777" w:rsidR="00B67D7C" w:rsidRPr="00DE096C" w:rsidRDefault="00B67D7C" w:rsidP="00D45A46">
      <w:pPr>
        <w:jc w:val="both"/>
        <w:rPr>
          <w:bCs/>
          <w:color w:val="002060"/>
          <w:sz w:val="16"/>
          <w:szCs w:val="16"/>
        </w:rPr>
      </w:pPr>
      <w:r w:rsidRPr="00DE096C">
        <w:rPr>
          <w:bCs/>
          <w:color w:val="002060"/>
          <w:sz w:val="16"/>
          <w:szCs w:val="16"/>
        </w:rPr>
        <w:t xml:space="preserve">Определенную тревогу в Адмиралтействе вызывало отсутствие достоверной информации о возможной реакции и силе немецкого ВМФ, который будет задействован в отражении атаки на базу цеппелинов в Куксхафене, поэтому несколько субмарин направили к берегам Германии для ведения разведки и нанесения беспокоящих ударов по их кораблям. Ответные действия противника могли прояснить обстановку в этом районе. На середину октября была назначена готовность всех сил к проведению операции против Куксхафена. 22 октября в Адмиралтействе прошло последнее совещание, на котором коммодор Тирвитт был назначен командующим флотилии кораблей, участвующих в операции. Подлодки возглавил Роджер Кейес, а отряд плавбаз и гидросамолеты — Сесил Мелоун. </w:t>
      </w:r>
    </w:p>
    <w:p w14:paraId="1834A153" w14:textId="77777777" w:rsidR="00B67D7C" w:rsidRPr="00DE096C" w:rsidRDefault="00B67D7C" w:rsidP="00D45A46">
      <w:pPr>
        <w:jc w:val="both"/>
        <w:rPr>
          <w:bCs/>
          <w:color w:val="002060"/>
          <w:sz w:val="16"/>
          <w:szCs w:val="16"/>
        </w:rPr>
      </w:pPr>
      <w:r w:rsidRPr="00DE096C">
        <w:rPr>
          <w:bCs/>
          <w:color w:val="002060"/>
          <w:sz w:val="16"/>
          <w:szCs w:val="16"/>
        </w:rPr>
        <w:t>Операция была назначена на 24 октября. Ранним утром флотилия кораблей вышла в море, но начавшийся сильный шторм заставил их вернуться в порт. В течение нескольких дней погода не менялась. За это время в Адмиралтействе решили расширить рамки операции британского флота и усилить отряд кораблей. В соответствии с новым планом, главные силы флотилии должны были располагаться вблизи отряда плавбаз и в случае необходимости отразить контратаку кораблей ВМФ Германии. Все были готовы к выходу в море, но погода явно не способствовала выполнению задания. Еще трижды (один раз в конце октября и два — в ноябре) из-за плохих метеоусловий флотилия была вынуждена возвращаться назад (11324).</w:t>
      </w:r>
    </w:p>
    <w:p w14:paraId="361DBEC1" w14:textId="77777777" w:rsidR="00B67D7C" w:rsidRPr="00DE096C" w:rsidRDefault="00B67D7C" w:rsidP="00D45A46">
      <w:pPr>
        <w:jc w:val="both"/>
        <w:rPr>
          <w:bCs/>
          <w:i/>
          <w:color w:val="002060"/>
          <w:sz w:val="16"/>
          <w:szCs w:val="16"/>
        </w:rPr>
      </w:pPr>
    </w:p>
    <w:p w14:paraId="76D988E7" w14:textId="77777777" w:rsidR="003A4008" w:rsidRPr="00DE096C" w:rsidRDefault="003A4008" w:rsidP="00D45A46">
      <w:pPr>
        <w:jc w:val="both"/>
        <w:rPr>
          <w:bCs/>
          <w:color w:val="002060"/>
          <w:sz w:val="16"/>
          <w:szCs w:val="16"/>
        </w:rPr>
      </w:pPr>
      <w:r w:rsidRPr="00DE096C">
        <w:rPr>
          <w:bCs/>
          <w:color w:val="002060"/>
          <w:sz w:val="16"/>
          <w:szCs w:val="16"/>
        </w:rPr>
        <w:t>31 июля (13 августа) 1914 двенадцать самолетов разведчиков Royal Aircraft Factory ВЕ2 № 2 - й эскадрильи Royal Flying Corps, летающий из Дувра, стали первыми британскими самолетами, направленными во Франции для войны (20337).</w:t>
      </w:r>
    </w:p>
    <w:p w14:paraId="1265F4BD" w14:textId="77777777" w:rsidR="003A4008" w:rsidRPr="00DE096C" w:rsidRDefault="003A4008" w:rsidP="00D45A46">
      <w:pPr>
        <w:jc w:val="both"/>
        <w:rPr>
          <w:bCs/>
          <w:color w:val="002060"/>
          <w:sz w:val="16"/>
          <w:szCs w:val="16"/>
        </w:rPr>
      </w:pPr>
    </w:p>
    <w:p w14:paraId="6C6AC302" w14:textId="77777777" w:rsidR="003A4008" w:rsidRPr="00DE096C" w:rsidRDefault="003A4008" w:rsidP="00D45A46">
      <w:pPr>
        <w:jc w:val="both"/>
        <w:rPr>
          <w:bCs/>
          <w:color w:val="002060"/>
          <w:sz w:val="16"/>
          <w:szCs w:val="16"/>
        </w:rPr>
      </w:pPr>
      <w:r w:rsidRPr="00DE096C">
        <w:rPr>
          <w:bCs/>
          <w:color w:val="002060"/>
          <w:sz w:val="16"/>
          <w:szCs w:val="16"/>
        </w:rPr>
        <w:t>31 июля (13 августа) 1914 британская авиация вступила в войну во Франции — всего через девять дней после начала войны. Согласно предвоенным планам, каждую эскадрилью следовало развернуть в течение трех дней. На четвертый день летчикам предписывалось перелететь в Дувр, а за следующие 48 часов — пересечь ЛаМанш. Каждый из летчиков должен был, кроме личного оружия, взять с собой продовольствие на пару-тройку дней, так как технический состав и все остальное необходимое планировалось перебросить во Францию морем.</w:t>
      </w:r>
    </w:p>
    <w:p w14:paraId="56C82773" w14:textId="77777777" w:rsidR="003A4008" w:rsidRPr="00DE096C" w:rsidRDefault="003A4008" w:rsidP="00D45A46">
      <w:pPr>
        <w:jc w:val="both"/>
        <w:rPr>
          <w:bCs/>
          <w:color w:val="002060"/>
          <w:sz w:val="16"/>
          <w:szCs w:val="16"/>
        </w:rPr>
      </w:pPr>
      <w:r w:rsidRPr="00DE096C">
        <w:rPr>
          <w:bCs/>
          <w:color w:val="002060"/>
          <w:sz w:val="16"/>
          <w:szCs w:val="16"/>
        </w:rPr>
        <w:t>Примерно по такому сценарию и развивались события — и четыре эскадрильи (№№ 2, 3, 4, 5) практически без потерь (в ходе перелета разбился всего один самолет, оба члена экипажа погибли) оказались во Франции.</w:t>
      </w:r>
    </w:p>
    <w:p w14:paraId="579E4D34" w14:textId="77777777" w:rsidR="003A4008" w:rsidRPr="00DE096C" w:rsidRDefault="003A4008" w:rsidP="00D45A46">
      <w:pPr>
        <w:jc w:val="both"/>
        <w:rPr>
          <w:bCs/>
          <w:color w:val="002060"/>
          <w:sz w:val="16"/>
          <w:szCs w:val="16"/>
        </w:rPr>
      </w:pPr>
      <w:r w:rsidRPr="00DE096C">
        <w:rPr>
          <w:bCs/>
          <w:color w:val="002060"/>
          <w:sz w:val="16"/>
          <w:szCs w:val="16"/>
        </w:rPr>
        <w:t>На бумаге в Англии числилось 450 самолетов и 750 летчиков, однако с началом войны в августе 1914 г. для отправки в Европу удалось собрать всего четыре эскадрильи неполного состава с 50 машинами, которые могли подняться в воздух.</w:t>
      </w:r>
    </w:p>
    <w:p w14:paraId="6F04A957" w14:textId="77777777" w:rsidR="003A4008" w:rsidRPr="00DE096C" w:rsidRDefault="003A4008" w:rsidP="00D45A46">
      <w:pPr>
        <w:jc w:val="both"/>
        <w:rPr>
          <w:bCs/>
          <w:color w:val="002060"/>
          <w:sz w:val="16"/>
          <w:szCs w:val="16"/>
        </w:rPr>
      </w:pPr>
      <w:r w:rsidRPr="00DE096C">
        <w:rPr>
          <w:bCs/>
          <w:color w:val="002060"/>
          <w:sz w:val="16"/>
          <w:szCs w:val="16"/>
        </w:rPr>
        <w:t>У экипажей не было никаких карт не то что Бельгии, но даже Франции. Проблему эту частично решили, закупив в Париже карты автомобильных дорог, которую издавала известная на тот момент фирма «Мишлен». Однако самая большая проблема была с техникой, которая была просто неприспособлена для ведения боевых действий: только 2-я и 4-я эскадрильи были вооружены современными B.E.2, а на вооружении остальных двух эскадрилий была невообразимая «солянка» из B.E.2, «Фарманов», «Авро» и B.E.8. Летнабами были в основном бывшие механики, не имевшие, как правило, никакой практики полетов. Да и летчики в массе своей были бывшими спортсменами — автомобилистами, которые добровольно пошли на войну и рассматривали ее не более, чем как очередное приключение. Правда, война очень быстро рассеяла их романтический настрой, особенно после того, как уже в первую неделю войны был сбит и погиб лейтенант Ватерфелл (стал первым из 7 589 британских летчиков, погибших за четыре года войны). Вскоре в свои вылеты на разведку британцы стали брать револьверы, а потом и ручные пулеметы «Льюис» (22739).</w:t>
      </w:r>
    </w:p>
    <w:p w14:paraId="20E16C90" w14:textId="77777777" w:rsidR="003A4008" w:rsidRPr="00DE096C" w:rsidRDefault="003A4008" w:rsidP="00D45A46">
      <w:pPr>
        <w:jc w:val="both"/>
        <w:rPr>
          <w:bCs/>
          <w:color w:val="002060"/>
          <w:sz w:val="16"/>
          <w:szCs w:val="16"/>
        </w:rPr>
      </w:pPr>
    </w:p>
    <w:p w14:paraId="2E2BB52D" w14:textId="77777777" w:rsidR="006D6352" w:rsidRPr="00DE096C" w:rsidRDefault="006D6352" w:rsidP="00D45A46">
      <w:pPr>
        <w:jc w:val="both"/>
        <w:rPr>
          <w:bCs/>
          <w:i/>
          <w:color w:val="002060"/>
          <w:sz w:val="16"/>
          <w:szCs w:val="16"/>
        </w:rPr>
      </w:pPr>
      <w:r w:rsidRPr="00DE096C">
        <w:rPr>
          <w:bCs/>
          <w:i/>
          <w:color w:val="002060"/>
          <w:sz w:val="16"/>
          <w:szCs w:val="16"/>
        </w:rPr>
        <w:t>За рубежом:</w:t>
      </w:r>
    </w:p>
    <w:p w14:paraId="5DD248A0" w14:textId="77777777" w:rsidR="006D6352" w:rsidRPr="00DE096C" w:rsidRDefault="006D6352" w:rsidP="00D45A46">
      <w:pPr>
        <w:jc w:val="both"/>
        <w:rPr>
          <w:bCs/>
          <w:color w:val="002060"/>
          <w:sz w:val="16"/>
          <w:szCs w:val="16"/>
        </w:rPr>
      </w:pPr>
    </w:p>
    <w:p w14:paraId="673914B0" w14:textId="77777777" w:rsidR="006D6352" w:rsidRPr="00DE096C" w:rsidRDefault="006D6352" w:rsidP="00D45A46">
      <w:pPr>
        <w:jc w:val="both"/>
        <w:rPr>
          <w:bCs/>
          <w:color w:val="002060"/>
          <w:sz w:val="16"/>
          <w:szCs w:val="16"/>
        </w:rPr>
      </w:pPr>
      <w:r w:rsidRPr="00DE096C">
        <w:rPr>
          <w:bCs/>
          <w:color w:val="002060"/>
          <w:sz w:val="16"/>
          <w:szCs w:val="16"/>
        </w:rPr>
        <w:t>31 июля (13 августа) в 1914 году Франция объявляет войну Австро-Венгрии (14982).</w:t>
      </w:r>
    </w:p>
    <w:p w14:paraId="13DB99BA" w14:textId="77777777" w:rsidR="006D6352" w:rsidRPr="00DE096C" w:rsidRDefault="006D6352" w:rsidP="00D45A46">
      <w:pPr>
        <w:jc w:val="both"/>
        <w:rPr>
          <w:bCs/>
          <w:color w:val="002060"/>
          <w:sz w:val="16"/>
          <w:szCs w:val="16"/>
        </w:rPr>
      </w:pPr>
    </w:p>
    <w:p w14:paraId="6AA53CB9" w14:textId="77777777" w:rsidR="00B67D7C" w:rsidRPr="00DE096C" w:rsidRDefault="00B67D7C" w:rsidP="00D45A46">
      <w:pPr>
        <w:jc w:val="both"/>
        <w:rPr>
          <w:bCs/>
          <w:i/>
          <w:color w:val="002060"/>
          <w:sz w:val="16"/>
          <w:szCs w:val="16"/>
        </w:rPr>
      </w:pPr>
      <w:r w:rsidRPr="00DE096C">
        <w:rPr>
          <w:bCs/>
          <w:i/>
          <w:color w:val="002060"/>
          <w:sz w:val="16"/>
          <w:szCs w:val="16"/>
        </w:rPr>
        <w:t>Самолетостроение:</w:t>
      </w:r>
    </w:p>
    <w:p w14:paraId="60178256" w14:textId="77777777" w:rsidR="00B67D7C" w:rsidRPr="00DE096C" w:rsidRDefault="00B67D7C" w:rsidP="00D45A46">
      <w:pPr>
        <w:jc w:val="both"/>
        <w:rPr>
          <w:bCs/>
          <w:i/>
          <w:color w:val="002060"/>
          <w:sz w:val="16"/>
          <w:szCs w:val="16"/>
        </w:rPr>
      </w:pPr>
    </w:p>
    <w:p w14:paraId="00F0041F" w14:textId="47856B67" w:rsidR="00B67D7C" w:rsidRPr="00DE096C" w:rsidRDefault="00AD33C6" w:rsidP="00D45A46">
      <w:pPr>
        <w:shd w:val="clear" w:color="auto" w:fill="FFFFFF"/>
        <w:jc w:val="both"/>
        <w:rPr>
          <w:bCs/>
          <w:i/>
          <w:color w:val="002060"/>
          <w:sz w:val="16"/>
          <w:szCs w:val="16"/>
        </w:rPr>
      </w:pPr>
      <w:bookmarkStart w:id="111" w:name="_Hlk117229976"/>
      <w:r w:rsidRPr="00DE096C">
        <w:rPr>
          <w:bCs/>
          <w:color w:val="002060"/>
          <w:sz w:val="16"/>
          <w:szCs w:val="16"/>
        </w:rPr>
        <w:t>В</w:t>
      </w:r>
      <w:r w:rsidR="00B67D7C" w:rsidRPr="00DE096C">
        <w:rPr>
          <w:bCs/>
          <w:color w:val="002060"/>
          <w:sz w:val="16"/>
          <w:szCs w:val="16"/>
        </w:rPr>
        <w:t xml:space="preserve"> конце июля 1914 заказанные во Франции ком</w:t>
      </w:r>
      <w:r w:rsidR="00B67D7C" w:rsidRPr="00DE096C">
        <w:rPr>
          <w:bCs/>
          <w:color w:val="002060"/>
          <w:sz w:val="16"/>
          <w:szCs w:val="16"/>
        </w:rPr>
        <w:softHyphen/>
        <w:t xml:space="preserve">плектующие </w:t>
      </w:r>
      <w:r w:rsidRPr="00DE096C">
        <w:rPr>
          <w:bCs/>
          <w:color w:val="002060"/>
          <w:sz w:val="16"/>
          <w:szCs w:val="16"/>
        </w:rPr>
        <w:t>(Контракт за № 1792/1179 на производство двух самолетов «Моран-парасоль» «улуч</w:t>
      </w:r>
      <w:r w:rsidRPr="00DE096C">
        <w:rPr>
          <w:bCs/>
          <w:color w:val="002060"/>
          <w:sz w:val="16"/>
          <w:szCs w:val="16"/>
        </w:rPr>
        <w:softHyphen/>
        <w:t xml:space="preserve">шенного образца», который был подписан с военным ведомством еще 3 апреля 1914 г. Стоимость одного самолета составляла 8800 руб., а общая сумма сделки, включая цену двух повозок для транспортировки самолетов, превысила 21 000 руб.) </w:t>
      </w:r>
      <w:r w:rsidR="00B67D7C" w:rsidRPr="00DE096C">
        <w:rPr>
          <w:bCs/>
          <w:color w:val="002060"/>
          <w:sz w:val="16"/>
          <w:szCs w:val="16"/>
        </w:rPr>
        <w:t>при перевозке через Германию задержали местные власти. Вызволить их не смогли, как и приобрести новые. Далее в дело вмешалась фирма «Моран-Солнье». Ее представитель, угрожая судом, заявил протест против внесения любых «улучше</w:t>
      </w:r>
      <w:r w:rsidR="00B67D7C" w:rsidRPr="00DE096C">
        <w:rPr>
          <w:bCs/>
          <w:color w:val="002060"/>
          <w:sz w:val="16"/>
          <w:szCs w:val="16"/>
        </w:rPr>
        <w:softHyphen/>
        <w:t>ний» в фирменную конструкцию. А ведь это предусматривал один из пунктов контракта. В конце концов, в апреле 1915г. Терещенко пришлось обратиться в военное ведомство с просьбой расторгнуть этот контракт. При</w:t>
      </w:r>
      <w:r w:rsidR="00B67D7C" w:rsidRPr="00DE096C">
        <w:rPr>
          <w:bCs/>
          <w:color w:val="002060"/>
          <w:sz w:val="16"/>
          <w:szCs w:val="16"/>
        </w:rPr>
        <w:softHyphen/>
        <w:t>чем он указывал, что по принятым обяза</w:t>
      </w:r>
      <w:r w:rsidR="00B67D7C" w:rsidRPr="00DE096C">
        <w:rPr>
          <w:bCs/>
          <w:color w:val="002060"/>
          <w:sz w:val="16"/>
          <w:szCs w:val="16"/>
        </w:rPr>
        <w:softHyphen/>
        <w:t xml:space="preserve">тельствам на 1914 г. Червоннский завод должен был изготовить 10 самолетов: 8 «Фарманов» и 2 «Морана», а реально сдал даже больше: 10 «Фарманов» и 2 </w:t>
      </w:r>
      <w:r w:rsidR="00B67D7C" w:rsidRPr="00DE096C">
        <w:rPr>
          <w:bCs/>
          <w:iCs/>
          <w:color w:val="002060"/>
          <w:sz w:val="16"/>
          <w:szCs w:val="16"/>
        </w:rPr>
        <w:t>«одно</w:t>
      </w:r>
      <w:r w:rsidR="00B67D7C" w:rsidRPr="00DE096C">
        <w:rPr>
          <w:bCs/>
          <w:iCs/>
          <w:color w:val="002060"/>
          <w:sz w:val="16"/>
          <w:szCs w:val="16"/>
        </w:rPr>
        <w:softHyphen/>
        <w:t>местных моноплана Терещенко».</w:t>
      </w:r>
      <w:r w:rsidR="00B67D7C" w:rsidRPr="00DE096C">
        <w:rPr>
          <w:bCs/>
          <w:i/>
          <w:color w:val="002060"/>
          <w:sz w:val="16"/>
          <w:szCs w:val="16"/>
        </w:rPr>
        <w:t xml:space="preserve"> (11217).</w:t>
      </w:r>
    </w:p>
    <w:p w14:paraId="12DADBCD" w14:textId="77777777" w:rsidR="00B67D7C" w:rsidRPr="00DE096C" w:rsidRDefault="00B67D7C" w:rsidP="00D45A46">
      <w:pPr>
        <w:shd w:val="clear" w:color="auto" w:fill="FFFFFF"/>
        <w:jc w:val="both"/>
        <w:rPr>
          <w:bCs/>
          <w:color w:val="002060"/>
          <w:sz w:val="16"/>
          <w:szCs w:val="16"/>
        </w:rPr>
      </w:pPr>
    </w:p>
    <w:bookmarkEnd w:id="111"/>
    <w:p w14:paraId="712F0656" w14:textId="3816A8EE" w:rsidR="00B67D7C" w:rsidRPr="00DE096C" w:rsidRDefault="00B67D7C" w:rsidP="00D45A46">
      <w:pPr>
        <w:jc w:val="both"/>
        <w:rPr>
          <w:bCs/>
          <w:color w:val="002060"/>
          <w:sz w:val="16"/>
          <w:szCs w:val="16"/>
        </w:rPr>
      </w:pPr>
      <w:r w:rsidRPr="00DE096C">
        <w:rPr>
          <w:bCs/>
          <w:color w:val="002060"/>
          <w:sz w:val="16"/>
          <w:szCs w:val="16"/>
        </w:rPr>
        <w:t xml:space="preserve">В конце июля </w:t>
      </w:r>
      <w:r w:rsidR="00AD33C6" w:rsidRPr="00DE096C">
        <w:rPr>
          <w:bCs/>
          <w:color w:val="002060"/>
          <w:sz w:val="16"/>
          <w:szCs w:val="16"/>
        </w:rPr>
        <w:t xml:space="preserve">1914 г. </w:t>
      </w:r>
      <w:r w:rsidRPr="00DE096C">
        <w:rPr>
          <w:bCs/>
          <w:color w:val="002060"/>
          <w:sz w:val="16"/>
          <w:szCs w:val="16"/>
        </w:rPr>
        <w:t xml:space="preserve">Военно-авиационная школа приобрела наличной покупкой для учебных целей знаменитый </w:t>
      </w:r>
      <w:r w:rsidR="00AD33C6" w:rsidRPr="00DE096C">
        <w:rPr>
          <w:bCs/>
          <w:color w:val="002060"/>
          <w:sz w:val="16"/>
          <w:szCs w:val="16"/>
        </w:rPr>
        <w:t xml:space="preserve">ИМ </w:t>
      </w:r>
      <w:r w:rsidRPr="00DE096C">
        <w:rPr>
          <w:bCs/>
          <w:color w:val="002060"/>
          <w:sz w:val="16"/>
          <w:szCs w:val="16"/>
        </w:rPr>
        <w:t>"Киевский" (№ 128). В сложных условиях и в страшной спешке проходило формирование команд и оснащение первых выпущенных аэропланов. Немецкие моторы "Аргус", предполагаемые к установке, после начала войны в Россию не поступили. "Аргусами" был оснащён только "Муромец I" (№</w:t>
      </w:r>
      <w:r w:rsidR="00AD33C6" w:rsidRPr="00DE096C">
        <w:rPr>
          <w:bCs/>
          <w:color w:val="002060"/>
          <w:sz w:val="16"/>
          <w:szCs w:val="16"/>
        </w:rPr>
        <w:t xml:space="preserve"> </w:t>
      </w:r>
      <w:r w:rsidRPr="00DE096C">
        <w:rPr>
          <w:bCs/>
          <w:color w:val="002060"/>
          <w:sz w:val="16"/>
          <w:szCs w:val="16"/>
        </w:rPr>
        <w:t>135). На другие машины пришлось устанавливать звездообразные моторы "Сальмсон" с большим лобовым сопротивлением. 14-цилиндровые типа 2М7 в 200 л.с. устанавл и вались ближе к фюзеляжу, а 9-цилиндровые типа М9 в 130 л.с. - дальше (12041).</w:t>
      </w:r>
    </w:p>
    <w:p w14:paraId="341305CB" w14:textId="77777777" w:rsidR="00B67D7C" w:rsidRPr="00DE096C" w:rsidRDefault="00B67D7C" w:rsidP="00D45A46">
      <w:pPr>
        <w:jc w:val="both"/>
        <w:rPr>
          <w:bCs/>
          <w:color w:val="002060"/>
          <w:sz w:val="16"/>
          <w:szCs w:val="16"/>
        </w:rPr>
      </w:pPr>
    </w:p>
    <w:p w14:paraId="58D2183B" w14:textId="77777777" w:rsidR="00B67D7C" w:rsidRPr="00DE096C" w:rsidRDefault="00B67D7C" w:rsidP="00D45A46">
      <w:pPr>
        <w:jc w:val="both"/>
        <w:rPr>
          <w:bCs/>
          <w:color w:val="002060"/>
          <w:sz w:val="16"/>
          <w:szCs w:val="16"/>
        </w:rPr>
      </w:pPr>
      <w:r w:rsidRPr="00DE096C">
        <w:rPr>
          <w:bCs/>
          <w:color w:val="002060"/>
          <w:sz w:val="16"/>
          <w:szCs w:val="16"/>
        </w:rPr>
        <w:t xml:space="preserve">В конце июля 1914 г. приказом по Военному ведомству утверждались боевые отряды воздушных кораблей "Илья Муромец". По этому же приказу надлежало укомплектовать 10 боевых кораблей. Главному управлению авиации предписывалось разработать временный штат и положение о "Муромцах", а начальнику Гатчинской авиационной школы полковнику Ульянину С. А. поручалось организовать комплектование отрядов летным и техническим составом из имеющегося </w:t>
      </w:r>
      <w:r w:rsidRPr="00DE096C">
        <w:rPr>
          <w:bCs/>
          <w:color w:val="002060"/>
          <w:sz w:val="16"/>
          <w:szCs w:val="16"/>
        </w:rPr>
        <w:lastRenderedPageBreak/>
        <w:t>персонала летных школ. Сразу же встал вопрос о боевом использовании нового и нигде еще не применявшегося оружия. "Заказ на 10 "Илья Муромцев" предлагается распределить по крепостям - по два на крепостной отряд (11230).</w:t>
      </w:r>
    </w:p>
    <w:p w14:paraId="0EF88752" w14:textId="585B875B" w:rsidR="00B67D7C" w:rsidRPr="00DE096C" w:rsidRDefault="00B67D7C" w:rsidP="00D45A46">
      <w:pPr>
        <w:jc w:val="both"/>
        <w:rPr>
          <w:bCs/>
          <w:color w:val="002060"/>
          <w:sz w:val="16"/>
          <w:szCs w:val="16"/>
        </w:rPr>
      </w:pPr>
      <w:r w:rsidRPr="00DE096C">
        <w:rPr>
          <w:bCs/>
          <w:color w:val="002060"/>
          <w:sz w:val="16"/>
          <w:szCs w:val="16"/>
        </w:rPr>
        <w:t>Последние испытания, перелет С. -Петербург - Киев показал возможность расширить сферу применения в военном деле. Последний тип "Илья Муромца" удовлетворяет уже требованиям, предъявляемым к аппаратам стратегического назначения. Таковые требования</w:t>
      </w:r>
      <w:r w:rsidR="00AD33C6" w:rsidRPr="00DE096C">
        <w:rPr>
          <w:bCs/>
          <w:color w:val="002060"/>
          <w:sz w:val="16"/>
          <w:szCs w:val="16"/>
        </w:rPr>
        <w:t>,</w:t>
      </w:r>
      <w:r w:rsidRPr="00DE096C">
        <w:rPr>
          <w:bCs/>
          <w:color w:val="002060"/>
          <w:sz w:val="16"/>
          <w:szCs w:val="16"/>
        </w:rPr>
        <w:t xml:space="preserve"> следующие: </w:t>
      </w:r>
    </w:p>
    <w:p w14:paraId="6F6C203D" w14:textId="77777777" w:rsidR="00B67D7C" w:rsidRPr="00DE096C" w:rsidRDefault="00B67D7C" w:rsidP="00D45A46">
      <w:pPr>
        <w:jc w:val="both"/>
        <w:rPr>
          <w:bCs/>
          <w:color w:val="002060"/>
          <w:sz w:val="16"/>
          <w:szCs w:val="16"/>
        </w:rPr>
      </w:pPr>
      <w:r w:rsidRPr="00DE096C">
        <w:rPr>
          <w:bCs/>
          <w:color w:val="002060"/>
          <w:sz w:val="16"/>
          <w:szCs w:val="16"/>
        </w:rPr>
        <w:t xml:space="preserve">1) радиус действия не менее 300 верст, т. е. от Вильны до Кенигсберга, от Варшавы до Кенигсберга, Данцига, Познани, Кракова, Львова, Перемышля. </w:t>
      </w:r>
    </w:p>
    <w:p w14:paraId="221DC0FE" w14:textId="77777777" w:rsidR="00B67D7C" w:rsidRPr="00DE096C" w:rsidRDefault="00B67D7C" w:rsidP="00D45A46">
      <w:pPr>
        <w:jc w:val="both"/>
        <w:rPr>
          <w:bCs/>
          <w:color w:val="002060"/>
          <w:sz w:val="16"/>
          <w:szCs w:val="16"/>
        </w:rPr>
      </w:pPr>
      <w:r w:rsidRPr="00DE096C">
        <w:rPr>
          <w:bCs/>
          <w:color w:val="002060"/>
          <w:sz w:val="16"/>
          <w:szCs w:val="16"/>
        </w:rPr>
        <w:t xml:space="preserve">2) грузоподъемность: </w:t>
      </w:r>
    </w:p>
    <w:p w14:paraId="6A819B6D" w14:textId="77777777" w:rsidR="00B67D7C" w:rsidRPr="00DE096C" w:rsidRDefault="00B67D7C" w:rsidP="00D45A46">
      <w:pPr>
        <w:jc w:val="both"/>
        <w:rPr>
          <w:bCs/>
          <w:color w:val="002060"/>
          <w:sz w:val="16"/>
          <w:szCs w:val="16"/>
        </w:rPr>
      </w:pPr>
      <w:r w:rsidRPr="00DE096C">
        <w:rPr>
          <w:bCs/>
          <w:color w:val="002060"/>
          <w:sz w:val="16"/>
          <w:szCs w:val="16"/>
        </w:rPr>
        <w:t xml:space="preserve">а) 2 смены экипажа, </w:t>
      </w:r>
    </w:p>
    <w:p w14:paraId="0934858F" w14:textId="77777777" w:rsidR="00B67D7C" w:rsidRPr="00DE096C" w:rsidRDefault="00B67D7C" w:rsidP="00D45A46">
      <w:pPr>
        <w:jc w:val="both"/>
        <w:rPr>
          <w:bCs/>
          <w:color w:val="002060"/>
          <w:sz w:val="16"/>
          <w:szCs w:val="16"/>
        </w:rPr>
      </w:pPr>
      <w:r w:rsidRPr="00DE096C">
        <w:rPr>
          <w:bCs/>
          <w:color w:val="002060"/>
          <w:sz w:val="16"/>
          <w:szCs w:val="16"/>
        </w:rPr>
        <w:t xml:space="preserve">б) перенос не менее 10 пудов (164 кг) взрывчатки, </w:t>
      </w:r>
    </w:p>
    <w:p w14:paraId="3EF47413" w14:textId="77777777" w:rsidR="00B67D7C" w:rsidRPr="00DE096C" w:rsidRDefault="00B67D7C" w:rsidP="00D45A46">
      <w:pPr>
        <w:jc w:val="both"/>
        <w:rPr>
          <w:bCs/>
          <w:color w:val="002060"/>
          <w:sz w:val="16"/>
          <w:szCs w:val="16"/>
        </w:rPr>
      </w:pPr>
      <w:r w:rsidRPr="00DE096C">
        <w:rPr>
          <w:bCs/>
          <w:color w:val="002060"/>
          <w:sz w:val="16"/>
          <w:szCs w:val="16"/>
        </w:rPr>
        <w:t>в) артиллерийского вооружения для борьбы с воздушным флотом (11230).</w:t>
      </w:r>
    </w:p>
    <w:p w14:paraId="4315CE6D" w14:textId="77777777" w:rsidR="00B67D7C" w:rsidRPr="00DE096C" w:rsidRDefault="00B67D7C" w:rsidP="00D45A46">
      <w:pPr>
        <w:jc w:val="both"/>
        <w:rPr>
          <w:bCs/>
          <w:color w:val="002060"/>
          <w:sz w:val="16"/>
          <w:szCs w:val="16"/>
        </w:rPr>
      </w:pPr>
      <w:r w:rsidRPr="00DE096C">
        <w:rPr>
          <w:bCs/>
          <w:color w:val="002060"/>
          <w:sz w:val="16"/>
          <w:szCs w:val="16"/>
        </w:rPr>
        <w:t>Учитывая, что "Илья Муромец" может выполнять стратегические задачи. Главное управление Генерального Штаба вышло с докладом Военному Министру о распределении 10 заказанных "Илья Муромец" по полевым авиаотрядам ... " [* Из отношения начальника отдела по устройству и службе войск Главного управления Генерального Штаба генерал-лейтенанта В. В. Беляева в Главное Военно-техническое управление. ЦГВИА, ф. 202, on. 4, д. 2223, л. 102 - 103.]. Предполагалось, что каждый корабль будет приравнен к боевому отряду со всеми положениями и штатами (Отряд аэроплана "Илья Муромец"). Все отряды, как и другие авиационные и воздухоплавательные подразделения молодого русского ВВФ, подчинялись полевому генерал-инспектору авиации и воздухоплавания Великому Князю Александру Михайловичу. Боевой отряд, состоящий из корабля "Илья Муромец" и 2 - 3 легких самолетов, возглавлялся военным летчиком - командиром корабля "Илья Муромец". Отряд делился на две части: летную и наземного обслуживания. В летную часть входили кроме командира отряда помощник военлета (второй пилот "Ильи Муромца"), артиллерийский офицер, механик корабля, три летчика легких самолетов, четыре старших моториста, ответственных за двигатели "Муромца" (каждый за свой), один старший моторист для обслуживания приданных легких самолетов, семь младших мотористов, два стрелка-пулеметчика и лаборант-фотограф. В штате наземного обслуживания, который возглавлялся военным чиновником или офицером, состояла рота наземного обслуживания. Отряд обеспечивался одной палаткой-ангаром для "Муромца" и тремя палатками для легких самолетов. Имелась походная мастерская со слесарями-мотористами, гараж с легковой автомашиной и двумя грузовыми. Вначале в штате даже были четыре легковых "авто", но впоследствии эту роскошь командование к большому неудовольствию летного состава урезало и оставило только одну машину для командира отряда (11230).</w:t>
      </w:r>
    </w:p>
    <w:p w14:paraId="369CF70D" w14:textId="77777777" w:rsidR="00B67D7C" w:rsidRPr="00DE096C" w:rsidRDefault="00B67D7C" w:rsidP="00D45A46">
      <w:pPr>
        <w:jc w:val="both"/>
        <w:rPr>
          <w:bCs/>
          <w:color w:val="002060"/>
          <w:sz w:val="16"/>
          <w:szCs w:val="16"/>
        </w:rPr>
      </w:pPr>
      <w:r w:rsidRPr="00DE096C">
        <w:rPr>
          <w:bCs/>
          <w:color w:val="002060"/>
          <w:sz w:val="16"/>
          <w:szCs w:val="16"/>
        </w:rPr>
        <w:t>На должности командиров кораблей назначались военные летчики из числа инструкторов авиашкол. Помощниками командиров (вторыми пилотами) "Муромцев" рекомендовались офицеры, окончившие авиашколы и имеющие звание "военный летчик". При этом отдавалось предпочтение офицерам, не допустившим ни одной аварии. На должности артиллерийских офицеров (бомбардиров) приглашались преимущественно имеющие артиллерийское образование. Бортмеханиками могли стать офицеры, хорошо разбиравшиеся в технике. Старшими мотористами назначались опытные мотористы авиашкол (11230).</w:t>
      </w:r>
    </w:p>
    <w:p w14:paraId="3EBE8431" w14:textId="77777777" w:rsidR="00B67D7C" w:rsidRPr="00DE096C" w:rsidRDefault="00B67D7C" w:rsidP="00D45A46">
      <w:pPr>
        <w:jc w:val="both"/>
        <w:rPr>
          <w:bCs/>
          <w:color w:val="002060"/>
          <w:sz w:val="16"/>
          <w:szCs w:val="16"/>
        </w:rPr>
      </w:pPr>
      <w:r w:rsidRPr="00DE096C">
        <w:rPr>
          <w:bCs/>
          <w:color w:val="002060"/>
          <w:sz w:val="16"/>
          <w:szCs w:val="16"/>
        </w:rPr>
        <w:t xml:space="preserve">Как уже упоминалось, комплектование отрядов было поручено начальнику Гатчинской авиашколы, имевшему высокий авторитет в авиационном мире, полковнику С. А. Ульянину, который непосредственную работу по подбору и подготовке кадров возложил на своего заместителя штабс-капитана Г. Г. Горшкова Предварительно был составлен черновой список кандидатов на должности командиров кораблей. Горшков обстоятельно беседовал с каждым кандидатом и, получив согласие, рекомендовал подобрать себе помощника. В результате приказом по Главному управлению авиации были утверждены экипажи семи воздушных кораблей: </w:t>
      </w:r>
    </w:p>
    <w:p w14:paraId="2DE216CE" w14:textId="77777777" w:rsidR="00B67D7C" w:rsidRPr="00DE096C" w:rsidRDefault="00B67D7C" w:rsidP="00D45A46">
      <w:pPr>
        <w:jc w:val="both"/>
        <w:rPr>
          <w:bCs/>
          <w:color w:val="002060"/>
          <w:sz w:val="16"/>
          <w:szCs w:val="16"/>
        </w:rPr>
      </w:pPr>
      <w:r w:rsidRPr="00DE096C">
        <w:rPr>
          <w:bCs/>
          <w:color w:val="002060"/>
          <w:sz w:val="16"/>
          <w:szCs w:val="16"/>
        </w:rPr>
        <w:t xml:space="preserve">[На самом деле корабли имели римскую нумерацию. Данная нумерация здесь и далее по тексту приводится для облегчения восприятия] </w:t>
      </w:r>
    </w:p>
    <w:p w14:paraId="5591AFDB" w14:textId="77777777" w:rsidR="00B67D7C" w:rsidRPr="00DE096C" w:rsidRDefault="00B67D7C" w:rsidP="00D45A46">
      <w:pPr>
        <w:jc w:val="both"/>
        <w:rPr>
          <w:bCs/>
          <w:color w:val="002060"/>
          <w:sz w:val="16"/>
          <w:szCs w:val="16"/>
        </w:rPr>
      </w:pPr>
      <w:r w:rsidRPr="00DE096C">
        <w:rPr>
          <w:bCs/>
          <w:color w:val="002060"/>
          <w:sz w:val="16"/>
          <w:szCs w:val="16"/>
        </w:rPr>
        <w:t xml:space="preserve">№ Корабля / Командир / Помощник командира / Артиллерийский офицер / Механик / Моторист </w:t>
      </w:r>
    </w:p>
    <w:p w14:paraId="5114484A" w14:textId="77777777" w:rsidR="00B67D7C" w:rsidRPr="00DE096C" w:rsidRDefault="00B67D7C" w:rsidP="00D45A46">
      <w:pPr>
        <w:jc w:val="both"/>
        <w:rPr>
          <w:bCs/>
          <w:color w:val="002060"/>
          <w:sz w:val="16"/>
          <w:szCs w:val="16"/>
        </w:rPr>
      </w:pPr>
      <w:r w:rsidRPr="00DE096C">
        <w:rPr>
          <w:bCs/>
          <w:color w:val="002060"/>
          <w:sz w:val="16"/>
          <w:szCs w:val="16"/>
        </w:rPr>
        <w:t xml:space="preserve">№ 1 шт.-кап. Руднев Е.В. / шт.-кап. Ильинский / - /вольнонаемный Е. В Шидловский М. Ф. / - / </w:t>
      </w:r>
    </w:p>
    <w:p w14:paraId="12260FA9" w14:textId="77777777" w:rsidR="00B67D7C" w:rsidRPr="00DE096C" w:rsidRDefault="00B67D7C" w:rsidP="00D45A46">
      <w:pPr>
        <w:jc w:val="both"/>
        <w:rPr>
          <w:bCs/>
          <w:color w:val="002060"/>
          <w:sz w:val="16"/>
          <w:szCs w:val="16"/>
        </w:rPr>
      </w:pPr>
      <w:r w:rsidRPr="00DE096C">
        <w:rPr>
          <w:bCs/>
          <w:color w:val="002060"/>
          <w:sz w:val="16"/>
          <w:szCs w:val="16"/>
        </w:rPr>
        <w:t xml:space="preserve">№ 2 поручик Панкратьев А. В. / гв. шт.-кап. Никольской С. Н. / Звонников / Кулешов / ст. мотор.Ушаков </w:t>
      </w:r>
    </w:p>
    <w:p w14:paraId="59337287" w14:textId="77777777" w:rsidR="00B67D7C" w:rsidRPr="00DE096C" w:rsidRDefault="00B67D7C" w:rsidP="00D45A46">
      <w:pPr>
        <w:jc w:val="both"/>
        <w:rPr>
          <w:bCs/>
          <w:color w:val="002060"/>
          <w:sz w:val="16"/>
          <w:szCs w:val="16"/>
        </w:rPr>
      </w:pPr>
      <w:r w:rsidRPr="00DE096C">
        <w:rPr>
          <w:bCs/>
          <w:color w:val="002060"/>
          <w:sz w:val="16"/>
          <w:szCs w:val="16"/>
        </w:rPr>
        <w:t xml:space="preserve">М 3 шт.-кап.Бродович В. М. / шт.-кап. Спасов М. П. пор. Гагуа / - / ст. мотор. Фогт </w:t>
      </w:r>
    </w:p>
    <w:p w14:paraId="25BD7E5C" w14:textId="77777777" w:rsidR="00B67D7C" w:rsidRPr="00DE096C" w:rsidRDefault="00B67D7C" w:rsidP="00D45A46">
      <w:pPr>
        <w:jc w:val="both"/>
        <w:rPr>
          <w:bCs/>
          <w:color w:val="002060"/>
          <w:sz w:val="16"/>
          <w:szCs w:val="16"/>
        </w:rPr>
      </w:pPr>
      <w:r w:rsidRPr="00DE096C">
        <w:rPr>
          <w:bCs/>
          <w:color w:val="002060"/>
          <w:sz w:val="16"/>
          <w:szCs w:val="16"/>
        </w:rPr>
        <w:t xml:space="preserve">№ 4 шт. -кап. Фирсов Б.Н. / поручик Политковский / шт.-кап. Барбович / 2-й пилот пор. Шаров Я. / - / </w:t>
      </w:r>
    </w:p>
    <w:p w14:paraId="71A556AD" w14:textId="77777777" w:rsidR="00B67D7C" w:rsidRPr="00DE096C" w:rsidRDefault="00B67D7C" w:rsidP="00D45A46">
      <w:pPr>
        <w:jc w:val="both"/>
        <w:rPr>
          <w:bCs/>
          <w:color w:val="002060"/>
          <w:sz w:val="16"/>
          <w:szCs w:val="16"/>
        </w:rPr>
      </w:pPr>
      <w:r w:rsidRPr="00DE096C">
        <w:rPr>
          <w:bCs/>
          <w:color w:val="002060"/>
          <w:sz w:val="16"/>
          <w:szCs w:val="16"/>
        </w:rPr>
        <w:t xml:space="preserve">№ 5 поручик Алехнович Г. В. / поручик Костенчик А. М. / капитан Журавченко А. Н. / вольнооп. Кисель / - / </w:t>
      </w:r>
    </w:p>
    <w:p w14:paraId="6EFB2115" w14:textId="77777777" w:rsidR="00B67D7C" w:rsidRPr="00DE096C" w:rsidRDefault="00B67D7C" w:rsidP="00D45A46">
      <w:pPr>
        <w:jc w:val="both"/>
        <w:rPr>
          <w:bCs/>
          <w:color w:val="002060"/>
          <w:sz w:val="16"/>
          <w:szCs w:val="16"/>
        </w:rPr>
      </w:pPr>
      <w:r w:rsidRPr="00DE096C">
        <w:rPr>
          <w:bCs/>
          <w:color w:val="002060"/>
          <w:sz w:val="16"/>
          <w:szCs w:val="16"/>
        </w:rPr>
        <w:t xml:space="preserve">№6 в капитан Головин С. Н. / поручик Смирнов М. В. / шт.-кап. Иванов В. А. / - / - / </w:t>
      </w:r>
    </w:p>
    <w:p w14:paraId="333114BF" w14:textId="77777777" w:rsidR="00B67D7C" w:rsidRPr="00DE096C" w:rsidRDefault="00B67D7C" w:rsidP="00D45A46">
      <w:pPr>
        <w:jc w:val="both"/>
        <w:rPr>
          <w:bCs/>
          <w:color w:val="002060"/>
          <w:sz w:val="16"/>
          <w:szCs w:val="16"/>
        </w:rPr>
      </w:pPr>
      <w:r w:rsidRPr="00DE096C">
        <w:rPr>
          <w:bCs/>
          <w:color w:val="002060"/>
          <w:sz w:val="16"/>
          <w:szCs w:val="16"/>
        </w:rPr>
        <w:t xml:space="preserve">№ 7 "Киевский" / шт.-кап. Горшков Г. Г. / поручик Башко И. С. / шт.-кап. Наумов А. А. / мл. унт. оф. Лавров А. М. / - / </w:t>
      </w:r>
    </w:p>
    <w:p w14:paraId="7CF5AF6F" w14:textId="77777777" w:rsidR="00B67D7C" w:rsidRPr="00DE096C" w:rsidRDefault="00B67D7C" w:rsidP="00D45A46">
      <w:pPr>
        <w:jc w:val="both"/>
        <w:rPr>
          <w:bCs/>
          <w:color w:val="002060"/>
          <w:sz w:val="16"/>
          <w:szCs w:val="16"/>
        </w:rPr>
      </w:pPr>
    </w:p>
    <w:p w14:paraId="756FCA03" w14:textId="77777777" w:rsidR="003174ED" w:rsidRPr="00B52707" w:rsidRDefault="003174ED" w:rsidP="003174ED">
      <w:pPr>
        <w:jc w:val="both"/>
        <w:rPr>
          <w:color w:val="0070C0"/>
          <w:sz w:val="16"/>
          <w:szCs w:val="16"/>
        </w:rPr>
      </w:pPr>
      <w:r w:rsidRPr="00B52707">
        <w:rPr>
          <w:color w:val="0070C0"/>
          <w:sz w:val="16"/>
          <w:szCs w:val="16"/>
        </w:rPr>
        <w:t>В конце июля 1914 г. военный министр В.А. Сухомлинов утвердил новое распределение первой десятки «муромцев». Два из них должны были остаться в Гатчине в качестве учебных, три - поступить в 4-ю авиароту в Лиду, три - во 2-ю авиароту в Варшаве и два - в 3-ю авиароту в Киеве (24965).</w:t>
      </w:r>
    </w:p>
    <w:p w14:paraId="5CA5D152" w14:textId="77777777" w:rsidR="003174ED" w:rsidRPr="00B52707" w:rsidRDefault="003174ED" w:rsidP="003174ED">
      <w:pPr>
        <w:jc w:val="both"/>
        <w:rPr>
          <w:color w:val="0070C0"/>
          <w:sz w:val="16"/>
          <w:szCs w:val="16"/>
        </w:rPr>
      </w:pPr>
    </w:p>
    <w:p w14:paraId="20956E34" w14:textId="77777777" w:rsidR="00DA7D6F" w:rsidRPr="00DE096C" w:rsidRDefault="00DA7D6F" w:rsidP="00D45A46">
      <w:pPr>
        <w:jc w:val="both"/>
        <w:rPr>
          <w:bCs/>
          <w:color w:val="002060"/>
          <w:sz w:val="16"/>
          <w:szCs w:val="16"/>
        </w:rPr>
      </w:pPr>
      <w:r w:rsidRPr="00DE096C">
        <w:rPr>
          <w:bCs/>
          <w:color w:val="002060"/>
          <w:sz w:val="16"/>
          <w:szCs w:val="16"/>
        </w:rPr>
        <w:t>К концу июля 1914 г. накануне Первой мировой войны «Дукс» имел хорошо оснащенные механические мастерские и сборочные цеха. Здесь была освоена и широко применялась ацетиленовая сварка и пайка медью. Был налажен собственный выпуск болтов и гаек. Доведено до совершенства производство колес для различных моделей самолетов. А древесину сушили в специальных камерах и регулярно проводили ее испытания. На заводе появились новые деревообделочный, трубоволочильный и сборочный цеха. Обновлены и модернизированы литейное, медницкое, механическое, инструментальное отделения. На заводе работало 550 человек. Все его имущество, по докладной Меллера Главному военно-техническому управлению, оценивалось в 660 000 рублей, а годовой оборот составлял 2 000 000 рублей (19826).</w:t>
      </w:r>
    </w:p>
    <w:p w14:paraId="1FB1914A" w14:textId="77777777" w:rsidR="00DA7D6F" w:rsidRPr="00DE096C" w:rsidRDefault="00DA7D6F" w:rsidP="00D45A46">
      <w:pPr>
        <w:jc w:val="both"/>
        <w:rPr>
          <w:bCs/>
          <w:color w:val="002060"/>
          <w:sz w:val="16"/>
          <w:szCs w:val="16"/>
        </w:rPr>
      </w:pPr>
    </w:p>
    <w:p w14:paraId="7A1F99E6" w14:textId="77777777" w:rsidR="00DA7D6F" w:rsidRPr="00DE096C" w:rsidRDefault="00DA7D6F" w:rsidP="00D45A46">
      <w:pPr>
        <w:jc w:val="both"/>
        <w:rPr>
          <w:bCs/>
          <w:color w:val="002060"/>
          <w:sz w:val="16"/>
          <w:szCs w:val="16"/>
        </w:rPr>
      </w:pPr>
      <w:r w:rsidRPr="00DE096C">
        <w:rPr>
          <w:bCs/>
          <w:color w:val="002060"/>
          <w:sz w:val="16"/>
          <w:szCs w:val="16"/>
        </w:rPr>
        <w:t>К концу июля 1914 г. накануне войны авиастроение было представлено восьмью самолетостроительными заводами и мастерскими, а также тремя авиамоторными предприятиями. Начавшаяся война очень скоро показала возможности применения авиации на фронте, что повлекло соответственно спрос на продукцию авиационных предприятий и быстрый рост требований к качеству самолетов и моторов.</w:t>
      </w:r>
    </w:p>
    <w:p w14:paraId="295FFA7A" w14:textId="77777777" w:rsidR="00DA7D6F" w:rsidRPr="00DE096C" w:rsidRDefault="00DA7D6F" w:rsidP="00D45A46">
      <w:pPr>
        <w:jc w:val="both"/>
        <w:rPr>
          <w:bCs/>
          <w:color w:val="002060"/>
          <w:sz w:val="16"/>
          <w:szCs w:val="16"/>
        </w:rPr>
      </w:pPr>
      <w:r w:rsidRPr="00DE096C">
        <w:rPr>
          <w:bCs/>
          <w:color w:val="002060"/>
          <w:sz w:val="16"/>
          <w:szCs w:val="16"/>
        </w:rPr>
        <w:t>В первый год войны заказы на авиаимущество русским заводам были очень невелики, соответственно незначительными являлись и их поставки самолетов и моторов. Заводы на свой страх и риск осуществляли попытки расширения производства и, конечно, вели разработку новых конструкций аппаратов и моторов. Определенное внимание было проявлено к увеличению производительности авиамоторных предприятий, так как это было наиболее узким местом отечественной авиационной промышленности, что повлекло громадные расходы военного ведомства по заказам моторов за рубежом и не менее сложную их последующую доставку. Уже в первые месяцы войны были приняты меры для расширения завода «Гном» в Москве; сооружения на новом месте эвакуированного из Риги в Москву завода «Мотор»; был устроен новый завод «Сальмсон»; заключено соглашение с акционерным обществом «Русский Рено» о постройке нового моторного завода; к работе по изготовлению запасных частей были привлечены еще 16 заводов и мастерских [РГВИА. Там же. Оп. 1. Д. 168. Л. 7.].</w:t>
      </w:r>
    </w:p>
    <w:p w14:paraId="6218DFC7" w14:textId="77777777" w:rsidR="00DA7D6F" w:rsidRPr="00DE096C" w:rsidRDefault="00DA7D6F" w:rsidP="00D45A46">
      <w:pPr>
        <w:jc w:val="both"/>
        <w:rPr>
          <w:bCs/>
          <w:color w:val="002060"/>
          <w:sz w:val="16"/>
          <w:szCs w:val="16"/>
        </w:rPr>
      </w:pPr>
      <w:r w:rsidRPr="00DE096C">
        <w:rPr>
          <w:bCs/>
          <w:color w:val="002060"/>
          <w:sz w:val="16"/>
          <w:szCs w:val="16"/>
        </w:rPr>
        <w:t>В мае 1915 г. была завершена выработка плана снабжения армии авиаимуществом на срок с 1 июня 1915 г. до 1 июня 1916 г. Заложенные в плане показатели обеспечения авиационных фронтовых отрядов различными типами самолетов и моторов к ним, а также возмещение их убыли предполагали распределение большей части заказов в России [Там же. Оп. 2. Д. 12. Л. 207-208об; Там же. Оп. 21. Д. 12. Л. 42.]. Регулярно проводимые учреждениями военного ведомства совещания по вопросам снабжения армии авиаимуществом стали важным фактором развития авиационной промышленности [См.: Материалы ноябрьского совещания 1915 г. (РГВИА. Ф. 493. Оп. 4. Д. 52. Л. 93-94об.); апрельского и майского совещаний 1916 г. (РГВИА, Ф. 493. Оп. 4. Д. 83. Л. 113-114, 229-232об.) и др.]. Принятые на них программы, или их корректировки на заключительном этапе обязательно рассматривались Особым совещанием по обороне.</w:t>
      </w:r>
    </w:p>
    <w:p w14:paraId="6F4DBDBE" w14:textId="77777777" w:rsidR="00DA7D6F" w:rsidRPr="00DE096C" w:rsidRDefault="00DA7D6F" w:rsidP="00D45A46">
      <w:pPr>
        <w:jc w:val="both"/>
        <w:rPr>
          <w:bCs/>
          <w:color w:val="002060"/>
          <w:sz w:val="16"/>
          <w:szCs w:val="16"/>
        </w:rPr>
      </w:pPr>
      <w:r w:rsidRPr="00DE096C">
        <w:rPr>
          <w:bCs/>
          <w:color w:val="002060"/>
          <w:sz w:val="16"/>
          <w:szCs w:val="16"/>
        </w:rPr>
        <w:t>На основе этих планов в течение 1915 - 1916 гг. Особое совещание вело широкую выдачу заказов различным авиационным предприятиям с одновременным предоставлением авансов и ссуд. В июле 1915 г. было привлечено к исполнению заказов всего два моторных и шесть самолетостроительных завода. Тогда как только в сентябре - декабре 1915 г. в подготовительной комиссии по общим вопросам Особого совещания было обсуждено более десятка дел, связанных с выдачей заказов, ссуд, авансов, пособий авиационным заводам [РГВИА. Ф. 369. Оп. 8. Д. 73. Л. 3-6об. Перечень по воздухоплавательно-авиационным вопросам, обсуждавшимся в Подготовительной комиссии по общим вопросам.]. И число рассматриваемых дел, и объемы, выдаваемых заказов, в 1916 г. значительно возросли.</w:t>
      </w:r>
    </w:p>
    <w:p w14:paraId="147503CF" w14:textId="77777777" w:rsidR="00DA7D6F" w:rsidRPr="00DE096C" w:rsidRDefault="00DA7D6F" w:rsidP="00D45A46">
      <w:pPr>
        <w:jc w:val="both"/>
        <w:rPr>
          <w:bCs/>
          <w:color w:val="002060"/>
          <w:sz w:val="16"/>
          <w:szCs w:val="16"/>
        </w:rPr>
      </w:pPr>
      <w:r w:rsidRPr="00DE096C">
        <w:rPr>
          <w:bCs/>
          <w:color w:val="002060"/>
          <w:sz w:val="16"/>
          <w:szCs w:val="16"/>
        </w:rPr>
        <w:t>Уже с конца 1915 г. решения Особого совещания по обороне о выдаче заказов на авиационное имущество подразумевали, а часто прямо указывали на необходимость постройки нового завода или расширения старого. Недаром в отчете УВВФ за 1916 г. указывалось: «Принимавшиеся в 1916 г. меры к обеспечению авиации и воздухоплавания аэропланами, моторами и материалами шли, главным образом, по пути насаждения соответствующей отечественной промышленности, дабы в возможно большей степени освободиться от необходимости прибегать к услугам заграничной промышленности» [РГВИА. Ф. 493. Оп. 4. Д. 337. Л. 4.].</w:t>
      </w:r>
    </w:p>
    <w:p w14:paraId="681FD152" w14:textId="77777777" w:rsidR="00DA7D6F" w:rsidRPr="00DE096C" w:rsidRDefault="00DA7D6F" w:rsidP="00D45A46">
      <w:pPr>
        <w:jc w:val="both"/>
        <w:rPr>
          <w:bCs/>
          <w:color w:val="002060"/>
          <w:sz w:val="16"/>
          <w:szCs w:val="16"/>
        </w:rPr>
      </w:pPr>
      <w:r w:rsidRPr="00DE096C">
        <w:rPr>
          <w:bCs/>
          <w:color w:val="002060"/>
          <w:sz w:val="16"/>
          <w:szCs w:val="16"/>
        </w:rPr>
        <w:t xml:space="preserve">Особую роль в расширении и налаживании работы отечественных авиационных предприятий сыграла созданная в июле 1916 г. подготовительная комиссия по авиационным вопросам Особого совещания по обороне, возглавлявшаяся И.В. Гурко. Комиссия занялась, прежде всего, выработкой программы отечественного авиастроения, включая развитие самолето- и моторостроительных заводов. До этого развитие авиационной промышленности шло в значительной мере стихийно, и организующим элементом были только программы снабжения армии авиаимуществом, которые определяли сумму заказов русским авиационным заводам. Программа развития авиационного дела в России обсуждалась на нескольких заседаниях подготовительной комиссии по авиационным вопросам в течение сентября - октября 1916 г. [РГВИА. Ф. 369. Оп. 8. Д. 74. Л. 1-17 об. Журнал авиационной комиссии от 8 и 19 сентября, 6, 12, 13, 19 и 24 октября 1916 г.] Комиссия, оценивая план снабжения армии авиаимуществом на 1917 -1918 гг., выработанный в штабе авиации и согласованный с союзниками, отметила утопичность данного документа. Он совершенно не учитывал резкого отставания русской авиации от немецкой и союзнической. Комиссия старалась исходить из реальных задач, которые также требовали значительных усилий. В числе мер, которые предлагались авиационной комиссией, были: создать возможности предприятиям использовать все имеющееся оборудование; увеличить оборудование действующих заводов; соорудить новые предприятия [Там же. Л. 8об.]. Решение первой задачи было сопряжено с </w:t>
      </w:r>
      <w:r w:rsidRPr="00DE096C">
        <w:rPr>
          <w:bCs/>
          <w:color w:val="002060"/>
          <w:sz w:val="16"/>
          <w:szCs w:val="16"/>
        </w:rPr>
        <w:lastRenderedPageBreak/>
        <w:t>установлением определенного типа аппарата и невозможностью изменять его при выполнении контракта. Такая жесткая стандартизация продукции предприятий была обязательным элементов политики военного ведомства и всех организаций, занимающихся мобилизацией промышленности на оборону, что должно было способствовать внедрению индустриальных начал в отечественное производство. Для усиления планомерности заводской деятельности комиссия предлагала ввести специализацию заводов и поощрять это стремление предпринимателей выдачей соответствующих премий. Вопрос о сооружении новых предприятий был поставлен в программе применительно к отдельным частным, уже приступившим к реконструкции, и особенно был конкретизирован в отношении казенных заведений - предлагалось построить казенные аэроплановый и моторный заводы. Кроме того, в программе обращалось внимание на улучшение подготовки летных кадров и создание научного авиационного центра (так называемый Главный аэродром) [Там же. Л. 11об., 12-13.]. На заседании Особого совещания по обороне от 29 октября 1916 г. эта программа в целом была одобрена [Журналы Особого совещания по обороне государства. 1916 год. М., 1977. Вып. IV. С. 631-639.].</w:t>
      </w:r>
    </w:p>
    <w:p w14:paraId="27AE2EAD" w14:textId="77777777" w:rsidR="00DA7D6F" w:rsidRPr="00DE096C" w:rsidRDefault="00DA7D6F" w:rsidP="00D45A46">
      <w:pPr>
        <w:jc w:val="both"/>
        <w:rPr>
          <w:bCs/>
          <w:color w:val="002060"/>
          <w:sz w:val="16"/>
          <w:szCs w:val="16"/>
        </w:rPr>
      </w:pPr>
      <w:r w:rsidRPr="00DE096C">
        <w:rPr>
          <w:bCs/>
          <w:color w:val="002060"/>
          <w:sz w:val="16"/>
          <w:szCs w:val="16"/>
        </w:rPr>
        <w:t>Выдача казенных заказов и специальные меры поддержки отечественной промышленности, безусловно, стимулировали развитие производства и заводское строительство в области авиации. Если перед войной было всего 11 авиационных заводов и мастерских, то на начало 1917 г. в России насчитывалось 14 самолетостроительных предприятий, на которых было занято около 12 тыс. рабочих; производство авиационных двигателей было налажено на 7 заводах, насчитывающих около 3,5 тыс. рабочих. Таким образом, всего на 21 русском авиационном предприятии трудилось 15,5 тыс. рабочих [В число заводов не входят недостроенные предприятия. Количество заводов и численность рабочих установлены на основе подсчетов данных заводских совещаний и сведений УВВФ. РГВИА. Ф. 369. Оп. 1. Д. 471, 568; Там же. Оп. 8. Д. 43, 51; Там же. Оп. 21. Д. 145; Там же. Ф. 493. Оп. 9. Д. 493.]. Суммарная средняя производительность аэроплановых заводов в месяц в конце 1916 г. составляла 200 аппаратов (довоенная - 40), а моторных - около 100 двигателей (против 10-15 до войны) [РГВИА. Ф. 369. Оп. 8. Д. 74. Л. 18-18об.]. Попытаемся раскрыть эти обобщенные данные на материалах отдельных предприятий и истории их развития в 1915 - 1917 гг.</w:t>
      </w:r>
    </w:p>
    <w:p w14:paraId="60416E4C" w14:textId="77777777" w:rsidR="00DA7D6F" w:rsidRPr="00DE096C" w:rsidRDefault="00DA7D6F" w:rsidP="00D45A46">
      <w:pPr>
        <w:jc w:val="both"/>
        <w:rPr>
          <w:bCs/>
          <w:color w:val="002060"/>
          <w:sz w:val="16"/>
          <w:szCs w:val="16"/>
        </w:rPr>
      </w:pPr>
      <w:r w:rsidRPr="00DE096C">
        <w:rPr>
          <w:bCs/>
          <w:color w:val="002060"/>
          <w:sz w:val="16"/>
          <w:szCs w:val="16"/>
        </w:rPr>
        <w:t xml:space="preserve">В годы войны значительно расширились, используя прямую финансовую поддержку казны, предприятия акционерного общества воздухоплавания «В. А. Лебедев», учрежденного в 1913 г. одним из первых авиаторов России. Обществу первоначально принадлежало два завода в Петербурге - самолетостроительный и завод по производству воздушных винтов «Интеграл». Для выполнения оборонных заказов было осуществлено сооружение новых построек и их оборудование станками, специальными приспособлениями на общую сумму 2,5 млн. руб. [Там же. Ф. 493. Оп. 9. Д. 56. Л. 200.] В 1916 г. на самолетостроительном заводе имелись деревообделочный, механический, слесарный, сварочный, сборочный, малярный, сушильный цеха, столярная мастерская. В них трудилось около 1500 рабочих. Хотя на заводе имелось собственное конструкторское бюро, предприятие В.А. Лебедева строило по заказам военного ведомства в основном летательные аппараты иностранных марок (Вуазен, Моран-Солье, Депердюссен) с применением двигателя «Сальмсон». Производительность завода к середине 1917 г. достигла 40-50 аппаратов в месяц (против 10 до войны) [Там же. Ф. 369. Оп. 8. Д. 74. Л. 18.], однако и при этом общество имело задолженность по выполнению контрактов. </w:t>
      </w:r>
    </w:p>
    <w:p w14:paraId="49315671" w14:textId="77777777" w:rsidR="00DA7D6F" w:rsidRPr="00DE096C" w:rsidRDefault="00DA7D6F" w:rsidP="00D45A46">
      <w:pPr>
        <w:jc w:val="both"/>
        <w:rPr>
          <w:bCs/>
          <w:color w:val="002060"/>
          <w:sz w:val="16"/>
          <w:szCs w:val="16"/>
        </w:rPr>
      </w:pPr>
      <w:r w:rsidRPr="00DE096C">
        <w:rPr>
          <w:bCs/>
          <w:color w:val="002060"/>
          <w:sz w:val="16"/>
          <w:szCs w:val="16"/>
        </w:rPr>
        <w:t>Еще в 1915 г. встал вопрос о более существенном расширении предприятия, но имеющаяся территория в Петрограде этого не позволяла. Осенью того же года по решению Особого совещания по обороне о-ву «В. А. Лебедев» была выдана на льготных основаниях ссуда и безвозвратное пособие с целью устройства филиалов. Вскоре началось сооружение отделений в Таганроге и Пензе. Казенные суммы составили 35 % всех расходов по строительству. Таганрогский завод возводился с учетом требований конвейерного производства по системе Тейлора, был задуман, как отмечали технические инспектора УВВФ, осуществлявшие контроль за строительством весьма широко и практично. К октябрю 1917 г. главный корпус нового завода находился почти в законченном виде, были готовы сборочная и моторная, но в них не было оборудования. В механическом цехе было установлено 16 револьверных и токарных станков, а в деревообделочном – часть станков уже работала, поскольку предприятие приступило к ремонту поплавков. Большой оригинальностью отличалась постройка сборочного цеха, рассчитанного на параллельную сборку в двух потоках сухопутных и морских аэропланов [Там же. Ф. 493. Оп. 9. Д. 56.]. Уже в ноябре 1916 г. было завершено сооружение первых отделов Пензенского завода, в которых началось производство винтов. Вскоре для сборки самолетов был построен цех площадью свыше 2 тыс. м2. Экономический кризис 1917 г. не позволил полностью закончить строительство и особенно оборудование новых филиалов. Наиболее законченный из них, Таганрогский стал впоследствии основой крупнейшего авиационного завода им. Димитрова.</w:t>
      </w:r>
    </w:p>
    <w:p w14:paraId="04CDF80F" w14:textId="77777777" w:rsidR="00DA7D6F" w:rsidRPr="00DE096C" w:rsidRDefault="00DA7D6F" w:rsidP="00D45A46">
      <w:pPr>
        <w:jc w:val="both"/>
        <w:rPr>
          <w:bCs/>
          <w:color w:val="002060"/>
          <w:sz w:val="16"/>
          <w:szCs w:val="16"/>
        </w:rPr>
      </w:pPr>
      <w:r w:rsidRPr="00DE096C">
        <w:rPr>
          <w:bCs/>
          <w:color w:val="002060"/>
          <w:sz w:val="16"/>
          <w:szCs w:val="16"/>
        </w:rPr>
        <w:t>К числу первых самолетостроительных предприятий в России относился завод акционерного общества «Дукс», учрежденного в 1900 г. по инициативе Ю.А. Меллера. Еще в 1912 г. завод получил казенные заказы, что способствовало развитию производства и переходу к систематическому выпуску самолетов, в основном зарубежных моделей. Хотя в 1914 г. на предприятии было занято около 500 рабочих, производительность была невелика (10-12 аппаратов в месяц). Причиной этого были малые размеры производственных помещений, их временный характер (легкие сараи), отсутствие необходимого оборудования, материалов, недостаток квалифицированных кадров. В годы Первой мировой войны «Дукс» из небольшого предприятия превратился в один из крупнейших российских авиазаводов и оставался им на протяжении десятилетий. Основой расширения предприятия стали щедро оплачиваемые военные заказы. Еще в начале войны началось утепление временных помещений, строительство новых деревообделочного, столярного, трубоволочильного и сборочного цехов. Впоследствии расширились и частично перестроились инструментальный, механический, литейный и медницкий цеха; на Ходынском аэродроме были сооружены ангары. Как отмечала авиационная комиссия Особого совещания по обороне, завод «Дукс» отличался исправностью выполнения заказов и даже перевыполнял поставки, не получая специальных субсидий [Там же. Ф. 369. Оп. 8. Д. 75. Л. 48-50.].</w:t>
      </w:r>
    </w:p>
    <w:p w14:paraId="6CB2041B" w14:textId="77777777" w:rsidR="00DA7D6F" w:rsidRPr="00DE096C" w:rsidRDefault="00DA7D6F" w:rsidP="00D45A46">
      <w:pPr>
        <w:jc w:val="both"/>
        <w:rPr>
          <w:bCs/>
          <w:color w:val="002060"/>
          <w:sz w:val="16"/>
          <w:szCs w:val="16"/>
        </w:rPr>
      </w:pPr>
      <w:r w:rsidRPr="00DE096C">
        <w:rPr>
          <w:bCs/>
          <w:color w:val="002060"/>
          <w:sz w:val="16"/>
          <w:szCs w:val="16"/>
        </w:rPr>
        <w:t>Контракты, заключенные заводом в 1916 г., потребовали его дальнейшего расширения. К концу года на предприятии было занято уже свыше 2500 рабочих, в том числе 2150 номерных; выпускалось по 100 аппаратов в месяц. Правление Общества «Дукс» наметило специальную программу развития завода. При содействии Особого совещания по обороне были приобретены земельные участки за 145 тыс. руб., на которых была начата постройка двух производственных корпусов (3-этажного и 2-этажного), нового склада аэропланов, теплого ангара, котельного здания и деревообделочной мастерской, проводилось дополнительное оборудование механической мастерской. Большинство построек к декабрю 1916 г. были близки к завершению. На основании ходатайства правления «Дукса», поддержанного авиационной комиссией, Особое совещание решением от 28 января 1917 г. выдало заводу ссуду в 550 тыс. руб. из расчета 5 % годовых (все планируемые затраты по расширению предприятия исчислялись в 1063,1 тыс. руб.) [Там же. Д. 43. Л. 4; Там же. Д. 75. Л. 96об.]. В договорах о новых заказах прямо указывалось: «Акционерное общество “Дукс” Ю.А. Меллер обязуется расширить существующий в городе Москве аэроплановый завод и увеличить его оборудование к 1-му июня 1917 г. до размеров, достаточных для выпуска аэропланов в срок» [Там же. Ф. 493. Оп. 4. Д. 295. Л. 22.]. В течение 1917 г. завод «Дукс» по заключенным контрактам получил аванс свыше 1,3 млн. руб. и беспроцентную ссуду в 2758 тыс. руб. На предприятии в это время было занято около 3 тыс. рабочих; осуществлялось производство велосипедов, мотоциклов, дирижаблей, самолетов, аэросаней, дрезин. Впоследствии это было одно из ведущих авиационных предприятий СССР («Знамя труда»).</w:t>
      </w:r>
    </w:p>
    <w:p w14:paraId="0454638B" w14:textId="77777777" w:rsidR="00DA7D6F" w:rsidRPr="00DE096C" w:rsidRDefault="00DA7D6F" w:rsidP="00D45A46">
      <w:pPr>
        <w:jc w:val="both"/>
        <w:rPr>
          <w:bCs/>
          <w:color w:val="002060"/>
          <w:sz w:val="16"/>
          <w:szCs w:val="16"/>
        </w:rPr>
      </w:pPr>
      <w:r w:rsidRPr="00DE096C">
        <w:rPr>
          <w:bCs/>
          <w:color w:val="002060"/>
          <w:sz w:val="16"/>
          <w:szCs w:val="16"/>
        </w:rPr>
        <w:t>К расширению производства, в том числе и через новое строительство, стремились и другие российские самолетостроительные заводы. Известный своими достижениями в области гидроавиации Петроградский завод Товарищества С.С. Щетинина на основании решения Особого совещания по обороне (ноябрь 1915 г.) начинает строительство большого авиационного предприятия в Ярославле. На его сооружение и оборудование казной были выделены ссуда в 338,7 тыс. руб. и безвозвратное пособие - около 300 тыс. руб. К концу 1916 г. было выстроено два больших корпуса. Хотя новое предприятие в 1917 г. получило заказ военного ведомства на поставку 180 «Спадов», его выполнение не началось, так как не прибыло оборудование, заказанное в США [Там же. Ф. 493. Оп. 4. Д. 51. Л. 3; Там же. Оп. 9. Д. 41. Л. 14об., 16об.].</w:t>
      </w:r>
    </w:p>
    <w:p w14:paraId="347B75FB" w14:textId="77777777" w:rsidR="00DA7D6F" w:rsidRPr="00DE096C" w:rsidRDefault="00DA7D6F" w:rsidP="00D45A46">
      <w:pPr>
        <w:jc w:val="both"/>
        <w:rPr>
          <w:bCs/>
          <w:color w:val="002060"/>
          <w:sz w:val="16"/>
          <w:szCs w:val="16"/>
        </w:rPr>
      </w:pPr>
      <w:r w:rsidRPr="00DE096C">
        <w:rPr>
          <w:bCs/>
          <w:color w:val="002060"/>
          <w:sz w:val="16"/>
          <w:szCs w:val="16"/>
        </w:rPr>
        <w:t>Ведущим в группе южно-российских предприятий был авиационный завод банкира А.А. Анатра в Одессе. В годы войны на заводе были сделаны новые постройки, установлено дополнительно 200 станков. Одесский завод целиком работал на фронт. Расширение предприятия происходило в соответствии с казенными заказами и при материальной поддержке со стороны военного ведомства. С целью получения более значительных новых заказов А.А. Анатра осуществил постройку нового завода в Симферополе с аэропланным и моторным отделениями. Сооружение предприятия началось в феврале 1916 г. В выстроенных механическом, деревообделочном и сборочном цехах было установлено 150 станков. В 1917 г. самолетостроительное отделение было пущено в ход. На предприятии было занято около тысячи рабочих, однако недостаточность оборудования не позволила выйти на проектную производительность [Там же. Ф. 493. Оп. 9. Л. 89; Там же. Д. 56. Л. 200.].</w:t>
      </w:r>
    </w:p>
    <w:p w14:paraId="7F69F7A5" w14:textId="77777777" w:rsidR="00DA7D6F" w:rsidRPr="00DE096C" w:rsidRDefault="00DA7D6F" w:rsidP="00D45A46">
      <w:pPr>
        <w:jc w:val="both"/>
        <w:rPr>
          <w:bCs/>
          <w:color w:val="002060"/>
          <w:sz w:val="16"/>
          <w:szCs w:val="16"/>
        </w:rPr>
      </w:pPr>
      <w:r w:rsidRPr="00DE096C">
        <w:rPr>
          <w:bCs/>
          <w:color w:val="002060"/>
          <w:sz w:val="16"/>
          <w:szCs w:val="16"/>
        </w:rPr>
        <w:t>Благодаря регулярному получению правительственных заказов на изготовление учебных аппаратов, сопровождавшихся, как правило, выдачей 30- процентного аванса, в заводское предприятие превратилась авиационная мастерская В.В. Слюсаренко. В 1916 г. было учреждено акционерное общество Петроградского аэропланостроительного завода В.В. Слюсаренко, численность занятых рабочих на котором составляла около 300 человек. Была построена новая механическая мастерская, но оборудование предприятия оставалось незначительным [Там же. Оп. 4. Д. 84. Л. 1-8; Там же. Оп. 9. Д. 56. Л. 200.].</w:t>
      </w:r>
    </w:p>
    <w:p w14:paraId="1F4E7080" w14:textId="77777777" w:rsidR="00DA7D6F" w:rsidRPr="00DE096C" w:rsidRDefault="00DA7D6F" w:rsidP="00D45A46">
      <w:pPr>
        <w:jc w:val="both"/>
        <w:rPr>
          <w:bCs/>
          <w:color w:val="002060"/>
          <w:sz w:val="16"/>
          <w:szCs w:val="16"/>
        </w:rPr>
      </w:pPr>
      <w:r w:rsidRPr="00DE096C">
        <w:rPr>
          <w:bCs/>
          <w:color w:val="002060"/>
          <w:sz w:val="16"/>
          <w:szCs w:val="16"/>
        </w:rPr>
        <w:t>В годы войны открылся ряд новых самолетостроительных предприятий, получавших заказы на изготовление аппаратов: московские мастерские летчика-спортсмена, проектировщика, итальянца Ф. Моска, А.А. Пороховщикова, торгового дома Безобразова, технической конторы «И.И. Стеглау», товарищества Липецких аэропланостроительных мастерских [РГВИА. Ф. 493. Оп. 9. Д. 56. Л. 200; Там же. Ф. 369. Оп. 8. Д. 74. Л. 18; Там же. Ф. 493. Оп. 4. Д. 384; Там же. Д. 56. Л. 200; Там же. Ф. 369. Оп. 8. Д. 74. Л. 18.] (11863).</w:t>
      </w:r>
    </w:p>
    <w:p w14:paraId="1F3EA635" w14:textId="77777777" w:rsidR="00DA7D6F" w:rsidRPr="00DE096C" w:rsidRDefault="00DA7D6F" w:rsidP="00D45A46">
      <w:pPr>
        <w:jc w:val="both"/>
        <w:rPr>
          <w:bCs/>
          <w:color w:val="002060"/>
          <w:sz w:val="16"/>
          <w:szCs w:val="16"/>
        </w:rPr>
      </w:pPr>
    </w:p>
    <w:p w14:paraId="417B1293" w14:textId="77777777" w:rsidR="00DA7D6F" w:rsidRPr="00DE096C" w:rsidRDefault="00DA7D6F" w:rsidP="00D45A46">
      <w:pPr>
        <w:jc w:val="both"/>
        <w:rPr>
          <w:bCs/>
          <w:color w:val="002060"/>
          <w:sz w:val="16"/>
          <w:szCs w:val="16"/>
        </w:rPr>
      </w:pPr>
      <w:r w:rsidRPr="00DE096C">
        <w:rPr>
          <w:bCs/>
          <w:color w:val="002060"/>
          <w:sz w:val="16"/>
          <w:szCs w:val="16"/>
        </w:rPr>
        <w:t>К концу июля 1914 г к началу Первой мировой войны создать вооруженный и бронирован</w:t>
      </w:r>
      <w:r w:rsidRPr="00DE096C">
        <w:rPr>
          <w:bCs/>
          <w:color w:val="002060"/>
          <w:sz w:val="16"/>
          <w:szCs w:val="16"/>
        </w:rPr>
        <w:softHyphen/>
        <w:t>ный самолёт не удалось. В этом нет вины ни Шишкевича, ни завода «Дукс», просто 100-сильный двигатель еще не мог поднять такой груз, да еще обеспечить самолёту требуемую маневренность.</w:t>
      </w:r>
    </w:p>
    <w:p w14:paraId="29846AA5" w14:textId="77777777" w:rsidR="00DA7D6F" w:rsidRPr="00DE096C" w:rsidRDefault="00DA7D6F" w:rsidP="00D45A46">
      <w:pPr>
        <w:jc w:val="both"/>
        <w:rPr>
          <w:bCs/>
          <w:color w:val="002060"/>
          <w:sz w:val="16"/>
          <w:szCs w:val="16"/>
        </w:rPr>
      </w:pPr>
      <w:r w:rsidRPr="00DE096C">
        <w:rPr>
          <w:bCs/>
          <w:color w:val="002060"/>
          <w:sz w:val="16"/>
          <w:szCs w:val="16"/>
        </w:rPr>
        <w:t>Однако впоследствии и «это лыко» поставили «в строку»... Недавно появилось мнение, что «желаемый результат по выпуску необходимого числа самолётов с вышеприведенны</w:t>
      </w:r>
      <w:r w:rsidRPr="00DE096C">
        <w:rPr>
          <w:bCs/>
          <w:color w:val="002060"/>
          <w:sz w:val="16"/>
          <w:szCs w:val="16"/>
        </w:rPr>
        <w:softHyphen/>
        <w:t>ми характеристиками в 1913 г. не был получен, так как заводы не выполнили договоры по срокам поставки авиатехники. Например, летом 1913 г. завод «Дукс» задержал выпуск 24 бронированных аппаратов, а впо</w:t>
      </w:r>
      <w:r w:rsidRPr="00DE096C">
        <w:rPr>
          <w:bCs/>
          <w:color w:val="002060"/>
          <w:sz w:val="16"/>
          <w:szCs w:val="16"/>
        </w:rPr>
        <w:softHyphen/>
        <w:t>следствии отказался от установки на них брони. Игнорировались также требования о монтаже на часть выпу</w:t>
      </w:r>
      <w:r w:rsidRPr="00DE096C">
        <w:rPr>
          <w:bCs/>
          <w:color w:val="002060"/>
          <w:sz w:val="16"/>
          <w:szCs w:val="16"/>
        </w:rPr>
        <w:softHyphen/>
        <w:t>скаемых самолётов приспособлений для размещения радиотелеграфа. Все это привело к тому, что в вопро</w:t>
      </w:r>
      <w:r w:rsidRPr="00DE096C">
        <w:rPr>
          <w:bCs/>
          <w:color w:val="002060"/>
          <w:sz w:val="16"/>
          <w:szCs w:val="16"/>
        </w:rPr>
        <w:softHyphen/>
        <w:t>се создания авиации «активного дей</w:t>
      </w:r>
      <w:r w:rsidRPr="00DE096C">
        <w:rPr>
          <w:bCs/>
          <w:color w:val="002060"/>
          <w:sz w:val="16"/>
          <w:szCs w:val="16"/>
        </w:rPr>
        <w:softHyphen/>
        <w:t>ствия» Воздухоплавательная часть в 1913 г. вынужденно ограничилась только подготовительными работами, а именно:</w:t>
      </w:r>
    </w:p>
    <w:p w14:paraId="57FBFC3B" w14:textId="77777777" w:rsidR="00DA7D6F" w:rsidRPr="00DE096C" w:rsidRDefault="00DA7D6F" w:rsidP="00D45A46">
      <w:pPr>
        <w:jc w:val="both"/>
        <w:rPr>
          <w:bCs/>
          <w:color w:val="002060"/>
          <w:sz w:val="16"/>
          <w:szCs w:val="16"/>
        </w:rPr>
      </w:pPr>
      <w:r w:rsidRPr="00DE096C">
        <w:rPr>
          <w:bCs/>
          <w:color w:val="002060"/>
          <w:sz w:val="16"/>
          <w:szCs w:val="16"/>
        </w:rPr>
        <w:lastRenderedPageBreak/>
        <w:t>1) опытными стрельбами из пулемёта «Максим», установленного на «Фармане-ХУ» и опытами по бомбометанию с этого самолёта;</w:t>
      </w:r>
    </w:p>
    <w:p w14:paraId="7908376D" w14:textId="77777777" w:rsidR="00DA7D6F" w:rsidRPr="00DE096C" w:rsidRDefault="00DA7D6F" w:rsidP="00D45A46">
      <w:pPr>
        <w:jc w:val="both"/>
        <w:rPr>
          <w:bCs/>
          <w:color w:val="002060"/>
          <w:sz w:val="16"/>
          <w:szCs w:val="16"/>
        </w:rPr>
      </w:pPr>
      <w:r w:rsidRPr="00DE096C">
        <w:rPr>
          <w:bCs/>
          <w:color w:val="002060"/>
          <w:sz w:val="16"/>
          <w:szCs w:val="16"/>
        </w:rPr>
        <w:t>2) испытаниями радиоприборов, прицелов и фотоаппаратов;</w:t>
      </w:r>
    </w:p>
    <w:p w14:paraId="4B434230" w14:textId="77777777" w:rsidR="00DA7D6F" w:rsidRPr="00DE096C" w:rsidRDefault="00DA7D6F" w:rsidP="00D45A46">
      <w:pPr>
        <w:jc w:val="both"/>
        <w:rPr>
          <w:bCs/>
          <w:color w:val="002060"/>
          <w:sz w:val="16"/>
          <w:szCs w:val="16"/>
        </w:rPr>
      </w:pPr>
      <w:r w:rsidRPr="00DE096C">
        <w:rPr>
          <w:bCs/>
          <w:color w:val="002060"/>
          <w:sz w:val="16"/>
          <w:szCs w:val="16"/>
        </w:rPr>
        <w:t>3) испытаниями брони для установки на 24 «боевых аэроплана»;</w:t>
      </w:r>
    </w:p>
    <w:p w14:paraId="6E4F135C" w14:textId="77777777" w:rsidR="00DA7D6F" w:rsidRPr="00DE096C" w:rsidRDefault="00DA7D6F" w:rsidP="00D45A46">
      <w:pPr>
        <w:jc w:val="both"/>
        <w:rPr>
          <w:bCs/>
          <w:color w:val="002060"/>
          <w:sz w:val="16"/>
          <w:szCs w:val="16"/>
        </w:rPr>
      </w:pPr>
      <w:r w:rsidRPr="00DE096C">
        <w:rPr>
          <w:bCs/>
          <w:color w:val="002060"/>
          <w:sz w:val="16"/>
          <w:szCs w:val="16"/>
        </w:rPr>
        <w:t>4) высылкой в авиачасти для вооружения экипажей «Маузеров»;</w:t>
      </w:r>
    </w:p>
    <w:p w14:paraId="6AA6AE26" w14:textId="77777777" w:rsidR="00DA7D6F" w:rsidRPr="00DE096C" w:rsidRDefault="00DA7D6F" w:rsidP="00D45A46">
      <w:pPr>
        <w:jc w:val="both"/>
        <w:rPr>
          <w:bCs/>
          <w:color w:val="002060"/>
          <w:sz w:val="16"/>
          <w:szCs w:val="16"/>
        </w:rPr>
      </w:pPr>
      <w:r w:rsidRPr="00DE096C">
        <w:rPr>
          <w:bCs/>
          <w:color w:val="002060"/>
          <w:sz w:val="16"/>
          <w:szCs w:val="16"/>
        </w:rPr>
        <w:t>5) заказом 6 легких пулемётов для установки на «Фарманы-ХУ»» (Елисеев С.П. Организационное строительство военной авиации России... С. 28.)7.</w:t>
      </w:r>
    </w:p>
    <w:p w14:paraId="1773E038" w14:textId="77777777" w:rsidR="00DA7D6F" w:rsidRPr="00DE096C" w:rsidRDefault="00DA7D6F" w:rsidP="00D45A46">
      <w:pPr>
        <w:jc w:val="both"/>
        <w:rPr>
          <w:bCs/>
          <w:color w:val="002060"/>
          <w:sz w:val="16"/>
          <w:szCs w:val="16"/>
        </w:rPr>
      </w:pPr>
      <w:r w:rsidRPr="00DE096C">
        <w:rPr>
          <w:bCs/>
          <w:color w:val="002060"/>
          <w:sz w:val="16"/>
          <w:szCs w:val="16"/>
        </w:rPr>
        <w:t>Увы, на этом фактически закончилась предвоенная напряжённая работа по созданию вооруженных и бронированных боевых самолётов, а указание М.И. Шишкевича по пово</w:t>
      </w:r>
      <w:r w:rsidRPr="00DE096C">
        <w:rPr>
          <w:bCs/>
          <w:color w:val="002060"/>
          <w:sz w:val="16"/>
          <w:szCs w:val="16"/>
        </w:rPr>
        <w:softHyphen/>
        <w:t>ду толщины брони в 2,7 мм стало последним его реальным вкладом в области развития боевой авиации.</w:t>
      </w:r>
    </w:p>
    <w:p w14:paraId="536D73D9" w14:textId="77777777" w:rsidR="00DA7D6F" w:rsidRPr="00DE096C" w:rsidRDefault="00DA7D6F" w:rsidP="00D45A46">
      <w:pPr>
        <w:jc w:val="both"/>
        <w:rPr>
          <w:bCs/>
          <w:color w:val="002060"/>
          <w:sz w:val="16"/>
          <w:szCs w:val="16"/>
        </w:rPr>
      </w:pPr>
      <w:r w:rsidRPr="00DE096C">
        <w:rPr>
          <w:bCs/>
          <w:color w:val="002060"/>
          <w:sz w:val="16"/>
          <w:szCs w:val="16"/>
        </w:rPr>
        <w:t>25 декабря 1913 г. генерал-майор М.И. Шишкевич получил назначение на должность генерал-квартирмейстера штаба Одесского Военного округа и в дальнейшем развитием военной авиации не занимался. Печальным итогом его деятельности стал Циркуляр Глав</w:t>
      </w:r>
      <w:r w:rsidRPr="00DE096C">
        <w:rPr>
          <w:bCs/>
          <w:color w:val="002060"/>
          <w:sz w:val="16"/>
          <w:szCs w:val="16"/>
        </w:rPr>
        <w:softHyphen/>
        <w:t>ного штаба от 23 января 1914г. о расформировании Воздухоплавательной части ГУ ГШ.</w:t>
      </w:r>
    </w:p>
    <w:p w14:paraId="29022BD1" w14:textId="77777777" w:rsidR="00DA7D6F" w:rsidRPr="00DE096C" w:rsidRDefault="00DA7D6F" w:rsidP="00D45A46">
      <w:pPr>
        <w:jc w:val="both"/>
        <w:rPr>
          <w:bCs/>
          <w:color w:val="002060"/>
          <w:sz w:val="16"/>
          <w:szCs w:val="16"/>
        </w:rPr>
      </w:pPr>
      <w:r w:rsidRPr="00DE096C">
        <w:rPr>
          <w:bCs/>
          <w:color w:val="002060"/>
          <w:sz w:val="16"/>
          <w:szCs w:val="16"/>
        </w:rPr>
        <w:t>Истинной причиной «отлучения« от авиации «коснувшегося неба» М.И. Шишкевича стал приказ № 666 по военному ведомству от 20 декабря 1913 г. ГИУ преобразовывалось в Главное военно-техническое управление (ГВТУ), в нем создавалось Воздухоплавательное отделение с хозяйственно-заготовительными и снабженческими функциями по отноше</w:t>
      </w:r>
      <w:r w:rsidRPr="00DE096C">
        <w:rPr>
          <w:bCs/>
          <w:color w:val="002060"/>
          <w:sz w:val="16"/>
          <w:szCs w:val="16"/>
        </w:rPr>
        <w:softHyphen/>
        <w:t>нию к авиационным и воздухоплавательным частям. Кроме того, в ГВТУ образовали Тех</w:t>
      </w:r>
      <w:r w:rsidRPr="00DE096C">
        <w:rPr>
          <w:bCs/>
          <w:color w:val="002060"/>
          <w:sz w:val="16"/>
          <w:szCs w:val="16"/>
        </w:rPr>
        <w:softHyphen/>
        <w:t>нический комитет, ведающий в числе других вопросов также и вопросом развития авиа</w:t>
      </w:r>
      <w:r w:rsidRPr="00DE096C">
        <w:rPr>
          <w:bCs/>
          <w:color w:val="002060"/>
          <w:sz w:val="16"/>
          <w:szCs w:val="16"/>
        </w:rPr>
        <w:softHyphen/>
        <w:t>ционной техники. Для ведения «воздухоплавательных дел» в составе Технического коми</w:t>
      </w:r>
      <w:r w:rsidRPr="00DE096C">
        <w:rPr>
          <w:bCs/>
          <w:color w:val="002060"/>
          <w:sz w:val="16"/>
          <w:szCs w:val="16"/>
        </w:rPr>
        <w:softHyphen/>
        <w:t>тета, а также в «отделении по личному составу», также входившем в ГВТУ, открывались соответствующие делопроизводства. Одновременно в ГУ ГШ формировалось отделение «по службе технических для связи войск» с административными правами по организации авиационных частей. Положительным стало лишь то, что офицеры, работавшие ранее в Воздухоплавательной части, продолжили работу в вышеназванных отделениях.</w:t>
      </w:r>
    </w:p>
    <w:p w14:paraId="5357BE8D" w14:textId="77777777" w:rsidR="00DA7D6F" w:rsidRPr="00DE096C" w:rsidRDefault="00DA7D6F" w:rsidP="00D45A46">
      <w:pPr>
        <w:jc w:val="both"/>
        <w:rPr>
          <w:bCs/>
          <w:color w:val="002060"/>
          <w:sz w:val="16"/>
          <w:szCs w:val="16"/>
        </w:rPr>
      </w:pPr>
      <w:r w:rsidRPr="00DE096C">
        <w:rPr>
          <w:bCs/>
          <w:color w:val="002060"/>
          <w:sz w:val="16"/>
          <w:szCs w:val="16"/>
        </w:rPr>
        <w:t>Такая реорганизация назревала еще с середины 1913 г. Воздухоплавательная часть ГУГШ стремилась не только сформировать авиаотряды, но создать все условия для их деятельности, выявить боевые возможности авиации путем постановки перед ней пре</w:t>
      </w:r>
      <w:r w:rsidRPr="00DE096C">
        <w:rPr>
          <w:bCs/>
          <w:color w:val="002060"/>
          <w:sz w:val="16"/>
          <w:szCs w:val="16"/>
        </w:rPr>
        <w:softHyphen/>
        <w:t>имущественно активных задач. Вместе с тем ее небольшой штат не соответствовал объему работы, выполняемому в связи с быстрым развитием авиации. Весной 1913 г. предполагалось расширить состав Воздухоплавательной части, переформировав ее в Воздухоплавательный отдел. Его начальник должен был взять на себя инспекторские функции в отношении авиационных и воздухоплавательных частей, так как их инспек</w:t>
      </w:r>
      <w:r w:rsidRPr="00DE096C">
        <w:rPr>
          <w:bCs/>
          <w:color w:val="002060"/>
          <w:sz w:val="16"/>
          <w:szCs w:val="16"/>
        </w:rPr>
        <w:softHyphen/>
        <w:t>тирование, при непосредственном подчинении начальникам штабов округов и крепо</w:t>
      </w:r>
      <w:r w:rsidRPr="00DE096C">
        <w:rPr>
          <w:bCs/>
          <w:color w:val="002060"/>
          <w:sz w:val="16"/>
          <w:szCs w:val="16"/>
        </w:rPr>
        <w:softHyphen/>
        <w:t>стей, по-прежнему осуществляли инспекторы инженерной части округа, подчиненные в техническом отношении ГИУ. Это нарушало стройность управления авиачастями.</w:t>
      </w:r>
    </w:p>
    <w:p w14:paraId="683607F4" w14:textId="77777777" w:rsidR="00DA7D6F" w:rsidRPr="00DE096C" w:rsidRDefault="00DA7D6F" w:rsidP="00D45A46">
      <w:pPr>
        <w:jc w:val="both"/>
        <w:rPr>
          <w:bCs/>
          <w:color w:val="002060"/>
          <w:sz w:val="16"/>
          <w:szCs w:val="16"/>
        </w:rPr>
      </w:pPr>
      <w:r w:rsidRPr="00DE096C">
        <w:rPr>
          <w:bCs/>
          <w:color w:val="002060"/>
          <w:sz w:val="16"/>
          <w:szCs w:val="16"/>
        </w:rPr>
        <w:t>В настоящее время утверждают, что постановка вопроса об усилении центрального ап</w:t>
      </w:r>
      <w:r w:rsidRPr="00DE096C">
        <w:rPr>
          <w:bCs/>
          <w:color w:val="002060"/>
          <w:sz w:val="16"/>
          <w:szCs w:val="16"/>
        </w:rPr>
        <w:softHyphen/>
        <w:t>парата управления авиацией была «своевременной», так как в соответствии с «Малой программой развития технических войск», ставшей законом 10 июля 1913 г., предпола</w:t>
      </w:r>
      <w:r w:rsidRPr="00DE096C">
        <w:rPr>
          <w:bCs/>
          <w:color w:val="002060"/>
          <w:sz w:val="16"/>
          <w:szCs w:val="16"/>
        </w:rPr>
        <w:softHyphen/>
        <w:t>галось увеличение числа формируе</w:t>
      </w:r>
      <w:r w:rsidRPr="00DE096C">
        <w:rPr>
          <w:bCs/>
          <w:color w:val="002060"/>
          <w:sz w:val="16"/>
          <w:szCs w:val="16"/>
        </w:rPr>
        <w:softHyphen/>
        <w:t>мых авиаотрядов при увеличении и числа авиационных рот. К тому же на развитие авиации в это время от</w:t>
      </w:r>
      <w:r w:rsidRPr="00DE096C">
        <w:rPr>
          <w:bCs/>
          <w:color w:val="002060"/>
          <w:sz w:val="16"/>
          <w:szCs w:val="16"/>
        </w:rPr>
        <w:softHyphen/>
        <w:t>пустили более 7% из 125 млн. руб. дополнительных ассигнований, вы</w:t>
      </w:r>
      <w:r w:rsidRPr="00DE096C">
        <w:rPr>
          <w:bCs/>
          <w:color w:val="002060"/>
          <w:sz w:val="16"/>
          <w:szCs w:val="16"/>
        </w:rPr>
        <w:softHyphen/>
        <w:t>деленных Думой на оборону.</w:t>
      </w:r>
    </w:p>
    <w:p w14:paraId="7BDC0895" w14:textId="77777777" w:rsidR="00DA7D6F" w:rsidRPr="00DE096C" w:rsidRDefault="00DA7D6F" w:rsidP="00D45A46">
      <w:pPr>
        <w:jc w:val="both"/>
        <w:rPr>
          <w:bCs/>
          <w:color w:val="002060"/>
          <w:sz w:val="16"/>
          <w:szCs w:val="16"/>
        </w:rPr>
      </w:pPr>
      <w:r w:rsidRPr="00DE096C">
        <w:rPr>
          <w:bCs/>
          <w:color w:val="002060"/>
          <w:sz w:val="16"/>
          <w:szCs w:val="16"/>
        </w:rPr>
        <w:t>Однако в Военном министерстве готовилось другое решение. Суть его заключалась в разделении между ГУ ГШ и ГИУ функций по управлению техническими вой</w:t>
      </w:r>
      <w:r w:rsidRPr="00DE096C">
        <w:rPr>
          <w:bCs/>
          <w:color w:val="002060"/>
          <w:sz w:val="16"/>
          <w:szCs w:val="16"/>
        </w:rPr>
        <w:softHyphen/>
        <w:t>сками, в которые входила и авиация. Первое должно было сосредоточить в себе структур</w:t>
      </w:r>
      <w:r w:rsidRPr="00DE096C">
        <w:rPr>
          <w:bCs/>
          <w:color w:val="002060"/>
          <w:sz w:val="16"/>
          <w:szCs w:val="16"/>
        </w:rPr>
        <w:softHyphen/>
        <w:t>ные подразделения, призванные решать организационные вопросы, а второе, путем пере</w:t>
      </w:r>
      <w:r w:rsidRPr="00DE096C">
        <w:rPr>
          <w:bCs/>
          <w:color w:val="002060"/>
          <w:sz w:val="16"/>
          <w:szCs w:val="16"/>
        </w:rPr>
        <w:softHyphen/>
        <w:t>формирования в ГВТУ, должно было сосредоточиться на выполнении технических, загото</w:t>
      </w:r>
      <w:r w:rsidRPr="00DE096C">
        <w:rPr>
          <w:bCs/>
          <w:color w:val="002060"/>
          <w:sz w:val="16"/>
          <w:szCs w:val="16"/>
        </w:rPr>
        <w:softHyphen/>
        <w:t>вительных и снабженческих задач. В масштабе военного ведомства эта реорганизация, направленная на специализацию структур высшего военного управления, была «объективно необходима». Относительно же авиации, в силу своей технической природы и интенсив</w:t>
      </w:r>
      <w:r w:rsidRPr="00DE096C">
        <w:rPr>
          <w:bCs/>
          <w:color w:val="002060"/>
          <w:sz w:val="16"/>
          <w:szCs w:val="16"/>
        </w:rPr>
        <w:softHyphen/>
        <w:t>ного развития в значительной степени зависевшей от снабжения, напрашивался вывод, что она снова фактически передавалась в ведение инженерного ведомства (Елисеев С.П. Организационное строительство военной авиации России... С. 29-30.)8.</w:t>
      </w:r>
    </w:p>
    <w:p w14:paraId="43424061" w14:textId="77777777" w:rsidR="00DA7D6F" w:rsidRPr="00DE096C" w:rsidRDefault="00DA7D6F" w:rsidP="00D45A46">
      <w:pPr>
        <w:jc w:val="both"/>
        <w:rPr>
          <w:bCs/>
          <w:color w:val="002060"/>
          <w:sz w:val="16"/>
          <w:szCs w:val="16"/>
        </w:rPr>
      </w:pPr>
      <w:r w:rsidRPr="00DE096C">
        <w:rPr>
          <w:bCs/>
          <w:color w:val="002060"/>
          <w:sz w:val="16"/>
          <w:szCs w:val="16"/>
        </w:rPr>
        <w:t>Военное министерство, осуществляя такие преобразования ГУ ГШ и ГИУ, поставило авиационное дело в один ряд с автомобильными и железнодорожными частями, однако последние решали сугубо транспортные задачи, в то время как авиация к осени 1913 г. прочно утвердилась в качестве одного из средств разведки и связи, находящегося в распоряжении войсковых штабов. Кроме того, явно просматривалась тенденция пре</w:t>
      </w:r>
      <w:r w:rsidRPr="00DE096C">
        <w:rPr>
          <w:bCs/>
          <w:color w:val="002060"/>
          <w:sz w:val="16"/>
          <w:szCs w:val="16"/>
        </w:rPr>
        <w:softHyphen/>
        <w:t>вращения авиации в боевое средство. Все это требовало принятия адекватных мер со стороны российского военного ведомства.</w:t>
      </w:r>
    </w:p>
    <w:p w14:paraId="5FAC93A4" w14:textId="77777777" w:rsidR="00DA7D6F" w:rsidRPr="00DE096C" w:rsidRDefault="00DA7D6F" w:rsidP="00D45A46">
      <w:pPr>
        <w:jc w:val="both"/>
        <w:rPr>
          <w:bCs/>
          <w:color w:val="002060"/>
          <w:sz w:val="16"/>
          <w:szCs w:val="16"/>
        </w:rPr>
      </w:pPr>
      <w:r w:rsidRPr="00DE096C">
        <w:rPr>
          <w:bCs/>
          <w:color w:val="002060"/>
          <w:sz w:val="16"/>
          <w:szCs w:val="16"/>
        </w:rPr>
        <w:t>Некоторые должностные лица, осознавшие нависшую над поступательным развити</w:t>
      </w:r>
      <w:r w:rsidRPr="00DE096C">
        <w:rPr>
          <w:bCs/>
          <w:color w:val="002060"/>
          <w:sz w:val="16"/>
          <w:szCs w:val="16"/>
        </w:rPr>
        <w:softHyphen/>
        <w:t>ем авиации угрозу, выступили против планов Военного министерства. Так, начальник ГИУ инженер-генерал Александров написал Военному министру: «Воздухоплавательное дело в армии развивается сильно и будет развиваться грандиозно. Я сильно опасаюсь, что в намечаемых условиях с делом мы не справимся и скомпрометируем русское воз</w:t>
      </w:r>
      <w:r w:rsidRPr="00DE096C">
        <w:rPr>
          <w:bCs/>
          <w:color w:val="002060"/>
          <w:sz w:val="16"/>
          <w:szCs w:val="16"/>
        </w:rPr>
        <w:softHyphen/>
        <w:t>духоплавание в новом техническом управлении». Генерал Шишкевич свою точку зрения выразил еще более резко: «В настоящее время в Канцелярии Военного министерства возникла мысль о создании нового Главного управления технических войск, в котором воздухоплавание представлено одним лишь отделением, наравне с отделением, веда</w:t>
      </w:r>
      <w:r w:rsidRPr="00DE096C">
        <w:rPr>
          <w:bCs/>
          <w:color w:val="002060"/>
          <w:sz w:val="16"/>
          <w:szCs w:val="16"/>
        </w:rPr>
        <w:softHyphen/>
        <w:t>ющим снабжением войск лопатами... Мы делаем шаг назад, то есть вместо расшире</w:t>
      </w:r>
      <w:r w:rsidRPr="00DE096C">
        <w:rPr>
          <w:bCs/>
          <w:color w:val="002060"/>
          <w:sz w:val="16"/>
          <w:szCs w:val="16"/>
        </w:rPr>
        <w:softHyphen/>
        <w:t>ния воздухоплавательной части сообразно росту дела, ее раздробляют на два различ</w:t>
      </w:r>
      <w:r w:rsidRPr="00DE096C">
        <w:rPr>
          <w:bCs/>
          <w:color w:val="002060"/>
          <w:sz w:val="16"/>
          <w:szCs w:val="16"/>
        </w:rPr>
        <w:softHyphen/>
        <w:t>ных органа и включают эти органы в различные Главные управления».</w:t>
      </w:r>
    </w:p>
    <w:p w14:paraId="7AA8E293" w14:textId="77777777" w:rsidR="00DA7D6F" w:rsidRPr="00DE096C" w:rsidRDefault="00DA7D6F" w:rsidP="00D45A46">
      <w:pPr>
        <w:jc w:val="both"/>
        <w:rPr>
          <w:bCs/>
          <w:color w:val="002060"/>
          <w:sz w:val="16"/>
          <w:szCs w:val="16"/>
        </w:rPr>
      </w:pPr>
      <w:r w:rsidRPr="00DE096C">
        <w:rPr>
          <w:bCs/>
          <w:color w:val="002060"/>
          <w:sz w:val="16"/>
          <w:szCs w:val="16"/>
        </w:rPr>
        <w:t>Начальник технического отделения Воздухоплавательной части подполковник Немчен-ко обратил внимание военного руководства, что на развитие авиации и воздухоплавания тратятся миллионы рублей, воз</w:t>
      </w:r>
      <w:r w:rsidRPr="00DE096C">
        <w:rPr>
          <w:bCs/>
          <w:color w:val="002060"/>
          <w:sz w:val="16"/>
          <w:szCs w:val="16"/>
        </w:rPr>
        <w:softHyphen/>
        <w:t>никает большое число «разных раз</w:t>
      </w:r>
      <w:r w:rsidRPr="00DE096C">
        <w:rPr>
          <w:bCs/>
          <w:color w:val="002060"/>
          <w:sz w:val="16"/>
          <w:szCs w:val="16"/>
        </w:rPr>
        <w:softHyphen/>
        <w:t>нородных частей и учреждений», уп</w:t>
      </w:r>
      <w:r w:rsidRPr="00DE096C">
        <w:rPr>
          <w:bCs/>
          <w:color w:val="002060"/>
          <w:sz w:val="16"/>
          <w:szCs w:val="16"/>
        </w:rPr>
        <w:softHyphen/>
        <w:t>равление которыми требует усиле</w:t>
      </w:r>
      <w:r w:rsidRPr="00DE096C">
        <w:rPr>
          <w:bCs/>
          <w:color w:val="002060"/>
          <w:sz w:val="16"/>
          <w:szCs w:val="16"/>
        </w:rPr>
        <w:softHyphen/>
        <w:t>ния центрального органа, «поэтому, казалось бы, воздухоплавательное дело должно быть выделено если не в отдельное Главное управление, то хотя бы в самостоятельный отдел во главе с начальником отдела, подчи</w:t>
      </w:r>
      <w:r w:rsidRPr="00DE096C">
        <w:rPr>
          <w:bCs/>
          <w:color w:val="002060"/>
          <w:sz w:val="16"/>
          <w:szCs w:val="16"/>
        </w:rPr>
        <w:softHyphen/>
        <w:t>няющимся непосредственно началь</w:t>
      </w:r>
      <w:r w:rsidRPr="00DE096C">
        <w:rPr>
          <w:bCs/>
          <w:color w:val="002060"/>
          <w:sz w:val="16"/>
          <w:szCs w:val="16"/>
        </w:rPr>
        <w:softHyphen/>
        <w:t>нику Главного управления и имею</w:t>
      </w:r>
      <w:r w:rsidRPr="00DE096C">
        <w:rPr>
          <w:bCs/>
          <w:color w:val="002060"/>
          <w:sz w:val="16"/>
          <w:szCs w:val="16"/>
        </w:rPr>
        <w:softHyphen/>
        <w:t>щим значительные права в хозяйст</w:t>
      </w:r>
      <w:r w:rsidRPr="00DE096C">
        <w:rPr>
          <w:bCs/>
          <w:color w:val="002060"/>
          <w:sz w:val="16"/>
          <w:szCs w:val="16"/>
        </w:rPr>
        <w:softHyphen/>
        <w:t>венном отношении».</w:t>
      </w:r>
    </w:p>
    <w:p w14:paraId="3C09261A" w14:textId="77777777" w:rsidR="00DA7D6F" w:rsidRPr="00DE096C" w:rsidRDefault="00DA7D6F" w:rsidP="00D45A46">
      <w:pPr>
        <w:jc w:val="both"/>
        <w:rPr>
          <w:bCs/>
          <w:color w:val="002060"/>
          <w:sz w:val="16"/>
          <w:szCs w:val="16"/>
        </w:rPr>
      </w:pPr>
      <w:r w:rsidRPr="00DE096C">
        <w:rPr>
          <w:bCs/>
          <w:color w:val="002060"/>
          <w:sz w:val="16"/>
          <w:szCs w:val="16"/>
        </w:rPr>
        <w:t>Предложение Немченко реализова</w:t>
      </w:r>
      <w:r w:rsidRPr="00DE096C">
        <w:rPr>
          <w:bCs/>
          <w:color w:val="002060"/>
          <w:sz w:val="16"/>
          <w:szCs w:val="16"/>
        </w:rPr>
        <w:softHyphen/>
        <w:t>ли лишь спустя 2,5 года, уже во вре</w:t>
      </w:r>
      <w:r w:rsidRPr="00DE096C">
        <w:rPr>
          <w:bCs/>
          <w:color w:val="002060"/>
          <w:sz w:val="16"/>
          <w:szCs w:val="16"/>
        </w:rPr>
        <w:softHyphen/>
        <w:t>мя войны, когда создали Управление Военного воздушного флота (УВВФ)</w:t>
      </w:r>
    </w:p>
    <w:p w14:paraId="4607814C" w14:textId="77777777" w:rsidR="00DA7D6F" w:rsidRPr="00DE096C" w:rsidRDefault="00DA7D6F" w:rsidP="00D45A46">
      <w:pPr>
        <w:jc w:val="both"/>
        <w:rPr>
          <w:bCs/>
          <w:color w:val="002060"/>
          <w:sz w:val="16"/>
          <w:szCs w:val="16"/>
        </w:rPr>
      </w:pPr>
      <w:r w:rsidRPr="00DE096C">
        <w:rPr>
          <w:bCs/>
          <w:color w:val="002060"/>
          <w:sz w:val="16"/>
          <w:szCs w:val="16"/>
        </w:rPr>
        <w:t>— центральный орган авиации, основные функции которого заключались в снабжении авиации действующей армии авиационной техникой и оказании помощи отечественной авиапромышленности в увеличении количества и качества выпускаемой авиационной продукции.</w:t>
      </w:r>
    </w:p>
    <w:p w14:paraId="28F80FE3" w14:textId="77777777" w:rsidR="00DA7D6F" w:rsidRPr="00DE096C" w:rsidRDefault="00DA7D6F" w:rsidP="00D45A46">
      <w:pPr>
        <w:jc w:val="both"/>
        <w:rPr>
          <w:bCs/>
          <w:color w:val="002060"/>
          <w:sz w:val="16"/>
          <w:szCs w:val="16"/>
        </w:rPr>
      </w:pPr>
      <w:r w:rsidRPr="00DE096C">
        <w:rPr>
          <w:bCs/>
          <w:color w:val="002060"/>
          <w:sz w:val="16"/>
          <w:szCs w:val="16"/>
        </w:rPr>
        <w:t>Осенью 1913 г. вопрос о реорганизации ГУ ГШ и ГИУ отложили до конца года, и Воз</w:t>
      </w:r>
      <w:r w:rsidRPr="00DE096C">
        <w:rPr>
          <w:bCs/>
          <w:color w:val="002060"/>
          <w:sz w:val="16"/>
          <w:szCs w:val="16"/>
        </w:rPr>
        <w:softHyphen/>
        <w:t>духоплавательная часть продолжала свою деятельность по подготовке личного соста</w:t>
      </w:r>
      <w:r w:rsidRPr="00DE096C">
        <w:rPr>
          <w:bCs/>
          <w:color w:val="002060"/>
          <w:sz w:val="16"/>
          <w:szCs w:val="16"/>
        </w:rPr>
        <w:softHyphen/>
        <w:t>ва и заготовке авиационного имущества для намеченных к формированию авиачастей. В результате созидательной деятельности Воздухоплавательной части ГУ ГШ под руко</w:t>
      </w:r>
      <w:r w:rsidRPr="00DE096C">
        <w:rPr>
          <w:bCs/>
          <w:color w:val="002060"/>
          <w:sz w:val="16"/>
          <w:szCs w:val="16"/>
        </w:rPr>
        <w:softHyphen/>
        <w:t>водством М.И. Шишкевича к концу 1913 г. сложилась обновленная система управления русской военной авиацией.</w:t>
      </w:r>
    </w:p>
    <w:p w14:paraId="4F8631AF" w14:textId="77777777" w:rsidR="00DA7D6F" w:rsidRPr="00DE096C" w:rsidRDefault="00DA7D6F" w:rsidP="00D45A46">
      <w:pPr>
        <w:jc w:val="both"/>
        <w:rPr>
          <w:bCs/>
          <w:color w:val="002060"/>
          <w:sz w:val="16"/>
          <w:szCs w:val="16"/>
        </w:rPr>
      </w:pPr>
      <w:r w:rsidRPr="00DE096C">
        <w:rPr>
          <w:bCs/>
          <w:color w:val="002060"/>
          <w:sz w:val="16"/>
          <w:szCs w:val="16"/>
        </w:rPr>
        <w:t>Дальнейшее развитие авиации продолжало осуществляться согласно «Большой про</w:t>
      </w:r>
      <w:r w:rsidRPr="00DE096C">
        <w:rPr>
          <w:bCs/>
          <w:color w:val="002060"/>
          <w:sz w:val="16"/>
          <w:szCs w:val="16"/>
        </w:rPr>
        <w:softHyphen/>
        <w:t>грамме по усилению русской армии», одобренной Николаем II 22 октября 1913г., так как «Общий план организации воздухоплавания и авиации в армии» включили в нее в каче</w:t>
      </w:r>
      <w:r w:rsidRPr="00DE096C">
        <w:rPr>
          <w:bCs/>
          <w:color w:val="002060"/>
          <w:sz w:val="16"/>
          <w:szCs w:val="16"/>
        </w:rPr>
        <w:softHyphen/>
        <w:t>стве составной части. Незадолго до войны, 24 июня 1914 года, «Большую программу...» утвердила Дума, и она стала законом (Елисеев С.П. Организационное строительство военной авиации России... С. 30-31.)9.</w:t>
      </w:r>
    </w:p>
    <w:p w14:paraId="6A2CE595" w14:textId="77777777" w:rsidR="00DA7D6F" w:rsidRPr="00DE096C" w:rsidRDefault="00DA7D6F" w:rsidP="00D45A46">
      <w:pPr>
        <w:jc w:val="both"/>
        <w:rPr>
          <w:bCs/>
          <w:color w:val="002060"/>
          <w:sz w:val="16"/>
          <w:szCs w:val="16"/>
        </w:rPr>
      </w:pPr>
      <w:r w:rsidRPr="00DE096C">
        <w:rPr>
          <w:bCs/>
          <w:color w:val="002060"/>
          <w:sz w:val="16"/>
          <w:szCs w:val="16"/>
        </w:rPr>
        <w:t>Рассредоточение функций по управлению авиацией между высшими министерскими структурами создавало предпосылки к снижению темпов формирования авиаотрядов и другим неурядицам, начавшим проявляться сразу после выхода в свет циркуляра Глав</w:t>
      </w:r>
      <w:r w:rsidRPr="00DE096C">
        <w:rPr>
          <w:bCs/>
          <w:color w:val="002060"/>
          <w:sz w:val="16"/>
          <w:szCs w:val="16"/>
        </w:rPr>
        <w:softHyphen/>
        <w:t>ного штаба об упразднении Воздухоплавательной части ГУ ГШ. В составе ГВТУ, его на</w:t>
      </w:r>
      <w:r w:rsidRPr="00DE096C">
        <w:rPr>
          <w:bCs/>
          <w:color w:val="002060"/>
          <w:sz w:val="16"/>
          <w:szCs w:val="16"/>
        </w:rPr>
        <w:softHyphen/>
        <w:t>чальником стал генерал-лейтенант барон Е.Э. Ропп, организовали Технический отдел под управлением генерал-майора И.М. Болотова, который в полном соответствии с своей фамилией затянул военную авиацию в «болото».</w:t>
      </w:r>
    </w:p>
    <w:p w14:paraId="57706B41" w14:textId="77777777" w:rsidR="00DA7D6F" w:rsidRPr="00DE096C" w:rsidRDefault="00DA7D6F" w:rsidP="00D45A46">
      <w:pPr>
        <w:jc w:val="both"/>
        <w:rPr>
          <w:bCs/>
          <w:color w:val="002060"/>
          <w:sz w:val="16"/>
          <w:szCs w:val="16"/>
        </w:rPr>
      </w:pPr>
      <w:r w:rsidRPr="00DE096C">
        <w:rPr>
          <w:bCs/>
          <w:color w:val="002060"/>
          <w:sz w:val="16"/>
          <w:szCs w:val="16"/>
        </w:rPr>
        <w:t>Прежде всего, так и не решенным оставался вопрос о выборе типа самолёта для ка</w:t>
      </w:r>
      <w:r w:rsidRPr="00DE096C">
        <w:rPr>
          <w:bCs/>
          <w:color w:val="002060"/>
          <w:sz w:val="16"/>
          <w:szCs w:val="16"/>
        </w:rPr>
        <w:softHyphen/>
        <w:t>ждого из четырех видов авиаотрядов. В феврале 1914 г. в докладе «в Технический ко</w:t>
      </w:r>
      <w:r w:rsidRPr="00DE096C">
        <w:rPr>
          <w:bCs/>
          <w:color w:val="002060"/>
          <w:sz w:val="16"/>
          <w:szCs w:val="16"/>
        </w:rPr>
        <w:softHyphen/>
        <w:t>митет управления о типах самолётов, необходимых для военного воздушного флота, их оборудовании и вооружении» генерал Болотов отмечал, что для одно- и двухместных самолётов «полезны сравнительно легкие ружья, допускающие действовать по летатель</w:t>
      </w:r>
      <w:r w:rsidRPr="00DE096C">
        <w:rPr>
          <w:bCs/>
          <w:color w:val="002060"/>
          <w:sz w:val="16"/>
          <w:szCs w:val="16"/>
        </w:rPr>
        <w:softHyphen/>
        <w:t>ным аппаратам противника широко разлетающимся скопом пуль (картечи) с руки...» Во</w:t>
      </w:r>
      <w:r w:rsidRPr="00DE096C">
        <w:rPr>
          <w:bCs/>
          <w:color w:val="002060"/>
          <w:sz w:val="16"/>
          <w:szCs w:val="16"/>
        </w:rPr>
        <w:softHyphen/>
        <w:t>оружать новые авиационные «горе-стратеги» предлагали «только большие самолёты типа «Илья Муромец»». В отношении радиотелеграфа и других наработок, выполненных в свое время Воздухоплавательной частью, предлагалось следующее: «Ввиду неимения окончательного решения о броне, бомбах и телеграфе и принимая во внимание, что за</w:t>
      </w:r>
      <w:r w:rsidRPr="00DE096C">
        <w:rPr>
          <w:bCs/>
          <w:color w:val="002060"/>
          <w:sz w:val="16"/>
          <w:szCs w:val="16"/>
        </w:rPr>
        <w:softHyphen/>
        <w:t>казываемые аппараты служат свой срок в два года, при настоящем заказе не принимать во внимание этих потребностей, кроме съёмной брони, но не на всех аппаратах».</w:t>
      </w:r>
    </w:p>
    <w:p w14:paraId="0ECF8C8F" w14:textId="77777777" w:rsidR="00DA7D6F" w:rsidRPr="00DE096C" w:rsidRDefault="00DA7D6F" w:rsidP="00D45A46">
      <w:pPr>
        <w:jc w:val="both"/>
        <w:rPr>
          <w:bCs/>
          <w:color w:val="002060"/>
          <w:sz w:val="16"/>
          <w:szCs w:val="16"/>
        </w:rPr>
      </w:pPr>
      <w:r w:rsidRPr="00DE096C">
        <w:rPr>
          <w:bCs/>
          <w:color w:val="002060"/>
          <w:sz w:val="16"/>
          <w:szCs w:val="16"/>
        </w:rPr>
        <w:t>Предложения генерала Болотова трижды (4, 11 и 18 марта 1914 г.) рассматривались на заседаниях Технического комитета ГВТУ. На них из-за межведомственных трений отсутствовали представители Генштаба, в том числе и бывший начальник Воздухоплава</w:t>
      </w:r>
      <w:r w:rsidRPr="00DE096C">
        <w:rPr>
          <w:bCs/>
          <w:color w:val="002060"/>
          <w:sz w:val="16"/>
          <w:szCs w:val="16"/>
        </w:rPr>
        <w:softHyphen/>
        <w:t>тельной части Шишкевич. В результате обсуждения вопроса «О типах...» пришли к вы</w:t>
      </w:r>
      <w:r w:rsidRPr="00DE096C">
        <w:rPr>
          <w:bCs/>
          <w:color w:val="002060"/>
          <w:sz w:val="16"/>
          <w:szCs w:val="16"/>
        </w:rPr>
        <w:softHyphen/>
        <w:t>воду, что следует заказать для полевых (армейских) и крепостных отрядов самолёты: «Вуазен», «Сикорский-Х» и «Фарман-ХХИ», а для корпусных отрядов — «Депердюссен», «Моран-Парасоль» и «Сикорский-Х1». Для отрядов особого назначения предусматрива</w:t>
      </w:r>
      <w:r w:rsidRPr="00DE096C">
        <w:rPr>
          <w:bCs/>
          <w:color w:val="002060"/>
          <w:sz w:val="16"/>
          <w:szCs w:val="16"/>
        </w:rPr>
        <w:softHyphen/>
        <w:t>лось сделать заказы на одноместные «Моран-Сольнье».</w:t>
      </w:r>
    </w:p>
    <w:p w14:paraId="4B500BA9" w14:textId="77777777" w:rsidR="00DA7D6F" w:rsidRPr="00DE096C" w:rsidRDefault="00DA7D6F" w:rsidP="00D45A46">
      <w:pPr>
        <w:jc w:val="both"/>
        <w:rPr>
          <w:bCs/>
          <w:color w:val="002060"/>
          <w:sz w:val="16"/>
          <w:szCs w:val="16"/>
        </w:rPr>
      </w:pPr>
      <w:r w:rsidRPr="00DE096C">
        <w:rPr>
          <w:bCs/>
          <w:color w:val="002060"/>
          <w:sz w:val="16"/>
          <w:szCs w:val="16"/>
        </w:rPr>
        <w:t>Так менее чем за полгода, обозначив «новую позицию» в вопросе о вооружении лета</w:t>
      </w:r>
      <w:r w:rsidRPr="00DE096C">
        <w:rPr>
          <w:bCs/>
          <w:color w:val="002060"/>
          <w:sz w:val="16"/>
          <w:szCs w:val="16"/>
        </w:rPr>
        <w:softHyphen/>
        <w:t>тельных аппаратов, «похоронили» пионерские работы по вооружению и бронированию са</w:t>
      </w:r>
      <w:r w:rsidRPr="00DE096C">
        <w:rPr>
          <w:bCs/>
          <w:color w:val="002060"/>
          <w:sz w:val="16"/>
          <w:szCs w:val="16"/>
        </w:rPr>
        <w:softHyphen/>
        <w:t>молётов, проводившиеся в 1912-1913 гг. под руководством Шишкевича. Понятно, что при таком подходе Шишкевичу уже не было места в новой структуре ГВТУ. Печальным итогом стало то, что начавшуюся летом 1914 г. Первую мировую войну русская боевая авиация встретила невооруженной, что и заставило П.Н. Нестерова пожертвовать собой, совершая первый в мире воздушный таран.</w:t>
      </w:r>
    </w:p>
    <w:p w14:paraId="58DC37B2" w14:textId="77777777" w:rsidR="00DA7D6F" w:rsidRPr="00DE096C" w:rsidRDefault="00DA7D6F" w:rsidP="00D45A46">
      <w:pPr>
        <w:jc w:val="both"/>
        <w:rPr>
          <w:bCs/>
          <w:color w:val="002060"/>
          <w:sz w:val="16"/>
          <w:szCs w:val="16"/>
        </w:rPr>
      </w:pPr>
      <w:r w:rsidRPr="00DE096C">
        <w:rPr>
          <w:bCs/>
          <w:color w:val="002060"/>
          <w:sz w:val="16"/>
          <w:szCs w:val="16"/>
        </w:rPr>
        <w:t>Вероятно, именно это имел в виду В.Б. Шавров, когда писал, что «с первых же дней войны стали сказываться тяжёлые просчеты, преступные упущения и крупнейшие не</w:t>
      </w:r>
      <w:r w:rsidRPr="00DE096C">
        <w:rPr>
          <w:bCs/>
          <w:color w:val="002060"/>
          <w:sz w:val="16"/>
          <w:szCs w:val="16"/>
        </w:rPr>
        <w:softHyphen/>
        <w:t>достатки в руководстве русской авиацией...» (Шавров В.Б. История конструкций самолётов в СССР до 1938 г. М., 1978. С. 151.)10.</w:t>
      </w:r>
    </w:p>
    <w:p w14:paraId="135197AF" w14:textId="77777777" w:rsidR="00DA7D6F" w:rsidRPr="00DE096C" w:rsidRDefault="00DA7D6F" w:rsidP="00D45A46">
      <w:pPr>
        <w:jc w:val="both"/>
        <w:rPr>
          <w:bCs/>
          <w:color w:val="002060"/>
          <w:sz w:val="16"/>
          <w:szCs w:val="16"/>
        </w:rPr>
      </w:pPr>
      <w:r w:rsidRPr="00DE096C">
        <w:rPr>
          <w:bCs/>
          <w:color w:val="002060"/>
          <w:sz w:val="16"/>
          <w:szCs w:val="16"/>
        </w:rPr>
        <w:t>Кстати, именно М.И. Шишкевич высказал мысль о целесообразности 30-суточного ареста Нестерова за выполнение «мертвой петли«. Так что не все было гладко у «ге</w:t>
      </w:r>
      <w:r w:rsidRPr="00DE096C">
        <w:rPr>
          <w:bCs/>
          <w:color w:val="002060"/>
          <w:sz w:val="16"/>
          <w:szCs w:val="16"/>
        </w:rPr>
        <w:softHyphen/>
        <w:t>нерала от авиации« с перспективами её развития. Но в целом его деятельность на по</w:t>
      </w:r>
      <w:r w:rsidRPr="00DE096C">
        <w:rPr>
          <w:bCs/>
          <w:color w:val="002060"/>
          <w:sz w:val="16"/>
          <w:szCs w:val="16"/>
        </w:rPr>
        <w:softHyphen/>
        <w:t>сту начальника Воздухоплавательной части ГУ ГШ в 1912-1913 гг. следует оценивать весьма высоко. Несколько слов о его дальнейшей судьбе.</w:t>
      </w:r>
    </w:p>
    <w:p w14:paraId="3C34DD41" w14:textId="77777777" w:rsidR="00DA7D6F" w:rsidRPr="00DE096C" w:rsidRDefault="00DA7D6F" w:rsidP="00D45A46">
      <w:pPr>
        <w:jc w:val="both"/>
        <w:rPr>
          <w:bCs/>
          <w:color w:val="002060"/>
          <w:sz w:val="16"/>
          <w:szCs w:val="16"/>
        </w:rPr>
      </w:pPr>
      <w:r w:rsidRPr="00DE096C">
        <w:rPr>
          <w:bCs/>
          <w:color w:val="002060"/>
          <w:sz w:val="16"/>
          <w:szCs w:val="16"/>
        </w:rPr>
        <w:t>Во время первой мировой войны Шишкевич служил начальником штаба 7-й, 11-й и Дунайской армий, 2 декабря 1916г. стал начальником штаба Румынского фронта. В ян</w:t>
      </w:r>
      <w:r w:rsidRPr="00DE096C">
        <w:rPr>
          <w:bCs/>
          <w:color w:val="002060"/>
          <w:sz w:val="16"/>
          <w:szCs w:val="16"/>
        </w:rPr>
        <w:softHyphen/>
        <w:t>варе 1916 г. получил звание генерал-лейтенанта и 16 августа 1916 г. был награжден ор</w:t>
      </w:r>
      <w:r w:rsidRPr="00DE096C">
        <w:rPr>
          <w:bCs/>
          <w:color w:val="002060"/>
          <w:sz w:val="16"/>
          <w:szCs w:val="16"/>
        </w:rPr>
        <w:softHyphen/>
        <w:t xml:space="preserve">деном Св. Георгия 4-й степени. 29 апреля 1917 г. 55-летний генерал по </w:t>
      </w:r>
      <w:r w:rsidRPr="00DE096C">
        <w:rPr>
          <w:bCs/>
          <w:color w:val="002060"/>
          <w:sz w:val="16"/>
          <w:szCs w:val="16"/>
        </w:rPr>
        <w:lastRenderedPageBreak/>
        <w:t>болезни был «зачислен в резерв чинов«, а приказом по Московскому округу от 27 ноября 1917 г. уволен в отставку. Проживал в Москве по адресу Остоженка, д. 10, кв. 11 (РГВИА. Ф. 409ПС. Д. 151-522. 76)11.</w:t>
      </w:r>
    </w:p>
    <w:p w14:paraId="5318E7CB" w14:textId="77777777" w:rsidR="00DA7D6F" w:rsidRPr="00DE096C" w:rsidRDefault="00DA7D6F" w:rsidP="00D45A46">
      <w:pPr>
        <w:jc w:val="both"/>
        <w:rPr>
          <w:bCs/>
          <w:color w:val="002060"/>
          <w:sz w:val="16"/>
          <w:szCs w:val="16"/>
        </w:rPr>
      </w:pPr>
      <w:r w:rsidRPr="00DE096C">
        <w:rPr>
          <w:bCs/>
          <w:color w:val="002060"/>
          <w:sz w:val="16"/>
          <w:szCs w:val="16"/>
        </w:rPr>
        <w:t>С этого адреса 14 июня 1918 г. в пенсионный отдел Главного штаба он отправил про</w:t>
      </w:r>
      <w:r w:rsidRPr="00DE096C">
        <w:rPr>
          <w:bCs/>
          <w:color w:val="002060"/>
          <w:sz w:val="16"/>
          <w:szCs w:val="16"/>
        </w:rPr>
        <w:softHyphen/>
        <w:t>шение о назначении пенсии. В течение месяца ранее служившему в МВО боевому ге</w:t>
      </w:r>
      <w:r w:rsidRPr="00DE096C">
        <w:rPr>
          <w:bCs/>
          <w:color w:val="002060"/>
          <w:sz w:val="16"/>
          <w:szCs w:val="16"/>
        </w:rPr>
        <w:softHyphen/>
        <w:t>нералу и кавалеру назначили пенсию из военной эмеритальной кассы и из Московской казенной палаты. По довоенным меркам сумма в 3600 руб. (2097+1503) могла считать</w:t>
      </w:r>
      <w:r w:rsidRPr="00DE096C">
        <w:rPr>
          <w:bCs/>
          <w:color w:val="002060"/>
          <w:sz w:val="16"/>
          <w:szCs w:val="16"/>
        </w:rPr>
        <w:softHyphen/>
        <w:t>ся вполне достаточной, но дело происходило в середине 1918 г.! Даже удивительно, что ещё функционировали финансовые структуры старого военного ведомства. Пенсионное дело Шишкевича закрыли 23 июля 1918 г., и неизвестно, получал ли от советской вла</w:t>
      </w:r>
      <w:r w:rsidRPr="00DE096C">
        <w:rPr>
          <w:bCs/>
          <w:color w:val="002060"/>
          <w:sz w:val="16"/>
          <w:szCs w:val="16"/>
        </w:rPr>
        <w:softHyphen/>
        <w:t>сти какие-либо выплаты царский генерал. Впрочем, в условиях бешеной инфляции во время гражданской войны этой суммы могло не хватить и на коробок спичек.</w:t>
      </w:r>
    </w:p>
    <w:p w14:paraId="7D814723" w14:textId="77777777" w:rsidR="00DA7D6F" w:rsidRPr="00DE096C" w:rsidRDefault="00DA7D6F" w:rsidP="00D45A46">
      <w:pPr>
        <w:jc w:val="both"/>
        <w:rPr>
          <w:bCs/>
          <w:color w:val="002060"/>
          <w:sz w:val="16"/>
          <w:szCs w:val="16"/>
        </w:rPr>
      </w:pPr>
      <w:r w:rsidRPr="00DE096C">
        <w:rPr>
          <w:bCs/>
          <w:color w:val="002060"/>
          <w:sz w:val="16"/>
          <w:szCs w:val="16"/>
        </w:rPr>
        <w:t>Сведений о последних годах жизни первого генерала от авиации М.И. Шишкевича пока не найдено (11696).</w:t>
      </w:r>
    </w:p>
    <w:p w14:paraId="6392F53C" w14:textId="77777777" w:rsidR="00DA7D6F" w:rsidRPr="00DE096C" w:rsidRDefault="00DA7D6F" w:rsidP="00D45A46">
      <w:pPr>
        <w:jc w:val="both"/>
        <w:rPr>
          <w:bCs/>
          <w:color w:val="002060"/>
          <w:sz w:val="16"/>
          <w:szCs w:val="16"/>
        </w:rPr>
      </w:pPr>
    </w:p>
    <w:p w14:paraId="17D6F1D1" w14:textId="77777777" w:rsidR="00DA7D6F" w:rsidRPr="00DE096C" w:rsidRDefault="00DA7D6F" w:rsidP="00D45A46">
      <w:pPr>
        <w:jc w:val="both"/>
        <w:rPr>
          <w:bCs/>
          <w:color w:val="002060"/>
          <w:sz w:val="16"/>
          <w:szCs w:val="16"/>
        </w:rPr>
      </w:pPr>
      <w:r w:rsidRPr="00DE096C">
        <w:rPr>
          <w:bCs/>
          <w:color w:val="002060"/>
          <w:sz w:val="16"/>
          <w:szCs w:val="16"/>
        </w:rPr>
        <w:t>К концу июля 1914 г. к началу первой мировой войны в России имелось шесть самолетостроительных предприятий: завод «Дукс», Русско-Бал</w:t>
      </w:r>
      <w:r w:rsidRPr="00DE096C">
        <w:rPr>
          <w:bCs/>
          <w:color w:val="002060"/>
          <w:sz w:val="16"/>
          <w:szCs w:val="16"/>
        </w:rPr>
        <w:softHyphen/>
        <w:t>тийский завод, завод Первого российского товарищества воздухо</w:t>
      </w:r>
      <w:r w:rsidRPr="00DE096C">
        <w:rPr>
          <w:bCs/>
          <w:color w:val="002060"/>
          <w:sz w:val="16"/>
          <w:szCs w:val="16"/>
        </w:rPr>
        <w:softHyphen/>
        <w:t>плавания и завод Лебедева, авиационные мастерские А. Анатра и В. Слюсаренко и два предприятия, выпускавшие авиационные моторы (завод «Гном» в Москве и завод «Мотор» в Риге, создан</w:t>
      </w:r>
      <w:r w:rsidRPr="00DE096C">
        <w:rPr>
          <w:bCs/>
          <w:color w:val="002060"/>
          <w:sz w:val="16"/>
          <w:szCs w:val="16"/>
        </w:rPr>
        <w:softHyphen/>
        <w:t>ный на базе мастерских Калепа). Самолетостроительные заводы при наличии необходимых ма</w:t>
      </w:r>
      <w:r w:rsidRPr="00DE096C">
        <w:rPr>
          <w:bCs/>
          <w:color w:val="002060"/>
          <w:sz w:val="16"/>
          <w:szCs w:val="16"/>
        </w:rPr>
        <w:softHyphen/>
        <w:t>териалов могли выпускать 60—70 самолетов в месяц. Потреб</w:t>
      </w:r>
      <w:r w:rsidRPr="00DE096C">
        <w:rPr>
          <w:bCs/>
          <w:color w:val="002060"/>
          <w:sz w:val="16"/>
          <w:szCs w:val="16"/>
        </w:rPr>
        <w:softHyphen/>
        <w:t>ность в авиационных моторах удовлетворялась главным обра</w:t>
      </w:r>
      <w:r w:rsidRPr="00DE096C">
        <w:rPr>
          <w:bCs/>
          <w:color w:val="002060"/>
          <w:sz w:val="16"/>
          <w:szCs w:val="16"/>
        </w:rPr>
        <w:softHyphen/>
        <w:t>зом путем ввоза их из-за границы, поскольку завод «Гном» да</w:t>
      </w:r>
      <w:r w:rsidRPr="00DE096C">
        <w:rPr>
          <w:bCs/>
          <w:color w:val="002060"/>
          <w:sz w:val="16"/>
          <w:szCs w:val="16"/>
        </w:rPr>
        <w:softHyphen/>
        <w:t>вал всего около 10 моторов в месяц, а завод «Мотор» выпускал только запасные части к моторам «Гном».</w:t>
      </w:r>
    </w:p>
    <w:p w14:paraId="2C078B6F" w14:textId="77777777" w:rsidR="00DA7D6F" w:rsidRPr="00DE096C" w:rsidRDefault="00DA7D6F" w:rsidP="00D45A46">
      <w:pPr>
        <w:jc w:val="both"/>
        <w:rPr>
          <w:bCs/>
          <w:color w:val="002060"/>
          <w:sz w:val="16"/>
          <w:szCs w:val="16"/>
        </w:rPr>
      </w:pPr>
      <w:r w:rsidRPr="00DE096C">
        <w:rPr>
          <w:bCs/>
          <w:color w:val="002060"/>
          <w:sz w:val="16"/>
          <w:szCs w:val="16"/>
        </w:rPr>
        <w:t>Как уже указывалось, к началу объявления мо</w:t>
      </w:r>
      <w:r w:rsidRPr="00DE096C">
        <w:rPr>
          <w:bCs/>
          <w:color w:val="002060"/>
          <w:sz w:val="16"/>
          <w:szCs w:val="16"/>
        </w:rPr>
        <w:softHyphen/>
        <w:t>билизации Россия имела 30 корпусных, 8 крепостных и 1 полевой авиационный отряд.</w:t>
      </w:r>
    </w:p>
    <w:p w14:paraId="387CF71E" w14:textId="77777777" w:rsidR="00DA7D6F" w:rsidRPr="00DE096C" w:rsidRDefault="00DA7D6F" w:rsidP="00D45A46">
      <w:pPr>
        <w:jc w:val="both"/>
        <w:rPr>
          <w:bCs/>
          <w:color w:val="002060"/>
          <w:sz w:val="16"/>
          <w:szCs w:val="16"/>
        </w:rPr>
      </w:pPr>
      <w:r w:rsidRPr="00DE096C">
        <w:rPr>
          <w:bCs/>
          <w:color w:val="002060"/>
          <w:sz w:val="16"/>
          <w:szCs w:val="16"/>
        </w:rPr>
        <w:t>Часть состоявших на вооружении самолетов была выпущена заводами еще в 1912 г. и подлежала замене, но заменять их было нечем. Все авиационные отряды были направлены на фронт с наличной материальной частью. Тем не менее в первый период войны русская авиация ни количественно, ни качественно не уступала авиации других воюющих государств. В начале войны Германия имела в строю 232 самолета, Франция 156, Англия свыше 250, Италия 30. Тактико-технические данные са</w:t>
      </w:r>
      <w:r w:rsidRPr="00DE096C">
        <w:rPr>
          <w:bCs/>
          <w:color w:val="002060"/>
          <w:sz w:val="16"/>
          <w:szCs w:val="16"/>
        </w:rPr>
        <w:softHyphen/>
        <w:t>молетов всех стран в основном были равными.</w:t>
      </w:r>
    </w:p>
    <w:p w14:paraId="2D2112EA" w14:textId="77777777" w:rsidR="00DA7D6F" w:rsidRPr="00DE096C" w:rsidRDefault="00DA7D6F" w:rsidP="00D45A46">
      <w:pPr>
        <w:jc w:val="both"/>
        <w:rPr>
          <w:bCs/>
          <w:color w:val="002060"/>
          <w:sz w:val="16"/>
          <w:szCs w:val="16"/>
        </w:rPr>
      </w:pPr>
      <w:r w:rsidRPr="00DE096C">
        <w:rPr>
          <w:bCs/>
          <w:color w:val="002060"/>
          <w:sz w:val="16"/>
          <w:szCs w:val="16"/>
        </w:rPr>
        <w:t>В первые же месяцы войны выяснилось, что в боевых усло</w:t>
      </w:r>
      <w:r w:rsidRPr="00DE096C">
        <w:rPr>
          <w:bCs/>
          <w:color w:val="002060"/>
          <w:sz w:val="16"/>
          <w:szCs w:val="16"/>
        </w:rPr>
        <w:softHyphen/>
        <w:t>виях около трети самолетов ежемесячно выходят из строя и тре</w:t>
      </w:r>
      <w:r w:rsidRPr="00DE096C">
        <w:rPr>
          <w:bCs/>
          <w:color w:val="002060"/>
          <w:sz w:val="16"/>
          <w:szCs w:val="16"/>
        </w:rPr>
        <w:softHyphen/>
        <w:t>буют замены. Не располагая никакими запасами, русское воен</w:t>
      </w:r>
      <w:r w:rsidRPr="00DE096C">
        <w:rPr>
          <w:bCs/>
          <w:color w:val="002060"/>
          <w:sz w:val="16"/>
          <w:szCs w:val="16"/>
        </w:rPr>
        <w:softHyphen/>
        <w:t>ное ведомство могло пополнять фронтовые авиационные части самолетами только за счет самолетов, поступавших с заводов. Но русские заводы в связи с нехваткой многих материалов и мо</w:t>
      </w:r>
      <w:r w:rsidRPr="00DE096C">
        <w:rPr>
          <w:bCs/>
          <w:color w:val="002060"/>
          <w:sz w:val="16"/>
          <w:szCs w:val="16"/>
        </w:rPr>
        <w:softHyphen/>
        <w:t>билизацией рабочих в армию не могли работать с полной нагруз</w:t>
      </w:r>
      <w:r w:rsidRPr="00DE096C">
        <w:rPr>
          <w:bCs/>
          <w:color w:val="002060"/>
          <w:sz w:val="16"/>
          <w:szCs w:val="16"/>
        </w:rPr>
        <w:softHyphen/>
        <w:t>кой и пополнять понесенные потери в самолетах.</w:t>
      </w:r>
    </w:p>
    <w:p w14:paraId="68DF6CC1" w14:textId="77777777" w:rsidR="00DA7D6F" w:rsidRPr="00DE096C" w:rsidRDefault="00DA7D6F" w:rsidP="00D45A46">
      <w:pPr>
        <w:jc w:val="both"/>
        <w:rPr>
          <w:bCs/>
          <w:color w:val="002060"/>
          <w:sz w:val="16"/>
          <w:szCs w:val="16"/>
        </w:rPr>
      </w:pPr>
      <w:r w:rsidRPr="00DE096C">
        <w:rPr>
          <w:bCs/>
          <w:color w:val="002060"/>
          <w:sz w:val="16"/>
          <w:szCs w:val="16"/>
        </w:rPr>
        <w:t>Ввозить самолеты из-за границы Россия также не могла, так как старые пути ввоза (через Германию) были закрыты, а новые (морем, через Архангельск) еще не были установлены. Кроме того, западные союзники России не хотели продавать ей самолеты и моторы, поскольку сами ощущали в них большую потребность (278).</w:t>
      </w:r>
    </w:p>
    <w:p w14:paraId="5E5C0878" w14:textId="77777777" w:rsidR="00DA7D6F" w:rsidRPr="00DE096C" w:rsidRDefault="00DA7D6F" w:rsidP="00D45A46">
      <w:pPr>
        <w:jc w:val="both"/>
        <w:rPr>
          <w:bCs/>
          <w:color w:val="002060"/>
          <w:sz w:val="16"/>
          <w:szCs w:val="16"/>
        </w:rPr>
      </w:pPr>
    </w:p>
    <w:p w14:paraId="0BBDD411" w14:textId="14A37885" w:rsidR="00DA7D6F" w:rsidRPr="00DE096C" w:rsidRDefault="00DA7D6F" w:rsidP="00D45A46">
      <w:pPr>
        <w:jc w:val="both"/>
        <w:rPr>
          <w:bCs/>
          <w:color w:val="002060"/>
          <w:sz w:val="16"/>
          <w:szCs w:val="16"/>
        </w:rPr>
      </w:pPr>
      <w:r w:rsidRPr="00DE096C">
        <w:rPr>
          <w:bCs/>
          <w:color w:val="002060"/>
          <w:sz w:val="16"/>
          <w:szCs w:val="16"/>
        </w:rPr>
        <w:t>К концу июля 1914 г. к</w:t>
      </w:r>
      <w:r w:rsidR="0006581C">
        <w:rPr>
          <w:bCs/>
          <w:color w:val="002060"/>
          <w:sz w:val="16"/>
          <w:szCs w:val="16"/>
        </w:rPr>
        <w:t xml:space="preserve"> </w:t>
      </w:r>
      <w:r w:rsidRPr="00DE096C">
        <w:rPr>
          <w:bCs/>
          <w:color w:val="002060"/>
          <w:sz w:val="16"/>
          <w:szCs w:val="16"/>
        </w:rPr>
        <w:t>началу войны выпускалось более 500 самолётов в год. Общее количество самолётов, выпущенных в России в 1914 г., было в 2 раза больше, чем в Англии, почти столько же сколько во Франции и в 10 раз больше, чем в США. Только в Германии производилось самолётов в 2,5 раза больше, чем в России в связи с подготовкой к войне. К 1916 г. количество выпущенных самолётов в России возросло в 6 раз по сравнению с 1914 г. [1].</w:t>
      </w:r>
    </w:p>
    <w:p w14:paraId="0C7D35F1" w14:textId="77777777" w:rsidR="00DA7D6F" w:rsidRPr="00DE096C" w:rsidRDefault="00DA7D6F" w:rsidP="00D45A46">
      <w:pPr>
        <w:jc w:val="both"/>
        <w:rPr>
          <w:bCs/>
          <w:color w:val="002060"/>
          <w:sz w:val="16"/>
          <w:szCs w:val="16"/>
        </w:rPr>
      </w:pPr>
      <w:r w:rsidRPr="00DE096C">
        <w:rPr>
          <w:bCs/>
          <w:color w:val="002060"/>
          <w:sz w:val="16"/>
          <w:szCs w:val="16"/>
        </w:rPr>
        <w:t>Ниже приведены данные о выпуске самолётов в месяц русскими за</w:t>
      </w:r>
      <w:r w:rsidRPr="00DE096C">
        <w:rPr>
          <w:bCs/>
          <w:color w:val="002060"/>
          <w:sz w:val="16"/>
          <w:szCs w:val="16"/>
        </w:rPr>
        <w:softHyphen/>
        <w:t>водами в конце 1916 - в начале 1917г. [1]:</w:t>
      </w:r>
    </w:p>
    <w:p w14:paraId="3A8B2702" w14:textId="77777777" w:rsidR="00DA7D6F" w:rsidRPr="00DE096C" w:rsidRDefault="00DA7D6F" w:rsidP="00D45A46">
      <w:pPr>
        <w:jc w:val="both"/>
        <w:rPr>
          <w:bCs/>
          <w:color w:val="002060"/>
          <w:sz w:val="16"/>
          <w:szCs w:val="16"/>
        </w:rPr>
      </w:pPr>
      <w:r w:rsidRPr="00DE096C">
        <w:rPr>
          <w:bCs/>
          <w:color w:val="002060"/>
          <w:sz w:val="16"/>
          <w:szCs w:val="16"/>
        </w:rPr>
        <w:t>«Дукс» До 50-55</w:t>
      </w:r>
    </w:p>
    <w:p w14:paraId="07644402" w14:textId="77777777" w:rsidR="00DA7D6F" w:rsidRPr="00DE096C" w:rsidRDefault="00DA7D6F" w:rsidP="00D45A46">
      <w:pPr>
        <w:jc w:val="both"/>
        <w:rPr>
          <w:bCs/>
          <w:color w:val="002060"/>
          <w:sz w:val="16"/>
          <w:szCs w:val="16"/>
        </w:rPr>
      </w:pPr>
      <w:r w:rsidRPr="00DE096C">
        <w:rPr>
          <w:bCs/>
          <w:color w:val="002060"/>
          <w:sz w:val="16"/>
          <w:szCs w:val="16"/>
        </w:rPr>
        <w:t>С.С. Щетинина До 50</w:t>
      </w:r>
    </w:p>
    <w:p w14:paraId="2C91B0C2" w14:textId="77777777" w:rsidR="00DA7D6F" w:rsidRPr="00DE096C" w:rsidRDefault="00DA7D6F" w:rsidP="00D45A46">
      <w:pPr>
        <w:jc w:val="both"/>
        <w:rPr>
          <w:bCs/>
          <w:color w:val="002060"/>
          <w:sz w:val="16"/>
          <w:szCs w:val="16"/>
        </w:rPr>
      </w:pPr>
      <w:r w:rsidRPr="00DE096C">
        <w:rPr>
          <w:bCs/>
          <w:color w:val="002060"/>
          <w:sz w:val="16"/>
          <w:szCs w:val="16"/>
        </w:rPr>
        <w:t>А.А. Анатра 50</w:t>
      </w:r>
    </w:p>
    <w:p w14:paraId="6C36C682" w14:textId="77777777" w:rsidR="00DA7D6F" w:rsidRPr="00DE096C" w:rsidRDefault="00DA7D6F" w:rsidP="00D45A46">
      <w:pPr>
        <w:jc w:val="both"/>
        <w:rPr>
          <w:bCs/>
          <w:color w:val="002060"/>
          <w:sz w:val="16"/>
          <w:szCs w:val="16"/>
        </w:rPr>
      </w:pPr>
      <w:r w:rsidRPr="00DE096C">
        <w:rPr>
          <w:bCs/>
          <w:color w:val="002060"/>
          <w:sz w:val="16"/>
          <w:szCs w:val="16"/>
        </w:rPr>
        <w:t>В.А. Лебедева 30-40</w:t>
      </w:r>
    </w:p>
    <w:p w14:paraId="0C6A66BC" w14:textId="77777777" w:rsidR="00DA7D6F" w:rsidRPr="00DE096C" w:rsidRDefault="00DA7D6F" w:rsidP="00D45A46">
      <w:pPr>
        <w:jc w:val="both"/>
        <w:rPr>
          <w:bCs/>
          <w:color w:val="002060"/>
          <w:sz w:val="16"/>
          <w:szCs w:val="16"/>
        </w:rPr>
      </w:pPr>
      <w:r w:rsidRPr="00DE096C">
        <w:rPr>
          <w:bCs/>
          <w:color w:val="002060"/>
          <w:sz w:val="16"/>
          <w:szCs w:val="16"/>
        </w:rPr>
        <w:t>Ф.А. Моска До 10-15</w:t>
      </w:r>
    </w:p>
    <w:p w14:paraId="68F3F75C" w14:textId="77777777" w:rsidR="00DA7D6F" w:rsidRPr="00DE096C" w:rsidRDefault="00DA7D6F" w:rsidP="00D45A46">
      <w:pPr>
        <w:jc w:val="both"/>
        <w:rPr>
          <w:bCs/>
          <w:color w:val="002060"/>
          <w:sz w:val="16"/>
          <w:szCs w:val="16"/>
        </w:rPr>
      </w:pPr>
      <w:r w:rsidRPr="00DE096C">
        <w:rPr>
          <w:bCs/>
          <w:color w:val="002060"/>
          <w:sz w:val="16"/>
          <w:szCs w:val="16"/>
        </w:rPr>
        <w:t>В.В. Слюсаренко 10-15</w:t>
      </w:r>
    </w:p>
    <w:p w14:paraId="7265860C" w14:textId="77777777" w:rsidR="00DA7D6F" w:rsidRPr="00DE096C" w:rsidRDefault="00DA7D6F" w:rsidP="00D45A46">
      <w:pPr>
        <w:jc w:val="both"/>
        <w:rPr>
          <w:bCs/>
          <w:color w:val="002060"/>
          <w:sz w:val="16"/>
          <w:szCs w:val="16"/>
        </w:rPr>
      </w:pPr>
      <w:r w:rsidRPr="00DE096C">
        <w:rPr>
          <w:bCs/>
          <w:color w:val="002060"/>
          <w:sz w:val="16"/>
          <w:szCs w:val="16"/>
        </w:rPr>
        <w:t>В.Ф. Адаменко До 5</w:t>
      </w:r>
    </w:p>
    <w:p w14:paraId="3BD45D57" w14:textId="77777777" w:rsidR="00DA7D6F" w:rsidRPr="00DE096C" w:rsidRDefault="00DA7D6F" w:rsidP="00D45A46">
      <w:pPr>
        <w:jc w:val="both"/>
        <w:rPr>
          <w:bCs/>
          <w:color w:val="002060"/>
          <w:sz w:val="16"/>
          <w:szCs w:val="16"/>
        </w:rPr>
      </w:pPr>
      <w:r w:rsidRPr="00DE096C">
        <w:rPr>
          <w:bCs/>
          <w:color w:val="002060"/>
          <w:sz w:val="16"/>
          <w:szCs w:val="16"/>
        </w:rPr>
        <w:t>Русско-Балтийский 3-4 (типа «Илья Муромец»)</w:t>
      </w:r>
    </w:p>
    <w:p w14:paraId="5D0DAA7F" w14:textId="77777777" w:rsidR="00DA7D6F" w:rsidRPr="00DE096C" w:rsidRDefault="00DA7D6F" w:rsidP="00D45A46">
      <w:pPr>
        <w:jc w:val="both"/>
        <w:rPr>
          <w:bCs/>
          <w:color w:val="002060"/>
          <w:sz w:val="16"/>
          <w:szCs w:val="16"/>
        </w:rPr>
      </w:pPr>
      <w:r w:rsidRPr="00DE096C">
        <w:rPr>
          <w:bCs/>
          <w:color w:val="002060"/>
          <w:sz w:val="16"/>
          <w:szCs w:val="16"/>
        </w:rPr>
        <w:t>Всего русские заводы могли выпускать 200-230 самолётов в месяц.</w:t>
      </w:r>
    </w:p>
    <w:p w14:paraId="7052A672" w14:textId="77777777" w:rsidR="00DA7D6F" w:rsidRPr="00DE096C" w:rsidRDefault="00DA7D6F" w:rsidP="00D45A46">
      <w:pPr>
        <w:jc w:val="both"/>
        <w:rPr>
          <w:bCs/>
          <w:color w:val="002060"/>
          <w:sz w:val="16"/>
          <w:szCs w:val="16"/>
        </w:rPr>
      </w:pPr>
      <w:r w:rsidRPr="00DE096C">
        <w:rPr>
          <w:bCs/>
          <w:color w:val="002060"/>
          <w:sz w:val="16"/>
          <w:szCs w:val="16"/>
        </w:rPr>
        <w:t>Приведенные данные показывают, что в России были большие дос</w:t>
      </w:r>
      <w:r w:rsidRPr="00DE096C">
        <w:rPr>
          <w:bCs/>
          <w:color w:val="002060"/>
          <w:sz w:val="16"/>
          <w:szCs w:val="16"/>
        </w:rPr>
        <w:softHyphen/>
        <w:t>тижения как по созданию новых самолётов, так и по широкому производ</w:t>
      </w:r>
      <w:r w:rsidRPr="00DE096C">
        <w:rPr>
          <w:bCs/>
          <w:color w:val="002060"/>
          <w:sz w:val="16"/>
          <w:szCs w:val="16"/>
        </w:rPr>
        <w:softHyphen/>
        <w:t>ству серийных.</w:t>
      </w:r>
    </w:p>
    <w:p w14:paraId="2DC85B3A" w14:textId="77777777" w:rsidR="00DA7D6F" w:rsidRPr="00DE096C" w:rsidRDefault="00DA7D6F" w:rsidP="00D45A46">
      <w:pPr>
        <w:jc w:val="both"/>
        <w:rPr>
          <w:bCs/>
          <w:color w:val="002060"/>
          <w:sz w:val="16"/>
          <w:szCs w:val="16"/>
        </w:rPr>
      </w:pPr>
      <w:r w:rsidRPr="00DE096C">
        <w:rPr>
          <w:bCs/>
          <w:color w:val="002060"/>
          <w:sz w:val="16"/>
          <w:szCs w:val="16"/>
        </w:rPr>
        <w:t>Все же значительное количество самолетов выпускалось по иност</w:t>
      </w:r>
      <w:r w:rsidRPr="00DE096C">
        <w:rPr>
          <w:bCs/>
          <w:color w:val="002060"/>
          <w:sz w:val="16"/>
          <w:szCs w:val="16"/>
        </w:rPr>
        <w:softHyphen/>
        <w:t>ранным образцам («Вуазен», «Ньюпор», «Блерио», «Фарман») (11425).</w:t>
      </w:r>
    </w:p>
    <w:p w14:paraId="7A6084A0" w14:textId="77777777" w:rsidR="00DA7D6F" w:rsidRPr="00DE096C" w:rsidRDefault="00DA7D6F" w:rsidP="00D45A46">
      <w:pPr>
        <w:jc w:val="both"/>
        <w:rPr>
          <w:bCs/>
          <w:color w:val="002060"/>
          <w:sz w:val="16"/>
          <w:szCs w:val="16"/>
        </w:rPr>
      </w:pPr>
    </w:p>
    <w:p w14:paraId="63CCF60B" w14:textId="77777777" w:rsidR="00DA7D6F" w:rsidRPr="00DE096C" w:rsidRDefault="00DA7D6F" w:rsidP="00D45A46">
      <w:pPr>
        <w:jc w:val="both"/>
        <w:rPr>
          <w:bCs/>
          <w:color w:val="002060"/>
          <w:sz w:val="16"/>
          <w:szCs w:val="16"/>
        </w:rPr>
      </w:pPr>
      <w:r w:rsidRPr="00DE096C">
        <w:rPr>
          <w:bCs/>
          <w:color w:val="002060"/>
          <w:sz w:val="16"/>
          <w:szCs w:val="16"/>
        </w:rPr>
        <w:t>В конце июля 1941 перед Первой мировой войной Р-БВЗ старался наладить выпуск французских "Фарманов", "Ньюпоров" и "Моранов", но главное внимание все же уделялось конструкциям И.И. Сикор-ского, которому помогали инженеры Н.Ф. Климиксеев, Г.П. Адлер, К.К. Эргант, В.Ф. Савель</w:t>
      </w:r>
      <w:r w:rsidRPr="00DE096C">
        <w:rPr>
          <w:bCs/>
          <w:color w:val="002060"/>
          <w:sz w:val="16"/>
          <w:szCs w:val="16"/>
        </w:rPr>
        <w:softHyphen/>
        <w:t>ев, А.А. Серебренников и др. По общему согласию еще весной 1912 г. компания получила права на все изобретения Сикорского, делавшиеся в течение последующих 5 лет и начиная с биплана С-6А. Кроме серии одномоторных машин, бывших развитием этой и предыдущих мо</w:t>
      </w:r>
      <w:r w:rsidRPr="00DE096C">
        <w:rPr>
          <w:bCs/>
          <w:color w:val="002060"/>
          <w:sz w:val="16"/>
          <w:szCs w:val="16"/>
        </w:rPr>
        <w:softHyphen/>
        <w:t>делей ,конструктор задумал строительство тяжелого аэроплана, движимого несколькими мото</w:t>
      </w:r>
      <w:r w:rsidRPr="00DE096C">
        <w:rPr>
          <w:bCs/>
          <w:color w:val="002060"/>
          <w:sz w:val="16"/>
          <w:szCs w:val="16"/>
        </w:rPr>
        <w:softHyphen/>
        <w:t>рами, установленными вдоль его бипланной коробки крыльев. Эта идея воплотилась сначала в "Гранде"/"Русском витязе", а затем привела к появлению "Ильи Муромца", известного типа дальнего разведчика-бомбардировщика. Для сборки больших и малых летательных аппаратов авиационный завод Р-БВЗ располагал деревообделочным цехом, столярной, корпусно-сбороч-ной, слесарной, обойной и малярной мастерскими и участком автогенной сварки. На Корпусном аэродроме столицы компания возвела ангары, тогда как механический, инструментальный и литейный цехи отделения в Риге привлекались для выполнения отдельных заказов на комп</w:t>
      </w:r>
      <w:r w:rsidRPr="00DE096C">
        <w:rPr>
          <w:bCs/>
          <w:color w:val="002060"/>
          <w:sz w:val="16"/>
          <w:szCs w:val="16"/>
        </w:rPr>
        <w:softHyphen/>
        <w:t>лектующие детали к аэропланам. Наконец, на Строгановской набережной в Петербурге была устроена специальная опытная мастерская для работы над новыми моделями самолетов (2843).</w:t>
      </w:r>
    </w:p>
    <w:p w14:paraId="4907F104" w14:textId="77777777" w:rsidR="00DA7D6F" w:rsidRPr="00DE096C" w:rsidRDefault="00DA7D6F" w:rsidP="00D45A46">
      <w:pPr>
        <w:jc w:val="both"/>
        <w:rPr>
          <w:bCs/>
          <w:color w:val="002060"/>
          <w:sz w:val="16"/>
          <w:szCs w:val="16"/>
        </w:rPr>
      </w:pPr>
    </w:p>
    <w:p w14:paraId="50B60B4E" w14:textId="77777777" w:rsidR="00DA7D6F" w:rsidRPr="00DE096C" w:rsidRDefault="00DA7D6F" w:rsidP="00D45A46">
      <w:pPr>
        <w:jc w:val="both"/>
        <w:rPr>
          <w:bCs/>
          <w:color w:val="002060"/>
          <w:sz w:val="16"/>
          <w:szCs w:val="16"/>
        </w:rPr>
      </w:pPr>
      <w:r w:rsidRPr="00DE096C">
        <w:rPr>
          <w:bCs/>
          <w:color w:val="002060"/>
          <w:sz w:val="16"/>
          <w:szCs w:val="16"/>
        </w:rPr>
        <w:t>К концу июля 1914 г. к началу войны русские авиационные заводы освоили производ</w:t>
      </w:r>
      <w:r w:rsidRPr="00DE096C">
        <w:rPr>
          <w:bCs/>
          <w:color w:val="002060"/>
          <w:sz w:val="16"/>
          <w:szCs w:val="16"/>
        </w:rPr>
        <w:softHyphen/>
        <w:t>ство французских бипланов «Фарман-Х\1» и «Фарман-ХХ» и моно</w:t>
      </w:r>
      <w:r w:rsidRPr="00DE096C">
        <w:rPr>
          <w:bCs/>
          <w:color w:val="002060"/>
          <w:sz w:val="16"/>
          <w:szCs w:val="16"/>
        </w:rPr>
        <w:softHyphen/>
        <w:t>планов «Ньюпор-1У» и «Депердюссен». Завод «Дукс» только еще.' приступил к освоению монопланов «Моран», а завод Лебедева—к производству бипланов «Вуазен». Русско-Балтийский завод про</w:t>
      </w:r>
      <w:r w:rsidRPr="00DE096C">
        <w:rPr>
          <w:bCs/>
          <w:color w:val="002060"/>
          <w:sz w:val="16"/>
          <w:szCs w:val="16"/>
        </w:rPr>
        <w:softHyphen/>
        <w:t>должал успешно строить самолеты «Илья Муромец». Военное ве</w:t>
      </w:r>
      <w:r w:rsidRPr="00DE096C">
        <w:rPr>
          <w:bCs/>
          <w:color w:val="002060"/>
          <w:sz w:val="16"/>
          <w:szCs w:val="16"/>
        </w:rPr>
        <w:softHyphen/>
        <w:t>домство собиралось купить лицензии на постройку немецких само</w:t>
      </w:r>
      <w:r w:rsidRPr="00DE096C">
        <w:rPr>
          <w:bCs/>
          <w:color w:val="002060"/>
          <w:sz w:val="16"/>
          <w:szCs w:val="16"/>
        </w:rPr>
        <w:softHyphen/>
        <w:t>летов «Альбатрос» и английских бипланов «Сопвич» (11042,243).</w:t>
      </w:r>
    </w:p>
    <w:p w14:paraId="72DC9BE7" w14:textId="77777777" w:rsidR="00DA7D6F" w:rsidRPr="00DE096C" w:rsidRDefault="00DA7D6F" w:rsidP="00D45A46">
      <w:pPr>
        <w:jc w:val="both"/>
        <w:rPr>
          <w:bCs/>
          <w:color w:val="002060"/>
          <w:sz w:val="16"/>
          <w:szCs w:val="16"/>
        </w:rPr>
      </w:pPr>
      <w:r w:rsidRPr="00DE096C">
        <w:rPr>
          <w:bCs/>
          <w:color w:val="002060"/>
          <w:sz w:val="16"/>
          <w:szCs w:val="16"/>
        </w:rPr>
        <w:t>Таким образом, в России строились серийно только самолеты уже устаревших -Типов, а к производству новых образцов предприя</w:t>
      </w:r>
      <w:r w:rsidRPr="00DE096C">
        <w:rPr>
          <w:bCs/>
          <w:color w:val="002060"/>
          <w:sz w:val="16"/>
          <w:szCs w:val="16"/>
        </w:rPr>
        <w:softHyphen/>
        <w:t>тия лишь готовились. Кроме того, серийно строились только иност</w:t>
      </w:r>
      <w:r w:rsidRPr="00DE096C">
        <w:rPr>
          <w:bCs/>
          <w:color w:val="002060"/>
          <w:sz w:val="16"/>
          <w:szCs w:val="16"/>
        </w:rPr>
        <w:softHyphen/>
        <w:t>ранные образцы самолетов. Единственным исключением являлся «Илья Муромец», что объяснялось особыми причинами. Между тем в 1913—1914 гг. русские конструкторы создали целый ряд ориги</w:t>
      </w:r>
      <w:r w:rsidRPr="00DE096C">
        <w:rPr>
          <w:bCs/>
          <w:color w:val="002060"/>
          <w:sz w:val="16"/>
          <w:szCs w:val="16"/>
        </w:rPr>
        <w:softHyphen/>
        <w:t>нальных самолетов, многие из которых превосходили по качествам современные заграничные 'конструкции. Но царские чиновйики от-казывались по-прежнему от Передовых по тому времени отечествен</w:t>
      </w:r>
      <w:r w:rsidRPr="00DE096C">
        <w:rPr>
          <w:bCs/>
          <w:color w:val="002060"/>
          <w:sz w:val="16"/>
          <w:szCs w:val="16"/>
        </w:rPr>
        <w:softHyphen/>
        <w:t>ных конструкций и ориентировались на заграничные. В таких усло</w:t>
      </w:r>
      <w:r w:rsidRPr="00DE096C">
        <w:rPr>
          <w:bCs/>
          <w:color w:val="002060"/>
          <w:sz w:val="16"/>
          <w:szCs w:val="16"/>
        </w:rPr>
        <w:softHyphen/>
        <w:t>виях Россия, несмотря на численное превосходство самолетов, находящихся в строю, была на самом деле страной, отставшей в развитии авиации (11042,243).</w:t>
      </w:r>
    </w:p>
    <w:p w14:paraId="1455F4B1" w14:textId="77777777" w:rsidR="00DA7D6F" w:rsidRPr="00DE096C" w:rsidRDefault="00DA7D6F" w:rsidP="00D45A46">
      <w:pPr>
        <w:jc w:val="both"/>
        <w:rPr>
          <w:bCs/>
          <w:color w:val="002060"/>
          <w:sz w:val="16"/>
          <w:szCs w:val="16"/>
        </w:rPr>
      </w:pPr>
      <w:r w:rsidRPr="00DE096C">
        <w:rPr>
          <w:bCs/>
          <w:color w:val="002060"/>
          <w:sz w:val="16"/>
          <w:szCs w:val="16"/>
        </w:rPr>
        <w:t>Как мы уже видели, русские конструкторы создали целый ряд самолетов (преимущественно бипланов) с тянущим винтом и фю</w:t>
      </w:r>
      <w:r w:rsidRPr="00DE096C">
        <w:rPr>
          <w:bCs/>
          <w:color w:val="002060"/>
          <w:sz w:val="16"/>
          <w:szCs w:val="16"/>
        </w:rPr>
        <w:softHyphen/>
        <w:t>зеляжем (Гаккель, Григорович и др.) (11042,243).</w:t>
      </w:r>
    </w:p>
    <w:p w14:paraId="4098E2DF" w14:textId="77777777" w:rsidR="00DA7D6F" w:rsidRPr="00DE096C" w:rsidRDefault="00DA7D6F" w:rsidP="00D45A46">
      <w:pPr>
        <w:jc w:val="both"/>
        <w:rPr>
          <w:bCs/>
          <w:color w:val="002060"/>
          <w:sz w:val="16"/>
          <w:szCs w:val="16"/>
        </w:rPr>
      </w:pPr>
      <w:r w:rsidRPr="00DE096C">
        <w:rPr>
          <w:bCs/>
          <w:color w:val="002060"/>
          <w:sz w:val="16"/>
          <w:szCs w:val="16"/>
        </w:rPr>
        <w:t>Тенденция к постройке такого типа самолетов была, несомненно, правильной. Русские конструкторы нашли именно тот путь, который привел впоследствии к созданию вполне боеспособных машин. Тех</w:t>
      </w:r>
      <w:r w:rsidRPr="00DE096C">
        <w:rPr>
          <w:bCs/>
          <w:color w:val="002060"/>
          <w:sz w:val="16"/>
          <w:szCs w:val="16"/>
        </w:rPr>
        <w:softHyphen/>
        <w:t>ника того времени позволяла осуществить, биплан с площадью крыльев 50—60 м2, причем конструкция получалась прочной, жест</w:t>
      </w:r>
      <w:r w:rsidRPr="00DE096C">
        <w:rPr>
          <w:bCs/>
          <w:color w:val="002060"/>
          <w:sz w:val="16"/>
          <w:szCs w:val="16"/>
        </w:rPr>
        <w:softHyphen/>
        <w:t>кой и достаточно легкой. Если в скорости биплан и уступал моно</w:t>
      </w:r>
      <w:r w:rsidRPr="00DE096C">
        <w:rPr>
          <w:bCs/>
          <w:color w:val="002060"/>
          <w:sz w:val="16"/>
          <w:szCs w:val="16"/>
        </w:rPr>
        <w:softHyphen/>
        <w:t>плану, то он был. более маневренным и грузоподъемным, обладал хорошим обзором и большей дальностью/ Наконец, биплан в силу своей большей грузоподъемности позволял использовать более мощные и надежные, хотя и более тяжелые, двигатели жидкостного охлаждения (11042,243).</w:t>
      </w:r>
    </w:p>
    <w:p w14:paraId="4444642C" w14:textId="77777777" w:rsidR="00DA7D6F" w:rsidRPr="00DE096C" w:rsidRDefault="00DA7D6F" w:rsidP="00D45A46">
      <w:pPr>
        <w:jc w:val="both"/>
        <w:rPr>
          <w:bCs/>
          <w:color w:val="002060"/>
          <w:sz w:val="16"/>
          <w:szCs w:val="16"/>
        </w:rPr>
      </w:pPr>
      <w:r w:rsidRPr="00DE096C">
        <w:rPr>
          <w:bCs/>
          <w:color w:val="002060"/>
          <w:sz w:val="16"/>
          <w:szCs w:val="16"/>
        </w:rPr>
        <w:t>Немаловажное значение имела простота сборки и разборки та</w:t>
      </w:r>
      <w:r w:rsidRPr="00DE096C">
        <w:rPr>
          <w:bCs/>
          <w:color w:val="002060"/>
          <w:sz w:val="16"/>
          <w:szCs w:val="16"/>
        </w:rPr>
        <w:softHyphen/>
        <w:t>ких самолетов по сравнению с бипланом с толкающим винтом (11042,243).</w:t>
      </w:r>
    </w:p>
    <w:p w14:paraId="0EC3B9B0" w14:textId="77777777" w:rsidR="00DA7D6F" w:rsidRPr="00DE096C" w:rsidRDefault="00DA7D6F" w:rsidP="00D45A46">
      <w:pPr>
        <w:jc w:val="both"/>
        <w:rPr>
          <w:bCs/>
          <w:color w:val="002060"/>
          <w:sz w:val="16"/>
          <w:szCs w:val="16"/>
        </w:rPr>
      </w:pPr>
      <w:r w:rsidRPr="00DE096C">
        <w:rPr>
          <w:bCs/>
          <w:color w:val="002060"/>
          <w:sz w:val="16"/>
          <w:szCs w:val="16"/>
        </w:rPr>
        <w:t>Русские конструкторы самолетов использовали немецкие дви</w:t>
      </w:r>
      <w:r w:rsidRPr="00DE096C">
        <w:rPr>
          <w:bCs/>
          <w:color w:val="002060"/>
          <w:sz w:val="16"/>
          <w:szCs w:val="16"/>
        </w:rPr>
        <w:softHyphen/>
        <w:t>гатели жидкостного охлаждения («Аргус», «Бенц» и др.), как более мощные и надежные и более дешевые, нежели французский «Гном» (Французский двигатель «Гном» мощностью 50 л. с. стоил 7000 руб. и пос</w:t>
      </w:r>
      <w:r w:rsidRPr="00DE096C">
        <w:rPr>
          <w:bCs/>
          <w:color w:val="002060"/>
          <w:sz w:val="16"/>
          <w:szCs w:val="16"/>
        </w:rPr>
        <w:softHyphen/>
        <w:t>ле 50 ч. работы требовал серьезного ремонта. Немецкий «.Аргус» мощностью 100 л. с. стоил 4000 руб. и мог работать не менее 100 ч, нуждаясь только в пере</w:t>
      </w:r>
      <w:r w:rsidRPr="00DE096C">
        <w:rPr>
          <w:bCs/>
          <w:color w:val="002060"/>
          <w:sz w:val="16"/>
          <w:szCs w:val="16"/>
        </w:rPr>
        <w:softHyphen/>
        <w:t>борке). Вот почему целый ряд опытных машин русских конструк</w:t>
      </w:r>
      <w:r w:rsidRPr="00DE096C">
        <w:rPr>
          <w:bCs/>
          <w:color w:val="002060"/>
          <w:sz w:val="16"/>
          <w:szCs w:val="16"/>
        </w:rPr>
        <w:softHyphen/>
        <w:t>торов имел моторы жидкостного охлаждения (11042,243).</w:t>
      </w:r>
    </w:p>
    <w:p w14:paraId="05B75647" w14:textId="77777777" w:rsidR="00DA7D6F" w:rsidRPr="00DE096C" w:rsidRDefault="00DA7D6F" w:rsidP="00D45A46">
      <w:pPr>
        <w:jc w:val="both"/>
        <w:rPr>
          <w:bCs/>
          <w:color w:val="002060"/>
          <w:sz w:val="16"/>
          <w:szCs w:val="16"/>
        </w:rPr>
      </w:pPr>
      <w:r w:rsidRPr="00DE096C">
        <w:rPr>
          <w:bCs/>
          <w:color w:val="002060"/>
          <w:sz w:val="16"/>
          <w:szCs w:val="16"/>
        </w:rPr>
        <w:t>Между тем военное ведомство, игнорируя конструкции авиаци</w:t>
      </w:r>
      <w:r w:rsidRPr="00DE096C">
        <w:rPr>
          <w:bCs/>
          <w:color w:val="002060"/>
          <w:sz w:val="16"/>
          <w:szCs w:val="16"/>
        </w:rPr>
        <w:softHyphen/>
        <w:t>онных двигателей русских изобретателей, ориентировалось на импорт французских ротативных двигателей «Гном». Аналогичные двигатели по лицензии фирмы «Гном» начали строить на авиационном заводе в Москве. Военное ведомство требовало установки на самолетах именно ротативных двигателей французского образца. Все это создавало крайне тяжелые условия для развития отечест</w:t>
      </w:r>
      <w:r w:rsidRPr="00DE096C">
        <w:rPr>
          <w:bCs/>
          <w:color w:val="002060"/>
          <w:sz w:val="16"/>
          <w:szCs w:val="16"/>
        </w:rPr>
        <w:softHyphen/>
        <w:t>венного самолетостроения. Следует добавить, что даже хорошие опытные образцы отечественных конструкций, созданные с громад</w:t>
      </w:r>
      <w:r w:rsidRPr="00DE096C">
        <w:rPr>
          <w:bCs/>
          <w:color w:val="002060"/>
          <w:sz w:val="16"/>
          <w:szCs w:val="16"/>
        </w:rPr>
        <w:softHyphen/>
        <w:t>ными трудностями и представлявшие несомненный интерес, не бы</w:t>
      </w:r>
      <w:r w:rsidRPr="00DE096C">
        <w:rPr>
          <w:bCs/>
          <w:color w:val="002060"/>
          <w:sz w:val="16"/>
          <w:szCs w:val="16"/>
        </w:rPr>
        <w:softHyphen/>
        <w:t>ли приняты (11042,245).</w:t>
      </w:r>
    </w:p>
    <w:p w14:paraId="6575A441" w14:textId="77777777" w:rsidR="00DA7D6F" w:rsidRPr="00DE096C" w:rsidRDefault="00DA7D6F" w:rsidP="00D45A46">
      <w:pPr>
        <w:jc w:val="both"/>
        <w:rPr>
          <w:bCs/>
          <w:color w:val="002060"/>
          <w:sz w:val="16"/>
          <w:szCs w:val="16"/>
        </w:rPr>
      </w:pPr>
      <w:r w:rsidRPr="00DE096C">
        <w:rPr>
          <w:bCs/>
          <w:color w:val="002060"/>
          <w:sz w:val="16"/>
          <w:szCs w:val="16"/>
        </w:rPr>
        <w:t>Единственным русским самолетом, строившимся серийно, как мы уж отмечали, являлся «Илья Муромец». В Германии накануне войны лихорадочно строились авиацион</w:t>
      </w:r>
      <w:r w:rsidRPr="00DE096C">
        <w:rPr>
          <w:bCs/>
          <w:color w:val="002060"/>
          <w:sz w:val="16"/>
          <w:szCs w:val="16"/>
        </w:rPr>
        <w:softHyphen/>
        <w:t>ные заводы. Еще в конце 1912 г. их было всего двадцать, а в июле 1913г. — уже пятьдесят с производственной мощностью около 1350 самолетов в год. Развитая автомобильная промышленность Германии обеспечивала выпуск в год не менее 850 авиационных двигателей жидкостного охлаждения. Благодаря широкому разви</w:t>
      </w:r>
      <w:r w:rsidRPr="00DE096C">
        <w:rPr>
          <w:bCs/>
          <w:color w:val="002060"/>
          <w:sz w:val="16"/>
          <w:szCs w:val="16"/>
        </w:rPr>
        <w:softHyphen/>
        <w:t>тию авиационного спорта германское командование сумело подго</w:t>
      </w:r>
      <w:r w:rsidRPr="00DE096C">
        <w:rPr>
          <w:bCs/>
          <w:color w:val="002060"/>
          <w:sz w:val="16"/>
          <w:szCs w:val="16"/>
        </w:rPr>
        <w:softHyphen/>
        <w:t>товить к началу войны около-тысячи летчиков. В 1912 г. Герман</w:t>
      </w:r>
      <w:r w:rsidRPr="00DE096C">
        <w:rPr>
          <w:bCs/>
          <w:color w:val="002060"/>
          <w:sz w:val="16"/>
          <w:szCs w:val="16"/>
        </w:rPr>
        <w:softHyphen/>
        <w:t>ский воздухоплавательный союз выдал 230 пилотских свидетельств, •а в конце 1913 г. было выдано уже 600 таких свидетельств (11042,242).</w:t>
      </w:r>
    </w:p>
    <w:p w14:paraId="6D2B2FDF" w14:textId="77777777" w:rsidR="00DA7D6F" w:rsidRPr="00DE096C" w:rsidRDefault="00DA7D6F" w:rsidP="00D45A46">
      <w:pPr>
        <w:jc w:val="both"/>
        <w:rPr>
          <w:bCs/>
          <w:color w:val="002060"/>
          <w:sz w:val="16"/>
          <w:szCs w:val="16"/>
        </w:rPr>
      </w:pPr>
      <w:r w:rsidRPr="00DE096C">
        <w:rPr>
          <w:bCs/>
          <w:color w:val="002060"/>
          <w:sz w:val="16"/>
          <w:szCs w:val="16"/>
        </w:rPr>
        <w:lastRenderedPageBreak/>
        <w:t>Немецкие и австрийские конструкторы в короткий срок создали целый ряд бипланов с тянущим винтом и с относительно мощными двигателями жидкостного охлаждения («Авиатик» Шнейдера, «Альбатрос» Хейикеля и др.). На таких самолетах немецкие летчи</w:t>
      </w:r>
      <w:r w:rsidRPr="00DE096C">
        <w:rPr>
          <w:bCs/>
          <w:color w:val="002060"/>
          <w:sz w:val="16"/>
          <w:szCs w:val="16"/>
        </w:rPr>
        <w:softHyphen/>
        <w:t>ки в первой шоловине 1914 г. сумели завоевать все мировые авиаци</w:t>
      </w:r>
      <w:r w:rsidRPr="00DE096C">
        <w:rPr>
          <w:bCs/>
          <w:color w:val="002060"/>
          <w:sz w:val="16"/>
          <w:szCs w:val="16"/>
        </w:rPr>
        <w:softHyphen/>
        <w:t>онные рекорды (11042,243).</w:t>
      </w:r>
    </w:p>
    <w:p w14:paraId="2CD86B2F" w14:textId="77777777" w:rsidR="00DA7D6F" w:rsidRPr="00DE096C" w:rsidRDefault="00DA7D6F" w:rsidP="00D45A46">
      <w:pPr>
        <w:jc w:val="both"/>
        <w:rPr>
          <w:bCs/>
          <w:color w:val="002060"/>
          <w:sz w:val="16"/>
          <w:szCs w:val="16"/>
        </w:rPr>
      </w:pPr>
      <w:r w:rsidRPr="00DE096C">
        <w:rPr>
          <w:bCs/>
          <w:color w:val="002060"/>
          <w:sz w:val="16"/>
          <w:szCs w:val="16"/>
        </w:rPr>
        <w:t>Во Франции в 1913 г. построили 541 самолет, изготовили 1065 авиационных двигателей и к середине 1914 г. подготовили 200 лет</w:t>
      </w:r>
      <w:r w:rsidRPr="00DE096C">
        <w:rPr>
          <w:bCs/>
          <w:color w:val="002060"/>
          <w:sz w:val="16"/>
          <w:szCs w:val="16"/>
        </w:rPr>
        <w:softHyphen/>
        <w:t>чиков (11042,243).</w:t>
      </w:r>
    </w:p>
    <w:p w14:paraId="0594B694" w14:textId="77777777" w:rsidR="00DA7D6F" w:rsidRPr="00DE096C" w:rsidRDefault="00DA7D6F" w:rsidP="00D45A46">
      <w:pPr>
        <w:jc w:val="both"/>
        <w:rPr>
          <w:bCs/>
          <w:color w:val="002060"/>
          <w:sz w:val="16"/>
          <w:szCs w:val="16"/>
        </w:rPr>
      </w:pPr>
      <w:r w:rsidRPr="00DE096C">
        <w:rPr>
          <w:bCs/>
          <w:color w:val="002060"/>
          <w:sz w:val="16"/>
          <w:szCs w:val="16"/>
        </w:rPr>
        <w:t>Высокоразвитая машиностроительная промышленность Англии обеспечивала ей возможность быстро развернуть производство са</w:t>
      </w:r>
      <w:r w:rsidRPr="00DE096C">
        <w:rPr>
          <w:bCs/>
          <w:color w:val="002060"/>
          <w:sz w:val="16"/>
          <w:szCs w:val="16"/>
        </w:rPr>
        <w:softHyphen/>
        <w:t>молетов и двигателей (11042,243).</w:t>
      </w:r>
    </w:p>
    <w:p w14:paraId="352D10B3" w14:textId="77777777" w:rsidR="00DA7D6F" w:rsidRPr="00DE096C" w:rsidRDefault="00DA7D6F" w:rsidP="00D45A46">
      <w:pPr>
        <w:jc w:val="both"/>
        <w:rPr>
          <w:bCs/>
          <w:color w:val="002060"/>
          <w:sz w:val="16"/>
          <w:szCs w:val="16"/>
        </w:rPr>
      </w:pPr>
      <w:r w:rsidRPr="00DE096C">
        <w:rPr>
          <w:bCs/>
          <w:color w:val="002060"/>
          <w:sz w:val="16"/>
          <w:szCs w:val="16"/>
        </w:rPr>
        <w:t>В свете приведенных цифр мнение Генерального штаба о впол</w:t>
      </w:r>
      <w:r w:rsidRPr="00DE096C">
        <w:rPr>
          <w:bCs/>
          <w:color w:val="002060"/>
          <w:sz w:val="16"/>
          <w:szCs w:val="16"/>
        </w:rPr>
        <w:softHyphen/>
        <w:t>не достаточном для успешного хода боевых операций развитии рус</w:t>
      </w:r>
      <w:r w:rsidRPr="00DE096C">
        <w:rPr>
          <w:bCs/>
          <w:color w:val="002060"/>
          <w:sz w:val="16"/>
          <w:szCs w:val="16"/>
        </w:rPr>
        <w:softHyphen/>
        <w:t>ской авиации и авиационной промышленности представляется дос</w:t>
      </w:r>
      <w:r w:rsidRPr="00DE096C">
        <w:rPr>
          <w:bCs/>
          <w:color w:val="002060"/>
          <w:sz w:val="16"/>
          <w:szCs w:val="16"/>
        </w:rPr>
        <w:softHyphen/>
        <w:t>таточно наивным. Базировалось это мнение на переоценке собственных возможностей и на явной недооценке потенциальных возможностей развертывания военно-воздушных сил Германии (11042,243).</w:t>
      </w:r>
    </w:p>
    <w:p w14:paraId="1CE68111" w14:textId="77777777" w:rsidR="00DA7D6F" w:rsidRPr="00DE096C" w:rsidRDefault="00DA7D6F" w:rsidP="00D45A46">
      <w:pPr>
        <w:jc w:val="both"/>
        <w:rPr>
          <w:bCs/>
          <w:color w:val="002060"/>
          <w:sz w:val="16"/>
          <w:szCs w:val="16"/>
        </w:rPr>
      </w:pPr>
      <w:r w:rsidRPr="00DE096C">
        <w:rPr>
          <w:bCs/>
          <w:color w:val="002060"/>
          <w:sz w:val="16"/>
          <w:szCs w:val="16"/>
        </w:rPr>
        <w:t>Общая обстановка для русской авиации накануне войны 1914— 1918 гг. складывалась довольно тяжелая. Ставка на заграничные конструкции и отсутствие необходимых материалов и квалифици</w:t>
      </w:r>
      <w:r w:rsidRPr="00DE096C">
        <w:rPr>
          <w:bCs/>
          <w:color w:val="002060"/>
          <w:sz w:val="16"/>
          <w:szCs w:val="16"/>
        </w:rPr>
        <w:softHyphen/>
        <w:t>рованных руководителей и рабочих ставили под удар боеспособ</w:t>
      </w:r>
      <w:r w:rsidRPr="00DE096C">
        <w:rPr>
          <w:bCs/>
          <w:color w:val="002060"/>
          <w:sz w:val="16"/>
          <w:szCs w:val="16"/>
        </w:rPr>
        <w:softHyphen/>
        <w:t>ность русской авиации. Многообразие находившихся на вооруже</w:t>
      </w:r>
      <w:r w:rsidRPr="00DE096C">
        <w:rPr>
          <w:bCs/>
          <w:color w:val="002060"/>
          <w:sz w:val="16"/>
          <w:szCs w:val="16"/>
        </w:rPr>
        <w:softHyphen/>
        <w:t>нии самолетов затрудняло их эксплуатацию. Находившиеся в строю самолеты были основательно потрепаны. Позже, уже в ходе войны, председатель Государственной думы Родзянко вынужден был признать, что «... материальная часть во многих отрядах была" совершенно изношена и отряды выступили на войну с аэропланами, пролетавшими два года (ЦГВИА, ф. 2000, оп. 3, д. 761, лл. 192—199) (11042,245).</w:t>
      </w:r>
    </w:p>
    <w:p w14:paraId="51F21B14" w14:textId="77777777" w:rsidR="00DA7D6F" w:rsidRPr="00DE096C" w:rsidRDefault="00DA7D6F" w:rsidP="00D45A46">
      <w:pPr>
        <w:jc w:val="both"/>
        <w:rPr>
          <w:bCs/>
          <w:color w:val="002060"/>
          <w:sz w:val="16"/>
          <w:szCs w:val="16"/>
        </w:rPr>
      </w:pPr>
    </w:p>
    <w:p w14:paraId="5005A70E" w14:textId="77777777" w:rsidR="00DA7D6F" w:rsidRPr="00DE096C" w:rsidRDefault="00DA7D6F" w:rsidP="00D45A46">
      <w:pPr>
        <w:jc w:val="both"/>
        <w:rPr>
          <w:bCs/>
          <w:color w:val="002060"/>
          <w:sz w:val="16"/>
          <w:szCs w:val="16"/>
        </w:rPr>
      </w:pPr>
      <w:r w:rsidRPr="00DE096C">
        <w:rPr>
          <w:bCs/>
          <w:color w:val="002060"/>
          <w:sz w:val="16"/>
          <w:szCs w:val="16"/>
        </w:rPr>
        <w:t>К концу июля 1914 г. к началу войны в России имелось семь авиационных заводов: завод С. С. Щетинина в Петербурге, завод «Дукс» в Москве, завод «Анатра» на юге и там же завод Терещенко, завод Слюсаренко в Риге, Русско-Балтийский завод в Риге и завод Лебедева в Петер бурге. Мощность этих заводов была невелика. Так, месячная произ</w:t>
      </w:r>
      <w:r w:rsidRPr="00DE096C">
        <w:rPr>
          <w:bCs/>
          <w:color w:val="002060"/>
          <w:sz w:val="16"/>
          <w:szCs w:val="16"/>
        </w:rPr>
        <w:softHyphen/>
        <w:t>водительность завода «Дукс» составляла 10—12 самолетов, завода. Лебедева — тоже 10—12 самолетов. Общая производственная мощ</w:t>
      </w:r>
      <w:r w:rsidRPr="00DE096C">
        <w:rPr>
          <w:bCs/>
          <w:color w:val="002060"/>
          <w:sz w:val="16"/>
          <w:szCs w:val="16"/>
        </w:rPr>
        <w:softHyphen/>
        <w:t>ность основных заводов составляла 30—40 самолетов в месяц (11042,242).</w:t>
      </w:r>
    </w:p>
    <w:p w14:paraId="03E6A74C" w14:textId="77777777" w:rsidR="00DA7D6F" w:rsidRPr="00DE096C" w:rsidRDefault="00DA7D6F" w:rsidP="00D45A46">
      <w:pPr>
        <w:jc w:val="both"/>
        <w:rPr>
          <w:bCs/>
          <w:color w:val="002060"/>
          <w:sz w:val="16"/>
          <w:szCs w:val="16"/>
        </w:rPr>
      </w:pPr>
      <w:r w:rsidRPr="00DE096C">
        <w:rPr>
          <w:bCs/>
          <w:color w:val="002060"/>
          <w:sz w:val="16"/>
          <w:szCs w:val="16"/>
        </w:rPr>
        <w:t>С двигателями дело обстояло значительно хуже. Завод «Гном». в Моске собирал из заграничных деталей 5—10 двигателей в месяц. Отделение завода «Мотор» в Риге изготовило несколько двигате</w:t>
      </w:r>
      <w:r w:rsidRPr="00DE096C">
        <w:rPr>
          <w:bCs/>
          <w:color w:val="002060"/>
          <w:sz w:val="16"/>
          <w:szCs w:val="16"/>
        </w:rPr>
        <w:softHyphen/>
        <w:t>лей системы Калепа (11042,242).</w:t>
      </w:r>
    </w:p>
    <w:p w14:paraId="42ACAE9B" w14:textId="77777777" w:rsidR="00DA7D6F" w:rsidRPr="00DE096C" w:rsidRDefault="00DA7D6F" w:rsidP="00D45A46">
      <w:pPr>
        <w:jc w:val="both"/>
        <w:rPr>
          <w:bCs/>
          <w:color w:val="002060"/>
          <w:sz w:val="16"/>
          <w:szCs w:val="16"/>
        </w:rPr>
      </w:pPr>
      <w:r w:rsidRPr="00DE096C">
        <w:rPr>
          <w:bCs/>
          <w:color w:val="002060"/>
          <w:sz w:val="16"/>
          <w:szCs w:val="16"/>
        </w:rPr>
        <w:t>От уровня подготовки кадров воздушного флота царской армии «не отставала» и авиационная промышленность. Впрочем, это внушительное наименование едва ли подходит к трем, четырем маленьким почти кустарным сборочным заводикам-мастерским, где производилась лишь сборка самолетов и моторов, части которых привозились из-за границы, преимущественно из Франции. Единственнные возможные в то время создатели отечественной авиационной промышленности — русские капиталисты и промышленники, охочие до легких прибылей и в то же время на редкость тупые и ограниченные, — не хотели рисковать капиталами для сомнительного дела, каким представлялась им«затея» авиации.</w:t>
      </w:r>
    </w:p>
    <w:p w14:paraId="75B33949" w14:textId="77777777" w:rsidR="00DA7D6F" w:rsidRPr="00DE096C" w:rsidRDefault="00DA7D6F" w:rsidP="00D45A46">
      <w:pPr>
        <w:jc w:val="both"/>
        <w:rPr>
          <w:bCs/>
          <w:color w:val="002060"/>
          <w:sz w:val="16"/>
          <w:szCs w:val="16"/>
        </w:rPr>
      </w:pPr>
    </w:p>
    <w:p w14:paraId="38732678" w14:textId="77777777" w:rsidR="0067227D" w:rsidRPr="00DE096C" w:rsidRDefault="0067227D" w:rsidP="00D45A46">
      <w:pPr>
        <w:jc w:val="both"/>
        <w:rPr>
          <w:bCs/>
          <w:color w:val="002060"/>
          <w:sz w:val="16"/>
          <w:szCs w:val="16"/>
        </w:rPr>
      </w:pPr>
      <w:r w:rsidRPr="00DE096C">
        <w:rPr>
          <w:bCs/>
          <w:color w:val="002060"/>
          <w:sz w:val="16"/>
          <w:szCs w:val="16"/>
        </w:rPr>
        <w:t>В конце июля 1914 г. накануне войны авиастроение было представлено восьмью самолетостроительными заводами и мастерскими, а также тремя авиамоторными предприятиями. Начавшаяся война очень скоро показала возможности применения авиации на фронте, что повлекло соответственно спрос на продукцию авиационных предприятий и быстрый рост требований к качеству самолетов и моторов.</w:t>
      </w:r>
    </w:p>
    <w:p w14:paraId="3497ABAD" w14:textId="77777777" w:rsidR="0067227D" w:rsidRPr="00DE096C" w:rsidRDefault="0067227D" w:rsidP="00D45A46">
      <w:pPr>
        <w:jc w:val="both"/>
        <w:rPr>
          <w:bCs/>
          <w:color w:val="002060"/>
          <w:sz w:val="16"/>
          <w:szCs w:val="16"/>
        </w:rPr>
      </w:pPr>
      <w:r w:rsidRPr="00DE096C">
        <w:rPr>
          <w:bCs/>
          <w:color w:val="002060"/>
          <w:sz w:val="16"/>
          <w:szCs w:val="16"/>
        </w:rPr>
        <w:t>В первый год войны заказы на авиаимущество русским заводам были очень невелики, соответственно незначительными являлись и их поставки самолетов и моторов. Заводы на свой страх и риск осуществляли попытки расширения производства и, конечно, вели разработку новых конструкций аппаратов и моторов. Определенное внимание было проявлено к увеличению производительности авиамоторных предприятий, так как это было наиболее узким местом отечественной авиационной промышленности, что повлекло громадные расходы военного ведомства по заказам моторов за рубежом и не менее сложную их последующую доставку. Уже в первые месяцы войны были приняты меры для расширения завода «Гном» в Москве; сооружения на новом месте эвакуированного из Риги в Москву завода «Мотор»; был устроен новый завод «Сальмсон»; заключено соглашение с акционерным обществом «Русский Рено» о постройке нового моторного завода; к работе по изготовлению запасных частей были привлечены еще 16 заводов и мастерских [РГВИА. Там же. Оп. 1. Д. 168. Л. 7.].</w:t>
      </w:r>
    </w:p>
    <w:p w14:paraId="39A1DCC5" w14:textId="77777777" w:rsidR="0067227D" w:rsidRPr="00DE096C" w:rsidRDefault="0067227D" w:rsidP="00D45A46">
      <w:pPr>
        <w:jc w:val="both"/>
        <w:rPr>
          <w:bCs/>
          <w:color w:val="002060"/>
          <w:sz w:val="16"/>
          <w:szCs w:val="16"/>
        </w:rPr>
      </w:pPr>
      <w:r w:rsidRPr="00DE096C">
        <w:rPr>
          <w:bCs/>
          <w:color w:val="002060"/>
          <w:sz w:val="16"/>
          <w:szCs w:val="16"/>
        </w:rPr>
        <w:t>В мае 1915 г. была завершена выработка плана снабжения армии авиаимуществом на срок с 1 июня 1915 г. до 1 июня 1916 г. Заложенные в плане показатели обеспечения авиационных фронтовых отрядов различными типами самолетов и моторов к ним, а также возмещение их убыли предполагали распределение большей части заказов в России [Там же. Оп. 2. Д. 12. Л. 207-208об; Там же. Оп. 21. Д. 12. Л. 42.]. Регулярно проводимые учреждениями военного ведомства совещания по вопросам снабжения армии авиаимуществом стали важным фактором развития авиационной промышленности [См.: Материалы ноябрьского совещания 1915 г. (РГВИА. Ф. 493. Оп. 4. Д. 52. Л. 93-94об.); апрельского и майского совещаний 1916 г. (РГВИА, Ф. 493. Оп. 4. Д. 83. Л. 113-114, 229-232об.) и др.]. Принятые на них программы, или их корректировки на заключительном этапе обязательно рассматривались Особым совещанием по обороне.</w:t>
      </w:r>
    </w:p>
    <w:p w14:paraId="119F5201" w14:textId="77777777" w:rsidR="0067227D" w:rsidRPr="00DE096C" w:rsidRDefault="0067227D" w:rsidP="00D45A46">
      <w:pPr>
        <w:jc w:val="both"/>
        <w:rPr>
          <w:bCs/>
          <w:color w:val="002060"/>
          <w:sz w:val="16"/>
          <w:szCs w:val="16"/>
        </w:rPr>
      </w:pPr>
      <w:r w:rsidRPr="00DE096C">
        <w:rPr>
          <w:bCs/>
          <w:color w:val="002060"/>
          <w:sz w:val="16"/>
          <w:szCs w:val="16"/>
        </w:rPr>
        <w:t>На основе этих планов в течение 1915 - 1916 гг. Особое совещание вело широкую выдачу заказов различным авиационным предприятиям с одновременным предоставлением авансов и ссуд. В июле 1915 г. было привлечено к исполнению заказов всего два моторных и шесть самолетостроительных завода. Тогда как только в сентябре - декабре 1915 г. в подготовительной комиссии по общим вопросам Особого совещания было обсуждено более десятка дел, связанных с выдачей заказов, ссуд, авансов, пособий авиационным заводам [РГВИА. Ф. 369. Оп. 8. Д. 73. Л. 3-6об. Перечень по воздухоплавательно-авиационным вопросам, обсуждавшимся в Подготовительной комиссии по общим вопросам.]. И число рассматриваемых дел, и объемы, выдаваемых заказов, в 1916 г. значительно возросли.</w:t>
      </w:r>
    </w:p>
    <w:p w14:paraId="28199B13" w14:textId="77777777" w:rsidR="0067227D" w:rsidRPr="00DE096C" w:rsidRDefault="0067227D" w:rsidP="00D45A46">
      <w:pPr>
        <w:jc w:val="both"/>
        <w:rPr>
          <w:bCs/>
          <w:color w:val="002060"/>
          <w:sz w:val="16"/>
          <w:szCs w:val="16"/>
        </w:rPr>
      </w:pPr>
      <w:r w:rsidRPr="00DE096C">
        <w:rPr>
          <w:bCs/>
          <w:color w:val="002060"/>
          <w:sz w:val="16"/>
          <w:szCs w:val="16"/>
        </w:rPr>
        <w:t>Уже с конца 1915 г. решения Особого совещания по обороне о выдаче заказов на авиационное имущество подразумевали, а часто прямо указывали на необходимость постройки нового завода или расширения старого. Недаром в отчете УВВФ за 1916 г. указывалось: «Принимавшиеся в 1916 г. меры к обеспечению авиации и воздухоплавания аэропланами, моторами и материалами шли, главным образом, по пути насаждения соответствующей отечественной промышленности, дабы в возможно большей степени освободиться от необходимости прибегать к услугам заграничной промышленности» [РГВИА. Ф. 493. Оп. 4. Д. 337. Л. 4.].</w:t>
      </w:r>
    </w:p>
    <w:p w14:paraId="795EEFE8" w14:textId="77777777" w:rsidR="0067227D" w:rsidRPr="00DE096C" w:rsidRDefault="0067227D" w:rsidP="00D45A46">
      <w:pPr>
        <w:jc w:val="both"/>
        <w:rPr>
          <w:bCs/>
          <w:color w:val="002060"/>
          <w:sz w:val="16"/>
          <w:szCs w:val="16"/>
        </w:rPr>
      </w:pPr>
      <w:r w:rsidRPr="00DE096C">
        <w:rPr>
          <w:bCs/>
          <w:color w:val="002060"/>
          <w:sz w:val="16"/>
          <w:szCs w:val="16"/>
        </w:rPr>
        <w:t>Особую роль в расширении и налаживании работы отечественных авиационных предприятий сыграла созданная в июле 1916 г. подготовительная комиссия по авиационным вопросам Особого совещания по обороне, возглавлявшаяся И.В. Гурко. Комиссия занялась, прежде всего, выработкой программы отечественного авиастроения, включая развитие самолето- и моторостроительных заводов. До этого развитие авиационной промышленности шло в значительной мере стихийно, и организующим элементом были только программы снабжения армии авиаимуществом, которые определяли сумму заказов русским авиационным заводам. Программа развития авиационного дела в России обсуждалась на нескольких заседаниях подготовительной комиссии по авиационным вопросам в течение сентября - октября 1916 г. [РГВИА. Ф. 369. Оп. 8. Д. 74. Л. 1-17 об. Журнал авиационной комиссии от 8 и 19 сентября, 6, 12, 13, 19 и 24 октября 1916 г.] Комиссия, оценивая план снабжения армии авиаимуществом на 1917 -1918 гг., выработанный в штабе авиации и согласованный с союзниками, отметила утопичность данного документа. Он совершенно не учитывал резкого отставания русской авиации от немецкой и союзнической. Комиссия старалась исходить из реальных задач, которые также требовали значительных усилий. В числе мер, которые предлагались авиационной комиссией, были: создать возможности предприятиям использовать все имеющееся оборудование; увеличить оборудование действующих заводов; соорудить новые предприятия [Там же. Л. 8об.]. Решение первой задачи было сопряжено с установлением определенного типа аппарата и невозможностью изменять его при выполнении контракта. Такая жесткая стандартизация продукции предприятий была обязательным элементов политики военного ведомства и всех организаций, занимающихся мобилизацией промышленности на оборону, что должно было способствовать внедрению индустриальных начал в отечественное производство. Для усиления планомерности заводской деятельности комиссия предлагала ввести специализацию заводов и поощрять это стремление предпринимателей выдачей соответствующих премий. Вопрос о сооружении новых предприятий был поставлен в программе применительно к отдельным частным, уже приступившим к реконструкции, и особенно был конкретизирован в отношении казенных заведений - предлагалось построить казенные аэроплановый и моторный заводы. Кроме того, в программе обращалось внимание на улучшение подготовки летных кадров и создание научного авиационного центра (так называемый Главный аэродром) [Там же. Л. 11об., 12-13.]. На заседании Особого совещания по обороне от 29 октября 1916 г. эта программа в целом была одобрена [Журналы Особого совещания по обороне государства. 1916 год. М., 1977. Вып. IV. С. 631-639.].</w:t>
      </w:r>
    </w:p>
    <w:p w14:paraId="4A268679" w14:textId="77777777" w:rsidR="0067227D" w:rsidRPr="00DE096C" w:rsidRDefault="0067227D" w:rsidP="00D45A46">
      <w:pPr>
        <w:jc w:val="both"/>
        <w:rPr>
          <w:bCs/>
          <w:color w:val="002060"/>
          <w:sz w:val="16"/>
          <w:szCs w:val="16"/>
        </w:rPr>
      </w:pPr>
      <w:r w:rsidRPr="00DE096C">
        <w:rPr>
          <w:bCs/>
          <w:color w:val="002060"/>
          <w:sz w:val="16"/>
          <w:szCs w:val="16"/>
        </w:rPr>
        <w:t>Выдача казенных заказов и специальные меры поддержки отечественной промышленности, безусловно, стимулировали развитие производства и заводское строительство в области авиации. Если перед войной было всего 11 авиационных заводов и мастерских, то на начало 1917 г. в России насчитывалось 14 самолетостроительных предприятий, на которых было занято около 12 тыс. рабочих; производство авиационных двигателей было налажено на 7 заводах, насчитывающих около 3,5 тыс. рабочих. Таким образом, всего на 21 русском авиационном предприятии трудилось 15,5 тыс. рабочих [В число заводов не входят недостроенные предприятия. Количество заводов и численность рабочих установлены на основе подсчетов данных заводских совещаний и сведений УВВФ. РГВИА. Ф. 369. Оп. 1. Д. 471, 568; Там же. Оп. 8. Д. 43, 51; Там же. Оп. 21. Д. 145; Там же. Ф. 493. Оп. 9. Д. 493.]. Суммарная средняя производительность аэроплановых заводов в месяц в конце 1916 г. составляла 200 аппаратов (довоенная - 40), а моторных - около 100 двигателей (против 10-15 до войны) [РГВИА. Ф. 369. Оп. 8. Д. 74. Л. 18-18об.]. Попытаемся раскрыть эти обобщенные данные на материалах отдельных предприятий и истории их развития в 1915 - 1917 гг.</w:t>
      </w:r>
    </w:p>
    <w:p w14:paraId="4301BF13" w14:textId="77777777" w:rsidR="0067227D" w:rsidRPr="00DE096C" w:rsidRDefault="0067227D" w:rsidP="00D45A46">
      <w:pPr>
        <w:jc w:val="both"/>
        <w:rPr>
          <w:bCs/>
          <w:color w:val="002060"/>
          <w:sz w:val="16"/>
          <w:szCs w:val="16"/>
        </w:rPr>
      </w:pPr>
      <w:r w:rsidRPr="00DE096C">
        <w:rPr>
          <w:bCs/>
          <w:color w:val="002060"/>
          <w:sz w:val="16"/>
          <w:szCs w:val="16"/>
        </w:rPr>
        <w:t xml:space="preserve">В годы войны значительно расширились, используя прямую финансовую поддержку казны, предприятия акционерного общества воздухоплавания «В. А. Лебедев», учрежденного в 1913 г. одним из первых авиаторов России. Обществу первоначально принадлежало два завода в Петербурге - самолетостроительный и завод по производству воздушных винтов «Интеграл». Для выполнения оборонных заказов было осуществлено сооружение новых построек и их оборудование станками, специальными приспособлениями на общую сумму 2,5 млн. руб. [Там же. Ф. 493. Оп. 9. Д. 56. Л. 200.] В 1916 г. на самолетостроительном заводе имелись деревообделочный, механический, слесарный, сварочный, сборочный, малярный, сушильный цеха, столярная мастерская. В них трудилось около 1500 рабочих. Хотя на заводе имелось собственное конструкторское бюро, предприятие В.А. Лебедева строило по заказам военного ведомства в основном летательные аппараты иностранных марок (Вуазен, Моран-Солье, Депердюссен) с применением двигателя «Сальмсон». Производительность завода к середине 1917 г. достигла 40-50 аппаратов в месяц (против 10 до войны) [Там же. Ф. 369. Оп. 8. Д. 74. Л. 18.], однако и при этом общество имело задолженность по выполнению контрактов. </w:t>
      </w:r>
    </w:p>
    <w:p w14:paraId="350C240E" w14:textId="77777777" w:rsidR="0067227D" w:rsidRPr="00DE096C" w:rsidRDefault="0067227D" w:rsidP="00D45A46">
      <w:pPr>
        <w:jc w:val="both"/>
        <w:rPr>
          <w:bCs/>
          <w:color w:val="002060"/>
          <w:sz w:val="16"/>
          <w:szCs w:val="16"/>
        </w:rPr>
      </w:pPr>
      <w:r w:rsidRPr="00DE096C">
        <w:rPr>
          <w:bCs/>
          <w:color w:val="002060"/>
          <w:sz w:val="16"/>
          <w:szCs w:val="16"/>
        </w:rPr>
        <w:lastRenderedPageBreak/>
        <w:t>Еще в 1915 г. встал вопрос о более существенном расширении предприятия, но имеющаяся территория в Петрограде этого не позволяла. Осенью того же года по решению Особого совещания по обороне о-ву «В. А. Лебедев» была выдана на льготных основаниях ссуда и безвозвратное пособие с целью устройства филиалов. Вскоре началось сооружение отделений в Таганроге и Пензе. Казенные суммы составили 35 % всех расходов по строительству. Таганрогский завод возводился с учетом требований конвейерного производства по системе Тейлора, был задуман, как отмечали технические инспектора УВВФ, осуществлявшие контроль за строительством весьма широко и практично. К октябрю 1917 г. главный корпус нового завода находился почти в законченном виде, были готовы сборочная и моторная, но в них не было оборудования. В механическом цехе было установлено 16 револьверных и токарных станков, а в деревообделочном – часть станков уже работала, поскольку предприятие приступило к ремонту поплавков. Большой оригинальностью отличалась постройка сборочного цеха, рассчитанного на параллельную сборку в двух потоках сухопутных и морских аэропланов [Там же. Ф. 493. Оп. 9. Д. 56.]. Уже в ноябре 1916 г. было завершено сооружение первых отделов Пензенского завода, в которых началось производство винтов. Вскоре для сборки самолетов был построен цех площадью свыше 2 тыс. м2. Экономический кризис 1917 г. не позволил полностью закончить строительство и особенно оборудование новых филиалов. Наиболее законченный из них, Таганрогский стал впоследствии основой крупнейшего авиационного завода им. Димитрова.</w:t>
      </w:r>
    </w:p>
    <w:p w14:paraId="2DCFF2FF" w14:textId="77777777" w:rsidR="0067227D" w:rsidRPr="00DE096C" w:rsidRDefault="0067227D" w:rsidP="00D45A46">
      <w:pPr>
        <w:jc w:val="both"/>
        <w:rPr>
          <w:bCs/>
          <w:color w:val="002060"/>
          <w:sz w:val="16"/>
          <w:szCs w:val="16"/>
        </w:rPr>
      </w:pPr>
      <w:r w:rsidRPr="00DE096C">
        <w:rPr>
          <w:bCs/>
          <w:color w:val="002060"/>
          <w:sz w:val="16"/>
          <w:szCs w:val="16"/>
        </w:rPr>
        <w:t>К числу первых самолетостроительных предприятий в России относился завод акционерного общества «Дукс», учрежденного в 1900 г. по инициативе Ю.А. Меллера. Еще в 1912 г. завод получил казенные заказы, что способствовало развитию производства и переходу к систематическому выпуску самолетов, в основном зарубежных моделей. Хотя в 1914 г. на предприятии было занято около 500 рабочих, производительность была невелика (10-12 аппаратов в месяц). Причиной этого были малые размеры производственных помещений, их временный характер (легкие сараи), отсутствие необходимого оборудования, материалов, недостаток квалифицированных кадров. В годы Первой мировой войны «Дукс» из небольшого предприятия превратился в один из крупнейших российских авиазаводов и оставался им на протяжении десятилетий. Основой расширения предприятия стали щедро оплачиваемые военные заказы. Еще в начале войны началось утепление временных помещений, строительство новых деревообделочного, столярного, трубоволочильного и сборочного цехов. Впоследствии расширились и частично перестроились инструментальный, механический, литейный и медницкий цеха; на Ходынском аэродроме были сооружены ангары. Как отмечала авиационная комиссия Особого совещания по обороне, завод «Дукс» отличался исправностью выполнения заказов и даже перевыполнял поставки, не получая специальных субсидий [Там же. Ф. 369. Оп. 8. Д. 75. Л. 48-50.].</w:t>
      </w:r>
    </w:p>
    <w:p w14:paraId="1DA9E62C" w14:textId="77777777" w:rsidR="0067227D" w:rsidRPr="00DE096C" w:rsidRDefault="0067227D" w:rsidP="00D45A46">
      <w:pPr>
        <w:jc w:val="both"/>
        <w:rPr>
          <w:bCs/>
          <w:color w:val="002060"/>
          <w:sz w:val="16"/>
          <w:szCs w:val="16"/>
        </w:rPr>
      </w:pPr>
      <w:r w:rsidRPr="00DE096C">
        <w:rPr>
          <w:bCs/>
          <w:color w:val="002060"/>
          <w:sz w:val="16"/>
          <w:szCs w:val="16"/>
        </w:rPr>
        <w:t>Контракты, заключенные заводом в 1916 г., потребовали его дальнейшего расширения. К концу года на предприятии было занято уже свыше 2500 рабочих, в том числе 2150 номерных; выпускалось по 100 аппаратов в месяц. Правление Общества «Дукс» наметило специальную программу развития завода. При содействии Особого совещания по обороне были приобретены земельные участки за 145 тыс. руб., на которых была начата постройка двух производственных корпусов (3-этажного и 2-этажного), нового склада аэропланов, теплого ангара, котельного здания и деревообделочной мастерской, проводилось дополнительное оборудование механической мастерской. Большинство построек к декабрю 1916 г. были близки к завершению. На основании ходатайства правления «Дукса», поддержанного авиационной комиссией, Особое совещание решением от 28 января 1917 г. выдало заводу ссуду в 550 тыс. руб. из расчета 5 % годовых (все планируемые затраты по расширению предприятия исчислялись в 1063,1 тыс. руб.) [Там же. Д. 43. Л. 4; Там же. Д. 75. Л. 96об.]. В договорах о новых заказах прямо указывалось: «Акционерное общество “Дукс” Ю.А. Меллер обязуется расширить существующий в городе Москве аэроплановый завод и увеличить его оборудование к 1-му июня 1917 г. до размеров, достаточных для выпуска аэропланов в срок» [Там же. Ф. 493. Оп. 4. Д. 295. Л. 22.]. В течение 1917 г. завод «Дукс» по заключенным контрактам получил аванс свыше 1,3 млн. руб. и беспроцентную ссуду в 2758 тыс. руб. На предприятии в это время было занято около 3 тыс. рабочих; осуществлялось производство велосипедов, мотоциклов, дирижаблей, самолетов, аэросаней, дрезин. Впоследствии это было одно из ведущих авиационных предприятий СССР («Знамя труда»).</w:t>
      </w:r>
    </w:p>
    <w:p w14:paraId="19EFEF0B" w14:textId="77777777" w:rsidR="0067227D" w:rsidRPr="00DE096C" w:rsidRDefault="0067227D" w:rsidP="00D45A46">
      <w:pPr>
        <w:jc w:val="both"/>
        <w:rPr>
          <w:bCs/>
          <w:color w:val="002060"/>
          <w:sz w:val="16"/>
          <w:szCs w:val="16"/>
        </w:rPr>
      </w:pPr>
      <w:r w:rsidRPr="00DE096C">
        <w:rPr>
          <w:bCs/>
          <w:color w:val="002060"/>
          <w:sz w:val="16"/>
          <w:szCs w:val="16"/>
        </w:rPr>
        <w:t>К расширению производства, в том числе и через новое строительство, стремились и другие российские самолетостроительные заводы. Известный своими достижениями в области гидроавиации Петроградский завод Товарищества С.С. Щетинина на основании решения Особого совещания по обороне (ноябрь 1915 г.) начинает строительство большого авиационного предприятия в Ярославле. На его сооружение и оборудование казной были выделены ссуда в 338,7 тыс. руб. и безвозвратное пособие - около 300 тыс. руб. К концу 1916 г. было выстроено два больших корпуса. Хотя новое предприятие в 1917 г. получило заказ военного ведомства на поставку 180 «Спадов», его выполнение не началось, так как не прибыло оборудование, заказанное в США [Там же. Ф. 493. Оп. 4. Д. 51. Л. 3; Там же. Оп. 9. Д. 41. Л. 14об., 16об.].</w:t>
      </w:r>
    </w:p>
    <w:p w14:paraId="24B2304C" w14:textId="77777777" w:rsidR="0067227D" w:rsidRPr="00DE096C" w:rsidRDefault="0067227D" w:rsidP="00D45A46">
      <w:pPr>
        <w:jc w:val="both"/>
        <w:rPr>
          <w:bCs/>
          <w:color w:val="002060"/>
          <w:sz w:val="16"/>
          <w:szCs w:val="16"/>
        </w:rPr>
      </w:pPr>
      <w:r w:rsidRPr="00DE096C">
        <w:rPr>
          <w:bCs/>
          <w:color w:val="002060"/>
          <w:sz w:val="16"/>
          <w:szCs w:val="16"/>
        </w:rPr>
        <w:t>Ведущим в группе южно-российских предприятий был авиационный завод банкира А.А. Анатра в Одессе. В годы войны на заводе были сделаны новые постройки, установлено дополнительно 200 станков. Одесский завод целиком работал на фронт. Расширение предприятия происходило в соответствии с казенными заказами и при материальной поддержке со стороны военного ведомства. С целью получения более значительных новых заказов А.А. Анатра осуществил постройку нового завода в Симферополе с аэропланным и моторным отделениями. Сооружение предприятия началось в феврале 1916 г. В выстроенных механическом, деревообделочном и сборочном цехах было установлено 150 станков. В 1917 г. самолетостроительное отделение было пущено в ход. На предприятии было занято около тысячи рабочих, однако недостаточность оборудования не позволила выйти на проектную производительность [Там же. Ф. 493. Оп. 9. Л. 89; Там же. Д. 56. Л. 200.].</w:t>
      </w:r>
    </w:p>
    <w:p w14:paraId="62F38908" w14:textId="77777777" w:rsidR="0067227D" w:rsidRPr="00DE096C" w:rsidRDefault="0067227D" w:rsidP="00D45A46">
      <w:pPr>
        <w:jc w:val="both"/>
        <w:rPr>
          <w:bCs/>
          <w:color w:val="002060"/>
          <w:sz w:val="16"/>
          <w:szCs w:val="16"/>
        </w:rPr>
      </w:pPr>
      <w:r w:rsidRPr="00DE096C">
        <w:rPr>
          <w:bCs/>
          <w:color w:val="002060"/>
          <w:sz w:val="16"/>
          <w:szCs w:val="16"/>
        </w:rPr>
        <w:t>Благодаря регулярному получению правительственных заказов на изготовление учебных аппаратов, сопровождавшихся, как правило, выдачей 30- процентного аванса, в заводское предприятие превратилась авиационная мастерская В.В. Слюсаренко. В 1916 г. было учреждено акционерное общество Петроградского аэропланостроительного завода В.В. Слюсаренко, численность занятых рабочих на котором составляла около 300 человек. Была построена новая механическая мастерская, но оборудование предприятия оставалось незначительным [Там же. Оп. 4. Д. 84. Л. 1-8; Там же. Оп. 9. Д. 56. Л. 200.].</w:t>
      </w:r>
    </w:p>
    <w:p w14:paraId="33DCE54D" w14:textId="77777777" w:rsidR="0067227D" w:rsidRPr="00DE096C" w:rsidRDefault="0067227D" w:rsidP="00D45A46">
      <w:pPr>
        <w:jc w:val="both"/>
        <w:rPr>
          <w:bCs/>
          <w:color w:val="002060"/>
          <w:sz w:val="16"/>
          <w:szCs w:val="16"/>
        </w:rPr>
      </w:pPr>
      <w:r w:rsidRPr="00DE096C">
        <w:rPr>
          <w:bCs/>
          <w:color w:val="002060"/>
          <w:sz w:val="16"/>
          <w:szCs w:val="16"/>
        </w:rPr>
        <w:t>В годы войны открылся ряд новых самолетостроительных предприятий, получавших заказы на изготовление аппаратов: московские мастерские летчика-спортсмена, проектировщика, итальянца Ф. Моска, А.А. Пороховщикова, торгового дома Безобразова, технической конторы «И.И. Стеглау», товарищества Липецких аэропланостроительных мастерских [РГВИА. Ф. 493. Оп. 9. Д. 56. Л. 200; Там же. Ф. 369. Оп. 8. Д. 74. Л. 18; Там же. Ф. 493. Оп. 4. Д. 384; Там же. Д. 56. Л. 200; Там же. Ф. 369. Оп. 8. Д. 74. Л. 18.] (11863).</w:t>
      </w:r>
    </w:p>
    <w:p w14:paraId="3C559C4E" w14:textId="77777777" w:rsidR="0067227D" w:rsidRPr="00DE096C" w:rsidRDefault="0067227D" w:rsidP="00D45A46">
      <w:pPr>
        <w:jc w:val="both"/>
        <w:rPr>
          <w:bCs/>
          <w:color w:val="002060"/>
          <w:sz w:val="16"/>
          <w:szCs w:val="16"/>
        </w:rPr>
      </w:pPr>
    </w:p>
    <w:p w14:paraId="77A9A292" w14:textId="77777777" w:rsidR="00DA7D6F" w:rsidRPr="00DE096C" w:rsidRDefault="00DA7D6F" w:rsidP="00D45A46">
      <w:pPr>
        <w:jc w:val="both"/>
        <w:rPr>
          <w:bCs/>
          <w:color w:val="002060"/>
          <w:sz w:val="16"/>
          <w:szCs w:val="16"/>
        </w:rPr>
      </w:pPr>
      <w:r w:rsidRPr="00DE096C">
        <w:rPr>
          <w:bCs/>
          <w:color w:val="002060"/>
          <w:sz w:val="16"/>
          <w:szCs w:val="16"/>
        </w:rPr>
        <w:t xml:space="preserve">К концу июля 1914 г. в канун первой мировой войны Петербург являлся крупнейшим в стране центром авиационной промышленности и подготовки кадров авиаторов и конструкторов. В магазине на Конногвардейском бульваре продавались модели аэропланов фабричного изготовления по 30-40 рублей за штуку и восемь различных комплектов бумажных заготовок аэропланов и дирижаблей для детей, предназначавшихся для домашней склейки (они стоили от 15 до 30 копеек). Петербург уже тогда имел два аэродрома внутри города, еще несколько располагались вокруг него. В 1910-е годы в Политехническом институте и в Офицерской школе работали две аэродинамические трубы, а в том же Политехе и Институте инженеров путей сообщения читались факультативные курсы воздухоплавания. На Невском, 65, еще с 1901 г. работала единственная в городе юридическая контора, специализирующаяся на защите прав изобретателей в сфере воздухоплавания. </w:t>
      </w:r>
    </w:p>
    <w:p w14:paraId="41CEC163" w14:textId="77777777" w:rsidR="00DA7D6F" w:rsidRPr="00DE096C" w:rsidRDefault="00DA7D6F" w:rsidP="00D45A46">
      <w:pPr>
        <w:jc w:val="both"/>
        <w:rPr>
          <w:bCs/>
          <w:color w:val="002060"/>
          <w:sz w:val="16"/>
          <w:szCs w:val="16"/>
        </w:rPr>
      </w:pPr>
    </w:p>
    <w:p w14:paraId="33DDC0AB" w14:textId="77777777" w:rsidR="00DA7D6F" w:rsidRPr="00DE096C" w:rsidRDefault="00DA7D6F" w:rsidP="00D45A46">
      <w:pPr>
        <w:jc w:val="both"/>
        <w:rPr>
          <w:bCs/>
          <w:color w:val="002060"/>
          <w:sz w:val="16"/>
          <w:szCs w:val="16"/>
        </w:rPr>
      </w:pPr>
      <w:r w:rsidRPr="00DE096C">
        <w:rPr>
          <w:bCs/>
          <w:color w:val="002060"/>
          <w:sz w:val="16"/>
          <w:szCs w:val="16"/>
        </w:rPr>
        <w:t>К концу июля 1914 г. к началу войны 1914—1918 гг., согласно Начальнику Главного военно-технического управления генерал-лейтенанту Роппу, который в своем «разъяснении» писал, что: «почти все моторы и материалы для постройки аэ</w:t>
      </w:r>
      <w:r w:rsidRPr="00DE096C">
        <w:rPr>
          <w:bCs/>
          <w:color w:val="002060"/>
          <w:sz w:val="16"/>
          <w:szCs w:val="16"/>
        </w:rPr>
        <w:softHyphen/>
        <w:t>ропланов получались из-за границы. Организованный ранее Глав</w:t>
      </w:r>
      <w:r w:rsidRPr="00DE096C">
        <w:rPr>
          <w:bCs/>
          <w:color w:val="002060"/>
          <w:sz w:val="16"/>
          <w:szCs w:val="16"/>
        </w:rPr>
        <w:softHyphen/>
        <w:t>ным инженерным управлением завод моторов «Гном» в Москве за отсутствием заказов почти прекратил свое существование» (Разъяснения, данные начальником Главного военно-технического управле</w:t>
      </w:r>
      <w:r w:rsidRPr="00DE096C">
        <w:rPr>
          <w:bCs/>
          <w:color w:val="002060"/>
          <w:sz w:val="16"/>
          <w:szCs w:val="16"/>
        </w:rPr>
        <w:softHyphen/>
        <w:t>ния особому совещанию о состоянии снабжения армии предметами технического имущества в сентябре 1915 г.) (11042,136).</w:t>
      </w:r>
    </w:p>
    <w:p w14:paraId="5D352175" w14:textId="77777777" w:rsidR="00DA7D6F" w:rsidRPr="00DE096C" w:rsidRDefault="00DA7D6F" w:rsidP="00D45A46">
      <w:pPr>
        <w:jc w:val="both"/>
        <w:rPr>
          <w:bCs/>
          <w:color w:val="002060"/>
          <w:sz w:val="16"/>
          <w:szCs w:val="16"/>
        </w:rPr>
      </w:pPr>
    </w:p>
    <w:p w14:paraId="5A516E54" w14:textId="77777777" w:rsidR="00DA7D6F" w:rsidRPr="00DE096C" w:rsidRDefault="00DA7D6F" w:rsidP="00D45A46">
      <w:pPr>
        <w:jc w:val="both"/>
        <w:rPr>
          <w:bCs/>
          <w:color w:val="002060"/>
          <w:sz w:val="16"/>
          <w:szCs w:val="16"/>
        </w:rPr>
      </w:pPr>
      <w:r w:rsidRPr="00DE096C">
        <w:rPr>
          <w:bCs/>
          <w:color w:val="002060"/>
          <w:sz w:val="16"/>
          <w:szCs w:val="16"/>
        </w:rPr>
        <w:t>К концу июля 1914 г. к началу первой мировой войны в России в массовом произ</w:t>
      </w:r>
      <w:r w:rsidRPr="00DE096C">
        <w:rPr>
          <w:bCs/>
          <w:color w:val="002060"/>
          <w:sz w:val="16"/>
          <w:szCs w:val="16"/>
        </w:rPr>
        <w:softHyphen/>
        <w:t>водстве не было ни одного отечественного двигателя. Имелось несколь</w:t>
      </w:r>
      <w:r w:rsidRPr="00DE096C">
        <w:rPr>
          <w:bCs/>
          <w:color w:val="002060"/>
          <w:sz w:val="16"/>
          <w:szCs w:val="16"/>
        </w:rPr>
        <w:softHyphen/>
        <w:t>ко заводов и мастерских, которые занимались производством иностран</w:t>
      </w:r>
      <w:r w:rsidRPr="00DE096C">
        <w:rPr>
          <w:bCs/>
          <w:color w:val="002060"/>
          <w:sz w:val="16"/>
          <w:szCs w:val="16"/>
        </w:rPr>
        <w:softHyphen/>
        <w:t>ных двигателей либо по лицензиям, либо сборкой из деталей иностран</w:t>
      </w:r>
      <w:r w:rsidRPr="00DE096C">
        <w:rPr>
          <w:bCs/>
          <w:color w:val="002060"/>
          <w:sz w:val="16"/>
          <w:szCs w:val="16"/>
        </w:rPr>
        <w:softHyphen/>
        <w:t>ных фирм.</w:t>
      </w:r>
    </w:p>
    <w:p w14:paraId="01026AC8" w14:textId="77777777" w:rsidR="00DA7D6F" w:rsidRPr="00DE096C" w:rsidRDefault="00DA7D6F" w:rsidP="00D45A46">
      <w:pPr>
        <w:jc w:val="both"/>
        <w:rPr>
          <w:bCs/>
          <w:color w:val="002060"/>
          <w:sz w:val="16"/>
          <w:szCs w:val="16"/>
        </w:rPr>
      </w:pPr>
      <w:r w:rsidRPr="00DE096C">
        <w:rPr>
          <w:bCs/>
          <w:color w:val="002060"/>
          <w:sz w:val="16"/>
          <w:szCs w:val="16"/>
        </w:rPr>
        <w:t>Французское акционерное общество «Гном» построило в Москве при</w:t>
      </w:r>
      <w:r w:rsidRPr="00DE096C">
        <w:rPr>
          <w:bCs/>
          <w:color w:val="002060"/>
          <w:sz w:val="16"/>
          <w:szCs w:val="16"/>
        </w:rPr>
        <w:softHyphen/>
        <w:t>митивные мастерские по сборке своих двигателей, и в августе 1913 г. был выпущен первый двигатель «Гном» мощностью 70 л.с. С 1914 г. выросший на базе этих мастерских завод «Гном и Рон» начал выпускать ротативные двига</w:t>
      </w:r>
      <w:r w:rsidRPr="00DE096C">
        <w:rPr>
          <w:bCs/>
          <w:color w:val="002060"/>
          <w:sz w:val="16"/>
          <w:szCs w:val="16"/>
        </w:rPr>
        <w:softHyphen/>
        <w:t>тели «Рон» (мощностью 80 л.с.) и «Гном-Моносупап» (мощностью!00 л.с.).</w:t>
      </w:r>
    </w:p>
    <w:p w14:paraId="54C71B19" w14:textId="77777777" w:rsidR="00DA7D6F" w:rsidRPr="00DE096C" w:rsidRDefault="00DA7D6F" w:rsidP="00D45A46">
      <w:pPr>
        <w:jc w:val="both"/>
        <w:rPr>
          <w:bCs/>
          <w:color w:val="002060"/>
          <w:sz w:val="16"/>
          <w:szCs w:val="16"/>
        </w:rPr>
      </w:pPr>
      <w:r w:rsidRPr="00DE096C">
        <w:rPr>
          <w:bCs/>
          <w:color w:val="002060"/>
          <w:sz w:val="16"/>
          <w:szCs w:val="16"/>
        </w:rPr>
        <w:t>В 1914-1915гг. производительность завода составляла около 15дви-гателей в месяц, а после расширения завода в 1916 г. он начал выпускать до 40 двигателей в месяц. Двигатели «Рон-80» и «Гном-Моносупап-100» устанавливались на самолетах конструкторов И.И. Сикорского, Д.П. Гри</w:t>
      </w:r>
      <w:r w:rsidRPr="00DE096C">
        <w:rPr>
          <w:bCs/>
          <w:color w:val="002060"/>
          <w:sz w:val="16"/>
          <w:szCs w:val="16"/>
        </w:rPr>
        <w:softHyphen/>
        <w:t>горовича, А.А. Пороховщикова и др., а также на опытных и серийных само</w:t>
      </w:r>
      <w:r w:rsidRPr="00DE096C">
        <w:rPr>
          <w:bCs/>
          <w:color w:val="002060"/>
          <w:sz w:val="16"/>
          <w:szCs w:val="16"/>
        </w:rPr>
        <w:softHyphen/>
        <w:t>летах акционерного общества В.А. Лебедева в Петербурге и заводов А.А. Анатра в Одессе и Симферополе (11425).</w:t>
      </w:r>
    </w:p>
    <w:p w14:paraId="756780DF" w14:textId="77777777" w:rsidR="00DA7D6F" w:rsidRPr="00DE096C" w:rsidRDefault="00DA7D6F" w:rsidP="00D45A46">
      <w:pPr>
        <w:jc w:val="both"/>
        <w:rPr>
          <w:bCs/>
          <w:color w:val="002060"/>
          <w:sz w:val="16"/>
          <w:szCs w:val="16"/>
        </w:rPr>
      </w:pPr>
    </w:p>
    <w:p w14:paraId="1EC7DACF" w14:textId="77777777" w:rsidR="00DA7D6F" w:rsidRPr="00DE096C" w:rsidRDefault="00DA7D6F" w:rsidP="00D45A46">
      <w:pPr>
        <w:jc w:val="both"/>
        <w:rPr>
          <w:bCs/>
          <w:color w:val="002060"/>
          <w:sz w:val="16"/>
          <w:szCs w:val="16"/>
        </w:rPr>
      </w:pPr>
      <w:r w:rsidRPr="00DE096C">
        <w:rPr>
          <w:bCs/>
          <w:color w:val="002060"/>
          <w:sz w:val="16"/>
          <w:szCs w:val="16"/>
        </w:rPr>
        <w:t>К концу июля 1914 г. накануне войны русские авиаотряды имели на вооружении в большинстве случаев «Ньюпор-4». Этот двухместный моноплан не обладал ни удовлетворительным радиусом действия, ни доста</w:t>
      </w:r>
      <w:r w:rsidRPr="00DE096C">
        <w:rPr>
          <w:bCs/>
          <w:color w:val="002060"/>
          <w:sz w:val="16"/>
          <w:szCs w:val="16"/>
        </w:rPr>
        <w:softHyphen/>
        <w:t>точной грузоподъемностью, что поставило русский военно-воздуш</w:t>
      </w:r>
      <w:r w:rsidRPr="00DE096C">
        <w:rPr>
          <w:bCs/>
          <w:color w:val="002060"/>
          <w:sz w:val="16"/>
          <w:szCs w:val="16"/>
        </w:rPr>
        <w:softHyphen/>
        <w:t>ный флот в начале войны в весьма затруднительное положение. Биплан как более грузоподъемный и обладавший относительно большим радиусом действия и хорошим обзором рассматривался военным ведомством в качестве наилучшей боевой машины (9705,95).</w:t>
      </w:r>
    </w:p>
    <w:p w14:paraId="7421EAF9" w14:textId="77777777" w:rsidR="00DA7D6F" w:rsidRPr="00DE096C" w:rsidRDefault="00DA7D6F" w:rsidP="00D45A46">
      <w:pPr>
        <w:jc w:val="both"/>
        <w:rPr>
          <w:bCs/>
          <w:color w:val="002060"/>
          <w:sz w:val="16"/>
          <w:szCs w:val="16"/>
        </w:rPr>
      </w:pPr>
    </w:p>
    <w:p w14:paraId="54404000" w14:textId="77777777" w:rsidR="00DA7D6F" w:rsidRPr="00DE096C" w:rsidRDefault="00DA7D6F" w:rsidP="00D45A46">
      <w:pPr>
        <w:jc w:val="both"/>
        <w:rPr>
          <w:bCs/>
          <w:color w:val="002060"/>
          <w:sz w:val="16"/>
          <w:szCs w:val="16"/>
        </w:rPr>
      </w:pPr>
      <w:r w:rsidRPr="00DE096C">
        <w:rPr>
          <w:bCs/>
          <w:color w:val="002060"/>
          <w:sz w:val="16"/>
          <w:szCs w:val="16"/>
        </w:rPr>
        <w:t>К концу июля и к августу 1914 г. ни одна страна мира не имела серийных более или менее эффективных авиационных бомб.</w:t>
      </w:r>
    </w:p>
    <w:p w14:paraId="3FE42F6B" w14:textId="77777777" w:rsidR="00DA7D6F" w:rsidRPr="00DE096C" w:rsidRDefault="00DA7D6F" w:rsidP="00D45A46">
      <w:pPr>
        <w:jc w:val="both"/>
        <w:rPr>
          <w:bCs/>
          <w:color w:val="002060"/>
          <w:sz w:val="16"/>
          <w:szCs w:val="16"/>
        </w:rPr>
      </w:pPr>
      <w:r w:rsidRPr="00DE096C">
        <w:rPr>
          <w:bCs/>
          <w:color w:val="002060"/>
          <w:sz w:val="16"/>
          <w:szCs w:val="16"/>
        </w:rPr>
        <w:t xml:space="preserve">В 1914-1915 гг. в основном применялись самодельные бомбы цилиндрической и сферической формы, но со временем их вытеснили бомбы каплевидной формы. </w:t>
      </w:r>
    </w:p>
    <w:p w14:paraId="2FFBF988" w14:textId="77777777" w:rsidR="00DA7D6F" w:rsidRPr="00DE096C" w:rsidRDefault="00DA7D6F" w:rsidP="00D45A46">
      <w:pPr>
        <w:jc w:val="both"/>
        <w:rPr>
          <w:bCs/>
          <w:color w:val="002060"/>
          <w:sz w:val="16"/>
          <w:szCs w:val="16"/>
        </w:rPr>
      </w:pPr>
      <w:r w:rsidRPr="00DE096C">
        <w:rPr>
          <w:bCs/>
          <w:color w:val="002060"/>
          <w:sz w:val="16"/>
          <w:szCs w:val="16"/>
        </w:rPr>
        <w:t xml:space="preserve">Во всех воюющих странах пытались также использовать в качестве авиационных бомб артиллерийские снаряды калибра 75 мм и выше. В частности, в России в 1914 г. полковник Печенкин снабдил 42-линейные (122-мм) гаубичные снаряды специальной ударной трубкой. Для устойчивости в падении к снарядам прикреплялся </w:t>
      </w:r>
      <w:r w:rsidRPr="00DE096C">
        <w:rPr>
          <w:bCs/>
          <w:color w:val="002060"/>
          <w:sz w:val="16"/>
          <w:szCs w:val="16"/>
        </w:rPr>
        <w:lastRenderedPageBreak/>
        <w:t xml:space="preserve">стабилизатор. Но эти первые авиационные бомбы не отвечали требованиям воздушного бомбометания. Устойчивость бомбы была недостаточна, очень часто они падали боком, и поэтому взрыватели не действовали. </w:t>
      </w:r>
    </w:p>
    <w:p w14:paraId="70A0B231" w14:textId="77777777" w:rsidR="00DA7D6F" w:rsidRPr="00DE096C" w:rsidRDefault="00DA7D6F" w:rsidP="00D45A46">
      <w:pPr>
        <w:jc w:val="both"/>
        <w:rPr>
          <w:bCs/>
          <w:color w:val="002060"/>
          <w:sz w:val="16"/>
          <w:szCs w:val="16"/>
        </w:rPr>
      </w:pPr>
      <w:r w:rsidRPr="00DE096C">
        <w:rPr>
          <w:bCs/>
          <w:color w:val="002060"/>
          <w:sz w:val="16"/>
          <w:szCs w:val="16"/>
        </w:rPr>
        <w:t>В дальнейшем для снаряжения бомб, переделанных из снарядов, был сконструирован специальный взрыватель, действовавший при ударе бомбы о землю любой стороной. Однако с учетом стоимости артиллерийского снаряда, это было слишком дорогим удовольствием. Исключение представляла ситуация, когда в авиабомбы переделывались снаряды, снятые с артиллерийского вооружения.</w:t>
      </w:r>
    </w:p>
    <w:p w14:paraId="5FE0EF32" w14:textId="77777777" w:rsidR="00DA7D6F" w:rsidRPr="00DE096C" w:rsidRDefault="00DA7D6F" w:rsidP="00D45A46">
      <w:pPr>
        <w:jc w:val="both"/>
        <w:rPr>
          <w:bCs/>
          <w:color w:val="002060"/>
          <w:sz w:val="16"/>
          <w:szCs w:val="16"/>
        </w:rPr>
      </w:pPr>
      <w:r w:rsidRPr="00DE096C">
        <w:rPr>
          <w:bCs/>
          <w:color w:val="002060"/>
          <w:sz w:val="16"/>
          <w:szCs w:val="16"/>
        </w:rPr>
        <w:t>В любом случае, вопрос создания пригодных для вооружения самолетов авиабомб оставался открытым.</w:t>
      </w:r>
    </w:p>
    <w:p w14:paraId="5345327F" w14:textId="77777777" w:rsidR="00DA7D6F" w:rsidRPr="00DE096C" w:rsidRDefault="00DA7D6F" w:rsidP="00D45A46">
      <w:pPr>
        <w:jc w:val="both"/>
        <w:rPr>
          <w:bCs/>
          <w:color w:val="002060"/>
          <w:sz w:val="16"/>
          <w:szCs w:val="16"/>
        </w:rPr>
      </w:pPr>
      <w:r w:rsidRPr="00DE096C">
        <w:rPr>
          <w:bCs/>
          <w:color w:val="002060"/>
          <w:sz w:val="16"/>
          <w:szCs w:val="16"/>
        </w:rPr>
        <w:t xml:space="preserve">Уже первые боевые полеты самолета "Илья Муромец" в глубокий тыл противника сопровождались сбрасыванием бомб на военные объекты. Эти самолеты в то время брали 15- 20 бомб, в основном пудовых и 25-фунтовых. Возможности бомбометания ограничивало отсутствие авиабомб достаточной мощности и прицелов. Россия располагала разработанными капитаном Толмачевым каплевидными бомбами для сбрасывания с дирижаблей. Но практика бомбометания показала, что для тяжелых самолетов типа "Илья Муромец" нужны авиабомбы крупного калибра. Военное ведомство поставило перед учеными и специалистами задачу создания фугасных, осколочных и зажигательных бомб. К разрешению этой задачи был привлечен и профессор Н. Е. Жуковский. А пока не появились специальные авиабомбы, практики летного дела осуществляли бомбардировки неприятеля с помощью примитивных авиабомб и специальных стрел. </w:t>
      </w:r>
    </w:p>
    <w:p w14:paraId="20AF0A1B" w14:textId="77777777" w:rsidR="00DA7D6F" w:rsidRPr="00DE096C" w:rsidRDefault="00DA7D6F" w:rsidP="00D45A46">
      <w:pPr>
        <w:jc w:val="both"/>
        <w:rPr>
          <w:bCs/>
          <w:color w:val="002060"/>
          <w:sz w:val="16"/>
          <w:szCs w:val="16"/>
        </w:rPr>
      </w:pPr>
      <w:r w:rsidRPr="00DE096C">
        <w:rPr>
          <w:bCs/>
          <w:color w:val="002060"/>
          <w:sz w:val="16"/>
          <w:szCs w:val="16"/>
        </w:rPr>
        <w:t>Полковнику Печенкину удалось разработать специальные ударные трубки и применить их к 42-линейным гаубичным снарядам, которые сбрасывались с аэропланов взамен авиабомб. Воздухоплавательное отделение ГВТУ отмечало, что это усовершенствование "дало возможность в первое время войны, когда других снарядов не имелось, производить бомбометание с аэропланов". Одновременно в мастерских авиационных отрядов началось изготовление специальных пуль для поражения кавалерии и пехоты противника. Эти пули применялись наряду с трофейными стальными стрелами. Пули и стрелы размещались в специальных кассетах, которые подвешивались под фюзеляжем самолета, и выбрасывались на цели из ячеек кассеты пачками. Падение пуль и стрел сопровождалось резким свистом, действовавшим на психику противника (11237).</w:t>
      </w:r>
    </w:p>
    <w:p w14:paraId="76236AB9" w14:textId="77777777" w:rsidR="00DA7D6F" w:rsidRPr="00DE096C" w:rsidRDefault="00DA7D6F" w:rsidP="00D45A46">
      <w:pPr>
        <w:jc w:val="both"/>
        <w:rPr>
          <w:bCs/>
          <w:color w:val="002060"/>
          <w:sz w:val="16"/>
          <w:szCs w:val="16"/>
        </w:rPr>
      </w:pPr>
    </w:p>
    <w:p w14:paraId="47C22EE5" w14:textId="77777777" w:rsidR="00DA7D6F" w:rsidRPr="00DE096C" w:rsidRDefault="00DA7D6F" w:rsidP="00D45A46">
      <w:pPr>
        <w:jc w:val="both"/>
        <w:rPr>
          <w:bCs/>
          <w:color w:val="002060"/>
          <w:sz w:val="16"/>
          <w:szCs w:val="16"/>
        </w:rPr>
      </w:pPr>
      <w:r w:rsidRPr="00DE096C">
        <w:rPr>
          <w:bCs/>
          <w:color w:val="002060"/>
          <w:sz w:val="16"/>
          <w:szCs w:val="16"/>
        </w:rPr>
        <w:t>К концу июля 1914 г. к началу первой мировой войны 1914—1918 гг. Россия распола</w:t>
      </w:r>
      <w:r w:rsidRPr="00DE096C">
        <w:rPr>
          <w:bCs/>
          <w:color w:val="002060"/>
          <w:sz w:val="16"/>
          <w:szCs w:val="16"/>
        </w:rPr>
        <w:softHyphen/>
        <w:t>гала уже достаточно совершенными установками для сбрасывания бомб (11042,165).</w:t>
      </w:r>
    </w:p>
    <w:p w14:paraId="7F8DF269" w14:textId="77777777" w:rsidR="00DA7D6F" w:rsidRPr="00DE096C" w:rsidRDefault="00DA7D6F" w:rsidP="00D45A46">
      <w:pPr>
        <w:jc w:val="both"/>
        <w:rPr>
          <w:bCs/>
          <w:color w:val="002060"/>
          <w:sz w:val="16"/>
          <w:szCs w:val="16"/>
        </w:rPr>
      </w:pPr>
      <w:r w:rsidRPr="00DE096C">
        <w:rPr>
          <w:bCs/>
          <w:color w:val="002060"/>
          <w:sz w:val="16"/>
          <w:szCs w:val="16"/>
        </w:rPr>
        <w:t>Военные дирижабли призваны были бомбить узловые станции и переправы противника, уничтожать военные заводы, разрушать корабли на ве'рфях, уничтожать эллинги, сжигать угольные склады в военных гаванях, уничтожать склады в тылу противника, бом</w:t>
      </w:r>
      <w:r w:rsidRPr="00DE096C">
        <w:rPr>
          <w:bCs/>
          <w:color w:val="002060"/>
          <w:sz w:val="16"/>
          <w:szCs w:val="16"/>
        </w:rPr>
        <w:softHyphen/>
        <w:t>бить морские суда и вести глубокую разведку на море. Таковы основные задачи, ставившиеся перед дирижаблями русским Гене</w:t>
      </w:r>
      <w:r w:rsidRPr="00DE096C">
        <w:rPr>
          <w:bCs/>
          <w:color w:val="002060"/>
          <w:sz w:val="16"/>
          <w:szCs w:val="16"/>
        </w:rPr>
        <w:softHyphen/>
        <w:t>ральным штабом (11042,165).</w:t>
      </w:r>
    </w:p>
    <w:p w14:paraId="0399A394" w14:textId="77777777" w:rsidR="00DA7D6F" w:rsidRPr="00DE096C" w:rsidRDefault="00DA7D6F" w:rsidP="00D45A46">
      <w:pPr>
        <w:jc w:val="both"/>
        <w:rPr>
          <w:bCs/>
          <w:color w:val="002060"/>
          <w:sz w:val="16"/>
          <w:szCs w:val="16"/>
        </w:rPr>
      </w:pPr>
    </w:p>
    <w:p w14:paraId="17A015AB" w14:textId="3FE04E18" w:rsidR="00ED6624" w:rsidRPr="00DE096C" w:rsidRDefault="00ED6624" w:rsidP="00D45A46">
      <w:pPr>
        <w:jc w:val="both"/>
        <w:rPr>
          <w:bCs/>
          <w:color w:val="002060"/>
          <w:sz w:val="16"/>
          <w:szCs w:val="16"/>
        </w:rPr>
      </w:pPr>
      <w:r w:rsidRPr="00DE096C">
        <w:rPr>
          <w:bCs/>
          <w:color w:val="002060"/>
          <w:sz w:val="16"/>
          <w:szCs w:val="16"/>
        </w:rPr>
        <w:t>В конце июля 1914 г. Морскому генеральному штабу удалось приобрести два С- 10 с двигателями мощностью 124 л.с. и заказать самолеты типа "Дюпердюссен" со сменным шасси (11927).</w:t>
      </w:r>
    </w:p>
    <w:p w14:paraId="736C0933" w14:textId="77777777" w:rsidR="00ED6624" w:rsidRPr="00DE096C" w:rsidRDefault="00ED6624" w:rsidP="00D45A46">
      <w:pPr>
        <w:jc w:val="both"/>
        <w:rPr>
          <w:bCs/>
          <w:color w:val="002060"/>
          <w:sz w:val="16"/>
          <w:szCs w:val="16"/>
        </w:rPr>
      </w:pPr>
    </w:p>
    <w:p w14:paraId="78584389" w14:textId="77777777" w:rsidR="00A72DC4" w:rsidRPr="00DE096C" w:rsidRDefault="00A72DC4" w:rsidP="00D45A46">
      <w:pPr>
        <w:jc w:val="both"/>
        <w:rPr>
          <w:bCs/>
          <w:i/>
          <w:color w:val="002060"/>
          <w:sz w:val="16"/>
          <w:szCs w:val="16"/>
        </w:rPr>
      </w:pPr>
      <w:r w:rsidRPr="00DE096C">
        <w:rPr>
          <w:bCs/>
          <w:i/>
          <w:color w:val="002060"/>
          <w:sz w:val="16"/>
          <w:szCs w:val="16"/>
        </w:rPr>
        <w:t>Другие оборонные отрасли:</w:t>
      </w:r>
    </w:p>
    <w:p w14:paraId="6D23D5AE" w14:textId="77777777" w:rsidR="00A72DC4" w:rsidRPr="00DE096C" w:rsidRDefault="00A72DC4" w:rsidP="00D45A46">
      <w:pPr>
        <w:jc w:val="both"/>
        <w:rPr>
          <w:bCs/>
          <w:i/>
          <w:color w:val="002060"/>
          <w:sz w:val="16"/>
          <w:szCs w:val="16"/>
        </w:rPr>
      </w:pPr>
    </w:p>
    <w:p w14:paraId="12C9583E" w14:textId="77777777" w:rsidR="00A72DC4" w:rsidRPr="00DE096C" w:rsidRDefault="00A72DC4" w:rsidP="00D45A46">
      <w:pPr>
        <w:jc w:val="both"/>
        <w:rPr>
          <w:bCs/>
          <w:color w:val="002060"/>
          <w:sz w:val="16"/>
          <w:szCs w:val="16"/>
        </w:rPr>
      </w:pPr>
      <w:r w:rsidRPr="00DE096C">
        <w:rPr>
          <w:bCs/>
          <w:color w:val="002060"/>
          <w:sz w:val="16"/>
          <w:szCs w:val="16"/>
        </w:rPr>
        <w:t>В конце июля 1914 г. в ответ на обращение правления Петроградского общества заводчиков и фабрикантов большинство крупных электрослаботочных предприятий города («Сименс и Гальске», «Н.К. Гейслер», «Л.М. Эриксон», АО Электромеханических сооружений) сообщили, что подавляющая часть исполняемых ими заказов являются казенными, т.е. в той или иной степени способствовали укреплению обороноспособности страны (18297).</w:t>
      </w:r>
    </w:p>
    <w:p w14:paraId="514B08E1" w14:textId="77777777" w:rsidR="00A72DC4" w:rsidRPr="00DE096C" w:rsidRDefault="00A72DC4" w:rsidP="00D45A46">
      <w:pPr>
        <w:jc w:val="both"/>
        <w:rPr>
          <w:bCs/>
          <w:color w:val="002060"/>
          <w:sz w:val="16"/>
          <w:szCs w:val="16"/>
        </w:rPr>
      </w:pPr>
    </w:p>
    <w:p w14:paraId="46A08F15" w14:textId="77777777" w:rsidR="00A72DC4" w:rsidRPr="00DE096C" w:rsidRDefault="00A72DC4" w:rsidP="00D45A46">
      <w:pPr>
        <w:pStyle w:val="krstr"/>
        <w:spacing w:before="0" w:beforeAutospacing="0" w:after="0" w:afterAutospacing="0"/>
        <w:jc w:val="both"/>
        <w:rPr>
          <w:bCs/>
          <w:color w:val="002060"/>
          <w:sz w:val="16"/>
          <w:szCs w:val="16"/>
        </w:rPr>
      </w:pPr>
      <w:r w:rsidRPr="00DE096C">
        <w:rPr>
          <w:bCs/>
          <w:color w:val="002060"/>
          <w:sz w:val="16"/>
          <w:szCs w:val="16"/>
        </w:rPr>
        <w:t>В конце июля 1914 за несколько лет до начала первой мировой войны в Петербурге было образовано Арматурно-электрическое акционерное общество. Правление общества, располагавшееся в доме №21 по Морской улице, возглавляли два директора: петербургский купец Лев Осипович Кишнер и горный инженер Николай Яковлевич Курбатов. Акционерное общество построило в Петербурге (в Полюстрове) на Александровской улице завод по производству электро-технических изделий. По тому времени это было довольно крупное предприятие, на котором работало 915 рабочих, не считая служащих.</w:t>
      </w:r>
    </w:p>
    <w:p w14:paraId="189DEF53" w14:textId="77777777" w:rsidR="00A72DC4" w:rsidRPr="00DE096C" w:rsidRDefault="00A72DC4" w:rsidP="00D45A46">
      <w:pPr>
        <w:pStyle w:val="krstr"/>
        <w:spacing w:before="0" w:beforeAutospacing="0" w:after="0" w:afterAutospacing="0"/>
        <w:jc w:val="both"/>
        <w:rPr>
          <w:bCs/>
          <w:color w:val="002060"/>
          <w:sz w:val="16"/>
          <w:szCs w:val="16"/>
        </w:rPr>
      </w:pPr>
      <w:r w:rsidRPr="00DE096C">
        <w:rPr>
          <w:bCs/>
          <w:color w:val="002060"/>
          <w:sz w:val="16"/>
          <w:szCs w:val="16"/>
        </w:rPr>
        <w:t>Предприятие приносило Акционерному обществу хорошие прибыли, поэтому оно решило расширить производство и построить ещё один завод, уже в Москве. Для этого общество откомандировало своих представителей в Москву с заданием подобрать подходящий участок для строительства нового завода на земельных угодьях, принадлежавших богатому московскому купцу-предпринимателю, проживавшему в доме № 35 по Большой Татарской улице. Участок, занимавший несколько гектаров земли, простирался до Москвы-реки (теперь Озерковская набережная) и использовался хозяином для выращивания овощей. Этот земельный участок и был приобретён Акционерным обществом.</w:t>
      </w:r>
    </w:p>
    <w:p w14:paraId="7DF2FCB2" w14:textId="77777777" w:rsidR="00A72DC4" w:rsidRPr="00DE096C" w:rsidRDefault="00A72DC4" w:rsidP="00D45A46">
      <w:pPr>
        <w:pStyle w:val="krstr"/>
        <w:spacing w:before="0" w:beforeAutospacing="0" w:after="0" w:afterAutospacing="0"/>
        <w:jc w:val="both"/>
        <w:rPr>
          <w:bCs/>
          <w:color w:val="002060"/>
          <w:sz w:val="16"/>
          <w:szCs w:val="16"/>
        </w:rPr>
      </w:pPr>
      <w:r w:rsidRPr="00DE096C">
        <w:rPr>
          <w:bCs/>
          <w:color w:val="002060"/>
          <w:sz w:val="16"/>
          <w:szCs w:val="16"/>
        </w:rPr>
        <w:t>Строительство нового Московского телефоннного завода правление поручило строительной конторе "Е. Коцкевич и Ко". Было возведено трехэтажное кирпичное здание производственного корпуса, сохранившееся и по ныне, и временный одноэтажный деревянный барак, в котором в 1915 г. работало свыше 20 высококвалифицированных рабочих, изготавливавших различный инструмент. Позже, во второй половине 1916 и начале 1917 г. там же ремонтировали станочное оборудование, поставлявшееся фирмами "Аксель Кристиернсон", "Беренс", "Фрейдберг" и рядом других. Строительство кирпичного корпуса подходило к концу и руководство АО решило уже 24 марта 1916 г. заключить договор с Главным военно-техническим управлением (ГВТУ) на поставки телефонно-телеграфного имущества. Основные положения договора сводились к следующему: АО берёт на себя обязательство изготовить и поставить для ГВТУ 24 тыс. телефонных аппаратов по образцу Гейслера по цене 90 руб. за штуку и 3 тыс. телеграфных аппаратов по 350 руб. на общую сумму 3 млн. 200 тыс. рублей. Для выполнения этих работ общество обязуется выстроить в Москве завод, который должен к 1 ноября выпустить первые 500 телефонных и 40 телеграфных аппаратов. Начиная с февраля 1917 г. он должен будет выпускать ежемесячно по 4 тыс. телефонных и 560 телеграфных аппаратов, что позволит полностью расчитаться с заказчиком до 1 июля 1917 г. Заказчик (ГВТУ) выдал АО аванс 2 млн. 86 тыс. руб., из них 1 млн. в иностранной валюте, на приобретение оборудования и на окончание строительства завода. Начались закупки ящиков красного дерева для телеграфных аппаратов у финской фирмы "Акционерное общество Экспорт", были заказаны корпуса переносных телефонных аппаратов с регулярными поставками по 5 тыс. ежемесячно, приобретались обмоточные провода, контакты из нейзильбера, и многое другое (18373).</w:t>
      </w:r>
    </w:p>
    <w:p w14:paraId="6DD525AF" w14:textId="77777777" w:rsidR="00A72DC4" w:rsidRPr="00DE096C" w:rsidRDefault="00A72DC4" w:rsidP="00D45A46">
      <w:pPr>
        <w:pStyle w:val="krstr"/>
        <w:spacing w:before="0" w:beforeAutospacing="0" w:after="0" w:afterAutospacing="0"/>
        <w:jc w:val="both"/>
        <w:rPr>
          <w:bCs/>
          <w:color w:val="002060"/>
          <w:sz w:val="16"/>
          <w:szCs w:val="16"/>
        </w:rPr>
      </w:pPr>
    </w:p>
    <w:p w14:paraId="35AD386E" w14:textId="77777777" w:rsidR="000343AB" w:rsidRPr="00DE096C" w:rsidRDefault="000343AB" w:rsidP="00D45A46">
      <w:pPr>
        <w:jc w:val="both"/>
        <w:rPr>
          <w:bCs/>
          <w:color w:val="002060"/>
          <w:sz w:val="16"/>
          <w:szCs w:val="16"/>
        </w:rPr>
      </w:pPr>
      <w:r w:rsidRPr="00DE096C">
        <w:rPr>
          <w:bCs/>
          <w:color w:val="002060"/>
          <w:sz w:val="16"/>
          <w:szCs w:val="16"/>
        </w:rPr>
        <w:t xml:space="preserve">К концу июля 1914 к началу войны почти все установленные артиллерийские запасы состояли полностью, частью подготовлялись для подачи в действующую армию в ближайшие 3 месяца; исключение составлял запас ружейных патронов, недостаток ко-торых особенно озабочивал начальника ГАУ, так как мог быть пополнен лишь через 7 месяцев. У ГАУ была уверенность не только в том, что оно своевременно закончит снабжение огнестрельными припасами в количестве, признанном достаточным для обеспечения боевой готовности армии, но и в том, что в течение первого года войны русские казенные и ча-стные заводы могут изготовить второй комплект пушечных выстрелов, необходимый для восстановления до утвержден-ной нормы нарушенных запасов (11483). </w:t>
      </w:r>
    </w:p>
    <w:p w14:paraId="515AA27C" w14:textId="77777777" w:rsidR="000343AB" w:rsidRPr="00DE096C" w:rsidRDefault="000343AB" w:rsidP="00D45A46">
      <w:pPr>
        <w:jc w:val="both"/>
        <w:rPr>
          <w:bCs/>
          <w:color w:val="002060"/>
          <w:sz w:val="16"/>
          <w:szCs w:val="16"/>
        </w:rPr>
      </w:pPr>
    </w:p>
    <w:p w14:paraId="1D1856AD" w14:textId="77777777" w:rsidR="000343AB" w:rsidRPr="00DE096C" w:rsidRDefault="000343AB" w:rsidP="00D45A46">
      <w:pPr>
        <w:jc w:val="both"/>
        <w:rPr>
          <w:bCs/>
          <w:color w:val="002060"/>
          <w:sz w:val="16"/>
          <w:szCs w:val="16"/>
        </w:rPr>
      </w:pPr>
      <w:r w:rsidRPr="00DE096C">
        <w:rPr>
          <w:bCs/>
          <w:color w:val="002060"/>
          <w:sz w:val="16"/>
          <w:szCs w:val="16"/>
        </w:rPr>
        <w:t>К концу июля 1914 к началу войны было накоплено в запасах 7 004 336 выстрелов (против 6 983 500 по мобилизацион</w:t>
      </w:r>
      <w:r w:rsidRPr="00DE096C">
        <w:rPr>
          <w:bCs/>
          <w:color w:val="002060"/>
          <w:sz w:val="16"/>
          <w:szCs w:val="16"/>
        </w:rPr>
        <w:softHyphen/>
        <w:t>ному плану) [5, с. 96].</w:t>
      </w:r>
    </w:p>
    <w:p w14:paraId="49C1E657" w14:textId="77777777" w:rsidR="000343AB" w:rsidRPr="00DE096C" w:rsidRDefault="000343AB" w:rsidP="00D45A46">
      <w:pPr>
        <w:jc w:val="both"/>
        <w:rPr>
          <w:bCs/>
          <w:color w:val="002060"/>
          <w:sz w:val="16"/>
          <w:szCs w:val="16"/>
        </w:rPr>
      </w:pPr>
      <w:r w:rsidRPr="00DE096C">
        <w:rPr>
          <w:bCs/>
          <w:color w:val="002060"/>
          <w:sz w:val="16"/>
          <w:szCs w:val="16"/>
        </w:rPr>
        <w:t>В боевых комплектах недоставало 12 % выстрелов к 122-мм лег</w:t>
      </w:r>
      <w:r w:rsidRPr="00DE096C">
        <w:rPr>
          <w:bCs/>
          <w:color w:val="002060"/>
          <w:sz w:val="16"/>
          <w:szCs w:val="16"/>
        </w:rPr>
        <w:softHyphen/>
        <w:t>ким гаубицам и почти 52 % выстрелов к 107-мм пушкам и 152-мм гаубицам.</w:t>
      </w:r>
    </w:p>
    <w:p w14:paraId="2EAE79FD" w14:textId="77777777" w:rsidR="000343AB" w:rsidRPr="00DE096C" w:rsidRDefault="000343AB" w:rsidP="00D45A46">
      <w:pPr>
        <w:jc w:val="both"/>
        <w:rPr>
          <w:bCs/>
          <w:color w:val="002060"/>
          <w:sz w:val="16"/>
          <w:szCs w:val="16"/>
        </w:rPr>
      </w:pPr>
      <w:r w:rsidRPr="00DE096C">
        <w:rPr>
          <w:bCs/>
          <w:color w:val="002060"/>
          <w:sz w:val="16"/>
          <w:szCs w:val="16"/>
        </w:rPr>
        <w:t>В войне с Японией со стороны русских участвовало 1276 полевых 76-мм пушек; было расстреляно и утрачено 918 тыс. орудийных 76-мм патронов, израсходовано около 720 выстрелов на 76-мм пуш</w:t>
      </w:r>
      <w:r w:rsidRPr="00DE096C">
        <w:rPr>
          <w:bCs/>
          <w:color w:val="002060"/>
          <w:sz w:val="16"/>
          <w:szCs w:val="16"/>
        </w:rPr>
        <w:softHyphen/>
        <w:t>ку. На этом основании специальная комиссия Генштаба под предсе</w:t>
      </w:r>
      <w:r w:rsidRPr="00DE096C">
        <w:rPr>
          <w:bCs/>
          <w:color w:val="002060"/>
          <w:sz w:val="16"/>
          <w:szCs w:val="16"/>
        </w:rPr>
        <w:softHyphen/>
        <w:t>дательством помощника военного министра генерала Поливанова установила норму — 1000 выстрелов для 76-мм легкой и конной пушек, для 122-мм легкой гаубицы и 152-мм полевой тяжелой гауби</w:t>
      </w:r>
      <w:r w:rsidRPr="00DE096C">
        <w:rPr>
          <w:bCs/>
          <w:color w:val="002060"/>
          <w:sz w:val="16"/>
          <w:szCs w:val="16"/>
        </w:rPr>
        <w:softHyphen/>
        <w:t>цы и 1200 выстрелов для 76-мм горной пушки и 107-мм полевой тя</w:t>
      </w:r>
      <w:r w:rsidRPr="00DE096C">
        <w:rPr>
          <w:bCs/>
          <w:color w:val="002060"/>
          <w:sz w:val="16"/>
          <w:szCs w:val="16"/>
        </w:rPr>
        <w:softHyphen/>
        <w:t>желой пушки.</w:t>
      </w:r>
    </w:p>
    <w:p w14:paraId="768AA557" w14:textId="77777777" w:rsidR="000343AB" w:rsidRPr="00DE096C" w:rsidRDefault="000343AB" w:rsidP="00D45A46">
      <w:pPr>
        <w:jc w:val="both"/>
        <w:rPr>
          <w:bCs/>
          <w:color w:val="002060"/>
          <w:sz w:val="16"/>
          <w:szCs w:val="16"/>
        </w:rPr>
      </w:pPr>
      <w:r w:rsidRPr="00DE096C">
        <w:rPr>
          <w:bCs/>
          <w:color w:val="002060"/>
          <w:sz w:val="16"/>
          <w:szCs w:val="16"/>
        </w:rPr>
        <w:t>При этом в боевом комплекте для пушек 1/7 часть должны были составлять выстрелы с мелинитовыми гранатами, а остальные — шрапнельные. В боевом комплекте гаубиц — 2/3 гранат, а осталь</w:t>
      </w:r>
      <w:r w:rsidRPr="00DE096C">
        <w:rPr>
          <w:bCs/>
          <w:color w:val="002060"/>
          <w:sz w:val="16"/>
          <w:szCs w:val="16"/>
        </w:rPr>
        <w:softHyphen/>
        <w:t>ные — шрапнели [5, с. 95].</w:t>
      </w:r>
    </w:p>
    <w:p w14:paraId="3FF5F0EB" w14:textId="77777777" w:rsidR="000343AB" w:rsidRPr="00DE096C" w:rsidRDefault="000343AB" w:rsidP="00D45A46">
      <w:pPr>
        <w:jc w:val="both"/>
        <w:rPr>
          <w:bCs/>
          <w:color w:val="002060"/>
          <w:sz w:val="16"/>
          <w:szCs w:val="16"/>
        </w:rPr>
      </w:pPr>
      <w:r w:rsidRPr="00DE096C">
        <w:rPr>
          <w:bCs/>
          <w:color w:val="002060"/>
          <w:sz w:val="16"/>
          <w:szCs w:val="16"/>
        </w:rPr>
        <w:t>Уже в первые месяцы войны обнаружилось, что все упомянутые выше расчеты потребности в вооружении и боеприпасах являются ошибочными. Поданным Е. 3. Барсукова, действительная ежемесяч</w:t>
      </w:r>
      <w:r w:rsidRPr="00DE096C">
        <w:rPr>
          <w:bCs/>
          <w:color w:val="002060"/>
          <w:sz w:val="16"/>
          <w:szCs w:val="16"/>
        </w:rPr>
        <w:softHyphen/>
        <w:t>ная потребность в орудиях и боеприпасах к ним превосходила моби</w:t>
      </w:r>
      <w:r w:rsidRPr="00DE096C">
        <w:rPr>
          <w:bCs/>
          <w:color w:val="002060"/>
          <w:sz w:val="16"/>
          <w:szCs w:val="16"/>
        </w:rPr>
        <w:softHyphen/>
        <w:t>лизационные расчеты 1910 г. в среднем в 6—18 раз [5, с. 103].</w:t>
      </w:r>
    </w:p>
    <w:p w14:paraId="59283A04" w14:textId="77777777" w:rsidR="000343AB" w:rsidRPr="00DE096C" w:rsidRDefault="000343AB" w:rsidP="00D45A46">
      <w:pPr>
        <w:jc w:val="both"/>
        <w:rPr>
          <w:bCs/>
          <w:color w:val="002060"/>
          <w:sz w:val="16"/>
          <w:szCs w:val="16"/>
        </w:rPr>
      </w:pPr>
      <w:r w:rsidRPr="00DE096C">
        <w:rPr>
          <w:bCs/>
          <w:color w:val="002060"/>
          <w:sz w:val="16"/>
          <w:szCs w:val="16"/>
        </w:rPr>
        <w:t>Уже осенью 1914 г. русская армия стала ощущать недостаток в боеприпасах (5484).</w:t>
      </w:r>
    </w:p>
    <w:p w14:paraId="774692B4" w14:textId="77777777" w:rsidR="000343AB" w:rsidRPr="00DE096C" w:rsidRDefault="000343AB" w:rsidP="00D45A46">
      <w:pPr>
        <w:jc w:val="both"/>
        <w:rPr>
          <w:bCs/>
          <w:color w:val="002060"/>
          <w:sz w:val="16"/>
          <w:szCs w:val="16"/>
        </w:rPr>
      </w:pPr>
    </w:p>
    <w:p w14:paraId="6976E8C4" w14:textId="77777777" w:rsidR="000343AB" w:rsidRPr="00DE096C" w:rsidRDefault="000343AB" w:rsidP="00D45A46">
      <w:pPr>
        <w:jc w:val="both"/>
        <w:rPr>
          <w:bCs/>
          <w:color w:val="002060"/>
          <w:sz w:val="16"/>
          <w:szCs w:val="16"/>
        </w:rPr>
      </w:pPr>
      <w:r w:rsidRPr="00DE096C">
        <w:rPr>
          <w:bCs/>
          <w:color w:val="002060"/>
          <w:sz w:val="16"/>
          <w:szCs w:val="16"/>
        </w:rPr>
        <w:t>К концу июля и к августу 1914 года батальонной артиллерии и минометов не было и в проекте. Их создали уже в ходе войны. За исключением 6-дюймовой мортиры обр. 1915 г. Путиловского завода, материальная часть батальонной артиллерии в 1915-1918 годах представляла собой кустарные или полукустарные изделия (Широкорад А.Б. Гений советской артиллерии. – С. 31.). Забавно, что за неимением лучшего Военное министерство в апреле 1915 года заказало Петроградскому заводу Шкилина пятьдесят 6-фунтовых медных мортирок Кегорна, спроектированных в 1874 году, на деревянных станках и по 500 штук чугунных сферических гранат к ним. В 1916-1917 гг. в армию было поставлено несколько тысяч минометов и бомбометов кустарного производства, выполненных по глухой схеме, т.е. смонтированных на одной опорной плите. Все эти самоделки были более опасны для расчетов, нежели для неприятеля. В гражданскую войну их почти не применяли, а в начале 1920-х годов в большинстве сдали на лом.</w:t>
      </w:r>
    </w:p>
    <w:p w14:paraId="11CC9E44" w14:textId="77777777" w:rsidR="000343AB" w:rsidRPr="00DE096C" w:rsidRDefault="000343AB" w:rsidP="00D45A46">
      <w:pPr>
        <w:jc w:val="both"/>
        <w:rPr>
          <w:bCs/>
          <w:color w:val="002060"/>
          <w:sz w:val="16"/>
          <w:szCs w:val="16"/>
        </w:rPr>
      </w:pPr>
      <w:r w:rsidRPr="00DE096C">
        <w:rPr>
          <w:bCs/>
          <w:color w:val="002060"/>
          <w:sz w:val="16"/>
          <w:szCs w:val="16"/>
        </w:rPr>
        <w:t>За годы правления Николая II осадная артиллерия пришла в столь ужасное состояние, что в 1910-1911 гг. она была… вообще упразднена. В 1911 году великий князь Сергей Михайлович предложил царю план создания тяжелой артиллерии, который предлагал осуществить с 1917 по 1921 годы. Крепостную артиллерию собирались перевооружить современными орудиями к 1930 году.</w:t>
      </w:r>
    </w:p>
    <w:p w14:paraId="71E0623A" w14:textId="77777777" w:rsidR="000343AB" w:rsidRPr="00DE096C" w:rsidRDefault="000343AB" w:rsidP="00D45A46">
      <w:pPr>
        <w:jc w:val="both"/>
        <w:rPr>
          <w:bCs/>
          <w:color w:val="002060"/>
          <w:sz w:val="16"/>
          <w:szCs w:val="16"/>
        </w:rPr>
      </w:pPr>
      <w:r w:rsidRPr="00DE096C">
        <w:rPr>
          <w:bCs/>
          <w:color w:val="002060"/>
          <w:sz w:val="16"/>
          <w:szCs w:val="16"/>
        </w:rPr>
        <w:lastRenderedPageBreak/>
        <w:t>С началом войны русские военные агенты (так назывались тогда военные атташе), буквально как псы по помойкам, стали собирать по всему миру тяжелые орудия, представляющие ценность лишь для музея артиллерии. Так, в большом количестве были закуплены 120-мм и 155-мм французские пушки обр. 1878 г. Японцы с большой радостью сбыли нам весь свой устаревший и изношенный осадный парк орудий калибра от 15 до 28 см и т.д.</w:t>
      </w:r>
    </w:p>
    <w:p w14:paraId="48254EDE" w14:textId="77777777" w:rsidR="000343AB" w:rsidRPr="00DE096C" w:rsidRDefault="000343AB" w:rsidP="00D45A46">
      <w:pPr>
        <w:jc w:val="both"/>
        <w:rPr>
          <w:bCs/>
          <w:color w:val="002060"/>
          <w:sz w:val="16"/>
          <w:szCs w:val="16"/>
        </w:rPr>
      </w:pPr>
      <w:r w:rsidRPr="00DE096C">
        <w:rPr>
          <w:bCs/>
          <w:color w:val="002060"/>
          <w:sz w:val="16"/>
          <w:szCs w:val="16"/>
        </w:rPr>
        <w:t>За головотяпство генералов, за парижские похождения князя Сергея Михайловича и дворцы Кшесинской Россия в Первую Мировую войну заплатила огромным количеством убитых и пленных русских солдат (Широкорад А.Б. Гений советской артиллерии. – С. 32-33.) (11818).</w:t>
      </w:r>
    </w:p>
    <w:p w14:paraId="5A4F87F8" w14:textId="77777777" w:rsidR="000343AB" w:rsidRPr="00DE096C" w:rsidRDefault="000343AB" w:rsidP="00D45A46">
      <w:pPr>
        <w:jc w:val="both"/>
        <w:rPr>
          <w:bCs/>
          <w:color w:val="002060"/>
          <w:sz w:val="16"/>
          <w:szCs w:val="16"/>
        </w:rPr>
      </w:pPr>
    </w:p>
    <w:p w14:paraId="38200F75" w14:textId="77777777" w:rsidR="000343AB" w:rsidRPr="00DE096C" w:rsidRDefault="000343AB" w:rsidP="00D45A46">
      <w:pPr>
        <w:jc w:val="both"/>
        <w:rPr>
          <w:bCs/>
          <w:color w:val="002060"/>
          <w:sz w:val="16"/>
          <w:szCs w:val="16"/>
        </w:rPr>
      </w:pPr>
      <w:r w:rsidRPr="00DE096C">
        <w:rPr>
          <w:bCs/>
          <w:color w:val="002060"/>
          <w:sz w:val="16"/>
          <w:szCs w:val="16"/>
        </w:rPr>
        <w:t>К концу июля 1914 г. и началу мировой войны военная промышленность располагала по основным артиллерийским производствам следующими заводами:</w:t>
      </w:r>
    </w:p>
    <w:p w14:paraId="40FDD797" w14:textId="77777777" w:rsidR="000343AB" w:rsidRPr="00DE096C" w:rsidRDefault="000343AB" w:rsidP="00D45A46">
      <w:pPr>
        <w:jc w:val="both"/>
        <w:rPr>
          <w:bCs/>
          <w:color w:val="002060"/>
          <w:sz w:val="16"/>
          <w:szCs w:val="16"/>
        </w:rPr>
      </w:pPr>
      <w:r w:rsidRPr="00DE096C">
        <w:rPr>
          <w:bCs/>
          <w:color w:val="002060"/>
          <w:sz w:val="16"/>
          <w:szCs w:val="16"/>
        </w:rPr>
        <w:t>I. Заводы военного ведомства:</w:t>
      </w:r>
    </w:p>
    <w:p w14:paraId="65449EC2" w14:textId="77777777" w:rsidR="000343AB" w:rsidRPr="00DE096C" w:rsidRDefault="000343AB" w:rsidP="00D45A46">
      <w:pPr>
        <w:jc w:val="both"/>
        <w:rPr>
          <w:bCs/>
          <w:color w:val="002060"/>
          <w:sz w:val="16"/>
          <w:szCs w:val="16"/>
        </w:rPr>
      </w:pPr>
      <w:r w:rsidRPr="00DE096C">
        <w:rPr>
          <w:bCs/>
          <w:color w:val="002060"/>
          <w:sz w:val="16"/>
          <w:szCs w:val="16"/>
        </w:rPr>
        <w:t>Оружейные: Тульский, Сестрорецкий и Ижевский.</w:t>
      </w:r>
    </w:p>
    <w:p w14:paraId="148B6FB1" w14:textId="77777777" w:rsidR="000343AB" w:rsidRPr="00DE096C" w:rsidRDefault="000343AB" w:rsidP="00D45A46">
      <w:pPr>
        <w:jc w:val="both"/>
        <w:rPr>
          <w:bCs/>
          <w:color w:val="002060"/>
          <w:sz w:val="16"/>
          <w:szCs w:val="16"/>
        </w:rPr>
      </w:pPr>
      <w:r w:rsidRPr="00DE096C">
        <w:rPr>
          <w:bCs/>
          <w:color w:val="002060"/>
          <w:sz w:val="16"/>
          <w:szCs w:val="16"/>
        </w:rPr>
        <w:t>Патронные: Петербургский и Луганский.</w:t>
      </w:r>
    </w:p>
    <w:p w14:paraId="44488C67" w14:textId="77777777" w:rsidR="000343AB" w:rsidRPr="00DE096C" w:rsidRDefault="000343AB" w:rsidP="00D45A46">
      <w:pPr>
        <w:jc w:val="both"/>
        <w:rPr>
          <w:bCs/>
          <w:color w:val="002060"/>
          <w:sz w:val="16"/>
          <w:szCs w:val="16"/>
        </w:rPr>
      </w:pPr>
      <w:r w:rsidRPr="00DE096C">
        <w:rPr>
          <w:bCs/>
          <w:color w:val="002060"/>
          <w:sz w:val="16"/>
          <w:szCs w:val="16"/>
        </w:rPr>
        <w:t>Трубочные: Петербургский и Самарский.</w:t>
      </w:r>
    </w:p>
    <w:p w14:paraId="2E3F209D" w14:textId="77777777" w:rsidR="000343AB" w:rsidRPr="00DE096C" w:rsidRDefault="000343AB" w:rsidP="00D45A46">
      <w:pPr>
        <w:jc w:val="both"/>
        <w:rPr>
          <w:bCs/>
          <w:color w:val="002060"/>
          <w:sz w:val="16"/>
          <w:szCs w:val="16"/>
        </w:rPr>
      </w:pPr>
      <w:r w:rsidRPr="00DE096C">
        <w:rPr>
          <w:bCs/>
          <w:color w:val="002060"/>
          <w:sz w:val="16"/>
          <w:szCs w:val="16"/>
        </w:rPr>
        <w:t>Орудийные: Петербургский.</w:t>
      </w:r>
    </w:p>
    <w:p w14:paraId="46D2EEAB" w14:textId="77777777" w:rsidR="000343AB" w:rsidRPr="00DE096C" w:rsidRDefault="000343AB" w:rsidP="00D45A46">
      <w:pPr>
        <w:jc w:val="both"/>
        <w:rPr>
          <w:bCs/>
          <w:color w:val="002060"/>
          <w:sz w:val="16"/>
          <w:szCs w:val="16"/>
        </w:rPr>
      </w:pPr>
      <w:r w:rsidRPr="00DE096C">
        <w:rPr>
          <w:bCs/>
          <w:color w:val="002060"/>
          <w:sz w:val="16"/>
          <w:szCs w:val="16"/>
        </w:rPr>
        <w:t>Арсеналы I разряда: Петербургский, Киевский и Брянский.</w:t>
      </w:r>
    </w:p>
    <w:p w14:paraId="251AE27A" w14:textId="77777777" w:rsidR="000343AB" w:rsidRPr="00DE096C" w:rsidRDefault="000343AB" w:rsidP="00D45A46">
      <w:pPr>
        <w:jc w:val="both"/>
        <w:rPr>
          <w:bCs/>
          <w:color w:val="002060"/>
          <w:sz w:val="16"/>
          <w:szCs w:val="16"/>
        </w:rPr>
      </w:pPr>
      <w:r w:rsidRPr="00DE096C">
        <w:rPr>
          <w:bCs/>
          <w:color w:val="002060"/>
          <w:sz w:val="16"/>
          <w:szCs w:val="16"/>
        </w:rPr>
        <w:t>Арсеналы II разряда: Варшавский, Тифлисский и Хабаровский.</w:t>
      </w:r>
    </w:p>
    <w:p w14:paraId="136F1952" w14:textId="77777777" w:rsidR="000343AB" w:rsidRPr="00DE096C" w:rsidRDefault="000343AB" w:rsidP="00D45A46">
      <w:pPr>
        <w:jc w:val="both"/>
        <w:rPr>
          <w:bCs/>
          <w:color w:val="002060"/>
          <w:sz w:val="16"/>
          <w:szCs w:val="16"/>
        </w:rPr>
      </w:pPr>
      <w:r w:rsidRPr="00DE096C">
        <w:rPr>
          <w:bCs/>
          <w:color w:val="002060"/>
          <w:sz w:val="16"/>
          <w:szCs w:val="16"/>
        </w:rPr>
        <w:t>Пороховые: Охтенский, Казанский и Шостенский.</w:t>
      </w:r>
    </w:p>
    <w:p w14:paraId="282B1EB4" w14:textId="77777777" w:rsidR="000343AB" w:rsidRPr="00DE096C" w:rsidRDefault="000343AB" w:rsidP="00D45A46">
      <w:pPr>
        <w:jc w:val="both"/>
        <w:rPr>
          <w:bCs/>
          <w:color w:val="002060"/>
          <w:sz w:val="16"/>
          <w:szCs w:val="16"/>
        </w:rPr>
      </w:pPr>
      <w:r w:rsidRPr="00DE096C">
        <w:rPr>
          <w:bCs/>
          <w:color w:val="002060"/>
          <w:sz w:val="16"/>
          <w:szCs w:val="16"/>
        </w:rPr>
        <w:t>Взрывчатых веществ: Охтенский и Самарский.</w:t>
      </w:r>
    </w:p>
    <w:p w14:paraId="1945B6E9" w14:textId="77777777" w:rsidR="000343AB" w:rsidRPr="00DE096C" w:rsidRDefault="000343AB" w:rsidP="00D45A46">
      <w:pPr>
        <w:jc w:val="both"/>
        <w:rPr>
          <w:bCs/>
          <w:color w:val="002060"/>
          <w:sz w:val="16"/>
          <w:szCs w:val="16"/>
        </w:rPr>
      </w:pPr>
      <w:r w:rsidRPr="00DE096C">
        <w:rPr>
          <w:bCs/>
          <w:color w:val="002060"/>
          <w:sz w:val="16"/>
          <w:szCs w:val="16"/>
        </w:rPr>
        <w:t>II. Заводы морского ведомства:</w:t>
      </w:r>
    </w:p>
    <w:p w14:paraId="2286C21E" w14:textId="77777777" w:rsidR="000343AB" w:rsidRPr="00DE096C" w:rsidRDefault="000343AB" w:rsidP="00D45A46">
      <w:pPr>
        <w:jc w:val="both"/>
        <w:rPr>
          <w:bCs/>
          <w:color w:val="002060"/>
          <w:sz w:val="16"/>
          <w:szCs w:val="16"/>
        </w:rPr>
      </w:pPr>
      <w:r w:rsidRPr="00DE096C">
        <w:rPr>
          <w:bCs/>
          <w:color w:val="002060"/>
          <w:sz w:val="16"/>
          <w:szCs w:val="16"/>
        </w:rPr>
        <w:t>Обуховский сталеделательный (орудия, лафеты, снаряды и оптические приборы).</w:t>
      </w:r>
    </w:p>
    <w:p w14:paraId="26D1B897" w14:textId="77777777" w:rsidR="000343AB" w:rsidRPr="00DE096C" w:rsidRDefault="000343AB" w:rsidP="00D45A46">
      <w:pPr>
        <w:jc w:val="both"/>
        <w:rPr>
          <w:bCs/>
          <w:color w:val="002060"/>
          <w:sz w:val="16"/>
          <w:szCs w:val="16"/>
        </w:rPr>
      </w:pPr>
      <w:r w:rsidRPr="00DE096C">
        <w:rPr>
          <w:bCs/>
          <w:color w:val="002060"/>
          <w:sz w:val="16"/>
          <w:szCs w:val="16"/>
        </w:rPr>
        <w:t>Ижорский (орудийные гильзы, броня).</w:t>
      </w:r>
    </w:p>
    <w:p w14:paraId="56A33B77" w14:textId="77777777" w:rsidR="000343AB" w:rsidRPr="00DE096C" w:rsidRDefault="000343AB" w:rsidP="00D45A46">
      <w:pPr>
        <w:jc w:val="both"/>
        <w:rPr>
          <w:bCs/>
          <w:color w:val="002060"/>
          <w:sz w:val="16"/>
          <w:szCs w:val="16"/>
        </w:rPr>
      </w:pPr>
      <w:r w:rsidRPr="00DE096C">
        <w:rPr>
          <w:bCs/>
          <w:color w:val="002060"/>
          <w:sz w:val="16"/>
          <w:szCs w:val="16"/>
        </w:rPr>
        <w:t>III. Заводы горного ведомства:</w:t>
      </w:r>
    </w:p>
    <w:p w14:paraId="4F2D306D" w14:textId="77777777" w:rsidR="000343AB" w:rsidRPr="00DE096C" w:rsidRDefault="000343AB" w:rsidP="00D45A46">
      <w:pPr>
        <w:jc w:val="both"/>
        <w:rPr>
          <w:bCs/>
          <w:color w:val="002060"/>
          <w:sz w:val="16"/>
          <w:szCs w:val="16"/>
        </w:rPr>
      </w:pPr>
      <w:r w:rsidRPr="00DE096C">
        <w:rPr>
          <w:bCs/>
          <w:color w:val="002060"/>
          <w:sz w:val="16"/>
          <w:szCs w:val="16"/>
        </w:rPr>
        <w:t>Пермский (орудия, лафеты, снаряды).</w:t>
      </w:r>
    </w:p>
    <w:p w14:paraId="13A7AA87" w14:textId="77777777" w:rsidR="000343AB" w:rsidRPr="00DE096C" w:rsidRDefault="000343AB" w:rsidP="00D45A46">
      <w:pPr>
        <w:jc w:val="both"/>
        <w:rPr>
          <w:bCs/>
          <w:color w:val="002060"/>
          <w:sz w:val="16"/>
          <w:szCs w:val="16"/>
        </w:rPr>
      </w:pPr>
      <w:r w:rsidRPr="00DE096C">
        <w:rPr>
          <w:bCs/>
          <w:color w:val="002060"/>
          <w:sz w:val="16"/>
          <w:szCs w:val="16"/>
        </w:rPr>
        <w:t>Златоустовский (холодное оружие и снаряды).</w:t>
      </w:r>
    </w:p>
    <w:p w14:paraId="2245CA39" w14:textId="77777777" w:rsidR="000343AB" w:rsidRPr="00DE096C" w:rsidRDefault="000343AB" w:rsidP="00D45A46">
      <w:pPr>
        <w:jc w:val="both"/>
        <w:rPr>
          <w:bCs/>
          <w:color w:val="002060"/>
          <w:sz w:val="16"/>
          <w:szCs w:val="16"/>
        </w:rPr>
      </w:pPr>
      <w:r w:rsidRPr="00DE096C">
        <w:rPr>
          <w:bCs/>
          <w:color w:val="002060"/>
          <w:sz w:val="16"/>
          <w:szCs w:val="16"/>
        </w:rPr>
        <w:t>Олонецкий (снаряды).</w:t>
      </w:r>
    </w:p>
    <w:p w14:paraId="6A6BA3A1" w14:textId="77777777" w:rsidR="000343AB" w:rsidRPr="00DE096C" w:rsidRDefault="000343AB" w:rsidP="00D45A46">
      <w:pPr>
        <w:jc w:val="both"/>
        <w:rPr>
          <w:bCs/>
          <w:color w:val="002060"/>
          <w:sz w:val="16"/>
          <w:szCs w:val="16"/>
        </w:rPr>
      </w:pPr>
      <w:r w:rsidRPr="00DE096C">
        <w:rPr>
          <w:bCs/>
          <w:color w:val="002060"/>
          <w:sz w:val="16"/>
          <w:szCs w:val="16"/>
        </w:rPr>
        <w:t>Верхнетуринский (снаряды).</w:t>
      </w:r>
    </w:p>
    <w:p w14:paraId="3E7136CC" w14:textId="77777777" w:rsidR="000343AB" w:rsidRPr="00DE096C" w:rsidRDefault="000343AB" w:rsidP="00D45A46">
      <w:pPr>
        <w:jc w:val="both"/>
        <w:rPr>
          <w:bCs/>
          <w:color w:val="002060"/>
          <w:sz w:val="16"/>
          <w:szCs w:val="16"/>
        </w:rPr>
      </w:pPr>
      <w:r w:rsidRPr="00DE096C">
        <w:rPr>
          <w:bCs/>
          <w:color w:val="002060"/>
          <w:sz w:val="16"/>
          <w:szCs w:val="16"/>
        </w:rPr>
        <w:t>Воткинский (снаряды).</w:t>
      </w:r>
    </w:p>
    <w:p w14:paraId="18500BC0" w14:textId="77777777" w:rsidR="000343AB" w:rsidRPr="00DE096C" w:rsidRDefault="000343AB" w:rsidP="00D45A46">
      <w:pPr>
        <w:jc w:val="both"/>
        <w:rPr>
          <w:bCs/>
          <w:color w:val="002060"/>
          <w:sz w:val="16"/>
          <w:szCs w:val="16"/>
        </w:rPr>
      </w:pPr>
      <w:r w:rsidRPr="00DE096C">
        <w:rPr>
          <w:bCs/>
          <w:color w:val="002060"/>
          <w:sz w:val="16"/>
          <w:szCs w:val="16"/>
        </w:rPr>
        <w:t>Кушвинский (снаряды).</w:t>
      </w:r>
    </w:p>
    <w:p w14:paraId="51DF7DD8" w14:textId="77777777" w:rsidR="000343AB" w:rsidRPr="00DE096C" w:rsidRDefault="000343AB" w:rsidP="00D45A46">
      <w:pPr>
        <w:jc w:val="both"/>
        <w:rPr>
          <w:bCs/>
          <w:color w:val="002060"/>
          <w:sz w:val="16"/>
          <w:szCs w:val="16"/>
        </w:rPr>
      </w:pPr>
      <w:r w:rsidRPr="00DE096C">
        <w:rPr>
          <w:bCs/>
          <w:color w:val="002060"/>
          <w:sz w:val="16"/>
          <w:szCs w:val="16"/>
        </w:rPr>
        <w:t>Каменский (снаряды).</w:t>
      </w:r>
    </w:p>
    <w:p w14:paraId="05EBB10C" w14:textId="77777777" w:rsidR="000343AB" w:rsidRPr="00DE096C" w:rsidRDefault="000343AB" w:rsidP="00D45A46">
      <w:pPr>
        <w:jc w:val="both"/>
        <w:rPr>
          <w:bCs/>
          <w:color w:val="002060"/>
          <w:sz w:val="16"/>
          <w:szCs w:val="16"/>
        </w:rPr>
      </w:pPr>
      <w:r w:rsidRPr="00DE096C">
        <w:rPr>
          <w:bCs/>
          <w:color w:val="002060"/>
          <w:sz w:val="16"/>
          <w:szCs w:val="16"/>
        </w:rPr>
        <w:t>Саткинский (снаряды).</w:t>
      </w:r>
    </w:p>
    <w:p w14:paraId="3DF3CA37" w14:textId="77777777" w:rsidR="000343AB" w:rsidRPr="00DE096C" w:rsidRDefault="000343AB" w:rsidP="00D45A46">
      <w:pPr>
        <w:jc w:val="both"/>
        <w:rPr>
          <w:bCs/>
          <w:color w:val="002060"/>
          <w:sz w:val="16"/>
          <w:szCs w:val="16"/>
        </w:rPr>
      </w:pPr>
      <w:r w:rsidRPr="00DE096C">
        <w:rPr>
          <w:bCs/>
          <w:color w:val="002060"/>
          <w:sz w:val="16"/>
          <w:szCs w:val="16"/>
        </w:rPr>
        <w:t>Баранчинский (снаряды).</w:t>
      </w:r>
    </w:p>
    <w:p w14:paraId="4CA163F1" w14:textId="77777777" w:rsidR="000343AB" w:rsidRPr="00DE096C" w:rsidRDefault="000343AB" w:rsidP="00D45A46">
      <w:pPr>
        <w:jc w:val="both"/>
        <w:rPr>
          <w:bCs/>
          <w:color w:val="002060"/>
          <w:sz w:val="16"/>
          <w:szCs w:val="16"/>
        </w:rPr>
      </w:pPr>
      <w:r w:rsidRPr="00DE096C">
        <w:rPr>
          <w:bCs/>
          <w:color w:val="002060"/>
          <w:sz w:val="16"/>
          <w:szCs w:val="16"/>
        </w:rPr>
        <w:t>IV. Заводы частновладельческие:</w:t>
      </w:r>
    </w:p>
    <w:p w14:paraId="6683E4B9" w14:textId="77777777" w:rsidR="000343AB" w:rsidRPr="00DE096C" w:rsidRDefault="000343AB" w:rsidP="00D45A46">
      <w:pPr>
        <w:jc w:val="both"/>
        <w:rPr>
          <w:bCs/>
          <w:color w:val="002060"/>
          <w:sz w:val="16"/>
          <w:szCs w:val="16"/>
        </w:rPr>
      </w:pPr>
      <w:r w:rsidRPr="00DE096C">
        <w:rPr>
          <w:bCs/>
          <w:color w:val="002060"/>
          <w:sz w:val="16"/>
          <w:szCs w:val="16"/>
        </w:rPr>
        <w:t>Путиловский (орудия, лафеты, снаряды, артиллерийский обоз).</w:t>
      </w:r>
    </w:p>
    <w:p w14:paraId="6CEA74AE" w14:textId="77777777" w:rsidR="000343AB" w:rsidRPr="00DE096C" w:rsidRDefault="000343AB" w:rsidP="00D45A46">
      <w:pPr>
        <w:jc w:val="both"/>
        <w:rPr>
          <w:bCs/>
          <w:color w:val="002060"/>
          <w:sz w:val="16"/>
          <w:szCs w:val="16"/>
        </w:rPr>
      </w:pPr>
      <w:r w:rsidRPr="00DE096C">
        <w:rPr>
          <w:bCs/>
          <w:color w:val="002060"/>
          <w:sz w:val="16"/>
          <w:szCs w:val="16"/>
        </w:rPr>
        <w:t>Тульский патронный (оружейные патроны, оружейные гильзы).</w:t>
      </w:r>
    </w:p>
    <w:p w14:paraId="798B317E" w14:textId="77777777" w:rsidR="000343AB" w:rsidRPr="00DE096C" w:rsidRDefault="000343AB" w:rsidP="00D45A46">
      <w:pPr>
        <w:jc w:val="both"/>
        <w:rPr>
          <w:bCs/>
          <w:color w:val="002060"/>
          <w:sz w:val="16"/>
          <w:szCs w:val="16"/>
        </w:rPr>
      </w:pPr>
      <w:r w:rsidRPr="00DE096C">
        <w:rPr>
          <w:bCs/>
          <w:color w:val="002060"/>
          <w:sz w:val="16"/>
          <w:szCs w:val="16"/>
        </w:rPr>
        <w:t>Петербургский (снаряды, лафеты, броневые машины для крепостей).</w:t>
      </w:r>
    </w:p>
    <w:p w14:paraId="6BF69965" w14:textId="77777777" w:rsidR="000343AB" w:rsidRPr="00DE096C" w:rsidRDefault="000343AB" w:rsidP="00D45A46">
      <w:pPr>
        <w:jc w:val="both"/>
        <w:rPr>
          <w:bCs/>
          <w:color w:val="002060"/>
          <w:sz w:val="16"/>
          <w:szCs w:val="16"/>
        </w:rPr>
      </w:pPr>
      <w:r w:rsidRPr="00DE096C">
        <w:rPr>
          <w:bCs/>
          <w:color w:val="002060"/>
          <w:sz w:val="16"/>
          <w:szCs w:val="16"/>
        </w:rPr>
        <w:t>О-ва Барановского (орудийные гильзы и дистанционные трубки).</w:t>
      </w:r>
    </w:p>
    <w:p w14:paraId="6E67A3CF" w14:textId="77777777" w:rsidR="000343AB" w:rsidRPr="00DE096C" w:rsidRDefault="000343AB" w:rsidP="00D45A46">
      <w:pPr>
        <w:jc w:val="both"/>
        <w:rPr>
          <w:bCs/>
          <w:color w:val="002060"/>
          <w:sz w:val="16"/>
          <w:szCs w:val="16"/>
        </w:rPr>
      </w:pPr>
      <w:r w:rsidRPr="00DE096C">
        <w:rPr>
          <w:bCs/>
          <w:color w:val="002060"/>
          <w:sz w:val="16"/>
          <w:szCs w:val="16"/>
        </w:rPr>
        <w:t>Брянский машиностроительный (лафеты, снаряды, артиллерийский обоз).</w:t>
      </w:r>
    </w:p>
    <w:p w14:paraId="1904409A" w14:textId="77777777" w:rsidR="000343AB" w:rsidRPr="00DE096C" w:rsidRDefault="000343AB" w:rsidP="00D45A46">
      <w:pPr>
        <w:jc w:val="both"/>
        <w:rPr>
          <w:bCs/>
          <w:color w:val="002060"/>
          <w:sz w:val="16"/>
          <w:szCs w:val="16"/>
        </w:rPr>
      </w:pPr>
      <w:r w:rsidRPr="00DE096C">
        <w:rPr>
          <w:bCs/>
          <w:color w:val="002060"/>
          <w:sz w:val="16"/>
          <w:szCs w:val="16"/>
        </w:rPr>
        <w:t>Сормовский паровозостроительный (снаряды, щиты, артиллерийский обоз).</w:t>
      </w:r>
    </w:p>
    <w:p w14:paraId="532F05EC" w14:textId="77777777" w:rsidR="000343AB" w:rsidRPr="00DE096C" w:rsidRDefault="000343AB" w:rsidP="00D45A46">
      <w:pPr>
        <w:jc w:val="both"/>
        <w:rPr>
          <w:bCs/>
          <w:color w:val="002060"/>
          <w:sz w:val="16"/>
          <w:szCs w:val="16"/>
        </w:rPr>
      </w:pPr>
      <w:r w:rsidRPr="00DE096C">
        <w:rPr>
          <w:bCs/>
          <w:color w:val="002060"/>
          <w:sz w:val="16"/>
          <w:szCs w:val="16"/>
        </w:rPr>
        <w:t>Лильпоп-Рау (снаряды).</w:t>
      </w:r>
    </w:p>
    <w:p w14:paraId="4E030E7E" w14:textId="77777777" w:rsidR="000343AB" w:rsidRPr="00DE096C" w:rsidRDefault="000343AB" w:rsidP="00D45A46">
      <w:pPr>
        <w:jc w:val="both"/>
        <w:rPr>
          <w:bCs/>
          <w:color w:val="002060"/>
          <w:sz w:val="16"/>
          <w:szCs w:val="16"/>
        </w:rPr>
      </w:pPr>
      <w:r w:rsidRPr="00DE096C">
        <w:rPr>
          <w:bCs/>
          <w:color w:val="002060"/>
          <w:sz w:val="16"/>
          <w:szCs w:val="16"/>
        </w:rPr>
        <w:t>Рудзкого (снаряды).</w:t>
      </w:r>
    </w:p>
    <w:p w14:paraId="664FD6DB" w14:textId="77777777" w:rsidR="000343AB" w:rsidRPr="00DE096C" w:rsidRDefault="000343AB" w:rsidP="00D45A46">
      <w:pPr>
        <w:jc w:val="both"/>
        <w:rPr>
          <w:bCs/>
          <w:color w:val="002060"/>
          <w:sz w:val="16"/>
          <w:szCs w:val="16"/>
        </w:rPr>
      </w:pPr>
      <w:r w:rsidRPr="00DE096C">
        <w:rPr>
          <w:bCs/>
          <w:color w:val="002060"/>
          <w:sz w:val="16"/>
          <w:szCs w:val="16"/>
        </w:rPr>
        <w:t>Коломенский машиностроительный (снаряды, артиллерийский обоз).</w:t>
      </w:r>
    </w:p>
    <w:p w14:paraId="1FF27CA8" w14:textId="77777777" w:rsidR="000343AB" w:rsidRPr="00DE096C" w:rsidRDefault="000343AB" w:rsidP="00D45A46">
      <w:pPr>
        <w:jc w:val="both"/>
        <w:rPr>
          <w:bCs/>
          <w:color w:val="002060"/>
          <w:sz w:val="16"/>
          <w:szCs w:val="16"/>
        </w:rPr>
      </w:pPr>
      <w:r w:rsidRPr="00DE096C">
        <w:rPr>
          <w:bCs/>
          <w:color w:val="002060"/>
          <w:sz w:val="16"/>
          <w:szCs w:val="16"/>
        </w:rPr>
        <w:t>Русское общество для выделки снарядов в Петербурге (снаряды).</w:t>
      </w:r>
    </w:p>
    <w:p w14:paraId="34A4FE7E" w14:textId="77777777" w:rsidR="000343AB" w:rsidRPr="00DE096C" w:rsidRDefault="000343AB" w:rsidP="00D45A46">
      <w:pPr>
        <w:jc w:val="both"/>
        <w:rPr>
          <w:bCs/>
          <w:color w:val="002060"/>
          <w:sz w:val="16"/>
          <w:szCs w:val="16"/>
        </w:rPr>
      </w:pPr>
      <w:r w:rsidRPr="00DE096C">
        <w:rPr>
          <w:bCs/>
          <w:color w:val="002060"/>
          <w:sz w:val="16"/>
          <w:szCs w:val="16"/>
        </w:rPr>
        <w:t>Лесснера (снаряды, орудийные замки).</w:t>
      </w:r>
    </w:p>
    <w:p w14:paraId="38C3E9DC" w14:textId="77777777" w:rsidR="000343AB" w:rsidRPr="00DE096C" w:rsidRDefault="000343AB" w:rsidP="00D45A46">
      <w:pPr>
        <w:jc w:val="both"/>
        <w:rPr>
          <w:bCs/>
          <w:color w:val="002060"/>
          <w:sz w:val="16"/>
          <w:szCs w:val="16"/>
        </w:rPr>
      </w:pPr>
      <w:r w:rsidRPr="00DE096C">
        <w:rPr>
          <w:bCs/>
          <w:color w:val="002060"/>
          <w:sz w:val="16"/>
          <w:szCs w:val="16"/>
        </w:rPr>
        <w:t>Русское общество для выделки и продажи пороха (Шлиссельбург) (порох и взрывчатые вещества).</w:t>
      </w:r>
    </w:p>
    <w:p w14:paraId="4EEF7EB4" w14:textId="77777777" w:rsidR="000343AB" w:rsidRPr="00DE096C" w:rsidRDefault="000343AB" w:rsidP="00D45A46">
      <w:pPr>
        <w:jc w:val="both"/>
        <w:rPr>
          <w:bCs/>
          <w:color w:val="002060"/>
          <w:sz w:val="16"/>
          <w:szCs w:val="16"/>
        </w:rPr>
      </w:pPr>
      <w:r w:rsidRPr="00DE096C">
        <w:rPr>
          <w:bCs/>
          <w:color w:val="002060"/>
          <w:sz w:val="16"/>
          <w:szCs w:val="16"/>
        </w:rPr>
        <w:t>Завод Герца (военная оптика).</w:t>
      </w:r>
    </w:p>
    <w:p w14:paraId="54DC9ACD" w14:textId="77777777" w:rsidR="000343AB" w:rsidRPr="00DE096C" w:rsidRDefault="000343AB" w:rsidP="00D45A46">
      <w:pPr>
        <w:jc w:val="both"/>
        <w:rPr>
          <w:bCs/>
          <w:color w:val="002060"/>
          <w:sz w:val="16"/>
          <w:szCs w:val="16"/>
        </w:rPr>
      </w:pPr>
      <w:r w:rsidRPr="00DE096C">
        <w:rPr>
          <w:bCs/>
          <w:color w:val="002060"/>
          <w:sz w:val="16"/>
          <w:szCs w:val="16"/>
        </w:rPr>
        <w:t>Гельсингфорсский (снаряды, артиллерийский обоз).</w:t>
      </w:r>
    </w:p>
    <w:p w14:paraId="2E2B9B64" w14:textId="77777777" w:rsidR="000343AB" w:rsidRPr="00DE096C" w:rsidRDefault="000343AB" w:rsidP="00D45A46">
      <w:pPr>
        <w:jc w:val="both"/>
        <w:rPr>
          <w:bCs/>
          <w:color w:val="002060"/>
          <w:sz w:val="16"/>
          <w:szCs w:val="16"/>
        </w:rPr>
      </w:pPr>
      <w:r w:rsidRPr="00DE096C">
        <w:rPr>
          <w:bCs/>
          <w:color w:val="002060"/>
          <w:sz w:val="16"/>
          <w:szCs w:val="16"/>
        </w:rPr>
        <w:t>Абоский (снаряды, артиллерийский обоз).</w:t>
      </w:r>
    </w:p>
    <w:p w14:paraId="59F51AE7" w14:textId="77777777" w:rsidR="000343AB" w:rsidRPr="00DE096C" w:rsidRDefault="000343AB" w:rsidP="00D45A46">
      <w:pPr>
        <w:jc w:val="both"/>
        <w:rPr>
          <w:bCs/>
          <w:color w:val="002060"/>
          <w:sz w:val="16"/>
          <w:szCs w:val="16"/>
        </w:rPr>
      </w:pPr>
      <w:r w:rsidRPr="00DE096C">
        <w:rPr>
          <w:bCs/>
          <w:color w:val="002060"/>
          <w:sz w:val="16"/>
          <w:szCs w:val="16"/>
        </w:rPr>
        <w:t>В этом списке не упомянут ряд заводов, которые готовили артиллерийский обоз, амуницию, инструмент и пр.</w:t>
      </w:r>
    </w:p>
    <w:p w14:paraId="2B15E603" w14:textId="77777777" w:rsidR="000343AB" w:rsidRPr="00DE096C" w:rsidRDefault="000343AB" w:rsidP="00D45A46">
      <w:pPr>
        <w:jc w:val="both"/>
        <w:rPr>
          <w:bCs/>
          <w:color w:val="002060"/>
          <w:sz w:val="16"/>
          <w:szCs w:val="16"/>
        </w:rPr>
      </w:pPr>
      <w:r w:rsidRPr="00DE096C">
        <w:rPr>
          <w:bCs/>
          <w:color w:val="002060"/>
          <w:sz w:val="16"/>
          <w:szCs w:val="16"/>
        </w:rPr>
        <w:t>Необходимо указать, что личный состав хозяйственных отделений ГАУ — порохового, оружейного, патронного и др., где разрешались важнейшие и крупнейшие финансово-экономические и хозяйственные вопросы военных заводов, — комплектовался почти сплошь из бывших строевых офицеров, не имевших никогда и никакого отношения к заводскому делу. Исключение составляли лишь начальники отделений, назначавшиеся из военных инженеров, иногда имевших заводский стаж. Но во время войны и эти должности стали замещаться лицами без надлежащего ценза, образовательного или практического. Необходимо констатировать, что некоторые отдельные начальствующие лица ГАУ хорошо понимали заводское дело и болели за него душой. Но вся сложная бюрократическая система управления заводами лишала их всякой возможности проявить полезную инициативу.</w:t>
      </w:r>
    </w:p>
    <w:p w14:paraId="0225CF9E" w14:textId="77777777" w:rsidR="000343AB" w:rsidRPr="00DE096C" w:rsidRDefault="000343AB" w:rsidP="00D45A46">
      <w:pPr>
        <w:jc w:val="both"/>
        <w:rPr>
          <w:bCs/>
          <w:color w:val="002060"/>
          <w:sz w:val="16"/>
          <w:szCs w:val="16"/>
        </w:rPr>
      </w:pPr>
      <w:r w:rsidRPr="00DE096C">
        <w:rPr>
          <w:bCs/>
          <w:color w:val="002060"/>
          <w:sz w:val="16"/>
          <w:szCs w:val="16"/>
        </w:rPr>
        <w:t>Заводы I группы, принадлежавшие военному ведомству, до мировой войны имели чисто военный характер, так как единственной специальностью их были артиллерийские изделия и никаких производств гражданского характера они не имели, за самым незначительным исключением.</w:t>
      </w:r>
    </w:p>
    <w:p w14:paraId="7F9AA1A8" w14:textId="77777777" w:rsidR="000343AB" w:rsidRPr="00DE096C" w:rsidRDefault="000343AB" w:rsidP="00D45A46">
      <w:pPr>
        <w:jc w:val="both"/>
        <w:rPr>
          <w:bCs/>
          <w:color w:val="002060"/>
          <w:sz w:val="16"/>
          <w:szCs w:val="16"/>
        </w:rPr>
      </w:pPr>
      <w:r w:rsidRPr="00DE096C">
        <w:rPr>
          <w:bCs/>
          <w:color w:val="002060"/>
          <w:sz w:val="16"/>
          <w:szCs w:val="16"/>
        </w:rPr>
        <w:t>Заводы остальных групп, морские, горные и частновладельческие, носили смешанный характер, так как наряду с военными производствами вели разнообразные гражданские производства, причем последние в большинстве заводов значительно преобладали по своему объему.</w:t>
      </w:r>
    </w:p>
    <w:p w14:paraId="6A38B240" w14:textId="77777777" w:rsidR="000343AB" w:rsidRPr="00DE096C" w:rsidRDefault="000343AB" w:rsidP="00D45A46">
      <w:pPr>
        <w:jc w:val="both"/>
        <w:rPr>
          <w:bCs/>
          <w:color w:val="002060"/>
          <w:sz w:val="16"/>
          <w:szCs w:val="16"/>
        </w:rPr>
      </w:pPr>
      <w:r w:rsidRPr="00DE096C">
        <w:rPr>
          <w:bCs/>
          <w:color w:val="002060"/>
          <w:sz w:val="16"/>
          <w:szCs w:val="16"/>
        </w:rPr>
        <w:t>Из приведенного перечня видно, что основным ядром артиллерийской промышленности в период, предшествовавший мировой войне, являлась группа заводов военного ведомства. Эта группа охватывала весь цикл главнейших военных производств, причем в отношении некоторых, а именно: оружейного, пулеметного, снаряжательного, она занимала монопольное положение. В большинстве остальных производств, как-то: патронное, трубочное, пороховое, взрывчатых веществ, — заводы военного ведомства занимали также доминирующее положение по своей производственной мощности. И только орудийное, снарядное и оптическое дело главную свою базу имели в заводах морских, горных и частных.</w:t>
      </w:r>
    </w:p>
    <w:p w14:paraId="1C1B3AB6" w14:textId="77777777" w:rsidR="000343AB" w:rsidRPr="00DE096C" w:rsidRDefault="000343AB" w:rsidP="00D45A46">
      <w:pPr>
        <w:jc w:val="both"/>
        <w:rPr>
          <w:bCs/>
          <w:color w:val="002060"/>
          <w:sz w:val="16"/>
          <w:szCs w:val="16"/>
        </w:rPr>
      </w:pPr>
      <w:r w:rsidRPr="00DE096C">
        <w:rPr>
          <w:bCs/>
          <w:color w:val="002060"/>
          <w:sz w:val="16"/>
          <w:szCs w:val="16"/>
        </w:rPr>
        <w:t>В дальнейших главах даны краткие очерки истории и деятельности главнейших заводов военной промышленности, упомянутых в приведенном выше перечне. В этот перечень не вошли заводы, основанные во время мировой войны и после нее. О них будет сказано в своем месте (11329).</w:t>
      </w:r>
    </w:p>
    <w:p w14:paraId="5BA81C73" w14:textId="77777777" w:rsidR="000343AB" w:rsidRPr="00DE096C" w:rsidRDefault="000343AB" w:rsidP="00D45A46">
      <w:pPr>
        <w:jc w:val="both"/>
        <w:rPr>
          <w:bCs/>
          <w:color w:val="002060"/>
          <w:sz w:val="16"/>
          <w:szCs w:val="16"/>
        </w:rPr>
      </w:pPr>
    </w:p>
    <w:p w14:paraId="5B585ACA" w14:textId="77777777" w:rsidR="000343AB" w:rsidRPr="00DE096C" w:rsidRDefault="000343AB" w:rsidP="00D45A46">
      <w:pPr>
        <w:jc w:val="both"/>
        <w:rPr>
          <w:bCs/>
          <w:color w:val="002060"/>
          <w:sz w:val="16"/>
          <w:szCs w:val="16"/>
        </w:rPr>
      </w:pPr>
      <w:r w:rsidRPr="00DE096C">
        <w:rPr>
          <w:bCs/>
          <w:color w:val="002060"/>
          <w:sz w:val="16"/>
          <w:szCs w:val="16"/>
        </w:rPr>
        <w:t xml:space="preserve">К концу июля 1914 г. война застала Ижевский завод в лучших условиях в смысле загруженности заказами, чем два других завода: в 1913 г., перед войной, он имел заказ на 58,6 тыс. винтовок, в то время как Тула — только на 12,8 тыс., а Сестрорецк — на 3,6 тысяч. </w:t>
      </w:r>
    </w:p>
    <w:p w14:paraId="679FF09D" w14:textId="77777777" w:rsidR="000343AB" w:rsidRPr="00DE096C" w:rsidRDefault="000343AB" w:rsidP="00D45A46">
      <w:pPr>
        <w:jc w:val="both"/>
        <w:rPr>
          <w:bCs/>
          <w:color w:val="002060"/>
          <w:sz w:val="16"/>
          <w:szCs w:val="16"/>
        </w:rPr>
      </w:pPr>
      <w:r w:rsidRPr="00DE096C">
        <w:rPr>
          <w:bCs/>
          <w:color w:val="002060"/>
          <w:sz w:val="16"/>
          <w:szCs w:val="16"/>
        </w:rPr>
        <w:t>Развитие производства в период войны 1914—1918 гг. по винтовкам шло следующим образом:</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896"/>
        <w:gridCol w:w="1932"/>
      </w:tblGrid>
      <w:tr w:rsidR="000343AB" w:rsidRPr="00DE096C" w14:paraId="3BA31EAC" w14:textId="77777777" w:rsidTr="00D34AC1">
        <w:tc>
          <w:tcPr>
            <w:tcW w:w="1896" w:type="dxa"/>
          </w:tcPr>
          <w:p w14:paraId="7DDEB330" w14:textId="77777777" w:rsidR="000343AB" w:rsidRPr="00DE096C" w:rsidRDefault="000343AB" w:rsidP="00D45A46">
            <w:pPr>
              <w:jc w:val="both"/>
              <w:rPr>
                <w:bCs/>
                <w:color w:val="002060"/>
                <w:sz w:val="16"/>
                <w:szCs w:val="16"/>
              </w:rPr>
            </w:pPr>
            <w:r w:rsidRPr="00DE096C">
              <w:rPr>
                <w:bCs/>
                <w:color w:val="002060"/>
                <w:sz w:val="16"/>
                <w:szCs w:val="16"/>
              </w:rPr>
              <w:t xml:space="preserve">Август 1914 г. </w:t>
            </w:r>
          </w:p>
        </w:tc>
        <w:tc>
          <w:tcPr>
            <w:tcW w:w="1932" w:type="dxa"/>
          </w:tcPr>
          <w:p w14:paraId="638D37D0" w14:textId="77777777" w:rsidR="000343AB" w:rsidRPr="00DE096C" w:rsidRDefault="000343AB" w:rsidP="00D45A46">
            <w:pPr>
              <w:jc w:val="both"/>
              <w:rPr>
                <w:bCs/>
                <w:color w:val="002060"/>
                <w:sz w:val="16"/>
                <w:szCs w:val="16"/>
              </w:rPr>
            </w:pPr>
            <w:r w:rsidRPr="00DE096C">
              <w:rPr>
                <w:bCs/>
                <w:color w:val="002060"/>
                <w:sz w:val="16"/>
                <w:szCs w:val="16"/>
              </w:rPr>
              <w:t> 6.450</w:t>
            </w:r>
          </w:p>
        </w:tc>
      </w:tr>
      <w:tr w:rsidR="000343AB" w:rsidRPr="00DE096C" w14:paraId="3600479B" w14:textId="77777777" w:rsidTr="00D34AC1">
        <w:tc>
          <w:tcPr>
            <w:tcW w:w="1896" w:type="dxa"/>
          </w:tcPr>
          <w:p w14:paraId="7BDC8CD7" w14:textId="77777777" w:rsidR="000343AB" w:rsidRPr="00DE096C" w:rsidRDefault="000343AB" w:rsidP="00D45A46">
            <w:pPr>
              <w:jc w:val="both"/>
              <w:rPr>
                <w:bCs/>
                <w:color w:val="002060"/>
                <w:sz w:val="16"/>
                <w:szCs w:val="16"/>
              </w:rPr>
            </w:pPr>
            <w:r w:rsidRPr="00DE096C">
              <w:rPr>
                <w:bCs/>
                <w:color w:val="002060"/>
                <w:sz w:val="16"/>
                <w:szCs w:val="16"/>
              </w:rPr>
              <w:t xml:space="preserve">Сентябрь </w:t>
            </w:r>
          </w:p>
        </w:tc>
        <w:tc>
          <w:tcPr>
            <w:tcW w:w="1932" w:type="dxa"/>
          </w:tcPr>
          <w:p w14:paraId="57140492" w14:textId="77777777" w:rsidR="000343AB" w:rsidRPr="00DE096C" w:rsidRDefault="000343AB" w:rsidP="00D45A46">
            <w:pPr>
              <w:jc w:val="both"/>
              <w:rPr>
                <w:bCs/>
                <w:color w:val="002060"/>
                <w:sz w:val="16"/>
                <w:szCs w:val="16"/>
              </w:rPr>
            </w:pPr>
            <w:r w:rsidRPr="00DE096C">
              <w:rPr>
                <w:bCs/>
                <w:color w:val="002060"/>
                <w:sz w:val="16"/>
                <w:szCs w:val="16"/>
              </w:rPr>
              <w:t> 16.040</w:t>
            </w:r>
          </w:p>
        </w:tc>
      </w:tr>
      <w:tr w:rsidR="000343AB" w:rsidRPr="00DE096C" w14:paraId="78A050E8" w14:textId="77777777" w:rsidTr="00D34AC1">
        <w:tc>
          <w:tcPr>
            <w:tcW w:w="1896" w:type="dxa"/>
          </w:tcPr>
          <w:p w14:paraId="43C7D4BC" w14:textId="77777777" w:rsidR="000343AB" w:rsidRPr="00DE096C" w:rsidRDefault="000343AB" w:rsidP="00D45A46">
            <w:pPr>
              <w:jc w:val="both"/>
              <w:rPr>
                <w:bCs/>
                <w:color w:val="002060"/>
                <w:sz w:val="16"/>
                <w:szCs w:val="16"/>
              </w:rPr>
            </w:pPr>
            <w:r w:rsidRPr="00DE096C">
              <w:rPr>
                <w:bCs/>
                <w:color w:val="002060"/>
                <w:sz w:val="16"/>
                <w:szCs w:val="16"/>
              </w:rPr>
              <w:t xml:space="preserve">Октябрь </w:t>
            </w:r>
          </w:p>
        </w:tc>
        <w:tc>
          <w:tcPr>
            <w:tcW w:w="1932" w:type="dxa"/>
          </w:tcPr>
          <w:p w14:paraId="6438F873" w14:textId="77777777" w:rsidR="000343AB" w:rsidRPr="00DE096C" w:rsidRDefault="000343AB" w:rsidP="00D45A46">
            <w:pPr>
              <w:jc w:val="both"/>
              <w:rPr>
                <w:bCs/>
                <w:color w:val="002060"/>
                <w:sz w:val="16"/>
                <w:szCs w:val="16"/>
              </w:rPr>
            </w:pPr>
            <w:r w:rsidRPr="00DE096C">
              <w:rPr>
                <w:bCs/>
                <w:color w:val="002060"/>
                <w:sz w:val="16"/>
                <w:szCs w:val="16"/>
              </w:rPr>
              <w:t> 21.030</w:t>
            </w:r>
          </w:p>
        </w:tc>
      </w:tr>
      <w:tr w:rsidR="000343AB" w:rsidRPr="00DE096C" w14:paraId="6795FF0F" w14:textId="77777777" w:rsidTr="00D34AC1">
        <w:tc>
          <w:tcPr>
            <w:tcW w:w="1896" w:type="dxa"/>
          </w:tcPr>
          <w:p w14:paraId="394CBB29" w14:textId="77777777" w:rsidR="000343AB" w:rsidRPr="00DE096C" w:rsidRDefault="000343AB" w:rsidP="00D45A46">
            <w:pPr>
              <w:jc w:val="both"/>
              <w:rPr>
                <w:bCs/>
                <w:color w:val="002060"/>
                <w:sz w:val="16"/>
                <w:szCs w:val="16"/>
              </w:rPr>
            </w:pPr>
            <w:r w:rsidRPr="00DE096C">
              <w:rPr>
                <w:bCs/>
                <w:color w:val="002060"/>
                <w:sz w:val="16"/>
                <w:szCs w:val="16"/>
              </w:rPr>
              <w:t xml:space="preserve">Ноябрь </w:t>
            </w:r>
          </w:p>
        </w:tc>
        <w:tc>
          <w:tcPr>
            <w:tcW w:w="1932" w:type="dxa"/>
          </w:tcPr>
          <w:p w14:paraId="4FB4D681" w14:textId="77777777" w:rsidR="000343AB" w:rsidRPr="00DE096C" w:rsidRDefault="000343AB" w:rsidP="00D45A46">
            <w:pPr>
              <w:jc w:val="both"/>
              <w:rPr>
                <w:bCs/>
                <w:color w:val="002060"/>
                <w:sz w:val="16"/>
                <w:szCs w:val="16"/>
              </w:rPr>
            </w:pPr>
            <w:r w:rsidRPr="00DE096C">
              <w:rPr>
                <w:bCs/>
                <w:color w:val="002060"/>
                <w:sz w:val="16"/>
                <w:szCs w:val="16"/>
              </w:rPr>
              <w:t> 20.080</w:t>
            </w:r>
          </w:p>
        </w:tc>
      </w:tr>
      <w:tr w:rsidR="000343AB" w:rsidRPr="00DE096C" w14:paraId="2D6C3CCC" w14:textId="77777777" w:rsidTr="00D34AC1">
        <w:tc>
          <w:tcPr>
            <w:tcW w:w="1896" w:type="dxa"/>
          </w:tcPr>
          <w:p w14:paraId="0066C762" w14:textId="77777777" w:rsidR="000343AB" w:rsidRPr="00DE096C" w:rsidRDefault="000343AB" w:rsidP="00D45A46">
            <w:pPr>
              <w:jc w:val="both"/>
              <w:rPr>
                <w:bCs/>
                <w:color w:val="002060"/>
                <w:sz w:val="16"/>
                <w:szCs w:val="16"/>
              </w:rPr>
            </w:pPr>
            <w:r w:rsidRPr="00DE096C">
              <w:rPr>
                <w:bCs/>
                <w:color w:val="002060"/>
                <w:sz w:val="16"/>
                <w:szCs w:val="16"/>
              </w:rPr>
              <w:t xml:space="preserve">Декабрь </w:t>
            </w:r>
          </w:p>
        </w:tc>
        <w:tc>
          <w:tcPr>
            <w:tcW w:w="1932" w:type="dxa"/>
          </w:tcPr>
          <w:p w14:paraId="01FBA16B" w14:textId="77777777" w:rsidR="000343AB" w:rsidRPr="00DE096C" w:rsidRDefault="000343AB" w:rsidP="00D45A46">
            <w:pPr>
              <w:jc w:val="both"/>
              <w:rPr>
                <w:bCs/>
                <w:color w:val="002060"/>
                <w:sz w:val="16"/>
                <w:szCs w:val="16"/>
              </w:rPr>
            </w:pPr>
            <w:r w:rsidRPr="00DE096C">
              <w:rPr>
                <w:bCs/>
                <w:color w:val="002060"/>
                <w:sz w:val="16"/>
                <w:szCs w:val="16"/>
              </w:rPr>
              <w:t> 18.530</w:t>
            </w:r>
          </w:p>
        </w:tc>
      </w:tr>
      <w:tr w:rsidR="000343AB" w:rsidRPr="00DE096C" w14:paraId="71BDCD1F" w14:textId="77777777" w:rsidTr="00D34AC1">
        <w:tc>
          <w:tcPr>
            <w:tcW w:w="1896" w:type="dxa"/>
          </w:tcPr>
          <w:p w14:paraId="2C65256E" w14:textId="77777777" w:rsidR="000343AB" w:rsidRPr="00DE096C" w:rsidRDefault="000343AB" w:rsidP="00D45A46">
            <w:pPr>
              <w:jc w:val="both"/>
              <w:rPr>
                <w:bCs/>
                <w:color w:val="002060"/>
                <w:sz w:val="16"/>
                <w:szCs w:val="16"/>
              </w:rPr>
            </w:pPr>
            <w:r w:rsidRPr="00DE096C">
              <w:rPr>
                <w:bCs/>
                <w:color w:val="002060"/>
                <w:sz w:val="16"/>
                <w:szCs w:val="16"/>
              </w:rPr>
              <w:t xml:space="preserve">Итого за 5 месяцев </w:t>
            </w:r>
          </w:p>
        </w:tc>
        <w:tc>
          <w:tcPr>
            <w:tcW w:w="1932" w:type="dxa"/>
          </w:tcPr>
          <w:p w14:paraId="3F59C3EA" w14:textId="77777777" w:rsidR="000343AB" w:rsidRPr="00DE096C" w:rsidRDefault="000343AB" w:rsidP="00D45A46">
            <w:pPr>
              <w:jc w:val="both"/>
              <w:rPr>
                <w:bCs/>
                <w:color w:val="002060"/>
                <w:sz w:val="16"/>
                <w:szCs w:val="16"/>
              </w:rPr>
            </w:pPr>
            <w:r w:rsidRPr="00DE096C">
              <w:rPr>
                <w:bCs/>
                <w:color w:val="002060"/>
                <w:sz w:val="16"/>
                <w:szCs w:val="16"/>
              </w:rPr>
              <w:t> 83.120</w:t>
            </w:r>
          </w:p>
        </w:tc>
      </w:tr>
      <w:tr w:rsidR="000343AB" w:rsidRPr="00DE096C" w14:paraId="396E3E27" w14:textId="77777777" w:rsidTr="00D34AC1">
        <w:tc>
          <w:tcPr>
            <w:tcW w:w="1896" w:type="dxa"/>
          </w:tcPr>
          <w:p w14:paraId="19731001" w14:textId="77777777" w:rsidR="000343AB" w:rsidRPr="00DE096C" w:rsidRDefault="000343AB" w:rsidP="00D45A46">
            <w:pPr>
              <w:jc w:val="both"/>
              <w:rPr>
                <w:bCs/>
                <w:color w:val="002060"/>
                <w:sz w:val="16"/>
                <w:szCs w:val="16"/>
              </w:rPr>
            </w:pPr>
            <w:r w:rsidRPr="00DE096C">
              <w:rPr>
                <w:bCs/>
                <w:color w:val="002060"/>
                <w:sz w:val="16"/>
                <w:szCs w:val="16"/>
              </w:rPr>
              <w:t xml:space="preserve">За 1915 г. </w:t>
            </w:r>
          </w:p>
        </w:tc>
        <w:tc>
          <w:tcPr>
            <w:tcW w:w="1932" w:type="dxa"/>
          </w:tcPr>
          <w:p w14:paraId="6E39C602" w14:textId="77777777" w:rsidR="000343AB" w:rsidRPr="00DE096C" w:rsidRDefault="000343AB" w:rsidP="00D45A46">
            <w:pPr>
              <w:jc w:val="both"/>
              <w:rPr>
                <w:bCs/>
                <w:color w:val="002060"/>
                <w:sz w:val="16"/>
                <w:szCs w:val="16"/>
              </w:rPr>
            </w:pPr>
            <w:r w:rsidRPr="00DE096C">
              <w:rPr>
                <w:bCs/>
                <w:color w:val="002060"/>
                <w:sz w:val="16"/>
                <w:szCs w:val="16"/>
              </w:rPr>
              <w:t> 312.930 (26,1 тыс.)</w:t>
            </w:r>
          </w:p>
        </w:tc>
      </w:tr>
      <w:tr w:rsidR="000343AB" w:rsidRPr="00DE096C" w14:paraId="37E69EC0" w14:textId="77777777" w:rsidTr="00D34AC1">
        <w:tc>
          <w:tcPr>
            <w:tcW w:w="1896" w:type="dxa"/>
          </w:tcPr>
          <w:p w14:paraId="555328B8" w14:textId="77777777" w:rsidR="000343AB" w:rsidRPr="00DE096C" w:rsidRDefault="000343AB" w:rsidP="00D45A46">
            <w:pPr>
              <w:jc w:val="both"/>
              <w:rPr>
                <w:bCs/>
                <w:color w:val="002060"/>
                <w:sz w:val="16"/>
                <w:szCs w:val="16"/>
              </w:rPr>
            </w:pPr>
            <w:r w:rsidRPr="00DE096C">
              <w:rPr>
                <w:bCs/>
                <w:color w:val="002060"/>
                <w:sz w:val="16"/>
                <w:szCs w:val="16"/>
              </w:rPr>
              <w:t xml:space="preserve">1916 г. </w:t>
            </w:r>
          </w:p>
        </w:tc>
        <w:tc>
          <w:tcPr>
            <w:tcW w:w="1932" w:type="dxa"/>
          </w:tcPr>
          <w:p w14:paraId="724E10C7" w14:textId="77777777" w:rsidR="000343AB" w:rsidRPr="00DE096C" w:rsidRDefault="000343AB" w:rsidP="00D45A46">
            <w:pPr>
              <w:jc w:val="both"/>
              <w:rPr>
                <w:bCs/>
                <w:color w:val="002060"/>
                <w:sz w:val="16"/>
                <w:szCs w:val="16"/>
              </w:rPr>
            </w:pPr>
            <w:r w:rsidRPr="00DE096C">
              <w:rPr>
                <w:bCs/>
                <w:color w:val="002060"/>
                <w:sz w:val="16"/>
                <w:szCs w:val="16"/>
              </w:rPr>
              <w:t> 504.870 (42,0 тыс.)</w:t>
            </w:r>
          </w:p>
        </w:tc>
      </w:tr>
      <w:tr w:rsidR="000343AB" w:rsidRPr="00DE096C" w14:paraId="48AD5FD5" w14:textId="77777777" w:rsidTr="00D34AC1">
        <w:tc>
          <w:tcPr>
            <w:tcW w:w="1896" w:type="dxa"/>
          </w:tcPr>
          <w:p w14:paraId="2564FA5A" w14:textId="77777777" w:rsidR="000343AB" w:rsidRPr="00DE096C" w:rsidRDefault="000343AB" w:rsidP="00D45A46">
            <w:pPr>
              <w:jc w:val="both"/>
              <w:rPr>
                <w:bCs/>
                <w:color w:val="002060"/>
                <w:sz w:val="16"/>
                <w:szCs w:val="16"/>
              </w:rPr>
            </w:pPr>
            <w:r w:rsidRPr="00DE096C">
              <w:rPr>
                <w:bCs/>
                <w:color w:val="002060"/>
                <w:sz w:val="16"/>
                <w:szCs w:val="16"/>
              </w:rPr>
              <w:t xml:space="preserve">1917 г. </w:t>
            </w:r>
          </w:p>
        </w:tc>
        <w:tc>
          <w:tcPr>
            <w:tcW w:w="1932" w:type="dxa"/>
          </w:tcPr>
          <w:p w14:paraId="2DE516ED" w14:textId="77777777" w:rsidR="000343AB" w:rsidRPr="00DE096C" w:rsidRDefault="000343AB" w:rsidP="00D45A46">
            <w:pPr>
              <w:jc w:val="both"/>
              <w:rPr>
                <w:bCs/>
                <w:color w:val="002060"/>
                <w:sz w:val="16"/>
                <w:szCs w:val="16"/>
              </w:rPr>
            </w:pPr>
            <w:r w:rsidRPr="00DE096C">
              <w:rPr>
                <w:bCs/>
                <w:color w:val="002060"/>
                <w:sz w:val="16"/>
                <w:szCs w:val="16"/>
              </w:rPr>
              <w:t> 505.860 (42,1 тыс.)</w:t>
            </w:r>
          </w:p>
        </w:tc>
      </w:tr>
    </w:tbl>
    <w:p w14:paraId="3E425123" w14:textId="77777777" w:rsidR="000343AB" w:rsidRPr="00DE096C" w:rsidRDefault="000343AB" w:rsidP="00D45A46">
      <w:pPr>
        <w:jc w:val="both"/>
        <w:rPr>
          <w:bCs/>
          <w:color w:val="002060"/>
          <w:sz w:val="16"/>
          <w:szCs w:val="16"/>
        </w:rPr>
      </w:pPr>
      <w:r w:rsidRPr="00DE096C">
        <w:rPr>
          <w:bCs/>
          <w:color w:val="002060"/>
          <w:sz w:val="16"/>
          <w:szCs w:val="16"/>
        </w:rPr>
        <w:t xml:space="preserve">(в скобках показан средний месячный выпуск). </w:t>
      </w:r>
    </w:p>
    <w:p w14:paraId="112F6EA1" w14:textId="77777777" w:rsidR="000343AB" w:rsidRPr="00DE096C" w:rsidRDefault="000343AB" w:rsidP="00D45A46">
      <w:pPr>
        <w:jc w:val="both"/>
        <w:rPr>
          <w:bCs/>
          <w:color w:val="002060"/>
          <w:sz w:val="16"/>
          <w:szCs w:val="16"/>
        </w:rPr>
      </w:pPr>
      <w:r w:rsidRPr="00DE096C">
        <w:rPr>
          <w:bCs/>
          <w:color w:val="002060"/>
          <w:sz w:val="16"/>
          <w:szCs w:val="16"/>
        </w:rPr>
        <w:t>Помимо изготовления новых винтовок, завод производил ремонт поврежденных на фронте. Отремонтировано винтовок:</w:t>
      </w:r>
    </w:p>
    <w:p w14:paraId="63B3D1D4" w14:textId="77777777" w:rsidR="000343AB" w:rsidRPr="00DE096C" w:rsidRDefault="000343AB" w:rsidP="00D45A46">
      <w:pPr>
        <w:jc w:val="both"/>
        <w:rPr>
          <w:bCs/>
          <w:color w:val="002060"/>
          <w:sz w:val="16"/>
          <w:szCs w:val="16"/>
        </w:rPr>
      </w:pPr>
      <w:r w:rsidRPr="00DE096C">
        <w:rPr>
          <w:bCs/>
          <w:color w:val="002060"/>
          <w:sz w:val="16"/>
          <w:szCs w:val="16"/>
        </w:rPr>
        <w:t>в 1914 г. 97.900</w:t>
      </w:r>
    </w:p>
    <w:p w14:paraId="0485ACD4" w14:textId="77777777" w:rsidR="000343AB" w:rsidRPr="00DE096C" w:rsidRDefault="000343AB" w:rsidP="00D45A46">
      <w:pPr>
        <w:jc w:val="both"/>
        <w:rPr>
          <w:bCs/>
          <w:color w:val="002060"/>
          <w:sz w:val="16"/>
          <w:szCs w:val="16"/>
        </w:rPr>
      </w:pPr>
      <w:r w:rsidRPr="00DE096C">
        <w:rPr>
          <w:bCs/>
          <w:color w:val="002060"/>
          <w:sz w:val="16"/>
          <w:szCs w:val="16"/>
        </w:rPr>
        <w:t>в 1915 г. 65.900</w:t>
      </w:r>
    </w:p>
    <w:p w14:paraId="1743E954" w14:textId="77777777" w:rsidR="000343AB" w:rsidRPr="00DE096C" w:rsidRDefault="000343AB" w:rsidP="00D45A46">
      <w:pPr>
        <w:jc w:val="both"/>
        <w:rPr>
          <w:bCs/>
          <w:color w:val="002060"/>
          <w:sz w:val="16"/>
          <w:szCs w:val="16"/>
        </w:rPr>
      </w:pPr>
      <w:r w:rsidRPr="00DE096C">
        <w:rPr>
          <w:bCs/>
          <w:color w:val="002060"/>
          <w:sz w:val="16"/>
          <w:szCs w:val="16"/>
        </w:rPr>
        <w:t>в 1916 г. 9.900</w:t>
      </w:r>
    </w:p>
    <w:p w14:paraId="235B0AB8" w14:textId="77777777" w:rsidR="000343AB" w:rsidRPr="00DE096C" w:rsidRDefault="000343AB" w:rsidP="00D45A46">
      <w:pPr>
        <w:jc w:val="both"/>
        <w:rPr>
          <w:bCs/>
          <w:color w:val="002060"/>
          <w:sz w:val="16"/>
          <w:szCs w:val="16"/>
        </w:rPr>
      </w:pPr>
      <w:r w:rsidRPr="00DE096C">
        <w:rPr>
          <w:bCs/>
          <w:color w:val="002060"/>
          <w:sz w:val="16"/>
          <w:szCs w:val="16"/>
        </w:rPr>
        <w:t>Как работал в войну стальной завод, будет указано ниже.</w:t>
      </w:r>
    </w:p>
    <w:p w14:paraId="76B6E817" w14:textId="77777777" w:rsidR="000343AB" w:rsidRPr="00DE096C" w:rsidRDefault="000343AB" w:rsidP="00D45A46">
      <w:pPr>
        <w:jc w:val="both"/>
        <w:rPr>
          <w:bCs/>
          <w:color w:val="002060"/>
          <w:sz w:val="16"/>
          <w:szCs w:val="16"/>
        </w:rPr>
      </w:pPr>
      <w:r w:rsidRPr="00DE096C">
        <w:rPr>
          <w:bCs/>
          <w:color w:val="002060"/>
          <w:sz w:val="16"/>
          <w:szCs w:val="16"/>
        </w:rPr>
        <w:t xml:space="preserve">В первые два года войны завод был хорошо обеспечен материалами и топливом и задержек с этой стороны не имел. Но развитие производительности тормозилось с других сторон. Как указано выше, оборудование было в значительной части старо по типам и сильно разношено. Затем, отсутствовал источник пополнения рабочих </w:t>
      </w:r>
      <w:r w:rsidRPr="00DE096C">
        <w:rPr>
          <w:bCs/>
          <w:color w:val="002060"/>
          <w:sz w:val="16"/>
          <w:szCs w:val="16"/>
        </w:rPr>
        <w:lastRenderedPageBreak/>
        <w:t xml:space="preserve">высокой квалификации, в особенности по некоторым оружейным специальностям, как, например, правка стволов, обучение которым требовало очень длительного времени (11329). </w:t>
      </w:r>
    </w:p>
    <w:p w14:paraId="61F2C3D9" w14:textId="77777777" w:rsidR="000343AB" w:rsidRPr="00DE096C" w:rsidRDefault="000343AB" w:rsidP="00D45A46">
      <w:pPr>
        <w:jc w:val="both"/>
        <w:rPr>
          <w:bCs/>
          <w:color w:val="002060"/>
          <w:sz w:val="16"/>
          <w:szCs w:val="16"/>
        </w:rPr>
      </w:pPr>
    </w:p>
    <w:p w14:paraId="395041A9" w14:textId="77777777" w:rsidR="000343AB" w:rsidRPr="00DE096C" w:rsidRDefault="000343AB" w:rsidP="00D45A46">
      <w:pPr>
        <w:jc w:val="both"/>
        <w:rPr>
          <w:bCs/>
          <w:color w:val="002060"/>
          <w:sz w:val="16"/>
          <w:szCs w:val="16"/>
        </w:rPr>
      </w:pPr>
      <w:r w:rsidRPr="00DE096C">
        <w:rPr>
          <w:bCs/>
          <w:color w:val="002060"/>
          <w:sz w:val="16"/>
          <w:szCs w:val="16"/>
        </w:rPr>
        <w:t xml:space="preserve">К концу июля 1914 г. до мировой войны Петербургский трубочный завод, как и другие военные заводы, не имел мобилизационных заданий и планов на военное время и к мобилизации поэтому ни в какой мере не готовился. </w:t>
      </w:r>
    </w:p>
    <w:p w14:paraId="56F3C477" w14:textId="77777777" w:rsidR="000343AB" w:rsidRPr="00DE096C" w:rsidRDefault="000343AB" w:rsidP="00D45A46">
      <w:pPr>
        <w:jc w:val="both"/>
        <w:rPr>
          <w:bCs/>
          <w:color w:val="002060"/>
          <w:sz w:val="16"/>
          <w:szCs w:val="16"/>
        </w:rPr>
      </w:pPr>
      <w:r w:rsidRPr="00DE096C">
        <w:rPr>
          <w:bCs/>
          <w:color w:val="002060"/>
          <w:sz w:val="16"/>
          <w:szCs w:val="16"/>
        </w:rPr>
        <w:t>Беззаботность военного ведомства, проявленная в этом вопросе по отношению ко всей военной промышленности, была особенно преступна в отношении Петербургского трубочного завода. В то время это был единственный завод, на котором держалось все трубочное дело, так как Самарский завод, только что нарождавшийся, конечно, серьезно в счет идти не мог. Военное ведомство не могло не думать о том, что снаряды, а следовательно, и трубки и взрыватели, при всяких условиях являются первоочередным предметом военной потребности (11329).</w:t>
      </w:r>
    </w:p>
    <w:p w14:paraId="60C4DB6D" w14:textId="77777777" w:rsidR="000343AB" w:rsidRPr="00DE096C" w:rsidRDefault="000343AB" w:rsidP="00D45A46">
      <w:pPr>
        <w:jc w:val="both"/>
        <w:rPr>
          <w:bCs/>
          <w:color w:val="002060"/>
          <w:sz w:val="16"/>
          <w:szCs w:val="16"/>
        </w:rPr>
      </w:pPr>
    </w:p>
    <w:p w14:paraId="7B22C866" w14:textId="77777777" w:rsidR="000343AB" w:rsidRPr="00DE096C" w:rsidRDefault="000343AB" w:rsidP="00D45A46">
      <w:pPr>
        <w:jc w:val="both"/>
        <w:rPr>
          <w:bCs/>
          <w:color w:val="002060"/>
          <w:sz w:val="16"/>
          <w:szCs w:val="16"/>
        </w:rPr>
      </w:pPr>
      <w:r w:rsidRPr="00DE096C">
        <w:rPr>
          <w:bCs/>
          <w:color w:val="002060"/>
          <w:sz w:val="16"/>
          <w:szCs w:val="16"/>
        </w:rPr>
        <w:t xml:space="preserve">К концу июля, к войне 1914 г. в составе Обуховского завода находились следующие отделы и мастерские: сталелитейная, электросталелитейная, чугунолитейная, меднолитейная, молотовая, прессовая, прокатная, котельная, отжигательная, снарядная, закалочная, пилозубная, пушечно-отделочная (11 отделений), станочная, снарядная, оптико-механическая, минная, скорострельной артиллерии, а затем различные мастерские вспомогательного назначения, как-то: ремонтная, модельная, кирпичная и пр. </w:t>
      </w:r>
    </w:p>
    <w:p w14:paraId="006EEF2A" w14:textId="77777777" w:rsidR="000343AB" w:rsidRPr="00DE096C" w:rsidRDefault="000343AB" w:rsidP="00D45A46">
      <w:pPr>
        <w:jc w:val="both"/>
        <w:rPr>
          <w:bCs/>
          <w:color w:val="002060"/>
          <w:sz w:val="16"/>
          <w:szCs w:val="16"/>
        </w:rPr>
      </w:pPr>
      <w:r w:rsidRPr="00DE096C">
        <w:rPr>
          <w:bCs/>
          <w:color w:val="002060"/>
          <w:sz w:val="16"/>
          <w:szCs w:val="16"/>
        </w:rPr>
        <w:t xml:space="preserve">Располагая такими мощными техническими средствами, завод мог вести длинный ряд разнообразных производств: орудия всех калибров, башенные установки, станки, лафеты, снаряды всех калибров, самодвижущиеся мины, приборы Обри, оптические прицелы, трубы, панорамы, микромоторы, бинокли, простые и фасонные поковки, прокатное дело, огнеупорный кирпич, железные конструкции и разное клепальное дело, а также ремонт всех предметов артиллерийского вооружения. </w:t>
      </w:r>
    </w:p>
    <w:p w14:paraId="3AD9C658" w14:textId="77777777" w:rsidR="000343AB" w:rsidRPr="00DE096C" w:rsidRDefault="000343AB" w:rsidP="00D45A46">
      <w:pPr>
        <w:jc w:val="both"/>
        <w:rPr>
          <w:bCs/>
          <w:color w:val="002060"/>
          <w:sz w:val="16"/>
          <w:szCs w:val="16"/>
        </w:rPr>
      </w:pPr>
      <w:r w:rsidRPr="00DE096C">
        <w:rPr>
          <w:bCs/>
          <w:color w:val="002060"/>
          <w:sz w:val="16"/>
          <w:szCs w:val="16"/>
        </w:rPr>
        <w:t xml:space="preserve">Мощность сталелитейной достигла 2,5 млн пудов при весе отдельных отливок до 4000 пудов и фасонной стали — 100 000 пудов. </w:t>
      </w:r>
    </w:p>
    <w:p w14:paraId="4F9AFEA0" w14:textId="77777777" w:rsidR="000343AB" w:rsidRPr="00DE096C" w:rsidRDefault="000343AB" w:rsidP="00D45A46">
      <w:pPr>
        <w:jc w:val="both"/>
        <w:rPr>
          <w:bCs/>
          <w:color w:val="002060"/>
          <w:sz w:val="16"/>
          <w:szCs w:val="16"/>
        </w:rPr>
      </w:pPr>
      <w:r w:rsidRPr="00DE096C">
        <w:rPr>
          <w:bCs/>
          <w:color w:val="002060"/>
          <w:sz w:val="16"/>
          <w:szCs w:val="16"/>
        </w:rPr>
        <w:t xml:space="preserve">Ковочные средства имели пропускную способность 0,7 млн пудов и состояли из прессов на 7500 т, 3000 т, 1500 т и 800 т и молотов до 6 тонн. Пропускная способность прокатной равнялась 1,5 млн пудов. Максимальная производительность по орудиям составляла до 100 орудий крупных калибров, до 250 средних калибров и до 130 мелких. </w:t>
      </w:r>
    </w:p>
    <w:p w14:paraId="08273192" w14:textId="77777777" w:rsidR="000343AB" w:rsidRPr="00DE096C" w:rsidRDefault="000343AB" w:rsidP="00D45A46">
      <w:pPr>
        <w:jc w:val="both"/>
        <w:rPr>
          <w:bCs/>
          <w:color w:val="002060"/>
          <w:sz w:val="16"/>
          <w:szCs w:val="16"/>
        </w:rPr>
      </w:pPr>
      <w:r w:rsidRPr="00DE096C">
        <w:rPr>
          <w:bCs/>
          <w:color w:val="002060"/>
          <w:sz w:val="16"/>
          <w:szCs w:val="16"/>
        </w:rPr>
        <w:t xml:space="preserve">Интересно отметить, что Обуховский завод, оцениваемый при первоначальной постройке в 400 000 руб., за 50 лет существования увеличил свой основной капитал до 28 млн рублей. К началу мировой войны его годовая производительность оценивалась в 12-13 млн рублей. </w:t>
      </w:r>
    </w:p>
    <w:p w14:paraId="62A561AA" w14:textId="77777777" w:rsidR="000343AB" w:rsidRPr="00DE096C" w:rsidRDefault="000343AB" w:rsidP="00D45A46">
      <w:pPr>
        <w:jc w:val="both"/>
        <w:rPr>
          <w:bCs/>
          <w:color w:val="002060"/>
          <w:sz w:val="16"/>
          <w:szCs w:val="16"/>
        </w:rPr>
      </w:pPr>
      <w:r w:rsidRPr="00DE096C">
        <w:rPr>
          <w:bCs/>
          <w:color w:val="002060"/>
          <w:sz w:val="16"/>
          <w:szCs w:val="16"/>
        </w:rPr>
        <w:t xml:space="preserve">За 50 лет существования Обуховский завод вооружил орудиями больших калибров весь русский флот и крепости, сухопутные и береговые. Затем на нем в значительной мере лежало постоянно и вооружение сухопутной армии орудиями средних и малых калибров. </w:t>
      </w:r>
    </w:p>
    <w:p w14:paraId="7DA0965D" w14:textId="77777777" w:rsidR="000343AB" w:rsidRPr="00DE096C" w:rsidRDefault="000343AB" w:rsidP="00D45A46">
      <w:pPr>
        <w:jc w:val="both"/>
        <w:rPr>
          <w:bCs/>
          <w:color w:val="002060"/>
          <w:sz w:val="16"/>
          <w:szCs w:val="16"/>
        </w:rPr>
      </w:pPr>
      <w:r w:rsidRPr="00DE096C">
        <w:rPr>
          <w:bCs/>
          <w:color w:val="002060"/>
          <w:sz w:val="16"/>
          <w:szCs w:val="16"/>
        </w:rPr>
        <w:t>За 1864—1900 гг. завод выпустил для морского и военного ведомства:</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352"/>
        <w:gridCol w:w="1356"/>
      </w:tblGrid>
      <w:tr w:rsidR="000343AB" w:rsidRPr="00DE096C" w14:paraId="13599613" w14:textId="77777777" w:rsidTr="00D34AC1">
        <w:tc>
          <w:tcPr>
            <w:tcW w:w="2352" w:type="dxa"/>
          </w:tcPr>
          <w:p w14:paraId="14B5654C" w14:textId="77777777" w:rsidR="000343AB" w:rsidRPr="00DE096C" w:rsidRDefault="000343AB" w:rsidP="00D45A46">
            <w:pPr>
              <w:jc w:val="both"/>
              <w:rPr>
                <w:bCs/>
                <w:color w:val="002060"/>
                <w:sz w:val="16"/>
                <w:szCs w:val="16"/>
              </w:rPr>
            </w:pPr>
            <w:r w:rsidRPr="00DE096C">
              <w:rPr>
                <w:bCs/>
                <w:color w:val="002060"/>
                <w:sz w:val="16"/>
                <w:szCs w:val="16"/>
              </w:rPr>
              <w:t>16-дм пушек</w:t>
            </w:r>
          </w:p>
        </w:tc>
        <w:tc>
          <w:tcPr>
            <w:tcW w:w="1356" w:type="dxa"/>
          </w:tcPr>
          <w:p w14:paraId="0DFBE3A9" w14:textId="77777777" w:rsidR="000343AB" w:rsidRPr="00DE096C" w:rsidRDefault="000343AB" w:rsidP="00D45A46">
            <w:pPr>
              <w:jc w:val="both"/>
              <w:rPr>
                <w:bCs/>
                <w:color w:val="002060"/>
                <w:sz w:val="16"/>
                <w:szCs w:val="16"/>
              </w:rPr>
            </w:pPr>
            <w:r w:rsidRPr="00DE096C">
              <w:rPr>
                <w:bCs/>
                <w:color w:val="002060"/>
                <w:sz w:val="16"/>
                <w:szCs w:val="16"/>
              </w:rPr>
              <w:t>1</w:t>
            </w:r>
          </w:p>
        </w:tc>
      </w:tr>
      <w:tr w:rsidR="000343AB" w:rsidRPr="00DE096C" w14:paraId="7D591A72" w14:textId="77777777" w:rsidTr="00D34AC1">
        <w:tc>
          <w:tcPr>
            <w:tcW w:w="2352" w:type="dxa"/>
          </w:tcPr>
          <w:p w14:paraId="6EDF1BE9" w14:textId="77777777" w:rsidR="000343AB" w:rsidRPr="00DE096C" w:rsidRDefault="000343AB" w:rsidP="00D45A46">
            <w:pPr>
              <w:jc w:val="both"/>
              <w:rPr>
                <w:bCs/>
                <w:color w:val="002060"/>
                <w:sz w:val="16"/>
                <w:szCs w:val="16"/>
              </w:rPr>
            </w:pPr>
            <w:r w:rsidRPr="00DE096C">
              <w:rPr>
                <w:bCs/>
                <w:color w:val="002060"/>
                <w:sz w:val="16"/>
                <w:szCs w:val="16"/>
              </w:rPr>
              <w:t>12-дм пушек</w:t>
            </w:r>
          </w:p>
        </w:tc>
        <w:tc>
          <w:tcPr>
            <w:tcW w:w="1356" w:type="dxa"/>
          </w:tcPr>
          <w:p w14:paraId="003E9EA7" w14:textId="77777777" w:rsidR="000343AB" w:rsidRPr="00DE096C" w:rsidRDefault="000343AB" w:rsidP="00D45A46">
            <w:pPr>
              <w:jc w:val="both"/>
              <w:rPr>
                <w:bCs/>
                <w:color w:val="002060"/>
                <w:sz w:val="16"/>
                <w:szCs w:val="16"/>
              </w:rPr>
            </w:pPr>
            <w:r w:rsidRPr="00DE096C">
              <w:rPr>
                <w:bCs/>
                <w:color w:val="002060"/>
                <w:sz w:val="16"/>
                <w:szCs w:val="16"/>
              </w:rPr>
              <w:t>72</w:t>
            </w:r>
          </w:p>
        </w:tc>
      </w:tr>
      <w:tr w:rsidR="000343AB" w:rsidRPr="00DE096C" w14:paraId="2C06DC15" w14:textId="77777777" w:rsidTr="00D34AC1">
        <w:tc>
          <w:tcPr>
            <w:tcW w:w="2352" w:type="dxa"/>
          </w:tcPr>
          <w:p w14:paraId="5E5886F1" w14:textId="77777777" w:rsidR="000343AB" w:rsidRPr="00DE096C" w:rsidRDefault="000343AB" w:rsidP="00D45A46">
            <w:pPr>
              <w:jc w:val="both"/>
              <w:rPr>
                <w:bCs/>
                <w:color w:val="002060"/>
                <w:sz w:val="16"/>
                <w:szCs w:val="16"/>
              </w:rPr>
            </w:pPr>
            <w:r w:rsidRPr="00DE096C">
              <w:rPr>
                <w:bCs/>
                <w:color w:val="002060"/>
                <w:sz w:val="16"/>
                <w:szCs w:val="16"/>
              </w:rPr>
              <w:t>11-дм пушек</w:t>
            </w:r>
          </w:p>
        </w:tc>
        <w:tc>
          <w:tcPr>
            <w:tcW w:w="1356" w:type="dxa"/>
          </w:tcPr>
          <w:p w14:paraId="053DB9A0" w14:textId="77777777" w:rsidR="000343AB" w:rsidRPr="00DE096C" w:rsidRDefault="000343AB" w:rsidP="00D45A46">
            <w:pPr>
              <w:jc w:val="both"/>
              <w:rPr>
                <w:bCs/>
                <w:color w:val="002060"/>
                <w:sz w:val="16"/>
                <w:szCs w:val="16"/>
              </w:rPr>
            </w:pPr>
            <w:r w:rsidRPr="00DE096C">
              <w:rPr>
                <w:bCs/>
                <w:color w:val="002060"/>
                <w:sz w:val="16"/>
                <w:szCs w:val="16"/>
              </w:rPr>
              <w:t>136</w:t>
            </w:r>
          </w:p>
        </w:tc>
      </w:tr>
      <w:tr w:rsidR="000343AB" w:rsidRPr="00DE096C" w14:paraId="7156B6F7" w14:textId="77777777" w:rsidTr="00D34AC1">
        <w:tc>
          <w:tcPr>
            <w:tcW w:w="2352" w:type="dxa"/>
          </w:tcPr>
          <w:p w14:paraId="1E35EADF" w14:textId="77777777" w:rsidR="000343AB" w:rsidRPr="00DE096C" w:rsidRDefault="000343AB" w:rsidP="00D45A46">
            <w:pPr>
              <w:jc w:val="both"/>
              <w:rPr>
                <w:bCs/>
                <w:color w:val="002060"/>
                <w:sz w:val="16"/>
                <w:szCs w:val="16"/>
              </w:rPr>
            </w:pPr>
            <w:r w:rsidRPr="00DE096C">
              <w:rPr>
                <w:bCs/>
                <w:color w:val="002060"/>
                <w:sz w:val="16"/>
                <w:szCs w:val="16"/>
              </w:rPr>
              <w:t>8-дм и 9-дм пушек</w:t>
            </w:r>
          </w:p>
        </w:tc>
        <w:tc>
          <w:tcPr>
            <w:tcW w:w="1356" w:type="dxa"/>
          </w:tcPr>
          <w:p w14:paraId="15802D4E" w14:textId="77777777" w:rsidR="000343AB" w:rsidRPr="00DE096C" w:rsidRDefault="000343AB" w:rsidP="00D45A46">
            <w:pPr>
              <w:jc w:val="both"/>
              <w:rPr>
                <w:bCs/>
                <w:color w:val="002060"/>
                <w:sz w:val="16"/>
                <w:szCs w:val="16"/>
              </w:rPr>
            </w:pPr>
            <w:r w:rsidRPr="00DE096C">
              <w:rPr>
                <w:bCs/>
                <w:color w:val="002060"/>
                <w:sz w:val="16"/>
                <w:szCs w:val="16"/>
              </w:rPr>
              <w:t>291</w:t>
            </w:r>
          </w:p>
        </w:tc>
      </w:tr>
      <w:tr w:rsidR="000343AB" w:rsidRPr="00DE096C" w14:paraId="2E90FBD9" w14:textId="77777777" w:rsidTr="00D34AC1">
        <w:tc>
          <w:tcPr>
            <w:tcW w:w="2352" w:type="dxa"/>
          </w:tcPr>
          <w:p w14:paraId="26B61353" w14:textId="77777777" w:rsidR="000343AB" w:rsidRPr="00DE096C" w:rsidRDefault="000343AB" w:rsidP="00D45A46">
            <w:pPr>
              <w:jc w:val="both"/>
              <w:rPr>
                <w:bCs/>
                <w:color w:val="002060"/>
                <w:sz w:val="16"/>
                <w:szCs w:val="16"/>
              </w:rPr>
            </w:pPr>
            <w:r w:rsidRPr="00DE096C">
              <w:rPr>
                <w:bCs/>
                <w:color w:val="002060"/>
                <w:sz w:val="16"/>
                <w:szCs w:val="16"/>
              </w:rPr>
              <w:t>6-дм пушек</w:t>
            </w:r>
          </w:p>
        </w:tc>
        <w:tc>
          <w:tcPr>
            <w:tcW w:w="1356" w:type="dxa"/>
          </w:tcPr>
          <w:p w14:paraId="321018B7" w14:textId="77777777" w:rsidR="000343AB" w:rsidRPr="00DE096C" w:rsidRDefault="000343AB" w:rsidP="00D45A46">
            <w:pPr>
              <w:jc w:val="both"/>
              <w:rPr>
                <w:bCs/>
                <w:color w:val="002060"/>
                <w:sz w:val="16"/>
                <w:szCs w:val="16"/>
              </w:rPr>
            </w:pPr>
            <w:r w:rsidRPr="00DE096C">
              <w:rPr>
                <w:bCs/>
                <w:color w:val="002060"/>
                <w:sz w:val="16"/>
                <w:szCs w:val="16"/>
              </w:rPr>
              <w:t>684</w:t>
            </w:r>
          </w:p>
        </w:tc>
      </w:tr>
      <w:tr w:rsidR="000343AB" w:rsidRPr="00DE096C" w14:paraId="0E71EC84" w14:textId="77777777" w:rsidTr="00D34AC1">
        <w:tc>
          <w:tcPr>
            <w:tcW w:w="2352" w:type="dxa"/>
          </w:tcPr>
          <w:p w14:paraId="0B1A85BB" w14:textId="77777777" w:rsidR="000343AB" w:rsidRPr="00DE096C" w:rsidRDefault="000343AB" w:rsidP="00D45A46">
            <w:pPr>
              <w:jc w:val="both"/>
              <w:rPr>
                <w:bCs/>
                <w:color w:val="002060"/>
                <w:sz w:val="16"/>
                <w:szCs w:val="16"/>
              </w:rPr>
            </w:pPr>
            <w:r w:rsidRPr="00DE096C">
              <w:rPr>
                <w:bCs/>
                <w:color w:val="002060"/>
                <w:sz w:val="16"/>
                <w:szCs w:val="16"/>
              </w:rPr>
              <w:t>Пушек ниже 6-дм</w:t>
            </w:r>
          </w:p>
        </w:tc>
        <w:tc>
          <w:tcPr>
            <w:tcW w:w="1356" w:type="dxa"/>
          </w:tcPr>
          <w:p w14:paraId="13891EDE" w14:textId="77777777" w:rsidR="000343AB" w:rsidRPr="00DE096C" w:rsidRDefault="000343AB" w:rsidP="00D45A46">
            <w:pPr>
              <w:jc w:val="both"/>
              <w:rPr>
                <w:bCs/>
                <w:color w:val="002060"/>
                <w:sz w:val="16"/>
                <w:szCs w:val="16"/>
              </w:rPr>
            </w:pPr>
            <w:r w:rsidRPr="00DE096C">
              <w:rPr>
                <w:bCs/>
                <w:color w:val="002060"/>
                <w:sz w:val="16"/>
                <w:szCs w:val="16"/>
              </w:rPr>
              <w:t>6239</w:t>
            </w:r>
          </w:p>
        </w:tc>
      </w:tr>
      <w:tr w:rsidR="000343AB" w:rsidRPr="00DE096C" w14:paraId="218BB929" w14:textId="77777777" w:rsidTr="00D34AC1">
        <w:tc>
          <w:tcPr>
            <w:tcW w:w="2352" w:type="dxa"/>
          </w:tcPr>
          <w:p w14:paraId="438B2A77" w14:textId="77777777" w:rsidR="000343AB" w:rsidRPr="00DE096C" w:rsidRDefault="000343AB" w:rsidP="00D45A46">
            <w:pPr>
              <w:jc w:val="both"/>
              <w:rPr>
                <w:bCs/>
                <w:color w:val="002060"/>
                <w:sz w:val="16"/>
                <w:szCs w:val="16"/>
              </w:rPr>
            </w:pPr>
            <w:r w:rsidRPr="00DE096C">
              <w:rPr>
                <w:bCs/>
                <w:color w:val="002060"/>
                <w:sz w:val="16"/>
                <w:szCs w:val="16"/>
              </w:rPr>
              <w:t>Гаубиц от 6-дм до 11-дм</w:t>
            </w:r>
          </w:p>
        </w:tc>
        <w:tc>
          <w:tcPr>
            <w:tcW w:w="1356" w:type="dxa"/>
          </w:tcPr>
          <w:p w14:paraId="4CE8FF01" w14:textId="77777777" w:rsidR="000343AB" w:rsidRPr="00DE096C" w:rsidRDefault="000343AB" w:rsidP="00D45A46">
            <w:pPr>
              <w:jc w:val="both"/>
              <w:rPr>
                <w:bCs/>
                <w:color w:val="002060"/>
                <w:sz w:val="16"/>
                <w:szCs w:val="16"/>
              </w:rPr>
            </w:pPr>
            <w:r w:rsidRPr="00DE096C">
              <w:rPr>
                <w:bCs/>
                <w:color w:val="002060"/>
                <w:sz w:val="16"/>
                <w:szCs w:val="16"/>
              </w:rPr>
              <w:t>336</w:t>
            </w:r>
          </w:p>
        </w:tc>
      </w:tr>
      <w:tr w:rsidR="000343AB" w:rsidRPr="00DE096C" w14:paraId="4F9BD707" w14:textId="77777777" w:rsidTr="00D34AC1">
        <w:tc>
          <w:tcPr>
            <w:tcW w:w="2352" w:type="dxa"/>
          </w:tcPr>
          <w:p w14:paraId="084B0DAC" w14:textId="77777777" w:rsidR="000343AB" w:rsidRPr="00DE096C" w:rsidRDefault="000343AB" w:rsidP="00D45A46">
            <w:pPr>
              <w:jc w:val="both"/>
              <w:rPr>
                <w:bCs/>
                <w:color w:val="002060"/>
                <w:sz w:val="16"/>
                <w:szCs w:val="16"/>
              </w:rPr>
            </w:pPr>
            <w:r w:rsidRPr="00DE096C">
              <w:rPr>
                <w:bCs/>
                <w:color w:val="002060"/>
                <w:sz w:val="16"/>
                <w:szCs w:val="16"/>
              </w:rPr>
              <w:t>Всего</w:t>
            </w:r>
          </w:p>
        </w:tc>
        <w:tc>
          <w:tcPr>
            <w:tcW w:w="1356" w:type="dxa"/>
          </w:tcPr>
          <w:p w14:paraId="425846AB" w14:textId="77777777" w:rsidR="000343AB" w:rsidRPr="00DE096C" w:rsidRDefault="000343AB" w:rsidP="00D45A46">
            <w:pPr>
              <w:jc w:val="both"/>
              <w:rPr>
                <w:bCs/>
                <w:color w:val="002060"/>
                <w:sz w:val="16"/>
                <w:szCs w:val="16"/>
              </w:rPr>
            </w:pPr>
            <w:r w:rsidRPr="00DE096C">
              <w:rPr>
                <w:bCs/>
                <w:color w:val="002060"/>
                <w:sz w:val="16"/>
                <w:szCs w:val="16"/>
              </w:rPr>
              <w:t>8670 орудий</w:t>
            </w:r>
          </w:p>
        </w:tc>
      </w:tr>
      <w:tr w:rsidR="000343AB" w:rsidRPr="00DE096C" w14:paraId="7FD42593" w14:textId="77777777" w:rsidTr="00D34AC1">
        <w:tc>
          <w:tcPr>
            <w:tcW w:w="2352" w:type="dxa"/>
          </w:tcPr>
          <w:p w14:paraId="2894F745" w14:textId="77777777" w:rsidR="000343AB" w:rsidRPr="00DE096C" w:rsidRDefault="000343AB" w:rsidP="00D45A46">
            <w:pPr>
              <w:jc w:val="both"/>
              <w:rPr>
                <w:bCs/>
                <w:color w:val="002060"/>
                <w:sz w:val="16"/>
                <w:szCs w:val="16"/>
              </w:rPr>
            </w:pPr>
            <w:r w:rsidRPr="00DE096C">
              <w:rPr>
                <w:bCs/>
                <w:color w:val="002060"/>
                <w:sz w:val="16"/>
                <w:szCs w:val="16"/>
              </w:rPr>
              <w:t>Из них</w:t>
            </w:r>
          </w:p>
        </w:tc>
        <w:tc>
          <w:tcPr>
            <w:tcW w:w="1356" w:type="dxa"/>
          </w:tcPr>
          <w:p w14:paraId="75DECFBB" w14:textId="77777777" w:rsidR="000343AB" w:rsidRPr="00DE096C" w:rsidRDefault="000343AB" w:rsidP="00D45A46">
            <w:pPr>
              <w:jc w:val="both"/>
              <w:rPr>
                <w:bCs/>
                <w:color w:val="002060"/>
                <w:sz w:val="16"/>
                <w:szCs w:val="16"/>
              </w:rPr>
            </w:pPr>
            <w:r w:rsidRPr="00DE096C">
              <w:rPr>
                <w:bCs/>
                <w:color w:val="002060"/>
                <w:sz w:val="16"/>
                <w:szCs w:val="16"/>
              </w:rPr>
              <w:t>2538 морскому ведомству</w:t>
            </w:r>
          </w:p>
        </w:tc>
      </w:tr>
      <w:tr w:rsidR="000343AB" w:rsidRPr="00DE096C" w14:paraId="5D90A003" w14:textId="77777777" w:rsidTr="00D34AC1">
        <w:tc>
          <w:tcPr>
            <w:tcW w:w="2352" w:type="dxa"/>
          </w:tcPr>
          <w:p w14:paraId="08B2874B" w14:textId="77777777" w:rsidR="000343AB" w:rsidRPr="00DE096C" w:rsidRDefault="000343AB" w:rsidP="00D45A46">
            <w:pPr>
              <w:jc w:val="both"/>
              <w:rPr>
                <w:bCs/>
                <w:color w:val="002060"/>
                <w:sz w:val="16"/>
                <w:szCs w:val="16"/>
              </w:rPr>
            </w:pPr>
            <w:r w:rsidRPr="00DE096C">
              <w:rPr>
                <w:bCs/>
                <w:color w:val="002060"/>
                <w:sz w:val="16"/>
                <w:szCs w:val="16"/>
              </w:rPr>
              <w:t> </w:t>
            </w:r>
          </w:p>
        </w:tc>
        <w:tc>
          <w:tcPr>
            <w:tcW w:w="1356" w:type="dxa"/>
          </w:tcPr>
          <w:p w14:paraId="43FD0AB5" w14:textId="77777777" w:rsidR="000343AB" w:rsidRPr="00DE096C" w:rsidRDefault="000343AB" w:rsidP="00D45A46">
            <w:pPr>
              <w:jc w:val="both"/>
              <w:rPr>
                <w:bCs/>
                <w:color w:val="002060"/>
                <w:sz w:val="16"/>
                <w:szCs w:val="16"/>
              </w:rPr>
            </w:pPr>
            <w:r w:rsidRPr="00DE096C">
              <w:rPr>
                <w:bCs/>
                <w:color w:val="002060"/>
                <w:sz w:val="16"/>
                <w:szCs w:val="16"/>
              </w:rPr>
              <w:t xml:space="preserve">6132 сухопутному ведомству </w:t>
            </w:r>
          </w:p>
        </w:tc>
      </w:tr>
    </w:tbl>
    <w:p w14:paraId="10578043" w14:textId="77777777" w:rsidR="000343AB" w:rsidRPr="00DE096C" w:rsidRDefault="000343AB" w:rsidP="00D45A46">
      <w:pPr>
        <w:jc w:val="both"/>
        <w:rPr>
          <w:bCs/>
          <w:color w:val="002060"/>
          <w:sz w:val="16"/>
          <w:szCs w:val="16"/>
        </w:rPr>
      </w:pPr>
      <w:r w:rsidRPr="00DE096C">
        <w:rPr>
          <w:bCs/>
          <w:color w:val="002060"/>
          <w:sz w:val="16"/>
          <w:szCs w:val="16"/>
        </w:rPr>
        <w:t xml:space="preserve">За период с 1900 по 1912 г. завод изготовил: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808"/>
        <w:gridCol w:w="1476"/>
      </w:tblGrid>
      <w:tr w:rsidR="000343AB" w:rsidRPr="00DE096C" w14:paraId="380F2090" w14:textId="77777777" w:rsidTr="00D34AC1">
        <w:tc>
          <w:tcPr>
            <w:tcW w:w="2808" w:type="dxa"/>
          </w:tcPr>
          <w:p w14:paraId="07E056C5" w14:textId="77777777" w:rsidR="000343AB" w:rsidRPr="00DE096C" w:rsidRDefault="000343AB" w:rsidP="00D45A46">
            <w:pPr>
              <w:jc w:val="both"/>
              <w:rPr>
                <w:bCs/>
                <w:color w:val="002060"/>
                <w:sz w:val="16"/>
                <w:szCs w:val="16"/>
              </w:rPr>
            </w:pPr>
            <w:r w:rsidRPr="00DE096C">
              <w:rPr>
                <w:bCs/>
                <w:color w:val="002060"/>
                <w:sz w:val="16"/>
                <w:szCs w:val="16"/>
              </w:rPr>
              <w:t>12-дм в 52 калибра</w:t>
            </w:r>
          </w:p>
        </w:tc>
        <w:tc>
          <w:tcPr>
            <w:tcW w:w="1476" w:type="dxa"/>
          </w:tcPr>
          <w:p w14:paraId="446D8188" w14:textId="77777777" w:rsidR="000343AB" w:rsidRPr="00DE096C" w:rsidRDefault="000343AB" w:rsidP="00D45A46">
            <w:pPr>
              <w:jc w:val="both"/>
              <w:rPr>
                <w:bCs/>
                <w:color w:val="002060"/>
                <w:sz w:val="16"/>
                <w:szCs w:val="16"/>
              </w:rPr>
            </w:pPr>
            <w:r w:rsidRPr="00DE096C">
              <w:rPr>
                <w:bCs/>
                <w:color w:val="002060"/>
                <w:sz w:val="16"/>
                <w:szCs w:val="16"/>
              </w:rPr>
              <w:t>35</w:t>
            </w:r>
          </w:p>
        </w:tc>
      </w:tr>
      <w:tr w:rsidR="000343AB" w:rsidRPr="00DE096C" w14:paraId="176DB357" w14:textId="77777777" w:rsidTr="00D34AC1">
        <w:tc>
          <w:tcPr>
            <w:tcW w:w="2808" w:type="dxa"/>
          </w:tcPr>
          <w:p w14:paraId="37610C34" w14:textId="77777777" w:rsidR="000343AB" w:rsidRPr="00DE096C" w:rsidRDefault="000343AB" w:rsidP="00D45A46">
            <w:pPr>
              <w:jc w:val="both"/>
              <w:rPr>
                <w:bCs/>
                <w:color w:val="002060"/>
                <w:sz w:val="16"/>
                <w:szCs w:val="16"/>
              </w:rPr>
            </w:pPr>
            <w:r w:rsidRPr="00DE096C">
              <w:rPr>
                <w:bCs/>
                <w:color w:val="002060"/>
                <w:sz w:val="16"/>
                <w:szCs w:val="16"/>
              </w:rPr>
              <w:t>12-дм в 40 калибров</w:t>
            </w:r>
          </w:p>
        </w:tc>
        <w:tc>
          <w:tcPr>
            <w:tcW w:w="1476" w:type="dxa"/>
          </w:tcPr>
          <w:p w14:paraId="211E0334" w14:textId="77777777" w:rsidR="000343AB" w:rsidRPr="00DE096C" w:rsidRDefault="000343AB" w:rsidP="00D45A46">
            <w:pPr>
              <w:jc w:val="both"/>
              <w:rPr>
                <w:bCs/>
                <w:color w:val="002060"/>
                <w:sz w:val="16"/>
                <w:szCs w:val="16"/>
              </w:rPr>
            </w:pPr>
            <w:r w:rsidRPr="00DE096C">
              <w:rPr>
                <w:bCs/>
                <w:color w:val="002060"/>
                <w:sz w:val="16"/>
                <w:szCs w:val="16"/>
              </w:rPr>
              <w:t>55</w:t>
            </w:r>
          </w:p>
        </w:tc>
      </w:tr>
      <w:tr w:rsidR="000343AB" w:rsidRPr="00DE096C" w14:paraId="13B9E78C" w14:textId="77777777" w:rsidTr="00D34AC1">
        <w:tc>
          <w:tcPr>
            <w:tcW w:w="2808" w:type="dxa"/>
          </w:tcPr>
          <w:p w14:paraId="6685D517" w14:textId="77777777" w:rsidR="000343AB" w:rsidRPr="00DE096C" w:rsidRDefault="000343AB" w:rsidP="00D45A46">
            <w:pPr>
              <w:jc w:val="both"/>
              <w:rPr>
                <w:bCs/>
                <w:color w:val="002060"/>
                <w:sz w:val="16"/>
                <w:szCs w:val="16"/>
              </w:rPr>
            </w:pPr>
            <w:r w:rsidRPr="00DE096C">
              <w:rPr>
                <w:bCs/>
                <w:color w:val="002060"/>
                <w:sz w:val="16"/>
                <w:szCs w:val="16"/>
              </w:rPr>
              <w:t>10-дм в 45 и 50 калибров</w:t>
            </w:r>
          </w:p>
        </w:tc>
        <w:tc>
          <w:tcPr>
            <w:tcW w:w="1476" w:type="dxa"/>
          </w:tcPr>
          <w:p w14:paraId="374CADF2" w14:textId="77777777" w:rsidR="000343AB" w:rsidRPr="00DE096C" w:rsidRDefault="000343AB" w:rsidP="00D45A46">
            <w:pPr>
              <w:jc w:val="both"/>
              <w:rPr>
                <w:bCs/>
                <w:color w:val="002060"/>
                <w:sz w:val="16"/>
                <w:szCs w:val="16"/>
              </w:rPr>
            </w:pPr>
            <w:r w:rsidRPr="00DE096C">
              <w:rPr>
                <w:bCs/>
                <w:color w:val="002060"/>
                <w:sz w:val="16"/>
                <w:szCs w:val="16"/>
              </w:rPr>
              <w:t>108</w:t>
            </w:r>
          </w:p>
        </w:tc>
      </w:tr>
      <w:tr w:rsidR="000343AB" w:rsidRPr="00DE096C" w14:paraId="51253C35" w14:textId="77777777" w:rsidTr="00D34AC1">
        <w:tc>
          <w:tcPr>
            <w:tcW w:w="2808" w:type="dxa"/>
          </w:tcPr>
          <w:p w14:paraId="5DF49609" w14:textId="77777777" w:rsidR="000343AB" w:rsidRPr="00DE096C" w:rsidRDefault="000343AB" w:rsidP="00D45A46">
            <w:pPr>
              <w:jc w:val="both"/>
              <w:rPr>
                <w:bCs/>
                <w:color w:val="002060"/>
                <w:sz w:val="16"/>
                <w:szCs w:val="16"/>
              </w:rPr>
            </w:pPr>
            <w:r w:rsidRPr="00DE096C">
              <w:rPr>
                <w:bCs/>
                <w:color w:val="002060"/>
                <w:sz w:val="16"/>
                <w:szCs w:val="16"/>
              </w:rPr>
              <w:t>8-дм в 35 и 45 калибров</w:t>
            </w:r>
          </w:p>
        </w:tc>
        <w:tc>
          <w:tcPr>
            <w:tcW w:w="1476" w:type="dxa"/>
          </w:tcPr>
          <w:p w14:paraId="0B2CCF9C" w14:textId="77777777" w:rsidR="000343AB" w:rsidRPr="00DE096C" w:rsidRDefault="000343AB" w:rsidP="00D45A46">
            <w:pPr>
              <w:jc w:val="both"/>
              <w:rPr>
                <w:bCs/>
                <w:color w:val="002060"/>
                <w:sz w:val="16"/>
                <w:szCs w:val="16"/>
              </w:rPr>
            </w:pPr>
            <w:r w:rsidRPr="00DE096C">
              <w:rPr>
                <w:bCs/>
                <w:color w:val="002060"/>
                <w:sz w:val="16"/>
                <w:szCs w:val="16"/>
              </w:rPr>
              <w:t>28</w:t>
            </w:r>
          </w:p>
        </w:tc>
      </w:tr>
      <w:tr w:rsidR="000343AB" w:rsidRPr="00DE096C" w14:paraId="164991BE" w14:textId="77777777" w:rsidTr="00D34AC1">
        <w:tc>
          <w:tcPr>
            <w:tcW w:w="2808" w:type="dxa"/>
          </w:tcPr>
          <w:p w14:paraId="1C83A15C" w14:textId="77777777" w:rsidR="000343AB" w:rsidRPr="00DE096C" w:rsidRDefault="000343AB" w:rsidP="00D45A46">
            <w:pPr>
              <w:jc w:val="both"/>
              <w:rPr>
                <w:bCs/>
                <w:color w:val="002060"/>
                <w:sz w:val="16"/>
                <w:szCs w:val="16"/>
              </w:rPr>
            </w:pPr>
            <w:r w:rsidRPr="00DE096C">
              <w:rPr>
                <w:bCs/>
                <w:color w:val="002060"/>
                <w:sz w:val="16"/>
                <w:szCs w:val="16"/>
              </w:rPr>
              <w:t>8-дм в 50 калибров</w:t>
            </w:r>
          </w:p>
        </w:tc>
        <w:tc>
          <w:tcPr>
            <w:tcW w:w="1476" w:type="dxa"/>
          </w:tcPr>
          <w:p w14:paraId="00D213AD" w14:textId="77777777" w:rsidR="000343AB" w:rsidRPr="00DE096C" w:rsidRDefault="000343AB" w:rsidP="00D45A46">
            <w:pPr>
              <w:jc w:val="both"/>
              <w:rPr>
                <w:bCs/>
                <w:color w:val="002060"/>
                <w:sz w:val="16"/>
                <w:szCs w:val="16"/>
              </w:rPr>
            </w:pPr>
            <w:r w:rsidRPr="00DE096C">
              <w:rPr>
                <w:bCs/>
                <w:color w:val="002060"/>
                <w:sz w:val="16"/>
                <w:szCs w:val="16"/>
              </w:rPr>
              <w:t>46</w:t>
            </w:r>
          </w:p>
        </w:tc>
      </w:tr>
      <w:tr w:rsidR="000343AB" w:rsidRPr="00DE096C" w14:paraId="70E7808D" w14:textId="77777777" w:rsidTr="00D34AC1">
        <w:tc>
          <w:tcPr>
            <w:tcW w:w="2808" w:type="dxa"/>
          </w:tcPr>
          <w:p w14:paraId="1F68DADA" w14:textId="77777777" w:rsidR="000343AB" w:rsidRPr="00DE096C" w:rsidRDefault="000343AB" w:rsidP="00D45A46">
            <w:pPr>
              <w:jc w:val="both"/>
              <w:rPr>
                <w:bCs/>
                <w:color w:val="002060"/>
                <w:sz w:val="16"/>
                <w:szCs w:val="16"/>
              </w:rPr>
            </w:pPr>
            <w:r w:rsidRPr="00DE096C">
              <w:rPr>
                <w:bCs/>
                <w:color w:val="002060"/>
                <w:sz w:val="16"/>
                <w:szCs w:val="16"/>
              </w:rPr>
              <w:t>6-дм в 45 и 50 калибров</w:t>
            </w:r>
          </w:p>
        </w:tc>
        <w:tc>
          <w:tcPr>
            <w:tcW w:w="1476" w:type="dxa"/>
          </w:tcPr>
          <w:p w14:paraId="14A09E59" w14:textId="77777777" w:rsidR="000343AB" w:rsidRPr="00DE096C" w:rsidRDefault="000343AB" w:rsidP="00D45A46">
            <w:pPr>
              <w:jc w:val="both"/>
              <w:rPr>
                <w:bCs/>
                <w:color w:val="002060"/>
                <w:sz w:val="16"/>
                <w:szCs w:val="16"/>
              </w:rPr>
            </w:pPr>
            <w:r w:rsidRPr="00DE096C">
              <w:rPr>
                <w:bCs/>
                <w:color w:val="002060"/>
                <w:sz w:val="16"/>
                <w:szCs w:val="16"/>
              </w:rPr>
              <w:t>573</w:t>
            </w:r>
          </w:p>
        </w:tc>
      </w:tr>
      <w:tr w:rsidR="000343AB" w:rsidRPr="00DE096C" w14:paraId="56CA97F8" w14:textId="77777777" w:rsidTr="00D34AC1">
        <w:tc>
          <w:tcPr>
            <w:tcW w:w="2808" w:type="dxa"/>
          </w:tcPr>
          <w:p w14:paraId="7C3B9CF7" w14:textId="77777777" w:rsidR="000343AB" w:rsidRPr="00DE096C" w:rsidRDefault="000343AB" w:rsidP="00D45A46">
            <w:pPr>
              <w:jc w:val="both"/>
              <w:rPr>
                <w:bCs/>
                <w:color w:val="002060"/>
                <w:sz w:val="16"/>
                <w:szCs w:val="16"/>
              </w:rPr>
            </w:pPr>
            <w:r w:rsidRPr="00DE096C">
              <w:rPr>
                <w:bCs/>
                <w:color w:val="002060"/>
                <w:sz w:val="16"/>
                <w:szCs w:val="16"/>
              </w:rPr>
              <w:t>4-дм в 60 калибров</w:t>
            </w:r>
          </w:p>
        </w:tc>
        <w:tc>
          <w:tcPr>
            <w:tcW w:w="1476" w:type="dxa"/>
          </w:tcPr>
          <w:p w14:paraId="16019C01" w14:textId="77777777" w:rsidR="000343AB" w:rsidRPr="00DE096C" w:rsidRDefault="000343AB" w:rsidP="00D45A46">
            <w:pPr>
              <w:jc w:val="both"/>
              <w:rPr>
                <w:bCs/>
                <w:color w:val="002060"/>
                <w:sz w:val="16"/>
                <w:szCs w:val="16"/>
              </w:rPr>
            </w:pPr>
            <w:r w:rsidRPr="00DE096C">
              <w:rPr>
                <w:bCs/>
                <w:color w:val="002060"/>
                <w:sz w:val="16"/>
                <w:szCs w:val="16"/>
              </w:rPr>
              <w:t>51</w:t>
            </w:r>
          </w:p>
        </w:tc>
      </w:tr>
      <w:tr w:rsidR="000343AB" w:rsidRPr="00DE096C" w14:paraId="430AA1DE" w14:textId="77777777" w:rsidTr="00D34AC1">
        <w:tc>
          <w:tcPr>
            <w:tcW w:w="2808" w:type="dxa"/>
          </w:tcPr>
          <w:p w14:paraId="3534FB7B" w14:textId="77777777" w:rsidR="000343AB" w:rsidRPr="00DE096C" w:rsidRDefault="000343AB" w:rsidP="00D45A46">
            <w:pPr>
              <w:jc w:val="both"/>
              <w:rPr>
                <w:bCs/>
                <w:color w:val="002060"/>
                <w:sz w:val="16"/>
                <w:szCs w:val="16"/>
              </w:rPr>
            </w:pPr>
            <w:r w:rsidRPr="00DE096C">
              <w:rPr>
                <w:bCs/>
                <w:color w:val="002060"/>
                <w:sz w:val="16"/>
                <w:szCs w:val="16"/>
              </w:rPr>
              <w:t>3-дм горных</w:t>
            </w:r>
          </w:p>
        </w:tc>
        <w:tc>
          <w:tcPr>
            <w:tcW w:w="1476" w:type="dxa"/>
          </w:tcPr>
          <w:p w14:paraId="4CA07739" w14:textId="77777777" w:rsidR="000343AB" w:rsidRPr="00DE096C" w:rsidRDefault="000343AB" w:rsidP="00D45A46">
            <w:pPr>
              <w:jc w:val="both"/>
              <w:rPr>
                <w:bCs/>
                <w:color w:val="002060"/>
                <w:sz w:val="16"/>
                <w:szCs w:val="16"/>
              </w:rPr>
            </w:pPr>
            <w:r w:rsidRPr="00DE096C">
              <w:rPr>
                <w:bCs/>
                <w:color w:val="002060"/>
                <w:sz w:val="16"/>
                <w:szCs w:val="16"/>
              </w:rPr>
              <w:t>299</w:t>
            </w:r>
          </w:p>
        </w:tc>
      </w:tr>
      <w:tr w:rsidR="000343AB" w:rsidRPr="00DE096C" w14:paraId="68A96F9E" w14:textId="77777777" w:rsidTr="00D34AC1">
        <w:tc>
          <w:tcPr>
            <w:tcW w:w="2808" w:type="dxa"/>
          </w:tcPr>
          <w:p w14:paraId="09F0AB87" w14:textId="77777777" w:rsidR="000343AB" w:rsidRPr="00DE096C" w:rsidRDefault="000343AB" w:rsidP="00D45A46">
            <w:pPr>
              <w:jc w:val="both"/>
              <w:rPr>
                <w:bCs/>
                <w:color w:val="002060"/>
                <w:sz w:val="16"/>
                <w:szCs w:val="16"/>
              </w:rPr>
            </w:pPr>
            <w:r w:rsidRPr="00DE096C">
              <w:rPr>
                <w:bCs/>
                <w:color w:val="002060"/>
                <w:sz w:val="16"/>
                <w:szCs w:val="16"/>
              </w:rPr>
              <w:t>3-дм полевых</w:t>
            </w:r>
          </w:p>
        </w:tc>
        <w:tc>
          <w:tcPr>
            <w:tcW w:w="1476" w:type="dxa"/>
          </w:tcPr>
          <w:p w14:paraId="70F10067" w14:textId="77777777" w:rsidR="000343AB" w:rsidRPr="00DE096C" w:rsidRDefault="000343AB" w:rsidP="00D45A46">
            <w:pPr>
              <w:jc w:val="both"/>
              <w:rPr>
                <w:bCs/>
                <w:color w:val="002060"/>
                <w:sz w:val="16"/>
                <w:szCs w:val="16"/>
              </w:rPr>
            </w:pPr>
            <w:r w:rsidRPr="00DE096C">
              <w:rPr>
                <w:bCs/>
                <w:color w:val="002060"/>
                <w:sz w:val="16"/>
                <w:szCs w:val="16"/>
              </w:rPr>
              <w:t>1158</w:t>
            </w:r>
          </w:p>
        </w:tc>
      </w:tr>
      <w:tr w:rsidR="000343AB" w:rsidRPr="00DE096C" w14:paraId="23040B99" w14:textId="77777777" w:rsidTr="00D34AC1">
        <w:tc>
          <w:tcPr>
            <w:tcW w:w="2808" w:type="dxa"/>
          </w:tcPr>
          <w:p w14:paraId="472BF882" w14:textId="77777777" w:rsidR="000343AB" w:rsidRPr="00DE096C" w:rsidRDefault="000343AB" w:rsidP="00D45A46">
            <w:pPr>
              <w:jc w:val="both"/>
              <w:rPr>
                <w:bCs/>
                <w:color w:val="002060"/>
                <w:sz w:val="16"/>
                <w:szCs w:val="16"/>
              </w:rPr>
            </w:pPr>
            <w:r w:rsidRPr="00DE096C">
              <w:rPr>
                <w:bCs/>
                <w:color w:val="002060"/>
                <w:sz w:val="16"/>
                <w:szCs w:val="16"/>
              </w:rPr>
              <w:t>120-мм в 45 и 50 калибров</w:t>
            </w:r>
          </w:p>
        </w:tc>
        <w:tc>
          <w:tcPr>
            <w:tcW w:w="1476" w:type="dxa"/>
          </w:tcPr>
          <w:p w14:paraId="7CE97395" w14:textId="77777777" w:rsidR="000343AB" w:rsidRPr="00DE096C" w:rsidRDefault="000343AB" w:rsidP="00D45A46">
            <w:pPr>
              <w:jc w:val="both"/>
              <w:rPr>
                <w:bCs/>
                <w:color w:val="002060"/>
                <w:sz w:val="16"/>
                <w:szCs w:val="16"/>
              </w:rPr>
            </w:pPr>
            <w:r w:rsidRPr="00DE096C">
              <w:rPr>
                <w:bCs/>
                <w:color w:val="002060"/>
                <w:sz w:val="16"/>
                <w:szCs w:val="16"/>
              </w:rPr>
              <w:t>314</w:t>
            </w:r>
          </w:p>
        </w:tc>
      </w:tr>
      <w:tr w:rsidR="000343AB" w:rsidRPr="00DE096C" w14:paraId="7757CB91" w14:textId="77777777" w:rsidTr="00D34AC1">
        <w:tc>
          <w:tcPr>
            <w:tcW w:w="2808" w:type="dxa"/>
          </w:tcPr>
          <w:p w14:paraId="6D3DB8C8" w14:textId="77777777" w:rsidR="000343AB" w:rsidRPr="00DE096C" w:rsidRDefault="000343AB" w:rsidP="00D45A46">
            <w:pPr>
              <w:jc w:val="both"/>
              <w:rPr>
                <w:bCs/>
                <w:color w:val="002060"/>
                <w:sz w:val="16"/>
                <w:szCs w:val="16"/>
              </w:rPr>
            </w:pPr>
            <w:r w:rsidRPr="00DE096C">
              <w:rPr>
                <w:bCs/>
                <w:color w:val="002060"/>
                <w:sz w:val="16"/>
                <w:szCs w:val="16"/>
              </w:rPr>
              <w:t>48-лин. гаубиц</w:t>
            </w:r>
          </w:p>
        </w:tc>
        <w:tc>
          <w:tcPr>
            <w:tcW w:w="1476" w:type="dxa"/>
          </w:tcPr>
          <w:p w14:paraId="73E6C671" w14:textId="77777777" w:rsidR="000343AB" w:rsidRPr="00DE096C" w:rsidRDefault="000343AB" w:rsidP="00D45A46">
            <w:pPr>
              <w:jc w:val="both"/>
              <w:rPr>
                <w:bCs/>
                <w:color w:val="002060"/>
                <w:sz w:val="16"/>
                <w:szCs w:val="16"/>
              </w:rPr>
            </w:pPr>
            <w:r w:rsidRPr="00DE096C">
              <w:rPr>
                <w:bCs/>
                <w:color w:val="002060"/>
                <w:sz w:val="16"/>
                <w:szCs w:val="16"/>
              </w:rPr>
              <w:t xml:space="preserve">63 </w:t>
            </w:r>
          </w:p>
        </w:tc>
      </w:tr>
      <w:tr w:rsidR="000343AB" w:rsidRPr="00DE096C" w14:paraId="1C41AFDB" w14:textId="77777777" w:rsidTr="00D34AC1">
        <w:tc>
          <w:tcPr>
            <w:tcW w:w="2808" w:type="dxa"/>
          </w:tcPr>
          <w:p w14:paraId="7E2976E1" w14:textId="77777777" w:rsidR="000343AB" w:rsidRPr="00DE096C" w:rsidRDefault="000343AB" w:rsidP="00D45A46">
            <w:pPr>
              <w:jc w:val="both"/>
              <w:rPr>
                <w:bCs/>
                <w:color w:val="002060"/>
                <w:sz w:val="16"/>
                <w:szCs w:val="16"/>
              </w:rPr>
            </w:pPr>
            <w:r w:rsidRPr="00DE096C">
              <w:rPr>
                <w:bCs/>
                <w:color w:val="002060"/>
                <w:sz w:val="16"/>
                <w:szCs w:val="16"/>
              </w:rPr>
              <w:t>37-мм, 47-мм и 57-мм</w:t>
            </w:r>
          </w:p>
        </w:tc>
        <w:tc>
          <w:tcPr>
            <w:tcW w:w="1476" w:type="dxa"/>
          </w:tcPr>
          <w:p w14:paraId="17C283A9" w14:textId="77777777" w:rsidR="000343AB" w:rsidRPr="00DE096C" w:rsidRDefault="000343AB" w:rsidP="00D45A46">
            <w:pPr>
              <w:jc w:val="both"/>
              <w:rPr>
                <w:bCs/>
                <w:color w:val="002060"/>
                <w:sz w:val="16"/>
                <w:szCs w:val="16"/>
              </w:rPr>
            </w:pPr>
            <w:r w:rsidRPr="00DE096C">
              <w:rPr>
                <w:bCs/>
                <w:color w:val="002060"/>
                <w:sz w:val="16"/>
                <w:szCs w:val="16"/>
              </w:rPr>
              <w:t>910</w:t>
            </w:r>
          </w:p>
        </w:tc>
      </w:tr>
      <w:tr w:rsidR="000343AB" w:rsidRPr="00DE096C" w14:paraId="5123B99E" w14:textId="77777777" w:rsidTr="00D34AC1">
        <w:tc>
          <w:tcPr>
            <w:tcW w:w="2808" w:type="dxa"/>
          </w:tcPr>
          <w:p w14:paraId="1F0426A6" w14:textId="77777777" w:rsidR="000343AB" w:rsidRPr="00DE096C" w:rsidRDefault="000343AB" w:rsidP="00D45A46">
            <w:pPr>
              <w:jc w:val="both"/>
              <w:rPr>
                <w:bCs/>
                <w:color w:val="002060"/>
                <w:sz w:val="16"/>
                <w:szCs w:val="16"/>
              </w:rPr>
            </w:pPr>
            <w:r w:rsidRPr="00DE096C">
              <w:rPr>
                <w:bCs/>
                <w:color w:val="002060"/>
                <w:sz w:val="16"/>
                <w:szCs w:val="16"/>
              </w:rPr>
              <w:t>Всего</w:t>
            </w:r>
          </w:p>
        </w:tc>
        <w:tc>
          <w:tcPr>
            <w:tcW w:w="1476" w:type="dxa"/>
          </w:tcPr>
          <w:p w14:paraId="7D4B69B8" w14:textId="77777777" w:rsidR="000343AB" w:rsidRPr="00DE096C" w:rsidRDefault="000343AB" w:rsidP="00D45A46">
            <w:pPr>
              <w:jc w:val="both"/>
              <w:rPr>
                <w:bCs/>
                <w:color w:val="002060"/>
                <w:sz w:val="16"/>
                <w:szCs w:val="16"/>
              </w:rPr>
            </w:pPr>
            <w:r w:rsidRPr="00DE096C">
              <w:rPr>
                <w:bCs/>
                <w:color w:val="002060"/>
                <w:sz w:val="16"/>
                <w:szCs w:val="16"/>
              </w:rPr>
              <w:t>4593 орудия</w:t>
            </w:r>
          </w:p>
        </w:tc>
      </w:tr>
      <w:tr w:rsidR="000343AB" w:rsidRPr="00DE096C" w14:paraId="5ACFC817" w14:textId="77777777" w:rsidTr="00D34AC1">
        <w:tc>
          <w:tcPr>
            <w:tcW w:w="2808" w:type="dxa"/>
          </w:tcPr>
          <w:p w14:paraId="6294D350" w14:textId="77777777" w:rsidR="000343AB" w:rsidRPr="00DE096C" w:rsidRDefault="000343AB" w:rsidP="00D45A46">
            <w:pPr>
              <w:jc w:val="both"/>
              <w:rPr>
                <w:bCs/>
                <w:color w:val="002060"/>
                <w:sz w:val="16"/>
                <w:szCs w:val="16"/>
              </w:rPr>
            </w:pPr>
            <w:r w:rsidRPr="00DE096C">
              <w:rPr>
                <w:bCs/>
                <w:color w:val="002060"/>
                <w:sz w:val="16"/>
                <w:szCs w:val="16"/>
              </w:rPr>
              <w:t>Из них: морскому ведомству</w:t>
            </w:r>
          </w:p>
        </w:tc>
        <w:tc>
          <w:tcPr>
            <w:tcW w:w="1476" w:type="dxa"/>
          </w:tcPr>
          <w:p w14:paraId="027B9A01" w14:textId="77777777" w:rsidR="000343AB" w:rsidRPr="00DE096C" w:rsidRDefault="000343AB" w:rsidP="00D45A46">
            <w:pPr>
              <w:jc w:val="both"/>
              <w:rPr>
                <w:bCs/>
                <w:color w:val="002060"/>
                <w:sz w:val="16"/>
                <w:szCs w:val="16"/>
              </w:rPr>
            </w:pPr>
            <w:r w:rsidRPr="00DE096C">
              <w:rPr>
                <w:bCs/>
                <w:color w:val="002060"/>
                <w:sz w:val="16"/>
                <w:szCs w:val="16"/>
              </w:rPr>
              <w:t xml:space="preserve">2623 орудия </w:t>
            </w:r>
          </w:p>
        </w:tc>
      </w:tr>
      <w:tr w:rsidR="000343AB" w:rsidRPr="00DE096C" w14:paraId="683BFD1B" w14:textId="77777777" w:rsidTr="00D34AC1">
        <w:tc>
          <w:tcPr>
            <w:tcW w:w="2808" w:type="dxa"/>
          </w:tcPr>
          <w:p w14:paraId="703C0F3E" w14:textId="77777777" w:rsidR="000343AB" w:rsidRPr="00DE096C" w:rsidRDefault="000343AB" w:rsidP="00D45A46">
            <w:pPr>
              <w:jc w:val="both"/>
              <w:rPr>
                <w:bCs/>
                <w:color w:val="002060"/>
                <w:sz w:val="16"/>
                <w:szCs w:val="16"/>
              </w:rPr>
            </w:pPr>
            <w:r w:rsidRPr="00DE096C">
              <w:rPr>
                <w:bCs/>
                <w:color w:val="002060"/>
                <w:sz w:val="16"/>
                <w:szCs w:val="16"/>
              </w:rPr>
              <w:t>военному ведомству</w:t>
            </w:r>
          </w:p>
        </w:tc>
        <w:tc>
          <w:tcPr>
            <w:tcW w:w="1476" w:type="dxa"/>
          </w:tcPr>
          <w:p w14:paraId="4B21BC27" w14:textId="77777777" w:rsidR="000343AB" w:rsidRPr="00DE096C" w:rsidRDefault="000343AB" w:rsidP="00D45A46">
            <w:pPr>
              <w:jc w:val="both"/>
              <w:rPr>
                <w:bCs/>
                <w:color w:val="002060"/>
                <w:sz w:val="16"/>
                <w:szCs w:val="16"/>
              </w:rPr>
            </w:pPr>
            <w:r w:rsidRPr="00DE096C">
              <w:rPr>
                <w:bCs/>
                <w:color w:val="002060"/>
                <w:sz w:val="16"/>
                <w:szCs w:val="16"/>
              </w:rPr>
              <w:t xml:space="preserve">1910 орудия </w:t>
            </w:r>
          </w:p>
        </w:tc>
      </w:tr>
    </w:tbl>
    <w:p w14:paraId="6069E5F3" w14:textId="77777777" w:rsidR="000343AB" w:rsidRPr="00DE096C" w:rsidRDefault="000343AB" w:rsidP="00D45A46">
      <w:pPr>
        <w:jc w:val="both"/>
        <w:rPr>
          <w:bCs/>
          <w:color w:val="002060"/>
          <w:sz w:val="16"/>
          <w:szCs w:val="16"/>
        </w:rPr>
      </w:pPr>
      <w:r w:rsidRPr="00DE096C">
        <w:rPr>
          <w:bCs/>
          <w:color w:val="002060"/>
          <w:sz w:val="16"/>
          <w:szCs w:val="16"/>
        </w:rPr>
        <w:t xml:space="preserve">За годы мировой войны для военного ведомства Обуховский завод изготовил: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604"/>
        <w:gridCol w:w="816"/>
        <w:gridCol w:w="864"/>
        <w:gridCol w:w="732"/>
      </w:tblGrid>
      <w:tr w:rsidR="000343AB" w:rsidRPr="00DE096C" w14:paraId="622174BC" w14:textId="77777777" w:rsidTr="00D34AC1">
        <w:tc>
          <w:tcPr>
            <w:tcW w:w="2604" w:type="dxa"/>
          </w:tcPr>
          <w:p w14:paraId="59A77FC1" w14:textId="77777777" w:rsidR="000343AB" w:rsidRPr="00DE096C" w:rsidRDefault="000343AB" w:rsidP="00D45A46">
            <w:pPr>
              <w:jc w:val="both"/>
              <w:rPr>
                <w:bCs/>
                <w:color w:val="002060"/>
                <w:sz w:val="16"/>
                <w:szCs w:val="16"/>
              </w:rPr>
            </w:pPr>
            <w:r w:rsidRPr="00DE096C">
              <w:rPr>
                <w:bCs/>
                <w:color w:val="002060"/>
                <w:sz w:val="16"/>
                <w:szCs w:val="16"/>
              </w:rPr>
              <w:t> </w:t>
            </w:r>
          </w:p>
        </w:tc>
        <w:tc>
          <w:tcPr>
            <w:tcW w:w="816" w:type="dxa"/>
          </w:tcPr>
          <w:p w14:paraId="09DCFF36" w14:textId="77777777" w:rsidR="000343AB" w:rsidRPr="00DE096C" w:rsidRDefault="000343AB" w:rsidP="00D45A46">
            <w:pPr>
              <w:jc w:val="both"/>
              <w:rPr>
                <w:bCs/>
                <w:color w:val="002060"/>
                <w:sz w:val="16"/>
                <w:szCs w:val="16"/>
              </w:rPr>
            </w:pPr>
            <w:r w:rsidRPr="00DE096C">
              <w:rPr>
                <w:bCs/>
                <w:color w:val="002060"/>
                <w:sz w:val="16"/>
                <w:szCs w:val="16"/>
              </w:rPr>
              <w:t>1915 г.</w:t>
            </w:r>
          </w:p>
        </w:tc>
        <w:tc>
          <w:tcPr>
            <w:tcW w:w="864" w:type="dxa"/>
          </w:tcPr>
          <w:p w14:paraId="7E3763E6" w14:textId="77777777" w:rsidR="000343AB" w:rsidRPr="00DE096C" w:rsidRDefault="000343AB" w:rsidP="00D45A46">
            <w:pPr>
              <w:jc w:val="both"/>
              <w:rPr>
                <w:bCs/>
                <w:color w:val="002060"/>
                <w:sz w:val="16"/>
                <w:szCs w:val="16"/>
              </w:rPr>
            </w:pPr>
            <w:r w:rsidRPr="00DE096C">
              <w:rPr>
                <w:bCs/>
                <w:color w:val="002060"/>
                <w:sz w:val="16"/>
                <w:szCs w:val="16"/>
              </w:rPr>
              <w:t>1916 г.</w:t>
            </w:r>
          </w:p>
        </w:tc>
        <w:tc>
          <w:tcPr>
            <w:tcW w:w="732" w:type="dxa"/>
          </w:tcPr>
          <w:p w14:paraId="2E0071FB" w14:textId="77777777" w:rsidR="000343AB" w:rsidRPr="00DE096C" w:rsidRDefault="000343AB" w:rsidP="00D45A46">
            <w:pPr>
              <w:jc w:val="both"/>
              <w:rPr>
                <w:bCs/>
                <w:color w:val="002060"/>
                <w:sz w:val="16"/>
                <w:szCs w:val="16"/>
              </w:rPr>
            </w:pPr>
            <w:r w:rsidRPr="00DE096C">
              <w:rPr>
                <w:bCs/>
                <w:color w:val="002060"/>
                <w:sz w:val="16"/>
                <w:szCs w:val="16"/>
              </w:rPr>
              <w:t>1917 г.</w:t>
            </w:r>
          </w:p>
        </w:tc>
      </w:tr>
      <w:tr w:rsidR="000343AB" w:rsidRPr="00DE096C" w14:paraId="63EE45A5" w14:textId="77777777" w:rsidTr="00D34AC1">
        <w:tc>
          <w:tcPr>
            <w:tcW w:w="2604" w:type="dxa"/>
          </w:tcPr>
          <w:p w14:paraId="3888463C" w14:textId="77777777" w:rsidR="000343AB" w:rsidRPr="00DE096C" w:rsidRDefault="000343AB" w:rsidP="00D45A46">
            <w:pPr>
              <w:jc w:val="both"/>
              <w:rPr>
                <w:bCs/>
                <w:color w:val="002060"/>
                <w:sz w:val="16"/>
                <w:szCs w:val="16"/>
              </w:rPr>
            </w:pPr>
            <w:r w:rsidRPr="00DE096C">
              <w:rPr>
                <w:bCs/>
                <w:color w:val="002060"/>
                <w:sz w:val="16"/>
                <w:szCs w:val="16"/>
              </w:rPr>
              <w:t>48-лин. гаубиц обр. 1910 г.</w:t>
            </w:r>
          </w:p>
        </w:tc>
        <w:tc>
          <w:tcPr>
            <w:tcW w:w="816" w:type="dxa"/>
          </w:tcPr>
          <w:p w14:paraId="5EFB41E3" w14:textId="77777777" w:rsidR="000343AB" w:rsidRPr="00DE096C" w:rsidRDefault="000343AB" w:rsidP="00D45A46">
            <w:pPr>
              <w:jc w:val="both"/>
              <w:rPr>
                <w:bCs/>
                <w:color w:val="002060"/>
                <w:sz w:val="16"/>
                <w:szCs w:val="16"/>
              </w:rPr>
            </w:pPr>
            <w:r w:rsidRPr="00DE096C">
              <w:rPr>
                <w:bCs/>
                <w:color w:val="002060"/>
                <w:sz w:val="16"/>
                <w:szCs w:val="16"/>
              </w:rPr>
              <w:t>70</w:t>
            </w:r>
          </w:p>
        </w:tc>
        <w:tc>
          <w:tcPr>
            <w:tcW w:w="864" w:type="dxa"/>
          </w:tcPr>
          <w:p w14:paraId="681B965A" w14:textId="77777777" w:rsidR="000343AB" w:rsidRPr="00DE096C" w:rsidRDefault="000343AB" w:rsidP="00D45A46">
            <w:pPr>
              <w:jc w:val="both"/>
              <w:rPr>
                <w:bCs/>
                <w:color w:val="002060"/>
                <w:sz w:val="16"/>
                <w:szCs w:val="16"/>
              </w:rPr>
            </w:pPr>
            <w:r w:rsidRPr="00DE096C">
              <w:rPr>
                <w:bCs/>
                <w:color w:val="002060"/>
                <w:sz w:val="16"/>
                <w:szCs w:val="16"/>
              </w:rPr>
              <w:t>198</w:t>
            </w:r>
          </w:p>
        </w:tc>
        <w:tc>
          <w:tcPr>
            <w:tcW w:w="732" w:type="dxa"/>
          </w:tcPr>
          <w:p w14:paraId="0563E253" w14:textId="77777777" w:rsidR="000343AB" w:rsidRPr="00DE096C" w:rsidRDefault="000343AB" w:rsidP="00D45A46">
            <w:pPr>
              <w:jc w:val="both"/>
              <w:rPr>
                <w:bCs/>
                <w:color w:val="002060"/>
                <w:sz w:val="16"/>
                <w:szCs w:val="16"/>
              </w:rPr>
            </w:pPr>
            <w:r w:rsidRPr="00DE096C">
              <w:rPr>
                <w:bCs/>
                <w:color w:val="002060"/>
                <w:sz w:val="16"/>
                <w:szCs w:val="16"/>
              </w:rPr>
              <w:t>153</w:t>
            </w:r>
          </w:p>
        </w:tc>
      </w:tr>
      <w:tr w:rsidR="000343AB" w:rsidRPr="00DE096C" w14:paraId="5D59360B" w14:textId="77777777" w:rsidTr="00D34AC1">
        <w:tc>
          <w:tcPr>
            <w:tcW w:w="2604" w:type="dxa"/>
          </w:tcPr>
          <w:p w14:paraId="46F2AD52" w14:textId="77777777" w:rsidR="000343AB" w:rsidRPr="00DE096C" w:rsidRDefault="000343AB" w:rsidP="00D45A46">
            <w:pPr>
              <w:jc w:val="both"/>
              <w:rPr>
                <w:bCs/>
                <w:color w:val="002060"/>
                <w:sz w:val="16"/>
                <w:szCs w:val="16"/>
              </w:rPr>
            </w:pPr>
            <w:r w:rsidRPr="00DE096C">
              <w:rPr>
                <w:bCs/>
                <w:color w:val="002060"/>
                <w:sz w:val="16"/>
                <w:szCs w:val="16"/>
              </w:rPr>
              <w:t>42-лин. скорострельных пушек обр. 1910 г.</w:t>
            </w:r>
          </w:p>
        </w:tc>
        <w:tc>
          <w:tcPr>
            <w:tcW w:w="816" w:type="dxa"/>
          </w:tcPr>
          <w:p w14:paraId="66F00F95" w14:textId="77777777" w:rsidR="000343AB" w:rsidRPr="00DE096C" w:rsidRDefault="000343AB" w:rsidP="00D45A46">
            <w:pPr>
              <w:jc w:val="both"/>
              <w:rPr>
                <w:bCs/>
                <w:color w:val="002060"/>
                <w:sz w:val="16"/>
                <w:szCs w:val="16"/>
              </w:rPr>
            </w:pPr>
            <w:r w:rsidRPr="00DE096C">
              <w:rPr>
                <w:bCs/>
                <w:color w:val="002060"/>
                <w:sz w:val="16"/>
                <w:szCs w:val="16"/>
              </w:rPr>
              <w:t>—</w:t>
            </w:r>
          </w:p>
        </w:tc>
        <w:tc>
          <w:tcPr>
            <w:tcW w:w="864" w:type="dxa"/>
          </w:tcPr>
          <w:p w14:paraId="2292BD71" w14:textId="77777777" w:rsidR="000343AB" w:rsidRPr="00DE096C" w:rsidRDefault="000343AB" w:rsidP="00D45A46">
            <w:pPr>
              <w:jc w:val="both"/>
              <w:rPr>
                <w:bCs/>
                <w:color w:val="002060"/>
                <w:sz w:val="16"/>
                <w:szCs w:val="16"/>
              </w:rPr>
            </w:pPr>
            <w:r w:rsidRPr="00DE096C">
              <w:rPr>
                <w:bCs/>
                <w:color w:val="002060"/>
                <w:sz w:val="16"/>
                <w:szCs w:val="16"/>
              </w:rPr>
              <w:t>27</w:t>
            </w:r>
          </w:p>
        </w:tc>
        <w:tc>
          <w:tcPr>
            <w:tcW w:w="732" w:type="dxa"/>
          </w:tcPr>
          <w:p w14:paraId="727A6A9E" w14:textId="77777777" w:rsidR="000343AB" w:rsidRPr="00DE096C" w:rsidRDefault="000343AB" w:rsidP="00D45A46">
            <w:pPr>
              <w:jc w:val="both"/>
              <w:rPr>
                <w:bCs/>
                <w:color w:val="002060"/>
                <w:sz w:val="16"/>
                <w:szCs w:val="16"/>
              </w:rPr>
            </w:pPr>
            <w:r w:rsidRPr="00DE096C">
              <w:rPr>
                <w:bCs/>
                <w:color w:val="002060"/>
                <w:sz w:val="16"/>
                <w:szCs w:val="16"/>
              </w:rPr>
              <w:t>110</w:t>
            </w:r>
          </w:p>
        </w:tc>
      </w:tr>
      <w:tr w:rsidR="000343AB" w:rsidRPr="00DE096C" w14:paraId="15896FE7" w14:textId="77777777" w:rsidTr="00D34AC1">
        <w:tc>
          <w:tcPr>
            <w:tcW w:w="2604" w:type="dxa"/>
          </w:tcPr>
          <w:p w14:paraId="427B2D92" w14:textId="77777777" w:rsidR="000343AB" w:rsidRPr="00DE096C" w:rsidRDefault="000343AB" w:rsidP="00D45A46">
            <w:pPr>
              <w:jc w:val="both"/>
              <w:rPr>
                <w:bCs/>
                <w:color w:val="002060"/>
                <w:sz w:val="16"/>
                <w:szCs w:val="16"/>
              </w:rPr>
            </w:pPr>
            <w:r w:rsidRPr="00DE096C">
              <w:rPr>
                <w:bCs/>
                <w:color w:val="002060"/>
                <w:sz w:val="16"/>
                <w:szCs w:val="16"/>
              </w:rPr>
              <w:t>12-дм гаубиц осадных</w:t>
            </w:r>
          </w:p>
        </w:tc>
        <w:tc>
          <w:tcPr>
            <w:tcW w:w="816" w:type="dxa"/>
          </w:tcPr>
          <w:p w14:paraId="0A901142" w14:textId="77777777" w:rsidR="000343AB" w:rsidRPr="00DE096C" w:rsidRDefault="000343AB" w:rsidP="00D45A46">
            <w:pPr>
              <w:jc w:val="both"/>
              <w:rPr>
                <w:bCs/>
                <w:color w:val="002060"/>
                <w:sz w:val="16"/>
                <w:szCs w:val="16"/>
              </w:rPr>
            </w:pPr>
            <w:r w:rsidRPr="00DE096C">
              <w:rPr>
                <w:bCs/>
                <w:color w:val="002060"/>
                <w:sz w:val="16"/>
                <w:szCs w:val="16"/>
              </w:rPr>
              <w:t>—</w:t>
            </w:r>
          </w:p>
        </w:tc>
        <w:tc>
          <w:tcPr>
            <w:tcW w:w="864" w:type="dxa"/>
          </w:tcPr>
          <w:p w14:paraId="53F2D4F0" w14:textId="77777777" w:rsidR="000343AB" w:rsidRPr="00DE096C" w:rsidRDefault="000343AB" w:rsidP="00D45A46">
            <w:pPr>
              <w:jc w:val="both"/>
              <w:rPr>
                <w:bCs/>
                <w:color w:val="002060"/>
                <w:sz w:val="16"/>
                <w:szCs w:val="16"/>
              </w:rPr>
            </w:pPr>
            <w:r w:rsidRPr="00DE096C">
              <w:rPr>
                <w:bCs/>
                <w:color w:val="002060"/>
                <w:sz w:val="16"/>
                <w:szCs w:val="16"/>
              </w:rPr>
              <w:t>33</w:t>
            </w:r>
          </w:p>
        </w:tc>
        <w:tc>
          <w:tcPr>
            <w:tcW w:w="732" w:type="dxa"/>
          </w:tcPr>
          <w:p w14:paraId="25DFCB5D" w14:textId="77777777" w:rsidR="000343AB" w:rsidRPr="00DE096C" w:rsidRDefault="000343AB" w:rsidP="00D45A46">
            <w:pPr>
              <w:jc w:val="both"/>
              <w:rPr>
                <w:bCs/>
                <w:color w:val="002060"/>
                <w:sz w:val="16"/>
                <w:szCs w:val="16"/>
              </w:rPr>
            </w:pPr>
            <w:r w:rsidRPr="00DE096C">
              <w:rPr>
                <w:bCs/>
                <w:color w:val="002060"/>
                <w:sz w:val="16"/>
                <w:szCs w:val="16"/>
              </w:rPr>
              <w:t>11</w:t>
            </w:r>
          </w:p>
        </w:tc>
      </w:tr>
      <w:tr w:rsidR="000343AB" w:rsidRPr="00DE096C" w14:paraId="76F2B200" w14:textId="77777777" w:rsidTr="00D34AC1">
        <w:tc>
          <w:tcPr>
            <w:tcW w:w="2604" w:type="dxa"/>
          </w:tcPr>
          <w:p w14:paraId="54969E79" w14:textId="77777777" w:rsidR="000343AB" w:rsidRPr="00DE096C" w:rsidRDefault="000343AB" w:rsidP="00D45A46">
            <w:pPr>
              <w:jc w:val="both"/>
              <w:rPr>
                <w:bCs/>
                <w:color w:val="002060"/>
                <w:sz w:val="16"/>
                <w:szCs w:val="16"/>
              </w:rPr>
            </w:pPr>
            <w:r w:rsidRPr="00DE096C">
              <w:rPr>
                <w:bCs/>
                <w:color w:val="002060"/>
                <w:sz w:val="16"/>
                <w:szCs w:val="16"/>
              </w:rPr>
              <w:t>12-дм береговых пушек</w:t>
            </w:r>
          </w:p>
        </w:tc>
        <w:tc>
          <w:tcPr>
            <w:tcW w:w="816" w:type="dxa"/>
          </w:tcPr>
          <w:p w14:paraId="314A7295" w14:textId="77777777" w:rsidR="000343AB" w:rsidRPr="00DE096C" w:rsidRDefault="000343AB" w:rsidP="00D45A46">
            <w:pPr>
              <w:jc w:val="both"/>
              <w:rPr>
                <w:bCs/>
                <w:color w:val="002060"/>
                <w:sz w:val="16"/>
                <w:szCs w:val="16"/>
              </w:rPr>
            </w:pPr>
            <w:r w:rsidRPr="00DE096C">
              <w:rPr>
                <w:bCs/>
                <w:color w:val="002060"/>
                <w:sz w:val="16"/>
                <w:szCs w:val="16"/>
              </w:rPr>
              <w:t>4</w:t>
            </w:r>
          </w:p>
        </w:tc>
        <w:tc>
          <w:tcPr>
            <w:tcW w:w="864" w:type="dxa"/>
          </w:tcPr>
          <w:p w14:paraId="101A83D1" w14:textId="77777777" w:rsidR="000343AB" w:rsidRPr="00DE096C" w:rsidRDefault="000343AB" w:rsidP="00D45A46">
            <w:pPr>
              <w:jc w:val="both"/>
              <w:rPr>
                <w:bCs/>
                <w:color w:val="002060"/>
                <w:sz w:val="16"/>
                <w:szCs w:val="16"/>
              </w:rPr>
            </w:pPr>
            <w:r w:rsidRPr="00DE096C">
              <w:rPr>
                <w:bCs/>
                <w:color w:val="002060"/>
                <w:sz w:val="16"/>
                <w:szCs w:val="16"/>
              </w:rPr>
              <w:t>3</w:t>
            </w:r>
          </w:p>
        </w:tc>
        <w:tc>
          <w:tcPr>
            <w:tcW w:w="732" w:type="dxa"/>
          </w:tcPr>
          <w:p w14:paraId="643F998D" w14:textId="77777777" w:rsidR="000343AB" w:rsidRPr="00DE096C" w:rsidRDefault="000343AB" w:rsidP="00D45A46">
            <w:pPr>
              <w:jc w:val="both"/>
              <w:rPr>
                <w:bCs/>
                <w:color w:val="002060"/>
                <w:sz w:val="16"/>
                <w:szCs w:val="16"/>
              </w:rPr>
            </w:pPr>
            <w:r w:rsidRPr="00DE096C">
              <w:rPr>
                <w:bCs/>
                <w:color w:val="002060"/>
                <w:sz w:val="16"/>
                <w:szCs w:val="16"/>
              </w:rPr>
              <w:t>—</w:t>
            </w:r>
          </w:p>
        </w:tc>
      </w:tr>
    </w:tbl>
    <w:p w14:paraId="57A3ACE6" w14:textId="77777777" w:rsidR="000343AB" w:rsidRPr="00DE096C" w:rsidRDefault="000343AB" w:rsidP="00D45A46">
      <w:pPr>
        <w:jc w:val="both"/>
        <w:rPr>
          <w:bCs/>
          <w:color w:val="002060"/>
          <w:sz w:val="16"/>
          <w:szCs w:val="16"/>
        </w:rPr>
      </w:pPr>
      <w:r w:rsidRPr="00DE096C">
        <w:rPr>
          <w:bCs/>
          <w:color w:val="002060"/>
          <w:sz w:val="16"/>
          <w:szCs w:val="16"/>
        </w:rPr>
        <w:t>История Обуховского завода есть история русской крупнокалиберной артиллерии, ибо орудий больших калибров ни один из орудийных заводов России не строил, за исключением Пермского, роль которого в этом деле была весьма скромна (11329).</w:t>
      </w:r>
    </w:p>
    <w:p w14:paraId="3D2CD9FB" w14:textId="77777777" w:rsidR="000343AB" w:rsidRPr="00DE096C" w:rsidRDefault="000343AB" w:rsidP="00D45A46">
      <w:pPr>
        <w:jc w:val="both"/>
        <w:rPr>
          <w:bCs/>
          <w:color w:val="002060"/>
          <w:sz w:val="16"/>
          <w:szCs w:val="16"/>
        </w:rPr>
      </w:pPr>
    </w:p>
    <w:p w14:paraId="7CB357A2" w14:textId="77777777" w:rsidR="000343AB" w:rsidRPr="00DE096C" w:rsidRDefault="000343AB" w:rsidP="00D45A46">
      <w:pPr>
        <w:jc w:val="both"/>
        <w:rPr>
          <w:bCs/>
          <w:color w:val="002060"/>
          <w:sz w:val="16"/>
          <w:szCs w:val="16"/>
        </w:rPr>
      </w:pPr>
      <w:r w:rsidRPr="00DE096C">
        <w:rPr>
          <w:bCs/>
          <w:color w:val="002060"/>
          <w:sz w:val="16"/>
          <w:szCs w:val="16"/>
        </w:rPr>
        <w:t>К концу июля 1914 г., перед войной 1914г. Шлиссельбургский пороховой освоил производство баллиститных порохов.</w:t>
      </w:r>
    </w:p>
    <w:p w14:paraId="0735DFCF" w14:textId="77777777" w:rsidR="000343AB" w:rsidRPr="00DE096C" w:rsidRDefault="000343AB" w:rsidP="00D45A46">
      <w:pPr>
        <w:jc w:val="both"/>
        <w:rPr>
          <w:bCs/>
          <w:color w:val="002060"/>
          <w:sz w:val="16"/>
          <w:szCs w:val="16"/>
        </w:rPr>
      </w:pPr>
      <w:r w:rsidRPr="00DE096C">
        <w:rPr>
          <w:bCs/>
          <w:color w:val="002060"/>
          <w:sz w:val="16"/>
          <w:szCs w:val="16"/>
        </w:rPr>
        <w:t>В 1922 г. заводу и поселку присвоено имя Н.А. Морозова. В 1922-24г. находился в ведении «Севзапвоенпрома» ГУВП ВСНХ. В соответствии с пост. СНЕС от 27.04.1926г. по пр. ВСНХ/НКВМ/ОГПУ № 73сс от 9.07.1927г. Шлиссельбургский пороховой завод им. Морозова с 1.10.1927г. переименован в Шлиссельбургский завод им. Морозова в ведении Вохимтреста УВП ВСНХ.133 В соответствии с пост. СНК № 2139-425сс от 21.12.1936г. и пр. НКОП № 05с от 29.12.1936г. завод № 6 (ГС завод № 6 им. Н.А. Морозова НКОП, НКБ, Шлиссельбургский пороховой завод им. Н.А. Морозова ВСНХ, Шлиссельбургский завод им. Морозова ВСНХ, ГУП «Ордена Красной Звезды и Октябрьской Революции «Завод им. Морозова» Росбоеприпаса, ЗАО «Морозовский химический завод» /ст. Дунай Ириновской ветки Октябрьской ж/д (1927г.); г. Шлиссельбург Ленинградской обл. (1941г.)/ /188710 пос. Морозова Всеволожского р-на Ленинградской обл. ул. Чкалова, 3 тел. 35-931/) передан из Порохового треста НКТП в ГУ военно- химической промышленности НКОП. Приказом НКОП № 107 от 21.03.1937г. утвержден Устав ГС завода № 6, в 04.1937г. - в ведении 6ГУ. В соответствии с пост. СНК № 1960-390сс от 5.11.1936г. и пр. № 068 от 2.04.1937г. завод переведен в группу особо режимных предприятий. По пр. № 0089 от 20.04.1937г. передан из 6ГУ в новое 11ГУ. В 02.1939г. завод № 6 11ГУ НКОП передан в ведение 11ГУ НКБ.132</w:t>
      </w:r>
    </w:p>
    <w:p w14:paraId="38D7C8B7" w14:textId="77777777" w:rsidR="000343AB" w:rsidRPr="00DE096C" w:rsidRDefault="000343AB" w:rsidP="00D45A46">
      <w:pPr>
        <w:jc w:val="both"/>
        <w:rPr>
          <w:bCs/>
          <w:color w:val="002060"/>
          <w:sz w:val="16"/>
          <w:szCs w:val="16"/>
        </w:rPr>
      </w:pPr>
      <w:r w:rsidRPr="00DE096C">
        <w:rPr>
          <w:bCs/>
          <w:color w:val="002060"/>
          <w:sz w:val="16"/>
          <w:szCs w:val="16"/>
        </w:rPr>
        <w:t>После Гражданской войны возобновлено производство порохов, в конце 1928г. под руководством А. С. Бакаева (ЦНИЛ-84) на заводе создана опытная установка для рецептурно-технологической отработки пороха, в 1931г. создан первый в стране опытный цех по производству баллиститных порохов.56</w:t>
      </w:r>
    </w:p>
    <w:p w14:paraId="493BD704" w14:textId="77777777" w:rsidR="000343AB" w:rsidRPr="00DE096C" w:rsidRDefault="000343AB" w:rsidP="00D45A46">
      <w:pPr>
        <w:jc w:val="both"/>
        <w:rPr>
          <w:bCs/>
          <w:color w:val="002060"/>
          <w:sz w:val="16"/>
          <w:szCs w:val="16"/>
        </w:rPr>
      </w:pPr>
      <w:r w:rsidRPr="00DE096C">
        <w:rPr>
          <w:bCs/>
          <w:color w:val="002060"/>
          <w:sz w:val="16"/>
          <w:szCs w:val="16"/>
        </w:rPr>
        <w:t>Имелись производства (04.1937г.): сернокислотное, динамитное, дымных порохов.</w:t>
      </w:r>
    </w:p>
    <w:p w14:paraId="17B499AF" w14:textId="77777777" w:rsidR="000343AB" w:rsidRPr="00DE096C" w:rsidRDefault="000343AB" w:rsidP="00D45A46">
      <w:pPr>
        <w:jc w:val="both"/>
        <w:rPr>
          <w:bCs/>
          <w:color w:val="002060"/>
          <w:sz w:val="16"/>
          <w:szCs w:val="16"/>
        </w:rPr>
      </w:pPr>
      <w:r w:rsidRPr="00DE096C">
        <w:rPr>
          <w:bCs/>
          <w:color w:val="002060"/>
          <w:sz w:val="16"/>
          <w:szCs w:val="16"/>
        </w:rPr>
        <w:t>Пр. № 123с от 5/7.04.1938г. требовалось организовать на заводе к 1.05.1938г. спецгруппу для отработки порохового заряда к 82-мм миномету; обеспечить на заводе валовое производство зарядов со сдачей во 2-м квартале 120 тыс. шт.</w:t>
      </w:r>
    </w:p>
    <w:p w14:paraId="06789144" w14:textId="77777777" w:rsidR="000343AB" w:rsidRPr="00DE096C" w:rsidRDefault="000343AB" w:rsidP="00D45A46">
      <w:pPr>
        <w:jc w:val="both"/>
        <w:rPr>
          <w:bCs/>
          <w:color w:val="002060"/>
          <w:sz w:val="16"/>
          <w:szCs w:val="16"/>
        </w:rPr>
      </w:pPr>
      <w:r w:rsidRPr="00DE096C">
        <w:rPr>
          <w:bCs/>
          <w:color w:val="002060"/>
          <w:sz w:val="16"/>
          <w:szCs w:val="16"/>
        </w:rPr>
        <w:t>Мощность завода (перед эвакуацией): пороха: дымный - 1800 т в год; нитроглицериновый - 400 т; пироксилиновый - 200 т; динамит и аммонит - 9670 т; пироксилин - 200 т; олеум - 13 тыс. т в год.</w:t>
      </w:r>
    </w:p>
    <w:p w14:paraId="5A698424" w14:textId="77777777" w:rsidR="000343AB" w:rsidRPr="00DE096C" w:rsidRDefault="000343AB" w:rsidP="00D45A46">
      <w:pPr>
        <w:jc w:val="both"/>
        <w:rPr>
          <w:bCs/>
          <w:color w:val="002060"/>
          <w:sz w:val="16"/>
          <w:szCs w:val="16"/>
        </w:rPr>
      </w:pPr>
      <w:r w:rsidRPr="00DE096C">
        <w:rPr>
          <w:bCs/>
          <w:color w:val="002060"/>
          <w:sz w:val="16"/>
          <w:szCs w:val="16"/>
        </w:rPr>
        <w:lastRenderedPageBreak/>
        <w:t>В соответствии с постановлениями ЦК ВКП (б) № П-34-174 от 2.07.1941г., Совета по эвакуации № СЭ-12сс от 3.07.1941г., распоряжением СНК № 1806-806 от 2.07.1941г. и пост. ГКО № 99сс от 11.07.1941г. завод № 6 ЗГУ эвакуирован на завод № 98 НКБ (производство порохов, 174 ед. оборудования, 824 чел.). Затем эвакуировано производство динамита и аммонита (61 ед. оборудования) на завод № 594; производство олеума и пироксилина (23 ед. оборудования)- на завод № 511,т и завод прекратил существование. Производство олеума не эвакуировалось из-за плохого состояния оборудования.</w:t>
      </w:r>
    </w:p>
    <w:p w14:paraId="1CFF39E3" w14:textId="77777777" w:rsidR="000343AB" w:rsidRPr="00DE096C" w:rsidRDefault="000343AB" w:rsidP="00D45A46">
      <w:pPr>
        <w:jc w:val="both"/>
        <w:rPr>
          <w:bCs/>
          <w:color w:val="002060"/>
          <w:sz w:val="16"/>
          <w:szCs w:val="16"/>
        </w:rPr>
      </w:pPr>
      <w:r w:rsidRPr="00DE096C">
        <w:rPr>
          <w:bCs/>
          <w:color w:val="002060"/>
          <w:sz w:val="16"/>
          <w:szCs w:val="16"/>
        </w:rPr>
        <w:t>В 1943г. завод № 6 НКБ восстановлен на прежнем месте, в 08.1943-09.1944г. - в ведении ЗГУ. Проектная мощность завода на 1.01.1944г. - 20, на 1.01.1945г. - 50 т пороха в месяц.55,56</w:t>
      </w:r>
    </w:p>
    <w:p w14:paraId="065C8705" w14:textId="77777777" w:rsidR="000343AB" w:rsidRPr="00DE096C" w:rsidRDefault="000343AB" w:rsidP="00D45A46">
      <w:pPr>
        <w:jc w:val="both"/>
        <w:rPr>
          <w:bCs/>
          <w:color w:val="002060"/>
          <w:sz w:val="16"/>
          <w:szCs w:val="16"/>
        </w:rPr>
      </w:pPr>
      <w:r w:rsidRPr="00DE096C">
        <w:rPr>
          <w:bCs/>
          <w:color w:val="002060"/>
          <w:sz w:val="16"/>
          <w:szCs w:val="16"/>
        </w:rPr>
        <w:t>Производство взрывчатых веществ. После войны налажено производство изоляционных материалов- микаленты, ЛТСС. В 1960г. завод совместно с Институтом химии силикатов начал отработку производства кремнийорганики- органосиликатных материалов (ОСМ), в начале 1970-х г. начато их производство.</w:t>
      </w:r>
    </w:p>
    <w:p w14:paraId="26B47E38" w14:textId="77777777" w:rsidR="000343AB" w:rsidRPr="00DE096C" w:rsidRDefault="000343AB" w:rsidP="00D45A46">
      <w:pPr>
        <w:jc w:val="both"/>
        <w:rPr>
          <w:bCs/>
          <w:color w:val="002060"/>
          <w:sz w:val="16"/>
          <w:szCs w:val="16"/>
        </w:rPr>
      </w:pPr>
      <w:r w:rsidRPr="00DE096C">
        <w:rPr>
          <w:bCs/>
          <w:color w:val="002060"/>
          <w:sz w:val="16"/>
          <w:szCs w:val="16"/>
        </w:rPr>
        <w:t>В соответствии с пост. Ленсовнархоза № 00715 от 25.09.1958г. завод включен в состав «Ленинградского куста» оборонных предприятий вместе с ГИПХ, заводом и ЦКБ «Арсенал», филиалом НИИРП, полигоном Ржевка. Заводу поручено организовать экспериментальную базу для опытно-промышленного производства ракетного твердого топлива. Был создан экспериментальный цех по выпуску твердого топлива по рецептурам ГИПХ. С 1965г. началось сотрудничество с НИИ-125, в 1967г. налажен выпуск изделий для ОТРК «Темп-С».</w:t>
      </w:r>
    </w:p>
    <w:p w14:paraId="755AF50B" w14:textId="77777777" w:rsidR="000343AB" w:rsidRPr="00DE096C" w:rsidRDefault="000343AB" w:rsidP="00D45A46">
      <w:pPr>
        <w:jc w:val="both"/>
        <w:rPr>
          <w:bCs/>
          <w:color w:val="002060"/>
          <w:sz w:val="16"/>
          <w:szCs w:val="16"/>
        </w:rPr>
      </w:pPr>
      <w:r w:rsidRPr="00DE096C">
        <w:rPr>
          <w:bCs/>
          <w:color w:val="002060"/>
          <w:sz w:val="16"/>
          <w:szCs w:val="16"/>
        </w:rPr>
        <w:t>С 05.1999г. - ГУП «Завод им. Морозова». Компания «Азотвзрыв» входит в группу «Интерхимпром» (2003г.) и имеет еще завод в Муроме (Владимирская обл.).ъ"28 08 03 По Указу Президента РФ № 1009 от 4.08.2004г. вошло в перечень стратегических оборонных предприятий.</w:t>
      </w:r>
    </w:p>
    <w:p w14:paraId="3D77AADF" w14:textId="77777777" w:rsidR="000343AB" w:rsidRPr="00DE096C" w:rsidRDefault="000343AB" w:rsidP="00D45A46">
      <w:pPr>
        <w:jc w:val="both"/>
        <w:rPr>
          <w:bCs/>
          <w:color w:val="002060"/>
          <w:sz w:val="16"/>
          <w:szCs w:val="16"/>
        </w:rPr>
      </w:pPr>
      <w:r w:rsidRPr="00DE096C">
        <w:rPr>
          <w:bCs/>
          <w:color w:val="002060"/>
          <w:sz w:val="16"/>
          <w:szCs w:val="16"/>
        </w:rPr>
        <w:t>Численность персонала (07.1941 г.)- 3884 чел.</w:t>
      </w:r>
    </w:p>
    <w:p w14:paraId="32E2FADD" w14:textId="77777777" w:rsidR="000343AB" w:rsidRPr="00DE096C" w:rsidRDefault="000343AB" w:rsidP="00D45A46">
      <w:pPr>
        <w:jc w:val="both"/>
        <w:rPr>
          <w:bCs/>
          <w:color w:val="002060"/>
          <w:sz w:val="16"/>
          <w:szCs w:val="16"/>
        </w:rPr>
      </w:pPr>
      <w:r w:rsidRPr="00DE096C">
        <w:rPr>
          <w:bCs/>
          <w:color w:val="002060"/>
          <w:sz w:val="16"/>
          <w:szCs w:val="16"/>
        </w:rPr>
        <w:t>Начальник (-06-16.11.1937г.)- Почечуев (снят за взрыв на заводе). Директор (1.02.1938г.-)- Г.М. Дмитриев, (ВОВ)- Н.И. Григорьев, затем- А.П. Портнов.</w:t>
      </w:r>
    </w:p>
    <w:p w14:paraId="48BEBF8F" w14:textId="77777777" w:rsidR="000343AB" w:rsidRPr="00DE096C" w:rsidRDefault="000343AB" w:rsidP="00D45A46">
      <w:pPr>
        <w:jc w:val="both"/>
        <w:rPr>
          <w:bCs/>
          <w:color w:val="002060"/>
          <w:sz w:val="16"/>
          <w:szCs w:val="16"/>
        </w:rPr>
      </w:pPr>
      <w:r w:rsidRPr="00DE096C">
        <w:rPr>
          <w:bCs/>
          <w:color w:val="002060"/>
          <w:sz w:val="16"/>
          <w:szCs w:val="16"/>
        </w:rPr>
        <w:t>Помощник директора по найму и увольнению (-22.11.1937г.)- В.Д. Мурин (снят), (27.11.1938г.-)- С.В. Темкин.</w:t>
      </w:r>
    </w:p>
    <w:p w14:paraId="58C7B188" w14:textId="77777777" w:rsidR="000343AB" w:rsidRPr="00DE096C" w:rsidRDefault="000343AB" w:rsidP="00D45A46">
      <w:pPr>
        <w:jc w:val="both"/>
        <w:rPr>
          <w:bCs/>
          <w:color w:val="002060"/>
          <w:sz w:val="16"/>
          <w:szCs w:val="16"/>
        </w:rPr>
      </w:pPr>
      <w:r w:rsidRPr="00DE096C">
        <w:rPr>
          <w:bCs/>
          <w:color w:val="002060"/>
          <w:sz w:val="16"/>
          <w:szCs w:val="16"/>
        </w:rPr>
        <w:t>Технический директор (-06-22.11.193 7г.)- Айзенберг (снят за взрыв на заводе).</w:t>
      </w:r>
    </w:p>
    <w:p w14:paraId="7FF28D69" w14:textId="77777777" w:rsidR="000343AB" w:rsidRPr="00DE096C" w:rsidRDefault="000343AB" w:rsidP="00D45A46">
      <w:pPr>
        <w:jc w:val="both"/>
        <w:rPr>
          <w:bCs/>
          <w:color w:val="002060"/>
          <w:sz w:val="16"/>
          <w:szCs w:val="16"/>
        </w:rPr>
      </w:pPr>
      <w:r w:rsidRPr="00DE096C">
        <w:rPr>
          <w:bCs/>
          <w:color w:val="002060"/>
          <w:sz w:val="16"/>
          <w:szCs w:val="16"/>
        </w:rPr>
        <w:t>Гл. инженер (07.1938г.)- Н.Н. Григорьев, (BOB)- Н.А. Стародубцев.</w:t>
      </w:r>
    </w:p>
    <w:p w14:paraId="172801A3" w14:textId="77777777" w:rsidR="000343AB" w:rsidRPr="00DE096C" w:rsidRDefault="000343AB" w:rsidP="00D45A46">
      <w:pPr>
        <w:jc w:val="both"/>
        <w:rPr>
          <w:bCs/>
          <w:color w:val="002060"/>
          <w:sz w:val="16"/>
          <w:szCs w:val="16"/>
        </w:rPr>
      </w:pPr>
      <w:r w:rsidRPr="00DE096C">
        <w:rPr>
          <w:bCs/>
          <w:color w:val="002060"/>
          <w:sz w:val="16"/>
          <w:szCs w:val="16"/>
        </w:rPr>
        <w:t>Начальники цехов: № 3 (-29.06.1937г.)- Данилов (снят и осужден за взрыв на заводе); № 8 (-16.11.1937г.)- В.И. Балкона (снята и осуждена за взрыв на заводе).</w:t>
      </w:r>
    </w:p>
    <w:p w14:paraId="74D393DE" w14:textId="77777777" w:rsidR="000343AB" w:rsidRPr="00DE096C" w:rsidRDefault="000343AB" w:rsidP="00D45A46">
      <w:pPr>
        <w:jc w:val="both"/>
        <w:rPr>
          <w:bCs/>
          <w:color w:val="002060"/>
          <w:sz w:val="16"/>
          <w:szCs w:val="16"/>
        </w:rPr>
      </w:pPr>
      <w:r w:rsidRPr="00DE096C">
        <w:rPr>
          <w:bCs/>
          <w:color w:val="002060"/>
          <w:sz w:val="16"/>
          <w:szCs w:val="16"/>
        </w:rPr>
        <w:t>Зам. начальника цеха: № 3 (-29.06.1937г.)- Котин (снят и осужден за взрыв на заводе); № 8 (-16.11.1937г.)- Д.Ф. Шейн (снят и осужден за взрыв на заводе).</w:t>
      </w:r>
    </w:p>
    <w:p w14:paraId="73DC9AB0" w14:textId="77777777" w:rsidR="000343AB" w:rsidRPr="00DE096C" w:rsidRDefault="000343AB" w:rsidP="00D45A46">
      <w:pPr>
        <w:jc w:val="both"/>
        <w:rPr>
          <w:bCs/>
          <w:color w:val="002060"/>
          <w:sz w:val="16"/>
          <w:szCs w:val="16"/>
        </w:rPr>
      </w:pPr>
      <w:r w:rsidRPr="00DE096C">
        <w:rPr>
          <w:bCs/>
          <w:color w:val="002060"/>
          <w:sz w:val="16"/>
          <w:szCs w:val="16"/>
        </w:rPr>
        <w:t>Производство: трубочный порох (1937); ручная граната РГД-33 (ВОВ); заряды из пороха ОД (1945); изделия для ОТРК «Темп-С» (1967-), «Пионер» (1974-), ПЗРК «Стрела» (1974-), «Игла»; ОСМ (1970-е) (11982).</w:t>
      </w:r>
    </w:p>
    <w:p w14:paraId="712759A1" w14:textId="77777777" w:rsidR="000343AB" w:rsidRPr="00DE096C" w:rsidRDefault="000343AB" w:rsidP="00D45A46">
      <w:pPr>
        <w:jc w:val="both"/>
        <w:rPr>
          <w:bCs/>
          <w:color w:val="002060"/>
          <w:sz w:val="16"/>
          <w:szCs w:val="16"/>
        </w:rPr>
      </w:pPr>
    </w:p>
    <w:p w14:paraId="0DA673E5" w14:textId="77777777" w:rsidR="000343AB" w:rsidRPr="00DE096C" w:rsidRDefault="000343AB" w:rsidP="00D45A46">
      <w:pPr>
        <w:jc w:val="both"/>
        <w:rPr>
          <w:bCs/>
          <w:color w:val="002060"/>
          <w:sz w:val="16"/>
          <w:szCs w:val="16"/>
        </w:rPr>
      </w:pPr>
      <w:r w:rsidRPr="00DE096C">
        <w:rPr>
          <w:bCs/>
          <w:color w:val="002060"/>
          <w:sz w:val="16"/>
          <w:szCs w:val="16"/>
        </w:rPr>
        <w:t xml:space="preserve">К концу июля 1914 г., к началу войны и к 200-летию Арсенала, его оборудование представлялось в следующем виде: различных двигателей — 10 шт. общей мощностью в 1400 л.с., моторов — 120 шт., печей, вагранок и прочих устройств — 106, станков различных — 500, прессов, молотов, ножниц и пр. — 50. Общая годовая производительность к этому времени достигала 4 млн рублей. </w:t>
      </w:r>
    </w:p>
    <w:p w14:paraId="45B8DC27" w14:textId="77777777" w:rsidR="000343AB" w:rsidRPr="00DE096C" w:rsidRDefault="000343AB" w:rsidP="00D45A46">
      <w:pPr>
        <w:jc w:val="both"/>
        <w:rPr>
          <w:bCs/>
          <w:color w:val="002060"/>
          <w:sz w:val="16"/>
          <w:szCs w:val="16"/>
        </w:rPr>
      </w:pPr>
      <w:r w:rsidRPr="00DE096C">
        <w:rPr>
          <w:bCs/>
          <w:color w:val="002060"/>
          <w:sz w:val="16"/>
          <w:szCs w:val="16"/>
        </w:rPr>
        <w:t xml:space="preserve">Привести данные о производительности Арсенала за период с 1900 по 1914 г. представляется затруднительным, так как архив Арсенала при эвакуации был растерян. </w:t>
      </w:r>
    </w:p>
    <w:p w14:paraId="5FE29457" w14:textId="77777777" w:rsidR="000343AB" w:rsidRPr="00DE096C" w:rsidRDefault="000343AB" w:rsidP="00D45A46">
      <w:pPr>
        <w:jc w:val="both"/>
        <w:rPr>
          <w:bCs/>
          <w:color w:val="002060"/>
          <w:sz w:val="16"/>
          <w:szCs w:val="16"/>
        </w:rPr>
      </w:pPr>
      <w:r w:rsidRPr="00DE096C">
        <w:rPr>
          <w:bCs/>
          <w:color w:val="002060"/>
          <w:sz w:val="16"/>
          <w:szCs w:val="16"/>
        </w:rPr>
        <w:t xml:space="preserve">Что касается войны 1914—1917 гг., то с наступлением ее Арсенал усиленно развернул свои производства, особенно с 1915 года. </w:t>
      </w:r>
    </w:p>
    <w:p w14:paraId="1261B516" w14:textId="77777777" w:rsidR="000343AB" w:rsidRPr="00DE096C" w:rsidRDefault="000343AB" w:rsidP="00D45A46">
      <w:pPr>
        <w:jc w:val="both"/>
        <w:rPr>
          <w:bCs/>
          <w:color w:val="002060"/>
          <w:sz w:val="16"/>
          <w:szCs w:val="16"/>
        </w:rPr>
      </w:pPr>
      <w:r w:rsidRPr="00DE096C">
        <w:rPr>
          <w:bCs/>
          <w:color w:val="002060"/>
          <w:sz w:val="16"/>
          <w:szCs w:val="16"/>
        </w:rPr>
        <w:t xml:space="preserve">В течение войны, кроме своей прямой работы, Арсенал был привлечен к изготовлению некоторых военных изделий, не имеющих прямого отношения к арсенальному производству — корпусов ручных гранат, дистанционных трубок для ручных гранат и мн. др. </w:t>
      </w:r>
    </w:p>
    <w:p w14:paraId="496CBA8C" w14:textId="77777777" w:rsidR="000343AB" w:rsidRPr="00DE096C" w:rsidRDefault="000343AB" w:rsidP="00D45A46">
      <w:pPr>
        <w:jc w:val="both"/>
        <w:rPr>
          <w:bCs/>
          <w:color w:val="002060"/>
          <w:sz w:val="16"/>
          <w:szCs w:val="16"/>
        </w:rPr>
      </w:pPr>
      <w:r w:rsidRPr="00DE096C">
        <w:rPr>
          <w:bCs/>
          <w:color w:val="002060"/>
          <w:sz w:val="16"/>
          <w:szCs w:val="16"/>
        </w:rPr>
        <w:t xml:space="preserve">Производство за 1914—1917 гг. по основным изделиям выражается следующими цифрами: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040"/>
        <w:gridCol w:w="588"/>
        <w:gridCol w:w="588"/>
        <w:gridCol w:w="681"/>
        <w:gridCol w:w="681"/>
        <w:gridCol w:w="588"/>
        <w:gridCol w:w="588"/>
        <w:gridCol w:w="588"/>
        <w:gridCol w:w="600"/>
      </w:tblGrid>
      <w:tr w:rsidR="000343AB" w:rsidRPr="00DE096C" w14:paraId="52F10242" w14:textId="77777777" w:rsidTr="00D34AC1">
        <w:tc>
          <w:tcPr>
            <w:tcW w:w="2040" w:type="dxa"/>
          </w:tcPr>
          <w:p w14:paraId="6B3D777B" w14:textId="77777777" w:rsidR="000343AB" w:rsidRPr="00DE096C" w:rsidRDefault="000343AB" w:rsidP="00D45A46">
            <w:pPr>
              <w:jc w:val="both"/>
              <w:rPr>
                <w:bCs/>
                <w:color w:val="002060"/>
                <w:sz w:val="16"/>
                <w:szCs w:val="16"/>
              </w:rPr>
            </w:pPr>
            <w:r w:rsidRPr="00DE096C">
              <w:rPr>
                <w:bCs/>
                <w:color w:val="002060"/>
                <w:sz w:val="16"/>
                <w:szCs w:val="16"/>
              </w:rPr>
              <w:t> </w:t>
            </w:r>
          </w:p>
        </w:tc>
        <w:tc>
          <w:tcPr>
            <w:tcW w:w="2538" w:type="dxa"/>
            <w:gridSpan w:val="4"/>
          </w:tcPr>
          <w:p w14:paraId="301D95BB" w14:textId="77777777" w:rsidR="000343AB" w:rsidRPr="00DE096C" w:rsidRDefault="000343AB" w:rsidP="00D45A46">
            <w:pPr>
              <w:jc w:val="both"/>
              <w:rPr>
                <w:bCs/>
                <w:color w:val="002060"/>
                <w:sz w:val="16"/>
                <w:szCs w:val="16"/>
              </w:rPr>
            </w:pPr>
            <w:r w:rsidRPr="00DE096C">
              <w:rPr>
                <w:bCs/>
                <w:color w:val="002060"/>
                <w:sz w:val="16"/>
                <w:szCs w:val="16"/>
              </w:rPr>
              <w:t>Изготовлено новых</w:t>
            </w:r>
          </w:p>
        </w:tc>
        <w:tc>
          <w:tcPr>
            <w:tcW w:w="2364" w:type="dxa"/>
            <w:gridSpan w:val="4"/>
          </w:tcPr>
          <w:p w14:paraId="7A05FE12" w14:textId="77777777" w:rsidR="000343AB" w:rsidRPr="00DE096C" w:rsidRDefault="000343AB" w:rsidP="00D45A46">
            <w:pPr>
              <w:jc w:val="both"/>
              <w:rPr>
                <w:bCs/>
                <w:color w:val="002060"/>
                <w:sz w:val="16"/>
                <w:szCs w:val="16"/>
              </w:rPr>
            </w:pPr>
            <w:r w:rsidRPr="00DE096C">
              <w:rPr>
                <w:bCs/>
                <w:color w:val="002060"/>
                <w:sz w:val="16"/>
                <w:szCs w:val="16"/>
              </w:rPr>
              <w:t>Отремонтировано</w:t>
            </w:r>
          </w:p>
        </w:tc>
      </w:tr>
      <w:tr w:rsidR="000343AB" w:rsidRPr="00DE096C" w14:paraId="747BBAC8" w14:textId="77777777" w:rsidTr="00D34AC1">
        <w:tc>
          <w:tcPr>
            <w:tcW w:w="2040" w:type="dxa"/>
          </w:tcPr>
          <w:p w14:paraId="02F0726D" w14:textId="77777777" w:rsidR="000343AB" w:rsidRPr="00DE096C" w:rsidRDefault="000343AB" w:rsidP="00D45A46">
            <w:pPr>
              <w:jc w:val="both"/>
              <w:rPr>
                <w:bCs/>
                <w:color w:val="002060"/>
                <w:sz w:val="16"/>
                <w:szCs w:val="16"/>
              </w:rPr>
            </w:pPr>
            <w:r w:rsidRPr="00DE096C">
              <w:rPr>
                <w:bCs/>
                <w:color w:val="002060"/>
                <w:sz w:val="16"/>
                <w:szCs w:val="16"/>
              </w:rPr>
              <w:t> </w:t>
            </w:r>
          </w:p>
        </w:tc>
        <w:tc>
          <w:tcPr>
            <w:tcW w:w="588" w:type="dxa"/>
          </w:tcPr>
          <w:p w14:paraId="5D6267E8" w14:textId="77777777" w:rsidR="000343AB" w:rsidRPr="00DE096C" w:rsidRDefault="000343AB" w:rsidP="00D45A46">
            <w:pPr>
              <w:jc w:val="both"/>
              <w:rPr>
                <w:bCs/>
                <w:color w:val="002060"/>
                <w:sz w:val="16"/>
                <w:szCs w:val="16"/>
              </w:rPr>
            </w:pPr>
            <w:r w:rsidRPr="00DE096C">
              <w:rPr>
                <w:bCs/>
                <w:color w:val="002060"/>
                <w:sz w:val="16"/>
                <w:szCs w:val="16"/>
              </w:rPr>
              <w:t>1914</w:t>
            </w:r>
          </w:p>
        </w:tc>
        <w:tc>
          <w:tcPr>
            <w:tcW w:w="588" w:type="dxa"/>
          </w:tcPr>
          <w:p w14:paraId="233924D9" w14:textId="77777777" w:rsidR="000343AB" w:rsidRPr="00DE096C" w:rsidRDefault="000343AB" w:rsidP="00D45A46">
            <w:pPr>
              <w:jc w:val="both"/>
              <w:rPr>
                <w:bCs/>
                <w:color w:val="002060"/>
                <w:sz w:val="16"/>
                <w:szCs w:val="16"/>
              </w:rPr>
            </w:pPr>
            <w:r w:rsidRPr="00DE096C">
              <w:rPr>
                <w:bCs/>
                <w:color w:val="002060"/>
                <w:sz w:val="16"/>
                <w:szCs w:val="16"/>
              </w:rPr>
              <w:t>1915</w:t>
            </w:r>
          </w:p>
        </w:tc>
        <w:tc>
          <w:tcPr>
            <w:tcW w:w="681" w:type="dxa"/>
          </w:tcPr>
          <w:p w14:paraId="62476316" w14:textId="77777777" w:rsidR="000343AB" w:rsidRPr="00DE096C" w:rsidRDefault="000343AB" w:rsidP="00D45A46">
            <w:pPr>
              <w:jc w:val="both"/>
              <w:rPr>
                <w:bCs/>
                <w:color w:val="002060"/>
                <w:sz w:val="16"/>
                <w:szCs w:val="16"/>
              </w:rPr>
            </w:pPr>
            <w:r w:rsidRPr="00DE096C">
              <w:rPr>
                <w:bCs/>
                <w:color w:val="002060"/>
                <w:sz w:val="16"/>
                <w:szCs w:val="16"/>
              </w:rPr>
              <w:t>1916</w:t>
            </w:r>
          </w:p>
        </w:tc>
        <w:tc>
          <w:tcPr>
            <w:tcW w:w="681" w:type="dxa"/>
          </w:tcPr>
          <w:p w14:paraId="67B11D0E" w14:textId="77777777" w:rsidR="000343AB" w:rsidRPr="00DE096C" w:rsidRDefault="000343AB" w:rsidP="00D45A46">
            <w:pPr>
              <w:jc w:val="both"/>
              <w:rPr>
                <w:bCs/>
                <w:color w:val="002060"/>
                <w:sz w:val="16"/>
                <w:szCs w:val="16"/>
              </w:rPr>
            </w:pPr>
            <w:r w:rsidRPr="00DE096C">
              <w:rPr>
                <w:bCs/>
                <w:color w:val="002060"/>
                <w:sz w:val="16"/>
                <w:szCs w:val="16"/>
              </w:rPr>
              <w:t>Итого</w:t>
            </w:r>
          </w:p>
        </w:tc>
        <w:tc>
          <w:tcPr>
            <w:tcW w:w="588" w:type="dxa"/>
          </w:tcPr>
          <w:p w14:paraId="10B488AA" w14:textId="77777777" w:rsidR="000343AB" w:rsidRPr="00DE096C" w:rsidRDefault="000343AB" w:rsidP="00D45A46">
            <w:pPr>
              <w:jc w:val="both"/>
              <w:rPr>
                <w:bCs/>
                <w:color w:val="002060"/>
                <w:sz w:val="16"/>
                <w:szCs w:val="16"/>
              </w:rPr>
            </w:pPr>
            <w:r w:rsidRPr="00DE096C">
              <w:rPr>
                <w:bCs/>
                <w:color w:val="002060"/>
                <w:sz w:val="16"/>
                <w:szCs w:val="16"/>
              </w:rPr>
              <w:t>1914</w:t>
            </w:r>
          </w:p>
        </w:tc>
        <w:tc>
          <w:tcPr>
            <w:tcW w:w="588" w:type="dxa"/>
          </w:tcPr>
          <w:p w14:paraId="78EBAEC8" w14:textId="77777777" w:rsidR="000343AB" w:rsidRPr="00DE096C" w:rsidRDefault="000343AB" w:rsidP="00D45A46">
            <w:pPr>
              <w:jc w:val="both"/>
              <w:rPr>
                <w:bCs/>
                <w:color w:val="002060"/>
                <w:sz w:val="16"/>
                <w:szCs w:val="16"/>
              </w:rPr>
            </w:pPr>
            <w:r w:rsidRPr="00DE096C">
              <w:rPr>
                <w:bCs/>
                <w:color w:val="002060"/>
                <w:sz w:val="16"/>
                <w:szCs w:val="16"/>
              </w:rPr>
              <w:t>1915</w:t>
            </w:r>
          </w:p>
        </w:tc>
        <w:tc>
          <w:tcPr>
            <w:tcW w:w="588" w:type="dxa"/>
          </w:tcPr>
          <w:p w14:paraId="049D245F" w14:textId="77777777" w:rsidR="000343AB" w:rsidRPr="00DE096C" w:rsidRDefault="000343AB" w:rsidP="00D45A46">
            <w:pPr>
              <w:jc w:val="both"/>
              <w:rPr>
                <w:bCs/>
                <w:color w:val="002060"/>
                <w:sz w:val="16"/>
                <w:szCs w:val="16"/>
              </w:rPr>
            </w:pPr>
            <w:r w:rsidRPr="00DE096C">
              <w:rPr>
                <w:bCs/>
                <w:color w:val="002060"/>
                <w:sz w:val="16"/>
                <w:szCs w:val="16"/>
              </w:rPr>
              <w:t>1916</w:t>
            </w:r>
          </w:p>
        </w:tc>
        <w:tc>
          <w:tcPr>
            <w:tcW w:w="600" w:type="dxa"/>
          </w:tcPr>
          <w:p w14:paraId="1B8911C7" w14:textId="77777777" w:rsidR="000343AB" w:rsidRPr="00DE096C" w:rsidRDefault="000343AB" w:rsidP="00D45A46">
            <w:pPr>
              <w:jc w:val="both"/>
              <w:rPr>
                <w:bCs/>
                <w:color w:val="002060"/>
                <w:sz w:val="16"/>
                <w:szCs w:val="16"/>
              </w:rPr>
            </w:pPr>
            <w:r w:rsidRPr="00DE096C">
              <w:rPr>
                <w:bCs/>
                <w:color w:val="002060"/>
                <w:sz w:val="16"/>
                <w:szCs w:val="16"/>
              </w:rPr>
              <w:t>Итого</w:t>
            </w:r>
          </w:p>
        </w:tc>
      </w:tr>
      <w:tr w:rsidR="000343AB" w:rsidRPr="00DE096C" w14:paraId="00DBB619" w14:textId="77777777" w:rsidTr="00D34AC1">
        <w:tc>
          <w:tcPr>
            <w:tcW w:w="2040" w:type="dxa"/>
          </w:tcPr>
          <w:p w14:paraId="49B99366" w14:textId="77777777" w:rsidR="000343AB" w:rsidRPr="00DE096C" w:rsidRDefault="000343AB" w:rsidP="00D45A46">
            <w:pPr>
              <w:jc w:val="both"/>
              <w:rPr>
                <w:bCs/>
                <w:color w:val="002060"/>
                <w:sz w:val="16"/>
                <w:szCs w:val="16"/>
              </w:rPr>
            </w:pPr>
            <w:r w:rsidRPr="00DE096C">
              <w:rPr>
                <w:bCs/>
                <w:color w:val="002060"/>
                <w:sz w:val="16"/>
                <w:szCs w:val="16"/>
              </w:rPr>
              <w:t>Орудия</w:t>
            </w:r>
          </w:p>
        </w:tc>
        <w:tc>
          <w:tcPr>
            <w:tcW w:w="588" w:type="dxa"/>
          </w:tcPr>
          <w:p w14:paraId="6F589CEC" w14:textId="77777777" w:rsidR="000343AB" w:rsidRPr="00DE096C" w:rsidRDefault="000343AB" w:rsidP="00D45A46">
            <w:pPr>
              <w:jc w:val="both"/>
              <w:rPr>
                <w:bCs/>
                <w:color w:val="002060"/>
                <w:sz w:val="16"/>
                <w:szCs w:val="16"/>
              </w:rPr>
            </w:pPr>
            <w:r w:rsidRPr="00DE096C">
              <w:rPr>
                <w:bCs/>
                <w:color w:val="002060"/>
                <w:sz w:val="16"/>
                <w:szCs w:val="16"/>
              </w:rPr>
              <w:t>—</w:t>
            </w:r>
          </w:p>
        </w:tc>
        <w:tc>
          <w:tcPr>
            <w:tcW w:w="588" w:type="dxa"/>
          </w:tcPr>
          <w:p w14:paraId="35890704" w14:textId="77777777" w:rsidR="000343AB" w:rsidRPr="00DE096C" w:rsidRDefault="000343AB" w:rsidP="00D45A46">
            <w:pPr>
              <w:jc w:val="both"/>
              <w:rPr>
                <w:bCs/>
                <w:color w:val="002060"/>
                <w:sz w:val="16"/>
                <w:szCs w:val="16"/>
              </w:rPr>
            </w:pPr>
            <w:r w:rsidRPr="00DE096C">
              <w:rPr>
                <w:bCs/>
                <w:color w:val="002060"/>
                <w:sz w:val="16"/>
                <w:szCs w:val="16"/>
              </w:rPr>
              <w:t>—</w:t>
            </w:r>
          </w:p>
        </w:tc>
        <w:tc>
          <w:tcPr>
            <w:tcW w:w="681" w:type="dxa"/>
          </w:tcPr>
          <w:p w14:paraId="64DEF2E7" w14:textId="77777777" w:rsidR="000343AB" w:rsidRPr="00DE096C" w:rsidRDefault="000343AB" w:rsidP="00D45A46">
            <w:pPr>
              <w:jc w:val="both"/>
              <w:rPr>
                <w:bCs/>
                <w:color w:val="002060"/>
                <w:sz w:val="16"/>
                <w:szCs w:val="16"/>
              </w:rPr>
            </w:pPr>
            <w:r w:rsidRPr="00DE096C">
              <w:rPr>
                <w:bCs/>
                <w:color w:val="002060"/>
                <w:sz w:val="16"/>
                <w:szCs w:val="16"/>
              </w:rPr>
              <w:t>—</w:t>
            </w:r>
          </w:p>
        </w:tc>
        <w:tc>
          <w:tcPr>
            <w:tcW w:w="681" w:type="dxa"/>
          </w:tcPr>
          <w:p w14:paraId="58196893" w14:textId="77777777" w:rsidR="000343AB" w:rsidRPr="00DE096C" w:rsidRDefault="000343AB" w:rsidP="00D45A46">
            <w:pPr>
              <w:jc w:val="both"/>
              <w:rPr>
                <w:bCs/>
                <w:color w:val="002060"/>
                <w:sz w:val="16"/>
                <w:szCs w:val="16"/>
              </w:rPr>
            </w:pPr>
            <w:r w:rsidRPr="00DE096C">
              <w:rPr>
                <w:bCs/>
                <w:color w:val="002060"/>
                <w:sz w:val="16"/>
                <w:szCs w:val="16"/>
              </w:rPr>
              <w:t>—</w:t>
            </w:r>
          </w:p>
        </w:tc>
        <w:tc>
          <w:tcPr>
            <w:tcW w:w="588" w:type="dxa"/>
          </w:tcPr>
          <w:p w14:paraId="61CDB561" w14:textId="77777777" w:rsidR="000343AB" w:rsidRPr="00DE096C" w:rsidRDefault="000343AB" w:rsidP="00D45A46">
            <w:pPr>
              <w:jc w:val="both"/>
              <w:rPr>
                <w:bCs/>
                <w:color w:val="002060"/>
                <w:sz w:val="16"/>
                <w:szCs w:val="16"/>
              </w:rPr>
            </w:pPr>
            <w:r w:rsidRPr="00DE096C">
              <w:rPr>
                <w:bCs/>
                <w:color w:val="002060"/>
                <w:sz w:val="16"/>
                <w:szCs w:val="16"/>
              </w:rPr>
              <w:t>—</w:t>
            </w:r>
          </w:p>
        </w:tc>
        <w:tc>
          <w:tcPr>
            <w:tcW w:w="588" w:type="dxa"/>
          </w:tcPr>
          <w:p w14:paraId="2BB42C3F" w14:textId="77777777" w:rsidR="000343AB" w:rsidRPr="00DE096C" w:rsidRDefault="000343AB" w:rsidP="00D45A46">
            <w:pPr>
              <w:jc w:val="both"/>
              <w:rPr>
                <w:bCs/>
                <w:color w:val="002060"/>
                <w:sz w:val="16"/>
                <w:szCs w:val="16"/>
              </w:rPr>
            </w:pPr>
            <w:r w:rsidRPr="00DE096C">
              <w:rPr>
                <w:bCs/>
                <w:color w:val="002060"/>
                <w:sz w:val="16"/>
                <w:szCs w:val="16"/>
              </w:rPr>
              <w:t>—</w:t>
            </w:r>
          </w:p>
        </w:tc>
        <w:tc>
          <w:tcPr>
            <w:tcW w:w="588" w:type="dxa"/>
          </w:tcPr>
          <w:p w14:paraId="3A1236D7" w14:textId="77777777" w:rsidR="000343AB" w:rsidRPr="00DE096C" w:rsidRDefault="000343AB" w:rsidP="00D45A46">
            <w:pPr>
              <w:jc w:val="both"/>
              <w:rPr>
                <w:bCs/>
                <w:color w:val="002060"/>
                <w:sz w:val="16"/>
                <w:szCs w:val="16"/>
              </w:rPr>
            </w:pPr>
            <w:r w:rsidRPr="00DE096C">
              <w:rPr>
                <w:bCs/>
                <w:color w:val="002060"/>
                <w:sz w:val="16"/>
                <w:szCs w:val="16"/>
              </w:rPr>
              <w:t>167</w:t>
            </w:r>
          </w:p>
        </w:tc>
        <w:tc>
          <w:tcPr>
            <w:tcW w:w="600" w:type="dxa"/>
          </w:tcPr>
          <w:p w14:paraId="67CEBAA8" w14:textId="77777777" w:rsidR="000343AB" w:rsidRPr="00DE096C" w:rsidRDefault="000343AB" w:rsidP="00D45A46">
            <w:pPr>
              <w:jc w:val="both"/>
              <w:rPr>
                <w:bCs/>
                <w:color w:val="002060"/>
                <w:sz w:val="16"/>
                <w:szCs w:val="16"/>
              </w:rPr>
            </w:pPr>
            <w:r w:rsidRPr="00DE096C">
              <w:rPr>
                <w:bCs/>
                <w:color w:val="002060"/>
                <w:sz w:val="16"/>
                <w:szCs w:val="16"/>
              </w:rPr>
              <w:t>167</w:t>
            </w:r>
          </w:p>
        </w:tc>
      </w:tr>
      <w:tr w:rsidR="000343AB" w:rsidRPr="00DE096C" w14:paraId="748B94D8" w14:textId="77777777" w:rsidTr="00D34AC1">
        <w:tc>
          <w:tcPr>
            <w:tcW w:w="2040" w:type="dxa"/>
          </w:tcPr>
          <w:p w14:paraId="07E58240" w14:textId="77777777" w:rsidR="000343AB" w:rsidRPr="00DE096C" w:rsidRDefault="000343AB" w:rsidP="00D45A46">
            <w:pPr>
              <w:jc w:val="both"/>
              <w:rPr>
                <w:bCs/>
                <w:color w:val="002060"/>
                <w:sz w:val="16"/>
                <w:szCs w:val="16"/>
              </w:rPr>
            </w:pPr>
            <w:r w:rsidRPr="00DE096C">
              <w:rPr>
                <w:bCs/>
                <w:color w:val="002060"/>
                <w:sz w:val="16"/>
                <w:szCs w:val="16"/>
              </w:rPr>
              <w:t>Лафеты</w:t>
            </w:r>
          </w:p>
        </w:tc>
        <w:tc>
          <w:tcPr>
            <w:tcW w:w="588" w:type="dxa"/>
          </w:tcPr>
          <w:p w14:paraId="0AC28854" w14:textId="77777777" w:rsidR="000343AB" w:rsidRPr="00DE096C" w:rsidRDefault="000343AB" w:rsidP="00D45A46">
            <w:pPr>
              <w:jc w:val="both"/>
              <w:rPr>
                <w:bCs/>
                <w:color w:val="002060"/>
                <w:sz w:val="16"/>
                <w:szCs w:val="16"/>
              </w:rPr>
            </w:pPr>
            <w:r w:rsidRPr="00DE096C">
              <w:rPr>
                <w:bCs/>
                <w:color w:val="002060"/>
                <w:sz w:val="16"/>
                <w:szCs w:val="16"/>
              </w:rPr>
              <w:t>98</w:t>
            </w:r>
          </w:p>
        </w:tc>
        <w:tc>
          <w:tcPr>
            <w:tcW w:w="588" w:type="dxa"/>
          </w:tcPr>
          <w:p w14:paraId="63F4AA89" w14:textId="77777777" w:rsidR="000343AB" w:rsidRPr="00DE096C" w:rsidRDefault="000343AB" w:rsidP="00D45A46">
            <w:pPr>
              <w:jc w:val="both"/>
              <w:rPr>
                <w:bCs/>
                <w:color w:val="002060"/>
                <w:sz w:val="16"/>
                <w:szCs w:val="16"/>
              </w:rPr>
            </w:pPr>
            <w:r w:rsidRPr="00DE096C">
              <w:rPr>
                <w:bCs/>
                <w:color w:val="002060"/>
                <w:sz w:val="16"/>
                <w:szCs w:val="16"/>
              </w:rPr>
              <w:t>114</w:t>
            </w:r>
          </w:p>
        </w:tc>
        <w:tc>
          <w:tcPr>
            <w:tcW w:w="681" w:type="dxa"/>
          </w:tcPr>
          <w:p w14:paraId="3C3F2BD0" w14:textId="77777777" w:rsidR="000343AB" w:rsidRPr="00DE096C" w:rsidRDefault="000343AB" w:rsidP="00D45A46">
            <w:pPr>
              <w:jc w:val="both"/>
              <w:rPr>
                <w:bCs/>
                <w:color w:val="002060"/>
                <w:sz w:val="16"/>
                <w:szCs w:val="16"/>
              </w:rPr>
            </w:pPr>
            <w:r w:rsidRPr="00DE096C">
              <w:rPr>
                <w:bCs/>
                <w:color w:val="002060"/>
                <w:sz w:val="16"/>
                <w:szCs w:val="16"/>
              </w:rPr>
              <w:t>107</w:t>
            </w:r>
          </w:p>
        </w:tc>
        <w:tc>
          <w:tcPr>
            <w:tcW w:w="681" w:type="dxa"/>
          </w:tcPr>
          <w:p w14:paraId="5E80AB38" w14:textId="77777777" w:rsidR="000343AB" w:rsidRPr="00DE096C" w:rsidRDefault="000343AB" w:rsidP="00D45A46">
            <w:pPr>
              <w:jc w:val="both"/>
              <w:rPr>
                <w:bCs/>
                <w:color w:val="002060"/>
                <w:sz w:val="16"/>
                <w:szCs w:val="16"/>
              </w:rPr>
            </w:pPr>
            <w:r w:rsidRPr="00DE096C">
              <w:rPr>
                <w:bCs/>
                <w:color w:val="002060"/>
                <w:sz w:val="16"/>
                <w:szCs w:val="16"/>
              </w:rPr>
              <w:t>319</w:t>
            </w:r>
          </w:p>
        </w:tc>
        <w:tc>
          <w:tcPr>
            <w:tcW w:w="588" w:type="dxa"/>
          </w:tcPr>
          <w:p w14:paraId="09356953" w14:textId="77777777" w:rsidR="000343AB" w:rsidRPr="00DE096C" w:rsidRDefault="000343AB" w:rsidP="00D45A46">
            <w:pPr>
              <w:jc w:val="both"/>
              <w:rPr>
                <w:bCs/>
                <w:color w:val="002060"/>
                <w:sz w:val="16"/>
                <w:szCs w:val="16"/>
              </w:rPr>
            </w:pPr>
            <w:r w:rsidRPr="00DE096C">
              <w:rPr>
                <w:bCs/>
                <w:color w:val="002060"/>
                <w:sz w:val="16"/>
                <w:szCs w:val="16"/>
              </w:rPr>
              <w:t>258</w:t>
            </w:r>
          </w:p>
        </w:tc>
        <w:tc>
          <w:tcPr>
            <w:tcW w:w="588" w:type="dxa"/>
          </w:tcPr>
          <w:p w14:paraId="611650CB" w14:textId="77777777" w:rsidR="000343AB" w:rsidRPr="00DE096C" w:rsidRDefault="000343AB" w:rsidP="00D45A46">
            <w:pPr>
              <w:jc w:val="both"/>
              <w:rPr>
                <w:bCs/>
                <w:color w:val="002060"/>
                <w:sz w:val="16"/>
                <w:szCs w:val="16"/>
              </w:rPr>
            </w:pPr>
            <w:r w:rsidRPr="00DE096C">
              <w:rPr>
                <w:bCs/>
                <w:color w:val="002060"/>
                <w:sz w:val="16"/>
                <w:szCs w:val="16"/>
              </w:rPr>
              <w:t>449</w:t>
            </w:r>
          </w:p>
        </w:tc>
        <w:tc>
          <w:tcPr>
            <w:tcW w:w="588" w:type="dxa"/>
          </w:tcPr>
          <w:p w14:paraId="30266C11" w14:textId="77777777" w:rsidR="000343AB" w:rsidRPr="00DE096C" w:rsidRDefault="000343AB" w:rsidP="00D45A46">
            <w:pPr>
              <w:jc w:val="both"/>
              <w:rPr>
                <w:bCs/>
                <w:color w:val="002060"/>
                <w:sz w:val="16"/>
                <w:szCs w:val="16"/>
              </w:rPr>
            </w:pPr>
            <w:r w:rsidRPr="00DE096C">
              <w:rPr>
                <w:bCs/>
                <w:color w:val="002060"/>
                <w:sz w:val="16"/>
                <w:szCs w:val="16"/>
              </w:rPr>
              <w:t>1540</w:t>
            </w:r>
          </w:p>
        </w:tc>
        <w:tc>
          <w:tcPr>
            <w:tcW w:w="600" w:type="dxa"/>
          </w:tcPr>
          <w:p w14:paraId="4D0C865E" w14:textId="77777777" w:rsidR="000343AB" w:rsidRPr="00DE096C" w:rsidRDefault="000343AB" w:rsidP="00D45A46">
            <w:pPr>
              <w:jc w:val="both"/>
              <w:rPr>
                <w:bCs/>
                <w:color w:val="002060"/>
                <w:sz w:val="16"/>
                <w:szCs w:val="16"/>
              </w:rPr>
            </w:pPr>
            <w:r w:rsidRPr="00DE096C">
              <w:rPr>
                <w:bCs/>
                <w:color w:val="002060"/>
                <w:sz w:val="16"/>
                <w:szCs w:val="16"/>
              </w:rPr>
              <w:t>2.247</w:t>
            </w:r>
          </w:p>
        </w:tc>
      </w:tr>
      <w:tr w:rsidR="000343AB" w:rsidRPr="00DE096C" w14:paraId="2B9DD3DC" w14:textId="77777777" w:rsidTr="00D34AC1">
        <w:tc>
          <w:tcPr>
            <w:tcW w:w="2040" w:type="dxa"/>
          </w:tcPr>
          <w:p w14:paraId="29DA145D" w14:textId="77777777" w:rsidR="000343AB" w:rsidRPr="00DE096C" w:rsidRDefault="000343AB" w:rsidP="00D45A46">
            <w:pPr>
              <w:jc w:val="both"/>
              <w:rPr>
                <w:bCs/>
                <w:color w:val="002060"/>
                <w:sz w:val="16"/>
                <w:szCs w:val="16"/>
              </w:rPr>
            </w:pPr>
            <w:r w:rsidRPr="00DE096C">
              <w:rPr>
                <w:bCs/>
                <w:color w:val="002060"/>
                <w:sz w:val="16"/>
                <w:szCs w:val="16"/>
              </w:rPr>
              <w:t>Передки</w:t>
            </w:r>
          </w:p>
        </w:tc>
        <w:tc>
          <w:tcPr>
            <w:tcW w:w="588" w:type="dxa"/>
          </w:tcPr>
          <w:p w14:paraId="2E4BEADC" w14:textId="77777777" w:rsidR="000343AB" w:rsidRPr="00DE096C" w:rsidRDefault="000343AB" w:rsidP="00D45A46">
            <w:pPr>
              <w:jc w:val="both"/>
              <w:rPr>
                <w:bCs/>
                <w:color w:val="002060"/>
                <w:sz w:val="16"/>
                <w:szCs w:val="16"/>
              </w:rPr>
            </w:pPr>
            <w:r w:rsidRPr="00DE096C">
              <w:rPr>
                <w:bCs/>
                <w:color w:val="002060"/>
                <w:sz w:val="16"/>
                <w:szCs w:val="16"/>
              </w:rPr>
              <w:t>46</w:t>
            </w:r>
          </w:p>
        </w:tc>
        <w:tc>
          <w:tcPr>
            <w:tcW w:w="588" w:type="dxa"/>
          </w:tcPr>
          <w:p w14:paraId="317DC0CE" w14:textId="77777777" w:rsidR="000343AB" w:rsidRPr="00DE096C" w:rsidRDefault="000343AB" w:rsidP="00D45A46">
            <w:pPr>
              <w:jc w:val="both"/>
              <w:rPr>
                <w:bCs/>
                <w:color w:val="002060"/>
                <w:sz w:val="16"/>
                <w:szCs w:val="16"/>
              </w:rPr>
            </w:pPr>
            <w:r w:rsidRPr="00DE096C">
              <w:rPr>
                <w:bCs/>
                <w:color w:val="002060"/>
                <w:sz w:val="16"/>
                <w:szCs w:val="16"/>
              </w:rPr>
              <w:t>55</w:t>
            </w:r>
          </w:p>
        </w:tc>
        <w:tc>
          <w:tcPr>
            <w:tcW w:w="681" w:type="dxa"/>
          </w:tcPr>
          <w:p w14:paraId="405A723B" w14:textId="77777777" w:rsidR="000343AB" w:rsidRPr="00DE096C" w:rsidRDefault="000343AB" w:rsidP="00D45A46">
            <w:pPr>
              <w:jc w:val="both"/>
              <w:rPr>
                <w:bCs/>
                <w:color w:val="002060"/>
                <w:sz w:val="16"/>
                <w:szCs w:val="16"/>
              </w:rPr>
            </w:pPr>
            <w:r w:rsidRPr="00DE096C">
              <w:rPr>
                <w:bCs/>
                <w:color w:val="002060"/>
                <w:sz w:val="16"/>
                <w:szCs w:val="16"/>
              </w:rPr>
              <w:t>88</w:t>
            </w:r>
          </w:p>
        </w:tc>
        <w:tc>
          <w:tcPr>
            <w:tcW w:w="681" w:type="dxa"/>
          </w:tcPr>
          <w:p w14:paraId="68DD21A4" w14:textId="77777777" w:rsidR="000343AB" w:rsidRPr="00DE096C" w:rsidRDefault="000343AB" w:rsidP="00D45A46">
            <w:pPr>
              <w:jc w:val="both"/>
              <w:rPr>
                <w:bCs/>
                <w:color w:val="002060"/>
                <w:sz w:val="16"/>
                <w:szCs w:val="16"/>
              </w:rPr>
            </w:pPr>
            <w:r w:rsidRPr="00DE096C">
              <w:rPr>
                <w:bCs/>
                <w:color w:val="002060"/>
                <w:sz w:val="16"/>
                <w:szCs w:val="16"/>
              </w:rPr>
              <w:t>189</w:t>
            </w:r>
          </w:p>
        </w:tc>
        <w:tc>
          <w:tcPr>
            <w:tcW w:w="588" w:type="dxa"/>
          </w:tcPr>
          <w:p w14:paraId="0660731D" w14:textId="77777777" w:rsidR="000343AB" w:rsidRPr="00DE096C" w:rsidRDefault="000343AB" w:rsidP="00D45A46">
            <w:pPr>
              <w:jc w:val="both"/>
              <w:rPr>
                <w:bCs/>
                <w:color w:val="002060"/>
                <w:sz w:val="16"/>
                <w:szCs w:val="16"/>
              </w:rPr>
            </w:pPr>
            <w:r w:rsidRPr="00DE096C">
              <w:rPr>
                <w:bCs/>
                <w:color w:val="002060"/>
                <w:sz w:val="16"/>
                <w:szCs w:val="16"/>
              </w:rPr>
              <w:t>161</w:t>
            </w:r>
          </w:p>
        </w:tc>
        <w:tc>
          <w:tcPr>
            <w:tcW w:w="588" w:type="dxa"/>
          </w:tcPr>
          <w:p w14:paraId="3D2CCD8B" w14:textId="77777777" w:rsidR="000343AB" w:rsidRPr="00DE096C" w:rsidRDefault="000343AB" w:rsidP="00D45A46">
            <w:pPr>
              <w:jc w:val="both"/>
              <w:rPr>
                <w:bCs/>
                <w:color w:val="002060"/>
                <w:sz w:val="16"/>
                <w:szCs w:val="16"/>
              </w:rPr>
            </w:pPr>
            <w:r w:rsidRPr="00DE096C">
              <w:rPr>
                <w:bCs/>
                <w:color w:val="002060"/>
                <w:sz w:val="16"/>
                <w:szCs w:val="16"/>
              </w:rPr>
              <w:t>228</w:t>
            </w:r>
          </w:p>
        </w:tc>
        <w:tc>
          <w:tcPr>
            <w:tcW w:w="588" w:type="dxa"/>
          </w:tcPr>
          <w:p w14:paraId="7AD61533" w14:textId="77777777" w:rsidR="000343AB" w:rsidRPr="00DE096C" w:rsidRDefault="000343AB" w:rsidP="00D45A46">
            <w:pPr>
              <w:jc w:val="both"/>
              <w:rPr>
                <w:bCs/>
                <w:color w:val="002060"/>
                <w:sz w:val="16"/>
                <w:szCs w:val="16"/>
              </w:rPr>
            </w:pPr>
            <w:r w:rsidRPr="00DE096C">
              <w:rPr>
                <w:bCs/>
                <w:color w:val="002060"/>
                <w:sz w:val="16"/>
                <w:szCs w:val="16"/>
              </w:rPr>
              <w:t>80</w:t>
            </w:r>
          </w:p>
        </w:tc>
        <w:tc>
          <w:tcPr>
            <w:tcW w:w="600" w:type="dxa"/>
          </w:tcPr>
          <w:p w14:paraId="01F83F37" w14:textId="77777777" w:rsidR="000343AB" w:rsidRPr="00DE096C" w:rsidRDefault="000343AB" w:rsidP="00D45A46">
            <w:pPr>
              <w:jc w:val="both"/>
              <w:rPr>
                <w:bCs/>
                <w:color w:val="002060"/>
                <w:sz w:val="16"/>
                <w:szCs w:val="16"/>
              </w:rPr>
            </w:pPr>
            <w:r w:rsidRPr="00DE096C">
              <w:rPr>
                <w:bCs/>
                <w:color w:val="002060"/>
                <w:sz w:val="16"/>
                <w:szCs w:val="16"/>
              </w:rPr>
              <w:t>469</w:t>
            </w:r>
          </w:p>
        </w:tc>
      </w:tr>
      <w:tr w:rsidR="000343AB" w:rsidRPr="00DE096C" w14:paraId="2162ED41" w14:textId="77777777" w:rsidTr="00D34AC1">
        <w:tc>
          <w:tcPr>
            <w:tcW w:w="2040" w:type="dxa"/>
          </w:tcPr>
          <w:p w14:paraId="60D55F36" w14:textId="77777777" w:rsidR="000343AB" w:rsidRPr="00DE096C" w:rsidRDefault="000343AB" w:rsidP="00D45A46">
            <w:pPr>
              <w:jc w:val="both"/>
              <w:rPr>
                <w:bCs/>
                <w:color w:val="002060"/>
                <w:sz w:val="16"/>
                <w:szCs w:val="16"/>
              </w:rPr>
            </w:pPr>
            <w:r w:rsidRPr="00DE096C">
              <w:rPr>
                <w:bCs/>
                <w:color w:val="002060"/>
                <w:sz w:val="16"/>
                <w:szCs w:val="16"/>
              </w:rPr>
              <w:t>Зарядные ящики</w:t>
            </w:r>
          </w:p>
        </w:tc>
        <w:tc>
          <w:tcPr>
            <w:tcW w:w="588" w:type="dxa"/>
          </w:tcPr>
          <w:p w14:paraId="74B2859D" w14:textId="77777777" w:rsidR="000343AB" w:rsidRPr="00DE096C" w:rsidRDefault="000343AB" w:rsidP="00D45A46">
            <w:pPr>
              <w:jc w:val="both"/>
              <w:rPr>
                <w:bCs/>
                <w:color w:val="002060"/>
                <w:sz w:val="16"/>
                <w:szCs w:val="16"/>
              </w:rPr>
            </w:pPr>
            <w:r w:rsidRPr="00DE096C">
              <w:rPr>
                <w:bCs/>
                <w:color w:val="002060"/>
                <w:sz w:val="16"/>
                <w:szCs w:val="16"/>
              </w:rPr>
              <w:t>885</w:t>
            </w:r>
          </w:p>
        </w:tc>
        <w:tc>
          <w:tcPr>
            <w:tcW w:w="588" w:type="dxa"/>
          </w:tcPr>
          <w:p w14:paraId="7FBCC08E" w14:textId="77777777" w:rsidR="000343AB" w:rsidRPr="00DE096C" w:rsidRDefault="000343AB" w:rsidP="00D45A46">
            <w:pPr>
              <w:jc w:val="both"/>
              <w:rPr>
                <w:bCs/>
                <w:color w:val="002060"/>
                <w:sz w:val="16"/>
                <w:szCs w:val="16"/>
              </w:rPr>
            </w:pPr>
            <w:r w:rsidRPr="00DE096C">
              <w:rPr>
                <w:bCs/>
                <w:color w:val="002060"/>
                <w:sz w:val="16"/>
                <w:szCs w:val="16"/>
              </w:rPr>
              <w:t>772</w:t>
            </w:r>
          </w:p>
        </w:tc>
        <w:tc>
          <w:tcPr>
            <w:tcW w:w="681" w:type="dxa"/>
          </w:tcPr>
          <w:p w14:paraId="073416C7" w14:textId="77777777" w:rsidR="000343AB" w:rsidRPr="00DE096C" w:rsidRDefault="000343AB" w:rsidP="00D45A46">
            <w:pPr>
              <w:jc w:val="both"/>
              <w:rPr>
                <w:bCs/>
                <w:color w:val="002060"/>
                <w:sz w:val="16"/>
                <w:szCs w:val="16"/>
              </w:rPr>
            </w:pPr>
            <w:r w:rsidRPr="00DE096C">
              <w:rPr>
                <w:bCs/>
                <w:color w:val="002060"/>
                <w:sz w:val="16"/>
                <w:szCs w:val="16"/>
              </w:rPr>
              <w:t>1.398</w:t>
            </w:r>
          </w:p>
        </w:tc>
        <w:tc>
          <w:tcPr>
            <w:tcW w:w="681" w:type="dxa"/>
          </w:tcPr>
          <w:p w14:paraId="745A8843" w14:textId="77777777" w:rsidR="000343AB" w:rsidRPr="00DE096C" w:rsidRDefault="000343AB" w:rsidP="00D45A46">
            <w:pPr>
              <w:jc w:val="both"/>
              <w:rPr>
                <w:bCs/>
                <w:color w:val="002060"/>
                <w:sz w:val="16"/>
                <w:szCs w:val="16"/>
              </w:rPr>
            </w:pPr>
            <w:r w:rsidRPr="00DE096C">
              <w:rPr>
                <w:bCs/>
                <w:color w:val="002060"/>
                <w:sz w:val="16"/>
                <w:szCs w:val="16"/>
              </w:rPr>
              <w:t>3.055</w:t>
            </w:r>
          </w:p>
        </w:tc>
        <w:tc>
          <w:tcPr>
            <w:tcW w:w="588" w:type="dxa"/>
          </w:tcPr>
          <w:p w14:paraId="502A667A" w14:textId="77777777" w:rsidR="000343AB" w:rsidRPr="00DE096C" w:rsidRDefault="000343AB" w:rsidP="00D45A46">
            <w:pPr>
              <w:jc w:val="both"/>
              <w:rPr>
                <w:bCs/>
                <w:color w:val="002060"/>
                <w:sz w:val="16"/>
                <w:szCs w:val="16"/>
              </w:rPr>
            </w:pPr>
            <w:r w:rsidRPr="00DE096C">
              <w:rPr>
                <w:bCs/>
                <w:color w:val="002060"/>
                <w:sz w:val="16"/>
                <w:szCs w:val="16"/>
              </w:rPr>
              <w:t>107</w:t>
            </w:r>
          </w:p>
        </w:tc>
        <w:tc>
          <w:tcPr>
            <w:tcW w:w="588" w:type="dxa"/>
          </w:tcPr>
          <w:p w14:paraId="05AA4525" w14:textId="77777777" w:rsidR="000343AB" w:rsidRPr="00DE096C" w:rsidRDefault="000343AB" w:rsidP="00D45A46">
            <w:pPr>
              <w:jc w:val="both"/>
              <w:rPr>
                <w:bCs/>
                <w:color w:val="002060"/>
                <w:sz w:val="16"/>
                <w:szCs w:val="16"/>
              </w:rPr>
            </w:pPr>
            <w:r w:rsidRPr="00DE096C">
              <w:rPr>
                <w:bCs/>
                <w:color w:val="002060"/>
                <w:sz w:val="16"/>
                <w:szCs w:val="16"/>
              </w:rPr>
              <w:t>529</w:t>
            </w:r>
          </w:p>
        </w:tc>
        <w:tc>
          <w:tcPr>
            <w:tcW w:w="588" w:type="dxa"/>
          </w:tcPr>
          <w:p w14:paraId="702B425A" w14:textId="77777777" w:rsidR="000343AB" w:rsidRPr="00DE096C" w:rsidRDefault="000343AB" w:rsidP="00D45A46">
            <w:pPr>
              <w:jc w:val="both"/>
              <w:rPr>
                <w:bCs/>
                <w:color w:val="002060"/>
                <w:sz w:val="16"/>
                <w:szCs w:val="16"/>
              </w:rPr>
            </w:pPr>
            <w:r w:rsidRPr="00DE096C">
              <w:rPr>
                <w:bCs/>
                <w:color w:val="002060"/>
                <w:sz w:val="16"/>
                <w:szCs w:val="16"/>
              </w:rPr>
              <w:t>91</w:t>
            </w:r>
          </w:p>
        </w:tc>
        <w:tc>
          <w:tcPr>
            <w:tcW w:w="600" w:type="dxa"/>
          </w:tcPr>
          <w:p w14:paraId="469D7373" w14:textId="77777777" w:rsidR="000343AB" w:rsidRPr="00DE096C" w:rsidRDefault="000343AB" w:rsidP="00D45A46">
            <w:pPr>
              <w:jc w:val="both"/>
              <w:rPr>
                <w:bCs/>
                <w:color w:val="002060"/>
                <w:sz w:val="16"/>
                <w:szCs w:val="16"/>
              </w:rPr>
            </w:pPr>
            <w:r w:rsidRPr="00DE096C">
              <w:rPr>
                <w:bCs/>
                <w:color w:val="002060"/>
                <w:sz w:val="16"/>
                <w:szCs w:val="16"/>
              </w:rPr>
              <w:t>727</w:t>
            </w:r>
          </w:p>
        </w:tc>
      </w:tr>
      <w:tr w:rsidR="000343AB" w:rsidRPr="00DE096C" w14:paraId="1F009DEE" w14:textId="77777777" w:rsidTr="00D34AC1">
        <w:tc>
          <w:tcPr>
            <w:tcW w:w="2040" w:type="dxa"/>
          </w:tcPr>
          <w:p w14:paraId="6B348E5C" w14:textId="77777777" w:rsidR="000343AB" w:rsidRPr="00DE096C" w:rsidRDefault="000343AB" w:rsidP="00D45A46">
            <w:pPr>
              <w:jc w:val="both"/>
              <w:rPr>
                <w:bCs/>
                <w:color w:val="002060"/>
                <w:sz w:val="16"/>
                <w:szCs w:val="16"/>
              </w:rPr>
            </w:pPr>
            <w:r w:rsidRPr="00DE096C">
              <w:rPr>
                <w:bCs/>
                <w:color w:val="002060"/>
                <w:sz w:val="16"/>
                <w:szCs w:val="16"/>
              </w:rPr>
              <w:t>Двуколки</w:t>
            </w:r>
          </w:p>
        </w:tc>
        <w:tc>
          <w:tcPr>
            <w:tcW w:w="588" w:type="dxa"/>
          </w:tcPr>
          <w:p w14:paraId="5A463EA8" w14:textId="77777777" w:rsidR="000343AB" w:rsidRPr="00DE096C" w:rsidRDefault="000343AB" w:rsidP="00D45A46">
            <w:pPr>
              <w:jc w:val="both"/>
              <w:rPr>
                <w:bCs/>
                <w:color w:val="002060"/>
                <w:sz w:val="16"/>
                <w:szCs w:val="16"/>
              </w:rPr>
            </w:pPr>
            <w:r w:rsidRPr="00DE096C">
              <w:rPr>
                <w:bCs/>
                <w:color w:val="002060"/>
                <w:sz w:val="16"/>
                <w:szCs w:val="16"/>
              </w:rPr>
              <w:t>315</w:t>
            </w:r>
          </w:p>
        </w:tc>
        <w:tc>
          <w:tcPr>
            <w:tcW w:w="588" w:type="dxa"/>
          </w:tcPr>
          <w:p w14:paraId="53DE87C6" w14:textId="77777777" w:rsidR="000343AB" w:rsidRPr="00DE096C" w:rsidRDefault="000343AB" w:rsidP="00D45A46">
            <w:pPr>
              <w:jc w:val="both"/>
              <w:rPr>
                <w:bCs/>
                <w:color w:val="002060"/>
                <w:sz w:val="16"/>
                <w:szCs w:val="16"/>
              </w:rPr>
            </w:pPr>
            <w:r w:rsidRPr="00DE096C">
              <w:rPr>
                <w:bCs/>
                <w:color w:val="002060"/>
                <w:sz w:val="16"/>
                <w:szCs w:val="16"/>
              </w:rPr>
              <w:t>194</w:t>
            </w:r>
          </w:p>
        </w:tc>
        <w:tc>
          <w:tcPr>
            <w:tcW w:w="681" w:type="dxa"/>
          </w:tcPr>
          <w:p w14:paraId="1B0BA17B" w14:textId="77777777" w:rsidR="000343AB" w:rsidRPr="00DE096C" w:rsidRDefault="000343AB" w:rsidP="00D45A46">
            <w:pPr>
              <w:jc w:val="both"/>
              <w:rPr>
                <w:bCs/>
                <w:color w:val="002060"/>
                <w:sz w:val="16"/>
                <w:szCs w:val="16"/>
              </w:rPr>
            </w:pPr>
            <w:r w:rsidRPr="00DE096C">
              <w:rPr>
                <w:bCs/>
                <w:color w:val="002060"/>
                <w:sz w:val="16"/>
                <w:szCs w:val="16"/>
              </w:rPr>
              <w:t>576</w:t>
            </w:r>
          </w:p>
        </w:tc>
        <w:tc>
          <w:tcPr>
            <w:tcW w:w="681" w:type="dxa"/>
          </w:tcPr>
          <w:p w14:paraId="283EAA66" w14:textId="77777777" w:rsidR="000343AB" w:rsidRPr="00DE096C" w:rsidRDefault="000343AB" w:rsidP="00D45A46">
            <w:pPr>
              <w:jc w:val="both"/>
              <w:rPr>
                <w:bCs/>
                <w:color w:val="002060"/>
                <w:sz w:val="16"/>
                <w:szCs w:val="16"/>
              </w:rPr>
            </w:pPr>
            <w:r w:rsidRPr="00DE096C">
              <w:rPr>
                <w:bCs/>
                <w:color w:val="002060"/>
                <w:sz w:val="16"/>
                <w:szCs w:val="16"/>
              </w:rPr>
              <w:t>1.085</w:t>
            </w:r>
          </w:p>
        </w:tc>
        <w:tc>
          <w:tcPr>
            <w:tcW w:w="588" w:type="dxa"/>
          </w:tcPr>
          <w:p w14:paraId="071BE62C" w14:textId="77777777" w:rsidR="000343AB" w:rsidRPr="00DE096C" w:rsidRDefault="000343AB" w:rsidP="00D45A46">
            <w:pPr>
              <w:jc w:val="both"/>
              <w:rPr>
                <w:bCs/>
                <w:color w:val="002060"/>
                <w:sz w:val="16"/>
                <w:szCs w:val="16"/>
              </w:rPr>
            </w:pPr>
            <w:r w:rsidRPr="00DE096C">
              <w:rPr>
                <w:bCs/>
                <w:color w:val="002060"/>
                <w:sz w:val="16"/>
                <w:szCs w:val="16"/>
              </w:rPr>
              <w:t>16</w:t>
            </w:r>
          </w:p>
        </w:tc>
        <w:tc>
          <w:tcPr>
            <w:tcW w:w="588" w:type="dxa"/>
          </w:tcPr>
          <w:p w14:paraId="5459D4AA" w14:textId="77777777" w:rsidR="000343AB" w:rsidRPr="00DE096C" w:rsidRDefault="000343AB" w:rsidP="00D45A46">
            <w:pPr>
              <w:jc w:val="both"/>
              <w:rPr>
                <w:bCs/>
                <w:color w:val="002060"/>
                <w:sz w:val="16"/>
                <w:szCs w:val="16"/>
              </w:rPr>
            </w:pPr>
            <w:r w:rsidRPr="00DE096C">
              <w:rPr>
                <w:bCs/>
                <w:color w:val="002060"/>
                <w:sz w:val="16"/>
                <w:szCs w:val="16"/>
              </w:rPr>
              <w:t>18</w:t>
            </w:r>
          </w:p>
        </w:tc>
        <w:tc>
          <w:tcPr>
            <w:tcW w:w="588" w:type="dxa"/>
          </w:tcPr>
          <w:p w14:paraId="15405DD2" w14:textId="77777777" w:rsidR="000343AB" w:rsidRPr="00DE096C" w:rsidRDefault="000343AB" w:rsidP="00D45A46">
            <w:pPr>
              <w:jc w:val="both"/>
              <w:rPr>
                <w:bCs/>
                <w:color w:val="002060"/>
                <w:sz w:val="16"/>
                <w:szCs w:val="16"/>
              </w:rPr>
            </w:pPr>
            <w:r w:rsidRPr="00DE096C">
              <w:rPr>
                <w:bCs/>
                <w:color w:val="002060"/>
                <w:sz w:val="16"/>
                <w:szCs w:val="16"/>
              </w:rPr>
              <w:t>31</w:t>
            </w:r>
          </w:p>
        </w:tc>
        <w:tc>
          <w:tcPr>
            <w:tcW w:w="600" w:type="dxa"/>
          </w:tcPr>
          <w:p w14:paraId="615BEF85" w14:textId="77777777" w:rsidR="000343AB" w:rsidRPr="00DE096C" w:rsidRDefault="000343AB" w:rsidP="00D45A46">
            <w:pPr>
              <w:jc w:val="both"/>
              <w:rPr>
                <w:bCs/>
                <w:color w:val="002060"/>
                <w:sz w:val="16"/>
                <w:szCs w:val="16"/>
              </w:rPr>
            </w:pPr>
            <w:r w:rsidRPr="00DE096C">
              <w:rPr>
                <w:bCs/>
                <w:color w:val="002060"/>
                <w:sz w:val="16"/>
                <w:szCs w:val="16"/>
              </w:rPr>
              <w:t>65</w:t>
            </w:r>
          </w:p>
        </w:tc>
      </w:tr>
      <w:tr w:rsidR="000343AB" w:rsidRPr="00DE096C" w14:paraId="0DBE6715" w14:textId="77777777" w:rsidTr="00D34AC1">
        <w:tc>
          <w:tcPr>
            <w:tcW w:w="2040" w:type="dxa"/>
          </w:tcPr>
          <w:p w14:paraId="75B77A6A" w14:textId="77777777" w:rsidR="000343AB" w:rsidRPr="00DE096C" w:rsidRDefault="000343AB" w:rsidP="00D45A46">
            <w:pPr>
              <w:jc w:val="both"/>
              <w:rPr>
                <w:bCs/>
                <w:color w:val="002060"/>
                <w:sz w:val="16"/>
                <w:szCs w:val="16"/>
              </w:rPr>
            </w:pPr>
            <w:r w:rsidRPr="00DE096C">
              <w:rPr>
                <w:bCs/>
                <w:color w:val="002060"/>
                <w:sz w:val="16"/>
                <w:szCs w:val="16"/>
              </w:rPr>
              <w:t>Повозки</w:t>
            </w:r>
          </w:p>
        </w:tc>
        <w:tc>
          <w:tcPr>
            <w:tcW w:w="588" w:type="dxa"/>
          </w:tcPr>
          <w:p w14:paraId="1AE0353D" w14:textId="77777777" w:rsidR="000343AB" w:rsidRPr="00DE096C" w:rsidRDefault="000343AB" w:rsidP="00D45A46">
            <w:pPr>
              <w:jc w:val="both"/>
              <w:rPr>
                <w:bCs/>
                <w:color w:val="002060"/>
                <w:sz w:val="16"/>
                <w:szCs w:val="16"/>
              </w:rPr>
            </w:pPr>
            <w:r w:rsidRPr="00DE096C">
              <w:rPr>
                <w:bCs/>
                <w:color w:val="002060"/>
                <w:sz w:val="16"/>
                <w:szCs w:val="16"/>
              </w:rPr>
              <w:t>123</w:t>
            </w:r>
          </w:p>
        </w:tc>
        <w:tc>
          <w:tcPr>
            <w:tcW w:w="588" w:type="dxa"/>
          </w:tcPr>
          <w:p w14:paraId="26671B09" w14:textId="77777777" w:rsidR="000343AB" w:rsidRPr="00DE096C" w:rsidRDefault="000343AB" w:rsidP="00D45A46">
            <w:pPr>
              <w:jc w:val="both"/>
              <w:rPr>
                <w:bCs/>
                <w:color w:val="002060"/>
                <w:sz w:val="16"/>
                <w:szCs w:val="16"/>
              </w:rPr>
            </w:pPr>
            <w:r w:rsidRPr="00DE096C">
              <w:rPr>
                <w:bCs/>
                <w:color w:val="002060"/>
                <w:sz w:val="16"/>
                <w:szCs w:val="16"/>
              </w:rPr>
              <w:t>15</w:t>
            </w:r>
          </w:p>
        </w:tc>
        <w:tc>
          <w:tcPr>
            <w:tcW w:w="681" w:type="dxa"/>
          </w:tcPr>
          <w:p w14:paraId="5C84F2BF" w14:textId="77777777" w:rsidR="000343AB" w:rsidRPr="00DE096C" w:rsidRDefault="000343AB" w:rsidP="00D45A46">
            <w:pPr>
              <w:jc w:val="both"/>
              <w:rPr>
                <w:bCs/>
                <w:color w:val="002060"/>
                <w:sz w:val="16"/>
                <w:szCs w:val="16"/>
              </w:rPr>
            </w:pPr>
            <w:r w:rsidRPr="00DE096C">
              <w:rPr>
                <w:bCs/>
                <w:color w:val="002060"/>
                <w:sz w:val="16"/>
                <w:szCs w:val="16"/>
              </w:rPr>
              <w:t>—</w:t>
            </w:r>
          </w:p>
        </w:tc>
        <w:tc>
          <w:tcPr>
            <w:tcW w:w="681" w:type="dxa"/>
          </w:tcPr>
          <w:p w14:paraId="7361785A" w14:textId="77777777" w:rsidR="000343AB" w:rsidRPr="00DE096C" w:rsidRDefault="000343AB" w:rsidP="00D45A46">
            <w:pPr>
              <w:jc w:val="both"/>
              <w:rPr>
                <w:bCs/>
                <w:color w:val="002060"/>
                <w:sz w:val="16"/>
                <w:szCs w:val="16"/>
              </w:rPr>
            </w:pPr>
            <w:r w:rsidRPr="00DE096C">
              <w:rPr>
                <w:bCs/>
                <w:color w:val="002060"/>
                <w:sz w:val="16"/>
                <w:szCs w:val="16"/>
              </w:rPr>
              <w:t>138</w:t>
            </w:r>
          </w:p>
        </w:tc>
        <w:tc>
          <w:tcPr>
            <w:tcW w:w="588" w:type="dxa"/>
          </w:tcPr>
          <w:p w14:paraId="7D531545" w14:textId="77777777" w:rsidR="000343AB" w:rsidRPr="00DE096C" w:rsidRDefault="000343AB" w:rsidP="00D45A46">
            <w:pPr>
              <w:jc w:val="both"/>
              <w:rPr>
                <w:bCs/>
                <w:color w:val="002060"/>
                <w:sz w:val="16"/>
                <w:szCs w:val="16"/>
              </w:rPr>
            </w:pPr>
            <w:r w:rsidRPr="00DE096C">
              <w:rPr>
                <w:bCs/>
                <w:color w:val="002060"/>
                <w:sz w:val="16"/>
                <w:szCs w:val="16"/>
              </w:rPr>
              <w:t>20</w:t>
            </w:r>
          </w:p>
        </w:tc>
        <w:tc>
          <w:tcPr>
            <w:tcW w:w="588" w:type="dxa"/>
          </w:tcPr>
          <w:p w14:paraId="7763EC94" w14:textId="77777777" w:rsidR="000343AB" w:rsidRPr="00DE096C" w:rsidRDefault="000343AB" w:rsidP="00D45A46">
            <w:pPr>
              <w:jc w:val="both"/>
              <w:rPr>
                <w:bCs/>
                <w:color w:val="002060"/>
                <w:sz w:val="16"/>
                <w:szCs w:val="16"/>
              </w:rPr>
            </w:pPr>
            <w:r w:rsidRPr="00DE096C">
              <w:rPr>
                <w:bCs/>
                <w:color w:val="002060"/>
                <w:sz w:val="16"/>
                <w:szCs w:val="16"/>
              </w:rPr>
              <w:t>10</w:t>
            </w:r>
          </w:p>
        </w:tc>
        <w:tc>
          <w:tcPr>
            <w:tcW w:w="588" w:type="dxa"/>
          </w:tcPr>
          <w:p w14:paraId="4F77D4FD" w14:textId="77777777" w:rsidR="000343AB" w:rsidRPr="00DE096C" w:rsidRDefault="000343AB" w:rsidP="00D45A46">
            <w:pPr>
              <w:jc w:val="both"/>
              <w:rPr>
                <w:bCs/>
                <w:color w:val="002060"/>
                <w:sz w:val="16"/>
                <w:szCs w:val="16"/>
              </w:rPr>
            </w:pPr>
            <w:r w:rsidRPr="00DE096C">
              <w:rPr>
                <w:bCs/>
                <w:color w:val="002060"/>
                <w:sz w:val="16"/>
                <w:szCs w:val="16"/>
              </w:rPr>
              <w:t>25</w:t>
            </w:r>
          </w:p>
        </w:tc>
        <w:tc>
          <w:tcPr>
            <w:tcW w:w="600" w:type="dxa"/>
          </w:tcPr>
          <w:p w14:paraId="4332C50D" w14:textId="77777777" w:rsidR="000343AB" w:rsidRPr="00DE096C" w:rsidRDefault="000343AB" w:rsidP="00D45A46">
            <w:pPr>
              <w:jc w:val="both"/>
              <w:rPr>
                <w:bCs/>
                <w:color w:val="002060"/>
                <w:sz w:val="16"/>
                <w:szCs w:val="16"/>
              </w:rPr>
            </w:pPr>
            <w:r w:rsidRPr="00DE096C">
              <w:rPr>
                <w:bCs/>
                <w:color w:val="002060"/>
                <w:sz w:val="16"/>
                <w:szCs w:val="16"/>
              </w:rPr>
              <w:t>55</w:t>
            </w:r>
          </w:p>
        </w:tc>
      </w:tr>
      <w:tr w:rsidR="000343AB" w:rsidRPr="00DE096C" w14:paraId="20E1930A" w14:textId="77777777" w:rsidTr="00D34AC1">
        <w:tc>
          <w:tcPr>
            <w:tcW w:w="2040" w:type="dxa"/>
          </w:tcPr>
          <w:p w14:paraId="5C853E8F" w14:textId="77777777" w:rsidR="000343AB" w:rsidRPr="00DE096C" w:rsidRDefault="000343AB" w:rsidP="00D45A46">
            <w:pPr>
              <w:jc w:val="both"/>
              <w:rPr>
                <w:bCs/>
                <w:color w:val="002060"/>
                <w:sz w:val="16"/>
                <w:szCs w:val="16"/>
              </w:rPr>
            </w:pPr>
            <w:r w:rsidRPr="00DE096C">
              <w:rPr>
                <w:bCs/>
                <w:color w:val="002060"/>
                <w:sz w:val="16"/>
                <w:szCs w:val="16"/>
              </w:rPr>
              <w:t>Колеса</w:t>
            </w:r>
          </w:p>
        </w:tc>
        <w:tc>
          <w:tcPr>
            <w:tcW w:w="588" w:type="dxa"/>
          </w:tcPr>
          <w:p w14:paraId="7EBDDB0C" w14:textId="77777777" w:rsidR="000343AB" w:rsidRPr="00DE096C" w:rsidRDefault="000343AB" w:rsidP="00D45A46">
            <w:pPr>
              <w:jc w:val="both"/>
              <w:rPr>
                <w:bCs/>
                <w:color w:val="002060"/>
                <w:sz w:val="16"/>
                <w:szCs w:val="16"/>
              </w:rPr>
            </w:pPr>
            <w:r w:rsidRPr="00DE096C">
              <w:rPr>
                <w:bCs/>
                <w:color w:val="002060"/>
                <w:sz w:val="16"/>
                <w:szCs w:val="16"/>
              </w:rPr>
              <w:t>9.100</w:t>
            </w:r>
          </w:p>
        </w:tc>
        <w:tc>
          <w:tcPr>
            <w:tcW w:w="588" w:type="dxa"/>
          </w:tcPr>
          <w:p w14:paraId="5489592A" w14:textId="77777777" w:rsidR="000343AB" w:rsidRPr="00DE096C" w:rsidRDefault="000343AB" w:rsidP="00D45A46">
            <w:pPr>
              <w:jc w:val="both"/>
              <w:rPr>
                <w:bCs/>
                <w:color w:val="002060"/>
                <w:sz w:val="16"/>
                <w:szCs w:val="16"/>
              </w:rPr>
            </w:pPr>
            <w:r w:rsidRPr="00DE096C">
              <w:rPr>
                <w:bCs/>
                <w:color w:val="002060"/>
                <w:sz w:val="16"/>
                <w:szCs w:val="16"/>
              </w:rPr>
              <w:t>12.800</w:t>
            </w:r>
          </w:p>
        </w:tc>
        <w:tc>
          <w:tcPr>
            <w:tcW w:w="681" w:type="dxa"/>
          </w:tcPr>
          <w:p w14:paraId="342E7933" w14:textId="77777777" w:rsidR="000343AB" w:rsidRPr="00DE096C" w:rsidRDefault="000343AB" w:rsidP="00D45A46">
            <w:pPr>
              <w:jc w:val="both"/>
              <w:rPr>
                <w:bCs/>
                <w:color w:val="002060"/>
                <w:sz w:val="16"/>
                <w:szCs w:val="16"/>
              </w:rPr>
            </w:pPr>
            <w:r w:rsidRPr="00DE096C">
              <w:rPr>
                <w:bCs/>
                <w:color w:val="002060"/>
                <w:sz w:val="16"/>
                <w:szCs w:val="16"/>
              </w:rPr>
              <w:t>12.500</w:t>
            </w:r>
          </w:p>
        </w:tc>
        <w:tc>
          <w:tcPr>
            <w:tcW w:w="681" w:type="dxa"/>
          </w:tcPr>
          <w:p w14:paraId="75EC644E" w14:textId="77777777" w:rsidR="000343AB" w:rsidRPr="00DE096C" w:rsidRDefault="000343AB" w:rsidP="00D45A46">
            <w:pPr>
              <w:jc w:val="both"/>
              <w:rPr>
                <w:bCs/>
                <w:color w:val="002060"/>
                <w:sz w:val="16"/>
                <w:szCs w:val="16"/>
              </w:rPr>
            </w:pPr>
            <w:r w:rsidRPr="00DE096C">
              <w:rPr>
                <w:bCs/>
                <w:color w:val="002060"/>
                <w:sz w:val="16"/>
                <w:szCs w:val="16"/>
              </w:rPr>
              <w:t>34.400</w:t>
            </w:r>
          </w:p>
        </w:tc>
        <w:tc>
          <w:tcPr>
            <w:tcW w:w="588" w:type="dxa"/>
          </w:tcPr>
          <w:p w14:paraId="08D0E8D2" w14:textId="77777777" w:rsidR="000343AB" w:rsidRPr="00DE096C" w:rsidRDefault="000343AB" w:rsidP="00D45A46">
            <w:pPr>
              <w:jc w:val="both"/>
              <w:rPr>
                <w:bCs/>
                <w:color w:val="002060"/>
                <w:sz w:val="16"/>
                <w:szCs w:val="16"/>
              </w:rPr>
            </w:pPr>
            <w:r w:rsidRPr="00DE096C">
              <w:rPr>
                <w:bCs/>
                <w:color w:val="002060"/>
                <w:sz w:val="16"/>
                <w:szCs w:val="16"/>
              </w:rPr>
              <w:t>206</w:t>
            </w:r>
          </w:p>
        </w:tc>
        <w:tc>
          <w:tcPr>
            <w:tcW w:w="588" w:type="dxa"/>
          </w:tcPr>
          <w:p w14:paraId="518063BB" w14:textId="77777777" w:rsidR="000343AB" w:rsidRPr="00DE096C" w:rsidRDefault="000343AB" w:rsidP="00D45A46">
            <w:pPr>
              <w:jc w:val="both"/>
              <w:rPr>
                <w:bCs/>
                <w:color w:val="002060"/>
                <w:sz w:val="16"/>
                <w:szCs w:val="16"/>
              </w:rPr>
            </w:pPr>
            <w:r w:rsidRPr="00DE096C">
              <w:rPr>
                <w:bCs/>
                <w:color w:val="002060"/>
                <w:sz w:val="16"/>
                <w:szCs w:val="16"/>
              </w:rPr>
              <w:t>411</w:t>
            </w:r>
          </w:p>
        </w:tc>
        <w:tc>
          <w:tcPr>
            <w:tcW w:w="588" w:type="dxa"/>
          </w:tcPr>
          <w:p w14:paraId="457ED38D" w14:textId="77777777" w:rsidR="000343AB" w:rsidRPr="00DE096C" w:rsidRDefault="000343AB" w:rsidP="00D45A46">
            <w:pPr>
              <w:jc w:val="both"/>
              <w:rPr>
                <w:bCs/>
                <w:color w:val="002060"/>
                <w:sz w:val="16"/>
                <w:szCs w:val="16"/>
              </w:rPr>
            </w:pPr>
            <w:r w:rsidRPr="00DE096C">
              <w:rPr>
                <w:bCs/>
                <w:color w:val="002060"/>
                <w:sz w:val="16"/>
                <w:szCs w:val="16"/>
              </w:rPr>
              <w:t>598</w:t>
            </w:r>
          </w:p>
        </w:tc>
        <w:tc>
          <w:tcPr>
            <w:tcW w:w="600" w:type="dxa"/>
          </w:tcPr>
          <w:p w14:paraId="2D86A12A" w14:textId="77777777" w:rsidR="000343AB" w:rsidRPr="00DE096C" w:rsidRDefault="000343AB" w:rsidP="00D45A46">
            <w:pPr>
              <w:jc w:val="both"/>
              <w:rPr>
                <w:bCs/>
                <w:color w:val="002060"/>
                <w:sz w:val="16"/>
                <w:szCs w:val="16"/>
              </w:rPr>
            </w:pPr>
            <w:r w:rsidRPr="00DE096C">
              <w:rPr>
                <w:bCs/>
                <w:color w:val="002060"/>
                <w:sz w:val="16"/>
                <w:szCs w:val="16"/>
              </w:rPr>
              <w:t>1.200</w:t>
            </w:r>
          </w:p>
        </w:tc>
      </w:tr>
      <w:tr w:rsidR="000343AB" w:rsidRPr="00DE096C" w14:paraId="6D6025AB" w14:textId="77777777" w:rsidTr="00D34AC1">
        <w:tc>
          <w:tcPr>
            <w:tcW w:w="2040" w:type="dxa"/>
          </w:tcPr>
          <w:p w14:paraId="08D2A4C1" w14:textId="77777777" w:rsidR="000343AB" w:rsidRPr="00DE096C" w:rsidRDefault="000343AB" w:rsidP="00D45A46">
            <w:pPr>
              <w:jc w:val="both"/>
              <w:rPr>
                <w:bCs/>
                <w:color w:val="002060"/>
                <w:sz w:val="16"/>
                <w:szCs w:val="16"/>
              </w:rPr>
            </w:pPr>
            <w:r w:rsidRPr="00DE096C">
              <w:rPr>
                <w:bCs/>
                <w:color w:val="002060"/>
                <w:sz w:val="16"/>
                <w:szCs w:val="16"/>
              </w:rPr>
              <w:t>Основания деревянные для орудий</w:t>
            </w:r>
          </w:p>
        </w:tc>
        <w:tc>
          <w:tcPr>
            <w:tcW w:w="588" w:type="dxa"/>
          </w:tcPr>
          <w:p w14:paraId="1407237C" w14:textId="77777777" w:rsidR="000343AB" w:rsidRPr="00DE096C" w:rsidRDefault="000343AB" w:rsidP="00D45A46">
            <w:pPr>
              <w:jc w:val="both"/>
              <w:rPr>
                <w:bCs/>
                <w:color w:val="002060"/>
                <w:sz w:val="16"/>
                <w:szCs w:val="16"/>
              </w:rPr>
            </w:pPr>
            <w:r w:rsidRPr="00DE096C">
              <w:rPr>
                <w:bCs/>
                <w:color w:val="002060"/>
                <w:sz w:val="16"/>
                <w:szCs w:val="16"/>
              </w:rPr>
              <w:t>—</w:t>
            </w:r>
          </w:p>
        </w:tc>
        <w:tc>
          <w:tcPr>
            <w:tcW w:w="588" w:type="dxa"/>
          </w:tcPr>
          <w:p w14:paraId="70E8F554" w14:textId="77777777" w:rsidR="000343AB" w:rsidRPr="00DE096C" w:rsidRDefault="000343AB" w:rsidP="00D45A46">
            <w:pPr>
              <w:jc w:val="both"/>
              <w:rPr>
                <w:bCs/>
                <w:color w:val="002060"/>
                <w:sz w:val="16"/>
                <w:szCs w:val="16"/>
              </w:rPr>
            </w:pPr>
            <w:r w:rsidRPr="00DE096C">
              <w:rPr>
                <w:bCs/>
                <w:color w:val="002060"/>
                <w:sz w:val="16"/>
                <w:szCs w:val="16"/>
              </w:rPr>
              <w:t>24</w:t>
            </w:r>
          </w:p>
        </w:tc>
        <w:tc>
          <w:tcPr>
            <w:tcW w:w="681" w:type="dxa"/>
          </w:tcPr>
          <w:p w14:paraId="34189AF1" w14:textId="77777777" w:rsidR="000343AB" w:rsidRPr="00DE096C" w:rsidRDefault="000343AB" w:rsidP="00D45A46">
            <w:pPr>
              <w:jc w:val="both"/>
              <w:rPr>
                <w:bCs/>
                <w:color w:val="002060"/>
                <w:sz w:val="16"/>
                <w:szCs w:val="16"/>
              </w:rPr>
            </w:pPr>
            <w:r w:rsidRPr="00DE096C">
              <w:rPr>
                <w:bCs/>
                <w:color w:val="002060"/>
                <w:sz w:val="16"/>
                <w:szCs w:val="16"/>
              </w:rPr>
              <w:t>53</w:t>
            </w:r>
          </w:p>
        </w:tc>
        <w:tc>
          <w:tcPr>
            <w:tcW w:w="681" w:type="dxa"/>
          </w:tcPr>
          <w:p w14:paraId="2EFCDA1B" w14:textId="77777777" w:rsidR="000343AB" w:rsidRPr="00DE096C" w:rsidRDefault="000343AB" w:rsidP="00D45A46">
            <w:pPr>
              <w:jc w:val="both"/>
              <w:rPr>
                <w:bCs/>
                <w:color w:val="002060"/>
                <w:sz w:val="16"/>
                <w:szCs w:val="16"/>
              </w:rPr>
            </w:pPr>
            <w:r w:rsidRPr="00DE096C">
              <w:rPr>
                <w:bCs/>
                <w:color w:val="002060"/>
                <w:sz w:val="16"/>
                <w:szCs w:val="16"/>
              </w:rPr>
              <w:t>79</w:t>
            </w:r>
          </w:p>
        </w:tc>
        <w:tc>
          <w:tcPr>
            <w:tcW w:w="588" w:type="dxa"/>
          </w:tcPr>
          <w:p w14:paraId="35480D62" w14:textId="77777777" w:rsidR="000343AB" w:rsidRPr="00DE096C" w:rsidRDefault="000343AB" w:rsidP="00D45A46">
            <w:pPr>
              <w:jc w:val="both"/>
              <w:rPr>
                <w:bCs/>
                <w:color w:val="002060"/>
                <w:sz w:val="16"/>
                <w:szCs w:val="16"/>
              </w:rPr>
            </w:pPr>
            <w:r w:rsidRPr="00DE096C">
              <w:rPr>
                <w:bCs/>
                <w:color w:val="002060"/>
                <w:sz w:val="16"/>
                <w:szCs w:val="16"/>
              </w:rPr>
              <w:t>—</w:t>
            </w:r>
          </w:p>
        </w:tc>
        <w:tc>
          <w:tcPr>
            <w:tcW w:w="588" w:type="dxa"/>
          </w:tcPr>
          <w:p w14:paraId="28363EB2" w14:textId="77777777" w:rsidR="000343AB" w:rsidRPr="00DE096C" w:rsidRDefault="000343AB" w:rsidP="00D45A46">
            <w:pPr>
              <w:jc w:val="both"/>
              <w:rPr>
                <w:bCs/>
                <w:color w:val="002060"/>
                <w:sz w:val="16"/>
                <w:szCs w:val="16"/>
              </w:rPr>
            </w:pPr>
            <w:r w:rsidRPr="00DE096C">
              <w:rPr>
                <w:bCs/>
                <w:color w:val="002060"/>
                <w:sz w:val="16"/>
                <w:szCs w:val="16"/>
              </w:rPr>
              <w:t>—</w:t>
            </w:r>
          </w:p>
        </w:tc>
        <w:tc>
          <w:tcPr>
            <w:tcW w:w="588" w:type="dxa"/>
          </w:tcPr>
          <w:p w14:paraId="44100130" w14:textId="77777777" w:rsidR="000343AB" w:rsidRPr="00DE096C" w:rsidRDefault="000343AB" w:rsidP="00D45A46">
            <w:pPr>
              <w:jc w:val="both"/>
              <w:rPr>
                <w:bCs/>
                <w:color w:val="002060"/>
                <w:sz w:val="16"/>
                <w:szCs w:val="16"/>
              </w:rPr>
            </w:pPr>
            <w:r w:rsidRPr="00DE096C">
              <w:rPr>
                <w:bCs/>
                <w:color w:val="002060"/>
                <w:sz w:val="16"/>
                <w:szCs w:val="16"/>
              </w:rPr>
              <w:t>—</w:t>
            </w:r>
          </w:p>
        </w:tc>
        <w:tc>
          <w:tcPr>
            <w:tcW w:w="600" w:type="dxa"/>
          </w:tcPr>
          <w:p w14:paraId="350A7610" w14:textId="77777777" w:rsidR="000343AB" w:rsidRPr="00DE096C" w:rsidRDefault="000343AB" w:rsidP="00D45A46">
            <w:pPr>
              <w:jc w:val="both"/>
              <w:rPr>
                <w:bCs/>
                <w:color w:val="002060"/>
                <w:sz w:val="16"/>
                <w:szCs w:val="16"/>
              </w:rPr>
            </w:pPr>
            <w:r w:rsidRPr="00DE096C">
              <w:rPr>
                <w:bCs/>
                <w:color w:val="002060"/>
                <w:sz w:val="16"/>
                <w:szCs w:val="16"/>
              </w:rPr>
              <w:t>—</w:t>
            </w:r>
          </w:p>
        </w:tc>
      </w:tr>
      <w:tr w:rsidR="000343AB" w:rsidRPr="00DE096C" w14:paraId="7971C186" w14:textId="77777777" w:rsidTr="00D34AC1">
        <w:tc>
          <w:tcPr>
            <w:tcW w:w="2040" w:type="dxa"/>
          </w:tcPr>
          <w:p w14:paraId="1C91F381" w14:textId="77777777" w:rsidR="000343AB" w:rsidRPr="00DE096C" w:rsidRDefault="000343AB" w:rsidP="00D45A46">
            <w:pPr>
              <w:jc w:val="both"/>
              <w:rPr>
                <w:bCs/>
                <w:color w:val="002060"/>
                <w:sz w:val="16"/>
                <w:szCs w:val="16"/>
              </w:rPr>
            </w:pPr>
            <w:r w:rsidRPr="00DE096C">
              <w:rPr>
                <w:bCs/>
                <w:color w:val="002060"/>
                <w:sz w:val="16"/>
                <w:szCs w:val="16"/>
              </w:rPr>
              <w:t>Платформы деревянные под орудия</w:t>
            </w:r>
          </w:p>
        </w:tc>
        <w:tc>
          <w:tcPr>
            <w:tcW w:w="588" w:type="dxa"/>
          </w:tcPr>
          <w:p w14:paraId="2637625F" w14:textId="77777777" w:rsidR="000343AB" w:rsidRPr="00DE096C" w:rsidRDefault="000343AB" w:rsidP="00D45A46">
            <w:pPr>
              <w:jc w:val="both"/>
              <w:rPr>
                <w:bCs/>
                <w:color w:val="002060"/>
                <w:sz w:val="16"/>
                <w:szCs w:val="16"/>
              </w:rPr>
            </w:pPr>
            <w:r w:rsidRPr="00DE096C">
              <w:rPr>
                <w:bCs/>
                <w:color w:val="002060"/>
                <w:sz w:val="16"/>
                <w:szCs w:val="16"/>
              </w:rPr>
              <w:t>1</w:t>
            </w:r>
          </w:p>
        </w:tc>
        <w:tc>
          <w:tcPr>
            <w:tcW w:w="588" w:type="dxa"/>
          </w:tcPr>
          <w:p w14:paraId="35C5AD6E" w14:textId="77777777" w:rsidR="000343AB" w:rsidRPr="00DE096C" w:rsidRDefault="000343AB" w:rsidP="00D45A46">
            <w:pPr>
              <w:jc w:val="both"/>
              <w:rPr>
                <w:bCs/>
                <w:color w:val="002060"/>
                <w:sz w:val="16"/>
                <w:szCs w:val="16"/>
              </w:rPr>
            </w:pPr>
            <w:r w:rsidRPr="00DE096C">
              <w:rPr>
                <w:bCs/>
                <w:color w:val="002060"/>
                <w:sz w:val="16"/>
                <w:szCs w:val="16"/>
              </w:rPr>
              <w:t>53</w:t>
            </w:r>
          </w:p>
        </w:tc>
        <w:tc>
          <w:tcPr>
            <w:tcW w:w="681" w:type="dxa"/>
          </w:tcPr>
          <w:p w14:paraId="7B9B2368" w14:textId="77777777" w:rsidR="000343AB" w:rsidRPr="00DE096C" w:rsidRDefault="000343AB" w:rsidP="00D45A46">
            <w:pPr>
              <w:jc w:val="both"/>
              <w:rPr>
                <w:bCs/>
                <w:color w:val="002060"/>
                <w:sz w:val="16"/>
                <w:szCs w:val="16"/>
              </w:rPr>
            </w:pPr>
            <w:r w:rsidRPr="00DE096C">
              <w:rPr>
                <w:bCs/>
                <w:color w:val="002060"/>
                <w:sz w:val="16"/>
                <w:szCs w:val="16"/>
              </w:rPr>
              <w:t>—</w:t>
            </w:r>
          </w:p>
        </w:tc>
        <w:tc>
          <w:tcPr>
            <w:tcW w:w="681" w:type="dxa"/>
          </w:tcPr>
          <w:p w14:paraId="09AA53CE" w14:textId="77777777" w:rsidR="000343AB" w:rsidRPr="00DE096C" w:rsidRDefault="000343AB" w:rsidP="00D45A46">
            <w:pPr>
              <w:jc w:val="both"/>
              <w:rPr>
                <w:bCs/>
                <w:color w:val="002060"/>
                <w:sz w:val="16"/>
                <w:szCs w:val="16"/>
              </w:rPr>
            </w:pPr>
            <w:r w:rsidRPr="00DE096C">
              <w:rPr>
                <w:bCs/>
                <w:color w:val="002060"/>
                <w:sz w:val="16"/>
                <w:szCs w:val="16"/>
              </w:rPr>
              <w:t>54</w:t>
            </w:r>
          </w:p>
        </w:tc>
        <w:tc>
          <w:tcPr>
            <w:tcW w:w="588" w:type="dxa"/>
          </w:tcPr>
          <w:p w14:paraId="665DC599" w14:textId="77777777" w:rsidR="000343AB" w:rsidRPr="00DE096C" w:rsidRDefault="000343AB" w:rsidP="00D45A46">
            <w:pPr>
              <w:jc w:val="both"/>
              <w:rPr>
                <w:bCs/>
                <w:color w:val="002060"/>
                <w:sz w:val="16"/>
                <w:szCs w:val="16"/>
              </w:rPr>
            </w:pPr>
            <w:r w:rsidRPr="00DE096C">
              <w:rPr>
                <w:bCs/>
                <w:color w:val="002060"/>
                <w:sz w:val="16"/>
                <w:szCs w:val="16"/>
              </w:rPr>
              <w:t>—</w:t>
            </w:r>
          </w:p>
        </w:tc>
        <w:tc>
          <w:tcPr>
            <w:tcW w:w="588" w:type="dxa"/>
          </w:tcPr>
          <w:p w14:paraId="36726E87" w14:textId="77777777" w:rsidR="000343AB" w:rsidRPr="00DE096C" w:rsidRDefault="000343AB" w:rsidP="00D45A46">
            <w:pPr>
              <w:jc w:val="both"/>
              <w:rPr>
                <w:bCs/>
                <w:color w:val="002060"/>
                <w:sz w:val="16"/>
                <w:szCs w:val="16"/>
              </w:rPr>
            </w:pPr>
            <w:r w:rsidRPr="00DE096C">
              <w:rPr>
                <w:bCs/>
                <w:color w:val="002060"/>
                <w:sz w:val="16"/>
                <w:szCs w:val="16"/>
              </w:rPr>
              <w:t>—</w:t>
            </w:r>
          </w:p>
        </w:tc>
        <w:tc>
          <w:tcPr>
            <w:tcW w:w="588" w:type="dxa"/>
          </w:tcPr>
          <w:p w14:paraId="5F06F2C1" w14:textId="77777777" w:rsidR="000343AB" w:rsidRPr="00DE096C" w:rsidRDefault="000343AB" w:rsidP="00D45A46">
            <w:pPr>
              <w:jc w:val="both"/>
              <w:rPr>
                <w:bCs/>
                <w:color w:val="002060"/>
                <w:sz w:val="16"/>
                <w:szCs w:val="16"/>
              </w:rPr>
            </w:pPr>
            <w:r w:rsidRPr="00DE096C">
              <w:rPr>
                <w:bCs/>
                <w:color w:val="002060"/>
                <w:sz w:val="16"/>
                <w:szCs w:val="16"/>
              </w:rPr>
              <w:t>—</w:t>
            </w:r>
          </w:p>
        </w:tc>
        <w:tc>
          <w:tcPr>
            <w:tcW w:w="600" w:type="dxa"/>
          </w:tcPr>
          <w:p w14:paraId="289BBB6B" w14:textId="77777777" w:rsidR="000343AB" w:rsidRPr="00DE096C" w:rsidRDefault="000343AB" w:rsidP="00D45A46">
            <w:pPr>
              <w:jc w:val="both"/>
              <w:rPr>
                <w:bCs/>
                <w:color w:val="002060"/>
                <w:sz w:val="16"/>
                <w:szCs w:val="16"/>
              </w:rPr>
            </w:pPr>
            <w:r w:rsidRPr="00DE096C">
              <w:rPr>
                <w:bCs/>
                <w:color w:val="002060"/>
                <w:sz w:val="16"/>
                <w:szCs w:val="16"/>
              </w:rPr>
              <w:t>—</w:t>
            </w:r>
          </w:p>
        </w:tc>
      </w:tr>
      <w:tr w:rsidR="000343AB" w:rsidRPr="00DE096C" w14:paraId="71D8C2C0" w14:textId="77777777" w:rsidTr="00D34AC1">
        <w:tc>
          <w:tcPr>
            <w:tcW w:w="2040" w:type="dxa"/>
          </w:tcPr>
          <w:p w14:paraId="1C1A20BA" w14:textId="77777777" w:rsidR="000343AB" w:rsidRPr="00DE096C" w:rsidRDefault="000343AB" w:rsidP="00D45A46">
            <w:pPr>
              <w:jc w:val="both"/>
              <w:rPr>
                <w:bCs/>
                <w:color w:val="002060"/>
                <w:sz w:val="16"/>
                <w:szCs w:val="16"/>
              </w:rPr>
            </w:pPr>
            <w:r w:rsidRPr="00DE096C">
              <w:rPr>
                <w:bCs/>
                <w:color w:val="002060"/>
                <w:sz w:val="16"/>
                <w:szCs w:val="16"/>
              </w:rPr>
              <w:t>Приспособления для стрельбы без платформ</w:t>
            </w:r>
          </w:p>
        </w:tc>
        <w:tc>
          <w:tcPr>
            <w:tcW w:w="588" w:type="dxa"/>
          </w:tcPr>
          <w:p w14:paraId="31663A8A" w14:textId="77777777" w:rsidR="000343AB" w:rsidRPr="00DE096C" w:rsidRDefault="000343AB" w:rsidP="00D45A46">
            <w:pPr>
              <w:jc w:val="both"/>
              <w:rPr>
                <w:bCs/>
                <w:color w:val="002060"/>
                <w:sz w:val="16"/>
                <w:szCs w:val="16"/>
              </w:rPr>
            </w:pPr>
            <w:r w:rsidRPr="00DE096C">
              <w:rPr>
                <w:bCs/>
                <w:color w:val="002060"/>
                <w:sz w:val="16"/>
                <w:szCs w:val="16"/>
              </w:rPr>
              <w:t>—</w:t>
            </w:r>
          </w:p>
        </w:tc>
        <w:tc>
          <w:tcPr>
            <w:tcW w:w="588" w:type="dxa"/>
          </w:tcPr>
          <w:p w14:paraId="39E09819" w14:textId="77777777" w:rsidR="000343AB" w:rsidRPr="00DE096C" w:rsidRDefault="000343AB" w:rsidP="00D45A46">
            <w:pPr>
              <w:jc w:val="both"/>
              <w:rPr>
                <w:bCs/>
                <w:color w:val="002060"/>
                <w:sz w:val="16"/>
                <w:szCs w:val="16"/>
              </w:rPr>
            </w:pPr>
            <w:r w:rsidRPr="00DE096C">
              <w:rPr>
                <w:bCs/>
                <w:color w:val="002060"/>
                <w:sz w:val="16"/>
                <w:szCs w:val="16"/>
              </w:rPr>
              <w:t>454</w:t>
            </w:r>
          </w:p>
        </w:tc>
        <w:tc>
          <w:tcPr>
            <w:tcW w:w="681" w:type="dxa"/>
          </w:tcPr>
          <w:p w14:paraId="7837DA5C" w14:textId="77777777" w:rsidR="000343AB" w:rsidRPr="00DE096C" w:rsidRDefault="000343AB" w:rsidP="00D45A46">
            <w:pPr>
              <w:jc w:val="both"/>
              <w:rPr>
                <w:bCs/>
                <w:color w:val="002060"/>
                <w:sz w:val="16"/>
                <w:szCs w:val="16"/>
              </w:rPr>
            </w:pPr>
            <w:r w:rsidRPr="00DE096C">
              <w:rPr>
                <w:bCs/>
                <w:color w:val="002060"/>
                <w:sz w:val="16"/>
                <w:szCs w:val="16"/>
              </w:rPr>
              <w:t>828</w:t>
            </w:r>
          </w:p>
        </w:tc>
        <w:tc>
          <w:tcPr>
            <w:tcW w:w="681" w:type="dxa"/>
          </w:tcPr>
          <w:p w14:paraId="11C0EF1D" w14:textId="77777777" w:rsidR="000343AB" w:rsidRPr="00DE096C" w:rsidRDefault="000343AB" w:rsidP="00D45A46">
            <w:pPr>
              <w:jc w:val="both"/>
              <w:rPr>
                <w:bCs/>
                <w:color w:val="002060"/>
                <w:sz w:val="16"/>
                <w:szCs w:val="16"/>
              </w:rPr>
            </w:pPr>
            <w:r w:rsidRPr="00DE096C">
              <w:rPr>
                <w:bCs/>
                <w:color w:val="002060"/>
                <w:sz w:val="16"/>
                <w:szCs w:val="16"/>
              </w:rPr>
              <w:t>1.282</w:t>
            </w:r>
          </w:p>
        </w:tc>
        <w:tc>
          <w:tcPr>
            <w:tcW w:w="588" w:type="dxa"/>
          </w:tcPr>
          <w:p w14:paraId="31A1F065" w14:textId="77777777" w:rsidR="000343AB" w:rsidRPr="00DE096C" w:rsidRDefault="000343AB" w:rsidP="00D45A46">
            <w:pPr>
              <w:jc w:val="both"/>
              <w:rPr>
                <w:bCs/>
                <w:color w:val="002060"/>
                <w:sz w:val="16"/>
                <w:szCs w:val="16"/>
              </w:rPr>
            </w:pPr>
            <w:r w:rsidRPr="00DE096C">
              <w:rPr>
                <w:bCs/>
                <w:color w:val="002060"/>
                <w:sz w:val="16"/>
                <w:szCs w:val="16"/>
              </w:rPr>
              <w:t>—</w:t>
            </w:r>
          </w:p>
        </w:tc>
        <w:tc>
          <w:tcPr>
            <w:tcW w:w="588" w:type="dxa"/>
          </w:tcPr>
          <w:p w14:paraId="2C9029C2" w14:textId="77777777" w:rsidR="000343AB" w:rsidRPr="00DE096C" w:rsidRDefault="000343AB" w:rsidP="00D45A46">
            <w:pPr>
              <w:jc w:val="both"/>
              <w:rPr>
                <w:bCs/>
                <w:color w:val="002060"/>
                <w:sz w:val="16"/>
                <w:szCs w:val="16"/>
              </w:rPr>
            </w:pPr>
            <w:r w:rsidRPr="00DE096C">
              <w:rPr>
                <w:bCs/>
                <w:color w:val="002060"/>
                <w:sz w:val="16"/>
                <w:szCs w:val="16"/>
              </w:rPr>
              <w:t>—</w:t>
            </w:r>
          </w:p>
        </w:tc>
        <w:tc>
          <w:tcPr>
            <w:tcW w:w="588" w:type="dxa"/>
          </w:tcPr>
          <w:p w14:paraId="319ED3DD" w14:textId="77777777" w:rsidR="000343AB" w:rsidRPr="00DE096C" w:rsidRDefault="000343AB" w:rsidP="00D45A46">
            <w:pPr>
              <w:jc w:val="both"/>
              <w:rPr>
                <w:bCs/>
                <w:color w:val="002060"/>
                <w:sz w:val="16"/>
                <w:szCs w:val="16"/>
              </w:rPr>
            </w:pPr>
            <w:r w:rsidRPr="00DE096C">
              <w:rPr>
                <w:bCs/>
                <w:color w:val="002060"/>
                <w:sz w:val="16"/>
                <w:szCs w:val="16"/>
              </w:rPr>
              <w:t>—</w:t>
            </w:r>
          </w:p>
        </w:tc>
        <w:tc>
          <w:tcPr>
            <w:tcW w:w="600" w:type="dxa"/>
          </w:tcPr>
          <w:p w14:paraId="35329DB4" w14:textId="77777777" w:rsidR="000343AB" w:rsidRPr="00DE096C" w:rsidRDefault="000343AB" w:rsidP="00D45A46">
            <w:pPr>
              <w:jc w:val="both"/>
              <w:rPr>
                <w:bCs/>
                <w:color w:val="002060"/>
                <w:sz w:val="16"/>
                <w:szCs w:val="16"/>
              </w:rPr>
            </w:pPr>
            <w:r w:rsidRPr="00DE096C">
              <w:rPr>
                <w:bCs/>
                <w:color w:val="002060"/>
                <w:sz w:val="16"/>
                <w:szCs w:val="16"/>
              </w:rPr>
              <w:t>—</w:t>
            </w:r>
          </w:p>
        </w:tc>
      </w:tr>
      <w:tr w:rsidR="000343AB" w:rsidRPr="00DE096C" w14:paraId="79EA71A7" w14:textId="77777777" w:rsidTr="00D34AC1">
        <w:tc>
          <w:tcPr>
            <w:tcW w:w="2040" w:type="dxa"/>
          </w:tcPr>
          <w:p w14:paraId="23B44114" w14:textId="77777777" w:rsidR="000343AB" w:rsidRPr="00DE096C" w:rsidRDefault="000343AB" w:rsidP="00D45A46">
            <w:pPr>
              <w:jc w:val="both"/>
              <w:rPr>
                <w:bCs/>
                <w:color w:val="002060"/>
                <w:sz w:val="16"/>
                <w:szCs w:val="16"/>
              </w:rPr>
            </w:pPr>
            <w:r w:rsidRPr="00DE096C">
              <w:rPr>
                <w:bCs/>
                <w:color w:val="002060"/>
                <w:sz w:val="16"/>
                <w:szCs w:val="16"/>
              </w:rPr>
              <w:t>Треноги</w:t>
            </w:r>
          </w:p>
        </w:tc>
        <w:tc>
          <w:tcPr>
            <w:tcW w:w="588" w:type="dxa"/>
          </w:tcPr>
          <w:p w14:paraId="55316385" w14:textId="77777777" w:rsidR="000343AB" w:rsidRPr="00DE096C" w:rsidRDefault="000343AB" w:rsidP="00D45A46">
            <w:pPr>
              <w:jc w:val="both"/>
              <w:rPr>
                <w:bCs/>
                <w:color w:val="002060"/>
                <w:sz w:val="16"/>
                <w:szCs w:val="16"/>
              </w:rPr>
            </w:pPr>
            <w:r w:rsidRPr="00DE096C">
              <w:rPr>
                <w:bCs/>
                <w:color w:val="002060"/>
                <w:sz w:val="16"/>
                <w:szCs w:val="16"/>
              </w:rPr>
              <w:t>962</w:t>
            </w:r>
          </w:p>
        </w:tc>
        <w:tc>
          <w:tcPr>
            <w:tcW w:w="588" w:type="dxa"/>
          </w:tcPr>
          <w:p w14:paraId="62C3DB8D" w14:textId="77777777" w:rsidR="000343AB" w:rsidRPr="00DE096C" w:rsidRDefault="000343AB" w:rsidP="00D45A46">
            <w:pPr>
              <w:jc w:val="both"/>
              <w:rPr>
                <w:bCs/>
                <w:color w:val="002060"/>
                <w:sz w:val="16"/>
                <w:szCs w:val="16"/>
              </w:rPr>
            </w:pPr>
            <w:r w:rsidRPr="00DE096C">
              <w:rPr>
                <w:bCs/>
                <w:color w:val="002060"/>
                <w:sz w:val="16"/>
                <w:szCs w:val="16"/>
              </w:rPr>
              <w:t>1.660</w:t>
            </w:r>
          </w:p>
        </w:tc>
        <w:tc>
          <w:tcPr>
            <w:tcW w:w="681" w:type="dxa"/>
          </w:tcPr>
          <w:p w14:paraId="0ECAA231" w14:textId="77777777" w:rsidR="000343AB" w:rsidRPr="00DE096C" w:rsidRDefault="000343AB" w:rsidP="00D45A46">
            <w:pPr>
              <w:jc w:val="both"/>
              <w:rPr>
                <w:bCs/>
                <w:color w:val="002060"/>
                <w:sz w:val="16"/>
                <w:szCs w:val="16"/>
              </w:rPr>
            </w:pPr>
            <w:r w:rsidRPr="00DE096C">
              <w:rPr>
                <w:bCs/>
                <w:color w:val="002060"/>
                <w:sz w:val="16"/>
                <w:szCs w:val="16"/>
              </w:rPr>
              <w:t>635</w:t>
            </w:r>
          </w:p>
        </w:tc>
        <w:tc>
          <w:tcPr>
            <w:tcW w:w="681" w:type="dxa"/>
          </w:tcPr>
          <w:p w14:paraId="0EBCEFD8" w14:textId="77777777" w:rsidR="000343AB" w:rsidRPr="00DE096C" w:rsidRDefault="000343AB" w:rsidP="00D45A46">
            <w:pPr>
              <w:jc w:val="both"/>
              <w:rPr>
                <w:bCs/>
                <w:color w:val="002060"/>
                <w:sz w:val="16"/>
                <w:szCs w:val="16"/>
              </w:rPr>
            </w:pPr>
            <w:r w:rsidRPr="00DE096C">
              <w:rPr>
                <w:bCs/>
                <w:color w:val="002060"/>
                <w:sz w:val="16"/>
                <w:szCs w:val="16"/>
              </w:rPr>
              <w:t>3.257</w:t>
            </w:r>
          </w:p>
        </w:tc>
        <w:tc>
          <w:tcPr>
            <w:tcW w:w="588" w:type="dxa"/>
          </w:tcPr>
          <w:p w14:paraId="0149F43C" w14:textId="77777777" w:rsidR="000343AB" w:rsidRPr="00DE096C" w:rsidRDefault="000343AB" w:rsidP="00D45A46">
            <w:pPr>
              <w:jc w:val="both"/>
              <w:rPr>
                <w:bCs/>
                <w:color w:val="002060"/>
                <w:sz w:val="16"/>
                <w:szCs w:val="16"/>
              </w:rPr>
            </w:pPr>
            <w:r w:rsidRPr="00DE096C">
              <w:rPr>
                <w:bCs/>
                <w:color w:val="002060"/>
                <w:sz w:val="16"/>
                <w:szCs w:val="16"/>
              </w:rPr>
              <w:t>154</w:t>
            </w:r>
          </w:p>
        </w:tc>
        <w:tc>
          <w:tcPr>
            <w:tcW w:w="588" w:type="dxa"/>
          </w:tcPr>
          <w:p w14:paraId="0D2B4F35" w14:textId="77777777" w:rsidR="000343AB" w:rsidRPr="00DE096C" w:rsidRDefault="000343AB" w:rsidP="00D45A46">
            <w:pPr>
              <w:jc w:val="both"/>
              <w:rPr>
                <w:bCs/>
                <w:color w:val="002060"/>
                <w:sz w:val="16"/>
                <w:szCs w:val="16"/>
              </w:rPr>
            </w:pPr>
            <w:r w:rsidRPr="00DE096C">
              <w:rPr>
                <w:bCs/>
                <w:color w:val="002060"/>
                <w:sz w:val="16"/>
                <w:szCs w:val="16"/>
              </w:rPr>
              <w:t>32</w:t>
            </w:r>
          </w:p>
        </w:tc>
        <w:tc>
          <w:tcPr>
            <w:tcW w:w="588" w:type="dxa"/>
          </w:tcPr>
          <w:p w14:paraId="518A5A94" w14:textId="77777777" w:rsidR="000343AB" w:rsidRPr="00DE096C" w:rsidRDefault="000343AB" w:rsidP="00D45A46">
            <w:pPr>
              <w:jc w:val="both"/>
              <w:rPr>
                <w:bCs/>
                <w:color w:val="002060"/>
                <w:sz w:val="16"/>
                <w:szCs w:val="16"/>
              </w:rPr>
            </w:pPr>
            <w:r w:rsidRPr="00DE096C">
              <w:rPr>
                <w:bCs/>
                <w:color w:val="002060"/>
                <w:sz w:val="16"/>
                <w:szCs w:val="16"/>
              </w:rPr>
              <w:t>4</w:t>
            </w:r>
          </w:p>
        </w:tc>
        <w:tc>
          <w:tcPr>
            <w:tcW w:w="600" w:type="dxa"/>
          </w:tcPr>
          <w:p w14:paraId="43C1B931" w14:textId="77777777" w:rsidR="000343AB" w:rsidRPr="00DE096C" w:rsidRDefault="000343AB" w:rsidP="00D45A46">
            <w:pPr>
              <w:jc w:val="both"/>
              <w:rPr>
                <w:bCs/>
                <w:color w:val="002060"/>
                <w:sz w:val="16"/>
                <w:szCs w:val="16"/>
              </w:rPr>
            </w:pPr>
            <w:r w:rsidRPr="00DE096C">
              <w:rPr>
                <w:bCs/>
                <w:color w:val="002060"/>
                <w:sz w:val="16"/>
                <w:szCs w:val="16"/>
              </w:rPr>
              <w:t>190</w:t>
            </w:r>
          </w:p>
        </w:tc>
      </w:tr>
      <w:tr w:rsidR="000343AB" w:rsidRPr="00DE096C" w14:paraId="256E11CE" w14:textId="77777777" w:rsidTr="00D34AC1">
        <w:tc>
          <w:tcPr>
            <w:tcW w:w="2040" w:type="dxa"/>
          </w:tcPr>
          <w:p w14:paraId="3217003E" w14:textId="77777777" w:rsidR="000343AB" w:rsidRPr="00DE096C" w:rsidRDefault="000343AB" w:rsidP="00D45A46">
            <w:pPr>
              <w:jc w:val="both"/>
              <w:rPr>
                <w:bCs/>
                <w:color w:val="002060"/>
                <w:sz w:val="16"/>
                <w:szCs w:val="16"/>
              </w:rPr>
            </w:pPr>
            <w:r w:rsidRPr="00DE096C">
              <w:rPr>
                <w:bCs/>
                <w:color w:val="002060"/>
                <w:sz w:val="16"/>
                <w:szCs w:val="16"/>
              </w:rPr>
              <w:t>Седла и амуниция</w:t>
            </w:r>
          </w:p>
        </w:tc>
        <w:tc>
          <w:tcPr>
            <w:tcW w:w="588" w:type="dxa"/>
          </w:tcPr>
          <w:p w14:paraId="377105A5" w14:textId="77777777" w:rsidR="000343AB" w:rsidRPr="00DE096C" w:rsidRDefault="000343AB" w:rsidP="00D45A46">
            <w:pPr>
              <w:jc w:val="both"/>
              <w:rPr>
                <w:bCs/>
                <w:color w:val="002060"/>
                <w:sz w:val="16"/>
                <w:szCs w:val="16"/>
              </w:rPr>
            </w:pPr>
            <w:r w:rsidRPr="00DE096C">
              <w:rPr>
                <w:bCs/>
                <w:color w:val="002060"/>
                <w:sz w:val="16"/>
                <w:szCs w:val="16"/>
              </w:rPr>
              <w:t>2.543</w:t>
            </w:r>
          </w:p>
        </w:tc>
        <w:tc>
          <w:tcPr>
            <w:tcW w:w="588" w:type="dxa"/>
          </w:tcPr>
          <w:p w14:paraId="05F24A7C" w14:textId="77777777" w:rsidR="000343AB" w:rsidRPr="00DE096C" w:rsidRDefault="000343AB" w:rsidP="00D45A46">
            <w:pPr>
              <w:jc w:val="both"/>
              <w:rPr>
                <w:bCs/>
                <w:color w:val="002060"/>
                <w:sz w:val="16"/>
                <w:szCs w:val="16"/>
              </w:rPr>
            </w:pPr>
            <w:r w:rsidRPr="00DE096C">
              <w:rPr>
                <w:bCs/>
                <w:color w:val="002060"/>
                <w:sz w:val="16"/>
                <w:szCs w:val="16"/>
              </w:rPr>
              <w:t>3.706</w:t>
            </w:r>
          </w:p>
        </w:tc>
        <w:tc>
          <w:tcPr>
            <w:tcW w:w="681" w:type="dxa"/>
          </w:tcPr>
          <w:p w14:paraId="3B202BB9" w14:textId="77777777" w:rsidR="000343AB" w:rsidRPr="00DE096C" w:rsidRDefault="000343AB" w:rsidP="00D45A46">
            <w:pPr>
              <w:jc w:val="both"/>
              <w:rPr>
                <w:bCs/>
                <w:color w:val="002060"/>
                <w:sz w:val="16"/>
                <w:szCs w:val="16"/>
              </w:rPr>
            </w:pPr>
            <w:r w:rsidRPr="00DE096C">
              <w:rPr>
                <w:bCs/>
                <w:color w:val="002060"/>
                <w:sz w:val="16"/>
                <w:szCs w:val="16"/>
              </w:rPr>
              <w:t>1.924</w:t>
            </w:r>
          </w:p>
        </w:tc>
        <w:tc>
          <w:tcPr>
            <w:tcW w:w="681" w:type="dxa"/>
          </w:tcPr>
          <w:p w14:paraId="5C3A2648" w14:textId="77777777" w:rsidR="000343AB" w:rsidRPr="00DE096C" w:rsidRDefault="000343AB" w:rsidP="00D45A46">
            <w:pPr>
              <w:jc w:val="both"/>
              <w:rPr>
                <w:bCs/>
                <w:color w:val="002060"/>
                <w:sz w:val="16"/>
                <w:szCs w:val="16"/>
              </w:rPr>
            </w:pPr>
            <w:r w:rsidRPr="00DE096C">
              <w:rPr>
                <w:bCs/>
                <w:color w:val="002060"/>
                <w:sz w:val="16"/>
                <w:szCs w:val="16"/>
              </w:rPr>
              <w:t>8.173</w:t>
            </w:r>
          </w:p>
        </w:tc>
        <w:tc>
          <w:tcPr>
            <w:tcW w:w="588" w:type="dxa"/>
          </w:tcPr>
          <w:p w14:paraId="3DDB7C56" w14:textId="77777777" w:rsidR="000343AB" w:rsidRPr="00DE096C" w:rsidRDefault="000343AB" w:rsidP="00D45A46">
            <w:pPr>
              <w:jc w:val="both"/>
              <w:rPr>
                <w:bCs/>
                <w:color w:val="002060"/>
                <w:sz w:val="16"/>
                <w:szCs w:val="16"/>
              </w:rPr>
            </w:pPr>
            <w:r w:rsidRPr="00DE096C">
              <w:rPr>
                <w:bCs/>
                <w:color w:val="002060"/>
                <w:sz w:val="16"/>
                <w:szCs w:val="16"/>
              </w:rPr>
              <w:t>11</w:t>
            </w:r>
          </w:p>
        </w:tc>
        <w:tc>
          <w:tcPr>
            <w:tcW w:w="588" w:type="dxa"/>
          </w:tcPr>
          <w:p w14:paraId="283DC377" w14:textId="77777777" w:rsidR="000343AB" w:rsidRPr="00DE096C" w:rsidRDefault="000343AB" w:rsidP="00D45A46">
            <w:pPr>
              <w:jc w:val="both"/>
              <w:rPr>
                <w:bCs/>
                <w:color w:val="002060"/>
                <w:sz w:val="16"/>
                <w:szCs w:val="16"/>
              </w:rPr>
            </w:pPr>
            <w:r w:rsidRPr="00DE096C">
              <w:rPr>
                <w:bCs/>
                <w:color w:val="002060"/>
                <w:sz w:val="16"/>
                <w:szCs w:val="16"/>
              </w:rPr>
              <w:t>—</w:t>
            </w:r>
          </w:p>
        </w:tc>
        <w:tc>
          <w:tcPr>
            <w:tcW w:w="588" w:type="dxa"/>
          </w:tcPr>
          <w:p w14:paraId="64806600" w14:textId="77777777" w:rsidR="000343AB" w:rsidRPr="00DE096C" w:rsidRDefault="000343AB" w:rsidP="00D45A46">
            <w:pPr>
              <w:jc w:val="both"/>
              <w:rPr>
                <w:bCs/>
                <w:color w:val="002060"/>
                <w:sz w:val="16"/>
                <w:szCs w:val="16"/>
              </w:rPr>
            </w:pPr>
            <w:r w:rsidRPr="00DE096C">
              <w:rPr>
                <w:bCs/>
                <w:color w:val="002060"/>
                <w:sz w:val="16"/>
                <w:szCs w:val="16"/>
              </w:rPr>
              <w:t>—</w:t>
            </w:r>
          </w:p>
        </w:tc>
        <w:tc>
          <w:tcPr>
            <w:tcW w:w="600" w:type="dxa"/>
          </w:tcPr>
          <w:p w14:paraId="2CD5E990" w14:textId="77777777" w:rsidR="000343AB" w:rsidRPr="00DE096C" w:rsidRDefault="000343AB" w:rsidP="00D45A46">
            <w:pPr>
              <w:jc w:val="both"/>
              <w:rPr>
                <w:bCs/>
                <w:color w:val="002060"/>
                <w:sz w:val="16"/>
                <w:szCs w:val="16"/>
              </w:rPr>
            </w:pPr>
            <w:r w:rsidRPr="00DE096C">
              <w:rPr>
                <w:bCs/>
                <w:color w:val="002060"/>
                <w:sz w:val="16"/>
                <w:szCs w:val="16"/>
              </w:rPr>
              <w:t>11</w:t>
            </w:r>
          </w:p>
        </w:tc>
      </w:tr>
      <w:tr w:rsidR="000343AB" w:rsidRPr="00DE096C" w14:paraId="79E92BA0" w14:textId="77777777" w:rsidTr="00D34AC1">
        <w:tc>
          <w:tcPr>
            <w:tcW w:w="2040" w:type="dxa"/>
          </w:tcPr>
          <w:p w14:paraId="0AADD32C" w14:textId="77777777" w:rsidR="000343AB" w:rsidRPr="00DE096C" w:rsidRDefault="000343AB" w:rsidP="00D45A46">
            <w:pPr>
              <w:jc w:val="both"/>
              <w:rPr>
                <w:bCs/>
                <w:color w:val="002060"/>
                <w:sz w:val="16"/>
                <w:szCs w:val="16"/>
              </w:rPr>
            </w:pPr>
            <w:r w:rsidRPr="00DE096C">
              <w:rPr>
                <w:bCs/>
                <w:color w:val="002060"/>
                <w:sz w:val="16"/>
                <w:szCs w:val="16"/>
              </w:rPr>
              <w:t>Корпуса ручных гранат (млн шт.)</w:t>
            </w:r>
          </w:p>
        </w:tc>
        <w:tc>
          <w:tcPr>
            <w:tcW w:w="588" w:type="dxa"/>
          </w:tcPr>
          <w:p w14:paraId="498AEF76" w14:textId="77777777" w:rsidR="000343AB" w:rsidRPr="00DE096C" w:rsidRDefault="000343AB" w:rsidP="00D45A46">
            <w:pPr>
              <w:jc w:val="both"/>
              <w:rPr>
                <w:bCs/>
                <w:color w:val="002060"/>
                <w:sz w:val="16"/>
                <w:szCs w:val="16"/>
              </w:rPr>
            </w:pPr>
            <w:r w:rsidRPr="00DE096C">
              <w:rPr>
                <w:bCs/>
                <w:color w:val="002060"/>
                <w:sz w:val="16"/>
                <w:szCs w:val="16"/>
              </w:rPr>
              <w:t>0,1</w:t>
            </w:r>
          </w:p>
        </w:tc>
        <w:tc>
          <w:tcPr>
            <w:tcW w:w="588" w:type="dxa"/>
          </w:tcPr>
          <w:p w14:paraId="72116FB6" w14:textId="77777777" w:rsidR="000343AB" w:rsidRPr="00DE096C" w:rsidRDefault="000343AB" w:rsidP="00D45A46">
            <w:pPr>
              <w:jc w:val="both"/>
              <w:rPr>
                <w:bCs/>
                <w:color w:val="002060"/>
                <w:sz w:val="16"/>
                <w:szCs w:val="16"/>
              </w:rPr>
            </w:pPr>
            <w:r w:rsidRPr="00DE096C">
              <w:rPr>
                <w:bCs/>
                <w:color w:val="002060"/>
                <w:sz w:val="16"/>
                <w:szCs w:val="16"/>
              </w:rPr>
              <w:t>1,5</w:t>
            </w:r>
          </w:p>
        </w:tc>
        <w:tc>
          <w:tcPr>
            <w:tcW w:w="681" w:type="dxa"/>
          </w:tcPr>
          <w:p w14:paraId="21F77DE6" w14:textId="77777777" w:rsidR="000343AB" w:rsidRPr="00DE096C" w:rsidRDefault="000343AB" w:rsidP="00D45A46">
            <w:pPr>
              <w:jc w:val="both"/>
              <w:rPr>
                <w:bCs/>
                <w:color w:val="002060"/>
                <w:sz w:val="16"/>
                <w:szCs w:val="16"/>
              </w:rPr>
            </w:pPr>
            <w:r w:rsidRPr="00DE096C">
              <w:rPr>
                <w:bCs/>
                <w:color w:val="002060"/>
                <w:sz w:val="16"/>
                <w:szCs w:val="16"/>
              </w:rPr>
              <w:t>2,0</w:t>
            </w:r>
          </w:p>
        </w:tc>
        <w:tc>
          <w:tcPr>
            <w:tcW w:w="681" w:type="dxa"/>
          </w:tcPr>
          <w:p w14:paraId="2EA59FDF" w14:textId="77777777" w:rsidR="000343AB" w:rsidRPr="00DE096C" w:rsidRDefault="000343AB" w:rsidP="00D45A46">
            <w:pPr>
              <w:jc w:val="both"/>
              <w:rPr>
                <w:bCs/>
                <w:color w:val="002060"/>
                <w:sz w:val="16"/>
                <w:szCs w:val="16"/>
              </w:rPr>
            </w:pPr>
            <w:r w:rsidRPr="00DE096C">
              <w:rPr>
                <w:bCs/>
                <w:color w:val="002060"/>
                <w:sz w:val="16"/>
                <w:szCs w:val="16"/>
              </w:rPr>
              <w:t>3,6</w:t>
            </w:r>
          </w:p>
        </w:tc>
        <w:tc>
          <w:tcPr>
            <w:tcW w:w="588" w:type="dxa"/>
          </w:tcPr>
          <w:p w14:paraId="22F2F426" w14:textId="77777777" w:rsidR="000343AB" w:rsidRPr="00DE096C" w:rsidRDefault="000343AB" w:rsidP="00D45A46">
            <w:pPr>
              <w:jc w:val="both"/>
              <w:rPr>
                <w:bCs/>
                <w:color w:val="002060"/>
                <w:sz w:val="16"/>
                <w:szCs w:val="16"/>
              </w:rPr>
            </w:pPr>
            <w:r w:rsidRPr="00DE096C">
              <w:rPr>
                <w:bCs/>
                <w:color w:val="002060"/>
                <w:sz w:val="16"/>
                <w:szCs w:val="16"/>
              </w:rPr>
              <w:t>—</w:t>
            </w:r>
          </w:p>
        </w:tc>
        <w:tc>
          <w:tcPr>
            <w:tcW w:w="588" w:type="dxa"/>
          </w:tcPr>
          <w:p w14:paraId="5D8D09E1" w14:textId="77777777" w:rsidR="000343AB" w:rsidRPr="00DE096C" w:rsidRDefault="000343AB" w:rsidP="00D45A46">
            <w:pPr>
              <w:jc w:val="both"/>
              <w:rPr>
                <w:bCs/>
                <w:color w:val="002060"/>
                <w:sz w:val="16"/>
                <w:szCs w:val="16"/>
              </w:rPr>
            </w:pPr>
            <w:r w:rsidRPr="00DE096C">
              <w:rPr>
                <w:bCs/>
                <w:color w:val="002060"/>
                <w:sz w:val="16"/>
                <w:szCs w:val="16"/>
              </w:rPr>
              <w:t>—</w:t>
            </w:r>
          </w:p>
        </w:tc>
        <w:tc>
          <w:tcPr>
            <w:tcW w:w="588" w:type="dxa"/>
          </w:tcPr>
          <w:p w14:paraId="06C0DFCC" w14:textId="77777777" w:rsidR="000343AB" w:rsidRPr="00DE096C" w:rsidRDefault="000343AB" w:rsidP="00D45A46">
            <w:pPr>
              <w:jc w:val="both"/>
              <w:rPr>
                <w:bCs/>
                <w:color w:val="002060"/>
                <w:sz w:val="16"/>
                <w:szCs w:val="16"/>
              </w:rPr>
            </w:pPr>
            <w:r w:rsidRPr="00DE096C">
              <w:rPr>
                <w:bCs/>
                <w:color w:val="002060"/>
                <w:sz w:val="16"/>
                <w:szCs w:val="16"/>
              </w:rPr>
              <w:t>—</w:t>
            </w:r>
          </w:p>
        </w:tc>
        <w:tc>
          <w:tcPr>
            <w:tcW w:w="600" w:type="dxa"/>
          </w:tcPr>
          <w:p w14:paraId="30564D88" w14:textId="77777777" w:rsidR="000343AB" w:rsidRPr="00DE096C" w:rsidRDefault="000343AB" w:rsidP="00D45A46">
            <w:pPr>
              <w:jc w:val="both"/>
              <w:rPr>
                <w:bCs/>
                <w:color w:val="002060"/>
                <w:sz w:val="16"/>
                <w:szCs w:val="16"/>
              </w:rPr>
            </w:pPr>
            <w:r w:rsidRPr="00DE096C">
              <w:rPr>
                <w:bCs/>
                <w:color w:val="002060"/>
                <w:sz w:val="16"/>
                <w:szCs w:val="16"/>
              </w:rPr>
              <w:t>—</w:t>
            </w:r>
          </w:p>
        </w:tc>
      </w:tr>
      <w:tr w:rsidR="000343AB" w:rsidRPr="00DE096C" w14:paraId="6EBBB486" w14:textId="77777777" w:rsidTr="00D34AC1">
        <w:tc>
          <w:tcPr>
            <w:tcW w:w="2040" w:type="dxa"/>
          </w:tcPr>
          <w:p w14:paraId="013B956F" w14:textId="77777777" w:rsidR="000343AB" w:rsidRPr="00DE096C" w:rsidRDefault="000343AB" w:rsidP="00D45A46">
            <w:pPr>
              <w:jc w:val="both"/>
              <w:rPr>
                <w:bCs/>
                <w:color w:val="002060"/>
                <w:sz w:val="16"/>
                <w:szCs w:val="16"/>
              </w:rPr>
            </w:pPr>
            <w:r w:rsidRPr="00DE096C">
              <w:rPr>
                <w:bCs/>
                <w:color w:val="002060"/>
                <w:sz w:val="16"/>
                <w:szCs w:val="16"/>
              </w:rPr>
              <w:t>Втулки капсюльные</w:t>
            </w:r>
          </w:p>
        </w:tc>
        <w:tc>
          <w:tcPr>
            <w:tcW w:w="588" w:type="dxa"/>
          </w:tcPr>
          <w:p w14:paraId="65E083FC" w14:textId="77777777" w:rsidR="000343AB" w:rsidRPr="00DE096C" w:rsidRDefault="000343AB" w:rsidP="00D45A46">
            <w:pPr>
              <w:jc w:val="both"/>
              <w:rPr>
                <w:bCs/>
                <w:color w:val="002060"/>
                <w:sz w:val="16"/>
                <w:szCs w:val="16"/>
              </w:rPr>
            </w:pPr>
            <w:r w:rsidRPr="00DE096C">
              <w:rPr>
                <w:bCs/>
                <w:color w:val="002060"/>
                <w:sz w:val="16"/>
                <w:szCs w:val="16"/>
              </w:rPr>
              <w:t>—</w:t>
            </w:r>
          </w:p>
        </w:tc>
        <w:tc>
          <w:tcPr>
            <w:tcW w:w="588" w:type="dxa"/>
          </w:tcPr>
          <w:p w14:paraId="71345162" w14:textId="77777777" w:rsidR="000343AB" w:rsidRPr="00DE096C" w:rsidRDefault="000343AB" w:rsidP="00D45A46">
            <w:pPr>
              <w:jc w:val="both"/>
              <w:rPr>
                <w:bCs/>
                <w:color w:val="002060"/>
                <w:sz w:val="16"/>
                <w:szCs w:val="16"/>
              </w:rPr>
            </w:pPr>
            <w:r w:rsidRPr="00DE096C">
              <w:rPr>
                <w:bCs/>
                <w:color w:val="002060"/>
                <w:sz w:val="16"/>
                <w:szCs w:val="16"/>
              </w:rPr>
              <w:t>84.000</w:t>
            </w:r>
          </w:p>
        </w:tc>
        <w:tc>
          <w:tcPr>
            <w:tcW w:w="681" w:type="dxa"/>
          </w:tcPr>
          <w:p w14:paraId="7F23050C" w14:textId="77777777" w:rsidR="000343AB" w:rsidRPr="00DE096C" w:rsidRDefault="000343AB" w:rsidP="00D45A46">
            <w:pPr>
              <w:jc w:val="both"/>
              <w:rPr>
                <w:bCs/>
                <w:color w:val="002060"/>
                <w:sz w:val="16"/>
                <w:szCs w:val="16"/>
              </w:rPr>
            </w:pPr>
            <w:r w:rsidRPr="00DE096C">
              <w:rPr>
                <w:bCs/>
                <w:color w:val="002060"/>
                <w:sz w:val="16"/>
                <w:szCs w:val="16"/>
              </w:rPr>
              <w:t>52.600</w:t>
            </w:r>
          </w:p>
        </w:tc>
        <w:tc>
          <w:tcPr>
            <w:tcW w:w="681" w:type="dxa"/>
          </w:tcPr>
          <w:p w14:paraId="7D85A5A7" w14:textId="77777777" w:rsidR="000343AB" w:rsidRPr="00DE096C" w:rsidRDefault="000343AB" w:rsidP="00D45A46">
            <w:pPr>
              <w:jc w:val="both"/>
              <w:rPr>
                <w:bCs/>
                <w:color w:val="002060"/>
                <w:sz w:val="16"/>
                <w:szCs w:val="16"/>
              </w:rPr>
            </w:pPr>
            <w:r w:rsidRPr="00DE096C">
              <w:rPr>
                <w:bCs/>
                <w:color w:val="002060"/>
                <w:sz w:val="16"/>
                <w:szCs w:val="16"/>
              </w:rPr>
              <w:t>136.600</w:t>
            </w:r>
          </w:p>
        </w:tc>
        <w:tc>
          <w:tcPr>
            <w:tcW w:w="588" w:type="dxa"/>
          </w:tcPr>
          <w:p w14:paraId="0B30E118" w14:textId="77777777" w:rsidR="000343AB" w:rsidRPr="00DE096C" w:rsidRDefault="000343AB" w:rsidP="00D45A46">
            <w:pPr>
              <w:jc w:val="both"/>
              <w:rPr>
                <w:bCs/>
                <w:color w:val="002060"/>
                <w:sz w:val="16"/>
                <w:szCs w:val="16"/>
              </w:rPr>
            </w:pPr>
            <w:r w:rsidRPr="00DE096C">
              <w:rPr>
                <w:bCs/>
                <w:color w:val="002060"/>
                <w:sz w:val="16"/>
                <w:szCs w:val="16"/>
              </w:rPr>
              <w:t>—</w:t>
            </w:r>
          </w:p>
        </w:tc>
        <w:tc>
          <w:tcPr>
            <w:tcW w:w="588" w:type="dxa"/>
          </w:tcPr>
          <w:p w14:paraId="6D381F12" w14:textId="77777777" w:rsidR="000343AB" w:rsidRPr="00DE096C" w:rsidRDefault="000343AB" w:rsidP="00D45A46">
            <w:pPr>
              <w:jc w:val="both"/>
              <w:rPr>
                <w:bCs/>
                <w:color w:val="002060"/>
                <w:sz w:val="16"/>
                <w:szCs w:val="16"/>
              </w:rPr>
            </w:pPr>
            <w:r w:rsidRPr="00DE096C">
              <w:rPr>
                <w:bCs/>
                <w:color w:val="002060"/>
                <w:sz w:val="16"/>
                <w:szCs w:val="16"/>
              </w:rPr>
              <w:t>—</w:t>
            </w:r>
          </w:p>
        </w:tc>
        <w:tc>
          <w:tcPr>
            <w:tcW w:w="588" w:type="dxa"/>
          </w:tcPr>
          <w:p w14:paraId="1D0CEF13" w14:textId="77777777" w:rsidR="000343AB" w:rsidRPr="00DE096C" w:rsidRDefault="000343AB" w:rsidP="00D45A46">
            <w:pPr>
              <w:jc w:val="both"/>
              <w:rPr>
                <w:bCs/>
                <w:color w:val="002060"/>
                <w:sz w:val="16"/>
                <w:szCs w:val="16"/>
              </w:rPr>
            </w:pPr>
            <w:r w:rsidRPr="00DE096C">
              <w:rPr>
                <w:bCs/>
                <w:color w:val="002060"/>
                <w:sz w:val="16"/>
                <w:szCs w:val="16"/>
              </w:rPr>
              <w:t>—</w:t>
            </w:r>
          </w:p>
        </w:tc>
        <w:tc>
          <w:tcPr>
            <w:tcW w:w="600" w:type="dxa"/>
          </w:tcPr>
          <w:p w14:paraId="143C775C" w14:textId="77777777" w:rsidR="000343AB" w:rsidRPr="00DE096C" w:rsidRDefault="000343AB" w:rsidP="00D45A46">
            <w:pPr>
              <w:jc w:val="both"/>
              <w:rPr>
                <w:bCs/>
                <w:color w:val="002060"/>
                <w:sz w:val="16"/>
                <w:szCs w:val="16"/>
              </w:rPr>
            </w:pPr>
            <w:r w:rsidRPr="00DE096C">
              <w:rPr>
                <w:bCs/>
                <w:color w:val="002060"/>
                <w:sz w:val="16"/>
                <w:szCs w:val="16"/>
              </w:rPr>
              <w:t>—</w:t>
            </w:r>
          </w:p>
        </w:tc>
      </w:tr>
      <w:tr w:rsidR="000343AB" w:rsidRPr="00DE096C" w14:paraId="0E7D8DAE" w14:textId="77777777" w:rsidTr="00D34AC1">
        <w:tc>
          <w:tcPr>
            <w:tcW w:w="2040" w:type="dxa"/>
          </w:tcPr>
          <w:p w14:paraId="32096A0C" w14:textId="77777777" w:rsidR="000343AB" w:rsidRPr="00DE096C" w:rsidRDefault="000343AB" w:rsidP="00D45A46">
            <w:pPr>
              <w:jc w:val="both"/>
              <w:rPr>
                <w:bCs/>
                <w:color w:val="002060"/>
                <w:sz w:val="16"/>
                <w:szCs w:val="16"/>
              </w:rPr>
            </w:pPr>
            <w:r w:rsidRPr="00DE096C">
              <w:rPr>
                <w:bCs/>
                <w:color w:val="002060"/>
                <w:sz w:val="16"/>
                <w:szCs w:val="16"/>
              </w:rPr>
              <w:t>Трубки дистанционные для ручных гранат</w:t>
            </w:r>
          </w:p>
        </w:tc>
        <w:tc>
          <w:tcPr>
            <w:tcW w:w="588" w:type="dxa"/>
          </w:tcPr>
          <w:p w14:paraId="2E362175" w14:textId="77777777" w:rsidR="000343AB" w:rsidRPr="00DE096C" w:rsidRDefault="000343AB" w:rsidP="00D45A46">
            <w:pPr>
              <w:jc w:val="both"/>
              <w:rPr>
                <w:bCs/>
                <w:color w:val="002060"/>
                <w:sz w:val="16"/>
                <w:szCs w:val="16"/>
              </w:rPr>
            </w:pPr>
            <w:r w:rsidRPr="00DE096C">
              <w:rPr>
                <w:bCs/>
                <w:color w:val="002060"/>
                <w:sz w:val="16"/>
                <w:szCs w:val="16"/>
              </w:rPr>
              <w:t>—</w:t>
            </w:r>
          </w:p>
        </w:tc>
        <w:tc>
          <w:tcPr>
            <w:tcW w:w="588" w:type="dxa"/>
          </w:tcPr>
          <w:p w14:paraId="6DAE49D6" w14:textId="77777777" w:rsidR="000343AB" w:rsidRPr="00DE096C" w:rsidRDefault="000343AB" w:rsidP="00D45A46">
            <w:pPr>
              <w:jc w:val="both"/>
              <w:rPr>
                <w:bCs/>
                <w:color w:val="002060"/>
                <w:sz w:val="16"/>
                <w:szCs w:val="16"/>
              </w:rPr>
            </w:pPr>
            <w:r w:rsidRPr="00DE096C">
              <w:rPr>
                <w:bCs/>
                <w:color w:val="002060"/>
                <w:sz w:val="16"/>
                <w:szCs w:val="16"/>
              </w:rPr>
              <w:t>—</w:t>
            </w:r>
          </w:p>
        </w:tc>
        <w:tc>
          <w:tcPr>
            <w:tcW w:w="681" w:type="dxa"/>
          </w:tcPr>
          <w:p w14:paraId="525389C2" w14:textId="77777777" w:rsidR="000343AB" w:rsidRPr="00DE096C" w:rsidRDefault="000343AB" w:rsidP="00D45A46">
            <w:pPr>
              <w:jc w:val="both"/>
              <w:rPr>
                <w:bCs/>
                <w:color w:val="002060"/>
                <w:sz w:val="16"/>
                <w:szCs w:val="16"/>
              </w:rPr>
            </w:pPr>
            <w:r w:rsidRPr="00DE096C">
              <w:rPr>
                <w:bCs/>
                <w:color w:val="002060"/>
                <w:sz w:val="16"/>
                <w:szCs w:val="16"/>
              </w:rPr>
              <w:t>249.050</w:t>
            </w:r>
          </w:p>
        </w:tc>
        <w:tc>
          <w:tcPr>
            <w:tcW w:w="681" w:type="dxa"/>
          </w:tcPr>
          <w:p w14:paraId="69D8AA6C" w14:textId="77777777" w:rsidR="000343AB" w:rsidRPr="00DE096C" w:rsidRDefault="000343AB" w:rsidP="00D45A46">
            <w:pPr>
              <w:jc w:val="both"/>
              <w:rPr>
                <w:bCs/>
                <w:color w:val="002060"/>
                <w:sz w:val="16"/>
                <w:szCs w:val="16"/>
              </w:rPr>
            </w:pPr>
            <w:r w:rsidRPr="00DE096C">
              <w:rPr>
                <w:bCs/>
                <w:color w:val="002060"/>
                <w:sz w:val="16"/>
                <w:szCs w:val="16"/>
              </w:rPr>
              <w:t>249.050</w:t>
            </w:r>
          </w:p>
        </w:tc>
        <w:tc>
          <w:tcPr>
            <w:tcW w:w="588" w:type="dxa"/>
          </w:tcPr>
          <w:p w14:paraId="380ECDFF" w14:textId="77777777" w:rsidR="000343AB" w:rsidRPr="00DE096C" w:rsidRDefault="000343AB" w:rsidP="00D45A46">
            <w:pPr>
              <w:jc w:val="both"/>
              <w:rPr>
                <w:bCs/>
                <w:color w:val="002060"/>
                <w:sz w:val="16"/>
                <w:szCs w:val="16"/>
              </w:rPr>
            </w:pPr>
            <w:r w:rsidRPr="00DE096C">
              <w:rPr>
                <w:bCs/>
                <w:color w:val="002060"/>
                <w:sz w:val="16"/>
                <w:szCs w:val="16"/>
              </w:rPr>
              <w:t>—</w:t>
            </w:r>
          </w:p>
        </w:tc>
        <w:tc>
          <w:tcPr>
            <w:tcW w:w="588" w:type="dxa"/>
          </w:tcPr>
          <w:p w14:paraId="2B018488" w14:textId="77777777" w:rsidR="000343AB" w:rsidRPr="00DE096C" w:rsidRDefault="000343AB" w:rsidP="00D45A46">
            <w:pPr>
              <w:jc w:val="both"/>
              <w:rPr>
                <w:bCs/>
                <w:color w:val="002060"/>
                <w:sz w:val="16"/>
                <w:szCs w:val="16"/>
              </w:rPr>
            </w:pPr>
            <w:r w:rsidRPr="00DE096C">
              <w:rPr>
                <w:bCs/>
                <w:color w:val="002060"/>
                <w:sz w:val="16"/>
                <w:szCs w:val="16"/>
              </w:rPr>
              <w:t>—</w:t>
            </w:r>
          </w:p>
        </w:tc>
        <w:tc>
          <w:tcPr>
            <w:tcW w:w="588" w:type="dxa"/>
          </w:tcPr>
          <w:p w14:paraId="74462786" w14:textId="77777777" w:rsidR="000343AB" w:rsidRPr="00DE096C" w:rsidRDefault="000343AB" w:rsidP="00D45A46">
            <w:pPr>
              <w:jc w:val="both"/>
              <w:rPr>
                <w:bCs/>
                <w:color w:val="002060"/>
                <w:sz w:val="16"/>
                <w:szCs w:val="16"/>
              </w:rPr>
            </w:pPr>
            <w:r w:rsidRPr="00DE096C">
              <w:rPr>
                <w:bCs/>
                <w:color w:val="002060"/>
                <w:sz w:val="16"/>
                <w:szCs w:val="16"/>
              </w:rPr>
              <w:t>—</w:t>
            </w:r>
          </w:p>
        </w:tc>
        <w:tc>
          <w:tcPr>
            <w:tcW w:w="600" w:type="dxa"/>
          </w:tcPr>
          <w:p w14:paraId="426742E1" w14:textId="77777777" w:rsidR="000343AB" w:rsidRPr="00DE096C" w:rsidRDefault="000343AB" w:rsidP="00D45A46">
            <w:pPr>
              <w:jc w:val="both"/>
              <w:rPr>
                <w:bCs/>
                <w:color w:val="002060"/>
                <w:sz w:val="16"/>
                <w:szCs w:val="16"/>
              </w:rPr>
            </w:pPr>
            <w:r w:rsidRPr="00DE096C">
              <w:rPr>
                <w:bCs/>
                <w:color w:val="002060"/>
                <w:sz w:val="16"/>
                <w:szCs w:val="16"/>
              </w:rPr>
              <w:t>—</w:t>
            </w:r>
          </w:p>
        </w:tc>
      </w:tr>
      <w:tr w:rsidR="000343AB" w:rsidRPr="00DE096C" w14:paraId="0416D229" w14:textId="77777777" w:rsidTr="00D34AC1">
        <w:tc>
          <w:tcPr>
            <w:tcW w:w="2040" w:type="dxa"/>
          </w:tcPr>
          <w:p w14:paraId="01B0FAD2" w14:textId="77777777" w:rsidR="000343AB" w:rsidRPr="00DE096C" w:rsidRDefault="000343AB" w:rsidP="00D45A46">
            <w:pPr>
              <w:jc w:val="both"/>
              <w:rPr>
                <w:bCs/>
                <w:color w:val="002060"/>
                <w:sz w:val="16"/>
                <w:szCs w:val="16"/>
              </w:rPr>
            </w:pPr>
            <w:r w:rsidRPr="00DE096C">
              <w:rPr>
                <w:bCs/>
                <w:color w:val="002060"/>
                <w:sz w:val="16"/>
                <w:szCs w:val="16"/>
              </w:rPr>
              <w:t>Отливки и поковки разные</w:t>
            </w:r>
          </w:p>
        </w:tc>
        <w:tc>
          <w:tcPr>
            <w:tcW w:w="588" w:type="dxa"/>
          </w:tcPr>
          <w:p w14:paraId="7D92FD03" w14:textId="77777777" w:rsidR="000343AB" w:rsidRPr="00DE096C" w:rsidRDefault="000343AB" w:rsidP="00D45A46">
            <w:pPr>
              <w:jc w:val="both"/>
              <w:rPr>
                <w:bCs/>
                <w:color w:val="002060"/>
                <w:sz w:val="16"/>
                <w:szCs w:val="16"/>
              </w:rPr>
            </w:pPr>
            <w:r w:rsidRPr="00DE096C">
              <w:rPr>
                <w:bCs/>
                <w:color w:val="002060"/>
                <w:sz w:val="16"/>
                <w:szCs w:val="16"/>
              </w:rPr>
              <w:t>92.100</w:t>
            </w:r>
          </w:p>
        </w:tc>
        <w:tc>
          <w:tcPr>
            <w:tcW w:w="588" w:type="dxa"/>
          </w:tcPr>
          <w:p w14:paraId="0B015B2D" w14:textId="77777777" w:rsidR="000343AB" w:rsidRPr="00DE096C" w:rsidRDefault="000343AB" w:rsidP="00D45A46">
            <w:pPr>
              <w:jc w:val="both"/>
              <w:rPr>
                <w:bCs/>
                <w:color w:val="002060"/>
                <w:sz w:val="16"/>
                <w:szCs w:val="16"/>
              </w:rPr>
            </w:pPr>
            <w:r w:rsidRPr="00DE096C">
              <w:rPr>
                <w:bCs/>
                <w:color w:val="002060"/>
                <w:sz w:val="16"/>
                <w:szCs w:val="16"/>
              </w:rPr>
              <w:t>88.000</w:t>
            </w:r>
          </w:p>
        </w:tc>
        <w:tc>
          <w:tcPr>
            <w:tcW w:w="681" w:type="dxa"/>
          </w:tcPr>
          <w:p w14:paraId="4E1373EF" w14:textId="77777777" w:rsidR="000343AB" w:rsidRPr="00DE096C" w:rsidRDefault="000343AB" w:rsidP="00D45A46">
            <w:pPr>
              <w:jc w:val="both"/>
              <w:rPr>
                <w:bCs/>
                <w:color w:val="002060"/>
                <w:sz w:val="16"/>
                <w:szCs w:val="16"/>
              </w:rPr>
            </w:pPr>
            <w:r w:rsidRPr="00DE096C">
              <w:rPr>
                <w:bCs/>
                <w:color w:val="002060"/>
                <w:sz w:val="16"/>
                <w:szCs w:val="16"/>
              </w:rPr>
              <w:t>169.000</w:t>
            </w:r>
          </w:p>
        </w:tc>
        <w:tc>
          <w:tcPr>
            <w:tcW w:w="681" w:type="dxa"/>
          </w:tcPr>
          <w:p w14:paraId="5B538691" w14:textId="77777777" w:rsidR="000343AB" w:rsidRPr="00DE096C" w:rsidRDefault="000343AB" w:rsidP="00D45A46">
            <w:pPr>
              <w:jc w:val="both"/>
              <w:rPr>
                <w:bCs/>
                <w:color w:val="002060"/>
                <w:sz w:val="16"/>
                <w:szCs w:val="16"/>
              </w:rPr>
            </w:pPr>
            <w:r w:rsidRPr="00DE096C">
              <w:rPr>
                <w:bCs/>
                <w:color w:val="002060"/>
                <w:sz w:val="16"/>
                <w:szCs w:val="16"/>
              </w:rPr>
              <w:t>329.400</w:t>
            </w:r>
          </w:p>
        </w:tc>
        <w:tc>
          <w:tcPr>
            <w:tcW w:w="588" w:type="dxa"/>
          </w:tcPr>
          <w:p w14:paraId="2E5E5459" w14:textId="77777777" w:rsidR="000343AB" w:rsidRPr="00DE096C" w:rsidRDefault="000343AB" w:rsidP="00D45A46">
            <w:pPr>
              <w:jc w:val="both"/>
              <w:rPr>
                <w:bCs/>
                <w:color w:val="002060"/>
                <w:sz w:val="16"/>
                <w:szCs w:val="16"/>
              </w:rPr>
            </w:pPr>
            <w:r w:rsidRPr="00DE096C">
              <w:rPr>
                <w:bCs/>
                <w:color w:val="002060"/>
                <w:sz w:val="16"/>
                <w:szCs w:val="16"/>
              </w:rPr>
              <w:t>—</w:t>
            </w:r>
          </w:p>
        </w:tc>
        <w:tc>
          <w:tcPr>
            <w:tcW w:w="588" w:type="dxa"/>
          </w:tcPr>
          <w:p w14:paraId="73D6B4D8" w14:textId="77777777" w:rsidR="000343AB" w:rsidRPr="00DE096C" w:rsidRDefault="000343AB" w:rsidP="00D45A46">
            <w:pPr>
              <w:jc w:val="both"/>
              <w:rPr>
                <w:bCs/>
                <w:color w:val="002060"/>
                <w:sz w:val="16"/>
                <w:szCs w:val="16"/>
              </w:rPr>
            </w:pPr>
            <w:r w:rsidRPr="00DE096C">
              <w:rPr>
                <w:bCs/>
                <w:color w:val="002060"/>
                <w:sz w:val="16"/>
                <w:szCs w:val="16"/>
              </w:rPr>
              <w:t>—</w:t>
            </w:r>
          </w:p>
        </w:tc>
        <w:tc>
          <w:tcPr>
            <w:tcW w:w="588" w:type="dxa"/>
          </w:tcPr>
          <w:p w14:paraId="0EE4AC7F" w14:textId="77777777" w:rsidR="000343AB" w:rsidRPr="00DE096C" w:rsidRDefault="000343AB" w:rsidP="00D45A46">
            <w:pPr>
              <w:jc w:val="both"/>
              <w:rPr>
                <w:bCs/>
                <w:color w:val="002060"/>
                <w:sz w:val="16"/>
                <w:szCs w:val="16"/>
              </w:rPr>
            </w:pPr>
            <w:r w:rsidRPr="00DE096C">
              <w:rPr>
                <w:bCs/>
                <w:color w:val="002060"/>
                <w:sz w:val="16"/>
                <w:szCs w:val="16"/>
              </w:rPr>
              <w:t>—</w:t>
            </w:r>
          </w:p>
        </w:tc>
        <w:tc>
          <w:tcPr>
            <w:tcW w:w="600" w:type="dxa"/>
          </w:tcPr>
          <w:p w14:paraId="75BA3882" w14:textId="77777777" w:rsidR="000343AB" w:rsidRPr="00DE096C" w:rsidRDefault="000343AB" w:rsidP="00D45A46">
            <w:pPr>
              <w:jc w:val="both"/>
              <w:rPr>
                <w:bCs/>
                <w:color w:val="002060"/>
                <w:sz w:val="16"/>
                <w:szCs w:val="16"/>
              </w:rPr>
            </w:pPr>
            <w:r w:rsidRPr="00DE096C">
              <w:rPr>
                <w:bCs/>
                <w:color w:val="002060"/>
                <w:sz w:val="16"/>
                <w:szCs w:val="16"/>
              </w:rPr>
              <w:t>—</w:t>
            </w:r>
          </w:p>
        </w:tc>
      </w:tr>
      <w:tr w:rsidR="000343AB" w:rsidRPr="00DE096C" w14:paraId="1E8436CE" w14:textId="77777777" w:rsidTr="00D34AC1">
        <w:tc>
          <w:tcPr>
            <w:tcW w:w="2040" w:type="dxa"/>
          </w:tcPr>
          <w:p w14:paraId="7A8916FA" w14:textId="77777777" w:rsidR="000343AB" w:rsidRPr="00DE096C" w:rsidRDefault="000343AB" w:rsidP="00D45A46">
            <w:pPr>
              <w:jc w:val="both"/>
              <w:rPr>
                <w:bCs/>
                <w:color w:val="002060"/>
                <w:sz w:val="16"/>
                <w:szCs w:val="16"/>
              </w:rPr>
            </w:pPr>
            <w:r w:rsidRPr="00DE096C">
              <w:rPr>
                <w:bCs/>
                <w:color w:val="002060"/>
                <w:sz w:val="16"/>
                <w:szCs w:val="16"/>
              </w:rPr>
              <w:t>Установок позиционных системы Розенберга</w:t>
            </w:r>
          </w:p>
        </w:tc>
        <w:tc>
          <w:tcPr>
            <w:tcW w:w="588" w:type="dxa"/>
          </w:tcPr>
          <w:p w14:paraId="78437BD7" w14:textId="77777777" w:rsidR="000343AB" w:rsidRPr="00DE096C" w:rsidRDefault="000343AB" w:rsidP="00D45A46">
            <w:pPr>
              <w:jc w:val="both"/>
              <w:rPr>
                <w:bCs/>
                <w:color w:val="002060"/>
                <w:sz w:val="16"/>
                <w:szCs w:val="16"/>
              </w:rPr>
            </w:pPr>
            <w:r w:rsidRPr="00DE096C">
              <w:rPr>
                <w:bCs/>
                <w:color w:val="002060"/>
                <w:sz w:val="16"/>
                <w:szCs w:val="16"/>
              </w:rPr>
              <w:t>31</w:t>
            </w:r>
          </w:p>
        </w:tc>
        <w:tc>
          <w:tcPr>
            <w:tcW w:w="588" w:type="dxa"/>
          </w:tcPr>
          <w:p w14:paraId="4FF2CD3B" w14:textId="77777777" w:rsidR="000343AB" w:rsidRPr="00DE096C" w:rsidRDefault="000343AB" w:rsidP="00D45A46">
            <w:pPr>
              <w:jc w:val="both"/>
              <w:rPr>
                <w:bCs/>
                <w:color w:val="002060"/>
                <w:sz w:val="16"/>
                <w:szCs w:val="16"/>
              </w:rPr>
            </w:pPr>
            <w:r w:rsidRPr="00DE096C">
              <w:rPr>
                <w:bCs/>
                <w:color w:val="002060"/>
                <w:sz w:val="16"/>
                <w:szCs w:val="16"/>
              </w:rPr>
              <w:t>220</w:t>
            </w:r>
          </w:p>
        </w:tc>
        <w:tc>
          <w:tcPr>
            <w:tcW w:w="681" w:type="dxa"/>
          </w:tcPr>
          <w:p w14:paraId="30B84074" w14:textId="77777777" w:rsidR="000343AB" w:rsidRPr="00DE096C" w:rsidRDefault="000343AB" w:rsidP="00D45A46">
            <w:pPr>
              <w:jc w:val="both"/>
              <w:rPr>
                <w:bCs/>
                <w:color w:val="002060"/>
                <w:sz w:val="16"/>
                <w:szCs w:val="16"/>
              </w:rPr>
            </w:pPr>
            <w:r w:rsidRPr="00DE096C">
              <w:rPr>
                <w:bCs/>
                <w:color w:val="002060"/>
                <w:sz w:val="16"/>
                <w:szCs w:val="16"/>
              </w:rPr>
              <w:t>58</w:t>
            </w:r>
          </w:p>
        </w:tc>
        <w:tc>
          <w:tcPr>
            <w:tcW w:w="681" w:type="dxa"/>
          </w:tcPr>
          <w:p w14:paraId="278D6AD3" w14:textId="77777777" w:rsidR="000343AB" w:rsidRPr="00DE096C" w:rsidRDefault="000343AB" w:rsidP="00D45A46">
            <w:pPr>
              <w:jc w:val="both"/>
              <w:rPr>
                <w:bCs/>
                <w:color w:val="002060"/>
                <w:sz w:val="16"/>
                <w:szCs w:val="16"/>
              </w:rPr>
            </w:pPr>
            <w:r w:rsidRPr="00DE096C">
              <w:rPr>
                <w:bCs/>
                <w:color w:val="002060"/>
                <w:sz w:val="16"/>
                <w:szCs w:val="16"/>
              </w:rPr>
              <w:t>309</w:t>
            </w:r>
          </w:p>
        </w:tc>
        <w:tc>
          <w:tcPr>
            <w:tcW w:w="588" w:type="dxa"/>
          </w:tcPr>
          <w:p w14:paraId="7747DB78" w14:textId="77777777" w:rsidR="000343AB" w:rsidRPr="00DE096C" w:rsidRDefault="000343AB" w:rsidP="00D45A46">
            <w:pPr>
              <w:jc w:val="both"/>
              <w:rPr>
                <w:bCs/>
                <w:color w:val="002060"/>
                <w:sz w:val="16"/>
                <w:szCs w:val="16"/>
              </w:rPr>
            </w:pPr>
            <w:r w:rsidRPr="00DE096C">
              <w:rPr>
                <w:bCs/>
                <w:color w:val="002060"/>
                <w:sz w:val="16"/>
                <w:szCs w:val="16"/>
              </w:rPr>
              <w:t>—</w:t>
            </w:r>
          </w:p>
        </w:tc>
        <w:tc>
          <w:tcPr>
            <w:tcW w:w="588" w:type="dxa"/>
          </w:tcPr>
          <w:p w14:paraId="1ABB7AFD" w14:textId="77777777" w:rsidR="000343AB" w:rsidRPr="00DE096C" w:rsidRDefault="000343AB" w:rsidP="00D45A46">
            <w:pPr>
              <w:jc w:val="both"/>
              <w:rPr>
                <w:bCs/>
                <w:color w:val="002060"/>
                <w:sz w:val="16"/>
                <w:szCs w:val="16"/>
              </w:rPr>
            </w:pPr>
            <w:r w:rsidRPr="00DE096C">
              <w:rPr>
                <w:bCs/>
                <w:color w:val="002060"/>
                <w:sz w:val="16"/>
                <w:szCs w:val="16"/>
              </w:rPr>
              <w:t>—</w:t>
            </w:r>
          </w:p>
        </w:tc>
        <w:tc>
          <w:tcPr>
            <w:tcW w:w="588" w:type="dxa"/>
          </w:tcPr>
          <w:p w14:paraId="256A0112" w14:textId="77777777" w:rsidR="000343AB" w:rsidRPr="00DE096C" w:rsidRDefault="000343AB" w:rsidP="00D45A46">
            <w:pPr>
              <w:jc w:val="both"/>
              <w:rPr>
                <w:bCs/>
                <w:color w:val="002060"/>
                <w:sz w:val="16"/>
                <w:szCs w:val="16"/>
              </w:rPr>
            </w:pPr>
            <w:r w:rsidRPr="00DE096C">
              <w:rPr>
                <w:bCs/>
                <w:color w:val="002060"/>
                <w:sz w:val="16"/>
                <w:szCs w:val="16"/>
              </w:rPr>
              <w:t>—</w:t>
            </w:r>
          </w:p>
        </w:tc>
        <w:tc>
          <w:tcPr>
            <w:tcW w:w="600" w:type="dxa"/>
          </w:tcPr>
          <w:p w14:paraId="6EB7DC1D" w14:textId="77777777" w:rsidR="000343AB" w:rsidRPr="00DE096C" w:rsidRDefault="000343AB" w:rsidP="00D45A46">
            <w:pPr>
              <w:jc w:val="both"/>
              <w:rPr>
                <w:bCs/>
                <w:color w:val="002060"/>
                <w:sz w:val="16"/>
                <w:szCs w:val="16"/>
              </w:rPr>
            </w:pPr>
            <w:r w:rsidRPr="00DE096C">
              <w:rPr>
                <w:bCs/>
                <w:color w:val="002060"/>
                <w:sz w:val="16"/>
                <w:szCs w:val="16"/>
              </w:rPr>
              <w:t>—</w:t>
            </w:r>
          </w:p>
        </w:tc>
      </w:tr>
      <w:tr w:rsidR="000343AB" w:rsidRPr="00DE096C" w14:paraId="01E804B1" w14:textId="77777777" w:rsidTr="00D34AC1">
        <w:tc>
          <w:tcPr>
            <w:tcW w:w="2040" w:type="dxa"/>
          </w:tcPr>
          <w:p w14:paraId="51373076" w14:textId="77777777" w:rsidR="000343AB" w:rsidRPr="00DE096C" w:rsidRDefault="000343AB" w:rsidP="00D45A46">
            <w:pPr>
              <w:jc w:val="both"/>
              <w:rPr>
                <w:bCs/>
                <w:color w:val="002060"/>
                <w:sz w:val="16"/>
                <w:szCs w:val="16"/>
              </w:rPr>
            </w:pPr>
            <w:r w:rsidRPr="00DE096C">
              <w:rPr>
                <w:bCs/>
                <w:color w:val="002060"/>
                <w:sz w:val="16"/>
                <w:szCs w:val="16"/>
              </w:rPr>
              <w:t>Штыки к австрийским винтовкам</w:t>
            </w:r>
          </w:p>
        </w:tc>
        <w:tc>
          <w:tcPr>
            <w:tcW w:w="588" w:type="dxa"/>
          </w:tcPr>
          <w:p w14:paraId="4D4AFE7A" w14:textId="77777777" w:rsidR="000343AB" w:rsidRPr="00DE096C" w:rsidRDefault="000343AB" w:rsidP="00D45A46">
            <w:pPr>
              <w:jc w:val="both"/>
              <w:rPr>
                <w:bCs/>
                <w:color w:val="002060"/>
                <w:sz w:val="16"/>
                <w:szCs w:val="16"/>
              </w:rPr>
            </w:pPr>
            <w:r w:rsidRPr="00DE096C">
              <w:rPr>
                <w:bCs/>
                <w:color w:val="002060"/>
                <w:sz w:val="16"/>
                <w:szCs w:val="16"/>
              </w:rPr>
              <w:t>—</w:t>
            </w:r>
          </w:p>
        </w:tc>
        <w:tc>
          <w:tcPr>
            <w:tcW w:w="588" w:type="dxa"/>
          </w:tcPr>
          <w:p w14:paraId="51115F78" w14:textId="77777777" w:rsidR="000343AB" w:rsidRPr="00DE096C" w:rsidRDefault="000343AB" w:rsidP="00D45A46">
            <w:pPr>
              <w:jc w:val="both"/>
              <w:rPr>
                <w:bCs/>
                <w:color w:val="002060"/>
                <w:sz w:val="16"/>
                <w:szCs w:val="16"/>
              </w:rPr>
            </w:pPr>
            <w:r w:rsidRPr="00DE096C">
              <w:rPr>
                <w:bCs/>
                <w:color w:val="002060"/>
                <w:sz w:val="16"/>
                <w:szCs w:val="16"/>
              </w:rPr>
              <w:t>50.200</w:t>
            </w:r>
          </w:p>
        </w:tc>
        <w:tc>
          <w:tcPr>
            <w:tcW w:w="681" w:type="dxa"/>
          </w:tcPr>
          <w:p w14:paraId="22884D92" w14:textId="77777777" w:rsidR="000343AB" w:rsidRPr="00DE096C" w:rsidRDefault="000343AB" w:rsidP="00D45A46">
            <w:pPr>
              <w:jc w:val="both"/>
              <w:rPr>
                <w:bCs/>
                <w:color w:val="002060"/>
                <w:sz w:val="16"/>
                <w:szCs w:val="16"/>
              </w:rPr>
            </w:pPr>
            <w:r w:rsidRPr="00DE096C">
              <w:rPr>
                <w:bCs/>
                <w:color w:val="002060"/>
                <w:sz w:val="16"/>
                <w:szCs w:val="16"/>
              </w:rPr>
              <w:t>—</w:t>
            </w:r>
          </w:p>
        </w:tc>
        <w:tc>
          <w:tcPr>
            <w:tcW w:w="681" w:type="dxa"/>
          </w:tcPr>
          <w:p w14:paraId="62149EBF" w14:textId="77777777" w:rsidR="000343AB" w:rsidRPr="00DE096C" w:rsidRDefault="000343AB" w:rsidP="00D45A46">
            <w:pPr>
              <w:jc w:val="both"/>
              <w:rPr>
                <w:bCs/>
                <w:color w:val="002060"/>
                <w:sz w:val="16"/>
                <w:szCs w:val="16"/>
              </w:rPr>
            </w:pPr>
            <w:r w:rsidRPr="00DE096C">
              <w:rPr>
                <w:bCs/>
                <w:color w:val="002060"/>
                <w:sz w:val="16"/>
                <w:szCs w:val="16"/>
              </w:rPr>
              <w:t>50.200</w:t>
            </w:r>
          </w:p>
        </w:tc>
        <w:tc>
          <w:tcPr>
            <w:tcW w:w="588" w:type="dxa"/>
          </w:tcPr>
          <w:p w14:paraId="4C1AF4E1" w14:textId="77777777" w:rsidR="000343AB" w:rsidRPr="00DE096C" w:rsidRDefault="000343AB" w:rsidP="00D45A46">
            <w:pPr>
              <w:jc w:val="both"/>
              <w:rPr>
                <w:bCs/>
                <w:color w:val="002060"/>
                <w:sz w:val="16"/>
                <w:szCs w:val="16"/>
              </w:rPr>
            </w:pPr>
            <w:r w:rsidRPr="00DE096C">
              <w:rPr>
                <w:bCs/>
                <w:color w:val="002060"/>
                <w:sz w:val="16"/>
                <w:szCs w:val="16"/>
              </w:rPr>
              <w:t>—</w:t>
            </w:r>
          </w:p>
        </w:tc>
        <w:tc>
          <w:tcPr>
            <w:tcW w:w="588" w:type="dxa"/>
          </w:tcPr>
          <w:p w14:paraId="4131405E" w14:textId="77777777" w:rsidR="000343AB" w:rsidRPr="00DE096C" w:rsidRDefault="000343AB" w:rsidP="00D45A46">
            <w:pPr>
              <w:jc w:val="both"/>
              <w:rPr>
                <w:bCs/>
                <w:color w:val="002060"/>
                <w:sz w:val="16"/>
                <w:szCs w:val="16"/>
              </w:rPr>
            </w:pPr>
            <w:r w:rsidRPr="00DE096C">
              <w:rPr>
                <w:bCs/>
                <w:color w:val="002060"/>
                <w:sz w:val="16"/>
                <w:szCs w:val="16"/>
              </w:rPr>
              <w:t>—</w:t>
            </w:r>
          </w:p>
        </w:tc>
        <w:tc>
          <w:tcPr>
            <w:tcW w:w="588" w:type="dxa"/>
          </w:tcPr>
          <w:p w14:paraId="197F2DD1" w14:textId="77777777" w:rsidR="000343AB" w:rsidRPr="00DE096C" w:rsidRDefault="000343AB" w:rsidP="00D45A46">
            <w:pPr>
              <w:jc w:val="both"/>
              <w:rPr>
                <w:bCs/>
                <w:color w:val="002060"/>
                <w:sz w:val="16"/>
                <w:szCs w:val="16"/>
              </w:rPr>
            </w:pPr>
            <w:r w:rsidRPr="00DE096C">
              <w:rPr>
                <w:bCs/>
                <w:color w:val="002060"/>
                <w:sz w:val="16"/>
                <w:szCs w:val="16"/>
              </w:rPr>
              <w:t>—</w:t>
            </w:r>
          </w:p>
        </w:tc>
        <w:tc>
          <w:tcPr>
            <w:tcW w:w="600" w:type="dxa"/>
          </w:tcPr>
          <w:p w14:paraId="3F0D7255" w14:textId="77777777" w:rsidR="000343AB" w:rsidRPr="00DE096C" w:rsidRDefault="000343AB" w:rsidP="00D45A46">
            <w:pPr>
              <w:jc w:val="both"/>
              <w:rPr>
                <w:bCs/>
                <w:color w:val="002060"/>
                <w:sz w:val="16"/>
                <w:szCs w:val="16"/>
              </w:rPr>
            </w:pPr>
            <w:r w:rsidRPr="00DE096C">
              <w:rPr>
                <w:bCs/>
                <w:color w:val="002060"/>
                <w:sz w:val="16"/>
                <w:szCs w:val="16"/>
              </w:rPr>
              <w:t>—</w:t>
            </w:r>
          </w:p>
        </w:tc>
      </w:tr>
    </w:tbl>
    <w:p w14:paraId="3D08BDA9" w14:textId="77777777" w:rsidR="000343AB" w:rsidRPr="00DE096C" w:rsidRDefault="000343AB" w:rsidP="00D45A46">
      <w:pPr>
        <w:jc w:val="both"/>
        <w:rPr>
          <w:bCs/>
          <w:color w:val="002060"/>
          <w:sz w:val="16"/>
          <w:szCs w:val="16"/>
        </w:rPr>
      </w:pPr>
      <w:r w:rsidRPr="00DE096C">
        <w:rPr>
          <w:bCs/>
          <w:color w:val="002060"/>
          <w:sz w:val="16"/>
          <w:szCs w:val="16"/>
        </w:rPr>
        <w:t xml:space="preserve">В таблице предметы производства указаны без подразделения на марки и образцы, ввиду их большого количества. </w:t>
      </w:r>
    </w:p>
    <w:p w14:paraId="1360E18E" w14:textId="77777777" w:rsidR="000343AB" w:rsidRPr="00DE096C" w:rsidRDefault="000343AB" w:rsidP="00D45A46">
      <w:pPr>
        <w:jc w:val="both"/>
        <w:rPr>
          <w:bCs/>
          <w:color w:val="002060"/>
          <w:sz w:val="16"/>
          <w:szCs w:val="16"/>
        </w:rPr>
      </w:pPr>
      <w:r w:rsidRPr="00DE096C">
        <w:rPr>
          <w:bCs/>
          <w:color w:val="002060"/>
          <w:sz w:val="16"/>
          <w:szCs w:val="16"/>
        </w:rPr>
        <w:t xml:space="preserve">Так, лафеты готовились следующих систем: 3-дм полевые обр. 1900 г. и 1902 г., 3-дм горные обр. 1904 г. и 1909 г., 42-лин. обр. 1910 г., 48-лин. гаубичные обр. 1909 г., 6-дм полевые гаубичные, 6-дм крепостные гаубичные, 42-лин. обр. 1909 года. К названным орудиям также готовились передки и зарядные ящики. </w:t>
      </w:r>
    </w:p>
    <w:p w14:paraId="06B9B0F3" w14:textId="77777777" w:rsidR="000343AB" w:rsidRPr="00DE096C" w:rsidRDefault="000343AB" w:rsidP="00D45A46">
      <w:pPr>
        <w:jc w:val="both"/>
        <w:rPr>
          <w:bCs/>
          <w:color w:val="002060"/>
          <w:sz w:val="16"/>
          <w:szCs w:val="16"/>
        </w:rPr>
      </w:pPr>
      <w:r w:rsidRPr="00DE096C">
        <w:rPr>
          <w:bCs/>
          <w:color w:val="002060"/>
          <w:sz w:val="16"/>
          <w:szCs w:val="16"/>
        </w:rPr>
        <w:t xml:space="preserve">Что касается ремонта, то здесь к перечисленным русским системам необходимо добавить еще целый ряд иностранных, которые были приняты на вооружение у нас во время войны и ремонтировались Арсеналом. </w:t>
      </w:r>
    </w:p>
    <w:p w14:paraId="1CC5FBC6" w14:textId="77777777" w:rsidR="000343AB" w:rsidRPr="00DE096C" w:rsidRDefault="000343AB" w:rsidP="00D45A46">
      <w:pPr>
        <w:jc w:val="both"/>
        <w:rPr>
          <w:bCs/>
          <w:color w:val="002060"/>
          <w:sz w:val="16"/>
          <w:szCs w:val="16"/>
        </w:rPr>
      </w:pPr>
      <w:r w:rsidRPr="00DE096C">
        <w:rPr>
          <w:bCs/>
          <w:color w:val="002060"/>
          <w:sz w:val="16"/>
          <w:szCs w:val="16"/>
        </w:rPr>
        <w:t>За время войны, в целях усиления пропускной способности, мастерские завода были значительно пополнены различным оборудованием (11329).</w:t>
      </w:r>
    </w:p>
    <w:p w14:paraId="725895D2" w14:textId="77777777" w:rsidR="000343AB" w:rsidRPr="00DE096C" w:rsidRDefault="000343AB" w:rsidP="00D45A46">
      <w:pPr>
        <w:jc w:val="both"/>
        <w:rPr>
          <w:bCs/>
          <w:color w:val="002060"/>
          <w:sz w:val="16"/>
          <w:szCs w:val="16"/>
        </w:rPr>
      </w:pPr>
    </w:p>
    <w:p w14:paraId="4B7890A6" w14:textId="77777777" w:rsidR="000343AB" w:rsidRPr="00DE096C" w:rsidRDefault="000343AB" w:rsidP="00D45A46">
      <w:pPr>
        <w:jc w:val="both"/>
        <w:rPr>
          <w:bCs/>
          <w:color w:val="002060"/>
          <w:sz w:val="16"/>
          <w:szCs w:val="16"/>
        </w:rPr>
      </w:pPr>
      <w:r w:rsidRPr="00DE096C">
        <w:rPr>
          <w:bCs/>
          <w:color w:val="002060"/>
          <w:sz w:val="16"/>
          <w:szCs w:val="16"/>
        </w:rPr>
        <w:t xml:space="preserve">К концу июля 1914 г. ко времени начала мировой войны существовавшие артиллерийские заводы военного ведомства, объединенные под управлением ГАУ, не представляли собой стройной и законченной группы, конструированной по определенному плану и проникнутой определенной организационной идеей. Эта группа создавалась исторически на протяжении двух столетий. Она ведет свое начало от четырех казенных заводов, основанных Петром I, — Тульского и Сестрорецкого оружейных, Охтенского порохового и Петербургского арсенала, к которым постепенно, по мере развития военного дела, прибавлялись новые военные заводы, общее число коих к мировой войне выросло до 21. Понятно, что на протяжении столь долгого промежутка времени рост казенной военной промышленности не мог совершаться по единому плану и часто шел случайными линиями, под влиянием тех или иных обстоятельств или вкусов отдельных лиц, руководивших делом. </w:t>
      </w:r>
    </w:p>
    <w:p w14:paraId="6B5217C7" w14:textId="77777777" w:rsidR="000343AB" w:rsidRPr="00DE096C" w:rsidRDefault="000343AB" w:rsidP="00D45A46">
      <w:pPr>
        <w:jc w:val="both"/>
        <w:rPr>
          <w:bCs/>
          <w:color w:val="002060"/>
          <w:sz w:val="16"/>
          <w:szCs w:val="16"/>
        </w:rPr>
      </w:pPr>
      <w:r w:rsidRPr="00DE096C">
        <w:rPr>
          <w:bCs/>
          <w:color w:val="002060"/>
          <w:sz w:val="16"/>
          <w:szCs w:val="16"/>
        </w:rPr>
        <w:t xml:space="preserve">В итоге этих "случайных линий" в составе заводов ГАУ к 1914 г. не оказалось ни одного завода по специальностям: орудийных снарядов, пушечных гильз, цветных патронных металлов и военной оптики, а по основной артиллерийской специальности, орудиям, ГАУ ничего не имело в своем распоряжении, кроме такой производственной единицы, как Петроградский орудийный завод, не имевший своих металлургических цехов. Зато долгое время у ГАУ существовал отдельный ракетный завод в г. Николаеве. </w:t>
      </w:r>
    </w:p>
    <w:p w14:paraId="47672793" w14:textId="77777777" w:rsidR="000343AB" w:rsidRPr="00DE096C" w:rsidRDefault="000343AB" w:rsidP="00D45A46">
      <w:pPr>
        <w:jc w:val="both"/>
        <w:rPr>
          <w:bCs/>
          <w:color w:val="002060"/>
          <w:sz w:val="16"/>
          <w:szCs w:val="16"/>
        </w:rPr>
      </w:pPr>
      <w:r w:rsidRPr="00DE096C">
        <w:rPr>
          <w:bCs/>
          <w:color w:val="002060"/>
          <w:sz w:val="16"/>
          <w:szCs w:val="16"/>
        </w:rPr>
        <w:t xml:space="preserve">По отношению к заводам ГАУ трудно и говорить о каких-либо "организационных идеях", так как еще накануне мировой войны сама роль этих заводов в деле обороны государства оставалась для руководителей ГАУ, за малыми исключениями, совершенно неясной и неосознанной. Вот что пишет на эту тему Е.К. Смысловский в своих показаниях Верховной следственной комиссии в 1916 г.: "При соображениях об обеспечении армии пушечными патронами во время войны вопрос о производительности заводов, их изготовляющих, никогда не поднимался. Естественно поэтому, что ко времени начала войны она (то есть производительность) была в том состоянии, в каком находилась обычно в мирное время: за немногими исключениями размер ее (оборудование, помещение, обеспечение рабочей силой и отчасти материалами и т.п.) определялся существовавшими перед войной заказами мирного времени. Правда, после японской войны в военном ведомстве был поднят вопрос об обеспечении армии за счет производительности заводов, состоялись даже какие-то положения Военного совета, результатом коих после долгих проволочек было </w:t>
      </w:r>
      <w:r w:rsidRPr="00DE096C">
        <w:rPr>
          <w:bCs/>
          <w:color w:val="002060"/>
          <w:sz w:val="16"/>
          <w:szCs w:val="16"/>
        </w:rPr>
        <w:lastRenderedPageBreak/>
        <w:t xml:space="preserve">появление на свет Самарских заводов — трубочного и взрывчатых веществ. Но постепенно под влиянием ряда причин о роли заводов в отношении питания армии забыли". </w:t>
      </w:r>
    </w:p>
    <w:p w14:paraId="5B661D06" w14:textId="77777777" w:rsidR="000343AB" w:rsidRPr="00DE096C" w:rsidRDefault="000343AB" w:rsidP="00D45A46">
      <w:pPr>
        <w:jc w:val="both"/>
        <w:rPr>
          <w:bCs/>
          <w:color w:val="002060"/>
          <w:sz w:val="16"/>
          <w:szCs w:val="16"/>
        </w:rPr>
      </w:pPr>
      <w:r w:rsidRPr="00DE096C">
        <w:rPr>
          <w:bCs/>
          <w:color w:val="002060"/>
          <w:sz w:val="16"/>
          <w:szCs w:val="16"/>
        </w:rPr>
        <w:t xml:space="preserve">В другом месте тех же показаний: "В мирное время запасы (вооружения) были предметом постоянных забот и существовала постоянная тенденция к их увеличению. Но вопрос о том, чем будет питаться армия, когда запасы будут израсходованы, оставался в тени". </w:t>
      </w:r>
    </w:p>
    <w:p w14:paraId="77745B39" w14:textId="77777777" w:rsidR="000343AB" w:rsidRPr="00DE096C" w:rsidRDefault="000343AB" w:rsidP="00D45A46">
      <w:pPr>
        <w:jc w:val="both"/>
        <w:rPr>
          <w:bCs/>
          <w:color w:val="002060"/>
          <w:sz w:val="16"/>
          <w:szCs w:val="16"/>
        </w:rPr>
      </w:pPr>
      <w:r w:rsidRPr="00DE096C">
        <w:rPr>
          <w:bCs/>
          <w:color w:val="002060"/>
          <w:sz w:val="16"/>
          <w:szCs w:val="16"/>
        </w:rPr>
        <w:t xml:space="preserve">Таким образом, роль военных заводов во время войны в самом ГАУ среди его руководителей, за малым их исключением, не была осознана. Вот почему для заводов военного ведомства не было разработано на время войны никаких мобилизационных планов и на них не было возложено никакой мобилизационной подготовки. </w:t>
      </w:r>
    </w:p>
    <w:p w14:paraId="45DC9710" w14:textId="77777777" w:rsidR="000343AB" w:rsidRPr="00DE096C" w:rsidRDefault="000343AB" w:rsidP="00D45A46">
      <w:pPr>
        <w:jc w:val="both"/>
        <w:rPr>
          <w:bCs/>
          <w:color w:val="002060"/>
          <w:sz w:val="16"/>
          <w:szCs w:val="16"/>
        </w:rPr>
      </w:pPr>
      <w:r w:rsidRPr="00DE096C">
        <w:rPr>
          <w:bCs/>
          <w:color w:val="002060"/>
          <w:sz w:val="16"/>
          <w:szCs w:val="16"/>
        </w:rPr>
        <w:t xml:space="preserve">И только мировая война с исчерпывающей ясностью и убедительностью определила подлинную роль и значение заводов во время войны, показав, что настоящим источником боевого питания должна быть работа заводов в период самой войны, а не запасы, накопленные в период мира. </w:t>
      </w:r>
    </w:p>
    <w:p w14:paraId="3A9C164E" w14:textId="77777777" w:rsidR="000343AB" w:rsidRPr="00DE096C" w:rsidRDefault="000343AB" w:rsidP="00D45A46">
      <w:pPr>
        <w:jc w:val="both"/>
        <w:rPr>
          <w:bCs/>
          <w:color w:val="002060"/>
          <w:sz w:val="16"/>
          <w:szCs w:val="16"/>
        </w:rPr>
      </w:pPr>
      <w:r w:rsidRPr="00DE096C">
        <w:rPr>
          <w:bCs/>
          <w:color w:val="002060"/>
          <w:sz w:val="16"/>
          <w:szCs w:val="16"/>
        </w:rPr>
        <w:t xml:space="preserve">В этот благоприятный момент начальник ГАУ А.А. Маниковский выступил с обширной программой строительства новых казенных заводов, которая изложена в докладе его военному министру от 20 октября 1916 года. </w:t>
      </w:r>
    </w:p>
    <w:p w14:paraId="111091D8" w14:textId="77777777" w:rsidR="000343AB" w:rsidRPr="00DE096C" w:rsidRDefault="000343AB" w:rsidP="00D45A46">
      <w:pPr>
        <w:jc w:val="both"/>
        <w:rPr>
          <w:bCs/>
          <w:color w:val="002060"/>
          <w:sz w:val="16"/>
          <w:szCs w:val="16"/>
        </w:rPr>
      </w:pPr>
      <w:r w:rsidRPr="00DE096C">
        <w:rPr>
          <w:bCs/>
          <w:color w:val="002060"/>
          <w:sz w:val="16"/>
          <w:szCs w:val="16"/>
        </w:rPr>
        <w:t xml:space="preserve">В докладе высказано много интересных и новых по тому времени мыслей относительно организации боевого снабжения армии. Сама программа строительства выдержана в духе определенных организационных принципов, ясно и отчетливо формулированных. </w:t>
      </w:r>
    </w:p>
    <w:p w14:paraId="43B7C756" w14:textId="77777777" w:rsidR="000343AB" w:rsidRPr="00DE096C" w:rsidRDefault="000343AB" w:rsidP="00D45A46">
      <w:pPr>
        <w:jc w:val="both"/>
        <w:rPr>
          <w:bCs/>
          <w:color w:val="002060"/>
          <w:sz w:val="16"/>
          <w:szCs w:val="16"/>
        </w:rPr>
      </w:pPr>
      <w:r w:rsidRPr="00DE096C">
        <w:rPr>
          <w:bCs/>
          <w:color w:val="002060"/>
          <w:sz w:val="16"/>
          <w:szCs w:val="16"/>
        </w:rPr>
        <w:t xml:space="preserve">Свой доклад А.А. Маниковский начинает резкой критикой политики военного ведомства, которое, будучи застигнуто врасплох масштабом войны, начало без оглядки раздавать за границу громадные заказы на все решительно предметы вооружения. Он утверждает, что такой образ действия военного ведомства являлся грубой ошибкой, и считает его результатом паники. </w:t>
      </w:r>
    </w:p>
    <w:p w14:paraId="7C670D19" w14:textId="77777777" w:rsidR="000343AB" w:rsidRPr="00DE096C" w:rsidRDefault="000343AB" w:rsidP="00D45A46">
      <w:pPr>
        <w:jc w:val="both"/>
        <w:rPr>
          <w:bCs/>
          <w:color w:val="002060"/>
          <w:sz w:val="16"/>
          <w:szCs w:val="16"/>
        </w:rPr>
      </w:pPr>
      <w:r w:rsidRPr="00DE096C">
        <w:rPr>
          <w:bCs/>
          <w:color w:val="002060"/>
          <w:sz w:val="16"/>
          <w:szCs w:val="16"/>
        </w:rPr>
        <w:t xml:space="preserve">По мнению А.А. М., в обстановке, создавшейся в начальном периоде войны, остро были необходимы и неизбежны лишь некоторые заграничные заказы, а именно: на пороха, взрывчатые вещества, станки, металлы и некоторые еще предметы и материалы. Что касается колоссальных заказов на винтовки, пулеметы, снаряды и трубки, то автор доклада считает, что они были не нужны, и полагает, что с того момента, как определился масштаб войны, [следовало] начать закупку и заказ за границей не вооружения, а заводского оборудования для широкого развития всех основных военных производств у себя, в России. </w:t>
      </w:r>
    </w:p>
    <w:p w14:paraId="186E76A3" w14:textId="77777777" w:rsidR="000343AB" w:rsidRPr="00DE096C" w:rsidRDefault="000343AB" w:rsidP="00D45A46">
      <w:pPr>
        <w:jc w:val="both"/>
        <w:rPr>
          <w:bCs/>
          <w:color w:val="002060"/>
          <w:sz w:val="16"/>
          <w:szCs w:val="16"/>
        </w:rPr>
      </w:pPr>
      <w:r w:rsidRPr="00DE096C">
        <w:rPr>
          <w:bCs/>
          <w:color w:val="002060"/>
          <w:sz w:val="16"/>
          <w:szCs w:val="16"/>
        </w:rPr>
        <w:t xml:space="preserve">Высказывая сожаление, что так именно не было поступлено в свое время, то есть в начале 1915 г., А.А. М. в докладе категорически настаивал на необходимости исправить эту ошибку и, хотя бы с опозданием, приступить к усилению существующих заводов и постройке новых с тем, чтобы поднять производства всех главных предметов вооружения до масштаба, диктуемого потребностями современной войны, каковой являлась война 1914—1918 годов. </w:t>
      </w:r>
    </w:p>
    <w:p w14:paraId="60CA1D1C" w14:textId="77777777" w:rsidR="000343AB" w:rsidRPr="00DE096C" w:rsidRDefault="000343AB" w:rsidP="00D45A46">
      <w:pPr>
        <w:jc w:val="both"/>
        <w:rPr>
          <w:bCs/>
          <w:color w:val="002060"/>
          <w:sz w:val="16"/>
          <w:szCs w:val="16"/>
        </w:rPr>
      </w:pPr>
      <w:r w:rsidRPr="00DE096C">
        <w:rPr>
          <w:bCs/>
          <w:color w:val="002060"/>
          <w:sz w:val="16"/>
          <w:szCs w:val="16"/>
        </w:rPr>
        <w:t xml:space="preserve">То обстоятельство, что программа строительства выдвигалась во время самой войны и что плоды этого строительства будут использованы в текущей войне лишь частично, по мнению А.А. М., не должно было останавливать военное ведомство, так как готовиться к будущим войнам все равно необходимо, а обстановка, сложившаяся в текущую войну, является для этого благоприятной ввиду широко открытого союзниками кредита России и предоставления ей возможности пользоваться иностранным рынком, что после войны, без сомнения, не будет иметь места. </w:t>
      </w:r>
    </w:p>
    <w:p w14:paraId="44CBA977" w14:textId="77777777" w:rsidR="000343AB" w:rsidRPr="00DE096C" w:rsidRDefault="000343AB" w:rsidP="00D45A46">
      <w:pPr>
        <w:jc w:val="both"/>
        <w:rPr>
          <w:bCs/>
          <w:color w:val="002060"/>
          <w:sz w:val="16"/>
          <w:szCs w:val="16"/>
        </w:rPr>
      </w:pPr>
      <w:r w:rsidRPr="00DE096C">
        <w:rPr>
          <w:bCs/>
          <w:color w:val="002060"/>
          <w:sz w:val="16"/>
          <w:szCs w:val="16"/>
        </w:rPr>
        <w:t xml:space="preserve">Что касается самой программы строительства, то в основу ее А.А. М. кладет следующие принципы. Боевое снабжение армии должно обосновываться не только на работе определенной группы специально военных заводов (казенных и частных), как это было ранее, но к работе на оборону должна привлекаться и гражданская промышленность страны. Казенные заводы должны служить основным "костяком" военно-промышленного дела и с началом войны должны быстро разворачивать свое производство до максимума. Гражданская же промышленность в мирное время должна планомерно подготавливаться к военной работе с тем, чтобы, с объявлением войны, по определенному плану организованно перейти к военной работе в помощь к основным военным заводам. </w:t>
      </w:r>
    </w:p>
    <w:p w14:paraId="54312274" w14:textId="77777777" w:rsidR="000343AB" w:rsidRPr="00DE096C" w:rsidRDefault="000343AB" w:rsidP="00D45A46">
      <w:pPr>
        <w:jc w:val="both"/>
        <w:rPr>
          <w:bCs/>
          <w:color w:val="002060"/>
          <w:sz w:val="16"/>
          <w:szCs w:val="16"/>
        </w:rPr>
      </w:pPr>
      <w:r w:rsidRPr="00DE096C">
        <w:rPr>
          <w:bCs/>
          <w:color w:val="002060"/>
          <w:sz w:val="16"/>
          <w:szCs w:val="16"/>
        </w:rPr>
        <w:t xml:space="preserve">Что касается "костяка", то, по мнению А.А. М., каждое из основных военных производств должно иметь определенное количество казенных специальных заводов, число и суммарная мощность коих определяются характером производства, а именно: </w:t>
      </w:r>
    </w:p>
    <w:p w14:paraId="7C03AF61" w14:textId="77777777" w:rsidR="000343AB" w:rsidRPr="00DE096C" w:rsidRDefault="000343AB" w:rsidP="00D45A46">
      <w:pPr>
        <w:jc w:val="both"/>
        <w:rPr>
          <w:bCs/>
          <w:color w:val="002060"/>
          <w:sz w:val="16"/>
          <w:szCs w:val="16"/>
        </w:rPr>
      </w:pPr>
      <w:r w:rsidRPr="00DE096C">
        <w:rPr>
          <w:bCs/>
          <w:color w:val="002060"/>
          <w:sz w:val="16"/>
          <w:szCs w:val="16"/>
        </w:rPr>
        <w:t xml:space="preserve">винтовки, пулеметы, ружья-пулеметы, сильно взрывчатые вещества и снаряженные ими изделия должны полностью, в 100% потребности, изготовляться на казенных заводах; </w:t>
      </w:r>
    </w:p>
    <w:p w14:paraId="346C0404" w14:textId="77777777" w:rsidR="000343AB" w:rsidRPr="00DE096C" w:rsidRDefault="000343AB" w:rsidP="00D45A46">
      <w:pPr>
        <w:jc w:val="both"/>
        <w:rPr>
          <w:bCs/>
          <w:color w:val="002060"/>
          <w:sz w:val="16"/>
          <w:szCs w:val="16"/>
        </w:rPr>
      </w:pPr>
      <w:r w:rsidRPr="00DE096C">
        <w:rPr>
          <w:bCs/>
          <w:color w:val="002060"/>
          <w:sz w:val="16"/>
          <w:szCs w:val="16"/>
        </w:rPr>
        <w:t xml:space="preserve">бездымные пороха, дистанционные трубки и взрыватели (без снаряжения) — в 75% на казенных заводах и остальное на частных; </w:t>
      </w:r>
    </w:p>
    <w:p w14:paraId="2EE2D6F6" w14:textId="77777777" w:rsidR="000343AB" w:rsidRPr="00DE096C" w:rsidRDefault="000343AB" w:rsidP="00D45A46">
      <w:pPr>
        <w:jc w:val="both"/>
        <w:rPr>
          <w:bCs/>
          <w:color w:val="002060"/>
          <w:sz w:val="16"/>
          <w:szCs w:val="16"/>
        </w:rPr>
      </w:pPr>
      <w:r w:rsidRPr="00DE096C">
        <w:rPr>
          <w:bCs/>
          <w:color w:val="002060"/>
          <w:sz w:val="16"/>
          <w:szCs w:val="16"/>
        </w:rPr>
        <w:t xml:space="preserve">орудийные лафеты, слабо взрывчатые вещества, удушающие средства, противогазы — в 50% на казенных и 50% вне их; </w:t>
      </w:r>
    </w:p>
    <w:p w14:paraId="4F5D561C" w14:textId="77777777" w:rsidR="000343AB" w:rsidRPr="00DE096C" w:rsidRDefault="000343AB" w:rsidP="00D45A46">
      <w:pPr>
        <w:jc w:val="both"/>
        <w:rPr>
          <w:bCs/>
          <w:color w:val="002060"/>
          <w:sz w:val="16"/>
          <w:szCs w:val="16"/>
        </w:rPr>
      </w:pPr>
      <w:r w:rsidRPr="00DE096C">
        <w:rPr>
          <w:bCs/>
          <w:color w:val="002060"/>
          <w:sz w:val="16"/>
          <w:szCs w:val="16"/>
        </w:rPr>
        <w:t xml:space="preserve">наконец, снаряды, орудийные и винтовочные гильзы, ручные и ружейные гранаты (корпуса), капсюльные втулки, осветительные средства, оптические приборы, конская амуниция и повозки, электротехнические изделия — только в 10-20% на казенных заводах. </w:t>
      </w:r>
    </w:p>
    <w:p w14:paraId="4ABD5998" w14:textId="77777777" w:rsidR="000343AB" w:rsidRPr="00DE096C" w:rsidRDefault="000343AB" w:rsidP="00D45A46">
      <w:pPr>
        <w:jc w:val="both"/>
        <w:rPr>
          <w:bCs/>
          <w:color w:val="002060"/>
          <w:sz w:val="16"/>
          <w:szCs w:val="16"/>
        </w:rPr>
      </w:pPr>
      <w:r w:rsidRPr="00DE096C">
        <w:rPr>
          <w:bCs/>
          <w:color w:val="002060"/>
          <w:sz w:val="16"/>
          <w:szCs w:val="16"/>
        </w:rPr>
        <w:t xml:space="preserve">Приняв эту схему, А.А. Маниковский устанавливает, исходя из указаний войны, потребность в каждом из основных предметов вооружения, затем подсчитывает имеющиеся по каждому предмету производственные ресурсы, которыми располагает промышленность (военная и гражданская), и по разности между потребностями и ресурсами определяет, какие надо строить новые заводы по той или иной специальности. </w:t>
      </w:r>
    </w:p>
    <w:p w14:paraId="5D230BDC" w14:textId="77777777" w:rsidR="000343AB" w:rsidRPr="00DE096C" w:rsidRDefault="000343AB" w:rsidP="00D45A46">
      <w:pPr>
        <w:jc w:val="both"/>
        <w:rPr>
          <w:bCs/>
          <w:color w:val="002060"/>
          <w:sz w:val="16"/>
          <w:szCs w:val="16"/>
        </w:rPr>
      </w:pPr>
      <w:r w:rsidRPr="00DE096C">
        <w:rPr>
          <w:bCs/>
          <w:color w:val="002060"/>
          <w:sz w:val="16"/>
          <w:szCs w:val="16"/>
        </w:rPr>
        <w:t xml:space="preserve">А.А. Маниковский указывает, что строительство, выдвигаемое его программой, фактически началось еще в 1915 г., но шло эпизодически, по отдельным производствам, без генерального по всей военной промышленности плана, каковой и должен быть установлен программой. </w:t>
      </w:r>
    </w:p>
    <w:p w14:paraId="248AE97D" w14:textId="77777777" w:rsidR="000343AB" w:rsidRPr="00DE096C" w:rsidRDefault="000343AB" w:rsidP="00D45A46">
      <w:pPr>
        <w:jc w:val="both"/>
        <w:rPr>
          <w:bCs/>
          <w:color w:val="002060"/>
          <w:sz w:val="16"/>
          <w:szCs w:val="16"/>
        </w:rPr>
      </w:pPr>
      <w:r w:rsidRPr="00DE096C">
        <w:rPr>
          <w:bCs/>
          <w:color w:val="002060"/>
          <w:sz w:val="16"/>
          <w:szCs w:val="16"/>
        </w:rPr>
        <w:t xml:space="preserve">А.А. Маниковский не закрывает глаза на всю сложность и трудность осуществления выдвигаемой им программы, но считает, что все преграды нужно во что бы то ни стало преодолеть во имя конечной цели — выйти в деле боевого снабжения армии на путь полной независимости от заграничных рынков. </w:t>
      </w:r>
    </w:p>
    <w:p w14:paraId="002C2FD7" w14:textId="77777777" w:rsidR="000343AB" w:rsidRPr="00DE096C" w:rsidRDefault="000343AB" w:rsidP="00D45A46">
      <w:pPr>
        <w:jc w:val="both"/>
        <w:rPr>
          <w:bCs/>
          <w:color w:val="002060"/>
          <w:sz w:val="16"/>
          <w:szCs w:val="16"/>
        </w:rPr>
      </w:pPr>
      <w:r w:rsidRPr="00DE096C">
        <w:rPr>
          <w:bCs/>
          <w:color w:val="002060"/>
          <w:sz w:val="16"/>
          <w:szCs w:val="16"/>
        </w:rPr>
        <w:t xml:space="preserve">Доклад и программа А.А. Маниковского встретили ряд резких возражений со стороны Междуведомственной комиссии. Главное из них — это несвоевременность строительства, которое будет отнимать у заводов, работающих на оборону, рабочих, инженеров, материалы и транспорт. </w:t>
      </w:r>
    </w:p>
    <w:p w14:paraId="3A33ECE6" w14:textId="77777777" w:rsidR="000343AB" w:rsidRPr="00DE096C" w:rsidRDefault="000343AB" w:rsidP="00D45A46">
      <w:pPr>
        <w:jc w:val="both"/>
        <w:rPr>
          <w:bCs/>
          <w:color w:val="002060"/>
          <w:sz w:val="16"/>
          <w:szCs w:val="16"/>
        </w:rPr>
      </w:pPr>
      <w:r w:rsidRPr="00DE096C">
        <w:rPr>
          <w:bCs/>
          <w:color w:val="002060"/>
          <w:sz w:val="16"/>
          <w:szCs w:val="16"/>
        </w:rPr>
        <w:t xml:space="preserve">А.А. Маниковский подвергает критике это возражение и доказывает его неосновательность. Для строительства нужны почти исключительно строительные рабочие, не нужные в производстве. Инженеров действительно недостаток, но их много взято на фронт и следует позаботиться об их возвращении, тогда хватит и для строительства. Постройки требуют материалов, которые в производстве, за очень малым исключением, не идут. Наконец, по части транспорта подсчеты показывают, что при самой широкой программе требуется для подвоза материалов в итоге не более 10 вагонов в сутки в среднем. </w:t>
      </w:r>
    </w:p>
    <w:p w14:paraId="75140A52" w14:textId="77777777" w:rsidR="000343AB" w:rsidRPr="00DE096C" w:rsidRDefault="000343AB" w:rsidP="00D45A46">
      <w:pPr>
        <w:jc w:val="both"/>
        <w:rPr>
          <w:bCs/>
          <w:color w:val="002060"/>
          <w:sz w:val="16"/>
          <w:szCs w:val="16"/>
        </w:rPr>
      </w:pPr>
      <w:r w:rsidRPr="00DE096C">
        <w:rPr>
          <w:bCs/>
          <w:color w:val="002060"/>
          <w:sz w:val="16"/>
          <w:szCs w:val="16"/>
        </w:rPr>
        <w:t xml:space="preserve">Далее, Междуведомственная комиссия указывала на невыгодность строительства в период войны в финансовом отношении. </w:t>
      </w:r>
    </w:p>
    <w:p w14:paraId="1CDCE10E" w14:textId="77777777" w:rsidR="000343AB" w:rsidRPr="00DE096C" w:rsidRDefault="000343AB" w:rsidP="00D45A46">
      <w:pPr>
        <w:jc w:val="both"/>
        <w:rPr>
          <w:bCs/>
          <w:color w:val="002060"/>
          <w:sz w:val="16"/>
          <w:szCs w:val="16"/>
        </w:rPr>
      </w:pPr>
      <w:r w:rsidRPr="00DE096C">
        <w:rPr>
          <w:bCs/>
          <w:color w:val="002060"/>
          <w:sz w:val="16"/>
          <w:szCs w:val="16"/>
        </w:rPr>
        <w:t xml:space="preserve">Вполне соглашаясь, что постройка новых заводов во время войны обойдется значительно дороже, чем в довоенное время, А.А. М., однако, считает, что после войны она будет стоить еще дороже. Вместе с тем он утверждает, что при всяких условиях государству с экономической стороны гораздо выгодней построить завод и изготовить на нем вооружение, чем то же вооружение заказать за границей. Министры снабжения Франции А. Тома и Англии — Монтегю лично сообщали А.А. Маниковскому, что спешно построенные у них во время войны казенные заводы, несмотря на весьма высокую стоимость постройки, быстро окупились и принесли громадную экономию против заграничных заказов. </w:t>
      </w:r>
    </w:p>
    <w:p w14:paraId="60B293E6" w14:textId="77777777" w:rsidR="000343AB" w:rsidRPr="00DE096C" w:rsidRDefault="000343AB" w:rsidP="00D45A46">
      <w:pPr>
        <w:jc w:val="both"/>
        <w:rPr>
          <w:bCs/>
          <w:color w:val="002060"/>
          <w:sz w:val="16"/>
          <w:szCs w:val="16"/>
        </w:rPr>
      </w:pPr>
      <w:r w:rsidRPr="00DE096C">
        <w:rPr>
          <w:bCs/>
          <w:color w:val="002060"/>
          <w:sz w:val="16"/>
          <w:szCs w:val="16"/>
        </w:rPr>
        <w:t xml:space="preserve">За необходимость немедленно приступить к строительству А.А. М. выдвинул еще ряд соображений: наличие широкого кредита со стороны союзников; возможность приобрести весьма дешево оборудование, оставшееся свободным у иностранных заводов после исполнения ими военных заказов; вообще возможность широко пользоваться услугами рынка союзных государств; большая вероятность, что все указанные возможности не будут иметь места после войны; необходимость после войны в короткий срок воссоздать заново все мобилизационные запасы вооружения, израсходованного и изношенного в боях, и малая вероятность пополнить эти запасы за счет заграничных заказов, не говоря уже о невыгодности таких заказов. </w:t>
      </w:r>
    </w:p>
    <w:p w14:paraId="3DE0D923" w14:textId="77777777" w:rsidR="000343AB" w:rsidRPr="00DE096C" w:rsidRDefault="000343AB" w:rsidP="00D45A46">
      <w:pPr>
        <w:jc w:val="both"/>
        <w:rPr>
          <w:bCs/>
          <w:color w:val="002060"/>
          <w:sz w:val="16"/>
          <w:szCs w:val="16"/>
        </w:rPr>
      </w:pPr>
      <w:r w:rsidRPr="00DE096C">
        <w:rPr>
          <w:bCs/>
          <w:color w:val="002060"/>
          <w:sz w:val="16"/>
          <w:szCs w:val="16"/>
        </w:rPr>
        <w:t xml:space="preserve">В своем докладе А.А. М. полемизирует с Советом съездов металлообрабатывающей промышленности, также горячо возражавшим против широкого развития казенной военной промышленности. Здесь интересно остановиться на одном пункте этой полемики — вопросе о ценах. Совет утверждал, что частная промышленность работает не дороже казенной и что кажущаяся дешевизна изделий последней есть результат неправильного учета себестоимости изделий. В ответ на это А.А. М. приводит сравнительную таблицу цен казенных и частных заводов, по которым исполнялись военные заказы в 1915—1916 годах (руб.):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040"/>
        <w:gridCol w:w="1020"/>
        <w:gridCol w:w="1128"/>
      </w:tblGrid>
      <w:tr w:rsidR="000343AB" w:rsidRPr="00DE096C" w14:paraId="16B0E026" w14:textId="77777777" w:rsidTr="00D34AC1">
        <w:tc>
          <w:tcPr>
            <w:tcW w:w="2040" w:type="dxa"/>
          </w:tcPr>
          <w:p w14:paraId="75F6F3D8" w14:textId="77777777" w:rsidR="000343AB" w:rsidRPr="00DE096C" w:rsidRDefault="000343AB" w:rsidP="00D45A46">
            <w:pPr>
              <w:jc w:val="both"/>
              <w:rPr>
                <w:bCs/>
                <w:color w:val="002060"/>
                <w:sz w:val="16"/>
                <w:szCs w:val="16"/>
              </w:rPr>
            </w:pPr>
            <w:r w:rsidRPr="00DE096C">
              <w:rPr>
                <w:bCs/>
                <w:color w:val="002060"/>
                <w:sz w:val="16"/>
                <w:szCs w:val="16"/>
              </w:rPr>
              <w:t> </w:t>
            </w:r>
          </w:p>
        </w:tc>
        <w:tc>
          <w:tcPr>
            <w:tcW w:w="1020" w:type="dxa"/>
          </w:tcPr>
          <w:p w14:paraId="1DF5A766" w14:textId="77777777" w:rsidR="000343AB" w:rsidRPr="00DE096C" w:rsidRDefault="000343AB" w:rsidP="00D45A46">
            <w:pPr>
              <w:jc w:val="both"/>
              <w:rPr>
                <w:bCs/>
                <w:color w:val="002060"/>
                <w:sz w:val="16"/>
                <w:szCs w:val="16"/>
              </w:rPr>
            </w:pPr>
            <w:r w:rsidRPr="00DE096C">
              <w:rPr>
                <w:bCs/>
                <w:color w:val="002060"/>
                <w:sz w:val="16"/>
                <w:szCs w:val="16"/>
              </w:rPr>
              <w:t>Частные заводы</w:t>
            </w:r>
          </w:p>
        </w:tc>
        <w:tc>
          <w:tcPr>
            <w:tcW w:w="1128" w:type="dxa"/>
          </w:tcPr>
          <w:p w14:paraId="7423A654" w14:textId="77777777" w:rsidR="000343AB" w:rsidRPr="00DE096C" w:rsidRDefault="000343AB" w:rsidP="00D45A46">
            <w:pPr>
              <w:jc w:val="both"/>
              <w:rPr>
                <w:bCs/>
                <w:color w:val="002060"/>
                <w:sz w:val="16"/>
                <w:szCs w:val="16"/>
              </w:rPr>
            </w:pPr>
            <w:r w:rsidRPr="00DE096C">
              <w:rPr>
                <w:bCs/>
                <w:color w:val="002060"/>
                <w:sz w:val="16"/>
                <w:szCs w:val="16"/>
              </w:rPr>
              <w:t>Казенные заводы</w:t>
            </w:r>
          </w:p>
        </w:tc>
      </w:tr>
      <w:tr w:rsidR="000343AB" w:rsidRPr="00DE096C" w14:paraId="780A5FCF" w14:textId="77777777" w:rsidTr="00D34AC1">
        <w:tc>
          <w:tcPr>
            <w:tcW w:w="2040" w:type="dxa"/>
          </w:tcPr>
          <w:p w14:paraId="1A93E08F" w14:textId="77777777" w:rsidR="000343AB" w:rsidRPr="00DE096C" w:rsidRDefault="000343AB" w:rsidP="00D45A46">
            <w:pPr>
              <w:jc w:val="both"/>
              <w:rPr>
                <w:bCs/>
                <w:color w:val="002060"/>
                <w:sz w:val="16"/>
                <w:szCs w:val="16"/>
              </w:rPr>
            </w:pPr>
            <w:r w:rsidRPr="00DE096C">
              <w:rPr>
                <w:bCs/>
                <w:color w:val="002060"/>
                <w:sz w:val="16"/>
                <w:szCs w:val="16"/>
              </w:rPr>
              <w:t>3-дм шрапнели</w:t>
            </w:r>
          </w:p>
        </w:tc>
        <w:tc>
          <w:tcPr>
            <w:tcW w:w="1020" w:type="dxa"/>
          </w:tcPr>
          <w:p w14:paraId="361A7DC1" w14:textId="77777777" w:rsidR="000343AB" w:rsidRPr="00DE096C" w:rsidRDefault="000343AB" w:rsidP="00D45A46">
            <w:pPr>
              <w:jc w:val="both"/>
              <w:rPr>
                <w:bCs/>
                <w:color w:val="002060"/>
                <w:sz w:val="16"/>
                <w:szCs w:val="16"/>
              </w:rPr>
            </w:pPr>
            <w:r w:rsidRPr="00DE096C">
              <w:rPr>
                <w:bCs/>
                <w:color w:val="002060"/>
                <w:sz w:val="16"/>
                <w:szCs w:val="16"/>
              </w:rPr>
              <w:t>15,32</w:t>
            </w:r>
          </w:p>
        </w:tc>
        <w:tc>
          <w:tcPr>
            <w:tcW w:w="1128" w:type="dxa"/>
          </w:tcPr>
          <w:p w14:paraId="31572A9C" w14:textId="77777777" w:rsidR="000343AB" w:rsidRPr="00DE096C" w:rsidRDefault="000343AB" w:rsidP="00D45A46">
            <w:pPr>
              <w:jc w:val="both"/>
              <w:rPr>
                <w:bCs/>
                <w:color w:val="002060"/>
                <w:sz w:val="16"/>
                <w:szCs w:val="16"/>
              </w:rPr>
            </w:pPr>
            <w:r w:rsidRPr="00DE096C">
              <w:rPr>
                <w:bCs/>
                <w:color w:val="002060"/>
                <w:sz w:val="16"/>
                <w:szCs w:val="16"/>
              </w:rPr>
              <w:t>9,83</w:t>
            </w:r>
          </w:p>
        </w:tc>
      </w:tr>
      <w:tr w:rsidR="000343AB" w:rsidRPr="00DE096C" w14:paraId="7680DE36" w14:textId="77777777" w:rsidTr="00D34AC1">
        <w:tc>
          <w:tcPr>
            <w:tcW w:w="2040" w:type="dxa"/>
          </w:tcPr>
          <w:p w14:paraId="410A90CB" w14:textId="77777777" w:rsidR="000343AB" w:rsidRPr="00DE096C" w:rsidRDefault="000343AB" w:rsidP="00D45A46">
            <w:pPr>
              <w:jc w:val="both"/>
              <w:rPr>
                <w:bCs/>
                <w:color w:val="002060"/>
                <w:sz w:val="16"/>
                <w:szCs w:val="16"/>
              </w:rPr>
            </w:pPr>
            <w:r w:rsidRPr="00DE096C">
              <w:rPr>
                <w:bCs/>
                <w:color w:val="002060"/>
                <w:sz w:val="16"/>
                <w:szCs w:val="16"/>
              </w:rPr>
              <w:t>3-дм гранаты</w:t>
            </w:r>
          </w:p>
        </w:tc>
        <w:tc>
          <w:tcPr>
            <w:tcW w:w="1020" w:type="dxa"/>
          </w:tcPr>
          <w:p w14:paraId="4D619AAE" w14:textId="77777777" w:rsidR="000343AB" w:rsidRPr="00DE096C" w:rsidRDefault="000343AB" w:rsidP="00D45A46">
            <w:pPr>
              <w:jc w:val="both"/>
              <w:rPr>
                <w:bCs/>
                <w:color w:val="002060"/>
                <w:sz w:val="16"/>
                <w:szCs w:val="16"/>
              </w:rPr>
            </w:pPr>
            <w:r w:rsidRPr="00DE096C">
              <w:rPr>
                <w:bCs/>
                <w:color w:val="002060"/>
                <w:sz w:val="16"/>
                <w:szCs w:val="16"/>
              </w:rPr>
              <w:t>12,13</w:t>
            </w:r>
          </w:p>
        </w:tc>
        <w:tc>
          <w:tcPr>
            <w:tcW w:w="1128" w:type="dxa"/>
          </w:tcPr>
          <w:p w14:paraId="3477E45F" w14:textId="77777777" w:rsidR="000343AB" w:rsidRPr="00DE096C" w:rsidRDefault="000343AB" w:rsidP="00D45A46">
            <w:pPr>
              <w:jc w:val="both"/>
              <w:rPr>
                <w:bCs/>
                <w:color w:val="002060"/>
                <w:sz w:val="16"/>
                <w:szCs w:val="16"/>
              </w:rPr>
            </w:pPr>
            <w:r w:rsidRPr="00DE096C">
              <w:rPr>
                <w:bCs/>
                <w:color w:val="002060"/>
                <w:sz w:val="16"/>
                <w:szCs w:val="16"/>
              </w:rPr>
              <w:t>9,00</w:t>
            </w:r>
          </w:p>
        </w:tc>
      </w:tr>
      <w:tr w:rsidR="000343AB" w:rsidRPr="00DE096C" w14:paraId="74558E65" w14:textId="77777777" w:rsidTr="00D34AC1">
        <w:tc>
          <w:tcPr>
            <w:tcW w:w="2040" w:type="dxa"/>
          </w:tcPr>
          <w:p w14:paraId="48D9A551" w14:textId="77777777" w:rsidR="000343AB" w:rsidRPr="00DE096C" w:rsidRDefault="000343AB" w:rsidP="00D45A46">
            <w:pPr>
              <w:jc w:val="both"/>
              <w:rPr>
                <w:bCs/>
                <w:color w:val="002060"/>
                <w:sz w:val="16"/>
                <w:szCs w:val="16"/>
              </w:rPr>
            </w:pPr>
            <w:r w:rsidRPr="00DE096C">
              <w:rPr>
                <w:bCs/>
                <w:color w:val="002060"/>
                <w:sz w:val="16"/>
                <w:szCs w:val="16"/>
              </w:rPr>
              <w:t>48-лин. бомбы</w:t>
            </w:r>
          </w:p>
        </w:tc>
        <w:tc>
          <w:tcPr>
            <w:tcW w:w="1020" w:type="dxa"/>
          </w:tcPr>
          <w:p w14:paraId="60A7FD40" w14:textId="77777777" w:rsidR="000343AB" w:rsidRPr="00DE096C" w:rsidRDefault="000343AB" w:rsidP="00D45A46">
            <w:pPr>
              <w:jc w:val="both"/>
              <w:rPr>
                <w:bCs/>
                <w:color w:val="002060"/>
                <w:sz w:val="16"/>
                <w:szCs w:val="16"/>
              </w:rPr>
            </w:pPr>
            <w:r w:rsidRPr="00DE096C">
              <w:rPr>
                <w:bCs/>
                <w:color w:val="002060"/>
                <w:sz w:val="16"/>
                <w:szCs w:val="16"/>
              </w:rPr>
              <w:t>45,58</w:t>
            </w:r>
          </w:p>
        </w:tc>
        <w:tc>
          <w:tcPr>
            <w:tcW w:w="1128" w:type="dxa"/>
          </w:tcPr>
          <w:p w14:paraId="27AB5E83" w14:textId="77777777" w:rsidR="000343AB" w:rsidRPr="00DE096C" w:rsidRDefault="000343AB" w:rsidP="00D45A46">
            <w:pPr>
              <w:jc w:val="both"/>
              <w:rPr>
                <w:bCs/>
                <w:color w:val="002060"/>
                <w:sz w:val="16"/>
                <w:szCs w:val="16"/>
              </w:rPr>
            </w:pPr>
            <w:r w:rsidRPr="00DE096C">
              <w:rPr>
                <w:bCs/>
                <w:color w:val="002060"/>
                <w:sz w:val="16"/>
                <w:szCs w:val="16"/>
              </w:rPr>
              <w:t>30,00</w:t>
            </w:r>
          </w:p>
        </w:tc>
      </w:tr>
      <w:tr w:rsidR="000343AB" w:rsidRPr="00DE096C" w14:paraId="2F5AABC7" w14:textId="77777777" w:rsidTr="00D34AC1">
        <w:tc>
          <w:tcPr>
            <w:tcW w:w="2040" w:type="dxa"/>
          </w:tcPr>
          <w:p w14:paraId="1144AB7C" w14:textId="77777777" w:rsidR="000343AB" w:rsidRPr="00DE096C" w:rsidRDefault="000343AB" w:rsidP="00D45A46">
            <w:pPr>
              <w:jc w:val="both"/>
              <w:rPr>
                <w:bCs/>
                <w:color w:val="002060"/>
                <w:sz w:val="16"/>
                <w:szCs w:val="16"/>
              </w:rPr>
            </w:pPr>
            <w:r w:rsidRPr="00DE096C">
              <w:rPr>
                <w:bCs/>
                <w:color w:val="002060"/>
                <w:sz w:val="16"/>
                <w:szCs w:val="16"/>
              </w:rPr>
              <w:t>42-лин. шрапнели</w:t>
            </w:r>
          </w:p>
        </w:tc>
        <w:tc>
          <w:tcPr>
            <w:tcW w:w="1020" w:type="dxa"/>
          </w:tcPr>
          <w:p w14:paraId="12737204" w14:textId="77777777" w:rsidR="000343AB" w:rsidRPr="00DE096C" w:rsidRDefault="000343AB" w:rsidP="00D45A46">
            <w:pPr>
              <w:jc w:val="both"/>
              <w:rPr>
                <w:bCs/>
                <w:color w:val="002060"/>
                <w:sz w:val="16"/>
                <w:szCs w:val="16"/>
              </w:rPr>
            </w:pPr>
            <w:r w:rsidRPr="00DE096C">
              <w:rPr>
                <w:bCs/>
                <w:color w:val="002060"/>
                <w:sz w:val="16"/>
                <w:szCs w:val="16"/>
              </w:rPr>
              <w:t>35,00</w:t>
            </w:r>
          </w:p>
        </w:tc>
        <w:tc>
          <w:tcPr>
            <w:tcW w:w="1128" w:type="dxa"/>
          </w:tcPr>
          <w:p w14:paraId="71E9BF3E" w14:textId="77777777" w:rsidR="000343AB" w:rsidRPr="00DE096C" w:rsidRDefault="000343AB" w:rsidP="00D45A46">
            <w:pPr>
              <w:jc w:val="both"/>
              <w:rPr>
                <w:bCs/>
                <w:color w:val="002060"/>
                <w:sz w:val="16"/>
                <w:szCs w:val="16"/>
              </w:rPr>
            </w:pPr>
            <w:r w:rsidRPr="00DE096C">
              <w:rPr>
                <w:bCs/>
                <w:color w:val="002060"/>
                <w:sz w:val="16"/>
                <w:szCs w:val="16"/>
              </w:rPr>
              <w:t>15,00</w:t>
            </w:r>
          </w:p>
        </w:tc>
      </w:tr>
      <w:tr w:rsidR="000343AB" w:rsidRPr="00DE096C" w14:paraId="20786A2A" w14:textId="77777777" w:rsidTr="00D34AC1">
        <w:tc>
          <w:tcPr>
            <w:tcW w:w="2040" w:type="dxa"/>
          </w:tcPr>
          <w:p w14:paraId="447CCDAE" w14:textId="77777777" w:rsidR="000343AB" w:rsidRPr="00DE096C" w:rsidRDefault="000343AB" w:rsidP="00D45A46">
            <w:pPr>
              <w:jc w:val="both"/>
              <w:rPr>
                <w:bCs/>
                <w:color w:val="002060"/>
                <w:sz w:val="16"/>
                <w:szCs w:val="16"/>
              </w:rPr>
            </w:pPr>
            <w:r w:rsidRPr="00DE096C">
              <w:rPr>
                <w:bCs/>
                <w:color w:val="002060"/>
                <w:sz w:val="16"/>
                <w:szCs w:val="16"/>
              </w:rPr>
              <w:t>6-дм гаубичные бомбы</w:t>
            </w:r>
          </w:p>
        </w:tc>
        <w:tc>
          <w:tcPr>
            <w:tcW w:w="1020" w:type="dxa"/>
          </w:tcPr>
          <w:p w14:paraId="02EB64A1" w14:textId="77777777" w:rsidR="000343AB" w:rsidRPr="00DE096C" w:rsidRDefault="000343AB" w:rsidP="00D45A46">
            <w:pPr>
              <w:jc w:val="both"/>
              <w:rPr>
                <w:bCs/>
                <w:color w:val="002060"/>
                <w:sz w:val="16"/>
                <w:szCs w:val="16"/>
              </w:rPr>
            </w:pPr>
            <w:r w:rsidRPr="00DE096C">
              <w:rPr>
                <w:bCs/>
                <w:color w:val="002060"/>
                <w:sz w:val="16"/>
                <w:szCs w:val="16"/>
              </w:rPr>
              <w:t>70,00</w:t>
            </w:r>
          </w:p>
        </w:tc>
        <w:tc>
          <w:tcPr>
            <w:tcW w:w="1128" w:type="dxa"/>
          </w:tcPr>
          <w:p w14:paraId="1B8034DB" w14:textId="77777777" w:rsidR="000343AB" w:rsidRPr="00DE096C" w:rsidRDefault="000343AB" w:rsidP="00D45A46">
            <w:pPr>
              <w:jc w:val="both"/>
              <w:rPr>
                <w:bCs/>
                <w:color w:val="002060"/>
                <w:sz w:val="16"/>
                <w:szCs w:val="16"/>
              </w:rPr>
            </w:pPr>
            <w:r w:rsidRPr="00DE096C">
              <w:rPr>
                <w:bCs/>
                <w:color w:val="002060"/>
                <w:sz w:val="16"/>
                <w:szCs w:val="16"/>
              </w:rPr>
              <w:t>48,00</w:t>
            </w:r>
          </w:p>
        </w:tc>
      </w:tr>
      <w:tr w:rsidR="000343AB" w:rsidRPr="00DE096C" w14:paraId="6A757AD4" w14:textId="77777777" w:rsidTr="00D34AC1">
        <w:tc>
          <w:tcPr>
            <w:tcW w:w="2040" w:type="dxa"/>
          </w:tcPr>
          <w:p w14:paraId="468D8501" w14:textId="77777777" w:rsidR="000343AB" w:rsidRPr="00DE096C" w:rsidRDefault="000343AB" w:rsidP="00D45A46">
            <w:pPr>
              <w:jc w:val="both"/>
              <w:rPr>
                <w:bCs/>
                <w:color w:val="002060"/>
                <w:sz w:val="16"/>
                <w:szCs w:val="16"/>
              </w:rPr>
            </w:pPr>
            <w:r w:rsidRPr="00DE096C">
              <w:rPr>
                <w:bCs/>
                <w:color w:val="002060"/>
                <w:sz w:val="16"/>
                <w:szCs w:val="16"/>
              </w:rPr>
              <w:t>6-дм гаубичные шрапнели</w:t>
            </w:r>
          </w:p>
        </w:tc>
        <w:tc>
          <w:tcPr>
            <w:tcW w:w="1020" w:type="dxa"/>
          </w:tcPr>
          <w:p w14:paraId="3E345699" w14:textId="77777777" w:rsidR="000343AB" w:rsidRPr="00DE096C" w:rsidRDefault="000343AB" w:rsidP="00D45A46">
            <w:pPr>
              <w:jc w:val="both"/>
              <w:rPr>
                <w:bCs/>
                <w:color w:val="002060"/>
                <w:sz w:val="16"/>
                <w:szCs w:val="16"/>
              </w:rPr>
            </w:pPr>
            <w:r w:rsidRPr="00DE096C">
              <w:rPr>
                <w:bCs/>
                <w:color w:val="002060"/>
                <w:sz w:val="16"/>
                <w:szCs w:val="16"/>
              </w:rPr>
              <w:t>60,00</w:t>
            </w:r>
          </w:p>
        </w:tc>
        <w:tc>
          <w:tcPr>
            <w:tcW w:w="1128" w:type="dxa"/>
          </w:tcPr>
          <w:p w14:paraId="78EB003F" w14:textId="77777777" w:rsidR="000343AB" w:rsidRPr="00DE096C" w:rsidRDefault="000343AB" w:rsidP="00D45A46">
            <w:pPr>
              <w:jc w:val="both"/>
              <w:rPr>
                <w:bCs/>
                <w:color w:val="002060"/>
                <w:sz w:val="16"/>
                <w:szCs w:val="16"/>
              </w:rPr>
            </w:pPr>
            <w:r w:rsidRPr="00DE096C">
              <w:rPr>
                <w:bCs/>
                <w:color w:val="002060"/>
                <w:sz w:val="16"/>
                <w:szCs w:val="16"/>
              </w:rPr>
              <w:t>36,00</w:t>
            </w:r>
          </w:p>
        </w:tc>
      </w:tr>
      <w:tr w:rsidR="000343AB" w:rsidRPr="00DE096C" w14:paraId="020F91BA" w14:textId="77777777" w:rsidTr="00D34AC1">
        <w:tc>
          <w:tcPr>
            <w:tcW w:w="2040" w:type="dxa"/>
          </w:tcPr>
          <w:p w14:paraId="37F6004A" w14:textId="77777777" w:rsidR="000343AB" w:rsidRPr="00DE096C" w:rsidRDefault="000343AB" w:rsidP="00D45A46">
            <w:pPr>
              <w:jc w:val="both"/>
              <w:rPr>
                <w:bCs/>
                <w:color w:val="002060"/>
                <w:sz w:val="16"/>
                <w:szCs w:val="16"/>
              </w:rPr>
            </w:pPr>
            <w:r w:rsidRPr="00DE096C">
              <w:rPr>
                <w:bCs/>
                <w:color w:val="002060"/>
                <w:sz w:val="16"/>
                <w:szCs w:val="16"/>
              </w:rPr>
              <w:t>6-дм пушечные бомбы</w:t>
            </w:r>
          </w:p>
        </w:tc>
        <w:tc>
          <w:tcPr>
            <w:tcW w:w="1020" w:type="dxa"/>
          </w:tcPr>
          <w:p w14:paraId="7375F896" w14:textId="77777777" w:rsidR="000343AB" w:rsidRPr="00DE096C" w:rsidRDefault="000343AB" w:rsidP="00D45A46">
            <w:pPr>
              <w:jc w:val="both"/>
              <w:rPr>
                <w:bCs/>
                <w:color w:val="002060"/>
                <w:sz w:val="16"/>
                <w:szCs w:val="16"/>
              </w:rPr>
            </w:pPr>
            <w:r w:rsidRPr="00DE096C">
              <w:rPr>
                <w:bCs/>
                <w:color w:val="002060"/>
                <w:sz w:val="16"/>
                <w:szCs w:val="16"/>
              </w:rPr>
              <w:t>70,00</w:t>
            </w:r>
          </w:p>
        </w:tc>
        <w:tc>
          <w:tcPr>
            <w:tcW w:w="1128" w:type="dxa"/>
          </w:tcPr>
          <w:p w14:paraId="0FCE8D4E" w14:textId="77777777" w:rsidR="000343AB" w:rsidRPr="00DE096C" w:rsidRDefault="000343AB" w:rsidP="00D45A46">
            <w:pPr>
              <w:jc w:val="both"/>
              <w:rPr>
                <w:bCs/>
                <w:color w:val="002060"/>
                <w:sz w:val="16"/>
                <w:szCs w:val="16"/>
              </w:rPr>
            </w:pPr>
            <w:r w:rsidRPr="00DE096C">
              <w:rPr>
                <w:bCs/>
                <w:color w:val="002060"/>
                <w:sz w:val="16"/>
                <w:szCs w:val="16"/>
              </w:rPr>
              <w:t>42,00</w:t>
            </w:r>
          </w:p>
        </w:tc>
      </w:tr>
      <w:tr w:rsidR="000343AB" w:rsidRPr="00DE096C" w14:paraId="47A0FA32" w14:textId="77777777" w:rsidTr="00D34AC1">
        <w:tc>
          <w:tcPr>
            <w:tcW w:w="2040" w:type="dxa"/>
          </w:tcPr>
          <w:p w14:paraId="2A563C60" w14:textId="77777777" w:rsidR="000343AB" w:rsidRPr="00DE096C" w:rsidRDefault="000343AB" w:rsidP="00D45A46">
            <w:pPr>
              <w:jc w:val="both"/>
              <w:rPr>
                <w:bCs/>
                <w:color w:val="002060"/>
                <w:sz w:val="16"/>
                <w:szCs w:val="16"/>
              </w:rPr>
            </w:pPr>
            <w:r w:rsidRPr="00DE096C">
              <w:rPr>
                <w:bCs/>
                <w:color w:val="002060"/>
                <w:sz w:val="16"/>
                <w:szCs w:val="16"/>
              </w:rPr>
              <w:t>Взрыватели 3ГТ</w:t>
            </w:r>
          </w:p>
        </w:tc>
        <w:tc>
          <w:tcPr>
            <w:tcW w:w="1020" w:type="dxa"/>
          </w:tcPr>
          <w:p w14:paraId="4957045F" w14:textId="77777777" w:rsidR="000343AB" w:rsidRPr="00DE096C" w:rsidRDefault="000343AB" w:rsidP="00D45A46">
            <w:pPr>
              <w:jc w:val="both"/>
              <w:rPr>
                <w:bCs/>
                <w:color w:val="002060"/>
                <w:sz w:val="16"/>
                <w:szCs w:val="16"/>
              </w:rPr>
            </w:pPr>
            <w:r w:rsidRPr="00DE096C">
              <w:rPr>
                <w:bCs/>
                <w:color w:val="002060"/>
                <w:sz w:val="16"/>
                <w:szCs w:val="16"/>
              </w:rPr>
              <w:t>10,55</w:t>
            </w:r>
          </w:p>
        </w:tc>
        <w:tc>
          <w:tcPr>
            <w:tcW w:w="1128" w:type="dxa"/>
          </w:tcPr>
          <w:p w14:paraId="2A4F84A8" w14:textId="77777777" w:rsidR="000343AB" w:rsidRPr="00DE096C" w:rsidRDefault="000343AB" w:rsidP="00D45A46">
            <w:pPr>
              <w:jc w:val="both"/>
              <w:rPr>
                <w:bCs/>
                <w:color w:val="002060"/>
                <w:sz w:val="16"/>
                <w:szCs w:val="16"/>
              </w:rPr>
            </w:pPr>
            <w:r w:rsidRPr="00DE096C">
              <w:rPr>
                <w:bCs/>
                <w:color w:val="002060"/>
                <w:sz w:val="16"/>
                <w:szCs w:val="16"/>
              </w:rPr>
              <w:t>8,42</w:t>
            </w:r>
          </w:p>
        </w:tc>
      </w:tr>
      <w:tr w:rsidR="000343AB" w:rsidRPr="00DE096C" w14:paraId="5769456F" w14:textId="77777777" w:rsidTr="00D34AC1">
        <w:tc>
          <w:tcPr>
            <w:tcW w:w="2040" w:type="dxa"/>
          </w:tcPr>
          <w:p w14:paraId="05AB2FDA" w14:textId="77777777" w:rsidR="000343AB" w:rsidRPr="00DE096C" w:rsidRDefault="000343AB" w:rsidP="00D45A46">
            <w:pPr>
              <w:jc w:val="both"/>
              <w:rPr>
                <w:bCs/>
                <w:color w:val="002060"/>
                <w:sz w:val="16"/>
                <w:szCs w:val="16"/>
              </w:rPr>
            </w:pPr>
            <w:r w:rsidRPr="00DE096C">
              <w:rPr>
                <w:bCs/>
                <w:color w:val="002060"/>
                <w:sz w:val="16"/>
                <w:szCs w:val="16"/>
              </w:rPr>
              <w:t>Взрыватели 4ГТ</w:t>
            </w:r>
          </w:p>
        </w:tc>
        <w:tc>
          <w:tcPr>
            <w:tcW w:w="1020" w:type="dxa"/>
          </w:tcPr>
          <w:p w14:paraId="13576FF3" w14:textId="77777777" w:rsidR="000343AB" w:rsidRPr="00DE096C" w:rsidRDefault="000343AB" w:rsidP="00D45A46">
            <w:pPr>
              <w:jc w:val="both"/>
              <w:rPr>
                <w:bCs/>
                <w:color w:val="002060"/>
                <w:sz w:val="16"/>
                <w:szCs w:val="16"/>
              </w:rPr>
            </w:pPr>
            <w:r w:rsidRPr="00DE096C">
              <w:rPr>
                <w:bCs/>
                <w:color w:val="002060"/>
                <w:sz w:val="16"/>
                <w:szCs w:val="16"/>
              </w:rPr>
              <w:t>12,50</w:t>
            </w:r>
          </w:p>
        </w:tc>
        <w:tc>
          <w:tcPr>
            <w:tcW w:w="1128" w:type="dxa"/>
          </w:tcPr>
          <w:p w14:paraId="1C6E8822" w14:textId="77777777" w:rsidR="000343AB" w:rsidRPr="00DE096C" w:rsidRDefault="000343AB" w:rsidP="00D45A46">
            <w:pPr>
              <w:jc w:val="both"/>
              <w:rPr>
                <w:bCs/>
                <w:color w:val="002060"/>
                <w:sz w:val="16"/>
                <w:szCs w:val="16"/>
              </w:rPr>
            </w:pPr>
            <w:r w:rsidRPr="00DE096C">
              <w:rPr>
                <w:bCs/>
                <w:color w:val="002060"/>
                <w:sz w:val="16"/>
                <w:szCs w:val="16"/>
              </w:rPr>
              <w:t>11,11</w:t>
            </w:r>
          </w:p>
        </w:tc>
      </w:tr>
      <w:tr w:rsidR="000343AB" w:rsidRPr="00DE096C" w14:paraId="2B379E7E" w14:textId="77777777" w:rsidTr="00D34AC1">
        <w:tc>
          <w:tcPr>
            <w:tcW w:w="2040" w:type="dxa"/>
          </w:tcPr>
          <w:p w14:paraId="7C999F4B" w14:textId="77777777" w:rsidR="000343AB" w:rsidRPr="00DE096C" w:rsidRDefault="000343AB" w:rsidP="00D45A46">
            <w:pPr>
              <w:jc w:val="both"/>
              <w:rPr>
                <w:bCs/>
                <w:color w:val="002060"/>
                <w:sz w:val="16"/>
                <w:szCs w:val="16"/>
              </w:rPr>
            </w:pPr>
            <w:r w:rsidRPr="00DE096C">
              <w:rPr>
                <w:bCs/>
                <w:color w:val="002060"/>
                <w:sz w:val="16"/>
                <w:szCs w:val="16"/>
              </w:rPr>
              <w:t>Дистанционные трубки 22-сек.</w:t>
            </w:r>
          </w:p>
        </w:tc>
        <w:tc>
          <w:tcPr>
            <w:tcW w:w="1020" w:type="dxa"/>
          </w:tcPr>
          <w:p w14:paraId="2C80F6A2" w14:textId="77777777" w:rsidR="000343AB" w:rsidRPr="00DE096C" w:rsidRDefault="000343AB" w:rsidP="00D45A46">
            <w:pPr>
              <w:jc w:val="both"/>
              <w:rPr>
                <w:bCs/>
                <w:color w:val="002060"/>
                <w:sz w:val="16"/>
                <w:szCs w:val="16"/>
              </w:rPr>
            </w:pPr>
            <w:r w:rsidRPr="00DE096C">
              <w:rPr>
                <w:bCs/>
                <w:color w:val="002060"/>
                <w:sz w:val="16"/>
                <w:szCs w:val="16"/>
              </w:rPr>
              <w:t>7,00</w:t>
            </w:r>
          </w:p>
        </w:tc>
        <w:tc>
          <w:tcPr>
            <w:tcW w:w="1128" w:type="dxa"/>
          </w:tcPr>
          <w:p w14:paraId="6A827E63" w14:textId="77777777" w:rsidR="000343AB" w:rsidRPr="00DE096C" w:rsidRDefault="000343AB" w:rsidP="00D45A46">
            <w:pPr>
              <w:jc w:val="both"/>
              <w:rPr>
                <w:bCs/>
                <w:color w:val="002060"/>
                <w:sz w:val="16"/>
                <w:szCs w:val="16"/>
              </w:rPr>
            </w:pPr>
            <w:r w:rsidRPr="00DE096C">
              <w:rPr>
                <w:bCs/>
                <w:color w:val="002060"/>
                <w:sz w:val="16"/>
                <w:szCs w:val="16"/>
              </w:rPr>
              <w:t>5,50</w:t>
            </w:r>
          </w:p>
        </w:tc>
      </w:tr>
      <w:tr w:rsidR="000343AB" w:rsidRPr="00DE096C" w14:paraId="38EA2F3E" w14:textId="77777777" w:rsidTr="00D34AC1">
        <w:tc>
          <w:tcPr>
            <w:tcW w:w="2040" w:type="dxa"/>
          </w:tcPr>
          <w:p w14:paraId="0FC80B49" w14:textId="77777777" w:rsidR="000343AB" w:rsidRPr="00DE096C" w:rsidRDefault="000343AB" w:rsidP="00D45A46">
            <w:pPr>
              <w:jc w:val="both"/>
              <w:rPr>
                <w:bCs/>
                <w:color w:val="002060"/>
                <w:sz w:val="16"/>
                <w:szCs w:val="16"/>
              </w:rPr>
            </w:pPr>
            <w:r w:rsidRPr="00DE096C">
              <w:rPr>
                <w:bCs/>
                <w:color w:val="002060"/>
                <w:sz w:val="16"/>
                <w:szCs w:val="16"/>
              </w:rPr>
              <w:t>Капсюльные втулки</w:t>
            </w:r>
          </w:p>
        </w:tc>
        <w:tc>
          <w:tcPr>
            <w:tcW w:w="1020" w:type="dxa"/>
          </w:tcPr>
          <w:p w14:paraId="0865BC40" w14:textId="77777777" w:rsidR="000343AB" w:rsidRPr="00DE096C" w:rsidRDefault="000343AB" w:rsidP="00D45A46">
            <w:pPr>
              <w:jc w:val="both"/>
              <w:rPr>
                <w:bCs/>
                <w:color w:val="002060"/>
                <w:sz w:val="16"/>
                <w:szCs w:val="16"/>
              </w:rPr>
            </w:pPr>
            <w:r w:rsidRPr="00DE096C">
              <w:rPr>
                <w:bCs/>
                <w:color w:val="002060"/>
                <w:sz w:val="16"/>
                <w:szCs w:val="16"/>
              </w:rPr>
              <w:t>1.00</w:t>
            </w:r>
          </w:p>
        </w:tc>
        <w:tc>
          <w:tcPr>
            <w:tcW w:w="1128" w:type="dxa"/>
          </w:tcPr>
          <w:p w14:paraId="41F396BA" w14:textId="77777777" w:rsidR="000343AB" w:rsidRPr="00DE096C" w:rsidRDefault="000343AB" w:rsidP="00D45A46">
            <w:pPr>
              <w:jc w:val="both"/>
              <w:rPr>
                <w:bCs/>
                <w:color w:val="002060"/>
                <w:sz w:val="16"/>
                <w:szCs w:val="16"/>
              </w:rPr>
            </w:pPr>
            <w:r w:rsidRPr="00DE096C">
              <w:rPr>
                <w:bCs/>
                <w:color w:val="002060"/>
                <w:sz w:val="16"/>
                <w:szCs w:val="16"/>
              </w:rPr>
              <w:t>0,45</w:t>
            </w:r>
          </w:p>
        </w:tc>
      </w:tr>
      <w:tr w:rsidR="000343AB" w:rsidRPr="00DE096C" w14:paraId="7AFB1732" w14:textId="77777777" w:rsidTr="00D34AC1">
        <w:tc>
          <w:tcPr>
            <w:tcW w:w="2040" w:type="dxa"/>
          </w:tcPr>
          <w:p w14:paraId="0B2336EB" w14:textId="77777777" w:rsidR="000343AB" w:rsidRPr="00DE096C" w:rsidRDefault="000343AB" w:rsidP="00D45A46">
            <w:pPr>
              <w:jc w:val="both"/>
              <w:rPr>
                <w:bCs/>
                <w:color w:val="002060"/>
                <w:sz w:val="16"/>
                <w:szCs w:val="16"/>
              </w:rPr>
            </w:pPr>
            <w:r w:rsidRPr="00DE096C">
              <w:rPr>
                <w:bCs/>
                <w:color w:val="002060"/>
                <w:sz w:val="16"/>
                <w:szCs w:val="16"/>
              </w:rPr>
              <w:t>Бездымный порох</w:t>
            </w:r>
          </w:p>
        </w:tc>
        <w:tc>
          <w:tcPr>
            <w:tcW w:w="1020" w:type="dxa"/>
          </w:tcPr>
          <w:p w14:paraId="60FE7D3B" w14:textId="77777777" w:rsidR="000343AB" w:rsidRPr="00DE096C" w:rsidRDefault="000343AB" w:rsidP="00D45A46">
            <w:pPr>
              <w:jc w:val="both"/>
              <w:rPr>
                <w:bCs/>
                <w:color w:val="002060"/>
                <w:sz w:val="16"/>
                <w:szCs w:val="16"/>
              </w:rPr>
            </w:pPr>
            <w:r w:rsidRPr="00DE096C">
              <w:rPr>
                <w:bCs/>
                <w:color w:val="002060"/>
                <w:sz w:val="16"/>
                <w:szCs w:val="16"/>
              </w:rPr>
              <w:t>100</w:t>
            </w:r>
          </w:p>
        </w:tc>
        <w:tc>
          <w:tcPr>
            <w:tcW w:w="1128" w:type="dxa"/>
          </w:tcPr>
          <w:p w14:paraId="1E17328D" w14:textId="77777777" w:rsidR="000343AB" w:rsidRPr="00DE096C" w:rsidRDefault="000343AB" w:rsidP="00D45A46">
            <w:pPr>
              <w:jc w:val="both"/>
              <w:rPr>
                <w:bCs/>
                <w:color w:val="002060"/>
                <w:sz w:val="16"/>
                <w:szCs w:val="16"/>
              </w:rPr>
            </w:pPr>
            <w:r w:rsidRPr="00DE096C">
              <w:rPr>
                <w:bCs/>
                <w:color w:val="002060"/>
                <w:sz w:val="16"/>
                <w:szCs w:val="16"/>
              </w:rPr>
              <w:t>72,00</w:t>
            </w:r>
          </w:p>
        </w:tc>
      </w:tr>
    </w:tbl>
    <w:p w14:paraId="0DB5E06A" w14:textId="77777777" w:rsidR="000343AB" w:rsidRPr="00DE096C" w:rsidRDefault="000343AB" w:rsidP="00D45A46">
      <w:pPr>
        <w:jc w:val="both"/>
        <w:rPr>
          <w:bCs/>
          <w:color w:val="002060"/>
          <w:sz w:val="16"/>
          <w:szCs w:val="16"/>
        </w:rPr>
      </w:pPr>
      <w:r w:rsidRPr="00DE096C">
        <w:rPr>
          <w:bCs/>
          <w:color w:val="002060"/>
          <w:sz w:val="16"/>
          <w:szCs w:val="16"/>
        </w:rPr>
        <w:t xml:space="preserve">Приводя эти цифры, А.А. Маниковский энергично указывает, что казенные заводы могут и должны служить надежным регуляторам цен на предметы боевого снабжения с тем, "чтобы умерять непомерные аппетиты частных заводчиков к наживе". </w:t>
      </w:r>
    </w:p>
    <w:p w14:paraId="156EF0BE" w14:textId="77777777" w:rsidR="000343AB" w:rsidRPr="00DE096C" w:rsidRDefault="000343AB" w:rsidP="00D45A46">
      <w:pPr>
        <w:jc w:val="both"/>
        <w:rPr>
          <w:bCs/>
          <w:color w:val="002060"/>
          <w:sz w:val="16"/>
          <w:szCs w:val="16"/>
        </w:rPr>
      </w:pPr>
      <w:r w:rsidRPr="00DE096C">
        <w:rPr>
          <w:bCs/>
          <w:color w:val="002060"/>
          <w:sz w:val="16"/>
          <w:szCs w:val="16"/>
        </w:rPr>
        <w:lastRenderedPageBreak/>
        <w:t xml:space="preserve">А.А. Маниковский указывает, что те некоторые элементы себестоимости, которые не учитываются в казенных ценах, во много крат меньше разницы между графами 1-й и 2-й в таблице, и аттестует цены частной промышленности как "грабительские". Он считает, что одна из важнейших задач казенных заводов — регулировка цен. </w:t>
      </w:r>
    </w:p>
    <w:p w14:paraId="5C165F45" w14:textId="77777777" w:rsidR="000343AB" w:rsidRPr="00DE096C" w:rsidRDefault="000343AB" w:rsidP="00D45A46">
      <w:pPr>
        <w:jc w:val="both"/>
        <w:rPr>
          <w:bCs/>
          <w:color w:val="002060"/>
          <w:sz w:val="16"/>
          <w:szCs w:val="16"/>
        </w:rPr>
      </w:pPr>
      <w:r w:rsidRPr="00DE096C">
        <w:rPr>
          <w:bCs/>
          <w:color w:val="002060"/>
          <w:sz w:val="16"/>
          <w:szCs w:val="16"/>
        </w:rPr>
        <w:t xml:space="preserve">Вводная к программе часть доклада заключается словами: "Неизбежным выводом из всего приведенного выше является убеждение, что к выполнению программы военно-заводского строительства следует приступить немедленно, не теряя ни одной минуты. Жертвы, которые потребует осуществление этой программы, находятся в полном соответствии с высокой целью, для которой они приносятся, и скоро окупятся сторицей". </w:t>
      </w:r>
    </w:p>
    <w:p w14:paraId="6151C763" w14:textId="77777777" w:rsidR="000343AB" w:rsidRPr="00DE096C" w:rsidRDefault="000343AB" w:rsidP="00D45A46">
      <w:pPr>
        <w:jc w:val="both"/>
        <w:rPr>
          <w:bCs/>
          <w:color w:val="002060"/>
          <w:sz w:val="16"/>
          <w:szCs w:val="16"/>
        </w:rPr>
      </w:pPr>
      <w:r w:rsidRPr="00DE096C">
        <w:rPr>
          <w:bCs/>
          <w:color w:val="002060"/>
          <w:sz w:val="16"/>
          <w:szCs w:val="16"/>
        </w:rPr>
        <w:t xml:space="preserve">После вводной части, вкратце изложенной выше, в докладе А.А. М. излагается сама программа строительства. Ниже перечислены заводы, которые надлежало строить по этой программе, в кратких чертах приведены соображения, которыми обосновывалась необходимость каждого из них, и указана судьба строившихся заводов после Февральской революции. </w:t>
      </w:r>
    </w:p>
    <w:p w14:paraId="195AFB55" w14:textId="77777777" w:rsidR="000343AB" w:rsidRPr="00DE096C" w:rsidRDefault="000343AB" w:rsidP="00D45A46">
      <w:pPr>
        <w:jc w:val="both"/>
        <w:rPr>
          <w:bCs/>
          <w:color w:val="002060"/>
          <w:sz w:val="16"/>
          <w:szCs w:val="16"/>
        </w:rPr>
      </w:pPr>
      <w:r w:rsidRPr="00DE096C">
        <w:rPr>
          <w:bCs/>
          <w:color w:val="002060"/>
          <w:sz w:val="16"/>
          <w:szCs w:val="16"/>
        </w:rPr>
        <w:t>1. Оружейные производства</w:t>
      </w:r>
    </w:p>
    <w:p w14:paraId="5268A19A" w14:textId="77777777" w:rsidR="000343AB" w:rsidRPr="00DE096C" w:rsidRDefault="000343AB" w:rsidP="00D45A46">
      <w:pPr>
        <w:jc w:val="both"/>
        <w:rPr>
          <w:bCs/>
          <w:color w:val="002060"/>
          <w:sz w:val="16"/>
          <w:szCs w:val="16"/>
        </w:rPr>
      </w:pPr>
      <w:r w:rsidRPr="00DE096C">
        <w:rPr>
          <w:bCs/>
          <w:color w:val="002060"/>
          <w:sz w:val="16"/>
          <w:szCs w:val="16"/>
        </w:rPr>
        <w:t>1) 2-й Тульский оружейный завод</w:t>
      </w:r>
    </w:p>
    <w:p w14:paraId="130C73DB" w14:textId="77777777" w:rsidR="000343AB" w:rsidRPr="00DE096C" w:rsidRDefault="000343AB" w:rsidP="00D45A46">
      <w:pPr>
        <w:jc w:val="both"/>
        <w:rPr>
          <w:bCs/>
          <w:color w:val="002060"/>
          <w:sz w:val="16"/>
          <w:szCs w:val="16"/>
        </w:rPr>
      </w:pPr>
      <w:r w:rsidRPr="00DE096C">
        <w:rPr>
          <w:bCs/>
          <w:color w:val="002060"/>
          <w:sz w:val="16"/>
          <w:szCs w:val="16"/>
        </w:rPr>
        <w:t xml:space="preserve">Как видно из сводки работы оружейных заводов — Тульского, Сестрорецкого и Ижевского, во время войны суммарный выпуск винтовок, постепенно поднимаясь, к сентябрю 1916 г. достиг 117 000 шт. в месяц. Так как эта цифра являлась результатом крайней форсировки, то максимальная производительность трех указанных заводов, которую они могли бы давать без перенапряжения в работе, нужно было оценивать не более чем в 100 000 штук. Между тем потребность в винтовках, заявленная Ставкой к концу 1916 г., была 200 000 в месяц. </w:t>
      </w:r>
    </w:p>
    <w:p w14:paraId="5FC5430B" w14:textId="77777777" w:rsidR="000343AB" w:rsidRPr="00DE096C" w:rsidRDefault="000343AB" w:rsidP="00D45A46">
      <w:pPr>
        <w:jc w:val="both"/>
        <w:rPr>
          <w:bCs/>
          <w:color w:val="002060"/>
          <w:sz w:val="16"/>
          <w:szCs w:val="16"/>
        </w:rPr>
      </w:pPr>
      <w:r w:rsidRPr="00DE096C">
        <w:rPr>
          <w:bCs/>
          <w:color w:val="002060"/>
          <w:sz w:val="16"/>
          <w:szCs w:val="16"/>
        </w:rPr>
        <w:t xml:space="preserve">Таким образом, получился дефицит в 100 000 шт. и ГАУ признало необходимым для покрытия его строить два оружейных завода, каждый на 50 000 винтовок в месяц, или 600 000 в год. </w:t>
      </w:r>
    </w:p>
    <w:p w14:paraId="2DA9D676" w14:textId="77777777" w:rsidR="000343AB" w:rsidRPr="00DE096C" w:rsidRDefault="000343AB" w:rsidP="00D45A46">
      <w:pPr>
        <w:jc w:val="both"/>
        <w:rPr>
          <w:bCs/>
          <w:color w:val="002060"/>
          <w:sz w:val="16"/>
          <w:szCs w:val="16"/>
        </w:rPr>
      </w:pPr>
      <w:r w:rsidRPr="00DE096C">
        <w:rPr>
          <w:bCs/>
          <w:color w:val="002060"/>
          <w:sz w:val="16"/>
          <w:szCs w:val="16"/>
        </w:rPr>
        <w:t xml:space="preserve">В условиях военного времени трудно было создать две строительные организации такого крупного масштаба, как это требовалось для постройки оружейных заводов, в особенности благодаря крайнему недостатку в инженерах-оружейниках. Поэтому ГАУ решило один из новых заводов строить в Туле, рядом со старым Тульским заводом с тем, чтобы их объединить под одним управлением. Это в значительной мере разрешало вопрос относительно технического персонала, а также облегчало разрешение других организационных и технических вопросов. </w:t>
      </w:r>
    </w:p>
    <w:p w14:paraId="6795420F" w14:textId="77777777" w:rsidR="000343AB" w:rsidRPr="00DE096C" w:rsidRDefault="000343AB" w:rsidP="00D45A46">
      <w:pPr>
        <w:jc w:val="both"/>
        <w:rPr>
          <w:bCs/>
          <w:color w:val="002060"/>
          <w:sz w:val="16"/>
          <w:szCs w:val="16"/>
        </w:rPr>
      </w:pPr>
      <w:r w:rsidRPr="00DE096C">
        <w:rPr>
          <w:bCs/>
          <w:color w:val="002060"/>
          <w:sz w:val="16"/>
          <w:szCs w:val="16"/>
        </w:rPr>
        <w:t xml:space="preserve">По первоначальной смете, составленной в 1915 г., стоимость постройки 2-го Тульского завода оценена была в 31,2 млн рублей. Ввиду быстрого роста цен на материалы и рабочие руки к 1916 г. эта сумма возросла до следующих цифр (млн руб.):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996"/>
        <w:gridCol w:w="3492"/>
        <w:gridCol w:w="1584"/>
      </w:tblGrid>
      <w:tr w:rsidR="000343AB" w:rsidRPr="00DE096C" w14:paraId="4ED1B2BD" w14:textId="77777777" w:rsidTr="00D34AC1">
        <w:tc>
          <w:tcPr>
            <w:tcW w:w="996" w:type="dxa"/>
          </w:tcPr>
          <w:p w14:paraId="64142771" w14:textId="77777777" w:rsidR="000343AB" w:rsidRPr="00DE096C" w:rsidRDefault="000343AB" w:rsidP="00D45A46">
            <w:pPr>
              <w:jc w:val="both"/>
              <w:rPr>
                <w:bCs/>
                <w:color w:val="002060"/>
                <w:sz w:val="16"/>
                <w:szCs w:val="16"/>
              </w:rPr>
            </w:pPr>
            <w:r w:rsidRPr="00DE096C">
              <w:rPr>
                <w:bCs/>
                <w:color w:val="002060"/>
                <w:sz w:val="16"/>
                <w:szCs w:val="16"/>
              </w:rPr>
              <w:t> </w:t>
            </w:r>
          </w:p>
        </w:tc>
        <w:tc>
          <w:tcPr>
            <w:tcW w:w="3492" w:type="dxa"/>
          </w:tcPr>
          <w:p w14:paraId="743A0CC3" w14:textId="77777777" w:rsidR="000343AB" w:rsidRPr="00DE096C" w:rsidRDefault="000343AB" w:rsidP="00D45A46">
            <w:pPr>
              <w:jc w:val="both"/>
              <w:rPr>
                <w:bCs/>
                <w:color w:val="002060"/>
                <w:sz w:val="16"/>
                <w:szCs w:val="16"/>
              </w:rPr>
            </w:pPr>
            <w:r w:rsidRPr="00DE096C">
              <w:rPr>
                <w:bCs/>
                <w:color w:val="002060"/>
                <w:sz w:val="16"/>
                <w:szCs w:val="16"/>
              </w:rPr>
              <w:t>а) строительные работы</w:t>
            </w:r>
          </w:p>
        </w:tc>
        <w:tc>
          <w:tcPr>
            <w:tcW w:w="1584" w:type="dxa"/>
          </w:tcPr>
          <w:p w14:paraId="72089890" w14:textId="77777777" w:rsidR="000343AB" w:rsidRPr="00DE096C" w:rsidRDefault="000343AB" w:rsidP="00D45A46">
            <w:pPr>
              <w:jc w:val="both"/>
              <w:rPr>
                <w:bCs/>
                <w:color w:val="002060"/>
                <w:sz w:val="16"/>
                <w:szCs w:val="16"/>
              </w:rPr>
            </w:pPr>
            <w:r w:rsidRPr="00DE096C">
              <w:rPr>
                <w:bCs/>
                <w:color w:val="002060"/>
                <w:sz w:val="16"/>
                <w:szCs w:val="16"/>
              </w:rPr>
              <w:t>25,3</w:t>
            </w:r>
          </w:p>
        </w:tc>
      </w:tr>
      <w:tr w:rsidR="000343AB" w:rsidRPr="00DE096C" w14:paraId="30904BBC" w14:textId="77777777" w:rsidTr="00D34AC1">
        <w:tc>
          <w:tcPr>
            <w:tcW w:w="996" w:type="dxa"/>
          </w:tcPr>
          <w:p w14:paraId="5DC2E230" w14:textId="77777777" w:rsidR="000343AB" w:rsidRPr="00DE096C" w:rsidRDefault="000343AB" w:rsidP="00D45A46">
            <w:pPr>
              <w:jc w:val="both"/>
              <w:rPr>
                <w:bCs/>
                <w:color w:val="002060"/>
                <w:sz w:val="16"/>
                <w:szCs w:val="16"/>
              </w:rPr>
            </w:pPr>
            <w:r w:rsidRPr="00DE096C">
              <w:rPr>
                <w:bCs/>
                <w:color w:val="002060"/>
                <w:sz w:val="16"/>
                <w:szCs w:val="16"/>
              </w:rPr>
              <w:t> </w:t>
            </w:r>
          </w:p>
        </w:tc>
        <w:tc>
          <w:tcPr>
            <w:tcW w:w="3492" w:type="dxa"/>
          </w:tcPr>
          <w:p w14:paraId="186C2A00" w14:textId="77777777" w:rsidR="000343AB" w:rsidRPr="00DE096C" w:rsidRDefault="000343AB" w:rsidP="00D45A46">
            <w:pPr>
              <w:jc w:val="both"/>
              <w:rPr>
                <w:bCs/>
                <w:color w:val="002060"/>
                <w:sz w:val="16"/>
                <w:szCs w:val="16"/>
              </w:rPr>
            </w:pPr>
            <w:r w:rsidRPr="00DE096C">
              <w:rPr>
                <w:bCs/>
                <w:color w:val="002060"/>
                <w:sz w:val="16"/>
                <w:szCs w:val="16"/>
              </w:rPr>
              <w:t>б) техническое оборудование завода</w:t>
            </w:r>
          </w:p>
        </w:tc>
        <w:tc>
          <w:tcPr>
            <w:tcW w:w="1584" w:type="dxa"/>
          </w:tcPr>
          <w:p w14:paraId="0893FE52" w14:textId="77777777" w:rsidR="000343AB" w:rsidRPr="00DE096C" w:rsidRDefault="000343AB" w:rsidP="00D45A46">
            <w:pPr>
              <w:jc w:val="both"/>
              <w:rPr>
                <w:bCs/>
                <w:color w:val="002060"/>
                <w:sz w:val="16"/>
                <w:szCs w:val="16"/>
              </w:rPr>
            </w:pPr>
            <w:r w:rsidRPr="00DE096C">
              <w:rPr>
                <w:bCs/>
                <w:color w:val="002060"/>
                <w:sz w:val="16"/>
                <w:szCs w:val="16"/>
              </w:rPr>
              <w:t>18,2</w:t>
            </w:r>
          </w:p>
        </w:tc>
      </w:tr>
      <w:tr w:rsidR="000343AB" w:rsidRPr="00DE096C" w14:paraId="28AAA5E9" w14:textId="77777777" w:rsidTr="00D34AC1">
        <w:tc>
          <w:tcPr>
            <w:tcW w:w="996" w:type="dxa"/>
          </w:tcPr>
          <w:p w14:paraId="2AB62AC3" w14:textId="77777777" w:rsidR="000343AB" w:rsidRPr="00DE096C" w:rsidRDefault="000343AB" w:rsidP="00D45A46">
            <w:pPr>
              <w:jc w:val="both"/>
              <w:rPr>
                <w:bCs/>
                <w:color w:val="002060"/>
                <w:sz w:val="16"/>
                <w:szCs w:val="16"/>
              </w:rPr>
            </w:pPr>
            <w:r w:rsidRPr="00DE096C">
              <w:rPr>
                <w:bCs/>
                <w:color w:val="002060"/>
                <w:sz w:val="16"/>
                <w:szCs w:val="16"/>
              </w:rPr>
              <w:t> </w:t>
            </w:r>
          </w:p>
        </w:tc>
        <w:tc>
          <w:tcPr>
            <w:tcW w:w="3492" w:type="dxa"/>
          </w:tcPr>
          <w:p w14:paraId="29934EE9" w14:textId="77777777" w:rsidR="000343AB" w:rsidRPr="00DE096C" w:rsidRDefault="000343AB" w:rsidP="00D45A46">
            <w:pPr>
              <w:jc w:val="both"/>
              <w:rPr>
                <w:bCs/>
                <w:color w:val="002060"/>
                <w:sz w:val="16"/>
                <w:szCs w:val="16"/>
              </w:rPr>
            </w:pPr>
            <w:r w:rsidRPr="00DE096C">
              <w:rPr>
                <w:bCs/>
                <w:color w:val="002060"/>
                <w:sz w:val="16"/>
                <w:szCs w:val="16"/>
              </w:rPr>
              <w:t>в) покупка участка земли</w:t>
            </w:r>
          </w:p>
        </w:tc>
        <w:tc>
          <w:tcPr>
            <w:tcW w:w="1584" w:type="dxa"/>
          </w:tcPr>
          <w:p w14:paraId="134712D8" w14:textId="77777777" w:rsidR="000343AB" w:rsidRPr="00DE096C" w:rsidRDefault="000343AB" w:rsidP="00D45A46">
            <w:pPr>
              <w:jc w:val="both"/>
              <w:rPr>
                <w:bCs/>
                <w:color w:val="002060"/>
                <w:sz w:val="16"/>
                <w:szCs w:val="16"/>
              </w:rPr>
            </w:pPr>
            <w:r w:rsidRPr="00DE096C">
              <w:rPr>
                <w:bCs/>
                <w:color w:val="002060"/>
                <w:sz w:val="16"/>
                <w:szCs w:val="16"/>
              </w:rPr>
              <w:t>1,5</w:t>
            </w:r>
          </w:p>
        </w:tc>
      </w:tr>
      <w:tr w:rsidR="000343AB" w:rsidRPr="00DE096C" w14:paraId="112BE159" w14:textId="77777777" w:rsidTr="00D34AC1">
        <w:tc>
          <w:tcPr>
            <w:tcW w:w="996" w:type="dxa"/>
          </w:tcPr>
          <w:p w14:paraId="35ABB363" w14:textId="77777777" w:rsidR="000343AB" w:rsidRPr="00DE096C" w:rsidRDefault="000343AB" w:rsidP="00D45A46">
            <w:pPr>
              <w:jc w:val="both"/>
              <w:rPr>
                <w:bCs/>
                <w:color w:val="002060"/>
                <w:sz w:val="16"/>
                <w:szCs w:val="16"/>
              </w:rPr>
            </w:pPr>
            <w:r w:rsidRPr="00DE096C">
              <w:rPr>
                <w:bCs/>
                <w:color w:val="002060"/>
                <w:sz w:val="16"/>
                <w:szCs w:val="16"/>
              </w:rPr>
              <w:t> </w:t>
            </w:r>
          </w:p>
        </w:tc>
        <w:tc>
          <w:tcPr>
            <w:tcW w:w="3492" w:type="dxa"/>
          </w:tcPr>
          <w:p w14:paraId="170DAB58" w14:textId="77777777" w:rsidR="000343AB" w:rsidRPr="00DE096C" w:rsidRDefault="000343AB" w:rsidP="00D45A46">
            <w:pPr>
              <w:jc w:val="both"/>
              <w:rPr>
                <w:bCs/>
                <w:color w:val="002060"/>
                <w:sz w:val="16"/>
                <w:szCs w:val="16"/>
              </w:rPr>
            </w:pPr>
            <w:r w:rsidRPr="00DE096C">
              <w:rPr>
                <w:bCs/>
                <w:color w:val="002060"/>
                <w:sz w:val="16"/>
                <w:szCs w:val="16"/>
              </w:rPr>
              <w:t>г) прочие расходы</w:t>
            </w:r>
          </w:p>
        </w:tc>
        <w:tc>
          <w:tcPr>
            <w:tcW w:w="1584" w:type="dxa"/>
          </w:tcPr>
          <w:p w14:paraId="0273024C" w14:textId="77777777" w:rsidR="000343AB" w:rsidRPr="00DE096C" w:rsidRDefault="000343AB" w:rsidP="00D45A46">
            <w:pPr>
              <w:jc w:val="both"/>
              <w:rPr>
                <w:bCs/>
                <w:color w:val="002060"/>
                <w:sz w:val="16"/>
                <w:szCs w:val="16"/>
              </w:rPr>
            </w:pPr>
            <w:r w:rsidRPr="00DE096C">
              <w:rPr>
                <w:bCs/>
                <w:color w:val="002060"/>
                <w:sz w:val="16"/>
                <w:szCs w:val="16"/>
              </w:rPr>
              <w:t>4,6</w:t>
            </w:r>
          </w:p>
        </w:tc>
      </w:tr>
      <w:tr w:rsidR="000343AB" w:rsidRPr="00DE096C" w14:paraId="60C1672A" w14:textId="77777777" w:rsidTr="00D34AC1">
        <w:tc>
          <w:tcPr>
            <w:tcW w:w="996" w:type="dxa"/>
          </w:tcPr>
          <w:p w14:paraId="5B70CE9A" w14:textId="77777777" w:rsidR="000343AB" w:rsidRPr="00DE096C" w:rsidRDefault="000343AB" w:rsidP="00D45A46">
            <w:pPr>
              <w:jc w:val="both"/>
              <w:rPr>
                <w:bCs/>
                <w:color w:val="002060"/>
                <w:sz w:val="16"/>
                <w:szCs w:val="16"/>
              </w:rPr>
            </w:pPr>
            <w:r w:rsidRPr="00DE096C">
              <w:rPr>
                <w:bCs/>
                <w:color w:val="002060"/>
                <w:sz w:val="16"/>
                <w:szCs w:val="16"/>
              </w:rPr>
              <w:t> </w:t>
            </w:r>
          </w:p>
        </w:tc>
        <w:tc>
          <w:tcPr>
            <w:tcW w:w="3492" w:type="dxa"/>
          </w:tcPr>
          <w:p w14:paraId="11B2CE6D" w14:textId="77777777" w:rsidR="000343AB" w:rsidRPr="00DE096C" w:rsidRDefault="000343AB" w:rsidP="00D45A46">
            <w:pPr>
              <w:jc w:val="both"/>
              <w:rPr>
                <w:bCs/>
                <w:color w:val="002060"/>
                <w:sz w:val="16"/>
                <w:szCs w:val="16"/>
              </w:rPr>
            </w:pPr>
            <w:r w:rsidRPr="00DE096C">
              <w:rPr>
                <w:bCs/>
                <w:color w:val="002060"/>
                <w:sz w:val="16"/>
                <w:szCs w:val="16"/>
              </w:rPr>
              <w:t>Итого</w:t>
            </w:r>
          </w:p>
        </w:tc>
        <w:tc>
          <w:tcPr>
            <w:tcW w:w="1584" w:type="dxa"/>
          </w:tcPr>
          <w:p w14:paraId="13A5F555" w14:textId="77777777" w:rsidR="000343AB" w:rsidRPr="00DE096C" w:rsidRDefault="000343AB" w:rsidP="00D45A46">
            <w:pPr>
              <w:jc w:val="both"/>
              <w:rPr>
                <w:bCs/>
                <w:color w:val="002060"/>
                <w:sz w:val="16"/>
                <w:szCs w:val="16"/>
              </w:rPr>
            </w:pPr>
            <w:r w:rsidRPr="00DE096C">
              <w:rPr>
                <w:bCs/>
                <w:color w:val="002060"/>
                <w:sz w:val="16"/>
                <w:szCs w:val="16"/>
              </w:rPr>
              <w:t>49,7 млн рублей.</w:t>
            </w:r>
          </w:p>
        </w:tc>
      </w:tr>
    </w:tbl>
    <w:p w14:paraId="769F9351" w14:textId="77777777" w:rsidR="000343AB" w:rsidRPr="00DE096C" w:rsidRDefault="000343AB" w:rsidP="00D45A46">
      <w:pPr>
        <w:jc w:val="both"/>
        <w:rPr>
          <w:bCs/>
          <w:color w:val="002060"/>
          <w:sz w:val="16"/>
          <w:szCs w:val="16"/>
        </w:rPr>
      </w:pPr>
      <w:r w:rsidRPr="00DE096C">
        <w:rPr>
          <w:bCs/>
          <w:color w:val="002060"/>
          <w:sz w:val="16"/>
          <w:szCs w:val="16"/>
        </w:rPr>
        <w:t xml:space="preserve">Строительные работы по 2-му Тульскому заводу начаты были летом 1916 года. Одновременно даны были заказы на оборудование. В 1917 г. в связи с революцией строительство приостановилось. С 1920 г. завод начал делать попытки возобновить его, но безуспешно. Более или менее планомерное продолжение постройки началось лишь в 1923 г., но по совершенно уже иной программе, чем первоначальная. </w:t>
      </w:r>
    </w:p>
    <w:p w14:paraId="62E37B31" w14:textId="77777777" w:rsidR="000343AB" w:rsidRPr="00DE096C" w:rsidRDefault="000343AB" w:rsidP="00D45A46">
      <w:pPr>
        <w:jc w:val="both"/>
        <w:rPr>
          <w:bCs/>
          <w:color w:val="002060"/>
          <w:sz w:val="16"/>
          <w:szCs w:val="16"/>
        </w:rPr>
      </w:pPr>
      <w:r w:rsidRPr="00DE096C">
        <w:rPr>
          <w:bCs/>
          <w:color w:val="002060"/>
          <w:sz w:val="16"/>
          <w:szCs w:val="16"/>
        </w:rPr>
        <w:t>2) Екатеринославский оружейный завод;</w:t>
      </w:r>
    </w:p>
    <w:p w14:paraId="4BF9EEE0" w14:textId="77777777" w:rsidR="000343AB" w:rsidRPr="00DE096C" w:rsidRDefault="000343AB" w:rsidP="00D45A46">
      <w:pPr>
        <w:jc w:val="both"/>
        <w:rPr>
          <w:bCs/>
          <w:color w:val="002060"/>
          <w:sz w:val="16"/>
          <w:szCs w:val="16"/>
        </w:rPr>
      </w:pPr>
      <w:r w:rsidRPr="00DE096C">
        <w:rPr>
          <w:bCs/>
          <w:color w:val="002060"/>
          <w:sz w:val="16"/>
          <w:szCs w:val="16"/>
        </w:rPr>
        <w:t xml:space="preserve">Что касается постройки другого оружейного завода, то первоначально военное ведомство затруднялось взять ее на себя и предполагало предоставить частному лицу или акционерному обществу построить такой завод на определенных условиях с тем, чтобы в дальнейшем, по истечении определенного срока, он перешел в казну. </w:t>
      </w:r>
    </w:p>
    <w:p w14:paraId="4E4DECAD" w14:textId="77777777" w:rsidR="000343AB" w:rsidRPr="00DE096C" w:rsidRDefault="000343AB" w:rsidP="00D45A46">
      <w:pPr>
        <w:jc w:val="both"/>
        <w:rPr>
          <w:bCs/>
          <w:color w:val="002060"/>
          <w:sz w:val="16"/>
          <w:szCs w:val="16"/>
        </w:rPr>
      </w:pPr>
      <w:r w:rsidRPr="00DE096C">
        <w:rPr>
          <w:bCs/>
          <w:color w:val="002060"/>
          <w:sz w:val="16"/>
          <w:szCs w:val="16"/>
        </w:rPr>
        <w:t xml:space="preserve">От заинтересованных в этом деле промышленников поступило несколько предложений, из которых наиболее дешевым оказалось предложение Общества "Пулемет". Оно поставило следующие условия: Общество получает заказ на 2 000 000 винтовок по цене 35 руб. за винтовку и за счет этого заказа строит завод заданной военным ведомством мощности. По выполнении заказа завод безвозмездно переходит в собственность казны. При выдаче заказа Общество получает аванс в размере до 40% стоимости заказа. Завод будет строиться по проекту, утвержденному военным ведомством. </w:t>
      </w:r>
    </w:p>
    <w:p w14:paraId="1E7D98DE" w14:textId="77777777" w:rsidR="000343AB" w:rsidRPr="00DE096C" w:rsidRDefault="000343AB" w:rsidP="00D45A46">
      <w:pPr>
        <w:jc w:val="both"/>
        <w:rPr>
          <w:bCs/>
          <w:color w:val="002060"/>
          <w:sz w:val="16"/>
          <w:szCs w:val="16"/>
        </w:rPr>
      </w:pPr>
      <w:r w:rsidRPr="00DE096C">
        <w:rPr>
          <w:bCs/>
          <w:color w:val="002060"/>
          <w:sz w:val="16"/>
          <w:szCs w:val="16"/>
        </w:rPr>
        <w:t xml:space="preserve">Указанная цена — 35 руб. за винтовку, с включением в нее 4 руб. на погашение затраченного капитала, — признавалась для военного ведомства приемлемой. Однако ввиду требования Обществом крупных авансов решено было отказаться от постройки частного завода и строить казенный. </w:t>
      </w:r>
    </w:p>
    <w:p w14:paraId="535E4554" w14:textId="77777777" w:rsidR="000343AB" w:rsidRPr="00DE096C" w:rsidRDefault="000343AB" w:rsidP="00D45A46">
      <w:pPr>
        <w:jc w:val="both"/>
        <w:rPr>
          <w:bCs/>
          <w:color w:val="002060"/>
          <w:sz w:val="16"/>
          <w:szCs w:val="16"/>
        </w:rPr>
      </w:pPr>
      <w:r w:rsidRPr="00DE096C">
        <w:rPr>
          <w:bCs/>
          <w:color w:val="002060"/>
          <w:sz w:val="16"/>
          <w:szCs w:val="16"/>
        </w:rPr>
        <w:t xml:space="preserve">Место для постройки было избрано вблизи г. Екатеринослава, на правом берегу реки Самары, на линии Екатерининской железной дороги. Стоимость постройки по смете 1915 г. определялась в сумме 34,5 млн рублей. </w:t>
      </w:r>
    </w:p>
    <w:p w14:paraId="629688B2" w14:textId="77777777" w:rsidR="000343AB" w:rsidRPr="00DE096C" w:rsidRDefault="000343AB" w:rsidP="00D45A46">
      <w:pPr>
        <w:jc w:val="both"/>
        <w:rPr>
          <w:bCs/>
          <w:color w:val="002060"/>
          <w:sz w:val="16"/>
          <w:szCs w:val="16"/>
        </w:rPr>
      </w:pPr>
      <w:r w:rsidRPr="00DE096C">
        <w:rPr>
          <w:bCs/>
          <w:color w:val="002060"/>
          <w:sz w:val="16"/>
          <w:szCs w:val="16"/>
        </w:rPr>
        <w:t xml:space="preserve">Предпринимая постройку Екатеринославского завода, военное ведомство попутно имело в виду ликвидировать Сестрорецкий оружейный завод, расположение которого в стратегическом отношении всегда признавалось опасным, и влить его оборудование во вновь строящийся завод. В указанную выше цифру стоимости сестрорецкое оборудование не включено. Внесена лишь сумма на перевоз и монтаж этого оборудования. </w:t>
      </w:r>
    </w:p>
    <w:p w14:paraId="4407050E" w14:textId="77777777" w:rsidR="000343AB" w:rsidRPr="00DE096C" w:rsidRDefault="000343AB" w:rsidP="00D45A46">
      <w:pPr>
        <w:jc w:val="both"/>
        <w:rPr>
          <w:bCs/>
          <w:color w:val="002060"/>
          <w:sz w:val="16"/>
          <w:szCs w:val="16"/>
        </w:rPr>
      </w:pPr>
      <w:r w:rsidRPr="00DE096C">
        <w:rPr>
          <w:bCs/>
          <w:color w:val="002060"/>
          <w:sz w:val="16"/>
          <w:szCs w:val="16"/>
        </w:rPr>
        <w:t xml:space="preserve">Строительные работы были начаты в 1916 году. Одновременно было частично заказано и оборудование. В 1917 г. строительство в связи с революцией было остановлено, а в 1918 г. было совершенно ликвидировано. Начатые постройки были переданы местному совнархозу, а полученное частично к этому времени оборудование распределено между Тульским и Ижевским оружейными заводами (11329). </w:t>
      </w:r>
    </w:p>
    <w:p w14:paraId="5C59D59B" w14:textId="77777777" w:rsidR="000343AB" w:rsidRPr="00DE096C" w:rsidRDefault="000343AB" w:rsidP="00D45A46">
      <w:pPr>
        <w:jc w:val="both"/>
        <w:rPr>
          <w:bCs/>
          <w:color w:val="002060"/>
          <w:sz w:val="16"/>
          <w:szCs w:val="16"/>
        </w:rPr>
      </w:pPr>
    </w:p>
    <w:p w14:paraId="7D648E3F" w14:textId="77777777" w:rsidR="000343AB" w:rsidRPr="00DE096C" w:rsidRDefault="000343AB" w:rsidP="00D45A46">
      <w:pPr>
        <w:jc w:val="both"/>
        <w:rPr>
          <w:bCs/>
          <w:color w:val="002060"/>
          <w:sz w:val="16"/>
          <w:szCs w:val="16"/>
        </w:rPr>
      </w:pPr>
      <w:r w:rsidRPr="00DE096C">
        <w:rPr>
          <w:bCs/>
          <w:color w:val="002060"/>
          <w:sz w:val="16"/>
          <w:szCs w:val="16"/>
        </w:rPr>
        <w:t>К концу июля 1914 г. перед войной 1914—1917 гг. Россия располагала 7038 орудия</w:t>
      </w:r>
      <w:r w:rsidRPr="00DE096C">
        <w:rPr>
          <w:bCs/>
          <w:color w:val="002060"/>
          <w:sz w:val="16"/>
          <w:szCs w:val="16"/>
        </w:rPr>
        <w:softHyphen/>
        <w:t>ми. Основным видом артиллерии были 76-мм орудия. На вооружении армии состояло 5 480 легких, 432 конных, 426 горных 76-мм орудий, т. е. всего 6338 орудий [11).</w:t>
      </w:r>
    </w:p>
    <w:p w14:paraId="15B1F928" w14:textId="77777777" w:rsidR="000343AB" w:rsidRPr="00DE096C" w:rsidRDefault="000343AB" w:rsidP="00D45A46">
      <w:pPr>
        <w:jc w:val="both"/>
        <w:rPr>
          <w:bCs/>
          <w:color w:val="002060"/>
          <w:sz w:val="16"/>
          <w:szCs w:val="16"/>
        </w:rPr>
      </w:pPr>
      <w:r w:rsidRPr="00DE096C">
        <w:rPr>
          <w:bCs/>
          <w:color w:val="002060"/>
          <w:sz w:val="16"/>
          <w:szCs w:val="16"/>
        </w:rPr>
        <w:t>В вооруженных силах России использовались в общей сложно</w:t>
      </w:r>
      <w:r w:rsidRPr="00DE096C">
        <w:rPr>
          <w:bCs/>
          <w:color w:val="002060"/>
          <w:sz w:val="16"/>
          <w:szCs w:val="16"/>
        </w:rPr>
        <w:softHyphen/>
        <w:t>сти 115 различных артиллерийских систем. Для них были разработа</w:t>
      </w:r>
      <w:r w:rsidRPr="00DE096C">
        <w:rPr>
          <w:bCs/>
          <w:color w:val="002060"/>
          <w:sz w:val="16"/>
          <w:szCs w:val="16"/>
        </w:rPr>
        <w:softHyphen/>
        <w:t>ны пороха соответствующих марок и конструкции зарядов.</w:t>
      </w:r>
    </w:p>
    <w:p w14:paraId="67B02728" w14:textId="77777777" w:rsidR="000343AB" w:rsidRPr="00DE096C" w:rsidRDefault="000343AB" w:rsidP="00D45A46">
      <w:pPr>
        <w:jc w:val="both"/>
        <w:rPr>
          <w:bCs/>
          <w:color w:val="002060"/>
          <w:sz w:val="16"/>
          <w:szCs w:val="16"/>
        </w:rPr>
      </w:pPr>
      <w:r w:rsidRPr="00DE096C">
        <w:rPr>
          <w:bCs/>
          <w:color w:val="002060"/>
          <w:sz w:val="16"/>
          <w:szCs w:val="16"/>
        </w:rPr>
        <w:t>Для изготовления зарядов сухопутной артиллерии и стрелкового оружия промышленность выпускала пироксилиновые пороха 30 ма</w:t>
      </w:r>
      <w:r w:rsidRPr="00DE096C">
        <w:rPr>
          <w:bCs/>
          <w:color w:val="002060"/>
          <w:sz w:val="16"/>
          <w:szCs w:val="16"/>
        </w:rPr>
        <w:softHyphen/>
        <w:t>рок. Для снаряжения винтовочных и пулеметных патронов исполь</w:t>
      </w:r>
      <w:r w:rsidRPr="00DE096C">
        <w:rPr>
          <w:bCs/>
          <w:color w:val="002060"/>
          <w:sz w:val="16"/>
          <w:szCs w:val="16"/>
        </w:rPr>
        <w:softHyphen/>
        <w:t>зовали пластинчатый порох марок Р, В, ВЛ с пороховыми зернами толщиной 0,12—0,36 мм, шириной 0,5—1,5 мм и длиной 0,7—1,8 мм.</w:t>
      </w:r>
    </w:p>
    <w:p w14:paraId="6BDB0923" w14:textId="77777777" w:rsidR="000343AB" w:rsidRPr="00DE096C" w:rsidRDefault="000343AB" w:rsidP="00D45A46">
      <w:pPr>
        <w:jc w:val="both"/>
        <w:rPr>
          <w:bCs/>
          <w:color w:val="002060"/>
          <w:sz w:val="16"/>
          <w:szCs w:val="16"/>
        </w:rPr>
      </w:pPr>
      <w:r w:rsidRPr="00DE096C">
        <w:rPr>
          <w:bCs/>
          <w:color w:val="002060"/>
          <w:sz w:val="16"/>
          <w:szCs w:val="16"/>
        </w:rPr>
        <w:t>Пороха марок В и ВЛ применяли также в боевых зарядах 76-мм зенитных пушек, установленных на автомобиле, в 76-мм противо-штурмовых пушках при стрельбе гранатами и шрапнелями, а также в зарядах 20-мм бомбометов и 58-мм минометов типа ФР [14, с. 612, 613).</w:t>
      </w:r>
    </w:p>
    <w:p w14:paraId="4CFA7B3A" w14:textId="77777777" w:rsidR="000343AB" w:rsidRPr="00DE096C" w:rsidRDefault="000343AB" w:rsidP="00D45A46">
      <w:pPr>
        <w:jc w:val="both"/>
        <w:rPr>
          <w:bCs/>
          <w:color w:val="002060"/>
          <w:sz w:val="16"/>
          <w:szCs w:val="16"/>
        </w:rPr>
      </w:pPr>
      <w:r w:rsidRPr="00DE096C">
        <w:rPr>
          <w:bCs/>
          <w:color w:val="002060"/>
          <w:sz w:val="16"/>
          <w:szCs w:val="16"/>
        </w:rPr>
        <w:t>Для других зарядов к орудиям наземной артиллерии калибром от 76 до 355 мм применяли ленточные пороха следующих марок: Г, Пз, МСК, СГЬ СГ2,Т,-48, Г2-48 тонкий, Г2-48 толстый, ПКО, Г,2 спи</w:t>
      </w:r>
      <w:r w:rsidRPr="00DE096C">
        <w:rPr>
          <w:bCs/>
          <w:color w:val="002060"/>
          <w:sz w:val="16"/>
          <w:szCs w:val="16"/>
        </w:rPr>
        <w:softHyphen/>
        <w:t>ральный, Г6 тонкий, Г6 толстый, СБ, СП, КО, Б9, С|2, КО2оп, Би_н, Бе, СБб, С12И, Бц_с&gt;бю_п, Б|2. Наиболее часто использовали порох марки ПКО в боевых зарядах к 76-мм батарейным, легким и конным пушкам, 76-мм противоаэропланным пушкам системы Гельвиха, а также в зарядах многих крепостных и береговых орудий среднего и крупного калибров. Порох марки СГ| применяли в зарядах к 76-мм скорострельным пушкам образца 1904 г. и в 76-мм противоштурмо-вых пушках при стрельбе гранатами и шрапнелями. Порохом марки СГ2 снаряжали боевые заряды к 76-мм горным скорострельным пушкам образца 1909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893"/>
        <w:gridCol w:w="1162"/>
        <w:gridCol w:w="1066"/>
        <w:gridCol w:w="1238"/>
      </w:tblGrid>
      <w:tr w:rsidR="000343AB" w:rsidRPr="00DE096C" w14:paraId="09ACE9C3" w14:textId="77777777" w:rsidTr="00D34AC1">
        <w:trPr>
          <w:trHeight w:val="365"/>
        </w:trPr>
        <w:tc>
          <w:tcPr>
            <w:tcW w:w="893" w:type="dxa"/>
          </w:tcPr>
          <w:p w14:paraId="40562F1F" w14:textId="77777777" w:rsidR="000343AB" w:rsidRPr="00DE096C" w:rsidRDefault="000343AB" w:rsidP="00D45A46">
            <w:pPr>
              <w:jc w:val="both"/>
              <w:rPr>
                <w:bCs/>
                <w:color w:val="002060"/>
                <w:sz w:val="16"/>
                <w:szCs w:val="16"/>
              </w:rPr>
            </w:pPr>
            <w:r w:rsidRPr="00DE096C">
              <w:rPr>
                <w:bCs/>
                <w:color w:val="002060"/>
                <w:sz w:val="16"/>
                <w:szCs w:val="16"/>
              </w:rPr>
              <w:t>Калибр орудия</w:t>
            </w:r>
          </w:p>
          <w:p w14:paraId="455A83F0" w14:textId="77777777" w:rsidR="000343AB" w:rsidRPr="00DE096C" w:rsidRDefault="000343AB" w:rsidP="00D45A46">
            <w:pPr>
              <w:jc w:val="both"/>
              <w:rPr>
                <w:bCs/>
                <w:color w:val="002060"/>
                <w:sz w:val="16"/>
                <w:szCs w:val="16"/>
              </w:rPr>
            </w:pPr>
          </w:p>
        </w:tc>
        <w:tc>
          <w:tcPr>
            <w:tcW w:w="2228" w:type="dxa"/>
            <w:gridSpan w:val="2"/>
          </w:tcPr>
          <w:p w14:paraId="3C84798F" w14:textId="77777777" w:rsidR="000343AB" w:rsidRPr="00DE096C" w:rsidRDefault="000343AB" w:rsidP="00D45A46">
            <w:pPr>
              <w:jc w:val="both"/>
              <w:rPr>
                <w:bCs/>
                <w:color w:val="002060"/>
                <w:sz w:val="16"/>
                <w:szCs w:val="16"/>
              </w:rPr>
            </w:pPr>
            <w:r w:rsidRPr="00DE096C">
              <w:rPr>
                <w:bCs/>
                <w:color w:val="002060"/>
                <w:sz w:val="16"/>
                <w:szCs w:val="16"/>
              </w:rPr>
              <w:t>Размер зерен,</w:t>
            </w:r>
          </w:p>
          <w:p w14:paraId="413847F4" w14:textId="77777777" w:rsidR="000343AB" w:rsidRPr="00DE096C" w:rsidRDefault="000343AB" w:rsidP="00D45A46">
            <w:pPr>
              <w:jc w:val="both"/>
              <w:rPr>
                <w:bCs/>
                <w:color w:val="002060"/>
                <w:sz w:val="16"/>
                <w:szCs w:val="16"/>
              </w:rPr>
            </w:pPr>
          </w:p>
        </w:tc>
        <w:tc>
          <w:tcPr>
            <w:tcW w:w="1238" w:type="dxa"/>
          </w:tcPr>
          <w:p w14:paraId="272D2FC9" w14:textId="77777777" w:rsidR="000343AB" w:rsidRPr="00DE096C" w:rsidRDefault="000343AB" w:rsidP="00D45A46">
            <w:pPr>
              <w:jc w:val="both"/>
              <w:rPr>
                <w:bCs/>
                <w:color w:val="002060"/>
                <w:sz w:val="16"/>
                <w:szCs w:val="16"/>
              </w:rPr>
            </w:pPr>
            <w:r w:rsidRPr="00DE096C">
              <w:rPr>
                <w:bCs/>
                <w:color w:val="002060"/>
                <w:sz w:val="16"/>
                <w:szCs w:val="16"/>
              </w:rPr>
              <w:t>мм</w:t>
            </w:r>
          </w:p>
          <w:p w14:paraId="0B8F0B30" w14:textId="77777777" w:rsidR="000343AB" w:rsidRPr="00DE096C" w:rsidRDefault="000343AB" w:rsidP="00D45A46">
            <w:pPr>
              <w:jc w:val="both"/>
              <w:rPr>
                <w:bCs/>
                <w:color w:val="002060"/>
                <w:sz w:val="16"/>
                <w:szCs w:val="16"/>
              </w:rPr>
            </w:pPr>
          </w:p>
        </w:tc>
      </w:tr>
      <w:tr w:rsidR="000343AB" w:rsidRPr="00DE096C" w14:paraId="5A500296" w14:textId="77777777" w:rsidTr="00D34AC1">
        <w:trPr>
          <w:trHeight w:val="346"/>
        </w:trPr>
        <w:tc>
          <w:tcPr>
            <w:tcW w:w="893" w:type="dxa"/>
          </w:tcPr>
          <w:p w14:paraId="49908F98" w14:textId="77777777" w:rsidR="000343AB" w:rsidRPr="00DE096C" w:rsidRDefault="000343AB" w:rsidP="00D45A46">
            <w:pPr>
              <w:jc w:val="both"/>
              <w:rPr>
                <w:bCs/>
                <w:color w:val="002060"/>
                <w:sz w:val="16"/>
                <w:szCs w:val="16"/>
              </w:rPr>
            </w:pPr>
          </w:p>
          <w:p w14:paraId="49E18512" w14:textId="77777777" w:rsidR="000343AB" w:rsidRPr="00DE096C" w:rsidRDefault="000343AB" w:rsidP="00D45A46">
            <w:pPr>
              <w:jc w:val="both"/>
              <w:rPr>
                <w:bCs/>
                <w:color w:val="002060"/>
                <w:sz w:val="16"/>
                <w:szCs w:val="16"/>
              </w:rPr>
            </w:pPr>
          </w:p>
        </w:tc>
        <w:tc>
          <w:tcPr>
            <w:tcW w:w="1162" w:type="dxa"/>
          </w:tcPr>
          <w:p w14:paraId="6BBAEEFC" w14:textId="77777777" w:rsidR="000343AB" w:rsidRPr="00DE096C" w:rsidRDefault="000343AB" w:rsidP="00D45A46">
            <w:pPr>
              <w:jc w:val="both"/>
              <w:rPr>
                <w:bCs/>
                <w:color w:val="002060"/>
                <w:sz w:val="16"/>
                <w:szCs w:val="16"/>
              </w:rPr>
            </w:pPr>
            <w:r w:rsidRPr="00DE096C">
              <w:rPr>
                <w:bCs/>
                <w:color w:val="002060"/>
                <w:sz w:val="16"/>
                <w:szCs w:val="16"/>
              </w:rPr>
              <w:t>Толщина</w:t>
            </w:r>
          </w:p>
          <w:p w14:paraId="7D6F2584" w14:textId="77777777" w:rsidR="000343AB" w:rsidRPr="00DE096C" w:rsidRDefault="000343AB" w:rsidP="00D45A46">
            <w:pPr>
              <w:jc w:val="both"/>
              <w:rPr>
                <w:bCs/>
                <w:color w:val="002060"/>
                <w:sz w:val="16"/>
                <w:szCs w:val="16"/>
              </w:rPr>
            </w:pPr>
          </w:p>
        </w:tc>
        <w:tc>
          <w:tcPr>
            <w:tcW w:w="1066" w:type="dxa"/>
          </w:tcPr>
          <w:p w14:paraId="2BFF2F6B" w14:textId="77777777" w:rsidR="000343AB" w:rsidRPr="00DE096C" w:rsidRDefault="000343AB" w:rsidP="00D45A46">
            <w:pPr>
              <w:jc w:val="both"/>
              <w:rPr>
                <w:bCs/>
                <w:color w:val="002060"/>
                <w:sz w:val="16"/>
                <w:szCs w:val="16"/>
              </w:rPr>
            </w:pPr>
            <w:r w:rsidRPr="00DE096C">
              <w:rPr>
                <w:bCs/>
                <w:color w:val="002060"/>
                <w:sz w:val="16"/>
                <w:szCs w:val="16"/>
              </w:rPr>
              <w:t>Ширина</w:t>
            </w:r>
          </w:p>
          <w:p w14:paraId="77CAD616" w14:textId="77777777" w:rsidR="000343AB" w:rsidRPr="00DE096C" w:rsidRDefault="000343AB" w:rsidP="00D45A46">
            <w:pPr>
              <w:jc w:val="both"/>
              <w:rPr>
                <w:bCs/>
                <w:color w:val="002060"/>
                <w:sz w:val="16"/>
                <w:szCs w:val="16"/>
              </w:rPr>
            </w:pPr>
          </w:p>
        </w:tc>
        <w:tc>
          <w:tcPr>
            <w:tcW w:w="1238" w:type="dxa"/>
          </w:tcPr>
          <w:p w14:paraId="3B840F5D" w14:textId="77777777" w:rsidR="000343AB" w:rsidRPr="00DE096C" w:rsidRDefault="000343AB" w:rsidP="00D45A46">
            <w:pPr>
              <w:jc w:val="both"/>
              <w:rPr>
                <w:bCs/>
                <w:color w:val="002060"/>
                <w:sz w:val="16"/>
                <w:szCs w:val="16"/>
              </w:rPr>
            </w:pPr>
            <w:r w:rsidRPr="00DE096C">
              <w:rPr>
                <w:bCs/>
                <w:color w:val="002060"/>
                <w:sz w:val="16"/>
                <w:szCs w:val="16"/>
              </w:rPr>
              <w:t>Длина</w:t>
            </w:r>
          </w:p>
          <w:p w14:paraId="544E48E9" w14:textId="77777777" w:rsidR="000343AB" w:rsidRPr="00DE096C" w:rsidRDefault="000343AB" w:rsidP="00D45A46">
            <w:pPr>
              <w:jc w:val="both"/>
              <w:rPr>
                <w:bCs/>
                <w:color w:val="002060"/>
                <w:sz w:val="16"/>
                <w:szCs w:val="16"/>
              </w:rPr>
            </w:pPr>
          </w:p>
        </w:tc>
      </w:tr>
      <w:tr w:rsidR="000343AB" w:rsidRPr="00DE096C" w14:paraId="6CF6F88C" w14:textId="77777777" w:rsidTr="00D34AC1">
        <w:trPr>
          <w:trHeight w:val="787"/>
        </w:trPr>
        <w:tc>
          <w:tcPr>
            <w:tcW w:w="893" w:type="dxa"/>
          </w:tcPr>
          <w:p w14:paraId="4A801C91" w14:textId="77777777" w:rsidR="000343AB" w:rsidRPr="00DE096C" w:rsidRDefault="000343AB" w:rsidP="00D45A46">
            <w:pPr>
              <w:jc w:val="both"/>
              <w:rPr>
                <w:bCs/>
                <w:color w:val="002060"/>
                <w:sz w:val="16"/>
                <w:szCs w:val="16"/>
              </w:rPr>
            </w:pPr>
            <w:r w:rsidRPr="00DE096C">
              <w:rPr>
                <w:bCs/>
                <w:color w:val="002060"/>
                <w:sz w:val="16"/>
                <w:szCs w:val="16"/>
              </w:rPr>
              <w:t>Малый Средний' Крупный</w:t>
            </w:r>
          </w:p>
          <w:p w14:paraId="2FD4CBFB" w14:textId="77777777" w:rsidR="000343AB" w:rsidRPr="00DE096C" w:rsidRDefault="000343AB" w:rsidP="00D45A46">
            <w:pPr>
              <w:jc w:val="both"/>
              <w:rPr>
                <w:bCs/>
                <w:color w:val="002060"/>
                <w:sz w:val="16"/>
                <w:szCs w:val="16"/>
              </w:rPr>
            </w:pPr>
          </w:p>
        </w:tc>
        <w:tc>
          <w:tcPr>
            <w:tcW w:w="1162" w:type="dxa"/>
          </w:tcPr>
          <w:p w14:paraId="11A225D7" w14:textId="77777777" w:rsidR="000343AB" w:rsidRPr="00DE096C" w:rsidRDefault="000343AB" w:rsidP="00D45A46">
            <w:pPr>
              <w:jc w:val="both"/>
              <w:rPr>
                <w:bCs/>
                <w:color w:val="002060"/>
                <w:sz w:val="16"/>
                <w:szCs w:val="16"/>
              </w:rPr>
            </w:pPr>
            <w:r w:rsidRPr="00DE096C">
              <w:rPr>
                <w:bCs/>
                <w:color w:val="002060"/>
                <w:sz w:val="16"/>
                <w:szCs w:val="16"/>
              </w:rPr>
              <w:t>0,33—0,47 0,50—1,08 1,03—2,45</w:t>
            </w:r>
          </w:p>
          <w:p w14:paraId="149271CA" w14:textId="77777777" w:rsidR="000343AB" w:rsidRPr="00DE096C" w:rsidRDefault="000343AB" w:rsidP="00D45A46">
            <w:pPr>
              <w:jc w:val="both"/>
              <w:rPr>
                <w:bCs/>
                <w:color w:val="002060"/>
                <w:sz w:val="16"/>
                <w:szCs w:val="16"/>
              </w:rPr>
            </w:pPr>
          </w:p>
        </w:tc>
        <w:tc>
          <w:tcPr>
            <w:tcW w:w="1066" w:type="dxa"/>
          </w:tcPr>
          <w:p w14:paraId="51240D33" w14:textId="77777777" w:rsidR="000343AB" w:rsidRPr="00DE096C" w:rsidRDefault="000343AB" w:rsidP="00D45A46">
            <w:pPr>
              <w:jc w:val="both"/>
              <w:rPr>
                <w:bCs/>
                <w:color w:val="002060"/>
                <w:sz w:val="16"/>
                <w:szCs w:val="16"/>
              </w:rPr>
            </w:pPr>
            <w:r w:rsidRPr="00DE096C">
              <w:rPr>
                <w:bCs/>
                <w:color w:val="002060"/>
                <w:sz w:val="16"/>
                <w:szCs w:val="16"/>
              </w:rPr>
              <w:t>6—10</w:t>
            </w:r>
          </w:p>
          <w:p w14:paraId="6F1B4DEB" w14:textId="77777777" w:rsidR="000343AB" w:rsidRPr="00DE096C" w:rsidRDefault="000343AB" w:rsidP="00D45A46">
            <w:pPr>
              <w:jc w:val="both"/>
              <w:rPr>
                <w:bCs/>
                <w:color w:val="002060"/>
                <w:sz w:val="16"/>
                <w:szCs w:val="16"/>
              </w:rPr>
            </w:pPr>
            <w:r w:rsidRPr="00DE096C">
              <w:rPr>
                <w:bCs/>
                <w:color w:val="002060"/>
                <w:sz w:val="16"/>
                <w:szCs w:val="16"/>
              </w:rPr>
              <w:t>9—22 18—35</w:t>
            </w:r>
          </w:p>
          <w:p w14:paraId="05891BE6" w14:textId="77777777" w:rsidR="000343AB" w:rsidRPr="00DE096C" w:rsidRDefault="000343AB" w:rsidP="00D45A46">
            <w:pPr>
              <w:jc w:val="both"/>
              <w:rPr>
                <w:bCs/>
                <w:color w:val="002060"/>
                <w:sz w:val="16"/>
                <w:szCs w:val="16"/>
              </w:rPr>
            </w:pPr>
          </w:p>
        </w:tc>
        <w:tc>
          <w:tcPr>
            <w:tcW w:w="1238" w:type="dxa"/>
          </w:tcPr>
          <w:p w14:paraId="77FFECD7" w14:textId="77777777" w:rsidR="000343AB" w:rsidRPr="00DE096C" w:rsidRDefault="000343AB" w:rsidP="00D45A46">
            <w:pPr>
              <w:jc w:val="both"/>
              <w:rPr>
                <w:bCs/>
                <w:color w:val="002060"/>
                <w:sz w:val="16"/>
                <w:szCs w:val="16"/>
              </w:rPr>
            </w:pPr>
            <w:r w:rsidRPr="00DE096C">
              <w:rPr>
                <w:bCs/>
                <w:color w:val="002060"/>
                <w:sz w:val="16"/>
                <w:szCs w:val="16"/>
              </w:rPr>
              <w:t>105—145 75—100 90—335</w:t>
            </w:r>
          </w:p>
          <w:p w14:paraId="302DED57" w14:textId="77777777" w:rsidR="000343AB" w:rsidRPr="00DE096C" w:rsidRDefault="000343AB" w:rsidP="00D45A46">
            <w:pPr>
              <w:jc w:val="both"/>
              <w:rPr>
                <w:bCs/>
                <w:color w:val="002060"/>
                <w:sz w:val="16"/>
                <w:szCs w:val="16"/>
              </w:rPr>
            </w:pPr>
          </w:p>
        </w:tc>
      </w:tr>
    </w:tbl>
    <w:p w14:paraId="59A9F9CF" w14:textId="77777777" w:rsidR="000343AB" w:rsidRPr="00DE096C" w:rsidRDefault="000343AB" w:rsidP="00D45A46">
      <w:pPr>
        <w:jc w:val="both"/>
        <w:rPr>
          <w:bCs/>
          <w:color w:val="002060"/>
          <w:sz w:val="16"/>
          <w:szCs w:val="16"/>
        </w:rPr>
      </w:pPr>
      <w:r w:rsidRPr="00DE096C">
        <w:rPr>
          <w:bCs/>
          <w:color w:val="002060"/>
          <w:sz w:val="16"/>
          <w:szCs w:val="16"/>
        </w:rPr>
        <w:t>В орудиях особо большой мощности (осадных и береговой обо</w:t>
      </w:r>
      <w:r w:rsidRPr="00DE096C">
        <w:rPr>
          <w:bCs/>
          <w:color w:val="002060"/>
          <w:sz w:val="16"/>
          <w:szCs w:val="16"/>
        </w:rPr>
        <w:softHyphen/>
        <w:t>роны) калибром от 280 до 410 мм толщина пороховых лент изменя</w:t>
      </w:r>
      <w:r w:rsidRPr="00DE096C">
        <w:rPr>
          <w:bCs/>
          <w:color w:val="002060"/>
          <w:sz w:val="16"/>
          <w:szCs w:val="16"/>
        </w:rPr>
        <w:softHyphen/>
        <w:t>лась от 2,35 до 6,3 мм, ширина — от 25 до 35 мм и длина — от 145 до 510 мм [14, с. 612—617].</w:t>
      </w:r>
    </w:p>
    <w:p w14:paraId="68E16A37" w14:textId="77777777" w:rsidR="000343AB" w:rsidRPr="00DE096C" w:rsidRDefault="000343AB" w:rsidP="00D45A46">
      <w:pPr>
        <w:jc w:val="both"/>
        <w:rPr>
          <w:bCs/>
          <w:color w:val="002060"/>
          <w:sz w:val="16"/>
          <w:szCs w:val="16"/>
        </w:rPr>
      </w:pPr>
      <w:r w:rsidRPr="00DE096C">
        <w:rPr>
          <w:bCs/>
          <w:color w:val="002060"/>
          <w:sz w:val="16"/>
          <w:szCs w:val="16"/>
        </w:rPr>
        <w:t>В некоторых орудиях наземной артиллерии, например, в 37-мм пушке системы Розенберга, 76-, 107- и 120-мм скорострельных пуш</w:t>
      </w:r>
      <w:r w:rsidRPr="00DE096C">
        <w:rPr>
          <w:bCs/>
          <w:color w:val="002060"/>
          <w:sz w:val="16"/>
          <w:szCs w:val="16"/>
        </w:rPr>
        <w:softHyphen/>
        <w:t>ках и других, применяли также бездымные трубчатые пороха. Раз</w:t>
      </w:r>
      <w:r w:rsidRPr="00DE096C">
        <w:rPr>
          <w:bCs/>
          <w:color w:val="002060"/>
          <w:sz w:val="16"/>
          <w:szCs w:val="16"/>
        </w:rPr>
        <w:softHyphen/>
        <w:t>меры пороховых зерен в зависимости от калибра орудия составляли: наружный диаметр 1,60—8,5 мм, толщина горящего свода — 0,34— 2,5 мм и длина трубок — 46—670 мм [14, с. 618].</w:t>
      </w:r>
    </w:p>
    <w:p w14:paraId="2AB4AF07" w14:textId="77777777" w:rsidR="000343AB" w:rsidRPr="00DE096C" w:rsidRDefault="000343AB" w:rsidP="00D45A46">
      <w:pPr>
        <w:jc w:val="both"/>
        <w:rPr>
          <w:bCs/>
          <w:color w:val="002060"/>
          <w:sz w:val="16"/>
          <w:szCs w:val="16"/>
        </w:rPr>
      </w:pPr>
      <w:r w:rsidRPr="00DE096C">
        <w:rPr>
          <w:bCs/>
          <w:color w:val="002060"/>
          <w:sz w:val="16"/>
          <w:szCs w:val="16"/>
        </w:rPr>
        <w:t>На вооружении артиллерии российского Военно-Морского Фло</w:t>
      </w:r>
      <w:r w:rsidRPr="00DE096C">
        <w:rPr>
          <w:bCs/>
          <w:color w:val="002060"/>
          <w:sz w:val="16"/>
          <w:szCs w:val="16"/>
        </w:rPr>
        <w:softHyphen/>
        <w:t>та в рассматриваемый период состояли 19 артиллерийских систем калибром от 37 до 410 мм. Все они были снабжены зарядами из труб</w:t>
      </w:r>
      <w:r w:rsidRPr="00DE096C">
        <w:rPr>
          <w:bCs/>
          <w:color w:val="002060"/>
          <w:sz w:val="16"/>
          <w:szCs w:val="16"/>
        </w:rPr>
        <w:softHyphen/>
        <w:t>чатых порохов с размерами пороховых зерен: толщина горящего свода — 0,34—6,0 мм; наружный диаметр — 1,60—21,20 мм, длина трубок — 65—1050 мм [14, с. 620].</w:t>
      </w:r>
    </w:p>
    <w:p w14:paraId="70AB5A5C" w14:textId="77777777" w:rsidR="000343AB" w:rsidRPr="00DE096C" w:rsidRDefault="000343AB" w:rsidP="00D45A46">
      <w:pPr>
        <w:jc w:val="both"/>
        <w:rPr>
          <w:bCs/>
          <w:color w:val="002060"/>
          <w:sz w:val="16"/>
          <w:szCs w:val="16"/>
        </w:rPr>
      </w:pPr>
      <w:r w:rsidRPr="00DE096C">
        <w:rPr>
          <w:bCs/>
          <w:color w:val="002060"/>
          <w:sz w:val="16"/>
          <w:szCs w:val="16"/>
        </w:rPr>
        <w:t>Для орудий морского ведомства были разработаны также и за</w:t>
      </w:r>
      <w:r w:rsidRPr="00DE096C">
        <w:rPr>
          <w:bCs/>
          <w:color w:val="002060"/>
          <w:sz w:val="16"/>
          <w:szCs w:val="16"/>
        </w:rPr>
        <w:softHyphen/>
        <w:t>ряды из ленточных порохов шестнадцати марок с размерами поро</w:t>
      </w:r>
      <w:r w:rsidRPr="00DE096C">
        <w:rPr>
          <w:bCs/>
          <w:color w:val="002060"/>
          <w:sz w:val="16"/>
          <w:szCs w:val="16"/>
        </w:rPr>
        <w:softHyphen/>
        <w:t>ховых элементов: толщина от 0,34 (для 37-мм пушки) до 5,35 мм (для 350-мм пушки), ширина от 8 до 35 мм и длина лент — от 65 (для 37-мм пушки) до 1000 мм (для пушки калибра 130/55 мм) [14, с. 619].</w:t>
      </w:r>
    </w:p>
    <w:p w14:paraId="78B66BD0" w14:textId="77777777" w:rsidR="000343AB" w:rsidRPr="00DE096C" w:rsidRDefault="000343AB" w:rsidP="00D45A46">
      <w:pPr>
        <w:jc w:val="both"/>
        <w:rPr>
          <w:bCs/>
          <w:color w:val="002060"/>
          <w:sz w:val="16"/>
          <w:szCs w:val="16"/>
        </w:rPr>
      </w:pPr>
      <w:r w:rsidRPr="00DE096C">
        <w:rPr>
          <w:bCs/>
          <w:color w:val="002060"/>
          <w:sz w:val="16"/>
          <w:szCs w:val="16"/>
        </w:rPr>
        <w:lastRenderedPageBreak/>
        <w:t>В русской артиллерии в годы войны использовалось зна</w:t>
      </w:r>
      <w:r w:rsidRPr="00DE096C">
        <w:rPr>
          <w:bCs/>
          <w:color w:val="002060"/>
          <w:sz w:val="16"/>
          <w:szCs w:val="16"/>
        </w:rPr>
        <w:softHyphen/>
        <w:t>чительное количество американских, японских, английских и 36</w:t>
      </w:r>
    </w:p>
    <w:p w14:paraId="0952F617" w14:textId="77777777" w:rsidR="000343AB" w:rsidRPr="00DE096C" w:rsidRDefault="000343AB" w:rsidP="00D45A46">
      <w:pPr>
        <w:jc w:val="both"/>
        <w:rPr>
          <w:bCs/>
          <w:color w:val="002060"/>
          <w:sz w:val="16"/>
          <w:szCs w:val="16"/>
        </w:rPr>
      </w:pPr>
      <w:r w:rsidRPr="00DE096C">
        <w:rPr>
          <w:bCs/>
          <w:color w:val="002060"/>
          <w:sz w:val="16"/>
          <w:szCs w:val="16"/>
        </w:rPr>
        <w:t>французских порохов для зарядов к орудиям, закупленным за ру</w:t>
      </w:r>
      <w:r w:rsidRPr="00DE096C">
        <w:rPr>
          <w:bCs/>
          <w:color w:val="002060"/>
          <w:sz w:val="16"/>
          <w:szCs w:val="16"/>
        </w:rPr>
        <w:softHyphen/>
        <w:t>бежом.</w:t>
      </w:r>
    </w:p>
    <w:p w14:paraId="4EB776A5" w14:textId="77777777" w:rsidR="000343AB" w:rsidRPr="00DE096C" w:rsidRDefault="000343AB" w:rsidP="00D45A46">
      <w:pPr>
        <w:jc w:val="both"/>
        <w:rPr>
          <w:bCs/>
          <w:color w:val="002060"/>
          <w:sz w:val="16"/>
          <w:szCs w:val="16"/>
        </w:rPr>
      </w:pPr>
      <w:r w:rsidRPr="00DE096C">
        <w:rPr>
          <w:bCs/>
          <w:color w:val="002060"/>
          <w:sz w:val="16"/>
          <w:szCs w:val="16"/>
        </w:rPr>
        <w:t>В их числе были одноканальные и семиканальные зерненые аме</w:t>
      </w:r>
      <w:r w:rsidRPr="00DE096C">
        <w:rPr>
          <w:bCs/>
          <w:color w:val="002060"/>
          <w:sz w:val="16"/>
          <w:szCs w:val="16"/>
        </w:rPr>
        <w:softHyphen/>
        <w:t>риканские пороха, изготовленные из пороховой массы русских ре-, цептов: СП, С^&gt;, СБ,„ а также английские нитроглицериновые ко-р- . дитные пороха (спиральные и трубчатые) и др.</w:t>
      </w:r>
    </w:p>
    <w:p w14:paraId="6F4F6ACF" w14:textId="77777777" w:rsidR="000343AB" w:rsidRPr="00DE096C" w:rsidRDefault="000343AB" w:rsidP="00D45A46">
      <w:pPr>
        <w:jc w:val="both"/>
        <w:rPr>
          <w:bCs/>
          <w:color w:val="002060"/>
          <w:sz w:val="16"/>
          <w:szCs w:val="16"/>
        </w:rPr>
      </w:pPr>
      <w:r w:rsidRPr="00DE096C">
        <w:rPr>
          <w:bCs/>
          <w:color w:val="002060"/>
          <w:sz w:val="16"/>
          <w:szCs w:val="16"/>
        </w:rPr>
        <w:t>Таким образом, в русской артиллерии в годы первой мировой войны использовались разнообразные бездымные пороха отечест- * венного и зарубежного производства. Это затрудняло работу артил</w:t>
      </w:r>
      <w:r w:rsidRPr="00DE096C">
        <w:rPr>
          <w:bCs/>
          <w:color w:val="002060"/>
          <w:sz w:val="16"/>
          <w:szCs w:val="16"/>
        </w:rPr>
        <w:softHyphen/>
        <w:t>лерийских складов и баз, изготовлявших боевые заряды. Научно-исследовательские организации в области пороходелия В отечественной науке о порохах, их применении и технологии производства можно выделить три научные школы: Артиллерийской академии. Охтинского порохового завода и Научно-технической лаборатории Морского ведомства (5484).</w:t>
      </w:r>
    </w:p>
    <w:p w14:paraId="54C1835B" w14:textId="77777777" w:rsidR="000343AB" w:rsidRPr="00DE096C" w:rsidRDefault="000343AB" w:rsidP="00D45A46">
      <w:pPr>
        <w:jc w:val="both"/>
        <w:rPr>
          <w:bCs/>
          <w:color w:val="002060"/>
          <w:sz w:val="16"/>
          <w:szCs w:val="16"/>
        </w:rPr>
      </w:pPr>
    </w:p>
    <w:p w14:paraId="1ED91327" w14:textId="77777777" w:rsidR="000343AB" w:rsidRPr="00DE096C" w:rsidRDefault="000343AB" w:rsidP="00D45A46">
      <w:pPr>
        <w:jc w:val="both"/>
        <w:rPr>
          <w:bCs/>
          <w:color w:val="002060"/>
          <w:sz w:val="16"/>
          <w:szCs w:val="16"/>
        </w:rPr>
      </w:pPr>
      <w:r w:rsidRPr="00DE096C">
        <w:rPr>
          <w:bCs/>
          <w:color w:val="002060"/>
          <w:sz w:val="16"/>
          <w:szCs w:val="16"/>
        </w:rPr>
        <w:t>На конец июля 1914 г. годовая производственная мощность казен</w:t>
      </w:r>
      <w:r w:rsidRPr="00DE096C">
        <w:rPr>
          <w:bCs/>
          <w:color w:val="002060"/>
          <w:sz w:val="16"/>
          <w:szCs w:val="16"/>
        </w:rPr>
        <w:softHyphen/>
        <w:t>ных заводов по выпуску тротила составляла 75 тыс. пудов (Охтин</w:t>
      </w:r>
      <w:r w:rsidRPr="00DE096C">
        <w:rPr>
          <w:bCs/>
          <w:color w:val="002060"/>
          <w:sz w:val="16"/>
          <w:szCs w:val="16"/>
        </w:rPr>
        <w:softHyphen/>
        <w:t>ский завод — 15 тыс. пудов и 60 тыс. пудов — Самарский). Она была меньше мощности одного частного Шлиссельбургского завода, ко</w:t>
      </w:r>
      <w:r w:rsidRPr="00DE096C">
        <w:rPr>
          <w:bCs/>
          <w:color w:val="002060"/>
          <w:sz w:val="16"/>
          <w:szCs w:val="16"/>
        </w:rPr>
        <w:softHyphen/>
        <w:t>торый в довоенное время мог давать до 80 тыс. пудов тротила в год [5, с. 217].</w:t>
      </w:r>
    </w:p>
    <w:p w14:paraId="08C07186" w14:textId="77777777" w:rsidR="000343AB" w:rsidRPr="00DE096C" w:rsidRDefault="000343AB" w:rsidP="00D45A46">
      <w:pPr>
        <w:jc w:val="both"/>
        <w:rPr>
          <w:bCs/>
          <w:color w:val="002060"/>
          <w:sz w:val="16"/>
          <w:szCs w:val="16"/>
        </w:rPr>
      </w:pPr>
      <w:r w:rsidRPr="00DE096C">
        <w:rPr>
          <w:bCs/>
          <w:color w:val="002060"/>
          <w:sz w:val="16"/>
          <w:szCs w:val="16"/>
        </w:rPr>
        <w:t>ГАУ в феврале 1915 г. определило на основе заявок фронтов по</w:t>
      </w:r>
      <w:r w:rsidRPr="00DE096C">
        <w:rPr>
          <w:bCs/>
          <w:color w:val="002060"/>
          <w:sz w:val="16"/>
          <w:szCs w:val="16"/>
        </w:rPr>
        <w:softHyphen/>
        <w:t>требность в 165 тыс. пудов, а позднее даже 258 тыс. пудов взрывча</w:t>
      </w:r>
      <w:r w:rsidRPr="00DE096C">
        <w:rPr>
          <w:bCs/>
          <w:color w:val="002060"/>
          <w:sz w:val="16"/>
          <w:szCs w:val="16"/>
        </w:rPr>
        <w:softHyphen/>
        <w:t>тых веществ в месяц, т. е. в 13—20 раз больше возможностей про</w:t>
      </w:r>
      <w:r w:rsidRPr="00DE096C">
        <w:rPr>
          <w:bCs/>
          <w:color w:val="002060"/>
          <w:sz w:val="16"/>
          <w:szCs w:val="16"/>
        </w:rPr>
        <w:softHyphen/>
        <w:t>мышленности [4, с. 302; 42, с. 34].</w:t>
      </w:r>
    </w:p>
    <w:p w14:paraId="59CFD78D" w14:textId="77777777" w:rsidR="000343AB" w:rsidRPr="00DE096C" w:rsidRDefault="000343AB" w:rsidP="00D45A46">
      <w:pPr>
        <w:jc w:val="both"/>
        <w:rPr>
          <w:bCs/>
          <w:color w:val="002060"/>
          <w:sz w:val="16"/>
          <w:szCs w:val="16"/>
        </w:rPr>
      </w:pPr>
      <w:r w:rsidRPr="00DE096C">
        <w:rPr>
          <w:bCs/>
          <w:color w:val="002060"/>
          <w:sz w:val="16"/>
          <w:szCs w:val="16"/>
        </w:rPr>
        <w:t>Были приняты меры по увеличению выпуска взрывчатых ве</w:t>
      </w:r>
      <w:r w:rsidRPr="00DE096C">
        <w:rPr>
          <w:bCs/>
          <w:color w:val="002060"/>
          <w:sz w:val="16"/>
          <w:szCs w:val="16"/>
        </w:rPr>
        <w:softHyphen/>
        <w:t>ществ, а также по экономному расходованию их на снаряжение бое</w:t>
      </w:r>
      <w:r w:rsidRPr="00DE096C">
        <w:rPr>
          <w:bCs/>
          <w:color w:val="002060"/>
          <w:sz w:val="16"/>
          <w:szCs w:val="16"/>
        </w:rPr>
        <w:softHyphen/>
        <w:t>припасов за счет применения заменителей. Было увеличено число работающих, организована круглосуточная работа. Самарский завод в 1914 г. достиг проектной мощности двух очередей по тротилу (60 тыс. пудов). Снаряжательные мастерские выпускали в сутки при трехсменной работе: до 4 тыс. (т. е. около 1,2 млн в год) 3-дюймовых гранат, 700 шт. 6-дюймовых снарядов, 800 ручных гранат и до 2 000 взрывателей.</w:t>
      </w:r>
    </w:p>
    <w:p w14:paraId="158D2D11" w14:textId="77777777" w:rsidR="000343AB" w:rsidRPr="00DE096C" w:rsidRDefault="000343AB" w:rsidP="00D45A46">
      <w:pPr>
        <w:jc w:val="both"/>
        <w:rPr>
          <w:bCs/>
          <w:color w:val="002060"/>
          <w:sz w:val="16"/>
          <w:szCs w:val="16"/>
        </w:rPr>
      </w:pPr>
      <w:r w:rsidRPr="00DE096C">
        <w:rPr>
          <w:bCs/>
          <w:color w:val="002060"/>
          <w:sz w:val="16"/>
          <w:szCs w:val="16"/>
        </w:rPr>
        <w:t>Для снаряжения этих боеприпасов требовалось ежесуточно до 600 пудов тротила, 8 пудов тетрила. В 1914 г. на Самарском заводе изготовляли в сутки 213 пудов тротила, в 1915 г. — до 305 пудов.</w:t>
      </w:r>
    </w:p>
    <w:p w14:paraId="6406ADC8" w14:textId="77777777" w:rsidR="000343AB" w:rsidRPr="00DE096C" w:rsidRDefault="000343AB" w:rsidP="00D45A46">
      <w:pPr>
        <w:jc w:val="both"/>
        <w:rPr>
          <w:bCs/>
          <w:color w:val="002060"/>
          <w:sz w:val="16"/>
          <w:szCs w:val="16"/>
        </w:rPr>
      </w:pPr>
      <w:r w:rsidRPr="00DE096C">
        <w:rPr>
          <w:bCs/>
          <w:color w:val="002060"/>
          <w:sz w:val="16"/>
          <w:szCs w:val="16"/>
        </w:rPr>
        <w:t>Для увеличения производственной мощности Самарского завода по выпуску тротила и по снаряжению боеприпасов строили новые здания, устанавливали дополнительную аппаратуру. Ввели упрощен</w:t>
      </w:r>
      <w:r w:rsidRPr="00DE096C">
        <w:rPr>
          <w:bCs/>
          <w:color w:val="002060"/>
          <w:sz w:val="16"/>
          <w:szCs w:val="16"/>
        </w:rPr>
        <w:softHyphen/>
        <w:t>ную технологию изготовления тротила. Увеличили загрузку агрега</w:t>
      </w:r>
      <w:r w:rsidRPr="00DE096C">
        <w:rPr>
          <w:bCs/>
          <w:color w:val="002060"/>
          <w:sz w:val="16"/>
          <w:szCs w:val="16"/>
        </w:rPr>
        <w:softHyphen/>
        <w:t>тов.</w:t>
      </w:r>
    </w:p>
    <w:p w14:paraId="6F45ABDE" w14:textId="77777777" w:rsidR="000343AB" w:rsidRPr="00DE096C" w:rsidRDefault="000343AB" w:rsidP="00D45A46">
      <w:pPr>
        <w:jc w:val="both"/>
        <w:rPr>
          <w:bCs/>
          <w:color w:val="002060"/>
          <w:sz w:val="16"/>
          <w:szCs w:val="16"/>
        </w:rPr>
      </w:pPr>
      <w:r w:rsidRPr="00DE096C">
        <w:rPr>
          <w:bCs/>
          <w:color w:val="002060"/>
          <w:sz w:val="16"/>
          <w:szCs w:val="16"/>
        </w:rPr>
        <w:t>Так как боеприпасы, снаряженные тротилом, долго не храни</w:t>
      </w:r>
      <w:r w:rsidRPr="00DE096C">
        <w:rPr>
          <w:bCs/>
          <w:color w:val="002060"/>
          <w:sz w:val="16"/>
          <w:szCs w:val="16"/>
        </w:rPr>
        <w:softHyphen/>
        <w:t>лись, а тотчас после изготовления отправлялись на фронт, требова</w:t>
      </w:r>
      <w:r w:rsidRPr="00DE096C">
        <w:rPr>
          <w:bCs/>
          <w:color w:val="002060"/>
          <w:sz w:val="16"/>
          <w:szCs w:val="16"/>
        </w:rPr>
        <w:softHyphen/>
        <w:t>ния к тротилу в отношении химической стойкости и чистоты по предложению проф. А. А. Солонины были снижены. Стали приме</w:t>
      </w:r>
      <w:r w:rsidRPr="00DE096C">
        <w:rPr>
          <w:bCs/>
          <w:color w:val="002060"/>
          <w:sz w:val="16"/>
          <w:szCs w:val="16"/>
        </w:rPr>
        <w:softHyphen/>
        <w:t>нять сырой тротил, промытый, но не очищенный. В результате годо</w:t>
      </w:r>
      <w:r w:rsidRPr="00DE096C">
        <w:rPr>
          <w:bCs/>
          <w:color w:val="002060"/>
          <w:sz w:val="16"/>
          <w:szCs w:val="16"/>
        </w:rPr>
        <w:softHyphen/>
        <w:t>вая мощность Самарского завода увеличилась до 190 тыс. пудов тро</w:t>
      </w:r>
      <w:r w:rsidRPr="00DE096C">
        <w:rPr>
          <w:bCs/>
          <w:color w:val="002060"/>
          <w:sz w:val="16"/>
          <w:szCs w:val="16"/>
        </w:rPr>
        <w:softHyphen/>
        <w:t>тила и 6—7 тыс. пудов тетрила [5, с. 218]. Всего за годы войны завод произвел более 514 тыс. пудов тротила и около 9 тыс. пудов тетрила.</w:t>
      </w:r>
    </w:p>
    <w:p w14:paraId="5EDF5829" w14:textId="77777777" w:rsidR="000343AB" w:rsidRPr="00DE096C" w:rsidRDefault="000343AB" w:rsidP="00D45A46">
      <w:pPr>
        <w:jc w:val="both"/>
        <w:rPr>
          <w:bCs/>
          <w:color w:val="002060"/>
          <w:sz w:val="16"/>
          <w:szCs w:val="16"/>
        </w:rPr>
      </w:pPr>
      <w:r w:rsidRPr="00DE096C">
        <w:rPr>
          <w:bCs/>
          <w:color w:val="002060"/>
          <w:sz w:val="16"/>
          <w:szCs w:val="16"/>
        </w:rPr>
        <w:t>Мощности по снаряжению за первые два года войны увеличились в несколько раз. В 1916 г. завод выпускал ежесуточно до 10 тыс. трехдюймовых гранат, до 5 тыс. фугасных снарядов средних калиб</w:t>
      </w:r>
      <w:r w:rsidRPr="00DE096C">
        <w:rPr>
          <w:bCs/>
          <w:color w:val="002060"/>
          <w:sz w:val="16"/>
          <w:szCs w:val="16"/>
        </w:rPr>
        <w:softHyphen/>
        <w:t>ров, до 10 тыс. гранат и до 15 тыс. взрывателей.</w:t>
      </w:r>
    </w:p>
    <w:p w14:paraId="3946081E" w14:textId="77777777" w:rsidR="000343AB" w:rsidRPr="00DE096C" w:rsidRDefault="000343AB" w:rsidP="00D45A46">
      <w:pPr>
        <w:jc w:val="both"/>
        <w:rPr>
          <w:bCs/>
          <w:color w:val="002060"/>
          <w:sz w:val="16"/>
          <w:szCs w:val="16"/>
        </w:rPr>
      </w:pPr>
      <w:r w:rsidRPr="00DE096C">
        <w:rPr>
          <w:bCs/>
          <w:color w:val="002060"/>
          <w:sz w:val="16"/>
          <w:szCs w:val="16"/>
        </w:rPr>
        <w:t>За годы войны Самарский завод снарядил более 6 млн снарядов калибра от 76 до 152 мм и более 3 млн ручных гранат.</w:t>
      </w:r>
    </w:p>
    <w:p w14:paraId="4EB23DF7" w14:textId="77777777" w:rsidR="000343AB" w:rsidRPr="00DE096C" w:rsidRDefault="000343AB" w:rsidP="00D45A46">
      <w:pPr>
        <w:jc w:val="both"/>
        <w:rPr>
          <w:bCs/>
          <w:color w:val="002060"/>
          <w:sz w:val="16"/>
          <w:szCs w:val="16"/>
        </w:rPr>
      </w:pPr>
      <w:r w:rsidRPr="00DE096C">
        <w:rPr>
          <w:bCs/>
          <w:color w:val="002060"/>
          <w:sz w:val="16"/>
          <w:szCs w:val="16"/>
        </w:rPr>
        <w:t>На Охтинском заводе ВВ в течение лета 1915 г. были восстанов</w:t>
      </w:r>
      <w:r w:rsidRPr="00DE096C">
        <w:rPr>
          <w:bCs/>
          <w:color w:val="002060"/>
          <w:sz w:val="16"/>
          <w:szCs w:val="16"/>
        </w:rPr>
        <w:softHyphen/>
        <w:t>лены тротиловые мастерские, разрушенные взрывом в апреле 1915 г., и возобновлены работы по производству взрывчатых веществ и сна</w:t>
      </w:r>
      <w:r w:rsidRPr="00DE096C">
        <w:rPr>
          <w:bCs/>
          <w:color w:val="002060"/>
          <w:sz w:val="16"/>
          <w:szCs w:val="16"/>
        </w:rPr>
        <w:softHyphen/>
        <w:t>ряжению боеприпасов. Так как толуола не было, изготовляли три-нитроксилол (ксилил).</w:t>
      </w:r>
    </w:p>
    <w:p w14:paraId="2700091E" w14:textId="77777777" w:rsidR="000343AB" w:rsidRPr="00DE096C" w:rsidRDefault="000343AB" w:rsidP="00D45A46">
      <w:pPr>
        <w:jc w:val="both"/>
        <w:rPr>
          <w:bCs/>
          <w:color w:val="002060"/>
          <w:sz w:val="16"/>
          <w:szCs w:val="16"/>
        </w:rPr>
      </w:pPr>
      <w:r w:rsidRPr="00DE096C">
        <w:rPr>
          <w:bCs/>
          <w:color w:val="002060"/>
          <w:sz w:val="16"/>
          <w:szCs w:val="16"/>
        </w:rPr>
        <w:t>В целях экономии взрывчатых веществ с началом войны снаряды стали наполнять суррогатами из смеси неперекристаллизованного тротила сначала с калиевой селитрой (около 30 %), а затем с селит</w:t>
      </w:r>
      <w:r w:rsidRPr="00DE096C">
        <w:rPr>
          <w:bCs/>
          <w:color w:val="002060"/>
          <w:sz w:val="16"/>
          <w:szCs w:val="16"/>
        </w:rPr>
        <w:softHyphen/>
        <w:t>рой аммонийной, так называемые амматолы 50/50 и 80/20 (соответ</w:t>
      </w:r>
      <w:r w:rsidRPr="00DE096C">
        <w:rPr>
          <w:bCs/>
          <w:color w:val="002060"/>
          <w:sz w:val="16"/>
          <w:szCs w:val="16"/>
        </w:rPr>
        <w:softHyphen/>
        <w:t>ственно 50 и 20 % тротила).</w:t>
      </w:r>
    </w:p>
    <w:p w14:paraId="476A9C50" w14:textId="77777777" w:rsidR="000343AB" w:rsidRPr="00DE096C" w:rsidRDefault="000343AB" w:rsidP="00D45A46">
      <w:pPr>
        <w:jc w:val="both"/>
        <w:rPr>
          <w:bCs/>
          <w:color w:val="002060"/>
          <w:sz w:val="16"/>
          <w:szCs w:val="16"/>
        </w:rPr>
      </w:pPr>
      <w:r w:rsidRPr="00DE096C">
        <w:rPr>
          <w:bCs/>
          <w:color w:val="002060"/>
          <w:sz w:val="16"/>
          <w:szCs w:val="16"/>
        </w:rPr>
        <w:t>За годы первой мировой войны Охтинский завод ВВ изготовил 22,5 тыс. пудов тротила и снарядил (в млн. шт.): снарядов калибра от 76 мм до 152 мм и более — 3,46; ручных гранат — около 6 и взры</w:t>
      </w:r>
      <w:r w:rsidRPr="00DE096C">
        <w:rPr>
          <w:bCs/>
          <w:color w:val="002060"/>
          <w:sz w:val="16"/>
          <w:szCs w:val="16"/>
        </w:rPr>
        <w:softHyphen/>
        <w:t>вателей различных марок — почти 8,5.</w:t>
      </w:r>
    </w:p>
    <w:p w14:paraId="5FFB8FCA" w14:textId="77777777" w:rsidR="000343AB" w:rsidRPr="00DE096C" w:rsidRDefault="000343AB" w:rsidP="00D45A46">
      <w:pPr>
        <w:jc w:val="both"/>
        <w:rPr>
          <w:bCs/>
          <w:color w:val="002060"/>
          <w:sz w:val="16"/>
          <w:szCs w:val="16"/>
        </w:rPr>
      </w:pPr>
      <w:r w:rsidRPr="00DE096C">
        <w:rPr>
          <w:bCs/>
          <w:color w:val="002060"/>
          <w:sz w:val="16"/>
          <w:szCs w:val="16"/>
        </w:rPr>
        <w:t>Однако, несмотря на все указанные выше меры и непрерывное наращивание выпуска тротила, возможности снаряжательных про</w:t>
      </w:r>
      <w:r w:rsidRPr="00DE096C">
        <w:rPr>
          <w:bCs/>
          <w:color w:val="002060"/>
          <w:sz w:val="16"/>
          <w:szCs w:val="16"/>
        </w:rPr>
        <w:softHyphen/>
        <w:t>изводств значительно опережали изготовление взрывчатых веществ.</w:t>
      </w:r>
    </w:p>
    <w:p w14:paraId="50C81358" w14:textId="77777777" w:rsidR="000343AB" w:rsidRPr="00DE096C" w:rsidRDefault="000343AB" w:rsidP="00D45A46">
      <w:pPr>
        <w:jc w:val="both"/>
        <w:rPr>
          <w:bCs/>
          <w:color w:val="002060"/>
          <w:sz w:val="16"/>
          <w:szCs w:val="16"/>
        </w:rPr>
      </w:pPr>
      <w:r w:rsidRPr="00DE096C">
        <w:rPr>
          <w:bCs/>
          <w:color w:val="002060"/>
          <w:sz w:val="16"/>
          <w:szCs w:val="16"/>
        </w:rPr>
        <w:t>Тротила все время не хватало. Проблема преодоления «тротилового голода» побуждала ГАУ обращаться к закупкам взрывчатых ве</w:t>
      </w:r>
      <w:r w:rsidRPr="00DE096C">
        <w:rPr>
          <w:bCs/>
          <w:color w:val="002060"/>
          <w:sz w:val="16"/>
          <w:szCs w:val="16"/>
        </w:rPr>
        <w:softHyphen/>
        <w:t>ществ за рубежом, а также к мобилизации гражданской химической промышленности России (5484).</w:t>
      </w:r>
    </w:p>
    <w:p w14:paraId="269B0471" w14:textId="77777777" w:rsidR="000343AB" w:rsidRPr="00DE096C" w:rsidRDefault="000343AB" w:rsidP="00D45A46">
      <w:pPr>
        <w:jc w:val="both"/>
        <w:rPr>
          <w:bCs/>
          <w:color w:val="002060"/>
          <w:sz w:val="16"/>
          <w:szCs w:val="16"/>
        </w:rPr>
      </w:pPr>
    </w:p>
    <w:p w14:paraId="240624FD" w14:textId="77777777" w:rsidR="000343AB" w:rsidRPr="00DE096C" w:rsidRDefault="000343AB" w:rsidP="00D45A46">
      <w:pPr>
        <w:jc w:val="both"/>
        <w:rPr>
          <w:bCs/>
          <w:color w:val="002060"/>
          <w:sz w:val="16"/>
          <w:szCs w:val="16"/>
        </w:rPr>
      </w:pPr>
      <w:r w:rsidRPr="00DE096C">
        <w:rPr>
          <w:bCs/>
          <w:color w:val="002060"/>
          <w:sz w:val="16"/>
          <w:szCs w:val="16"/>
        </w:rPr>
        <w:t>К концу июля 1914 г. к началу первой мировой войны в наличии было более 7 млн выст</w:t>
      </w:r>
      <w:r w:rsidRPr="00DE096C">
        <w:rPr>
          <w:bCs/>
          <w:color w:val="002060"/>
          <w:sz w:val="16"/>
          <w:szCs w:val="16"/>
        </w:rPr>
        <w:softHyphen/>
        <w:t>релов для полевых орудий всех калибров, что превышало расчетное количество. Выстрелов же для полевой тяжелой артиллерии не хва</w:t>
      </w:r>
      <w:r w:rsidRPr="00DE096C">
        <w:rPr>
          <w:bCs/>
          <w:color w:val="002060"/>
          <w:sz w:val="16"/>
          <w:szCs w:val="16"/>
        </w:rPr>
        <w:softHyphen/>
        <w:t>тало: к 122-мм легким гаубицам — около 12 %, а к 107-мм пушкам и к 152-мм гаубицам — почти 52 % (5484).</w:t>
      </w:r>
    </w:p>
    <w:p w14:paraId="1AC5D1C2" w14:textId="77777777" w:rsidR="000343AB" w:rsidRPr="00DE096C" w:rsidRDefault="000343AB" w:rsidP="00D45A46">
      <w:pPr>
        <w:jc w:val="both"/>
        <w:rPr>
          <w:bCs/>
          <w:color w:val="002060"/>
          <w:sz w:val="16"/>
          <w:szCs w:val="16"/>
        </w:rPr>
      </w:pPr>
      <w:r w:rsidRPr="00DE096C">
        <w:rPr>
          <w:bCs/>
          <w:color w:val="002060"/>
          <w:sz w:val="16"/>
          <w:szCs w:val="16"/>
        </w:rPr>
        <w:t>Начавшиеся в 1914 г. боевые действия поглотили имевшиеся за</w:t>
      </w:r>
      <w:r w:rsidRPr="00DE096C">
        <w:rPr>
          <w:bCs/>
          <w:color w:val="002060"/>
          <w:sz w:val="16"/>
          <w:szCs w:val="16"/>
        </w:rPr>
        <w:softHyphen/>
        <w:t>пасы выстрелов в первые же месяцы. Весной 1915 г. Ставка опреде</w:t>
      </w:r>
      <w:r w:rsidRPr="00DE096C">
        <w:rPr>
          <w:bCs/>
          <w:color w:val="002060"/>
          <w:sz w:val="16"/>
          <w:szCs w:val="16"/>
        </w:rPr>
        <w:softHyphen/>
        <w:t>лила, по опыту минувших боев, ежемесячную потребность в 1,75 млн пушечных 76-мм патронов, а летом того же года Особое совещание по обороне государства повысило ее до 3 млн шт. [5, с. 187].</w:t>
      </w:r>
    </w:p>
    <w:p w14:paraId="320CBCC5" w14:textId="77777777" w:rsidR="000343AB" w:rsidRPr="00DE096C" w:rsidRDefault="000343AB" w:rsidP="00D45A46">
      <w:pPr>
        <w:jc w:val="both"/>
        <w:rPr>
          <w:bCs/>
          <w:color w:val="002060"/>
          <w:sz w:val="16"/>
          <w:szCs w:val="16"/>
        </w:rPr>
      </w:pPr>
      <w:r w:rsidRPr="00DE096C">
        <w:rPr>
          <w:bCs/>
          <w:color w:val="002060"/>
          <w:sz w:val="16"/>
          <w:szCs w:val="16"/>
        </w:rPr>
        <w:t>Перед ГАУ встала огромной сложности задача увеличить произ</w:t>
      </w:r>
      <w:r w:rsidRPr="00DE096C">
        <w:rPr>
          <w:bCs/>
          <w:color w:val="002060"/>
          <w:sz w:val="16"/>
          <w:szCs w:val="16"/>
        </w:rPr>
        <w:softHyphen/>
        <w:t>водство артиллерийских выстрелов по меньшей мере в 4—5 раз. Для этого надо было организовать быстрое увеличение выпуска всех эле ментов выстрела — снарядных корпусов, пороховых зарядов, взрыв</w:t>
      </w:r>
      <w:r w:rsidRPr="00DE096C">
        <w:rPr>
          <w:bCs/>
          <w:color w:val="002060"/>
          <w:sz w:val="16"/>
          <w:szCs w:val="16"/>
        </w:rPr>
        <w:softHyphen/>
        <w:t>чатых веществ, гильз, капсюльных втулок, дистанционных трубок и взрывателей и т. п.</w:t>
      </w:r>
    </w:p>
    <w:p w14:paraId="2DB29B5F" w14:textId="77777777" w:rsidR="000343AB" w:rsidRPr="00DE096C" w:rsidRDefault="000343AB" w:rsidP="00D45A46">
      <w:pPr>
        <w:jc w:val="both"/>
        <w:rPr>
          <w:bCs/>
          <w:color w:val="002060"/>
          <w:sz w:val="16"/>
          <w:szCs w:val="16"/>
        </w:rPr>
      </w:pPr>
      <w:r w:rsidRPr="00DE096C">
        <w:rPr>
          <w:bCs/>
          <w:color w:val="002060"/>
          <w:sz w:val="16"/>
          <w:szCs w:val="16"/>
        </w:rPr>
        <w:t>Дело с расширением производства артиллерийских выстрелов продвигалось медленно. Не надеясь на Военное министерство, Став</w:t>
      </w:r>
      <w:r w:rsidRPr="00DE096C">
        <w:rPr>
          <w:bCs/>
          <w:color w:val="002060"/>
          <w:sz w:val="16"/>
          <w:szCs w:val="16"/>
        </w:rPr>
        <w:softHyphen/>
        <w:t>ка в мае 1915 г. обратилась к правительству с предложением об ор</w:t>
      </w:r>
      <w:r w:rsidRPr="00DE096C">
        <w:rPr>
          <w:bCs/>
          <w:color w:val="002060"/>
          <w:sz w:val="16"/>
          <w:szCs w:val="16"/>
        </w:rPr>
        <w:softHyphen/>
        <w:t>ганизации Особого совещания по обороне государства, которое взя</w:t>
      </w:r>
      <w:r w:rsidRPr="00DE096C">
        <w:rPr>
          <w:bCs/>
          <w:color w:val="002060"/>
          <w:sz w:val="16"/>
          <w:szCs w:val="16"/>
        </w:rPr>
        <w:softHyphen/>
        <w:t>ло бы на себя организацию и регулирование производства вооруже</w:t>
      </w:r>
      <w:r w:rsidRPr="00DE096C">
        <w:rPr>
          <w:bCs/>
          <w:color w:val="002060"/>
          <w:sz w:val="16"/>
          <w:szCs w:val="16"/>
        </w:rPr>
        <w:softHyphen/>
        <w:t>ния и боеприпасов. Особое совещание было создано и сыграло важ</w:t>
      </w:r>
      <w:r w:rsidRPr="00DE096C">
        <w:rPr>
          <w:bCs/>
          <w:color w:val="002060"/>
          <w:sz w:val="16"/>
          <w:szCs w:val="16"/>
        </w:rPr>
        <w:softHyphen/>
        <w:t>ную роль в мобилизации промышленности России для работы на нужды обороны.</w:t>
      </w:r>
    </w:p>
    <w:p w14:paraId="37FF6221" w14:textId="77777777" w:rsidR="000343AB" w:rsidRPr="00DE096C" w:rsidRDefault="000343AB" w:rsidP="00D45A46">
      <w:pPr>
        <w:jc w:val="both"/>
        <w:rPr>
          <w:bCs/>
          <w:color w:val="002060"/>
          <w:sz w:val="16"/>
          <w:szCs w:val="16"/>
        </w:rPr>
      </w:pPr>
      <w:r w:rsidRPr="00DE096C">
        <w:rPr>
          <w:bCs/>
          <w:color w:val="002060"/>
          <w:sz w:val="16"/>
          <w:szCs w:val="16"/>
        </w:rPr>
        <w:t>К изготовлению корпусов снарядов всех калибров во время пер</w:t>
      </w:r>
      <w:r w:rsidRPr="00DE096C">
        <w:rPr>
          <w:bCs/>
          <w:color w:val="002060"/>
          <w:sz w:val="16"/>
          <w:szCs w:val="16"/>
        </w:rPr>
        <w:softHyphen/>
        <w:t>вой мировой войны были привлечены около 50 крупных металлур</w:t>
      </w:r>
      <w:r w:rsidRPr="00DE096C">
        <w:rPr>
          <w:bCs/>
          <w:color w:val="002060"/>
          <w:sz w:val="16"/>
          <w:szCs w:val="16"/>
        </w:rPr>
        <w:softHyphen/>
        <w:t>гических и металлообрабатывающих заводов и несколько сотен дру</w:t>
      </w:r>
      <w:r w:rsidRPr="00DE096C">
        <w:rPr>
          <w:bCs/>
          <w:color w:val="002060"/>
          <w:sz w:val="16"/>
          <w:szCs w:val="16"/>
        </w:rPr>
        <w:softHyphen/>
        <w:t>гих заводов и мастерских.</w:t>
      </w:r>
    </w:p>
    <w:p w14:paraId="5B6464ED" w14:textId="77777777" w:rsidR="000343AB" w:rsidRPr="00DE096C" w:rsidRDefault="000343AB" w:rsidP="00D45A46">
      <w:pPr>
        <w:jc w:val="both"/>
        <w:rPr>
          <w:bCs/>
          <w:color w:val="002060"/>
          <w:sz w:val="16"/>
          <w:szCs w:val="16"/>
        </w:rPr>
      </w:pPr>
      <w:r w:rsidRPr="00DE096C">
        <w:rPr>
          <w:bCs/>
          <w:color w:val="002060"/>
          <w:sz w:val="16"/>
          <w:szCs w:val="16"/>
        </w:rPr>
        <w:t>Группа Путиловского завода объединяла следующие предприя</w:t>
      </w:r>
      <w:r w:rsidRPr="00DE096C">
        <w:rPr>
          <w:bCs/>
          <w:color w:val="002060"/>
          <w:sz w:val="16"/>
          <w:szCs w:val="16"/>
        </w:rPr>
        <w:softHyphen/>
        <w:t>тия: Путиловский завод, завод Русского общества изготовления сна</w:t>
      </w:r>
      <w:r w:rsidRPr="00DE096C">
        <w:rPr>
          <w:bCs/>
          <w:color w:val="002060"/>
          <w:sz w:val="16"/>
          <w:szCs w:val="16"/>
        </w:rPr>
        <w:softHyphen/>
        <w:t>рядов (бывший «Парвиайнен»), Коломенский и Русско-Балтийский. Созданная ГАУ специальная организация во главе с начальни</w:t>
      </w:r>
      <w:r w:rsidRPr="00DE096C">
        <w:rPr>
          <w:bCs/>
          <w:color w:val="002060"/>
          <w:sz w:val="16"/>
          <w:szCs w:val="16"/>
        </w:rPr>
        <w:softHyphen/>
        <w:t>ком Брянского арсенала генералом С. Н. Банковым по производству снарядов французского образца вначале кооперировала 200 пред</w:t>
      </w:r>
      <w:r w:rsidRPr="00DE096C">
        <w:rPr>
          <w:bCs/>
          <w:color w:val="002060"/>
          <w:sz w:val="16"/>
          <w:szCs w:val="16"/>
        </w:rPr>
        <w:softHyphen/>
        <w:t>приятий, а к концу 1916 г. — до 500. В их числе было много перво</w:t>
      </w:r>
      <w:r w:rsidRPr="00DE096C">
        <w:rPr>
          <w:bCs/>
          <w:color w:val="002060"/>
          <w:sz w:val="16"/>
          <w:szCs w:val="16"/>
        </w:rPr>
        <w:softHyphen/>
        <w:t>классных заводов [21, 63].</w:t>
      </w:r>
    </w:p>
    <w:p w14:paraId="3580C93E" w14:textId="77777777" w:rsidR="000343AB" w:rsidRPr="00DE096C" w:rsidRDefault="000343AB" w:rsidP="00D45A46">
      <w:pPr>
        <w:jc w:val="both"/>
        <w:rPr>
          <w:bCs/>
          <w:color w:val="002060"/>
          <w:sz w:val="16"/>
          <w:szCs w:val="16"/>
        </w:rPr>
      </w:pPr>
      <w:r w:rsidRPr="00DE096C">
        <w:rPr>
          <w:bCs/>
          <w:color w:val="002060"/>
          <w:sz w:val="16"/>
          <w:szCs w:val="16"/>
        </w:rPr>
        <w:t>Значительное число более мелких предприятий действовало под руководством Центрального военно-промышленного комитета, Все</w:t>
      </w:r>
      <w:r w:rsidRPr="00DE096C">
        <w:rPr>
          <w:bCs/>
          <w:color w:val="002060"/>
          <w:sz w:val="16"/>
          <w:szCs w:val="16"/>
        </w:rPr>
        <w:softHyphen/>
        <w:t>российского союза земств и городов, Нижегородского биржевого комитета [5, с. 195].</w:t>
      </w:r>
    </w:p>
    <w:p w14:paraId="28B50DA4" w14:textId="77777777" w:rsidR="000343AB" w:rsidRPr="00DE096C" w:rsidRDefault="000343AB" w:rsidP="00D45A46">
      <w:pPr>
        <w:jc w:val="both"/>
        <w:rPr>
          <w:bCs/>
          <w:color w:val="002060"/>
          <w:sz w:val="16"/>
          <w:szCs w:val="16"/>
        </w:rPr>
      </w:pPr>
      <w:r w:rsidRPr="00DE096C">
        <w:rPr>
          <w:bCs/>
          <w:color w:val="002060"/>
          <w:sz w:val="16"/>
          <w:szCs w:val="16"/>
        </w:rPr>
        <w:t>С целью создания более благоприятных условий для увеличения выпуска корпусов снарядов в начале 1915 г. ГАУ ослабило чрезмер</w:t>
      </w:r>
      <w:r w:rsidRPr="00DE096C">
        <w:rPr>
          <w:bCs/>
          <w:color w:val="002060"/>
          <w:sz w:val="16"/>
          <w:szCs w:val="16"/>
        </w:rPr>
        <w:softHyphen/>
        <w:t>но строгие требования к приему корпусов снарядов. Кроме того, из-за недостатка стали было принято решение изготовлять гранаты из обыкновенного и сталистого чугуна по упрощенному французскому образцу, т. е. цельнокорпусными без отдельной привинтной головки. Налаживание массового производства корпусов снарядов было связано с рядом трудностей. До войны основным источником приоб</w:t>
      </w:r>
      <w:r w:rsidRPr="00DE096C">
        <w:rPr>
          <w:bCs/>
          <w:color w:val="002060"/>
          <w:sz w:val="16"/>
          <w:szCs w:val="16"/>
        </w:rPr>
        <w:softHyphen/>
        <w:t>ретения металлообрабатывающих станков, специального оборудова</w:t>
      </w:r>
      <w:r w:rsidRPr="00DE096C">
        <w:rPr>
          <w:bCs/>
          <w:color w:val="002060"/>
          <w:sz w:val="16"/>
          <w:szCs w:val="16"/>
        </w:rPr>
        <w:softHyphen/>
        <w:t>ния и многих видов сырья являлся германский рынок. С началом войны он стал недоступным, пришлось организовывать многие про</w:t>
      </w:r>
      <w:r w:rsidRPr="00DE096C">
        <w:rPr>
          <w:bCs/>
          <w:color w:val="002060"/>
          <w:sz w:val="16"/>
          <w:szCs w:val="16"/>
        </w:rPr>
        <w:softHyphen/>
        <w:t>изводства внутри страны или искать поставщиков среди союзни</w:t>
      </w:r>
      <w:r w:rsidRPr="00DE096C">
        <w:rPr>
          <w:bCs/>
          <w:color w:val="002060"/>
          <w:sz w:val="16"/>
          <w:szCs w:val="16"/>
        </w:rPr>
        <w:softHyphen/>
        <w:t>ков. Многие материалы, необходимые для военного производства, стали дефицитными из-за резко возросшего спроса на них во всех воюющих державах. Осложнилась доставка импортных грузов из-за закрытия портов Балтийского моря.</w:t>
      </w:r>
    </w:p>
    <w:p w14:paraId="44D9164F" w14:textId="77777777" w:rsidR="000343AB" w:rsidRPr="00DE096C" w:rsidRDefault="000343AB" w:rsidP="00D45A46">
      <w:pPr>
        <w:jc w:val="both"/>
        <w:rPr>
          <w:bCs/>
          <w:color w:val="002060"/>
          <w:sz w:val="16"/>
          <w:szCs w:val="16"/>
        </w:rPr>
      </w:pPr>
      <w:r w:rsidRPr="00DE096C">
        <w:rPr>
          <w:bCs/>
          <w:color w:val="002060"/>
          <w:sz w:val="16"/>
          <w:szCs w:val="16"/>
        </w:rPr>
        <w:t>Затрудняло работу отсутствие опыта производства корпусов сна</w:t>
      </w:r>
      <w:r w:rsidRPr="00DE096C">
        <w:rPr>
          <w:bCs/>
          <w:color w:val="002060"/>
          <w:sz w:val="16"/>
          <w:szCs w:val="16"/>
        </w:rPr>
        <w:softHyphen/>
        <w:t>рядов, незнание специфики массового производства вообще и сна</w:t>
      </w:r>
      <w:r w:rsidRPr="00DE096C">
        <w:rPr>
          <w:bCs/>
          <w:color w:val="002060"/>
          <w:sz w:val="16"/>
          <w:szCs w:val="16"/>
        </w:rPr>
        <w:softHyphen/>
        <w:t>рядного в частности. На большинстве заводов не было хорошего обо</w:t>
      </w:r>
      <w:r w:rsidRPr="00DE096C">
        <w:rPr>
          <w:bCs/>
          <w:color w:val="002060"/>
          <w:sz w:val="16"/>
          <w:szCs w:val="16"/>
        </w:rPr>
        <w:softHyphen/>
        <w:t>рудования; рабочие не имели квалификации, требуемой для изготов</w:t>
      </w:r>
      <w:r w:rsidRPr="00DE096C">
        <w:rPr>
          <w:bCs/>
          <w:color w:val="002060"/>
          <w:sz w:val="16"/>
          <w:szCs w:val="16"/>
        </w:rPr>
        <w:softHyphen/>
        <w:t>ления такой точной продукции, как артиллерийские снаряды. Даже Путиловский завод, получивший крупный заказ в августе 1914 г., смог дать первую партию корпусов снарядов (26 711 шт.) только в ноябре 1914 г., Петроградский механический завод изготовил в де</w:t>
      </w:r>
      <w:r w:rsidRPr="00DE096C">
        <w:rPr>
          <w:bCs/>
          <w:color w:val="002060"/>
          <w:sz w:val="16"/>
          <w:szCs w:val="16"/>
        </w:rPr>
        <w:softHyphen/>
        <w:t>кабре 1914 г. всего 1009 корпусов. Балтийский, Николаевский и не</w:t>
      </w:r>
      <w:r w:rsidRPr="00DE096C">
        <w:rPr>
          <w:bCs/>
          <w:color w:val="002060"/>
          <w:sz w:val="16"/>
          <w:szCs w:val="16"/>
        </w:rPr>
        <w:softHyphen/>
        <w:t>которые другие заводы выдали первые партии снарядов лишь в янва</w:t>
      </w:r>
      <w:r w:rsidRPr="00DE096C">
        <w:rPr>
          <w:bCs/>
          <w:color w:val="002060"/>
          <w:sz w:val="16"/>
          <w:szCs w:val="16"/>
        </w:rPr>
        <w:softHyphen/>
        <w:t>ре—феврале 1915 г. (5484).</w:t>
      </w:r>
    </w:p>
    <w:p w14:paraId="5739A459" w14:textId="77777777" w:rsidR="000343AB" w:rsidRPr="00DE096C" w:rsidRDefault="000343AB" w:rsidP="00D45A46">
      <w:pPr>
        <w:jc w:val="both"/>
        <w:rPr>
          <w:bCs/>
          <w:color w:val="002060"/>
          <w:sz w:val="16"/>
          <w:szCs w:val="16"/>
        </w:rPr>
      </w:pPr>
    </w:p>
    <w:p w14:paraId="5962C764" w14:textId="77777777" w:rsidR="000343AB" w:rsidRPr="00DE096C" w:rsidRDefault="000343AB" w:rsidP="00D45A46">
      <w:pPr>
        <w:jc w:val="both"/>
        <w:rPr>
          <w:bCs/>
          <w:color w:val="002060"/>
          <w:sz w:val="16"/>
          <w:szCs w:val="16"/>
        </w:rPr>
      </w:pPr>
      <w:r w:rsidRPr="00DE096C">
        <w:rPr>
          <w:bCs/>
          <w:color w:val="002060"/>
          <w:sz w:val="16"/>
          <w:szCs w:val="16"/>
        </w:rPr>
        <w:t>На конец июля 1914 г. на начало 1-й Мировой войны стрелковое оружие выпускали 3 казенных завода (Тульский, Сестрорецкий и Ижевский). В 1915г. начали строить еще два завода (в Екатеринославе и Туле), но завершить не успели. Было 3 патронных завода: два - казенных (Петербургский и Луганский) и Тульский частный. В 1916г. начали строительство Симбирского патронного завода, который вступил в строй в 1918г. Орудийное производство было налажено на Путиловском, Обуховском, Пермском и Петроградском орудийном заводах. Снаряды изготавливались на 16 казенных и частных предприятиях (в т.ч. Подольском). Дистанционные трубки для снарядов выпускали два казенных завода (Петроградский и Самарский трубочные заводы). Производство пороха велось на трех казенных заводах (Охтенском, Казанском и Шосткинском) и нескольких частных, в т.ч. Шлиссельбургском. Кроме того, взрывчатые вещества производились Сергиево-Самарским заводом. Химическое сырье для ВВ до 1-й Мировой войны в основном закупалось за границей. В России на 1914г. действовало 7 военно-химических заводов. Во время войны было заложено 100 заводов по производству бензола, тротила и толуола, 34 завода по выпуску серной и азотной кислоты, 40 заводов по производству отравляющих веществ. В 1917г. действовало 175 военно-химических заводов. С 1909 по 1917г. было создано 20 небольших частных авиационных заводов. В 1916г. в Херсоне началась постройка крупного авиазавода, но до конца войны его постройка не была завершена. На 10.1917г. имелось 34 авиазавода, 24 из них были действующими (14 самолетостроительных, 7 моторостроительных, 3 выпускали в/винты и лыжи, 2- магнето, 1- авиаприборы), 7 строились. Военное судостроение велось на 7 казенных заводах (Балтийском, Ижорском, Обуховском; Петербургской, Кронштадтской, Николаевской и Севастопольской адмиралтейских верфях) и крупных частных заводах (Невском судостроительном, заводах Русского судостроительного и Русско-Балтийского судостроительного обществ; верфях Петербургского металлического и Путиловского заводов, заводах «Нобель-Лесснер», «В. Крейтон и К0», Николаевского общества заводов и верфей).</w:t>
      </w:r>
    </w:p>
    <w:p w14:paraId="3D883818" w14:textId="77777777" w:rsidR="000343AB" w:rsidRPr="00DE096C" w:rsidRDefault="000343AB" w:rsidP="00D45A46">
      <w:pPr>
        <w:jc w:val="both"/>
        <w:rPr>
          <w:bCs/>
          <w:color w:val="002060"/>
          <w:sz w:val="16"/>
          <w:szCs w:val="16"/>
        </w:rPr>
      </w:pPr>
      <w:r w:rsidRPr="00DE096C">
        <w:rPr>
          <w:bCs/>
          <w:color w:val="002060"/>
          <w:sz w:val="16"/>
          <w:szCs w:val="16"/>
        </w:rPr>
        <w:lastRenderedPageBreak/>
        <w:t>В 10.1917г. была создана Всероссийская коллегия по формированию Красной армии, а в составе коллегии - Отдел вооружений. Вскоре Отдел был слит со старым ГАУ в ГАУ РККА. В 07.1918г. ГАУ создало Центральное правление артиллерийских заводов (ЦПАЗ), в ведение которого перешли все оружейные, патронные и пороховые заводы, обслуживающие сухопутную армию. 16.08.1918г. создана Чрезвычайная комиссия по производству предметов военного снаряжения при ВСНХ, переименованная 2.11.1918г. в Чрезвычайную комиссию по снабжению Красной армии (Чрезкомснаб), которая осуществляла контроль и согласование работы всех военных заводов. В 1918г. создан также Глававиа. 12.06.1918г. решением ВСНХ авиазаводы были отнесены к 4-й (последней) категории предприятий по снабжению топливом, сырьем и материалам. Декретом от 28.06.1918г. авиапредприятия национализированы. Организация производства оставалась в ведении ВСНХ и местных советов народного хозяйства. Одновременно было создано Центральное управление снабжения (ЦУС), в которое вошли ГАУ, Главное военно-техническое управление (ГВТУ) и Главное военно-инженерное управление (ГВИУ). Таким образом, к концу 1918г. основная часть военных заводов были в ведении ВСНХ, часть подчинялась ЦУС, некоторые специальные заводы (Тульский, Ижевский, Симбирский) подчинялись непосредственно ГАУ. 31.10.1918г. в системе ВСНХ создан Центральный отдел военных заготовлений для организации вещевого и обозного производства. В 1918г. был создан Совет рабочей и крестьянской обороны (СО), взявший на себя функции военно- хозяйственного управления и планирования в годы Гражданской войны. В 1920г. СО преобразован в Совет Труда и Обороны (СТО) РСФСР. Далее объединение управлением военной промышленностью было продолжено в 1919г., когда 9.07.1919г. постановлением ВЦИК был назначен чрезвычайный уполномоченный СО по снабжению армии и флота (Чусоснабарм), которому было подчинено ЦУС. Вместо ЦУС приказом Чусоснабарма № 75 от 12.09.1919г. был учрежден Совет Военной промышленности (Промвоенсовет) Чусоснабарма. В его ведение начали собирать все специальные заводы, обслуживающие артиллерию, флот, авиацию, саперные войска и интендантство. В 1920г. в ведении главков ПромвоенсоветаЦПАЗ, Главкоавиа, ЦУПВМОРЗ и ЦУПВОЗ - находилось свыше 130 заводов.</w:t>
      </w:r>
    </w:p>
    <w:p w14:paraId="2DDCD8B8" w14:textId="77777777" w:rsidR="000343AB" w:rsidRPr="00DE096C" w:rsidRDefault="000343AB" w:rsidP="00D45A46">
      <w:pPr>
        <w:jc w:val="both"/>
        <w:rPr>
          <w:bCs/>
          <w:color w:val="002060"/>
          <w:sz w:val="16"/>
          <w:szCs w:val="16"/>
        </w:rPr>
      </w:pPr>
      <w:r w:rsidRPr="00DE096C">
        <w:rPr>
          <w:bCs/>
          <w:color w:val="002060"/>
          <w:sz w:val="16"/>
          <w:szCs w:val="16"/>
        </w:rPr>
        <w:t>Пост. Президиума ВСНХ от 31.12.1918г. создано ГУ объединенных авиапромышленных заводов («Главкоавиа») в ведении Отдела металла ВСНХ. Пост, президиума ВСНХ от 22.12.1919г. «Главкоавиа» передано в ведение Промвоенсовета Чусоснабарма, с 17.03.1921г.в ведении Промвоенсовета ВСНХ, с 6.06.1921г.в составе ГУВП. Пост. СТО от 16.06.1920г. авиапредприятия отнесены к ударной группе оборонных заводов по степени снабжения. На конец 1921г. в состав «Главкоавиа» входило 14 предприятий. Однако, Главкоавиа было не единственным органом управления авиазаводами: с 18.11.1921г. часть заводов находилась в ведении Правления фабрично- заводскими предприятиями ВВС «Промвоздух». Пост, президиума ВСНХ от 17.07.1929г. Правление «Промвоздух» влито с 1.10.1929г. в состав Авиатреста, на тот момент в его ведении находилось 6 заводов.</w:t>
      </w:r>
    </w:p>
    <w:p w14:paraId="0C72E92F" w14:textId="77777777" w:rsidR="000343AB" w:rsidRPr="00DE096C" w:rsidRDefault="000343AB" w:rsidP="00D45A46">
      <w:pPr>
        <w:jc w:val="both"/>
        <w:rPr>
          <w:bCs/>
          <w:color w:val="002060"/>
          <w:sz w:val="16"/>
          <w:szCs w:val="16"/>
        </w:rPr>
      </w:pPr>
      <w:r w:rsidRPr="00DE096C">
        <w:rPr>
          <w:bCs/>
          <w:color w:val="002060"/>
          <w:sz w:val="16"/>
          <w:szCs w:val="16"/>
        </w:rPr>
        <w:t>В соответствии с декретом СНК «О централизации радиотехнического дела Советской Республики» от 27(19).07.1918г. все радиозаводы были национализированы и подчинены отделу электротехнической промышленности ВСНХ. В 03.1922г. образован ГЭТЗСТ, в который вошли 11 заводов. Затем, до 1930г. предприятия входили в трест «Электросвязь». В 1930г. трест «Электросвязь» вошел в состав Всесоюзного электротехнического объединения (ВЭО). В 1931г. из состава ВЭО выделено Всесоюзное электрослаботочное объединение (ВЭСО), которому были подчинены радиозаводы. В конце 1933г. на базе ВЭСО создано ГУ электрослаботочной промышленности («Главэспром») НКТП, куда помимо ламповых заводов вошли заводы им. Козицкого, им. Коминтерна, им. Кулакова, «Красная заря», «Электроприбор», горьковский им. Ленина, московские им. Орджоникидзе, «Радиоприбор», воронежский «Электросигнал». В 1937г. «Главэспром» вошел в состав НКОП и переименован в 5ГУ. В 1940г. вошел во вновь образованный НКЭП как «Главсветвакуумпром». В его подчинении находилось 40 заводов.</w:t>
      </w:r>
    </w:p>
    <w:p w14:paraId="2F68577D" w14:textId="77777777" w:rsidR="000343AB" w:rsidRPr="00DE096C" w:rsidRDefault="000343AB" w:rsidP="00D45A46">
      <w:pPr>
        <w:jc w:val="both"/>
        <w:rPr>
          <w:bCs/>
          <w:color w:val="002060"/>
          <w:sz w:val="16"/>
          <w:szCs w:val="16"/>
        </w:rPr>
      </w:pPr>
      <w:r w:rsidRPr="00DE096C">
        <w:rPr>
          <w:bCs/>
          <w:color w:val="002060"/>
          <w:sz w:val="16"/>
          <w:szCs w:val="16"/>
        </w:rPr>
        <w:t>В 1921г. в составе Отдела металла Петроградского СНХ (Петрогубметалла) организован Судотрест, в подченение которому переданы Северная верфь, Невский завод, Завод котлов и машин, Завод речного судостроения и Усть-Ижорская верфь. Балтийский завод до 1921г. подчинялся НК по морским делам, а затем - непосредственно Президиуму ВСНХ; Адмиралтейский завод был на консервации. По решению ВСНХ от 08.1922г. судостроительные заводы Украины и Крыма вошли в состав Южного машиностроительного треста (Севморзавод подчинили НК по морским делам). В 07.1921г. было создано Центральное управление судостроением («Центросудстрой»), в 10.1924г. ему переданы функции централизованного управления судостроительными заводами, к концу 1925г. в его подчинении было 32 завода (в т.ч. 7 - на северо-западе страны, 18 - в центре и Поволжье, 6 - на Украине и в Крыму, 1 - на Дальнем Востоке).</w:t>
      </w:r>
    </w:p>
    <w:p w14:paraId="50F11EB7" w14:textId="77777777" w:rsidR="000343AB" w:rsidRPr="00DE096C" w:rsidRDefault="000343AB" w:rsidP="00D45A46">
      <w:pPr>
        <w:jc w:val="both"/>
        <w:rPr>
          <w:bCs/>
          <w:color w:val="002060"/>
          <w:sz w:val="16"/>
          <w:szCs w:val="16"/>
        </w:rPr>
      </w:pPr>
      <w:r w:rsidRPr="00DE096C">
        <w:rPr>
          <w:bCs/>
          <w:color w:val="002060"/>
          <w:sz w:val="16"/>
          <w:szCs w:val="16"/>
        </w:rPr>
        <w:t>По Н.С. Симонову92 с производственно-технологической точки зрения производство всех военных изделий по степени родственности их изделиям гражданской промышленности может быть разбито на три группы. 1-я группа: ручное огнестрельное оружие, патроны, капсюли, пороха, взрывчатые и отравляющие вещества, дистанционные трубки, мины, снаряжение боеприпасов; 2-я группа: взрыватели, артиллерийские орудия, артиллерийские снаряды, материальная часть артиллерии, военное судостроение, авиастроение, танкостроение, военная оптика и радио; 3-я группа: электротехническое, железнодорожное, понтонное и интендантское имущество, средства связи и маскировки, военно-инженерный инструмент, корпуса артиллерийских снарядов. Изделия 1-й группы имеют исключительные отличия от мирной продукции. Производство изделий 2-й группы ближе к гражданской промышленности, но имеет свои особенности: для выпуска готового изделия необходимо объединить несколько военных производств в замкнутый цикл. 3-я группа военных производств в большинстве своем аналогична мирной промышленности. На основании этого производство изделий 1-й и 2-й групп было сосредоточено на специальных «кадровых» военных заводах, основную производственную программу которых составляла только военная продукция. Остальные предприятия, способные вести военное производство, оставались заводами мирной индустрии, были как бы «в запасе». Но при необходимости они могли быть мобилизованы и пополнить «кадровый» состав.</w:t>
      </w:r>
    </w:p>
    <w:p w14:paraId="4D34372F" w14:textId="77777777" w:rsidR="000343AB" w:rsidRPr="00DE096C" w:rsidRDefault="000343AB" w:rsidP="00D45A46">
      <w:pPr>
        <w:jc w:val="both"/>
        <w:rPr>
          <w:bCs/>
          <w:color w:val="002060"/>
          <w:sz w:val="16"/>
          <w:szCs w:val="16"/>
        </w:rPr>
      </w:pPr>
      <w:r w:rsidRPr="00DE096C">
        <w:rPr>
          <w:bCs/>
          <w:color w:val="002060"/>
          <w:sz w:val="16"/>
          <w:szCs w:val="16"/>
        </w:rPr>
        <w:t>С 1921 по 1932г. происходила концентрация военно-промышленных производств в обособленных группах «кадровых» военных заводов под общим руководством ВСНХ СССР. После окончания Гражданской войны происходило сокращение военных производств. На 1.01.1921г. в подчинении ВСНХ находилось 62 завода. В 1924г. 12 военных заводов переведены в гражданскую промышленность, и к концу года их стало 57. В 1922-25г. оборонные заводы страны работали в условиях рыночной экономики (НЭПа), выполняя как военные заказы, так и работы по выпуску мирной продукции. Этот период характеризуется поиском оптимальной схемы управления промышленностью и, вследствие этого, неоднократным реформированием структуры ВСНХ. Несмотря на это, в составе ВСНХ оставалось множество руководящих и распределяющих комитетов, объединений и секторов, нередко дублировавших друг друга.</w:t>
      </w:r>
    </w:p>
    <w:p w14:paraId="6735E4B5" w14:textId="77777777" w:rsidR="000343AB" w:rsidRPr="00DE096C" w:rsidRDefault="000343AB" w:rsidP="00D45A46">
      <w:pPr>
        <w:jc w:val="both"/>
        <w:rPr>
          <w:bCs/>
          <w:color w:val="002060"/>
          <w:sz w:val="16"/>
          <w:szCs w:val="16"/>
        </w:rPr>
      </w:pPr>
      <w:r w:rsidRPr="00DE096C">
        <w:rPr>
          <w:bCs/>
          <w:color w:val="002060"/>
          <w:sz w:val="16"/>
          <w:szCs w:val="16"/>
        </w:rPr>
        <w:t>В соответствии с пост. СНК от 17.03.1921г. и приказом Чусоснабарма № 117 от 18.04.1921г. Промвоенсовет переподчинен ВСНХ. 6.06.1921г. создано ГУ Военной промышленности (ГУВП, Главвоенпром) ВСНХ РСФСР. В состав ГУВП входили: Промвоенсовет, ЦПАЗ и Главкоавиа. В 02.1921г. при СТО создана Государственная комиссия по планированию (Госплан). Не позднее 1927г. в составе Госплана организован сектор обороны. 3.02.1930г. Госплан передан из подчинения СТО в СНК. Пост. ЦИК от 12.11.1923г. вся военная промышленность была передана в общесоюзное ведение - ВСНХ СССР. В соответствии с декретом о трестах от 10.04.1923г. приказом ВСНХ № 609 от 24.03.1924г. ГУВП преобразовано в Государственное объединение «ГУВП СССР» (Главвоенпром). 7.01.1925г. ГУВП было реорганизовано в ПО Военной промышленности Главвоенпром. В соответствии с пост. СТО № 121 от 28.01.1925г. и приказом ВСНХ № 415 от 10.02.1925г. был организован Государственный трест авиапромышленности «Авиатрест» в составе Главметалла ВСНХ, которому подчинены авиапредприятия. По приказу ВСНХ № 164 от 4.12.1925г. на базе комитетов по мобилизации и демобилизации промышленности и военных заказов ВСНХ было образовано Военно- промышленное управление (ВПУ), а Главвоенпром преобразован в ПО военной промышленности (Военпром) ВПУ ВСНХ. 15.12.1926г. Военпром разделен на 4 треста: Орудийно-Арсенальный (Орударс - 14 предприятий), Патронно-Трубочный (Патрубтрест - 8 предприятий: Луганский, Тульский, Ульяновский и Подольский патронные; Ленинградский, Пензенский, Самарский трубочные, Военно-Химический (Военхимтрест - 12 предприятий) и (О)ружейно-Пулеметный (Оружпултрест) (5 предприятий), которые подчинялись Коллегии ВПУ при Президиуме ВСНХ. В 1927г. из ГУ Металлопромышленности выделился образованный в 01.1925г. Авиатрест (11 предприятий), в 06.1927г. образован Военно-Кислотный трест. С 1928г. координирующим органом Трестов стало созданное на базе ВПУ Главное военно-промышленное управление (ГВПУ) ВСНХ. В 1928г. предприятия «Промвоздуха» переподчинены Авиатресту. Для управления судостроительными заводами в 1929г. образованы Всесоюзные объединения морских судостроительных заводов «Союзверфь» и речных - «Речсоюзверфь».</w:t>
      </w:r>
    </w:p>
    <w:p w14:paraId="1993DD68" w14:textId="77777777" w:rsidR="000343AB" w:rsidRPr="00DE096C" w:rsidRDefault="000343AB" w:rsidP="00D45A46">
      <w:pPr>
        <w:jc w:val="both"/>
        <w:rPr>
          <w:bCs/>
          <w:color w:val="002060"/>
          <w:sz w:val="16"/>
          <w:szCs w:val="16"/>
        </w:rPr>
      </w:pPr>
      <w:r w:rsidRPr="00DE096C">
        <w:rPr>
          <w:bCs/>
          <w:color w:val="002060"/>
          <w:sz w:val="16"/>
          <w:szCs w:val="16"/>
        </w:rPr>
        <w:t>В середине 1920-х годов были начаты мероприятия по засекречиванию «кадровых» заводов с целью сокрытия от противника характера их производства и дислокации. Одной из таких мер явилась введенная пост. СНК от 27.04.1926г. «сквозная» система нумерации военных заводов, по которой им присваивались численные номера, начиная с № 1. Согласно первому приказу ВСНХ/НКВМУОГПУ о переименовании - № 73сс от 9.07.1927г., номерные обозначения получили 30 заводов (Приложение 1). Кроме того, были введены несекретные наименования предприятий «для печатей и вывесок», адреса для направления грузов и условные телеграфные коды предприятий. Вскоре в обиход были введены «почтовые ящики», тогдав качестве условного адреса предприятия (Запорожье п/я 18).</w:t>
      </w:r>
    </w:p>
    <w:p w14:paraId="58A1969A" w14:textId="77777777" w:rsidR="000343AB" w:rsidRPr="00DE096C" w:rsidRDefault="000343AB" w:rsidP="00D45A46">
      <w:pPr>
        <w:jc w:val="both"/>
        <w:rPr>
          <w:bCs/>
          <w:color w:val="002060"/>
          <w:sz w:val="16"/>
          <w:szCs w:val="16"/>
        </w:rPr>
      </w:pPr>
      <w:r w:rsidRPr="00DE096C">
        <w:rPr>
          <w:bCs/>
          <w:color w:val="002060"/>
          <w:sz w:val="16"/>
          <w:szCs w:val="16"/>
        </w:rPr>
        <w:t>В 1929г. в подчинении ГВПУ находилось 52 предприятия: Патрубтрест - 8, Оружпултрест - 5, Военхимтрест - 11, Орударс - 13, Авиатрест - 15. Кроме того, в 1929г. Кислотный завод № 1 (г. Москва) и Химический завод № 2 (г. Троцк Самарской губ.) были переданы из военной промышленности в Главхим. 3.03.1930г. Авиатрест был преобразован в ВАО, в подчинении которого находилось 25 заводов. По приказам ВСНХ № 1166 и № 1167 от 7.04.1930г. на базе ГУВП и трестов были сформированы Всесоюзное объединение орудийно-оружейно-пулеметных производств (Оружобъединение) и Всесоюзное объединение патронно-трубочного и взрывательного производств (Патрубвзрыв). По приказу № 1324 от 3.05.1930г. ГУВП и тресты были упразднены. Другие заводы перешли или остались в составе гражданских трестов и управлений.</w:t>
      </w:r>
    </w:p>
    <w:p w14:paraId="4A1B7826" w14:textId="77777777" w:rsidR="000343AB" w:rsidRPr="00DE096C" w:rsidRDefault="000343AB" w:rsidP="00D45A46">
      <w:pPr>
        <w:jc w:val="both"/>
        <w:rPr>
          <w:bCs/>
          <w:color w:val="002060"/>
          <w:sz w:val="16"/>
          <w:szCs w:val="16"/>
        </w:rPr>
      </w:pPr>
      <w:r w:rsidRPr="00DE096C">
        <w:rPr>
          <w:bCs/>
          <w:color w:val="002060"/>
          <w:sz w:val="16"/>
          <w:szCs w:val="16"/>
        </w:rPr>
        <w:t xml:space="preserve">5.01.1932г. произошло очередное реформирование органов управления: был упразднен ВСНХ, на его базе созданы Наркоматы тяжелой, легкой и лесной промышленности. Все военно-промышленные предприятия «кадра» и «запаса» переданы в ведение вновь созданного НКТП (в подчинении Главного Военно-мобилизационного управления, ГВМУ), в составе которого образованы главки и тресты. В начале 1932г. это были: Орудийно-Арсенальное объединение (Орударс), Оружейно-пулеметный трест (Ружпультрест), объединение Патрубвзрыв, Военно-химическое объединение, Снарядный трест, Первый химический трест, Глававиапром, ГВМУ. К 1933г. структура НКТП изменилась: Авиатрест (41 предприятие), Орударс (16 предприятий), Ружпультрест (4 предприятия), Патрубвзрыв (17 предприятий), Вохимтрест (13 предприятий), Снарядный трест (14 предприятий), Спецмаштрест (4 предприятия), Всесоюзный трест Искусственного волокна (ВИВ, 14 предприятий), Бензоскладстрой (4 базы), ГВМУ; всего 127 предприятий. Система управления была или двухступенчатой (главк-завод), или трехступенчатой </w:t>
      </w:r>
      <w:r w:rsidRPr="00DE096C">
        <w:rPr>
          <w:bCs/>
          <w:color w:val="002060"/>
          <w:sz w:val="16"/>
          <w:szCs w:val="16"/>
        </w:rPr>
        <w:lastRenderedPageBreak/>
        <w:t>(главк-трест-завод). ГВМУ действовало по трехступенчатой системе. Авиатрест выведен из подчинения ГВМУ в ведение непосредственно НКТП. С 1929 по 1933г. в состав Авиатреста</w:t>
      </w:r>
    </w:p>
    <w:p w14:paraId="1ADD1A5B" w14:textId="77777777" w:rsidR="000343AB" w:rsidRPr="00DE096C" w:rsidRDefault="000343AB" w:rsidP="00D45A46">
      <w:pPr>
        <w:jc w:val="both"/>
        <w:rPr>
          <w:bCs/>
          <w:color w:val="002060"/>
          <w:sz w:val="16"/>
          <w:szCs w:val="16"/>
        </w:rPr>
      </w:pPr>
      <w:r w:rsidRPr="00DE096C">
        <w:rPr>
          <w:bCs/>
          <w:color w:val="002060"/>
          <w:sz w:val="16"/>
          <w:szCs w:val="16"/>
        </w:rPr>
        <w:t>вошло 23 новых предприятия. В состав Патрубвзрыва вошло 9 предприятий, в т.ч. 2 КБ. В 1933г. в составе НКТП созданы ГУ морского судостроения, «Главморпром» (8 ССЗ, 1 торпедный завод), и «Главречпром» (16 верфей). В 1934г. структура НКТП вновь была изменена: в состав ГВМУ входили Орударс (4 предприятия), ружейно-пулеметный трест, РУЖ (3), Патрубвзрыв (15), снарядный трест (16), Спецмаштрест (6), Бензоскладстрой (7), строительство (1), полигоны (3); ГВМУ (11), ГУАП (18); всего 94 предприятия. В 1936г. единое ГВМУ НКТП было разделено на ГУ военной промышленности (Главвоенпром) и ГУ боеприпасов (ГУБ), к которым перешли функции координатора деятельности военных заводов. В 1936г. в состав НКТП входили: Главвоенпром (18 предприятий), ГУБ (21), Главоргхимпром (4), Главазот (4), ГУАП (24); всего 71 предприятие. В состав ГУАП входили тресты: самолетостроительный (11 заводов), моторный (5), подсобный (6), ремонтный.</w:t>
      </w:r>
    </w:p>
    <w:p w14:paraId="2F48D2A7" w14:textId="77777777" w:rsidR="000343AB" w:rsidRPr="00DE096C" w:rsidRDefault="000343AB" w:rsidP="00D45A46">
      <w:pPr>
        <w:jc w:val="both"/>
        <w:rPr>
          <w:bCs/>
          <w:color w:val="002060"/>
          <w:sz w:val="16"/>
          <w:szCs w:val="16"/>
        </w:rPr>
      </w:pPr>
      <w:r w:rsidRPr="00DE096C">
        <w:rPr>
          <w:bCs/>
          <w:color w:val="002060"/>
          <w:sz w:val="16"/>
          <w:szCs w:val="16"/>
        </w:rPr>
        <w:t>К концу 1936г. вновь возникла необходимость очередной реорганизации органов управления. НКТП вновь разросся до размеров монстра, объединяя и военную промышленность, и большинство отраслей гражданской промышленности (машиностроение, металлургию, легкую, химическую и топливную промышленность). Пост. ЦИК от 8.12.1936г. производство военной продукции было выделено из состава НКТП в самостоятельный НКОП. В его состав вошли: 47 авиационных заводов, 15 артиллерийских, 3 оружейных, 9 оптико-механических, 10 танковых, 9 патронно-гильзовых, 7 трубочно-взрывательных, 7 снарядных, 3 завода по производству минного, торпедного и бомбового вооружения, 10 судостроительных, 23 военно-химических предприятия, 16 по производству электроприборов и радиоприборов, 8 предприятий точного машиностроения, 5 аккумуляторных и 3 металлургических завода (Приложение 2). Главки нового Наркомата, а также большинство заводов, институтов и КБ, в них вошедших, получили номерные обозначения. Институты и бюро получили последовательные номера от 1 до 29 (кроме № 20, который планировалось присвоить ИРПА, но позже он был присвоен вновь созданному Телемеханическому институту), а проектные институтыномера своих Главков. При образовании НКОП в его составе было 9 отраслевых ГУ: 1-е (авиация), 2-е (судостроение), 3-е (артиллерийско-танковое), 4-е (боеприпасов), 5-е (электрослаботочное), 6-е (военная химия), 7-е (броневое), точной индустрии, аккумуляторной промышленности, а также 10-е (мобилизационное) Управление и Управление артиллерийских полигонов. На 16.05.1938г. в состав НКОП входило уже 20 Главков и 219 предприятий, 9 ГПИ, 25 НИИ и 17 КБ.</w:t>
      </w:r>
    </w:p>
    <w:p w14:paraId="17C60FFC" w14:textId="77777777" w:rsidR="000343AB" w:rsidRPr="00DE096C" w:rsidRDefault="000343AB" w:rsidP="00D45A46">
      <w:pPr>
        <w:jc w:val="both"/>
        <w:rPr>
          <w:bCs/>
          <w:color w:val="002060"/>
          <w:sz w:val="16"/>
          <w:szCs w:val="16"/>
        </w:rPr>
      </w:pPr>
      <w:r w:rsidRPr="00DE096C">
        <w:rPr>
          <w:bCs/>
          <w:color w:val="002060"/>
          <w:sz w:val="16"/>
          <w:szCs w:val="16"/>
        </w:rPr>
        <w:t>Указом Президиума ВС СССР от 11.01.1939г. с целью улучшения управления отраслями промышленности, развития кооперации «кадровых» заводов с родственными гражданскими предприятиями НКОП был разделен на 4 самостоятельных наркомата - НКАП, НКБ, НКВ, НКСП. В соответствии с пост. СНК № 4сс от 21.01.1939г. был определен состав НКБ и НКВ. В НКБ вошли 4, 11, 13, 14и21-е ГУ НКОП - всего 74 предприятия (54 завода, 14 НИИ и КБ, 6 строительных трестов). В состав НКВ вошли 3, 9, 12, 15-е ГУ НКОП - всего 50 предприятий: 35 заводов, 11 НИИ и КБ, 4 строительных треста, а также Дом Техники и учебные заведения. В состав НКСП вошли 2, 7, 17, 19 и 20-е ГУ НКОП - всего 66 предприятий (48 заводов, 13 НИИ и КБ, 5 трестов), а также 9 ВУЗов и 11 техникумов. В состав НКАП вошли 86 заводов, 9 НИИ и КБ, 5 строительных трестов. В соответствии с пост. Политбюро ЦК ВКП (б) от 09.1939г. в НКАП было передано 60 «гражданских» предприятий, а также было решено построить 9 новых заводов. В 1940г. в составе НКАП было 100 заводов, в 1941г.135. В 1940г. в НКСП было 69 заводов. В соответствии с пост. СНК № 937-353сс от 3.06.1940г. и приказом № 208сс от 8.06.1940г. утверждена структура НКБ: 1, 2, 3 и 4-е ГУ. В 09.1940г. организовано ГУ полигонов. В соответствии с пост. СНК № 936-352сс от 3.06.1940г. и приказом № 174сс от 19.06.1940г. утверждена структура НКВ: 1ГУ (7 заводов), 2ГУ (12 заводов и ГОИ), ЗГУ (9); кроме того, входило 5 НИИ, 10 КБ, 25 учебных заведений. Перед войной в составе НКВ было 43 завода (14 - артиллерийских, 9 - стрелкового оружия, 8 - патронных, 12 - оптико-механических). Всего на начало 1941г. в состав четырех военно-промышленных наркоматов входило около 300 производственных предприятий. Таким образом, военно-промышленные наркоматы специализировались на производстве военных изделий 1-й и 2-й группы. Выпуск изделий 3-й группы, в основном, осваивалось «запасными» предприятиями Наркоматов Общего, Тяжелого и Среднего машиностроения, НКЭП и НКХП. НКСМ образован 8.02.1939г., в его ведение передан Спецмаштрест НКОП; оборонные предприятия в НКСМ (танкостроение) были сосредоточены в Главспецмаше. Предприятия электро- и радиопромышленности были сосредоточены в Наркомате электростанций и электропромышленности, а с 04.1940г. - НКЭП. Высшим государственным органом управления наркоматами военной промышленности и военными производствами гражданской промышленности стал Комитет Обороны при СНК СССР и его органы: Экономический Совет (ЭКОСО) и Военно-Промышленная Комиссия.</w:t>
      </w:r>
    </w:p>
    <w:p w14:paraId="245FFCAF" w14:textId="77777777" w:rsidR="000343AB" w:rsidRPr="00DE096C" w:rsidRDefault="000343AB" w:rsidP="00D45A46">
      <w:pPr>
        <w:jc w:val="both"/>
        <w:rPr>
          <w:bCs/>
          <w:color w:val="002060"/>
          <w:sz w:val="16"/>
          <w:szCs w:val="16"/>
        </w:rPr>
      </w:pPr>
      <w:r w:rsidRPr="00DE096C">
        <w:rPr>
          <w:bCs/>
          <w:color w:val="002060"/>
          <w:sz w:val="16"/>
          <w:szCs w:val="16"/>
        </w:rPr>
        <w:t>С 1945г. резко уменьшено производство военной продукции; многие заводы, привлеченные на время войны к выпуску оборонной продукции, возвращены в народное хозяйство, многие ликвидированы. В соответствии с постановлением ГКО от 20.05.1945г. были упразднены НКТП и НКМВ. Указом Президиума ВС СССР от 15.03.1946г. СНК был реорганизован в СМ СССР, Наркоматы преобразованы в Министерства. В 1946-5 7г. «кадровые» военные заводы сосредотачиваются в МАП, MB, МОП (с 1953г.), МСП и более-менее равномерно рассредоточиваются специальными «кустами» в гражданских министерствах: транспортного машиностроения (танковые и дизельные заводы), МСХМ (патронные, снарядные и трубочно-взрывательные заводы), тяжелого машиностроения, автотракторной промышленности, - в качестве головных предприятий частично законсервированных военно- промышленных производств: боеприпасов, минно-минометного вооружения, специальной автотранспортной и бронетанковой техники. Для организации работ по созданию ядерного оружия постановлением ГКО № 9887сс/оп от 20.08.1945г. создается Спецкомитет при СМ СССР и 111 У в его подчинении. Постановлением СМ № 5744-2162 от 27.12.1949г. образовано ВГУ при СМ СССР для руководства сырьевой базой атомной промышленности. Затем Указом Президиума ВС СССР от 2.04.1953г. 111У и ВГУ объединены в МСМ, которому подчинены все предприятия атомной промышленности. В соответствии с постановлением СМ СССР № 1017-419сс от 13.05.1946г. создается Спецкомитет по реактивной технике. Для организации работ по радиолокации и электронной технике в соответствии с постановлением СМ СССР № 1529-678сс от 10.07.1946г. при СМ создается Комитет по радиолокации, головным министерством определено МПСС. Для координации работ по созданию системы ПВО в ~ 1950г. образуется ТГУ. Постановлением № 3516-1465сс от 15.08.1949г. СМ обязал министерства как можно быстрее завершить строительство и реконструкцию 54 заводов и 19 НИИ, специализированных на радиолокации. Указом ВС от 21.01.1954г. и постановлением СМ № 134-74сс от 26.01.1954г. создано МРТП, в котором сосредоточены заводы по радиоэлектронике. В 1950г. в области радиоэлектроники работают 98 заводов, в 1955г.- 156. Координацию деятельности министерств оборонных отраслей промышленности, МВД, МВС, МТБ в вопросах составления плана заказов на вооружение и боевую технику, организации НИР выполняло до 1952г. Бюро по военно-промышленным и военным вопросам при СМ СССР, а затем созданная в 12.1957г. на базе Спецкомитетов Комиссия Президиума СМ СССР по военно-промышленным вопросам (ВПК). В 1956г. в системе МАП сосредотачивается 220 «кадровых» заводов, в МОП - 210, в МСП - 135, в МРТП - 216, всего- 781 «кадровый» завод. Кроме того, в данных министерствах действует 270 опытных заводов, КБ и НИИ.</w:t>
      </w:r>
    </w:p>
    <w:p w14:paraId="116D79A7" w14:textId="77777777" w:rsidR="000343AB" w:rsidRPr="00DE096C" w:rsidRDefault="000343AB" w:rsidP="00D45A46">
      <w:pPr>
        <w:jc w:val="both"/>
        <w:rPr>
          <w:bCs/>
          <w:color w:val="002060"/>
          <w:sz w:val="16"/>
          <w:szCs w:val="16"/>
        </w:rPr>
      </w:pPr>
      <w:r w:rsidRPr="00DE096C">
        <w:rPr>
          <w:bCs/>
          <w:color w:val="002060"/>
          <w:sz w:val="16"/>
          <w:szCs w:val="16"/>
        </w:rPr>
        <w:t>Период с 1958 по 1965г. характеризуется реформированием управления ВПК: управление серийными заводами осуществляется по территориальному принципу. В соответствии с законом «О дальнейшем совершенствовании организации управления промышленностью и строительством» от 10.05.1957г. и постановлением СМ СССР от 12.1957г. в конце 1957-начале 1958г. министерства военной промышленности расформировываются (упразднено 25 союзных и союзно-республиканских министерств). Все КБ и НИИ вместе с опытными заводами советского ВПК передаются в ведение ГК: по авиационной технике, оборонной технике, по судостроению и радиоэлектронной технике. В 1964(1 )г. создан ГК по электронной технике. «Кадровые» серийные заводы переданы в ведение совнархозов (СНХ) 105 экономических административных районов. На 1.07.1960г. в области радиоэлектроники работали 246 заводов в ведении Совнархозов, а также 34 опытных завода и 60 НИИ в ведении ГКРЭ.</w:t>
      </w:r>
    </w:p>
    <w:p w14:paraId="2FE0B85C" w14:textId="77777777" w:rsidR="000343AB" w:rsidRPr="00DE096C" w:rsidRDefault="000343AB" w:rsidP="00D45A46">
      <w:pPr>
        <w:jc w:val="both"/>
        <w:rPr>
          <w:bCs/>
          <w:color w:val="002060"/>
          <w:sz w:val="16"/>
          <w:szCs w:val="16"/>
        </w:rPr>
      </w:pPr>
      <w:r w:rsidRPr="00DE096C">
        <w:rPr>
          <w:bCs/>
          <w:color w:val="002060"/>
          <w:sz w:val="16"/>
          <w:szCs w:val="16"/>
        </w:rPr>
        <w:t>В конце 1950-х-начале 1960-х г. структура ВПК определялась наличием шести основных группировок видов производства военной продукции. 1. Производство общевойсковых систем вооружения и боеприпасов. На 1.01.1962г. в состав данного комплекса входили 134 предприятия (16 заводов по производству стрелкового оружия и патронов, 12 оптико-механических заводов, 12 артиллерийских заводов, 7 бронетанковых, 86 по производству элементов боеприпасов). Разработку новых образцов осуществляли 70 НИИ и КБ с опытными заводами. 2. Производство общей и специальной авиационной техники. На 1.01.1962г. сюда входили 28 серийных авиационных заводов, 11 заводов по выпуску авиационных моторов и реактивных двигателей, 55 заводов занимались производством агрегатов, оборудования и приборов, 8 металлургических заводов. Разработку новых образцов авиатехники осуществляли 15 НИИ и 68 ОКБ. 3. Производство боевых надводных и подводных кораблей. На 1.01.1962г. в состав данного комплекса входили 60 судостроительных и судоремонтных заводов и верфей, 32 завода судового машиностроения и приборостроения, 8 электромонтажных предприятий, 31 НИИ и КБ. 4. Производство радиоэлектронного военно- технического снаряжения. На 1.01.1962г. в данный комплекс входили 256 серийных заводов (в т. ч. 33 завода радиодеталей, 13 заводов по выпуску полупроводниковых приборов, 24 завода по выпуску радиоаппаратуры, 16 телевизионных заводов, 8 заводов по выпуску приемно-усилительных радиоламп, 6 заводов по выпуску ЭЛТ). Разработку новых образцов осуществляли 163 НИИ, ОКБ и опытных завода. 5. Производство систем РКТ. На 1.01.1965г. в состав данного комплекса входили 120 серийных заводов по выпуску ракетного вооружения и космической техники, 65 НИИ и ОКБ. 6. Производство ядерных и термоядерных боеприпасов. На начало 1960-х г. в состав атомной промышленности входило более 100 предприятий и организаций.</w:t>
      </w:r>
    </w:p>
    <w:p w14:paraId="5B0D8034" w14:textId="77777777" w:rsidR="000343AB" w:rsidRPr="00DE096C" w:rsidRDefault="000343AB" w:rsidP="00D45A46">
      <w:pPr>
        <w:jc w:val="both"/>
        <w:rPr>
          <w:bCs/>
          <w:color w:val="002060"/>
          <w:sz w:val="16"/>
          <w:szCs w:val="16"/>
        </w:rPr>
      </w:pPr>
      <w:r w:rsidRPr="00DE096C">
        <w:rPr>
          <w:bCs/>
          <w:color w:val="002060"/>
          <w:sz w:val="16"/>
          <w:szCs w:val="16"/>
        </w:rPr>
        <w:t>Таким образом, в начале1962 г., за исключением атомной отрасли, в состав ВПК входили 599 серийных заводов и 367 НИИ, ОКБ и опытных заводов. Эти предприятия рассматривались как «кадровые» военные заводы и организации и были объединены в так называемые «оборонные отрасли промышленности». Кроме них к производству военной продукции или ее компонентов постоянно привлекались более 800 предприятий «гражданских» министерств и ведомств. На 12.1964г. в составе СНХ экономических районов действовало 694 оборонных предприятия, в ведении госкомитетов- 438 предприятий (ГКАТ- 88, ГКОТ- 79, ГКРЭ- 141, ГК по судостроению- 54, ГКЭТ- 76).</w:t>
      </w:r>
    </w:p>
    <w:p w14:paraId="2FFC427A" w14:textId="77777777" w:rsidR="000343AB" w:rsidRPr="00DE096C" w:rsidRDefault="000343AB" w:rsidP="00D45A46">
      <w:pPr>
        <w:jc w:val="both"/>
        <w:rPr>
          <w:bCs/>
          <w:color w:val="002060"/>
          <w:sz w:val="16"/>
          <w:szCs w:val="16"/>
        </w:rPr>
      </w:pPr>
      <w:r w:rsidRPr="00DE096C">
        <w:rPr>
          <w:bCs/>
          <w:color w:val="002060"/>
          <w:sz w:val="16"/>
          <w:szCs w:val="16"/>
        </w:rPr>
        <w:t>В соответствии с постановлением СМ СССР № 126-47 от 2.03.1965г. «Об улучшении руководства оборонными отраслями промышленности» вновь были созданы союзные оборонные министерства. В 1965г. действовало 1132 оборонных завода, в т.ч. в составе МАП - 192, МОП - 196, MOM - 62, МСП - 188, МРТП - 290, МЭП - 204.92-99</w:t>
      </w:r>
    </w:p>
    <w:p w14:paraId="7B8F1842" w14:textId="77777777" w:rsidR="000343AB" w:rsidRPr="00DE096C" w:rsidRDefault="000343AB" w:rsidP="00D45A46">
      <w:pPr>
        <w:jc w:val="both"/>
        <w:rPr>
          <w:bCs/>
          <w:color w:val="002060"/>
          <w:sz w:val="16"/>
          <w:szCs w:val="16"/>
        </w:rPr>
      </w:pPr>
      <w:r w:rsidRPr="00DE096C">
        <w:rPr>
          <w:bCs/>
          <w:color w:val="002060"/>
          <w:sz w:val="16"/>
          <w:szCs w:val="16"/>
        </w:rPr>
        <w:t>К 1966г. были упразднены «номерные» обозначения предприятий, они получили открытые названия и условное наименование «почтовых ящиков», номера которых вначале совпадали с бывшим номером предприятия.</w:t>
      </w:r>
    </w:p>
    <w:p w14:paraId="3BA2A94B" w14:textId="77777777" w:rsidR="000343AB" w:rsidRPr="00DE096C" w:rsidRDefault="000343AB" w:rsidP="00D45A46">
      <w:pPr>
        <w:jc w:val="both"/>
        <w:rPr>
          <w:bCs/>
          <w:color w:val="002060"/>
          <w:sz w:val="16"/>
          <w:szCs w:val="16"/>
        </w:rPr>
      </w:pPr>
      <w:r w:rsidRPr="00DE096C">
        <w:rPr>
          <w:bCs/>
          <w:color w:val="002060"/>
          <w:sz w:val="16"/>
          <w:szCs w:val="16"/>
        </w:rPr>
        <w:lastRenderedPageBreak/>
        <w:t>До середины 1960-х г. в основе структуры оборонного комплекса лежал принцип «пирамиды», в соответствии с которым на верхнем уровне находились головные сборочные предприятия, обеспечивающие выпуск главного военного изделия. Ниже находились предприятия, поставляющие основные узлы, агрегаты и комплектующие; еще ниже- базовые предприятия добывающей промышленности, ответственные за поставку энергоресурсов, сырья и материалов. Для каждого вида военной техники существовала своя «пирамида», все они были независимыми друг от друга и от других секторов экономики. Внутри «пирамиды» существовали жесткие технологические связи и единое централизованное руководство. Этот принцип способствовал повышению ответственности, позволял эффективно контролировать состояние разработок, производства и поставок вооружений. Такая структура позволила резко наращивать темпы выпуска вооружений и военной техники в годы войны. Но к середине 1960-х г. отраслевая система управления перестала удовлетворять требованиям научно-технического прогресса и задачам обороны страны. Отраслевой подход приводил к образованию диспропорций между отдельными видами вооружений, несоответствию между боевыми и обеспечивающими принципами. Дублировались многие НИОКР, недостаточно оперативно внедрялись достижения научно-технического прогресса, затягивались сроки поставок новых систем вооружений, отсутствовало прогнозирование единого оперативно-стратегического плана развития вооружения. В результате 10.06.1969г. было принято Постановление СМ СССР № 433-157 «О дальнейшем улучшении планирования развития вооружения и военной техники», и начался переход к программно- целевому планированию развития ВиВТ.101</w:t>
      </w:r>
    </w:p>
    <w:p w14:paraId="6A456BE6" w14:textId="77777777" w:rsidR="000343AB" w:rsidRPr="00DE096C" w:rsidRDefault="000343AB" w:rsidP="00D45A46">
      <w:pPr>
        <w:jc w:val="both"/>
        <w:rPr>
          <w:bCs/>
          <w:color w:val="002060"/>
          <w:sz w:val="16"/>
          <w:szCs w:val="16"/>
        </w:rPr>
      </w:pPr>
      <w:r w:rsidRPr="00DE096C">
        <w:rPr>
          <w:bCs/>
          <w:color w:val="002060"/>
          <w:sz w:val="16"/>
          <w:szCs w:val="16"/>
        </w:rPr>
        <w:t>Далее предприятия ВПК были сосредоточены в 9 министерствах, т.н. «девятке»: МАП, MM, MOM, МОП, МПСС, МРП, МСМ, МСП, МЭП. К концу 1970-х г. в их ведении находилось 1770 предприятий, около 450 НИИ и 250 ОКБ. В 1988г. в ВПК передано 240 предприятий легкой и пищевой промышленности. К концу 1991г. в системе МАП был 131 серийный завод и 133 предприятия по разработке и испытаниям J1A. В судостроении действовало более 400 ССЗ и СРЗ, 50 машиностроительных и приборостроительных заводов, 40 КБ и проектных институтов, 80 НИИ. В ведении Минатома было 151 предприятие. К 1992г. в ведении МЭП находилось 816 предприятий, в т.ч. 584 завода и 232 НИИ и КБ. В том числе: Россия - 521 (359 заводов, 162 НИИ и КБ); Украина - 140 (105 и 35); Белоруссия - 27 (21 и 6); Узбекистан - 17 (14 и 3); Казахстан - 8 (6 и 2); Армения - 44 (37 и 7); Грузия - 13 (9 и 4); Азербайджан - 6 (5 и 1); Литва - 10 (4 и 6); Латвия - 7 (5 и 2); Эстония - 4 завода; Молдавия - 8 (6 и 2); Киргизия - 7 (6 и 1); Таджикистан - 3 (2 и 1); Туркмения - 1 завод.</w:t>
      </w:r>
    </w:p>
    <w:p w14:paraId="0449459A" w14:textId="77777777" w:rsidR="000343AB" w:rsidRPr="00DE096C" w:rsidRDefault="000343AB" w:rsidP="00D45A46">
      <w:pPr>
        <w:jc w:val="both"/>
        <w:rPr>
          <w:bCs/>
          <w:color w:val="002060"/>
          <w:sz w:val="16"/>
          <w:szCs w:val="16"/>
        </w:rPr>
      </w:pPr>
      <w:r w:rsidRPr="00DE096C">
        <w:rPr>
          <w:bCs/>
          <w:color w:val="002060"/>
          <w:sz w:val="16"/>
          <w:szCs w:val="16"/>
        </w:rPr>
        <w:t>По решению правительства в 03.1989г. упразднены условные обозначения предприятий - почтовые ящики («п/я»).</w:t>
      </w:r>
    </w:p>
    <w:p w14:paraId="09FFDFC5" w14:textId="77777777" w:rsidR="000343AB" w:rsidRPr="00DE096C" w:rsidRDefault="000343AB" w:rsidP="00D45A46">
      <w:pPr>
        <w:jc w:val="both"/>
        <w:rPr>
          <w:bCs/>
          <w:color w:val="002060"/>
          <w:sz w:val="16"/>
          <w:szCs w:val="16"/>
        </w:rPr>
      </w:pPr>
      <w:r w:rsidRPr="00DE096C">
        <w:rPr>
          <w:bCs/>
          <w:color w:val="002060"/>
          <w:sz w:val="16"/>
          <w:szCs w:val="16"/>
        </w:rPr>
        <w:t>6.11.1991г. сформирован Совет Министров РФ, в 12.1993г. он переименован в Правительство РФ. Союзные Министерства ликвидированы, все оборонные предприятия были сосредоточены в Министерстве промышленности РФ (а также в Минатоме). С 1992г. в результате коренных политических и экономических реформ произошло резкое снижение объемов производства, конструкторских и научных разработок. Многие предприятия прекратили свою деятельность, многие остались существовать лишь «на бумаге». С середины 1990-х г. начали предприниматься попытки консолидировать оставшиеся в живых оборонные предприятия в профильные объединения - корпорации, концерны, холдинги. По Указу президента РФ № 23.04.2002г. и постановлению правительства от 28.06.2002г. создан Концерн ПВО «Алмаз-Антей». Указом президента № 84 от 24.01.2004г. создана Корпорация «Тактическое ракетное вооружение»; Указом № 569 от 28.04.2004г. -</w:t>
      </w:r>
    </w:p>
    <w:p w14:paraId="38382C3C" w14:textId="77777777" w:rsidR="000343AB" w:rsidRPr="00DE096C" w:rsidRDefault="000343AB" w:rsidP="00D45A46">
      <w:pPr>
        <w:jc w:val="both"/>
        <w:rPr>
          <w:bCs/>
          <w:color w:val="002060"/>
          <w:sz w:val="16"/>
          <w:szCs w:val="16"/>
        </w:rPr>
      </w:pPr>
      <w:r w:rsidRPr="00DE096C">
        <w:rPr>
          <w:bCs/>
          <w:color w:val="002060"/>
          <w:sz w:val="16"/>
          <w:szCs w:val="16"/>
        </w:rPr>
        <w:t>Концерн радиостроения «Вега»; Указом № 993 от 29.07.2004г. - Концерн «Созвездие». Указом президента № 140 от 20.02.2006г. создана Объединенная авиастроительная корпорация; Указом № 394 от 21.03.2007г. создана Объединенная судостроительная корпорация. В соответствии с Федеральным законом № 270-ФЗ от 23.11.2007г. создана госкорпорация «Ростехнологии», Указом президента № 1052 от 10.07.2008г. в ее состав передано 426 предприятий.</w:t>
      </w:r>
    </w:p>
    <w:p w14:paraId="5E05BEF4" w14:textId="77777777" w:rsidR="000343AB" w:rsidRPr="00DE096C" w:rsidRDefault="000343AB" w:rsidP="00D45A46">
      <w:pPr>
        <w:jc w:val="both"/>
        <w:rPr>
          <w:bCs/>
          <w:color w:val="002060"/>
          <w:sz w:val="16"/>
          <w:szCs w:val="16"/>
        </w:rPr>
      </w:pPr>
      <w:r w:rsidRPr="00DE096C">
        <w:rPr>
          <w:bCs/>
          <w:color w:val="002060"/>
          <w:sz w:val="16"/>
          <w:szCs w:val="16"/>
        </w:rPr>
        <w:t>25.02.1992г. из состава Минэкономики выделено самостоятельное Российское космическое агентство (РКА), 23.04.1999г. оно преобразовано в Российское авиационно-космическое агентство (РАКА) в составе Минэкономики. 20.05.2004г. из состава Минпромэнерго вновь выделено самостоятельное Федеральное космическое агентство. 17.11.1992г. создан Комитет РФ по оборонным отраслям промышленности, 1.09.1993г. он преобразован в Госкомитет по оборонным отраслям промышленности, 18.07.1996г. преобразован в Министерство оборонных отраслей промышленности (МОП). 17.03.1997г. МОП упразднено, его функции переданы Минэкономики. 22.05.1999г. организованы Российские агентства по обычным вооружениям, по судостроению и по системам управления, 25.05.1999г. - Российское агентство по боеприпасам. В 03.2004г. они влиты в состав Федерального агентства промышленности (ФАП) в составе Минпромэнерго (с 05.2008г. - Министерство промышленности и торговли). 9.03.2004г. Минатом преобразовано в Федеральное агентство по атомной энергии Минпромэнерго. На начало 1998г. в авиационной промышленности действовало 336 предприятий (в т.ч. 136 серийных заводов, 134 ОКБ, 15 НИИ и 6 ГНЦ), в космической отрасли - 141 предприятие; на 02.2000г. в ведении РАКА - 430 предприятий. Действовало 19 авиастроительных холдинговых компаний. В состав судостроительной отрасли на начало 2000-х г. входило 170 предприятий (в т.ч. 65 ССЗ и СРЗ, 56 НИИ и КБ). В 2005г. составлен Сводный реестр предприятий ОПК, в который вошли 1265 предприятий; 195 из них относилось к авиапрому, 97 - к ракетно-космической отрасли, 115 - к судостроительной, 105 - промышленность боеприпасов, 104 — вооружение, 63 - Росатома.вш"100805 В 2005г. в ведении Управления РЭПиСУ ФАП находилось 383 предприятия, в т.ч. 200 предприятий электронной промышленности (121 завод, 18 НПП и 61 научная организация). Действовало 12 интегрированных структур, в т.ч. Концерн ПВО «Алмаз-Антей», Концерн радиостроения «Вега», Концерн «Созвездие». Указом президента РФ № 1009 от 4.08.2004г. был утвержден перечень стратегических предприятий, в который вошло 1064 организации (514 ФГУП и 550 ОАО). На конец июня 2010г. в перечень стратегических предприятий входило 213 организаций (165 ФГУП и 48 ОАО) (11982).</w:t>
      </w:r>
    </w:p>
    <w:p w14:paraId="1D7B8995" w14:textId="77777777" w:rsidR="000343AB" w:rsidRPr="00DE096C" w:rsidRDefault="000343AB" w:rsidP="00D45A46">
      <w:pPr>
        <w:jc w:val="both"/>
        <w:rPr>
          <w:bCs/>
          <w:color w:val="002060"/>
          <w:sz w:val="16"/>
          <w:szCs w:val="16"/>
        </w:rPr>
      </w:pPr>
    </w:p>
    <w:p w14:paraId="2E5443FC" w14:textId="77777777" w:rsidR="009716B6" w:rsidRPr="00DE096C" w:rsidRDefault="009716B6" w:rsidP="00D45A46">
      <w:pPr>
        <w:jc w:val="both"/>
        <w:rPr>
          <w:bCs/>
          <w:color w:val="002060"/>
          <w:sz w:val="16"/>
          <w:szCs w:val="16"/>
        </w:rPr>
      </w:pPr>
      <w:r w:rsidRPr="00DE096C">
        <w:rPr>
          <w:bCs/>
          <w:color w:val="002060"/>
          <w:sz w:val="16"/>
          <w:szCs w:val="16"/>
        </w:rPr>
        <w:t xml:space="preserve">С конца июля 1914 г. с объявлением войны немедленно возникли самые серьезные затруднения в снабжении военных заводов исходными химикатами для производства взрывчатых веществ. </w:t>
      </w:r>
    </w:p>
    <w:p w14:paraId="71C0ED0A" w14:textId="77777777" w:rsidR="009716B6" w:rsidRPr="00DE096C" w:rsidRDefault="009716B6" w:rsidP="00D45A46">
      <w:pPr>
        <w:jc w:val="both"/>
        <w:rPr>
          <w:bCs/>
          <w:color w:val="002060"/>
          <w:sz w:val="16"/>
          <w:szCs w:val="16"/>
        </w:rPr>
      </w:pPr>
      <w:r w:rsidRPr="00DE096C">
        <w:rPr>
          <w:bCs/>
          <w:color w:val="002060"/>
          <w:sz w:val="16"/>
          <w:szCs w:val="16"/>
        </w:rPr>
        <w:t xml:space="preserve">Первым по времени создался кризис с толуолом, который является основным материалом для изготовления тротила, идущего на снаряжение фугасных снарядов всех калибров сухопутной и морской артиллерии. </w:t>
      </w:r>
    </w:p>
    <w:p w14:paraId="11529850" w14:textId="77777777" w:rsidR="009716B6" w:rsidRPr="00DE096C" w:rsidRDefault="009716B6" w:rsidP="00D45A46">
      <w:pPr>
        <w:jc w:val="both"/>
        <w:rPr>
          <w:bCs/>
          <w:color w:val="002060"/>
          <w:sz w:val="16"/>
          <w:szCs w:val="16"/>
        </w:rPr>
      </w:pPr>
      <w:r w:rsidRPr="00DE096C">
        <w:rPr>
          <w:bCs/>
          <w:color w:val="002060"/>
          <w:sz w:val="16"/>
          <w:szCs w:val="16"/>
        </w:rPr>
        <w:t xml:space="preserve">Производство тротила было установлено в России в 1908 г. в опытном масштабе и в 1910 г. — в валовом. Что же касается толуола, то, несмотря на неоднократные предупреждения, которые делались ГАУ со стороны тротилового завода, и несмотря на богатые возможности получения коксового толуола в России — с установкой производства этого последнего не спешили, а пользовались толуолом немецкого происхождения. Из Германии выписывали сырой бензол и в Риге из него путем фракционирования получали чистый толуол. При этом никаких мобилизационных запасов толуола не делалось, заготовляли его лишь на текущее производство. </w:t>
      </w:r>
    </w:p>
    <w:p w14:paraId="28A9FC52" w14:textId="77777777" w:rsidR="009716B6" w:rsidRPr="00DE096C" w:rsidRDefault="009716B6" w:rsidP="00D45A46">
      <w:pPr>
        <w:jc w:val="both"/>
        <w:rPr>
          <w:bCs/>
          <w:color w:val="002060"/>
          <w:sz w:val="16"/>
          <w:szCs w:val="16"/>
        </w:rPr>
      </w:pPr>
      <w:r w:rsidRPr="00DE096C">
        <w:rPr>
          <w:bCs/>
          <w:color w:val="002060"/>
          <w:sz w:val="16"/>
          <w:szCs w:val="16"/>
        </w:rPr>
        <w:t xml:space="preserve">В результате такой непредусмотрительности, с объявлением войны в России оказались запасы толуола всего лишь на 4-5 месяцев. По израсходовании их пришлось бы остановить производство фугасных снарядов и работа артиллерии на фронте была бы совершенно парализована. </w:t>
      </w:r>
    </w:p>
    <w:p w14:paraId="1C41A5AA" w14:textId="77777777" w:rsidR="009716B6" w:rsidRPr="00DE096C" w:rsidRDefault="009716B6" w:rsidP="00D45A46">
      <w:pPr>
        <w:jc w:val="both"/>
        <w:rPr>
          <w:bCs/>
          <w:color w:val="002060"/>
          <w:sz w:val="16"/>
          <w:szCs w:val="16"/>
        </w:rPr>
      </w:pPr>
      <w:r w:rsidRPr="00DE096C">
        <w:rPr>
          <w:bCs/>
          <w:color w:val="002060"/>
          <w:sz w:val="16"/>
          <w:szCs w:val="16"/>
        </w:rPr>
        <w:t xml:space="preserve">Такое положение дел заставило срочно сделать заказы тротила и толуола за границей, а затем побудило принять самые энергичные меры к установлению производства толуола и бензола в России. </w:t>
      </w:r>
    </w:p>
    <w:p w14:paraId="1D7D365D" w14:textId="77777777" w:rsidR="009716B6" w:rsidRPr="00DE096C" w:rsidRDefault="009716B6" w:rsidP="00D45A46">
      <w:pPr>
        <w:jc w:val="both"/>
        <w:rPr>
          <w:bCs/>
          <w:color w:val="002060"/>
          <w:sz w:val="16"/>
          <w:szCs w:val="16"/>
        </w:rPr>
      </w:pPr>
      <w:r w:rsidRPr="00DE096C">
        <w:rPr>
          <w:bCs/>
          <w:color w:val="002060"/>
          <w:sz w:val="16"/>
          <w:szCs w:val="16"/>
        </w:rPr>
        <w:t xml:space="preserve">В июле 1914 г. в Донецкий бассейн была командирована комиссия для обследования вопроса о возможности получения названных продуктов при процессах коксования каменного угля, ведшегося в широких размерах в том районе, но обычно без улавливания побочных продуктов коксования. </w:t>
      </w:r>
    </w:p>
    <w:p w14:paraId="679B4BD3" w14:textId="77777777" w:rsidR="009716B6" w:rsidRPr="00DE096C" w:rsidRDefault="009716B6" w:rsidP="00D45A46">
      <w:pPr>
        <w:jc w:val="both"/>
        <w:rPr>
          <w:bCs/>
          <w:color w:val="002060"/>
          <w:sz w:val="16"/>
          <w:szCs w:val="16"/>
        </w:rPr>
      </w:pPr>
      <w:r w:rsidRPr="00DE096C">
        <w:rPr>
          <w:bCs/>
          <w:color w:val="002060"/>
          <w:sz w:val="16"/>
          <w:szCs w:val="16"/>
        </w:rPr>
        <w:t xml:space="preserve">Объехав Донецкий бассейн, комиссия в августе 1914 г. сделала в ГАУ доклад, в коем определенно указала, что установка добычи толуола и бензола в сколько-нибудь короткий срок представляется совершенно невозможной, и признала, что единственный выход — немедля заготовлять толуол и бензол в Америке. </w:t>
      </w:r>
    </w:p>
    <w:p w14:paraId="4BB8C6C7" w14:textId="77777777" w:rsidR="009716B6" w:rsidRPr="00DE096C" w:rsidRDefault="009716B6" w:rsidP="00D45A46">
      <w:pPr>
        <w:jc w:val="both"/>
        <w:rPr>
          <w:bCs/>
          <w:color w:val="002060"/>
          <w:sz w:val="16"/>
          <w:szCs w:val="16"/>
        </w:rPr>
      </w:pPr>
      <w:r w:rsidRPr="00DE096C">
        <w:rPr>
          <w:bCs/>
          <w:color w:val="002060"/>
          <w:sz w:val="16"/>
          <w:szCs w:val="16"/>
        </w:rPr>
        <w:t xml:space="preserve">С целью выяснения возможности и условий такого заказа был командирован в Америку проф. Сапожников. Командировка эта выяснила, однако, что на Америку особенно рассчитывать нельзя, так как существовавшая там коксобензольная промышленность лишь в небольшой мере может удовлетворить громадный спрос на ароматические углеводороды, возникший со стороны России и ее союзников, и что для этого Америке придется строить новые заводы. Действительно, впоследствии выяснилось, что за 1915 и 1916 гг. войны там было выстроено 40 бензольных заводов с производительностью на 8 000 000 пудов сырого бензола в год. </w:t>
      </w:r>
    </w:p>
    <w:p w14:paraId="0AAE9411" w14:textId="77777777" w:rsidR="009716B6" w:rsidRPr="00DE096C" w:rsidRDefault="009716B6" w:rsidP="00D45A46">
      <w:pPr>
        <w:jc w:val="both"/>
        <w:rPr>
          <w:bCs/>
          <w:color w:val="002060"/>
          <w:sz w:val="16"/>
          <w:szCs w:val="16"/>
        </w:rPr>
      </w:pPr>
      <w:r w:rsidRPr="00DE096C">
        <w:rPr>
          <w:bCs/>
          <w:color w:val="002060"/>
          <w:sz w:val="16"/>
          <w:szCs w:val="16"/>
        </w:rPr>
        <w:t xml:space="preserve">Ввиду такого положения решено было вновь пересмотреть вопрос об организации производства бензола и толуола внутри страны. </w:t>
      </w:r>
    </w:p>
    <w:p w14:paraId="6673067F" w14:textId="77777777" w:rsidR="009716B6" w:rsidRPr="00DE096C" w:rsidRDefault="009716B6" w:rsidP="00D45A46">
      <w:pPr>
        <w:jc w:val="both"/>
        <w:rPr>
          <w:bCs/>
          <w:color w:val="002060"/>
          <w:sz w:val="16"/>
          <w:szCs w:val="16"/>
        </w:rPr>
      </w:pPr>
      <w:r w:rsidRPr="00DE096C">
        <w:rPr>
          <w:bCs/>
          <w:color w:val="002060"/>
          <w:sz w:val="16"/>
          <w:szCs w:val="16"/>
        </w:rPr>
        <w:t xml:space="preserve">В ноябре 1914 г. в Донецкий бассейн выехала вторая комиссия, под председательством проф. В.Н. Ипатьева. В течение месяца ею были обследованы все коксовые фабрики Донецкого бассейна. </w:t>
      </w:r>
    </w:p>
    <w:p w14:paraId="65CD2A6C" w14:textId="77777777" w:rsidR="009716B6" w:rsidRPr="00DE096C" w:rsidRDefault="009716B6" w:rsidP="00D45A46">
      <w:pPr>
        <w:jc w:val="both"/>
        <w:rPr>
          <w:bCs/>
          <w:color w:val="002060"/>
          <w:sz w:val="16"/>
          <w:szCs w:val="16"/>
        </w:rPr>
      </w:pPr>
      <w:r w:rsidRPr="00DE096C">
        <w:rPr>
          <w:bCs/>
          <w:color w:val="002060"/>
          <w:sz w:val="16"/>
          <w:szCs w:val="16"/>
        </w:rPr>
        <w:t xml:space="preserve">Комиссия Ипатьева пришла к иным заключениям, чем предшествующая. Работы ее изложены в печатной брошюре: "Отчет Комиссии, командированной в Донецкий бассейн по вопросу о расширении выработки толуола и бензола в России". Комиссия проф. Ипатьева, излагая результаты обследования, дала категорическое заключение о полной возможности в короткий срок организовать производство названных продуктов: во-первых, путем устройства дополнительных сооружений при существующих коксовальных фабриках, имеющих печи рекуперационного типа, но без полного оборудования сооружений, улавливающих продукты коксования, а во-вторых, путем постройки новых бензоловых заводов. Комиссией был разработан план организации этого дела, в коем помимо бензола и толуола намечено было получение ряда других исходных продуктов для выработки различных взрывчатых веществ, на случай если тротила не хватит. </w:t>
      </w:r>
    </w:p>
    <w:p w14:paraId="0AE16DD8" w14:textId="77777777" w:rsidR="009716B6" w:rsidRPr="00DE096C" w:rsidRDefault="009716B6" w:rsidP="00D45A46">
      <w:pPr>
        <w:jc w:val="both"/>
        <w:rPr>
          <w:bCs/>
          <w:color w:val="002060"/>
          <w:sz w:val="16"/>
          <w:szCs w:val="16"/>
        </w:rPr>
      </w:pPr>
      <w:r w:rsidRPr="00DE096C">
        <w:rPr>
          <w:bCs/>
          <w:color w:val="002060"/>
          <w:sz w:val="16"/>
          <w:szCs w:val="16"/>
        </w:rPr>
        <w:t xml:space="preserve">Однако Военное министерство не отнеслось с должной серьезностью к работам и проектам комиссии и колебалось принять какие-либо решительные меры. После долгих переговоров им было дано, наконец, разрешение образовать по этому делу специальную постоянную комиссию при ГАУ. Полтора месяца шла переписка между ГАУ и Военным министерством относительно положения об этой комиссии и ее правах, и только к 6 февраля 1915 г. было утверждено положение, причем она получила название "Комиссия по заготовке взрывчатых веществ". </w:t>
      </w:r>
    </w:p>
    <w:p w14:paraId="053FAD92" w14:textId="77777777" w:rsidR="009716B6" w:rsidRPr="00DE096C" w:rsidRDefault="009716B6" w:rsidP="00D45A46">
      <w:pPr>
        <w:jc w:val="both"/>
        <w:rPr>
          <w:bCs/>
          <w:color w:val="002060"/>
          <w:sz w:val="16"/>
          <w:szCs w:val="16"/>
        </w:rPr>
      </w:pPr>
      <w:r w:rsidRPr="00DE096C">
        <w:rPr>
          <w:bCs/>
          <w:color w:val="002060"/>
          <w:sz w:val="16"/>
          <w:szCs w:val="16"/>
        </w:rPr>
        <w:t xml:space="preserve">Таким образом, с августа 1914 г. было потеряно пять драгоценных месяцев, пока серьезно занялись делом первоочередной важности. </w:t>
      </w:r>
    </w:p>
    <w:p w14:paraId="76F2730E" w14:textId="77777777" w:rsidR="009716B6" w:rsidRPr="00DE096C" w:rsidRDefault="009716B6" w:rsidP="00D45A46">
      <w:pPr>
        <w:jc w:val="both"/>
        <w:rPr>
          <w:bCs/>
          <w:color w:val="002060"/>
          <w:sz w:val="16"/>
          <w:szCs w:val="16"/>
        </w:rPr>
      </w:pPr>
      <w:r w:rsidRPr="00DE096C">
        <w:rPr>
          <w:bCs/>
          <w:color w:val="002060"/>
          <w:sz w:val="16"/>
          <w:szCs w:val="16"/>
        </w:rPr>
        <w:t xml:space="preserve">Председателем комиссии был назначен проф. Ипатьев и его ближайшим сотрудником был проф. Фокин. </w:t>
      </w:r>
    </w:p>
    <w:p w14:paraId="4E34E90E" w14:textId="77777777" w:rsidR="009716B6" w:rsidRPr="00DE096C" w:rsidRDefault="009716B6" w:rsidP="00D45A46">
      <w:pPr>
        <w:jc w:val="both"/>
        <w:rPr>
          <w:bCs/>
          <w:color w:val="002060"/>
          <w:sz w:val="16"/>
          <w:szCs w:val="16"/>
        </w:rPr>
      </w:pPr>
      <w:r w:rsidRPr="00DE096C">
        <w:rPr>
          <w:bCs/>
          <w:color w:val="002060"/>
          <w:sz w:val="16"/>
          <w:szCs w:val="16"/>
        </w:rPr>
        <w:t xml:space="preserve">Эти обстоятельства не лишили работников комиссии энергии, и она, не дожидаясь утверждения положения, а в дальнейшем и не считаясь с ним, за свой риск и страх приступила к осуществлению программы, намеченной после поездки в Донецкий бассейн. </w:t>
      </w:r>
    </w:p>
    <w:p w14:paraId="5EDD996C" w14:textId="77777777" w:rsidR="009716B6" w:rsidRPr="00DE096C" w:rsidRDefault="009716B6" w:rsidP="00D45A46">
      <w:pPr>
        <w:jc w:val="both"/>
        <w:rPr>
          <w:bCs/>
          <w:color w:val="002060"/>
          <w:sz w:val="16"/>
          <w:szCs w:val="16"/>
        </w:rPr>
      </w:pPr>
      <w:r w:rsidRPr="00DE096C">
        <w:rPr>
          <w:bCs/>
          <w:color w:val="002060"/>
          <w:sz w:val="16"/>
          <w:szCs w:val="16"/>
        </w:rPr>
        <w:t xml:space="preserve">На первых шагах в работе встретились большие затруднения. Представители частновладельческой коксовой промышленности неохотно шли навстречу начинаниям комиссии. С одной стороны, они боялись нарушить права германских концессионеров, которым принадлежала часть имевшихся на юге устройств для улавливания побочных продуктов коксования. С другой стороны — боялись перепроизводства бензола, толуола и нафталина и др., так как не рассчитывали, что параллельно с </w:t>
      </w:r>
      <w:r w:rsidRPr="00DE096C">
        <w:rPr>
          <w:bCs/>
          <w:color w:val="002060"/>
          <w:sz w:val="16"/>
          <w:szCs w:val="16"/>
        </w:rPr>
        <w:lastRenderedPageBreak/>
        <w:t xml:space="preserve">этими производствами могут в дальнейшем развиться те отрасли промышленности, которые, помимо военного ведомства, явятся потребителями названных продуктов, как, например, производство красителей. </w:t>
      </w:r>
    </w:p>
    <w:p w14:paraId="7653AE2E" w14:textId="77777777" w:rsidR="009716B6" w:rsidRPr="00DE096C" w:rsidRDefault="009716B6" w:rsidP="00D45A46">
      <w:pPr>
        <w:jc w:val="both"/>
        <w:rPr>
          <w:bCs/>
          <w:color w:val="002060"/>
          <w:sz w:val="16"/>
          <w:szCs w:val="16"/>
        </w:rPr>
      </w:pPr>
      <w:r w:rsidRPr="00DE096C">
        <w:rPr>
          <w:bCs/>
          <w:color w:val="002060"/>
          <w:sz w:val="16"/>
          <w:szCs w:val="16"/>
        </w:rPr>
        <w:t xml:space="preserve">Первая фирма, с которой удалось договориться, была фирма Оливье Пьетт (бельгийская, в Макеевке). В течение января 1915 г. Комиссия разработала договор, согласно коего Пьетт должен соорудить у себя на заводе установку для улавливания сырого бензола, а также ректификационный завод для фракционирования бензола, как своего, так и того, который будет доставляться с других заводов. Контрактный срок начала поставки был выполнен Пьеттом с незначительным опозданием (август 1915 г. вместо июля). Фирма начала постройки в феврале 1915 г., еще до утверждения договора с ней. Цена на ректификацию бензола была калькулирована 50 коп. за пуд вместо 9 руб., которые платили в мирное время за то же Тентелевскому заводу. </w:t>
      </w:r>
    </w:p>
    <w:p w14:paraId="034E14C6" w14:textId="77777777" w:rsidR="009716B6" w:rsidRPr="00DE096C" w:rsidRDefault="009716B6" w:rsidP="00D45A46">
      <w:pPr>
        <w:jc w:val="both"/>
        <w:rPr>
          <w:bCs/>
          <w:color w:val="002060"/>
          <w:sz w:val="16"/>
          <w:szCs w:val="16"/>
        </w:rPr>
      </w:pPr>
      <w:r w:rsidRPr="00DE096C">
        <w:rPr>
          <w:bCs/>
          <w:color w:val="002060"/>
          <w:sz w:val="16"/>
          <w:szCs w:val="16"/>
        </w:rPr>
        <w:t xml:space="preserve">Вслед за этим Комиссия вступила в переговоры с Южно-Днепровским обществом в Кадиевке о постройке установок для улавливания сырого бензола. Но Общество отказалось взять на себя постройку, так как было связано с одной германской фирмой десятилетним контрактом, согласно коего этой фирме принадлежало право использования всех продуктов коксования кадиевских печей. </w:t>
      </w:r>
    </w:p>
    <w:p w14:paraId="657F9F5B" w14:textId="77777777" w:rsidR="009716B6" w:rsidRPr="00DE096C" w:rsidRDefault="009716B6" w:rsidP="00D45A46">
      <w:pPr>
        <w:jc w:val="both"/>
        <w:rPr>
          <w:bCs/>
          <w:color w:val="002060"/>
          <w:sz w:val="16"/>
          <w:szCs w:val="16"/>
        </w:rPr>
      </w:pPr>
      <w:r w:rsidRPr="00DE096C">
        <w:rPr>
          <w:bCs/>
          <w:color w:val="002060"/>
          <w:sz w:val="16"/>
          <w:szCs w:val="16"/>
        </w:rPr>
        <w:t xml:space="preserve">Ввиду этого ГАУ признало необходимым самостоятельно предпринять постройку казенного бензолового завода при кадиевских коксовых печах, из продукции которых можно было бы получать до 200 тыс. [пудов в год] сырого бензола. После долгих колебаний Военное министерство дало, наконец, в феврале 1915 г. согласие на постройку завода. </w:t>
      </w:r>
    </w:p>
    <w:p w14:paraId="6C116570" w14:textId="77777777" w:rsidR="009716B6" w:rsidRPr="00DE096C" w:rsidRDefault="009716B6" w:rsidP="00D45A46">
      <w:pPr>
        <w:jc w:val="both"/>
        <w:rPr>
          <w:bCs/>
          <w:color w:val="002060"/>
          <w:sz w:val="16"/>
          <w:szCs w:val="16"/>
        </w:rPr>
      </w:pPr>
      <w:r w:rsidRPr="00DE096C">
        <w:rPr>
          <w:bCs/>
          <w:color w:val="002060"/>
          <w:sz w:val="16"/>
          <w:szCs w:val="16"/>
        </w:rPr>
        <w:t xml:space="preserve">Постройка велась строительной комиссией под председательством В.Н. Ипатьева. Южно-Днепровское Общество оказывало работе Комиссии деятельную помощь. Завод был готов 20 августа 1915 г., на полтора месяца ранее назначенного срока. Завод тотчас был пущен в ход и давал бензол по ценам, которые не превосходили цен мирного времени на германских бензоловых заводах, и, таким образом, расходы на сооружение завода должны были быстро окупиться. </w:t>
      </w:r>
    </w:p>
    <w:p w14:paraId="726D626F" w14:textId="77777777" w:rsidR="009716B6" w:rsidRPr="00DE096C" w:rsidRDefault="009716B6" w:rsidP="00D45A46">
      <w:pPr>
        <w:jc w:val="both"/>
        <w:rPr>
          <w:bCs/>
          <w:color w:val="002060"/>
          <w:sz w:val="16"/>
          <w:szCs w:val="16"/>
        </w:rPr>
      </w:pPr>
      <w:r w:rsidRPr="00DE096C">
        <w:rPr>
          <w:bCs/>
          <w:color w:val="002060"/>
          <w:sz w:val="16"/>
          <w:szCs w:val="16"/>
        </w:rPr>
        <w:t xml:space="preserve">Постройка Макеевского и в особенности Кадиевского казенного завода сыграла огромную роль в деле насаждения на Юге коксобензольной промышленности. Как только выяснилось, что постройка этих заводов идет успешно, частные предприниматели нашли в себе, наконец, решимость взяться за дело, и в ГАУ стали поступать от них предложения на поставку бензола и толуола, при условии выдачи авансов на постройку заводов. </w:t>
      </w:r>
    </w:p>
    <w:p w14:paraId="69663A20" w14:textId="77777777" w:rsidR="009716B6" w:rsidRPr="00DE096C" w:rsidRDefault="009716B6" w:rsidP="00D45A46">
      <w:pPr>
        <w:jc w:val="both"/>
        <w:rPr>
          <w:bCs/>
          <w:color w:val="002060"/>
          <w:sz w:val="16"/>
          <w:szCs w:val="16"/>
        </w:rPr>
      </w:pPr>
      <w:r w:rsidRPr="00DE096C">
        <w:rPr>
          <w:bCs/>
          <w:color w:val="002060"/>
          <w:sz w:val="16"/>
          <w:szCs w:val="16"/>
        </w:rPr>
        <w:t xml:space="preserve">В дальнейшем таким порядком предпринята была постройка до 20 бензольных заводов не только в Донецком бассейне, но и в Сибири, в Кузнецком бассейне. </w:t>
      </w:r>
    </w:p>
    <w:p w14:paraId="11D0DCEE" w14:textId="77777777" w:rsidR="009716B6" w:rsidRPr="00DE096C" w:rsidRDefault="009716B6" w:rsidP="00D45A46">
      <w:pPr>
        <w:jc w:val="both"/>
        <w:rPr>
          <w:bCs/>
          <w:color w:val="002060"/>
          <w:sz w:val="16"/>
          <w:szCs w:val="16"/>
        </w:rPr>
      </w:pPr>
      <w:r w:rsidRPr="00DE096C">
        <w:rPr>
          <w:bCs/>
          <w:color w:val="002060"/>
          <w:sz w:val="16"/>
          <w:szCs w:val="16"/>
        </w:rPr>
        <w:t xml:space="preserve">Фактический рост за время войны бензольных заводов в Донецком бассейне виден из следующей таблицы, где цифры указывают общее наличие заводов к означенным датам: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88"/>
        <w:gridCol w:w="684"/>
      </w:tblGrid>
      <w:tr w:rsidR="009716B6" w:rsidRPr="00DE096C" w14:paraId="7AB76E4E" w14:textId="77777777" w:rsidTr="00D34AC1">
        <w:tc>
          <w:tcPr>
            <w:tcW w:w="1788" w:type="dxa"/>
          </w:tcPr>
          <w:p w14:paraId="14B8613E" w14:textId="77777777" w:rsidR="009716B6" w:rsidRPr="00DE096C" w:rsidRDefault="009716B6" w:rsidP="00D45A46">
            <w:pPr>
              <w:jc w:val="both"/>
              <w:rPr>
                <w:bCs/>
                <w:color w:val="002060"/>
                <w:sz w:val="16"/>
                <w:szCs w:val="16"/>
              </w:rPr>
            </w:pPr>
            <w:r w:rsidRPr="00DE096C">
              <w:rPr>
                <w:bCs/>
                <w:color w:val="002060"/>
                <w:sz w:val="16"/>
                <w:szCs w:val="16"/>
              </w:rPr>
              <w:t xml:space="preserve">1915 г.: </w:t>
            </w:r>
          </w:p>
        </w:tc>
        <w:tc>
          <w:tcPr>
            <w:tcW w:w="684" w:type="dxa"/>
          </w:tcPr>
          <w:p w14:paraId="007745A5" w14:textId="77777777" w:rsidR="009716B6" w:rsidRPr="00DE096C" w:rsidRDefault="009716B6" w:rsidP="00D45A46">
            <w:pPr>
              <w:jc w:val="both"/>
              <w:rPr>
                <w:bCs/>
                <w:color w:val="002060"/>
                <w:sz w:val="16"/>
                <w:szCs w:val="16"/>
              </w:rPr>
            </w:pPr>
            <w:r w:rsidRPr="00DE096C">
              <w:rPr>
                <w:bCs/>
                <w:color w:val="002060"/>
                <w:sz w:val="16"/>
                <w:szCs w:val="16"/>
              </w:rPr>
              <w:t> </w:t>
            </w:r>
          </w:p>
        </w:tc>
      </w:tr>
      <w:tr w:rsidR="009716B6" w:rsidRPr="00DE096C" w14:paraId="095D7C0E" w14:textId="77777777" w:rsidTr="00D34AC1">
        <w:tc>
          <w:tcPr>
            <w:tcW w:w="1788" w:type="dxa"/>
          </w:tcPr>
          <w:p w14:paraId="6A0F9C59" w14:textId="77777777" w:rsidR="009716B6" w:rsidRPr="00DE096C" w:rsidRDefault="009716B6" w:rsidP="00D45A46">
            <w:pPr>
              <w:jc w:val="both"/>
              <w:rPr>
                <w:bCs/>
                <w:color w:val="002060"/>
                <w:sz w:val="16"/>
                <w:szCs w:val="16"/>
              </w:rPr>
            </w:pPr>
            <w:r w:rsidRPr="00DE096C">
              <w:rPr>
                <w:bCs/>
                <w:color w:val="002060"/>
                <w:sz w:val="16"/>
                <w:szCs w:val="16"/>
              </w:rPr>
              <w:t>Февраль</w:t>
            </w:r>
          </w:p>
        </w:tc>
        <w:tc>
          <w:tcPr>
            <w:tcW w:w="684" w:type="dxa"/>
          </w:tcPr>
          <w:p w14:paraId="73EDEB01" w14:textId="77777777" w:rsidR="009716B6" w:rsidRPr="00DE096C" w:rsidRDefault="009716B6" w:rsidP="00D45A46">
            <w:pPr>
              <w:jc w:val="both"/>
              <w:rPr>
                <w:bCs/>
                <w:color w:val="002060"/>
                <w:sz w:val="16"/>
                <w:szCs w:val="16"/>
              </w:rPr>
            </w:pPr>
            <w:r w:rsidRPr="00DE096C">
              <w:rPr>
                <w:bCs/>
                <w:color w:val="002060"/>
                <w:sz w:val="16"/>
                <w:szCs w:val="16"/>
              </w:rPr>
              <w:t xml:space="preserve">3 </w:t>
            </w:r>
          </w:p>
        </w:tc>
      </w:tr>
      <w:tr w:rsidR="009716B6" w:rsidRPr="00DE096C" w14:paraId="550155AE" w14:textId="77777777" w:rsidTr="00D34AC1">
        <w:tc>
          <w:tcPr>
            <w:tcW w:w="1788" w:type="dxa"/>
          </w:tcPr>
          <w:p w14:paraId="626CCDC5" w14:textId="77777777" w:rsidR="009716B6" w:rsidRPr="00DE096C" w:rsidRDefault="009716B6" w:rsidP="00D45A46">
            <w:pPr>
              <w:jc w:val="both"/>
              <w:rPr>
                <w:bCs/>
                <w:color w:val="002060"/>
                <w:sz w:val="16"/>
                <w:szCs w:val="16"/>
              </w:rPr>
            </w:pPr>
            <w:r w:rsidRPr="00DE096C">
              <w:rPr>
                <w:bCs/>
                <w:color w:val="002060"/>
                <w:sz w:val="16"/>
                <w:szCs w:val="16"/>
              </w:rPr>
              <w:t>Июнь</w:t>
            </w:r>
          </w:p>
        </w:tc>
        <w:tc>
          <w:tcPr>
            <w:tcW w:w="684" w:type="dxa"/>
          </w:tcPr>
          <w:p w14:paraId="031EF09C" w14:textId="77777777" w:rsidR="009716B6" w:rsidRPr="00DE096C" w:rsidRDefault="009716B6" w:rsidP="00D45A46">
            <w:pPr>
              <w:jc w:val="both"/>
              <w:rPr>
                <w:bCs/>
                <w:color w:val="002060"/>
                <w:sz w:val="16"/>
                <w:szCs w:val="16"/>
              </w:rPr>
            </w:pPr>
            <w:r w:rsidRPr="00DE096C">
              <w:rPr>
                <w:bCs/>
                <w:color w:val="002060"/>
                <w:sz w:val="16"/>
                <w:szCs w:val="16"/>
              </w:rPr>
              <w:t xml:space="preserve">4 </w:t>
            </w:r>
          </w:p>
        </w:tc>
      </w:tr>
      <w:tr w:rsidR="009716B6" w:rsidRPr="00DE096C" w14:paraId="76F70815" w14:textId="77777777" w:rsidTr="00D34AC1">
        <w:tc>
          <w:tcPr>
            <w:tcW w:w="1788" w:type="dxa"/>
          </w:tcPr>
          <w:p w14:paraId="2F40D938" w14:textId="77777777" w:rsidR="009716B6" w:rsidRPr="00DE096C" w:rsidRDefault="009716B6" w:rsidP="00D45A46">
            <w:pPr>
              <w:jc w:val="both"/>
              <w:rPr>
                <w:bCs/>
                <w:color w:val="002060"/>
                <w:sz w:val="16"/>
                <w:szCs w:val="16"/>
              </w:rPr>
            </w:pPr>
            <w:r w:rsidRPr="00DE096C">
              <w:rPr>
                <w:bCs/>
                <w:color w:val="002060"/>
                <w:sz w:val="16"/>
                <w:szCs w:val="16"/>
              </w:rPr>
              <w:t>Июль</w:t>
            </w:r>
          </w:p>
        </w:tc>
        <w:tc>
          <w:tcPr>
            <w:tcW w:w="684" w:type="dxa"/>
          </w:tcPr>
          <w:p w14:paraId="65D9FE20" w14:textId="77777777" w:rsidR="009716B6" w:rsidRPr="00DE096C" w:rsidRDefault="009716B6" w:rsidP="00D45A46">
            <w:pPr>
              <w:jc w:val="both"/>
              <w:rPr>
                <w:bCs/>
                <w:color w:val="002060"/>
                <w:sz w:val="16"/>
                <w:szCs w:val="16"/>
              </w:rPr>
            </w:pPr>
            <w:r w:rsidRPr="00DE096C">
              <w:rPr>
                <w:bCs/>
                <w:color w:val="002060"/>
                <w:sz w:val="16"/>
                <w:szCs w:val="16"/>
              </w:rPr>
              <w:t xml:space="preserve">5 </w:t>
            </w:r>
          </w:p>
        </w:tc>
      </w:tr>
      <w:tr w:rsidR="009716B6" w:rsidRPr="00DE096C" w14:paraId="23E97A75" w14:textId="77777777" w:rsidTr="00D34AC1">
        <w:tc>
          <w:tcPr>
            <w:tcW w:w="1788" w:type="dxa"/>
          </w:tcPr>
          <w:p w14:paraId="7DFE147F" w14:textId="77777777" w:rsidR="009716B6" w:rsidRPr="00DE096C" w:rsidRDefault="009716B6" w:rsidP="00D45A46">
            <w:pPr>
              <w:jc w:val="both"/>
              <w:rPr>
                <w:bCs/>
                <w:color w:val="002060"/>
                <w:sz w:val="16"/>
                <w:szCs w:val="16"/>
              </w:rPr>
            </w:pPr>
            <w:r w:rsidRPr="00DE096C">
              <w:rPr>
                <w:bCs/>
                <w:color w:val="002060"/>
                <w:sz w:val="16"/>
                <w:szCs w:val="16"/>
              </w:rPr>
              <w:t>Сентябрь</w:t>
            </w:r>
          </w:p>
        </w:tc>
        <w:tc>
          <w:tcPr>
            <w:tcW w:w="684" w:type="dxa"/>
          </w:tcPr>
          <w:p w14:paraId="17654A8B" w14:textId="77777777" w:rsidR="009716B6" w:rsidRPr="00DE096C" w:rsidRDefault="009716B6" w:rsidP="00D45A46">
            <w:pPr>
              <w:jc w:val="both"/>
              <w:rPr>
                <w:bCs/>
                <w:color w:val="002060"/>
                <w:sz w:val="16"/>
                <w:szCs w:val="16"/>
              </w:rPr>
            </w:pPr>
            <w:r w:rsidRPr="00DE096C">
              <w:rPr>
                <w:bCs/>
                <w:color w:val="002060"/>
                <w:sz w:val="16"/>
                <w:szCs w:val="16"/>
              </w:rPr>
              <w:t xml:space="preserve">7 </w:t>
            </w:r>
          </w:p>
        </w:tc>
      </w:tr>
      <w:tr w:rsidR="009716B6" w:rsidRPr="00DE096C" w14:paraId="3E56C213" w14:textId="77777777" w:rsidTr="00D34AC1">
        <w:tc>
          <w:tcPr>
            <w:tcW w:w="1788" w:type="dxa"/>
          </w:tcPr>
          <w:p w14:paraId="4F0BAAAD" w14:textId="77777777" w:rsidR="009716B6" w:rsidRPr="00DE096C" w:rsidRDefault="009716B6" w:rsidP="00D45A46">
            <w:pPr>
              <w:jc w:val="both"/>
              <w:rPr>
                <w:bCs/>
                <w:color w:val="002060"/>
                <w:sz w:val="16"/>
                <w:szCs w:val="16"/>
              </w:rPr>
            </w:pPr>
            <w:r w:rsidRPr="00DE096C">
              <w:rPr>
                <w:bCs/>
                <w:color w:val="002060"/>
                <w:sz w:val="16"/>
                <w:szCs w:val="16"/>
              </w:rPr>
              <w:t>Ноябрь</w:t>
            </w:r>
          </w:p>
        </w:tc>
        <w:tc>
          <w:tcPr>
            <w:tcW w:w="684" w:type="dxa"/>
          </w:tcPr>
          <w:p w14:paraId="0D9F9654" w14:textId="77777777" w:rsidR="009716B6" w:rsidRPr="00DE096C" w:rsidRDefault="009716B6" w:rsidP="00D45A46">
            <w:pPr>
              <w:jc w:val="both"/>
              <w:rPr>
                <w:bCs/>
                <w:color w:val="002060"/>
                <w:sz w:val="16"/>
                <w:szCs w:val="16"/>
              </w:rPr>
            </w:pPr>
            <w:r w:rsidRPr="00DE096C">
              <w:rPr>
                <w:bCs/>
                <w:color w:val="002060"/>
                <w:sz w:val="16"/>
                <w:szCs w:val="16"/>
              </w:rPr>
              <w:t xml:space="preserve">8 </w:t>
            </w:r>
          </w:p>
        </w:tc>
      </w:tr>
      <w:tr w:rsidR="009716B6" w:rsidRPr="00DE096C" w14:paraId="13EAD38C" w14:textId="77777777" w:rsidTr="00D34AC1">
        <w:tc>
          <w:tcPr>
            <w:tcW w:w="1788" w:type="dxa"/>
          </w:tcPr>
          <w:p w14:paraId="2160172A" w14:textId="77777777" w:rsidR="009716B6" w:rsidRPr="00DE096C" w:rsidRDefault="009716B6" w:rsidP="00D45A46">
            <w:pPr>
              <w:jc w:val="both"/>
              <w:rPr>
                <w:bCs/>
                <w:color w:val="002060"/>
                <w:sz w:val="16"/>
                <w:szCs w:val="16"/>
              </w:rPr>
            </w:pPr>
            <w:r w:rsidRPr="00DE096C">
              <w:rPr>
                <w:bCs/>
                <w:color w:val="002060"/>
                <w:sz w:val="16"/>
                <w:szCs w:val="16"/>
              </w:rPr>
              <w:t xml:space="preserve">1916 г.: </w:t>
            </w:r>
          </w:p>
        </w:tc>
        <w:tc>
          <w:tcPr>
            <w:tcW w:w="684" w:type="dxa"/>
          </w:tcPr>
          <w:p w14:paraId="7E656BF0" w14:textId="77777777" w:rsidR="009716B6" w:rsidRPr="00DE096C" w:rsidRDefault="009716B6" w:rsidP="00D45A46">
            <w:pPr>
              <w:jc w:val="both"/>
              <w:rPr>
                <w:bCs/>
                <w:color w:val="002060"/>
                <w:sz w:val="16"/>
                <w:szCs w:val="16"/>
              </w:rPr>
            </w:pPr>
            <w:r w:rsidRPr="00DE096C">
              <w:rPr>
                <w:bCs/>
                <w:color w:val="002060"/>
                <w:sz w:val="16"/>
                <w:szCs w:val="16"/>
              </w:rPr>
              <w:t> </w:t>
            </w:r>
          </w:p>
        </w:tc>
      </w:tr>
      <w:tr w:rsidR="009716B6" w:rsidRPr="00DE096C" w14:paraId="06A00DBE" w14:textId="77777777" w:rsidTr="00D34AC1">
        <w:tc>
          <w:tcPr>
            <w:tcW w:w="1788" w:type="dxa"/>
          </w:tcPr>
          <w:p w14:paraId="32C250FE" w14:textId="77777777" w:rsidR="009716B6" w:rsidRPr="00DE096C" w:rsidRDefault="009716B6" w:rsidP="00D45A46">
            <w:pPr>
              <w:jc w:val="both"/>
              <w:rPr>
                <w:bCs/>
                <w:color w:val="002060"/>
                <w:sz w:val="16"/>
                <w:szCs w:val="16"/>
              </w:rPr>
            </w:pPr>
            <w:r w:rsidRPr="00DE096C">
              <w:rPr>
                <w:bCs/>
                <w:color w:val="002060"/>
                <w:sz w:val="16"/>
                <w:szCs w:val="16"/>
              </w:rPr>
              <w:t>Август</w:t>
            </w:r>
          </w:p>
        </w:tc>
        <w:tc>
          <w:tcPr>
            <w:tcW w:w="684" w:type="dxa"/>
          </w:tcPr>
          <w:p w14:paraId="63A9DD6A" w14:textId="77777777" w:rsidR="009716B6" w:rsidRPr="00DE096C" w:rsidRDefault="009716B6" w:rsidP="00D45A46">
            <w:pPr>
              <w:jc w:val="both"/>
              <w:rPr>
                <w:bCs/>
                <w:color w:val="002060"/>
                <w:sz w:val="16"/>
                <w:szCs w:val="16"/>
              </w:rPr>
            </w:pPr>
            <w:r w:rsidRPr="00DE096C">
              <w:rPr>
                <w:bCs/>
                <w:color w:val="002060"/>
                <w:sz w:val="16"/>
                <w:szCs w:val="16"/>
              </w:rPr>
              <w:t xml:space="preserve">10 </w:t>
            </w:r>
          </w:p>
        </w:tc>
      </w:tr>
      <w:tr w:rsidR="009716B6" w:rsidRPr="00DE096C" w14:paraId="0138F50D" w14:textId="77777777" w:rsidTr="00D34AC1">
        <w:tc>
          <w:tcPr>
            <w:tcW w:w="1788" w:type="dxa"/>
          </w:tcPr>
          <w:p w14:paraId="453BEA85" w14:textId="77777777" w:rsidR="009716B6" w:rsidRPr="00DE096C" w:rsidRDefault="009716B6" w:rsidP="00D45A46">
            <w:pPr>
              <w:jc w:val="both"/>
              <w:rPr>
                <w:bCs/>
                <w:color w:val="002060"/>
                <w:sz w:val="16"/>
                <w:szCs w:val="16"/>
              </w:rPr>
            </w:pPr>
            <w:r w:rsidRPr="00DE096C">
              <w:rPr>
                <w:bCs/>
                <w:color w:val="002060"/>
                <w:sz w:val="16"/>
                <w:szCs w:val="16"/>
              </w:rPr>
              <w:t>Сентябрь</w:t>
            </w:r>
          </w:p>
        </w:tc>
        <w:tc>
          <w:tcPr>
            <w:tcW w:w="684" w:type="dxa"/>
          </w:tcPr>
          <w:p w14:paraId="26A0C882" w14:textId="77777777" w:rsidR="009716B6" w:rsidRPr="00DE096C" w:rsidRDefault="009716B6" w:rsidP="00D45A46">
            <w:pPr>
              <w:jc w:val="both"/>
              <w:rPr>
                <w:bCs/>
                <w:color w:val="002060"/>
                <w:sz w:val="16"/>
                <w:szCs w:val="16"/>
              </w:rPr>
            </w:pPr>
            <w:r w:rsidRPr="00DE096C">
              <w:rPr>
                <w:bCs/>
                <w:color w:val="002060"/>
                <w:sz w:val="16"/>
                <w:szCs w:val="16"/>
              </w:rPr>
              <w:t xml:space="preserve">11 </w:t>
            </w:r>
          </w:p>
        </w:tc>
      </w:tr>
      <w:tr w:rsidR="009716B6" w:rsidRPr="00DE096C" w14:paraId="621CFABC" w14:textId="77777777" w:rsidTr="00D34AC1">
        <w:tc>
          <w:tcPr>
            <w:tcW w:w="1788" w:type="dxa"/>
          </w:tcPr>
          <w:p w14:paraId="011DB4B1" w14:textId="77777777" w:rsidR="009716B6" w:rsidRPr="00DE096C" w:rsidRDefault="009716B6" w:rsidP="00D45A46">
            <w:pPr>
              <w:jc w:val="both"/>
              <w:rPr>
                <w:bCs/>
                <w:color w:val="002060"/>
                <w:sz w:val="16"/>
                <w:szCs w:val="16"/>
              </w:rPr>
            </w:pPr>
            <w:r w:rsidRPr="00DE096C">
              <w:rPr>
                <w:bCs/>
                <w:color w:val="002060"/>
                <w:sz w:val="16"/>
                <w:szCs w:val="16"/>
              </w:rPr>
              <w:t>Ноябрь</w:t>
            </w:r>
          </w:p>
        </w:tc>
        <w:tc>
          <w:tcPr>
            <w:tcW w:w="684" w:type="dxa"/>
          </w:tcPr>
          <w:p w14:paraId="6BA989EB" w14:textId="77777777" w:rsidR="009716B6" w:rsidRPr="00DE096C" w:rsidRDefault="009716B6" w:rsidP="00D45A46">
            <w:pPr>
              <w:jc w:val="both"/>
              <w:rPr>
                <w:bCs/>
                <w:color w:val="002060"/>
                <w:sz w:val="16"/>
                <w:szCs w:val="16"/>
              </w:rPr>
            </w:pPr>
            <w:r w:rsidRPr="00DE096C">
              <w:rPr>
                <w:bCs/>
                <w:color w:val="002060"/>
                <w:sz w:val="16"/>
                <w:szCs w:val="16"/>
              </w:rPr>
              <w:t xml:space="preserve">12 </w:t>
            </w:r>
          </w:p>
        </w:tc>
      </w:tr>
      <w:tr w:rsidR="009716B6" w:rsidRPr="00DE096C" w14:paraId="5F1E8E03" w14:textId="77777777" w:rsidTr="00D34AC1">
        <w:tc>
          <w:tcPr>
            <w:tcW w:w="1788" w:type="dxa"/>
          </w:tcPr>
          <w:p w14:paraId="0CCBE148" w14:textId="77777777" w:rsidR="009716B6" w:rsidRPr="00DE096C" w:rsidRDefault="009716B6" w:rsidP="00D45A46">
            <w:pPr>
              <w:jc w:val="both"/>
              <w:rPr>
                <w:bCs/>
                <w:color w:val="002060"/>
                <w:sz w:val="16"/>
                <w:szCs w:val="16"/>
              </w:rPr>
            </w:pPr>
            <w:r w:rsidRPr="00DE096C">
              <w:rPr>
                <w:bCs/>
                <w:color w:val="002060"/>
                <w:sz w:val="16"/>
                <w:szCs w:val="16"/>
              </w:rPr>
              <w:t>Декабрь</w:t>
            </w:r>
          </w:p>
        </w:tc>
        <w:tc>
          <w:tcPr>
            <w:tcW w:w="684" w:type="dxa"/>
          </w:tcPr>
          <w:p w14:paraId="048E389D" w14:textId="77777777" w:rsidR="009716B6" w:rsidRPr="00DE096C" w:rsidRDefault="009716B6" w:rsidP="00D45A46">
            <w:pPr>
              <w:jc w:val="both"/>
              <w:rPr>
                <w:bCs/>
                <w:color w:val="002060"/>
                <w:sz w:val="16"/>
                <w:szCs w:val="16"/>
              </w:rPr>
            </w:pPr>
            <w:r w:rsidRPr="00DE096C">
              <w:rPr>
                <w:bCs/>
                <w:color w:val="002060"/>
                <w:sz w:val="16"/>
                <w:szCs w:val="16"/>
              </w:rPr>
              <w:t xml:space="preserve">14 </w:t>
            </w:r>
          </w:p>
        </w:tc>
      </w:tr>
      <w:tr w:rsidR="009716B6" w:rsidRPr="00DE096C" w14:paraId="3452A3FE" w14:textId="77777777" w:rsidTr="00D34AC1">
        <w:tc>
          <w:tcPr>
            <w:tcW w:w="1788" w:type="dxa"/>
          </w:tcPr>
          <w:p w14:paraId="323B0506" w14:textId="77777777" w:rsidR="009716B6" w:rsidRPr="00DE096C" w:rsidRDefault="009716B6" w:rsidP="00D45A46">
            <w:pPr>
              <w:jc w:val="both"/>
              <w:rPr>
                <w:bCs/>
                <w:color w:val="002060"/>
                <w:sz w:val="16"/>
                <w:szCs w:val="16"/>
              </w:rPr>
            </w:pPr>
            <w:r w:rsidRPr="00DE096C">
              <w:rPr>
                <w:bCs/>
                <w:color w:val="002060"/>
                <w:sz w:val="16"/>
                <w:szCs w:val="16"/>
              </w:rPr>
              <w:t xml:space="preserve">1917 г.: </w:t>
            </w:r>
          </w:p>
        </w:tc>
        <w:tc>
          <w:tcPr>
            <w:tcW w:w="684" w:type="dxa"/>
          </w:tcPr>
          <w:p w14:paraId="1D3C7B4B" w14:textId="77777777" w:rsidR="009716B6" w:rsidRPr="00DE096C" w:rsidRDefault="009716B6" w:rsidP="00D45A46">
            <w:pPr>
              <w:jc w:val="both"/>
              <w:rPr>
                <w:bCs/>
                <w:color w:val="002060"/>
                <w:sz w:val="16"/>
                <w:szCs w:val="16"/>
              </w:rPr>
            </w:pPr>
            <w:r w:rsidRPr="00DE096C">
              <w:rPr>
                <w:bCs/>
                <w:color w:val="002060"/>
                <w:sz w:val="16"/>
                <w:szCs w:val="16"/>
              </w:rPr>
              <w:t> </w:t>
            </w:r>
          </w:p>
        </w:tc>
      </w:tr>
      <w:tr w:rsidR="009716B6" w:rsidRPr="00DE096C" w14:paraId="760BBDC5" w14:textId="77777777" w:rsidTr="00D34AC1">
        <w:tc>
          <w:tcPr>
            <w:tcW w:w="1788" w:type="dxa"/>
          </w:tcPr>
          <w:p w14:paraId="616A2681" w14:textId="77777777" w:rsidR="009716B6" w:rsidRPr="00DE096C" w:rsidRDefault="009716B6" w:rsidP="00D45A46">
            <w:pPr>
              <w:jc w:val="both"/>
              <w:rPr>
                <w:bCs/>
                <w:color w:val="002060"/>
                <w:sz w:val="16"/>
                <w:szCs w:val="16"/>
              </w:rPr>
            </w:pPr>
            <w:r w:rsidRPr="00DE096C">
              <w:rPr>
                <w:bCs/>
                <w:color w:val="002060"/>
                <w:sz w:val="16"/>
                <w:szCs w:val="16"/>
              </w:rPr>
              <w:t>Январь</w:t>
            </w:r>
          </w:p>
        </w:tc>
        <w:tc>
          <w:tcPr>
            <w:tcW w:w="684" w:type="dxa"/>
          </w:tcPr>
          <w:p w14:paraId="40541DE5" w14:textId="77777777" w:rsidR="009716B6" w:rsidRPr="00DE096C" w:rsidRDefault="009716B6" w:rsidP="00D45A46">
            <w:pPr>
              <w:jc w:val="both"/>
              <w:rPr>
                <w:bCs/>
                <w:color w:val="002060"/>
                <w:sz w:val="16"/>
                <w:szCs w:val="16"/>
              </w:rPr>
            </w:pPr>
            <w:r w:rsidRPr="00DE096C">
              <w:rPr>
                <w:bCs/>
                <w:color w:val="002060"/>
                <w:sz w:val="16"/>
                <w:szCs w:val="16"/>
              </w:rPr>
              <w:t xml:space="preserve">15 </w:t>
            </w:r>
          </w:p>
        </w:tc>
      </w:tr>
    </w:tbl>
    <w:p w14:paraId="3B7C17C4" w14:textId="77777777" w:rsidR="009716B6" w:rsidRPr="00DE096C" w:rsidRDefault="009716B6" w:rsidP="00D45A46">
      <w:pPr>
        <w:jc w:val="both"/>
        <w:rPr>
          <w:bCs/>
          <w:color w:val="002060"/>
          <w:sz w:val="16"/>
          <w:szCs w:val="16"/>
        </w:rPr>
      </w:pPr>
      <w:r w:rsidRPr="00DE096C">
        <w:rPr>
          <w:bCs/>
          <w:color w:val="002060"/>
          <w:sz w:val="16"/>
          <w:szCs w:val="16"/>
        </w:rPr>
        <w:t xml:space="preserve">Добывание бензола, толуола и др. побочных продуктов коксования каменного угля явилось совершенно новой у нас отраслью промышленности. До войны этим путем добывались исключительно сернокислый аммоний, нашатырный спирт, каменноугольная смола и др. Более ценные продукты — бензол, толуол, антрацен и др. получались лишь в весьма незначительном количестве на трех заводах: в Енакиеве, Байраке и Щербинском. </w:t>
      </w:r>
    </w:p>
    <w:p w14:paraId="22A894F2" w14:textId="77777777" w:rsidR="009716B6" w:rsidRPr="00DE096C" w:rsidRDefault="009716B6" w:rsidP="00D45A46">
      <w:pPr>
        <w:jc w:val="both"/>
        <w:rPr>
          <w:bCs/>
          <w:color w:val="002060"/>
          <w:sz w:val="16"/>
          <w:szCs w:val="16"/>
        </w:rPr>
      </w:pPr>
      <w:r w:rsidRPr="00DE096C">
        <w:rPr>
          <w:bCs/>
          <w:color w:val="002060"/>
          <w:sz w:val="16"/>
          <w:szCs w:val="16"/>
        </w:rPr>
        <w:t>Бензоловые заводы представляют подлинную здоровую базу для питания необходимыми материалами важнейшей отрасли военной промышленности, вырабатывающей взрывчатые вещества. В то же время эти заводы нужны были и мирной промышленности для красящих веществ, фармацевтических средств, медицинских препаратов и т.д. Эти последние отрасли ранее черпали всегда сырье из Германии, и широкое развитие коксобензольной промышленности освободило бы всю нашу химическую промышленность, как военную, так и гражданскую, от иностранной зависимости.</w:t>
      </w:r>
    </w:p>
    <w:p w14:paraId="3866BA1E" w14:textId="77777777" w:rsidR="009716B6" w:rsidRPr="00DE096C" w:rsidRDefault="009716B6" w:rsidP="00D45A46">
      <w:pPr>
        <w:jc w:val="both"/>
        <w:rPr>
          <w:bCs/>
          <w:color w:val="002060"/>
          <w:sz w:val="16"/>
          <w:szCs w:val="16"/>
        </w:rPr>
      </w:pPr>
      <w:r w:rsidRPr="00DE096C">
        <w:rPr>
          <w:bCs/>
          <w:color w:val="002060"/>
          <w:sz w:val="16"/>
          <w:szCs w:val="16"/>
        </w:rPr>
        <w:t xml:space="preserve">В 1914 г. в Донецком бассейне существовало 6150 коксовальных печей. Из них только 1268, при 13 коксовых заводах, были приспособлены к частичному улавливанию побочных продуктов коксования: 10 заводов (910 печей) улавливали дешевые и тяжелые продукты, и только упомянутые выше три завода — Енакиевский, Байракский и Щербиновский (358 печей) улавливали сырой бензол. </w:t>
      </w:r>
    </w:p>
    <w:p w14:paraId="57FEDF33" w14:textId="77777777" w:rsidR="009716B6" w:rsidRPr="00DE096C" w:rsidRDefault="009716B6" w:rsidP="00D45A46">
      <w:pPr>
        <w:jc w:val="both"/>
        <w:rPr>
          <w:bCs/>
          <w:color w:val="002060"/>
          <w:sz w:val="16"/>
          <w:szCs w:val="16"/>
        </w:rPr>
      </w:pPr>
      <w:r w:rsidRPr="00DE096C">
        <w:rPr>
          <w:bCs/>
          <w:color w:val="002060"/>
          <w:sz w:val="16"/>
          <w:szCs w:val="16"/>
        </w:rPr>
        <w:t xml:space="preserve">В первую очередь комиссия Ипатьева занялась постройкой бензоловых заводов при указанных 13 предприятиях. Затем в 1915 и 1916 гг. была предпринята постройка еще 13 заводов с расчетом на обслуживание 1200 печей, из которых часть печей возводилась заново. Намечен был, таким образом, план создать 26 бензольных заводов с 2400 печами. Осуществить постройку всех 26 заводов не удалось по разным причинам — расстройство транспорта, недостаток материалов и пр. Из строившихся 20 заводов часть была пущена в ход в 1915 и 1916 гг., часть была в 1917 г. еще не достроена. </w:t>
      </w:r>
    </w:p>
    <w:p w14:paraId="67C57A3F" w14:textId="77777777" w:rsidR="009716B6" w:rsidRPr="00DE096C" w:rsidRDefault="009716B6" w:rsidP="00D45A46">
      <w:pPr>
        <w:jc w:val="both"/>
        <w:rPr>
          <w:bCs/>
          <w:color w:val="002060"/>
          <w:sz w:val="16"/>
          <w:szCs w:val="16"/>
        </w:rPr>
      </w:pPr>
      <w:r w:rsidRPr="00DE096C">
        <w:rPr>
          <w:bCs/>
          <w:color w:val="002060"/>
          <w:sz w:val="16"/>
          <w:szCs w:val="16"/>
        </w:rPr>
        <w:t xml:space="preserve">Производство сырого бензола в 1915 и 1916 гг. по отдельным заводам показано в следующей таблице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268"/>
        <w:gridCol w:w="792"/>
        <w:gridCol w:w="684"/>
      </w:tblGrid>
      <w:tr w:rsidR="009716B6" w:rsidRPr="00DE096C" w14:paraId="04AFD264" w14:textId="77777777" w:rsidTr="00D34AC1">
        <w:tc>
          <w:tcPr>
            <w:tcW w:w="2268" w:type="dxa"/>
          </w:tcPr>
          <w:p w14:paraId="1DEFB11C" w14:textId="77777777" w:rsidR="009716B6" w:rsidRPr="00DE096C" w:rsidRDefault="009716B6" w:rsidP="00D45A46">
            <w:pPr>
              <w:jc w:val="both"/>
              <w:rPr>
                <w:bCs/>
                <w:color w:val="002060"/>
                <w:sz w:val="16"/>
                <w:szCs w:val="16"/>
              </w:rPr>
            </w:pPr>
            <w:r w:rsidRPr="00DE096C">
              <w:rPr>
                <w:bCs/>
                <w:color w:val="002060"/>
                <w:sz w:val="16"/>
                <w:szCs w:val="16"/>
              </w:rPr>
              <w:t>Заводы</w:t>
            </w:r>
          </w:p>
        </w:tc>
        <w:tc>
          <w:tcPr>
            <w:tcW w:w="792" w:type="dxa"/>
          </w:tcPr>
          <w:p w14:paraId="0F6A3A12" w14:textId="77777777" w:rsidR="009716B6" w:rsidRPr="00DE096C" w:rsidRDefault="009716B6" w:rsidP="00D45A46">
            <w:pPr>
              <w:jc w:val="both"/>
              <w:rPr>
                <w:bCs/>
                <w:color w:val="002060"/>
                <w:sz w:val="16"/>
                <w:szCs w:val="16"/>
              </w:rPr>
            </w:pPr>
            <w:r w:rsidRPr="00DE096C">
              <w:rPr>
                <w:bCs/>
                <w:color w:val="002060"/>
                <w:sz w:val="16"/>
                <w:szCs w:val="16"/>
              </w:rPr>
              <w:t>1915 г.</w:t>
            </w:r>
          </w:p>
        </w:tc>
        <w:tc>
          <w:tcPr>
            <w:tcW w:w="684" w:type="dxa"/>
          </w:tcPr>
          <w:p w14:paraId="79426F2C" w14:textId="77777777" w:rsidR="009716B6" w:rsidRPr="00DE096C" w:rsidRDefault="009716B6" w:rsidP="00D45A46">
            <w:pPr>
              <w:jc w:val="both"/>
              <w:rPr>
                <w:bCs/>
                <w:color w:val="002060"/>
                <w:sz w:val="16"/>
                <w:szCs w:val="16"/>
              </w:rPr>
            </w:pPr>
            <w:r w:rsidRPr="00DE096C">
              <w:rPr>
                <w:bCs/>
                <w:color w:val="002060"/>
                <w:sz w:val="16"/>
                <w:szCs w:val="16"/>
              </w:rPr>
              <w:t>1916 г.</w:t>
            </w:r>
          </w:p>
        </w:tc>
      </w:tr>
      <w:tr w:rsidR="009716B6" w:rsidRPr="00DE096C" w14:paraId="279D29C0" w14:textId="77777777" w:rsidTr="00D34AC1">
        <w:tc>
          <w:tcPr>
            <w:tcW w:w="2268" w:type="dxa"/>
          </w:tcPr>
          <w:p w14:paraId="6826ECEA" w14:textId="77777777" w:rsidR="009716B6" w:rsidRPr="00DE096C" w:rsidRDefault="009716B6" w:rsidP="00D45A46">
            <w:pPr>
              <w:jc w:val="both"/>
              <w:rPr>
                <w:bCs/>
                <w:color w:val="002060"/>
                <w:sz w:val="16"/>
                <w:szCs w:val="16"/>
              </w:rPr>
            </w:pPr>
            <w:r w:rsidRPr="00DE096C">
              <w:rPr>
                <w:bCs/>
                <w:color w:val="002060"/>
                <w:sz w:val="16"/>
                <w:szCs w:val="16"/>
              </w:rPr>
              <w:t>Э. Коппе, ст. Енакиево</w:t>
            </w:r>
          </w:p>
        </w:tc>
        <w:tc>
          <w:tcPr>
            <w:tcW w:w="792" w:type="dxa"/>
          </w:tcPr>
          <w:p w14:paraId="385BBBC1" w14:textId="77777777" w:rsidR="009716B6" w:rsidRPr="00DE096C" w:rsidRDefault="009716B6" w:rsidP="00D45A46">
            <w:pPr>
              <w:jc w:val="both"/>
              <w:rPr>
                <w:bCs/>
                <w:color w:val="002060"/>
                <w:sz w:val="16"/>
                <w:szCs w:val="16"/>
              </w:rPr>
            </w:pPr>
            <w:r w:rsidRPr="00DE096C">
              <w:rPr>
                <w:bCs/>
                <w:color w:val="002060"/>
                <w:sz w:val="16"/>
                <w:szCs w:val="16"/>
              </w:rPr>
              <w:t>117,9</w:t>
            </w:r>
          </w:p>
        </w:tc>
        <w:tc>
          <w:tcPr>
            <w:tcW w:w="684" w:type="dxa"/>
          </w:tcPr>
          <w:p w14:paraId="323EA06C" w14:textId="77777777" w:rsidR="009716B6" w:rsidRPr="00DE096C" w:rsidRDefault="009716B6" w:rsidP="00D45A46">
            <w:pPr>
              <w:jc w:val="both"/>
              <w:rPr>
                <w:bCs/>
                <w:color w:val="002060"/>
                <w:sz w:val="16"/>
                <w:szCs w:val="16"/>
              </w:rPr>
            </w:pPr>
            <w:r w:rsidRPr="00DE096C">
              <w:rPr>
                <w:bCs/>
                <w:color w:val="002060"/>
                <w:sz w:val="16"/>
                <w:szCs w:val="16"/>
              </w:rPr>
              <w:t>131,1</w:t>
            </w:r>
          </w:p>
        </w:tc>
      </w:tr>
      <w:tr w:rsidR="009716B6" w:rsidRPr="00DE096C" w14:paraId="62B10E87" w14:textId="77777777" w:rsidTr="00D34AC1">
        <w:tc>
          <w:tcPr>
            <w:tcW w:w="2268" w:type="dxa"/>
          </w:tcPr>
          <w:p w14:paraId="53576E69" w14:textId="77777777" w:rsidR="009716B6" w:rsidRPr="00DE096C" w:rsidRDefault="009716B6" w:rsidP="00D45A46">
            <w:pPr>
              <w:jc w:val="both"/>
              <w:rPr>
                <w:bCs/>
                <w:color w:val="002060"/>
                <w:sz w:val="16"/>
                <w:szCs w:val="16"/>
              </w:rPr>
            </w:pPr>
            <w:r w:rsidRPr="00DE096C">
              <w:rPr>
                <w:bCs/>
                <w:color w:val="002060"/>
                <w:sz w:val="16"/>
                <w:szCs w:val="16"/>
              </w:rPr>
              <w:t>Э. Коппк, ст. Юзовка</w:t>
            </w:r>
          </w:p>
        </w:tc>
        <w:tc>
          <w:tcPr>
            <w:tcW w:w="792" w:type="dxa"/>
          </w:tcPr>
          <w:p w14:paraId="5C338CCE" w14:textId="77777777" w:rsidR="009716B6" w:rsidRPr="00DE096C" w:rsidRDefault="009716B6" w:rsidP="00D45A46">
            <w:pPr>
              <w:jc w:val="both"/>
              <w:rPr>
                <w:bCs/>
                <w:color w:val="002060"/>
                <w:sz w:val="16"/>
                <w:szCs w:val="16"/>
              </w:rPr>
            </w:pPr>
            <w:r w:rsidRPr="00DE096C">
              <w:rPr>
                <w:bCs/>
                <w:color w:val="002060"/>
                <w:sz w:val="16"/>
                <w:szCs w:val="16"/>
              </w:rPr>
              <w:t>46,6</w:t>
            </w:r>
          </w:p>
        </w:tc>
        <w:tc>
          <w:tcPr>
            <w:tcW w:w="684" w:type="dxa"/>
          </w:tcPr>
          <w:p w14:paraId="40ADB2CC" w14:textId="77777777" w:rsidR="009716B6" w:rsidRPr="00DE096C" w:rsidRDefault="009716B6" w:rsidP="00D45A46">
            <w:pPr>
              <w:jc w:val="both"/>
              <w:rPr>
                <w:bCs/>
                <w:color w:val="002060"/>
                <w:sz w:val="16"/>
                <w:szCs w:val="16"/>
              </w:rPr>
            </w:pPr>
            <w:r w:rsidRPr="00DE096C">
              <w:rPr>
                <w:bCs/>
                <w:color w:val="002060"/>
                <w:sz w:val="16"/>
                <w:szCs w:val="16"/>
              </w:rPr>
              <w:t>90,1</w:t>
            </w:r>
          </w:p>
        </w:tc>
      </w:tr>
      <w:tr w:rsidR="009716B6" w:rsidRPr="00DE096C" w14:paraId="6268B58D" w14:textId="77777777" w:rsidTr="00D34AC1">
        <w:tc>
          <w:tcPr>
            <w:tcW w:w="2268" w:type="dxa"/>
          </w:tcPr>
          <w:p w14:paraId="3D8749C1" w14:textId="77777777" w:rsidR="009716B6" w:rsidRPr="00DE096C" w:rsidRDefault="009716B6" w:rsidP="00D45A46">
            <w:pPr>
              <w:jc w:val="both"/>
              <w:rPr>
                <w:bCs/>
                <w:color w:val="002060"/>
                <w:sz w:val="16"/>
                <w:szCs w:val="16"/>
              </w:rPr>
            </w:pPr>
            <w:r w:rsidRPr="00DE096C">
              <w:rPr>
                <w:bCs/>
                <w:color w:val="002060"/>
                <w:sz w:val="16"/>
                <w:szCs w:val="16"/>
              </w:rPr>
              <w:t>Э. Коппе, ст. Байрак</w:t>
            </w:r>
          </w:p>
        </w:tc>
        <w:tc>
          <w:tcPr>
            <w:tcW w:w="792" w:type="dxa"/>
          </w:tcPr>
          <w:p w14:paraId="0A253C7F" w14:textId="77777777" w:rsidR="009716B6" w:rsidRPr="00DE096C" w:rsidRDefault="009716B6" w:rsidP="00D45A46">
            <w:pPr>
              <w:jc w:val="both"/>
              <w:rPr>
                <w:bCs/>
                <w:color w:val="002060"/>
                <w:sz w:val="16"/>
                <w:szCs w:val="16"/>
              </w:rPr>
            </w:pPr>
            <w:r w:rsidRPr="00DE096C">
              <w:rPr>
                <w:bCs/>
                <w:color w:val="002060"/>
                <w:sz w:val="16"/>
                <w:szCs w:val="16"/>
              </w:rPr>
              <w:t>31,2</w:t>
            </w:r>
          </w:p>
        </w:tc>
        <w:tc>
          <w:tcPr>
            <w:tcW w:w="684" w:type="dxa"/>
          </w:tcPr>
          <w:p w14:paraId="518E7D46" w14:textId="77777777" w:rsidR="009716B6" w:rsidRPr="00DE096C" w:rsidRDefault="009716B6" w:rsidP="00D45A46">
            <w:pPr>
              <w:jc w:val="both"/>
              <w:rPr>
                <w:bCs/>
                <w:color w:val="002060"/>
                <w:sz w:val="16"/>
                <w:szCs w:val="16"/>
              </w:rPr>
            </w:pPr>
            <w:r w:rsidRPr="00DE096C">
              <w:rPr>
                <w:bCs/>
                <w:color w:val="002060"/>
                <w:sz w:val="16"/>
                <w:szCs w:val="16"/>
              </w:rPr>
              <w:t>26,9</w:t>
            </w:r>
          </w:p>
        </w:tc>
      </w:tr>
      <w:tr w:rsidR="009716B6" w:rsidRPr="00DE096C" w14:paraId="0C7CBC44" w14:textId="77777777" w:rsidTr="00D34AC1">
        <w:tc>
          <w:tcPr>
            <w:tcW w:w="2268" w:type="dxa"/>
          </w:tcPr>
          <w:p w14:paraId="6609DB3B" w14:textId="77777777" w:rsidR="009716B6" w:rsidRPr="00DE096C" w:rsidRDefault="009716B6" w:rsidP="00D45A46">
            <w:pPr>
              <w:jc w:val="both"/>
              <w:rPr>
                <w:bCs/>
                <w:color w:val="002060"/>
                <w:sz w:val="16"/>
                <w:szCs w:val="16"/>
              </w:rPr>
            </w:pPr>
            <w:r w:rsidRPr="00DE096C">
              <w:rPr>
                <w:bCs/>
                <w:color w:val="002060"/>
                <w:sz w:val="16"/>
                <w:szCs w:val="16"/>
              </w:rPr>
              <w:t>Э. Коппе, ст. Веровка</w:t>
            </w:r>
          </w:p>
        </w:tc>
        <w:tc>
          <w:tcPr>
            <w:tcW w:w="792" w:type="dxa"/>
          </w:tcPr>
          <w:p w14:paraId="232C4DB0" w14:textId="77777777" w:rsidR="009716B6" w:rsidRPr="00DE096C" w:rsidRDefault="009716B6" w:rsidP="00D45A46">
            <w:pPr>
              <w:jc w:val="both"/>
              <w:rPr>
                <w:bCs/>
                <w:color w:val="002060"/>
                <w:sz w:val="16"/>
                <w:szCs w:val="16"/>
              </w:rPr>
            </w:pPr>
            <w:r w:rsidRPr="00DE096C">
              <w:rPr>
                <w:bCs/>
                <w:color w:val="002060"/>
                <w:sz w:val="16"/>
                <w:szCs w:val="16"/>
              </w:rPr>
              <w:t>11,5</w:t>
            </w:r>
          </w:p>
        </w:tc>
        <w:tc>
          <w:tcPr>
            <w:tcW w:w="684" w:type="dxa"/>
          </w:tcPr>
          <w:p w14:paraId="75AD17F3" w14:textId="77777777" w:rsidR="009716B6" w:rsidRPr="00DE096C" w:rsidRDefault="009716B6" w:rsidP="00D45A46">
            <w:pPr>
              <w:jc w:val="both"/>
              <w:rPr>
                <w:bCs/>
                <w:color w:val="002060"/>
                <w:sz w:val="16"/>
                <w:szCs w:val="16"/>
              </w:rPr>
            </w:pPr>
            <w:r w:rsidRPr="00DE096C">
              <w:rPr>
                <w:bCs/>
                <w:color w:val="002060"/>
                <w:sz w:val="16"/>
                <w:szCs w:val="16"/>
              </w:rPr>
              <w:t>19,3</w:t>
            </w:r>
          </w:p>
        </w:tc>
      </w:tr>
      <w:tr w:rsidR="009716B6" w:rsidRPr="00DE096C" w14:paraId="4B3E8ABB" w14:textId="77777777" w:rsidTr="00D34AC1">
        <w:tc>
          <w:tcPr>
            <w:tcW w:w="2268" w:type="dxa"/>
          </w:tcPr>
          <w:p w14:paraId="284F4144" w14:textId="77777777" w:rsidR="009716B6" w:rsidRPr="00DE096C" w:rsidRDefault="009716B6" w:rsidP="00D45A46">
            <w:pPr>
              <w:jc w:val="both"/>
              <w:rPr>
                <w:bCs/>
                <w:color w:val="002060"/>
                <w:sz w:val="16"/>
                <w:szCs w:val="16"/>
              </w:rPr>
            </w:pPr>
            <w:r w:rsidRPr="00DE096C">
              <w:rPr>
                <w:bCs/>
                <w:color w:val="002060"/>
                <w:sz w:val="16"/>
                <w:szCs w:val="16"/>
              </w:rPr>
              <w:t>Э. Коппе, ст. Сартана</w:t>
            </w:r>
          </w:p>
        </w:tc>
        <w:tc>
          <w:tcPr>
            <w:tcW w:w="792" w:type="dxa"/>
          </w:tcPr>
          <w:p w14:paraId="038788E7" w14:textId="77777777" w:rsidR="009716B6" w:rsidRPr="00DE096C" w:rsidRDefault="009716B6" w:rsidP="00D45A46">
            <w:pPr>
              <w:jc w:val="both"/>
              <w:rPr>
                <w:bCs/>
                <w:color w:val="002060"/>
                <w:sz w:val="16"/>
                <w:szCs w:val="16"/>
              </w:rPr>
            </w:pPr>
            <w:r w:rsidRPr="00DE096C">
              <w:rPr>
                <w:bCs/>
                <w:color w:val="002060"/>
                <w:sz w:val="16"/>
                <w:szCs w:val="16"/>
              </w:rPr>
              <w:t>2.5</w:t>
            </w:r>
          </w:p>
        </w:tc>
        <w:tc>
          <w:tcPr>
            <w:tcW w:w="684" w:type="dxa"/>
          </w:tcPr>
          <w:p w14:paraId="019BA611" w14:textId="77777777" w:rsidR="009716B6" w:rsidRPr="00DE096C" w:rsidRDefault="009716B6" w:rsidP="00D45A46">
            <w:pPr>
              <w:jc w:val="both"/>
              <w:rPr>
                <w:bCs/>
                <w:color w:val="002060"/>
                <w:sz w:val="16"/>
                <w:szCs w:val="16"/>
              </w:rPr>
            </w:pPr>
            <w:r w:rsidRPr="00DE096C">
              <w:rPr>
                <w:bCs/>
                <w:color w:val="002060"/>
                <w:sz w:val="16"/>
                <w:szCs w:val="16"/>
              </w:rPr>
              <w:t>15,7</w:t>
            </w:r>
          </w:p>
        </w:tc>
      </w:tr>
      <w:tr w:rsidR="009716B6" w:rsidRPr="00DE096C" w14:paraId="4F589EEB" w14:textId="77777777" w:rsidTr="00D34AC1">
        <w:tc>
          <w:tcPr>
            <w:tcW w:w="2268" w:type="dxa"/>
          </w:tcPr>
          <w:p w14:paraId="395CF663" w14:textId="77777777" w:rsidR="009716B6" w:rsidRPr="00DE096C" w:rsidRDefault="009716B6" w:rsidP="00D45A46">
            <w:pPr>
              <w:jc w:val="both"/>
              <w:rPr>
                <w:bCs/>
                <w:color w:val="002060"/>
                <w:sz w:val="16"/>
                <w:szCs w:val="16"/>
              </w:rPr>
            </w:pPr>
            <w:r w:rsidRPr="00DE096C">
              <w:rPr>
                <w:bCs/>
                <w:color w:val="002060"/>
                <w:sz w:val="16"/>
                <w:szCs w:val="16"/>
              </w:rPr>
              <w:t>О. Пьетт, ст. Макеевка</w:t>
            </w:r>
          </w:p>
        </w:tc>
        <w:tc>
          <w:tcPr>
            <w:tcW w:w="792" w:type="dxa"/>
          </w:tcPr>
          <w:p w14:paraId="3E64F9B9" w14:textId="77777777" w:rsidR="009716B6" w:rsidRPr="00DE096C" w:rsidRDefault="009716B6" w:rsidP="00D45A46">
            <w:pPr>
              <w:jc w:val="both"/>
              <w:rPr>
                <w:bCs/>
                <w:color w:val="002060"/>
                <w:sz w:val="16"/>
                <w:szCs w:val="16"/>
              </w:rPr>
            </w:pPr>
            <w:r w:rsidRPr="00DE096C">
              <w:rPr>
                <w:bCs/>
                <w:color w:val="002060"/>
                <w:sz w:val="16"/>
                <w:szCs w:val="16"/>
              </w:rPr>
              <w:t>62,6</w:t>
            </w:r>
          </w:p>
        </w:tc>
        <w:tc>
          <w:tcPr>
            <w:tcW w:w="684" w:type="dxa"/>
          </w:tcPr>
          <w:p w14:paraId="42CD0C2B" w14:textId="77777777" w:rsidR="009716B6" w:rsidRPr="00DE096C" w:rsidRDefault="009716B6" w:rsidP="00D45A46">
            <w:pPr>
              <w:jc w:val="both"/>
              <w:rPr>
                <w:bCs/>
                <w:color w:val="002060"/>
                <w:sz w:val="16"/>
                <w:szCs w:val="16"/>
              </w:rPr>
            </w:pPr>
            <w:r w:rsidRPr="00DE096C">
              <w:rPr>
                <w:bCs/>
                <w:color w:val="002060"/>
                <w:sz w:val="16"/>
                <w:szCs w:val="16"/>
              </w:rPr>
              <w:t>125,9</w:t>
            </w:r>
          </w:p>
        </w:tc>
      </w:tr>
      <w:tr w:rsidR="009716B6" w:rsidRPr="00DE096C" w14:paraId="593597F8" w14:textId="77777777" w:rsidTr="00D34AC1">
        <w:tc>
          <w:tcPr>
            <w:tcW w:w="2268" w:type="dxa"/>
          </w:tcPr>
          <w:p w14:paraId="15D57A49" w14:textId="77777777" w:rsidR="009716B6" w:rsidRPr="00DE096C" w:rsidRDefault="009716B6" w:rsidP="00D45A46">
            <w:pPr>
              <w:jc w:val="both"/>
              <w:rPr>
                <w:bCs/>
                <w:color w:val="002060"/>
                <w:sz w:val="16"/>
                <w:szCs w:val="16"/>
              </w:rPr>
            </w:pPr>
            <w:r w:rsidRPr="00DE096C">
              <w:rPr>
                <w:bCs/>
                <w:color w:val="002060"/>
                <w:sz w:val="16"/>
                <w:szCs w:val="16"/>
              </w:rPr>
              <w:t>Кадиевский казенный завод</w:t>
            </w:r>
          </w:p>
        </w:tc>
        <w:tc>
          <w:tcPr>
            <w:tcW w:w="792" w:type="dxa"/>
          </w:tcPr>
          <w:p w14:paraId="39C0FEFD" w14:textId="77777777" w:rsidR="009716B6" w:rsidRPr="00DE096C" w:rsidRDefault="009716B6" w:rsidP="00D45A46">
            <w:pPr>
              <w:jc w:val="both"/>
              <w:rPr>
                <w:bCs/>
                <w:color w:val="002060"/>
                <w:sz w:val="16"/>
                <w:szCs w:val="16"/>
              </w:rPr>
            </w:pPr>
            <w:r w:rsidRPr="00DE096C">
              <w:rPr>
                <w:bCs/>
                <w:color w:val="002060"/>
                <w:sz w:val="16"/>
                <w:szCs w:val="16"/>
              </w:rPr>
              <w:t>62,3</w:t>
            </w:r>
          </w:p>
        </w:tc>
        <w:tc>
          <w:tcPr>
            <w:tcW w:w="684" w:type="dxa"/>
          </w:tcPr>
          <w:p w14:paraId="3C02F9CA" w14:textId="77777777" w:rsidR="009716B6" w:rsidRPr="00DE096C" w:rsidRDefault="009716B6" w:rsidP="00D45A46">
            <w:pPr>
              <w:jc w:val="both"/>
              <w:rPr>
                <w:bCs/>
                <w:color w:val="002060"/>
                <w:sz w:val="16"/>
                <w:szCs w:val="16"/>
              </w:rPr>
            </w:pPr>
            <w:r w:rsidRPr="00DE096C">
              <w:rPr>
                <w:bCs/>
                <w:color w:val="002060"/>
                <w:sz w:val="16"/>
                <w:szCs w:val="16"/>
              </w:rPr>
              <w:t>167,1</w:t>
            </w:r>
          </w:p>
        </w:tc>
      </w:tr>
      <w:tr w:rsidR="009716B6" w:rsidRPr="00DE096C" w14:paraId="4AC2308E" w14:textId="77777777" w:rsidTr="00D34AC1">
        <w:tc>
          <w:tcPr>
            <w:tcW w:w="2268" w:type="dxa"/>
          </w:tcPr>
          <w:p w14:paraId="7813D9E9" w14:textId="77777777" w:rsidR="009716B6" w:rsidRPr="00DE096C" w:rsidRDefault="009716B6" w:rsidP="00D45A46">
            <w:pPr>
              <w:jc w:val="both"/>
              <w:rPr>
                <w:bCs/>
                <w:color w:val="002060"/>
                <w:sz w:val="16"/>
                <w:szCs w:val="16"/>
              </w:rPr>
            </w:pPr>
            <w:r w:rsidRPr="00DE096C">
              <w:rPr>
                <w:bCs/>
                <w:color w:val="002060"/>
                <w:sz w:val="16"/>
                <w:szCs w:val="16"/>
              </w:rPr>
              <w:t>Щербиновский завод</w:t>
            </w:r>
          </w:p>
        </w:tc>
        <w:tc>
          <w:tcPr>
            <w:tcW w:w="792" w:type="dxa"/>
          </w:tcPr>
          <w:p w14:paraId="2C9BB12A" w14:textId="77777777" w:rsidR="009716B6" w:rsidRPr="00DE096C" w:rsidRDefault="009716B6" w:rsidP="00D45A46">
            <w:pPr>
              <w:jc w:val="both"/>
              <w:rPr>
                <w:bCs/>
                <w:color w:val="002060"/>
                <w:sz w:val="16"/>
                <w:szCs w:val="16"/>
              </w:rPr>
            </w:pPr>
            <w:r w:rsidRPr="00DE096C">
              <w:rPr>
                <w:bCs/>
                <w:color w:val="002060"/>
                <w:sz w:val="16"/>
                <w:szCs w:val="16"/>
              </w:rPr>
              <w:t>29,7</w:t>
            </w:r>
          </w:p>
        </w:tc>
        <w:tc>
          <w:tcPr>
            <w:tcW w:w="684" w:type="dxa"/>
          </w:tcPr>
          <w:p w14:paraId="6BE852ED" w14:textId="77777777" w:rsidR="009716B6" w:rsidRPr="00DE096C" w:rsidRDefault="009716B6" w:rsidP="00D45A46">
            <w:pPr>
              <w:jc w:val="both"/>
              <w:rPr>
                <w:bCs/>
                <w:color w:val="002060"/>
                <w:sz w:val="16"/>
                <w:szCs w:val="16"/>
              </w:rPr>
            </w:pPr>
            <w:r w:rsidRPr="00DE096C">
              <w:rPr>
                <w:bCs/>
                <w:color w:val="002060"/>
                <w:sz w:val="16"/>
                <w:szCs w:val="16"/>
              </w:rPr>
              <w:t>36,9</w:t>
            </w:r>
          </w:p>
        </w:tc>
      </w:tr>
      <w:tr w:rsidR="009716B6" w:rsidRPr="00DE096C" w14:paraId="3DC1D97A" w14:textId="77777777" w:rsidTr="00D34AC1">
        <w:tc>
          <w:tcPr>
            <w:tcW w:w="2268" w:type="dxa"/>
          </w:tcPr>
          <w:p w14:paraId="16CD8524" w14:textId="77777777" w:rsidR="009716B6" w:rsidRPr="00DE096C" w:rsidRDefault="009716B6" w:rsidP="00D45A46">
            <w:pPr>
              <w:jc w:val="both"/>
              <w:rPr>
                <w:bCs/>
                <w:color w:val="002060"/>
                <w:sz w:val="16"/>
                <w:szCs w:val="16"/>
              </w:rPr>
            </w:pPr>
            <w:r w:rsidRPr="00DE096C">
              <w:rPr>
                <w:bCs/>
                <w:color w:val="002060"/>
                <w:sz w:val="16"/>
                <w:szCs w:val="16"/>
              </w:rPr>
              <w:t>Общество Карбонизоми (Горловка)</w:t>
            </w:r>
          </w:p>
        </w:tc>
        <w:tc>
          <w:tcPr>
            <w:tcW w:w="792" w:type="dxa"/>
          </w:tcPr>
          <w:p w14:paraId="6579697A" w14:textId="77777777" w:rsidR="009716B6" w:rsidRPr="00DE096C" w:rsidRDefault="009716B6" w:rsidP="00D45A46">
            <w:pPr>
              <w:jc w:val="both"/>
              <w:rPr>
                <w:bCs/>
                <w:color w:val="002060"/>
                <w:sz w:val="16"/>
                <w:szCs w:val="16"/>
              </w:rPr>
            </w:pPr>
            <w:r w:rsidRPr="00DE096C">
              <w:rPr>
                <w:bCs/>
                <w:color w:val="002060"/>
                <w:sz w:val="16"/>
                <w:szCs w:val="16"/>
              </w:rPr>
              <w:t>—</w:t>
            </w:r>
          </w:p>
        </w:tc>
        <w:tc>
          <w:tcPr>
            <w:tcW w:w="684" w:type="dxa"/>
          </w:tcPr>
          <w:p w14:paraId="7DD05E62" w14:textId="77777777" w:rsidR="009716B6" w:rsidRPr="00DE096C" w:rsidRDefault="009716B6" w:rsidP="00D45A46">
            <w:pPr>
              <w:jc w:val="both"/>
              <w:rPr>
                <w:bCs/>
                <w:color w:val="002060"/>
                <w:sz w:val="16"/>
                <w:szCs w:val="16"/>
              </w:rPr>
            </w:pPr>
            <w:r w:rsidRPr="00DE096C">
              <w:rPr>
                <w:bCs/>
                <w:color w:val="002060"/>
                <w:sz w:val="16"/>
                <w:szCs w:val="16"/>
              </w:rPr>
              <w:t>12,4</w:t>
            </w:r>
          </w:p>
        </w:tc>
      </w:tr>
      <w:tr w:rsidR="009716B6" w:rsidRPr="00DE096C" w14:paraId="3E22F6F5" w14:textId="77777777" w:rsidTr="00D34AC1">
        <w:tc>
          <w:tcPr>
            <w:tcW w:w="2268" w:type="dxa"/>
          </w:tcPr>
          <w:p w14:paraId="50C0EB2C" w14:textId="77777777" w:rsidR="009716B6" w:rsidRPr="00DE096C" w:rsidRDefault="009716B6" w:rsidP="00D45A46">
            <w:pPr>
              <w:jc w:val="both"/>
              <w:rPr>
                <w:bCs/>
                <w:color w:val="002060"/>
                <w:sz w:val="16"/>
                <w:szCs w:val="16"/>
              </w:rPr>
            </w:pPr>
            <w:r w:rsidRPr="00DE096C">
              <w:rPr>
                <w:bCs/>
                <w:color w:val="002060"/>
                <w:sz w:val="16"/>
                <w:szCs w:val="16"/>
              </w:rPr>
              <w:t>О. Пьетт (Дружковка)</w:t>
            </w:r>
          </w:p>
        </w:tc>
        <w:tc>
          <w:tcPr>
            <w:tcW w:w="792" w:type="dxa"/>
          </w:tcPr>
          <w:p w14:paraId="140AC643" w14:textId="77777777" w:rsidR="009716B6" w:rsidRPr="00DE096C" w:rsidRDefault="009716B6" w:rsidP="00D45A46">
            <w:pPr>
              <w:jc w:val="both"/>
              <w:rPr>
                <w:bCs/>
                <w:color w:val="002060"/>
                <w:sz w:val="16"/>
                <w:szCs w:val="16"/>
              </w:rPr>
            </w:pPr>
            <w:r w:rsidRPr="00DE096C">
              <w:rPr>
                <w:bCs/>
                <w:color w:val="002060"/>
                <w:sz w:val="16"/>
                <w:szCs w:val="16"/>
              </w:rPr>
              <w:t>—</w:t>
            </w:r>
          </w:p>
        </w:tc>
        <w:tc>
          <w:tcPr>
            <w:tcW w:w="684" w:type="dxa"/>
          </w:tcPr>
          <w:p w14:paraId="7C64B28E" w14:textId="77777777" w:rsidR="009716B6" w:rsidRPr="00DE096C" w:rsidRDefault="009716B6" w:rsidP="00D45A46">
            <w:pPr>
              <w:jc w:val="both"/>
              <w:rPr>
                <w:bCs/>
                <w:color w:val="002060"/>
                <w:sz w:val="16"/>
                <w:szCs w:val="16"/>
              </w:rPr>
            </w:pPr>
            <w:r w:rsidRPr="00DE096C">
              <w:rPr>
                <w:bCs/>
                <w:color w:val="002060"/>
                <w:sz w:val="16"/>
                <w:szCs w:val="16"/>
              </w:rPr>
              <w:t>23,1</w:t>
            </w:r>
          </w:p>
        </w:tc>
      </w:tr>
      <w:tr w:rsidR="009716B6" w:rsidRPr="00DE096C" w14:paraId="41BE0726" w14:textId="77777777" w:rsidTr="00D34AC1">
        <w:tc>
          <w:tcPr>
            <w:tcW w:w="2268" w:type="dxa"/>
          </w:tcPr>
          <w:p w14:paraId="5E68FB21" w14:textId="77777777" w:rsidR="009716B6" w:rsidRPr="00DE096C" w:rsidRDefault="009716B6" w:rsidP="00D45A46">
            <w:pPr>
              <w:jc w:val="both"/>
              <w:rPr>
                <w:bCs/>
                <w:color w:val="002060"/>
                <w:sz w:val="16"/>
                <w:szCs w:val="16"/>
              </w:rPr>
            </w:pPr>
            <w:r w:rsidRPr="00DE096C">
              <w:rPr>
                <w:bCs/>
                <w:color w:val="002060"/>
                <w:sz w:val="16"/>
                <w:szCs w:val="16"/>
              </w:rPr>
              <w:t>Э. Коппе (Константиновка)</w:t>
            </w:r>
          </w:p>
        </w:tc>
        <w:tc>
          <w:tcPr>
            <w:tcW w:w="792" w:type="dxa"/>
          </w:tcPr>
          <w:p w14:paraId="7C7710EE" w14:textId="77777777" w:rsidR="009716B6" w:rsidRPr="00DE096C" w:rsidRDefault="009716B6" w:rsidP="00D45A46">
            <w:pPr>
              <w:jc w:val="both"/>
              <w:rPr>
                <w:bCs/>
                <w:color w:val="002060"/>
                <w:sz w:val="16"/>
                <w:szCs w:val="16"/>
              </w:rPr>
            </w:pPr>
            <w:r w:rsidRPr="00DE096C">
              <w:rPr>
                <w:bCs/>
                <w:color w:val="002060"/>
                <w:sz w:val="16"/>
                <w:szCs w:val="16"/>
              </w:rPr>
              <w:t>—</w:t>
            </w:r>
          </w:p>
        </w:tc>
        <w:tc>
          <w:tcPr>
            <w:tcW w:w="684" w:type="dxa"/>
          </w:tcPr>
          <w:p w14:paraId="7ED16288" w14:textId="77777777" w:rsidR="009716B6" w:rsidRPr="00DE096C" w:rsidRDefault="009716B6" w:rsidP="00D45A46">
            <w:pPr>
              <w:jc w:val="both"/>
              <w:rPr>
                <w:bCs/>
                <w:color w:val="002060"/>
                <w:sz w:val="16"/>
                <w:szCs w:val="16"/>
              </w:rPr>
            </w:pPr>
            <w:r w:rsidRPr="00DE096C">
              <w:rPr>
                <w:bCs/>
                <w:color w:val="002060"/>
                <w:sz w:val="16"/>
                <w:szCs w:val="16"/>
              </w:rPr>
              <w:t>8,2</w:t>
            </w:r>
          </w:p>
        </w:tc>
      </w:tr>
      <w:tr w:rsidR="009716B6" w:rsidRPr="00DE096C" w14:paraId="1E385C16" w14:textId="77777777" w:rsidTr="00D34AC1">
        <w:tc>
          <w:tcPr>
            <w:tcW w:w="2268" w:type="dxa"/>
          </w:tcPr>
          <w:p w14:paraId="32250D81" w14:textId="77777777" w:rsidR="009716B6" w:rsidRPr="00DE096C" w:rsidRDefault="009716B6" w:rsidP="00D45A46">
            <w:pPr>
              <w:jc w:val="both"/>
              <w:rPr>
                <w:bCs/>
                <w:color w:val="002060"/>
                <w:sz w:val="16"/>
                <w:szCs w:val="16"/>
              </w:rPr>
            </w:pPr>
            <w:r w:rsidRPr="00DE096C">
              <w:rPr>
                <w:bCs/>
                <w:color w:val="002060"/>
                <w:sz w:val="16"/>
                <w:szCs w:val="16"/>
              </w:rPr>
              <w:t>Всего</w:t>
            </w:r>
          </w:p>
        </w:tc>
        <w:tc>
          <w:tcPr>
            <w:tcW w:w="792" w:type="dxa"/>
          </w:tcPr>
          <w:p w14:paraId="5283D964" w14:textId="77777777" w:rsidR="009716B6" w:rsidRPr="00DE096C" w:rsidRDefault="009716B6" w:rsidP="00D45A46">
            <w:pPr>
              <w:jc w:val="both"/>
              <w:rPr>
                <w:bCs/>
                <w:color w:val="002060"/>
                <w:sz w:val="16"/>
                <w:szCs w:val="16"/>
              </w:rPr>
            </w:pPr>
            <w:r w:rsidRPr="00DE096C">
              <w:rPr>
                <w:bCs/>
                <w:color w:val="002060"/>
                <w:sz w:val="16"/>
                <w:szCs w:val="16"/>
              </w:rPr>
              <w:t>364,3</w:t>
            </w:r>
          </w:p>
        </w:tc>
        <w:tc>
          <w:tcPr>
            <w:tcW w:w="684" w:type="dxa"/>
          </w:tcPr>
          <w:p w14:paraId="2737AEC4" w14:textId="77777777" w:rsidR="009716B6" w:rsidRPr="00DE096C" w:rsidRDefault="009716B6" w:rsidP="00D45A46">
            <w:pPr>
              <w:jc w:val="both"/>
              <w:rPr>
                <w:bCs/>
                <w:color w:val="002060"/>
                <w:sz w:val="16"/>
                <w:szCs w:val="16"/>
              </w:rPr>
            </w:pPr>
            <w:r w:rsidRPr="00DE096C">
              <w:rPr>
                <w:bCs/>
                <w:color w:val="002060"/>
                <w:sz w:val="16"/>
                <w:szCs w:val="16"/>
              </w:rPr>
              <w:t>656,7</w:t>
            </w:r>
          </w:p>
        </w:tc>
      </w:tr>
    </w:tbl>
    <w:p w14:paraId="73318B62" w14:textId="77777777" w:rsidR="009716B6" w:rsidRPr="00DE096C" w:rsidRDefault="009716B6" w:rsidP="00D45A46">
      <w:pPr>
        <w:jc w:val="both"/>
        <w:rPr>
          <w:bCs/>
          <w:color w:val="002060"/>
          <w:sz w:val="16"/>
          <w:szCs w:val="16"/>
        </w:rPr>
      </w:pPr>
      <w:r w:rsidRPr="00DE096C">
        <w:rPr>
          <w:bCs/>
          <w:color w:val="002060"/>
          <w:sz w:val="16"/>
          <w:szCs w:val="16"/>
        </w:rPr>
        <w:t xml:space="preserve">Надо отметить, что заводы не всегда могли работать на полную свою мощность, так как сплошь и рядом каменный уголь для коксования доставлялся не по адресу, а именно: на печи без улавливания продуктов коксования, а печи с улавливанием месяцами стояли, не имея что коксовать. </w:t>
      </w:r>
    </w:p>
    <w:p w14:paraId="4EBD352C" w14:textId="77777777" w:rsidR="009716B6" w:rsidRPr="00DE096C" w:rsidRDefault="009716B6" w:rsidP="00D45A46">
      <w:pPr>
        <w:jc w:val="both"/>
        <w:rPr>
          <w:bCs/>
          <w:color w:val="002060"/>
          <w:sz w:val="16"/>
          <w:szCs w:val="16"/>
        </w:rPr>
      </w:pPr>
      <w:r w:rsidRPr="00DE096C">
        <w:rPr>
          <w:bCs/>
          <w:color w:val="002060"/>
          <w:sz w:val="16"/>
          <w:szCs w:val="16"/>
        </w:rPr>
        <w:t xml:space="preserve">В итоге мероприятий по развитию коксобензольного дела удалось в 7-8 раз увеличить количество печей, могущих давать полностью все продукты сухой перегонки каменного угля. </w:t>
      </w:r>
    </w:p>
    <w:p w14:paraId="4BADBB84" w14:textId="77777777" w:rsidR="009716B6" w:rsidRPr="00DE096C" w:rsidRDefault="009716B6" w:rsidP="00D45A46">
      <w:pPr>
        <w:jc w:val="both"/>
        <w:rPr>
          <w:bCs/>
          <w:color w:val="002060"/>
          <w:sz w:val="16"/>
          <w:szCs w:val="16"/>
        </w:rPr>
      </w:pPr>
      <w:r w:rsidRPr="00DE096C">
        <w:rPr>
          <w:bCs/>
          <w:color w:val="002060"/>
          <w:sz w:val="16"/>
          <w:szCs w:val="16"/>
        </w:rPr>
        <w:t xml:space="preserve">Затем, Комиссией Ипатьева были произведены крупные работы по организации заводов для ректификации продуктов коксования угля. </w:t>
      </w:r>
    </w:p>
    <w:p w14:paraId="62FF8B52" w14:textId="77777777" w:rsidR="009716B6" w:rsidRPr="00DE096C" w:rsidRDefault="009716B6" w:rsidP="00D45A46">
      <w:pPr>
        <w:jc w:val="both"/>
        <w:rPr>
          <w:bCs/>
          <w:color w:val="002060"/>
          <w:sz w:val="16"/>
          <w:szCs w:val="16"/>
        </w:rPr>
      </w:pPr>
      <w:r w:rsidRPr="00DE096C">
        <w:rPr>
          <w:bCs/>
          <w:color w:val="002060"/>
          <w:sz w:val="16"/>
          <w:szCs w:val="16"/>
        </w:rPr>
        <w:t xml:space="preserve">До войны, получаемые на Юге небольшие количества сырого бензола фракционировалось на 90%-ный бензол, 50%-ный бензол и сольвентнафта, без выделения чистых продуктов — бензола, толуола и ксилола. Между тем для фабрикации взрывчатых веществ требовались именно эти продукты. </w:t>
      </w:r>
    </w:p>
    <w:p w14:paraId="0090B6DD" w14:textId="77777777" w:rsidR="009716B6" w:rsidRPr="00DE096C" w:rsidRDefault="009716B6" w:rsidP="00D45A46">
      <w:pPr>
        <w:jc w:val="both"/>
        <w:rPr>
          <w:bCs/>
          <w:color w:val="002060"/>
          <w:sz w:val="16"/>
          <w:szCs w:val="16"/>
        </w:rPr>
      </w:pPr>
      <w:r w:rsidRPr="00DE096C">
        <w:rPr>
          <w:bCs/>
          <w:color w:val="002060"/>
          <w:sz w:val="16"/>
          <w:szCs w:val="16"/>
        </w:rPr>
        <w:t xml:space="preserve">В начале деятельности Химического комитета сырой бензол, получаемый в Донбассе, направлялся в Петроград для фракционировки на Тентелевском химическом заводе, после чего полученный чистый толуол отправлялся для нитрования в Самарский завод взрывчатых веществ, а чистый бензол — обратно на Юг для выработки пикриновой кислоты, на завод Сольвей. </w:t>
      </w:r>
    </w:p>
    <w:p w14:paraId="4AC3E93E" w14:textId="77777777" w:rsidR="009716B6" w:rsidRPr="00DE096C" w:rsidRDefault="009716B6" w:rsidP="00D45A46">
      <w:pPr>
        <w:jc w:val="both"/>
        <w:rPr>
          <w:bCs/>
          <w:color w:val="002060"/>
          <w:sz w:val="16"/>
          <w:szCs w:val="16"/>
        </w:rPr>
      </w:pPr>
      <w:r w:rsidRPr="00DE096C">
        <w:rPr>
          <w:bCs/>
          <w:color w:val="002060"/>
          <w:sz w:val="16"/>
          <w:szCs w:val="16"/>
        </w:rPr>
        <w:t xml:space="preserve">Так как Тентелевский завод не справлялся с фракционировкой, за малой производительностью аппаратов, то было произведено переоборудование Гутуевского спиртоочистительного завода для фракционировки бензола. </w:t>
      </w:r>
    </w:p>
    <w:p w14:paraId="58D7C8C3" w14:textId="77777777" w:rsidR="009716B6" w:rsidRPr="00DE096C" w:rsidRDefault="009716B6" w:rsidP="00D45A46">
      <w:pPr>
        <w:jc w:val="both"/>
        <w:rPr>
          <w:bCs/>
          <w:color w:val="002060"/>
          <w:sz w:val="16"/>
          <w:szCs w:val="16"/>
        </w:rPr>
      </w:pPr>
      <w:r w:rsidRPr="00DE096C">
        <w:rPr>
          <w:bCs/>
          <w:color w:val="002060"/>
          <w:sz w:val="16"/>
          <w:szCs w:val="16"/>
        </w:rPr>
        <w:t xml:space="preserve">Ввиду указанных обстоятельств для фракционирования бензола Комиссией по заготовке взрывчатых веществ была предпринята постройка казенного ректификационного завода в Кадиевке с производительностью 500 000 пудов в год, считая на сырой бензол. </w:t>
      </w:r>
    </w:p>
    <w:p w14:paraId="693DD2F4" w14:textId="77777777" w:rsidR="009716B6" w:rsidRPr="00DE096C" w:rsidRDefault="009716B6" w:rsidP="00D45A46">
      <w:pPr>
        <w:jc w:val="both"/>
        <w:rPr>
          <w:bCs/>
          <w:color w:val="002060"/>
          <w:sz w:val="16"/>
          <w:szCs w:val="16"/>
        </w:rPr>
      </w:pPr>
      <w:r w:rsidRPr="00DE096C">
        <w:rPr>
          <w:bCs/>
          <w:color w:val="002060"/>
          <w:sz w:val="16"/>
          <w:szCs w:val="16"/>
        </w:rPr>
        <w:t xml:space="preserve">Независимо от этого, по поручению Комиссии профессора Ипатьева были поставлены ректификационные оборудования частными фирмами — Оливье Пьетт в Макеевке, Эванс Коппе при Новосмоляниновском руднике в Юзовке, Брянским обществом в Орловской губернии и Обществом Коксобензол при ст. Рубежной (начато постройкой). </w:t>
      </w:r>
    </w:p>
    <w:p w14:paraId="03D2CCFC" w14:textId="77777777" w:rsidR="009716B6" w:rsidRPr="00DE096C" w:rsidRDefault="009716B6" w:rsidP="00D45A46">
      <w:pPr>
        <w:jc w:val="both"/>
        <w:rPr>
          <w:bCs/>
          <w:color w:val="002060"/>
          <w:sz w:val="16"/>
          <w:szCs w:val="16"/>
        </w:rPr>
      </w:pPr>
      <w:r w:rsidRPr="00DE096C">
        <w:rPr>
          <w:bCs/>
          <w:color w:val="002060"/>
          <w:sz w:val="16"/>
          <w:szCs w:val="16"/>
        </w:rPr>
        <w:lastRenderedPageBreak/>
        <w:t xml:space="preserve">Ввиду того, что производство каменноугольного толуола в Донецком бассейне не могло быстро развернуться в таком масштабе, чтобы покрывать всю потребность войны, Комиссия Ипатьева озаботилась изысканием других источников получения толуола. Было обращено внимание на бензины, содержащие большой процент толуола. </w:t>
      </w:r>
    </w:p>
    <w:p w14:paraId="490E9A11" w14:textId="77777777" w:rsidR="009716B6" w:rsidRPr="00DE096C" w:rsidRDefault="009716B6" w:rsidP="00D45A46">
      <w:pPr>
        <w:jc w:val="both"/>
        <w:rPr>
          <w:bCs/>
          <w:color w:val="002060"/>
          <w:sz w:val="16"/>
          <w:szCs w:val="16"/>
        </w:rPr>
      </w:pPr>
      <w:r w:rsidRPr="00DE096C">
        <w:rPr>
          <w:bCs/>
          <w:color w:val="002060"/>
          <w:sz w:val="16"/>
          <w:szCs w:val="16"/>
        </w:rPr>
        <w:t xml:space="preserve">Большие и ценные в научном отношении работы по этому вопросу сделаны были химиком Центральной научно-технической лаборатории военного ведомства Н.П. Андреевым. Предположено было первоначально добывать толуол из галицийской нефти, где процент его очень высок. Отступление русских войск из Галиции в 1915 г. не позволило сделать этого. Тогда были произведены исследования бензинов Майкопских и Грозненских месторождений, давшие вполне благоприятные результаты. После этого было решено строить заводы для извлечения толуола из бензинов. Дело было поручено строительной Комиссии под председательством В.Н. Ипатьева. </w:t>
      </w:r>
    </w:p>
    <w:p w14:paraId="503952B2" w14:textId="77777777" w:rsidR="009716B6" w:rsidRPr="00DE096C" w:rsidRDefault="009716B6" w:rsidP="00D45A46">
      <w:pPr>
        <w:jc w:val="both"/>
        <w:rPr>
          <w:bCs/>
          <w:color w:val="002060"/>
          <w:sz w:val="16"/>
          <w:szCs w:val="16"/>
        </w:rPr>
      </w:pPr>
      <w:r w:rsidRPr="00DE096C">
        <w:rPr>
          <w:bCs/>
          <w:color w:val="002060"/>
          <w:sz w:val="16"/>
          <w:szCs w:val="16"/>
        </w:rPr>
        <w:t xml:space="preserve">Первый такой завод построен был в Екатеринодаре, около Майкопских нефтеперегонных заводов. В 1916 г. он давал уже до 2000 пудов в месяц монотринитротолуола, получаемого обработкой нитрующей смесью фракции бензина, содержащей 15-20% толуола. Монопродукт отправлялся для донитрования в Самарский завод взрывчатых веществ. </w:t>
      </w:r>
    </w:p>
    <w:p w14:paraId="42264C4F" w14:textId="77777777" w:rsidR="009716B6" w:rsidRPr="00DE096C" w:rsidRDefault="009716B6" w:rsidP="00D45A46">
      <w:pPr>
        <w:jc w:val="both"/>
        <w:rPr>
          <w:bCs/>
          <w:color w:val="002060"/>
          <w:sz w:val="16"/>
          <w:szCs w:val="16"/>
        </w:rPr>
      </w:pPr>
      <w:r w:rsidRPr="00DE096C">
        <w:rPr>
          <w:bCs/>
          <w:color w:val="002060"/>
          <w:sz w:val="16"/>
          <w:szCs w:val="16"/>
        </w:rPr>
        <w:t xml:space="preserve">В Грозном на заводах "Русский Стандарт" и Ахвердова были сделаны крупные ректификационные установки для получения толуола из лигроина, с производительностью до 4000 пудов в месяц. Производство было начато в начале 1917 года. </w:t>
      </w:r>
    </w:p>
    <w:p w14:paraId="524A3DC7" w14:textId="77777777" w:rsidR="009716B6" w:rsidRPr="00DE096C" w:rsidRDefault="009716B6" w:rsidP="00D45A46">
      <w:pPr>
        <w:jc w:val="both"/>
        <w:rPr>
          <w:bCs/>
          <w:color w:val="002060"/>
          <w:sz w:val="16"/>
          <w:szCs w:val="16"/>
        </w:rPr>
      </w:pPr>
      <w:r w:rsidRPr="00DE096C">
        <w:rPr>
          <w:bCs/>
          <w:color w:val="002060"/>
          <w:sz w:val="16"/>
          <w:szCs w:val="16"/>
        </w:rPr>
        <w:t xml:space="preserve">Независимо от получения толуола указанным путем, с начала 1915 г. велись деятельные опыты над разложением нефти при высоких температурах по методам, предложенным химиком Никифоровым. Опыты велись проф. Тихвинским, Зелинским и Лебедевым, а также в Научно-технической лаборатории военного ведомства. К концу 1915 г. имелось уже достаточно материалов, чтобы ставить заводское производство. Первые заводские опыты были поставлены Комиссией Ипатьева на газовом заводе казанской городской управы и там же было поставлено первое валовое производство ароматических углеводородов на небольшую производительность — около 1000 пудов в месяц. </w:t>
      </w:r>
    </w:p>
    <w:p w14:paraId="0530D549" w14:textId="77777777" w:rsidR="009716B6" w:rsidRPr="00DE096C" w:rsidRDefault="009716B6" w:rsidP="00D45A46">
      <w:pPr>
        <w:jc w:val="both"/>
        <w:rPr>
          <w:bCs/>
          <w:color w:val="002060"/>
          <w:sz w:val="16"/>
          <w:szCs w:val="16"/>
        </w:rPr>
      </w:pPr>
      <w:r w:rsidRPr="00DE096C">
        <w:rPr>
          <w:bCs/>
          <w:color w:val="002060"/>
          <w:sz w:val="16"/>
          <w:szCs w:val="16"/>
        </w:rPr>
        <w:t xml:space="preserve">Вопросом получения толуола из нефти пирогенетическим путем занимался деятельно и Военно-промышленный комитет. Бакинский ВПК взял на себя постройку для этой цели завода в Баку. Предварительный проект был составлен проф. П. Кошицем, Смоленским и Громаном. Завод был рассчитан на производство 4000 пудов и к осени 1916 г. был пущен уже в ход. </w:t>
      </w:r>
    </w:p>
    <w:p w14:paraId="3D730AC4" w14:textId="77777777" w:rsidR="009716B6" w:rsidRPr="00DE096C" w:rsidRDefault="009716B6" w:rsidP="00D45A46">
      <w:pPr>
        <w:jc w:val="both"/>
        <w:rPr>
          <w:bCs/>
          <w:color w:val="002060"/>
          <w:sz w:val="16"/>
          <w:szCs w:val="16"/>
        </w:rPr>
      </w:pPr>
      <w:r w:rsidRPr="00DE096C">
        <w:rPr>
          <w:bCs/>
          <w:color w:val="002060"/>
          <w:sz w:val="16"/>
          <w:szCs w:val="16"/>
        </w:rPr>
        <w:t xml:space="preserve">Одновременно с бакинским ВПК была начата постройка трех заводов для получения ароматических углеводородов из нефти фирмами: Бр. Нобель, Бенкендорф и Нефтегаз. Из них только первая выполнила задачу вовремя. Другие две закончили постройку к самому концу войны. </w:t>
      </w:r>
    </w:p>
    <w:p w14:paraId="0170D25B" w14:textId="77777777" w:rsidR="009716B6" w:rsidRPr="00DE096C" w:rsidRDefault="009716B6" w:rsidP="00D45A46">
      <w:pPr>
        <w:jc w:val="both"/>
        <w:rPr>
          <w:bCs/>
          <w:color w:val="002060"/>
          <w:sz w:val="16"/>
          <w:szCs w:val="16"/>
        </w:rPr>
      </w:pPr>
      <w:r w:rsidRPr="00DE096C">
        <w:rPr>
          <w:bCs/>
          <w:color w:val="002060"/>
          <w:sz w:val="16"/>
          <w:szCs w:val="16"/>
        </w:rPr>
        <w:t xml:space="preserve">В итоге за время войны было изготовлено пирогенетического толуола до 150 000 пудов и была создана таким образом новая отрасль химической промышленности. </w:t>
      </w:r>
    </w:p>
    <w:p w14:paraId="604295AB" w14:textId="77777777" w:rsidR="009716B6" w:rsidRPr="00DE096C" w:rsidRDefault="009716B6" w:rsidP="00D45A46">
      <w:pPr>
        <w:jc w:val="both"/>
        <w:rPr>
          <w:bCs/>
          <w:color w:val="002060"/>
          <w:sz w:val="16"/>
          <w:szCs w:val="16"/>
        </w:rPr>
      </w:pPr>
      <w:r w:rsidRPr="00DE096C">
        <w:rPr>
          <w:bCs/>
          <w:color w:val="002060"/>
          <w:sz w:val="16"/>
          <w:szCs w:val="16"/>
        </w:rPr>
        <w:t xml:space="preserve">Суммарное получение чистого бензола и [чистого] толуола всеми перечисленными методами (каменноугольного и нефтяного) выражается в следующих цифрах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837"/>
        <w:gridCol w:w="636"/>
        <w:gridCol w:w="641"/>
        <w:gridCol w:w="636"/>
        <w:gridCol w:w="641"/>
      </w:tblGrid>
      <w:tr w:rsidR="009716B6" w:rsidRPr="00DE096C" w14:paraId="59EEAA2F" w14:textId="77777777" w:rsidTr="00D34AC1">
        <w:tc>
          <w:tcPr>
            <w:tcW w:w="837" w:type="dxa"/>
          </w:tcPr>
          <w:p w14:paraId="7574AC31" w14:textId="77777777" w:rsidR="009716B6" w:rsidRPr="00DE096C" w:rsidRDefault="009716B6" w:rsidP="00D45A46">
            <w:pPr>
              <w:jc w:val="both"/>
              <w:rPr>
                <w:bCs/>
                <w:color w:val="002060"/>
                <w:sz w:val="16"/>
                <w:szCs w:val="16"/>
              </w:rPr>
            </w:pPr>
            <w:r w:rsidRPr="00DE096C">
              <w:rPr>
                <w:bCs/>
                <w:color w:val="002060"/>
                <w:sz w:val="16"/>
                <w:szCs w:val="16"/>
              </w:rPr>
              <w:t> </w:t>
            </w:r>
          </w:p>
        </w:tc>
        <w:tc>
          <w:tcPr>
            <w:tcW w:w="1277" w:type="dxa"/>
            <w:gridSpan w:val="2"/>
          </w:tcPr>
          <w:p w14:paraId="17FECEC3" w14:textId="77777777" w:rsidR="009716B6" w:rsidRPr="00DE096C" w:rsidRDefault="009716B6" w:rsidP="00D45A46">
            <w:pPr>
              <w:jc w:val="both"/>
              <w:rPr>
                <w:bCs/>
                <w:color w:val="002060"/>
                <w:sz w:val="16"/>
                <w:szCs w:val="16"/>
              </w:rPr>
            </w:pPr>
            <w:r w:rsidRPr="00DE096C">
              <w:rPr>
                <w:bCs/>
                <w:color w:val="002060"/>
                <w:sz w:val="16"/>
                <w:szCs w:val="16"/>
              </w:rPr>
              <w:t>1916 год</w:t>
            </w:r>
          </w:p>
        </w:tc>
        <w:tc>
          <w:tcPr>
            <w:tcW w:w="1277" w:type="dxa"/>
            <w:gridSpan w:val="2"/>
          </w:tcPr>
          <w:p w14:paraId="254EC52A" w14:textId="77777777" w:rsidR="009716B6" w:rsidRPr="00DE096C" w:rsidRDefault="009716B6" w:rsidP="00D45A46">
            <w:pPr>
              <w:jc w:val="both"/>
              <w:rPr>
                <w:bCs/>
                <w:color w:val="002060"/>
                <w:sz w:val="16"/>
                <w:szCs w:val="16"/>
              </w:rPr>
            </w:pPr>
            <w:r w:rsidRPr="00DE096C">
              <w:rPr>
                <w:bCs/>
                <w:color w:val="002060"/>
                <w:sz w:val="16"/>
                <w:szCs w:val="16"/>
              </w:rPr>
              <w:t>1917 год</w:t>
            </w:r>
          </w:p>
        </w:tc>
      </w:tr>
      <w:tr w:rsidR="009716B6" w:rsidRPr="00DE096C" w14:paraId="7D30C820" w14:textId="77777777" w:rsidTr="00D34AC1">
        <w:tc>
          <w:tcPr>
            <w:tcW w:w="837" w:type="dxa"/>
          </w:tcPr>
          <w:p w14:paraId="3403A351" w14:textId="77777777" w:rsidR="009716B6" w:rsidRPr="00DE096C" w:rsidRDefault="009716B6" w:rsidP="00D45A46">
            <w:pPr>
              <w:jc w:val="both"/>
              <w:rPr>
                <w:bCs/>
                <w:color w:val="002060"/>
                <w:sz w:val="16"/>
                <w:szCs w:val="16"/>
              </w:rPr>
            </w:pPr>
            <w:r w:rsidRPr="00DE096C">
              <w:rPr>
                <w:bCs/>
                <w:color w:val="002060"/>
                <w:sz w:val="16"/>
                <w:szCs w:val="16"/>
              </w:rPr>
              <w:t>Месяцы</w:t>
            </w:r>
          </w:p>
        </w:tc>
        <w:tc>
          <w:tcPr>
            <w:tcW w:w="636" w:type="dxa"/>
          </w:tcPr>
          <w:p w14:paraId="0A9D36E4" w14:textId="77777777" w:rsidR="009716B6" w:rsidRPr="00DE096C" w:rsidRDefault="009716B6" w:rsidP="00D45A46">
            <w:pPr>
              <w:jc w:val="both"/>
              <w:rPr>
                <w:bCs/>
                <w:color w:val="002060"/>
                <w:sz w:val="16"/>
                <w:szCs w:val="16"/>
              </w:rPr>
            </w:pPr>
            <w:r w:rsidRPr="00DE096C">
              <w:rPr>
                <w:bCs/>
                <w:color w:val="002060"/>
                <w:sz w:val="16"/>
                <w:szCs w:val="16"/>
              </w:rPr>
              <w:t>Бензол</w:t>
            </w:r>
          </w:p>
        </w:tc>
        <w:tc>
          <w:tcPr>
            <w:tcW w:w="641" w:type="dxa"/>
          </w:tcPr>
          <w:p w14:paraId="4C4F81D9" w14:textId="77777777" w:rsidR="009716B6" w:rsidRPr="00DE096C" w:rsidRDefault="009716B6" w:rsidP="00D45A46">
            <w:pPr>
              <w:jc w:val="both"/>
              <w:rPr>
                <w:bCs/>
                <w:color w:val="002060"/>
                <w:sz w:val="16"/>
                <w:szCs w:val="16"/>
              </w:rPr>
            </w:pPr>
            <w:r w:rsidRPr="00DE096C">
              <w:rPr>
                <w:bCs/>
                <w:color w:val="002060"/>
                <w:sz w:val="16"/>
                <w:szCs w:val="16"/>
              </w:rPr>
              <w:t>Толуол</w:t>
            </w:r>
          </w:p>
        </w:tc>
        <w:tc>
          <w:tcPr>
            <w:tcW w:w="636" w:type="dxa"/>
          </w:tcPr>
          <w:p w14:paraId="21354471" w14:textId="77777777" w:rsidR="009716B6" w:rsidRPr="00DE096C" w:rsidRDefault="009716B6" w:rsidP="00D45A46">
            <w:pPr>
              <w:jc w:val="both"/>
              <w:rPr>
                <w:bCs/>
                <w:color w:val="002060"/>
                <w:sz w:val="16"/>
                <w:szCs w:val="16"/>
              </w:rPr>
            </w:pPr>
            <w:r w:rsidRPr="00DE096C">
              <w:rPr>
                <w:bCs/>
                <w:color w:val="002060"/>
                <w:sz w:val="16"/>
                <w:szCs w:val="16"/>
              </w:rPr>
              <w:t xml:space="preserve">Бензол </w:t>
            </w:r>
          </w:p>
        </w:tc>
        <w:tc>
          <w:tcPr>
            <w:tcW w:w="641" w:type="dxa"/>
          </w:tcPr>
          <w:p w14:paraId="138F5807" w14:textId="77777777" w:rsidR="009716B6" w:rsidRPr="00DE096C" w:rsidRDefault="009716B6" w:rsidP="00D45A46">
            <w:pPr>
              <w:jc w:val="both"/>
              <w:rPr>
                <w:bCs/>
                <w:color w:val="002060"/>
                <w:sz w:val="16"/>
                <w:szCs w:val="16"/>
              </w:rPr>
            </w:pPr>
            <w:r w:rsidRPr="00DE096C">
              <w:rPr>
                <w:bCs/>
                <w:color w:val="002060"/>
                <w:sz w:val="16"/>
                <w:szCs w:val="16"/>
              </w:rPr>
              <w:t>Толуол</w:t>
            </w:r>
          </w:p>
        </w:tc>
      </w:tr>
      <w:tr w:rsidR="009716B6" w:rsidRPr="00DE096C" w14:paraId="76C0494F" w14:textId="77777777" w:rsidTr="00D34AC1">
        <w:tc>
          <w:tcPr>
            <w:tcW w:w="837" w:type="dxa"/>
          </w:tcPr>
          <w:p w14:paraId="537A6DAF" w14:textId="77777777" w:rsidR="009716B6" w:rsidRPr="00DE096C" w:rsidRDefault="009716B6" w:rsidP="00D45A46">
            <w:pPr>
              <w:jc w:val="both"/>
              <w:rPr>
                <w:bCs/>
                <w:color w:val="002060"/>
                <w:sz w:val="16"/>
                <w:szCs w:val="16"/>
              </w:rPr>
            </w:pPr>
            <w:r w:rsidRPr="00DE096C">
              <w:rPr>
                <w:bCs/>
                <w:color w:val="002060"/>
                <w:sz w:val="16"/>
                <w:szCs w:val="16"/>
              </w:rPr>
              <w:t>Январь</w:t>
            </w:r>
          </w:p>
        </w:tc>
        <w:tc>
          <w:tcPr>
            <w:tcW w:w="636" w:type="dxa"/>
          </w:tcPr>
          <w:p w14:paraId="1ACEA85F" w14:textId="77777777" w:rsidR="009716B6" w:rsidRPr="00DE096C" w:rsidRDefault="009716B6" w:rsidP="00D45A46">
            <w:pPr>
              <w:jc w:val="both"/>
              <w:rPr>
                <w:bCs/>
                <w:color w:val="002060"/>
                <w:sz w:val="16"/>
                <w:szCs w:val="16"/>
              </w:rPr>
            </w:pPr>
            <w:r w:rsidRPr="00DE096C">
              <w:rPr>
                <w:bCs/>
                <w:color w:val="002060"/>
                <w:sz w:val="16"/>
                <w:szCs w:val="16"/>
              </w:rPr>
              <w:t>13,6</w:t>
            </w:r>
          </w:p>
        </w:tc>
        <w:tc>
          <w:tcPr>
            <w:tcW w:w="641" w:type="dxa"/>
          </w:tcPr>
          <w:p w14:paraId="051DF72B" w14:textId="77777777" w:rsidR="009716B6" w:rsidRPr="00DE096C" w:rsidRDefault="009716B6" w:rsidP="00D45A46">
            <w:pPr>
              <w:jc w:val="both"/>
              <w:rPr>
                <w:bCs/>
                <w:color w:val="002060"/>
                <w:sz w:val="16"/>
                <w:szCs w:val="16"/>
              </w:rPr>
            </w:pPr>
            <w:r w:rsidRPr="00DE096C">
              <w:rPr>
                <w:bCs/>
                <w:color w:val="002060"/>
                <w:sz w:val="16"/>
                <w:szCs w:val="16"/>
              </w:rPr>
              <w:t>10,9</w:t>
            </w:r>
          </w:p>
        </w:tc>
        <w:tc>
          <w:tcPr>
            <w:tcW w:w="636" w:type="dxa"/>
          </w:tcPr>
          <w:p w14:paraId="699FD801" w14:textId="77777777" w:rsidR="009716B6" w:rsidRPr="00DE096C" w:rsidRDefault="009716B6" w:rsidP="00D45A46">
            <w:pPr>
              <w:jc w:val="both"/>
              <w:rPr>
                <w:bCs/>
                <w:color w:val="002060"/>
                <w:sz w:val="16"/>
                <w:szCs w:val="16"/>
              </w:rPr>
            </w:pPr>
            <w:r w:rsidRPr="00DE096C">
              <w:rPr>
                <w:bCs/>
                <w:color w:val="002060"/>
                <w:sz w:val="16"/>
                <w:szCs w:val="16"/>
              </w:rPr>
              <w:t xml:space="preserve">20,0 </w:t>
            </w:r>
          </w:p>
        </w:tc>
        <w:tc>
          <w:tcPr>
            <w:tcW w:w="641" w:type="dxa"/>
          </w:tcPr>
          <w:p w14:paraId="342E7EB9" w14:textId="77777777" w:rsidR="009716B6" w:rsidRPr="00DE096C" w:rsidRDefault="009716B6" w:rsidP="00D45A46">
            <w:pPr>
              <w:jc w:val="both"/>
              <w:rPr>
                <w:bCs/>
                <w:color w:val="002060"/>
                <w:sz w:val="16"/>
                <w:szCs w:val="16"/>
              </w:rPr>
            </w:pPr>
            <w:r w:rsidRPr="00DE096C">
              <w:rPr>
                <w:bCs/>
                <w:color w:val="002060"/>
                <w:sz w:val="16"/>
                <w:szCs w:val="16"/>
              </w:rPr>
              <w:t>16,8</w:t>
            </w:r>
          </w:p>
        </w:tc>
      </w:tr>
      <w:tr w:rsidR="009716B6" w:rsidRPr="00DE096C" w14:paraId="692BD9FB" w14:textId="77777777" w:rsidTr="00D34AC1">
        <w:tc>
          <w:tcPr>
            <w:tcW w:w="837" w:type="dxa"/>
          </w:tcPr>
          <w:p w14:paraId="49C94E30" w14:textId="77777777" w:rsidR="009716B6" w:rsidRPr="00DE096C" w:rsidRDefault="009716B6" w:rsidP="00D45A46">
            <w:pPr>
              <w:jc w:val="both"/>
              <w:rPr>
                <w:bCs/>
                <w:color w:val="002060"/>
                <w:sz w:val="16"/>
                <w:szCs w:val="16"/>
              </w:rPr>
            </w:pPr>
            <w:r w:rsidRPr="00DE096C">
              <w:rPr>
                <w:bCs/>
                <w:color w:val="002060"/>
                <w:sz w:val="16"/>
                <w:szCs w:val="16"/>
              </w:rPr>
              <w:t>Февраль</w:t>
            </w:r>
          </w:p>
        </w:tc>
        <w:tc>
          <w:tcPr>
            <w:tcW w:w="636" w:type="dxa"/>
          </w:tcPr>
          <w:p w14:paraId="4AC97642" w14:textId="77777777" w:rsidR="009716B6" w:rsidRPr="00DE096C" w:rsidRDefault="009716B6" w:rsidP="00D45A46">
            <w:pPr>
              <w:jc w:val="both"/>
              <w:rPr>
                <w:bCs/>
                <w:color w:val="002060"/>
                <w:sz w:val="16"/>
                <w:szCs w:val="16"/>
              </w:rPr>
            </w:pPr>
            <w:r w:rsidRPr="00DE096C">
              <w:rPr>
                <w:bCs/>
                <w:color w:val="002060"/>
                <w:sz w:val="16"/>
                <w:szCs w:val="16"/>
              </w:rPr>
              <w:t>13,3</w:t>
            </w:r>
          </w:p>
        </w:tc>
        <w:tc>
          <w:tcPr>
            <w:tcW w:w="641" w:type="dxa"/>
          </w:tcPr>
          <w:p w14:paraId="2DCA8E41" w14:textId="77777777" w:rsidR="009716B6" w:rsidRPr="00DE096C" w:rsidRDefault="009716B6" w:rsidP="00D45A46">
            <w:pPr>
              <w:jc w:val="both"/>
              <w:rPr>
                <w:bCs/>
                <w:color w:val="002060"/>
                <w:sz w:val="16"/>
                <w:szCs w:val="16"/>
              </w:rPr>
            </w:pPr>
            <w:r w:rsidRPr="00DE096C">
              <w:rPr>
                <w:bCs/>
                <w:color w:val="002060"/>
                <w:sz w:val="16"/>
                <w:szCs w:val="16"/>
              </w:rPr>
              <w:t>10,5</w:t>
            </w:r>
          </w:p>
        </w:tc>
        <w:tc>
          <w:tcPr>
            <w:tcW w:w="636" w:type="dxa"/>
          </w:tcPr>
          <w:p w14:paraId="4EC02A01" w14:textId="77777777" w:rsidR="009716B6" w:rsidRPr="00DE096C" w:rsidRDefault="009716B6" w:rsidP="00D45A46">
            <w:pPr>
              <w:jc w:val="both"/>
              <w:rPr>
                <w:bCs/>
                <w:color w:val="002060"/>
                <w:sz w:val="16"/>
                <w:szCs w:val="16"/>
              </w:rPr>
            </w:pPr>
            <w:r w:rsidRPr="00DE096C">
              <w:rPr>
                <w:bCs/>
                <w:color w:val="002060"/>
                <w:sz w:val="16"/>
                <w:szCs w:val="16"/>
              </w:rPr>
              <w:t xml:space="preserve">23,5 </w:t>
            </w:r>
          </w:p>
        </w:tc>
        <w:tc>
          <w:tcPr>
            <w:tcW w:w="641" w:type="dxa"/>
          </w:tcPr>
          <w:p w14:paraId="3D1852C3" w14:textId="77777777" w:rsidR="009716B6" w:rsidRPr="00DE096C" w:rsidRDefault="009716B6" w:rsidP="00D45A46">
            <w:pPr>
              <w:jc w:val="both"/>
              <w:rPr>
                <w:bCs/>
                <w:color w:val="002060"/>
                <w:sz w:val="16"/>
                <w:szCs w:val="16"/>
              </w:rPr>
            </w:pPr>
            <w:r w:rsidRPr="00DE096C">
              <w:rPr>
                <w:bCs/>
                <w:color w:val="002060"/>
                <w:sz w:val="16"/>
                <w:szCs w:val="16"/>
              </w:rPr>
              <w:t>19,1</w:t>
            </w:r>
          </w:p>
        </w:tc>
      </w:tr>
      <w:tr w:rsidR="009716B6" w:rsidRPr="00DE096C" w14:paraId="13E3EFD5" w14:textId="77777777" w:rsidTr="00D34AC1">
        <w:tc>
          <w:tcPr>
            <w:tcW w:w="837" w:type="dxa"/>
          </w:tcPr>
          <w:p w14:paraId="5256558A" w14:textId="77777777" w:rsidR="009716B6" w:rsidRPr="00DE096C" w:rsidRDefault="009716B6" w:rsidP="00D45A46">
            <w:pPr>
              <w:jc w:val="both"/>
              <w:rPr>
                <w:bCs/>
                <w:color w:val="002060"/>
                <w:sz w:val="16"/>
                <w:szCs w:val="16"/>
              </w:rPr>
            </w:pPr>
            <w:r w:rsidRPr="00DE096C">
              <w:rPr>
                <w:bCs/>
                <w:color w:val="002060"/>
                <w:sz w:val="16"/>
                <w:szCs w:val="16"/>
              </w:rPr>
              <w:t>Март</w:t>
            </w:r>
          </w:p>
        </w:tc>
        <w:tc>
          <w:tcPr>
            <w:tcW w:w="636" w:type="dxa"/>
          </w:tcPr>
          <w:p w14:paraId="551C636D" w14:textId="77777777" w:rsidR="009716B6" w:rsidRPr="00DE096C" w:rsidRDefault="009716B6" w:rsidP="00D45A46">
            <w:pPr>
              <w:jc w:val="both"/>
              <w:rPr>
                <w:bCs/>
                <w:color w:val="002060"/>
                <w:sz w:val="16"/>
                <w:szCs w:val="16"/>
              </w:rPr>
            </w:pPr>
            <w:r w:rsidRPr="00DE096C">
              <w:rPr>
                <w:bCs/>
                <w:color w:val="002060"/>
                <w:sz w:val="16"/>
                <w:szCs w:val="16"/>
              </w:rPr>
              <w:t>14,2</w:t>
            </w:r>
          </w:p>
        </w:tc>
        <w:tc>
          <w:tcPr>
            <w:tcW w:w="641" w:type="dxa"/>
          </w:tcPr>
          <w:p w14:paraId="3D1F33B3" w14:textId="77777777" w:rsidR="009716B6" w:rsidRPr="00DE096C" w:rsidRDefault="009716B6" w:rsidP="00D45A46">
            <w:pPr>
              <w:jc w:val="both"/>
              <w:rPr>
                <w:bCs/>
                <w:color w:val="002060"/>
                <w:sz w:val="16"/>
                <w:szCs w:val="16"/>
              </w:rPr>
            </w:pPr>
            <w:r w:rsidRPr="00DE096C">
              <w:rPr>
                <w:bCs/>
                <w:color w:val="002060"/>
                <w:sz w:val="16"/>
                <w:szCs w:val="16"/>
              </w:rPr>
              <w:t>11,4</w:t>
            </w:r>
          </w:p>
        </w:tc>
        <w:tc>
          <w:tcPr>
            <w:tcW w:w="636" w:type="dxa"/>
          </w:tcPr>
          <w:p w14:paraId="710F3177" w14:textId="77777777" w:rsidR="009716B6" w:rsidRPr="00DE096C" w:rsidRDefault="009716B6" w:rsidP="00D45A46">
            <w:pPr>
              <w:jc w:val="both"/>
              <w:rPr>
                <w:bCs/>
                <w:color w:val="002060"/>
                <w:sz w:val="16"/>
                <w:szCs w:val="16"/>
              </w:rPr>
            </w:pPr>
            <w:r w:rsidRPr="00DE096C">
              <w:rPr>
                <w:bCs/>
                <w:color w:val="002060"/>
                <w:sz w:val="16"/>
                <w:szCs w:val="16"/>
              </w:rPr>
              <w:t xml:space="preserve">26,3 </w:t>
            </w:r>
          </w:p>
        </w:tc>
        <w:tc>
          <w:tcPr>
            <w:tcW w:w="641" w:type="dxa"/>
          </w:tcPr>
          <w:p w14:paraId="6EE9A175" w14:textId="77777777" w:rsidR="009716B6" w:rsidRPr="00DE096C" w:rsidRDefault="009716B6" w:rsidP="00D45A46">
            <w:pPr>
              <w:jc w:val="both"/>
              <w:rPr>
                <w:bCs/>
                <w:color w:val="002060"/>
                <w:sz w:val="16"/>
                <w:szCs w:val="16"/>
              </w:rPr>
            </w:pPr>
            <w:r w:rsidRPr="00DE096C">
              <w:rPr>
                <w:bCs/>
                <w:color w:val="002060"/>
                <w:sz w:val="16"/>
                <w:szCs w:val="16"/>
              </w:rPr>
              <w:t>21,6</w:t>
            </w:r>
          </w:p>
        </w:tc>
      </w:tr>
      <w:tr w:rsidR="009716B6" w:rsidRPr="00DE096C" w14:paraId="797EBCB9" w14:textId="77777777" w:rsidTr="00D34AC1">
        <w:tc>
          <w:tcPr>
            <w:tcW w:w="837" w:type="dxa"/>
          </w:tcPr>
          <w:p w14:paraId="2A746844" w14:textId="77777777" w:rsidR="009716B6" w:rsidRPr="00DE096C" w:rsidRDefault="009716B6" w:rsidP="00D45A46">
            <w:pPr>
              <w:jc w:val="both"/>
              <w:rPr>
                <w:bCs/>
                <w:color w:val="002060"/>
                <w:sz w:val="16"/>
                <w:szCs w:val="16"/>
              </w:rPr>
            </w:pPr>
            <w:r w:rsidRPr="00DE096C">
              <w:rPr>
                <w:bCs/>
                <w:color w:val="002060"/>
                <w:sz w:val="16"/>
                <w:szCs w:val="16"/>
              </w:rPr>
              <w:t>Апрель</w:t>
            </w:r>
          </w:p>
        </w:tc>
        <w:tc>
          <w:tcPr>
            <w:tcW w:w="636" w:type="dxa"/>
          </w:tcPr>
          <w:p w14:paraId="4ED0C0C9" w14:textId="77777777" w:rsidR="009716B6" w:rsidRPr="00DE096C" w:rsidRDefault="009716B6" w:rsidP="00D45A46">
            <w:pPr>
              <w:jc w:val="both"/>
              <w:rPr>
                <w:bCs/>
                <w:color w:val="002060"/>
                <w:sz w:val="16"/>
                <w:szCs w:val="16"/>
              </w:rPr>
            </w:pPr>
            <w:r w:rsidRPr="00DE096C">
              <w:rPr>
                <w:bCs/>
                <w:color w:val="002060"/>
                <w:sz w:val="16"/>
                <w:szCs w:val="16"/>
              </w:rPr>
              <w:t>13.5</w:t>
            </w:r>
          </w:p>
        </w:tc>
        <w:tc>
          <w:tcPr>
            <w:tcW w:w="641" w:type="dxa"/>
          </w:tcPr>
          <w:p w14:paraId="3980AED2" w14:textId="77777777" w:rsidR="009716B6" w:rsidRPr="00DE096C" w:rsidRDefault="009716B6" w:rsidP="00D45A46">
            <w:pPr>
              <w:jc w:val="both"/>
              <w:rPr>
                <w:bCs/>
                <w:color w:val="002060"/>
                <w:sz w:val="16"/>
                <w:szCs w:val="16"/>
              </w:rPr>
            </w:pPr>
            <w:r w:rsidRPr="00DE096C">
              <w:rPr>
                <w:bCs/>
                <w:color w:val="002060"/>
                <w:sz w:val="16"/>
                <w:szCs w:val="16"/>
              </w:rPr>
              <w:t>9,5</w:t>
            </w:r>
          </w:p>
        </w:tc>
        <w:tc>
          <w:tcPr>
            <w:tcW w:w="636" w:type="dxa"/>
          </w:tcPr>
          <w:p w14:paraId="18BF72ED" w14:textId="77777777" w:rsidR="009716B6" w:rsidRPr="00DE096C" w:rsidRDefault="009716B6" w:rsidP="00D45A46">
            <w:pPr>
              <w:jc w:val="both"/>
              <w:rPr>
                <w:bCs/>
                <w:color w:val="002060"/>
                <w:sz w:val="16"/>
                <w:szCs w:val="16"/>
              </w:rPr>
            </w:pPr>
            <w:r w:rsidRPr="00DE096C">
              <w:rPr>
                <w:bCs/>
                <w:color w:val="002060"/>
                <w:sz w:val="16"/>
                <w:szCs w:val="16"/>
              </w:rPr>
              <w:t>31,5</w:t>
            </w:r>
          </w:p>
        </w:tc>
        <w:tc>
          <w:tcPr>
            <w:tcW w:w="641" w:type="dxa"/>
          </w:tcPr>
          <w:p w14:paraId="03A8B043" w14:textId="77777777" w:rsidR="009716B6" w:rsidRPr="00DE096C" w:rsidRDefault="009716B6" w:rsidP="00D45A46">
            <w:pPr>
              <w:jc w:val="both"/>
              <w:rPr>
                <w:bCs/>
                <w:color w:val="002060"/>
                <w:sz w:val="16"/>
                <w:szCs w:val="16"/>
              </w:rPr>
            </w:pPr>
            <w:r w:rsidRPr="00DE096C">
              <w:rPr>
                <w:bCs/>
                <w:color w:val="002060"/>
                <w:sz w:val="16"/>
                <w:szCs w:val="16"/>
              </w:rPr>
              <w:t>26,3</w:t>
            </w:r>
          </w:p>
        </w:tc>
      </w:tr>
      <w:tr w:rsidR="009716B6" w:rsidRPr="00DE096C" w14:paraId="03C307C4" w14:textId="77777777" w:rsidTr="00D34AC1">
        <w:tc>
          <w:tcPr>
            <w:tcW w:w="837" w:type="dxa"/>
          </w:tcPr>
          <w:p w14:paraId="0E1B02DD" w14:textId="77777777" w:rsidR="009716B6" w:rsidRPr="00DE096C" w:rsidRDefault="009716B6" w:rsidP="00D45A46">
            <w:pPr>
              <w:jc w:val="both"/>
              <w:rPr>
                <w:bCs/>
                <w:color w:val="002060"/>
                <w:sz w:val="16"/>
                <w:szCs w:val="16"/>
              </w:rPr>
            </w:pPr>
            <w:r w:rsidRPr="00DE096C">
              <w:rPr>
                <w:bCs/>
                <w:color w:val="002060"/>
                <w:sz w:val="16"/>
                <w:szCs w:val="16"/>
              </w:rPr>
              <w:t>Май</w:t>
            </w:r>
          </w:p>
        </w:tc>
        <w:tc>
          <w:tcPr>
            <w:tcW w:w="636" w:type="dxa"/>
          </w:tcPr>
          <w:p w14:paraId="3D49A34A" w14:textId="77777777" w:rsidR="009716B6" w:rsidRPr="00DE096C" w:rsidRDefault="009716B6" w:rsidP="00D45A46">
            <w:pPr>
              <w:jc w:val="both"/>
              <w:rPr>
                <w:bCs/>
                <w:color w:val="002060"/>
                <w:sz w:val="16"/>
                <w:szCs w:val="16"/>
              </w:rPr>
            </w:pPr>
            <w:r w:rsidRPr="00DE096C">
              <w:rPr>
                <w:bCs/>
                <w:color w:val="002060"/>
                <w:sz w:val="16"/>
                <w:szCs w:val="16"/>
              </w:rPr>
              <w:t>14,5</w:t>
            </w:r>
          </w:p>
        </w:tc>
        <w:tc>
          <w:tcPr>
            <w:tcW w:w="641" w:type="dxa"/>
          </w:tcPr>
          <w:p w14:paraId="4D0A20E7" w14:textId="77777777" w:rsidR="009716B6" w:rsidRPr="00DE096C" w:rsidRDefault="009716B6" w:rsidP="00D45A46">
            <w:pPr>
              <w:jc w:val="both"/>
              <w:rPr>
                <w:bCs/>
                <w:color w:val="002060"/>
                <w:sz w:val="16"/>
                <w:szCs w:val="16"/>
              </w:rPr>
            </w:pPr>
            <w:r w:rsidRPr="00DE096C">
              <w:rPr>
                <w:bCs/>
                <w:color w:val="002060"/>
                <w:sz w:val="16"/>
                <w:szCs w:val="16"/>
              </w:rPr>
              <w:t>9,5</w:t>
            </w:r>
          </w:p>
        </w:tc>
        <w:tc>
          <w:tcPr>
            <w:tcW w:w="636" w:type="dxa"/>
          </w:tcPr>
          <w:p w14:paraId="189D21A6" w14:textId="77777777" w:rsidR="009716B6" w:rsidRPr="00DE096C" w:rsidRDefault="009716B6" w:rsidP="00D45A46">
            <w:pPr>
              <w:jc w:val="both"/>
              <w:rPr>
                <w:bCs/>
                <w:color w:val="002060"/>
                <w:sz w:val="16"/>
                <w:szCs w:val="16"/>
              </w:rPr>
            </w:pPr>
            <w:r w:rsidRPr="00DE096C">
              <w:rPr>
                <w:bCs/>
                <w:color w:val="002060"/>
                <w:sz w:val="16"/>
                <w:szCs w:val="16"/>
              </w:rPr>
              <w:t xml:space="preserve">33,7 </w:t>
            </w:r>
          </w:p>
        </w:tc>
        <w:tc>
          <w:tcPr>
            <w:tcW w:w="641" w:type="dxa"/>
          </w:tcPr>
          <w:p w14:paraId="5F20AE13" w14:textId="77777777" w:rsidR="009716B6" w:rsidRPr="00DE096C" w:rsidRDefault="009716B6" w:rsidP="00D45A46">
            <w:pPr>
              <w:jc w:val="both"/>
              <w:rPr>
                <w:bCs/>
                <w:color w:val="002060"/>
                <w:sz w:val="16"/>
                <w:szCs w:val="16"/>
              </w:rPr>
            </w:pPr>
            <w:r w:rsidRPr="00DE096C">
              <w:rPr>
                <w:bCs/>
                <w:color w:val="002060"/>
                <w:sz w:val="16"/>
                <w:szCs w:val="16"/>
              </w:rPr>
              <w:t>28,0</w:t>
            </w:r>
          </w:p>
        </w:tc>
      </w:tr>
      <w:tr w:rsidR="009716B6" w:rsidRPr="00DE096C" w14:paraId="488732F3" w14:textId="77777777" w:rsidTr="00D34AC1">
        <w:tc>
          <w:tcPr>
            <w:tcW w:w="837" w:type="dxa"/>
          </w:tcPr>
          <w:p w14:paraId="6C0D9D27" w14:textId="77777777" w:rsidR="009716B6" w:rsidRPr="00DE096C" w:rsidRDefault="009716B6" w:rsidP="00D45A46">
            <w:pPr>
              <w:jc w:val="both"/>
              <w:rPr>
                <w:bCs/>
                <w:color w:val="002060"/>
                <w:sz w:val="16"/>
                <w:szCs w:val="16"/>
              </w:rPr>
            </w:pPr>
            <w:r w:rsidRPr="00DE096C">
              <w:rPr>
                <w:bCs/>
                <w:color w:val="002060"/>
                <w:sz w:val="16"/>
                <w:szCs w:val="16"/>
              </w:rPr>
              <w:t>Июнь</w:t>
            </w:r>
          </w:p>
        </w:tc>
        <w:tc>
          <w:tcPr>
            <w:tcW w:w="636" w:type="dxa"/>
          </w:tcPr>
          <w:p w14:paraId="6152CEC9" w14:textId="77777777" w:rsidR="009716B6" w:rsidRPr="00DE096C" w:rsidRDefault="009716B6" w:rsidP="00D45A46">
            <w:pPr>
              <w:jc w:val="both"/>
              <w:rPr>
                <w:bCs/>
                <w:color w:val="002060"/>
                <w:sz w:val="16"/>
                <w:szCs w:val="16"/>
              </w:rPr>
            </w:pPr>
            <w:r w:rsidRPr="00DE096C">
              <w:rPr>
                <w:bCs/>
                <w:color w:val="002060"/>
                <w:sz w:val="16"/>
                <w:szCs w:val="16"/>
              </w:rPr>
              <w:t>116,5</w:t>
            </w:r>
          </w:p>
        </w:tc>
        <w:tc>
          <w:tcPr>
            <w:tcW w:w="641" w:type="dxa"/>
          </w:tcPr>
          <w:p w14:paraId="40D3EB55" w14:textId="77777777" w:rsidR="009716B6" w:rsidRPr="00DE096C" w:rsidRDefault="009716B6" w:rsidP="00D45A46">
            <w:pPr>
              <w:jc w:val="both"/>
              <w:rPr>
                <w:bCs/>
                <w:color w:val="002060"/>
                <w:sz w:val="16"/>
                <w:szCs w:val="16"/>
              </w:rPr>
            </w:pPr>
            <w:r w:rsidRPr="00DE096C">
              <w:rPr>
                <w:bCs/>
                <w:color w:val="002060"/>
                <w:sz w:val="16"/>
                <w:szCs w:val="16"/>
              </w:rPr>
              <w:t>12,8</w:t>
            </w:r>
          </w:p>
        </w:tc>
        <w:tc>
          <w:tcPr>
            <w:tcW w:w="636" w:type="dxa"/>
          </w:tcPr>
          <w:p w14:paraId="1CF7EE74" w14:textId="77777777" w:rsidR="009716B6" w:rsidRPr="00DE096C" w:rsidRDefault="009716B6" w:rsidP="00D45A46">
            <w:pPr>
              <w:jc w:val="both"/>
              <w:rPr>
                <w:bCs/>
                <w:color w:val="002060"/>
                <w:sz w:val="16"/>
                <w:szCs w:val="16"/>
              </w:rPr>
            </w:pPr>
            <w:r w:rsidRPr="00DE096C">
              <w:rPr>
                <w:bCs/>
                <w:color w:val="002060"/>
                <w:sz w:val="16"/>
                <w:szCs w:val="16"/>
              </w:rPr>
              <w:t xml:space="preserve">33,7 </w:t>
            </w:r>
          </w:p>
        </w:tc>
        <w:tc>
          <w:tcPr>
            <w:tcW w:w="641" w:type="dxa"/>
          </w:tcPr>
          <w:p w14:paraId="6E83920F" w14:textId="77777777" w:rsidR="009716B6" w:rsidRPr="00DE096C" w:rsidRDefault="009716B6" w:rsidP="00D45A46">
            <w:pPr>
              <w:jc w:val="both"/>
              <w:rPr>
                <w:bCs/>
                <w:color w:val="002060"/>
                <w:sz w:val="16"/>
                <w:szCs w:val="16"/>
              </w:rPr>
            </w:pPr>
            <w:r w:rsidRPr="00DE096C">
              <w:rPr>
                <w:bCs/>
                <w:color w:val="002060"/>
                <w:sz w:val="16"/>
                <w:szCs w:val="16"/>
              </w:rPr>
              <w:t>28,0</w:t>
            </w:r>
          </w:p>
        </w:tc>
      </w:tr>
      <w:tr w:rsidR="009716B6" w:rsidRPr="00DE096C" w14:paraId="57147AC1" w14:textId="77777777" w:rsidTr="00D34AC1">
        <w:tc>
          <w:tcPr>
            <w:tcW w:w="837" w:type="dxa"/>
          </w:tcPr>
          <w:p w14:paraId="05BA6488" w14:textId="77777777" w:rsidR="009716B6" w:rsidRPr="00DE096C" w:rsidRDefault="009716B6" w:rsidP="00D45A46">
            <w:pPr>
              <w:jc w:val="both"/>
              <w:rPr>
                <w:bCs/>
                <w:color w:val="002060"/>
                <w:sz w:val="16"/>
                <w:szCs w:val="16"/>
              </w:rPr>
            </w:pPr>
            <w:r w:rsidRPr="00DE096C">
              <w:rPr>
                <w:bCs/>
                <w:color w:val="002060"/>
                <w:sz w:val="16"/>
                <w:szCs w:val="16"/>
              </w:rPr>
              <w:t>Июль</w:t>
            </w:r>
          </w:p>
        </w:tc>
        <w:tc>
          <w:tcPr>
            <w:tcW w:w="636" w:type="dxa"/>
          </w:tcPr>
          <w:p w14:paraId="5AAF571F" w14:textId="77777777" w:rsidR="009716B6" w:rsidRPr="00DE096C" w:rsidRDefault="009716B6" w:rsidP="00D45A46">
            <w:pPr>
              <w:jc w:val="both"/>
              <w:rPr>
                <w:bCs/>
                <w:color w:val="002060"/>
                <w:sz w:val="16"/>
                <w:szCs w:val="16"/>
              </w:rPr>
            </w:pPr>
            <w:r w:rsidRPr="00DE096C">
              <w:rPr>
                <w:bCs/>
                <w:color w:val="002060"/>
                <w:sz w:val="16"/>
                <w:szCs w:val="16"/>
              </w:rPr>
              <w:t>126,7</w:t>
            </w:r>
          </w:p>
        </w:tc>
        <w:tc>
          <w:tcPr>
            <w:tcW w:w="641" w:type="dxa"/>
          </w:tcPr>
          <w:p w14:paraId="13AE366D" w14:textId="77777777" w:rsidR="009716B6" w:rsidRPr="00DE096C" w:rsidRDefault="009716B6" w:rsidP="00D45A46">
            <w:pPr>
              <w:jc w:val="both"/>
              <w:rPr>
                <w:bCs/>
                <w:color w:val="002060"/>
                <w:sz w:val="16"/>
                <w:szCs w:val="16"/>
              </w:rPr>
            </w:pPr>
            <w:r w:rsidRPr="00DE096C">
              <w:rPr>
                <w:bCs/>
                <w:color w:val="002060"/>
                <w:sz w:val="16"/>
                <w:szCs w:val="16"/>
              </w:rPr>
              <w:t>12,5</w:t>
            </w:r>
          </w:p>
        </w:tc>
        <w:tc>
          <w:tcPr>
            <w:tcW w:w="636" w:type="dxa"/>
          </w:tcPr>
          <w:p w14:paraId="1D6AB83C" w14:textId="77777777" w:rsidR="009716B6" w:rsidRPr="00DE096C" w:rsidRDefault="009716B6" w:rsidP="00D45A46">
            <w:pPr>
              <w:jc w:val="both"/>
              <w:rPr>
                <w:bCs/>
                <w:color w:val="002060"/>
                <w:sz w:val="16"/>
                <w:szCs w:val="16"/>
              </w:rPr>
            </w:pPr>
            <w:r w:rsidRPr="00DE096C">
              <w:rPr>
                <w:bCs/>
                <w:color w:val="002060"/>
                <w:sz w:val="16"/>
                <w:szCs w:val="16"/>
              </w:rPr>
              <w:t xml:space="preserve">— </w:t>
            </w:r>
          </w:p>
        </w:tc>
        <w:tc>
          <w:tcPr>
            <w:tcW w:w="641" w:type="dxa"/>
          </w:tcPr>
          <w:p w14:paraId="222A97F6" w14:textId="77777777" w:rsidR="009716B6" w:rsidRPr="00DE096C" w:rsidRDefault="009716B6" w:rsidP="00D45A46">
            <w:pPr>
              <w:jc w:val="both"/>
              <w:rPr>
                <w:bCs/>
                <w:color w:val="002060"/>
                <w:sz w:val="16"/>
                <w:szCs w:val="16"/>
              </w:rPr>
            </w:pPr>
            <w:r w:rsidRPr="00DE096C">
              <w:rPr>
                <w:bCs/>
                <w:color w:val="002060"/>
                <w:sz w:val="16"/>
                <w:szCs w:val="16"/>
              </w:rPr>
              <w:t>—</w:t>
            </w:r>
          </w:p>
        </w:tc>
      </w:tr>
      <w:tr w:rsidR="009716B6" w:rsidRPr="00DE096C" w14:paraId="18CA6F14" w14:textId="77777777" w:rsidTr="00D34AC1">
        <w:tc>
          <w:tcPr>
            <w:tcW w:w="837" w:type="dxa"/>
          </w:tcPr>
          <w:p w14:paraId="47B61568" w14:textId="77777777" w:rsidR="009716B6" w:rsidRPr="00DE096C" w:rsidRDefault="009716B6" w:rsidP="00D45A46">
            <w:pPr>
              <w:jc w:val="both"/>
              <w:rPr>
                <w:bCs/>
                <w:color w:val="002060"/>
                <w:sz w:val="16"/>
                <w:szCs w:val="16"/>
              </w:rPr>
            </w:pPr>
            <w:r w:rsidRPr="00DE096C">
              <w:rPr>
                <w:bCs/>
                <w:color w:val="002060"/>
                <w:sz w:val="16"/>
                <w:szCs w:val="16"/>
              </w:rPr>
              <w:t>Август</w:t>
            </w:r>
          </w:p>
        </w:tc>
        <w:tc>
          <w:tcPr>
            <w:tcW w:w="636" w:type="dxa"/>
          </w:tcPr>
          <w:p w14:paraId="2F6001B6" w14:textId="77777777" w:rsidR="009716B6" w:rsidRPr="00DE096C" w:rsidRDefault="009716B6" w:rsidP="00D45A46">
            <w:pPr>
              <w:jc w:val="both"/>
              <w:rPr>
                <w:bCs/>
                <w:color w:val="002060"/>
                <w:sz w:val="16"/>
                <w:szCs w:val="16"/>
              </w:rPr>
            </w:pPr>
            <w:r w:rsidRPr="00DE096C">
              <w:rPr>
                <w:bCs/>
                <w:color w:val="002060"/>
                <w:sz w:val="16"/>
                <w:szCs w:val="16"/>
              </w:rPr>
              <w:t>15,1</w:t>
            </w:r>
          </w:p>
        </w:tc>
        <w:tc>
          <w:tcPr>
            <w:tcW w:w="641" w:type="dxa"/>
          </w:tcPr>
          <w:p w14:paraId="112E6F2C" w14:textId="77777777" w:rsidR="009716B6" w:rsidRPr="00DE096C" w:rsidRDefault="009716B6" w:rsidP="00D45A46">
            <w:pPr>
              <w:jc w:val="both"/>
              <w:rPr>
                <w:bCs/>
                <w:color w:val="002060"/>
                <w:sz w:val="16"/>
                <w:szCs w:val="16"/>
              </w:rPr>
            </w:pPr>
            <w:r w:rsidRPr="00DE096C">
              <w:rPr>
                <w:bCs/>
                <w:color w:val="002060"/>
                <w:sz w:val="16"/>
                <w:szCs w:val="16"/>
              </w:rPr>
              <w:t>12,4</w:t>
            </w:r>
          </w:p>
        </w:tc>
        <w:tc>
          <w:tcPr>
            <w:tcW w:w="636" w:type="dxa"/>
          </w:tcPr>
          <w:p w14:paraId="3D6BAC79" w14:textId="77777777" w:rsidR="009716B6" w:rsidRPr="00DE096C" w:rsidRDefault="009716B6" w:rsidP="00D45A46">
            <w:pPr>
              <w:jc w:val="both"/>
              <w:rPr>
                <w:bCs/>
                <w:color w:val="002060"/>
                <w:sz w:val="16"/>
                <w:szCs w:val="16"/>
              </w:rPr>
            </w:pPr>
            <w:r w:rsidRPr="00DE096C">
              <w:rPr>
                <w:bCs/>
                <w:color w:val="002060"/>
                <w:sz w:val="16"/>
                <w:szCs w:val="16"/>
              </w:rPr>
              <w:t xml:space="preserve">— </w:t>
            </w:r>
          </w:p>
        </w:tc>
        <w:tc>
          <w:tcPr>
            <w:tcW w:w="641" w:type="dxa"/>
          </w:tcPr>
          <w:p w14:paraId="66C46E5A" w14:textId="77777777" w:rsidR="009716B6" w:rsidRPr="00DE096C" w:rsidRDefault="009716B6" w:rsidP="00D45A46">
            <w:pPr>
              <w:jc w:val="both"/>
              <w:rPr>
                <w:bCs/>
                <w:color w:val="002060"/>
                <w:sz w:val="16"/>
                <w:szCs w:val="16"/>
              </w:rPr>
            </w:pPr>
            <w:r w:rsidRPr="00DE096C">
              <w:rPr>
                <w:bCs/>
                <w:color w:val="002060"/>
                <w:sz w:val="16"/>
                <w:szCs w:val="16"/>
              </w:rPr>
              <w:t>—</w:t>
            </w:r>
          </w:p>
        </w:tc>
      </w:tr>
      <w:tr w:rsidR="009716B6" w:rsidRPr="00DE096C" w14:paraId="0CC15121" w14:textId="77777777" w:rsidTr="00D34AC1">
        <w:tc>
          <w:tcPr>
            <w:tcW w:w="837" w:type="dxa"/>
          </w:tcPr>
          <w:p w14:paraId="291419D3" w14:textId="77777777" w:rsidR="009716B6" w:rsidRPr="00DE096C" w:rsidRDefault="009716B6" w:rsidP="00D45A46">
            <w:pPr>
              <w:jc w:val="both"/>
              <w:rPr>
                <w:bCs/>
                <w:color w:val="002060"/>
                <w:sz w:val="16"/>
                <w:szCs w:val="16"/>
              </w:rPr>
            </w:pPr>
            <w:r w:rsidRPr="00DE096C">
              <w:rPr>
                <w:bCs/>
                <w:color w:val="002060"/>
                <w:sz w:val="16"/>
                <w:szCs w:val="16"/>
              </w:rPr>
              <w:t>Сентябрь</w:t>
            </w:r>
          </w:p>
        </w:tc>
        <w:tc>
          <w:tcPr>
            <w:tcW w:w="636" w:type="dxa"/>
          </w:tcPr>
          <w:p w14:paraId="032F790A" w14:textId="77777777" w:rsidR="009716B6" w:rsidRPr="00DE096C" w:rsidRDefault="009716B6" w:rsidP="00D45A46">
            <w:pPr>
              <w:jc w:val="both"/>
              <w:rPr>
                <w:bCs/>
                <w:color w:val="002060"/>
                <w:sz w:val="16"/>
                <w:szCs w:val="16"/>
              </w:rPr>
            </w:pPr>
            <w:r w:rsidRPr="00DE096C">
              <w:rPr>
                <w:bCs/>
                <w:color w:val="002060"/>
                <w:sz w:val="16"/>
                <w:szCs w:val="16"/>
              </w:rPr>
              <w:t>18,3</w:t>
            </w:r>
          </w:p>
        </w:tc>
        <w:tc>
          <w:tcPr>
            <w:tcW w:w="641" w:type="dxa"/>
          </w:tcPr>
          <w:p w14:paraId="4F432FC0" w14:textId="77777777" w:rsidR="009716B6" w:rsidRPr="00DE096C" w:rsidRDefault="009716B6" w:rsidP="00D45A46">
            <w:pPr>
              <w:jc w:val="both"/>
              <w:rPr>
                <w:bCs/>
                <w:color w:val="002060"/>
                <w:sz w:val="16"/>
                <w:szCs w:val="16"/>
              </w:rPr>
            </w:pPr>
            <w:r w:rsidRPr="00DE096C">
              <w:rPr>
                <w:bCs/>
                <w:color w:val="002060"/>
                <w:sz w:val="16"/>
                <w:szCs w:val="16"/>
              </w:rPr>
              <w:t>14,3</w:t>
            </w:r>
          </w:p>
        </w:tc>
        <w:tc>
          <w:tcPr>
            <w:tcW w:w="636" w:type="dxa"/>
          </w:tcPr>
          <w:p w14:paraId="5F8BBEA7" w14:textId="77777777" w:rsidR="009716B6" w:rsidRPr="00DE096C" w:rsidRDefault="009716B6" w:rsidP="00D45A46">
            <w:pPr>
              <w:jc w:val="both"/>
              <w:rPr>
                <w:bCs/>
                <w:color w:val="002060"/>
                <w:sz w:val="16"/>
                <w:szCs w:val="16"/>
              </w:rPr>
            </w:pPr>
            <w:r w:rsidRPr="00DE096C">
              <w:rPr>
                <w:bCs/>
                <w:color w:val="002060"/>
                <w:sz w:val="16"/>
                <w:szCs w:val="16"/>
              </w:rPr>
              <w:t xml:space="preserve">— </w:t>
            </w:r>
          </w:p>
        </w:tc>
        <w:tc>
          <w:tcPr>
            <w:tcW w:w="641" w:type="dxa"/>
          </w:tcPr>
          <w:p w14:paraId="0F1DFEB6" w14:textId="77777777" w:rsidR="009716B6" w:rsidRPr="00DE096C" w:rsidRDefault="009716B6" w:rsidP="00D45A46">
            <w:pPr>
              <w:jc w:val="both"/>
              <w:rPr>
                <w:bCs/>
                <w:color w:val="002060"/>
                <w:sz w:val="16"/>
                <w:szCs w:val="16"/>
              </w:rPr>
            </w:pPr>
            <w:r w:rsidRPr="00DE096C">
              <w:rPr>
                <w:bCs/>
                <w:color w:val="002060"/>
                <w:sz w:val="16"/>
                <w:szCs w:val="16"/>
              </w:rPr>
              <w:t>—</w:t>
            </w:r>
          </w:p>
        </w:tc>
      </w:tr>
      <w:tr w:rsidR="009716B6" w:rsidRPr="00DE096C" w14:paraId="1C99B270" w14:textId="77777777" w:rsidTr="00D34AC1">
        <w:tc>
          <w:tcPr>
            <w:tcW w:w="837" w:type="dxa"/>
          </w:tcPr>
          <w:p w14:paraId="6F521DA0" w14:textId="77777777" w:rsidR="009716B6" w:rsidRPr="00DE096C" w:rsidRDefault="009716B6" w:rsidP="00D45A46">
            <w:pPr>
              <w:jc w:val="both"/>
              <w:rPr>
                <w:bCs/>
                <w:color w:val="002060"/>
                <w:sz w:val="16"/>
                <w:szCs w:val="16"/>
              </w:rPr>
            </w:pPr>
            <w:r w:rsidRPr="00DE096C">
              <w:rPr>
                <w:bCs/>
                <w:color w:val="002060"/>
                <w:sz w:val="16"/>
                <w:szCs w:val="16"/>
              </w:rPr>
              <w:t>Октябрь</w:t>
            </w:r>
          </w:p>
        </w:tc>
        <w:tc>
          <w:tcPr>
            <w:tcW w:w="636" w:type="dxa"/>
          </w:tcPr>
          <w:p w14:paraId="3C477DA2" w14:textId="77777777" w:rsidR="009716B6" w:rsidRPr="00DE096C" w:rsidRDefault="009716B6" w:rsidP="00D45A46">
            <w:pPr>
              <w:jc w:val="both"/>
              <w:rPr>
                <w:bCs/>
                <w:color w:val="002060"/>
                <w:sz w:val="16"/>
                <w:szCs w:val="16"/>
              </w:rPr>
            </w:pPr>
            <w:r w:rsidRPr="00DE096C">
              <w:rPr>
                <w:bCs/>
                <w:color w:val="002060"/>
                <w:sz w:val="16"/>
                <w:szCs w:val="16"/>
              </w:rPr>
              <w:t>22,3</w:t>
            </w:r>
          </w:p>
        </w:tc>
        <w:tc>
          <w:tcPr>
            <w:tcW w:w="641" w:type="dxa"/>
          </w:tcPr>
          <w:p w14:paraId="1DAB8918" w14:textId="77777777" w:rsidR="009716B6" w:rsidRPr="00DE096C" w:rsidRDefault="009716B6" w:rsidP="00D45A46">
            <w:pPr>
              <w:jc w:val="both"/>
              <w:rPr>
                <w:bCs/>
                <w:color w:val="002060"/>
                <w:sz w:val="16"/>
                <w:szCs w:val="16"/>
              </w:rPr>
            </w:pPr>
            <w:r w:rsidRPr="00DE096C">
              <w:rPr>
                <w:bCs/>
                <w:color w:val="002060"/>
                <w:sz w:val="16"/>
                <w:szCs w:val="16"/>
              </w:rPr>
              <w:t>16,7</w:t>
            </w:r>
          </w:p>
        </w:tc>
        <w:tc>
          <w:tcPr>
            <w:tcW w:w="636" w:type="dxa"/>
          </w:tcPr>
          <w:p w14:paraId="58B71E02" w14:textId="77777777" w:rsidR="009716B6" w:rsidRPr="00DE096C" w:rsidRDefault="009716B6" w:rsidP="00D45A46">
            <w:pPr>
              <w:jc w:val="both"/>
              <w:rPr>
                <w:bCs/>
                <w:color w:val="002060"/>
                <w:sz w:val="16"/>
                <w:szCs w:val="16"/>
              </w:rPr>
            </w:pPr>
            <w:r w:rsidRPr="00DE096C">
              <w:rPr>
                <w:bCs/>
                <w:color w:val="002060"/>
                <w:sz w:val="16"/>
                <w:szCs w:val="16"/>
              </w:rPr>
              <w:t xml:space="preserve">— </w:t>
            </w:r>
          </w:p>
        </w:tc>
        <w:tc>
          <w:tcPr>
            <w:tcW w:w="641" w:type="dxa"/>
          </w:tcPr>
          <w:p w14:paraId="040706BA" w14:textId="77777777" w:rsidR="009716B6" w:rsidRPr="00DE096C" w:rsidRDefault="009716B6" w:rsidP="00D45A46">
            <w:pPr>
              <w:jc w:val="both"/>
              <w:rPr>
                <w:bCs/>
                <w:color w:val="002060"/>
                <w:sz w:val="16"/>
                <w:szCs w:val="16"/>
              </w:rPr>
            </w:pPr>
            <w:r w:rsidRPr="00DE096C">
              <w:rPr>
                <w:bCs/>
                <w:color w:val="002060"/>
                <w:sz w:val="16"/>
                <w:szCs w:val="16"/>
              </w:rPr>
              <w:t>—</w:t>
            </w:r>
          </w:p>
        </w:tc>
      </w:tr>
      <w:tr w:rsidR="009716B6" w:rsidRPr="00DE096C" w14:paraId="7E1E444B" w14:textId="77777777" w:rsidTr="00D34AC1">
        <w:tc>
          <w:tcPr>
            <w:tcW w:w="837" w:type="dxa"/>
          </w:tcPr>
          <w:p w14:paraId="4F5F3440" w14:textId="77777777" w:rsidR="009716B6" w:rsidRPr="00DE096C" w:rsidRDefault="009716B6" w:rsidP="00D45A46">
            <w:pPr>
              <w:jc w:val="both"/>
              <w:rPr>
                <w:bCs/>
                <w:color w:val="002060"/>
                <w:sz w:val="16"/>
                <w:szCs w:val="16"/>
              </w:rPr>
            </w:pPr>
            <w:r w:rsidRPr="00DE096C">
              <w:rPr>
                <w:bCs/>
                <w:color w:val="002060"/>
                <w:sz w:val="16"/>
                <w:szCs w:val="16"/>
              </w:rPr>
              <w:t>Ноябрь</w:t>
            </w:r>
          </w:p>
        </w:tc>
        <w:tc>
          <w:tcPr>
            <w:tcW w:w="636" w:type="dxa"/>
          </w:tcPr>
          <w:p w14:paraId="1264529F" w14:textId="77777777" w:rsidR="009716B6" w:rsidRPr="00DE096C" w:rsidRDefault="009716B6" w:rsidP="00D45A46">
            <w:pPr>
              <w:jc w:val="both"/>
              <w:rPr>
                <w:bCs/>
                <w:color w:val="002060"/>
                <w:sz w:val="16"/>
                <w:szCs w:val="16"/>
              </w:rPr>
            </w:pPr>
            <w:r w:rsidRPr="00DE096C">
              <w:rPr>
                <w:bCs/>
                <w:color w:val="002060"/>
                <w:sz w:val="16"/>
                <w:szCs w:val="16"/>
              </w:rPr>
              <w:t>19,7</w:t>
            </w:r>
          </w:p>
        </w:tc>
        <w:tc>
          <w:tcPr>
            <w:tcW w:w="641" w:type="dxa"/>
          </w:tcPr>
          <w:p w14:paraId="2DC2494C" w14:textId="77777777" w:rsidR="009716B6" w:rsidRPr="00DE096C" w:rsidRDefault="009716B6" w:rsidP="00D45A46">
            <w:pPr>
              <w:jc w:val="both"/>
              <w:rPr>
                <w:bCs/>
                <w:color w:val="002060"/>
                <w:sz w:val="16"/>
                <w:szCs w:val="16"/>
              </w:rPr>
            </w:pPr>
            <w:r w:rsidRPr="00DE096C">
              <w:rPr>
                <w:bCs/>
                <w:color w:val="002060"/>
                <w:sz w:val="16"/>
                <w:szCs w:val="16"/>
              </w:rPr>
              <w:t>15,4</w:t>
            </w:r>
          </w:p>
        </w:tc>
        <w:tc>
          <w:tcPr>
            <w:tcW w:w="636" w:type="dxa"/>
          </w:tcPr>
          <w:p w14:paraId="1182B08B" w14:textId="77777777" w:rsidR="009716B6" w:rsidRPr="00DE096C" w:rsidRDefault="009716B6" w:rsidP="00D45A46">
            <w:pPr>
              <w:jc w:val="both"/>
              <w:rPr>
                <w:bCs/>
                <w:color w:val="002060"/>
                <w:sz w:val="16"/>
                <w:szCs w:val="16"/>
              </w:rPr>
            </w:pPr>
            <w:r w:rsidRPr="00DE096C">
              <w:rPr>
                <w:bCs/>
                <w:color w:val="002060"/>
                <w:sz w:val="16"/>
                <w:szCs w:val="16"/>
              </w:rPr>
              <w:t xml:space="preserve">— </w:t>
            </w:r>
          </w:p>
        </w:tc>
        <w:tc>
          <w:tcPr>
            <w:tcW w:w="641" w:type="dxa"/>
          </w:tcPr>
          <w:p w14:paraId="5DBB865B" w14:textId="77777777" w:rsidR="009716B6" w:rsidRPr="00DE096C" w:rsidRDefault="009716B6" w:rsidP="00D45A46">
            <w:pPr>
              <w:jc w:val="both"/>
              <w:rPr>
                <w:bCs/>
                <w:color w:val="002060"/>
                <w:sz w:val="16"/>
                <w:szCs w:val="16"/>
              </w:rPr>
            </w:pPr>
            <w:r w:rsidRPr="00DE096C">
              <w:rPr>
                <w:bCs/>
                <w:color w:val="002060"/>
                <w:sz w:val="16"/>
                <w:szCs w:val="16"/>
              </w:rPr>
              <w:t>—</w:t>
            </w:r>
          </w:p>
        </w:tc>
      </w:tr>
      <w:tr w:rsidR="009716B6" w:rsidRPr="00DE096C" w14:paraId="14396470" w14:textId="77777777" w:rsidTr="00D34AC1">
        <w:tc>
          <w:tcPr>
            <w:tcW w:w="837" w:type="dxa"/>
          </w:tcPr>
          <w:p w14:paraId="6A2EFF62" w14:textId="77777777" w:rsidR="009716B6" w:rsidRPr="00DE096C" w:rsidRDefault="009716B6" w:rsidP="00D45A46">
            <w:pPr>
              <w:jc w:val="both"/>
              <w:rPr>
                <w:bCs/>
                <w:color w:val="002060"/>
                <w:sz w:val="16"/>
                <w:szCs w:val="16"/>
              </w:rPr>
            </w:pPr>
            <w:r w:rsidRPr="00DE096C">
              <w:rPr>
                <w:bCs/>
                <w:color w:val="002060"/>
                <w:sz w:val="16"/>
                <w:szCs w:val="16"/>
              </w:rPr>
              <w:t>Декабрь</w:t>
            </w:r>
          </w:p>
        </w:tc>
        <w:tc>
          <w:tcPr>
            <w:tcW w:w="636" w:type="dxa"/>
          </w:tcPr>
          <w:p w14:paraId="28084279" w14:textId="77777777" w:rsidR="009716B6" w:rsidRPr="00DE096C" w:rsidRDefault="009716B6" w:rsidP="00D45A46">
            <w:pPr>
              <w:jc w:val="both"/>
              <w:rPr>
                <w:bCs/>
                <w:color w:val="002060"/>
                <w:sz w:val="16"/>
                <w:szCs w:val="16"/>
              </w:rPr>
            </w:pPr>
            <w:r w:rsidRPr="00DE096C">
              <w:rPr>
                <w:bCs/>
                <w:color w:val="002060"/>
                <w:sz w:val="16"/>
                <w:szCs w:val="16"/>
              </w:rPr>
              <w:t>26,7</w:t>
            </w:r>
          </w:p>
        </w:tc>
        <w:tc>
          <w:tcPr>
            <w:tcW w:w="641" w:type="dxa"/>
          </w:tcPr>
          <w:p w14:paraId="5FEAD6B3" w14:textId="77777777" w:rsidR="009716B6" w:rsidRPr="00DE096C" w:rsidRDefault="009716B6" w:rsidP="00D45A46">
            <w:pPr>
              <w:jc w:val="both"/>
              <w:rPr>
                <w:bCs/>
                <w:color w:val="002060"/>
                <w:sz w:val="16"/>
                <w:szCs w:val="16"/>
              </w:rPr>
            </w:pPr>
            <w:r w:rsidRPr="00DE096C">
              <w:rPr>
                <w:bCs/>
                <w:color w:val="002060"/>
                <w:sz w:val="16"/>
                <w:szCs w:val="16"/>
              </w:rPr>
              <w:t>18,7</w:t>
            </w:r>
          </w:p>
        </w:tc>
        <w:tc>
          <w:tcPr>
            <w:tcW w:w="636" w:type="dxa"/>
          </w:tcPr>
          <w:p w14:paraId="4F3B7A73" w14:textId="77777777" w:rsidR="009716B6" w:rsidRPr="00DE096C" w:rsidRDefault="009716B6" w:rsidP="00D45A46">
            <w:pPr>
              <w:jc w:val="both"/>
              <w:rPr>
                <w:bCs/>
                <w:color w:val="002060"/>
                <w:sz w:val="16"/>
                <w:szCs w:val="16"/>
              </w:rPr>
            </w:pPr>
            <w:r w:rsidRPr="00DE096C">
              <w:rPr>
                <w:bCs/>
                <w:color w:val="002060"/>
                <w:sz w:val="16"/>
                <w:szCs w:val="16"/>
              </w:rPr>
              <w:t xml:space="preserve">— </w:t>
            </w:r>
          </w:p>
        </w:tc>
        <w:tc>
          <w:tcPr>
            <w:tcW w:w="641" w:type="dxa"/>
          </w:tcPr>
          <w:p w14:paraId="37D57D6C" w14:textId="77777777" w:rsidR="009716B6" w:rsidRPr="00DE096C" w:rsidRDefault="009716B6" w:rsidP="00D45A46">
            <w:pPr>
              <w:jc w:val="both"/>
              <w:rPr>
                <w:bCs/>
                <w:color w:val="002060"/>
                <w:sz w:val="16"/>
                <w:szCs w:val="16"/>
              </w:rPr>
            </w:pPr>
            <w:r w:rsidRPr="00DE096C">
              <w:rPr>
                <w:bCs/>
                <w:color w:val="002060"/>
                <w:sz w:val="16"/>
                <w:szCs w:val="16"/>
              </w:rPr>
              <w:t>—</w:t>
            </w:r>
          </w:p>
        </w:tc>
      </w:tr>
      <w:tr w:rsidR="009716B6" w:rsidRPr="00DE096C" w14:paraId="3C895031" w14:textId="77777777" w:rsidTr="00D34AC1">
        <w:tc>
          <w:tcPr>
            <w:tcW w:w="837" w:type="dxa"/>
          </w:tcPr>
          <w:p w14:paraId="78CEEC1C" w14:textId="77777777" w:rsidR="009716B6" w:rsidRPr="00DE096C" w:rsidRDefault="009716B6" w:rsidP="00D45A46">
            <w:pPr>
              <w:jc w:val="both"/>
              <w:rPr>
                <w:bCs/>
                <w:color w:val="002060"/>
                <w:sz w:val="16"/>
                <w:szCs w:val="16"/>
              </w:rPr>
            </w:pPr>
            <w:r w:rsidRPr="00DE096C">
              <w:rPr>
                <w:bCs/>
                <w:color w:val="002060"/>
                <w:sz w:val="16"/>
                <w:szCs w:val="16"/>
              </w:rPr>
              <w:t>[Всего]</w:t>
            </w:r>
          </w:p>
        </w:tc>
        <w:tc>
          <w:tcPr>
            <w:tcW w:w="636" w:type="dxa"/>
          </w:tcPr>
          <w:p w14:paraId="3544DCB1" w14:textId="77777777" w:rsidR="009716B6" w:rsidRPr="00DE096C" w:rsidRDefault="009716B6" w:rsidP="00D45A46">
            <w:pPr>
              <w:jc w:val="both"/>
              <w:rPr>
                <w:bCs/>
                <w:color w:val="002060"/>
                <w:sz w:val="16"/>
                <w:szCs w:val="16"/>
              </w:rPr>
            </w:pPr>
            <w:r w:rsidRPr="00DE096C">
              <w:rPr>
                <w:bCs/>
                <w:color w:val="002060"/>
                <w:sz w:val="16"/>
                <w:szCs w:val="16"/>
              </w:rPr>
              <w:t>414,4</w:t>
            </w:r>
          </w:p>
        </w:tc>
        <w:tc>
          <w:tcPr>
            <w:tcW w:w="641" w:type="dxa"/>
          </w:tcPr>
          <w:p w14:paraId="2DD34925" w14:textId="77777777" w:rsidR="009716B6" w:rsidRPr="00DE096C" w:rsidRDefault="009716B6" w:rsidP="00D45A46">
            <w:pPr>
              <w:jc w:val="both"/>
              <w:rPr>
                <w:bCs/>
                <w:color w:val="002060"/>
                <w:sz w:val="16"/>
                <w:szCs w:val="16"/>
              </w:rPr>
            </w:pPr>
            <w:r w:rsidRPr="00DE096C">
              <w:rPr>
                <w:bCs/>
                <w:color w:val="002060"/>
                <w:sz w:val="16"/>
                <w:szCs w:val="16"/>
              </w:rPr>
              <w:t>154,6</w:t>
            </w:r>
          </w:p>
        </w:tc>
        <w:tc>
          <w:tcPr>
            <w:tcW w:w="636" w:type="dxa"/>
          </w:tcPr>
          <w:p w14:paraId="1DA9D7ED" w14:textId="77777777" w:rsidR="009716B6" w:rsidRPr="00DE096C" w:rsidRDefault="009716B6" w:rsidP="00D45A46">
            <w:pPr>
              <w:jc w:val="both"/>
              <w:rPr>
                <w:bCs/>
                <w:color w:val="002060"/>
                <w:sz w:val="16"/>
                <w:szCs w:val="16"/>
              </w:rPr>
            </w:pPr>
            <w:r w:rsidRPr="00DE096C">
              <w:rPr>
                <w:bCs/>
                <w:color w:val="002060"/>
                <w:sz w:val="16"/>
                <w:szCs w:val="16"/>
              </w:rPr>
              <w:t>168,7</w:t>
            </w:r>
          </w:p>
        </w:tc>
        <w:tc>
          <w:tcPr>
            <w:tcW w:w="641" w:type="dxa"/>
          </w:tcPr>
          <w:p w14:paraId="17CD5D84" w14:textId="77777777" w:rsidR="009716B6" w:rsidRPr="00DE096C" w:rsidRDefault="009716B6" w:rsidP="00D45A46">
            <w:pPr>
              <w:jc w:val="both"/>
              <w:rPr>
                <w:bCs/>
                <w:color w:val="002060"/>
                <w:sz w:val="16"/>
                <w:szCs w:val="16"/>
              </w:rPr>
            </w:pPr>
            <w:r w:rsidRPr="00DE096C">
              <w:rPr>
                <w:bCs/>
                <w:color w:val="002060"/>
                <w:sz w:val="16"/>
                <w:szCs w:val="16"/>
              </w:rPr>
              <w:t>139,8</w:t>
            </w:r>
          </w:p>
        </w:tc>
      </w:tr>
    </w:tbl>
    <w:p w14:paraId="7AD64D53" w14:textId="77777777" w:rsidR="009716B6" w:rsidRPr="00DE096C" w:rsidRDefault="009716B6" w:rsidP="00D45A46">
      <w:pPr>
        <w:jc w:val="both"/>
        <w:rPr>
          <w:bCs/>
          <w:color w:val="002060"/>
          <w:sz w:val="16"/>
          <w:szCs w:val="16"/>
        </w:rPr>
      </w:pPr>
      <w:r w:rsidRPr="00DE096C">
        <w:rPr>
          <w:bCs/>
          <w:color w:val="002060"/>
          <w:sz w:val="16"/>
          <w:szCs w:val="16"/>
        </w:rPr>
        <w:t xml:space="preserve">Цифры 1916 года показывают фактический выход продуктов. Для 1917 г. показан выход, предполагавшийся соответственно мощности заводов. Цифры выражают суммарный выход бензола и толуола, как нефтяного, так и каменноугольного. </w:t>
      </w:r>
    </w:p>
    <w:p w14:paraId="0A616E14" w14:textId="77777777" w:rsidR="009716B6" w:rsidRPr="00DE096C" w:rsidRDefault="009716B6" w:rsidP="00D45A46">
      <w:pPr>
        <w:jc w:val="both"/>
        <w:rPr>
          <w:bCs/>
          <w:color w:val="002060"/>
          <w:sz w:val="16"/>
          <w:szCs w:val="16"/>
        </w:rPr>
      </w:pPr>
      <w:r w:rsidRPr="00DE096C">
        <w:rPr>
          <w:bCs/>
          <w:color w:val="002060"/>
          <w:sz w:val="16"/>
          <w:szCs w:val="16"/>
        </w:rPr>
        <w:t xml:space="preserve">Количество каменноугольного продукта составляет от общего количества следующий процент: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896"/>
        <w:gridCol w:w="792"/>
      </w:tblGrid>
      <w:tr w:rsidR="009716B6" w:rsidRPr="00DE096C" w14:paraId="6AB8F2EE" w14:textId="77777777" w:rsidTr="00D34AC1">
        <w:tc>
          <w:tcPr>
            <w:tcW w:w="1896" w:type="dxa"/>
          </w:tcPr>
          <w:p w14:paraId="56C8B1BB" w14:textId="77777777" w:rsidR="009716B6" w:rsidRPr="00DE096C" w:rsidRDefault="009716B6" w:rsidP="00D45A46">
            <w:pPr>
              <w:jc w:val="both"/>
              <w:rPr>
                <w:bCs/>
                <w:color w:val="002060"/>
                <w:sz w:val="16"/>
                <w:szCs w:val="16"/>
              </w:rPr>
            </w:pPr>
            <w:r w:rsidRPr="00DE096C">
              <w:rPr>
                <w:bCs/>
                <w:color w:val="002060"/>
                <w:sz w:val="16"/>
                <w:szCs w:val="16"/>
              </w:rPr>
              <w:t>В январе 1916 г.</w:t>
            </w:r>
          </w:p>
        </w:tc>
        <w:tc>
          <w:tcPr>
            <w:tcW w:w="792" w:type="dxa"/>
          </w:tcPr>
          <w:p w14:paraId="6C57432C" w14:textId="77777777" w:rsidR="009716B6" w:rsidRPr="00DE096C" w:rsidRDefault="009716B6" w:rsidP="00D45A46">
            <w:pPr>
              <w:jc w:val="both"/>
              <w:rPr>
                <w:bCs/>
                <w:color w:val="002060"/>
                <w:sz w:val="16"/>
                <w:szCs w:val="16"/>
              </w:rPr>
            </w:pPr>
            <w:r w:rsidRPr="00DE096C">
              <w:rPr>
                <w:bCs/>
                <w:color w:val="002060"/>
                <w:sz w:val="16"/>
                <w:szCs w:val="16"/>
              </w:rPr>
              <w:t xml:space="preserve">100% </w:t>
            </w:r>
          </w:p>
        </w:tc>
      </w:tr>
      <w:tr w:rsidR="009716B6" w:rsidRPr="00DE096C" w14:paraId="5E657B91" w14:textId="77777777" w:rsidTr="00D34AC1">
        <w:tc>
          <w:tcPr>
            <w:tcW w:w="1896" w:type="dxa"/>
          </w:tcPr>
          <w:p w14:paraId="544C8FB8" w14:textId="77777777" w:rsidR="009716B6" w:rsidRPr="00DE096C" w:rsidRDefault="009716B6" w:rsidP="00D45A46">
            <w:pPr>
              <w:jc w:val="both"/>
              <w:rPr>
                <w:bCs/>
                <w:color w:val="002060"/>
                <w:sz w:val="16"/>
                <w:szCs w:val="16"/>
              </w:rPr>
            </w:pPr>
            <w:r w:rsidRPr="00DE096C">
              <w:rPr>
                <w:bCs/>
                <w:color w:val="002060"/>
                <w:sz w:val="16"/>
                <w:szCs w:val="16"/>
              </w:rPr>
              <w:t>В январе 1917 г.</w:t>
            </w:r>
          </w:p>
        </w:tc>
        <w:tc>
          <w:tcPr>
            <w:tcW w:w="792" w:type="dxa"/>
          </w:tcPr>
          <w:p w14:paraId="183257F8" w14:textId="77777777" w:rsidR="009716B6" w:rsidRPr="00DE096C" w:rsidRDefault="009716B6" w:rsidP="00D45A46">
            <w:pPr>
              <w:jc w:val="both"/>
              <w:rPr>
                <w:bCs/>
                <w:color w:val="002060"/>
                <w:sz w:val="16"/>
                <w:szCs w:val="16"/>
              </w:rPr>
            </w:pPr>
            <w:r w:rsidRPr="00DE096C">
              <w:rPr>
                <w:bCs/>
                <w:color w:val="002060"/>
                <w:sz w:val="16"/>
                <w:szCs w:val="16"/>
              </w:rPr>
              <w:t xml:space="preserve">70% </w:t>
            </w:r>
          </w:p>
        </w:tc>
      </w:tr>
    </w:tbl>
    <w:p w14:paraId="76424589" w14:textId="77777777" w:rsidR="009716B6" w:rsidRPr="00DE096C" w:rsidRDefault="009716B6" w:rsidP="00D45A46">
      <w:pPr>
        <w:jc w:val="both"/>
        <w:rPr>
          <w:bCs/>
          <w:color w:val="002060"/>
          <w:sz w:val="16"/>
          <w:szCs w:val="16"/>
        </w:rPr>
      </w:pPr>
      <w:r w:rsidRPr="00DE096C">
        <w:rPr>
          <w:bCs/>
          <w:color w:val="002060"/>
          <w:sz w:val="16"/>
          <w:szCs w:val="16"/>
        </w:rPr>
        <w:t xml:space="preserve">С 1909 г. для снаряжения фугасных снарядов был принят в армии и флоте тротил. Однако заводы взрывчатых веществ, изготовлявшие тротил, Самарский казенный и Шлиссельбургский частный, по состоянию их мощности на 1917 г. далеко не могли покрыть той потребности во взрывчатых веществах для снарядов, которая была заявлена военным ведомством уже в первый, а в особенности во второй год войны. </w:t>
      </w:r>
    </w:p>
    <w:p w14:paraId="67728D22" w14:textId="77777777" w:rsidR="009716B6" w:rsidRPr="00DE096C" w:rsidRDefault="009716B6" w:rsidP="00D45A46">
      <w:pPr>
        <w:jc w:val="both"/>
        <w:rPr>
          <w:bCs/>
          <w:color w:val="002060"/>
          <w:sz w:val="16"/>
          <w:szCs w:val="16"/>
        </w:rPr>
      </w:pPr>
      <w:r w:rsidRPr="00DE096C">
        <w:rPr>
          <w:bCs/>
          <w:color w:val="002060"/>
          <w:sz w:val="16"/>
          <w:szCs w:val="16"/>
        </w:rPr>
        <w:t xml:space="preserve">Поэтому Комиссия Ипатьева наряду с другими задачами поставила себе целью развивать производство как тротила, так и других взрывчатых веществ, пригодных для военных целей. Среди них главное место занимала пикриновая кислота, которая до тротила около 15 лет применялась в русской армии как вещество для снаряжения фугасных и бризантных снарядов и была хорошо изучена. </w:t>
      </w:r>
    </w:p>
    <w:p w14:paraId="309D2EA3" w14:textId="77777777" w:rsidR="009716B6" w:rsidRPr="00DE096C" w:rsidRDefault="009716B6" w:rsidP="00D45A46">
      <w:pPr>
        <w:jc w:val="both"/>
        <w:rPr>
          <w:bCs/>
          <w:color w:val="002060"/>
          <w:sz w:val="16"/>
          <w:szCs w:val="16"/>
        </w:rPr>
      </w:pPr>
      <w:r w:rsidRPr="00DE096C">
        <w:rPr>
          <w:bCs/>
          <w:color w:val="002060"/>
          <w:sz w:val="16"/>
          <w:szCs w:val="16"/>
        </w:rPr>
        <w:t xml:space="preserve">Натуральный фенол, получаемый из каменноугольной смолы, из которого ранее фабриковалась пикриновая кислота, в России почти не вырабатывался. Поэтому проф. Ипатьев озаботился прежде всего поставить производство синтетического фенола через сульфацию бензола и получение из него пикриновой кислоты. Ранее других это производство было организовано на заводе Фарбверке в Москве. Начав производство в мае 1915 г., завод в декабре мог давать уже до 6000 пудов в месяц. Затем были устроены заводы синтетического фенола: у ст. Рубежной, при заводе "Русско-Краска", и у ст. Шахтной Донецкой области при заводе Парамонова. </w:t>
      </w:r>
    </w:p>
    <w:p w14:paraId="19130287" w14:textId="77777777" w:rsidR="009716B6" w:rsidRPr="00DE096C" w:rsidRDefault="009716B6" w:rsidP="00D45A46">
      <w:pPr>
        <w:jc w:val="both"/>
        <w:rPr>
          <w:bCs/>
          <w:color w:val="002060"/>
          <w:sz w:val="16"/>
          <w:szCs w:val="16"/>
        </w:rPr>
      </w:pPr>
      <w:r w:rsidRPr="00DE096C">
        <w:rPr>
          <w:bCs/>
          <w:color w:val="002060"/>
          <w:sz w:val="16"/>
          <w:szCs w:val="16"/>
        </w:rPr>
        <w:t xml:space="preserve">Так как производство синтетического фенола в нормальных условиях спроса не может выдерживать конкуренцию с фенолом натуральным, то Химический комитет, заботясь о нормальном развитии химической промышленности в дальнейшем, когда кончится война, организовал также получение карболовой кислоты и крезолов из тяжелой каменноугольной смолы и очистку этих продуктов. С этой целью был Львовым построен завод при ст. Железной Екатеринославской железной дороги. </w:t>
      </w:r>
    </w:p>
    <w:p w14:paraId="0954AA52" w14:textId="77777777" w:rsidR="009716B6" w:rsidRPr="00DE096C" w:rsidRDefault="009716B6" w:rsidP="00D45A46">
      <w:pPr>
        <w:jc w:val="both"/>
        <w:rPr>
          <w:bCs/>
          <w:color w:val="002060"/>
          <w:sz w:val="16"/>
          <w:szCs w:val="16"/>
        </w:rPr>
      </w:pPr>
      <w:r w:rsidRPr="00DE096C">
        <w:rPr>
          <w:bCs/>
          <w:color w:val="002060"/>
          <w:sz w:val="16"/>
          <w:szCs w:val="16"/>
        </w:rPr>
        <w:t xml:space="preserve">Выработка синтетического фенола в 1916 г. выражается в следующих цифрах (тыс. пудов):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808"/>
        <w:gridCol w:w="792"/>
      </w:tblGrid>
      <w:tr w:rsidR="009716B6" w:rsidRPr="00DE096C" w14:paraId="1942F311" w14:textId="77777777" w:rsidTr="00D34AC1">
        <w:tc>
          <w:tcPr>
            <w:tcW w:w="2808" w:type="dxa"/>
          </w:tcPr>
          <w:p w14:paraId="1016C4E3" w14:textId="77777777" w:rsidR="009716B6" w:rsidRPr="00DE096C" w:rsidRDefault="009716B6" w:rsidP="00D45A46">
            <w:pPr>
              <w:jc w:val="both"/>
              <w:rPr>
                <w:bCs/>
                <w:color w:val="002060"/>
                <w:sz w:val="16"/>
                <w:szCs w:val="16"/>
              </w:rPr>
            </w:pPr>
            <w:r w:rsidRPr="00DE096C">
              <w:rPr>
                <w:bCs/>
                <w:color w:val="002060"/>
                <w:sz w:val="16"/>
                <w:szCs w:val="16"/>
              </w:rPr>
              <w:t>Первое полугодие 1916 г.</w:t>
            </w:r>
          </w:p>
        </w:tc>
        <w:tc>
          <w:tcPr>
            <w:tcW w:w="792" w:type="dxa"/>
          </w:tcPr>
          <w:p w14:paraId="548BFBAD" w14:textId="77777777" w:rsidR="009716B6" w:rsidRPr="00DE096C" w:rsidRDefault="009716B6" w:rsidP="00D45A46">
            <w:pPr>
              <w:jc w:val="both"/>
              <w:rPr>
                <w:bCs/>
                <w:color w:val="002060"/>
                <w:sz w:val="16"/>
                <w:szCs w:val="16"/>
              </w:rPr>
            </w:pPr>
            <w:r w:rsidRPr="00DE096C">
              <w:rPr>
                <w:bCs/>
                <w:color w:val="002060"/>
                <w:sz w:val="16"/>
                <w:szCs w:val="16"/>
              </w:rPr>
              <w:t xml:space="preserve">51.8 </w:t>
            </w:r>
          </w:p>
        </w:tc>
      </w:tr>
      <w:tr w:rsidR="009716B6" w:rsidRPr="00DE096C" w14:paraId="710E90F0" w14:textId="77777777" w:rsidTr="00D34AC1">
        <w:tc>
          <w:tcPr>
            <w:tcW w:w="2808" w:type="dxa"/>
          </w:tcPr>
          <w:p w14:paraId="38739723" w14:textId="77777777" w:rsidR="009716B6" w:rsidRPr="00DE096C" w:rsidRDefault="009716B6" w:rsidP="00D45A46">
            <w:pPr>
              <w:jc w:val="both"/>
              <w:rPr>
                <w:bCs/>
                <w:color w:val="002060"/>
                <w:sz w:val="16"/>
                <w:szCs w:val="16"/>
              </w:rPr>
            </w:pPr>
            <w:r w:rsidRPr="00DE096C">
              <w:rPr>
                <w:bCs/>
                <w:color w:val="002060"/>
                <w:sz w:val="16"/>
                <w:szCs w:val="16"/>
              </w:rPr>
              <w:t>Второе полугодие 1916 г.</w:t>
            </w:r>
          </w:p>
        </w:tc>
        <w:tc>
          <w:tcPr>
            <w:tcW w:w="792" w:type="dxa"/>
          </w:tcPr>
          <w:p w14:paraId="4579E9E3" w14:textId="77777777" w:rsidR="009716B6" w:rsidRPr="00DE096C" w:rsidRDefault="009716B6" w:rsidP="00D45A46">
            <w:pPr>
              <w:jc w:val="both"/>
              <w:rPr>
                <w:bCs/>
                <w:color w:val="002060"/>
                <w:sz w:val="16"/>
                <w:szCs w:val="16"/>
              </w:rPr>
            </w:pPr>
            <w:r w:rsidRPr="00DE096C">
              <w:rPr>
                <w:bCs/>
                <w:color w:val="002060"/>
                <w:sz w:val="16"/>
                <w:szCs w:val="16"/>
              </w:rPr>
              <w:t xml:space="preserve">73.1 </w:t>
            </w:r>
          </w:p>
        </w:tc>
      </w:tr>
      <w:tr w:rsidR="009716B6" w:rsidRPr="00DE096C" w14:paraId="1B95C108" w14:textId="77777777" w:rsidTr="00D34AC1">
        <w:tc>
          <w:tcPr>
            <w:tcW w:w="2808" w:type="dxa"/>
          </w:tcPr>
          <w:p w14:paraId="56DB4178" w14:textId="77777777" w:rsidR="009716B6" w:rsidRPr="00DE096C" w:rsidRDefault="009716B6" w:rsidP="00D45A46">
            <w:pPr>
              <w:jc w:val="both"/>
              <w:rPr>
                <w:bCs/>
                <w:color w:val="002060"/>
                <w:sz w:val="16"/>
                <w:szCs w:val="16"/>
              </w:rPr>
            </w:pPr>
            <w:r w:rsidRPr="00DE096C">
              <w:rPr>
                <w:bCs/>
                <w:color w:val="002060"/>
                <w:sz w:val="16"/>
                <w:szCs w:val="16"/>
              </w:rPr>
              <w:t>Всего за 1916 г.</w:t>
            </w:r>
          </w:p>
        </w:tc>
        <w:tc>
          <w:tcPr>
            <w:tcW w:w="792" w:type="dxa"/>
          </w:tcPr>
          <w:p w14:paraId="346B8338" w14:textId="77777777" w:rsidR="009716B6" w:rsidRPr="00DE096C" w:rsidRDefault="009716B6" w:rsidP="00D45A46">
            <w:pPr>
              <w:jc w:val="both"/>
              <w:rPr>
                <w:bCs/>
                <w:color w:val="002060"/>
                <w:sz w:val="16"/>
                <w:szCs w:val="16"/>
              </w:rPr>
            </w:pPr>
            <w:r w:rsidRPr="00DE096C">
              <w:rPr>
                <w:bCs/>
                <w:color w:val="002060"/>
                <w:sz w:val="16"/>
                <w:szCs w:val="16"/>
              </w:rPr>
              <w:t>124.9.</w:t>
            </w:r>
          </w:p>
        </w:tc>
      </w:tr>
    </w:tbl>
    <w:p w14:paraId="5B1B0089" w14:textId="77777777" w:rsidR="009716B6" w:rsidRPr="00DE096C" w:rsidRDefault="009716B6" w:rsidP="00D45A46">
      <w:pPr>
        <w:jc w:val="both"/>
        <w:rPr>
          <w:bCs/>
          <w:color w:val="002060"/>
          <w:sz w:val="16"/>
          <w:szCs w:val="16"/>
        </w:rPr>
      </w:pPr>
      <w:r w:rsidRPr="00DE096C">
        <w:rPr>
          <w:bCs/>
          <w:color w:val="002060"/>
          <w:sz w:val="16"/>
          <w:szCs w:val="16"/>
        </w:rPr>
        <w:t xml:space="preserve">До войны серная кислота вырабатывалась в России в количестве до 1,25 млн пудов в месяц. Колчедан, необходимый для этой цели, в четверть добывался на Урале, остальные же три четверти привозились из-за границы. </w:t>
      </w:r>
    </w:p>
    <w:p w14:paraId="35F05D30" w14:textId="77777777" w:rsidR="009716B6" w:rsidRPr="00DE096C" w:rsidRDefault="009716B6" w:rsidP="00D45A46">
      <w:pPr>
        <w:jc w:val="both"/>
        <w:rPr>
          <w:bCs/>
          <w:color w:val="002060"/>
          <w:sz w:val="16"/>
          <w:szCs w:val="16"/>
        </w:rPr>
      </w:pPr>
      <w:r w:rsidRPr="00DE096C">
        <w:rPr>
          <w:bCs/>
          <w:color w:val="002060"/>
          <w:sz w:val="16"/>
          <w:szCs w:val="16"/>
        </w:rPr>
        <w:t xml:space="preserve">В связи с военными операциями на Западном фронте сернокислотные заводы Прибалтики и Царства Польского прекратили работы, благодаря чему с общего счета нужно было скинуть 0,5 млн пудов месячной производительности. </w:t>
      </w:r>
    </w:p>
    <w:p w14:paraId="6133D6F9" w14:textId="77777777" w:rsidR="009716B6" w:rsidRPr="00DE096C" w:rsidRDefault="009716B6" w:rsidP="00D45A46">
      <w:pPr>
        <w:jc w:val="both"/>
        <w:rPr>
          <w:bCs/>
          <w:color w:val="002060"/>
          <w:sz w:val="16"/>
          <w:szCs w:val="16"/>
        </w:rPr>
      </w:pPr>
      <w:r w:rsidRPr="00DE096C">
        <w:rPr>
          <w:bCs/>
          <w:color w:val="002060"/>
          <w:sz w:val="16"/>
          <w:szCs w:val="16"/>
        </w:rPr>
        <w:t xml:space="preserve">Такое положение с серной кислотой являлось угрозой делу производства порохов и взрывчатых веществ, которые вместе с ростом производства основных материалов — толуола, бензола и пр. — должны были и дальше сильно расти, соответственно с заданиями высшего командования. Поэтому требовались энергичные мероприятия со стороны Комиссии Ипатьева по восстановлению и развитию сернокислотного дела и исходных материалов для него. </w:t>
      </w:r>
    </w:p>
    <w:p w14:paraId="1CCAF4D0" w14:textId="77777777" w:rsidR="009716B6" w:rsidRPr="00DE096C" w:rsidRDefault="009716B6" w:rsidP="00D45A46">
      <w:pPr>
        <w:jc w:val="both"/>
        <w:rPr>
          <w:bCs/>
          <w:color w:val="002060"/>
          <w:sz w:val="16"/>
          <w:szCs w:val="16"/>
        </w:rPr>
      </w:pPr>
      <w:r w:rsidRPr="00DE096C">
        <w:rPr>
          <w:bCs/>
          <w:color w:val="002060"/>
          <w:sz w:val="16"/>
          <w:szCs w:val="16"/>
        </w:rPr>
        <w:t xml:space="preserve">С целью выяснить вопрос о возможности постройки новых сернокислотных заводов и развития старых, а также усиления добычи колчедана, в июне 1915 г. был собран съезд кислотозаводчиков и представителей серноколчеданных рудников. На съезде была выработала детальная программа развития сернокислотного и колчеданного дела, и, по утверждении ее Особым совещанием по обороне, с лета 1915 г. было приступлено к осуществлению ее. </w:t>
      </w:r>
    </w:p>
    <w:p w14:paraId="311E87AF" w14:textId="77777777" w:rsidR="009716B6" w:rsidRPr="00DE096C" w:rsidRDefault="009716B6" w:rsidP="00D45A46">
      <w:pPr>
        <w:jc w:val="both"/>
        <w:rPr>
          <w:bCs/>
          <w:color w:val="002060"/>
          <w:sz w:val="16"/>
          <w:szCs w:val="16"/>
        </w:rPr>
      </w:pPr>
      <w:r w:rsidRPr="00DE096C">
        <w:rPr>
          <w:bCs/>
          <w:color w:val="002060"/>
          <w:sz w:val="16"/>
          <w:szCs w:val="16"/>
        </w:rPr>
        <w:t xml:space="preserve">Согласно программы, намечена была постройка с лета 1915 г. до 20 заводов серной кислоты, которые должны были увеличить вдвое выработку кислоты. Часть этих заводов предположена была к оборудованию контактными системами. </w:t>
      </w:r>
    </w:p>
    <w:p w14:paraId="7B482048" w14:textId="77777777" w:rsidR="009716B6" w:rsidRPr="00DE096C" w:rsidRDefault="009716B6" w:rsidP="00D45A46">
      <w:pPr>
        <w:jc w:val="both"/>
        <w:rPr>
          <w:bCs/>
          <w:color w:val="002060"/>
          <w:sz w:val="16"/>
          <w:szCs w:val="16"/>
        </w:rPr>
      </w:pPr>
      <w:r w:rsidRPr="00DE096C">
        <w:rPr>
          <w:bCs/>
          <w:color w:val="002060"/>
          <w:sz w:val="16"/>
          <w:szCs w:val="16"/>
        </w:rPr>
        <w:t xml:space="preserve">Для наблюдения на местах за производством кислоты и правильного распределения ее между заводами военной и частной промышленности, а также для наблюдения за строительством, Комиссией по заготовлению взрывчатых веществ были организованы районные бюро. Районов было установлено шесть: Петроградский, Московский, Верхневолжский, Казанский, Уральский, Южный и Кавказский. </w:t>
      </w:r>
    </w:p>
    <w:p w14:paraId="190B76F3" w14:textId="77777777" w:rsidR="009716B6" w:rsidRPr="00DE096C" w:rsidRDefault="009716B6" w:rsidP="00D45A46">
      <w:pPr>
        <w:jc w:val="both"/>
        <w:rPr>
          <w:bCs/>
          <w:color w:val="002060"/>
          <w:sz w:val="16"/>
          <w:szCs w:val="16"/>
        </w:rPr>
      </w:pPr>
      <w:r w:rsidRPr="00DE096C">
        <w:rPr>
          <w:bCs/>
          <w:color w:val="002060"/>
          <w:sz w:val="16"/>
          <w:szCs w:val="16"/>
        </w:rPr>
        <w:t xml:space="preserve">Весьма серьезным вопросом являлось правильное распределение кислоты между потребителями частной промышленности, так как в связи с кислотным кризисом на рынке началась спекуляция и искусственное вздутие цен на этот материал. </w:t>
      </w:r>
    </w:p>
    <w:p w14:paraId="67DF0771" w14:textId="77777777" w:rsidR="009716B6" w:rsidRPr="00DE096C" w:rsidRDefault="009716B6" w:rsidP="00D45A46">
      <w:pPr>
        <w:jc w:val="both"/>
        <w:rPr>
          <w:bCs/>
          <w:color w:val="002060"/>
          <w:sz w:val="16"/>
          <w:szCs w:val="16"/>
        </w:rPr>
      </w:pPr>
      <w:r w:rsidRPr="00DE096C">
        <w:rPr>
          <w:bCs/>
          <w:color w:val="002060"/>
          <w:sz w:val="16"/>
          <w:szCs w:val="16"/>
        </w:rPr>
        <w:t xml:space="preserve">Ниже приводится таблица, в которой по месяцам указаны: 1) программа работы по производству серной кислоты заводов, существовавших к осени 1915 г., 2) число вновь организованных заводов, вступивших в работу, 3) программа, работы последних и 4) суммарный выпуск серной кислоты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248"/>
        <w:gridCol w:w="1503"/>
        <w:gridCol w:w="1092"/>
        <w:gridCol w:w="1792"/>
        <w:gridCol w:w="972"/>
      </w:tblGrid>
      <w:tr w:rsidR="009716B6" w:rsidRPr="00DE096C" w14:paraId="185CD665" w14:textId="77777777" w:rsidTr="00D34AC1">
        <w:tc>
          <w:tcPr>
            <w:tcW w:w="1248" w:type="dxa"/>
          </w:tcPr>
          <w:p w14:paraId="722D589C" w14:textId="77777777" w:rsidR="009716B6" w:rsidRPr="00DE096C" w:rsidRDefault="009716B6" w:rsidP="00D45A46">
            <w:pPr>
              <w:jc w:val="both"/>
              <w:rPr>
                <w:bCs/>
                <w:color w:val="002060"/>
                <w:sz w:val="16"/>
                <w:szCs w:val="16"/>
              </w:rPr>
            </w:pPr>
            <w:r w:rsidRPr="00DE096C">
              <w:rPr>
                <w:bCs/>
                <w:color w:val="002060"/>
                <w:sz w:val="16"/>
                <w:szCs w:val="16"/>
              </w:rPr>
              <w:lastRenderedPageBreak/>
              <w:t> </w:t>
            </w:r>
          </w:p>
        </w:tc>
        <w:tc>
          <w:tcPr>
            <w:tcW w:w="1503" w:type="dxa"/>
          </w:tcPr>
          <w:p w14:paraId="50AD3B5A" w14:textId="77777777" w:rsidR="009716B6" w:rsidRPr="00DE096C" w:rsidRDefault="009716B6" w:rsidP="00D45A46">
            <w:pPr>
              <w:jc w:val="both"/>
              <w:rPr>
                <w:bCs/>
                <w:color w:val="002060"/>
                <w:sz w:val="16"/>
                <w:szCs w:val="16"/>
              </w:rPr>
            </w:pPr>
            <w:r w:rsidRPr="00DE096C">
              <w:rPr>
                <w:bCs/>
                <w:color w:val="002060"/>
                <w:sz w:val="16"/>
                <w:szCs w:val="16"/>
              </w:rPr>
              <w:t>Существовавшие к осени 1915 г. заводы</w:t>
            </w:r>
          </w:p>
        </w:tc>
        <w:tc>
          <w:tcPr>
            <w:tcW w:w="1092" w:type="dxa"/>
          </w:tcPr>
          <w:p w14:paraId="20CACE14" w14:textId="77777777" w:rsidR="009716B6" w:rsidRPr="00DE096C" w:rsidRDefault="009716B6" w:rsidP="00D45A46">
            <w:pPr>
              <w:jc w:val="both"/>
              <w:rPr>
                <w:bCs/>
                <w:color w:val="002060"/>
                <w:sz w:val="16"/>
                <w:szCs w:val="16"/>
              </w:rPr>
            </w:pPr>
            <w:r w:rsidRPr="00DE096C">
              <w:rPr>
                <w:bCs/>
                <w:color w:val="002060"/>
                <w:sz w:val="16"/>
                <w:szCs w:val="16"/>
              </w:rPr>
              <w:t>Число новых заводов</w:t>
            </w:r>
          </w:p>
        </w:tc>
        <w:tc>
          <w:tcPr>
            <w:tcW w:w="1792" w:type="dxa"/>
          </w:tcPr>
          <w:p w14:paraId="1F509BB3" w14:textId="77777777" w:rsidR="009716B6" w:rsidRPr="00DE096C" w:rsidRDefault="009716B6" w:rsidP="00D45A46">
            <w:pPr>
              <w:jc w:val="both"/>
              <w:rPr>
                <w:bCs/>
                <w:color w:val="002060"/>
                <w:sz w:val="16"/>
                <w:szCs w:val="16"/>
              </w:rPr>
            </w:pPr>
            <w:r w:rsidRPr="00DE096C">
              <w:rPr>
                <w:bCs/>
                <w:color w:val="002060"/>
                <w:sz w:val="16"/>
                <w:szCs w:val="16"/>
              </w:rPr>
              <w:t>Производительность новых заводов</w:t>
            </w:r>
          </w:p>
        </w:tc>
        <w:tc>
          <w:tcPr>
            <w:tcW w:w="972" w:type="dxa"/>
          </w:tcPr>
          <w:p w14:paraId="7271F1F9" w14:textId="77777777" w:rsidR="009716B6" w:rsidRPr="00DE096C" w:rsidRDefault="009716B6" w:rsidP="00D45A46">
            <w:pPr>
              <w:jc w:val="both"/>
              <w:rPr>
                <w:bCs/>
                <w:color w:val="002060"/>
                <w:sz w:val="16"/>
                <w:szCs w:val="16"/>
              </w:rPr>
            </w:pPr>
            <w:r w:rsidRPr="00DE096C">
              <w:rPr>
                <w:bCs/>
                <w:color w:val="002060"/>
                <w:sz w:val="16"/>
                <w:szCs w:val="16"/>
              </w:rPr>
              <w:t xml:space="preserve">Итого старые и новые </w:t>
            </w:r>
          </w:p>
        </w:tc>
      </w:tr>
      <w:tr w:rsidR="009716B6" w:rsidRPr="00DE096C" w14:paraId="469B4A5C" w14:textId="77777777" w:rsidTr="00D34AC1">
        <w:tc>
          <w:tcPr>
            <w:tcW w:w="1248" w:type="dxa"/>
          </w:tcPr>
          <w:p w14:paraId="3C999AC3" w14:textId="77777777" w:rsidR="009716B6" w:rsidRPr="00DE096C" w:rsidRDefault="009716B6" w:rsidP="00D45A46">
            <w:pPr>
              <w:jc w:val="both"/>
              <w:rPr>
                <w:bCs/>
                <w:color w:val="002060"/>
                <w:sz w:val="16"/>
                <w:szCs w:val="16"/>
              </w:rPr>
            </w:pPr>
            <w:r w:rsidRPr="00DE096C">
              <w:rPr>
                <w:bCs/>
                <w:color w:val="002060"/>
                <w:sz w:val="16"/>
                <w:szCs w:val="16"/>
              </w:rPr>
              <w:t> </w:t>
            </w:r>
          </w:p>
        </w:tc>
        <w:tc>
          <w:tcPr>
            <w:tcW w:w="4387" w:type="dxa"/>
            <w:gridSpan w:val="3"/>
          </w:tcPr>
          <w:p w14:paraId="6BD2FBE9" w14:textId="77777777" w:rsidR="009716B6" w:rsidRPr="00DE096C" w:rsidRDefault="009716B6" w:rsidP="00D45A46">
            <w:pPr>
              <w:jc w:val="both"/>
              <w:rPr>
                <w:bCs/>
                <w:color w:val="002060"/>
                <w:sz w:val="16"/>
                <w:szCs w:val="16"/>
              </w:rPr>
            </w:pPr>
            <w:r w:rsidRPr="00DE096C">
              <w:rPr>
                <w:bCs/>
                <w:color w:val="002060"/>
                <w:sz w:val="16"/>
                <w:szCs w:val="16"/>
              </w:rPr>
              <w:t>Программа</w:t>
            </w:r>
          </w:p>
        </w:tc>
        <w:tc>
          <w:tcPr>
            <w:tcW w:w="972" w:type="dxa"/>
          </w:tcPr>
          <w:p w14:paraId="18170804" w14:textId="77777777" w:rsidR="009716B6" w:rsidRPr="00DE096C" w:rsidRDefault="009716B6" w:rsidP="00D45A46">
            <w:pPr>
              <w:jc w:val="both"/>
              <w:rPr>
                <w:bCs/>
                <w:color w:val="002060"/>
                <w:sz w:val="16"/>
                <w:szCs w:val="16"/>
              </w:rPr>
            </w:pPr>
            <w:r w:rsidRPr="00DE096C">
              <w:rPr>
                <w:bCs/>
                <w:color w:val="002060"/>
                <w:sz w:val="16"/>
                <w:szCs w:val="16"/>
              </w:rPr>
              <w:t> </w:t>
            </w:r>
          </w:p>
        </w:tc>
      </w:tr>
      <w:tr w:rsidR="009716B6" w:rsidRPr="00DE096C" w14:paraId="54D41F88" w14:textId="77777777" w:rsidTr="00D34AC1">
        <w:tc>
          <w:tcPr>
            <w:tcW w:w="1248" w:type="dxa"/>
          </w:tcPr>
          <w:p w14:paraId="4E807B25" w14:textId="77777777" w:rsidR="009716B6" w:rsidRPr="00DE096C" w:rsidRDefault="009716B6" w:rsidP="00D45A46">
            <w:pPr>
              <w:jc w:val="both"/>
              <w:rPr>
                <w:bCs/>
                <w:color w:val="002060"/>
                <w:sz w:val="16"/>
                <w:szCs w:val="16"/>
              </w:rPr>
            </w:pPr>
            <w:r w:rsidRPr="00DE096C">
              <w:rPr>
                <w:bCs/>
                <w:color w:val="002060"/>
                <w:sz w:val="16"/>
                <w:szCs w:val="16"/>
              </w:rPr>
              <w:t>Декабрь 1915 г.</w:t>
            </w:r>
          </w:p>
        </w:tc>
        <w:tc>
          <w:tcPr>
            <w:tcW w:w="1503" w:type="dxa"/>
          </w:tcPr>
          <w:p w14:paraId="32011E79" w14:textId="77777777" w:rsidR="009716B6" w:rsidRPr="00DE096C" w:rsidRDefault="009716B6" w:rsidP="00D45A46">
            <w:pPr>
              <w:jc w:val="both"/>
              <w:rPr>
                <w:bCs/>
                <w:color w:val="002060"/>
                <w:sz w:val="16"/>
                <w:szCs w:val="16"/>
              </w:rPr>
            </w:pPr>
            <w:r w:rsidRPr="00DE096C">
              <w:rPr>
                <w:bCs/>
                <w:color w:val="002060"/>
                <w:sz w:val="16"/>
                <w:szCs w:val="16"/>
              </w:rPr>
              <w:t>800</w:t>
            </w:r>
          </w:p>
        </w:tc>
        <w:tc>
          <w:tcPr>
            <w:tcW w:w="1092" w:type="dxa"/>
          </w:tcPr>
          <w:p w14:paraId="6FFACE3D" w14:textId="77777777" w:rsidR="009716B6" w:rsidRPr="00DE096C" w:rsidRDefault="009716B6" w:rsidP="00D45A46">
            <w:pPr>
              <w:jc w:val="both"/>
              <w:rPr>
                <w:bCs/>
                <w:color w:val="002060"/>
                <w:sz w:val="16"/>
                <w:szCs w:val="16"/>
              </w:rPr>
            </w:pPr>
            <w:r w:rsidRPr="00DE096C">
              <w:rPr>
                <w:bCs/>
                <w:color w:val="002060"/>
                <w:sz w:val="16"/>
                <w:szCs w:val="16"/>
              </w:rPr>
              <w:t>2</w:t>
            </w:r>
          </w:p>
        </w:tc>
        <w:tc>
          <w:tcPr>
            <w:tcW w:w="1792" w:type="dxa"/>
          </w:tcPr>
          <w:p w14:paraId="03C6E28A" w14:textId="77777777" w:rsidR="009716B6" w:rsidRPr="00DE096C" w:rsidRDefault="009716B6" w:rsidP="00D45A46">
            <w:pPr>
              <w:jc w:val="both"/>
              <w:rPr>
                <w:bCs/>
                <w:color w:val="002060"/>
                <w:sz w:val="16"/>
                <w:szCs w:val="16"/>
              </w:rPr>
            </w:pPr>
            <w:r w:rsidRPr="00DE096C">
              <w:rPr>
                <w:bCs/>
                <w:color w:val="002060"/>
                <w:sz w:val="16"/>
                <w:szCs w:val="16"/>
              </w:rPr>
              <w:t>75</w:t>
            </w:r>
          </w:p>
        </w:tc>
        <w:tc>
          <w:tcPr>
            <w:tcW w:w="972" w:type="dxa"/>
          </w:tcPr>
          <w:p w14:paraId="7FED7CA7" w14:textId="77777777" w:rsidR="009716B6" w:rsidRPr="00DE096C" w:rsidRDefault="009716B6" w:rsidP="00D45A46">
            <w:pPr>
              <w:jc w:val="both"/>
              <w:rPr>
                <w:bCs/>
                <w:color w:val="002060"/>
                <w:sz w:val="16"/>
                <w:szCs w:val="16"/>
              </w:rPr>
            </w:pPr>
            <w:r w:rsidRPr="00DE096C">
              <w:rPr>
                <w:bCs/>
                <w:color w:val="002060"/>
                <w:sz w:val="16"/>
                <w:szCs w:val="16"/>
              </w:rPr>
              <w:t>875</w:t>
            </w:r>
          </w:p>
        </w:tc>
      </w:tr>
      <w:tr w:rsidR="009716B6" w:rsidRPr="00DE096C" w14:paraId="066BEA21" w14:textId="77777777" w:rsidTr="00D34AC1">
        <w:tc>
          <w:tcPr>
            <w:tcW w:w="1248" w:type="dxa"/>
          </w:tcPr>
          <w:p w14:paraId="68CA90D3" w14:textId="77777777" w:rsidR="009716B6" w:rsidRPr="00DE096C" w:rsidRDefault="009716B6" w:rsidP="00D45A46">
            <w:pPr>
              <w:jc w:val="both"/>
              <w:rPr>
                <w:bCs/>
                <w:color w:val="002060"/>
                <w:sz w:val="16"/>
                <w:szCs w:val="16"/>
              </w:rPr>
            </w:pPr>
            <w:r w:rsidRPr="00DE096C">
              <w:rPr>
                <w:bCs/>
                <w:color w:val="002060"/>
                <w:sz w:val="16"/>
                <w:szCs w:val="16"/>
              </w:rPr>
              <w:t>Январь 1916 г.</w:t>
            </w:r>
          </w:p>
        </w:tc>
        <w:tc>
          <w:tcPr>
            <w:tcW w:w="1503" w:type="dxa"/>
          </w:tcPr>
          <w:p w14:paraId="3E22E87C" w14:textId="77777777" w:rsidR="009716B6" w:rsidRPr="00DE096C" w:rsidRDefault="009716B6" w:rsidP="00D45A46">
            <w:pPr>
              <w:jc w:val="both"/>
              <w:rPr>
                <w:bCs/>
                <w:color w:val="002060"/>
                <w:sz w:val="16"/>
                <w:szCs w:val="16"/>
              </w:rPr>
            </w:pPr>
            <w:r w:rsidRPr="00DE096C">
              <w:rPr>
                <w:bCs/>
                <w:color w:val="002060"/>
                <w:sz w:val="16"/>
                <w:szCs w:val="16"/>
              </w:rPr>
              <w:t>800</w:t>
            </w:r>
          </w:p>
        </w:tc>
        <w:tc>
          <w:tcPr>
            <w:tcW w:w="1092" w:type="dxa"/>
          </w:tcPr>
          <w:p w14:paraId="5C3DC439" w14:textId="77777777" w:rsidR="009716B6" w:rsidRPr="00DE096C" w:rsidRDefault="009716B6" w:rsidP="00D45A46">
            <w:pPr>
              <w:jc w:val="both"/>
              <w:rPr>
                <w:bCs/>
                <w:color w:val="002060"/>
                <w:sz w:val="16"/>
                <w:szCs w:val="16"/>
              </w:rPr>
            </w:pPr>
            <w:r w:rsidRPr="00DE096C">
              <w:rPr>
                <w:bCs/>
                <w:color w:val="002060"/>
                <w:sz w:val="16"/>
                <w:szCs w:val="16"/>
              </w:rPr>
              <w:t>6</w:t>
            </w:r>
          </w:p>
        </w:tc>
        <w:tc>
          <w:tcPr>
            <w:tcW w:w="1792" w:type="dxa"/>
          </w:tcPr>
          <w:p w14:paraId="489D9D1E" w14:textId="77777777" w:rsidR="009716B6" w:rsidRPr="00DE096C" w:rsidRDefault="009716B6" w:rsidP="00D45A46">
            <w:pPr>
              <w:jc w:val="both"/>
              <w:rPr>
                <w:bCs/>
                <w:color w:val="002060"/>
                <w:sz w:val="16"/>
                <w:szCs w:val="16"/>
              </w:rPr>
            </w:pPr>
            <w:r w:rsidRPr="00DE096C">
              <w:rPr>
                <w:bCs/>
                <w:color w:val="002060"/>
                <w:sz w:val="16"/>
                <w:szCs w:val="16"/>
              </w:rPr>
              <w:t>249,1</w:t>
            </w:r>
          </w:p>
        </w:tc>
        <w:tc>
          <w:tcPr>
            <w:tcW w:w="972" w:type="dxa"/>
          </w:tcPr>
          <w:p w14:paraId="61A15CA4" w14:textId="77777777" w:rsidR="009716B6" w:rsidRPr="00DE096C" w:rsidRDefault="009716B6" w:rsidP="00D45A46">
            <w:pPr>
              <w:jc w:val="both"/>
              <w:rPr>
                <w:bCs/>
                <w:color w:val="002060"/>
                <w:sz w:val="16"/>
                <w:szCs w:val="16"/>
              </w:rPr>
            </w:pPr>
            <w:r w:rsidRPr="00DE096C">
              <w:rPr>
                <w:bCs/>
                <w:color w:val="002060"/>
                <w:sz w:val="16"/>
                <w:szCs w:val="16"/>
              </w:rPr>
              <w:t>1.049,1</w:t>
            </w:r>
          </w:p>
        </w:tc>
      </w:tr>
      <w:tr w:rsidR="009716B6" w:rsidRPr="00DE096C" w14:paraId="5CAC9636" w14:textId="77777777" w:rsidTr="00D34AC1">
        <w:tc>
          <w:tcPr>
            <w:tcW w:w="1248" w:type="dxa"/>
          </w:tcPr>
          <w:p w14:paraId="7501B2B3" w14:textId="77777777" w:rsidR="009716B6" w:rsidRPr="00DE096C" w:rsidRDefault="009716B6" w:rsidP="00D45A46">
            <w:pPr>
              <w:jc w:val="both"/>
              <w:rPr>
                <w:bCs/>
                <w:color w:val="002060"/>
                <w:sz w:val="16"/>
                <w:szCs w:val="16"/>
              </w:rPr>
            </w:pPr>
            <w:r w:rsidRPr="00DE096C">
              <w:rPr>
                <w:bCs/>
                <w:color w:val="002060"/>
                <w:sz w:val="16"/>
                <w:szCs w:val="16"/>
              </w:rPr>
              <w:t>Февраль</w:t>
            </w:r>
          </w:p>
        </w:tc>
        <w:tc>
          <w:tcPr>
            <w:tcW w:w="1503" w:type="dxa"/>
          </w:tcPr>
          <w:p w14:paraId="5D317E81" w14:textId="77777777" w:rsidR="009716B6" w:rsidRPr="00DE096C" w:rsidRDefault="009716B6" w:rsidP="00D45A46">
            <w:pPr>
              <w:jc w:val="both"/>
              <w:rPr>
                <w:bCs/>
                <w:color w:val="002060"/>
                <w:sz w:val="16"/>
                <w:szCs w:val="16"/>
              </w:rPr>
            </w:pPr>
            <w:r w:rsidRPr="00DE096C">
              <w:rPr>
                <w:bCs/>
                <w:color w:val="002060"/>
                <w:sz w:val="16"/>
                <w:szCs w:val="16"/>
              </w:rPr>
              <w:t>800</w:t>
            </w:r>
          </w:p>
        </w:tc>
        <w:tc>
          <w:tcPr>
            <w:tcW w:w="1092" w:type="dxa"/>
          </w:tcPr>
          <w:p w14:paraId="4ECEEFE8" w14:textId="77777777" w:rsidR="009716B6" w:rsidRPr="00DE096C" w:rsidRDefault="009716B6" w:rsidP="00D45A46">
            <w:pPr>
              <w:jc w:val="both"/>
              <w:rPr>
                <w:bCs/>
                <w:color w:val="002060"/>
                <w:sz w:val="16"/>
                <w:szCs w:val="16"/>
              </w:rPr>
            </w:pPr>
            <w:r w:rsidRPr="00DE096C">
              <w:rPr>
                <w:bCs/>
                <w:color w:val="002060"/>
                <w:sz w:val="16"/>
                <w:szCs w:val="16"/>
              </w:rPr>
              <w:t>8</w:t>
            </w:r>
          </w:p>
        </w:tc>
        <w:tc>
          <w:tcPr>
            <w:tcW w:w="1792" w:type="dxa"/>
          </w:tcPr>
          <w:p w14:paraId="73D67756" w14:textId="77777777" w:rsidR="009716B6" w:rsidRPr="00DE096C" w:rsidRDefault="009716B6" w:rsidP="00D45A46">
            <w:pPr>
              <w:jc w:val="both"/>
              <w:rPr>
                <w:bCs/>
                <w:color w:val="002060"/>
                <w:sz w:val="16"/>
                <w:szCs w:val="16"/>
              </w:rPr>
            </w:pPr>
            <w:r w:rsidRPr="00DE096C">
              <w:rPr>
                <w:bCs/>
                <w:color w:val="002060"/>
                <w:sz w:val="16"/>
                <w:szCs w:val="16"/>
              </w:rPr>
              <w:t>342,6</w:t>
            </w:r>
          </w:p>
        </w:tc>
        <w:tc>
          <w:tcPr>
            <w:tcW w:w="972" w:type="dxa"/>
          </w:tcPr>
          <w:p w14:paraId="05AD1934" w14:textId="77777777" w:rsidR="009716B6" w:rsidRPr="00DE096C" w:rsidRDefault="009716B6" w:rsidP="00D45A46">
            <w:pPr>
              <w:jc w:val="both"/>
              <w:rPr>
                <w:bCs/>
                <w:color w:val="002060"/>
                <w:sz w:val="16"/>
                <w:szCs w:val="16"/>
              </w:rPr>
            </w:pPr>
            <w:r w:rsidRPr="00DE096C">
              <w:rPr>
                <w:bCs/>
                <w:color w:val="002060"/>
                <w:sz w:val="16"/>
                <w:szCs w:val="16"/>
              </w:rPr>
              <w:t>1.142,6</w:t>
            </w:r>
          </w:p>
        </w:tc>
      </w:tr>
      <w:tr w:rsidR="009716B6" w:rsidRPr="00DE096C" w14:paraId="2D54524C" w14:textId="77777777" w:rsidTr="00D34AC1">
        <w:tc>
          <w:tcPr>
            <w:tcW w:w="1248" w:type="dxa"/>
          </w:tcPr>
          <w:p w14:paraId="640B89E7" w14:textId="77777777" w:rsidR="009716B6" w:rsidRPr="00DE096C" w:rsidRDefault="009716B6" w:rsidP="00D45A46">
            <w:pPr>
              <w:jc w:val="both"/>
              <w:rPr>
                <w:bCs/>
                <w:color w:val="002060"/>
                <w:sz w:val="16"/>
                <w:szCs w:val="16"/>
              </w:rPr>
            </w:pPr>
            <w:r w:rsidRPr="00DE096C">
              <w:rPr>
                <w:bCs/>
                <w:color w:val="002060"/>
                <w:sz w:val="16"/>
                <w:szCs w:val="16"/>
              </w:rPr>
              <w:t>М«рт</w:t>
            </w:r>
          </w:p>
        </w:tc>
        <w:tc>
          <w:tcPr>
            <w:tcW w:w="1503" w:type="dxa"/>
          </w:tcPr>
          <w:p w14:paraId="29B65F87" w14:textId="77777777" w:rsidR="009716B6" w:rsidRPr="00DE096C" w:rsidRDefault="009716B6" w:rsidP="00D45A46">
            <w:pPr>
              <w:jc w:val="both"/>
              <w:rPr>
                <w:bCs/>
                <w:color w:val="002060"/>
                <w:sz w:val="16"/>
                <w:szCs w:val="16"/>
              </w:rPr>
            </w:pPr>
            <w:r w:rsidRPr="00DE096C">
              <w:rPr>
                <w:bCs/>
                <w:color w:val="002060"/>
                <w:sz w:val="16"/>
                <w:szCs w:val="16"/>
              </w:rPr>
              <w:t>800</w:t>
            </w:r>
          </w:p>
        </w:tc>
        <w:tc>
          <w:tcPr>
            <w:tcW w:w="1092" w:type="dxa"/>
          </w:tcPr>
          <w:p w14:paraId="547B7424" w14:textId="77777777" w:rsidR="009716B6" w:rsidRPr="00DE096C" w:rsidRDefault="009716B6" w:rsidP="00D45A46">
            <w:pPr>
              <w:jc w:val="both"/>
              <w:rPr>
                <w:bCs/>
                <w:color w:val="002060"/>
                <w:sz w:val="16"/>
                <w:szCs w:val="16"/>
              </w:rPr>
            </w:pPr>
            <w:r w:rsidRPr="00DE096C">
              <w:rPr>
                <w:bCs/>
                <w:color w:val="002060"/>
                <w:sz w:val="16"/>
                <w:szCs w:val="16"/>
              </w:rPr>
              <w:t>11</w:t>
            </w:r>
          </w:p>
        </w:tc>
        <w:tc>
          <w:tcPr>
            <w:tcW w:w="1792" w:type="dxa"/>
          </w:tcPr>
          <w:p w14:paraId="1F236877" w14:textId="77777777" w:rsidR="009716B6" w:rsidRPr="00DE096C" w:rsidRDefault="009716B6" w:rsidP="00D45A46">
            <w:pPr>
              <w:jc w:val="both"/>
              <w:rPr>
                <w:bCs/>
                <w:color w:val="002060"/>
                <w:sz w:val="16"/>
                <w:szCs w:val="16"/>
              </w:rPr>
            </w:pPr>
            <w:r w:rsidRPr="00DE096C">
              <w:rPr>
                <w:bCs/>
                <w:color w:val="002060"/>
                <w:sz w:val="16"/>
                <w:szCs w:val="16"/>
              </w:rPr>
              <w:t>479,9</w:t>
            </w:r>
          </w:p>
        </w:tc>
        <w:tc>
          <w:tcPr>
            <w:tcW w:w="972" w:type="dxa"/>
          </w:tcPr>
          <w:p w14:paraId="2C6B5979" w14:textId="77777777" w:rsidR="009716B6" w:rsidRPr="00DE096C" w:rsidRDefault="009716B6" w:rsidP="00D45A46">
            <w:pPr>
              <w:jc w:val="both"/>
              <w:rPr>
                <w:bCs/>
                <w:color w:val="002060"/>
                <w:sz w:val="16"/>
                <w:szCs w:val="16"/>
              </w:rPr>
            </w:pPr>
            <w:r w:rsidRPr="00DE096C">
              <w:rPr>
                <w:bCs/>
                <w:color w:val="002060"/>
                <w:sz w:val="16"/>
                <w:szCs w:val="16"/>
              </w:rPr>
              <w:t>1.279,9</w:t>
            </w:r>
          </w:p>
        </w:tc>
      </w:tr>
      <w:tr w:rsidR="009716B6" w:rsidRPr="00DE096C" w14:paraId="424FC642" w14:textId="77777777" w:rsidTr="00D34AC1">
        <w:tc>
          <w:tcPr>
            <w:tcW w:w="1248" w:type="dxa"/>
          </w:tcPr>
          <w:p w14:paraId="16E5F133" w14:textId="77777777" w:rsidR="009716B6" w:rsidRPr="00DE096C" w:rsidRDefault="009716B6" w:rsidP="00D45A46">
            <w:pPr>
              <w:jc w:val="both"/>
              <w:rPr>
                <w:bCs/>
                <w:color w:val="002060"/>
                <w:sz w:val="16"/>
                <w:szCs w:val="16"/>
              </w:rPr>
            </w:pPr>
            <w:r w:rsidRPr="00DE096C">
              <w:rPr>
                <w:bCs/>
                <w:color w:val="002060"/>
                <w:sz w:val="16"/>
                <w:szCs w:val="16"/>
              </w:rPr>
              <w:t>Апрель</w:t>
            </w:r>
          </w:p>
        </w:tc>
        <w:tc>
          <w:tcPr>
            <w:tcW w:w="1503" w:type="dxa"/>
          </w:tcPr>
          <w:p w14:paraId="0E62DEDD" w14:textId="77777777" w:rsidR="009716B6" w:rsidRPr="00DE096C" w:rsidRDefault="009716B6" w:rsidP="00D45A46">
            <w:pPr>
              <w:jc w:val="both"/>
              <w:rPr>
                <w:bCs/>
                <w:color w:val="002060"/>
                <w:sz w:val="16"/>
                <w:szCs w:val="16"/>
              </w:rPr>
            </w:pPr>
            <w:r w:rsidRPr="00DE096C">
              <w:rPr>
                <w:bCs/>
                <w:color w:val="002060"/>
                <w:sz w:val="16"/>
                <w:szCs w:val="16"/>
              </w:rPr>
              <w:t>800</w:t>
            </w:r>
          </w:p>
        </w:tc>
        <w:tc>
          <w:tcPr>
            <w:tcW w:w="1092" w:type="dxa"/>
          </w:tcPr>
          <w:p w14:paraId="020C73A5" w14:textId="77777777" w:rsidR="009716B6" w:rsidRPr="00DE096C" w:rsidRDefault="009716B6" w:rsidP="00D45A46">
            <w:pPr>
              <w:jc w:val="both"/>
              <w:rPr>
                <w:bCs/>
                <w:color w:val="002060"/>
                <w:sz w:val="16"/>
                <w:szCs w:val="16"/>
              </w:rPr>
            </w:pPr>
            <w:r w:rsidRPr="00DE096C">
              <w:rPr>
                <w:bCs/>
                <w:color w:val="002060"/>
                <w:sz w:val="16"/>
                <w:szCs w:val="16"/>
              </w:rPr>
              <w:t>15</w:t>
            </w:r>
          </w:p>
        </w:tc>
        <w:tc>
          <w:tcPr>
            <w:tcW w:w="1792" w:type="dxa"/>
          </w:tcPr>
          <w:p w14:paraId="32BD2CA0" w14:textId="77777777" w:rsidR="009716B6" w:rsidRPr="00DE096C" w:rsidRDefault="009716B6" w:rsidP="00D45A46">
            <w:pPr>
              <w:jc w:val="both"/>
              <w:rPr>
                <w:bCs/>
                <w:color w:val="002060"/>
                <w:sz w:val="16"/>
                <w:szCs w:val="16"/>
              </w:rPr>
            </w:pPr>
            <w:r w:rsidRPr="00DE096C">
              <w:rPr>
                <w:bCs/>
                <w:color w:val="002060"/>
                <w:sz w:val="16"/>
                <w:szCs w:val="16"/>
              </w:rPr>
              <w:t>632,1</w:t>
            </w:r>
          </w:p>
        </w:tc>
        <w:tc>
          <w:tcPr>
            <w:tcW w:w="972" w:type="dxa"/>
          </w:tcPr>
          <w:p w14:paraId="1E65CBFF" w14:textId="77777777" w:rsidR="009716B6" w:rsidRPr="00DE096C" w:rsidRDefault="009716B6" w:rsidP="00D45A46">
            <w:pPr>
              <w:jc w:val="both"/>
              <w:rPr>
                <w:bCs/>
                <w:color w:val="002060"/>
                <w:sz w:val="16"/>
                <w:szCs w:val="16"/>
              </w:rPr>
            </w:pPr>
            <w:r w:rsidRPr="00DE096C">
              <w:rPr>
                <w:bCs/>
                <w:color w:val="002060"/>
                <w:sz w:val="16"/>
                <w:szCs w:val="16"/>
              </w:rPr>
              <w:t>1.432,1</w:t>
            </w:r>
          </w:p>
        </w:tc>
      </w:tr>
      <w:tr w:rsidR="009716B6" w:rsidRPr="00DE096C" w14:paraId="5D9B1829" w14:textId="77777777" w:rsidTr="00D34AC1">
        <w:tc>
          <w:tcPr>
            <w:tcW w:w="1248" w:type="dxa"/>
          </w:tcPr>
          <w:p w14:paraId="0975BCE7" w14:textId="77777777" w:rsidR="009716B6" w:rsidRPr="00DE096C" w:rsidRDefault="009716B6" w:rsidP="00D45A46">
            <w:pPr>
              <w:jc w:val="both"/>
              <w:rPr>
                <w:bCs/>
                <w:color w:val="002060"/>
                <w:sz w:val="16"/>
                <w:szCs w:val="16"/>
              </w:rPr>
            </w:pPr>
            <w:r w:rsidRPr="00DE096C">
              <w:rPr>
                <w:bCs/>
                <w:color w:val="002060"/>
                <w:sz w:val="16"/>
                <w:szCs w:val="16"/>
              </w:rPr>
              <w:t>Май</w:t>
            </w:r>
          </w:p>
        </w:tc>
        <w:tc>
          <w:tcPr>
            <w:tcW w:w="1503" w:type="dxa"/>
          </w:tcPr>
          <w:p w14:paraId="04DCA51E" w14:textId="77777777" w:rsidR="009716B6" w:rsidRPr="00DE096C" w:rsidRDefault="009716B6" w:rsidP="00D45A46">
            <w:pPr>
              <w:jc w:val="both"/>
              <w:rPr>
                <w:bCs/>
                <w:color w:val="002060"/>
                <w:sz w:val="16"/>
                <w:szCs w:val="16"/>
              </w:rPr>
            </w:pPr>
            <w:r w:rsidRPr="00DE096C">
              <w:rPr>
                <w:bCs/>
                <w:color w:val="002060"/>
                <w:sz w:val="16"/>
                <w:szCs w:val="16"/>
              </w:rPr>
              <w:t>800</w:t>
            </w:r>
          </w:p>
        </w:tc>
        <w:tc>
          <w:tcPr>
            <w:tcW w:w="1092" w:type="dxa"/>
          </w:tcPr>
          <w:p w14:paraId="1FB7100C" w14:textId="77777777" w:rsidR="009716B6" w:rsidRPr="00DE096C" w:rsidRDefault="009716B6" w:rsidP="00D45A46">
            <w:pPr>
              <w:jc w:val="both"/>
              <w:rPr>
                <w:bCs/>
                <w:color w:val="002060"/>
                <w:sz w:val="16"/>
                <w:szCs w:val="16"/>
              </w:rPr>
            </w:pPr>
            <w:r w:rsidRPr="00DE096C">
              <w:rPr>
                <w:bCs/>
                <w:color w:val="002060"/>
                <w:sz w:val="16"/>
                <w:szCs w:val="16"/>
              </w:rPr>
              <w:t>18</w:t>
            </w:r>
          </w:p>
        </w:tc>
        <w:tc>
          <w:tcPr>
            <w:tcW w:w="1792" w:type="dxa"/>
          </w:tcPr>
          <w:p w14:paraId="4CEF4CEA" w14:textId="77777777" w:rsidR="009716B6" w:rsidRPr="00DE096C" w:rsidRDefault="009716B6" w:rsidP="00D45A46">
            <w:pPr>
              <w:jc w:val="both"/>
              <w:rPr>
                <w:bCs/>
                <w:color w:val="002060"/>
                <w:sz w:val="16"/>
                <w:szCs w:val="16"/>
              </w:rPr>
            </w:pPr>
            <w:r w:rsidRPr="00DE096C">
              <w:rPr>
                <w:bCs/>
                <w:color w:val="002060"/>
                <w:sz w:val="16"/>
                <w:szCs w:val="16"/>
              </w:rPr>
              <w:t>739,8</w:t>
            </w:r>
          </w:p>
        </w:tc>
        <w:tc>
          <w:tcPr>
            <w:tcW w:w="972" w:type="dxa"/>
          </w:tcPr>
          <w:p w14:paraId="13667B76" w14:textId="77777777" w:rsidR="009716B6" w:rsidRPr="00DE096C" w:rsidRDefault="009716B6" w:rsidP="00D45A46">
            <w:pPr>
              <w:jc w:val="both"/>
              <w:rPr>
                <w:bCs/>
                <w:color w:val="002060"/>
                <w:sz w:val="16"/>
                <w:szCs w:val="16"/>
              </w:rPr>
            </w:pPr>
            <w:r w:rsidRPr="00DE096C">
              <w:rPr>
                <w:bCs/>
                <w:color w:val="002060"/>
                <w:sz w:val="16"/>
                <w:szCs w:val="16"/>
              </w:rPr>
              <w:t>1.539,8</w:t>
            </w:r>
          </w:p>
        </w:tc>
      </w:tr>
      <w:tr w:rsidR="009716B6" w:rsidRPr="00DE096C" w14:paraId="312787E5" w14:textId="77777777" w:rsidTr="00D34AC1">
        <w:tc>
          <w:tcPr>
            <w:tcW w:w="1248" w:type="dxa"/>
          </w:tcPr>
          <w:p w14:paraId="21FAC2E0" w14:textId="77777777" w:rsidR="009716B6" w:rsidRPr="00DE096C" w:rsidRDefault="009716B6" w:rsidP="00D45A46">
            <w:pPr>
              <w:jc w:val="both"/>
              <w:rPr>
                <w:bCs/>
                <w:color w:val="002060"/>
                <w:sz w:val="16"/>
                <w:szCs w:val="16"/>
              </w:rPr>
            </w:pPr>
            <w:r w:rsidRPr="00DE096C">
              <w:rPr>
                <w:bCs/>
                <w:color w:val="002060"/>
                <w:sz w:val="16"/>
                <w:szCs w:val="16"/>
              </w:rPr>
              <w:t>Июнь</w:t>
            </w:r>
          </w:p>
        </w:tc>
        <w:tc>
          <w:tcPr>
            <w:tcW w:w="1503" w:type="dxa"/>
          </w:tcPr>
          <w:p w14:paraId="2C12C705" w14:textId="77777777" w:rsidR="009716B6" w:rsidRPr="00DE096C" w:rsidRDefault="009716B6" w:rsidP="00D45A46">
            <w:pPr>
              <w:jc w:val="both"/>
              <w:rPr>
                <w:bCs/>
                <w:color w:val="002060"/>
                <w:sz w:val="16"/>
                <w:szCs w:val="16"/>
              </w:rPr>
            </w:pPr>
            <w:r w:rsidRPr="00DE096C">
              <w:rPr>
                <w:bCs/>
                <w:color w:val="002060"/>
                <w:sz w:val="16"/>
                <w:szCs w:val="16"/>
              </w:rPr>
              <w:t>800</w:t>
            </w:r>
          </w:p>
        </w:tc>
        <w:tc>
          <w:tcPr>
            <w:tcW w:w="1092" w:type="dxa"/>
          </w:tcPr>
          <w:p w14:paraId="6769D4C5" w14:textId="77777777" w:rsidR="009716B6" w:rsidRPr="00DE096C" w:rsidRDefault="009716B6" w:rsidP="00D45A46">
            <w:pPr>
              <w:jc w:val="both"/>
              <w:rPr>
                <w:bCs/>
                <w:color w:val="002060"/>
                <w:sz w:val="16"/>
                <w:szCs w:val="16"/>
              </w:rPr>
            </w:pPr>
            <w:r w:rsidRPr="00DE096C">
              <w:rPr>
                <w:bCs/>
                <w:color w:val="002060"/>
                <w:sz w:val="16"/>
                <w:szCs w:val="16"/>
              </w:rPr>
              <w:t>18</w:t>
            </w:r>
          </w:p>
        </w:tc>
        <w:tc>
          <w:tcPr>
            <w:tcW w:w="1792" w:type="dxa"/>
          </w:tcPr>
          <w:p w14:paraId="62146E1E" w14:textId="77777777" w:rsidR="009716B6" w:rsidRPr="00DE096C" w:rsidRDefault="009716B6" w:rsidP="00D45A46">
            <w:pPr>
              <w:jc w:val="both"/>
              <w:rPr>
                <w:bCs/>
                <w:color w:val="002060"/>
                <w:sz w:val="16"/>
                <w:szCs w:val="16"/>
              </w:rPr>
            </w:pPr>
            <w:r w:rsidRPr="00DE096C">
              <w:rPr>
                <w:bCs/>
                <w:color w:val="002060"/>
                <w:sz w:val="16"/>
                <w:szCs w:val="16"/>
              </w:rPr>
              <w:t>739,8</w:t>
            </w:r>
          </w:p>
        </w:tc>
        <w:tc>
          <w:tcPr>
            <w:tcW w:w="972" w:type="dxa"/>
          </w:tcPr>
          <w:p w14:paraId="44D16BF6" w14:textId="77777777" w:rsidR="009716B6" w:rsidRPr="00DE096C" w:rsidRDefault="009716B6" w:rsidP="00D45A46">
            <w:pPr>
              <w:jc w:val="both"/>
              <w:rPr>
                <w:bCs/>
                <w:color w:val="002060"/>
                <w:sz w:val="16"/>
                <w:szCs w:val="16"/>
              </w:rPr>
            </w:pPr>
            <w:r w:rsidRPr="00DE096C">
              <w:rPr>
                <w:bCs/>
                <w:color w:val="002060"/>
                <w:sz w:val="16"/>
                <w:szCs w:val="16"/>
              </w:rPr>
              <w:t>1.539,8</w:t>
            </w:r>
          </w:p>
        </w:tc>
      </w:tr>
      <w:tr w:rsidR="009716B6" w:rsidRPr="00DE096C" w14:paraId="020FCFD1" w14:textId="77777777" w:rsidTr="00D34AC1">
        <w:tc>
          <w:tcPr>
            <w:tcW w:w="1248" w:type="dxa"/>
          </w:tcPr>
          <w:p w14:paraId="549539A0" w14:textId="77777777" w:rsidR="009716B6" w:rsidRPr="00DE096C" w:rsidRDefault="009716B6" w:rsidP="00D45A46">
            <w:pPr>
              <w:jc w:val="both"/>
              <w:rPr>
                <w:bCs/>
                <w:color w:val="002060"/>
                <w:sz w:val="16"/>
                <w:szCs w:val="16"/>
              </w:rPr>
            </w:pPr>
            <w:r w:rsidRPr="00DE096C">
              <w:rPr>
                <w:bCs/>
                <w:color w:val="002060"/>
                <w:sz w:val="16"/>
                <w:szCs w:val="16"/>
              </w:rPr>
              <w:t>Июль</w:t>
            </w:r>
          </w:p>
        </w:tc>
        <w:tc>
          <w:tcPr>
            <w:tcW w:w="1503" w:type="dxa"/>
          </w:tcPr>
          <w:p w14:paraId="7BD09C5E" w14:textId="77777777" w:rsidR="009716B6" w:rsidRPr="00DE096C" w:rsidRDefault="009716B6" w:rsidP="00D45A46">
            <w:pPr>
              <w:jc w:val="both"/>
              <w:rPr>
                <w:bCs/>
                <w:color w:val="002060"/>
                <w:sz w:val="16"/>
                <w:szCs w:val="16"/>
              </w:rPr>
            </w:pPr>
            <w:r w:rsidRPr="00DE096C">
              <w:rPr>
                <w:bCs/>
                <w:color w:val="002060"/>
                <w:sz w:val="16"/>
                <w:szCs w:val="16"/>
              </w:rPr>
              <w:t>800</w:t>
            </w:r>
          </w:p>
        </w:tc>
        <w:tc>
          <w:tcPr>
            <w:tcW w:w="1092" w:type="dxa"/>
          </w:tcPr>
          <w:p w14:paraId="0D0BBBE9" w14:textId="77777777" w:rsidR="009716B6" w:rsidRPr="00DE096C" w:rsidRDefault="009716B6" w:rsidP="00D45A46">
            <w:pPr>
              <w:jc w:val="both"/>
              <w:rPr>
                <w:bCs/>
                <w:color w:val="002060"/>
                <w:sz w:val="16"/>
                <w:szCs w:val="16"/>
              </w:rPr>
            </w:pPr>
            <w:r w:rsidRPr="00DE096C">
              <w:rPr>
                <w:bCs/>
                <w:color w:val="002060"/>
                <w:sz w:val="16"/>
                <w:szCs w:val="16"/>
              </w:rPr>
              <w:t>23</w:t>
            </w:r>
          </w:p>
        </w:tc>
        <w:tc>
          <w:tcPr>
            <w:tcW w:w="1792" w:type="dxa"/>
          </w:tcPr>
          <w:p w14:paraId="16349391" w14:textId="77777777" w:rsidR="009716B6" w:rsidRPr="00DE096C" w:rsidRDefault="009716B6" w:rsidP="00D45A46">
            <w:pPr>
              <w:jc w:val="both"/>
              <w:rPr>
                <w:bCs/>
                <w:color w:val="002060"/>
                <w:sz w:val="16"/>
                <w:szCs w:val="16"/>
              </w:rPr>
            </w:pPr>
            <w:r w:rsidRPr="00DE096C">
              <w:rPr>
                <w:bCs/>
                <w:color w:val="002060"/>
                <w:sz w:val="16"/>
                <w:szCs w:val="16"/>
              </w:rPr>
              <w:t>932,4</w:t>
            </w:r>
          </w:p>
        </w:tc>
        <w:tc>
          <w:tcPr>
            <w:tcW w:w="972" w:type="dxa"/>
          </w:tcPr>
          <w:p w14:paraId="7A0DE4CF" w14:textId="77777777" w:rsidR="009716B6" w:rsidRPr="00DE096C" w:rsidRDefault="009716B6" w:rsidP="00D45A46">
            <w:pPr>
              <w:jc w:val="both"/>
              <w:rPr>
                <w:bCs/>
                <w:color w:val="002060"/>
                <w:sz w:val="16"/>
                <w:szCs w:val="16"/>
              </w:rPr>
            </w:pPr>
            <w:r w:rsidRPr="00DE096C">
              <w:rPr>
                <w:bCs/>
                <w:color w:val="002060"/>
                <w:sz w:val="16"/>
                <w:szCs w:val="16"/>
              </w:rPr>
              <w:t>1.732,4</w:t>
            </w:r>
          </w:p>
        </w:tc>
      </w:tr>
      <w:tr w:rsidR="009716B6" w:rsidRPr="00DE096C" w14:paraId="791050D6" w14:textId="77777777" w:rsidTr="00D34AC1">
        <w:tc>
          <w:tcPr>
            <w:tcW w:w="1248" w:type="dxa"/>
          </w:tcPr>
          <w:p w14:paraId="33A426B8" w14:textId="77777777" w:rsidR="009716B6" w:rsidRPr="00DE096C" w:rsidRDefault="009716B6" w:rsidP="00D45A46">
            <w:pPr>
              <w:jc w:val="both"/>
              <w:rPr>
                <w:bCs/>
                <w:color w:val="002060"/>
                <w:sz w:val="16"/>
                <w:szCs w:val="16"/>
              </w:rPr>
            </w:pPr>
            <w:r w:rsidRPr="00DE096C">
              <w:rPr>
                <w:bCs/>
                <w:color w:val="002060"/>
                <w:sz w:val="16"/>
                <w:szCs w:val="16"/>
              </w:rPr>
              <w:t>Август</w:t>
            </w:r>
          </w:p>
        </w:tc>
        <w:tc>
          <w:tcPr>
            <w:tcW w:w="1503" w:type="dxa"/>
          </w:tcPr>
          <w:p w14:paraId="3B6E379D" w14:textId="77777777" w:rsidR="009716B6" w:rsidRPr="00DE096C" w:rsidRDefault="009716B6" w:rsidP="00D45A46">
            <w:pPr>
              <w:jc w:val="both"/>
              <w:rPr>
                <w:bCs/>
                <w:color w:val="002060"/>
                <w:sz w:val="16"/>
                <w:szCs w:val="16"/>
              </w:rPr>
            </w:pPr>
            <w:r w:rsidRPr="00DE096C">
              <w:rPr>
                <w:bCs/>
                <w:color w:val="002060"/>
                <w:sz w:val="16"/>
                <w:szCs w:val="16"/>
              </w:rPr>
              <w:t>800</w:t>
            </w:r>
          </w:p>
        </w:tc>
        <w:tc>
          <w:tcPr>
            <w:tcW w:w="1092" w:type="dxa"/>
          </w:tcPr>
          <w:p w14:paraId="0E58598E" w14:textId="77777777" w:rsidR="009716B6" w:rsidRPr="00DE096C" w:rsidRDefault="009716B6" w:rsidP="00D45A46">
            <w:pPr>
              <w:jc w:val="both"/>
              <w:rPr>
                <w:bCs/>
                <w:color w:val="002060"/>
                <w:sz w:val="16"/>
                <w:szCs w:val="16"/>
              </w:rPr>
            </w:pPr>
            <w:r w:rsidRPr="00DE096C">
              <w:rPr>
                <w:bCs/>
                <w:color w:val="002060"/>
                <w:sz w:val="16"/>
                <w:szCs w:val="16"/>
              </w:rPr>
              <w:t>23</w:t>
            </w:r>
          </w:p>
        </w:tc>
        <w:tc>
          <w:tcPr>
            <w:tcW w:w="1792" w:type="dxa"/>
          </w:tcPr>
          <w:p w14:paraId="6E70560E" w14:textId="77777777" w:rsidR="009716B6" w:rsidRPr="00DE096C" w:rsidRDefault="009716B6" w:rsidP="00D45A46">
            <w:pPr>
              <w:jc w:val="both"/>
              <w:rPr>
                <w:bCs/>
                <w:color w:val="002060"/>
                <w:sz w:val="16"/>
                <w:szCs w:val="16"/>
              </w:rPr>
            </w:pPr>
            <w:r w:rsidRPr="00DE096C">
              <w:rPr>
                <w:bCs/>
                <w:color w:val="002060"/>
                <w:sz w:val="16"/>
                <w:szCs w:val="16"/>
              </w:rPr>
              <w:t>932,4</w:t>
            </w:r>
          </w:p>
        </w:tc>
        <w:tc>
          <w:tcPr>
            <w:tcW w:w="972" w:type="dxa"/>
          </w:tcPr>
          <w:p w14:paraId="66A23D23" w14:textId="77777777" w:rsidR="009716B6" w:rsidRPr="00DE096C" w:rsidRDefault="009716B6" w:rsidP="00D45A46">
            <w:pPr>
              <w:jc w:val="both"/>
              <w:rPr>
                <w:bCs/>
                <w:color w:val="002060"/>
                <w:sz w:val="16"/>
                <w:szCs w:val="16"/>
              </w:rPr>
            </w:pPr>
            <w:r w:rsidRPr="00DE096C">
              <w:rPr>
                <w:bCs/>
                <w:color w:val="002060"/>
                <w:sz w:val="16"/>
                <w:szCs w:val="16"/>
              </w:rPr>
              <w:t>1.732,4</w:t>
            </w:r>
          </w:p>
        </w:tc>
      </w:tr>
      <w:tr w:rsidR="009716B6" w:rsidRPr="00DE096C" w14:paraId="38F503AF" w14:textId="77777777" w:rsidTr="00D34AC1">
        <w:tc>
          <w:tcPr>
            <w:tcW w:w="1248" w:type="dxa"/>
          </w:tcPr>
          <w:p w14:paraId="01FA1BE1" w14:textId="77777777" w:rsidR="009716B6" w:rsidRPr="00DE096C" w:rsidRDefault="009716B6" w:rsidP="00D45A46">
            <w:pPr>
              <w:jc w:val="both"/>
              <w:rPr>
                <w:bCs/>
                <w:color w:val="002060"/>
                <w:sz w:val="16"/>
                <w:szCs w:val="16"/>
              </w:rPr>
            </w:pPr>
            <w:r w:rsidRPr="00DE096C">
              <w:rPr>
                <w:bCs/>
                <w:color w:val="002060"/>
                <w:sz w:val="16"/>
                <w:szCs w:val="16"/>
              </w:rPr>
              <w:t>Сентябрь</w:t>
            </w:r>
          </w:p>
        </w:tc>
        <w:tc>
          <w:tcPr>
            <w:tcW w:w="1503" w:type="dxa"/>
          </w:tcPr>
          <w:p w14:paraId="730C3D35" w14:textId="77777777" w:rsidR="009716B6" w:rsidRPr="00DE096C" w:rsidRDefault="009716B6" w:rsidP="00D45A46">
            <w:pPr>
              <w:jc w:val="both"/>
              <w:rPr>
                <w:bCs/>
                <w:color w:val="002060"/>
                <w:sz w:val="16"/>
                <w:szCs w:val="16"/>
              </w:rPr>
            </w:pPr>
            <w:r w:rsidRPr="00DE096C">
              <w:rPr>
                <w:bCs/>
                <w:color w:val="002060"/>
                <w:sz w:val="16"/>
                <w:szCs w:val="16"/>
              </w:rPr>
              <w:t>800</w:t>
            </w:r>
          </w:p>
        </w:tc>
        <w:tc>
          <w:tcPr>
            <w:tcW w:w="1092" w:type="dxa"/>
          </w:tcPr>
          <w:p w14:paraId="37951C7C" w14:textId="77777777" w:rsidR="009716B6" w:rsidRPr="00DE096C" w:rsidRDefault="009716B6" w:rsidP="00D45A46">
            <w:pPr>
              <w:jc w:val="both"/>
              <w:rPr>
                <w:bCs/>
                <w:color w:val="002060"/>
                <w:sz w:val="16"/>
                <w:szCs w:val="16"/>
              </w:rPr>
            </w:pPr>
            <w:r w:rsidRPr="00DE096C">
              <w:rPr>
                <w:bCs/>
                <w:color w:val="002060"/>
                <w:sz w:val="16"/>
                <w:szCs w:val="16"/>
              </w:rPr>
              <w:t>28</w:t>
            </w:r>
          </w:p>
        </w:tc>
        <w:tc>
          <w:tcPr>
            <w:tcW w:w="1792" w:type="dxa"/>
          </w:tcPr>
          <w:p w14:paraId="6E727FC2" w14:textId="77777777" w:rsidR="009716B6" w:rsidRPr="00DE096C" w:rsidRDefault="009716B6" w:rsidP="00D45A46">
            <w:pPr>
              <w:jc w:val="both"/>
              <w:rPr>
                <w:bCs/>
                <w:color w:val="002060"/>
                <w:sz w:val="16"/>
                <w:szCs w:val="16"/>
              </w:rPr>
            </w:pPr>
            <w:r w:rsidRPr="00DE096C">
              <w:rPr>
                <w:bCs/>
                <w:color w:val="002060"/>
                <w:sz w:val="16"/>
                <w:szCs w:val="16"/>
              </w:rPr>
              <w:t>1.064,7</w:t>
            </w:r>
          </w:p>
        </w:tc>
        <w:tc>
          <w:tcPr>
            <w:tcW w:w="972" w:type="dxa"/>
          </w:tcPr>
          <w:p w14:paraId="399C36F4" w14:textId="77777777" w:rsidR="009716B6" w:rsidRPr="00DE096C" w:rsidRDefault="009716B6" w:rsidP="00D45A46">
            <w:pPr>
              <w:jc w:val="both"/>
              <w:rPr>
                <w:bCs/>
                <w:color w:val="002060"/>
                <w:sz w:val="16"/>
                <w:szCs w:val="16"/>
              </w:rPr>
            </w:pPr>
            <w:r w:rsidRPr="00DE096C">
              <w:rPr>
                <w:bCs/>
                <w:color w:val="002060"/>
                <w:sz w:val="16"/>
                <w:szCs w:val="16"/>
              </w:rPr>
              <w:t>1.864,7</w:t>
            </w:r>
          </w:p>
        </w:tc>
      </w:tr>
      <w:tr w:rsidR="009716B6" w:rsidRPr="00DE096C" w14:paraId="795BC25E" w14:textId="77777777" w:rsidTr="00D34AC1">
        <w:tc>
          <w:tcPr>
            <w:tcW w:w="1248" w:type="dxa"/>
          </w:tcPr>
          <w:p w14:paraId="2A9B30A2" w14:textId="77777777" w:rsidR="009716B6" w:rsidRPr="00DE096C" w:rsidRDefault="009716B6" w:rsidP="00D45A46">
            <w:pPr>
              <w:jc w:val="both"/>
              <w:rPr>
                <w:bCs/>
                <w:color w:val="002060"/>
                <w:sz w:val="16"/>
                <w:szCs w:val="16"/>
              </w:rPr>
            </w:pPr>
            <w:r w:rsidRPr="00DE096C">
              <w:rPr>
                <w:bCs/>
                <w:color w:val="002060"/>
                <w:sz w:val="16"/>
                <w:szCs w:val="16"/>
              </w:rPr>
              <w:t>Октябрь</w:t>
            </w:r>
          </w:p>
        </w:tc>
        <w:tc>
          <w:tcPr>
            <w:tcW w:w="1503" w:type="dxa"/>
          </w:tcPr>
          <w:p w14:paraId="1EA58B73" w14:textId="77777777" w:rsidR="009716B6" w:rsidRPr="00DE096C" w:rsidRDefault="009716B6" w:rsidP="00D45A46">
            <w:pPr>
              <w:jc w:val="both"/>
              <w:rPr>
                <w:bCs/>
                <w:color w:val="002060"/>
                <w:sz w:val="16"/>
                <w:szCs w:val="16"/>
              </w:rPr>
            </w:pPr>
            <w:r w:rsidRPr="00DE096C">
              <w:rPr>
                <w:bCs/>
                <w:color w:val="002060"/>
                <w:sz w:val="16"/>
                <w:szCs w:val="16"/>
              </w:rPr>
              <w:t>800</w:t>
            </w:r>
          </w:p>
        </w:tc>
        <w:tc>
          <w:tcPr>
            <w:tcW w:w="1092" w:type="dxa"/>
          </w:tcPr>
          <w:p w14:paraId="4FE37106" w14:textId="77777777" w:rsidR="009716B6" w:rsidRPr="00DE096C" w:rsidRDefault="009716B6" w:rsidP="00D45A46">
            <w:pPr>
              <w:jc w:val="both"/>
              <w:rPr>
                <w:bCs/>
                <w:color w:val="002060"/>
                <w:sz w:val="16"/>
                <w:szCs w:val="16"/>
              </w:rPr>
            </w:pPr>
            <w:r w:rsidRPr="00DE096C">
              <w:rPr>
                <w:bCs/>
                <w:color w:val="002060"/>
                <w:sz w:val="16"/>
                <w:szCs w:val="16"/>
              </w:rPr>
              <w:t>28</w:t>
            </w:r>
          </w:p>
        </w:tc>
        <w:tc>
          <w:tcPr>
            <w:tcW w:w="1792" w:type="dxa"/>
          </w:tcPr>
          <w:p w14:paraId="6373E080" w14:textId="77777777" w:rsidR="009716B6" w:rsidRPr="00DE096C" w:rsidRDefault="009716B6" w:rsidP="00D45A46">
            <w:pPr>
              <w:jc w:val="both"/>
              <w:rPr>
                <w:bCs/>
                <w:color w:val="002060"/>
                <w:sz w:val="16"/>
                <w:szCs w:val="16"/>
              </w:rPr>
            </w:pPr>
            <w:r w:rsidRPr="00DE096C">
              <w:rPr>
                <w:bCs/>
                <w:color w:val="002060"/>
                <w:sz w:val="16"/>
                <w:szCs w:val="16"/>
              </w:rPr>
              <w:t>1.064,7</w:t>
            </w:r>
          </w:p>
        </w:tc>
        <w:tc>
          <w:tcPr>
            <w:tcW w:w="972" w:type="dxa"/>
          </w:tcPr>
          <w:p w14:paraId="6F7868DC" w14:textId="77777777" w:rsidR="009716B6" w:rsidRPr="00DE096C" w:rsidRDefault="009716B6" w:rsidP="00D45A46">
            <w:pPr>
              <w:jc w:val="both"/>
              <w:rPr>
                <w:bCs/>
                <w:color w:val="002060"/>
                <w:sz w:val="16"/>
                <w:szCs w:val="16"/>
              </w:rPr>
            </w:pPr>
            <w:r w:rsidRPr="00DE096C">
              <w:rPr>
                <w:bCs/>
                <w:color w:val="002060"/>
                <w:sz w:val="16"/>
                <w:szCs w:val="16"/>
              </w:rPr>
              <w:t>1.864,7</w:t>
            </w:r>
          </w:p>
        </w:tc>
      </w:tr>
      <w:tr w:rsidR="009716B6" w:rsidRPr="00DE096C" w14:paraId="1DF86A6F" w14:textId="77777777" w:rsidTr="00D34AC1">
        <w:tc>
          <w:tcPr>
            <w:tcW w:w="1248" w:type="dxa"/>
          </w:tcPr>
          <w:p w14:paraId="503C997E" w14:textId="77777777" w:rsidR="009716B6" w:rsidRPr="00DE096C" w:rsidRDefault="009716B6" w:rsidP="00D45A46">
            <w:pPr>
              <w:jc w:val="both"/>
              <w:rPr>
                <w:bCs/>
                <w:color w:val="002060"/>
                <w:sz w:val="16"/>
                <w:szCs w:val="16"/>
              </w:rPr>
            </w:pPr>
            <w:r w:rsidRPr="00DE096C">
              <w:rPr>
                <w:bCs/>
                <w:color w:val="002060"/>
                <w:sz w:val="16"/>
                <w:szCs w:val="16"/>
              </w:rPr>
              <w:t>Ноябрь</w:t>
            </w:r>
          </w:p>
        </w:tc>
        <w:tc>
          <w:tcPr>
            <w:tcW w:w="1503" w:type="dxa"/>
          </w:tcPr>
          <w:p w14:paraId="3FD94EAA" w14:textId="77777777" w:rsidR="009716B6" w:rsidRPr="00DE096C" w:rsidRDefault="009716B6" w:rsidP="00D45A46">
            <w:pPr>
              <w:jc w:val="both"/>
              <w:rPr>
                <w:bCs/>
                <w:color w:val="002060"/>
                <w:sz w:val="16"/>
                <w:szCs w:val="16"/>
              </w:rPr>
            </w:pPr>
            <w:r w:rsidRPr="00DE096C">
              <w:rPr>
                <w:bCs/>
                <w:color w:val="002060"/>
                <w:sz w:val="16"/>
                <w:szCs w:val="16"/>
              </w:rPr>
              <w:t>800</w:t>
            </w:r>
          </w:p>
        </w:tc>
        <w:tc>
          <w:tcPr>
            <w:tcW w:w="1092" w:type="dxa"/>
          </w:tcPr>
          <w:p w14:paraId="0EABAC13" w14:textId="77777777" w:rsidR="009716B6" w:rsidRPr="00DE096C" w:rsidRDefault="009716B6" w:rsidP="00D45A46">
            <w:pPr>
              <w:jc w:val="both"/>
              <w:rPr>
                <w:bCs/>
                <w:color w:val="002060"/>
                <w:sz w:val="16"/>
                <w:szCs w:val="16"/>
              </w:rPr>
            </w:pPr>
            <w:r w:rsidRPr="00DE096C">
              <w:rPr>
                <w:bCs/>
                <w:color w:val="002060"/>
                <w:sz w:val="16"/>
                <w:szCs w:val="16"/>
              </w:rPr>
              <w:t>28</w:t>
            </w:r>
          </w:p>
        </w:tc>
        <w:tc>
          <w:tcPr>
            <w:tcW w:w="1792" w:type="dxa"/>
          </w:tcPr>
          <w:p w14:paraId="6AF4FFFC" w14:textId="77777777" w:rsidR="009716B6" w:rsidRPr="00DE096C" w:rsidRDefault="009716B6" w:rsidP="00D45A46">
            <w:pPr>
              <w:jc w:val="both"/>
              <w:rPr>
                <w:bCs/>
                <w:color w:val="002060"/>
                <w:sz w:val="16"/>
                <w:szCs w:val="16"/>
              </w:rPr>
            </w:pPr>
            <w:r w:rsidRPr="00DE096C">
              <w:rPr>
                <w:bCs/>
                <w:color w:val="002060"/>
                <w:sz w:val="16"/>
                <w:szCs w:val="16"/>
              </w:rPr>
              <w:t>1.064,7</w:t>
            </w:r>
          </w:p>
        </w:tc>
        <w:tc>
          <w:tcPr>
            <w:tcW w:w="972" w:type="dxa"/>
          </w:tcPr>
          <w:p w14:paraId="540D5165" w14:textId="77777777" w:rsidR="009716B6" w:rsidRPr="00DE096C" w:rsidRDefault="009716B6" w:rsidP="00D45A46">
            <w:pPr>
              <w:jc w:val="both"/>
              <w:rPr>
                <w:bCs/>
                <w:color w:val="002060"/>
                <w:sz w:val="16"/>
                <w:szCs w:val="16"/>
              </w:rPr>
            </w:pPr>
            <w:r w:rsidRPr="00DE096C">
              <w:rPr>
                <w:bCs/>
                <w:color w:val="002060"/>
                <w:sz w:val="16"/>
                <w:szCs w:val="16"/>
              </w:rPr>
              <w:t>1.864,7</w:t>
            </w:r>
          </w:p>
        </w:tc>
      </w:tr>
      <w:tr w:rsidR="009716B6" w:rsidRPr="00DE096C" w14:paraId="6774E3E1" w14:textId="77777777" w:rsidTr="00D34AC1">
        <w:tc>
          <w:tcPr>
            <w:tcW w:w="1248" w:type="dxa"/>
          </w:tcPr>
          <w:p w14:paraId="5E17D686" w14:textId="77777777" w:rsidR="009716B6" w:rsidRPr="00DE096C" w:rsidRDefault="009716B6" w:rsidP="00D45A46">
            <w:pPr>
              <w:jc w:val="both"/>
              <w:rPr>
                <w:bCs/>
                <w:color w:val="002060"/>
                <w:sz w:val="16"/>
                <w:szCs w:val="16"/>
              </w:rPr>
            </w:pPr>
            <w:r w:rsidRPr="00DE096C">
              <w:rPr>
                <w:bCs/>
                <w:color w:val="002060"/>
                <w:sz w:val="16"/>
                <w:szCs w:val="16"/>
              </w:rPr>
              <w:t>Декабрь</w:t>
            </w:r>
          </w:p>
        </w:tc>
        <w:tc>
          <w:tcPr>
            <w:tcW w:w="1503" w:type="dxa"/>
          </w:tcPr>
          <w:p w14:paraId="538DC758" w14:textId="77777777" w:rsidR="009716B6" w:rsidRPr="00DE096C" w:rsidRDefault="009716B6" w:rsidP="00D45A46">
            <w:pPr>
              <w:jc w:val="both"/>
              <w:rPr>
                <w:bCs/>
                <w:color w:val="002060"/>
                <w:sz w:val="16"/>
                <w:szCs w:val="16"/>
              </w:rPr>
            </w:pPr>
            <w:r w:rsidRPr="00DE096C">
              <w:rPr>
                <w:bCs/>
                <w:color w:val="002060"/>
                <w:sz w:val="16"/>
                <w:szCs w:val="16"/>
              </w:rPr>
              <w:t>800</w:t>
            </w:r>
          </w:p>
        </w:tc>
        <w:tc>
          <w:tcPr>
            <w:tcW w:w="1092" w:type="dxa"/>
          </w:tcPr>
          <w:p w14:paraId="01254DB2" w14:textId="77777777" w:rsidR="009716B6" w:rsidRPr="00DE096C" w:rsidRDefault="009716B6" w:rsidP="00D45A46">
            <w:pPr>
              <w:jc w:val="both"/>
              <w:rPr>
                <w:bCs/>
                <w:color w:val="002060"/>
                <w:sz w:val="16"/>
                <w:szCs w:val="16"/>
              </w:rPr>
            </w:pPr>
            <w:r w:rsidRPr="00DE096C">
              <w:rPr>
                <w:bCs/>
                <w:color w:val="002060"/>
                <w:sz w:val="16"/>
                <w:szCs w:val="16"/>
              </w:rPr>
              <w:t>28</w:t>
            </w:r>
          </w:p>
        </w:tc>
        <w:tc>
          <w:tcPr>
            <w:tcW w:w="1792" w:type="dxa"/>
          </w:tcPr>
          <w:p w14:paraId="0F224729" w14:textId="77777777" w:rsidR="009716B6" w:rsidRPr="00DE096C" w:rsidRDefault="009716B6" w:rsidP="00D45A46">
            <w:pPr>
              <w:jc w:val="both"/>
              <w:rPr>
                <w:bCs/>
                <w:color w:val="002060"/>
                <w:sz w:val="16"/>
                <w:szCs w:val="16"/>
              </w:rPr>
            </w:pPr>
            <w:r w:rsidRPr="00DE096C">
              <w:rPr>
                <w:bCs/>
                <w:color w:val="002060"/>
                <w:sz w:val="16"/>
                <w:szCs w:val="16"/>
              </w:rPr>
              <w:t>1.064,7</w:t>
            </w:r>
          </w:p>
        </w:tc>
        <w:tc>
          <w:tcPr>
            <w:tcW w:w="972" w:type="dxa"/>
          </w:tcPr>
          <w:p w14:paraId="3110AACA" w14:textId="77777777" w:rsidR="009716B6" w:rsidRPr="00DE096C" w:rsidRDefault="009716B6" w:rsidP="00D45A46">
            <w:pPr>
              <w:jc w:val="both"/>
              <w:rPr>
                <w:bCs/>
                <w:color w:val="002060"/>
                <w:sz w:val="16"/>
                <w:szCs w:val="16"/>
              </w:rPr>
            </w:pPr>
            <w:r w:rsidRPr="00DE096C">
              <w:rPr>
                <w:bCs/>
                <w:color w:val="002060"/>
                <w:sz w:val="16"/>
                <w:szCs w:val="16"/>
              </w:rPr>
              <w:t>1.864,7</w:t>
            </w:r>
          </w:p>
        </w:tc>
      </w:tr>
    </w:tbl>
    <w:p w14:paraId="0A5724CB" w14:textId="77777777" w:rsidR="009716B6" w:rsidRPr="00DE096C" w:rsidRDefault="009716B6" w:rsidP="00D45A46">
      <w:pPr>
        <w:jc w:val="both"/>
        <w:rPr>
          <w:bCs/>
          <w:color w:val="002060"/>
          <w:sz w:val="16"/>
          <w:szCs w:val="16"/>
        </w:rPr>
      </w:pPr>
      <w:r w:rsidRPr="00DE096C">
        <w:rPr>
          <w:bCs/>
          <w:color w:val="002060"/>
          <w:sz w:val="16"/>
          <w:szCs w:val="16"/>
        </w:rPr>
        <w:t>Фактически эта программа выполнялась на 80%.</w:t>
      </w:r>
    </w:p>
    <w:p w14:paraId="4C2B26B5" w14:textId="77777777" w:rsidR="009716B6" w:rsidRPr="00DE096C" w:rsidRDefault="009716B6" w:rsidP="00D45A46">
      <w:pPr>
        <w:jc w:val="both"/>
        <w:rPr>
          <w:bCs/>
          <w:color w:val="002060"/>
          <w:sz w:val="16"/>
          <w:szCs w:val="16"/>
        </w:rPr>
      </w:pPr>
      <w:r w:rsidRPr="00DE096C">
        <w:rPr>
          <w:bCs/>
          <w:color w:val="002060"/>
          <w:sz w:val="16"/>
          <w:szCs w:val="16"/>
        </w:rPr>
        <w:t xml:space="preserve"> Что касается добычи колчедана, то в связи с программой сернокислотных заводов программа по колчедану была намечена следующая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652"/>
        <w:gridCol w:w="612"/>
        <w:gridCol w:w="650"/>
        <w:gridCol w:w="636"/>
        <w:gridCol w:w="728"/>
      </w:tblGrid>
      <w:tr w:rsidR="009716B6" w:rsidRPr="00DE096C" w14:paraId="620368E8" w14:textId="77777777" w:rsidTr="00D34AC1">
        <w:tc>
          <w:tcPr>
            <w:tcW w:w="2652" w:type="dxa"/>
          </w:tcPr>
          <w:p w14:paraId="2E78D8FA" w14:textId="77777777" w:rsidR="009716B6" w:rsidRPr="00DE096C" w:rsidRDefault="009716B6" w:rsidP="00D45A46">
            <w:pPr>
              <w:jc w:val="both"/>
              <w:rPr>
                <w:bCs/>
                <w:color w:val="002060"/>
                <w:sz w:val="16"/>
                <w:szCs w:val="16"/>
              </w:rPr>
            </w:pPr>
            <w:r w:rsidRPr="00DE096C">
              <w:rPr>
                <w:bCs/>
                <w:color w:val="002060"/>
                <w:sz w:val="16"/>
                <w:szCs w:val="16"/>
              </w:rPr>
              <w:t> </w:t>
            </w:r>
          </w:p>
        </w:tc>
        <w:tc>
          <w:tcPr>
            <w:tcW w:w="612" w:type="dxa"/>
          </w:tcPr>
          <w:p w14:paraId="6D28C5E2" w14:textId="77777777" w:rsidR="009716B6" w:rsidRPr="00DE096C" w:rsidRDefault="009716B6" w:rsidP="00D45A46">
            <w:pPr>
              <w:jc w:val="both"/>
              <w:rPr>
                <w:bCs/>
                <w:color w:val="002060"/>
                <w:sz w:val="16"/>
                <w:szCs w:val="16"/>
              </w:rPr>
            </w:pPr>
            <w:r w:rsidRPr="00DE096C">
              <w:rPr>
                <w:bCs/>
                <w:color w:val="002060"/>
                <w:sz w:val="16"/>
                <w:szCs w:val="16"/>
              </w:rPr>
              <w:t>Август 1915 г.</w:t>
            </w:r>
          </w:p>
        </w:tc>
        <w:tc>
          <w:tcPr>
            <w:tcW w:w="650" w:type="dxa"/>
          </w:tcPr>
          <w:p w14:paraId="503C71DA" w14:textId="77777777" w:rsidR="009716B6" w:rsidRPr="00DE096C" w:rsidRDefault="009716B6" w:rsidP="00D45A46">
            <w:pPr>
              <w:jc w:val="both"/>
              <w:rPr>
                <w:bCs/>
                <w:color w:val="002060"/>
                <w:sz w:val="16"/>
                <w:szCs w:val="16"/>
              </w:rPr>
            </w:pPr>
            <w:r w:rsidRPr="00DE096C">
              <w:rPr>
                <w:bCs/>
                <w:color w:val="002060"/>
                <w:sz w:val="16"/>
                <w:szCs w:val="16"/>
              </w:rPr>
              <w:t>Январь 1916 г.</w:t>
            </w:r>
          </w:p>
        </w:tc>
        <w:tc>
          <w:tcPr>
            <w:tcW w:w="636" w:type="dxa"/>
          </w:tcPr>
          <w:p w14:paraId="39E890B0" w14:textId="77777777" w:rsidR="009716B6" w:rsidRPr="00DE096C" w:rsidRDefault="009716B6" w:rsidP="00D45A46">
            <w:pPr>
              <w:jc w:val="both"/>
              <w:rPr>
                <w:bCs/>
                <w:color w:val="002060"/>
                <w:sz w:val="16"/>
                <w:szCs w:val="16"/>
              </w:rPr>
            </w:pPr>
            <w:r w:rsidRPr="00DE096C">
              <w:rPr>
                <w:bCs/>
                <w:color w:val="002060"/>
                <w:sz w:val="16"/>
                <w:szCs w:val="16"/>
              </w:rPr>
              <w:t>Июнь 1916 г.</w:t>
            </w:r>
          </w:p>
        </w:tc>
        <w:tc>
          <w:tcPr>
            <w:tcW w:w="728" w:type="dxa"/>
          </w:tcPr>
          <w:p w14:paraId="2A037745" w14:textId="77777777" w:rsidR="009716B6" w:rsidRPr="00DE096C" w:rsidRDefault="009716B6" w:rsidP="00D45A46">
            <w:pPr>
              <w:jc w:val="both"/>
              <w:rPr>
                <w:bCs/>
                <w:color w:val="002060"/>
                <w:sz w:val="16"/>
                <w:szCs w:val="16"/>
              </w:rPr>
            </w:pPr>
            <w:r w:rsidRPr="00DE096C">
              <w:rPr>
                <w:bCs/>
                <w:color w:val="002060"/>
                <w:sz w:val="16"/>
                <w:szCs w:val="16"/>
              </w:rPr>
              <w:t>Декабрь 1916 г.</w:t>
            </w:r>
          </w:p>
        </w:tc>
      </w:tr>
      <w:tr w:rsidR="009716B6" w:rsidRPr="00DE096C" w14:paraId="3A1F0BB9" w14:textId="77777777" w:rsidTr="00D34AC1">
        <w:tc>
          <w:tcPr>
            <w:tcW w:w="2652" w:type="dxa"/>
          </w:tcPr>
          <w:p w14:paraId="37DC7A20" w14:textId="77777777" w:rsidR="009716B6" w:rsidRPr="00DE096C" w:rsidRDefault="009716B6" w:rsidP="00D45A46">
            <w:pPr>
              <w:jc w:val="both"/>
              <w:rPr>
                <w:bCs/>
                <w:color w:val="002060"/>
                <w:sz w:val="16"/>
                <w:szCs w:val="16"/>
              </w:rPr>
            </w:pPr>
            <w:r w:rsidRPr="00DE096C">
              <w:rPr>
                <w:bCs/>
                <w:color w:val="002060"/>
                <w:sz w:val="16"/>
                <w:szCs w:val="16"/>
              </w:rPr>
              <w:t>Кыштымский горный округ</w:t>
            </w:r>
          </w:p>
        </w:tc>
        <w:tc>
          <w:tcPr>
            <w:tcW w:w="612" w:type="dxa"/>
          </w:tcPr>
          <w:p w14:paraId="20460268" w14:textId="77777777" w:rsidR="009716B6" w:rsidRPr="00DE096C" w:rsidRDefault="009716B6" w:rsidP="00D45A46">
            <w:pPr>
              <w:jc w:val="both"/>
              <w:rPr>
                <w:bCs/>
                <w:color w:val="002060"/>
                <w:sz w:val="16"/>
                <w:szCs w:val="16"/>
              </w:rPr>
            </w:pPr>
            <w:r w:rsidRPr="00DE096C">
              <w:rPr>
                <w:bCs/>
                <w:color w:val="002060"/>
                <w:sz w:val="16"/>
                <w:szCs w:val="16"/>
              </w:rPr>
              <w:t>225</w:t>
            </w:r>
          </w:p>
        </w:tc>
        <w:tc>
          <w:tcPr>
            <w:tcW w:w="650" w:type="dxa"/>
          </w:tcPr>
          <w:p w14:paraId="38D70F06" w14:textId="77777777" w:rsidR="009716B6" w:rsidRPr="00DE096C" w:rsidRDefault="009716B6" w:rsidP="00D45A46">
            <w:pPr>
              <w:jc w:val="both"/>
              <w:rPr>
                <w:bCs/>
                <w:color w:val="002060"/>
                <w:sz w:val="16"/>
                <w:szCs w:val="16"/>
              </w:rPr>
            </w:pPr>
            <w:r w:rsidRPr="00DE096C">
              <w:rPr>
                <w:bCs/>
                <w:color w:val="002060"/>
                <w:sz w:val="16"/>
                <w:szCs w:val="16"/>
              </w:rPr>
              <w:t>800</w:t>
            </w:r>
          </w:p>
        </w:tc>
        <w:tc>
          <w:tcPr>
            <w:tcW w:w="636" w:type="dxa"/>
          </w:tcPr>
          <w:p w14:paraId="2D681858" w14:textId="77777777" w:rsidR="009716B6" w:rsidRPr="00DE096C" w:rsidRDefault="009716B6" w:rsidP="00D45A46">
            <w:pPr>
              <w:jc w:val="both"/>
              <w:rPr>
                <w:bCs/>
                <w:color w:val="002060"/>
                <w:sz w:val="16"/>
                <w:szCs w:val="16"/>
              </w:rPr>
            </w:pPr>
            <w:r w:rsidRPr="00DE096C">
              <w:rPr>
                <w:bCs/>
                <w:color w:val="002060"/>
                <w:sz w:val="16"/>
                <w:szCs w:val="16"/>
              </w:rPr>
              <w:t>800</w:t>
            </w:r>
          </w:p>
        </w:tc>
        <w:tc>
          <w:tcPr>
            <w:tcW w:w="728" w:type="dxa"/>
          </w:tcPr>
          <w:p w14:paraId="0D7AC688" w14:textId="77777777" w:rsidR="009716B6" w:rsidRPr="00DE096C" w:rsidRDefault="009716B6" w:rsidP="00D45A46">
            <w:pPr>
              <w:jc w:val="both"/>
              <w:rPr>
                <w:bCs/>
                <w:color w:val="002060"/>
                <w:sz w:val="16"/>
                <w:szCs w:val="16"/>
              </w:rPr>
            </w:pPr>
            <w:r w:rsidRPr="00DE096C">
              <w:rPr>
                <w:bCs/>
                <w:color w:val="002060"/>
                <w:sz w:val="16"/>
                <w:szCs w:val="16"/>
              </w:rPr>
              <w:t>800</w:t>
            </w:r>
          </w:p>
        </w:tc>
      </w:tr>
      <w:tr w:rsidR="009716B6" w:rsidRPr="00DE096C" w14:paraId="5E2C828A" w14:textId="77777777" w:rsidTr="00D34AC1">
        <w:tc>
          <w:tcPr>
            <w:tcW w:w="2652" w:type="dxa"/>
          </w:tcPr>
          <w:p w14:paraId="54119A83" w14:textId="77777777" w:rsidR="009716B6" w:rsidRPr="00DE096C" w:rsidRDefault="009716B6" w:rsidP="00D45A46">
            <w:pPr>
              <w:jc w:val="both"/>
              <w:rPr>
                <w:bCs/>
                <w:color w:val="002060"/>
                <w:sz w:val="16"/>
                <w:szCs w:val="16"/>
              </w:rPr>
            </w:pPr>
            <w:r w:rsidRPr="00DE096C">
              <w:rPr>
                <w:bCs/>
                <w:color w:val="002060"/>
                <w:sz w:val="16"/>
                <w:szCs w:val="16"/>
              </w:rPr>
              <w:t>Верх-Исетский горный округ</w:t>
            </w:r>
          </w:p>
        </w:tc>
        <w:tc>
          <w:tcPr>
            <w:tcW w:w="612" w:type="dxa"/>
          </w:tcPr>
          <w:p w14:paraId="4261796B" w14:textId="77777777" w:rsidR="009716B6" w:rsidRPr="00DE096C" w:rsidRDefault="009716B6" w:rsidP="00D45A46">
            <w:pPr>
              <w:jc w:val="both"/>
              <w:rPr>
                <w:bCs/>
                <w:color w:val="002060"/>
                <w:sz w:val="16"/>
                <w:szCs w:val="16"/>
              </w:rPr>
            </w:pPr>
            <w:r w:rsidRPr="00DE096C">
              <w:rPr>
                <w:bCs/>
                <w:color w:val="002060"/>
                <w:sz w:val="16"/>
                <w:szCs w:val="16"/>
              </w:rPr>
              <w:t>325</w:t>
            </w:r>
          </w:p>
        </w:tc>
        <w:tc>
          <w:tcPr>
            <w:tcW w:w="650" w:type="dxa"/>
          </w:tcPr>
          <w:p w14:paraId="307BD1F1" w14:textId="77777777" w:rsidR="009716B6" w:rsidRPr="00DE096C" w:rsidRDefault="009716B6" w:rsidP="00D45A46">
            <w:pPr>
              <w:jc w:val="both"/>
              <w:rPr>
                <w:bCs/>
                <w:color w:val="002060"/>
                <w:sz w:val="16"/>
                <w:szCs w:val="16"/>
              </w:rPr>
            </w:pPr>
            <w:r w:rsidRPr="00DE096C">
              <w:rPr>
                <w:bCs/>
                <w:color w:val="002060"/>
                <w:sz w:val="16"/>
                <w:szCs w:val="16"/>
              </w:rPr>
              <w:t>325</w:t>
            </w:r>
          </w:p>
        </w:tc>
        <w:tc>
          <w:tcPr>
            <w:tcW w:w="636" w:type="dxa"/>
          </w:tcPr>
          <w:p w14:paraId="1931DCC0" w14:textId="77777777" w:rsidR="009716B6" w:rsidRPr="00DE096C" w:rsidRDefault="009716B6" w:rsidP="00D45A46">
            <w:pPr>
              <w:jc w:val="both"/>
              <w:rPr>
                <w:bCs/>
                <w:color w:val="002060"/>
                <w:sz w:val="16"/>
                <w:szCs w:val="16"/>
              </w:rPr>
            </w:pPr>
            <w:r w:rsidRPr="00DE096C">
              <w:rPr>
                <w:bCs/>
                <w:color w:val="002060"/>
                <w:sz w:val="16"/>
                <w:szCs w:val="16"/>
              </w:rPr>
              <w:t>325</w:t>
            </w:r>
          </w:p>
        </w:tc>
        <w:tc>
          <w:tcPr>
            <w:tcW w:w="728" w:type="dxa"/>
          </w:tcPr>
          <w:p w14:paraId="28EE6F31" w14:textId="77777777" w:rsidR="009716B6" w:rsidRPr="00DE096C" w:rsidRDefault="009716B6" w:rsidP="00D45A46">
            <w:pPr>
              <w:jc w:val="both"/>
              <w:rPr>
                <w:bCs/>
                <w:color w:val="002060"/>
                <w:sz w:val="16"/>
                <w:szCs w:val="16"/>
              </w:rPr>
            </w:pPr>
            <w:r w:rsidRPr="00DE096C">
              <w:rPr>
                <w:bCs/>
                <w:color w:val="002060"/>
                <w:sz w:val="16"/>
                <w:szCs w:val="16"/>
              </w:rPr>
              <w:t>325</w:t>
            </w:r>
          </w:p>
        </w:tc>
      </w:tr>
      <w:tr w:rsidR="009716B6" w:rsidRPr="00DE096C" w14:paraId="302C8837" w14:textId="77777777" w:rsidTr="00D34AC1">
        <w:tc>
          <w:tcPr>
            <w:tcW w:w="2652" w:type="dxa"/>
          </w:tcPr>
          <w:p w14:paraId="6C98DCDE" w14:textId="77777777" w:rsidR="009716B6" w:rsidRPr="00DE096C" w:rsidRDefault="009716B6" w:rsidP="00D45A46">
            <w:pPr>
              <w:jc w:val="both"/>
              <w:rPr>
                <w:bCs/>
                <w:color w:val="002060"/>
                <w:sz w:val="16"/>
                <w:szCs w:val="16"/>
              </w:rPr>
            </w:pPr>
            <w:r w:rsidRPr="00DE096C">
              <w:rPr>
                <w:bCs/>
                <w:color w:val="002060"/>
                <w:sz w:val="16"/>
                <w:szCs w:val="16"/>
              </w:rPr>
              <w:t>Сысертский горный округ</w:t>
            </w:r>
          </w:p>
        </w:tc>
        <w:tc>
          <w:tcPr>
            <w:tcW w:w="612" w:type="dxa"/>
          </w:tcPr>
          <w:p w14:paraId="3F5E30B4" w14:textId="77777777" w:rsidR="009716B6" w:rsidRPr="00DE096C" w:rsidRDefault="009716B6" w:rsidP="00D45A46">
            <w:pPr>
              <w:jc w:val="both"/>
              <w:rPr>
                <w:bCs/>
                <w:color w:val="002060"/>
                <w:sz w:val="16"/>
                <w:szCs w:val="16"/>
              </w:rPr>
            </w:pPr>
            <w:r w:rsidRPr="00DE096C">
              <w:rPr>
                <w:bCs/>
                <w:color w:val="002060"/>
                <w:sz w:val="16"/>
                <w:szCs w:val="16"/>
              </w:rPr>
              <w:t>—</w:t>
            </w:r>
          </w:p>
        </w:tc>
        <w:tc>
          <w:tcPr>
            <w:tcW w:w="650" w:type="dxa"/>
          </w:tcPr>
          <w:p w14:paraId="1B7F2D34" w14:textId="77777777" w:rsidR="009716B6" w:rsidRPr="00DE096C" w:rsidRDefault="009716B6" w:rsidP="00D45A46">
            <w:pPr>
              <w:jc w:val="both"/>
              <w:rPr>
                <w:bCs/>
                <w:color w:val="002060"/>
                <w:sz w:val="16"/>
                <w:szCs w:val="16"/>
              </w:rPr>
            </w:pPr>
            <w:r w:rsidRPr="00DE096C">
              <w:rPr>
                <w:bCs/>
                <w:color w:val="002060"/>
                <w:sz w:val="16"/>
                <w:szCs w:val="16"/>
              </w:rPr>
              <w:t>100</w:t>
            </w:r>
          </w:p>
        </w:tc>
        <w:tc>
          <w:tcPr>
            <w:tcW w:w="636" w:type="dxa"/>
          </w:tcPr>
          <w:p w14:paraId="78F5E620" w14:textId="77777777" w:rsidR="009716B6" w:rsidRPr="00DE096C" w:rsidRDefault="009716B6" w:rsidP="00D45A46">
            <w:pPr>
              <w:jc w:val="both"/>
              <w:rPr>
                <w:bCs/>
                <w:color w:val="002060"/>
                <w:sz w:val="16"/>
                <w:szCs w:val="16"/>
              </w:rPr>
            </w:pPr>
            <w:r w:rsidRPr="00DE096C">
              <w:rPr>
                <w:bCs/>
                <w:color w:val="002060"/>
                <w:sz w:val="16"/>
                <w:szCs w:val="16"/>
              </w:rPr>
              <w:t>100</w:t>
            </w:r>
          </w:p>
        </w:tc>
        <w:tc>
          <w:tcPr>
            <w:tcW w:w="728" w:type="dxa"/>
          </w:tcPr>
          <w:p w14:paraId="0C8A4959" w14:textId="77777777" w:rsidR="009716B6" w:rsidRPr="00DE096C" w:rsidRDefault="009716B6" w:rsidP="00D45A46">
            <w:pPr>
              <w:jc w:val="both"/>
              <w:rPr>
                <w:bCs/>
                <w:color w:val="002060"/>
                <w:sz w:val="16"/>
                <w:szCs w:val="16"/>
              </w:rPr>
            </w:pPr>
            <w:r w:rsidRPr="00DE096C">
              <w:rPr>
                <w:bCs/>
                <w:color w:val="002060"/>
                <w:sz w:val="16"/>
                <w:szCs w:val="16"/>
              </w:rPr>
              <w:t>100</w:t>
            </w:r>
          </w:p>
        </w:tc>
      </w:tr>
      <w:tr w:rsidR="009716B6" w:rsidRPr="00DE096C" w14:paraId="6A9E1CDE" w14:textId="77777777" w:rsidTr="00D34AC1">
        <w:tc>
          <w:tcPr>
            <w:tcW w:w="2652" w:type="dxa"/>
          </w:tcPr>
          <w:p w14:paraId="37727841" w14:textId="77777777" w:rsidR="009716B6" w:rsidRPr="00DE096C" w:rsidRDefault="009716B6" w:rsidP="00D45A46">
            <w:pPr>
              <w:jc w:val="both"/>
              <w:rPr>
                <w:bCs/>
                <w:color w:val="002060"/>
                <w:sz w:val="16"/>
                <w:szCs w:val="16"/>
              </w:rPr>
            </w:pPr>
            <w:r w:rsidRPr="00DE096C">
              <w:rPr>
                <w:bCs/>
                <w:color w:val="002060"/>
                <w:sz w:val="16"/>
                <w:szCs w:val="16"/>
              </w:rPr>
              <w:t>Ревдинский горный округ</w:t>
            </w:r>
          </w:p>
        </w:tc>
        <w:tc>
          <w:tcPr>
            <w:tcW w:w="612" w:type="dxa"/>
          </w:tcPr>
          <w:p w14:paraId="3D7C1A06" w14:textId="77777777" w:rsidR="009716B6" w:rsidRPr="00DE096C" w:rsidRDefault="009716B6" w:rsidP="00D45A46">
            <w:pPr>
              <w:jc w:val="both"/>
              <w:rPr>
                <w:bCs/>
                <w:color w:val="002060"/>
                <w:sz w:val="16"/>
                <w:szCs w:val="16"/>
              </w:rPr>
            </w:pPr>
            <w:r w:rsidRPr="00DE096C">
              <w:rPr>
                <w:bCs/>
                <w:color w:val="002060"/>
                <w:sz w:val="16"/>
                <w:szCs w:val="16"/>
              </w:rPr>
              <w:t>—</w:t>
            </w:r>
          </w:p>
        </w:tc>
        <w:tc>
          <w:tcPr>
            <w:tcW w:w="650" w:type="dxa"/>
          </w:tcPr>
          <w:p w14:paraId="5CFF2BCC" w14:textId="77777777" w:rsidR="009716B6" w:rsidRPr="00DE096C" w:rsidRDefault="009716B6" w:rsidP="00D45A46">
            <w:pPr>
              <w:jc w:val="both"/>
              <w:rPr>
                <w:bCs/>
                <w:color w:val="002060"/>
                <w:sz w:val="16"/>
                <w:szCs w:val="16"/>
              </w:rPr>
            </w:pPr>
            <w:r w:rsidRPr="00DE096C">
              <w:rPr>
                <w:bCs/>
                <w:color w:val="002060"/>
                <w:sz w:val="16"/>
                <w:szCs w:val="16"/>
              </w:rPr>
              <w:t>150</w:t>
            </w:r>
          </w:p>
        </w:tc>
        <w:tc>
          <w:tcPr>
            <w:tcW w:w="636" w:type="dxa"/>
          </w:tcPr>
          <w:p w14:paraId="44402639" w14:textId="77777777" w:rsidR="009716B6" w:rsidRPr="00DE096C" w:rsidRDefault="009716B6" w:rsidP="00D45A46">
            <w:pPr>
              <w:jc w:val="both"/>
              <w:rPr>
                <w:bCs/>
                <w:color w:val="002060"/>
                <w:sz w:val="16"/>
                <w:szCs w:val="16"/>
              </w:rPr>
            </w:pPr>
            <w:r w:rsidRPr="00DE096C">
              <w:rPr>
                <w:bCs/>
                <w:color w:val="002060"/>
                <w:sz w:val="16"/>
                <w:szCs w:val="16"/>
              </w:rPr>
              <w:t>150</w:t>
            </w:r>
          </w:p>
        </w:tc>
        <w:tc>
          <w:tcPr>
            <w:tcW w:w="728" w:type="dxa"/>
          </w:tcPr>
          <w:p w14:paraId="6C072EDF" w14:textId="77777777" w:rsidR="009716B6" w:rsidRPr="00DE096C" w:rsidRDefault="009716B6" w:rsidP="00D45A46">
            <w:pPr>
              <w:jc w:val="both"/>
              <w:rPr>
                <w:bCs/>
                <w:color w:val="002060"/>
                <w:sz w:val="16"/>
                <w:szCs w:val="16"/>
              </w:rPr>
            </w:pPr>
            <w:r w:rsidRPr="00DE096C">
              <w:rPr>
                <w:bCs/>
                <w:color w:val="002060"/>
                <w:sz w:val="16"/>
                <w:szCs w:val="16"/>
              </w:rPr>
              <w:t>150</w:t>
            </w:r>
          </w:p>
        </w:tc>
      </w:tr>
      <w:tr w:rsidR="009716B6" w:rsidRPr="00DE096C" w14:paraId="0B86B091" w14:textId="77777777" w:rsidTr="00D34AC1">
        <w:tc>
          <w:tcPr>
            <w:tcW w:w="2652" w:type="dxa"/>
          </w:tcPr>
          <w:p w14:paraId="4EC6543A" w14:textId="77777777" w:rsidR="009716B6" w:rsidRPr="00DE096C" w:rsidRDefault="009716B6" w:rsidP="00D45A46">
            <w:pPr>
              <w:jc w:val="both"/>
              <w:rPr>
                <w:bCs/>
                <w:color w:val="002060"/>
                <w:sz w:val="16"/>
                <w:szCs w:val="16"/>
              </w:rPr>
            </w:pPr>
            <w:r w:rsidRPr="00DE096C">
              <w:rPr>
                <w:bCs/>
                <w:color w:val="002060"/>
                <w:sz w:val="16"/>
                <w:szCs w:val="16"/>
              </w:rPr>
              <w:t>Рудники Ушакова</w:t>
            </w:r>
          </w:p>
        </w:tc>
        <w:tc>
          <w:tcPr>
            <w:tcW w:w="612" w:type="dxa"/>
          </w:tcPr>
          <w:p w14:paraId="299A1E45" w14:textId="77777777" w:rsidR="009716B6" w:rsidRPr="00DE096C" w:rsidRDefault="009716B6" w:rsidP="00D45A46">
            <w:pPr>
              <w:jc w:val="both"/>
              <w:rPr>
                <w:bCs/>
                <w:color w:val="002060"/>
                <w:sz w:val="16"/>
                <w:szCs w:val="16"/>
              </w:rPr>
            </w:pPr>
            <w:r w:rsidRPr="00DE096C">
              <w:rPr>
                <w:bCs/>
                <w:color w:val="002060"/>
                <w:sz w:val="16"/>
                <w:szCs w:val="16"/>
              </w:rPr>
              <w:t>—</w:t>
            </w:r>
          </w:p>
        </w:tc>
        <w:tc>
          <w:tcPr>
            <w:tcW w:w="650" w:type="dxa"/>
          </w:tcPr>
          <w:p w14:paraId="188817CF" w14:textId="77777777" w:rsidR="009716B6" w:rsidRPr="00DE096C" w:rsidRDefault="009716B6" w:rsidP="00D45A46">
            <w:pPr>
              <w:jc w:val="both"/>
              <w:rPr>
                <w:bCs/>
                <w:color w:val="002060"/>
                <w:sz w:val="16"/>
                <w:szCs w:val="16"/>
              </w:rPr>
            </w:pPr>
            <w:r w:rsidRPr="00DE096C">
              <w:rPr>
                <w:bCs/>
                <w:color w:val="002060"/>
                <w:sz w:val="16"/>
                <w:szCs w:val="16"/>
              </w:rPr>
              <w:t>100</w:t>
            </w:r>
          </w:p>
        </w:tc>
        <w:tc>
          <w:tcPr>
            <w:tcW w:w="636" w:type="dxa"/>
          </w:tcPr>
          <w:p w14:paraId="38061267" w14:textId="77777777" w:rsidR="009716B6" w:rsidRPr="00DE096C" w:rsidRDefault="009716B6" w:rsidP="00D45A46">
            <w:pPr>
              <w:jc w:val="both"/>
              <w:rPr>
                <w:bCs/>
                <w:color w:val="002060"/>
                <w:sz w:val="16"/>
                <w:szCs w:val="16"/>
              </w:rPr>
            </w:pPr>
            <w:r w:rsidRPr="00DE096C">
              <w:rPr>
                <w:bCs/>
                <w:color w:val="002060"/>
                <w:sz w:val="16"/>
                <w:szCs w:val="16"/>
              </w:rPr>
              <w:t>100</w:t>
            </w:r>
          </w:p>
        </w:tc>
        <w:tc>
          <w:tcPr>
            <w:tcW w:w="728" w:type="dxa"/>
          </w:tcPr>
          <w:p w14:paraId="5BFCC7B7" w14:textId="77777777" w:rsidR="009716B6" w:rsidRPr="00DE096C" w:rsidRDefault="009716B6" w:rsidP="00D45A46">
            <w:pPr>
              <w:jc w:val="both"/>
              <w:rPr>
                <w:bCs/>
                <w:color w:val="002060"/>
                <w:sz w:val="16"/>
                <w:szCs w:val="16"/>
              </w:rPr>
            </w:pPr>
            <w:r w:rsidRPr="00DE096C">
              <w:rPr>
                <w:bCs/>
                <w:color w:val="002060"/>
                <w:sz w:val="16"/>
                <w:szCs w:val="16"/>
              </w:rPr>
              <w:t>100</w:t>
            </w:r>
          </w:p>
        </w:tc>
      </w:tr>
      <w:tr w:rsidR="009716B6" w:rsidRPr="00DE096C" w14:paraId="625DF3EF" w14:textId="77777777" w:rsidTr="00D34AC1">
        <w:tc>
          <w:tcPr>
            <w:tcW w:w="2652" w:type="dxa"/>
          </w:tcPr>
          <w:p w14:paraId="49307288" w14:textId="77777777" w:rsidR="009716B6" w:rsidRPr="00DE096C" w:rsidRDefault="009716B6" w:rsidP="00D45A46">
            <w:pPr>
              <w:jc w:val="both"/>
              <w:rPr>
                <w:bCs/>
                <w:color w:val="002060"/>
                <w:sz w:val="16"/>
                <w:szCs w:val="16"/>
              </w:rPr>
            </w:pPr>
            <w:r w:rsidRPr="00DE096C">
              <w:rPr>
                <w:bCs/>
                <w:color w:val="002060"/>
                <w:sz w:val="16"/>
                <w:szCs w:val="16"/>
              </w:rPr>
              <w:t xml:space="preserve">Прочие мелкие добычи </w:t>
            </w:r>
          </w:p>
          <w:p w14:paraId="62A6ACA9" w14:textId="77777777" w:rsidR="009716B6" w:rsidRPr="00DE096C" w:rsidRDefault="009716B6" w:rsidP="00D45A46">
            <w:pPr>
              <w:jc w:val="both"/>
              <w:rPr>
                <w:bCs/>
                <w:color w:val="002060"/>
                <w:sz w:val="16"/>
                <w:szCs w:val="16"/>
              </w:rPr>
            </w:pPr>
            <w:r w:rsidRPr="00DE096C">
              <w:rPr>
                <w:bCs/>
                <w:color w:val="002060"/>
                <w:sz w:val="16"/>
                <w:szCs w:val="16"/>
              </w:rPr>
              <w:t>(Кавказские, Донецкие, Подмосковные)</w:t>
            </w:r>
          </w:p>
        </w:tc>
        <w:tc>
          <w:tcPr>
            <w:tcW w:w="612" w:type="dxa"/>
          </w:tcPr>
          <w:p w14:paraId="2F3AC6C2" w14:textId="77777777" w:rsidR="009716B6" w:rsidRPr="00DE096C" w:rsidRDefault="009716B6" w:rsidP="00D45A46">
            <w:pPr>
              <w:jc w:val="both"/>
              <w:rPr>
                <w:bCs/>
                <w:color w:val="002060"/>
                <w:sz w:val="16"/>
                <w:szCs w:val="16"/>
              </w:rPr>
            </w:pPr>
            <w:r w:rsidRPr="00DE096C">
              <w:rPr>
                <w:bCs/>
                <w:color w:val="002060"/>
                <w:sz w:val="16"/>
                <w:szCs w:val="16"/>
              </w:rPr>
              <w:t>105</w:t>
            </w:r>
          </w:p>
        </w:tc>
        <w:tc>
          <w:tcPr>
            <w:tcW w:w="650" w:type="dxa"/>
          </w:tcPr>
          <w:p w14:paraId="7CE7C183" w14:textId="77777777" w:rsidR="009716B6" w:rsidRPr="00DE096C" w:rsidRDefault="009716B6" w:rsidP="00D45A46">
            <w:pPr>
              <w:jc w:val="both"/>
              <w:rPr>
                <w:bCs/>
                <w:color w:val="002060"/>
                <w:sz w:val="16"/>
                <w:szCs w:val="16"/>
              </w:rPr>
            </w:pPr>
            <w:r w:rsidRPr="00DE096C">
              <w:rPr>
                <w:bCs/>
                <w:color w:val="002060"/>
                <w:sz w:val="16"/>
                <w:szCs w:val="16"/>
              </w:rPr>
              <w:t>110</w:t>
            </w:r>
          </w:p>
        </w:tc>
        <w:tc>
          <w:tcPr>
            <w:tcW w:w="636" w:type="dxa"/>
          </w:tcPr>
          <w:p w14:paraId="61F7B1E7" w14:textId="77777777" w:rsidR="009716B6" w:rsidRPr="00DE096C" w:rsidRDefault="009716B6" w:rsidP="00D45A46">
            <w:pPr>
              <w:jc w:val="both"/>
              <w:rPr>
                <w:bCs/>
                <w:color w:val="002060"/>
                <w:sz w:val="16"/>
                <w:szCs w:val="16"/>
              </w:rPr>
            </w:pPr>
            <w:r w:rsidRPr="00DE096C">
              <w:rPr>
                <w:bCs/>
                <w:color w:val="002060"/>
                <w:sz w:val="16"/>
                <w:szCs w:val="16"/>
              </w:rPr>
              <w:t>140</w:t>
            </w:r>
          </w:p>
        </w:tc>
        <w:tc>
          <w:tcPr>
            <w:tcW w:w="728" w:type="dxa"/>
          </w:tcPr>
          <w:p w14:paraId="7670D9BC" w14:textId="77777777" w:rsidR="009716B6" w:rsidRPr="00DE096C" w:rsidRDefault="009716B6" w:rsidP="00D45A46">
            <w:pPr>
              <w:jc w:val="both"/>
              <w:rPr>
                <w:bCs/>
                <w:color w:val="002060"/>
                <w:sz w:val="16"/>
                <w:szCs w:val="16"/>
              </w:rPr>
            </w:pPr>
            <w:r w:rsidRPr="00DE096C">
              <w:rPr>
                <w:bCs/>
                <w:color w:val="002060"/>
                <w:sz w:val="16"/>
                <w:szCs w:val="16"/>
              </w:rPr>
              <w:t>150</w:t>
            </w:r>
          </w:p>
        </w:tc>
      </w:tr>
    </w:tbl>
    <w:p w14:paraId="496414BB" w14:textId="77777777" w:rsidR="009716B6" w:rsidRPr="00DE096C" w:rsidRDefault="009716B6" w:rsidP="00D45A46">
      <w:pPr>
        <w:jc w:val="both"/>
        <w:rPr>
          <w:bCs/>
          <w:color w:val="002060"/>
          <w:sz w:val="16"/>
          <w:szCs w:val="16"/>
        </w:rPr>
      </w:pPr>
      <w:r w:rsidRPr="00DE096C">
        <w:rPr>
          <w:bCs/>
          <w:color w:val="002060"/>
          <w:sz w:val="16"/>
          <w:szCs w:val="16"/>
        </w:rPr>
        <w:t xml:space="preserve">Не менее забот представлял вопрос с азотной кислотой. Для изготовления ее ежегодно в Россию необходимо было ввозить до 6 млн пудов чилийской селитры. Комиссия Ипатьева, а впоследствии Химический комитет взял на себя надзор за провозом и распределением ее. </w:t>
      </w:r>
    </w:p>
    <w:p w14:paraId="1F7C1BE8" w14:textId="77777777" w:rsidR="009716B6" w:rsidRPr="00DE096C" w:rsidRDefault="009716B6" w:rsidP="00D45A46">
      <w:pPr>
        <w:jc w:val="both"/>
        <w:rPr>
          <w:bCs/>
          <w:color w:val="002060"/>
          <w:sz w:val="16"/>
          <w:szCs w:val="16"/>
        </w:rPr>
      </w:pPr>
      <w:r w:rsidRPr="00DE096C">
        <w:rPr>
          <w:bCs/>
          <w:color w:val="002060"/>
          <w:sz w:val="16"/>
          <w:szCs w:val="16"/>
        </w:rPr>
        <w:t xml:space="preserve">Комитет занялся также исследованием залежей отечественной селитры, но эти месторождения оказались неблагонадежными. </w:t>
      </w:r>
    </w:p>
    <w:p w14:paraId="7747622D" w14:textId="77777777" w:rsidR="009716B6" w:rsidRPr="00DE096C" w:rsidRDefault="009716B6" w:rsidP="00D45A46">
      <w:pPr>
        <w:jc w:val="both"/>
        <w:rPr>
          <w:bCs/>
          <w:color w:val="002060"/>
          <w:sz w:val="16"/>
          <w:szCs w:val="16"/>
        </w:rPr>
      </w:pPr>
      <w:r w:rsidRPr="00DE096C">
        <w:rPr>
          <w:bCs/>
          <w:color w:val="002060"/>
          <w:sz w:val="16"/>
          <w:szCs w:val="16"/>
        </w:rPr>
        <w:t xml:space="preserve">Имея в виду в будущем освободиться от иностранной зависимости, Химический комитет приступил к разработке вопроса о наилучшем для России методе получения азотной кислоты. </w:t>
      </w:r>
    </w:p>
    <w:p w14:paraId="088E62D2" w14:textId="77777777" w:rsidR="009716B6" w:rsidRPr="00DE096C" w:rsidRDefault="009716B6" w:rsidP="00D45A46">
      <w:pPr>
        <w:jc w:val="both"/>
        <w:rPr>
          <w:bCs/>
          <w:color w:val="002060"/>
          <w:sz w:val="16"/>
          <w:szCs w:val="16"/>
        </w:rPr>
      </w:pPr>
      <w:r w:rsidRPr="00DE096C">
        <w:rPr>
          <w:bCs/>
          <w:color w:val="002060"/>
          <w:sz w:val="16"/>
          <w:szCs w:val="16"/>
        </w:rPr>
        <w:t xml:space="preserve">В связи с установлением улавливания побочных продуктов коксования угля начала быстро расти выработка аммиачных вод. Были привлечены крупные научные силы к разработке практического метода превращения аммиака в азотную кислоту. Лабораторные изыскания и опытная заводская работа дали благоприятные результаты. После этого Химический комитет построил первый казенный завод в Юзовке для получения азотной кислоты переработкой аммиачных вод, производительностью на 50 тыс. пудов селитры в месяц. Этот завод должен был послужить образцом для постройки в дальнейшем таких же заводов. </w:t>
      </w:r>
    </w:p>
    <w:p w14:paraId="5971B92D" w14:textId="77777777" w:rsidR="009716B6" w:rsidRPr="00DE096C" w:rsidRDefault="009716B6" w:rsidP="00D45A46">
      <w:pPr>
        <w:jc w:val="both"/>
        <w:rPr>
          <w:bCs/>
          <w:color w:val="002060"/>
          <w:sz w:val="16"/>
          <w:szCs w:val="16"/>
        </w:rPr>
      </w:pPr>
      <w:r w:rsidRPr="00DE096C">
        <w:rPr>
          <w:bCs/>
          <w:color w:val="002060"/>
          <w:sz w:val="16"/>
          <w:szCs w:val="16"/>
        </w:rPr>
        <w:t xml:space="preserve">В целях разрешения полностью вопроса о связанном азоте Химическим комитетом был осенью 1916 г. разработан проект завода цианамида кальция производительностью на 2 000 000 пудов в год, который предположено было строить на Кавказе, в Грозном. </w:t>
      </w:r>
    </w:p>
    <w:p w14:paraId="7AD9D799" w14:textId="77777777" w:rsidR="009716B6" w:rsidRPr="00DE096C" w:rsidRDefault="009716B6" w:rsidP="00D45A46">
      <w:pPr>
        <w:jc w:val="both"/>
        <w:rPr>
          <w:bCs/>
          <w:color w:val="002060"/>
          <w:sz w:val="16"/>
          <w:szCs w:val="16"/>
        </w:rPr>
      </w:pPr>
      <w:r w:rsidRPr="00DE096C">
        <w:rPr>
          <w:bCs/>
          <w:color w:val="002060"/>
          <w:sz w:val="16"/>
          <w:szCs w:val="16"/>
        </w:rPr>
        <w:t xml:space="preserve">Таким образом, Комиссия Ипатьева, а в дальнейшем Химический комитет, как видно из приведенного очерка, несли на себе все заботы о снабжении казенных и частных заводов пороха и взрывчатых веществ основными материалами для производства. </w:t>
      </w:r>
    </w:p>
    <w:p w14:paraId="12310A23" w14:textId="77777777" w:rsidR="009716B6" w:rsidRPr="00DE096C" w:rsidRDefault="009716B6" w:rsidP="00D45A46">
      <w:pPr>
        <w:jc w:val="both"/>
        <w:rPr>
          <w:bCs/>
          <w:color w:val="002060"/>
          <w:sz w:val="16"/>
          <w:szCs w:val="16"/>
        </w:rPr>
      </w:pPr>
      <w:r w:rsidRPr="00DE096C">
        <w:rPr>
          <w:bCs/>
          <w:color w:val="002060"/>
          <w:sz w:val="16"/>
          <w:szCs w:val="16"/>
        </w:rPr>
        <w:t xml:space="preserve">Независимо от этого на Химическом комитете лежала обязанность привлечь частную промышленность к изготовлению самых взрывчатых веществ в дополнение к тем, которые изготовлялись казенными заводами. </w:t>
      </w:r>
    </w:p>
    <w:p w14:paraId="7E5E966F" w14:textId="77777777" w:rsidR="009716B6" w:rsidRPr="00DE096C" w:rsidRDefault="009716B6" w:rsidP="00D45A46">
      <w:pPr>
        <w:jc w:val="both"/>
        <w:rPr>
          <w:bCs/>
          <w:color w:val="002060"/>
          <w:sz w:val="16"/>
          <w:szCs w:val="16"/>
        </w:rPr>
      </w:pPr>
      <w:r w:rsidRPr="00DE096C">
        <w:rPr>
          <w:bCs/>
          <w:color w:val="002060"/>
          <w:sz w:val="16"/>
          <w:szCs w:val="16"/>
        </w:rPr>
        <w:t xml:space="preserve">Во время войны производство тротила было установлено на нескольких существовавших частных химических заводах (отдельные цеха) и построены новые тротиловые заводы. Общее число частных заводов, готовивших тротил во время войны, достигло восьми. </w:t>
      </w:r>
    </w:p>
    <w:p w14:paraId="0DBE2999" w14:textId="77777777" w:rsidR="009716B6" w:rsidRPr="00DE096C" w:rsidRDefault="009716B6" w:rsidP="00D45A46">
      <w:pPr>
        <w:jc w:val="both"/>
        <w:rPr>
          <w:bCs/>
          <w:color w:val="002060"/>
          <w:sz w:val="16"/>
          <w:szCs w:val="16"/>
        </w:rPr>
      </w:pPr>
      <w:r w:rsidRPr="00DE096C">
        <w:rPr>
          <w:bCs/>
          <w:color w:val="002060"/>
          <w:sz w:val="16"/>
          <w:szCs w:val="16"/>
        </w:rPr>
        <w:t xml:space="preserve">Пикриновая кислота во время войны готовилась только на частных заводах: на пяти — нитрацией фенола и на двух — синтетическим путем из бензола. До войны ее готовили только два завода по первому способу. Синтетический способ был разработан в России уже во время войны в Центральной научно-технической лаборатории военного ведомства и представляет большой научный интерес. </w:t>
      </w:r>
    </w:p>
    <w:p w14:paraId="534E7D11" w14:textId="77777777" w:rsidR="009716B6" w:rsidRPr="00DE096C" w:rsidRDefault="009716B6" w:rsidP="00D45A46">
      <w:pPr>
        <w:jc w:val="both"/>
        <w:rPr>
          <w:bCs/>
          <w:color w:val="002060"/>
          <w:sz w:val="16"/>
          <w:szCs w:val="16"/>
        </w:rPr>
      </w:pPr>
      <w:r w:rsidRPr="00DE096C">
        <w:rPr>
          <w:bCs/>
          <w:color w:val="002060"/>
          <w:sz w:val="16"/>
          <w:szCs w:val="16"/>
        </w:rPr>
        <w:t xml:space="preserve">Было установлено Химическим комитетом также производство тринитроксилола и динитронафталина, каждый на двух заводах. </w:t>
      </w:r>
    </w:p>
    <w:p w14:paraId="0520CEA5" w14:textId="77777777" w:rsidR="009716B6" w:rsidRPr="00DE096C" w:rsidRDefault="009716B6" w:rsidP="00D45A46">
      <w:pPr>
        <w:jc w:val="both"/>
        <w:rPr>
          <w:bCs/>
          <w:color w:val="002060"/>
          <w:sz w:val="16"/>
          <w:szCs w:val="16"/>
        </w:rPr>
      </w:pPr>
      <w:r w:rsidRPr="00DE096C">
        <w:rPr>
          <w:bCs/>
          <w:color w:val="002060"/>
          <w:sz w:val="16"/>
          <w:szCs w:val="16"/>
        </w:rPr>
        <w:t xml:space="preserve">Изготовление аммиачной селитры, кроме упомянутого выше Юзовского казенного завода, было организовано Комиссией еще на двух заводах в Донецком бассейне. </w:t>
      </w:r>
    </w:p>
    <w:p w14:paraId="56A43EC5" w14:textId="77777777" w:rsidR="009716B6" w:rsidRPr="00DE096C" w:rsidRDefault="009716B6" w:rsidP="00D45A46">
      <w:pPr>
        <w:jc w:val="both"/>
        <w:rPr>
          <w:bCs/>
          <w:color w:val="002060"/>
          <w:sz w:val="16"/>
          <w:szCs w:val="16"/>
        </w:rPr>
      </w:pPr>
      <w:r w:rsidRPr="00DE096C">
        <w:rPr>
          <w:bCs/>
          <w:color w:val="002060"/>
          <w:sz w:val="16"/>
          <w:szCs w:val="16"/>
        </w:rPr>
        <w:t xml:space="preserve">Фабрикация взрывчатых смесей на основе аммиачной селитры была организована Химическим комитетом в нескольких мастерских и заводах. </w:t>
      </w:r>
    </w:p>
    <w:p w14:paraId="7608F98F" w14:textId="77777777" w:rsidR="009716B6" w:rsidRPr="00DE096C" w:rsidRDefault="009716B6" w:rsidP="00D45A46">
      <w:pPr>
        <w:jc w:val="both"/>
        <w:rPr>
          <w:bCs/>
          <w:color w:val="002060"/>
          <w:sz w:val="16"/>
          <w:szCs w:val="16"/>
        </w:rPr>
      </w:pPr>
      <w:r w:rsidRPr="00DE096C">
        <w:rPr>
          <w:bCs/>
          <w:color w:val="002060"/>
          <w:sz w:val="16"/>
          <w:szCs w:val="16"/>
        </w:rPr>
        <w:t xml:space="preserve">Общее количество заводов, изготовлявших взрывчатые вещества, возросло с февраля 1915 г. по январь 1917 г. с 4 до 28. Общая мощность их по оборудованию в 1917 г. возросла до 218 000 пудов в месяц. Из них (пудов):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88"/>
        <w:gridCol w:w="936"/>
      </w:tblGrid>
      <w:tr w:rsidR="009716B6" w:rsidRPr="00DE096C" w14:paraId="037E1D0D" w14:textId="77777777" w:rsidTr="00D34AC1">
        <w:tc>
          <w:tcPr>
            <w:tcW w:w="1788" w:type="dxa"/>
          </w:tcPr>
          <w:p w14:paraId="515AD5AA" w14:textId="77777777" w:rsidR="009716B6" w:rsidRPr="00DE096C" w:rsidRDefault="009716B6" w:rsidP="00D45A46">
            <w:pPr>
              <w:jc w:val="both"/>
              <w:rPr>
                <w:bCs/>
                <w:color w:val="002060"/>
                <w:sz w:val="16"/>
                <w:szCs w:val="16"/>
              </w:rPr>
            </w:pPr>
            <w:r w:rsidRPr="00DE096C">
              <w:rPr>
                <w:bCs/>
                <w:color w:val="002060"/>
                <w:sz w:val="16"/>
                <w:szCs w:val="16"/>
              </w:rPr>
              <w:t>Тротила</w:t>
            </w:r>
          </w:p>
        </w:tc>
        <w:tc>
          <w:tcPr>
            <w:tcW w:w="936" w:type="dxa"/>
          </w:tcPr>
          <w:p w14:paraId="24C3B832" w14:textId="77777777" w:rsidR="009716B6" w:rsidRPr="00DE096C" w:rsidRDefault="009716B6" w:rsidP="00D45A46">
            <w:pPr>
              <w:jc w:val="both"/>
              <w:rPr>
                <w:bCs/>
                <w:color w:val="002060"/>
                <w:sz w:val="16"/>
                <w:szCs w:val="16"/>
              </w:rPr>
            </w:pPr>
            <w:r w:rsidRPr="00DE096C">
              <w:rPr>
                <w:bCs/>
                <w:color w:val="002060"/>
                <w:sz w:val="16"/>
                <w:szCs w:val="16"/>
              </w:rPr>
              <w:t xml:space="preserve">52.000 </w:t>
            </w:r>
          </w:p>
        </w:tc>
      </w:tr>
      <w:tr w:rsidR="009716B6" w:rsidRPr="00DE096C" w14:paraId="578CB052" w14:textId="77777777" w:rsidTr="00D34AC1">
        <w:tc>
          <w:tcPr>
            <w:tcW w:w="1788" w:type="dxa"/>
          </w:tcPr>
          <w:p w14:paraId="182D28C2" w14:textId="77777777" w:rsidR="009716B6" w:rsidRPr="00DE096C" w:rsidRDefault="009716B6" w:rsidP="00D45A46">
            <w:pPr>
              <w:jc w:val="both"/>
              <w:rPr>
                <w:bCs/>
                <w:color w:val="002060"/>
                <w:sz w:val="16"/>
                <w:szCs w:val="16"/>
              </w:rPr>
            </w:pPr>
            <w:r w:rsidRPr="00DE096C">
              <w:rPr>
                <w:bCs/>
                <w:color w:val="002060"/>
                <w:sz w:val="16"/>
                <w:szCs w:val="16"/>
              </w:rPr>
              <w:t>Пикриновой кислоты</w:t>
            </w:r>
          </w:p>
        </w:tc>
        <w:tc>
          <w:tcPr>
            <w:tcW w:w="936" w:type="dxa"/>
          </w:tcPr>
          <w:p w14:paraId="17815453" w14:textId="77777777" w:rsidR="009716B6" w:rsidRPr="00DE096C" w:rsidRDefault="009716B6" w:rsidP="00D45A46">
            <w:pPr>
              <w:jc w:val="both"/>
              <w:rPr>
                <w:bCs/>
                <w:color w:val="002060"/>
                <w:sz w:val="16"/>
                <w:szCs w:val="16"/>
              </w:rPr>
            </w:pPr>
            <w:r w:rsidRPr="00DE096C">
              <w:rPr>
                <w:bCs/>
                <w:color w:val="002060"/>
                <w:sz w:val="16"/>
                <w:szCs w:val="16"/>
              </w:rPr>
              <w:t xml:space="preserve">50.000 </w:t>
            </w:r>
          </w:p>
        </w:tc>
      </w:tr>
      <w:tr w:rsidR="009716B6" w:rsidRPr="00DE096C" w14:paraId="2329A145" w14:textId="77777777" w:rsidTr="00D34AC1">
        <w:tc>
          <w:tcPr>
            <w:tcW w:w="1788" w:type="dxa"/>
          </w:tcPr>
          <w:p w14:paraId="4B550E28" w14:textId="77777777" w:rsidR="009716B6" w:rsidRPr="00DE096C" w:rsidRDefault="009716B6" w:rsidP="00D45A46">
            <w:pPr>
              <w:jc w:val="both"/>
              <w:rPr>
                <w:bCs/>
                <w:color w:val="002060"/>
                <w:sz w:val="16"/>
                <w:szCs w:val="16"/>
              </w:rPr>
            </w:pPr>
            <w:r w:rsidRPr="00DE096C">
              <w:rPr>
                <w:bCs/>
                <w:color w:val="002060"/>
                <w:sz w:val="16"/>
                <w:szCs w:val="16"/>
              </w:rPr>
              <w:t>Аммиачной селитры</w:t>
            </w:r>
          </w:p>
        </w:tc>
        <w:tc>
          <w:tcPr>
            <w:tcW w:w="936" w:type="dxa"/>
          </w:tcPr>
          <w:p w14:paraId="190D029B" w14:textId="77777777" w:rsidR="009716B6" w:rsidRPr="00DE096C" w:rsidRDefault="009716B6" w:rsidP="00D45A46">
            <w:pPr>
              <w:jc w:val="both"/>
              <w:rPr>
                <w:bCs/>
                <w:color w:val="002060"/>
                <w:sz w:val="16"/>
                <w:szCs w:val="16"/>
              </w:rPr>
            </w:pPr>
            <w:r w:rsidRPr="00DE096C">
              <w:rPr>
                <w:bCs/>
                <w:color w:val="002060"/>
                <w:sz w:val="16"/>
                <w:szCs w:val="16"/>
              </w:rPr>
              <w:t xml:space="preserve">60.000 </w:t>
            </w:r>
          </w:p>
        </w:tc>
      </w:tr>
      <w:tr w:rsidR="009716B6" w:rsidRPr="00DE096C" w14:paraId="28CE48E3" w14:textId="77777777" w:rsidTr="00D34AC1">
        <w:tc>
          <w:tcPr>
            <w:tcW w:w="1788" w:type="dxa"/>
          </w:tcPr>
          <w:p w14:paraId="0F1C86F2" w14:textId="77777777" w:rsidR="009716B6" w:rsidRPr="00DE096C" w:rsidRDefault="009716B6" w:rsidP="00D45A46">
            <w:pPr>
              <w:jc w:val="both"/>
              <w:rPr>
                <w:bCs/>
                <w:color w:val="002060"/>
                <w:sz w:val="16"/>
                <w:szCs w:val="16"/>
              </w:rPr>
            </w:pPr>
            <w:r w:rsidRPr="00DE096C">
              <w:rPr>
                <w:bCs/>
                <w:color w:val="002060"/>
                <w:sz w:val="16"/>
                <w:szCs w:val="16"/>
              </w:rPr>
              <w:t>Ксилола</w:t>
            </w:r>
          </w:p>
        </w:tc>
        <w:tc>
          <w:tcPr>
            <w:tcW w:w="936" w:type="dxa"/>
          </w:tcPr>
          <w:p w14:paraId="5471B234" w14:textId="77777777" w:rsidR="009716B6" w:rsidRPr="00DE096C" w:rsidRDefault="009716B6" w:rsidP="00D45A46">
            <w:pPr>
              <w:jc w:val="both"/>
              <w:rPr>
                <w:bCs/>
                <w:color w:val="002060"/>
                <w:sz w:val="16"/>
                <w:szCs w:val="16"/>
              </w:rPr>
            </w:pPr>
            <w:r w:rsidRPr="00DE096C">
              <w:rPr>
                <w:bCs/>
                <w:color w:val="002060"/>
                <w:sz w:val="16"/>
                <w:szCs w:val="16"/>
              </w:rPr>
              <w:t xml:space="preserve">9.000 </w:t>
            </w:r>
          </w:p>
        </w:tc>
      </w:tr>
      <w:tr w:rsidR="009716B6" w:rsidRPr="00DE096C" w14:paraId="76976D6F" w14:textId="77777777" w:rsidTr="00D34AC1">
        <w:tc>
          <w:tcPr>
            <w:tcW w:w="1788" w:type="dxa"/>
          </w:tcPr>
          <w:p w14:paraId="0CCEF7B2" w14:textId="77777777" w:rsidR="009716B6" w:rsidRPr="00DE096C" w:rsidRDefault="009716B6" w:rsidP="00D45A46">
            <w:pPr>
              <w:jc w:val="both"/>
              <w:rPr>
                <w:bCs/>
                <w:color w:val="002060"/>
                <w:sz w:val="16"/>
                <w:szCs w:val="16"/>
              </w:rPr>
            </w:pPr>
            <w:r w:rsidRPr="00DE096C">
              <w:rPr>
                <w:bCs/>
                <w:color w:val="002060"/>
                <w:sz w:val="16"/>
                <w:szCs w:val="16"/>
              </w:rPr>
              <w:t>Динитронафталина</w:t>
            </w:r>
          </w:p>
        </w:tc>
        <w:tc>
          <w:tcPr>
            <w:tcW w:w="936" w:type="dxa"/>
          </w:tcPr>
          <w:p w14:paraId="7B012939" w14:textId="77777777" w:rsidR="009716B6" w:rsidRPr="00DE096C" w:rsidRDefault="009716B6" w:rsidP="00D45A46">
            <w:pPr>
              <w:jc w:val="both"/>
              <w:rPr>
                <w:bCs/>
                <w:color w:val="002060"/>
                <w:sz w:val="16"/>
                <w:szCs w:val="16"/>
              </w:rPr>
            </w:pPr>
            <w:r w:rsidRPr="00DE096C">
              <w:rPr>
                <w:bCs/>
                <w:color w:val="002060"/>
                <w:sz w:val="16"/>
                <w:szCs w:val="16"/>
              </w:rPr>
              <w:t xml:space="preserve">12.000 </w:t>
            </w:r>
          </w:p>
        </w:tc>
      </w:tr>
    </w:tbl>
    <w:p w14:paraId="2A4E33BC" w14:textId="77777777" w:rsidR="009716B6" w:rsidRPr="00DE096C" w:rsidRDefault="009716B6" w:rsidP="00D45A46">
      <w:pPr>
        <w:jc w:val="both"/>
        <w:rPr>
          <w:bCs/>
          <w:color w:val="002060"/>
          <w:sz w:val="16"/>
          <w:szCs w:val="16"/>
        </w:rPr>
      </w:pPr>
      <w:r w:rsidRPr="00DE096C">
        <w:rPr>
          <w:bCs/>
          <w:color w:val="002060"/>
          <w:sz w:val="16"/>
          <w:szCs w:val="16"/>
        </w:rPr>
        <w:t xml:space="preserve">Фактически эта мощность не была использована полностью. </w:t>
      </w:r>
    </w:p>
    <w:p w14:paraId="1523893E" w14:textId="77777777" w:rsidR="009716B6" w:rsidRPr="00DE096C" w:rsidRDefault="009716B6" w:rsidP="00D45A46">
      <w:pPr>
        <w:jc w:val="both"/>
        <w:rPr>
          <w:bCs/>
          <w:color w:val="002060"/>
          <w:sz w:val="16"/>
          <w:szCs w:val="16"/>
        </w:rPr>
      </w:pPr>
      <w:r w:rsidRPr="00DE096C">
        <w:rPr>
          <w:bCs/>
          <w:color w:val="002060"/>
          <w:sz w:val="16"/>
          <w:szCs w:val="16"/>
        </w:rPr>
        <w:t xml:space="preserve">Летом 1915 г. определенно выяснилась необходимость организовать производство целого ряда химических продуктов для газовой борьбы с противником. </w:t>
      </w:r>
    </w:p>
    <w:p w14:paraId="0F54D01D" w14:textId="77777777" w:rsidR="009716B6" w:rsidRPr="00DE096C" w:rsidRDefault="009716B6" w:rsidP="00D45A46">
      <w:pPr>
        <w:jc w:val="both"/>
        <w:rPr>
          <w:bCs/>
          <w:color w:val="002060"/>
          <w:sz w:val="16"/>
          <w:szCs w:val="16"/>
        </w:rPr>
      </w:pPr>
      <w:r w:rsidRPr="00DE096C">
        <w:rPr>
          <w:bCs/>
          <w:color w:val="002060"/>
          <w:sz w:val="16"/>
          <w:szCs w:val="16"/>
        </w:rPr>
        <w:t xml:space="preserve">Это дело проводилось с большой энергией и успехом, сначала специально для этой цели организованной Комиссией у[душающих] с[редств], а после Химическим комитетом, куда вошла Комиссия УС. Организации заводского производства предшествовал ряд научных изысканий. </w:t>
      </w:r>
    </w:p>
    <w:p w14:paraId="43C0B20A" w14:textId="77777777" w:rsidR="009716B6" w:rsidRPr="00DE096C" w:rsidRDefault="009716B6" w:rsidP="00D45A46">
      <w:pPr>
        <w:jc w:val="both"/>
        <w:rPr>
          <w:bCs/>
          <w:color w:val="002060"/>
          <w:sz w:val="16"/>
          <w:szCs w:val="16"/>
        </w:rPr>
      </w:pPr>
      <w:r w:rsidRPr="00DE096C">
        <w:rPr>
          <w:bCs/>
          <w:color w:val="002060"/>
          <w:sz w:val="16"/>
          <w:szCs w:val="16"/>
        </w:rPr>
        <w:t xml:space="preserve">Для выпуска из баллонов принят был сжиженный хлор. Производство было быстро организовано на двух заводах Донецкого бассейна и в период с осени 1915 г. к осени 1916 г. достигло 500-600 пудов в сутки, что вполне покрывало потребность фронта. </w:t>
      </w:r>
    </w:p>
    <w:p w14:paraId="527B0ABD" w14:textId="77777777" w:rsidR="009716B6" w:rsidRPr="00DE096C" w:rsidRDefault="009716B6" w:rsidP="00D45A46">
      <w:pPr>
        <w:jc w:val="both"/>
        <w:rPr>
          <w:bCs/>
          <w:color w:val="002060"/>
          <w:sz w:val="16"/>
          <w:szCs w:val="16"/>
        </w:rPr>
      </w:pPr>
      <w:r w:rsidRPr="00DE096C">
        <w:rPr>
          <w:bCs/>
          <w:color w:val="002060"/>
          <w:sz w:val="16"/>
          <w:szCs w:val="16"/>
        </w:rPr>
        <w:t xml:space="preserve">Второе вещество, необходимое для баллоновой газовой борьбы, фосген, в России ранее вовсе не вырабатывалось. </w:t>
      </w:r>
    </w:p>
    <w:p w14:paraId="5557DE15" w14:textId="77777777" w:rsidR="009716B6" w:rsidRPr="00DE096C" w:rsidRDefault="009716B6" w:rsidP="00D45A46">
      <w:pPr>
        <w:jc w:val="both"/>
        <w:rPr>
          <w:bCs/>
          <w:color w:val="002060"/>
          <w:sz w:val="16"/>
          <w:szCs w:val="16"/>
        </w:rPr>
      </w:pPr>
      <w:r w:rsidRPr="00DE096C">
        <w:rPr>
          <w:bCs/>
          <w:color w:val="002060"/>
          <w:sz w:val="16"/>
          <w:szCs w:val="16"/>
        </w:rPr>
        <w:t xml:space="preserve">На это производство оборудовалось пять заводов, из коих один казенный. Из пяти только два своевременно справились с делом. С января по октябрь 1916 г. производство фосгена достигло 600 пудов в месяц. Установка его представляла большие технические трудности. </w:t>
      </w:r>
    </w:p>
    <w:p w14:paraId="26EFBB46" w14:textId="77777777" w:rsidR="009716B6" w:rsidRPr="00DE096C" w:rsidRDefault="009716B6" w:rsidP="00D45A46">
      <w:pPr>
        <w:jc w:val="both"/>
        <w:rPr>
          <w:bCs/>
          <w:color w:val="002060"/>
          <w:sz w:val="16"/>
          <w:szCs w:val="16"/>
        </w:rPr>
      </w:pPr>
      <w:r w:rsidRPr="00DE096C">
        <w:rPr>
          <w:bCs/>
          <w:color w:val="002060"/>
          <w:sz w:val="16"/>
          <w:szCs w:val="16"/>
        </w:rPr>
        <w:t xml:space="preserve">Что касается других удушающих веществ, то Химический комитет поставил следующие производства: </w:t>
      </w:r>
    </w:p>
    <w:p w14:paraId="55F038A1" w14:textId="77777777" w:rsidR="009716B6" w:rsidRPr="00DE096C" w:rsidRDefault="009716B6" w:rsidP="00D45A46">
      <w:pPr>
        <w:jc w:val="both"/>
        <w:rPr>
          <w:bCs/>
          <w:color w:val="002060"/>
          <w:sz w:val="16"/>
          <w:szCs w:val="16"/>
        </w:rPr>
      </w:pPr>
      <w:r w:rsidRPr="00DE096C">
        <w:rPr>
          <w:bCs/>
          <w:color w:val="002060"/>
          <w:sz w:val="16"/>
          <w:szCs w:val="16"/>
        </w:rPr>
        <w:t xml:space="preserve">Хлорпикрин — производство было поставлено на семи заводах. Из них один казенный (Глобинский). По 1 октября 1916 г. изготовлено 21 000 пудов. </w:t>
      </w:r>
    </w:p>
    <w:p w14:paraId="7BB96E46" w14:textId="77777777" w:rsidR="009716B6" w:rsidRPr="00DE096C" w:rsidRDefault="009716B6" w:rsidP="00D45A46">
      <w:pPr>
        <w:jc w:val="both"/>
        <w:rPr>
          <w:bCs/>
          <w:color w:val="002060"/>
          <w:sz w:val="16"/>
          <w:szCs w:val="16"/>
        </w:rPr>
      </w:pPr>
      <w:r w:rsidRPr="00DE096C">
        <w:rPr>
          <w:bCs/>
          <w:color w:val="002060"/>
          <w:sz w:val="16"/>
          <w:szCs w:val="16"/>
        </w:rPr>
        <w:t xml:space="preserve">Хлористый сульфурин и хлористый ангидрид — на одном заводе, до 1 октября 1916 г. выработано: первого 14 000 пудов, а второго 18 000 пудов. </w:t>
      </w:r>
    </w:p>
    <w:p w14:paraId="13C861F4" w14:textId="77777777" w:rsidR="009716B6" w:rsidRPr="00DE096C" w:rsidRDefault="009716B6" w:rsidP="00D45A46">
      <w:pPr>
        <w:jc w:val="both"/>
        <w:rPr>
          <w:bCs/>
          <w:color w:val="002060"/>
          <w:sz w:val="16"/>
          <w:szCs w:val="16"/>
        </w:rPr>
      </w:pPr>
      <w:r w:rsidRPr="00DE096C">
        <w:rPr>
          <w:bCs/>
          <w:color w:val="002060"/>
          <w:sz w:val="16"/>
          <w:szCs w:val="16"/>
        </w:rPr>
        <w:t xml:space="preserve">Хлорное олово — на одном заводе, до 1 октября 1916 г. выработано 14 000 пудов. </w:t>
      </w:r>
    </w:p>
    <w:p w14:paraId="09627E1F" w14:textId="77777777" w:rsidR="009716B6" w:rsidRPr="00DE096C" w:rsidRDefault="009716B6" w:rsidP="00D45A46">
      <w:pPr>
        <w:jc w:val="both"/>
        <w:rPr>
          <w:bCs/>
          <w:color w:val="002060"/>
          <w:sz w:val="16"/>
          <w:szCs w:val="16"/>
        </w:rPr>
      </w:pPr>
      <w:r w:rsidRPr="00DE096C">
        <w:rPr>
          <w:bCs/>
          <w:color w:val="002060"/>
          <w:sz w:val="16"/>
          <w:szCs w:val="16"/>
        </w:rPr>
        <w:t xml:space="preserve">Цианистый калий — на одном заводе, за 1916 г. выработано 100 пудов. </w:t>
      </w:r>
    </w:p>
    <w:p w14:paraId="228D32BF" w14:textId="77777777" w:rsidR="009716B6" w:rsidRPr="00DE096C" w:rsidRDefault="009716B6" w:rsidP="00D45A46">
      <w:pPr>
        <w:jc w:val="both"/>
        <w:rPr>
          <w:bCs/>
          <w:color w:val="002060"/>
          <w:sz w:val="16"/>
          <w:szCs w:val="16"/>
        </w:rPr>
      </w:pPr>
      <w:r w:rsidRPr="00DE096C">
        <w:rPr>
          <w:bCs/>
          <w:color w:val="002060"/>
          <w:sz w:val="16"/>
          <w:szCs w:val="16"/>
        </w:rPr>
        <w:t xml:space="preserve">Хлороформ — на одном заводе, до 1 октября 1916 г. — 300 пудов. </w:t>
      </w:r>
    </w:p>
    <w:p w14:paraId="1DE087CE" w14:textId="77777777" w:rsidR="009716B6" w:rsidRPr="00DE096C" w:rsidRDefault="009716B6" w:rsidP="00D45A46">
      <w:pPr>
        <w:jc w:val="both"/>
        <w:rPr>
          <w:bCs/>
          <w:color w:val="002060"/>
          <w:sz w:val="16"/>
          <w:szCs w:val="16"/>
        </w:rPr>
      </w:pPr>
      <w:r w:rsidRPr="00DE096C">
        <w:rPr>
          <w:bCs/>
          <w:color w:val="002060"/>
          <w:sz w:val="16"/>
          <w:szCs w:val="16"/>
        </w:rPr>
        <w:t xml:space="preserve">Хлористый мышьяк — на одном заводе, до 1 октября 1916 г. — 2000 пудов. </w:t>
      </w:r>
    </w:p>
    <w:p w14:paraId="49C6A913" w14:textId="77777777" w:rsidR="009716B6" w:rsidRPr="00DE096C" w:rsidRDefault="009716B6" w:rsidP="00D45A46">
      <w:pPr>
        <w:jc w:val="both"/>
        <w:rPr>
          <w:bCs/>
          <w:color w:val="002060"/>
          <w:sz w:val="16"/>
          <w:szCs w:val="16"/>
        </w:rPr>
      </w:pPr>
      <w:r w:rsidRPr="00DE096C">
        <w:rPr>
          <w:bCs/>
          <w:color w:val="002060"/>
          <w:sz w:val="16"/>
          <w:szCs w:val="16"/>
        </w:rPr>
        <w:t xml:space="preserve">Для производства бромбензола было установлено, впервые в России, производство брома. </w:t>
      </w:r>
    </w:p>
    <w:p w14:paraId="6551236E" w14:textId="77777777" w:rsidR="009716B6" w:rsidRPr="00DE096C" w:rsidRDefault="009716B6" w:rsidP="00D45A46">
      <w:pPr>
        <w:jc w:val="both"/>
        <w:rPr>
          <w:bCs/>
          <w:color w:val="002060"/>
          <w:sz w:val="16"/>
          <w:szCs w:val="16"/>
        </w:rPr>
      </w:pPr>
      <w:r w:rsidRPr="00DE096C">
        <w:rPr>
          <w:bCs/>
          <w:color w:val="002060"/>
          <w:sz w:val="16"/>
          <w:szCs w:val="16"/>
        </w:rPr>
        <w:t xml:space="preserve">Помимо указанного, Химический комитет поставил ряд производств основных материалов — для изготовления зажигательных препаратов, фармацевтических и др. Так, постановлено производство азотнокислого бария (около 2000 пудов) и желтого фосфора. Затем, организован завод для ректификации кустарного метилового спирта и получения химически чистого. Далее, были предприняты постройки нескольких заводов для сухой перегонки дерева с получением метилового спирта. </w:t>
      </w:r>
    </w:p>
    <w:p w14:paraId="74C91184" w14:textId="77777777" w:rsidR="009716B6" w:rsidRPr="00DE096C" w:rsidRDefault="009716B6" w:rsidP="00D45A46">
      <w:pPr>
        <w:jc w:val="both"/>
        <w:rPr>
          <w:bCs/>
          <w:color w:val="002060"/>
          <w:sz w:val="16"/>
          <w:szCs w:val="16"/>
        </w:rPr>
      </w:pPr>
      <w:r w:rsidRPr="00DE096C">
        <w:rPr>
          <w:bCs/>
          <w:color w:val="002060"/>
          <w:sz w:val="16"/>
          <w:szCs w:val="16"/>
        </w:rPr>
        <w:t xml:space="preserve">Химический комитет, энергично работая в направлении мобилизации мирной промышленности на военные производства, в то же время не упускал чрезвычайно существенного в этом деле вопроса: как быть по окончании войны со всеми предприятиями, которые с мирной работы были переоборудованы и переведены на военную, а в особенности с теми, кои были специально для военных нужд построены и оборудованы заново. </w:t>
      </w:r>
    </w:p>
    <w:p w14:paraId="60B1FDFF" w14:textId="77777777" w:rsidR="009716B6" w:rsidRPr="00DE096C" w:rsidRDefault="009716B6" w:rsidP="00D45A46">
      <w:pPr>
        <w:jc w:val="both"/>
        <w:rPr>
          <w:bCs/>
          <w:color w:val="002060"/>
          <w:sz w:val="16"/>
          <w:szCs w:val="16"/>
        </w:rPr>
      </w:pPr>
      <w:r w:rsidRPr="00DE096C">
        <w:rPr>
          <w:bCs/>
          <w:color w:val="002060"/>
          <w:sz w:val="16"/>
          <w:szCs w:val="16"/>
        </w:rPr>
        <w:lastRenderedPageBreak/>
        <w:t xml:space="preserve">Война дала громадный толчок к развитию отечественной химической промышленности. Вслед за развитием производства специально военных продуктов (взрывчатых веществ и пороха) естественно росли, развивались и насаждались вновь производства длинного ряда исходных для них продуктов, которые сами по себе носили уже вполне мирный характер (кислоты, ароматические углеводороды и пр.), а было бы преступным не использовать полученный химической промышленностью импульс, вложенные в нее силы и средства для дальнейшего ее развития по линии мирного рынка. </w:t>
      </w:r>
    </w:p>
    <w:p w14:paraId="276A0205" w14:textId="77777777" w:rsidR="009716B6" w:rsidRPr="00DE096C" w:rsidRDefault="009716B6" w:rsidP="00D45A46">
      <w:pPr>
        <w:jc w:val="both"/>
        <w:rPr>
          <w:bCs/>
          <w:color w:val="002060"/>
          <w:sz w:val="16"/>
          <w:szCs w:val="16"/>
        </w:rPr>
      </w:pPr>
      <w:r w:rsidRPr="00DE096C">
        <w:rPr>
          <w:bCs/>
          <w:color w:val="002060"/>
          <w:sz w:val="16"/>
          <w:szCs w:val="16"/>
        </w:rPr>
        <w:t xml:space="preserve">Разрешение этой задачи представляло громадные трудности и с технической стороны и, в особенности, со стороны экономики. Предстояло разрешить вопросы: а) чем располагает химическая промышленность в смысле производственных возможностей, б) в чем нуждается Россия, в смысле химических продуктов, в) какие производства необходимо и возможно организовать вновь, г) как использовать заводы специально военного назначения на мирный рынок с тем, чтобы в то же время сохранить их мобилизационную готовность к военной работе. </w:t>
      </w:r>
    </w:p>
    <w:p w14:paraId="28DC4040" w14:textId="77777777" w:rsidR="009716B6" w:rsidRPr="00DE096C" w:rsidRDefault="009716B6" w:rsidP="00D45A46">
      <w:pPr>
        <w:jc w:val="both"/>
        <w:rPr>
          <w:bCs/>
          <w:color w:val="002060"/>
          <w:sz w:val="16"/>
          <w:szCs w:val="16"/>
        </w:rPr>
      </w:pPr>
      <w:r w:rsidRPr="00DE096C">
        <w:rPr>
          <w:bCs/>
          <w:color w:val="002060"/>
          <w:sz w:val="16"/>
          <w:szCs w:val="16"/>
        </w:rPr>
        <w:t xml:space="preserve">Разрешение этих вопросов естественно связывалось с вопросами заграничной конкуренции, таможенных пошлин, железнодорожных тарифов и пр. Одним словом, необходимо было поставить во всем объеме задачу о дальнейших путях интенсивного развития отечественной химической промышленности и полного освобождения государства в этой области от иностранной зависимости. </w:t>
      </w:r>
    </w:p>
    <w:p w14:paraId="2499A733" w14:textId="77777777" w:rsidR="009716B6" w:rsidRPr="00DE096C" w:rsidRDefault="009716B6" w:rsidP="00D45A46">
      <w:pPr>
        <w:jc w:val="both"/>
        <w:rPr>
          <w:bCs/>
          <w:color w:val="002060"/>
          <w:sz w:val="16"/>
          <w:szCs w:val="16"/>
        </w:rPr>
      </w:pPr>
      <w:r w:rsidRPr="00DE096C">
        <w:rPr>
          <w:bCs/>
          <w:color w:val="002060"/>
          <w:sz w:val="16"/>
          <w:szCs w:val="16"/>
        </w:rPr>
        <w:t xml:space="preserve">Химический комитет, поставив так широко задачу, надлежащим образом и приступил к ее разрешению. Он призвал к этому делу все крупные общественные организации, научные силы и представителей промышленности. Все весьма охотно откликнулись на призыв. Общими силами приступлено было к собиранию и разработке статистического материала по химическим производствам. Под наблюдением Комитета находилось до 200 заводов химической промышленности. </w:t>
      </w:r>
    </w:p>
    <w:p w14:paraId="35B02219" w14:textId="77777777" w:rsidR="009716B6" w:rsidRPr="00DE096C" w:rsidRDefault="009716B6" w:rsidP="00D45A46">
      <w:pPr>
        <w:jc w:val="both"/>
        <w:rPr>
          <w:bCs/>
          <w:color w:val="002060"/>
          <w:sz w:val="16"/>
          <w:szCs w:val="16"/>
        </w:rPr>
      </w:pPr>
      <w:r w:rsidRPr="00DE096C">
        <w:rPr>
          <w:bCs/>
          <w:color w:val="002060"/>
          <w:sz w:val="16"/>
          <w:szCs w:val="16"/>
        </w:rPr>
        <w:t>Осенью 1916 г. при Московском и Южном бюро Химического комитета были образованы подготовительные комиссии для сосредоточения и разработки статистического материала. Были намечены к обследованию следующие отрасли промышленности: 1) кислотная и связанные с ней заводы получения солей и других минеральных продуктов, 2) фармацевтическая, 3) красочная, 4) органических препаратов (нефтяная, сухой перегонки дерева, продуктов коксования угля, сахарная, паточная, обработка жиров и др.).</w:t>
      </w:r>
    </w:p>
    <w:p w14:paraId="4118F95D" w14:textId="77777777" w:rsidR="009716B6" w:rsidRPr="00DE096C" w:rsidRDefault="009716B6" w:rsidP="00D45A46">
      <w:pPr>
        <w:jc w:val="both"/>
        <w:rPr>
          <w:bCs/>
          <w:color w:val="002060"/>
          <w:sz w:val="16"/>
          <w:szCs w:val="16"/>
        </w:rPr>
      </w:pPr>
      <w:r w:rsidRPr="00DE096C">
        <w:rPr>
          <w:bCs/>
          <w:color w:val="002060"/>
          <w:sz w:val="16"/>
          <w:szCs w:val="16"/>
        </w:rPr>
        <w:t xml:space="preserve">Для объединения работ подготовительных комиссий, подходивших к концу, в начале 1917 г. в Москве был образован Центральный орган. В состав его вошли представители заинтересованных министерств, научных, ученых и общественных организаций. Предстояла сводка материала, составление выводов и заключений, а затем разработка плана демобилизации промышленности и насаждение новых ее отраслей. События октября 1917 г. прервали эту работу. </w:t>
      </w:r>
    </w:p>
    <w:p w14:paraId="76234E48" w14:textId="77777777" w:rsidR="009716B6" w:rsidRPr="00DE096C" w:rsidRDefault="009716B6" w:rsidP="00D45A46">
      <w:pPr>
        <w:jc w:val="both"/>
        <w:rPr>
          <w:bCs/>
          <w:color w:val="002060"/>
          <w:sz w:val="16"/>
          <w:szCs w:val="16"/>
        </w:rPr>
      </w:pPr>
      <w:r w:rsidRPr="00DE096C">
        <w:rPr>
          <w:bCs/>
          <w:color w:val="002060"/>
          <w:sz w:val="16"/>
          <w:szCs w:val="16"/>
        </w:rPr>
        <w:t xml:space="preserve">История работы Химического комитета дает весьма поучительный материал, позволяющий, с одной стороны, поставить верный диагноз недугам нашего военного снабжения в прошлую войну, и. с другой стороны, найти твердые и надежные методы их излечения. Первые же месяцы войны вскрыли исключительную беспечность военного ведомства в вопросах обеспечения армии взрывчатыми веществами. Достаточно лишь указать, что единственное взрывчатое вещество, принятое для снаряжения снарядов всех калибров, мин, ручных гранат и т.д., — тротил — ни в малейшей мере не было обеспечено основным сырьем — толуолом, который с 1909 г. и до объявления войны полностью получался из той самой Германии, с которой во всякий момент могла возникнуть война. </w:t>
      </w:r>
    </w:p>
    <w:p w14:paraId="437F16C5" w14:textId="77777777" w:rsidR="009716B6" w:rsidRPr="00DE096C" w:rsidRDefault="009716B6" w:rsidP="00D45A46">
      <w:pPr>
        <w:jc w:val="both"/>
        <w:rPr>
          <w:bCs/>
          <w:color w:val="002060"/>
          <w:sz w:val="16"/>
          <w:szCs w:val="16"/>
        </w:rPr>
      </w:pPr>
      <w:r w:rsidRPr="00DE096C">
        <w:rPr>
          <w:bCs/>
          <w:color w:val="002060"/>
          <w:sz w:val="16"/>
          <w:szCs w:val="16"/>
        </w:rPr>
        <w:t xml:space="preserve">Сравнительно кратковременная работа Комитета, предпринятая без всякой предварительной подготовки и протекавшая в условиях военного времени, дала громадные результаты. В короткий срок русскими учеными разрешен целый ряд химических задач, имеющих большое военное значение и в то же время не меньшее значение научное. Русскими инженерами в короткий срок был построен ряд новых химических заводов и поставлено много совершенно новых для России производств, причем во многих случаях методы этих производств, совершенно оригинальные, были разработаны своими силами. И все эти работы, несмотря на кратковременность их, успели дать крупнейшие практические результаты для дела обороны государства. </w:t>
      </w:r>
    </w:p>
    <w:p w14:paraId="7D994BB8" w14:textId="77777777" w:rsidR="009716B6" w:rsidRPr="00DE096C" w:rsidRDefault="009716B6" w:rsidP="00D45A46">
      <w:pPr>
        <w:jc w:val="both"/>
        <w:rPr>
          <w:bCs/>
          <w:color w:val="002060"/>
          <w:sz w:val="16"/>
          <w:szCs w:val="16"/>
        </w:rPr>
      </w:pPr>
      <w:r w:rsidRPr="00DE096C">
        <w:rPr>
          <w:bCs/>
          <w:color w:val="002060"/>
          <w:sz w:val="16"/>
          <w:szCs w:val="16"/>
        </w:rPr>
        <w:t>Если мобилизация химической промышленности, произведенная без всякой решительно предварительной подготовки, в порядке чистейшей импровизации, могла принести такую громадную помощь армии, то естественно рождается вопрос, каковы были бы результаты, если бы эта мобилизация была предусмотрена и подготовлена заблаговременно, еще в мирное время, и с началом войны химическая промышленность развернула бы свою работу по строго определенному плану, спокойно, без толчков, перейдя с мирной программы на военную. Естественные богатства России и способность русской инженерной мысли к продуктивному творчеству открывали широкие возможности развития химической промышленности в том направлении, как этого требуют интересы обороны (11329).</w:t>
      </w:r>
    </w:p>
    <w:p w14:paraId="7CFACEF8" w14:textId="77777777" w:rsidR="009716B6" w:rsidRPr="00DE096C" w:rsidRDefault="009716B6" w:rsidP="00D45A46">
      <w:pPr>
        <w:jc w:val="both"/>
        <w:rPr>
          <w:bCs/>
          <w:i/>
          <w:color w:val="002060"/>
          <w:sz w:val="16"/>
          <w:szCs w:val="16"/>
        </w:rPr>
      </w:pPr>
    </w:p>
    <w:p w14:paraId="2759E508" w14:textId="77777777" w:rsidR="000343AB" w:rsidRPr="00DE096C" w:rsidRDefault="000343AB" w:rsidP="00D45A46">
      <w:pPr>
        <w:jc w:val="both"/>
        <w:rPr>
          <w:bCs/>
          <w:color w:val="002060"/>
          <w:sz w:val="16"/>
          <w:szCs w:val="16"/>
        </w:rPr>
      </w:pPr>
      <w:r w:rsidRPr="00DE096C">
        <w:rPr>
          <w:bCs/>
          <w:color w:val="002060"/>
          <w:sz w:val="16"/>
          <w:szCs w:val="16"/>
        </w:rPr>
        <w:t>До конца июля 1914 г. и начала первой мировой войны не было создано отдельного государственного учреждения, в обязанности которого входило бы управление различными отраслями химической промышленности и которое могло бы координировать и направлять развитие производства в соответствии с текущими государственными интересами [Ипатьев В.Н. Жизнь одного химика: Воспоминания. Т. 1. Нью-Йорк, 1945, с.420]. Тем не менее результаты деятельности химических предприятий фиксировались правительственной статистикой. Вначале сведениями, относящимися к химической промышленности, собранными фабричной инспекцией, ведал Отдел промышленности Министерства финансов, а с 1905 г. - Отдел промышленности Министерства торговли и промышленности [Антонова С.И. Статистические источники по истории СССР периода капитализма. М., 1968, с.45]. Именно он вел дела химических предприятий, выпускавших продукцию гражданского назначения. Военно-химические заводы, производившие порох и взрывчатые вещества для боеприпасов, курировало Военное министерство (11423).</w:t>
      </w:r>
    </w:p>
    <w:p w14:paraId="3EB43DD2" w14:textId="77777777" w:rsidR="000343AB" w:rsidRPr="00DE096C" w:rsidRDefault="000343AB" w:rsidP="00D45A46">
      <w:pPr>
        <w:jc w:val="both"/>
        <w:rPr>
          <w:bCs/>
          <w:color w:val="002060"/>
          <w:sz w:val="16"/>
          <w:szCs w:val="16"/>
        </w:rPr>
      </w:pPr>
    </w:p>
    <w:p w14:paraId="23B479EE" w14:textId="77777777" w:rsidR="000343AB" w:rsidRPr="00DE096C" w:rsidRDefault="000343AB" w:rsidP="00D45A46">
      <w:pPr>
        <w:jc w:val="both"/>
        <w:rPr>
          <w:bCs/>
          <w:color w:val="002060"/>
          <w:sz w:val="16"/>
          <w:szCs w:val="16"/>
        </w:rPr>
      </w:pPr>
      <w:r w:rsidRPr="00DE096C">
        <w:rPr>
          <w:bCs/>
          <w:color w:val="002060"/>
          <w:sz w:val="16"/>
          <w:szCs w:val="16"/>
        </w:rPr>
        <w:t xml:space="preserve">В конце июля 1914 г. к началу мировой войны осталось непроданной меди 96 тысяч пудов. К 1916 г. весь этот запас был исчерпан, и военное ведомство вынуждено было приобретать заграничную медь по 25 руб. за пуд, а для получения русской меди в неопределенном будущем потребовалась выдача значительных денежных субсидий для разработки медной руды. </w:t>
      </w:r>
    </w:p>
    <w:p w14:paraId="5DB674BA" w14:textId="77777777" w:rsidR="000343AB" w:rsidRPr="00DE096C" w:rsidRDefault="000343AB" w:rsidP="00D45A46">
      <w:pPr>
        <w:jc w:val="both"/>
        <w:rPr>
          <w:bCs/>
          <w:color w:val="002060"/>
          <w:sz w:val="16"/>
          <w:szCs w:val="16"/>
        </w:rPr>
      </w:pPr>
      <w:r w:rsidRPr="00DE096C">
        <w:rPr>
          <w:bCs/>
          <w:color w:val="002060"/>
          <w:sz w:val="16"/>
          <w:szCs w:val="16"/>
        </w:rPr>
        <w:t xml:space="preserve">В целях обеспечения безостановочной работы своих заводов в случае закрытия границы во время войны ГАУ изыскивало возможность замены некоторых материалов заграничного происхождения русскими. Особенное внимание привлекли свинец и комовая сера. Поддерживая добычу свинца на Кавказе заводом "Эльборус", ГАУ, основательно испытав этот свинец в работе на патронных заводах, просило министерство финансов о выдаче "Эльборусу" необходимого для него аванса, который зачитывался бы при расплате за свинец в продолжение пяти лет поставки металла на казенные заводы. Министр финансов ответил решительным отказом, ссылаясь на некредитоспособность бывшего тов. министра финансов В. И. Ковалевского, стоявшего во главе правления общества "Эльборус". </w:t>
      </w:r>
    </w:p>
    <w:p w14:paraId="3BA8F889" w14:textId="77777777" w:rsidR="000343AB" w:rsidRPr="00DE096C" w:rsidRDefault="000343AB" w:rsidP="00D45A46">
      <w:pPr>
        <w:jc w:val="both"/>
        <w:rPr>
          <w:bCs/>
          <w:color w:val="002060"/>
          <w:sz w:val="16"/>
          <w:szCs w:val="16"/>
        </w:rPr>
      </w:pPr>
      <w:r w:rsidRPr="00DE096C">
        <w:rPr>
          <w:bCs/>
          <w:color w:val="002060"/>
          <w:sz w:val="16"/>
          <w:szCs w:val="16"/>
        </w:rPr>
        <w:t xml:space="preserve">Попытка получить свинец из Уссурийского края и комовую серу из Туркестана тоже успеха не вмела, так как предпринимателям требовалась значительная денежная помощь. </w:t>
      </w:r>
    </w:p>
    <w:p w14:paraId="5C536800" w14:textId="77777777" w:rsidR="000343AB" w:rsidRPr="00DE096C" w:rsidRDefault="000343AB" w:rsidP="00D45A46">
      <w:pPr>
        <w:jc w:val="both"/>
        <w:rPr>
          <w:bCs/>
          <w:color w:val="002060"/>
          <w:sz w:val="16"/>
          <w:szCs w:val="16"/>
        </w:rPr>
      </w:pPr>
      <w:r w:rsidRPr="00DE096C">
        <w:rPr>
          <w:bCs/>
          <w:color w:val="002060"/>
          <w:sz w:val="16"/>
          <w:szCs w:val="16"/>
        </w:rPr>
        <w:t xml:space="preserve">В результате - во время войны пришлось выписывать из-за границы по большим ценам все те сырые материалы, ко-торых не было в России и необходимость которых предвиделась одиннадцать лет назад при первоначальном исчислении для обеспечения заводов запасами. В общем, если казенные военные заводы не были заблаговременно подготовлены к исполнению заданий, то еще меньше к этому были подготовлены частные русские заводы, не исключая даже тех, которые занимались изготовлением предметов артиллерийской техники еще в мирное время. </w:t>
      </w:r>
    </w:p>
    <w:p w14:paraId="06C9A5BD" w14:textId="77777777" w:rsidR="000343AB" w:rsidRPr="00DE096C" w:rsidRDefault="000343AB" w:rsidP="00D45A46">
      <w:pPr>
        <w:jc w:val="both"/>
        <w:rPr>
          <w:bCs/>
          <w:color w:val="002060"/>
          <w:sz w:val="16"/>
          <w:szCs w:val="16"/>
        </w:rPr>
      </w:pPr>
      <w:r w:rsidRPr="00DE096C">
        <w:rPr>
          <w:bCs/>
          <w:color w:val="002060"/>
          <w:sz w:val="16"/>
          <w:szCs w:val="16"/>
        </w:rPr>
        <w:t xml:space="preserve">Частные заводы, даже имевшие по прежним военным заказам известное оборудование, не могли долго сохранять свою готовность к той же работе лишь на случай получения нового заказа на те же изделия. Очевидно, частным заводам было крайне невыгодно оставлять свои станки в долгом бездействии; выполнив военные заказы, эти заводы приспособляли свое производство для другой полученной ими работы. Для частных заводов было также невыгодно хранить запасы неходовых специальных материалов, требующихся для случайных военных заказов. </w:t>
      </w:r>
    </w:p>
    <w:p w14:paraId="00E8000E" w14:textId="77777777" w:rsidR="000343AB" w:rsidRPr="00DE096C" w:rsidRDefault="000343AB" w:rsidP="00D45A46">
      <w:pPr>
        <w:jc w:val="both"/>
        <w:rPr>
          <w:bCs/>
          <w:color w:val="002060"/>
          <w:sz w:val="16"/>
          <w:szCs w:val="16"/>
        </w:rPr>
      </w:pPr>
      <w:r w:rsidRPr="00DE096C">
        <w:rPr>
          <w:bCs/>
          <w:color w:val="002060"/>
          <w:sz w:val="16"/>
          <w:szCs w:val="16"/>
        </w:rPr>
        <w:t>Неподготовленность частной русской промышленности к некоторым производствам военных изделий докладчики по сметам ГАУ в Государственной думе нередко относили к непредусмотрительности военного ведомства. Бывший начальник ГАУ ген. Кузьмин-Караваев приводил по этому вопросу объяснения Верховной следственной комиссии, сущность которых сводилась к следующему: от артиллерийского ведомства не зависело развитие промышленности в целом; ему приходилось лишь подтверждать крайнюю затруднительность в получении от частной промышленности некоторых готовых изделий, механизмов, станков и сырых материалов. Стремление артиллерийского ведомства привлекать частные фирмы к поставкам таких предметов, изготовление которых было доступно соответствующему заводу, дало положительные результаты лишь в деле поставки стальных снарядов. К 1911 г. 9 больших заводов выделывали снаряды разных ка-либров; кроме того, в Финляндии было оборудовано три завода, но военному ведомству было воспрещено давать им дальнейшие заказы на снаряды.</w:t>
      </w:r>
    </w:p>
    <w:p w14:paraId="5F56DBFF" w14:textId="77777777" w:rsidR="000343AB" w:rsidRPr="00DE096C" w:rsidRDefault="000343AB" w:rsidP="00D45A46">
      <w:pPr>
        <w:jc w:val="both"/>
        <w:rPr>
          <w:bCs/>
          <w:color w:val="002060"/>
          <w:sz w:val="16"/>
          <w:szCs w:val="16"/>
        </w:rPr>
      </w:pPr>
      <w:r w:rsidRPr="00DE096C">
        <w:rPr>
          <w:bCs/>
          <w:color w:val="002060"/>
          <w:sz w:val="16"/>
          <w:szCs w:val="16"/>
        </w:rPr>
        <w:t xml:space="preserve">С большими затруднениями размещались заказы на немногочисленных частных заводах, изготовляющих конскую амуницию, различного рода повозки, зарядные ящики, хлопковый материал, и не было никакой возможности найти заводы, которые установили бы у себя изготовление снарядных трубок, взрывателей, биноклей, ружейных стволов, запасных ружейных частей, требовавшихся в громадном количестве, и пр. Главной причиной такого явления признавалось отсутствие техников. Завод, понимавший всю выгоду установки нового производства, иногда брал заказ, но мало сведущий технический персонал не справлялся с делом, и завод имел лишь убытки. Большой недостаток в технических силах подтверждался наблюдаемым приглашением артиллерийских техников на частные заводы, получивших какую-либо гарантию правительства в виде субсидии на оборудование или долгосрочного заказа, Так, при устройстве одного частного порохового завода владелец завода обратился к артиллерийскому пороходелу для установки производства бездымного пороха для морского ведомства - ген. Дымша; завод предлагал место с окладом в 60 тысяч рублей в год, но ген. Дымша отказался. Тогда полковник Броунс, выйдя в отставку, поступил на частную службу в пороховой завод на весьма крупный оклад. С началом войны 1914 г., когда военное ведомство начало оплачивать оборудование заводов для нового производства, частный трубочный завод, заручившись разрешением военного министра, пригласил к себе на помощь трех артиллеристов-техников, специалистов по изготовлению трубок, назначив им вознаграждение в 30 600 рублей в год за работу исключительно консультационную, так как эти три техника продолжали служить на казенном трубочном заводе. </w:t>
      </w:r>
    </w:p>
    <w:p w14:paraId="2242A759" w14:textId="77777777" w:rsidR="000343AB" w:rsidRPr="00DE096C" w:rsidRDefault="000343AB" w:rsidP="00D45A46">
      <w:pPr>
        <w:jc w:val="both"/>
        <w:rPr>
          <w:bCs/>
          <w:color w:val="002060"/>
          <w:sz w:val="16"/>
          <w:szCs w:val="16"/>
        </w:rPr>
      </w:pPr>
      <w:r w:rsidRPr="00DE096C">
        <w:rPr>
          <w:bCs/>
          <w:color w:val="002060"/>
          <w:sz w:val="16"/>
          <w:szCs w:val="16"/>
        </w:rPr>
        <w:t xml:space="preserve">Следующей причиной слабого развития русской довоенной промышленности признавалось крайне недостаточное обеспечение заводов материалами, идущими на изготовление пред метов боевого снабжения. </w:t>
      </w:r>
    </w:p>
    <w:p w14:paraId="721ABAE0" w14:textId="77777777" w:rsidR="000343AB" w:rsidRPr="00DE096C" w:rsidRDefault="000343AB" w:rsidP="00D45A46">
      <w:pPr>
        <w:jc w:val="both"/>
        <w:rPr>
          <w:bCs/>
          <w:color w:val="002060"/>
          <w:sz w:val="16"/>
          <w:szCs w:val="16"/>
        </w:rPr>
      </w:pPr>
      <w:r w:rsidRPr="00DE096C">
        <w:rPr>
          <w:bCs/>
          <w:color w:val="002060"/>
          <w:sz w:val="16"/>
          <w:szCs w:val="16"/>
        </w:rPr>
        <w:t xml:space="preserve">Наконец, несовершенство способов заготовлений, принятое в военном ведомстве, вредно отражалось на подготовка к войне казенных военных заводов и на работе их во время войны. </w:t>
      </w:r>
    </w:p>
    <w:p w14:paraId="06801066" w14:textId="77777777" w:rsidR="000343AB" w:rsidRPr="00DE096C" w:rsidRDefault="000343AB" w:rsidP="00D45A46">
      <w:pPr>
        <w:jc w:val="both"/>
        <w:rPr>
          <w:bCs/>
          <w:color w:val="002060"/>
          <w:sz w:val="16"/>
          <w:szCs w:val="16"/>
        </w:rPr>
      </w:pPr>
      <w:r w:rsidRPr="00DE096C">
        <w:rPr>
          <w:bCs/>
          <w:color w:val="002060"/>
          <w:sz w:val="16"/>
          <w:szCs w:val="16"/>
        </w:rPr>
        <w:lastRenderedPageBreak/>
        <w:t xml:space="preserve">Надо знать те путы, которыми была связана деятельность начальников казенных заводов, ту массу бессмысленных стеснений и бюрократического формализма, преследовавших их на каждом шагу, чтобы понять все бессилие их сделать, что-либо быстро и целесообразно, не упустив важной минуты. В этом отношении казенные заводы поставлены были в несравненно худшие условия, чем любой частный завод с нормальными коммерческими приемами. </w:t>
      </w:r>
    </w:p>
    <w:p w14:paraId="7A01D79E" w14:textId="77777777" w:rsidR="000343AB" w:rsidRPr="00DE096C" w:rsidRDefault="000343AB" w:rsidP="00D45A46">
      <w:pPr>
        <w:jc w:val="both"/>
        <w:rPr>
          <w:bCs/>
          <w:color w:val="002060"/>
          <w:sz w:val="16"/>
          <w:szCs w:val="16"/>
        </w:rPr>
      </w:pPr>
      <w:r w:rsidRPr="00DE096C">
        <w:rPr>
          <w:bCs/>
          <w:color w:val="002060"/>
          <w:sz w:val="16"/>
          <w:szCs w:val="16"/>
        </w:rPr>
        <w:t xml:space="preserve">Во время войны был предпринят ряд чрезвычайных, исключительных мер, чтобы поднять производительность казен-ных и частных заводов и привлечь всю русскую промышленность к работе на боевое снабжение. Но меры эти запоздали, так как весь смысл заблаговременной подготовки промышленности к войне в том именно и состоит, чтобы она "отмобилизовалась" одновременно с войсками и одновременно с ними полным ходом вступила в работу по снабжению армии. </w:t>
      </w:r>
    </w:p>
    <w:p w14:paraId="33B9BBF0" w14:textId="77777777" w:rsidR="000343AB" w:rsidRPr="00DE096C" w:rsidRDefault="000343AB" w:rsidP="00D45A46">
      <w:pPr>
        <w:jc w:val="both"/>
        <w:rPr>
          <w:bCs/>
          <w:color w:val="002060"/>
          <w:sz w:val="16"/>
          <w:szCs w:val="16"/>
        </w:rPr>
      </w:pPr>
      <w:r w:rsidRPr="00DE096C">
        <w:rPr>
          <w:bCs/>
          <w:color w:val="002060"/>
          <w:sz w:val="16"/>
          <w:szCs w:val="16"/>
        </w:rPr>
        <w:t xml:space="preserve">Подобной "мобилизационной" подготовки промышленности царское правительство России не предвидело и не сделало. Необходимость мобилизационной подготовки только казенных заводов, и то до некоторой степени, предусматривалась ГАУ и военным ведомством, но со стороны министерства финансов и государственного контроля они встретили препятствия к осуществлению даже самых необходимых минимальных мер. Но само военное ведомство и в том числе ГАУ ничего не сделали, чтобы добиться отпуска кредитов. </w:t>
      </w:r>
    </w:p>
    <w:p w14:paraId="776BC39F" w14:textId="77777777" w:rsidR="000343AB" w:rsidRPr="00DE096C" w:rsidRDefault="000343AB" w:rsidP="00D45A46">
      <w:pPr>
        <w:jc w:val="both"/>
        <w:rPr>
          <w:bCs/>
          <w:color w:val="002060"/>
          <w:sz w:val="16"/>
          <w:szCs w:val="16"/>
        </w:rPr>
      </w:pPr>
      <w:r w:rsidRPr="00DE096C">
        <w:rPr>
          <w:bCs/>
          <w:color w:val="002060"/>
          <w:sz w:val="16"/>
          <w:szCs w:val="16"/>
        </w:rPr>
        <w:t xml:space="preserve">Итак, русская промышленность, слабая сама по себе, когда началась мировая война, оказалась совершенно неподготовленной к. ней в военном отношении. Пришлось прибегнуть к крайнему средству - к заказам за границей, главным образом, в Америке и частью в Англии, Франции и Японии. Правда, слава американского рынка оказалась, как уже было сказано, значительно преувеличенной; рынок был совсем не подготовлен к военным заказам, и техническая гибкость его промышленности оказалась совсем не на высоте. Но в этом на горьком опыте убедились слишком поздно, да иного выхода и не было, так, как Франция и Англия хотя и были более подготовленными в этом отношении, но ввиду колоссальных потребностей фронта сами испытывали острую нужду в боевом снаряжении и могли уделять лишь ничтожную долю производительности своих заводов, прибегая в то же время к заказам тому же американскому рынку. </w:t>
      </w:r>
    </w:p>
    <w:p w14:paraId="7C3C9801" w14:textId="77777777" w:rsidR="000343AB" w:rsidRPr="00DE096C" w:rsidRDefault="000343AB" w:rsidP="00D45A46">
      <w:pPr>
        <w:jc w:val="both"/>
        <w:rPr>
          <w:bCs/>
          <w:color w:val="002060"/>
          <w:sz w:val="16"/>
          <w:szCs w:val="16"/>
        </w:rPr>
      </w:pPr>
      <w:r w:rsidRPr="00DE096C">
        <w:rPr>
          <w:bCs/>
          <w:color w:val="002060"/>
          <w:sz w:val="16"/>
          <w:szCs w:val="16"/>
        </w:rPr>
        <w:t>Таким образом, без особо ощутительных для армии результатов, в труднейшее время пришлось влить в амери канский рынок огромные суммы золота, создать и оборудовать там на русские деньги массу военных предприятий, другими словами, произвести за счет России генеральную мобилизацию американской промышленности (11483).</w:t>
      </w:r>
    </w:p>
    <w:p w14:paraId="3BA05846" w14:textId="77777777" w:rsidR="000343AB" w:rsidRPr="00DE096C" w:rsidRDefault="000343AB" w:rsidP="00D45A46">
      <w:pPr>
        <w:jc w:val="both"/>
        <w:rPr>
          <w:bCs/>
          <w:color w:val="002060"/>
          <w:sz w:val="16"/>
          <w:szCs w:val="16"/>
        </w:rPr>
      </w:pPr>
    </w:p>
    <w:p w14:paraId="11673D4A" w14:textId="14D85B22" w:rsidR="000343AB" w:rsidRPr="00DE096C" w:rsidRDefault="000343AB" w:rsidP="00D45A46">
      <w:pPr>
        <w:jc w:val="both"/>
        <w:rPr>
          <w:bCs/>
          <w:color w:val="002060"/>
          <w:sz w:val="16"/>
          <w:szCs w:val="16"/>
        </w:rPr>
      </w:pPr>
      <w:r w:rsidRPr="00DE096C">
        <w:rPr>
          <w:bCs/>
          <w:color w:val="002060"/>
          <w:sz w:val="16"/>
          <w:szCs w:val="16"/>
        </w:rPr>
        <w:t>К концу июля 1914 г в канун Первой мировой войны на долю Петербурга, как промышленного района, приходилось 70% электротехнических изделий, выпускавшихся в России (Лавриков Ю.А. и др. Очерк о Ленинградском экономическом административном районе / Ю.А. Лавриков, Х.Х. Каримов, Р.М. Персианов. - Л.: Лениздат, 1958. С. 32.).</w:t>
      </w:r>
    </w:p>
    <w:p w14:paraId="40A6FAC7" w14:textId="77777777" w:rsidR="000343AB" w:rsidRPr="00DE096C" w:rsidRDefault="000343AB" w:rsidP="00D45A46">
      <w:pPr>
        <w:jc w:val="both"/>
        <w:rPr>
          <w:bCs/>
          <w:color w:val="002060"/>
          <w:sz w:val="16"/>
          <w:szCs w:val="16"/>
        </w:rPr>
      </w:pPr>
      <w:r w:rsidRPr="00DE096C">
        <w:rPr>
          <w:bCs/>
          <w:color w:val="002060"/>
          <w:sz w:val="16"/>
          <w:szCs w:val="16"/>
        </w:rPr>
        <w:t>Основными предприятиями промышленности средств связи в Петербурге в это время были: - завод «Русского акционерного общества Л.М. Эриксон и Со»; - завод акционерного общества Русских электротехнических заводов «Си менс и Гальске»; - «Электромеханический и телеграфный завод Н.К. Гейслера и Со»; - Радиотелеграфный завод Морского ведомства; - завод «Русского общества беспроволочных телеграфов и телефонов».</w:t>
      </w:r>
    </w:p>
    <w:p w14:paraId="60EF754A" w14:textId="77777777" w:rsidR="000343AB" w:rsidRPr="00DE096C" w:rsidRDefault="000343AB" w:rsidP="00D45A46">
      <w:pPr>
        <w:jc w:val="both"/>
        <w:rPr>
          <w:bCs/>
          <w:color w:val="002060"/>
          <w:sz w:val="16"/>
          <w:szCs w:val="16"/>
        </w:rPr>
      </w:pPr>
      <w:r w:rsidRPr="00DE096C">
        <w:rPr>
          <w:bCs/>
          <w:color w:val="002060"/>
          <w:sz w:val="16"/>
          <w:szCs w:val="16"/>
        </w:rPr>
        <w:t>Еще в 1881 г. основателю известной шведской компании Л.М. Эриксону поступил заказ из Петербурга на изготовление небольшой партии телефонов («Эриксон» в России: вчера, сегодня, завтра // Электросвязь. - 2003. - № 11.- С. 83.).</w:t>
      </w:r>
    </w:p>
    <w:p w14:paraId="5D737F48" w14:textId="77777777" w:rsidR="000343AB" w:rsidRPr="00DE096C" w:rsidRDefault="000343AB" w:rsidP="00D45A46">
      <w:pPr>
        <w:jc w:val="both"/>
        <w:rPr>
          <w:bCs/>
          <w:color w:val="002060"/>
          <w:sz w:val="16"/>
          <w:szCs w:val="16"/>
        </w:rPr>
      </w:pPr>
      <w:r w:rsidRPr="00DE096C">
        <w:rPr>
          <w:bCs/>
          <w:color w:val="002060"/>
          <w:sz w:val="16"/>
          <w:szCs w:val="16"/>
        </w:rPr>
        <w:t>2 июня 1898 г. предприятие стало называться – Акционерное общество (АО) Русских электротехнических заводов «Сименс и Гальске» (Глущенко А. А. Место и роль радиотехники в модернизации России (1900-1917 гг.). – СПб.: НИИХ СПбГУ, 2002. С. 335.). В 1902 г. на за воде впервые в промышленных масштабах началась сборка радиотелеграфа, изобретенного А. С. Поповым (Золотая книга Санкт-Петербурга: промышленность, строительство, наука, транспорт, связь: Сборник / Под ред. Г.Н. Ивашевской. - СПб.: Независимый продюсерский центр, 2000. С. 54.). Предвидя большой спрос на радиоаппаратуру, общество «Сименс и Гальске» еще в 1904 г. организовало в Петербурге «Отде ление беспроволочной телеграфии по системе А.С. Попова» (Бренёв И. В. Начало радиотехники в России. - М.: Советское радио, 1970. С. 143.).</w:t>
      </w:r>
    </w:p>
    <w:p w14:paraId="32E6E079" w14:textId="77777777" w:rsidR="000343AB" w:rsidRPr="00DE096C" w:rsidRDefault="000343AB" w:rsidP="00D45A46">
      <w:pPr>
        <w:jc w:val="both"/>
        <w:rPr>
          <w:bCs/>
          <w:color w:val="002060"/>
          <w:sz w:val="16"/>
          <w:szCs w:val="16"/>
        </w:rPr>
      </w:pPr>
      <w:r w:rsidRPr="00DE096C">
        <w:rPr>
          <w:bCs/>
          <w:color w:val="002060"/>
          <w:sz w:val="16"/>
          <w:szCs w:val="16"/>
        </w:rPr>
        <w:t>Фирма не имела полного производственного цикла в изготовлении радио аппаратуры и не проектировала образцы производимого оборудования, а зани малась лишь сборкой поставляемых из Германии комплектующих элементов ра диостанций и выполнением монтажно-установочных работ на объектах (Глущенко А.А. Указ. соч. С. 345, 363.).</w:t>
      </w:r>
    </w:p>
    <w:p w14:paraId="5E3E4A56" w14:textId="77777777" w:rsidR="000343AB" w:rsidRPr="00DE096C" w:rsidRDefault="000343AB" w:rsidP="00D45A46">
      <w:pPr>
        <w:jc w:val="both"/>
        <w:rPr>
          <w:bCs/>
          <w:color w:val="002060"/>
          <w:sz w:val="16"/>
          <w:szCs w:val="16"/>
        </w:rPr>
      </w:pPr>
      <w:r w:rsidRPr="00DE096C">
        <w:rPr>
          <w:bCs/>
          <w:color w:val="002060"/>
          <w:sz w:val="16"/>
          <w:szCs w:val="16"/>
        </w:rPr>
        <w:t>С началом Первой мировой войны вся производственная деятельность АО была переориентирована на выполнение военных заказов, стоимость которых на 1 апреля 1915 г. составила 7250000 руб., из них 1193842 руб. приходилось на ра диотелеграфное оборудование, 2218208 руб. – на телеграфные и телефонные ап параты. В частности, по заказам Военного ведомства радиомастерская Общества поставляла военно-полевые, ранцевые, самолетные, автомобильные радиостан ции, заканчивало строительство мощных станций в Чите, Ташкенте и Кушке (Глущенко А.А. Указ. соч. С. 345, 363.).</w:t>
      </w:r>
    </w:p>
    <w:p w14:paraId="16B6B0EB" w14:textId="77777777" w:rsidR="000343AB" w:rsidRPr="00DE096C" w:rsidRDefault="000343AB" w:rsidP="00D45A46">
      <w:pPr>
        <w:jc w:val="both"/>
        <w:rPr>
          <w:bCs/>
          <w:color w:val="002060"/>
          <w:sz w:val="16"/>
          <w:szCs w:val="16"/>
        </w:rPr>
      </w:pPr>
      <w:r w:rsidRPr="00DE096C">
        <w:rPr>
          <w:bCs/>
          <w:color w:val="002060"/>
          <w:sz w:val="16"/>
          <w:szCs w:val="16"/>
        </w:rPr>
        <w:t>В конце 1916 г. деятельность АО «Сименс и Гальске» попала в поле зрения Особого комитета по борьбе с немецким засильем. Согласно решению прави тельства на предприятиях общества было введено Особое правление, а 27 мая 1917 г. был утвержден устав АО «Сименс» (Глущенко А.А. Указ. соч. С. 360.).</w:t>
      </w:r>
    </w:p>
    <w:p w14:paraId="79ADDB85" w14:textId="77777777" w:rsidR="000343AB" w:rsidRPr="00DE096C" w:rsidRDefault="000343AB" w:rsidP="00D45A46">
      <w:pPr>
        <w:jc w:val="both"/>
        <w:rPr>
          <w:bCs/>
          <w:color w:val="002060"/>
          <w:sz w:val="16"/>
          <w:szCs w:val="16"/>
        </w:rPr>
      </w:pPr>
      <w:r w:rsidRPr="00DE096C">
        <w:rPr>
          <w:bCs/>
          <w:color w:val="002060"/>
          <w:sz w:val="16"/>
          <w:szCs w:val="16"/>
        </w:rPr>
        <w:t>После национализации в 1919 г. предприятие АО «Сименс» получило на именование – Петроградский телеграфный завод (Сименс) (Глущенко А.А. Указ. соч. С. 348.).</w:t>
      </w:r>
    </w:p>
    <w:p w14:paraId="1DCB6758" w14:textId="77777777" w:rsidR="000343AB" w:rsidRPr="00DE096C" w:rsidRDefault="000343AB" w:rsidP="00D45A46">
      <w:pPr>
        <w:jc w:val="both"/>
        <w:rPr>
          <w:bCs/>
          <w:color w:val="002060"/>
          <w:sz w:val="16"/>
          <w:szCs w:val="16"/>
        </w:rPr>
      </w:pPr>
      <w:r w:rsidRPr="00DE096C">
        <w:rPr>
          <w:bCs/>
          <w:color w:val="002060"/>
          <w:sz w:val="16"/>
          <w:szCs w:val="16"/>
        </w:rPr>
        <w:t>История другого петербургского предприятия началась в 1874 г., когда те леграфный механик Н. К. Гейслер открыл в Петербурге небольшую электромеханическую мастерскую по ремонту телеграфной аппаратуры. С 1884 г. эта мас терская стала выпускать телефонные коммутаторы, а в 1895 г. совместно с аме риканской фирмой «Вестерн Электрик и C°» и на ее деньги построила в Петер бурге телефонно-телеграфный завод (Гольдштейн Б.С. От рассвета до заката: этапы пути СКС // Connect! Мир связи. - 2003. - № 11. - С. 47.).</w:t>
      </w:r>
    </w:p>
    <w:p w14:paraId="1F484F59" w14:textId="77777777" w:rsidR="000343AB" w:rsidRPr="00DE096C" w:rsidRDefault="000343AB" w:rsidP="00D45A46">
      <w:pPr>
        <w:jc w:val="both"/>
        <w:rPr>
          <w:bCs/>
          <w:color w:val="002060"/>
          <w:sz w:val="16"/>
          <w:szCs w:val="16"/>
        </w:rPr>
      </w:pPr>
      <w:r w:rsidRPr="00DE096C">
        <w:rPr>
          <w:bCs/>
          <w:color w:val="002060"/>
          <w:sz w:val="16"/>
          <w:szCs w:val="16"/>
        </w:rPr>
        <w:t>С 1901 г. завод стал изготовлять телеграфные станции Уитстона, индук торные телефонные аппараты, телефонные коммутаторы для индукторного вы зова, швейцарские телеграфные коммутаторы и другую электротехническую продукцию. В 1903 г. начались работы над водонепроницаемыми судовыми те лефонами, телеграфными аппаратами системы Бодо. В 1906-1909 гг. к ним доба вились телеграфные аппараты системы Муррея, телефонные аппараты централь ной батареи, электроизмерительные приборы. С 1909 г. завод стал принадлежать акционерному обществу и получил наименование – «Электромеханический и те леграфный завод Н.К. Гейслера и C°» (Болошина Н.Ю. Петроградский телефонно-телеграфный завод Гейслера – центр по произ водству технических средств наблюдения по заказам армии и флота в Петербурге // Наука и техника: Вопросы истории и теории. Тезисы ХХ конференции СПбО РНК ИФНТ (22-25 но ября 1999 г.) Выпуск XV. - СПб., 1999. С. 96.). Акционерное общество на 2/3 принадле жало шведскому капиталу, а на 1/3 – американскому. Только к началу Первой мировой войны предприятие стало освобождаться от опеки иностранного капи тала (Центральная радиолаборатория в Ленинграде. [Очерк истории ЦРЛ – ИРПА] / Под ред. И. В. Бренева. – М.: Советское радио, 1973. С.10.).</w:t>
      </w:r>
    </w:p>
    <w:p w14:paraId="3418BB89" w14:textId="77777777" w:rsidR="000343AB" w:rsidRPr="00DE096C" w:rsidRDefault="000343AB" w:rsidP="00D45A46">
      <w:pPr>
        <w:jc w:val="both"/>
        <w:rPr>
          <w:bCs/>
          <w:color w:val="002060"/>
          <w:sz w:val="16"/>
          <w:szCs w:val="16"/>
        </w:rPr>
      </w:pPr>
      <w:r w:rsidRPr="00DE096C">
        <w:rPr>
          <w:bCs/>
          <w:color w:val="002060"/>
          <w:sz w:val="16"/>
          <w:szCs w:val="16"/>
        </w:rPr>
        <w:t>Мировая война способствовала загрузке завода военными заказами. Из двухсот видов изделий, выпускавшихся предприятием, на их долю приходилось 50%. За 1914-1917 гг. на заводе было произведено 119100 телефонных и 25640 телеграфных аппаратов (Болошина Н.Ю. Указ.соч. С. 97.).</w:t>
      </w:r>
    </w:p>
    <w:p w14:paraId="33DF4512" w14:textId="77777777" w:rsidR="000343AB" w:rsidRPr="00DE096C" w:rsidRDefault="000343AB" w:rsidP="00D45A46">
      <w:pPr>
        <w:jc w:val="both"/>
        <w:rPr>
          <w:bCs/>
          <w:color w:val="002060"/>
          <w:sz w:val="16"/>
          <w:szCs w:val="16"/>
        </w:rPr>
      </w:pPr>
      <w:r w:rsidRPr="00DE096C">
        <w:rPr>
          <w:bCs/>
          <w:color w:val="002060"/>
          <w:sz w:val="16"/>
          <w:szCs w:val="16"/>
        </w:rPr>
        <w:t>Национализация предприятия в 1919 г. принесла ему и новое наименова ние - Петроградский телефонно-телеграфный завод (Гейслера).</w:t>
      </w:r>
    </w:p>
    <w:p w14:paraId="17699643" w14:textId="77777777" w:rsidR="000343AB" w:rsidRPr="00DE096C" w:rsidRDefault="000343AB" w:rsidP="00D45A46">
      <w:pPr>
        <w:jc w:val="both"/>
        <w:rPr>
          <w:bCs/>
          <w:color w:val="002060"/>
          <w:sz w:val="16"/>
          <w:szCs w:val="16"/>
        </w:rPr>
      </w:pPr>
      <w:r w:rsidRPr="00DE096C">
        <w:rPr>
          <w:bCs/>
          <w:color w:val="002060"/>
          <w:sz w:val="16"/>
          <w:szCs w:val="16"/>
        </w:rPr>
        <w:t>Возникновение собственно русской электротехнической промышленности слабых токов относится к сентябрю 1900 г., когда в Кронштадте по инициативе А.С. Попова была создана «Мастерская по изготовлению и ремонту аппаратов для телеграфирования без проводов» (Центральный государственный архив Санкт-Петербурга (ЦГА СПб.), ф. 945, оп. 6, л. 1.). Мастерская занималась сборкой, установ кой и ремонтом корабельных радиостанций, получаемых от французской фирмы «Дюкрете», выпускавшей радиостанции по схеме Попова. Но из-за кустарного характера производства она не могла удовлетворять потребности флота в радио средствах (Горлатов В.И. Образование и становление Российского института мощного радиостроения // Наука и военная техника. Из истории оборонных предприятий Петербурга. Материалы симпозиума. – СПб., 2001. С. 35.). Первоначально производственные возможности мастерской едва достигали 11-13 радиостанций в год, что способствовало проникновению на рос сийский рынок продукции иностранных фирм. В 1908-1911 гг. была произведена реконструкция мастерской и построено новое здание в самом Петербурге (в Гребном порту на Васильевском острове), что позволило существенно расши рить производство. Динамика роста выпуска радиостанций только за три предво енных года выглядит так: 1911 г. - 12, 1912 г. – 45, 1913 г. – 147 станций (Доброписцев Г.Б. К сорокалетию русской радиопромышленности // Известия электропро мышленности слабого тока. - 1940. - № 11. - С. 7.).</w:t>
      </w:r>
    </w:p>
    <w:p w14:paraId="48B65032" w14:textId="77777777" w:rsidR="000343AB" w:rsidRPr="00DE096C" w:rsidRDefault="000343AB" w:rsidP="00D45A46">
      <w:pPr>
        <w:jc w:val="both"/>
        <w:rPr>
          <w:bCs/>
          <w:color w:val="002060"/>
          <w:sz w:val="16"/>
          <w:szCs w:val="16"/>
        </w:rPr>
      </w:pPr>
      <w:r w:rsidRPr="00DE096C">
        <w:rPr>
          <w:bCs/>
          <w:color w:val="002060"/>
          <w:sz w:val="16"/>
          <w:szCs w:val="16"/>
        </w:rPr>
        <w:t>В 1911 г. из состава мастерской выделилось «Поверочное отделение», ре организованное на основе утвержденного 16 ноября этого же года «Положения», в первую промышленную радиолабораторию нашей страны.</w:t>
      </w:r>
    </w:p>
    <w:p w14:paraId="152F6F6D" w14:textId="77777777" w:rsidR="000343AB" w:rsidRPr="00DE096C" w:rsidRDefault="000343AB" w:rsidP="00D45A46">
      <w:pPr>
        <w:jc w:val="both"/>
        <w:rPr>
          <w:bCs/>
          <w:color w:val="002060"/>
          <w:sz w:val="16"/>
          <w:szCs w:val="16"/>
        </w:rPr>
      </w:pPr>
      <w:r w:rsidRPr="00DE096C">
        <w:rPr>
          <w:bCs/>
          <w:color w:val="002060"/>
          <w:sz w:val="16"/>
          <w:szCs w:val="16"/>
        </w:rPr>
        <w:t>В 1913 г. решением Морского ведомства организуется Радиотелеграфное депо, а в 1914 г. это депо, а также мастерская и радиотелеграфная лаборатория объединяются в единое предприятие (ЦГА СПб., ф. 945, оп. 6, л. 1.). Приказом командира Петроградского пор та контр-адмирала А.Г. Бутакова № 355 от 26 июня 1915 г. предприятие получает наименование - «Радиотелеграфный завод Морского ведомства» (Глущенко А.А. Указ. соч. С. 321.).</w:t>
      </w:r>
    </w:p>
    <w:p w14:paraId="57D2533B" w14:textId="39DA128C" w:rsidR="000343AB" w:rsidRPr="00DE096C" w:rsidRDefault="000343AB" w:rsidP="00D45A46">
      <w:pPr>
        <w:jc w:val="both"/>
        <w:rPr>
          <w:bCs/>
          <w:color w:val="002060"/>
          <w:sz w:val="16"/>
          <w:szCs w:val="16"/>
        </w:rPr>
      </w:pPr>
      <w:r w:rsidRPr="00DE096C">
        <w:rPr>
          <w:bCs/>
          <w:color w:val="002060"/>
          <w:sz w:val="16"/>
          <w:szCs w:val="16"/>
        </w:rPr>
        <w:t>Радиотелеграфный завод был почти единственным местом, где развивалась самостоятельная русская научная мысль в области радиотехники. Вопросами ра диовооружения флота здесь занимались крупнейшие отечественные радиоспе циалисты: М.В. Шулейкин (с осени 1914 г. по март 1918 г. – начальник лабора</w:t>
      </w:r>
      <w:r w:rsidR="0006581C">
        <w:rPr>
          <w:bCs/>
          <w:color w:val="002060"/>
          <w:sz w:val="16"/>
          <w:szCs w:val="16"/>
        </w:rPr>
        <w:t xml:space="preserve"> </w:t>
      </w:r>
      <w:r w:rsidRPr="00DE096C">
        <w:rPr>
          <w:bCs/>
          <w:color w:val="002060"/>
          <w:sz w:val="16"/>
          <w:szCs w:val="16"/>
        </w:rPr>
        <w:t>тории завода), Н.Н. Циклинский, А.А. Петровский, Л.Д. Исаков, В.А. Габель, В.И. Волынкин и др (Михаил Васильевич Шулейкин: Сб. статей / Под ред. Б.А. Введенского. - М.: Сов.радио, 1952. С. 25.).</w:t>
      </w:r>
    </w:p>
    <w:p w14:paraId="3ACFE5D6" w14:textId="77777777" w:rsidR="000343AB" w:rsidRPr="00DE096C" w:rsidRDefault="000343AB" w:rsidP="00D45A46">
      <w:pPr>
        <w:jc w:val="both"/>
        <w:rPr>
          <w:bCs/>
          <w:color w:val="002060"/>
          <w:sz w:val="16"/>
          <w:szCs w:val="16"/>
        </w:rPr>
      </w:pPr>
      <w:r w:rsidRPr="00DE096C">
        <w:rPr>
          <w:bCs/>
          <w:color w:val="002060"/>
          <w:sz w:val="16"/>
          <w:szCs w:val="16"/>
        </w:rPr>
        <w:t>В годы Первой мировой войны завод осуществлял снабжение и вооруже ние флота радиосредствами. Пик производства пришелся на 1916 г., когда на предприятии было произведено 77 передающих и 300 приемных радиостанций, около 500 мелких радиоприборов и осуществлена установка 30 станций (ЦГА СПб., ф. 945, оп. 3, д. 2, л. 53.).</w:t>
      </w:r>
    </w:p>
    <w:p w14:paraId="54B10FB1" w14:textId="77777777" w:rsidR="000343AB" w:rsidRPr="00DE096C" w:rsidRDefault="000343AB" w:rsidP="00D45A46">
      <w:pPr>
        <w:jc w:val="both"/>
        <w:rPr>
          <w:bCs/>
          <w:color w:val="002060"/>
          <w:sz w:val="16"/>
          <w:szCs w:val="16"/>
        </w:rPr>
      </w:pPr>
      <w:r w:rsidRPr="00DE096C">
        <w:rPr>
          <w:bCs/>
          <w:color w:val="002060"/>
          <w:sz w:val="16"/>
          <w:szCs w:val="16"/>
        </w:rPr>
        <w:lastRenderedPageBreak/>
        <w:t>После революции завод перешел в ведение Морского отдела Технического производственного управления Главного управления военной промышленности (ГУВП) (ЦГА СПб., ф. 945, оп. 3, д. 2, л. 29.). 9 февраля 1923 г. приказом по ГУВП предприятие получило наимено вание - «Петроградский радиотелеграфный завод им. Коминтерна» (ЦГА СПб., ф. 945, оп. 3, д. 2, л. 13.).</w:t>
      </w:r>
    </w:p>
    <w:p w14:paraId="27B3E80C" w14:textId="77777777" w:rsidR="000343AB" w:rsidRPr="00DE096C" w:rsidRDefault="000343AB" w:rsidP="00D45A46">
      <w:pPr>
        <w:jc w:val="both"/>
        <w:rPr>
          <w:bCs/>
          <w:color w:val="002060"/>
          <w:sz w:val="16"/>
          <w:szCs w:val="16"/>
        </w:rPr>
      </w:pPr>
      <w:r w:rsidRPr="00DE096C">
        <w:rPr>
          <w:bCs/>
          <w:color w:val="002060"/>
          <w:sz w:val="16"/>
          <w:szCs w:val="16"/>
        </w:rPr>
        <w:t>Организатором еще одного отечественного радиотехнического предпри ятия был С. М. Айзенштейн. В 1908 г. он подал в Министерство торговли про шение об учреждении «Общества беспроволочных телеграфов и телефонов», а 3 октября этого же года император Николай II рассмотрел и утвердил устав нового общества (Глущенко А.А. Указ. соч. С. 379.).</w:t>
      </w:r>
    </w:p>
    <w:p w14:paraId="3BD9D9AB" w14:textId="77777777" w:rsidR="000343AB" w:rsidRPr="00DE096C" w:rsidRDefault="000343AB" w:rsidP="00D45A46">
      <w:pPr>
        <w:jc w:val="both"/>
        <w:rPr>
          <w:bCs/>
          <w:color w:val="002060"/>
          <w:sz w:val="16"/>
          <w:szCs w:val="16"/>
        </w:rPr>
      </w:pPr>
      <w:r w:rsidRPr="00DE096C">
        <w:rPr>
          <w:bCs/>
          <w:color w:val="002060"/>
          <w:sz w:val="16"/>
          <w:szCs w:val="16"/>
        </w:rPr>
        <w:t>Общество выполняло заказы правительственных ведомств на изготовление, установку и ввод в эксплуатацию связных радиостанций. Оно имело собствен ные мастерские, а в 1909 г. построило в Петербурге специализированный завод на Лопухинской ул. (ныне ул. академика Павлова), д. 14а, директором которого стал С.М. Айзенштейн. Завод не только обеспечивал текущие потребности про изводства – там велись научные исследования и разработки. Одной из первых разработок Общества была полевая искровая радиостанция, установленная на четырех двуколках. Она обеспечивала уверенную связь на расстоянии 150 верст.</w:t>
      </w:r>
    </w:p>
    <w:p w14:paraId="2F804FA3" w14:textId="77777777" w:rsidR="000343AB" w:rsidRPr="00DE096C" w:rsidRDefault="000343AB" w:rsidP="00D45A46">
      <w:pPr>
        <w:jc w:val="both"/>
        <w:rPr>
          <w:bCs/>
          <w:color w:val="002060"/>
          <w:sz w:val="16"/>
          <w:szCs w:val="16"/>
        </w:rPr>
      </w:pPr>
      <w:r w:rsidRPr="00DE096C">
        <w:rPr>
          <w:bCs/>
          <w:color w:val="002060"/>
          <w:sz w:val="16"/>
          <w:szCs w:val="16"/>
        </w:rPr>
        <w:t>Аналогичная радиостанция компании Г. Маркони размещалась на 14 двуколках и обеспечивала связь на 45 верст. В 1910 г. Общество переименовывается в «Русское общество беспроволочных телеграфов и телефонов» (РОБТиТ).</w:t>
      </w:r>
    </w:p>
    <w:p w14:paraId="687BE3DF" w14:textId="77777777" w:rsidR="000343AB" w:rsidRPr="00DE096C" w:rsidRDefault="000343AB" w:rsidP="00D45A46">
      <w:pPr>
        <w:jc w:val="both"/>
        <w:rPr>
          <w:bCs/>
          <w:color w:val="002060"/>
          <w:sz w:val="16"/>
          <w:szCs w:val="16"/>
        </w:rPr>
      </w:pPr>
      <w:r w:rsidRPr="00DE096C">
        <w:rPr>
          <w:bCs/>
          <w:color w:val="002060"/>
          <w:sz w:val="16"/>
          <w:szCs w:val="16"/>
        </w:rPr>
        <w:t>Для укрепления финансового состояния предприятия и его позиций на рынке в октябре 1911 г. РОБТиТ заключает договор с компанией Г. Маркони об обмене патентами и покупке этой компанией части акций РОБТиТ. Причем сам Г. Маркони получил право войти в состав правления общества (Гончаров В.Б., Петкау О.Г. Старейшее радиотехническое предприятие Санкт-Петербурга // Электросвязь. - 2003. - № 10. - С. 44.).</w:t>
      </w:r>
    </w:p>
    <w:p w14:paraId="73E1E309" w14:textId="77777777" w:rsidR="000343AB" w:rsidRPr="00DE096C" w:rsidRDefault="000343AB" w:rsidP="00D45A46">
      <w:pPr>
        <w:jc w:val="both"/>
        <w:rPr>
          <w:bCs/>
          <w:color w:val="002060"/>
          <w:sz w:val="16"/>
          <w:szCs w:val="16"/>
        </w:rPr>
      </w:pPr>
      <w:r w:rsidRPr="00DE096C">
        <w:rPr>
          <w:bCs/>
          <w:color w:val="002060"/>
          <w:sz w:val="16"/>
          <w:szCs w:val="16"/>
        </w:rPr>
        <w:t>В годы Первой мировой войны РОБТиТ разработало обширную номенкла туру радиотехнического оборудования. Апогеем деятельности общества явилось строительство и ввод в действие в 1914-1915 гг. двух передающих радиостанций мощностью 300 кВт (в Царском Село и на Ходынском поле в Москве) и отдель ной приемной радиостанции в Твери, обеспечивавших связь России со своими союзниками по Антанте (Глущенко А.А. Указ. соч).</w:t>
      </w:r>
    </w:p>
    <w:p w14:paraId="3BCFC83B" w14:textId="77777777" w:rsidR="000343AB" w:rsidRPr="00DE096C" w:rsidRDefault="000343AB" w:rsidP="00D45A46">
      <w:pPr>
        <w:jc w:val="both"/>
        <w:rPr>
          <w:bCs/>
          <w:color w:val="002060"/>
          <w:sz w:val="16"/>
          <w:szCs w:val="16"/>
        </w:rPr>
      </w:pPr>
      <w:r w:rsidRPr="00DE096C">
        <w:rPr>
          <w:bCs/>
          <w:color w:val="002060"/>
          <w:sz w:val="16"/>
          <w:szCs w:val="16"/>
        </w:rPr>
        <w:t>В РОБТиТ, кроме самого С. М. Айзенштейна, работали многие талантли вые отечественные радиотехники и инженеры – Н.Н. Дмитриев, Р.В. Львович, Н.Д. Папалекси, И.Ю. Шейнберг, В.В. Ширков и др. В числе новаторских работ следует упомянуть об опытах по установлению радиосвязи с подводными лод ками и опытах по радиотелефонии (С.М. Айзенштейн), а также о разработке пер вых отечественных радиоламп – катодных реле (Н.Д. Папалекси).</w:t>
      </w:r>
    </w:p>
    <w:p w14:paraId="2D4151EE" w14:textId="77777777" w:rsidR="000343AB" w:rsidRPr="00DE096C" w:rsidRDefault="000343AB" w:rsidP="00D45A46">
      <w:pPr>
        <w:jc w:val="both"/>
        <w:rPr>
          <w:bCs/>
          <w:color w:val="002060"/>
          <w:sz w:val="16"/>
          <w:szCs w:val="16"/>
        </w:rPr>
      </w:pPr>
      <w:r w:rsidRPr="00DE096C">
        <w:rPr>
          <w:bCs/>
          <w:color w:val="002060"/>
          <w:sz w:val="16"/>
          <w:szCs w:val="16"/>
        </w:rPr>
        <w:t>В условиях значительного спроса оборонных ведомств на радиотехниче ские изделия, РОБТиТ идет на расширение номенклатуры выпускаемых изделий, для чего требовалось расширение имеемых производственных площадей. С этой целью в 1916 г. предприятие строит в Москве (на Шаболовке) мастерские по производству электродвигателей и учреждает свое представительство. В конце 1917 – начале 1918 гг. Общество эвакуирует из Петрограда в Москву заводскую лабораторию, значительную часть оборудования и находившие на складе гото вые изделия. Оставшееся в Петрограде оборудование было законсервировано.</w:t>
      </w:r>
    </w:p>
    <w:p w14:paraId="3DF0F0C7" w14:textId="77777777" w:rsidR="000343AB" w:rsidRPr="00DE096C" w:rsidRDefault="000343AB" w:rsidP="00D45A46">
      <w:pPr>
        <w:jc w:val="both"/>
        <w:rPr>
          <w:bCs/>
          <w:color w:val="002060"/>
          <w:sz w:val="16"/>
          <w:szCs w:val="16"/>
        </w:rPr>
      </w:pPr>
      <w:r w:rsidRPr="00DE096C">
        <w:rPr>
          <w:bCs/>
          <w:color w:val="002060"/>
          <w:sz w:val="16"/>
          <w:szCs w:val="16"/>
        </w:rPr>
        <w:t>Декретом Совета народных комиссаров от 28 марта 1918 г. завод РОБТиТ со всеми принадлежавшими ему производственными подразделениями был национализирован (Глущенко А.А. Указ. соч. С. 418.). Предприятие в Петрограде получило наименование – Петроград ский радиоаппаратный завод.</w:t>
      </w:r>
    </w:p>
    <w:p w14:paraId="5F51C98C" w14:textId="77777777" w:rsidR="000343AB" w:rsidRPr="00DE096C" w:rsidRDefault="000343AB" w:rsidP="00D45A46">
      <w:pPr>
        <w:jc w:val="both"/>
        <w:rPr>
          <w:bCs/>
          <w:color w:val="002060"/>
          <w:sz w:val="16"/>
          <w:szCs w:val="16"/>
        </w:rPr>
      </w:pPr>
      <w:r w:rsidRPr="00DE096C">
        <w:rPr>
          <w:bCs/>
          <w:color w:val="002060"/>
          <w:sz w:val="16"/>
          <w:szCs w:val="16"/>
        </w:rPr>
        <w:t>Кроме вышеперечисленных заводов, составлявших ядро электротехниче ской промышленности слабых токов, производственно-исследовательские рабо ты в области средств связи, в первую очередь для нужд Военного ведомства, проводились на других промышленных объектах и в научно-исследовательских учреждениях (НИУ) Петербурга-Петрограда.</w:t>
      </w:r>
    </w:p>
    <w:p w14:paraId="5FADF618" w14:textId="77777777" w:rsidR="000343AB" w:rsidRPr="00DE096C" w:rsidRDefault="000343AB" w:rsidP="00D45A46">
      <w:pPr>
        <w:jc w:val="both"/>
        <w:rPr>
          <w:bCs/>
          <w:color w:val="002060"/>
          <w:sz w:val="16"/>
          <w:szCs w:val="16"/>
        </w:rPr>
      </w:pPr>
      <w:r w:rsidRPr="00DE096C">
        <w:rPr>
          <w:bCs/>
          <w:color w:val="002060"/>
          <w:sz w:val="16"/>
          <w:szCs w:val="16"/>
        </w:rPr>
        <w:t>Среди них необходимо отметить существовавшую в Петербурге при Ни колаевском военно-инженерном училище (Архив Военно-исторического музея артиллерии, инженерных войск и войск связи (архив ВИМАИВиВС), ф. 60р, оп. 1, д. 34, л. 2.) Военную электротехническую школу, которая с 1911 года стала называться Офицерской электротехнической школой (ОЭШ). Наряду с подготовкой специалистов для подразделений связи русской армии, в радиокабинете этой школы велись исследовательские работы (Центральная радиолаборатория в Ленинграде. [Очерк истории ЦРЛ – ИРПА] / Под ред. И.В. Бренева. – М.: Сов. радио, 1973. С. 13.).</w:t>
      </w:r>
    </w:p>
    <w:p w14:paraId="2FC6E8B0" w14:textId="77777777" w:rsidR="000343AB" w:rsidRPr="00DE096C" w:rsidRDefault="000343AB" w:rsidP="00D45A46">
      <w:pPr>
        <w:jc w:val="both"/>
        <w:rPr>
          <w:bCs/>
          <w:color w:val="002060"/>
          <w:sz w:val="16"/>
          <w:szCs w:val="16"/>
        </w:rPr>
      </w:pPr>
      <w:r w:rsidRPr="00DE096C">
        <w:rPr>
          <w:bCs/>
          <w:color w:val="002060"/>
          <w:sz w:val="16"/>
          <w:szCs w:val="16"/>
        </w:rPr>
        <w:t>В 1904 г. здесь была осуществлена модернизация первых армейских ра диостанций, разработанных под руководством А.С. Попова, для эксплуатации в полевых условиях (Члиянц Г. Из истории становления отечественной военной радиосвязи // Радиомир.КВ и УКВ. - 2002. - № 12. - С. 2.), а в 1911 г. была впервые разработана самолетная радиостан ция, которая в конце 1915 г. стала поступать на вооружение армии (Тележный Б.Г. Развитие радиосвязи в российской армии в период русско-японской и пер вой мировой войн // Электросвязь. - 2002. - № 2. - С. 47.).</w:t>
      </w:r>
    </w:p>
    <w:p w14:paraId="7CD965FA" w14:textId="77777777" w:rsidR="000343AB" w:rsidRPr="00DE096C" w:rsidRDefault="000343AB" w:rsidP="00D45A46">
      <w:pPr>
        <w:jc w:val="both"/>
        <w:rPr>
          <w:bCs/>
          <w:color w:val="002060"/>
          <w:sz w:val="16"/>
          <w:szCs w:val="16"/>
        </w:rPr>
      </w:pPr>
      <w:r w:rsidRPr="00DE096C">
        <w:rPr>
          <w:bCs/>
          <w:color w:val="002060"/>
          <w:sz w:val="16"/>
          <w:szCs w:val="16"/>
        </w:rPr>
        <w:t>Весной 1918 г. в связи с военной угрозой ОЭШ вместе с личным составом и имуществом была эвакуирована из Петрограда. Новым местом дислокации Офицерских курсов стал Сергиев Посад, а Запасного батальона и радиокабинета - Саратов. Впоследствии эти подразделения ОЭШ стали базой для создания но вых учреждений, работавших в области военной связи. Офицерские курсы 8 ноября 1919 г. приказом РВС были преобразованы в Высшую военную электротех ническую школу комсостава РККА (Архив ВИМАИВиВС, ф. 60р, оп. 1, д. 74, л. 5.), впоследствии ставшую известной как Во енная ордена Ленина Краснознаменная академия связи им. С.М. Буденного. На базе радиокабинета в Москве была создана Военная радиотехническая лаборатория, в свою очередь ставшая прообразом Научно- испытательного института свя зи (НИИС) Рабоче-крестьянской Красной Армии (РККА).</w:t>
      </w:r>
    </w:p>
    <w:p w14:paraId="3B2A10F2" w14:textId="77777777" w:rsidR="000343AB" w:rsidRPr="00DE096C" w:rsidRDefault="000343AB" w:rsidP="00D45A46">
      <w:pPr>
        <w:jc w:val="both"/>
        <w:rPr>
          <w:bCs/>
          <w:color w:val="002060"/>
          <w:sz w:val="16"/>
          <w:szCs w:val="16"/>
        </w:rPr>
      </w:pPr>
      <w:r w:rsidRPr="00DE096C">
        <w:rPr>
          <w:bCs/>
          <w:color w:val="002060"/>
          <w:sz w:val="16"/>
          <w:szCs w:val="16"/>
        </w:rPr>
        <w:t>Анализ процесса зарождения и развития отечественной базы производства средств связи, прежде всего петербургско-петроградской, позволяет прийти к некоторым принципиальным выводам.</w:t>
      </w:r>
    </w:p>
    <w:p w14:paraId="57D8E7C2" w14:textId="77777777" w:rsidR="000343AB" w:rsidRPr="00DE096C" w:rsidRDefault="000343AB" w:rsidP="00D45A46">
      <w:pPr>
        <w:jc w:val="both"/>
        <w:rPr>
          <w:bCs/>
          <w:color w:val="002060"/>
          <w:sz w:val="16"/>
          <w:szCs w:val="16"/>
        </w:rPr>
      </w:pPr>
      <w:r w:rsidRPr="00DE096C">
        <w:rPr>
          <w:bCs/>
          <w:color w:val="002060"/>
          <w:sz w:val="16"/>
          <w:szCs w:val="16"/>
        </w:rPr>
        <w:t>Во-первых, большинство русских электротехнических предприятий воз никло и развивалось под эгидой крупнейших заграничных фирм. В довоенное время характерной чертой этих предприятий было то, что они пользовались всем опытом крупнейших заграничных предприятий и результатами научных дости жений интеллектуальных сил Запада, имея возможность применять практически испытанные конструкции, пользуясь приемами производства и получая из-за границы даже часть технически подготовленного технического персонала. В своей производственной деятельности эти предприятия могли обходиться без особо развитой технической организации, а тем более без постановки широко масштабных научных исследований в области техники слабого тока (Глущенко А.А. Указ. соч. С. 450.).</w:t>
      </w:r>
    </w:p>
    <w:p w14:paraId="373FE122" w14:textId="77777777" w:rsidR="000343AB" w:rsidRPr="00DE096C" w:rsidRDefault="000343AB" w:rsidP="00D45A46">
      <w:pPr>
        <w:jc w:val="both"/>
        <w:rPr>
          <w:bCs/>
          <w:color w:val="002060"/>
          <w:sz w:val="16"/>
          <w:szCs w:val="16"/>
        </w:rPr>
      </w:pPr>
      <w:r w:rsidRPr="00DE096C">
        <w:rPr>
          <w:bCs/>
          <w:color w:val="002060"/>
          <w:sz w:val="16"/>
          <w:szCs w:val="16"/>
        </w:rPr>
        <w:t>Во-вторых, следует сказать, что эти так называемые «русские», а по суще ству иностранные предприятия в России сыграли существенную положительную роль в нашей стране. Они способствовали вовлечению значительного количества людей в производство и обслуживание технических средств новой, наукоемкой отрасли – электротехники слабых токов. Впоследствии эти кадры оказались нужными и полезными при становлении и последующем развертывании про мышленности средств связи СССР (Бренёв И. В. Начало радиотехники в России. - М., 1970. С. 144.).</w:t>
      </w:r>
    </w:p>
    <w:p w14:paraId="28AC9F28" w14:textId="77777777" w:rsidR="000343AB" w:rsidRPr="00DE096C" w:rsidRDefault="000343AB" w:rsidP="00D45A46">
      <w:pPr>
        <w:jc w:val="both"/>
        <w:rPr>
          <w:bCs/>
          <w:color w:val="002060"/>
          <w:sz w:val="16"/>
          <w:szCs w:val="16"/>
        </w:rPr>
      </w:pPr>
      <w:r w:rsidRPr="00DE096C">
        <w:rPr>
          <w:bCs/>
          <w:color w:val="002060"/>
          <w:sz w:val="16"/>
          <w:szCs w:val="16"/>
        </w:rPr>
        <w:t>В-третьих, производство электрослаботочной продукции принадлежало к числу наиболее организованных и поставленных отраслей, и поэтому покрывало в дореволюционный период большую часть внутреннего спроса (Кафенгауз Л.Б. Эволюция промышленного производства России (последняя треть XIX – 30 е годы ХХ в.) - М.: Эпифания, 1994. С. 143.).</w:t>
      </w:r>
    </w:p>
    <w:p w14:paraId="01629827" w14:textId="77777777" w:rsidR="000343AB" w:rsidRPr="00DE096C" w:rsidRDefault="000343AB" w:rsidP="00D45A46">
      <w:pPr>
        <w:jc w:val="both"/>
        <w:rPr>
          <w:bCs/>
          <w:color w:val="002060"/>
          <w:sz w:val="16"/>
          <w:szCs w:val="16"/>
        </w:rPr>
      </w:pPr>
      <w:r w:rsidRPr="00DE096C">
        <w:rPr>
          <w:bCs/>
          <w:color w:val="002060"/>
          <w:sz w:val="16"/>
          <w:szCs w:val="16"/>
        </w:rPr>
        <w:t>В-четвертых, период Первой мировой войны явился для электротехниче ской промышленности слабых токов периодом наивысшего расцвета. Война прервала связи русских заводов с их головными заграничными предприятиями, потребовалось создание своей промышленной базы. Была начата организация новых производств, началось строительство новых заводов. Само производство заводов претерпело существенный сдвиг в сторону военного производства, а проведенное во время войны расширение и дооборудование предприятий спо собствовало решению задач и целей мирного строительства.</w:t>
      </w:r>
    </w:p>
    <w:p w14:paraId="3E73C2BF" w14:textId="77777777" w:rsidR="000343AB" w:rsidRPr="00DE096C" w:rsidRDefault="000343AB" w:rsidP="00D45A46">
      <w:pPr>
        <w:jc w:val="both"/>
        <w:rPr>
          <w:bCs/>
          <w:color w:val="002060"/>
          <w:sz w:val="16"/>
          <w:szCs w:val="16"/>
        </w:rPr>
      </w:pPr>
      <w:r w:rsidRPr="00DE096C">
        <w:rPr>
          <w:bCs/>
          <w:color w:val="002060"/>
          <w:sz w:val="16"/>
          <w:szCs w:val="16"/>
        </w:rPr>
        <w:t>Благодаря деятельности вышеперечисленных предприятий русская армия в годы Первой мировой войны имела на вооружении целый ряд электротехниче ских средств связи.</w:t>
      </w:r>
    </w:p>
    <w:p w14:paraId="7A02E42A" w14:textId="77777777" w:rsidR="000343AB" w:rsidRPr="00DE096C" w:rsidRDefault="000343AB" w:rsidP="00D45A46">
      <w:pPr>
        <w:jc w:val="both"/>
        <w:rPr>
          <w:bCs/>
          <w:color w:val="002060"/>
          <w:sz w:val="16"/>
          <w:szCs w:val="16"/>
        </w:rPr>
      </w:pPr>
      <w:r w:rsidRPr="00DE096C">
        <w:rPr>
          <w:bCs/>
          <w:color w:val="002060"/>
          <w:sz w:val="16"/>
          <w:szCs w:val="16"/>
        </w:rPr>
        <w:t>В начале войны в войсках имелось около ста полевых, тридцати легких ка валерийских, двенадцати базисных и восьми крепостных радиостанций. Полевые радиостанции имелись трех типов: искровые РОБТиТ обр. 1908 г. и два типа ра диостанций производства «Сименс и Гальске» и РОБТиТ обр. 1910 г. (Бренев И.В. Указ. соч. С. 226.).</w:t>
      </w:r>
    </w:p>
    <w:p w14:paraId="5BF80F33" w14:textId="77777777" w:rsidR="000343AB" w:rsidRPr="00DE096C" w:rsidRDefault="000343AB" w:rsidP="00D45A46">
      <w:pPr>
        <w:jc w:val="both"/>
        <w:rPr>
          <w:bCs/>
          <w:color w:val="002060"/>
          <w:sz w:val="16"/>
          <w:szCs w:val="16"/>
        </w:rPr>
      </w:pPr>
      <w:r w:rsidRPr="00DE096C">
        <w:rPr>
          <w:bCs/>
          <w:color w:val="002060"/>
          <w:sz w:val="16"/>
          <w:szCs w:val="16"/>
        </w:rPr>
        <w:t>В ходе войны были разработаны и поступили на вооружение действующей армии несколько типов телеграфных искровых радиостанций различных фирм: «Маркони», «Сименс и Гальске», РОБТиТ (Балаев Н.И. и др. Военные связисты в дни войны и мира / Н.И. Балаев, А.И. Бородни, Л.С.Гордон. - М.: Воениздат, 1968. С. 51.).</w:t>
      </w:r>
    </w:p>
    <w:p w14:paraId="566BFFC0" w14:textId="77777777" w:rsidR="000343AB" w:rsidRPr="00DE096C" w:rsidRDefault="000343AB" w:rsidP="00D45A46">
      <w:pPr>
        <w:jc w:val="both"/>
        <w:rPr>
          <w:bCs/>
          <w:color w:val="002060"/>
          <w:sz w:val="16"/>
          <w:szCs w:val="16"/>
        </w:rPr>
      </w:pPr>
      <w:r w:rsidRPr="00DE096C">
        <w:rPr>
          <w:bCs/>
          <w:color w:val="002060"/>
          <w:sz w:val="16"/>
          <w:szCs w:val="16"/>
        </w:rPr>
        <w:t>Всего к концу 1916 г. на вооружении армии находилось более 1000 радио станций (Б.Г. Тележный. Указ.соч. // Электросвязь. - 2002. - № 2. - С. 47.). Кроме того, войска использовали местные стационарные искровые станции с дальностью действия до 640 и более километров (Балаев Н.И. и др. Указ.соч. С. 27.).</w:t>
      </w:r>
    </w:p>
    <w:p w14:paraId="083F5BFE" w14:textId="77777777" w:rsidR="000343AB" w:rsidRPr="00DE096C" w:rsidRDefault="000343AB" w:rsidP="00D45A46">
      <w:pPr>
        <w:jc w:val="both"/>
        <w:rPr>
          <w:bCs/>
          <w:color w:val="002060"/>
          <w:sz w:val="16"/>
          <w:szCs w:val="16"/>
        </w:rPr>
      </w:pPr>
      <w:r w:rsidRPr="00DE096C">
        <w:rPr>
          <w:bCs/>
          <w:color w:val="002060"/>
          <w:sz w:val="16"/>
          <w:szCs w:val="16"/>
        </w:rPr>
        <w:t>Основное производство радиостанций для ВМФ было организовано на «Радиотелеграфном заводе Морского ведомства». Силами отечественных радио специалистов были разработаны и поставлены на производство пять типов кора бельных и береговых искровых передатчиков мощностью от 0,2 до 25 кВт (Белов Ф.И. Этапы радиовооружения войск связи Советской Армии // Очерки по истории войск связи. – М.: ВНО при ЦДСА им. М.В. Фрунзе, 1969. – вып.1. – С. 62.).</w:t>
      </w:r>
    </w:p>
    <w:p w14:paraId="01B8E0B1" w14:textId="77777777" w:rsidR="000343AB" w:rsidRPr="00DE096C" w:rsidRDefault="000343AB" w:rsidP="00D45A46">
      <w:pPr>
        <w:jc w:val="both"/>
        <w:rPr>
          <w:bCs/>
          <w:color w:val="002060"/>
          <w:sz w:val="16"/>
          <w:szCs w:val="16"/>
        </w:rPr>
      </w:pPr>
      <w:r w:rsidRPr="00DE096C">
        <w:rPr>
          <w:bCs/>
          <w:color w:val="002060"/>
          <w:sz w:val="16"/>
          <w:szCs w:val="16"/>
        </w:rPr>
        <w:t>Основу арсенала телефонной техники, с которым русская армия встретила Первую мировую войну, составляли полевые телефонные аппараты с фониче ским вызовом обр. 1909 г., изготовленные заводами «Эриксона» и «Гейслера» (Архив ВИМАИВиВС, ф. 10р, оп. 1, д. 107, л. 164).</w:t>
      </w:r>
    </w:p>
    <w:p w14:paraId="2C90895E" w14:textId="77777777" w:rsidR="000343AB" w:rsidRPr="00DE096C" w:rsidRDefault="000343AB" w:rsidP="00D45A46">
      <w:pPr>
        <w:jc w:val="both"/>
        <w:rPr>
          <w:bCs/>
          <w:color w:val="002060"/>
          <w:sz w:val="16"/>
          <w:szCs w:val="16"/>
        </w:rPr>
      </w:pPr>
      <w:r w:rsidRPr="00DE096C">
        <w:rPr>
          <w:bCs/>
          <w:color w:val="002060"/>
          <w:sz w:val="16"/>
          <w:szCs w:val="16"/>
        </w:rPr>
        <w:t>Во время войны были выпущены полевые телефонные аппараты с индук торным вызовом девяти типов, с фоническим вызовом 16 типов, три типа аппа ратов облегченного типа, два образца полевых форпостных телефонов. Все эти аппараты отличались друг от друга габаритами, весом, схемами, но принципи альных различий не имели (Архив ВИМАИВиВС, ф. 10р, оп. 1, д. 107, л. 165.). Со второй половины войны число различных систем телефонов значительно возросло за счет появления аппаратов иностранных ма рок: английских, норвежских, японских, американских, германских, австрийских (Архив ВИМАИВиВС, ф. 10р, оп. 1, д. 107, л. 166.).</w:t>
      </w:r>
    </w:p>
    <w:p w14:paraId="3FF2B54A" w14:textId="77777777" w:rsidR="000343AB" w:rsidRPr="00DE096C" w:rsidRDefault="000343AB" w:rsidP="00D45A46">
      <w:pPr>
        <w:jc w:val="both"/>
        <w:rPr>
          <w:bCs/>
          <w:color w:val="002060"/>
          <w:sz w:val="16"/>
          <w:szCs w:val="16"/>
        </w:rPr>
      </w:pPr>
      <w:r w:rsidRPr="00DE096C">
        <w:rPr>
          <w:bCs/>
          <w:color w:val="002060"/>
          <w:sz w:val="16"/>
          <w:szCs w:val="16"/>
        </w:rPr>
        <w:t>Для устройства центральных телефонных станций в русской армии приме нялись фонические и индукторные коммутаторы, изготовляемые, в основном, фирмами «Эриксона» и «Гейслера» (Архив ВИМАИВиВС, ф. 10Р, оп. 1, д. 107, л. 186.).</w:t>
      </w:r>
    </w:p>
    <w:p w14:paraId="5D21B611" w14:textId="77777777" w:rsidR="000343AB" w:rsidRPr="00DE096C" w:rsidRDefault="000343AB" w:rsidP="00D45A46">
      <w:pPr>
        <w:jc w:val="both"/>
        <w:rPr>
          <w:bCs/>
          <w:color w:val="002060"/>
          <w:sz w:val="16"/>
          <w:szCs w:val="16"/>
        </w:rPr>
      </w:pPr>
      <w:r w:rsidRPr="00DE096C">
        <w:rPr>
          <w:bCs/>
          <w:color w:val="002060"/>
          <w:sz w:val="16"/>
          <w:szCs w:val="16"/>
        </w:rPr>
        <w:t xml:space="preserve">Телеграфная связь обеспечивалась аппаратами Морзе образца 1904, 1910 и 1917 гг., а также быстродействующими и буквопечатающими аппаратами, экс плуатируемыми в гражданских ведомствах (Брежнев И.А. и др. Строительство советских Вооруженных Сил, управление войсками и развитие войск связи в период </w:t>
      </w:r>
      <w:r w:rsidRPr="00DE096C">
        <w:rPr>
          <w:bCs/>
          <w:color w:val="002060"/>
          <w:sz w:val="16"/>
          <w:szCs w:val="16"/>
        </w:rPr>
        <w:lastRenderedPageBreak/>
        <w:t>1917-1941 гг). Аппарат Морзе был единственным, специально разработанным для армии, и применялся от штаба фронта до штаба дивизии (бригады). Из телеграфных коммутаторов наиболее широко применя лись ламельные (швейцарские) коммутаторы на 12, 24 и 30 ламелей.</w:t>
      </w:r>
    </w:p>
    <w:p w14:paraId="71529060" w14:textId="77777777" w:rsidR="000343AB" w:rsidRPr="00DE096C" w:rsidRDefault="000343AB" w:rsidP="00D45A46">
      <w:pPr>
        <w:jc w:val="both"/>
        <w:rPr>
          <w:bCs/>
          <w:color w:val="002060"/>
          <w:sz w:val="16"/>
          <w:szCs w:val="16"/>
        </w:rPr>
      </w:pPr>
      <w:r w:rsidRPr="00DE096C">
        <w:rPr>
          <w:bCs/>
          <w:color w:val="002060"/>
          <w:sz w:val="16"/>
          <w:szCs w:val="16"/>
        </w:rPr>
        <w:t>Именно такое наследство досталось войскам связи Красной Армии. Харак теризуя состояние материально-технической базы войск связи, И.А. Халепский писал: «Участники гражданской войны знают, что наследство из средств связи империалистической войны мы получили весьма бедное. Старая армия накануне своего развала весьма бедно была снабжена средствами связи и к моменту соз дания нашей армии мы абсолютно не располагали какими-либо складскими за пасами средств связи»6. Начавшаяся Гражданская война и сопутствующая ей хо зяйственная разруха только усугубили эту ситуацию. О тяжелом положении с обеспечением Красной Армии электротехническими средствами связи уже в 1920-е годы свидетельствуют факты самого широкого применения в этот период иных вспомогательных средств. Например, 26 июня 1925 г. приказом РВС СССР № 654 было введено «Положение о военно-голубиных станциях», на которые возлагались задачи подготовки голубиной связи и обслуживания ею частей и учреждений РККА (Архив штаба ЛенВО, ф. 21, оп. 49530, д. 78, л. 489.).</w:t>
      </w:r>
    </w:p>
    <w:p w14:paraId="0779A9CA" w14:textId="77777777" w:rsidR="000343AB" w:rsidRPr="00DE096C" w:rsidRDefault="000343AB" w:rsidP="00D45A46">
      <w:pPr>
        <w:jc w:val="both"/>
        <w:rPr>
          <w:bCs/>
          <w:color w:val="002060"/>
          <w:sz w:val="16"/>
          <w:szCs w:val="16"/>
        </w:rPr>
      </w:pPr>
      <w:r w:rsidRPr="00DE096C">
        <w:rPr>
          <w:bCs/>
          <w:color w:val="002060"/>
          <w:sz w:val="16"/>
          <w:szCs w:val="16"/>
        </w:rPr>
        <w:t>До революции в русской армии самостоятельной структуры войск связи не существовало. В Красной Армии служба связи первоначально была разделена на три части. На протяжении 1918 г. РВС вынужден был четыре раза заниматься вопросами упорядочения руководства службой связи в РККА. Несмотря на это, положение продолжало оставаться ненормальным. Созданная в середине июня 1919 г. комиссия из представителей различных структур единодушно высказалась за образование в РККА единого централизованного органа управления свя зью (Архив ВИМАИВиВС, ф. 60р, оп).</w:t>
      </w:r>
    </w:p>
    <w:p w14:paraId="6173680C" w14:textId="77777777" w:rsidR="000343AB" w:rsidRPr="00DE096C" w:rsidRDefault="000343AB" w:rsidP="00D45A46">
      <w:pPr>
        <w:jc w:val="both"/>
        <w:rPr>
          <w:bCs/>
          <w:color w:val="002060"/>
          <w:sz w:val="16"/>
          <w:szCs w:val="16"/>
        </w:rPr>
      </w:pPr>
      <w:r w:rsidRPr="00DE096C">
        <w:rPr>
          <w:bCs/>
          <w:color w:val="002060"/>
          <w:sz w:val="16"/>
          <w:szCs w:val="16"/>
        </w:rPr>
        <w:t>Приказом РВС № 1736/362 от 20 октября 1919 г. было создано Управление связи Красной Армии (УСКА). Однако на состоянии обеспечения войск имуще ством связи в значительной степени сказывалось то, что и после образования УСКА снабжение продолжало оставаться в ведении Главного военно инженерного управления (ГВИУ). Только 6 октября 1920 г. приказом РВС № 2052 снабжение имуществом связи было передано в ведение начальника УСКА вместе с телеграфно-телефонным и радиотелеграфными отделами, входившими до этого в состав ГВИУ.</w:t>
      </w:r>
    </w:p>
    <w:p w14:paraId="236B8102" w14:textId="77777777" w:rsidR="000343AB" w:rsidRPr="00DE096C" w:rsidRDefault="000343AB" w:rsidP="00D45A46">
      <w:pPr>
        <w:jc w:val="both"/>
        <w:rPr>
          <w:bCs/>
          <w:color w:val="002060"/>
          <w:sz w:val="16"/>
          <w:szCs w:val="16"/>
        </w:rPr>
      </w:pPr>
      <w:r w:rsidRPr="00DE096C">
        <w:rPr>
          <w:bCs/>
          <w:color w:val="002060"/>
          <w:sz w:val="16"/>
          <w:szCs w:val="16"/>
        </w:rPr>
        <w:t>Завершение активной фазы Гражданской войны положило начало процес су осмысления опыта прошедших войн, роли и места войск связи в системе управления войсками, характера и направления их дальнейшего развития (11870).</w:t>
      </w:r>
    </w:p>
    <w:p w14:paraId="6E40EBBC" w14:textId="77777777" w:rsidR="000343AB" w:rsidRPr="00DE096C" w:rsidRDefault="000343AB" w:rsidP="00D45A46">
      <w:pPr>
        <w:jc w:val="both"/>
        <w:rPr>
          <w:bCs/>
          <w:color w:val="002060"/>
          <w:sz w:val="16"/>
          <w:szCs w:val="16"/>
        </w:rPr>
      </w:pPr>
    </w:p>
    <w:p w14:paraId="4BA08C79" w14:textId="456E4AB0" w:rsidR="000343AB" w:rsidRPr="00DE096C" w:rsidRDefault="000343AB" w:rsidP="00D45A46">
      <w:pPr>
        <w:jc w:val="both"/>
        <w:rPr>
          <w:bCs/>
          <w:color w:val="002060"/>
          <w:sz w:val="16"/>
          <w:szCs w:val="16"/>
        </w:rPr>
      </w:pPr>
      <w:r w:rsidRPr="00DE096C">
        <w:rPr>
          <w:bCs/>
          <w:color w:val="002060"/>
          <w:sz w:val="16"/>
          <w:szCs w:val="16"/>
        </w:rPr>
        <w:t>В конце</w:t>
      </w:r>
      <w:r w:rsidR="002E4933" w:rsidRPr="00DE096C">
        <w:rPr>
          <w:bCs/>
          <w:color w:val="002060"/>
          <w:sz w:val="16"/>
          <w:szCs w:val="16"/>
        </w:rPr>
        <w:t xml:space="preserve"> июля</w:t>
      </w:r>
      <w:r w:rsidRPr="00DE096C">
        <w:rPr>
          <w:bCs/>
          <w:color w:val="002060"/>
          <w:sz w:val="16"/>
          <w:szCs w:val="16"/>
        </w:rPr>
        <w:t xml:space="preserve"> 1914 г. накануне войны в войсках находи лось всего 10279 телефонных аппаратов, и еще 5854 были сосредоточены на складах ГВИУ (Халепский И.А. Техника и война. - М.: Военный вестник, 1926. С. 15.). А на 1915 г. ГВИУ только внутри страны заказало более 120000 телефонных аппаратов, на 1916 г. заказ превысил 186000 аппаратов (Архив ВИМАИВиВС, ф. 60р, оп. 1, д. 18, л. 68.).</w:t>
      </w:r>
    </w:p>
    <w:p w14:paraId="6939DD7D" w14:textId="77777777" w:rsidR="000343AB" w:rsidRPr="00DE096C" w:rsidRDefault="000343AB" w:rsidP="00D45A46">
      <w:pPr>
        <w:jc w:val="both"/>
        <w:rPr>
          <w:bCs/>
          <w:color w:val="002060"/>
          <w:sz w:val="16"/>
          <w:szCs w:val="16"/>
        </w:rPr>
      </w:pPr>
      <w:r w:rsidRPr="00DE096C">
        <w:rPr>
          <w:bCs/>
          <w:color w:val="002060"/>
          <w:sz w:val="16"/>
          <w:szCs w:val="16"/>
        </w:rPr>
        <w:t>Такие потребности армии привели к существенному росту промышленной базы телефонной аппаратуры. Производством этой продукции стали заниматься завод Петроградского арматурно-электрического акционерного общества в Мо скве, Телеграфно-телефонный завод ГВИУ в Москве, Телефонная фабрика в Юрьеве и мастерские ОЭШ в Петрограде, которой в начале войны был передан завод, ранее принадлежавший немецкой фирме Лоренц (Архив ВИМАИВиВС, ф. 60р, оп. 1, д. 27, л. 75.). Кроме того, в поставках имущества связи для армии принимали участие различные предприятия, объеди нявшиеся Центральным военно-промышленным комитетом и Всероссийским земским и городским союзами (Земгор) (Архив ВИМАИВиВС, ф. 60р, оп. 1, д. 18, л. 69.). Фирма «Сименс и Гальске» еще перед войной начала строить в Нижнем Новгороде телефонный завод, но война поме шала строительству. Лишь после окончания Гражданской войны завод был достроен, и на этом заводе им. Ленина параллельно телефонному заводу «Эриксо на» стала выпускаться военная телефонная аппаратура (Архив ВИМАИВиВС, ф. 10р, оп. 1, д. 107, л. 164.).</w:t>
      </w:r>
    </w:p>
    <w:p w14:paraId="6BF2F4F3" w14:textId="77777777" w:rsidR="000343AB" w:rsidRPr="00DE096C" w:rsidRDefault="000343AB" w:rsidP="00D45A46">
      <w:pPr>
        <w:jc w:val="both"/>
        <w:rPr>
          <w:bCs/>
          <w:color w:val="002060"/>
          <w:sz w:val="16"/>
          <w:szCs w:val="16"/>
        </w:rPr>
      </w:pPr>
      <w:r w:rsidRPr="00DE096C">
        <w:rPr>
          <w:bCs/>
          <w:color w:val="002060"/>
          <w:sz w:val="16"/>
          <w:szCs w:val="16"/>
        </w:rPr>
        <w:t>Но даже открытие новых предприятий не смогло удовлетворить всех по требностей войск. Тогда очень широко стали использоваться поставки телефон ной аппаратуры иностранных фирм, основными из которых были американские «Вестерн Электрик» и «Дженерал Электрик», японская фирма «Окура и Со» и Министерство путей сообщения Японии (Архив ВИМАИВиВС, ф. 60р, оп. 1, д. 27, л. 76.).</w:t>
      </w:r>
    </w:p>
    <w:p w14:paraId="62AC07BC" w14:textId="77777777" w:rsidR="000343AB" w:rsidRPr="00DE096C" w:rsidRDefault="000343AB" w:rsidP="00D45A46">
      <w:pPr>
        <w:jc w:val="both"/>
        <w:rPr>
          <w:bCs/>
          <w:color w:val="002060"/>
          <w:sz w:val="16"/>
          <w:szCs w:val="16"/>
        </w:rPr>
      </w:pPr>
      <w:r w:rsidRPr="00DE096C">
        <w:rPr>
          <w:bCs/>
          <w:color w:val="002060"/>
          <w:sz w:val="16"/>
          <w:szCs w:val="16"/>
        </w:rPr>
        <w:t>В 1916 г. все предприятия, производившие телефонную технику, выпусти ли 220000 телефонных аппаратов всех систем (Архив ВИМАИВиВС, ф. 61р, оп. 2, д. 1, л. 18.). Несмотря на значительный рост числа производителей телефонии, ведущее место по-прежнему принадлежало петроградским предприятиям «Эриксона», «Гейслера» и «Сименса», которые за няли передовые позиции еще перед войной. Совокупный выпуск, например, те лефонных аппаратов на этих заводах в 1916 г. составил более 176 тыс. единиц или около 80% от всего объема их производства (Русская электротехническая промышленность к началу 1921 г. - М.:, 1921. С. 31-36.). Изменения, произошедшие в структуре производства телефонных аппаратов на петроградских заводах за годы Первой мировой войны, демонстрирует таблица 3.</w:t>
      </w:r>
    </w:p>
    <w:p w14:paraId="7CB1A211" w14:textId="77777777" w:rsidR="000343AB" w:rsidRPr="00DE096C" w:rsidRDefault="000343AB" w:rsidP="00D45A46">
      <w:pPr>
        <w:jc w:val="both"/>
        <w:rPr>
          <w:bCs/>
          <w:color w:val="002060"/>
          <w:sz w:val="16"/>
          <w:szCs w:val="16"/>
        </w:rPr>
      </w:pPr>
      <w:r w:rsidRPr="00DE096C">
        <w:rPr>
          <w:bCs/>
          <w:color w:val="002060"/>
          <w:sz w:val="16"/>
          <w:szCs w:val="16"/>
        </w:rPr>
        <w:t xml:space="preserve">Таблица 3 Доля предприятия в выпуске теле фонных аппаратов в совокупном вы пуске трех петроградских предпри ятий, в %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0343AB" w:rsidRPr="00DE096C" w14:paraId="27661744" w14:textId="77777777" w:rsidTr="00D34AC1">
        <w:tc>
          <w:tcPr>
            <w:tcW w:w="2802" w:type="dxa"/>
          </w:tcPr>
          <w:p w14:paraId="45A36029" w14:textId="77777777" w:rsidR="000343AB" w:rsidRPr="00DE096C" w:rsidRDefault="000343AB" w:rsidP="00D45A46">
            <w:pPr>
              <w:jc w:val="both"/>
              <w:rPr>
                <w:bCs/>
                <w:color w:val="002060"/>
                <w:sz w:val="16"/>
                <w:szCs w:val="16"/>
              </w:rPr>
            </w:pPr>
            <w:r w:rsidRPr="00DE096C">
              <w:rPr>
                <w:bCs/>
                <w:color w:val="002060"/>
                <w:sz w:val="16"/>
                <w:szCs w:val="16"/>
              </w:rPr>
              <w:t>Предприятие</w:t>
            </w:r>
          </w:p>
        </w:tc>
        <w:tc>
          <w:tcPr>
            <w:tcW w:w="2802" w:type="dxa"/>
          </w:tcPr>
          <w:p w14:paraId="27ACD3A5" w14:textId="77777777" w:rsidR="000343AB" w:rsidRPr="00DE096C" w:rsidRDefault="000343AB" w:rsidP="00D45A46">
            <w:pPr>
              <w:jc w:val="both"/>
              <w:rPr>
                <w:bCs/>
                <w:color w:val="002060"/>
                <w:sz w:val="16"/>
                <w:szCs w:val="16"/>
              </w:rPr>
            </w:pPr>
            <w:r w:rsidRPr="00DE096C">
              <w:rPr>
                <w:bCs/>
                <w:color w:val="002060"/>
                <w:sz w:val="16"/>
                <w:szCs w:val="16"/>
              </w:rPr>
              <w:t>Рост производства телефонных аппаратов в 1916 г. по сравнению с 1914 г.</w:t>
            </w:r>
          </w:p>
        </w:tc>
        <w:tc>
          <w:tcPr>
            <w:tcW w:w="2802" w:type="dxa"/>
          </w:tcPr>
          <w:p w14:paraId="2C40371C" w14:textId="77777777" w:rsidR="000343AB" w:rsidRPr="00DE096C" w:rsidRDefault="000343AB" w:rsidP="00D45A46">
            <w:pPr>
              <w:jc w:val="both"/>
              <w:rPr>
                <w:bCs/>
                <w:color w:val="002060"/>
                <w:sz w:val="16"/>
                <w:szCs w:val="16"/>
              </w:rPr>
            </w:pPr>
            <w:r w:rsidRPr="00DE096C">
              <w:rPr>
                <w:bCs/>
                <w:color w:val="002060"/>
                <w:sz w:val="16"/>
                <w:szCs w:val="16"/>
              </w:rPr>
              <w:t>1914 г.</w:t>
            </w:r>
          </w:p>
        </w:tc>
        <w:tc>
          <w:tcPr>
            <w:tcW w:w="2802" w:type="dxa"/>
          </w:tcPr>
          <w:p w14:paraId="368F02AA" w14:textId="77777777" w:rsidR="000343AB" w:rsidRPr="00DE096C" w:rsidRDefault="000343AB" w:rsidP="00D45A46">
            <w:pPr>
              <w:jc w:val="both"/>
              <w:rPr>
                <w:bCs/>
                <w:color w:val="002060"/>
                <w:sz w:val="16"/>
                <w:szCs w:val="16"/>
              </w:rPr>
            </w:pPr>
            <w:r w:rsidRPr="00DE096C">
              <w:rPr>
                <w:bCs/>
                <w:color w:val="002060"/>
                <w:sz w:val="16"/>
                <w:szCs w:val="16"/>
              </w:rPr>
              <w:t>1916 г.</w:t>
            </w:r>
          </w:p>
        </w:tc>
      </w:tr>
      <w:tr w:rsidR="000343AB" w:rsidRPr="00DE096C" w14:paraId="5B589E94" w14:textId="77777777" w:rsidTr="00D34AC1">
        <w:tc>
          <w:tcPr>
            <w:tcW w:w="2802" w:type="dxa"/>
          </w:tcPr>
          <w:p w14:paraId="12974793" w14:textId="77777777" w:rsidR="000343AB" w:rsidRPr="00DE096C" w:rsidRDefault="000343AB" w:rsidP="00D45A46">
            <w:pPr>
              <w:jc w:val="both"/>
              <w:rPr>
                <w:bCs/>
                <w:color w:val="002060"/>
                <w:sz w:val="16"/>
                <w:szCs w:val="16"/>
              </w:rPr>
            </w:pPr>
            <w:r w:rsidRPr="00DE096C">
              <w:rPr>
                <w:bCs/>
                <w:color w:val="002060"/>
                <w:sz w:val="16"/>
                <w:szCs w:val="16"/>
              </w:rPr>
              <w:t>Эриксон</w:t>
            </w:r>
          </w:p>
        </w:tc>
        <w:tc>
          <w:tcPr>
            <w:tcW w:w="2802" w:type="dxa"/>
          </w:tcPr>
          <w:p w14:paraId="50A18AE6" w14:textId="77777777" w:rsidR="000343AB" w:rsidRPr="00DE096C" w:rsidRDefault="000343AB" w:rsidP="00D45A46">
            <w:pPr>
              <w:jc w:val="both"/>
              <w:rPr>
                <w:bCs/>
                <w:color w:val="002060"/>
                <w:sz w:val="16"/>
                <w:szCs w:val="16"/>
              </w:rPr>
            </w:pPr>
            <w:r w:rsidRPr="00DE096C">
              <w:rPr>
                <w:bCs/>
                <w:color w:val="002060"/>
                <w:sz w:val="16"/>
                <w:szCs w:val="16"/>
              </w:rPr>
              <w:t>7,6 раза</w:t>
            </w:r>
          </w:p>
        </w:tc>
        <w:tc>
          <w:tcPr>
            <w:tcW w:w="2802" w:type="dxa"/>
          </w:tcPr>
          <w:p w14:paraId="605A71BE" w14:textId="77777777" w:rsidR="000343AB" w:rsidRPr="00DE096C" w:rsidRDefault="000343AB" w:rsidP="00D45A46">
            <w:pPr>
              <w:jc w:val="both"/>
              <w:rPr>
                <w:bCs/>
                <w:color w:val="002060"/>
                <w:sz w:val="16"/>
                <w:szCs w:val="16"/>
              </w:rPr>
            </w:pPr>
            <w:r w:rsidRPr="00DE096C">
              <w:rPr>
                <w:bCs/>
                <w:color w:val="002060"/>
                <w:sz w:val="16"/>
                <w:szCs w:val="16"/>
              </w:rPr>
              <w:t>36,5</w:t>
            </w:r>
          </w:p>
        </w:tc>
        <w:tc>
          <w:tcPr>
            <w:tcW w:w="2802" w:type="dxa"/>
          </w:tcPr>
          <w:p w14:paraId="08CA7E36" w14:textId="77777777" w:rsidR="000343AB" w:rsidRPr="00DE096C" w:rsidRDefault="000343AB" w:rsidP="00D45A46">
            <w:pPr>
              <w:jc w:val="both"/>
              <w:rPr>
                <w:bCs/>
                <w:color w:val="002060"/>
                <w:sz w:val="16"/>
                <w:szCs w:val="16"/>
              </w:rPr>
            </w:pPr>
            <w:r w:rsidRPr="00DE096C">
              <w:rPr>
                <w:bCs/>
                <w:color w:val="002060"/>
                <w:sz w:val="16"/>
                <w:szCs w:val="16"/>
              </w:rPr>
              <w:t>63,8</w:t>
            </w:r>
          </w:p>
        </w:tc>
      </w:tr>
      <w:tr w:rsidR="000343AB" w:rsidRPr="00DE096C" w14:paraId="05655D47" w14:textId="77777777" w:rsidTr="00D34AC1">
        <w:tc>
          <w:tcPr>
            <w:tcW w:w="2802" w:type="dxa"/>
          </w:tcPr>
          <w:p w14:paraId="71C8801C" w14:textId="77777777" w:rsidR="000343AB" w:rsidRPr="00DE096C" w:rsidRDefault="000343AB" w:rsidP="00D45A46">
            <w:pPr>
              <w:jc w:val="both"/>
              <w:rPr>
                <w:bCs/>
                <w:color w:val="002060"/>
                <w:sz w:val="16"/>
                <w:szCs w:val="16"/>
              </w:rPr>
            </w:pPr>
            <w:r w:rsidRPr="00DE096C">
              <w:rPr>
                <w:bCs/>
                <w:color w:val="002060"/>
                <w:sz w:val="16"/>
                <w:szCs w:val="16"/>
              </w:rPr>
              <w:t>Гейслер</w:t>
            </w:r>
          </w:p>
        </w:tc>
        <w:tc>
          <w:tcPr>
            <w:tcW w:w="2802" w:type="dxa"/>
          </w:tcPr>
          <w:p w14:paraId="33E7A50A" w14:textId="77777777" w:rsidR="000343AB" w:rsidRPr="00DE096C" w:rsidRDefault="000343AB" w:rsidP="00D45A46">
            <w:pPr>
              <w:jc w:val="both"/>
              <w:rPr>
                <w:bCs/>
                <w:color w:val="002060"/>
                <w:sz w:val="16"/>
                <w:szCs w:val="16"/>
              </w:rPr>
            </w:pPr>
            <w:r w:rsidRPr="00DE096C">
              <w:rPr>
                <w:bCs/>
                <w:color w:val="002060"/>
                <w:sz w:val="16"/>
                <w:szCs w:val="16"/>
              </w:rPr>
              <w:t>84%</w:t>
            </w:r>
          </w:p>
        </w:tc>
        <w:tc>
          <w:tcPr>
            <w:tcW w:w="2802" w:type="dxa"/>
          </w:tcPr>
          <w:p w14:paraId="58B335A4" w14:textId="77777777" w:rsidR="000343AB" w:rsidRPr="00DE096C" w:rsidRDefault="000343AB" w:rsidP="00D45A46">
            <w:pPr>
              <w:jc w:val="both"/>
              <w:rPr>
                <w:bCs/>
                <w:color w:val="002060"/>
                <w:sz w:val="16"/>
                <w:szCs w:val="16"/>
              </w:rPr>
            </w:pPr>
            <w:r w:rsidRPr="00DE096C">
              <w:rPr>
                <w:bCs/>
                <w:color w:val="002060"/>
                <w:sz w:val="16"/>
                <w:szCs w:val="16"/>
              </w:rPr>
              <w:t>56</w:t>
            </w:r>
          </w:p>
        </w:tc>
        <w:tc>
          <w:tcPr>
            <w:tcW w:w="2802" w:type="dxa"/>
          </w:tcPr>
          <w:p w14:paraId="6E1DB994" w14:textId="77777777" w:rsidR="000343AB" w:rsidRPr="00DE096C" w:rsidRDefault="000343AB" w:rsidP="00D45A46">
            <w:pPr>
              <w:jc w:val="both"/>
              <w:rPr>
                <w:bCs/>
                <w:color w:val="002060"/>
                <w:sz w:val="16"/>
                <w:szCs w:val="16"/>
              </w:rPr>
            </w:pPr>
            <w:r w:rsidRPr="00DE096C">
              <w:rPr>
                <w:bCs/>
                <w:color w:val="002060"/>
                <w:sz w:val="16"/>
                <w:szCs w:val="16"/>
              </w:rPr>
              <w:t xml:space="preserve">24,8 </w:t>
            </w:r>
          </w:p>
        </w:tc>
      </w:tr>
      <w:tr w:rsidR="000343AB" w:rsidRPr="00DE096C" w14:paraId="15BBAF15" w14:textId="77777777" w:rsidTr="00D34AC1">
        <w:tc>
          <w:tcPr>
            <w:tcW w:w="2802" w:type="dxa"/>
          </w:tcPr>
          <w:p w14:paraId="1CB81FAC" w14:textId="77777777" w:rsidR="000343AB" w:rsidRPr="00DE096C" w:rsidRDefault="000343AB" w:rsidP="00D45A46">
            <w:pPr>
              <w:jc w:val="both"/>
              <w:rPr>
                <w:bCs/>
                <w:color w:val="002060"/>
                <w:sz w:val="16"/>
                <w:szCs w:val="16"/>
              </w:rPr>
            </w:pPr>
            <w:r w:rsidRPr="00DE096C">
              <w:rPr>
                <w:bCs/>
                <w:color w:val="002060"/>
                <w:sz w:val="16"/>
                <w:szCs w:val="16"/>
              </w:rPr>
              <w:t>Сименс</w:t>
            </w:r>
          </w:p>
        </w:tc>
        <w:tc>
          <w:tcPr>
            <w:tcW w:w="2802" w:type="dxa"/>
          </w:tcPr>
          <w:p w14:paraId="5EA3C9C5" w14:textId="77777777" w:rsidR="000343AB" w:rsidRPr="00DE096C" w:rsidRDefault="000343AB" w:rsidP="00D45A46">
            <w:pPr>
              <w:jc w:val="both"/>
              <w:rPr>
                <w:bCs/>
                <w:color w:val="002060"/>
                <w:sz w:val="16"/>
                <w:szCs w:val="16"/>
              </w:rPr>
            </w:pPr>
            <w:r w:rsidRPr="00DE096C">
              <w:rPr>
                <w:bCs/>
                <w:color w:val="002060"/>
                <w:sz w:val="16"/>
                <w:szCs w:val="16"/>
              </w:rPr>
              <w:t>6,4 раза</w:t>
            </w:r>
          </w:p>
        </w:tc>
        <w:tc>
          <w:tcPr>
            <w:tcW w:w="2802" w:type="dxa"/>
          </w:tcPr>
          <w:p w14:paraId="4C8084ED" w14:textId="77777777" w:rsidR="000343AB" w:rsidRPr="00DE096C" w:rsidRDefault="000343AB" w:rsidP="00D45A46">
            <w:pPr>
              <w:jc w:val="both"/>
              <w:rPr>
                <w:bCs/>
                <w:color w:val="002060"/>
                <w:sz w:val="16"/>
                <w:szCs w:val="16"/>
              </w:rPr>
            </w:pPr>
            <w:r w:rsidRPr="00DE096C">
              <w:rPr>
                <w:bCs/>
                <w:color w:val="002060"/>
                <w:sz w:val="16"/>
                <w:szCs w:val="16"/>
              </w:rPr>
              <w:t>7,5</w:t>
            </w:r>
          </w:p>
        </w:tc>
        <w:tc>
          <w:tcPr>
            <w:tcW w:w="2802" w:type="dxa"/>
          </w:tcPr>
          <w:p w14:paraId="79784353" w14:textId="77777777" w:rsidR="000343AB" w:rsidRPr="00DE096C" w:rsidRDefault="000343AB" w:rsidP="00D45A46">
            <w:pPr>
              <w:jc w:val="both"/>
              <w:rPr>
                <w:bCs/>
                <w:color w:val="002060"/>
                <w:sz w:val="16"/>
                <w:szCs w:val="16"/>
              </w:rPr>
            </w:pPr>
            <w:r w:rsidRPr="00DE096C">
              <w:rPr>
                <w:bCs/>
                <w:color w:val="002060"/>
                <w:sz w:val="16"/>
                <w:szCs w:val="16"/>
              </w:rPr>
              <w:t>11,6</w:t>
            </w:r>
          </w:p>
        </w:tc>
      </w:tr>
    </w:tbl>
    <w:p w14:paraId="5C3869B5" w14:textId="77777777" w:rsidR="000343AB" w:rsidRPr="00DE096C" w:rsidRDefault="000343AB" w:rsidP="00D45A46">
      <w:pPr>
        <w:jc w:val="both"/>
        <w:rPr>
          <w:bCs/>
          <w:color w:val="002060"/>
          <w:sz w:val="16"/>
          <w:szCs w:val="16"/>
        </w:rPr>
      </w:pPr>
      <w:r w:rsidRPr="00DE096C">
        <w:rPr>
          <w:bCs/>
          <w:color w:val="002060"/>
          <w:sz w:val="16"/>
          <w:szCs w:val="16"/>
        </w:rPr>
        <w:t>Таким образом, в ходе войны определился лидер телефонной отрасли, ко торым стало предприятие фирмы «Эриксона». Такое положение сохранилось и в последующие годы. Так, только на первое полугодие 1917 г. фирме «Эриксона» Военным ведомством было заказано 50000 телефонных аппаратов, 2850 комму таторов, 80000 микротелефонных капсюлей, 9000 зуммеров, запчасти к аппара туре и другое имущество (Архив ВИМАИВиВС, ф. 60р, оп. 1, д. 18, л. 69.).</w:t>
      </w:r>
    </w:p>
    <w:p w14:paraId="7B3C1D9E" w14:textId="77777777" w:rsidR="000343AB" w:rsidRPr="00DE096C" w:rsidRDefault="000343AB" w:rsidP="00D45A46">
      <w:pPr>
        <w:jc w:val="both"/>
        <w:rPr>
          <w:bCs/>
          <w:color w:val="002060"/>
          <w:sz w:val="16"/>
          <w:szCs w:val="16"/>
        </w:rPr>
      </w:pPr>
      <w:r w:rsidRPr="00DE096C">
        <w:rPr>
          <w:bCs/>
          <w:color w:val="002060"/>
          <w:sz w:val="16"/>
          <w:szCs w:val="16"/>
        </w:rPr>
        <w:t>В годы Гражданской войны производство телефонной продукции резко сократилось. В 1918 г. производство телефонных аппаратов на предприятиях Петрограда составило 11,5% от уровня 1916 г.</w:t>
      </w:r>
    </w:p>
    <w:p w14:paraId="4C492092" w14:textId="77777777" w:rsidR="000343AB" w:rsidRPr="00DE096C" w:rsidRDefault="000343AB" w:rsidP="00D45A46">
      <w:pPr>
        <w:jc w:val="both"/>
        <w:rPr>
          <w:bCs/>
          <w:color w:val="002060"/>
          <w:sz w:val="16"/>
          <w:szCs w:val="16"/>
        </w:rPr>
      </w:pPr>
      <w:r w:rsidRPr="00DE096C">
        <w:rPr>
          <w:bCs/>
          <w:color w:val="002060"/>
          <w:sz w:val="16"/>
          <w:szCs w:val="16"/>
        </w:rPr>
        <w:t>Завод «Эриксона» весной 1918 г. из-за отсутствия топлива и нехватки сы рья совсем остановился. Однако 2 ноября 1918 г. на заседании СНК РСФСР было принято постановление, в котором предлагалось ВСНХ принять срочные меры по возобновлению производственной деятельности заводов, изготовляющих те леграфные и телефонные аппараты. Благодаря принятым мерам через два месяца на «Эриксоне» удалось наладить работу на некоторых участках. Численность ра бочих в 1919 г. составила 168 человек, и за год удалось выпустить 1966 аппара тов (Хабло Е. П. "Красная Заря": История ленинградского научно-производственного объедине ния "Красная Заря". - Л.: Лениздат, 1983. С. 61.).</w:t>
      </w:r>
    </w:p>
    <w:p w14:paraId="2C7369B7" w14:textId="77777777" w:rsidR="000343AB" w:rsidRPr="00DE096C" w:rsidRDefault="000343AB" w:rsidP="00D45A46">
      <w:pPr>
        <w:jc w:val="both"/>
        <w:rPr>
          <w:bCs/>
          <w:color w:val="002060"/>
          <w:sz w:val="16"/>
          <w:szCs w:val="16"/>
        </w:rPr>
      </w:pPr>
      <w:r w:rsidRPr="00DE096C">
        <w:rPr>
          <w:bCs/>
          <w:color w:val="002060"/>
          <w:sz w:val="16"/>
          <w:szCs w:val="16"/>
        </w:rPr>
        <w:t>Создание секции «Электросвязь» в марте 1920 г., в состав которой вошли все электрослаботочные предприятия Петрограда, положил начало процессу их специализации на выработке отдельных видов продукции. Петроградский теле фонный завод, как стал именоваться бывший завод «Эриксона» после национа лизации в 1919 г., вошел в состав секции как основной телефонный завод (Русская электротехническая промышленность к началу 1921 г. - М.:, 1921. С. 32) (11870).</w:t>
      </w:r>
    </w:p>
    <w:p w14:paraId="62AB61CD" w14:textId="77777777" w:rsidR="000343AB" w:rsidRPr="00DE096C" w:rsidRDefault="000343AB" w:rsidP="00D45A46">
      <w:pPr>
        <w:jc w:val="both"/>
        <w:rPr>
          <w:bCs/>
          <w:color w:val="002060"/>
          <w:sz w:val="16"/>
          <w:szCs w:val="16"/>
        </w:rPr>
      </w:pPr>
    </w:p>
    <w:p w14:paraId="63D3EAE2"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В конце июля 1914 к началу войны Рус</w:t>
      </w:r>
      <w:r w:rsidRPr="00DE096C">
        <w:rPr>
          <w:bCs/>
          <w:color w:val="002060"/>
          <w:sz w:val="16"/>
          <w:szCs w:val="16"/>
        </w:rPr>
        <w:softHyphen/>
        <w:t>ской Армии пришлось довольствоваться обычными артиллерийскими орудиями. Пер</w:t>
      </w:r>
      <w:r w:rsidRPr="00DE096C">
        <w:rPr>
          <w:bCs/>
          <w:color w:val="002060"/>
          <w:sz w:val="16"/>
          <w:szCs w:val="16"/>
        </w:rPr>
        <w:softHyphen/>
        <w:t>вая партия (четыре ед.) «3-дм противоаэро-статных пушек образца 1914 г. Путиловского завода на автомобильной установке» была собрана лишь к концу первого года войны и установлена на 5-т автомобилях, специ</w:t>
      </w:r>
      <w:r w:rsidRPr="00DE096C">
        <w:rPr>
          <w:bCs/>
          <w:color w:val="002060"/>
          <w:sz w:val="16"/>
          <w:szCs w:val="16"/>
        </w:rPr>
        <w:softHyphen/>
        <w:t>ально изготовленных для орудий Русско-Балтийским заводом. По представлению Главного управления Генерального штаба Военный совет при Военном министре 18 ок</w:t>
      </w:r>
      <w:r w:rsidRPr="00DE096C">
        <w:rPr>
          <w:bCs/>
          <w:color w:val="002060"/>
          <w:sz w:val="16"/>
          <w:szCs w:val="16"/>
        </w:rPr>
        <w:softHyphen/>
        <w:t>тября 1914 г. утвердил штат зенитной авто</w:t>
      </w:r>
      <w:r w:rsidRPr="00DE096C">
        <w:rPr>
          <w:bCs/>
          <w:color w:val="002060"/>
          <w:sz w:val="16"/>
          <w:szCs w:val="16"/>
        </w:rPr>
        <w:softHyphen/>
        <w:t>мобильной батареи со скорейшим её фор</w:t>
      </w:r>
      <w:r w:rsidRPr="00DE096C">
        <w:rPr>
          <w:bCs/>
          <w:color w:val="002060"/>
          <w:sz w:val="16"/>
          <w:szCs w:val="16"/>
        </w:rPr>
        <w:softHyphen/>
        <w:t>мированием. Гвардии штабс-капитану В.В.Тарновскому вверили эту батарею, и от</w:t>
      </w:r>
      <w:r w:rsidRPr="00DE096C">
        <w:rPr>
          <w:bCs/>
          <w:color w:val="002060"/>
          <w:sz w:val="16"/>
          <w:szCs w:val="16"/>
        </w:rPr>
        <w:softHyphen/>
        <w:t>правили подразделение в район военных действий. Такое назначение обосновыва</w:t>
      </w:r>
      <w:r w:rsidRPr="00DE096C">
        <w:rPr>
          <w:bCs/>
          <w:color w:val="002060"/>
          <w:sz w:val="16"/>
          <w:szCs w:val="16"/>
        </w:rPr>
        <w:softHyphen/>
        <w:t>лось необходимостью «дальнейшего усо</w:t>
      </w:r>
      <w:r w:rsidRPr="00DE096C">
        <w:rPr>
          <w:bCs/>
          <w:color w:val="002060"/>
          <w:sz w:val="16"/>
          <w:szCs w:val="16"/>
        </w:rPr>
        <w:softHyphen/>
        <w:t>вершенствования системы на основании боевого опыта» (11391).</w:t>
      </w:r>
    </w:p>
    <w:p w14:paraId="53E6D224" w14:textId="77777777" w:rsidR="000343AB" w:rsidRPr="00DE096C" w:rsidRDefault="000343AB" w:rsidP="00D45A46">
      <w:pPr>
        <w:shd w:val="clear" w:color="auto" w:fill="FFFFFF"/>
        <w:jc w:val="both"/>
        <w:rPr>
          <w:bCs/>
          <w:color w:val="002060"/>
          <w:sz w:val="16"/>
          <w:szCs w:val="16"/>
        </w:rPr>
      </w:pPr>
    </w:p>
    <w:p w14:paraId="59189A73"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К концу июля 1914 г. ручная граната образца 1912 г. была усовершенствована воен</w:t>
      </w:r>
      <w:r w:rsidRPr="00DE096C">
        <w:rPr>
          <w:bCs/>
          <w:color w:val="002060"/>
          <w:sz w:val="16"/>
          <w:szCs w:val="16"/>
        </w:rPr>
        <w:softHyphen/>
        <w:t>ным инженером-технологом В. И. Рдултовским и приспособлена для разрушения проволочных заграждений. Она была принята на воору</w:t>
      </w:r>
      <w:r w:rsidRPr="00DE096C">
        <w:rPr>
          <w:bCs/>
          <w:color w:val="002060"/>
          <w:sz w:val="16"/>
          <w:szCs w:val="16"/>
        </w:rPr>
        <w:softHyphen/>
        <w:t>жение накануне войны под названием ручной гранаты образца 1914 г. (табл. 1.19). По конструкции принципиально не отличалась от гранаты образца 1912 г. Граната образца 1912 г. не имела допол</w:t>
      </w:r>
      <w:r w:rsidRPr="00DE096C">
        <w:rPr>
          <w:bCs/>
          <w:color w:val="002060"/>
          <w:sz w:val="16"/>
          <w:szCs w:val="16"/>
        </w:rPr>
        <w:softHyphen/>
        <w:t>нительного детонатора. В гранате образца 1914г. при снаряжении ее тротилом или мелинитом применяли дополнительный детонатор из прессованного тетрила, при снаряжении аммоналом дополнитель</w:t>
      </w:r>
      <w:r w:rsidRPr="00DE096C">
        <w:rPr>
          <w:bCs/>
          <w:color w:val="002060"/>
          <w:sz w:val="16"/>
          <w:szCs w:val="16"/>
        </w:rPr>
        <w:softHyphen/>
        <w:t>ный детонатор не применяли.</w:t>
      </w:r>
    </w:p>
    <w:p w14:paraId="1FEA12C8"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1.19. Основные характеристики ручных гранат, состоявших на вооружении русской армии в 1912—1917 гг.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974"/>
        <w:gridCol w:w="682"/>
        <w:gridCol w:w="816"/>
        <w:gridCol w:w="912"/>
      </w:tblGrid>
      <w:tr w:rsidR="000343AB" w:rsidRPr="00DE096C" w14:paraId="1212CF1F" w14:textId="77777777" w:rsidTr="00D34AC1">
        <w:trPr>
          <w:trHeight w:val="259"/>
        </w:trPr>
        <w:tc>
          <w:tcPr>
            <w:tcW w:w="3974" w:type="dxa"/>
          </w:tcPr>
          <w:p w14:paraId="71DF56CC"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Марки ручных гранат</w:t>
            </w:r>
          </w:p>
        </w:tc>
        <w:tc>
          <w:tcPr>
            <w:tcW w:w="682" w:type="dxa"/>
          </w:tcPr>
          <w:p w14:paraId="2011CFA4"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Общая Масса, кг</w:t>
            </w:r>
          </w:p>
        </w:tc>
        <w:tc>
          <w:tcPr>
            <w:tcW w:w="816" w:type="dxa"/>
          </w:tcPr>
          <w:p w14:paraId="6657800C"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масса, заряда ВВ, кг</w:t>
            </w:r>
          </w:p>
        </w:tc>
        <w:tc>
          <w:tcPr>
            <w:tcW w:w="912" w:type="dxa"/>
          </w:tcPr>
          <w:p w14:paraId="45D83269"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Времяза медления</w:t>
            </w:r>
          </w:p>
        </w:tc>
      </w:tr>
      <w:tr w:rsidR="000343AB" w:rsidRPr="00DE096C" w14:paraId="4FDD79A6" w14:textId="77777777" w:rsidTr="00D34AC1">
        <w:trPr>
          <w:trHeight w:val="259"/>
        </w:trPr>
        <w:tc>
          <w:tcPr>
            <w:tcW w:w="3974" w:type="dxa"/>
          </w:tcPr>
          <w:p w14:paraId="76A09E18"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Русская граната образца 1912 г.</w:t>
            </w:r>
          </w:p>
          <w:p w14:paraId="0ADDE3A7" w14:textId="77777777" w:rsidR="000343AB" w:rsidRPr="00DE096C" w:rsidRDefault="000343AB" w:rsidP="00D45A46">
            <w:pPr>
              <w:shd w:val="clear" w:color="auto" w:fill="FFFFFF"/>
              <w:jc w:val="both"/>
              <w:rPr>
                <w:bCs/>
                <w:color w:val="002060"/>
                <w:sz w:val="16"/>
                <w:szCs w:val="16"/>
              </w:rPr>
            </w:pPr>
          </w:p>
        </w:tc>
        <w:tc>
          <w:tcPr>
            <w:tcW w:w="682" w:type="dxa"/>
          </w:tcPr>
          <w:p w14:paraId="7D73248D"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1,23</w:t>
            </w:r>
          </w:p>
          <w:p w14:paraId="454E3FD7" w14:textId="77777777" w:rsidR="000343AB" w:rsidRPr="00DE096C" w:rsidRDefault="000343AB" w:rsidP="00D45A46">
            <w:pPr>
              <w:shd w:val="clear" w:color="auto" w:fill="FFFFFF"/>
              <w:jc w:val="both"/>
              <w:rPr>
                <w:bCs/>
                <w:color w:val="002060"/>
                <w:sz w:val="16"/>
                <w:szCs w:val="16"/>
              </w:rPr>
            </w:pPr>
          </w:p>
        </w:tc>
        <w:tc>
          <w:tcPr>
            <w:tcW w:w="816" w:type="dxa"/>
          </w:tcPr>
          <w:p w14:paraId="65F3F671"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0,615</w:t>
            </w:r>
          </w:p>
          <w:p w14:paraId="5B4236FF" w14:textId="77777777" w:rsidR="000343AB" w:rsidRPr="00DE096C" w:rsidRDefault="000343AB" w:rsidP="00D45A46">
            <w:pPr>
              <w:shd w:val="clear" w:color="auto" w:fill="FFFFFF"/>
              <w:jc w:val="both"/>
              <w:rPr>
                <w:bCs/>
                <w:color w:val="002060"/>
                <w:sz w:val="16"/>
                <w:szCs w:val="16"/>
              </w:rPr>
            </w:pPr>
          </w:p>
        </w:tc>
        <w:tc>
          <w:tcPr>
            <w:tcW w:w="912" w:type="dxa"/>
          </w:tcPr>
          <w:p w14:paraId="1644CEB3"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4</w:t>
            </w:r>
          </w:p>
          <w:p w14:paraId="68BA5861" w14:textId="77777777" w:rsidR="000343AB" w:rsidRPr="00DE096C" w:rsidRDefault="000343AB" w:rsidP="00D45A46">
            <w:pPr>
              <w:shd w:val="clear" w:color="auto" w:fill="FFFFFF"/>
              <w:jc w:val="both"/>
              <w:rPr>
                <w:bCs/>
                <w:color w:val="002060"/>
                <w:sz w:val="16"/>
                <w:szCs w:val="16"/>
              </w:rPr>
            </w:pPr>
          </w:p>
        </w:tc>
      </w:tr>
      <w:tr w:rsidR="000343AB" w:rsidRPr="00DE096C" w14:paraId="69864F90" w14:textId="77777777" w:rsidTr="00D34AC1">
        <w:trPr>
          <w:trHeight w:val="173"/>
        </w:trPr>
        <w:tc>
          <w:tcPr>
            <w:tcW w:w="3974" w:type="dxa"/>
          </w:tcPr>
          <w:p w14:paraId="7E90AB2B"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Русская граната образца 1914 г.</w:t>
            </w:r>
          </w:p>
          <w:p w14:paraId="0F0396F9" w14:textId="77777777" w:rsidR="000343AB" w:rsidRPr="00DE096C" w:rsidRDefault="000343AB" w:rsidP="00D45A46">
            <w:pPr>
              <w:shd w:val="clear" w:color="auto" w:fill="FFFFFF"/>
              <w:jc w:val="both"/>
              <w:rPr>
                <w:bCs/>
                <w:color w:val="002060"/>
                <w:sz w:val="16"/>
                <w:szCs w:val="16"/>
              </w:rPr>
            </w:pPr>
          </w:p>
        </w:tc>
        <w:tc>
          <w:tcPr>
            <w:tcW w:w="682" w:type="dxa"/>
          </w:tcPr>
          <w:p w14:paraId="17C375CC"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0,72</w:t>
            </w:r>
          </w:p>
          <w:p w14:paraId="408AD472" w14:textId="77777777" w:rsidR="000343AB" w:rsidRPr="00DE096C" w:rsidRDefault="000343AB" w:rsidP="00D45A46">
            <w:pPr>
              <w:shd w:val="clear" w:color="auto" w:fill="FFFFFF"/>
              <w:jc w:val="both"/>
              <w:rPr>
                <w:bCs/>
                <w:color w:val="002060"/>
                <w:sz w:val="16"/>
                <w:szCs w:val="16"/>
              </w:rPr>
            </w:pPr>
          </w:p>
        </w:tc>
        <w:tc>
          <w:tcPr>
            <w:tcW w:w="816" w:type="dxa"/>
          </w:tcPr>
          <w:p w14:paraId="2905023E"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0,410</w:t>
            </w:r>
          </w:p>
          <w:p w14:paraId="4033BC6C" w14:textId="77777777" w:rsidR="000343AB" w:rsidRPr="00DE096C" w:rsidRDefault="000343AB" w:rsidP="00D45A46">
            <w:pPr>
              <w:shd w:val="clear" w:color="auto" w:fill="FFFFFF"/>
              <w:jc w:val="both"/>
              <w:rPr>
                <w:bCs/>
                <w:color w:val="002060"/>
                <w:sz w:val="16"/>
                <w:szCs w:val="16"/>
              </w:rPr>
            </w:pPr>
          </w:p>
        </w:tc>
        <w:tc>
          <w:tcPr>
            <w:tcW w:w="912" w:type="dxa"/>
          </w:tcPr>
          <w:p w14:paraId="1BD0420B"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4</w:t>
            </w:r>
          </w:p>
          <w:p w14:paraId="1F826C6D" w14:textId="77777777" w:rsidR="000343AB" w:rsidRPr="00DE096C" w:rsidRDefault="000343AB" w:rsidP="00D45A46">
            <w:pPr>
              <w:shd w:val="clear" w:color="auto" w:fill="FFFFFF"/>
              <w:jc w:val="both"/>
              <w:rPr>
                <w:bCs/>
                <w:color w:val="002060"/>
                <w:sz w:val="16"/>
                <w:szCs w:val="16"/>
              </w:rPr>
            </w:pPr>
          </w:p>
        </w:tc>
      </w:tr>
      <w:tr w:rsidR="000343AB" w:rsidRPr="00DE096C" w14:paraId="119700E2" w14:textId="77777777" w:rsidTr="00D34AC1">
        <w:trPr>
          <w:trHeight w:val="192"/>
        </w:trPr>
        <w:tc>
          <w:tcPr>
            <w:tcW w:w="3974" w:type="dxa"/>
          </w:tcPr>
          <w:p w14:paraId="60A72978"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Тяжелая граната системы Новицкого и Федорова для разрушения проволочных заграждений</w:t>
            </w:r>
          </w:p>
          <w:p w14:paraId="07EEB87D" w14:textId="77777777" w:rsidR="000343AB" w:rsidRPr="00DE096C" w:rsidRDefault="000343AB" w:rsidP="00D45A46">
            <w:pPr>
              <w:shd w:val="clear" w:color="auto" w:fill="FFFFFF"/>
              <w:jc w:val="both"/>
              <w:rPr>
                <w:bCs/>
                <w:color w:val="002060"/>
                <w:sz w:val="16"/>
                <w:szCs w:val="16"/>
              </w:rPr>
            </w:pPr>
          </w:p>
        </w:tc>
        <w:tc>
          <w:tcPr>
            <w:tcW w:w="682" w:type="dxa"/>
          </w:tcPr>
          <w:p w14:paraId="6C28495B"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2,25</w:t>
            </w:r>
          </w:p>
          <w:p w14:paraId="60931FDE" w14:textId="77777777" w:rsidR="000343AB" w:rsidRPr="00DE096C" w:rsidRDefault="000343AB" w:rsidP="00D45A46">
            <w:pPr>
              <w:shd w:val="clear" w:color="auto" w:fill="FFFFFF"/>
              <w:jc w:val="both"/>
              <w:rPr>
                <w:bCs/>
                <w:color w:val="002060"/>
                <w:sz w:val="16"/>
                <w:szCs w:val="16"/>
              </w:rPr>
            </w:pPr>
          </w:p>
        </w:tc>
        <w:tc>
          <w:tcPr>
            <w:tcW w:w="816" w:type="dxa"/>
          </w:tcPr>
          <w:p w14:paraId="073A7293"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1,65</w:t>
            </w:r>
          </w:p>
          <w:p w14:paraId="684A2C98" w14:textId="77777777" w:rsidR="000343AB" w:rsidRPr="00DE096C" w:rsidRDefault="000343AB" w:rsidP="00D45A46">
            <w:pPr>
              <w:shd w:val="clear" w:color="auto" w:fill="FFFFFF"/>
              <w:jc w:val="both"/>
              <w:rPr>
                <w:bCs/>
                <w:color w:val="002060"/>
                <w:sz w:val="16"/>
                <w:szCs w:val="16"/>
              </w:rPr>
            </w:pPr>
          </w:p>
        </w:tc>
        <w:tc>
          <w:tcPr>
            <w:tcW w:w="912" w:type="dxa"/>
          </w:tcPr>
          <w:p w14:paraId="009DB018"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12—14</w:t>
            </w:r>
          </w:p>
          <w:p w14:paraId="3C793946" w14:textId="77777777" w:rsidR="000343AB" w:rsidRPr="00DE096C" w:rsidRDefault="000343AB" w:rsidP="00D45A46">
            <w:pPr>
              <w:shd w:val="clear" w:color="auto" w:fill="FFFFFF"/>
              <w:jc w:val="both"/>
              <w:rPr>
                <w:bCs/>
                <w:color w:val="002060"/>
                <w:sz w:val="16"/>
                <w:szCs w:val="16"/>
              </w:rPr>
            </w:pPr>
          </w:p>
        </w:tc>
      </w:tr>
      <w:tr w:rsidR="000343AB" w:rsidRPr="00DE096C" w14:paraId="542F8960" w14:textId="77777777" w:rsidTr="00D34AC1">
        <w:trPr>
          <w:trHeight w:val="173"/>
        </w:trPr>
        <w:tc>
          <w:tcPr>
            <w:tcW w:w="3974" w:type="dxa"/>
          </w:tcPr>
          <w:p w14:paraId="6909A3DC"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Французская граната образца 1915г. марки Ф-1</w:t>
            </w:r>
          </w:p>
          <w:p w14:paraId="31E00CE2" w14:textId="77777777" w:rsidR="000343AB" w:rsidRPr="00DE096C" w:rsidRDefault="000343AB" w:rsidP="00D45A46">
            <w:pPr>
              <w:shd w:val="clear" w:color="auto" w:fill="FFFFFF"/>
              <w:jc w:val="both"/>
              <w:rPr>
                <w:bCs/>
                <w:color w:val="002060"/>
                <w:sz w:val="16"/>
                <w:szCs w:val="16"/>
              </w:rPr>
            </w:pPr>
          </w:p>
        </w:tc>
        <w:tc>
          <w:tcPr>
            <w:tcW w:w="682" w:type="dxa"/>
          </w:tcPr>
          <w:p w14:paraId="7B5B0B65"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lastRenderedPageBreak/>
              <w:t>0.57</w:t>
            </w:r>
          </w:p>
          <w:p w14:paraId="6ED124F7" w14:textId="77777777" w:rsidR="000343AB" w:rsidRPr="00DE096C" w:rsidRDefault="000343AB" w:rsidP="00D45A46">
            <w:pPr>
              <w:shd w:val="clear" w:color="auto" w:fill="FFFFFF"/>
              <w:jc w:val="both"/>
              <w:rPr>
                <w:bCs/>
                <w:color w:val="002060"/>
                <w:sz w:val="16"/>
                <w:szCs w:val="16"/>
              </w:rPr>
            </w:pPr>
          </w:p>
        </w:tc>
        <w:tc>
          <w:tcPr>
            <w:tcW w:w="816" w:type="dxa"/>
          </w:tcPr>
          <w:p w14:paraId="6883FA8F"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lastRenderedPageBreak/>
              <w:t>0,050</w:t>
            </w:r>
          </w:p>
          <w:p w14:paraId="2A303045" w14:textId="77777777" w:rsidR="000343AB" w:rsidRPr="00DE096C" w:rsidRDefault="000343AB" w:rsidP="00D45A46">
            <w:pPr>
              <w:shd w:val="clear" w:color="auto" w:fill="FFFFFF"/>
              <w:jc w:val="both"/>
              <w:rPr>
                <w:bCs/>
                <w:color w:val="002060"/>
                <w:sz w:val="16"/>
                <w:szCs w:val="16"/>
              </w:rPr>
            </w:pPr>
          </w:p>
        </w:tc>
        <w:tc>
          <w:tcPr>
            <w:tcW w:w="912" w:type="dxa"/>
          </w:tcPr>
          <w:p w14:paraId="15B88543"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lastRenderedPageBreak/>
              <w:t>3,5—4,5</w:t>
            </w:r>
          </w:p>
          <w:p w14:paraId="62DD05AC" w14:textId="77777777" w:rsidR="000343AB" w:rsidRPr="00DE096C" w:rsidRDefault="000343AB" w:rsidP="00D45A46">
            <w:pPr>
              <w:shd w:val="clear" w:color="auto" w:fill="FFFFFF"/>
              <w:jc w:val="both"/>
              <w:rPr>
                <w:bCs/>
                <w:color w:val="002060"/>
                <w:sz w:val="16"/>
                <w:szCs w:val="16"/>
              </w:rPr>
            </w:pPr>
          </w:p>
        </w:tc>
      </w:tr>
      <w:tr w:rsidR="000343AB" w:rsidRPr="00DE096C" w14:paraId="42FE56CF" w14:textId="77777777" w:rsidTr="00D34AC1">
        <w:trPr>
          <w:trHeight w:val="173"/>
        </w:trPr>
        <w:tc>
          <w:tcPr>
            <w:tcW w:w="3974" w:type="dxa"/>
          </w:tcPr>
          <w:p w14:paraId="3EB60550"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lastRenderedPageBreak/>
              <w:t>Граната германского образца с терочным запалом</w:t>
            </w:r>
          </w:p>
          <w:p w14:paraId="67F694F1" w14:textId="77777777" w:rsidR="000343AB" w:rsidRPr="00DE096C" w:rsidRDefault="000343AB" w:rsidP="00D45A46">
            <w:pPr>
              <w:shd w:val="clear" w:color="auto" w:fill="FFFFFF"/>
              <w:jc w:val="both"/>
              <w:rPr>
                <w:bCs/>
                <w:color w:val="002060"/>
                <w:sz w:val="16"/>
                <w:szCs w:val="16"/>
              </w:rPr>
            </w:pPr>
          </w:p>
        </w:tc>
        <w:tc>
          <w:tcPr>
            <w:tcW w:w="682" w:type="dxa"/>
          </w:tcPr>
          <w:p w14:paraId="79BCDB4E"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0,82</w:t>
            </w:r>
          </w:p>
          <w:p w14:paraId="5D3645E8" w14:textId="77777777" w:rsidR="000343AB" w:rsidRPr="00DE096C" w:rsidRDefault="000343AB" w:rsidP="00D45A46">
            <w:pPr>
              <w:shd w:val="clear" w:color="auto" w:fill="FFFFFF"/>
              <w:jc w:val="both"/>
              <w:rPr>
                <w:bCs/>
                <w:color w:val="002060"/>
                <w:sz w:val="16"/>
                <w:szCs w:val="16"/>
              </w:rPr>
            </w:pPr>
          </w:p>
        </w:tc>
        <w:tc>
          <w:tcPr>
            <w:tcW w:w="816" w:type="dxa"/>
          </w:tcPr>
          <w:p w14:paraId="0624B7D1"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0,145</w:t>
            </w:r>
          </w:p>
          <w:p w14:paraId="49AC7AEE" w14:textId="77777777" w:rsidR="000343AB" w:rsidRPr="00DE096C" w:rsidRDefault="000343AB" w:rsidP="00D45A46">
            <w:pPr>
              <w:shd w:val="clear" w:color="auto" w:fill="FFFFFF"/>
              <w:jc w:val="both"/>
              <w:rPr>
                <w:bCs/>
                <w:color w:val="002060"/>
                <w:sz w:val="16"/>
                <w:szCs w:val="16"/>
              </w:rPr>
            </w:pPr>
          </w:p>
        </w:tc>
        <w:tc>
          <w:tcPr>
            <w:tcW w:w="912" w:type="dxa"/>
          </w:tcPr>
          <w:p w14:paraId="78F4EA87"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4</w:t>
            </w:r>
          </w:p>
          <w:p w14:paraId="66D636B9" w14:textId="77777777" w:rsidR="000343AB" w:rsidRPr="00DE096C" w:rsidRDefault="000343AB" w:rsidP="00D45A46">
            <w:pPr>
              <w:shd w:val="clear" w:color="auto" w:fill="FFFFFF"/>
              <w:jc w:val="both"/>
              <w:rPr>
                <w:bCs/>
                <w:color w:val="002060"/>
                <w:sz w:val="16"/>
                <w:szCs w:val="16"/>
              </w:rPr>
            </w:pPr>
          </w:p>
        </w:tc>
      </w:tr>
      <w:tr w:rsidR="000343AB" w:rsidRPr="00DE096C" w14:paraId="6F790170" w14:textId="77777777" w:rsidTr="00D34AC1">
        <w:trPr>
          <w:trHeight w:val="192"/>
        </w:trPr>
        <w:tc>
          <w:tcPr>
            <w:tcW w:w="3974" w:type="dxa"/>
          </w:tcPr>
          <w:p w14:paraId="325529DA"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Английская граната типа Лемона с терочным за палом</w:t>
            </w:r>
          </w:p>
          <w:p w14:paraId="08336432" w14:textId="77777777" w:rsidR="000343AB" w:rsidRPr="00DE096C" w:rsidRDefault="000343AB" w:rsidP="00D45A46">
            <w:pPr>
              <w:shd w:val="clear" w:color="auto" w:fill="FFFFFF"/>
              <w:jc w:val="both"/>
              <w:rPr>
                <w:bCs/>
                <w:color w:val="002060"/>
                <w:sz w:val="16"/>
                <w:szCs w:val="16"/>
              </w:rPr>
            </w:pPr>
          </w:p>
        </w:tc>
        <w:tc>
          <w:tcPr>
            <w:tcW w:w="682" w:type="dxa"/>
          </w:tcPr>
          <w:p w14:paraId="36977708"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0,625</w:t>
            </w:r>
          </w:p>
          <w:p w14:paraId="6BBE2F77" w14:textId="77777777" w:rsidR="000343AB" w:rsidRPr="00DE096C" w:rsidRDefault="000343AB" w:rsidP="00D45A46">
            <w:pPr>
              <w:shd w:val="clear" w:color="auto" w:fill="FFFFFF"/>
              <w:jc w:val="both"/>
              <w:rPr>
                <w:bCs/>
                <w:color w:val="002060"/>
                <w:sz w:val="16"/>
                <w:szCs w:val="16"/>
              </w:rPr>
            </w:pPr>
          </w:p>
        </w:tc>
        <w:tc>
          <w:tcPr>
            <w:tcW w:w="816" w:type="dxa"/>
          </w:tcPr>
          <w:p w14:paraId="7A2FE5F5"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0,128</w:t>
            </w:r>
          </w:p>
          <w:p w14:paraId="1A95E06B" w14:textId="77777777" w:rsidR="000343AB" w:rsidRPr="00DE096C" w:rsidRDefault="000343AB" w:rsidP="00D45A46">
            <w:pPr>
              <w:shd w:val="clear" w:color="auto" w:fill="FFFFFF"/>
              <w:jc w:val="both"/>
              <w:rPr>
                <w:bCs/>
                <w:color w:val="002060"/>
                <w:sz w:val="16"/>
                <w:szCs w:val="16"/>
              </w:rPr>
            </w:pPr>
          </w:p>
        </w:tc>
        <w:tc>
          <w:tcPr>
            <w:tcW w:w="912" w:type="dxa"/>
          </w:tcPr>
          <w:p w14:paraId="02CF1874"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4—5</w:t>
            </w:r>
          </w:p>
          <w:p w14:paraId="5DE9DABA" w14:textId="77777777" w:rsidR="000343AB" w:rsidRPr="00DE096C" w:rsidRDefault="000343AB" w:rsidP="00D45A46">
            <w:pPr>
              <w:shd w:val="clear" w:color="auto" w:fill="FFFFFF"/>
              <w:jc w:val="both"/>
              <w:rPr>
                <w:bCs/>
                <w:color w:val="002060"/>
                <w:sz w:val="16"/>
                <w:szCs w:val="16"/>
              </w:rPr>
            </w:pPr>
          </w:p>
        </w:tc>
      </w:tr>
      <w:tr w:rsidR="000343AB" w:rsidRPr="00DE096C" w14:paraId="3D8410C1" w14:textId="77777777" w:rsidTr="00D34AC1">
        <w:trPr>
          <w:trHeight w:val="202"/>
        </w:trPr>
        <w:tc>
          <w:tcPr>
            <w:tcW w:w="3974" w:type="dxa"/>
          </w:tcPr>
          <w:p w14:paraId="10391DCD"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Английская граната типа Миллса</w:t>
            </w:r>
          </w:p>
          <w:p w14:paraId="7A38FB8A" w14:textId="77777777" w:rsidR="000343AB" w:rsidRPr="00DE096C" w:rsidRDefault="000343AB" w:rsidP="00D45A46">
            <w:pPr>
              <w:shd w:val="clear" w:color="auto" w:fill="FFFFFF"/>
              <w:jc w:val="both"/>
              <w:rPr>
                <w:bCs/>
                <w:color w:val="002060"/>
                <w:sz w:val="16"/>
                <w:szCs w:val="16"/>
              </w:rPr>
            </w:pPr>
          </w:p>
        </w:tc>
        <w:tc>
          <w:tcPr>
            <w:tcW w:w="682" w:type="dxa"/>
          </w:tcPr>
          <w:p w14:paraId="7716D491"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0,55</w:t>
            </w:r>
          </w:p>
          <w:p w14:paraId="41E5AD32" w14:textId="77777777" w:rsidR="000343AB" w:rsidRPr="00DE096C" w:rsidRDefault="000343AB" w:rsidP="00D45A46">
            <w:pPr>
              <w:shd w:val="clear" w:color="auto" w:fill="FFFFFF"/>
              <w:jc w:val="both"/>
              <w:rPr>
                <w:bCs/>
                <w:color w:val="002060"/>
                <w:sz w:val="16"/>
                <w:szCs w:val="16"/>
              </w:rPr>
            </w:pPr>
          </w:p>
        </w:tc>
        <w:tc>
          <w:tcPr>
            <w:tcW w:w="816" w:type="dxa"/>
          </w:tcPr>
          <w:p w14:paraId="23322E02"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0,085</w:t>
            </w:r>
          </w:p>
          <w:p w14:paraId="571BCA35" w14:textId="77777777" w:rsidR="000343AB" w:rsidRPr="00DE096C" w:rsidRDefault="000343AB" w:rsidP="00D45A46">
            <w:pPr>
              <w:shd w:val="clear" w:color="auto" w:fill="FFFFFF"/>
              <w:jc w:val="both"/>
              <w:rPr>
                <w:bCs/>
                <w:color w:val="002060"/>
                <w:sz w:val="16"/>
                <w:szCs w:val="16"/>
              </w:rPr>
            </w:pPr>
          </w:p>
        </w:tc>
        <w:tc>
          <w:tcPr>
            <w:tcW w:w="912" w:type="dxa"/>
          </w:tcPr>
          <w:p w14:paraId="60293808"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4</w:t>
            </w:r>
          </w:p>
          <w:p w14:paraId="28577083" w14:textId="77777777" w:rsidR="000343AB" w:rsidRPr="00DE096C" w:rsidRDefault="000343AB" w:rsidP="00D45A46">
            <w:pPr>
              <w:shd w:val="clear" w:color="auto" w:fill="FFFFFF"/>
              <w:jc w:val="both"/>
              <w:rPr>
                <w:bCs/>
                <w:color w:val="002060"/>
                <w:sz w:val="16"/>
                <w:szCs w:val="16"/>
              </w:rPr>
            </w:pPr>
          </w:p>
        </w:tc>
      </w:tr>
    </w:tbl>
    <w:p w14:paraId="0E839AAD"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Ручную гранату образца 1914 г. также использовали для разру</w:t>
      </w:r>
      <w:r w:rsidRPr="00DE096C">
        <w:rPr>
          <w:bCs/>
          <w:color w:val="002060"/>
          <w:sz w:val="16"/>
          <w:szCs w:val="16"/>
        </w:rPr>
        <w:softHyphen/>
        <w:t>шения проволочных заграждений и других искусственных препят</w:t>
      </w:r>
      <w:r w:rsidRPr="00DE096C">
        <w:rPr>
          <w:bCs/>
          <w:color w:val="002060"/>
          <w:sz w:val="16"/>
          <w:szCs w:val="16"/>
        </w:rPr>
        <w:softHyphen/>
        <w:t>ствий. Для этого на нее надевали дополнительный разрывной заряд, помещенный в жестяную оболочку цилиндрической формы, а также три прочные тонкие веревочки длиной около 80 см в два конца каж</w:t>
      </w:r>
      <w:r w:rsidRPr="00DE096C">
        <w:rPr>
          <w:bCs/>
          <w:color w:val="002060"/>
          <w:sz w:val="16"/>
          <w:szCs w:val="16"/>
        </w:rPr>
        <w:softHyphen/>
        <w:t>дая с небольшими свинцовыми грузиками на концах, для обеспече</w:t>
      </w:r>
      <w:r w:rsidRPr="00DE096C">
        <w:rPr>
          <w:bCs/>
          <w:color w:val="002060"/>
          <w:sz w:val="16"/>
          <w:szCs w:val="16"/>
        </w:rPr>
        <w:softHyphen/>
        <w:t>ния зависания гранаты на проволоке. Чтобы пробить в искусствен</w:t>
      </w:r>
      <w:r w:rsidRPr="00DE096C">
        <w:rPr>
          <w:bCs/>
          <w:color w:val="002060"/>
          <w:sz w:val="16"/>
          <w:szCs w:val="16"/>
        </w:rPr>
        <w:softHyphen/>
        <w:t>ных препятствиях проход шириной 6—7 м, требовалось от 4—8 гра</w:t>
      </w:r>
      <w:r w:rsidRPr="00DE096C">
        <w:rPr>
          <w:bCs/>
          <w:color w:val="002060"/>
          <w:sz w:val="16"/>
          <w:szCs w:val="16"/>
        </w:rPr>
        <w:softHyphen/>
        <w:t>нат (для засеки) до 20—36 гранат (для проволочной сети) [4, с. 375].</w:t>
      </w:r>
    </w:p>
    <w:p w14:paraId="69D19B2A"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В русской армии применяли еще ручные гранаты системы капи</w:t>
      </w:r>
      <w:r w:rsidRPr="00DE096C">
        <w:rPr>
          <w:bCs/>
          <w:color w:val="002060"/>
          <w:sz w:val="16"/>
          <w:szCs w:val="16"/>
        </w:rPr>
        <w:softHyphen/>
        <w:t>тана Новицкого и прапорщика Федорова, сконструированные ими в 1915 г. специально для разрушения искусственных препятствий. Применять эти гранаты для поражения людей запрещалось, так как при времени горения порохового замедлителя гранаты 12 с не иск</w:t>
      </w:r>
      <w:r w:rsidRPr="00DE096C">
        <w:rPr>
          <w:bCs/>
          <w:color w:val="002060"/>
          <w:sz w:val="16"/>
          <w:szCs w:val="16"/>
        </w:rPr>
        <w:softHyphen/>
        <w:t>лючена была возможность того, что неприятель успеет до взрыва гранаты бросить ее обратно. Фугасное действие этой гранаты было гораздо сильнее действия гранаты образца 1914 г.</w:t>
      </w:r>
    </w:p>
    <w:p w14:paraId="293A7C91"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Наряду с фугасными гранатами во время первой мировой войны применяли химические, дымовые и осветительные ручные гранаты.</w:t>
      </w:r>
    </w:p>
    <w:p w14:paraId="43C98624"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В русской армии применяли химическую гранату образца 1917 г. По устройству она ничем, за исключением снаряжения и размеров, не отличалась от русской гранаты образца 1914 г. Масса гранаты в полном снаряжении составляла 800 г, а масса отравляющего вещест</w:t>
      </w:r>
      <w:r w:rsidRPr="00DE096C">
        <w:rPr>
          <w:bCs/>
          <w:color w:val="002060"/>
          <w:sz w:val="16"/>
          <w:szCs w:val="16"/>
        </w:rPr>
        <w:softHyphen/>
        <w:t>ва в ней — 550 г 125, с. 22]. Весной 1917 г. ГАУ выслало в действую</w:t>
      </w:r>
      <w:r w:rsidRPr="00DE096C">
        <w:rPr>
          <w:bCs/>
          <w:color w:val="002060"/>
          <w:sz w:val="16"/>
          <w:szCs w:val="16"/>
        </w:rPr>
        <w:softHyphen/>
        <w:t>щую армию 100 тыс. химических ручных гранат. До этого в конце 1916г. на фронт были присланы для боевых испытаний 9 500 ручных стеклянных гранат, наполненных жидкими ОВ. Те и другие гранаты бросали на 20—30 м. Они оказались эффективными для непосред</w:t>
      </w:r>
      <w:r w:rsidRPr="00DE096C">
        <w:rPr>
          <w:bCs/>
          <w:color w:val="002060"/>
          <w:sz w:val="16"/>
          <w:szCs w:val="16"/>
        </w:rPr>
        <w:softHyphen/>
        <w:t>ственного отражения атак при обороне и особенно при отступлении, чтобы препятствовать преследованию противником [4, с. 318].</w:t>
      </w:r>
    </w:p>
    <w:p w14:paraId="252BE726"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В период первой мировой войны в русской армии применяли (см. табл. 1.19): французскую гранату образца 1915 г. марки Ф-1, английские гранаты типа Лемона (с терочным запалом) и типа Миллса, гранату немецкого образца (с терочным запалом).</w:t>
      </w:r>
    </w:p>
    <w:p w14:paraId="204F6F01"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Ружейные гранаты стали применять в русской армии с 1915 г., с переходом к позиционной войне. Использовали их главным образом для поражения людей осколками. При их применении следовало соблюдать много мер предосторожности, поэтому они не получили широкого распространения.</w:t>
      </w:r>
    </w:p>
    <w:p w14:paraId="226236CE"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На вооружении армии в 1915—1917 гг. состояли ружейные гра</w:t>
      </w:r>
      <w:r w:rsidRPr="00DE096C">
        <w:rPr>
          <w:bCs/>
          <w:color w:val="002060"/>
          <w:sz w:val="16"/>
          <w:szCs w:val="16"/>
        </w:rPr>
        <w:softHyphen/>
        <w:t>наты: образца 1915г. (длина без трубки и шомпола — 70 мм, с шом</w:t>
      </w:r>
      <w:r w:rsidRPr="00DE096C">
        <w:rPr>
          <w:bCs/>
          <w:color w:val="002060"/>
          <w:sz w:val="16"/>
          <w:szCs w:val="16"/>
        </w:rPr>
        <w:softHyphen/>
        <w:t>полом и трубкой — 470 мм); 2-го образца (длина без шомпола — 152 мм, с шомполом — 546 мм); системы полковника Зеленского; системы штабс-капитана Мгеброва (табл. 1.20) [4, с. 380; 8, с. 30— 35].</w:t>
      </w:r>
    </w:p>
    <w:p w14:paraId="2CDD5494"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Все гранаты шомпольные. Выстреливались они из винтовки спе</w:t>
      </w:r>
      <w:r w:rsidRPr="00DE096C">
        <w:rPr>
          <w:bCs/>
          <w:color w:val="002060"/>
          <w:sz w:val="16"/>
          <w:szCs w:val="16"/>
        </w:rPr>
        <w:softHyphen/>
        <w:t>циальными холостыми патронами. Шомпол (или хвост) длиной око ло 400 мм выполнял также роль стабилизатора, обеспечивающего правильный полет гранаты головкой вперед.</w:t>
      </w:r>
    </w:p>
    <w:p w14:paraId="42028024"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Кроме названных ружейных гранат в русской армии применяли еще 16-линейную (40,6-мм) ружейную мортирку, из которой стреля</w:t>
      </w:r>
      <w:r w:rsidRPr="00DE096C">
        <w:rPr>
          <w:bCs/>
          <w:color w:val="002060"/>
          <w:sz w:val="16"/>
          <w:szCs w:val="16"/>
        </w:rPr>
        <w:softHyphen/>
        <w:t>ли чугунными осколочными и осветительными гранатами. При стрельбе мортирку надевали на конец ствола винтовки. Для стрель</w:t>
      </w:r>
      <w:r w:rsidRPr="00DE096C">
        <w:rPr>
          <w:bCs/>
          <w:color w:val="002060"/>
          <w:sz w:val="16"/>
          <w:szCs w:val="16"/>
        </w:rPr>
        <w:softHyphen/>
        <w:t>бы из мортирок применяли специальные патроны.</w:t>
      </w:r>
    </w:p>
    <w:p w14:paraId="74FABEC4"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1.20. Основные характеристики ружейных гранат, состоявших на вооружении русской армии в 1915—1917 гг.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016"/>
        <w:gridCol w:w="758"/>
        <w:gridCol w:w="739"/>
        <w:gridCol w:w="787"/>
        <w:gridCol w:w="845"/>
      </w:tblGrid>
      <w:tr w:rsidR="000343AB" w:rsidRPr="00DE096C" w14:paraId="15BF6388" w14:textId="77777777" w:rsidTr="00D34AC1">
        <w:trPr>
          <w:trHeight w:val="288"/>
        </w:trPr>
        <w:tc>
          <w:tcPr>
            <w:tcW w:w="2016" w:type="dxa"/>
          </w:tcPr>
          <w:p w14:paraId="52754F4D"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Марка ружейной гранаты</w:t>
            </w:r>
          </w:p>
          <w:p w14:paraId="79701E9A" w14:textId="77777777" w:rsidR="000343AB" w:rsidRPr="00DE096C" w:rsidRDefault="000343AB" w:rsidP="00D45A46">
            <w:pPr>
              <w:shd w:val="clear" w:color="auto" w:fill="FFFFFF"/>
              <w:jc w:val="both"/>
              <w:rPr>
                <w:bCs/>
                <w:color w:val="002060"/>
                <w:sz w:val="16"/>
                <w:szCs w:val="16"/>
              </w:rPr>
            </w:pPr>
          </w:p>
        </w:tc>
        <w:tc>
          <w:tcPr>
            <w:tcW w:w="758" w:type="dxa"/>
          </w:tcPr>
          <w:p w14:paraId="5D52EDC8"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Общая</w:t>
            </w:r>
          </w:p>
          <w:p w14:paraId="51790AF7" w14:textId="77777777" w:rsidR="000343AB" w:rsidRPr="00DE096C" w:rsidRDefault="000343AB" w:rsidP="00D45A46">
            <w:pPr>
              <w:shd w:val="clear" w:color="auto" w:fill="FFFFFF"/>
              <w:jc w:val="both"/>
              <w:rPr>
                <w:bCs/>
                <w:color w:val="002060"/>
                <w:sz w:val="16"/>
                <w:szCs w:val="16"/>
              </w:rPr>
            </w:pPr>
          </w:p>
        </w:tc>
        <w:tc>
          <w:tcPr>
            <w:tcW w:w="739" w:type="dxa"/>
          </w:tcPr>
          <w:p w14:paraId="2BA6827E"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Масса</w:t>
            </w:r>
          </w:p>
          <w:p w14:paraId="2DE8F0AB" w14:textId="77777777" w:rsidR="000343AB" w:rsidRPr="00DE096C" w:rsidRDefault="000343AB" w:rsidP="00D45A46">
            <w:pPr>
              <w:shd w:val="clear" w:color="auto" w:fill="FFFFFF"/>
              <w:jc w:val="both"/>
              <w:rPr>
                <w:bCs/>
                <w:color w:val="002060"/>
                <w:sz w:val="16"/>
                <w:szCs w:val="16"/>
              </w:rPr>
            </w:pPr>
          </w:p>
        </w:tc>
        <w:tc>
          <w:tcPr>
            <w:tcW w:w="787" w:type="dxa"/>
          </w:tcPr>
          <w:p w14:paraId="5C65A23E"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Число</w:t>
            </w:r>
          </w:p>
          <w:p w14:paraId="420E015C" w14:textId="77777777" w:rsidR="000343AB" w:rsidRPr="00DE096C" w:rsidRDefault="000343AB" w:rsidP="00D45A46">
            <w:pPr>
              <w:shd w:val="clear" w:color="auto" w:fill="FFFFFF"/>
              <w:jc w:val="both"/>
              <w:rPr>
                <w:bCs/>
                <w:color w:val="002060"/>
                <w:sz w:val="16"/>
                <w:szCs w:val="16"/>
              </w:rPr>
            </w:pPr>
          </w:p>
        </w:tc>
        <w:tc>
          <w:tcPr>
            <w:tcW w:w="845" w:type="dxa"/>
          </w:tcPr>
          <w:p w14:paraId="2E570249"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Даль-</w:t>
            </w:r>
          </w:p>
          <w:p w14:paraId="5AFF7885" w14:textId="77777777" w:rsidR="000343AB" w:rsidRPr="00DE096C" w:rsidRDefault="000343AB" w:rsidP="00D45A46">
            <w:pPr>
              <w:shd w:val="clear" w:color="auto" w:fill="FFFFFF"/>
              <w:jc w:val="both"/>
              <w:rPr>
                <w:bCs/>
                <w:color w:val="002060"/>
                <w:sz w:val="16"/>
                <w:szCs w:val="16"/>
              </w:rPr>
            </w:pPr>
          </w:p>
        </w:tc>
      </w:tr>
      <w:tr w:rsidR="000343AB" w:rsidRPr="00DE096C" w14:paraId="0106BC6A" w14:textId="77777777" w:rsidTr="00D34AC1">
        <w:trPr>
          <w:trHeight w:val="134"/>
        </w:trPr>
        <w:tc>
          <w:tcPr>
            <w:tcW w:w="2016" w:type="dxa"/>
          </w:tcPr>
          <w:p w14:paraId="6A5A0A62" w14:textId="77777777" w:rsidR="000343AB" w:rsidRPr="00DE096C" w:rsidRDefault="000343AB" w:rsidP="00D45A46">
            <w:pPr>
              <w:shd w:val="clear" w:color="auto" w:fill="FFFFFF"/>
              <w:jc w:val="both"/>
              <w:rPr>
                <w:bCs/>
                <w:color w:val="002060"/>
                <w:sz w:val="16"/>
                <w:szCs w:val="16"/>
              </w:rPr>
            </w:pPr>
          </w:p>
          <w:p w14:paraId="1B4D315D" w14:textId="77777777" w:rsidR="000343AB" w:rsidRPr="00DE096C" w:rsidRDefault="000343AB" w:rsidP="00D45A46">
            <w:pPr>
              <w:shd w:val="clear" w:color="auto" w:fill="FFFFFF"/>
              <w:jc w:val="both"/>
              <w:rPr>
                <w:bCs/>
                <w:color w:val="002060"/>
                <w:sz w:val="16"/>
                <w:szCs w:val="16"/>
              </w:rPr>
            </w:pPr>
          </w:p>
        </w:tc>
        <w:tc>
          <w:tcPr>
            <w:tcW w:w="758" w:type="dxa"/>
          </w:tcPr>
          <w:p w14:paraId="7B6B7581"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масса, г</w:t>
            </w:r>
          </w:p>
          <w:p w14:paraId="6487C2F5" w14:textId="77777777" w:rsidR="000343AB" w:rsidRPr="00DE096C" w:rsidRDefault="000343AB" w:rsidP="00D45A46">
            <w:pPr>
              <w:shd w:val="clear" w:color="auto" w:fill="FFFFFF"/>
              <w:jc w:val="both"/>
              <w:rPr>
                <w:bCs/>
                <w:color w:val="002060"/>
                <w:sz w:val="16"/>
                <w:szCs w:val="16"/>
              </w:rPr>
            </w:pPr>
          </w:p>
        </w:tc>
        <w:tc>
          <w:tcPr>
            <w:tcW w:w="739" w:type="dxa"/>
          </w:tcPr>
          <w:p w14:paraId="474F1CD3"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заряда</w:t>
            </w:r>
          </w:p>
          <w:p w14:paraId="4111B31A" w14:textId="77777777" w:rsidR="000343AB" w:rsidRPr="00DE096C" w:rsidRDefault="000343AB" w:rsidP="00D45A46">
            <w:pPr>
              <w:shd w:val="clear" w:color="auto" w:fill="FFFFFF"/>
              <w:jc w:val="both"/>
              <w:rPr>
                <w:bCs/>
                <w:color w:val="002060"/>
                <w:sz w:val="16"/>
                <w:szCs w:val="16"/>
              </w:rPr>
            </w:pPr>
          </w:p>
        </w:tc>
        <w:tc>
          <w:tcPr>
            <w:tcW w:w="787" w:type="dxa"/>
          </w:tcPr>
          <w:p w14:paraId="5F10CE3A"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осколков</w:t>
            </w:r>
          </w:p>
          <w:p w14:paraId="22C4627C" w14:textId="77777777" w:rsidR="000343AB" w:rsidRPr="00DE096C" w:rsidRDefault="000343AB" w:rsidP="00D45A46">
            <w:pPr>
              <w:shd w:val="clear" w:color="auto" w:fill="FFFFFF"/>
              <w:jc w:val="both"/>
              <w:rPr>
                <w:bCs/>
                <w:color w:val="002060"/>
                <w:sz w:val="16"/>
                <w:szCs w:val="16"/>
              </w:rPr>
            </w:pPr>
          </w:p>
        </w:tc>
        <w:tc>
          <w:tcPr>
            <w:tcW w:w="845" w:type="dxa"/>
          </w:tcPr>
          <w:p w14:paraId="6302F999"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ность</w:t>
            </w:r>
          </w:p>
          <w:p w14:paraId="042E5886" w14:textId="77777777" w:rsidR="000343AB" w:rsidRPr="00DE096C" w:rsidRDefault="000343AB" w:rsidP="00D45A46">
            <w:pPr>
              <w:shd w:val="clear" w:color="auto" w:fill="FFFFFF"/>
              <w:jc w:val="both"/>
              <w:rPr>
                <w:bCs/>
                <w:color w:val="002060"/>
                <w:sz w:val="16"/>
                <w:szCs w:val="16"/>
              </w:rPr>
            </w:pPr>
          </w:p>
        </w:tc>
      </w:tr>
      <w:tr w:rsidR="000343AB" w:rsidRPr="00DE096C" w14:paraId="65CA2235" w14:textId="77777777" w:rsidTr="00D34AC1">
        <w:trPr>
          <w:trHeight w:val="173"/>
        </w:trPr>
        <w:tc>
          <w:tcPr>
            <w:tcW w:w="2016" w:type="dxa"/>
          </w:tcPr>
          <w:p w14:paraId="7A76D6AB" w14:textId="77777777" w:rsidR="000343AB" w:rsidRPr="00DE096C" w:rsidRDefault="000343AB" w:rsidP="00D45A46">
            <w:pPr>
              <w:shd w:val="clear" w:color="auto" w:fill="FFFFFF"/>
              <w:jc w:val="both"/>
              <w:rPr>
                <w:bCs/>
                <w:color w:val="002060"/>
                <w:sz w:val="16"/>
                <w:szCs w:val="16"/>
              </w:rPr>
            </w:pPr>
          </w:p>
          <w:p w14:paraId="3C1645C0" w14:textId="77777777" w:rsidR="000343AB" w:rsidRPr="00DE096C" w:rsidRDefault="000343AB" w:rsidP="00D45A46">
            <w:pPr>
              <w:shd w:val="clear" w:color="auto" w:fill="FFFFFF"/>
              <w:jc w:val="both"/>
              <w:rPr>
                <w:bCs/>
                <w:color w:val="002060"/>
                <w:sz w:val="16"/>
                <w:szCs w:val="16"/>
              </w:rPr>
            </w:pPr>
          </w:p>
        </w:tc>
        <w:tc>
          <w:tcPr>
            <w:tcW w:w="758" w:type="dxa"/>
          </w:tcPr>
          <w:p w14:paraId="3D7E9DDC" w14:textId="77777777" w:rsidR="000343AB" w:rsidRPr="00DE096C" w:rsidRDefault="000343AB" w:rsidP="00D45A46">
            <w:pPr>
              <w:shd w:val="clear" w:color="auto" w:fill="FFFFFF"/>
              <w:jc w:val="both"/>
              <w:rPr>
                <w:bCs/>
                <w:color w:val="002060"/>
                <w:sz w:val="16"/>
                <w:szCs w:val="16"/>
              </w:rPr>
            </w:pPr>
          </w:p>
          <w:p w14:paraId="3D7AC2DC" w14:textId="77777777" w:rsidR="000343AB" w:rsidRPr="00DE096C" w:rsidRDefault="000343AB" w:rsidP="00D45A46">
            <w:pPr>
              <w:shd w:val="clear" w:color="auto" w:fill="FFFFFF"/>
              <w:jc w:val="both"/>
              <w:rPr>
                <w:bCs/>
                <w:color w:val="002060"/>
                <w:sz w:val="16"/>
                <w:szCs w:val="16"/>
              </w:rPr>
            </w:pPr>
          </w:p>
        </w:tc>
        <w:tc>
          <w:tcPr>
            <w:tcW w:w="739" w:type="dxa"/>
          </w:tcPr>
          <w:p w14:paraId="299245C5"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ВВ, г</w:t>
            </w:r>
          </w:p>
          <w:p w14:paraId="6B8B53DB" w14:textId="77777777" w:rsidR="000343AB" w:rsidRPr="00DE096C" w:rsidRDefault="000343AB" w:rsidP="00D45A46">
            <w:pPr>
              <w:shd w:val="clear" w:color="auto" w:fill="FFFFFF"/>
              <w:jc w:val="both"/>
              <w:rPr>
                <w:bCs/>
                <w:color w:val="002060"/>
                <w:sz w:val="16"/>
                <w:szCs w:val="16"/>
              </w:rPr>
            </w:pPr>
          </w:p>
        </w:tc>
        <w:tc>
          <w:tcPr>
            <w:tcW w:w="787" w:type="dxa"/>
          </w:tcPr>
          <w:p w14:paraId="5B1CE8BA" w14:textId="77777777" w:rsidR="000343AB" w:rsidRPr="00DE096C" w:rsidRDefault="000343AB" w:rsidP="00D45A46">
            <w:pPr>
              <w:shd w:val="clear" w:color="auto" w:fill="FFFFFF"/>
              <w:jc w:val="both"/>
              <w:rPr>
                <w:bCs/>
                <w:color w:val="002060"/>
                <w:sz w:val="16"/>
                <w:szCs w:val="16"/>
              </w:rPr>
            </w:pPr>
          </w:p>
          <w:p w14:paraId="7F18FE42" w14:textId="77777777" w:rsidR="000343AB" w:rsidRPr="00DE096C" w:rsidRDefault="000343AB" w:rsidP="00D45A46">
            <w:pPr>
              <w:shd w:val="clear" w:color="auto" w:fill="FFFFFF"/>
              <w:jc w:val="both"/>
              <w:rPr>
                <w:bCs/>
                <w:color w:val="002060"/>
                <w:sz w:val="16"/>
                <w:szCs w:val="16"/>
              </w:rPr>
            </w:pPr>
          </w:p>
        </w:tc>
        <w:tc>
          <w:tcPr>
            <w:tcW w:w="845" w:type="dxa"/>
          </w:tcPr>
          <w:p w14:paraId="7CDF303F"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стрельбы,</w:t>
            </w:r>
          </w:p>
          <w:p w14:paraId="194ACDE9" w14:textId="77777777" w:rsidR="000343AB" w:rsidRPr="00DE096C" w:rsidRDefault="000343AB" w:rsidP="00D45A46">
            <w:pPr>
              <w:shd w:val="clear" w:color="auto" w:fill="FFFFFF"/>
              <w:jc w:val="both"/>
              <w:rPr>
                <w:bCs/>
                <w:color w:val="002060"/>
                <w:sz w:val="16"/>
                <w:szCs w:val="16"/>
              </w:rPr>
            </w:pPr>
          </w:p>
        </w:tc>
      </w:tr>
      <w:tr w:rsidR="000343AB" w:rsidRPr="00DE096C" w14:paraId="383C6228" w14:textId="77777777" w:rsidTr="00D34AC1">
        <w:trPr>
          <w:trHeight w:val="288"/>
        </w:trPr>
        <w:tc>
          <w:tcPr>
            <w:tcW w:w="2016" w:type="dxa"/>
          </w:tcPr>
          <w:p w14:paraId="168F3ECC" w14:textId="77777777" w:rsidR="000343AB" w:rsidRPr="00DE096C" w:rsidRDefault="000343AB" w:rsidP="00D45A46">
            <w:pPr>
              <w:shd w:val="clear" w:color="auto" w:fill="FFFFFF"/>
              <w:jc w:val="both"/>
              <w:rPr>
                <w:bCs/>
                <w:color w:val="002060"/>
                <w:sz w:val="16"/>
                <w:szCs w:val="16"/>
              </w:rPr>
            </w:pPr>
          </w:p>
          <w:p w14:paraId="1068CF09" w14:textId="77777777" w:rsidR="000343AB" w:rsidRPr="00DE096C" w:rsidRDefault="000343AB" w:rsidP="00D45A46">
            <w:pPr>
              <w:shd w:val="clear" w:color="auto" w:fill="FFFFFF"/>
              <w:jc w:val="both"/>
              <w:rPr>
                <w:bCs/>
                <w:color w:val="002060"/>
                <w:sz w:val="16"/>
                <w:szCs w:val="16"/>
              </w:rPr>
            </w:pPr>
          </w:p>
        </w:tc>
        <w:tc>
          <w:tcPr>
            <w:tcW w:w="758" w:type="dxa"/>
          </w:tcPr>
          <w:p w14:paraId="1FDB4538" w14:textId="77777777" w:rsidR="000343AB" w:rsidRPr="00DE096C" w:rsidRDefault="000343AB" w:rsidP="00D45A46">
            <w:pPr>
              <w:shd w:val="clear" w:color="auto" w:fill="FFFFFF"/>
              <w:jc w:val="both"/>
              <w:rPr>
                <w:bCs/>
                <w:color w:val="002060"/>
                <w:sz w:val="16"/>
                <w:szCs w:val="16"/>
              </w:rPr>
            </w:pPr>
          </w:p>
          <w:p w14:paraId="39FB2A9E" w14:textId="77777777" w:rsidR="000343AB" w:rsidRPr="00DE096C" w:rsidRDefault="000343AB" w:rsidP="00D45A46">
            <w:pPr>
              <w:shd w:val="clear" w:color="auto" w:fill="FFFFFF"/>
              <w:jc w:val="both"/>
              <w:rPr>
                <w:bCs/>
                <w:color w:val="002060"/>
                <w:sz w:val="16"/>
                <w:szCs w:val="16"/>
              </w:rPr>
            </w:pPr>
          </w:p>
        </w:tc>
        <w:tc>
          <w:tcPr>
            <w:tcW w:w="739" w:type="dxa"/>
          </w:tcPr>
          <w:p w14:paraId="739ECEDB" w14:textId="77777777" w:rsidR="000343AB" w:rsidRPr="00DE096C" w:rsidRDefault="000343AB" w:rsidP="00D45A46">
            <w:pPr>
              <w:shd w:val="clear" w:color="auto" w:fill="FFFFFF"/>
              <w:jc w:val="both"/>
              <w:rPr>
                <w:bCs/>
                <w:color w:val="002060"/>
                <w:sz w:val="16"/>
                <w:szCs w:val="16"/>
              </w:rPr>
            </w:pPr>
          </w:p>
          <w:p w14:paraId="2E729122" w14:textId="77777777" w:rsidR="000343AB" w:rsidRPr="00DE096C" w:rsidRDefault="000343AB" w:rsidP="00D45A46">
            <w:pPr>
              <w:shd w:val="clear" w:color="auto" w:fill="FFFFFF"/>
              <w:jc w:val="both"/>
              <w:rPr>
                <w:bCs/>
                <w:color w:val="002060"/>
                <w:sz w:val="16"/>
                <w:szCs w:val="16"/>
              </w:rPr>
            </w:pPr>
          </w:p>
        </w:tc>
        <w:tc>
          <w:tcPr>
            <w:tcW w:w="787" w:type="dxa"/>
          </w:tcPr>
          <w:p w14:paraId="7C369CA4" w14:textId="77777777" w:rsidR="000343AB" w:rsidRPr="00DE096C" w:rsidRDefault="000343AB" w:rsidP="00D45A46">
            <w:pPr>
              <w:shd w:val="clear" w:color="auto" w:fill="FFFFFF"/>
              <w:jc w:val="both"/>
              <w:rPr>
                <w:bCs/>
                <w:color w:val="002060"/>
                <w:sz w:val="16"/>
                <w:szCs w:val="16"/>
              </w:rPr>
            </w:pPr>
          </w:p>
          <w:p w14:paraId="562430DE" w14:textId="77777777" w:rsidR="000343AB" w:rsidRPr="00DE096C" w:rsidRDefault="000343AB" w:rsidP="00D45A46">
            <w:pPr>
              <w:shd w:val="clear" w:color="auto" w:fill="FFFFFF"/>
              <w:jc w:val="both"/>
              <w:rPr>
                <w:bCs/>
                <w:color w:val="002060"/>
                <w:sz w:val="16"/>
                <w:szCs w:val="16"/>
              </w:rPr>
            </w:pPr>
          </w:p>
        </w:tc>
        <w:tc>
          <w:tcPr>
            <w:tcW w:w="845" w:type="dxa"/>
          </w:tcPr>
          <w:p w14:paraId="4573A710"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шаги</w:t>
            </w:r>
            <w:r w:rsidRPr="00DE096C">
              <w:rPr>
                <w:bCs/>
                <w:color w:val="002060"/>
                <w:sz w:val="16"/>
                <w:szCs w:val="16"/>
                <w:vertAlign w:val="superscript"/>
              </w:rPr>
              <w:t>1</w:t>
            </w:r>
          </w:p>
          <w:p w14:paraId="00DCF8AB" w14:textId="77777777" w:rsidR="000343AB" w:rsidRPr="00DE096C" w:rsidRDefault="000343AB" w:rsidP="00D45A46">
            <w:pPr>
              <w:shd w:val="clear" w:color="auto" w:fill="FFFFFF"/>
              <w:jc w:val="both"/>
              <w:rPr>
                <w:bCs/>
                <w:color w:val="002060"/>
                <w:sz w:val="16"/>
                <w:szCs w:val="16"/>
              </w:rPr>
            </w:pPr>
          </w:p>
        </w:tc>
      </w:tr>
      <w:tr w:rsidR="000343AB" w:rsidRPr="00DE096C" w14:paraId="58772A6D" w14:textId="77777777" w:rsidTr="00D34AC1">
        <w:trPr>
          <w:trHeight w:val="250"/>
        </w:trPr>
        <w:tc>
          <w:tcPr>
            <w:tcW w:w="2016" w:type="dxa"/>
          </w:tcPr>
          <w:p w14:paraId="7F8E6E8C"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Образца 1915 г.</w:t>
            </w:r>
          </w:p>
          <w:p w14:paraId="1633EA3F" w14:textId="77777777" w:rsidR="000343AB" w:rsidRPr="00DE096C" w:rsidRDefault="000343AB" w:rsidP="00D45A46">
            <w:pPr>
              <w:shd w:val="clear" w:color="auto" w:fill="FFFFFF"/>
              <w:jc w:val="both"/>
              <w:rPr>
                <w:bCs/>
                <w:color w:val="002060"/>
                <w:sz w:val="16"/>
                <w:szCs w:val="16"/>
              </w:rPr>
            </w:pPr>
          </w:p>
        </w:tc>
        <w:tc>
          <w:tcPr>
            <w:tcW w:w="758" w:type="dxa"/>
          </w:tcPr>
          <w:p w14:paraId="60AE3040"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615</w:t>
            </w:r>
          </w:p>
          <w:p w14:paraId="157DFE64" w14:textId="77777777" w:rsidR="000343AB" w:rsidRPr="00DE096C" w:rsidRDefault="000343AB" w:rsidP="00D45A46">
            <w:pPr>
              <w:shd w:val="clear" w:color="auto" w:fill="FFFFFF"/>
              <w:jc w:val="both"/>
              <w:rPr>
                <w:bCs/>
                <w:color w:val="002060"/>
                <w:sz w:val="16"/>
                <w:szCs w:val="16"/>
              </w:rPr>
            </w:pPr>
          </w:p>
        </w:tc>
        <w:tc>
          <w:tcPr>
            <w:tcW w:w="739" w:type="dxa"/>
          </w:tcPr>
          <w:p w14:paraId="1D94EE77"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130</w:t>
            </w:r>
          </w:p>
          <w:p w14:paraId="758CFE2E" w14:textId="77777777" w:rsidR="000343AB" w:rsidRPr="00DE096C" w:rsidRDefault="000343AB" w:rsidP="00D45A46">
            <w:pPr>
              <w:shd w:val="clear" w:color="auto" w:fill="FFFFFF"/>
              <w:jc w:val="both"/>
              <w:rPr>
                <w:bCs/>
                <w:color w:val="002060"/>
                <w:sz w:val="16"/>
                <w:szCs w:val="16"/>
              </w:rPr>
            </w:pPr>
          </w:p>
        </w:tc>
        <w:tc>
          <w:tcPr>
            <w:tcW w:w="787" w:type="dxa"/>
          </w:tcPr>
          <w:p w14:paraId="3D001855"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300</w:t>
            </w:r>
          </w:p>
          <w:p w14:paraId="47B244D4" w14:textId="77777777" w:rsidR="000343AB" w:rsidRPr="00DE096C" w:rsidRDefault="000343AB" w:rsidP="00D45A46">
            <w:pPr>
              <w:shd w:val="clear" w:color="auto" w:fill="FFFFFF"/>
              <w:jc w:val="both"/>
              <w:rPr>
                <w:bCs/>
                <w:color w:val="002060"/>
                <w:sz w:val="16"/>
                <w:szCs w:val="16"/>
              </w:rPr>
            </w:pPr>
          </w:p>
        </w:tc>
        <w:tc>
          <w:tcPr>
            <w:tcW w:w="845" w:type="dxa"/>
          </w:tcPr>
          <w:p w14:paraId="1D074B97"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220</w:t>
            </w:r>
          </w:p>
          <w:p w14:paraId="3BEB99C7" w14:textId="77777777" w:rsidR="000343AB" w:rsidRPr="00DE096C" w:rsidRDefault="000343AB" w:rsidP="00D45A46">
            <w:pPr>
              <w:shd w:val="clear" w:color="auto" w:fill="FFFFFF"/>
              <w:jc w:val="both"/>
              <w:rPr>
                <w:bCs/>
                <w:color w:val="002060"/>
                <w:sz w:val="16"/>
                <w:szCs w:val="16"/>
              </w:rPr>
            </w:pPr>
          </w:p>
        </w:tc>
      </w:tr>
      <w:tr w:rsidR="000343AB" w:rsidRPr="00DE096C" w14:paraId="4DE5C001" w14:textId="77777777" w:rsidTr="00D34AC1">
        <w:trPr>
          <w:trHeight w:val="173"/>
        </w:trPr>
        <w:tc>
          <w:tcPr>
            <w:tcW w:w="2016" w:type="dxa"/>
          </w:tcPr>
          <w:p w14:paraId="6EA38E35"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2-го образца</w:t>
            </w:r>
          </w:p>
          <w:p w14:paraId="139375B4" w14:textId="77777777" w:rsidR="000343AB" w:rsidRPr="00DE096C" w:rsidRDefault="000343AB" w:rsidP="00D45A46">
            <w:pPr>
              <w:shd w:val="clear" w:color="auto" w:fill="FFFFFF"/>
              <w:jc w:val="both"/>
              <w:rPr>
                <w:bCs/>
                <w:color w:val="002060"/>
                <w:sz w:val="16"/>
                <w:szCs w:val="16"/>
              </w:rPr>
            </w:pPr>
          </w:p>
        </w:tc>
        <w:tc>
          <w:tcPr>
            <w:tcW w:w="758" w:type="dxa"/>
          </w:tcPr>
          <w:p w14:paraId="1B1723FA"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750</w:t>
            </w:r>
          </w:p>
          <w:p w14:paraId="61CC0064" w14:textId="77777777" w:rsidR="000343AB" w:rsidRPr="00DE096C" w:rsidRDefault="000343AB" w:rsidP="00D45A46">
            <w:pPr>
              <w:shd w:val="clear" w:color="auto" w:fill="FFFFFF"/>
              <w:jc w:val="both"/>
              <w:rPr>
                <w:bCs/>
                <w:color w:val="002060"/>
                <w:sz w:val="16"/>
                <w:szCs w:val="16"/>
              </w:rPr>
            </w:pPr>
          </w:p>
        </w:tc>
        <w:tc>
          <w:tcPr>
            <w:tcW w:w="739" w:type="dxa"/>
          </w:tcPr>
          <w:p w14:paraId="6A37DC9C"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30</w:t>
            </w:r>
          </w:p>
          <w:p w14:paraId="7C17362B" w14:textId="77777777" w:rsidR="000343AB" w:rsidRPr="00DE096C" w:rsidRDefault="000343AB" w:rsidP="00D45A46">
            <w:pPr>
              <w:shd w:val="clear" w:color="auto" w:fill="FFFFFF"/>
              <w:jc w:val="both"/>
              <w:rPr>
                <w:bCs/>
                <w:color w:val="002060"/>
                <w:sz w:val="16"/>
                <w:szCs w:val="16"/>
              </w:rPr>
            </w:pPr>
          </w:p>
        </w:tc>
        <w:tc>
          <w:tcPr>
            <w:tcW w:w="787" w:type="dxa"/>
          </w:tcPr>
          <w:p w14:paraId="2186063C"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200</w:t>
            </w:r>
          </w:p>
          <w:p w14:paraId="2DA9F3F4" w14:textId="77777777" w:rsidR="000343AB" w:rsidRPr="00DE096C" w:rsidRDefault="000343AB" w:rsidP="00D45A46">
            <w:pPr>
              <w:shd w:val="clear" w:color="auto" w:fill="FFFFFF"/>
              <w:jc w:val="both"/>
              <w:rPr>
                <w:bCs/>
                <w:color w:val="002060"/>
                <w:sz w:val="16"/>
                <w:szCs w:val="16"/>
              </w:rPr>
            </w:pPr>
          </w:p>
        </w:tc>
        <w:tc>
          <w:tcPr>
            <w:tcW w:w="845" w:type="dxa"/>
          </w:tcPr>
          <w:p w14:paraId="6C00AE68"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260</w:t>
            </w:r>
          </w:p>
          <w:p w14:paraId="712FB2A8" w14:textId="77777777" w:rsidR="000343AB" w:rsidRPr="00DE096C" w:rsidRDefault="000343AB" w:rsidP="00D45A46">
            <w:pPr>
              <w:shd w:val="clear" w:color="auto" w:fill="FFFFFF"/>
              <w:jc w:val="both"/>
              <w:rPr>
                <w:bCs/>
                <w:color w:val="002060"/>
                <w:sz w:val="16"/>
                <w:szCs w:val="16"/>
              </w:rPr>
            </w:pPr>
          </w:p>
        </w:tc>
      </w:tr>
      <w:tr w:rsidR="000343AB" w:rsidRPr="00DE096C" w14:paraId="27E8CCF6" w14:textId="77777777" w:rsidTr="00D34AC1">
        <w:trPr>
          <w:trHeight w:val="154"/>
        </w:trPr>
        <w:tc>
          <w:tcPr>
            <w:tcW w:w="2016" w:type="dxa"/>
          </w:tcPr>
          <w:p w14:paraId="0203D2A4"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Системы Зеленского</w:t>
            </w:r>
          </w:p>
          <w:p w14:paraId="67B47CBF" w14:textId="77777777" w:rsidR="000343AB" w:rsidRPr="00DE096C" w:rsidRDefault="000343AB" w:rsidP="00D45A46">
            <w:pPr>
              <w:shd w:val="clear" w:color="auto" w:fill="FFFFFF"/>
              <w:jc w:val="both"/>
              <w:rPr>
                <w:bCs/>
                <w:color w:val="002060"/>
                <w:sz w:val="16"/>
                <w:szCs w:val="16"/>
              </w:rPr>
            </w:pPr>
          </w:p>
        </w:tc>
        <w:tc>
          <w:tcPr>
            <w:tcW w:w="758" w:type="dxa"/>
          </w:tcPr>
          <w:p w14:paraId="12229AD0"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930</w:t>
            </w:r>
          </w:p>
          <w:p w14:paraId="5499C580" w14:textId="77777777" w:rsidR="000343AB" w:rsidRPr="00DE096C" w:rsidRDefault="000343AB" w:rsidP="00D45A46">
            <w:pPr>
              <w:shd w:val="clear" w:color="auto" w:fill="FFFFFF"/>
              <w:jc w:val="both"/>
              <w:rPr>
                <w:bCs/>
                <w:color w:val="002060"/>
                <w:sz w:val="16"/>
                <w:szCs w:val="16"/>
              </w:rPr>
            </w:pPr>
          </w:p>
        </w:tc>
        <w:tc>
          <w:tcPr>
            <w:tcW w:w="739" w:type="dxa"/>
          </w:tcPr>
          <w:p w14:paraId="2A3A9239"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50</w:t>
            </w:r>
          </w:p>
          <w:p w14:paraId="24085C91" w14:textId="77777777" w:rsidR="000343AB" w:rsidRPr="00DE096C" w:rsidRDefault="000343AB" w:rsidP="00D45A46">
            <w:pPr>
              <w:shd w:val="clear" w:color="auto" w:fill="FFFFFF"/>
              <w:jc w:val="both"/>
              <w:rPr>
                <w:bCs/>
                <w:color w:val="002060"/>
                <w:sz w:val="16"/>
                <w:szCs w:val="16"/>
              </w:rPr>
            </w:pPr>
          </w:p>
        </w:tc>
        <w:tc>
          <w:tcPr>
            <w:tcW w:w="787" w:type="dxa"/>
          </w:tcPr>
          <w:p w14:paraId="6FD3E191"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w:t>
            </w:r>
          </w:p>
          <w:p w14:paraId="2E816F0A" w14:textId="77777777" w:rsidR="000343AB" w:rsidRPr="00DE096C" w:rsidRDefault="000343AB" w:rsidP="00D45A46">
            <w:pPr>
              <w:shd w:val="clear" w:color="auto" w:fill="FFFFFF"/>
              <w:jc w:val="both"/>
              <w:rPr>
                <w:bCs/>
                <w:color w:val="002060"/>
                <w:sz w:val="16"/>
                <w:szCs w:val="16"/>
              </w:rPr>
            </w:pPr>
          </w:p>
        </w:tc>
        <w:tc>
          <w:tcPr>
            <w:tcW w:w="845" w:type="dxa"/>
          </w:tcPr>
          <w:p w14:paraId="368D93BF"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350</w:t>
            </w:r>
          </w:p>
          <w:p w14:paraId="7069DA4E" w14:textId="77777777" w:rsidR="000343AB" w:rsidRPr="00DE096C" w:rsidRDefault="000343AB" w:rsidP="00D45A46">
            <w:pPr>
              <w:shd w:val="clear" w:color="auto" w:fill="FFFFFF"/>
              <w:jc w:val="both"/>
              <w:rPr>
                <w:bCs/>
                <w:color w:val="002060"/>
                <w:sz w:val="16"/>
                <w:szCs w:val="16"/>
              </w:rPr>
            </w:pPr>
          </w:p>
        </w:tc>
      </w:tr>
      <w:tr w:rsidR="000343AB" w:rsidRPr="00DE096C" w14:paraId="7BB62734" w14:textId="77777777" w:rsidTr="00D34AC1">
        <w:trPr>
          <w:trHeight w:val="182"/>
        </w:trPr>
        <w:tc>
          <w:tcPr>
            <w:tcW w:w="2016" w:type="dxa"/>
          </w:tcPr>
          <w:p w14:paraId="290BBF21"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Системы Мгеброва</w:t>
            </w:r>
          </w:p>
          <w:p w14:paraId="42B00C96" w14:textId="77777777" w:rsidR="000343AB" w:rsidRPr="00DE096C" w:rsidRDefault="000343AB" w:rsidP="00D45A46">
            <w:pPr>
              <w:shd w:val="clear" w:color="auto" w:fill="FFFFFF"/>
              <w:jc w:val="both"/>
              <w:rPr>
                <w:bCs/>
                <w:color w:val="002060"/>
                <w:sz w:val="16"/>
                <w:szCs w:val="16"/>
              </w:rPr>
            </w:pPr>
          </w:p>
        </w:tc>
        <w:tc>
          <w:tcPr>
            <w:tcW w:w="758" w:type="dxa"/>
          </w:tcPr>
          <w:p w14:paraId="76DFA7C9"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480</w:t>
            </w:r>
          </w:p>
          <w:p w14:paraId="7D34CD4A" w14:textId="77777777" w:rsidR="000343AB" w:rsidRPr="00DE096C" w:rsidRDefault="000343AB" w:rsidP="00D45A46">
            <w:pPr>
              <w:shd w:val="clear" w:color="auto" w:fill="FFFFFF"/>
              <w:jc w:val="both"/>
              <w:rPr>
                <w:bCs/>
                <w:color w:val="002060"/>
                <w:sz w:val="16"/>
                <w:szCs w:val="16"/>
              </w:rPr>
            </w:pPr>
          </w:p>
        </w:tc>
        <w:tc>
          <w:tcPr>
            <w:tcW w:w="739" w:type="dxa"/>
          </w:tcPr>
          <w:p w14:paraId="6DB49913"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70</w:t>
            </w:r>
          </w:p>
          <w:p w14:paraId="44615E38" w14:textId="77777777" w:rsidR="000343AB" w:rsidRPr="00DE096C" w:rsidRDefault="000343AB" w:rsidP="00D45A46">
            <w:pPr>
              <w:shd w:val="clear" w:color="auto" w:fill="FFFFFF"/>
              <w:jc w:val="both"/>
              <w:rPr>
                <w:bCs/>
                <w:color w:val="002060"/>
                <w:sz w:val="16"/>
                <w:szCs w:val="16"/>
              </w:rPr>
            </w:pPr>
          </w:p>
        </w:tc>
        <w:tc>
          <w:tcPr>
            <w:tcW w:w="787" w:type="dxa"/>
          </w:tcPr>
          <w:p w14:paraId="66686EF8"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200</w:t>
            </w:r>
          </w:p>
          <w:p w14:paraId="4F761E1F" w14:textId="77777777" w:rsidR="000343AB" w:rsidRPr="00DE096C" w:rsidRDefault="000343AB" w:rsidP="00D45A46">
            <w:pPr>
              <w:shd w:val="clear" w:color="auto" w:fill="FFFFFF"/>
              <w:jc w:val="both"/>
              <w:rPr>
                <w:bCs/>
                <w:color w:val="002060"/>
                <w:sz w:val="16"/>
                <w:szCs w:val="16"/>
              </w:rPr>
            </w:pPr>
          </w:p>
        </w:tc>
        <w:tc>
          <w:tcPr>
            <w:tcW w:w="845" w:type="dxa"/>
          </w:tcPr>
          <w:p w14:paraId="016E7909"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400</w:t>
            </w:r>
          </w:p>
          <w:p w14:paraId="062605B8" w14:textId="77777777" w:rsidR="000343AB" w:rsidRPr="00DE096C" w:rsidRDefault="000343AB" w:rsidP="00D45A46">
            <w:pPr>
              <w:shd w:val="clear" w:color="auto" w:fill="FFFFFF"/>
              <w:jc w:val="both"/>
              <w:rPr>
                <w:bCs/>
                <w:color w:val="002060"/>
                <w:sz w:val="16"/>
                <w:szCs w:val="16"/>
              </w:rPr>
            </w:pPr>
          </w:p>
        </w:tc>
      </w:tr>
      <w:tr w:rsidR="000343AB" w:rsidRPr="00DE096C" w14:paraId="0DE44223" w14:textId="77777777" w:rsidTr="00D34AC1">
        <w:trPr>
          <w:trHeight w:val="192"/>
        </w:trPr>
        <w:tc>
          <w:tcPr>
            <w:tcW w:w="2016" w:type="dxa"/>
          </w:tcPr>
          <w:p w14:paraId="160AE68B"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Чугунная осколочная</w:t>
            </w:r>
          </w:p>
          <w:p w14:paraId="3B3B2542" w14:textId="77777777" w:rsidR="000343AB" w:rsidRPr="00DE096C" w:rsidRDefault="000343AB" w:rsidP="00D45A46">
            <w:pPr>
              <w:shd w:val="clear" w:color="auto" w:fill="FFFFFF"/>
              <w:jc w:val="both"/>
              <w:rPr>
                <w:bCs/>
                <w:color w:val="002060"/>
                <w:sz w:val="16"/>
                <w:szCs w:val="16"/>
              </w:rPr>
            </w:pPr>
          </w:p>
        </w:tc>
        <w:tc>
          <w:tcPr>
            <w:tcW w:w="758" w:type="dxa"/>
          </w:tcPr>
          <w:p w14:paraId="671128BF"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540</w:t>
            </w:r>
          </w:p>
          <w:p w14:paraId="18550413" w14:textId="77777777" w:rsidR="000343AB" w:rsidRPr="00DE096C" w:rsidRDefault="000343AB" w:rsidP="00D45A46">
            <w:pPr>
              <w:shd w:val="clear" w:color="auto" w:fill="FFFFFF"/>
              <w:jc w:val="both"/>
              <w:rPr>
                <w:bCs/>
                <w:color w:val="002060"/>
                <w:sz w:val="16"/>
                <w:szCs w:val="16"/>
              </w:rPr>
            </w:pPr>
          </w:p>
        </w:tc>
        <w:tc>
          <w:tcPr>
            <w:tcW w:w="739" w:type="dxa"/>
          </w:tcPr>
          <w:p w14:paraId="108A1AD5"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80</w:t>
            </w:r>
          </w:p>
          <w:p w14:paraId="1D340D43" w14:textId="77777777" w:rsidR="000343AB" w:rsidRPr="00DE096C" w:rsidRDefault="000343AB" w:rsidP="00D45A46">
            <w:pPr>
              <w:shd w:val="clear" w:color="auto" w:fill="FFFFFF"/>
              <w:jc w:val="both"/>
              <w:rPr>
                <w:bCs/>
                <w:color w:val="002060"/>
                <w:sz w:val="16"/>
                <w:szCs w:val="16"/>
              </w:rPr>
            </w:pPr>
          </w:p>
        </w:tc>
        <w:tc>
          <w:tcPr>
            <w:tcW w:w="787" w:type="dxa"/>
          </w:tcPr>
          <w:p w14:paraId="70ED796F"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500</w:t>
            </w:r>
          </w:p>
          <w:p w14:paraId="61589D12" w14:textId="77777777" w:rsidR="000343AB" w:rsidRPr="00DE096C" w:rsidRDefault="000343AB" w:rsidP="00D45A46">
            <w:pPr>
              <w:shd w:val="clear" w:color="auto" w:fill="FFFFFF"/>
              <w:jc w:val="both"/>
              <w:rPr>
                <w:bCs/>
                <w:color w:val="002060"/>
                <w:sz w:val="16"/>
                <w:szCs w:val="16"/>
              </w:rPr>
            </w:pPr>
          </w:p>
        </w:tc>
        <w:tc>
          <w:tcPr>
            <w:tcW w:w="845" w:type="dxa"/>
          </w:tcPr>
          <w:p w14:paraId="1F8E9E39"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450</w:t>
            </w:r>
          </w:p>
          <w:p w14:paraId="3D58ACA6" w14:textId="77777777" w:rsidR="000343AB" w:rsidRPr="00DE096C" w:rsidRDefault="000343AB" w:rsidP="00D45A46">
            <w:pPr>
              <w:shd w:val="clear" w:color="auto" w:fill="FFFFFF"/>
              <w:jc w:val="both"/>
              <w:rPr>
                <w:bCs/>
                <w:color w:val="002060"/>
                <w:sz w:val="16"/>
                <w:szCs w:val="16"/>
              </w:rPr>
            </w:pPr>
          </w:p>
        </w:tc>
      </w:tr>
      <w:tr w:rsidR="000343AB" w:rsidRPr="00DE096C" w14:paraId="1C4DE877" w14:textId="77777777" w:rsidTr="00D34AC1">
        <w:trPr>
          <w:trHeight w:val="173"/>
        </w:trPr>
        <w:tc>
          <w:tcPr>
            <w:tcW w:w="2016" w:type="dxa"/>
          </w:tcPr>
          <w:p w14:paraId="08C9E66D"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граната к 16-линейной</w:t>
            </w:r>
          </w:p>
          <w:p w14:paraId="44998F6E" w14:textId="77777777" w:rsidR="000343AB" w:rsidRPr="00DE096C" w:rsidRDefault="000343AB" w:rsidP="00D45A46">
            <w:pPr>
              <w:shd w:val="clear" w:color="auto" w:fill="FFFFFF"/>
              <w:jc w:val="both"/>
              <w:rPr>
                <w:bCs/>
                <w:color w:val="002060"/>
                <w:sz w:val="16"/>
                <w:szCs w:val="16"/>
              </w:rPr>
            </w:pPr>
          </w:p>
        </w:tc>
        <w:tc>
          <w:tcPr>
            <w:tcW w:w="758" w:type="dxa"/>
          </w:tcPr>
          <w:p w14:paraId="522052C4" w14:textId="77777777" w:rsidR="000343AB" w:rsidRPr="00DE096C" w:rsidRDefault="000343AB" w:rsidP="00D45A46">
            <w:pPr>
              <w:shd w:val="clear" w:color="auto" w:fill="FFFFFF"/>
              <w:jc w:val="both"/>
              <w:rPr>
                <w:bCs/>
                <w:color w:val="002060"/>
                <w:sz w:val="16"/>
                <w:szCs w:val="16"/>
              </w:rPr>
            </w:pPr>
          </w:p>
          <w:p w14:paraId="3D1400F2" w14:textId="77777777" w:rsidR="000343AB" w:rsidRPr="00DE096C" w:rsidRDefault="000343AB" w:rsidP="00D45A46">
            <w:pPr>
              <w:shd w:val="clear" w:color="auto" w:fill="FFFFFF"/>
              <w:jc w:val="both"/>
              <w:rPr>
                <w:bCs/>
                <w:color w:val="002060"/>
                <w:sz w:val="16"/>
                <w:szCs w:val="16"/>
              </w:rPr>
            </w:pPr>
          </w:p>
        </w:tc>
        <w:tc>
          <w:tcPr>
            <w:tcW w:w="739" w:type="dxa"/>
          </w:tcPr>
          <w:p w14:paraId="4375124A" w14:textId="77777777" w:rsidR="000343AB" w:rsidRPr="00DE096C" w:rsidRDefault="000343AB" w:rsidP="00D45A46">
            <w:pPr>
              <w:shd w:val="clear" w:color="auto" w:fill="FFFFFF"/>
              <w:jc w:val="both"/>
              <w:rPr>
                <w:bCs/>
                <w:color w:val="002060"/>
                <w:sz w:val="16"/>
                <w:szCs w:val="16"/>
              </w:rPr>
            </w:pPr>
          </w:p>
          <w:p w14:paraId="7D4B7A92" w14:textId="77777777" w:rsidR="000343AB" w:rsidRPr="00DE096C" w:rsidRDefault="000343AB" w:rsidP="00D45A46">
            <w:pPr>
              <w:shd w:val="clear" w:color="auto" w:fill="FFFFFF"/>
              <w:jc w:val="both"/>
              <w:rPr>
                <w:bCs/>
                <w:color w:val="002060"/>
                <w:sz w:val="16"/>
                <w:szCs w:val="16"/>
              </w:rPr>
            </w:pPr>
          </w:p>
        </w:tc>
        <w:tc>
          <w:tcPr>
            <w:tcW w:w="787" w:type="dxa"/>
          </w:tcPr>
          <w:p w14:paraId="53AA1D23" w14:textId="77777777" w:rsidR="000343AB" w:rsidRPr="00DE096C" w:rsidRDefault="000343AB" w:rsidP="00D45A46">
            <w:pPr>
              <w:shd w:val="clear" w:color="auto" w:fill="FFFFFF"/>
              <w:jc w:val="both"/>
              <w:rPr>
                <w:bCs/>
                <w:color w:val="002060"/>
                <w:sz w:val="16"/>
                <w:szCs w:val="16"/>
              </w:rPr>
            </w:pPr>
          </w:p>
          <w:p w14:paraId="402CA959" w14:textId="77777777" w:rsidR="000343AB" w:rsidRPr="00DE096C" w:rsidRDefault="000343AB" w:rsidP="00D45A46">
            <w:pPr>
              <w:shd w:val="clear" w:color="auto" w:fill="FFFFFF"/>
              <w:jc w:val="both"/>
              <w:rPr>
                <w:bCs/>
                <w:color w:val="002060"/>
                <w:sz w:val="16"/>
                <w:szCs w:val="16"/>
              </w:rPr>
            </w:pPr>
          </w:p>
        </w:tc>
        <w:tc>
          <w:tcPr>
            <w:tcW w:w="845" w:type="dxa"/>
          </w:tcPr>
          <w:p w14:paraId="0C6988D0" w14:textId="77777777" w:rsidR="000343AB" w:rsidRPr="00DE096C" w:rsidRDefault="000343AB" w:rsidP="00D45A46">
            <w:pPr>
              <w:shd w:val="clear" w:color="auto" w:fill="FFFFFF"/>
              <w:jc w:val="both"/>
              <w:rPr>
                <w:bCs/>
                <w:color w:val="002060"/>
                <w:sz w:val="16"/>
                <w:szCs w:val="16"/>
              </w:rPr>
            </w:pPr>
          </w:p>
          <w:p w14:paraId="47B23FFF" w14:textId="77777777" w:rsidR="000343AB" w:rsidRPr="00DE096C" w:rsidRDefault="000343AB" w:rsidP="00D45A46">
            <w:pPr>
              <w:shd w:val="clear" w:color="auto" w:fill="FFFFFF"/>
              <w:jc w:val="both"/>
              <w:rPr>
                <w:bCs/>
                <w:color w:val="002060"/>
                <w:sz w:val="16"/>
                <w:szCs w:val="16"/>
              </w:rPr>
            </w:pPr>
          </w:p>
        </w:tc>
      </w:tr>
      <w:tr w:rsidR="000343AB" w:rsidRPr="00DE096C" w14:paraId="217C7F98" w14:textId="77777777" w:rsidTr="00D34AC1">
        <w:trPr>
          <w:trHeight w:val="182"/>
        </w:trPr>
        <w:tc>
          <w:tcPr>
            <w:tcW w:w="2016" w:type="dxa"/>
          </w:tcPr>
          <w:p w14:paraId="73DBD400"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(40,6-мм) ружейной</w:t>
            </w:r>
          </w:p>
          <w:p w14:paraId="5360FBBC" w14:textId="77777777" w:rsidR="000343AB" w:rsidRPr="00DE096C" w:rsidRDefault="000343AB" w:rsidP="00D45A46">
            <w:pPr>
              <w:shd w:val="clear" w:color="auto" w:fill="FFFFFF"/>
              <w:jc w:val="both"/>
              <w:rPr>
                <w:bCs/>
                <w:color w:val="002060"/>
                <w:sz w:val="16"/>
                <w:szCs w:val="16"/>
              </w:rPr>
            </w:pPr>
          </w:p>
        </w:tc>
        <w:tc>
          <w:tcPr>
            <w:tcW w:w="758" w:type="dxa"/>
          </w:tcPr>
          <w:p w14:paraId="4AA63F53" w14:textId="77777777" w:rsidR="000343AB" w:rsidRPr="00DE096C" w:rsidRDefault="000343AB" w:rsidP="00D45A46">
            <w:pPr>
              <w:shd w:val="clear" w:color="auto" w:fill="FFFFFF"/>
              <w:jc w:val="both"/>
              <w:rPr>
                <w:bCs/>
                <w:color w:val="002060"/>
                <w:sz w:val="16"/>
                <w:szCs w:val="16"/>
              </w:rPr>
            </w:pPr>
          </w:p>
          <w:p w14:paraId="66D83FCC" w14:textId="77777777" w:rsidR="000343AB" w:rsidRPr="00DE096C" w:rsidRDefault="000343AB" w:rsidP="00D45A46">
            <w:pPr>
              <w:shd w:val="clear" w:color="auto" w:fill="FFFFFF"/>
              <w:jc w:val="both"/>
              <w:rPr>
                <w:bCs/>
                <w:color w:val="002060"/>
                <w:sz w:val="16"/>
                <w:szCs w:val="16"/>
              </w:rPr>
            </w:pPr>
          </w:p>
        </w:tc>
        <w:tc>
          <w:tcPr>
            <w:tcW w:w="739" w:type="dxa"/>
          </w:tcPr>
          <w:p w14:paraId="11145D7D" w14:textId="77777777" w:rsidR="000343AB" w:rsidRPr="00DE096C" w:rsidRDefault="000343AB" w:rsidP="00D45A46">
            <w:pPr>
              <w:shd w:val="clear" w:color="auto" w:fill="FFFFFF"/>
              <w:jc w:val="both"/>
              <w:rPr>
                <w:bCs/>
                <w:color w:val="002060"/>
                <w:sz w:val="16"/>
                <w:szCs w:val="16"/>
              </w:rPr>
            </w:pPr>
          </w:p>
          <w:p w14:paraId="555338DC" w14:textId="77777777" w:rsidR="000343AB" w:rsidRPr="00DE096C" w:rsidRDefault="000343AB" w:rsidP="00D45A46">
            <w:pPr>
              <w:shd w:val="clear" w:color="auto" w:fill="FFFFFF"/>
              <w:jc w:val="both"/>
              <w:rPr>
                <w:bCs/>
                <w:color w:val="002060"/>
                <w:sz w:val="16"/>
                <w:szCs w:val="16"/>
              </w:rPr>
            </w:pPr>
          </w:p>
        </w:tc>
        <w:tc>
          <w:tcPr>
            <w:tcW w:w="787" w:type="dxa"/>
          </w:tcPr>
          <w:p w14:paraId="74B92F74" w14:textId="77777777" w:rsidR="000343AB" w:rsidRPr="00DE096C" w:rsidRDefault="000343AB" w:rsidP="00D45A46">
            <w:pPr>
              <w:shd w:val="clear" w:color="auto" w:fill="FFFFFF"/>
              <w:jc w:val="both"/>
              <w:rPr>
                <w:bCs/>
                <w:color w:val="002060"/>
                <w:sz w:val="16"/>
                <w:szCs w:val="16"/>
              </w:rPr>
            </w:pPr>
          </w:p>
          <w:p w14:paraId="7F5E65AE" w14:textId="77777777" w:rsidR="000343AB" w:rsidRPr="00DE096C" w:rsidRDefault="000343AB" w:rsidP="00D45A46">
            <w:pPr>
              <w:shd w:val="clear" w:color="auto" w:fill="FFFFFF"/>
              <w:jc w:val="both"/>
              <w:rPr>
                <w:bCs/>
                <w:color w:val="002060"/>
                <w:sz w:val="16"/>
                <w:szCs w:val="16"/>
              </w:rPr>
            </w:pPr>
          </w:p>
        </w:tc>
        <w:tc>
          <w:tcPr>
            <w:tcW w:w="845" w:type="dxa"/>
          </w:tcPr>
          <w:p w14:paraId="636FBDD1" w14:textId="77777777" w:rsidR="000343AB" w:rsidRPr="00DE096C" w:rsidRDefault="000343AB" w:rsidP="00D45A46">
            <w:pPr>
              <w:shd w:val="clear" w:color="auto" w:fill="FFFFFF"/>
              <w:jc w:val="both"/>
              <w:rPr>
                <w:bCs/>
                <w:color w:val="002060"/>
                <w:sz w:val="16"/>
                <w:szCs w:val="16"/>
              </w:rPr>
            </w:pPr>
          </w:p>
          <w:p w14:paraId="50D1F3A2" w14:textId="77777777" w:rsidR="000343AB" w:rsidRPr="00DE096C" w:rsidRDefault="000343AB" w:rsidP="00D45A46">
            <w:pPr>
              <w:shd w:val="clear" w:color="auto" w:fill="FFFFFF"/>
              <w:jc w:val="both"/>
              <w:rPr>
                <w:bCs/>
                <w:color w:val="002060"/>
                <w:sz w:val="16"/>
                <w:szCs w:val="16"/>
              </w:rPr>
            </w:pPr>
          </w:p>
        </w:tc>
      </w:tr>
      <w:tr w:rsidR="000343AB" w:rsidRPr="00DE096C" w14:paraId="22D6F725" w14:textId="77777777" w:rsidTr="00D34AC1">
        <w:trPr>
          <w:trHeight w:val="355"/>
        </w:trPr>
        <w:tc>
          <w:tcPr>
            <w:tcW w:w="2016" w:type="dxa"/>
          </w:tcPr>
          <w:p w14:paraId="4037B9B8"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мортирке</w:t>
            </w:r>
          </w:p>
          <w:p w14:paraId="34DC96F8" w14:textId="77777777" w:rsidR="000343AB" w:rsidRPr="00DE096C" w:rsidRDefault="000343AB" w:rsidP="00D45A46">
            <w:pPr>
              <w:shd w:val="clear" w:color="auto" w:fill="FFFFFF"/>
              <w:jc w:val="both"/>
              <w:rPr>
                <w:bCs/>
                <w:color w:val="002060"/>
                <w:sz w:val="16"/>
                <w:szCs w:val="16"/>
              </w:rPr>
            </w:pPr>
          </w:p>
        </w:tc>
        <w:tc>
          <w:tcPr>
            <w:tcW w:w="758" w:type="dxa"/>
          </w:tcPr>
          <w:p w14:paraId="0D987ABE" w14:textId="77777777" w:rsidR="000343AB" w:rsidRPr="00DE096C" w:rsidRDefault="000343AB" w:rsidP="00D45A46">
            <w:pPr>
              <w:shd w:val="clear" w:color="auto" w:fill="FFFFFF"/>
              <w:jc w:val="both"/>
              <w:rPr>
                <w:bCs/>
                <w:color w:val="002060"/>
                <w:sz w:val="16"/>
                <w:szCs w:val="16"/>
              </w:rPr>
            </w:pPr>
          </w:p>
          <w:p w14:paraId="2DA98BEA" w14:textId="77777777" w:rsidR="000343AB" w:rsidRPr="00DE096C" w:rsidRDefault="000343AB" w:rsidP="00D45A46">
            <w:pPr>
              <w:shd w:val="clear" w:color="auto" w:fill="FFFFFF"/>
              <w:jc w:val="both"/>
              <w:rPr>
                <w:bCs/>
                <w:color w:val="002060"/>
                <w:sz w:val="16"/>
                <w:szCs w:val="16"/>
              </w:rPr>
            </w:pPr>
          </w:p>
        </w:tc>
        <w:tc>
          <w:tcPr>
            <w:tcW w:w="739" w:type="dxa"/>
          </w:tcPr>
          <w:p w14:paraId="5C694F05" w14:textId="77777777" w:rsidR="000343AB" w:rsidRPr="00DE096C" w:rsidRDefault="000343AB" w:rsidP="00D45A46">
            <w:pPr>
              <w:shd w:val="clear" w:color="auto" w:fill="FFFFFF"/>
              <w:jc w:val="both"/>
              <w:rPr>
                <w:bCs/>
                <w:color w:val="002060"/>
                <w:sz w:val="16"/>
                <w:szCs w:val="16"/>
              </w:rPr>
            </w:pPr>
          </w:p>
          <w:p w14:paraId="4F0969CD" w14:textId="77777777" w:rsidR="000343AB" w:rsidRPr="00DE096C" w:rsidRDefault="000343AB" w:rsidP="00D45A46">
            <w:pPr>
              <w:shd w:val="clear" w:color="auto" w:fill="FFFFFF"/>
              <w:jc w:val="both"/>
              <w:rPr>
                <w:bCs/>
                <w:color w:val="002060"/>
                <w:sz w:val="16"/>
                <w:szCs w:val="16"/>
              </w:rPr>
            </w:pPr>
          </w:p>
        </w:tc>
        <w:tc>
          <w:tcPr>
            <w:tcW w:w="787" w:type="dxa"/>
          </w:tcPr>
          <w:p w14:paraId="372CC865" w14:textId="77777777" w:rsidR="000343AB" w:rsidRPr="00DE096C" w:rsidRDefault="000343AB" w:rsidP="00D45A46">
            <w:pPr>
              <w:shd w:val="clear" w:color="auto" w:fill="FFFFFF"/>
              <w:jc w:val="both"/>
              <w:rPr>
                <w:bCs/>
                <w:color w:val="002060"/>
                <w:sz w:val="16"/>
                <w:szCs w:val="16"/>
              </w:rPr>
            </w:pPr>
          </w:p>
          <w:p w14:paraId="4C10AC3F" w14:textId="77777777" w:rsidR="000343AB" w:rsidRPr="00DE096C" w:rsidRDefault="000343AB" w:rsidP="00D45A46">
            <w:pPr>
              <w:shd w:val="clear" w:color="auto" w:fill="FFFFFF"/>
              <w:jc w:val="both"/>
              <w:rPr>
                <w:bCs/>
                <w:color w:val="002060"/>
                <w:sz w:val="16"/>
                <w:szCs w:val="16"/>
              </w:rPr>
            </w:pPr>
          </w:p>
        </w:tc>
        <w:tc>
          <w:tcPr>
            <w:tcW w:w="845" w:type="dxa"/>
          </w:tcPr>
          <w:p w14:paraId="36ACD9C2" w14:textId="77777777" w:rsidR="000343AB" w:rsidRPr="00DE096C" w:rsidRDefault="000343AB" w:rsidP="00D45A46">
            <w:pPr>
              <w:shd w:val="clear" w:color="auto" w:fill="FFFFFF"/>
              <w:jc w:val="both"/>
              <w:rPr>
                <w:bCs/>
                <w:color w:val="002060"/>
                <w:sz w:val="16"/>
                <w:szCs w:val="16"/>
              </w:rPr>
            </w:pPr>
          </w:p>
          <w:p w14:paraId="202ABE65" w14:textId="77777777" w:rsidR="000343AB" w:rsidRPr="00DE096C" w:rsidRDefault="000343AB" w:rsidP="00D45A46">
            <w:pPr>
              <w:shd w:val="clear" w:color="auto" w:fill="FFFFFF"/>
              <w:jc w:val="both"/>
              <w:rPr>
                <w:bCs/>
                <w:color w:val="002060"/>
                <w:sz w:val="16"/>
                <w:szCs w:val="16"/>
              </w:rPr>
            </w:pPr>
          </w:p>
        </w:tc>
      </w:tr>
    </w:tbl>
    <w:p w14:paraId="2BD400BD"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При угле возвышения 45° (5484).</w:t>
      </w:r>
    </w:p>
    <w:p w14:paraId="7F2D1245"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Ручные гранаты.Изготовление ручных гранат не представляло особых технических трудностей. Поэтому многие металлообраба</w:t>
      </w:r>
      <w:r w:rsidRPr="00DE096C">
        <w:rPr>
          <w:bCs/>
          <w:color w:val="002060"/>
          <w:sz w:val="16"/>
          <w:szCs w:val="16"/>
        </w:rPr>
        <w:softHyphen/>
        <w:t>тывающие заводы гражданской промышленности быстро освоили производство корпусов и других комплектующих деталей ручных гранат. Снаряжение гранат взрывчатыми веществами, главным обра</w:t>
      </w:r>
      <w:r w:rsidRPr="00DE096C">
        <w:rPr>
          <w:bCs/>
          <w:color w:val="002060"/>
          <w:sz w:val="16"/>
          <w:szCs w:val="16"/>
        </w:rPr>
        <w:softHyphen/>
        <w:t>зом аммоналом и другими аммиачно-селитренными ВВ, а также тротилом и мелинитом в больших количествах наладили все снаря-жательные заводы и мастерские. В 1914 г. с 20 июля до конца года на русских заводах было изготовлено 312 тыс. ручных гранат. В начале лета 1916 г. ежемесячное производство гранат в несколько раз пре</w:t>
      </w:r>
      <w:r w:rsidRPr="00DE096C">
        <w:rPr>
          <w:bCs/>
          <w:color w:val="002060"/>
          <w:sz w:val="16"/>
          <w:szCs w:val="16"/>
        </w:rPr>
        <w:softHyphen/>
        <w:t>высило выпуск их в августе 1915 г. [5, с. 318].</w:t>
      </w:r>
    </w:p>
    <w:p w14:paraId="7F22E96F"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Вместе с тем значительное число ручных гранат было заказано также и за границей (табл. 1.21).</w:t>
      </w:r>
    </w:p>
    <w:p w14:paraId="796237A3"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1.21. Поставки в действующую армию ручных гранат в период 1915—1917 гг. [5, с. 319</w:t>
      </w:r>
    </w:p>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52"/>
        <w:gridCol w:w="12"/>
        <w:gridCol w:w="1404"/>
        <w:gridCol w:w="963"/>
        <w:gridCol w:w="1022"/>
      </w:tblGrid>
      <w:tr w:rsidR="000343AB" w:rsidRPr="00DE096C" w14:paraId="63DF1077" w14:textId="77777777" w:rsidTr="00D34AC1">
        <w:tc>
          <w:tcPr>
            <w:tcW w:w="852" w:type="dxa"/>
            <w:shd w:val="clear" w:color="auto" w:fill="FFFFFF"/>
          </w:tcPr>
          <w:p w14:paraId="47FD7335" w14:textId="77777777" w:rsidR="000343AB" w:rsidRPr="00DE096C" w:rsidRDefault="000343AB" w:rsidP="00D45A46">
            <w:pPr>
              <w:jc w:val="both"/>
              <w:rPr>
                <w:bCs/>
                <w:color w:val="002060"/>
                <w:sz w:val="16"/>
                <w:szCs w:val="16"/>
              </w:rPr>
            </w:pPr>
            <w:r w:rsidRPr="00DE096C">
              <w:rPr>
                <w:bCs/>
                <w:color w:val="002060"/>
                <w:sz w:val="16"/>
                <w:szCs w:val="16"/>
              </w:rPr>
              <w:t>Год</w:t>
            </w:r>
          </w:p>
        </w:tc>
        <w:tc>
          <w:tcPr>
            <w:tcW w:w="1416" w:type="dxa"/>
            <w:gridSpan w:val="2"/>
            <w:shd w:val="clear" w:color="auto" w:fill="FFFFFF"/>
          </w:tcPr>
          <w:p w14:paraId="61398FFE" w14:textId="77777777" w:rsidR="000343AB" w:rsidRPr="00DE096C" w:rsidRDefault="000343AB" w:rsidP="00D45A46">
            <w:pPr>
              <w:jc w:val="both"/>
              <w:rPr>
                <w:bCs/>
                <w:color w:val="002060"/>
                <w:sz w:val="16"/>
                <w:szCs w:val="16"/>
              </w:rPr>
            </w:pPr>
            <w:r w:rsidRPr="00DE096C">
              <w:rPr>
                <w:bCs/>
                <w:color w:val="002060"/>
                <w:sz w:val="16"/>
                <w:szCs w:val="16"/>
              </w:rPr>
              <w:t>Отечественными заводами</w:t>
            </w:r>
          </w:p>
        </w:tc>
        <w:tc>
          <w:tcPr>
            <w:tcW w:w="963" w:type="dxa"/>
            <w:shd w:val="clear" w:color="auto" w:fill="FFFFFF"/>
          </w:tcPr>
          <w:p w14:paraId="7855F802" w14:textId="77777777" w:rsidR="000343AB" w:rsidRPr="00DE096C" w:rsidRDefault="000343AB" w:rsidP="00D45A46">
            <w:pPr>
              <w:jc w:val="both"/>
              <w:rPr>
                <w:bCs/>
                <w:color w:val="002060"/>
                <w:sz w:val="16"/>
                <w:szCs w:val="16"/>
              </w:rPr>
            </w:pPr>
            <w:r w:rsidRPr="00DE096C">
              <w:rPr>
                <w:bCs/>
                <w:color w:val="002060"/>
                <w:sz w:val="16"/>
                <w:szCs w:val="16"/>
              </w:rPr>
              <w:t xml:space="preserve">Из-за границы </w:t>
            </w:r>
          </w:p>
        </w:tc>
        <w:tc>
          <w:tcPr>
            <w:tcW w:w="1022" w:type="dxa"/>
            <w:shd w:val="clear" w:color="auto" w:fill="FFFFFF"/>
          </w:tcPr>
          <w:p w14:paraId="151864C8" w14:textId="77777777" w:rsidR="000343AB" w:rsidRPr="00DE096C" w:rsidRDefault="000343AB" w:rsidP="00D45A46">
            <w:pPr>
              <w:jc w:val="both"/>
              <w:rPr>
                <w:bCs/>
                <w:color w:val="002060"/>
                <w:sz w:val="16"/>
                <w:szCs w:val="16"/>
              </w:rPr>
            </w:pPr>
            <w:r w:rsidRPr="00DE096C">
              <w:rPr>
                <w:bCs/>
                <w:color w:val="002060"/>
                <w:sz w:val="16"/>
                <w:szCs w:val="16"/>
              </w:rPr>
              <w:t>Всего</w:t>
            </w:r>
          </w:p>
        </w:tc>
      </w:tr>
      <w:tr w:rsidR="000343AB" w:rsidRPr="00DE096C" w14:paraId="37A0FAA5" w14:textId="77777777" w:rsidTr="00D34AC1">
        <w:tblPrEx>
          <w:tblCellMar>
            <w:left w:w="40" w:type="dxa"/>
            <w:right w:w="40" w:type="dxa"/>
          </w:tblCellMar>
        </w:tblPrEx>
        <w:trPr>
          <w:trHeight w:val="758"/>
        </w:trPr>
        <w:tc>
          <w:tcPr>
            <w:tcW w:w="864" w:type="dxa"/>
            <w:gridSpan w:val="2"/>
          </w:tcPr>
          <w:p w14:paraId="7F878DD4"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1915</w:t>
            </w:r>
          </w:p>
          <w:p w14:paraId="0E58EDBD"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1916</w:t>
            </w:r>
          </w:p>
          <w:p w14:paraId="04A5188C"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1917</w:t>
            </w:r>
          </w:p>
          <w:p w14:paraId="4CAB5EC4" w14:textId="77777777" w:rsidR="000343AB" w:rsidRPr="00DE096C" w:rsidRDefault="000343AB" w:rsidP="00D45A46">
            <w:pPr>
              <w:shd w:val="clear" w:color="auto" w:fill="FFFFFF"/>
              <w:jc w:val="both"/>
              <w:rPr>
                <w:bCs/>
                <w:color w:val="002060"/>
                <w:sz w:val="16"/>
                <w:szCs w:val="16"/>
              </w:rPr>
            </w:pPr>
          </w:p>
        </w:tc>
        <w:tc>
          <w:tcPr>
            <w:tcW w:w="1404" w:type="dxa"/>
          </w:tcPr>
          <w:p w14:paraId="655F6FF9"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2132671</w:t>
            </w:r>
          </w:p>
          <w:p w14:paraId="19579D71"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 xml:space="preserve">9981342 </w:t>
            </w:r>
          </w:p>
          <w:p w14:paraId="513FC6CD"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4106316</w:t>
            </w:r>
          </w:p>
          <w:p w14:paraId="16BA7CA5" w14:textId="77777777" w:rsidR="000343AB" w:rsidRPr="00DE096C" w:rsidRDefault="000343AB" w:rsidP="00D45A46">
            <w:pPr>
              <w:shd w:val="clear" w:color="auto" w:fill="FFFFFF"/>
              <w:jc w:val="both"/>
              <w:rPr>
                <w:bCs/>
                <w:color w:val="002060"/>
                <w:sz w:val="16"/>
                <w:szCs w:val="16"/>
              </w:rPr>
            </w:pPr>
          </w:p>
        </w:tc>
        <w:tc>
          <w:tcPr>
            <w:tcW w:w="963" w:type="dxa"/>
          </w:tcPr>
          <w:p w14:paraId="0B4C7513"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1261000</w:t>
            </w:r>
          </w:p>
          <w:p w14:paraId="0F34170C"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17626084</w:t>
            </w:r>
          </w:p>
          <w:p w14:paraId="5C64E33A"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w:t>
            </w:r>
          </w:p>
        </w:tc>
        <w:tc>
          <w:tcPr>
            <w:tcW w:w="1022" w:type="dxa"/>
          </w:tcPr>
          <w:p w14:paraId="256E06EE"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3393671</w:t>
            </w:r>
          </w:p>
          <w:p w14:paraId="090CB0A8"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27 607 426</w:t>
            </w:r>
          </w:p>
          <w:p w14:paraId="46E1C87D"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4106316</w:t>
            </w:r>
          </w:p>
          <w:p w14:paraId="5ED54ABC" w14:textId="77777777" w:rsidR="000343AB" w:rsidRPr="00DE096C" w:rsidRDefault="000343AB" w:rsidP="00D45A46">
            <w:pPr>
              <w:shd w:val="clear" w:color="auto" w:fill="FFFFFF"/>
              <w:jc w:val="both"/>
              <w:rPr>
                <w:bCs/>
                <w:color w:val="002060"/>
                <w:sz w:val="16"/>
                <w:szCs w:val="16"/>
              </w:rPr>
            </w:pPr>
          </w:p>
        </w:tc>
      </w:tr>
      <w:tr w:rsidR="000343AB" w:rsidRPr="00DE096C" w14:paraId="0D411F4D" w14:textId="77777777" w:rsidTr="00D34AC1">
        <w:tc>
          <w:tcPr>
            <w:tcW w:w="852" w:type="dxa"/>
            <w:shd w:val="clear" w:color="auto" w:fill="FFFFFF"/>
          </w:tcPr>
          <w:p w14:paraId="35BC5872" w14:textId="77777777" w:rsidR="000343AB" w:rsidRPr="00DE096C" w:rsidRDefault="000343AB" w:rsidP="00D45A46">
            <w:pPr>
              <w:jc w:val="both"/>
              <w:rPr>
                <w:bCs/>
                <w:color w:val="002060"/>
                <w:sz w:val="16"/>
                <w:szCs w:val="16"/>
              </w:rPr>
            </w:pPr>
            <w:r w:rsidRPr="00DE096C">
              <w:rPr>
                <w:bCs/>
                <w:color w:val="002060"/>
                <w:sz w:val="16"/>
                <w:szCs w:val="16"/>
              </w:rPr>
              <w:t>Всего</w:t>
            </w:r>
          </w:p>
        </w:tc>
        <w:tc>
          <w:tcPr>
            <w:tcW w:w="1416" w:type="dxa"/>
            <w:gridSpan w:val="2"/>
            <w:shd w:val="clear" w:color="auto" w:fill="FFFFFF"/>
          </w:tcPr>
          <w:p w14:paraId="1599D25A" w14:textId="77777777" w:rsidR="000343AB" w:rsidRPr="00DE096C" w:rsidRDefault="000343AB" w:rsidP="00D45A46">
            <w:pPr>
              <w:jc w:val="both"/>
              <w:rPr>
                <w:bCs/>
                <w:color w:val="002060"/>
                <w:sz w:val="16"/>
                <w:szCs w:val="16"/>
              </w:rPr>
            </w:pPr>
            <w:r w:rsidRPr="00DE096C">
              <w:rPr>
                <w:bCs/>
                <w:color w:val="002060"/>
                <w:sz w:val="16"/>
                <w:szCs w:val="16"/>
              </w:rPr>
              <w:t>16220329</w:t>
            </w:r>
          </w:p>
        </w:tc>
        <w:tc>
          <w:tcPr>
            <w:tcW w:w="963" w:type="dxa"/>
            <w:shd w:val="clear" w:color="auto" w:fill="FFFFFF"/>
          </w:tcPr>
          <w:p w14:paraId="49277E5E" w14:textId="77777777" w:rsidR="000343AB" w:rsidRPr="00DE096C" w:rsidRDefault="000343AB" w:rsidP="00D45A46">
            <w:pPr>
              <w:jc w:val="both"/>
              <w:rPr>
                <w:bCs/>
                <w:color w:val="002060"/>
                <w:sz w:val="16"/>
                <w:szCs w:val="16"/>
              </w:rPr>
            </w:pPr>
            <w:r w:rsidRPr="00DE096C">
              <w:rPr>
                <w:bCs/>
                <w:color w:val="002060"/>
                <w:sz w:val="16"/>
                <w:szCs w:val="16"/>
              </w:rPr>
              <w:t>18 887084</w:t>
            </w:r>
          </w:p>
        </w:tc>
        <w:tc>
          <w:tcPr>
            <w:tcW w:w="1022" w:type="dxa"/>
            <w:shd w:val="clear" w:color="auto" w:fill="FFFFFF"/>
          </w:tcPr>
          <w:p w14:paraId="0B27B46B" w14:textId="77777777" w:rsidR="000343AB" w:rsidRPr="00DE096C" w:rsidRDefault="000343AB" w:rsidP="00D45A46">
            <w:pPr>
              <w:jc w:val="both"/>
              <w:rPr>
                <w:bCs/>
                <w:color w:val="002060"/>
                <w:sz w:val="16"/>
                <w:szCs w:val="16"/>
              </w:rPr>
            </w:pPr>
            <w:r w:rsidRPr="00DE096C">
              <w:rPr>
                <w:bCs/>
                <w:color w:val="002060"/>
                <w:sz w:val="16"/>
                <w:szCs w:val="16"/>
              </w:rPr>
              <w:t>35 107 413</w:t>
            </w:r>
          </w:p>
        </w:tc>
      </w:tr>
    </w:tbl>
    <w:p w14:paraId="165A89D1" w14:textId="77777777" w:rsidR="000343AB" w:rsidRPr="00DE096C" w:rsidRDefault="000343AB" w:rsidP="00D45A46">
      <w:pPr>
        <w:shd w:val="clear" w:color="auto" w:fill="FFFFFF"/>
        <w:jc w:val="both"/>
        <w:rPr>
          <w:bCs/>
          <w:color w:val="002060"/>
          <w:sz w:val="16"/>
          <w:szCs w:val="16"/>
        </w:rPr>
      </w:pPr>
      <w:r w:rsidRPr="00DE096C">
        <w:rPr>
          <w:bCs/>
          <w:color w:val="002060"/>
          <w:sz w:val="16"/>
          <w:szCs w:val="16"/>
        </w:rPr>
        <w:t>Всего в действующую армию в 1915—1917 гг. было поставлено более 35,1 млн ручных гранат, в том числе от русских заводов более 16,2 млн и получено из-за границы в период с ноября 1915 г. по сен</w:t>
      </w:r>
      <w:r w:rsidRPr="00DE096C">
        <w:rPr>
          <w:bCs/>
          <w:color w:val="002060"/>
          <w:sz w:val="16"/>
          <w:szCs w:val="16"/>
        </w:rPr>
        <w:softHyphen/>
        <w:t>тябрь 1916 г. около 29 млн ручных гранат [5, с. 320] (5484).</w:t>
      </w:r>
    </w:p>
    <w:p w14:paraId="2A65DD49" w14:textId="77777777" w:rsidR="000343AB" w:rsidRPr="00DE096C" w:rsidRDefault="000343AB" w:rsidP="00D45A46">
      <w:pPr>
        <w:shd w:val="clear" w:color="auto" w:fill="FFFFFF"/>
        <w:jc w:val="both"/>
        <w:rPr>
          <w:bCs/>
          <w:color w:val="002060"/>
          <w:sz w:val="16"/>
          <w:szCs w:val="16"/>
        </w:rPr>
      </w:pPr>
    </w:p>
    <w:p w14:paraId="4B2CF055" w14:textId="77777777" w:rsidR="00E740C1" w:rsidRPr="00DE096C" w:rsidRDefault="00E740C1" w:rsidP="00D45A46">
      <w:pPr>
        <w:shd w:val="clear" w:color="auto" w:fill="FFFFFF"/>
        <w:jc w:val="both"/>
        <w:rPr>
          <w:bCs/>
          <w:color w:val="002060"/>
          <w:sz w:val="16"/>
          <w:szCs w:val="16"/>
        </w:rPr>
      </w:pPr>
      <w:r w:rsidRPr="00DE096C">
        <w:rPr>
          <w:bCs/>
          <w:color w:val="002060"/>
          <w:sz w:val="16"/>
          <w:szCs w:val="16"/>
        </w:rPr>
        <w:t>В конце июля 1914 в начале войны на заводских и окружных складах хранилось 439 тыс. пудов пороха. Требовалось резкое увеличение производи</w:t>
      </w:r>
      <w:r w:rsidRPr="00DE096C">
        <w:rPr>
          <w:bCs/>
          <w:color w:val="002060"/>
          <w:sz w:val="16"/>
          <w:szCs w:val="16"/>
        </w:rPr>
        <w:softHyphen/>
        <w:t>тельности пороховых заводов. Военное министерство вдвое увеличи</w:t>
      </w:r>
      <w:r w:rsidRPr="00DE096C">
        <w:rPr>
          <w:bCs/>
          <w:color w:val="002060"/>
          <w:sz w:val="16"/>
          <w:szCs w:val="16"/>
        </w:rPr>
        <w:softHyphen/>
        <w:t>ло численность рабочих и ввело трехсменную работу. В 1915г. годо</w:t>
      </w:r>
      <w:r w:rsidRPr="00DE096C">
        <w:rPr>
          <w:bCs/>
          <w:color w:val="002060"/>
          <w:sz w:val="16"/>
          <w:szCs w:val="16"/>
        </w:rPr>
        <w:softHyphen/>
        <w:t>вая потребность в порохе определялась в 4 400 000 пудов, т. е. почти в 15 раз превышала мощность всех казенных пороховых заводов к началу войны (290 000 пудов), а осенью 1916 г. — уже в 7,5 млн пу</w:t>
      </w:r>
      <w:r w:rsidRPr="00DE096C">
        <w:rPr>
          <w:bCs/>
          <w:color w:val="002060"/>
          <w:sz w:val="16"/>
          <w:szCs w:val="16"/>
        </w:rPr>
        <w:softHyphen/>
        <w:t>дов [5, с. 209; 7, с. 126] .</w:t>
      </w:r>
    </w:p>
    <w:p w14:paraId="160CC393" w14:textId="77777777" w:rsidR="00E740C1" w:rsidRPr="00DE096C" w:rsidRDefault="00E740C1" w:rsidP="00D45A46">
      <w:pPr>
        <w:shd w:val="clear" w:color="auto" w:fill="FFFFFF"/>
        <w:jc w:val="both"/>
        <w:rPr>
          <w:bCs/>
          <w:color w:val="002060"/>
          <w:sz w:val="16"/>
          <w:szCs w:val="16"/>
        </w:rPr>
      </w:pPr>
      <w:r w:rsidRPr="00DE096C">
        <w:rPr>
          <w:bCs/>
          <w:color w:val="002060"/>
          <w:sz w:val="16"/>
          <w:szCs w:val="16"/>
        </w:rPr>
        <w:t>Спешно расширялись казенные пороховые заводы. На Казан</w:t>
      </w:r>
      <w:r w:rsidRPr="00DE096C">
        <w:rPr>
          <w:bCs/>
          <w:color w:val="002060"/>
          <w:sz w:val="16"/>
          <w:szCs w:val="16"/>
        </w:rPr>
        <w:softHyphen/>
        <w:t>ском заводе был построен практически новый завод с производи</w:t>
      </w:r>
      <w:r w:rsidRPr="00DE096C">
        <w:rPr>
          <w:bCs/>
          <w:color w:val="002060"/>
          <w:sz w:val="16"/>
          <w:szCs w:val="16"/>
        </w:rPr>
        <w:softHyphen/>
        <w:t>тельностью выше усиленной мощности существующего. С июля 1916 г. мощность Казанского завода была увеличена в 3,5 раза по сравнению с довоенной.</w:t>
      </w:r>
    </w:p>
    <w:p w14:paraId="02B797F4" w14:textId="77777777" w:rsidR="00E740C1" w:rsidRPr="00DE096C" w:rsidRDefault="00E740C1" w:rsidP="00D45A46">
      <w:pPr>
        <w:shd w:val="clear" w:color="auto" w:fill="FFFFFF"/>
        <w:jc w:val="both"/>
        <w:rPr>
          <w:bCs/>
          <w:color w:val="002060"/>
          <w:sz w:val="16"/>
          <w:szCs w:val="16"/>
        </w:rPr>
      </w:pPr>
      <w:r w:rsidRPr="00DE096C">
        <w:rPr>
          <w:bCs/>
          <w:color w:val="002060"/>
          <w:sz w:val="16"/>
          <w:szCs w:val="16"/>
        </w:rPr>
        <w:t>На Шосткинском заводе также был построен второй пороховой завод со всеми необходимыми цехами и технологическим оборудова</w:t>
      </w:r>
      <w:r w:rsidRPr="00DE096C">
        <w:rPr>
          <w:bCs/>
          <w:color w:val="002060"/>
          <w:sz w:val="16"/>
          <w:szCs w:val="16"/>
        </w:rPr>
        <w:softHyphen/>
        <w:t>нием.</w:t>
      </w:r>
    </w:p>
    <w:p w14:paraId="584D0BEF" w14:textId="77777777" w:rsidR="00E740C1" w:rsidRPr="00DE096C" w:rsidRDefault="00E740C1" w:rsidP="00D45A46">
      <w:pPr>
        <w:shd w:val="clear" w:color="auto" w:fill="FFFFFF"/>
        <w:jc w:val="both"/>
        <w:rPr>
          <w:bCs/>
          <w:color w:val="002060"/>
          <w:sz w:val="16"/>
          <w:szCs w:val="16"/>
        </w:rPr>
      </w:pPr>
      <w:r w:rsidRPr="00DE096C">
        <w:rPr>
          <w:bCs/>
          <w:color w:val="002060"/>
          <w:sz w:val="16"/>
          <w:szCs w:val="16"/>
        </w:rPr>
        <w:lastRenderedPageBreak/>
        <w:t>От закрытия Охтинского завода пришлось отказаться. Было да</w:t>
      </w:r>
      <w:r w:rsidRPr="00DE096C">
        <w:rPr>
          <w:bCs/>
          <w:color w:val="002060"/>
          <w:sz w:val="16"/>
          <w:szCs w:val="16"/>
        </w:rPr>
        <w:softHyphen/>
        <w:t>же принято решение об увеличении производства пороха до 210 тыс. пудов в год, т. е. вдвое больше прежнего. В 1915—1916 гг. на заводе возвели новые производственные здания и установили приобретен</w:t>
      </w:r>
      <w:r w:rsidRPr="00DE096C">
        <w:rPr>
          <w:bCs/>
          <w:color w:val="002060"/>
          <w:sz w:val="16"/>
          <w:szCs w:val="16"/>
        </w:rPr>
        <w:softHyphen/>
        <w:t>ное за границей оборудование. Предполагалось увеличить мощность Охтинского завода до 280 тыс. пудов пороха в год, но работы по его расширению были прекращены в 1917 г.</w:t>
      </w:r>
    </w:p>
    <w:p w14:paraId="1ECFB4AF" w14:textId="77777777" w:rsidR="00E740C1" w:rsidRPr="00DE096C" w:rsidRDefault="00E740C1" w:rsidP="00D45A46">
      <w:pPr>
        <w:shd w:val="clear" w:color="auto" w:fill="FFFFFF"/>
        <w:jc w:val="both"/>
        <w:rPr>
          <w:bCs/>
          <w:color w:val="002060"/>
          <w:sz w:val="16"/>
          <w:szCs w:val="16"/>
        </w:rPr>
      </w:pPr>
      <w:r w:rsidRPr="00DE096C">
        <w:rPr>
          <w:bCs/>
          <w:color w:val="002060"/>
          <w:sz w:val="16"/>
          <w:szCs w:val="16"/>
        </w:rPr>
        <w:t>Таким образом, за февраль—июль 1915 г. были приняты реше</w:t>
      </w:r>
      <w:r w:rsidRPr="00DE096C">
        <w:rPr>
          <w:bCs/>
          <w:color w:val="002060"/>
          <w:sz w:val="16"/>
          <w:szCs w:val="16"/>
        </w:rPr>
        <w:softHyphen/>
        <w:t>ния, предусматривавшие увеличение производства пороха более чем в 3 раза по сравнению с довоенным уровнем — от 290 до 910 тыс. пу</w:t>
      </w:r>
      <w:r w:rsidRPr="00DE096C">
        <w:rPr>
          <w:bCs/>
          <w:color w:val="002060"/>
          <w:sz w:val="16"/>
          <w:szCs w:val="16"/>
        </w:rPr>
        <w:softHyphen/>
        <w:t>дов, в том числе на Охтинском заводе — до 210 тыс., на Казанском и Шосткинском — до 350 тыс. пудов на каждом [42, с. 442] (5484).</w:t>
      </w:r>
    </w:p>
    <w:p w14:paraId="2153546D" w14:textId="77777777" w:rsidR="00E740C1" w:rsidRPr="00DE096C" w:rsidRDefault="00E740C1" w:rsidP="00D45A46">
      <w:pPr>
        <w:shd w:val="clear" w:color="auto" w:fill="FFFFFF"/>
        <w:jc w:val="both"/>
        <w:rPr>
          <w:bCs/>
          <w:color w:val="002060"/>
          <w:sz w:val="16"/>
          <w:szCs w:val="16"/>
        </w:rPr>
      </w:pPr>
    </w:p>
    <w:p w14:paraId="20E70280" w14:textId="77777777" w:rsidR="000343AB" w:rsidRPr="00DE096C" w:rsidRDefault="000343AB" w:rsidP="00D45A46">
      <w:pPr>
        <w:jc w:val="both"/>
        <w:rPr>
          <w:bCs/>
          <w:color w:val="002060"/>
          <w:sz w:val="16"/>
          <w:szCs w:val="16"/>
        </w:rPr>
      </w:pPr>
      <w:r w:rsidRPr="00DE096C">
        <w:rPr>
          <w:bCs/>
          <w:color w:val="002060"/>
          <w:sz w:val="16"/>
          <w:szCs w:val="16"/>
        </w:rPr>
        <w:t>В конце июля 1914 г. к началу Первой мировой войны автомобильный парк военного ведомства России насчитывал 711 автомобилей (Советская Военная Энциклопедия. М.: Воениздат, 1976. Т. 1. С. 86.) (11168).</w:t>
      </w:r>
    </w:p>
    <w:p w14:paraId="5957BF31" w14:textId="77777777" w:rsidR="000343AB" w:rsidRPr="00DE096C" w:rsidRDefault="000343AB" w:rsidP="00D45A46">
      <w:pPr>
        <w:jc w:val="both"/>
        <w:rPr>
          <w:bCs/>
          <w:color w:val="002060"/>
          <w:sz w:val="16"/>
          <w:szCs w:val="16"/>
        </w:rPr>
      </w:pPr>
    </w:p>
    <w:p w14:paraId="164E9AB6" w14:textId="77777777" w:rsidR="000343AB" w:rsidRPr="00DE096C" w:rsidRDefault="000343AB" w:rsidP="00D45A46">
      <w:pPr>
        <w:jc w:val="both"/>
        <w:rPr>
          <w:bCs/>
          <w:color w:val="002060"/>
          <w:sz w:val="16"/>
          <w:szCs w:val="16"/>
        </w:rPr>
      </w:pPr>
      <w:r w:rsidRPr="00DE096C">
        <w:rPr>
          <w:bCs/>
          <w:color w:val="002060"/>
          <w:sz w:val="16"/>
          <w:szCs w:val="16"/>
        </w:rPr>
        <w:t>В конце июля 1914 г. к началу Первой мировой войны добыча нефти снова возросла, составив более 10 млн. т, и оставалась примерно на этом уровне практически до 1918 года. В 1913 году экспорт нефтепродуктов из России составил 947 тыс. т (Война и топливо. 1914—1917 гг. - М.; Л.: Государственное издательство военной литературы, 1930. С. 91— 124.), в том числе 278 тыс. т в Германию и Турцию.</w:t>
      </w:r>
    </w:p>
    <w:p w14:paraId="6091FEC6" w14:textId="77777777" w:rsidR="000343AB" w:rsidRPr="00DE096C" w:rsidRDefault="000343AB" w:rsidP="00D45A46">
      <w:pPr>
        <w:jc w:val="both"/>
        <w:rPr>
          <w:bCs/>
          <w:color w:val="002060"/>
          <w:sz w:val="16"/>
          <w:szCs w:val="16"/>
        </w:rPr>
      </w:pPr>
      <w:r w:rsidRPr="00DE096C">
        <w:rPr>
          <w:bCs/>
          <w:color w:val="002060"/>
          <w:sz w:val="16"/>
          <w:szCs w:val="16"/>
        </w:rPr>
        <w:t>Рост добычи и экспорта дал повод российским нефтепромышленникам заявлять: «Мы осветим весь мир и смажем всю Европу» (Химия и технология топлив и масел. 1996. № 5. С. 8.).</w:t>
      </w:r>
    </w:p>
    <w:p w14:paraId="5BE7D6C8" w14:textId="77777777" w:rsidR="000343AB" w:rsidRPr="00DE096C" w:rsidRDefault="000343AB" w:rsidP="00D45A46">
      <w:pPr>
        <w:jc w:val="both"/>
        <w:rPr>
          <w:bCs/>
          <w:color w:val="002060"/>
          <w:sz w:val="16"/>
          <w:szCs w:val="16"/>
        </w:rPr>
      </w:pPr>
      <w:r w:rsidRPr="00DE096C">
        <w:rPr>
          <w:bCs/>
          <w:color w:val="002060"/>
          <w:sz w:val="16"/>
          <w:szCs w:val="16"/>
        </w:rPr>
        <w:t>К недостаткам отрасли надо отнести то, что, во-первых, почти вся нефтедобыча и нефтепереработка сосредоточивались в Баку (83 проц.) и Грозном (13,3 проц.), а, во-вторых, в ней господствовал иностранный капитал. К тому же высока была концентрация отрасли: три фирмы — «Бр. Нобель», «Шелл и К°», «Ойл и К°» — добывали и перерабатывали более 50 проц. Нефти (11178).</w:t>
      </w:r>
    </w:p>
    <w:p w14:paraId="6827A33A" w14:textId="77777777" w:rsidR="000343AB" w:rsidRPr="00DE096C" w:rsidRDefault="000343AB" w:rsidP="00D45A46">
      <w:pPr>
        <w:jc w:val="both"/>
        <w:rPr>
          <w:bCs/>
          <w:color w:val="002060"/>
          <w:sz w:val="16"/>
          <w:szCs w:val="16"/>
        </w:rPr>
      </w:pPr>
    </w:p>
    <w:p w14:paraId="53ADC97A" w14:textId="77777777" w:rsidR="000343AB" w:rsidRPr="00DE096C" w:rsidRDefault="000343AB" w:rsidP="00D45A46">
      <w:pPr>
        <w:jc w:val="both"/>
        <w:rPr>
          <w:bCs/>
          <w:color w:val="002060"/>
          <w:sz w:val="16"/>
          <w:szCs w:val="16"/>
        </w:rPr>
      </w:pPr>
      <w:r w:rsidRPr="00DE096C">
        <w:rPr>
          <w:bCs/>
          <w:color w:val="002060"/>
          <w:sz w:val="16"/>
          <w:szCs w:val="16"/>
        </w:rPr>
        <w:t>На конец июля 1914 перед войной Россия и США добывали 80 проц. всей нефти, а до 1903 года Россия по объему добычи нефти занимала первое место в мире (11,6 млн. т) (11178). Снижение добычи к 1905 году до 8,3 млн. т было связано с армяно-татарскими этническими столкновениями в Бакинском районе, в результате которых пострадала большая часть промыслов. К началу Первой мировой войны добыча нефти снова возросла, составив более 10 млн. т, и оставалась примерно на этом уровне практически до 1918 года. В 1913 году экспорт нефтепродуктов из России составил 947 тыс. т (Война и топливо. 1914—1917 гг. - М.; Л.: Государственное издательство военной литературы, 1930. С. 91— 124.), в том числе 278 тыс. т в Германию и Турцию.</w:t>
      </w:r>
    </w:p>
    <w:p w14:paraId="4D172C41" w14:textId="77777777" w:rsidR="000343AB" w:rsidRPr="00DE096C" w:rsidRDefault="000343AB" w:rsidP="00D45A46">
      <w:pPr>
        <w:jc w:val="both"/>
        <w:rPr>
          <w:bCs/>
          <w:color w:val="002060"/>
          <w:sz w:val="16"/>
          <w:szCs w:val="16"/>
        </w:rPr>
      </w:pPr>
      <w:r w:rsidRPr="00DE096C">
        <w:rPr>
          <w:bCs/>
          <w:color w:val="002060"/>
          <w:sz w:val="16"/>
          <w:szCs w:val="16"/>
        </w:rPr>
        <w:t>Рост добычи и экспорта дал повод российским нефтепромышленникам заявлять: «Мы осветим весь мир и смажем всю Европу» (Химия и технология топлив и масел. 1996. № 5. С. 8.).</w:t>
      </w:r>
    </w:p>
    <w:p w14:paraId="0D0998C7" w14:textId="77777777" w:rsidR="000343AB" w:rsidRPr="00DE096C" w:rsidRDefault="000343AB" w:rsidP="00D45A46">
      <w:pPr>
        <w:jc w:val="both"/>
        <w:rPr>
          <w:bCs/>
          <w:color w:val="002060"/>
          <w:sz w:val="16"/>
          <w:szCs w:val="16"/>
        </w:rPr>
      </w:pPr>
      <w:r w:rsidRPr="00DE096C">
        <w:rPr>
          <w:bCs/>
          <w:color w:val="002060"/>
          <w:sz w:val="16"/>
          <w:szCs w:val="16"/>
        </w:rPr>
        <w:t>К недостаткам отрасли надо отнести то, что, во-первых, почти вся нефтедобыча и нефтепереработка сосредоточивались в Баку (83 проц.) и Грозном (13,3 проц.), а, во-вторых, в ней господствовал иностранный капитал. К тому же высока была концентрация отрасли: три фирмы — «Бр. Нобель», «Шелл и К°», «Ойл и К°» — добывали и перерабатывали более 50 проц. Нефти (11178).</w:t>
      </w:r>
    </w:p>
    <w:p w14:paraId="4436B1A1" w14:textId="77777777" w:rsidR="000343AB" w:rsidRPr="00DE096C" w:rsidRDefault="000343AB" w:rsidP="00D45A46">
      <w:pPr>
        <w:jc w:val="both"/>
        <w:rPr>
          <w:bCs/>
          <w:color w:val="002060"/>
          <w:sz w:val="16"/>
          <w:szCs w:val="16"/>
        </w:rPr>
      </w:pPr>
    </w:p>
    <w:p w14:paraId="01495531" w14:textId="77777777" w:rsidR="000343AB" w:rsidRPr="00DE096C" w:rsidRDefault="000343AB" w:rsidP="00D45A46">
      <w:pPr>
        <w:jc w:val="both"/>
        <w:rPr>
          <w:bCs/>
          <w:color w:val="002060"/>
          <w:sz w:val="16"/>
          <w:szCs w:val="16"/>
        </w:rPr>
      </w:pPr>
      <w:r w:rsidRPr="00DE096C">
        <w:rPr>
          <w:bCs/>
          <w:color w:val="002060"/>
          <w:sz w:val="16"/>
          <w:szCs w:val="16"/>
        </w:rPr>
        <w:t>В конце июля 1914 с началом войны цены на нефть в России, как ни удивительно, снизились. Всем представлялось, что война будет недолгой: несколько месяцев, в худшем случае — год. Во время войны производство невоенных товаров должно было сократиться, так же как строительство и экспорт, поэтому востребованность нефтяного топлива, по мнению многих, должна была снизиться. Поначалу так и было. Бакинская нефть подешевела в августе—декабре 1914 года с 26 до 13 рублей за тонну, но затем цены стали быстро расти, что вызвало тревогу как у потребителей, так и у правительства. Рост цен стали связывать с продажей нефти за рубеж (11178).</w:t>
      </w:r>
    </w:p>
    <w:p w14:paraId="7555FB42" w14:textId="77777777" w:rsidR="000343AB" w:rsidRPr="00DE096C" w:rsidRDefault="000343AB" w:rsidP="00D45A46">
      <w:pPr>
        <w:shd w:val="clear" w:color="auto" w:fill="FFFFFF"/>
        <w:jc w:val="both"/>
        <w:rPr>
          <w:bCs/>
          <w:color w:val="002060"/>
          <w:sz w:val="16"/>
          <w:szCs w:val="16"/>
        </w:rPr>
      </w:pPr>
    </w:p>
    <w:p w14:paraId="7E951799" w14:textId="77777777" w:rsidR="000343AB" w:rsidRPr="00DE096C" w:rsidRDefault="000343AB" w:rsidP="00D45A46">
      <w:pPr>
        <w:jc w:val="both"/>
        <w:rPr>
          <w:bCs/>
          <w:color w:val="002060"/>
          <w:sz w:val="16"/>
          <w:szCs w:val="16"/>
        </w:rPr>
      </w:pPr>
      <w:r w:rsidRPr="00DE096C">
        <w:rPr>
          <w:bCs/>
          <w:color w:val="002060"/>
          <w:sz w:val="16"/>
          <w:szCs w:val="16"/>
        </w:rPr>
        <w:t>С конца июля 1914 начавшаяся война потребовала огромных ресурсов, прежде всего финансовых. Для экономики Российской Империи эта ноша оказалась весьма тяжелой. По валовой продукции страна занимала 5-е место в мире и 4-е в Европе, по выработке электроэнергии — соответственно 15-е и 7-е. Механическая энерговооруженность работника в промышленности и сельском хозяйстве по приблизительным данным была меньше в 2 раза, чем во Франции, и в 2,5 раза меньше, чем в Англии и Германии (11172).</w:t>
      </w:r>
    </w:p>
    <w:p w14:paraId="38B7414B" w14:textId="77777777" w:rsidR="000343AB" w:rsidRPr="00DE096C" w:rsidRDefault="000343AB" w:rsidP="00D45A46">
      <w:pPr>
        <w:jc w:val="both"/>
        <w:rPr>
          <w:bCs/>
          <w:color w:val="002060"/>
          <w:sz w:val="16"/>
          <w:szCs w:val="16"/>
        </w:rPr>
      </w:pPr>
    </w:p>
    <w:p w14:paraId="610FAE70" w14:textId="77777777" w:rsidR="007B1C45" w:rsidRPr="00DE096C" w:rsidRDefault="007B1C45" w:rsidP="00D45A46">
      <w:pPr>
        <w:shd w:val="clear" w:color="auto" w:fill="FFFFFF"/>
        <w:jc w:val="both"/>
        <w:rPr>
          <w:bCs/>
          <w:color w:val="002060"/>
          <w:sz w:val="16"/>
          <w:szCs w:val="16"/>
        </w:rPr>
      </w:pPr>
      <w:r w:rsidRPr="00DE096C">
        <w:rPr>
          <w:bCs/>
          <w:color w:val="002060"/>
          <w:sz w:val="16"/>
          <w:szCs w:val="16"/>
        </w:rPr>
        <w:t>В конце июля 1914 г. к началу войны на Путиловском заводе по инициативе капитана ГАУ Тарнавского (предложившего прицел и механизм рас</w:t>
      </w:r>
      <w:r w:rsidRPr="00DE096C">
        <w:rPr>
          <w:bCs/>
          <w:color w:val="002060"/>
          <w:sz w:val="16"/>
          <w:szCs w:val="16"/>
        </w:rPr>
        <w:softHyphen/>
        <w:t>сеивания снарядов) и инженера-технолога завода Ф. Лендера (спроектировавшего артиллерийскую часть) было по</w:t>
      </w:r>
      <w:r w:rsidRPr="00DE096C">
        <w:rPr>
          <w:bCs/>
          <w:color w:val="002060"/>
          <w:sz w:val="16"/>
          <w:szCs w:val="16"/>
        </w:rPr>
        <w:softHyphen/>
        <w:t>строено орудие калибра 76,2-мм, способное вести огонь под большими углами возвышения. Комиссия ГАУ при</w:t>
      </w:r>
      <w:r w:rsidRPr="00DE096C">
        <w:rPr>
          <w:bCs/>
          <w:color w:val="002060"/>
          <w:sz w:val="16"/>
          <w:szCs w:val="16"/>
        </w:rPr>
        <w:softHyphen/>
        <w:t>знала, что орудие Тарнавского—Лендера пригодно для об</w:t>
      </w:r>
      <w:r w:rsidRPr="00DE096C">
        <w:rPr>
          <w:bCs/>
          <w:color w:val="002060"/>
          <w:sz w:val="16"/>
          <w:szCs w:val="16"/>
        </w:rPr>
        <w:softHyphen/>
        <w:t>стрела не только аэростатов, но также дирижаблей и аэро</w:t>
      </w:r>
      <w:r w:rsidRPr="00DE096C">
        <w:rPr>
          <w:bCs/>
          <w:color w:val="002060"/>
          <w:sz w:val="16"/>
          <w:szCs w:val="16"/>
        </w:rPr>
        <w:softHyphen/>
        <w:t>планов. В конце августа 1914 г. ГАУ заказало заводу 12 та</w:t>
      </w:r>
      <w:r w:rsidRPr="00DE096C">
        <w:rPr>
          <w:bCs/>
          <w:color w:val="002060"/>
          <w:sz w:val="16"/>
          <w:szCs w:val="16"/>
        </w:rPr>
        <w:softHyphen/>
        <w:t>ких пушек, которые предполагалось ставить на четырехко</w:t>
      </w:r>
      <w:r w:rsidRPr="00DE096C">
        <w:rPr>
          <w:bCs/>
          <w:color w:val="002060"/>
          <w:sz w:val="16"/>
          <w:szCs w:val="16"/>
        </w:rPr>
        <w:softHyphen/>
        <w:t>лесные прицепы тележечного типа или в кузова грузовых автомобилей, чтобы использовать для прикрытия наибо</w:t>
      </w:r>
      <w:r w:rsidRPr="00DE096C">
        <w:rPr>
          <w:bCs/>
          <w:color w:val="002060"/>
          <w:sz w:val="16"/>
          <w:szCs w:val="16"/>
        </w:rPr>
        <w:softHyphen/>
        <w:t>лее важных оборонительных объектов, в частности, ставки главнокомандования (11417).</w:t>
      </w:r>
    </w:p>
    <w:p w14:paraId="31A3F7D9" w14:textId="77777777" w:rsidR="007B1C45" w:rsidRPr="00DE096C" w:rsidRDefault="007B1C45" w:rsidP="00D45A46">
      <w:pPr>
        <w:shd w:val="clear" w:color="auto" w:fill="FFFFFF"/>
        <w:jc w:val="both"/>
        <w:rPr>
          <w:bCs/>
          <w:color w:val="002060"/>
          <w:sz w:val="16"/>
          <w:szCs w:val="16"/>
        </w:rPr>
      </w:pPr>
    </w:p>
    <w:p w14:paraId="7A680EA7" w14:textId="77777777" w:rsidR="007B1C45" w:rsidRPr="00DE096C" w:rsidRDefault="007B1C45" w:rsidP="00D45A46">
      <w:pPr>
        <w:jc w:val="both"/>
        <w:rPr>
          <w:bCs/>
          <w:color w:val="002060"/>
          <w:sz w:val="16"/>
          <w:szCs w:val="16"/>
        </w:rPr>
      </w:pPr>
      <w:r w:rsidRPr="00DE096C">
        <w:rPr>
          <w:bCs/>
          <w:color w:val="002060"/>
          <w:sz w:val="16"/>
          <w:szCs w:val="16"/>
        </w:rPr>
        <w:t>В конце июля 1914 г. в канун Первой мировой войны на долю Петербурга, как промышленного рай она, приходилось 70% электротехнических изделий, выпускавшихся в России (Лавриков Ю.А. и др. Очерк о Ленинградском экономическом административном районе / Ю.А. Лавриков, Х.Х. Каримов, Р.М. Персианов. - Л.: Лениздат, 1958. С. 32.).</w:t>
      </w:r>
    </w:p>
    <w:p w14:paraId="0507202C" w14:textId="77777777" w:rsidR="007B1C45" w:rsidRPr="00DE096C" w:rsidRDefault="007B1C45" w:rsidP="00D45A46">
      <w:pPr>
        <w:jc w:val="both"/>
        <w:rPr>
          <w:bCs/>
          <w:color w:val="002060"/>
          <w:sz w:val="16"/>
          <w:szCs w:val="16"/>
        </w:rPr>
      </w:pPr>
      <w:r w:rsidRPr="00DE096C">
        <w:rPr>
          <w:bCs/>
          <w:color w:val="002060"/>
          <w:sz w:val="16"/>
          <w:szCs w:val="16"/>
        </w:rPr>
        <w:t>Основными предприятиями промышленности средств связи в Петербурге в это время были: - завод «Русского акционерного общества Л.М. Эриксон и Со»; - завод акционерного общества Русских электротехнических заводов «Си менс и Гальске»; - «Электромеханический и телеграфный завод Н.К. Гейслера и Со»; - Радиотелеграфный завод Морского ведомства; - завод «Русского общества беспроволочных телеграфов и телефонов».</w:t>
      </w:r>
    </w:p>
    <w:p w14:paraId="7D69E311" w14:textId="77777777" w:rsidR="007B1C45" w:rsidRPr="00DE096C" w:rsidRDefault="007B1C45" w:rsidP="00D45A46">
      <w:pPr>
        <w:jc w:val="both"/>
        <w:rPr>
          <w:bCs/>
          <w:color w:val="002060"/>
          <w:sz w:val="16"/>
          <w:szCs w:val="16"/>
        </w:rPr>
      </w:pPr>
      <w:r w:rsidRPr="00DE096C">
        <w:rPr>
          <w:bCs/>
          <w:color w:val="002060"/>
          <w:sz w:val="16"/>
          <w:szCs w:val="16"/>
        </w:rPr>
        <w:t>Еще в 1881 г. основателю известной шведской компании Л.М. Эриксону поступил заказ из Петербурга на изготовление небольшой партии телефонов («Эриксон» в России: вчера, сегодня, завтра // Электросвязь. - 2003. - № 11.- С. 83.).</w:t>
      </w:r>
    </w:p>
    <w:p w14:paraId="6238EE06" w14:textId="77777777" w:rsidR="007B1C45" w:rsidRPr="00DE096C" w:rsidRDefault="007B1C45" w:rsidP="00D45A46">
      <w:pPr>
        <w:jc w:val="both"/>
        <w:rPr>
          <w:bCs/>
          <w:color w:val="002060"/>
          <w:sz w:val="16"/>
          <w:szCs w:val="16"/>
        </w:rPr>
      </w:pPr>
      <w:r w:rsidRPr="00DE096C">
        <w:rPr>
          <w:bCs/>
          <w:color w:val="002060"/>
          <w:sz w:val="16"/>
          <w:szCs w:val="16"/>
        </w:rPr>
        <w:t>2 июня 1898 г. предприятие стало называться – Акционерное общество (АО) Русских электротехнических заводов «Сименс и Гальске» (Глущенко А. А. Место и роль радиотехники в модернизации России (1900-1917 гг.). – СПб.: НИИХ СПбГУ, 2002. С. 335.). В 1902 г. на за воде впервые в промышленных масштабах началась сборка радиотелеграфа, изобретенного А. С. Поповым (Золотая книга Санкт-Петербурга: промышленность, строительство, наука, транспорт, связь: Сборник / Под ред. Г.Н. Ивашевской. - СПб.: Независимый продюсерский центр, 2000. С. 54.). Предвидя большой спрос на радиоаппаратуру, общество «Сименс и Гальске» еще в 1904 г. организовало в Петербурге «Отде ление беспроволочной телеграфии по системе А.С. Попова» (Бренёв И. В. Начало радиотехники в России. - М.: Советское радио, 1970. С. 143.).</w:t>
      </w:r>
    </w:p>
    <w:p w14:paraId="3D1036EB" w14:textId="77777777" w:rsidR="007B1C45" w:rsidRPr="00DE096C" w:rsidRDefault="007B1C45" w:rsidP="00D45A46">
      <w:pPr>
        <w:jc w:val="both"/>
        <w:rPr>
          <w:bCs/>
          <w:color w:val="002060"/>
          <w:sz w:val="16"/>
          <w:szCs w:val="16"/>
        </w:rPr>
      </w:pPr>
      <w:r w:rsidRPr="00DE096C">
        <w:rPr>
          <w:bCs/>
          <w:color w:val="002060"/>
          <w:sz w:val="16"/>
          <w:szCs w:val="16"/>
        </w:rPr>
        <w:t>Фирма не имела полного производственного цикла в изготовлении радио аппаратуры и не проектировала образцы производимого оборудования, а зани малась лишь сборкой поставляемых из Германии комплектующих элементов ра диостанций и выполнением монтажно-установочных работ на объектах (Глущенко А.А. Указ. соч. С. 345, 363.).</w:t>
      </w:r>
    </w:p>
    <w:p w14:paraId="3217ADF0" w14:textId="77777777" w:rsidR="007B1C45" w:rsidRPr="00DE096C" w:rsidRDefault="007B1C45" w:rsidP="00D45A46">
      <w:pPr>
        <w:jc w:val="both"/>
        <w:rPr>
          <w:bCs/>
          <w:color w:val="002060"/>
          <w:sz w:val="16"/>
          <w:szCs w:val="16"/>
        </w:rPr>
      </w:pPr>
      <w:r w:rsidRPr="00DE096C">
        <w:rPr>
          <w:bCs/>
          <w:color w:val="002060"/>
          <w:sz w:val="16"/>
          <w:szCs w:val="16"/>
        </w:rPr>
        <w:t>С началом Первой мировой войны вся производственная деятельность АО была переориентирована на выполнение военных заказов, стоимость которых на 1 апреля 1915 г. составила 7250000 руб., из них 1193842 руб. приходилось на ра диотелеграфное оборудование, 2218208 руб. – на телеграфные и телефонные ап параты. В частности, по заказам Военного ведомства радиомастерская Общества поставляла военно-полевые, ранцевые, самолетные, автомобильные радиостан ции, заканчивало строительство мощных станций в Чите, Ташкенте и Кушке (Глущенко А.А. Указ. соч. С. 345, 363.).</w:t>
      </w:r>
    </w:p>
    <w:p w14:paraId="51789E7D" w14:textId="77777777" w:rsidR="007B1C45" w:rsidRPr="00DE096C" w:rsidRDefault="007B1C45" w:rsidP="00D45A46">
      <w:pPr>
        <w:jc w:val="both"/>
        <w:rPr>
          <w:bCs/>
          <w:color w:val="002060"/>
          <w:sz w:val="16"/>
          <w:szCs w:val="16"/>
        </w:rPr>
      </w:pPr>
      <w:r w:rsidRPr="00DE096C">
        <w:rPr>
          <w:bCs/>
          <w:color w:val="002060"/>
          <w:sz w:val="16"/>
          <w:szCs w:val="16"/>
        </w:rPr>
        <w:t>В конце 1916 г. деятельность АО «Сименс и Гальске» попала в поле зрения Особого комитета по борьбе с немецким засильем. Согласно решению прави тельства на предприятиях общества было введено Особое правление, а 27 мая 1917 г. был утвержден устав АО «Сименс» (Глущенко А.А. Указ. соч. С. 360.).</w:t>
      </w:r>
    </w:p>
    <w:p w14:paraId="1B64F422" w14:textId="77777777" w:rsidR="007B1C45" w:rsidRPr="00DE096C" w:rsidRDefault="007B1C45" w:rsidP="00D45A46">
      <w:pPr>
        <w:jc w:val="both"/>
        <w:rPr>
          <w:bCs/>
          <w:color w:val="002060"/>
          <w:sz w:val="16"/>
          <w:szCs w:val="16"/>
        </w:rPr>
      </w:pPr>
      <w:r w:rsidRPr="00DE096C">
        <w:rPr>
          <w:bCs/>
          <w:color w:val="002060"/>
          <w:sz w:val="16"/>
          <w:szCs w:val="16"/>
        </w:rPr>
        <w:t>После национализации в 1919 г. предприятие АО «Сименс» получило на именование – Петроградский телеграфный завод (Сименс) (Глущенко А.А. Указ. соч. С. 348.).</w:t>
      </w:r>
    </w:p>
    <w:p w14:paraId="0AF68436" w14:textId="77777777" w:rsidR="007B1C45" w:rsidRPr="00DE096C" w:rsidRDefault="007B1C45" w:rsidP="00D45A46">
      <w:pPr>
        <w:jc w:val="both"/>
        <w:rPr>
          <w:bCs/>
          <w:color w:val="002060"/>
          <w:sz w:val="16"/>
          <w:szCs w:val="16"/>
        </w:rPr>
      </w:pPr>
      <w:r w:rsidRPr="00DE096C">
        <w:rPr>
          <w:bCs/>
          <w:color w:val="002060"/>
          <w:sz w:val="16"/>
          <w:szCs w:val="16"/>
        </w:rPr>
        <w:t>История другого петербургского предприятия началась в 1874 г., когда те леграфный механик Н. К. Гейслер открыл в Петербурге небольшую электромеханическую мастерскую по ремонту телеграфной аппаратуры. С 1884 г. эта мас терская стала выпускать телефонные коммутаторы, а в 1895 г. совместно с аме риканской фирмой «Вестерн Электрик и C°» и на ее деньги построила в Петер бурге телефонно-телеграфный завод (Гольдштейн Б.С. От рассвета до заката: этапы пути СКС // Connect! Мир связи. - 2003. - № 11. - С. 47.).</w:t>
      </w:r>
    </w:p>
    <w:p w14:paraId="2E3AC683" w14:textId="77777777" w:rsidR="007B1C45" w:rsidRPr="00DE096C" w:rsidRDefault="007B1C45" w:rsidP="00D45A46">
      <w:pPr>
        <w:jc w:val="both"/>
        <w:rPr>
          <w:bCs/>
          <w:color w:val="002060"/>
          <w:sz w:val="16"/>
          <w:szCs w:val="16"/>
        </w:rPr>
      </w:pPr>
      <w:r w:rsidRPr="00DE096C">
        <w:rPr>
          <w:bCs/>
          <w:color w:val="002060"/>
          <w:sz w:val="16"/>
          <w:szCs w:val="16"/>
        </w:rPr>
        <w:t>С 1901 г. завод стал изготовлять телеграфные станции Уитстона, индук торные телефонные аппараты, телефонные коммутаторы для индукторного вы зова, швейцарские телеграфные коммутаторы и другую электротехническую продукцию. В 1903 г. начались работы над водонепроницаемыми судовыми те лефонами, телеграфными аппаратами системы Бодо. В 1906-1909 гг. к ним доба вились телеграфные аппараты системы Муррея, телефонные аппараты централь ной батареи, электроизмерительные приборы. С 1909 г. завод стал принадлежать акционерному обществу и получил наименование – «Электромеханический и те леграфный завод Н.К. Гейслера и C°» (Болошина Н.Ю. Петроградский телефонно-телеграфный завод Гейслера – центр по произ водству технических средств наблюдения по заказам армии и флота в Петербурге // Наука и техника: Вопросы истории и теории. Тезисы ХХ конференции СПбО РНК ИФНТ (22-25 но ября 1999 г.) Выпуск XV. - СПб., 1999. С. 96.). Акционерное общество на 2/3 принадле жало шведскому капиталу, а на 1/3 – американскому. Только к началу Первой мировой войны предприятие стало освобождаться от опеки иностранного капи тала (Центральная радиолаборатория в Ленинграде. [Очерк истории ЦРЛ – ИРПА] / Под ред. И. В. Бренева. – М.: Советское радио, 1973. С.10.).</w:t>
      </w:r>
    </w:p>
    <w:p w14:paraId="1FDE6097" w14:textId="77777777" w:rsidR="007B1C45" w:rsidRPr="00DE096C" w:rsidRDefault="007B1C45" w:rsidP="00D45A46">
      <w:pPr>
        <w:jc w:val="both"/>
        <w:rPr>
          <w:bCs/>
          <w:color w:val="002060"/>
          <w:sz w:val="16"/>
          <w:szCs w:val="16"/>
        </w:rPr>
      </w:pPr>
      <w:r w:rsidRPr="00DE096C">
        <w:rPr>
          <w:bCs/>
          <w:color w:val="002060"/>
          <w:sz w:val="16"/>
          <w:szCs w:val="16"/>
        </w:rPr>
        <w:lastRenderedPageBreak/>
        <w:t>Мировая война способствовала загрузке завода военными заказами. Из двухсот видов изделий, выпускавшихся предприятием, на их долю приходилось 50%. За 1914-1917 гг. на заводе было произведено 119100 телефонных и 25640 телеграфных аппаратов (Болошина Н.Ю. Указ.соч. С. 97.).</w:t>
      </w:r>
    </w:p>
    <w:p w14:paraId="312C41E5" w14:textId="77777777" w:rsidR="007B1C45" w:rsidRPr="00DE096C" w:rsidRDefault="007B1C45" w:rsidP="00D45A46">
      <w:pPr>
        <w:jc w:val="both"/>
        <w:rPr>
          <w:bCs/>
          <w:color w:val="002060"/>
          <w:sz w:val="16"/>
          <w:szCs w:val="16"/>
        </w:rPr>
      </w:pPr>
      <w:r w:rsidRPr="00DE096C">
        <w:rPr>
          <w:bCs/>
          <w:color w:val="002060"/>
          <w:sz w:val="16"/>
          <w:szCs w:val="16"/>
        </w:rPr>
        <w:t>Национализация предприятия в 1919 г. принесла ему и новое наименова ние - Петроградский телефонно-телеграфный завод (Гейслера).</w:t>
      </w:r>
    </w:p>
    <w:p w14:paraId="09E8BB25" w14:textId="77777777" w:rsidR="007B1C45" w:rsidRPr="00DE096C" w:rsidRDefault="007B1C45" w:rsidP="00D45A46">
      <w:pPr>
        <w:jc w:val="both"/>
        <w:rPr>
          <w:bCs/>
          <w:color w:val="002060"/>
          <w:sz w:val="16"/>
          <w:szCs w:val="16"/>
        </w:rPr>
      </w:pPr>
      <w:r w:rsidRPr="00DE096C">
        <w:rPr>
          <w:bCs/>
          <w:color w:val="002060"/>
          <w:sz w:val="16"/>
          <w:szCs w:val="16"/>
        </w:rPr>
        <w:t>Возникновение собственно русской электротехнической промышленности слабых токов относится к сентябрю 1900 г., когда в Кронштадте по инициативе А.С. Попова была создана «Мастерская по изготовлению и ремонту аппаратов для телеграфирования без проводов» (Центральный государственный архив Санкт-Петербурга (ЦГА СПб.), ф. 945, оп. 6, л. 1.). Мастерская занималась сборкой, установ кой и ремонтом корабельных радиостанций, получаемых от французской фирмы «Дюкрете», выпускавшей радиостанции по схеме Попова. Но из-за кустарного характера производства она не могла удовлетворять потребности флота в радио средствах (Горлатов В.И. Образование и становление Российского института мощного радиостроения // Наука и военная техника. Из истории оборонных предприятий Петербурга. Материалы симпозиума. – СПб., 2001. С. 35.). Первоначально производственные возможности мастерской едва достигали 11-13 радиостанций в год, что способствовало проникновению на рос сийский рынок продукции иностранных фирм. В 1908-1911 гг. была произведена реконструкция мастерской и построено новое здание в самом Петербурге (в Гребном порту на Васильевском острове), что позволило существенно расши рить производство. Динамика роста выпуска радиостанций только за три предво енных года выглядит так: 1911 г. - 12, 1912 г. – 45, 1913 г. – 147 станций (Доброписцев Г.Б. К сорокалетию русской радиопромышленности // Известия электропро мышленности слабого тока. - 1940. - № 11. - С. 7.).</w:t>
      </w:r>
    </w:p>
    <w:p w14:paraId="406042D3" w14:textId="77777777" w:rsidR="007B1C45" w:rsidRPr="00DE096C" w:rsidRDefault="007B1C45" w:rsidP="00D45A46">
      <w:pPr>
        <w:jc w:val="both"/>
        <w:rPr>
          <w:bCs/>
          <w:color w:val="002060"/>
          <w:sz w:val="16"/>
          <w:szCs w:val="16"/>
        </w:rPr>
      </w:pPr>
      <w:r w:rsidRPr="00DE096C">
        <w:rPr>
          <w:bCs/>
          <w:color w:val="002060"/>
          <w:sz w:val="16"/>
          <w:szCs w:val="16"/>
        </w:rPr>
        <w:t>В 1911 г. из состава мастерской выделилось «Поверочное отделение», ре организованное на основе утвержденного 16 ноября этого же года «Положения», в первую промышленную радиолабораторию нашей страны.</w:t>
      </w:r>
    </w:p>
    <w:p w14:paraId="47F05DF6" w14:textId="77777777" w:rsidR="007B1C45" w:rsidRPr="00DE096C" w:rsidRDefault="007B1C45" w:rsidP="00D45A46">
      <w:pPr>
        <w:jc w:val="both"/>
        <w:rPr>
          <w:bCs/>
          <w:color w:val="002060"/>
          <w:sz w:val="16"/>
          <w:szCs w:val="16"/>
        </w:rPr>
      </w:pPr>
      <w:r w:rsidRPr="00DE096C">
        <w:rPr>
          <w:bCs/>
          <w:color w:val="002060"/>
          <w:sz w:val="16"/>
          <w:szCs w:val="16"/>
        </w:rPr>
        <w:t>В 1913 г. решением Морского ведомства организуется Радиотелеграфное депо, а в 1914 г. это депо, а также мастерская и радиотелеграфная лаборатория объединяются в единое предприятие (ЦГА СПб., ф. 945, оп. 6, л. 1.). Приказом командира Петроградского пор та контр-адмирала А.Г. Бутакова № 355 от 26 июня 1915 г. предприятие получает наименование - «Радиотелеграфный завод Морского ведомства» (Глущенко А.А. Указ. соч. С. 321.).</w:t>
      </w:r>
    </w:p>
    <w:p w14:paraId="6B5180E1" w14:textId="55F8A45C" w:rsidR="007B1C45" w:rsidRPr="00DE096C" w:rsidRDefault="007B1C45" w:rsidP="00D45A46">
      <w:pPr>
        <w:jc w:val="both"/>
        <w:rPr>
          <w:bCs/>
          <w:color w:val="002060"/>
          <w:sz w:val="16"/>
          <w:szCs w:val="16"/>
        </w:rPr>
      </w:pPr>
      <w:r w:rsidRPr="00DE096C">
        <w:rPr>
          <w:bCs/>
          <w:color w:val="002060"/>
          <w:sz w:val="16"/>
          <w:szCs w:val="16"/>
        </w:rPr>
        <w:t>Радиотелеграфный завод был почти единственным местом, где развивалась самостоятельная русская научная мысль в области радиотехники. Вопросами ра диовооружения флота здесь занимались крупнейшие отечественные радиоспе циалисты: М.В. Шулейкин (с осени 1914 г. по март 1918 г. – начальник лабора</w:t>
      </w:r>
      <w:r w:rsidR="0006581C">
        <w:rPr>
          <w:bCs/>
          <w:color w:val="002060"/>
          <w:sz w:val="16"/>
          <w:szCs w:val="16"/>
        </w:rPr>
        <w:t xml:space="preserve"> </w:t>
      </w:r>
      <w:r w:rsidRPr="00DE096C">
        <w:rPr>
          <w:bCs/>
          <w:color w:val="002060"/>
          <w:sz w:val="16"/>
          <w:szCs w:val="16"/>
        </w:rPr>
        <w:t>тории завода), Н.Н. Циклинский, А.А. Петровский, Л.Д. Исаков, В.А. Габель, В.И. Волынкин и др (Михаил Васильевич Шулейкин: Сб. статей / Под ред. Б.А. Введенского. - М.: Сов.радио, 1952. С. 25.).</w:t>
      </w:r>
    </w:p>
    <w:p w14:paraId="30CA21C3" w14:textId="77777777" w:rsidR="007B1C45" w:rsidRPr="00DE096C" w:rsidRDefault="007B1C45" w:rsidP="00D45A46">
      <w:pPr>
        <w:jc w:val="both"/>
        <w:rPr>
          <w:bCs/>
          <w:color w:val="002060"/>
          <w:sz w:val="16"/>
          <w:szCs w:val="16"/>
        </w:rPr>
      </w:pPr>
      <w:r w:rsidRPr="00DE096C">
        <w:rPr>
          <w:bCs/>
          <w:color w:val="002060"/>
          <w:sz w:val="16"/>
          <w:szCs w:val="16"/>
        </w:rPr>
        <w:t>В годы Первой мировой войны завод осуществлял снабжение и вооруже ние флота радиосредствами. Пик производства пришелся на 1916 г., когда на предприятии было произведено 77 передающих и 300 приемных радиостанций, около 500 мелких радиоприборов и осуществлена установка 30 станций (ЦГА СПб., ф. 945, оп. 3, д. 2, л. 53.).</w:t>
      </w:r>
    </w:p>
    <w:p w14:paraId="557E1094" w14:textId="77777777" w:rsidR="007B1C45" w:rsidRPr="00DE096C" w:rsidRDefault="007B1C45" w:rsidP="00D45A46">
      <w:pPr>
        <w:jc w:val="both"/>
        <w:rPr>
          <w:bCs/>
          <w:color w:val="002060"/>
          <w:sz w:val="16"/>
          <w:szCs w:val="16"/>
        </w:rPr>
      </w:pPr>
      <w:r w:rsidRPr="00DE096C">
        <w:rPr>
          <w:bCs/>
          <w:color w:val="002060"/>
          <w:sz w:val="16"/>
          <w:szCs w:val="16"/>
        </w:rPr>
        <w:t>После революции завод перешел в ведение Морского отдела Технического производственного управления Главного управления военной промышленности (ГУВП) (ЦГА СПб., ф. 945, оп. 3, д. 2, л. 29.). 9 февраля 1923 г. приказом по ГУВП предприятие получило наимено вание - «Петроградский радиотелеграфный завод им. Коминтерна» (ЦГА СПб., ф. 945, оп. 3, д. 2, л. 13.).</w:t>
      </w:r>
    </w:p>
    <w:p w14:paraId="604ED654" w14:textId="77777777" w:rsidR="007B1C45" w:rsidRPr="00DE096C" w:rsidRDefault="007B1C45" w:rsidP="00D45A46">
      <w:pPr>
        <w:jc w:val="both"/>
        <w:rPr>
          <w:bCs/>
          <w:color w:val="002060"/>
          <w:sz w:val="16"/>
          <w:szCs w:val="16"/>
        </w:rPr>
      </w:pPr>
      <w:r w:rsidRPr="00DE096C">
        <w:rPr>
          <w:bCs/>
          <w:color w:val="002060"/>
          <w:sz w:val="16"/>
          <w:szCs w:val="16"/>
        </w:rPr>
        <w:t>Организатором еще одного отечественного радиотехнического предпри ятия был С. М. Айзенштейн. В 1908 г. он подал в Министерство торговли про шение об учреждении «Общества беспроволочных телеграфов и телефонов», а 3 октября этого же года император Николай II рассмотрел и утвердил устав нового общества (Глущенко А.А. Указ. соч. С. 379.).</w:t>
      </w:r>
    </w:p>
    <w:p w14:paraId="4B81492E" w14:textId="77777777" w:rsidR="007B1C45" w:rsidRPr="00DE096C" w:rsidRDefault="007B1C45" w:rsidP="00D45A46">
      <w:pPr>
        <w:jc w:val="both"/>
        <w:rPr>
          <w:bCs/>
          <w:color w:val="002060"/>
          <w:sz w:val="16"/>
          <w:szCs w:val="16"/>
        </w:rPr>
      </w:pPr>
      <w:r w:rsidRPr="00DE096C">
        <w:rPr>
          <w:bCs/>
          <w:color w:val="002060"/>
          <w:sz w:val="16"/>
          <w:szCs w:val="16"/>
        </w:rPr>
        <w:t>Общество выполняло заказы правительственных ведомств на изготовление, установку и ввод в эксплуатацию связных радиостанций. Оно имело собствен ные мастерские, а в 1909 г. построило в Петербурге специализированный завод на Лопухинской ул. (ныне ул. академика Павлова), д. 14а, директором которого стал С.М. Айзенштейн. Завод не только обеспечивал текущие потребности про изводства – там велись научные исследования и разработки. Одной из первых разработок Общества была полевая искровая радиостанция, установленная на четырех двуколках. Она обеспечивала уверенную связь на расстоянии 150 верст.</w:t>
      </w:r>
    </w:p>
    <w:p w14:paraId="39E13C6F" w14:textId="77777777" w:rsidR="007B1C45" w:rsidRPr="00DE096C" w:rsidRDefault="007B1C45" w:rsidP="00D45A46">
      <w:pPr>
        <w:jc w:val="both"/>
        <w:rPr>
          <w:bCs/>
          <w:color w:val="002060"/>
          <w:sz w:val="16"/>
          <w:szCs w:val="16"/>
        </w:rPr>
      </w:pPr>
      <w:r w:rsidRPr="00DE096C">
        <w:rPr>
          <w:bCs/>
          <w:color w:val="002060"/>
          <w:sz w:val="16"/>
          <w:szCs w:val="16"/>
        </w:rPr>
        <w:t>Аналогичная радиостанция компании Г. Маркони размещалась на 14 двуколках и обеспечивала связь на 45 верст. В 1910 г. Общество переименовывается в «Русское общество беспроволочных телеграфов и телефонов» (РОБТиТ).</w:t>
      </w:r>
    </w:p>
    <w:p w14:paraId="10D8362F" w14:textId="77777777" w:rsidR="007B1C45" w:rsidRPr="00DE096C" w:rsidRDefault="007B1C45" w:rsidP="00D45A46">
      <w:pPr>
        <w:jc w:val="both"/>
        <w:rPr>
          <w:bCs/>
          <w:color w:val="002060"/>
          <w:sz w:val="16"/>
          <w:szCs w:val="16"/>
        </w:rPr>
      </w:pPr>
      <w:r w:rsidRPr="00DE096C">
        <w:rPr>
          <w:bCs/>
          <w:color w:val="002060"/>
          <w:sz w:val="16"/>
          <w:szCs w:val="16"/>
        </w:rPr>
        <w:t>Для укрепления финансового состояния предприятия и его позиций на рынке в октябре 1911 г. РОБТиТ заключает договор с компанией Г. Маркони об обмене патентами и покупке этой компанией части акций РОБТиТ. Причем сам Г. Маркони получил право войти в состав правления общества (Гончаров В.Б., Петкау О.Г. Старейшее радиотехническое предприятие Санкт-Петербурга // Электросвязь. - 2003. - № 10. - С. 44.).</w:t>
      </w:r>
    </w:p>
    <w:p w14:paraId="51A363F8" w14:textId="77777777" w:rsidR="007B1C45" w:rsidRPr="00DE096C" w:rsidRDefault="007B1C45" w:rsidP="00D45A46">
      <w:pPr>
        <w:jc w:val="both"/>
        <w:rPr>
          <w:bCs/>
          <w:color w:val="002060"/>
          <w:sz w:val="16"/>
          <w:szCs w:val="16"/>
        </w:rPr>
      </w:pPr>
      <w:r w:rsidRPr="00DE096C">
        <w:rPr>
          <w:bCs/>
          <w:color w:val="002060"/>
          <w:sz w:val="16"/>
          <w:szCs w:val="16"/>
        </w:rPr>
        <w:t>В годы Первой мировой войны РОБТиТ разработало обширную номенкла туру радиотехнического оборудования. Апогеем деятельности общества явилось строительство и ввод в действие в 1914-1915 гг. двух передающих радиостанций мощностью 300 кВт (в Царском Село и на Ходынском поле в Москве) и отдель ной приемной радиостанции в Твери, обеспечивавших связь России со своими союзниками по Антанте (Глущенко А.А. Указ. соч).</w:t>
      </w:r>
    </w:p>
    <w:p w14:paraId="043EF218" w14:textId="77777777" w:rsidR="007B1C45" w:rsidRPr="00DE096C" w:rsidRDefault="007B1C45" w:rsidP="00D45A46">
      <w:pPr>
        <w:jc w:val="both"/>
        <w:rPr>
          <w:bCs/>
          <w:color w:val="002060"/>
          <w:sz w:val="16"/>
          <w:szCs w:val="16"/>
        </w:rPr>
      </w:pPr>
      <w:r w:rsidRPr="00DE096C">
        <w:rPr>
          <w:bCs/>
          <w:color w:val="002060"/>
          <w:sz w:val="16"/>
          <w:szCs w:val="16"/>
        </w:rPr>
        <w:t>В РОБТиТ, кроме самого С. М. Айзенштейна, работали многие талантли вые отечественные радиотехники и инженеры – Н.Н. Дмитриев, Р.В. Львович, Н.Д. Папалекси, И.Ю. Шейнберг, В.В. Ширков и др. В числе новаторских работ следует упомянуть об опытах по установлению радиосвязи с подводными лод ками и опытах по радиотелефонии (С.М. Айзенштейн), а также о разработке пер вых отечественных радиоламп – катодных реле (Н.Д. Папалекси).</w:t>
      </w:r>
    </w:p>
    <w:p w14:paraId="7DDA43C1" w14:textId="77777777" w:rsidR="007B1C45" w:rsidRPr="00DE096C" w:rsidRDefault="007B1C45" w:rsidP="00D45A46">
      <w:pPr>
        <w:jc w:val="both"/>
        <w:rPr>
          <w:bCs/>
          <w:color w:val="002060"/>
          <w:sz w:val="16"/>
          <w:szCs w:val="16"/>
        </w:rPr>
      </w:pPr>
      <w:r w:rsidRPr="00DE096C">
        <w:rPr>
          <w:bCs/>
          <w:color w:val="002060"/>
          <w:sz w:val="16"/>
          <w:szCs w:val="16"/>
        </w:rPr>
        <w:t>В условиях значительного спроса оборонных ведомств на радиотехниче ские изделия, РОБТиТ идет на расширение номенклатуры выпускаемых изделий, для чего требовалось расширение имеемых производственных площадей. С этой целью в 1916 г. предприятие строит в Москве (на Шаболовке) мастерские по производству электродвигателей и учреждает свое представительство. В конце 1917 – начале 1918 гг. Общество эвакуирует из Петрограда в Москву заводскую лабораторию, значительную часть оборудования и находившие на складе гото вые изделия. Оставшееся в Петрограде оборудование было законсервировано.</w:t>
      </w:r>
    </w:p>
    <w:p w14:paraId="3966366E" w14:textId="77777777" w:rsidR="007B1C45" w:rsidRPr="00DE096C" w:rsidRDefault="007B1C45" w:rsidP="00D45A46">
      <w:pPr>
        <w:jc w:val="both"/>
        <w:rPr>
          <w:bCs/>
          <w:color w:val="002060"/>
          <w:sz w:val="16"/>
          <w:szCs w:val="16"/>
        </w:rPr>
      </w:pPr>
      <w:r w:rsidRPr="00DE096C">
        <w:rPr>
          <w:bCs/>
          <w:color w:val="002060"/>
          <w:sz w:val="16"/>
          <w:szCs w:val="16"/>
        </w:rPr>
        <w:t>Декретом Совета народных комиссаров от 28 марта 1918 г. завод РОБТиТ со всеми принадлежавшими ему производственными подразделениями был национализирован (Глущенко А.А. Указ. соч. С. 418.). Предприятие в Петрограде получило наименование – Петроград ский радиоаппаратный завод.</w:t>
      </w:r>
    </w:p>
    <w:p w14:paraId="2142E26B" w14:textId="77777777" w:rsidR="007B1C45" w:rsidRPr="00DE096C" w:rsidRDefault="007B1C45" w:rsidP="00D45A46">
      <w:pPr>
        <w:jc w:val="both"/>
        <w:rPr>
          <w:bCs/>
          <w:color w:val="002060"/>
          <w:sz w:val="16"/>
          <w:szCs w:val="16"/>
        </w:rPr>
      </w:pPr>
      <w:r w:rsidRPr="00DE096C">
        <w:rPr>
          <w:bCs/>
          <w:color w:val="002060"/>
          <w:sz w:val="16"/>
          <w:szCs w:val="16"/>
        </w:rPr>
        <w:t>Кроме вышеперечисленных заводов, составлявших ядро электротехниче ской промышленности слабых токов, производственно-исследовательские рабо ты в области средств связи, в первую очередь для нужд Военного ведомства, проводились на других промышленных объектах и в научно-исследовательских учреждениях (НИУ) Петербурга-Петрограда.</w:t>
      </w:r>
    </w:p>
    <w:p w14:paraId="1DF4EF27" w14:textId="77777777" w:rsidR="007B1C45" w:rsidRPr="00DE096C" w:rsidRDefault="007B1C45" w:rsidP="00D45A46">
      <w:pPr>
        <w:jc w:val="both"/>
        <w:rPr>
          <w:bCs/>
          <w:color w:val="002060"/>
          <w:sz w:val="16"/>
          <w:szCs w:val="16"/>
        </w:rPr>
      </w:pPr>
      <w:r w:rsidRPr="00DE096C">
        <w:rPr>
          <w:bCs/>
          <w:color w:val="002060"/>
          <w:sz w:val="16"/>
          <w:szCs w:val="16"/>
        </w:rPr>
        <w:t>Среди них необходимо отметить существовавшую в Петербурге при Ни колаевском военно-инженерном училище (Архив Военно-исторического музея артиллерии, инженерных войск и войск связи (архив ВИМАИВиВС), ф. 60р, оп. 1, д. 34, л. 2.) Военную электротехническую школу, которая с 1911 года стала называться Офицерской электротехнической школой (ОЭШ). Наряду с подготовкой специалистов для подразделений связи русской армии, в радиокабинете этой школы велись исследовательские работы (Центральная радиолаборатория в Ленинграде. [Очерк истории ЦРЛ – ИРПА] / Под ред. И.В. Бренева. – М.: Сов. радио, 1973. С. 13.).</w:t>
      </w:r>
    </w:p>
    <w:p w14:paraId="58875B32" w14:textId="77777777" w:rsidR="007B1C45" w:rsidRPr="00DE096C" w:rsidRDefault="007B1C45" w:rsidP="00D45A46">
      <w:pPr>
        <w:jc w:val="both"/>
        <w:rPr>
          <w:bCs/>
          <w:color w:val="002060"/>
          <w:sz w:val="16"/>
          <w:szCs w:val="16"/>
        </w:rPr>
      </w:pPr>
      <w:r w:rsidRPr="00DE096C">
        <w:rPr>
          <w:bCs/>
          <w:color w:val="002060"/>
          <w:sz w:val="16"/>
          <w:szCs w:val="16"/>
        </w:rPr>
        <w:t>В 1904 г. здесь была осуществлена модернизация первых армейских ра диостанций, разработанных под руководством А.С. Попова, для эксплуатации в полевых условиях (Члиянц Г. Из истории становления отечественной военной радиосвязи // Радиомир.КВ и УКВ. - 2002. - № 12. - С. 2.), а в 1911 г. была впервые разработана самолетная радиостан ция, которая в конце 1915 г. стала поступать на вооружение армии (Тележный Б.Г. Развитие радиосвязи в российской армии в период русско-японской и пер вой мировой войн // Электросвязь. - 2002. - № 2. - С. 47.).</w:t>
      </w:r>
    </w:p>
    <w:p w14:paraId="5BC27790" w14:textId="77777777" w:rsidR="007B1C45" w:rsidRPr="00DE096C" w:rsidRDefault="007B1C45" w:rsidP="00D45A46">
      <w:pPr>
        <w:jc w:val="both"/>
        <w:rPr>
          <w:bCs/>
          <w:color w:val="002060"/>
          <w:sz w:val="16"/>
          <w:szCs w:val="16"/>
        </w:rPr>
      </w:pPr>
      <w:r w:rsidRPr="00DE096C">
        <w:rPr>
          <w:bCs/>
          <w:color w:val="002060"/>
          <w:sz w:val="16"/>
          <w:szCs w:val="16"/>
        </w:rPr>
        <w:t>Весной 1918 г. в связи с военной угрозой ОЭШ вместе с личным составом и имуществом была эвакуирована из Петрограда. Новым местом дислокации Офицерских курсов стал Сергиев Посад, а Запасного батальона и радиокабинета - Саратов. Впоследствии эти подразделения ОЭШ стали базой для создания но вых учреждений, работавших в области военной связи. Офицерские курсы 8 ноября 1919 г. приказом РВС были преобразованы в Высшую военную электротех ническую школу комсостава РККА (Архив ВИМАИВиВС, ф. 60р, оп. 1, д. 74, л. 5.), впоследствии ставшую известной как Во енная ордена Ленина Краснознаменная академия связи им. С.М. Буденного. На базе радиокабинета в Москве была создана Военная радиотехническая лаборатория, в свою очередь ставшая прообразом Научно- испытательного института свя зи (НИИС) Рабоче-крестьянской Красной Армии (РККА).</w:t>
      </w:r>
    </w:p>
    <w:p w14:paraId="4E71A674" w14:textId="77777777" w:rsidR="007B1C45" w:rsidRPr="00DE096C" w:rsidRDefault="007B1C45" w:rsidP="00D45A46">
      <w:pPr>
        <w:jc w:val="both"/>
        <w:rPr>
          <w:bCs/>
          <w:color w:val="002060"/>
          <w:sz w:val="16"/>
          <w:szCs w:val="16"/>
        </w:rPr>
      </w:pPr>
      <w:r w:rsidRPr="00DE096C">
        <w:rPr>
          <w:bCs/>
          <w:color w:val="002060"/>
          <w:sz w:val="16"/>
          <w:szCs w:val="16"/>
        </w:rPr>
        <w:t>Анализ процесса зарождения и развития отечественной базы производства средств связи, прежде всего петербургско-петроградской, позволяет прийти к некоторым принципиальным выводам.</w:t>
      </w:r>
    </w:p>
    <w:p w14:paraId="790B937E" w14:textId="77777777" w:rsidR="007B1C45" w:rsidRPr="00DE096C" w:rsidRDefault="007B1C45" w:rsidP="00D45A46">
      <w:pPr>
        <w:jc w:val="both"/>
        <w:rPr>
          <w:bCs/>
          <w:color w:val="002060"/>
          <w:sz w:val="16"/>
          <w:szCs w:val="16"/>
        </w:rPr>
      </w:pPr>
      <w:r w:rsidRPr="00DE096C">
        <w:rPr>
          <w:bCs/>
          <w:color w:val="002060"/>
          <w:sz w:val="16"/>
          <w:szCs w:val="16"/>
        </w:rPr>
        <w:t>Во-первых, большинство русских электротехнических предприятий воз никло и развивалось под эгидой крупнейших заграничных фирм. В довоенное время характерной чертой этих предприятий было то, что они пользовались всем опытом крупнейших заграничных предприятий и результатами научных дости жений интеллектуальных сил Запада, имея возможность применять практически испытанные конструкции, пользуясь приемами производства и получая из-за границы даже часть технически подготовленного технического персонала. В своей производственной деятельности эти предприятия могли обходиться без особо развитой технической организации, а тем более без постановки широко масштабных научных исследований в области техники слабого тока (Глущенко А.А. Указ. соч. С. 450.).</w:t>
      </w:r>
    </w:p>
    <w:p w14:paraId="4C26436E" w14:textId="77777777" w:rsidR="007B1C45" w:rsidRPr="00DE096C" w:rsidRDefault="007B1C45" w:rsidP="00D45A46">
      <w:pPr>
        <w:jc w:val="both"/>
        <w:rPr>
          <w:bCs/>
          <w:color w:val="002060"/>
          <w:sz w:val="16"/>
          <w:szCs w:val="16"/>
        </w:rPr>
      </w:pPr>
      <w:r w:rsidRPr="00DE096C">
        <w:rPr>
          <w:bCs/>
          <w:color w:val="002060"/>
          <w:sz w:val="16"/>
          <w:szCs w:val="16"/>
        </w:rPr>
        <w:t>Во-вторых, следует сказать, что эти так называемые «русские», а по суще ству иностранные предприятия в России сыграли существенную положительную роль в нашей стране. Они способствовали вовлечению значительного количества людей в производство и обслуживание технических средств новой, наукоемкой отрасли – электротехники слабых токов. Впоследствии эти кадры оказались нужными и полезными при становлении и последующем развертывании про мышленности средств связи СССР (Бренёв И. В. Начало радиотехники в России. - М., 1970. С. 144.).</w:t>
      </w:r>
    </w:p>
    <w:p w14:paraId="72F5BA22" w14:textId="77777777" w:rsidR="007B1C45" w:rsidRPr="00DE096C" w:rsidRDefault="007B1C45" w:rsidP="00D45A46">
      <w:pPr>
        <w:jc w:val="both"/>
        <w:rPr>
          <w:bCs/>
          <w:color w:val="002060"/>
          <w:sz w:val="16"/>
          <w:szCs w:val="16"/>
        </w:rPr>
      </w:pPr>
      <w:r w:rsidRPr="00DE096C">
        <w:rPr>
          <w:bCs/>
          <w:color w:val="002060"/>
          <w:sz w:val="16"/>
          <w:szCs w:val="16"/>
        </w:rPr>
        <w:t>В-третьих, производство электрослаботочной продукции принадлежало к числу наиболее организованных и поставленных отраслей, и поэтому покрывало в дореволюционный период большую часть внутреннего спроса (Кафенгауз Л.Б. Эволюция промышленного производства России (последняя треть XIX – 30 е годы ХХ в.) - М.: Эпифания, 1994. С. 143.).</w:t>
      </w:r>
    </w:p>
    <w:p w14:paraId="57F2AF20" w14:textId="77777777" w:rsidR="007B1C45" w:rsidRPr="00DE096C" w:rsidRDefault="007B1C45" w:rsidP="00D45A46">
      <w:pPr>
        <w:jc w:val="both"/>
        <w:rPr>
          <w:bCs/>
          <w:color w:val="002060"/>
          <w:sz w:val="16"/>
          <w:szCs w:val="16"/>
        </w:rPr>
      </w:pPr>
      <w:r w:rsidRPr="00DE096C">
        <w:rPr>
          <w:bCs/>
          <w:color w:val="002060"/>
          <w:sz w:val="16"/>
          <w:szCs w:val="16"/>
        </w:rPr>
        <w:t xml:space="preserve">В-четвертых, период Первой мировой войны явился для электротехниче ской промышленности слабых токов периодом наивысшего расцвета. Война прервала связи русских заводов с их головными заграничными предприятиями, потребовалось создание своей промышленной базы. Была начата организация новых производств, </w:t>
      </w:r>
      <w:r w:rsidRPr="00DE096C">
        <w:rPr>
          <w:bCs/>
          <w:color w:val="002060"/>
          <w:sz w:val="16"/>
          <w:szCs w:val="16"/>
        </w:rPr>
        <w:lastRenderedPageBreak/>
        <w:t>началось строительство новых заводов. Само производство заводов претерпело существенный сдвиг в сторону военного производства, а проведенное во время войны расширение и дооборудование предприятий спо собствовало решению задач и целей мирного строительства.</w:t>
      </w:r>
    </w:p>
    <w:p w14:paraId="1435335F" w14:textId="77777777" w:rsidR="007B1C45" w:rsidRPr="00DE096C" w:rsidRDefault="007B1C45" w:rsidP="00D45A46">
      <w:pPr>
        <w:jc w:val="both"/>
        <w:rPr>
          <w:bCs/>
          <w:color w:val="002060"/>
          <w:sz w:val="16"/>
          <w:szCs w:val="16"/>
        </w:rPr>
      </w:pPr>
      <w:r w:rsidRPr="00DE096C">
        <w:rPr>
          <w:bCs/>
          <w:color w:val="002060"/>
          <w:sz w:val="16"/>
          <w:szCs w:val="16"/>
        </w:rPr>
        <w:t>Благодаря деятельности вышеперечисленных предприятий русская армия в годы Первой мировой войны имела на вооружении целый ряд электротехниче ских средств связи.</w:t>
      </w:r>
    </w:p>
    <w:p w14:paraId="580087B2" w14:textId="77777777" w:rsidR="007B1C45" w:rsidRPr="00DE096C" w:rsidRDefault="007B1C45" w:rsidP="00D45A46">
      <w:pPr>
        <w:jc w:val="both"/>
        <w:rPr>
          <w:bCs/>
          <w:color w:val="002060"/>
          <w:sz w:val="16"/>
          <w:szCs w:val="16"/>
        </w:rPr>
      </w:pPr>
      <w:r w:rsidRPr="00DE096C">
        <w:rPr>
          <w:bCs/>
          <w:color w:val="002060"/>
          <w:sz w:val="16"/>
          <w:szCs w:val="16"/>
        </w:rPr>
        <w:t>В начале войны в войсках имелось около ста полевых, тридцати легких ка валерийских, двенадцати базисных и восьми крепостных радиостанций. Полевые радиостанции имелись трех типов: искровые РОБТиТ обр. 1908 г. и два типа ра диостанций производства «Сименс и Гальске» и РОБТиТ обр. 1910 г. (Бренев И.В. Указ. соч. С. 226.).</w:t>
      </w:r>
    </w:p>
    <w:p w14:paraId="27629CBF" w14:textId="77777777" w:rsidR="007B1C45" w:rsidRPr="00DE096C" w:rsidRDefault="007B1C45" w:rsidP="00D45A46">
      <w:pPr>
        <w:jc w:val="both"/>
        <w:rPr>
          <w:bCs/>
          <w:color w:val="002060"/>
          <w:sz w:val="16"/>
          <w:szCs w:val="16"/>
        </w:rPr>
      </w:pPr>
      <w:r w:rsidRPr="00DE096C">
        <w:rPr>
          <w:bCs/>
          <w:color w:val="002060"/>
          <w:sz w:val="16"/>
          <w:szCs w:val="16"/>
        </w:rPr>
        <w:t>В ходе войны были разработаны и поступили на вооружение действующей армии несколько типов телеграфных искровых радиостанций различных фирм: «Маркони», «Сименс и Гальске», РОБТиТ (Балаев Н.И. и др. Военные связисты в дни войны и мира / Н.И. Балаев, А.И. Бородни, Л.С.Гордон. - М.: Воениздат, 1968. С. 51.).</w:t>
      </w:r>
    </w:p>
    <w:p w14:paraId="0D240024" w14:textId="77777777" w:rsidR="007B1C45" w:rsidRPr="00DE096C" w:rsidRDefault="007B1C45" w:rsidP="00D45A46">
      <w:pPr>
        <w:jc w:val="both"/>
        <w:rPr>
          <w:bCs/>
          <w:color w:val="002060"/>
          <w:sz w:val="16"/>
          <w:szCs w:val="16"/>
        </w:rPr>
      </w:pPr>
      <w:r w:rsidRPr="00DE096C">
        <w:rPr>
          <w:bCs/>
          <w:color w:val="002060"/>
          <w:sz w:val="16"/>
          <w:szCs w:val="16"/>
        </w:rPr>
        <w:t>Всего к концу 1916 г. на вооружении армии находилось более 1000 радио станций (Б.Г. Тележный. Указ.соч. // Электросвязь. - 2002. - № 2. - С. 47.). Кроме того, войска использовали местные стационарные искровые станции с дальностью действия до 640 и более километров (Балаев Н.И. и др. Указ.соч. С. 27.).</w:t>
      </w:r>
    </w:p>
    <w:p w14:paraId="392613C2" w14:textId="77777777" w:rsidR="007B1C45" w:rsidRPr="00DE096C" w:rsidRDefault="007B1C45" w:rsidP="00D45A46">
      <w:pPr>
        <w:jc w:val="both"/>
        <w:rPr>
          <w:bCs/>
          <w:color w:val="002060"/>
          <w:sz w:val="16"/>
          <w:szCs w:val="16"/>
        </w:rPr>
      </w:pPr>
      <w:r w:rsidRPr="00DE096C">
        <w:rPr>
          <w:bCs/>
          <w:color w:val="002060"/>
          <w:sz w:val="16"/>
          <w:szCs w:val="16"/>
        </w:rPr>
        <w:t>Основное производство радиостанций для ВМФ было организовано на «Радиотелеграфном заводе Морского ведомства». Силами отечественных радио специалистов были разработаны и поставлены на производство пять типов кора бельных и береговых искровых передатчиков мощностью от 0,2 до 25 кВт (Белов Ф.И. Этапы радиовооружения войск связи Советской Армии // Очерки по истории войск связи. – М.: ВНО при ЦДСА им. М.В. Фрунзе, 1969. – вып.1. – С. 62.).</w:t>
      </w:r>
    </w:p>
    <w:p w14:paraId="04D0D98A" w14:textId="77777777" w:rsidR="007B1C45" w:rsidRPr="00DE096C" w:rsidRDefault="007B1C45" w:rsidP="00D45A46">
      <w:pPr>
        <w:jc w:val="both"/>
        <w:rPr>
          <w:bCs/>
          <w:color w:val="002060"/>
          <w:sz w:val="16"/>
          <w:szCs w:val="16"/>
        </w:rPr>
      </w:pPr>
      <w:r w:rsidRPr="00DE096C">
        <w:rPr>
          <w:bCs/>
          <w:color w:val="002060"/>
          <w:sz w:val="16"/>
          <w:szCs w:val="16"/>
        </w:rPr>
        <w:t>Основу арсенала телефонной техники, с которым русская армия встретила Первую мировую войну, составляли полевые телефонные аппараты с фониче ским вызовом обр. 1909 г., изготовленные заводами «Эриксона» и «Гейслера» (Архив ВИМАИВиВС, ф. 10р, оп. 1, д. 107, л. 164).</w:t>
      </w:r>
    </w:p>
    <w:p w14:paraId="5B36315D" w14:textId="77777777" w:rsidR="007B1C45" w:rsidRPr="00DE096C" w:rsidRDefault="007B1C45" w:rsidP="00D45A46">
      <w:pPr>
        <w:jc w:val="both"/>
        <w:rPr>
          <w:bCs/>
          <w:color w:val="002060"/>
          <w:sz w:val="16"/>
          <w:szCs w:val="16"/>
        </w:rPr>
      </w:pPr>
      <w:r w:rsidRPr="00DE096C">
        <w:rPr>
          <w:bCs/>
          <w:color w:val="002060"/>
          <w:sz w:val="16"/>
          <w:szCs w:val="16"/>
        </w:rPr>
        <w:t>Во время войны были выпущены полевые телефонные аппараты с индук торным вызовом девяти типов, с фоническим вызовом 16 типов, три типа аппаратов облегченного типа, два образца полевых форпостных телефонов. Все эти аппараты отличались друг от друга габаритами, весом, схемами, но принципи альных различий не имели (Архив ВИМАИВиВС, ф. 10р, оп. 1, д. 107, л. 165.). Со второй половины войны число различных систем телефонов значительно возросло за счет появления аппаратов иностранных ма рок: английских, норвежских, японских, американских, германских, австрийских (Архив ВИМАИВиВС, ф. 10р, оп. 1, д. 107, л. 166.).</w:t>
      </w:r>
    </w:p>
    <w:p w14:paraId="49109965" w14:textId="77777777" w:rsidR="007B1C45" w:rsidRPr="00DE096C" w:rsidRDefault="007B1C45" w:rsidP="00D45A46">
      <w:pPr>
        <w:jc w:val="both"/>
        <w:rPr>
          <w:bCs/>
          <w:color w:val="002060"/>
          <w:sz w:val="16"/>
          <w:szCs w:val="16"/>
        </w:rPr>
      </w:pPr>
      <w:r w:rsidRPr="00DE096C">
        <w:rPr>
          <w:bCs/>
          <w:color w:val="002060"/>
          <w:sz w:val="16"/>
          <w:szCs w:val="16"/>
        </w:rPr>
        <w:t>Для устройства центральных телефонных станций в русской армии приме нялись фонические и индукторные коммутаторы, изготовляемые, в основном, фирмами «Эриксона» и «Гейслера» (Архив ВИМАИВиВС, ф. 10Р, оп. 1, д. 107, л. 186.).</w:t>
      </w:r>
    </w:p>
    <w:p w14:paraId="1CD9A504" w14:textId="77777777" w:rsidR="007B1C45" w:rsidRPr="00DE096C" w:rsidRDefault="007B1C45" w:rsidP="00D45A46">
      <w:pPr>
        <w:jc w:val="both"/>
        <w:rPr>
          <w:bCs/>
          <w:color w:val="002060"/>
          <w:sz w:val="16"/>
          <w:szCs w:val="16"/>
        </w:rPr>
      </w:pPr>
      <w:r w:rsidRPr="00DE096C">
        <w:rPr>
          <w:bCs/>
          <w:color w:val="002060"/>
          <w:sz w:val="16"/>
          <w:szCs w:val="16"/>
        </w:rPr>
        <w:t>Телеграфная связь обеспечивалась аппаратами Морзе образца 1904, 1910 и 1917 гг., а также быстродействующими и буквопечатающими аппаратами, экс плуатируемыми в гражданских ведомствах (Брежнев И.А. и др. Строительство советских Вооруженных Сил, управление войсками и развитие войск связи в период 1917-1941 гг). Аппарат Морзе был единственным, специально разработанным для армии, и применялся от штаба фронта до штаба дивизии (бригады). Из телеграфных коммутаторов наиболее широко применя лись ламельные (швейцарские) коммутаторы на 12, 24 и 30 ламелей.</w:t>
      </w:r>
    </w:p>
    <w:p w14:paraId="649C3E74" w14:textId="77777777" w:rsidR="007B1C45" w:rsidRPr="00DE096C" w:rsidRDefault="007B1C45" w:rsidP="00D45A46">
      <w:pPr>
        <w:jc w:val="both"/>
        <w:rPr>
          <w:bCs/>
          <w:color w:val="002060"/>
          <w:sz w:val="16"/>
          <w:szCs w:val="16"/>
        </w:rPr>
      </w:pPr>
      <w:r w:rsidRPr="00DE096C">
        <w:rPr>
          <w:bCs/>
          <w:color w:val="002060"/>
          <w:sz w:val="16"/>
          <w:szCs w:val="16"/>
        </w:rPr>
        <w:t>Именно такое наследство досталось войскам связи Красной Армии. Харак теризуя состояние материально-технической базы войск связи, И.А. Халепский писал: «Участники гражданской войны знают, что наследство из средств связи империалистической войны мы получили весьма бедное. Старая армия накануне своего развала весьма бедно была снабжена средствами связи и к моменту соз дания нашей армии мы абсолютно не располагали какими-либо складскими за пасами средств связи»6. Начавшаяся Гражданская война и сопутствующая ей хо зяйственная разруха только усугубили эту ситуацию. О тяжелом положении с обеспечением Красной Армии электротехническими средствами связи уже в 1920-е годы свидетельствуют факты самого широкого применения в этот период иных вспомогательных средств. Например, 26 июня 1925 г. приказом РВС СССР № 654 было введено «Положение о военно-голубиных станциях», на которые возлагались задачи подготовки голубиной связи и обслуживания ею частей и уч реждений РККА (Архив штаба ЛенВО, ф. 21, оп. 49530, д. 78, л. 489.).</w:t>
      </w:r>
    </w:p>
    <w:p w14:paraId="5914C43A" w14:textId="77777777" w:rsidR="007B1C45" w:rsidRPr="00DE096C" w:rsidRDefault="007B1C45" w:rsidP="00D45A46">
      <w:pPr>
        <w:jc w:val="both"/>
        <w:rPr>
          <w:bCs/>
          <w:color w:val="002060"/>
          <w:sz w:val="16"/>
          <w:szCs w:val="16"/>
        </w:rPr>
      </w:pPr>
      <w:r w:rsidRPr="00DE096C">
        <w:rPr>
          <w:bCs/>
          <w:color w:val="002060"/>
          <w:sz w:val="16"/>
          <w:szCs w:val="16"/>
        </w:rPr>
        <w:t>До революции в русской армии самостоятельной структуры войск связи не существовало. В Красной Армии служба связи первоначально была разделена на три части. На протяжении 1918 г. РВС вынужден был четыре раза заниматься вопросами упорядочения руководства службой связи в РККА. Несмотря на это, положение продолжало оставаться ненормальным. Созданная в середине июня 1919 г. комиссия из представителей различных структур единодушно высказа лась за образование в РККА единого централизованного органа управления свя зью (Архив ВИМАИВиВС, ф. 60р, оп).</w:t>
      </w:r>
    </w:p>
    <w:p w14:paraId="0CB8C7FB" w14:textId="77777777" w:rsidR="007B1C45" w:rsidRPr="00DE096C" w:rsidRDefault="007B1C45" w:rsidP="00D45A46">
      <w:pPr>
        <w:jc w:val="both"/>
        <w:rPr>
          <w:bCs/>
          <w:color w:val="002060"/>
          <w:sz w:val="16"/>
          <w:szCs w:val="16"/>
        </w:rPr>
      </w:pPr>
      <w:r w:rsidRPr="00DE096C">
        <w:rPr>
          <w:bCs/>
          <w:color w:val="002060"/>
          <w:sz w:val="16"/>
          <w:szCs w:val="16"/>
        </w:rPr>
        <w:t>Приказом РВС № 1736/362 от 20 октября 1919 г. было создано Управление связи Красной Армии (УСКА). Однако на состоянии обеспечения войск имуще ством связи в значительной степени сказывалось то, что и после образования УСКА снабжение продолжало оставаться в ведении Главного военно инженерного управления (ГВИУ). Только 6 октября 1920 г. приказом РВС № 2052 снабжение имуществом связи было передано в ведение начальника УСКА вместе с телеграфно-телефонным и радиотелеграфными отделами, входившими до этого в состав ГВИУ.</w:t>
      </w:r>
    </w:p>
    <w:p w14:paraId="27DC92AB" w14:textId="77777777" w:rsidR="007B1C45" w:rsidRPr="00DE096C" w:rsidRDefault="007B1C45" w:rsidP="00D45A46">
      <w:pPr>
        <w:jc w:val="both"/>
        <w:rPr>
          <w:bCs/>
          <w:color w:val="002060"/>
          <w:sz w:val="16"/>
          <w:szCs w:val="16"/>
        </w:rPr>
      </w:pPr>
      <w:r w:rsidRPr="00DE096C">
        <w:rPr>
          <w:bCs/>
          <w:color w:val="002060"/>
          <w:sz w:val="16"/>
          <w:szCs w:val="16"/>
        </w:rPr>
        <w:t>Завершение активной фазы Гражданской войны положило начало процес су осмысления опыта прошедших войн, роли и места войск связи в системе управления войсками, характера и направления их дальнейшего развития (11870).</w:t>
      </w:r>
    </w:p>
    <w:p w14:paraId="53F38396" w14:textId="77777777" w:rsidR="007B1C45" w:rsidRPr="00DE096C" w:rsidRDefault="007B1C45" w:rsidP="00D45A46">
      <w:pPr>
        <w:jc w:val="both"/>
        <w:rPr>
          <w:bCs/>
          <w:color w:val="002060"/>
          <w:sz w:val="16"/>
          <w:szCs w:val="16"/>
        </w:rPr>
      </w:pPr>
    </w:p>
    <w:p w14:paraId="1EA3A0E0" w14:textId="77777777" w:rsidR="00311F0F" w:rsidRPr="00DE096C" w:rsidRDefault="00311F0F" w:rsidP="00D45A46">
      <w:pPr>
        <w:pStyle w:val="af7"/>
        <w:spacing w:line="240" w:lineRule="auto"/>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В конце июля 1914 к началу войны Военное ведомство имело опыт переговоров с рядом фирм по поводу закупки автомобилей, но выяснилось, что «без гарантии новым заводам определенных крупных казенных заказов на несколько лет вперед» либо устранения заграничной конкуренции введени</w:t>
      </w:r>
      <w:r w:rsidRPr="00DE096C">
        <w:rPr>
          <w:rFonts w:ascii="Times New Roman" w:hAnsi="Times New Roman" w:cs="Times New Roman"/>
          <w:bCs/>
          <w:color w:val="002060"/>
          <w:sz w:val="16"/>
          <w:szCs w:val="16"/>
        </w:rPr>
        <w:softHyphen/>
        <w:t>ем запретительных пошлин «отечественная промышленность народиться и окрепнуть не может». Ввиду таких обстоятельств в феврале 1915 г. решено было взять у «Русско-Балтийского завода» все, что он сможет дать, а остальное заказать за гра</w:t>
      </w:r>
      <w:r w:rsidRPr="00DE096C">
        <w:rPr>
          <w:rFonts w:ascii="Times New Roman" w:hAnsi="Times New Roman" w:cs="Times New Roman"/>
          <w:bCs/>
          <w:color w:val="002060"/>
          <w:sz w:val="16"/>
          <w:szCs w:val="16"/>
        </w:rPr>
        <w:softHyphen/>
        <w:t>ницей. Учитывалось, что цены, запрошенные этим заводом, «по сравнению с ценами английского и американского рын</w:t>
      </w:r>
      <w:r w:rsidRPr="00DE096C">
        <w:rPr>
          <w:rFonts w:ascii="Times New Roman" w:hAnsi="Times New Roman" w:cs="Times New Roman"/>
          <w:bCs/>
          <w:color w:val="002060"/>
          <w:sz w:val="16"/>
          <w:szCs w:val="16"/>
        </w:rPr>
        <w:softHyphen/>
        <w:t>ков непомерно высоки, и если могут быть признаны прием</w:t>
      </w:r>
      <w:r w:rsidRPr="00DE096C">
        <w:rPr>
          <w:rFonts w:ascii="Times New Roman" w:hAnsi="Times New Roman" w:cs="Times New Roman"/>
          <w:bCs/>
          <w:color w:val="002060"/>
          <w:sz w:val="16"/>
          <w:szCs w:val="16"/>
        </w:rPr>
        <w:softHyphen/>
        <w:t>лемыми, то лишь в целях поддержания производительности единственного русского автомобильного завода при настоя</w:t>
      </w:r>
      <w:r w:rsidRPr="00DE096C">
        <w:rPr>
          <w:rFonts w:ascii="Times New Roman" w:hAnsi="Times New Roman" w:cs="Times New Roman"/>
          <w:bCs/>
          <w:color w:val="002060"/>
          <w:sz w:val="16"/>
          <w:szCs w:val="16"/>
        </w:rPr>
        <w:softHyphen/>
        <w:t xml:space="preserve">щих трудных для него условиях» (РГВИА. Ф. 1. </w:t>
      </w:r>
      <w:r w:rsidRPr="00DE096C">
        <w:rPr>
          <w:rFonts w:ascii="Times New Roman" w:hAnsi="Times New Roman" w:cs="Times New Roman"/>
          <w:bCs/>
          <w:color w:val="002060"/>
          <w:sz w:val="16"/>
          <w:szCs w:val="16"/>
          <w:lang w:val="en-US" w:bidi="en-US"/>
        </w:rPr>
        <w:t>On</w:t>
      </w:r>
      <w:r w:rsidRPr="00DE096C">
        <w:rPr>
          <w:rFonts w:ascii="Times New Roman" w:hAnsi="Times New Roman" w:cs="Times New Roman"/>
          <w:bCs/>
          <w:color w:val="002060"/>
          <w:sz w:val="16"/>
          <w:szCs w:val="16"/>
          <w:lang w:bidi="en-US"/>
        </w:rPr>
        <w:t xml:space="preserve">. </w:t>
      </w:r>
      <w:r w:rsidRPr="00DE096C">
        <w:rPr>
          <w:rFonts w:ascii="Times New Roman" w:hAnsi="Times New Roman" w:cs="Times New Roman"/>
          <w:bCs/>
          <w:color w:val="002060"/>
          <w:sz w:val="16"/>
          <w:szCs w:val="16"/>
        </w:rPr>
        <w:t>1. Д. 77799. Л. 35—38. Доклад ГАУ «О заготов</w:t>
      </w:r>
      <w:r w:rsidRPr="00DE096C">
        <w:rPr>
          <w:rFonts w:ascii="Times New Roman" w:hAnsi="Times New Roman" w:cs="Times New Roman"/>
          <w:bCs/>
          <w:color w:val="002060"/>
          <w:sz w:val="16"/>
          <w:szCs w:val="16"/>
        </w:rPr>
        <w:softHyphen/>
        <w:t xml:space="preserve">лении двух грузовозов для Варшавского артиллерийского склада», </w:t>
      </w:r>
      <w:r w:rsidRPr="00DE096C">
        <w:rPr>
          <w:rFonts w:ascii="Times New Roman" w:hAnsi="Times New Roman" w:cs="Times New Roman"/>
          <w:bCs/>
          <w:color w:val="002060"/>
          <w:sz w:val="16"/>
          <w:szCs w:val="16"/>
          <w:lang w:bidi="en-US"/>
        </w:rPr>
        <w:t>20.</w:t>
      </w:r>
      <w:r w:rsidRPr="00DE096C">
        <w:rPr>
          <w:rFonts w:ascii="Times New Roman" w:hAnsi="Times New Roman" w:cs="Times New Roman"/>
          <w:bCs/>
          <w:color w:val="002060"/>
          <w:sz w:val="16"/>
          <w:szCs w:val="16"/>
          <w:lang w:val="en-US" w:bidi="en-US"/>
        </w:rPr>
        <w:t>XI</w:t>
      </w:r>
      <w:r w:rsidRPr="00DE096C">
        <w:rPr>
          <w:rFonts w:ascii="Times New Roman" w:hAnsi="Times New Roman" w:cs="Times New Roman"/>
          <w:bCs/>
          <w:color w:val="002060"/>
          <w:sz w:val="16"/>
          <w:szCs w:val="16"/>
          <w:lang w:bidi="en-US"/>
        </w:rPr>
        <w:t xml:space="preserve">.1913, </w:t>
      </w:r>
      <w:r w:rsidRPr="00DE096C">
        <w:rPr>
          <w:rFonts w:ascii="Times New Roman" w:hAnsi="Times New Roman" w:cs="Times New Roman"/>
          <w:bCs/>
          <w:color w:val="002060"/>
          <w:sz w:val="16"/>
          <w:szCs w:val="16"/>
        </w:rPr>
        <w:t xml:space="preserve">утв. </w:t>
      </w:r>
      <w:r w:rsidRPr="00DE096C">
        <w:rPr>
          <w:rFonts w:ascii="Times New Roman" w:hAnsi="Times New Roman" w:cs="Times New Roman"/>
          <w:bCs/>
          <w:color w:val="002060"/>
          <w:sz w:val="16"/>
          <w:szCs w:val="16"/>
          <w:lang w:bidi="en-US"/>
        </w:rPr>
        <w:t>30.</w:t>
      </w:r>
      <w:r w:rsidRPr="00DE096C">
        <w:rPr>
          <w:rFonts w:ascii="Times New Roman" w:hAnsi="Times New Roman" w:cs="Times New Roman"/>
          <w:bCs/>
          <w:color w:val="002060"/>
          <w:sz w:val="16"/>
          <w:szCs w:val="16"/>
          <w:lang w:val="en-US" w:bidi="en-US"/>
        </w:rPr>
        <w:t>Xl</w:t>
      </w:r>
      <w:r w:rsidRPr="00DE096C">
        <w:rPr>
          <w:rFonts w:ascii="Times New Roman" w:hAnsi="Times New Roman" w:cs="Times New Roman"/>
          <w:bCs/>
          <w:color w:val="002060"/>
          <w:sz w:val="16"/>
          <w:szCs w:val="16"/>
          <w:lang w:bidi="en-US"/>
        </w:rPr>
        <w:t xml:space="preserve">.1913; </w:t>
      </w:r>
      <w:r w:rsidRPr="00DE096C">
        <w:rPr>
          <w:rFonts w:ascii="Times New Roman" w:hAnsi="Times New Roman" w:cs="Times New Roman"/>
          <w:bCs/>
          <w:color w:val="002060"/>
          <w:sz w:val="16"/>
          <w:szCs w:val="16"/>
        </w:rPr>
        <w:t>Там же. Ф. 962. Оп. 2. Д. 128. Л. 54, 62. Свод сведений о самодвижущихся повозках) (23452).</w:t>
      </w:r>
    </w:p>
    <w:p w14:paraId="065F69E0" w14:textId="77777777" w:rsidR="00311F0F" w:rsidRPr="00DE096C" w:rsidRDefault="00311F0F" w:rsidP="00D45A46">
      <w:pPr>
        <w:jc w:val="both"/>
        <w:rPr>
          <w:bCs/>
          <w:color w:val="002060"/>
          <w:sz w:val="16"/>
          <w:szCs w:val="16"/>
          <w:lang w:bidi="ru-RU"/>
        </w:rPr>
      </w:pPr>
    </w:p>
    <w:p w14:paraId="5B31EA45" w14:textId="48874F18" w:rsidR="00311F0F" w:rsidRPr="00DE096C" w:rsidRDefault="00311F0F" w:rsidP="00D45A46">
      <w:pPr>
        <w:shd w:val="clear" w:color="auto" w:fill="FFFFFF"/>
        <w:jc w:val="both"/>
        <w:rPr>
          <w:bCs/>
          <w:i/>
          <w:color w:val="002060"/>
          <w:sz w:val="16"/>
          <w:szCs w:val="16"/>
        </w:rPr>
      </w:pPr>
      <w:r w:rsidRPr="00DE096C">
        <w:rPr>
          <w:bCs/>
          <w:i/>
          <w:color w:val="002060"/>
          <w:sz w:val="16"/>
          <w:szCs w:val="16"/>
        </w:rPr>
        <w:t>Армия:</w:t>
      </w:r>
    </w:p>
    <w:p w14:paraId="71E78F53" w14:textId="77777777" w:rsidR="00311F0F" w:rsidRPr="00DE096C" w:rsidRDefault="00311F0F" w:rsidP="00D45A46">
      <w:pPr>
        <w:shd w:val="clear" w:color="auto" w:fill="FFFFFF"/>
        <w:jc w:val="both"/>
        <w:rPr>
          <w:bCs/>
          <w:i/>
          <w:color w:val="002060"/>
          <w:sz w:val="16"/>
          <w:szCs w:val="16"/>
        </w:rPr>
      </w:pPr>
    </w:p>
    <w:p w14:paraId="5B7253EB" w14:textId="77777777" w:rsidR="00311F0F" w:rsidRPr="00DE096C" w:rsidRDefault="00311F0F" w:rsidP="00D45A46">
      <w:pPr>
        <w:jc w:val="both"/>
        <w:rPr>
          <w:bCs/>
          <w:color w:val="002060"/>
          <w:sz w:val="16"/>
          <w:szCs w:val="16"/>
        </w:rPr>
      </w:pPr>
      <w:r w:rsidRPr="00DE096C">
        <w:rPr>
          <w:bCs/>
          <w:color w:val="002060"/>
          <w:sz w:val="16"/>
          <w:szCs w:val="16"/>
        </w:rPr>
        <w:t xml:space="preserve">В конце июля 1914 г. когда была объявлена в 1914 г. война, все запасные нижние чины определенных возрастов, не состоящие на должностях, освобождающих от явки к призыву, были призваны и отправлены в строй. Таким порядком с первым призывом убыло с артиллерийских заводов около 30% наличного состава рабочих и служащих, имевшихся к моменту объявления войны. Между тем заводы должны были спешно усиливать производство и соответственно увеличивать кадр рабочих. Понятно, что при таких условиях указанная убыль являлась весьма серьезным препятствием к быстрой мобилизации завода. Здесь обнаружились крайне серьезные недочеты законодательства, относящегося к рабочей силе, обслуживающей заводы, работающие на оборону. </w:t>
      </w:r>
    </w:p>
    <w:p w14:paraId="4C0A4672" w14:textId="77777777" w:rsidR="00311F0F" w:rsidRPr="00DE096C" w:rsidRDefault="00311F0F" w:rsidP="00D45A46">
      <w:pPr>
        <w:jc w:val="both"/>
        <w:rPr>
          <w:bCs/>
          <w:color w:val="002060"/>
          <w:sz w:val="16"/>
          <w:szCs w:val="16"/>
        </w:rPr>
      </w:pPr>
      <w:r w:rsidRPr="00DE096C">
        <w:rPr>
          <w:bCs/>
          <w:color w:val="002060"/>
          <w:sz w:val="16"/>
          <w:szCs w:val="16"/>
        </w:rPr>
        <w:t xml:space="preserve">Дело в том, что на особый учет попадал сравнительно небольшой процент не только от всего количества рабочих данного завода, но даже от квалифицированной рабочей силы. Как было указано, на особом учете состояли только совершенно необходимые или трудно заменимые работники наиболее высокой квалификации. На главную, менее квалифицированную массу рабочих, представляющих основное ядро рабочей силы, этот учет не распространялся. Между тем среди рабочих средней квалификации были такие, которые приобрели долголетней службой большой навык в заводской работе и при известных усилиях могли поднять свою квалификацию до тех категорий, которые поступают на особый учет. Но и без этого такие рабочие, будучи оставлены на заводе, давали бы больший коэффициент полезности, нежели те, которыми они были заменены после призыва. </w:t>
      </w:r>
    </w:p>
    <w:p w14:paraId="413D68B8" w14:textId="77777777" w:rsidR="00311F0F" w:rsidRPr="00DE096C" w:rsidRDefault="00311F0F" w:rsidP="00D45A46">
      <w:pPr>
        <w:jc w:val="both"/>
        <w:rPr>
          <w:bCs/>
          <w:color w:val="002060"/>
          <w:sz w:val="16"/>
          <w:szCs w:val="16"/>
        </w:rPr>
      </w:pPr>
      <w:r w:rsidRPr="00DE096C">
        <w:rPr>
          <w:bCs/>
          <w:color w:val="002060"/>
          <w:sz w:val="16"/>
          <w:szCs w:val="16"/>
        </w:rPr>
        <w:t xml:space="preserve">Правда, убыль после первого призыва была пополнена сравнительно без особых трудностей, так как рынок труда был еще сравнительно богат рабочей силой, как квалифицированной, так и неквалифицированной в особенности. При том же в военные заводы рабочие шли с большой охотой. </w:t>
      </w:r>
    </w:p>
    <w:p w14:paraId="6BE7247F" w14:textId="77777777" w:rsidR="00311F0F" w:rsidRPr="00DE096C" w:rsidRDefault="00311F0F" w:rsidP="00D45A46">
      <w:pPr>
        <w:jc w:val="both"/>
        <w:rPr>
          <w:bCs/>
          <w:color w:val="002060"/>
          <w:sz w:val="16"/>
          <w:szCs w:val="16"/>
        </w:rPr>
      </w:pPr>
      <w:r w:rsidRPr="00DE096C">
        <w:rPr>
          <w:bCs/>
          <w:color w:val="002060"/>
          <w:sz w:val="16"/>
          <w:szCs w:val="16"/>
        </w:rPr>
        <w:t>Однако при дальнейших призывах убыль рабочих в заводах пополнялось уже со значительно большим трудом, в особенности в части квалифицированной. Для пополнения пришлось прикомандировывать к заводам призванных на военную службу. Конечно, они ни в какой мере не могли заменить ушедших с завода, так как не обладали ни надлежащей квалификацией, ни просто привычкой к заводской работе. В результате получался круговорот: привычные к заводскому делу рабочие уходили на фронт, в заводы же присылали совершенно нерабочий элемент с фронта. В результате фронт ничего не выигрывал, а заводы и боевое снабжение армии определенно страдали, а следовательно, терпела ущерб оборона (11329).</w:t>
      </w:r>
    </w:p>
    <w:p w14:paraId="1D700B2F" w14:textId="77777777" w:rsidR="00311F0F" w:rsidRPr="00DE096C" w:rsidRDefault="00311F0F" w:rsidP="00D45A46">
      <w:pPr>
        <w:jc w:val="both"/>
        <w:rPr>
          <w:bCs/>
          <w:i/>
          <w:color w:val="002060"/>
          <w:sz w:val="16"/>
          <w:szCs w:val="16"/>
        </w:rPr>
      </w:pPr>
    </w:p>
    <w:p w14:paraId="25138F81" w14:textId="24F54F15" w:rsidR="00C4453B" w:rsidRPr="00DE096C" w:rsidRDefault="00C4453B" w:rsidP="00D45A46">
      <w:pPr>
        <w:shd w:val="clear" w:color="auto" w:fill="FFFFFF"/>
        <w:jc w:val="both"/>
        <w:rPr>
          <w:bCs/>
          <w:i/>
          <w:color w:val="002060"/>
          <w:sz w:val="16"/>
          <w:szCs w:val="16"/>
        </w:rPr>
      </w:pPr>
      <w:r w:rsidRPr="00DE096C">
        <w:rPr>
          <w:bCs/>
          <w:i/>
          <w:color w:val="002060"/>
          <w:sz w:val="16"/>
          <w:szCs w:val="16"/>
        </w:rPr>
        <w:t>Авиация:</w:t>
      </w:r>
    </w:p>
    <w:p w14:paraId="7A75151C" w14:textId="77777777" w:rsidR="00C4453B" w:rsidRPr="00DE096C" w:rsidRDefault="00C4453B" w:rsidP="00D45A46">
      <w:pPr>
        <w:shd w:val="clear" w:color="auto" w:fill="FFFFFF"/>
        <w:jc w:val="both"/>
        <w:rPr>
          <w:bCs/>
          <w:i/>
          <w:color w:val="002060"/>
          <w:sz w:val="16"/>
          <w:szCs w:val="16"/>
        </w:rPr>
      </w:pPr>
    </w:p>
    <w:p w14:paraId="78B7DDC9" w14:textId="77777777" w:rsidR="00A72DC4" w:rsidRPr="00DE096C" w:rsidRDefault="00A72DC4" w:rsidP="00D45A46">
      <w:pPr>
        <w:jc w:val="both"/>
        <w:rPr>
          <w:bCs/>
          <w:color w:val="002060"/>
          <w:sz w:val="16"/>
          <w:szCs w:val="16"/>
        </w:rPr>
      </w:pPr>
      <w:r w:rsidRPr="00DE096C">
        <w:rPr>
          <w:bCs/>
          <w:color w:val="002060"/>
          <w:sz w:val="16"/>
          <w:szCs w:val="16"/>
        </w:rPr>
        <w:t>По состоянию на конец июля 1914 г. после проведения мобилизации, в 39 авиаотрядах насчитывалось 244 (по другим данным – 263) самолета. Полевой отряд находился при штабе 3-й армии Юго-Западного фронта (ЮЗФ), корпусные отряды прибыли на полевые аэродромы согласно плану развертывания армий к началу августа 1914 г., а крепостные отряды оставались пока при крепостях. Между тем боевые действия уже в начале августа 1914 г. показали войсковому командованию, что авиация является весьма действенным средством для получения данных о противнике. Неясность обстановки на Северо-Западном и Юго-Западном фронтах требовала все более интенсивной работы воздушных разведчиков. Однако увеличение боевого напряжения уже через семь – десять дней приграничной войны привело к большим потерям авиационной техники. Чтобы вообще не лишиться средств воздушной разведки, Верховный Главнокомандующий издал 12 августа 1914 г. приказ № 6 с требованием использовать авиацию лишь при «действительной необходимости», однако никто не мог определить ее пределы (19566).</w:t>
      </w:r>
    </w:p>
    <w:p w14:paraId="40C469B8" w14:textId="77777777" w:rsidR="00A72DC4" w:rsidRPr="00DE096C" w:rsidRDefault="00A72DC4" w:rsidP="00D45A46">
      <w:pPr>
        <w:jc w:val="both"/>
        <w:rPr>
          <w:bCs/>
          <w:color w:val="002060"/>
          <w:sz w:val="16"/>
          <w:szCs w:val="16"/>
        </w:rPr>
      </w:pPr>
    </w:p>
    <w:p w14:paraId="0DB5C109" w14:textId="77777777" w:rsidR="005A69E5" w:rsidRPr="00DE096C" w:rsidRDefault="005A69E5" w:rsidP="00D45A46">
      <w:pPr>
        <w:jc w:val="both"/>
        <w:rPr>
          <w:bCs/>
          <w:color w:val="002060"/>
          <w:sz w:val="16"/>
          <w:szCs w:val="16"/>
        </w:rPr>
      </w:pPr>
      <w:r w:rsidRPr="00DE096C">
        <w:rPr>
          <w:bCs/>
          <w:color w:val="002060"/>
          <w:sz w:val="16"/>
          <w:szCs w:val="16"/>
        </w:rPr>
        <w:lastRenderedPageBreak/>
        <w:t>В конце июля 1914 г. к началу войны Россия имела 39 авиационных отрядов, в составе которых насчитывалось 263 аэроплана, предназначенных для использования в военных целях, а также 18 гидроаэропланов. Большинство аэропланов было иностранного производства.</w:t>
      </w:r>
    </w:p>
    <w:p w14:paraId="10BB410D" w14:textId="77777777" w:rsidR="005A69E5" w:rsidRPr="00DE096C" w:rsidRDefault="005A69E5" w:rsidP="00D45A46">
      <w:pPr>
        <w:jc w:val="both"/>
        <w:rPr>
          <w:bCs/>
          <w:color w:val="002060"/>
          <w:sz w:val="16"/>
          <w:szCs w:val="16"/>
        </w:rPr>
      </w:pPr>
      <w:r w:rsidRPr="00DE096C">
        <w:rPr>
          <w:bCs/>
          <w:color w:val="002060"/>
          <w:sz w:val="16"/>
          <w:szCs w:val="16"/>
        </w:rPr>
        <w:t>До начала войны военное ведомство в России обучило около 300 пилотов.</w:t>
      </w:r>
    </w:p>
    <w:p w14:paraId="7ABB4DD6" w14:textId="77777777" w:rsidR="005A69E5" w:rsidRPr="00DE096C" w:rsidRDefault="005A69E5" w:rsidP="00D45A46">
      <w:pPr>
        <w:jc w:val="both"/>
        <w:rPr>
          <w:bCs/>
          <w:color w:val="002060"/>
          <w:sz w:val="16"/>
          <w:szCs w:val="16"/>
        </w:rPr>
      </w:pPr>
      <w:r w:rsidRPr="00DE096C">
        <w:rPr>
          <w:bCs/>
          <w:color w:val="002060"/>
          <w:sz w:val="16"/>
          <w:szCs w:val="16"/>
        </w:rPr>
        <w:t>Основными центрами подготовки военных летчиков являлись авиационные школы в Гатчине и Севастополе. Обучение летчиков велось также при аэроклубах Петрограда, Москвы и Одессы. Русскому командованию казалось, что этого вполне достаточно, поэтому сеть летных школ не только не расширялась, но и прием в существующие был достаточно строго регламентирован; принимались только офицеры не менее двух лет прослужившие в действующей армии.</w:t>
      </w:r>
    </w:p>
    <w:p w14:paraId="7EA5FAD5" w14:textId="77777777" w:rsidR="005A69E5" w:rsidRPr="00DE096C" w:rsidRDefault="005A69E5" w:rsidP="00D45A46">
      <w:pPr>
        <w:jc w:val="both"/>
        <w:rPr>
          <w:bCs/>
          <w:color w:val="002060"/>
          <w:sz w:val="16"/>
          <w:szCs w:val="16"/>
        </w:rPr>
      </w:pPr>
      <w:r w:rsidRPr="00DE096C">
        <w:rPr>
          <w:bCs/>
          <w:color w:val="002060"/>
          <w:sz w:val="16"/>
          <w:szCs w:val="16"/>
        </w:rPr>
        <w:t>В первой половине 1914 г. эти школы подготовили 133 военных летчика.</w:t>
      </w:r>
    </w:p>
    <w:p w14:paraId="4094B364" w14:textId="77777777" w:rsidR="005A69E5" w:rsidRPr="00DE096C" w:rsidRDefault="005A69E5" w:rsidP="00D45A46">
      <w:pPr>
        <w:jc w:val="both"/>
        <w:rPr>
          <w:bCs/>
          <w:color w:val="002060"/>
          <w:sz w:val="16"/>
          <w:szCs w:val="16"/>
        </w:rPr>
      </w:pPr>
      <w:r w:rsidRPr="00DE096C">
        <w:rPr>
          <w:bCs/>
          <w:color w:val="002060"/>
          <w:sz w:val="16"/>
          <w:szCs w:val="16"/>
        </w:rPr>
        <w:t>Накануне войны, в связи с крупными успехами авиации, в России было приостановлено строительство дирижаблей.</w:t>
      </w:r>
    </w:p>
    <w:p w14:paraId="23B2E077" w14:textId="77777777" w:rsidR="005A69E5" w:rsidRPr="00DE096C" w:rsidRDefault="005A69E5" w:rsidP="00D45A46">
      <w:pPr>
        <w:jc w:val="both"/>
        <w:rPr>
          <w:bCs/>
          <w:color w:val="002060"/>
          <w:sz w:val="16"/>
          <w:szCs w:val="16"/>
        </w:rPr>
      </w:pPr>
      <w:r w:rsidRPr="00DE096C">
        <w:rPr>
          <w:bCs/>
          <w:color w:val="002060"/>
          <w:sz w:val="16"/>
          <w:szCs w:val="16"/>
        </w:rPr>
        <w:t>Из 14 имеющихся в наличии дирижаблей в России, за исключением четырех самых крупных, все были устаревшими и различных конструкций, что очень осложняло их эксплуатацию. Их скорость не превышала 55 км/час. Для разведки тыла неприятеля они были признаны непригодными и оставались на своих базах.</w:t>
      </w:r>
    </w:p>
    <w:p w14:paraId="205A069B" w14:textId="77777777" w:rsidR="005A69E5" w:rsidRPr="00DE096C" w:rsidRDefault="005A69E5" w:rsidP="00D45A46">
      <w:pPr>
        <w:jc w:val="both"/>
        <w:rPr>
          <w:bCs/>
          <w:color w:val="002060"/>
          <w:sz w:val="16"/>
          <w:szCs w:val="16"/>
        </w:rPr>
      </w:pPr>
      <w:r w:rsidRPr="00DE096C">
        <w:rPr>
          <w:bCs/>
          <w:color w:val="002060"/>
          <w:sz w:val="16"/>
          <w:szCs w:val="16"/>
        </w:rPr>
        <w:t>Большие управляемые дирижабли России были построены и приняты на вооружение в 1913 г. и распределялись следующим образом. Дирижабль "Кондор" придавался 2-й воздухоплавательной роте, расквартированной в Брест- Литовске. Его объем 9600 м3, скорость полета 55 км/час, потолок - 3000 м, экипаж - 7-10 человек. Строился на заводе "Клеман-Баяр" во Франции. Дирижабль "Астра" находился на вооружении 3-й воздухоплавательной роты в г. Лиде. Этот нежесткий корабль объемом 9800 м3 был построен на заводе "Астра" во Франции. Скорость полета - 63 км/час, потолок - 2500 м, экипаж - 8-12 человек. Дирижабль "Буревестник" был придан 4-й воздухоплавательной роте, расквартированной в г. Бердичеве. Этот нежесткий дирижабль типа "Парсеваль" был построен в Германии. Его объем - 10 тыс. м3, скорость - 75 км/час, потолок - 2000 м, экипаж - 7-10 человек. Дирижабль "Альбатрос" находился при 12-й воздухоплавательной роте в Сализи. Этот дирижабль нежесткой системы был построен на Ижор- ском заводе по проекту Д. В. Голубова и Д. С. Сухоржевс- кого. Его объем - 10 тыс. м3, скорость - 75 км/час, потолок - 2000 м, экипаж 8-12 человек. Все четыре дирижабля были вооружены пулеметами, имели приспособления для сбрасывания бомб и обладали продолжительностью полета до 20 часов. Эти дирижабли активно участвовали в боевых действиях; доставляли командованию ценные сведения о передвижениях австро-германских войск, бомбили склады боеприпасов, железнодорожные узлы.</w:t>
      </w:r>
    </w:p>
    <w:p w14:paraId="38BC25D3" w14:textId="77777777" w:rsidR="005A69E5" w:rsidRPr="00DE096C" w:rsidRDefault="005A69E5" w:rsidP="00D45A46">
      <w:pPr>
        <w:jc w:val="both"/>
        <w:rPr>
          <w:bCs/>
          <w:color w:val="002060"/>
          <w:sz w:val="16"/>
          <w:szCs w:val="16"/>
        </w:rPr>
      </w:pPr>
      <w:r w:rsidRPr="00DE096C">
        <w:rPr>
          <w:bCs/>
          <w:color w:val="002060"/>
          <w:sz w:val="16"/>
          <w:szCs w:val="16"/>
        </w:rPr>
        <w:t>В штабе русского верховного главнокомандования дирижабли считали главным средством стратегической разведки. Как только армия и флот были переведены на военное положение, началась перестройка воздухоплавательных частей в соответствии с требованиями военного времени. Батальон офицерской Воздухоплавательной школы был расформирован, его личный состав направлен на укомплектование запасного воздухоплавательного батальона, 12, 13 и 14-й воздухоплавательных рот. Остальные воздухоплавательные роты пополнены личным составом в соответствии со штатами военного времени. Роты с управляемыми аэростатами дислоцировались в Луцке, Бердичеве, Белостоке, Лиде, Сализи (близ Петрограда), Брест-Литовске, Ковно, Гродно и др. Для обслуживания дирижаблей здесь были построены 14 эллингов.</w:t>
      </w:r>
    </w:p>
    <w:p w14:paraId="2503EE5D" w14:textId="77777777" w:rsidR="005A69E5" w:rsidRPr="00DE096C" w:rsidRDefault="005A69E5" w:rsidP="00D45A46">
      <w:pPr>
        <w:jc w:val="both"/>
        <w:rPr>
          <w:bCs/>
          <w:color w:val="002060"/>
          <w:sz w:val="16"/>
          <w:szCs w:val="16"/>
        </w:rPr>
      </w:pPr>
      <w:r w:rsidRPr="00DE096C">
        <w:rPr>
          <w:bCs/>
          <w:color w:val="002060"/>
          <w:sz w:val="16"/>
          <w:szCs w:val="16"/>
        </w:rPr>
        <w:t>Русские воздухоплавательные части имели к началу войны на вооружении 14 управляемых аэростатов.</w:t>
      </w:r>
    </w:p>
    <w:p w14:paraId="22DC300B" w14:textId="77777777" w:rsidR="005A69E5" w:rsidRPr="00DE096C" w:rsidRDefault="005A69E5" w:rsidP="00D45A46">
      <w:pPr>
        <w:jc w:val="both"/>
        <w:rPr>
          <w:bCs/>
          <w:color w:val="002060"/>
          <w:sz w:val="16"/>
          <w:szCs w:val="16"/>
        </w:rPr>
      </w:pPr>
      <w:r w:rsidRPr="00DE096C">
        <w:rPr>
          <w:bCs/>
          <w:color w:val="002060"/>
          <w:sz w:val="16"/>
          <w:szCs w:val="16"/>
        </w:rPr>
        <w:t>Помимо управляемых аэростатов на вооружении русской армии находились наблюдательные станции с неуправляемыми - змейковыми и сигнальными - аэростатами, которые служили средством артиллерийского наблюдения и ближней разведки. К началу войны военное ведомство располагало 46-ю змейковыми аэростатами, приписанными к 11-ти воздухоплавательным ротам, в основном крепостным. Каждая рота имела 2-3 наблюдательные станции. Каждая станция располагала одним змейковым и одним запасным, аэростатом с лебедками для их подъема и спуска. Численный состав воздухоплавательной роты составлял от 60 до 100 человек.</w:t>
      </w:r>
    </w:p>
    <w:p w14:paraId="742BC9B2" w14:textId="77777777" w:rsidR="005A69E5" w:rsidRPr="00DE096C" w:rsidRDefault="005A69E5" w:rsidP="00D45A46">
      <w:pPr>
        <w:jc w:val="both"/>
        <w:rPr>
          <w:bCs/>
          <w:i/>
          <w:color w:val="002060"/>
          <w:sz w:val="16"/>
          <w:szCs w:val="16"/>
        </w:rPr>
      </w:pPr>
    </w:p>
    <w:p w14:paraId="4A18A1DE" w14:textId="77777777" w:rsidR="00C4453B" w:rsidRPr="00DE096C" w:rsidRDefault="00C4453B" w:rsidP="00D45A46">
      <w:pPr>
        <w:pStyle w:val="2"/>
        <w:spacing w:before="0" w:after="0"/>
        <w:jc w:val="both"/>
        <w:rPr>
          <w:b w:val="0"/>
          <w:bCs/>
          <w:color w:val="002060"/>
          <w:sz w:val="16"/>
          <w:szCs w:val="16"/>
        </w:rPr>
      </w:pPr>
      <w:r w:rsidRPr="00DE096C">
        <w:rPr>
          <w:b w:val="0"/>
          <w:bCs/>
          <w:color w:val="002060"/>
          <w:sz w:val="16"/>
          <w:szCs w:val="16"/>
        </w:rPr>
        <w:t>В конце июля 1914 объявили мобилизацию, и разразившаяся вскоре первая мировая война уже к 1916 г. превратила акробатический самолет в маневренный истребитель, а летчиков пилотажников — в бесстрашных и умелых воздушных бойцов. Майской акробатикой Пегу и Пуаре, и, возможно, Габер-Влынского, залечившего свой перелом к июлю, закрылся «пилотажный сезон» 1914 г. (15464).</w:t>
      </w:r>
    </w:p>
    <w:p w14:paraId="2E069C50" w14:textId="77777777" w:rsidR="00C4453B" w:rsidRPr="00DE096C" w:rsidRDefault="00C4453B" w:rsidP="00D45A46">
      <w:pPr>
        <w:pStyle w:val="2"/>
        <w:spacing w:before="0" w:after="0"/>
        <w:jc w:val="both"/>
        <w:rPr>
          <w:b w:val="0"/>
          <w:bCs/>
          <w:color w:val="002060"/>
          <w:sz w:val="16"/>
          <w:szCs w:val="16"/>
        </w:rPr>
      </w:pPr>
    </w:p>
    <w:p w14:paraId="1A9C773C" w14:textId="77777777" w:rsidR="00F2759D" w:rsidRPr="00DE096C" w:rsidRDefault="00F2759D" w:rsidP="00D45A46">
      <w:pPr>
        <w:jc w:val="both"/>
        <w:rPr>
          <w:bCs/>
          <w:color w:val="002060"/>
          <w:sz w:val="16"/>
          <w:szCs w:val="16"/>
        </w:rPr>
      </w:pPr>
      <w:r w:rsidRPr="00DE096C">
        <w:rPr>
          <w:bCs/>
          <w:color w:val="002060"/>
          <w:sz w:val="16"/>
          <w:szCs w:val="16"/>
        </w:rPr>
        <w:t xml:space="preserve">В конце июля 1914 г. накануне войны Россия располагала самым многочисленным воздушным флотом среди воюющих держав: 244 самолета в составе 39 авиаотрядов. Однако здесь один из законов диалектики дал трещину: количественное преимущество не переросло в качественное, материальная часть была сильно изношена, отряды выступили на фронт с аэропланами и двигателями, бывшими в эксплуатации уже два года. Транспортные средства (обозы) оказались совершенно не приспособлены для перевозки авиационного имущества, а грузовых автомобилей не хватало, что отрицательно сказалось в первые месяцы маневренной войны. Кампания 1914 г. открылась на русском театре военных действий Восточно-Прусской операцией. Здесь представляет интерес рассмотреть работу авиации 2-й армии генерала Самсонова. В состав армии входили пять корпусных авиаотрядов, из которых 1-й, 13-й, 15-й и 23-й были распределены по армейским корпусам, а 21-й обслуживал штаб армии. Боевую работу авиаторы начали уже в период развертывания войск, и с 1 августа их донесения стали использоваться штабом армии при составлении "Сводок сведений о противнике". Особенно успешно действовал 1 -и авиаотряд, который обследовал район Млава-Зольдау-Лаутенберг. Во время наступления летчики ежедневно вели разведку, вскрывая пути отхода и места сосредоточения войск противника. Так, 9 и 10 августа удалось обнаружить движение на железных и шоссейных дорогах, большие скопления войск противника на левом фланге 2-й армии в районах Доич-Эйлау, Гильденбург и Алленштейн. Однако эти очень своевременные сведения воздушной разведки были поставлены под сомнение командованием, за что вскоре пришлось поплатиться поспешным отступлением. Всего за август авиаотряды 2-й армии совершили более 80 боевых вылетов. С самого начала войны русские летчики применяли аэрофотосъемку как эффективный способ воздушной разведки. Так, например, в донесении начальника Осовецкого крепостного авиаотряда от 18 сентября сообщается, что "...рядовой Алексей Литвин-Литвиненко, несмотря на попадание в аэроплан 16 пуль, продолжил фотографирование и этим способствовал выяснению обстановки на фронте Иоганисбург-Бяла-Щучин". Аэрофотосъемка неприятельских позиций для контроля и повышения эффективности артиллерийского огня применялась во время осады крепости Перемышль осенью 1914 г. Об этом докладывал заведующий организацией авиационного дела в армиях Юго-западного фронта Великий князь Александр Михайлович в своем донесении Верховному Главнокомандующему от 28.11.14: "... определенные специальными фотографическими снимками снежного покрова места попадания наших снарядов... выяснили некоторые дефекты в определении целей и расстояний". В осаде Перемышля задействовались объединенные в группу 24-й корпусной и Брест-Литовский авиаотряды во главе с одним из опытнейших военных летчиков поручиком Е. Рудневым. В задачу группы, кроме разведки, входила и бомбардировка крепости. За время осады было сброшено около 50 различных бомб массой от 6 фунтов до 2 пудов 30 фунтов (2,7-46,4 кг). "Особенно энергичная деятельность была развита 18-го ноября... За этот день было совершено 13 полетов, сделано 14 фотоснимков крепости и ее фортов, сброшено 27 бомб общим весом взрывчатки 21 пуд 20 фунтов (353 кг). Бомбы были сброшены с высоты 1700-2200 м..., причем по результатам взрывов во многих местах начались пожары. Все летавшие были отстреляны шрапнелью противника..." С помощью воздушной разведки русское командование следило за всеми действиями осажденного гарнизона, который сдался 5 марта 1915 г. Примером успешного применения авиации может служить работа авиаотрядов 3-й и 8-й армий Юго-западного фронта в Галицийской операции. Ограниченный радиус действия самолетов вынуждал использовать авиацию в основном для решения тактических задач. Однако правильная организация работы авиаотрядов давала материалы и оперативных масштабов: штабы армий обменивались данными воздушной разведки и регулярно информировали штаб фронта о всех важнейших сведениях, собранных летчиками. Когда началось наступление 8-й армии, авиаторы привозили из разведвылетов важные сведения о группировках противника и путях его отхода. Эти данные были подтверждены дальнейшим ходом событий - войска 8-й армии продвигались вперед, не встречая серьезного сопротивления. Не менее успешно действовали авиаотряды 3-й армии, наступавшей на Львов. За период Галицийской битвы с 6 августа по 13 сентября 9-й и 11-й корпусные авиаотряды (КАО) 3-й армии совершили свыше 70 боевых вылетов, а четыре отряда 8-й армии (7-й, 8-й и 12-й корпусные, 3-й полевой) - свыше 100. В этот период хуже обстояли дела у летчики 4-й и 5-й армий. Полетов было мало, а плохая организация воздушной разведки привела к неприятным неожиданностям во время боевых действий. В целом в кампании 1914 г. наиболее высокий уровень работы авиации оказался на Юго-западном фронте. Здесь авиаторы успешно справлялись с поставленными перед ними задачами, и их деятельность часто получала высокую оценку наземного командования. Об этом свидетельствует приказ Главнокомандующего фронтом генерала Н. И. Иванова от 11.01.1915: "Летчики-офицеры и нижние чины, не считаясь с трудностями обстановки, не взирая ни на какую погоду, с честью выполнили свой долг и своими мужественными разведками приносили надлежащую пользу своим корпусам и армиям". Иначе обстояли дела на Северо-Западном фронте. В сентябре здесь решением главкома авиаотряды были изъяты из состава корпусов и сведены в авиационные группы, подчиненные начальникам штабов армий. Однако эта реорганизация оказалась малоэффективной, так как не были созданы органы управления авиагруппами, а ограниченный радиус действия самолетов затруднял их применение в интересах армейского командования. К тому же такая структура не учитывала сложные географические (болотистая и лесная местность) и погодные условия, существовавшие на северо-западе. Собранные на одном аэродроме самолеты каждой группы при плохих метеоусловиях были обречены на бездействие, тогда как в случае рассредоточения по площадкам авиаотрядов имелись бы шансы использовать кратковременные местные улучшения погоды. Исследование динамики убыли и поступления самолетов в целом по Русской армии показывает, что потери аэропланов были значительными и составляли не менее 45,8% за 2 месяца. Большая часть (иногда 90%) этой убыли была вызвана выходом из строя изношенных аэропланов и моторов. Мощностей русских авиазаводов не хватало для восполнения этих потерь - с начала войны до 1 января 1915 г. они отправили в действующую армию 157 самолетов. Причем часто эти машины имели дефекты и забраковывались при сборке в отрядах и ротах. Особые нарекания вызывали самолеты завода Щетинина. Так, монопланы "Ньюпор" имели отрицательный угол установки крыла, что повлекло ряд аварий. Французские самолеты, сделанные на русских авиазаводах, отличались большей массой и низким качеством изготовления по сравнению с импортными "собратьями". Первые месяцы войны выявили и тот факт, что часто высшие военные начальники проявляли полное незнание свойств и возможностей аэропланов. Отсюда - либо отсутствие постановки задач и бездействие авиации, либо постановка перед летчиками нереальных боевых задач. Чтобы избежать таких недоразумений, были изданы подробные указания по использованию нового рода войск. Особую заботу о летчиках проявил главнокомандующий Юго-Западным фронтом, который издал приказ №6 от 12 августа 1914 г.: "Придавая большое значение работе аэропланов и признавая весь риск и трудности </w:t>
      </w:r>
      <w:r w:rsidRPr="00DE096C">
        <w:rPr>
          <w:bCs/>
          <w:color w:val="002060"/>
          <w:sz w:val="16"/>
          <w:szCs w:val="16"/>
        </w:rPr>
        <w:lastRenderedPageBreak/>
        <w:t>выполнения задач летчиками и наблюдателями, приказываю...". Далее шли указания летать не больше одного раза в день на дальность не более 200-230 верст, полеты совершать в утренние часы. Штабному начальству предписывалось не посылать летчиков по мелочам, не злоупотреблять частым направлением аппаратов к линии фронта, давать задачи на поиск крупных соединений противника, не поручать летчикам и наблюдателям разбрасывать прокламации, ибо в случае пленения они не приравниваются к военнопленным и могут быть расстреляны, и т.д. Бичом русской авиации в первые месяцы войны стал безудержный обстрел аппаратов своими войсками, что стало причиной гибели нескольких авиаторов. Например, 13 августа при перелете линии фронта был убит своими войсками военный летчик 25-го КАО поручик Гудим, 27 августа такая же участь постигла при посадке военного летчика 11-го КАО поручика Лемешко и т.д. Другие случаи имели менее трагические последствия. Так, "30 июля 1914г. начальник 7-го корпусного авиаотряда штабс-капитан Степанов вылетел для производства воздушной разведки, пролетая над местечком Ярмолинцы, подвергся обстрелу залпами... получил пробоины в стабилизатор и крыло. Расследование показало... стреляли роты 60-го пехотного Замоского полка". В тот же день летчик того же отряда поручик Сабельников попал в такую же ситуацию. Результат - 4 пробоины. Подобных примеров было много, и это вынудило командование издать приказы, запрещавшие "стрелять по своим и планирующим аппаратам, стрельбу вести только по приказу офицера или при бросании бомб противником". Господам офицерам было приказано изучить знаки своих и неприятельских аэропланов, знать их силуэты. Начальный период войны выявил плохую организацию в снабжении авиационных отрядов и рот бензином, касторовым маслом, запчастями, палатками и другим авиационным имуществом. Самолеты и моторы быстро выходили из строя в суровых полевых условиях, особенно с наступлением ненастной осенней погоды, когда остро сказались нехватка палаток и переносных ангаров, использование для аэродромов малопригодных площадок. Уже после первых месяцев войны многие авиаотряды пришлось отвести в тыл для снабжения аэропланами новых систем и для переучивания летчиков на них. Так, пилоты, летавшие на "Ньюпорах", освоили "Мораны". Широко использовалась для вооружения отрядов отремонтированная трофейная авиатехника. Поставки самолетов и назначения личного состава целиком зависели от штаба авиации, возглавлявшегося Великим князем Александром Михайловичем. Он часто назначал командирами рот и начальниками отрядов офицеров, хорошо писавших отчеты, но мало летавших. В этой ситуации протежируемые отряды снабжались самолетами вне очереди , тогда как части, несшие ответственную и тяжелую работу, оставались без аэропланов. Снабжение самолетами оставалось большой проблемой, которая часто решалась на самом высоком уровне. Так, 31 августа 1914 г. командующий 8-й армией генерал Брусилов бьет челом Великому князю: "Настоящее время лишился совершенно воздушных аппаратов, столь драгоценных для разведок, что ставит управление войсками в крайне трудное положение. ...Покорно прошу Ваше императорское высочество оказать армии величайшую помощь "Фарманами" и "Ньюпорами". Деятельность летчиков в разведке незаменима." Просьба Брусилова была удовлетворена, и армия получила 4 самолета из состава Брест-Литовского крепостного авиаотряда. Однако таких просьб было множество, а дефицит самолетов и моторов стал хронической болезнью русской авиации до конца войны. К началу боевых действий в составе воздушного флота России насчитывался 221 летчик: 170 офицеров, 35 нижних чинов и 16 вольноопределяющихся (добровольцев). На 1 января 1915 г. потери летчиков составили 33 человека или 14,9% от общего состава. Из них 6 погибли от действий неприятеля, 5 - в авариях, 22 попали в плен и пропали без вести. Среди погибших: штабс-капитаны Грузинов, Нестеров, поручики Лемешко, Гудим, старший унтер-офицер Доброшинский и др. Пропали без вести: поручики Николаевский, Шамин, Машерек и др. Ранены или разбились при падении: капитан Витковский, гвардии штабс-капитан Мельницкий, штабс-капитан Мучник, поручики Городецкий, Корнидов, Павлов, доброволец Шпицберг. Некоторые из них, например, летчик-доброволец 16-го КАО Шпицберг, впоследствии скончались в госпитале. В скорбный список боевых потерь одним из первых попал военный летчик начальник 14-го КАО Ефграф Ефграфович Грузинов, смертельно раненный шрапнелью в воздухе во время выполнения боевого задания. 17 августа он вылетел на разведку района Кщонов-Пиляш-Ковице-Быхов-Люблин и обратно не вернулся. Самолет упал на вражеской территории, которую вскоре заняли русские войска. У села Быхово близ Янова были найдены свежая могила и разбитый "Ньюпор". В могиле обнаружили тело Грузинова, вопрос местных жителей и пленных австрийцев дал представление об обстоятельствах его гибели. Выяснилось, что самолет пролетал над австрийскими позициями на высоте 1000-1200 м и был обстрелян сначала пехотой, потом артиллерийской батареей, которая дала три залпа. Два первых цели не достигли. После третьего аппарат дрогнул, перевернулся и, сделав крутой вираж, врезался в землю с работающим мотором. Посмертно высочайшим приказом штабс-капитан Грузинов был награжден орденом Святого Георгия 4-й степени. Состоялись и первые воздушные бои. Таран и героическая гибель 26 августа военного летчика начальника 11-го КАО Петра Николаевича Нестерова открыли новую эпоху борьбы в воздухе. Из вооружения у русских авиаторов имелись только пистолеты "Маузер" и карабины. Хроника тех лет описывает несколько случаев воздушных боев. Так, 28 октября в окрестностях Петроково (под Варшавой) "появился неприятельский аэроплан. Через несколько минут поднялись два наших летчика и после воздушного боя сбросили "Таубе" на землю. Немецкие авиаторы разбились. Неприятельский аэроплан исковеркан". К сожалению, подтверждения этому газетному сообщению не нашлось. А вот воздушный бой и совместные действия с артиллерией, принесшие успех военному летчику Гродненского крепостного авиаотряда поручику Семенову, были подтверждены несколькими донесениями, хранящимися в Военно-историческом архиве. 27 августа Семенов с наблюдателем корнетом Николаевым при перелете через озеро Мейер, что в Восточной Пруссии, заметил неприятельский аэроплан, летевший к Летцену. Обойдя противника с правой стороны, Семенов атаковал его, заставил спуститься ниже и изменить направление полета в район русских позиций, где тот был обстрелян и около озера упал (11237).</w:t>
      </w:r>
    </w:p>
    <w:p w14:paraId="7F96E7A0" w14:textId="77777777" w:rsidR="00F2759D" w:rsidRPr="00DE096C" w:rsidRDefault="00F2759D" w:rsidP="00D45A46">
      <w:pPr>
        <w:jc w:val="both"/>
        <w:rPr>
          <w:bCs/>
          <w:color w:val="002060"/>
          <w:sz w:val="16"/>
          <w:szCs w:val="16"/>
        </w:rPr>
      </w:pPr>
    </w:p>
    <w:p w14:paraId="5B40D31E" w14:textId="77777777" w:rsidR="00F2759D" w:rsidRPr="00DE096C" w:rsidRDefault="00F2759D" w:rsidP="00D45A46">
      <w:pPr>
        <w:jc w:val="both"/>
        <w:rPr>
          <w:bCs/>
          <w:color w:val="002060"/>
          <w:sz w:val="16"/>
          <w:szCs w:val="16"/>
        </w:rPr>
      </w:pPr>
      <w:r w:rsidRPr="00DE096C">
        <w:rPr>
          <w:bCs/>
          <w:color w:val="002060"/>
          <w:sz w:val="16"/>
          <w:szCs w:val="16"/>
        </w:rPr>
        <w:t xml:space="preserve">В конце июля 1941 накануне войны Россия располагала самым многочисленным воздушным флотом среди воюющих держав: 244 самолета в составе 39 авиаотрядов. Однакоздесь один из законов диалектики дал трещину: количественное преимущество не переросло в качественное, материальнаячасть была сильно изношена, отряды выступили на фронт с аэропланами и двигателями, бывшими в эксплуатации уже два года. Транспортные средства (обозы) оказались совершенно не приспособлены для перевозки авиационного имущества, а грузовых автомобилей не хватало, что отрицательно сказалось в первые месяцы маневренной войны (11278). </w:t>
      </w:r>
    </w:p>
    <w:p w14:paraId="60F0189D" w14:textId="77777777" w:rsidR="00F2759D" w:rsidRPr="00DE096C" w:rsidRDefault="00F2759D" w:rsidP="00D45A46">
      <w:pPr>
        <w:jc w:val="both"/>
        <w:rPr>
          <w:bCs/>
          <w:color w:val="002060"/>
          <w:sz w:val="16"/>
          <w:szCs w:val="16"/>
        </w:rPr>
      </w:pPr>
    </w:p>
    <w:p w14:paraId="75ED1C65" w14:textId="77777777" w:rsidR="00F2759D" w:rsidRPr="00DE096C" w:rsidRDefault="00F2759D" w:rsidP="00D45A46">
      <w:pPr>
        <w:jc w:val="both"/>
        <w:rPr>
          <w:bCs/>
          <w:color w:val="002060"/>
          <w:sz w:val="16"/>
          <w:szCs w:val="16"/>
        </w:rPr>
      </w:pPr>
      <w:r w:rsidRPr="00DE096C">
        <w:rPr>
          <w:bCs/>
          <w:color w:val="002060"/>
          <w:sz w:val="16"/>
          <w:szCs w:val="16"/>
        </w:rPr>
        <w:t>В конце июля 1941 накануне войны в области воздухоплавания /кроме свободного и привязного/ Россия не ушла дальше малых и средних дирижаблей мягкой системы. Впрочем, большой потери от этого не было, так как дирижабли быстро показали свою непригодность для военных целей. Нужны были только привязные аэростаты.</w:t>
      </w:r>
    </w:p>
    <w:p w14:paraId="246734F8" w14:textId="77777777" w:rsidR="00F2759D" w:rsidRPr="00DE096C" w:rsidRDefault="00F2759D" w:rsidP="00D45A46">
      <w:pPr>
        <w:jc w:val="both"/>
        <w:rPr>
          <w:bCs/>
          <w:color w:val="002060"/>
          <w:sz w:val="16"/>
          <w:szCs w:val="16"/>
        </w:rPr>
      </w:pPr>
    </w:p>
    <w:p w14:paraId="2667E5B0" w14:textId="77777777" w:rsidR="00F2759D" w:rsidRPr="00DE096C" w:rsidRDefault="00F2759D" w:rsidP="00D45A46">
      <w:pPr>
        <w:jc w:val="both"/>
        <w:rPr>
          <w:bCs/>
          <w:color w:val="002060"/>
          <w:sz w:val="16"/>
          <w:szCs w:val="16"/>
        </w:rPr>
      </w:pPr>
      <w:r w:rsidRPr="00DE096C">
        <w:rPr>
          <w:bCs/>
          <w:color w:val="002060"/>
          <w:sz w:val="16"/>
          <w:szCs w:val="16"/>
        </w:rPr>
        <w:t>В конце июля 1941 накануне Первой мировой войны во многих городах России собирали средства на развитие воздушного флота. Сбором средств занимался Императорский Отдел воздушного флота, и он же направлял в наиболее крупные центры страны известных российских авиаторов и пилотов для популяризации авиаторского дела. (Императорский всероссийский аэроклуб // Биржевые ведомости. № 13434. 7 марта 1913 г. Утр. вып.) (11049).</w:t>
      </w:r>
    </w:p>
    <w:p w14:paraId="7AE3515F" w14:textId="77777777" w:rsidR="00F2759D" w:rsidRPr="00DE096C" w:rsidRDefault="00F2759D" w:rsidP="00D45A46">
      <w:pPr>
        <w:jc w:val="both"/>
        <w:rPr>
          <w:bCs/>
          <w:color w:val="002060"/>
          <w:sz w:val="16"/>
          <w:szCs w:val="16"/>
        </w:rPr>
      </w:pPr>
    </w:p>
    <w:p w14:paraId="7DB5B1CE" w14:textId="77777777" w:rsidR="00F2759D" w:rsidRPr="00DE096C" w:rsidRDefault="00F2759D" w:rsidP="00D45A46">
      <w:pPr>
        <w:jc w:val="both"/>
        <w:rPr>
          <w:bCs/>
          <w:color w:val="002060"/>
          <w:sz w:val="16"/>
          <w:szCs w:val="16"/>
        </w:rPr>
      </w:pPr>
      <w:r w:rsidRPr="00DE096C">
        <w:rPr>
          <w:bCs/>
          <w:color w:val="002060"/>
          <w:sz w:val="16"/>
          <w:szCs w:val="16"/>
        </w:rPr>
        <w:t>К концу июля 1941 накануне первой мировой войны Военный министр принял решение об объединении имеющихся авиационных отрядов в единые авиационные войска, однако, законодательного оформления эта мера не получила. В то же время, создание в России авиационной службы позволило успешно применять самолеты в начавшейся крупномасштабной войне (11039).</w:t>
      </w:r>
    </w:p>
    <w:p w14:paraId="3E731543" w14:textId="77777777" w:rsidR="00F2759D" w:rsidRPr="00DE096C" w:rsidRDefault="00F2759D" w:rsidP="00D45A46">
      <w:pPr>
        <w:jc w:val="both"/>
        <w:rPr>
          <w:bCs/>
          <w:color w:val="002060"/>
          <w:sz w:val="16"/>
          <w:szCs w:val="16"/>
        </w:rPr>
      </w:pPr>
    </w:p>
    <w:p w14:paraId="600374B1" w14:textId="77777777" w:rsidR="00F2759D" w:rsidRPr="00DE096C" w:rsidRDefault="00F2759D" w:rsidP="00D45A46">
      <w:pPr>
        <w:jc w:val="both"/>
        <w:rPr>
          <w:bCs/>
          <w:color w:val="002060"/>
          <w:sz w:val="16"/>
          <w:szCs w:val="16"/>
        </w:rPr>
      </w:pPr>
      <w:r w:rsidRPr="00DE096C">
        <w:rPr>
          <w:bCs/>
          <w:color w:val="002060"/>
          <w:sz w:val="16"/>
          <w:szCs w:val="16"/>
        </w:rPr>
        <w:t>К концу июля 1914 накануне войны в России сложились уже кадры квалифици</w:t>
      </w:r>
      <w:r w:rsidRPr="00DE096C">
        <w:rPr>
          <w:bCs/>
          <w:color w:val="002060"/>
          <w:sz w:val="16"/>
          <w:szCs w:val="16"/>
        </w:rPr>
        <w:softHyphen/>
        <w:t>рованных летчиков, среди которых было немало людей, в совер</w:t>
      </w:r>
      <w:r w:rsidRPr="00DE096C">
        <w:rPr>
          <w:bCs/>
          <w:color w:val="002060"/>
          <w:sz w:val="16"/>
          <w:szCs w:val="16"/>
        </w:rPr>
        <w:softHyphen/>
        <w:t>шенстве владевших техникой полета (11042,230).</w:t>
      </w:r>
    </w:p>
    <w:p w14:paraId="7FA0A3D5" w14:textId="77777777" w:rsidR="00F2759D" w:rsidRPr="00DE096C" w:rsidRDefault="00F2759D" w:rsidP="00D45A46">
      <w:pPr>
        <w:jc w:val="both"/>
        <w:rPr>
          <w:bCs/>
          <w:color w:val="002060"/>
          <w:sz w:val="16"/>
          <w:szCs w:val="16"/>
        </w:rPr>
      </w:pPr>
    </w:p>
    <w:p w14:paraId="50BA140B" w14:textId="77777777" w:rsidR="00F2759D" w:rsidRPr="00DE096C" w:rsidRDefault="00F2759D" w:rsidP="00D45A46">
      <w:pPr>
        <w:jc w:val="both"/>
        <w:rPr>
          <w:bCs/>
          <w:color w:val="002060"/>
          <w:sz w:val="16"/>
          <w:szCs w:val="16"/>
        </w:rPr>
      </w:pPr>
      <w:r w:rsidRPr="00DE096C">
        <w:rPr>
          <w:bCs/>
          <w:color w:val="002060"/>
          <w:sz w:val="16"/>
          <w:szCs w:val="16"/>
        </w:rPr>
        <w:t>К концу июля 1914 к моменту мобилизации в 39 авиационных отрядах имелось 200 летчиков. Для полного укомплектования отрядов нужны были еще 90 л, но ресурсов летного состава нее было (278).</w:t>
      </w:r>
    </w:p>
    <w:p w14:paraId="0D9FD8F8" w14:textId="77777777" w:rsidR="00F2759D" w:rsidRPr="00DE096C" w:rsidRDefault="00F2759D" w:rsidP="00D45A46">
      <w:pPr>
        <w:jc w:val="both"/>
        <w:rPr>
          <w:bCs/>
          <w:color w:val="002060"/>
          <w:sz w:val="16"/>
          <w:szCs w:val="16"/>
        </w:rPr>
      </w:pPr>
    </w:p>
    <w:p w14:paraId="485355F2" w14:textId="77777777" w:rsidR="00F2759D" w:rsidRPr="00DE096C" w:rsidRDefault="00F2759D" w:rsidP="00D45A46">
      <w:pPr>
        <w:jc w:val="both"/>
        <w:rPr>
          <w:bCs/>
          <w:color w:val="002060"/>
          <w:sz w:val="16"/>
          <w:szCs w:val="16"/>
        </w:rPr>
      </w:pPr>
      <w:r w:rsidRPr="00DE096C">
        <w:rPr>
          <w:bCs/>
          <w:color w:val="002060"/>
          <w:sz w:val="16"/>
          <w:szCs w:val="16"/>
        </w:rPr>
        <w:t>К концу июля 1914 и началу войны была создана организационная структура русской военной авиации, количество авиационных частей в которой в основном позволяло обеспечить вступающие в войну войска средствами воздушной разведки и связи (см. схему 3). Всего в армии к 19 июля 1914 года насчитывалось 39 авиаотрядов (1 полевой, 30 корпусных и 8 крепостных), имевших в своем составе 263 самолета. По количеству военных самолетов (даже без учета гидроавиации) Россия в это время оставила позади Германию (имела 232 самолета), Францию (156), Австро-Венгрию (65), Великобританию, Италию и США (по 30) (Авиация. Энциклопедия. М., 1994). Однако различный потенциал авиационной промышленности и наличие подготовленных гражданских летчиков в крупных государствах уже через полгода участия авиации в боевых действиях обусловили новое соотношение авиационных сил и средств между армиями стран — участниц Первой мировой войны (11167).</w:t>
      </w:r>
    </w:p>
    <w:p w14:paraId="4014F311" w14:textId="77777777" w:rsidR="00F2759D" w:rsidRPr="00DE096C" w:rsidRDefault="00F2759D" w:rsidP="00D45A46">
      <w:pPr>
        <w:jc w:val="both"/>
        <w:rPr>
          <w:bCs/>
          <w:color w:val="002060"/>
          <w:sz w:val="16"/>
          <w:szCs w:val="16"/>
        </w:rPr>
      </w:pPr>
    </w:p>
    <w:p w14:paraId="7EBD97F5" w14:textId="77777777" w:rsidR="00F2759D" w:rsidRPr="00DE096C" w:rsidRDefault="00F2759D" w:rsidP="00D45A46">
      <w:pPr>
        <w:jc w:val="both"/>
        <w:rPr>
          <w:bCs/>
          <w:color w:val="002060"/>
          <w:sz w:val="16"/>
          <w:szCs w:val="16"/>
        </w:rPr>
      </w:pPr>
      <w:r w:rsidRPr="00DE096C">
        <w:rPr>
          <w:bCs/>
          <w:noProof/>
          <w:color w:val="002060"/>
          <w:sz w:val="16"/>
          <w:szCs w:val="16"/>
        </w:rPr>
        <w:lastRenderedPageBreak/>
        <w:drawing>
          <wp:inline distT="0" distB="0" distL="0" distR="0" wp14:anchorId="0AB9E7E3" wp14:editId="190195D5">
            <wp:extent cx="5479415" cy="4681220"/>
            <wp:effectExtent l="19050" t="0" r="698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cstate="print"/>
                    <a:srcRect/>
                    <a:stretch>
                      <a:fillRect/>
                    </a:stretch>
                  </pic:blipFill>
                  <pic:spPr bwMode="auto">
                    <a:xfrm>
                      <a:off x="0" y="0"/>
                      <a:ext cx="5479415" cy="4681220"/>
                    </a:xfrm>
                    <a:prstGeom prst="rect">
                      <a:avLst/>
                    </a:prstGeom>
                    <a:noFill/>
                    <a:ln w="9525">
                      <a:noFill/>
                      <a:miter lim="800000"/>
                      <a:headEnd/>
                      <a:tailEnd/>
                    </a:ln>
                  </pic:spPr>
                </pic:pic>
              </a:graphicData>
            </a:graphic>
          </wp:inline>
        </w:drawing>
      </w:r>
    </w:p>
    <w:p w14:paraId="4A7B8877" w14:textId="77777777" w:rsidR="00F2759D" w:rsidRPr="00DE096C" w:rsidRDefault="00F2759D" w:rsidP="00D45A46">
      <w:pPr>
        <w:jc w:val="both"/>
        <w:rPr>
          <w:bCs/>
          <w:color w:val="002060"/>
          <w:sz w:val="16"/>
          <w:szCs w:val="16"/>
        </w:rPr>
      </w:pPr>
    </w:p>
    <w:p w14:paraId="002F1DD1" w14:textId="77777777" w:rsidR="00F2759D" w:rsidRPr="00DE096C" w:rsidRDefault="00F2759D" w:rsidP="00D45A46">
      <w:pPr>
        <w:jc w:val="both"/>
        <w:rPr>
          <w:bCs/>
          <w:color w:val="002060"/>
          <w:sz w:val="16"/>
          <w:szCs w:val="16"/>
        </w:rPr>
      </w:pPr>
      <w:r w:rsidRPr="00DE096C">
        <w:rPr>
          <w:bCs/>
          <w:color w:val="002060"/>
          <w:sz w:val="16"/>
          <w:szCs w:val="16"/>
        </w:rPr>
        <w:t>Составлена по: РГВИА. Ф. 2000. Оп. 8. Д. 13. Л. 248; Оп. 2. Д. 242. Л. 323; Д. 520. Л. 25; Д. 789. Л. 23; Ф. 802. Оп. 4. Д. 2115. Л. 135 (11167).</w:t>
      </w:r>
    </w:p>
    <w:p w14:paraId="2A979393" w14:textId="77777777" w:rsidR="00F2759D" w:rsidRPr="00DE096C" w:rsidRDefault="00F2759D" w:rsidP="00D45A46">
      <w:pPr>
        <w:jc w:val="both"/>
        <w:rPr>
          <w:bCs/>
          <w:color w:val="002060"/>
          <w:sz w:val="16"/>
          <w:szCs w:val="16"/>
        </w:rPr>
      </w:pPr>
    </w:p>
    <w:p w14:paraId="14052E2C" w14:textId="77777777" w:rsidR="00F2759D" w:rsidRPr="00DE096C" w:rsidRDefault="00F2759D" w:rsidP="00D45A46">
      <w:pPr>
        <w:jc w:val="both"/>
        <w:rPr>
          <w:bCs/>
          <w:color w:val="002060"/>
          <w:sz w:val="16"/>
          <w:szCs w:val="16"/>
        </w:rPr>
      </w:pPr>
      <w:r w:rsidRPr="00DE096C">
        <w:rPr>
          <w:bCs/>
          <w:color w:val="002060"/>
          <w:sz w:val="16"/>
          <w:szCs w:val="16"/>
        </w:rPr>
        <w:t>К концу июля 1914 и началу первой мировой войны в составе - русской армии было 39 авиационных отрядов, из них:</w:t>
      </w:r>
    </w:p>
    <w:p w14:paraId="25C8FF97" w14:textId="77777777" w:rsidR="00F2759D" w:rsidRPr="00DE096C" w:rsidRDefault="00F2759D" w:rsidP="00D45A46">
      <w:pPr>
        <w:jc w:val="both"/>
        <w:rPr>
          <w:bCs/>
          <w:color w:val="002060"/>
          <w:sz w:val="16"/>
          <w:szCs w:val="16"/>
        </w:rPr>
      </w:pPr>
      <w:r w:rsidRPr="00DE096C">
        <w:rPr>
          <w:bCs/>
          <w:color w:val="002060"/>
          <w:sz w:val="16"/>
          <w:szCs w:val="16"/>
        </w:rPr>
        <w:t>— 30 корпусных (с 1-го по 25-й корпусные авиационные от</w:t>
      </w:r>
      <w:r w:rsidRPr="00DE096C">
        <w:rPr>
          <w:bCs/>
          <w:color w:val="002060"/>
          <w:sz w:val="16"/>
          <w:szCs w:val="16"/>
        </w:rPr>
        <w:softHyphen/>
        <w:t>ряды; 1-й, 4-й и 5-й Сибирские авиационные отряды; авиацион</w:t>
      </w:r>
      <w:r w:rsidRPr="00DE096C">
        <w:rPr>
          <w:bCs/>
          <w:color w:val="002060"/>
          <w:sz w:val="16"/>
          <w:szCs w:val="16"/>
        </w:rPr>
        <w:softHyphen/>
        <w:t>ный отряд гвардейского и авиационный отряд гренадерского кор</w:t>
      </w:r>
      <w:r w:rsidRPr="00DE096C">
        <w:rPr>
          <w:bCs/>
          <w:color w:val="002060"/>
          <w:sz w:val="16"/>
          <w:szCs w:val="16"/>
        </w:rPr>
        <w:softHyphen/>
        <w:t>пусов) ;</w:t>
      </w:r>
    </w:p>
    <w:p w14:paraId="2B0200C6" w14:textId="77777777" w:rsidR="00F2759D" w:rsidRPr="00DE096C" w:rsidRDefault="00F2759D" w:rsidP="00D45A46">
      <w:pPr>
        <w:jc w:val="both"/>
        <w:rPr>
          <w:bCs/>
          <w:color w:val="002060"/>
          <w:sz w:val="16"/>
          <w:szCs w:val="16"/>
        </w:rPr>
      </w:pPr>
      <w:r w:rsidRPr="00DE096C">
        <w:rPr>
          <w:bCs/>
          <w:color w:val="002060"/>
          <w:sz w:val="16"/>
          <w:szCs w:val="16"/>
        </w:rPr>
        <w:t>— 8 крепостных (Брест-Литовский, Владивостокский, Грод</w:t>
      </w:r>
      <w:r w:rsidRPr="00DE096C">
        <w:rPr>
          <w:bCs/>
          <w:color w:val="002060"/>
          <w:sz w:val="16"/>
          <w:szCs w:val="16"/>
        </w:rPr>
        <w:softHyphen/>
        <w:t>ненский, Карский, Ковенский, Новогеоргиевский, Осовецкий и Севастопольский авиационные отряды);</w:t>
      </w:r>
    </w:p>
    <w:p w14:paraId="06E47942" w14:textId="77777777" w:rsidR="00F2759D" w:rsidRPr="00DE096C" w:rsidRDefault="00F2759D" w:rsidP="00D45A46">
      <w:pPr>
        <w:jc w:val="both"/>
        <w:rPr>
          <w:bCs/>
          <w:color w:val="002060"/>
          <w:sz w:val="16"/>
          <w:szCs w:val="16"/>
        </w:rPr>
      </w:pPr>
      <w:r w:rsidRPr="00DE096C">
        <w:rPr>
          <w:bCs/>
          <w:color w:val="002060"/>
          <w:sz w:val="16"/>
          <w:szCs w:val="16"/>
        </w:rPr>
        <w:t>— 1-й полевой авиационный отряд.</w:t>
      </w:r>
    </w:p>
    <w:p w14:paraId="060C9DD7" w14:textId="77777777" w:rsidR="00F2759D" w:rsidRPr="00DE096C" w:rsidRDefault="00F2759D" w:rsidP="00D45A46">
      <w:pPr>
        <w:jc w:val="both"/>
        <w:rPr>
          <w:bCs/>
          <w:color w:val="002060"/>
          <w:sz w:val="16"/>
          <w:szCs w:val="16"/>
        </w:rPr>
      </w:pPr>
      <w:r w:rsidRPr="00DE096C">
        <w:rPr>
          <w:bCs/>
          <w:color w:val="002060"/>
          <w:sz w:val="16"/>
          <w:szCs w:val="16"/>
        </w:rPr>
        <w:t>Кроме того, для обслуживания отрядов было сформировано 6 авиационных рот, которые базировались:</w:t>
      </w:r>
    </w:p>
    <w:p w14:paraId="2D0FF1CF" w14:textId="77777777" w:rsidR="00F2759D" w:rsidRPr="00DE096C" w:rsidRDefault="00F2759D" w:rsidP="00D45A46">
      <w:pPr>
        <w:jc w:val="both"/>
        <w:rPr>
          <w:bCs/>
          <w:color w:val="002060"/>
          <w:sz w:val="16"/>
          <w:szCs w:val="16"/>
        </w:rPr>
      </w:pPr>
      <w:r w:rsidRPr="00DE096C">
        <w:rPr>
          <w:bCs/>
          <w:color w:val="002060"/>
          <w:sz w:val="16"/>
          <w:szCs w:val="16"/>
        </w:rPr>
        <w:t>— 1-я рота — в Петербурге;</w:t>
      </w:r>
    </w:p>
    <w:p w14:paraId="57BC6E96" w14:textId="77777777" w:rsidR="00F2759D" w:rsidRPr="00DE096C" w:rsidRDefault="00F2759D" w:rsidP="00D45A46">
      <w:pPr>
        <w:jc w:val="both"/>
        <w:rPr>
          <w:bCs/>
          <w:color w:val="002060"/>
          <w:sz w:val="16"/>
          <w:szCs w:val="16"/>
        </w:rPr>
      </w:pPr>
      <w:r w:rsidRPr="00DE096C">
        <w:rPr>
          <w:bCs/>
          <w:color w:val="002060"/>
          <w:sz w:val="16"/>
          <w:szCs w:val="16"/>
        </w:rPr>
        <w:t>— 2-я рота — в Варшаве;</w:t>
      </w:r>
    </w:p>
    <w:p w14:paraId="72EB48E8" w14:textId="77777777" w:rsidR="00F2759D" w:rsidRPr="00DE096C" w:rsidRDefault="00F2759D" w:rsidP="00D45A46">
      <w:pPr>
        <w:jc w:val="both"/>
        <w:rPr>
          <w:bCs/>
          <w:color w:val="002060"/>
          <w:sz w:val="16"/>
          <w:szCs w:val="16"/>
        </w:rPr>
      </w:pPr>
      <w:r w:rsidRPr="00DE096C">
        <w:rPr>
          <w:bCs/>
          <w:color w:val="002060"/>
          <w:sz w:val="16"/>
          <w:szCs w:val="16"/>
        </w:rPr>
        <w:t>— 3-я рота — в Киеве;</w:t>
      </w:r>
    </w:p>
    <w:p w14:paraId="4758D302" w14:textId="77777777" w:rsidR="00F2759D" w:rsidRPr="00DE096C" w:rsidRDefault="00F2759D" w:rsidP="00D45A46">
      <w:pPr>
        <w:jc w:val="both"/>
        <w:rPr>
          <w:bCs/>
          <w:color w:val="002060"/>
          <w:sz w:val="16"/>
          <w:szCs w:val="16"/>
        </w:rPr>
      </w:pPr>
      <w:r w:rsidRPr="00DE096C">
        <w:rPr>
          <w:bCs/>
          <w:color w:val="002060"/>
          <w:sz w:val="16"/>
          <w:szCs w:val="16"/>
        </w:rPr>
        <w:t>— 4-я рота — в Лиде;</w:t>
      </w:r>
    </w:p>
    <w:p w14:paraId="35A3CEC4" w14:textId="77777777" w:rsidR="00F2759D" w:rsidRPr="00DE096C" w:rsidRDefault="00F2759D" w:rsidP="00D45A46">
      <w:pPr>
        <w:jc w:val="both"/>
        <w:rPr>
          <w:bCs/>
          <w:color w:val="002060"/>
          <w:sz w:val="16"/>
          <w:szCs w:val="16"/>
        </w:rPr>
      </w:pPr>
      <w:r w:rsidRPr="00DE096C">
        <w:rPr>
          <w:bCs/>
          <w:color w:val="002060"/>
          <w:sz w:val="16"/>
          <w:szCs w:val="16"/>
        </w:rPr>
        <w:t>— 5-я рота — в Бронницах (под Москвой);</w:t>
      </w:r>
    </w:p>
    <w:p w14:paraId="68400347" w14:textId="77777777" w:rsidR="00F2759D" w:rsidRPr="00DE096C" w:rsidRDefault="00F2759D" w:rsidP="00D45A46">
      <w:pPr>
        <w:jc w:val="both"/>
        <w:rPr>
          <w:bCs/>
          <w:color w:val="002060"/>
          <w:sz w:val="16"/>
          <w:szCs w:val="16"/>
        </w:rPr>
      </w:pPr>
      <w:r w:rsidRPr="00DE096C">
        <w:rPr>
          <w:bCs/>
          <w:color w:val="002060"/>
          <w:sz w:val="16"/>
          <w:szCs w:val="16"/>
        </w:rPr>
        <w:t>— 6-я рота — в Одессе.</w:t>
      </w:r>
    </w:p>
    <w:p w14:paraId="7ACA9EF8" w14:textId="77777777" w:rsidR="00F2759D" w:rsidRPr="00DE096C" w:rsidRDefault="00F2759D" w:rsidP="00D45A46">
      <w:pPr>
        <w:jc w:val="both"/>
        <w:rPr>
          <w:bCs/>
          <w:color w:val="002060"/>
          <w:sz w:val="16"/>
          <w:szCs w:val="16"/>
        </w:rPr>
      </w:pPr>
      <w:r w:rsidRPr="00DE096C">
        <w:rPr>
          <w:bCs/>
          <w:color w:val="002060"/>
          <w:sz w:val="16"/>
          <w:szCs w:val="16"/>
        </w:rPr>
        <w:t>Каждая рота обслуживала 4—7 авиационных отрядов. Три сибирских авиационных отряда базировались в с. Спасском При</w:t>
      </w:r>
      <w:r w:rsidRPr="00DE096C">
        <w:rPr>
          <w:bCs/>
          <w:color w:val="002060"/>
          <w:sz w:val="16"/>
          <w:szCs w:val="16"/>
        </w:rPr>
        <w:softHyphen/>
        <w:t>морской области. Крепостные авиационные отряды располага</w:t>
      </w:r>
      <w:r w:rsidRPr="00DE096C">
        <w:rPr>
          <w:bCs/>
          <w:color w:val="002060"/>
          <w:sz w:val="16"/>
          <w:szCs w:val="16"/>
        </w:rPr>
        <w:softHyphen/>
        <w:t>лись в крепостях соответственно своим наименованиям.</w:t>
      </w:r>
    </w:p>
    <w:p w14:paraId="4A418AAD" w14:textId="77777777" w:rsidR="00F2759D" w:rsidRPr="00DE096C" w:rsidRDefault="00F2759D" w:rsidP="00D45A46">
      <w:pPr>
        <w:jc w:val="both"/>
        <w:rPr>
          <w:bCs/>
          <w:color w:val="002060"/>
          <w:sz w:val="16"/>
          <w:szCs w:val="16"/>
        </w:rPr>
      </w:pPr>
      <w:r w:rsidRPr="00DE096C">
        <w:rPr>
          <w:bCs/>
          <w:color w:val="002060"/>
          <w:sz w:val="16"/>
          <w:szCs w:val="16"/>
        </w:rPr>
        <w:t>Согласно табелю имущества корпусные и полевые отряды должны были иметь по 6 самолетов, а крепостные — по 8 само</w:t>
      </w:r>
      <w:r w:rsidRPr="00DE096C">
        <w:rPr>
          <w:bCs/>
          <w:color w:val="002060"/>
          <w:sz w:val="16"/>
          <w:szCs w:val="16"/>
        </w:rPr>
        <w:softHyphen/>
        <w:t>летов. Кроме того, предусматривалось создание в каждом от</w:t>
      </w:r>
      <w:r w:rsidRPr="00DE096C">
        <w:rPr>
          <w:bCs/>
          <w:color w:val="002060"/>
          <w:sz w:val="16"/>
          <w:szCs w:val="16"/>
        </w:rPr>
        <w:softHyphen/>
        <w:t>ряде запасного комплекта самолетов на случай войны. Однако к созданию запасных комплектов приступить не удалось. Факти</w:t>
      </w:r>
      <w:r w:rsidRPr="00DE096C">
        <w:rPr>
          <w:bCs/>
          <w:color w:val="002060"/>
          <w:sz w:val="16"/>
          <w:szCs w:val="16"/>
        </w:rPr>
        <w:softHyphen/>
        <w:t>чески к началу первой мировой войны в авиационных отрядах было 224 самолета (ЦГВИА, ф. 2000, оп. 3, д. 2499, л л. 43- 44). Кроме того, около 20 самолетов хранилось на складах и 19 самолетов использовались в школах. Всего рус</w:t>
      </w:r>
      <w:r w:rsidRPr="00DE096C">
        <w:rPr>
          <w:bCs/>
          <w:color w:val="002060"/>
          <w:sz w:val="16"/>
          <w:szCs w:val="16"/>
        </w:rPr>
        <w:softHyphen/>
        <w:t>ское военное ведомство имело 263 самолета.</w:t>
      </w:r>
    </w:p>
    <w:p w14:paraId="4F71EEFB" w14:textId="77777777" w:rsidR="00F2759D" w:rsidRPr="00DE096C" w:rsidRDefault="00F2759D" w:rsidP="00D45A46">
      <w:pPr>
        <w:jc w:val="both"/>
        <w:rPr>
          <w:bCs/>
          <w:color w:val="002060"/>
          <w:sz w:val="16"/>
          <w:szCs w:val="16"/>
        </w:rPr>
      </w:pPr>
      <w:r w:rsidRPr="00DE096C">
        <w:rPr>
          <w:bCs/>
          <w:color w:val="002060"/>
          <w:sz w:val="16"/>
          <w:szCs w:val="16"/>
        </w:rPr>
        <w:t>Авиационные отряды русской армии имели почти полный комплект самолетов, но никаких резервов материальной части Военное министерство не создавало. Почти все отряды были во</w:t>
      </w:r>
      <w:r w:rsidRPr="00DE096C">
        <w:rPr>
          <w:bCs/>
          <w:color w:val="002060"/>
          <w:sz w:val="16"/>
          <w:szCs w:val="16"/>
        </w:rPr>
        <w:softHyphen/>
        <w:t>оружены самолетами типа «Ньюпор-4», «Фарман-16» и «Фарман-22» с моторами «Гном» в 70—80 л. с., обеспечивающими скорость около 90 км/час.</w:t>
      </w:r>
    </w:p>
    <w:p w14:paraId="60E9EEBF" w14:textId="77777777" w:rsidR="00F2759D" w:rsidRPr="00DE096C" w:rsidRDefault="00F2759D" w:rsidP="00D45A46">
      <w:pPr>
        <w:jc w:val="both"/>
        <w:rPr>
          <w:bCs/>
          <w:color w:val="002060"/>
          <w:sz w:val="16"/>
          <w:szCs w:val="16"/>
        </w:rPr>
      </w:pPr>
    </w:p>
    <w:p w14:paraId="0978EDE1" w14:textId="77777777" w:rsidR="00F2759D" w:rsidRPr="00DE096C" w:rsidRDefault="00F2759D" w:rsidP="00D45A46">
      <w:pPr>
        <w:jc w:val="both"/>
        <w:rPr>
          <w:bCs/>
          <w:color w:val="002060"/>
          <w:sz w:val="16"/>
          <w:szCs w:val="16"/>
        </w:rPr>
      </w:pPr>
      <w:r w:rsidRPr="00DE096C">
        <w:rPr>
          <w:bCs/>
          <w:color w:val="002060"/>
          <w:sz w:val="16"/>
          <w:szCs w:val="16"/>
        </w:rPr>
        <w:t xml:space="preserve">К концу июля 1914 в момент объявления войны на вооружении русской авиации состояли главным образом «ньюпоры» в 70 сил, в некоторых отрядах «фарманы» типа XVI и XXII (учебные аппараты). Материальная часть во многих отрядах была совершенно изношена, и отряды выступили на войну с самолетами, пролетавшими два года. На войну были отправлены даже «ньюпоры» постройки завода Щетинина. Эти «ньюпоры», построенные хотя и по утвержденным, но совершенно неправильным чертежам, имели отрицательные углы атаки крыльев, что повлекло за собой целый ряд смертельных аварий; несмотря на это, аппараты оставались на службе и были посланы на войну. </w:t>
      </w:r>
    </w:p>
    <w:p w14:paraId="7F4A9811" w14:textId="77777777" w:rsidR="00F2759D" w:rsidRPr="00DE096C" w:rsidRDefault="00F2759D" w:rsidP="00D45A46">
      <w:pPr>
        <w:jc w:val="both"/>
        <w:rPr>
          <w:bCs/>
          <w:color w:val="002060"/>
          <w:sz w:val="16"/>
          <w:szCs w:val="16"/>
        </w:rPr>
      </w:pPr>
      <w:r w:rsidRPr="00DE096C">
        <w:rPr>
          <w:bCs/>
          <w:color w:val="002060"/>
          <w:sz w:val="16"/>
          <w:szCs w:val="16"/>
        </w:rPr>
        <w:t xml:space="preserve">Общий состав воздушных сил Русской армии к началу войны был следующий: </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6336"/>
        <w:gridCol w:w="768"/>
      </w:tblGrid>
      <w:tr w:rsidR="00F2759D" w:rsidRPr="00DE096C" w14:paraId="0143AE5B" w14:textId="77777777" w:rsidTr="00D34AC1">
        <w:tc>
          <w:tcPr>
            <w:tcW w:w="6336" w:type="dxa"/>
          </w:tcPr>
          <w:p w14:paraId="6BB8C161" w14:textId="77777777" w:rsidR="00F2759D" w:rsidRPr="00DE096C" w:rsidRDefault="00F2759D" w:rsidP="00D45A46">
            <w:pPr>
              <w:jc w:val="both"/>
              <w:rPr>
                <w:bCs/>
                <w:color w:val="002060"/>
                <w:sz w:val="16"/>
                <w:szCs w:val="16"/>
              </w:rPr>
            </w:pPr>
            <w:r w:rsidRPr="00DE096C">
              <w:rPr>
                <w:bCs/>
                <w:color w:val="002060"/>
                <w:sz w:val="16"/>
                <w:szCs w:val="16"/>
              </w:rPr>
              <w:t xml:space="preserve">Авиационных отрядов (эскадрилий) </w:t>
            </w:r>
          </w:p>
        </w:tc>
        <w:tc>
          <w:tcPr>
            <w:tcW w:w="768" w:type="dxa"/>
          </w:tcPr>
          <w:p w14:paraId="29DF9429" w14:textId="77777777" w:rsidR="00F2759D" w:rsidRPr="00DE096C" w:rsidRDefault="00F2759D" w:rsidP="00D45A46">
            <w:pPr>
              <w:jc w:val="both"/>
              <w:rPr>
                <w:bCs/>
                <w:color w:val="002060"/>
                <w:sz w:val="16"/>
                <w:szCs w:val="16"/>
              </w:rPr>
            </w:pPr>
            <w:r w:rsidRPr="00DE096C">
              <w:rPr>
                <w:bCs/>
                <w:color w:val="002060"/>
                <w:sz w:val="16"/>
                <w:szCs w:val="16"/>
              </w:rPr>
              <w:t xml:space="preserve">39 </w:t>
            </w:r>
          </w:p>
        </w:tc>
      </w:tr>
      <w:tr w:rsidR="00F2759D" w:rsidRPr="00DE096C" w14:paraId="1C81BDA0" w14:textId="77777777" w:rsidTr="00D34AC1">
        <w:tc>
          <w:tcPr>
            <w:tcW w:w="6336" w:type="dxa"/>
          </w:tcPr>
          <w:p w14:paraId="1C849B26" w14:textId="77777777" w:rsidR="00F2759D" w:rsidRPr="00DE096C" w:rsidRDefault="00F2759D" w:rsidP="00D45A46">
            <w:pPr>
              <w:jc w:val="both"/>
              <w:rPr>
                <w:bCs/>
                <w:color w:val="002060"/>
                <w:sz w:val="16"/>
                <w:szCs w:val="16"/>
              </w:rPr>
            </w:pPr>
            <w:r w:rsidRPr="00DE096C">
              <w:rPr>
                <w:bCs/>
                <w:color w:val="002060"/>
                <w:sz w:val="16"/>
                <w:szCs w:val="16"/>
              </w:rPr>
              <w:t xml:space="preserve">Самолетов </w:t>
            </w:r>
          </w:p>
        </w:tc>
        <w:tc>
          <w:tcPr>
            <w:tcW w:w="768" w:type="dxa"/>
          </w:tcPr>
          <w:p w14:paraId="2640BC3A" w14:textId="77777777" w:rsidR="00F2759D" w:rsidRPr="00DE096C" w:rsidRDefault="00F2759D" w:rsidP="00D45A46">
            <w:pPr>
              <w:jc w:val="both"/>
              <w:rPr>
                <w:bCs/>
                <w:color w:val="002060"/>
                <w:sz w:val="16"/>
                <w:szCs w:val="16"/>
              </w:rPr>
            </w:pPr>
            <w:r w:rsidRPr="00DE096C">
              <w:rPr>
                <w:bCs/>
                <w:color w:val="002060"/>
                <w:sz w:val="16"/>
                <w:szCs w:val="16"/>
              </w:rPr>
              <w:t xml:space="preserve">263 </w:t>
            </w:r>
          </w:p>
        </w:tc>
      </w:tr>
      <w:tr w:rsidR="00F2759D" w:rsidRPr="00DE096C" w14:paraId="498BB9AE" w14:textId="77777777" w:rsidTr="00D34AC1">
        <w:tc>
          <w:tcPr>
            <w:tcW w:w="6336" w:type="dxa"/>
          </w:tcPr>
          <w:p w14:paraId="385455F7" w14:textId="77777777" w:rsidR="00F2759D" w:rsidRPr="00DE096C" w:rsidRDefault="00F2759D" w:rsidP="00D45A46">
            <w:pPr>
              <w:jc w:val="both"/>
              <w:rPr>
                <w:bCs/>
                <w:color w:val="002060"/>
                <w:sz w:val="16"/>
                <w:szCs w:val="16"/>
              </w:rPr>
            </w:pPr>
            <w:r w:rsidRPr="00DE096C">
              <w:rPr>
                <w:bCs/>
                <w:color w:val="002060"/>
                <w:sz w:val="16"/>
                <w:szCs w:val="16"/>
              </w:rPr>
              <w:t xml:space="preserve">Воздухоплавательных рот </w:t>
            </w:r>
          </w:p>
        </w:tc>
        <w:tc>
          <w:tcPr>
            <w:tcW w:w="768" w:type="dxa"/>
          </w:tcPr>
          <w:p w14:paraId="1672B4B8" w14:textId="77777777" w:rsidR="00F2759D" w:rsidRPr="00DE096C" w:rsidRDefault="00F2759D" w:rsidP="00D45A46">
            <w:pPr>
              <w:jc w:val="both"/>
              <w:rPr>
                <w:bCs/>
                <w:color w:val="002060"/>
                <w:sz w:val="16"/>
                <w:szCs w:val="16"/>
              </w:rPr>
            </w:pPr>
            <w:r w:rsidRPr="00DE096C">
              <w:rPr>
                <w:bCs/>
                <w:color w:val="002060"/>
                <w:sz w:val="16"/>
                <w:szCs w:val="16"/>
              </w:rPr>
              <w:t xml:space="preserve">12 </w:t>
            </w:r>
          </w:p>
        </w:tc>
      </w:tr>
      <w:tr w:rsidR="00F2759D" w:rsidRPr="00DE096C" w14:paraId="40A9D8C5" w14:textId="77777777" w:rsidTr="00D34AC1">
        <w:tc>
          <w:tcPr>
            <w:tcW w:w="6336" w:type="dxa"/>
          </w:tcPr>
          <w:p w14:paraId="105F22F4" w14:textId="77777777" w:rsidR="00F2759D" w:rsidRPr="00DE096C" w:rsidRDefault="00F2759D" w:rsidP="00D45A46">
            <w:pPr>
              <w:jc w:val="both"/>
              <w:rPr>
                <w:bCs/>
                <w:color w:val="002060"/>
                <w:sz w:val="16"/>
                <w:szCs w:val="16"/>
              </w:rPr>
            </w:pPr>
            <w:r w:rsidRPr="00DE096C">
              <w:rPr>
                <w:bCs/>
                <w:color w:val="002060"/>
                <w:sz w:val="16"/>
                <w:szCs w:val="16"/>
              </w:rPr>
              <w:t xml:space="preserve">Летчиков </w:t>
            </w:r>
          </w:p>
        </w:tc>
        <w:tc>
          <w:tcPr>
            <w:tcW w:w="768" w:type="dxa"/>
          </w:tcPr>
          <w:p w14:paraId="2CCC9CD8" w14:textId="77777777" w:rsidR="00F2759D" w:rsidRPr="00DE096C" w:rsidRDefault="00F2759D" w:rsidP="00D45A46">
            <w:pPr>
              <w:jc w:val="both"/>
              <w:rPr>
                <w:bCs/>
                <w:color w:val="002060"/>
                <w:sz w:val="16"/>
                <w:szCs w:val="16"/>
              </w:rPr>
            </w:pPr>
            <w:r w:rsidRPr="00DE096C">
              <w:rPr>
                <w:bCs/>
                <w:color w:val="002060"/>
                <w:sz w:val="16"/>
                <w:szCs w:val="16"/>
              </w:rPr>
              <w:t xml:space="preserve">129 </w:t>
            </w:r>
          </w:p>
        </w:tc>
      </w:tr>
      <w:tr w:rsidR="00F2759D" w:rsidRPr="00DE096C" w14:paraId="391129EB" w14:textId="77777777" w:rsidTr="00D34AC1">
        <w:tc>
          <w:tcPr>
            <w:tcW w:w="6336" w:type="dxa"/>
          </w:tcPr>
          <w:p w14:paraId="4EEDD049" w14:textId="77777777" w:rsidR="00F2759D" w:rsidRPr="00DE096C" w:rsidRDefault="00F2759D" w:rsidP="00D45A46">
            <w:pPr>
              <w:jc w:val="both"/>
              <w:rPr>
                <w:bCs/>
                <w:color w:val="002060"/>
                <w:sz w:val="16"/>
                <w:szCs w:val="16"/>
              </w:rPr>
            </w:pPr>
            <w:r w:rsidRPr="00DE096C">
              <w:rPr>
                <w:bCs/>
                <w:color w:val="002060"/>
                <w:sz w:val="16"/>
                <w:szCs w:val="16"/>
              </w:rPr>
              <w:t xml:space="preserve">Наблюдателей </w:t>
            </w:r>
          </w:p>
        </w:tc>
        <w:tc>
          <w:tcPr>
            <w:tcW w:w="768" w:type="dxa"/>
          </w:tcPr>
          <w:p w14:paraId="145C6EBE" w14:textId="77777777" w:rsidR="00F2759D" w:rsidRPr="00DE096C" w:rsidRDefault="00F2759D" w:rsidP="00D45A46">
            <w:pPr>
              <w:jc w:val="both"/>
              <w:rPr>
                <w:bCs/>
                <w:color w:val="002060"/>
                <w:sz w:val="16"/>
                <w:szCs w:val="16"/>
              </w:rPr>
            </w:pPr>
            <w:r w:rsidRPr="00DE096C">
              <w:rPr>
                <w:bCs/>
                <w:color w:val="002060"/>
                <w:sz w:val="16"/>
                <w:szCs w:val="16"/>
              </w:rPr>
              <w:t xml:space="preserve">100 </w:t>
            </w:r>
          </w:p>
        </w:tc>
      </w:tr>
    </w:tbl>
    <w:p w14:paraId="6281ED5E" w14:textId="77777777" w:rsidR="00F2759D" w:rsidRPr="00DE096C" w:rsidRDefault="00F2759D" w:rsidP="00D45A46">
      <w:pPr>
        <w:jc w:val="both"/>
        <w:rPr>
          <w:bCs/>
          <w:color w:val="002060"/>
          <w:sz w:val="16"/>
          <w:szCs w:val="16"/>
        </w:rPr>
      </w:pPr>
      <w:r w:rsidRPr="00DE096C">
        <w:rPr>
          <w:bCs/>
          <w:color w:val="002060"/>
          <w:sz w:val="16"/>
          <w:szCs w:val="16"/>
        </w:rPr>
        <w:t xml:space="preserve">Через несколько месяцев после начала войны, т.е. в зиму 1914–1915 гг., многие отряды (эскадрильи) очутились в совершенно критическом положении вследствие полной изношенности аэропланов и моторов. Пришлось эти отряды отвести в тыл для перевооружения аппаратами и для переучивания летчиков полетам на новых системах. Часть отрядов, имевших «ньюпоры», перевооружились «моранами-парасоль». Некоторые отряды получили отремонтированные, захваченные нами немецкие и австрийские аппараты; еще позже появились «вуазены» с 130-сильными моторами. Но все это перевооружение производилось без плана и хаотично. К весне 1915 г. большая часть отрядов была перевооружена и вновь появилась на фронте. Начали работать и авиационные школы, но все снабжение материальной частью по-прежнему было неудовлетворительным: мы получали из Франции только те образцы, которые считались там устарелыми. </w:t>
      </w:r>
    </w:p>
    <w:p w14:paraId="2D7C168D" w14:textId="77777777" w:rsidR="00F2759D" w:rsidRPr="00DE096C" w:rsidRDefault="00F2759D" w:rsidP="00D45A46">
      <w:pPr>
        <w:jc w:val="both"/>
        <w:rPr>
          <w:bCs/>
          <w:color w:val="002060"/>
          <w:sz w:val="16"/>
          <w:szCs w:val="16"/>
        </w:rPr>
      </w:pPr>
      <w:r w:rsidRPr="00DE096C">
        <w:rPr>
          <w:bCs/>
          <w:color w:val="002060"/>
          <w:sz w:val="16"/>
          <w:szCs w:val="16"/>
        </w:rPr>
        <w:t xml:space="preserve">Осенью 1915 г. германское наступление на Сербию прервало нашу кратчайшую связь с Францией, и отправленные нам аппараты и моторы оказались отрезанными в Салониках. Пришлось их переслать в Архангельск, куда по причине раннего замерзания они не дошли и остались зимовать в Александровске (на Мурмане). </w:t>
      </w:r>
    </w:p>
    <w:p w14:paraId="0C79EC2D" w14:textId="77777777" w:rsidR="00F2759D" w:rsidRPr="00DE096C" w:rsidRDefault="00F2759D" w:rsidP="00D45A46">
      <w:pPr>
        <w:jc w:val="both"/>
        <w:rPr>
          <w:bCs/>
          <w:color w:val="002060"/>
          <w:sz w:val="16"/>
          <w:szCs w:val="16"/>
        </w:rPr>
      </w:pPr>
      <w:r w:rsidRPr="00DE096C">
        <w:rPr>
          <w:bCs/>
          <w:color w:val="002060"/>
          <w:sz w:val="16"/>
          <w:szCs w:val="16"/>
        </w:rPr>
        <w:lastRenderedPageBreak/>
        <w:t xml:space="preserve">Вследствие этого к весне 1916 г. наша авиация вновь оказалась в критическом положении. Выписанные нами французские самолеты лежали частью на Мурмане, частью во Франции; аппараты, выстроенные в России, за неимением к ним моторов загромождали склады и заводы. Когда же в июне месяце 1916 г. прибыли наконец в отряды французские аппараты, то они оказались совершенно устарелыми, и мы оказались не в состоянии бороться в воздухе с неприятелем на равных шансах. Большинство воздушных боев между немецкими «фоккерами» и нашими аппаратами оканчивается не в нашу пользу, и длинный список доблестно погибших наших летчиков растет ежедневно. </w:t>
      </w:r>
    </w:p>
    <w:p w14:paraId="3C6642BB" w14:textId="77777777" w:rsidR="00F2759D" w:rsidRPr="00DE096C" w:rsidRDefault="00F2759D" w:rsidP="00D45A46">
      <w:pPr>
        <w:jc w:val="both"/>
        <w:rPr>
          <w:bCs/>
          <w:color w:val="002060"/>
          <w:sz w:val="16"/>
          <w:szCs w:val="16"/>
        </w:rPr>
      </w:pPr>
      <w:r w:rsidRPr="00DE096C">
        <w:rPr>
          <w:bCs/>
          <w:color w:val="002060"/>
          <w:sz w:val="16"/>
          <w:szCs w:val="16"/>
        </w:rPr>
        <w:t xml:space="preserve">К 1 сентября 1916 г. наши воздушные силы достигли следующего состава: </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6336"/>
        <w:gridCol w:w="768"/>
      </w:tblGrid>
      <w:tr w:rsidR="00F2759D" w:rsidRPr="00DE096C" w14:paraId="190D614C" w14:textId="77777777" w:rsidTr="00D34AC1">
        <w:tc>
          <w:tcPr>
            <w:tcW w:w="6336" w:type="dxa"/>
          </w:tcPr>
          <w:p w14:paraId="3A1AC53E" w14:textId="77777777" w:rsidR="00F2759D" w:rsidRPr="00DE096C" w:rsidRDefault="00F2759D" w:rsidP="00D45A46">
            <w:pPr>
              <w:jc w:val="both"/>
              <w:rPr>
                <w:bCs/>
                <w:color w:val="002060"/>
                <w:sz w:val="16"/>
                <w:szCs w:val="16"/>
              </w:rPr>
            </w:pPr>
            <w:r w:rsidRPr="00DE096C">
              <w:rPr>
                <w:bCs/>
                <w:color w:val="002060"/>
                <w:sz w:val="16"/>
                <w:szCs w:val="16"/>
              </w:rPr>
              <w:t xml:space="preserve">Авиационных отрядов (эскадрилий) </w:t>
            </w:r>
          </w:p>
        </w:tc>
        <w:tc>
          <w:tcPr>
            <w:tcW w:w="768" w:type="dxa"/>
          </w:tcPr>
          <w:p w14:paraId="300DB60A" w14:textId="77777777" w:rsidR="00F2759D" w:rsidRPr="00DE096C" w:rsidRDefault="00F2759D" w:rsidP="00D45A46">
            <w:pPr>
              <w:jc w:val="both"/>
              <w:rPr>
                <w:bCs/>
                <w:color w:val="002060"/>
                <w:sz w:val="16"/>
                <w:szCs w:val="16"/>
              </w:rPr>
            </w:pPr>
            <w:r w:rsidRPr="00DE096C">
              <w:rPr>
                <w:bCs/>
                <w:color w:val="002060"/>
                <w:sz w:val="16"/>
                <w:szCs w:val="16"/>
              </w:rPr>
              <w:t xml:space="preserve">75 </w:t>
            </w:r>
          </w:p>
        </w:tc>
      </w:tr>
      <w:tr w:rsidR="00F2759D" w:rsidRPr="00DE096C" w14:paraId="2D455CF2" w14:textId="77777777" w:rsidTr="00D34AC1">
        <w:tc>
          <w:tcPr>
            <w:tcW w:w="6336" w:type="dxa"/>
          </w:tcPr>
          <w:p w14:paraId="315A54E9" w14:textId="77777777" w:rsidR="00F2759D" w:rsidRPr="00DE096C" w:rsidRDefault="00F2759D" w:rsidP="00D45A46">
            <w:pPr>
              <w:jc w:val="both"/>
              <w:rPr>
                <w:bCs/>
                <w:color w:val="002060"/>
                <w:sz w:val="16"/>
                <w:szCs w:val="16"/>
              </w:rPr>
            </w:pPr>
            <w:r w:rsidRPr="00DE096C">
              <w:rPr>
                <w:bCs/>
                <w:color w:val="002060"/>
                <w:sz w:val="16"/>
                <w:szCs w:val="16"/>
              </w:rPr>
              <w:t xml:space="preserve">Воздухоплавательных рот </w:t>
            </w:r>
          </w:p>
        </w:tc>
        <w:tc>
          <w:tcPr>
            <w:tcW w:w="768" w:type="dxa"/>
          </w:tcPr>
          <w:p w14:paraId="7178403D" w14:textId="77777777" w:rsidR="00F2759D" w:rsidRPr="00DE096C" w:rsidRDefault="00F2759D" w:rsidP="00D45A46">
            <w:pPr>
              <w:jc w:val="both"/>
              <w:rPr>
                <w:bCs/>
                <w:color w:val="002060"/>
                <w:sz w:val="16"/>
                <w:szCs w:val="16"/>
              </w:rPr>
            </w:pPr>
            <w:r w:rsidRPr="00DE096C">
              <w:rPr>
                <w:bCs/>
                <w:color w:val="002060"/>
                <w:sz w:val="16"/>
                <w:szCs w:val="16"/>
              </w:rPr>
              <w:t xml:space="preserve">36 </w:t>
            </w:r>
          </w:p>
        </w:tc>
      </w:tr>
      <w:tr w:rsidR="00F2759D" w:rsidRPr="00DE096C" w14:paraId="3D14D558" w14:textId="77777777" w:rsidTr="00D34AC1">
        <w:tc>
          <w:tcPr>
            <w:tcW w:w="6336" w:type="dxa"/>
          </w:tcPr>
          <w:p w14:paraId="590B8242" w14:textId="77777777" w:rsidR="00F2759D" w:rsidRPr="00DE096C" w:rsidRDefault="00F2759D" w:rsidP="00D45A46">
            <w:pPr>
              <w:jc w:val="both"/>
              <w:rPr>
                <w:bCs/>
                <w:color w:val="002060"/>
                <w:sz w:val="16"/>
                <w:szCs w:val="16"/>
              </w:rPr>
            </w:pPr>
            <w:r w:rsidRPr="00DE096C">
              <w:rPr>
                <w:bCs/>
                <w:color w:val="002060"/>
                <w:sz w:val="16"/>
                <w:szCs w:val="16"/>
              </w:rPr>
              <w:t xml:space="preserve">Самолетов </w:t>
            </w:r>
          </w:p>
        </w:tc>
        <w:tc>
          <w:tcPr>
            <w:tcW w:w="768" w:type="dxa"/>
          </w:tcPr>
          <w:p w14:paraId="29910FB8" w14:textId="77777777" w:rsidR="00F2759D" w:rsidRPr="00DE096C" w:rsidRDefault="00F2759D" w:rsidP="00D45A46">
            <w:pPr>
              <w:jc w:val="both"/>
              <w:rPr>
                <w:bCs/>
                <w:color w:val="002060"/>
                <w:sz w:val="16"/>
                <w:szCs w:val="16"/>
              </w:rPr>
            </w:pPr>
            <w:r w:rsidRPr="00DE096C">
              <w:rPr>
                <w:bCs/>
                <w:color w:val="002060"/>
                <w:sz w:val="16"/>
                <w:szCs w:val="16"/>
              </w:rPr>
              <w:t xml:space="preserve">716 </w:t>
            </w:r>
          </w:p>
        </w:tc>
      </w:tr>
      <w:tr w:rsidR="00F2759D" w:rsidRPr="00DE096C" w14:paraId="2070160A" w14:textId="77777777" w:rsidTr="00D34AC1">
        <w:tc>
          <w:tcPr>
            <w:tcW w:w="6336" w:type="dxa"/>
          </w:tcPr>
          <w:p w14:paraId="63496017" w14:textId="77777777" w:rsidR="00F2759D" w:rsidRPr="00DE096C" w:rsidRDefault="00F2759D" w:rsidP="00D45A46">
            <w:pPr>
              <w:jc w:val="both"/>
              <w:rPr>
                <w:bCs/>
                <w:color w:val="002060"/>
                <w:sz w:val="16"/>
                <w:szCs w:val="16"/>
              </w:rPr>
            </w:pPr>
            <w:r w:rsidRPr="00DE096C">
              <w:rPr>
                <w:bCs/>
                <w:color w:val="002060"/>
                <w:sz w:val="16"/>
                <w:szCs w:val="16"/>
              </w:rPr>
              <w:t xml:space="preserve">Летчиков </w:t>
            </w:r>
          </w:p>
        </w:tc>
        <w:tc>
          <w:tcPr>
            <w:tcW w:w="768" w:type="dxa"/>
          </w:tcPr>
          <w:p w14:paraId="10F84B5E" w14:textId="77777777" w:rsidR="00F2759D" w:rsidRPr="00DE096C" w:rsidRDefault="00F2759D" w:rsidP="00D45A46">
            <w:pPr>
              <w:jc w:val="both"/>
              <w:rPr>
                <w:bCs/>
                <w:color w:val="002060"/>
                <w:sz w:val="16"/>
                <w:szCs w:val="16"/>
              </w:rPr>
            </w:pPr>
            <w:r w:rsidRPr="00DE096C">
              <w:rPr>
                <w:bCs/>
                <w:color w:val="002060"/>
                <w:sz w:val="16"/>
                <w:szCs w:val="16"/>
              </w:rPr>
              <w:t xml:space="preserve">502 </w:t>
            </w:r>
          </w:p>
        </w:tc>
      </w:tr>
      <w:tr w:rsidR="00F2759D" w:rsidRPr="00DE096C" w14:paraId="69567B05" w14:textId="77777777" w:rsidTr="00D34AC1">
        <w:tc>
          <w:tcPr>
            <w:tcW w:w="6336" w:type="dxa"/>
          </w:tcPr>
          <w:p w14:paraId="070A3CA7" w14:textId="77777777" w:rsidR="00F2759D" w:rsidRPr="00DE096C" w:rsidRDefault="00F2759D" w:rsidP="00D45A46">
            <w:pPr>
              <w:jc w:val="both"/>
              <w:rPr>
                <w:bCs/>
                <w:color w:val="002060"/>
                <w:sz w:val="16"/>
                <w:szCs w:val="16"/>
              </w:rPr>
            </w:pPr>
            <w:r w:rsidRPr="00DE096C">
              <w:rPr>
                <w:bCs/>
                <w:color w:val="002060"/>
                <w:sz w:val="16"/>
                <w:szCs w:val="16"/>
              </w:rPr>
              <w:t xml:space="preserve">Наблюдателей </w:t>
            </w:r>
          </w:p>
        </w:tc>
        <w:tc>
          <w:tcPr>
            <w:tcW w:w="768" w:type="dxa"/>
          </w:tcPr>
          <w:p w14:paraId="2EC57CEE" w14:textId="77777777" w:rsidR="00F2759D" w:rsidRPr="00DE096C" w:rsidRDefault="00F2759D" w:rsidP="00D45A46">
            <w:pPr>
              <w:jc w:val="both"/>
              <w:rPr>
                <w:bCs/>
                <w:color w:val="002060"/>
                <w:sz w:val="16"/>
                <w:szCs w:val="16"/>
              </w:rPr>
            </w:pPr>
            <w:r w:rsidRPr="00DE096C">
              <w:rPr>
                <w:bCs/>
                <w:color w:val="002060"/>
                <w:sz w:val="16"/>
                <w:szCs w:val="16"/>
              </w:rPr>
              <w:t xml:space="preserve">357 </w:t>
            </w:r>
          </w:p>
        </w:tc>
      </w:tr>
    </w:tbl>
    <w:p w14:paraId="35BA5060" w14:textId="77777777" w:rsidR="00F2759D" w:rsidRPr="00DE096C" w:rsidRDefault="00F2759D" w:rsidP="00D45A46">
      <w:pPr>
        <w:jc w:val="both"/>
        <w:rPr>
          <w:bCs/>
          <w:color w:val="002060"/>
          <w:sz w:val="16"/>
          <w:szCs w:val="16"/>
        </w:rPr>
      </w:pPr>
      <w:r w:rsidRPr="00DE096C">
        <w:rPr>
          <w:bCs/>
          <w:color w:val="002060"/>
          <w:sz w:val="16"/>
          <w:szCs w:val="16"/>
        </w:rPr>
        <w:t xml:space="preserve">Если мы сравним вышенапечатанные цифры с соответствующими данными, приведенными для начала войны, то нельзя не констатировать роста наших воздушных сил. Но такое примитивное сравнение говорит слишком мало. Дело в том, что за тот же период времени возросла и самая численность Русской армии. К 1 сентября 1916 г. число пехотных дивизий в Действующей армии по сравнению с началом войны удвоилось. Таким образом, при сравнении сил наших воздушных войск начала войны и конца 1916 г. нужно принять во внимание, что во втором случае эти войска должны были обслуживать в два раза более численную армию. Подойдя к интересующему нас сравнению с такой точки зрения, мы должны прийти к заключению, что в конце 1916 г. Русская армия оказалась оборудованной авиацией лишь очень немногим лучше, нежели в начале войны. Но если принять во внимание то, что за 2,5 года войны германская армия, так же как и французская и британская, сделала громадные шаги по пути развития своих воздушных сил, то окажется, что к концу 1916 г. Русская армия стала еще беззащитнее в воздухе, чем была в 1914 году. В печатаемой ниже таблице приведены данные о произведенных нашей авиацией полетах с начала войны до 1 сентября 1916 г. </w:t>
      </w:r>
    </w:p>
    <w:p w14:paraId="47AA3962" w14:textId="77777777" w:rsidR="00F2759D" w:rsidRPr="00DE096C" w:rsidRDefault="00F2759D" w:rsidP="00D45A46">
      <w:pPr>
        <w:jc w:val="both"/>
        <w:rPr>
          <w:bCs/>
          <w:color w:val="002060"/>
          <w:sz w:val="16"/>
          <w:szCs w:val="16"/>
        </w:rPr>
      </w:pPr>
      <w:r w:rsidRPr="00DE096C">
        <w:rPr>
          <w:bCs/>
          <w:color w:val="002060"/>
          <w:sz w:val="16"/>
          <w:szCs w:val="16"/>
        </w:rPr>
        <w:t xml:space="preserve">Число полетов, произведенных русской авиацией с начала войны по 1(14) сентября 1916 г. </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893"/>
        <w:gridCol w:w="728"/>
        <w:gridCol w:w="728"/>
        <w:gridCol w:w="728"/>
        <w:gridCol w:w="1031"/>
        <w:gridCol w:w="1031"/>
        <w:gridCol w:w="1031"/>
        <w:gridCol w:w="1062"/>
        <w:gridCol w:w="1062"/>
        <w:gridCol w:w="1062"/>
      </w:tblGrid>
      <w:tr w:rsidR="00F2759D" w:rsidRPr="00DE096C" w14:paraId="445BDEDC" w14:textId="77777777" w:rsidTr="00D34AC1">
        <w:tc>
          <w:tcPr>
            <w:tcW w:w="893" w:type="dxa"/>
          </w:tcPr>
          <w:p w14:paraId="68683B84" w14:textId="77777777" w:rsidR="00F2759D" w:rsidRPr="00DE096C" w:rsidRDefault="00F2759D" w:rsidP="00D45A46">
            <w:pPr>
              <w:jc w:val="both"/>
              <w:rPr>
                <w:bCs/>
                <w:color w:val="002060"/>
                <w:sz w:val="16"/>
                <w:szCs w:val="16"/>
              </w:rPr>
            </w:pPr>
            <w:r w:rsidRPr="00DE096C">
              <w:rPr>
                <w:bCs/>
                <w:color w:val="002060"/>
                <w:sz w:val="16"/>
                <w:szCs w:val="16"/>
              </w:rPr>
              <w:t xml:space="preserve">Месяцы </w:t>
            </w:r>
          </w:p>
        </w:tc>
        <w:tc>
          <w:tcPr>
            <w:tcW w:w="8463" w:type="dxa"/>
            <w:gridSpan w:val="9"/>
          </w:tcPr>
          <w:p w14:paraId="01C02BC5" w14:textId="77777777" w:rsidR="00F2759D" w:rsidRPr="00DE096C" w:rsidRDefault="00F2759D" w:rsidP="00D45A46">
            <w:pPr>
              <w:jc w:val="both"/>
              <w:rPr>
                <w:bCs/>
                <w:color w:val="002060"/>
                <w:sz w:val="16"/>
                <w:szCs w:val="16"/>
              </w:rPr>
            </w:pPr>
            <w:r w:rsidRPr="00DE096C">
              <w:rPr>
                <w:bCs/>
                <w:color w:val="002060"/>
                <w:sz w:val="16"/>
                <w:szCs w:val="16"/>
              </w:rPr>
              <w:t xml:space="preserve">Годы </w:t>
            </w:r>
          </w:p>
        </w:tc>
      </w:tr>
      <w:tr w:rsidR="00F2759D" w:rsidRPr="00DE096C" w14:paraId="6C6301EC" w14:textId="77777777" w:rsidTr="00D34AC1">
        <w:tc>
          <w:tcPr>
            <w:tcW w:w="893" w:type="dxa"/>
          </w:tcPr>
          <w:p w14:paraId="138183E8" w14:textId="77777777" w:rsidR="00F2759D" w:rsidRPr="00DE096C" w:rsidRDefault="00F2759D" w:rsidP="00D45A46">
            <w:pPr>
              <w:jc w:val="both"/>
              <w:rPr>
                <w:bCs/>
                <w:color w:val="002060"/>
                <w:sz w:val="16"/>
                <w:szCs w:val="16"/>
              </w:rPr>
            </w:pPr>
          </w:p>
        </w:tc>
        <w:tc>
          <w:tcPr>
            <w:tcW w:w="2184" w:type="dxa"/>
            <w:gridSpan w:val="3"/>
          </w:tcPr>
          <w:p w14:paraId="6AAE0790" w14:textId="77777777" w:rsidR="00F2759D" w:rsidRPr="00DE096C" w:rsidRDefault="00F2759D" w:rsidP="00D45A46">
            <w:pPr>
              <w:jc w:val="both"/>
              <w:rPr>
                <w:bCs/>
                <w:color w:val="002060"/>
                <w:sz w:val="16"/>
                <w:szCs w:val="16"/>
              </w:rPr>
            </w:pPr>
            <w:r w:rsidRPr="00DE096C">
              <w:rPr>
                <w:bCs/>
                <w:color w:val="002060"/>
                <w:sz w:val="16"/>
                <w:szCs w:val="16"/>
              </w:rPr>
              <w:t xml:space="preserve">Летало летчиков </w:t>
            </w:r>
          </w:p>
        </w:tc>
        <w:tc>
          <w:tcPr>
            <w:tcW w:w="3093" w:type="dxa"/>
            <w:gridSpan w:val="3"/>
          </w:tcPr>
          <w:p w14:paraId="31650691" w14:textId="77777777" w:rsidR="00F2759D" w:rsidRPr="00DE096C" w:rsidRDefault="00F2759D" w:rsidP="00D45A46">
            <w:pPr>
              <w:jc w:val="both"/>
              <w:rPr>
                <w:bCs/>
                <w:color w:val="002060"/>
                <w:sz w:val="16"/>
                <w:szCs w:val="16"/>
              </w:rPr>
            </w:pPr>
            <w:r w:rsidRPr="00DE096C">
              <w:rPr>
                <w:bCs/>
                <w:color w:val="002060"/>
                <w:sz w:val="16"/>
                <w:szCs w:val="16"/>
              </w:rPr>
              <w:t xml:space="preserve">Совершено всеми летчиками полетов </w:t>
            </w:r>
          </w:p>
        </w:tc>
        <w:tc>
          <w:tcPr>
            <w:tcW w:w="3186" w:type="dxa"/>
            <w:gridSpan w:val="3"/>
          </w:tcPr>
          <w:p w14:paraId="0BB9A7B2" w14:textId="77777777" w:rsidR="00F2759D" w:rsidRPr="00DE096C" w:rsidRDefault="00F2759D" w:rsidP="00D45A46">
            <w:pPr>
              <w:jc w:val="both"/>
              <w:rPr>
                <w:bCs/>
                <w:color w:val="002060"/>
                <w:sz w:val="16"/>
                <w:szCs w:val="16"/>
              </w:rPr>
            </w:pPr>
            <w:r w:rsidRPr="00DE096C">
              <w:rPr>
                <w:bCs/>
                <w:color w:val="002060"/>
                <w:sz w:val="16"/>
                <w:szCs w:val="16"/>
              </w:rPr>
              <w:t xml:space="preserve">Общей продолжительностью (в часах) </w:t>
            </w:r>
          </w:p>
        </w:tc>
      </w:tr>
      <w:tr w:rsidR="00F2759D" w:rsidRPr="00DE096C" w14:paraId="6F5BD601" w14:textId="77777777" w:rsidTr="00D34AC1">
        <w:tc>
          <w:tcPr>
            <w:tcW w:w="893" w:type="dxa"/>
          </w:tcPr>
          <w:p w14:paraId="2D4DA5A9" w14:textId="77777777" w:rsidR="00F2759D" w:rsidRPr="00DE096C" w:rsidRDefault="00F2759D" w:rsidP="00D45A46">
            <w:pPr>
              <w:jc w:val="both"/>
              <w:rPr>
                <w:bCs/>
                <w:color w:val="002060"/>
                <w:sz w:val="16"/>
                <w:szCs w:val="16"/>
              </w:rPr>
            </w:pPr>
          </w:p>
        </w:tc>
        <w:tc>
          <w:tcPr>
            <w:tcW w:w="728" w:type="dxa"/>
          </w:tcPr>
          <w:p w14:paraId="16D8FFAA" w14:textId="77777777" w:rsidR="00F2759D" w:rsidRPr="00DE096C" w:rsidRDefault="00F2759D" w:rsidP="00D45A46">
            <w:pPr>
              <w:jc w:val="both"/>
              <w:rPr>
                <w:bCs/>
                <w:color w:val="002060"/>
                <w:sz w:val="16"/>
                <w:szCs w:val="16"/>
              </w:rPr>
            </w:pPr>
            <w:r w:rsidRPr="00DE096C">
              <w:rPr>
                <w:bCs/>
                <w:color w:val="002060"/>
                <w:sz w:val="16"/>
                <w:szCs w:val="16"/>
              </w:rPr>
              <w:t xml:space="preserve">1914 г. </w:t>
            </w:r>
          </w:p>
        </w:tc>
        <w:tc>
          <w:tcPr>
            <w:tcW w:w="728" w:type="dxa"/>
          </w:tcPr>
          <w:p w14:paraId="1DD4EA3C" w14:textId="77777777" w:rsidR="00F2759D" w:rsidRPr="00DE096C" w:rsidRDefault="00F2759D" w:rsidP="00D45A46">
            <w:pPr>
              <w:jc w:val="both"/>
              <w:rPr>
                <w:bCs/>
                <w:color w:val="002060"/>
                <w:sz w:val="16"/>
                <w:szCs w:val="16"/>
              </w:rPr>
            </w:pPr>
            <w:r w:rsidRPr="00DE096C">
              <w:rPr>
                <w:bCs/>
                <w:color w:val="002060"/>
                <w:sz w:val="16"/>
                <w:szCs w:val="16"/>
              </w:rPr>
              <w:t xml:space="preserve">1915 г. </w:t>
            </w:r>
          </w:p>
        </w:tc>
        <w:tc>
          <w:tcPr>
            <w:tcW w:w="728" w:type="dxa"/>
          </w:tcPr>
          <w:p w14:paraId="0C2AD299" w14:textId="77777777" w:rsidR="00F2759D" w:rsidRPr="00DE096C" w:rsidRDefault="00F2759D" w:rsidP="00D45A46">
            <w:pPr>
              <w:jc w:val="both"/>
              <w:rPr>
                <w:bCs/>
                <w:color w:val="002060"/>
                <w:sz w:val="16"/>
                <w:szCs w:val="16"/>
              </w:rPr>
            </w:pPr>
            <w:r w:rsidRPr="00DE096C">
              <w:rPr>
                <w:bCs/>
                <w:color w:val="002060"/>
                <w:sz w:val="16"/>
                <w:szCs w:val="16"/>
              </w:rPr>
              <w:t xml:space="preserve">1916 г. </w:t>
            </w:r>
          </w:p>
        </w:tc>
        <w:tc>
          <w:tcPr>
            <w:tcW w:w="1031" w:type="dxa"/>
          </w:tcPr>
          <w:p w14:paraId="61DDE00B" w14:textId="77777777" w:rsidR="00F2759D" w:rsidRPr="00DE096C" w:rsidRDefault="00F2759D" w:rsidP="00D45A46">
            <w:pPr>
              <w:jc w:val="both"/>
              <w:rPr>
                <w:bCs/>
                <w:color w:val="002060"/>
                <w:sz w:val="16"/>
                <w:szCs w:val="16"/>
              </w:rPr>
            </w:pPr>
            <w:r w:rsidRPr="00DE096C">
              <w:rPr>
                <w:bCs/>
                <w:color w:val="002060"/>
                <w:sz w:val="16"/>
                <w:szCs w:val="16"/>
              </w:rPr>
              <w:t xml:space="preserve">1914 г. </w:t>
            </w:r>
          </w:p>
        </w:tc>
        <w:tc>
          <w:tcPr>
            <w:tcW w:w="1031" w:type="dxa"/>
          </w:tcPr>
          <w:p w14:paraId="17E8E322" w14:textId="77777777" w:rsidR="00F2759D" w:rsidRPr="00DE096C" w:rsidRDefault="00F2759D" w:rsidP="00D45A46">
            <w:pPr>
              <w:jc w:val="both"/>
              <w:rPr>
                <w:bCs/>
                <w:color w:val="002060"/>
                <w:sz w:val="16"/>
                <w:szCs w:val="16"/>
              </w:rPr>
            </w:pPr>
            <w:r w:rsidRPr="00DE096C">
              <w:rPr>
                <w:bCs/>
                <w:color w:val="002060"/>
                <w:sz w:val="16"/>
                <w:szCs w:val="16"/>
              </w:rPr>
              <w:t xml:space="preserve">1915 г. </w:t>
            </w:r>
          </w:p>
        </w:tc>
        <w:tc>
          <w:tcPr>
            <w:tcW w:w="1031" w:type="dxa"/>
          </w:tcPr>
          <w:p w14:paraId="5C5E60B9" w14:textId="77777777" w:rsidR="00F2759D" w:rsidRPr="00DE096C" w:rsidRDefault="00F2759D" w:rsidP="00D45A46">
            <w:pPr>
              <w:jc w:val="both"/>
              <w:rPr>
                <w:bCs/>
                <w:color w:val="002060"/>
                <w:sz w:val="16"/>
                <w:szCs w:val="16"/>
              </w:rPr>
            </w:pPr>
            <w:r w:rsidRPr="00DE096C">
              <w:rPr>
                <w:bCs/>
                <w:color w:val="002060"/>
                <w:sz w:val="16"/>
                <w:szCs w:val="16"/>
              </w:rPr>
              <w:t xml:space="preserve">1916 г. </w:t>
            </w:r>
          </w:p>
        </w:tc>
        <w:tc>
          <w:tcPr>
            <w:tcW w:w="1062" w:type="dxa"/>
          </w:tcPr>
          <w:p w14:paraId="2BB17D17" w14:textId="77777777" w:rsidR="00F2759D" w:rsidRPr="00DE096C" w:rsidRDefault="00F2759D" w:rsidP="00D45A46">
            <w:pPr>
              <w:jc w:val="both"/>
              <w:rPr>
                <w:bCs/>
                <w:color w:val="002060"/>
                <w:sz w:val="16"/>
                <w:szCs w:val="16"/>
              </w:rPr>
            </w:pPr>
            <w:r w:rsidRPr="00DE096C">
              <w:rPr>
                <w:bCs/>
                <w:color w:val="002060"/>
                <w:sz w:val="16"/>
                <w:szCs w:val="16"/>
              </w:rPr>
              <w:t xml:space="preserve">1914 г. </w:t>
            </w:r>
          </w:p>
        </w:tc>
        <w:tc>
          <w:tcPr>
            <w:tcW w:w="1062" w:type="dxa"/>
          </w:tcPr>
          <w:p w14:paraId="531893B3" w14:textId="77777777" w:rsidR="00F2759D" w:rsidRPr="00DE096C" w:rsidRDefault="00F2759D" w:rsidP="00D45A46">
            <w:pPr>
              <w:jc w:val="both"/>
              <w:rPr>
                <w:bCs/>
                <w:color w:val="002060"/>
                <w:sz w:val="16"/>
                <w:szCs w:val="16"/>
              </w:rPr>
            </w:pPr>
            <w:r w:rsidRPr="00DE096C">
              <w:rPr>
                <w:bCs/>
                <w:color w:val="002060"/>
                <w:sz w:val="16"/>
                <w:szCs w:val="16"/>
              </w:rPr>
              <w:t xml:space="preserve">1915 г. </w:t>
            </w:r>
          </w:p>
        </w:tc>
        <w:tc>
          <w:tcPr>
            <w:tcW w:w="1062" w:type="dxa"/>
          </w:tcPr>
          <w:p w14:paraId="70E72AA4" w14:textId="77777777" w:rsidR="00F2759D" w:rsidRPr="00DE096C" w:rsidRDefault="00F2759D" w:rsidP="00D45A46">
            <w:pPr>
              <w:jc w:val="both"/>
              <w:rPr>
                <w:bCs/>
                <w:color w:val="002060"/>
                <w:sz w:val="16"/>
                <w:szCs w:val="16"/>
              </w:rPr>
            </w:pPr>
            <w:r w:rsidRPr="00DE096C">
              <w:rPr>
                <w:bCs/>
                <w:color w:val="002060"/>
                <w:sz w:val="16"/>
                <w:szCs w:val="16"/>
              </w:rPr>
              <w:t xml:space="preserve">1916 г. </w:t>
            </w:r>
          </w:p>
        </w:tc>
      </w:tr>
      <w:tr w:rsidR="00F2759D" w:rsidRPr="00DE096C" w14:paraId="092D43B3" w14:textId="77777777" w:rsidTr="00D34AC1">
        <w:tc>
          <w:tcPr>
            <w:tcW w:w="893" w:type="dxa"/>
          </w:tcPr>
          <w:p w14:paraId="312DCB17" w14:textId="77777777" w:rsidR="00F2759D" w:rsidRPr="00DE096C" w:rsidRDefault="00F2759D" w:rsidP="00D45A46">
            <w:pPr>
              <w:jc w:val="both"/>
              <w:rPr>
                <w:bCs/>
                <w:color w:val="002060"/>
                <w:sz w:val="16"/>
                <w:szCs w:val="16"/>
              </w:rPr>
            </w:pPr>
            <w:r w:rsidRPr="00DE096C">
              <w:rPr>
                <w:bCs/>
                <w:color w:val="002060"/>
                <w:sz w:val="16"/>
                <w:szCs w:val="16"/>
              </w:rPr>
              <w:t xml:space="preserve">Январь </w:t>
            </w:r>
          </w:p>
        </w:tc>
        <w:tc>
          <w:tcPr>
            <w:tcW w:w="728" w:type="dxa"/>
          </w:tcPr>
          <w:p w14:paraId="44D50C65" w14:textId="77777777" w:rsidR="00F2759D" w:rsidRPr="00DE096C" w:rsidRDefault="00F2759D" w:rsidP="00D45A46">
            <w:pPr>
              <w:jc w:val="both"/>
              <w:rPr>
                <w:bCs/>
                <w:color w:val="002060"/>
                <w:sz w:val="16"/>
                <w:szCs w:val="16"/>
              </w:rPr>
            </w:pPr>
            <w:r w:rsidRPr="00DE096C">
              <w:rPr>
                <w:bCs/>
                <w:color w:val="002060"/>
                <w:sz w:val="16"/>
                <w:szCs w:val="16"/>
              </w:rPr>
              <w:t xml:space="preserve">— </w:t>
            </w:r>
          </w:p>
        </w:tc>
        <w:tc>
          <w:tcPr>
            <w:tcW w:w="728" w:type="dxa"/>
          </w:tcPr>
          <w:p w14:paraId="3C494CC4" w14:textId="77777777" w:rsidR="00F2759D" w:rsidRPr="00DE096C" w:rsidRDefault="00F2759D" w:rsidP="00D45A46">
            <w:pPr>
              <w:jc w:val="both"/>
              <w:rPr>
                <w:bCs/>
                <w:color w:val="002060"/>
                <w:sz w:val="16"/>
                <w:szCs w:val="16"/>
              </w:rPr>
            </w:pPr>
            <w:r w:rsidRPr="00DE096C">
              <w:rPr>
                <w:bCs/>
                <w:color w:val="002060"/>
                <w:sz w:val="16"/>
                <w:szCs w:val="16"/>
              </w:rPr>
              <w:t xml:space="preserve">148 </w:t>
            </w:r>
          </w:p>
        </w:tc>
        <w:tc>
          <w:tcPr>
            <w:tcW w:w="728" w:type="dxa"/>
          </w:tcPr>
          <w:p w14:paraId="6312DF61" w14:textId="77777777" w:rsidR="00F2759D" w:rsidRPr="00DE096C" w:rsidRDefault="00F2759D" w:rsidP="00D45A46">
            <w:pPr>
              <w:jc w:val="both"/>
              <w:rPr>
                <w:bCs/>
                <w:color w:val="002060"/>
                <w:sz w:val="16"/>
                <w:szCs w:val="16"/>
              </w:rPr>
            </w:pPr>
            <w:r w:rsidRPr="00DE096C">
              <w:rPr>
                <w:bCs/>
                <w:color w:val="002060"/>
                <w:sz w:val="16"/>
                <w:szCs w:val="16"/>
              </w:rPr>
              <w:t xml:space="preserve">196 </w:t>
            </w:r>
          </w:p>
        </w:tc>
        <w:tc>
          <w:tcPr>
            <w:tcW w:w="1031" w:type="dxa"/>
          </w:tcPr>
          <w:p w14:paraId="661086D2" w14:textId="77777777" w:rsidR="00F2759D" w:rsidRPr="00DE096C" w:rsidRDefault="00F2759D" w:rsidP="00D45A46">
            <w:pPr>
              <w:jc w:val="both"/>
              <w:rPr>
                <w:bCs/>
                <w:color w:val="002060"/>
                <w:sz w:val="16"/>
                <w:szCs w:val="16"/>
              </w:rPr>
            </w:pPr>
            <w:r w:rsidRPr="00DE096C">
              <w:rPr>
                <w:bCs/>
                <w:color w:val="002060"/>
                <w:sz w:val="16"/>
                <w:szCs w:val="16"/>
              </w:rPr>
              <w:t xml:space="preserve">— </w:t>
            </w:r>
          </w:p>
        </w:tc>
        <w:tc>
          <w:tcPr>
            <w:tcW w:w="1031" w:type="dxa"/>
          </w:tcPr>
          <w:p w14:paraId="2311066D" w14:textId="77777777" w:rsidR="00F2759D" w:rsidRPr="00DE096C" w:rsidRDefault="00F2759D" w:rsidP="00D45A46">
            <w:pPr>
              <w:jc w:val="both"/>
              <w:rPr>
                <w:bCs/>
                <w:color w:val="002060"/>
                <w:sz w:val="16"/>
                <w:szCs w:val="16"/>
              </w:rPr>
            </w:pPr>
            <w:r w:rsidRPr="00DE096C">
              <w:rPr>
                <w:bCs/>
                <w:color w:val="002060"/>
                <w:sz w:val="16"/>
                <w:szCs w:val="16"/>
              </w:rPr>
              <w:t xml:space="preserve">725 </w:t>
            </w:r>
          </w:p>
        </w:tc>
        <w:tc>
          <w:tcPr>
            <w:tcW w:w="1031" w:type="dxa"/>
          </w:tcPr>
          <w:p w14:paraId="5F3038CC" w14:textId="77777777" w:rsidR="00F2759D" w:rsidRPr="00DE096C" w:rsidRDefault="00F2759D" w:rsidP="00D45A46">
            <w:pPr>
              <w:jc w:val="both"/>
              <w:rPr>
                <w:bCs/>
                <w:color w:val="002060"/>
                <w:sz w:val="16"/>
                <w:szCs w:val="16"/>
              </w:rPr>
            </w:pPr>
            <w:r w:rsidRPr="00DE096C">
              <w:rPr>
                <w:bCs/>
                <w:color w:val="002060"/>
                <w:sz w:val="16"/>
                <w:szCs w:val="16"/>
              </w:rPr>
              <w:t xml:space="preserve">944 </w:t>
            </w:r>
          </w:p>
        </w:tc>
        <w:tc>
          <w:tcPr>
            <w:tcW w:w="1062" w:type="dxa"/>
          </w:tcPr>
          <w:p w14:paraId="57FFC299" w14:textId="77777777" w:rsidR="00F2759D" w:rsidRPr="00DE096C" w:rsidRDefault="00F2759D" w:rsidP="00D45A46">
            <w:pPr>
              <w:jc w:val="both"/>
              <w:rPr>
                <w:bCs/>
                <w:color w:val="002060"/>
                <w:sz w:val="16"/>
                <w:szCs w:val="16"/>
              </w:rPr>
            </w:pPr>
            <w:r w:rsidRPr="00DE096C">
              <w:rPr>
                <w:bCs/>
                <w:color w:val="002060"/>
                <w:sz w:val="16"/>
                <w:szCs w:val="16"/>
              </w:rPr>
              <w:t xml:space="preserve">— </w:t>
            </w:r>
          </w:p>
        </w:tc>
        <w:tc>
          <w:tcPr>
            <w:tcW w:w="1062" w:type="dxa"/>
          </w:tcPr>
          <w:p w14:paraId="09D95548" w14:textId="77777777" w:rsidR="00F2759D" w:rsidRPr="00DE096C" w:rsidRDefault="00F2759D" w:rsidP="00D45A46">
            <w:pPr>
              <w:jc w:val="both"/>
              <w:rPr>
                <w:bCs/>
                <w:color w:val="002060"/>
                <w:sz w:val="16"/>
                <w:szCs w:val="16"/>
              </w:rPr>
            </w:pPr>
            <w:r w:rsidRPr="00DE096C">
              <w:rPr>
                <w:bCs/>
                <w:color w:val="002060"/>
                <w:sz w:val="16"/>
                <w:szCs w:val="16"/>
              </w:rPr>
              <w:t xml:space="preserve">674 </w:t>
            </w:r>
          </w:p>
        </w:tc>
        <w:tc>
          <w:tcPr>
            <w:tcW w:w="1062" w:type="dxa"/>
          </w:tcPr>
          <w:p w14:paraId="71A95BA2" w14:textId="77777777" w:rsidR="00F2759D" w:rsidRPr="00DE096C" w:rsidRDefault="00F2759D" w:rsidP="00D45A46">
            <w:pPr>
              <w:jc w:val="both"/>
              <w:rPr>
                <w:bCs/>
                <w:color w:val="002060"/>
                <w:sz w:val="16"/>
                <w:szCs w:val="16"/>
              </w:rPr>
            </w:pPr>
            <w:r w:rsidRPr="00DE096C">
              <w:rPr>
                <w:bCs/>
                <w:color w:val="002060"/>
                <w:sz w:val="16"/>
                <w:szCs w:val="16"/>
              </w:rPr>
              <w:t xml:space="preserve">1331 </w:t>
            </w:r>
          </w:p>
        </w:tc>
      </w:tr>
      <w:tr w:rsidR="00F2759D" w:rsidRPr="00DE096C" w14:paraId="09D5AD5E" w14:textId="77777777" w:rsidTr="00D34AC1">
        <w:tc>
          <w:tcPr>
            <w:tcW w:w="893" w:type="dxa"/>
          </w:tcPr>
          <w:p w14:paraId="288AE898" w14:textId="77777777" w:rsidR="00F2759D" w:rsidRPr="00DE096C" w:rsidRDefault="00F2759D" w:rsidP="00D45A46">
            <w:pPr>
              <w:jc w:val="both"/>
              <w:rPr>
                <w:bCs/>
                <w:color w:val="002060"/>
                <w:sz w:val="16"/>
                <w:szCs w:val="16"/>
              </w:rPr>
            </w:pPr>
            <w:r w:rsidRPr="00DE096C">
              <w:rPr>
                <w:bCs/>
                <w:color w:val="002060"/>
                <w:sz w:val="16"/>
                <w:szCs w:val="16"/>
              </w:rPr>
              <w:t xml:space="preserve">Февраль </w:t>
            </w:r>
          </w:p>
        </w:tc>
        <w:tc>
          <w:tcPr>
            <w:tcW w:w="728" w:type="dxa"/>
          </w:tcPr>
          <w:p w14:paraId="7409DC64" w14:textId="77777777" w:rsidR="00F2759D" w:rsidRPr="00DE096C" w:rsidRDefault="00F2759D" w:rsidP="00D45A46">
            <w:pPr>
              <w:jc w:val="both"/>
              <w:rPr>
                <w:bCs/>
                <w:color w:val="002060"/>
                <w:sz w:val="16"/>
                <w:szCs w:val="16"/>
              </w:rPr>
            </w:pPr>
            <w:r w:rsidRPr="00DE096C">
              <w:rPr>
                <w:bCs/>
                <w:color w:val="002060"/>
                <w:sz w:val="16"/>
                <w:szCs w:val="16"/>
              </w:rPr>
              <w:t xml:space="preserve">— </w:t>
            </w:r>
          </w:p>
        </w:tc>
        <w:tc>
          <w:tcPr>
            <w:tcW w:w="728" w:type="dxa"/>
          </w:tcPr>
          <w:p w14:paraId="3958EBFA" w14:textId="77777777" w:rsidR="00F2759D" w:rsidRPr="00DE096C" w:rsidRDefault="00F2759D" w:rsidP="00D45A46">
            <w:pPr>
              <w:jc w:val="both"/>
              <w:rPr>
                <w:bCs/>
                <w:color w:val="002060"/>
                <w:sz w:val="16"/>
                <w:szCs w:val="16"/>
              </w:rPr>
            </w:pPr>
            <w:r w:rsidRPr="00DE096C">
              <w:rPr>
                <w:bCs/>
                <w:color w:val="002060"/>
                <w:sz w:val="16"/>
                <w:szCs w:val="16"/>
              </w:rPr>
              <w:t xml:space="preserve">169 </w:t>
            </w:r>
          </w:p>
        </w:tc>
        <w:tc>
          <w:tcPr>
            <w:tcW w:w="728" w:type="dxa"/>
          </w:tcPr>
          <w:p w14:paraId="2361B535" w14:textId="77777777" w:rsidR="00F2759D" w:rsidRPr="00DE096C" w:rsidRDefault="00F2759D" w:rsidP="00D45A46">
            <w:pPr>
              <w:jc w:val="both"/>
              <w:rPr>
                <w:bCs/>
                <w:color w:val="002060"/>
                <w:sz w:val="16"/>
                <w:szCs w:val="16"/>
              </w:rPr>
            </w:pPr>
            <w:r w:rsidRPr="00DE096C">
              <w:rPr>
                <w:bCs/>
                <w:color w:val="002060"/>
                <w:sz w:val="16"/>
                <w:szCs w:val="16"/>
              </w:rPr>
              <w:t xml:space="preserve">165 </w:t>
            </w:r>
          </w:p>
        </w:tc>
        <w:tc>
          <w:tcPr>
            <w:tcW w:w="1031" w:type="dxa"/>
          </w:tcPr>
          <w:p w14:paraId="76716E7E" w14:textId="77777777" w:rsidR="00F2759D" w:rsidRPr="00DE096C" w:rsidRDefault="00F2759D" w:rsidP="00D45A46">
            <w:pPr>
              <w:jc w:val="both"/>
              <w:rPr>
                <w:bCs/>
                <w:color w:val="002060"/>
                <w:sz w:val="16"/>
                <w:szCs w:val="16"/>
              </w:rPr>
            </w:pPr>
            <w:r w:rsidRPr="00DE096C">
              <w:rPr>
                <w:bCs/>
                <w:color w:val="002060"/>
                <w:sz w:val="16"/>
                <w:szCs w:val="16"/>
              </w:rPr>
              <w:t xml:space="preserve">— </w:t>
            </w:r>
          </w:p>
        </w:tc>
        <w:tc>
          <w:tcPr>
            <w:tcW w:w="1031" w:type="dxa"/>
          </w:tcPr>
          <w:p w14:paraId="78A8D979" w14:textId="77777777" w:rsidR="00F2759D" w:rsidRPr="00DE096C" w:rsidRDefault="00F2759D" w:rsidP="00D45A46">
            <w:pPr>
              <w:jc w:val="both"/>
              <w:rPr>
                <w:bCs/>
                <w:color w:val="002060"/>
                <w:sz w:val="16"/>
                <w:szCs w:val="16"/>
              </w:rPr>
            </w:pPr>
            <w:r w:rsidRPr="00DE096C">
              <w:rPr>
                <w:bCs/>
                <w:color w:val="002060"/>
                <w:sz w:val="16"/>
                <w:szCs w:val="16"/>
              </w:rPr>
              <w:t xml:space="preserve">967 </w:t>
            </w:r>
          </w:p>
        </w:tc>
        <w:tc>
          <w:tcPr>
            <w:tcW w:w="1031" w:type="dxa"/>
          </w:tcPr>
          <w:p w14:paraId="00ABE0FC" w14:textId="77777777" w:rsidR="00F2759D" w:rsidRPr="00DE096C" w:rsidRDefault="00F2759D" w:rsidP="00D45A46">
            <w:pPr>
              <w:jc w:val="both"/>
              <w:rPr>
                <w:bCs/>
                <w:color w:val="002060"/>
                <w:sz w:val="16"/>
                <w:szCs w:val="16"/>
              </w:rPr>
            </w:pPr>
            <w:r w:rsidRPr="00DE096C">
              <w:rPr>
                <w:bCs/>
                <w:color w:val="002060"/>
                <w:sz w:val="16"/>
                <w:szCs w:val="16"/>
              </w:rPr>
              <w:t xml:space="preserve">728 </w:t>
            </w:r>
          </w:p>
        </w:tc>
        <w:tc>
          <w:tcPr>
            <w:tcW w:w="1062" w:type="dxa"/>
          </w:tcPr>
          <w:p w14:paraId="5CE2D7EC" w14:textId="77777777" w:rsidR="00F2759D" w:rsidRPr="00DE096C" w:rsidRDefault="00F2759D" w:rsidP="00D45A46">
            <w:pPr>
              <w:jc w:val="both"/>
              <w:rPr>
                <w:bCs/>
                <w:color w:val="002060"/>
                <w:sz w:val="16"/>
                <w:szCs w:val="16"/>
              </w:rPr>
            </w:pPr>
            <w:r w:rsidRPr="00DE096C">
              <w:rPr>
                <w:bCs/>
                <w:color w:val="002060"/>
                <w:sz w:val="16"/>
                <w:szCs w:val="16"/>
              </w:rPr>
              <w:t xml:space="preserve">— </w:t>
            </w:r>
          </w:p>
        </w:tc>
        <w:tc>
          <w:tcPr>
            <w:tcW w:w="1062" w:type="dxa"/>
          </w:tcPr>
          <w:p w14:paraId="0582514E" w14:textId="77777777" w:rsidR="00F2759D" w:rsidRPr="00DE096C" w:rsidRDefault="00F2759D" w:rsidP="00D45A46">
            <w:pPr>
              <w:jc w:val="both"/>
              <w:rPr>
                <w:bCs/>
                <w:color w:val="002060"/>
                <w:sz w:val="16"/>
                <w:szCs w:val="16"/>
              </w:rPr>
            </w:pPr>
            <w:r w:rsidRPr="00DE096C">
              <w:rPr>
                <w:bCs/>
                <w:color w:val="002060"/>
                <w:sz w:val="16"/>
                <w:szCs w:val="16"/>
              </w:rPr>
              <w:t xml:space="preserve">965 </w:t>
            </w:r>
          </w:p>
        </w:tc>
        <w:tc>
          <w:tcPr>
            <w:tcW w:w="1062" w:type="dxa"/>
          </w:tcPr>
          <w:p w14:paraId="7375D0BC" w14:textId="77777777" w:rsidR="00F2759D" w:rsidRPr="00DE096C" w:rsidRDefault="00F2759D" w:rsidP="00D45A46">
            <w:pPr>
              <w:jc w:val="both"/>
              <w:rPr>
                <w:bCs/>
                <w:color w:val="002060"/>
                <w:sz w:val="16"/>
                <w:szCs w:val="16"/>
              </w:rPr>
            </w:pPr>
            <w:r w:rsidRPr="00DE096C">
              <w:rPr>
                <w:bCs/>
                <w:color w:val="002060"/>
                <w:sz w:val="16"/>
                <w:szCs w:val="16"/>
              </w:rPr>
              <w:t xml:space="preserve">882 </w:t>
            </w:r>
          </w:p>
        </w:tc>
      </w:tr>
      <w:tr w:rsidR="00F2759D" w:rsidRPr="00DE096C" w14:paraId="2FA3C510" w14:textId="77777777" w:rsidTr="00D34AC1">
        <w:tc>
          <w:tcPr>
            <w:tcW w:w="893" w:type="dxa"/>
          </w:tcPr>
          <w:p w14:paraId="6568A65E" w14:textId="77777777" w:rsidR="00F2759D" w:rsidRPr="00DE096C" w:rsidRDefault="00F2759D" w:rsidP="00D45A46">
            <w:pPr>
              <w:jc w:val="both"/>
              <w:rPr>
                <w:bCs/>
                <w:color w:val="002060"/>
                <w:sz w:val="16"/>
                <w:szCs w:val="16"/>
              </w:rPr>
            </w:pPr>
            <w:r w:rsidRPr="00DE096C">
              <w:rPr>
                <w:bCs/>
                <w:color w:val="002060"/>
                <w:sz w:val="16"/>
                <w:szCs w:val="16"/>
              </w:rPr>
              <w:t xml:space="preserve">Март </w:t>
            </w:r>
          </w:p>
        </w:tc>
        <w:tc>
          <w:tcPr>
            <w:tcW w:w="728" w:type="dxa"/>
          </w:tcPr>
          <w:p w14:paraId="7AC35F54" w14:textId="77777777" w:rsidR="00F2759D" w:rsidRPr="00DE096C" w:rsidRDefault="00F2759D" w:rsidP="00D45A46">
            <w:pPr>
              <w:jc w:val="both"/>
              <w:rPr>
                <w:bCs/>
                <w:color w:val="002060"/>
                <w:sz w:val="16"/>
                <w:szCs w:val="16"/>
              </w:rPr>
            </w:pPr>
            <w:r w:rsidRPr="00DE096C">
              <w:rPr>
                <w:bCs/>
                <w:color w:val="002060"/>
                <w:sz w:val="16"/>
                <w:szCs w:val="16"/>
              </w:rPr>
              <w:t xml:space="preserve">— </w:t>
            </w:r>
          </w:p>
        </w:tc>
        <w:tc>
          <w:tcPr>
            <w:tcW w:w="728" w:type="dxa"/>
          </w:tcPr>
          <w:p w14:paraId="342D0B08" w14:textId="77777777" w:rsidR="00F2759D" w:rsidRPr="00DE096C" w:rsidRDefault="00F2759D" w:rsidP="00D45A46">
            <w:pPr>
              <w:jc w:val="both"/>
              <w:rPr>
                <w:bCs/>
                <w:color w:val="002060"/>
                <w:sz w:val="16"/>
                <w:szCs w:val="16"/>
              </w:rPr>
            </w:pPr>
            <w:r w:rsidRPr="00DE096C">
              <w:rPr>
                <w:bCs/>
                <w:color w:val="002060"/>
                <w:sz w:val="16"/>
                <w:szCs w:val="16"/>
              </w:rPr>
              <w:t xml:space="preserve">180 </w:t>
            </w:r>
          </w:p>
        </w:tc>
        <w:tc>
          <w:tcPr>
            <w:tcW w:w="728" w:type="dxa"/>
          </w:tcPr>
          <w:p w14:paraId="3F0D12F0" w14:textId="77777777" w:rsidR="00F2759D" w:rsidRPr="00DE096C" w:rsidRDefault="00F2759D" w:rsidP="00D45A46">
            <w:pPr>
              <w:jc w:val="both"/>
              <w:rPr>
                <w:bCs/>
                <w:color w:val="002060"/>
                <w:sz w:val="16"/>
                <w:szCs w:val="16"/>
              </w:rPr>
            </w:pPr>
            <w:r w:rsidRPr="00DE096C">
              <w:rPr>
                <w:bCs/>
                <w:color w:val="002060"/>
                <w:sz w:val="16"/>
                <w:szCs w:val="16"/>
              </w:rPr>
              <w:t xml:space="preserve">201 </w:t>
            </w:r>
          </w:p>
        </w:tc>
        <w:tc>
          <w:tcPr>
            <w:tcW w:w="1031" w:type="dxa"/>
          </w:tcPr>
          <w:p w14:paraId="739C63A4" w14:textId="77777777" w:rsidR="00F2759D" w:rsidRPr="00DE096C" w:rsidRDefault="00F2759D" w:rsidP="00D45A46">
            <w:pPr>
              <w:jc w:val="both"/>
              <w:rPr>
                <w:bCs/>
                <w:color w:val="002060"/>
                <w:sz w:val="16"/>
                <w:szCs w:val="16"/>
              </w:rPr>
            </w:pPr>
            <w:r w:rsidRPr="00DE096C">
              <w:rPr>
                <w:bCs/>
                <w:color w:val="002060"/>
                <w:sz w:val="16"/>
                <w:szCs w:val="16"/>
              </w:rPr>
              <w:t xml:space="preserve">— </w:t>
            </w:r>
          </w:p>
        </w:tc>
        <w:tc>
          <w:tcPr>
            <w:tcW w:w="1031" w:type="dxa"/>
          </w:tcPr>
          <w:p w14:paraId="51A77E57" w14:textId="77777777" w:rsidR="00F2759D" w:rsidRPr="00DE096C" w:rsidRDefault="00F2759D" w:rsidP="00D45A46">
            <w:pPr>
              <w:jc w:val="both"/>
              <w:rPr>
                <w:bCs/>
                <w:color w:val="002060"/>
                <w:sz w:val="16"/>
                <w:szCs w:val="16"/>
              </w:rPr>
            </w:pPr>
            <w:r w:rsidRPr="00DE096C">
              <w:rPr>
                <w:bCs/>
                <w:color w:val="002060"/>
                <w:sz w:val="16"/>
                <w:szCs w:val="16"/>
              </w:rPr>
              <w:t xml:space="preserve">1021 </w:t>
            </w:r>
          </w:p>
        </w:tc>
        <w:tc>
          <w:tcPr>
            <w:tcW w:w="1031" w:type="dxa"/>
          </w:tcPr>
          <w:p w14:paraId="21A6C1E0" w14:textId="77777777" w:rsidR="00F2759D" w:rsidRPr="00DE096C" w:rsidRDefault="00F2759D" w:rsidP="00D45A46">
            <w:pPr>
              <w:jc w:val="both"/>
              <w:rPr>
                <w:bCs/>
                <w:color w:val="002060"/>
                <w:sz w:val="16"/>
                <w:szCs w:val="16"/>
              </w:rPr>
            </w:pPr>
            <w:r w:rsidRPr="00DE096C">
              <w:rPr>
                <w:bCs/>
                <w:color w:val="002060"/>
                <w:sz w:val="16"/>
                <w:szCs w:val="16"/>
              </w:rPr>
              <w:t xml:space="preserve">1230 </w:t>
            </w:r>
          </w:p>
        </w:tc>
        <w:tc>
          <w:tcPr>
            <w:tcW w:w="1062" w:type="dxa"/>
          </w:tcPr>
          <w:p w14:paraId="156861EE" w14:textId="77777777" w:rsidR="00F2759D" w:rsidRPr="00DE096C" w:rsidRDefault="00F2759D" w:rsidP="00D45A46">
            <w:pPr>
              <w:jc w:val="both"/>
              <w:rPr>
                <w:bCs/>
                <w:color w:val="002060"/>
                <w:sz w:val="16"/>
                <w:szCs w:val="16"/>
              </w:rPr>
            </w:pPr>
            <w:r w:rsidRPr="00DE096C">
              <w:rPr>
                <w:bCs/>
                <w:color w:val="002060"/>
                <w:sz w:val="16"/>
                <w:szCs w:val="16"/>
              </w:rPr>
              <w:t xml:space="preserve">— </w:t>
            </w:r>
          </w:p>
        </w:tc>
        <w:tc>
          <w:tcPr>
            <w:tcW w:w="1062" w:type="dxa"/>
          </w:tcPr>
          <w:p w14:paraId="608199BC" w14:textId="77777777" w:rsidR="00F2759D" w:rsidRPr="00DE096C" w:rsidRDefault="00F2759D" w:rsidP="00D45A46">
            <w:pPr>
              <w:jc w:val="both"/>
              <w:rPr>
                <w:bCs/>
                <w:color w:val="002060"/>
                <w:sz w:val="16"/>
                <w:szCs w:val="16"/>
              </w:rPr>
            </w:pPr>
            <w:r w:rsidRPr="00DE096C">
              <w:rPr>
                <w:bCs/>
                <w:color w:val="002060"/>
                <w:sz w:val="16"/>
                <w:szCs w:val="16"/>
              </w:rPr>
              <w:t xml:space="preserve">1123 </w:t>
            </w:r>
          </w:p>
        </w:tc>
        <w:tc>
          <w:tcPr>
            <w:tcW w:w="1062" w:type="dxa"/>
          </w:tcPr>
          <w:p w14:paraId="66F3BCED" w14:textId="77777777" w:rsidR="00F2759D" w:rsidRPr="00DE096C" w:rsidRDefault="00F2759D" w:rsidP="00D45A46">
            <w:pPr>
              <w:jc w:val="both"/>
              <w:rPr>
                <w:bCs/>
                <w:color w:val="002060"/>
                <w:sz w:val="16"/>
                <w:szCs w:val="16"/>
              </w:rPr>
            </w:pPr>
            <w:r w:rsidRPr="00DE096C">
              <w:rPr>
                <w:bCs/>
                <w:color w:val="002060"/>
                <w:sz w:val="16"/>
                <w:szCs w:val="16"/>
              </w:rPr>
              <w:t xml:space="preserve">1816 </w:t>
            </w:r>
          </w:p>
        </w:tc>
      </w:tr>
      <w:tr w:rsidR="00F2759D" w:rsidRPr="00DE096C" w14:paraId="14DF46CB" w14:textId="77777777" w:rsidTr="00D34AC1">
        <w:tc>
          <w:tcPr>
            <w:tcW w:w="893" w:type="dxa"/>
          </w:tcPr>
          <w:p w14:paraId="38CBBF0B" w14:textId="77777777" w:rsidR="00F2759D" w:rsidRPr="00DE096C" w:rsidRDefault="00F2759D" w:rsidP="00D45A46">
            <w:pPr>
              <w:jc w:val="both"/>
              <w:rPr>
                <w:bCs/>
                <w:color w:val="002060"/>
                <w:sz w:val="16"/>
                <w:szCs w:val="16"/>
              </w:rPr>
            </w:pPr>
            <w:r w:rsidRPr="00DE096C">
              <w:rPr>
                <w:bCs/>
                <w:color w:val="002060"/>
                <w:sz w:val="16"/>
                <w:szCs w:val="16"/>
              </w:rPr>
              <w:t xml:space="preserve">Апрель </w:t>
            </w:r>
          </w:p>
        </w:tc>
        <w:tc>
          <w:tcPr>
            <w:tcW w:w="728" w:type="dxa"/>
          </w:tcPr>
          <w:p w14:paraId="7B6CE6BA" w14:textId="77777777" w:rsidR="00F2759D" w:rsidRPr="00DE096C" w:rsidRDefault="00F2759D" w:rsidP="00D45A46">
            <w:pPr>
              <w:jc w:val="both"/>
              <w:rPr>
                <w:bCs/>
                <w:color w:val="002060"/>
                <w:sz w:val="16"/>
                <w:szCs w:val="16"/>
              </w:rPr>
            </w:pPr>
            <w:r w:rsidRPr="00DE096C">
              <w:rPr>
                <w:bCs/>
                <w:color w:val="002060"/>
                <w:sz w:val="16"/>
                <w:szCs w:val="16"/>
              </w:rPr>
              <w:t xml:space="preserve">— </w:t>
            </w:r>
          </w:p>
        </w:tc>
        <w:tc>
          <w:tcPr>
            <w:tcW w:w="728" w:type="dxa"/>
          </w:tcPr>
          <w:p w14:paraId="1BDC76B1" w14:textId="77777777" w:rsidR="00F2759D" w:rsidRPr="00DE096C" w:rsidRDefault="00F2759D" w:rsidP="00D45A46">
            <w:pPr>
              <w:jc w:val="both"/>
              <w:rPr>
                <w:bCs/>
                <w:color w:val="002060"/>
                <w:sz w:val="16"/>
                <w:szCs w:val="16"/>
              </w:rPr>
            </w:pPr>
            <w:r w:rsidRPr="00DE096C">
              <w:rPr>
                <w:bCs/>
                <w:color w:val="002060"/>
                <w:sz w:val="16"/>
                <w:szCs w:val="16"/>
              </w:rPr>
              <w:t xml:space="preserve">183 </w:t>
            </w:r>
          </w:p>
        </w:tc>
        <w:tc>
          <w:tcPr>
            <w:tcW w:w="728" w:type="dxa"/>
          </w:tcPr>
          <w:p w14:paraId="73C2275C" w14:textId="77777777" w:rsidR="00F2759D" w:rsidRPr="00DE096C" w:rsidRDefault="00F2759D" w:rsidP="00D45A46">
            <w:pPr>
              <w:jc w:val="both"/>
              <w:rPr>
                <w:bCs/>
                <w:color w:val="002060"/>
                <w:sz w:val="16"/>
                <w:szCs w:val="16"/>
              </w:rPr>
            </w:pPr>
            <w:r w:rsidRPr="00DE096C">
              <w:rPr>
                <w:bCs/>
                <w:color w:val="002060"/>
                <w:sz w:val="16"/>
                <w:szCs w:val="16"/>
              </w:rPr>
              <w:t xml:space="preserve">231 </w:t>
            </w:r>
          </w:p>
        </w:tc>
        <w:tc>
          <w:tcPr>
            <w:tcW w:w="1031" w:type="dxa"/>
          </w:tcPr>
          <w:p w14:paraId="7A6CE410" w14:textId="77777777" w:rsidR="00F2759D" w:rsidRPr="00DE096C" w:rsidRDefault="00F2759D" w:rsidP="00D45A46">
            <w:pPr>
              <w:jc w:val="both"/>
              <w:rPr>
                <w:bCs/>
                <w:color w:val="002060"/>
                <w:sz w:val="16"/>
                <w:szCs w:val="16"/>
              </w:rPr>
            </w:pPr>
            <w:r w:rsidRPr="00DE096C">
              <w:rPr>
                <w:bCs/>
                <w:color w:val="002060"/>
                <w:sz w:val="16"/>
                <w:szCs w:val="16"/>
              </w:rPr>
              <w:t xml:space="preserve">— </w:t>
            </w:r>
          </w:p>
        </w:tc>
        <w:tc>
          <w:tcPr>
            <w:tcW w:w="1031" w:type="dxa"/>
          </w:tcPr>
          <w:p w14:paraId="3E762C87" w14:textId="77777777" w:rsidR="00F2759D" w:rsidRPr="00DE096C" w:rsidRDefault="00F2759D" w:rsidP="00D45A46">
            <w:pPr>
              <w:jc w:val="both"/>
              <w:rPr>
                <w:bCs/>
                <w:color w:val="002060"/>
                <w:sz w:val="16"/>
                <w:szCs w:val="16"/>
              </w:rPr>
            </w:pPr>
            <w:r w:rsidRPr="00DE096C">
              <w:rPr>
                <w:bCs/>
                <w:color w:val="002060"/>
                <w:sz w:val="16"/>
                <w:szCs w:val="16"/>
              </w:rPr>
              <w:t xml:space="preserve">1526 </w:t>
            </w:r>
          </w:p>
        </w:tc>
        <w:tc>
          <w:tcPr>
            <w:tcW w:w="1031" w:type="dxa"/>
          </w:tcPr>
          <w:p w14:paraId="5697147A" w14:textId="77777777" w:rsidR="00F2759D" w:rsidRPr="00DE096C" w:rsidRDefault="00F2759D" w:rsidP="00D45A46">
            <w:pPr>
              <w:jc w:val="both"/>
              <w:rPr>
                <w:bCs/>
                <w:color w:val="002060"/>
                <w:sz w:val="16"/>
                <w:szCs w:val="16"/>
              </w:rPr>
            </w:pPr>
            <w:r w:rsidRPr="00DE096C">
              <w:rPr>
                <w:bCs/>
                <w:color w:val="002060"/>
                <w:sz w:val="16"/>
                <w:szCs w:val="16"/>
              </w:rPr>
              <w:t xml:space="preserve">1454 </w:t>
            </w:r>
          </w:p>
        </w:tc>
        <w:tc>
          <w:tcPr>
            <w:tcW w:w="1062" w:type="dxa"/>
          </w:tcPr>
          <w:p w14:paraId="7CF97990" w14:textId="77777777" w:rsidR="00F2759D" w:rsidRPr="00DE096C" w:rsidRDefault="00F2759D" w:rsidP="00D45A46">
            <w:pPr>
              <w:jc w:val="both"/>
              <w:rPr>
                <w:bCs/>
                <w:color w:val="002060"/>
                <w:sz w:val="16"/>
                <w:szCs w:val="16"/>
              </w:rPr>
            </w:pPr>
            <w:r w:rsidRPr="00DE096C">
              <w:rPr>
                <w:bCs/>
                <w:color w:val="002060"/>
                <w:sz w:val="16"/>
                <w:szCs w:val="16"/>
              </w:rPr>
              <w:t xml:space="preserve">— </w:t>
            </w:r>
          </w:p>
        </w:tc>
        <w:tc>
          <w:tcPr>
            <w:tcW w:w="1062" w:type="dxa"/>
          </w:tcPr>
          <w:p w14:paraId="09B98313" w14:textId="77777777" w:rsidR="00F2759D" w:rsidRPr="00DE096C" w:rsidRDefault="00F2759D" w:rsidP="00D45A46">
            <w:pPr>
              <w:jc w:val="both"/>
              <w:rPr>
                <w:bCs/>
                <w:color w:val="002060"/>
                <w:sz w:val="16"/>
                <w:szCs w:val="16"/>
              </w:rPr>
            </w:pPr>
            <w:r w:rsidRPr="00DE096C">
              <w:rPr>
                <w:bCs/>
                <w:color w:val="002060"/>
                <w:sz w:val="16"/>
                <w:szCs w:val="16"/>
              </w:rPr>
              <w:t xml:space="preserve">1912 </w:t>
            </w:r>
          </w:p>
        </w:tc>
        <w:tc>
          <w:tcPr>
            <w:tcW w:w="1062" w:type="dxa"/>
          </w:tcPr>
          <w:p w14:paraId="2CE629D3" w14:textId="77777777" w:rsidR="00F2759D" w:rsidRPr="00DE096C" w:rsidRDefault="00F2759D" w:rsidP="00D45A46">
            <w:pPr>
              <w:jc w:val="both"/>
              <w:rPr>
                <w:bCs/>
                <w:color w:val="002060"/>
                <w:sz w:val="16"/>
                <w:szCs w:val="16"/>
              </w:rPr>
            </w:pPr>
            <w:r w:rsidRPr="00DE096C">
              <w:rPr>
                <w:bCs/>
                <w:color w:val="002060"/>
                <w:sz w:val="16"/>
                <w:szCs w:val="16"/>
              </w:rPr>
              <w:t xml:space="preserve">2059 </w:t>
            </w:r>
          </w:p>
        </w:tc>
      </w:tr>
      <w:tr w:rsidR="00F2759D" w:rsidRPr="00DE096C" w14:paraId="3C37B4BE" w14:textId="77777777" w:rsidTr="00D34AC1">
        <w:tc>
          <w:tcPr>
            <w:tcW w:w="893" w:type="dxa"/>
          </w:tcPr>
          <w:p w14:paraId="54AB83A1" w14:textId="77777777" w:rsidR="00F2759D" w:rsidRPr="00DE096C" w:rsidRDefault="00F2759D" w:rsidP="00D45A46">
            <w:pPr>
              <w:jc w:val="both"/>
              <w:rPr>
                <w:bCs/>
                <w:color w:val="002060"/>
                <w:sz w:val="16"/>
                <w:szCs w:val="16"/>
              </w:rPr>
            </w:pPr>
            <w:r w:rsidRPr="00DE096C">
              <w:rPr>
                <w:bCs/>
                <w:color w:val="002060"/>
                <w:sz w:val="16"/>
                <w:szCs w:val="16"/>
              </w:rPr>
              <w:t xml:space="preserve">Май </w:t>
            </w:r>
          </w:p>
        </w:tc>
        <w:tc>
          <w:tcPr>
            <w:tcW w:w="728" w:type="dxa"/>
          </w:tcPr>
          <w:p w14:paraId="52E5A5EF" w14:textId="77777777" w:rsidR="00F2759D" w:rsidRPr="00DE096C" w:rsidRDefault="00F2759D" w:rsidP="00D45A46">
            <w:pPr>
              <w:jc w:val="both"/>
              <w:rPr>
                <w:bCs/>
                <w:color w:val="002060"/>
                <w:sz w:val="16"/>
                <w:szCs w:val="16"/>
              </w:rPr>
            </w:pPr>
            <w:r w:rsidRPr="00DE096C">
              <w:rPr>
                <w:bCs/>
                <w:color w:val="002060"/>
                <w:sz w:val="16"/>
                <w:szCs w:val="16"/>
              </w:rPr>
              <w:t xml:space="preserve">— </w:t>
            </w:r>
          </w:p>
        </w:tc>
        <w:tc>
          <w:tcPr>
            <w:tcW w:w="728" w:type="dxa"/>
          </w:tcPr>
          <w:p w14:paraId="4F1B919F" w14:textId="77777777" w:rsidR="00F2759D" w:rsidRPr="00DE096C" w:rsidRDefault="00F2759D" w:rsidP="00D45A46">
            <w:pPr>
              <w:jc w:val="both"/>
              <w:rPr>
                <w:bCs/>
                <w:color w:val="002060"/>
                <w:sz w:val="16"/>
                <w:szCs w:val="16"/>
              </w:rPr>
            </w:pPr>
            <w:r w:rsidRPr="00DE096C">
              <w:rPr>
                <w:bCs/>
                <w:color w:val="002060"/>
                <w:sz w:val="16"/>
                <w:szCs w:val="16"/>
              </w:rPr>
              <w:t xml:space="preserve">193 </w:t>
            </w:r>
          </w:p>
        </w:tc>
        <w:tc>
          <w:tcPr>
            <w:tcW w:w="728" w:type="dxa"/>
          </w:tcPr>
          <w:p w14:paraId="6FAE6BC2" w14:textId="77777777" w:rsidR="00F2759D" w:rsidRPr="00DE096C" w:rsidRDefault="00F2759D" w:rsidP="00D45A46">
            <w:pPr>
              <w:jc w:val="both"/>
              <w:rPr>
                <w:bCs/>
                <w:color w:val="002060"/>
                <w:sz w:val="16"/>
                <w:szCs w:val="16"/>
              </w:rPr>
            </w:pPr>
            <w:r w:rsidRPr="00DE096C">
              <w:rPr>
                <w:bCs/>
                <w:color w:val="002060"/>
                <w:sz w:val="16"/>
                <w:szCs w:val="16"/>
              </w:rPr>
              <w:t xml:space="preserve">256 </w:t>
            </w:r>
          </w:p>
        </w:tc>
        <w:tc>
          <w:tcPr>
            <w:tcW w:w="1031" w:type="dxa"/>
          </w:tcPr>
          <w:p w14:paraId="1168DA01" w14:textId="77777777" w:rsidR="00F2759D" w:rsidRPr="00DE096C" w:rsidRDefault="00F2759D" w:rsidP="00D45A46">
            <w:pPr>
              <w:jc w:val="both"/>
              <w:rPr>
                <w:bCs/>
                <w:color w:val="002060"/>
                <w:sz w:val="16"/>
                <w:szCs w:val="16"/>
              </w:rPr>
            </w:pPr>
            <w:r w:rsidRPr="00DE096C">
              <w:rPr>
                <w:bCs/>
                <w:color w:val="002060"/>
                <w:sz w:val="16"/>
                <w:szCs w:val="16"/>
              </w:rPr>
              <w:t xml:space="preserve">— </w:t>
            </w:r>
          </w:p>
        </w:tc>
        <w:tc>
          <w:tcPr>
            <w:tcW w:w="1031" w:type="dxa"/>
          </w:tcPr>
          <w:p w14:paraId="7E801AD2" w14:textId="77777777" w:rsidR="00F2759D" w:rsidRPr="00DE096C" w:rsidRDefault="00F2759D" w:rsidP="00D45A46">
            <w:pPr>
              <w:jc w:val="both"/>
              <w:rPr>
                <w:bCs/>
                <w:color w:val="002060"/>
                <w:sz w:val="16"/>
                <w:szCs w:val="16"/>
              </w:rPr>
            </w:pPr>
            <w:r w:rsidRPr="00DE096C">
              <w:rPr>
                <w:bCs/>
                <w:color w:val="002060"/>
                <w:sz w:val="16"/>
                <w:szCs w:val="16"/>
              </w:rPr>
              <w:t xml:space="preserve">1713 </w:t>
            </w:r>
          </w:p>
        </w:tc>
        <w:tc>
          <w:tcPr>
            <w:tcW w:w="1031" w:type="dxa"/>
          </w:tcPr>
          <w:p w14:paraId="1391EEEA" w14:textId="77777777" w:rsidR="00F2759D" w:rsidRPr="00DE096C" w:rsidRDefault="00F2759D" w:rsidP="00D45A46">
            <w:pPr>
              <w:jc w:val="both"/>
              <w:rPr>
                <w:bCs/>
                <w:color w:val="002060"/>
                <w:sz w:val="16"/>
                <w:szCs w:val="16"/>
              </w:rPr>
            </w:pPr>
            <w:r w:rsidRPr="00DE096C">
              <w:rPr>
                <w:bCs/>
                <w:color w:val="002060"/>
                <w:sz w:val="16"/>
                <w:szCs w:val="16"/>
              </w:rPr>
              <w:t xml:space="preserve">2234 </w:t>
            </w:r>
          </w:p>
        </w:tc>
        <w:tc>
          <w:tcPr>
            <w:tcW w:w="1062" w:type="dxa"/>
          </w:tcPr>
          <w:p w14:paraId="60874DF7" w14:textId="77777777" w:rsidR="00F2759D" w:rsidRPr="00DE096C" w:rsidRDefault="00F2759D" w:rsidP="00D45A46">
            <w:pPr>
              <w:jc w:val="both"/>
              <w:rPr>
                <w:bCs/>
                <w:color w:val="002060"/>
                <w:sz w:val="16"/>
                <w:szCs w:val="16"/>
              </w:rPr>
            </w:pPr>
            <w:r w:rsidRPr="00DE096C">
              <w:rPr>
                <w:bCs/>
                <w:color w:val="002060"/>
                <w:sz w:val="16"/>
                <w:szCs w:val="16"/>
              </w:rPr>
              <w:t xml:space="preserve">— </w:t>
            </w:r>
          </w:p>
        </w:tc>
        <w:tc>
          <w:tcPr>
            <w:tcW w:w="1062" w:type="dxa"/>
          </w:tcPr>
          <w:p w14:paraId="41C6D718" w14:textId="77777777" w:rsidR="00F2759D" w:rsidRPr="00DE096C" w:rsidRDefault="00F2759D" w:rsidP="00D45A46">
            <w:pPr>
              <w:jc w:val="both"/>
              <w:rPr>
                <w:bCs/>
                <w:color w:val="002060"/>
                <w:sz w:val="16"/>
                <w:szCs w:val="16"/>
              </w:rPr>
            </w:pPr>
            <w:r w:rsidRPr="00DE096C">
              <w:rPr>
                <w:bCs/>
                <w:color w:val="002060"/>
                <w:sz w:val="16"/>
                <w:szCs w:val="16"/>
              </w:rPr>
              <w:t xml:space="preserve">1954 </w:t>
            </w:r>
          </w:p>
        </w:tc>
        <w:tc>
          <w:tcPr>
            <w:tcW w:w="1062" w:type="dxa"/>
          </w:tcPr>
          <w:p w14:paraId="04368FCF" w14:textId="77777777" w:rsidR="00F2759D" w:rsidRPr="00DE096C" w:rsidRDefault="00F2759D" w:rsidP="00D45A46">
            <w:pPr>
              <w:jc w:val="both"/>
              <w:rPr>
                <w:bCs/>
                <w:color w:val="002060"/>
                <w:sz w:val="16"/>
                <w:szCs w:val="16"/>
              </w:rPr>
            </w:pPr>
            <w:r w:rsidRPr="00DE096C">
              <w:rPr>
                <w:bCs/>
                <w:color w:val="002060"/>
                <w:sz w:val="16"/>
                <w:szCs w:val="16"/>
              </w:rPr>
              <w:t xml:space="preserve">3101 </w:t>
            </w:r>
          </w:p>
        </w:tc>
      </w:tr>
      <w:tr w:rsidR="00F2759D" w:rsidRPr="00DE096C" w14:paraId="38479FF1" w14:textId="77777777" w:rsidTr="00D34AC1">
        <w:tc>
          <w:tcPr>
            <w:tcW w:w="893" w:type="dxa"/>
          </w:tcPr>
          <w:p w14:paraId="401DADDF" w14:textId="77777777" w:rsidR="00F2759D" w:rsidRPr="00DE096C" w:rsidRDefault="00F2759D" w:rsidP="00D45A46">
            <w:pPr>
              <w:jc w:val="both"/>
              <w:rPr>
                <w:bCs/>
                <w:color w:val="002060"/>
                <w:sz w:val="16"/>
                <w:szCs w:val="16"/>
              </w:rPr>
            </w:pPr>
            <w:r w:rsidRPr="00DE096C">
              <w:rPr>
                <w:bCs/>
                <w:color w:val="002060"/>
                <w:sz w:val="16"/>
                <w:szCs w:val="16"/>
              </w:rPr>
              <w:t xml:space="preserve">Июнь </w:t>
            </w:r>
          </w:p>
        </w:tc>
        <w:tc>
          <w:tcPr>
            <w:tcW w:w="728" w:type="dxa"/>
          </w:tcPr>
          <w:p w14:paraId="4DA41D7A" w14:textId="77777777" w:rsidR="00F2759D" w:rsidRPr="00DE096C" w:rsidRDefault="00F2759D" w:rsidP="00D45A46">
            <w:pPr>
              <w:jc w:val="both"/>
              <w:rPr>
                <w:bCs/>
                <w:color w:val="002060"/>
                <w:sz w:val="16"/>
                <w:szCs w:val="16"/>
              </w:rPr>
            </w:pPr>
            <w:r w:rsidRPr="00DE096C">
              <w:rPr>
                <w:bCs/>
                <w:color w:val="002060"/>
                <w:sz w:val="16"/>
                <w:szCs w:val="16"/>
              </w:rPr>
              <w:t xml:space="preserve">— </w:t>
            </w:r>
          </w:p>
        </w:tc>
        <w:tc>
          <w:tcPr>
            <w:tcW w:w="728" w:type="dxa"/>
          </w:tcPr>
          <w:p w14:paraId="2C0BA684" w14:textId="77777777" w:rsidR="00F2759D" w:rsidRPr="00DE096C" w:rsidRDefault="00F2759D" w:rsidP="00D45A46">
            <w:pPr>
              <w:jc w:val="both"/>
              <w:rPr>
                <w:bCs/>
                <w:color w:val="002060"/>
                <w:sz w:val="16"/>
                <w:szCs w:val="16"/>
              </w:rPr>
            </w:pPr>
            <w:r w:rsidRPr="00DE096C">
              <w:rPr>
                <w:bCs/>
                <w:color w:val="002060"/>
                <w:sz w:val="16"/>
                <w:szCs w:val="16"/>
              </w:rPr>
              <w:t xml:space="preserve">191 </w:t>
            </w:r>
          </w:p>
        </w:tc>
        <w:tc>
          <w:tcPr>
            <w:tcW w:w="728" w:type="dxa"/>
          </w:tcPr>
          <w:p w14:paraId="55FFDD95" w14:textId="77777777" w:rsidR="00F2759D" w:rsidRPr="00DE096C" w:rsidRDefault="00F2759D" w:rsidP="00D45A46">
            <w:pPr>
              <w:jc w:val="both"/>
              <w:rPr>
                <w:bCs/>
                <w:color w:val="002060"/>
                <w:sz w:val="16"/>
                <w:szCs w:val="16"/>
              </w:rPr>
            </w:pPr>
            <w:r w:rsidRPr="00DE096C">
              <w:rPr>
                <w:bCs/>
                <w:color w:val="002060"/>
                <w:sz w:val="16"/>
                <w:szCs w:val="16"/>
              </w:rPr>
              <w:t xml:space="preserve">265 </w:t>
            </w:r>
          </w:p>
        </w:tc>
        <w:tc>
          <w:tcPr>
            <w:tcW w:w="1031" w:type="dxa"/>
          </w:tcPr>
          <w:p w14:paraId="53E48FD8" w14:textId="77777777" w:rsidR="00F2759D" w:rsidRPr="00DE096C" w:rsidRDefault="00F2759D" w:rsidP="00D45A46">
            <w:pPr>
              <w:jc w:val="both"/>
              <w:rPr>
                <w:bCs/>
                <w:color w:val="002060"/>
                <w:sz w:val="16"/>
                <w:szCs w:val="16"/>
              </w:rPr>
            </w:pPr>
            <w:r w:rsidRPr="00DE096C">
              <w:rPr>
                <w:bCs/>
                <w:color w:val="002060"/>
                <w:sz w:val="16"/>
                <w:szCs w:val="16"/>
              </w:rPr>
              <w:t xml:space="preserve">— </w:t>
            </w:r>
          </w:p>
        </w:tc>
        <w:tc>
          <w:tcPr>
            <w:tcW w:w="1031" w:type="dxa"/>
          </w:tcPr>
          <w:p w14:paraId="026F2ED5" w14:textId="77777777" w:rsidR="00F2759D" w:rsidRPr="00DE096C" w:rsidRDefault="00F2759D" w:rsidP="00D45A46">
            <w:pPr>
              <w:jc w:val="both"/>
              <w:rPr>
                <w:bCs/>
                <w:color w:val="002060"/>
                <w:sz w:val="16"/>
                <w:szCs w:val="16"/>
              </w:rPr>
            </w:pPr>
            <w:r w:rsidRPr="00DE096C">
              <w:rPr>
                <w:bCs/>
                <w:color w:val="002060"/>
                <w:sz w:val="16"/>
                <w:szCs w:val="16"/>
              </w:rPr>
              <w:t xml:space="preserve">1603 </w:t>
            </w:r>
          </w:p>
        </w:tc>
        <w:tc>
          <w:tcPr>
            <w:tcW w:w="1031" w:type="dxa"/>
          </w:tcPr>
          <w:p w14:paraId="7E64614A" w14:textId="77777777" w:rsidR="00F2759D" w:rsidRPr="00DE096C" w:rsidRDefault="00F2759D" w:rsidP="00D45A46">
            <w:pPr>
              <w:jc w:val="both"/>
              <w:rPr>
                <w:bCs/>
                <w:color w:val="002060"/>
                <w:sz w:val="16"/>
                <w:szCs w:val="16"/>
              </w:rPr>
            </w:pPr>
            <w:r w:rsidRPr="00DE096C">
              <w:rPr>
                <w:bCs/>
                <w:color w:val="002060"/>
                <w:sz w:val="16"/>
                <w:szCs w:val="16"/>
              </w:rPr>
              <w:t xml:space="preserve">1441 </w:t>
            </w:r>
          </w:p>
        </w:tc>
        <w:tc>
          <w:tcPr>
            <w:tcW w:w="1062" w:type="dxa"/>
          </w:tcPr>
          <w:p w14:paraId="6BF551C3" w14:textId="77777777" w:rsidR="00F2759D" w:rsidRPr="00DE096C" w:rsidRDefault="00F2759D" w:rsidP="00D45A46">
            <w:pPr>
              <w:jc w:val="both"/>
              <w:rPr>
                <w:bCs/>
                <w:color w:val="002060"/>
                <w:sz w:val="16"/>
                <w:szCs w:val="16"/>
              </w:rPr>
            </w:pPr>
            <w:r w:rsidRPr="00DE096C">
              <w:rPr>
                <w:bCs/>
                <w:color w:val="002060"/>
                <w:sz w:val="16"/>
                <w:szCs w:val="16"/>
              </w:rPr>
              <w:t xml:space="preserve">— </w:t>
            </w:r>
          </w:p>
        </w:tc>
        <w:tc>
          <w:tcPr>
            <w:tcW w:w="1062" w:type="dxa"/>
          </w:tcPr>
          <w:p w14:paraId="3D4E9CC0" w14:textId="77777777" w:rsidR="00F2759D" w:rsidRPr="00DE096C" w:rsidRDefault="00F2759D" w:rsidP="00D45A46">
            <w:pPr>
              <w:jc w:val="both"/>
              <w:rPr>
                <w:bCs/>
                <w:color w:val="002060"/>
                <w:sz w:val="16"/>
                <w:szCs w:val="16"/>
              </w:rPr>
            </w:pPr>
            <w:r w:rsidRPr="00DE096C">
              <w:rPr>
                <w:bCs/>
                <w:color w:val="002060"/>
                <w:sz w:val="16"/>
                <w:szCs w:val="16"/>
              </w:rPr>
              <w:t xml:space="preserve">1728 </w:t>
            </w:r>
          </w:p>
        </w:tc>
        <w:tc>
          <w:tcPr>
            <w:tcW w:w="1062" w:type="dxa"/>
          </w:tcPr>
          <w:p w14:paraId="0BE055C8" w14:textId="77777777" w:rsidR="00F2759D" w:rsidRPr="00DE096C" w:rsidRDefault="00F2759D" w:rsidP="00D45A46">
            <w:pPr>
              <w:jc w:val="both"/>
              <w:rPr>
                <w:bCs/>
                <w:color w:val="002060"/>
                <w:sz w:val="16"/>
                <w:szCs w:val="16"/>
              </w:rPr>
            </w:pPr>
            <w:r w:rsidRPr="00DE096C">
              <w:rPr>
                <w:bCs/>
                <w:color w:val="002060"/>
                <w:sz w:val="16"/>
                <w:szCs w:val="16"/>
              </w:rPr>
              <w:t xml:space="preserve">2592 </w:t>
            </w:r>
          </w:p>
        </w:tc>
      </w:tr>
      <w:tr w:rsidR="00F2759D" w:rsidRPr="00DE096C" w14:paraId="797F86F9" w14:textId="77777777" w:rsidTr="00D34AC1">
        <w:tc>
          <w:tcPr>
            <w:tcW w:w="893" w:type="dxa"/>
          </w:tcPr>
          <w:p w14:paraId="2ECFA290" w14:textId="77777777" w:rsidR="00F2759D" w:rsidRPr="00DE096C" w:rsidRDefault="00F2759D" w:rsidP="00D45A46">
            <w:pPr>
              <w:jc w:val="both"/>
              <w:rPr>
                <w:bCs/>
                <w:color w:val="002060"/>
                <w:sz w:val="16"/>
                <w:szCs w:val="16"/>
              </w:rPr>
            </w:pPr>
            <w:r w:rsidRPr="00DE096C">
              <w:rPr>
                <w:bCs/>
                <w:color w:val="002060"/>
                <w:sz w:val="16"/>
                <w:szCs w:val="16"/>
              </w:rPr>
              <w:t xml:space="preserve">Июль </w:t>
            </w:r>
          </w:p>
        </w:tc>
        <w:tc>
          <w:tcPr>
            <w:tcW w:w="728" w:type="dxa"/>
          </w:tcPr>
          <w:p w14:paraId="6E9C4920" w14:textId="77777777" w:rsidR="00F2759D" w:rsidRPr="00DE096C" w:rsidRDefault="00F2759D" w:rsidP="00D45A46">
            <w:pPr>
              <w:jc w:val="both"/>
              <w:rPr>
                <w:bCs/>
                <w:color w:val="002060"/>
                <w:sz w:val="16"/>
                <w:szCs w:val="16"/>
              </w:rPr>
            </w:pPr>
            <w:r w:rsidRPr="00DE096C">
              <w:rPr>
                <w:bCs/>
                <w:color w:val="002060"/>
                <w:sz w:val="16"/>
                <w:szCs w:val="16"/>
              </w:rPr>
              <w:t xml:space="preserve">129 </w:t>
            </w:r>
          </w:p>
        </w:tc>
        <w:tc>
          <w:tcPr>
            <w:tcW w:w="728" w:type="dxa"/>
          </w:tcPr>
          <w:p w14:paraId="7CAE3028" w14:textId="77777777" w:rsidR="00F2759D" w:rsidRPr="00DE096C" w:rsidRDefault="00F2759D" w:rsidP="00D45A46">
            <w:pPr>
              <w:jc w:val="both"/>
              <w:rPr>
                <w:bCs/>
                <w:color w:val="002060"/>
                <w:sz w:val="16"/>
                <w:szCs w:val="16"/>
              </w:rPr>
            </w:pPr>
            <w:r w:rsidRPr="00DE096C">
              <w:rPr>
                <w:bCs/>
                <w:color w:val="002060"/>
                <w:sz w:val="16"/>
                <w:szCs w:val="16"/>
              </w:rPr>
              <w:t xml:space="preserve">202 </w:t>
            </w:r>
          </w:p>
        </w:tc>
        <w:tc>
          <w:tcPr>
            <w:tcW w:w="728" w:type="dxa"/>
          </w:tcPr>
          <w:p w14:paraId="417A5F26" w14:textId="77777777" w:rsidR="00F2759D" w:rsidRPr="00DE096C" w:rsidRDefault="00F2759D" w:rsidP="00D45A46">
            <w:pPr>
              <w:jc w:val="both"/>
              <w:rPr>
                <w:bCs/>
                <w:color w:val="002060"/>
                <w:sz w:val="16"/>
                <w:szCs w:val="16"/>
              </w:rPr>
            </w:pPr>
            <w:r w:rsidRPr="00DE096C">
              <w:rPr>
                <w:bCs/>
                <w:color w:val="002060"/>
                <w:sz w:val="16"/>
                <w:szCs w:val="16"/>
              </w:rPr>
              <w:t xml:space="preserve">299 </w:t>
            </w:r>
          </w:p>
        </w:tc>
        <w:tc>
          <w:tcPr>
            <w:tcW w:w="1031" w:type="dxa"/>
          </w:tcPr>
          <w:p w14:paraId="0EA10EF2" w14:textId="77777777" w:rsidR="00F2759D" w:rsidRPr="00DE096C" w:rsidRDefault="00F2759D" w:rsidP="00D45A46">
            <w:pPr>
              <w:jc w:val="both"/>
              <w:rPr>
                <w:bCs/>
                <w:color w:val="002060"/>
                <w:sz w:val="16"/>
                <w:szCs w:val="16"/>
              </w:rPr>
            </w:pPr>
            <w:r w:rsidRPr="00DE096C">
              <w:rPr>
                <w:bCs/>
                <w:color w:val="002060"/>
                <w:sz w:val="16"/>
                <w:szCs w:val="16"/>
              </w:rPr>
              <w:t xml:space="preserve">1162 </w:t>
            </w:r>
          </w:p>
        </w:tc>
        <w:tc>
          <w:tcPr>
            <w:tcW w:w="1031" w:type="dxa"/>
          </w:tcPr>
          <w:p w14:paraId="53C72118" w14:textId="77777777" w:rsidR="00F2759D" w:rsidRPr="00DE096C" w:rsidRDefault="00F2759D" w:rsidP="00D45A46">
            <w:pPr>
              <w:jc w:val="both"/>
              <w:rPr>
                <w:bCs/>
                <w:color w:val="002060"/>
                <w:sz w:val="16"/>
                <w:szCs w:val="16"/>
              </w:rPr>
            </w:pPr>
            <w:r w:rsidRPr="00DE096C">
              <w:rPr>
                <w:bCs/>
                <w:color w:val="002060"/>
                <w:sz w:val="16"/>
                <w:szCs w:val="16"/>
              </w:rPr>
              <w:t xml:space="preserve">1841 </w:t>
            </w:r>
          </w:p>
        </w:tc>
        <w:tc>
          <w:tcPr>
            <w:tcW w:w="1031" w:type="dxa"/>
          </w:tcPr>
          <w:p w14:paraId="194D84FD" w14:textId="77777777" w:rsidR="00F2759D" w:rsidRPr="00DE096C" w:rsidRDefault="00F2759D" w:rsidP="00D45A46">
            <w:pPr>
              <w:jc w:val="both"/>
              <w:rPr>
                <w:bCs/>
                <w:color w:val="002060"/>
                <w:sz w:val="16"/>
                <w:szCs w:val="16"/>
              </w:rPr>
            </w:pPr>
            <w:r w:rsidRPr="00DE096C">
              <w:rPr>
                <w:bCs/>
                <w:color w:val="002060"/>
                <w:sz w:val="16"/>
                <w:szCs w:val="16"/>
              </w:rPr>
              <w:t xml:space="preserve">1347 </w:t>
            </w:r>
          </w:p>
        </w:tc>
        <w:tc>
          <w:tcPr>
            <w:tcW w:w="1062" w:type="dxa"/>
          </w:tcPr>
          <w:p w14:paraId="4DF3ADA2" w14:textId="77777777" w:rsidR="00F2759D" w:rsidRPr="00DE096C" w:rsidRDefault="00F2759D" w:rsidP="00D45A46">
            <w:pPr>
              <w:jc w:val="both"/>
              <w:rPr>
                <w:bCs/>
                <w:color w:val="002060"/>
                <w:sz w:val="16"/>
                <w:szCs w:val="16"/>
              </w:rPr>
            </w:pPr>
            <w:r w:rsidRPr="00DE096C">
              <w:rPr>
                <w:bCs/>
                <w:color w:val="002060"/>
                <w:sz w:val="16"/>
                <w:szCs w:val="16"/>
              </w:rPr>
              <w:t xml:space="preserve">1151 </w:t>
            </w:r>
          </w:p>
        </w:tc>
        <w:tc>
          <w:tcPr>
            <w:tcW w:w="1062" w:type="dxa"/>
          </w:tcPr>
          <w:p w14:paraId="185903E2" w14:textId="77777777" w:rsidR="00F2759D" w:rsidRPr="00DE096C" w:rsidRDefault="00F2759D" w:rsidP="00D45A46">
            <w:pPr>
              <w:jc w:val="both"/>
              <w:rPr>
                <w:bCs/>
                <w:color w:val="002060"/>
                <w:sz w:val="16"/>
                <w:szCs w:val="16"/>
              </w:rPr>
            </w:pPr>
            <w:r w:rsidRPr="00DE096C">
              <w:rPr>
                <w:bCs/>
                <w:color w:val="002060"/>
                <w:sz w:val="16"/>
                <w:szCs w:val="16"/>
              </w:rPr>
              <w:t xml:space="preserve">2150 </w:t>
            </w:r>
          </w:p>
        </w:tc>
        <w:tc>
          <w:tcPr>
            <w:tcW w:w="1062" w:type="dxa"/>
          </w:tcPr>
          <w:p w14:paraId="29F6BB63" w14:textId="77777777" w:rsidR="00F2759D" w:rsidRPr="00DE096C" w:rsidRDefault="00F2759D" w:rsidP="00D45A46">
            <w:pPr>
              <w:jc w:val="both"/>
              <w:rPr>
                <w:bCs/>
                <w:color w:val="002060"/>
                <w:sz w:val="16"/>
                <w:szCs w:val="16"/>
              </w:rPr>
            </w:pPr>
            <w:r w:rsidRPr="00DE096C">
              <w:rPr>
                <w:bCs/>
                <w:color w:val="002060"/>
                <w:sz w:val="16"/>
                <w:szCs w:val="16"/>
              </w:rPr>
              <w:t xml:space="preserve">2440 </w:t>
            </w:r>
          </w:p>
        </w:tc>
      </w:tr>
      <w:tr w:rsidR="00F2759D" w:rsidRPr="00DE096C" w14:paraId="58B68DE4" w14:textId="77777777" w:rsidTr="00D34AC1">
        <w:tc>
          <w:tcPr>
            <w:tcW w:w="893" w:type="dxa"/>
          </w:tcPr>
          <w:p w14:paraId="2C69FFA3" w14:textId="77777777" w:rsidR="00F2759D" w:rsidRPr="00DE096C" w:rsidRDefault="00F2759D" w:rsidP="00D45A46">
            <w:pPr>
              <w:jc w:val="both"/>
              <w:rPr>
                <w:bCs/>
                <w:color w:val="002060"/>
                <w:sz w:val="16"/>
                <w:szCs w:val="16"/>
              </w:rPr>
            </w:pPr>
            <w:r w:rsidRPr="00DE096C">
              <w:rPr>
                <w:bCs/>
                <w:color w:val="002060"/>
                <w:sz w:val="16"/>
                <w:szCs w:val="16"/>
              </w:rPr>
              <w:t xml:space="preserve">Август </w:t>
            </w:r>
          </w:p>
        </w:tc>
        <w:tc>
          <w:tcPr>
            <w:tcW w:w="728" w:type="dxa"/>
          </w:tcPr>
          <w:p w14:paraId="7980C962" w14:textId="77777777" w:rsidR="00F2759D" w:rsidRPr="00DE096C" w:rsidRDefault="00F2759D" w:rsidP="00D45A46">
            <w:pPr>
              <w:jc w:val="both"/>
              <w:rPr>
                <w:bCs/>
                <w:color w:val="002060"/>
                <w:sz w:val="16"/>
                <w:szCs w:val="16"/>
              </w:rPr>
            </w:pPr>
            <w:r w:rsidRPr="00DE096C">
              <w:rPr>
                <w:bCs/>
                <w:color w:val="002060"/>
                <w:sz w:val="16"/>
                <w:szCs w:val="16"/>
              </w:rPr>
              <w:t xml:space="preserve">— </w:t>
            </w:r>
          </w:p>
        </w:tc>
        <w:tc>
          <w:tcPr>
            <w:tcW w:w="728" w:type="dxa"/>
          </w:tcPr>
          <w:p w14:paraId="5CBAA524" w14:textId="77777777" w:rsidR="00F2759D" w:rsidRPr="00DE096C" w:rsidRDefault="00F2759D" w:rsidP="00D45A46">
            <w:pPr>
              <w:jc w:val="both"/>
              <w:rPr>
                <w:bCs/>
                <w:color w:val="002060"/>
                <w:sz w:val="16"/>
                <w:szCs w:val="16"/>
              </w:rPr>
            </w:pPr>
            <w:r w:rsidRPr="00DE096C">
              <w:rPr>
                <w:bCs/>
                <w:color w:val="002060"/>
                <w:sz w:val="16"/>
                <w:szCs w:val="16"/>
              </w:rPr>
              <w:t xml:space="preserve">192 </w:t>
            </w:r>
          </w:p>
        </w:tc>
        <w:tc>
          <w:tcPr>
            <w:tcW w:w="728" w:type="dxa"/>
          </w:tcPr>
          <w:p w14:paraId="7F5E4FAF" w14:textId="77777777" w:rsidR="00F2759D" w:rsidRPr="00DE096C" w:rsidRDefault="00F2759D" w:rsidP="00D45A46">
            <w:pPr>
              <w:jc w:val="both"/>
              <w:rPr>
                <w:bCs/>
                <w:color w:val="002060"/>
                <w:sz w:val="16"/>
                <w:szCs w:val="16"/>
              </w:rPr>
            </w:pPr>
            <w:r w:rsidRPr="00DE096C">
              <w:rPr>
                <w:bCs/>
                <w:color w:val="002060"/>
                <w:sz w:val="16"/>
                <w:szCs w:val="16"/>
              </w:rPr>
              <w:t xml:space="preserve">369 </w:t>
            </w:r>
          </w:p>
        </w:tc>
        <w:tc>
          <w:tcPr>
            <w:tcW w:w="1031" w:type="dxa"/>
          </w:tcPr>
          <w:p w14:paraId="6023E535" w14:textId="77777777" w:rsidR="00F2759D" w:rsidRPr="00DE096C" w:rsidRDefault="00F2759D" w:rsidP="00D45A46">
            <w:pPr>
              <w:jc w:val="both"/>
              <w:rPr>
                <w:bCs/>
                <w:color w:val="002060"/>
                <w:sz w:val="16"/>
                <w:szCs w:val="16"/>
              </w:rPr>
            </w:pPr>
            <w:r w:rsidRPr="00DE096C">
              <w:rPr>
                <w:bCs/>
                <w:color w:val="002060"/>
                <w:sz w:val="16"/>
                <w:szCs w:val="16"/>
              </w:rPr>
              <w:t xml:space="preserve">— </w:t>
            </w:r>
          </w:p>
        </w:tc>
        <w:tc>
          <w:tcPr>
            <w:tcW w:w="1031" w:type="dxa"/>
          </w:tcPr>
          <w:p w14:paraId="5C1D0D2D" w14:textId="77777777" w:rsidR="00F2759D" w:rsidRPr="00DE096C" w:rsidRDefault="00F2759D" w:rsidP="00D45A46">
            <w:pPr>
              <w:jc w:val="both"/>
              <w:rPr>
                <w:bCs/>
                <w:color w:val="002060"/>
                <w:sz w:val="16"/>
                <w:szCs w:val="16"/>
              </w:rPr>
            </w:pPr>
            <w:r w:rsidRPr="00DE096C">
              <w:rPr>
                <w:bCs/>
                <w:color w:val="002060"/>
                <w:sz w:val="16"/>
                <w:szCs w:val="16"/>
              </w:rPr>
              <w:t xml:space="preserve">1597 </w:t>
            </w:r>
          </w:p>
        </w:tc>
        <w:tc>
          <w:tcPr>
            <w:tcW w:w="1031" w:type="dxa"/>
          </w:tcPr>
          <w:p w14:paraId="618F58E7" w14:textId="77777777" w:rsidR="00F2759D" w:rsidRPr="00DE096C" w:rsidRDefault="00F2759D" w:rsidP="00D45A46">
            <w:pPr>
              <w:jc w:val="both"/>
              <w:rPr>
                <w:bCs/>
                <w:color w:val="002060"/>
                <w:sz w:val="16"/>
                <w:szCs w:val="16"/>
              </w:rPr>
            </w:pPr>
            <w:r w:rsidRPr="00DE096C">
              <w:rPr>
                <w:bCs/>
                <w:color w:val="002060"/>
                <w:sz w:val="16"/>
                <w:szCs w:val="16"/>
              </w:rPr>
              <w:t xml:space="preserve">2116 </w:t>
            </w:r>
          </w:p>
        </w:tc>
        <w:tc>
          <w:tcPr>
            <w:tcW w:w="1062" w:type="dxa"/>
          </w:tcPr>
          <w:p w14:paraId="535282CA" w14:textId="77777777" w:rsidR="00F2759D" w:rsidRPr="00DE096C" w:rsidRDefault="00F2759D" w:rsidP="00D45A46">
            <w:pPr>
              <w:jc w:val="both"/>
              <w:rPr>
                <w:bCs/>
                <w:color w:val="002060"/>
                <w:sz w:val="16"/>
                <w:szCs w:val="16"/>
              </w:rPr>
            </w:pPr>
            <w:r w:rsidRPr="00DE096C">
              <w:rPr>
                <w:bCs/>
                <w:color w:val="002060"/>
                <w:sz w:val="16"/>
                <w:szCs w:val="16"/>
              </w:rPr>
              <w:t xml:space="preserve">— </w:t>
            </w:r>
          </w:p>
        </w:tc>
        <w:tc>
          <w:tcPr>
            <w:tcW w:w="1062" w:type="dxa"/>
          </w:tcPr>
          <w:p w14:paraId="1F70564D" w14:textId="77777777" w:rsidR="00F2759D" w:rsidRPr="00DE096C" w:rsidRDefault="00F2759D" w:rsidP="00D45A46">
            <w:pPr>
              <w:jc w:val="both"/>
              <w:rPr>
                <w:bCs/>
                <w:color w:val="002060"/>
                <w:sz w:val="16"/>
                <w:szCs w:val="16"/>
              </w:rPr>
            </w:pPr>
            <w:r w:rsidRPr="00DE096C">
              <w:rPr>
                <w:bCs/>
                <w:color w:val="002060"/>
                <w:sz w:val="16"/>
                <w:szCs w:val="16"/>
              </w:rPr>
              <w:t xml:space="preserve">1672 </w:t>
            </w:r>
          </w:p>
        </w:tc>
        <w:tc>
          <w:tcPr>
            <w:tcW w:w="1062" w:type="dxa"/>
          </w:tcPr>
          <w:p w14:paraId="33AB966C" w14:textId="77777777" w:rsidR="00F2759D" w:rsidRPr="00DE096C" w:rsidRDefault="00F2759D" w:rsidP="00D45A46">
            <w:pPr>
              <w:jc w:val="both"/>
              <w:rPr>
                <w:bCs/>
                <w:color w:val="002060"/>
                <w:sz w:val="16"/>
                <w:szCs w:val="16"/>
              </w:rPr>
            </w:pPr>
            <w:r w:rsidRPr="00DE096C">
              <w:rPr>
                <w:bCs/>
                <w:color w:val="002060"/>
                <w:sz w:val="16"/>
                <w:szCs w:val="16"/>
              </w:rPr>
              <w:t xml:space="preserve">3444 </w:t>
            </w:r>
          </w:p>
        </w:tc>
      </w:tr>
      <w:tr w:rsidR="00F2759D" w:rsidRPr="00DE096C" w14:paraId="756A39F7" w14:textId="77777777" w:rsidTr="00D34AC1">
        <w:tc>
          <w:tcPr>
            <w:tcW w:w="893" w:type="dxa"/>
          </w:tcPr>
          <w:p w14:paraId="6E6E49CE" w14:textId="77777777" w:rsidR="00F2759D" w:rsidRPr="00DE096C" w:rsidRDefault="00F2759D" w:rsidP="00D45A46">
            <w:pPr>
              <w:jc w:val="both"/>
              <w:rPr>
                <w:bCs/>
                <w:color w:val="002060"/>
                <w:sz w:val="16"/>
                <w:szCs w:val="16"/>
              </w:rPr>
            </w:pPr>
            <w:r w:rsidRPr="00DE096C">
              <w:rPr>
                <w:bCs/>
                <w:color w:val="002060"/>
                <w:sz w:val="16"/>
                <w:szCs w:val="16"/>
              </w:rPr>
              <w:t xml:space="preserve">Сентябрь </w:t>
            </w:r>
          </w:p>
        </w:tc>
        <w:tc>
          <w:tcPr>
            <w:tcW w:w="728" w:type="dxa"/>
          </w:tcPr>
          <w:p w14:paraId="181245D8" w14:textId="77777777" w:rsidR="00F2759D" w:rsidRPr="00DE096C" w:rsidRDefault="00F2759D" w:rsidP="00D45A46">
            <w:pPr>
              <w:jc w:val="both"/>
              <w:rPr>
                <w:bCs/>
                <w:color w:val="002060"/>
                <w:sz w:val="16"/>
                <w:szCs w:val="16"/>
              </w:rPr>
            </w:pPr>
            <w:r w:rsidRPr="00DE096C">
              <w:rPr>
                <w:bCs/>
                <w:color w:val="002060"/>
                <w:sz w:val="16"/>
                <w:szCs w:val="16"/>
              </w:rPr>
              <w:t xml:space="preserve">90 </w:t>
            </w:r>
          </w:p>
        </w:tc>
        <w:tc>
          <w:tcPr>
            <w:tcW w:w="728" w:type="dxa"/>
          </w:tcPr>
          <w:p w14:paraId="100E396D" w14:textId="77777777" w:rsidR="00F2759D" w:rsidRPr="00DE096C" w:rsidRDefault="00F2759D" w:rsidP="00D45A46">
            <w:pPr>
              <w:jc w:val="both"/>
              <w:rPr>
                <w:bCs/>
                <w:color w:val="002060"/>
                <w:sz w:val="16"/>
                <w:szCs w:val="16"/>
              </w:rPr>
            </w:pPr>
            <w:r w:rsidRPr="00DE096C">
              <w:rPr>
                <w:bCs/>
                <w:color w:val="002060"/>
                <w:sz w:val="16"/>
                <w:szCs w:val="16"/>
              </w:rPr>
              <w:t xml:space="preserve">189 </w:t>
            </w:r>
          </w:p>
        </w:tc>
        <w:tc>
          <w:tcPr>
            <w:tcW w:w="728" w:type="dxa"/>
          </w:tcPr>
          <w:p w14:paraId="0CBDC8CB" w14:textId="77777777" w:rsidR="00F2759D" w:rsidRPr="00DE096C" w:rsidRDefault="00F2759D" w:rsidP="00D45A46">
            <w:pPr>
              <w:jc w:val="both"/>
              <w:rPr>
                <w:bCs/>
                <w:color w:val="002060"/>
                <w:sz w:val="16"/>
                <w:szCs w:val="16"/>
              </w:rPr>
            </w:pPr>
            <w:r w:rsidRPr="00DE096C">
              <w:rPr>
                <w:bCs/>
                <w:color w:val="002060"/>
                <w:sz w:val="16"/>
                <w:szCs w:val="16"/>
              </w:rPr>
              <w:t xml:space="preserve">— </w:t>
            </w:r>
          </w:p>
        </w:tc>
        <w:tc>
          <w:tcPr>
            <w:tcW w:w="1031" w:type="dxa"/>
          </w:tcPr>
          <w:p w14:paraId="67CCBE14" w14:textId="77777777" w:rsidR="00F2759D" w:rsidRPr="00DE096C" w:rsidRDefault="00F2759D" w:rsidP="00D45A46">
            <w:pPr>
              <w:jc w:val="both"/>
              <w:rPr>
                <w:bCs/>
                <w:color w:val="002060"/>
                <w:sz w:val="16"/>
                <w:szCs w:val="16"/>
              </w:rPr>
            </w:pPr>
            <w:r w:rsidRPr="00DE096C">
              <w:rPr>
                <w:bCs/>
                <w:color w:val="002060"/>
                <w:sz w:val="16"/>
                <w:szCs w:val="16"/>
              </w:rPr>
              <w:t xml:space="preserve">369 </w:t>
            </w:r>
          </w:p>
        </w:tc>
        <w:tc>
          <w:tcPr>
            <w:tcW w:w="1031" w:type="dxa"/>
          </w:tcPr>
          <w:p w14:paraId="34A4F728" w14:textId="77777777" w:rsidR="00F2759D" w:rsidRPr="00DE096C" w:rsidRDefault="00F2759D" w:rsidP="00D45A46">
            <w:pPr>
              <w:jc w:val="both"/>
              <w:rPr>
                <w:bCs/>
                <w:color w:val="002060"/>
                <w:sz w:val="16"/>
                <w:szCs w:val="16"/>
              </w:rPr>
            </w:pPr>
            <w:r w:rsidRPr="00DE096C">
              <w:rPr>
                <w:bCs/>
                <w:color w:val="002060"/>
                <w:sz w:val="16"/>
                <w:szCs w:val="16"/>
              </w:rPr>
              <w:t xml:space="preserve">1231 </w:t>
            </w:r>
          </w:p>
        </w:tc>
        <w:tc>
          <w:tcPr>
            <w:tcW w:w="1031" w:type="dxa"/>
          </w:tcPr>
          <w:p w14:paraId="37AA96F8" w14:textId="77777777" w:rsidR="00F2759D" w:rsidRPr="00DE096C" w:rsidRDefault="00F2759D" w:rsidP="00D45A46">
            <w:pPr>
              <w:jc w:val="both"/>
              <w:rPr>
                <w:bCs/>
                <w:color w:val="002060"/>
                <w:sz w:val="16"/>
                <w:szCs w:val="16"/>
              </w:rPr>
            </w:pPr>
            <w:r w:rsidRPr="00DE096C">
              <w:rPr>
                <w:bCs/>
                <w:color w:val="002060"/>
                <w:sz w:val="16"/>
                <w:szCs w:val="16"/>
              </w:rPr>
              <w:t xml:space="preserve">— </w:t>
            </w:r>
          </w:p>
        </w:tc>
        <w:tc>
          <w:tcPr>
            <w:tcW w:w="1062" w:type="dxa"/>
          </w:tcPr>
          <w:p w14:paraId="266E6EFA" w14:textId="77777777" w:rsidR="00F2759D" w:rsidRPr="00DE096C" w:rsidRDefault="00F2759D" w:rsidP="00D45A46">
            <w:pPr>
              <w:jc w:val="both"/>
              <w:rPr>
                <w:bCs/>
                <w:color w:val="002060"/>
                <w:sz w:val="16"/>
                <w:szCs w:val="16"/>
              </w:rPr>
            </w:pPr>
            <w:r w:rsidRPr="00DE096C">
              <w:rPr>
                <w:bCs/>
                <w:color w:val="002060"/>
                <w:sz w:val="16"/>
                <w:szCs w:val="16"/>
              </w:rPr>
              <w:t xml:space="preserve">409 </w:t>
            </w:r>
          </w:p>
        </w:tc>
        <w:tc>
          <w:tcPr>
            <w:tcW w:w="1062" w:type="dxa"/>
          </w:tcPr>
          <w:p w14:paraId="75A44036" w14:textId="77777777" w:rsidR="00F2759D" w:rsidRPr="00DE096C" w:rsidRDefault="00F2759D" w:rsidP="00D45A46">
            <w:pPr>
              <w:jc w:val="both"/>
              <w:rPr>
                <w:bCs/>
                <w:color w:val="002060"/>
                <w:sz w:val="16"/>
                <w:szCs w:val="16"/>
              </w:rPr>
            </w:pPr>
            <w:r w:rsidRPr="00DE096C">
              <w:rPr>
                <w:bCs/>
                <w:color w:val="002060"/>
                <w:sz w:val="16"/>
                <w:szCs w:val="16"/>
              </w:rPr>
              <w:t xml:space="preserve">1762 </w:t>
            </w:r>
          </w:p>
        </w:tc>
        <w:tc>
          <w:tcPr>
            <w:tcW w:w="1062" w:type="dxa"/>
          </w:tcPr>
          <w:p w14:paraId="39405E30" w14:textId="77777777" w:rsidR="00F2759D" w:rsidRPr="00DE096C" w:rsidRDefault="00F2759D" w:rsidP="00D45A46">
            <w:pPr>
              <w:jc w:val="both"/>
              <w:rPr>
                <w:bCs/>
                <w:color w:val="002060"/>
                <w:sz w:val="16"/>
                <w:szCs w:val="16"/>
              </w:rPr>
            </w:pPr>
            <w:r w:rsidRPr="00DE096C">
              <w:rPr>
                <w:bCs/>
                <w:color w:val="002060"/>
                <w:sz w:val="16"/>
                <w:szCs w:val="16"/>
              </w:rPr>
              <w:t xml:space="preserve">— </w:t>
            </w:r>
          </w:p>
        </w:tc>
      </w:tr>
      <w:tr w:rsidR="00F2759D" w:rsidRPr="00DE096C" w14:paraId="267BD9C6" w14:textId="77777777" w:rsidTr="00D34AC1">
        <w:tc>
          <w:tcPr>
            <w:tcW w:w="893" w:type="dxa"/>
          </w:tcPr>
          <w:p w14:paraId="073EB378" w14:textId="77777777" w:rsidR="00F2759D" w:rsidRPr="00DE096C" w:rsidRDefault="00F2759D" w:rsidP="00D45A46">
            <w:pPr>
              <w:jc w:val="both"/>
              <w:rPr>
                <w:bCs/>
                <w:color w:val="002060"/>
                <w:sz w:val="16"/>
                <w:szCs w:val="16"/>
              </w:rPr>
            </w:pPr>
            <w:r w:rsidRPr="00DE096C">
              <w:rPr>
                <w:bCs/>
                <w:color w:val="002060"/>
                <w:sz w:val="16"/>
                <w:szCs w:val="16"/>
              </w:rPr>
              <w:t xml:space="preserve">Октябрь </w:t>
            </w:r>
          </w:p>
        </w:tc>
        <w:tc>
          <w:tcPr>
            <w:tcW w:w="728" w:type="dxa"/>
          </w:tcPr>
          <w:p w14:paraId="0B77A417" w14:textId="77777777" w:rsidR="00F2759D" w:rsidRPr="00DE096C" w:rsidRDefault="00F2759D" w:rsidP="00D45A46">
            <w:pPr>
              <w:jc w:val="both"/>
              <w:rPr>
                <w:bCs/>
                <w:color w:val="002060"/>
                <w:sz w:val="16"/>
                <w:szCs w:val="16"/>
              </w:rPr>
            </w:pPr>
            <w:r w:rsidRPr="00DE096C">
              <w:rPr>
                <w:bCs/>
                <w:color w:val="002060"/>
                <w:sz w:val="16"/>
                <w:szCs w:val="16"/>
              </w:rPr>
              <w:t xml:space="preserve">96 </w:t>
            </w:r>
          </w:p>
        </w:tc>
        <w:tc>
          <w:tcPr>
            <w:tcW w:w="728" w:type="dxa"/>
          </w:tcPr>
          <w:p w14:paraId="07DEC141" w14:textId="77777777" w:rsidR="00F2759D" w:rsidRPr="00DE096C" w:rsidRDefault="00F2759D" w:rsidP="00D45A46">
            <w:pPr>
              <w:jc w:val="both"/>
              <w:rPr>
                <w:bCs/>
                <w:color w:val="002060"/>
                <w:sz w:val="16"/>
                <w:szCs w:val="16"/>
              </w:rPr>
            </w:pPr>
            <w:r w:rsidRPr="00DE096C">
              <w:rPr>
                <w:bCs/>
                <w:color w:val="002060"/>
                <w:sz w:val="16"/>
                <w:szCs w:val="16"/>
              </w:rPr>
              <w:t xml:space="preserve">181 </w:t>
            </w:r>
          </w:p>
        </w:tc>
        <w:tc>
          <w:tcPr>
            <w:tcW w:w="728" w:type="dxa"/>
          </w:tcPr>
          <w:p w14:paraId="07A88540" w14:textId="77777777" w:rsidR="00F2759D" w:rsidRPr="00DE096C" w:rsidRDefault="00F2759D" w:rsidP="00D45A46">
            <w:pPr>
              <w:jc w:val="both"/>
              <w:rPr>
                <w:bCs/>
                <w:color w:val="002060"/>
                <w:sz w:val="16"/>
                <w:szCs w:val="16"/>
              </w:rPr>
            </w:pPr>
            <w:r w:rsidRPr="00DE096C">
              <w:rPr>
                <w:bCs/>
                <w:color w:val="002060"/>
                <w:sz w:val="16"/>
                <w:szCs w:val="16"/>
              </w:rPr>
              <w:t xml:space="preserve">— </w:t>
            </w:r>
          </w:p>
        </w:tc>
        <w:tc>
          <w:tcPr>
            <w:tcW w:w="1031" w:type="dxa"/>
          </w:tcPr>
          <w:p w14:paraId="670CA949" w14:textId="77777777" w:rsidR="00F2759D" w:rsidRPr="00DE096C" w:rsidRDefault="00F2759D" w:rsidP="00D45A46">
            <w:pPr>
              <w:jc w:val="both"/>
              <w:rPr>
                <w:bCs/>
                <w:color w:val="002060"/>
                <w:sz w:val="16"/>
                <w:szCs w:val="16"/>
              </w:rPr>
            </w:pPr>
            <w:r w:rsidRPr="00DE096C">
              <w:rPr>
                <w:bCs/>
                <w:color w:val="002060"/>
                <w:sz w:val="16"/>
                <w:szCs w:val="16"/>
              </w:rPr>
              <w:t xml:space="preserve">506 </w:t>
            </w:r>
          </w:p>
        </w:tc>
        <w:tc>
          <w:tcPr>
            <w:tcW w:w="1031" w:type="dxa"/>
          </w:tcPr>
          <w:p w14:paraId="6BC748D5" w14:textId="77777777" w:rsidR="00F2759D" w:rsidRPr="00DE096C" w:rsidRDefault="00F2759D" w:rsidP="00D45A46">
            <w:pPr>
              <w:jc w:val="both"/>
              <w:rPr>
                <w:bCs/>
                <w:color w:val="002060"/>
                <w:sz w:val="16"/>
                <w:szCs w:val="16"/>
              </w:rPr>
            </w:pPr>
            <w:r w:rsidRPr="00DE096C">
              <w:rPr>
                <w:bCs/>
                <w:color w:val="002060"/>
                <w:sz w:val="16"/>
                <w:szCs w:val="16"/>
              </w:rPr>
              <w:t xml:space="preserve">1040 </w:t>
            </w:r>
          </w:p>
        </w:tc>
        <w:tc>
          <w:tcPr>
            <w:tcW w:w="1031" w:type="dxa"/>
          </w:tcPr>
          <w:p w14:paraId="5742021F" w14:textId="77777777" w:rsidR="00F2759D" w:rsidRPr="00DE096C" w:rsidRDefault="00F2759D" w:rsidP="00D45A46">
            <w:pPr>
              <w:jc w:val="both"/>
              <w:rPr>
                <w:bCs/>
                <w:color w:val="002060"/>
                <w:sz w:val="16"/>
                <w:szCs w:val="16"/>
              </w:rPr>
            </w:pPr>
            <w:r w:rsidRPr="00DE096C">
              <w:rPr>
                <w:bCs/>
                <w:color w:val="002060"/>
                <w:sz w:val="16"/>
                <w:szCs w:val="16"/>
              </w:rPr>
              <w:t xml:space="preserve">— </w:t>
            </w:r>
          </w:p>
        </w:tc>
        <w:tc>
          <w:tcPr>
            <w:tcW w:w="1062" w:type="dxa"/>
          </w:tcPr>
          <w:p w14:paraId="1A584B16" w14:textId="77777777" w:rsidR="00F2759D" w:rsidRPr="00DE096C" w:rsidRDefault="00F2759D" w:rsidP="00D45A46">
            <w:pPr>
              <w:jc w:val="both"/>
              <w:rPr>
                <w:bCs/>
                <w:color w:val="002060"/>
                <w:sz w:val="16"/>
                <w:szCs w:val="16"/>
              </w:rPr>
            </w:pPr>
            <w:r w:rsidRPr="00DE096C">
              <w:rPr>
                <w:bCs/>
                <w:color w:val="002060"/>
                <w:sz w:val="16"/>
                <w:szCs w:val="16"/>
              </w:rPr>
              <w:t xml:space="preserve">521 </w:t>
            </w:r>
          </w:p>
        </w:tc>
        <w:tc>
          <w:tcPr>
            <w:tcW w:w="1062" w:type="dxa"/>
          </w:tcPr>
          <w:p w14:paraId="48454D14" w14:textId="77777777" w:rsidR="00F2759D" w:rsidRPr="00DE096C" w:rsidRDefault="00F2759D" w:rsidP="00D45A46">
            <w:pPr>
              <w:jc w:val="both"/>
              <w:rPr>
                <w:bCs/>
                <w:color w:val="002060"/>
                <w:sz w:val="16"/>
                <w:szCs w:val="16"/>
              </w:rPr>
            </w:pPr>
            <w:r w:rsidRPr="00DE096C">
              <w:rPr>
                <w:bCs/>
                <w:color w:val="002060"/>
                <w:sz w:val="16"/>
                <w:szCs w:val="16"/>
              </w:rPr>
              <w:t xml:space="preserve">1377 </w:t>
            </w:r>
          </w:p>
        </w:tc>
        <w:tc>
          <w:tcPr>
            <w:tcW w:w="1062" w:type="dxa"/>
          </w:tcPr>
          <w:p w14:paraId="25AADA0D" w14:textId="77777777" w:rsidR="00F2759D" w:rsidRPr="00DE096C" w:rsidRDefault="00F2759D" w:rsidP="00D45A46">
            <w:pPr>
              <w:jc w:val="both"/>
              <w:rPr>
                <w:bCs/>
                <w:color w:val="002060"/>
                <w:sz w:val="16"/>
                <w:szCs w:val="16"/>
              </w:rPr>
            </w:pPr>
            <w:r w:rsidRPr="00DE096C">
              <w:rPr>
                <w:bCs/>
                <w:color w:val="002060"/>
                <w:sz w:val="16"/>
                <w:szCs w:val="16"/>
              </w:rPr>
              <w:t xml:space="preserve">— </w:t>
            </w:r>
          </w:p>
        </w:tc>
      </w:tr>
      <w:tr w:rsidR="00F2759D" w:rsidRPr="00DE096C" w14:paraId="774662FA" w14:textId="77777777" w:rsidTr="00D34AC1">
        <w:tc>
          <w:tcPr>
            <w:tcW w:w="893" w:type="dxa"/>
          </w:tcPr>
          <w:p w14:paraId="785E4B7B" w14:textId="77777777" w:rsidR="00F2759D" w:rsidRPr="00DE096C" w:rsidRDefault="00F2759D" w:rsidP="00D45A46">
            <w:pPr>
              <w:jc w:val="both"/>
              <w:rPr>
                <w:bCs/>
                <w:color w:val="002060"/>
                <w:sz w:val="16"/>
                <w:szCs w:val="16"/>
              </w:rPr>
            </w:pPr>
            <w:r w:rsidRPr="00DE096C">
              <w:rPr>
                <w:bCs/>
                <w:color w:val="002060"/>
                <w:sz w:val="16"/>
                <w:szCs w:val="16"/>
              </w:rPr>
              <w:t xml:space="preserve">Ноябрь </w:t>
            </w:r>
          </w:p>
        </w:tc>
        <w:tc>
          <w:tcPr>
            <w:tcW w:w="728" w:type="dxa"/>
          </w:tcPr>
          <w:p w14:paraId="5482A39F" w14:textId="77777777" w:rsidR="00F2759D" w:rsidRPr="00DE096C" w:rsidRDefault="00F2759D" w:rsidP="00D45A46">
            <w:pPr>
              <w:jc w:val="both"/>
              <w:rPr>
                <w:bCs/>
                <w:color w:val="002060"/>
                <w:sz w:val="16"/>
                <w:szCs w:val="16"/>
              </w:rPr>
            </w:pPr>
            <w:r w:rsidRPr="00DE096C">
              <w:rPr>
                <w:bCs/>
                <w:color w:val="002060"/>
                <w:sz w:val="16"/>
                <w:szCs w:val="16"/>
              </w:rPr>
              <w:t xml:space="preserve">117 </w:t>
            </w:r>
          </w:p>
        </w:tc>
        <w:tc>
          <w:tcPr>
            <w:tcW w:w="728" w:type="dxa"/>
          </w:tcPr>
          <w:p w14:paraId="32CBE101" w14:textId="77777777" w:rsidR="00F2759D" w:rsidRPr="00DE096C" w:rsidRDefault="00F2759D" w:rsidP="00D45A46">
            <w:pPr>
              <w:jc w:val="both"/>
              <w:rPr>
                <w:bCs/>
                <w:color w:val="002060"/>
                <w:sz w:val="16"/>
                <w:szCs w:val="16"/>
              </w:rPr>
            </w:pPr>
            <w:r w:rsidRPr="00DE096C">
              <w:rPr>
                <w:bCs/>
                <w:color w:val="002060"/>
                <w:sz w:val="16"/>
                <w:szCs w:val="16"/>
              </w:rPr>
              <w:t xml:space="preserve">176 </w:t>
            </w:r>
          </w:p>
        </w:tc>
        <w:tc>
          <w:tcPr>
            <w:tcW w:w="728" w:type="dxa"/>
          </w:tcPr>
          <w:p w14:paraId="5283BFD3" w14:textId="77777777" w:rsidR="00F2759D" w:rsidRPr="00DE096C" w:rsidRDefault="00F2759D" w:rsidP="00D45A46">
            <w:pPr>
              <w:jc w:val="both"/>
              <w:rPr>
                <w:bCs/>
                <w:color w:val="002060"/>
                <w:sz w:val="16"/>
                <w:szCs w:val="16"/>
              </w:rPr>
            </w:pPr>
            <w:r w:rsidRPr="00DE096C">
              <w:rPr>
                <w:bCs/>
                <w:color w:val="002060"/>
                <w:sz w:val="16"/>
                <w:szCs w:val="16"/>
              </w:rPr>
              <w:t xml:space="preserve">— </w:t>
            </w:r>
          </w:p>
        </w:tc>
        <w:tc>
          <w:tcPr>
            <w:tcW w:w="1031" w:type="dxa"/>
          </w:tcPr>
          <w:p w14:paraId="2362E10A" w14:textId="77777777" w:rsidR="00F2759D" w:rsidRPr="00DE096C" w:rsidRDefault="00F2759D" w:rsidP="00D45A46">
            <w:pPr>
              <w:jc w:val="both"/>
              <w:rPr>
                <w:bCs/>
                <w:color w:val="002060"/>
                <w:sz w:val="16"/>
                <w:szCs w:val="16"/>
              </w:rPr>
            </w:pPr>
            <w:r w:rsidRPr="00DE096C">
              <w:rPr>
                <w:bCs/>
                <w:color w:val="002060"/>
                <w:sz w:val="16"/>
                <w:szCs w:val="16"/>
              </w:rPr>
              <w:t xml:space="preserve">720 </w:t>
            </w:r>
          </w:p>
        </w:tc>
        <w:tc>
          <w:tcPr>
            <w:tcW w:w="1031" w:type="dxa"/>
          </w:tcPr>
          <w:p w14:paraId="235FF8E1" w14:textId="77777777" w:rsidR="00F2759D" w:rsidRPr="00DE096C" w:rsidRDefault="00F2759D" w:rsidP="00D45A46">
            <w:pPr>
              <w:jc w:val="both"/>
              <w:rPr>
                <w:bCs/>
                <w:color w:val="002060"/>
                <w:sz w:val="16"/>
                <w:szCs w:val="16"/>
              </w:rPr>
            </w:pPr>
            <w:r w:rsidRPr="00DE096C">
              <w:rPr>
                <w:bCs/>
                <w:color w:val="002060"/>
                <w:sz w:val="16"/>
                <w:szCs w:val="16"/>
              </w:rPr>
              <w:t xml:space="preserve">842 </w:t>
            </w:r>
          </w:p>
        </w:tc>
        <w:tc>
          <w:tcPr>
            <w:tcW w:w="1031" w:type="dxa"/>
          </w:tcPr>
          <w:p w14:paraId="33DB84B7" w14:textId="77777777" w:rsidR="00F2759D" w:rsidRPr="00DE096C" w:rsidRDefault="00F2759D" w:rsidP="00D45A46">
            <w:pPr>
              <w:jc w:val="both"/>
              <w:rPr>
                <w:bCs/>
                <w:color w:val="002060"/>
                <w:sz w:val="16"/>
                <w:szCs w:val="16"/>
              </w:rPr>
            </w:pPr>
            <w:r w:rsidRPr="00DE096C">
              <w:rPr>
                <w:bCs/>
                <w:color w:val="002060"/>
                <w:sz w:val="16"/>
                <w:szCs w:val="16"/>
              </w:rPr>
              <w:t xml:space="preserve">— </w:t>
            </w:r>
          </w:p>
        </w:tc>
        <w:tc>
          <w:tcPr>
            <w:tcW w:w="1062" w:type="dxa"/>
          </w:tcPr>
          <w:p w14:paraId="077F2412" w14:textId="77777777" w:rsidR="00F2759D" w:rsidRPr="00DE096C" w:rsidRDefault="00F2759D" w:rsidP="00D45A46">
            <w:pPr>
              <w:jc w:val="both"/>
              <w:rPr>
                <w:bCs/>
                <w:color w:val="002060"/>
                <w:sz w:val="16"/>
                <w:szCs w:val="16"/>
              </w:rPr>
            </w:pPr>
            <w:r w:rsidRPr="00DE096C">
              <w:rPr>
                <w:bCs/>
                <w:color w:val="002060"/>
                <w:sz w:val="16"/>
                <w:szCs w:val="16"/>
              </w:rPr>
              <w:t xml:space="preserve">695 </w:t>
            </w:r>
          </w:p>
        </w:tc>
        <w:tc>
          <w:tcPr>
            <w:tcW w:w="1062" w:type="dxa"/>
          </w:tcPr>
          <w:p w14:paraId="339773DF" w14:textId="77777777" w:rsidR="00F2759D" w:rsidRPr="00DE096C" w:rsidRDefault="00F2759D" w:rsidP="00D45A46">
            <w:pPr>
              <w:jc w:val="both"/>
              <w:rPr>
                <w:bCs/>
                <w:color w:val="002060"/>
                <w:sz w:val="16"/>
                <w:szCs w:val="16"/>
              </w:rPr>
            </w:pPr>
            <w:r w:rsidRPr="00DE096C">
              <w:rPr>
                <w:bCs/>
                <w:color w:val="002060"/>
                <w:sz w:val="16"/>
                <w:szCs w:val="16"/>
              </w:rPr>
              <w:t xml:space="preserve">975 </w:t>
            </w:r>
          </w:p>
        </w:tc>
        <w:tc>
          <w:tcPr>
            <w:tcW w:w="1062" w:type="dxa"/>
          </w:tcPr>
          <w:p w14:paraId="544507BB" w14:textId="77777777" w:rsidR="00F2759D" w:rsidRPr="00DE096C" w:rsidRDefault="00F2759D" w:rsidP="00D45A46">
            <w:pPr>
              <w:jc w:val="both"/>
              <w:rPr>
                <w:bCs/>
                <w:color w:val="002060"/>
                <w:sz w:val="16"/>
                <w:szCs w:val="16"/>
              </w:rPr>
            </w:pPr>
            <w:r w:rsidRPr="00DE096C">
              <w:rPr>
                <w:bCs/>
                <w:color w:val="002060"/>
                <w:sz w:val="16"/>
                <w:szCs w:val="16"/>
              </w:rPr>
              <w:t xml:space="preserve">— </w:t>
            </w:r>
          </w:p>
        </w:tc>
      </w:tr>
      <w:tr w:rsidR="00F2759D" w:rsidRPr="00DE096C" w14:paraId="45E9FB4B" w14:textId="77777777" w:rsidTr="00D34AC1">
        <w:tc>
          <w:tcPr>
            <w:tcW w:w="893" w:type="dxa"/>
          </w:tcPr>
          <w:p w14:paraId="62500D0D" w14:textId="77777777" w:rsidR="00F2759D" w:rsidRPr="00DE096C" w:rsidRDefault="00F2759D" w:rsidP="00D45A46">
            <w:pPr>
              <w:jc w:val="both"/>
              <w:rPr>
                <w:bCs/>
                <w:color w:val="002060"/>
                <w:sz w:val="16"/>
                <w:szCs w:val="16"/>
              </w:rPr>
            </w:pPr>
            <w:r w:rsidRPr="00DE096C">
              <w:rPr>
                <w:bCs/>
                <w:color w:val="002060"/>
                <w:sz w:val="16"/>
                <w:szCs w:val="16"/>
              </w:rPr>
              <w:t xml:space="preserve">Декабрь </w:t>
            </w:r>
          </w:p>
        </w:tc>
        <w:tc>
          <w:tcPr>
            <w:tcW w:w="728" w:type="dxa"/>
          </w:tcPr>
          <w:p w14:paraId="34118BDB" w14:textId="77777777" w:rsidR="00F2759D" w:rsidRPr="00DE096C" w:rsidRDefault="00F2759D" w:rsidP="00D45A46">
            <w:pPr>
              <w:jc w:val="both"/>
              <w:rPr>
                <w:bCs/>
                <w:color w:val="002060"/>
                <w:sz w:val="16"/>
                <w:szCs w:val="16"/>
              </w:rPr>
            </w:pPr>
            <w:r w:rsidRPr="00DE096C">
              <w:rPr>
                <w:bCs/>
                <w:color w:val="002060"/>
                <w:sz w:val="16"/>
                <w:szCs w:val="16"/>
              </w:rPr>
              <w:t xml:space="preserve">117 </w:t>
            </w:r>
          </w:p>
        </w:tc>
        <w:tc>
          <w:tcPr>
            <w:tcW w:w="728" w:type="dxa"/>
          </w:tcPr>
          <w:p w14:paraId="202F2C20" w14:textId="77777777" w:rsidR="00F2759D" w:rsidRPr="00DE096C" w:rsidRDefault="00F2759D" w:rsidP="00D45A46">
            <w:pPr>
              <w:jc w:val="both"/>
              <w:rPr>
                <w:bCs/>
                <w:color w:val="002060"/>
                <w:sz w:val="16"/>
                <w:szCs w:val="16"/>
              </w:rPr>
            </w:pPr>
            <w:r w:rsidRPr="00DE096C">
              <w:rPr>
                <w:bCs/>
                <w:color w:val="002060"/>
                <w:sz w:val="16"/>
                <w:szCs w:val="16"/>
              </w:rPr>
              <w:t xml:space="preserve">169 </w:t>
            </w:r>
          </w:p>
        </w:tc>
        <w:tc>
          <w:tcPr>
            <w:tcW w:w="728" w:type="dxa"/>
          </w:tcPr>
          <w:p w14:paraId="4CBC79C0" w14:textId="77777777" w:rsidR="00F2759D" w:rsidRPr="00DE096C" w:rsidRDefault="00F2759D" w:rsidP="00D45A46">
            <w:pPr>
              <w:jc w:val="both"/>
              <w:rPr>
                <w:bCs/>
                <w:color w:val="002060"/>
                <w:sz w:val="16"/>
                <w:szCs w:val="16"/>
              </w:rPr>
            </w:pPr>
            <w:r w:rsidRPr="00DE096C">
              <w:rPr>
                <w:bCs/>
                <w:color w:val="002060"/>
                <w:sz w:val="16"/>
                <w:szCs w:val="16"/>
              </w:rPr>
              <w:t xml:space="preserve">— </w:t>
            </w:r>
          </w:p>
        </w:tc>
        <w:tc>
          <w:tcPr>
            <w:tcW w:w="1031" w:type="dxa"/>
          </w:tcPr>
          <w:p w14:paraId="7597A871" w14:textId="77777777" w:rsidR="00F2759D" w:rsidRPr="00DE096C" w:rsidRDefault="00F2759D" w:rsidP="00D45A46">
            <w:pPr>
              <w:jc w:val="both"/>
              <w:rPr>
                <w:bCs/>
                <w:color w:val="002060"/>
                <w:sz w:val="16"/>
                <w:szCs w:val="16"/>
              </w:rPr>
            </w:pPr>
            <w:r w:rsidRPr="00DE096C">
              <w:rPr>
                <w:bCs/>
                <w:color w:val="002060"/>
                <w:sz w:val="16"/>
                <w:szCs w:val="16"/>
              </w:rPr>
              <w:t xml:space="preserve">472 </w:t>
            </w:r>
          </w:p>
        </w:tc>
        <w:tc>
          <w:tcPr>
            <w:tcW w:w="1031" w:type="dxa"/>
          </w:tcPr>
          <w:p w14:paraId="5625F441" w14:textId="77777777" w:rsidR="00F2759D" w:rsidRPr="00DE096C" w:rsidRDefault="00F2759D" w:rsidP="00D45A46">
            <w:pPr>
              <w:jc w:val="both"/>
              <w:rPr>
                <w:bCs/>
                <w:color w:val="002060"/>
                <w:sz w:val="16"/>
                <w:szCs w:val="16"/>
              </w:rPr>
            </w:pPr>
            <w:r w:rsidRPr="00DE096C">
              <w:rPr>
                <w:bCs/>
                <w:color w:val="002060"/>
                <w:sz w:val="16"/>
                <w:szCs w:val="16"/>
              </w:rPr>
              <w:t xml:space="preserve">732 </w:t>
            </w:r>
          </w:p>
        </w:tc>
        <w:tc>
          <w:tcPr>
            <w:tcW w:w="1031" w:type="dxa"/>
          </w:tcPr>
          <w:p w14:paraId="09184F89" w14:textId="77777777" w:rsidR="00F2759D" w:rsidRPr="00DE096C" w:rsidRDefault="00F2759D" w:rsidP="00D45A46">
            <w:pPr>
              <w:jc w:val="both"/>
              <w:rPr>
                <w:bCs/>
                <w:color w:val="002060"/>
                <w:sz w:val="16"/>
                <w:szCs w:val="16"/>
              </w:rPr>
            </w:pPr>
            <w:r w:rsidRPr="00DE096C">
              <w:rPr>
                <w:bCs/>
                <w:color w:val="002060"/>
                <w:sz w:val="16"/>
                <w:szCs w:val="16"/>
              </w:rPr>
              <w:t xml:space="preserve">— </w:t>
            </w:r>
          </w:p>
        </w:tc>
        <w:tc>
          <w:tcPr>
            <w:tcW w:w="1062" w:type="dxa"/>
          </w:tcPr>
          <w:p w14:paraId="04B00028" w14:textId="77777777" w:rsidR="00F2759D" w:rsidRPr="00DE096C" w:rsidRDefault="00F2759D" w:rsidP="00D45A46">
            <w:pPr>
              <w:jc w:val="both"/>
              <w:rPr>
                <w:bCs/>
                <w:color w:val="002060"/>
                <w:sz w:val="16"/>
                <w:szCs w:val="16"/>
              </w:rPr>
            </w:pPr>
            <w:r w:rsidRPr="00DE096C">
              <w:rPr>
                <w:bCs/>
                <w:color w:val="002060"/>
                <w:sz w:val="16"/>
                <w:szCs w:val="16"/>
              </w:rPr>
              <w:t xml:space="preserve">412 </w:t>
            </w:r>
          </w:p>
        </w:tc>
        <w:tc>
          <w:tcPr>
            <w:tcW w:w="1062" w:type="dxa"/>
          </w:tcPr>
          <w:p w14:paraId="6F02B9A6" w14:textId="77777777" w:rsidR="00F2759D" w:rsidRPr="00DE096C" w:rsidRDefault="00F2759D" w:rsidP="00D45A46">
            <w:pPr>
              <w:jc w:val="both"/>
              <w:rPr>
                <w:bCs/>
                <w:color w:val="002060"/>
                <w:sz w:val="16"/>
                <w:szCs w:val="16"/>
              </w:rPr>
            </w:pPr>
            <w:r w:rsidRPr="00DE096C">
              <w:rPr>
                <w:bCs/>
                <w:color w:val="002060"/>
                <w:sz w:val="16"/>
                <w:szCs w:val="16"/>
              </w:rPr>
              <w:t xml:space="preserve">873 </w:t>
            </w:r>
          </w:p>
        </w:tc>
        <w:tc>
          <w:tcPr>
            <w:tcW w:w="1062" w:type="dxa"/>
          </w:tcPr>
          <w:p w14:paraId="5698FB35" w14:textId="77777777" w:rsidR="00F2759D" w:rsidRPr="00DE096C" w:rsidRDefault="00F2759D" w:rsidP="00D45A46">
            <w:pPr>
              <w:jc w:val="both"/>
              <w:rPr>
                <w:bCs/>
                <w:color w:val="002060"/>
                <w:sz w:val="16"/>
                <w:szCs w:val="16"/>
              </w:rPr>
            </w:pPr>
            <w:r w:rsidRPr="00DE096C">
              <w:rPr>
                <w:bCs/>
                <w:color w:val="002060"/>
                <w:sz w:val="16"/>
                <w:szCs w:val="16"/>
              </w:rPr>
              <w:t xml:space="preserve">— </w:t>
            </w:r>
          </w:p>
        </w:tc>
      </w:tr>
      <w:tr w:rsidR="00F2759D" w:rsidRPr="00DE096C" w14:paraId="15D8160E" w14:textId="77777777" w:rsidTr="00D34AC1">
        <w:tc>
          <w:tcPr>
            <w:tcW w:w="893" w:type="dxa"/>
          </w:tcPr>
          <w:p w14:paraId="3C5A3A52" w14:textId="77777777" w:rsidR="00F2759D" w:rsidRPr="00DE096C" w:rsidRDefault="00F2759D" w:rsidP="00D45A46">
            <w:pPr>
              <w:jc w:val="both"/>
              <w:rPr>
                <w:bCs/>
                <w:color w:val="002060"/>
                <w:sz w:val="16"/>
                <w:szCs w:val="16"/>
              </w:rPr>
            </w:pPr>
            <w:r w:rsidRPr="00DE096C">
              <w:rPr>
                <w:bCs/>
                <w:color w:val="002060"/>
                <w:sz w:val="16"/>
                <w:szCs w:val="16"/>
              </w:rPr>
              <w:t xml:space="preserve">ИТОГО </w:t>
            </w:r>
          </w:p>
        </w:tc>
        <w:tc>
          <w:tcPr>
            <w:tcW w:w="728" w:type="dxa"/>
          </w:tcPr>
          <w:p w14:paraId="6C7C3FF7" w14:textId="77777777" w:rsidR="00F2759D" w:rsidRPr="00DE096C" w:rsidRDefault="00F2759D" w:rsidP="00D45A46">
            <w:pPr>
              <w:jc w:val="both"/>
              <w:rPr>
                <w:bCs/>
                <w:color w:val="002060"/>
                <w:sz w:val="16"/>
                <w:szCs w:val="16"/>
              </w:rPr>
            </w:pPr>
            <w:r w:rsidRPr="00DE096C">
              <w:rPr>
                <w:bCs/>
                <w:color w:val="002060"/>
                <w:sz w:val="16"/>
                <w:szCs w:val="16"/>
              </w:rPr>
              <w:t xml:space="preserve">549 </w:t>
            </w:r>
          </w:p>
        </w:tc>
        <w:tc>
          <w:tcPr>
            <w:tcW w:w="728" w:type="dxa"/>
          </w:tcPr>
          <w:p w14:paraId="75AEE14F" w14:textId="77777777" w:rsidR="00F2759D" w:rsidRPr="00DE096C" w:rsidRDefault="00F2759D" w:rsidP="00D45A46">
            <w:pPr>
              <w:jc w:val="both"/>
              <w:rPr>
                <w:bCs/>
                <w:color w:val="002060"/>
                <w:sz w:val="16"/>
                <w:szCs w:val="16"/>
              </w:rPr>
            </w:pPr>
            <w:r w:rsidRPr="00DE096C">
              <w:rPr>
                <w:bCs/>
                <w:color w:val="002060"/>
                <w:sz w:val="16"/>
                <w:szCs w:val="16"/>
              </w:rPr>
              <w:t xml:space="preserve">2173 </w:t>
            </w:r>
          </w:p>
        </w:tc>
        <w:tc>
          <w:tcPr>
            <w:tcW w:w="728" w:type="dxa"/>
          </w:tcPr>
          <w:p w14:paraId="51069A32" w14:textId="77777777" w:rsidR="00F2759D" w:rsidRPr="00DE096C" w:rsidRDefault="00F2759D" w:rsidP="00D45A46">
            <w:pPr>
              <w:jc w:val="both"/>
              <w:rPr>
                <w:bCs/>
                <w:color w:val="002060"/>
                <w:sz w:val="16"/>
                <w:szCs w:val="16"/>
              </w:rPr>
            </w:pPr>
            <w:r w:rsidRPr="00DE096C">
              <w:rPr>
                <w:bCs/>
                <w:color w:val="002060"/>
                <w:sz w:val="16"/>
                <w:szCs w:val="16"/>
              </w:rPr>
              <w:t xml:space="preserve">1982 </w:t>
            </w:r>
          </w:p>
        </w:tc>
        <w:tc>
          <w:tcPr>
            <w:tcW w:w="1031" w:type="dxa"/>
          </w:tcPr>
          <w:p w14:paraId="05564BCE" w14:textId="77777777" w:rsidR="00F2759D" w:rsidRPr="00DE096C" w:rsidRDefault="00F2759D" w:rsidP="00D45A46">
            <w:pPr>
              <w:jc w:val="both"/>
              <w:rPr>
                <w:bCs/>
                <w:color w:val="002060"/>
                <w:sz w:val="16"/>
                <w:szCs w:val="16"/>
              </w:rPr>
            </w:pPr>
            <w:r w:rsidRPr="00DE096C">
              <w:rPr>
                <w:bCs/>
                <w:color w:val="002060"/>
                <w:sz w:val="16"/>
                <w:szCs w:val="16"/>
              </w:rPr>
              <w:t xml:space="preserve">3229 </w:t>
            </w:r>
          </w:p>
        </w:tc>
        <w:tc>
          <w:tcPr>
            <w:tcW w:w="1031" w:type="dxa"/>
          </w:tcPr>
          <w:p w14:paraId="5AA6D6EE" w14:textId="77777777" w:rsidR="00F2759D" w:rsidRPr="00DE096C" w:rsidRDefault="00F2759D" w:rsidP="00D45A46">
            <w:pPr>
              <w:jc w:val="both"/>
              <w:rPr>
                <w:bCs/>
                <w:color w:val="002060"/>
                <w:sz w:val="16"/>
                <w:szCs w:val="16"/>
              </w:rPr>
            </w:pPr>
            <w:r w:rsidRPr="00DE096C">
              <w:rPr>
                <w:bCs/>
                <w:color w:val="002060"/>
                <w:sz w:val="16"/>
                <w:szCs w:val="16"/>
              </w:rPr>
              <w:t xml:space="preserve">14838 </w:t>
            </w:r>
          </w:p>
        </w:tc>
        <w:tc>
          <w:tcPr>
            <w:tcW w:w="1031" w:type="dxa"/>
          </w:tcPr>
          <w:p w14:paraId="4D905209" w14:textId="77777777" w:rsidR="00F2759D" w:rsidRPr="00DE096C" w:rsidRDefault="00F2759D" w:rsidP="00D45A46">
            <w:pPr>
              <w:jc w:val="both"/>
              <w:rPr>
                <w:bCs/>
                <w:color w:val="002060"/>
                <w:sz w:val="16"/>
                <w:szCs w:val="16"/>
              </w:rPr>
            </w:pPr>
            <w:r w:rsidRPr="00DE096C">
              <w:rPr>
                <w:bCs/>
                <w:color w:val="002060"/>
                <w:sz w:val="16"/>
                <w:szCs w:val="16"/>
              </w:rPr>
              <w:t xml:space="preserve">11 521 </w:t>
            </w:r>
          </w:p>
        </w:tc>
        <w:tc>
          <w:tcPr>
            <w:tcW w:w="1062" w:type="dxa"/>
          </w:tcPr>
          <w:p w14:paraId="34A7FA7D" w14:textId="77777777" w:rsidR="00F2759D" w:rsidRPr="00DE096C" w:rsidRDefault="00F2759D" w:rsidP="00D45A46">
            <w:pPr>
              <w:jc w:val="both"/>
              <w:rPr>
                <w:bCs/>
                <w:color w:val="002060"/>
                <w:sz w:val="16"/>
                <w:szCs w:val="16"/>
              </w:rPr>
            </w:pPr>
            <w:r w:rsidRPr="00DE096C">
              <w:rPr>
                <w:bCs/>
                <w:color w:val="002060"/>
                <w:sz w:val="16"/>
                <w:szCs w:val="16"/>
              </w:rPr>
              <w:t xml:space="preserve">3458 </w:t>
            </w:r>
          </w:p>
        </w:tc>
        <w:tc>
          <w:tcPr>
            <w:tcW w:w="1062" w:type="dxa"/>
          </w:tcPr>
          <w:p w14:paraId="2B41515F" w14:textId="77777777" w:rsidR="00F2759D" w:rsidRPr="00DE096C" w:rsidRDefault="00F2759D" w:rsidP="00D45A46">
            <w:pPr>
              <w:jc w:val="both"/>
              <w:rPr>
                <w:bCs/>
                <w:color w:val="002060"/>
                <w:sz w:val="16"/>
                <w:szCs w:val="16"/>
              </w:rPr>
            </w:pPr>
            <w:r w:rsidRPr="00DE096C">
              <w:rPr>
                <w:bCs/>
                <w:color w:val="002060"/>
                <w:sz w:val="16"/>
                <w:szCs w:val="16"/>
              </w:rPr>
              <w:t xml:space="preserve">17 165 </w:t>
            </w:r>
          </w:p>
        </w:tc>
        <w:tc>
          <w:tcPr>
            <w:tcW w:w="1062" w:type="dxa"/>
          </w:tcPr>
          <w:p w14:paraId="03DB79B0" w14:textId="77777777" w:rsidR="00F2759D" w:rsidRPr="00DE096C" w:rsidRDefault="00F2759D" w:rsidP="00D45A46">
            <w:pPr>
              <w:jc w:val="both"/>
              <w:rPr>
                <w:bCs/>
                <w:color w:val="002060"/>
                <w:sz w:val="16"/>
                <w:szCs w:val="16"/>
              </w:rPr>
            </w:pPr>
            <w:r w:rsidRPr="00DE096C">
              <w:rPr>
                <w:bCs/>
                <w:color w:val="002060"/>
                <w:sz w:val="16"/>
                <w:szCs w:val="16"/>
              </w:rPr>
              <w:t xml:space="preserve">20 315 </w:t>
            </w:r>
          </w:p>
        </w:tc>
      </w:tr>
      <w:tr w:rsidR="00F2759D" w:rsidRPr="00DE096C" w14:paraId="5749281C" w14:textId="77777777" w:rsidTr="00D34AC1">
        <w:tc>
          <w:tcPr>
            <w:tcW w:w="893" w:type="dxa"/>
          </w:tcPr>
          <w:p w14:paraId="1DD2C4A5" w14:textId="77777777" w:rsidR="00F2759D" w:rsidRPr="00DE096C" w:rsidRDefault="00F2759D" w:rsidP="00D45A46">
            <w:pPr>
              <w:jc w:val="both"/>
              <w:rPr>
                <w:bCs/>
                <w:color w:val="002060"/>
                <w:sz w:val="16"/>
                <w:szCs w:val="16"/>
              </w:rPr>
            </w:pPr>
            <w:r w:rsidRPr="00DE096C">
              <w:rPr>
                <w:bCs/>
                <w:color w:val="002060"/>
                <w:sz w:val="16"/>
                <w:szCs w:val="16"/>
              </w:rPr>
              <w:t xml:space="preserve">ВСЕГО </w:t>
            </w:r>
          </w:p>
        </w:tc>
        <w:tc>
          <w:tcPr>
            <w:tcW w:w="2184" w:type="dxa"/>
            <w:gridSpan w:val="3"/>
          </w:tcPr>
          <w:p w14:paraId="39CEB234" w14:textId="77777777" w:rsidR="00F2759D" w:rsidRPr="00DE096C" w:rsidRDefault="00F2759D" w:rsidP="00D45A46">
            <w:pPr>
              <w:jc w:val="both"/>
              <w:rPr>
                <w:bCs/>
                <w:color w:val="002060"/>
                <w:sz w:val="16"/>
                <w:szCs w:val="16"/>
              </w:rPr>
            </w:pPr>
            <w:r w:rsidRPr="00DE096C">
              <w:rPr>
                <w:bCs/>
                <w:color w:val="002060"/>
                <w:sz w:val="16"/>
                <w:szCs w:val="16"/>
              </w:rPr>
              <w:t xml:space="preserve">4704 </w:t>
            </w:r>
          </w:p>
        </w:tc>
        <w:tc>
          <w:tcPr>
            <w:tcW w:w="3093" w:type="dxa"/>
            <w:gridSpan w:val="3"/>
          </w:tcPr>
          <w:p w14:paraId="49973A93" w14:textId="77777777" w:rsidR="00F2759D" w:rsidRPr="00DE096C" w:rsidRDefault="00F2759D" w:rsidP="00D45A46">
            <w:pPr>
              <w:jc w:val="both"/>
              <w:rPr>
                <w:bCs/>
                <w:color w:val="002060"/>
                <w:sz w:val="16"/>
                <w:szCs w:val="16"/>
              </w:rPr>
            </w:pPr>
            <w:r w:rsidRPr="00DE096C">
              <w:rPr>
                <w:bCs/>
                <w:color w:val="002060"/>
                <w:sz w:val="16"/>
                <w:szCs w:val="16"/>
              </w:rPr>
              <w:t xml:space="preserve">29588 </w:t>
            </w:r>
          </w:p>
        </w:tc>
        <w:tc>
          <w:tcPr>
            <w:tcW w:w="3186" w:type="dxa"/>
            <w:gridSpan w:val="3"/>
          </w:tcPr>
          <w:p w14:paraId="49AEF065" w14:textId="77777777" w:rsidR="00F2759D" w:rsidRPr="00DE096C" w:rsidRDefault="00F2759D" w:rsidP="00D45A46">
            <w:pPr>
              <w:jc w:val="both"/>
              <w:rPr>
                <w:bCs/>
                <w:color w:val="002060"/>
                <w:sz w:val="16"/>
                <w:szCs w:val="16"/>
              </w:rPr>
            </w:pPr>
            <w:r w:rsidRPr="00DE096C">
              <w:rPr>
                <w:bCs/>
                <w:color w:val="002060"/>
                <w:sz w:val="16"/>
                <w:szCs w:val="16"/>
              </w:rPr>
              <w:t xml:space="preserve">40938 </w:t>
            </w:r>
          </w:p>
        </w:tc>
      </w:tr>
    </w:tbl>
    <w:p w14:paraId="2C9496B6" w14:textId="77777777" w:rsidR="00F2759D" w:rsidRPr="00DE096C" w:rsidRDefault="00F2759D" w:rsidP="00D45A46">
      <w:pPr>
        <w:jc w:val="both"/>
        <w:rPr>
          <w:bCs/>
          <w:color w:val="002060"/>
          <w:sz w:val="16"/>
          <w:szCs w:val="16"/>
        </w:rPr>
      </w:pPr>
      <w:r w:rsidRPr="00DE096C">
        <w:rPr>
          <w:bCs/>
          <w:color w:val="002060"/>
          <w:sz w:val="16"/>
          <w:szCs w:val="16"/>
        </w:rPr>
        <w:t>Приводимые в этой таблице цифры ярко показывают, насколько незначительной по своим размерам была работа авиации в Русской армии. Возьмем для примера месяц самой интенсивной работы. Это — август 1916 г., в течение которого совершено было 2116 полетов с общей продолжительностью 3444 часа. Это дает в среднем на один день августа 68 полетов с общей продолжительностью в 111 часов. Но в это время Русская Действующая армия состояла из 14 армий (№№ 1–12, Особая и Кавказская) с общим составом более 200 пехотных и 50 кавалерийских дивизий. Протяжение боевой линии, не принимая в расчет Кавказского фронта, превосходит 1000 километров. И для обслуживания таких колоссальных сухопутных сил авиация может производить в день лишь 68 полетов с общей продолжительностью в 111 часов. Чрезвычайная слабость наших воздушных сил отчетливо сознавалась во всех инстанциях русского командования. «Брусилов, Каледин, Сахаров, — записывает в июне месяце в своих воспоминаниях председатель Государственной думы М. В. Родзянко, — просили обратить самое серьезное внимание на авиацию. В то время как немцы летают над нами, как птицы, и забрасывают нас бомбами, мы бессильны с ними бороться...» Отлично сознавала это наша Ставка и потому внесла на Междусоюзническую конференцию, собравшуюся в январе 1917 г., просьбу о присылке Русской армии в ближайшие после 1 января 1917 г. восемнадцать месяцев 5200 самолетов (11292).</w:t>
      </w:r>
    </w:p>
    <w:p w14:paraId="5B66841B" w14:textId="77777777" w:rsidR="00F2759D" w:rsidRPr="00DE096C" w:rsidRDefault="00F2759D" w:rsidP="00D45A46">
      <w:pPr>
        <w:jc w:val="both"/>
        <w:rPr>
          <w:bCs/>
          <w:color w:val="002060"/>
          <w:sz w:val="16"/>
          <w:szCs w:val="16"/>
        </w:rPr>
      </w:pPr>
    </w:p>
    <w:p w14:paraId="06E6DE4C" w14:textId="77777777" w:rsidR="00F2759D" w:rsidRPr="00DE096C" w:rsidRDefault="00F2759D" w:rsidP="00D45A46">
      <w:pPr>
        <w:jc w:val="both"/>
        <w:rPr>
          <w:bCs/>
          <w:color w:val="002060"/>
          <w:sz w:val="16"/>
          <w:szCs w:val="16"/>
        </w:rPr>
      </w:pPr>
      <w:r w:rsidRPr="00DE096C">
        <w:rPr>
          <w:bCs/>
          <w:color w:val="002060"/>
          <w:sz w:val="16"/>
          <w:szCs w:val="16"/>
        </w:rPr>
        <w:t>К концу июля 1914 и началу войны на вооружение стали поступать самолета типа «Моран», «Вуазен» и др., имевшие скорость 100— ПО км/час (278).</w:t>
      </w:r>
    </w:p>
    <w:p w14:paraId="61EABEF5" w14:textId="77777777" w:rsidR="00F2759D" w:rsidRPr="00DE096C" w:rsidRDefault="00F2759D" w:rsidP="00D45A46">
      <w:pPr>
        <w:jc w:val="both"/>
        <w:rPr>
          <w:bCs/>
          <w:color w:val="002060"/>
          <w:sz w:val="16"/>
          <w:szCs w:val="16"/>
        </w:rPr>
      </w:pPr>
    </w:p>
    <w:p w14:paraId="05ACA36F" w14:textId="77777777" w:rsidR="00F2759D" w:rsidRPr="00DE096C" w:rsidRDefault="00F2759D" w:rsidP="00D45A46">
      <w:pPr>
        <w:jc w:val="both"/>
        <w:rPr>
          <w:bCs/>
          <w:color w:val="002060"/>
          <w:sz w:val="16"/>
          <w:szCs w:val="16"/>
        </w:rPr>
      </w:pPr>
      <w:r w:rsidRPr="00DE096C">
        <w:rPr>
          <w:bCs/>
          <w:color w:val="002060"/>
          <w:sz w:val="16"/>
          <w:szCs w:val="16"/>
        </w:rPr>
        <w:t>К концу июля 1914 и началу первой мировой войны Россия имела уже 263 самолета, предназначенных для использования в военных целях. Однако, эти самолеты еще не имели бортового вооружения, скорость их не превышала 120 км/ч, а потолок 4000 м. Они предназначались, главным образом, для ведения воздушной разведки, корректировки артиллерийского огня и решения задач по связи. Стремление поразить наземные цели ударами с воздуха обусловило создание специального самолета-бомбардировщика, а эффективная воздушная разведка и успешные бомбардировки вынудили воюющие стороны вести борьбу с самолетами-разведчиками и бомбардировщиками и создать для этих целей самолет-истребитель (11039).</w:t>
      </w:r>
    </w:p>
    <w:p w14:paraId="4B06986A" w14:textId="77777777" w:rsidR="00F2759D" w:rsidRPr="00DE096C" w:rsidRDefault="00F2759D" w:rsidP="00D45A46">
      <w:pPr>
        <w:jc w:val="both"/>
        <w:rPr>
          <w:bCs/>
          <w:color w:val="002060"/>
          <w:sz w:val="16"/>
          <w:szCs w:val="16"/>
        </w:rPr>
      </w:pPr>
      <w:r w:rsidRPr="00DE096C">
        <w:rPr>
          <w:bCs/>
          <w:color w:val="002060"/>
          <w:sz w:val="16"/>
          <w:szCs w:val="16"/>
        </w:rPr>
        <w:t>В результате таких установок Генерального штаба в русской армии к началу войны было всего 6 авиационных рот и 39 авиа</w:t>
      </w:r>
      <w:r w:rsidRPr="00DE096C">
        <w:rPr>
          <w:bCs/>
          <w:color w:val="002060"/>
          <w:sz w:val="16"/>
          <w:szCs w:val="16"/>
        </w:rPr>
        <w:softHyphen/>
        <w:t>ционных отрядов (11042,240).</w:t>
      </w:r>
    </w:p>
    <w:p w14:paraId="5711F219" w14:textId="77777777" w:rsidR="00F2759D" w:rsidRPr="00DE096C" w:rsidRDefault="00F2759D" w:rsidP="00D45A46">
      <w:pPr>
        <w:jc w:val="both"/>
        <w:rPr>
          <w:bCs/>
          <w:color w:val="002060"/>
          <w:sz w:val="16"/>
          <w:szCs w:val="16"/>
        </w:rPr>
      </w:pPr>
    </w:p>
    <w:p w14:paraId="66818FE2" w14:textId="77777777" w:rsidR="00F2759D" w:rsidRPr="00DE096C" w:rsidRDefault="00F2759D" w:rsidP="00D45A46">
      <w:pPr>
        <w:jc w:val="both"/>
        <w:rPr>
          <w:bCs/>
          <w:color w:val="002060"/>
          <w:sz w:val="16"/>
          <w:szCs w:val="16"/>
        </w:rPr>
      </w:pPr>
      <w:r w:rsidRPr="00DE096C">
        <w:rPr>
          <w:bCs/>
          <w:color w:val="002060"/>
          <w:sz w:val="16"/>
          <w:szCs w:val="16"/>
        </w:rPr>
        <w:t>К концу июля 1914 и началу первой мировой войны Россия имела 39 авиа</w:t>
      </w:r>
      <w:r w:rsidRPr="00DE096C">
        <w:rPr>
          <w:bCs/>
          <w:color w:val="002060"/>
          <w:sz w:val="16"/>
          <w:szCs w:val="16"/>
        </w:rPr>
        <w:softHyphen/>
        <w:t>ционных отрядов, из них 30 корпусных, 8 крепостных и 1 по</w:t>
      </w:r>
      <w:r w:rsidRPr="00DE096C">
        <w:rPr>
          <w:bCs/>
          <w:color w:val="002060"/>
          <w:sz w:val="16"/>
          <w:szCs w:val="16"/>
        </w:rPr>
        <w:softHyphen/>
        <w:t>левой (армейский). В авиационных отрядах насчитывалось 200 летчиков (ЦГВИА, ф. 369, оп. 8, д. 64, л. 1). Некомплект составлял 90 человек. Для обслу</w:t>
      </w:r>
      <w:r w:rsidRPr="00DE096C">
        <w:rPr>
          <w:bCs/>
          <w:color w:val="002060"/>
          <w:sz w:val="16"/>
          <w:szCs w:val="16"/>
        </w:rPr>
        <w:softHyphen/>
        <w:t>живания отрядов было сформировано 6 авиационных рот. Каж</w:t>
      </w:r>
      <w:r w:rsidRPr="00DE096C">
        <w:rPr>
          <w:bCs/>
          <w:color w:val="002060"/>
          <w:sz w:val="16"/>
          <w:szCs w:val="16"/>
        </w:rPr>
        <w:softHyphen/>
        <w:t>дая рота обслуживала 4—7 авиационных отрядов. В распоря</w:t>
      </w:r>
      <w:r w:rsidRPr="00DE096C">
        <w:rPr>
          <w:bCs/>
          <w:color w:val="002060"/>
          <w:sz w:val="16"/>
          <w:szCs w:val="16"/>
        </w:rPr>
        <w:softHyphen/>
        <w:t xml:space="preserve">жении военного ведомства находилось всего 263 самолета (ЦГВИА, ф. 2003, оп. 1, д. 1224, л. 215-218) (356). </w:t>
      </w:r>
    </w:p>
    <w:p w14:paraId="1379B309" w14:textId="77777777" w:rsidR="00F2759D" w:rsidRPr="00DE096C" w:rsidRDefault="00F2759D" w:rsidP="00D45A46">
      <w:pPr>
        <w:jc w:val="both"/>
        <w:rPr>
          <w:bCs/>
          <w:color w:val="002060"/>
          <w:sz w:val="16"/>
          <w:szCs w:val="16"/>
        </w:rPr>
      </w:pPr>
      <w:r w:rsidRPr="00DE096C">
        <w:rPr>
          <w:bCs/>
          <w:color w:val="002060"/>
          <w:sz w:val="16"/>
          <w:szCs w:val="16"/>
        </w:rPr>
        <w:t>Таким образом, армия имела всего 202 самолета (По данным Генерального штаба к началу войны полевые авиационные от</w:t>
      </w:r>
      <w:r w:rsidRPr="00DE096C">
        <w:rPr>
          <w:bCs/>
          <w:color w:val="002060"/>
          <w:sz w:val="16"/>
          <w:szCs w:val="16"/>
        </w:rPr>
        <w:softHyphen/>
        <w:t>ряды имели 124 самолета и крепостные отделения 48 самолетов, т. е. всего 172 самолета. В этих сведениях штаба остались не учтенными 30 учебных самолетов, находившихся в военных авиационных школах), в большин</w:t>
      </w:r>
      <w:r w:rsidRPr="00DE096C">
        <w:rPr>
          <w:bCs/>
          <w:color w:val="002060"/>
          <w:sz w:val="16"/>
          <w:szCs w:val="16"/>
        </w:rPr>
        <w:softHyphen/>
        <w:t>стве «Ньюпоры», в значительной мере истрепанные летной прак</w:t>
      </w:r>
      <w:r w:rsidRPr="00DE096C">
        <w:rPr>
          <w:bCs/>
          <w:color w:val="002060"/>
          <w:sz w:val="16"/>
          <w:szCs w:val="16"/>
        </w:rPr>
        <w:softHyphen/>
        <w:t>тикой (11042,240).</w:t>
      </w:r>
    </w:p>
    <w:p w14:paraId="3ED62341" w14:textId="77777777" w:rsidR="00F2759D" w:rsidRPr="00DE096C" w:rsidRDefault="00F2759D" w:rsidP="00D45A46">
      <w:pPr>
        <w:jc w:val="both"/>
        <w:rPr>
          <w:bCs/>
          <w:color w:val="002060"/>
          <w:sz w:val="16"/>
          <w:szCs w:val="16"/>
        </w:rPr>
      </w:pPr>
      <w:r w:rsidRPr="00DE096C">
        <w:rPr>
          <w:bCs/>
          <w:color w:val="002060"/>
          <w:sz w:val="16"/>
          <w:szCs w:val="16"/>
        </w:rPr>
        <w:t>В распоряжении сформированного к этому времени Главного военно-технического управления, на которое- было возложено авиа</w:t>
      </w:r>
      <w:r w:rsidRPr="00DE096C">
        <w:rPr>
          <w:bCs/>
          <w:color w:val="002060"/>
          <w:sz w:val="16"/>
          <w:szCs w:val="16"/>
        </w:rPr>
        <w:softHyphen/>
        <w:t>ционное снабжение, не было ни одного самолета и двигателя для пополнения отрядов и для замены машин, выходивших из строя.</w:t>
      </w:r>
    </w:p>
    <w:p w14:paraId="38135D4A" w14:textId="77777777" w:rsidR="00F2759D" w:rsidRPr="00DE096C" w:rsidRDefault="00F2759D" w:rsidP="00D45A46">
      <w:pPr>
        <w:jc w:val="both"/>
        <w:rPr>
          <w:bCs/>
          <w:color w:val="002060"/>
          <w:sz w:val="16"/>
          <w:szCs w:val="16"/>
        </w:rPr>
      </w:pPr>
      <w:r w:rsidRPr="00DE096C">
        <w:rPr>
          <w:bCs/>
          <w:color w:val="002060"/>
          <w:sz w:val="16"/>
          <w:szCs w:val="16"/>
        </w:rPr>
        <w:t>После мобилизации в августе 1914 г. наличный парк самолетов пополнили самолетами, только что построенными, а также принадлежавшими раньше аэроклубам. С этим пополнением армия после мобилизации имела 244 самолета и 289 авиационных двигателя (11042,240).</w:t>
      </w:r>
    </w:p>
    <w:p w14:paraId="59EEB034" w14:textId="77777777" w:rsidR="00F2759D" w:rsidRPr="00DE096C" w:rsidRDefault="00F2759D" w:rsidP="00D45A46">
      <w:pPr>
        <w:jc w:val="both"/>
        <w:rPr>
          <w:bCs/>
          <w:color w:val="002060"/>
          <w:sz w:val="16"/>
          <w:szCs w:val="16"/>
        </w:rPr>
      </w:pPr>
    </w:p>
    <w:p w14:paraId="34EAB04E" w14:textId="77777777" w:rsidR="00F2759D" w:rsidRPr="00DE096C" w:rsidRDefault="00F2759D" w:rsidP="00D45A46">
      <w:pPr>
        <w:jc w:val="both"/>
        <w:rPr>
          <w:bCs/>
          <w:color w:val="002060"/>
          <w:sz w:val="16"/>
          <w:szCs w:val="16"/>
        </w:rPr>
      </w:pPr>
      <w:r w:rsidRPr="00DE096C">
        <w:rPr>
          <w:bCs/>
          <w:color w:val="002060"/>
          <w:sz w:val="16"/>
          <w:szCs w:val="16"/>
        </w:rPr>
        <w:t>В конце июля 1914 в связи с мобилизацией армии подлежали изъятию по казенным «оценкам у владельцев все имевшиеся в стране самолеты и авиа-(ионные двигатели. Некоторые гражданские летчики, имевшие собрванные самолеты, добровольно вступали в армию со своими Самолетами.</w:t>
      </w:r>
    </w:p>
    <w:p w14:paraId="2A7A6C04" w14:textId="77777777" w:rsidR="00F2759D" w:rsidRPr="00DE096C" w:rsidRDefault="00F2759D" w:rsidP="00D45A46">
      <w:pPr>
        <w:jc w:val="both"/>
        <w:rPr>
          <w:bCs/>
          <w:color w:val="002060"/>
          <w:sz w:val="16"/>
          <w:szCs w:val="16"/>
        </w:rPr>
      </w:pPr>
    </w:p>
    <w:p w14:paraId="358E9A77" w14:textId="77777777" w:rsidR="00F2759D" w:rsidRPr="00DE096C" w:rsidRDefault="00F2759D" w:rsidP="00D45A46">
      <w:pPr>
        <w:jc w:val="both"/>
        <w:rPr>
          <w:bCs/>
          <w:color w:val="002060"/>
          <w:sz w:val="16"/>
          <w:szCs w:val="16"/>
        </w:rPr>
      </w:pPr>
      <w:r w:rsidRPr="00DE096C">
        <w:rPr>
          <w:bCs/>
          <w:color w:val="002060"/>
          <w:sz w:val="16"/>
          <w:szCs w:val="16"/>
        </w:rPr>
        <w:t>В конце июля 1914 самая главная неприятность для ВВС состояла в том, что авиация вступила в войну, не имея четкого руководства. Воздухоплавательный отдел при Генштабе, руководимый В.А. Семковским, просуществовал до 1916 года. Затем было создано Управление Военно-воздушного флота во главе с генерал-майором Н.В. Пневским, которое занималось в основном вопросами укомплектования и снабжения. Параллельно в Ставке Верховного Главнокомандующего создается Авиационная канцелярия, возглавляемая сначала бароном фон Каульбарсом, а с конца 1915 года - великим князем Александром Михайловичем. Высшее руководство авиации не имело необходимых знаний и опыта - Каульбарс, например, был кавалеристом. В этой связи очень показательным является случай произошедший в 1913 г. Военный министр Сухомлинов прибыв на испытательный аэродром в Петербурге и, узнав, что построенные самолеты должны испытываться в полете полтора часа, приказал сократить испытательные полеты до 30 минут. Протесты летчиков и инженеров ни к чему не привели. Неудивительно, что в первый период войны основной процент потерь приходился на аварии - к 5 октября 1914 г. в авиаотрядах из 99 самолетов 91 потеряли вследствие несчастных случаев (11120).</w:t>
      </w:r>
    </w:p>
    <w:p w14:paraId="3AC885DF" w14:textId="77777777" w:rsidR="00F2759D" w:rsidRPr="00DE096C" w:rsidRDefault="00F2759D" w:rsidP="00D45A46">
      <w:pPr>
        <w:jc w:val="both"/>
        <w:rPr>
          <w:bCs/>
          <w:color w:val="002060"/>
          <w:sz w:val="16"/>
          <w:szCs w:val="16"/>
        </w:rPr>
      </w:pPr>
    </w:p>
    <w:p w14:paraId="39C49028" w14:textId="77777777" w:rsidR="00F2759D" w:rsidRPr="00DE096C" w:rsidRDefault="00F2759D" w:rsidP="00D45A46">
      <w:pPr>
        <w:jc w:val="both"/>
        <w:rPr>
          <w:bCs/>
          <w:color w:val="002060"/>
          <w:sz w:val="16"/>
          <w:szCs w:val="16"/>
        </w:rPr>
      </w:pPr>
      <w:r w:rsidRPr="00DE096C">
        <w:rPr>
          <w:bCs/>
          <w:color w:val="002060"/>
          <w:sz w:val="16"/>
          <w:szCs w:val="16"/>
        </w:rPr>
        <w:t>В конце июля 1914 к началу первой мировой войны на территории Украины находилось два крупных авиационных пар</w:t>
      </w:r>
      <w:r w:rsidRPr="00DE096C">
        <w:rPr>
          <w:bCs/>
          <w:color w:val="002060"/>
          <w:sz w:val="16"/>
          <w:szCs w:val="16"/>
        </w:rPr>
        <w:softHyphen/>
        <w:t>ка — 3-й в Киеве и 6-й в Жмеринке. В состав парков входили ремонтные базы, материальные склады и ряд авиаотрядов. В 1917 году из Брянска в Клев переве</w:t>
      </w:r>
      <w:r w:rsidRPr="00DE096C">
        <w:rPr>
          <w:bCs/>
          <w:color w:val="002060"/>
          <w:sz w:val="16"/>
          <w:szCs w:val="16"/>
        </w:rPr>
        <w:softHyphen/>
        <w:t xml:space="preserve">ли 5-й авиационный парк. 3-й авиапарк сформирован </w:t>
      </w:r>
      <w:r w:rsidRPr="00DE096C">
        <w:rPr>
          <w:bCs/>
          <w:color w:val="002060"/>
          <w:sz w:val="16"/>
          <w:szCs w:val="16"/>
        </w:rPr>
        <w:lastRenderedPageBreak/>
        <w:t>в 1913 году на базе дислоцированной в Киеве 7-й воздухоплавательной роты. [24] Парк был оснащен французскими одно- и двухместными самолетами. Поскольку все самолеты поступали в разобранном виде и требовали сборки, на службу в парк привлекались квалифицированные рабочие из многих городов России. Вскоре авиапарк представлял собой хорошо оборудованное военное предприятие, где кроме сборки выполняли ремонт самолетов, автомобилей и двигателей к ним, изготав</w:t>
      </w:r>
      <w:r w:rsidRPr="00DE096C">
        <w:rPr>
          <w:bCs/>
          <w:color w:val="002060"/>
          <w:sz w:val="16"/>
          <w:szCs w:val="16"/>
        </w:rPr>
        <w:softHyphen/>
        <w:t>ливали запчасти и детали.</w:t>
      </w:r>
    </w:p>
    <w:p w14:paraId="44DB27B2" w14:textId="77777777" w:rsidR="00F2759D" w:rsidRPr="00DE096C" w:rsidRDefault="00F2759D" w:rsidP="00D45A46">
      <w:pPr>
        <w:jc w:val="both"/>
        <w:rPr>
          <w:bCs/>
          <w:color w:val="002060"/>
          <w:sz w:val="16"/>
          <w:szCs w:val="16"/>
        </w:rPr>
      </w:pPr>
      <w:r w:rsidRPr="00DE096C">
        <w:rPr>
          <w:bCs/>
          <w:color w:val="002060"/>
          <w:sz w:val="16"/>
          <w:szCs w:val="16"/>
        </w:rPr>
        <w:t>Летный состав парка составляли офицеры, вы</w:t>
      </w:r>
      <w:r w:rsidRPr="00DE096C">
        <w:rPr>
          <w:bCs/>
          <w:color w:val="002060"/>
          <w:sz w:val="16"/>
          <w:szCs w:val="16"/>
        </w:rPr>
        <w:softHyphen/>
        <w:t>пускники Гатчинской летной школы. Позднее, в ходе 1-й мировой войны в связи с острой нехваткой пило</w:t>
      </w:r>
      <w:r w:rsidRPr="00DE096C">
        <w:rPr>
          <w:bCs/>
          <w:color w:val="002060"/>
          <w:sz w:val="16"/>
          <w:szCs w:val="16"/>
        </w:rPr>
        <w:softHyphen/>
        <w:t>тов летному делу стали обучать и низшие чины с пос</w:t>
      </w:r>
      <w:r w:rsidRPr="00DE096C">
        <w:rPr>
          <w:bCs/>
          <w:color w:val="002060"/>
          <w:sz w:val="16"/>
          <w:szCs w:val="16"/>
        </w:rPr>
        <w:softHyphen/>
        <w:t>ледующим присвоением им звания унтер-офицеров.</w:t>
      </w:r>
    </w:p>
    <w:p w14:paraId="268EB759" w14:textId="77777777" w:rsidR="00F2759D" w:rsidRPr="00DE096C" w:rsidRDefault="00F2759D" w:rsidP="00D45A46">
      <w:pPr>
        <w:jc w:val="both"/>
        <w:rPr>
          <w:bCs/>
          <w:color w:val="002060"/>
          <w:sz w:val="16"/>
          <w:szCs w:val="16"/>
        </w:rPr>
      </w:pPr>
      <w:r w:rsidRPr="00DE096C">
        <w:rPr>
          <w:bCs/>
          <w:color w:val="002060"/>
          <w:sz w:val="16"/>
          <w:szCs w:val="16"/>
        </w:rPr>
        <w:t>Военно-воздушный флот России в самом начале первой мировой войны рас</w:t>
      </w:r>
      <w:r w:rsidRPr="00DE096C">
        <w:rPr>
          <w:bCs/>
          <w:color w:val="002060"/>
          <w:sz w:val="16"/>
          <w:szCs w:val="16"/>
        </w:rPr>
        <w:softHyphen/>
        <w:t>полагал 39 авиационными отрядами: 25 корпусных, гвардейский, гренадерский, 3-й полевой, 1-й, 4-й и 5-й Сибирские и восемь кре</w:t>
      </w:r>
      <w:r w:rsidRPr="00DE096C">
        <w:rPr>
          <w:bCs/>
          <w:color w:val="002060"/>
          <w:sz w:val="16"/>
          <w:szCs w:val="16"/>
        </w:rPr>
        <w:softHyphen/>
        <w:t>постных (в том числе и Се</w:t>
      </w:r>
      <w:r w:rsidRPr="00DE096C">
        <w:rPr>
          <w:bCs/>
          <w:color w:val="002060"/>
          <w:sz w:val="16"/>
          <w:szCs w:val="16"/>
        </w:rPr>
        <w:softHyphen/>
        <w:t>вастопольский).</w:t>
      </w:r>
    </w:p>
    <w:p w14:paraId="4C1CA973" w14:textId="77777777" w:rsidR="00F2759D" w:rsidRPr="00DE096C" w:rsidRDefault="00F2759D" w:rsidP="00D45A46">
      <w:pPr>
        <w:jc w:val="both"/>
        <w:rPr>
          <w:bCs/>
          <w:color w:val="002060"/>
          <w:sz w:val="16"/>
          <w:szCs w:val="16"/>
        </w:rPr>
      </w:pPr>
      <w:r w:rsidRPr="00DE096C">
        <w:rPr>
          <w:bCs/>
          <w:color w:val="002060"/>
          <w:sz w:val="16"/>
          <w:szCs w:val="16"/>
        </w:rPr>
        <w:t>По штату в них имелось 213 летчиков и столько же аэропланов. На вооружении отрядов находились маши</w:t>
      </w:r>
      <w:r w:rsidRPr="00DE096C">
        <w:rPr>
          <w:bCs/>
          <w:color w:val="002060"/>
          <w:sz w:val="16"/>
          <w:szCs w:val="16"/>
        </w:rPr>
        <w:softHyphen/>
        <w:t>ны, созданные только фран</w:t>
      </w:r>
      <w:r w:rsidRPr="00DE096C">
        <w:rPr>
          <w:bCs/>
          <w:color w:val="002060"/>
          <w:sz w:val="16"/>
          <w:szCs w:val="16"/>
        </w:rPr>
        <w:softHyphen/>
        <w:t>цузскими конструкторами, но произведенные в основ</w:t>
      </w:r>
      <w:r w:rsidRPr="00DE096C">
        <w:rPr>
          <w:bCs/>
          <w:color w:val="002060"/>
          <w:sz w:val="16"/>
          <w:szCs w:val="16"/>
        </w:rPr>
        <w:softHyphen/>
        <w:t>ном на отечественных заво</w:t>
      </w:r>
      <w:r w:rsidRPr="00DE096C">
        <w:rPr>
          <w:bCs/>
          <w:color w:val="002060"/>
          <w:sz w:val="16"/>
          <w:szCs w:val="16"/>
        </w:rPr>
        <w:softHyphen/>
        <w:t>дах. Это были в основе своей самолеты «Ньюпор-4», а так</w:t>
      </w:r>
      <w:r w:rsidRPr="00DE096C">
        <w:rPr>
          <w:bCs/>
          <w:color w:val="002060"/>
          <w:sz w:val="16"/>
          <w:szCs w:val="16"/>
        </w:rPr>
        <w:softHyphen/>
        <w:t>же «Фарманы» — 16, 20, 22, 22 бис, «Мораны» и «Депер-дюссены» (553).</w:t>
      </w:r>
    </w:p>
    <w:p w14:paraId="029D6BA3" w14:textId="77777777" w:rsidR="00F2759D" w:rsidRPr="00DE096C" w:rsidRDefault="00F2759D" w:rsidP="00D45A46">
      <w:pPr>
        <w:jc w:val="both"/>
        <w:rPr>
          <w:bCs/>
          <w:color w:val="002060"/>
          <w:sz w:val="16"/>
          <w:szCs w:val="16"/>
        </w:rPr>
      </w:pPr>
    </w:p>
    <w:p w14:paraId="6C36EAEF" w14:textId="77777777" w:rsidR="00F2759D" w:rsidRPr="00DE096C" w:rsidRDefault="00F2759D" w:rsidP="00D45A46">
      <w:pPr>
        <w:jc w:val="both"/>
        <w:rPr>
          <w:bCs/>
          <w:color w:val="002060"/>
          <w:sz w:val="16"/>
          <w:szCs w:val="16"/>
        </w:rPr>
      </w:pPr>
      <w:r w:rsidRPr="00DE096C">
        <w:rPr>
          <w:bCs/>
          <w:color w:val="002060"/>
          <w:sz w:val="16"/>
          <w:szCs w:val="16"/>
        </w:rPr>
        <w:t>В конце июля 1914 накануне пер</w:t>
      </w:r>
      <w:r w:rsidRPr="00DE096C">
        <w:rPr>
          <w:bCs/>
          <w:color w:val="002060"/>
          <w:sz w:val="16"/>
          <w:szCs w:val="16"/>
        </w:rPr>
        <w:softHyphen/>
        <w:t>вой мировой войны архивные материалы показывают, что еще передовая русская военно-научная мысль, правильно определяя первоначальные задачи авиа</w:t>
      </w:r>
      <w:r w:rsidRPr="00DE096C">
        <w:rPr>
          <w:bCs/>
          <w:color w:val="002060"/>
          <w:sz w:val="16"/>
          <w:szCs w:val="16"/>
        </w:rPr>
        <w:softHyphen/>
        <w:t>ции — разведку противника, поддержание связи между вой</w:t>
      </w:r>
      <w:r w:rsidRPr="00DE096C">
        <w:rPr>
          <w:bCs/>
          <w:color w:val="002060"/>
          <w:sz w:val="16"/>
          <w:szCs w:val="16"/>
        </w:rPr>
        <w:softHyphen/>
        <w:t>сковыми группировками, нанесение материального и мораль</w:t>
      </w:r>
      <w:r w:rsidRPr="00DE096C">
        <w:rPr>
          <w:bCs/>
          <w:color w:val="002060"/>
          <w:sz w:val="16"/>
          <w:szCs w:val="16"/>
        </w:rPr>
        <w:softHyphen/>
        <w:t>ного ущерба противнику, борьбу с неприятельскими аэроста</w:t>
      </w:r>
      <w:r w:rsidRPr="00DE096C">
        <w:rPr>
          <w:bCs/>
          <w:color w:val="002060"/>
          <w:sz w:val="16"/>
          <w:szCs w:val="16"/>
        </w:rPr>
        <w:softHyphen/>
        <w:t>тами и т. д., — в то же время стремилась всемерно расширить круг этих задач, найти и другие способы боевого применения самолётов в интересах сухопутных и военно-морских сил.</w:t>
      </w:r>
    </w:p>
    <w:p w14:paraId="11DFBECD" w14:textId="77777777" w:rsidR="00F2759D" w:rsidRPr="00DE096C" w:rsidRDefault="00F2759D" w:rsidP="00D45A46">
      <w:pPr>
        <w:jc w:val="both"/>
        <w:rPr>
          <w:bCs/>
          <w:color w:val="002060"/>
          <w:sz w:val="16"/>
          <w:szCs w:val="16"/>
        </w:rPr>
      </w:pPr>
      <w:r w:rsidRPr="00DE096C">
        <w:rPr>
          <w:bCs/>
          <w:color w:val="002060"/>
          <w:sz w:val="16"/>
          <w:szCs w:val="16"/>
        </w:rPr>
        <w:t>Надо сказать, что в некоторой части литературы, посвя</w:t>
      </w:r>
      <w:r w:rsidRPr="00DE096C">
        <w:rPr>
          <w:bCs/>
          <w:color w:val="002060"/>
          <w:sz w:val="16"/>
          <w:szCs w:val="16"/>
        </w:rPr>
        <w:softHyphen/>
        <w:t>щённой вопросам развития Воздушного Флота, встречаются утверждения о том, что будто бы только в ходе первой ми</w:t>
      </w:r>
      <w:r w:rsidRPr="00DE096C">
        <w:rPr>
          <w:bCs/>
          <w:color w:val="002060"/>
          <w:sz w:val="16"/>
          <w:szCs w:val="16"/>
        </w:rPr>
        <w:softHyphen/>
        <w:t>ровой войны и главным образом под влиянием взглядов, сложившихся в Англии, Франции, Германии и других стра</w:t>
      </w:r>
      <w:r w:rsidRPr="00DE096C">
        <w:rPr>
          <w:bCs/>
          <w:color w:val="002060"/>
          <w:sz w:val="16"/>
          <w:szCs w:val="16"/>
        </w:rPr>
        <w:softHyphen/>
        <w:t>нах, авиация перешла от выполнения довольно ограничен</w:t>
      </w:r>
      <w:r w:rsidRPr="00DE096C">
        <w:rPr>
          <w:bCs/>
          <w:color w:val="002060"/>
          <w:sz w:val="16"/>
          <w:szCs w:val="16"/>
        </w:rPr>
        <w:softHyphen/>
        <w:t>ных задач воздушной разведки к развёрнутым воздушным боям, бомбардировочным действиям и т. д. Отдельные авторы, намеренно принижавшие роль и значение русской отечественной военной мысли, пытались утверждать, что якобы все виды авиации — истребительная, бомбардировоч</w:t>
      </w:r>
      <w:r w:rsidRPr="00DE096C">
        <w:rPr>
          <w:bCs/>
          <w:color w:val="002060"/>
          <w:sz w:val="16"/>
          <w:szCs w:val="16"/>
        </w:rPr>
        <w:softHyphen/>
        <w:t>ная, штурмовая и т. д. — своим возникновением обязаны прежде всего опыту боёв на Западе и изысканиям иностран</w:t>
      </w:r>
      <w:r w:rsidRPr="00DE096C">
        <w:rPr>
          <w:bCs/>
          <w:color w:val="002060"/>
          <w:sz w:val="16"/>
          <w:szCs w:val="16"/>
        </w:rPr>
        <w:softHyphen/>
        <w:t>ных авиаторов.</w:t>
      </w:r>
    </w:p>
    <w:p w14:paraId="4FA77F23" w14:textId="77777777" w:rsidR="00F2759D" w:rsidRPr="00DE096C" w:rsidRDefault="00F2759D" w:rsidP="00D45A46">
      <w:pPr>
        <w:jc w:val="both"/>
        <w:rPr>
          <w:bCs/>
          <w:color w:val="002060"/>
          <w:sz w:val="16"/>
          <w:szCs w:val="16"/>
        </w:rPr>
      </w:pPr>
      <w:r w:rsidRPr="00DE096C">
        <w:rPr>
          <w:bCs/>
          <w:color w:val="002060"/>
          <w:sz w:val="16"/>
          <w:szCs w:val="16"/>
        </w:rPr>
        <w:t>Подобные утверждения далеки от истины. Умалчивать об огромном вкладе русских лётчиков и конструкторов в дело строительства боевой авиации, не говорить об их борьбе с консервативно настроенными -военными специалистами скептически пророчившими авиации роль вспомогательного средства разведки и связи, не раскрывать смелых исследо</w:t>
      </w:r>
      <w:r w:rsidRPr="00DE096C">
        <w:rPr>
          <w:bCs/>
          <w:color w:val="002060"/>
          <w:sz w:val="16"/>
          <w:szCs w:val="16"/>
        </w:rPr>
        <w:softHyphen/>
        <w:t>ваний русских людей в области тактики авиации — значит искажать историческую правду. Факты убедительно говорят о том, что именно наша страна — родина авиации — яв</w:t>
      </w:r>
      <w:r w:rsidRPr="00DE096C">
        <w:rPr>
          <w:bCs/>
          <w:color w:val="002060"/>
          <w:sz w:val="16"/>
          <w:szCs w:val="16"/>
        </w:rPr>
        <w:softHyphen/>
        <w:t>ляется и родиной самой передовой военно-авиационной мысли, которая намного раньше, чем в других странах, определила боевые задачи авиации. Именно в России впер</w:t>
      </w:r>
      <w:r w:rsidRPr="00DE096C">
        <w:rPr>
          <w:bCs/>
          <w:color w:val="002060"/>
          <w:sz w:val="16"/>
          <w:szCs w:val="16"/>
        </w:rPr>
        <w:softHyphen/>
        <w:t>вые зародились идеи о создании истребительной, бомбарди</w:t>
      </w:r>
      <w:r w:rsidRPr="00DE096C">
        <w:rPr>
          <w:bCs/>
          <w:color w:val="002060"/>
          <w:sz w:val="16"/>
          <w:szCs w:val="16"/>
        </w:rPr>
        <w:softHyphen/>
        <w:t>ровочной и штурмовой авиации. Не зарубежными, а рус</w:t>
      </w:r>
      <w:r w:rsidRPr="00DE096C">
        <w:rPr>
          <w:bCs/>
          <w:color w:val="002060"/>
          <w:sz w:val="16"/>
          <w:szCs w:val="16"/>
        </w:rPr>
        <w:softHyphen/>
        <w:t>скими лётчиками были проведены первые в мире воздуш</w:t>
      </w:r>
      <w:r w:rsidRPr="00DE096C">
        <w:rPr>
          <w:bCs/>
          <w:color w:val="002060"/>
          <w:sz w:val="16"/>
          <w:szCs w:val="16"/>
        </w:rPr>
        <w:softHyphen/>
        <w:t>ные бои, даны первые примеры бомбардировочных и штур</w:t>
      </w:r>
      <w:r w:rsidRPr="00DE096C">
        <w:rPr>
          <w:bCs/>
          <w:color w:val="002060"/>
          <w:sz w:val="16"/>
          <w:szCs w:val="16"/>
        </w:rPr>
        <w:softHyphen/>
        <w:t>мовых действий как на поле боя, так и в тылу противника. В русских вооружённых силах ранее чем где-либо были раз</w:t>
      </w:r>
      <w:r w:rsidRPr="00DE096C">
        <w:rPr>
          <w:bCs/>
          <w:color w:val="002060"/>
          <w:sz w:val="16"/>
          <w:szCs w:val="16"/>
        </w:rPr>
        <w:softHyphen/>
        <w:t>работаны первоначальные способы взаимодействия авиации с сухопутными войсками и военно-морским флотом.</w:t>
      </w:r>
    </w:p>
    <w:p w14:paraId="67C53230" w14:textId="77777777" w:rsidR="00F2759D" w:rsidRPr="00DE096C" w:rsidRDefault="00F2759D" w:rsidP="00D45A46">
      <w:pPr>
        <w:jc w:val="both"/>
        <w:rPr>
          <w:bCs/>
          <w:color w:val="002060"/>
          <w:sz w:val="16"/>
          <w:szCs w:val="16"/>
        </w:rPr>
      </w:pPr>
      <w:r w:rsidRPr="00DE096C">
        <w:rPr>
          <w:bCs/>
          <w:color w:val="002060"/>
          <w:sz w:val="16"/>
          <w:szCs w:val="16"/>
        </w:rPr>
        <w:t>Следует отметить, что представителям передовой русской военно-авиационной мысли приходилось преодолевать силь</w:t>
      </w:r>
      <w:r w:rsidRPr="00DE096C">
        <w:rPr>
          <w:bCs/>
          <w:color w:val="002060"/>
          <w:sz w:val="16"/>
          <w:szCs w:val="16"/>
        </w:rPr>
        <w:softHyphen/>
        <w:t>ное сопротивление. Во-первых, такое сопротивление оказы</w:t>
      </w:r>
      <w:r w:rsidRPr="00DE096C">
        <w:rPr>
          <w:bCs/>
          <w:color w:val="002060"/>
          <w:sz w:val="16"/>
          <w:szCs w:val="16"/>
        </w:rPr>
        <w:softHyphen/>
        <w:t>вала часть военных специалистов, раболепно преклоняв</w:t>
      </w:r>
      <w:r w:rsidRPr="00DE096C">
        <w:rPr>
          <w:bCs/>
          <w:color w:val="002060"/>
          <w:sz w:val="16"/>
          <w:szCs w:val="16"/>
        </w:rPr>
        <w:softHyphen/>
        <w:t>шаяся перед всем зарубежным, во-вторых, — те люди, ко</w:t>
      </w:r>
      <w:r w:rsidRPr="00DE096C">
        <w:rPr>
          <w:bCs/>
          <w:color w:val="002060"/>
          <w:sz w:val="16"/>
          <w:szCs w:val="16"/>
        </w:rPr>
        <w:softHyphen/>
        <w:t>торые, выполняя указания иностранных разведок, противо</w:t>
      </w:r>
      <w:r w:rsidRPr="00DE096C">
        <w:rPr>
          <w:bCs/>
          <w:color w:val="002060"/>
          <w:sz w:val="16"/>
          <w:szCs w:val="16"/>
        </w:rPr>
        <w:softHyphen/>
        <w:t>действовали вообще техническому оснащению русской ар</w:t>
      </w:r>
      <w:r w:rsidRPr="00DE096C">
        <w:rPr>
          <w:bCs/>
          <w:color w:val="002060"/>
          <w:sz w:val="16"/>
          <w:szCs w:val="16"/>
        </w:rPr>
        <w:softHyphen/>
        <w:t>мии, росту тактического мастерства её кадров. Если первые, не веря в творческие возможности нашего народа, зачастую отвергали смелые и оригинальные предложения талантли</w:t>
      </w:r>
      <w:r w:rsidRPr="00DE096C">
        <w:rPr>
          <w:bCs/>
          <w:color w:val="002060"/>
          <w:sz w:val="16"/>
          <w:szCs w:val="16"/>
        </w:rPr>
        <w:softHyphen/>
        <w:t>вых русских конструкторов только на том вздорном основа</w:t>
      </w:r>
      <w:r w:rsidRPr="00DE096C">
        <w:rPr>
          <w:bCs/>
          <w:color w:val="002060"/>
          <w:sz w:val="16"/>
          <w:szCs w:val="16"/>
        </w:rPr>
        <w:softHyphen/>
        <w:t>нии, что-де за границей еще подобные предложения не осу</w:t>
      </w:r>
      <w:r w:rsidRPr="00DE096C">
        <w:rPr>
          <w:bCs/>
          <w:color w:val="002060"/>
          <w:sz w:val="16"/>
          <w:szCs w:val="16"/>
        </w:rPr>
        <w:softHyphen/>
        <w:t>ществлены, то другие, подобно военному министру Сухомли</w:t>
      </w:r>
      <w:r w:rsidRPr="00DE096C">
        <w:rPr>
          <w:bCs/>
          <w:color w:val="002060"/>
          <w:sz w:val="16"/>
          <w:szCs w:val="16"/>
        </w:rPr>
        <w:softHyphen/>
        <w:t>нову (впоследствии разоблачён как вражеский шпион), пытавшемуся утверждать, что «введение авиации является вредным делом», всячески замалчивали результаты интерес</w:t>
      </w:r>
      <w:r w:rsidRPr="00DE096C">
        <w:rPr>
          <w:bCs/>
          <w:color w:val="002060"/>
          <w:sz w:val="16"/>
          <w:szCs w:val="16"/>
        </w:rPr>
        <w:softHyphen/>
        <w:t>ных опытов русских лётчиков на войсковых учениях, препят</w:t>
      </w:r>
      <w:r w:rsidRPr="00DE096C">
        <w:rPr>
          <w:bCs/>
          <w:color w:val="002060"/>
          <w:sz w:val="16"/>
          <w:szCs w:val="16"/>
        </w:rPr>
        <w:softHyphen/>
        <w:t>ствовали распространению передовой мысли среди всей массы военных авиаторов.</w:t>
      </w:r>
    </w:p>
    <w:p w14:paraId="1323386D" w14:textId="77777777" w:rsidR="00F2759D" w:rsidRPr="00DE096C" w:rsidRDefault="00F2759D" w:rsidP="00D45A46">
      <w:pPr>
        <w:jc w:val="both"/>
        <w:rPr>
          <w:bCs/>
          <w:color w:val="002060"/>
          <w:sz w:val="16"/>
          <w:szCs w:val="16"/>
        </w:rPr>
      </w:pPr>
      <w:r w:rsidRPr="00DE096C">
        <w:rPr>
          <w:bCs/>
          <w:color w:val="002060"/>
          <w:sz w:val="16"/>
          <w:szCs w:val="16"/>
        </w:rPr>
        <w:t>Но, несмотря на это противодействие, вопреки устремле</w:t>
      </w:r>
      <w:r w:rsidRPr="00DE096C">
        <w:rPr>
          <w:bCs/>
          <w:color w:val="002060"/>
          <w:sz w:val="16"/>
          <w:szCs w:val="16"/>
        </w:rPr>
        <w:softHyphen/>
        <w:t>ниям владельцев зарубежной авиационной промышленности, пытавшихся монополизировать снабжение русского Воздуш«ого Флота только своей продукцией и тем самым поставить нашу отечественную мысль в зависимость от иностранной техники, передовые русские авиаторы еще до начала первой мировой войны достигли больших успехов в авиационном строительстве и значительно опередили иностранцев (11095).</w:t>
      </w:r>
    </w:p>
    <w:p w14:paraId="49387108" w14:textId="77777777" w:rsidR="00F2759D" w:rsidRPr="00DE096C" w:rsidRDefault="00F2759D" w:rsidP="00D45A46">
      <w:pPr>
        <w:jc w:val="both"/>
        <w:rPr>
          <w:bCs/>
          <w:color w:val="002060"/>
          <w:sz w:val="16"/>
          <w:szCs w:val="16"/>
        </w:rPr>
      </w:pPr>
    </w:p>
    <w:p w14:paraId="15552C08" w14:textId="77777777" w:rsidR="00F2759D" w:rsidRPr="00DE096C" w:rsidRDefault="00F2759D" w:rsidP="00D45A46">
      <w:pPr>
        <w:jc w:val="both"/>
        <w:rPr>
          <w:bCs/>
          <w:color w:val="002060"/>
          <w:sz w:val="16"/>
          <w:szCs w:val="16"/>
        </w:rPr>
      </w:pPr>
      <w:r w:rsidRPr="00DE096C">
        <w:rPr>
          <w:bCs/>
          <w:color w:val="002060"/>
          <w:sz w:val="16"/>
          <w:szCs w:val="16"/>
        </w:rPr>
        <w:t xml:space="preserve">В конце июля 1914 к началу войны на каждый самолет приходилось в среднем по два летчика, при этом резерва обученных летчиков попросту не было, и Россия стала единственной из воюющих стран, не имевшей плана мобилизации гражданских летчиков. Лишь большие потери среди авиаторов заставили главное командование принять более решительные меры - все частные школы были подчинены военному ведомству (11120). </w:t>
      </w:r>
    </w:p>
    <w:p w14:paraId="7F86E680" w14:textId="77777777" w:rsidR="00F2759D" w:rsidRPr="00DE096C" w:rsidRDefault="00F2759D" w:rsidP="00D45A46">
      <w:pPr>
        <w:jc w:val="both"/>
        <w:rPr>
          <w:bCs/>
          <w:color w:val="002060"/>
          <w:sz w:val="16"/>
          <w:szCs w:val="16"/>
        </w:rPr>
      </w:pPr>
    </w:p>
    <w:p w14:paraId="7545B428" w14:textId="77777777" w:rsidR="00F2759D" w:rsidRPr="00DE096C" w:rsidRDefault="00F2759D" w:rsidP="00D45A46">
      <w:pPr>
        <w:jc w:val="both"/>
        <w:rPr>
          <w:bCs/>
          <w:color w:val="002060"/>
          <w:sz w:val="16"/>
          <w:szCs w:val="16"/>
        </w:rPr>
      </w:pPr>
      <w:r w:rsidRPr="00DE096C">
        <w:rPr>
          <w:bCs/>
          <w:color w:val="002060"/>
          <w:sz w:val="16"/>
          <w:szCs w:val="16"/>
        </w:rPr>
        <w:t>В конце июля 1914 к началу боевых действий в составе воздушного флота России насчитывался 221 летчик: 170 офицеров, 35 нижних чинов и 16 вольноопределяющихся (добровольцев). На 1 января 1915 г. потери летчиков составили 33 человека или 14,9% от общего состава. Из них 6 погибли от действий неприятеля, 5 - в авариях, 22 попали в плен и пропали без вести. Среди погибших: штабс-капитаны Грузинов, Нестеров, поручики Лемешко, Гудим, старший унтер-офицер Доброшинский и др. Пропали без вести: поручики Николаевский, Шамин, Машерек и др. Ранены или разбились при падении: капитан Витковский, гвардии штабс-капитан Мельницкий, штабс-капитан Мучник, поручики Городецкий, Корнидов, Павлов, доброволец Шпицберг. Некоторые из них, например, летчик-доброволец 16-го КАО Шпицберг, впоследствии скончались в госпитале. В скорбный список боевых потерь одним из первых попал военный летчик начальник 14-го КАО Ефграф Ефграфович Грузинов, смертельно раненный шрапнелью в воздухе во время выполнения боевого задания. 17 августа он вылетел на разведку района Кщонов-Пиляш-Ковице-Быхов-Люблин и обратно не вернулся. Самолет упал на вражеской территории, которую вскоре заняли русские войска. У села Быхово близ Янова были найдены свежая могила и разбитый "Ньюпор". В могиле обнаружили тело Грузинова, вопрос местных жителей и пленных австрийцев дал представление об обстоятельствах его гибели. Выяснилось, что самолет пролетал над австрийскими позициями на высоте 1000-1200 м и был обстрелян сначала пехотой, потом артиллерийской батареей, которая дала три залпа. Два первых цели не достигли. После третьего аппарат дрогнул, перевернулся и, сделав крутой вираж, врезался в землю с работающим мотором. Посмертно высочайшим приказом штабс-капитан Грузинов был награжден орденом Святого Георгия 4-й степени. Состоялись и первые воздушные бои. Таран и героическая гибель 26 августа военного летчика начальника 11-го КАО Петра Николаевича Нестерова открыли новую эпоху борьбы в воздухе. Из вооружения у русских авиаторов имелись только пистолеты "Маузер" и карабины. Хроника тех лет описывает несколько случаев воздушных боев. Так, 28 октября в окрестностях Петроково (под Варшавой) "появился неприятельский аэроплан. Через несколько минут поднялись два наших летчика и после воздушного боя сбросили "Таубе" на землю. Немецкие авиаторы разбились. Неприятельский аэроплан исковеркан". К сожалению, подтверждения этому газетному сообщению не нашлось. А вот воздушный бой и совместные действия с артиллерией, принесшие успех военному летчику Гродненского крепостного авиаотряда поручику Семенову, были подтверждены несколькими донесениями, хранящимися в Военно-историческом архиве. 27 августа Семенов с наблюдателем корнетом Николаевым при перелете через озеро Мейер, что в Восточной Пруссии, заметил неприятельский аэроплан, летевший к Летцену. Обойдя противника с правой стороны, Семенов атаковал его, заставил спуститься ниже и изменить направление полета в район русских позиций, где тот был обстрелян и около озера упал (11237).</w:t>
      </w:r>
    </w:p>
    <w:p w14:paraId="0E1D65E2" w14:textId="77777777" w:rsidR="00F2759D" w:rsidRPr="00DE096C" w:rsidRDefault="00F2759D" w:rsidP="00D45A46">
      <w:pPr>
        <w:jc w:val="both"/>
        <w:rPr>
          <w:bCs/>
          <w:color w:val="002060"/>
          <w:sz w:val="16"/>
          <w:szCs w:val="16"/>
        </w:rPr>
      </w:pPr>
    </w:p>
    <w:p w14:paraId="18DA529D" w14:textId="77777777" w:rsidR="00F2759D" w:rsidRPr="00DE096C" w:rsidRDefault="00F2759D" w:rsidP="00D45A46">
      <w:pPr>
        <w:jc w:val="both"/>
        <w:rPr>
          <w:bCs/>
          <w:color w:val="002060"/>
          <w:sz w:val="16"/>
          <w:szCs w:val="16"/>
        </w:rPr>
      </w:pPr>
      <w:r w:rsidRPr="00DE096C">
        <w:rPr>
          <w:bCs/>
          <w:color w:val="002060"/>
          <w:sz w:val="16"/>
          <w:szCs w:val="16"/>
        </w:rPr>
        <w:t>В конце июля 1914 к началу боевых действий в составе воздушного флота России насчитывался 221 летчик: 170 офицеров, 35 нижних чинов и 16 вольноопределяющихся (добровольцев). На 1 января 1915 г. потери летчиков составили 33 человека или 14,9% от общего состава. Из них 6 погибли от действий неприятеля, 5 - в авариях, 22 попали в плен и пропали без вести. Среди погибших: штабс-капитаны Грузинов, Нестеров, поручики Лемешко, Гудим, старший унтерофицер Доброшинский и др. Пропали без вести: поручики Николаевский, Шамин, Машерек и др. Ранены или разбились при падении: капитан Витковский, гвардии штабс-капитан Мельницкий, штабс-капитан Мучник, поручики Городецкий, Корнидов, Павлов, доброволец Шпицберг. Некоторые из них, например, летчик-доброволец 16-го КАО Шпицберг, впоследствии скончались в госпитале. В скорбный список боевых потерь одним из первых попал военный летчик начальник 14-го КАО Ефграф Ефграфович Грузинов, смертельно раненный шрапнелью в воздухе во время выполнения боевого задания. 17 августа он вылетел на разведку района Кщонов-Пиляш-Ковице-Быхов-Люблин и обратно не вернулся. Самолет упал на вражеской территории, которую вскоре заняли русские войска. У села Быхово близ Янова были найдены свежая могила и разбитый "Ньюпор". В могиле обнаружили тело Грузинова, вопрос местных жителей и пленных австрийцев дал представление об обстоятельствах его гибели. Выяснилось, что самолет пролетал над австрийскими позициями на высоте 1000-1200 м и был обстрелян сначала пехотой, потом артиллерийской батареей, которая дала три залпа. Два первых цели не достигли. После третьего аппарат дрогнул, перевернулся и, сделав крутой вираж, врезался в землю с работающим мотором. Посмертно высочайшим приказом штабскапитан Грузинов был награжден орденом Святого Георгия 4-й степени (11278).</w:t>
      </w:r>
    </w:p>
    <w:p w14:paraId="0AA01DC4" w14:textId="77777777" w:rsidR="00F2759D" w:rsidRPr="00DE096C" w:rsidRDefault="00F2759D" w:rsidP="00D45A46">
      <w:pPr>
        <w:jc w:val="both"/>
        <w:rPr>
          <w:bCs/>
          <w:color w:val="002060"/>
          <w:sz w:val="16"/>
          <w:szCs w:val="16"/>
        </w:rPr>
      </w:pPr>
    </w:p>
    <w:p w14:paraId="3BA29BAE" w14:textId="77777777" w:rsidR="00F2759D" w:rsidRPr="00DE096C" w:rsidRDefault="00F2759D" w:rsidP="00D45A46">
      <w:pPr>
        <w:jc w:val="both"/>
        <w:rPr>
          <w:bCs/>
          <w:color w:val="002060"/>
          <w:sz w:val="16"/>
          <w:szCs w:val="16"/>
        </w:rPr>
      </w:pPr>
      <w:r w:rsidRPr="00DE096C">
        <w:rPr>
          <w:bCs/>
          <w:color w:val="002060"/>
          <w:sz w:val="16"/>
          <w:szCs w:val="16"/>
        </w:rPr>
        <w:t>В конце июля 1914 АВИАЦИОННЫЕ ОТРЯДЫ, ВЫСТУПИВШИЕ НА ФРОНТ В 1914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01"/>
        <w:gridCol w:w="2268"/>
        <w:gridCol w:w="1307"/>
        <w:gridCol w:w="1307"/>
        <w:gridCol w:w="1307"/>
        <w:gridCol w:w="1307"/>
        <w:gridCol w:w="1307"/>
        <w:gridCol w:w="1307"/>
      </w:tblGrid>
      <w:tr w:rsidR="00F2759D" w:rsidRPr="00DE096C" w14:paraId="7E71D6E2" w14:textId="77777777" w:rsidTr="00D34AC1">
        <w:tc>
          <w:tcPr>
            <w:tcW w:w="1101" w:type="dxa"/>
          </w:tcPr>
          <w:p w14:paraId="683B33E1" w14:textId="77777777" w:rsidR="00F2759D" w:rsidRPr="00DE096C" w:rsidRDefault="00F2759D" w:rsidP="00D45A46">
            <w:pPr>
              <w:jc w:val="both"/>
              <w:rPr>
                <w:bCs/>
                <w:color w:val="002060"/>
                <w:sz w:val="16"/>
                <w:szCs w:val="16"/>
              </w:rPr>
            </w:pPr>
          </w:p>
        </w:tc>
        <w:tc>
          <w:tcPr>
            <w:tcW w:w="2268" w:type="dxa"/>
          </w:tcPr>
          <w:p w14:paraId="42423E7E" w14:textId="77777777" w:rsidR="00F2759D" w:rsidRPr="00DE096C" w:rsidRDefault="00F2759D" w:rsidP="00D45A46">
            <w:pPr>
              <w:jc w:val="both"/>
              <w:rPr>
                <w:bCs/>
                <w:color w:val="002060"/>
                <w:sz w:val="16"/>
                <w:szCs w:val="16"/>
              </w:rPr>
            </w:pPr>
          </w:p>
        </w:tc>
        <w:tc>
          <w:tcPr>
            <w:tcW w:w="1307" w:type="dxa"/>
          </w:tcPr>
          <w:p w14:paraId="02643601" w14:textId="77777777" w:rsidR="00F2759D" w:rsidRPr="00DE096C" w:rsidRDefault="00F2759D" w:rsidP="00D45A46">
            <w:pPr>
              <w:jc w:val="both"/>
              <w:rPr>
                <w:bCs/>
                <w:color w:val="002060"/>
                <w:sz w:val="16"/>
                <w:szCs w:val="16"/>
              </w:rPr>
            </w:pPr>
            <w:r w:rsidRPr="00DE096C">
              <w:rPr>
                <w:bCs/>
                <w:color w:val="002060"/>
                <w:sz w:val="16"/>
                <w:szCs w:val="16"/>
              </w:rPr>
              <w:t>Летчики</w:t>
            </w:r>
          </w:p>
        </w:tc>
        <w:tc>
          <w:tcPr>
            <w:tcW w:w="1307" w:type="dxa"/>
          </w:tcPr>
          <w:p w14:paraId="597869C0" w14:textId="77777777" w:rsidR="00F2759D" w:rsidRPr="00DE096C" w:rsidRDefault="00F2759D" w:rsidP="00D45A46">
            <w:pPr>
              <w:jc w:val="both"/>
              <w:rPr>
                <w:bCs/>
                <w:color w:val="002060"/>
                <w:sz w:val="16"/>
                <w:szCs w:val="16"/>
              </w:rPr>
            </w:pPr>
          </w:p>
        </w:tc>
        <w:tc>
          <w:tcPr>
            <w:tcW w:w="1307" w:type="dxa"/>
          </w:tcPr>
          <w:p w14:paraId="7B7DDD17" w14:textId="77777777" w:rsidR="00F2759D" w:rsidRPr="00DE096C" w:rsidRDefault="00F2759D" w:rsidP="00D45A46">
            <w:pPr>
              <w:jc w:val="both"/>
              <w:rPr>
                <w:bCs/>
                <w:color w:val="002060"/>
                <w:sz w:val="16"/>
                <w:szCs w:val="16"/>
              </w:rPr>
            </w:pPr>
            <w:r w:rsidRPr="00DE096C">
              <w:rPr>
                <w:bCs/>
                <w:color w:val="002060"/>
                <w:sz w:val="16"/>
                <w:szCs w:val="16"/>
              </w:rPr>
              <w:t>Самолеты</w:t>
            </w:r>
          </w:p>
        </w:tc>
        <w:tc>
          <w:tcPr>
            <w:tcW w:w="1307" w:type="dxa"/>
          </w:tcPr>
          <w:p w14:paraId="2697B33E" w14:textId="77777777" w:rsidR="00F2759D" w:rsidRPr="00DE096C" w:rsidRDefault="00F2759D" w:rsidP="00D45A46">
            <w:pPr>
              <w:jc w:val="both"/>
              <w:rPr>
                <w:bCs/>
                <w:color w:val="002060"/>
                <w:sz w:val="16"/>
                <w:szCs w:val="16"/>
              </w:rPr>
            </w:pPr>
          </w:p>
        </w:tc>
        <w:tc>
          <w:tcPr>
            <w:tcW w:w="1307" w:type="dxa"/>
          </w:tcPr>
          <w:p w14:paraId="24C41CFA" w14:textId="77777777" w:rsidR="00F2759D" w:rsidRPr="00DE096C" w:rsidRDefault="00F2759D" w:rsidP="00D45A46">
            <w:pPr>
              <w:jc w:val="both"/>
              <w:rPr>
                <w:bCs/>
                <w:color w:val="002060"/>
                <w:sz w:val="16"/>
                <w:szCs w:val="16"/>
              </w:rPr>
            </w:pPr>
          </w:p>
        </w:tc>
        <w:tc>
          <w:tcPr>
            <w:tcW w:w="1307" w:type="dxa"/>
          </w:tcPr>
          <w:p w14:paraId="1298794A" w14:textId="77777777" w:rsidR="00F2759D" w:rsidRPr="00DE096C" w:rsidRDefault="00F2759D" w:rsidP="00D45A46">
            <w:pPr>
              <w:jc w:val="both"/>
              <w:rPr>
                <w:bCs/>
                <w:color w:val="002060"/>
                <w:sz w:val="16"/>
                <w:szCs w:val="16"/>
              </w:rPr>
            </w:pPr>
          </w:p>
        </w:tc>
      </w:tr>
      <w:tr w:rsidR="00F2759D" w:rsidRPr="00DE096C" w14:paraId="74E7D557" w14:textId="77777777" w:rsidTr="00D34AC1">
        <w:tc>
          <w:tcPr>
            <w:tcW w:w="1101" w:type="dxa"/>
          </w:tcPr>
          <w:p w14:paraId="704D957C" w14:textId="77777777" w:rsidR="00F2759D" w:rsidRPr="00DE096C" w:rsidRDefault="00F2759D" w:rsidP="00D45A46">
            <w:pPr>
              <w:jc w:val="both"/>
              <w:rPr>
                <w:bCs/>
                <w:color w:val="002060"/>
                <w:sz w:val="16"/>
                <w:szCs w:val="16"/>
              </w:rPr>
            </w:pPr>
            <w:r w:rsidRPr="00DE096C">
              <w:rPr>
                <w:bCs/>
                <w:color w:val="002060"/>
                <w:sz w:val="16"/>
                <w:szCs w:val="16"/>
              </w:rPr>
              <w:t>Дата выступления</w:t>
            </w:r>
          </w:p>
        </w:tc>
        <w:tc>
          <w:tcPr>
            <w:tcW w:w="2268" w:type="dxa"/>
          </w:tcPr>
          <w:p w14:paraId="6B6C99C6" w14:textId="77777777" w:rsidR="00F2759D" w:rsidRPr="00DE096C" w:rsidRDefault="00F2759D" w:rsidP="00D45A46">
            <w:pPr>
              <w:jc w:val="both"/>
              <w:rPr>
                <w:bCs/>
                <w:color w:val="002060"/>
                <w:sz w:val="16"/>
                <w:szCs w:val="16"/>
              </w:rPr>
            </w:pPr>
            <w:r w:rsidRPr="00DE096C">
              <w:rPr>
                <w:bCs/>
                <w:color w:val="002060"/>
                <w:sz w:val="16"/>
                <w:szCs w:val="16"/>
              </w:rPr>
              <w:t>Названия рот и отрядов</w:t>
            </w:r>
          </w:p>
        </w:tc>
        <w:tc>
          <w:tcPr>
            <w:tcW w:w="1307" w:type="dxa"/>
          </w:tcPr>
          <w:p w14:paraId="40543824" w14:textId="77777777" w:rsidR="00F2759D" w:rsidRPr="00DE096C" w:rsidRDefault="00F2759D" w:rsidP="00D45A46">
            <w:pPr>
              <w:jc w:val="both"/>
              <w:rPr>
                <w:bCs/>
                <w:color w:val="002060"/>
                <w:sz w:val="16"/>
                <w:szCs w:val="16"/>
              </w:rPr>
            </w:pPr>
            <w:r w:rsidRPr="00DE096C">
              <w:rPr>
                <w:bCs/>
                <w:color w:val="002060"/>
                <w:sz w:val="16"/>
                <w:szCs w:val="16"/>
              </w:rPr>
              <w:t>Офицеры</w:t>
            </w:r>
          </w:p>
        </w:tc>
        <w:tc>
          <w:tcPr>
            <w:tcW w:w="1307" w:type="dxa"/>
          </w:tcPr>
          <w:p w14:paraId="79FA969D" w14:textId="77777777" w:rsidR="00F2759D" w:rsidRPr="00DE096C" w:rsidRDefault="00F2759D" w:rsidP="00D45A46">
            <w:pPr>
              <w:jc w:val="both"/>
              <w:rPr>
                <w:bCs/>
                <w:color w:val="002060"/>
                <w:sz w:val="16"/>
                <w:szCs w:val="16"/>
              </w:rPr>
            </w:pPr>
            <w:r w:rsidRPr="00DE096C">
              <w:rPr>
                <w:bCs/>
                <w:color w:val="002060"/>
                <w:sz w:val="16"/>
                <w:szCs w:val="16"/>
              </w:rPr>
              <w:t>Солдаты</w:t>
            </w:r>
          </w:p>
        </w:tc>
        <w:tc>
          <w:tcPr>
            <w:tcW w:w="1307" w:type="dxa"/>
          </w:tcPr>
          <w:p w14:paraId="1D710790" w14:textId="77777777" w:rsidR="00F2759D" w:rsidRPr="00DE096C" w:rsidRDefault="00F2759D" w:rsidP="00D45A46">
            <w:pPr>
              <w:jc w:val="both"/>
              <w:rPr>
                <w:bCs/>
                <w:color w:val="002060"/>
                <w:sz w:val="16"/>
                <w:szCs w:val="16"/>
              </w:rPr>
            </w:pPr>
            <w:r w:rsidRPr="00DE096C">
              <w:rPr>
                <w:bCs/>
                <w:color w:val="002060"/>
                <w:sz w:val="16"/>
                <w:szCs w:val="16"/>
              </w:rPr>
              <w:t>Ньюпор-4</w:t>
            </w:r>
          </w:p>
        </w:tc>
        <w:tc>
          <w:tcPr>
            <w:tcW w:w="1307" w:type="dxa"/>
          </w:tcPr>
          <w:p w14:paraId="143BE2FA" w14:textId="77777777" w:rsidR="00F2759D" w:rsidRPr="00DE096C" w:rsidRDefault="00F2759D" w:rsidP="00D45A46">
            <w:pPr>
              <w:jc w:val="both"/>
              <w:rPr>
                <w:bCs/>
                <w:color w:val="002060"/>
                <w:sz w:val="16"/>
                <w:szCs w:val="16"/>
              </w:rPr>
            </w:pPr>
            <w:r w:rsidRPr="00DE096C">
              <w:rPr>
                <w:bCs/>
                <w:color w:val="002060"/>
                <w:sz w:val="16"/>
                <w:szCs w:val="16"/>
              </w:rPr>
              <w:t>Фарман 16, 20</w:t>
            </w:r>
          </w:p>
        </w:tc>
        <w:tc>
          <w:tcPr>
            <w:tcW w:w="1307" w:type="dxa"/>
          </w:tcPr>
          <w:p w14:paraId="587F451E" w14:textId="77777777" w:rsidR="00F2759D" w:rsidRPr="00DE096C" w:rsidRDefault="00F2759D" w:rsidP="00D45A46">
            <w:pPr>
              <w:jc w:val="both"/>
              <w:rPr>
                <w:bCs/>
                <w:color w:val="002060"/>
                <w:sz w:val="16"/>
                <w:szCs w:val="16"/>
              </w:rPr>
            </w:pPr>
            <w:r w:rsidRPr="00DE096C">
              <w:rPr>
                <w:bCs/>
                <w:color w:val="002060"/>
                <w:sz w:val="16"/>
                <w:szCs w:val="16"/>
              </w:rPr>
              <w:t>Депердюссен</w:t>
            </w:r>
          </w:p>
        </w:tc>
        <w:tc>
          <w:tcPr>
            <w:tcW w:w="1307" w:type="dxa"/>
          </w:tcPr>
          <w:p w14:paraId="258B87DC" w14:textId="77777777" w:rsidR="00F2759D" w:rsidRPr="00DE096C" w:rsidRDefault="00F2759D" w:rsidP="00D45A46">
            <w:pPr>
              <w:jc w:val="both"/>
              <w:rPr>
                <w:bCs/>
                <w:color w:val="002060"/>
                <w:sz w:val="16"/>
                <w:szCs w:val="16"/>
              </w:rPr>
            </w:pPr>
            <w:r w:rsidRPr="00DE096C">
              <w:rPr>
                <w:bCs/>
                <w:color w:val="002060"/>
                <w:sz w:val="16"/>
                <w:szCs w:val="16"/>
              </w:rPr>
              <w:t>Моран Ж</w:t>
            </w:r>
          </w:p>
        </w:tc>
      </w:tr>
      <w:tr w:rsidR="00F2759D" w:rsidRPr="00DE096C" w14:paraId="537A9FBE" w14:textId="77777777" w:rsidTr="00D34AC1">
        <w:tc>
          <w:tcPr>
            <w:tcW w:w="1101" w:type="dxa"/>
          </w:tcPr>
          <w:p w14:paraId="7CF06350" w14:textId="77777777" w:rsidR="00F2759D" w:rsidRPr="00DE096C" w:rsidRDefault="00F2759D" w:rsidP="00D45A46">
            <w:pPr>
              <w:jc w:val="both"/>
              <w:rPr>
                <w:bCs/>
                <w:color w:val="002060"/>
                <w:sz w:val="16"/>
                <w:szCs w:val="16"/>
              </w:rPr>
            </w:pPr>
          </w:p>
        </w:tc>
        <w:tc>
          <w:tcPr>
            <w:tcW w:w="2268" w:type="dxa"/>
          </w:tcPr>
          <w:p w14:paraId="2D1EE5E1" w14:textId="77777777" w:rsidR="00F2759D" w:rsidRPr="00DE096C" w:rsidRDefault="00F2759D" w:rsidP="00D45A46">
            <w:pPr>
              <w:jc w:val="both"/>
              <w:rPr>
                <w:bCs/>
                <w:color w:val="002060"/>
                <w:sz w:val="16"/>
                <w:szCs w:val="16"/>
              </w:rPr>
            </w:pPr>
            <w:r w:rsidRPr="00DE096C">
              <w:rPr>
                <w:bCs/>
                <w:color w:val="002060"/>
                <w:sz w:val="16"/>
                <w:szCs w:val="16"/>
              </w:rPr>
              <w:t>1-я рота, Петербург</w:t>
            </w:r>
          </w:p>
        </w:tc>
        <w:tc>
          <w:tcPr>
            <w:tcW w:w="1307" w:type="dxa"/>
          </w:tcPr>
          <w:p w14:paraId="1565BF49" w14:textId="77777777" w:rsidR="00F2759D" w:rsidRPr="00DE096C" w:rsidRDefault="00F2759D" w:rsidP="00D45A46">
            <w:pPr>
              <w:jc w:val="both"/>
              <w:rPr>
                <w:bCs/>
                <w:color w:val="002060"/>
                <w:sz w:val="16"/>
                <w:szCs w:val="16"/>
              </w:rPr>
            </w:pPr>
          </w:p>
        </w:tc>
        <w:tc>
          <w:tcPr>
            <w:tcW w:w="1307" w:type="dxa"/>
          </w:tcPr>
          <w:p w14:paraId="7B67FF20" w14:textId="77777777" w:rsidR="00F2759D" w:rsidRPr="00DE096C" w:rsidRDefault="00F2759D" w:rsidP="00D45A46">
            <w:pPr>
              <w:jc w:val="both"/>
              <w:rPr>
                <w:bCs/>
                <w:color w:val="002060"/>
                <w:sz w:val="16"/>
                <w:szCs w:val="16"/>
              </w:rPr>
            </w:pPr>
          </w:p>
        </w:tc>
        <w:tc>
          <w:tcPr>
            <w:tcW w:w="1307" w:type="dxa"/>
          </w:tcPr>
          <w:p w14:paraId="5FB363E3" w14:textId="77777777" w:rsidR="00F2759D" w:rsidRPr="00DE096C" w:rsidRDefault="00F2759D" w:rsidP="00D45A46">
            <w:pPr>
              <w:jc w:val="both"/>
              <w:rPr>
                <w:bCs/>
                <w:color w:val="002060"/>
                <w:sz w:val="16"/>
                <w:szCs w:val="16"/>
              </w:rPr>
            </w:pPr>
          </w:p>
        </w:tc>
        <w:tc>
          <w:tcPr>
            <w:tcW w:w="1307" w:type="dxa"/>
          </w:tcPr>
          <w:p w14:paraId="000BDFA6" w14:textId="77777777" w:rsidR="00F2759D" w:rsidRPr="00DE096C" w:rsidRDefault="00F2759D" w:rsidP="00D45A46">
            <w:pPr>
              <w:jc w:val="both"/>
              <w:rPr>
                <w:bCs/>
                <w:color w:val="002060"/>
                <w:sz w:val="16"/>
                <w:szCs w:val="16"/>
              </w:rPr>
            </w:pPr>
          </w:p>
        </w:tc>
        <w:tc>
          <w:tcPr>
            <w:tcW w:w="1307" w:type="dxa"/>
          </w:tcPr>
          <w:p w14:paraId="628F9129" w14:textId="77777777" w:rsidR="00F2759D" w:rsidRPr="00DE096C" w:rsidRDefault="00F2759D" w:rsidP="00D45A46">
            <w:pPr>
              <w:jc w:val="both"/>
              <w:rPr>
                <w:bCs/>
                <w:color w:val="002060"/>
                <w:sz w:val="16"/>
                <w:szCs w:val="16"/>
              </w:rPr>
            </w:pPr>
          </w:p>
        </w:tc>
        <w:tc>
          <w:tcPr>
            <w:tcW w:w="1307" w:type="dxa"/>
          </w:tcPr>
          <w:p w14:paraId="38C0B208" w14:textId="77777777" w:rsidR="00F2759D" w:rsidRPr="00DE096C" w:rsidRDefault="00F2759D" w:rsidP="00D45A46">
            <w:pPr>
              <w:jc w:val="both"/>
              <w:rPr>
                <w:bCs/>
                <w:color w:val="002060"/>
                <w:sz w:val="16"/>
                <w:szCs w:val="16"/>
              </w:rPr>
            </w:pPr>
          </w:p>
        </w:tc>
      </w:tr>
      <w:tr w:rsidR="00F2759D" w:rsidRPr="00DE096C" w14:paraId="3D69C1FD" w14:textId="77777777" w:rsidTr="00D34AC1">
        <w:tc>
          <w:tcPr>
            <w:tcW w:w="1101" w:type="dxa"/>
          </w:tcPr>
          <w:p w14:paraId="224F16C4" w14:textId="77777777" w:rsidR="00F2759D" w:rsidRPr="00DE096C" w:rsidRDefault="00F2759D" w:rsidP="00D45A46">
            <w:pPr>
              <w:jc w:val="both"/>
              <w:rPr>
                <w:bCs/>
                <w:color w:val="002060"/>
                <w:sz w:val="16"/>
                <w:szCs w:val="16"/>
              </w:rPr>
            </w:pPr>
            <w:r w:rsidRPr="00DE096C">
              <w:rPr>
                <w:bCs/>
                <w:color w:val="002060"/>
                <w:sz w:val="16"/>
                <w:szCs w:val="16"/>
              </w:rPr>
              <w:lastRenderedPageBreak/>
              <w:t>21.07</w:t>
            </w:r>
          </w:p>
        </w:tc>
        <w:tc>
          <w:tcPr>
            <w:tcW w:w="2268" w:type="dxa"/>
          </w:tcPr>
          <w:p w14:paraId="4F290F68" w14:textId="77777777" w:rsidR="00F2759D" w:rsidRPr="00DE096C" w:rsidRDefault="00F2759D" w:rsidP="00D45A46">
            <w:pPr>
              <w:jc w:val="both"/>
              <w:rPr>
                <w:bCs/>
                <w:color w:val="002060"/>
                <w:sz w:val="16"/>
                <w:szCs w:val="16"/>
              </w:rPr>
            </w:pPr>
            <w:r w:rsidRPr="00DE096C">
              <w:rPr>
                <w:bCs/>
                <w:color w:val="002060"/>
                <w:sz w:val="16"/>
                <w:szCs w:val="16"/>
              </w:rPr>
              <w:t>18-й корпавиаотряд</w:t>
            </w:r>
          </w:p>
        </w:tc>
        <w:tc>
          <w:tcPr>
            <w:tcW w:w="1307" w:type="dxa"/>
          </w:tcPr>
          <w:p w14:paraId="7540D714" w14:textId="77777777" w:rsidR="00F2759D" w:rsidRPr="00DE096C" w:rsidRDefault="00F2759D" w:rsidP="00D45A46">
            <w:pPr>
              <w:jc w:val="both"/>
              <w:rPr>
                <w:bCs/>
                <w:color w:val="002060"/>
                <w:sz w:val="16"/>
                <w:szCs w:val="16"/>
              </w:rPr>
            </w:pPr>
            <w:r w:rsidRPr="00DE096C">
              <w:rPr>
                <w:bCs/>
                <w:color w:val="002060"/>
                <w:sz w:val="16"/>
                <w:szCs w:val="16"/>
              </w:rPr>
              <w:t>4</w:t>
            </w:r>
          </w:p>
        </w:tc>
        <w:tc>
          <w:tcPr>
            <w:tcW w:w="1307" w:type="dxa"/>
          </w:tcPr>
          <w:p w14:paraId="53881359" w14:textId="77777777" w:rsidR="00F2759D" w:rsidRPr="00DE096C" w:rsidRDefault="00F2759D" w:rsidP="00D45A46">
            <w:pPr>
              <w:jc w:val="both"/>
              <w:rPr>
                <w:bCs/>
                <w:color w:val="002060"/>
                <w:sz w:val="16"/>
                <w:szCs w:val="16"/>
              </w:rPr>
            </w:pPr>
            <w:r w:rsidRPr="00DE096C">
              <w:rPr>
                <w:bCs/>
                <w:color w:val="002060"/>
                <w:sz w:val="16"/>
                <w:szCs w:val="16"/>
              </w:rPr>
              <w:t>1</w:t>
            </w:r>
          </w:p>
        </w:tc>
        <w:tc>
          <w:tcPr>
            <w:tcW w:w="1307" w:type="dxa"/>
          </w:tcPr>
          <w:p w14:paraId="265B2B8E" w14:textId="77777777" w:rsidR="00F2759D" w:rsidRPr="00DE096C" w:rsidRDefault="00F2759D" w:rsidP="00D45A46">
            <w:pPr>
              <w:jc w:val="both"/>
              <w:rPr>
                <w:bCs/>
                <w:color w:val="002060"/>
                <w:sz w:val="16"/>
                <w:szCs w:val="16"/>
              </w:rPr>
            </w:pPr>
            <w:r w:rsidRPr="00DE096C">
              <w:rPr>
                <w:bCs/>
                <w:color w:val="002060"/>
                <w:sz w:val="16"/>
                <w:szCs w:val="16"/>
              </w:rPr>
              <w:t>6</w:t>
            </w:r>
          </w:p>
        </w:tc>
        <w:tc>
          <w:tcPr>
            <w:tcW w:w="1307" w:type="dxa"/>
          </w:tcPr>
          <w:p w14:paraId="12A2A17C"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0419BCAF"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6A68469C" w14:textId="77777777" w:rsidR="00F2759D" w:rsidRPr="00DE096C" w:rsidRDefault="00F2759D" w:rsidP="00D45A46">
            <w:pPr>
              <w:jc w:val="both"/>
              <w:rPr>
                <w:bCs/>
                <w:color w:val="002060"/>
                <w:sz w:val="16"/>
                <w:szCs w:val="16"/>
              </w:rPr>
            </w:pPr>
            <w:r w:rsidRPr="00DE096C">
              <w:rPr>
                <w:bCs/>
                <w:color w:val="002060"/>
                <w:sz w:val="16"/>
                <w:szCs w:val="16"/>
              </w:rPr>
              <w:t>-</w:t>
            </w:r>
          </w:p>
        </w:tc>
      </w:tr>
      <w:tr w:rsidR="00F2759D" w:rsidRPr="00DE096C" w14:paraId="5833AD85" w14:textId="77777777" w:rsidTr="00D34AC1">
        <w:tc>
          <w:tcPr>
            <w:tcW w:w="1101" w:type="dxa"/>
          </w:tcPr>
          <w:p w14:paraId="1D43CF4B" w14:textId="77777777" w:rsidR="00F2759D" w:rsidRPr="00DE096C" w:rsidRDefault="00F2759D" w:rsidP="00D45A46">
            <w:pPr>
              <w:jc w:val="both"/>
              <w:rPr>
                <w:bCs/>
                <w:color w:val="002060"/>
                <w:sz w:val="16"/>
                <w:szCs w:val="16"/>
              </w:rPr>
            </w:pPr>
            <w:r w:rsidRPr="00DE096C">
              <w:rPr>
                <w:bCs/>
                <w:color w:val="002060"/>
                <w:sz w:val="16"/>
                <w:szCs w:val="16"/>
              </w:rPr>
              <w:t>25.07</w:t>
            </w:r>
          </w:p>
        </w:tc>
        <w:tc>
          <w:tcPr>
            <w:tcW w:w="2268" w:type="dxa"/>
          </w:tcPr>
          <w:p w14:paraId="4D74358E" w14:textId="77777777" w:rsidR="00F2759D" w:rsidRPr="00DE096C" w:rsidRDefault="00F2759D" w:rsidP="00D45A46">
            <w:pPr>
              <w:jc w:val="both"/>
              <w:rPr>
                <w:bCs/>
                <w:color w:val="002060"/>
                <w:sz w:val="16"/>
                <w:szCs w:val="16"/>
              </w:rPr>
            </w:pPr>
            <w:r w:rsidRPr="00DE096C">
              <w:rPr>
                <w:bCs/>
                <w:color w:val="002060"/>
                <w:sz w:val="16"/>
                <w:szCs w:val="16"/>
              </w:rPr>
              <w:t>22-й корпавиаотряд</w:t>
            </w:r>
          </w:p>
        </w:tc>
        <w:tc>
          <w:tcPr>
            <w:tcW w:w="1307" w:type="dxa"/>
          </w:tcPr>
          <w:p w14:paraId="7E376319" w14:textId="77777777" w:rsidR="00F2759D" w:rsidRPr="00DE096C" w:rsidRDefault="00F2759D" w:rsidP="00D45A46">
            <w:pPr>
              <w:jc w:val="both"/>
              <w:rPr>
                <w:bCs/>
                <w:color w:val="002060"/>
                <w:sz w:val="16"/>
                <w:szCs w:val="16"/>
              </w:rPr>
            </w:pPr>
            <w:r w:rsidRPr="00DE096C">
              <w:rPr>
                <w:bCs/>
                <w:color w:val="002060"/>
                <w:sz w:val="16"/>
                <w:szCs w:val="16"/>
              </w:rPr>
              <w:t>6</w:t>
            </w:r>
          </w:p>
        </w:tc>
        <w:tc>
          <w:tcPr>
            <w:tcW w:w="1307" w:type="dxa"/>
          </w:tcPr>
          <w:p w14:paraId="2DE1A01B" w14:textId="77777777" w:rsidR="00F2759D" w:rsidRPr="00DE096C" w:rsidRDefault="00F2759D" w:rsidP="00D45A46">
            <w:pPr>
              <w:jc w:val="both"/>
              <w:rPr>
                <w:bCs/>
                <w:color w:val="002060"/>
                <w:sz w:val="16"/>
                <w:szCs w:val="16"/>
              </w:rPr>
            </w:pPr>
            <w:r w:rsidRPr="00DE096C">
              <w:rPr>
                <w:bCs/>
                <w:color w:val="002060"/>
                <w:sz w:val="16"/>
                <w:szCs w:val="16"/>
              </w:rPr>
              <w:t>2</w:t>
            </w:r>
          </w:p>
        </w:tc>
        <w:tc>
          <w:tcPr>
            <w:tcW w:w="1307" w:type="dxa"/>
          </w:tcPr>
          <w:p w14:paraId="43C8068C"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6BB0016C"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5A3380E5" w14:textId="77777777" w:rsidR="00F2759D" w:rsidRPr="00DE096C" w:rsidRDefault="00F2759D" w:rsidP="00D45A46">
            <w:pPr>
              <w:jc w:val="both"/>
              <w:rPr>
                <w:bCs/>
                <w:color w:val="002060"/>
                <w:sz w:val="16"/>
                <w:szCs w:val="16"/>
              </w:rPr>
            </w:pPr>
            <w:r w:rsidRPr="00DE096C">
              <w:rPr>
                <w:bCs/>
                <w:color w:val="002060"/>
                <w:sz w:val="16"/>
                <w:szCs w:val="16"/>
              </w:rPr>
              <w:t>7</w:t>
            </w:r>
          </w:p>
        </w:tc>
        <w:tc>
          <w:tcPr>
            <w:tcW w:w="1307" w:type="dxa"/>
          </w:tcPr>
          <w:p w14:paraId="04E4CA5B" w14:textId="77777777" w:rsidR="00F2759D" w:rsidRPr="00DE096C" w:rsidRDefault="00F2759D" w:rsidP="00D45A46">
            <w:pPr>
              <w:jc w:val="both"/>
              <w:rPr>
                <w:bCs/>
                <w:color w:val="002060"/>
                <w:sz w:val="16"/>
                <w:szCs w:val="16"/>
              </w:rPr>
            </w:pPr>
            <w:r w:rsidRPr="00DE096C">
              <w:rPr>
                <w:bCs/>
                <w:color w:val="002060"/>
                <w:sz w:val="16"/>
                <w:szCs w:val="16"/>
              </w:rPr>
              <w:t>-</w:t>
            </w:r>
          </w:p>
        </w:tc>
      </w:tr>
      <w:tr w:rsidR="00F2759D" w:rsidRPr="00DE096C" w14:paraId="335D5DB0" w14:textId="77777777" w:rsidTr="00D34AC1">
        <w:tc>
          <w:tcPr>
            <w:tcW w:w="1101" w:type="dxa"/>
          </w:tcPr>
          <w:p w14:paraId="5194A474" w14:textId="77777777" w:rsidR="00F2759D" w:rsidRPr="00DE096C" w:rsidRDefault="00F2759D" w:rsidP="00D45A46">
            <w:pPr>
              <w:jc w:val="both"/>
              <w:rPr>
                <w:bCs/>
                <w:color w:val="002060"/>
                <w:sz w:val="16"/>
                <w:szCs w:val="16"/>
              </w:rPr>
            </w:pPr>
            <w:r w:rsidRPr="00DE096C">
              <w:rPr>
                <w:bCs/>
                <w:color w:val="002060"/>
                <w:sz w:val="16"/>
                <w:szCs w:val="16"/>
              </w:rPr>
              <w:t>25.07</w:t>
            </w:r>
          </w:p>
        </w:tc>
        <w:tc>
          <w:tcPr>
            <w:tcW w:w="2268" w:type="dxa"/>
          </w:tcPr>
          <w:p w14:paraId="4E75C783" w14:textId="77777777" w:rsidR="00F2759D" w:rsidRPr="00DE096C" w:rsidRDefault="00F2759D" w:rsidP="00D45A46">
            <w:pPr>
              <w:jc w:val="both"/>
              <w:rPr>
                <w:bCs/>
                <w:color w:val="002060"/>
                <w:sz w:val="16"/>
                <w:szCs w:val="16"/>
              </w:rPr>
            </w:pPr>
            <w:r w:rsidRPr="00DE096C">
              <w:rPr>
                <w:bCs/>
                <w:color w:val="002060"/>
                <w:sz w:val="16"/>
                <w:szCs w:val="16"/>
              </w:rPr>
              <w:t>Гвардейский отряд</w:t>
            </w:r>
          </w:p>
        </w:tc>
        <w:tc>
          <w:tcPr>
            <w:tcW w:w="1307" w:type="dxa"/>
          </w:tcPr>
          <w:p w14:paraId="1773D079" w14:textId="77777777" w:rsidR="00F2759D" w:rsidRPr="00DE096C" w:rsidRDefault="00F2759D" w:rsidP="00D45A46">
            <w:pPr>
              <w:jc w:val="both"/>
              <w:rPr>
                <w:bCs/>
                <w:color w:val="002060"/>
                <w:sz w:val="16"/>
                <w:szCs w:val="16"/>
              </w:rPr>
            </w:pPr>
            <w:r w:rsidRPr="00DE096C">
              <w:rPr>
                <w:bCs/>
                <w:color w:val="002060"/>
                <w:sz w:val="16"/>
                <w:szCs w:val="16"/>
              </w:rPr>
              <w:t>6</w:t>
            </w:r>
          </w:p>
        </w:tc>
        <w:tc>
          <w:tcPr>
            <w:tcW w:w="1307" w:type="dxa"/>
          </w:tcPr>
          <w:p w14:paraId="51116A4D" w14:textId="77777777" w:rsidR="00F2759D" w:rsidRPr="00DE096C" w:rsidRDefault="00F2759D" w:rsidP="00D45A46">
            <w:pPr>
              <w:jc w:val="both"/>
              <w:rPr>
                <w:bCs/>
                <w:color w:val="002060"/>
                <w:sz w:val="16"/>
                <w:szCs w:val="16"/>
              </w:rPr>
            </w:pPr>
            <w:r w:rsidRPr="00DE096C">
              <w:rPr>
                <w:bCs/>
                <w:color w:val="002060"/>
                <w:sz w:val="16"/>
                <w:szCs w:val="16"/>
              </w:rPr>
              <w:t>1</w:t>
            </w:r>
          </w:p>
        </w:tc>
        <w:tc>
          <w:tcPr>
            <w:tcW w:w="1307" w:type="dxa"/>
          </w:tcPr>
          <w:p w14:paraId="2427FC98" w14:textId="77777777" w:rsidR="00F2759D" w:rsidRPr="00DE096C" w:rsidRDefault="00F2759D" w:rsidP="00D45A46">
            <w:pPr>
              <w:jc w:val="both"/>
              <w:rPr>
                <w:bCs/>
                <w:color w:val="002060"/>
                <w:sz w:val="16"/>
                <w:szCs w:val="16"/>
              </w:rPr>
            </w:pPr>
            <w:r w:rsidRPr="00DE096C">
              <w:rPr>
                <w:bCs/>
                <w:color w:val="002060"/>
                <w:sz w:val="16"/>
                <w:szCs w:val="16"/>
              </w:rPr>
              <w:t>6</w:t>
            </w:r>
          </w:p>
        </w:tc>
        <w:tc>
          <w:tcPr>
            <w:tcW w:w="1307" w:type="dxa"/>
          </w:tcPr>
          <w:p w14:paraId="2D1206EC"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27A04BF3"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4B8E764E" w14:textId="77777777" w:rsidR="00F2759D" w:rsidRPr="00DE096C" w:rsidRDefault="00F2759D" w:rsidP="00D45A46">
            <w:pPr>
              <w:jc w:val="both"/>
              <w:rPr>
                <w:bCs/>
                <w:color w:val="002060"/>
                <w:sz w:val="16"/>
                <w:szCs w:val="16"/>
              </w:rPr>
            </w:pPr>
            <w:r w:rsidRPr="00DE096C">
              <w:rPr>
                <w:bCs/>
                <w:color w:val="002060"/>
                <w:sz w:val="16"/>
                <w:szCs w:val="16"/>
              </w:rPr>
              <w:t>-</w:t>
            </w:r>
          </w:p>
        </w:tc>
      </w:tr>
      <w:tr w:rsidR="00F2759D" w:rsidRPr="00DE096C" w14:paraId="43B0EF76" w14:textId="77777777" w:rsidTr="00D34AC1">
        <w:tc>
          <w:tcPr>
            <w:tcW w:w="1101" w:type="dxa"/>
          </w:tcPr>
          <w:p w14:paraId="1FDFEA21" w14:textId="77777777" w:rsidR="00F2759D" w:rsidRPr="00DE096C" w:rsidRDefault="00F2759D" w:rsidP="00D45A46">
            <w:pPr>
              <w:jc w:val="both"/>
              <w:rPr>
                <w:bCs/>
                <w:color w:val="002060"/>
                <w:sz w:val="16"/>
                <w:szCs w:val="16"/>
              </w:rPr>
            </w:pPr>
            <w:r w:rsidRPr="00DE096C">
              <w:rPr>
                <w:bCs/>
                <w:color w:val="002060"/>
                <w:sz w:val="16"/>
                <w:szCs w:val="16"/>
              </w:rPr>
              <w:t>25.07</w:t>
            </w:r>
          </w:p>
        </w:tc>
        <w:tc>
          <w:tcPr>
            <w:tcW w:w="2268" w:type="dxa"/>
          </w:tcPr>
          <w:p w14:paraId="6C25A883" w14:textId="77777777" w:rsidR="00F2759D" w:rsidRPr="00DE096C" w:rsidRDefault="00F2759D" w:rsidP="00D45A46">
            <w:pPr>
              <w:jc w:val="both"/>
              <w:rPr>
                <w:bCs/>
                <w:color w:val="002060"/>
                <w:sz w:val="16"/>
                <w:szCs w:val="16"/>
              </w:rPr>
            </w:pPr>
            <w:r w:rsidRPr="00DE096C">
              <w:rPr>
                <w:bCs/>
                <w:color w:val="002060"/>
                <w:sz w:val="16"/>
                <w:szCs w:val="16"/>
              </w:rPr>
              <w:t>1-й корпавиаотряд</w:t>
            </w:r>
          </w:p>
        </w:tc>
        <w:tc>
          <w:tcPr>
            <w:tcW w:w="1307" w:type="dxa"/>
          </w:tcPr>
          <w:p w14:paraId="7BBE9017" w14:textId="77777777" w:rsidR="00F2759D" w:rsidRPr="00DE096C" w:rsidRDefault="00F2759D" w:rsidP="00D45A46">
            <w:pPr>
              <w:jc w:val="both"/>
              <w:rPr>
                <w:bCs/>
                <w:color w:val="002060"/>
                <w:sz w:val="16"/>
                <w:szCs w:val="16"/>
              </w:rPr>
            </w:pPr>
            <w:r w:rsidRPr="00DE096C">
              <w:rPr>
                <w:bCs/>
                <w:color w:val="002060"/>
                <w:sz w:val="16"/>
                <w:szCs w:val="16"/>
              </w:rPr>
              <w:t>6</w:t>
            </w:r>
          </w:p>
        </w:tc>
        <w:tc>
          <w:tcPr>
            <w:tcW w:w="1307" w:type="dxa"/>
          </w:tcPr>
          <w:p w14:paraId="58AAAEC7" w14:textId="77777777" w:rsidR="00F2759D" w:rsidRPr="00DE096C" w:rsidRDefault="00F2759D" w:rsidP="00D45A46">
            <w:pPr>
              <w:jc w:val="both"/>
              <w:rPr>
                <w:bCs/>
                <w:color w:val="002060"/>
                <w:sz w:val="16"/>
                <w:szCs w:val="16"/>
              </w:rPr>
            </w:pPr>
            <w:r w:rsidRPr="00DE096C">
              <w:rPr>
                <w:bCs/>
                <w:color w:val="002060"/>
                <w:sz w:val="16"/>
                <w:szCs w:val="16"/>
              </w:rPr>
              <w:t>1</w:t>
            </w:r>
          </w:p>
        </w:tc>
        <w:tc>
          <w:tcPr>
            <w:tcW w:w="1307" w:type="dxa"/>
          </w:tcPr>
          <w:p w14:paraId="26FFDBD7"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40A18EE3" w14:textId="77777777" w:rsidR="00F2759D" w:rsidRPr="00DE096C" w:rsidRDefault="00F2759D" w:rsidP="00D45A46">
            <w:pPr>
              <w:jc w:val="both"/>
              <w:rPr>
                <w:bCs/>
                <w:color w:val="002060"/>
                <w:sz w:val="16"/>
                <w:szCs w:val="16"/>
              </w:rPr>
            </w:pPr>
            <w:r w:rsidRPr="00DE096C">
              <w:rPr>
                <w:bCs/>
                <w:color w:val="002060"/>
                <w:sz w:val="16"/>
                <w:szCs w:val="16"/>
              </w:rPr>
              <w:t>8</w:t>
            </w:r>
          </w:p>
        </w:tc>
        <w:tc>
          <w:tcPr>
            <w:tcW w:w="1307" w:type="dxa"/>
          </w:tcPr>
          <w:p w14:paraId="10F374C2"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66D2E53B" w14:textId="77777777" w:rsidR="00F2759D" w:rsidRPr="00DE096C" w:rsidRDefault="00F2759D" w:rsidP="00D45A46">
            <w:pPr>
              <w:jc w:val="both"/>
              <w:rPr>
                <w:bCs/>
                <w:color w:val="002060"/>
                <w:sz w:val="16"/>
                <w:szCs w:val="16"/>
              </w:rPr>
            </w:pPr>
            <w:r w:rsidRPr="00DE096C">
              <w:rPr>
                <w:bCs/>
                <w:color w:val="002060"/>
                <w:sz w:val="16"/>
                <w:szCs w:val="16"/>
              </w:rPr>
              <w:t>-</w:t>
            </w:r>
          </w:p>
        </w:tc>
      </w:tr>
      <w:tr w:rsidR="00F2759D" w:rsidRPr="00DE096C" w14:paraId="678C94A0" w14:textId="77777777" w:rsidTr="00D34AC1">
        <w:tc>
          <w:tcPr>
            <w:tcW w:w="1101" w:type="dxa"/>
          </w:tcPr>
          <w:p w14:paraId="75DF5256" w14:textId="77777777" w:rsidR="00F2759D" w:rsidRPr="00DE096C" w:rsidRDefault="00F2759D" w:rsidP="00D45A46">
            <w:pPr>
              <w:jc w:val="both"/>
              <w:rPr>
                <w:bCs/>
                <w:color w:val="002060"/>
                <w:sz w:val="16"/>
                <w:szCs w:val="16"/>
              </w:rPr>
            </w:pPr>
            <w:r w:rsidRPr="00DE096C">
              <w:rPr>
                <w:bCs/>
                <w:color w:val="002060"/>
                <w:sz w:val="16"/>
                <w:szCs w:val="16"/>
              </w:rPr>
              <w:t>25.07</w:t>
            </w:r>
          </w:p>
        </w:tc>
        <w:tc>
          <w:tcPr>
            <w:tcW w:w="2268" w:type="dxa"/>
          </w:tcPr>
          <w:p w14:paraId="1366B098" w14:textId="77777777" w:rsidR="00F2759D" w:rsidRPr="00DE096C" w:rsidRDefault="00F2759D" w:rsidP="00D45A46">
            <w:pPr>
              <w:jc w:val="both"/>
              <w:rPr>
                <w:bCs/>
                <w:color w:val="002060"/>
                <w:sz w:val="16"/>
                <w:szCs w:val="16"/>
              </w:rPr>
            </w:pPr>
            <w:r w:rsidRPr="00DE096C">
              <w:rPr>
                <w:bCs/>
                <w:color w:val="002060"/>
                <w:sz w:val="16"/>
                <w:szCs w:val="16"/>
              </w:rPr>
              <w:t>5-й корпавиаотряд</w:t>
            </w:r>
          </w:p>
        </w:tc>
        <w:tc>
          <w:tcPr>
            <w:tcW w:w="1307" w:type="dxa"/>
          </w:tcPr>
          <w:p w14:paraId="65917ABA" w14:textId="77777777" w:rsidR="00F2759D" w:rsidRPr="00DE096C" w:rsidRDefault="00F2759D" w:rsidP="00D45A46">
            <w:pPr>
              <w:jc w:val="both"/>
              <w:rPr>
                <w:bCs/>
                <w:color w:val="002060"/>
                <w:sz w:val="16"/>
                <w:szCs w:val="16"/>
              </w:rPr>
            </w:pPr>
            <w:r w:rsidRPr="00DE096C">
              <w:rPr>
                <w:bCs/>
                <w:color w:val="002060"/>
                <w:sz w:val="16"/>
                <w:szCs w:val="16"/>
              </w:rPr>
              <w:t>5</w:t>
            </w:r>
          </w:p>
        </w:tc>
        <w:tc>
          <w:tcPr>
            <w:tcW w:w="1307" w:type="dxa"/>
          </w:tcPr>
          <w:p w14:paraId="191E24AA" w14:textId="77777777" w:rsidR="00F2759D" w:rsidRPr="00DE096C" w:rsidRDefault="00F2759D" w:rsidP="00D45A46">
            <w:pPr>
              <w:jc w:val="both"/>
              <w:rPr>
                <w:bCs/>
                <w:color w:val="002060"/>
                <w:sz w:val="16"/>
                <w:szCs w:val="16"/>
              </w:rPr>
            </w:pPr>
            <w:r w:rsidRPr="00DE096C">
              <w:rPr>
                <w:bCs/>
                <w:color w:val="002060"/>
                <w:sz w:val="16"/>
                <w:szCs w:val="16"/>
              </w:rPr>
              <w:t>1</w:t>
            </w:r>
          </w:p>
        </w:tc>
        <w:tc>
          <w:tcPr>
            <w:tcW w:w="1307" w:type="dxa"/>
          </w:tcPr>
          <w:p w14:paraId="3471413C"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77E06C77" w14:textId="77777777" w:rsidR="00F2759D" w:rsidRPr="00DE096C" w:rsidRDefault="00F2759D" w:rsidP="00D45A46">
            <w:pPr>
              <w:jc w:val="both"/>
              <w:rPr>
                <w:bCs/>
                <w:color w:val="002060"/>
                <w:sz w:val="16"/>
                <w:szCs w:val="16"/>
              </w:rPr>
            </w:pPr>
            <w:r w:rsidRPr="00DE096C">
              <w:rPr>
                <w:bCs/>
                <w:color w:val="002060"/>
                <w:sz w:val="16"/>
                <w:szCs w:val="16"/>
              </w:rPr>
              <w:t>6</w:t>
            </w:r>
          </w:p>
        </w:tc>
        <w:tc>
          <w:tcPr>
            <w:tcW w:w="1307" w:type="dxa"/>
          </w:tcPr>
          <w:p w14:paraId="77AE10FB"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6BCE61D8" w14:textId="77777777" w:rsidR="00F2759D" w:rsidRPr="00DE096C" w:rsidRDefault="00F2759D" w:rsidP="00D45A46">
            <w:pPr>
              <w:jc w:val="both"/>
              <w:rPr>
                <w:bCs/>
                <w:color w:val="002060"/>
                <w:sz w:val="16"/>
                <w:szCs w:val="16"/>
              </w:rPr>
            </w:pPr>
            <w:r w:rsidRPr="00DE096C">
              <w:rPr>
                <w:bCs/>
                <w:color w:val="002060"/>
                <w:sz w:val="16"/>
                <w:szCs w:val="16"/>
              </w:rPr>
              <w:t>-</w:t>
            </w:r>
          </w:p>
        </w:tc>
      </w:tr>
      <w:tr w:rsidR="00F2759D" w:rsidRPr="00DE096C" w14:paraId="2DA68BAD" w14:textId="77777777" w:rsidTr="00D34AC1">
        <w:tc>
          <w:tcPr>
            <w:tcW w:w="1101" w:type="dxa"/>
          </w:tcPr>
          <w:p w14:paraId="172EB364" w14:textId="77777777" w:rsidR="00F2759D" w:rsidRPr="00DE096C" w:rsidRDefault="00F2759D" w:rsidP="00D45A46">
            <w:pPr>
              <w:jc w:val="both"/>
              <w:rPr>
                <w:bCs/>
                <w:color w:val="002060"/>
                <w:sz w:val="16"/>
                <w:szCs w:val="16"/>
              </w:rPr>
            </w:pPr>
            <w:r w:rsidRPr="00DE096C">
              <w:rPr>
                <w:bCs/>
                <w:color w:val="002060"/>
                <w:sz w:val="16"/>
                <w:szCs w:val="16"/>
              </w:rPr>
              <w:t>14.08</w:t>
            </w:r>
          </w:p>
        </w:tc>
        <w:tc>
          <w:tcPr>
            <w:tcW w:w="2268" w:type="dxa"/>
          </w:tcPr>
          <w:p w14:paraId="75A4C111" w14:textId="77777777" w:rsidR="00F2759D" w:rsidRPr="00DE096C" w:rsidRDefault="00F2759D" w:rsidP="00D45A46">
            <w:pPr>
              <w:jc w:val="both"/>
              <w:rPr>
                <w:bCs/>
                <w:color w:val="002060"/>
                <w:sz w:val="16"/>
                <w:szCs w:val="16"/>
              </w:rPr>
            </w:pPr>
            <w:r w:rsidRPr="00DE096C">
              <w:rPr>
                <w:bCs/>
                <w:color w:val="002060"/>
                <w:sz w:val="16"/>
                <w:szCs w:val="16"/>
              </w:rPr>
              <w:t>16-й корпавиаотряд</w:t>
            </w:r>
          </w:p>
        </w:tc>
        <w:tc>
          <w:tcPr>
            <w:tcW w:w="1307" w:type="dxa"/>
          </w:tcPr>
          <w:p w14:paraId="4C8F9CCA" w14:textId="77777777" w:rsidR="00F2759D" w:rsidRPr="00DE096C" w:rsidRDefault="00F2759D" w:rsidP="00D45A46">
            <w:pPr>
              <w:jc w:val="both"/>
              <w:rPr>
                <w:bCs/>
                <w:color w:val="002060"/>
                <w:sz w:val="16"/>
                <w:szCs w:val="16"/>
              </w:rPr>
            </w:pPr>
            <w:r w:rsidRPr="00DE096C">
              <w:rPr>
                <w:bCs/>
                <w:color w:val="002060"/>
                <w:sz w:val="16"/>
                <w:szCs w:val="16"/>
              </w:rPr>
              <w:t>4</w:t>
            </w:r>
          </w:p>
        </w:tc>
        <w:tc>
          <w:tcPr>
            <w:tcW w:w="1307" w:type="dxa"/>
          </w:tcPr>
          <w:p w14:paraId="3C7ED5B6" w14:textId="77777777" w:rsidR="00F2759D" w:rsidRPr="00DE096C" w:rsidRDefault="00F2759D" w:rsidP="00D45A46">
            <w:pPr>
              <w:jc w:val="both"/>
              <w:rPr>
                <w:bCs/>
                <w:color w:val="002060"/>
                <w:sz w:val="16"/>
                <w:szCs w:val="16"/>
              </w:rPr>
            </w:pPr>
            <w:r w:rsidRPr="00DE096C">
              <w:rPr>
                <w:bCs/>
                <w:color w:val="002060"/>
                <w:sz w:val="16"/>
                <w:szCs w:val="16"/>
              </w:rPr>
              <w:t>2</w:t>
            </w:r>
          </w:p>
        </w:tc>
        <w:tc>
          <w:tcPr>
            <w:tcW w:w="1307" w:type="dxa"/>
          </w:tcPr>
          <w:p w14:paraId="68D98945"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7C741A51"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0D22981B"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0331EEE5" w14:textId="77777777" w:rsidR="00F2759D" w:rsidRPr="00DE096C" w:rsidRDefault="00F2759D" w:rsidP="00D45A46">
            <w:pPr>
              <w:jc w:val="both"/>
              <w:rPr>
                <w:bCs/>
                <w:color w:val="002060"/>
                <w:sz w:val="16"/>
                <w:szCs w:val="16"/>
              </w:rPr>
            </w:pPr>
            <w:r w:rsidRPr="00DE096C">
              <w:rPr>
                <w:bCs/>
                <w:color w:val="002060"/>
                <w:sz w:val="16"/>
                <w:szCs w:val="16"/>
              </w:rPr>
              <w:t>8</w:t>
            </w:r>
          </w:p>
        </w:tc>
      </w:tr>
      <w:tr w:rsidR="00F2759D" w:rsidRPr="00DE096C" w14:paraId="798F3139" w14:textId="77777777" w:rsidTr="00D34AC1">
        <w:tc>
          <w:tcPr>
            <w:tcW w:w="1101" w:type="dxa"/>
          </w:tcPr>
          <w:p w14:paraId="69494670" w14:textId="77777777" w:rsidR="00F2759D" w:rsidRPr="00DE096C" w:rsidRDefault="00F2759D" w:rsidP="00D45A46">
            <w:pPr>
              <w:jc w:val="both"/>
              <w:rPr>
                <w:bCs/>
                <w:color w:val="002060"/>
                <w:sz w:val="16"/>
                <w:szCs w:val="16"/>
              </w:rPr>
            </w:pPr>
          </w:p>
        </w:tc>
        <w:tc>
          <w:tcPr>
            <w:tcW w:w="2268" w:type="dxa"/>
          </w:tcPr>
          <w:p w14:paraId="3B201852" w14:textId="77777777" w:rsidR="00F2759D" w:rsidRPr="00DE096C" w:rsidRDefault="00F2759D" w:rsidP="00D45A46">
            <w:pPr>
              <w:jc w:val="both"/>
              <w:rPr>
                <w:bCs/>
                <w:color w:val="002060"/>
                <w:sz w:val="16"/>
                <w:szCs w:val="16"/>
              </w:rPr>
            </w:pPr>
            <w:r w:rsidRPr="00DE096C">
              <w:rPr>
                <w:bCs/>
                <w:color w:val="002060"/>
                <w:sz w:val="16"/>
                <w:szCs w:val="16"/>
              </w:rPr>
              <w:t>2-я рота, Варшава</w:t>
            </w:r>
          </w:p>
        </w:tc>
        <w:tc>
          <w:tcPr>
            <w:tcW w:w="1307" w:type="dxa"/>
          </w:tcPr>
          <w:p w14:paraId="5951CF44" w14:textId="77777777" w:rsidR="00F2759D" w:rsidRPr="00DE096C" w:rsidRDefault="00F2759D" w:rsidP="00D45A46">
            <w:pPr>
              <w:jc w:val="both"/>
              <w:rPr>
                <w:bCs/>
                <w:color w:val="002060"/>
                <w:sz w:val="16"/>
                <w:szCs w:val="16"/>
              </w:rPr>
            </w:pPr>
          </w:p>
        </w:tc>
        <w:tc>
          <w:tcPr>
            <w:tcW w:w="1307" w:type="dxa"/>
          </w:tcPr>
          <w:p w14:paraId="32893680" w14:textId="77777777" w:rsidR="00F2759D" w:rsidRPr="00DE096C" w:rsidRDefault="00F2759D" w:rsidP="00D45A46">
            <w:pPr>
              <w:jc w:val="both"/>
              <w:rPr>
                <w:bCs/>
                <w:color w:val="002060"/>
                <w:sz w:val="16"/>
                <w:szCs w:val="16"/>
              </w:rPr>
            </w:pPr>
          </w:p>
        </w:tc>
        <w:tc>
          <w:tcPr>
            <w:tcW w:w="1307" w:type="dxa"/>
          </w:tcPr>
          <w:p w14:paraId="54FC9B53" w14:textId="77777777" w:rsidR="00F2759D" w:rsidRPr="00DE096C" w:rsidRDefault="00F2759D" w:rsidP="00D45A46">
            <w:pPr>
              <w:jc w:val="both"/>
              <w:rPr>
                <w:bCs/>
                <w:color w:val="002060"/>
                <w:sz w:val="16"/>
                <w:szCs w:val="16"/>
              </w:rPr>
            </w:pPr>
          </w:p>
        </w:tc>
        <w:tc>
          <w:tcPr>
            <w:tcW w:w="1307" w:type="dxa"/>
          </w:tcPr>
          <w:p w14:paraId="79DF9C49" w14:textId="77777777" w:rsidR="00F2759D" w:rsidRPr="00DE096C" w:rsidRDefault="00F2759D" w:rsidP="00D45A46">
            <w:pPr>
              <w:jc w:val="both"/>
              <w:rPr>
                <w:bCs/>
                <w:color w:val="002060"/>
                <w:sz w:val="16"/>
                <w:szCs w:val="16"/>
              </w:rPr>
            </w:pPr>
          </w:p>
        </w:tc>
        <w:tc>
          <w:tcPr>
            <w:tcW w:w="1307" w:type="dxa"/>
          </w:tcPr>
          <w:p w14:paraId="127B9442" w14:textId="77777777" w:rsidR="00F2759D" w:rsidRPr="00DE096C" w:rsidRDefault="00F2759D" w:rsidP="00D45A46">
            <w:pPr>
              <w:jc w:val="both"/>
              <w:rPr>
                <w:bCs/>
                <w:color w:val="002060"/>
                <w:sz w:val="16"/>
                <w:szCs w:val="16"/>
              </w:rPr>
            </w:pPr>
          </w:p>
        </w:tc>
        <w:tc>
          <w:tcPr>
            <w:tcW w:w="1307" w:type="dxa"/>
          </w:tcPr>
          <w:p w14:paraId="29F365A5" w14:textId="77777777" w:rsidR="00F2759D" w:rsidRPr="00DE096C" w:rsidRDefault="00F2759D" w:rsidP="00D45A46">
            <w:pPr>
              <w:jc w:val="both"/>
              <w:rPr>
                <w:bCs/>
                <w:color w:val="002060"/>
                <w:sz w:val="16"/>
                <w:szCs w:val="16"/>
              </w:rPr>
            </w:pPr>
          </w:p>
        </w:tc>
      </w:tr>
      <w:tr w:rsidR="00F2759D" w:rsidRPr="00DE096C" w14:paraId="6F127F93" w14:textId="77777777" w:rsidTr="00D34AC1">
        <w:tc>
          <w:tcPr>
            <w:tcW w:w="1101" w:type="dxa"/>
          </w:tcPr>
          <w:p w14:paraId="05604016" w14:textId="77777777" w:rsidR="00F2759D" w:rsidRPr="00DE096C" w:rsidRDefault="00F2759D" w:rsidP="00D45A46">
            <w:pPr>
              <w:jc w:val="both"/>
              <w:rPr>
                <w:bCs/>
                <w:color w:val="002060"/>
                <w:sz w:val="16"/>
                <w:szCs w:val="16"/>
              </w:rPr>
            </w:pPr>
          </w:p>
        </w:tc>
        <w:tc>
          <w:tcPr>
            <w:tcW w:w="2268" w:type="dxa"/>
          </w:tcPr>
          <w:p w14:paraId="58874084" w14:textId="77777777" w:rsidR="00F2759D" w:rsidRPr="00DE096C" w:rsidRDefault="00F2759D" w:rsidP="00D45A46">
            <w:pPr>
              <w:jc w:val="both"/>
              <w:rPr>
                <w:bCs/>
                <w:color w:val="002060"/>
                <w:sz w:val="16"/>
                <w:szCs w:val="16"/>
              </w:rPr>
            </w:pPr>
            <w:r w:rsidRPr="00DE096C">
              <w:rPr>
                <w:bCs/>
                <w:color w:val="002060"/>
                <w:sz w:val="16"/>
                <w:szCs w:val="16"/>
              </w:rPr>
              <w:t>2-я рота. Варшава</w:t>
            </w:r>
          </w:p>
        </w:tc>
        <w:tc>
          <w:tcPr>
            <w:tcW w:w="1307" w:type="dxa"/>
          </w:tcPr>
          <w:p w14:paraId="57C2EE74" w14:textId="77777777" w:rsidR="00F2759D" w:rsidRPr="00DE096C" w:rsidRDefault="00F2759D" w:rsidP="00D45A46">
            <w:pPr>
              <w:jc w:val="both"/>
              <w:rPr>
                <w:bCs/>
                <w:color w:val="002060"/>
                <w:sz w:val="16"/>
                <w:szCs w:val="16"/>
              </w:rPr>
            </w:pPr>
          </w:p>
        </w:tc>
        <w:tc>
          <w:tcPr>
            <w:tcW w:w="1307" w:type="dxa"/>
          </w:tcPr>
          <w:p w14:paraId="6C42C48F" w14:textId="77777777" w:rsidR="00F2759D" w:rsidRPr="00DE096C" w:rsidRDefault="00F2759D" w:rsidP="00D45A46">
            <w:pPr>
              <w:jc w:val="both"/>
              <w:rPr>
                <w:bCs/>
                <w:color w:val="002060"/>
                <w:sz w:val="16"/>
                <w:szCs w:val="16"/>
              </w:rPr>
            </w:pPr>
          </w:p>
        </w:tc>
        <w:tc>
          <w:tcPr>
            <w:tcW w:w="1307" w:type="dxa"/>
          </w:tcPr>
          <w:p w14:paraId="587B9BC8" w14:textId="77777777" w:rsidR="00F2759D" w:rsidRPr="00DE096C" w:rsidRDefault="00F2759D" w:rsidP="00D45A46">
            <w:pPr>
              <w:jc w:val="both"/>
              <w:rPr>
                <w:bCs/>
                <w:color w:val="002060"/>
                <w:sz w:val="16"/>
                <w:szCs w:val="16"/>
              </w:rPr>
            </w:pPr>
          </w:p>
        </w:tc>
        <w:tc>
          <w:tcPr>
            <w:tcW w:w="1307" w:type="dxa"/>
          </w:tcPr>
          <w:p w14:paraId="19142EFC" w14:textId="77777777" w:rsidR="00F2759D" w:rsidRPr="00DE096C" w:rsidRDefault="00F2759D" w:rsidP="00D45A46">
            <w:pPr>
              <w:jc w:val="both"/>
              <w:rPr>
                <w:bCs/>
                <w:color w:val="002060"/>
                <w:sz w:val="16"/>
                <w:szCs w:val="16"/>
              </w:rPr>
            </w:pPr>
          </w:p>
        </w:tc>
        <w:tc>
          <w:tcPr>
            <w:tcW w:w="1307" w:type="dxa"/>
          </w:tcPr>
          <w:p w14:paraId="365B3F88" w14:textId="77777777" w:rsidR="00F2759D" w:rsidRPr="00DE096C" w:rsidRDefault="00F2759D" w:rsidP="00D45A46">
            <w:pPr>
              <w:jc w:val="both"/>
              <w:rPr>
                <w:bCs/>
                <w:color w:val="002060"/>
                <w:sz w:val="16"/>
                <w:szCs w:val="16"/>
              </w:rPr>
            </w:pPr>
          </w:p>
        </w:tc>
        <w:tc>
          <w:tcPr>
            <w:tcW w:w="1307" w:type="dxa"/>
          </w:tcPr>
          <w:p w14:paraId="65A110E8" w14:textId="77777777" w:rsidR="00F2759D" w:rsidRPr="00DE096C" w:rsidRDefault="00F2759D" w:rsidP="00D45A46">
            <w:pPr>
              <w:jc w:val="both"/>
              <w:rPr>
                <w:bCs/>
                <w:color w:val="002060"/>
                <w:sz w:val="16"/>
                <w:szCs w:val="16"/>
              </w:rPr>
            </w:pPr>
          </w:p>
        </w:tc>
      </w:tr>
      <w:tr w:rsidR="00F2759D" w:rsidRPr="00DE096C" w14:paraId="03380940" w14:textId="77777777" w:rsidTr="00D34AC1">
        <w:tc>
          <w:tcPr>
            <w:tcW w:w="1101" w:type="dxa"/>
          </w:tcPr>
          <w:p w14:paraId="33B52ECD" w14:textId="77777777" w:rsidR="00F2759D" w:rsidRPr="00DE096C" w:rsidRDefault="00F2759D" w:rsidP="00D45A46">
            <w:pPr>
              <w:jc w:val="both"/>
              <w:rPr>
                <w:bCs/>
                <w:color w:val="002060"/>
                <w:sz w:val="16"/>
                <w:szCs w:val="16"/>
              </w:rPr>
            </w:pPr>
            <w:r w:rsidRPr="00DE096C">
              <w:rPr>
                <w:bCs/>
                <w:color w:val="002060"/>
                <w:sz w:val="16"/>
                <w:szCs w:val="16"/>
              </w:rPr>
              <w:t>23.07</w:t>
            </w:r>
          </w:p>
        </w:tc>
        <w:tc>
          <w:tcPr>
            <w:tcW w:w="2268" w:type="dxa"/>
          </w:tcPr>
          <w:p w14:paraId="48D146D0" w14:textId="77777777" w:rsidR="00F2759D" w:rsidRPr="00DE096C" w:rsidRDefault="00F2759D" w:rsidP="00D45A46">
            <w:pPr>
              <w:jc w:val="both"/>
              <w:rPr>
                <w:bCs/>
                <w:color w:val="002060"/>
                <w:sz w:val="16"/>
                <w:szCs w:val="16"/>
              </w:rPr>
            </w:pPr>
            <w:r w:rsidRPr="00DE096C">
              <w:rPr>
                <w:bCs/>
                <w:color w:val="002060"/>
                <w:sz w:val="16"/>
                <w:szCs w:val="16"/>
              </w:rPr>
              <w:t>14-й корпавиаотряд</w:t>
            </w:r>
          </w:p>
        </w:tc>
        <w:tc>
          <w:tcPr>
            <w:tcW w:w="1307" w:type="dxa"/>
          </w:tcPr>
          <w:p w14:paraId="1F967953" w14:textId="77777777" w:rsidR="00F2759D" w:rsidRPr="00DE096C" w:rsidRDefault="00F2759D" w:rsidP="00D45A46">
            <w:pPr>
              <w:jc w:val="both"/>
              <w:rPr>
                <w:bCs/>
                <w:color w:val="002060"/>
                <w:sz w:val="16"/>
                <w:szCs w:val="16"/>
              </w:rPr>
            </w:pPr>
            <w:r w:rsidRPr="00DE096C">
              <w:rPr>
                <w:bCs/>
                <w:color w:val="002060"/>
                <w:sz w:val="16"/>
                <w:szCs w:val="16"/>
              </w:rPr>
              <w:t>5</w:t>
            </w:r>
          </w:p>
        </w:tc>
        <w:tc>
          <w:tcPr>
            <w:tcW w:w="1307" w:type="dxa"/>
          </w:tcPr>
          <w:p w14:paraId="6AB91DDF" w14:textId="77777777" w:rsidR="00F2759D" w:rsidRPr="00DE096C" w:rsidRDefault="00F2759D" w:rsidP="00D45A46">
            <w:pPr>
              <w:jc w:val="both"/>
              <w:rPr>
                <w:bCs/>
                <w:color w:val="002060"/>
                <w:sz w:val="16"/>
                <w:szCs w:val="16"/>
              </w:rPr>
            </w:pPr>
            <w:r w:rsidRPr="00DE096C">
              <w:rPr>
                <w:bCs/>
                <w:color w:val="002060"/>
                <w:sz w:val="16"/>
                <w:szCs w:val="16"/>
              </w:rPr>
              <w:t>1</w:t>
            </w:r>
          </w:p>
        </w:tc>
        <w:tc>
          <w:tcPr>
            <w:tcW w:w="1307" w:type="dxa"/>
          </w:tcPr>
          <w:p w14:paraId="5ABBE11B" w14:textId="77777777" w:rsidR="00F2759D" w:rsidRPr="00DE096C" w:rsidRDefault="00F2759D" w:rsidP="00D45A46">
            <w:pPr>
              <w:jc w:val="both"/>
              <w:rPr>
                <w:bCs/>
                <w:color w:val="002060"/>
                <w:sz w:val="16"/>
                <w:szCs w:val="16"/>
              </w:rPr>
            </w:pPr>
            <w:r w:rsidRPr="00DE096C">
              <w:rPr>
                <w:bCs/>
                <w:color w:val="002060"/>
                <w:sz w:val="16"/>
                <w:szCs w:val="16"/>
              </w:rPr>
              <w:t>6</w:t>
            </w:r>
          </w:p>
        </w:tc>
        <w:tc>
          <w:tcPr>
            <w:tcW w:w="1307" w:type="dxa"/>
          </w:tcPr>
          <w:p w14:paraId="74B7B4A1"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46996CF0"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06F5151F" w14:textId="77777777" w:rsidR="00F2759D" w:rsidRPr="00DE096C" w:rsidRDefault="00F2759D" w:rsidP="00D45A46">
            <w:pPr>
              <w:jc w:val="both"/>
              <w:rPr>
                <w:bCs/>
                <w:color w:val="002060"/>
                <w:sz w:val="16"/>
                <w:szCs w:val="16"/>
              </w:rPr>
            </w:pPr>
            <w:r w:rsidRPr="00DE096C">
              <w:rPr>
                <w:bCs/>
                <w:color w:val="002060"/>
                <w:sz w:val="16"/>
                <w:szCs w:val="16"/>
              </w:rPr>
              <w:t>-</w:t>
            </w:r>
          </w:p>
        </w:tc>
      </w:tr>
      <w:tr w:rsidR="00F2759D" w:rsidRPr="00DE096C" w14:paraId="2B6AD541" w14:textId="77777777" w:rsidTr="00D34AC1">
        <w:tc>
          <w:tcPr>
            <w:tcW w:w="1101" w:type="dxa"/>
          </w:tcPr>
          <w:p w14:paraId="17C79E90" w14:textId="77777777" w:rsidR="00F2759D" w:rsidRPr="00DE096C" w:rsidRDefault="00F2759D" w:rsidP="00D45A46">
            <w:pPr>
              <w:jc w:val="both"/>
              <w:rPr>
                <w:bCs/>
                <w:color w:val="002060"/>
                <w:sz w:val="16"/>
                <w:szCs w:val="16"/>
              </w:rPr>
            </w:pPr>
            <w:r w:rsidRPr="00DE096C">
              <w:rPr>
                <w:bCs/>
                <w:color w:val="002060"/>
                <w:sz w:val="16"/>
                <w:szCs w:val="16"/>
              </w:rPr>
              <w:t>23.07</w:t>
            </w:r>
          </w:p>
        </w:tc>
        <w:tc>
          <w:tcPr>
            <w:tcW w:w="2268" w:type="dxa"/>
          </w:tcPr>
          <w:p w14:paraId="601ACAA3" w14:textId="77777777" w:rsidR="00F2759D" w:rsidRPr="00DE096C" w:rsidRDefault="00F2759D" w:rsidP="00D45A46">
            <w:pPr>
              <w:jc w:val="both"/>
              <w:rPr>
                <w:bCs/>
                <w:color w:val="002060"/>
                <w:sz w:val="16"/>
                <w:szCs w:val="16"/>
              </w:rPr>
            </w:pPr>
            <w:r w:rsidRPr="00DE096C">
              <w:rPr>
                <w:bCs/>
                <w:color w:val="002060"/>
                <w:sz w:val="16"/>
                <w:szCs w:val="16"/>
              </w:rPr>
              <w:t>15-й -“-</w:t>
            </w:r>
          </w:p>
        </w:tc>
        <w:tc>
          <w:tcPr>
            <w:tcW w:w="1307" w:type="dxa"/>
          </w:tcPr>
          <w:p w14:paraId="7EDCB543" w14:textId="77777777" w:rsidR="00F2759D" w:rsidRPr="00DE096C" w:rsidRDefault="00F2759D" w:rsidP="00D45A46">
            <w:pPr>
              <w:jc w:val="both"/>
              <w:rPr>
                <w:bCs/>
                <w:color w:val="002060"/>
                <w:sz w:val="16"/>
                <w:szCs w:val="16"/>
              </w:rPr>
            </w:pPr>
            <w:r w:rsidRPr="00DE096C">
              <w:rPr>
                <w:bCs/>
                <w:color w:val="002060"/>
                <w:sz w:val="16"/>
                <w:szCs w:val="16"/>
              </w:rPr>
              <w:t>6</w:t>
            </w:r>
          </w:p>
        </w:tc>
        <w:tc>
          <w:tcPr>
            <w:tcW w:w="1307" w:type="dxa"/>
          </w:tcPr>
          <w:p w14:paraId="7422DAAD" w14:textId="77777777" w:rsidR="00F2759D" w:rsidRPr="00DE096C" w:rsidRDefault="00F2759D" w:rsidP="00D45A46">
            <w:pPr>
              <w:jc w:val="both"/>
              <w:rPr>
                <w:bCs/>
                <w:color w:val="002060"/>
                <w:sz w:val="16"/>
                <w:szCs w:val="16"/>
              </w:rPr>
            </w:pPr>
            <w:r w:rsidRPr="00DE096C">
              <w:rPr>
                <w:bCs/>
                <w:color w:val="002060"/>
                <w:sz w:val="16"/>
                <w:szCs w:val="16"/>
              </w:rPr>
              <w:t>2</w:t>
            </w:r>
          </w:p>
        </w:tc>
        <w:tc>
          <w:tcPr>
            <w:tcW w:w="1307" w:type="dxa"/>
          </w:tcPr>
          <w:p w14:paraId="782C0B1E" w14:textId="77777777" w:rsidR="00F2759D" w:rsidRPr="00DE096C" w:rsidRDefault="00F2759D" w:rsidP="00D45A46">
            <w:pPr>
              <w:jc w:val="both"/>
              <w:rPr>
                <w:bCs/>
                <w:color w:val="002060"/>
                <w:sz w:val="16"/>
                <w:szCs w:val="16"/>
              </w:rPr>
            </w:pPr>
            <w:r w:rsidRPr="00DE096C">
              <w:rPr>
                <w:bCs/>
                <w:color w:val="002060"/>
                <w:sz w:val="16"/>
                <w:szCs w:val="16"/>
              </w:rPr>
              <w:t>6</w:t>
            </w:r>
          </w:p>
        </w:tc>
        <w:tc>
          <w:tcPr>
            <w:tcW w:w="1307" w:type="dxa"/>
          </w:tcPr>
          <w:p w14:paraId="4CB369DF"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19F1601D"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5C00F2AE" w14:textId="77777777" w:rsidR="00F2759D" w:rsidRPr="00DE096C" w:rsidRDefault="00F2759D" w:rsidP="00D45A46">
            <w:pPr>
              <w:jc w:val="both"/>
              <w:rPr>
                <w:bCs/>
                <w:color w:val="002060"/>
                <w:sz w:val="16"/>
                <w:szCs w:val="16"/>
              </w:rPr>
            </w:pPr>
            <w:r w:rsidRPr="00DE096C">
              <w:rPr>
                <w:bCs/>
                <w:color w:val="002060"/>
                <w:sz w:val="16"/>
                <w:szCs w:val="16"/>
              </w:rPr>
              <w:t>-</w:t>
            </w:r>
          </w:p>
        </w:tc>
      </w:tr>
      <w:tr w:rsidR="00F2759D" w:rsidRPr="00DE096C" w14:paraId="60ACE2B0" w14:textId="77777777" w:rsidTr="00D34AC1">
        <w:tc>
          <w:tcPr>
            <w:tcW w:w="1101" w:type="dxa"/>
          </w:tcPr>
          <w:p w14:paraId="3C83E280" w14:textId="77777777" w:rsidR="00F2759D" w:rsidRPr="00DE096C" w:rsidRDefault="00F2759D" w:rsidP="00D45A46">
            <w:pPr>
              <w:jc w:val="both"/>
              <w:rPr>
                <w:bCs/>
                <w:color w:val="002060"/>
                <w:sz w:val="16"/>
                <w:szCs w:val="16"/>
              </w:rPr>
            </w:pPr>
            <w:r w:rsidRPr="00DE096C">
              <w:rPr>
                <w:bCs/>
                <w:color w:val="002060"/>
                <w:sz w:val="16"/>
                <w:szCs w:val="16"/>
              </w:rPr>
              <w:t>23.07</w:t>
            </w:r>
          </w:p>
        </w:tc>
        <w:tc>
          <w:tcPr>
            <w:tcW w:w="2268" w:type="dxa"/>
          </w:tcPr>
          <w:p w14:paraId="2A9511B5" w14:textId="77777777" w:rsidR="00F2759D" w:rsidRPr="00DE096C" w:rsidRDefault="00F2759D" w:rsidP="00D45A46">
            <w:pPr>
              <w:jc w:val="both"/>
              <w:rPr>
                <w:bCs/>
                <w:color w:val="002060"/>
                <w:sz w:val="16"/>
                <w:szCs w:val="16"/>
              </w:rPr>
            </w:pPr>
            <w:r w:rsidRPr="00DE096C">
              <w:rPr>
                <w:bCs/>
                <w:color w:val="002060"/>
                <w:sz w:val="16"/>
                <w:szCs w:val="16"/>
              </w:rPr>
              <w:t>19-й -"-</w:t>
            </w:r>
          </w:p>
        </w:tc>
        <w:tc>
          <w:tcPr>
            <w:tcW w:w="1307" w:type="dxa"/>
          </w:tcPr>
          <w:p w14:paraId="33D511FD" w14:textId="77777777" w:rsidR="00F2759D" w:rsidRPr="00DE096C" w:rsidRDefault="00F2759D" w:rsidP="00D45A46">
            <w:pPr>
              <w:jc w:val="both"/>
              <w:rPr>
                <w:bCs/>
                <w:color w:val="002060"/>
                <w:sz w:val="16"/>
                <w:szCs w:val="16"/>
              </w:rPr>
            </w:pPr>
            <w:r w:rsidRPr="00DE096C">
              <w:rPr>
                <w:bCs/>
                <w:color w:val="002060"/>
                <w:sz w:val="16"/>
                <w:szCs w:val="16"/>
              </w:rPr>
              <w:t>5</w:t>
            </w:r>
          </w:p>
        </w:tc>
        <w:tc>
          <w:tcPr>
            <w:tcW w:w="1307" w:type="dxa"/>
          </w:tcPr>
          <w:p w14:paraId="101FEA75"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33725249"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43CB94CF" w14:textId="77777777" w:rsidR="00F2759D" w:rsidRPr="00DE096C" w:rsidRDefault="00F2759D" w:rsidP="00D45A46">
            <w:pPr>
              <w:jc w:val="both"/>
              <w:rPr>
                <w:bCs/>
                <w:color w:val="002060"/>
                <w:sz w:val="16"/>
                <w:szCs w:val="16"/>
              </w:rPr>
            </w:pPr>
            <w:r w:rsidRPr="00DE096C">
              <w:rPr>
                <w:bCs/>
                <w:color w:val="002060"/>
                <w:sz w:val="16"/>
                <w:szCs w:val="16"/>
              </w:rPr>
              <w:t>5</w:t>
            </w:r>
          </w:p>
        </w:tc>
        <w:tc>
          <w:tcPr>
            <w:tcW w:w="1307" w:type="dxa"/>
          </w:tcPr>
          <w:p w14:paraId="74189E51"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6F7E7073" w14:textId="77777777" w:rsidR="00F2759D" w:rsidRPr="00DE096C" w:rsidRDefault="00F2759D" w:rsidP="00D45A46">
            <w:pPr>
              <w:jc w:val="both"/>
              <w:rPr>
                <w:bCs/>
                <w:color w:val="002060"/>
                <w:sz w:val="16"/>
                <w:szCs w:val="16"/>
              </w:rPr>
            </w:pPr>
            <w:r w:rsidRPr="00DE096C">
              <w:rPr>
                <w:bCs/>
                <w:color w:val="002060"/>
                <w:sz w:val="16"/>
                <w:szCs w:val="16"/>
              </w:rPr>
              <w:t>-</w:t>
            </w:r>
          </w:p>
        </w:tc>
      </w:tr>
      <w:tr w:rsidR="00F2759D" w:rsidRPr="00DE096C" w14:paraId="0C334574" w14:textId="77777777" w:rsidTr="00D34AC1">
        <w:tc>
          <w:tcPr>
            <w:tcW w:w="1101" w:type="dxa"/>
          </w:tcPr>
          <w:p w14:paraId="63815DF7" w14:textId="77777777" w:rsidR="00F2759D" w:rsidRPr="00DE096C" w:rsidRDefault="00F2759D" w:rsidP="00D45A46">
            <w:pPr>
              <w:jc w:val="both"/>
              <w:rPr>
                <w:bCs/>
                <w:color w:val="002060"/>
                <w:sz w:val="16"/>
                <w:szCs w:val="16"/>
              </w:rPr>
            </w:pPr>
            <w:r w:rsidRPr="00DE096C">
              <w:rPr>
                <w:bCs/>
                <w:color w:val="002060"/>
                <w:sz w:val="16"/>
                <w:szCs w:val="16"/>
              </w:rPr>
              <w:t>23.07</w:t>
            </w:r>
          </w:p>
        </w:tc>
        <w:tc>
          <w:tcPr>
            <w:tcW w:w="2268" w:type="dxa"/>
          </w:tcPr>
          <w:p w14:paraId="74FEB960" w14:textId="77777777" w:rsidR="00F2759D" w:rsidRPr="00DE096C" w:rsidRDefault="00F2759D" w:rsidP="00D45A46">
            <w:pPr>
              <w:jc w:val="both"/>
              <w:rPr>
                <w:bCs/>
                <w:color w:val="002060"/>
                <w:sz w:val="16"/>
                <w:szCs w:val="16"/>
              </w:rPr>
            </w:pPr>
            <w:r w:rsidRPr="00DE096C">
              <w:rPr>
                <w:bCs/>
                <w:color w:val="002060"/>
                <w:sz w:val="16"/>
                <w:szCs w:val="16"/>
              </w:rPr>
              <w:t>23-й -"-</w:t>
            </w:r>
          </w:p>
        </w:tc>
        <w:tc>
          <w:tcPr>
            <w:tcW w:w="1307" w:type="dxa"/>
          </w:tcPr>
          <w:p w14:paraId="6B1A803F" w14:textId="77777777" w:rsidR="00F2759D" w:rsidRPr="00DE096C" w:rsidRDefault="00F2759D" w:rsidP="00D45A46">
            <w:pPr>
              <w:jc w:val="both"/>
              <w:rPr>
                <w:bCs/>
                <w:color w:val="002060"/>
                <w:sz w:val="16"/>
                <w:szCs w:val="16"/>
              </w:rPr>
            </w:pPr>
            <w:r w:rsidRPr="00DE096C">
              <w:rPr>
                <w:bCs/>
                <w:color w:val="002060"/>
                <w:sz w:val="16"/>
                <w:szCs w:val="16"/>
              </w:rPr>
              <w:t>4</w:t>
            </w:r>
          </w:p>
        </w:tc>
        <w:tc>
          <w:tcPr>
            <w:tcW w:w="1307" w:type="dxa"/>
          </w:tcPr>
          <w:p w14:paraId="72B6F223"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6F740F4A"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527B7D59" w14:textId="77777777" w:rsidR="00F2759D" w:rsidRPr="00DE096C" w:rsidRDefault="00F2759D" w:rsidP="00D45A46">
            <w:pPr>
              <w:jc w:val="both"/>
              <w:rPr>
                <w:bCs/>
                <w:color w:val="002060"/>
                <w:sz w:val="16"/>
                <w:szCs w:val="16"/>
              </w:rPr>
            </w:pPr>
            <w:r w:rsidRPr="00DE096C">
              <w:rPr>
                <w:bCs/>
                <w:color w:val="002060"/>
                <w:sz w:val="16"/>
                <w:szCs w:val="16"/>
              </w:rPr>
              <w:t>4</w:t>
            </w:r>
          </w:p>
        </w:tc>
        <w:tc>
          <w:tcPr>
            <w:tcW w:w="1307" w:type="dxa"/>
          </w:tcPr>
          <w:p w14:paraId="668495B9"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0770C49C" w14:textId="77777777" w:rsidR="00F2759D" w:rsidRPr="00DE096C" w:rsidRDefault="00F2759D" w:rsidP="00D45A46">
            <w:pPr>
              <w:jc w:val="both"/>
              <w:rPr>
                <w:bCs/>
                <w:color w:val="002060"/>
                <w:sz w:val="16"/>
                <w:szCs w:val="16"/>
              </w:rPr>
            </w:pPr>
            <w:r w:rsidRPr="00DE096C">
              <w:rPr>
                <w:bCs/>
                <w:color w:val="002060"/>
                <w:sz w:val="16"/>
                <w:szCs w:val="16"/>
              </w:rPr>
              <w:t>-</w:t>
            </w:r>
          </w:p>
        </w:tc>
      </w:tr>
      <w:tr w:rsidR="00F2759D" w:rsidRPr="00DE096C" w14:paraId="412B456E" w14:textId="77777777" w:rsidTr="00D34AC1">
        <w:tc>
          <w:tcPr>
            <w:tcW w:w="1101" w:type="dxa"/>
          </w:tcPr>
          <w:p w14:paraId="25FC3022" w14:textId="77777777" w:rsidR="00F2759D" w:rsidRPr="00DE096C" w:rsidRDefault="00F2759D" w:rsidP="00D45A46">
            <w:pPr>
              <w:jc w:val="both"/>
              <w:rPr>
                <w:bCs/>
                <w:color w:val="002060"/>
                <w:sz w:val="16"/>
                <w:szCs w:val="16"/>
              </w:rPr>
            </w:pPr>
          </w:p>
        </w:tc>
        <w:tc>
          <w:tcPr>
            <w:tcW w:w="2268" w:type="dxa"/>
          </w:tcPr>
          <w:p w14:paraId="56CF5CA5" w14:textId="77777777" w:rsidR="00F2759D" w:rsidRPr="00DE096C" w:rsidRDefault="00F2759D" w:rsidP="00D45A46">
            <w:pPr>
              <w:jc w:val="both"/>
              <w:rPr>
                <w:bCs/>
                <w:color w:val="002060"/>
                <w:sz w:val="16"/>
                <w:szCs w:val="16"/>
              </w:rPr>
            </w:pPr>
            <w:r w:rsidRPr="00DE096C">
              <w:rPr>
                <w:bCs/>
                <w:color w:val="002060"/>
                <w:sz w:val="16"/>
                <w:szCs w:val="16"/>
              </w:rPr>
              <w:t>3-я рота. Киев</w:t>
            </w:r>
          </w:p>
        </w:tc>
        <w:tc>
          <w:tcPr>
            <w:tcW w:w="1307" w:type="dxa"/>
          </w:tcPr>
          <w:p w14:paraId="6C220D0A" w14:textId="77777777" w:rsidR="00F2759D" w:rsidRPr="00DE096C" w:rsidRDefault="00F2759D" w:rsidP="00D45A46">
            <w:pPr>
              <w:jc w:val="both"/>
              <w:rPr>
                <w:bCs/>
                <w:color w:val="002060"/>
                <w:sz w:val="16"/>
                <w:szCs w:val="16"/>
              </w:rPr>
            </w:pPr>
          </w:p>
        </w:tc>
        <w:tc>
          <w:tcPr>
            <w:tcW w:w="1307" w:type="dxa"/>
          </w:tcPr>
          <w:p w14:paraId="715B366F" w14:textId="77777777" w:rsidR="00F2759D" w:rsidRPr="00DE096C" w:rsidRDefault="00F2759D" w:rsidP="00D45A46">
            <w:pPr>
              <w:jc w:val="both"/>
              <w:rPr>
                <w:bCs/>
                <w:color w:val="002060"/>
                <w:sz w:val="16"/>
                <w:szCs w:val="16"/>
              </w:rPr>
            </w:pPr>
          </w:p>
        </w:tc>
        <w:tc>
          <w:tcPr>
            <w:tcW w:w="1307" w:type="dxa"/>
          </w:tcPr>
          <w:p w14:paraId="53443FA0" w14:textId="77777777" w:rsidR="00F2759D" w:rsidRPr="00DE096C" w:rsidRDefault="00F2759D" w:rsidP="00D45A46">
            <w:pPr>
              <w:jc w:val="both"/>
              <w:rPr>
                <w:bCs/>
                <w:color w:val="002060"/>
                <w:sz w:val="16"/>
                <w:szCs w:val="16"/>
              </w:rPr>
            </w:pPr>
          </w:p>
        </w:tc>
        <w:tc>
          <w:tcPr>
            <w:tcW w:w="1307" w:type="dxa"/>
          </w:tcPr>
          <w:p w14:paraId="7C49CE57" w14:textId="77777777" w:rsidR="00F2759D" w:rsidRPr="00DE096C" w:rsidRDefault="00F2759D" w:rsidP="00D45A46">
            <w:pPr>
              <w:jc w:val="both"/>
              <w:rPr>
                <w:bCs/>
                <w:color w:val="002060"/>
                <w:sz w:val="16"/>
                <w:szCs w:val="16"/>
              </w:rPr>
            </w:pPr>
          </w:p>
        </w:tc>
        <w:tc>
          <w:tcPr>
            <w:tcW w:w="1307" w:type="dxa"/>
          </w:tcPr>
          <w:p w14:paraId="367DCB0E" w14:textId="77777777" w:rsidR="00F2759D" w:rsidRPr="00DE096C" w:rsidRDefault="00F2759D" w:rsidP="00D45A46">
            <w:pPr>
              <w:jc w:val="both"/>
              <w:rPr>
                <w:bCs/>
                <w:color w:val="002060"/>
                <w:sz w:val="16"/>
                <w:szCs w:val="16"/>
              </w:rPr>
            </w:pPr>
          </w:p>
        </w:tc>
        <w:tc>
          <w:tcPr>
            <w:tcW w:w="1307" w:type="dxa"/>
          </w:tcPr>
          <w:p w14:paraId="12E39DD9" w14:textId="77777777" w:rsidR="00F2759D" w:rsidRPr="00DE096C" w:rsidRDefault="00F2759D" w:rsidP="00D45A46">
            <w:pPr>
              <w:jc w:val="both"/>
              <w:rPr>
                <w:bCs/>
                <w:color w:val="002060"/>
                <w:sz w:val="16"/>
                <w:szCs w:val="16"/>
              </w:rPr>
            </w:pPr>
          </w:p>
        </w:tc>
      </w:tr>
      <w:tr w:rsidR="00F2759D" w:rsidRPr="00DE096C" w14:paraId="43E219F0" w14:textId="77777777" w:rsidTr="00D34AC1">
        <w:tc>
          <w:tcPr>
            <w:tcW w:w="1101" w:type="dxa"/>
          </w:tcPr>
          <w:p w14:paraId="34135E42" w14:textId="77777777" w:rsidR="00F2759D" w:rsidRPr="00DE096C" w:rsidRDefault="00F2759D" w:rsidP="00D45A46">
            <w:pPr>
              <w:jc w:val="both"/>
              <w:rPr>
                <w:bCs/>
                <w:color w:val="002060"/>
                <w:sz w:val="16"/>
                <w:szCs w:val="16"/>
              </w:rPr>
            </w:pPr>
            <w:r w:rsidRPr="00DE096C">
              <w:rPr>
                <w:bCs/>
                <w:color w:val="002060"/>
                <w:sz w:val="16"/>
                <w:szCs w:val="16"/>
              </w:rPr>
              <w:t>26.07</w:t>
            </w:r>
          </w:p>
        </w:tc>
        <w:tc>
          <w:tcPr>
            <w:tcW w:w="2268" w:type="dxa"/>
          </w:tcPr>
          <w:p w14:paraId="6613E6E3" w14:textId="77777777" w:rsidR="00F2759D" w:rsidRPr="00DE096C" w:rsidRDefault="00F2759D" w:rsidP="00D45A46">
            <w:pPr>
              <w:jc w:val="both"/>
              <w:rPr>
                <w:bCs/>
                <w:color w:val="002060"/>
                <w:sz w:val="16"/>
                <w:szCs w:val="16"/>
              </w:rPr>
            </w:pPr>
            <w:r w:rsidRPr="00DE096C">
              <w:rPr>
                <w:bCs/>
                <w:color w:val="002060"/>
                <w:sz w:val="16"/>
                <w:szCs w:val="16"/>
              </w:rPr>
              <w:t>11-й корпавиаотряд</w:t>
            </w:r>
          </w:p>
        </w:tc>
        <w:tc>
          <w:tcPr>
            <w:tcW w:w="1307" w:type="dxa"/>
          </w:tcPr>
          <w:p w14:paraId="248D754C" w14:textId="77777777" w:rsidR="00F2759D" w:rsidRPr="00DE096C" w:rsidRDefault="00F2759D" w:rsidP="00D45A46">
            <w:pPr>
              <w:jc w:val="both"/>
              <w:rPr>
                <w:bCs/>
                <w:color w:val="002060"/>
                <w:sz w:val="16"/>
                <w:szCs w:val="16"/>
              </w:rPr>
            </w:pPr>
            <w:r w:rsidRPr="00DE096C">
              <w:rPr>
                <w:bCs/>
                <w:color w:val="002060"/>
                <w:sz w:val="16"/>
                <w:szCs w:val="16"/>
              </w:rPr>
              <w:t>4</w:t>
            </w:r>
          </w:p>
        </w:tc>
        <w:tc>
          <w:tcPr>
            <w:tcW w:w="1307" w:type="dxa"/>
          </w:tcPr>
          <w:p w14:paraId="61D9AE7D"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7707CEFE" w14:textId="77777777" w:rsidR="00F2759D" w:rsidRPr="00DE096C" w:rsidRDefault="00F2759D" w:rsidP="00D45A46">
            <w:pPr>
              <w:jc w:val="both"/>
              <w:rPr>
                <w:bCs/>
                <w:color w:val="002060"/>
                <w:sz w:val="16"/>
                <w:szCs w:val="16"/>
              </w:rPr>
            </w:pPr>
            <w:r w:rsidRPr="00DE096C">
              <w:rPr>
                <w:bCs/>
                <w:color w:val="002060"/>
                <w:sz w:val="16"/>
                <w:szCs w:val="16"/>
              </w:rPr>
              <w:t>4</w:t>
            </w:r>
          </w:p>
        </w:tc>
        <w:tc>
          <w:tcPr>
            <w:tcW w:w="1307" w:type="dxa"/>
          </w:tcPr>
          <w:p w14:paraId="019CE176"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7A8210A7"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6AC5DDFD" w14:textId="77777777" w:rsidR="00F2759D" w:rsidRPr="00DE096C" w:rsidRDefault="00F2759D" w:rsidP="00D45A46">
            <w:pPr>
              <w:jc w:val="both"/>
              <w:rPr>
                <w:bCs/>
                <w:color w:val="002060"/>
                <w:sz w:val="16"/>
                <w:szCs w:val="16"/>
              </w:rPr>
            </w:pPr>
            <w:r w:rsidRPr="00DE096C">
              <w:rPr>
                <w:bCs/>
                <w:color w:val="002060"/>
                <w:sz w:val="16"/>
                <w:szCs w:val="16"/>
              </w:rPr>
              <w:t>3</w:t>
            </w:r>
          </w:p>
        </w:tc>
      </w:tr>
      <w:tr w:rsidR="00F2759D" w:rsidRPr="00DE096C" w14:paraId="0359BB8D" w14:textId="77777777" w:rsidTr="00D34AC1">
        <w:tc>
          <w:tcPr>
            <w:tcW w:w="1101" w:type="dxa"/>
          </w:tcPr>
          <w:p w14:paraId="5409DCBC" w14:textId="77777777" w:rsidR="00F2759D" w:rsidRPr="00DE096C" w:rsidRDefault="00F2759D" w:rsidP="00D45A46">
            <w:pPr>
              <w:jc w:val="both"/>
              <w:rPr>
                <w:bCs/>
                <w:color w:val="002060"/>
                <w:sz w:val="16"/>
                <w:szCs w:val="16"/>
              </w:rPr>
            </w:pPr>
            <w:r w:rsidRPr="00DE096C">
              <w:rPr>
                <w:bCs/>
                <w:color w:val="002060"/>
                <w:sz w:val="16"/>
                <w:szCs w:val="16"/>
              </w:rPr>
              <w:t>26.07</w:t>
            </w:r>
          </w:p>
        </w:tc>
        <w:tc>
          <w:tcPr>
            <w:tcW w:w="2268" w:type="dxa"/>
          </w:tcPr>
          <w:p w14:paraId="1965FC41" w14:textId="77777777" w:rsidR="00F2759D" w:rsidRPr="00DE096C" w:rsidRDefault="00F2759D" w:rsidP="00D45A46">
            <w:pPr>
              <w:jc w:val="both"/>
              <w:rPr>
                <w:bCs/>
                <w:color w:val="002060"/>
                <w:sz w:val="16"/>
                <w:szCs w:val="16"/>
              </w:rPr>
            </w:pPr>
            <w:r w:rsidRPr="00DE096C">
              <w:rPr>
                <w:bCs/>
                <w:color w:val="002060"/>
                <w:sz w:val="16"/>
                <w:szCs w:val="16"/>
              </w:rPr>
              <w:t>12-й -"-</w:t>
            </w:r>
          </w:p>
        </w:tc>
        <w:tc>
          <w:tcPr>
            <w:tcW w:w="1307" w:type="dxa"/>
          </w:tcPr>
          <w:p w14:paraId="788B08ED" w14:textId="77777777" w:rsidR="00F2759D" w:rsidRPr="00DE096C" w:rsidRDefault="00F2759D" w:rsidP="00D45A46">
            <w:pPr>
              <w:jc w:val="both"/>
              <w:rPr>
                <w:bCs/>
                <w:color w:val="002060"/>
                <w:sz w:val="16"/>
                <w:szCs w:val="16"/>
              </w:rPr>
            </w:pPr>
            <w:r w:rsidRPr="00DE096C">
              <w:rPr>
                <w:bCs/>
                <w:color w:val="002060"/>
                <w:sz w:val="16"/>
                <w:szCs w:val="16"/>
              </w:rPr>
              <w:t>3</w:t>
            </w:r>
          </w:p>
        </w:tc>
        <w:tc>
          <w:tcPr>
            <w:tcW w:w="1307" w:type="dxa"/>
          </w:tcPr>
          <w:p w14:paraId="08E25899"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6E6D99A8" w14:textId="77777777" w:rsidR="00F2759D" w:rsidRPr="00DE096C" w:rsidRDefault="00F2759D" w:rsidP="00D45A46">
            <w:pPr>
              <w:jc w:val="both"/>
              <w:rPr>
                <w:bCs/>
                <w:color w:val="002060"/>
                <w:sz w:val="16"/>
                <w:szCs w:val="16"/>
              </w:rPr>
            </w:pPr>
            <w:r w:rsidRPr="00DE096C">
              <w:rPr>
                <w:bCs/>
                <w:color w:val="002060"/>
                <w:sz w:val="16"/>
                <w:szCs w:val="16"/>
              </w:rPr>
              <w:t>4</w:t>
            </w:r>
          </w:p>
        </w:tc>
        <w:tc>
          <w:tcPr>
            <w:tcW w:w="1307" w:type="dxa"/>
          </w:tcPr>
          <w:p w14:paraId="7DACA515"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63461BED"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13AA3256" w14:textId="77777777" w:rsidR="00F2759D" w:rsidRPr="00DE096C" w:rsidRDefault="00F2759D" w:rsidP="00D45A46">
            <w:pPr>
              <w:jc w:val="both"/>
              <w:rPr>
                <w:bCs/>
                <w:color w:val="002060"/>
                <w:sz w:val="16"/>
                <w:szCs w:val="16"/>
              </w:rPr>
            </w:pPr>
            <w:r w:rsidRPr="00DE096C">
              <w:rPr>
                <w:bCs/>
                <w:color w:val="002060"/>
                <w:sz w:val="16"/>
                <w:szCs w:val="16"/>
              </w:rPr>
              <w:t>-</w:t>
            </w:r>
          </w:p>
        </w:tc>
      </w:tr>
      <w:tr w:rsidR="00F2759D" w:rsidRPr="00DE096C" w14:paraId="3B0B71AA" w14:textId="77777777" w:rsidTr="00D34AC1">
        <w:tc>
          <w:tcPr>
            <w:tcW w:w="1101" w:type="dxa"/>
          </w:tcPr>
          <w:p w14:paraId="247CCD71" w14:textId="77777777" w:rsidR="00F2759D" w:rsidRPr="00DE096C" w:rsidRDefault="00F2759D" w:rsidP="00D45A46">
            <w:pPr>
              <w:jc w:val="both"/>
              <w:rPr>
                <w:bCs/>
                <w:color w:val="002060"/>
                <w:sz w:val="16"/>
                <w:szCs w:val="16"/>
              </w:rPr>
            </w:pPr>
            <w:r w:rsidRPr="00DE096C">
              <w:rPr>
                <w:bCs/>
                <w:color w:val="002060"/>
                <w:sz w:val="16"/>
                <w:szCs w:val="16"/>
              </w:rPr>
              <w:t>27.07</w:t>
            </w:r>
          </w:p>
        </w:tc>
        <w:tc>
          <w:tcPr>
            <w:tcW w:w="2268" w:type="dxa"/>
          </w:tcPr>
          <w:p w14:paraId="62E22AE3" w14:textId="77777777" w:rsidR="00F2759D" w:rsidRPr="00DE096C" w:rsidRDefault="00F2759D" w:rsidP="00D45A46">
            <w:pPr>
              <w:jc w:val="both"/>
              <w:rPr>
                <w:bCs/>
                <w:color w:val="002060"/>
                <w:sz w:val="16"/>
                <w:szCs w:val="16"/>
              </w:rPr>
            </w:pPr>
            <w:r w:rsidRPr="00DE096C">
              <w:rPr>
                <w:bCs/>
                <w:color w:val="002060"/>
                <w:sz w:val="16"/>
                <w:szCs w:val="16"/>
              </w:rPr>
              <w:t>9-й -"-</w:t>
            </w:r>
          </w:p>
        </w:tc>
        <w:tc>
          <w:tcPr>
            <w:tcW w:w="1307" w:type="dxa"/>
          </w:tcPr>
          <w:p w14:paraId="19942135" w14:textId="77777777" w:rsidR="00F2759D" w:rsidRPr="00DE096C" w:rsidRDefault="00F2759D" w:rsidP="00D45A46">
            <w:pPr>
              <w:jc w:val="both"/>
              <w:rPr>
                <w:bCs/>
                <w:color w:val="002060"/>
                <w:sz w:val="16"/>
                <w:szCs w:val="16"/>
              </w:rPr>
            </w:pPr>
            <w:r w:rsidRPr="00DE096C">
              <w:rPr>
                <w:bCs/>
                <w:color w:val="002060"/>
                <w:sz w:val="16"/>
                <w:szCs w:val="16"/>
              </w:rPr>
              <w:t>5</w:t>
            </w:r>
          </w:p>
        </w:tc>
        <w:tc>
          <w:tcPr>
            <w:tcW w:w="1307" w:type="dxa"/>
          </w:tcPr>
          <w:p w14:paraId="62CAA074" w14:textId="77777777" w:rsidR="00F2759D" w:rsidRPr="00DE096C" w:rsidRDefault="00F2759D" w:rsidP="00D45A46">
            <w:pPr>
              <w:jc w:val="both"/>
              <w:rPr>
                <w:bCs/>
                <w:color w:val="002060"/>
                <w:sz w:val="16"/>
                <w:szCs w:val="16"/>
              </w:rPr>
            </w:pPr>
            <w:r w:rsidRPr="00DE096C">
              <w:rPr>
                <w:bCs/>
                <w:color w:val="002060"/>
                <w:sz w:val="16"/>
                <w:szCs w:val="16"/>
              </w:rPr>
              <w:t>1</w:t>
            </w:r>
          </w:p>
        </w:tc>
        <w:tc>
          <w:tcPr>
            <w:tcW w:w="1307" w:type="dxa"/>
          </w:tcPr>
          <w:p w14:paraId="127A76CF" w14:textId="77777777" w:rsidR="00F2759D" w:rsidRPr="00DE096C" w:rsidRDefault="00F2759D" w:rsidP="00D45A46">
            <w:pPr>
              <w:jc w:val="both"/>
              <w:rPr>
                <w:bCs/>
                <w:color w:val="002060"/>
                <w:sz w:val="16"/>
                <w:szCs w:val="16"/>
              </w:rPr>
            </w:pPr>
            <w:r w:rsidRPr="00DE096C">
              <w:rPr>
                <w:bCs/>
                <w:color w:val="002060"/>
                <w:sz w:val="16"/>
                <w:szCs w:val="16"/>
              </w:rPr>
              <w:t>5</w:t>
            </w:r>
          </w:p>
        </w:tc>
        <w:tc>
          <w:tcPr>
            <w:tcW w:w="1307" w:type="dxa"/>
          </w:tcPr>
          <w:p w14:paraId="7F2C8F8E"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6B8C28CE"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7B06482A" w14:textId="77777777" w:rsidR="00F2759D" w:rsidRPr="00DE096C" w:rsidRDefault="00F2759D" w:rsidP="00D45A46">
            <w:pPr>
              <w:jc w:val="both"/>
              <w:rPr>
                <w:bCs/>
                <w:color w:val="002060"/>
                <w:sz w:val="16"/>
                <w:szCs w:val="16"/>
              </w:rPr>
            </w:pPr>
            <w:r w:rsidRPr="00DE096C">
              <w:rPr>
                <w:bCs/>
                <w:color w:val="002060"/>
                <w:sz w:val="16"/>
                <w:szCs w:val="16"/>
              </w:rPr>
              <w:t>-</w:t>
            </w:r>
          </w:p>
        </w:tc>
      </w:tr>
      <w:tr w:rsidR="00F2759D" w:rsidRPr="00DE096C" w14:paraId="5F978B25" w14:textId="77777777" w:rsidTr="00D34AC1">
        <w:tc>
          <w:tcPr>
            <w:tcW w:w="1101" w:type="dxa"/>
          </w:tcPr>
          <w:p w14:paraId="41144AB8" w14:textId="77777777" w:rsidR="00F2759D" w:rsidRPr="00DE096C" w:rsidRDefault="00F2759D" w:rsidP="00D45A46">
            <w:pPr>
              <w:jc w:val="both"/>
              <w:rPr>
                <w:bCs/>
                <w:color w:val="002060"/>
                <w:sz w:val="16"/>
                <w:szCs w:val="16"/>
              </w:rPr>
            </w:pPr>
            <w:r w:rsidRPr="00DE096C">
              <w:rPr>
                <w:bCs/>
                <w:color w:val="002060"/>
                <w:sz w:val="16"/>
                <w:szCs w:val="16"/>
              </w:rPr>
              <w:t>28.07</w:t>
            </w:r>
          </w:p>
        </w:tc>
        <w:tc>
          <w:tcPr>
            <w:tcW w:w="2268" w:type="dxa"/>
          </w:tcPr>
          <w:p w14:paraId="42834504" w14:textId="77777777" w:rsidR="00F2759D" w:rsidRPr="00DE096C" w:rsidRDefault="00F2759D" w:rsidP="00D45A46">
            <w:pPr>
              <w:jc w:val="both"/>
              <w:rPr>
                <w:bCs/>
                <w:color w:val="002060"/>
                <w:sz w:val="16"/>
                <w:szCs w:val="16"/>
              </w:rPr>
            </w:pPr>
            <w:r w:rsidRPr="00DE096C">
              <w:rPr>
                <w:bCs/>
                <w:color w:val="002060"/>
                <w:sz w:val="16"/>
                <w:szCs w:val="16"/>
              </w:rPr>
              <w:t>3-й Полевой отряд</w:t>
            </w:r>
          </w:p>
        </w:tc>
        <w:tc>
          <w:tcPr>
            <w:tcW w:w="1307" w:type="dxa"/>
          </w:tcPr>
          <w:p w14:paraId="40FB91EE" w14:textId="77777777" w:rsidR="00F2759D" w:rsidRPr="00DE096C" w:rsidRDefault="00F2759D" w:rsidP="00D45A46">
            <w:pPr>
              <w:jc w:val="both"/>
              <w:rPr>
                <w:bCs/>
                <w:color w:val="002060"/>
                <w:sz w:val="16"/>
                <w:szCs w:val="16"/>
              </w:rPr>
            </w:pPr>
            <w:r w:rsidRPr="00DE096C">
              <w:rPr>
                <w:bCs/>
                <w:color w:val="002060"/>
                <w:sz w:val="16"/>
                <w:szCs w:val="16"/>
              </w:rPr>
              <w:t>5</w:t>
            </w:r>
          </w:p>
        </w:tc>
        <w:tc>
          <w:tcPr>
            <w:tcW w:w="1307" w:type="dxa"/>
          </w:tcPr>
          <w:p w14:paraId="0E1A2B62" w14:textId="77777777" w:rsidR="00F2759D" w:rsidRPr="00DE096C" w:rsidRDefault="00F2759D" w:rsidP="00D45A46">
            <w:pPr>
              <w:jc w:val="both"/>
              <w:rPr>
                <w:bCs/>
                <w:color w:val="002060"/>
                <w:sz w:val="16"/>
                <w:szCs w:val="16"/>
              </w:rPr>
            </w:pPr>
            <w:r w:rsidRPr="00DE096C">
              <w:rPr>
                <w:bCs/>
                <w:color w:val="002060"/>
                <w:sz w:val="16"/>
                <w:szCs w:val="16"/>
              </w:rPr>
              <w:t>1</w:t>
            </w:r>
          </w:p>
        </w:tc>
        <w:tc>
          <w:tcPr>
            <w:tcW w:w="1307" w:type="dxa"/>
          </w:tcPr>
          <w:p w14:paraId="1CFF12DD"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00836DF9" w14:textId="77777777" w:rsidR="00F2759D" w:rsidRPr="00DE096C" w:rsidRDefault="00F2759D" w:rsidP="00D45A46">
            <w:pPr>
              <w:jc w:val="both"/>
              <w:rPr>
                <w:bCs/>
                <w:color w:val="002060"/>
                <w:sz w:val="16"/>
                <w:szCs w:val="16"/>
              </w:rPr>
            </w:pPr>
            <w:r w:rsidRPr="00DE096C">
              <w:rPr>
                <w:bCs/>
                <w:color w:val="002060"/>
                <w:sz w:val="16"/>
                <w:szCs w:val="16"/>
              </w:rPr>
              <w:t>8</w:t>
            </w:r>
          </w:p>
        </w:tc>
        <w:tc>
          <w:tcPr>
            <w:tcW w:w="1307" w:type="dxa"/>
          </w:tcPr>
          <w:p w14:paraId="4D1E9A16"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2A0A136A" w14:textId="77777777" w:rsidR="00F2759D" w:rsidRPr="00DE096C" w:rsidRDefault="00F2759D" w:rsidP="00D45A46">
            <w:pPr>
              <w:jc w:val="both"/>
              <w:rPr>
                <w:bCs/>
                <w:color w:val="002060"/>
                <w:sz w:val="16"/>
                <w:szCs w:val="16"/>
              </w:rPr>
            </w:pPr>
            <w:r w:rsidRPr="00DE096C">
              <w:rPr>
                <w:bCs/>
                <w:color w:val="002060"/>
                <w:sz w:val="16"/>
                <w:szCs w:val="16"/>
              </w:rPr>
              <w:t>-</w:t>
            </w:r>
          </w:p>
        </w:tc>
      </w:tr>
      <w:tr w:rsidR="00F2759D" w:rsidRPr="00DE096C" w14:paraId="5AF2C55B" w14:textId="77777777" w:rsidTr="00D34AC1">
        <w:tc>
          <w:tcPr>
            <w:tcW w:w="1101" w:type="dxa"/>
          </w:tcPr>
          <w:p w14:paraId="53C1E8C6" w14:textId="77777777" w:rsidR="00F2759D" w:rsidRPr="00DE096C" w:rsidRDefault="00F2759D" w:rsidP="00D45A46">
            <w:pPr>
              <w:jc w:val="both"/>
              <w:rPr>
                <w:bCs/>
                <w:color w:val="002060"/>
                <w:sz w:val="16"/>
                <w:szCs w:val="16"/>
              </w:rPr>
            </w:pPr>
          </w:p>
        </w:tc>
        <w:tc>
          <w:tcPr>
            <w:tcW w:w="2268" w:type="dxa"/>
          </w:tcPr>
          <w:p w14:paraId="510BE811" w14:textId="77777777" w:rsidR="00F2759D" w:rsidRPr="00DE096C" w:rsidRDefault="00F2759D" w:rsidP="00D45A46">
            <w:pPr>
              <w:jc w:val="both"/>
              <w:rPr>
                <w:bCs/>
                <w:color w:val="002060"/>
                <w:sz w:val="16"/>
                <w:szCs w:val="16"/>
              </w:rPr>
            </w:pPr>
            <w:r w:rsidRPr="00DE096C">
              <w:rPr>
                <w:bCs/>
                <w:color w:val="002060"/>
                <w:sz w:val="16"/>
                <w:szCs w:val="16"/>
              </w:rPr>
              <w:t>4-я рота .Луцк</w:t>
            </w:r>
          </w:p>
        </w:tc>
        <w:tc>
          <w:tcPr>
            <w:tcW w:w="1307" w:type="dxa"/>
          </w:tcPr>
          <w:p w14:paraId="50D2C2D8" w14:textId="77777777" w:rsidR="00F2759D" w:rsidRPr="00DE096C" w:rsidRDefault="00F2759D" w:rsidP="00D45A46">
            <w:pPr>
              <w:jc w:val="both"/>
              <w:rPr>
                <w:bCs/>
                <w:color w:val="002060"/>
                <w:sz w:val="16"/>
                <w:szCs w:val="16"/>
              </w:rPr>
            </w:pPr>
          </w:p>
        </w:tc>
        <w:tc>
          <w:tcPr>
            <w:tcW w:w="1307" w:type="dxa"/>
          </w:tcPr>
          <w:p w14:paraId="4089BD2C" w14:textId="77777777" w:rsidR="00F2759D" w:rsidRPr="00DE096C" w:rsidRDefault="00F2759D" w:rsidP="00D45A46">
            <w:pPr>
              <w:jc w:val="both"/>
              <w:rPr>
                <w:bCs/>
                <w:color w:val="002060"/>
                <w:sz w:val="16"/>
                <w:szCs w:val="16"/>
              </w:rPr>
            </w:pPr>
          </w:p>
        </w:tc>
        <w:tc>
          <w:tcPr>
            <w:tcW w:w="1307" w:type="dxa"/>
          </w:tcPr>
          <w:p w14:paraId="7F2B1F9E" w14:textId="77777777" w:rsidR="00F2759D" w:rsidRPr="00DE096C" w:rsidRDefault="00F2759D" w:rsidP="00D45A46">
            <w:pPr>
              <w:jc w:val="both"/>
              <w:rPr>
                <w:bCs/>
                <w:color w:val="002060"/>
                <w:sz w:val="16"/>
                <w:szCs w:val="16"/>
              </w:rPr>
            </w:pPr>
          </w:p>
        </w:tc>
        <w:tc>
          <w:tcPr>
            <w:tcW w:w="1307" w:type="dxa"/>
          </w:tcPr>
          <w:p w14:paraId="3468DA0C" w14:textId="77777777" w:rsidR="00F2759D" w:rsidRPr="00DE096C" w:rsidRDefault="00F2759D" w:rsidP="00D45A46">
            <w:pPr>
              <w:jc w:val="both"/>
              <w:rPr>
                <w:bCs/>
                <w:color w:val="002060"/>
                <w:sz w:val="16"/>
                <w:szCs w:val="16"/>
              </w:rPr>
            </w:pPr>
          </w:p>
        </w:tc>
        <w:tc>
          <w:tcPr>
            <w:tcW w:w="1307" w:type="dxa"/>
          </w:tcPr>
          <w:p w14:paraId="3581DCB2" w14:textId="77777777" w:rsidR="00F2759D" w:rsidRPr="00DE096C" w:rsidRDefault="00F2759D" w:rsidP="00D45A46">
            <w:pPr>
              <w:jc w:val="both"/>
              <w:rPr>
                <w:bCs/>
                <w:color w:val="002060"/>
                <w:sz w:val="16"/>
                <w:szCs w:val="16"/>
              </w:rPr>
            </w:pPr>
          </w:p>
        </w:tc>
        <w:tc>
          <w:tcPr>
            <w:tcW w:w="1307" w:type="dxa"/>
          </w:tcPr>
          <w:p w14:paraId="51FC6670" w14:textId="77777777" w:rsidR="00F2759D" w:rsidRPr="00DE096C" w:rsidRDefault="00F2759D" w:rsidP="00D45A46">
            <w:pPr>
              <w:jc w:val="both"/>
              <w:rPr>
                <w:bCs/>
                <w:color w:val="002060"/>
                <w:sz w:val="16"/>
                <w:szCs w:val="16"/>
              </w:rPr>
            </w:pPr>
          </w:p>
        </w:tc>
      </w:tr>
      <w:tr w:rsidR="00F2759D" w:rsidRPr="00DE096C" w14:paraId="1D0E010B" w14:textId="77777777" w:rsidTr="00D34AC1">
        <w:tc>
          <w:tcPr>
            <w:tcW w:w="1101" w:type="dxa"/>
          </w:tcPr>
          <w:p w14:paraId="2E8A18C3" w14:textId="77777777" w:rsidR="00F2759D" w:rsidRPr="00DE096C" w:rsidRDefault="00F2759D" w:rsidP="00D45A46">
            <w:pPr>
              <w:jc w:val="both"/>
              <w:rPr>
                <w:bCs/>
                <w:color w:val="002060"/>
                <w:sz w:val="16"/>
                <w:szCs w:val="16"/>
              </w:rPr>
            </w:pPr>
            <w:r w:rsidRPr="00DE096C">
              <w:rPr>
                <w:bCs/>
                <w:color w:val="002060"/>
                <w:sz w:val="16"/>
                <w:szCs w:val="16"/>
              </w:rPr>
              <w:t>26.07</w:t>
            </w:r>
          </w:p>
        </w:tc>
        <w:tc>
          <w:tcPr>
            <w:tcW w:w="2268" w:type="dxa"/>
          </w:tcPr>
          <w:p w14:paraId="02E4CF7A" w14:textId="77777777" w:rsidR="00F2759D" w:rsidRPr="00DE096C" w:rsidRDefault="00F2759D" w:rsidP="00D45A46">
            <w:pPr>
              <w:jc w:val="both"/>
              <w:rPr>
                <w:bCs/>
                <w:color w:val="002060"/>
                <w:sz w:val="16"/>
                <w:szCs w:val="16"/>
              </w:rPr>
            </w:pPr>
            <w:r w:rsidRPr="00DE096C">
              <w:rPr>
                <w:bCs/>
                <w:color w:val="002060"/>
                <w:sz w:val="16"/>
                <w:szCs w:val="16"/>
              </w:rPr>
              <w:t>2-й корпавиаотряд</w:t>
            </w:r>
          </w:p>
        </w:tc>
        <w:tc>
          <w:tcPr>
            <w:tcW w:w="1307" w:type="dxa"/>
          </w:tcPr>
          <w:p w14:paraId="1EF83E9C" w14:textId="77777777" w:rsidR="00F2759D" w:rsidRPr="00DE096C" w:rsidRDefault="00F2759D" w:rsidP="00D45A46">
            <w:pPr>
              <w:jc w:val="both"/>
              <w:rPr>
                <w:bCs/>
                <w:color w:val="002060"/>
                <w:sz w:val="16"/>
                <w:szCs w:val="16"/>
              </w:rPr>
            </w:pPr>
            <w:r w:rsidRPr="00DE096C">
              <w:rPr>
                <w:bCs/>
                <w:color w:val="002060"/>
                <w:sz w:val="16"/>
                <w:szCs w:val="16"/>
              </w:rPr>
              <w:t>2</w:t>
            </w:r>
          </w:p>
        </w:tc>
        <w:tc>
          <w:tcPr>
            <w:tcW w:w="1307" w:type="dxa"/>
          </w:tcPr>
          <w:p w14:paraId="34869E7F"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2B7B44FB" w14:textId="77777777" w:rsidR="00F2759D" w:rsidRPr="00DE096C" w:rsidRDefault="00F2759D" w:rsidP="00D45A46">
            <w:pPr>
              <w:jc w:val="both"/>
              <w:rPr>
                <w:bCs/>
                <w:color w:val="002060"/>
                <w:sz w:val="16"/>
                <w:szCs w:val="16"/>
              </w:rPr>
            </w:pPr>
            <w:r w:rsidRPr="00DE096C">
              <w:rPr>
                <w:bCs/>
                <w:color w:val="002060"/>
                <w:sz w:val="16"/>
                <w:szCs w:val="16"/>
              </w:rPr>
              <w:t>2</w:t>
            </w:r>
          </w:p>
        </w:tc>
        <w:tc>
          <w:tcPr>
            <w:tcW w:w="1307" w:type="dxa"/>
          </w:tcPr>
          <w:p w14:paraId="331218AB"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58491689"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06F26B60" w14:textId="77777777" w:rsidR="00F2759D" w:rsidRPr="00DE096C" w:rsidRDefault="00F2759D" w:rsidP="00D45A46">
            <w:pPr>
              <w:jc w:val="both"/>
              <w:rPr>
                <w:bCs/>
                <w:color w:val="002060"/>
                <w:sz w:val="16"/>
                <w:szCs w:val="16"/>
              </w:rPr>
            </w:pPr>
            <w:r w:rsidRPr="00DE096C">
              <w:rPr>
                <w:bCs/>
                <w:color w:val="002060"/>
                <w:sz w:val="16"/>
                <w:szCs w:val="16"/>
              </w:rPr>
              <w:t>-</w:t>
            </w:r>
          </w:p>
        </w:tc>
      </w:tr>
      <w:tr w:rsidR="00F2759D" w:rsidRPr="00DE096C" w14:paraId="19EB2BCA" w14:textId="77777777" w:rsidTr="00D34AC1">
        <w:tc>
          <w:tcPr>
            <w:tcW w:w="1101" w:type="dxa"/>
          </w:tcPr>
          <w:p w14:paraId="3D4ABB31" w14:textId="77777777" w:rsidR="00F2759D" w:rsidRPr="00DE096C" w:rsidRDefault="00F2759D" w:rsidP="00D45A46">
            <w:pPr>
              <w:jc w:val="both"/>
              <w:rPr>
                <w:bCs/>
                <w:color w:val="002060"/>
                <w:sz w:val="16"/>
                <w:szCs w:val="16"/>
              </w:rPr>
            </w:pPr>
            <w:r w:rsidRPr="00DE096C">
              <w:rPr>
                <w:bCs/>
                <w:color w:val="002060"/>
                <w:sz w:val="16"/>
                <w:szCs w:val="16"/>
              </w:rPr>
              <w:t>26.07</w:t>
            </w:r>
          </w:p>
        </w:tc>
        <w:tc>
          <w:tcPr>
            <w:tcW w:w="2268" w:type="dxa"/>
          </w:tcPr>
          <w:p w14:paraId="76FC297A" w14:textId="77777777" w:rsidR="00F2759D" w:rsidRPr="00DE096C" w:rsidRDefault="00F2759D" w:rsidP="00D45A46">
            <w:pPr>
              <w:jc w:val="both"/>
              <w:rPr>
                <w:bCs/>
                <w:color w:val="002060"/>
                <w:sz w:val="16"/>
                <w:szCs w:val="16"/>
              </w:rPr>
            </w:pPr>
            <w:r w:rsidRPr="00DE096C">
              <w:rPr>
                <w:bCs/>
                <w:color w:val="002060"/>
                <w:sz w:val="16"/>
                <w:szCs w:val="16"/>
              </w:rPr>
              <w:t>6-й -"-</w:t>
            </w:r>
          </w:p>
        </w:tc>
        <w:tc>
          <w:tcPr>
            <w:tcW w:w="1307" w:type="dxa"/>
          </w:tcPr>
          <w:p w14:paraId="42D035FD" w14:textId="77777777" w:rsidR="00F2759D" w:rsidRPr="00DE096C" w:rsidRDefault="00F2759D" w:rsidP="00D45A46">
            <w:pPr>
              <w:jc w:val="both"/>
              <w:rPr>
                <w:bCs/>
                <w:color w:val="002060"/>
                <w:sz w:val="16"/>
                <w:szCs w:val="16"/>
              </w:rPr>
            </w:pPr>
            <w:r w:rsidRPr="00DE096C">
              <w:rPr>
                <w:bCs/>
                <w:color w:val="002060"/>
                <w:sz w:val="16"/>
                <w:szCs w:val="16"/>
              </w:rPr>
              <w:t>4</w:t>
            </w:r>
          </w:p>
        </w:tc>
        <w:tc>
          <w:tcPr>
            <w:tcW w:w="1307" w:type="dxa"/>
          </w:tcPr>
          <w:p w14:paraId="48B410BD"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3EF2F6BB" w14:textId="77777777" w:rsidR="00F2759D" w:rsidRPr="00DE096C" w:rsidRDefault="00F2759D" w:rsidP="00D45A46">
            <w:pPr>
              <w:jc w:val="both"/>
              <w:rPr>
                <w:bCs/>
                <w:color w:val="002060"/>
                <w:sz w:val="16"/>
                <w:szCs w:val="16"/>
              </w:rPr>
            </w:pPr>
            <w:r w:rsidRPr="00DE096C">
              <w:rPr>
                <w:bCs/>
                <w:color w:val="002060"/>
                <w:sz w:val="16"/>
                <w:szCs w:val="16"/>
              </w:rPr>
              <w:t>4</w:t>
            </w:r>
          </w:p>
        </w:tc>
        <w:tc>
          <w:tcPr>
            <w:tcW w:w="1307" w:type="dxa"/>
          </w:tcPr>
          <w:p w14:paraId="09F03622"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5F5973CB"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05BC0A7E" w14:textId="77777777" w:rsidR="00F2759D" w:rsidRPr="00DE096C" w:rsidRDefault="00F2759D" w:rsidP="00D45A46">
            <w:pPr>
              <w:jc w:val="both"/>
              <w:rPr>
                <w:bCs/>
                <w:color w:val="002060"/>
                <w:sz w:val="16"/>
                <w:szCs w:val="16"/>
              </w:rPr>
            </w:pPr>
            <w:r w:rsidRPr="00DE096C">
              <w:rPr>
                <w:bCs/>
                <w:color w:val="002060"/>
                <w:sz w:val="16"/>
                <w:szCs w:val="16"/>
              </w:rPr>
              <w:t>-</w:t>
            </w:r>
          </w:p>
        </w:tc>
      </w:tr>
      <w:tr w:rsidR="00F2759D" w:rsidRPr="00DE096C" w14:paraId="23756A65" w14:textId="77777777" w:rsidTr="00D34AC1">
        <w:tc>
          <w:tcPr>
            <w:tcW w:w="1101" w:type="dxa"/>
          </w:tcPr>
          <w:p w14:paraId="6DFB97B5" w14:textId="77777777" w:rsidR="00F2759D" w:rsidRPr="00DE096C" w:rsidRDefault="00F2759D" w:rsidP="00D45A46">
            <w:pPr>
              <w:jc w:val="both"/>
              <w:rPr>
                <w:bCs/>
                <w:color w:val="002060"/>
                <w:sz w:val="16"/>
                <w:szCs w:val="16"/>
              </w:rPr>
            </w:pPr>
            <w:r w:rsidRPr="00DE096C">
              <w:rPr>
                <w:bCs/>
                <w:color w:val="002060"/>
                <w:sz w:val="16"/>
                <w:szCs w:val="16"/>
              </w:rPr>
              <w:t>26.07</w:t>
            </w:r>
          </w:p>
        </w:tc>
        <w:tc>
          <w:tcPr>
            <w:tcW w:w="2268" w:type="dxa"/>
          </w:tcPr>
          <w:p w14:paraId="67F7E4DA" w14:textId="77777777" w:rsidR="00F2759D" w:rsidRPr="00DE096C" w:rsidRDefault="00F2759D" w:rsidP="00D45A46">
            <w:pPr>
              <w:jc w:val="both"/>
              <w:rPr>
                <w:bCs/>
                <w:color w:val="002060"/>
                <w:sz w:val="16"/>
                <w:szCs w:val="16"/>
              </w:rPr>
            </w:pPr>
            <w:r w:rsidRPr="00DE096C">
              <w:rPr>
                <w:bCs/>
                <w:color w:val="002060"/>
                <w:sz w:val="16"/>
                <w:szCs w:val="16"/>
              </w:rPr>
              <w:t>20-й -"-</w:t>
            </w:r>
          </w:p>
        </w:tc>
        <w:tc>
          <w:tcPr>
            <w:tcW w:w="1307" w:type="dxa"/>
          </w:tcPr>
          <w:p w14:paraId="2C1360D4" w14:textId="77777777" w:rsidR="00F2759D" w:rsidRPr="00DE096C" w:rsidRDefault="00F2759D" w:rsidP="00D45A46">
            <w:pPr>
              <w:jc w:val="both"/>
              <w:rPr>
                <w:bCs/>
                <w:color w:val="002060"/>
                <w:sz w:val="16"/>
                <w:szCs w:val="16"/>
              </w:rPr>
            </w:pPr>
            <w:r w:rsidRPr="00DE096C">
              <w:rPr>
                <w:bCs/>
                <w:color w:val="002060"/>
                <w:sz w:val="16"/>
                <w:szCs w:val="16"/>
              </w:rPr>
              <w:t>4</w:t>
            </w:r>
          </w:p>
        </w:tc>
        <w:tc>
          <w:tcPr>
            <w:tcW w:w="1307" w:type="dxa"/>
          </w:tcPr>
          <w:p w14:paraId="7E76727D"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21131E92" w14:textId="77777777" w:rsidR="00F2759D" w:rsidRPr="00DE096C" w:rsidRDefault="00F2759D" w:rsidP="00D45A46">
            <w:pPr>
              <w:jc w:val="both"/>
              <w:rPr>
                <w:bCs/>
                <w:color w:val="002060"/>
                <w:sz w:val="16"/>
                <w:szCs w:val="16"/>
              </w:rPr>
            </w:pPr>
            <w:r w:rsidRPr="00DE096C">
              <w:rPr>
                <w:bCs/>
                <w:color w:val="002060"/>
                <w:sz w:val="16"/>
                <w:szCs w:val="16"/>
              </w:rPr>
              <w:t>4</w:t>
            </w:r>
          </w:p>
        </w:tc>
        <w:tc>
          <w:tcPr>
            <w:tcW w:w="1307" w:type="dxa"/>
          </w:tcPr>
          <w:p w14:paraId="758895F0"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13ECFC4B"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05979680" w14:textId="77777777" w:rsidR="00F2759D" w:rsidRPr="00DE096C" w:rsidRDefault="00F2759D" w:rsidP="00D45A46">
            <w:pPr>
              <w:jc w:val="both"/>
              <w:rPr>
                <w:bCs/>
                <w:color w:val="002060"/>
                <w:sz w:val="16"/>
                <w:szCs w:val="16"/>
              </w:rPr>
            </w:pPr>
            <w:r w:rsidRPr="00DE096C">
              <w:rPr>
                <w:bCs/>
                <w:color w:val="002060"/>
                <w:sz w:val="16"/>
                <w:szCs w:val="16"/>
              </w:rPr>
              <w:t>-</w:t>
            </w:r>
          </w:p>
        </w:tc>
      </w:tr>
      <w:tr w:rsidR="00F2759D" w:rsidRPr="00DE096C" w14:paraId="6D00A7D3" w14:textId="77777777" w:rsidTr="00D34AC1">
        <w:tc>
          <w:tcPr>
            <w:tcW w:w="1101" w:type="dxa"/>
          </w:tcPr>
          <w:p w14:paraId="6A7F5983" w14:textId="77777777" w:rsidR="00F2759D" w:rsidRPr="00DE096C" w:rsidRDefault="00F2759D" w:rsidP="00D45A46">
            <w:pPr>
              <w:jc w:val="both"/>
              <w:rPr>
                <w:bCs/>
                <w:color w:val="002060"/>
                <w:sz w:val="16"/>
                <w:szCs w:val="16"/>
              </w:rPr>
            </w:pPr>
            <w:r w:rsidRPr="00DE096C">
              <w:rPr>
                <w:bCs/>
                <w:color w:val="002060"/>
                <w:sz w:val="16"/>
                <w:szCs w:val="16"/>
              </w:rPr>
              <w:t>31.07</w:t>
            </w:r>
          </w:p>
        </w:tc>
        <w:tc>
          <w:tcPr>
            <w:tcW w:w="2268" w:type="dxa"/>
          </w:tcPr>
          <w:p w14:paraId="3299F8F7" w14:textId="77777777" w:rsidR="00F2759D" w:rsidRPr="00DE096C" w:rsidRDefault="00F2759D" w:rsidP="00D45A46">
            <w:pPr>
              <w:jc w:val="both"/>
              <w:rPr>
                <w:bCs/>
                <w:color w:val="002060"/>
                <w:sz w:val="16"/>
                <w:szCs w:val="16"/>
              </w:rPr>
            </w:pPr>
            <w:r w:rsidRPr="00DE096C">
              <w:rPr>
                <w:bCs/>
                <w:color w:val="002060"/>
                <w:sz w:val="16"/>
                <w:szCs w:val="16"/>
              </w:rPr>
              <w:t>3-й -"-</w:t>
            </w:r>
          </w:p>
        </w:tc>
        <w:tc>
          <w:tcPr>
            <w:tcW w:w="1307" w:type="dxa"/>
          </w:tcPr>
          <w:p w14:paraId="57F0F7AB" w14:textId="77777777" w:rsidR="00F2759D" w:rsidRPr="00DE096C" w:rsidRDefault="00F2759D" w:rsidP="00D45A46">
            <w:pPr>
              <w:jc w:val="both"/>
              <w:rPr>
                <w:bCs/>
                <w:color w:val="002060"/>
                <w:sz w:val="16"/>
                <w:szCs w:val="16"/>
              </w:rPr>
            </w:pPr>
            <w:r w:rsidRPr="00DE096C">
              <w:rPr>
                <w:bCs/>
                <w:color w:val="002060"/>
                <w:sz w:val="16"/>
                <w:szCs w:val="16"/>
              </w:rPr>
              <w:t>5</w:t>
            </w:r>
          </w:p>
        </w:tc>
        <w:tc>
          <w:tcPr>
            <w:tcW w:w="1307" w:type="dxa"/>
          </w:tcPr>
          <w:p w14:paraId="525A3017" w14:textId="77777777" w:rsidR="00F2759D" w:rsidRPr="00DE096C" w:rsidRDefault="00F2759D" w:rsidP="00D45A46">
            <w:pPr>
              <w:jc w:val="both"/>
              <w:rPr>
                <w:bCs/>
                <w:color w:val="002060"/>
                <w:sz w:val="16"/>
                <w:szCs w:val="16"/>
              </w:rPr>
            </w:pPr>
            <w:r w:rsidRPr="00DE096C">
              <w:rPr>
                <w:bCs/>
                <w:color w:val="002060"/>
                <w:sz w:val="16"/>
                <w:szCs w:val="16"/>
              </w:rPr>
              <w:t>1</w:t>
            </w:r>
          </w:p>
        </w:tc>
        <w:tc>
          <w:tcPr>
            <w:tcW w:w="1307" w:type="dxa"/>
          </w:tcPr>
          <w:p w14:paraId="68F3BB71" w14:textId="77777777" w:rsidR="00F2759D" w:rsidRPr="00DE096C" w:rsidRDefault="00F2759D" w:rsidP="00D45A46">
            <w:pPr>
              <w:jc w:val="both"/>
              <w:rPr>
                <w:bCs/>
                <w:color w:val="002060"/>
                <w:sz w:val="16"/>
                <w:szCs w:val="16"/>
              </w:rPr>
            </w:pPr>
            <w:r w:rsidRPr="00DE096C">
              <w:rPr>
                <w:bCs/>
                <w:color w:val="002060"/>
                <w:sz w:val="16"/>
                <w:szCs w:val="16"/>
              </w:rPr>
              <w:t>5</w:t>
            </w:r>
          </w:p>
        </w:tc>
        <w:tc>
          <w:tcPr>
            <w:tcW w:w="1307" w:type="dxa"/>
          </w:tcPr>
          <w:p w14:paraId="696ADD21"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43B2173A"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2231D68D" w14:textId="77777777" w:rsidR="00F2759D" w:rsidRPr="00DE096C" w:rsidRDefault="00F2759D" w:rsidP="00D45A46">
            <w:pPr>
              <w:jc w:val="both"/>
              <w:rPr>
                <w:bCs/>
                <w:color w:val="002060"/>
                <w:sz w:val="16"/>
                <w:szCs w:val="16"/>
              </w:rPr>
            </w:pPr>
            <w:r w:rsidRPr="00DE096C">
              <w:rPr>
                <w:bCs/>
                <w:color w:val="002060"/>
                <w:sz w:val="16"/>
                <w:szCs w:val="16"/>
              </w:rPr>
              <w:t>-</w:t>
            </w:r>
          </w:p>
        </w:tc>
      </w:tr>
      <w:tr w:rsidR="00F2759D" w:rsidRPr="00DE096C" w14:paraId="6D907C24" w14:textId="77777777" w:rsidTr="00D34AC1">
        <w:tc>
          <w:tcPr>
            <w:tcW w:w="1101" w:type="dxa"/>
          </w:tcPr>
          <w:p w14:paraId="4D334A3B" w14:textId="77777777" w:rsidR="00F2759D" w:rsidRPr="00DE096C" w:rsidRDefault="00F2759D" w:rsidP="00D45A46">
            <w:pPr>
              <w:jc w:val="both"/>
              <w:rPr>
                <w:bCs/>
                <w:color w:val="002060"/>
                <w:sz w:val="16"/>
                <w:szCs w:val="16"/>
              </w:rPr>
            </w:pPr>
            <w:r w:rsidRPr="00DE096C">
              <w:rPr>
                <w:bCs/>
                <w:color w:val="002060"/>
                <w:sz w:val="16"/>
                <w:szCs w:val="16"/>
              </w:rPr>
              <w:t>31.07</w:t>
            </w:r>
          </w:p>
        </w:tc>
        <w:tc>
          <w:tcPr>
            <w:tcW w:w="2268" w:type="dxa"/>
          </w:tcPr>
          <w:p w14:paraId="43B38795" w14:textId="77777777" w:rsidR="00F2759D" w:rsidRPr="00DE096C" w:rsidRDefault="00F2759D" w:rsidP="00D45A46">
            <w:pPr>
              <w:jc w:val="both"/>
              <w:rPr>
                <w:bCs/>
                <w:color w:val="002060"/>
                <w:sz w:val="16"/>
                <w:szCs w:val="16"/>
              </w:rPr>
            </w:pPr>
            <w:r w:rsidRPr="00DE096C">
              <w:rPr>
                <w:bCs/>
                <w:color w:val="002060"/>
                <w:sz w:val="16"/>
                <w:szCs w:val="16"/>
              </w:rPr>
              <w:t>4-й -"-</w:t>
            </w:r>
          </w:p>
        </w:tc>
        <w:tc>
          <w:tcPr>
            <w:tcW w:w="1307" w:type="dxa"/>
          </w:tcPr>
          <w:p w14:paraId="59654A46" w14:textId="77777777" w:rsidR="00F2759D" w:rsidRPr="00DE096C" w:rsidRDefault="00F2759D" w:rsidP="00D45A46">
            <w:pPr>
              <w:jc w:val="both"/>
              <w:rPr>
                <w:bCs/>
                <w:color w:val="002060"/>
                <w:sz w:val="16"/>
                <w:szCs w:val="16"/>
              </w:rPr>
            </w:pPr>
            <w:r w:rsidRPr="00DE096C">
              <w:rPr>
                <w:bCs/>
                <w:color w:val="002060"/>
                <w:sz w:val="16"/>
                <w:szCs w:val="16"/>
              </w:rPr>
              <w:t>4</w:t>
            </w:r>
          </w:p>
        </w:tc>
        <w:tc>
          <w:tcPr>
            <w:tcW w:w="1307" w:type="dxa"/>
          </w:tcPr>
          <w:p w14:paraId="1DDF55E5"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1BEEEC57" w14:textId="77777777" w:rsidR="00F2759D" w:rsidRPr="00DE096C" w:rsidRDefault="00F2759D" w:rsidP="00D45A46">
            <w:pPr>
              <w:jc w:val="both"/>
              <w:rPr>
                <w:bCs/>
                <w:color w:val="002060"/>
                <w:sz w:val="16"/>
                <w:szCs w:val="16"/>
              </w:rPr>
            </w:pPr>
            <w:r w:rsidRPr="00DE096C">
              <w:rPr>
                <w:bCs/>
                <w:color w:val="002060"/>
                <w:sz w:val="16"/>
                <w:szCs w:val="16"/>
              </w:rPr>
              <w:t>3</w:t>
            </w:r>
          </w:p>
        </w:tc>
        <w:tc>
          <w:tcPr>
            <w:tcW w:w="1307" w:type="dxa"/>
          </w:tcPr>
          <w:p w14:paraId="37ED7749"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2C05EF68"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7ABE31FC" w14:textId="77777777" w:rsidR="00F2759D" w:rsidRPr="00DE096C" w:rsidRDefault="00F2759D" w:rsidP="00D45A46">
            <w:pPr>
              <w:jc w:val="both"/>
              <w:rPr>
                <w:bCs/>
                <w:color w:val="002060"/>
                <w:sz w:val="16"/>
                <w:szCs w:val="16"/>
              </w:rPr>
            </w:pPr>
            <w:r w:rsidRPr="00DE096C">
              <w:rPr>
                <w:bCs/>
                <w:color w:val="002060"/>
                <w:sz w:val="16"/>
                <w:szCs w:val="16"/>
              </w:rPr>
              <w:t>-</w:t>
            </w:r>
          </w:p>
        </w:tc>
      </w:tr>
      <w:tr w:rsidR="00F2759D" w:rsidRPr="00DE096C" w14:paraId="51DA089C" w14:textId="77777777" w:rsidTr="00D34AC1">
        <w:tc>
          <w:tcPr>
            <w:tcW w:w="1101" w:type="dxa"/>
          </w:tcPr>
          <w:p w14:paraId="5AF76AFC" w14:textId="77777777" w:rsidR="00F2759D" w:rsidRPr="00DE096C" w:rsidRDefault="00F2759D" w:rsidP="00D45A46">
            <w:pPr>
              <w:jc w:val="both"/>
              <w:rPr>
                <w:bCs/>
                <w:color w:val="002060"/>
                <w:sz w:val="16"/>
                <w:szCs w:val="16"/>
              </w:rPr>
            </w:pPr>
            <w:r w:rsidRPr="00DE096C">
              <w:rPr>
                <w:bCs/>
                <w:color w:val="002060"/>
                <w:sz w:val="16"/>
                <w:szCs w:val="16"/>
              </w:rPr>
              <w:t>31.07</w:t>
            </w:r>
          </w:p>
        </w:tc>
        <w:tc>
          <w:tcPr>
            <w:tcW w:w="2268" w:type="dxa"/>
          </w:tcPr>
          <w:p w14:paraId="60D033C4" w14:textId="77777777" w:rsidR="00F2759D" w:rsidRPr="00DE096C" w:rsidRDefault="00F2759D" w:rsidP="00D45A46">
            <w:pPr>
              <w:jc w:val="both"/>
              <w:rPr>
                <w:bCs/>
                <w:color w:val="002060"/>
                <w:sz w:val="16"/>
                <w:szCs w:val="16"/>
              </w:rPr>
            </w:pPr>
            <w:r w:rsidRPr="00DE096C">
              <w:rPr>
                <w:bCs/>
                <w:color w:val="002060"/>
                <w:sz w:val="16"/>
                <w:szCs w:val="16"/>
              </w:rPr>
              <w:t>10-й -"-</w:t>
            </w:r>
          </w:p>
        </w:tc>
        <w:tc>
          <w:tcPr>
            <w:tcW w:w="1307" w:type="dxa"/>
          </w:tcPr>
          <w:p w14:paraId="2E5EC776" w14:textId="77777777" w:rsidR="00F2759D" w:rsidRPr="00DE096C" w:rsidRDefault="00F2759D" w:rsidP="00D45A46">
            <w:pPr>
              <w:jc w:val="both"/>
              <w:rPr>
                <w:bCs/>
                <w:color w:val="002060"/>
                <w:sz w:val="16"/>
                <w:szCs w:val="16"/>
              </w:rPr>
            </w:pPr>
            <w:r w:rsidRPr="00DE096C">
              <w:rPr>
                <w:bCs/>
                <w:color w:val="002060"/>
                <w:sz w:val="16"/>
                <w:szCs w:val="16"/>
              </w:rPr>
              <w:t>3</w:t>
            </w:r>
          </w:p>
        </w:tc>
        <w:tc>
          <w:tcPr>
            <w:tcW w:w="1307" w:type="dxa"/>
          </w:tcPr>
          <w:p w14:paraId="0516CADE" w14:textId="77777777" w:rsidR="00F2759D" w:rsidRPr="00DE096C" w:rsidRDefault="00F2759D" w:rsidP="00D45A46">
            <w:pPr>
              <w:jc w:val="both"/>
              <w:rPr>
                <w:bCs/>
                <w:color w:val="002060"/>
                <w:sz w:val="16"/>
                <w:szCs w:val="16"/>
              </w:rPr>
            </w:pPr>
            <w:r w:rsidRPr="00DE096C">
              <w:rPr>
                <w:bCs/>
                <w:color w:val="002060"/>
                <w:sz w:val="16"/>
                <w:szCs w:val="16"/>
              </w:rPr>
              <w:t>2</w:t>
            </w:r>
          </w:p>
        </w:tc>
        <w:tc>
          <w:tcPr>
            <w:tcW w:w="1307" w:type="dxa"/>
          </w:tcPr>
          <w:p w14:paraId="567167AF"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57A397E3" w14:textId="77777777" w:rsidR="00F2759D" w:rsidRPr="00DE096C" w:rsidRDefault="00F2759D" w:rsidP="00D45A46">
            <w:pPr>
              <w:jc w:val="both"/>
              <w:rPr>
                <w:bCs/>
                <w:color w:val="002060"/>
                <w:sz w:val="16"/>
                <w:szCs w:val="16"/>
              </w:rPr>
            </w:pPr>
            <w:r w:rsidRPr="00DE096C">
              <w:rPr>
                <w:bCs/>
                <w:color w:val="002060"/>
                <w:sz w:val="16"/>
                <w:szCs w:val="16"/>
              </w:rPr>
              <w:t>4</w:t>
            </w:r>
          </w:p>
        </w:tc>
        <w:tc>
          <w:tcPr>
            <w:tcW w:w="1307" w:type="dxa"/>
          </w:tcPr>
          <w:p w14:paraId="3A06CE36"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3221B2ED" w14:textId="77777777" w:rsidR="00F2759D" w:rsidRPr="00DE096C" w:rsidRDefault="00F2759D" w:rsidP="00D45A46">
            <w:pPr>
              <w:jc w:val="both"/>
              <w:rPr>
                <w:bCs/>
                <w:color w:val="002060"/>
                <w:sz w:val="16"/>
                <w:szCs w:val="16"/>
              </w:rPr>
            </w:pPr>
            <w:r w:rsidRPr="00DE096C">
              <w:rPr>
                <w:bCs/>
                <w:color w:val="002060"/>
                <w:sz w:val="16"/>
                <w:szCs w:val="16"/>
              </w:rPr>
              <w:t>-</w:t>
            </w:r>
          </w:p>
        </w:tc>
      </w:tr>
      <w:tr w:rsidR="00F2759D" w:rsidRPr="00DE096C" w14:paraId="1854E525" w14:textId="77777777" w:rsidTr="00D34AC1">
        <w:tc>
          <w:tcPr>
            <w:tcW w:w="1101" w:type="dxa"/>
          </w:tcPr>
          <w:p w14:paraId="348932B2" w14:textId="77777777" w:rsidR="00F2759D" w:rsidRPr="00DE096C" w:rsidRDefault="00F2759D" w:rsidP="00D45A46">
            <w:pPr>
              <w:jc w:val="both"/>
              <w:rPr>
                <w:bCs/>
                <w:color w:val="002060"/>
                <w:sz w:val="16"/>
                <w:szCs w:val="16"/>
              </w:rPr>
            </w:pPr>
            <w:r w:rsidRPr="00DE096C">
              <w:rPr>
                <w:bCs/>
                <w:color w:val="002060"/>
                <w:sz w:val="16"/>
                <w:szCs w:val="16"/>
              </w:rPr>
              <w:t>31.07</w:t>
            </w:r>
          </w:p>
        </w:tc>
        <w:tc>
          <w:tcPr>
            <w:tcW w:w="2268" w:type="dxa"/>
          </w:tcPr>
          <w:p w14:paraId="0E6AB155" w14:textId="77777777" w:rsidR="00F2759D" w:rsidRPr="00DE096C" w:rsidRDefault="00F2759D" w:rsidP="00D45A46">
            <w:pPr>
              <w:jc w:val="both"/>
              <w:rPr>
                <w:bCs/>
                <w:color w:val="002060"/>
                <w:sz w:val="16"/>
                <w:szCs w:val="16"/>
              </w:rPr>
            </w:pPr>
            <w:r w:rsidRPr="00DE096C">
              <w:rPr>
                <w:bCs/>
                <w:color w:val="002060"/>
                <w:sz w:val="16"/>
                <w:szCs w:val="16"/>
              </w:rPr>
              <w:t>21-й -“-</w:t>
            </w:r>
          </w:p>
        </w:tc>
        <w:tc>
          <w:tcPr>
            <w:tcW w:w="1307" w:type="dxa"/>
          </w:tcPr>
          <w:p w14:paraId="2E21B51D" w14:textId="77777777" w:rsidR="00F2759D" w:rsidRPr="00DE096C" w:rsidRDefault="00F2759D" w:rsidP="00D45A46">
            <w:pPr>
              <w:jc w:val="both"/>
              <w:rPr>
                <w:bCs/>
                <w:color w:val="002060"/>
                <w:sz w:val="16"/>
                <w:szCs w:val="16"/>
              </w:rPr>
            </w:pPr>
            <w:r w:rsidRPr="00DE096C">
              <w:rPr>
                <w:bCs/>
                <w:color w:val="002060"/>
                <w:sz w:val="16"/>
                <w:szCs w:val="16"/>
              </w:rPr>
              <w:t>1</w:t>
            </w:r>
          </w:p>
        </w:tc>
        <w:tc>
          <w:tcPr>
            <w:tcW w:w="1307" w:type="dxa"/>
          </w:tcPr>
          <w:p w14:paraId="5E2DEBF4" w14:textId="77777777" w:rsidR="00F2759D" w:rsidRPr="00DE096C" w:rsidRDefault="00F2759D" w:rsidP="00D45A46">
            <w:pPr>
              <w:jc w:val="both"/>
              <w:rPr>
                <w:bCs/>
                <w:color w:val="002060"/>
                <w:sz w:val="16"/>
                <w:szCs w:val="16"/>
              </w:rPr>
            </w:pPr>
            <w:r w:rsidRPr="00DE096C">
              <w:rPr>
                <w:bCs/>
                <w:color w:val="002060"/>
                <w:sz w:val="16"/>
                <w:szCs w:val="16"/>
              </w:rPr>
              <w:t>2</w:t>
            </w:r>
          </w:p>
        </w:tc>
        <w:tc>
          <w:tcPr>
            <w:tcW w:w="1307" w:type="dxa"/>
          </w:tcPr>
          <w:p w14:paraId="22C1E85A"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03FB9014" w14:textId="77777777" w:rsidR="00F2759D" w:rsidRPr="00DE096C" w:rsidRDefault="00F2759D" w:rsidP="00D45A46">
            <w:pPr>
              <w:jc w:val="both"/>
              <w:rPr>
                <w:bCs/>
                <w:color w:val="002060"/>
                <w:sz w:val="16"/>
                <w:szCs w:val="16"/>
              </w:rPr>
            </w:pPr>
            <w:r w:rsidRPr="00DE096C">
              <w:rPr>
                <w:bCs/>
                <w:color w:val="002060"/>
                <w:sz w:val="16"/>
                <w:szCs w:val="16"/>
              </w:rPr>
              <w:t>3</w:t>
            </w:r>
          </w:p>
        </w:tc>
        <w:tc>
          <w:tcPr>
            <w:tcW w:w="1307" w:type="dxa"/>
          </w:tcPr>
          <w:p w14:paraId="64D2F866"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0C90568C" w14:textId="77777777" w:rsidR="00F2759D" w:rsidRPr="00DE096C" w:rsidRDefault="00F2759D" w:rsidP="00D45A46">
            <w:pPr>
              <w:jc w:val="both"/>
              <w:rPr>
                <w:bCs/>
                <w:color w:val="002060"/>
                <w:sz w:val="16"/>
                <w:szCs w:val="16"/>
              </w:rPr>
            </w:pPr>
            <w:r w:rsidRPr="00DE096C">
              <w:rPr>
                <w:bCs/>
                <w:color w:val="002060"/>
                <w:sz w:val="16"/>
                <w:szCs w:val="16"/>
              </w:rPr>
              <w:t>-</w:t>
            </w:r>
          </w:p>
        </w:tc>
      </w:tr>
      <w:tr w:rsidR="00F2759D" w:rsidRPr="00DE096C" w14:paraId="1E46BD70" w14:textId="77777777" w:rsidTr="00D34AC1">
        <w:tc>
          <w:tcPr>
            <w:tcW w:w="1101" w:type="dxa"/>
          </w:tcPr>
          <w:p w14:paraId="0BE77D55" w14:textId="77777777" w:rsidR="00F2759D" w:rsidRPr="00DE096C" w:rsidRDefault="00F2759D" w:rsidP="00D45A46">
            <w:pPr>
              <w:jc w:val="both"/>
              <w:rPr>
                <w:bCs/>
                <w:color w:val="002060"/>
                <w:sz w:val="16"/>
                <w:szCs w:val="16"/>
              </w:rPr>
            </w:pPr>
          </w:p>
        </w:tc>
        <w:tc>
          <w:tcPr>
            <w:tcW w:w="2268" w:type="dxa"/>
          </w:tcPr>
          <w:p w14:paraId="4ABFE4E5" w14:textId="77777777" w:rsidR="00F2759D" w:rsidRPr="00DE096C" w:rsidRDefault="00F2759D" w:rsidP="00D45A46">
            <w:pPr>
              <w:jc w:val="both"/>
              <w:rPr>
                <w:bCs/>
                <w:color w:val="002060"/>
                <w:sz w:val="16"/>
                <w:szCs w:val="16"/>
              </w:rPr>
            </w:pPr>
            <w:r w:rsidRPr="00DE096C">
              <w:rPr>
                <w:bCs/>
                <w:color w:val="002060"/>
                <w:sz w:val="16"/>
                <w:szCs w:val="16"/>
              </w:rPr>
              <w:t>5-я рота. Бронницы</w:t>
            </w:r>
          </w:p>
        </w:tc>
        <w:tc>
          <w:tcPr>
            <w:tcW w:w="1307" w:type="dxa"/>
          </w:tcPr>
          <w:p w14:paraId="3EBCF5D1" w14:textId="77777777" w:rsidR="00F2759D" w:rsidRPr="00DE096C" w:rsidRDefault="00F2759D" w:rsidP="00D45A46">
            <w:pPr>
              <w:jc w:val="both"/>
              <w:rPr>
                <w:bCs/>
                <w:color w:val="002060"/>
                <w:sz w:val="16"/>
                <w:szCs w:val="16"/>
              </w:rPr>
            </w:pPr>
          </w:p>
        </w:tc>
        <w:tc>
          <w:tcPr>
            <w:tcW w:w="1307" w:type="dxa"/>
          </w:tcPr>
          <w:p w14:paraId="722F177C" w14:textId="77777777" w:rsidR="00F2759D" w:rsidRPr="00DE096C" w:rsidRDefault="00F2759D" w:rsidP="00D45A46">
            <w:pPr>
              <w:jc w:val="both"/>
              <w:rPr>
                <w:bCs/>
                <w:color w:val="002060"/>
                <w:sz w:val="16"/>
                <w:szCs w:val="16"/>
              </w:rPr>
            </w:pPr>
          </w:p>
        </w:tc>
        <w:tc>
          <w:tcPr>
            <w:tcW w:w="1307" w:type="dxa"/>
          </w:tcPr>
          <w:p w14:paraId="13A4D19B" w14:textId="77777777" w:rsidR="00F2759D" w:rsidRPr="00DE096C" w:rsidRDefault="00F2759D" w:rsidP="00D45A46">
            <w:pPr>
              <w:jc w:val="both"/>
              <w:rPr>
                <w:bCs/>
                <w:color w:val="002060"/>
                <w:sz w:val="16"/>
                <w:szCs w:val="16"/>
              </w:rPr>
            </w:pPr>
          </w:p>
        </w:tc>
        <w:tc>
          <w:tcPr>
            <w:tcW w:w="1307" w:type="dxa"/>
          </w:tcPr>
          <w:p w14:paraId="3509EDF8" w14:textId="77777777" w:rsidR="00F2759D" w:rsidRPr="00DE096C" w:rsidRDefault="00F2759D" w:rsidP="00D45A46">
            <w:pPr>
              <w:jc w:val="both"/>
              <w:rPr>
                <w:bCs/>
                <w:color w:val="002060"/>
                <w:sz w:val="16"/>
                <w:szCs w:val="16"/>
              </w:rPr>
            </w:pPr>
          </w:p>
        </w:tc>
        <w:tc>
          <w:tcPr>
            <w:tcW w:w="1307" w:type="dxa"/>
          </w:tcPr>
          <w:p w14:paraId="58FB0195" w14:textId="77777777" w:rsidR="00F2759D" w:rsidRPr="00DE096C" w:rsidRDefault="00F2759D" w:rsidP="00D45A46">
            <w:pPr>
              <w:jc w:val="both"/>
              <w:rPr>
                <w:bCs/>
                <w:color w:val="002060"/>
                <w:sz w:val="16"/>
                <w:szCs w:val="16"/>
              </w:rPr>
            </w:pPr>
          </w:p>
        </w:tc>
        <w:tc>
          <w:tcPr>
            <w:tcW w:w="1307" w:type="dxa"/>
          </w:tcPr>
          <w:p w14:paraId="30789DB4" w14:textId="77777777" w:rsidR="00F2759D" w:rsidRPr="00DE096C" w:rsidRDefault="00F2759D" w:rsidP="00D45A46">
            <w:pPr>
              <w:jc w:val="both"/>
              <w:rPr>
                <w:bCs/>
                <w:color w:val="002060"/>
                <w:sz w:val="16"/>
                <w:szCs w:val="16"/>
              </w:rPr>
            </w:pPr>
          </w:p>
        </w:tc>
      </w:tr>
      <w:tr w:rsidR="00F2759D" w:rsidRPr="00DE096C" w14:paraId="3D629E17" w14:textId="77777777" w:rsidTr="00D34AC1">
        <w:tc>
          <w:tcPr>
            <w:tcW w:w="1101" w:type="dxa"/>
          </w:tcPr>
          <w:p w14:paraId="1ADE2A43" w14:textId="77777777" w:rsidR="00F2759D" w:rsidRPr="00DE096C" w:rsidRDefault="00F2759D" w:rsidP="00D45A46">
            <w:pPr>
              <w:jc w:val="both"/>
              <w:rPr>
                <w:bCs/>
                <w:color w:val="002060"/>
                <w:sz w:val="16"/>
                <w:szCs w:val="16"/>
              </w:rPr>
            </w:pPr>
            <w:r w:rsidRPr="00DE096C">
              <w:rPr>
                <w:bCs/>
                <w:color w:val="002060"/>
                <w:sz w:val="16"/>
                <w:szCs w:val="16"/>
              </w:rPr>
              <w:t>30.07</w:t>
            </w:r>
          </w:p>
        </w:tc>
        <w:tc>
          <w:tcPr>
            <w:tcW w:w="2268" w:type="dxa"/>
          </w:tcPr>
          <w:p w14:paraId="58080522" w14:textId="77777777" w:rsidR="00F2759D" w:rsidRPr="00DE096C" w:rsidRDefault="00F2759D" w:rsidP="00D45A46">
            <w:pPr>
              <w:jc w:val="both"/>
              <w:rPr>
                <w:bCs/>
                <w:color w:val="002060"/>
                <w:sz w:val="16"/>
                <w:szCs w:val="16"/>
              </w:rPr>
            </w:pPr>
            <w:r w:rsidRPr="00DE096C">
              <w:rPr>
                <w:bCs/>
                <w:color w:val="002060"/>
                <w:sz w:val="16"/>
                <w:szCs w:val="16"/>
              </w:rPr>
              <w:t>Гренадерский отряд</w:t>
            </w:r>
          </w:p>
        </w:tc>
        <w:tc>
          <w:tcPr>
            <w:tcW w:w="1307" w:type="dxa"/>
          </w:tcPr>
          <w:p w14:paraId="46B9DD6A" w14:textId="77777777" w:rsidR="00F2759D" w:rsidRPr="00DE096C" w:rsidRDefault="00F2759D" w:rsidP="00D45A46">
            <w:pPr>
              <w:jc w:val="both"/>
              <w:rPr>
                <w:bCs/>
                <w:color w:val="002060"/>
                <w:sz w:val="16"/>
                <w:szCs w:val="16"/>
              </w:rPr>
            </w:pPr>
            <w:r w:rsidRPr="00DE096C">
              <w:rPr>
                <w:bCs/>
                <w:color w:val="002060"/>
                <w:sz w:val="16"/>
                <w:szCs w:val="16"/>
              </w:rPr>
              <w:t>5</w:t>
            </w:r>
          </w:p>
        </w:tc>
        <w:tc>
          <w:tcPr>
            <w:tcW w:w="1307" w:type="dxa"/>
          </w:tcPr>
          <w:p w14:paraId="63701335" w14:textId="77777777" w:rsidR="00F2759D" w:rsidRPr="00DE096C" w:rsidRDefault="00F2759D" w:rsidP="00D45A46">
            <w:pPr>
              <w:jc w:val="both"/>
              <w:rPr>
                <w:bCs/>
                <w:color w:val="002060"/>
                <w:sz w:val="16"/>
                <w:szCs w:val="16"/>
              </w:rPr>
            </w:pPr>
            <w:r w:rsidRPr="00DE096C">
              <w:rPr>
                <w:bCs/>
                <w:color w:val="002060"/>
                <w:sz w:val="16"/>
                <w:szCs w:val="16"/>
              </w:rPr>
              <w:t>2</w:t>
            </w:r>
          </w:p>
        </w:tc>
        <w:tc>
          <w:tcPr>
            <w:tcW w:w="1307" w:type="dxa"/>
          </w:tcPr>
          <w:p w14:paraId="5D9DC114"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0804FA87"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420BD3DA"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5ACB1E9F" w14:textId="77777777" w:rsidR="00F2759D" w:rsidRPr="00DE096C" w:rsidRDefault="00F2759D" w:rsidP="00D45A46">
            <w:pPr>
              <w:jc w:val="both"/>
              <w:rPr>
                <w:bCs/>
                <w:color w:val="002060"/>
                <w:sz w:val="16"/>
                <w:szCs w:val="16"/>
              </w:rPr>
            </w:pPr>
            <w:r w:rsidRPr="00DE096C">
              <w:rPr>
                <w:bCs/>
                <w:color w:val="002060"/>
                <w:sz w:val="16"/>
                <w:szCs w:val="16"/>
              </w:rPr>
              <w:t>5</w:t>
            </w:r>
          </w:p>
        </w:tc>
      </w:tr>
      <w:tr w:rsidR="00F2759D" w:rsidRPr="00DE096C" w14:paraId="2035A96E" w14:textId="77777777" w:rsidTr="00D34AC1">
        <w:tc>
          <w:tcPr>
            <w:tcW w:w="1101" w:type="dxa"/>
          </w:tcPr>
          <w:p w14:paraId="0B57BA84" w14:textId="77777777" w:rsidR="00F2759D" w:rsidRPr="00DE096C" w:rsidRDefault="00F2759D" w:rsidP="00D45A46">
            <w:pPr>
              <w:jc w:val="both"/>
              <w:rPr>
                <w:bCs/>
                <w:color w:val="002060"/>
                <w:sz w:val="16"/>
                <w:szCs w:val="16"/>
              </w:rPr>
            </w:pPr>
            <w:r w:rsidRPr="00DE096C">
              <w:rPr>
                <w:bCs/>
                <w:color w:val="002060"/>
                <w:sz w:val="16"/>
                <w:szCs w:val="16"/>
              </w:rPr>
              <w:t>30.07</w:t>
            </w:r>
          </w:p>
        </w:tc>
        <w:tc>
          <w:tcPr>
            <w:tcW w:w="2268" w:type="dxa"/>
          </w:tcPr>
          <w:p w14:paraId="3F9B0B7B" w14:textId="77777777" w:rsidR="00F2759D" w:rsidRPr="00DE096C" w:rsidRDefault="00F2759D" w:rsidP="00D45A46">
            <w:pPr>
              <w:jc w:val="both"/>
              <w:rPr>
                <w:bCs/>
                <w:color w:val="002060"/>
                <w:sz w:val="16"/>
                <w:szCs w:val="16"/>
              </w:rPr>
            </w:pPr>
            <w:r w:rsidRPr="00DE096C">
              <w:rPr>
                <w:bCs/>
                <w:color w:val="002060"/>
                <w:sz w:val="16"/>
                <w:szCs w:val="16"/>
              </w:rPr>
              <w:t>13-й корпавиаотряд</w:t>
            </w:r>
          </w:p>
        </w:tc>
        <w:tc>
          <w:tcPr>
            <w:tcW w:w="1307" w:type="dxa"/>
          </w:tcPr>
          <w:p w14:paraId="3A1449FF" w14:textId="77777777" w:rsidR="00F2759D" w:rsidRPr="00DE096C" w:rsidRDefault="00F2759D" w:rsidP="00D45A46">
            <w:pPr>
              <w:jc w:val="both"/>
              <w:rPr>
                <w:bCs/>
                <w:color w:val="002060"/>
                <w:sz w:val="16"/>
                <w:szCs w:val="16"/>
              </w:rPr>
            </w:pPr>
            <w:r w:rsidRPr="00DE096C">
              <w:rPr>
                <w:bCs/>
                <w:color w:val="002060"/>
                <w:sz w:val="16"/>
                <w:szCs w:val="16"/>
              </w:rPr>
              <w:t>3</w:t>
            </w:r>
          </w:p>
        </w:tc>
        <w:tc>
          <w:tcPr>
            <w:tcW w:w="1307" w:type="dxa"/>
          </w:tcPr>
          <w:p w14:paraId="37678D16"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1A9C497B" w14:textId="77777777" w:rsidR="00F2759D" w:rsidRPr="00DE096C" w:rsidRDefault="00F2759D" w:rsidP="00D45A46">
            <w:pPr>
              <w:jc w:val="both"/>
              <w:rPr>
                <w:bCs/>
                <w:color w:val="002060"/>
                <w:sz w:val="16"/>
                <w:szCs w:val="16"/>
              </w:rPr>
            </w:pPr>
            <w:r w:rsidRPr="00DE096C">
              <w:rPr>
                <w:bCs/>
                <w:color w:val="002060"/>
                <w:sz w:val="16"/>
                <w:szCs w:val="16"/>
              </w:rPr>
              <w:t>5</w:t>
            </w:r>
          </w:p>
        </w:tc>
        <w:tc>
          <w:tcPr>
            <w:tcW w:w="1307" w:type="dxa"/>
          </w:tcPr>
          <w:p w14:paraId="78BBA7E8"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52256046"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7EEB33F8" w14:textId="77777777" w:rsidR="00F2759D" w:rsidRPr="00DE096C" w:rsidRDefault="00F2759D" w:rsidP="00D45A46">
            <w:pPr>
              <w:jc w:val="both"/>
              <w:rPr>
                <w:bCs/>
                <w:color w:val="002060"/>
                <w:sz w:val="16"/>
                <w:szCs w:val="16"/>
              </w:rPr>
            </w:pPr>
            <w:r w:rsidRPr="00DE096C">
              <w:rPr>
                <w:bCs/>
                <w:color w:val="002060"/>
                <w:sz w:val="16"/>
                <w:szCs w:val="16"/>
              </w:rPr>
              <w:t>-</w:t>
            </w:r>
          </w:p>
        </w:tc>
      </w:tr>
      <w:tr w:rsidR="00F2759D" w:rsidRPr="00DE096C" w14:paraId="4871F476" w14:textId="77777777" w:rsidTr="00D34AC1">
        <w:tc>
          <w:tcPr>
            <w:tcW w:w="1101" w:type="dxa"/>
          </w:tcPr>
          <w:p w14:paraId="45B1B003" w14:textId="77777777" w:rsidR="00F2759D" w:rsidRPr="00DE096C" w:rsidRDefault="00F2759D" w:rsidP="00D45A46">
            <w:pPr>
              <w:jc w:val="both"/>
              <w:rPr>
                <w:bCs/>
                <w:color w:val="002060"/>
                <w:sz w:val="16"/>
                <w:szCs w:val="16"/>
              </w:rPr>
            </w:pPr>
            <w:r w:rsidRPr="00DE096C">
              <w:rPr>
                <w:bCs/>
                <w:color w:val="002060"/>
                <w:sz w:val="16"/>
                <w:szCs w:val="16"/>
              </w:rPr>
              <w:t>30.07</w:t>
            </w:r>
          </w:p>
        </w:tc>
        <w:tc>
          <w:tcPr>
            <w:tcW w:w="2268" w:type="dxa"/>
          </w:tcPr>
          <w:p w14:paraId="4CBA2EC4" w14:textId="77777777" w:rsidR="00F2759D" w:rsidRPr="00DE096C" w:rsidRDefault="00F2759D" w:rsidP="00D45A46">
            <w:pPr>
              <w:jc w:val="both"/>
              <w:rPr>
                <w:bCs/>
                <w:color w:val="002060"/>
                <w:sz w:val="16"/>
                <w:szCs w:val="16"/>
              </w:rPr>
            </w:pPr>
            <w:r w:rsidRPr="00DE096C">
              <w:rPr>
                <w:bCs/>
                <w:color w:val="002060"/>
                <w:sz w:val="16"/>
                <w:szCs w:val="16"/>
              </w:rPr>
              <w:t>17-й -"-</w:t>
            </w:r>
          </w:p>
        </w:tc>
        <w:tc>
          <w:tcPr>
            <w:tcW w:w="1307" w:type="dxa"/>
          </w:tcPr>
          <w:p w14:paraId="1DA10094" w14:textId="77777777" w:rsidR="00F2759D" w:rsidRPr="00DE096C" w:rsidRDefault="00F2759D" w:rsidP="00D45A46">
            <w:pPr>
              <w:jc w:val="both"/>
              <w:rPr>
                <w:bCs/>
                <w:color w:val="002060"/>
                <w:sz w:val="16"/>
                <w:szCs w:val="16"/>
              </w:rPr>
            </w:pPr>
            <w:r w:rsidRPr="00DE096C">
              <w:rPr>
                <w:bCs/>
                <w:color w:val="002060"/>
                <w:sz w:val="16"/>
                <w:szCs w:val="16"/>
              </w:rPr>
              <w:t>4</w:t>
            </w:r>
          </w:p>
        </w:tc>
        <w:tc>
          <w:tcPr>
            <w:tcW w:w="1307" w:type="dxa"/>
          </w:tcPr>
          <w:p w14:paraId="449FEC68" w14:textId="77777777" w:rsidR="00F2759D" w:rsidRPr="00DE096C" w:rsidRDefault="00F2759D" w:rsidP="00D45A46">
            <w:pPr>
              <w:jc w:val="both"/>
              <w:rPr>
                <w:bCs/>
                <w:color w:val="002060"/>
                <w:sz w:val="16"/>
                <w:szCs w:val="16"/>
              </w:rPr>
            </w:pPr>
            <w:r w:rsidRPr="00DE096C">
              <w:rPr>
                <w:bCs/>
                <w:color w:val="002060"/>
                <w:sz w:val="16"/>
                <w:szCs w:val="16"/>
              </w:rPr>
              <w:t>1</w:t>
            </w:r>
          </w:p>
        </w:tc>
        <w:tc>
          <w:tcPr>
            <w:tcW w:w="1307" w:type="dxa"/>
          </w:tcPr>
          <w:p w14:paraId="463D25ED" w14:textId="77777777" w:rsidR="00F2759D" w:rsidRPr="00DE096C" w:rsidRDefault="00F2759D" w:rsidP="00D45A46">
            <w:pPr>
              <w:jc w:val="both"/>
              <w:rPr>
                <w:bCs/>
                <w:color w:val="002060"/>
                <w:sz w:val="16"/>
                <w:szCs w:val="16"/>
              </w:rPr>
            </w:pPr>
            <w:r w:rsidRPr="00DE096C">
              <w:rPr>
                <w:bCs/>
                <w:color w:val="002060"/>
                <w:sz w:val="16"/>
                <w:szCs w:val="16"/>
              </w:rPr>
              <w:t>5</w:t>
            </w:r>
          </w:p>
        </w:tc>
        <w:tc>
          <w:tcPr>
            <w:tcW w:w="1307" w:type="dxa"/>
          </w:tcPr>
          <w:p w14:paraId="32E4CE43"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0EC9C007"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6CD87E4B" w14:textId="77777777" w:rsidR="00F2759D" w:rsidRPr="00DE096C" w:rsidRDefault="00F2759D" w:rsidP="00D45A46">
            <w:pPr>
              <w:jc w:val="both"/>
              <w:rPr>
                <w:bCs/>
                <w:color w:val="002060"/>
                <w:sz w:val="16"/>
                <w:szCs w:val="16"/>
              </w:rPr>
            </w:pPr>
            <w:r w:rsidRPr="00DE096C">
              <w:rPr>
                <w:bCs/>
                <w:color w:val="002060"/>
                <w:sz w:val="16"/>
                <w:szCs w:val="16"/>
              </w:rPr>
              <w:t>-</w:t>
            </w:r>
          </w:p>
        </w:tc>
      </w:tr>
      <w:tr w:rsidR="00F2759D" w:rsidRPr="00DE096C" w14:paraId="2BAF527E" w14:textId="77777777" w:rsidTr="00D34AC1">
        <w:tc>
          <w:tcPr>
            <w:tcW w:w="1101" w:type="dxa"/>
          </w:tcPr>
          <w:p w14:paraId="56BC3E63" w14:textId="77777777" w:rsidR="00F2759D" w:rsidRPr="00DE096C" w:rsidRDefault="00F2759D" w:rsidP="00D45A46">
            <w:pPr>
              <w:jc w:val="both"/>
              <w:rPr>
                <w:bCs/>
                <w:color w:val="002060"/>
                <w:sz w:val="16"/>
                <w:szCs w:val="16"/>
              </w:rPr>
            </w:pPr>
          </w:p>
        </w:tc>
        <w:tc>
          <w:tcPr>
            <w:tcW w:w="2268" w:type="dxa"/>
          </w:tcPr>
          <w:p w14:paraId="0EB24EE8" w14:textId="77777777" w:rsidR="00F2759D" w:rsidRPr="00DE096C" w:rsidRDefault="00F2759D" w:rsidP="00D45A46">
            <w:pPr>
              <w:jc w:val="both"/>
              <w:rPr>
                <w:bCs/>
                <w:color w:val="002060"/>
                <w:sz w:val="16"/>
                <w:szCs w:val="16"/>
              </w:rPr>
            </w:pPr>
            <w:r w:rsidRPr="00DE096C">
              <w:rPr>
                <w:bCs/>
                <w:color w:val="002060"/>
                <w:sz w:val="16"/>
                <w:szCs w:val="16"/>
              </w:rPr>
              <w:t>6-я рота. Одесса</w:t>
            </w:r>
          </w:p>
        </w:tc>
        <w:tc>
          <w:tcPr>
            <w:tcW w:w="1307" w:type="dxa"/>
          </w:tcPr>
          <w:p w14:paraId="6989E62E" w14:textId="77777777" w:rsidR="00F2759D" w:rsidRPr="00DE096C" w:rsidRDefault="00F2759D" w:rsidP="00D45A46">
            <w:pPr>
              <w:jc w:val="both"/>
              <w:rPr>
                <w:bCs/>
                <w:color w:val="002060"/>
                <w:sz w:val="16"/>
                <w:szCs w:val="16"/>
              </w:rPr>
            </w:pPr>
          </w:p>
        </w:tc>
        <w:tc>
          <w:tcPr>
            <w:tcW w:w="1307" w:type="dxa"/>
          </w:tcPr>
          <w:p w14:paraId="6A5072FC" w14:textId="77777777" w:rsidR="00F2759D" w:rsidRPr="00DE096C" w:rsidRDefault="00F2759D" w:rsidP="00D45A46">
            <w:pPr>
              <w:jc w:val="both"/>
              <w:rPr>
                <w:bCs/>
                <w:color w:val="002060"/>
                <w:sz w:val="16"/>
                <w:szCs w:val="16"/>
              </w:rPr>
            </w:pPr>
          </w:p>
        </w:tc>
        <w:tc>
          <w:tcPr>
            <w:tcW w:w="1307" w:type="dxa"/>
          </w:tcPr>
          <w:p w14:paraId="2B582C8D" w14:textId="77777777" w:rsidR="00F2759D" w:rsidRPr="00DE096C" w:rsidRDefault="00F2759D" w:rsidP="00D45A46">
            <w:pPr>
              <w:jc w:val="both"/>
              <w:rPr>
                <w:bCs/>
                <w:color w:val="002060"/>
                <w:sz w:val="16"/>
                <w:szCs w:val="16"/>
              </w:rPr>
            </w:pPr>
          </w:p>
        </w:tc>
        <w:tc>
          <w:tcPr>
            <w:tcW w:w="1307" w:type="dxa"/>
          </w:tcPr>
          <w:p w14:paraId="70B1F27D" w14:textId="77777777" w:rsidR="00F2759D" w:rsidRPr="00DE096C" w:rsidRDefault="00F2759D" w:rsidP="00D45A46">
            <w:pPr>
              <w:jc w:val="both"/>
              <w:rPr>
                <w:bCs/>
                <w:color w:val="002060"/>
                <w:sz w:val="16"/>
                <w:szCs w:val="16"/>
              </w:rPr>
            </w:pPr>
          </w:p>
        </w:tc>
        <w:tc>
          <w:tcPr>
            <w:tcW w:w="1307" w:type="dxa"/>
          </w:tcPr>
          <w:p w14:paraId="75B09A5F" w14:textId="77777777" w:rsidR="00F2759D" w:rsidRPr="00DE096C" w:rsidRDefault="00F2759D" w:rsidP="00D45A46">
            <w:pPr>
              <w:jc w:val="both"/>
              <w:rPr>
                <w:bCs/>
                <w:color w:val="002060"/>
                <w:sz w:val="16"/>
                <w:szCs w:val="16"/>
              </w:rPr>
            </w:pPr>
          </w:p>
        </w:tc>
        <w:tc>
          <w:tcPr>
            <w:tcW w:w="1307" w:type="dxa"/>
          </w:tcPr>
          <w:p w14:paraId="131F1D2F" w14:textId="77777777" w:rsidR="00F2759D" w:rsidRPr="00DE096C" w:rsidRDefault="00F2759D" w:rsidP="00D45A46">
            <w:pPr>
              <w:jc w:val="both"/>
              <w:rPr>
                <w:bCs/>
                <w:color w:val="002060"/>
                <w:sz w:val="16"/>
                <w:szCs w:val="16"/>
              </w:rPr>
            </w:pPr>
          </w:p>
        </w:tc>
      </w:tr>
      <w:tr w:rsidR="00F2759D" w:rsidRPr="00DE096C" w14:paraId="256E5A17" w14:textId="77777777" w:rsidTr="00D34AC1">
        <w:tc>
          <w:tcPr>
            <w:tcW w:w="1101" w:type="dxa"/>
          </w:tcPr>
          <w:p w14:paraId="7FFC6B02" w14:textId="77777777" w:rsidR="00F2759D" w:rsidRPr="00DE096C" w:rsidRDefault="00F2759D" w:rsidP="00D45A46">
            <w:pPr>
              <w:jc w:val="both"/>
              <w:rPr>
                <w:bCs/>
                <w:color w:val="002060"/>
                <w:sz w:val="16"/>
                <w:szCs w:val="16"/>
              </w:rPr>
            </w:pPr>
            <w:r w:rsidRPr="00DE096C">
              <w:rPr>
                <w:bCs/>
                <w:color w:val="002060"/>
                <w:sz w:val="16"/>
                <w:szCs w:val="16"/>
              </w:rPr>
              <w:t>27.07</w:t>
            </w:r>
          </w:p>
        </w:tc>
        <w:tc>
          <w:tcPr>
            <w:tcW w:w="2268" w:type="dxa"/>
          </w:tcPr>
          <w:p w14:paraId="11A2379F" w14:textId="77777777" w:rsidR="00F2759D" w:rsidRPr="00DE096C" w:rsidRDefault="00F2759D" w:rsidP="00D45A46">
            <w:pPr>
              <w:jc w:val="both"/>
              <w:rPr>
                <w:bCs/>
                <w:color w:val="002060"/>
                <w:sz w:val="16"/>
                <w:szCs w:val="16"/>
              </w:rPr>
            </w:pPr>
            <w:r w:rsidRPr="00DE096C">
              <w:rPr>
                <w:bCs/>
                <w:color w:val="002060"/>
                <w:sz w:val="16"/>
                <w:szCs w:val="16"/>
              </w:rPr>
              <w:t>7-й корпавиаотряд</w:t>
            </w:r>
          </w:p>
        </w:tc>
        <w:tc>
          <w:tcPr>
            <w:tcW w:w="1307" w:type="dxa"/>
          </w:tcPr>
          <w:p w14:paraId="173C8709" w14:textId="77777777" w:rsidR="00F2759D" w:rsidRPr="00DE096C" w:rsidRDefault="00F2759D" w:rsidP="00D45A46">
            <w:pPr>
              <w:jc w:val="both"/>
              <w:rPr>
                <w:bCs/>
                <w:color w:val="002060"/>
                <w:sz w:val="16"/>
                <w:szCs w:val="16"/>
              </w:rPr>
            </w:pPr>
            <w:r w:rsidRPr="00DE096C">
              <w:rPr>
                <w:bCs/>
                <w:color w:val="002060"/>
                <w:sz w:val="16"/>
                <w:szCs w:val="16"/>
              </w:rPr>
              <w:t>5</w:t>
            </w:r>
          </w:p>
        </w:tc>
        <w:tc>
          <w:tcPr>
            <w:tcW w:w="1307" w:type="dxa"/>
          </w:tcPr>
          <w:p w14:paraId="0815278F" w14:textId="77777777" w:rsidR="00F2759D" w:rsidRPr="00DE096C" w:rsidRDefault="00F2759D" w:rsidP="00D45A46">
            <w:pPr>
              <w:jc w:val="both"/>
              <w:rPr>
                <w:bCs/>
                <w:color w:val="002060"/>
                <w:sz w:val="16"/>
                <w:szCs w:val="16"/>
              </w:rPr>
            </w:pPr>
            <w:r w:rsidRPr="00DE096C">
              <w:rPr>
                <w:bCs/>
                <w:color w:val="002060"/>
                <w:sz w:val="16"/>
                <w:szCs w:val="16"/>
              </w:rPr>
              <w:t>1</w:t>
            </w:r>
          </w:p>
        </w:tc>
        <w:tc>
          <w:tcPr>
            <w:tcW w:w="1307" w:type="dxa"/>
          </w:tcPr>
          <w:p w14:paraId="2E9B50C6" w14:textId="77777777" w:rsidR="00F2759D" w:rsidRPr="00DE096C" w:rsidRDefault="00F2759D" w:rsidP="00D45A46">
            <w:pPr>
              <w:jc w:val="both"/>
              <w:rPr>
                <w:bCs/>
                <w:color w:val="002060"/>
                <w:sz w:val="16"/>
                <w:szCs w:val="16"/>
              </w:rPr>
            </w:pPr>
            <w:r w:rsidRPr="00DE096C">
              <w:rPr>
                <w:bCs/>
                <w:color w:val="002060"/>
                <w:sz w:val="16"/>
                <w:szCs w:val="16"/>
              </w:rPr>
              <w:t>6</w:t>
            </w:r>
          </w:p>
        </w:tc>
        <w:tc>
          <w:tcPr>
            <w:tcW w:w="1307" w:type="dxa"/>
          </w:tcPr>
          <w:p w14:paraId="17767BC5"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3777051D"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6C0C0D7D" w14:textId="77777777" w:rsidR="00F2759D" w:rsidRPr="00DE096C" w:rsidRDefault="00F2759D" w:rsidP="00D45A46">
            <w:pPr>
              <w:jc w:val="both"/>
              <w:rPr>
                <w:bCs/>
                <w:color w:val="002060"/>
                <w:sz w:val="16"/>
                <w:szCs w:val="16"/>
              </w:rPr>
            </w:pPr>
            <w:r w:rsidRPr="00DE096C">
              <w:rPr>
                <w:bCs/>
                <w:color w:val="002060"/>
                <w:sz w:val="16"/>
                <w:szCs w:val="16"/>
              </w:rPr>
              <w:t>-</w:t>
            </w:r>
          </w:p>
        </w:tc>
      </w:tr>
      <w:tr w:rsidR="00F2759D" w:rsidRPr="00DE096C" w14:paraId="7A35A2D6" w14:textId="77777777" w:rsidTr="00D34AC1">
        <w:tc>
          <w:tcPr>
            <w:tcW w:w="1101" w:type="dxa"/>
          </w:tcPr>
          <w:p w14:paraId="1582EA91" w14:textId="77777777" w:rsidR="00F2759D" w:rsidRPr="00DE096C" w:rsidRDefault="00F2759D" w:rsidP="00D45A46">
            <w:pPr>
              <w:jc w:val="both"/>
              <w:rPr>
                <w:bCs/>
                <w:color w:val="002060"/>
                <w:sz w:val="16"/>
                <w:szCs w:val="16"/>
              </w:rPr>
            </w:pPr>
            <w:r w:rsidRPr="00DE096C">
              <w:rPr>
                <w:bCs/>
                <w:color w:val="002060"/>
                <w:sz w:val="16"/>
                <w:szCs w:val="16"/>
              </w:rPr>
              <w:t>27.07</w:t>
            </w:r>
          </w:p>
        </w:tc>
        <w:tc>
          <w:tcPr>
            <w:tcW w:w="2268" w:type="dxa"/>
          </w:tcPr>
          <w:p w14:paraId="5A6D77B8" w14:textId="77777777" w:rsidR="00F2759D" w:rsidRPr="00DE096C" w:rsidRDefault="00F2759D" w:rsidP="00D45A46">
            <w:pPr>
              <w:jc w:val="both"/>
              <w:rPr>
                <w:bCs/>
                <w:color w:val="002060"/>
                <w:sz w:val="16"/>
                <w:szCs w:val="16"/>
              </w:rPr>
            </w:pPr>
            <w:r w:rsidRPr="00DE096C">
              <w:rPr>
                <w:bCs/>
                <w:color w:val="002060"/>
                <w:sz w:val="16"/>
                <w:szCs w:val="16"/>
              </w:rPr>
              <w:t>8-й -“-</w:t>
            </w:r>
          </w:p>
        </w:tc>
        <w:tc>
          <w:tcPr>
            <w:tcW w:w="1307" w:type="dxa"/>
          </w:tcPr>
          <w:p w14:paraId="3496ACC7" w14:textId="77777777" w:rsidR="00F2759D" w:rsidRPr="00DE096C" w:rsidRDefault="00F2759D" w:rsidP="00D45A46">
            <w:pPr>
              <w:jc w:val="both"/>
              <w:rPr>
                <w:bCs/>
                <w:color w:val="002060"/>
                <w:sz w:val="16"/>
                <w:szCs w:val="16"/>
              </w:rPr>
            </w:pPr>
            <w:r w:rsidRPr="00DE096C">
              <w:rPr>
                <w:bCs/>
                <w:color w:val="002060"/>
                <w:sz w:val="16"/>
                <w:szCs w:val="16"/>
              </w:rPr>
              <w:t>4</w:t>
            </w:r>
          </w:p>
        </w:tc>
        <w:tc>
          <w:tcPr>
            <w:tcW w:w="1307" w:type="dxa"/>
          </w:tcPr>
          <w:p w14:paraId="136F2D74" w14:textId="77777777" w:rsidR="00F2759D" w:rsidRPr="00DE096C" w:rsidRDefault="00F2759D" w:rsidP="00D45A46">
            <w:pPr>
              <w:jc w:val="both"/>
              <w:rPr>
                <w:bCs/>
                <w:color w:val="002060"/>
                <w:sz w:val="16"/>
                <w:szCs w:val="16"/>
              </w:rPr>
            </w:pPr>
            <w:r w:rsidRPr="00DE096C">
              <w:rPr>
                <w:bCs/>
                <w:color w:val="002060"/>
                <w:sz w:val="16"/>
                <w:szCs w:val="16"/>
              </w:rPr>
              <w:t>1</w:t>
            </w:r>
          </w:p>
        </w:tc>
        <w:tc>
          <w:tcPr>
            <w:tcW w:w="1307" w:type="dxa"/>
          </w:tcPr>
          <w:p w14:paraId="2B2F88D8" w14:textId="77777777" w:rsidR="00F2759D" w:rsidRPr="00DE096C" w:rsidRDefault="00F2759D" w:rsidP="00D45A46">
            <w:pPr>
              <w:jc w:val="both"/>
              <w:rPr>
                <w:bCs/>
                <w:color w:val="002060"/>
                <w:sz w:val="16"/>
                <w:szCs w:val="16"/>
              </w:rPr>
            </w:pPr>
            <w:r w:rsidRPr="00DE096C">
              <w:rPr>
                <w:bCs/>
                <w:color w:val="002060"/>
                <w:sz w:val="16"/>
                <w:szCs w:val="16"/>
              </w:rPr>
              <w:t>5</w:t>
            </w:r>
          </w:p>
        </w:tc>
        <w:tc>
          <w:tcPr>
            <w:tcW w:w="1307" w:type="dxa"/>
          </w:tcPr>
          <w:p w14:paraId="59A187CE"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24E3D2AA"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53157BA7" w14:textId="77777777" w:rsidR="00F2759D" w:rsidRPr="00DE096C" w:rsidRDefault="00F2759D" w:rsidP="00D45A46">
            <w:pPr>
              <w:jc w:val="both"/>
              <w:rPr>
                <w:bCs/>
                <w:color w:val="002060"/>
                <w:sz w:val="16"/>
                <w:szCs w:val="16"/>
              </w:rPr>
            </w:pPr>
            <w:r w:rsidRPr="00DE096C">
              <w:rPr>
                <w:bCs/>
                <w:color w:val="002060"/>
                <w:sz w:val="16"/>
                <w:szCs w:val="16"/>
              </w:rPr>
              <w:t>-</w:t>
            </w:r>
          </w:p>
        </w:tc>
      </w:tr>
      <w:tr w:rsidR="00F2759D" w:rsidRPr="00DE096C" w14:paraId="429A6665" w14:textId="77777777" w:rsidTr="00D34AC1">
        <w:tc>
          <w:tcPr>
            <w:tcW w:w="1101" w:type="dxa"/>
          </w:tcPr>
          <w:p w14:paraId="76B4DE88" w14:textId="77777777" w:rsidR="00F2759D" w:rsidRPr="00DE096C" w:rsidRDefault="00F2759D" w:rsidP="00D45A46">
            <w:pPr>
              <w:jc w:val="both"/>
              <w:rPr>
                <w:bCs/>
                <w:color w:val="002060"/>
                <w:sz w:val="16"/>
                <w:szCs w:val="16"/>
              </w:rPr>
            </w:pPr>
            <w:r w:rsidRPr="00DE096C">
              <w:rPr>
                <w:bCs/>
                <w:color w:val="002060"/>
                <w:sz w:val="16"/>
                <w:szCs w:val="16"/>
              </w:rPr>
              <w:t>24.07</w:t>
            </w:r>
          </w:p>
        </w:tc>
        <w:tc>
          <w:tcPr>
            <w:tcW w:w="2268" w:type="dxa"/>
          </w:tcPr>
          <w:p w14:paraId="13C9EBBD" w14:textId="77777777" w:rsidR="00F2759D" w:rsidRPr="00DE096C" w:rsidRDefault="00F2759D" w:rsidP="00D45A46">
            <w:pPr>
              <w:jc w:val="both"/>
              <w:rPr>
                <w:bCs/>
                <w:color w:val="002060"/>
                <w:sz w:val="16"/>
                <w:szCs w:val="16"/>
              </w:rPr>
            </w:pPr>
            <w:r w:rsidRPr="00DE096C">
              <w:rPr>
                <w:bCs/>
                <w:color w:val="002060"/>
                <w:sz w:val="16"/>
                <w:szCs w:val="16"/>
              </w:rPr>
              <w:t>25-й -"-</w:t>
            </w:r>
          </w:p>
        </w:tc>
        <w:tc>
          <w:tcPr>
            <w:tcW w:w="1307" w:type="dxa"/>
          </w:tcPr>
          <w:p w14:paraId="44656D87" w14:textId="77777777" w:rsidR="00F2759D" w:rsidRPr="00DE096C" w:rsidRDefault="00F2759D" w:rsidP="00D45A46">
            <w:pPr>
              <w:jc w:val="both"/>
              <w:rPr>
                <w:bCs/>
                <w:color w:val="002060"/>
                <w:sz w:val="16"/>
                <w:szCs w:val="16"/>
              </w:rPr>
            </w:pPr>
            <w:r w:rsidRPr="00DE096C">
              <w:rPr>
                <w:bCs/>
                <w:color w:val="002060"/>
                <w:sz w:val="16"/>
                <w:szCs w:val="16"/>
              </w:rPr>
              <w:t>5</w:t>
            </w:r>
          </w:p>
        </w:tc>
        <w:tc>
          <w:tcPr>
            <w:tcW w:w="1307" w:type="dxa"/>
          </w:tcPr>
          <w:p w14:paraId="0227B2E8"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4807201C" w14:textId="77777777" w:rsidR="00F2759D" w:rsidRPr="00DE096C" w:rsidRDefault="00F2759D" w:rsidP="00D45A46">
            <w:pPr>
              <w:jc w:val="both"/>
              <w:rPr>
                <w:bCs/>
                <w:color w:val="002060"/>
                <w:sz w:val="16"/>
                <w:szCs w:val="16"/>
              </w:rPr>
            </w:pPr>
            <w:r w:rsidRPr="00DE096C">
              <w:rPr>
                <w:bCs/>
                <w:color w:val="002060"/>
                <w:sz w:val="16"/>
                <w:szCs w:val="16"/>
              </w:rPr>
              <w:t>4</w:t>
            </w:r>
          </w:p>
        </w:tc>
        <w:tc>
          <w:tcPr>
            <w:tcW w:w="1307" w:type="dxa"/>
          </w:tcPr>
          <w:p w14:paraId="5467A3FF"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270B459B"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767A0839" w14:textId="77777777" w:rsidR="00F2759D" w:rsidRPr="00DE096C" w:rsidRDefault="00F2759D" w:rsidP="00D45A46">
            <w:pPr>
              <w:jc w:val="both"/>
              <w:rPr>
                <w:bCs/>
                <w:color w:val="002060"/>
                <w:sz w:val="16"/>
                <w:szCs w:val="16"/>
              </w:rPr>
            </w:pPr>
            <w:r w:rsidRPr="00DE096C">
              <w:rPr>
                <w:bCs/>
                <w:color w:val="002060"/>
                <w:sz w:val="16"/>
                <w:szCs w:val="16"/>
              </w:rPr>
              <w:t>-</w:t>
            </w:r>
          </w:p>
        </w:tc>
      </w:tr>
      <w:tr w:rsidR="00F2759D" w:rsidRPr="00DE096C" w14:paraId="678A8666" w14:textId="77777777" w:rsidTr="00D34AC1">
        <w:tc>
          <w:tcPr>
            <w:tcW w:w="1101" w:type="dxa"/>
          </w:tcPr>
          <w:p w14:paraId="38571BEA" w14:textId="77777777" w:rsidR="00F2759D" w:rsidRPr="00DE096C" w:rsidRDefault="00F2759D" w:rsidP="00D45A46">
            <w:pPr>
              <w:jc w:val="both"/>
              <w:rPr>
                <w:bCs/>
                <w:color w:val="002060"/>
                <w:sz w:val="16"/>
                <w:szCs w:val="16"/>
              </w:rPr>
            </w:pPr>
            <w:r w:rsidRPr="00DE096C">
              <w:rPr>
                <w:bCs/>
                <w:color w:val="002060"/>
                <w:sz w:val="16"/>
                <w:szCs w:val="16"/>
              </w:rPr>
              <w:t>09.09</w:t>
            </w:r>
          </w:p>
        </w:tc>
        <w:tc>
          <w:tcPr>
            <w:tcW w:w="2268" w:type="dxa"/>
          </w:tcPr>
          <w:p w14:paraId="00D6B714" w14:textId="77777777" w:rsidR="00F2759D" w:rsidRPr="00DE096C" w:rsidRDefault="00F2759D" w:rsidP="00D45A46">
            <w:pPr>
              <w:jc w:val="both"/>
              <w:rPr>
                <w:bCs/>
                <w:color w:val="002060"/>
                <w:sz w:val="16"/>
                <w:szCs w:val="16"/>
              </w:rPr>
            </w:pPr>
            <w:r w:rsidRPr="00DE096C">
              <w:rPr>
                <w:bCs/>
                <w:color w:val="002060"/>
                <w:sz w:val="16"/>
                <w:szCs w:val="16"/>
              </w:rPr>
              <w:t>24-й -“-</w:t>
            </w:r>
          </w:p>
        </w:tc>
        <w:tc>
          <w:tcPr>
            <w:tcW w:w="1307" w:type="dxa"/>
          </w:tcPr>
          <w:p w14:paraId="483A304A" w14:textId="77777777" w:rsidR="00F2759D" w:rsidRPr="00DE096C" w:rsidRDefault="00F2759D" w:rsidP="00D45A46">
            <w:pPr>
              <w:jc w:val="both"/>
              <w:rPr>
                <w:bCs/>
                <w:color w:val="002060"/>
                <w:sz w:val="16"/>
                <w:szCs w:val="16"/>
              </w:rPr>
            </w:pPr>
            <w:r w:rsidRPr="00DE096C">
              <w:rPr>
                <w:bCs/>
                <w:color w:val="002060"/>
                <w:sz w:val="16"/>
                <w:szCs w:val="16"/>
              </w:rPr>
              <w:t>1</w:t>
            </w:r>
          </w:p>
        </w:tc>
        <w:tc>
          <w:tcPr>
            <w:tcW w:w="1307" w:type="dxa"/>
          </w:tcPr>
          <w:p w14:paraId="7B5B5F4C"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7B63D8CC" w14:textId="77777777" w:rsidR="00F2759D" w:rsidRPr="00DE096C" w:rsidRDefault="00F2759D" w:rsidP="00D45A46">
            <w:pPr>
              <w:jc w:val="both"/>
              <w:rPr>
                <w:bCs/>
                <w:color w:val="002060"/>
                <w:sz w:val="16"/>
                <w:szCs w:val="16"/>
              </w:rPr>
            </w:pPr>
            <w:r w:rsidRPr="00DE096C">
              <w:rPr>
                <w:bCs/>
                <w:color w:val="002060"/>
                <w:sz w:val="16"/>
                <w:szCs w:val="16"/>
              </w:rPr>
              <w:t>7</w:t>
            </w:r>
          </w:p>
        </w:tc>
        <w:tc>
          <w:tcPr>
            <w:tcW w:w="1307" w:type="dxa"/>
          </w:tcPr>
          <w:p w14:paraId="4081036B"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306CFCB5"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6027879D" w14:textId="77777777" w:rsidR="00F2759D" w:rsidRPr="00DE096C" w:rsidRDefault="00F2759D" w:rsidP="00D45A46">
            <w:pPr>
              <w:jc w:val="both"/>
              <w:rPr>
                <w:bCs/>
                <w:color w:val="002060"/>
                <w:sz w:val="16"/>
                <w:szCs w:val="16"/>
              </w:rPr>
            </w:pPr>
            <w:r w:rsidRPr="00DE096C">
              <w:rPr>
                <w:bCs/>
                <w:color w:val="002060"/>
                <w:sz w:val="16"/>
                <w:szCs w:val="16"/>
              </w:rPr>
              <w:t>-</w:t>
            </w:r>
          </w:p>
        </w:tc>
      </w:tr>
      <w:tr w:rsidR="00F2759D" w:rsidRPr="00DE096C" w14:paraId="773FE8EA" w14:textId="77777777" w:rsidTr="00D34AC1">
        <w:tc>
          <w:tcPr>
            <w:tcW w:w="1101" w:type="dxa"/>
          </w:tcPr>
          <w:p w14:paraId="4852D444" w14:textId="77777777" w:rsidR="00F2759D" w:rsidRPr="00DE096C" w:rsidRDefault="00F2759D" w:rsidP="00D45A46">
            <w:pPr>
              <w:jc w:val="both"/>
              <w:rPr>
                <w:bCs/>
                <w:color w:val="002060"/>
                <w:sz w:val="16"/>
                <w:szCs w:val="16"/>
              </w:rPr>
            </w:pPr>
          </w:p>
        </w:tc>
        <w:tc>
          <w:tcPr>
            <w:tcW w:w="2268" w:type="dxa"/>
          </w:tcPr>
          <w:p w14:paraId="2CA60D0C" w14:textId="77777777" w:rsidR="00F2759D" w:rsidRPr="00DE096C" w:rsidRDefault="00F2759D" w:rsidP="00D45A46">
            <w:pPr>
              <w:jc w:val="both"/>
              <w:rPr>
                <w:bCs/>
                <w:color w:val="002060"/>
                <w:sz w:val="16"/>
                <w:szCs w:val="16"/>
              </w:rPr>
            </w:pPr>
            <w:r w:rsidRPr="00DE096C">
              <w:rPr>
                <w:bCs/>
                <w:color w:val="002060"/>
                <w:sz w:val="16"/>
                <w:szCs w:val="16"/>
              </w:rPr>
              <w:t>3 Сибирских авиаотряда</w:t>
            </w:r>
          </w:p>
        </w:tc>
        <w:tc>
          <w:tcPr>
            <w:tcW w:w="1307" w:type="dxa"/>
          </w:tcPr>
          <w:p w14:paraId="794F3EC0" w14:textId="77777777" w:rsidR="00F2759D" w:rsidRPr="00DE096C" w:rsidRDefault="00F2759D" w:rsidP="00D45A46">
            <w:pPr>
              <w:jc w:val="both"/>
              <w:rPr>
                <w:bCs/>
                <w:color w:val="002060"/>
                <w:sz w:val="16"/>
                <w:szCs w:val="16"/>
              </w:rPr>
            </w:pPr>
            <w:r w:rsidRPr="00DE096C">
              <w:rPr>
                <w:bCs/>
                <w:color w:val="002060"/>
                <w:sz w:val="16"/>
                <w:szCs w:val="16"/>
              </w:rPr>
              <w:t>15</w:t>
            </w:r>
          </w:p>
        </w:tc>
        <w:tc>
          <w:tcPr>
            <w:tcW w:w="1307" w:type="dxa"/>
          </w:tcPr>
          <w:p w14:paraId="70275132" w14:textId="77777777" w:rsidR="00F2759D" w:rsidRPr="00DE096C" w:rsidRDefault="00F2759D" w:rsidP="00D45A46">
            <w:pPr>
              <w:jc w:val="both"/>
              <w:rPr>
                <w:bCs/>
                <w:color w:val="002060"/>
                <w:sz w:val="16"/>
                <w:szCs w:val="16"/>
              </w:rPr>
            </w:pPr>
            <w:r w:rsidRPr="00DE096C">
              <w:rPr>
                <w:bCs/>
                <w:color w:val="002060"/>
                <w:sz w:val="16"/>
                <w:szCs w:val="16"/>
              </w:rPr>
              <w:t>3</w:t>
            </w:r>
          </w:p>
        </w:tc>
        <w:tc>
          <w:tcPr>
            <w:tcW w:w="1307" w:type="dxa"/>
          </w:tcPr>
          <w:p w14:paraId="2F62D856" w14:textId="77777777" w:rsidR="00F2759D" w:rsidRPr="00DE096C" w:rsidRDefault="00F2759D" w:rsidP="00D45A46">
            <w:pPr>
              <w:jc w:val="both"/>
              <w:rPr>
                <w:bCs/>
                <w:color w:val="002060"/>
                <w:sz w:val="16"/>
                <w:szCs w:val="16"/>
              </w:rPr>
            </w:pPr>
            <w:r w:rsidRPr="00DE096C">
              <w:rPr>
                <w:bCs/>
                <w:color w:val="002060"/>
                <w:sz w:val="16"/>
                <w:szCs w:val="16"/>
              </w:rPr>
              <w:t>18</w:t>
            </w:r>
          </w:p>
        </w:tc>
        <w:tc>
          <w:tcPr>
            <w:tcW w:w="1307" w:type="dxa"/>
          </w:tcPr>
          <w:p w14:paraId="7E1227BE"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198B8F53"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1A061AD4" w14:textId="77777777" w:rsidR="00F2759D" w:rsidRPr="00DE096C" w:rsidRDefault="00F2759D" w:rsidP="00D45A46">
            <w:pPr>
              <w:jc w:val="both"/>
              <w:rPr>
                <w:bCs/>
                <w:color w:val="002060"/>
                <w:sz w:val="16"/>
                <w:szCs w:val="16"/>
              </w:rPr>
            </w:pPr>
            <w:r w:rsidRPr="00DE096C">
              <w:rPr>
                <w:bCs/>
                <w:color w:val="002060"/>
                <w:sz w:val="16"/>
                <w:szCs w:val="16"/>
              </w:rPr>
              <w:t>-</w:t>
            </w:r>
          </w:p>
        </w:tc>
      </w:tr>
      <w:tr w:rsidR="00F2759D" w:rsidRPr="00DE096C" w14:paraId="2D5109AB" w14:textId="77777777" w:rsidTr="00D34AC1">
        <w:tc>
          <w:tcPr>
            <w:tcW w:w="1101" w:type="dxa"/>
          </w:tcPr>
          <w:p w14:paraId="69D75829" w14:textId="77777777" w:rsidR="00F2759D" w:rsidRPr="00DE096C" w:rsidRDefault="00F2759D" w:rsidP="00D45A46">
            <w:pPr>
              <w:jc w:val="both"/>
              <w:rPr>
                <w:bCs/>
                <w:color w:val="002060"/>
                <w:sz w:val="16"/>
                <w:szCs w:val="16"/>
              </w:rPr>
            </w:pPr>
          </w:p>
        </w:tc>
        <w:tc>
          <w:tcPr>
            <w:tcW w:w="2268" w:type="dxa"/>
          </w:tcPr>
          <w:p w14:paraId="055E002E" w14:textId="77777777" w:rsidR="00F2759D" w:rsidRPr="00DE096C" w:rsidRDefault="00F2759D" w:rsidP="00D45A46">
            <w:pPr>
              <w:jc w:val="both"/>
              <w:rPr>
                <w:bCs/>
                <w:color w:val="002060"/>
                <w:sz w:val="16"/>
                <w:szCs w:val="16"/>
              </w:rPr>
            </w:pPr>
            <w:r w:rsidRPr="00DE096C">
              <w:rPr>
                <w:bCs/>
                <w:color w:val="002060"/>
                <w:sz w:val="16"/>
                <w:szCs w:val="16"/>
              </w:rPr>
              <w:t>8 крепостных отрядов</w:t>
            </w:r>
          </w:p>
        </w:tc>
        <w:tc>
          <w:tcPr>
            <w:tcW w:w="1307" w:type="dxa"/>
          </w:tcPr>
          <w:p w14:paraId="02398BAE" w14:textId="77777777" w:rsidR="00F2759D" w:rsidRPr="00DE096C" w:rsidRDefault="00F2759D" w:rsidP="00D45A46">
            <w:pPr>
              <w:jc w:val="both"/>
              <w:rPr>
                <w:bCs/>
                <w:color w:val="002060"/>
                <w:sz w:val="16"/>
                <w:szCs w:val="16"/>
              </w:rPr>
            </w:pPr>
            <w:r w:rsidRPr="00DE096C">
              <w:rPr>
                <w:bCs/>
                <w:color w:val="002060"/>
                <w:sz w:val="16"/>
                <w:szCs w:val="16"/>
              </w:rPr>
              <w:t>31</w:t>
            </w:r>
          </w:p>
        </w:tc>
        <w:tc>
          <w:tcPr>
            <w:tcW w:w="1307" w:type="dxa"/>
          </w:tcPr>
          <w:p w14:paraId="74B030B4" w14:textId="77777777" w:rsidR="00F2759D" w:rsidRPr="00DE096C" w:rsidRDefault="00F2759D" w:rsidP="00D45A46">
            <w:pPr>
              <w:jc w:val="both"/>
              <w:rPr>
                <w:bCs/>
                <w:color w:val="002060"/>
                <w:sz w:val="16"/>
                <w:szCs w:val="16"/>
              </w:rPr>
            </w:pPr>
            <w:r w:rsidRPr="00DE096C">
              <w:rPr>
                <w:bCs/>
                <w:color w:val="002060"/>
                <w:sz w:val="16"/>
                <w:szCs w:val="16"/>
              </w:rPr>
              <w:t>17</w:t>
            </w:r>
          </w:p>
        </w:tc>
        <w:tc>
          <w:tcPr>
            <w:tcW w:w="1307" w:type="dxa"/>
          </w:tcPr>
          <w:p w14:paraId="264966D3"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68FA79C0" w14:textId="77777777" w:rsidR="00F2759D" w:rsidRPr="00DE096C" w:rsidRDefault="00F2759D" w:rsidP="00D45A46">
            <w:pPr>
              <w:jc w:val="both"/>
              <w:rPr>
                <w:bCs/>
                <w:color w:val="002060"/>
                <w:sz w:val="16"/>
                <w:szCs w:val="16"/>
              </w:rPr>
            </w:pPr>
            <w:r w:rsidRPr="00DE096C">
              <w:rPr>
                <w:bCs/>
                <w:color w:val="002060"/>
                <w:sz w:val="16"/>
                <w:szCs w:val="16"/>
              </w:rPr>
              <w:t>48</w:t>
            </w:r>
          </w:p>
        </w:tc>
        <w:tc>
          <w:tcPr>
            <w:tcW w:w="1307" w:type="dxa"/>
          </w:tcPr>
          <w:p w14:paraId="6C1DB76E" w14:textId="77777777" w:rsidR="00F2759D" w:rsidRPr="00DE096C" w:rsidRDefault="00F2759D" w:rsidP="00D45A46">
            <w:pPr>
              <w:jc w:val="both"/>
              <w:rPr>
                <w:bCs/>
                <w:color w:val="002060"/>
                <w:sz w:val="16"/>
                <w:szCs w:val="16"/>
              </w:rPr>
            </w:pPr>
            <w:r w:rsidRPr="00DE096C">
              <w:rPr>
                <w:bCs/>
                <w:color w:val="002060"/>
                <w:sz w:val="16"/>
                <w:szCs w:val="16"/>
              </w:rPr>
              <w:t>-</w:t>
            </w:r>
          </w:p>
        </w:tc>
        <w:tc>
          <w:tcPr>
            <w:tcW w:w="1307" w:type="dxa"/>
          </w:tcPr>
          <w:p w14:paraId="4B12DA64" w14:textId="77777777" w:rsidR="00F2759D" w:rsidRPr="00DE096C" w:rsidRDefault="00F2759D" w:rsidP="00D45A46">
            <w:pPr>
              <w:jc w:val="both"/>
              <w:rPr>
                <w:bCs/>
                <w:color w:val="002060"/>
                <w:sz w:val="16"/>
                <w:szCs w:val="16"/>
              </w:rPr>
            </w:pPr>
            <w:r w:rsidRPr="00DE096C">
              <w:rPr>
                <w:bCs/>
                <w:color w:val="002060"/>
                <w:sz w:val="16"/>
                <w:szCs w:val="16"/>
              </w:rPr>
              <w:t>-</w:t>
            </w:r>
          </w:p>
        </w:tc>
      </w:tr>
      <w:tr w:rsidR="00F2759D" w:rsidRPr="00DE096C" w14:paraId="34143D12" w14:textId="77777777" w:rsidTr="00D34AC1">
        <w:tc>
          <w:tcPr>
            <w:tcW w:w="1101" w:type="dxa"/>
          </w:tcPr>
          <w:p w14:paraId="18ECA8B6" w14:textId="77777777" w:rsidR="00F2759D" w:rsidRPr="00DE096C" w:rsidRDefault="00F2759D" w:rsidP="00D45A46">
            <w:pPr>
              <w:jc w:val="both"/>
              <w:rPr>
                <w:bCs/>
                <w:color w:val="002060"/>
                <w:sz w:val="16"/>
                <w:szCs w:val="16"/>
              </w:rPr>
            </w:pPr>
            <w:r w:rsidRPr="00DE096C">
              <w:rPr>
                <w:bCs/>
                <w:color w:val="002060"/>
                <w:sz w:val="16"/>
                <w:szCs w:val="16"/>
              </w:rPr>
              <w:t>Иттго</w:t>
            </w:r>
          </w:p>
        </w:tc>
        <w:tc>
          <w:tcPr>
            <w:tcW w:w="2268" w:type="dxa"/>
          </w:tcPr>
          <w:p w14:paraId="4A10FB73" w14:textId="77777777" w:rsidR="00F2759D" w:rsidRPr="00DE096C" w:rsidRDefault="00F2759D" w:rsidP="00D45A46">
            <w:pPr>
              <w:jc w:val="both"/>
              <w:rPr>
                <w:bCs/>
                <w:color w:val="002060"/>
                <w:sz w:val="16"/>
                <w:szCs w:val="16"/>
              </w:rPr>
            </w:pPr>
            <w:r w:rsidRPr="00DE096C">
              <w:rPr>
                <w:bCs/>
                <w:color w:val="002060"/>
                <w:sz w:val="16"/>
                <w:szCs w:val="16"/>
              </w:rPr>
              <w:t>39</w:t>
            </w:r>
          </w:p>
        </w:tc>
        <w:tc>
          <w:tcPr>
            <w:tcW w:w="1307" w:type="dxa"/>
          </w:tcPr>
          <w:p w14:paraId="088B4080" w14:textId="77777777" w:rsidR="00F2759D" w:rsidRPr="00DE096C" w:rsidRDefault="00F2759D" w:rsidP="00D45A46">
            <w:pPr>
              <w:jc w:val="both"/>
              <w:rPr>
                <w:bCs/>
                <w:color w:val="002060"/>
                <w:sz w:val="16"/>
                <w:szCs w:val="16"/>
              </w:rPr>
            </w:pPr>
            <w:r w:rsidRPr="00DE096C">
              <w:rPr>
                <w:bCs/>
                <w:color w:val="002060"/>
                <w:sz w:val="16"/>
                <w:szCs w:val="16"/>
              </w:rPr>
              <w:t>164</w:t>
            </w:r>
          </w:p>
        </w:tc>
        <w:tc>
          <w:tcPr>
            <w:tcW w:w="1307" w:type="dxa"/>
          </w:tcPr>
          <w:p w14:paraId="61361A2E" w14:textId="77777777" w:rsidR="00F2759D" w:rsidRPr="00DE096C" w:rsidRDefault="00F2759D" w:rsidP="00D45A46">
            <w:pPr>
              <w:jc w:val="both"/>
              <w:rPr>
                <w:bCs/>
                <w:color w:val="002060"/>
                <w:sz w:val="16"/>
                <w:szCs w:val="16"/>
              </w:rPr>
            </w:pPr>
            <w:r w:rsidRPr="00DE096C">
              <w:rPr>
                <w:bCs/>
                <w:color w:val="002060"/>
                <w:sz w:val="16"/>
                <w:szCs w:val="16"/>
              </w:rPr>
              <w:t>43</w:t>
            </w:r>
          </w:p>
        </w:tc>
        <w:tc>
          <w:tcPr>
            <w:tcW w:w="1307" w:type="dxa"/>
          </w:tcPr>
          <w:p w14:paraId="739752F0" w14:textId="77777777" w:rsidR="00F2759D" w:rsidRPr="00DE096C" w:rsidRDefault="00F2759D" w:rsidP="00D45A46">
            <w:pPr>
              <w:jc w:val="both"/>
              <w:rPr>
                <w:bCs/>
                <w:color w:val="002060"/>
                <w:sz w:val="16"/>
                <w:szCs w:val="16"/>
              </w:rPr>
            </w:pPr>
            <w:r w:rsidRPr="00DE096C">
              <w:rPr>
                <w:bCs/>
                <w:color w:val="002060"/>
                <w:sz w:val="16"/>
                <w:szCs w:val="16"/>
              </w:rPr>
              <w:t>105</w:t>
            </w:r>
          </w:p>
        </w:tc>
        <w:tc>
          <w:tcPr>
            <w:tcW w:w="1307" w:type="dxa"/>
          </w:tcPr>
          <w:p w14:paraId="0F55C78A" w14:textId="77777777" w:rsidR="00F2759D" w:rsidRPr="00DE096C" w:rsidRDefault="00F2759D" w:rsidP="00D45A46">
            <w:pPr>
              <w:jc w:val="both"/>
              <w:rPr>
                <w:bCs/>
                <w:color w:val="002060"/>
                <w:sz w:val="16"/>
                <w:szCs w:val="16"/>
              </w:rPr>
            </w:pPr>
            <w:r w:rsidRPr="00DE096C">
              <w:rPr>
                <w:bCs/>
                <w:color w:val="002060"/>
                <w:sz w:val="16"/>
                <w:szCs w:val="16"/>
              </w:rPr>
              <w:t>87</w:t>
            </w:r>
          </w:p>
        </w:tc>
        <w:tc>
          <w:tcPr>
            <w:tcW w:w="1307" w:type="dxa"/>
          </w:tcPr>
          <w:p w14:paraId="68D4A078" w14:textId="77777777" w:rsidR="00F2759D" w:rsidRPr="00DE096C" w:rsidRDefault="00F2759D" w:rsidP="00D45A46">
            <w:pPr>
              <w:jc w:val="both"/>
              <w:rPr>
                <w:bCs/>
                <w:color w:val="002060"/>
                <w:sz w:val="16"/>
                <w:szCs w:val="16"/>
              </w:rPr>
            </w:pPr>
            <w:r w:rsidRPr="00DE096C">
              <w:rPr>
                <w:bCs/>
                <w:color w:val="002060"/>
                <w:sz w:val="16"/>
                <w:szCs w:val="16"/>
              </w:rPr>
              <w:t>7</w:t>
            </w:r>
          </w:p>
        </w:tc>
        <w:tc>
          <w:tcPr>
            <w:tcW w:w="1307" w:type="dxa"/>
          </w:tcPr>
          <w:p w14:paraId="401D034B" w14:textId="77777777" w:rsidR="00F2759D" w:rsidRPr="00DE096C" w:rsidRDefault="00F2759D" w:rsidP="00D45A46">
            <w:pPr>
              <w:jc w:val="both"/>
              <w:rPr>
                <w:bCs/>
                <w:color w:val="002060"/>
                <w:sz w:val="16"/>
                <w:szCs w:val="16"/>
              </w:rPr>
            </w:pPr>
            <w:r w:rsidRPr="00DE096C">
              <w:rPr>
                <w:bCs/>
                <w:color w:val="002060"/>
                <w:sz w:val="16"/>
                <w:szCs w:val="16"/>
              </w:rPr>
              <w:t>14</w:t>
            </w:r>
          </w:p>
        </w:tc>
      </w:tr>
      <w:tr w:rsidR="00F2759D" w:rsidRPr="00DE096C" w14:paraId="0C7FA481" w14:textId="77777777" w:rsidTr="00D34AC1">
        <w:tc>
          <w:tcPr>
            <w:tcW w:w="1101" w:type="dxa"/>
          </w:tcPr>
          <w:p w14:paraId="0777B9CD" w14:textId="77777777" w:rsidR="00F2759D" w:rsidRPr="00DE096C" w:rsidRDefault="00F2759D" w:rsidP="00D45A46">
            <w:pPr>
              <w:jc w:val="both"/>
              <w:rPr>
                <w:bCs/>
                <w:color w:val="002060"/>
                <w:sz w:val="16"/>
                <w:szCs w:val="16"/>
              </w:rPr>
            </w:pPr>
            <w:r w:rsidRPr="00DE096C">
              <w:rPr>
                <w:bCs/>
                <w:color w:val="002060"/>
                <w:sz w:val="16"/>
                <w:szCs w:val="16"/>
              </w:rPr>
              <w:t>Всего</w:t>
            </w:r>
          </w:p>
        </w:tc>
        <w:tc>
          <w:tcPr>
            <w:tcW w:w="2268" w:type="dxa"/>
          </w:tcPr>
          <w:p w14:paraId="171FB448" w14:textId="77777777" w:rsidR="00F2759D" w:rsidRPr="00DE096C" w:rsidRDefault="00F2759D" w:rsidP="00D45A46">
            <w:pPr>
              <w:jc w:val="both"/>
              <w:rPr>
                <w:bCs/>
                <w:color w:val="002060"/>
                <w:sz w:val="16"/>
                <w:szCs w:val="16"/>
              </w:rPr>
            </w:pPr>
            <w:r w:rsidRPr="00DE096C">
              <w:rPr>
                <w:bCs/>
                <w:color w:val="002060"/>
                <w:sz w:val="16"/>
                <w:szCs w:val="16"/>
              </w:rPr>
              <w:t>39</w:t>
            </w:r>
          </w:p>
        </w:tc>
        <w:tc>
          <w:tcPr>
            <w:tcW w:w="1307" w:type="dxa"/>
          </w:tcPr>
          <w:p w14:paraId="3653FA96" w14:textId="77777777" w:rsidR="00F2759D" w:rsidRPr="00DE096C" w:rsidRDefault="00F2759D" w:rsidP="00D45A46">
            <w:pPr>
              <w:jc w:val="both"/>
              <w:rPr>
                <w:bCs/>
                <w:color w:val="002060"/>
                <w:sz w:val="16"/>
                <w:szCs w:val="16"/>
              </w:rPr>
            </w:pPr>
            <w:r w:rsidRPr="00DE096C">
              <w:rPr>
                <w:bCs/>
                <w:color w:val="002060"/>
                <w:sz w:val="16"/>
                <w:szCs w:val="16"/>
              </w:rPr>
              <w:t>207</w:t>
            </w:r>
          </w:p>
        </w:tc>
        <w:tc>
          <w:tcPr>
            <w:tcW w:w="1307" w:type="dxa"/>
          </w:tcPr>
          <w:p w14:paraId="4EC10A75" w14:textId="77777777" w:rsidR="00F2759D" w:rsidRPr="00DE096C" w:rsidRDefault="00F2759D" w:rsidP="00D45A46">
            <w:pPr>
              <w:jc w:val="both"/>
              <w:rPr>
                <w:bCs/>
                <w:color w:val="002060"/>
                <w:sz w:val="16"/>
                <w:szCs w:val="16"/>
              </w:rPr>
            </w:pPr>
          </w:p>
        </w:tc>
        <w:tc>
          <w:tcPr>
            <w:tcW w:w="1307" w:type="dxa"/>
          </w:tcPr>
          <w:p w14:paraId="5EBB0CA9" w14:textId="77777777" w:rsidR="00F2759D" w:rsidRPr="00DE096C" w:rsidRDefault="00F2759D" w:rsidP="00D45A46">
            <w:pPr>
              <w:jc w:val="both"/>
              <w:rPr>
                <w:bCs/>
                <w:color w:val="002060"/>
                <w:sz w:val="16"/>
                <w:szCs w:val="16"/>
              </w:rPr>
            </w:pPr>
            <w:r w:rsidRPr="00DE096C">
              <w:rPr>
                <w:bCs/>
                <w:color w:val="002060"/>
                <w:sz w:val="16"/>
                <w:szCs w:val="16"/>
              </w:rPr>
              <w:t>213</w:t>
            </w:r>
          </w:p>
        </w:tc>
        <w:tc>
          <w:tcPr>
            <w:tcW w:w="1307" w:type="dxa"/>
          </w:tcPr>
          <w:p w14:paraId="48E18749" w14:textId="77777777" w:rsidR="00F2759D" w:rsidRPr="00DE096C" w:rsidRDefault="00F2759D" w:rsidP="00D45A46">
            <w:pPr>
              <w:jc w:val="both"/>
              <w:rPr>
                <w:bCs/>
                <w:color w:val="002060"/>
                <w:sz w:val="16"/>
                <w:szCs w:val="16"/>
              </w:rPr>
            </w:pPr>
          </w:p>
        </w:tc>
        <w:tc>
          <w:tcPr>
            <w:tcW w:w="1307" w:type="dxa"/>
          </w:tcPr>
          <w:p w14:paraId="0F0FD7D6" w14:textId="77777777" w:rsidR="00F2759D" w:rsidRPr="00DE096C" w:rsidRDefault="00F2759D" w:rsidP="00D45A46">
            <w:pPr>
              <w:jc w:val="both"/>
              <w:rPr>
                <w:bCs/>
                <w:color w:val="002060"/>
                <w:sz w:val="16"/>
                <w:szCs w:val="16"/>
              </w:rPr>
            </w:pPr>
          </w:p>
        </w:tc>
        <w:tc>
          <w:tcPr>
            <w:tcW w:w="1307" w:type="dxa"/>
          </w:tcPr>
          <w:p w14:paraId="6DD7D7D3" w14:textId="77777777" w:rsidR="00F2759D" w:rsidRPr="00DE096C" w:rsidRDefault="00F2759D" w:rsidP="00D45A46">
            <w:pPr>
              <w:jc w:val="both"/>
              <w:rPr>
                <w:bCs/>
                <w:color w:val="002060"/>
                <w:sz w:val="16"/>
                <w:szCs w:val="16"/>
              </w:rPr>
            </w:pPr>
          </w:p>
        </w:tc>
      </w:tr>
      <w:tr w:rsidR="00F2759D" w:rsidRPr="00DE096C" w14:paraId="7C0A72F6" w14:textId="77777777" w:rsidTr="00D34AC1">
        <w:tc>
          <w:tcPr>
            <w:tcW w:w="1101" w:type="dxa"/>
          </w:tcPr>
          <w:p w14:paraId="17D69D3E" w14:textId="77777777" w:rsidR="00F2759D" w:rsidRPr="00DE096C" w:rsidRDefault="00F2759D" w:rsidP="00D45A46">
            <w:pPr>
              <w:jc w:val="both"/>
              <w:rPr>
                <w:bCs/>
                <w:color w:val="002060"/>
                <w:sz w:val="16"/>
                <w:szCs w:val="16"/>
              </w:rPr>
            </w:pPr>
            <w:r w:rsidRPr="00DE096C">
              <w:rPr>
                <w:bCs/>
                <w:color w:val="002060"/>
                <w:sz w:val="16"/>
                <w:szCs w:val="16"/>
              </w:rPr>
              <w:t>Германия</w:t>
            </w:r>
          </w:p>
        </w:tc>
        <w:tc>
          <w:tcPr>
            <w:tcW w:w="2268" w:type="dxa"/>
          </w:tcPr>
          <w:p w14:paraId="1F5B05BA" w14:textId="77777777" w:rsidR="00F2759D" w:rsidRPr="00DE096C" w:rsidRDefault="00F2759D" w:rsidP="00D45A46">
            <w:pPr>
              <w:jc w:val="both"/>
              <w:rPr>
                <w:bCs/>
                <w:color w:val="002060"/>
                <w:sz w:val="16"/>
                <w:szCs w:val="16"/>
              </w:rPr>
            </w:pPr>
          </w:p>
        </w:tc>
        <w:tc>
          <w:tcPr>
            <w:tcW w:w="1307" w:type="dxa"/>
          </w:tcPr>
          <w:p w14:paraId="01F77EE0" w14:textId="77777777" w:rsidR="00F2759D" w:rsidRPr="00DE096C" w:rsidRDefault="00F2759D" w:rsidP="00D45A46">
            <w:pPr>
              <w:jc w:val="both"/>
              <w:rPr>
                <w:bCs/>
                <w:color w:val="002060"/>
                <w:sz w:val="16"/>
                <w:szCs w:val="16"/>
              </w:rPr>
            </w:pPr>
          </w:p>
        </w:tc>
        <w:tc>
          <w:tcPr>
            <w:tcW w:w="1307" w:type="dxa"/>
          </w:tcPr>
          <w:p w14:paraId="0ECB03BC" w14:textId="77777777" w:rsidR="00F2759D" w:rsidRPr="00DE096C" w:rsidRDefault="00F2759D" w:rsidP="00D45A46">
            <w:pPr>
              <w:jc w:val="both"/>
              <w:rPr>
                <w:bCs/>
                <w:color w:val="002060"/>
                <w:sz w:val="16"/>
                <w:szCs w:val="16"/>
              </w:rPr>
            </w:pPr>
          </w:p>
        </w:tc>
        <w:tc>
          <w:tcPr>
            <w:tcW w:w="1307" w:type="dxa"/>
          </w:tcPr>
          <w:p w14:paraId="1D5B0B28" w14:textId="77777777" w:rsidR="00F2759D" w:rsidRPr="00DE096C" w:rsidRDefault="00F2759D" w:rsidP="00D45A46">
            <w:pPr>
              <w:jc w:val="both"/>
              <w:rPr>
                <w:bCs/>
                <w:color w:val="002060"/>
                <w:sz w:val="16"/>
                <w:szCs w:val="16"/>
              </w:rPr>
            </w:pPr>
            <w:r w:rsidRPr="00DE096C">
              <w:rPr>
                <w:bCs/>
                <w:color w:val="002060"/>
                <w:sz w:val="16"/>
                <w:szCs w:val="16"/>
              </w:rPr>
              <w:t>232</w:t>
            </w:r>
          </w:p>
        </w:tc>
        <w:tc>
          <w:tcPr>
            <w:tcW w:w="1307" w:type="dxa"/>
          </w:tcPr>
          <w:p w14:paraId="48C7CF6D" w14:textId="77777777" w:rsidR="00F2759D" w:rsidRPr="00DE096C" w:rsidRDefault="00F2759D" w:rsidP="00D45A46">
            <w:pPr>
              <w:jc w:val="both"/>
              <w:rPr>
                <w:bCs/>
                <w:color w:val="002060"/>
                <w:sz w:val="16"/>
                <w:szCs w:val="16"/>
              </w:rPr>
            </w:pPr>
          </w:p>
        </w:tc>
        <w:tc>
          <w:tcPr>
            <w:tcW w:w="1307" w:type="dxa"/>
          </w:tcPr>
          <w:p w14:paraId="346D76E5" w14:textId="77777777" w:rsidR="00F2759D" w:rsidRPr="00DE096C" w:rsidRDefault="00F2759D" w:rsidP="00D45A46">
            <w:pPr>
              <w:jc w:val="both"/>
              <w:rPr>
                <w:bCs/>
                <w:color w:val="002060"/>
                <w:sz w:val="16"/>
                <w:szCs w:val="16"/>
              </w:rPr>
            </w:pPr>
          </w:p>
        </w:tc>
        <w:tc>
          <w:tcPr>
            <w:tcW w:w="1307" w:type="dxa"/>
          </w:tcPr>
          <w:p w14:paraId="6676F10D" w14:textId="77777777" w:rsidR="00F2759D" w:rsidRPr="00DE096C" w:rsidRDefault="00F2759D" w:rsidP="00D45A46">
            <w:pPr>
              <w:jc w:val="both"/>
              <w:rPr>
                <w:bCs/>
                <w:color w:val="002060"/>
                <w:sz w:val="16"/>
                <w:szCs w:val="16"/>
              </w:rPr>
            </w:pPr>
          </w:p>
        </w:tc>
      </w:tr>
      <w:tr w:rsidR="00F2759D" w:rsidRPr="00DE096C" w14:paraId="40A90213" w14:textId="77777777" w:rsidTr="00D34AC1">
        <w:tc>
          <w:tcPr>
            <w:tcW w:w="1101" w:type="dxa"/>
          </w:tcPr>
          <w:p w14:paraId="37E92F25" w14:textId="77777777" w:rsidR="00F2759D" w:rsidRPr="00DE096C" w:rsidRDefault="00F2759D" w:rsidP="00D45A46">
            <w:pPr>
              <w:jc w:val="both"/>
              <w:rPr>
                <w:bCs/>
                <w:color w:val="002060"/>
                <w:sz w:val="16"/>
                <w:szCs w:val="16"/>
              </w:rPr>
            </w:pPr>
            <w:r w:rsidRPr="00DE096C">
              <w:rPr>
                <w:bCs/>
                <w:color w:val="002060"/>
                <w:sz w:val="16"/>
                <w:szCs w:val="16"/>
              </w:rPr>
              <w:t>Франция</w:t>
            </w:r>
          </w:p>
        </w:tc>
        <w:tc>
          <w:tcPr>
            <w:tcW w:w="2268" w:type="dxa"/>
          </w:tcPr>
          <w:p w14:paraId="07C267F3" w14:textId="77777777" w:rsidR="00F2759D" w:rsidRPr="00DE096C" w:rsidRDefault="00F2759D" w:rsidP="00D45A46">
            <w:pPr>
              <w:jc w:val="both"/>
              <w:rPr>
                <w:bCs/>
                <w:color w:val="002060"/>
                <w:sz w:val="16"/>
                <w:szCs w:val="16"/>
              </w:rPr>
            </w:pPr>
          </w:p>
        </w:tc>
        <w:tc>
          <w:tcPr>
            <w:tcW w:w="1307" w:type="dxa"/>
          </w:tcPr>
          <w:p w14:paraId="481A9005" w14:textId="77777777" w:rsidR="00F2759D" w:rsidRPr="00DE096C" w:rsidRDefault="00F2759D" w:rsidP="00D45A46">
            <w:pPr>
              <w:jc w:val="both"/>
              <w:rPr>
                <w:bCs/>
                <w:color w:val="002060"/>
                <w:sz w:val="16"/>
                <w:szCs w:val="16"/>
              </w:rPr>
            </w:pPr>
          </w:p>
        </w:tc>
        <w:tc>
          <w:tcPr>
            <w:tcW w:w="1307" w:type="dxa"/>
          </w:tcPr>
          <w:p w14:paraId="3E13F93E" w14:textId="77777777" w:rsidR="00F2759D" w:rsidRPr="00DE096C" w:rsidRDefault="00F2759D" w:rsidP="00D45A46">
            <w:pPr>
              <w:jc w:val="both"/>
              <w:rPr>
                <w:bCs/>
                <w:color w:val="002060"/>
                <w:sz w:val="16"/>
                <w:szCs w:val="16"/>
              </w:rPr>
            </w:pPr>
          </w:p>
        </w:tc>
        <w:tc>
          <w:tcPr>
            <w:tcW w:w="1307" w:type="dxa"/>
          </w:tcPr>
          <w:p w14:paraId="1F4D88CE" w14:textId="77777777" w:rsidR="00F2759D" w:rsidRPr="00DE096C" w:rsidRDefault="00F2759D" w:rsidP="00D45A46">
            <w:pPr>
              <w:jc w:val="both"/>
              <w:rPr>
                <w:bCs/>
                <w:color w:val="002060"/>
                <w:sz w:val="16"/>
                <w:szCs w:val="16"/>
              </w:rPr>
            </w:pPr>
            <w:r w:rsidRPr="00DE096C">
              <w:rPr>
                <w:bCs/>
                <w:color w:val="002060"/>
                <w:sz w:val="16"/>
                <w:szCs w:val="16"/>
              </w:rPr>
              <w:t>150</w:t>
            </w:r>
          </w:p>
        </w:tc>
        <w:tc>
          <w:tcPr>
            <w:tcW w:w="1307" w:type="dxa"/>
          </w:tcPr>
          <w:p w14:paraId="7C861309" w14:textId="77777777" w:rsidR="00F2759D" w:rsidRPr="00DE096C" w:rsidRDefault="00F2759D" w:rsidP="00D45A46">
            <w:pPr>
              <w:jc w:val="both"/>
              <w:rPr>
                <w:bCs/>
                <w:color w:val="002060"/>
                <w:sz w:val="16"/>
                <w:szCs w:val="16"/>
              </w:rPr>
            </w:pPr>
          </w:p>
        </w:tc>
        <w:tc>
          <w:tcPr>
            <w:tcW w:w="1307" w:type="dxa"/>
          </w:tcPr>
          <w:p w14:paraId="3E95360F" w14:textId="77777777" w:rsidR="00F2759D" w:rsidRPr="00DE096C" w:rsidRDefault="00F2759D" w:rsidP="00D45A46">
            <w:pPr>
              <w:jc w:val="both"/>
              <w:rPr>
                <w:bCs/>
                <w:color w:val="002060"/>
                <w:sz w:val="16"/>
                <w:szCs w:val="16"/>
              </w:rPr>
            </w:pPr>
          </w:p>
        </w:tc>
        <w:tc>
          <w:tcPr>
            <w:tcW w:w="1307" w:type="dxa"/>
          </w:tcPr>
          <w:p w14:paraId="7D47A59A" w14:textId="77777777" w:rsidR="00F2759D" w:rsidRPr="00DE096C" w:rsidRDefault="00F2759D" w:rsidP="00D45A46">
            <w:pPr>
              <w:jc w:val="both"/>
              <w:rPr>
                <w:bCs/>
                <w:color w:val="002060"/>
                <w:sz w:val="16"/>
                <w:szCs w:val="16"/>
              </w:rPr>
            </w:pPr>
          </w:p>
        </w:tc>
      </w:tr>
      <w:tr w:rsidR="00F2759D" w:rsidRPr="00DE096C" w14:paraId="0AC1C068" w14:textId="77777777" w:rsidTr="00D34AC1">
        <w:tc>
          <w:tcPr>
            <w:tcW w:w="1101" w:type="dxa"/>
          </w:tcPr>
          <w:p w14:paraId="2EC179EE" w14:textId="77777777" w:rsidR="00F2759D" w:rsidRPr="00DE096C" w:rsidRDefault="00F2759D" w:rsidP="00D45A46">
            <w:pPr>
              <w:jc w:val="both"/>
              <w:rPr>
                <w:bCs/>
                <w:color w:val="002060"/>
                <w:sz w:val="16"/>
                <w:szCs w:val="16"/>
              </w:rPr>
            </w:pPr>
            <w:r w:rsidRPr="00DE096C">
              <w:rPr>
                <w:bCs/>
                <w:color w:val="002060"/>
                <w:sz w:val="16"/>
                <w:szCs w:val="16"/>
              </w:rPr>
              <w:t>Англия</w:t>
            </w:r>
          </w:p>
        </w:tc>
        <w:tc>
          <w:tcPr>
            <w:tcW w:w="2268" w:type="dxa"/>
          </w:tcPr>
          <w:p w14:paraId="4F6F6FEF" w14:textId="77777777" w:rsidR="00F2759D" w:rsidRPr="00DE096C" w:rsidRDefault="00F2759D" w:rsidP="00D45A46">
            <w:pPr>
              <w:jc w:val="both"/>
              <w:rPr>
                <w:bCs/>
                <w:color w:val="002060"/>
                <w:sz w:val="16"/>
                <w:szCs w:val="16"/>
              </w:rPr>
            </w:pPr>
          </w:p>
        </w:tc>
        <w:tc>
          <w:tcPr>
            <w:tcW w:w="1307" w:type="dxa"/>
          </w:tcPr>
          <w:p w14:paraId="012600D0" w14:textId="77777777" w:rsidR="00F2759D" w:rsidRPr="00DE096C" w:rsidRDefault="00F2759D" w:rsidP="00D45A46">
            <w:pPr>
              <w:jc w:val="both"/>
              <w:rPr>
                <w:bCs/>
                <w:color w:val="002060"/>
                <w:sz w:val="16"/>
                <w:szCs w:val="16"/>
              </w:rPr>
            </w:pPr>
          </w:p>
        </w:tc>
        <w:tc>
          <w:tcPr>
            <w:tcW w:w="1307" w:type="dxa"/>
          </w:tcPr>
          <w:p w14:paraId="29F9EF00" w14:textId="77777777" w:rsidR="00F2759D" w:rsidRPr="00DE096C" w:rsidRDefault="00F2759D" w:rsidP="00D45A46">
            <w:pPr>
              <w:jc w:val="both"/>
              <w:rPr>
                <w:bCs/>
                <w:color w:val="002060"/>
                <w:sz w:val="16"/>
                <w:szCs w:val="16"/>
              </w:rPr>
            </w:pPr>
          </w:p>
        </w:tc>
        <w:tc>
          <w:tcPr>
            <w:tcW w:w="1307" w:type="dxa"/>
          </w:tcPr>
          <w:p w14:paraId="745298C2" w14:textId="77777777" w:rsidR="00F2759D" w:rsidRPr="00DE096C" w:rsidRDefault="00F2759D" w:rsidP="00D45A46">
            <w:pPr>
              <w:jc w:val="both"/>
              <w:rPr>
                <w:bCs/>
                <w:color w:val="002060"/>
                <w:sz w:val="16"/>
                <w:szCs w:val="16"/>
              </w:rPr>
            </w:pPr>
            <w:r w:rsidRPr="00DE096C">
              <w:rPr>
                <w:bCs/>
                <w:color w:val="002060"/>
                <w:sz w:val="16"/>
                <w:szCs w:val="16"/>
              </w:rPr>
              <w:t>40</w:t>
            </w:r>
          </w:p>
        </w:tc>
        <w:tc>
          <w:tcPr>
            <w:tcW w:w="1307" w:type="dxa"/>
          </w:tcPr>
          <w:p w14:paraId="1FBB33F1" w14:textId="77777777" w:rsidR="00F2759D" w:rsidRPr="00DE096C" w:rsidRDefault="00F2759D" w:rsidP="00D45A46">
            <w:pPr>
              <w:jc w:val="both"/>
              <w:rPr>
                <w:bCs/>
                <w:color w:val="002060"/>
                <w:sz w:val="16"/>
                <w:szCs w:val="16"/>
              </w:rPr>
            </w:pPr>
          </w:p>
        </w:tc>
        <w:tc>
          <w:tcPr>
            <w:tcW w:w="1307" w:type="dxa"/>
          </w:tcPr>
          <w:p w14:paraId="6BC45E2B" w14:textId="77777777" w:rsidR="00F2759D" w:rsidRPr="00DE096C" w:rsidRDefault="00F2759D" w:rsidP="00D45A46">
            <w:pPr>
              <w:jc w:val="both"/>
              <w:rPr>
                <w:bCs/>
                <w:color w:val="002060"/>
                <w:sz w:val="16"/>
                <w:szCs w:val="16"/>
              </w:rPr>
            </w:pPr>
          </w:p>
        </w:tc>
        <w:tc>
          <w:tcPr>
            <w:tcW w:w="1307" w:type="dxa"/>
          </w:tcPr>
          <w:p w14:paraId="675D8B9C" w14:textId="77777777" w:rsidR="00F2759D" w:rsidRPr="00DE096C" w:rsidRDefault="00F2759D" w:rsidP="00D45A46">
            <w:pPr>
              <w:jc w:val="both"/>
              <w:rPr>
                <w:bCs/>
                <w:color w:val="002060"/>
                <w:sz w:val="16"/>
                <w:szCs w:val="16"/>
              </w:rPr>
            </w:pPr>
          </w:p>
        </w:tc>
      </w:tr>
    </w:tbl>
    <w:p w14:paraId="45FF1C5D" w14:textId="77777777" w:rsidR="00F2759D" w:rsidRPr="00DE096C" w:rsidRDefault="00F2759D" w:rsidP="00D45A46">
      <w:pPr>
        <w:jc w:val="both"/>
        <w:rPr>
          <w:bCs/>
          <w:color w:val="002060"/>
          <w:sz w:val="16"/>
          <w:szCs w:val="16"/>
        </w:rPr>
      </w:pPr>
      <w:r w:rsidRPr="00DE096C">
        <w:rPr>
          <w:bCs/>
          <w:color w:val="002060"/>
          <w:sz w:val="16"/>
          <w:szCs w:val="16"/>
        </w:rPr>
        <w:t>(Составлено по донесениям начальников авиаотрядов)</w:t>
      </w:r>
    </w:p>
    <w:p w14:paraId="66EFF9AB" w14:textId="77777777" w:rsidR="00F2759D" w:rsidRPr="00DE096C" w:rsidRDefault="00F2759D" w:rsidP="00D45A46">
      <w:pPr>
        <w:jc w:val="both"/>
        <w:rPr>
          <w:bCs/>
          <w:color w:val="002060"/>
          <w:sz w:val="16"/>
          <w:szCs w:val="16"/>
        </w:rPr>
      </w:pPr>
    </w:p>
    <w:p w14:paraId="1F4A05D1" w14:textId="77777777" w:rsidR="00F2759D" w:rsidRPr="00DE096C" w:rsidRDefault="00F2759D" w:rsidP="00D45A46">
      <w:pPr>
        <w:jc w:val="both"/>
        <w:rPr>
          <w:bCs/>
          <w:color w:val="002060"/>
          <w:sz w:val="16"/>
          <w:szCs w:val="16"/>
        </w:rPr>
      </w:pPr>
      <w:r w:rsidRPr="00DE096C">
        <w:rPr>
          <w:bCs/>
          <w:color w:val="002060"/>
          <w:sz w:val="16"/>
          <w:szCs w:val="16"/>
        </w:rPr>
        <w:t>В конце июля 1914 к началу первой мировой войны Царская Россия имела лишь 14 постоянных аэродромов. Поскольку аэродромы того времени создавались на случайных площадках и их показатели почти не регламентировались, эти аэродромы были неравноценными как по своим размерам, форме и качеству поверхности, так и по оборудованию (21287).</w:t>
      </w:r>
    </w:p>
    <w:p w14:paraId="75CDDD97" w14:textId="77777777" w:rsidR="00F2759D" w:rsidRPr="00DE096C" w:rsidRDefault="00F2759D" w:rsidP="00D45A46">
      <w:pPr>
        <w:jc w:val="both"/>
        <w:rPr>
          <w:bCs/>
          <w:color w:val="002060"/>
          <w:sz w:val="16"/>
          <w:szCs w:val="16"/>
        </w:rPr>
      </w:pPr>
    </w:p>
    <w:p w14:paraId="75BAF2AC" w14:textId="77777777" w:rsidR="00F2759D" w:rsidRPr="00DE096C" w:rsidRDefault="00F2759D" w:rsidP="00D45A46">
      <w:pPr>
        <w:jc w:val="both"/>
        <w:rPr>
          <w:bCs/>
          <w:color w:val="002060"/>
          <w:sz w:val="16"/>
          <w:szCs w:val="16"/>
        </w:rPr>
      </w:pPr>
      <w:r w:rsidRPr="00DE096C">
        <w:rPr>
          <w:bCs/>
          <w:color w:val="002060"/>
          <w:sz w:val="16"/>
          <w:szCs w:val="16"/>
        </w:rPr>
        <w:t>В конце июля 1914 к началу мобилизации в июле 1914 года в русской армии насчитывалось 30 корпусных авиационных отрядов (гвардейский, гренадерский, 25 армейских, 3 сибирских), 1 полевой и 8 крепостных отрядов (для крепостей Гродно, Ковно, Осовец, Брест-Литовск, Новогеоргиевск, Карс, Владивосток и Севастополь). Корпусные отряды в плане технического обслуживания и эксплуатации были приписаны к шести авиационным ротам.</w:t>
      </w:r>
    </w:p>
    <w:p w14:paraId="1FFCA467" w14:textId="77777777" w:rsidR="00F2759D" w:rsidRPr="00DE096C" w:rsidRDefault="00F2759D" w:rsidP="00D45A46">
      <w:pPr>
        <w:jc w:val="both"/>
        <w:rPr>
          <w:bCs/>
          <w:color w:val="002060"/>
          <w:sz w:val="16"/>
          <w:szCs w:val="16"/>
        </w:rPr>
      </w:pPr>
      <w:r w:rsidRPr="00DE096C">
        <w:rPr>
          <w:bCs/>
          <w:color w:val="002060"/>
          <w:sz w:val="16"/>
          <w:szCs w:val="16"/>
        </w:rPr>
        <w:t>Авиационные роты</w:t>
      </w:r>
    </w:p>
    <w:p w14:paraId="3A3BB6E5" w14:textId="77777777" w:rsidR="00F2759D" w:rsidRPr="00DE096C" w:rsidRDefault="00F2759D" w:rsidP="00D45A46">
      <w:pPr>
        <w:jc w:val="both"/>
        <w:rPr>
          <w:bCs/>
          <w:color w:val="002060"/>
          <w:sz w:val="16"/>
          <w:szCs w:val="16"/>
        </w:rPr>
      </w:pPr>
      <w:r w:rsidRPr="00DE096C">
        <w:rPr>
          <w:bCs/>
          <w:color w:val="002060"/>
          <w:sz w:val="16"/>
          <w:szCs w:val="16"/>
        </w:rPr>
        <w:t>1-я авиационная рота (Санкт-Петербург, Петербургский ВО)</w:t>
      </w:r>
    </w:p>
    <w:p w14:paraId="1FE440DE" w14:textId="77777777" w:rsidR="00F2759D" w:rsidRPr="00DE096C" w:rsidRDefault="00F2759D" w:rsidP="00D45A46">
      <w:pPr>
        <w:jc w:val="both"/>
        <w:rPr>
          <w:bCs/>
          <w:color w:val="002060"/>
          <w:sz w:val="16"/>
          <w:szCs w:val="16"/>
        </w:rPr>
      </w:pPr>
      <w:r w:rsidRPr="00DE096C">
        <w:rPr>
          <w:bCs/>
          <w:color w:val="002060"/>
          <w:sz w:val="16"/>
          <w:szCs w:val="16"/>
        </w:rPr>
        <w:t>2-я авиационная рота (Варшава, Варшавский ВО)</w:t>
      </w:r>
    </w:p>
    <w:p w14:paraId="129937AD" w14:textId="77777777" w:rsidR="00F2759D" w:rsidRPr="00DE096C" w:rsidRDefault="00F2759D" w:rsidP="00D45A46">
      <w:pPr>
        <w:jc w:val="both"/>
        <w:rPr>
          <w:bCs/>
          <w:color w:val="002060"/>
          <w:sz w:val="16"/>
          <w:szCs w:val="16"/>
        </w:rPr>
      </w:pPr>
      <w:r w:rsidRPr="00DE096C">
        <w:rPr>
          <w:bCs/>
          <w:color w:val="002060"/>
          <w:sz w:val="16"/>
          <w:szCs w:val="16"/>
        </w:rPr>
        <w:t>3-я авиационная рота (Киев, Киевский ВО)</w:t>
      </w:r>
    </w:p>
    <w:p w14:paraId="1AF9B613" w14:textId="77777777" w:rsidR="00F2759D" w:rsidRPr="00DE096C" w:rsidRDefault="00F2759D" w:rsidP="00D45A46">
      <w:pPr>
        <w:jc w:val="both"/>
        <w:rPr>
          <w:bCs/>
          <w:color w:val="002060"/>
          <w:sz w:val="16"/>
          <w:szCs w:val="16"/>
        </w:rPr>
      </w:pPr>
      <w:r w:rsidRPr="00DE096C">
        <w:rPr>
          <w:bCs/>
          <w:color w:val="002060"/>
          <w:sz w:val="16"/>
          <w:szCs w:val="16"/>
        </w:rPr>
        <w:t>4-я авиационная рота (Лида Виленской губ., Виленский ВО)</w:t>
      </w:r>
    </w:p>
    <w:p w14:paraId="78CAC2A7" w14:textId="77777777" w:rsidR="00F2759D" w:rsidRPr="00DE096C" w:rsidRDefault="00F2759D" w:rsidP="00D45A46">
      <w:pPr>
        <w:jc w:val="both"/>
        <w:rPr>
          <w:bCs/>
          <w:color w:val="002060"/>
          <w:sz w:val="16"/>
          <w:szCs w:val="16"/>
        </w:rPr>
      </w:pPr>
      <w:r w:rsidRPr="00DE096C">
        <w:rPr>
          <w:bCs/>
          <w:color w:val="002060"/>
          <w:sz w:val="16"/>
          <w:szCs w:val="16"/>
        </w:rPr>
        <w:t>5-я авиационная рота (Бронницы Московской губ., Московский ВО)</w:t>
      </w:r>
    </w:p>
    <w:p w14:paraId="159A7303" w14:textId="77777777" w:rsidR="00F2759D" w:rsidRPr="00DE096C" w:rsidRDefault="00F2759D" w:rsidP="00D45A46">
      <w:pPr>
        <w:jc w:val="both"/>
        <w:rPr>
          <w:bCs/>
          <w:color w:val="002060"/>
          <w:sz w:val="16"/>
          <w:szCs w:val="16"/>
        </w:rPr>
      </w:pPr>
      <w:r w:rsidRPr="00DE096C">
        <w:rPr>
          <w:bCs/>
          <w:color w:val="002060"/>
          <w:sz w:val="16"/>
          <w:szCs w:val="16"/>
        </w:rPr>
        <w:t>6-я авиационная рота (Одесса, Одесский ВО) (20023)</w:t>
      </w:r>
    </w:p>
    <w:p w14:paraId="613AF4C2" w14:textId="77777777" w:rsidR="00F2759D" w:rsidRPr="00DE096C" w:rsidRDefault="00F2759D" w:rsidP="00D45A46">
      <w:pPr>
        <w:jc w:val="both"/>
        <w:rPr>
          <w:bCs/>
          <w:color w:val="002060"/>
          <w:sz w:val="16"/>
          <w:szCs w:val="16"/>
        </w:rPr>
      </w:pPr>
      <w:r w:rsidRPr="00DE096C">
        <w:rPr>
          <w:bCs/>
          <w:color w:val="002060"/>
          <w:sz w:val="16"/>
          <w:szCs w:val="16"/>
        </w:rPr>
        <w:t>Авиационные отряды</w:t>
      </w:r>
    </w:p>
    <w:p w14:paraId="2DCC98EF" w14:textId="77777777" w:rsidR="00F2759D" w:rsidRPr="00DE096C" w:rsidRDefault="00F2759D" w:rsidP="00D45A46">
      <w:pPr>
        <w:jc w:val="both"/>
        <w:rPr>
          <w:bCs/>
          <w:color w:val="002060"/>
          <w:sz w:val="16"/>
          <w:szCs w:val="16"/>
        </w:rPr>
      </w:pPr>
      <w:r w:rsidRPr="00DE096C">
        <w:rPr>
          <w:bCs/>
          <w:color w:val="002060"/>
          <w:sz w:val="16"/>
          <w:szCs w:val="16"/>
        </w:rPr>
        <w:t>Авиационный отряд при Гвардейском корпусе</w:t>
      </w:r>
    </w:p>
    <w:p w14:paraId="1D13D63A" w14:textId="77777777" w:rsidR="00F2759D" w:rsidRPr="00DE096C" w:rsidRDefault="00F2759D" w:rsidP="00D45A46">
      <w:pPr>
        <w:jc w:val="both"/>
        <w:rPr>
          <w:bCs/>
          <w:color w:val="002060"/>
          <w:sz w:val="16"/>
          <w:szCs w:val="16"/>
        </w:rPr>
      </w:pPr>
      <w:r w:rsidRPr="00DE096C">
        <w:rPr>
          <w:bCs/>
          <w:color w:val="002060"/>
          <w:sz w:val="16"/>
          <w:szCs w:val="16"/>
        </w:rPr>
        <w:t>Гренадерский корпусной авиационный отряд</w:t>
      </w:r>
    </w:p>
    <w:p w14:paraId="1D0E3AE6" w14:textId="77777777" w:rsidR="00F2759D" w:rsidRPr="00DE096C" w:rsidRDefault="00F2759D" w:rsidP="00D45A46">
      <w:pPr>
        <w:jc w:val="both"/>
        <w:rPr>
          <w:bCs/>
          <w:color w:val="002060"/>
          <w:sz w:val="16"/>
          <w:szCs w:val="16"/>
        </w:rPr>
      </w:pPr>
      <w:r w:rsidRPr="00DE096C">
        <w:rPr>
          <w:bCs/>
          <w:color w:val="002060"/>
          <w:sz w:val="16"/>
          <w:szCs w:val="16"/>
        </w:rPr>
        <w:t>1-й корпусной авиационный отряд</w:t>
      </w:r>
    </w:p>
    <w:p w14:paraId="45F65C80" w14:textId="77777777" w:rsidR="00F2759D" w:rsidRPr="00DE096C" w:rsidRDefault="00F2759D" w:rsidP="00D45A46">
      <w:pPr>
        <w:jc w:val="both"/>
        <w:rPr>
          <w:bCs/>
          <w:color w:val="002060"/>
          <w:sz w:val="16"/>
          <w:szCs w:val="16"/>
        </w:rPr>
      </w:pPr>
      <w:r w:rsidRPr="00DE096C">
        <w:rPr>
          <w:bCs/>
          <w:color w:val="002060"/>
          <w:sz w:val="16"/>
          <w:szCs w:val="16"/>
        </w:rPr>
        <w:t>2-й корпусной авиационный отряд</w:t>
      </w:r>
    </w:p>
    <w:p w14:paraId="17477744" w14:textId="77777777" w:rsidR="00F2759D" w:rsidRPr="00DE096C" w:rsidRDefault="00F2759D" w:rsidP="00D45A46">
      <w:pPr>
        <w:jc w:val="both"/>
        <w:rPr>
          <w:bCs/>
          <w:color w:val="002060"/>
          <w:sz w:val="16"/>
          <w:szCs w:val="16"/>
        </w:rPr>
      </w:pPr>
      <w:r w:rsidRPr="00DE096C">
        <w:rPr>
          <w:bCs/>
          <w:color w:val="002060"/>
          <w:sz w:val="16"/>
          <w:szCs w:val="16"/>
        </w:rPr>
        <w:t>3-й корпусной авиационный отряд</w:t>
      </w:r>
    </w:p>
    <w:p w14:paraId="2BB71A3C" w14:textId="77777777" w:rsidR="00F2759D" w:rsidRPr="00DE096C" w:rsidRDefault="00F2759D" w:rsidP="00D45A46">
      <w:pPr>
        <w:jc w:val="both"/>
        <w:rPr>
          <w:bCs/>
          <w:color w:val="002060"/>
          <w:sz w:val="16"/>
          <w:szCs w:val="16"/>
        </w:rPr>
      </w:pPr>
      <w:r w:rsidRPr="00DE096C">
        <w:rPr>
          <w:bCs/>
          <w:color w:val="002060"/>
          <w:sz w:val="16"/>
          <w:szCs w:val="16"/>
        </w:rPr>
        <w:t>4-й корпусной авиационный отряд</w:t>
      </w:r>
    </w:p>
    <w:p w14:paraId="2A7641EC" w14:textId="77777777" w:rsidR="00F2759D" w:rsidRPr="00DE096C" w:rsidRDefault="00F2759D" w:rsidP="00D45A46">
      <w:pPr>
        <w:jc w:val="both"/>
        <w:rPr>
          <w:bCs/>
          <w:color w:val="002060"/>
          <w:sz w:val="16"/>
          <w:szCs w:val="16"/>
        </w:rPr>
      </w:pPr>
      <w:r w:rsidRPr="00DE096C">
        <w:rPr>
          <w:bCs/>
          <w:color w:val="002060"/>
          <w:sz w:val="16"/>
          <w:szCs w:val="16"/>
        </w:rPr>
        <w:t>5-й корпусной авиационный отряд</w:t>
      </w:r>
    </w:p>
    <w:p w14:paraId="15CBB136" w14:textId="77777777" w:rsidR="00F2759D" w:rsidRPr="00DE096C" w:rsidRDefault="00F2759D" w:rsidP="00D45A46">
      <w:pPr>
        <w:jc w:val="both"/>
        <w:rPr>
          <w:bCs/>
          <w:color w:val="002060"/>
          <w:sz w:val="16"/>
          <w:szCs w:val="16"/>
        </w:rPr>
      </w:pPr>
      <w:r w:rsidRPr="00DE096C">
        <w:rPr>
          <w:bCs/>
          <w:color w:val="002060"/>
          <w:sz w:val="16"/>
          <w:szCs w:val="16"/>
        </w:rPr>
        <w:t>6-й корпусной авиационный отряд</w:t>
      </w:r>
    </w:p>
    <w:p w14:paraId="425A1A1E" w14:textId="77777777" w:rsidR="00F2759D" w:rsidRPr="00DE096C" w:rsidRDefault="00F2759D" w:rsidP="00D45A46">
      <w:pPr>
        <w:jc w:val="both"/>
        <w:rPr>
          <w:bCs/>
          <w:color w:val="002060"/>
          <w:sz w:val="16"/>
          <w:szCs w:val="16"/>
        </w:rPr>
      </w:pPr>
      <w:r w:rsidRPr="00DE096C">
        <w:rPr>
          <w:bCs/>
          <w:color w:val="002060"/>
          <w:sz w:val="16"/>
          <w:szCs w:val="16"/>
        </w:rPr>
        <w:t>7-й корпусной авиационный отряд</w:t>
      </w:r>
    </w:p>
    <w:p w14:paraId="15A8BEE7" w14:textId="77777777" w:rsidR="00F2759D" w:rsidRPr="00DE096C" w:rsidRDefault="00F2759D" w:rsidP="00D45A46">
      <w:pPr>
        <w:jc w:val="both"/>
        <w:rPr>
          <w:bCs/>
          <w:color w:val="002060"/>
          <w:sz w:val="16"/>
          <w:szCs w:val="16"/>
        </w:rPr>
      </w:pPr>
      <w:r w:rsidRPr="00DE096C">
        <w:rPr>
          <w:bCs/>
          <w:color w:val="002060"/>
          <w:sz w:val="16"/>
          <w:szCs w:val="16"/>
        </w:rPr>
        <w:t>8-й корпусной авиационный отряд</w:t>
      </w:r>
    </w:p>
    <w:p w14:paraId="05B05AC5" w14:textId="77777777" w:rsidR="00F2759D" w:rsidRPr="00DE096C" w:rsidRDefault="00F2759D" w:rsidP="00D45A46">
      <w:pPr>
        <w:jc w:val="both"/>
        <w:rPr>
          <w:bCs/>
          <w:color w:val="002060"/>
          <w:sz w:val="16"/>
          <w:szCs w:val="16"/>
        </w:rPr>
      </w:pPr>
      <w:r w:rsidRPr="00DE096C">
        <w:rPr>
          <w:bCs/>
          <w:color w:val="002060"/>
          <w:sz w:val="16"/>
          <w:szCs w:val="16"/>
        </w:rPr>
        <w:t>9-й корпусной авиационный отряд</w:t>
      </w:r>
    </w:p>
    <w:p w14:paraId="5996E98B" w14:textId="77777777" w:rsidR="00F2759D" w:rsidRPr="00DE096C" w:rsidRDefault="00F2759D" w:rsidP="00D45A46">
      <w:pPr>
        <w:jc w:val="both"/>
        <w:rPr>
          <w:bCs/>
          <w:color w:val="002060"/>
          <w:sz w:val="16"/>
          <w:szCs w:val="16"/>
        </w:rPr>
      </w:pPr>
      <w:r w:rsidRPr="00DE096C">
        <w:rPr>
          <w:bCs/>
          <w:color w:val="002060"/>
          <w:sz w:val="16"/>
          <w:szCs w:val="16"/>
        </w:rPr>
        <w:t>10-й корпусной авиационный отряд</w:t>
      </w:r>
    </w:p>
    <w:p w14:paraId="0D8A5942" w14:textId="77777777" w:rsidR="00F2759D" w:rsidRPr="00DE096C" w:rsidRDefault="00F2759D" w:rsidP="00D45A46">
      <w:pPr>
        <w:jc w:val="both"/>
        <w:rPr>
          <w:bCs/>
          <w:color w:val="002060"/>
          <w:sz w:val="16"/>
          <w:szCs w:val="16"/>
        </w:rPr>
      </w:pPr>
      <w:r w:rsidRPr="00DE096C">
        <w:rPr>
          <w:bCs/>
          <w:color w:val="002060"/>
          <w:sz w:val="16"/>
          <w:szCs w:val="16"/>
        </w:rPr>
        <w:t>11-й корпусной авиационный отряд</w:t>
      </w:r>
    </w:p>
    <w:p w14:paraId="0F8EF1B3" w14:textId="77777777" w:rsidR="00F2759D" w:rsidRPr="00DE096C" w:rsidRDefault="00F2759D" w:rsidP="00D45A46">
      <w:pPr>
        <w:jc w:val="both"/>
        <w:rPr>
          <w:bCs/>
          <w:color w:val="002060"/>
          <w:sz w:val="16"/>
          <w:szCs w:val="16"/>
        </w:rPr>
      </w:pPr>
      <w:r w:rsidRPr="00DE096C">
        <w:rPr>
          <w:bCs/>
          <w:color w:val="002060"/>
          <w:sz w:val="16"/>
          <w:szCs w:val="16"/>
        </w:rPr>
        <w:t>12-й корпусной авиационный отряд</w:t>
      </w:r>
    </w:p>
    <w:p w14:paraId="79DB26C2" w14:textId="77777777" w:rsidR="00F2759D" w:rsidRPr="00DE096C" w:rsidRDefault="00F2759D" w:rsidP="00D45A46">
      <w:pPr>
        <w:jc w:val="both"/>
        <w:rPr>
          <w:bCs/>
          <w:color w:val="002060"/>
          <w:sz w:val="16"/>
          <w:szCs w:val="16"/>
        </w:rPr>
      </w:pPr>
      <w:r w:rsidRPr="00DE096C">
        <w:rPr>
          <w:bCs/>
          <w:color w:val="002060"/>
          <w:sz w:val="16"/>
          <w:szCs w:val="16"/>
        </w:rPr>
        <w:t>13-й корпусной авиационный отряд</w:t>
      </w:r>
    </w:p>
    <w:p w14:paraId="676ACC4C" w14:textId="77777777" w:rsidR="00F2759D" w:rsidRPr="00DE096C" w:rsidRDefault="00F2759D" w:rsidP="00D45A46">
      <w:pPr>
        <w:jc w:val="both"/>
        <w:rPr>
          <w:bCs/>
          <w:color w:val="002060"/>
          <w:sz w:val="16"/>
          <w:szCs w:val="16"/>
        </w:rPr>
      </w:pPr>
      <w:r w:rsidRPr="00DE096C">
        <w:rPr>
          <w:bCs/>
          <w:color w:val="002060"/>
          <w:sz w:val="16"/>
          <w:szCs w:val="16"/>
        </w:rPr>
        <w:t>14-й корпусной авиационный отряд</w:t>
      </w:r>
    </w:p>
    <w:p w14:paraId="072C6823" w14:textId="77777777" w:rsidR="00F2759D" w:rsidRPr="00DE096C" w:rsidRDefault="00F2759D" w:rsidP="00D45A46">
      <w:pPr>
        <w:jc w:val="both"/>
        <w:rPr>
          <w:bCs/>
          <w:color w:val="002060"/>
          <w:sz w:val="16"/>
          <w:szCs w:val="16"/>
        </w:rPr>
      </w:pPr>
      <w:r w:rsidRPr="00DE096C">
        <w:rPr>
          <w:bCs/>
          <w:color w:val="002060"/>
          <w:sz w:val="16"/>
          <w:szCs w:val="16"/>
        </w:rPr>
        <w:t>15-й корпусной авиационный отряд</w:t>
      </w:r>
    </w:p>
    <w:p w14:paraId="4DA3C91A" w14:textId="77777777" w:rsidR="00F2759D" w:rsidRPr="00DE096C" w:rsidRDefault="00F2759D" w:rsidP="00D45A46">
      <w:pPr>
        <w:jc w:val="both"/>
        <w:rPr>
          <w:bCs/>
          <w:color w:val="002060"/>
          <w:sz w:val="16"/>
          <w:szCs w:val="16"/>
        </w:rPr>
      </w:pPr>
      <w:r w:rsidRPr="00DE096C">
        <w:rPr>
          <w:bCs/>
          <w:color w:val="002060"/>
          <w:sz w:val="16"/>
          <w:szCs w:val="16"/>
        </w:rPr>
        <w:t>16-й корпусной авиационный отряд</w:t>
      </w:r>
    </w:p>
    <w:p w14:paraId="1F66C1BD" w14:textId="77777777" w:rsidR="00F2759D" w:rsidRPr="00DE096C" w:rsidRDefault="00F2759D" w:rsidP="00D45A46">
      <w:pPr>
        <w:jc w:val="both"/>
        <w:rPr>
          <w:bCs/>
          <w:color w:val="002060"/>
          <w:sz w:val="16"/>
          <w:szCs w:val="16"/>
        </w:rPr>
      </w:pPr>
      <w:r w:rsidRPr="00DE096C">
        <w:rPr>
          <w:bCs/>
          <w:color w:val="002060"/>
          <w:sz w:val="16"/>
          <w:szCs w:val="16"/>
        </w:rPr>
        <w:t>17-й корпусной авиационный отряд</w:t>
      </w:r>
    </w:p>
    <w:p w14:paraId="44233A97" w14:textId="77777777" w:rsidR="00F2759D" w:rsidRPr="00DE096C" w:rsidRDefault="00F2759D" w:rsidP="00D45A46">
      <w:pPr>
        <w:jc w:val="both"/>
        <w:rPr>
          <w:bCs/>
          <w:color w:val="002060"/>
          <w:sz w:val="16"/>
          <w:szCs w:val="16"/>
        </w:rPr>
      </w:pPr>
      <w:r w:rsidRPr="00DE096C">
        <w:rPr>
          <w:bCs/>
          <w:color w:val="002060"/>
          <w:sz w:val="16"/>
          <w:szCs w:val="16"/>
        </w:rPr>
        <w:t>18-й корпусной авиационный отряд</w:t>
      </w:r>
    </w:p>
    <w:p w14:paraId="168B7EE9" w14:textId="77777777" w:rsidR="00F2759D" w:rsidRPr="00DE096C" w:rsidRDefault="00F2759D" w:rsidP="00D45A46">
      <w:pPr>
        <w:jc w:val="both"/>
        <w:rPr>
          <w:bCs/>
          <w:color w:val="002060"/>
          <w:sz w:val="16"/>
          <w:szCs w:val="16"/>
        </w:rPr>
      </w:pPr>
      <w:r w:rsidRPr="00DE096C">
        <w:rPr>
          <w:bCs/>
          <w:color w:val="002060"/>
          <w:sz w:val="16"/>
          <w:szCs w:val="16"/>
        </w:rPr>
        <w:t>19-й корпусной авиационный отряд</w:t>
      </w:r>
    </w:p>
    <w:p w14:paraId="00907223" w14:textId="77777777" w:rsidR="00F2759D" w:rsidRPr="00DE096C" w:rsidRDefault="00F2759D" w:rsidP="00D45A46">
      <w:pPr>
        <w:jc w:val="both"/>
        <w:rPr>
          <w:bCs/>
          <w:color w:val="002060"/>
          <w:sz w:val="16"/>
          <w:szCs w:val="16"/>
        </w:rPr>
      </w:pPr>
      <w:r w:rsidRPr="00DE096C">
        <w:rPr>
          <w:bCs/>
          <w:color w:val="002060"/>
          <w:sz w:val="16"/>
          <w:szCs w:val="16"/>
        </w:rPr>
        <w:t>20-й корпусной авиационный отряд</w:t>
      </w:r>
    </w:p>
    <w:p w14:paraId="407752C0" w14:textId="77777777" w:rsidR="00F2759D" w:rsidRPr="00DE096C" w:rsidRDefault="00F2759D" w:rsidP="00D45A46">
      <w:pPr>
        <w:jc w:val="both"/>
        <w:rPr>
          <w:bCs/>
          <w:color w:val="002060"/>
          <w:sz w:val="16"/>
          <w:szCs w:val="16"/>
        </w:rPr>
      </w:pPr>
      <w:r w:rsidRPr="00DE096C">
        <w:rPr>
          <w:bCs/>
          <w:color w:val="002060"/>
          <w:sz w:val="16"/>
          <w:szCs w:val="16"/>
        </w:rPr>
        <w:t>21-й корпусной авиационный отряд</w:t>
      </w:r>
    </w:p>
    <w:p w14:paraId="3CAE65C5" w14:textId="77777777" w:rsidR="00F2759D" w:rsidRPr="00DE096C" w:rsidRDefault="00F2759D" w:rsidP="00D45A46">
      <w:pPr>
        <w:jc w:val="both"/>
        <w:rPr>
          <w:bCs/>
          <w:color w:val="002060"/>
          <w:sz w:val="16"/>
          <w:szCs w:val="16"/>
        </w:rPr>
      </w:pPr>
      <w:r w:rsidRPr="00DE096C">
        <w:rPr>
          <w:bCs/>
          <w:color w:val="002060"/>
          <w:sz w:val="16"/>
          <w:szCs w:val="16"/>
        </w:rPr>
        <w:lastRenderedPageBreak/>
        <w:t>22-й корпусной авиационный отряд</w:t>
      </w:r>
    </w:p>
    <w:p w14:paraId="09830997" w14:textId="77777777" w:rsidR="00F2759D" w:rsidRPr="00DE096C" w:rsidRDefault="00F2759D" w:rsidP="00D45A46">
      <w:pPr>
        <w:jc w:val="both"/>
        <w:rPr>
          <w:bCs/>
          <w:color w:val="002060"/>
          <w:sz w:val="16"/>
          <w:szCs w:val="16"/>
        </w:rPr>
      </w:pPr>
      <w:r w:rsidRPr="00DE096C">
        <w:rPr>
          <w:bCs/>
          <w:color w:val="002060"/>
          <w:sz w:val="16"/>
          <w:szCs w:val="16"/>
        </w:rPr>
        <w:t>23-й корпусной авиационный отряд</w:t>
      </w:r>
    </w:p>
    <w:p w14:paraId="0313A33A" w14:textId="77777777" w:rsidR="00F2759D" w:rsidRPr="00DE096C" w:rsidRDefault="00F2759D" w:rsidP="00D45A46">
      <w:pPr>
        <w:jc w:val="both"/>
        <w:rPr>
          <w:bCs/>
          <w:color w:val="002060"/>
          <w:sz w:val="16"/>
          <w:szCs w:val="16"/>
        </w:rPr>
      </w:pPr>
      <w:r w:rsidRPr="00DE096C">
        <w:rPr>
          <w:bCs/>
          <w:color w:val="002060"/>
          <w:sz w:val="16"/>
          <w:szCs w:val="16"/>
        </w:rPr>
        <w:t>24-й корпусной авиационный отряд</w:t>
      </w:r>
    </w:p>
    <w:p w14:paraId="2369927B" w14:textId="77777777" w:rsidR="00F2759D" w:rsidRPr="00DE096C" w:rsidRDefault="00F2759D" w:rsidP="00D45A46">
      <w:pPr>
        <w:jc w:val="both"/>
        <w:rPr>
          <w:bCs/>
          <w:color w:val="002060"/>
          <w:sz w:val="16"/>
          <w:szCs w:val="16"/>
        </w:rPr>
      </w:pPr>
      <w:r w:rsidRPr="00DE096C">
        <w:rPr>
          <w:bCs/>
          <w:color w:val="002060"/>
          <w:sz w:val="16"/>
          <w:szCs w:val="16"/>
        </w:rPr>
        <w:t>25-й корпусной авиационный отряд</w:t>
      </w:r>
    </w:p>
    <w:p w14:paraId="24254B2F" w14:textId="77777777" w:rsidR="00F2759D" w:rsidRPr="00DE096C" w:rsidRDefault="00F2759D" w:rsidP="00D45A46">
      <w:pPr>
        <w:jc w:val="both"/>
        <w:rPr>
          <w:bCs/>
          <w:color w:val="002060"/>
          <w:sz w:val="16"/>
          <w:szCs w:val="16"/>
        </w:rPr>
      </w:pPr>
      <w:r w:rsidRPr="00DE096C">
        <w:rPr>
          <w:bCs/>
          <w:color w:val="002060"/>
          <w:sz w:val="16"/>
          <w:szCs w:val="16"/>
        </w:rPr>
        <w:t>1-й Сибирский корпусной авиационный отряд</w:t>
      </w:r>
    </w:p>
    <w:p w14:paraId="45C21407" w14:textId="77777777" w:rsidR="00F2759D" w:rsidRPr="00DE096C" w:rsidRDefault="00F2759D" w:rsidP="00D45A46">
      <w:pPr>
        <w:jc w:val="both"/>
        <w:rPr>
          <w:bCs/>
          <w:color w:val="002060"/>
          <w:sz w:val="16"/>
          <w:szCs w:val="16"/>
        </w:rPr>
      </w:pPr>
      <w:r w:rsidRPr="00DE096C">
        <w:rPr>
          <w:bCs/>
          <w:color w:val="002060"/>
          <w:sz w:val="16"/>
          <w:szCs w:val="16"/>
        </w:rPr>
        <w:t>4-й Сибирский корпусной авиационный отряд</w:t>
      </w:r>
    </w:p>
    <w:p w14:paraId="41873519" w14:textId="77777777" w:rsidR="00F2759D" w:rsidRPr="00DE096C" w:rsidRDefault="00F2759D" w:rsidP="00D45A46">
      <w:pPr>
        <w:jc w:val="both"/>
        <w:rPr>
          <w:bCs/>
          <w:color w:val="002060"/>
          <w:sz w:val="16"/>
          <w:szCs w:val="16"/>
        </w:rPr>
      </w:pPr>
      <w:r w:rsidRPr="00DE096C">
        <w:rPr>
          <w:bCs/>
          <w:color w:val="002060"/>
          <w:sz w:val="16"/>
          <w:szCs w:val="16"/>
        </w:rPr>
        <w:t>5-й Сибирский корпусной авиационный отряд</w:t>
      </w:r>
    </w:p>
    <w:p w14:paraId="7B0CD0C7" w14:textId="77777777" w:rsidR="00F2759D" w:rsidRPr="00DE096C" w:rsidRDefault="00F2759D" w:rsidP="00D45A46">
      <w:pPr>
        <w:jc w:val="both"/>
        <w:rPr>
          <w:bCs/>
          <w:color w:val="002060"/>
          <w:sz w:val="16"/>
          <w:szCs w:val="16"/>
        </w:rPr>
      </w:pPr>
      <w:r w:rsidRPr="00DE096C">
        <w:rPr>
          <w:bCs/>
          <w:color w:val="002060"/>
          <w:sz w:val="16"/>
          <w:szCs w:val="16"/>
        </w:rPr>
        <w:t>3-й полевой авиационный отряд (20023).</w:t>
      </w:r>
    </w:p>
    <w:p w14:paraId="35B2542F" w14:textId="77777777" w:rsidR="00F2759D" w:rsidRPr="00DE096C" w:rsidRDefault="00F2759D" w:rsidP="00D45A46">
      <w:pPr>
        <w:jc w:val="both"/>
        <w:rPr>
          <w:bCs/>
          <w:color w:val="002060"/>
          <w:sz w:val="16"/>
          <w:szCs w:val="16"/>
        </w:rPr>
      </w:pPr>
      <w:r w:rsidRPr="00DE096C">
        <w:rPr>
          <w:bCs/>
          <w:color w:val="002060"/>
          <w:sz w:val="16"/>
          <w:szCs w:val="16"/>
        </w:rPr>
        <w:t>Крепостные авиационные отряды</w:t>
      </w:r>
    </w:p>
    <w:p w14:paraId="15546C83" w14:textId="77777777" w:rsidR="00F2759D" w:rsidRPr="00DE096C" w:rsidRDefault="00F2759D" w:rsidP="00D45A46">
      <w:pPr>
        <w:jc w:val="both"/>
        <w:rPr>
          <w:bCs/>
          <w:color w:val="002060"/>
          <w:sz w:val="16"/>
          <w:szCs w:val="16"/>
        </w:rPr>
      </w:pPr>
      <w:r w:rsidRPr="00DE096C">
        <w:rPr>
          <w:bCs/>
          <w:color w:val="002060"/>
          <w:sz w:val="16"/>
          <w:szCs w:val="16"/>
        </w:rPr>
        <w:t>Брест-Литовский крепостной авиационный отряд</w:t>
      </w:r>
    </w:p>
    <w:p w14:paraId="62D3A478" w14:textId="77777777" w:rsidR="00F2759D" w:rsidRPr="00DE096C" w:rsidRDefault="00F2759D" w:rsidP="00D45A46">
      <w:pPr>
        <w:jc w:val="both"/>
        <w:rPr>
          <w:bCs/>
          <w:color w:val="002060"/>
          <w:sz w:val="16"/>
          <w:szCs w:val="16"/>
        </w:rPr>
      </w:pPr>
      <w:r w:rsidRPr="00DE096C">
        <w:rPr>
          <w:bCs/>
          <w:color w:val="002060"/>
          <w:sz w:val="16"/>
          <w:szCs w:val="16"/>
        </w:rPr>
        <w:t>Осовецкий крепостной авиационный отряд</w:t>
      </w:r>
    </w:p>
    <w:p w14:paraId="6C59895A" w14:textId="77777777" w:rsidR="00F2759D" w:rsidRPr="00DE096C" w:rsidRDefault="00F2759D" w:rsidP="00D45A46">
      <w:pPr>
        <w:jc w:val="both"/>
        <w:rPr>
          <w:bCs/>
          <w:color w:val="002060"/>
          <w:sz w:val="16"/>
          <w:szCs w:val="16"/>
        </w:rPr>
      </w:pPr>
      <w:r w:rsidRPr="00DE096C">
        <w:rPr>
          <w:bCs/>
          <w:color w:val="002060"/>
          <w:sz w:val="16"/>
          <w:szCs w:val="16"/>
        </w:rPr>
        <w:t>Новогеоргиевский крепостной авиационный отряд</w:t>
      </w:r>
    </w:p>
    <w:p w14:paraId="41F721E7" w14:textId="77777777" w:rsidR="00F2759D" w:rsidRPr="00DE096C" w:rsidRDefault="00F2759D" w:rsidP="00D45A46">
      <w:pPr>
        <w:jc w:val="both"/>
        <w:rPr>
          <w:bCs/>
          <w:color w:val="002060"/>
          <w:sz w:val="16"/>
          <w:szCs w:val="16"/>
        </w:rPr>
      </w:pPr>
      <w:r w:rsidRPr="00DE096C">
        <w:rPr>
          <w:bCs/>
          <w:color w:val="002060"/>
          <w:sz w:val="16"/>
          <w:szCs w:val="16"/>
        </w:rPr>
        <w:t>Карсский крепостной авиационный отряд</w:t>
      </w:r>
    </w:p>
    <w:p w14:paraId="40DC7D73" w14:textId="77777777" w:rsidR="00F2759D" w:rsidRPr="00DE096C" w:rsidRDefault="00F2759D" w:rsidP="00D45A46">
      <w:pPr>
        <w:jc w:val="both"/>
        <w:rPr>
          <w:bCs/>
          <w:color w:val="002060"/>
          <w:sz w:val="16"/>
          <w:szCs w:val="16"/>
        </w:rPr>
      </w:pPr>
      <w:r w:rsidRPr="00DE096C">
        <w:rPr>
          <w:bCs/>
          <w:color w:val="002060"/>
          <w:sz w:val="16"/>
          <w:szCs w:val="16"/>
        </w:rPr>
        <w:t>Владивостокский крепостной авиационный отряд</w:t>
      </w:r>
    </w:p>
    <w:p w14:paraId="65C57925" w14:textId="77777777" w:rsidR="00F2759D" w:rsidRPr="00DE096C" w:rsidRDefault="00F2759D" w:rsidP="00D45A46">
      <w:pPr>
        <w:jc w:val="both"/>
        <w:rPr>
          <w:bCs/>
          <w:color w:val="002060"/>
          <w:sz w:val="16"/>
          <w:szCs w:val="16"/>
        </w:rPr>
      </w:pPr>
      <w:r w:rsidRPr="00DE096C">
        <w:rPr>
          <w:bCs/>
          <w:color w:val="002060"/>
          <w:sz w:val="16"/>
          <w:szCs w:val="16"/>
        </w:rPr>
        <w:t>Ковненский крепостной авиационный отряд</w:t>
      </w:r>
    </w:p>
    <w:p w14:paraId="63C56E82" w14:textId="77777777" w:rsidR="00F2759D" w:rsidRPr="00DE096C" w:rsidRDefault="00F2759D" w:rsidP="00D45A46">
      <w:pPr>
        <w:jc w:val="both"/>
        <w:rPr>
          <w:bCs/>
          <w:color w:val="002060"/>
          <w:sz w:val="16"/>
          <w:szCs w:val="16"/>
        </w:rPr>
      </w:pPr>
      <w:r w:rsidRPr="00DE096C">
        <w:rPr>
          <w:bCs/>
          <w:color w:val="002060"/>
          <w:sz w:val="16"/>
          <w:szCs w:val="16"/>
        </w:rPr>
        <w:t>Гродненский крепостной авиационный отряд</w:t>
      </w:r>
    </w:p>
    <w:p w14:paraId="282D6AE9" w14:textId="77777777" w:rsidR="00F2759D" w:rsidRPr="00DE096C" w:rsidRDefault="00F2759D" w:rsidP="00D45A46">
      <w:pPr>
        <w:jc w:val="both"/>
        <w:rPr>
          <w:bCs/>
          <w:color w:val="002060"/>
          <w:sz w:val="16"/>
          <w:szCs w:val="16"/>
        </w:rPr>
      </w:pPr>
      <w:r w:rsidRPr="00DE096C">
        <w:rPr>
          <w:bCs/>
          <w:color w:val="002060"/>
          <w:sz w:val="16"/>
          <w:szCs w:val="16"/>
        </w:rPr>
        <w:t>Севастопольский крепостной авиационный отряд (20023)</w:t>
      </w:r>
    </w:p>
    <w:p w14:paraId="716B45E2" w14:textId="77777777" w:rsidR="00F2759D" w:rsidRPr="00DE096C" w:rsidRDefault="00F2759D" w:rsidP="00D45A46">
      <w:pPr>
        <w:jc w:val="both"/>
        <w:rPr>
          <w:bCs/>
          <w:color w:val="002060"/>
          <w:sz w:val="16"/>
          <w:szCs w:val="16"/>
        </w:rPr>
      </w:pPr>
    </w:p>
    <w:p w14:paraId="3B64D5C1" w14:textId="77777777" w:rsidR="00F2759D" w:rsidRPr="00DE096C" w:rsidRDefault="00F2759D" w:rsidP="00D45A46">
      <w:pPr>
        <w:jc w:val="both"/>
        <w:rPr>
          <w:bCs/>
          <w:color w:val="002060"/>
          <w:sz w:val="16"/>
          <w:szCs w:val="16"/>
        </w:rPr>
      </w:pPr>
      <w:r w:rsidRPr="00DE096C">
        <w:rPr>
          <w:bCs/>
          <w:color w:val="002060"/>
          <w:sz w:val="16"/>
          <w:szCs w:val="16"/>
        </w:rPr>
        <w:t>В конце июля 1914 к началу войны на каждый самолет приходилось в среднем по два летчика. Летчики обучались в двух крупнейших школах — Гатчинской (с отделением в Варшаве) и Севастопольской. В ходе войны были дополнительно организованы авиашколы: в Москве, Одессе, Петрограде. Но Россия стала единственной из воюющих стран, не имевшей плана мобилизации гражданских летчиков – все эти недостатки устранялись в ходе войны (19961).</w:t>
      </w:r>
    </w:p>
    <w:p w14:paraId="26692142" w14:textId="77777777" w:rsidR="00F2759D" w:rsidRPr="00DE096C" w:rsidRDefault="00F2759D" w:rsidP="00D45A46">
      <w:pPr>
        <w:jc w:val="both"/>
        <w:rPr>
          <w:bCs/>
          <w:color w:val="002060"/>
          <w:sz w:val="16"/>
          <w:szCs w:val="16"/>
        </w:rPr>
      </w:pPr>
    </w:p>
    <w:p w14:paraId="2A2DBA25" w14:textId="77777777" w:rsidR="00F2759D" w:rsidRPr="00DE096C" w:rsidRDefault="00F2759D" w:rsidP="00D45A46">
      <w:pPr>
        <w:jc w:val="both"/>
        <w:rPr>
          <w:bCs/>
          <w:color w:val="002060"/>
          <w:sz w:val="16"/>
          <w:szCs w:val="16"/>
        </w:rPr>
      </w:pPr>
      <w:r w:rsidRPr="00DE096C">
        <w:rPr>
          <w:bCs/>
          <w:color w:val="002060"/>
          <w:sz w:val="16"/>
          <w:szCs w:val="16"/>
        </w:rPr>
        <w:t>С конца июля 1914 с самого начала Первой мировой войны основная нагрузка по материально-техническому обеспечению Военно-воздушного флота Империи легла на шесть авиационных рот, остававшихся в тыловых районах страны: 1-я (Санкт-Петербург), 2-я (Брест-Литовск), 3-я (Киев), 4-я (Лида), 5-я (Брянск) и 6-я (Жмеринка) (20200).</w:t>
      </w:r>
    </w:p>
    <w:p w14:paraId="374AD6C3" w14:textId="77777777" w:rsidR="00F2759D" w:rsidRPr="00DE096C" w:rsidRDefault="00F2759D" w:rsidP="00D45A46">
      <w:pPr>
        <w:jc w:val="both"/>
        <w:rPr>
          <w:bCs/>
          <w:color w:val="002060"/>
          <w:sz w:val="16"/>
          <w:szCs w:val="16"/>
        </w:rPr>
      </w:pPr>
    </w:p>
    <w:p w14:paraId="4D1DCEF4" w14:textId="77777777" w:rsidR="00F2759D" w:rsidRPr="00DE096C" w:rsidRDefault="00F2759D" w:rsidP="00D45A46">
      <w:pPr>
        <w:jc w:val="both"/>
        <w:rPr>
          <w:bCs/>
          <w:color w:val="002060"/>
          <w:sz w:val="16"/>
          <w:szCs w:val="16"/>
        </w:rPr>
      </w:pPr>
      <w:r w:rsidRPr="00DE096C">
        <w:rPr>
          <w:bCs/>
          <w:color w:val="002060"/>
          <w:sz w:val="16"/>
          <w:szCs w:val="16"/>
        </w:rPr>
        <w:t>В конце июля 1914 с началом Первой мировой войны российское общество начало все более вовлекаться в атмосферу во</w:t>
      </w:r>
      <w:r w:rsidRPr="00DE096C">
        <w:rPr>
          <w:bCs/>
          <w:color w:val="002060"/>
          <w:sz w:val="16"/>
          <w:szCs w:val="16"/>
        </w:rPr>
        <w:softHyphen/>
        <w:t>енного противостояния. В августе-сентябре 1915 г. цар</w:t>
      </w:r>
      <w:r w:rsidRPr="00DE096C">
        <w:rPr>
          <w:bCs/>
          <w:color w:val="002060"/>
          <w:sz w:val="16"/>
          <w:szCs w:val="16"/>
        </w:rPr>
        <w:softHyphen/>
        <w:t>ское правительство приняло решение о мобилизации сту</w:t>
      </w:r>
      <w:r w:rsidRPr="00DE096C">
        <w:rPr>
          <w:bCs/>
          <w:color w:val="002060"/>
          <w:sz w:val="16"/>
          <w:szCs w:val="16"/>
        </w:rPr>
        <w:softHyphen/>
        <w:t>дентов высших учебных заведений в армию (20362).</w:t>
      </w:r>
    </w:p>
    <w:p w14:paraId="0B9957DC" w14:textId="77777777" w:rsidR="00F2759D" w:rsidRPr="00DE096C" w:rsidRDefault="00F2759D" w:rsidP="00D45A46">
      <w:pPr>
        <w:jc w:val="both"/>
        <w:rPr>
          <w:bCs/>
          <w:color w:val="002060"/>
          <w:sz w:val="16"/>
          <w:szCs w:val="16"/>
        </w:rPr>
      </w:pPr>
    </w:p>
    <w:p w14:paraId="14CC5802" w14:textId="77777777" w:rsidR="00F2759D" w:rsidRPr="00DE096C" w:rsidRDefault="00F2759D" w:rsidP="00D45A46">
      <w:pPr>
        <w:jc w:val="both"/>
        <w:rPr>
          <w:bCs/>
          <w:color w:val="002060"/>
          <w:sz w:val="16"/>
          <w:szCs w:val="16"/>
        </w:rPr>
      </w:pPr>
      <w:r w:rsidRPr="00DE096C">
        <w:rPr>
          <w:bCs/>
          <w:color w:val="002060"/>
          <w:sz w:val="16"/>
          <w:szCs w:val="16"/>
        </w:rPr>
        <w:t>В конце июля 1914 к началу Первой мировой войны действовали воздухоплавательные роты: № 2-4, Сибирская и крепостные - Брест-Литовская, Владивостокская, Гродненская, Карсская, Ковенская, Новогеоргиевская, Осовецкая, а также Свеаборгское крепостное воздухоплавательное отделение (с 1915 г. - рота). С объявлением мобилизации началось формирование новых воздухоплавательных рот (19947).</w:t>
      </w:r>
    </w:p>
    <w:p w14:paraId="7E590A55" w14:textId="77777777" w:rsidR="00F2759D" w:rsidRPr="00DE096C" w:rsidRDefault="00F2759D" w:rsidP="00D45A46">
      <w:pPr>
        <w:jc w:val="both"/>
        <w:rPr>
          <w:bCs/>
          <w:color w:val="002060"/>
          <w:sz w:val="16"/>
          <w:szCs w:val="16"/>
        </w:rPr>
      </w:pPr>
    </w:p>
    <w:p w14:paraId="38EE5544" w14:textId="77777777" w:rsidR="00F2759D" w:rsidRPr="00DE096C" w:rsidRDefault="00F2759D" w:rsidP="00D45A46">
      <w:pPr>
        <w:jc w:val="both"/>
        <w:rPr>
          <w:bCs/>
          <w:color w:val="002060"/>
          <w:sz w:val="16"/>
          <w:szCs w:val="16"/>
        </w:rPr>
      </w:pPr>
      <w:r w:rsidRPr="00DE096C">
        <w:rPr>
          <w:bCs/>
          <w:color w:val="002060"/>
          <w:sz w:val="16"/>
          <w:szCs w:val="16"/>
        </w:rPr>
        <w:t>В конце июля 1914 к началу войны некоторые самолеты были снабжены радиопередатчиками, а на аэродромах были работающие радиоприемники. Дополнительно предполагалось изготовить для авиации еще 150 передающих и 50 приемных радиостанций и к ним 50 зарядных групп с 3 аккумуляторными батареями в каждой группе (19951).</w:t>
      </w:r>
    </w:p>
    <w:p w14:paraId="2A49EB3E" w14:textId="77777777" w:rsidR="00F2759D" w:rsidRPr="00DE096C" w:rsidRDefault="00F2759D" w:rsidP="00D45A46">
      <w:pPr>
        <w:jc w:val="both"/>
        <w:rPr>
          <w:bCs/>
          <w:color w:val="002060"/>
          <w:sz w:val="16"/>
          <w:szCs w:val="16"/>
        </w:rPr>
      </w:pPr>
    </w:p>
    <w:p w14:paraId="70D285AF" w14:textId="77777777" w:rsidR="00F2759D" w:rsidRPr="00DE096C" w:rsidRDefault="00F2759D" w:rsidP="00D45A46">
      <w:pPr>
        <w:jc w:val="both"/>
        <w:rPr>
          <w:bCs/>
          <w:color w:val="002060"/>
          <w:sz w:val="16"/>
          <w:szCs w:val="16"/>
        </w:rPr>
      </w:pPr>
      <w:r w:rsidRPr="00DE096C">
        <w:rPr>
          <w:bCs/>
          <w:color w:val="002060"/>
          <w:sz w:val="16"/>
          <w:szCs w:val="16"/>
        </w:rPr>
        <w:t xml:space="preserve">В конце июля 1914 к началу войны </w:t>
      </w:r>
    </w:p>
    <w:p w14:paraId="575F7472" w14:textId="77777777" w:rsidR="00F2759D" w:rsidRPr="00DE096C" w:rsidRDefault="00F2759D" w:rsidP="00D45A46">
      <w:pPr>
        <w:jc w:val="both"/>
        <w:rPr>
          <w:bCs/>
          <w:color w:val="002060"/>
          <w:sz w:val="16"/>
          <w:szCs w:val="16"/>
        </w:rPr>
      </w:pPr>
      <w:r w:rsidRPr="00DE096C">
        <w:rPr>
          <w:bCs/>
          <w:color w:val="002060"/>
          <w:sz w:val="16"/>
          <w:szCs w:val="16"/>
        </w:rPr>
        <w:t xml:space="preserve">На воздушный флот </w:t>
      </w:r>
    </w:p>
    <w:p w14:paraId="04032C95" w14:textId="77777777" w:rsidR="00F2759D" w:rsidRPr="00DE096C" w:rsidRDefault="00F2759D" w:rsidP="00D45A46">
      <w:pPr>
        <w:jc w:val="both"/>
        <w:rPr>
          <w:bCs/>
          <w:color w:val="002060"/>
          <w:sz w:val="16"/>
          <w:szCs w:val="16"/>
        </w:rPr>
      </w:pPr>
      <w:r w:rsidRPr="00DE096C">
        <w:rPr>
          <w:bCs/>
          <w:color w:val="002060"/>
          <w:sz w:val="16"/>
          <w:szCs w:val="16"/>
        </w:rPr>
        <w:t xml:space="preserve">Грозный час испытания настал. </w:t>
      </w:r>
    </w:p>
    <w:p w14:paraId="08D20A94" w14:textId="77777777" w:rsidR="00F2759D" w:rsidRPr="00DE096C" w:rsidRDefault="00F2759D" w:rsidP="00D45A46">
      <w:pPr>
        <w:jc w:val="both"/>
        <w:rPr>
          <w:bCs/>
          <w:color w:val="002060"/>
          <w:sz w:val="16"/>
          <w:szCs w:val="16"/>
        </w:rPr>
      </w:pPr>
      <w:r w:rsidRPr="00DE096C">
        <w:rPr>
          <w:bCs/>
          <w:color w:val="002060"/>
          <w:sz w:val="16"/>
          <w:szCs w:val="16"/>
        </w:rPr>
        <w:t xml:space="preserve">Германия, вековой враг славянства, объявила России войну и в союзе с Австрией желает посягнуть на могущество нашей дорогой Родины. </w:t>
      </w:r>
    </w:p>
    <w:p w14:paraId="7CEC76F3" w14:textId="77777777" w:rsidR="00F2759D" w:rsidRPr="00DE096C" w:rsidRDefault="00F2759D" w:rsidP="00D45A46">
      <w:pPr>
        <w:jc w:val="both"/>
        <w:rPr>
          <w:bCs/>
          <w:color w:val="002060"/>
          <w:sz w:val="16"/>
          <w:szCs w:val="16"/>
        </w:rPr>
      </w:pPr>
      <w:r w:rsidRPr="00DE096C">
        <w:rPr>
          <w:bCs/>
          <w:color w:val="002060"/>
          <w:sz w:val="16"/>
          <w:szCs w:val="16"/>
        </w:rPr>
        <w:t xml:space="preserve">По слову своего державного вождя русский народ, как один человек, встал на защиту своего Отечества. </w:t>
      </w:r>
    </w:p>
    <w:p w14:paraId="169C4868" w14:textId="77777777" w:rsidR="00F2759D" w:rsidRPr="00DE096C" w:rsidRDefault="00F2759D" w:rsidP="00D45A46">
      <w:pPr>
        <w:jc w:val="both"/>
        <w:rPr>
          <w:bCs/>
          <w:color w:val="002060"/>
          <w:sz w:val="16"/>
          <w:szCs w:val="16"/>
        </w:rPr>
      </w:pPr>
      <w:r w:rsidRPr="00DE096C">
        <w:rPr>
          <w:bCs/>
          <w:color w:val="002060"/>
          <w:sz w:val="16"/>
          <w:szCs w:val="16"/>
        </w:rPr>
        <w:t xml:space="preserve">Высочайше учрежденный Особый комитет по усилению военного флота на добровольные пожертвования, давший флоту и армии за десятилетнее свое существование 23 боевых судна и подготовивший значительное количество военных летчиков, несущих в настоящее время боевую службу, направил ныне все свои средства на постройку самолетов и на непрерывную подготовку летчиков и авиационных мотористов как из чинов армии и флота, так и из числа частных лиц, желающих служить, на правах охотников, в военно-авиационных отрядах. </w:t>
      </w:r>
    </w:p>
    <w:p w14:paraId="049288A3" w14:textId="77777777" w:rsidR="00F2759D" w:rsidRPr="00DE096C" w:rsidRDefault="00F2759D" w:rsidP="00D45A46">
      <w:pPr>
        <w:jc w:val="both"/>
        <w:rPr>
          <w:bCs/>
          <w:color w:val="002060"/>
          <w:sz w:val="16"/>
          <w:szCs w:val="16"/>
        </w:rPr>
      </w:pPr>
      <w:r w:rsidRPr="00DE096C">
        <w:rPr>
          <w:bCs/>
          <w:color w:val="002060"/>
          <w:sz w:val="16"/>
          <w:szCs w:val="16"/>
        </w:rPr>
        <w:t xml:space="preserve">Ко всем, кому дорого благо Великой России, обращаюсь с горячим призывом оказать состоящему под моим председательством Особому комитету посильную помощь пожертвованиями на воздушный флот — могучее оружие современной войны. </w:t>
      </w:r>
    </w:p>
    <w:p w14:paraId="04909A4D" w14:textId="77777777" w:rsidR="00F2759D" w:rsidRPr="00DE096C" w:rsidRDefault="00F2759D" w:rsidP="00D45A46">
      <w:pPr>
        <w:jc w:val="both"/>
        <w:rPr>
          <w:bCs/>
          <w:color w:val="002060"/>
          <w:sz w:val="16"/>
          <w:szCs w:val="16"/>
        </w:rPr>
      </w:pPr>
      <w:r w:rsidRPr="00DE096C">
        <w:rPr>
          <w:bCs/>
          <w:i/>
          <w:color w:val="002060"/>
          <w:sz w:val="16"/>
          <w:szCs w:val="16"/>
        </w:rPr>
        <w:t>Великий князь Александр Михайлович</w:t>
      </w:r>
    </w:p>
    <w:p w14:paraId="3A7C4195" w14:textId="77777777" w:rsidR="00F2759D" w:rsidRPr="00DE096C" w:rsidRDefault="00F2759D" w:rsidP="00D45A46">
      <w:pPr>
        <w:jc w:val="both"/>
        <w:rPr>
          <w:bCs/>
          <w:color w:val="002060"/>
          <w:sz w:val="16"/>
          <w:szCs w:val="16"/>
        </w:rPr>
      </w:pPr>
      <w:r w:rsidRPr="00DE096C">
        <w:rPr>
          <w:bCs/>
          <w:color w:val="002060"/>
          <w:sz w:val="16"/>
          <w:szCs w:val="16"/>
        </w:rPr>
        <w:t xml:space="preserve">1. Прошения принимаются в канцелярии Высочайше учрежденного Особого комитета — Петроград, Офицерская улица, 35. </w:t>
      </w:r>
    </w:p>
    <w:p w14:paraId="4BECC127" w14:textId="77777777" w:rsidR="00F2759D" w:rsidRPr="00DE096C" w:rsidRDefault="00F2759D" w:rsidP="00D45A46">
      <w:pPr>
        <w:jc w:val="both"/>
        <w:rPr>
          <w:bCs/>
          <w:color w:val="002060"/>
          <w:sz w:val="16"/>
          <w:szCs w:val="16"/>
        </w:rPr>
      </w:pPr>
      <w:r w:rsidRPr="00DE096C">
        <w:rPr>
          <w:bCs/>
          <w:color w:val="002060"/>
          <w:sz w:val="16"/>
          <w:szCs w:val="16"/>
        </w:rPr>
        <w:t xml:space="preserve">2. К прошению должны быть приложены документы, указанные в перечне требований, предъявляемых к желающим обучаться искусству [272] летать на аэропланах или подготовляться к обязанностям авиационных мотористов. </w:t>
      </w:r>
    </w:p>
    <w:p w14:paraId="54BACEB5" w14:textId="77777777" w:rsidR="00F2759D" w:rsidRPr="00DE096C" w:rsidRDefault="00F2759D" w:rsidP="00D45A46">
      <w:pPr>
        <w:jc w:val="both"/>
        <w:rPr>
          <w:bCs/>
          <w:color w:val="002060"/>
          <w:sz w:val="16"/>
          <w:szCs w:val="16"/>
        </w:rPr>
      </w:pPr>
      <w:r w:rsidRPr="00DE096C">
        <w:rPr>
          <w:bCs/>
          <w:color w:val="002060"/>
          <w:sz w:val="16"/>
          <w:szCs w:val="16"/>
        </w:rPr>
        <w:t>3. Пожертвования принимаются в конторе двора Его Императорского Высочества Великого князя Александра Михайловича — Петроград, Офицерская, 35, в местных комитетах, казначействах, конторах и отделениях Государственного банка, в государственных сберегательных кассах, в Волжско-Камском коммерческом банке и отделениях его, в московском купеческом банке и его отделениях и в конторе газеты «Новое время» — Петроград, Невский, 40 (11334).</w:t>
      </w:r>
    </w:p>
    <w:p w14:paraId="1D98D1EB" w14:textId="77777777" w:rsidR="00F2759D" w:rsidRPr="00DE096C" w:rsidRDefault="00F2759D" w:rsidP="00D45A46">
      <w:pPr>
        <w:shd w:val="clear" w:color="auto" w:fill="FFFFFF"/>
        <w:jc w:val="both"/>
        <w:rPr>
          <w:bCs/>
          <w:color w:val="002060"/>
          <w:sz w:val="16"/>
          <w:szCs w:val="16"/>
        </w:rPr>
      </w:pPr>
    </w:p>
    <w:p w14:paraId="41840EBD" w14:textId="77777777" w:rsidR="00CC2D6D" w:rsidRPr="00DE096C" w:rsidRDefault="00CC2D6D" w:rsidP="00D45A46">
      <w:pPr>
        <w:jc w:val="both"/>
        <w:rPr>
          <w:bCs/>
          <w:color w:val="002060"/>
          <w:sz w:val="16"/>
          <w:szCs w:val="16"/>
          <w:lang w:bidi="en-US"/>
        </w:rPr>
      </w:pPr>
      <w:r w:rsidRPr="00DE096C">
        <w:rPr>
          <w:bCs/>
          <w:color w:val="002060"/>
          <w:sz w:val="16"/>
          <w:szCs w:val="16"/>
          <w:lang w:bidi="en-US"/>
        </w:rPr>
        <w:t>К концу июля 1914 г. русский военно-воздушный флот имел 263 самолета и 213 летчиков. Россия не уступала ни по качеству, ни по количеству авиации других воюющих государств, но нехватка резервных пилотов и самолетов вскоре оказалась главной слабостью. В довоенный период к этому привели многие бюрократические факторы. К ним относились общая нехватка промышленных мощностей с достаточно квалифицированной рабочей силой, самодовольные бюрократы и военное командование, а также частые смены руководящего состава воздушного флота. Это еще больше усугублялось неспособностью усвоить уроки, извлеченные во время армейских маневров 1911 и 1912 годов, а также уроков русских летчиков, участвовавших в Балканской войне 1912 года (23525).</w:t>
      </w:r>
    </w:p>
    <w:p w14:paraId="023641FB" w14:textId="77777777" w:rsidR="00CC2D6D" w:rsidRPr="00DE096C" w:rsidRDefault="00CC2D6D" w:rsidP="00D45A46">
      <w:pPr>
        <w:jc w:val="both"/>
        <w:rPr>
          <w:bCs/>
          <w:color w:val="002060"/>
          <w:sz w:val="16"/>
          <w:szCs w:val="16"/>
        </w:rPr>
      </w:pPr>
    </w:p>
    <w:p w14:paraId="768DDB13" w14:textId="77777777" w:rsidR="00CC2D6D" w:rsidRPr="00DE096C" w:rsidRDefault="00CC2D6D" w:rsidP="00D45A46">
      <w:pPr>
        <w:jc w:val="both"/>
        <w:rPr>
          <w:bCs/>
          <w:color w:val="002060"/>
          <w:sz w:val="16"/>
          <w:szCs w:val="16"/>
        </w:rPr>
      </w:pPr>
      <w:r w:rsidRPr="00DE096C">
        <w:rPr>
          <w:bCs/>
          <w:color w:val="002060"/>
          <w:sz w:val="16"/>
          <w:szCs w:val="16"/>
        </w:rPr>
        <w:t>В конце июля 1914 г. приказом по Военному ведомст</w:t>
      </w:r>
      <w:r w:rsidRPr="00DE096C">
        <w:rPr>
          <w:bCs/>
          <w:color w:val="002060"/>
          <w:sz w:val="16"/>
          <w:szCs w:val="16"/>
        </w:rPr>
        <w:softHyphen/>
        <w:t>ву утверждались боевые отряды воздушных кораблей «Илья Муромец». По этому же приказу надлежало укомплектовать 10 боевых кораблей. Главному управ</w:t>
      </w:r>
      <w:r w:rsidRPr="00DE096C">
        <w:rPr>
          <w:bCs/>
          <w:color w:val="002060"/>
          <w:sz w:val="16"/>
          <w:szCs w:val="16"/>
        </w:rPr>
        <w:softHyphen/>
        <w:t>лению авиации предписывалось разработать времен</w:t>
      </w:r>
      <w:r w:rsidRPr="00DE096C">
        <w:rPr>
          <w:bCs/>
          <w:color w:val="002060"/>
          <w:sz w:val="16"/>
          <w:szCs w:val="16"/>
        </w:rPr>
        <w:softHyphen/>
        <w:t>ный штат и положение о «Муромцах», а начальнику Гатчинской авиационной школы полковнику Ульянину С. А. поручалось организовать комплектование отрядов летным и техническим составом из имеющегося персонала летных школ. Сразу же встал вопрос о боевом использовании нового и нигде еще не применявшегося оружия. «Заказ на 10 «Илья Муромцев» предлагается распределить по крепостям — по два на крепостной отряд.</w:t>
      </w:r>
    </w:p>
    <w:p w14:paraId="3B1A5E24" w14:textId="77777777" w:rsidR="00CC2D6D" w:rsidRPr="00DE096C" w:rsidRDefault="00CC2D6D" w:rsidP="00D45A46">
      <w:pPr>
        <w:jc w:val="both"/>
        <w:rPr>
          <w:bCs/>
          <w:color w:val="002060"/>
          <w:sz w:val="16"/>
          <w:szCs w:val="16"/>
        </w:rPr>
      </w:pPr>
      <w:r w:rsidRPr="00DE096C">
        <w:rPr>
          <w:bCs/>
          <w:color w:val="002060"/>
          <w:sz w:val="16"/>
          <w:szCs w:val="16"/>
        </w:rPr>
        <w:t>Последние испытания, перелет С.-Петербург — Киев показал возможность расширить сферу применения в военном деле. Последний тип «Илья Муромца» удов</w:t>
      </w:r>
      <w:r w:rsidRPr="00DE096C">
        <w:rPr>
          <w:bCs/>
          <w:color w:val="002060"/>
          <w:sz w:val="16"/>
          <w:szCs w:val="16"/>
        </w:rPr>
        <w:softHyphen/>
        <w:t>летворяет уже требованиям, предъявляемым к аппара</w:t>
      </w:r>
      <w:r w:rsidRPr="00DE096C">
        <w:rPr>
          <w:bCs/>
          <w:color w:val="002060"/>
          <w:sz w:val="16"/>
          <w:szCs w:val="16"/>
        </w:rPr>
        <w:softHyphen/>
        <w:t>там стратегического назначения. Таковые требования - следующие:</w:t>
      </w:r>
    </w:p>
    <w:p w14:paraId="7D9A6DC1" w14:textId="77777777" w:rsidR="00CC2D6D" w:rsidRPr="00DE096C" w:rsidRDefault="00CC2D6D" w:rsidP="00D45A46">
      <w:pPr>
        <w:jc w:val="both"/>
        <w:rPr>
          <w:bCs/>
          <w:color w:val="002060"/>
          <w:sz w:val="16"/>
          <w:szCs w:val="16"/>
        </w:rPr>
      </w:pPr>
      <w:r w:rsidRPr="00DE096C">
        <w:rPr>
          <w:bCs/>
          <w:color w:val="002060"/>
          <w:sz w:val="16"/>
          <w:szCs w:val="16"/>
        </w:rPr>
        <w:t>радиус действия не менее 300 верст, т. е. от Вильны до Кенигсберга, от Варшавы до Кенигсберга, Данцига, Познани, Кракова, Львова, Перемышля.</w:t>
      </w:r>
    </w:p>
    <w:p w14:paraId="28718DC9" w14:textId="77777777" w:rsidR="00CC2D6D" w:rsidRPr="00DE096C" w:rsidRDefault="00CC2D6D" w:rsidP="00D45A46">
      <w:pPr>
        <w:jc w:val="both"/>
        <w:rPr>
          <w:bCs/>
          <w:color w:val="002060"/>
          <w:sz w:val="16"/>
          <w:szCs w:val="16"/>
        </w:rPr>
      </w:pPr>
      <w:r w:rsidRPr="00DE096C">
        <w:rPr>
          <w:bCs/>
          <w:color w:val="002060"/>
          <w:sz w:val="16"/>
          <w:szCs w:val="16"/>
        </w:rPr>
        <w:t>грузоподъемность: перенос не менее 10 пудов (164 кг) взрывчатки</w:t>
      </w:r>
    </w:p>
    <w:p w14:paraId="2759177C" w14:textId="77777777" w:rsidR="00CC2D6D" w:rsidRPr="00DE096C" w:rsidRDefault="00CC2D6D" w:rsidP="00D45A46">
      <w:pPr>
        <w:jc w:val="both"/>
        <w:rPr>
          <w:bCs/>
          <w:color w:val="002060"/>
          <w:sz w:val="16"/>
          <w:szCs w:val="16"/>
        </w:rPr>
      </w:pPr>
      <w:r w:rsidRPr="00DE096C">
        <w:rPr>
          <w:bCs/>
          <w:color w:val="002060"/>
          <w:sz w:val="16"/>
          <w:szCs w:val="16"/>
        </w:rPr>
        <w:t>2 смены экипажа,</w:t>
      </w:r>
    </w:p>
    <w:p w14:paraId="1FE6C41E" w14:textId="77777777" w:rsidR="00CC2D6D" w:rsidRPr="00DE096C" w:rsidRDefault="00CC2D6D" w:rsidP="00D45A46">
      <w:pPr>
        <w:jc w:val="both"/>
        <w:rPr>
          <w:bCs/>
          <w:color w:val="002060"/>
          <w:sz w:val="16"/>
          <w:szCs w:val="16"/>
        </w:rPr>
      </w:pPr>
      <w:r w:rsidRPr="00DE096C">
        <w:rPr>
          <w:bCs/>
          <w:color w:val="002060"/>
          <w:sz w:val="16"/>
          <w:szCs w:val="16"/>
        </w:rPr>
        <w:t>артиллерийского вооружения для борьбы с воздушным флотом.</w:t>
      </w:r>
    </w:p>
    <w:p w14:paraId="72FE8518" w14:textId="77777777" w:rsidR="00CC2D6D" w:rsidRPr="00DE096C" w:rsidRDefault="00CC2D6D" w:rsidP="00D45A46">
      <w:pPr>
        <w:jc w:val="both"/>
        <w:rPr>
          <w:bCs/>
          <w:color w:val="002060"/>
          <w:sz w:val="16"/>
          <w:szCs w:val="16"/>
        </w:rPr>
      </w:pPr>
      <w:r w:rsidRPr="00DE096C">
        <w:rPr>
          <w:bCs/>
          <w:color w:val="002060"/>
          <w:sz w:val="16"/>
          <w:szCs w:val="16"/>
        </w:rPr>
        <w:t>Учитывая, что «Илья Муромец» может выполнять стратегические задачи, Главное управление Генераль</w:t>
      </w:r>
      <w:r w:rsidRPr="00DE096C">
        <w:rPr>
          <w:bCs/>
          <w:color w:val="002060"/>
          <w:sz w:val="16"/>
          <w:szCs w:val="16"/>
        </w:rPr>
        <w:softHyphen/>
        <w:t>ного Штаба вышло с докладом Военному Министру (из отношения начальника отдела по устройству и службе войск Главного управления Генерального Штаба генерал-лейтенанта В. В. Беляева в Главное Военно-техническое управление. ЦГВИА, ф. 202, оп. 4, д. 2223, л. 102— 103) о распределении 10 заказанных «Илья Муромец» по по</w:t>
      </w:r>
      <w:r w:rsidRPr="00DE096C">
        <w:rPr>
          <w:bCs/>
          <w:color w:val="002060"/>
          <w:sz w:val="16"/>
          <w:szCs w:val="16"/>
        </w:rPr>
        <w:softHyphen/>
        <w:t>левым авиаотрядам...» . Предполагалось, что каждый корабль будет приравнен к боевому отряду со всеми по</w:t>
      </w:r>
      <w:r w:rsidRPr="00DE096C">
        <w:rPr>
          <w:bCs/>
          <w:color w:val="002060"/>
          <w:sz w:val="16"/>
          <w:szCs w:val="16"/>
        </w:rPr>
        <w:softHyphen/>
        <w:t>ложениями и штатами (Отряд аэроплана «Илья Муро</w:t>
      </w:r>
      <w:r w:rsidRPr="00DE096C">
        <w:rPr>
          <w:bCs/>
          <w:color w:val="002060"/>
          <w:sz w:val="16"/>
          <w:szCs w:val="16"/>
        </w:rPr>
        <w:softHyphen/>
        <w:t>мец»). Все отряды, как и другие авиационные и воздухоплавательные подразделения молодого русского ВВФ, подчинялись полевому генерал-инспектору авиа</w:t>
      </w:r>
      <w:r w:rsidRPr="00DE096C">
        <w:rPr>
          <w:bCs/>
          <w:color w:val="002060"/>
          <w:sz w:val="16"/>
          <w:szCs w:val="16"/>
        </w:rPr>
        <w:softHyphen/>
        <w:t>ции и воздухоплавания Великому Князю Александру Михайловичу. Боевой отряд, состоящий из корабля «Илья Муромец» и 2 — 3 легких самолетов, возглав</w:t>
      </w:r>
      <w:r w:rsidRPr="00DE096C">
        <w:rPr>
          <w:bCs/>
          <w:color w:val="002060"/>
          <w:sz w:val="16"/>
          <w:szCs w:val="16"/>
        </w:rPr>
        <w:softHyphen/>
        <w:t>лялся военным летчиком — командиром корабля «Илья Муромец». Отряд делился на две части: летную и наземного обслуживания. В летную часть входили кроме командира отряда помощник военлета (второй пилот «Ильи Муромца»), артиллерийский офицер, ме</w:t>
      </w:r>
      <w:r w:rsidRPr="00DE096C">
        <w:rPr>
          <w:bCs/>
          <w:color w:val="002060"/>
          <w:sz w:val="16"/>
          <w:szCs w:val="16"/>
        </w:rPr>
        <w:softHyphen/>
        <w:t>ханик корабля, три летчика легких самолетов, четыре старших моториста, ответственных за двигатели «Му</w:t>
      </w:r>
      <w:r w:rsidRPr="00DE096C">
        <w:rPr>
          <w:bCs/>
          <w:color w:val="002060"/>
          <w:sz w:val="16"/>
          <w:szCs w:val="16"/>
        </w:rPr>
        <w:softHyphen/>
        <w:t>ромца» (каждый за свой), один старший моторист для обслуживания приданных легких самолетов, семь младших мотористов, два стрелка-пулеметчика и лабо</w:t>
      </w:r>
      <w:r w:rsidRPr="00DE096C">
        <w:rPr>
          <w:bCs/>
          <w:color w:val="002060"/>
          <w:sz w:val="16"/>
          <w:szCs w:val="16"/>
        </w:rPr>
        <w:softHyphen/>
        <w:t>рант-фотограф. В штате наземного обслуживания, ко</w:t>
      </w:r>
      <w:r w:rsidRPr="00DE096C">
        <w:rPr>
          <w:bCs/>
          <w:color w:val="002060"/>
          <w:sz w:val="16"/>
          <w:szCs w:val="16"/>
        </w:rPr>
        <w:softHyphen/>
        <w:t>торый возглавлялся военным чиновником или офице</w:t>
      </w:r>
      <w:r w:rsidRPr="00DE096C">
        <w:rPr>
          <w:bCs/>
          <w:color w:val="002060"/>
          <w:sz w:val="16"/>
          <w:szCs w:val="16"/>
        </w:rPr>
        <w:softHyphen/>
        <w:t xml:space="preserve">ром, состояла рота наземного обслуживания. Отряд обеспечивался одной палаткой-ангаром для «Муромца» и тремя палатками для легких самолетов. Имелась походная мастерская со слесарями-мотористами, гараж с легковой автомашиной </w:t>
      </w:r>
      <w:r w:rsidRPr="00DE096C">
        <w:rPr>
          <w:bCs/>
          <w:color w:val="002060"/>
          <w:sz w:val="16"/>
          <w:szCs w:val="16"/>
        </w:rPr>
        <w:lastRenderedPageBreak/>
        <w:t>и двумя грузовыми. Вначале в штате даже были четыре легковых «авто», но впоследствии эту роскошь командование к большому неудовольствию летного состава урезало и оставило только одну машину для командира отряда.</w:t>
      </w:r>
    </w:p>
    <w:p w14:paraId="2944CD86" w14:textId="77777777" w:rsidR="00CC2D6D" w:rsidRPr="00DE096C" w:rsidRDefault="00CC2D6D" w:rsidP="00D45A46">
      <w:pPr>
        <w:jc w:val="both"/>
        <w:rPr>
          <w:bCs/>
          <w:color w:val="002060"/>
          <w:sz w:val="16"/>
          <w:szCs w:val="16"/>
        </w:rPr>
      </w:pPr>
      <w:r w:rsidRPr="00DE096C">
        <w:rPr>
          <w:bCs/>
          <w:color w:val="002060"/>
          <w:sz w:val="16"/>
          <w:szCs w:val="16"/>
        </w:rPr>
        <w:t>На должности командиров кораблей назначались во</w:t>
      </w:r>
      <w:r w:rsidRPr="00DE096C">
        <w:rPr>
          <w:bCs/>
          <w:color w:val="002060"/>
          <w:sz w:val="16"/>
          <w:szCs w:val="16"/>
        </w:rPr>
        <w:softHyphen/>
        <w:t>енные летчики из числа инструкторов авиашкол. По</w:t>
      </w:r>
      <w:r w:rsidRPr="00DE096C">
        <w:rPr>
          <w:bCs/>
          <w:color w:val="002060"/>
          <w:sz w:val="16"/>
          <w:szCs w:val="16"/>
        </w:rPr>
        <w:softHyphen/>
        <w:t>мощниками командиров (вторыми пилотами) «Муром</w:t>
      </w:r>
      <w:r w:rsidRPr="00DE096C">
        <w:rPr>
          <w:bCs/>
          <w:color w:val="002060"/>
          <w:sz w:val="16"/>
          <w:szCs w:val="16"/>
        </w:rPr>
        <w:softHyphen/>
        <w:t>цев» рекомендовались офицеры, окончившие авиашколы и имеющие звание «военный летчик». При этом отдавалось предпочтение офицерам, не допустив</w:t>
      </w:r>
      <w:r w:rsidRPr="00DE096C">
        <w:rPr>
          <w:bCs/>
          <w:color w:val="002060"/>
          <w:sz w:val="16"/>
          <w:szCs w:val="16"/>
        </w:rPr>
        <w:softHyphen/>
        <w:t>шим ни одной аварии. На должности артиллерийских офицеров (бомбардиров) приглашались преимущест</w:t>
      </w:r>
      <w:r w:rsidRPr="00DE096C">
        <w:rPr>
          <w:bCs/>
          <w:color w:val="002060"/>
          <w:sz w:val="16"/>
          <w:szCs w:val="16"/>
        </w:rPr>
        <w:softHyphen/>
        <w:t>венно имеющие артиллерийское образование. Бортме</w:t>
      </w:r>
      <w:r w:rsidRPr="00DE096C">
        <w:rPr>
          <w:bCs/>
          <w:color w:val="002060"/>
          <w:sz w:val="16"/>
          <w:szCs w:val="16"/>
        </w:rPr>
        <w:softHyphen/>
        <w:t>ханиками могли стать офицеры, хорошо разбиравшиеся в технике. Старшими мотористами назначались опытные мотористы авиашкол.</w:t>
      </w:r>
    </w:p>
    <w:p w14:paraId="4F8D656C" w14:textId="77777777" w:rsidR="00CC2D6D" w:rsidRPr="00DE096C" w:rsidRDefault="00CC2D6D" w:rsidP="00D45A46">
      <w:pPr>
        <w:jc w:val="both"/>
        <w:rPr>
          <w:bCs/>
          <w:color w:val="002060"/>
          <w:sz w:val="16"/>
          <w:szCs w:val="16"/>
        </w:rPr>
      </w:pPr>
      <w:r w:rsidRPr="00DE096C">
        <w:rPr>
          <w:bCs/>
          <w:color w:val="002060"/>
          <w:sz w:val="16"/>
          <w:szCs w:val="16"/>
        </w:rPr>
        <w:t>комплектование отрядов было поручено начальнику Гатчинской авиашколы, имевше</w:t>
      </w:r>
      <w:r w:rsidRPr="00DE096C">
        <w:rPr>
          <w:bCs/>
          <w:color w:val="002060"/>
          <w:sz w:val="16"/>
          <w:szCs w:val="16"/>
        </w:rPr>
        <w:softHyphen/>
        <w:t>му высокий авторитет в авиационном мире, полковнику С. А. Ульянину, который непосредственную работу по подбору и подготовке кадров возложил на своего за</w:t>
      </w:r>
      <w:r w:rsidRPr="00DE096C">
        <w:rPr>
          <w:bCs/>
          <w:color w:val="002060"/>
          <w:sz w:val="16"/>
          <w:szCs w:val="16"/>
        </w:rPr>
        <w:softHyphen/>
        <w:t>местителя штабс-капитана Г. Г. Горшкова Предвари</w:t>
      </w:r>
      <w:r w:rsidRPr="00DE096C">
        <w:rPr>
          <w:bCs/>
          <w:color w:val="002060"/>
          <w:sz w:val="16"/>
          <w:szCs w:val="16"/>
        </w:rPr>
        <w:softHyphen/>
        <w:t>тельно был составлен черновой список кандидатов на должности командиров кораблей. Горшков обстоятель</w:t>
      </w:r>
      <w:r w:rsidRPr="00DE096C">
        <w:rPr>
          <w:bCs/>
          <w:color w:val="002060"/>
          <w:sz w:val="16"/>
          <w:szCs w:val="16"/>
        </w:rPr>
        <w:softHyphen/>
        <w:t>но беседовал с каждым кандидатом и, получив согласие, рекомендовал подобрать себе помощника. В результате приказом по Главному управлению авиации были утверждены экипажи семи воздушных кораблей:</w:t>
      </w:r>
    </w:p>
    <w:tbl>
      <w:tblPr>
        <w:tblOverlap w:val="never"/>
        <w:tblW w:w="0" w:type="auto"/>
        <w:tblLayout w:type="fixed"/>
        <w:tblCellMar>
          <w:left w:w="10" w:type="dxa"/>
          <w:right w:w="10" w:type="dxa"/>
        </w:tblCellMar>
        <w:tblLook w:val="0000" w:firstRow="0" w:lastRow="0" w:firstColumn="0" w:lastColumn="0" w:noHBand="0" w:noVBand="0"/>
      </w:tblPr>
      <w:tblGrid>
        <w:gridCol w:w="898"/>
        <w:gridCol w:w="960"/>
        <w:gridCol w:w="1018"/>
        <w:gridCol w:w="1176"/>
        <w:gridCol w:w="878"/>
        <w:gridCol w:w="960"/>
      </w:tblGrid>
      <w:tr w:rsidR="00CC2D6D" w:rsidRPr="00DE096C" w14:paraId="026EEEE1" w14:textId="77777777" w:rsidTr="00711059">
        <w:trPr>
          <w:trHeight w:val="456"/>
        </w:trPr>
        <w:tc>
          <w:tcPr>
            <w:tcW w:w="898" w:type="dxa"/>
            <w:tcBorders>
              <w:top w:val="single" w:sz="4" w:space="0" w:color="auto"/>
              <w:left w:val="single" w:sz="4" w:space="0" w:color="auto"/>
            </w:tcBorders>
            <w:vAlign w:val="bottom"/>
          </w:tcPr>
          <w:p w14:paraId="7E78AE9B" w14:textId="77777777" w:rsidR="00CC2D6D" w:rsidRPr="00DE096C" w:rsidRDefault="00CC2D6D" w:rsidP="00D45A46">
            <w:pPr>
              <w:jc w:val="both"/>
              <w:rPr>
                <w:bCs/>
                <w:color w:val="002060"/>
                <w:sz w:val="16"/>
                <w:szCs w:val="16"/>
              </w:rPr>
            </w:pPr>
            <w:r w:rsidRPr="00DE096C">
              <w:rPr>
                <w:bCs/>
                <w:color w:val="002060"/>
                <w:sz w:val="16"/>
                <w:szCs w:val="16"/>
              </w:rPr>
              <w:t>№ Корабля (условно, на самом деле корабли имели римскую нумерацию)</w:t>
            </w:r>
          </w:p>
        </w:tc>
        <w:tc>
          <w:tcPr>
            <w:tcW w:w="960" w:type="dxa"/>
            <w:tcBorders>
              <w:top w:val="single" w:sz="4" w:space="0" w:color="auto"/>
              <w:left w:val="single" w:sz="4" w:space="0" w:color="auto"/>
            </w:tcBorders>
            <w:vAlign w:val="center"/>
          </w:tcPr>
          <w:p w14:paraId="76CF705C" w14:textId="77777777" w:rsidR="00CC2D6D" w:rsidRPr="00DE096C" w:rsidRDefault="00CC2D6D" w:rsidP="00D45A46">
            <w:pPr>
              <w:jc w:val="both"/>
              <w:rPr>
                <w:bCs/>
                <w:color w:val="002060"/>
                <w:sz w:val="16"/>
                <w:szCs w:val="16"/>
              </w:rPr>
            </w:pPr>
            <w:r w:rsidRPr="00DE096C">
              <w:rPr>
                <w:bCs/>
                <w:color w:val="002060"/>
                <w:sz w:val="16"/>
                <w:szCs w:val="16"/>
              </w:rPr>
              <w:t>Командир</w:t>
            </w:r>
          </w:p>
        </w:tc>
        <w:tc>
          <w:tcPr>
            <w:tcW w:w="1018" w:type="dxa"/>
            <w:tcBorders>
              <w:top w:val="single" w:sz="4" w:space="0" w:color="auto"/>
              <w:left w:val="single" w:sz="4" w:space="0" w:color="auto"/>
            </w:tcBorders>
            <w:vAlign w:val="bottom"/>
          </w:tcPr>
          <w:p w14:paraId="0F166399" w14:textId="77777777" w:rsidR="00CC2D6D" w:rsidRPr="00DE096C" w:rsidRDefault="00CC2D6D" w:rsidP="00D45A46">
            <w:pPr>
              <w:jc w:val="both"/>
              <w:rPr>
                <w:bCs/>
                <w:color w:val="002060"/>
                <w:sz w:val="16"/>
                <w:szCs w:val="16"/>
              </w:rPr>
            </w:pPr>
            <w:r w:rsidRPr="00DE096C">
              <w:rPr>
                <w:bCs/>
                <w:color w:val="002060"/>
                <w:sz w:val="16"/>
                <w:szCs w:val="16"/>
              </w:rPr>
              <w:t>Помовник</w:t>
            </w:r>
          </w:p>
          <w:p w14:paraId="68F7A6E4" w14:textId="77777777" w:rsidR="00CC2D6D" w:rsidRPr="00DE096C" w:rsidRDefault="00CC2D6D" w:rsidP="00D45A46">
            <w:pPr>
              <w:jc w:val="both"/>
              <w:rPr>
                <w:bCs/>
                <w:color w:val="002060"/>
                <w:sz w:val="16"/>
                <w:szCs w:val="16"/>
              </w:rPr>
            </w:pPr>
            <w:r w:rsidRPr="00DE096C">
              <w:rPr>
                <w:bCs/>
                <w:color w:val="002060"/>
                <w:sz w:val="16"/>
                <w:szCs w:val="16"/>
              </w:rPr>
              <w:t>командира</w:t>
            </w:r>
          </w:p>
        </w:tc>
        <w:tc>
          <w:tcPr>
            <w:tcW w:w="1176" w:type="dxa"/>
            <w:tcBorders>
              <w:top w:val="single" w:sz="4" w:space="0" w:color="auto"/>
              <w:left w:val="single" w:sz="4" w:space="0" w:color="auto"/>
            </w:tcBorders>
            <w:vAlign w:val="bottom"/>
          </w:tcPr>
          <w:p w14:paraId="7FCA6F83" w14:textId="77777777" w:rsidR="00CC2D6D" w:rsidRPr="00DE096C" w:rsidRDefault="00CC2D6D" w:rsidP="00D45A46">
            <w:pPr>
              <w:jc w:val="both"/>
              <w:rPr>
                <w:bCs/>
                <w:color w:val="002060"/>
                <w:sz w:val="16"/>
                <w:szCs w:val="16"/>
              </w:rPr>
            </w:pPr>
            <w:r w:rsidRPr="00DE096C">
              <w:rPr>
                <w:bCs/>
                <w:color w:val="002060"/>
                <w:sz w:val="16"/>
                <w:szCs w:val="16"/>
              </w:rPr>
              <w:t>Артиллерий</w:t>
            </w:r>
            <w:r w:rsidRPr="00DE096C">
              <w:rPr>
                <w:bCs/>
                <w:color w:val="002060"/>
                <w:sz w:val="16"/>
                <w:szCs w:val="16"/>
              </w:rPr>
              <w:softHyphen/>
              <w:t>ский офицер</w:t>
            </w:r>
          </w:p>
        </w:tc>
        <w:tc>
          <w:tcPr>
            <w:tcW w:w="878" w:type="dxa"/>
            <w:tcBorders>
              <w:top w:val="single" w:sz="4" w:space="0" w:color="auto"/>
              <w:left w:val="single" w:sz="4" w:space="0" w:color="auto"/>
            </w:tcBorders>
            <w:vAlign w:val="center"/>
          </w:tcPr>
          <w:p w14:paraId="1424EA01" w14:textId="77777777" w:rsidR="00CC2D6D" w:rsidRPr="00DE096C" w:rsidRDefault="00CC2D6D" w:rsidP="00D45A46">
            <w:pPr>
              <w:jc w:val="both"/>
              <w:rPr>
                <w:bCs/>
                <w:color w:val="002060"/>
                <w:sz w:val="16"/>
                <w:szCs w:val="16"/>
              </w:rPr>
            </w:pPr>
            <w:r w:rsidRPr="00DE096C">
              <w:rPr>
                <w:bCs/>
                <w:color w:val="002060"/>
                <w:sz w:val="16"/>
                <w:szCs w:val="16"/>
              </w:rPr>
              <w:t>Механик</w:t>
            </w:r>
          </w:p>
        </w:tc>
        <w:tc>
          <w:tcPr>
            <w:tcW w:w="960" w:type="dxa"/>
            <w:tcBorders>
              <w:top w:val="single" w:sz="4" w:space="0" w:color="auto"/>
              <w:left w:val="single" w:sz="4" w:space="0" w:color="auto"/>
              <w:right w:val="single" w:sz="4" w:space="0" w:color="auto"/>
            </w:tcBorders>
            <w:vAlign w:val="center"/>
          </w:tcPr>
          <w:p w14:paraId="6731F41D" w14:textId="77777777" w:rsidR="00CC2D6D" w:rsidRPr="00DE096C" w:rsidRDefault="00CC2D6D" w:rsidP="00D45A46">
            <w:pPr>
              <w:jc w:val="both"/>
              <w:rPr>
                <w:bCs/>
                <w:color w:val="002060"/>
                <w:sz w:val="16"/>
                <w:szCs w:val="16"/>
              </w:rPr>
            </w:pPr>
            <w:r w:rsidRPr="00DE096C">
              <w:rPr>
                <w:bCs/>
                <w:color w:val="002060"/>
                <w:sz w:val="16"/>
                <w:szCs w:val="16"/>
              </w:rPr>
              <w:t>Моторист</w:t>
            </w:r>
          </w:p>
        </w:tc>
      </w:tr>
      <w:tr w:rsidR="00CC2D6D" w:rsidRPr="00DE096C" w14:paraId="2BB862CA" w14:textId="77777777" w:rsidTr="00711059">
        <w:trPr>
          <w:trHeight w:val="456"/>
        </w:trPr>
        <w:tc>
          <w:tcPr>
            <w:tcW w:w="898" w:type="dxa"/>
            <w:tcBorders>
              <w:top w:val="single" w:sz="4" w:space="0" w:color="auto"/>
              <w:left w:val="single" w:sz="4" w:space="0" w:color="auto"/>
            </w:tcBorders>
            <w:vAlign w:val="bottom"/>
          </w:tcPr>
          <w:p w14:paraId="74CEE841" w14:textId="77777777" w:rsidR="00CC2D6D" w:rsidRPr="00DE096C" w:rsidRDefault="00CC2D6D" w:rsidP="00D45A46">
            <w:pPr>
              <w:jc w:val="both"/>
              <w:rPr>
                <w:bCs/>
                <w:color w:val="002060"/>
                <w:sz w:val="16"/>
                <w:szCs w:val="16"/>
              </w:rPr>
            </w:pPr>
            <w:r w:rsidRPr="00DE096C">
              <w:rPr>
                <w:bCs/>
                <w:color w:val="002060"/>
                <w:sz w:val="16"/>
                <w:szCs w:val="16"/>
              </w:rPr>
              <w:t>№ 1</w:t>
            </w:r>
          </w:p>
        </w:tc>
        <w:tc>
          <w:tcPr>
            <w:tcW w:w="960" w:type="dxa"/>
            <w:tcBorders>
              <w:top w:val="single" w:sz="4" w:space="0" w:color="auto"/>
              <w:left w:val="single" w:sz="4" w:space="0" w:color="auto"/>
            </w:tcBorders>
            <w:vAlign w:val="center"/>
          </w:tcPr>
          <w:p w14:paraId="40B10080" w14:textId="77777777" w:rsidR="00CC2D6D" w:rsidRPr="00DE096C" w:rsidRDefault="00CC2D6D" w:rsidP="00D45A46">
            <w:pPr>
              <w:jc w:val="both"/>
              <w:rPr>
                <w:bCs/>
                <w:color w:val="002060"/>
                <w:sz w:val="16"/>
                <w:szCs w:val="16"/>
              </w:rPr>
            </w:pPr>
            <w:r w:rsidRPr="00DE096C">
              <w:rPr>
                <w:bCs/>
                <w:color w:val="002060"/>
                <w:sz w:val="16"/>
                <w:szCs w:val="16"/>
              </w:rPr>
              <w:t>шт.-кап. Руднев Е. В.</w:t>
            </w:r>
          </w:p>
        </w:tc>
        <w:tc>
          <w:tcPr>
            <w:tcW w:w="1018" w:type="dxa"/>
            <w:tcBorders>
              <w:top w:val="single" w:sz="4" w:space="0" w:color="auto"/>
              <w:left w:val="single" w:sz="4" w:space="0" w:color="auto"/>
            </w:tcBorders>
            <w:vAlign w:val="bottom"/>
          </w:tcPr>
          <w:p w14:paraId="616CF4DB" w14:textId="77777777" w:rsidR="00CC2D6D" w:rsidRPr="00DE096C" w:rsidRDefault="00CC2D6D" w:rsidP="00D45A46">
            <w:pPr>
              <w:jc w:val="both"/>
              <w:rPr>
                <w:bCs/>
                <w:color w:val="002060"/>
                <w:sz w:val="16"/>
                <w:szCs w:val="16"/>
              </w:rPr>
            </w:pPr>
            <w:r w:rsidRPr="00DE096C">
              <w:rPr>
                <w:bCs/>
                <w:color w:val="002060"/>
                <w:sz w:val="16"/>
                <w:szCs w:val="16"/>
              </w:rPr>
              <w:t>шт.-кап. Ильинский</w:t>
            </w:r>
          </w:p>
        </w:tc>
        <w:tc>
          <w:tcPr>
            <w:tcW w:w="1176" w:type="dxa"/>
            <w:tcBorders>
              <w:top w:val="single" w:sz="4" w:space="0" w:color="auto"/>
              <w:left w:val="single" w:sz="4" w:space="0" w:color="auto"/>
            </w:tcBorders>
            <w:vAlign w:val="bottom"/>
          </w:tcPr>
          <w:p w14:paraId="2BFA64E7" w14:textId="77777777" w:rsidR="00CC2D6D" w:rsidRPr="00DE096C" w:rsidRDefault="00CC2D6D" w:rsidP="00D45A46">
            <w:pPr>
              <w:jc w:val="both"/>
              <w:rPr>
                <w:bCs/>
                <w:color w:val="002060"/>
                <w:sz w:val="16"/>
                <w:szCs w:val="16"/>
              </w:rPr>
            </w:pPr>
          </w:p>
        </w:tc>
        <w:tc>
          <w:tcPr>
            <w:tcW w:w="878" w:type="dxa"/>
            <w:tcBorders>
              <w:top w:val="single" w:sz="4" w:space="0" w:color="auto"/>
              <w:left w:val="single" w:sz="4" w:space="0" w:color="auto"/>
            </w:tcBorders>
            <w:vAlign w:val="center"/>
          </w:tcPr>
          <w:p w14:paraId="3FFDC89C" w14:textId="77777777" w:rsidR="00CC2D6D" w:rsidRPr="00DE096C" w:rsidRDefault="00CC2D6D" w:rsidP="00D45A46">
            <w:pPr>
              <w:jc w:val="both"/>
              <w:rPr>
                <w:bCs/>
                <w:color w:val="002060"/>
                <w:sz w:val="16"/>
                <w:szCs w:val="16"/>
              </w:rPr>
            </w:pPr>
            <w:r w:rsidRPr="00DE096C">
              <w:rPr>
                <w:bCs/>
                <w:color w:val="002060"/>
                <w:sz w:val="16"/>
                <w:szCs w:val="16"/>
              </w:rPr>
              <w:t>вольнооп. Шидловский М.Ф.</w:t>
            </w:r>
          </w:p>
        </w:tc>
        <w:tc>
          <w:tcPr>
            <w:tcW w:w="960" w:type="dxa"/>
            <w:tcBorders>
              <w:top w:val="single" w:sz="4" w:space="0" w:color="auto"/>
              <w:left w:val="single" w:sz="4" w:space="0" w:color="auto"/>
              <w:right w:val="single" w:sz="4" w:space="0" w:color="auto"/>
            </w:tcBorders>
            <w:vAlign w:val="center"/>
          </w:tcPr>
          <w:p w14:paraId="0605E895" w14:textId="77777777" w:rsidR="00CC2D6D" w:rsidRPr="00DE096C" w:rsidRDefault="00CC2D6D" w:rsidP="00D45A46">
            <w:pPr>
              <w:jc w:val="both"/>
              <w:rPr>
                <w:bCs/>
                <w:color w:val="002060"/>
                <w:sz w:val="16"/>
                <w:szCs w:val="16"/>
              </w:rPr>
            </w:pPr>
          </w:p>
        </w:tc>
      </w:tr>
      <w:tr w:rsidR="00CC2D6D" w:rsidRPr="00DE096C" w14:paraId="00CC7670" w14:textId="77777777" w:rsidTr="00711059">
        <w:trPr>
          <w:trHeight w:val="552"/>
        </w:trPr>
        <w:tc>
          <w:tcPr>
            <w:tcW w:w="898" w:type="dxa"/>
            <w:tcBorders>
              <w:top w:val="single" w:sz="4" w:space="0" w:color="auto"/>
              <w:left w:val="single" w:sz="4" w:space="0" w:color="auto"/>
            </w:tcBorders>
            <w:vAlign w:val="center"/>
          </w:tcPr>
          <w:p w14:paraId="5BB29DDF" w14:textId="77777777" w:rsidR="00CC2D6D" w:rsidRPr="00DE096C" w:rsidRDefault="00CC2D6D" w:rsidP="00D45A46">
            <w:pPr>
              <w:jc w:val="both"/>
              <w:rPr>
                <w:bCs/>
                <w:color w:val="002060"/>
                <w:sz w:val="16"/>
                <w:szCs w:val="16"/>
              </w:rPr>
            </w:pPr>
            <w:r w:rsidRPr="00DE096C">
              <w:rPr>
                <w:bCs/>
                <w:color w:val="002060"/>
                <w:sz w:val="16"/>
                <w:szCs w:val="16"/>
              </w:rPr>
              <w:t>№2</w:t>
            </w:r>
          </w:p>
        </w:tc>
        <w:tc>
          <w:tcPr>
            <w:tcW w:w="960" w:type="dxa"/>
            <w:tcBorders>
              <w:top w:val="single" w:sz="4" w:space="0" w:color="auto"/>
              <w:left w:val="single" w:sz="4" w:space="0" w:color="auto"/>
            </w:tcBorders>
            <w:vAlign w:val="bottom"/>
          </w:tcPr>
          <w:p w14:paraId="6E5F6095" w14:textId="77777777" w:rsidR="00CC2D6D" w:rsidRPr="00DE096C" w:rsidRDefault="00CC2D6D" w:rsidP="00D45A46">
            <w:pPr>
              <w:jc w:val="both"/>
              <w:rPr>
                <w:bCs/>
                <w:color w:val="002060"/>
                <w:sz w:val="16"/>
                <w:szCs w:val="16"/>
              </w:rPr>
            </w:pPr>
            <w:r w:rsidRPr="00DE096C">
              <w:rPr>
                <w:bCs/>
                <w:color w:val="002060"/>
                <w:sz w:val="16"/>
                <w:szCs w:val="16"/>
              </w:rPr>
              <w:t>поручик Панкрать</w:t>
            </w:r>
            <w:r w:rsidRPr="00DE096C">
              <w:rPr>
                <w:bCs/>
                <w:color w:val="002060"/>
                <w:sz w:val="16"/>
                <w:szCs w:val="16"/>
              </w:rPr>
              <w:softHyphen/>
              <w:t>ев А. В.</w:t>
            </w:r>
          </w:p>
        </w:tc>
        <w:tc>
          <w:tcPr>
            <w:tcW w:w="1018" w:type="dxa"/>
            <w:tcBorders>
              <w:top w:val="single" w:sz="4" w:space="0" w:color="auto"/>
              <w:left w:val="single" w:sz="4" w:space="0" w:color="auto"/>
            </w:tcBorders>
            <w:vAlign w:val="bottom"/>
          </w:tcPr>
          <w:p w14:paraId="5C091589" w14:textId="77777777" w:rsidR="00CC2D6D" w:rsidRPr="00DE096C" w:rsidRDefault="00CC2D6D" w:rsidP="00D45A46">
            <w:pPr>
              <w:jc w:val="both"/>
              <w:rPr>
                <w:bCs/>
                <w:color w:val="002060"/>
                <w:sz w:val="16"/>
                <w:szCs w:val="16"/>
              </w:rPr>
            </w:pPr>
            <w:r w:rsidRPr="00DE096C">
              <w:rPr>
                <w:bCs/>
                <w:color w:val="002060"/>
                <w:sz w:val="16"/>
                <w:szCs w:val="16"/>
              </w:rPr>
              <w:t>гв.шт.-кап. н~ Никольский С. Н.</w:t>
            </w:r>
          </w:p>
        </w:tc>
        <w:tc>
          <w:tcPr>
            <w:tcW w:w="1176" w:type="dxa"/>
            <w:tcBorders>
              <w:top w:val="single" w:sz="4" w:space="0" w:color="auto"/>
              <w:left w:val="single" w:sz="4" w:space="0" w:color="auto"/>
            </w:tcBorders>
            <w:vAlign w:val="center"/>
          </w:tcPr>
          <w:p w14:paraId="638C07B4" w14:textId="77777777" w:rsidR="00CC2D6D" w:rsidRPr="00DE096C" w:rsidRDefault="00CC2D6D" w:rsidP="00D45A46">
            <w:pPr>
              <w:jc w:val="both"/>
              <w:rPr>
                <w:bCs/>
                <w:color w:val="002060"/>
                <w:sz w:val="16"/>
                <w:szCs w:val="16"/>
              </w:rPr>
            </w:pPr>
            <w:r w:rsidRPr="00DE096C">
              <w:rPr>
                <w:bCs/>
                <w:color w:val="002060"/>
                <w:sz w:val="16"/>
                <w:szCs w:val="16"/>
              </w:rPr>
              <w:t>Звонников</w:t>
            </w:r>
          </w:p>
        </w:tc>
        <w:tc>
          <w:tcPr>
            <w:tcW w:w="878" w:type="dxa"/>
            <w:tcBorders>
              <w:top w:val="single" w:sz="4" w:space="0" w:color="auto"/>
              <w:left w:val="single" w:sz="4" w:space="0" w:color="auto"/>
            </w:tcBorders>
            <w:vAlign w:val="center"/>
          </w:tcPr>
          <w:p w14:paraId="0E10638E" w14:textId="77777777" w:rsidR="00CC2D6D" w:rsidRPr="00DE096C" w:rsidRDefault="00CC2D6D" w:rsidP="00D45A46">
            <w:pPr>
              <w:jc w:val="both"/>
              <w:rPr>
                <w:bCs/>
                <w:color w:val="002060"/>
                <w:sz w:val="16"/>
                <w:szCs w:val="16"/>
              </w:rPr>
            </w:pPr>
            <w:r w:rsidRPr="00DE096C">
              <w:rPr>
                <w:bCs/>
                <w:color w:val="002060"/>
                <w:sz w:val="16"/>
                <w:szCs w:val="16"/>
              </w:rPr>
              <w:t>Кулешов</w:t>
            </w:r>
          </w:p>
        </w:tc>
        <w:tc>
          <w:tcPr>
            <w:tcW w:w="960" w:type="dxa"/>
            <w:tcBorders>
              <w:top w:val="single" w:sz="4" w:space="0" w:color="auto"/>
              <w:left w:val="single" w:sz="4" w:space="0" w:color="auto"/>
              <w:right w:val="single" w:sz="4" w:space="0" w:color="auto"/>
            </w:tcBorders>
            <w:vAlign w:val="center"/>
          </w:tcPr>
          <w:p w14:paraId="25C7E5ED" w14:textId="77777777" w:rsidR="00CC2D6D" w:rsidRPr="00DE096C" w:rsidRDefault="00CC2D6D" w:rsidP="00D45A46">
            <w:pPr>
              <w:jc w:val="both"/>
              <w:rPr>
                <w:bCs/>
                <w:color w:val="002060"/>
                <w:sz w:val="16"/>
                <w:szCs w:val="16"/>
              </w:rPr>
            </w:pPr>
            <w:r w:rsidRPr="00DE096C">
              <w:rPr>
                <w:bCs/>
                <w:color w:val="002060"/>
                <w:sz w:val="16"/>
                <w:szCs w:val="16"/>
              </w:rPr>
              <w:t>С. моторист Ушаков</w:t>
            </w:r>
          </w:p>
        </w:tc>
      </w:tr>
      <w:tr w:rsidR="00CC2D6D" w:rsidRPr="00DE096C" w14:paraId="2928B339" w14:textId="77777777" w:rsidTr="00711059">
        <w:trPr>
          <w:trHeight w:val="552"/>
        </w:trPr>
        <w:tc>
          <w:tcPr>
            <w:tcW w:w="898" w:type="dxa"/>
            <w:tcBorders>
              <w:top w:val="single" w:sz="4" w:space="0" w:color="auto"/>
              <w:left w:val="single" w:sz="4" w:space="0" w:color="auto"/>
            </w:tcBorders>
            <w:vAlign w:val="center"/>
          </w:tcPr>
          <w:p w14:paraId="3EE86926" w14:textId="77777777" w:rsidR="00CC2D6D" w:rsidRPr="00DE096C" w:rsidRDefault="00CC2D6D" w:rsidP="00D45A46">
            <w:pPr>
              <w:jc w:val="both"/>
              <w:rPr>
                <w:bCs/>
                <w:color w:val="002060"/>
                <w:sz w:val="16"/>
                <w:szCs w:val="16"/>
              </w:rPr>
            </w:pPr>
            <w:r w:rsidRPr="00DE096C">
              <w:rPr>
                <w:bCs/>
                <w:color w:val="002060"/>
                <w:sz w:val="16"/>
                <w:szCs w:val="16"/>
              </w:rPr>
              <w:t>№3</w:t>
            </w:r>
          </w:p>
        </w:tc>
        <w:tc>
          <w:tcPr>
            <w:tcW w:w="960" w:type="dxa"/>
            <w:tcBorders>
              <w:top w:val="single" w:sz="4" w:space="0" w:color="auto"/>
              <w:left w:val="single" w:sz="4" w:space="0" w:color="auto"/>
            </w:tcBorders>
            <w:vAlign w:val="bottom"/>
          </w:tcPr>
          <w:p w14:paraId="7516B510" w14:textId="77777777" w:rsidR="00CC2D6D" w:rsidRPr="00DE096C" w:rsidRDefault="00CC2D6D" w:rsidP="00D45A46">
            <w:pPr>
              <w:jc w:val="both"/>
              <w:rPr>
                <w:bCs/>
                <w:color w:val="002060"/>
                <w:sz w:val="16"/>
                <w:szCs w:val="16"/>
              </w:rPr>
            </w:pPr>
            <w:r w:rsidRPr="00DE096C">
              <w:rPr>
                <w:bCs/>
                <w:color w:val="002060"/>
                <w:sz w:val="16"/>
                <w:szCs w:val="16"/>
              </w:rPr>
              <w:t>шт. -кап. Бродович</w:t>
            </w:r>
          </w:p>
          <w:p w14:paraId="032D1F73" w14:textId="77777777" w:rsidR="00CC2D6D" w:rsidRPr="00DE096C" w:rsidRDefault="00CC2D6D" w:rsidP="00D45A46">
            <w:pPr>
              <w:jc w:val="both"/>
              <w:rPr>
                <w:bCs/>
                <w:color w:val="002060"/>
                <w:sz w:val="16"/>
                <w:szCs w:val="16"/>
              </w:rPr>
            </w:pPr>
            <w:r w:rsidRPr="00DE096C">
              <w:rPr>
                <w:bCs/>
                <w:color w:val="002060"/>
                <w:sz w:val="16"/>
                <w:szCs w:val="16"/>
              </w:rPr>
              <w:t>В. М.</w:t>
            </w:r>
          </w:p>
        </w:tc>
        <w:tc>
          <w:tcPr>
            <w:tcW w:w="1018" w:type="dxa"/>
            <w:tcBorders>
              <w:top w:val="single" w:sz="4" w:space="0" w:color="auto"/>
              <w:left w:val="single" w:sz="4" w:space="0" w:color="auto"/>
            </w:tcBorders>
            <w:vAlign w:val="bottom"/>
          </w:tcPr>
          <w:p w14:paraId="751C4355" w14:textId="77777777" w:rsidR="00CC2D6D" w:rsidRPr="00DE096C" w:rsidRDefault="00CC2D6D" w:rsidP="00D45A46">
            <w:pPr>
              <w:jc w:val="both"/>
              <w:rPr>
                <w:bCs/>
                <w:color w:val="002060"/>
                <w:sz w:val="16"/>
                <w:szCs w:val="16"/>
              </w:rPr>
            </w:pPr>
            <w:r w:rsidRPr="00DE096C">
              <w:rPr>
                <w:bCs/>
                <w:color w:val="002060"/>
                <w:sz w:val="16"/>
                <w:szCs w:val="16"/>
              </w:rPr>
              <w:t>шт. -кап. Спасов М. П.</w:t>
            </w:r>
          </w:p>
        </w:tc>
        <w:tc>
          <w:tcPr>
            <w:tcW w:w="1176" w:type="dxa"/>
            <w:tcBorders>
              <w:top w:val="single" w:sz="4" w:space="0" w:color="auto"/>
              <w:left w:val="single" w:sz="4" w:space="0" w:color="auto"/>
            </w:tcBorders>
            <w:vAlign w:val="center"/>
          </w:tcPr>
          <w:p w14:paraId="58501BCD" w14:textId="77777777" w:rsidR="00CC2D6D" w:rsidRPr="00DE096C" w:rsidRDefault="00CC2D6D" w:rsidP="00D45A46">
            <w:pPr>
              <w:jc w:val="both"/>
              <w:rPr>
                <w:bCs/>
                <w:color w:val="002060"/>
                <w:sz w:val="16"/>
                <w:szCs w:val="16"/>
              </w:rPr>
            </w:pPr>
            <w:r w:rsidRPr="00DE096C">
              <w:rPr>
                <w:bCs/>
                <w:color w:val="002060"/>
                <w:sz w:val="16"/>
                <w:szCs w:val="16"/>
              </w:rPr>
              <w:t>пор. Гагуа</w:t>
            </w:r>
          </w:p>
        </w:tc>
        <w:tc>
          <w:tcPr>
            <w:tcW w:w="878" w:type="dxa"/>
            <w:tcBorders>
              <w:top w:val="single" w:sz="4" w:space="0" w:color="auto"/>
              <w:left w:val="single" w:sz="4" w:space="0" w:color="auto"/>
            </w:tcBorders>
          </w:tcPr>
          <w:p w14:paraId="14476510" w14:textId="77777777" w:rsidR="00CC2D6D" w:rsidRPr="00DE096C" w:rsidRDefault="00CC2D6D" w:rsidP="00D45A46">
            <w:pPr>
              <w:jc w:val="both"/>
              <w:rPr>
                <w:bCs/>
                <w:color w:val="002060"/>
                <w:sz w:val="16"/>
                <w:szCs w:val="16"/>
              </w:rPr>
            </w:pPr>
          </w:p>
        </w:tc>
        <w:tc>
          <w:tcPr>
            <w:tcW w:w="960" w:type="dxa"/>
            <w:tcBorders>
              <w:top w:val="single" w:sz="4" w:space="0" w:color="auto"/>
              <w:left w:val="single" w:sz="4" w:space="0" w:color="auto"/>
              <w:right w:val="single" w:sz="4" w:space="0" w:color="auto"/>
            </w:tcBorders>
            <w:vAlign w:val="center"/>
          </w:tcPr>
          <w:p w14:paraId="11FCC545" w14:textId="77777777" w:rsidR="00CC2D6D" w:rsidRPr="00DE096C" w:rsidRDefault="00CC2D6D" w:rsidP="00D45A46">
            <w:pPr>
              <w:jc w:val="both"/>
              <w:rPr>
                <w:bCs/>
                <w:color w:val="002060"/>
                <w:sz w:val="16"/>
                <w:szCs w:val="16"/>
              </w:rPr>
            </w:pPr>
            <w:r w:rsidRPr="00DE096C">
              <w:rPr>
                <w:bCs/>
                <w:color w:val="002060"/>
                <w:sz w:val="16"/>
                <w:szCs w:val="16"/>
              </w:rPr>
              <w:t>ст. мотор Фогт.</w:t>
            </w:r>
          </w:p>
        </w:tc>
      </w:tr>
      <w:tr w:rsidR="00CC2D6D" w:rsidRPr="00DE096C" w14:paraId="6B5D5ABC" w14:textId="77777777" w:rsidTr="00711059">
        <w:trPr>
          <w:trHeight w:val="547"/>
        </w:trPr>
        <w:tc>
          <w:tcPr>
            <w:tcW w:w="898" w:type="dxa"/>
            <w:tcBorders>
              <w:top w:val="single" w:sz="4" w:space="0" w:color="auto"/>
              <w:left w:val="single" w:sz="4" w:space="0" w:color="auto"/>
            </w:tcBorders>
            <w:vAlign w:val="center"/>
          </w:tcPr>
          <w:p w14:paraId="19704C4E" w14:textId="77777777" w:rsidR="00CC2D6D" w:rsidRPr="00DE096C" w:rsidRDefault="00CC2D6D" w:rsidP="00D45A46">
            <w:pPr>
              <w:jc w:val="both"/>
              <w:rPr>
                <w:bCs/>
                <w:color w:val="002060"/>
                <w:sz w:val="16"/>
                <w:szCs w:val="16"/>
              </w:rPr>
            </w:pPr>
            <w:r w:rsidRPr="00DE096C">
              <w:rPr>
                <w:bCs/>
                <w:color w:val="002060"/>
                <w:sz w:val="16"/>
                <w:szCs w:val="16"/>
              </w:rPr>
              <w:t>№4</w:t>
            </w:r>
          </w:p>
        </w:tc>
        <w:tc>
          <w:tcPr>
            <w:tcW w:w="960" w:type="dxa"/>
            <w:tcBorders>
              <w:top w:val="single" w:sz="4" w:space="0" w:color="auto"/>
              <w:left w:val="single" w:sz="4" w:space="0" w:color="auto"/>
            </w:tcBorders>
            <w:vAlign w:val="bottom"/>
          </w:tcPr>
          <w:p w14:paraId="042C0177" w14:textId="77777777" w:rsidR="00CC2D6D" w:rsidRPr="00DE096C" w:rsidRDefault="00CC2D6D" w:rsidP="00D45A46">
            <w:pPr>
              <w:jc w:val="both"/>
              <w:rPr>
                <w:bCs/>
                <w:color w:val="002060"/>
                <w:sz w:val="16"/>
                <w:szCs w:val="16"/>
              </w:rPr>
            </w:pPr>
            <w:r w:rsidRPr="00DE096C">
              <w:rPr>
                <w:bCs/>
                <w:color w:val="002060"/>
                <w:sz w:val="16"/>
                <w:szCs w:val="16"/>
              </w:rPr>
              <w:t>шт. -кап. Фирсов Б. Н.</w:t>
            </w:r>
          </w:p>
        </w:tc>
        <w:tc>
          <w:tcPr>
            <w:tcW w:w="1018" w:type="dxa"/>
            <w:tcBorders>
              <w:top w:val="single" w:sz="4" w:space="0" w:color="auto"/>
              <w:left w:val="single" w:sz="4" w:space="0" w:color="auto"/>
            </w:tcBorders>
            <w:vAlign w:val="bottom"/>
          </w:tcPr>
          <w:p w14:paraId="2740DD64" w14:textId="77777777" w:rsidR="00CC2D6D" w:rsidRPr="00DE096C" w:rsidRDefault="00CC2D6D" w:rsidP="00D45A46">
            <w:pPr>
              <w:jc w:val="both"/>
              <w:rPr>
                <w:bCs/>
                <w:color w:val="002060"/>
                <w:sz w:val="16"/>
                <w:szCs w:val="16"/>
              </w:rPr>
            </w:pPr>
            <w:r w:rsidRPr="00DE096C">
              <w:rPr>
                <w:bCs/>
                <w:color w:val="002060"/>
                <w:sz w:val="16"/>
                <w:szCs w:val="16"/>
              </w:rPr>
              <w:t>поручик Политков</w:t>
            </w:r>
            <w:r w:rsidRPr="00DE096C">
              <w:rPr>
                <w:bCs/>
                <w:color w:val="002060"/>
                <w:sz w:val="16"/>
                <w:szCs w:val="16"/>
              </w:rPr>
              <w:softHyphen/>
              <w:t>ский</w:t>
            </w:r>
          </w:p>
        </w:tc>
        <w:tc>
          <w:tcPr>
            <w:tcW w:w="1176" w:type="dxa"/>
            <w:tcBorders>
              <w:top w:val="single" w:sz="4" w:space="0" w:color="auto"/>
              <w:left w:val="single" w:sz="4" w:space="0" w:color="auto"/>
            </w:tcBorders>
            <w:vAlign w:val="bottom"/>
          </w:tcPr>
          <w:p w14:paraId="7E7A10C7" w14:textId="77777777" w:rsidR="00CC2D6D" w:rsidRPr="00DE096C" w:rsidRDefault="00CC2D6D" w:rsidP="00D45A46">
            <w:pPr>
              <w:jc w:val="both"/>
              <w:rPr>
                <w:bCs/>
                <w:color w:val="002060"/>
                <w:sz w:val="16"/>
                <w:szCs w:val="16"/>
              </w:rPr>
            </w:pPr>
            <w:r w:rsidRPr="00DE096C">
              <w:rPr>
                <w:bCs/>
                <w:color w:val="002060"/>
                <w:sz w:val="16"/>
                <w:szCs w:val="16"/>
              </w:rPr>
              <w:t>шт. -кап.</w:t>
            </w:r>
          </w:p>
          <w:p w14:paraId="2BE29F20" w14:textId="77777777" w:rsidR="00CC2D6D" w:rsidRPr="00DE096C" w:rsidRDefault="00CC2D6D" w:rsidP="00D45A46">
            <w:pPr>
              <w:jc w:val="both"/>
              <w:rPr>
                <w:bCs/>
                <w:color w:val="002060"/>
                <w:sz w:val="16"/>
                <w:szCs w:val="16"/>
              </w:rPr>
            </w:pPr>
            <w:r w:rsidRPr="00DE096C">
              <w:rPr>
                <w:bCs/>
                <w:color w:val="002060"/>
                <w:sz w:val="16"/>
                <w:szCs w:val="16"/>
              </w:rPr>
              <w:t>Барбович</w:t>
            </w:r>
          </w:p>
        </w:tc>
        <w:tc>
          <w:tcPr>
            <w:tcW w:w="878" w:type="dxa"/>
            <w:tcBorders>
              <w:top w:val="single" w:sz="4" w:space="0" w:color="auto"/>
              <w:left w:val="single" w:sz="4" w:space="0" w:color="auto"/>
            </w:tcBorders>
            <w:vAlign w:val="bottom"/>
          </w:tcPr>
          <w:p w14:paraId="2FFF59C8" w14:textId="77777777" w:rsidR="00CC2D6D" w:rsidRPr="00DE096C" w:rsidRDefault="00CC2D6D" w:rsidP="00D45A46">
            <w:pPr>
              <w:jc w:val="both"/>
              <w:rPr>
                <w:bCs/>
                <w:color w:val="002060"/>
                <w:sz w:val="16"/>
                <w:szCs w:val="16"/>
              </w:rPr>
            </w:pPr>
            <w:r w:rsidRPr="00DE096C">
              <w:rPr>
                <w:bCs/>
                <w:color w:val="002060"/>
                <w:sz w:val="16"/>
                <w:szCs w:val="16"/>
              </w:rPr>
              <w:t>2-й пилот пор. Шаров Я.</w:t>
            </w:r>
          </w:p>
        </w:tc>
        <w:tc>
          <w:tcPr>
            <w:tcW w:w="960" w:type="dxa"/>
            <w:tcBorders>
              <w:top w:val="single" w:sz="4" w:space="0" w:color="auto"/>
              <w:left w:val="single" w:sz="4" w:space="0" w:color="auto"/>
              <w:right w:val="single" w:sz="4" w:space="0" w:color="auto"/>
            </w:tcBorders>
          </w:tcPr>
          <w:p w14:paraId="7224083F" w14:textId="77777777" w:rsidR="00CC2D6D" w:rsidRPr="00DE096C" w:rsidRDefault="00CC2D6D" w:rsidP="00D45A46">
            <w:pPr>
              <w:jc w:val="both"/>
              <w:rPr>
                <w:bCs/>
                <w:color w:val="002060"/>
                <w:sz w:val="16"/>
                <w:szCs w:val="16"/>
              </w:rPr>
            </w:pPr>
          </w:p>
        </w:tc>
      </w:tr>
      <w:tr w:rsidR="00CC2D6D" w:rsidRPr="00DE096C" w14:paraId="72579C3B" w14:textId="77777777" w:rsidTr="00711059">
        <w:trPr>
          <w:trHeight w:val="552"/>
        </w:trPr>
        <w:tc>
          <w:tcPr>
            <w:tcW w:w="898" w:type="dxa"/>
            <w:tcBorders>
              <w:top w:val="single" w:sz="4" w:space="0" w:color="auto"/>
              <w:left w:val="single" w:sz="4" w:space="0" w:color="auto"/>
            </w:tcBorders>
            <w:vAlign w:val="center"/>
          </w:tcPr>
          <w:p w14:paraId="776ED641" w14:textId="77777777" w:rsidR="00CC2D6D" w:rsidRPr="00DE096C" w:rsidRDefault="00CC2D6D" w:rsidP="00D45A46">
            <w:pPr>
              <w:jc w:val="both"/>
              <w:rPr>
                <w:bCs/>
                <w:color w:val="002060"/>
                <w:sz w:val="16"/>
                <w:szCs w:val="16"/>
              </w:rPr>
            </w:pPr>
            <w:r w:rsidRPr="00DE096C">
              <w:rPr>
                <w:bCs/>
                <w:color w:val="002060"/>
                <w:sz w:val="16"/>
                <w:szCs w:val="16"/>
              </w:rPr>
              <w:t>№5</w:t>
            </w:r>
          </w:p>
        </w:tc>
        <w:tc>
          <w:tcPr>
            <w:tcW w:w="960" w:type="dxa"/>
            <w:tcBorders>
              <w:top w:val="single" w:sz="4" w:space="0" w:color="auto"/>
              <w:left w:val="single" w:sz="4" w:space="0" w:color="auto"/>
            </w:tcBorders>
            <w:vAlign w:val="bottom"/>
          </w:tcPr>
          <w:p w14:paraId="721E7478" w14:textId="77777777" w:rsidR="00CC2D6D" w:rsidRPr="00DE096C" w:rsidRDefault="00CC2D6D" w:rsidP="00D45A46">
            <w:pPr>
              <w:jc w:val="both"/>
              <w:rPr>
                <w:bCs/>
                <w:color w:val="002060"/>
                <w:sz w:val="16"/>
                <w:szCs w:val="16"/>
              </w:rPr>
            </w:pPr>
            <w:r w:rsidRPr="00DE096C">
              <w:rPr>
                <w:bCs/>
                <w:color w:val="002060"/>
                <w:sz w:val="16"/>
                <w:szCs w:val="16"/>
              </w:rPr>
              <w:t>Поручик Алехнович Г. В.</w:t>
            </w:r>
          </w:p>
        </w:tc>
        <w:tc>
          <w:tcPr>
            <w:tcW w:w="1018" w:type="dxa"/>
            <w:tcBorders>
              <w:top w:val="single" w:sz="4" w:space="0" w:color="auto"/>
              <w:left w:val="single" w:sz="4" w:space="0" w:color="auto"/>
            </w:tcBorders>
            <w:vAlign w:val="bottom"/>
          </w:tcPr>
          <w:p w14:paraId="15671F59" w14:textId="77777777" w:rsidR="00CC2D6D" w:rsidRPr="00DE096C" w:rsidRDefault="00CC2D6D" w:rsidP="00D45A46">
            <w:pPr>
              <w:jc w:val="both"/>
              <w:rPr>
                <w:bCs/>
                <w:color w:val="002060"/>
                <w:sz w:val="16"/>
                <w:szCs w:val="16"/>
              </w:rPr>
            </w:pPr>
            <w:r w:rsidRPr="00DE096C">
              <w:rPr>
                <w:bCs/>
                <w:color w:val="002060"/>
                <w:sz w:val="16"/>
                <w:szCs w:val="16"/>
              </w:rPr>
              <w:t>поручик Костенчик А. М.</w:t>
            </w:r>
          </w:p>
        </w:tc>
        <w:tc>
          <w:tcPr>
            <w:tcW w:w="1176" w:type="dxa"/>
            <w:tcBorders>
              <w:top w:val="single" w:sz="4" w:space="0" w:color="auto"/>
              <w:left w:val="single" w:sz="4" w:space="0" w:color="auto"/>
            </w:tcBorders>
            <w:vAlign w:val="bottom"/>
          </w:tcPr>
          <w:p w14:paraId="302A67A2" w14:textId="77777777" w:rsidR="00CC2D6D" w:rsidRPr="00DE096C" w:rsidRDefault="00CC2D6D" w:rsidP="00D45A46">
            <w:pPr>
              <w:jc w:val="both"/>
              <w:rPr>
                <w:bCs/>
                <w:color w:val="002060"/>
                <w:sz w:val="16"/>
                <w:szCs w:val="16"/>
              </w:rPr>
            </w:pPr>
            <w:r w:rsidRPr="00DE096C">
              <w:rPr>
                <w:bCs/>
                <w:color w:val="002060"/>
                <w:sz w:val="16"/>
                <w:szCs w:val="16"/>
              </w:rPr>
              <w:t>Капитан Журавченко А. Н.</w:t>
            </w:r>
          </w:p>
        </w:tc>
        <w:tc>
          <w:tcPr>
            <w:tcW w:w="878" w:type="dxa"/>
            <w:tcBorders>
              <w:top w:val="single" w:sz="4" w:space="0" w:color="auto"/>
              <w:left w:val="single" w:sz="4" w:space="0" w:color="auto"/>
            </w:tcBorders>
            <w:vAlign w:val="center"/>
          </w:tcPr>
          <w:p w14:paraId="65D68492" w14:textId="77777777" w:rsidR="00CC2D6D" w:rsidRPr="00DE096C" w:rsidRDefault="00CC2D6D" w:rsidP="00D45A46">
            <w:pPr>
              <w:jc w:val="both"/>
              <w:rPr>
                <w:bCs/>
                <w:color w:val="002060"/>
                <w:sz w:val="16"/>
                <w:szCs w:val="16"/>
              </w:rPr>
            </w:pPr>
            <w:r w:rsidRPr="00DE096C">
              <w:rPr>
                <w:bCs/>
                <w:color w:val="002060"/>
                <w:sz w:val="16"/>
                <w:szCs w:val="16"/>
              </w:rPr>
              <w:t>вольнооп. Кисель</w:t>
            </w:r>
          </w:p>
        </w:tc>
        <w:tc>
          <w:tcPr>
            <w:tcW w:w="960" w:type="dxa"/>
            <w:tcBorders>
              <w:top w:val="single" w:sz="4" w:space="0" w:color="auto"/>
              <w:left w:val="single" w:sz="4" w:space="0" w:color="auto"/>
              <w:right w:val="single" w:sz="4" w:space="0" w:color="auto"/>
            </w:tcBorders>
          </w:tcPr>
          <w:p w14:paraId="71A8C342" w14:textId="77777777" w:rsidR="00CC2D6D" w:rsidRPr="00DE096C" w:rsidRDefault="00CC2D6D" w:rsidP="00D45A46">
            <w:pPr>
              <w:jc w:val="both"/>
              <w:rPr>
                <w:bCs/>
                <w:color w:val="002060"/>
                <w:sz w:val="16"/>
                <w:szCs w:val="16"/>
              </w:rPr>
            </w:pPr>
          </w:p>
        </w:tc>
      </w:tr>
      <w:tr w:rsidR="00CC2D6D" w:rsidRPr="00DE096C" w14:paraId="692B8427" w14:textId="77777777" w:rsidTr="00711059">
        <w:trPr>
          <w:trHeight w:val="552"/>
        </w:trPr>
        <w:tc>
          <w:tcPr>
            <w:tcW w:w="898" w:type="dxa"/>
            <w:tcBorders>
              <w:top w:val="single" w:sz="4" w:space="0" w:color="auto"/>
              <w:left w:val="single" w:sz="4" w:space="0" w:color="auto"/>
            </w:tcBorders>
            <w:vAlign w:val="center"/>
          </w:tcPr>
          <w:p w14:paraId="26117AF2" w14:textId="77777777" w:rsidR="00CC2D6D" w:rsidRPr="00DE096C" w:rsidRDefault="00CC2D6D" w:rsidP="00D45A46">
            <w:pPr>
              <w:jc w:val="both"/>
              <w:rPr>
                <w:bCs/>
                <w:color w:val="002060"/>
                <w:sz w:val="16"/>
                <w:szCs w:val="16"/>
              </w:rPr>
            </w:pPr>
            <w:r w:rsidRPr="00DE096C">
              <w:rPr>
                <w:bCs/>
                <w:color w:val="002060"/>
                <w:sz w:val="16"/>
                <w:szCs w:val="16"/>
              </w:rPr>
              <w:t>№6</w:t>
            </w:r>
          </w:p>
        </w:tc>
        <w:tc>
          <w:tcPr>
            <w:tcW w:w="960" w:type="dxa"/>
            <w:tcBorders>
              <w:top w:val="single" w:sz="4" w:space="0" w:color="auto"/>
              <w:left w:val="single" w:sz="4" w:space="0" w:color="auto"/>
            </w:tcBorders>
            <w:vAlign w:val="bottom"/>
          </w:tcPr>
          <w:p w14:paraId="07A664F8" w14:textId="77777777" w:rsidR="00CC2D6D" w:rsidRPr="00DE096C" w:rsidRDefault="00CC2D6D" w:rsidP="00D45A46">
            <w:pPr>
              <w:jc w:val="both"/>
              <w:rPr>
                <w:bCs/>
                <w:color w:val="002060"/>
                <w:sz w:val="16"/>
                <w:szCs w:val="16"/>
              </w:rPr>
            </w:pPr>
            <w:r w:rsidRPr="00DE096C">
              <w:rPr>
                <w:bCs/>
                <w:color w:val="002060"/>
                <w:sz w:val="16"/>
                <w:szCs w:val="16"/>
              </w:rPr>
              <w:t>Капитан Головин С. Н.</w:t>
            </w:r>
          </w:p>
        </w:tc>
        <w:tc>
          <w:tcPr>
            <w:tcW w:w="1018" w:type="dxa"/>
            <w:tcBorders>
              <w:top w:val="single" w:sz="4" w:space="0" w:color="auto"/>
              <w:left w:val="single" w:sz="4" w:space="0" w:color="auto"/>
            </w:tcBorders>
            <w:vAlign w:val="bottom"/>
          </w:tcPr>
          <w:p w14:paraId="157C2369" w14:textId="77777777" w:rsidR="00CC2D6D" w:rsidRPr="00DE096C" w:rsidRDefault="00CC2D6D" w:rsidP="00D45A46">
            <w:pPr>
              <w:jc w:val="both"/>
              <w:rPr>
                <w:bCs/>
                <w:color w:val="002060"/>
                <w:sz w:val="16"/>
                <w:szCs w:val="16"/>
              </w:rPr>
            </w:pPr>
            <w:r w:rsidRPr="00DE096C">
              <w:rPr>
                <w:bCs/>
                <w:color w:val="002060"/>
                <w:sz w:val="16"/>
                <w:szCs w:val="16"/>
              </w:rPr>
              <w:t>поручик Смирнов М. В.</w:t>
            </w:r>
          </w:p>
        </w:tc>
        <w:tc>
          <w:tcPr>
            <w:tcW w:w="1176" w:type="dxa"/>
            <w:tcBorders>
              <w:top w:val="single" w:sz="4" w:space="0" w:color="auto"/>
              <w:left w:val="single" w:sz="4" w:space="0" w:color="auto"/>
            </w:tcBorders>
            <w:vAlign w:val="center"/>
          </w:tcPr>
          <w:p w14:paraId="56673827" w14:textId="77777777" w:rsidR="00CC2D6D" w:rsidRPr="00DE096C" w:rsidRDefault="00CC2D6D" w:rsidP="00D45A46">
            <w:pPr>
              <w:jc w:val="both"/>
              <w:rPr>
                <w:bCs/>
                <w:color w:val="002060"/>
                <w:sz w:val="16"/>
                <w:szCs w:val="16"/>
              </w:rPr>
            </w:pPr>
            <w:r w:rsidRPr="00DE096C">
              <w:rPr>
                <w:bCs/>
                <w:color w:val="002060"/>
                <w:sz w:val="16"/>
                <w:szCs w:val="16"/>
              </w:rPr>
              <w:t>шт. -кап. Иванов В. А.</w:t>
            </w:r>
          </w:p>
        </w:tc>
        <w:tc>
          <w:tcPr>
            <w:tcW w:w="878" w:type="dxa"/>
            <w:tcBorders>
              <w:top w:val="single" w:sz="4" w:space="0" w:color="auto"/>
              <w:left w:val="single" w:sz="4" w:space="0" w:color="auto"/>
            </w:tcBorders>
          </w:tcPr>
          <w:p w14:paraId="50E2152C" w14:textId="77777777" w:rsidR="00CC2D6D" w:rsidRPr="00DE096C" w:rsidRDefault="00CC2D6D" w:rsidP="00D45A46">
            <w:pPr>
              <w:jc w:val="both"/>
              <w:rPr>
                <w:bCs/>
                <w:color w:val="002060"/>
                <w:sz w:val="16"/>
                <w:szCs w:val="16"/>
              </w:rPr>
            </w:pPr>
          </w:p>
        </w:tc>
        <w:tc>
          <w:tcPr>
            <w:tcW w:w="960" w:type="dxa"/>
            <w:tcBorders>
              <w:top w:val="single" w:sz="4" w:space="0" w:color="auto"/>
              <w:left w:val="single" w:sz="4" w:space="0" w:color="auto"/>
              <w:right w:val="single" w:sz="4" w:space="0" w:color="auto"/>
            </w:tcBorders>
          </w:tcPr>
          <w:p w14:paraId="0C530D22" w14:textId="77777777" w:rsidR="00CC2D6D" w:rsidRPr="00DE096C" w:rsidRDefault="00CC2D6D" w:rsidP="00D45A46">
            <w:pPr>
              <w:jc w:val="both"/>
              <w:rPr>
                <w:bCs/>
                <w:color w:val="002060"/>
                <w:sz w:val="16"/>
                <w:szCs w:val="16"/>
              </w:rPr>
            </w:pPr>
          </w:p>
        </w:tc>
      </w:tr>
      <w:tr w:rsidR="00CC2D6D" w:rsidRPr="00DE096C" w14:paraId="48EC19A6" w14:textId="77777777" w:rsidTr="00711059">
        <w:trPr>
          <w:trHeight w:val="557"/>
        </w:trPr>
        <w:tc>
          <w:tcPr>
            <w:tcW w:w="898" w:type="dxa"/>
            <w:tcBorders>
              <w:top w:val="single" w:sz="4" w:space="0" w:color="auto"/>
              <w:left w:val="single" w:sz="4" w:space="0" w:color="auto"/>
              <w:bottom w:val="single" w:sz="4" w:space="0" w:color="auto"/>
            </w:tcBorders>
            <w:vAlign w:val="bottom"/>
          </w:tcPr>
          <w:p w14:paraId="4579ABDA" w14:textId="77777777" w:rsidR="00CC2D6D" w:rsidRPr="00DE096C" w:rsidRDefault="00CC2D6D" w:rsidP="00D45A46">
            <w:pPr>
              <w:jc w:val="both"/>
              <w:rPr>
                <w:bCs/>
                <w:color w:val="002060"/>
                <w:sz w:val="16"/>
                <w:szCs w:val="16"/>
              </w:rPr>
            </w:pPr>
            <w:r w:rsidRPr="00DE096C">
              <w:rPr>
                <w:bCs/>
                <w:color w:val="002060"/>
                <w:sz w:val="16"/>
                <w:szCs w:val="16"/>
              </w:rPr>
              <w:t>№ 7 «Киев- ский»</w:t>
            </w:r>
          </w:p>
        </w:tc>
        <w:tc>
          <w:tcPr>
            <w:tcW w:w="960" w:type="dxa"/>
            <w:tcBorders>
              <w:top w:val="single" w:sz="4" w:space="0" w:color="auto"/>
              <w:left w:val="single" w:sz="4" w:space="0" w:color="auto"/>
              <w:bottom w:val="single" w:sz="4" w:space="0" w:color="auto"/>
            </w:tcBorders>
            <w:vAlign w:val="bottom"/>
          </w:tcPr>
          <w:p w14:paraId="67C2A24F" w14:textId="77777777" w:rsidR="00CC2D6D" w:rsidRPr="00DE096C" w:rsidRDefault="00CC2D6D" w:rsidP="00D45A46">
            <w:pPr>
              <w:jc w:val="both"/>
              <w:rPr>
                <w:bCs/>
                <w:color w:val="002060"/>
                <w:sz w:val="16"/>
                <w:szCs w:val="16"/>
              </w:rPr>
            </w:pPr>
            <w:r w:rsidRPr="00DE096C">
              <w:rPr>
                <w:bCs/>
                <w:color w:val="002060"/>
                <w:sz w:val="16"/>
                <w:szCs w:val="16"/>
              </w:rPr>
              <w:t>шт. -кап. Горшков Г. Г.</w:t>
            </w:r>
          </w:p>
        </w:tc>
        <w:tc>
          <w:tcPr>
            <w:tcW w:w="1018" w:type="dxa"/>
            <w:tcBorders>
              <w:top w:val="single" w:sz="4" w:space="0" w:color="auto"/>
              <w:left w:val="single" w:sz="4" w:space="0" w:color="auto"/>
              <w:bottom w:val="single" w:sz="4" w:space="0" w:color="auto"/>
            </w:tcBorders>
            <w:vAlign w:val="center"/>
          </w:tcPr>
          <w:p w14:paraId="30D9A1EB" w14:textId="77777777" w:rsidR="00CC2D6D" w:rsidRPr="00DE096C" w:rsidRDefault="00CC2D6D" w:rsidP="00D45A46">
            <w:pPr>
              <w:jc w:val="both"/>
              <w:rPr>
                <w:bCs/>
                <w:color w:val="002060"/>
                <w:sz w:val="16"/>
                <w:szCs w:val="16"/>
              </w:rPr>
            </w:pPr>
            <w:r w:rsidRPr="00DE096C">
              <w:rPr>
                <w:bCs/>
                <w:color w:val="002060"/>
                <w:sz w:val="16"/>
                <w:szCs w:val="16"/>
              </w:rPr>
              <w:t>поручик Башко И.С.</w:t>
            </w:r>
          </w:p>
        </w:tc>
        <w:tc>
          <w:tcPr>
            <w:tcW w:w="1176" w:type="dxa"/>
            <w:tcBorders>
              <w:top w:val="single" w:sz="4" w:space="0" w:color="auto"/>
              <w:left w:val="single" w:sz="4" w:space="0" w:color="auto"/>
              <w:bottom w:val="single" w:sz="4" w:space="0" w:color="auto"/>
            </w:tcBorders>
            <w:vAlign w:val="bottom"/>
          </w:tcPr>
          <w:p w14:paraId="28257975" w14:textId="77777777" w:rsidR="00CC2D6D" w:rsidRPr="00DE096C" w:rsidRDefault="00CC2D6D" w:rsidP="00D45A46">
            <w:pPr>
              <w:jc w:val="both"/>
              <w:rPr>
                <w:bCs/>
                <w:color w:val="002060"/>
                <w:sz w:val="16"/>
                <w:szCs w:val="16"/>
              </w:rPr>
            </w:pPr>
            <w:r w:rsidRPr="00DE096C">
              <w:rPr>
                <w:bCs/>
                <w:color w:val="002060"/>
                <w:sz w:val="16"/>
                <w:szCs w:val="16"/>
              </w:rPr>
              <w:t>шт. -кап.</w:t>
            </w:r>
          </w:p>
          <w:p w14:paraId="40B1431D" w14:textId="77777777" w:rsidR="00CC2D6D" w:rsidRPr="00DE096C" w:rsidRDefault="00CC2D6D" w:rsidP="00D45A46">
            <w:pPr>
              <w:jc w:val="both"/>
              <w:rPr>
                <w:bCs/>
                <w:color w:val="002060"/>
                <w:sz w:val="16"/>
                <w:szCs w:val="16"/>
              </w:rPr>
            </w:pPr>
            <w:r w:rsidRPr="00DE096C">
              <w:rPr>
                <w:bCs/>
                <w:color w:val="002060"/>
                <w:sz w:val="16"/>
                <w:szCs w:val="16"/>
              </w:rPr>
              <w:t>Наумов А. А.</w:t>
            </w:r>
          </w:p>
        </w:tc>
        <w:tc>
          <w:tcPr>
            <w:tcW w:w="878" w:type="dxa"/>
            <w:tcBorders>
              <w:top w:val="single" w:sz="4" w:space="0" w:color="auto"/>
              <w:left w:val="single" w:sz="4" w:space="0" w:color="auto"/>
              <w:bottom w:val="single" w:sz="4" w:space="0" w:color="auto"/>
            </w:tcBorders>
            <w:vAlign w:val="bottom"/>
          </w:tcPr>
          <w:p w14:paraId="6B687F8E" w14:textId="77777777" w:rsidR="00CC2D6D" w:rsidRPr="00DE096C" w:rsidRDefault="00CC2D6D" w:rsidP="00D45A46">
            <w:pPr>
              <w:jc w:val="both"/>
              <w:rPr>
                <w:bCs/>
                <w:color w:val="002060"/>
                <w:sz w:val="16"/>
                <w:szCs w:val="16"/>
              </w:rPr>
            </w:pPr>
            <w:r w:rsidRPr="00DE096C">
              <w:rPr>
                <w:bCs/>
                <w:color w:val="002060"/>
                <w:sz w:val="16"/>
                <w:szCs w:val="16"/>
              </w:rPr>
              <w:t>мл. унт. оф. Лавров А.М.</w:t>
            </w:r>
          </w:p>
        </w:tc>
        <w:tc>
          <w:tcPr>
            <w:tcW w:w="960" w:type="dxa"/>
            <w:tcBorders>
              <w:top w:val="single" w:sz="4" w:space="0" w:color="auto"/>
              <w:left w:val="single" w:sz="4" w:space="0" w:color="auto"/>
              <w:bottom w:val="single" w:sz="4" w:space="0" w:color="auto"/>
              <w:right w:val="single" w:sz="4" w:space="0" w:color="auto"/>
            </w:tcBorders>
          </w:tcPr>
          <w:p w14:paraId="22F26A7E" w14:textId="77777777" w:rsidR="00CC2D6D" w:rsidRPr="00DE096C" w:rsidRDefault="00CC2D6D" w:rsidP="00D45A46">
            <w:pPr>
              <w:jc w:val="both"/>
              <w:rPr>
                <w:bCs/>
                <w:color w:val="002060"/>
                <w:sz w:val="16"/>
                <w:szCs w:val="16"/>
              </w:rPr>
            </w:pPr>
          </w:p>
        </w:tc>
      </w:tr>
    </w:tbl>
    <w:p w14:paraId="24A0BFC9" w14:textId="77777777" w:rsidR="00CC2D6D" w:rsidRPr="00DE096C" w:rsidRDefault="00CC2D6D" w:rsidP="00D45A46">
      <w:pPr>
        <w:jc w:val="both"/>
        <w:rPr>
          <w:bCs/>
          <w:color w:val="002060"/>
          <w:sz w:val="16"/>
          <w:szCs w:val="16"/>
        </w:rPr>
      </w:pPr>
      <w:r w:rsidRPr="00DE096C">
        <w:rPr>
          <w:bCs/>
          <w:color w:val="002060"/>
          <w:sz w:val="16"/>
          <w:szCs w:val="16"/>
        </w:rPr>
        <w:t>Все командиры кораблей и их помощники имели зва</w:t>
      </w:r>
      <w:r w:rsidRPr="00DE096C">
        <w:rPr>
          <w:bCs/>
          <w:color w:val="002060"/>
          <w:sz w:val="16"/>
          <w:szCs w:val="16"/>
        </w:rPr>
        <w:softHyphen/>
        <w:t>ние «военный летчик», однако на «Муромцах» не летал никто, кроме Алехновича.</w:t>
      </w:r>
    </w:p>
    <w:p w14:paraId="45EA4AA0" w14:textId="77777777" w:rsidR="00CC2D6D" w:rsidRPr="00DE096C" w:rsidRDefault="00CC2D6D" w:rsidP="00D45A46">
      <w:pPr>
        <w:jc w:val="both"/>
        <w:rPr>
          <w:bCs/>
          <w:color w:val="002060"/>
          <w:sz w:val="16"/>
          <w:szCs w:val="16"/>
        </w:rPr>
      </w:pPr>
      <w:r w:rsidRPr="00DE096C">
        <w:rPr>
          <w:bCs/>
          <w:color w:val="002060"/>
          <w:sz w:val="16"/>
          <w:szCs w:val="16"/>
        </w:rPr>
        <w:t>В память исторического перелета в даль</w:t>
      </w:r>
      <w:r w:rsidRPr="00DE096C">
        <w:rPr>
          <w:bCs/>
          <w:color w:val="002060"/>
          <w:sz w:val="16"/>
          <w:szCs w:val="16"/>
        </w:rPr>
        <w:softHyphen/>
        <w:t>нейшем на фронте рядом с номерными «Муромцами» всегда рядом находился корабль, носивший вместо эс</w:t>
      </w:r>
      <w:r w:rsidRPr="00DE096C">
        <w:rPr>
          <w:bCs/>
          <w:color w:val="002060"/>
          <w:sz w:val="16"/>
          <w:szCs w:val="16"/>
        </w:rPr>
        <w:softHyphen/>
        <w:t>кадренного номера название «Киевский». Он считался флагманом эскадры. Как только этот корабль отраба</w:t>
      </w:r>
      <w:r w:rsidRPr="00DE096C">
        <w:rPr>
          <w:bCs/>
          <w:color w:val="002060"/>
          <w:sz w:val="16"/>
          <w:szCs w:val="16"/>
        </w:rPr>
        <w:softHyphen/>
        <w:t>тывал свой ресурс или выходил из строя в боевых усло</w:t>
      </w:r>
      <w:r w:rsidRPr="00DE096C">
        <w:rPr>
          <w:bCs/>
          <w:color w:val="002060"/>
          <w:sz w:val="16"/>
          <w:szCs w:val="16"/>
        </w:rPr>
        <w:softHyphen/>
        <w:t>виях, на его место вставал новый «Киевский». Сначала экипаж флагмана возглавлялся ведущим летчиком эс</w:t>
      </w:r>
      <w:r w:rsidRPr="00DE096C">
        <w:rPr>
          <w:bCs/>
          <w:color w:val="002060"/>
          <w:sz w:val="16"/>
          <w:szCs w:val="16"/>
        </w:rPr>
        <w:softHyphen/>
        <w:t>кадры Г. Г. Горшковым, а впоследствии И. С. Башко (24177).</w:t>
      </w:r>
    </w:p>
    <w:p w14:paraId="483DB657" w14:textId="77777777" w:rsidR="00CC2D6D" w:rsidRPr="00DE096C" w:rsidRDefault="00CC2D6D" w:rsidP="00D45A46">
      <w:pPr>
        <w:jc w:val="both"/>
        <w:rPr>
          <w:bCs/>
          <w:color w:val="002060"/>
          <w:sz w:val="16"/>
          <w:szCs w:val="16"/>
          <w:lang w:bidi="en-US"/>
        </w:rPr>
      </w:pPr>
    </w:p>
    <w:p w14:paraId="0CEF14E5" w14:textId="77777777" w:rsidR="00CC2D6D" w:rsidRPr="00DE096C" w:rsidRDefault="00CC2D6D" w:rsidP="00D45A46">
      <w:pPr>
        <w:jc w:val="both"/>
        <w:rPr>
          <w:bCs/>
          <w:color w:val="002060"/>
          <w:sz w:val="16"/>
          <w:szCs w:val="16"/>
        </w:rPr>
      </w:pPr>
      <w:r w:rsidRPr="00DE096C">
        <w:rPr>
          <w:bCs/>
          <w:color w:val="002060"/>
          <w:sz w:val="16"/>
          <w:szCs w:val="16"/>
        </w:rPr>
        <w:t>В конце июля 1914 г. военный министр В.А. Сухомлинов утвердил новое распределение первой десятки «Му</w:t>
      </w:r>
      <w:r w:rsidRPr="00DE096C">
        <w:rPr>
          <w:bCs/>
          <w:color w:val="002060"/>
          <w:sz w:val="16"/>
          <w:szCs w:val="16"/>
        </w:rPr>
        <w:softHyphen/>
        <w:t>ромцев». Два из них должны были остаться в Гатчине в качестве учеб</w:t>
      </w:r>
      <w:r w:rsidRPr="00DE096C">
        <w:rPr>
          <w:bCs/>
          <w:color w:val="002060"/>
          <w:sz w:val="16"/>
          <w:szCs w:val="16"/>
        </w:rPr>
        <w:softHyphen/>
        <w:t>ных, три поступить в 4-ю авиароту в Лиду, три - во 2-ю авиароту в Вар</w:t>
      </w:r>
      <w:r w:rsidRPr="00DE096C">
        <w:rPr>
          <w:bCs/>
          <w:color w:val="002060"/>
          <w:sz w:val="16"/>
          <w:szCs w:val="16"/>
        </w:rPr>
        <w:softHyphen/>
        <w:t>шаве и два - в 3-ю авиароту в Кие</w:t>
      </w:r>
      <w:r w:rsidRPr="00DE096C">
        <w:rPr>
          <w:bCs/>
          <w:color w:val="002060"/>
          <w:sz w:val="16"/>
          <w:szCs w:val="16"/>
        </w:rPr>
        <w:softHyphen/>
        <w:t>ве. По принятой в то время в рус</w:t>
      </w:r>
      <w:r w:rsidRPr="00DE096C">
        <w:rPr>
          <w:bCs/>
          <w:color w:val="002060"/>
          <w:sz w:val="16"/>
          <w:szCs w:val="16"/>
        </w:rPr>
        <w:softHyphen/>
        <w:t>ской военной авиации организа</w:t>
      </w:r>
      <w:r w:rsidRPr="00DE096C">
        <w:rPr>
          <w:bCs/>
          <w:color w:val="002060"/>
          <w:sz w:val="16"/>
          <w:szCs w:val="16"/>
        </w:rPr>
        <w:softHyphen/>
        <w:t>ции, при каждом военном округе существовала авиарота, в обязанно</w:t>
      </w:r>
      <w:r w:rsidRPr="00DE096C">
        <w:rPr>
          <w:bCs/>
          <w:color w:val="002060"/>
          <w:sz w:val="16"/>
          <w:szCs w:val="16"/>
        </w:rPr>
        <w:softHyphen/>
        <w:t>сти которой входило обеспечение эксплуатации всех авиаотрядов ок</w:t>
      </w:r>
      <w:r w:rsidRPr="00DE096C">
        <w:rPr>
          <w:bCs/>
          <w:color w:val="002060"/>
          <w:sz w:val="16"/>
          <w:szCs w:val="16"/>
        </w:rPr>
        <w:softHyphen/>
        <w:t>руга. За исключением крепостных все авиаотряды дислоцировались на ротном аэродроме. Основную часть авиаотрядов составляли так называемые «корпусные». Они ор</w:t>
      </w:r>
      <w:r w:rsidRPr="00DE096C">
        <w:rPr>
          <w:bCs/>
          <w:color w:val="002060"/>
          <w:sz w:val="16"/>
          <w:szCs w:val="16"/>
        </w:rPr>
        <w:softHyphen/>
        <w:t>ганизационно входили в состав пе</w:t>
      </w:r>
      <w:r w:rsidRPr="00DE096C">
        <w:rPr>
          <w:bCs/>
          <w:color w:val="002060"/>
          <w:sz w:val="16"/>
          <w:szCs w:val="16"/>
        </w:rPr>
        <w:softHyphen/>
        <w:t>хотных корпусов и предназнача</w:t>
      </w:r>
      <w:r w:rsidRPr="00DE096C">
        <w:rPr>
          <w:bCs/>
          <w:color w:val="002060"/>
          <w:sz w:val="16"/>
          <w:szCs w:val="16"/>
        </w:rPr>
        <w:softHyphen/>
        <w:t>лись для решения тактических за</w:t>
      </w:r>
      <w:r w:rsidRPr="00DE096C">
        <w:rPr>
          <w:bCs/>
          <w:color w:val="002060"/>
          <w:sz w:val="16"/>
          <w:szCs w:val="16"/>
        </w:rPr>
        <w:softHyphen/>
        <w:t>дач: разведки, наблюдения и связи. Здесь же на ротных аэродромах предполагалось начать формирова</w:t>
      </w:r>
      <w:r w:rsidRPr="00DE096C">
        <w:rPr>
          <w:bCs/>
          <w:color w:val="002060"/>
          <w:sz w:val="16"/>
          <w:szCs w:val="16"/>
        </w:rPr>
        <w:softHyphen/>
        <w:t>ние и десяти полевых (армейских) авиаотрядов. Их число и распреде</w:t>
      </w:r>
      <w:r w:rsidRPr="00DE096C">
        <w:rPr>
          <w:bCs/>
          <w:color w:val="002060"/>
          <w:sz w:val="16"/>
          <w:szCs w:val="16"/>
        </w:rPr>
        <w:softHyphen/>
        <w:t>ление по округам примерно соот</w:t>
      </w:r>
      <w:r w:rsidRPr="00DE096C">
        <w:rPr>
          <w:bCs/>
          <w:color w:val="002060"/>
          <w:sz w:val="16"/>
          <w:szCs w:val="16"/>
        </w:rPr>
        <w:softHyphen/>
        <w:t>ветствовало количеству общевой</w:t>
      </w:r>
      <w:r w:rsidRPr="00DE096C">
        <w:rPr>
          <w:bCs/>
          <w:color w:val="002060"/>
          <w:sz w:val="16"/>
          <w:szCs w:val="16"/>
        </w:rPr>
        <w:softHyphen/>
        <w:t>сковых армий, намечавшихся к раз</w:t>
      </w:r>
      <w:r w:rsidRPr="00DE096C">
        <w:rPr>
          <w:bCs/>
          <w:color w:val="002060"/>
          <w:sz w:val="16"/>
          <w:szCs w:val="16"/>
        </w:rPr>
        <w:softHyphen/>
        <w:t>ворачиванию при начале боевых действий.</w:t>
      </w:r>
    </w:p>
    <w:p w14:paraId="4B015E3F" w14:textId="77777777" w:rsidR="00CC2D6D" w:rsidRPr="00DE096C" w:rsidRDefault="00CC2D6D" w:rsidP="00D45A46">
      <w:pPr>
        <w:jc w:val="both"/>
        <w:rPr>
          <w:bCs/>
          <w:color w:val="002060"/>
          <w:sz w:val="16"/>
          <w:szCs w:val="16"/>
        </w:rPr>
      </w:pPr>
      <w:r w:rsidRPr="00DE096C">
        <w:rPr>
          <w:bCs/>
          <w:color w:val="002060"/>
          <w:sz w:val="16"/>
          <w:szCs w:val="16"/>
        </w:rPr>
        <w:t>Каждый полевой авиаотряд предполагалось оснастить четырь</w:t>
      </w:r>
      <w:r w:rsidRPr="00DE096C">
        <w:rPr>
          <w:bCs/>
          <w:color w:val="002060"/>
          <w:sz w:val="16"/>
          <w:szCs w:val="16"/>
        </w:rPr>
        <w:softHyphen/>
        <w:t>мя «Муромцами». Помимо уже фор</w:t>
      </w:r>
      <w:r w:rsidRPr="00DE096C">
        <w:rPr>
          <w:bCs/>
          <w:color w:val="002060"/>
          <w:sz w:val="16"/>
          <w:szCs w:val="16"/>
        </w:rPr>
        <w:softHyphen/>
        <w:t>мируемых в Лиде, Варшаве и Киеве, Генштаб планировал создать три отряда в Бресте, по одному в Петро</w:t>
      </w:r>
      <w:r w:rsidRPr="00DE096C">
        <w:rPr>
          <w:bCs/>
          <w:color w:val="002060"/>
          <w:sz w:val="16"/>
          <w:szCs w:val="16"/>
        </w:rPr>
        <w:softHyphen/>
        <w:t>граде и Одессе, и ещё по одному в Киеве и Лиде. Для их укомплекто</w:t>
      </w:r>
      <w:r w:rsidRPr="00DE096C">
        <w:rPr>
          <w:bCs/>
          <w:color w:val="002060"/>
          <w:sz w:val="16"/>
          <w:szCs w:val="16"/>
        </w:rPr>
        <w:softHyphen/>
        <w:t>вания Сухомлинов распорядился дозаказать ещё 32 «Муромца». По</w:t>
      </w:r>
      <w:r w:rsidRPr="00DE096C">
        <w:rPr>
          <w:bCs/>
          <w:color w:val="002060"/>
          <w:sz w:val="16"/>
          <w:szCs w:val="16"/>
        </w:rPr>
        <w:softHyphen/>
        <w:t>сле непродолжительных уточнений Шидловский подписал этот кон</w:t>
      </w:r>
      <w:r w:rsidRPr="00DE096C">
        <w:rPr>
          <w:bCs/>
          <w:color w:val="002060"/>
          <w:sz w:val="16"/>
          <w:szCs w:val="16"/>
        </w:rPr>
        <w:softHyphen/>
        <w:t>тракт 2 октября 1914 г. Таким обра</w:t>
      </w:r>
      <w:r w:rsidRPr="00DE096C">
        <w:rPr>
          <w:bCs/>
          <w:color w:val="002060"/>
          <w:sz w:val="16"/>
          <w:szCs w:val="16"/>
        </w:rPr>
        <w:softHyphen/>
        <w:t>зом, к весне 1915 г. русская армия должна была обладать армадой из 42 воздушных кораблей. Воздухо</w:t>
      </w:r>
      <w:r w:rsidRPr="00DE096C">
        <w:rPr>
          <w:bCs/>
          <w:color w:val="002060"/>
          <w:sz w:val="16"/>
          <w:szCs w:val="16"/>
        </w:rPr>
        <w:softHyphen/>
        <w:t>плавательное отделение РБВЗ под руководством Сикорского торопи</w:t>
      </w:r>
      <w:r w:rsidRPr="00DE096C">
        <w:rPr>
          <w:bCs/>
          <w:color w:val="002060"/>
          <w:sz w:val="16"/>
          <w:szCs w:val="16"/>
        </w:rPr>
        <w:softHyphen/>
        <w:t>лось с организацией серийного производства невиданных бомбо</w:t>
      </w:r>
      <w:r w:rsidRPr="00DE096C">
        <w:rPr>
          <w:bCs/>
          <w:color w:val="002060"/>
          <w:sz w:val="16"/>
          <w:szCs w:val="16"/>
        </w:rPr>
        <w:softHyphen/>
        <w:t>возов, но этот процесс продвигался не так быстро, как хотелось бы (23469).</w:t>
      </w:r>
    </w:p>
    <w:p w14:paraId="0E89748D" w14:textId="77777777" w:rsidR="00CC2D6D" w:rsidRPr="00DE096C" w:rsidRDefault="00CC2D6D" w:rsidP="00D45A46">
      <w:pPr>
        <w:pStyle w:val="af7"/>
        <w:spacing w:line="240" w:lineRule="auto"/>
        <w:jc w:val="both"/>
        <w:rPr>
          <w:rFonts w:ascii="Times New Roman" w:hAnsi="Times New Roman" w:cs="Times New Roman"/>
          <w:bCs/>
          <w:color w:val="002060"/>
          <w:sz w:val="16"/>
          <w:szCs w:val="16"/>
        </w:rPr>
      </w:pPr>
    </w:p>
    <w:p w14:paraId="4A48FAA5" w14:textId="77777777" w:rsidR="00CC2D6D" w:rsidRPr="00DE096C" w:rsidRDefault="00CC2D6D" w:rsidP="00D45A46">
      <w:pPr>
        <w:pStyle w:val="af7"/>
        <w:spacing w:line="240" w:lineRule="auto"/>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В конце июля 1914 г. приказом по Военному ведомст</w:t>
      </w:r>
      <w:r w:rsidRPr="00DE096C">
        <w:rPr>
          <w:rFonts w:ascii="Times New Roman" w:hAnsi="Times New Roman" w:cs="Times New Roman"/>
          <w:bCs/>
          <w:color w:val="002060"/>
          <w:sz w:val="16"/>
          <w:szCs w:val="16"/>
        </w:rPr>
        <w:softHyphen/>
        <w:t>ву утверждались боевые отряды воздушных кораблей «Илья Муромец». По этому же приказу надлежало укомплектовать 10 боевых кораблей. Главному управ</w:t>
      </w:r>
      <w:r w:rsidRPr="00DE096C">
        <w:rPr>
          <w:rFonts w:ascii="Times New Roman" w:hAnsi="Times New Roman" w:cs="Times New Roman"/>
          <w:bCs/>
          <w:color w:val="002060"/>
          <w:sz w:val="16"/>
          <w:szCs w:val="16"/>
        </w:rPr>
        <w:softHyphen/>
        <w:t>лению авиации предписывалось разработать времен</w:t>
      </w:r>
      <w:r w:rsidRPr="00DE096C">
        <w:rPr>
          <w:rFonts w:ascii="Times New Roman" w:hAnsi="Times New Roman" w:cs="Times New Roman"/>
          <w:bCs/>
          <w:color w:val="002060"/>
          <w:sz w:val="16"/>
          <w:szCs w:val="16"/>
        </w:rPr>
        <w:softHyphen/>
        <w:t>ный штат и положение о «Муромцах», а начальнику Гатчинской авиационной школы полковнику Ульянину С. А. поручалось организовать комплектование отрядов летным и техническим составом из имеющегося персонала летных школ. Сразу же встал вопрос о боевом использовании нового и нигде еще не применявшегося оружия. «Заказ на 10 «Илья Муромцев» предлагается распределить по крепостям — по два на крепостной отряд.</w:t>
      </w:r>
    </w:p>
    <w:p w14:paraId="6CC47956" w14:textId="77777777" w:rsidR="00CC2D6D" w:rsidRPr="00DE096C" w:rsidRDefault="00CC2D6D" w:rsidP="00D45A46">
      <w:pPr>
        <w:pStyle w:val="af7"/>
        <w:spacing w:line="240" w:lineRule="auto"/>
        <w:jc w:val="both"/>
        <w:rPr>
          <w:rFonts w:ascii="Times New Roman" w:hAnsi="Times New Roman" w:cs="Times New Roman"/>
          <w:bCs/>
          <w:color w:val="002060"/>
          <w:sz w:val="16"/>
          <w:szCs w:val="16"/>
        </w:rPr>
      </w:pPr>
    </w:p>
    <w:p w14:paraId="4EA77AA9" w14:textId="77777777" w:rsidR="00B67D7C" w:rsidRPr="00DE096C" w:rsidRDefault="00B67D7C" w:rsidP="00D45A46">
      <w:pPr>
        <w:jc w:val="both"/>
        <w:rPr>
          <w:bCs/>
          <w:i/>
          <w:color w:val="002060"/>
          <w:sz w:val="16"/>
          <w:szCs w:val="16"/>
        </w:rPr>
      </w:pPr>
      <w:r w:rsidRPr="00DE096C">
        <w:rPr>
          <w:bCs/>
          <w:i/>
          <w:color w:val="002060"/>
          <w:sz w:val="16"/>
          <w:szCs w:val="16"/>
        </w:rPr>
        <w:t>Морская авиация:</w:t>
      </w:r>
    </w:p>
    <w:p w14:paraId="0A1977D2" w14:textId="77777777" w:rsidR="00B67D7C" w:rsidRPr="00DE096C" w:rsidRDefault="00B67D7C" w:rsidP="00D45A46">
      <w:pPr>
        <w:jc w:val="both"/>
        <w:rPr>
          <w:bCs/>
          <w:i/>
          <w:color w:val="002060"/>
          <w:sz w:val="16"/>
          <w:szCs w:val="16"/>
        </w:rPr>
      </w:pPr>
    </w:p>
    <w:p w14:paraId="36A30927" w14:textId="1AB8EDC5" w:rsidR="00B67D7C" w:rsidRPr="00DE096C" w:rsidRDefault="007C2614" w:rsidP="00D45A46">
      <w:pPr>
        <w:jc w:val="both"/>
        <w:rPr>
          <w:bCs/>
          <w:color w:val="002060"/>
          <w:sz w:val="16"/>
          <w:szCs w:val="16"/>
        </w:rPr>
      </w:pPr>
      <w:bookmarkStart w:id="112" w:name="_Hlk117230653"/>
      <w:r w:rsidRPr="00DE096C">
        <w:rPr>
          <w:bCs/>
          <w:color w:val="002060"/>
          <w:sz w:val="16"/>
          <w:szCs w:val="16"/>
        </w:rPr>
        <w:t>В</w:t>
      </w:r>
      <w:r w:rsidR="00B67D7C" w:rsidRPr="00DE096C">
        <w:rPr>
          <w:bCs/>
          <w:color w:val="002060"/>
          <w:sz w:val="16"/>
          <w:szCs w:val="16"/>
        </w:rPr>
        <w:t xml:space="preserve"> конце июля 1914 г. Морскому генеральному штабу удалось приобрести два С- 10 с двигателями мощностью 124 л.с. и заказать самолеты типа "Дю- пердюссен" со сменным шасси.</w:t>
      </w:r>
    </w:p>
    <w:p w14:paraId="27A2EFD1" w14:textId="77777777" w:rsidR="00B67D7C" w:rsidRPr="00DE096C" w:rsidRDefault="00B67D7C" w:rsidP="00D45A46">
      <w:pPr>
        <w:jc w:val="both"/>
        <w:rPr>
          <w:bCs/>
          <w:color w:val="002060"/>
          <w:sz w:val="16"/>
          <w:szCs w:val="16"/>
        </w:rPr>
      </w:pPr>
      <w:r w:rsidRPr="00DE096C">
        <w:rPr>
          <w:bCs/>
          <w:color w:val="002060"/>
          <w:sz w:val="16"/>
          <w:szCs w:val="16"/>
        </w:rPr>
        <w:t>Полеты на воздушную разведку начались в ночь на 18 июля. Они ограничивалась обследованием береговой черты и прилегающей полосы моря. Из донесения начальника службы связи Балтийского моря контр-адмирало Непенина командующему флотом от 19 июля 1914 г.: "...открыла действии 2-я авиационная станция в селении Кильконд (полуостров Папенгольм на о. Эзель) на коковую перешёл полностью состав 1-й авиационной станции, находившейся в порту имени Александра III. После мобилизационного периода эта 1-я авиационная станция была развёрнута с ответственным дополнением прибывших по мобилизации чинов во 2-ю и 3-ю авиационные станции..."</w:t>
      </w:r>
    </w:p>
    <w:p w14:paraId="30D6E5D1" w14:textId="77777777" w:rsidR="00B67D7C" w:rsidRPr="00DE096C" w:rsidRDefault="00B67D7C" w:rsidP="00D45A46">
      <w:pPr>
        <w:jc w:val="both"/>
        <w:rPr>
          <w:bCs/>
          <w:color w:val="002060"/>
          <w:sz w:val="16"/>
          <w:szCs w:val="16"/>
        </w:rPr>
      </w:pPr>
      <w:r w:rsidRPr="00DE096C">
        <w:rPr>
          <w:bCs/>
          <w:color w:val="002060"/>
          <w:sz w:val="16"/>
          <w:szCs w:val="16"/>
        </w:rPr>
        <w:t>Впоследствии, 2-ю авиационную станцию со всем имуществом перевели в Ревель (Таллинн) где она и находилась в готовности к развёртыванию.</w:t>
      </w:r>
    </w:p>
    <w:p w14:paraId="3F3B41F1" w14:textId="77777777" w:rsidR="00B67D7C" w:rsidRPr="00DE096C" w:rsidRDefault="00B67D7C" w:rsidP="00D45A46">
      <w:pPr>
        <w:jc w:val="both"/>
        <w:rPr>
          <w:bCs/>
          <w:color w:val="002060"/>
          <w:sz w:val="16"/>
          <w:szCs w:val="16"/>
        </w:rPr>
      </w:pPr>
      <w:r w:rsidRPr="00DE096C">
        <w:rPr>
          <w:bCs/>
          <w:color w:val="002060"/>
          <w:sz w:val="16"/>
          <w:szCs w:val="16"/>
        </w:rPr>
        <w:t>Ввиду отсутствия радиостанций на самолётах, даже те скудные данные, которые удавалось получить экипажам, сообщались после посадки по телеграфу. От устаревшей информации польза была небольшой, что не могло не раздражать флотское командование. В условиях неблагоприятной погоды удалось организовать наблюдение до о. Готланд и за три четверти суток произвести восемь самолёто-вылетов (11927).</w:t>
      </w:r>
    </w:p>
    <w:p w14:paraId="5F5D8B2C" w14:textId="77777777" w:rsidR="00B67D7C" w:rsidRPr="00DE096C" w:rsidRDefault="00B67D7C" w:rsidP="00D45A46">
      <w:pPr>
        <w:jc w:val="both"/>
        <w:rPr>
          <w:bCs/>
          <w:color w:val="002060"/>
          <w:sz w:val="16"/>
          <w:szCs w:val="16"/>
        </w:rPr>
      </w:pPr>
    </w:p>
    <w:bookmarkEnd w:id="112"/>
    <w:p w14:paraId="194E5F87" w14:textId="77777777" w:rsidR="007C2614" w:rsidRPr="00DE096C" w:rsidRDefault="007C2614" w:rsidP="00D45A46">
      <w:pPr>
        <w:jc w:val="both"/>
        <w:rPr>
          <w:bCs/>
          <w:color w:val="002060"/>
          <w:sz w:val="16"/>
          <w:szCs w:val="16"/>
        </w:rPr>
      </w:pPr>
      <w:r w:rsidRPr="00DE096C">
        <w:rPr>
          <w:bCs/>
          <w:color w:val="002060"/>
          <w:sz w:val="16"/>
          <w:szCs w:val="16"/>
        </w:rPr>
        <w:t>В конце июля 1914 и началу войны в Севастополе базировались восемь гидросамолетов иностранного производства — французские «ФБА» и «Фарманы», а также американские «Кертисы-Ф и М». Первая мировая война не стала неожиданностью для ее участников. И все же военные действия нача</w:t>
      </w:r>
      <w:r w:rsidRPr="00DE096C">
        <w:rPr>
          <w:bCs/>
          <w:color w:val="002060"/>
          <w:sz w:val="16"/>
          <w:szCs w:val="16"/>
        </w:rPr>
        <w:softHyphen/>
        <w:t>лись в то время, когда Россия еще не успела перево</w:t>
      </w:r>
      <w:r w:rsidRPr="00DE096C">
        <w:rPr>
          <w:bCs/>
          <w:color w:val="002060"/>
          <w:sz w:val="16"/>
          <w:szCs w:val="16"/>
        </w:rPr>
        <w:softHyphen/>
        <w:t>оружить свой флот (553).</w:t>
      </w:r>
    </w:p>
    <w:p w14:paraId="6EB38419" w14:textId="77777777" w:rsidR="007C2614" w:rsidRPr="00DE096C" w:rsidRDefault="007C2614" w:rsidP="00D45A46">
      <w:pPr>
        <w:jc w:val="both"/>
        <w:rPr>
          <w:bCs/>
          <w:color w:val="002060"/>
          <w:sz w:val="16"/>
          <w:szCs w:val="16"/>
        </w:rPr>
      </w:pPr>
    </w:p>
    <w:p w14:paraId="026EA480" w14:textId="77777777" w:rsidR="00CC2D6D" w:rsidRPr="00DE096C" w:rsidRDefault="00CC2D6D" w:rsidP="00D45A46">
      <w:pPr>
        <w:jc w:val="both"/>
        <w:rPr>
          <w:bCs/>
          <w:color w:val="002060"/>
          <w:sz w:val="16"/>
          <w:szCs w:val="16"/>
        </w:rPr>
      </w:pPr>
      <w:r w:rsidRPr="00DE096C">
        <w:rPr>
          <w:bCs/>
          <w:color w:val="002060"/>
          <w:sz w:val="16"/>
          <w:szCs w:val="16"/>
          <w:lang w:bidi="en-US"/>
        </w:rPr>
        <w:t>В конце июля 1914 г. 1-я военно-морская авиабаза (1-го класса) в Либаве была заброшена из-за возможной военной угрозы. Часть летчиков отправилась в Ревель, где его восстановили. В начале июня на базе в Либаве было восемь офицеров, 125 солдат и девять самолетов, из которых только четыре были в рабочем состоянии. Ревельскую часть возглавил лейтенант Б. А. Щербачев, а затем командиры Д. В. Александров и С. А. Лишин. Остальные летчики были отправлены на 2-ю военно-морскую авиабазу (1-й класс) в Папенгольме (Килконд) (23525).</w:t>
      </w:r>
    </w:p>
    <w:p w14:paraId="69A96869" w14:textId="77777777" w:rsidR="00CC2D6D" w:rsidRPr="00DE096C" w:rsidRDefault="00CC2D6D" w:rsidP="00D45A46">
      <w:pPr>
        <w:pStyle w:val="af7"/>
        <w:spacing w:line="240" w:lineRule="auto"/>
        <w:jc w:val="both"/>
        <w:rPr>
          <w:rFonts w:ascii="Times New Roman" w:hAnsi="Times New Roman" w:cs="Times New Roman"/>
          <w:bCs/>
          <w:color w:val="002060"/>
          <w:sz w:val="16"/>
          <w:szCs w:val="16"/>
        </w:rPr>
      </w:pPr>
    </w:p>
    <w:p w14:paraId="0D01C89F" w14:textId="77777777" w:rsidR="007C2614" w:rsidRPr="00DE096C" w:rsidRDefault="007C2614" w:rsidP="00D45A46">
      <w:pPr>
        <w:jc w:val="both"/>
        <w:rPr>
          <w:bCs/>
          <w:i/>
          <w:iCs/>
          <w:color w:val="002060"/>
          <w:sz w:val="16"/>
          <w:szCs w:val="16"/>
        </w:rPr>
      </w:pPr>
      <w:r w:rsidRPr="00DE096C">
        <w:rPr>
          <w:bCs/>
          <w:i/>
          <w:iCs/>
          <w:color w:val="002060"/>
          <w:sz w:val="16"/>
          <w:szCs w:val="16"/>
        </w:rPr>
        <w:t>Воздухоплавание:</w:t>
      </w:r>
    </w:p>
    <w:p w14:paraId="187A2BB8" w14:textId="77777777" w:rsidR="007C2614" w:rsidRPr="00DE096C" w:rsidRDefault="007C2614" w:rsidP="00D45A46">
      <w:pPr>
        <w:jc w:val="both"/>
        <w:rPr>
          <w:bCs/>
          <w:color w:val="002060"/>
          <w:sz w:val="16"/>
          <w:szCs w:val="16"/>
        </w:rPr>
      </w:pPr>
    </w:p>
    <w:p w14:paraId="21EBEEEA" w14:textId="77777777" w:rsidR="007C2614" w:rsidRPr="00DE096C" w:rsidRDefault="007C2614" w:rsidP="00D45A46">
      <w:pPr>
        <w:jc w:val="both"/>
        <w:rPr>
          <w:bCs/>
          <w:color w:val="002060"/>
          <w:sz w:val="16"/>
          <w:szCs w:val="16"/>
        </w:rPr>
      </w:pPr>
      <w:r w:rsidRPr="00DE096C">
        <w:rPr>
          <w:bCs/>
          <w:color w:val="002060"/>
          <w:sz w:val="16"/>
          <w:szCs w:val="16"/>
        </w:rPr>
        <w:t>В конце июля 1914 к началу Первой мировой войны имелось 14 дирижаблей, но из них лишь 4 — «Альбатрос», «Астра», «Кондор» и «Буревестник» — по своим летно-техническим характеристикам могли с определенными оговорками считаться пригодными для участия в боевых действиях. В результате этого русские управляемые аэростаты в боевых операциях практически не применялись. «Кондор» решили не использовать вследствие малой скорости полета, «Буревестник» был наполнен газом в первой половине ноября 1914 года и выполнил несколько полетов, после чего его признали непригодным к работе в боевой обстановке и в марте 1915 года демонтировали (11324).</w:t>
      </w:r>
    </w:p>
    <w:p w14:paraId="73393BE8" w14:textId="77777777" w:rsidR="007C2614" w:rsidRPr="00DE096C" w:rsidRDefault="007C2614" w:rsidP="00D45A46">
      <w:pPr>
        <w:jc w:val="both"/>
        <w:rPr>
          <w:bCs/>
          <w:color w:val="002060"/>
          <w:sz w:val="16"/>
          <w:szCs w:val="16"/>
        </w:rPr>
      </w:pPr>
    </w:p>
    <w:p w14:paraId="75BC1642" w14:textId="77777777" w:rsidR="007C2614" w:rsidRPr="00DE096C" w:rsidRDefault="007C2614" w:rsidP="00D45A46">
      <w:pPr>
        <w:jc w:val="both"/>
        <w:rPr>
          <w:bCs/>
          <w:color w:val="002060"/>
          <w:sz w:val="16"/>
          <w:szCs w:val="16"/>
        </w:rPr>
      </w:pPr>
      <w:r w:rsidRPr="00DE096C">
        <w:rPr>
          <w:bCs/>
          <w:color w:val="002060"/>
          <w:sz w:val="16"/>
          <w:szCs w:val="16"/>
        </w:rPr>
        <w:t>В конце июля 1914 к началу первой мировой войны Россия имела следующие воздухоплавательные части;</w:t>
      </w:r>
    </w:p>
    <w:p w14:paraId="4BAEE03B" w14:textId="77777777" w:rsidR="007C2614" w:rsidRPr="00DE096C" w:rsidRDefault="007C2614" w:rsidP="00D45A46">
      <w:pPr>
        <w:jc w:val="both"/>
        <w:rPr>
          <w:bCs/>
          <w:color w:val="002060"/>
          <w:sz w:val="16"/>
          <w:szCs w:val="16"/>
        </w:rPr>
      </w:pPr>
      <w:r w:rsidRPr="00DE096C">
        <w:rPr>
          <w:bCs/>
          <w:color w:val="002060"/>
          <w:sz w:val="16"/>
          <w:szCs w:val="16"/>
        </w:rPr>
        <w:t>— 1 воздухоплавательный батальон двухротного состава (1 рота с управляемыми и 1 рота с привязными аэростатами);</w:t>
      </w:r>
    </w:p>
    <w:p w14:paraId="0EDD13D3" w14:textId="77777777" w:rsidR="007C2614" w:rsidRPr="00DE096C" w:rsidRDefault="007C2614" w:rsidP="00D45A46">
      <w:pPr>
        <w:jc w:val="both"/>
        <w:rPr>
          <w:bCs/>
          <w:color w:val="002060"/>
          <w:sz w:val="16"/>
          <w:szCs w:val="16"/>
        </w:rPr>
      </w:pPr>
      <w:r w:rsidRPr="00DE096C">
        <w:rPr>
          <w:bCs/>
          <w:color w:val="002060"/>
          <w:sz w:val="16"/>
          <w:szCs w:val="16"/>
        </w:rPr>
        <w:t>—— 4 воздухоплавательные роты с дирижаблями;</w:t>
      </w:r>
    </w:p>
    <w:p w14:paraId="524E37B4" w14:textId="77777777" w:rsidR="007C2614" w:rsidRPr="00DE096C" w:rsidRDefault="007C2614" w:rsidP="00D45A46">
      <w:pPr>
        <w:jc w:val="both"/>
        <w:rPr>
          <w:bCs/>
          <w:color w:val="002060"/>
          <w:sz w:val="16"/>
          <w:szCs w:val="16"/>
        </w:rPr>
      </w:pPr>
      <w:r w:rsidRPr="00DE096C">
        <w:rPr>
          <w:bCs/>
          <w:color w:val="002060"/>
          <w:sz w:val="16"/>
          <w:szCs w:val="16"/>
        </w:rPr>
        <w:t>— 7 крепостных воздухоплавательных пот (с привязными аэростатами);</w:t>
      </w:r>
    </w:p>
    <w:p w14:paraId="1DBBDB1F" w14:textId="77777777" w:rsidR="007C2614" w:rsidRPr="00DE096C" w:rsidRDefault="007C2614" w:rsidP="00D45A46">
      <w:pPr>
        <w:jc w:val="both"/>
        <w:rPr>
          <w:bCs/>
          <w:color w:val="002060"/>
          <w:sz w:val="16"/>
          <w:szCs w:val="16"/>
        </w:rPr>
      </w:pPr>
      <w:r w:rsidRPr="00DE096C">
        <w:rPr>
          <w:bCs/>
          <w:color w:val="002060"/>
          <w:sz w:val="16"/>
          <w:szCs w:val="16"/>
        </w:rPr>
        <w:t>— 1 крепостное воздухоплавательное отделение (в Свеа-борге).</w:t>
      </w:r>
    </w:p>
    <w:p w14:paraId="4AD1E8DC" w14:textId="77777777" w:rsidR="007C2614" w:rsidRPr="00DE096C" w:rsidRDefault="007C2614" w:rsidP="00D45A46">
      <w:pPr>
        <w:jc w:val="both"/>
        <w:rPr>
          <w:bCs/>
          <w:color w:val="002060"/>
          <w:sz w:val="16"/>
          <w:szCs w:val="16"/>
        </w:rPr>
      </w:pPr>
      <w:r w:rsidRPr="00DE096C">
        <w:rPr>
          <w:bCs/>
          <w:color w:val="002060"/>
          <w:sz w:val="16"/>
          <w:szCs w:val="16"/>
        </w:rPr>
        <w:t>В самом начале войны воздухоплавательный батальон был развернут в 3 отдельные роты: 1 рота с дирижаблями и 2 роты с привязными аэростатами.</w:t>
      </w:r>
    </w:p>
    <w:p w14:paraId="71DF2D64" w14:textId="77777777" w:rsidR="007C2614" w:rsidRPr="00DE096C" w:rsidRDefault="007C2614" w:rsidP="00D45A46">
      <w:pPr>
        <w:jc w:val="both"/>
        <w:rPr>
          <w:bCs/>
          <w:color w:val="002060"/>
          <w:sz w:val="16"/>
          <w:szCs w:val="16"/>
        </w:rPr>
      </w:pPr>
      <w:r w:rsidRPr="00DE096C">
        <w:rPr>
          <w:bCs/>
          <w:color w:val="002060"/>
          <w:sz w:val="16"/>
          <w:szCs w:val="16"/>
        </w:rPr>
        <w:t>Боевые действия дирижаблей были весьма ограничены, так как Россия имела только 4 дирижабля, пригодных для военных действий. На этих дирижаблях было совершено всего несколько полетов с целью разведки и бомбометания (на г. Лык, в район крепости Осовец и др.), в ходе которых дирижабли получили значительные повреждения, вследствие чего в дальнейшем боевых полетов на них не производилось.</w:t>
      </w:r>
    </w:p>
    <w:p w14:paraId="19DD3DA2" w14:textId="77777777" w:rsidR="007C2614" w:rsidRPr="00DE096C" w:rsidRDefault="007C2614" w:rsidP="00D45A46">
      <w:pPr>
        <w:jc w:val="both"/>
        <w:rPr>
          <w:bCs/>
          <w:color w:val="002060"/>
          <w:sz w:val="16"/>
          <w:szCs w:val="16"/>
        </w:rPr>
      </w:pPr>
      <w:r w:rsidRPr="00DE096C">
        <w:rPr>
          <w:bCs/>
          <w:color w:val="002060"/>
          <w:sz w:val="16"/>
          <w:szCs w:val="16"/>
        </w:rPr>
        <w:t>Более широко применялись привязные аэростаты, которые в условиях позиционной войны оказались хорошим средством для наблюдения за позициями противника и корректирования артил</w:t>
      </w:r>
      <w:r w:rsidRPr="00DE096C">
        <w:rPr>
          <w:bCs/>
          <w:color w:val="002060"/>
          <w:sz w:val="16"/>
          <w:szCs w:val="16"/>
        </w:rPr>
        <w:softHyphen/>
        <w:t>лерийского огня. Поэтому число воздухоплавательных частей с привязными аэростатами в русской армии непрерывно возра</w:t>
      </w:r>
      <w:r w:rsidRPr="00DE096C">
        <w:rPr>
          <w:bCs/>
          <w:color w:val="002060"/>
          <w:sz w:val="16"/>
          <w:szCs w:val="16"/>
        </w:rPr>
        <w:softHyphen/>
        <w:t>стало. В 1915 г. все крепостные воздухоплавательные роты были превращены в полевые, а общее число воздухоплавательных рот было доведено до 25. Воздухоплавательные роты передавались в ведение инспекторов артиллерии тех корпусов, которые они об</w:t>
      </w:r>
      <w:r w:rsidRPr="00DE096C">
        <w:rPr>
          <w:bCs/>
          <w:color w:val="002060"/>
          <w:sz w:val="16"/>
          <w:szCs w:val="16"/>
        </w:rPr>
        <w:softHyphen/>
        <w:t>служивали. В 1916 г. для увеличения числа наблюдательных станций воздухоплавательные роты сначала были превращены в двухстанционные, а затем часть рот — в трехстанционные.</w:t>
      </w:r>
    </w:p>
    <w:p w14:paraId="57921D55" w14:textId="77777777" w:rsidR="007C2614" w:rsidRPr="00DE096C" w:rsidRDefault="007C2614" w:rsidP="00D45A46">
      <w:pPr>
        <w:jc w:val="both"/>
        <w:rPr>
          <w:bCs/>
          <w:color w:val="002060"/>
          <w:sz w:val="16"/>
          <w:szCs w:val="16"/>
        </w:rPr>
      </w:pPr>
      <w:r w:rsidRPr="00DE096C">
        <w:rPr>
          <w:bCs/>
          <w:color w:val="002060"/>
          <w:sz w:val="16"/>
          <w:szCs w:val="16"/>
        </w:rPr>
        <w:t>К этому времени удалось хорошо наладить совместную работу артиллерии и воздухоплавательных частей. Артиллеристы выде</w:t>
      </w:r>
      <w:r w:rsidRPr="00DE096C">
        <w:rPr>
          <w:bCs/>
          <w:color w:val="002060"/>
          <w:sz w:val="16"/>
          <w:szCs w:val="16"/>
        </w:rPr>
        <w:softHyphen/>
        <w:t>ляли своих наблюдателей, которые поднимались на аэростатах и по телефону корректировали огонь батарей. Это значительно уве</w:t>
      </w:r>
      <w:r w:rsidRPr="00DE096C">
        <w:rPr>
          <w:bCs/>
          <w:color w:val="002060"/>
          <w:sz w:val="16"/>
          <w:szCs w:val="16"/>
        </w:rPr>
        <w:softHyphen/>
        <w:t>личивало эффективность артиллерийского огня (278).</w:t>
      </w:r>
    </w:p>
    <w:p w14:paraId="1B7C2989" w14:textId="77777777" w:rsidR="007C2614" w:rsidRPr="00DE096C" w:rsidRDefault="007C2614" w:rsidP="00D45A46">
      <w:pPr>
        <w:jc w:val="both"/>
        <w:rPr>
          <w:bCs/>
          <w:color w:val="002060"/>
          <w:sz w:val="16"/>
          <w:szCs w:val="16"/>
        </w:rPr>
      </w:pPr>
    </w:p>
    <w:p w14:paraId="05523694" w14:textId="77777777" w:rsidR="007C2614" w:rsidRPr="00DE096C" w:rsidRDefault="007C2614" w:rsidP="00D45A46">
      <w:pPr>
        <w:jc w:val="both"/>
        <w:rPr>
          <w:bCs/>
          <w:color w:val="002060"/>
          <w:sz w:val="16"/>
          <w:szCs w:val="16"/>
        </w:rPr>
      </w:pPr>
      <w:r w:rsidRPr="00DE096C">
        <w:rPr>
          <w:bCs/>
          <w:color w:val="002060"/>
          <w:sz w:val="16"/>
          <w:szCs w:val="16"/>
        </w:rPr>
        <w:t xml:space="preserve">В конце июля 1914 к началу Первой мировой войны в русской армии имелось 14 воздухоплавательных частей, в 1917 году их было уже 89, в том числе 2 морских. В 1914—1918 гг. в России было построено 700 аэростатов (А.И. Бернштейн, В.П. Кораблев, М.И. Павлушенко. Отечественное воздухоплавание. М.: Московская федерация воздухоплавания, 1994. Т. 1. - С. 184), разрозненные части выросли в отдельный род войск (А.И. Бернштейн, В.П. Кораблев, М.И. Павлушенко. Отечественное воздухоплавание. М.: Московская федерация воздухоплавания, 1994. Т. 1. - С. 196), способный решать многие боевые задачи, прежде всего разведки и корректировки артиллерийского огня (11168). </w:t>
      </w:r>
    </w:p>
    <w:p w14:paraId="3E047C05" w14:textId="77777777" w:rsidR="007C2614" w:rsidRPr="00DE096C" w:rsidRDefault="007C2614" w:rsidP="00D45A46">
      <w:pPr>
        <w:jc w:val="both"/>
        <w:rPr>
          <w:bCs/>
          <w:color w:val="002060"/>
          <w:sz w:val="16"/>
          <w:szCs w:val="16"/>
        </w:rPr>
      </w:pPr>
    </w:p>
    <w:p w14:paraId="4D16A4C1" w14:textId="77777777" w:rsidR="007C2614" w:rsidRPr="00DE096C" w:rsidRDefault="007C2614" w:rsidP="00D45A46">
      <w:pPr>
        <w:jc w:val="both"/>
        <w:rPr>
          <w:bCs/>
          <w:color w:val="002060"/>
          <w:sz w:val="16"/>
          <w:szCs w:val="16"/>
        </w:rPr>
      </w:pPr>
      <w:r w:rsidRPr="00DE096C">
        <w:rPr>
          <w:bCs/>
          <w:color w:val="002060"/>
          <w:sz w:val="16"/>
          <w:szCs w:val="16"/>
        </w:rPr>
        <w:t>В конце июля 1914 к началу первой мировой войны воздухоплавательные части располагали сорока шестью змейковыми аэростатами, которые оказали большую помощь русской армии в этой войне. (11240).</w:t>
      </w:r>
    </w:p>
    <w:p w14:paraId="78BB7140" w14:textId="77777777" w:rsidR="007C2614" w:rsidRPr="00DE096C" w:rsidRDefault="007C2614" w:rsidP="00D45A46">
      <w:pPr>
        <w:jc w:val="both"/>
        <w:rPr>
          <w:bCs/>
          <w:color w:val="002060"/>
          <w:sz w:val="16"/>
          <w:szCs w:val="16"/>
        </w:rPr>
      </w:pPr>
    </w:p>
    <w:p w14:paraId="49F4AF18" w14:textId="77777777" w:rsidR="007C2614" w:rsidRPr="00DE096C" w:rsidRDefault="007C2614" w:rsidP="00D45A46">
      <w:pPr>
        <w:jc w:val="both"/>
        <w:rPr>
          <w:bCs/>
          <w:color w:val="002060"/>
          <w:sz w:val="16"/>
          <w:szCs w:val="16"/>
        </w:rPr>
      </w:pPr>
      <w:r w:rsidRPr="00DE096C">
        <w:rPr>
          <w:bCs/>
          <w:color w:val="002060"/>
          <w:sz w:val="16"/>
          <w:szCs w:val="16"/>
        </w:rPr>
        <w:t>В конце июля 1914 накануне войны в России остались воздухоплавательные части (исключая части с управляемыми аэростатами) в Ковенской, Гродненской, Новогеоргиевской, Осовецкой, Брест-Литовской, Кар</w:t>
      </w:r>
      <w:r w:rsidRPr="00DE096C">
        <w:rPr>
          <w:bCs/>
          <w:color w:val="002060"/>
          <w:sz w:val="16"/>
          <w:szCs w:val="16"/>
        </w:rPr>
        <w:softHyphen/>
        <w:t>ской и Владивостокской крепостях (крепостные части). В Свеаборге было воздухоплавательное отделение (11042,149). Разработка вспомогательной материальной части для полевых воздухоплавательных отрядов проходила крайне медленно (11042,149).</w:t>
      </w:r>
    </w:p>
    <w:p w14:paraId="4AEDF586" w14:textId="77777777" w:rsidR="007C2614" w:rsidRPr="00DE096C" w:rsidRDefault="007C2614" w:rsidP="00D45A46">
      <w:pPr>
        <w:jc w:val="both"/>
        <w:rPr>
          <w:bCs/>
          <w:color w:val="002060"/>
          <w:sz w:val="16"/>
          <w:szCs w:val="16"/>
        </w:rPr>
      </w:pPr>
    </w:p>
    <w:p w14:paraId="25F0EC4C" w14:textId="77777777" w:rsidR="007C2614" w:rsidRPr="00DE096C" w:rsidRDefault="007C2614" w:rsidP="00D45A46">
      <w:pPr>
        <w:jc w:val="both"/>
        <w:rPr>
          <w:bCs/>
          <w:color w:val="002060"/>
          <w:sz w:val="16"/>
          <w:szCs w:val="16"/>
        </w:rPr>
      </w:pPr>
      <w:r w:rsidRPr="00DE096C">
        <w:rPr>
          <w:bCs/>
          <w:color w:val="002060"/>
          <w:sz w:val="16"/>
          <w:szCs w:val="16"/>
        </w:rPr>
        <w:t>Не в лучшем положении находилось и русское воздухоплава</w:t>
      </w:r>
      <w:r w:rsidRPr="00DE096C">
        <w:rPr>
          <w:bCs/>
          <w:color w:val="002060"/>
          <w:sz w:val="16"/>
          <w:szCs w:val="16"/>
        </w:rPr>
        <w:softHyphen/>
        <w:t>ние. В личном архиве А. М. Кованько удалось обнаружить под</w:t>
      </w:r>
      <w:r w:rsidRPr="00DE096C">
        <w:rPr>
          <w:bCs/>
          <w:color w:val="002060"/>
          <w:sz w:val="16"/>
          <w:szCs w:val="16"/>
        </w:rPr>
        <w:softHyphen/>
        <w:t>робную докладную записку его царю «О постановке военно-возду</w:t>
      </w:r>
      <w:r w:rsidRPr="00DE096C">
        <w:rPr>
          <w:bCs/>
          <w:color w:val="002060"/>
          <w:sz w:val="16"/>
          <w:szCs w:val="16"/>
        </w:rPr>
        <w:softHyphen/>
        <w:t>хоплавательного дела в России». В этой записке А. .М. Кованько указывал на то, что «Германия лихорадочно строит свой воздуш</w:t>
      </w:r>
      <w:r w:rsidRPr="00DE096C">
        <w:rPr>
          <w:bCs/>
          <w:color w:val="002060"/>
          <w:sz w:val="16"/>
          <w:szCs w:val="16"/>
        </w:rPr>
        <w:softHyphen/>
        <w:t>ный флот», который качественно превосходит русский воздушный флот. В самом деле, Германия к этому времени располагала Цеп</w:t>
      </w:r>
      <w:r w:rsidRPr="00DE096C">
        <w:rPr>
          <w:bCs/>
          <w:color w:val="002060"/>
          <w:sz w:val="16"/>
          <w:szCs w:val="16"/>
        </w:rPr>
        <w:softHyphen/>
        <w:t>пелинами», которые были способны по двое суток оставаться э воздухе, развивали скорость около 100 км/ч и могли нести значи</w:t>
      </w:r>
      <w:r w:rsidRPr="00DE096C">
        <w:rPr>
          <w:bCs/>
          <w:color w:val="002060"/>
          <w:sz w:val="16"/>
          <w:szCs w:val="16"/>
        </w:rPr>
        <w:softHyphen/>
        <w:t>тельное количество взрывчатых веществ (11042,245).</w:t>
      </w:r>
    </w:p>
    <w:p w14:paraId="26A5F88D" w14:textId="77777777" w:rsidR="007C2614" w:rsidRPr="00DE096C" w:rsidRDefault="007C2614" w:rsidP="00D45A46">
      <w:pPr>
        <w:jc w:val="both"/>
        <w:rPr>
          <w:bCs/>
          <w:color w:val="002060"/>
          <w:sz w:val="16"/>
          <w:szCs w:val="16"/>
        </w:rPr>
      </w:pPr>
      <w:r w:rsidRPr="00DE096C">
        <w:rPr>
          <w:bCs/>
          <w:color w:val="002060"/>
          <w:sz w:val="16"/>
          <w:szCs w:val="16"/>
        </w:rPr>
        <w:t>В конце июля 1914 к началу первой мировой войны Россия имела уже 15 дирижаблей — семь из них отечественной постройки, ос</w:t>
      </w:r>
      <w:r w:rsidRPr="00DE096C">
        <w:rPr>
          <w:bCs/>
          <w:color w:val="002060"/>
          <w:sz w:val="16"/>
          <w:szCs w:val="16"/>
        </w:rPr>
        <w:softHyphen/>
        <w:t>тальные приобретены за границей. По количеству воздуш</w:t>
      </w:r>
      <w:r w:rsidRPr="00DE096C">
        <w:rPr>
          <w:bCs/>
          <w:color w:val="002060"/>
          <w:sz w:val="16"/>
          <w:szCs w:val="16"/>
        </w:rPr>
        <w:softHyphen/>
        <w:t>ных кораблей Россия в это время занимала вместе с Фран</w:t>
      </w:r>
      <w:r w:rsidRPr="00DE096C">
        <w:rPr>
          <w:bCs/>
          <w:color w:val="002060"/>
          <w:sz w:val="16"/>
          <w:szCs w:val="16"/>
        </w:rPr>
        <w:softHyphen/>
        <w:t>цией второе место после Германии, у которой насчитыва лось 24 дирижабля. Во Франции было 15 дирижаблей, в Италии 11, в Англии — 7. Но по общей кубатуре управляе</w:t>
      </w:r>
      <w:r w:rsidRPr="00DE096C">
        <w:rPr>
          <w:bCs/>
          <w:color w:val="002060"/>
          <w:sz w:val="16"/>
          <w:szCs w:val="16"/>
        </w:rPr>
        <w:softHyphen/>
        <w:t>мых аэростатов Россия занимала четвертое место в мире. Первое место принадлежало Германии, второе Франции, третье — Италии (11098). Однако к началу первой мировой войны дирижабли, торые имела Россия, морально устарели и мало удов творяли требованиям военного времени (11098).</w:t>
      </w:r>
    </w:p>
    <w:p w14:paraId="483D0400" w14:textId="77777777" w:rsidR="007C2614" w:rsidRPr="00DE096C" w:rsidRDefault="007C2614" w:rsidP="00D45A46">
      <w:pPr>
        <w:jc w:val="both"/>
        <w:rPr>
          <w:bCs/>
          <w:color w:val="002060"/>
          <w:sz w:val="16"/>
          <w:szCs w:val="16"/>
        </w:rPr>
      </w:pPr>
    </w:p>
    <w:p w14:paraId="67CF587A" w14:textId="77777777" w:rsidR="007C2614" w:rsidRPr="00DE096C" w:rsidRDefault="007C2614" w:rsidP="00D45A46">
      <w:pPr>
        <w:jc w:val="both"/>
        <w:rPr>
          <w:bCs/>
          <w:color w:val="002060"/>
          <w:sz w:val="16"/>
          <w:szCs w:val="16"/>
        </w:rPr>
      </w:pPr>
      <w:r w:rsidRPr="00DE096C">
        <w:rPr>
          <w:bCs/>
          <w:color w:val="002060"/>
          <w:sz w:val="16"/>
          <w:szCs w:val="16"/>
        </w:rPr>
        <w:t>В конце июля 1914 к началу первой мировой войны имелось 14 дирижаблей, но из них лишь четыре - «Альбатрос», «Астра», «Кондор» и «Буревестник» - по своим летно-техническим характеристикам могли с определенными оговорками считаться пригодными для участия в боевых действиях. В результате этого русские управляемые аэростаты в боевых операциях практически не применялись. «Кондор» решили не использовать вследствие малой скорости полета, «Буревестник» был наполнен газом в первой половине ноября 1914 г. и выполнил несколько полетов, после чего его признали непригодным к работе в боевой обстановке и в марте 1915 г. демонтировали. Лишь дирижабль «Астра» в мае - июне 1915 г. выполнил три ночных полета с бомбометанием в расположение германских войск. В этих полетах дирижабль получил много повреждений и в дальнейшем почти не эксплуатировался. Во второй половине июня 1915 г. «Астру» демонтировали. Если в 1911 г. отечественные дирижабли были в состоянии конкурировать с отдельными заграничными управляемыми аэростатами, то через три года они уже значительно уступали зарубежным. Например, построенный в 1913 г. «Альбатрос» не превосходил по своим характеристикам французские дирижабли своего класса, появившиеся еще в 1910 г. Кроме того, как уже отмечалось, за рубежом приобретались не лучшие, а иногда даже выходившие из употребления аппараты. Так, купленный «Parseval XIV» значительно уступал построенному в Германии для своей армии дирижаблю «Parseval XVI». Тем не менее, в проектах и конструкциях дирижаблей отечественной постройки того времени было немало оригинальных технических решений, предложенных и реализованных намного раньше, чем на зарубежных управляемых аэростатах, и получивших широкое распространение на дальнейших этапах развития дирижаблестроения.</w:t>
      </w:r>
    </w:p>
    <w:p w14:paraId="1882306A" w14:textId="77777777" w:rsidR="007C2614" w:rsidRPr="00DE096C" w:rsidRDefault="007C2614" w:rsidP="00D45A46">
      <w:pPr>
        <w:jc w:val="both"/>
        <w:rPr>
          <w:bCs/>
          <w:color w:val="002060"/>
          <w:sz w:val="16"/>
          <w:szCs w:val="16"/>
        </w:rPr>
      </w:pPr>
    </w:p>
    <w:p w14:paraId="55882228" w14:textId="77777777" w:rsidR="007C2614" w:rsidRPr="00DE096C" w:rsidRDefault="007C2614" w:rsidP="00D45A46">
      <w:pPr>
        <w:jc w:val="both"/>
        <w:rPr>
          <w:bCs/>
          <w:color w:val="002060"/>
          <w:sz w:val="16"/>
          <w:szCs w:val="16"/>
        </w:rPr>
      </w:pPr>
      <w:r w:rsidRPr="00DE096C">
        <w:rPr>
          <w:bCs/>
          <w:color w:val="002060"/>
          <w:sz w:val="16"/>
          <w:szCs w:val="16"/>
        </w:rPr>
        <w:t>В конце июля 1914 к началу первой мировой войны 1914—1918 г. воздухоплава</w:t>
      </w:r>
      <w:r w:rsidRPr="00DE096C">
        <w:rPr>
          <w:bCs/>
          <w:color w:val="002060"/>
          <w:sz w:val="16"/>
          <w:szCs w:val="16"/>
        </w:rPr>
        <w:softHyphen/>
        <w:t>тельные части располагали 46 змейковыми аэростатами, которые оказали немалую помощь русской армии в этой войне (11042,149).</w:t>
      </w:r>
    </w:p>
    <w:p w14:paraId="62933597" w14:textId="77777777" w:rsidR="007C2614" w:rsidRPr="00DE096C" w:rsidRDefault="007C2614" w:rsidP="00D45A46">
      <w:pPr>
        <w:jc w:val="both"/>
        <w:rPr>
          <w:bCs/>
          <w:color w:val="002060"/>
          <w:sz w:val="16"/>
          <w:szCs w:val="16"/>
        </w:rPr>
      </w:pPr>
    </w:p>
    <w:p w14:paraId="447BD29F" w14:textId="77777777" w:rsidR="007C2614" w:rsidRPr="00DE096C" w:rsidRDefault="007C2614" w:rsidP="00D45A46">
      <w:pPr>
        <w:jc w:val="both"/>
        <w:rPr>
          <w:bCs/>
          <w:color w:val="002060"/>
          <w:sz w:val="16"/>
          <w:szCs w:val="16"/>
        </w:rPr>
      </w:pPr>
      <w:r w:rsidRPr="00DE096C">
        <w:rPr>
          <w:bCs/>
          <w:color w:val="002060"/>
          <w:sz w:val="16"/>
          <w:szCs w:val="16"/>
        </w:rPr>
        <w:t>В конце июля 1914 г. к началу войны, в России было всего 37 моторных лебедок (11042,150).</w:t>
      </w:r>
    </w:p>
    <w:p w14:paraId="5D4C05C3" w14:textId="77777777" w:rsidR="007C2614" w:rsidRPr="00DE096C" w:rsidRDefault="007C2614" w:rsidP="00D45A46">
      <w:pPr>
        <w:jc w:val="both"/>
        <w:rPr>
          <w:bCs/>
          <w:color w:val="002060"/>
          <w:sz w:val="16"/>
          <w:szCs w:val="16"/>
        </w:rPr>
      </w:pPr>
      <w:r w:rsidRPr="00DE096C">
        <w:rPr>
          <w:bCs/>
          <w:color w:val="002060"/>
          <w:sz w:val="16"/>
          <w:szCs w:val="16"/>
        </w:rPr>
        <w:t>Одновременно конная лебедка была поставлена на колеса русской скорострельной пушки и приспособлена для работы как со сферическим, так и со змейковым аэростатами. Но производ</w:t>
      </w:r>
      <w:r w:rsidRPr="00DE096C">
        <w:rPr>
          <w:bCs/>
          <w:color w:val="002060"/>
          <w:sz w:val="16"/>
          <w:szCs w:val="16"/>
        </w:rPr>
        <w:softHyphen/>
        <w:t>ство таких лебедок было далеко недостаточным, и к началу вой</w:t>
      </w:r>
      <w:r w:rsidRPr="00DE096C">
        <w:rPr>
          <w:bCs/>
          <w:color w:val="002060"/>
          <w:sz w:val="16"/>
          <w:szCs w:val="16"/>
        </w:rPr>
        <w:softHyphen/>
        <w:t>ны насчитывалось всего восемь лебедок, причем все они имели конную тягу (11042,150).</w:t>
      </w:r>
    </w:p>
    <w:p w14:paraId="4885E82D" w14:textId="77777777" w:rsidR="007C2614" w:rsidRPr="00DE096C" w:rsidRDefault="007C2614" w:rsidP="00D45A46">
      <w:pPr>
        <w:jc w:val="both"/>
        <w:rPr>
          <w:bCs/>
          <w:color w:val="002060"/>
          <w:sz w:val="16"/>
          <w:szCs w:val="16"/>
        </w:rPr>
      </w:pPr>
      <w:r w:rsidRPr="00DE096C">
        <w:rPr>
          <w:bCs/>
          <w:color w:val="002060"/>
          <w:sz w:val="16"/>
          <w:szCs w:val="16"/>
        </w:rPr>
        <w:t>Вопросы, газоснабжения также не были полностью разре</w:t>
      </w:r>
      <w:r w:rsidRPr="00DE096C">
        <w:rPr>
          <w:bCs/>
          <w:color w:val="002060"/>
          <w:sz w:val="16"/>
          <w:szCs w:val="16"/>
        </w:rPr>
        <w:softHyphen/>
        <w:t>шены (11042,150).</w:t>
      </w:r>
    </w:p>
    <w:p w14:paraId="5428D41F" w14:textId="77777777" w:rsidR="007C2614" w:rsidRPr="00DE096C" w:rsidRDefault="007C2614" w:rsidP="00D45A46">
      <w:pPr>
        <w:jc w:val="both"/>
        <w:rPr>
          <w:bCs/>
          <w:color w:val="002060"/>
          <w:sz w:val="16"/>
          <w:szCs w:val="16"/>
        </w:rPr>
      </w:pPr>
    </w:p>
    <w:p w14:paraId="3D5E97EE" w14:textId="77777777" w:rsidR="007C2614" w:rsidRPr="00DE096C" w:rsidRDefault="007C2614" w:rsidP="00D45A46">
      <w:pPr>
        <w:jc w:val="both"/>
        <w:rPr>
          <w:bCs/>
          <w:color w:val="002060"/>
          <w:sz w:val="16"/>
          <w:szCs w:val="16"/>
        </w:rPr>
      </w:pPr>
      <w:r w:rsidRPr="00DE096C">
        <w:rPr>
          <w:bCs/>
          <w:color w:val="002060"/>
          <w:sz w:val="16"/>
          <w:szCs w:val="16"/>
        </w:rPr>
        <w:t xml:space="preserve">В конце июля 1914 г. к началу Первой мировой войны русское военное воздухоплавание уже имело в своем составе по списку 15 дирижаблей (в строю было 13 дирижаблей). </w:t>
      </w:r>
    </w:p>
    <w:p w14:paraId="70F76A29" w14:textId="77777777" w:rsidR="007C2614" w:rsidRPr="00DE096C" w:rsidRDefault="007C2614" w:rsidP="00D45A46">
      <w:pPr>
        <w:jc w:val="both"/>
        <w:rPr>
          <w:bCs/>
          <w:color w:val="002060"/>
          <w:sz w:val="16"/>
          <w:szCs w:val="16"/>
        </w:rPr>
      </w:pPr>
      <w:r w:rsidRPr="00DE096C">
        <w:rPr>
          <w:bCs/>
          <w:color w:val="002060"/>
          <w:sz w:val="16"/>
          <w:szCs w:val="16"/>
        </w:rPr>
        <w:t xml:space="preserve">Однако значительная часть дирижаблей была малопригодна для боевого использования. Большинство дирижаблей являлись учебными, с объемом около 2500 кубометров. И только четыре дирижабля имели объем около 10 000 кубометров. Скорость полета большинства дирижаблей равнялась 35–45 километрам в час, и лишь три дирижабля развивали скорость 65 километров в час. </w:t>
      </w:r>
    </w:p>
    <w:p w14:paraId="5EB0ABE4" w14:textId="77777777" w:rsidR="007C2614" w:rsidRPr="00DE096C" w:rsidRDefault="007C2614" w:rsidP="00D45A46">
      <w:pPr>
        <w:jc w:val="both"/>
        <w:rPr>
          <w:bCs/>
          <w:color w:val="002060"/>
          <w:sz w:val="16"/>
          <w:szCs w:val="16"/>
        </w:rPr>
      </w:pPr>
      <w:r w:rsidRPr="00DE096C">
        <w:rPr>
          <w:bCs/>
          <w:color w:val="002060"/>
          <w:sz w:val="16"/>
          <w:szCs w:val="16"/>
        </w:rPr>
        <w:t xml:space="preserve">Перед началом Первой мировой войны был представлен царю и в Государственную думу перспективный план развития управляемого воздухоплавания. По этому плану в России к 1917 году предполагалось иметь три воздухоплавательные дивизии, по две воздухоплавательные бригады в каждой. Бригада должна была состоять из четырех дирижаблей жесткого типа и одного флагманского дирижабля. Всего по этому плану в России намечалось иметь 30 боевых дирижаблей (не считая учебных и запасных). </w:t>
      </w:r>
    </w:p>
    <w:p w14:paraId="3ABF338D" w14:textId="77777777" w:rsidR="007C2614" w:rsidRPr="00DE096C" w:rsidRDefault="007C2614" w:rsidP="00D45A46">
      <w:pPr>
        <w:jc w:val="both"/>
        <w:rPr>
          <w:bCs/>
          <w:color w:val="002060"/>
          <w:sz w:val="16"/>
          <w:szCs w:val="16"/>
        </w:rPr>
      </w:pPr>
      <w:r w:rsidRPr="00DE096C">
        <w:rPr>
          <w:bCs/>
          <w:color w:val="002060"/>
          <w:sz w:val="16"/>
          <w:szCs w:val="16"/>
        </w:rPr>
        <w:t>Хорошо были разработаны в перспективном плане вопросы строительства наземных баз и промежуточных якорных стоянок, а также вопросы развития отечественной воздухоплавательной промышленности. По этому плану воздухоплавание должно было выделиться из системы инженерного ведомства и организационно стать самостоятельным воздухоплавательным флотом ((11335)).</w:t>
      </w:r>
    </w:p>
    <w:p w14:paraId="54298D60" w14:textId="77777777" w:rsidR="007C2614" w:rsidRPr="00DE096C" w:rsidRDefault="007C2614" w:rsidP="00D45A46">
      <w:pPr>
        <w:jc w:val="both"/>
        <w:rPr>
          <w:bCs/>
          <w:color w:val="002060"/>
          <w:sz w:val="16"/>
          <w:szCs w:val="16"/>
        </w:rPr>
      </w:pPr>
    </w:p>
    <w:p w14:paraId="59217DF4" w14:textId="77777777" w:rsidR="007C2614" w:rsidRPr="00DE096C" w:rsidRDefault="007C2614" w:rsidP="00D45A46">
      <w:pPr>
        <w:jc w:val="both"/>
        <w:rPr>
          <w:rFonts w:eastAsia="Franklin Gothic Book"/>
          <w:bCs/>
          <w:color w:val="002060"/>
          <w:sz w:val="16"/>
          <w:szCs w:val="16"/>
        </w:rPr>
      </w:pPr>
      <w:bookmarkStart w:id="113" w:name="_Hlk117186226"/>
      <w:r w:rsidRPr="00DE096C">
        <w:rPr>
          <w:bCs/>
          <w:color w:val="002060"/>
          <w:sz w:val="16"/>
          <w:szCs w:val="16"/>
        </w:rPr>
        <w:lastRenderedPageBreak/>
        <w:t xml:space="preserve">В конце июля 1914 </w:t>
      </w:r>
      <w:bookmarkEnd w:id="113"/>
      <w:r w:rsidRPr="00DE096C">
        <w:rPr>
          <w:bCs/>
          <w:color w:val="002060"/>
          <w:sz w:val="16"/>
          <w:szCs w:val="16"/>
        </w:rPr>
        <w:t>у</w:t>
      </w:r>
      <w:r w:rsidRPr="00DE096C">
        <w:rPr>
          <w:rFonts w:eastAsia="Franklin Gothic Book"/>
          <w:bCs/>
          <w:color w:val="002060"/>
          <w:sz w:val="16"/>
          <w:szCs w:val="16"/>
        </w:rPr>
        <w:t>же в первые дни войны командующий Бал</w:t>
      </w:r>
      <w:r w:rsidRPr="00DE096C">
        <w:rPr>
          <w:rFonts w:eastAsia="Franklin Gothic Book"/>
          <w:bCs/>
          <w:color w:val="002060"/>
          <w:sz w:val="16"/>
          <w:szCs w:val="16"/>
        </w:rPr>
        <w:softHyphen/>
        <w:t>тийским флотом адмирал Н.О. Эссен обратился в Морской генеральный штаб с просьбой о вы</w:t>
      </w:r>
      <w:r w:rsidRPr="00DE096C">
        <w:rPr>
          <w:rFonts w:eastAsia="Franklin Gothic Book"/>
          <w:bCs/>
          <w:color w:val="002060"/>
          <w:sz w:val="16"/>
          <w:szCs w:val="16"/>
        </w:rPr>
        <w:softHyphen/>
        <w:t>делении дирижабля для ведения воздушной раз</w:t>
      </w:r>
      <w:r w:rsidRPr="00DE096C">
        <w:rPr>
          <w:rFonts w:eastAsia="Franklin Gothic Book"/>
          <w:bCs/>
          <w:color w:val="002060"/>
          <w:sz w:val="16"/>
          <w:szCs w:val="16"/>
        </w:rPr>
        <w:softHyphen/>
        <w:t>ведки. Причиной такого обращения послужили сомнения Эссена в целесообразности примене</w:t>
      </w:r>
      <w:r w:rsidRPr="00DE096C">
        <w:rPr>
          <w:rFonts w:eastAsia="Franklin Gothic Book"/>
          <w:bCs/>
          <w:color w:val="002060"/>
          <w:sz w:val="16"/>
          <w:szCs w:val="16"/>
        </w:rPr>
        <w:softHyphen/>
        <w:t>ния для этого самолётов, вызванные гибелью 17 июля 1914 г. в период мобилизации флота по</w:t>
      </w:r>
      <w:r w:rsidRPr="00DE096C">
        <w:rPr>
          <w:rFonts w:eastAsia="Franklin Gothic Book"/>
          <w:bCs/>
          <w:color w:val="002060"/>
          <w:sz w:val="16"/>
          <w:szCs w:val="16"/>
        </w:rPr>
        <w:softHyphen/>
        <w:t>плавкового варианта «Ильи Муромца», уничто</w:t>
      </w:r>
      <w:r w:rsidRPr="00DE096C">
        <w:rPr>
          <w:rFonts w:eastAsia="Franklin Gothic Book"/>
          <w:bCs/>
          <w:color w:val="002060"/>
          <w:sz w:val="16"/>
          <w:szCs w:val="16"/>
        </w:rPr>
        <w:softHyphen/>
        <w:t>женного своим экипажем вследствие неверной оценки обстановки (20120).</w:t>
      </w:r>
    </w:p>
    <w:p w14:paraId="74E9F0EC" w14:textId="77777777" w:rsidR="007C2614" w:rsidRPr="00DE096C" w:rsidRDefault="007C2614" w:rsidP="00D45A46">
      <w:pPr>
        <w:jc w:val="both"/>
        <w:rPr>
          <w:bCs/>
          <w:color w:val="002060"/>
          <w:sz w:val="16"/>
          <w:szCs w:val="16"/>
        </w:rPr>
      </w:pPr>
    </w:p>
    <w:p w14:paraId="4DCC9488" w14:textId="77777777" w:rsidR="007C2614" w:rsidRPr="00DE096C" w:rsidRDefault="007C2614" w:rsidP="00D45A46">
      <w:pPr>
        <w:jc w:val="both"/>
        <w:rPr>
          <w:bCs/>
          <w:color w:val="002060"/>
          <w:sz w:val="16"/>
          <w:szCs w:val="16"/>
        </w:rPr>
      </w:pPr>
      <w:r w:rsidRPr="00DE096C">
        <w:rPr>
          <w:bCs/>
          <w:color w:val="002060"/>
          <w:sz w:val="16"/>
          <w:szCs w:val="16"/>
        </w:rPr>
        <w:t>В конце июля 1914 к августу 1914 г. в Рос</w:t>
      </w:r>
      <w:r w:rsidRPr="00DE096C">
        <w:rPr>
          <w:bCs/>
          <w:color w:val="002060"/>
          <w:sz w:val="16"/>
          <w:szCs w:val="16"/>
        </w:rPr>
        <w:softHyphen/>
        <w:t>сии имелось всего 37 моторных лебёдок отече</w:t>
      </w:r>
      <w:r w:rsidRPr="00DE096C">
        <w:rPr>
          <w:bCs/>
          <w:color w:val="002060"/>
          <w:sz w:val="16"/>
          <w:szCs w:val="16"/>
        </w:rPr>
        <w:softHyphen/>
        <w:t>ственного и германского производства. Конную лебёдку установили на передок скорострельной пушки и приспособили для работы как со сфе</w:t>
      </w:r>
      <w:r w:rsidRPr="00DE096C">
        <w:rPr>
          <w:bCs/>
          <w:color w:val="002060"/>
          <w:sz w:val="16"/>
          <w:szCs w:val="16"/>
        </w:rPr>
        <w:softHyphen/>
        <w:t>рическим, так и со змейковым аэростатом. Но и таких лебёдок к августу 1914 г. имелось всего восемь единиц. Лебёдки наиболее совершенно</w:t>
      </w:r>
      <w:r w:rsidRPr="00DE096C">
        <w:rPr>
          <w:bCs/>
          <w:color w:val="002060"/>
          <w:sz w:val="16"/>
          <w:szCs w:val="16"/>
        </w:rPr>
        <w:softHyphen/>
        <w:t>го типа — на автомобильном ходу — в воздухо</w:t>
      </w:r>
      <w:r w:rsidRPr="00DE096C">
        <w:rPr>
          <w:bCs/>
          <w:color w:val="002060"/>
          <w:sz w:val="16"/>
          <w:szCs w:val="16"/>
        </w:rPr>
        <w:softHyphen/>
        <w:t>плавательных частях отсутствовали (20120).</w:t>
      </w:r>
    </w:p>
    <w:p w14:paraId="3C6AF68E" w14:textId="77777777" w:rsidR="007C2614" w:rsidRPr="00DE096C" w:rsidRDefault="007C2614" w:rsidP="00D45A46">
      <w:pPr>
        <w:jc w:val="both"/>
        <w:rPr>
          <w:bCs/>
          <w:color w:val="002060"/>
          <w:sz w:val="16"/>
          <w:szCs w:val="16"/>
        </w:rPr>
      </w:pPr>
    </w:p>
    <w:p w14:paraId="08373090" w14:textId="77777777" w:rsidR="00CC2D6D" w:rsidRPr="00DE096C" w:rsidRDefault="00CC2D6D" w:rsidP="00D45A46">
      <w:pPr>
        <w:jc w:val="both"/>
        <w:rPr>
          <w:bCs/>
          <w:color w:val="002060"/>
          <w:sz w:val="16"/>
          <w:szCs w:val="16"/>
          <w:lang w:bidi="en-US"/>
        </w:rPr>
      </w:pPr>
      <w:r w:rsidRPr="00DE096C">
        <w:rPr>
          <w:bCs/>
          <w:color w:val="002060"/>
          <w:sz w:val="16"/>
          <w:szCs w:val="16"/>
          <w:lang w:bidi="en-US"/>
        </w:rPr>
        <w:t>К концу июля 1914 г. было известно, что российские дирижабли базировались в Санкт-Петербурге, Сализи, под Гатчиной, Лидой, Барановичами, Двинском, Брест-Литовске, Пскове, Ковно, Минске, Луцке, Бердичеве, Витебске, Гомеле и Киеве (23525).</w:t>
      </w:r>
    </w:p>
    <w:p w14:paraId="484EB970" w14:textId="77777777" w:rsidR="00CC2D6D" w:rsidRPr="00DE096C" w:rsidRDefault="00CC2D6D" w:rsidP="00D45A46">
      <w:pPr>
        <w:jc w:val="both"/>
        <w:rPr>
          <w:bCs/>
          <w:color w:val="002060"/>
          <w:sz w:val="16"/>
          <w:szCs w:val="16"/>
        </w:rPr>
      </w:pPr>
    </w:p>
    <w:p w14:paraId="6E81748F" w14:textId="77777777" w:rsidR="007C2614" w:rsidRPr="00DE096C" w:rsidRDefault="007C2614" w:rsidP="00D45A46">
      <w:pPr>
        <w:jc w:val="both"/>
        <w:rPr>
          <w:bCs/>
          <w:i/>
          <w:iCs/>
          <w:color w:val="002060"/>
          <w:sz w:val="16"/>
          <w:szCs w:val="16"/>
        </w:rPr>
      </w:pPr>
      <w:r w:rsidRPr="00DE096C">
        <w:rPr>
          <w:bCs/>
          <w:i/>
          <w:iCs/>
          <w:color w:val="002060"/>
          <w:sz w:val="16"/>
          <w:szCs w:val="16"/>
        </w:rPr>
        <w:t>Армия:</w:t>
      </w:r>
    </w:p>
    <w:p w14:paraId="77617D05" w14:textId="77777777" w:rsidR="007C2614" w:rsidRPr="00DE096C" w:rsidRDefault="007C2614" w:rsidP="00D45A46">
      <w:pPr>
        <w:jc w:val="both"/>
        <w:rPr>
          <w:bCs/>
          <w:color w:val="002060"/>
          <w:sz w:val="16"/>
          <w:szCs w:val="16"/>
        </w:rPr>
      </w:pPr>
    </w:p>
    <w:p w14:paraId="72061862" w14:textId="77777777" w:rsidR="007C2614" w:rsidRPr="00DE096C" w:rsidRDefault="007C2614" w:rsidP="00D45A46">
      <w:pPr>
        <w:shd w:val="clear" w:color="auto" w:fill="FFFFFF"/>
        <w:jc w:val="both"/>
        <w:rPr>
          <w:bCs/>
          <w:color w:val="002060"/>
          <w:sz w:val="16"/>
          <w:szCs w:val="16"/>
        </w:rPr>
      </w:pPr>
      <w:r w:rsidRPr="00DE096C">
        <w:rPr>
          <w:bCs/>
          <w:color w:val="002060"/>
          <w:sz w:val="16"/>
          <w:szCs w:val="16"/>
        </w:rPr>
        <w:t>В конце июля 1914 Россия вступила в войну с огромной, но матери</w:t>
      </w:r>
      <w:r w:rsidRPr="00DE096C">
        <w:rPr>
          <w:bCs/>
          <w:color w:val="002060"/>
          <w:sz w:val="16"/>
          <w:szCs w:val="16"/>
        </w:rPr>
        <w:softHyphen/>
        <w:t>ально слабо обеспеченной армией. Поражение в русско-япон</w:t>
      </w:r>
      <w:r w:rsidRPr="00DE096C">
        <w:rPr>
          <w:bCs/>
          <w:color w:val="002060"/>
          <w:sz w:val="16"/>
          <w:szCs w:val="16"/>
        </w:rPr>
        <w:softHyphen/>
        <w:t>ской войне и революция 1905 года, учет характера и направле</w:t>
      </w:r>
      <w:r w:rsidRPr="00DE096C">
        <w:rPr>
          <w:bCs/>
          <w:color w:val="002060"/>
          <w:sz w:val="16"/>
          <w:szCs w:val="16"/>
        </w:rPr>
        <w:softHyphen/>
        <w:t>ния гонки вооружений в Европе заставляли наиболее дально</w:t>
      </w:r>
      <w:r w:rsidRPr="00DE096C">
        <w:rPr>
          <w:bCs/>
          <w:color w:val="002060"/>
          <w:sz w:val="16"/>
          <w:szCs w:val="16"/>
        </w:rPr>
        <w:softHyphen/>
        <w:t>видные элементы русской промышленной буржуазии, научно-технической интеллигенции и офицерства резко усилить вни</w:t>
      </w:r>
      <w:r w:rsidRPr="00DE096C">
        <w:rPr>
          <w:bCs/>
          <w:color w:val="002060"/>
          <w:sz w:val="16"/>
          <w:szCs w:val="16"/>
        </w:rPr>
        <w:softHyphen/>
        <w:t>мание к военной технике и толкать военное командование в этом направлении. Особое внимание уделялось военно-морско</w:t>
      </w:r>
      <w:r w:rsidRPr="00DE096C">
        <w:rPr>
          <w:bCs/>
          <w:color w:val="002060"/>
          <w:sz w:val="16"/>
          <w:szCs w:val="16"/>
        </w:rPr>
        <w:softHyphen/>
        <w:t>му флоту и вновь возникшему роду войск — авиации, а также воздухоплаванию. Россия была тогда ближайшим союзником самой сильной в области авиации державы — Франции. Значи</w:t>
      </w:r>
      <w:r w:rsidRPr="00DE096C">
        <w:rPr>
          <w:bCs/>
          <w:color w:val="002060"/>
          <w:sz w:val="16"/>
          <w:szCs w:val="16"/>
        </w:rPr>
        <w:softHyphen/>
        <w:t>тельная численность русской авиации того времени была пря</w:t>
      </w:r>
      <w:r w:rsidRPr="00DE096C">
        <w:rPr>
          <w:bCs/>
          <w:color w:val="002060"/>
          <w:sz w:val="16"/>
          <w:szCs w:val="16"/>
        </w:rPr>
        <w:softHyphen/>
        <w:t>мым результатам русско-французского союза, французской по</w:t>
      </w:r>
      <w:r w:rsidRPr="00DE096C">
        <w:rPr>
          <w:bCs/>
          <w:color w:val="002060"/>
          <w:sz w:val="16"/>
          <w:szCs w:val="16"/>
        </w:rPr>
        <w:softHyphen/>
        <w:t>мощи союзнику. Однако восполнения и увеличения самолетно</w:t>
      </w:r>
      <w:r w:rsidRPr="00DE096C">
        <w:rPr>
          <w:bCs/>
          <w:color w:val="002060"/>
          <w:sz w:val="16"/>
          <w:szCs w:val="16"/>
        </w:rPr>
        <w:softHyphen/>
        <w:t>го парка России из-за слабости авиапромышленности почти не происходило.</w:t>
      </w:r>
    </w:p>
    <w:p w14:paraId="6EE25345" w14:textId="77777777" w:rsidR="007C2614" w:rsidRPr="00DE096C" w:rsidRDefault="007C2614" w:rsidP="00D45A46">
      <w:pPr>
        <w:shd w:val="clear" w:color="auto" w:fill="FFFFFF"/>
        <w:jc w:val="both"/>
        <w:rPr>
          <w:bCs/>
          <w:color w:val="002060"/>
          <w:sz w:val="16"/>
          <w:szCs w:val="16"/>
        </w:rPr>
      </w:pPr>
      <w:r w:rsidRPr="00DE096C">
        <w:rPr>
          <w:bCs/>
          <w:color w:val="002060"/>
          <w:sz w:val="16"/>
          <w:szCs w:val="16"/>
        </w:rPr>
        <w:t>Но некоторые направления развития русской авиации были результатом совершенно самостоятельного и глубокого осозна</w:t>
      </w:r>
      <w:r w:rsidRPr="00DE096C">
        <w:rPr>
          <w:bCs/>
          <w:color w:val="002060"/>
          <w:sz w:val="16"/>
          <w:szCs w:val="16"/>
        </w:rPr>
        <w:softHyphen/>
        <w:t>ния значения новой военной техники, дальновидности и смело</w:t>
      </w:r>
      <w:r w:rsidRPr="00DE096C">
        <w:rPr>
          <w:bCs/>
          <w:color w:val="002060"/>
          <w:sz w:val="16"/>
          <w:szCs w:val="16"/>
        </w:rPr>
        <w:softHyphen/>
        <w:t>сти русской научной мысли, талантов и умения русских инжене</w:t>
      </w:r>
      <w:r w:rsidRPr="00DE096C">
        <w:rPr>
          <w:bCs/>
          <w:color w:val="002060"/>
          <w:sz w:val="16"/>
          <w:szCs w:val="16"/>
        </w:rPr>
        <w:softHyphen/>
        <w:t>ров и рабочих. В России был-испытан первый в мире самолет А. Ф. Можайского. Она была единственной страной в мире, вступившей в войну 1914 года с сильным первоначальным яд</w:t>
      </w:r>
      <w:r w:rsidRPr="00DE096C">
        <w:rPr>
          <w:bCs/>
          <w:color w:val="002060"/>
          <w:sz w:val="16"/>
          <w:szCs w:val="16"/>
        </w:rPr>
        <w:softHyphen/>
        <w:t>ром тяжелой бомбардировочной авиации, вооруженной само</w:t>
      </w:r>
      <w:r w:rsidRPr="00DE096C">
        <w:rPr>
          <w:bCs/>
          <w:color w:val="002060"/>
          <w:sz w:val="16"/>
          <w:szCs w:val="16"/>
        </w:rPr>
        <w:softHyphen/>
        <w:t>летами «Илья Муромец» отечественной конструкции; имелась также хорошая гидроавиация с летающими лодками «М» конструкции группы Д. П. Григоровича. Великий летчик Нестеров был наиболее видным представителем целого направления сре</w:t>
      </w:r>
      <w:r w:rsidRPr="00DE096C">
        <w:rPr>
          <w:bCs/>
          <w:color w:val="002060"/>
          <w:sz w:val="16"/>
          <w:szCs w:val="16"/>
        </w:rPr>
        <w:softHyphen/>
        <w:t>ди русских летчиков, самоотверженно, но продуманно стремив</w:t>
      </w:r>
      <w:r w:rsidRPr="00DE096C">
        <w:rPr>
          <w:bCs/>
          <w:color w:val="002060"/>
          <w:sz w:val="16"/>
          <w:szCs w:val="16"/>
        </w:rPr>
        <w:softHyphen/>
        <w:t>шихся воплотить в жизнь теоретические обоснования ведения воздушного боя. Московская школа в авиационной науке, в аэродинамике, возглавляемая профессором Н. Е. Жуковским, уже в то время была бесспорно самой сильной в мире. Скром</w:t>
      </w:r>
      <w:r w:rsidRPr="00DE096C">
        <w:rPr>
          <w:bCs/>
          <w:color w:val="002060"/>
          <w:sz w:val="16"/>
          <w:szCs w:val="16"/>
        </w:rPr>
        <w:softHyphen/>
        <w:t>ный учитель гимназии К. Э. Циолковский в калужской глуши разрабатывал основы современной науки о реактивном движе</w:t>
      </w:r>
      <w:r w:rsidRPr="00DE096C">
        <w:rPr>
          <w:bCs/>
          <w:color w:val="002060"/>
          <w:sz w:val="16"/>
          <w:szCs w:val="16"/>
        </w:rPr>
        <w:softHyphen/>
        <w:t>нии. И это лишь самый краткий перечень немногих, наиболее ярких примеров, уже весьма широко освещенных в нашей ли</w:t>
      </w:r>
      <w:r w:rsidRPr="00DE096C">
        <w:rPr>
          <w:bCs/>
          <w:color w:val="002060"/>
          <w:sz w:val="16"/>
          <w:szCs w:val="16"/>
        </w:rPr>
        <w:softHyphen/>
        <w:t>тературе.</w:t>
      </w:r>
    </w:p>
    <w:p w14:paraId="7BA17F04" w14:textId="77777777" w:rsidR="007C2614" w:rsidRPr="00DE096C" w:rsidRDefault="007C2614" w:rsidP="00D45A46">
      <w:pPr>
        <w:shd w:val="clear" w:color="auto" w:fill="FFFFFF"/>
        <w:jc w:val="both"/>
        <w:rPr>
          <w:bCs/>
          <w:color w:val="002060"/>
          <w:sz w:val="16"/>
          <w:szCs w:val="16"/>
        </w:rPr>
      </w:pPr>
      <w:r w:rsidRPr="00DE096C">
        <w:rPr>
          <w:bCs/>
          <w:color w:val="002060"/>
          <w:sz w:val="16"/>
          <w:szCs w:val="16"/>
        </w:rPr>
        <w:t>Однако производственно-техническая и экономическая база России оказалась совершенно недостаточной для воплощения в жизнь не только передовой русской авиационной научно-тех</w:t>
      </w:r>
      <w:r w:rsidRPr="00DE096C">
        <w:rPr>
          <w:bCs/>
          <w:color w:val="002060"/>
          <w:sz w:val="16"/>
          <w:szCs w:val="16"/>
        </w:rPr>
        <w:softHyphen/>
        <w:t>нической и военной мысли, но и для выполнения повседнев</w:t>
      </w:r>
      <w:r w:rsidRPr="00DE096C">
        <w:rPr>
          <w:bCs/>
          <w:color w:val="002060"/>
          <w:sz w:val="16"/>
          <w:szCs w:val="16"/>
        </w:rPr>
        <w:softHyphen/>
        <w:t>ных требований авиационного обеспечения огромного русского фронта (11092).</w:t>
      </w:r>
    </w:p>
    <w:p w14:paraId="7D92AD84" w14:textId="77777777" w:rsidR="007C2614" w:rsidRPr="00DE096C" w:rsidRDefault="007C2614" w:rsidP="00D45A46">
      <w:pPr>
        <w:shd w:val="clear" w:color="auto" w:fill="FFFFFF"/>
        <w:jc w:val="both"/>
        <w:rPr>
          <w:bCs/>
          <w:color w:val="002060"/>
          <w:sz w:val="16"/>
          <w:szCs w:val="16"/>
        </w:rPr>
      </w:pPr>
      <w:r w:rsidRPr="00DE096C">
        <w:rPr>
          <w:bCs/>
          <w:color w:val="002060"/>
          <w:sz w:val="16"/>
          <w:szCs w:val="16"/>
        </w:rPr>
        <w:t>Одним из наиболее слабых мест зарождающейся авиационной промышленности являлось отсутствие хорошо налаженного производства авиационных мо</w:t>
      </w:r>
      <w:r w:rsidRPr="00DE096C">
        <w:rPr>
          <w:bCs/>
          <w:color w:val="002060"/>
          <w:sz w:val="16"/>
          <w:szCs w:val="16"/>
        </w:rPr>
        <w:softHyphen/>
        <w:t>торов. Такое положение в моторостроении объясня</w:t>
      </w:r>
      <w:r w:rsidRPr="00DE096C">
        <w:rPr>
          <w:bCs/>
          <w:color w:val="002060"/>
          <w:sz w:val="16"/>
          <w:szCs w:val="16"/>
        </w:rPr>
        <w:softHyphen/>
        <w:t>лось тем, что военное ведомство — основной заказчик авиационной техники — полностью ориентиро</w:t>
      </w:r>
      <w:r w:rsidRPr="00DE096C">
        <w:rPr>
          <w:bCs/>
          <w:color w:val="002060"/>
          <w:sz w:val="16"/>
          <w:szCs w:val="16"/>
        </w:rPr>
        <w:softHyphen/>
        <w:t>валось на двигатели заграничных фирм, при этом от</w:t>
      </w:r>
      <w:r w:rsidRPr="00DE096C">
        <w:rPr>
          <w:bCs/>
          <w:color w:val="002060"/>
          <w:sz w:val="16"/>
          <w:szCs w:val="16"/>
        </w:rPr>
        <w:softHyphen/>
        <w:t>казывая в поддержке отечественным конструкторам двигателей. Хотя накануне войны в России было создано не</w:t>
      </w:r>
      <w:r w:rsidRPr="00DE096C">
        <w:rPr>
          <w:bCs/>
          <w:color w:val="002060"/>
          <w:sz w:val="16"/>
          <w:szCs w:val="16"/>
        </w:rPr>
        <w:softHyphen/>
        <w:t>сколько удачных опытных авиационных моторов, в производство их не приняли. Начавшая война потре</w:t>
      </w:r>
      <w:r w:rsidRPr="00DE096C">
        <w:rPr>
          <w:bCs/>
          <w:color w:val="002060"/>
          <w:sz w:val="16"/>
          <w:szCs w:val="16"/>
        </w:rPr>
        <w:softHyphen/>
        <w:t>бовала резкого увеличения выпуска самолетов и дви</w:t>
      </w:r>
      <w:r w:rsidRPr="00DE096C">
        <w:rPr>
          <w:bCs/>
          <w:color w:val="002060"/>
          <w:sz w:val="16"/>
          <w:szCs w:val="16"/>
        </w:rPr>
        <w:softHyphen/>
        <w:t>гателей к ним. Все надежды на поставки союзниками достаточного количества двигателей не оправдались, и военному ведомству пришлось срочно организовы</w:t>
      </w:r>
      <w:r w:rsidRPr="00DE096C">
        <w:rPr>
          <w:bCs/>
          <w:color w:val="002060"/>
          <w:sz w:val="16"/>
          <w:szCs w:val="16"/>
        </w:rPr>
        <w:softHyphen/>
        <w:t>вать собственное производство авиадвигателей. Среди предприятий моторостроения, получив</w:t>
      </w:r>
      <w:r w:rsidRPr="00DE096C">
        <w:rPr>
          <w:bCs/>
          <w:color w:val="002060"/>
          <w:sz w:val="16"/>
          <w:szCs w:val="16"/>
        </w:rPr>
        <w:softHyphen/>
        <w:t>ших материальную поддержку военных, был завод акционерного общества электромеханических соору</w:t>
      </w:r>
      <w:r w:rsidRPr="00DE096C">
        <w:rPr>
          <w:bCs/>
          <w:color w:val="002060"/>
          <w:sz w:val="16"/>
          <w:szCs w:val="16"/>
        </w:rPr>
        <w:softHyphen/>
        <w:t>жений в Петрограде «Дека», правление которого в срочном порядке построило отделение авиадвигате</w:t>
      </w:r>
      <w:r w:rsidRPr="00DE096C">
        <w:rPr>
          <w:bCs/>
          <w:color w:val="002060"/>
          <w:sz w:val="16"/>
          <w:szCs w:val="16"/>
        </w:rPr>
        <w:softHyphen/>
        <w:t>лей в Александровске Екатеринославской губернии (ныне Запорожье), назначив его директором инже</w:t>
      </w:r>
      <w:r w:rsidRPr="00DE096C">
        <w:rPr>
          <w:bCs/>
          <w:color w:val="002060"/>
          <w:sz w:val="16"/>
          <w:szCs w:val="16"/>
        </w:rPr>
        <w:softHyphen/>
        <w:t>нера Н.Р.Бриллинга (553).</w:t>
      </w:r>
    </w:p>
    <w:p w14:paraId="7F17A4E6" w14:textId="77777777" w:rsidR="007C2614" w:rsidRPr="00DE096C" w:rsidRDefault="007C2614" w:rsidP="00D45A46">
      <w:pPr>
        <w:shd w:val="clear" w:color="auto" w:fill="FFFFFF"/>
        <w:jc w:val="both"/>
        <w:rPr>
          <w:bCs/>
          <w:color w:val="002060"/>
          <w:sz w:val="16"/>
          <w:szCs w:val="16"/>
        </w:rPr>
      </w:pPr>
    </w:p>
    <w:p w14:paraId="22B101E9" w14:textId="77777777" w:rsidR="00A72DC4" w:rsidRPr="00DE096C" w:rsidRDefault="00A72DC4" w:rsidP="00D45A46">
      <w:pPr>
        <w:jc w:val="both"/>
        <w:rPr>
          <w:bCs/>
          <w:i/>
          <w:color w:val="002060"/>
          <w:sz w:val="16"/>
          <w:szCs w:val="16"/>
        </w:rPr>
      </w:pPr>
      <w:r w:rsidRPr="00DE096C">
        <w:rPr>
          <w:bCs/>
          <w:i/>
          <w:color w:val="002060"/>
          <w:sz w:val="16"/>
          <w:szCs w:val="16"/>
        </w:rPr>
        <w:t>Жизнь и внутренняя политика:</w:t>
      </w:r>
    </w:p>
    <w:p w14:paraId="7BA302D6" w14:textId="77777777" w:rsidR="00A72DC4" w:rsidRPr="00DE096C" w:rsidRDefault="00A72DC4" w:rsidP="00D45A46">
      <w:pPr>
        <w:jc w:val="both"/>
        <w:rPr>
          <w:bCs/>
          <w:i/>
          <w:color w:val="002060"/>
          <w:sz w:val="16"/>
          <w:szCs w:val="16"/>
        </w:rPr>
      </w:pPr>
    </w:p>
    <w:p w14:paraId="37B0B89D" w14:textId="77777777" w:rsidR="00A72DC4" w:rsidRPr="00DE096C" w:rsidRDefault="00A72DC4" w:rsidP="00D45A46">
      <w:pPr>
        <w:jc w:val="both"/>
        <w:rPr>
          <w:bCs/>
          <w:color w:val="002060"/>
          <w:sz w:val="16"/>
          <w:szCs w:val="16"/>
        </w:rPr>
      </w:pPr>
      <w:r w:rsidRPr="00DE096C">
        <w:rPr>
          <w:bCs/>
          <w:color w:val="002060"/>
          <w:sz w:val="16"/>
          <w:szCs w:val="16"/>
          <w:shd w:val="clear" w:color="auto" w:fill="FFFFFF"/>
        </w:rPr>
        <w:t>В конце июля 1914, непосредственно перед войной и в первые дни в некоторых воюющих странах был введён мораторий на выплаты по облигациям государственных займов. В той или иной форме везде были введены запреты на биржевые торги, совершение крупных сделок и ограничение доступа к банковским депозитам (так произошло во Франции), платежи по кредитам, выплаты по закладным для фермеров (например, в Канаде) и т.п. Это было сделано из соображений финансовой безопасности или, в некоторых странах, в целях поддержки призывников, семьи которых без ушедшего в армию работающего мужчины в одночасье могли разориться. Мораторий во многих странах был введён на один месяц, однако правительства продлевали его вплоть до окончания войны (18155).</w:t>
      </w:r>
    </w:p>
    <w:p w14:paraId="11A73608" w14:textId="77777777" w:rsidR="00A72DC4" w:rsidRPr="00DE096C" w:rsidRDefault="00A72DC4" w:rsidP="00D45A46">
      <w:pPr>
        <w:jc w:val="both"/>
        <w:rPr>
          <w:bCs/>
          <w:color w:val="002060"/>
          <w:sz w:val="16"/>
          <w:szCs w:val="16"/>
        </w:rPr>
      </w:pPr>
    </w:p>
    <w:p w14:paraId="5B6A47C6" w14:textId="77777777" w:rsidR="00B31A72" w:rsidRPr="00DE096C" w:rsidRDefault="00B31A72" w:rsidP="00D45A46">
      <w:pPr>
        <w:jc w:val="both"/>
        <w:rPr>
          <w:bCs/>
          <w:i/>
          <w:color w:val="002060"/>
          <w:sz w:val="16"/>
          <w:szCs w:val="16"/>
        </w:rPr>
      </w:pPr>
      <w:r w:rsidRPr="00DE096C">
        <w:rPr>
          <w:bCs/>
          <w:i/>
          <w:color w:val="002060"/>
          <w:sz w:val="16"/>
          <w:szCs w:val="16"/>
        </w:rPr>
        <w:t>Внешняя политика:</w:t>
      </w:r>
    </w:p>
    <w:p w14:paraId="175050B2" w14:textId="77777777" w:rsidR="00B31A72" w:rsidRPr="00DE096C" w:rsidRDefault="00B31A72" w:rsidP="00D45A46">
      <w:pPr>
        <w:jc w:val="both"/>
        <w:rPr>
          <w:bCs/>
          <w:i/>
          <w:color w:val="002060"/>
          <w:sz w:val="16"/>
          <w:szCs w:val="16"/>
        </w:rPr>
      </w:pPr>
    </w:p>
    <w:p w14:paraId="7F34875D" w14:textId="77777777" w:rsidR="00B31A72" w:rsidRPr="00DE096C" w:rsidRDefault="00B31A72" w:rsidP="00D45A46">
      <w:pPr>
        <w:jc w:val="both"/>
        <w:rPr>
          <w:bCs/>
          <w:color w:val="002060"/>
          <w:sz w:val="16"/>
          <w:szCs w:val="16"/>
        </w:rPr>
      </w:pPr>
      <w:r w:rsidRPr="00DE096C">
        <w:rPr>
          <w:bCs/>
          <w:color w:val="002060"/>
          <w:sz w:val="16"/>
          <w:szCs w:val="16"/>
        </w:rPr>
        <w:t>В конце июля 1914 накануне 1-й мировой войны главным торговым партнёром Российской империи была Германия. Несмотря на то, что имевший явную антинемецкую направленность союзный договор России с Францией был заключён ещё в 1893 году, а с Англией, в 1907-м, объёмы российско-германской торговли неуклонно возрастали: если в 1898-1902 гг. в Германию шли 24,7% российского экспорта, а из Германии поступали 34,6% российского импорта, то в 1913 году — уже 29,8% и 47,5%, что существенно превышало долю Англии (соответственно 17,6% и 12,6%) и Франции (6,6% и 4,1 %) вместе взятых. Торговля с немцами бойко велась вплоть до самого начала войны (11208).</w:t>
      </w:r>
    </w:p>
    <w:p w14:paraId="1D39FEA9" w14:textId="77777777" w:rsidR="00B31A72" w:rsidRPr="00DE096C" w:rsidRDefault="00B31A72" w:rsidP="00D45A46">
      <w:pPr>
        <w:jc w:val="both"/>
        <w:rPr>
          <w:bCs/>
          <w:color w:val="002060"/>
          <w:sz w:val="16"/>
          <w:szCs w:val="16"/>
        </w:rPr>
      </w:pPr>
    </w:p>
    <w:p w14:paraId="288E320D" w14:textId="77777777" w:rsidR="00B31A72" w:rsidRPr="00DE096C" w:rsidRDefault="00B31A72" w:rsidP="00D45A46">
      <w:pPr>
        <w:jc w:val="both"/>
        <w:rPr>
          <w:bCs/>
          <w:i/>
          <w:color w:val="002060"/>
          <w:sz w:val="16"/>
          <w:szCs w:val="16"/>
        </w:rPr>
      </w:pPr>
      <w:r w:rsidRPr="00DE096C">
        <w:rPr>
          <w:bCs/>
          <w:i/>
          <w:color w:val="002060"/>
          <w:sz w:val="16"/>
          <w:szCs w:val="16"/>
        </w:rPr>
        <w:t>Авиация и воздухоплавание Германии:</w:t>
      </w:r>
    </w:p>
    <w:p w14:paraId="7222E22E" w14:textId="77777777" w:rsidR="00B31A72" w:rsidRPr="00DE096C" w:rsidRDefault="00B31A72" w:rsidP="00D45A46">
      <w:pPr>
        <w:jc w:val="both"/>
        <w:rPr>
          <w:bCs/>
          <w:i/>
          <w:color w:val="002060"/>
          <w:sz w:val="16"/>
          <w:szCs w:val="16"/>
        </w:rPr>
      </w:pPr>
    </w:p>
    <w:p w14:paraId="3F4BE729" w14:textId="77777777" w:rsidR="00B31A72" w:rsidRPr="00DE096C" w:rsidRDefault="00B31A72" w:rsidP="00D45A46">
      <w:pPr>
        <w:jc w:val="both"/>
        <w:rPr>
          <w:bCs/>
          <w:color w:val="002060"/>
          <w:sz w:val="16"/>
          <w:szCs w:val="16"/>
        </w:rPr>
      </w:pPr>
      <w:r w:rsidRPr="00DE096C">
        <w:rPr>
          <w:bCs/>
          <w:color w:val="002060"/>
          <w:sz w:val="16"/>
          <w:szCs w:val="16"/>
        </w:rPr>
        <w:t>В конце июля 1914 перед войной в Германии были очень далеки от взгляда, что самолет должен был развиваться не как средство транспорта, а как важнейшее средство разведки, а затем и как наступательное средство, решающее судьбу сражения. Новое военное средство, в развитии которого принимала участие в основном только военная молодежь, оказалось недооцененным. От самолета ожидали в первую очередь сбора сведений в рамках оперативной разведки. Что он мог быть также отличным средством тактической разведки, впервые поняли лишь во время самой войны (11282).</w:t>
      </w:r>
    </w:p>
    <w:p w14:paraId="5DEFF1D3" w14:textId="77777777" w:rsidR="00B31A72" w:rsidRPr="00DE096C" w:rsidRDefault="00B31A72" w:rsidP="00D45A46">
      <w:pPr>
        <w:jc w:val="both"/>
        <w:rPr>
          <w:bCs/>
          <w:color w:val="002060"/>
          <w:sz w:val="16"/>
          <w:szCs w:val="16"/>
        </w:rPr>
      </w:pPr>
    </w:p>
    <w:p w14:paraId="591D1500" w14:textId="77777777" w:rsidR="00B31A72" w:rsidRPr="00DE096C" w:rsidRDefault="00B31A72" w:rsidP="00D45A46">
      <w:pPr>
        <w:jc w:val="both"/>
        <w:rPr>
          <w:bCs/>
          <w:color w:val="002060"/>
          <w:sz w:val="16"/>
          <w:szCs w:val="16"/>
        </w:rPr>
      </w:pPr>
      <w:r w:rsidRPr="00DE096C">
        <w:rPr>
          <w:bCs/>
          <w:color w:val="002060"/>
          <w:sz w:val="16"/>
          <w:szCs w:val="16"/>
        </w:rPr>
        <w:t xml:space="preserve">В конце июля 1914 до войны в Германии воздухоплаванию на привязных аэростатах не уделялось должного внимания, а авиация была еще слаба и оснащена средними по качеству самолетами. Изза неудачной организации оба эти средства разведки не имели тесной связи с войсками, вследствие чего их возможности не были оценены по достоинству. Орудий для стрельбы по аэростатам имелось чрезвычайно мало, оборона тыла от воздушных нападений была почти не предусмотрена. Генерал Людендорф пишет в своих воспоминаниях: </w:t>
      </w:r>
      <w:r w:rsidRPr="00DE096C">
        <w:rPr>
          <w:rFonts w:eastAsia="Times-Roman"/>
          <w:bCs/>
          <w:color w:val="002060"/>
          <w:sz w:val="16"/>
          <w:szCs w:val="16"/>
        </w:rPr>
        <w:t>«íåñìîòðÿ</w:t>
      </w:r>
      <w:r w:rsidRPr="00DE096C">
        <w:rPr>
          <w:bCs/>
          <w:color w:val="002060"/>
          <w:sz w:val="16"/>
          <w:szCs w:val="16"/>
        </w:rPr>
        <w:t xml:space="preserve"> на усилия Генерального штаба, мы начали воину с недостаточными боевыми воздушными средствами</w:t>
      </w:r>
      <w:r w:rsidRPr="00DE096C">
        <w:rPr>
          <w:rFonts w:eastAsia="Times-Roman"/>
          <w:bCs/>
          <w:color w:val="002060"/>
          <w:sz w:val="16"/>
          <w:szCs w:val="16"/>
        </w:rPr>
        <w:t>ｻ</w:t>
      </w:r>
      <w:r w:rsidRPr="00DE096C">
        <w:rPr>
          <w:bCs/>
          <w:color w:val="002060"/>
          <w:sz w:val="16"/>
          <w:szCs w:val="16"/>
        </w:rPr>
        <w:t>, — суровая, но справедливая оценка.</w:t>
      </w:r>
    </w:p>
    <w:p w14:paraId="4BBB89AD" w14:textId="77777777" w:rsidR="00B31A72" w:rsidRPr="00DE096C" w:rsidRDefault="00B31A72" w:rsidP="00D45A46">
      <w:pPr>
        <w:jc w:val="both"/>
        <w:rPr>
          <w:bCs/>
          <w:color w:val="002060"/>
          <w:sz w:val="16"/>
          <w:szCs w:val="16"/>
        </w:rPr>
      </w:pPr>
      <w:r w:rsidRPr="00DE096C">
        <w:rPr>
          <w:bCs/>
          <w:color w:val="002060"/>
          <w:sz w:val="16"/>
          <w:szCs w:val="16"/>
        </w:rPr>
        <w:t>Только в отношении дирижаблей перевес был на германской стороне, поскольку у нашего противника их было ничтожно мало. Благодаря гениальным конструкциям графа Цеппелина и фирмы Шютте-Ланц, Германия имела в этой области значительное превосходство над всеми Другими странами мира, которое при правильном его использовании могло принести большую пользу, в частности для глубокой разведки (11282).</w:t>
      </w:r>
    </w:p>
    <w:p w14:paraId="749D822B" w14:textId="77777777" w:rsidR="00B31A72" w:rsidRPr="00DE096C" w:rsidRDefault="00B31A72" w:rsidP="00D45A46">
      <w:pPr>
        <w:jc w:val="both"/>
        <w:rPr>
          <w:bCs/>
          <w:color w:val="002060"/>
          <w:sz w:val="16"/>
          <w:szCs w:val="16"/>
        </w:rPr>
      </w:pPr>
      <w:r w:rsidRPr="00DE096C">
        <w:rPr>
          <w:bCs/>
          <w:color w:val="002060"/>
          <w:sz w:val="16"/>
          <w:szCs w:val="16"/>
        </w:rPr>
        <w:t>В Германии организация авиации в военное время соответствовала довоенным взглядам на ее будущее применение и задачи. Каждой армии и каждому активному корпусу придавалось по одному полевому авиационному отряду с 6-ю самолетами. В пограничных крепостях имелись крепостные авиационные отряды с 4-мя самолетами.</w:t>
      </w:r>
    </w:p>
    <w:p w14:paraId="5997A108" w14:textId="77777777" w:rsidR="00B31A72" w:rsidRPr="00DE096C" w:rsidRDefault="00B31A72" w:rsidP="00D45A46">
      <w:pPr>
        <w:jc w:val="both"/>
        <w:rPr>
          <w:bCs/>
          <w:color w:val="002060"/>
          <w:sz w:val="16"/>
          <w:szCs w:val="16"/>
        </w:rPr>
      </w:pPr>
      <w:r w:rsidRPr="00DE096C">
        <w:rPr>
          <w:bCs/>
          <w:color w:val="002060"/>
          <w:sz w:val="16"/>
          <w:szCs w:val="16"/>
        </w:rPr>
        <w:t>Требования Генерального штаба об увеличении количества самолетов в полевых авиационных отрядах до 8-ми, о придании по одному отряду резервным корпусам и по второму отряду армиям, о формировании специальных артиллерийских авиационных отрядов выполнены не полностью. Всего из 5-ти авиационных батальонов было сформи ровано при мобилизации 34 полевых авиационных отряда и 7 крепостных авиационных отрядов.</w:t>
      </w:r>
    </w:p>
    <w:p w14:paraId="2909A206" w14:textId="77777777" w:rsidR="00B31A72" w:rsidRPr="00DE096C" w:rsidRDefault="00B31A72" w:rsidP="00D45A46">
      <w:pPr>
        <w:jc w:val="both"/>
        <w:rPr>
          <w:bCs/>
          <w:color w:val="002060"/>
          <w:sz w:val="16"/>
          <w:szCs w:val="16"/>
        </w:rPr>
      </w:pPr>
      <w:r w:rsidRPr="00DE096C">
        <w:rPr>
          <w:bCs/>
          <w:color w:val="002060"/>
          <w:sz w:val="16"/>
          <w:szCs w:val="16"/>
        </w:rPr>
        <w:t>Эти отряды располагали 232-мя самолетами. Кроме того были развернуты 8 авиационных парков и 6 запасных авиационных отрядов.</w:t>
      </w:r>
    </w:p>
    <w:p w14:paraId="71998C27" w14:textId="77777777" w:rsidR="00B31A72" w:rsidRPr="00DE096C" w:rsidRDefault="00B31A72" w:rsidP="00D45A46">
      <w:pPr>
        <w:jc w:val="both"/>
        <w:rPr>
          <w:bCs/>
          <w:color w:val="002060"/>
          <w:sz w:val="16"/>
          <w:szCs w:val="16"/>
        </w:rPr>
      </w:pPr>
      <w:r w:rsidRPr="00DE096C">
        <w:rPr>
          <w:bCs/>
          <w:color w:val="002060"/>
          <w:sz w:val="16"/>
          <w:szCs w:val="16"/>
        </w:rPr>
        <w:t>Планомерная мобилизация полевых авиационных отрядов была произведена за 5 дней; принимая во внимание большое количество боевых частей, развернувшихся из формирований мирноговремени в момент мобилизации, и новизну задачи, это нужно считать значительным успехом.</w:t>
      </w:r>
    </w:p>
    <w:p w14:paraId="2AA2BB6A" w14:textId="77777777" w:rsidR="00B31A72" w:rsidRPr="00DE096C" w:rsidRDefault="00B31A72" w:rsidP="00D45A46">
      <w:pPr>
        <w:jc w:val="both"/>
        <w:rPr>
          <w:bCs/>
          <w:color w:val="002060"/>
          <w:sz w:val="16"/>
          <w:szCs w:val="16"/>
        </w:rPr>
      </w:pPr>
      <w:r w:rsidRPr="00DE096C">
        <w:rPr>
          <w:bCs/>
          <w:color w:val="002060"/>
          <w:sz w:val="16"/>
          <w:szCs w:val="16"/>
        </w:rPr>
        <w:t>Придание авиаотрядов корпусам и армиям в общем оправдало ожидания. Однако, распределяя между отрядами задания, командующие войсками нередко ограничивались лишь указанием того района, в котором должна была вестись разведка. В критические моменты часто случалось, что авиационные отряды вообще не получали никакого приказа, и, если командиру отряда лично не удавалось восстановить связь со своим командованием, общая обстановка оставалась невыясненной и наблюдатели иной раз не знали, где свои и где неприятельские войска.</w:t>
      </w:r>
    </w:p>
    <w:p w14:paraId="3FFCA61A" w14:textId="77777777" w:rsidR="00B31A72" w:rsidRPr="00DE096C" w:rsidRDefault="00B31A72" w:rsidP="00D45A46">
      <w:pPr>
        <w:jc w:val="both"/>
        <w:rPr>
          <w:bCs/>
          <w:color w:val="002060"/>
          <w:sz w:val="16"/>
          <w:szCs w:val="16"/>
        </w:rPr>
      </w:pPr>
      <w:r w:rsidRPr="00DE096C">
        <w:rPr>
          <w:bCs/>
          <w:color w:val="002060"/>
          <w:sz w:val="16"/>
          <w:szCs w:val="16"/>
        </w:rPr>
        <w:lastRenderedPageBreak/>
        <w:t>Вообще на воздушную разведку особых надежд не возлагали. Считалось нормальным, если целыми неделями не появлялось в воздухе ни своего, ни неприятельского самолета. Успехи летчиков, которые день за днем Доставляли все более подробные сведения о противнике. поражали командование; насыщенность донесений информацией возбуждала недоверие, и в штабах использовали любую возможность подтверждения их другими видами разведки.</w:t>
      </w:r>
    </w:p>
    <w:p w14:paraId="5A7D100E" w14:textId="77777777" w:rsidR="00B31A72" w:rsidRPr="00DE096C" w:rsidRDefault="00B31A72" w:rsidP="00D45A46">
      <w:pPr>
        <w:jc w:val="both"/>
        <w:rPr>
          <w:bCs/>
          <w:color w:val="002060"/>
          <w:sz w:val="16"/>
          <w:szCs w:val="16"/>
        </w:rPr>
      </w:pPr>
      <w:r w:rsidRPr="00DE096C">
        <w:rPr>
          <w:bCs/>
          <w:color w:val="002060"/>
          <w:sz w:val="16"/>
          <w:szCs w:val="16"/>
        </w:rPr>
        <w:t>Донесения летчиков всегда оказывались достоверными, когда те сообщали о замеченных ими неприятельских войсках, к донесениям же об отсутствии войск приходилось относиться с осторожностью, так как противник уже тогда умел маскироваться как на марше, так и на стоянках (11282).</w:t>
      </w:r>
    </w:p>
    <w:p w14:paraId="0ADDD669" w14:textId="77777777" w:rsidR="00B31A72" w:rsidRPr="00DE096C" w:rsidRDefault="00B31A72" w:rsidP="00D45A46">
      <w:pPr>
        <w:jc w:val="both"/>
        <w:rPr>
          <w:bCs/>
          <w:color w:val="002060"/>
          <w:sz w:val="16"/>
          <w:szCs w:val="16"/>
        </w:rPr>
      </w:pPr>
    </w:p>
    <w:p w14:paraId="7B772E24" w14:textId="77777777" w:rsidR="00B31A72" w:rsidRPr="00DE096C" w:rsidRDefault="00B31A72" w:rsidP="00D45A46">
      <w:pPr>
        <w:shd w:val="clear" w:color="auto" w:fill="FFFFFF"/>
        <w:jc w:val="both"/>
        <w:rPr>
          <w:bCs/>
          <w:color w:val="002060"/>
          <w:sz w:val="16"/>
          <w:szCs w:val="16"/>
        </w:rPr>
      </w:pPr>
      <w:r w:rsidRPr="00DE096C">
        <w:rPr>
          <w:bCs/>
          <w:color w:val="002060"/>
          <w:sz w:val="16"/>
          <w:szCs w:val="16"/>
        </w:rPr>
        <w:t>К конце июля 1914 к мо</w:t>
      </w:r>
      <w:r w:rsidRPr="00DE096C">
        <w:rPr>
          <w:bCs/>
          <w:color w:val="002060"/>
          <w:sz w:val="16"/>
          <w:szCs w:val="16"/>
        </w:rPr>
        <w:softHyphen/>
        <w:t>менту начала войны в Германии насчитывалось 32 воздушных корабля, из них 12 цеп</w:t>
      </w:r>
      <w:r w:rsidRPr="00DE096C">
        <w:rPr>
          <w:bCs/>
          <w:color w:val="002060"/>
          <w:sz w:val="16"/>
          <w:szCs w:val="16"/>
        </w:rPr>
        <w:softHyphen/>
        <w:t>пелинов. Германский штаб, прекрасно зная о том, как далеко впе</w:t>
      </w:r>
      <w:r w:rsidRPr="00DE096C">
        <w:rPr>
          <w:bCs/>
          <w:color w:val="002060"/>
          <w:sz w:val="16"/>
          <w:szCs w:val="16"/>
        </w:rPr>
        <w:softHyphen/>
        <w:t>ред ушла Франция в развитии авиационной техники, делал ставку на свое супероружие, творение графа Цеппелина, не имевшее в то время аналогов в мире. Все цеппелины имели емкость в 20 тыс. м и более, и могли поднимать груз до 10 т. Большая часть этих воздушных кораблей была снабжена пулеметам и и скорострельными ору</w:t>
      </w:r>
      <w:r w:rsidRPr="00DE096C">
        <w:rPr>
          <w:bCs/>
          <w:color w:val="002060"/>
          <w:sz w:val="16"/>
          <w:szCs w:val="16"/>
        </w:rPr>
        <w:softHyphen/>
        <w:t>диями. Цеппелины развивали скорость до 82 км/час и могли пролететь без посадки до 4,5 тыс. км. Все они были снабжены станциями беспроволочного телеграфа и прожекторами. А самое главное — они могли свободно сбрасывать груз до 600 кг, нисколько не нарушая своего равновесия.</w:t>
      </w:r>
    </w:p>
    <w:p w14:paraId="26321D88" w14:textId="77777777" w:rsidR="00B31A72" w:rsidRPr="00DE096C" w:rsidRDefault="00B31A72" w:rsidP="00D45A46">
      <w:pPr>
        <w:shd w:val="clear" w:color="auto" w:fill="FFFFFF"/>
        <w:jc w:val="both"/>
        <w:rPr>
          <w:bCs/>
          <w:color w:val="002060"/>
          <w:sz w:val="16"/>
          <w:szCs w:val="16"/>
        </w:rPr>
      </w:pPr>
      <w:r w:rsidRPr="00DE096C">
        <w:rPr>
          <w:bCs/>
          <w:color w:val="002060"/>
          <w:sz w:val="16"/>
          <w:szCs w:val="16"/>
        </w:rPr>
        <w:t>Кроме цеппелинов в Германском воздушном флоте име</w:t>
      </w:r>
      <w:r w:rsidRPr="00DE096C">
        <w:rPr>
          <w:bCs/>
          <w:color w:val="002060"/>
          <w:sz w:val="16"/>
          <w:szCs w:val="16"/>
        </w:rPr>
        <w:softHyphen/>
        <w:t>лись на вооружении 1 воздушный крейсер I класса «Шют-те-Ланц» емкостью в 24 тыс. м</w:t>
      </w:r>
      <w:r w:rsidRPr="00DE096C">
        <w:rPr>
          <w:bCs/>
          <w:color w:val="002060"/>
          <w:sz w:val="16"/>
          <w:szCs w:val="16"/>
          <w:vertAlign w:val="superscript"/>
        </w:rPr>
        <w:t>3</w:t>
      </w:r>
      <w:r w:rsidRPr="00DE096C">
        <w:rPr>
          <w:bCs/>
          <w:color w:val="002060"/>
          <w:sz w:val="16"/>
          <w:szCs w:val="16"/>
        </w:rPr>
        <w:t>,9 воздушных крейсеров II класса, два разведывательных воздушных корабля и 9 сто</w:t>
      </w:r>
      <w:r w:rsidRPr="00DE096C">
        <w:rPr>
          <w:bCs/>
          <w:color w:val="002060"/>
          <w:sz w:val="16"/>
          <w:szCs w:val="16"/>
        </w:rPr>
        <w:softHyphen/>
        <w:t>рожевых и учебных воздушных кораблей.</w:t>
      </w:r>
    </w:p>
    <w:p w14:paraId="6BA3A705" w14:textId="77777777" w:rsidR="00B31A72" w:rsidRPr="00DE096C" w:rsidRDefault="00B31A72" w:rsidP="00D45A46">
      <w:pPr>
        <w:shd w:val="clear" w:color="auto" w:fill="FFFFFF"/>
        <w:jc w:val="both"/>
        <w:rPr>
          <w:bCs/>
          <w:color w:val="002060"/>
          <w:sz w:val="16"/>
          <w:szCs w:val="16"/>
        </w:rPr>
      </w:pPr>
      <w:r w:rsidRPr="00DE096C">
        <w:rPr>
          <w:bCs/>
          <w:color w:val="002060"/>
          <w:sz w:val="16"/>
          <w:szCs w:val="16"/>
        </w:rPr>
        <w:t>Для обслуживания столь значительного воздушного флота в Германии имелось 44 эллинга и 21 маяк для ноч</w:t>
      </w:r>
      <w:r w:rsidRPr="00DE096C">
        <w:rPr>
          <w:bCs/>
          <w:color w:val="002060"/>
          <w:sz w:val="16"/>
          <w:szCs w:val="16"/>
        </w:rPr>
        <w:softHyphen/>
        <w:t>ных полетов; такими маяками служили высокие металли</w:t>
      </w:r>
      <w:r w:rsidRPr="00DE096C">
        <w:rPr>
          <w:bCs/>
          <w:color w:val="002060"/>
          <w:sz w:val="16"/>
          <w:szCs w:val="16"/>
        </w:rPr>
        <w:softHyphen/>
        <w:t>ческие башни с прожекторами. Вблизи главных воздушных гаваней располагались водородные заводы.</w:t>
      </w:r>
    </w:p>
    <w:p w14:paraId="004B6900" w14:textId="77777777" w:rsidR="00B31A72" w:rsidRPr="00DE096C" w:rsidRDefault="00B31A72" w:rsidP="00D45A46">
      <w:pPr>
        <w:shd w:val="clear" w:color="auto" w:fill="FFFFFF"/>
        <w:jc w:val="both"/>
        <w:rPr>
          <w:bCs/>
          <w:color w:val="002060"/>
          <w:sz w:val="16"/>
          <w:szCs w:val="16"/>
        </w:rPr>
      </w:pPr>
      <w:r w:rsidRPr="00DE096C">
        <w:rPr>
          <w:bCs/>
          <w:color w:val="002060"/>
          <w:sz w:val="16"/>
          <w:szCs w:val="16"/>
        </w:rPr>
        <w:t>После передачи дирижаблей «Виктория Луиза» и по</w:t>
      </w:r>
      <w:r w:rsidRPr="00DE096C">
        <w:rPr>
          <w:bCs/>
          <w:color w:val="002060"/>
          <w:sz w:val="16"/>
          <w:szCs w:val="16"/>
        </w:rPr>
        <w:softHyphen/>
        <w:t>лужесткого М-1У морскому ведомству в распоряжении главного германского командования остались:</w:t>
      </w:r>
    </w:p>
    <w:p w14:paraId="6807D3FA" w14:textId="77777777" w:rsidR="00B31A72" w:rsidRPr="00DE096C" w:rsidRDefault="00B31A72" w:rsidP="00D45A46">
      <w:pPr>
        <w:shd w:val="clear" w:color="auto" w:fill="FFFFFF"/>
        <w:jc w:val="both"/>
        <w:rPr>
          <w:bCs/>
          <w:color w:val="002060"/>
          <w:sz w:val="16"/>
          <w:szCs w:val="16"/>
        </w:rPr>
      </w:pPr>
      <w:r w:rsidRPr="00DE096C">
        <w:rPr>
          <w:bCs/>
          <w:color w:val="002060"/>
          <w:sz w:val="16"/>
          <w:szCs w:val="16"/>
        </w:rPr>
        <w:t>На Западноевропейском театре цеппелины: 2-У1 (в Кельне), 2-УИ (в Бадене), 2-УШ (в Трире), 2-1Х (в Дюс</w:t>
      </w:r>
      <w:r w:rsidRPr="00DE096C">
        <w:rPr>
          <w:bCs/>
          <w:color w:val="002060"/>
          <w:sz w:val="16"/>
          <w:szCs w:val="16"/>
        </w:rPr>
        <w:softHyphen/>
        <w:t>сельдорфе), 2-Саксония (во Франкфурте-на-Майне);</w:t>
      </w:r>
    </w:p>
    <w:p w14:paraId="0F5C19C2" w14:textId="77777777" w:rsidR="00B31A72" w:rsidRPr="00DE096C" w:rsidRDefault="00B31A72" w:rsidP="00D45A46">
      <w:pPr>
        <w:shd w:val="clear" w:color="auto" w:fill="FFFFFF"/>
        <w:jc w:val="both"/>
        <w:rPr>
          <w:bCs/>
          <w:color w:val="002060"/>
          <w:sz w:val="16"/>
          <w:szCs w:val="16"/>
        </w:rPr>
      </w:pPr>
      <w:r w:rsidRPr="00DE096C">
        <w:rPr>
          <w:bCs/>
          <w:color w:val="002060"/>
          <w:sz w:val="16"/>
          <w:szCs w:val="16"/>
        </w:rPr>
        <w:t>На Восточноевропейском театре: 2-1У (в Кенигсбер</w:t>
      </w:r>
      <w:r w:rsidRPr="00DE096C">
        <w:rPr>
          <w:bCs/>
          <w:color w:val="002060"/>
          <w:sz w:val="16"/>
          <w:szCs w:val="16"/>
        </w:rPr>
        <w:softHyphen/>
        <w:t>ге), 2-У (в Познани) и «Шютте-Ланц ВЬ-2» (в Лигнице).</w:t>
      </w:r>
    </w:p>
    <w:p w14:paraId="5B54D39C" w14:textId="77777777" w:rsidR="00B31A72" w:rsidRPr="00DE096C" w:rsidRDefault="00B31A72" w:rsidP="00D45A46">
      <w:pPr>
        <w:shd w:val="clear" w:color="auto" w:fill="FFFFFF"/>
        <w:jc w:val="both"/>
        <w:rPr>
          <w:bCs/>
          <w:color w:val="002060"/>
          <w:sz w:val="16"/>
          <w:szCs w:val="16"/>
        </w:rPr>
      </w:pPr>
      <w:r w:rsidRPr="00DE096C">
        <w:rPr>
          <w:bCs/>
          <w:color w:val="002060"/>
          <w:sz w:val="16"/>
          <w:szCs w:val="16"/>
        </w:rPr>
        <w:t>Помимо эллингов в указанных пунктах, имелся ряд во</w:t>
      </w:r>
      <w:r w:rsidRPr="00DE096C">
        <w:rPr>
          <w:bCs/>
          <w:color w:val="002060"/>
          <w:sz w:val="16"/>
          <w:szCs w:val="16"/>
        </w:rPr>
        <w:softHyphen/>
        <w:t>енных и частных эллингов для дирижаблей жесткого типа в Меце, Дрездене, Алленштейне, Гота, Иоганнистале и Лей</w:t>
      </w:r>
      <w:r w:rsidRPr="00DE096C">
        <w:rPr>
          <w:bCs/>
          <w:color w:val="002060"/>
          <w:sz w:val="16"/>
          <w:szCs w:val="16"/>
        </w:rPr>
        <w:softHyphen/>
        <w:t>пциге. Готовились эллинги близ Дюссельдорфа, Бонна, Дармштадта, Мангейма, Фридрихсгафена, Ганновера, Шей-демиля и Ютеборга.</w:t>
      </w:r>
    </w:p>
    <w:p w14:paraId="6046E0FC" w14:textId="77777777" w:rsidR="00B31A72" w:rsidRPr="00DE096C" w:rsidRDefault="00B31A72" w:rsidP="00D45A46">
      <w:pPr>
        <w:shd w:val="clear" w:color="auto" w:fill="FFFFFF"/>
        <w:jc w:val="both"/>
        <w:rPr>
          <w:bCs/>
          <w:color w:val="002060"/>
          <w:sz w:val="16"/>
          <w:szCs w:val="16"/>
        </w:rPr>
      </w:pPr>
      <w:r w:rsidRPr="00DE096C">
        <w:rPr>
          <w:bCs/>
          <w:color w:val="002060"/>
          <w:sz w:val="16"/>
          <w:szCs w:val="16"/>
        </w:rPr>
        <w:t>Всего в Германии имелось 39 оборудованных стоянок для дирижаблей, имевших 53 эллинга (из них 39 боль</w:t>
      </w:r>
      <w:r w:rsidRPr="00DE096C">
        <w:rPr>
          <w:bCs/>
          <w:color w:val="002060"/>
          <w:sz w:val="16"/>
          <w:szCs w:val="16"/>
        </w:rPr>
        <w:softHyphen/>
        <w:t>ших).</w:t>
      </w:r>
    </w:p>
    <w:p w14:paraId="1A32112B" w14:textId="77777777" w:rsidR="00B31A72" w:rsidRPr="00DE096C" w:rsidRDefault="00B31A72" w:rsidP="00D45A46">
      <w:pPr>
        <w:shd w:val="clear" w:color="auto" w:fill="FFFFFF"/>
        <w:jc w:val="both"/>
        <w:rPr>
          <w:bCs/>
          <w:color w:val="002060"/>
          <w:sz w:val="16"/>
          <w:szCs w:val="16"/>
        </w:rPr>
      </w:pPr>
      <w:r w:rsidRPr="00DE096C">
        <w:rPr>
          <w:bCs/>
          <w:color w:val="002060"/>
          <w:sz w:val="16"/>
          <w:szCs w:val="16"/>
        </w:rPr>
        <w:t>То, что германский генеральный штаб видел в дирижаб</w:t>
      </w:r>
      <w:r w:rsidRPr="00DE096C">
        <w:rPr>
          <w:bCs/>
          <w:color w:val="002060"/>
          <w:sz w:val="16"/>
          <w:szCs w:val="16"/>
        </w:rPr>
        <w:softHyphen/>
        <w:t>лях выдающееся средство не только для дальней разведки, но также и для бомбардирования целей в глубоком тылу противника, весьма отрицательно сказалось на развитии авиации в Германии. Даже несмотря на то, что по числен</w:t>
      </w:r>
      <w:r w:rsidRPr="00DE096C">
        <w:rPr>
          <w:bCs/>
          <w:color w:val="002060"/>
          <w:sz w:val="16"/>
          <w:szCs w:val="16"/>
        </w:rPr>
        <w:softHyphen/>
        <w:t>ности военных аэропланов ей удалось догнать Францию, германские аппараты в большинстве своем уступали фран</w:t>
      </w:r>
      <w:r w:rsidRPr="00DE096C">
        <w:rPr>
          <w:bCs/>
          <w:color w:val="002060"/>
          <w:sz w:val="16"/>
          <w:szCs w:val="16"/>
        </w:rPr>
        <w:softHyphen/>
        <w:t>цузским, а после мобилизации французами большого ко</w:t>
      </w:r>
      <w:r w:rsidRPr="00DE096C">
        <w:rPr>
          <w:bCs/>
          <w:color w:val="002060"/>
          <w:sz w:val="16"/>
          <w:szCs w:val="16"/>
        </w:rPr>
        <w:softHyphen/>
        <w:t>личества частных аэропланов резко отстали и в количе</w:t>
      </w:r>
      <w:r w:rsidRPr="00DE096C">
        <w:rPr>
          <w:bCs/>
          <w:color w:val="002060"/>
          <w:sz w:val="16"/>
          <w:szCs w:val="16"/>
        </w:rPr>
        <w:softHyphen/>
        <w:t>ственном отношении.</w:t>
      </w:r>
    </w:p>
    <w:p w14:paraId="0DC96E7F" w14:textId="77777777" w:rsidR="00B31A72" w:rsidRPr="00DE096C" w:rsidRDefault="00B31A72" w:rsidP="00D45A46">
      <w:pPr>
        <w:shd w:val="clear" w:color="auto" w:fill="FFFFFF"/>
        <w:jc w:val="both"/>
        <w:rPr>
          <w:bCs/>
          <w:color w:val="002060"/>
          <w:sz w:val="16"/>
          <w:szCs w:val="16"/>
        </w:rPr>
      </w:pPr>
      <w:r w:rsidRPr="00DE096C">
        <w:rPr>
          <w:bCs/>
          <w:color w:val="002060"/>
          <w:sz w:val="16"/>
          <w:szCs w:val="16"/>
        </w:rPr>
        <w:t>Гепнер: «Франция далеко опередила нас в этом отно</w:t>
      </w:r>
      <w:r w:rsidRPr="00DE096C">
        <w:rPr>
          <w:bCs/>
          <w:color w:val="002060"/>
          <w:sz w:val="16"/>
          <w:szCs w:val="16"/>
        </w:rPr>
        <w:softHyphen/>
        <w:t>шении... Начиная с 1910 г., не только французская армия, но и вся страна стали возлагать свои надежды на „пятый род войск". Французы были убеждены, что самолет явится тем средством, которое позволит им добиться победы в бу</w:t>
      </w:r>
      <w:r w:rsidRPr="00DE096C">
        <w:rPr>
          <w:bCs/>
          <w:color w:val="002060"/>
          <w:sz w:val="16"/>
          <w:szCs w:val="16"/>
        </w:rPr>
        <w:softHyphen/>
        <w:t>дущей войне».</w:t>
      </w:r>
    </w:p>
    <w:p w14:paraId="03A0C9BE" w14:textId="77777777" w:rsidR="00B31A72" w:rsidRPr="00DE096C" w:rsidRDefault="00B31A72" w:rsidP="00D45A46">
      <w:pPr>
        <w:shd w:val="clear" w:color="auto" w:fill="FFFFFF"/>
        <w:jc w:val="both"/>
        <w:rPr>
          <w:bCs/>
          <w:color w:val="002060"/>
          <w:sz w:val="16"/>
          <w:szCs w:val="16"/>
        </w:rPr>
      </w:pPr>
      <w:r w:rsidRPr="00DE096C">
        <w:rPr>
          <w:bCs/>
          <w:color w:val="002060"/>
          <w:sz w:val="16"/>
          <w:szCs w:val="16"/>
        </w:rPr>
        <w:t>Авиационные силы Германии к этому моменту были следующими.</w:t>
      </w:r>
    </w:p>
    <w:p w14:paraId="4A683C10" w14:textId="77777777" w:rsidR="00B31A72" w:rsidRPr="00DE096C" w:rsidRDefault="00B31A72" w:rsidP="00D45A46">
      <w:pPr>
        <w:shd w:val="clear" w:color="auto" w:fill="FFFFFF"/>
        <w:jc w:val="both"/>
        <w:rPr>
          <w:bCs/>
          <w:color w:val="002060"/>
          <w:sz w:val="16"/>
          <w:szCs w:val="16"/>
        </w:rPr>
      </w:pPr>
      <w:r w:rsidRPr="00DE096C">
        <w:rPr>
          <w:bCs/>
          <w:color w:val="002060"/>
          <w:sz w:val="16"/>
          <w:szCs w:val="16"/>
        </w:rPr>
        <w:t>При мобилизации из пяти имеющихся на тот момент авиационных батальонов в Германии были сформированы 34 полевых и 7 крепостных авиационных отрядов с общим числом аэропланов — 232. Большей частью это были двух</w:t>
      </w:r>
      <w:r w:rsidRPr="00DE096C">
        <w:rPr>
          <w:bCs/>
          <w:color w:val="002060"/>
          <w:sz w:val="16"/>
          <w:szCs w:val="16"/>
        </w:rPr>
        <w:softHyphen/>
        <w:t>местные бипланы «Альбатрос» и одноместные монопланы «Таубе» со скоростью около 100 км/час. Кроме того, были развернуты 8 авиационных парков и 5 запасных авиацион</w:t>
      </w:r>
      <w:r w:rsidRPr="00DE096C">
        <w:rPr>
          <w:bCs/>
          <w:color w:val="002060"/>
          <w:sz w:val="16"/>
          <w:szCs w:val="16"/>
        </w:rPr>
        <w:softHyphen/>
        <w:t>ных отрядов. Каждой армии и каждому армейскому корпу</w:t>
      </w:r>
      <w:r w:rsidRPr="00DE096C">
        <w:rPr>
          <w:bCs/>
          <w:color w:val="002060"/>
          <w:sz w:val="16"/>
          <w:szCs w:val="16"/>
        </w:rPr>
        <w:softHyphen/>
        <w:t>су придавалось по одному полевому авиационному отряду (ЗЫТе!), имевшему 6 аэропланов. В пограничных крепостях авиационные отряды имели по 4 аэроплана. Планомерная мобилизация полевых авиаотрядов завершилась в пять дней.</w:t>
      </w:r>
    </w:p>
    <w:p w14:paraId="1BD51AF0" w14:textId="77777777" w:rsidR="00B31A72" w:rsidRPr="00DE096C" w:rsidRDefault="00B31A72" w:rsidP="00D45A46">
      <w:pPr>
        <w:shd w:val="clear" w:color="auto" w:fill="FFFFFF"/>
        <w:jc w:val="both"/>
        <w:rPr>
          <w:bCs/>
          <w:color w:val="002060"/>
          <w:sz w:val="16"/>
          <w:szCs w:val="16"/>
        </w:rPr>
      </w:pPr>
      <w:r w:rsidRPr="00DE096C">
        <w:rPr>
          <w:bCs/>
          <w:color w:val="002060"/>
          <w:sz w:val="16"/>
          <w:szCs w:val="16"/>
        </w:rPr>
        <w:t>Кроме того, по некоторым данным было подготовлено 1500 летчиков, в том числе — 500 военных. Имелось более 40 заводов, строящих аэропланы и двигатели для них (11060).</w:t>
      </w:r>
    </w:p>
    <w:p w14:paraId="59773CF5" w14:textId="77777777" w:rsidR="00B31A72" w:rsidRPr="00DE096C" w:rsidRDefault="00B31A72" w:rsidP="00D45A46">
      <w:pPr>
        <w:shd w:val="clear" w:color="auto" w:fill="FFFFFF"/>
        <w:jc w:val="both"/>
        <w:rPr>
          <w:bCs/>
          <w:color w:val="002060"/>
          <w:sz w:val="16"/>
          <w:szCs w:val="16"/>
        </w:rPr>
      </w:pPr>
    </w:p>
    <w:p w14:paraId="4E6A5FB1" w14:textId="77777777" w:rsidR="00B31A72" w:rsidRPr="00DE096C" w:rsidRDefault="00B31A72" w:rsidP="00D45A46">
      <w:pPr>
        <w:jc w:val="both"/>
        <w:rPr>
          <w:bCs/>
          <w:color w:val="002060"/>
          <w:sz w:val="16"/>
          <w:szCs w:val="16"/>
        </w:rPr>
      </w:pPr>
      <w:r w:rsidRPr="00DE096C">
        <w:rPr>
          <w:bCs/>
          <w:color w:val="002060"/>
          <w:sz w:val="16"/>
          <w:szCs w:val="16"/>
        </w:rPr>
        <w:t>К конце июля 1914 германский штаб, прекрасно зная о том, как далеко вперед ушла Франция в развитии авиационной техники, делал ставку на свое супероружие, творение графа Цеппелина, не имевшее в то время аналогов в мире. В Германии к этому моменту насчитывалось 32 воздушных корабля, из них 12 цеппелинов. Все цеппелины имели емкость в 20 тыс. м3 и более, и могли поднимать груз до 10 т. Большая часть этих воздушных кораблей была снабжена пулеметами и скорострельными орудиями. Цеппелины развивали скорость до 82 км/час и могли пролететь без посадки до 4,5 тыс. км. Все они были снабжены станциями беспроволочного телеграфа и прожекторами. А самое главное - они могли свободно сбрасывать груз до 600 кг, нисколько не нарушая своего равновесия.</w:t>
      </w:r>
    </w:p>
    <w:p w14:paraId="61E5D739" w14:textId="77777777" w:rsidR="00B31A72" w:rsidRPr="00DE096C" w:rsidRDefault="00B31A72" w:rsidP="00D45A46">
      <w:pPr>
        <w:jc w:val="both"/>
        <w:rPr>
          <w:bCs/>
          <w:color w:val="002060"/>
          <w:sz w:val="16"/>
          <w:szCs w:val="16"/>
        </w:rPr>
      </w:pPr>
      <w:r w:rsidRPr="00DE096C">
        <w:rPr>
          <w:bCs/>
          <w:color w:val="002060"/>
          <w:sz w:val="16"/>
          <w:szCs w:val="16"/>
        </w:rPr>
        <w:t>Кроме цеппелинов в Германском воздушном флоте имелись на вооружении 1 воздушный крейсер I класса "Шютте-Ланц" емкостью в 24 тыс. м3, 9 воздушных крейсеров II класса, два разведывательных воздушных корабля и 9 сторожевых и учебных воздушных кораблей.</w:t>
      </w:r>
    </w:p>
    <w:p w14:paraId="497EA250" w14:textId="77777777" w:rsidR="00B31A72" w:rsidRPr="00DE096C" w:rsidRDefault="00B31A72" w:rsidP="00D45A46">
      <w:pPr>
        <w:jc w:val="both"/>
        <w:rPr>
          <w:bCs/>
          <w:color w:val="002060"/>
          <w:sz w:val="16"/>
          <w:szCs w:val="16"/>
        </w:rPr>
      </w:pPr>
      <w:r w:rsidRPr="00DE096C">
        <w:rPr>
          <w:bCs/>
          <w:color w:val="002060"/>
          <w:sz w:val="16"/>
          <w:szCs w:val="16"/>
        </w:rPr>
        <w:t>Для обслуживания столь значительного воздушного флота в Германии имелось 44 эллинга и 21 маяк для ночных полетов; такими маяками служили высокие металлические башни с прожекторами. Вблизи главных воздушных гаваней располагались водородные заводы.</w:t>
      </w:r>
    </w:p>
    <w:p w14:paraId="1A25B387" w14:textId="77777777" w:rsidR="00B31A72" w:rsidRPr="00DE096C" w:rsidRDefault="00B31A72" w:rsidP="00D45A46">
      <w:pPr>
        <w:jc w:val="both"/>
        <w:rPr>
          <w:bCs/>
          <w:color w:val="002060"/>
          <w:sz w:val="16"/>
          <w:szCs w:val="16"/>
        </w:rPr>
      </w:pPr>
      <w:r w:rsidRPr="00DE096C">
        <w:rPr>
          <w:bCs/>
          <w:color w:val="002060"/>
          <w:sz w:val="16"/>
          <w:szCs w:val="16"/>
        </w:rPr>
        <w:t>После передачи дирижаблей "Виктория Луиза" и полужесткого M-IV морскому ведомству в распоряжении главного германского командования остались:</w:t>
      </w:r>
    </w:p>
    <w:p w14:paraId="3364FB11" w14:textId="77777777" w:rsidR="00B31A72" w:rsidRPr="00DE096C" w:rsidRDefault="00B31A72" w:rsidP="00D45A46">
      <w:pPr>
        <w:jc w:val="both"/>
        <w:rPr>
          <w:bCs/>
          <w:color w:val="002060"/>
          <w:sz w:val="16"/>
          <w:szCs w:val="16"/>
        </w:rPr>
      </w:pPr>
      <w:r w:rsidRPr="00DE096C">
        <w:rPr>
          <w:bCs/>
          <w:color w:val="002060"/>
          <w:sz w:val="16"/>
          <w:szCs w:val="16"/>
        </w:rPr>
        <w:t>На Западноевропейском театре цеппелины: Z-VI (в Кельне), Z-VII (в Бадене), Z-VIII (в Трире), Z-IX (в Дюссельдорфе), Z-Саксония (во Франкфурте-на-Майне);</w:t>
      </w:r>
    </w:p>
    <w:p w14:paraId="4400776B" w14:textId="77777777" w:rsidR="00B31A72" w:rsidRPr="00DE096C" w:rsidRDefault="00B31A72" w:rsidP="00D45A46">
      <w:pPr>
        <w:jc w:val="both"/>
        <w:rPr>
          <w:bCs/>
          <w:color w:val="002060"/>
          <w:sz w:val="16"/>
          <w:szCs w:val="16"/>
        </w:rPr>
      </w:pPr>
      <w:r w:rsidRPr="00DE096C">
        <w:rPr>
          <w:bCs/>
          <w:color w:val="002060"/>
          <w:sz w:val="16"/>
          <w:szCs w:val="16"/>
        </w:rPr>
        <w:t>На Восточноевропейском театре: Z-IV (в Кенигсберге), Z-V (в Познани) и "Шютте-Ланц DL-2" (в Лигнице).</w:t>
      </w:r>
    </w:p>
    <w:p w14:paraId="60F21F35" w14:textId="77777777" w:rsidR="00B31A72" w:rsidRPr="00DE096C" w:rsidRDefault="00B31A72" w:rsidP="00D45A46">
      <w:pPr>
        <w:jc w:val="both"/>
        <w:rPr>
          <w:bCs/>
          <w:color w:val="002060"/>
          <w:sz w:val="16"/>
          <w:szCs w:val="16"/>
        </w:rPr>
      </w:pPr>
      <w:r w:rsidRPr="00DE096C">
        <w:rPr>
          <w:bCs/>
          <w:color w:val="002060"/>
          <w:sz w:val="16"/>
          <w:szCs w:val="16"/>
        </w:rPr>
        <w:t>Помимо эллингов в указанных пунктах, имелся ряд военных и частных эллингов для дирижаблей жесткого типа в Меце, Дрездене, Алленштейне, Гота, Иоганнистале и Лейпциге. Готовились эллинги близ Дюссельдорфа, Бонна, Дармштадта, Мангейма, Фридрихсгафена, Ганновера, Шей- Демиля и Ютеборга.</w:t>
      </w:r>
    </w:p>
    <w:p w14:paraId="43A41E34" w14:textId="77777777" w:rsidR="00B31A72" w:rsidRPr="00DE096C" w:rsidRDefault="00B31A72" w:rsidP="00D45A46">
      <w:pPr>
        <w:jc w:val="both"/>
        <w:rPr>
          <w:bCs/>
          <w:color w:val="002060"/>
          <w:sz w:val="16"/>
          <w:szCs w:val="16"/>
        </w:rPr>
      </w:pPr>
      <w:r w:rsidRPr="00DE096C">
        <w:rPr>
          <w:bCs/>
          <w:color w:val="002060"/>
          <w:sz w:val="16"/>
          <w:szCs w:val="16"/>
        </w:rPr>
        <w:t>Всего в Германии имелось 39 оборудованных стоянок для дирижаблей, имевших 53 эллинга (из них 39 больших).</w:t>
      </w:r>
    </w:p>
    <w:p w14:paraId="0A278497" w14:textId="77777777" w:rsidR="00B31A72" w:rsidRPr="00DE096C" w:rsidRDefault="00B31A72" w:rsidP="00D45A46">
      <w:pPr>
        <w:jc w:val="both"/>
        <w:rPr>
          <w:bCs/>
          <w:color w:val="002060"/>
          <w:sz w:val="16"/>
          <w:szCs w:val="16"/>
        </w:rPr>
      </w:pPr>
      <w:r w:rsidRPr="00DE096C">
        <w:rPr>
          <w:bCs/>
          <w:color w:val="002060"/>
          <w:sz w:val="16"/>
          <w:szCs w:val="16"/>
        </w:rPr>
        <w:t>То, что германский генеральный штаб видел в дирижаблях выдающееся средство не только для дальней разведки, но также и для бомбардирования целей в глубоком тылу противника, весьма отрицательно сказалось на развитии авиации в Германии. Даже несмотря на то, что по численности военных аэропланов ей удалось догнать Францию, германские аппараты в большинстве своем уступали французским, а после мобилизации французами большого количества частных аэропланов резко отстали и в количественном отношении.</w:t>
      </w:r>
    </w:p>
    <w:p w14:paraId="29164436" w14:textId="77777777" w:rsidR="00B31A72" w:rsidRPr="00DE096C" w:rsidRDefault="00B31A72" w:rsidP="00D45A46">
      <w:pPr>
        <w:jc w:val="both"/>
        <w:rPr>
          <w:bCs/>
          <w:color w:val="002060"/>
          <w:sz w:val="16"/>
          <w:szCs w:val="16"/>
        </w:rPr>
      </w:pPr>
      <w:r w:rsidRPr="00DE096C">
        <w:rPr>
          <w:bCs/>
          <w:color w:val="002060"/>
          <w:sz w:val="16"/>
          <w:szCs w:val="16"/>
        </w:rPr>
        <w:t>Гепнер: "Франция далеко опередила нас в этом отношении... Начиная с 1910 г., не только французская армия, но и вся страна стали возлагать свои надежды на "пятый род войск". Французы были убеждены, что самолет явится тем средством, которое позволит им добиться победы в будущей войне".</w:t>
      </w:r>
    </w:p>
    <w:p w14:paraId="56439DAA" w14:textId="77777777" w:rsidR="00B31A72" w:rsidRPr="00DE096C" w:rsidRDefault="00B31A72" w:rsidP="00D45A46">
      <w:pPr>
        <w:jc w:val="both"/>
        <w:rPr>
          <w:bCs/>
          <w:color w:val="002060"/>
          <w:sz w:val="16"/>
          <w:szCs w:val="16"/>
        </w:rPr>
      </w:pPr>
      <w:r w:rsidRPr="00DE096C">
        <w:rPr>
          <w:bCs/>
          <w:color w:val="002060"/>
          <w:sz w:val="16"/>
          <w:szCs w:val="16"/>
        </w:rPr>
        <w:t>Авиационные силы Германии к этому моменту были следующими.</w:t>
      </w:r>
    </w:p>
    <w:p w14:paraId="7B04589F" w14:textId="77777777" w:rsidR="00B31A72" w:rsidRPr="00DE096C" w:rsidRDefault="00B31A72" w:rsidP="00D45A46">
      <w:pPr>
        <w:jc w:val="both"/>
        <w:rPr>
          <w:bCs/>
          <w:color w:val="002060"/>
          <w:sz w:val="16"/>
          <w:szCs w:val="16"/>
        </w:rPr>
      </w:pPr>
      <w:r w:rsidRPr="00DE096C">
        <w:rPr>
          <w:bCs/>
          <w:color w:val="002060"/>
          <w:sz w:val="16"/>
          <w:szCs w:val="16"/>
        </w:rPr>
        <w:t>При мобилизации из пяти имеющихся на тот момент авиационных батальонов в Германии были сформированы 34 полевых и 7 крепостных авиационных отрядов с общим числом аэропланов - 232. Большей частью это были двухместные бипланы "Альбатрос" и одноместные монопланы "Таубе" со скоростью около 100 км/час. Кроме того, были развернуты 8 авиационных парков и 5 запасных авиационных отрядов. Каждой армии и каждому армейскому корпусу придавалось по одному полевому авиационному отряду (Staffel), имевшему 6 аэропланов. В пограничных крепостях авиационные отряды имели по 4 аэроплана. Планомерная мобилизация полевых авиаотрядов завершилась в пять дней.</w:t>
      </w:r>
    </w:p>
    <w:p w14:paraId="70C8D21B" w14:textId="77777777" w:rsidR="00B31A72" w:rsidRPr="00DE096C" w:rsidRDefault="00B31A72" w:rsidP="00D45A46">
      <w:pPr>
        <w:jc w:val="both"/>
        <w:rPr>
          <w:bCs/>
          <w:color w:val="002060"/>
          <w:sz w:val="16"/>
          <w:szCs w:val="16"/>
        </w:rPr>
      </w:pPr>
      <w:r w:rsidRPr="00DE096C">
        <w:rPr>
          <w:bCs/>
          <w:color w:val="002060"/>
          <w:sz w:val="16"/>
          <w:szCs w:val="16"/>
        </w:rPr>
        <w:t>Кроме того, по некоторым данным было подготовлено 1500 летчиков, в том числе - 500 военных. Имелось более 40 заводов, строящих аэропланы и двигатели для них (11999).</w:t>
      </w:r>
    </w:p>
    <w:p w14:paraId="633149DF" w14:textId="77777777" w:rsidR="00B31A72" w:rsidRPr="00DE096C" w:rsidRDefault="00B31A72" w:rsidP="00D45A46">
      <w:pPr>
        <w:jc w:val="both"/>
        <w:rPr>
          <w:bCs/>
          <w:color w:val="002060"/>
          <w:sz w:val="16"/>
          <w:szCs w:val="16"/>
        </w:rPr>
      </w:pPr>
    </w:p>
    <w:p w14:paraId="74EBD7C9" w14:textId="77777777" w:rsidR="00B31A72" w:rsidRPr="00DE096C" w:rsidRDefault="00B31A72" w:rsidP="00D45A46">
      <w:pPr>
        <w:jc w:val="both"/>
        <w:rPr>
          <w:bCs/>
          <w:color w:val="002060"/>
          <w:sz w:val="16"/>
          <w:szCs w:val="16"/>
        </w:rPr>
      </w:pPr>
      <w:r w:rsidRPr="00DE096C">
        <w:rPr>
          <w:bCs/>
          <w:color w:val="002060"/>
          <w:sz w:val="16"/>
          <w:szCs w:val="16"/>
        </w:rPr>
        <w:t>К концу июля 1914 незадолго до войны в Германии применение массированного артиллерийского обстрела при содействии авиации в борьбе с артиллерией противника было положено в основу боевого устава. Развитие воздухоплавания и авиации показало необходимость планомерного и углубленного исследования воздушного океана и выяснило важное значение метеорологии для воздушного флота. В снабжении воздушного флота нужной ему информацией принимали деятельное участие гражданские метеорологические станции, а также метеостанции воздухоплавательной обсерватории в Линденберге. Однако Инспекция воздушных и автомобильных сообщений считала нужным иметь собственную военно-метеорологическую служб а также стремилась обеспечить солидное метеорологическое образование воздухоплавателям и летчикам. Для этой цели еще в 1914 году был создан центр военной метеорологической службы. Этот центр в своей деятельности широко использовал результаты наблюдений гражданских сухопутных и морских метеорологических станций; кроме того, до войны он располагал 18-ю постоянными и 2-мя подвижными метеостанциями (11282).</w:t>
      </w:r>
    </w:p>
    <w:p w14:paraId="16C229D1" w14:textId="77777777" w:rsidR="00B31A72" w:rsidRPr="00DE096C" w:rsidRDefault="00B31A72" w:rsidP="00D45A46">
      <w:pPr>
        <w:jc w:val="both"/>
        <w:rPr>
          <w:bCs/>
          <w:color w:val="002060"/>
          <w:sz w:val="16"/>
          <w:szCs w:val="16"/>
        </w:rPr>
      </w:pPr>
    </w:p>
    <w:p w14:paraId="31CAEAB4" w14:textId="77777777" w:rsidR="00B31A72" w:rsidRPr="00DE096C" w:rsidRDefault="00B31A72" w:rsidP="00D45A46">
      <w:pPr>
        <w:jc w:val="both"/>
        <w:rPr>
          <w:bCs/>
          <w:color w:val="002060"/>
          <w:sz w:val="16"/>
          <w:szCs w:val="16"/>
        </w:rPr>
      </w:pPr>
      <w:r w:rsidRPr="00DE096C">
        <w:rPr>
          <w:bCs/>
          <w:color w:val="002060"/>
          <w:sz w:val="16"/>
          <w:szCs w:val="16"/>
        </w:rPr>
        <w:t xml:space="preserve">К концу июля 1914 г. к началу Первой мировой войны на заводе «Шютте-Ланц» трудилось всего 5 инженеров и 60 рабочих, но в 1916 году насчитывалось уже 120 инженеров и 850 рабочих, а в мае 1917 года численность персонала достигла 1500 человек. </w:t>
      </w:r>
    </w:p>
    <w:p w14:paraId="509AC292" w14:textId="77777777" w:rsidR="00B31A72" w:rsidRPr="00DE096C" w:rsidRDefault="00B31A72" w:rsidP="00D45A46">
      <w:pPr>
        <w:jc w:val="both"/>
        <w:rPr>
          <w:bCs/>
          <w:color w:val="002060"/>
          <w:sz w:val="16"/>
          <w:szCs w:val="16"/>
        </w:rPr>
      </w:pPr>
      <w:r w:rsidRPr="00DE096C">
        <w:rPr>
          <w:bCs/>
          <w:color w:val="002060"/>
          <w:sz w:val="16"/>
          <w:szCs w:val="16"/>
        </w:rPr>
        <w:t xml:space="preserve">Дирижабль SL-3 имел объем 32 410 куб. м при длине 153,1 м и диаметре корпуса 19,75 м. При весе 24 150 кг полезная нагрузка составляла [89] 10 870 кг. Четыре двигателя фирмы «Майбах» мощностью по 210 л. с. обеспечивали ему скорость полета 84,6 км/ч. Дирижабль SL-4, совершивший первый полет 25 апреля 1915 года, имел объем 32 410 куб. м. Война подстегнула строительство новых сборочных цехов в других городах — Сандхофрене близ Мангейма, Дармштадте, Лейпциге, Марке. Темпы выпуска дирижаблей нарастали. В 1915 году было заказано 5 дирижаблей, а в 1916-9. </w:t>
      </w:r>
    </w:p>
    <w:p w14:paraId="5C274A4E" w14:textId="77777777" w:rsidR="00B31A72" w:rsidRPr="00DE096C" w:rsidRDefault="00B31A72" w:rsidP="00D45A46">
      <w:pPr>
        <w:jc w:val="both"/>
        <w:rPr>
          <w:bCs/>
          <w:color w:val="002060"/>
          <w:sz w:val="16"/>
          <w:szCs w:val="16"/>
        </w:rPr>
      </w:pPr>
      <w:r w:rsidRPr="00DE096C">
        <w:rPr>
          <w:bCs/>
          <w:color w:val="002060"/>
          <w:sz w:val="16"/>
          <w:szCs w:val="16"/>
        </w:rPr>
        <w:t>Специалисты считали, что только с появлением дирижаблей конструкции Шютте-Ланца немцы могли начать бомбардировки Лондона с высот 8000-9000 м. Именно дирижабль SL-10 в июне 1916 года первым появился над Константинополем и выполнил разведывательные полеты над Черным морем. За дирижаблями SL-6 и SL-7 последовали корабли типа «Е»: с SL-8 по SL-19 (Е-12) объемом от 35 130 до 38 780 куб. м. Последние три с деревянным каркасом, вошедшие в серию «F» (SL-20, SL-</w:t>
      </w:r>
      <w:r w:rsidRPr="00DE096C">
        <w:rPr>
          <w:bCs/>
          <w:color w:val="002060"/>
          <w:sz w:val="16"/>
          <w:szCs w:val="16"/>
        </w:rPr>
        <w:lastRenderedPageBreak/>
        <w:t>21, SL-22) имели объем 56 000 куб. м. Их длина достигала 198,3 м, а диаметр корпуса 22,92 м. При собственном весе 29 300 кг полезная нагрузка составляла 31 200 кг (11324).</w:t>
      </w:r>
    </w:p>
    <w:p w14:paraId="6A5A886C" w14:textId="77777777" w:rsidR="00B31A72" w:rsidRPr="00DE096C" w:rsidRDefault="00B31A72" w:rsidP="00D45A46">
      <w:pPr>
        <w:shd w:val="clear" w:color="auto" w:fill="FFFFFF"/>
        <w:jc w:val="both"/>
        <w:rPr>
          <w:bCs/>
          <w:i/>
          <w:color w:val="002060"/>
          <w:sz w:val="16"/>
          <w:szCs w:val="16"/>
        </w:rPr>
      </w:pPr>
    </w:p>
    <w:p w14:paraId="2E307B44" w14:textId="77777777" w:rsidR="00B31A72" w:rsidRPr="00DE096C" w:rsidRDefault="00B31A72" w:rsidP="00D45A46">
      <w:pPr>
        <w:jc w:val="both"/>
        <w:rPr>
          <w:bCs/>
          <w:color w:val="002060"/>
          <w:sz w:val="16"/>
          <w:szCs w:val="16"/>
        </w:rPr>
      </w:pPr>
      <w:r w:rsidRPr="00DE096C">
        <w:rPr>
          <w:bCs/>
          <w:color w:val="002060"/>
          <w:sz w:val="16"/>
          <w:szCs w:val="16"/>
        </w:rPr>
        <w:t xml:space="preserve">К концу июля 1914 к началу войны первая база морских воздушных кораблей в Нордхольце еще не была готова. А так как война потребовала значительного увеличения числа дирижаблей, одновременно начали строить новые воздушные базы, по возможности ближе к зоне их боевой работы. Попутно с расширением центральной воздушной базы в Нордхольце (в течение войны построен 1 большой сдвоенный вращающийся эллинг, 2 небольших эллинга для кораблей типа L-20, 1 большой эллинг длиной 240 м, 2 больших сдвоенных эллинга длиной по 270 м) были образованы новые: на западе — в Гаге, в Остфрисланде (4 небольших эллинга по типу Нордхольца), на севере — в Тондерне, в Нордшлезвиге (2 небольших эллинга по типу Нордхольца и 1 большой эллинг, который три раза горел, но восстанавливался). </w:t>
      </w:r>
    </w:p>
    <w:p w14:paraId="14F5A5FD" w14:textId="77777777" w:rsidR="00B31A72" w:rsidRPr="00DE096C" w:rsidRDefault="00B31A72" w:rsidP="00D45A46">
      <w:pPr>
        <w:jc w:val="both"/>
        <w:rPr>
          <w:bCs/>
          <w:color w:val="002060"/>
          <w:sz w:val="16"/>
          <w:szCs w:val="16"/>
        </w:rPr>
      </w:pPr>
      <w:r w:rsidRPr="00DE096C">
        <w:rPr>
          <w:bCs/>
          <w:color w:val="002060"/>
          <w:sz w:val="16"/>
          <w:szCs w:val="16"/>
        </w:rPr>
        <w:t xml:space="preserve">В акватории Балтийского моря имелся только 1 эллинг для небольших кораблей в Киле, снесенный в ноябре 1916 года. Для обслуживания восточной части Балтийского моря была оборудована воздушная база в Седдине у Сгольпа, в Померании (1 небольшой эллинг по типу Нордхольца и 1 большой сдвоенный эллинг). Впоследствии были построены воздушные базы и далее на восток — в Зеераппене у Кенигсберга (1 большой сдвоенный эллинг) и в Вайнодене в Курляндии (1 большой эллинг). Так как война требовала быстрого ввода в строй новых воздушных баз, немцы отказались от постройки вращающихся эллингов, которые уже имелись в Нордхольце, и ограничились постройкой обыкновенных эллингов, сориентировав их в направлении преобладающих ветров. В 1914 году были возведены эллинги в Дрездене (1 сдвоенный длиной 160 м), Лейпциге (1 сдвоенный длиной 180 м), Намюре [96] (1 небольшой) и Дюрене (1 небольшой). </w:t>
      </w:r>
    </w:p>
    <w:p w14:paraId="2EED9CEC" w14:textId="77777777" w:rsidR="00B31A72" w:rsidRPr="00DE096C" w:rsidRDefault="00B31A72" w:rsidP="00D45A46">
      <w:pPr>
        <w:jc w:val="both"/>
        <w:rPr>
          <w:bCs/>
          <w:color w:val="002060"/>
          <w:sz w:val="16"/>
          <w:szCs w:val="16"/>
        </w:rPr>
      </w:pPr>
      <w:r w:rsidRPr="00DE096C">
        <w:rPr>
          <w:bCs/>
          <w:color w:val="002060"/>
          <w:sz w:val="16"/>
          <w:szCs w:val="16"/>
        </w:rPr>
        <w:t xml:space="preserve">Каждая база воздушных кораблей имела собственный газодобывающий завод. Вследствие участившихся нападений авиации противника на Нордхольц и Тондерн, а также учитывая тот факт, что было достигнуто значительное увеличение радиуса действия дирижаблей, в середине 1916 года созрело решение строить новые морские воздушные базы вдали от побережья, где наблюдались более благоприятные метеорологические условия. По этим соображениям была построена база в Альгорне, герцогство Ольденбург. </w:t>
      </w:r>
    </w:p>
    <w:p w14:paraId="6CA9E48C" w14:textId="77777777" w:rsidR="00B31A72" w:rsidRPr="00DE096C" w:rsidRDefault="00B31A72" w:rsidP="00D45A46">
      <w:pPr>
        <w:jc w:val="both"/>
        <w:rPr>
          <w:bCs/>
          <w:color w:val="002060"/>
          <w:sz w:val="16"/>
          <w:szCs w:val="16"/>
        </w:rPr>
      </w:pPr>
      <w:r w:rsidRPr="00DE096C">
        <w:rPr>
          <w:bCs/>
          <w:color w:val="002060"/>
          <w:sz w:val="16"/>
          <w:szCs w:val="16"/>
        </w:rPr>
        <w:t>Она находилась вне зоны берегового тумана и в районе с меньшими ветрами, чем базы, расположенные вблизи Северного моря. После окончательной достройки база в Альгорне должна была иметь 6 больших сдвоенных эллингов длиной 240 метров, построенных таким образом, чтобы при каждом господствующем направлении ветра по меньшей мере в одну из трех пар эллингов можно было бы безопасно вводить корабль. В Альгорне был возведен газодобывающий завод, имевший в запасе всегда не менее 300 000 куб. м водорода. Порт воздушных кораблей в Нордхольце расширили так же, как и в Альгорне. 5 января 1918 года, вследствие умышленного поджога, в Альгорне были уничтожены 4 эллинга с шестью находящимися в них цеппелинами новейшей постройки. В 1917 году, когда армия ликвидировала сухопутное управляемое воздухоплавание, часть принадлежащих ей баз, как, например, в Виттмундсгафене (2 больших сдвоенных эллинга) и Вильдесгаузене (1 большой эллинг), построенных у Северного моря, перешли флоту (11324).</w:t>
      </w:r>
    </w:p>
    <w:p w14:paraId="4CB1AE64" w14:textId="77777777" w:rsidR="00B31A72" w:rsidRPr="00DE096C" w:rsidRDefault="00B31A72" w:rsidP="00D45A46">
      <w:pPr>
        <w:shd w:val="clear" w:color="auto" w:fill="FFFFFF"/>
        <w:jc w:val="both"/>
        <w:rPr>
          <w:bCs/>
          <w:i/>
          <w:color w:val="002060"/>
          <w:sz w:val="16"/>
          <w:szCs w:val="16"/>
        </w:rPr>
      </w:pPr>
    </w:p>
    <w:p w14:paraId="56B34103" w14:textId="074E2333" w:rsidR="006F1FDC" w:rsidRPr="00DE096C" w:rsidRDefault="006F1FDC" w:rsidP="00D45A46">
      <w:pPr>
        <w:jc w:val="both"/>
        <w:rPr>
          <w:bCs/>
          <w:i/>
          <w:color w:val="002060"/>
          <w:sz w:val="16"/>
          <w:szCs w:val="16"/>
        </w:rPr>
      </w:pPr>
      <w:r w:rsidRPr="00DE096C">
        <w:rPr>
          <w:bCs/>
          <w:i/>
          <w:color w:val="002060"/>
          <w:sz w:val="16"/>
          <w:szCs w:val="16"/>
        </w:rPr>
        <w:t>Авиация и воздухоплавание Франции:</w:t>
      </w:r>
    </w:p>
    <w:p w14:paraId="35D1F23F" w14:textId="77777777" w:rsidR="006F1FDC" w:rsidRPr="00DE096C" w:rsidRDefault="006F1FDC" w:rsidP="00D45A46">
      <w:pPr>
        <w:jc w:val="both"/>
        <w:rPr>
          <w:bCs/>
          <w:i/>
          <w:color w:val="002060"/>
          <w:sz w:val="16"/>
          <w:szCs w:val="16"/>
        </w:rPr>
      </w:pPr>
    </w:p>
    <w:p w14:paraId="6BBF63AF" w14:textId="77777777" w:rsidR="003158C0" w:rsidRPr="00DE096C" w:rsidRDefault="003158C0" w:rsidP="00D45A46">
      <w:pPr>
        <w:jc w:val="both"/>
        <w:rPr>
          <w:rStyle w:val="43"/>
          <w:rFonts w:ascii="Times New Roman" w:hAnsi="Times New Roman" w:cs="Times New Roman"/>
          <w:bCs/>
          <w:color w:val="002060"/>
          <w:sz w:val="16"/>
          <w:szCs w:val="16"/>
        </w:rPr>
      </w:pPr>
      <w:r w:rsidRPr="00DE096C">
        <w:rPr>
          <w:bCs/>
          <w:color w:val="002060"/>
          <w:sz w:val="16"/>
          <w:szCs w:val="16"/>
        </w:rPr>
        <w:t>В конце июля 1914 к началу большой войны в Европе армейская и флотская авиация Франции вместе имели всего 156 аэропланов, в том числе 148 — на сухопутном театре, еще около 100 находившихся в частном владении числились в мобилизационном резерве. Формирование частей армейской и морской авиации не было завершено, впрочем, разведки противников и союзников не знали этого (22737).</w:t>
      </w:r>
    </w:p>
    <w:p w14:paraId="28602683" w14:textId="77777777" w:rsidR="003158C0" w:rsidRPr="00DE096C" w:rsidRDefault="003158C0" w:rsidP="00D45A46">
      <w:pPr>
        <w:jc w:val="both"/>
        <w:rPr>
          <w:rStyle w:val="43"/>
          <w:rFonts w:ascii="Times New Roman" w:hAnsi="Times New Roman" w:cs="Times New Roman"/>
          <w:bCs/>
          <w:color w:val="002060"/>
          <w:sz w:val="16"/>
          <w:szCs w:val="16"/>
        </w:rPr>
      </w:pPr>
    </w:p>
    <w:p w14:paraId="453D00AD" w14:textId="77777777" w:rsidR="002D0E4D" w:rsidRPr="00DE096C" w:rsidRDefault="002D0E4D" w:rsidP="00D45A46">
      <w:pPr>
        <w:shd w:val="clear" w:color="auto" w:fill="FFFFFF"/>
        <w:jc w:val="both"/>
        <w:rPr>
          <w:bCs/>
          <w:color w:val="002060"/>
          <w:sz w:val="16"/>
          <w:szCs w:val="16"/>
        </w:rPr>
      </w:pPr>
      <w:r w:rsidRPr="00DE096C">
        <w:rPr>
          <w:bCs/>
          <w:color w:val="002060"/>
          <w:sz w:val="16"/>
          <w:szCs w:val="16"/>
        </w:rPr>
        <w:t>К концу июля 1914 к началу войны Франция имела в строю только 138 аэропланов, в основном «Ныопор-11» и «Фар-ман-16» и «22». Однако в первые же дни войны 370 част</w:t>
      </w:r>
      <w:r w:rsidRPr="00DE096C">
        <w:rPr>
          <w:bCs/>
          <w:color w:val="002060"/>
          <w:sz w:val="16"/>
          <w:szCs w:val="16"/>
        </w:rPr>
        <w:softHyphen/>
        <w:t>ных пилотов со своими спортивными машинами значитель-но увеличили численность воздушного флота Франции, что позволило французскому командованию в первые же дни войны развернуть вдоль всего фронта еще 25 авиаотрядов (11060).</w:t>
      </w:r>
    </w:p>
    <w:p w14:paraId="504FCE1B" w14:textId="77777777" w:rsidR="002D0E4D" w:rsidRPr="00DE096C" w:rsidRDefault="002D0E4D" w:rsidP="00D45A46">
      <w:pPr>
        <w:shd w:val="clear" w:color="auto" w:fill="FFFFFF"/>
        <w:jc w:val="both"/>
        <w:rPr>
          <w:bCs/>
          <w:color w:val="002060"/>
          <w:sz w:val="16"/>
          <w:szCs w:val="16"/>
        </w:rPr>
      </w:pPr>
    </w:p>
    <w:p w14:paraId="20A2B2CF" w14:textId="77777777" w:rsidR="002D0E4D" w:rsidRPr="00DE096C" w:rsidRDefault="002D0E4D" w:rsidP="00D45A46">
      <w:pPr>
        <w:jc w:val="both"/>
        <w:rPr>
          <w:bCs/>
          <w:color w:val="002060"/>
          <w:sz w:val="16"/>
          <w:szCs w:val="16"/>
        </w:rPr>
      </w:pPr>
      <w:r w:rsidRPr="00DE096C">
        <w:rPr>
          <w:bCs/>
          <w:color w:val="002060"/>
          <w:sz w:val="16"/>
          <w:szCs w:val="16"/>
        </w:rPr>
        <w:t>К концу июля 1914 к началу войны Франция имела в строю только 138 аэропланов, в основном "Ныопор-11" и "Фарман-16" и "22". Однако в первые же дни войны 370 частных пилотов со своими спортивными машинами значительно увеличили численность воздушного флота Франции, что позволило французскому командованию в первые же дни войны развернуть вдоль всего фронта еще 25 авиаотрядов (11999).</w:t>
      </w:r>
    </w:p>
    <w:p w14:paraId="1CB2703D" w14:textId="77777777" w:rsidR="002D0E4D" w:rsidRPr="00DE096C" w:rsidRDefault="002D0E4D" w:rsidP="00D45A46">
      <w:pPr>
        <w:jc w:val="both"/>
        <w:rPr>
          <w:bCs/>
          <w:color w:val="002060"/>
          <w:sz w:val="16"/>
          <w:szCs w:val="16"/>
        </w:rPr>
      </w:pPr>
    </w:p>
    <w:p w14:paraId="0488A11E" w14:textId="77777777" w:rsidR="002D0E4D" w:rsidRPr="00DE096C" w:rsidRDefault="002D0E4D" w:rsidP="00D45A46">
      <w:pPr>
        <w:jc w:val="both"/>
        <w:rPr>
          <w:bCs/>
          <w:color w:val="002060"/>
          <w:sz w:val="16"/>
          <w:szCs w:val="16"/>
        </w:rPr>
      </w:pPr>
      <w:r w:rsidRPr="00DE096C">
        <w:rPr>
          <w:bCs/>
          <w:color w:val="002060"/>
          <w:sz w:val="16"/>
          <w:szCs w:val="16"/>
        </w:rPr>
        <w:t>К концу июля 1914 г. во Франции началась военная мобилизация, военно-воздушные силы этой страны приняли на вооружение 25 самолетов "Блерио XI". Две эскадрильи были укомплектованы одноместными вариантами, а четыре других использовали двухместные самолеты "Блерио XI-2", на которые устанавливались двигатели "Gnome" ("Гном") мощностью 70 л.с. и имели крылья с увеличенной площадью.</w:t>
      </w:r>
    </w:p>
    <w:p w14:paraId="08999DEB" w14:textId="77777777" w:rsidR="002D0E4D" w:rsidRPr="00DE096C" w:rsidRDefault="002D0E4D" w:rsidP="00D45A46">
      <w:pPr>
        <w:jc w:val="both"/>
        <w:rPr>
          <w:bCs/>
          <w:color w:val="002060"/>
          <w:sz w:val="16"/>
          <w:szCs w:val="16"/>
        </w:rPr>
      </w:pPr>
    </w:p>
    <w:p w14:paraId="51B59F1B" w14:textId="77777777" w:rsidR="00115BEB" w:rsidRPr="00DE096C" w:rsidRDefault="00115BEB" w:rsidP="00D45A46">
      <w:pPr>
        <w:jc w:val="both"/>
        <w:rPr>
          <w:bCs/>
          <w:color w:val="002060"/>
          <w:sz w:val="16"/>
          <w:szCs w:val="16"/>
        </w:rPr>
      </w:pPr>
      <w:r w:rsidRPr="00DE096C">
        <w:rPr>
          <w:bCs/>
          <w:color w:val="002060"/>
          <w:sz w:val="16"/>
          <w:szCs w:val="16"/>
        </w:rPr>
        <w:t xml:space="preserve">В конце июля 1914 г. перед Первой мировой войной во французском воздухоплавании сложилась не очень благоприятная ситуация. Стремительное развитие авиации в течение последних четырех предвоенных лет привлекло внимание военных к новому, перспективному воздушному боевому средству. Самолеты в то время не могли летать на такие большие расстояния, как дирижабли. Грузоподъемность самолетов также была значительно ниже, однако их скорость — выше, а сами они — менее заметны. С учетом всех этих факторов стало ясно, что самолеты лучше, чем дирижабли, подходили для фронтовой разведки. Областью применения дирижаблей осталась лишь дальняя разведка и нанесение бомбовых ударов. </w:t>
      </w:r>
    </w:p>
    <w:p w14:paraId="3FA5B948" w14:textId="77777777" w:rsidR="00115BEB" w:rsidRPr="00DE096C" w:rsidRDefault="00115BEB" w:rsidP="00D45A46">
      <w:pPr>
        <w:jc w:val="both"/>
        <w:rPr>
          <w:bCs/>
          <w:color w:val="002060"/>
          <w:sz w:val="16"/>
          <w:szCs w:val="16"/>
        </w:rPr>
      </w:pPr>
      <w:r w:rsidRPr="00DE096C">
        <w:rPr>
          <w:bCs/>
          <w:color w:val="002060"/>
          <w:sz w:val="16"/>
          <w:szCs w:val="16"/>
        </w:rPr>
        <w:t xml:space="preserve">Хотелось бы отметить, что во Франции ревностно следили за быстрым развитием дирижаблестроения в Германии. Национальная [319] гордость и славные традиции в освоении воздушного пространства не позволяли французам без борьбы уйти с арены управляемого воздухоплавания. И все-таки появление цеппелинов поставило Францию в положение проигравшей стороны. Французы быстро смекнули, что отстали в области дирижаблестроения от Германии навсегда, и сосредоточились на авиации. И здесь они преуспели, добившись замечательных успехов. </w:t>
      </w:r>
    </w:p>
    <w:p w14:paraId="53C1DD44" w14:textId="77777777" w:rsidR="00115BEB" w:rsidRPr="00DE096C" w:rsidRDefault="00115BEB" w:rsidP="00D45A46">
      <w:pPr>
        <w:jc w:val="both"/>
        <w:rPr>
          <w:bCs/>
          <w:color w:val="002060"/>
          <w:sz w:val="16"/>
          <w:szCs w:val="16"/>
        </w:rPr>
      </w:pPr>
      <w:r w:rsidRPr="00DE096C">
        <w:rPr>
          <w:bCs/>
          <w:color w:val="002060"/>
          <w:sz w:val="16"/>
          <w:szCs w:val="16"/>
        </w:rPr>
        <w:t>К началу Первой мировой войны Франция лидировала в области самолетостроения. Самолеты Блерио, Фармана, Ньюпора знал весь цивилизованный мир. Темпы развития авиации были поразительны. Летно-технические данные самолетов стремительно совершенствовались, а вместе с ними росли скорость, дальность и высота полета. Многочисленные соревнования и конкурсы самолетов, большие денежные призы за достижение лучших результатов, слава, всеобщее восхищение стали огромным стимулом для создателей авиационной техники и пилотов. К концу 1909 года рекорд скорости полета, установленный Луи Блерио на моноплане собственной конструкции, достиг 77 км/ч. Рекорд дальности принадлежал биплану конструкции Анри Фармана — 234 км. Самолет-моноплан инженера Леона Левассера поднялся на высоту 475 м. В это же время (1910 год) французский летчик Эдуард Ньюпор создал самолет-моноплан, в котором чувствовалось влияние схемы Блерио, но в тоже время это был следующий шаг в истории развития самолетостроения. Ньюпор расположил двигатель и кабину пилота внутри фюзеляжа, чем решительно улучшил аэродинамические характеристики самолета и его летно-технические данные. [320] (11324).</w:t>
      </w:r>
    </w:p>
    <w:p w14:paraId="4F5258F0" w14:textId="77777777" w:rsidR="00115BEB" w:rsidRPr="00DE096C" w:rsidRDefault="00115BEB" w:rsidP="00D45A46">
      <w:pPr>
        <w:jc w:val="both"/>
        <w:rPr>
          <w:bCs/>
          <w:i/>
          <w:color w:val="002060"/>
          <w:sz w:val="16"/>
          <w:szCs w:val="16"/>
        </w:rPr>
      </w:pPr>
    </w:p>
    <w:p w14:paraId="084C05AF" w14:textId="77777777" w:rsidR="002D0E4D" w:rsidRPr="00DE096C" w:rsidRDefault="002D0E4D" w:rsidP="00D45A46">
      <w:pPr>
        <w:jc w:val="both"/>
        <w:rPr>
          <w:bCs/>
          <w:i/>
          <w:color w:val="002060"/>
          <w:sz w:val="16"/>
          <w:szCs w:val="16"/>
        </w:rPr>
      </w:pPr>
      <w:r w:rsidRPr="00DE096C">
        <w:rPr>
          <w:bCs/>
          <w:i/>
          <w:color w:val="002060"/>
          <w:sz w:val="16"/>
          <w:szCs w:val="16"/>
        </w:rPr>
        <w:t>Авиация и воздухоплавание Англии:</w:t>
      </w:r>
    </w:p>
    <w:p w14:paraId="6782BEB9" w14:textId="77777777" w:rsidR="002D0E4D" w:rsidRPr="00DE096C" w:rsidRDefault="002D0E4D" w:rsidP="00D45A46">
      <w:pPr>
        <w:jc w:val="both"/>
        <w:rPr>
          <w:bCs/>
          <w:i/>
          <w:color w:val="002060"/>
          <w:sz w:val="16"/>
          <w:szCs w:val="16"/>
        </w:rPr>
      </w:pPr>
    </w:p>
    <w:p w14:paraId="1DDBA93C" w14:textId="77777777" w:rsidR="002D0E4D" w:rsidRPr="00DE096C" w:rsidRDefault="002D0E4D" w:rsidP="00D45A46">
      <w:pPr>
        <w:jc w:val="both"/>
        <w:rPr>
          <w:bCs/>
          <w:color w:val="002060"/>
          <w:sz w:val="16"/>
          <w:szCs w:val="16"/>
        </w:rPr>
      </w:pPr>
      <w:r w:rsidRPr="00DE096C">
        <w:rPr>
          <w:bCs/>
          <w:color w:val="002060"/>
          <w:sz w:val="16"/>
          <w:szCs w:val="16"/>
        </w:rPr>
        <w:t>К концу июля 1914 перед началом Первой мировой войны Королевские ВВС Англии тоже получили большое количество самолетов Блерио, а к ее началу уже 5 эскадрилий англичан имели на своем вооружении "Блерио XI". Кроме импорта этих самолетов из Франции, Англия и Италия сами произвели по лицензии 104 одноместных и 70 двухместных машин (11120).</w:t>
      </w:r>
    </w:p>
    <w:p w14:paraId="0EF8171A" w14:textId="77777777" w:rsidR="002D0E4D" w:rsidRPr="00DE096C" w:rsidRDefault="002D0E4D" w:rsidP="00D45A46">
      <w:pPr>
        <w:jc w:val="both"/>
        <w:rPr>
          <w:bCs/>
          <w:color w:val="002060"/>
          <w:sz w:val="16"/>
          <w:szCs w:val="16"/>
        </w:rPr>
      </w:pPr>
    </w:p>
    <w:p w14:paraId="5E9AEBAD" w14:textId="77777777" w:rsidR="002D0E4D" w:rsidRPr="00DE096C" w:rsidRDefault="002D0E4D" w:rsidP="00D45A46">
      <w:pPr>
        <w:pStyle w:val="a3"/>
        <w:jc w:val="both"/>
        <w:rPr>
          <w:bCs/>
          <w:i w:val="0"/>
          <w:color w:val="002060"/>
          <w:spacing w:val="0"/>
          <w:kern w:val="0"/>
          <w:position w:val="0"/>
          <w:sz w:val="16"/>
          <w:szCs w:val="16"/>
        </w:rPr>
      </w:pPr>
      <w:r w:rsidRPr="00DE096C">
        <w:rPr>
          <w:bCs/>
          <w:i w:val="0"/>
          <w:iCs/>
          <w:color w:val="002060"/>
          <w:sz w:val="16"/>
          <w:szCs w:val="16"/>
        </w:rPr>
        <w:t>К концу июля 1914</w:t>
      </w:r>
      <w:r w:rsidRPr="00DE096C">
        <w:rPr>
          <w:bCs/>
          <w:color w:val="002060"/>
          <w:sz w:val="16"/>
          <w:szCs w:val="16"/>
        </w:rPr>
        <w:t xml:space="preserve"> </w:t>
      </w:r>
      <w:r w:rsidRPr="00DE096C">
        <w:rPr>
          <w:bCs/>
          <w:i w:val="0"/>
          <w:color w:val="002060"/>
          <w:spacing w:val="0"/>
          <w:kern w:val="0"/>
          <w:position w:val="0"/>
          <w:sz w:val="16"/>
          <w:szCs w:val="16"/>
        </w:rPr>
        <w:t>перед началом боевых действий на вооружении британской армии тогда находилось всего 56 аэропланов по сравнению с 138 французскими, 263 русскими и 232 германскими. Массированные бомбардировки Лондона «цеппелинами» вынудили англичан приспосабливать для отражения атак бомбовозов все имевшиеся в наличии аэропланы. Случилось так, что первый из «Цеппелинов-IX» был уничтожен близ Дюссельдорфа «Таблоидом». Бомба, сброшенная с него, вдребезги разнесла ангар, и огромный костер в несколько минут превратил гигантскую сигару в груду раскаленной перепутанной арматуры. Многообразными оказались боевые задачи, которые «Таблоид» выполнял на первом этапе войны: разведывательные полеты, бомбардировки войск противника, переправ, укреплений, осуществление связи... И большинство из них были предугаданы еще задолго до начала мировой империалистической бойни (11272).</w:t>
      </w:r>
    </w:p>
    <w:p w14:paraId="785044A1" w14:textId="77777777" w:rsidR="002D0E4D" w:rsidRPr="00DE096C" w:rsidRDefault="002D0E4D" w:rsidP="00D45A46">
      <w:pPr>
        <w:pStyle w:val="a3"/>
        <w:jc w:val="both"/>
        <w:rPr>
          <w:bCs/>
          <w:i w:val="0"/>
          <w:color w:val="002060"/>
          <w:spacing w:val="0"/>
          <w:kern w:val="0"/>
          <w:position w:val="0"/>
          <w:sz w:val="16"/>
          <w:szCs w:val="16"/>
        </w:rPr>
      </w:pPr>
    </w:p>
    <w:p w14:paraId="3A65CD33" w14:textId="77777777" w:rsidR="002D0E4D" w:rsidRPr="00DE096C" w:rsidRDefault="002D0E4D" w:rsidP="00D45A46">
      <w:pPr>
        <w:shd w:val="clear" w:color="auto" w:fill="FFFFFF"/>
        <w:jc w:val="both"/>
        <w:rPr>
          <w:bCs/>
          <w:i/>
          <w:color w:val="002060"/>
          <w:sz w:val="16"/>
          <w:szCs w:val="16"/>
        </w:rPr>
      </w:pPr>
      <w:r w:rsidRPr="00DE096C">
        <w:rPr>
          <w:bCs/>
          <w:i/>
          <w:color w:val="002060"/>
          <w:sz w:val="16"/>
          <w:szCs w:val="16"/>
        </w:rPr>
        <w:t>Авиация и воздухоплавание за рубежом:</w:t>
      </w:r>
    </w:p>
    <w:p w14:paraId="6E7DE8FA" w14:textId="77777777" w:rsidR="002D0E4D" w:rsidRPr="00DE096C" w:rsidRDefault="002D0E4D" w:rsidP="00D45A46">
      <w:pPr>
        <w:shd w:val="clear" w:color="auto" w:fill="FFFFFF"/>
        <w:jc w:val="both"/>
        <w:rPr>
          <w:bCs/>
          <w:i/>
          <w:color w:val="002060"/>
          <w:sz w:val="16"/>
          <w:szCs w:val="16"/>
        </w:rPr>
      </w:pPr>
    </w:p>
    <w:p w14:paraId="6F5FBBA6" w14:textId="77777777" w:rsidR="002D0E4D" w:rsidRPr="00DE096C" w:rsidRDefault="002D0E4D" w:rsidP="00D45A46">
      <w:pPr>
        <w:jc w:val="both"/>
        <w:rPr>
          <w:bCs/>
          <w:color w:val="002060"/>
          <w:sz w:val="16"/>
          <w:szCs w:val="16"/>
        </w:rPr>
      </w:pPr>
      <w:r w:rsidRPr="00DE096C">
        <w:rPr>
          <w:bCs/>
          <w:color w:val="002060"/>
          <w:sz w:val="16"/>
          <w:szCs w:val="16"/>
        </w:rPr>
        <w:t>К концу июля 1914 г., к началу Первой мировой войны авиация была уже не в младенчестве, а скорее "здоровым и хорошо растущим ребенком". В 1913 г. аэроплан преодолел рубеж скорости 200 км/час, а авиаторы к тому времени освоили многие фигуры высшего пилотажа. Но генералы, начинавшие войну, не видели на театре военных действий места этой крылатой игрушке богатых чудаков-авантюристов. "Боевое применение аэроплана не представляется возможным", - утверждали военные чины. И их можно понять: авиация многим казалась всего лишь еще одним техническим видом спорта. Так что на начальных этапах войны допустимы были только самолеты-разведчики. Но даже воздушная разведка оказалась намного эффективнее, чем предполагали генералы. Она оказалась надежнее конной - пока лихие кавалеристы прорубались к своим, летчики уже успевали доложить обстановку.</w:t>
      </w:r>
    </w:p>
    <w:p w14:paraId="46AEC0D2" w14:textId="77777777" w:rsidR="002D0E4D" w:rsidRPr="00DE096C" w:rsidRDefault="002D0E4D" w:rsidP="00D45A46">
      <w:pPr>
        <w:jc w:val="both"/>
        <w:rPr>
          <w:bCs/>
          <w:color w:val="002060"/>
          <w:sz w:val="16"/>
          <w:szCs w:val="16"/>
        </w:rPr>
      </w:pPr>
      <w:r w:rsidRPr="00DE096C">
        <w:rPr>
          <w:bCs/>
          <w:color w:val="002060"/>
          <w:sz w:val="16"/>
          <w:szCs w:val="16"/>
        </w:rPr>
        <w:lastRenderedPageBreak/>
        <w:t>Присутствие самолета в небе стало для армии далеко не безобидным. Ружейный огонь с земли не сильно помогал, хотя самый первый авиатор, ставший жертвой Первой мировой, погиб именно от него. Становилось очевидным, что орудием для борьбы с самолетом может стать только другой самолет. Но каким он должен быть и чем мог уничтожать неприятеля?</w:t>
      </w:r>
    </w:p>
    <w:p w14:paraId="39281952" w14:textId="77777777" w:rsidR="002D0E4D" w:rsidRPr="00DE096C" w:rsidRDefault="002D0E4D" w:rsidP="00D45A46">
      <w:pPr>
        <w:jc w:val="both"/>
        <w:rPr>
          <w:bCs/>
          <w:color w:val="002060"/>
          <w:sz w:val="16"/>
          <w:szCs w:val="16"/>
        </w:rPr>
      </w:pPr>
      <w:r w:rsidRPr="00DE096C">
        <w:rPr>
          <w:bCs/>
          <w:color w:val="002060"/>
          <w:sz w:val="16"/>
          <w:szCs w:val="16"/>
        </w:rPr>
        <w:t>Начинал войну самолет безоружным, если, конечно, не считать личного оружия пилота. Для борьбы с воздушным противником нужно было найти нечто гораздо более серьезное. И Великая война предложила для этих поисков самое неограниченное поле действия.</w:t>
      </w:r>
    </w:p>
    <w:p w14:paraId="5260413E" w14:textId="77777777" w:rsidR="002D0E4D" w:rsidRPr="00DE096C" w:rsidRDefault="002D0E4D" w:rsidP="00D45A46">
      <w:pPr>
        <w:jc w:val="both"/>
        <w:rPr>
          <w:bCs/>
          <w:color w:val="002060"/>
          <w:sz w:val="16"/>
          <w:szCs w:val="16"/>
        </w:rPr>
      </w:pPr>
      <w:r w:rsidRPr="00DE096C">
        <w:rPr>
          <w:bCs/>
          <w:color w:val="002060"/>
          <w:sz w:val="16"/>
          <w:szCs w:val="16"/>
        </w:rPr>
        <w:t>Первая мировая война охватила своим пожаром практически все страны Европы. Помимо огромных масс мужского населения, к участию в боях была привлечена и самая передовая техника. Впервые в истории войн над полями сражений появился самолет. Мощь воздушного оружия очень скоро ощутил на себе не только фронт, но и тыл. Новорожденная авиация внесла немалый вклад в массовое уничтожение людей, городов, военных и промышленных объектов, транспорта. На протяжении войны воздушный флот значительно усовершенствовался. Резко возрос парк самолетов.</w:t>
      </w:r>
    </w:p>
    <w:p w14:paraId="51B3DB49" w14:textId="77777777" w:rsidR="002D0E4D" w:rsidRPr="00DE096C" w:rsidRDefault="002D0E4D" w:rsidP="00D45A46">
      <w:pPr>
        <w:jc w:val="both"/>
        <w:rPr>
          <w:bCs/>
          <w:color w:val="002060"/>
          <w:sz w:val="16"/>
          <w:szCs w:val="16"/>
        </w:rPr>
      </w:pPr>
      <w:r w:rsidRPr="00DE096C">
        <w:rPr>
          <w:bCs/>
          <w:color w:val="002060"/>
          <w:sz w:val="16"/>
          <w:szCs w:val="16"/>
        </w:rPr>
        <w:t>Окончание войны оставило без работы тысячи и тысячи летчиков. Во время войны их сравнивали с птицами: соколами, орлами, ястребами. А после - они с трудом находили себе работу...</w:t>
      </w:r>
    </w:p>
    <w:p w14:paraId="7BF071B5" w14:textId="77777777" w:rsidR="002D0E4D" w:rsidRPr="00DE096C" w:rsidRDefault="002D0E4D" w:rsidP="00D45A46">
      <w:pPr>
        <w:jc w:val="both"/>
        <w:rPr>
          <w:bCs/>
          <w:color w:val="002060"/>
          <w:sz w:val="16"/>
          <w:szCs w:val="16"/>
        </w:rPr>
      </w:pPr>
      <w:r w:rsidRPr="00DE096C">
        <w:rPr>
          <w:bCs/>
          <w:color w:val="002060"/>
          <w:sz w:val="16"/>
          <w:szCs w:val="16"/>
        </w:rPr>
        <w:t>Когда Уильяма Фолкнера спросили: "В вашем рассказе "Все они мертвы, эти старые пилоты"... создается впечатление, что люди, прошедшие войну, так или иначе, умерли для новой жизни. Это так?" Он ответил: "Да, в каком-то смысле, они действительно мертвы". "И вы считаете, что в этом положении оказались прежде всего молодые люди, служившие в авиации?" - "В то время - да" (11999).</w:t>
      </w:r>
    </w:p>
    <w:p w14:paraId="52472610" w14:textId="77777777" w:rsidR="002D0E4D" w:rsidRPr="00DE096C" w:rsidRDefault="002D0E4D" w:rsidP="00D45A46">
      <w:pPr>
        <w:jc w:val="both"/>
        <w:rPr>
          <w:bCs/>
          <w:color w:val="002060"/>
          <w:sz w:val="16"/>
          <w:szCs w:val="16"/>
        </w:rPr>
      </w:pPr>
    </w:p>
    <w:p w14:paraId="0E8C10A7" w14:textId="77777777" w:rsidR="002D0E4D" w:rsidRPr="00DE096C" w:rsidRDefault="002D0E4D" w:rsidP="00D45A46">
      <w:pPr>
        <w:shd w:val="clear" w:color="auto" w:fill="FFFFFF"/>
        <w:jc w:val="both"/>
        <w:rPr>
          <w:bCs/>
          <w:color w:val="002060"/>
          <w:sz w:val="16"/>
          <w:szCs w:val="16"/>
        </w:rPr>
      </w:pPr>
      <w:r w:rsidRPr="00DE096C">
        <w:rPr>
          <w:bCs/>
          <w:color w:val="002060"/>
          <w:sz w:val="16"/>
          <w:szCs w:val="16"/>
        </w:rPr>
        <w:t>К концу июля 1914 к началу боевых действий другие страны, участницы первой мировой войны, только приступали к строительству военной авиации. Италия имела всего около 70 самолетов (французского производства), из них в строю 30 самолетов. Австро-Венгрия имела 65 самолетов (278).</w:t>
      </w:r>
    </w:p>
    <w:p w14:paraId="2E678C2B" w14:textId="77777777" w:rsidR="002D0E4D" w:rsidRPr="00DE096C" w:rsidRDefault="002D0E4D" w:rsidP="00D45A46">
      <w:pPr>
        <w:shd w:val="clear" w:color="auto" w:fill="FFFFFF"/>
        <w:jc w:val="both"/>
        <w:rPr>
          <w:bCs/>
          <w:color w:val="002060"/>
          <w:sz w:val="16"/>
          <w:szCs w:val="16"/>
        </w:rPr>
      </w:pPr>
    </w:p>
    <w:p w14:paraId="55791B9F" w14:textId="77777777" w:rsidR="002D0E4D" w:rsidRPr="00DE096C" w:rsidRDefault="002D0E4D" w:rsidP="00D45A46">
      <w:pPr>
        <w:jc w:val="both"/>
        <w:rPr>
          <w:bCs/>
          <w:color w:val="002060"/>
          <w:sz w:val="16"/>
          <w:szCs w:val="16"/>
        </w:rPr>
      </w:pPr>
      <w:r w:rsidRPr="00DE096C">
        <w:rPr>
          <w:bCs/>
          <w:color w:val="002060"/>
          <w:sz w:val="16"/>
          <w:szCs w:val="16"/>
        </w:rPr>
        <w:t>К концу июля 1914 г. Австро-Венгрия имела всего 3 дирижабля. Самый большой из них "Военный-2" - 5000 м3. Воздушных гаваней в Австро-Венгрии было две. Вся воздухоплавательная часть состояла из австрийских офицеров штаба и 10-ти воздухоплавательных парков. Аэропланов, в основном, германских - 100 (11999).</w:t>
      </w:r>
    </w:p>
    <w:p w14:paraId="22257FFA" w14:textId="77777777" w:rsidR="002D0E4D" w:rsidRPr="00DE096C" w:rsidRDefault="002D0E4D" w:rsidP="00D45A46">
      <w:pPr>
        <w:jc w:val="both"/>
        <w:rPr>
          <w:bCs/>
          <w:color w:val="002060"/>
          <w:sz w:val="16"/>
          <w:szCs w:val="16"/>
        </w:rPr>
      </w:pPr>
    </w:p>
    <w:p w14:paraId="6D1CB4F2" w14:textId="77777777" w:rsidR="004E11D8" w:rsidRPr="00DE096C" w:rsidRDefault="004E11D8" w:rsidP="00D45A46">
      <w:pPr>
        <w:jc w:val="both"/>
        <w:rPr>
          <w:bCs/>
          <w:color w:val="002060"/>
          <w:sz w:val="16"/>
          <w:szCs w:val="16"/>
        </w:rPr>
      </w:pPr>
      <w:r w:rsidRPr="00DE096C">
        <w:rPr>
          <w:bCs/>
          <w:color w:val="002060"/>
          <w:sz w:val="16"/>
          <w:szCs w:val="16"/>
        </w:rPr>
        <w:t>В конце июля 1914 к началу войны Австро-Венгрии с Россией, Сербией и Черногорией в составе вооруженных сил числилось всего 39 самолетов трех типов (монопланы «Таубе» в двух вариантах, а также бипланы Лонэр «Пфейль»), один управляемый дирижабль и 10 аэростатов. В штате было 85 пилотов, сведенных в девять летных рот — Fliegerkompanie, сокращенно Flik (22479).</w:t>
      </w:r>
    </w:p>
    <w:p w14:paraId="0156A785" w14:textId="77777777" w:rsidR="004E11D8" w:rsidRPr="00DE096C" w:rsidRDefault="004E11D8" w:rsidP="00D45A46">
      <w:pPr>
        <w:jc w:val="both"/>
        <w:rPr>
          <w:bCs/>
          <w:color w:val="002060"/>
          <w:sz w:val="16"/>
          <w:szCs w:val="16"/>
        </w:rPr>
      </w:pPr>
    </w:p>
    <w:p w14:paraId="13AB4BCD" w14:textId="77777777" w:rsidR="002D0E4D" w:rsidRPr="00DE096C" w:rsidRDefault="002D0E4D" w:rsidP="00D45A46">
      <w:pPr>
        <w:shd w:val="clear" w:color="auto" w:fill="FFFFFF"/>
        <w:jc w:val="both"/>
        <w:rPr>
          <w:bCs/>
          <w:color w:val="002060"/>
          <w:sz w:val="16"/>
          <w:szCs w:val="16"/>
        </w:rPr>
      </w:pPr>
      <w:r w:rsidRPr="00DE096C">
        <w:rPr>
          <w:bCs/>
          <w:color w:val="002060"/>
          <w:sz w:val="16"/>
          <w:szCs w:val="16"/>
        </w:rPr>
        <w:t>К концу июля 1914 к началу первой мировой войны в США и в ведущих европейских стра</w:t>
      </w:r>
      <w:r w:rsidRPr="00DE096C">
        <w:rPr>
          <w:bCs/>
          <w:color w:val="002060"/>
          <w:sz w:val="16"/>
          <w:szCs w:val="16"/>
        </w:rPr>
        <w:softHyphen/>
        <w:t>нах-Англии, Франции, Германии и Италии -была создана достаточно мощ</w:t>
      </w:r>
      <w:r w:rsidRPr="00DE096C">
        <w:rPr>
          <w:bCs/>
          <w:color w:val="002060"/>
          <w:sz w:val="16"/>
          <w:szCs w:val="16"/>
        </w:rPr>
        <w:softHyphen/>
        <w:t>ная промышленная база по производству авиационных двигателей. При этом определились и стали общепринятыми несколько конструктивных схем двигателей: 6-8-цилиндровые с вертикальным расположением ци</w:t>
      </w:r>
      <w:r w:rsidRPr="00DE096C">
        <w:rPr>
          <w:bCs/>
          <w:color w:val="002060"/>
          <w:sz w:val="16"/>
          <w:szCs w:val="16"/>
        </w:rPr>
        <w:softHyphen/>
        <w:t>линдров и 12-цилиндровые У-образные - жидкостного охлаждения и 7, 9, 14 - цилиндровые звездообразные - воздушного охлаждения. Причем для обеспечения достаточного охлаждения цилиндров двигателя на малых скоростях полета самолетов того времени был создан ротативный тип двигателя: необходимый обдув цилиндров достигался за счет их враще</w:t>
      </w:r>
      <w:r w:rsidRPr="00DE096C">
        <w:rPr>
          <w:bCs/>
          <w:color w:val="002060"/>
          <w:sz w:val="16"/>
          <w:szCs w:val="16"/>
        </w:rPr>
        <w:softHyphen/>
        <w:t>ния вокруг коленчатого вала.</w:t>
      </w:r>
    </w:p>
    <w:p w14:paraId="2D87B0DF" w14:textId="77777777" w:rsidR="002D0E4D" w:rsidRPr="00DE096C" w:rsidRDefault="002D0E4D" w:rsidP="00D45A46">
      <w:pPr>
        <w:shd w:val="clear" w:color="auto" w:fill="FFFFFF"/>
        <w:jc w:val="both"/>
        <w:rPr>
          <w:bCs/>
          <w:color w:val="002060"/>
          <w:sz w:val="16"/>
          <w:szCs w:val="16"/>
        </w:rPr>
      </w:pPr>
      <w:r w:rsidRPr="00DE096C">
        <w:rPr>
          <w:bCs/>
          <w:color w:val="002060"/>
          <w:sz w:val="16"/>
          <w:szCs w:val="16"/>
        </w:rPr>
        <w:t>В России авиационная промышленность начала создаваться до пер</w:t>
      </w:r>
      <w:r w:rsidRPr="00DE096C">
        <w:rPr>
          <w:bCs/>
          <w:color w:val="002060"/>
          <w:sz w:val="16"/>
          <w:szCs w:val="16"/>
        </w:rPr>
        <w:softHyphen/>
        <w:t>вой мировой войны. Развивалось главным образом самолетостроение. Этот период характеризовался разнообразием конструкций летательных аппаратов, созданием оригинальных отечественных схем и воспроизве</w:t>
      </w:r>
      <w:r w:rsidRPr="00DE096C">
        <w:rPr>
          <w:bCs/>
          <w:color w:val="002060"/>
          <w:sz w:val="16"/>
          <w:szCs w:val="16"/>
        </w:rPr>
        <w:softHyphen/>
        <w:t>дением иностранных образцов. В качестве силовой установки применя</w:t>
      </w:r>
      <w:r w:rsidRPr="00DE096C">
        <w:rPr>
          <w:bCs/>
          <w:color w:val="002060"/>
          <w:sz w:val="16"/>
          <w:szCs w:val="16"/>
        </w:rPr>
        <w:softHyphen/>
        <w:t>лись в основном двигатели иностранного производства, из которых на первых порах наиболее распространенными были французские «Анзани» мощностью 15-20 и 40 л.с., «Рено» - мощностью 55 и 70 л.с., «Гном» - мощ</w:t>
      </w:r>
      <w:r w:rsidRPr="00DE096C">
        <w:rPr>
          <w:bCs/>
          <w:color w:val="002060"/>
          <w:sz w:val="16"/>
          <w:szCs w:val="16"/>
        </w:rPr>
        <w:softHyphen/>
        <w:t>ностью от 50 до 100 л.с.</w:t>
      </w:r>
    </w:p>
    <w:p w14:paraId="499913BB" w14:textId="77777777" w:rsidR="002D0E4D" w:rsidRPr="00DE096C" w:rsidRDefault="002D0E4D" w:rsidP="00D45A46">
      <w:pPr>
        <w:shd w:val="clear" w:color="auto" w:fill="FFFFFF"/>
        <w:jc w:val="both"/>
        <w:rPr>
          <w:bCs/>
          <w:color w:val="002060"/>
          <w:sz w:val="16"/>
          <w:szCs w:val="16"/>
        </w:rPr>
      </w:pPr>
      <w:r w:rsidRPr="00DE096C">
        <w:rPr>
          <w:bCs/>
          <w:color w:val="002060"/>
          <w:sz w:val="16"/>
          <w:szCs w:val="16"/>
        </w:rPr>
        <w:t>В это же время отдельные изобретатели берутся за создание авиа</w:t>
      </w:r>
      <w:r w:rsidRPr="00DE096C">
        <w:rPr>
          <w:bCs/>
          <w:color w:val="002060"/>
          <w:sz w:val="16"/>
          <w:szCs w:val="16"/>
        </w:rPr>
        <w:softHyphen/>
        <w:t>ционных двигателей собственной конструкции для своих самолетов (11425).</w:t>
      </w:r>
    </w:p>
    <w:p w14:paraId="1096DA08" w14:textId="77777777" w:rsidR="002D0E4D" w:rsidRPr="00DE096C" w:rsidRDefault="002D0E4D" w:rsidP="00D45A46">
      <w:pPr>
        <w:shd w:val="clear" w:color="auto" w:fill="FFFFFF"/>
        <w:jc w:val="both"/>
        <w:rPr>
          <w:bCs/>
          <w:color w:val="002060"/>
          <w:sz w:val="16"/>
          <w:szCs w:val="16"/>
        </w:rPr>
      </w:pPr>
    </w:p>
    <w:p w14:paraId="06372A5E" w14:textId="77777777" w:rsidR="002D0E4D" w:rsidRPr="00DE096C" w:rsidRDefault="002D0E4D" w:rsidP="00D45A46">
      <w:pPr>
        <w:jc w:val="both"/>
        <w:rPr>
          <w:bCs/>
          <w:color w:val="002060"/>
          <w:sz w:val="16"/>
          <w:szCs w:val="16"/>
        </w:rPr>
      </w:pPr>
      <w:r w:rsidRPr="00DE096C">
        <w:rPr>
          <w:bCs/>
          <w:color w:val="002060"/>
          <w:sz w:val="16"/>
          <w:szCs w:val="16"/>
        </w:rPr>
        <w:t>К концу июля 1914 авиационные силы Японии состояли из 4-х аэропланов береговой авиации (1-го "Румплера" и 3-х "Фарманов"), имевших 75 человек обслуги, и 3-х судовых аэропланов (2-х поплавковых и 1-го колесного бипланов типа "Фарман").</w:t>
      </w:r>
    </w:p>
    <w:p w14:paraId="0D611A3D" w14:textId="77777777" w:rsidR="002D0E4D" w:rsidRPr="00DE096C" w:rsidRDefault="002D0E4D" w:rsidP="00D45A46">
      <w:pPr>
        <w:jc w:val="both"/>
        <w:rPr>
          <w:bCs/>
          <w:color w:val="002060"/>
          <w:sz w:val="16"/>
          <w:szCs w:val="16"/>
        </w:rPr>
      </w:pPr>
      <w:r w:rsidRPr="00DE096C">
        <w:rPr>
          <w:bCs/>
          <w:color w:val="002060"/>
          <w:sz w:val="16"/>
          <w:szCs w:val="16"/>
        </w:rPr>
        <w:t>Всего Япония имела в 1914 г. 38 аэропланов (11999).</w:t>
      </w:r>
    </w:p>
    <w:p w14:paraId="61385194" w14:textId="77777777" w:rsidR="002D0E4D" w:rsidRPr="00DE096C" w:rsidRDefault="002D0E4D" w:rsidP="00D45A46">
      <w:pPr>
        <w:shd w:val="clear" w:color="auto" w:fill="FFFFFF"/>
        <w:jc w:val="both"/>
        <w:rPr>
          <w:bCs/>
          <w:i/>
          <w:color w:val="002060"/>
          <w:sz w:val="16"/>
          <w:szCs w:val="16"/>
        </w:rPr>
      </w:pPr>
    </w:p>
    <w:p w14:paraId="56D07FF6" w14:textId="77777777" w:rsidR="00B67D7C" w:rsidRPr="00DE096C" w:rsidRDefault="00B67D7C" w:rsidP="00D45A46">
      <w:pPr>
        <w:jc w:val="both"/>
        <w:rPr>
          <w:bCs/>
          <w:i/>
          <w:color w:val="002060"/>
          <w:sz w:val="16"/>
          <w:szCs w:val="16"/>
        </w:rPr>
      </w:pPr>
      <w:r w:rsidRPr="00DE096C">
        <w:rPr>
          <w:bCs/>
          <w:i/>
          <w:color w:val="002060"/>
          <w:sz w:val="16"/>
          <w:szCs w:val="16"/>
        </w:rPr>
        <w:t>Самолетостроение:</w:t>
      </w:r>
    </w:p>
    <w:p w14:paraId="17C9DCE8" w14:textId="77777777" w:rsidR="00B67D7C" w:rsidRPr="00DE096C" w:rsidRDefault="00B67D7C" w:rsidP="00D45A46">
      <w:pPr>
        <w:jc w:val="both"/>
        <w:rPr>
          <w:bCs/>
          <w:i/>
          <w:color w:val="002060"/>
          <w:sz w:val="16"/>
          <w:szCs w:val="16"/>
        </w:rPr>
      </w:pPr>
    </w:p>
    <w:p w14:paraId="68048BD4" w14:textId="77777777" w:rsidR="006F1FDC" w:rsidRPr="00DE096C" w:rsidRDefault="006F1FDC" w:rsidP="00D45A46">
      <w:pPr>
        <w:jc w:val="both"/>
        <w:rPr>
          <w:bCs/>
          <w:color w:val="002060"/>
          <w:sz w:val="16"/>
          <w:szCs w:val="16"/>
        </w:rPr>
      </w:pPr>
      <w:r w:rsidRPr="00DE096C">
        <w:rPr>
          <w:bCs/>
          <w:color w:val="002060"/>
          <w:sz w:val="16"/>
          <w:szCs w:val="16"/>
        </w:rPr>
        <w:t>С июля 1914 г. завод Лебедева начал постройку французского биплана "Вуазен" с мотором "Сальмсон" 130 л.с. Этот самолет был хорошим двухместным разведчиком и прошел всю войну до конца, работая в корпусных и армейских авиаотрядах. Это был первый в русской армии вооруженный серийный самолет, наблюдатель которого оперировал пулеметом. Установка под пулемет "Кольт", разработанная именно на заводе Лебедева, прошла испытания весной 1915 г. и была рекомендована в серийное производство. С конца 1914 и до 1916 г. завод выпускал французские летающие лодки "ФБА", поступавшие на вооружение морской авиации Балтийского флота. Для сборки и испытаний летающих лодок построили ангары на морском побережье Крестовского острова в Петрограде. Всего выпустили 34 летающих лодки типа "ФБА" (20052).</w:t>
      </w:r>
    </w:p>
    <w:p w14:paraId="117545B9" w14:textId="77777777" w:rsidR="006F1FDC" w:rsidRPr="00DE096C" w:rsidRDefault="006F1FDC" w:rsidP="00D45A46">
      <w:pPr>
        <w:jc w:val="both"/>
        <w:rPr>
          <w:bCs/>
          <w:color w:val="002060"/>
          <w:sz w:val="16"/>
          <w:szCs w:val="16"/>
        </w:rPr>
      </w:pPr>
    </w:p>
    <w:p w14:paraId="362C7045" w14:textId="77777777" w:rsidR="006D06B5" w:rsidRPr="00DE096C" w:rsidRDefault="006D06B5" w:rsidP="00D45A46">
      <w:pPr>
        <w:jc w:val="both"/>
        <w:rPr>
          <w:bCs/>
          <w:color w:val="002060"/>
          <w:sz w:val="16"/>
          <w:szCs w:val="16"/>
        </w:rPr>
      </w:pPr>
      <w:r w:rsidRPr="00DE096C">
        <w:rPr>
          <w:bCs/>
          <w:color w:val="002060"/>
          <w:sz w:val="16"/>
          <w:szCs w:val="16"/>
        </w:rPr>
        <w:t>С июля 1914 г. завод Лебедева начал постройку французского биплана "Вуазен" с мотором "Сальмсон" 130 л.с. Этот самолет был хорошим двухместным разведчиком и прошел всю войну до конца, работая в корпусных и армейских авиаотрядах. Это был первый в русской армии вооруженный серийный самолет, наблюдатель которого оперировал пулеметом. Установка под пулемет "Кольт", разработанная именно на заводе Лебедева, прошла испытания весной 1915 г. и была рекомендована в серийное производство. С конца 1914 и до 1916 г. завод выпускал французские летающие лодки "ФБА", поступавшие на вооружение морской авиации Балтийского флота. Для сборки и испытаний летающих лодок построили ангары на морском побережье Крестовского острова в Петрограде. Всего выпустили 34 летающих лодки типа "ФБА" (18255).</w:t>
      </w:r>
    </w:p>
    <w:p w14:paraId="61DBE58D" w14:textId="77777777" w:rsidR="006D06B5" w:rsidRPr="00DE096C" w:rsidRDefault="006D06B5" w:rsidP="00D45A46">
      <w:pPr>
        <w:pStyle w:val="ae"/>
        <w:spacing w:before="0" w:beforeAutospacing="0" w:after="0" w:afterAutospacing="0"/>
        <w:jc w:val="both"/>
        <w:rPr>
          <w:bCs/>
          <w:color w:val="002060"/>
          <w:sz w:val="16"/>
          <w:szCs w:val="16"/>
        </w:rPr>
      </w:pPr>
    </w:p>
    <w:p w14:paraId="1A632545" w14:textId="77777777" w:rsidR="00BF3161" w:rsidRPr="00DE096C" w:rsidRDefault="00BF3161" w:rsidP="00D45A46">
      <w:pPr>
        <w:jc w:val="both"/>
        <w:rPr>
          <w:bCs/>
          <w:color w:val="002060"/>
          <w:sz w:val="16"/>
          <w:szCs w:val="16"/>
        </w:rPr>
      </w:pPr>
      <w:r w:rsidRPr="00DE096C">
        <w:rPr>
          <w:bCs/>
          <w:color w:val="002060"/>
          <w:sz w:val="16"/>
          <w:szCs w:val="16"/>
        </w:rPr>
        <w:t>С июля 1914 г. завод Лебедева начал постройку французского биплана "Вуазен" с мотором "Сальмсон" 130 л.с. (позже ставили двигатели мощностью 140 и 150 л.с.). Этот самолет был хорошим двухместным разведчиком и прошел всю войну до конца, работая в корпусных и армейских авиаотрядах. Он пользовался популярностью у русских летчиков, поскольку, несмотря на внешнюю неуклюжесть, легко управлялся и допускал резкие маневры в трудные минуты боя. Аэроплан нес большую боевую нагрузку, чем однотипный, но менее мощный "Фарман". К тому же это был первый в русской армии вооруженный серийный самолет, наблюдатель которого оперировал пулеметом. Установка под пулемет "Кольт", разработанная именно на заводе Лебедева, прошла испытания весной 1915 г. и была рекомендована в серийное производство (11183).</w:t>
      </w:r>
    </w:p>
    <w:p w14:paraId="68997EFD" w14:textId="77777777" w:rsidR="00BF3161" w:rsidRPr="00DE096C" w:rsidRDefault="00BF3161" w:rsidP="00D45A46">
      <w:pPr>
        <w:shd w:val="clear" w:color="auto" w:fill="FFFFFF"/>
        <w:jc w:val="both"/>
        <w:rPr>
          <w:bCs/>
          <w:color w:val="002060"/>
          <w:sz w:val="16"/>
          <w:szCs w:val="16"/>
        </w:rPr>
      </w:pPr>
    </w:p>
    <w:p w14:paraId="1B2E1AEB" w14:textId="77777777" w:rsidR="00F8361D" w:rsidRPr="00DE096C" w:rsidRDefault="00F8361D" w:rsidP="00D45A46">
      <w:pPr>
        <w:jc w:val="both"/>
        <w:rPr>
          <w:bCs/>
          <w:color w:val="002060"/>
          <w:sz w:val="16"/>
          <w:szCs w:val="16"/>
        </w:rPr>
      </w:pPr>
      <w:r w:rsidRPr="00DE096C">
        <w:rPr>
          <w:bCs/>
          <w:color w:val="002060"/>
          <w:sz w:val="16"/>
          <w:szCs w:val="16"/>
        </w:rPr>
        <w:t>С июля 1914 г. завод Лебедева начал строить бип</w:t>
      </w:r>
      <w:r w:rsidRPr="00DE096C">
        <w:rPr>
          <w:bCs/>
          <w:color w:val="002060"/>
          <w:sz w:val="16"/>
          <w:szCs w:val="16"/>
        </w:rPr>
        <w:softHyphen/>
        <w:t>ланы "Вуазен", а в 1915 г. приступил к копированию трофейных германских конструкций, которые послужили затем базой для оригинальных разработок. При том, как и прежде, фир</w:t>
      </w:r>
      <w:r w:rsidRPr="00DE096C">
        <w:rPr>
          <w:bCs/>
          <w:color w:val="002060"/>
          <w:sz w:val="16"/>
          <w:szCs w:val="16"/>
        </w:rPr>
        <w:softHyphen/>
        <w:t>ма не имела ничего против воспроизводства английских и французских моделей и вдобавок создала целый ряд прототипов по проектам российских инженеров и изобретателей. Таким образом, "Лебедев и К°" были, что называется, всеядными и стремились не упустить ничего из того, что могло бы нести новую прибыль (2843).</w:t>
      </w:r>
    </w:p>
    <w:p w14:paraId="52CB5D98" w14:textId="77777777" w:rsidR="00F8361D" w:rsidRPr="00DE096C" w:rsidRDefault="00F8361D" w:rsidP="00D45A46">
      <w:pPr>
        <w:shd w:val="clear" w:color="auto" w:fill="FFFFFF"/>
        <w:jc w:val="both"/>
        <w:rPr>
          <w:bCs/>
          <w:color w:val="002060"/>
          <w:sz w:val="16"/>
          <w:szCs w:val="16"/>
        </w:rPr>
      </w:pPr>
    </w:p>
    <w:p w14:paraId="4C022DEF" w14:textId="0D7901F2"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С июля по сентябрь 1914 г. </w:t>
      </w:r>
      <w:r w:rsidR="00BF3161" w:rsidRPr="00DE096C">
        <w:rPr>
          <w:bCs/>
          <w:i w:val="0"/>
          <w:color w:val="002060"/>
          <w:spacing w:val="0"/>
          <w:kern w:val="0"/>
          <w:position w:val="0"/>
          <w:sz w:val="16"/>
          <w:szCs w:val="16"/>
        </w:rPr>
        <w:t xml:space="preserve">РБВЗ </w:t>
      </w:r>
      <w:r w:rsidRPr="00DE096C">
        <w:rPr>
          <w:bCs/>
          <w:i w:val="0"/>
          <w:color w:val="002060"/>
          <w:spacing w:val="0"/>
          <w:kern w:val="0"/>
          <w:position w:val="0"/>
          <w:sz w:val="16"/>
          <w:szCs w:val="16"/>
        </w:rPr>
        <w:t>было изготовлено 5 аппаратов типа Б №№135-138 и 143, получивших соответственно наименования кораблей c I по V. После многочисленных доработок и установки вооружения 2 машины в августе были готовы к отправке на фронт. Утром 31 августа "Илья Муромец 1" Е.В.Руднева вылетел в Белосток на Северо-Западный фронт. 24 сентября на фронт отправился "Илья Муромец II" поручика А.В.Панкратьева. Председатель Правления А/О РБВЗ Шидловский написал докладную записку военному министру Сухомлинову и просил, чтобы ему на деле дали возможность доказать пригодность "Муромцев" для военных целей. В ней указывалось неправильное использование этих машин на фронте и предлагалось сформировать из разрозненных отрядов "Муромцев" боевое соединение по типу эскадры морских боевых кораблей. Верховный Главнокомандующий Великий князь Николай Николаевич и сам император также ознакомились с докладом и одобрили этот проект. В начале декабря 1914г. был издан приказ согласно которого вся авиация делилась на тяжелую и легкую. Было сформировано Управление Эскадры Воздушных Кораблей (УЭВК), подчиненное Верховному Главнокомандующему. М.В.Шидловскому присвоили звание генерал-майора, что соответствовало его чину действительного статского советника, и назначили Начальником УЭВК. По штату Эскадре полагалось 10 боевых и 2 учебных корабля. Аэродром УЭВК находился у деревни Старая Яблонна (под Варшавой), куда в декабре 1914 г прибыли 111-й, V-й, VI-й и VII-й корабли. Два последних "Муромца" были нового типа В ("облегченного"), с острым носом (первый учебный с 2 "Сальмсонами", второй боевой). Еще в сентябре 1914 г. при формировании трех до­полнительных отрядов (V-го поручика Г.В.Алехновича, VI-го штабс-капитана Б.Н.Фирсова и VII-го штабс-капитана Г.Г.Горшкова). Для отряда "Киевский" ( VII-го по порядку) предназ­начался "Киевский" №128, находившийся в Гатчинской школе. Но школа просила оставить корабль для подготовки летчиков. Тогда Горшкову выделили новый аэроплан за №150 типа И, который получил название "Киевский" по имени отряда. Бесценные моторы "Аргус" были сняты с гатчинца и поставлены на новый корабль, который в декабре убыл по ж/д на фронт вместе с УЭВК (11277).</w:t>
      </w:r>
    </w:p>
    <w:p w14:paraId="0AA91041" w14:textId="77777777" w:rsidR="00B67D7C" w:rsidRPr="00DE096C" w:rsidRDefault="00B67D7C" w:rsidP="00D45A46">
      <w:pPr>
        <w:pStyle w:val="a3"/>
        <w:jc w:val="both"/>
        <w:rPr>
          <w:bCs/>
          <w:i w:val="0"/>
          <w:color w:val="002060"/>
          <w:spacing w:val="0"/>
          <w:kern w:val="0"/>
          <w:position w:val="0"/>
          <w:sz w:val="16"/>
          <w:szCs w:val="16"/>
        </w:rPr>
      </w:pPr>
    </w:p>
    <w:p w14:paraId="12E14CB5" w14:textId="6DE65413" w:rsidR="00B67D7C" w:rsidRPr="00DE096C" w:rsidRDefault="00B67D7C" w:rsidP="00D45A46">
      <w:pPr>
        <w:jc w:val="both"/>
        <w:rPr>
          <w:bCs/>
          <w:color w:val="002060"/>
          <w:sz w:val="16"/>
          <w:szCs w:val="16"/>
        </w:rPr>
      </w:pPr>
      <w:r w:rsidRPr="00DE096C">
        <w:rPr>
          <w:bCs/>
          <w:color w:val="002060"/>
          <w:sz w:val="16"/>
          <w:szCs w:val="16"/>
        </w:rPr>
        <w:lastRenderedPageBreak/>
        <w:t xml:space="preserve">С июля по сентябрь 1914 г. </w:t>
      </w:r>
      <w:r w:rsidR="00BF3161" w:rsidRPr="00DE096C">
        <w:rPr>
          <w:bCs/>
          <w:color w:val="002060"/>
          <w:sz w:val="16"/>
          <w:szCs w:val="16"/>
        </w:rPr>
        <w:t xml:space="preserve">РБВЗ </w:t>
      </w:r>
      <w:r w:rsidRPr="00DE096C">
        <w:rPr>
          <w:bCs/>
          <w:color w:val="002060"/>
          <w:sz w:val="16"/>
          <w:szCs w:val="16"/>
        </w:rPr>
        <w:t>было изготовлено 5 аппаратов типа Б №№135-138 и 143, получивших соответственно наименования кораблей с I по V. После многочисленных доработок и установки вооружения 2 машины в августе были готовы к отправке на фронт. Утром 31 августа "Илья Муромец I" Е.В.Руднева вылетел в Белосток на Северо-Западный фронт. Аэроплану надлежало следовать на большой высоте вдоль линии ж/д с остановкой в Двинске. Но получилось все иначе. Из-за сильного ветра в 12 м/с, преодолев всего 177 верст, корабль совершил вынужденную посадку возле станции Плюсса и получил небольшие повреждения. Вызванный из Петрограда механик РБВЗ отремонтировал аппарат, который 11 сентября благополучно приземлился в Двинске, а 23 сентября добрался до Белостока. Несмотря на то, что полетное время составило 14 часов, корабль добрался до места назначения за неполный месяц. Совершив в октябре 1914 г. несколько пробных полетов, штабс-капитан Руднев остался недоволен летными качествами "Муромца", нашел и другие недостатки. Появилась его докладная записка "О непригодности аппаратов типа "Илья Муромец" для военных целей", а за ней уведомление Штаба Верховного Главнокомандующего в ГВТУ "о приостановлении снабжения аэропланами типа "Илья Муромец" впредь до устранения недостатков этих аппаратов. Доблестный же командир 1-го корабля, не совершивший ни одного боевого полета, по прилете 25 ноября во Львов подал рапорт о переводе в легкую авиацию. В январе 1915 г. корабль был доставлен в Яблонну, где после мелкого ремонта был испытан в полете. Сикорский лично взял на нем высоту в 2200 метров, тогда как Руднев не мог подняться выше 1375 м. А снятые с корабля ненадежные по мнению Руднева "Аргусы" были в марте переставлены на корабль Ш-й №151, который впоследствии совершал 5-ти часовые полеты вглубь территории противника (12038).</w:t>
      </w:r>
    </w:p>
    <w:p w14:paraId="68486CFB" w14:textId="77777777" w:rsidR="00B67D7C" w:rsidRPr="00DE096C" w:rsidRDefault="00B67D7C" w:rsidP="00D45A46">
      <w:pPr>
        <w:jc w:val="both"/>
        <w:rPr>
          <w:bCs/>
          <w:color w:val="002060"/>
          <w:sz w:val="16"/>
          <w:szCs w:val="16"/>
        </w:rPr>
      </w:pPr>
    </w:p>
    <w:p w14:paraId="1F2F53D5" w14:textId="77777777" w:rsidR="00E46615" w:rsidRPr="00DE096C" w:rsidRDefault="00E46615"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С июля по сентябрь 1914 г. было изготовлено 5 аппаратов типа Б №№135-138 и 143, получивших соответственно наименования кораблей c I по V. После многочисленных доработок и установки вооружения 2 машины в августе были готовы к отправке на фронт (11277).</w:t>
      </w:r>
    </w:p>
    <w:p w14:paraId="75AFC866" w14:textId="77777777" w:rsidR="00E46615" w:rsidRPr="00DE096C" w:rsidRDefault="00E46615" w:rsidP="00D45A46">
      <w:pPr>
        <w:pStyle w:val="a3"/>
        <w:jc w:val="both"/>
        <w:rPr>
          <w:bCs/>
          <w:i w:val="0"/>
          <w:color w:val="002060"/>
          <w:spacing w:val="0"/>
          <w:kern w:val="0"/>
          <w:position w:val="0"/>
          <w:sz w:val="16"/>
          <w:szCs w:val="16"/>
        </w:rPr>
      </w:pPr>
    </w:p>
    <w:p w14:paraId="1E0E07FE" w14:textId="77777777" w:rsidR="00B562D3" w:rsidRPr="00DE096C" w:rsidRDefault="00B562D3" w:rsidP="00D45A46">
      <w:pPr>
        <w:pStyle w:val="rtejustify"/>
        <w:shd w:val="clear" w:color="auto" w:fill="FFFFFF"/>
        <w:spacing w:before="0" w:beforeAutospacing="0" w:after="0" w:afterAutospacing="0"/>
        <w:jc w:val="both"/>
        <w:rPr>
          <w:bCs/>
          <w:color w:val="002060"/>
          <w:sz w:val="16"/>
          <w:szCs w:val="16"/>
        </w:rPr>
      </w:pPr>
      <w:r w:rsidRPr="00DE096C">
        <w:rPr>
          <w:bCs/>
          <w:color w:val="002060"/>
          <w:sz w:val="16"/>
          <w:szCs w:val="16"/>
        </w:rPr>
        <w:t>С июля по сентябрь 1914 г. были изготовлены первые 5 самолетов типа «Илья Муромец», и получивших соответственно наименования с I по V. После многочисленных доработок и установки вооружения 2 машины в августе были готовы к отправке на фронт. Утром 31 августа «Илья Муромец I» под командованием Е.В. Руднева вылетел в Белосток на Северо-Западный фронт. 24 сентября на фронт отправился «Илья Муромец II» поручика А.В. Панкратьева (17110).</w:t>
      </w:r>
    </w:p>
    <w:p w14:paraId="1B555A37" w14:textId="77777777" w:rsidR="00B562D3" w:rsidRPr="00DE096C" w:rsidRDefault="00B562D3" w:rsidP="00D45A46">
      <w:pPr>
        <w:pStyle w:val="rtejustify"/>
        <w:shd w:val="clear" w:color="auto" w:fill="FFFFFF"/>
        <w:spacing w:before="0" w:beforeAutospacing="0" w:after="0" w:afterAutospacing="0"/>
        <w:jc w:val="both"/>
        <w:rPr>
          <w:bCs/>
          <w:color w:val="002060"/>
          <w:sz w:val="16"/>
          <w:szCs w:val="16"/>
        </w:rPr>
      </w:pPr>
    </w:p>
    <w:p w14:paraId="17129299" w14:textId="60B6CBBB" w:rsidR="00B67D7C" w:rsidRPr="00DE096C" w:rsidRDefault="00852C9E" w:rsidP="00D45A46">
      <w:pPr>
        <w:shd w:val="clear" w:color="auto" w:fill="FFFFFF"/>
        <w:jc w:val="both"/>
        <w:rPr>
          <w:bCs/>
          <w:color w:val="002060"/>
          <w:sz w:val="16"/>
          <w:szCs w:val="16"/>
        </w:rPr>
      </w:pPr>
      <w:r w:rsidRPr="00DE096C">
        <w:rPr>
          <w:bCs/>
          <w:color w:val="002060"/>
          <w:sz w:val="16"/>
          <w:szCs w:val="16"/>
        </w:rPr>
        <w:t>Д</w:t>
      </w:r>
      <w:r w:rsidR="00B67D7C" w:rsidRPr="00DE096C">
        <w:rPr>
          <w:bCs/>
          <w:color w:val="002060"/>
          <w:sz w:val="16"/>
          <w:szCs w:val="16"/>
        </w:rPr>
        <w:t xml:space="preserve">о июля 1914 г. </w:t>
      </w:r>
      <w:r w:rsidRPr="00DE096C">
        <w:rPr>
          <w:bCs/>
          <w:color w:val="002060"/>
          <w:sz w:val="16"/>
          <w:szCs w:val="16"/>
        </w:rPr>
        <w:t>Акционерное общество "Дукс" располагалось в Москве в Ям</w:t>
      </w:r>
      <w:r w:rsidRPr="00DE096C">
        <w:rPr>
          <w:bCs/>
          <w:color w:val="002060"/>
          <w:sz w:val="16"/>
          <w:szCs w:val="16"/>
        </w:rPr>
        <w:softHyphen/>
        <w:t xml:space="preserve">ской слободе и </w:t>
      </w:r>
      <w:r w:rsidR="00B67D7C" w:rsidRPr="00DE096C">
        <w:rPr>
          <w:bCs/>
          <w:color w:val="002060"/>
          <w:sz w:val="16"/>
          <w:szCs w:val="16"/>
        </w:rPr>
        <w:t>строило самолеты "Фарман" МФ.7 и "Ньюпор" тип 4, ме</w:t>
      </w:r>
      <w:r w:rsidR="00B67D7C" w:rsidRPr="00DE096C">
        <w:rPr>
          <w:bCs/>
          <w:color w:val="002060"/>
          <w:sz w:val="16"/>
          <w:szCs w:val="16"/>
        </w:rPr>
        <w:softHyphen/>
        <w:t>сячный выпуск которых доходил до 12 единиц благодаря хорошо оснащенным механическо</w:t>
      </w:r>
      <w:r w:rsidR="00B67D7C" w:rsidRPr="00DE096C">
        <w:rPr>
          <w:bCs/>
          <w:color w:val="002060"/>
          <w:sz w:val="16"/>
          <w:szCs w:val="16"/>
        </w:rPr>
        <w:softHyphen/>
        <w:t>му и сборочному цехам и мастерской. После начала боевых действий производственные мощности получили существенное развитие и в результате успешной деятельности "Дукса" "Фарманы", "Мораны", "Ньюпоры", "Спады" и "Вуазены" многих моделей, собранные в Рос</w:t>
      </w:r>
      <w:r w:rsidR="00B67D7C" w:rsidRPr="00DE096C">
        <w:rPr>
          <w:bCs/>
          <w:color w:val="002060"/>
          <w:sz w:val="16"/>
          <w:szCs w:val="16"/>
        </w:rPr>
        <w:softHyphen/>
        <w:t>сии, поступали в армейские авиационные отряды. Ю.А. Брежневу удалось организовать весьма отлаженный рабочий процесс, направленный на воспроизводство иностранных типов, но развивавший и собственные технологии. Доставленный из-за границы образцовый аэроп</w:t>
      </w:r>
      <w:r w:rsidR="00B67D7C" w:rsidRPr="00DE096C">
        <w:rPr>
          <w:bCs/>
          <w:color w:val="002060"/>
          <w:sz w:val="16"/>
          <w:szCs w:val="16"/>
        </w:rPr>
        <w:softHyphen/>
        <w:t>лан разбирался на заводе на все составные части, с которых снимались необходимые раз</w:t>
      </w:r>
      <w:r w:rsidR="00B67D7C" w:rsidRPr="00DE096C">
        <w:rPr>
          <w:bCs/>
          <w:color w:val="002060"/>
          <w:sz w:val="16"/>
          <w:szCs w:val="16"/>
        </w:rPr>
        <w:softHyphen/>
        <w:t>меры и делались рабочие чертежи. Затем при сборке новых аппаратов широко применялись ацетиленовая сварка и пайка медью и серебряным припоем. На фирме освоили изготовле</w:t>
      </w:r>
      <w:r w:rsidR="00B67D7C" w:rsidRPr="00DE096C">
        <w:rPr>
          <w:bCs/>
          <w:color w:val="002060"/>
          <w:sz w:val="16"/>
          <w:szCs w:val="16"/>
        </w:rPr>
        <w:softHyphen/>
        <w:t>ние цельнотянутых металлических труб специальных профилей — для лонжеронов крыльев и стоек крыльев и шасси. Трубы являлись продукцией прокатного цеха, а для обработки древесины были учреждены ее всесторонние испытания, построены сушильные камеры и применены новые способы клейки. На "Дуксе" также наладили выпуск самолетных колес различных моделей, а введение в действие всех этих процессов потребовало возведения но</w:t>
      </w:r>
      <w:r w:rsidR="00B67D7C" w:rsidRPr="00DE096C">
        <w:rPr>
          <w:bCs/>
          <w:color w:val="002060"/>
          <w:sz w:val="16"/>
          <w:szCs w:val="16"/>
        </w:rPr>
        <w:softHyphen/>
        <w:t>вых деревообделочного, столярного, трубоволочильного и сборочного цехов и модернизации инструментального, механического, литейного и медницкого отделений. В 1916 и 1917 г.г. месячный выпуск аэропланов вырос до 38 и 45 единиц соответственно и, более того, руко</w:t>
      </w:r>
      <w:r w:rsidR="00B67D7C" w:rsidRPr="00DE096C">
        <w:rPr>
          <w:bCs/>
          <w:color w:val="002060"/>
          <w:sz w:val="16"/>
          <w:szCs w:val="16"/>
        </w:rPr>
        <w:softHyphen/>
        <w:t>водство компании прилагало усилия к разработке собственных типов авиадвигателей, но не достигло в этом направлении никакого прогресса. Несмотря на все положительные стороны развития дела, продукция фирмы зачастую не отличалась высоким качеством, которое едва улучшалось даже под давлением наблюдающих офицеров, т.е. военной приемки. После из</w:t>
      </w:r>
      <w:r w:rsidR="00B67D7C" w:rsidRPr="00DE096C">
        <w:rPr>
          <w:bCs/>
          <w:color w:val="002060"/>
          <w:sz w:val="16"/>
          <w:szCs w:val="16"/>
        </w:rPr>
        <w:softHyphen/>
        <w:t>вестных событий конца 1917 и начала 1918 г.г. и последовавшей национализации "Дукс" превратился, в ГАЗ №1, а затем Завод №1, став одним из ведущих предприятий советской государственной авиаиндустрии (2843).</w:t>
      </w:r>
    </w:p>
    <w:p w14:paraId="3E8EB639" w14:textId="7AA1A809" w:rsidR="00B67D7C" w:rsidRPr="00DE096C" w:rsidRDefault="00B67D7C" w:rsidP="00D45A46">
      <w:pPr>
        <w:shd w:val="clear" w:color="auto" w:fill="FFFFFF"/>
        <w:jc w:val="both"/>
        <w:rPr>
          <w:bCs/>
          <w:color w:val="002060"/>
          <w:sz w:val="16"/>
          <w:szCs w:val="16"/>
        </w:rPr>
      </w:pPr>
    </w:p>
    <w:p w14:paraId="46B87619" w14:textId="77777777" w:rsidR="00311F0F" w:rsidRPr="00DE096C" w:rsidRDefault="00311F0F" w:rsidP="00D45A46">
      <w:pPr>
        <w:jc w:val="both"/>
        <w:rPr>
          <w:bCs/>
          <w:color w:val="002060"/>
          <w:sz w:val="16"/>
          <w:szCs w:val="16"/>
        </w:rPr>
      </w:pPr>
      <w:r w:rsidRPr="00DE096C">
        <w:rPr>
          <w:bCs/>
          <w:color w:val="002060"/>
          <w:sz w:val="16"/>
          <w:szCs w:val="16"/>
          <w:lang w:bidi="ru-RU"/>
        </w:rPr>
        <w:t>С июля 1914 г. Акционерное общество воздухоплава</w:t>
      </w:r>
      <w:r w:rsidRPr="00DE096C">
        <w:rPr>
          <w:bCs/>
          <w:color w:val="002060"/>
          <w:sz w:val="16"/>
          <w:szCs w:val="16"/>
          <w:lang w:bidi="ru-RU"/>
        </w:rPr>
        <w:softHyphen/>
        <w:t>ния «В.А.Лебедев» начало выпуск бипланов «Вуазен», а в конце года летающих лодок ФБА. Средняя производи</w:t>
      </w:r>
      <w:r w:rsidRPr="00DE096C">
        <w:rPr>
          <w:bCs/>
          <w:color w:val="002060"/>
          <w:sz w:val="16"/>
          <w:szCs w:val="16"/>
          <w:lang w:bidi="ru-RU"/>
        </w:rPr>
        <w:softHyphen/>
        <w:t>тельность в 1914 г. составляла 6 самоле</w:t>
      </w:r>
      <w:r w:rsidRPr="00DE096C">
        <w:rPr>
          <w:bCs/>
          <w:color w:val="002060"/>
          <w:sz w:val="16"/>
          <w:szCs w:val="16"/>
          <w:lang w:bidi="ru-RU"/>
        </w:rPr>
        <w:softHyphen/>
        <w:t>тов в месяц, через год с небольшим еже</w:t>
      </w:r>
      <w:r w:rsidRPr="00DE096C">
        <w:rPr>
          <w:bCs/>
          <w:color w:val="002060"/>
          <w:sz w:val="16"/>
          <w:szCs w:val="16"/>
          <w:lang w:bidi="ru-RU"/>
        </w:rPr>
        <w:softHyphen/>
        <w:t>месячное производство удалось довести до 30 экземпляров.</w:t>
      </w:r>
    </w:p>
    <w:p w14:paraId="2D9777F9" w14:textId="77777777" w:rsidR="00311F0F" w:rsidRPr="00DE096C" w:rsidRDefault="00311F0F" w:rsidP="00D45A46">
      <w:pPr>
        <w:jc w:val="both"/>
        <w:rPr>
          <w:bCs/>
          <w:color w:val="002060"/>
          <w:sz w:val="16"/>
          <w:szCs w:val="16"/>
        </w:rPr>
      </w:pPr>
      <w:r w:rsidRPr="00DE096C">
        <w:rPr>
          <w:bCs/>
          <w:color w:val="002060"/>
          <w:sz w:val="16"/>
          <w:szCs w:val="16"/>
          <w:lang w:bidi="ru-RU"/>
        </w:rPr>
        <w:t>Средства, вырученные от сдачи продук</w:t>
      </w:r>
      <w:r w:rsidRPr="00DE096C">
        <w:rPr>
          <w:bCs/>
          <w:color w:val="002060"/>
          <w:sz w:val="16"/>
          <w:szCs w:val="16"/>
          <w:lang w:bidi="ru-RU"/>
        </w:rPr>
        <w:softHyphen/>
        <w:t>ции военному ведомству, шли в первую очередь на развитие производства и за</w:t>
      </w:r>
      <w:r w:rsidRPr="00DE096C">
        <w:rPr>
          <w:bCs/>
          <w:color w:val="002060"/>
          <w:sz w:val="16"/>
          <w:szCs w:val="16"/>
          <w:lang w:bidi="ru-RU"/>
        </w:rPr>
        <w:softHyphen/>
        <w:t>купку технического оборудования. В 1916 г. Акционерное общество Лебедева распо</w:t>
      </w:r>
      <w:r w:rsidRPr="00DE096C">
        <w:rPr>
          <w:bCs/>
          <w:color w:val="002060"/>
          <w:sz w:val="16"/>
          <w:szCs w:val="16"/>
          <w:lang w:bidi="ru-RU"/>
        </w:rPr>
        <w:softHyphen/>
        <w:t>лагало всем необходимым для проведения опытных работ и серийного воспроизвод</w:t>
      </w:r>
      <w:r w:rsidRPr="00DE096C">
        <w:rPr>
          <w:bCs/>
          <w:color w:val="002060"/>
          <w:sz w:val="16"/>
          <w:szCs w:val="16"/>
          <w:lang w:bidi="ru-RU"/>
        </w:rPr>
        <w:softHyphen/>
        <w:t>ства аэропланов (23374).</w:t>
      </w:r>
    </w:p>
    <w:p w14:paraId="26E24B99" w14:textId="77777777" w:rsidR="00311F0F" w:rsidRPr="00DE096C" w:rsidRDefault="00311F0F" w:rsidP="00D45A46">
      <w:pPr>
        <w:jc w:val="both"/>
        <w:rPr>
          <w:bCs/>
          <w:color w:val="002060"/>
          <w:sz w:val="16"/>
          <w:szCs w:val="16"/>
        </w:rPr>
      </w:pPr>
    </w:p>
    <w:p w14:paraId="527AF2A4" w14:textId="77777777" w:rsidR="00311F0F" w:rsidRPr="00DE096C" w:rsidRDefault="00311F0F" w:rsidP="00D45A46">
      <w:pPr>
        <w:jc w:val="both"/>
        <w:rPr>
          <w:bCs/>
          <w:color w:val="002060"/>
          <w:sz w:val="16"/>
          <w:szCs w:val="16"/>
        </w:rPr>
      </w:pPr>
      <w:r w:rsidRPr="00DE096C">
        <w:rPr>
          <w:bCs/>
          <w:color w:val="002060"/>
          <w:sz w:val="16"/>
          <w:szCs w:val="16"/>
        </w:rPr>
        <w:t>С июля 1914 по 1918 год главным конструктором Лебедева был Леопольд Михайлович Шкульник (бывший в немецком АГО).</w:t>
      </w:r>
    </w:p>
    <w:p w14:paraId="51BB510C" w14:textId="77777777" w:rsidR="00311F0F" w:rsidRPr="00DE096C" w:rsidRDefault="00311F0F" w:rsidP="00D45A46">
      <w:pPr>
        <w:jc w:val="both"/>
        <w:rPr>
          <w:bCs/>
          <w:color w:val="002060"/>
          <w:sz w:val="16"/>
          <w:szCs w:val="16"/>
        </w:rPr>
      </w:pPr>
      <w:r w:rsidRPr="00DE096C">
        <w:rPr>
          <w:bCs/>
          <w:color w:val="002060"/>
          <w:sz w:val="16"/>
          <w:szCs w:val="16"/>
        </w:rPr>
        <w:t>Старшим пилотом был француз по фамилии Женуар, которого позже сменил Мартин Феодорович Госповский. Серийное строительство всех иностранных самолетов возглавил Василий Иванович Ребиков. Алексей Петрович Гончаров и Василий Яковлевич Михайлов были известны как летчики-испытатели Лебедева.</w:t>
      </w:r>
    </w:p>
    <w:p w14:paraId="1A21208A" w14:textId="77777777" w:rsidR="00311F0F" w:rsidRPr="00DE096C" w:rsidRDefault="00311F0F" w:rsidP="00D45A46">
      <w:pPr>
        <w:jc w:val="both"/>
        <w:rPr>
          <w:bCs/>
          <w:color w:val="002060"/>
          <w:sz w:val="16"/>
          <w:szCs w:val="16"/>
        </w:rPr>
      </w:pPr>
      <w:r w:rsidRPr="00DE096C">
        <w:rPr>
          <w:bCs/>
          <w:color w:val="002060"/>
          <w:sz w:val="16"/>
          <w:szCs w:val="16"/>
        </w:rPr>
        <w:t>В течение 1914 года завод выпустил шестьдесят три Deperdussin с двигателями Gnome мощностью 80 л.с. В июле началось производство Voisins с двигателями Salmson мощностью 130 л.с. К ноябрю 1914 года мастерские Лебедева построили для военных 73 самолета.</w:t>
      </w:r>
    </w:p>
    <w:p w14:paraId="03EA062F" w14:textId="77777777" w:rsidR="00311F0F" w:rsidRPr="00DE096C" w:rsidRDefault="00311F0F" w:rsidP="00D45A46">
      <w:pPr>
        <w:jc w:val="both"/>
        <w:rPr>
          <w:bCs/>
          <w:color w:val="002060"/>
          <w:sz w:val="16"/>
          <w:szCs w:val="16"/>
        </w:rPr>
      </w:pPr>
      <w:r w:rsidRPr="00DE096C">
        <w:rPr>
          <w:bCs/>
          <w:color w:val="002060"/>
          <w:sz w:val="16"/>
          <w:szCs w:val="16"/>
        </w:rPr>
        <w:t>В 1915 году в Пензе был построен специальный гребной цех для их производства по французской лицензии. К концу 1916 года он производил 300 винтов в месяц. При Советах Пензенский завод стал ГАЗом. №7.</w:t>
      </w:r>
    </w:p>
    <w:p w14:paraId="43FBE774" w14:textId="77777777" w:rsidR="00311F0F" w:rsidRPr="00DE096C" w:rsidRDefault="00311F0F" w:rsidP="00D45A46">
      <w:pPr>
        <w:jc w:val="both"/>
        <w:rPr>
          <w:bCs/>
          <w:color w:val="002060"/>
          <w:sz w:val="16"/>
          <w:szCs w:val="16"/>
        </w:rPr>
      </w:pPr>
      <w:r w:rsidRPr="00DE096C">
        <w:rPr>
          <w:bCs/>
          <w:color w:val="002060"/>
          <w:sz w:val="16"/>
          <w:szCs w:val="16"/>
        </w:rPr>
        <w:t>С конца 1914 по 1916 год завод Лебедева построил для флота 34 летающие лодки ФБА с моторами Гном-Моносупап 100 л.с. В течение 1915 года было построено около тридцати Morane Saulnier типа L. В 1915 году начались работы по проектированию «Лебедя-7», было построено несколько копий одноместного Sopwith Tabloid.</w:t>
      </w:r>
    </w:p>
    <w:p w14:paraId="31EB37B1" w14:textId="77777777" w:rsidR="00311F0F" w:rsidRPr="00DE096C" w:rsidRDefault="00311F0F" w:rsidP="00D45A46">
      <w:pPr>
        <w:jc w:val="both"/>
        <w:rPr>
          <w:bCs/>
          <w:color w:val="002060"/>
          <w:sz w:val="16"/>
          <w:szCs w:val="16"/>
        </w:rPr>
      </w:pPr>
      <w:r w:rsidRPr="00DE096C">
        <w:rPr>
          <w:bCs/>
          <w:color w:val="002060"/>
          <w:sz w:val="16"/>
          <w:szCs w:val="16"/>
        </w:rPr>
        <w:t>Вскоре за ним последовал Лебедь-8, копия двухместного немецкого LVG BI. В 1916 году были начаты работы над Лебедем-10 и</w:t>
      </w:r>
    </w:p>
    <w:p w14:paraId="27C44004" w14:textId="77777777" w:rsidR="00311F0F" w:rsidRPr="00DE096C" w:rsidRDefault="00311F0F" w:rsidP="00D45A46">
      <w:pPr>
        <w:jc w:val="both"/>
        <w:rPr>
          <w:bCs/>
          <w:color w:val="002060"/>
          <w:sz w:val="16"/>
          <w:szCs w:val="16"/>
        </w:rPr>
      </w:pPr>
      <w:r w:rsidRPr="00DE096C">
        <w:rPr>
          <w:bCs/>
          <w:color w:val="002060"/>
          <w:sz w:val="16"/>
          <w:szCs w:val="16"/>
        </w:rPr>
        <w:t>Лебедя 11 (оба оригинального дизайна). Всего было построено всего несколько экземпляров каждого типа. Это привело к Лебедю 12.</w:t>
      </w:r>
    </w:p>
    <w:p w14:paraId="2ED8B491" w14:textId="77777777" w:rsidR="00311F0F" w:rsidRPr="00DE096C" w:rsidRDefault="00311F0F" w:rsidP="00D45A46">
      <w:pPr>
        <w:jc w:val="both"/>
        <w:rPr>
          <w:bCs/>
          <w:color w:val="002060"/>
          <w:sz w:val="16"/>
          <w:szCs w:val="16"/>
        </w:rPr>
      </w:pPr>
      <w:r w:rsidRPr="00DE096C">
        <w:rPr>
          <w:bCs/>
          <w:color w:val="002060"/>
          <w:sz w:val="16"/>
          <w:szCs w:val="16"/>
        </w:rPr>
        <w:t>Лебедь-12 был двухместным разведывательным самолетом с двигателем Salmson мощностью 150 л.с. Он был вооружен одним 7,62-мм пулеметом Colt с подвижной установкой, управляемой наблюдателем. Опытный образец был завершен и испытан Поручиком Слепцовым 10 января 1916 года. Заказ на 225 самолетов был получен от Военного министерства 19 апреля.</w:t>
      </w:r>
    </w:p>
    <w:p w14:paraId="4A93F3B8" w14:textId="77777777" w:rsidR="00311F0F" w:rsidRPr="00DE096C" w:rsidRDefault="00311F0F" w:rsidP="00D45A46">
      <w:pPr>
        <w:jc w:val="both"/>
        <w:rPr>
          <w:bCs/>
          <w:color w:val="002060"/>
          <w:sz w:val="16"/>
          <w:szCs w:val="16"/>
        </w:rPr>
      </w:pPr>
      <w:r w:rsidRPr="00DE096C">
        <w:rPr>
          <w:bCs/>
          <w:color w:val="002060"/>
          <w:sz w:val="16"/>
          <w:szCs w:val="16"/>
        </w:rPr>
        <w:t>Первый серийный самолет испытал военный летчик Михайлов 4 августа на Комендантском аэродроме под Петроградом. В течение октября около десяти «Лебедей-12» были переданы военным и действовали на фронте. Пилоты на фронте критиковали «Лебедь-12» за то, что его было трудно восстановить после пикирования, что привело к авариям со смертельным исходом. Экипажам не нравились пары и тепло от выхлопа двигателя, который располагался слишком близко к кабине. Орудийная установка наблюдателя также была плохо спроектирована и позже была заменена улучшенной конструкцией.</w:t>
      </w:r>
    </w:p>
    <w:p w14:paraId="28F9B9E7" w14:textId="77777777" w:rsidR="00311F0F" w:rsidRPr="00DE096C" w:rsidRDefault="00311F0F" w:rsidP="00D45A46">
      <w:pPr>
        <w:jc w:val="both"/>
        <w:rPr>
          <w:bCs/>
          <w:color w:val="002060"/>
          <w:sz w:val="16"/>
          <w:szCs w:val="16"/>
        </w:rPr>
      </w:pPr>
      <w:r w:rsidRPr="00DE096C">
        <w:rPr>
          <w:bCs/>
          <w:color w:val="002060"/>
          <w:sz w:val="16"/>
          <w:szCs w:val="16"/>
        </w:rPr>
        <w:t>Летом 1917 года «Лебедь-12» подвергся дальнейшей модификации. По новому контракту было заказано 200 самолетов, некоторые из которых были оснащены поплавками или лыжами. К 1 января 1918 года заводы Лебедева построили 218 «Лебедей-12» и 171 комплект запасных частей.</w:t>
      </w:r>
    </w:p>
    <w:p w14:paraId="0F5DA784" w14:textId="77777777" w:rsidR="00311F0F" w:rsidRPr="00DE096C" w:rsidRDefault="00311F0F" w:rsidP="00D45A46">
      <w:pPr>
        <w:jc w:val="both"/>
        <w:rPr>
          <w:bCs/>
          <w:color w:val="002060"/>
          <w:sz w:val="16"/>
          <w:szCs w:val="16"/>
        </w:rPr>
      </w:pPr>
      <w:r w:rsidRPr="00DE096C">
        <w:rPr>
          <w:bCs/>
          <w:color w:val="002060"/>
          <w:sz w:val="16"/>
          <w:szCs w:val="16"/>
        </w:rPr>
        <w:t>Ранее, в декабре 1914 г., завод Лебедева заключил договор с авиаконструктором В.А. Слесарева на средства богатого помещика и члена ИВАК Е.М. Малынского на постройку слесаревского «Святогора» — большого трехопорного биплана. Два двигателя Renault мощностью 220 л.с. были установлены в январе 1916 года.</w:t>
      </w:r>
    </w:p>
    <w:p w14:paraId="16F02934" w14:textId="77777777" w:rsidR="00311F0F" w:rsidRPr="00DE096C" w:rsidRDefault="00311F0F" w:rsidP="00D45A46">
      <w:pPr>
        <w:jc w:val="both"/>
        <w:rPr>
          <w:bCs/>
          <w:color w:val="002060"/>
          <w:sz w:val="16"/>
          <w:szCs w:val="16"/>
        </w:rPr>
      </w:pPr>
      <w:r w:rsidRPr="00DE096C">
        <w:rPr>
          <w:bCs/>
          <w:color w:val="002060"/>
          <w:sz w:val="16"/>
          <w:szCs w:val="16"/>
        </w:rPr>
        <w:t>«Святогор» был поврежден в начале ноября 1916 года во время наземных испытаний на аэродроме Комендантский и больше не летал. Было обнаружено, что он превышает бюджет и вес, и финансирование прекратилось. Слесарев погиб в результате дорожно-транспортного происшествия в Петрограде в начале 1921 года.</w:t>
      </w:r>
    </w:p>
    <w:p w14:paraId="166976DA" w14:textId="77777777" w:rsidR="00311F0F" w:rsidRPr="00DE096C" w:rsidRDefault="00311F0F" w:rsidP="00D45A46">
      <w:pPr>
        <w:jc w:val="both"/>
        <w:rPr>
          <w:bCs/>
          <w:color w:val="002060"/>
          <w:sz w:val="16"/>
          <w:szCs w:val="16"/>
        </w:rPr>
      </w:pPr>
      <w:r w:rsidRPr="00DE096C">
        <w:rPr>
          <w:bCs/>
          <w:color w:val="002060"/>
          <w:sz w:val="16"/>
          <w:szCs w:val="16"/>
        </w:rPr>
        <w:t>В 1916 году Лебедев открыл в Таганроге большой авиационный магазин. В советское время он был известен как ГАЗ № 10. В 1917 г. Лебедев построил в г. Ярославле крупный металлургический завод по производству автомобильных и авиационных двигателей.</w:t>
      </w:r>
    </w:p>
    <w:p w14:paraId="67013D32" w14:textId="77777777" w:rsidR="00311F0F" w:rsidRPr="00DE096C" w:rsidRDefault="00311F0F" w:rsidP="00D45A46">
      <w:pPr>
        <w:jc w:val="both"/>
        <w:rPr>
          <w:bCs/>
          <w:color w:val="002060"/>
          <w:sz w:val="16"/>
          <w:szCs w:val="16"/>
        </w:rPr>
      </w:pPr>
      <w:r w:rsidRPr="00DE096C">
        <w:rPr>
          <w:bCs/>
          <w:color w:val="002060"/>
          <w:sz w:val="16"/>
          <w:szCs w:val="16"/>
        </w:rPr>
        <w:t>В течение 1915 года завод Лебедева построил два гидросамолета «Депердюссен» и один гидросамолет «Морис Фарман-11». Они также построили несколько двухместных гидросамолетов Лебедев-Морской ЛМ (ВМФ Лебедева), один из которых был отправлен в Ревельскую крепость АО. Другие морские типы включали копии двухместной летающей лодки FBA с двигателем Gnome мощностью 100 л.с.; один тип «ГФ» Лебедева и конструктора Г.А. Фриде, модифицированный Morane Saulnier тип L, переделанный в летающую лодку; одна летающая лодка «Виллиш ВМ-2»; а в декабре 1916 года одна летающая лодка Villish VM-4 с двигателем Rhone HOhp, которую отправили в Бакинскую школу. В июле 1917 года были построены три сухопутных самолета Лебедева «Альбатрос А.8». Завод в Таганроге также производил небольшое количество самолетов.</w:t>
      </w:r>
    </w:p>
    <w:p w14:paraId="35958340" w14:textId="77777777" w:rsidR="00311F0F" w:rsidRPr="00DE096C" w:rsidRDefault="00311F0F" w:rsidP="00D45A46">
      <w:pPr>
        <w:jc w:val="both"/>
        <w:rPr>
          <w:bCs/>
          <w:color w:val="002060"/>
          <w:sz w:val="16"/>
          <w:szCs w:val="16"/>
        </w:rPr>
      </w:pPr>
      <w:r w:rsidRPr="00DE096C">
        <w:rPr>
          <w:bCs/>
          <w:color w:val="002060"/>
          <w:sz w:val="16"/>
          <w:szCs w:val="16"/>
        </w:rPr>
        <w:t>Летом 1916 г. на заводе Лебедева был построен самолет конструкции Л. Д. Колпакова-Мирошниченко «Кл» — двухместная разведывательная машина с двигателем «Аустро-Даймлер» 100 л.с. Самолет отличался крылом изменяемого угла наклона. Он разбился во время своего первого полета и больше не восстанавливался.</w:t>
      </w:r>
    </w:p>
    <w:p w14:paraId="43D91128" w14:textId="77777777" w:rsidR="00311F0F" w:rsidRPr="00DE096C" w:rsidRDefault="00311F0F" w:rsidP="00D45A46">
      <w:pPr>
        <w:jc w:val="both"/>
        <w:rPr>
          <w:bCs/>
          <w:color w:val="002060"/>
          <w:sz w:val="16"/>
          <w:szCs w:val="16"/>
        </w:rPr>
      </w:pPr>
      <w:r w:rsidRPr="00DE096C">
        <w:rPr>
          <w:bCs/>
          <w:color w:val="002060"/>
          <w:sz w:val="16"/>
          <w:szCs w:val="16"/>
        </w:rPr>
        <w:t>В 1917 году Лебедев получил британскую лицензию на производство Sopwith Pup и Sopwith Camel, но производство так и не началось. Однако известно, что в 1917 году на заводе в Петрограде было построено пять самолетов Sopwith 1 1/2 Strutters.</w:t>
      </w:r>
    </w:p>
    <w:p w14:paraId="7973FC60" w14:textId="77777777" w:rsidR="00311F0F" w:rsidRPr="00DE096C" w:rsidRDefault="00311F0F" w:rsidP="00D45A46">
      <w:pPr>
        <w:jc w:val="both"/>
        <w:rPr>
          <w:bCs/>
          <w:color w:val="002060"/>
          <w:sz w:val="16"/>
          <w:szCs w:val="16"/>
        </w:rPr>
      </w:pPr>
      <w:r w:rsidRPr="00DE096C">
        <w:rPr>
          <w:bCs/>
          <w:color w:val="002060"/>
          <w:sz w:val="16"/>
          <w:szCs w:val="16"/>
        </w:rPr>
        <w:t>В течение 1916 г. был достигнут уровень производства 30 самолетов в месяц, а в 1917 г. он вырос примерно до 75 машин в месяц. Заводы Лебедева также ремонтировали трофейные типы «Альбатрос», «Авиатик» и «Румпир». В феврале 1916 г. отремонтированный Rumpier и LVG были отправлены в АО 8-й армии. В течение 1916 г. было отремонтировано около двадцати, в основном «Альбатросов», машин, поступивших в 18-ю КАО, 33-ю КАО, 34-ю КАО, Гренадерскую КАО и 12-ю армию АО.</w:t>
      </w:r>
    </w:p>
    <w:p w14:paraId="71A5EEB3" w14:textId="77777777" w:rsidR="00311F0F" w:rsidRPr="00DE096C" w:rsidRDefault="00311F0F" w:rsidP="00D45A46">
      <w:pPr>
        <w:jc w:val="both"/>
        <w:rPr>
          <w:bCs/>
          <w:color w:val="002060"/>
          <w:sz w:val="16"/>
          <w:szCs w:val="16"/>
        </w:rPr>
      </w:pPr>
      <w:r w:rsidRPr="00DE096C">
        <w:rPr>
          <w:bCs/>
          <w:color w:val="002060"/>
          <w:sz w:val="16"/>
          <w:szCs w:val="16"/>
        </w:rPr>
        <w:t xml:space="preserve">Лебедь-17 с двигателем Salmson мощностью 150 л.с. был оригинальной конструкцией С. Б. Гуревича, который был испытан в августе 1917 года. Было построено несколько машин. Известно, что с сентября 1917 г. было поставлено семь «Лебедей-21». К концу войны в ноябре 1917 года было построено 700 самолетов, из них сдано и принято 674. Производство было 47 в 1914 году, 187 в 1915 году, 227 в 1916 году и 213 в 1917 году. В 1916 году было 867 рабочих, а в 1917 году их число </w:t>
      </w:r>
      <w:r w:rsidRPr="00DE096C">
        <w:rPr>
          <w:bCs/>
          <w:color w:val="002060"/>
          <w:sz w:val="16"/>
          <w:szCs w:val="16"/>
        </w:rPr>
        <w:lastRenderedPageBreak/>
        <w:t>увеличилось до 1156. Другие проекты Лебедева включали Лебедь 14 (Lebed Le Grand), со- Совместно с Колпаковым-Мирошниченко был разработан большой трехстоечный биплан с двумя двигателями Salmson мощностью 15 Ом.</w:t>
      </w:r>
    </w:p>
    <w:p w14:paraId="05C344BD" w14:textId="77777777" w:rsidR="00311F0F" w:rsidRPr="00DE096C" w:rsidRDefault="00311F0F" w:rsidP="00D45A46">
      <w:pPr>
        <w:jc w:val="both"/>
        <w:rPr>
          <w:bCs/>
          <w:color w:val="002060"/>
          <w:sz w:val="16"/>
          <w:szCs w:val="16"/>
        </w:rPr>
      </w:pPr>
      <w:r w:rsidRPr="00DE096C">
        <w:rPr>
          <w:bCs/>
          <w:color w:val="002060"/>
          <w:sz w:val="16"/>
          <w:szCs w:val="16"/>
        </w:rPr>
        <w:t>В январе 1916 г. Лебедев сообщил великому князю Александру Михайловичу, что скоро начнутся испытания, но самолет оставался недостроенным до второй половины 1917 г. Недостроенным остался и двухместный биплан «Лебедь-15» с двигателем «Рено» мощностью 225 л.с.</w:t>
      </w:r>
    </w:p>
    <w:p w14:paraId="2F30B5F1" w14:textId="77777777" w:rsidR="00311F0F" w:rsidRPr="00DE096C" w:rsidRDefault="00311F0F" w:rsidP="00D45A46">
      <w:pPr>
        <w:jc w:val="both"/>
        <w:rPr>
          <w:bCs/>
          <w:color w:val="002060"/>
          <w:sz w:val="16"/>
          <w:szCs w:val="16"/>
        </w:rPr>
      </w:pPr>
      <w:r w:rsidRPr="00DE096C">
        <w:rPr>
          <w:bCs/>
          <w:color w:val="002060"/>
          <w:sz w:val="16"/>
          <w:szCs w:val="16"/>
        </w:rPr>
        <w:t>В начале 1917 г. был испытан трехместный биплан «Лебедь-16» с двумя двигателями «Рона» мощностью 80 л. Лебедь-17, разработанный совместно с Гуревичем, с одним двигателем Salmson мощностью 150 л.с. Летные испытания он прошел в августе 1917 года. Было построено несколько самолетов, но в серийное производство он так и не пошел.</w:t>
      </w:r>
    </w:p>
    <w:p w14:paraId="7AC0A9A0" w14:textId="77777777" w:rsidR="00311F0F" w:rsidRPr="00DE096C" w:rsidRDefault="00311F0F" w:rsidP="00D45A46">
      <w:pPr>
        <w:jc w:val="both"/>
        <w:rPr>
          <w:bCs/>
          <w:color w:val="002060"/>
          <w:sz w:val="16"/>
          <w:szCs w:val="16"/>
        </w:rPr>
      </w:pPr>
      <w:r w:rsidRPr="00DE096C">
        <w:rPr>
          <w:bCs/>
          <w:color w:val="002060"/>
          <w:sz w:val="16"/>
          <w:szCs w:val="16"/>
        </w:rPr>
        <w:t>Двухместный «Лебедь-18» (типа «Альбатрос») с двигателем Fiat мощностью 230 л.с. так и не был построен, так как заказов не поступало. Из-за его плохих характеристик было построено всего семь экземпляров двухместного моноплана «Лебедь-21» с двигателем Salmson мощностью 150 л.с. Лебедь 24 остался проектом из-за непоставки ожидаемых двигателей Fiat и Hispano-Suiza.</w:t>
      </w:r>
    </w:p>
    <w:p w14:paraId="4C385F7A" w14:textId="77777777" w:rsidR="00311F0F" w:rsidRPr="00DE096C" w:rsidRDefault="00311F0F" w:rsidP="00D45A46">
      <w:pPr>
        <w:jc w:val="both"/>
        <w:rPr>
          <w:bCs/>
          <w:color w:val="002060"/>
          <w:sz w:val="16"/>
          <w:szCs w:val="16"/>
        </w:rPr>
      </w:pPr>
      <w:r w:rsidRPr="00DE096C">
        <w:rPr>
          <w:bCs/>
          <w:color w:val="002060"/>
          <w:sz w:val="16"/>
          <w:szCs w:val="16"/>
        </w:rPr>
        <w:t>Ниже приведены примеры заказов Лебедева и количество построенных самолетов: 5 июля 1915 г. - пять из пяти «Альбатросов»; 6 сентября 1915 г. - 138 из 150 Вуазен ЛАС; 2 мая 1916 г. - 133 из 225 Вуазен ЛАС, 10 из 10 Лебедей 12 учебных; 25 декабря 1916 г. - один из "Альбатросов" с двигателем "Майбах"; 26 декабря 1916 г. - 14 из 50 Nieuport X; 10 марта 1917 г. - 15 из 60 Nieuport X; 30 мая 1917 г. - ни одного из 200 Лебедей 24; 1917 г., 5 июля - заказ на 140 Sopwith 1/2 Страттерс и 60 Лебедей для школы, неизвестно, были ли они построены.</w:t>
      </w:r>
    </w:p>
    <w:p w14:paraId="29B3AB01" w14:textId="77777777" w:rsidR="00311F0F" w:rsidRPr="00DE096C" w:rsidRDefault="00311F0F" w:rsidP="00D45A46">
      <w:pPr>
        <w:jc w:val="both"/>
        <w:rPr>
          <w:bCs/>
          <w:color w:val="002060"/>
          <w:sz w:val="16"/>
          <w:szCs w:val="16"/>
        </w:rPr>
      </w:pPr>
      <w:r w:rsidRPr="00DE096C">
        <w:rPr>
          <w:bCs/>
          <w:color w:val="002060"/>
          <w:sz w:val="16"/>
          <w:szCs w:val="16"/>
        </w:rPr>
        <w:t>В 1917 г., после отречения царя, В.А. Лебедев был избран президентом Всероссийского аэроклуба (ВАК) (бывший ИВАК) и назначен руководителем школы ВАК.</w:t>
      </w:r>
    </w:p>
    <w:p w14:paraId="6CB41D7A" w14:textId="77777777" w:rsidR="00311F0F" w:rsidRPr="00DE096C" w:rsidRDefault="00311F0F" w:rsidP="00D45A46">
      <w:pPr>
        <w:jc w:val="both"/>
        <w:rPr>
          <w:bCs/>
          <w:color w:val="002060"/>
          <w:sz w:val="16"/>
          <w:szCs w:val="16"/>
        </w:rPr>
      </w:pPr>
      <w:r w:rsidRPr="00DE096C">
        <w:rPr>
          <w:bCs/>
          <w:color w:val="002060"/>
          <w:sz w:val="16"/>
          <w:szCs w:val="16"/>
        </w:rPr>
        <w:t>После революции большевики объявили его «врагом народа» и национализировали его заводы. Завод в Петрограде был объединен с Р-БВЗ и переименован в ГАЗ №3. Лебедев отправился на юг России, где занимал пост министра торговли и промышленности в правительстве генерала Деникина. В годы Гражданской войны его завод в Таганроге, где фактически располагались мастерские Ф. Моски, строил и ремонтировал самолеты для Добровольческой армии. В ноябре 1920 г. он эмигрировал в Югославию, где росло число белых русских, уехав оттуда в 1926 г. в Париж, который он сделал своим домом. Его вклад во французскую авиационную промышленность был отмечен орденом Почетного легиона. Он умер в Париже 22 февраля 1947 года (23525).</w:t>
      </w:r>
    </w:p>
    <w:p w14:paraId="54DBC289" w14:textId="77777777" w:rsidR="00311F0F" w:rsidRPr="00DE096C" w:rsidRDefault="00311F0F" w:rsidP="00D45A46">
      <w:pPr>
        <w:jc w:val="both"/>
        <w:rPr>
          <w:bCs/>
          <w:color w:val="002060"/>
          <w:sz w:val="16"/>
          <w:szCs w:val="16"/>
        </w:rPr>
      </w:pPr>
    </w:p>
    <w:p w14:paraId="0DC2ED4C" w14:textId="77777777" w:rsidR="00311F0F" w:rsidRPr="00DE096C" w:rsidRDefault="00311F0F" w:rsidP="00D45A46">
      <w:pPr>
        <w:jc w:val="both"/>
        <w:rPr>
          <w:bCs/>
          <w:color w:val="002060"/>
          <w:sz w:val="16"/>
          <w:szCs w:val="16"/>
        </w:rPr>
      </w:pPr>
      <w:r w:rsidRPr="00DE096C">
        <w:rPr>
          <w:bCs/>
          <w:color w:val="002060"/>
          <w:sz w:val="16"/>
          <w:szCs w:val="16"/>
        </w:rPr>
        <w:t>В июле 1914 г. Главком российского Генерального штаба заказал Р-БВЗ десять «Ильев Муромцев» (ИМ) с поставкой к марту 1915 г. Стоимость каждого самолета составляла около 150 000 руб. Сикорский предвидел заказ и уже начал производственные планы.</w:t>
      </w:r>
    </w:p>
    <w:p w14:paraId="0A1622D4" w14:textId="77777777" w:rsidR="00311F0F" w:rsidRPr="00DE096C" w:rsidRDefault="00311F0F" w:rsidP="00D45A46">
      <w:pPr>
        <w:jc w:val="both"/>
        <w:rPr>
          <w:bCs/>
          <w:color w:val="002060"/>
          <w:sz w:val="16"/>
          <w:szCs w:val="16"/>
        </w:rPr>
      </w:pPr>
      <w:r w:rsidRPr="00DE096C">
        <w:rPr>
          <w:bCs/>
          <w:color w:val="002060"/>
          <w:sz w:val="16"/>
          <w:szCs w:val="16"/>
        </w:rPr>
        <w:t>31 августа Р-БВЗ передал армии два Ильи Муромца, ИМ Киевский (№ 128) и ИМ-I (№ 135). Вскоре за ними последуют другие корабли этой исторической серии.</w:t>
      </w:r>
    </w:p>
    <w:p w14:paraId="0E42C48F" w14:textId="77777777" w:rsidR="00311F0F" w:rsidRPr="00DE096C" w:rsidRDefault="00311F0F" w:rsidP="00D45A46">
      <w:pPr>
        <w:jc w:val="both"/>
        <w:rPr>
          <w:bCs/>
          <w:color w:val="002060"/>
          <w:sz w:val="16"/>
          <w:szCs w:val="16"/>
        </w:rPr>
      </w:pPr>
      <w:r w:rsidRPr="00DE096C">
        <w:rPr>
          <w:bCs/>
          <w:color w:val="002060"/>
          <w:sz w:val="16"/>
          <w:szCs w:val="16"/>
        </w:rPr>
        <w:t>Производство на Р-БВЗ во время войны было почти полностью сосредоточено на различных типах Sikorsky. Насколько известно, было построено 85 IM, один «А», шесть «В», 18 «В», 55 «Г», три «Д» и два «Е», по крайней мере половина из них — учебные. Еще три «Ги» были построены красными во время Гражданской войны. В сентябре 1915 года Центральное военно-техническое управление заказало восемнадцать С-16. Поставки начались в середине января 1916 года. Всего было построено тридцать три истребителя С-16 по цене около 9500 рублей (около 5000 долларов) каждый.</w:t>
      </w:r>
    </w:p>
    <w:p w14:paraId="327B5580" w14:textId="77777777" w:rsidR="00311F0F" w:rsidRPr="00DE096C" w:rsidRDefault="00311F0F" w:rsidP="00D45A46">
      <w:pPr>
        <w:jc w:val="both"/>
        <w:rPr>
          <w:bCs/>
          <w:color w:val="002060"/>
          <w:sz w:val="16"/>
          <w:szCs w:val="16"/>
        </w:rPr>
      </w:pPr>
      <w:r w:rsidRPr="00DE096C">
        <w:rPr>
          <w:bCs/>
          <w:color w:val="002060"/>
          <w:sz w:val="16"/>
          <w:szCs w:val="16"/>
        </w:rPr>
        <w:t>С октября 1912 по апрель 1914 года Р-БВЗ произвел 38 французских самолетов Farmans и Nieuport IV. В 1910-1913 годах на Р-БВЗ было построено около 100 самолетов, с 1914 по 1917 год было построено около 140 самолетов. Не все из них были приняты.</w:t>
      </w:r>
    </w:p>
    <w:p w14:paraId="408BE824" w14:textId="77777777" w:rsidR="00311F0F" w:rsidRPr="00DE096C" w:rsidRDefault="00311F0F" w:rsidP="00D45A46">
      <w:pPr>
        <w:jc w:val="both"/>
        <w:rPr>
          <w:bCs/>
          <w:color w:val="002060"/>
          <w:sz w:val="16"/>
          <w:szCs w:val="16"/>
        </w:rPr>
      </w:pPr>
      <w:r w:rsidRPr="00DE096C">
        <w:rPr>
          <w:bCs/>
          <w:color w:val="002060"/>
          <w:sz w:val="16"/>
          <w:szCs w:val="16"/>
        </w:rPr>
        <w:t>К началу 1917 года производство выросло до шести ИМ и 30-40 самолетов других типов в месяц. В 1914 г. насчитывалось 270 рабочих, в 1915 г. их число возросло до 400, в 1916 г. — до 478, а в марте 1917 г. — до 475. На авиамоторном заводе в Петрограде (сдача началась в ноябре 1916 г.) было 266 рабочих в 1916 г. и 430 в 1917.</w:t>
      </w:r>
    </w:p>
    <w:p w14:paraId="52558259" w14:textId="77777777" w:rsidR="00311F0F" w:rsidRPr="00DE096C" w:rsidRDefault="00311F0F" w:rsidP="00D45A46">
      <w:pPr>
        <w:jc w:val="both"/>
        <w:rPr>
          <w:bCs/>
          <w:color w:val="002060"/>
          <w:sz w:val="16"/>
          <w:szCs w:val="16"/>
        </w:rPr>
      </w:pPr>
      <w:r w:rsidRPr="00DE096C">
        <w:rPr>
          <w:bCs/>
          <w:color w:val="002060"/>
          <w:sz w:val="16"/>
          <w:szCs w:val="16"/>
        </w:rPr>
        <w:t>Директором авиационного завода Р-БВЗ в 1916-1918 годах был Витольд Ярковский, бывший директор завода Щетинина в 1915-1916 годах и завода Лебедева в 1913-1915 годах.</w:t>
      </w:r>
    </w:p>
    <w:p w14:paraId="35765EEF" w14:textId="77777777" w:rsidR="00311F0F" w:rsidRPr="00DE096C" w:rsidRDefault="00311F0F" w:rsidP="00D45A46">
      <w:pPr>
        <w:jc w:val="both"/>
        <w:rPr>
          <w:bCs/>
          <w:color w:val="002060"/>
          <w:sz w:val="16"/>
          <w:szCs w:val="16"/>
        </w:rPr>
      </w:pPr>
      <w:r w:rsidRPr="00DE096C">
        <w:rPr>
          <w:bCs/>
          <w:color w:val="002060"/>
          <w:sz w:val="16"/>
          <w:szCs w:val="16"/>
        </w:rPr>
        <w:t>М. В. Шидловский и его сын Михаил были застрелены красногвардейцами 14 января 1921 г. при попытке бегства через границу в Финляндию (23125).</w:t>
      </w:r>
    </w:p>
    <w:p w14:paraId="1924BF0F" w14:textId="77777777" w:rsidR="00311F0F" w:rsidRPr="00DE096C" w:rsidRDefault="00311F0F" w:rsidP="00D45A46">
      <w:pPr>
        <w:jc w:val="both"/>
        <w:rPr>
          <w:bCs/>
          <w:color w:val="002060"/>
          <w:sz w:val="16"/>
          <w:szCs w:val="16"/>
        </w:rPr>
      </w:pPr>
    </w:p>
    <w:p w14:paraId="28D062A0" w14:textId="77777777" w:rsidR="00394E74" w:rsidRPr="00DE096C" w:rsidRDefault="00394E74" w:rsidP="00D45A46">
      <w:pPr>
        <w:jc w:val="both"/>
        <w:rPr>
          <w:bCs/>
          <w:color w:val="002060"/>
          <w:sz w:val="16"/>
          <w:szCs w:val="16"/>
        </w:rPr>
      </w:pPr>
      <w:r w:rsidRPr="00DE096C">
        <w:rPr>
          <w:bCs/>
          <w:color w:val="002060"/>
          <w:sz w:val="16"/>
          <w:szCs w:val="16"/>
        </w:rPr>
        <w:t>В 1914 г. себестоимость производства одномоторного самолета на одном из русских авиазаводов составляла около 4000 рублей. Столько же стоил двигатель к нему. Прибыль завода с каждой проданной машины составляла 15% – поэтому, скажем, «Фарман-VII» с мотором при себестоимости 7760 рублей продавался за 9125 рублей.</w:t>
      </w:r>
    </w:p>
    <w:p w14:paraId="5D646246" w14:textId="77777777" w:rsidR="00394E74" w:rsidRPr="00DE096C" w:rsidRDefault="00394E74" w:rsidP="00D45A46">
      <w:pPr>
        <w:jc w:val="both"/>
        <w:rPr>
          <w:bCs/>
          <w:color w:val="002060"/>
          <w:sz w:val="16"/>
          <w:szCs w:val="16"/>
        </w:rPr>
      </w:pPr>
      <w:r w:rsidRPr="00DE096C">
        <w:rPr>
          <w:bCs/>
          <w:color w:val="002060"/>
          <w:sz w:val="16"/>
          <w:szCs w:val="16"/>
        </w:rPr>
        <w:t>«Муромцы» были куда сложнее по конструкции и, естественно, дороже. Их себестоимость оценивалась в 27–28 тысяч рублей. При этом за каждый заказанный после начала войны «корабль» казна платила заводу 150 тысяч рублей! И это только за планер – моторы оплачивались отдельно! Прибыль, полученную с каждого «Муромца», подсчитать довольно легко…</w:t>
      </w:r>
    </w:p>
    <w:p w14:paraId="6F1B0293" w14:textId="77777777" w:rsidR="00394E74" w:rsidRPr="00DE096C" w:rsidRDefault="00394E74" w:rsidP="00D45A46">
      <w:pPr>
        <w:jc w:val="both"/>
        <w:rPr>
          <w:bCs/>
          <w:color w:val="002060"/>
          <w:sz w:val="16"/>
          <w:szCs w:val="16"/>
        </w:rPr>
      </w:pPr>
      <w:r w:rsidRPr="00DE096C">
        <w:rPr>
          <w:bCs/>
          <w:color w:val="002060"/>
          <w:sz w:val="16"/>
          <w:szCs w:val="16"/>
        </w:rPr>
        <w:t>Что ж, директор Русско-Балтийского завода Шидловский действительно хорошо заботился о прибылях его акционеров. Однако он никак не мог согласиться с тем, что ради наживы завод продает армии негодное оружие. По мнению Шидловского, летчики просто не умели как надо применять оказавшиеся в их распоряжении самолеты – и оттого жаловались на них. По его предложению отдельные отряды, имевшие на вооружении «Муромцев», были расформированы, а их самолеты переданы в создаваемую «Эскадру воздушных кораблей». Во главе ее встал… сам Шидловский, получивший генеральское звание. К эскадре в качестве технического советника был прикомандирован и сам Сикорский.</w:t>
      </w:r>
    </w:p>
    <w:p w14:paraId="7A3EB7DC" w14:textId="77777777" w:rsidR="00394E74" w:rsidRPr="00DE096C" w:rsidRDefault="00394E74" w:rsidP="00D45A46">
      <w:pPr>
        <w:jc w:val="both"/>
        <w:rPr>
          <w:bCs/>
          <w:color w:val="002060"/>
          <w:sz w:val="16"/>
          <w:szCs w:val="16"/>
        </w:rPr>
      </w:pPr>
      <w:r w:rsidRPr="00DE096C">
        <w:rPr>
          <w:bCs/>
          <w:color w:val="002060"/>
          <w:sz w:val="16"/>
          <w:szCs w:val="16"/>
        </w:rPr>
        <w:t>Когда руководить полетами «Муромцев» стали знающие специалисты, выяснилось, что самолет может забраться и на высоту свыше 2500 м. Это делало его неуязвимым от огня с земли. Именно тогда и произошла та самая встреча пилотируемого капитаном Горшковым «Ильи Муромца» с «Мораном» Варшавского авиаотряда. Вскоре и в этом авиаотряде, и во всей русской армии узнали, что четырехмоторный самолет Сикорского представляет собой грозное оружие. С различных фронтов стали поступать просьбы о направлении к ним «Муромцев», а Русско-Балтийский завод не успевал справляться с новыми заказами на изготовление гигантов.</w:t>
      </w:r>
    </w:p>
    <w:p w14:paraId="532079DE" w14:textId="77777777" w:rsidR="00394E74" w:rsidRPr="00DE096C" w:rsidRDefault="00394E74" w:rsidP="00D45A46">
      <w:pPr>
        <w:jc w:val="both"/>
        <w:rPr>
          <w:bCs/>
          <w:color w:val="002060"/>
          <w:sz w:val="16"/>
          <w:szCs w:val="16"/>
        </w:rPr>
      </w:pPr>
      <w:r w:rsidRPr="00DE096C">
        <w:rPr>
          <w:bCs/>
          <w:color w:val="002060"/>
          <w:sz w:val="16"/>
          <w:szCs w:val="16"/>
        </w:rPr>
        <w:t>Многочасовые разведки с фотосъемкой позиций и глубоких тылов вражеских войск – задание, которое не мог выполнить ни один другой самолет того времени. А бомбардировка? «Муромец» мог поднимать в воздух даже огромные по тем временам 25-пудовые (410 кг) бомбы. Специальные прицелы позволяли вести достаточно эффективное бомбометание, а в застекленной кабине штурман-бомбардир мог легко пользоваться баллистическими таблицами. Самолет имел и оборонительное пулеметное вооружение – включая огневую точку хвостового стрелка. С какой бы стороны ни подлетал истребитель противника, его встречал огонь – в области создания «круговой обороны» Сикорский тоже оказался пионером (23618).</w:t>
      </w:r>
    </w:p>
    <w:p w14:paraId="1FF018BC" w14:textId="77777777" w:rsidR="00394E74" w:rsidRPr="00DE096C" w:rsidRDefault="00394E74" w:rsidP="00D45A46">
      <w:pPr>
        <w:jc w:val="both"/>
        <w:rPr>
          <w:bCs/>
          <w:color w:val="002060"/>
          <w:sz w:val="16"/>
          <w:szCs w:val="16"/>
        </w:rPr>
      </w:pPr>
    </w:p>
    <w:p w14:paraId="3249FD72" w14:textId="77777777" w:rsidR="003174ED" w:rsidRPr="00B52707" w:rsidRDefault="003174ED" w:rsidP="003174ED">
      <w:pPr>
        <w:jc w:val="both"/>
        <w:rPr>
          <w:color w:val="0070C0"/>
          <w:sz w:val="16"/>
          <w:szCs w:val="16"/>
        </w:rPr>
      </w:pPr>
      <w:r w:rsidRPr="00B52707">
        <w:rPr>
          <w:color w:val="0070C0"/>
          <w:sz w:val="16"/>
          <w:szCs w:val="16"/>
        </w:rPr>
        <w:t>В июле 1914 года российская армия получила некоторое количество самолетов с авиазаводов и самолеты, которые ранее принадлежали аэроклубам. Более того, Всероссийский аэроклуб сформировал Добровольческий авиаотряд, укомплектовав его собственными самолетами и летчиками, а некоторые летчики-добровольцы и вовсе прибыли в действующую армию со своими самолетами. Таким образом, непосредственно к началу боевых действий удалось собрать 220 самолетов и 289 авиационных моторов (25155).</w:t>
      </w:r>
    </w:p>
    <w:p w14:paraId="5B8CBB54" w14:textId="77777777" w:rsidR="003174ED" w:rsidRPr="00B52707" w:rsidRDefault="003174ED" w:rsidP="003174ED">
      <w:pPr>
        <w:jc w:val="both"/>
        <w:rPr>
          <w:color w:val="0070C0"/>
          <w:sz w:val="16"/>
          <w:szCs w:val="16"/>
        </w:rPr>
      </w:pPr>
    </w:p>
    <w:p w14:paraId="26B847D9" w14:textId="6BD0EE11" w:rsidR="007B1C45" w:rsidRPr="00DE096C" w:rsidRDefault="007B1C45" w:rsidP="00D45A46">
      <w:pPr>
        <w:shd w:val="clear" w:color="auto" w:fill="FFFFFF"/>
        <w:jc w:val="both"/>
        <w:rPr>
          <w:bCs/>
          <w:i/>
          <w:iCs/>
          <w:color w:val="002060"/>
          <w:sz w:val="16"/>
          <w:szCs w:val="16"/>
        </w:rPr>
      </w:pPr>
      <w:r w:rsidRPr="00DE096C">
        <w:rPr>
          <w:bCs/>
          <w:i/>
          <w:iCs/>
          <w:color w:val="002060"/>
          <w:sz w:val="16"/>
          <w:szCs w:val="16"/>
        </w:rPr>
        <w:t>Аэростатостроение:</w:t>
      </w:r>
    </w:p>
    <w:p w14:paraId="20C7D325" w14:textId="77777777" w:rsidR="007B1C45" w:rsidRPr="00DE096C" w:rsidRDefault="007B1C45" w:rsidP="00D45A46">
      <w:pPr>
        <w:shd w:val="clear" w:color="auto" w:fill="FFFFFF"/>
        <w:jc w:val="both"/>
        <w:rPr>
          <w:bCs/>
          <w:i/>
          <w:iCs/>
          <w:color w:val="002060"/>
          <w:sz w:val="16"/>
          <w:szCs w:val="16"/>
        </w:rPr>
      </w:pPr>
    </w:p>
    <w:p w14:paraId="5B70CD7E" w14:textId="77777777" w:rsidR="007B1C45" w:rsidRPr="00DE096C" w:rsidRDefault="007B1C45" w:rsidP="00D45A46">
      <w:pPr>
        <w:jc w:val="both"/>
        <w:rPr>
          <w:bCs/>
          <w:color w:val="002060"/>
          <w:sz w:val="16"/>
          <w:szCs w:val="16"/>
        </w:rPr>
      </w:pPr>
      <w:r w:rsidRPr="00DE096C">
        <w:rPr>
          <w:bCs/>
          <w:color w:val="002060"/>
          <w:sz w:val="16"/>
          <w:szCs w:val="16"/>
        </w:rPr>
        <w:t xml:space="preserve">В июле 1914 г. еще перед началом Первой мировой войны был представлен царю и в Государственную думу перспективный план развития управляемого воздухоплавания. По этому плану в России к 1917 году предполагалось иметь три воздухоплавательные дивизии, по две воздухоплавательные бригады в каждой. Бригада должна была состоять из четырех дирижаблей жесткого типа и одного флагманского дирижабля. Всего по этому плану в России намечалось иметь 30 боевых дирижаблей (не считая учебных и запасных). </w:t>
      </w:r>
    </w:p>
    <w:p w14:paraId="1188397C" w14:textId="77777777" w:rsidR="007B1C45" w:rsidRPr="00DE096C" w:rsidRDefault="007B1C45" w:rsidP="00D45A46">
      <w:pPr>
        <w:jc w:val="both"/>
        <w:rPr>
          <w:bCs/>
          <w:color w:val="002060"/>
          <w:sz w:val="16"/>
          <w:szCs w:val="16"/>
        </w:rPr>
      </w:pPr>
      <w:r w:rsidRPr="00DE096C">
        <w:rPr>
          <w:bCs/>
          <w:color w:val="002060"/>
          <w:sz w:val="16"/>
          <w:szCs w:val="16"/>
        </w:rPr>
        <w:t xml:space="preserve">Хорошо были разработаны в перспективном плане вопросы строительства наземных баз и промежуточных якорных стоянок, а также вопросы развития отечественной воздухоплавательной промышленности. По этому плану воздухоплавание должно было выделиться из системы инженерного ведомства и организационно стать самостоятельным воздухоплавательным флотом (11334). </w:t>
      </w:r>
    </w:p>
    <w:p w14:paraId="3212144D" w14:textId="77777777" w:rsidR="007B1C45" w:rsidRPr="00DE096C" w:rsidRDefault="007B1C45" w:rsidP="00D45A46">
      <w:pPr>
        <w:jc w:val="both"/>
        <w:rPr>
          <w:bCs/>
          <w:color w:val="002060"/>
          <w:sz w:val="16"/>
          <w:szCs w:val="16"/>
        </w:rPr>
      </w:pPr>
    </w:p>
    <w:p w14:paraId="03F17CDB"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Другие оборонные отрасли:</w:t>
      </w:r>
    </w:p>
    <w:p w14:paraId="624F905C" w14:textId="77777777" w:rsidR="00B67D7C" w:rsidRPr="00DE096C" w:rsidRDefault="00B67D7C" w:rsidP="00D45A46">
      <w:pPr>
        <w:shd w:val="clear" w:color="auto" w:fill="FFFFFF"/>
        <w:jc w:val="both"/>
        <w:rPr>
          <w:bCs/>
          <w:i/>
          <w:color w:val="002060"/>
          <w:sz w:val="16"/>
          <w:szCs w:val="16"/>
        </w:rPr>
      </w:pPr>
    </w:p>
    <w:p w14:paraId="2161F91C" w14:textId="77777777" w:rsidR="006D06B5" w:rsidRPr="00DE096C" w:rsidRDefault="006D06B5" w:rsidP="00D45A46">
      <w:pPr>
        <w:pStyle w:val="p1"/>
        <w:spacing w:before="0" w:beforeAutospacing="0" w:after="0" w:afterAutospacing="0"/>
        <w:jc w:val="both"/>
        <w:rPr>
          <w:bCs/>
          <w:color w:val="002060"/>
          <w:sz w:val="16"/>
          <w:szCs w:val="16"/>
        </w:rPr>
      </w:pPr>
      <w:r w:rsidRPr="00DE096C">
        <w:rPr>
          <w:bCs/>
          <w:color w:val="002060"/>
          <w:sz w:val="16"/>
          <w:szCs w:val="16"/>
        </w:rPr>
        <w:t>В июле 1914 г. к началу войны, заводы могли давать винтовочного пороха «Вл» до 120 тысяч пудов в год — количество, которого в тот момент хватало с небольшим избытком, пока потребность в патронах сводилась к 500 млн. штук. Но с января 1915 г., когда в полной мере проявился снарядный кризис, потребность в винтовочных патронах возросла. И если достигнутый в начале войны выпуск пороха «Вл» в 10,6 тысячи пудов в месяц казался удовлетворительным, то с января требовалось уже 42 тысячи пудов</w:t>
      </w:r>
      <w:r w:rsidRPr="00DE096C">
        <w:rPr>
          <w:bCs/>
          <w:color w:val="002060"/>
          <w:sz w:val="16"/>
          <w:szCs w:val="16"/>
          <w:vertAlign w:val="superscript"/>
        </w:rPr>
        <w:t>{259}</w:t>
      </w:r>
      <w:r w:rsidRPr="00DE096C">
        <w:rPr>
          <w:bCs/>
          <w:color w:val="002060"/>
          <w:sz w:val="16"/>
          <w:szCs w:val="16"/>
        </w:rPr>
        <w:t>, и в мае 1915 г. выпуск патронов снизился из-за нехватки пороха. В июле 1914 г. Кузьмин-Караваев, «не видя возможности в ближайшее время воспользоваться результатами еще дальнейшего, для пороховых заводов опасного, их расширения, принял меры к установлению производства нашего пороха в Америке, сознавая, что только этим способом можно поднять с июня — июля 1915 г. выход патронов до 100 млн. в месяц». В действительности уже к марту 1915 г. требовалось 200 млн. в месяц. В 1916 г. Петроградский патронный завод был расширен до выпуска 600 млн. патронов в год (18409).</w:t>
      </w:r>
    </w:p>
    <w:p w14:paraId="469E58ED" w14:textId="77777777" w:rsidR="006D06B5" w:rsidRPr="00DE096C" w:rsidRDefault="006D06B5" w:rsidP="00D45A46">
      <w:pPr>
        <w:pStyle w:val="p1"/>
        <w:spacing w:before="0" w:beforeAutospacing="0" w:after="0" w:afterAutospacing="0"/>
        <w:jc w:val="both"/>
        <w:rPr>
          <w:bCs/>
          <w:color w:val="002060"/>
          <w:sz w:val="16"/>
          <w:szCs w:val="16"/>
        </w:rPr>
      </w:pPr>
    </w:p>
    <w:p w14:paraId="43C646F3" w14:textId="77777777" w:rsidR="006D06B5" w:rsidRPr="00DE096C" w:rsidRDefault="006D06B5" w:rsidP="00D45A46">
      <w:pPr>
        <w:pStyle w:val="p1"/>
        <w:spacing w:before="0" w:beforeAutospacing="0" w:after="0" w:afterAutospacing="0"/>
        <w:jc w:val="both"/>
        <w:rPr>
          <w:bCs/>
          <w:color w:val="002060"/>
          <w:sz w:val="16"/>
          <w:szCs w:val="16"/>
        </w:rPr>
      </w:pPr>
      <w:r w:rsidRPr="00DE096C">
        <w:rPr>
          <w:bCs/>
          <w:color w:val="002060"/>
          <w:sz w:val="16"/>
          <w:szCs w:val="16"/>
        </w:rPr>
        <w:t xml:space="preserve">В июле 1914 к началу войны существовала программа моторизации войск (создание за 1914–1920 гг. 44 автомобильных рот, 44 транспортов, не считая запасных, ремонтных, крепостных команд, рот, мастерских), выполненная в какой-то мере только в организационной части (создано пять автомобильных рот и шесть отдельных </w:t>
      </w:r>
      <w:r w:rsidRPr="00DE096C">
        <w:rPr>
          <w:bCs/>
          <w:color w:val="002060"/>
          <w:sz w:val="16"/>
          <w:szCs w:val="16"/>
        </w:rPr>
        <w:lastRenderedPageBreak/>
        <w:t>автокоманд). Из-за недостатка материальной части в 1915 г. удалось сформировать только четыре отдельные автомобильные роты, причем укомплектованность их машинами «не превышала 70%» (18409).</w:t>
      </w:r>
    </w:p>
    <w:p w14:paraId="289CC3BA" w14:textId="77777777" w:rsidR="006D06B5" w:rsidRPr="00DE096C" w:rsidRDefault="006D06B5" w:rsidP="00D45A46">
      <w:pPr>
        <w:pStyle w:val="p1"/>
        <w:spacing w:before="0" w:beforeAutospacing="0" w:after="0" w:afterAutospacing="0"/>
        <w:jc w:val="both"/>
        <w:rPr>
          <w:bCs/>
          <w:color w:val="002060"/>
          <w:sz w:val="16"/>
          <w:szCs w:val="16"/>
        </w:rPr>
      </w:pPr>
    </w:p>
    <w:p w14:paraId="210D7C2E" w14:textId="77777777" w:rsidR="006D06B5" w:rsidRPr="00DE096C" w:rsidRDefault="006D06B5" w:rsidP="00D45A46">
      <w:pPr>
        <w:pStyle w:val="p1"/>
        <w:spacing w:before="0" w:beforeAutospacing="0" w:after="0" w:afterAutospacing="0"/>
        <w:jc w:val="both"/>
        <w:rPr>
          <w:bCs/>
          <w:color w:val="002060"/>
          <w:sz w:val="16"/>
          <w:szCs w:val="16"/>
        </w:rPr>
      </w:pPr>
      <w:r w:rsidRPr="00DE096C">
        <w:rPr>
          <w:bCs/>
          <w:color w:val="002060"/>
          <w:sz w:val="16"/>
          <w:szCs w:val="16"/>
        </w:rPr>
        <w:t>В июле 1914 к началу войны пытаясь насадить производство автомобилей, военное ведомство имело опыт переговоров с рядом фирм, но выяснилось, что «без гарантии новым заводам определенных крупных казенных заказов на несколько лет вперед» либо устранения заграничной конкуренции введением запретительных пошлин «отечественная промышленность народиться и окрепнуть не может» (18409).</w:t>
      </w:r>
    </w:p>
    <w:p w14:paraId="1D61C0BD" w14:textId="77777777" w:rsidR="006D06B5" w:rsidRPr="00DE096C" w:rsidRDefault="006D06B5" w:rsidP="00D45A46">
      <w:pPr>
        <w:pStyle w:val="p1"/>
        <w:spacing w:before="0" w:beforeAutospacing="0" w:after="0" w:afterAutospacing="0"/>
        <w:jc w:val="both"/>
        <w:rPr>
          <w:bCs/>
          <w:color w:val="002060"/>
          <w:sz w:val="16"/>
          <w:szCs w:val="16"/>
        </w:rPr>
      </w:pPr>
    </w:p>
    <w:p w14:paraId="4A2BC5D6" w14:textId="55199837" w:rsidR="00B67D7C" w:rsidRPr="00DE096C" w:rsidRDefault="00852C9E"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июле 1914 г.</w:t>
      </w:r>
      <w:r w:rsidRPr="00DE096C">
        <w:rPr>
          <w:bCs/>
          <w:color w:val="002060"/>
          <w:sz w:val="16"/>
          <w:szCs w:val="16"/>
        </w:rPr>
        <w:t xml:space="preserve"> война</w:t>
      </w:r>
      <w:r w:rsidR="00B67D7C" w:rsidRPr="00DE096C">
        <w:rPr>
          <w:bCs/>
          <w:color w:val="002060"/>
          <w:sz w:val="16"/>
          <w:szCs w:val="16"/>
        </w:rPr>
        <w:t xml:space="preserve"> застала как строительные, так и механические работы по расширению </w:t>
      </w:r>
      <w:r w:rsidRPr="00DE096C">
        <w:rPr>
          <w:bCs/>
          <w:color w:val="002060"/>
          <w:sz w:val="16"/>
          <w:szCs w:val="16"/>
        </w:rPr>
        <w:t xml:space="preserve">Тульского </w:t>
      </w:r>
      <w:r w:rsidR="00B67D7C" w:rsidRPr="00DE096C">
        <w:rPr>
          <w:bCs/>
          <w:color w:val="002060"/>
          <w:sz w:val="16"/>
          <w:szCs w:val="16"/>
        </w:rPr>
        <w:t>завода незаконченными. Таким образом, мобилизационные задания, поставленные заводу "на случай войны", осуществлены не были. Вообще война застала Тульский завод врасплох во всех отношениях. Прежде всего — основное производство завода, именно — винтовочное, постепенно снижавшееся, к 1914 году было сведено до состояния почти полной остановки. Достаточно указать, что за первые 6 месяцев этого года завод выпустил общим счетом 41 винтовку, а в месяц, когда была объявлена война, то есть в июле, была изготовлена всего только 1 учебная винтовка.</w:t>
      </w:r>
    </w:p>
    <w:p w14:paraId="0C517EE8" w14:textId="77777777" w:rsidR="00B67D7C" w:rsidRPr="00DE096C" w:rsidRDefault="00B67D7C" w:rsidP="00D45A46">
      <w:pPr>
        <w:jc w:val="both"/>
        <w:rPr>
          <w:bCs/>
          <w:color w:val="002060"/>
          <w:sz w:val="16"/>
          <w:szCs w:val="16"/>
        </w:rPr>
      </w:pPr>
      <w:r w:rsidRPr="00DE096C">
        <w:rPr>
          <w:bCs/>
          <w:color w:val="002060"/>
          <w:sz w:val="16"/>
          <w:szCs w:val="16"/>
        </w:rPr>
        <w:t>Тотчас после объявления войны Тульский завод получил распоряжение от ГАУ возобновить производство винтовок. Норма, до которой его нужно было довести, сначала указана не была, но в декабре 1914 г. ГАУ ее определило в 700 шт. в сутки.</w:t>
      </w:r>
    </w:p>
    <w:p w14:paraId="2D7E4DCB" w14:textId="77777777" w:rsidR="00B67D7C" w:rsidRPr="00DE096C" w:rsidRDefault="00B67D7C" w:rsidP="00D45A46">
      <w:pPr>
        <w:shd w:val="clear" w:color="auto" w:fill="FFFFFF"/>
        <w:jc w:val="both"/>
        <w:rPr>
          <w:bCs/>
          <w:i/>
          <w:color w:val="002060"/>
          <w:sz w:val="16"/>
          <w:szCs w:val="16"/>
        </w:rPr>
      </w:pPr>
    </w:p>
    <w:p w14:paraId="1D428D7E" w14:textId="77777777" w:rsidR="00B67D7C" w:rsidRPr="00DE096C" w:rsidRDefault="00B67D7C" w:rsidP="00D45A46">
      <w:pPr>
        <w:jc w:val="both"/>
        <w:rPr>
          <w:bCs/>
          <w:color w:val="002060"/>
          <w:sz w:val="16"/>
          <w:szCs w:val="16"/>
        </w:rPr>
      </w:pPr>
      <w:r w:rsidRPr="00DE096C">
        <w:rPr>
          <w:bCs/>
          <w:color w:val="002060"/>
          <w:sz w:val="16"/>
          <w:szCs w:val="16"/>
        </w:rPr>
        <w:t xml:space="preserve">В июле 1914 г. в Донецкий бассейн была командирована комиссия для обследования вопроса о возможности получения названных продуктов при процессах коксования каменного угля, ведшегося в широких размерах в том районе, но обычно без улавливания побочных продуктов коксования. </w:t>
      </w:r>
    </w:p>
    <w:p w14:paraId="1D3ADCF0" w14:textId="77777777" w:rsidR="00B67D7C" w:rsidRPr="00DE096C" w:rsidRDefault="00B67D7C" w:rsidP="00D45A46">
      <w:pPr>
        <w:jc w:val="both"/>
        <w:rPr>
          <w:bCs/>
          <w:color w:val="002060"/>
          <w:sz w:val="16"/>
          <w:szCs w:val="16"/>
        </w:rPr>
      </w:pPr>
      <w:r w:rsidRPr="00DE096C">
        <w:rPr>
          <w:bCs/>
          <w:color w:val="002060"/>
          <w:sz w:val="16"/>
          <w:szCs w:val="16"/>
        </w:rPr>
        <w:t xml:space="preserve">Объехав Донецкий бассейн, комиссия в августе 1914 г. сделала в ГАУ доклад, в коем определенно указала, что установка добычи толуола и бензола в сколько-нибудь короткий срок представляется совершенно невозможной, и признала, что единственный выход — немедля заготовлять толуол и бензол в Америке. </w:t>
      </w:r>
    </w:p>
    <w:p w14:paraId="763AA592" w14:textId="77777777" w:rsidR="00B67D7C" w:rsidRPr="00DE096C" w:rsidRDefault="00B67D7C" w:rsidP="00D45A46">
      <w:pPr>
        <w:jc w:val="both"/>
        <w:rPr>
          <w:bCs/>
          <w:color w:val="002060"/>
          <w:sz w:val="16"/>
          <w:szCs w:val="16"/>
        </w:rPr>
      </w:pPr>
      <w:r w:rsidRPr="00DE096C">
        <w:rPr>
          <w:bCs/>
          <w:color w:val="002060"/>
          <w:sz w:val="16"/>
          <w:szCs w:val="16"/>
        </w:rPr>
        <w:t xml:space="preserve">С целью выяснения возможности и условий такого заказа был командирован в Америку проф. Сапожников. Командировка эта выяснила, однако, что на Америку особенно рассчитывать нельзя, так как существовавшая там коксобензольная промышленность лишь в небольшой мере может удовлетворить громадный спрос на ароматические углеводороды, возникший со стороны России и ее союзников, и что для этого Америке придется строить новые заводы. Действительно, впоследствии выяснилось, что за 1915 и 1916 гг. войны там было выстроено 40 бензольных заводов с производительностью на 8 000 000 пудов сырого бензола в год. </w:t>
      </w:r>
    </w:p>
    <w:p w14:paraId="42EECFB2" w14:textId="77777777" w:rsidR="00B67D7C" w:rsidRPr="00DE096C" w:rsidRDefault="00B67D7C" w:rsidP="00D45A46">
      <w:pPr>
        <w:jc w:val="both"/>
        <w:rPr>
          <w:bCs/>
          <w:color w:val="002060"/>
          <w:sz w:val="16"/>
          <w:szCs w:val="16"/>
        </w:rPr>
      </w:pPr>
      <w:r w:rsidRPr="00DE096C">
        <w:rPr>
          <w:bCs/>
          <w:color w:val="002060"/>
          <w:sz w:val="16"/>
          <w:szCs w:val="16"/>
        </w:rPr>
        <w:t xml:space="preserve">Ввиду такого положения решено было вновь пересмотреть вопрос об организации производства бензола и толуола внутри страны. </w:t>
      </w:r>
    </w:p>
    <w:p w14:paraId="5EA2AAAA" w14:textId="77777777" w:rsidR="00B67D7C" w:rsidRPr="00DE096C" w:rsidRDefault="00B67D7C" w:rsidP="00D45A46">
      <w:pPr>
        <w:jc w:val="both"/>
        <w:rPr>
          <w:bCs/>
          <w:color w:val="002060"/>
          <w:sz w:val="16"/>
          <w:szCs w:val="16"/>
        </w:rPr>
      </w:pPr>
      <w:r w:rsidRPr="00DE096C">
        <w:rPr>
          <w:bCs/>
          <w:color w:val="002060"/>
          <w:sz w:val="16"/>
          <w:szCs w:val="16"/>
        </w:rPr>
        <w:t xml:space="preserve">В ноябре 1914 г. в Донецкий бассейн выехала вторая комиссия, под председательством проф. В.Н. Ипатьева. В течение месяца ею были обследованы все коксовые фабрики Донецкого бассейна. </w:t>
      </w:r>
    </w:p>
    <w:p w14:paraId="217A3525" w14:textId="77777777" w:rsidR="00B67D7C" w:rsidRPr="00DE096C" w:rsidRDefault="00B67D7C" w:rsidP="00D45A46">
      <w:pPr>
        <w:jc w:val="both"/>
        <w:rPr>
          <w:bCs/>
          <w:color w:val="002060"/>
          <w:sz w:val="16"/>
          <w:szCs w:val="16"/>
        </w:rPr>
      </w:pPr>
      <w:r w:rsidRPr="00DE096C">
        <w:rPr>
          <w:bCs/>
          <w:color w:val="002060"/>
          <w:sz w:val="16"/>
          <w:szCs w:val="16"/>
        </w:rPr>
        <w:t xml:space="preserve">Комиссия Ипатьева пришла к иным заключениям, чем предшествующая. Работы ее изложены в печатной брошюре: "Отчет Комиссии, командированной в Донецкий бассейн по вопросу о расширении выработки толуола и бензола в России". Комиссия проф. Ипатьева, излагая результаты обследования, дала категорическое заключение о полной возможности в короткий срок организовать производство названных продуктов: во-первых, путем устройства дополнительных сооружений при существующих коксовальных фабриках, имеющих печи рекуперационного типа, но без полного оборудования сооружений, улавливающих продукты коксования, а во-вторых, путем постройки новых бензоловых заводов. Комиссией был разработан план организации этого дела, в коем помимо бензола и толуола намечено было получение ряда других исходных продуктов для выработки различных взрывчатых веществ, на случай если тротила не хватит. </w:t>
      </w:r>
    </w:p>
    <w:p w14:paraId="685589CE" w14:textId="77777777" w:rsidR="00B67D7C" w:rsidRPr="00DE096C" w:rsidRDefault="00B67D7C" w:rsidP="00D45A46">
      <w:pPr>
        <w:jc w:val="both"/>
        <w:rPr>
          <w:bCs/>
          <w:color w:val="002060"/>
          <w:sz w:val="16"/>
          <w:szCs w:val="16"/>
        </w:rPr>
      </w:pPr>
      <w:r w:rsidRPr="00DE096C">
        <w:rPr>
          <w:bCs/>
          <w:color w:val="002060"/>
          <w:sz w:val="16"/>
          <w:szCs w:val="16"/>
        </w:rPr>
        <w:t xml:space="preserve">Однако Военное министерство не отнеслось с должной серьезностью к работам и проектам комиссии и колебалось принять какие-либо решительные меры. После долгих переговоров им было дано, наконец, разрешение образовать по этому делу специальную постоянную комиссию при ГАУ. Полтора месяца шла переписка между ГАУ и Военным министерством относительно положения об этой комиссии и ее правах, и только к 6 февраля 1915 г. было утверждено положение, причем она получила название "Комиссия по заготовке взрывчатых веществ". </w:t>
      </w:r>
    </w:p>
    <w:p w14:paraId="34949AF9" w14:textId="77777777" w:rsidR="00B67D7C" w:rsidRPr="00DE096C" w:rsidRDefault="00B67D7C" w:rsidP="00D45A46">
      <w:pPr>
        <w:jc w:val="both"/>
        <w:rPr>
          <w:bCs/>
          <w:color w:val="002060"/>
          <w:sz w:val="16"/>
          <w:szCs w:val="16"/>
        </w:rPr>
      </w:pPr>
      <w:r w:rsidRPr="00DE096C">
        <w:rPr>
          <w:bCs/>
          <w:color w:val="002060"/>
          <w:sz w:val="16"/>
          <w:szCs w:val="16"/>
        </w:rPr>
        <w:t xml:space="preserve">Таким образом, с августа 1914 г. было потеряно пять драгоценных месяцев, пока серьезно занялись делом первоочередной важности. </w:t>
      </w:r>
    </w:p>
    <w:p w14:paraId="440A14F4" w14:textId="77777777" w:rsidR="00B67D7C" w:rsidRPr="00DE096C" w:rsidRDefault="00B67D7C" w:rsidP="00D45A46">
      <w:pPr>
        <w:jc w:val="both"/>
        <w:rPr>
          <w:bCs/>
          <w:color w:val="002060"/>
          <w:sz w:val="16"/>
          <w:szCs w:val="16"/>
        </w:rPr>
      </w:pPr>
      <w:r w:rsidRPr="00DE096C">
        <w:rPr>
          <w:bCs/>
          <w:color w:val="002060"/>
          <w:sz w:val="16"/>
          <w:szCs w:val="16"/>
        </w:rPr>
        <w:t xml:space="preserve">Председателем комиссии был назначен проф. Ипатьев и его ближайшим сотрудником был проф. Фокин. </w:t>
      </w:r>
    </w:p>
    <w:p w14:paraId="51D2ADF4" w14:textId="77777777" w:rsidR="00B67D7C" w:rsidRPr="00DE096C" w:rsidRDefault="00B67D7C" w:rsidP="00D45A46">
      <w:pPr>
        <w:jc w:val="both"/>
        <w:rPr>
          <w:bCs/>
          <w:color w:val="002060"/>
          <w:sz w:val="16"/>
          <w:szCs w:val="16"/>
        </w:rPr>
      </w:pPr>
      <w:r w:rsidRPr="00DE096C">
        <w:rPr>
          <w:bCs/>
          <w:color w:val="002060"/>
          <w:sz w:val="16"/>
          <w:szCs w:val="16"/>
        </w:rPr>
        <w:t xml:space="preserve">Эти обстоятельства не лишили работников комиссии энергии, и она, не дожидаясь утверждения положения, а в дальнейшем и не считаясь с ним, за свой риск и страх приступила к осуществлению программы, намеченной после поездки в Донецкий бассейн. </w:t>
      </w:r>
    </w:p>
    <w:p w14:paraId="1A685743" w14:textId="77777777" w:rsidR="00B67D7C" w:rsidRPr="00DE096C" w:rsidRDefault="00B67D7C" w:rsidP="00D45A46">
      <w:pPr>
        <w:jc w:val="both"/>
        <w:rPr>
          <w:bCs/>
          <w:color w:val="002060"/>
          <w:sz w:val="16"/>
          <w:szCs w:val="16"/>
        </w:rPr>
      </w:pPr>
      <w:r w:rsidRPr="00DE096C">
        <w:rPr>
          <w:bCs/>
          <w:color w:val="002060"/>
          <w:sz w:val="16"/>
          <w:szCs w:val="16"/>
        </w:rPr>
        <w:t xml:space="preserve">На первых шагах в работе встретились большие затруднения. Представители частновладельческой коксовой промышленности неохотно шли навстречу начинаниям комиссии. С одной стороны, они боялись нарушить права германских концессионеров, которым принадлежала часть имевшихся на юге устройств для улавливания побочных продуктов коксования. С другой стороны — боялись перепроизводства бензола, толуола и нафталина и др., так как не рассчитывали, что параллельно с этими производствами могут в дальнейшем развиться те отрасли промышленности, которые, помимо военного ведомства, явятся потребителями названных продуктов, как, например, производство красителей. </w:t>
      </w:r>
    </w:p>
    <w:p w14:paraId="2FE87537" w14:textId="77777777" w:rsidR="00B67D7C" w:rsidRPr="00DE096C" w:rsidRDefault="00B67D7C" w:rsidP="00D45A46">
      <w:pPr>
        <w:jc w:val="both"/>
        <w:rPr>
          <w:bCs/>
          <w:color w:val="002060"/>
          <w:sz w:val="16"/>
          <w:szCs w:val="16"/>
        </w:rPr>
      </w:pPr>
      <w:r w:rsidRPr="00DE096C">
        <w:rPr>
          <w:bCs/>
          <w:color w:val="002060"/>
          <w:sz w:val="16"/>
          <w:szCs w:val="16"/>
        </w:rPr>
        <w:t xml:space="preserve">Первая фирма, с которой удалось договориться, была фирма Оливье Пьетт (бельгийская, в Макеевке). В течение января 1915 г. Комиссия разработала договор, согласно коего Пьетт должен соорудить у себя на заводе установку для улавливания сырого бензола, а также ректификационный завод для фракционирования бензола, как своего, так и того, который будет доставляться с других заводов. Контрактный срок начала поставки был выполнен Пьеттом с незначительным опозданием (август 1915 г. вместо июля). Фирма начала постройки в феврале 1915 г., еще до утверждения договора с ней. Цена на ректификацию бензола была калькулирована 50 коп. за пуд вместо 9 руб., которые платили в мирное время за то же Тентелевскому заводу. </w:t>
      </w:r>
    </w:p>
    <w:p w14:paraId="03E58A96" w14:textId="77777777" w:rsidR="00B67D7C" w:rsidRPr="00DE096C" w:rsidRDefault="00B67D7C" w:rsidP="00D45A46">
      <w:pPr>
        <w:jc w:val="both"/>
        <w:rPr>
          <w:bCs/>
          <w:color w:val="002060"/>
          <w:sz w:val="16"/>
          <w:szCs w:val="16"/>
        </w:rPr>
      </w:pPr>
      <w:r w:rsidRPr="00DE096C">
        <w:rPr>
          <w:bCs/>
          <w:color w:val="002060"/>
          <w:sz w:val="16"/>
          <w:szCs w:val="16"/>
        </w:rPr>
        <w:t xml:space="preserve">Вслед за этим Комиссия вступила в переговоры с Южно-Днепровским обществом в Кадиевке о постройке установок для улавливания сырого бензола. Но Общество отказалось взять на себя постройку, так как было связано с одной германской фирмой десятилетним контрактом, согласно коего этой фирме принадлежало право использования всех продуктов коксования кадиевских печей. </w:t>
      </w:r>
    </w:p>
    <w:p w14:paraId="18025A89" w14:textId="77777777" w:rsidR="00B67D7C" w:rsidRPr="00DE096C" w:rsidRDefault="00B67D7C" w:rsidP="00D45A46">
      <w:pPr>
        <w:jc w:val="both"/>
        <w:rPr>
          <w:bCs/>
          <w:color w:val="002060"/>
          <w:sz w:val="16"/>
          <w:szCs w:val="16"/>
        </w:rPr>
      </w:pPr>
      <w:r w:rsidRPr="00DE096C">
        <w:rPr>
          <w:bCs/>
          <w:color w:val="002060"/>
          <w:sz w:val="16"/>
          <w:szCs w:val="16"/>
        </w:rPr>
        <w:t xml:space="preserve">Ввиду этого ГАУ признало необходимым самостоятельно предпринять постройку казенного бензолового завода при кадиевских коксовых печах, из продукции которых можно было бы получать до 200 тыс. [пудов в год] сырого бензола. После долгих колебаний Военное министерство дало, наконец, в феврале 1915 г. согласие на постройку завода. </w:t>
      </w:r>
    </w:p>
    <w:p w14:paraId="2D57FC88" w14:textId="77777777" w:rsidR="00B67D7C" w:rsidRPr="00DE096C" w:rsidRDefault="00B67D7C" w:rsidP="00D45A46">
      <w:pPr>
        <w:jc w:val="both"/>
        <w:rPr>
          <w:bCs/>
          <w:color w:val="002060"/>
          <w:sz w:val="16"/>
          <w:szCs w:val="16"/>
        </w:rPr>
      </w:pPr>
      <w:r w:rsidRPr="00DE096C">
        <w:rPr>
          <w:bCs/>
          <w:color w:val="002060"/>
          <w:sz w:val="16"/>
          <w:szCs w:val="16"/>
        </w:rPr>
        <w:t xml:space="preserve">Постройка велась строительной комиссией под председательством В.Н. Ипатьева. Южно-Днепровское Общество оказывало работе Комиссии деятельную помощь. Завод был готов 20 августа 1915 г., на полтора месяца ранее назначенного срока. Завод тотчас был пущен в ход и давал бензол по ценам, которые не превосходили цен мирного времени на германских бензоловых заводах, и, таким образом, расходы на сооружение завода должны были быстро окупиться. </w:t>
      </w:r>
    </w:p>
    <w:p w14:paraId="237FC12E" w14:textId="77777777" w:rsidR="00B67D7C" w:rsidRPr="00DE096C" w:rsidRDefault="00B67D7C" w:rsidP="00D45A46">
      <w:pPr>
        <w:jc w:val="both"/>
        <w:rPr>
          <w:bCs/>
          <w:color w:val="002060"/>
          <w:sz w:val="16"/>
          <w:szCs w:val="16"/>
        </w:rPr>
      </w:pPr>
      <w:r w:rsidRPr="00DE096C">
        <w:rPr>
          <w:bCs/>
          <w:color w:val="002060"/>
          <w:sz w:val="16"/>
          <w:szCs w:val="16"/>
        </w:rPr>
        <w:t xml:space="preserve">Постройка Макеевского и в особенности Кадиевского казенного завода сыграла огромную роль в деле насаждения на Юге коксобензольной промышленности. Как только выяснилось, что постройка этих заводов идет успешно, частные предприниматели нашли в себе, наконец, решимость взяться за дело, и в ГАУ стали поступать от них предложения на поставку бензола и толуола, при условии выдачи авансов на постройку заводов. </w:t>
      </w:r>
    </w:p>
    <w:p w14:paraId="7722B808" w14:textId="77777777" w:rsidR="00B67D7C" w:rsidRPr="00DE096C" w:rsidRDefault="00B67D7C" w:rsidP="00D45A46">
      <w:pPr>
        <w:jc w:val="both"/>
        <w:rPr>
          <w:bCs/>
          <w:color w:val="002060"/>
          <w:sz w:val="16"/>
          <w:szCs w:val="16"/>
        </w:rPr>
      </w:pPr>
      <w:r w:rsidRPr="00DE096C">
        <w:rPr>
          <w:bCs/>
          <w:color w:val="002060"/>
          <w:sz w:val="16"/>
          <w:szCs w:val="16"/>
        </w:rPr>
        <w:t xml:space="preserve">В дальнейшем таким порядком предпринята была постройка до 20 бензольных заводов не только в Донецком бассейне, но и в Сибири, в Кузнецком бассейне. </w:t>
      </w:r>
    </w:p>
    <w:p w14:paraId="09FAFF33" w14:textId="77777777" w:rsidR="00B67D7C" w:rsidRPr="00DE096C" w:rsidRDefault="00B67D7C" w:rsidP="00D45A46">
      <w:pPr>
        <w:jc w:val="both"/>
        <w:rPr>
          <w:bCs/>
          <w:color w:val="002060"/>
          <w:sz w:val="16"/>
          <w:szCs w:val="16"/>
        </w:rPr>
      </w:pPr>
      <w:r w:rsidRPr="00DE096C">
        <w:rPr>
          <w:bCs/>
          <w:color w:val="002060"/>
          <w:sz w:val="16"/>
          <w:szCs w:val="16"/>
        </w:rPr>
        <w:t xml:space="preserve">Фактический рост за время войны бензольных заводов в Донецком бассейне виден из следующей таблицы, где цифры указывают общее наличие заводов к означенным датам: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88"/>
        <w:gridCol w:w="684"/>
      </w:tblGrid>
      <w:tr w:rsidR="00B67D7C" w:rsidRPr="00DE096C" w14:paraId="1470830F" w14:textId="77777777" w:rsidTr="00C2024A">
        <w:tc>
          <w:tcPr>
            <w:tcW w:w="1788" w:type="dxa"/>
          </w:tcPr>
          <w:p w14:paraId="7D1CF767" w14:textId="77777777" w:rsidR="00B67D7C" w:rsidRPr="00DE096C" w:rsidRDefault="00B67D7C" w:rsidP="00D45A46">
            <w:pPr>
              <w:jc w:val="both"/>
              <w:rPr>
                <w:bCs/>
                <w:color w:val="002060"/>
                <w:sz w:val="16"/>
                <w:szCs w:val="16"/>
              </w:rPr>
            </w:pPr>
            <w:r w:rsidRPr="00DE096C">
              <w:rPr>
                <w:bCs/>
                <w:color w:val="002060"/>
                <w:sz w:val="16"/>
                <w:szCs w:val="16"/>
              </w:rPr>
              <w:t xml:space="preserve">1915 г.: </w:t>
            </w:r>
          </w:p>
        </w:tc>
        <w:tc>
          <w:tcPr>
            <w:tcW w:w="684" w:type="dxa"/>
          </w:tcPr>
          <w:p w14:paraId="5B4C2D3E" w14:textId="77777777" w:rsidR="00B67D7C" w:rsidRPr="00DE096C" w:rsidRDefault="00B67D7C" w:rsidP="00D45A46">
            <w:pPr>
              <w:jc w:val="both"/>
              <w:rPr>
                <w:bCs/>
                <w:color w:val="002060"/>
                <w:sz w:val="16"/>
                <w:szCs w:val="16"/>
              </w:rPr>
            </w:pPr>
            <w:r w:rsidRPr="00DE096C">
              <w:rPr>
                <w:bCs/>
                <w:color w:val="002060"/>
                <w:sz w:val="16"/>
                <w:szCs w:val="16"/>
              </w:rPr>
              <w:t> </w:t>
            </w:r>
          </w:p>
        </w:tc>
      </w:tr>
      <w:tr w:rsidR="00B67D7C" w:rsidRPr="00DE096C" w14:paraId="489F25D4" w14:textId="77777777" w:rsidTr="00C2024A">
        <w:tc>
          <w:tcPr>
            <w:tcW w:w="1788" w:type="dxa"/>
          </w:tcPr>
          <w:p w14:paraId="3B60A0A1" w14:textId="77777777" w:rsidR="00B67D7C" w:rsidRPr="00DE096C" w:rsidRDefault="00B67D7C" w:rsidP="00D45A46">
            <w:pPr>
              <w:jc w:val="both"/>
              <w:rPr>
                <w:bCs/>
                <w:color w:val="002060"/>
                <w:sz w:val="16"/>
                <w:szCs w:val="16"/>
              </w:rPr>
            </w:pPr>
            <w:r w:rsidRPr="00DE096C">
              <w:rPr>
                <w:bCs/>
                <w:color w:val="002060"/>
                <w:sz w:val="16"/>
                <w:szCs w:val="16"/>
              </w:rPr>
              <w:t>Февраль</w:t>
            </w:r>
          </w:p>
        </w:tc>
        <w:tc>
          <w:tcPr>
            <w:tcW w:w="684" w:type="dxa"/>
          </w:tcPr>
          <w:p w14:paraId="04FF1396" w14:textId="77777777" w:rsidR="00B67D7C" w:rsidRPr="00DE096C" w:rsidRDefault="00B67D7C" w:rsidP="00D45A46">
            <w:pPr>
              <w:jc w:val="both"/>
              <w:rPr>
                <w:bCs/>
                <w:color w:val="002060"/>
                <w:sz w:val="16"/>
                <w:szCs w:val="16"/>
              </w:rPr>
            </w:pPr>
            <w:r w:rsidRPr="00DE096C">
              <w:rPr>
                <w:bCs/>
                <w:color w:val="002060"/>
                <w:sz w:val="16"/>
                <w:szCs w:val="16"/>
              </w:rPr>
              <w:t xml:space="preserve">3 </w:t>
            </w:r>
          </w:p>
        </w:tc>
      </w:tr>
      <w:tr w:rsidR="00B67D7C" w:rsidRPr="00DE096C" w14:paraId="5824E211" w14:textId="77777777" w:rsidTr="00C2024A">
        <w:tc>
          <w:tcPr>
            <w:tcW w:w="1788" w:type="dxa"/>
          </w:tcPr>
          <w:p w14:paraId="1C7B02AB" w14:textId="77777777" w:rsidR="00B67D7C" w:rsidRPr="00DE096C" w:rsidRDefault="00B67D7C" w:rsidP="00D45A46">
            <w:pPr>
              <w:jc w:val="both"/>
              <w:rPr>
                <w:bCs/>
                <w:color w:val="002060"/>
                <w:sz w:val="16"/>
                <w:szCs w:val="16"/>
              </w:rPr>
            </w:pPr>
            <w:r w:rsidRPr="00DE096C">
              <w:rPr>
                <w:bCs/>
                <w:color w:val="002060"/>
                <w:sz w:val="16"/>
                <w:szCs w:val="16"/>
              </w:rPr>
              <w:t>Июнь</w:t>
            </w:r>
          </w:p>
        </w:tc>
        <w:tc>
          <w:tcPr>
            <w:tcW w:w="684" w:type="dxa"/>
          </w:tcPr>
          <w:p w14:paraId="36222CFE" w14:textId="77777777" w:rsidR="00B67D7C" w:rsidRPr="00DE096C" w:rsidRDefault="00B67D7C" w:rsidP="00D45A46">
            <w:pPr>
              <w:jc w:val="both"/>
              <w:rPr>
                <w:bCs/>
                <w:color w:val="002060"/>
                <w:sz w:val="16"/>
                <w:szCs w:val="16"/>
              </w:rPr>
            </w:pPr>
            <w:r w:rsidRPr="00DE096C">
              <w:rPr>
                <w:bCs/>
                <w:color w:val="002060"/>
                <w:sz w:val="16"/>
                <w:szCs w:val="16"/>
              </w:rPr>
              <w:t xml:space="preserve">4 </w:t>
            </w:r>
          </w:p>
        </w:tc>
      </w:tr>
      <w:tr w:rsidR="00B67D7C" w:rsidRPr="00DE096C" w14:paraId="367A7738" w14:textId="77777777" w:rsidTr="00C2024A">
        <w:tc>
          <w:tcPr>
            <w:tcW w:w="1788" w:type="dxa"/>
          </w:tcPr>
          <w:p w14:paraId="1A017F31" w14:textId="77777777" w:rsidR="00B67D7C" w:rsidRPr="00DE096C" w:rsidRDefault="00B67D7C" w:rsidP="00D45A46">
            <w:pPr>
              <w:jc w:val="both"/>
              <w:rPr>
                <w:bCs/>
                <w:color w:val="002060"/>
                <w:sz w:val="16"/>
                <w:szCs w:val="16"/>
              </w:rPr>
            </w:pPr>
            <w:r w:rsidRPr="00DE096C">
              <w:rPr>
                <w:bCs/>
                <w:color w:val="002060"/>
                <w:sz w:val="16"/>
                <w:szCs w:val="16"/>
              </w:rPr>
              <w:t>Июль</w:t>
            </w:r>
          </w:p>
        </w:tc>
        <w:tc>
          <w:tcPr>
            <w:tcW w:w="684" w:type="dxa"/>
          </w:tcPr>
          <w:p w14:paraId="46794C8C" w14:textId="77777777" w:rsidR="00B67D7C" w:rsidRPr="00DE096C" w:rsidRDefault="00B67D7C" w:rsidP="00D45A46">
            <w:pPr>
              <w:jc w:val="both"/>
              <w:rPr>
                <w:bCs/>
                <w:color w:val="002060"/>
                <w:sz w:val="16"/>
                <w:szCs w:val="16"/>
              </w:rPr>
            </w:pPr>
            <w:r w:rsidRPr="00DE096C">
              <w:rPr>
                <w:bCs/>
                <w:color w:val="002060"/>
                <w:sz w:val="16"/>
                <w:szCs w:val="16"/>
              </w:rPr>
              <w:t xml:space="preserve">5 </w:t>
            </w:r>
          </w:p>
        </w:tc>
      </w:tr>
      <w:tr w:rsidR="00B67D7C" w:rsidRPr="00DE096C" w14:paraId="751588BC" w14:textId="77777777" w:rsidTr="00C2024A">
        <w:tc>
          <w:tcPr>
            <w:tcW w:w="1788" w:type="dxa"/>
          </w:tcPr>
          <w:p w14:paraId="133C6973" w14:textId="77777777" w:rsidR="00B67D7C" w:rsidRPr="00DE096C" w:rsidRDefault="00B67D7C" w:rsidP="00D45A46">
            <w:pPr>
              <w:jc w:val="both"/>
              <w:rPr>
                <w:bCs/>
                <w:color w:val="002060"/>
                <w:sz w:val="16"/>
                <w:szCs w:val="16"/>
              </w:rPr>
            </w:pPr>
            <w:r w:rsidRPr="00DE096C">
              <w:rPr>
                <w:bCs/>
                <w:color w:val="002060"/>
                <w:sz w:val="16"/>
                <w:szCs w:val="16"/>
              </w:rPr>
              <w:t>Сентябрь</w:t>
            </w:r>
          </w:p>
        </w:tc>
        <w:tc>
          <w:tcPr>
            <w:tcW w:w="684" w:type="dxa"/>
          </w:tcPr>
          <w:p w14:paraId="0FA62CE8" w14:textId="77777777" w:rsidR="00B67D7C" w:rsidRPr="00DE096C" w:rsidRDefault="00B67D7C" w:rsidP="00D45A46">
            <w:pPr>
              <w:jc w:val="both"/>
              <w:rPr>
                <w:bCs/>
                <w:color w:val="002060"/>
                <w:sz w:val="16"/>
                <w:szCs w:val="16"/>
              </w:rPr>
            </w:pPr>
            <w:r w:rsidRPr="00DE096C">
              <w:rPr>
                <w:bCs/>
                <w:color w:val="002060"/>
                <w:sz w:val="16"/>
                <w:szCs w:val="16"/>
              </w:rPr>
              <w:t xml:space="preserve">7 </w:t>
            </w:r>
          </w:p>
        </w:tc>
      </w:tr>
      <w:tr w:rsidR="00B67D7C" w:rsidRPr="00DE096C" w14:paraId="7E6B86E7" w14:textId="77777777" w:rsidTr="00C2024A">
        <w:tc>
          <w:tcPr>
            <w:tcW w:w="1788" w:type="dxa"/>
          </w:tcPr>
          <w:p w14:paraId="562B86F0" w14:textId="77777777" w:rsidR="00B67D7C" w:rsidRPr="00DE096C" w:rsidRDefault="00B67D7C" w:rsidP="00D45A46">
            <w:pPr>
              <w:jc w:val="both"/>
              <w:rPr>
                <w:bCs/>
                <w:color w:val="002060"/>
                <w:sz w:val="16"/>
                <w:szCs w:val="16"/>
              </w:rPr>
            </w:pPr>
            <w:r w:rsidRPr="00DE096C">
              <w:rPr>
                <w:bCs/>
                <w:color w:val="002060"/>
                <w:sz w:val="16"/>
                <w:szCs w:val="16"/>
              </w:rPr>
              <w:t>Ноябрь</w:t>
            </w:r>
          </w:p>
        </w:tc>
        <w:tc>
          <w:tcPr>
            <w:tcW w:w="684" w:type="dxa"/>
          </w:tcPr>
          <w:p w14:paraId="5EE47BBA" w14:textId="77777777" w:rsidR="00B67D7C" w:rsidRPr="00DE096C" w:rsidRDefault="00B67D7C" w:rsidP="00D45A46">
            <w:pPr>
              <w:jc w:val="both"/>
              <w:rPr>
                <w:bCs/>
                <w:color w:val="002060"/>
                <w:sz w:val="16"/>
                <w:szCs w:val="16"/>
              </w:rPr>
            </w:pPr>
            <w:r w:rsidRPr="00DE096C">
              <w:rPr>
                <w:bCs/>
                <w:color w:val="002060"/>
                <w:sz w:val="16"/>
                <w:szCs w:val="16"/>
              </w:rPr>
              <w:t xml:space="preserve">8 </w:t>
            </w:r>
          </w:p>
        </w:tc>
      </w:tr>
      <w:tr w:rsidR="00B67D7C" w:rsidRPr="00DE096C" w14:paraId="70B9B01F" w14:textId="77777777" w:rsidTr="00C2024A">
        <w:tc>
          <w:tcPr>
            <w:tcW w:w="1788" w:type="dxa"/>
          </w:tcPr>
          <w:p w14:paraId="7E23412D" w14:textId="77777777" w:rsidR="00B67D7C" w:rsidRPr="00DE096C" w:rsidRDefault="00B67D7C" w:rsidP="00D45A46">
            <w:pPr>
              <w:jc w:val="both"/>
              <w:rPr>
                <w:bCs/>
                <w:color w:val="002060"/>
                <w:sz w:val="16"/>
                <w:szCs w:val="16"/>
              </w:rPr>
            </w:pPr>
            <w:r w:rsidRPr="00DE096C">
              <w:rPr>
                <w:bCs/>
                <w:color w:val="002060"/>
                <w:sz w:val="16"/>
                <w:szCs w:val="16"/>
              </w:rPr>
              <w:t xml:space="preserve">1916 г.: </w:t>
            </w:r>
          </w:p>
        </w:tc>
        <w:tc>
          <w:tcPr>
            <w:tcW w:w="684" w:type="dxa"/>
          </w:tcPr>
          <w:p w14:paraId="298865E4" w14:textId="77777777" w:rsidR="00B67D7C" w:rsidRPr="00DE096C" w:rsidRDefault="00B67D7C" w:rsidP="00D45A46">
            <w:pPr>
              <w:jc w:val="both"/>
              <w:rPr>
                <w:bCs/>
                <w:color w:val="002060"/>
                <w:sz w:val="16"/>
                <w:szCs w:val="16"/>
              </w:rPr>
            </w:pPr>
            <w:r w:rsidRPr="00DE096C">
              <w:rPr>
                <w:bCs/>
                <w:color w:val="002060"/>
                <w:sz w:val="16"/>
                <w:szCs w:val="16"/>
              </w:rPr>
              <w:t> </w:t>
            </w:r>
          </w:p>
        </w:tc>
      </w:tr>
      <w:tr w:rsidR="00B67D7C" w:rsidRPr="00DE096C" w14:paraId="6B9D30EF" w14:textId="77777777" w:rsidTr="00C2024A">
        <w:tc>
          <w:tcPr>
            <w:tcW w:w="1788" w:type="dxa"/>
          </w:tcPr>
          <w:p w14:paraId="1EA67C5E" w14:textId="77777777" w:rsidR="00B67D7C" w:rsidRPr="00DE096C" w:rsidRDefault="00B67D7C" w:rsidP="00D45A46">
            <w:pPr>
              <w:jc w:val="both"/>
              <w:rPr>
                <w:bCs/>
                <w:color w:val="002060"/>
                <w:sz w:val="16"/>
                <w:szCs w:val="16"/>
              </w:rPr>
            </w:pPr>
            <w:r w:rsidRPr="00DE096C">
              <w:rPr>
                <w:bCs/>
                <w:color w:val="002060"/>
                <w:sz w:val="16"/>
                <w:szCs w:val="16"/>
              </w:rPr>
              <w:t>Август</w:t>
            </w:r>
          </w:p>
        </w:tc>
        <w:tc>
          <w:tcPr>
            <w:tcW w:w="684" w:type="dxa"/>
          </w:tcPr>
          <w:p w14:paraId="73FDD339" w14:textId="77777777" w:rsidR="00B67D7C" w:rsidRPr="00DE096C" w:rsidRDefault="00B67D7C" w:rsidP="00D45A46">
            <w:pPr>
              <w:jc w:val="both"/>
              <w:rPr>
                <w:bCs/>
                <w:color w:val="002060"/>
                <w:sz w:val="16"/>
                <w:szCs w:val="16"/>
              </w:rPr>
            </w:pPr>
            <w:r w:rsidRPr="00DE096C">
              <w:rPr>
                <w:bCs/>
                <w:color w:val="002060"/>
                <w:sz w:val="16"/>
                <w:szCs w:val="16"/>
              </w:rPr>
              <w:t xml:space="preserve">10 </w:t>
            </w:r>
          </w:p>
        </w:tc>
      </w:tr>
      <w:tr w:rsidR="00B67D7C" w:rsidRPr="00DE096C" w14:paraId="7FF7DE2A" w14:textId="77777777" w:rsidTr="00C2024A">
        <w:tc>
          <w:tcPr>
            <w:tcW w:w="1788" w:type="dxa"/>
          </w:tcPr>
          <w:p w14:paraId="086B2B27" w14:textId="77777777" w:rsidR="00B67D7C" w:rsidRPr="00DE096C" w:rsidRDefault="00B67D7C" w:rsidP="00D45A46">
            <w:pPr>
              <w:jc w:val="both"/>
              <w:rPr>
                <w:bCs/>
                <w:color w:val="002060"/>
                <w:sz w:val="16"/>
                <w:szCs w:val="16"/>
              </w:rPr>
            </w:pPr>
            <w:r w:rsidRPr="00DE096C">
              <w:rPr>
                <w:bCs/>
                <w:color w:val="002060"/>
                <w:sz w:val="16"/>
                <w:szCs w:val="16"/>
              </w:rPr>
              <w:t>Сентябрь</w:t>
            </w:r>
          </w:p>
        </w:tc>
        <w:tc>
          <w:tcPr>
            <w:tcW w:w="684" w:type="dxa"/>
          </w:tcPr>
          <w:p w14:paraId="1263210E" w14:textId="77777777" w:rsidR="00B67D7C" w:rsidRPr="00DE096C" w:rsidRDefault="00B67D7C" w:rsidP="00D45A46">
            <w:pPr>
              <w:jc w:val="both"/>
              <w:rPr>
                <w:bCs/>
                <w:color w:val="002060"/>
                <w:sz w:val="16"/>
                <w:szCs w:val="16"/>
              </w:rPr>
            </w:pPr>
            <w:r w:rsidRPr="00DE096C">
              <w:rPr>
                <w:bCs/>
                <w:color w:val="002060"/>
                <w:sz w:val="16"/>
                <w:szCs w:val="16"/>
              </w:rPr>
              <w:t xml:space="preserve">11 </w:t>
            </w:r>
          </w:p>
        </w:tc>
      </w:tr>
      <w:tr w:rsidR="00B67D7C" w:rsidRPr="00DE096C" w14:paraId="5829B30B" w14:textId="77777777" w:rsidTr="00C2024A">
        <w:tc>
          <w:tcPr>
            <w:tcW w:w="1788" w:type="dxa"/>
          </w:tcPr>
          <w:p w14:paraId="6312E76B" w14:textId="77777777" w:rsidR="00B67D7C" w:rsidRPr="00DE096C" w:rsidRDefault="00B67D7C" w:rsidP="00D45A46">
            <w:pPr>
              <w:jc w:val="both"/>
              <w:rPr>
                <w:bCs/>
                <w:color w:val="002060"/>
                <w:sz w:val="16"/>
                <w:szCs w:val="16"/>
              </w:rPr>
            </w:pPr>
            <w:r w:rsidRPr="00DE096C">
              <w:rPr>
                <w:bCs/>
                <w:color w:val="002060"/>
                <w:sz w:val="16"/>
                <w:szCs w:val="16"/>
              </w:rPr>
              <w:t>Ноябрь</w:t>
            </w:r>
          </w:p>
        </w:tc>
        <w:tc>
          <w:tcPr>
            <w:tcW w:w="684" w:type="dxa"/>
          </w:tcPr>
          <w:p w14:paraId="6744DEF1" w14:textId="77777777" w:rsidR="00B67D7C" w:rsidRPr="00DE096C" w:rsidRDefault="00B67D7C" w:rsidP="00D45A46">
            <w:pPr>
              <w:jc w:val="both"/>
              <w:rPr>
                <w:bCs/>
                <w:color w:val="002060"/>
                <w:sz w:val="16"/>
                <w:szCs w:val="16"/>
              </w:rPr>
            </w:pPr>
            <w:r w:rsidRPr="00DE096C">
              <w:rPr>
                <w:bCs/>
                <w:color w:val="002060"/>
                <w:sz w:val="16"/>
                <w:szCs w:val="16"/>
              </w:rPr>
              <w:t xml:space="preserve">12 </w:t>
            </w:r>
          </w:p>
        </w:tc>
      </w:tr>
      <w:tr w:rsidR="00B67D7C" w:rsidRPr="00DE096C" w14:paraId="3485F927" w14:textId="77777777" w:rsidTr="00C2024A">
        <w:tc>
          <w:tcPr>
            <w:tcW w:w="1788" w:type="dxa"/>
          </w:tcPr>
          <w:p w14:paraId="52C691A0" w14:textId="77777777" w:rsidR="00B67D7C" w:rsidRPr="00DE096C" w:rsidRDefault="00B67D7C" w:rsidP="00D45A46">
            <w:pPr>
              <w:jc w:val="both"/>
              <w:rPr>
                <w:bCs/>
                <w:color w:val="002060"/>
                <w:sz w:val="16"/>
                <w:szCs w:val="16"/>
              </w:rPr>
            </w:pPr>
            <w:r w:rsidRPr="00DE096C">
              <w:rPr>
                <w:bCs/>
                <w:color w:val="002060"/>
                <w:sz w:val="16"/>
                <w:szCs w:val="16"/>
              </w:rPr>
              <w:t>Декабрь</w:t>
            </w:r>
          </w:p>
        </w:tc>
        <w:tc>
          <w:tcPr>
            <w:tcW w:w="684" w:type="dxa"/>
          </w:tcPr>
          <w:p w14:paraId="26CD7ECB" w14:textId="77777777" w:rsidR="00B67D7C" w:rsidRPr="00DE096C" w:rsidRDefault="00B67D7C" w:rsidP="00D45A46">
            <w:pPr>
              <w:jc w:val="both"/>
              <w:rPr>
                <w:bCs/>
                <w:color w:val="002060"/>
                <w:sz w:val="16"/>
                <w:szCs w:val="16"/>
              </w:rPr>
            </w:pPr>
            <w:r w:rsidRPr="00DE096C">
              <w:rPr>
                <w:bCs/>
                <w:color w:val="002060"/>
                <w:sz w:val="16"/>
                <w:szCs w:val="16"/>
              </w:rPr>
              <w:t xml:space="preserve">14 </w:t>
            </w:r>
          </w:p>
        </w:tc>
      </w:tr>
      <w:tr w:rsidR="00B67D7C" w:rsidRPr="00DE096C" w14:paraId="7F2593A5" w14:textId="77777777" w:rsidTr="00C2024A">
        <w:tc>
          <w:tcPr>
            <w:tcW w:w="1788" w:type="dxa"/>
          </w:tcPr>
          <w:p w14:paraId="12B42AFB" w14:textId="77777777" w:rsidR="00B67D7C" w:rsidRPr="00DE096C" w:rsidRDefault="00B67D7C" w:rsidP="00D45A46">
            <w:pPr>
              <w:jc w:val="both"/>
              <w:rPr>
                <w:bCs/>
                <w:color w:val="002060"/>
                <w:sz w:val="16"/>
                <w:szCs w:val="16"/>
              </w:rPr>
            </w:pPr>
            <w:r w:rsidRPr="00DE096C">
              <w:rPr>
                <w:bCs/>
                <w:color w:val="002060"/>
                <w:sz w:val="16"/>
                <w:szCs w:val="16"/>
              </w:rPr>
              <w:t xml:space="preserve">1917 г.: </w:t>
            </w:r>
          </w:p>
        </w:tc>
        <w:tc>
          <w:tcPr>
            <w:tcW w:w="684" w:type="dxa"/>
          </w:tcPr>
          <w:p w14:paraId="24E1A28C" w14:textId="77777777" w:rsidR="00B67D7C" w:rsidRPr="00DE096C" w:rsidRDefault="00B67D7C" w:rsidP="00D45A46">
            <w:pPr>
              <w:jc w:val="both"/>
              <w:rPr>
                <w:bCs/>
                <w:color w:val="002060"/>
                <w:sz w:val="16"/>
                <w:szCs w:val="16"/>
              </w:rPr>
            </w:pPr>
            <w:r w:rsidRPr="00DE096C">
              <w:rPr>
                <w:bCs/>
                <w:color w:val="002060"/>
                <w:sz w:val="16"/>
                <w:szCs w:val="16"/>
              </w:rPr>
              <w:t> </w:t>
            </w:r>
          </w:p>
        </w:tc>
      </w:tr>
      <w:tr w:rsidR="00B67D7C" w:rsidRPr="00DE096C" w14:paraId="7D5443C4" w14:textId="77777777" w:rsidTr="00C2024A">
        <w:tc>
          <w:tcPr>
            <w:tcW w:w="1788" w:type="dxa"/>
          </w:tcPr>
          <w:p w14:paraId="5F9E2962" w14:textId="77777777" w:rsidR="00B67D7C" w:rsidRPr="00DE096C" w:rsidRDefault="00B67D7C" w:rsidP="00D45A46">
            <w:pPr>
              <w:jc w:val="both"/>
              <w:rPr>
                <w:bCs/>
                <w:color w:val="002060"/>
                <w:sz w:val="16"/>
                <w:szCs w:val="16"/>
              </w:rPr>
            </w:pPr>
            <w:r w:rsidRPr="00DE096C">
              <w:rPr>
                <w:bCs/>
                <w:color w:val="002060"/>
                <w:sz w:val="16"/>
                <w:szCs w:val="16"/>
              </w:rPr>
              <w:t>Январь</w:t>
            </w:r>
          </w:p>
        </w:tc>
        <w:tc>
          <w:tcPr>
            <w:tcW w:w="684" w:type="dxa"/>
          </w:tcPr>
          <w:p w14:paraId="51A68BF6" w14:textId="77777777" w:rsidR="00B67D7C" w:rsidRPr="00DE096C" w:rsidRDefault="00B67D7C" w:rsidP="00D45A46">
            <w:pPr>
              <w:jc w:val="both"/>
              <w:rPr>
                <w:bCs/>
                <w:color w:val="002060"/>
                <w:sz w:val="16"/>
                <w:szCs w:val="16"/>
              </w:rPr>
            </w:pPr>
            <w:r w:rsidRPr="00DE096C">
              <w:rPr>
                <w:bCs/>
                <w:color w:val="002060"/>
                <w:sz w:val="16"/>
                <w:szCs w:val="16"/>
              </w:rPr>
              <w:t xml:space="preserve">15 </w:t>
            </w:r>
          </w:p>
        </w:tc>
      </w:tr>
    </w:tbl>
    <w:p w14:paraId="24B8A985" w14:textId="77777777" w:rsidR="00B67D7C" w:rsidRPr="00DE096C" w:rsidRDefault="00B67D7C" w:rsidP="00D45A46">
      <w:pPr>
        <w:jc w:val="both"/>
        <w:rPr>
          <w:bCs/>
          <w:color w:val="002060"/>
          <w:sz w:val="16"/>
          <w:szCs w:val="16"/>
        </w:rPr>
      </w:pPr>
      <w:r w:rsidRPr="00DE096C">
        <w:rPr>
          <w:bCs/>
          <w:color w:val="002060"/>
          <w:sz w:val="16"/>
          <w:szCs w:val="16"/>
        </w:rPr>
        <w:t xml:space="preserve">Добывание бензола, толуола и др. побочных продуктов коксования каменного угля явилось совершенно новой у нас отраслью промышленности. До войны этим путем добывались исключительно сернокислый аммоний, нашатырный спирт, каменноугольная смола и др. Более ценные продукты — бензол, толуол, антрацен и др. получались лишь в весьма незначительном количестве на трех заводах: в Енакиеве, Байраке и Щербинском. </w:t>
      </w:r>
    </w:p>
    <w:p w14:paraId="5B4C1BC5" w14:textId="77777777" w:rsidR="00B67D7C" w:rsidRPr="00DE096C" w:rsidRDefault="00B67D7C" w:rsidP="00D45A46">
      <w:pPr>
        <w:jc w:val="both"/>
        <w:rPr>
          <w:bCs/>
          <w:color w:val="002060"/>
          <w:sz w:val="16"/>
          <w:szCs w:val="16"/>
        </w:rPr>
      </w:pPr>
      <w:r w:rsidRPr="00DE096C">
        <w:rPr>
          <w:bCs/>
          <w:color w:val="002060"/>
          <w:sz w:val="16"/>
          <w:szCs w:val="16"/>
        </w:rPr>
        <w:t xml:space="preserve">Бензоловые заводы представляют подлинную здоровую базу для питания необходимыми материалами важнейшей отрасли военной промышленности, вырабатывающей взрывчатые вещества. В то же время эти заводы нужны были и мирной промышленности для красящих веществ, фармацевтических средств, </w:t>
      </w:r>
      <w:r w:rsidRPr="00DE096C">
        <w:rPr>
          <w:bCs/>
          <w:color w:val="002060"/>
          <w:sz w:val="16"/>
          <w:szCs w:val="16"/>
        </w:rPr>
        <w:lastRenderedPageBreak/>
        <w:t>медицинских препаратов и т.д. Эти последние отрасли ранее черпали всегда сырье из Германии, и широкое развитие коксобензольной промышленности освободило бы всю нашу химическую промышленность, как военную, так и гражданскую, от иностранной зависимости.</w:t>
      </w:r>
    </w:p>
    <w:p w14:paraId="11D24736" w14:textId="77777777" w:rsidR="00B67D7C" w:rsidRPr="00DE096C" w:rsidRDefault="00B67D7C" w:rsidP="00D45A46">
      <w:pPr>
        <w:jc w:val="both"/>
        <w:rPr>
          <w:bCs/>
          <w:color w:val="002060"/>
          <w:sz w:val="16"/>
          <w:szCs w:val="16"/>
        </w:rPr>
      </w:pPr>
      <w:r w:rsidRPr="00DE096C">
        <w:rPr>
          <w:bCs/>
          <w:color w:val="002060"/>
          <w:sz w:val="16"/>
          <w:szCs w:val="16"/>
        </w:rPr>
        <w:t xml:space="preserve">В 1914 г. в Донецком бассейне существовало 6150 коксовальных печей. Из них только 1268, при 13 коксовых заводах, были приспособлены к частичному улавливанию побочных продуктов коксования: 10 заводов (910 печей) улавливали дешевые и тяжелые продукты, и только упомянутые выше три завода — Енакиевский, Байракский и Щербиновский (358 печей) улавливали сырой бензол. </w:t>
      </w:r>
    </w:p>
    <w:p w14:paraId="4B0292A5" w14:textId="77777777" w:rsidR="00B67D7C" w:rsidRPr="00DE096C" w:rsidRDefault="00B67D7C" w:rsidP="00D45A46">
      <w:pPr>
        <w:jc w:val="both"/>
        <w:rPr>
          <w:bCs/>
          <w:color w:val="002060"/>
          <w:sz w:val="16"/>
          <w:szCs w:val="16"/>
        </w:rPr>
      </w:pPr>
      <w:r w:rsidRPr="00DE096C">
        <w:rPr>
          <w:bCs/>
          <w:color w:val="002060"/>
          <w:sz w:val="16"/>
          <w:szCs w:val="16"/>
        </w:rPr>
        <w:t xml:space="preserve">В первую очередь комиссия Ипатьева занялась постройкой бензоловых заводов при указанных 13 предприятиях. Затем в 1915 и 1916 гг. была предпринята постройка еще 13 заводов с расчетом на обслуживание 1200 печей, из которых часть печей возводилась заново. Намечен был, таким образом, план создать 26 бензольных заводов с 2400 печами. Осуществить постройку всех 26 заводов не удалось по разным причинам — расстройство транспорта, недостаток материалов и пр. Из строившихся 20 заводов часть была пущена в ход в 1915 и 1916 гг., часть была в 1917 г. еще не достроена. </w:t>
      </w:r>
    </w:p>
    <w:p w14:paraId="3CC0AE57" w14:textId="77777777" w:rsidR="00B67D7C" w:rsidRPr="00DE096C" w:rsidRDefault="00B67D7C" w:rsidP="00D45A46">
      <w:pPr>
        <w:jc w:val="both"/>
        <w:rPr>
          <w:bCs/>
          <w:color w:val="002060"/>
          <w:sz w:val="16"/>
          <w:szCs w:val="16"/>
        </w:rPr>
      </w:pPr>
      <w:r w:rsidRPr="00DE096C">
        <w:rPr>
          <w:bCs/>
          <w:color w:val="002060"/>
          <w:sz w:val="16"/>
          <w:szCs w:val="16"/>
        </w:rPr>
        <w:t xml:space="preserve">Производство сырого бензола в 1915 и 1916 гг. по отдельным заводам показано в следующей таблице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268"/>
        <w:gridCol w:w="792"/>
        <w:gridCol w:w="684"/>
      </w:tblGrid>
      <w:tr w:rsidR="00B67D7C" w:rsidRPr="00DE096C" w14:paraId="4EEA8387" w14:textId="77777777" w:rsidTr="00C2024A">
        <w:tc>
          <w:tcPr>
            <w:tcW w:w="2268" w:type="dxa"/>
          </w:tcPr>
          <w:p w14:paraId="46ED16BF" w14:textId="77777777" w:rsidR="00B67D7C" w:rsidRPr="00DE096C" w:rsidRDefault="00B67D7C" w:rsidP="00D45A46">
            <w:pPr>
              <w:jc w:val="both"/>
              <w:rPr>
                <w:bCs/>
                <w:color w:val="002060"/>
                <w:sz w:val="16"/>
                <w:szCs w:val="16"/>
              </w:rPr>
            </w:pPr>
            <w:r w:rsidRPr="00DE096C">
              <w:rPr>
                <w:bCs/>
                <w:color w:val="002060"/>
                <w:sz w:val="16"/>
                <w:szCs w:val="16"/>
              </w:rPr>
              <w:t>Заводы</w:t>
            </w:r>
          </w:p>
        </w:tc>
        <w:tc>
          <w:tcPr>
            <w:tcW w:w="792" w:type="dxa"/>
          </w:tcPr>
          <w:p w14:paraId="108E80BF" w14:textId="77777777" w:rsidR="00B67D7C" w:rsidRPr="00DE096C" w:rsidRDefault="00B67D7C" w:rsidP="00D45A46">
            <w:pPr>
              <w:jc w:val="both"/>
              <w:rPr>
                <w:bCs/>
                <w:color w:val="002060"/>
                <w:sz w:val="16"/>
                <w:szCs w:val="16"/>
              </w:rPr>
            </w:pPr>
            <w:r w:rsidRPr="00DE096C">
              <w:rPr>
                <w:bCs/>
                <w:color w:val="002060"/>
                <w:sz w:val="16"/>
                <w:szCs w:val="16"/>
              </w:rPr>
              <w:t>1915 г.</w:t>
            </w:r>
          </w:p>
        </w:tc>
        <w:tc>
          <w:tcPr>
            <w:tcW w:w="684" w:type="dxa"/>
          </w:tcPr>
          <w:p w14:paraId="45EDCD51" w14:textId="77777777" w:rsidR="00B67D7C" w:rsidRPr="00DE096C" w:rsidRDefault="00B67D7C" w:rsidP="00D45A46">
            <w:pPr>
              <w:jc w:val="both"/>
              <w:rPr>
                <w:bCs/>
                <w:color w:val="002060"/>
                <w:sz w:val="16"/>
                <w:szCs w:val="16"/>
              </w:rPr>
            </w:pPr>
            <w:r w:rsidRPr="00DE096C">
              <w:rPr>
                <w:bCs/>
                <w:color w:val="002060"/>
                <w:sz w:val="16"/>
                <w:szCs w:val="16"/>
              </w:rPr>
              <w:t>1916 г.</w:t>
            </w:r>
          </w:p>
        </w:tc>
      </w:tr>
      <w:tr w:rsidR="00B67D7C" w:rsidRPr="00DE096C" w14:paraId="43092087" w14:textId="77777777" w:rsidTr="00C2024A">
        <w:tc>
          <w:tcPr>
            <w:tcW w:w="2268" w:type="dxa"/>
          </w:tcPr>
          <w:p w14:paraId="15C4A97D" w14:textId="77777777" w:rsidR="00B67D7C" w:rsidRPr="00DE096C" w:rsidRDefault="00B67D7C" w:rsidP="00D45A46">
            <w:pPr>
              <w:jc w:val="both"/>
              <w:rPr>
                <w:bCs/>
                <w:color w:val="002060"/>
                <w:sz w:val="16"/>
                <w:szCs w:val="16"/>
              </w:rPr>
            </w:pPr>
            <w:r w:rsidRPr="00DE096C">
              <w:rPr>
                <w:bCs/>
                <w:color w:val="002060"/>
                <w:sz w:val="16"/>
                <w:szCs w:val="16"/>
              </w:rPr>
              <w:t>Э. Коппе, ст. Енакиево</w:t>
            </w:r>
          </w:p>
        </w:tc>
        <w:tc>
          <w:tcPr>
            <w:tcW w:w="792" w:type="dxa"/>
          </w:tcPr>
          <w:p w14:paraId="34A6D2EA" w14:textId="77777777" w:rsidR="00B67D7C" w:rsidRPr="00DE096C" w:rsidRDefault="00B67D7C" w:rsidP="00D45A46">
            <w:pPr>
              <w:jc w:val="both"/>
              <w:rPr>
                <w:bCs/>
                <w:color w:val="002060"/>
                <w:sz w:val="16"/>
                <w:szCs w:val="16"/>
              </w:rPr>
            </w:pPr>
            <w:r w:rsidRPr="00DE096C">
              <w:rPr>
                <w:bCs/>
                <w:color w:val="002060"/>
                <w:sz w:val="16"/>
                <w:szCs w:val="16"/>
              </w:rPr>
              <w:t>117,9</w:t>
            </w:r>
          </w:p>
        </w:tc>
        <w:tc>
          <w:tcPr>
            <w:tcW w:w="684" w:type="dxa"/>
          </w:tcPr>
          <w:p w14:paraId="7EF61ED0" w14:textId="77777777" w:rsidR="00B67D7C" w:rsidRPr="00DE096C" w:rsidRDefault="00B67D7C" w:rsidP="00D45A46">
            <w:pPr>
              <w:jc w:val="both"/>
              <w:rPr>
                <w:bCs/>
                <w:color w:val="002060"/>
                <w:sz w:val="16"/>
                <w:szCs w:val="16"/>
              </w:rPr>
            </w:pPr>
            <w:r w:rsidRPr="00DE096C">
              <w:rPr>
                <w:bCs/>
                <w:color w:val="002060"/>
                <w:sz w:val="16"/>
                <w:szCs w:val="16"/>
              </w:rPr>
              <w:t>131,1</w:t>
            </w:r>
          </w:p>
        </w:tc>
      </w:tr>
      <w:tr w:rsidR="00B67D7C" w:rsidRPr="00DE096C" w14:paraId="15276769" w14:textId="77777777" w:rsidTr="00C2024A">
        <w:tc>
          <w:tcPr>
            <w:tcW w:w="2268" w:type="dxa"/>
          </w:tcPr>
          <w:p w14:paraId="5031A466" w14:textId="77777777" w:rsidR="00B67D7C" w:rsidRPr="00DE096C" w:rsidRDefault="00B67D7C" w:rsidP="00D45A46">
            <w:pPr>
              <w:jc w:val="both"/>
              <w:rPr>
                <w:bCs/>
                <w:color w:val="002060"/>
                <w:sz w:val="16"/>
                <w:szCs w:val="16"/>
              </w:rPr>
            </w:pPr>
            <w:r w:rsidRPr="00DE096C">
              <w:rPr>
                <w:bCs/>
                <w:color w:val="002060"/>
                <w:sz w:val="16"/>
                <w:szCs w:val="16"/>
              </w:rPr>
              <w:t>Э. Коппк, ст. Юзовка</w:t>
            </w:r>
          </w:p>
        </w:tc>
        <w:tc>
          <w:tcPr>
            <w:tcW w:w="792" w:type="dxa"/>
          </w:tcPr>
          <w:p w14:paraId="1B7CB03A" w14:textId="77777777" w:rsidR="00B67D7C" w:rsidRPr="00DE096C" w:rsidRDefault="00B67D7C" w:rsidP="00D45A46">
            <w:pPr>
              <w:jc w:val="both"/>
              <w:rPr>
                <w:bCs/>
                <w:color w:val="002060"/>
                <w:sz w:val="16"/>
                <w:szCs w:val="16"/>
              </w:rPr>
            </w:pPr>
            <w:r w:rsidRPr="00DE096C">
              <w:rPr>
                <w:bCs/>
                <w:color w:val="002060"/>
                <w:sz w:val="16"/>
                <w:szCs w:val="16"/>
              </w:rPr>
              <w:t>46,6</w:t>
            </w:r>
          </w:p>
        </w:tc>
        <w:tc>
          <w:tcPr>
            <w:tcW w:w="684" w:type="dxa"/>
          </w:tcPr>
          <w:p w14:paraId="19816C60" w14:textId="77777777" w:rsidR="00B67D7C" w:rsidRPr="00DE096C" w:rsidRDefault="00B67D7C" w:rsidP="00D45A46">
            <w:pPr>
              <w:jc w:val="both"/>
              <w:rPr>
                <w:bCs/>
                <w:color w:val="002060"/>
                <w:sz w:val="16"/>
                <w:szCs w:val="16"/>
              </w:rPr>
            </w:pPr>
            <w:r w:rsidRPr="00DE096C">
              <w:rPr>
                <w:bCs/>
                <w:color w:val="002060"/>
                <w:sz w:val="16"/>
                <w:szCs w:val="16"/>
              </w:rPr>
              <w:t>90,1</w:t>
            </w:r>
          </w:p>
        </w:tc>
      </w:tr>
      <w:tr w:rsidR="00B67D7C" w:rsidRPr="00DE096C" w14:paraId="665D26DC" w14:textId="77777777" w:rsidTr="00C2024A">
        <w:tc>
          <w:tcPr>
            <w:tcW w:w="2268" w:type="dxa"/>
          </w:tcPr>
          <w:p w14:paraId="23B6D407" w14:textId="77777777" w:rsidR="00B67D7C" w:rsidRPr="00DE096C" w:rsidRDefault="00B67D7C" w:rsidP="00D45A46">
            <w:pPr>
              <w:jc w:val="both"/>
              <w:rPr>
                <w:bCs/>
                <w:color w:val="002060"/>
                <w:sz w:val="16"/>
                <w:szCs w:val="16"/>
              </w:rPr>
            </w:pPr>
            <w:r w:rsidRPr="00DE096C">
              <w:rPr>
                <w:bCs/>
                <w:color w:val="002060"/>
                <w:sz w:val="16"/>
                <w:szCs w:val="16"/>
              </w:rPr>
              <w:t>Э. Коппе, ст. Байрак</w:t>
            </w:r>
          </w:p>
        </w:tc>
        <w:tc>
          <w:tcPr>
            <w:tcW w:w="792" w:type="dxa"/>
          </w:tcPr>
          <w:p w14:paraId="37F0E2D1" w14:textId="77777777" w:rsidR="00B67D7C" w:rsidRPr="00DE096C" w:rsidRDefault="00B67D7C" w:rsidP="00D45A46">
            <w:pPr>
              <w:jc w:val="both"/>
              <w:rPr>
                <w:bCs/>
                <w:color w:val="002060"/>
                <w:sz w:val="16"/>
                <w:szCs w:val="16"/>
              </w:rPr>
            </w:pPr>
            <w:r w:rsidRPr="00DE096C">
              <w:rPr>
                <w:bCs/>
                <w:color w:val="002060"/>
                <w:sz w:val="16"/>
                <w:szCs w:val="16"/>
              </w:rPr>
              <w:t>31,2</w:t>
            </w:r>
          </w:p>
        </w:tc>
        <w:tc>
          <w:tcPr>
            <w:tcW w:w="684" w:type="dxa"/>
          </w:tcPr>
          <w:p w14:paraId="2F3A3056" w14:textId="77777777" w:rsidR="00B67D7C" w:rsidRPr="00DE096C" w:rsidRDefault="00B67D7C" w:rsidP="00D45A46">
            <w:pPr>
              <w:jc w:val="both"/>
              <w:rPr>
                <w:bCs/>
                <w:color w:val="002060"/>
                <w:sz w:val="16"/>
                <w:szCs w:val="16"/>
              </w:rPr>
            </w:pPr>
            <w:r w:rsidRPr="00DE096C">
              <w:rPr>
                <w:bCs/>
                <w:color w:val="002060"/>
                <w:sz w:val="16"/>
                <w:szCs w:val="16"/>
              </w:rPr>
              <w:t>26,9</w:t>
            </w:r>
          </w:p>
        </w:tc>
      </w:tr>
      <w:tr w:rsidR="00B67D7C" w:rsidRPr="00DE096C" w14:paraId="2E83BC38" w14:textId="77777777" w:rsidTr="00C2024A">
        <w:tc>
          <w:tcPr>
            <w:tcW w:w="2268" w:type="dxa"/>
          </w:tcPr>
          <w:p w14:paraId="1EA8BB0A" w14:textId="77777777" w:rsidR="00B67D7C" w:rsidRPr="00DE096C" w:rsidRDefault="00B67D7C" w:rsidP="00D45A46">
            <w:pPr>
              <w:jc w:val="both"/>
              <w:rPr>
                <w:bCs/>
                <w:color w:val="002060"/>
                <w:sz w:val="16"/>
                <w:szCs w:val="16"/>
              </w:rPr>
            </w:pPr>
            <w:r w:rsidRPr="00DE096C">
              <w:rPr>
                <w:bCs/>
                <w:color w:val="002060"/>
                <w:sz w:val="16"/>
                <w:szCs w:val="16"/>
              </w:rPr>
              <w:t>Э. Коппе, ст. Веровка</w:t>
            </w:r>
          </w:p>
        </w:tc>
        <w:tc>
          <w:tcPr>
            <w:tcW w:w="792" w:type="dxa"/>
          </w:tcPr>
          <w:p w14:paraId="4A1C1E70" w14:textId="77777777" w:rsidR="00B67D7C" w:rsidRPr="00DE096C" w:rsidRDefault="00B67D7C" w:rsidP="00D45A46">
            <w:pPr>
              <w:jc w:val="both"/>
              <w:rPr>
                <w:bCs/>
                <w:color w:val="002060"/>
                <w:sz w:val="16"/>
                <w:szCs w:val="16"/>
              </w:rPr>
            </w:pPr>
            <w:r w:rsidRPr="00DE096C">
              <w:rPr>
                <w:bCs/>
                <w:color w:val="002060"/>
                <w:sz w:val="16"/>
                <w:szCs w:val="16"/>
              </w:rPr>
              <w:t>11,5</w:t>
            </w:r>
          </w:p>
        </w:tc>
        <w:tc>
          <w:tcPr>
            <w:tcW w:w="684" w:type="dxa"/>
          </w:tcPr>
          <w:p w14:paraId="33C8842F" w14:textId="77777777" w:rsidR="00B67D7C" w:rsidRPr="00DE096C" w:rsidRDefault="00B67D7C" w:rsidP="00D45A46">
            <w:pPr>
              <w:jc w:val="both"/>
              <w:rPr>
                <w:bCs/>
                <w:color w:val="002060"/>
                <w:sz w:val="16"/>
                <w:szCs w:val="16"/>
              </w:rPr>
            </w:pPr>
            <w:r w:rsidRPr="00DE096C">
              <w:rPr>
                <w:bCs/>
                <w:color w:val="002060"/>
                <w:sz w:val="16"/>
                <w:szCs w:val="16"/>
              </w:rPr>
              <w:t>19,3</w:t>
            </w:r>
          </w:p>
        </w:tc>
      </w:tr>
      <w:tr w:rsidR="00B67D7C" w:rsidRPr="00DE096C" w14:paraId="3DDC5569" w14:textId="77777777" w:rsidTr="00C2024A">
        <w:tc>
          <w:tcPr>
            <w:tcW w:w="2268" w:type="dxa"/>
          </w:tcPr>
          <w:p w14:paraId="0ED86C37" w14:textId="77777777" w:rsidR="00B67D7C" w:rsidRPr="00DE096C" w:rsidRDefault="00B67D7C" w:rsidP="00D45A46">
            <w:pPr>
              <w:jc w:val="both"/>
              <w:rPr>
                <w:bCs/>
                <w:color w:val="002060"/>
                <w:sz w:val="16"/>
                <w:szCs w:val="16"/>
              </w:rPr>
            </w:pPr>
            <w:r w:rsidRPr="00DE096C">
              <w:rPr>
                <w:bCs/>
                <w:color w:val="002060"/>
                <w:sz w:val="16"/>
                <w:szCs w:val="16"/>
              </w:rPr>
              <w:t>Э. Коппе, ст. Сартана</w:t>
            </w:r>
          </w:p>
        </w:tc>
        <w:tc>
          <w:tcPr>
            <w:tcW w:w="792" w:type="dxa"/>
          </w:tcPr>
          <w:p w14:paraId="1FBC327B" w14:textId="77777777" w:rsidR="00B67D7C" w:rsidRPr="00DE096C" w:rsidRDefault="00B67D7C" w:rsidP="00D45A46">
            <w:pPr>
              <w:jc w:val="both"/>
              <w:rPr>
                <w:bCs/>
                <w:color w:val="002060"/>
                <w:sz w:val="16"/>
                <w:szCs w:val="16"/>
              </w:rPr>
            </w:pPr>
            <w:r w:rsidRPr="00DE096C">
              <w:rPr>
                <w:bCs/>
                <w:color w:val="002060"/>
                <w:sz w:val="16"/>
                <w:szCs w:val="16"/>
              </w:rPr>
              <w:t>2.5</w:t>
            </w:r>
          </w:p>
        </w:tc>
        <w:tc>
          <w:tcPr>
            <w:tcW w:w="684" w:type="dxa"/>
          </w:tcPr>
          <w:p w14:paraId="11E94A84" w14:textId="77777777" w:rsidR="00B67D7C" w:rsidRPr="00DE096C" w:rsidRDefault="00B67D7C" w:rsidP="00D45A46">
            <w:pPr>
              <w:jc w:val="both"/>
              <w:rPr>
                <w:bCs/>
                <w:color w:val="002060"/>
                <w:sz w:val="16"/>
                <w:szCs w:val="16"/>
              </w:rPr>
            </w:pPr>
            <w:r w:rsidRPr="00DE096C">
              <w:rPr>
                <w:bCs/>
                <w:color w:val="002060"/>
                <w:sz w:val="16"/>
                <w:szCs w:val="16"/>
              </w:rPr>
              <w:t>15,7</w:t>
            </w:r>
          </w:p>
        </w:tc>
      </w:tr>
      <w:tr w:rsidR="00B67D7C" w:rsidRPr="00DE096C" w14:paraId="3A59D305" w14:textId="77777777" w:rsidTr="00C2024A">
        <w:tc>
          <w:tcPr>
            <w:tcW w:w="2268" w:type="dxa"/>
          </w:tcPr>
          <w:p w14:paraId="48C58478" w14:textId="77777777" w:rsidR="00B67D7C" w:rsidRPr="00DE096C" w:rsidRDefault="00B67D7C" w:rsidP="00D45A46">
            <w:pPr>
              <w:jc w:val="both"/>
              <w:rPr>
                <w:bCs/>
                <w:color w:val="002060"/>
                <w:sz w:val="16"/>
                <w:szCs w:val="16"/>
              </w:rPr>
            </w:pPr>
            <w:r w:rsidRPr="00DE096C">
              <w:rPr>
                <w:bCs/>
                <w:color w:val="002060"/>
                <w:sz w:val="16"/>
                <w:szCs w:val="16"/>
              </w:rPr>
              <w:t>О. Пьетт, ст. Макеевка</w:t>
            </w:r>
          </w:p>
        </w:tc>
        <w:tc>
          <w:tcPr>
            <w:tcW w:w="792" w:type="dxa"/>
          </w:tcPr>
          <w:p w14:paraId="5C77DBF0" w14:textId="77777777" w:rsidR="00B67D7C" w:rsidRPr="00DE096C" w:rsidRDefault="00B67D7C" w:rsidP="00D45A46">
            <w:pPr>
              <w:jc w:val="both"/>
              <w:rPr>
                <w:bCs/>
                <w:color w:val="002060"/>
                <w:sz w:val="16"/>
                <w:szCs w:val="16"/>
              </w:rPr>
            </w:pPr>
            <w:r w:rsidRPr="00DE096C">
              <w:rPr>
                <w:bCs/>
                <w:color w:val="002060"/>
                <w:sz w:val="16"/>
                <w:szCs w:val="16"/>
              </w:rPr>
              <w:t>62,6</w:t>
            </w:r>
          </w:p>
        </w:tc>
        <w:tc>
          <w:tcPr>
            <w:tcW w:w="684" w:type="dxa"/>
          </w:tcPr>
          <w:p w14:paraId="7D3D790D" w14:textId="77777777" w:rsidR="00B67D7C" w:rsidRPr="00DE096C" w:rsidRDefault="00B67D7C" w:rsidP="00D45A46">
            <w:pPr>
              <w:jc w:val="both"/>
              <w:rPr>
                <w:bCs/>
                <w:color w:val="002060"/>
                <w:sz w:val="16"/>
                <w:szCs w:val="16"/>
              </w:rPr>
            </w:pPr>
            <w:r w:rsidRPr="00DE096C">
              <w:rPr>
                <w:bCs/>
                <w:color w:val="002060"/>
                <w:sz w:val="16"/>
                <w:szCs w:val="16"/>
              </w:rPr>
              <w:t>125,9</w:t>
            </w:r>
          </w:p>
        </w:tc>
      </w:tr>
      <w:tr w:rsidR="00B67D7C" w:rsidRPr="00DE096C" w14:paraId="62E04A3D" w14:textId="77777777" w:rsidTr="00C2024A">
        <w:tc>
          <w:tcPr>
            <w:tcW w:w="2268" w:type="dxa"/>
          </w:tcPr>
          <w:p w14:paraId="230144DA" w14:textId="77777777" w:rsidR="00B67D7C" w:rsidRPr="00DE096C" w:rsidRDefault="00B67D7C" w:rsidP="00D45A46">
            <w:pPr>
              <w:jc w:val="both"/>
              <w:rPr>
                <w:bCs/>
                <w:color w:val="002060"/>
                <w:sz w:val="16"/>
                <w:szCs w:val="16"/>
              </w:rPr>
            </w:pPr>
            <w:r w:rsidRPr="00DE096C">
              <w:rPr>
                <w:bCs/>
                <w:color w:val="002060"/>
                <w:sz w:val="16"/>
                <w:szCs w:val="16"/>
              </w:rPr>
              <w:t>Кадиевский казенный завод</w:t>
            </w:r>
          </w:p>
        </w:tc>
        <w:tc>
          <w:tcPr>
            <w:tcW w:w="792" w:type="dxa"/>
          </w:tcPr>
          <w:p w14:paraId="02BB3777" w14:textId="77777777" w:rsidR="00B67D7C" w:rsidRPr="00DE096C" w:rsidRDefault="00B67D7C" w:rsidP="00D45A46">
            <w:pPr>
              <w:jc w:val="both"/>
              <w:rPr>
                <w:bCs/>
                <w:color w:val="002060"/>
                <w:sz w:val="16"/>
                <w:szCs w:val="16"/>
              </w:rPr>
            </w:pPr>
            <w:r w:rsidRPr="00DE096C">
              <w:rPr>
                <w:bCs/>
                <w:color w:val="002060"/>
                <w:sz w:val="16"/>
                <w:szCs w:val="16"/>
              </w:rPr>
              <w:t>62,3</w:t>
            </w:r>
          </w:p>
        </w:tc>
        <w:tc>
          <w:tcPr>
            <w:tcW w:w="684" w:type="dxa"/>
          </w:tcPr>
          <w:p w14:paraId="634B82A8" w14:textId="77777777" w:rsidR="00B67D7C" w:rsidRPr="00DE096C" w:rsidRDefault="00B67D7C" w:rsidP="00D45A46">
            <w:pPr>
              <w:jc w:val="both"/>
              <w:rPr>
                <w:bCs/>
                <w:color w:val="002060"/>
                <w:sz w:val="16"/>
                <w:szCs w:val="16"/>
              </w:rPr>
            </w:pPr>
            <w:r w:rsidRPr="00DE096C">
              <w:rPr>
                <w:bCs/>
                <w:color w:val="002060"/>
                <w:sz w:val="16"/>
                <w:szCs w:val="16"/>
              </w:rPr>
              <w:t>167,1</w:t>
            </w:r>
          </w:p>
        </w:tc>
      </w:tr>
      <w:tr w:rsidR="00B67D7C" w:rsidRPr="00DE096C" w14:paraId="37F05522" w14:textId="77777777" w:rsidTr="00C2024A">
        <w:tc>
          <w:tcPr>
            <w:tcW w:w="2268" w:type="dxa"/>
          </w:tcPr>
          <w:p w14:paraId="518CE385" w14:textId="77777777" w:rsidR="00B67D7C" w:rsidRPr="00DE096C" w:rsidRDefault="00B67D7C" w:rsidP="00D45A46">
            <w:pPr>
              <w:jc w:val="both"/>
              <w:rPr>
                <w:bCs/>
                <w:color w:val="002060"/>
                <w:sz w:val="16"/>
                <w:szCs w:val="16"/>
              </w:rPr>
            </w:pPr>
            <w:r w:rsidRPr="00DE096C">
              <w:rPr>
                <w:bCs/>
                <w:color w:val="002060"/>
                <w:sz w:val="16"/>
                <w:szCs w:val="16"/>
              </w:rPr>
              <w:t>Щербиновский завод</w:t>
            </w:r>
          </w:p>
        </w:tc>
        <w:tc>
          <w:tcPr>
            <w:tcW w:w="792" w:type="dxa"/>
          </w:tcPr>
          <w:p w14:paraId="25014B98" w14:textId="77777777" w:rsidR="00B67D7C" w:rsidRPr="00DE096C" w:rsidRDefault="00B67D7C" w:rsidP="00D45A46">
            <w:pPr>
              <w:jc w:val="both"/>
              <w:rPr>
                <w:bCs/>
                <w:color w:val="002060"/>
                <w:sz w:val="16"/>
                <w:szCs w:val="16"/>
              </w:rPr>
            </w:pPr>
            <w:r w:rsidRPr="00DE096C">
              <w:rPr>
                <w:bCs/>
                <w:color w:val="002060"/>
                <w:sz w:val="16"/>
                <w:szCs w:val="16"/>
              </w:rPr>
              <w:t>29,7</w:t>
            </w:r>
          </w:p>
        </w:tc>
        <w:tc>
          <w:tcPr>
            <w:tcW w:w="684" w:type="dxa"/>
          </w:tcPr>
          <w:p w14:paraId="3DBDDDBC" w14:textId="77777777" w:rsidR="00B67D7C" w:rsidRPr="00DE096C" w:rsidRDefault="00B67D7C" w:rsidP="00D45A46">
            <w:pPr>
              <w:jc w:val="both"/>
              <w:rPr>
                <w:bCs/>
                <w:color w:val="002060"/>
                <w:sz w:val="16"/>
                <w:szCs w:val="16"/>
              </w:rPr>
            </w:pPr>
            <w:r w:rsidRPr="00DE096C">
              <w:rPr>
                <w:bCs/>
                <w:color w:val="002060"/>
                <w:sz w:val="16"/>
                <w:szCs w:val="16"/>
              </w:rPr>
              <w:t>36,9</w:t>
            </w:r>
          </w:p>
        </w:tc>
      </w:tr>
      <w:tr w:rsidR="00B67D7C" w:rsidRPr="00DE096C" w14:paraId="4B7F4CCB" w14:textId="77777777" w:rsidTr="00C2024A">
        <w:tc>
          <w:tcPr>
            <w:tcW w:w="2268" w:type="dxa"/>
          </w:tcPr>
          <w:p w14:paraId="19FEB90B" w14:textId="77777777" w:rsidR="00B67D7C" w:rsidRPr="00DE096C" w:rsidRDefault="00B67D7C" w:rsidP="00D45A46">
            <w:pPr>
              <w:jc w:val="both"/>
              <w:rPr>
                <w:bCs/>
                <w:color w:val="002060"/>
                <w:sz w:val="16"/>
                <w:szCs w:val="16"/>
              </w:rPr>
            </w:pPr>
            <w:r w:rsidRPr="00DE096C">
              <w:rPr>
                <w:bCs/>
                <w:color w:val="002060"/>
                <w:sz w:val="16"/>
                <w:szCs w:val="16"/>
              </w:rPr>
              <w:t>Общество Карбонизоми (Горловка)</w:t>
            </w:r>
          </w:p>
        </w:tc>
        <w:tc>
          <w:tcPr>
            <w:tcW w:w="792" w:type="dxa"/>
          </w:tcPr>
          <w:p w14:paraId="5C0D9D9B" w14:textId="77777777" w:rsidR="00B67D7C" w:rsidRPr="00DE096C" w:rsidRDefault="00B67D7C" w:rsidP="00D45A46">
            <w:pPr>
              <w:jc w:val="both"/>
              <w:rPr>
                <w:bCs/>
                <w:color w:val="002060"/>
                <w:sz w:val="16"/>
                <w:szCs w:val="16"/>
              </w:rPr>
            </w:pPr>
            <w:r w:rsidRPr="00DE096C">
              <w:rPr>
                <w:bCs/>
                <w:color w:val="002060"/>
                <w:sz w:val="16"/>
                <w:szCs w:val="16"/>
              </w:rPr>
              <w:t>—</w:t>
            </w:r>
          </w:p>
        </w:tc>
        <w:tc>
          <w:tcPr>
            <w:tcW w:w="684" w:type="dxa"/>
          </w:tcPr>
          <w:p w14:paraId="11642F82" w14:textId="77777777" w:rsidR="00B67D7C" w:rsidRPr="00DE096C" w:rsidRDefault="00B67D7C" w:rsidP="00D45A46">
            <w:pPr>
              <w:jc w:val="both"/>
              <w:rPr>
                <w:bCs/>
                <w:color w:val="002060"/>
                <w:sz w:val="16"/>
                <w:szCs w:val="16"/>
              </w:rPr>
            </w:pPr>
            <w:r w:rsidRPr="00DE096C">
              <w:rPr>
                <w:bCs/>
                <w:color w:val="002060"/>
                <w:sz w:val="16"/>
                <w:szCs w:val="16"/>
              </w:rPr>
              <w:t>12,4</w:t>
            </w:r>
          </w:p>
        </w:tc>
      </w:tr>
      <w:tr w:rsidR="00B67D7C" w:rsidRPr="00DE096C" w14:paraId="3C27C122" w14:textId="77777777" w:rsidTr="00C2024A">
        <w:tc>
          <w:tcPr>
            <w:tcW w:w="2268" w:type="dxa"/>
          </w:tcPr>
          <w:p w14:paraId="6DB1D4EB" w14:textId="77777777" w:rsidR="00B67D7C" w:rsidRPr="00DE096C" w:rsidRDefault="00B67D7C" w:rsidP="00D45A46">
            <w:pPr>
              <w:jc w:val="both"/>
              <w:rPr>
                <w:bCs/>
                <w:color w:val="002060"/>
                <w:sz w:val="16"/>
                <w:szCs w:val="16"/>
              </w:rPr>
            </w:pPr>
            <w:r w:rsidRPr="00DE096C">
              <w:rPr>
                <w:bCs/>
                <w:color w:val="002060"/>
                <w:sz w:val="16"/>
                <w:szCs w:val="16"/>
              </w:rPr>
              <w:t>О. Пьетт (Дружковка)</w:t>
            </w:r>
          </w:p>
        </w:tc>
        <w:tc>
          <w:tcPr>
            <w:tcW w:w="792" w:type="dxa"/>
          </w:tcPr>
          <w:p w14:paraId="5A423F05" w14:textId="77777777" w:rsidR="00B67D7C" w:rsidRPr="00DE096C" w:rsidRDefault="00B67D7C" w:rsidP="00D45A46">
            <w:pPr>
              <w:jc w:val="both"/>
              <w:rPr>
                <w:bCs/>
                <w:color w:val="002060"/>
                <w:sz w:val="16"/>
                <w:szCs w:val="16"/>
              </w:rPr>
            </w:pPr>
            <w:r w:rsidRPr="00DE096C">
              <w:rPr>
                <w:bCs/>
                <w:color w:val="002060"/>
                <w:sz w:val="16"/>
                <w:szCs w:val="16"/>
              </w:rPr>
              <w:t>—</w:t>
            </w:r>
          </w:p>
        </w:tc>
        <w:tc>
          <w:tcPr>
            <w:tcW w:w="684" w:type="dxa"/>
          </w:tcPr>
          <w:p w14:paraId="3A788233" w14:textId="77777777" w:rsidR="00B67D7C" w:rsidRPr="00DE096C" w:rsidRDefault="00B67D7C" w:rsidP="00D45A46">
            <w:pPr>
              <w:jc w:val="both"/>
              <w:rPr>
                <w:bCs/>
                <w:color w:val="002060"/>
                <w:sz w:val="16"/>
                <w:szCs w:val="16"/>
              </w:rPr>
            </w:pPr>
            <w:r w:rsidRPr="00DE096C">
              <w:rPr>
                <w:bCs/>
                <w:color w:val="002060"/>
                <w:sz w:val="16"/>
                <w:szCs w:val="16"/>
              </w:rPr>
              <w:t>23,1</w:t>
            </w:r>
          </w:p>
        </w:tc>
      </w:tr>
      <w:tr w:rsidR="00B67D7C" w:rsidRPr="00DE096C" w14:paraId="4A32139D" w14:textId="77777777" w:rsidTr="00C2024A">
        <w:tc>
          <w:tcPr>
            <w:tcW w:w="2268" w:type="dxa"/>
          </w:tcPr>
          <w:p w14:paraId="5C2910B0" w14:textId="77777777" w:rsidR="00B67D7C" w:rsidRPr="00DE096C" w:rsidRDefault="00B67D7C" w:rsidP="00D45A46">
            <w:pPr>
              <w:jc w:val="both"/>
              <w:rPr>
                <w:bCs/>
                <w:color w:val="002060"/>
                <w:sz w:val="16"/>
                <w:szCs w:val="16"/>
              </w:rPr>
            </w:pPr>
            <w:r w:rsidRPr="00DE096C">
              <w:rPr>
                <w:bCs/>
                <w:color w:val="002060"/>
                <w:sz w:val="16"/>
                <w:szCs w:val="16"/>
              </w:rPr>
              <w:t>Э. Коппе (Константиновка)</w:t>
            </w:r>
          </w:p>
        </w:tc>
        <w:tc>
          <w:tcPr>
            <w:tcW w:w="792" w:type="dxa"/>
          </w:tcPr>
          <w:p w14:paraId="2E7219E3" w14:textId="77777777" w:rsidR="00B67D7C" w:rsidRPr="00DE096C" w:rsidRDefault="00B67D7C" w:rsidP="00D45A46">
            <w:pPr>
              <w:jc w:val="both"/>
              <w:rPr>
                <w:bCs/>
                <w:color w:val="002060"/>
                <w:sz w:val="16"/>
                <w:szCs w:val="16"/>
              </w:rPr>
            </w:pPr>
            <w:r w:rsidRPr="00DE096C">
              <w:rPr>
                <w:bCs/>
                <w:color w:val="002060"/>
                <w:sz w:val="16"/>
                <w:szCs w:val="16"/>
              </w:rPr>
              <w:t>—</w:t>
            </w:r>
          </w:p>
        </w:tc>
        <w:tc>
          <w:tcPr>
            <w:tcW w:w="684" w:type="dxa"/>
          </w:tcPr>
          <w:p w14:paraId="6A57ED28" w14:textId="77777777" w:rsidR="00B67D7C" w:rsidRPr="00DE096C" w:rsidRDefault="00B67D7C" w:rsidP="00D45A46">
            <w:pPr>
              <w:jc w:val="both"/>
              <w:rPr>
                <w:bCs/>
                <w:color w:val="002060"/>
                <w:sz w:val="16"/>
                <w:szCs w:val="16"/>
              </w:rPr>
            </w:pPr>
            <w:r w:rsidRPr="00DE096C">
              <w:rPr>
                <w:bCs/>
                <w:color w:val="002060"/>
                <w:sz w:val="16"/>
                <w:szCs w:val="16"/>
              </w:rPr>
              <w:t>8,2</w:t>
            </w:r>
          </w:p>
        </w:tc>
      </w:tr>
      <w:tr w:rsidR="00B67D7C" w:rsidRPr="00DE096C" w14:paraId="63BDCDA0" w14:textId="77777777" w:rsidTr="00C2024A">
        <w:tc>
          <w:tcPr>
            <w:tcW w:w="2268" w:type="dxa"/>
          </w:tcPr>
          <w:p w14:paraId="7E274014" w14:textId="77777777" w:rsidR="00B67D7C" w:rsidRPr="00DE096C" w:rsidRDefault="00B67D7C" w:rsidP="00D45A46">
            <w:pPr>
              <w:jc w:val="both"/>
              <w:rPr>
                <w:bCs/>
                <w:color w:val="002060"/>
                <w:sz w:val="16"/>
                <w:szCs w:val="16"/>
              </w:rPr>
            </w:pPr>
            <w:r w:rsidRPr="00DE096C">
              <w:rPr>
                <w:bCs/>
                <w:color w:val="002060"/>
                <w:sz w:val="16"/>
                <w:szCs w:val="16"/>
              </w:rPr>
              <w:t>Всего</w:t>
            </w:r>
          </w:p>
        </w:tc>
        <w:tc>
          <w:tcPr>
            <w:tcW w:w="792" w:type="dxa"/>
          </w:tcPr>
          <w:p w14:paraId="42D23B7F" w14:textId="77777777" w:rsidR="00B67D7C" w:rsidRPr="00DE096C" w:rsidRDefault="00B67D7C" w:rsidP="00D45A46">
            <w:pPr>
              <w:jc w:val="both"/>
              <w:rPr>
                <w:bCs/>
                <w:color w:val="002060"/>
                <w:sz w:val="16"/>
                <w:szCs w:val="16"/>
              </w:rPr>
            </w:pPr>
            <w:r w:rsidRPr="00DE096C">
              <w:rPr>
                <w:bCs/>
                <w:color w:val="002060"/>
                <w:sz w:val="16"/>
                <w:szCs w:val="16"/>
              </w:rPr>
              <w:t>364,3</w:t>
            </w:r>
          </w:p>
        </w:tc>
        <w:tc>
          <w:tcPr>
            <w:tcW w:w="684" w:type="dxa"/>
          </w:tcPr>
          <w:p w14:paraId="16415746" w14:textId="77777777" w:rsidR="00B67D7C" w:rsidRPr="00DE096C" w:rsidRDefault="00B67D7C" w:rsidP="00D45A46">
            <w:pPr>
              <w:jc w:val="both"/>
              <w:rPr>
                <w:bCs/>
                <w:color w:val="002060"/>
                <w:sz w:val="16"/>
                <w:szCs w:val="16"/>
              </w:rPr>
            </w:pPr>
            <w:r w:rsidRPr="00DE096C">
              <w:rPr>
                <w:bCs/>
                <w:color w:val="002060"/>
                <w:sz w:val="16"/>
                <w:szCs w:val="16"/>
              </w:rPr>
              <w:t>656,7</w:t>
            </w:r>
          </w:p>
        </w:tc>
      </w:tr>
    </w:tbl>
    <w:p w14:paraId="038671FC" w14:textId="77777777" w:rsidR="00B67D7C" w:rsidRPr="00DE096C" w:rsidRDefault="00B67D7C" w:rsidP="00D45A46">
      <w:pPr>
        <w:jc w:val="both"/>
        <w:rPr>
          <w:bCs/>
          <w:color w:val="002060"/>
          <w:sz w:val="16"/>
          <w:szCs w:val="16"/>
        </w:rPr>
      </w:pPr>
      <w:r w:rsidRPr="00DE096C">
        <w:rPr>
          <w:bCs/>
          <w:color w:val="002060"/>
          <w:sz w:val="16"/>
          <w:szCs w:val="16"/>
        </w:rPr>
        <w:t xml:space="preserve">Надо отметить, что заводы не всегда могли работать на полную свою мощность, так как сплошь и рядом каменный уголь для коксования доставлялся не по адресу, а именно: на печи без улавливания продуктов коксования, а печи с улавливанием месяцами стояли, не имея что коксовать. </w:t>
      </w:r>
    </w:p>
    <w:p w14:paraId="57CF7184" w14:textId="77777777" w:rsidR="00B67D7C" w:rsidRPr="00DE096C" w:rsidRDefault="00B67D7C" w:rsidP="00D45A46">
      <w:pPr>
        <w:jc w:val="both"/>
        <w:rPr>
          <w:bCs/>
          <w:color w:val="002060"/>
          <w:sz w:val="16"/>
          <w:szCs w:val="16"/>
        </w:rPr>
      </w:pPr>
      <w:r w:rsidRPr="00DE096C">
        <w:rPr>
          <w:bCs/>
          <w:color w:val="002060"/>
          <w:sz w:val="16"/>
          <w:szCs w:val="16"/>
        </w:rPr>
        <w:t xml:space="preserve">В итоге мероприятий по развитию коксобензольного дела удалось в 7-8 раз увеличить количество печей, могущих давать полностью все продукты сухой перегонки каменного угля. </w:t>
      </w:r>
    </w:p>
    <w:p w14:paraId="4C42ABCB" w14:textId="77777777" w:rsidR="00B67D7C" w:rsidRPr="00DE096C" w:rsidRDefault="00B67D7C" w:rsidP="00D45A46">
      <w:pPr>
        <w:jc w:val="both"/>
        <w:rPr>
          <w:bCs/>
          <w:color w:val="002060"/>
          <w:sz w:val="16"/>
          <w:szCs w:val="16"/>
        </w:rPr>
      </w:pPr>
      <w:r w:rsidRPr="00DE096C">
        <w:rPr>
          <w:bCs/>
          <w:color w:val="002060"/>
          <w:sz w:val="16"/>
          <w:szCs w:val="16"/>
        </w:rPr>
        <w:t xml:space="preserve">Затем, Комиссией Ипатьева были произведены крупные работы по организации заводов для ректификации продуктов коксования угля. </w:t>
      </w:r>
    </w:p>
    <w:p w14:paraId="34C57898" w14:textId="77777777" w:rsidR="00B67D7C" w:rsidRPr="00DE096C" w:rsidRDefault="00B67D7C" w:rsidP="00D45A46">
      <w:pPr>
        <w:jc w:val="both"/>
        <w:rPr>
          <w:bCs/>
          <w:color w:val="002060"/>
          <w:sz w:val="16"/>
          <w:szCs w:val="16"/>
        </w:rPr>
      </w:pPr>
      <w:r w:rsidRPr="00DE096C">
        <w:rPr>
          <w:bCs/>
          <w:color w:val="002060"/>
          <w:sz w:val="16"/>
          <w:szCs w:val="16"/>
        </w:rPr>
        <w:t xml:space="preserve">До войны, получаемые на Юге небольшие количества сырого бензола фракционировалось на 90%-ный бензол, 50%-ный бензол и сольвентнафта, без выделения чистых продуктов — бензола, толуола и ксилола. Между тем для фабрикации взрывчатых веществ требовались именно эти продукты. </w:t>
      </w:r>
    </w:p>
    <w:p w14:paraId="16B01DA3" w14:textId="77777777" w:rsidR="00B67D7C" w:rsidRPr="00DE096C" w:rsidRDefault="00B67D7C" w:rsidP="00D45A46">
      <w:pPr>
        <w:jc w:val="both"/>
        <w:rPr>
          <w:bCs/>
          <w:color w:val="002060"/>
          <w:sz w:val="16"/>
          <w:szCs w:val="16"/>
        </w:rPr>
      </w:pPr>
      <w:r w:rsidRPr="00DE096C">
        <w:rPr>
          <w:bCs/>
          <w:color w:val="002060"/>
          <w:sz w:val="16"/>
          <w:szCs w:val="16"/>
        </w:rPr>
        <w:t xml:space="preserve">В начале деятельности Химического комитета сырой бензол, получаемый в Донбассе, направлялся в Петроград для фракционировки на Тентелевском химическом заводе, после чего полученный чистый толуол отправлялся для нитрования в Самарский завод взрывчатых веществ, а чистый бензол — обратно на Юг для выработки пикриновой кислоты, на завод Сольвей. </w:t>
      </w:r>
    </w:p>
    <w:p w14:paraId="7D6DB573" w14:textId="77777777" w:rsidR="00B67D7C" w:rsidRPr="00DE096C" w:rsidRDefault="00B67D7C" w:rsidP="00D45A46">
      <w:pPr>
        <w:jc w:val="both"/>
        <w:rPr>
          <w:bCs/>
          <w:color w:val="002060"/>
          <w:sz w:val="16"/>
          <w:szCs w:val="16"/>
        </w:rPr>
      </w:pPr>
      <w:r w:rsidRPr="00DE096C">
        <w:rPr>
          <w:bCs/>
          <w:color w:val="002060"/>
          <w:sz w:val="16"/>
          <w:szCs w:val="16"/>
        </w:rPr>
        <w:t xml:space="preserve">Так как Тентелевский завод не справлялся с фракционировкой, за малой производительностью аппаратов, то было произведено переоборудование Гутуевского спиртоочистительного завода для фракционировки бензола. </w:t>
      </w:r>
    </w:p>
    <w:p w14:paraId="74D708AA" w14:textId="77777777" w:rsidR="00B67D7C" w:rsidRPr="00DE096C" w:rsidRDefault="00B67D7C" w:rsidP="00D45A46">
      <w:pPr>
        <w:jc w:val="both"/>
        <w:rPr>
          <w:bCs/>
          <w:color w:val="002060"/>
          <w:sz w:val="16"/>
          <w:szCs w:val="16"/>
        </w:rPr>
      </w:pPr>
      <w:r w:rsidRPr="00DE096C">
        <w:rPr>
          <w:bCs/>
          <w:color w:val="002060"/>
          <w:sz w:val="16"/>
          <w:szCs w:val="16"/>
        </w:rPr>
        <w:t xml:space="preserve">Ввиду указанных обстоятельств для фракционирования бензола Комиссией по заготовке взрывчатых веществ была предпринята постройка казенного ректификационного завода в Кадиевке с производительностью 500 000 пудов в год, считая на сырой бензол. </w:t>
      </w:r>
    </w:p>
    <w:p w14:paraId="787466C1" w14:textId="77777777" w:rsidR="00B67D7C" w:rsidRPr="00DE096C" w:rsidRDefault="00B67D7C" w:rsidP="00D45A46">
      <w:pPr>
        <w:jc w:val="both"/>
        <w:rPr>
          <w:bCs/>
          <w:color w:val="002060"/>
          <w:sz w:val="16"/>
          <w:szCs w:val="16"/>
        </w:rPr>
      </w:pPr>
      <w:r w:rsidRPr="00DE096C">
        <w:rPr>
          <w:bCs/>
          <w:color w:val="002060"/>
          <w:sz w:val="16"/>
          <w:szCs w:val="16"/>
        </w:rPr>
        <w:t xml:space="preserve">Независимо от этого, по поручению Комиссии профессора Ипатьева были поставлены ректификационные оборудования частными фирмами — Оливье Пьетт в Макеевке, Эванс Коппе при Новосмоляниновском руднике в Юзовке, Брянским обществом в Орловской губернии и Обществом Коксобензол при ст. Рубежной (начато постройкой). </w:t>
      </w:r>
    </w:p>
    <w:p w14:paraId="2496E3D7" w14:textId="77777777" w:rsidR="00B67D7C" w:rsidRPr="00DE096C" w:rsidRDefault="00B67D7C" w:rsidP="00D45A46">
      <w:pPr>
        <w:jc w:val="both"/>
        <w:rPr>
          <w:bCs/>
          <w:color w:val="002060"/>
          <w:sz w:val="16"/>
          <w:szCs w:val="16"/>
        </w:rPr>
      </w:pPr>
      <w:r w:rsidRPr="00DE096C">
        <w:rPr>
          <w:bCs/>
          <w:color w:val="002060"/>
          <w:sz w:val="16"/>
          <w:szCs w:val="16"/>
        </w:rPr>
        <w:t xml:space="preserve">Ввиду того, что производство каменноугольного толуола в Донецком бассейне не могло быстро развернуться в таком масштабе, чтобы покрывать всю потребность войны, Комиссия Ипатьева озаботилась изысканием других источников получения толуола. Было обращено внимание на бензины, содержащие большой процент толуола. </w:t>
      </w:r>
    </w:p>
    <w:p w14:paraId="4BAF6DF8" w14:textId="77777777" w:rsidR="00B67D7C" w:rsidRPr="00DE096C" w:rsidRDefault="00B67D7C" w:rsidP="00D45A46">
      <w:pPr>
        <w:jc w:val="both"/>
        <w:rPr>
          <w:bCs/>
          <w:color w:val="002060"/>
          <w:sz w:val="16"/>
          <w:szCs w:val="16"/>
        </w:rPr>
      </w:pPr>
      <w:r w:rsidRPr="00DE096C">
        <w:rPr>
          <w:bCs/>
          <w:color w:val="002060"/>
          <w:sz w:val="16"/>
          <w:szCs w:val="16"/>
        </w:rPr>
        <w:t xml:space="preserve">Большие и ценные в научном отношении работы по этому вопросу сделаны были химиком Центральной научно-технической лаборатории военного ведомства Н.П. Андреевым. Предположено было первоначально добывать толуол из галицийской нефти, где процент его очень высок. Отступление русских войск из Галиции в 1915 г. не позволило сделать этого. Тогда были произведены исследования бензинов Майкопских и Грозненских месторождений, давшие вполне благоприятные результаты. После этого было решено строить заводы для извлечения толуола из бензинов. Дело было поручено строительной Комиссии под председательством В.Н. Ипатьева. </w:t>
      </w:r>
    </w:p>
    <w:p w14:paraId="241AAC25" w14:textId="77777777" w:rsidR="00B67D7C" w:rsidRPr="00DE096C" w:rsidRDefault="00B67D7C" w:rsidP="00D45A46">
      <w:pPr>
        <w:jc w:val="both"/>
        <w:rPr>
          <w:bCs/>
          <w:color w:val="002060"/>
          <w:sz w:val="16"/>
          <w:szCs w:val="16"/>
        </w:rPr>
      </w:pPr>
      <w:r w:rsidRPr="00DE096C">
        <w:rPr>
          <w:bCs/>
          <w:color w:val="002060"/>
          <w:sz w:val="16"/>
          <w:szCs w:val="16"/>
        </w:rPr>
        <w:t xml:space="preserve">Первый такой завод построен был в Екатеринодаре, около Майкопских нефтеперегонных заводов. В 1916 г. он давал уже до 2000 пудов в месяц монотринитротолуола, получаемого обработкой нитрующей смесью фракции бензина, содержащей 15-20% толуола. Монопродукт отправлялся для донитрования в Самарский завод взрывчатых веществ. </w:t>
      </w:r>
    </w:p>
    <w:p w14:paraId="2E4AD43F" w14:textId="77777777" w:rsidR="00B67D7C" w:rsidRPr="00DE096C" w:rsidRDefault="00B67D7C" w:rsidP="00D45A46">
      <w:pPr>
        <w:jc w:val="both"/>
        <w:rPr>
          <w:bCs/>
          <w:color w:val="002060"/>
          <w:sz w:val="16"/>
          <w:szCs w:val="16"/>
        </w:rPr>
      </w:pPr>
      <w:r w:rsidRPr="00DE096C">
        <w:rPr>
          <w:bCs/>
          <w:color w:val="002060"/>
          <w:sz w:val="16"/>
          <w:szCs w:val="16"/>
        </w:rPr>
        <w:t xml:space="preserve">В Грозном на заводах "Русский Стандарт" и Ахвердова были сделаны крупные ректификационные установки для получения толуола из лигроина, с производительностью до 4000 пудов в месяц. Производство было начато в начале 1917 года. </w:t>
      </w:r>
    </w:p>
    <w:p w14:paraId="07BD2F56" w14:textId="77777777" w:rsidR="00B67D7C" w:rsidRPr="00DE096C" w:rsidRDefault="00B67D7C" w:rsidP="00D45A46">
      <w:pPr>
        <w:jc w:val="both"/>
        <w:rPr>
          <w:bCs/>
          <w:color w:val="002060"/>
          <w:sz w:val="16"/>
          <w:szCs w:val="16"/>
        </w:rPr>
      </w:pPr>
      <w:r w:rsidRPr="00DE096C">
        <w:rPr>
          <w:bCs/>
          <w:color w:val="002060"/>
          <w:sz w:val="16"/>
          <w:szCs w:val="16"/>
        </w:rPr>
        <w:t xml:space="preserve">Независимо от получения толуола указанным путем, с начала 1915 г. велись деятельные опыты над разложением нефти при высоких температурах по методам, предложенным химиком Никифоровым. Опыты велись проф. Тихвинским, Зелинским и Лебедевым, а также в Научно-технической лаборатории военного ведомства. К концу 1915 г. имелось уже достаточно материалов, чтобы ставить заводское производство. Первые заводские опыты были поставлены Комиссией Ипатьева на газовом заводе казанской городской управы и там же было поставлено первое валовое производство ароматических углеводородов на небольшую производительность — около 1000 пудов в месяц. </w:t>
      </w:r>
    </w:p>
    <w:p w14:paraId="7FCD9D6D" w14:textId="77777777" w:rsidR="00B67D7C" w:rsidRPr="00DE096C" w:rsidRDefault="00B67D7C" w:rsidP="00D45A46">
      <w:pPr>
        <w:jc w:val="both"/>
        <w:rPr>
          <w:bCs/>
          <w:color w:val="002060"/>
          <w:sz w:val="16"/>
          <w:szCs w:val="16"/>
        </w:rPr>
      </w:pPr>
      <w:r w:rsidRPr="00DE096C">
        <w:rPr>
          <w:bCs/>
          <w:color w:val="002060"/>
          <w:sz w:val="16"/>
          <w:szCs w:val="16"/>
        </w:rPr>
        <w:t xml:space="preserve">Вопросом получения толуола из нефти пирогенетическим путем занимался деятельно и Военно-промышленный комитет. Бакинский ВПК взял на себя постройку для этой цели завода в Баку. Предварительный проект был составлен проф. П. Кошицем, Смоленским и Громаном. Завод был рассчитан на производство 4000 пудов и к осени 1916 г. был пущен уже в ход. </w:t>
      </w:r>
    </w:p>
    <w:p w14:paraId="0E1D5EBA" w14:textId="77777777" w:rsidR="00B67D7C" w:rsidRPr="00DE096C" w:rsidRDefault="00B67D7C" w:rsidP="00D45A46">
      <w:pPr>
        <w:jc w:val="both"/>
        <w:rPr>
          <w:bCs/>
          <w:color w:val="002060"/>
          <w:sz w:val="16"/>
          <w:szCs w:val="16"/>
        </w:rPr>
      </w:pPr>
      <w:r w:rsidRPr="00DE096C">
        <w:rPr>
          <w:bCs/>
          <w:color w:val="002060"/>
          <w:sz w:val="16"/>
          <w:szCs w:val="16"/>
        </w:rPr>
        <w:t xml:space="preserve">Одновременно с бакинским ВПК была начата постройка трех заводов для получения ароматических углеводородов из нефти фирмами: Бр. Нобель, Бенкендорф и Нефтегаз. Из них только первая выполнила задачу вовремя. Другие две закончили постройку к самому концу войны. </w:t>
      </w:r>
    </w:p>
    <w:p w14:paraId="17C7D06D" w14:textId="77777777" w:rsidR="00B67D7C" w:rsidRPr="00DE096C" w:rsidRDefault="00B67D7C" w:rsidP="00D45A46">
      <w:pPr>
        <w:jc w:val="both"/>
        <w:rPr>
          <w:bCs/>
          <w:color w:val="002060"/>
          <w:sz w:val="16"/>
          <w:szCs w:val="16"/>
        </w:rPr>
      </w:pPr>
      <w:r w:rsidRPr="00DE096C">
        <w:rPr>
          <w:bCs/>
          <w:color w:val="002060"/>
          <w:sz w:val="16"/>
          <w:szCs w:val="16"/>
        </w:rPr>
        <w:t xml:space="preserve">В итоге за время войны было изготовлено пирогенетического толуола до 150 000 пудов и была создана таким образом новая отрасль химической промышленности. </w:t>
      </w:r>
    </w:p>
    <w:p w14:paraId="6793AAAE" w14:textId="77777777" w:rsidR="00B67D7C" w:rsidRPr="00DE096C" w:rsidRDefault="00B67D7C" w:rsidP="00D45A46">
      <w:pPr>
        <w:jc w:val="both"/>
        <w:rPr>
          <w:bCs/>
          <w:color w:val="002060"/>
          <w:sz w:val="16"/>
          <w:szCs w:val="16"/>
        </w:rPr>
      </w:pPr>
      <w:r w:rsidRPr="00DE096C">
        <w:rPr>
          <w:bCs/>
          <w:color w:val="002060"/>
          <w:sz w:val="16"/>
          <w:szCs w:val="16"/>
        </w:rPr>
        <w:t xml:space="preserve">Суммарное получение чистого бензола и [чистого] толуола всеми перечисленными методами (каменноугольного и нефтяного) выражается в следующих цифрах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837"/>
        <w:gridCol w:w="636"/>
        <w:gridCol w:w="641"/>
        <w:gridCol w:w="636"/>
        <w:gridCol w:w="641"/>
      </w:tblGrid>
      <w:tr w:rsidR="00B67D7C" w:rsidRPr="00DE096C" w14:paraId="1BF0A000" w14:textId="77777777" w:rsidTr="00C2024A">
        <w:tc>
          <w:tcPr>
            <w:tcW w:w="837" w:type="dxa"/>
          </w:tcPr>
          <w:p w14:paraId="2707C12F" w14:textId="77777777" w:rsidR="00B67D7C" w:rsidRPr="00DE096C" w:rsidRDefault="00B67D7C" w:rsidP="00D45A46">
            <w:pPr>
              <w:jc w:val="both"/>
              <w:rPr>
                <w:bCs/>
                <w:color w:val="002060"/>
                <w:sz w:val="16"/>
                <w:szCs w:val="16"/>
              </w:rPr>
            </w:pPr>
            <w:r w:rsidRPr="00DE096C">
              <w:rPr>
                <w:bCs/>
                <w:color w:val="002060"/>
                <w:sz w:val="16"/>
                <w:szCs w:val="16"/>
              </w:rPr>
              <w:t> </w:t>
            </w:r>
          </w:p>
        </w:tc>
        <w:tc>
          <w:tcPr>
            <w:tcW w:w="1277" w:type="dxa"/>
            <w:gridSpan w:val="2"/>
          </w:tcPr>
          <w:p w14:paraId="6F8AF818" w14:textId="77777777" w:rsidR="00B67D7C" w:rsidRPr="00DE096C" w:rsidRDefault="00B67D7C" w:rsidP="00D45A46">
            <w:pPr>
              <w:jc w:val="both"/>
              <w:rPr>
                <w:bCs/>
                <w:color w:val="002060"/>
                <w:sz w:val="16"/>
                <w:szCs w:val="16"/>
              </w:rPr>
            </w:pPr>
            <w:r w:rsidRPr="00DE096C">
              <w:rPr>
                <w:bCs/>
                <w:color w:val="002060"/>
                <w:sz w:val="16"/>
                <w:szCs w:val="16"/>
              </w:rPr>
              <w:t>1916 год</w:t>
            </w:r>
          </w:p>
        </w:tc>
        <w:tc>
          <w:tcPr>
            <w:tcW w:w="1277" w:type="dxa"/>
            <w:gridSpan w:val="2"/>
          </w:tcPr>
          <w:p w14:paraId="415CB09F" w14:textId="77777777" w:rsidR="00B67D7C" w:rsidRPr="00DE096C" w:rsidRDefault="00B67D7C" w:rsidP="00D45A46">
            <w:pPr>
              <w:jc w:val="both"/>
              <w:rPr>
                <w:bCs/>
                <w:color w:val="002060"/>
                <w:sz w:val="16"/>
                <w:szCs w:val="16"/>
              </w:rPr>
            </w:pPr>
            <w:r w:rsidRPr="00DE096C">
              <w:rPr>
                <w:bCs/>
                <w:color w:val="002060"/>
                <w:sz w:val="16"/>
                <w:szCs w:val="16"/>
              </w:rPr>
              <w:t>1917 год</w:t>
            </w:r>
          </w:p>
        </w:tc>
      </w:tr>
      <w:tr w:rsidR="00B67D7C" w:rsidRPr="00DE096C" w14:paraId="6545E16E" w14:textId="77777777" w:rsidTr="00C2024A">
        <w:tc>
          <w:tcPr>
            <w:tcW w:w="837" w:type="dxa"/>
          </w:tcPr>
          <w:p w14:paraId="7936EA7A" w14:textId="77777777" w:rsidR="00B67D7C" w:rsidRPr="00DE096C" w:rsidRDefault="00B67D7C" w:rsidP="00D45A46">
            <w:pPr>
              <w:jc w:val="both"/>
              <w:rPr>
                <w:bCs/>
                <w:color w:val="002060"/>
                <w:sz w:val="16"/>
                <w:szCs w:val="16"/>
              </w:rPr>
            </w:pPr>
            <w:r w:rsidRPr="00DE096C">
              <w:rPr>
                <w:bCs/>
                <w:color w:val="002060"/>
                <w:sz w:val="16"/>
                <w:szCs w:val="16"/>
              </w:rPr>
              <w:t>Месяцы</w:t>
            </w:r>
          </w:p>
        </w:tc>
        <w:tc>
          <w:tcPr>
            <w:tcW w:w="636" w:type="dxa"/>
          </w:tcPr>
          <w:p w14:paraId="4ACE394A" w14:textId="77777777" w:rsidR="00B67D7C" w:rsidRPr="00DE096C" w:rsidRDefault="00B67D7C" w:rsidP="00D45A46">
            <w:pPr>
              <w:jc w:val="both"/>
              <w:rPr>
                <w:bCs/>
                <w:color w:val="002060"/>
                <w:sz w:val="16"/>
                <w:szCs w:val="16"/>
              </w:rPr>
            </w:pPr>
            <w:r w:rsidRPr="00DE096C">
              <w:rPr>
                <w:bCs/>
                <w:color w:val="002060"/>
                <w:sz w:val="16"/>
                <w:szCs w:val="16"/>
              </w:rPr>
              <w:t>Бензол</w:t>
            </w:r>
          </w:p>
        </w:tc>
        <w:tc>
          <w:tcPr>
            <w:tcW w:w="641" w:type="dxa"/>
          </w:tcPr>
          <w:p w14:paraId="6478A62B" w14:textId="77777777" w:rsidR="00B67D7C" w:rsidRPr="00DE096C" w:rsidRDefault="00B67D7C" w:rsidP="00D45A46">
            <w:pPr>
              <w:jc w:val="both"/>
              <w:rPr>
                <w:bCs/>
                <w:color w:val="002060"/>
                <w:sz w:val="16"/>
                <w:szCs w:val="16"/>
              </w:rPr>
            </w:pPr>
            <w:r w:rsidRPr="00DE096C">
              <w:rPr>
                <w:bCs/>
                <w:color w:val="002060"/>
                <w:sz w:val="16"/>
                <w:szCs w:val="16"/>
              </w:rPr>
              <w:t>Толуол</w:t>
            </w:r>
          </w:p>
        </w:tc>
        <w:tc>
          <w:tcPr>
            <w:tcW w:w="636" w:type="dxa"/>
          </w:tcPr>
          <w:p w14:paraId="038BBB1B" w14:textId="77777777" w:rsidR="00B67D7C" w:rsidRPr="00DE096C" w:rsidRDefault="00B67D7C" w:rsidP="00D45A46">
            <w:pPr>
              <w:jc w:val="both"/>
              <w:rPr>
                <w:bCs/>
                <w:color w:val="002060"/>
                <w:sz w:val="16"/>
                <w:szCs w:val="16"/>
              </w:rPr>
            </w:pPr>
            <w:r w:rsidRPr="00DE096C">
              <w:rPr>
                <w:bCs/>
                <w:color w:val="002060"/>
                <w:sz w:val="16"/>
                <w:szCs w:val="16"/>
              </w:rPr>
              <w:t xml:space="preserve">Бензол </w:t>
            </w:r>
          </w:p>
        </w:tc>
        <w:tc>
          <w:tcPr>
            <w:tcW w:w="641" w:type="dxa"/>
          </w:tcPr>
          <w:p w14:paraId="2295BB79" w14:textId="77777777" w:rsidR="00B67D7C" w:rsidRPr="00DE096C" w:rsidRDefault="00B67D7C" w:rsidP="00D45A46">
            <w:pPr>
              <w:jc w:val="both"/>
              <w:rPr>
                <w:bCs/>
                <w:color w:val="002060"/>
                <w:sz w:val="16"/>
                <w:szCs w:val="16"/>
              </w:rPr>
            </w:pPr>
            <w:r w:rsidRPr="00DE096C">
              <w:rPr>
                <w:bCs/>
                <w:color w:val="002060"/>
                <w:sz w:val="16"/>
                <w:szCs w:val="16"/>
              </w:rPr>
              <w:t>Толуол</w:t>
            </w:r>
          </w:p>
        </w:tc>
      </w:tr>
      <w:tr w:rsidR="00B67D7C" w:rsidRPr="00DE096C" w14:paraId="5146E2DC" w14:textId="77777777" w:rsidTr="00C2024A">
        <w:tc>
          <w:tcPr>
            <w:tcW w:w="837" w:type="dxa"/>
          </w:tcPr>
          <w:p w14:paraId="44E615F2" w14:textId="77777777" w:rsidR="00B67D7C" w:rsidRPr="00DE096C" w:rsidRDefault="00B67D7C" w:rsidP="00D45A46">
            <w:pPr>
              <w:jc w:val="both"/>
              <w:rPr>
                <w:bCs/>
                <w:color w:val="002060"/>
                <w:sz w:val="16"/>
                <w:szCs w:val="16"/>
              </w:rPr>
            </w:pPr>
            <w:r w:rsidRPr="00DE096C">
              <w:rPr>
                <w:bCs/>
                <w:color w:val="002060"/>
                <w:sz w:val="16"/>
                <w:szCs w:val="16"/>
              </w:rPr>
              <w:t>Январь</w:t>
            </w:r>
          </w:p>
        </w:tc>
        <w:tc>
          <w:tcPr>
            <w:tcW w:w="636" w:type="dxa"/>
          </w:tcPr>
          <w:p w14:paraId="49E4CEB6" w14:textId="77777777" w:rsidR="00B67D7C" w:rsidRPr="00DE096C" w:rsidRDefault="00B67D7C" w:rsidP="00D45A46">
            <w:pPr>
              <w:jc w:val="both"/>
              <w:rPr>
                <w:bCs/>
                <w:color w:val="002060"/>
                <w:sz w:val="16"/>
                <w:szCs w:val="16"/>
              </w:rPr>
            </w:pPr>
            <w:r w:rsidRPr="00DE096C">
              <w:rPr>
                <w:bCs/>
                <w:color w:val="002060"/>
                <w:sz w:val="16"/>
                <w:szCs w:val="16"/>
              </w:rPr>
              <w:t>13,6</w:t>
            </w:r>
          </w:p>
        </w:tc>
        <w:tc>
          <w:tcPr>
            <w:tcW w:w="641" w:type="dxa"/>
          </w:tcPr>
          <w:p w14:paraId="69DB083D" w14:textId="77777777" w:rsidR="00B67D7C" w:rsidRPr="00DE096C" w:rsidRDefault="00B67D7C" w:rsidP="00D45A46">
            <w:pPr>
              <w:jc w:val="both"/>
              <w:rPr>
                <w:bCs/>
                <w:color w:val="002060"/>
                <w:sz w:val="16"/>
                <w:szCs w:val="16"/>
              </w:rPr>
            </w:pPr>
            <w:r w:rsidRPr="00DE096C">
              <w:rPr>
                <w:bCs/>
                <w:color w:val="002060"/>
                <w:sz w:val="16"/>
                <w:szCs w:val="16"/>
              </w:rPr>
              <w:t>10,9</w:t>
            </w:r>
          </w:p>
        </w:tc>
        <w:tc>
          <w:tcPr>
            <w:tcW w:w="636" w:type="dxa"/>
          </w:tcPr>
          <w:p w14:paraId="12D7EA20" w14:textId="77777777" w:rsidR="00B67D7C" w:rsidRPr="00DE096C" w:rsidRDefault="00B67D7C" w:rsidP="00D45A46">
            <w:pPr>
              <w:jc w:val="both"/>
              <w:rPr>
                <w:bCs/>
                <w:color w:val="002060"/>
                <w:sz w:val="16"/>
                <w:szCs w:val="16"/>
              </w:rPr>
            </w:pPr>
            <w:r w:rsidRPr="00DE096C">
              <w:rPr>
                <w:bCs/>
                <w:color w:val="002060"/>
                <w:sz w:val="16"/>
                <w:szCs w:val="16"/>
              </w:rPr>
              <w:t xml:space="preserve">20,0 </w:t>
            </w:r>
          </w:p>
        </w:tc>
        <w:tc>
          <w:tcPr>
            <w:tcW w:w="641" w:type="dxa"/>
          </w:tcPr>
          <w:p w14:paraId="003D7890" w14:textId="77777777" w:rsidR="00B67D7C" w:rsidRPr="00DE096C" w:rsidRDefault="00B67D7C" w:rsidP="00D45A46">
            <w:pPr>
              <w:jc w:val="both"/>
              <w:rPr>
                <w:bCs/>
                <w:color w:val="002060"/>
                <w:sz w:val="16"/>
                <w:szCs w:val="16"/>
              </w:rPr>
            </w:pPr>
            <w:r w:rsidRPr="00DE096C">
              <w:rPr>
                <w:bCs/>
                <w:color w:val="002060"/>
                <w:sz w:val="16"/>
                <w:szCs w:val="16"/>
              </w:rPr>
              <w:t>16,8</w:t>
            </w:r>
          </w:p>
        </w:tc>
      </w:tr>
      <w:tr w:rsidR="00B67D7C" w:rsidRPr="00DE096C" w14:paraId="1C795028" w14:textId="77777777" w:rsidTr="00C2024A">
        <w:tc>
          <w:tcPr>
            <w:tcW w:w="837" w:type="dxa"/>
          </w:tcPr>
          <w:p w14:paraId="2779F4C1" w14:textId="77777777" w:rsidR="00B67D7C" w:rsidRPr="00DE096C" w:rsidRDefault="00B67D7C" w:rsidP="00D45A46">
            <w:pPr>
              <w:jc w:val="both"/>
              <w:rPr>
                <w:bCs/>
                <w:color w:val="002060"/>
                <w:sz w:val="16"/>
                <w:szCs w:val="16"/>
              </w:rPr>
            </w:pPr>
            <w:r w:rsidRPr="00DE096C">
              <w:rPr>
                <w:bCs/>
                <w:color w:val="002060"/>
                <w:sz w:val="16"/>
                <w:szCs w:val="16"/>
              </w:rPr>
              <w:t>Февраль</w:t>
            </w:r>
          </w:p>
        </w:tc>
        <w:tc>
          <w:tcPr>
            <w:tcW w:w="636" w:type="dxa"/>
          </w:tcPr>
          <w:p w14:paraId="0CAF6862" w14:textId="77777777" w:rsidR="00B67D7C" w:rsidRPr="00DE096C" w:rsidRDefault="00B67D7C" w:rsidP="00D45A46">
            <w:pPr>
              <w:jc w:val="both"/>
              <w:rPr>
                <w:bCs/>
                <w:color w:val="002060"/>
                <w:sz w:val="16"/>
                <w:szCs w:val="16"/>
              </w:rPr>
            </w:pPr>
            <w:r w:rsidRPr="00DE096C">
              <w:rPr>
                <w:bCs/>
                <w:color w:val="002060"/>
                <w:sz w:val="16"/>
                <w:szCs w:val="16"/>
              </w:rPr>
              <w:t>13,3</w:t>
            </w:r>
          </w:p>
        </w:tc>
        <w:tc>
          <w:tcPr>
            <w:tcW w:w="641" w:type="dxa"/>
          </w:tcPr>
          <w:p w14:paraId="40442A07" w14:textId="77777777" w:rsidR="00B67D7C" w:rsidRPr="00DE096C" w:rsidRDefault="00B67D7C" w:rsidP="00D45A46">
            <w:pPr>
              <w:jc w:val="both"/>
              <w:rPr>
                <w:bCs/>
                <w:color w:val="002060"/>
                <w:sz w:val="16"/>
                <w:szCs w:val="16"/>
              </w:rPr>
            </w:pPr>
            <w:r w:rsidRPr="00DE096C">
              <w:rPr>
                <w:bCs/>
                <w:color w:val="002060"/>
                <w:sz w:val="16"/>
                <w:szCs w:val="16"/>
              </w:rPr>
              <w:t>10,5</w:t>
            </w:r>
          </w:p>
        </w:tc>
        <w:tc>
          <w:tcPr>
            <w:tcW w:w="636" w:type="dxa"/>
          </w:tcPr>
          <w:p w14:paraId="120D31C0" w14:textId="77777777" w:rsidR="00B67D7C" w:rsidRPr="00DE096C" w:rsidRDefault="00B67D7C" w:rsidP="00D45A46">
            <w:pPr>
              <w:jc w:val="both"/>
              <w:rPr>
                <w:bCs/>
                <w:color w:val="002060"/>
                <w:sz w:val="16"/>
                <w:szCs w:val="16"/>
              </w:rPr>
            </w:pPr>
            <w:r w:rsidRPr="00DE096C">
              <w:rPr>
                <w:bCs/>
                <w:color w:val="002060"/>
                <w:sz w:val="16"/>
                <w:szCs w:val="16"/>
              </w:rPr>
              <w:t xml:space="preserve">23,5 </w:t>
            </w:r>
          </w:p>
        </w:tc>
        <w:tc>
          <w:tcPr>
            <w:tcW w:w="641" w:type="dxa"/>
          </w:tcPr>
          <w:p w14:paraId="1F3A591C" w14:textId="77777777" w:rsidR="00B67D7C" w:rsidRPr="00DE096C" w:rsidRDefault="00B67D7C" w:rsidP="00D45A46">
            <w:pPr>
              <w:jc w:val="both"/>
              <w:rPr>
                <w:bCs/>
                <w:color w:val="002060"/>
                <w:sz w:val="16"/>
                <w:szCs w:val="16"/>
              </w:rPr>
            </w:pPr>
            <w:r w:rsidRPr="00DE096C">
              <w:rPr>
                <w:bCs/>
                <w:color w:val="002060"/>
                <w:sz w:val="16"/>
                <w:szCs w:val="16"/>
              </w:rPr>
              <w:t>19,1</w:t>
            </w:r>
          </w:p>
        </w:tc>
      </w:tr>
      <w:tr w:rsidR="00B67D7C" w:rsidRPr="00DE096C" w14:paraId="2FD7CE87" w14:textId="77777777" w:rsidTr="00C2024A">
        <w:tc>
          <w:tcPr>
            <w:tcW w:w="837" w:type="dxa"/>
          </w:tcPr>
          <w:p w14:paraId="7504BEDB" w14:textId="77777777" w:rsidR="00B67D7C" w:rsidRPr="00DE096C" w:rsidRDefault="00B67D7C" w:rsidP="00D45A46">
            <w:pPr>
              <w:jc w:val="both"/>
              <w:rPr>
                <w:bCs/>
                <w:color w:val="002060"/>
                <w:sz w:val="16"/>
                <w:szCs w:val="16"/>
              </w:rPr>
            </w:pPr>
            <w:r w:rsidRPr="00DE096C">
              <w:rPr>
                <w:bCs/>
                <w:color w:val="002060"/>
                <w:sz w:val="16"/>
                <w:szCs w:val="16"/>
              </w:rPr>
              <w:t>Март</w:t>
            </w:r>
          </w:p>
        </w:tc>
        <w:tc>
          <w:tcPr>
            <w:tcW w:w="636" w:type="dxa"/>
          </w:tcPr>
          <w:p w14:paraId="521ADDD4" w14:textId="77777777" w:rsidR="00B67D7C" w:rsidRPr="00DE096C" w:rsidRDefault="00B67D7C" w:rsidP="00D45A46">
            <w:pPr>
              <w:jc w:val="both"/>
              <w:rPr>
                <w:bCs/>
                <w:color w:val="002060"/>
                <w:sz w:val="16"/>
                <w:szCs w:val="16"/>
              </w:rPr>
            </w:pPr>
            <w:r w:rsidRPr="00DE096C">
              <w:rPr>
                <w:bCs/>
                <w:color w:val="002060"/>
                <w:sz w:val="16"/>
                <w:szCs w:val="16"/>
              </w:rPr>
              <w:t>14,2</w:t>
            </w:r>
          </w:p>
        </w:tc>
        <w:tc>
          <w:tcPr>
            <w:tcW w:w="641" w:type="dxa"/>
          </w:tcPr>
          <w:p w14:paraId="6BBCFB09" w14:textId="77777777" w:rsidR="00B67D7C" w:rsidRPr="00DE096C" w:rsidRDefault="00B67D7C" w:rsidP="00D45A46">
            <w:pPr>
              <w:jc w:val="both"/>
              <w:rPr>
                <w:bCs/>
                <w:color w:val="002060"/>
                <w:sz w:val="16"/>
                <w:szCs w:val="16"/>
              </w:rPr>
            </w:pPr>
            <w:r w:rsidRPr="00DE096C">
              <w:rPr>
                <w:bCs/>
                <w:color w:val="002060"/>
                <w:sz w:val="16"/>
                <w:szCs w:val="16"/>
              </w:rPr>
              <w:t>11,4</w:t>
            </w:r>
          </w:p>
        </w:tc>
        <w:tc>
          <w:tcPr>
            <w:tcW w:w="636" w:type="dxa"/>
          </w:tcPr>
          <w:p w14:paraId="4BF76D1F" w14:textId="77777777" w:rsidR="00B67D7C" w:rsidRPr="00DE096C" w:rsidRDefault="00B67D7C" w:rsidP="00D45A46">
            <w:pPr>
              <w:jc w:val="both"/>
              <w:rPr>
                <w:bCs/>
                <w:color w:val="002060"/>
                <w:sz w:val="16"/>
                <w:szCs w:val="16"/>
              </w:rPr>
            </w:pPr>
            <w:r w:rsidRPr="00DE096C">
              <w:rPr>
                <w:bCs/>
                <w:color w:val="002060"/>
                <w:sz w:val="16"/>
                <w:szCs w:val="16"/>
              </w:rPr>
              <w:t xml:space="preserve">26,3 </w:t>
            </w:r>
          </w:p>
        </w:tc>
        <w:tc>
          <w:tcPr>
            <w:tcW w:w="641" w:type="dxa"/>
          </w:tcPr>
          <w:p w14:paraId="6E222AFB" w14:textId="77777777" w:rsidR="00B67D7C" w:rsidRPr="00DE096C" w:rsidRDefault="00B67D7C" w:rsidP="00D45A46">
            <w:pPr>
              <w:jc w:val="both"/>
              <w:rPr>
                <w:bCs/>
                <w:color w:val="002060"/>
                <w:sz w:val="16"/>
                <w:szCs w:val="16"/>
              </w:rPr>
            </w:pPr>
            <w:r w:rsidRPr="00DE096C">
              <w:rPr>
                <w:bCs/>
                <w:color w:val="002060"/>
                <w:sz w:val="16"/>
                <w:szCs w:val="16"/>
              </w:rPr>
              <w:t>21,6</w:t>
            </w:r>
          </w:p>
        </w:tc>
      </w:tr>
      <w:tr w:rsidR="00B67D7C" w:rsidRPr="00DE096C" w14:paraId="01AD55DE" w14:textId="77777777" w:rsidTr="00C2024A">
        <w:tc>
          <w:tcPr>
            <w:tcW w:w="837" w:type="dxa"/>
          </w:tcPr>
          <w:p w14:paraId="051AE7E4" w14:textId="77777777" w:rsidR="00B67D7C" w:rsidRPr="00DE096C" w:rsidRDefault="00B67D7C" w:rsidP="00D45A46">
            <w:pPr>
              <w:jc w:val="both"/>
              <w:rPr>
                <w:bCs/>
                <w:color w:val="002060"/>
                <w:sz w:val="16"/>
                <w:szCs w:val="16"/>
              </w:rPr>
            </w:pPr>
            <w:r w:rsidRPr="00DE096C">
              <w:rPr>
                <w:bCs/>
                <w:color w:val="002060"/>
                <w:sz w:val="16"/>
                <w:szCs w:val="16"/>
              </w:rPr>
              <w:t>Апрель</w:t>
            </w:r>
          </w:p>
        </w:tc>
        <w:tc>
          <w:tcPr>
            <w:tcW w:w="636" w:type="dxa"/>
          </w:tcPr>
          <w:p w14:paraId="743EB6F2" w14:textId="77777777" w:rsidR="00B67D7C" w:rsidRPr="00DE096C" w:rsidRDefault="00B67D7C" w:rsidP="00D45A46">
            <w:pPr>
              <w:jc w:val="both"/>
              <w:rPr>
                <w:bCs/>
                <w:color w:val="002060"/>
                <w:sz w:val="16"/>
                <w:szCs w:val="16"/>
              </w:rPr>
            </w:pPr>
            <w:r w:rsidRPr="00DE096C">
              <w:rPr>
                <w:bCs/>
                <w:color w:val="002060"/>
                <w:sz w:val="16"/>
                <w:szCs w:val="16"/>
              </w:rPr>
              <w:t>13.5</w:t>
            </w:r>
          </w:p>
        </w:tc>
        <w:tc>
          <w:tcPr>
            <w:tcW w:w="641" w:type="dxa"/>
          </w:tcPr>
          <w:p w14:paraId="24FD46B2" w14:textId="77777777" w:rsidR="00B67D7C" w:rsidRPr="00DE096C" w:rsidRDefault="00B67D7C" w:rsidP="00D45A46">
            <w:pPr>
              <w:jc w:val="both"/>
              <w:rPr>
                <w:bCs/>
                <w:color w:val="002060"/>
                <w:sz w:val="16"/>
                <w:szCs w:val="16"/>
              </w:rPr>
            </w:pPr>
            <w:r w:rsidRPr="00DE096C">
              <w:rPr>
                <w:bCs/>
                <w:color w:val="002060"/>
                <w:sz w:val="16"/>
                <w:szCs w:val="16"/>
              </w:rPr>
              <w:t>9,5</w:t>
            </w:r>
          </w:p>
        </w:tc>
        <w:tc>
          <w:tcPr>
            <w:tcW w:w="636" w:type="dxa"/>
          </w:tcPr>
          <w:p w14:paraId="238DD9FB" w14:textId="77777777" w:rsidR="00B67D7C" w:rsidRPr="00DE096C" w:rsidRDefault="00B67D7C" w:rsidP="00D45A46">
            <w:pPr>
              <w:jc w:val="both"/>
              <w:rPr>
                <w:bCs/>
                <w:color w:val="002060"/>
                <w:sz w:val="16"/>
                <w:szCs w:val="16"/>
              </w:rPr>
            </w:pPr>
            <w:r w:rsidRPr="00DE096C">
              <w:rPr>
                <w:bCs/>
                <w:color w:val="002060"/>
                <w:sz w:val="16"/>
                <w:szCs w:val="16"/>
              </w:rPr>
              <w:t>31,5</w:t>
            </w:r>
          </w:p>
        </w:tc>
        <w:tc>
          <w:tcPr>
            <w:tcW w:w="641" w:type="dxa"/>
          </w:tcPr>
          <w:p w14:paraId="13F03852" w14:textId="77777777" w:rsidR="00B67D7C" w:rsidRPr="00DE096C" w:rsidRDefault="00B67D7C" w:rsidP="00D45A46">
            <w:pPr>
              <w:jc w:val="both"/>
              <w:rPr>
                <w:bCs/>
                <w:color w:val="002060"/>
                <w:sz w:val="16"/>
                <w:szCs w:val="16"/>
              </w:rPr>
            </w:pPr>
            <w:r w:rsidRPr="00DE096C">
              <w:rPr>
                <w:bCs/>
                <w:color w:val="002060"/>
                <w:sz w:val="16"/>
                <w:szCs w:val="16"/>
              </w:rPr>
              <w:t>26,3</w:t>
            </w:r>
          </w:p>
        </w:tc>
      </w:tr>
      <w:tr w:rsidR="00B67D7C" w:rsidRPr="00DE096C" w14:paraId="77F843AA" w14:textId="77777777" w:rsidTr="00C2024A">
        <w:tc>
          <w:tcPr>
            <w:tcW w:w="837" w:type="dxa"/>
          </w:tcPr>
          <w:p w14:paraId="71C3E256" w14:textId="77777777" w:rsidR="00B67D7C" w:rsidRPr="00DE096C" w:rsidRDefault="00B67D7C" w:rsidP="00D45A46">
            <w:pPr>
              <w:jc w:val="both"/>
              <w:rPr>
                <w:bCs/>
                <w:color w:val="002060"/>
                <w:sz w:val="16"/>
                <w:szCs w:val="16"/>
              </w:rPr>
            </w:pPr>
            <w:r w:rsidRPr="00DE096C">
              <w:rPr>
                <w:bCs/>
                <w:color w:val="002060"/>
                <w:sz w:val="16"/>
                <w:szCs w:val="16"/>
              </w:rPr>
              <w:t>Май</w:t>
            </w:r>
          </w:p>
        </w:tc>
        <w:tc>
          <w:tcPr>
            <w:tcW w:w="636" w:type="dxa"/>
          </w:tcPr>
          <w:p w14:paraId="02CF0265" w14:textId="77777777" w:rsidR="00B67D7C" w:rsidRPr="00DE096C" w:rsidRDefault="00B67D7C" w:rsidP="00D45A46">
            <w:pPr>
              <w:jc w:val="both"/>
              <w:rPr>
                <w:bCs/>
                <w:color w:val="002060"/>
                <w:sz w:val="16"/>
                <w:szCs w:val="16"/>
              </w:rPr>
            </w:pPr>
            <w:r w:rsidRPr="00DE096C">
              <w:rPr>
                <w:bCs/>
                <w:color w:val="002060"/>
                <w:sz w:val="16"/>
                <w:szCs w:val="16"/>
              </w:rPr>
              <w:t>14,5</w:t>
            </w:r>
          </w:p>
        </w:tc>
        <w:tc>
          <w:tcPr>
            <w:tcW w:w="641" w:type="dxa"/>
          </w:tcPr>
          <w:p w14:paraId="5A9B9E8D" w14:textId="77777777" w:rsidR="00B67D7C" w:rsidRPr="00DE096C" w:rsidRDefault="00B67D7C" w:rsidP="00D45A46">
            <w:pPr>
              <w:jc w:val="both"/>
              <w:rPr>
                <w:bCs/>
                <w:color w:val="002060"/>
                <w:sz w:val="16"/>
                <w:szCs w:val="16"/>
              </w:rPr>
            </w:pPr>
            <w:r w:rsidRPr="00DE096C">
              <w:rPr>
                <w:bCs/>
                <w:color w:val="002060"/>
                <w:sz w:val="16"/>
                <w:szCs w:val="16"/>
              </w:rPr>
              <w:t>9,5</w:t>
            </w:r>
          </w:p>
        </w:tc>
        <w:tc>
          <w:tcPr>
            <w:tcW w:w="636" w:type="dxa"/>
          </w:tcPr>
          <w:p w14:paraId="1F1E7A78" w14:textId="77777777" w:rsidR="00B67D7C" w:rsidRPr="00DE096C" w:rsidRDefault="00B67D7C" w:rsidP="00D45A46">
            <w:pPr>
              <w:jc w:val="both"/>
              <w:rPr>
                <w:bCs/>
                <w:color w:val="002060"/>
                <w:sz w:val="16"/>
                <w:szCs w:val="16"/>
              </w:rPr>
            </w:pPr>
            <w:r w:rsidRPr="00DE096C">
              <w:rPr>
                <w:bCs/>
                <w:color w:val="002060"/>
                <w:sz w:val="16"/>
                <w:szCs w:val="16"/>
              </w:rPr>
              <w:t xml:space="preserve">33,7 </w:t>
            </w:r>
          </w:p>
        </w:tc>
        <w:tc>
          <w:tcPr>
            <w:tcW w:w="641" w:type="dxa"/>
          </w:tcPr>
          <w:p w14:paraId="6F4CFFA5" w14:textId="77777777" w:rsidR="00B67D7C" w:rsidRPr="00DE096C" w:rsidRDefault="00B67D7C" w:rsidP="00D45A46">
            <w:pPr>
              <w:jc w:val="both"/>
              <w:rPr>
                <w:bCs/>
                <w:color w:val="002060"/>
                <w:sz w:val="16"/>
                <w:szCs w:val="16"/>
              </w:rPr>
            </w:pPr>
            <w:r w:rsidRPr="00DE096C">
              <w:rPr>
                <w:bCs/>
                <w:color w:val="002060"/>
                <w:sz w:val="16"/>
                <w:szCs w:val="16"/>
              </w:rPr>
              <w:t>28,0</w:t>
            </w:r>
          </w:p>
        </w:tc>
      </w:tr>
      <w:tr w:rsidR="00B67D7C" w:rsidRPr="00DE096C" w14:paraId="6673169E" w14:textId="77777777" w:rsidTr="00C2024A">
        <w:tc>
          <w:tcPr>
            <w:tcW w:w="837" w:type="dxa"/>
          </w:tcPr>
          <w:p w14:paraId="0A48D22A" w14:textId="77777777" w:rsidR="00B67D7C" w:rsidRPr="00DE096C" w:rsidRDefault="00B67D7C" w:rsidP="00D45A46">
            <w:pPr>
              <w:jc w:val="both"/>
              <w:rPr>
                <w:bCs/>
                <w:color w:val="002060"/>
                <w:sz w:val="16"/>
                <w:szCs w:val="16"/>
              </w:rPr>
            </w:pPr>
            <w:r w:rsidRPr="00DE096C">
              <w:rPr>
                <w:bCs/>
                <w:color w:val="002060"/>
                <w:sz w:val="16"/>
                <w:szCs w:val="16"/>
              </w:rPr>
              <w:t>Июнь</w:t>
            </w:r>
          </w:p>
        </w:tc>
        <w:tc>
          <w:tcPr>
            <w:tcW w:w="636" w:type="dxa"/>
          </w:tcPr>
          <w:p w14:paraId="26B33D0C" w14:textId="77777777" w:rsidR="00B67D7C" w:rsidRPr="00DE096C" w:rsidRDefault="00B67D7C" w:rsidP="00D45A46">
            <w:pPr>
              <w:jc w:val="both"/>
              <w:rPr>
                <w:bCs/>
                <w:color w:val="002060"/>
                <w:sz w:val="16"/>
                <w:szCs w:val="16"/>
              </w:rPr>
            </w:pPr>
            <w:r w:rsidRPr="00DE096C">
              <w:rPr>
                <w:bCs/>
                <w:color w:val="002060"/>
                <w:sz w:val="16"/>
                <w:szCs w:val="16"/>
              </w:rPr>
              <w:t>116,5</w:t>
            </w:r>
          </w:p>
        </w:tc>
        <w:tc>
          <w:tcPr>
            <w:tcW w:w="641" w:type="dxa"/>
          </w:tcPr>
          <w:p w14:paraId="4539BA25" w14:textId="77777777" w:rsidR="00B67D7C" w:rsidRPr="00DE096C" w:rsidRDefault="00B67D7C" w:rsidP="00D45A46">
            <w:pPr>
              <w:jc w:val="both"/>
              <w:rPr>
                <w:bCs/>
                <w:color w:val="002060"/>
                <w:sz w:val="16"/>
                <w:szCs w:val="16"/>
              </w:rPr>
            </w:pPr>
            <w:r w:rsidRPr="00DE096C">
              <w:rPr>
                <w:bCs/>
                <w:color w:val="002060"/>
                <w:sz w:val="16"/>
                <w:szCs w:val="16"/>
              </w:rPr>
              <w:t>12,8</w:t>
            </w:r>
          </w:p>
        </w:tc>
        <w:tc>
          <w:tcPr>
            <w:tcW w:w="636" w:type="dxa"/>
          </w:tcPr>
          <w:p w14:paraId="52A6ED8A" w14:textId="77777777" w:rsidR="00B67D7C" w:rsidRPr="00DE096C" w:rsidRDefault="00B67D7C" w:rsidP="00D45A46">
            <w:pPr>
              <w:jc w:val="both"/>
              <w:rPr>
                <w:bCs/>
                <w:color w:val="002060"/>
                <w:sz w:val="16"/>
                <w:szCs w:val="16"/>
              </w:rPr>
            </w:pPr>
            <w:r w:rsidRPr="00DE096C">
              <w:rPr>
                <w:bCs/>
                <w:color w:val="002060"/>
                <w:sz w:val="16"/>
                <w:szCs w:val="16"/>
              </w:rPr>
              <w:t xml:space="preserve">33,7 </w:t>
            </w:r>
          </w:p>
        </w:tc>
        <w:tc>
          <w:tcPr>
            <w:tcW w:w="641" w:type="dxa"/>
          </w:tcPr>
          <w:p w14:paraId="68F3A7A3" w14:textId="77777777" w:rsidR="00B67D7C" w:rsidRPr="00DE096C" w:rsidRDefault="00B67D7C" w:rsidP="00D45A46">
            <w:pPr>
              <w:jc w:val="both"/>
              <w:rPr>
                <w:bCs/>
                <w:color w:val="002060"/>
                <w:sz w:val="16"/>
                <w:szCs w:val="16"/>
              </w:rPr>
            </w:pPr>
            <w:r w:rsidRPr="00DE096C">
              <w:rPr>
                <w:bCs/>
                <w:color w:val="002060"/>
                <w:sz w:val="16"/>
                <w:szCs w:val="16"/>
              </w:rPr>
              <w:t>28,0</w:t>
            </w:r>
          </w:p>
        </w:tc>
      </w:tr>
      <w:tr w:rsidR="00B67D7C" w:rsidRPr="00DE096C" w14:paraId="1A8C56FE" w14:textId="77777777" w:rsidTr="00C2024A">
        <w:tc>
          <w:tcPr>
            <w:tcW w:w="837" w:type="dxa"/>
          </w:tcPr>
          <w:p w14:paraId="683795A5" w14:textId="77777777" w:rsidR="00B67D7C" w:rsidRPr="00DE096C" w:rsidRDefault="00B67D7C" w:rsidP="00D45A46">
            <w:pPr>
              <w:jc w:val="both"/>
              <w:rPr>
                <w:bCs/>
                <w:color w:val="002060"/>
                <w:sz w:val="16"/>
                <w:szCs w:val="16"/>
              </w:rPr>
            </w:pPr>
            <w:r w:rsidRPr="00DE096C">
              <w:rPr>
                <w:bCs/>
                <w:color w:val="002060"/>
                <w:sz w:val="16"/>
                <w:szCs w:val="16"/>
              </w:rPr>
              <w:t>Июль</w:t>
            </w:r>
          </w:p>
        </w:tc>
        <w:tc>
          <w:tcPr>
            <w:tcW w:w="636" w:type="dxa"/>
          </w:tcPr>
          <w:p w14:paraId="3774CA83" w14:textId="77777777" w:rsidR="00B67D7C" w:rsidRPr="00DE096C" w:rsidRDefault="00B67D7C" w:rsidP="00D45A46">
            <w:pPr>
              <w:jc w:val="both"/>
              <w:rPr>
                <w:bCs/>
                <w:color w:val="002060"/>
                <w:sz w:val="16"/>
                <w:szCs w:val="16"/>
              </w:rPr>
            </w:pPr>
            <w:r w:rsidRPr="00DE096C">
              <w:rPr>
                <w:bCs/>
                <w:color w:val="002060"/>
                <w:sz w:val="16"/>
                <w:szCs w:val="16"/>
              </w:rPr>
              <w:t>126,7</w:t>
            </w:r>
          </w:p>
        </w:tc>
        <w:tc>
          <w:tcPr>
            <w:tcW w:w="641" w:type="dxa"/>
          </w:tcPr>
          <w:p w14:paraId="1689C8D4" w14:textId="77777777" w:rsidR="00B67D7C" w:rsidRPr="00DE096C" w:rsidRDefault="00B67D7C" w:rsidP="00D45A46">
            <w:pPr>
              <w:jc w:val="both"/>
              <w:rPr>
                <w:bCs/>
                <w:color w:val="002060"/>
                <w:sz w:val="16"/>
                <w:szCs w:val="16"/>
              </w:rPr>
            </w:pPr>
            <w:r w:rsidRPr="00DE096C">
              <w:rPr>
                <w:bCs/>
                <w:color w:val="002060"/>
                <w:sz w:val="16"/>
                <w:szCs w:val="16"/>
              </w:rPr>
              <w:t>12,5</w:t>
            </w:r>
          </w:p>
        </w:tc>
        <w:tc>
          <w:tcPr>
            <w:tcW w:w="636" w:type="dxa"/>
          </w:tcPr>
          <w:p w14:paraId="3EEA1A33" w14:textId="77777777" w:rsidR="00B67D7C" w:rsidRPr="00DE096C" w:rsidRDefault="00B67D7C" w:rsidP="00D45A46">
            <w:pPr>
              <w:jc w:val="both"/>
              <w:rPr>
                <w:bCs/>
                <w:color w:val="002060"/>
                <w:sz w:val="16"/>
                <w:szCs w:val="16"/>
              </w:rPr>
            </w:pPr>
            <w:r w:rsidRPr="00DE096C">
              <w:rPr>
                <w:bCs/>
                <w:color w:val="002060"/>
                <w:sz w:val="16"/>
                <w:szCs w:val="16"/>
              </w:rPr>
              <w:t xml:space="preserve">— </w:t>
            </w:r>
          </w:p>
        </w:tc>
        <w:tc>
          <w:tcPr>
            <w:tcW w:w="641" w:type="dxa"/>
          </w:tcPr>
          <w:p w14:paraId="35FBDE4F" w14:textId="77777777" w:rsidR="00B67D7C" w:rsidRPr="00DE096C" w:rsidRDefault="00B67D7C" w:rsidP="00D45A46">
            <w:pPr>
              <w:jc w:val="both"/>
              <w:rPr>
                <w:bCs/>
                <w:color w:val="002060"/>
                <w:sz w:val="16"/>
                <w:szCs w:val="16"/>
              </w:rPr>
            </w:pPr>
            <w:r w:rsidRPr="00DE096C">
              <w:rPr>
                <w:bCs/>
                <w:color w:val="002060"/>
                <w:sz w:val="16"/>
                <w:szCs w:val="16"/>
              </w:rPr>
              <w:t>—</w:t>
            </w:r>
          </w:p>
        </w:tc>
      </w:tr>
      <w:tr w:rsidR="00B67D7C" w:rsidRPr="00DE096C" w14:paraId="1A061CA7" w14:textId="77777777" w:rsidTr="00C2024A">
        <w:tc>
          <w:tcPr>
            <w:tcW w:w="837" w:type="dxa"/>
          </w:tcPr>
          <w:p w14:paraId="14F1FD08" w14:textId="77777777" w:rsidR="00B67D7C" w:rsidRPr="00DE096C" w:rsidRDefault="00B67D7C" w:rsidP="00D45A46">
            <w:pPr>
              <w:jc w:val="both"/>
              <w:rPr>
                <w:bCs/>
                <w:color w:val="002060"/>
                <w:sz w:val="16"/>
                <w:szCs w:val="16"/>
              </w:rPr>
            </w:pPr>
            <w:r w:rsidRPr="00DE096C">
              <w:rPr>
                <w:bCs/>
                <w:color w:val="002060"/>
                <w:sz w:val="16"/>
                <w:szCs w:val="16"/>
              </w:rPr>
              <w:t>Август</w:t>
            </w:r>
          </w:p>
        </w:tc>
        <w:tc>
          <w:tcPr>
            <w:tcW w:w="636" w:type="dxa"/>
          </w:tcPr>
          <w:p w14:paraId="2284DC92" w14:textId="77777777" w:rsidR="00B67D7C" w:rsidRPr="00DE096C" w:rsidRDefault="00B67D7C" w:rsidP="00D45A46">
            <w:pPr>
              <w:jc w:val="both"/>
              <w:rPr>
                <w:bCs/>
                <w:color w:val="002060"/>
                <w:sz w:val="16"/>
                <w:szCs w:val="16"/>
              </w:rPr>
            </w:pPr>
            <w:r w:rsidRPr="00DE096C">
              <w:rPr>
                <w:bCs/>
                <w:color w:val="002060"/>
                <w:sz w:val="16"/>
                <w:szCs w:val="16"/>
              </w:rPr>
              <w:t>15,1</w:t>
            </w:r>
          </w:p>
        </w:tc>
        <w:tc>
          <w:tcPr>
            <w:tcW w:w="641" w:type="dxa"/>
          </w:tcPr>
          <w:p w14:paraId="5E0E9D83" w14:textId="77777777" w:rsidR="00B67D7C" w:rsidRPr="00DE096C" w:rsidRDefault="00B67D7C" w:rsidP="00D45A46">
            <w:pPr>
              <w:jc w:val="both"/>
              <w:rPr>
                <w:bCs/>
                <w:color w:val="002060"/>
                <w:sz w:val="16"/>
                <w:szCs w:val="16"/>
              </w:rPr>
            </w:pPr>
            <w:r w:rsidRPr="00DE096C">
              <w:rPr>
                <w:bCs/>
                <w:color w:val="002060"/>
                <w:sz w:val="16"/>
                <w:szCs w:val="16"/>
              </w:rPr>
              <w:t>12,4</w:t>
            </w:r>
          </w:p>
        </w:tc>
        <w:tc>
          <w:tcPr>
            <w:tcW w:w="636" w:type="dxa"/>
          </w:tcPr>
          <w:p w14:paraId="71BD8793" w14:textId="77777777" w:rsidR="00B67D7C" w:rsidRPr="00DE096C" w:rsidRDefault="00B67D7C" w:rsidP="00D45A46">
            <w:pPr>
              <w:jc w:val="both"/>
              <w:rPr>
                <w:bCs/>
                <w:color w:val="002060"/>
                <w:sz w:val="16"/>
                <w:szCs w:val="16"/>
              </w:rPr>
            </w:pPr>
            <w:r w:rsidRPr="00DE096C">
              <w:rPr>
                <w:bCs/>
                <w:color w:val="002060"/>
                <w:sz w:val="16"/>
                <w:szCs w:val="16"/>
              </w:rPr>
              <w:t xml:space="preserve">— </w:t>
            </w:r>
          </w:p>
        </w:tc>
        <w:tc>
          <w:tcPr>
            <w:tcW w:w="641" w:type="dxa"/>
          </w:tcPr>
          <w:p w14:paraId="0F06FC34" w14:textId="77777777" w:rsidR="00B67D7C" w:rsidRPr="00DE096C" w:rsidRDefault="00B67D7C" w:rsidP="00D45A46">
            <w:pPr>
              <w:jc w:val="both"/>
              <w:rPr>
                <w:bCs/>
                <w:color w:val="002060"/>
                <w:sz w:val="16"/>
                <w:szCs w:val="16"/>
              </w:rPr>
            </w:pPr>
            <w:r w:rsidRPr="00DE096C">
              <w:rPr>
                <w:bCs/>
                <w:color w:val="002060"/>
                <w:sz w:val="16"/>
                <w:szCs w:val="16"/>
              </w:rPr>
              <w:t>—</w:t>
            </w:r>
          </w:p>
        </w:tc>
      </w:tr>
      <w:tr w:rsidR="00B67D7C" w:rsidRPr="00DE096C" w14:paraId="3CBFE151" w14:textId="77777777" w:rsidTr="00C2024A">
        <w:tc>
          <w:tcPr>
            <w:tcW w:w="837" w:type="dxa"/>
          </w:tcPr>
          <w:p w14:paraId="7785EA43" w14:textId="77777777" w:rsidR="00B67D7C" w:rsidRPr="00DE096C" w:rsidRDefault="00B67D7C" w:rsidP="00D45A46">
            <w:pPr>
              <w:jc w:val="both"/>
              <w:rPr>
                <w:bCs/>
                <w:color w:val="002060"/>
                <w:sz w:val="16"/>
                <w:szCs w:val="16"/>
              </w:rPr>
            </w:pPr>
            <w:r w:rsidRPr="00DE096C">
              <w:rPr>
                <w:bCs/>
                <w:color w:val="002060"/>
                <w:sz w:val="16"/>
                <w:szCs w:val="16"/>
              </w:rPr>
              <w:t>Сентябрь</w:t>
            </w:r>
          </w:p>
        </w:tc>
        <w:tc>
          <w:tcPr>
            <w:tcW w:w="636" w:type="dxa"/>
          </w:tcPr>
          <w:p w14:paraId="67790400" w14:textId="77777777" w:rsidR="00B67D7C" w:rsidRPr="00DE096C" w:rsidRDefault="00B67D7C" w:rsidP="00D45A46">
            <w:pPr>
              <w:jc w:val="both"/>
              <w:rPr>
                <w:bCs/>
                <w:color w:val="002060"/>
                <w:sz w:val="16"/>
                <w:szCs w:val="16"/>
              </w:rPr>
            </w:pPr>
            <w:r w:rsidRPr="00DE096C">
              <w:rPr>
                <w:bCs/>
                <w:color w:val="002060"/>
                <w:sz w:val="16"/>
                <w:szCs w:val="16"/>
              </w:rPr>
              <w:t>18,3</w:t>
            </w:r>
          </w:p>
        </w:tc>
        <w:tc>
          <w:tcPr>
            <w:tcW w:w="641" w:type="dxa"/>
          </w:tcPr>
          <w:p w14:paraId="289B50FD" w14:textId="77777777" w:rsidR="00B67D7C" w:rsidRPr="00DE096C" w:rsidRDefault="00B67D7C" w:rsidP="00D45A46">
            <w:pPr>
              <w:jc w:val="both"/>
              <w:rPr>
                <w:bCs/>
                <w:color w:val="002060"/>
                <w:sz w:val="16"/>
                <w:szCs w:val="16"/>
              </w:rPr>
            </w:pPr>
            <w:r w:rsidRPr="00DE096C">
              <w:rPr>
                <w:bCs/>
                <w:color w:val="002060"/>
                <w:sz w:val="16"/>
                <w:szCs w:val="16"/>
              </w:rPr>
              <w:t>14,3</w:t>
            </w:r>
          </w:p>
        </w:tc>
        <w:tc>
          <w:tcPr>
            <w:tcW w:w="636" w:type="dxa"/>
          </w:tcPr>
          <w:p w14:paraId="697EBD58" w14:textId="77777777" w:rsidR="00B67D7C" w:rsidRPr="00DE096C" w:rsidRDefault="00B67D7C" w:rsidP="00D45A46">
            <w:pPr>
              <w:jc w:val="both"/>
              <w:rPr>
                <w:bCs/>
                <w:color w:val="002060"/>
                <w:sz w:val="16"/>
                <w:szCs w:val="16"/>
              </w:rPr>
            </w:pPr>
            <w:r w:rsidRPr="00DE096C">
              <w:rPr>
                <w:bCs/>
                <w:color w:val="002060"/>
                <w:sz w:val="16"/>
                <w:szCs w:val="16"/>
              </w:rPr>
              <w:t xml:space="preserve">— </w:t>
            </w:r>
          </w:p>
        </w:tc>
        <w:tc>
          <w:tcPr>
            <w:tcW w:w="641" w:type="dxa"/>
          </w:tcPr>
          <w:p w14:paraId="3E32C517" w14:textId="77777777" w:rsidR="00B67D7C" w:rsidRPr="00DE096C" w:rsidRDefault="00B67D7C" w:rsidP="00D45A46">
            <w:pPr>
              <w:jc w:val="both"/>
              <w:rPr>
                <w:bCs/>
                <w:color w:val="002060"/>
                <w:sz w:val="16"/>
                <w:szCs w:val="16"/>
              </w:rPr>
            </w:pPr>
            <w:r w:rsidRPr="00DE096C">
              <w:rPr>
                <w:bCs/>
                <w:color w:val="002060"/>
                <w:sz w:val="16"/>
                <w:szCs w:val="16"/>
              </w:rPr>
              <w:t>—</w:t>
            </w:r>
          </w:p>
        </w:tc>
      </w:tr>
      <w:tr w:rsidR="00B67D7C" w:rsidRPr="00DE096C" w14:paraId="32B78AA0" w14:textId="77777777" w:rsidTr="00C2024A">
        <w:tc>
          <w:tcPr>
            <w:tcW w:w="837" w:type="dxa"/>
          </w:tcPr>
          <w:p w14:paraId="2833B1BA" w14:textId="77777777" w:rsidR="00B67D7C" w:rsidRPr="00DE096C" w:rsidRDefault="00B67D7C" w:rsidP="00D45A46">
            <w:pPr>
              <w:jc w:val="both"/>
              <w:rPr>
                <w:bCs/>
                <w:color w:val="002060"/>
                <w:sz w:val="16"/>
                <w:szCs w:val="16"/>
              </w:rPr>
            </w:pPr>
            <w:r w:rsidRPr="00DE096C">
              <w:rPr>
                <w:bCs/>
                <w:color w:val="002060"/>
                <w:sz w:val="16"/>
                <w:szCs w:val="16"/>
              </w:rPr>
              <w:t>Октябрь</w:t>
            </w:r>
          </w:p>
        </w:tc>
        <w:tc>
          <w:tcPr>
            <w:tcW w:w="636" w:type="dxa"/>
          </w:tcPr>
          <w:p w14:paraId="6235E31E" w14:textId="77777777" w:rsidR="00B67D7C" w:rsidRPr="00DE096C" w:rsidRDefault="00B67D7C" w:rsidP="00D45A46">
            <w:pPr>
              <w:jc w:val="both"/>
              <w:rPr>
                <w:bCs/>
                <w:color w:val="002060"/>
                <w:sz w:val="16"/>
                <w:szCs w:val="16"/>
              </w:rPr>
            </w:pPr>
            <w:r w:rsidRPr="00DE096C">
              <w:rPr>
                <w:bCs/>
                <w:color w:val="002060"/>
                <w:sz w:val="16"/>
                <w:szCs w:val="16"/>
              </w:rPr>
              <w:t>22,3</w:t>
            </w:r>
          </w:p>
        </w:tc>
        <w:tc>
          <w:tcPr>
            <w:tcW w:w="641" w:type="dxa"/>
          </w:tcPr>
          <w:p w14:paraId="4856D8BB" w14:textId="77777777" w:rsidR="00B67D7C" w:rsidRPr="00DE096C" w:rsidRDefault="00B67D7C" w:rsidP="00D45A46">
            <w:pPr>
              <w:jc w:val="both"/>
              <w:rPr>
                <w:bCs/>
                <w:color w:val="002060"/>
                <w:sz w:val="16"/>
                <w:szCs w:val="16"/>
              </w:rPr>
            </w:pPr>
            <w:r w:rsidRPr="00DE096C">
              <w:rPr>
                <w:bCs/>
                <w:color w:val="002060"/>
                <w:sz w:val="16"/>
                <w:szCs w:val="16"/>
              </w:rPr>
              <w:t>16,7</w:t>
            </w:r>
          </w:p>
        </w:tc>
        <w:tc>
          <w:tcPr>
            <w:tcW w:w="636" w:type="dxa"/>
          </w:tcPr>
          <w:p w14:paraId="46C547D0" w14:textId="77777777" w:rsidR="00B67D7C" w:rsidRPr="00DE096C" w:rsidRDefault="00B67D7C" w:rsidP="00D45A46">
            <w:pPr>
              <w:jc w:val="both"/>
              <w:rPr>
                <w:bCs/>
                <w:color w:val="002060"/>
                <w:sz w:val="16"/>
                <w:szCs w:val="16"/>
              </w:rPr>
            </w:pPr>
            <w:r w:rsidRPr="00DE096C">
              <w:rPr>
                <w:bCs/>
                <w:color w:val="002060"/>
                <w:sz w:val="16"/>
                <w:szCs w:val="16"/>
              </w:rPr>
              <w:t xml:space="preserve">— </w:t>
            </w:r>
          </w:p>
        </w:tc>
        <w:tc>
          <w:tcPr>
            <w:tcW w:w="641" w:type="dxa"/>
          </w:tcPr>
          <w:p w14:paraId="1960D427" w14:textId="77777777" w:rsidR="00B67D7C" w:rsidRPr="00DE096C" w:rsidRDefault="00B67D7C" w:rsidP="00D45A46">
            <w:pPr>
              <w:jc w:val="both"/>
              <w:rPr>
                <w:bCs/>
                <w:color w:val="002060"/>
                <w:sz w:val="16"/>
                <w:szCs w:val="16"/>
              </w:rPr>
            </w:pPr>
            <w:r w:rsidRPr="00DE096C">
              <w:rPr>
                <w:bCs/>
                <w:color w:val="002060"/>
                <w:sz w:val="16"/>
                <w:szCs w:val="16"/>
              </w:rPr>
              <w:t>—</w:t>
            </w:r>
          </w:p>
        </w:tc>
      </w:tr>
      <w:tr w:rsidR="00B67D7C" w:rsidRPr="00DE096C" w14:paraId="2AC0E2E0" w14:textId="77777777" w:rsidTr="00C2024A">
        <w:tc>
          <w:tcPr>
            <w:tcW w:w="837" w:type="dxa"/>
          </w:tcPr>
          <w:p w14:paraId="464DE747" w14:textId="77777777" w:rsidR="00B67D7C" w:rsidRPr="00DE096C" w:rsidRDefault="00B67D7C" w:rsidP="00D45A46">
            <w:pPr>
              <w:jc w:val="both"/>
              <w:rPr>
                <w:bCs/>
                <w:color w:val="002060"/>
                <w:sz w:val="16"/>
                <w:szCs w:val="16"/>
              </w:rPr>
            </w:pPr>
            <w:r w:rsidRPr="00DE096C">
              <w:rPr>
                <w:bCs/>
                <w:color w:val="002060"/>
                <w:sz w:val="16"/>
                <w:szCs w:val="16"/>
              </w:rPr>
              <w:t>Ноябрь</w:t>
            </w:r>
          </w:p>
        </w:tc>
        <w:tc>
          <w:tcPr>
            <w:tcW w:w="636" w:type="dxa"/>
          </w:tcPr>
          <w:p w14:paraId="35AE6FC0" w14:textId="77777777" w:rsidR="00B67D7C" w:rsidRPr="00DE096C" w:rsidRDefault="00B67D7C" w:rsidP="00D45A46">
            <w:pPr>
              <w:jc w:val="both"/>
              <w:rPr>
                <w:bCs/>
                <w:color w:val="002060"/>
                <w:sz w:val="16"/>
                <w:szCs w:val="16"/>
              </w:rPr>
            </w:pPr>
            <w:r w:rsidRPr="00DE096C">
              <w:rPr>
                <w:bCs/>
                <w:color w:val="002060"/>
                <w:sz w:val="16"/>
                <w:szCs w:val="16"/>
              </w:rPr>
              <w:t>19,7</w:t>
            </w:r>
          </w:p>
        </w:tc>
        <w:tc>
          <w:tcPr>
            <w:tcW w:w="641" w:type="dxa"/>
          </w:tcPr>
          <w:p w14:paraId="0001F43E" w14:textId="77777777" w:rsidR="00B67D7C" w:rsidRPr="00DE096C" w:rsidRDefault="00B67D7C" w:rsidP="00D45A46">
            <w:pPr>
              <w:jc w:val="both"/>
              <w:rPr>
                <w:bCs/>
                <w:color w:val="002060"/>
                <w:sz w:val="16"/>
                <w:szCs w:val="16"/>
              </w:rPr>
            </w:pPr>
            <w:r w:rsidRPr="00DE096C">
              <w:rPr>
                <w:bCs/>
                <w:color w:val="002060"/>
                <w:sz w:val="16"/>
                <w:szCs w:val="16"/>
              </w:rPr>
              <w:t>15,4</w:t>
            </w:r>
          </w:p>
        </w:tc>
        <w:tc>
          <w:tcPr>
            <w:tcW w:w="636" w:type="dxa"/>
          </w:tcPr>
          <w:p w14:paraId="660399AE" w14:textId="77777777" w:rsidR="00B67D7C" w:rsidRPr="00DE096C" w:rsidRDefault="00B67D7C" w:rsidP="00D45A46">
            <w:pPr>
              <w:jc w:val="both"/>
              <w:rPr>
                <w:bCs/>
                <w:color w:val="002060"/>
                <w:sz w:val="16"/>
                <w:szCs w:val="16"/>
              </w:rPr>
            </w:pPr>
            <w:r w:rsidRPr="00DE096C">
              <w:rPr>
                <w:bCs/>
                <w:color w:val="002060"/>
                <w:sz w:val="16"/>
                <w:szCs w:val="16"/>
              </w:rPr>
              <w:t xml:space="preserve">— </w:t>
            </w:r>
          </w:p>
        </w:tc>
        <w:tc>
          <w:tcPr>
            <w:tcW w:w="641" w:type="dxa"/>
          </w:tcPr>
          <w:p w14:paraId="332B9A08" w14:textId="77777777" w:rsidR="00B67D7C" w:rsidRPr="00DE096C" w:rsidRDefault="00B67D7C" w:rsidP="00D45A46">
            <w:pPr>
              <w:jc w:val="both"/>
              <w:rPr>
                <w:bCs/>
                <w:color w:val="002060"/>
                <w:sz w:val="16"/>
                <w:szCs w:val="16"/>
              </w:rPr>
            </w:pPr>
            <w:r w:rsidRPr="00DE096C">
              <w:rPr>
                <w:bCs/>
                <w:color w:val="002060"/>
                <w:sz w:val="16"/>
                <w:szCs w:val="16"/>
              </w:rPr>
              <w:t>—</w:t>
            </w:r>
          </w:p>
        </w:tc>
      </w:tr>
      <w:tr w:rsidR="00B67D7C" w:rsidRPr="00DE096C" w14:paraId="5ABADF70" w14:textId="77777777" w:rsidTr="00C2024A">
        <w:tc>
          <w:tcPr>
            <w:tcW w:w="837" w:type="dxa"/>
          </w:tcPr>
          <w:p w14:paraId="44CC672B" w14:textId="77777777" w:rsidR="00B67D7C" w:rsidRPr="00DE096C" w:rsidRDefault="00B67D7C" w:rsidP="00D45A46">
            <w:pPr>
              <w:jc w:val="both"/>
              <w:rPr>
                <w:bCs/>
                <w:color w:val="002060"/>
                <w:sz w:val="16"/>
                <w:szCs w:val="16"/>
              </w:rPr>
            </w:pPr>
            <w:r w:rsidRPr="00DE096C">
              <w:rPr>
                <w:bCs/>
                <w:color w:val="002060"/>
                <w:sz w:val="16"/>
                <w:szCs w:val="16"/>
              </w:rPr>
              <w:t>Декабрь</w:t>
            </w:r>
          </w:p>
        </w:tc>
        <w:tc>
          <w:tcPr>
            <w:tcW w:w="636" w:type="dxa"/>
          </w:tcPr>
          <w:p w14:paraId="709EB482" w14:textId="77777777" w:rsidR="00B67D7C" w:rsidRPr="00DE096C" w:rsidRDefault="00B67D7C" w:rsidP="00D45A46">
            <w:pPr>
              <w:jc w:val="both"/>
              <w:rPr>
                <w:bCs/>
                <w:color w:val="002060"/>
                <w:sz w:val="16"/>
                <w:szCs w:val="16"/>
              </w:rPr>
            </w:pPr>
            <w:r w:rsidRPr="00DE096C">
              <w:rPr>
                <w:bCs/>
                <w:color w:val="002060"/>
                <w:sz w:val="16"/>
                <w:szCs w:val="16"/>
              </w:rPr>
              <w:t>26,7</w:t>
            </w:r>
          </w:p>
        </w:tc>
        <w:tc>
          <w:tcPr>
            <w:tcW w:w="641" w:type="dxa"/>
          </w:tcPr>
          <w:p w14:paraId="137FE1E8" w14:textId="77777777" w:rsidR="00B67D7C" w:rsidRPr="00DE096C" w:rsidRDefault="00B67D7C" w:rsidP="00D45A46">
            <w:pPr>
              <w:jc w:val="both"/>
              <w:rPr>
                <w:bCs/>
                <w:color w:val="002060"/>
                <w:sz w:val="16"/>
                <w:szCs w:val="16"/>
              </w:rPr>
            </w:pPr>
            <w:r w:rsidRPr="00DE096C">
              <w:rPr>
                <w:bCs/>
                <w:color w:val="002060"/>
                <w:sz w:val="16"/>
                <w:szCs w:val="16"/>
              </w:rPr>
              <w:t>18,7</w:t>
            </w:r>
          </w:p>
        </w:tc>
        <w:tc>
          <w:tcPr>
            <w:tcW w:w="636" w:type="dxa"/>
          </w:tcPr>
          <w:p w14:paraId="2C0A2C5E" w14:textId="77777777" w:rsidR="00B67D7C" w:rsidRPr="00DE096C" w:rsidRDefault="00B67D7C" w:rsidP="00D45A46">
            <w:pPr>
              <w:jc w:val="both"/>
              <w:rPr>
                <w:bCs/>
                <w:color w:val="002060"/>
                <w:sz w:val="16"/>
                <w:szCs w:val="16"/>
              </w:rPr>
            </w:pPr>
            <w:r w:rsidRPr="00DE096C">
              <w:rPr>
                <w:bCs/>
                <w:color w:val="002060"/>
                <w:sz w:val="16"/>
                <w:szCs w:val="16"/>
              </w:rPr>
              <w:t xml:space="preserve">— </w:t>
            </w:r>
          </w:p>
        </w:tc>
        <w:tc>
          <w:tcPr>
            <w:tcW w:w="641" w:type="dxa"/>
          </w:tcPr>
          <w:p w14:paraId="1D54D6A3" w14:textId="77777777" w:rsidR="00B67D7C" w:rsidRPr="00DE096C" w:rsidRDefault="00B67D7C" w:rsidP="00D45A46">
            <w:pPr>
              <w:jc w:val="both"/>
              <w:rPr>
                <w:bCs/>
                <w:color w:val="002060"/>
                <w:sz w:val="16"/>
                <w:szCs w:val="16"/>
              </w:rPr>
            </w:pPr>
            <w:r w:rsidRPr="00DE096C">
              <w:rPr>
                <w:bCs/>
                <w:color w:val="002060"/>
                <w:sz w:val="16"/>
                <w:szCs w:val="16"/>
              </w:rPr>
              <w:t>—</w:t>
            </w:r>
          </w:p>
        </w:tc>
      </w:tr>
      <w:tr w:rsidR="00B67D7C" w:rsidRPr="00DE096C" w14:paraId="4653ED02" w14:textId="77777777" w:rsidTr="00C2024A">
        <w:tc>
          <w:tcPr>
            <w:tcW w:w="837" w:type="dxa"/>
          </w:tcPr>
          <w:p w14:paraId="4E1ABCAE" w14:textId="77777777" w:rsidR="00B67D7C" w:rsidRPr="00DE096C" w:rsidRDefault="00B67D7C" w:rsidP="00D45A46">
            <w:pPr>
              <w:jc w:val="both"/>
              <w:rPr>
                <w:bCs/>
                <w:color w:val="002060"/>
                <w:sz w:val="16"/>
                <w:szCs w:val="16"/>
              </w:rPr>
            </w:pPr>
            <w:r w:rsidRPr="00DE096C">
              <w:rPr>
                <w:bCs/>
                <w:color w:val="002060"/>
                <w:sz w:val="16"/>
                <w:szCs w:val="16"/>
              </w:rPr>
              <w:t>[Всего]</w:t>
            </w:r>
          </w:p>
        </w:tc>
        <w:tc>
          <w:tcPr>
            <w:tcW w:w="636" w:type="dxa"/>
          </w:tcPr>
          <w:p w14:paraId="72C535C0" w14:textId="77777777" w:rsidR="00B67D7C" w:rsidRPr="00DE096C" w:rsidRDefault="00B67D7C" w:rsidP="00D45A46">
            <w:pPr>
              <w:jc w:val="both"/>
              <w:rPr>
                <w:bCs/>
                <w:color w:val="002060"/>
                <w:sz w:val="16"/>
                <w:szCs w:val="16"/>
              </w:rPr>
            </w:pPr>
            <w:r w:rsidRPr="00DE096C">
              <w:rPr>
                <w:bCs/>
                <w:color w:val="002060"/>
                <w:sz w:val="16"/>
                <w:szCs w:val="16"/>
              </w:rPr>
              <w:t>414,4</w:t>
            </w:r>
          </w:p>
        </w:tc>
        <w:tc>
          <w:tcPr>
            <w:tcW w:w="641" w:type="dxa"/>
          </w:tcPr>
          <w:p w14:paraId="12ABFF17" w14:textId="77777777" w:rsidR="00B67D7C" w:rsidRPr="00DE096C" w:rsidRDefault="00B67D7C" w:rsidP="00D45A46">
            <w:pPr>
              <w:jc w:val="both"/>
              <w:rPr>
                <w:bCs/>
                <w:color w:val="002060"/>
                <w:sz w:val="16"/>
                <w:szCs w:val="16"/>
              </w:rPr>
            </w:pPr>
            <w:r w:rsidRPr="00DE096C">
              <w:rPr>
                <w:bCs/>
                <w:color w:val="002060"/>
                <w:sz w:val="16"/>
                <w:szCs w:val="16"/>
              </w:rPr>
              <w:t>154,6</w:t>
            </w:r>
          </w:p>
        </w:tc>
        <w:tc>
          <w:tcPr>
            <w:tcW w:w="636" w:type="dxa"/>
          </w:tcPr>
          <w:p w14:paraId="6B65BE0A" w14:textId="77777777" w:rsidR="00B67D7C" w:rsidRPr="00DE096C" w:rsidRDefault="00B67D7C" w:rsidP="00D45A46">
            <w:pPr>
              <w:jc w:val="both"/>
              <w:rPr>
                <w:bCs/>
                <w:color w:val="002060"/>
                <w:sz w:val="16"/>
                <w:szCs w:val="16"/>
              </w:rPr>
            </w:pPr>
            <w:r w:rsidRPr="00DE096C">
              <w:rPr>
                <w:bCs/>
                <w:color w:val="002060"/>
                <w:sz w:val="16"/>
                <w:szCs w:val="16"/>
              </w:rPr>
              <w:t>168,7</w:t>
            </w:r>
          </w:p>
        </w:tc>
        <w:tc>
          <w:tcPr>
            <w:tcW w:w="641" w:type="dxa"/>
          </w:tcPr>
          <w:p w14:paraId="393877AD" w14:textId="77777777" w:rsidR="00B67D7C" w:rsidRPr="00DE096C" w:rsidRDefault="00B67D7C" w:rsidP="00D45A46">
            <w:pPr>
              <w:jc w:val="both"/>
              <w:rPr>
                <w:bCs/>
                <w:color w:val="002060"/>
                <w:sz w:val="16"/>
                <w:szCs w:val="16"/>
              </w:rPr>
            </w:pPr>
            <w:r w:rsidRPr="00DE096C">
              <w:rPr>
                <w:bCs/>
                <w:color w:val="002060"/>
                <w:sz w:val="16"/>
                <w:szCs w:val="16"/>
              </w:rPr>
              <w:t>139,8</w:t>
            </w:r>
          </w:p>
        </w:tc>
      </w:tr>
    </w:tbl>
    <w:p w14:paraId="1CB8324E" w14:textId="77777777" w:rsidR="00B67D7C" w:rsidRPr="00DE096C" w:rsidRDefault="00B67D7C" w:rsidP="00D45A46">
      <w:pPr>
        <w:jc w:val="both"/>
        <w:rPr>
          <w:bCs/>
          <w:color w:val="002060"/>
          <w:sz w:val="16"/>
          <w:szCs w:val="16"/>
        </w:rPr>
      </w:pPr>
      <w:r w:rsidRPr="00DE096C">
        <w:rPr>
          <w:bCs/>
          <w:color w:val="002060"/>
          <w:sz w:val="16"/>
          <w:szCs w:val="16"/>
        </w:rPr>
        <w:lastRenderedPageBreak/>
        <w:t xml:space="preserve">Цифры 1916 года показывают фактический выход продуктов. Для 1917 г. показан выход, предполагавшийся соответственно мощности заводов. Цифры выражают суммарный выход бензола и толуола, как нефтяного, так и каменноугольного. </w:t>
      </w:r>
    </w:p>
    <w:p w14:paraId="616EA63D" w14:textId="77777777" w:rsidR="00B67D7C" w:rsidRPr="00DE096C" w:rsidRDefault="00B67D7C" w:rsidP="00D45A46">
      <w:pPr>
        <w:jc w:val="both"/>
        <w:rPr>
          <w:bCs/>
          <w:color w:val="002060"/>
          <w:sz w:val="16"/>
          <w:szCs w:val="16"/>
        </w:rPr>
      </w:pPr>
      <w:r w:rsidRPr="00DE096C">
        <w:rPr>
          <w:bCs/>
          <w:color w:val="002060"/>
          <w:sz w:val="16"/>
          <w:szCs w:val="16"/>
        </w:rPr>
        <w:t xml:space="preserve">Количество каменноугольного продукта составляет от общего количества следующий процент: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896"/>
        <w:gridCol w:w="792"/>
      </w:tblGrid>
      <w:tr w:rsidR="00B67D7C" w:rsidRPr="00DE096C" w14:paraId="71BEA2D6" w14:textId="77777777" w:rsidTr="00C2024A">
        <w:tc>
          <w:tcPr>
            <w:tcW w:w="1896" w:type="dxa"/>
          </w:tcPr>
          <w:p w14:paraId="6CEC4C12" w14:textId="77777777" w:rsidR="00B67D7C" w:rsidRPr="00DE096C" w:rsidRDefault="00B67D7C" w:rsidP="00D45A46">
            <w:pPr>
              <w:jc w:val="both"/>
              <w:rPr>
                <w:bCs/>
                <w:color w:val="002060"/>
                <w:sz w:val="16"/>
                <w:szCs w:val="16"/>
              </w:rPr>
            </w:pPr>
            <w:r w:rsidRPr="00DE096C">
              <w:rPr>
                <w:bCs/>
                <w:color w:val="002060"/>
                <w:sz w:val="16"/>
                <w:szCs w:val="16"/>
              </w:rPr>
              <w:t>В январе 1916 г.</w:t>
            </w:r>
          </w:p>
        </w:tc>
        <w:tc>
          <w:tcPr>
            <w:tcW w:w="792" w:type="dxa"/>
          </w:tcPr>
          <w:p w14:paraId="402F4D8B" w14:textId="77777777" w:rsidR="00B67D7C" w:rsidRPr="00DE096C" w:rsidRDefault="00B67D7C" w:rsidP="00D45A46">
            <w:pPr>
              <w:jc w:val="both"/>
              <w:rPr>
                <w:bCs/>
                <w:color w:val="002060"/>
                <w:sz w:val="16"/>
                <w:szCs w:val="16"/>
              </w:rPr>
            </w:pPr>
            <w:r w:rsidRPr="00DE096C">
              <w:rPr>
                <w:bCs/>
                <w:color w:val="002060"/>
                <w:sz w:val="16"/>
                <w:szCs w:val="16"/>
              </w:rPr>
              <w:t xml:space="preserve">100% </w:t>
            </w:r>
          </w:p>
        </w:tc>
      </w:tr>
      <w:tr w:rsidR="00B67D7C" w:rsidRPr="00DE096C" w14:paraId="2FA6A3DB" w14:textId="77777777" w:rsidTr="00C2024A">
        <w:tc>
          <w:tcPr>
            <w:tcW w:w="1896" w:type="dxa"/>
          </w:tcPr>
          <w:p w14:paraId="3979E7AD" w14:textId="77777777" w:rsidR="00B67D7C" w:rsidRPr="00DE096C" w:rsidRDefault="00B67D7C" w:rsidP="00D45A46">
            <w:pPr>
              <w:jc w:val="both"/>
              <w:rPr>
                <w:bCs/>
                <w:color w:val="002060"/>
                <w:sz w:val="16"/>
                <w:szCs w:val="16"/>
              </w:rPr>
            </w:pPr>
            <w:r w:rsidRPr="00DE096C">
              <w:rPr>
                <w:bCs/>
                <w:color w:val="002060"/>
                <w:sz w:val="16"/>
                <w:szCs w:val="16"/>
              </w:rPr>
              <w:t>В январе 1917 г.</w:t>
            </w:r>
          </w:p>
        </w:tc>
        <w:tc>
          <w:tcPr>
            <w:tcW w:w="792" w:type="dxa"/>
          </w:tcPr>
          <w:p w14:paraId="14B99C1C" w14:textId="77777777" w:rsidR="00B67D7C" w:rsidRPr="00DE096C" w:rsidRDefault="00B67D7C" w:rsidP="00D45A46">
            <w:pPr>
              <w:jc w:val="both"/>
              <w:rPr>
                <w:bCs/>
                <w:color w:val="002060"/>
                <w:sz w:val="16"/>
                <w:szCs w:val="16"/>
              </w:rPr>
            </w:pPr>
            <w:r w:rsidRPr="00DE096C">
              <w:rPr>
                <w:bCs/>
                <w:color w:val="002060"/>
                <w:sz w:val="16"/>
                <w:szCs w:val="16"/>
              </w:rPr>
              <w:t xml:space="preserve">70% </w:t>
            </w:r>
          </w:p>
        </w:tc>
      </w:tr>
    </w:tbl>
    <w:p w14:paraId="26E8DF8D" w14:textId="77777777" w:rsidR="00B67D7C" w:rsidRPr="00DE096C" w:rsidRDefault="00B67D7C" w:rsidP="00D45A46">
      <w:pPr>
        <w:jc w:val="both"/>
        <w:rPr>
          <w:bCs/>
          <w:color w:val="002060"/>
          <w:sz w:val="16"/>
          <w:szCs w:val="16"/>
        </w:rPr>
      </w:pPr>
      <w:r w:rsidRPr="00DE096C">
        <w:rPr>
          <w:bCs/>
          <w:color w:val="002060"/>
          <w:sz w:val="16"/>
          <w:szCs w:val="16"/>
        </w:rPr>
        <w:t xml:space="preserve">С 1909 г. для снаряжения фугасных снарядов был принят в армии и флоте тротил. Однако заводы взрывчатых веществ, изготовлявшие тротил, Самарский казенный и Шлиссельбургский частный, по состоянию их мощности на 1917 г. далеко не могли покрыть той потребности во взрывчатых веществах для снарядов, которая была заявлена военным ведомством уже в первый, а в особенности во второй год войны. </w:t>
      </w:r>
    </w:p>
    <w:p w14:paraId="4ED4F9A4" w14:textId="77777777" w:rsidR="00B67D7C" w:rsidRPr="00DE096C" w:rsidRDefault="00B67D7C" w:rsidP="00D45A46">
      <w:pPr>
        <w:jc w:val="both"/>
        <w:rPr>
          <w:bCs/>
          <w:color w:val="002060"/>
          <w:sz w:val="16"/>
          <w:szCs w:val="16"/>
        </w:rPr>
      </w:pPr>
      <w:r w:rsidRPr="00DE096C">
        <w:rPr>
          <w:bCs/>
          <w:color w:val="002060"/>
          <w:sz w:val="16"/>
          <w:szCs w:val="16"/>
        </w:rPr>
        <w:t xml:space="preserve">Поэтому Комиссия Ипатьева наряду с другими задачами поставила себе целью развивать производство как тротила, так и других взрывчатых веществ, пригодных для военных целей. Среди них главное место занимала пикриновая кислота, которая до тротила около 15 лет применялась в русской армии как вещество для снаряжения фугасных и бризантных снарядов и была хорошо изучена. </w:t>
      </w:r>
    </w:p>
    <w:p w14:paraId="5B79E51D" w14:textId="77777777" w:rsidR="00B67D7C" w:rsidRPr="00DE096C" w:rsidRDefault="00B67D7C" w:rsidP="00D45A46">
      <w:pPr>
        <w:jc w:val="both"/>
        <w:rPr>
          <w:bCs/>
          <w:color w:val="002060"/>
          <w:sz w:val="16"/>
          <w:szCs w:val="16"/>
        </w:rPr>
      </w:pPr>
      <w:r w:rsidRPr="00DE096C">
        <w:rPr>
          <w:bCs/>
          <w:color w:val="002060"/>
          <w:sz w:val="16"/>
          <w:szCs w:val="16"/>
        </w:rPr>
        <w:t xml:space="preserve">Натуральный фенол, получаемый из каменноугольной смолы, из которого ранее фабриковалась пикриновая кислота, в России почти не вырабатывался. Поэтому проф. Ипатьев озаботился прежде всего поставить производство синтетического фенола через сульфацию бензола и получение из него пикриновой кислоты. Ранее других это производство было организовано на заводе Фарбверке в Москве. Начав производство в мае 1915 г., завод в декабре мог давать уже до 6000 пудов в месяц. Затем были устроены заводы синтетического фенола: у ст. Рубежной, при заводе "Русско-Краска", и у ст. Шахтной Донецкой области при заводе Парамонова. </w:t>
      </w:r>
    </w:p>
    <w:p w14:paraId="6E576FE2" w14:textId="77777777" w:rsidR="00B67D7C" w:rsidRPr="00DE096C" w:rsidRDefault="00B67D7C" w:rsidP="00D45A46">
      <w:pPr>
        <w:jc w:val="both"/>
        <w:rPr>
          <w:bCs/>
          <w:color w:val="002060"/>
          <w:sz w:val="16"/>
          <w:szCs w:val="16"/>
        </w:rPr>
      </w:pPr>
      <w:r w:rsidRPr="00DE096C">
        <w:rPr>
          <w:bCs/>
          <w:color w:val="002060"/>
          <w:sz w:val="16"/>
          <w:szCs w:val="16"/>
        </w:rPr>
        <w:t xml:space="preserve">Так как производство синтетического фенола в нормальных условиях спроса не может выдерживать конкуренцию с фенолом натуральным, то Химический комитет, заботясь о нормальном развитии химической промышленности в дальнейшем, когда кончится война, организовал также получение карболовой кислоты и крезолов из тяжелой каменноугольной смолы и очистку этих продуктов. С этой целью был Львовым построен завод при ст. Железной Екатеринославской железной дороги. </w:t>
      </w:r>
    </w:p>
    <w:p w14:paraId="2B6C35F3" w14:textId="77777777" w:rsidR="00B67D7C" w:rsidRPr="00DE096C" w:rsidRDefault="00B67D7C" w:rsidP="00D45A46">
      <w:pPr>
        <w:jc w:val="both"/>
        <w:rPr>
          <w:bCs/>
          <w:color w:val="002060"/>
          <w:sz w:val="16"/>
          <w:szCs w:val="16"/>
        </w:rPr>
      </w:pPr>
      <w:r w:rsidRPr="00DE096C">
        <w:rPr>
          <w:bCs/>
          <w:color w:val="002060"/>
          <w:sz w:val="16"/>
          <w:szCs w:val="16"/>
        </w:rPr>
        <w:t xml:space="preserve">Выработка синтетического фенола в 1916 г. выражается в следующих цифрах (тыс. пудов):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808"/>
        <w:gridCol w:w="792"/>
      </w:tblGrid>
      <w:tr w:rsidR="00B67D7C" w:rsidRPr="00DE096C" w14:paraId="3BDAF896" w14:textId="77777777" w:rsidTr="00C2024A">
        <w:tc>
          <w:tcPr>
            <w:tcW w:w="2808" w:type="dxa"/>
          </w:tcPr>
          <w:p w14:paraId="715E8710" w14:textId="77777777" w:rsidR="00B67D7C" w:rsidRPr="00DE096C" w:rsidRDefault="00B67D7C" w:rsidP="00D45A46">
            <w:pPr>
              <w:jc w:val="both"/>
              <w:rPr>
                <w:bCs/>
                <w:color w:val="002060"/>
                <w:sz w:val="16"/>
                <w:szCs w:val="16"/>
              </w:rPr>
            </w:pPr>
            <w:r w:rsidRPr="00DE096C">
              <w:rPr>
                <w:bCs/>
                <w:color w:val="002060"/>
                <w:sz w:val="16"/>
                <w:szCs w:val="16"/>
              </w:rPr>
              <w:t>Первое полугодие 1916 г.</w:t>
            </w:r>
          </w:p>
        </w:tc>
        <w:tc>
          <w:tcPr>
            <w:tcW w:w="792" w:type="dxa"/>
          </w:tcPr>
          <w:p w14:paraId="52705E35" w14:textId="77777777" w:rsidR="00B67D7C" w:rsidRPr="00DE096C" w:rsidRDefault="00B67D7C" w:rsidP="00D45A46">
            <w:pPr>
              <w:jc w:val="both"/>
              <w:rPr>
                <w:bCs/>
                <w:color w:val="002060"/>
                <w:sz w:val="16"/>
                <w:szCs w:val="16"/>
              </w:rPr>
            </w:pPr>
            <w:r w:rsidRPr="00DE096C">
              <w:rPr>
                <w:bCs/>
                <w:color w:val="002060"/>
                <w:sz w:val="16"/>
                <w:szCs w:val="16"/>
              </w:rPr>
              <w:t xml:space="preserve">51.8 </w:t>
            </w:r>
          </w:p>
        </w:tc>
      </w:tr>
      <w:tr w:rsidR="00B67D7C" w:rsidRPr="00DE096C" w14:paraId="2E660559" w14:textId="77777777" w:rsidTr="00C2024A">
        <w:tc>
          <w:tcPr>
            <w:tcW w:w="2808" w:type="dxa"/>
          </w:tcPr>
          <w:p w14:paraId="5A7F6A75" w14:textId="77777777" w:rsidR="00B67D7C" w:rsidRPr="00DE096C" w:rsidRDefault="00B67D7C" w:rsidP="00D45A46">
            <w:pPr>
              <w:jc w:val="both"/>
              <w:rPr>
                <w:bCs/>
                <w:color w:val="002060"/>
                <w:sz w:val="16"/>
                <w:szCs w:val="16"/>
              </w:rPr>
            </w:pPr>
            <w:r w:rsidRPr="00DE096C">
              <w:rPr>
                <w:bCs/>
                <w:color w:val="002060"/>
                <w:sz w:val="16"/>
                <w:szCs w:val="16"/>
              </w:rPr>
              <w:t>Второе полугодие 1916 г.</w:t>
            </w:r>
          </w:p>
        </w:tc>
        <w:tc>
          <w:tcPr>
            <w:tcW w:w="792" w:type="dxa"/>
          </w:tcPr>
          <w:p w14:paraId="6523EDC8" w14:textId="77777777" w:rsidR="00B67D7C" w:rsidRPr="00DE096C" w:rsidRDefault="00B67D7C" w:rsidP="00D45A46">
            <w:pPr>
              <w:jc w:val="both"/>
              <w:rPr>
                <w:bCs/>
                <w:color w:val="002060"/>
                <w:sz w:val="16"/>
                <w:szCs w:val="16"/>
              </w:rPr>
            </w:pPr>
            <w:r w:rsidRPr="00DE096C">
              <w:rPr>
                <w:bCs/>
                <w:color w:val="002060"/>
                <w:sz w:val="16"/>
                <w:szCs w:val="16"/>
              </w:rPr>
              <w:t xml:space="preserve">73.1 </w:t>
            </w:r>
          </w:p>
        </w:tc>
      </w:tr>
      <w:tr w:rsidR="00B67D7C" w:rsidRPr="00DE096C" w14:paraId="5DAB2309" w14:textId="77777777" w:rsidTr="00C2024A">
        <w:tc>
          <w:tcPr>
            <w:tcW w:w="2808" w:type="dxa"/>
          </w:tcPr>
          <w:p w14:paraId="1AE7EC32" w14:textId="77777777" w:rsidR="00B67D7C" w:rsidRPr="00DE096C" w:rsidRDefault="00B67D7C" w:rsidP="00D45A46">
            <w:pPr>
              <w:jc w:val="both"/>
              <w:rPr>
                <w:bCs/>
                <w:color w:val="002060"/>
                <w:sz w:val="16"/>
                <w:szCs w:val="16"/>
              </w:rPr>
            </w:pPr>
            <w:r w:rsidRPr="00DE096C">
              <w:rPr>
                <w:bCs/>
                <w:color w:val="002060"/>
                <w:sz w:val="16"/>
                <w:szCs w:val="16"/>
              </w:rPr>
              <w:t>Всего за 1916 г.</w:t>
            </w:r>
          </w:p>
        </w:tc>
        <w:tc>
          <w:tcPr>
            <w:tcW w:w="792" w:type="dxa"/>
          </w:tcPr>
          <w:p w14:paraId="4E5CEADE" w14:textId="77777777" w:rsidR="00B67D7C" w:rsidRPr="00DE096C" w:rsidRDefault="00B67D7C" w:rsidP="00D45A46">
            <w:pPr>
              <w:jc w:val="both"/>
              <w:rPr>
                <w:bCs/>
                <w:color w:val="002060"/>
                <w:sz w:val="16"/>
                <w:szCs w:val="16"/>
              </w:rPr>
            </w:pPr>
            <w:r w:rsidRPr="00DE096C">
              <w:rPr>
                <w:bCs/>
                <w:color w:val="002060"/>
                <w:sz w:val="16"/>
                <w:szCs w:val="16"/>
              </w:rPr>
              <w:t>124.9.</w:t>
            </w:r>
          </w:p>
        </w:tc>
      </w:tr>
    </w:tbl>
    <w:p w14:paraId="096BE8B0" w14:textId="77777777" w:rsidR="00B67D7C" w:rsidRPr="00DE096C" w:rsidRDefault="00B67D7C" w:rsidP="00D45A46">
      <w:pPr>
        <w:jc w:val="both"/>
        <w:rPr>
          <w:bCs/>
          <w:color w:val="002060"/>
          <w:sz w:val="16"/>
          <w:szCs w:val="16"/>
        </w:rPr>
      </w:pPr>
      <w:r w:rsidRPr="00DE096C">
        <w:rPr>
          <w:bCs/>
          <w:color w:val="002060"/>
          <w:sz w:val="16"/>
          <w:szCs w:val="16"/>
        </w:rPr>
        <w:t xml:space="preserve">До войны серная кислота вырабатывалась в России в количестве до 1,25 млн пудов в месяц. Колчедан, необходимый для этой цели, в четверть добывался на Урале, остальные же три четверти привозились из-за границы. </w:t>
      </w:r>
    </w:p>
    <w:p w14:paraId="0BCA684E" w14:textId="77777777" w:rsidR="00B67D7C" w:rsidRPr="00DE096C" w:rsidRDefault="00B67D7C" w:rsidP="00D45A46">
      <w:pPr>
        <w:jc w:val="both"/>
        <w:rPr>
          <w:bCs/>
          <w:color w:val="002060"/>
          <w:sz w:val="16"/>
          <w:szCs w:val="16"/>
        </w:rPr>
      </w:pPr>
      <w:r w:rsidRPr="00DE096C">
        <w:rPr>
          <w:bCs/>
          <w:color w:val="002060"/>
          <w:sz w:val="16"/>
          <w:szCs w:val="16"/>
        </w:rPr>
        <w:t xml:space="preserve">В связи с военными операциями на Западном фронте сернокислотные заводы Прибалтики и Царства Польского прекратили работы, благодаря чему с общего счета нужно было скинуть 0,5 млн пудов месячной производительности. </w:t>
      </w:r>
    </w:p>
    <w:p w14:paraId="6F102CEF" w14:textId="77777777" w:rsidR="00B67D7C" w:rsidRPr="00DE096C" w:rsidRDefault="00B67D7C" w:rsidP="00D45A46">
      <w:pPr>
        <w:jc w:val="both"/>
        <w:rPr>
          <w:bCs/>
          <w:color w:val="002060"/>
          <w:sz w:val="16"/>
          <w:szCs w:val="16"/>
        </w:rPr>
      </w:pPr>
      <w:r w:rsidRPr="00DE096C">
        <w:rPr>
          <w:bCs/>
          <w:color w:val="002060"/>
          <w:sz w:val="16"/>
          <w:szCs w:val="16"/>
        </w:rPr>
        <w:t xml:space="preserve">Такое положение с серной кислотой являлось угрозой делу производства порохов и взрывчатых веществ, которые вместе с ростом производства основных материалов — толуола, бензола и пр. — должны были и дальше сильно расти, соответственно с заданиями высшего командования. Поэтому требовались энергичные мероприятия со стороны Комиссии Ипатьева по восстановлению и развитию сернокислотного дела и исходных материалов для него. </w:t>
      </w:r>
    </w:p>
    <w:p w14:paraId="5A98BA4B" w14:textId="77777777" w:rsidR="00B67D7C" w:rsidRPr="00DE096C" w:rsidRDefault="00B67D7C" w:rsidP="00D45A46">
      <w:pPr>
        <w:jc w:val="both"/>
        <w:rPr>
          <w:bCs/>
          <w:color w:val="002060"/>
          <w:sz w:val="16"/>
          <w:szCs w:val="16"/>
        </w:rPr>
      </w:pPr>
      <w:r w:rsidRPr="00DE096C">
        <w:rPr>
          <w:bCs/>
          <w:color w:val="002060"/>
          <w:sz w:val="16"/>
          <w:szCs w:val="16"/>
        </w:rPr>
        <w:t xml:space="preserve">С целью выяснить вопрос о возможности постройки новых сернокислотных заводов и развития старых, а также усиления добычи колчедана, в июне 1915 г. был собран съезд кислотозаводчиков и представителей серноколчеданных рудников. На съезде была выработала детальная программа развития сернокислотного и колчеданного дела, и, по утверждении ее Особым совещанием по обороне, с лета 1915 г. было приступлено к осуществлению ее. </w:t>
      </w:r>
    </w:p>
    <w:p w14:paraId="302FB79F" w14:textId="77777777" w:rsidR="00B67D7C" w:rsidRPr="00DE096C" w:rsidRDefault="00B67D7C" w:rsidP="00D45A46">
      <w:pPr>
        <w:jc w:val="both"/>
        <w:rPr>
          <w:bCs/>
          <w:color w:val="002060"/>
          <w:sz w:val="16"/>
          <w:szCs w:val="16"/>
        </w:rPr>
      </w:pPr>
      <w:r w:rsidRPr="00DE096C">
        <w:rPr>
          <w:bCs/>
          <w:color w:val="002060"/>
          <w:sz w:val="16"/>
          <w:szCs w:val="16"/>
        </w:rPr>
        <w:t xml:space="preserve">Согласно программы, намечена была постройка с лета 1915 г. до 20 заводов серной кислоты, которые должны были увеличить вдвое выработку кислоты. Часть этих заводов предположена была к оборудованию контактными системами. </w:t>
      </w:r>
    </w:p>
    <w:p w14:paraId="31A42993" w14:textId="77777777" w:rsidR="00B67D7C" w:rsidRPr="00DE096C" w:rsidRDefault="00B67D7C" w:rsidP="00D45A46">
      <w:pPr>
        <w:jc w:val="both"/>
        <w:rPr>
          <w:bCs/>
          <w:color w:val="002060"/>
          <w:sz w:val="16"/>
          <w:szCs w:val="16"/>
        </w:rPr>
      </w:pPr>
      <w:r w:rsidRPr="00DE096C">
        <w:rPr>
          <w:bCs/>
          <w:color w:val="002060"/>
          <w:sz w:val="16"/>
          <w:szCs w:val="16"/>
        </w:rPr>
        <w:t xml:space="preserve">Для наблюдения на местах за производством кислоты и правильного распределения ее между заводами военной и частной промышленности, а также для наблюдения за строительством, Комиссией по заготовлению взрывчатых веществ были организованы районные бюро. Районов было установлено шесть: Петроградский, Московский, Верхневолжский, Казанский, Уральский, Южный и Кавказский. </w:t>
      </w:r>
    </w:p>
    <w:p w14:paraId="01DBCBF1" w14:textId="77777777" w:rsidR="00B67D7C" w:rsidRPr="00DE096C" w:rsidRDefault="00B67D7C" w:rsidP="00D45A46">
      <w:pPr>
        <w:jc w:val="both"/>
        <w:rPr>
          <w:bCs/>
          <w:color w:val="002060"/>
          <w:sz w:val="16"/>
          <w:szCs w:val="16"/>
        </w:rPr>
      </w:pPr>
      <w:r w:rsidRPr="00DE096C">
        <w:rPr>
          <w:bCs/>
          <w:color w:val="002060"/>
          <w:sz w:val="16"/>
          <w:szCs w:val="16"/>
        </w:rPr>
        <w:t xml:space="preserve">Весьма серьезным вопросом являлось правильное распределение кислоты между потребителями частной промышленности, так как в связи с кислотным кризисом на рынке началась спекуляция и искусственное вздутие цен на этот материал. </w:t>
      </w:r>
    </w:p>
    <w:p w14:paraId="682B805D" w14:textId="77777777" w:rsidR="00B67D7C" w:rsidRPr="00DE096C" w:rsidRDefault="00B67D7C" w:rsidP="00D45A46">
      <w:pPr>
        <w:jc w:val="both"/>
        <w:rPr>
          <w:bCs/>
          <w:color w:val="002060"/>
          <w:sz w:val="16"/>
          <w:szCs w:val="16"/>
        </w:rPr>
      </w:pPr>
      <w:r w:rsidRPr="00DE096C">
        <w:rPr>
          <w:bCs/>
          <w:color w:val="002060"/>
          <w:sz w:val="16"/>
          <w:szCs w:val="16"/>
        </w:rPr>
        <w:t xml:space="preserve">Ниже приводится таблица, в которой по месяцам указаны: 1) программа работы по производству серной кислоты заводов, существовавших к осени 1915 г., 2) число вновь организованных заводов, вступивших в работу, 3) программа, работы последних и 4) суммарный выпуск серной кислоты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248"/>
        <w:gridCol w:w="1503"/>
        <w:gridCol w:w="1092"/>
        <w:gridCol w:w="1792"/>
        <w:gridCol w:w="972"/>
      </w:tblGrid>
      <w:tr w:rsidR="00B67D7C" w:rsidRPr="00DE096C" w14:paraId="1BAE2EEF" w14:textId="77777777" w:rsidTr="00C2024A">
        <w:tc>
          <w:tcPr>
            <w:tcW w:w="1248" w:type="dxa"/>
          </w:tcPr>
          <w:p w14:paraId="67E8693F" w14:textId="77777777" w:rsidR="00B67D7C" w:rsidRPr="00DE096C" w:rsidRDefault="00B67D7C" w:rsidP="00D45A46">
            <w:pPr>
              <w:jc w:val="both"/>
              <w:rPr>
                <w:bCs/>
                <w:color w:val="002060"/>
                <w:sz w:val="16"/>
                <w:szCs w:val="16"/>
              </w:rPr>
            </w:pPr>
            <w:r w:rsidRPr="00DE096C">
              <w:rPr>
                <w:bCs/>
                <w:color w:val="002060"/>
                <w:sz w:val="16"/>
                <w:szCs w:val="16"/>
              </w:rPr>
              <w:t> </w:t>
            </w:r>
          </w:p>
        </w:tc>
        <w:tc>
          <w:tcPr>
            <w:tcW w:w="1503" w:type="dxa"/>
          </w:tcPr>
          <w:p w14:paraId="5A1A7139" w14:textId="77777777" w:rsidR="00B67D7C" w:rsidRPr="00DE096C" w:rsidRDefault="00B67D7C" w:rsidP="00D45A46">
            <w:pPr>
              <w:jc w:val="both"/>
              <w:rPr>
                <w:bCs/>
                <w:color w:val="002060"/>
                <w:sz w:val="16"/>
                <w:szCs w:val="16"/>
              </w:rPr>
            </w:pPr>
            <w:r w:rsidRPr="00DE096C">
              <w:rPr>
                <w:bCs/>
                <w:color w:val="002060"/>
                <w:sz w:val="16"/>
                <w:szCs w:val="16"/>
              </w:rPr>
              <w:t>Существовавшие к осени 1915 г. заводы</w:t>
            </w:r>
          </w:p>
        </w:tc>
        <w:tc>
          <w:tcPr>
            <w:tcW w:w="1092" w:type="dxa"/>
          </w:tcPr>
          <w:p w14:paraId="437681A8" w14:textId="77777777" w:rsidR="00B67D7C" w:rsidRPr="00DE096C" w:rsidRDefault="00B67D7C" w:rsidP="00D45A46">
            <w:pPr>
              <w:jc w:val="both"/>
              <w:rPr>
                <w:bCs/>
                <w:color w:val="002060"/>
                <w:sz w:val="16"/>
                <w:szCs w:val="16"/>
              </w:rPr>
            </w:pPr>
            <w:r w:rsidRPr="00DE096C">
              <w:rPr>
                <w:bCs/>
                <w:color w:val="002060"/>
                <w:sz w:val="16"/>
                <w:szCs w:val="16"/>
              </w:rPr>
              <w:t>Число новых заводов</w:t>
            </w:r>
          </w:p>
        </w:tc>
        <w:tc>
          <w:tcPr>
            <w:tcW w:w="1792" w:type="dxa"/>
          </w:tcPr>
          <w:p w14:paraId="3458DDBA" w14:textId="77777777" w:rsidR="00B67D7C" w:rsidRPr="00DE096C" w:rsidRDefault="00B67D7C" w:rsidP="00D45A46">
            <w:pPr>
              <w:jc w:val="both"/>
              <w:rPr>
                <w:bCs/>
                <w:color w:val="002060"/>
                <w:sz w:val="16"/>
                <w:szCs w:val="16"/>
              </w:rPr>
            </w:pPr>
            <w:r w:rsidRPr="00DE096C">
              <w:rPr>
                <w:bCs/>
                <w:color w:val="002060"/>
                <w:sz w:val="16"/>
                <w:szCs w:val="16"/>
              </w:rPr>
              <w:t>Производительность новых заводов</w:t>
            </w:r>
          </w:p>
        </w:tc>
        <w:tc>
          <w:tcPr>
            <w:tcW w:w="972" w:type="dxa"/>
          </w:tcPr>
          <w:p w14:paraId="503EFE4A" w14:textId="77777777" w:rsidR="00B67D7C" w:rsidRPr="00DE096C" w:rsidRDefault="00B67D7C" w:rsidP="00D45A46">
            <w:pPr>
              <w:jc w:val="both"/>
              <w:rPr>
                <w:bCs/>
                <w:color w:val="002060"/>
                <w:sz w:val="16"/>
                <w:szCs w:val="16"/>
              </w:rPr>
            </w:pPr>
            <w:r w:rsidRPr="00DE096C">
              <w:rPr>
                <w:bCs/>
                <w:color w:val="002060"/>
                <w:sz w:val="16"/>
                <w:szCs w:val="16"/>
              </w:rPr>
              <w:t xml:space="preserve">Итого старые и новые </w:t>
            </w:r>
          </w:p>
        </w:tc>
      </w:tr>
      <w:tr w:rsidR="00B67D7C" w:rsidRPr="00DE096C" w14:paraId="2BDBEC5C" w14:textId="77777777" w:rsidTr="00C2024A">
        <w:tc>
          <w:tcPr>
            <w:tcW w:w="1248" w:type="dxa"/>
          </w:tcPr>
          <w:p w14:paraId="044B3655" w14:textId="77777777" w:rsidR="00B67D7C" w:rsidRPr="00DE096C" w:rsidRDefault="00B67D7C" w:rsidP="00D45A46">
            <w:pPr>
              <w:jc w:val="both"/>
              <w:rPr>
                <w:bCs/>
                <w:color w:val="002060"/>
                <w:sz w:val="16"/>
                <w:szCs w:val="16"/>
              </w:rPr>
            </w:pPr>
            <w:r w:rsidRPr="00DE096C">
              <w:rPr>
                <w:bCs/>
                <w:color w:val="002060"/>
                <w:sz w:val="16"/>
                <w:szCs w:val="16"/>
              </w:rPr>
              <w:t> </w:t>
            </w:r>
          </w:p>
        </w:tc>
        <w:tc>
          <w:tcPr>
            <w:tcW w:w="4387" w:type="dxa"/>
            <w:gridSpan w:val="3"/>
          </w:tcPr>
          <w:p w14:paraId="5470147F" w14:textId="77777777" w:rsidR="00B67D7C" w:rsidRPr="00DE096C" w:rsidRDefault="00B67D7C" w:rsidP="00D45A46">
            <w:pPr>
              <w:jc w:val="both"/>
              <w:rPr>
                <w:bCs/>
                <w:color w:val="002060"/>
                <w:sz w:val="16"/>
                <w:szCs w:val="16"/>
              </w:rPr>
            </w:pPr>
            <w:r w:rsidRPr="00DE096C">
              <w:rPr>
                <w:bCs/>
                <w:color w:val="002060"/>
                <w:sz w:val="16"/>
                <w:szCs w:val="16"/>
              </w:rPr>
              <w:t>Программа</w:t>
            </w:r>
          </w:p>
        </w:tc>
        <w:tc>
          <w:tcPr>
            <w:tcW w:w="972" w:type="dxa"/>
          </w:tcPr>
          <w:p w14:paraId="6ACF4020" w14:textId="77777777" w:rsidR="00B67D7C" w:rsidRPr="00DE096C" w:rsidRDefault="00B67D7C" w:rsidP="00D45A46">
            <w:pPr>
              <w:jc w:val="both"/>
              <w:rPr>
                <w:bCs/>
                <w:color w:val="002060"/>
                <w:sz w:val="16"/>
                <w:szCs w:val="16"/>
              </w:rPr>
            </w:pPr>
            <w:r w:rsidRPr="00DE096C">
              <w:rPr>
                <w:bCs/>
                <w:color w:val="002060"/>
                <w:sz w:val="16"/>
                <w:szCs w:val="16"/>
              </w:rPr>
              <w:t> </w:t>
            </w:r>
          </w:p>
        </w:tc>
      </w:tr>
      <w:tr w:rsidR="00B67D7C" w:rsidRPr="00DE096C" w14:paraId="2D6B71FC" w14:textId="77777777" w:rsidTr="00C2024A">
        <w:tc>
          <w:tcPr>
            <w:tcW w:w="1248" w:type="dxa"/>
          </w:tcPr>
          <w:p w14:paraId="2F074C15" w14:textId="77777777" w:rsidR="00B67D7C" w:rsidRPr="00DE096C" w:rsidRDefault="00B67D7C" w:rsidP="00D45A46">
            <w:pPr>
              <w:jc w:val="both"/>
              <w:rPr>
                <w:bCs/>
                <w:color w:val="002060"/>
                <w:sz w:val="16"/>
                <w:szCs w:val="16"/>
              </w:rPr>
            </w:pPr>
            <w:r w:rsidRPr="00DE096C">
              <w:rPr>
                <w:bCs/>
                <w:color w:val="002060"/>
                <w:sz w:val="16"/>
                <w:szCs w:val="16"/>
              </w:rPr>
              <w:t>Декабрь 1915 г.</w:t>
            </w:r>
          </w:p>
        </w:tc>
        <w:tc>
          <w:tcPr>
            <w:tcW w:w="1503" w:type="dxa"/>
          </w:tcPr>
          <w:p w14:paraId="45FE801E" w14:textId="77777777" w:rsidR="00B67D7C" w:rsidRPr="00DE096C" w:rsidRDefault="00B67D7C" w:rsidP="00D45A46">
            <w:pPr>
              <w:jc w:val="both"/>
              <w:rPr>
                <w:bCs/>
                <w:color w:val="002060"/>
                <w:sz w:val="16"/>
                <w:szCs w:val="16"/>
              </w:rPr>
            </w:pPr>
            <w:r w:rsidRPr="00DE096C">
              <w:rPr>
                <w:bCs/>
                <w:color w:val="002060"/>
                <w:sz w:val="16"/>
                <w:szCs w:val="16"/>
              </w:rPr>
              <w:t>800</w:t>
            </w:r>
          </w:p>
        </w:tc>
        <w:tc>
          <w:tcPr>
            <w:tcW w:w="1092" w:type="dxa"/>
          </w:tcPr>
          <w:p w14:paraId="4F85EB78" w14:textId="77777777" w:rsidR="00B67D7C" w:rsidRPr="00DE096C" w:rsidRDefault="00B67D7C" w:rsidP="00D45A46">
            <w:pPr>
              <w:jc w:val="both"/>
              <w:rPr>
                <w:bCs/>
                <w:color w:val="002060"/>
                <w:sz w:val="16"/>
                <w:szCs w:val="16"/>
              </w:rPr>
            </w:pPr>
            <w:r w:rsidRPr="00DE096C">
              <w:rPr>
                <w:bCs/>
                <w:color w:val="002060"/>
                <w:sz w:val="16"/>
                <w:szCs w:val="16"/>
              </w:rPr>
              <w:t>2</w:t>
            </w:r>
          </w:p>
        </w:tc>
        <w:tc>
          <w:tcPr>
            <w:tcW w:w="1792" w:type="dxa"/>
          </w:tcPr>
          <w:p w14:paraId="5FA73C00" w14:textId="77777777" w:rsidR="00B67D7C" w:rsidRPr="00DE096C" w:rsidRDefault="00B67D7C" w:rsidP="00D45A46">
            <w:pPr>
              <w:jc w:val="both"/>
              <w:rPr>
                <w:bCs/>
                <w:color w:val="002060"/>
                <w:sz w:val="16"/>
                <w:szCs w:val="16"/>
              </w:rPr>
            </w:pPr>
            <w:r w:rsidRPr="00DE096C">
              <w:rPr>
                <w:bCs/>
                <w:color w:val="002060"/>
                <w:sz w:val="16"/>
                <w:szCs w:val="16"/>
              </w:rPr>
              <w:t>75</w:t>
            </w:r>
          </w:p>
        </w:tc>
        <w:tc>
          <w:tcPr>
            <w:tcW w:w="972" w:type="dxa"/>
          </w:tcPr>
          <w:p w14:paraId="2DB5AAF0" w14:textId="77777777" w:rsidR="00B67D7C" w:rsidRPr="00DE096C" w:rsidRDefault="00B67D7C" w:rsidP="00D45A46">
            <w:pPr>
              <w:jc w:val="both"/>
              <w:rPr>
                <w:bCs/>
                <w:color w:val="002060"/>
                <w:sz w:val="16"/>
                <w:szCs w:val="16"/>
              </w:rPr>
            </w:pPr>
            <w:r w:rsidRPr="00DE096C">
              <w:rPr>
                <w:bCs/>
                <w:color w:val="002060"/>
                <w:sz w:val="16"/>
                <w:szCs w:val="16"/>
              </w:rPr>
              <w:t>875</w:t>
            </w:r>
          </w:p>
        </w:tc>
      </w:tr>
      <w:tr w:rsidR="00B67D7C" w:rsidRPr="00DE096C" w14:paraId="72AE0FD0" w14:textId="77777777" w:rsidTr="00C2024A">
        <w:tc>
          <w:tcPr>
            <w:tcW w:w="1248" w:type="dxa"/>
          </w:tcPr>
          <w:p w14:paraId="0E009E40" w14:textId="77777777" w:rsidR="00B67D7C" w:rsidRPr="00DE096C" w:rsidRDefault="00B67D7C" w:rsidP="00D45A46">
            <w:pPr>
              <w:jc w:val="both"/>
              <w:rPr>
                <w:bCs/>
                <w:color w:val="002060"/>
                <w:sz w:val="16"/>
                <w:szCs w:val="16"/>
              </w:rPr>
            </w:pPr>
            <w:r w:rsidRPr="00DE096C">
              <w:rPr>
                <w:bCs/>
                <w:color w:val="002060"/>
                <w:sz w:val="16"/>
                <w:szCs w:val="16"/>
              </w:rPr>
              <w:t>Январь 1916 г.</w:t>
            </w:r>
          </w:p>
        </w:tc>
        <w:tc>
          <w:tcPr>
            <w:tcW w:w="1503" w:type="dxa"/>
          </w:tcPr>
          <w:p w14:paraId="48C3BE96" w14:textId="77777777" w:rsidR="00B67D7C" w:rsidRPr="00DE096C" w:rsidRDefault="00B67D7C" w:rsidP="00D45A46">
            <w:pPr>
              <w:jc w:val="both"/>
              <w:rPr>
                <w:bCs/>
                <w:color w:val="002060"/>
                <w:sz w:val="16"/>
                <w:szCs w:val="16"/>
              </w:rPr>
            </w:pPr>
            <w:r w:rsidRPr="00DE096C">
              <w:rPr>
                <w:bCs/>
                <w:color w:val="002060"/>
                <w:sz w:val="16"/>
                <w:szCs w:val="16"/>
              </w:rPr>
              <w:t>800</w:t>
            </w:r>
          </w:p>
        </w:tc>
        <w:tc>
          <w:tcPr>
            <w:tcW w:w="1092" w:type="dxa"/>
          </w:tcPr>
          <w:p w14:paraId="18736952" w14:textId="77777777" w:rsidR="00B67D7C" w:rsidRPr="00DE096C" w:rsidRDefault="00B67D7C" w:rsidP="00D45A46">
            <w:pPr>
              <w:jc w:val="both"/>
              <w:rPr>
                <w:bCs/>
                <w:color w:val="002060"/>
                <w:sz w:val="16"/>
                <w:szCs w:val="16"/>
              </w:rPr>
            </w:pPr>
            <w:r w:rsidRPr="00DE096C">
              <w:rPr>
                <w:bCs/>
                <w:color w:val="002060"/>
                <w:sz w:val="16"/>
                <w:szCs w:val="16"/>
              </w:rPr>
              <w:t>6</w:t>
            </w:r>
          </w:p>
        </w:tc>
        <w:tc>
          <w:tcPr>
            <w:tcW w:w="1792" w:type="dxa"/>
          </w:tcPr>
          <w:p w14:paraId="1E9C26B0" w14:textId="77777777" w:rsidR="00B67D7C" w:rsidRPr="00DE096C" w:rsidRDefault="00B67D7C" w:rsidP="00D45A46">
            <w:pPr>
              <w:jc w:val="both"/>
              <w:rPr>
                <w:bCs/>
                <w:color w:val="002060"/>
                <w:sz w:val="16"/>
                <w:szCs w:val="16"/>
              </w:rPr>
            </w:pPr>
            <w:r w:rsidRPr="00DE096C">
              <w:rPr>
                <w:bCs/>
                <w:color w:val="002060"/>
                <w:sz w:val="16"/>
                <w:szCs w:val="16"/>
              </w:rPr>
              <w:t>249,1</w:t>
            </w:r>
          </w:p>
        </w:tc>
        <w:tc>
          <w:tcPr>
            <w:tcW w:w="972" w:type="dxa"/>
          </w:tcPr>
          <w:p w14:paraId="6784F4BE" w14:textId="77777777" w:rsidR="00B67D7C" w:rsidRPr="00DE096C" w:rsidRDefault="00B67D7C" w:rsidP="00D45A46">
            <w:pPr>
              <w:jc w:val="both"/>
              <w:rPr>
                <w:bCs/>
                <w:color w:val="002060"/>
                <w:sz w:val="16"/>
                <w:szCs w:val="16"/>
              </w:rPr>
            </w:pPr>
            <w:r w:rsidRPr="00DE096C">
              <w:rPr>
                <w:bCs/>
                <w:color w:val="002060"/>
                <w:sz w:val="16"/>
                <w:szCs w:val="16"/>
              </w:rPr>
              <w:t>1.049,1</w:t>
            </w:r>
          </w:p>
        </w:tc>
      </w:tr>
      <w:tr w:rsidR="00B67D7C" w:rsidRPr="00DE096C" w14:paraId="34D37EA2" w14:textId="77777777" w:rsidTr="00C2024A">
        <w:tc>
          <w:tcPr>
            <w:tcW w:w="1248" w:type="dxa"/>
          </w:tcPr>
          <w:p w14:paraId="1AA182E5" w14:textId="77777777" w:rsidR="00B67D7C" w:rsidRPr="00DE096C" w:rsidRDefault="00B67D7C" w:rsidP="00D45A46">
            <w:pPr>
              <w:jc w:val="both"/>
              <w:rPr>
                <w:bCs/>
                <w:color w:val="002060"/>
                <w:sz w:val="16"/>
                <w:szCs w:val="16"/>
              </w:rPr>
            </w:pPr>
            <w:r w:rsidRPr="00DE096C">
              <w:rPr>
                <w:bCs/>
                <w:color w:val="002060"/>
                <w:sz w:val="16"/>
                <w:szCs w:val="16"/>
              </w:rPr>
              <w:t>Февраль</w:t>
            </w:r>
          </w:p>
        </w:tc>
        <w:tc>
          <w:tcPr>
            <w:tcW w:w="1503" w:type="dxa"/>
          </w:tcPr>
          <w:p w14:paraId="4127470F" w14:textId="77777777" w:rsidR="00B67D7C" w:rsidRPr="00DE096C" w:rsidRDefault="00B67D7C" w:rsidP="00D45A46">
            <w:pPr>
              <w:jc w:val="both"/>
              <w:rPr>
                <w:bCs/>
                <w:color w:val="002060"/>
                <w:sz w:val="16"/>
                <w:szCs w:val="16"/>
              </w:rPr>
            </w:pPr>
            <w:r w:rsidRPr="00DE096C">
              <w:rPr>
                <w:bCs/>
                <w:color w:val="002060"/>
                <w:sz w:val="16"/>
                <w:szCs w:val="16"/>
              </w:rPr>
              <w:t>800</w:t>
            </w:r>
          </w:p>
        </w:tc>
        <w:tc>
          <w:tcPr>
            <w:tcW w:w="1092" w:type="dxa"/>
          </w:tcPr>
          <w:p w14:paraId="1ADDE950" w14:textId="77777777" w:rsidR="00B67D7C" w:rsidRPr="00DE096C" w:rsidRDefault="00B67D7C" w:rsidP="00D45A46">
            <w:pPr>
              <w:jc w:val="both"/>
              <w:rPr>
                <w:bCs/>
                <w:color w:val="002060"/>
                <w:sz w:val="16"/>
                <w:szCs w:val="16"/>
              </w:rPr>
            </w:pPr>
            <w:r w:rsidRPr="00DE096C">
              <w:rPr>
                <w:bCs/>
                <w:color w:val="002060"/>
                <w:sz w:val="16"/>
                <w:szCs w:val="16"/>
              </w:rPr>
              <w:t>8</w:t>
            </w:r>
          </w:p>
        </w:tc>
        <w:tc>
          <w:tcPr>
            <w:tcW w:w="1792" w:type="dxa"/>
          </w:tcPr>
          <w:p w14:paraId="4E4C53E4" w14:textId="77777777" w:rsidR="00B67D7C" w:rsidRPr="00DE096C" w:rsidRDefault="00B67D7C" w:rsidP="00D45A46">
            <w:pPr>
              <w:jc w:val="both"/>
              <w:rPr>
                <w:bCs/>
                <w:color w:val="002060"/>
                <w:sz w:val="16"/>
                <w:szCs w:val="16"/>
              </w:rPr>
            </w:pPr>
            <w:r w:rsidRPr="00DE096C">
              <w:rPr>
                <w:bCs/>
                <w:color w:val="002060"/>
                <w:sz w:val="16"/>
                <w:szCs w:val="16"/>
              </w:rPr>
              <w:t>342,6</w:t>
            </w:r>
          </w:p>
        </w:tc>
        <w:tc>
          <w:tcPr>
            <w:tcW w:w="972" w:type="dxa"/>
          </w:tcPr>
          <w:p w14:paraId="613B23A6" w14:textId="77777777" w:rsidR="00B67D7C" w:rsidRPr="00DE096C" w:rsidRDefault="00B67D7C" w:rsidP="00D45A46">
            <w:pPr>
              <w:jc w:val="both"/>
              <w:rPr>
                <w:bCs/>
                <w:color w:val="002060"/>
                <w:sz w:val="16"/>
                <w:szCs w:val="16"/>
              </w:rPr>
            </w:pPr>
            <w:r w:rsidRPr="00DE096C">
              <w:rPr>
                <w:bCs/>
                <w:color w:val="002060"/>
                <w:sz w:val="16"/>
                <w:szCs w:val="16"/>
              </w:rPr>
              <w:t>1.142,6</w:t>
            </w:r>
          </w:p>
        </w:tc>
      </w:tr>
      <w:tr w:rsidR="00B67D7C" w:rsidRPr="00DE096C" w14:paraId="6F3740A9" w14:textId="77777777" w:rsidTr="00C2024A">
        <w:tc>
          <w:tcPr>
            <w:tcW w:w="1248" w:type="dxa"/>
          </w:tcPr>
          <w:p w14:paraId="30ADD2D6" w14:textId="77777777" w:rsidR="00B67D7C" w:rsidRPr="00DE096C" w:rsidRDefault="00B67D7C" w:rsidP="00D45A46">
            <w:pPr>
              <w:jc w:val="both"/>
              <w:rPr>
                <w:bCs/>
                <w:color w:val="002060"/>
                <w:sz w:val="16"/>
                <w:szCs w:val="16"/>
              </w:rPr>
            </w:pPr>
            <w:r w:rsidRPr="00DE096C">
              <w:rPr>
                <w:bCs/>
                <w:color w:val="002060"/>
                <w:sz w:val="16"/>
                <w:szCs w:val="16"/>
              </w:rPr>
              <w:t>М«рт</w:t>
            </w:r>
          </w:p>
        </w:tc>
        <w:tc>
          <w:tcPr>
            <w:tcW w:w="1503" w:type="dxa"/>
          </w:tcPr>
          <w:p w14:paraId="177E283F" w14:textId="77777777" w:rsidR="00B67D7C" w:rsidRPr="00DE096C" w:rsidRDefault="00B67D7C" w:rsidP="00D45A46">
            <w:pPr>
              <w:jc w:val="both"/>
              <w:rPr>
                <w:bCs/>
                <w:color w:val="002060"/>
                <w:sz w:val="16"/>
                <w:szCs w:val="16"/>
              </w:rPr>
            </w:pPr>
            <w:r w:rsidRPr="00DE096C">
              <w:rPr>
                <w:bCs/>
                <w:color w:val="002060"/>
                <w:sz w:val="16"/>
                <w:szCs w:val="16"/>
              </w:rPr>
              <w:t>800</w:t>
            </w:r>
          </w:p>
        </w:tc>
        <w:tc>
          <w:tcPr>
            <w:tcW w:w="1092" w:type="dxa"/>
          </w:tcPr>
          <w:p w14:paraId="5DDABDD2" w14:textId="77777777" w:rsidR="00B67D7C" w:rsidRPr="00DE096C" w:rsidRDefault="00B67D7C" w:rsidP="00D45A46">
            <w:pPr>
              <w:jc w:val="both"/>
              <w:rPr>
                <w:bCs/>
                <w:color w:val="002060"/>
                <w:sz w:val="16"/>
                <w:szCs w:val="16"/>
              </w:rPr>
            </w:pPr>
            <w:r w:rsidRPr="00DE096C">
              <w:rPr>
                <w:bCs/>
                <w:color w:val="002060"/>
                <w:sz w:val="16"/>
                <w:szCs w:val="16"/>
              </w:rPr>
              <w:t>11</w:t>
            </w:r>
          </w:p>
        </w:tc>
        <w:tc>
          <w:tcPr>
            <w:tcW w:w="1792" w:type="dxa"/>
          </w:tcPr>
          <w:p w14:paraId="2BB0FF53" w14:textId="77777777" w:rsidR="00B67D7C" w:rsidRPr="00DE096C" w:rsidRDefault="00B67D7C" w:rsidP="00D45A46">
            <w:pPr>
              <w:jc w:val="both"/>
              <w:rPr>
                <w:bCs/>
                <w:color w:val="002060"/>
                <w:sz w:val="16"/>
                <w:szCs w:val="16"/>
              </w:rPr>
            </w:pPr>
            <w:r w:rsidRPr="00DE096C">
              <w:rPr>
                <w:bCs/>
                <w:color w:val="002060"/>
                <w:sz w:val="16"/>
                <w:szCs w:val="16"/>
              </w:rPr>
              <w:t>479,9</w:t>
            </w:r>
          </w:p>
        </w:tc>
        <w:tc>
          <w:tcPr>
            <w:tcW w:w="972" w:type="dxa"/>
          </w:tcPr>
          <w:p w14:paraId="403FEB6B" w14:textId="77777777" w:rsidR="00B67D7C" w:rsidRPr="00DE096C" w:rsidRDefault="00B67D7C" w:rsidP="00D45A46">
            <w:pPr>
              <w:jc w:val="both"/>
              <w:rPr>
                <w:bCs/>
                <w:color w:val="002060"/>
                <w:sz w:val="16"/>
                <w:szCs w:val="16"/>
              </w:rPr>
            </w:pPr>
            <w:r w:rsidRPr="00DE096C">
              <w:rPr>
                <w:bCs/>
                <w:color w:val="002060"/>
                <w:sz w:val="16"/>
                <w:szCs w:val="16"/>
              </w:rPr>
              <w:t>1.279,9</w:t>
            </w:r>
          </w:p>
        </w:tc>
      </w:tr>
      <w:tr w:rsidR="00B67D7C" w:rsidRPr="00DE096C" w14:paraId="5FC10D0A" w14:textId="77777777" w:rsidTr="00C2024A">
        <w:tc>
          <w:tcPr>
            <w:tcW w:w="1248" w:type="dxa"/>
          </w:tcPr>
          <w:p w14:paraId="35B8769A" w14:textId="77777777" w:rsidR="00B67D7C" w:rsidRPr="00DE096C" w:rsidRDefault="00B67D7C" w:rsidP="00D45A46">
            <w:pPr>
              <w:jc w:val="both"/>
              <w:rPr>
                <w:bCs/>
                <w:color w:val="002060"/>
                <w:sz w:val="16"/>
                <w:szCs w:val="16"/>
              </w:rPr>
            </w:pPr>
            <w:r w:rsidRPr="00DE096C">
              <w:rPr>
                <w:bCs/>
                <w:color w:val="002060"/>
                <w:sz w:val="16"/>
                <w:szCs w:val="16"/>
              </w:rPr>
              <w:t>Апрель</w:t>
            </w:r>
          </w:p>
        </w:tc>
        <w:tc>
          <w:tcPr>
            <w:tcW w:w="1503" w:type="dxa"/>
          </w:tcPr>
          <w:p w14:paraId="00AAB84F" w14:textId="77777777" w:rsidR="00B67D7C" w:rsidRPr="00DE096C" w:rsidRDefault="00B67D7C" w:rsidP="00D45A46">
            <w:pPr>
              <w:jc w:val="both"/>
              <w:rPr>
                <w:bCs/>
                <w:color w:val="002060"/>
                <w:sz w:val="16"/>
                <w:szCs w:val="16"/>
              </w:rPr>
            </w:pPr>
            <w:r w:rsidRPr="00DE096C">
              <w:rPr>
                <w:bCs/>
                <w:color w:val="002060"/>
                <w:sz w:val="16"/>
                <w:szCs w:val="16"/>
              </w:rPr>
              <w:t>800</w:t>
            </w:r>
          </w:p>
        </w:tc>
        <w:tc>
          <w:tcPr>
            <w:tcW w:w="1092" w:type="dxa"/>
          </w:tcPr>
          <w:p w14:paraId="306D5151" w14:textId="77777777" w:rsidR="00B67D7C" w:rsidRPr="00DE096C" w:rsidRDefault="00B67D7C" w:rsidP="00D45A46">
            <w:pPr>
              <w:jc w:val="both"/>
              <w:rPr>
                <w:bCs/>
                <w:color w:val="002060"/>
                <w:sz w:val="16"/>
                <w:szCs w:val="16"/>
              </w:rPr>
            </w:pPr>
            <w:r w:rsidRPr="00DE096C">
              <w:rPr>
                <w:bCs/>
                <w:color w:val="002060"/>
                <w:sz w:val="16"/>
                <w:szCs w:val="16"/>
              </w:rPr>
              <w:t>15</w:t>
            </w:r>
          </w:p>
        </w:tc>
        <w:tc>
          <w:tcPr>
            <w:tcW w:w="1792" w:type="dxa"/>
          </w:tcPr>
          <w:p w14:paraId="6CD5671E" w14:textId="77777777" w:rsidR="00B67D7C" w:rsidRPr="00DE096C" w:rsidRDefault="00B67D7C" w:rsidP="00D45A46">
            <w:pPr>
              <w:jc w:val="both"/>
              <w:rPr>
                <w:bCs/>
                <w:color w:val="002060"/>
                <w:sz w:val="16"/>
                <w:szCs w:val="16"/>
              </w:rPr>
            </w:pPr>
            <w:r w:rsidRPr="00DE096C">
              <w:rPr>
                <w:bCs/>
                <w:color w:val="002060"/>
                <w:sz w:val="16"/>
                <w:szCs w:val="16"/>
              </w:rPr>
              <w:t>632,1</w:t>
            </w:r>
          </w:p>
        </w:tc>
        <w:tc>
          <w:tcPr>
            <w:tcW w:w="972" w:type="dxa"/>
          </w:tcPr>
          <w:p w14:paraId="51E1D54F" w14:textId="77777777" w:rsidR="00B67D7C" w:rsidRPr="00DE096C" w:rsidRDefault="00B67D7C" w:rsidP="00D45A46">
            <w:pPr>
              <w:jc w:val="both"/>
              <w:rPr>
                <w:bCs/>
                <w:color w:val="002060"/>
                <w:sz w:val="16"/>
                <w:szCs w:val="16"/>
              </w:rPr>
            </w:pPr>
            <w:r w:rsidRPr="00DE096C">
              <w:rPr>
                <w:bCs/>
                <w:color w:val="002060"/>
                <w:sz w:val="16"/>
                <w:szCs w:val="16"/>
              </w:rPr>
              <w:t>1.432,1</w:t>
            </w:r>
          </w:p>
        </w:tc>
      </w:tr>
      <w:tr w:rsidR="00B67D7C" w:rsidRPr="00DE096C" w14:paraId="1FC2D575" w14:textId="77777777" w:rsidTr="00C2024A">
        <w:tc>
          <w:tcPr>
            <w:tcW w:w="1248" w:type="dxa"/>
          </w:tcPr>
          <w:p w14:paraId="0C1E3491" w14:textId="77777777" w:rsidR="00B67D7C" w:rsidRPr="00DE096C" w:rsidRDefault="00B67D7C" w:rsidP="00D45A46">
            <w:pPr>
              <w:jc w:val="both"/>
              <w:rPr>
                <w:bCs/>
                <w:color w:val="002060"/>
                <w:sz w:val="16"/>
                <w:szCs w:val="16"/>
              </w:rPr>
            </w:pPr>
            <w:r w:rsidRPr="00DE096C">
              <w:rPr>
                <w:bCs/>
                <w:color w:val="002060"/>
                <w:sz w:val="16"/>
                <w:szCs w:val="16"/>
              </w:rPr>
              <w:t>Май</w:t>
            </w:r>
          </w:p>
        </w:tc>
        <w:tc>
          <w:tcPr>
            <w:tcW w:w="1503" w:type="dxa"/>
          </w:tcPr>
          <w:p w14:paraId="7DD362C8" w14:textId="77777777" w:rsidR="00B67D7C" w:rsidRPr="00DE096C" w:rsidRDefault="00B67D7C" w:rsidP="00D45A46">
            <w:pPr>
              <w:jc w:val="both"/>
              <w:rPr>
                <w:bCs/>
                <w:color w:val="002060"/>
                <w:sz w:val="16"/>
                <w:szCs w:val="16"/>
              </w:rPr>
            </w:pPr>
            <w:r w:rsidRPr="00DE096C">
              <w:rPr>
                <w:bCs/>
                <w:color w:val="002060"/>
                <w:sz w:val="16"/>
                <w:szCs w:val="16"/>
              </w:rPr>
              <w:t>800</w:t>
            </w:r>
          </w:p>
        </w:tc>
        <w:tc>
          <w:tcPr>
            <w:tcW w:w="1092" w:type="dxa"/>
          </w:tcPr>
          <w:p w14:paraId="31819721" w14:textId="77777777" w:rsidR="00B67D7C" w:rsidRPr="00DE096C" w:rsidRDefault="00B67D7C" w:rsidP="00D45A46">
            <w:pPr>
              <w:jc w:val="both"/>
              <w:rPr>
                <w:bCs/>
                <w:color w:val="002060"/>
                <w:sz w:val="16"/>
                <w:szCs w:val="16"/>
              </w:rPr>
            </w:pPr>
            <w:r w:rsidRPr="00DE096C">
              <w:rPr>
                <w:bCs/>
                <w:color w:val="002060"/>
                <w:sz w:val="16"/>
                <w:szCs w:val="16"/>
              </w:rPr>
              <w:t>18</w:t>
            </w:r>
          </w:p>
        </w:tc>
        <w:tc>
          <w:tcPr>
            <w:tcW w:w="1792" w:type="dxa"/>
          </w:tcPr>
          <w:p w14:paraId="538FAC39" w14:textId="77777777" w:rsidR="00B67D7C" w:rsidRPr="00DE096C" w:rsidRDefault="00B67D7C" w:rsidP="00D45A46">
            <w:pPr>
              <w:jc w:val="both"/>
              <w:rPr>
                <w:bCs/>
                <w:color w:val="002060"/>
                <w:sz w:val="16"/>
                <w:szCs w:val="16"/>
              </w:rPr>
            </w:pPr>
            <w:r w:rsidRPr="00DE096C">
              <w:rPr>
                <w:bCs/>
                <w:color w:val="002060"/>
                <w:sz w:val="16"/>
                <w:szCs w:val="16"/>
              </w:rPr>
              <w:t>739,8</w:t>
            </w:r>
          </w:p>
        </w:tc>
        <w:tc>
          <w:tcPr>
            <w:tcW w:w="972" w:type="dxa"/>
          </w:tcPr>
          <w:p w14:paraId="49CEDB60" w14:textId="77777777" w:rsidR="00B67D7C" w:rsidRPr="00DE096C" w:rsidRDefault="00B67D7C" w:rsidP="00D45A46">
            <w:pPr>
              <w:jc w:val="both"/>
              <w:rPr>
                <w:bCs/>
                <w:color w:val="002060"/>
                <w:sz w:val="16"/>
                <w:szCs w:val="16"/>
              </w:rPr>
            </w:pPr>
            <w:r w:rsidRPr="00DE096C">
              <w:rPr>
                <w:bCs/>
                <w:color w:val="002060"/>
                <w:sz w:val="16"/>
                <w:szCs w:val="16"/>
              </w:rPr>
              <w:t>1.539,8</w:t>
            </w:r>
          </w:p>
        </w:tc>
      </w:tr>
      <w:tr w:rsidR="00B67D7C" w:rsidRPr="00DE096C" w14:paraId="35FA3132" w14:textId="77777777" w:rsidTr="00C2024A">
        <w:tc>
          <w:tcPr>
            <w:tcW w:w="1248" w:type="dxa"/>
          </w:tcPr>
          <w:p w14:paraId="1083AC58" w14:textId="77777777" w:rsidR="00B67D7C" w:rsidRPr="00DE096C" w:rsidRDefault="00B67D7C" w:rsidP="00D45A46">
            <w:pPr>
              <w:jc w:val="both"/>
              <w:rPr>
                <w:bCs/>
                <w:color w:val="002060"/>
                <w:sz w:val="16"/>
                <w:szCs w:val="16"/>
              </w:rPr>
            </w:pPr>
            <w:r w:rsidRPr="00DE096C">
              <w:rPr>
                <w:bCs/>
                <w:color w:val="002060"/>
                <w:sz w:val="16"/>
                <w:szCs w:val="16"/>
              </w:rPr>
              <w:t>Июнь</w:t>
            </w:r>
          </w:p>
        </w:tc>
        <w:tc>
          <w:tcPr>
            <w:tcW w:w="1503" w:type="dxa"/>
          </w:tcPr>
          <w:p w14:paraId="26776058" w14:textId="77777777" w:rsidR="00B67D7C" w:rsidRPr="00DE096C" w:rsidRDefault="00B67D7C" w:rsidP="00D45A46">
            <w:pPr>
              <w:jc w:val="both"/>
              <w:rPr>
                <w:bCs/>
                <w:color w:val="002060"/>
                <w:sz w:val="16"/>
                <w:szCs w:val="16"/>
              </w:rPr>
            </w:pPr>
            <w:r w:rsidRPr="00DE096C">
              <w:rPr>
                <w:bCs/>
                <w:color w:val="002060"/>
                <w:sz w:val="16"/>
                <w:szCs w:val="16"/>
              </w:rPr>
              <w:t>800</w:t>
            </w:r>
          </w:p>
        </w:tc>
        <w:tc>
          <w:tcPr>
            <w:tcW w:w="1092" w:type="dxa"/>
          </w:tcPr>
          <w:p w14:paraId="4CB7E889" w14:textId="77777777" w:rsidR="00B67D7C" w:rsidRPr="00DE096C" w:rsidRDefault="00B67D7C" w:rsidP="00D45A46">
            <w:pPr>
              <w:jc w:val="both"/>
              <w:rPr>
                <w:bCs/>
                <w:color w:val="002060"/>
                <w:sz w:val="16"/>
                <w:szCs w:val="16"/>
              </w:rPr>
            </w:pPr>
            <w:r w:rsidRPr="00DE096C">
              <w:rPr>
                <w:bCs/>
                <w:color w:val="002060"/>
                <w:sz w:val="16"/>
                <w:szCs w:val="16"/>
              </w:rPr>
              <w:t>18</w:t>
            </w:r>
          </w:p>
        </w:tc>
        <w:tc>
          <w:tcPr>
            <w:tcW w:w="1792" w:type="dxa"/>
          </w:tcPr>
          <w:p w14:paraId="46609E12" w14:textId="77777777" w:rsidR="00B67D7C" w:rsidRPr="00DE096C" w:rsidRDefault="00B67D7C" w:rsidP="00D45A46">
            <w:pPr>
              <w:jc w:val="both"/>
              <w:rPr>
                <w:bCs/>
                <w:color w:val="002060"/>
                <w:sz w:val="16"/>
                <w:szCs w:val="16"/>
              </w:rPr>
            </w:pPr>
            <w:r w:rsidRPr="00DE096C">
              <w:rPr>
                <w:bCs/>
                <w:color w:val="002060"/>
                <w:sz w:val="16"/>
                <w:szCs w:val="16"/>
              </w:rPr>
              <w:t>739,8</w:t>
            </w:r>
          </w:p>
        </w:tc>
        <w:tc>
          <w:tcPr>
            <w:tcW w:w="972" w:type="dxa"/>
          </w:tcPr>
          <w:p w14:paraId="039CEB44" w14:textId="77777777" w:rsidR="00B67D7C" w:rsidRPr="00DE096C" w:rsidRDefault="00B67D7C" w:rsidP="00D45A46">
            <w:pPr>
              <w:jc w:val="both"/>
              <w:rPr>
                <w:bCs/>
                <w:color w:val="002060"/>
                <w:sz w:val="16"/>
                <w:szCs w:val="16"/>
              </w:rPr>
            </w:pPr>
            <w:r w:rsidRPr="00DE096C">
              <w:rPr>
                <w:bCs/>
                <w:color w:val="002060"/>
                <w:sz w:val="16"/>
                <w:szCs w:val="16"/>
              </w:rPr>
              <w:t>1.539,8</w:t>
            </w:r>
          </w:p>
        </w:tc>
      </w:tr>
      <w:tr w:rsidR="00B67D7C" w:rsidRPr="00DE096C" w14:paraId="734AD2D1" w14:textId="77777777" w:rsidTr="00C2024A">
        <w:tc>
          <w:tcPr>
            <w:tcW w:w="1248" w:type="dxa"/>
          </w:tcPr>
          <w:p w14:paraId="5A3E2C6B" w14:textId="77777777" w:rsidR="00B67D7C" w:rsidRPr="00DE096C" w:rsidRDefault="00B67D7C" w:rsidP="00D45A46">
            <w:pPr>
              <w:jc w:val="both"/>
              <w:rPr>
                <w:bCs/>
                <w:color w:val="002060"/>
                <w:sz w:val="16"/>
                <w:szCs w:val="16"/>
              </w:rPr>
            </w:pPr>
            <w:r w:rsidRPr="00DE096C">
              <w:rPr>
                <w:bCs/>
                <w:color w:val="002060"/>
                <w:sz w:val="16"/>
                <w:szCs w:val="16"/>
              </w:rPr>
              <w:t>Июль</w:t>
            </w:r>
          </w:p>
        </w:tc>
        <w:tc>
          <w:tcPr>
            <w:tcW w:w="1503" w:type="dxa"/>
          </w:tcPr>
          <w:p w14:paraId="1E3AFC3C" w14:textId="77777777" w:rsidR="00B67D7C" w:rsidRPr="00DE096C" w:rsidRDefault="00B67D7C" w:rsidP="00D45A46">
            <w:pPr>
              <w:jc w:val="both"/>
              <w:rPr>
                <w:bCs/>
                <w:color w:val="002060"/>
                <w:sz w:val="16"/>
                <w:szCs w:val="16"/>
              </w:rPr>
            </w:pPr>
            <w:r w:rsidRPr="00DE096C">
              <w:rPr>
                <w:bCs/>
                <w:color w:val="002060"/>
                <w:sz w:val="16"/>
                <w:szCs w:val="16"/>
              </w:rPr>
              <w:t>800</w:t>
            </w:r>
          </w:p>
        </w:tc>
        <w:tc>
          <w:tcPr>
            <w:tcW w:w="1092" w:type="dxa"/>
          </w:tcPr>
          <w:p w14:paraId="57EB4AD5" w14:textId="77777777" w:rsidR="00B67D7C" w:rsidRPr="00DE096C" w:rsidRDefault="00B67D7C" w:rsidP="00D45A46">
            <w:pPr>
              <w:jc w:val="both"/>
              <w:rPr>
                <w:bCs/>
                <w:color w:val="002060"/>
                <w:sz w:val="16"/>
                <w:szCs w:val="16"/>
              </w:rPr>
            </w:pPr>
            <w:r w:rsidRPr="00DE096C">
              <w:rPr>
                <w:bCs/>
                <w:color w:val="002060"/>
                <w:sz w:val="16"/>
                <w:szCs w:val="16"/>
              </w:rPr>
              <w:t>23</w:t>
            </w:r>
          </w:p>
        </w:tc>
        <w:tc>
          <w:tcPr>
            <w:tcW w:w="1792" w:type="dxa"/>
          </w:tcPr>
          <w:p w14:paraId="78A2C0B1" w14:textId="77777777" w:rsidR="00B67D7C" w:rsidRPr="00DE096C" w:rsidRDefault="00B67D7C" w:rsidP="00D45A46">
            <w:pPr>
              <w:jc w:val="both"/>
              <w:rPr>
                <w:bCs/>
                <w:color w:val="002060"/>
                <w:sz w:val="16"/>
                <w:szCs w:val="16"/>
              </w:rPr>
            </w:pPr>
            <w:r w:rsidRPr="00DE096C">
              <w:rPr>
                <w:bCs/>
                <w:color w:val="002060"/>
                <w:sz w:val="16"/>
                <w:szCs w:val="16"/>
              </w:rPr>
              <w:t>932,4</w:t>
            </w:r>
          </w:p>
        </w:tc>
        <w:tc>
          <w:tcPr>
            <w:tcW w:w="972" w:type="dxa"/>
          </w:tcPr>
          <w:p w14:paraId="16C7350C" w14:textId="77777777" w:rsidR="00B67D7C" w:rsidRPr="00DE096C" w:rsidRDefault="00B67D7C" w:rsidP="00D45A46">
            <w:pPr>
              <w:jc w:val="both"/>
              <w:rPr>
                <w:bCs/>
                <w:color w:val="002060"/>
                <w:sz w:val="16"/>
                <w:szCs w:val="16"/>
              </w:rPr>
            </w:pPr>
            <w:r w:rsidRPr="00DE096C">
              <w:rPr>
                <w:bCs/>
                <w:color w:val="002060"/>
                <w:sz w:val="16"/>
                <w:szCs w:val="16"/>
              </w:rPr>
              <w:t>1.732,4</w:t>
            </w:r>
          </w:p>
        </w:tc>
      </w:tr>
      <w:tr w:rsidR="00B67D7C" w:rsidRPr="00DE096C" w14:paraId="2F3E64E2" w14:textId="77777777" w:rsidTr="00C2024A">
        <w:tc>
          <w:tcPr>
            <w:tcW w:w="1248" w:type="dxa"/>
          </w:tcPr>
          <w:p w14:paraId="18868461" w14:textId="77777777" w:rsidR="00B67D7C" w:rsidRPr="00DE096C" w:rsidRDefault="00B67D7C" w:rsidP="00D45A46">
            <w:pPr>
              <w:jc w:val="both"/>
              <w:rPr>
                <w:bCs/>
                <w:color w:val="002060"/>
                <w:sz w:val="16"/>
                <w:szCs w:val="16"/>
              </w:rPr>
            </w:pPr>
            <w:r w:rsidRPr="00DE096C">
              <w:rPr>
                <w:bCs/>
                <w:color w:val="002060"/>
                <w:sz w:val="16"/>
                <w:szCs w:val="16"/>
              </w:rPr>
              <w:t>Август</w:t>
            </w:r>
          </w:p>
        </w:tc>
        <w:tc>
          <w:tcPr>
            <w:tcW w:w="1503" w:type="dxa"/>
          </w:tcPr>
          <w:p w14:paraId="7B9138CE" w14:textId="77777777" w:rsidR="00B67D7C" w:rsidRPr="00DE096C" w:rsidRDefault="00B67D7C" w:rsidP="00D45A46">
            <w:pPr>
              <w:jc w:val="both"/>
              <w:rPr>
                <w:bCs/>
                <w:color w:val="002060"/>
                <w:sz w:val="16"/>
                <w:szCs w:val="16"/>
              </w:rPr>
            </w:pPr>
            <w:r w:rsidRPr="00DE096C">
              <w:rPr>
                <w:bCs/>
                <w:color w:val="002060"/>
                <w:sz w:val="16"/>
                <w:szCs w:val="16"/>
              </w:rPr>
              <w:t>800</w:t>
            </w:r>
          </w:p>
        </w:tc>
        <w:tc>
          <w:tcPr>
            <w:tcW w:w="1092" w:type="dxa"/>
          </w:tcPr>
          <w:p w14:paraId="0D3D2030" w14:textId="77777777" w:rsidR="00B67D7C" w:rsidRPr="00DE096C" w:rsidRDefault="00B67D7C" w:rsidP="00D45A46">
            <w:pPr>
              <w:jc w:val="both"/>
              <w:rPr>
                <w:bCs/>
                <w:color w:val="002060"/>
                <w:sz w:val="16"/>
                <w:szCs w:val="16"/>
              </w:rPr>
            </w:pPr>
            <w:r w:rsidRPr="00DE096C">
              <w:rPr>
                <w:bCs/>
                <w:color w:val="002060"/>
                <w:sz w:val="16"/>
                <w:szCs w:val="16"/>
              </w:rPr>
              <w:t>23</w:t>
            </w:r>
          </w:p>
        </w:tc>
        <w:tc>
          <w:tcPr>
            <w:tcW w:w="1792" w:type="dxa"/>
          </w:tcPr>
          <w:p w14:paraId="7D0893E5" w14:textId="77777777" w:rsidR="00B67D7C" w:rsidRPr="00DE096C" w:rsidRDefault="00B67D7C" w:rsidP="00D45A46">
            <w:pPr>
              <w:jc w:val="both"/>
              <w:rPr>
                <w:bCs/>
                <w:color w:val="002060"/>
                <w:sz w:val="16"/>
                <w:szCs w:val="16"/>
              </w:rPr>
            </w:pPr>
            <w:r w:rsidRPr="00DE096C">
              <w:rPr>
                <w:bCs/>
                <w:color w:val="002060"/>
                <w:sz w:val="16"/>
                <w:szCs w:val="16"/>
              </w:rPr>
              <w:t>932,4</w:t>
            </w:r>
          </w:p>
        </w:tc>
        <w:tc>
          <w:tcPr>
            <w:tcW w:w="972" w:type="dxa"/>
          </w:tcPr>
          <w:p w14:paraId="4D1EBCD0" w14:textId="77777777" w:rsidR="00B67D7C" w:rsidRPr="00DE096C" w:rsidRDefault="00B67D7C" w:rsidP="00D45A46">
            <w:pPr>
              <w:jc w:val="both"/>
              <w:rPr>
                <w:bCs/>
                <w:color w:val="002060"/>
                <w:sz w:val="16"/>
                <w:szCs w:val="16"/>
              </w:rPr>
            </w:pPr>
            <w:r w:rsidRPr="00DE096C">
              <w:rPr>
                <w:bCs/>
                <w:color w:val="002060"/>
                <w:sz w:val="16"/>
                <w:szCs w:val="16"/>
              </w:rPr>
              <w:t>1.732,4</w:t>
            </w:r>
          </w:p>
        </w:tc>
      </w:tr>
      <w:tr w:rsidR="00B67D7C" w:rsidRPr="00DE096C" w14:paraId="4AA2D376" w14:textId="77777777" w:rsidTr="00C2024A">
        <w:tc>
          <w:tcPr>
            <w:tcW w:w="1248" w:type="dxa"/>
          </w:tcPr>
          <w:p w14:paraId="07B10C78" w14:textId="77777777" w:rsidR="00B67D7C" w:rsidRPr="00DE096C" w:rsidRDefault="00B67D7C" w:rsidP="00D45A46">
            <w:pPr>
              <w:jc w:val="both"/>
              <w:rPr>
                <w:bCs/>
                <w:color w:val="002060"/>
                <w:sz w:val="16"/>
                <w:szCs w:val="16"/>
              </w:rPr>
            </w:pPr>
            <w:r w:rsidRPr="00DE096C">
              <w:rPr>
                <w:bCs/>
                <w:color w:val="002060"/>
                <w:sz w:val="16"/>
                <w:szCs w:val="16"/>
              </w:rPr>
              <w:t>Сентябрь</w:t>
            </w:r>
          </w:p>
        </w:tc>
        <w:tc>
          <w:tcPr>
            <w:tcW w:w="1503" w:type="dxa"/>
          </w:tcPr>
          <w:p w14:paraId="2E380D52" w14:textId="77777777" w:rsidR="00B67D7C" w:rsidRPr="00DE096C" w:rsidRDefault="00B67D7C" w:rsidP="00D45A46">
            <w:pPr>
              <w:jc w:val="both"/>
              <w:rPr>
                <w:bCs/>
                <w:color w:val="002060"/>
                <w:sz w:val="16"/>
                <w:szCs w:val="16"/>
              </w:rPr>
            </w:pPr>
            <w:r w:rsidRPr="00DE096C">
              <w:rPr>
                <w:bCs/>
                <w:color w:val="002060"/>
                <w:sz w:val="16"/>
                <w:szCs w:val="16"/>
              </w:rPr>
              <w:t>800</w:t>
            </w:r>
          </w:p>
        </w:tc>
        <w:tc>
          <w:tcPr>
            <w:tcW w:w="1092" w:type="dxa"/>
          </w:tcPr>
          <w:p w14:paraId="3763BF55" w14:textId="77777777" w:rsidR="00B67D7C" w:rsidRPr="00DE096C" w:rsidRDefault="00B67D7C" w:rsidP="00D45A46">
            <w:pPr>
              <w:jc w:val="both"/>
              <w:rPr>
                <w:bCs/>
                <w:color w:val="002060"/>
                <w:sz w:val="16"/>
                <w:szCs w:val="16"/>
              </w:rPr>
            </w:pPr>
            <w:r w:rsidRPr="00DE096C">
              <w:rPr>
                <w:bCs/>
                <w:color w:val="002060"/>
                <w:sz w:val="16"/>
                <w:szCs w:val="16"/>
              </w:rPr>
              <w:t>28</w:t>
            </w:r>
          </w:p>
        </w:tc>
        <w:tc>
          <w:tcPr>
            <w:tcW w:w="1792" w:type="dxa"/>
          </w:tcPr>
          <w:p w14:paraId="08AFF0BB" w14:textId="77777777" w:rsidR="00B67D7C" w:rsidRPr="00DE096C" w:rsidRDefault="00B67D7C" w:rsidP="00D45A46">
            <w:pPr>
              <w:jc w:val="both"/>
              <w:rPr>
                <w:bCs/>
                <w:color w:val="002060"/>
                <w:sz w:val="16"/>
                <w:szCs w:val="16"/>
              </w:rPr>
            </w:pPr>
            <w:r w:rsidRPr="00DE096C">
              <w:rPr>
                <w:bCs/>
                <w:color w:val="002060"/>
                <w:sz w:val="16"/>
                <w:szCs w:val="16"/>
              </w:rPr>
              <w:t>1.064,7</w:t>
            </w:r>
          </w:p>
        </w:tc>
        <w:tc>
          <w:tcPr>
            <w:tcW w:w="972" w:type="dxa"/>
          </w:tcPr>
          <w:p w14:paraId="60B2E908" w14:textId="77777777" w:rsidR="00B67D7C" w:rsidRPr="00DE096C" w:rsidRDefault="00B67D7C" w:rsidP="00D45A46">
            <w:pPr>
              <w:jc w:val="both"/>
              <w:rPr>
                <w:bCs/>
                <w:color w:val="002060"/>
                <w:sz w:val="16"/>
                <w:szCs w:val="16"/>
              </w:rPr>
            </w:pPr>
            <w:r w:rsidRPr="00DE096C">
              <w:rPr>
                <w:bCs/>
                <w:color w:val="002060"/>
                <w:sz w:val="16"/>
                <w:szCs w:val="16"/>
              </w:rPr>
              <w:t>1.864,7</w:t>
            </w:r>
          </w:p>
        </w:tc>
      </w:tr>
      <w:tr w:rsidR="00B67D7C" w:rsidRPr="00DE096C" w14:paraId="0CD65968" w14:textId="77777777" w:rsidTr="00C2024A">
        <w:tc>
          <w:tcPr>
            <w:tcW w:w="1248" w:type="dxa"/>
          </w:tcPr>
          <w:p w14:paraId="639743DC" w14:textId="77777777" w:rsidR="00B67D7C" w:rsidRPr="00DE096C" w:rsidRDefault="00B67D7C" w:rsidP="00D45A46">
            <w:pPr>
              <w:jc w:val="both"/>
              <w:rPr>
                <w:bCs/>
                <w:color w:val="002060"/>
                <w:sz w:val="16"/>
                <w:szCs w:val="16"/>
              </w:rPr>
            </w:pPr>
            <w:r w:rsidRPr="00DE096C">
              <w:rPr>
                <w:bCs/>
                <w:color w:val="002060"/>
                <w:sz w:val="16"/>
                <w:szCs w:val="16"/>
              </w:rPr>
              <w:t>Октябрь</w:t>
            </w:r>
          </w:p>
        </w:tc>
        <w:tc>
          <w:tcPr>
            <w:tcW w:w="1503" w:type="dxa"/>
          </w:tcPr>
          <w:p w14:paraId="3D1341A3" w14:textId="77777777" w:rsidR="00B67D7C" w:rsidRPr="00DE096C" w:rsidRDefault="00B67D7C" w:rsidP="00D45A46">
            <w:pPr>
              <w:jc w:val="both"/>
              <w:rPr>
                <w:bCs/>
                <w:color w:val="002060"/>
                <w:sz w:val="16"/>
                <w:szCs w:val="16"/>
              </w:rPr>
            </w:pPr>
            <w:r w:rsidRPr="00DE096C">
              <w:rPr>
                <w:bCs/>
                <w:color w:val="002060"/>
                <w:sz w:val="16"/>
                <w:szCs w:val="16"/>
              </w:rPr>
              <w:t>800</w:t>
            </w:r>
          </w:p>
        </w:tc>
        <w:tc>
          <w:tcPr>
            <w:tcW w:w="1092" w:type="dxa"/>
          </w:tcPr>
          <w:p w14:paraId="26C9E794" w14:textId="77777777" w:rsidR="00B67D7C" w:rsidRPr="00DE096C" w:rsidRDefault="00B67D7C" w:rsidP="00D45A46">
            <w:pPr>
              <w:jc w:val="both"/>
              <w:rPr>
                <w:bCs/>
                <w:color w:val="002060"/>
                <w:sz w:val="16"/>
                <w:szCs w:val="16"/>
              </w:rPr>
            </w:pPr>
            <w:r w:rsidRPr="00DE096C">
              <w:rPr>
                <w:bCs/>
                <w:color w:val="002060"/>
                <w:sz w:val="16"/>
                <w:szCs w:val="16"/>
              </w:rPr>
              <w:t>28</w:t>
            </w:r>
          </w:p>
        </w:tc>
        <w:tc>
          <w:tcPr>
            <w:tcW w:w="1792" w:type="dxa"/>
          </w:tcPr>
          <w:p w14:paraId="2AC5D8AE" w14:textId="77777777" w:rsidR="00B67D7C" w:rsidRPr="00DE096C" w:rsidRDefault="00B67D7C" w:rsidP="00D45A46">
            <w:pPr>
              <w:jc w:val="both"/>
              <w:rPr>
                <w:bCs/>
                <w:color w:val="002060"/>
                <w:sz w:val="16"/>
                <w:szCs w:val="16"/>
              </w:rPr>
            </w:pPr>
            <w:r w:rsidRPr="00DE096C">
              <w:rPr>
                <w:bCs/>
                <w:color w:val="002060"/>
                <w:sz w:val="16"/>
                <w:szCs w:val="16"/>
              </w:rPr>
              <w:t>1.064,7</w:t>
            </w:r>
          </w:p>
        </w:tc>
        <w:tc>
          <w:tcPr>
            <w:tcW w:w="972" w:type="dxa"/>
          </w:tcPr>
          <w:p w14:paraId="031662BB" w14:textId="77777777" w:rsidR="00B67D7C" w:rsidRPr="00DE096C" w:rsidRDefault="00B67D7C" w:rsidP="00D45A46">
            <w:pPr>
              <w:jc w:val="both"/>
              <w:rPr>
                <w:bCs/>
                <w:color w:val="002060"/>
                <w:sz w:val="16"/>
                <w:szCs w:val="16"/>
              </w:rPr>
            </w:pPr>
            <w:r w:rsidRPr="00DE096C">
              <w:rPr>
                <w:bCs/>
                <w:color w:val="002060"/>
                <w:sz w:val="16"/>
                <w:szCs w:val="16"/>
              </w:rPr>
              <w:t>1.864,7</w:t>
            </w:r>
          </w:p>
        </w:tc>
      </w:tr>
      <w:tr w:rsidR="00B67D7C" w:rsidRPr="00DE096C" w14:paraId="33E40A4C" w14:textId="77777777" w:rsidTr="00C2024A">
        <w:tc>
          <w:tcPr>
            <w:tcW w:w="1248" w:type="dxa"/>
          </w:tcPr>
          <w:p w14:paraId="1630AA7A" w14:textId="77777777" w:rsidR="00B67D7C" w:rsidRPr="00DE096C" w:rsidRDefault="00B67D7C" w:rsidP="00D45A46">
            <w:pPr>
              <w:jc w:val="both"/>
              <w:rPr>
                <w:bCs/>
                <w:color w:val="002060"/>
                <w:sz w:val="16"/>
                <w:szCs w:val="16"/>
              </w:rPr>
            </w:pPr>
            <w:r w:rsidRPr="00DE096C">
              <w:rPr>
                <w:bCs/>
                <w:color w:val="002060"/>
                <w:sz w:val="16"/>
                <w:szCs w:val="16"/>
              </w:rPr>
              <w:t>Ноябрь</w:t>
            </w:r>
          </w:p>
        </w:tc>
        <w:tc>
          <w:tcPr>
            <w:tcW w:w="1503" w:type="dxa"/>
          </w:tcPr>
          <w:p w14:paraId="6408BD8F" w14:textId="77777777" w:rsidR="00B67D7C" w:rsidRPr="00DE096C" w:rsidRDefault="00B67D7C" w:rsidP="00D45A46">
            <w:pPr>
              <w:jc w:val="both"/>
              <w:rPr>
                <w:bCs/>
                <w:color w:val="002060"/>
                <w:sz w:val="16"/>
                <w:szCs w:val="16"/>
              </w:rPr>
            </w:pPr>
            <w:r w:rsidRPr="00DE096C">
              <w:rPr>
                <w:bCs/>
                <w:color w:val="002060"/>
                <w:sz w:val="16"/>
                <w:szCs w:val="16"/>
              </w:rPr>
              <w:t>800</w:t>
            </w:r>
          </w:p>
        </w:tc>
        <w:tc>
          <w:tcPr>
            <w:tcW w:w="1092" w:type="dxa"/>
          </w:tcPr>
          <w:p w14:paraId="3E5D1132" w14:textId="77777777" w:rsidR="00B67D7C" w:rsidRPr="00DE096C" w:rsidRDefault="00B67D7C" w:rsidP="00D45A46">
            <w:pPr>
              <w:jc w:val="both"/>
              <w:rPr>
                <w:bCs/>
                <w:color w:val="002060"/>
                <w:sz w:val="16"/>
                <w:szCs w:val="16"/>
              </w:rPr>
            </w:pPr>
            <w:r w:rsidRPr="00DE096C">
              <w:rPr>
                <w:bCs/>
                <w:color w:val="002060"/>
                <w:sz w:val="16"/>
                <w:szCs w:val="16"/>
              </w:rPr>
              <w:t>28</w:t>
            </w:r>
          </w:p>
        </w:tc>
        <w:tc>
          <w:tcPr>
            <w:tcW w:w="1792" w:type="dxa"/>
          </w:tcPr>
          <w:p w14:paraId="13697F16" w14:textId="77777777" w:rsidR="00B67D7C" w:rsidRPr="00DE096C" w:rsidRDefault="00B67D7C" w:rsidP="00D45A46">
            <w:pPr>
              <w:jc w:val="both"/>
              <w:rPr>
                <w:bCs/>
                <w:color w:val="002060"/>
                <w:sz w:val="16"/>
                <w:szCs w:val="16"/>
              </w:rPr>
            </w:pPr>
            <w:r w:rsidRPr="00DE096C">
              <w:rPr>
                <w:bCs/>
                <w:color w:val="002060"/>
                <w:sz w:val="16"/>
                <w:szCs w:val="16"/>
              </w:rPr>
              <w:t>1.064,7</w:t>
            </w:r>
          </w:p>
        </w:tc>
        <w:tc>
          <w:tcPr>
            <w:tcW w:w="972" w:type="dxa"/>
          </w:tcPr>
          <w:p w14:paraId="513D3340" w14:textId="77777777" w:rsidR="00B67D7C" w:rsidRPr="00DE096C" w:rsidRDefault="00B67D7C" w:rsidP="00D45A46">
            <w:pPr>
              <w:jc w:val="both"/>
              <w:rPr>
                <w:bCs/>
                <w:color w:val="002060"/>
                <w:sz w:val="16"/>
                <w:szCs w:val="16"/>
              </w:rPr>
            </w:pPr>
            <w:r w:rsidRPr="00DE096C">
              <w:rPr>
                <w:bCs/>
                <w:color w:val="002060"/>
                <w:sz w:val="16"/>
                <w:szCs w:val="16"/>
              </w:rPr>
              <w:t>1.864,7</w:t>
            </w:r>
          </w:p>
        </w:tc>
      </w:tr>
      <w:tr w:rsidR="00B67D7C" w:rsidRPr="00DE096C" w14:paraId="034E5807" w14:textId="77777777" w:rsidTr="00C2024A">
        <w:tc>
          <w:tcPr>
            <w:tcW w:w="1248" w:type="dxa"/>
          </w:tcPr>
          <w:p w14:paraId="4E6BDC9A" w14:textId="77777777" w:rsidR="00B67D7C" w:rsidRPr="00DE096C" w:rsidRDefault="00B67D7C" w:rsidP="00D45A46">
            <w:pPr>
              <w:jc w:val="both"/>
              <w:rPr>
                <w:bCs/>
                <w:color w:val="002060"/>
                <w:sz w:val="16"/>
                <w:szCs w:val="16"/>
              </w:rPr>
            </w:pPr>
            <w:r w:rsidRPr="00DE096C">
              <w:rPr>
                <w:bCs/>
                <w:color w:val="002060"/>
                <w:sz w:val="16"/>
                <w:szCs w:val="16"/>
              </w:rPr>
              <w:t>Декабрь</w:t>
            </w:r>
          </w:p>
        </w:tc>
        <w:tc>
          <w:tcPr>
            <w:tcW w:w="1503" w:type="dxa"/>
          </w:tcPr>
          <w:p w14:paraId="1AFAD55E" w14:textId="77777777" w:rsidR="00B67D7C" w:rsidRPr="00DE096C" w:rsidRDefault="00B67D7C" w:rsidP="00D45A46">
            <w:pPr>
              <w:jc w:val="both"/>
              <w:rPr>
                <w:bCs/>
                <w:color w:val="002060"/>
                <w:sz w:val="16"/>
                <w:szCs w:val="16"/>
              </w:rPr>
            </w:pPr>
            <w:r w:rsidRPr="00DE096C">
              <w:rPr>
                <w:bCs/>
                <w:color w:val="002060"/>
                <w:sz w:val="16"/>
                <w:szCs w:val="16"/>
              </w:rPr>
              <w:t>800</w:t>
            </w:r>
          </w:p>
        </w:tc>
        <w:tc>
          <w:tcPr>
            <w:tcW w:w="1092" w:type="dxa"/>
          </w:tcPr>
          <w:p w14:paraId="23D82D53" w14:textId="77777777" w:rsidR="00B67D7C" w:rsidRPr="00DE096C" w:rsidRDefault="00B67D7C" w:rsidP="00D45A46">
            <w:pPr>
              <w:jc w:val="both"/>
              <w:rPr>
                <w:bCs/>
                <w:color w:val="002060"/>
                <w:sz w:val="16"/>
                <w:szCs w:val="16"/>
              </w:rPr>
            </w:pPr>
            <w:r w:rsidRPr="00DE096C">
              <w:rPr>
                <w:bCs/>
                <w:color w:val="002060"/>
                <w:sz w:val="16"/>
                <w:szCs w:val="16"/>
              </w:rPr>
              <w:t>28</w:t>
            </w:r>
          </w:p>
        </w:tc>
        <w:tc>
          <w:tcPr>
            <w:tcW w:w="1792" w:type="dxa"/>
          </w:tcPr>
          <w:p w14:paraId="374F8924" w14:textId="77777777" w:rsidR="00B67D7C" w:rsidRPr="00DE096C" w:rsidRDefault="00B67D7C" w:rsidP="00D45A46">
            <w:pPr>
              <w:jc w:val="both"/>
              <w:rPr>
                <w:bCs/>
                <w:color w:val="002060"/>
                <w:sz w:val="16"/>
                <w:szCs w:val="16"/>
              </w:rPr>
            </w:pPr>
            <w:r w:rsidRPr="00DE096C">
              <w:rPr>
                <w:bCs/>
                <w:color w:val="002060"/>
                <w:sz w:val="16"/>
                <w:szCs w:val="16"/>
              </w:rPr>
              <w:t>1.064,7</w:t>
            </w:r>
          </w:p>
        </w:tc>
        <w:tc>
          <w:tcPr>
            <w:tcW w:w="972" w:type="dxa"/>
          </w:tcPr>
          <w:p w14:paraId="014D0891" w14:textId="77777777" w:rsidR="00B67D7C" w:rsidRPr="00DE096C" w:rsidRDefault="00B67D7C" w:rsidP="00D45A46">
            <w:pPr>
              <w:jc w:val="both"/>
              <w:rPr>
                <w:bCs/>
                <w:color w:val="002060"/>
                <w:sz w:val="16"/>
                <w:szCs w:val="16"/>
              </w:rPr>
            </w:pPr>
            <w:r w:rsidRPr="00DE096C">
              <w:rPr>
                <w:bCs/>
                <w:color w:val="002060"/>
                <w:sz w:val="16"/>
                <w:szCs w:val="16"/>
              </w:rPr>
              <w:t>1.864,7</w:t>
            </w:r>
          </w:p>
        </w:tc>
      </w:tr>
    </w:tbl>
    <w:p w14:paraId="6F93C49B" w14:textId="77777777" w:rsidR="00B67D7C" w:rsidRPr="00DE096C" w:rsidRDefault="00B67D7C" w:rsidP="00D45A46">
      <w:pPr>
        <w:jc w:val="both"/>
        <w:rPr>
          <w:bCs/>
          <w:color w:val="002060"/>
          <w:sz w:val="16"/>
          <w:szCs w:val="16"/>
        </w:rPr>
      </w:pPr>
      <w:r w:rsidRPr="00DE096C">
        <w:rPr>
          <w:bCs/>
          <w:color w:val="002060"/>
          <w:sz w:val="16"/>
          <w:szCs w:val="16"/>
        </w:rPr>
        <w:t>Фактически эта программа выполнялась на 80%.</w:t>
      </w:r>
    </w:p>
    <w:p w14:paraId="12EA5F44" w14:textId="77777777" w:rsidR="00B67D7C" w:rsidRPr="00DE096C" w:rsidRDefault="00B67D7C" w:rsidP="00D45A46">
      <w:pPr>
        <w:jc w:val="both"/>
        <w:rPr>
          <w:bCs/>
          <w:color w:val="002060"/>
          <w:sz w:val="16"/>
          <w:szCs w:val="16"/>
        </w:rPr>
      </w:pPr>
      <w:r w:rsidRPr="00DE096C">
        <w:rPr>
          <w:bCs/>
          <w:color w:val="002060"/>
          <w:sz w:val="16"/>
          <w:szCs w:val="16"/>
        </w:rPr>
        <w:t xml:space="preserve"> Что касается добычи колчедана, то в связи с программой сернокислотных заводов программа по колчедану была намечена следующая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652"/>
        <w:gridCol w:w="612"/>
        <w:gridCol w:w="650"/>
        <w:gridCol w:w="636"/>
        <w:gridCol w:w="728"/>
      </w:tblGrid>
      <w:tr w:rsidR="00B67D7C" w:rsidRPr="00DE096C" w14:paraId="0F89ABB1" w14:textId="77777777" w:rsidTr="00C2024A">
        <w:tc>
          <w:tcPr>
            <w:tcW w:w="2652" w:type="dxa"/>
          </w:tcPr>
          <w:p w14:paraId="44555CB0" w14:textId="77777777" w:rsidR="00B67D7C" w:rsidRPr="00DE096C" w:rsidRDefault="00B67D7C" w:rsidP="00D45A46">
            <w:pPr>
              <w:jc w:val="both"/>
              <w:rPr>
                <w:bCs/>
                <w:color w:val="002060"/>
                <w:sz w:val="16"/>
                <w:szCs w:val="16"/>
              </w:rPr>
            </w:pPr>
            <w:r w:rsidRPr="00DE096C">
              <w:rPr>
                <w:bCs/>
                <w:color w:val="002060"/>
                <w:sz w:val="16"/>
                <w:szCs w:val="16"/>
              </w:rPr>
              <w:t> </w:t>
            </w:r>
          </w:p>
        </w:tc>
        <w:tc>
          <w:tcPr>
            <w:tcW w:w="612" w:type="dxa"/>
          </w:tcPr>
          <w:p w14:paraId="19D1B37E" w14:textId="77777777" w:rsidR="00B67D7C" w:rsidRPr="00DE096C" w:rsidRDefault="00B67D7C" w:rsidP="00D45A46">
            <w:pPr>
              <w:jc w:val="both"/>
              <w:rPr>
                <w:bCs/>
                <w:color w:val="002060"/>
                <w:sz w:val="16"/>
                <w:szCs w:val="16"/>
              </w:rPr>
            </w:pPr>
            <w:r w:rsidRPr="00DE096C">
              <w:rPr>
                <w:bCs/>
                <w:color w:val="002060"/>
                <w:sz w:val="16"/>
                <w:szCs w:val="16"/>
              </w:rPr>
              <w:t>Август 1915 г.</w:t>
            </w:r>
          </w:p>
        </w:tc>
        <w:tc>
          <w:tcPr>
            <w:tcW w:w="650" w:type="dxa"/>
          </w:tcPr>
          <w:p w14:paraId="1CDF9D4D" w14:textId="77777777" w:rsidR="00B67D7C" w:rsidRPr="00DE096C" w:rsidRDefault="00B67D7C" w:rsidP="00D45A46">
            <w:pPr>
              <w:jc w:val="both"/>
              <w:rPr>
                <w:bCs/>
                <w:color w:val="002060"/>
                <w:sz w:val="16"/>
                <w:szCs w:val="16"/>
              </w:rPr>
            </w:pPr>
            <w:r w:rsidRPr="00DE096C">
              <w:rPr>
                <w:bCs/>
                <w:color w:val="002060"/>
                <w:sz w:val="16"/>
                <w:szCs w:val="16"/>
              </w:rPr>
              <w:t>Январь 1916 г.</w:t>
            </w:r>
          </w:p>
        </w:tc>
        <w:tc>
          <w:tcPr>
            <w:tcW w:w="636" w:type="dxa"/>
          </w:tcPr>
          <w:p w14:paraId="49A2531C" w14:textId="77777777" w:rsidR="00B67D7C" w:rsidRPr="00DE096C" w:rsidRDefault="00B67D7C" w:rsidP="00D45A46">
            <w:pPr>
              <w:jc w:val="both"/>
              <w:rPr>
                <w:bCs/>
                <w:color w:val="002060"/>
                <w:sz w:val="16"/>
                <w:szCs w:val="16"/>
              </w:rPr>
            </w:pPr>
            <w:r w:rsidRPr="00DE096C">
              <w:rPr>
                <w:bCs/>
                <w:color w:val="002060"/>
                <w:sz w:val="16"/>
                <w:szCs w:val="16"/>
              </w:rPr>
              <w:t>Июнь 1916 г.</w:t>
            </w:r>
          </w:p>
        </w:tc>
        <w:tc>
          <w:tcPr>
            <w:tcW w:w="728" w:type="dxa"/>
          </w:tcPr>
          <w:p w14:paraId="735B4597" w14:textId="77777777" w:rsidR="00B67D7C" w:rsidRPr="00DE096C" w:rsidRDefault="00B67D7C" w:rsidP="00D45A46">
            <w:pPr>
              <w:jc w:val="both"/>
              <w:rPr>
                <w:bCs/>
                <w:color w:val="002060"/>
                <w:sz w:val="16"/>
                <w:szCs w:val="16"/>
              </w:rPr>
            </w:pPr>
            <w:r w:rsidRPr="00DE096C">
              <w:rPr>
                <w:bCs/>
                <w:color w:val="002060"/>
                <w:sz w:val="16"/>
                <w:szCs w:val="16"/>
              </w:rPr>
              <w:t>Декабрь 1916 г.</w:t>
            </w:r>
          </w:p>
        </w:tc>
      </w:tr>
      <w:tr w:rsidR="00B67D7C" w:rsidRPr="00DE096C" w14:paraId="39A55465" w14:textId="77777777" w:rsidTr="00C2024A">
        <w:tc>
          <w:tcPr>
            <w:tcW w:w="2652" w:type="dxa"/>
          </w:tcPr>
          <w:p w14:paraId="2F8C6644" w14:textId="77777777" w:rsidR="00B67D7C" w:rsidRPr="00DE096C" w:rsidRDefault="00B67D7C" w:rsidP="00D45A46">
            <w:pPr>
              <w:jc w:val="both"/>
              <w:rPr>
                <w:bCs/>
                <w:color w:val="002060"/>
                <w:sz w:val="16"/>
                <w:szCs w:val="16"/>
              </w:rPr>
            </w:pPr>
            <w:r w:rsidRPr="00DE096C">
              <w:rPr>
                <w:bCs/>
                <w:color w:val="002060"/>
                <w:sz w:val="16"/>
                <w:szCs w:val="16"/>
              </w:rPr>
              <w:t>Кыштымский горный округ</w:t>
            </w:r>
          </w:p>
        </w:tc>
        <w:tc>
          <w:tcPr>
            <w:tcW w:w="612" w:type="dxa"/>
          </w:tcPr>
          <w:p w14:paraId="383C04B0" w14:textId="77777777" w:rsidR="00B67D7C" w:rsidRPr="00DE096C" w:rsidRDefault="00B67D7C" w:rsidP="00D45A46">
            <w:pPr>
              <w:jc w:val="both"/>
              <w:rPr>
                <w:bCs/>
                <w:color w:val="002060"/>
                <w:sz w:val="16"/>
                <w:szCs w:val="16"/>
              </w:rPr>
            </w:pPr>
            <w:r w:rsidRPr="00DE096C">
              <w:rPr>
                <w:bCs/>
                <w:color w:val="002060"/>
                <w:sz w:val="16"/>
                <w:szCs w:val="16"/>
              </w:rPr>
              <w:t>225</w:t>
            </w:r>
          </w:p>
        </w:tc>
        <w:tc>
          <w:tcPr>
            <w:tcW w:w="650" w:type="dxa"/>
          </w:tcPr>
          <w:p w14:paraId="718CA070" w14:textId="77777777" w:rsidR="00B67D7C" w:rsidRPr="00DE096C" w:rsidRDefault="00B67D7C" w:rsidP="00D45A46">
            <w:pPr>
              <w:jc w:val="both"/>
              <w:rPr>
                <w:bCs/>
                <w:color w:val="002060"/>
                <w:sz w:val="16"/>
                <w:szCs w:val="16"/>
              </w:rPr>
            </w:pPr>
            <w:r w:rsidRPr="00DE096C">
              <w:rPr>
                <w:bCs/>
                <w:color w:val="002060"/>
                <w:sz w:val="16"/>
                <w:szCs w:val="16"/>
              </w:rPr>
              <w:t>800</w:t>
            </w:r>
          </w:p>
        </w:tc>
        <w:tc>
          <w:tcPr>
            <w:tcW w:w="636" w:type="dxa"/>
          </w:tcPr>
          <w:p w14:paraId="3AF3D3FC" w14:textId="77777777" w:rsidR="00B67D7C" w:rsidRPr="00DE096C" w:rsidRDefault="00B67D7C" w:rsidP="00D45A46">
            <w:pPr>
              <w:jc w:val="both"/>
              <w:rPr>
                <w:bCs/>
                <w:color w:val="002060"/>
                <w:sz w:val="16"/>
                <w:szCs w:val="16"/>
              </w:rPr>
            </w:pPr>
            <w:r w:rsidRPr="00DE096C">
              <w:rPr>
                <w:bCs/>
                <w:color w:val="002060"/>
                <w:sz w:val="16"/>
                <w:szCs w:val="16"/>
              </w:rPr>
              <w:t>800</w:t>
            </w:r>
          </w:p>
        </w:tc>
        <w:tc>
          <w:tcPr>
            <w:tcW w:w="728" w:type="dxa"/>
          </w:tcPr>
          <w:p w14:paraId="37184895" w14:textId="77777777" w:rsidR="00B67D7C" w:rsidRPr="00DE096C" w:rsidRDefault="00B67D7C" w:rsidP="00D45A46">
            <w:pPr>
              <w:jc w:val="both"/>
              <w:rPr>
                <w:bCs/>
                <w:color w:val="002060"/>
                <w:sz w:val="16"/>
                <w:szCs w:val="16"/>
              </w:rPr>
            </w:pPr>
            <w:r w:rsidRPr="00DE096C">
              <w:rPr>
                <w:bCs/>
                <w:color w:val="002060"/>
                <w:sz w:val="16"/>
                <w:szCs w:val="16"/>
              </w:rPr>
              <w:t>800</w:t>
            </w:r>
          </w:p>
        </w:tc>
      </w:tr>
      <w:tr w:rsidR="00B67D7C" w:rsidRPr="00DE096C" w14:paraId="53F62A38" w14:textId="77777777" w:rsidTr="00C2024A">
        <w:tc>
          <w:tcPr>
            <w:tcW w:w="2652" w:type="dxa"/>
          </w:tcPr>
          <w:p w14:paraId="16A37F7C" w14:textId="77777777" w:rsidR="00B67D7C" w:rsidRPr="00DE096C" w:rsidRDefault="00B67D7C" w:rsidP="00D45A46">
            <w:pPr>
              <w:jc w:val="both"/>
              <w:rPr>
                <w:bCs/>
                <w:color w:val="002060"/>
                <w:sz w:val="16"/>
                <w:szCs w:val="16"/>
              </w:rPr>
            </w:pPr>
            <w:r w:rsidRPr="00DE096C">
              <w:rPr>
                <w:bCs/>
                <w:color w:val="002060"/>
                <w:sz w:val="16"/>
                <w:szCs w:val="16"/>
              </w:rPr>
              <w:t>Верх-Исетский горный округ</w:t>
            </w:r>
          </w:p>
        </w:tc>
        <w:tc>
          <w:tcPr>
            <w:tcW w:w="612" w:type="dxa"/>
          </w:tcPr>
          <w:p w14:paraId="195E74E4" w14:textId="77777777" w:rsidR="00B67D7C" w:rsidRPr="00DE096C" w:rsidRDefault="00B67D7C" w:rsidP="00D45A46">
            <w:pPr>
              <w:jc w:val="both"/>
              <w:rPr>
                <w:bCs/>
                <w:color w:val="002060"/>
                <w:sz w:val="16"/>
                <w:szCs w:val="16"/>
              </w:rPr>
            </w:pPr>
            <w:r w:rsidRPr="00DE096C">
              <w:rPr>
                <w:bCs/>
                <w:color w:val="002060"/>
                <w:sz w:val="16"/>
                <w:szCs w:val="16"/>
              </w:rPr>
              <w:t>325</w:t>
            </w:r>
          </w:p>
        </w:tc>
        <w:tc>
          <w:tcPr>
            <w:tcW w:w="650" w:type="dxa"/>
          </w:tcPr>
          <w:p w14:paraId="57B7152F" w14:textId="77777777" w:rsidR="00B67D7C" w:rsidRPr="00DE096C" w:rsidRDefault="00B67D7C" w:rsidP="00D45A46">
            <w:pPr>
              <w:jc w:val="both"/>
              <w:rPr>
                <w:bCs/>
                <w:color w:val="002060"/>
                <w:sz w:val="16"/>
                <w:szCs w:val="16"/>
              </w:rPr>
            </w:pPr>
            <w:r w:rsidRPr="00DE096C">
              <w:rPr>
                <w:bCs/>
                <w:color w:val="002060"/>
                <w:sz w:val="16"/>
                <w:szCs w:val="16"/>
              </w:rPr>
              <w:t>325</w:t>
            </w:r>
          </w:p>
        </w:tc>
        <w:tc>
          <w:tcPr>
            <w:tcW w:w="636" w:type="dxa"/>
          </w:tcPr>
          <w:p w14:paraId="25B49B6B" w14:textId="77777777" w:rsidR="00B67D7C" w:rsidRPr="00DE096C" w:rsidRDefault="00B67D7C" w:rsidP="00D45A46">
            <w:pPr>
              <w:jc w:val="both"/>
              <w:rPr>
                <w:bCs/>
                <w:color w:val="002060"/>
                <w:sz w:val="16"/>
                <w:szCs w:val="16"/>
              </w:rPr>
            </w:pPr>
            <w:r w:rsidRPr="00DE096C">
              <w:rPr>
                <w:bCs/>
                <w:color w:val="002060"/>
                <w:sz w:val="16"/>
                <w:szCs w:val="16"/>
              </w:rPr>
              <w:t>325</w:t>
            </w:r>
          </w:p>
        </w:tc>
        <w:tc>
          <w:tcPr>
            <w:tcW w:w="728" w:type="dxa"/>
          </w:tcPr>
          <w:p w14:paraId="1CBB2E91" w14:textId="77777777" w:rsidR="00B67D7C" w:rsidRPr="00DE096C" w:rsidRDefault="00B67D7C" w:rsidP="00D45A46">
            <w:pPr>
              <w:jc w:val="both"/>
              <w:rPr>
                <w:bCs/>
                <w:color w:val="002060"/>
                <w:sz w:val="16"/>
                <w:szCs w:val="16"/>
              </w:rPr>
            </w:pPr>
            <w:r w:rsidRPr="00DE096C">
              <w:rPr>
                <w:bCs/>
                <w:color w:val="002060"/>
                <w:sz w:val="16"/>
                <w:szCs w:val="16"/>
              </w:rPr>
              <w:t>325</w:t>
            </w:r>
          </w:p>
        </w:tc>
      </w:tr>
      <w:tr w:rsidR="00B67D7C" w:rsidRPr="00DE096C" w14:paraId="2A100C91" w14:textId="77777777" w:rsidTr="00C2024A">
        <w:tc>
          <w:tcPr>
            <w:tcW w:w="2652" w:type="dxa"/>
          </w:tcPr>
          <w:p w14:paraId="25BE935E" w14:textId="77777777" w:rsidR="00B67D7C" w:rsidRPr="00DE096C" w:rsidRDefault="00B67D7C" w:rsidP="00D45A46">
            <w:pPr>
              <w:jc w:val="both"/>
              <w:rPr>
                <w:bCs/>
                <w:color w:val="002060"/>
                <w:sz w:val="16"/>
                <w:szCs w:val="16"/>
              </w:rPr>
            </w:pPr>
            <w:r w:rsidRPr="00DE096C">
              <w:rPr>
                <w:bCs/>
                <w:color w:val="002060"/>
                <w:sz w:val="16"/>
                <w:szCs w:val="16"/>
              </w:rPr>
              <w:t>Сысертский горный округ</w:t>
            </w:r>
          </w:p>
        </w:tc>
        <w:tc>
          <w:tcPr>
            <w:tcW w:w="612" w:type="dxa"/>
          </w:tcPr>
          <w:p w14:paraId="1B283BA4" w14:textId="77777777" w:rsidR="00B67D7C" w:rsidRPr="00DE096C" w:rsidRDefault="00B67D7C" w:rsidP="00D45A46">
            <w:pPr>
              <w:jc w:val="both"/>
              <w:rPr>
                <w:bCs/>
                <w:color w:val="002060"/>
                <w:sz w:val="16"/>
                <w:szCs w:val="16"/>
              </w:rPr>
            </w:pPr>
            <w:r w:rsidRPr="00DE096C">
              <w:rPr>
                <w:bCs/>
                <w:color w:val="002060"/>
                <w:sz w:val="16"/>
                <w:szCs w:val="16"/>
              </w:rPr>
              <w:t>—</w:t>
            </w:r>
          </w:p>
        </w:tc>
        <w:tc>
          <w:tcPr>
            <w:tcW w:w="650" w:type="dxa"/>
          </w:tcPr>
          <w:p w14:paraId="7184C8C9" w14:textId="77777777" w:rsidR="00B67D7C" w:rsidRPr="00DE096C" w:rsidRDefault="00B67D7C" w:rsidP="00D45A46">
            <w:pPr>
              <w:jc w:val="both"/>
              <w:rPr>
                <w:bCs/>
                <w:color w:val="002060"/>
                <w:sz w:val="16"/>
                <w:szCs w:val="16"/>
              </w:rPr>
            </w:pPr>
            <w:r w:rsidRPr="00DE096C">
              <w:rPr>
                <w:bCs/>
                <w:color w:val="002060"/>
                <w:sz w:val="16"/>
                <w:szCs w:val="16"/>
              </w:rPr>
              <w:t>100</w:t>
            </w:r>
          </w:p>
        </w:tc>
        <w:tc>
          <w:tcPr>
            <w:tcW w:w="636" w:type="dxa"/>
          </w:tcPr>
          <w:p w14:paraId="0E17A86E" w14:textId="77777777" w:rsidR="00B67D7C" w:rsidRPr="00DE096C" w:rsidRDefault="00B67D7C" w:rsidP="00D45A46">
            <w:pPr>
              <w:jc w:val="both"/>
              <w:rPr>
                <w:bCs/>
                <w:color w:val="002060"/>
                <w:sz w:val="16"/>
                <w:szCs w:val="16"/>
              </w:rPr>
            </w:pPr>
            <w:r w:rsidRPr="00DE096C">
              <w:rPr>
                <w:bCs/>
                <w:color w:val="002060"/>
                <w:sz w:val="16"/>
                <w:szCs w:val="16"/>
              </w:rPr>
              <w:t>100</w:t>
            </w:r>
          </w:p>
        </w:tc>
        <w:tc>
          <w:tcPr>
            <w:tcW w:w="728" w:type="dxa"/>
          </w:tcPr>
          <w:p w14:paraId="3CA53C88" w14:textId="77777777" w:rsidR="00B67D7C" w:rsidRPr="00DE096C" w:rsidRDefault="00B67D7C" w:rsidP="00D45A46">
            <w:pPr>
              <w:jc w:val="both"/>
              <w:rPr>
                <w:bCs/>
                <w:color w:val="002060"/>
                <w:sz w:val="16"/>
                <w:szCs w:val="16"/>
              </w:rPr>
            </w:pPr>
            <w:r w:rsidRPr="00DE096C">
              <w:rPr>
                <w:bCs/>
                <w:color w:val="002060"/>
                <w:sz w:val="16"/>
                <w:szCs w:val="16"/>
              </w:rPr>
              <w:t>100</w:t>
            </w:r>
          </w:p>
        </w:tc>
      </w:tr>
      <w:tr w:rsidR="00B67D7C" w:rsidRPr="00DE096C" w14:paraId="67C3385D" w14:textId="77777777" w:rsidTr="00C2024A">
        <w:tc>
          <w:tcPr>
            <w:tcW w:w="2652" w:type="dxa"/>
          </w:tcPr>
          <w:p w14:paraId="44BEE460" w14:textId="77777777" w:rsidR="00B67D7C" w:rsidRPr="00DE096C" w:rsidRDefault="00B67D7C" w:rsidP="00D45A46">
            <w:pPr>
              <w:jc w:val="both"/>
              <w:rPr>
                <w:bCs/>
                <w:color w:val="002060"/>
                <w:sz w:val="16"/>
                <w:szCs w:val="16"/>
              </w:rPr>
            </w:pPr>
            <w:r w:rsidRPr="00DE096C">
              <w:rPr>
                <w:bCs/>
                <w:color w:val="002060"/>
                <w:sz w:val="16"/>
                <w:szCs w:val="16"/>
              </w:rPr>
              <w:t>Ревдинский горный округ</w:t>
            </w:r>
          </w:p>
        </w:tc>
        <w:tc>
          <w:tcPr>
            <w:tcW w:w="612" w:type="dxa"/>
          </w:tcPr>
          <w:p w14:paraId="6A4C1E93" w14:textId="77777777" w:rsidR="00B67D7C" w:rsidRPr="00DE096C" w:rsidRDefault="00B67D7C" w:rsidP="00D45A46">
            <w:pPr>
              <w:jc w:val="both"/>
              <w:rPr>
                <w:bCs/>
                <w:color w:val="002060"/>
                <w:sz w:val="16"/>
                <w:szCs w:val="16"/>
              </w:rPr>
            </w:pPr>
            <w:r w:rsidRPr="00DE096C">
              <w:rPr>
                <w:bCs/>
                <w:color w:val="002060"/>
                <w:sz w:val="16"/>
                <w:szCs w:val="16"/>
              </w:rPr>
              <w:t>—</w:t>
            </w:r>
          </w:p>
        </w:tc>
        <w:tc>
          <w:tcPr>
            <w:tcW w:w="650" w:type="dxa"/>
          </w:tcPr>
          <w:p w14:paraId="053DD63B" w14:textId="77777777" w:rsidR="00B67D7C" w:rsidRPr="00DE096C" w:rsidRDefault="00B67D7C" w:rsidP="00D45A46">
            <w:pPr>
              <w:jc w:val="both"/>
              <w:rPr>
                <w:bCs/>
                <w:color w:val="002060"/>
                <w:sz w:val="16"/>
                <w:szCs w:val="16"/>
              </w:rPr>
            </w:pPr>
            <w:r w:rsidRPr="00DE096C">
              <w:rPr>
                <w:bCs/>
                <w:color w:val="002060"/>
                <w:sz w:val="16"/>
                <w:szCs w:val="16"/>
              </w:rPr>
              <w:t>150</w:t>
            </w:r>
          </w:p>
        </w:tc>
        <w:tc>
          <w:tcPr>
            <w:tcW w:w="636" w:type="dxa"/>
          </w:tcPr>
          <w:p w14:paraId="30504D55" w14:textId="77777777" w:rsidR="00B67D7C" w:rsidRPr="00DE096C" w:rsidRDefault="00B67D7C" w:rsidP="00D45A46">
            <w:pPr>
              <w:jc w:val="both"/>
              <w:rPr>
                <w:bCs/>
                <w:color w:val="002060"/>
                <w:sz w:val="16"/>
                <w:szCs w:val="16"/>
              </w:rPr>
            </w:pPr>
            <w:r w:rsidRPr="00DE096C">
              <w:rPr>
                <w:bCs/>
                <w:color w:val="002060"/>
                <w:sz w:val="16"/>
                <w:szCs w:val="16"/>
              </w:rPr>
              <w:t>150</w:t>
            </w:r>
          </w:p>
        </w:tc>
        <w:tc>
          <w:tcPr>
            <w:tcW w:w="728" w:type="dxa"/>
          </w:tcPr>
          <w:p w14:paraId="13B37CB0" w14:textId="77777777" w:rsidR="00B67D7C" w:rsidRPr="00DE096C" w:rsidRDefault="00B67D7C" w:rsidP="00D45A46">
            <w:pPr>
              <w:jc w:val="both"/>
              <w:rPr>
                <w:bCs/>
                <w:color w:val="002060"/>
                <w:sz w:val="16"/>
                <w:szCs w:val="16"/>
              </w:rPr>
            </w:pPr>
            <w:r w:rsidRPr="00DE096C">
              <w:rPr>
                <w:bCs/>
                <w:color w:val="002060"/>
                <w:sz w:val="16"/>
                <w:szCs w:val="16"/>
              </w:rPr>
              <w:t>150</w:t>
            </w:r>
          </w:p>
        </w:tc>
      </w:tr>
      <w:tr w:rsidR="00B67D7C" w:rsidRPr="00DE096C" w14:paraId="3B772D08" w14:textId="77777777" w:rsidTr="00C2024A">
        <w:tc>
          <w:tcPr>
            <w:tcW w:w="2652" w:type="dxa"/>
          </w:tcPr>
          <w:p w14:paraId="47562C1D" w14:textId="77777777" w:rsidR="00B67D7C" w:rsidRPr="00DE096C" w:rsidRDefault="00B67D7C" w:rsidP="00D45A46">
            <w:pPr>
              <w:jc w:val="both"/>
              <w:rPr>
                <w:bCs/>
                <w:color w:val="002060"/>
                <w:sz w:val="16"/>
                <w:szCs w:val="16"/>
              </w:rPr>
            </w:pPr>
            <w:r w:rsidRPr="00DE096C">
              <w:rPr>
                <w:bCs/>
                <w:color w:val="002060"/>
                <w:sz w:val="16"/>
                <w:szCs w:val="16"/>
              </w:rPr>
              <w:t>Рудники Ушакова</w:t>
            </w:r>
          </w:p>
        </w:tc>
        <w:tc>
          <w:tcPr>
            <w:tcW w:w="612" w:type="dxa"/>
          </w:tcPr>
          <w:p w14:paraId="4FE736B1" w14:textId="77777777" w:rsidR="00B67D7C" w:rsidRPr="00DE096C" w:rsidRDefault="00B67D7C" w:rsidP="00D45A46">
            <w:pPr>
              <w:jc w:val="both"/>
              <w:rPr>
                <w:bCs/>
                <w:color w:val="002060"/>
                <w:sz w:val="16"/>
                <w:szCs w:val="16"/>
              </w:rPr>
            </w:pPr>
            <w:r w:rsidRPr="00DE096C">
              <w:rPr>
                <w:bCs/>
                <w:color w:val="002060"/>
                <w:sz w:val="16"/>
                <w:szCs w:val="16"/>
              </w:rPr>
              <w:t>—</w:t>
            </w:r>
          </w:p>
        </w:tc>
        <w:tc>
          <w:tcPr>
            <w:tcW w:w="650" w:type="dxa"/>
          </w:tcPr>
          <w:p w14:paraId="7429FC30" w14:textId="77777777" w:rsidR="00B67D7C" w:rsidRPr="00DE096C" w:rsidRDefault="00B67D7C" w:rsidP="00D45A46">
            <w:pPr>
              <w:jc w:val="both"/>
              <w:rPr>
                <w:bCs/>
                <w:color w:val="002060"/>
                <w:sz w:val="16"/>
                <w:szCs w:val="16"/>
              </w:rPr>
            </w:pPr>
            <w:r w:rsidRPr="00DE096C">
              <w:rPr>
                <w:bCs/>
                <w:color w:val="002060"/>
                <w:sz w:val="16"/>
                <w:szCs w:val="16"/>
              </w:rPr>
              <w:t>100</w:t>
            </w:r>
          </w:p>
        </w:tc>
        <w:tc>
          <w:tcPr>
            <w:tcW w:w="636" w:type="dxa"/>
          </w:tcPr>
          <w:p w14:paraId="09BCC01E" w14:textId="77777777" w:rsidR="00B67D7C" w:rsidRPr="00DE096C" w:rsidRDefault="00B67D7C" w:rsidP="00D45A46">
            <w:pPr>
              <w:jc w:val="both"/>
              <w:rPr>
                <w:bCs/>
                <w:color w:val="002060"/>
                <w:sz w:val="16"/>
                <w:szCs w:val="16"/>
              </w:rPr>
            </w:pPr>
            <w:r w:rsidRPr="00DE096C">
              <w:rPr>
                <w:bCs/>
                <w:color w:val="002060"/>
                <w:sz w:val="16"/>
                <w:szCs w:val="16"/>
              </w:rPr>
              <w:t>100</w:t>
            </w:r>
          </w:p>
        </w:tc>
        <w:tc>
          <w:tcPr>
            <w:tcW w:w="728" w:type="dxa"/>
          </w:tcPr>
          <w:p w14:paraId="2922E9FC" w14:textId="77777777" w:rsidR="00B67D7C" w:rsidRPr="00DE096C" w:rsidRDefault="00B67D7C" w:rsidP="00D45A46">
            <w:pPr>
              <w:jc w:val="both"/>
              <w:rPr>
                <w:bCs/>
                <w:color w:val="002060"/>
                <w:sz w:val="16"/>
                <w:szCs w:val="16"/>
              </w:rPr>
            </w:pPr>
            <w:r w:rsidRPr="00DE096C">
              <w:rPr>
                <w:bCs/>
                <w:color w:val="002060"/>
                <w:sz w:val="16"/>
                <w:szCs w:val="16"/>
              </w:rPr>
              <w:t>100</w:t>
            </w:r>
          </w:p>
        </w:tc>
      </w:tr>
      <w:tr w:rsidR="00B67D7C" w:rsidRPr="00DE096C" w14:paraId="0441A972" w14:textId="77777777" w:rsidTr="00C2024A">
        <w:tc>
          <w:tcPr>
            <w:tcW w:w="2652" w:type="dxa"/>
          </w:tcPr>
          <w:p w14:paraId="6607667E" w14:textId="77777777" w:rsidR="00B67D7C" w:rsidRPr="00DE096C" w:rsidRDefault="00B67D7C" w:rsidP="00D45A46">
            <w:pPr>
              <w:jc w:val="both"/>
              <w:rPr>
                <w:bCs/>
                <w:color w:val="002060"/>
                <w:sz w:val="16"/>
                <w:szCs w:val="16"/>
              </w:rPr>
            </w:pPr>
            <w:r w:rsidRPr="00DE096C">
              <w:rPr>
                <w:bCs/>
                <w:color w:val="002060"/>
                <w:sz w:val="16"/>
                <w:szCs w:val="16"/>
              </w:rPr>
              <w:t xml:space="preserve">Прочие мелкие добычи </w:t>
            </w:r>
          </w:p>
          <w:p w14:paraId="44F3E0C4" w14:textId="77777777" w:rsidR="00B67D7C" w:rsidRPr="00DE096C" w:rsidRDefault="00B67D7C" w:rsidP="00D45A46">
            <w:pPr>
              <w:jc w:val="both"/>
              <w:rPr>
                <w:bCs/>
                <w:color w:val="002060"/>
                <w:sz w:val="16"/>
                <w:szCs w:val="16"/>
              </w:rPr>
            </w:pPr>
            <w:r w:rsidRPr="00DE096C">
              <w:rPr>
                <w:bCs/>
                <w:color w:val="002060"/>
                <w:sz w:val="16"/>
                <w:szCs w:val="16"/>
              </w:rPr>
              <w:t>(Кавказские, Донецкие, Подмосковные)</w:t>
            </w:r>
          </w:p>
        </w:tc>
        <w:tc>
          <w:tcPr>
            <w:tcW w:w="612" w:type="dxa"/>
          </w:tcPr>
          <w:p w14:paraId="5B0295BE" w14:textId="77777777" w:rsidR="00B67D7C" w:rsidRPr="00DE096C" w:rsidRDefault="00B67D7C" w:rsidP="00D45A46">
            <w:pPr>
              <w:jc w:val="both"/>
              <w:rPr>
                <w:bCs/>
                <w:color w:val="002060"/>
                <w:sz w:val="16"/>
                <w:szCs w:val="16"/>
              </w:rPr>
            </w:pPr>
            <w:r w:rsidRPr="00DE096C">
              <w:rPr>
                <w:bCs/>
                <w:color w:val="002060"/>
                <w:sz w:val="16"/>
                <w:szCs w:val="16"/>
              </w:rPr>
              <w:t>105</w:t>
            </w:r>
          </w:p>
        </w:tc>
        <w:tc>
          <w:tcPr>
            <w:tcW w:w="650" w:type="dxa"/>
          </w:tcPr>
          <w:p w14:paraId="0D37925D" w14:textId="77777777" w:rsidR="00B67D7C" w:rsidRPr="00DE096C" w:rsidRDefault="00B67D7C" w:rsidP="00D45A46">
            <w:pPr>
              <w:jc w:val="both"/>
              <w:rPr>
                <w:bCs/>
                <w:color w:val="002060"/>
                <w:sz w:val="16"/>
                <w:szCs w:val="16"/>
              </w:rPr>
            </w:pPr>
            <w:r w:rsidRPr="00DE096C">
              <w:rPr>
                <w:bCs/>
                <w:color w:val="002060"/>
                <w:sz w:val="16"/>
                <w:szCs w:val="16"/>
              </w:rPr>
              <w:t>110</w:t>
            </w:r>
          </w:p>
        </w:tc>
        <w:tc>
          <w:tcPr>
            <w:tcW w:w="636" w:type="dxa"/>
          </w:tcPr>
          <w:p w14:paraId="27F6A253" w14:textId="77777777" w:rsidR="00B67D7C" w:rsidRPr="00DE096C" w:rsidRDefault="00B67D7C" w:rsidP="00D45A46">
            <w:pPr>
              <w:jc w:val="both"/>
              <w:rPr>
                <w:bCs/>
                <w:color w:val="002060"/>
                <w:sz w:val="16"/>
                <w:szCs w:val="16"/>
              </w:rPr>
            </w:pPr>
            <w:r w:rsidRPr="00DE096C">
              <w:rPr>
                <w:bCs/>
                <w:color w:val="002060"/>
                <w:sz w:val="16"/>
                <w:szCs w:val="16"/>
              </w:rPr>
              <w:t>140</w:t>
            </w:r>
          </w:p>
        </w:tc>
        <w:tc>
          <w:tcPr>
            <w:tcW w:w="728" w:type="dxa"/>
          </w:tcPr>
          <w:p w14:paraId="3BBE07E5" w14:textId="77777777" w:rsidR="00B67D7C" w:rsidRPr="00DE096C" w:rsidRDefault="00B67D7C" w:rsidP="00D45A46">
            <w:pPr>
              <w:jc w:val="both"/>
              <w:rPr>
                <w:bCs/>
                <w:color w:val="002060"/>
                <w:sz w:val="16"/>
                <w:szCs w:val="16"/>
              </w:rPr>
            </w:pPr>
            <w:r w:rsidRPr="00DE096C">
              <w:rPr>
                <w:bCs/>
                <w:color w:val="002060"/>
                <w:sz w:val="16"/>
                <w:szCs w:val="16"/>
              </w:rPr>
              <w:t>150</w:t>
            </w:r>
          </w:p>
        </w:tc>
      </w:tr>
    </w:tbl>
    <w:p w14:paraId="660E384E" w14:textId="77777777" w:rsidR="00B67D7C" w:rsidRPr="00DE096C" w:rsidRDefault="00B67D7C" w:rsidP="00D45A46">
      <w:pPr>
        <w:jc w:val="both"/>
        <w:rPr>
          <w:bCs/>
          <w:color w:val="002060"/>
          <w:sz w:val="16"/>
          <w:szCs w:val="16"/>
        </w:rPr>
      </w:pPr>
      <w:r w:rsidRPr="00DE096C">
        <w:rPr>
          <w:bCs/>
          <w:color w:val="002060"/>
          <w:sz w:val="16"/>
          <w:szCs w:val="16"/>
        </w:rPr>
        <w:t xml:space="preserve">Не менее забот представлял вопрос с азотной кислотой. Для изготовления ее ежегодно в Россию необходимо было ввозить до 6 млн пудов чилийской селитры. Комиссия Ипатьева, а впоследствии Химический комитет взял на себя надзор за провозом и распределением ее. </w:t>
      </w:r>
    </w:p>
    <w:p w14:paraId="4A92E386" w14:textId="77777777" w:rsidR="00B67D7C" w:rsidRPr="00DE096C" w:rsidRDefault="00B67D7C" w:rsidP="00D45A46">
      <w:pPr>
        <w:jc w:val="both"/>
        <w:rPr>
          <w:bCs/>
          <w:color w:val="002060"/>
          <w:sz w:val="16"/>
          <w:szCs w:val="16"/>
        </w:rPr>
      </w:pPr>
      <w:r w:rsidRPr="00DE096C">
        <w:rPr>
          <w:bCs/>
          <w:color w:val="002060"/>
          <w:sz w:val="16"/>
          <w:szCs w:val="16"/>
        </w:rPr>
        <w:t xml:space="preserve">Комитет занялся также исследованием залежей отечественной селитры, но эти месторождения оказались неблагонадежными. </w:t>
      </w:r>
    </w:p>
    <w:p w14:paraId="002F67B2" w14:textId="77777777" w:rsidR="00B67D7C" w:rsidRPr="00DE096C" w:rsidRDefault="00B67D7C" w:rsidP="00D45A46">
      <w:pPr>
        <w:jc w:val="both"/>
        <w:rPr>
          <w:bCs/>
          <w:color w:val="002060"/>
          <w:sz w:val="16"/>
          <w:szCs w:val="16"/>
        </w:rPr>
      </w:pPr>
      <w:r w:rsidRPr="00DE096C">
        <w:rPr>
          <w:bCs/>
          <w:color w:val="002060"/>
          <w:sz w:val="16"/>
          <w:szCs w:val="16"/>
        </w:rPr>
        <w:t xml:space="preserve">Имея в виду в будущем освободиться от иностранной зависимости, Химический комитет приступил к разработке вопроса о наилучшем для России методе получения азотной кислоты. </w:t>
      </w:r>
    </w:p>
    <w:p w14:paraId="35A9CD3D" w14:textId="77777777" w:rsidR="00B67D7C" w:rsidRPr="00DE096C" w:rsidRDefault="00B67D7C" w:rsidP="00D45A46">
      <w:pPr>
        <w:jc w:val="both"/>
        <w:rPr>
          <w:bCs/>
          <w:color w:val="002060"/>
          <w:sz w:val="16"/>
          <w:szCs w:val="16"/>
        </w:rPr>
      </w:pPr>
      <w:r w:rsidRPr="00DE096C">
        <w:rPr>
          <w:bCs/>
          <w:color w:val="002060"/>
          <w:sz w:val="16"/>
          <w:szCs w:val="16"/>
        </w:rPr>
        <w:t xml:space="preserve">В связи с установлением улавливания побочных продуктов коксования угля начала быстро расти выработка аммиачных вод. Были привлечены крупные научные силы к разработке практического метода превращения аммиака в азотную кислоту. Лабораторные изыскания и опытная заводская работа дали благоприятные результаты. После этого Химический комитет построил первый казенный завод в Юзовке для получения азотной кислоты переработкой аммиачных вод, производительностью на 50 тыс. пудов селитры в месяц. Этот завод должен был послужить образцом для постройки в дальнейшем таких же заводов. </w:t>
      </w:r>
    </w:p>
    <w:p w14:paraId="4E337221" w14:textId="77777777" w:rsidR="00B67D7C" w:rsidRPr="00DE096C" w:rsidRDefault="00B67D7C" w:rsidP="00D45A46">
      <w:pPr>
        <w:jc w:val="both"/>
        <w:rPr>
          <w:bCs/>
          <w:color w:val="002060"/>
          <w:sz w:val="16"/>
          <w:szCs w:val="16"/>
        </w:rPr>
      </w:pPr>
      <w:r w:rsidRPr="00DE096C">
        <w:rPr>
          <w:bCs/>
          <w:color w:val="002060"/>
          <w:sz w:val="16"/>
          <w:szCs w:val="16"/>
        </w:rPr>
        <w:t xml:space="preserve">В целях разрешения полностью вопроса о связанном азоте Химическим комитетом был осенью 1916 г. разработан проект завода цианамида кальция производительностью на 2 000 000 пудов в год, который предположено было строить на Кавказе, в Грозном. </w:t>
      </w:r>
    </w:p>
    <w:p w14:paraId="26AE4377" w14:textId="77777777" w:rsidR="00B67D7C" w:rsidRPr="00DE096C" w:rsidRDefault="00B67D7C" w:rsidP="00D45A46">
      <w:pPr>
        <w:jc w:val="both"/>
        <w:rPr>
          <w:bCs/>
          <w:color w:val="002060"/>
          <w:sz w:val="16"/>
          <w:szCs w:val="16"/>
        </w:rPr>
      </w:pPr>
      <w:r w:rsidRPr="00DE096C">
        <w:rPr>
          <w:bCs/>
          <w:color w:val="002060"/>
          <w:sz w:val="16"/>
          <w:szCs w:val="16"/>
        </w:rPr>
        <w:t xml:space="preserve">Таким образом, Комиссия Ипатьева, а в дальнейшем Химический комитет, как видно из приведенного очерка, несли на себе все заботы о снабжении казенных и частных заводов пороха и взрывчатых веществ основными материалами для производства. </w:t>
      </w:r>
    </w:p>
    <w:p w14:paraId="065F0027" w14:textId="77777777" w:rsidR="00B67D7C" w:rsidRPr="00DE096C" w:rsidRDefault="00B67D7C" w:rsidP="00D45A46">
      <w:pPr>
        <w:jc w:val="both"/>
        <w:rPr>
          <w:bCs/>
          <w:color w:val="002060"/>
          <w:sz w:val="16"/>
          <w:szCs w:val="16"/>
        </w:rPr>
      </w:pPr>
      <w:r w:rsidRPr="00DE096C">
        <w:rPr>
          <w:bCs/>
          <w:color w:val="002060"/>
          <w:sz w:val="16"/>
          <w:szCs w:val="16"/>
        </w:rPr>
        <w:lastRenderedPageBreak/>
        <w:t xml:space="preserve">Независимо от этого на Химическом комитете лежала обязанность привлечь частную промышленность к изготовлению самых взрывчатых веществ в дополнение к тем, которые изготовлялись казенными заводами. </w:t>
      </w:r>
    </w:p>
    <w:p w14:paraId="05959C6E" w14:textId="77777777" w:rsidR="00B67D7C" w:rsidRPr="00DE096C" w:rsidRDefault="00B67D7C" w:rsidP="00D45A46">
      <w:pPr>
        <w:jc w:val="both"/>
        <w:rPr>
          <w:bCs/>
          <w:color w:val="002060"/>
          <w:sz w:val="16"/>
          <w:szCs w:val="16"/>
        </w:rPr>
      </w:pPr>
      <w:r w:rsidRPr="00DE096C">
        <w:rPr>
          <w:bCs/>
          <w:color w:val="002060"/>
          <w:sz w:val="16"/>
          <w:szCs w:val="16"/>
        </w:rPr>
        <w:t xml:space="preserve">Во время войны производство тротила было установлено на нескольких существовавших частных химических заводах (отдельные цеха) и построены новые тротиловые заводы. Общее число частных заводов, готовивших тротил во время войны, достигло восьми. </w:t>
      </w:r>
    </w:p>
    <w:p w14:paraId="579EEDA5" w14:textId="77777777" w:rsidR="00B67D7C" w:rsidRPr="00DE096C" w:rsidRDefault="00B67D7C" w:rsidP="00D45A46">
      <w:pPr>
        <w:jc w:val="both"/>
        <w:rPr>
          <w:bCs/>
          <w:color w:val="002060"/>
          <w:sz w:val="16"/>
          <w:szCs w:val="16"/>
        </w:rPr>
      </w:pPr>
      <w:r w:rsidRPr="00DE096C">
        <w:rPr>
          <w:bCs/>
          <w:color w:val="002060"/>
          <w:sz w:val="16"/>
          <w:szCs w:val="16"/>
        </w:rPr>
        <w:t xml:space="preserve">Пикриновая кислота во время войны готовилась только на частных заводах: на пяти — нитрацией фенола и на двух — синтетическим путем из бензола. До войны ее готовили только два завода по первому способу. Синтетический способ был разработан в России уже во время войны в Центральной научно-технической лаборатории военного ведомства и представляет большой научный интерес. </w:t>
      </w:r>
    </w:p>
    <w:p w14:paraId="070FA9F0" w14:textId="77777777" w:rsidR="00B67D7C" w:rsidRPr="00DE096C" w:rsidRDefault="00B67D7C" w:rsidP="00D45A46">
      <w:pPr>
        <w:jc w:val="both"/>
        <w:rPr>
          <w:bCs/>
          <w:color w:val="002060"/>
          <w:sz w:val="16"/>
          <w:szCs w:val="16"/>
        </w:rPr>
      </w:pPr>
      <w:r w:rsidRPr="00DE096C">
        <w:rPr>
          <w:bCs/>
          <w:color w:val="002060"/>
          <w:sz w:val="16"/>
          <w:szCs w:val="16"/>
        </w:rPr>
        <w:t xml:space="preserve">Было установлено Химическим комитетом также производство тринитроксилола и динитронафталина, каждый на двух заводах. </w:t>
      </w:r>
    </w:p>
    <w:p w14:paraId="7EF70B3D" w14:textId="77777777" w:rsidR="00B67D7C" w:rsidRPr="00DE096C" w:rsidRDefault="00B67D7C" w:rsidP="00D45A46">
      <w:pPr>
        <w:jc w:val="both"/>
        <w:rPr>
          <w:bCs/>
          <w:color w:val="002060"/>
          <w:sz w:val="16"/>
          <w:szCs w:val="16"/>
        </w:rPr>
      </w:pPr>
      <w:r w:rsidRPr="00DE096C">
        <w:rPr>
          <w:bCs/>
          <w:color w:val="002060"/>
          <w:sz w:val="16"/>
          <w:szCs w:val="16"/>
        </w:rPr>
        <w:t xml:space="preserve">Изготовление аммиачной селитры, кроме упомянутого выше Юзовского казенного завода, было организовано Комиссией еще на двух заводах в Донецком бассейне. </w:t>
      </w:r>
    </w:p>
    <w:p w14:paraId="6677260F" w14:textId="77777777" w:rsidR="00B67D7C" w:rsidRPr="00DE096C" w:rsidRDefault="00B67D7C" w:rsidP="00D45A46">
      <w:pPr>
        <w:jc w:val="both"/>
        <w:rPr>
          <w:bCs/>
          <w:color w:val="002060"/>
          <w:sz w:val="16"/>
          <w:szCs w:val="16"/>
        </w:rPr>
      </w:pPr>
      <w:r w:rsidRPr="00DE096C">
        <w:rPr>
          <w:bCs/>
          <w:color w:val="002060"/>
          <w:sz w:val="16"/>
          <w:szCs w:val="16"/>
        </w:rPr>
        <w:t xml:space="preserve">Фабрикация взрывчатых смесей на основе аммиачной селитры была организована Химическим комитетом в нескольких мастерских и заводах. </w:t>
      </w:r>
    </w:p>
    <w:p w14:paraId="03FBF3E1" w14:textId="77777777" w:rsidR="00B67D7C" w:rsidRPr="00DE096C" w:rsidRDefault="00B67D7C" w:rsidP="00D45A46">
      <w:pPr>
        <w:jc w:val="both"/>
        <w:rPr>
          <w:bCs/>
          <w:color w:val="002060"/>
          <w:sz w:val="16"/>
          <w:szCs w:val="16"/>
        </w:rPr>
      </w:pPr>
      <w:r w:rsidRPr="00DE096C">
        <w:rPr>
          <w:bCs/>
          <w:color w:val="002060"/>
          <w:sz w:val="16"/>
          <w:szCs w:val="16"/>
        </w:rPr>
        <w:t xml:space="preserve">Общее количество заводов, изготовлявших взрывчатые вещества, возросло с февраля 1915 г. по январь 1917 г. с 4 до 28. Общая мощность их по оборудованию в 1917 г. возросла до 218 000 пудов в месяц. Из них (пудов):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88"/>
        <w:gridCol w:w="936"/>
      </w:tblGrid>
      <w:tr w:rsidR="00B67D7C" w:rsidRPr="00DE096C" w14:paraId="7ADD322F" w14:textId="77777777" w:rsidTr="00C2024A">
        <w:tc>
          <w:tcPr>
            <w:tcW w:w="1788" w:type="dxa"/>
          </w:tcPr>
          <w:p w14:paraId="73C7BDD3" w14:textId="77777777" w:rsidR="00B67D7C" w:rsidRPr="00DE096C" w:rsidRDefault="00B67D7C" w:rsidP="00D45A46">
            <w:pPr>
              <w:jc w:val="both"/>
              <w:rPr>
                <w:bCs/>
                <w:color w:val="002060"/>
                <w:sz w:val="16"/>
                <w:szCs w:val="16"/>
              </w:rPr>
            </w:pPr>
            <w:r w:rsidRPr="00DE096C">
              <w:rPr>
                <w:bCs/>
                <w:color w:val="002060"/>
                <w:sz w:val="16"/>
                <w:szCs w:val="16"/>
              </w:rPr>
              <w:t>Тротила</w:t>
            </w:r>
          </w:p>
        </w:tc>
        <w:tc>
          <w:tcPr>
            <w:tcW w:w="936" w:type="dxa"/>
          </w:tcPr>
          <w:p w14:paraId="50CA459B" w14:textId="77777777" w:rsidR="00B67D7C" w:rsidRPr="00DE096C" w:rsidRDefault="00B67D7C" w:rsidP="00D45A46">
            <w:pPr>
              <w:jc w:val="both"/>
              <w:rPr>
                <w:bCs/>
                <w:color w:val="002060"/>
                <w:sz w:val="16"/>
                <w:szCs w:val="16"/>
              </w:rPr>
            </w:pPr>
            <w:r w:rsidRPr="00DE096C">
              <w:rPr>
                <w:bCs/>
                <w:color w:val="002060"/>
                <w:sz w:val="16"/>
                <w:szCs w:val="16"/>
              </w:rPr>
              <w:t xml:space="preserve">52.000 </w:t>
            </w:r>
          </w:p>
        </w:tc>
      </w:tr>
      <w:tr w:rsidR="00B67D7C" w:rsidRPr="00DE096C" w14:paraId="25B528A0" w14:textId="77777777" w:rsidTr="00C2024A">
        <w:tc>
          <w:tcPr>
            <w:tcW w:w="1788" w:type="dxa"/>
          </w:tcPr>
          <w:p w14:paraId="12DB1DFA" w14:textId="77777777" w:rsidR="00B67D7C" w:rsidRPr="00DE096C" w:rsidRDefault="00B67D7C" w:rsidP="00D45A46">
            <w:pPr>
              <w:jc w:val="both"/>
              <w:rPr>
                <w:bCs/>
                <w:color w:val="002060"/>
                <w:sz w:val="16"/>
                <w:szCs w:val="16"/>
              </w:rPr>
            </w:pPr>
            <w:r w:rsidRPr="00DE096C">
              <w:rPr>
                <w:bCs/>
                <w:color w:val="002060"/>
                <w:sz w:val="16"/>
                <w:szCs w:val="16"/>
              </w:rPr>
              <w:t>Пикриновой кислоты</w:t>
            </w:r>
          </w:p>
        </w:tc>
        <w:tc>
          <w:tcPr>
            <w:tcW w:w="936" w:type="dxa"/>
          </w:tcPr>
          <w:p w14:paraId="7B19BEAF" w14:textId="77777777" w:rsidR="00B67D7C" w:rsidRPr="00DE096C" w:rsidRDefault="00B67D7C" w:rsidP="00D45A46">
            <w:pPr>
              <w:jc w:val="both"/>
              <w:rPr>
                <w:bCs/>
                <w:color w:val="002060"/>
                <w:sz w:val="16"/>
                <w:szCs w:val="16"/>
              </w:rPr>
            </w:pPr>
            <w:r w:rsidRPr="00DE096C">
              <w:rPr>
                <w:bCs/>
                <w:color w:val="002060"/>
                <w:sz w:val="16"/>
                <w:szCs w:val="16"/>
              </w:rPr>
              <w:t xml:space="preserve">50.000 </w:t>
            </w:r>
          </w:p>
        </w:tc>
      </w:tr>
      <w:tr w:rsidR="00B67D7C" w:rsidRPr="00DE096C" w14:paraId="72FFF79C" w14:textId="77777777" w:rsidTr="00C2024A">
        <w:tc>
          <w:tcPr>
            <w:tcW w:w="1788" w:type="dxa"/>
          </w:tcPr>
          <w:p w14:paraId="31E44F14" w14:textId="77777777" w:rsidR="00B67D7C" w:rsidRPr="00DE096C" w:rsidRDefault="00B67D7C" w:rsidP="00D45A46">
            <w:pPr>
              <w:jc w:val="both"/>
              <w:rPr>
                <w:bCs/>
                <w:color w:val="002060"/>
                <w:sz w:val="16"/>
                <w:szCs w:val="16"/>
              </w:rPr>
            </w:pPr>
            <w:r w:rsidRPr="00DE096C">
              <w:rPr>
                <w:bCs/>
                <w:color w:val="002060"/>
                <w:sz w:val="16"/>
                <w:szCs w:val="16"/>
              </w:rPr>
              <w:t>Аммиачной селитры</w:t>
            </w:r>
          </w:p>
        </w:tc>
        <w:tc>
          <w:tcPr>
            <w:tcW w:w="936" w:type="dxa"/>
          </w:tcPr>
          <w:p w14:paraId="1EBA7AA6" w14:textId="77777777" w:rsidR="00B67D7C" w:rsidRPr="00DE096C" w:rsidRDefault="00B67D7C" w:rsidP="00D45A46">
            <w:pPr>
              <w:jc w:val="both"/>
              <w:rPr>
                <w:bCs/>
                <w:color w:val="002060"/>
                <w:sz w:val="16"/>
                <w:szCs w:val="16"/>
              </w:rPr>
            </w:pPr>
            <w:r w:rsidRPr="00DE096C">
              <w:rPr>
                <w:bCs/>
                <w:color w:val="002060"/>
                <w:sz w:val="16"/>
                <w:szCs w:val="16"/>
              </w:rPr>
              <w:t xml:space="preserve">60.000 </w:t>
            </w:r>
          </w:p>
        </w:tc>
      </w:tr>
      <w:tr w:rsidR="00B67D7C" w:rsidRPr="00DE096C" w14:paraId="557B88C4" w14:textId="77777777" w:rsidTr="00C2024A">
        <w:tc>
          <w:tcPr>
            <w:tcW w:w="1788" w:type="dxa"/>
          </w:tcPr>
          <w:p w14:paraId="60CB1C8C" w14:textId="77777777" w:rsidR="00B67D7C" w:rsidRPr="00DE096C" w:rsidRDefault="00B67D7C" w:rsidP="00D45A46">
            <w:pPr>
              <w:jc w:val="both"/>
              <w:rPr>
                <w:bCs/>
                <w:color w:val="002060"/>
                <w:sz w:val="16"/>
                <w:szCs w:val="16"/>
              </w:rPr>
            </w:pPr>
            <w:r w:rsidRPr="00DE096C">
              <w:rPr>
                <w:bCs/>
                <w:color w:val="002060"/>
                <w:sz w:val="16"/>
                <w:szCs w:val="16"/>
              </w:rPr>
              <w:t>Ксилола</w:t>
            </w:r>
          </w:p>
        </w:tc>
        <w:tc>
          <w:tcPr>
            <w:tcW w:w="936" w:type="dxa"/>
          </w:tcPr>
          <w:p w14:paraId="6B1310E1" w14:textId="77777777" w:rsidR="00B67D7C" w:rsidRPr="00DE096C" w:rsidRDefault="00B67D7C" w:rsidP="00D45A46">
            <w:pPr>
              <w:jc w:val="both"/>
              <w:rPr>
                <w:bCs/>
                <w:color w:val="002060"/>
                <w:sz w:val="16"/>
                <w:szCs w:val="16"/>
              </w:rPr>
            </w:pPr>
            <w:r w:rsidRPr="00DE096C">
              <w:rPr>
                <w:bCs/>
                <w:color w:val="002060"/>
                <w:sz w:val="16"/>
                <w:szCs w:val="16"/>
              </w:rPr>
              <w:t xml:space="preserve">9.000 </w:t>
            </w:r>
          </w:p>
        </w:tc>
      </w:tr>
      <w:tr w:rsidR="00B67D7C" w:rsidRPr="00DE096C" w14:paraId="5C427178" w14:textId="77777777" w:rsidTr="00C2024A">
        <w:tc>
          <w:tcPr>
            <w:tcW w:w="1788" w:type="dxa"/>
          </w:tcPr>
          <w:p w14:paraId="7F3A98F2" w14:textId="77777777" w:rsidR="00B67D7C" w:rsidRPr="00DE096C" w:rsidRDefault="00B67D7C" w:rsidP="00D45A46">
            <w:pPr>
              <w:jc w:val="both"/>
              <w:rPr>
                <w:bCs/>
                <w:color w:val="002060"/>
                <w:sz w:val="16"/>
                <w:szCs w:val="16"/>
              </w:rPr>
            </w:pPr>
            <w:r w:rsidRPr="00DE096C">
              <w:rPr>
                <w:bCs/>
                <w:color w:val="002060"/>
                <w:sz w:val="16"/>
                <w:szCs w:val="16"/>
              </w:rPr>
              <w:t>Динитронафталина</w:t>
            </w:r>
          </w:p>
        </w:tc>
        <w:tc>
          <w:tcPr>
            <w:tcW w:w="936" w:type="dxa"/>
          </w:tcPr>
          <w:p w14:paraId="060A82A4" w14:textId="77777777" w:rsidR="00B67D7C" w:rsidRPr="00DE096C" w:rsidRDefault="00B67D7C" w:rsidP="00D45A46">
            <w:pPr>
              <w:jc w:val="both"/>
              <w:rPr>
                <w:bCs/>
                <w:color w:val="002060"/>
                <w:sz w:val="16"/>
                <w:szCs w:val="16"/>
              </w:rPr>
            </w:pPr>
            <w:r w:rsidRPr="00DE096C">
              <w:rPr>
                <w:bCs/>
                <w:color w:val="002060"/>
                <w:sz w:val="16"/>
                <w:szCs w:val="16"/>
              </w:rPr>
              <w:t xml:space="preserve">12.000 </w:t>
            </w:r>
          </w:p>
        </w:tc>
      </w:tr>
    </w:tbl>
    <w:p w14:paraId="7C07E2A7" w14:textId="77777777" w:rsidR="00B67D7C" w:rsidRPr="00DE096C" w:rsidRDefault="00B67D7C" w:rsidP="00D45A46">
      <w:pPr>
        <w:jc w:val="both"/>
        <w:rPr>
          <w:bCs/>
          <w:color w:val="002060"/>
          <w:sz w:val="16"/>
          <w:szCs w:val="16"/>
        </w:rPr>
      </w:pPr>
      <w:r w:rsidRPr="00DE096C">
        <w:rPr>
          <w:bCs/>
          <w:color w:val="002060"/>
          <w:sz w:val="16"/>
          <w:szCs w:val="16"/>
        </w:rPr>
        <w:t xml:space="preserve">Фактически эта мощность не была использована полностью. </w:t>
      </w:r>
    </w:p>
    <w:p w14:paraId="558F2D9B" w14:textId="77777777" w:rsidR="00B67D7C" w:rsidRPr="00DE096C" w:rsidRDefault="00B67D7C" w:rsidP="00D45A46">
      <w:pPr>
        <w:jc w:val="both"/>
        <w:rPr>
          <w:bCs/>
          <w:color w:val="002060"/>
          <w:sz w:val="16"/>
          <w:szCs w:val="16"/>
        </w:rPr>
      </w:pPr>
      <w:r w:rsidRPr="00DE096C">
        <w:rPr>
          <w:bCs/>
          <w:color w:val="002060"/>
          <w:sz w:val="16"/>
          <w:szCs w:val="16"/>
        </w:rPr>
        <w:t xml:space="preserve">Летом 1915 г. определенно выяснилась необходимость организовать производство целого ряда химических продуктов для газовой борьбы с противником. </w:t>
      </w:r>
    </w:p>
    <w:p w14:paraId="70D586C5" w14:textId="77777777" w:rsidR="00B67D7C" w:rsidRPr="00DE096C" w:rsidRDefault="00B67D7C" w:rsidP="00D45A46">
      <w:pPr>
        <w:jc w:val="both"/>
        <w:rPr>
          <w:bCs/>
          <w:color w:val="002060"/>
          <w:sz w:val="16"/>
          <w:szCs w:val="16"/>
        </w:rPr>
      </w:pPr>
      <w:r w:rsidRPr="00DE096C">
        <w:rPr>
          <w:bCs/>
          <w:color w:val="002060"/>
          <w:sz w:val="16"/>
          <w:szCs w:val="16"/>
        </w:rPr>
        <w:t xml:space="preserve">Это дело проводилось с большой энергией и успехом, сначала специально для этой цели организованной Комиссией у[душающих] с[редств], а после Химическим комитетом, куда вошла Комиссия УС. Организации заводского производства предшествовал ряд научных изысканий. </w:t>
      </w:r>
    </w:p>
    <w:p w14:paraId="4AA0303F" w14:textId="77777777" w:rsidR="00B67D7C" w:rsidRPr="00DE096C" w:rsidRDefault="00B67D7C" w:rsidP="00D45A46">
      <w:pPr>
        <w:jc w:val="both"/>
        <w:rPr>
          <w:bCs/>
          <w:color w:val="002060"/>
          <w:sz w:val="16"/>
          <w:szCs w:val="16"/>
        </w:rPr>
      </w:pPr>
      <w:r w:rsidRPr="00DE096C">
        <w:rPr>
          <w:bCs/>
          <w:color w:val="002060"/>
          <w:sz w:val="16"/>
          <w:szCs w:val="16"/>
        </w:rPr>
        <w:t xml:space="preserve">Для выпуска из баллонов принят был сжиженный хлор. Производство было быстро организовано на двух заводах Донецкого бассейна и в период с осени 1915 г. к осени 1916 г. достигло 500-600 пудов в сутки, что вполне покрывало потребность фронта. </w:t>
      </w:r>
    </w:p>
    <w:p w14:paraId="7E67C450" w14:textId="77777777" w:rsidR="00B67D7C" w:rsidRPr="00DE096C" w:rsidRDefault="00B67D7C" w:rsidP="00D45A46">
      <w:pPr>
        <w:jc w:val="both"/>
        <w:rPr>
          <w:bCs/>
          <w:color w:val="002060"/>
          <w:sz w:val="16"/>
          <w:szCs w:val="16"/>
        </w:rPr>
      </w:pPr>
      <w:r w:rsidRPr="00DE096C">
        <w:rPr>
          <w:bCs/>
          <w:color w:val="002060"/>
          <w:sz w:val="16"/>
          <w:szCs w:val="16"/>
        </w:rPr>
        <w:t xml:space="preserve">Второе вещество, необходимое для баллоновой газовой борьбы, фосген, в России ранее вовсе не вырабатывалось. </w:t>
      </w:r>
    </w:p>
    <w:p w14:paraId="6DE332B0" w14:textId="77777777" w:rsidR="00B67D7C" w:rsidRPr="00DE096C" w:rsidRDefault="00B67D7C" w:rsidP="00D45A46">
      <w:pPr>
        <w:jc w:val="both"/>
        <w:rPr>
          <w:bCs/>
          <w:color w:val="002060"/>
          <w:sz w:val="16"/>
          <w:szCs w:val="16"/>
        </w:rPr>
      </w:pPr>
      <w:r w:rsidRPr="00DE096C">
        <w:rPr>
          <w:bCs/>
          <w:color w:val="002060"/>
          <w:sz w:val="16"/>
          <w:szCs w:val="16"/>
        </w:rPr>
        <w:t xml:space="preserve">На это производство оборудовалось пять заводов, из коих один казенный. Из пяти только два своевременно справились с делом. С января по октябрь 1916 г. производство фосгена достигло 600 пудов в месяц. Установка его представляла большие технические трудности. </w:t>
      </w:r>
    </w:p>
    <w:p w14:paraId="401C6D11" w14:textId="77777777" w:rsidR="00B67D7C" w:rsidRPr="00DE096C" w:rsidRDefault="00B67D7C" w:rsidP="00D45A46">
      <w:pPr>
        <w:jc w:val="both"/>
        <w:rPr>
          <w:bCs/>
          <w:color w:val="002060"/>
          <w:sz w:val="16"/>
          <w:szCs w:val="16"/>
        </w:rPr>
      </w:pPr>
      <w:r w:rsidRPr="00DE096C">
        <w:rPr>
          <w:bCs/>
          <w:color w:val="002060"/>
          <w:sz w:val="16"/>
          <w:szCs w:val="16"/>
        </w:rPr>
        <w:t xml:space="preserve">Что касается других удушающих веществ, то Химический комитет поставил следующие производства: </w:t>
      </w:r>
    </w:p>
    <w:p w14:paraId="1D910B01" w14:textId="77777777" w:rsidR="00B67D7C" w:rsidRPr="00DE096C" w:rsidRDefault="00B67D7C" w:rsidP="00D45A46">
      <w:pPr>
        <w:jc w:val="both"/>
        <w:rPr>
          <w:bCs/>
          <w:color w:val="002060"/>
          <w:sz w:val="16"/>
          <w:szCs w:val="16"/>
        </w:rPr>
      </w:pPr>
      <w:r w:rsidRPr="00DE096C">
        <w:rPr>
          <w:bCs/>
          <w:color w:val="002060"/>
          <w:sz w:val="16"/>
          <w:szCs w:val="16"/>
        </w:rPr>
        <w:t xml:space="preserve">Хлорпикрин — производство было поставлено на семи заводах. Из них один казенный (Глобинский). По 1 октября 1916 г. изготовлено 21 000 пудов. </w:t>
      </w:r>
    </w:p>
    <w:p w14:paraId="605FF96E" w14:textId="77777777" w:rsidR="00B67D7C" w:rsidRPr="00DE096C" w:rsidRDefault="00B67D7C" w:rsidP="00D45A46">
      <w:pPr>
        <w:jc w:val="both"/>
        <w:rPr>
          <w:bCs/>
          <w:color w:val="002060"/>
          <w:sz w:val="16"/>
          <w:szCs w:val="16"/>
        </w:rPr>
      </w:pPr>
      <w:r w:rsidRPr="00DE096C">
        <w:rPr>
          <w:bCs/>
          <w:color w:val="002060"/>
          <w:sz w:val="16"/>
          <w:szCs w:val="16"/>
        </w:rPr>
        <w:t xml:space="preserve">Хлористый сульфурин и хлористый ангидрид — на одном заводе, до 1 октября 1916 г. выработано: первого 14 000 пудов, а второго 18 000 пудов. </w:t>
      </w:r>
    </w:p>
    <w:p w14:paraId="5CF0E985" w14:textId="77777777" w:rsidR="00B67D7C" w:rsidRPr="00DE096C" w:rsidRDefault="00B67D7C" w:rsidP="00D45A46">
      <w:pPr>
        <w:jc w:val="both"/>
        <w:rPr>
          <w:bCs/>
          <w:color w:val="002060"/>
          <w:sz w:val="16"/>
          <w:szCs w:val="16"/>
        </w:rPr>
      </w:pPr>
      <w:r w:rsidRPr="00DE096C">
        <w:rPr>
          <w:bCs/>
          <w:color w:val="002060"/>
          <w:sz w:val="16"/>
          <w:szCs w:val="16"/>
        </w:rPr>
        <w:t xml:space="preserve">Хлорное олово — на одном заводе, до 1 октября 1916 г. выработано 14 000 пудов. </w:t>
      </w:r>
    </w:p>
    <w:p w14:paraId="213B7720" w14:textId="77777777" w:rsidR="00B67D7C" w:rsidRPr="00DE096C" w:rsidRDefault="00B67D7C" w:rsidP="00D45A46">
      <w:pPr>
        <w:jc w:val="both"/>
        <w:rPr>
          <w:bCs/>
          <w:color w:val="002060"/>
          <w:sz w:val="16"/>
          <w:szCs w:val="16"/>
        </w:rPr>
      </w:pPr>
      <w:r w:rsidRPr="00DE096C">
        <w:rPr>
          <w:bCs/>
          <w:color w:val="002060"/>
          <w:sz w:val="16"/>
          <w:szCs w:val="16"/>
        </w:rPr>
        <w:t xml:space="preserve">Цианистый калий — на одном заводе, за 1916 г. выработано 100 пудов. </w:t>
      </w:r>
    </w:p>
    <w:p w14:paraId="0155B802" w14:textId="77777777" w:rsidR="00B67D7C" w:rsidRPr="00DE096C" w:rsidRDefault="00B67D7C" w:rsidP="00D45A46">
      <w:pPr>
        <w:jc w:val="both"/>
        <w:rPr>
          <w:bCs/>
          <w:color w:val="002060"/>
          <w:sz w:val="16"/>
          <w:szCs w:val="16"/>
        </w:rPr>
      </w:pPr>
      <w:r w:rsidRPr="00DE096C">
        <w:rPr>
          <w:bCs/>
          <w:color w:val="002060"/>
          <w:sz w:val="16"/>
          <w:szCs w:val="16"/>
        </w:rPr>
        <w:t xml:space="preserve">Хлороформ — на одном заводе, до 1 октября 1916 г. — 300 пудов. </w:t>
      </w:r>
    </w:p>
    <w:p w14:paraId="5080CCBD" w14:textId="77777777" w:rsidR="00B67D7C" w:rsidRPr="00DE096C" w:rsidRDefault="00B67D7C" w:rsidP="00D45A46">
      <w:pPr>
        <w:jc w:val="both"/>
        <w:rPr>
          <w:bCs/>
          <w:color w:val="002060"/>
          <w:sz w:val="16"/>
          <w:szCs w:val="16"/>
        </w:rPr>
      </w:pPr>
      <w:r w:rsidRPr="00DE096C">
        <w:rPr>
          <w:bCs/>
          <w:color w:val="002060"/>
          <w:sz w:val="16"/>
          <w:szCs w:val="16"/>
        </w:rPr>
        <w:t xml:space="preserve">Хлористый мышьяк — на одном заводе, до 1 октября 1916 г. — 2000 пудов. </w:t>
      </w:r>
    </w:p>
    <w:p w14:paraId="783B4859" w14:textId="77777777" w:rsidR="00B67D7C" w:rsidRPr="00DE096C" w:rsidRDefault="00B67D7C" w:rsidP="00D45A46">
      <w:pPr>
        <w:jc w:val="both"/>
        <w:rPr>
          <w:bCs/>
          <w:color w:val="002060"/>
          <w:sz w:val="16"/>
          <w:szCs w:val="16"/>
        </w:rPr>
      </w:pPr>
      <w:r w:rsidRPr="00DE096C">
        <w:rPr>
          <w:bCs/>
          <w:color w:val="002060"/>
          <w:sz w:val="16"/>
          <w:szCs w:val="16"/>
        </w:rPr>
        <w:t xml:space="preserve">Для производства бромбензола было установлено, впервые в России, производство брома. </w:t>
      </w:r>
    </w:p>
    <w:p w14:paraId="155373E6" w14:textId="77777777" w:rsidR="00B67D7C" w:rsidRPr="00DE096C" w:rsidRDefault="00B67D7C" w:rsidP="00D45A46">
      <w:pPr>
        <w:jc w:val="both"/>
        <w:rPr>
          <w:bCs/>
          <w:color w:val="002060"/>
          <w:sz w:val="16"/>
          <w:szCs w:val="16"/>
        </w:rPr>
      </w:pPr>
      <w:r w:rsidRPr="00DE096C">
        <w:rPr>
          <w:bCs/>
          <w:color w:val="002060"/>
          <w:sz w:val="16"/>
          <w:szCs w:val="16"/>
        </w:rPr>
        <w:t xml:space="preserve">Помимо указанного, Химический комитет поставил ряд производств основных материалов — для изготовления зажигательных препаратов, фармацевтических и др. Так, постановлено производство азотнокислого бария (около 2000 пудов) и желтого фосфора. Затем, организован завод для ректификации кустарного метилового спирта и получения химически чистого. Далее, были предприняты постройки нескольких заводов для сухой перегонки дерева с получением метилового спирта. </w:t>
      </w:r>
    </w:p>
    <w:p w14:paraId="3D91F1E2" w14:textId="77777777" w:rsidR="00B67D7C" w:rsidRPr="00DE096C" w:rsidRDefault="00B67D7C" w:rsidP="00D45A46">
      <w:pPr>
        <w:jc w:val="both"/>
        <w:rPr>
          <w:bCs/>
          <w:color w:val="002060"/>
          <w:sz w:val="16"/>
          <w:szCs w:val="16"/>
        </w:rPr>
      </w:pPr>
      <w:r w:rsidRPr="00DE096C">
        <w:rPr>
          <w:bCs/>
          <w:color w:val="002060"/>
          <w:sz w:val="16"/>
          <w:szCs w:val="16"/>
        </w:rPr>
        <w:t xml:space="preserve">Химический комитет, энергично работая в направлении мобилизации мирной промышленности на военные производства, в то же время не упускал чрезвычайно существенного в этом деле вопроса: как быть по окончании войны со всеми предприятиями, которые с мирной работы были переоборудованы и переведены на военную, а в особенности с теми, кои были специально для военных нужд построены и оборудованы заново. </w:t>
      </w:r>
    </w:p>
    <w:p w14:paraId="22F92ED7" w14:textId="77777777" w:rsidR="00B67D7C" w:rsidRPr="00DE096C" w:rsidRDefault="00B67D7C" w:rsidP="00D45A46">
      <w:pPr>
        <w:jc w:val="both"/>
        <w:rPr>
          <w:bCs/>
          <w:color w:val="002060"/>
          <w:sz w:val="16"/>
          <w:szCs w:val="16"/>
        </w:rPr>
      </w:pPr>
      <w:r w:rsidRPr="00DE096C">
        <w:rPr>
          <w:bCs/>
          <w:color w:val="002060"/>
          <w:sz w:val="16"/>
          <w:szCs w:val="16"/>
        </w:rPr>
        <w:t xml:space="preserve">Война дала громадный толчок к развитию отечественной химической промышленности. Вслед за развитием производства специально военных продуктов (взрывчатых веществ и пороха) естественно росли, развивались и насаждались вновь производства длинного ряда исходных для них продуктов, которые сами по себе носили уже вполне мирный характер (кислоты, ароматические углеводороды и пр.), а было бы преступным не использовать полученный химической промышленностью импульс, вложенные в нее силы и средства для дальнейшего ее развития по линии мирного рынка. </w:t>
      </w:r>
    </w:p>
    <w:p w14:paraId="4C86A960" w14:textId="77777777" w:rsidR="00B67D7C" w:rsidRPr="00DE096C" w:rsidRDefault="00B67D7C" w:rsidP="00D45A46">
      <w:pPr>
        <w:jc w:val="both"/>
        <w:rPr>
          <w:bCs/>
          <w:color w:val="002060"/>
          <w:sz w:val="16"/>
          <w:szCs w:val="16"/>
        </w:rPr>
      </w:pPr>
      <w:r w:rsidRPr="00DE096C">
        <w:rPr>
          <w:bCs/>
          <w:color w:val="002060"/>
          <w:sz w:val="16"/>
          <w:szCs w:val="16"/>
        </w:rPr>
        <w:t xml:space="preserve">Разрешение этой задачи представляло громадные трудности и с технической стороны и, в особенности, со стороны экономики. Предстояло разрешить вопросы: а) чем располагает химическая промышленность в смысле производственных возможностей, б) в чем нуждается Россия, в смысле химических продуктов, в) какие производства необходимо и возможно организовать вновь, г) как использовать заводы специально военного назначения на мирный рынок с тем, чтобы в то же время сохранить их мобилизационную готовность к военной работе. </w:t>
      </w:r>
    </w:p>
    <w:p w14:paraId="651C9559" w14:textId="77777777" w:rsidR="00B67D7C" w:rsidRPr="00DE096C" w:rsidRDefault="00B67D7C" w:rsidP="00D45A46">
      <w:pPr>
        <w:jc w:val="both"/>
        <w:rPr>
          <w:bCs/>
          <w:color w:val="002060"/>
          <w:sz w:val="16"/>
          <w:szCs w:val="16"/>
        </w:rPr>
      </w:pPr>
      <w:r w:rsidRPr="00DE096C">
        <w:rPr>
          <w:bCs/>
          <w:color w:val="002060"/>
          <w:sz w:val="16"/>
          <w:szCs w:val="16"/>
        </w:rPr>
        <w:t xml:space="preserve">Разрешение этих вопросов естественно связывалось с вопросами заграничной конкуренции, таможенных пошлин, железнодорожных тарифов и пр. Одним словом, необходимо было поставить во всем объеме задачу о дальнейших путях интенсивного развития отечественной химической промышленности и полного освобождения государства в этой области от иностранной зависимости. </w:t>
      </w:r>
    </w:p>
    <w:p w14:paraId="149A707E" w14:textId="77777777" w:rsidR="00B67D7C" w:rsidRPr="00DE096C" w:rsidRDefault="00B67D7C" w:rsidP="00D45A46">
      <w:pPr>
        <w:jc w:val="both"/>
        <w:rPr>
          <w:bCs/>
          <w:color w:val="002060"/>
          <w:sz w:val="16"/>
          <w:szCs w:val="16"/>
        </w:rPr>
      </w:pPr>
      <w:r w:rsidRPr="00DE096C">
        <w:rPr>
          <w:bCs/>
          <w:color w:val="002060"/>
          <w:sz w:val="16"/>
          <w:szCs w:val="16"/>
        </w:rPr>
        <w:t xml:space="preserve">Химический комитет, поставив так широко задачу, надлежащим образом и приступил к ее разрешению. Он призвал к этому делу все крупные общественные организации, научные силы и представителей промышленности. Все весьма охотно откликнулись на призыв. Общими силами приступлено было к собиранию и разработке статистического материала по химическим производствам. Под наблюдением Комитета находилось до 200 заводов химической промышленности. </w:t>
      </w:r>
    </w:p>
    <w:p w14:paraId="03DA609A" w14:textId="77777777" w:rsidR="00B67D7C" w:rsidRPr="00DE096C" w:rsidRDefault="00B67D7C" w:rsidP="00D45A46">
      <w:pPr>
        <w:jc w:val="both"/>
        <w:rPr>
          <w:bCs/>
          <w:color w:val="002060"/>
          <w:sz w:val="16"/>
          <w:szCs w:val="16"/>
        </w:rPr>
      </w:pPr>
      <w:r w:rsidRPr="00DE096C">
        <w:rPr>
          <w:bCs/>
          <w:color w:val="002060"/>
          <w:sz w:val="16"/>
          <w:szCs w:val="16"/>
        </w:rPr>
        <w:t>Осенью 1916 г. при Московском и Южном бюро Химического комитета были образованы подготовительные комиссии для сосредоточения и разработки статистического материала. Были намечены к обследованию следующие отрасли промышленности: 1) кислотная и связанные с ней заводы получения солей и других минеральных продуктов, 2) фармацевтическая, 3) красочная, 4) органических препаратов (нефтяная, сухой перегонки дерева, продуктов коксования угля, сахарная, паточная, обработка жиров и др.).</w:t>
      </w:r>
    </w:p>
    <w:p w14:paraId="6BB8AAB7" w14:textId="77777777" w:rsidR="00B67D7C" w:rsidRPr="00DE096C" w:rsidRDefault="00B67D7C" w:rsidP="00D45A46">
      <w:pPr>
        <w:jc w:val="both"/>
        <w:rPr>
          <w:bCs/>
          <w:color w:val="002060"/>
          <w:sz w:val="16"/>
          <w:szCs w:val="16"/>
        </w:rPr>
      </w:pPr>
      <w:r w:rsidRPr="00DE096C">
        <w:rPr>
          <w:bCs/>
          <w:color w:val="002060"/>
          <w:sz w:val="16"/>
          <w:szCs w:val="16"/>
        </w:rPr>
        <w:t xml:space="preserve">Для объединения работ подготовительных комиссий, подходивших к концу, в начале 1917 г. в Москве был образован Центральный орган. В состав его вошли представители заинтересованных министерств, научных, ученых и общественных организаций. Предстояла сводка материала, составление выводов и заключений, а затем разработка плана демобилизации промышленности и насаждение новых ее отраслей. События октября 1917 г. прервали эту работу. </w:t>
      </w:r>
    </w:p>
    <w:p w14:paraId="267A2638" w14:textId="77777777" w:rsidR="00B67D7C" w:rsidRPr="00DE096C" w:rsidRDefault="00B67D7C" w:rsidP="00D45A46">
      <w:pPr>
        <w:jc w:val="both"/>
        <w:rPr>
          <w:bCs/>
          <w:color w:val="002060"/>
          <w:sz w:val="16"/>
          <w:szCs w:val="16"/>
        </w:rPr>
      </w:pPr>
      <w:r w:rsidRPr="00DE096C">
        <w:rPr>
          <w:bCs/>
          <w:color w:val="002060"/>
          <w:sz w:val="16"/>
          <w:szCs w:val="16"/>
        </w:rPr>
        <w:t xml:space="preserve">История работы Химического комитета дает весьма поучительный материал, позволяющий, с одной стороны, поставить верный диагноз недугам нашего военного снабжения в прошлую войну, и. с другой стороны, найти твердые и надежные методы их излечения. Первые же месяцы войны вскрыли исключительную беспечность военного ведомства в вопросах обеспечения армии взрывчатыми веществами. Достаточно лишь указать, что единственное взрывчатое вещество, принятое для снаряжения снарядов всех калибров, мин, ручных гранат и т.д., — тротил — ни в малейшей мере не было обеспечено основным сырьем — толуолом, который с 1909 г. и до объявления войны полностью получался из той самой Германии, с которой во всякий момент могла возникнуть война. </w:t>
      </w:r>
    </w:p>
    <w:p w14:paraId="3718F003" w14:textId="77777777" w:rsidR="00B67D7C" w:rsidRPr="00DE096C" w:rsidRDefault="00B67D7C" w:rsidP="00D45A46">
      <w:pPr>
        <w:jc w:val="both"/>
        <w:rPr>
          <w:bCs/>
          <w:color w:val="002060"/>
          <w:sz w:val="16"/>
          <w:szCs w:val="16"/>
        </w:rPr>
      </w:pPr>
      <w:r w:rsidRPr="00DE096C">
        <w:rPr>
          <w:bCs/>
          <w:color w:val="002060"/>
          <w:sz w:val="16"/>
          <w:szCs w:val="16"/>
        </w:rPr>
        <w:t xml:space="preserve">Сравнительно кратковременная работа Комитета, предпринятая без всякой предварительной подготовки и протекавшая в условиях военного времени, дала громадные результаты. В короткий срок русскими учеными разрешен целый ряд химических задач, имеющих большое военное значение и в то же время не меньшее значение научное. Русскими инженерами в короткий срок был построен ряд новых химических заводов и поставлено много совершенно новых для России производств, причем во многих случаях методы этих производств, совершенно оригинальные, были разработаны своими силами. И все эти работы, несмотря на кратковременность их, успели дать крупнейшие практические результаты для дела обороны государства. </w:t>
      </w:r>
    </w:p>
    <w:p w14:paraId="52BC695F" w14:textId="77777777" w:rsidR="00B67D7C" w:rsidRPr="00DE096C" w:rsidRDefault="00B67D7C" w:rsidP="00D45A46">
      <w:pPr>
        <w:jc w:val="both"/>
        <w:rPr>
          <w:bCs/>
          <w:color w:val="002060"/>
          <w:sz w:val="16"/>
          <w:szCs w:val="16"/>
        </w:rPr>
      </w:pPr>
      <w:r w:rsidRPr="00DE096C">
        <w:rPr>
          <w:bCs/>
          <w:color w:val="002060"/>
          <w:sz w:val="16"/>
          <w:szCs w:val="16"/>
        </w:rPr>
        <w:t>Если мобилизация химической промышленности, произведенная без всякой решительно предварительной подготовки, в порядке чистейшей импровизации, могла принести такую громадную помощь армии, то естественно рождается вопрос, каковы были бы результаты, если бы эта мобилизация была предусмотрена и подготовлена заблаговременно, еще в мирное время, и с началом войны химическая промышленность развернула бы свою работу по строго определенному плану, спокойно, без толчков, перейдя с мирной программы на военную. Естественные богатства России и способность русской инженерной мысли к продуктивному творчеству открывали широкие возможности развития химической промышленности в том направлении, как этого требуют интересы обороны (11329).</w:t>
      </w:r>
    </w:p>
    <w:p w14:paraId="212349E4" w14:textId="77777777" w:rsidR="00B67D7C" w:rsidRPr="00DE096C" w:rsidRDefault="00B67D7C" w:rsidP="00D45A46">
      <w:pPr>
        <w:jc w:val="both"/>
        <w:rPr>
          <w:bCs/>
          <w:i/>
          <w:color w:val="002060"/>
          <w:sz w:val="16"/>
          <w:szCs w:val="16"/>
        </w:rPr>
      </w:pPr>
    </w:p>
    <w:p w14:paraId="61D66447" w14:textId="35F8906E" w:rsidR="00B67D7C" w:rsidRPr="00DE096C" w:rsidRDefault="00852C9E" w:rsidP="00D45A46">
      <w:pPr>
        <w:jc w:val="both"/>
        <w:rPr>
          <w:bCs/>
          <w:color w:val="002060"/>
          <w:sz w:val="16"/>
          <w:szCs w:val="16"/>
        </w:rPr>
      </w:pPr>
      <w:r w:rsidRPr="00DE096C">
        <w:rPr>
          <w:bCs/>
          <w:color w:val="002060"/>
          <w:sz w:val="16"/>
          <w:szCs w:val="16"/>
        </w:rPr>
        <w:t>С</w:t>
      </w:r>
      <w:r w:rsidR="00B67D7C" w:rsidRPr="00DE096C">
        <w:rPr>
          <w:bCs/>
          <w:color w:val="002060"/>
          <w:sz w:val="16"/>
          <w:szCs w:val="16"/>
        </w:rPr>
        <w:t xml:space="preserve"> июля 1914 г. Главное артиллерийское управление (ГАУ), отвечавшее за снабжение армии боеприпасами, начало принимать меры по обеспечению снабжения пороховых и взрывчатых заводов исходными продуктами производства, Министерство торговли и промышленности не смогло дать необходимых ему ответов на вопросы о возможностях развития химической отрасли. Например, оно не владело информацией о том, сколько толуола и как скоро может дать химическая промышленность страны. Поэтому Военное ведомство взяло инициативу по развитию необходимых военной химии производств в свои руки, и первым стало коксобензольное производство (11423).</w:t>
      </w:r>
    </w:p>
    <w:p w14:paraId="78D1D753" w14:textId="77777777" w:rsidR="00B67D7C" w:rsidRPr="00DE096C" w:rsidRDefault="00B67D7C" w:rsidP="00D45A46">
      <w:pPr>
        <w:jc w:val="both"/>
        <w:rPr>
          <w:bCs/>
          <w:color w:val="002060"/>
          <w:sz w:val="16"/>
          <w:szCs w:val="16"/>
        </w:rPr>
      </w:pPr>
    </w:p>
    <w:p w14:paraId="0D91A38F" w14:textId="64F884FD" w:rsidR="00B67D7C" w:rsidRPr="00DE096C" w:rsidRDefault="00B67D7C" w:rsidP="00D45A46">
      <w:pPr>
        <w:shd w:val="clear" w:color="auto" w:fill="FFFFFF"/>
        <w:jc w:val="both"/>
        <w:rPr>
          <w:bCs/>
          <w:color w:val="002060"/>
          <w:sz w:val="16"/>
          <w:szCs w:val="16"/>
        </w:rPr>
      </w:pPr>
      <w:r w:rsidRPr="00DE096C">
        <w:rPr>
          <w:bCs/>
          <w:color w:val="002060"/>
          <w:sz w:val="16"/>
          <w:szCs w:val="16"/>
        </w:rPr>
        <w:lastRenderedPageBreak/>
        <w:t xml:space="preserve">С июля 1914 года заводская радиостанция </w:t>
      </w:r>
      <w:r w:rsidR="00852C9E" w:rsidRPr="00DE096C">
        <w:rPr>
          <w:bCs/>
          <w:color w:val="002060"/>
          <w:sz w:val="16"/>
          <w:szCs w:val="16"/>
        </w:rPr>
        <w:t xml:space="preserve">РОБТиТ </w:t>
      </w:r>
      <w:r w:rsidRPr="00DE096C">
        <w:rPr>
          <w:bCs/>
          <w:color w:val="002060"/>
          <w:sz w:val="16"/>
          <w:szCs w:val="16"/>
        </w:rPr>
        <w:t>также начала ре</w:t>
      </w:r>
      <w:r w:rsidRPr="00DE096C">
        <w:rPr>
          <w:bCs/>
          <w:color w:val="002060"/>
          <w:sz w:val="16"/>
          <w:szCs w:val="16"/>
        </w:rPr>
        <w:softHyphen/>
        <w:t>гулярную работу по поддержанию связи с союзниками. Сюда были направлены для несения службы специалисты офицерской электротехнической школы.</w:t>
      </w:r>
    </w:p>
    <w:p w14:paraId="273C547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Диапазон волн Московской радиостанции 7000,9000 и 11000 м (передатчик), Царскосельской - 5000, 7000 и 9000 м. Передат</w:t>
      </w:r>
      <w:r w:rsidRPr="00DE096C">
        <w:rPr>
          <w:bCs/>
          <w:color w:val="002060"/>
          <w:sz w:val="16"/>
          <w:szCs w:val="16"/>
        </w:rPr>
        <w:softHyphen/>
        <w:t>чики были приспособлены для работы как ключом, так и машин</w:t>
      </w:r>
      <w:r w:rsidRPr="00DE096C">
        <w:rPr>
          <w:bCs/>
          <w:color w:val="002060"/>
          <w:sz w:val="16"/>
          <w:szCs w:val="16"/>
        </w:rPr>
        <w:softHyphen/>
        <w:t>ным автоматом (трансмиттер Уинстона). Автоматы и другие при</w:t>
      </w:r>
      <w:r w:rsidRPr="00DE096C">
        <w:rPr>
          <w:bCs/>
          <w:color w:val="002060"/>
          <w:sz w:val="16"/>
          <w:szCs w:val="16"/>
        </w:rPr>
        <w:softHyphen/>
        <w:t>боры допускали скорость передачи 70 слов в минуту. Приём вел</w:t>
      </w:r>
      <w:r w:rsidRPr="00DE096C">
        <w:rPr>
          <w:bCs/>
          <w:color w:val="002060"/>
          <w:sz w:val="16"/>
          <w:szCs w:val="16"/>
        </w:rPr>
        <w:softHyphen/>
        <w:t>ся на слух и на регистрирующие аппараты в диапазоне волн от 400 до 10000 м.</w:t>
      </w:r>
    </w:p>
    <w:p w14:paraId="5080C62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Ходынский (Московский) искровой радиопередатчик имел колебательную мощность 100 кВт при мощности потребления 300 кВт и работал на волнах 7000 - 9000 м.</w:t>
      </w:r>
    </w:p>
    <w:p w14:paraId="773D873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Будучи однотипными, Московская и Царскосельская радио</w:t>
      </w:r>
      <w:r w:rsidRPr="00DE096C">
        <w:rPr>
          <w:bCs/>
          <w:color w:val="002060"/>
          <w:sz w:val="16"/>
          <w:szCs w:val="16"/>
        </w:rPr>
        <w:softHyphen/>
        <w:t>станции по мощности входили в число самых крупных в Европе. Они представляли собой высшее достижение радиотехники ис</w:t>
      </w:r>
      <w:r w:rsidRPr="00DE096C">
        <w:rPr>
          <w:bCs/>
          <w:color w:val="002060"/>
          <w:sz w:val="16"/>
          <w:szCs w:val="16"/>
        </w:rPr>
        <w:softHyphen/>
        <w:t>крового периода. Для своего времени они обладали отличными тактико-техническими данными, надёжностью в работе и боль</w:t>
      </w:r>
      <w:r w:rsidRPr="00DE096C">
        <w:rPr>
          <w:bCs/>
          <w:color w:val="002060"/>
          <w:sz w:val="16"/>
          <w:szCs w:val="16"/>
        </w:rPr>
        <w:softHyphen/>
        <w:t>шим запасом инженерной прочности (11481).</w:t>
      </w:r>
    </w:p>
    <w:p w14:paraId="0E7A82FC" w14:textId="77777777" w:rsidR="00B67D7C" w:rsidRPr="00DE096C" w:rsidRDefault="00B67D7C" w:rsidP="00D45A46">
      <w:pPr>
        <w:jc w:val="both"/>
        <w:rPr>
          <w:bCs/>
          <w:color w:val="002060"/>
          <w:sz w:val="16"/>
          <w:szCs w:val="16"/>
        </w:rPr>
      </w:pPr>
    </w:p>
    <w:p w14:paraId="0CFFC435" w14:textId="30A64DB4" w:rsidR="00B67D7C" w:rsidRPr="00DE096C" w:rsidRDefault="00852C9E"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июле 1914 года </w:t>
      </w:r>
      <w:r w:rsidRPr="00DE096C">
        <w:rPr>
          <w:bCs/>
          <w:color w:val="002060"/>
          <w:sz w:val="16"/>
          <w:szCs w:val="16"/>
        </w:rPr>
        <w:t xml:space="preserve">в связи с ухудшением отношений с Германией, </w:t>
      </w:r>
      <w:r w:rsidR="00B67D7C" w:rsidRPr="00DE096C">
        <w:rPr>
          <w:bCs/>
          <w:color w:val="002060"/>
          <w:sz w:val="16"/>
          <w:szCs w:val="16"/>
        </w:rPr>
        <w:t>РОБТиТ получило категорическое указание уволить из фир</w:t>
      </w:r>
      <w:r w:rsidR="00B67D7C" w:rsidRPr="00DE096C">
        <w:rPr>
          <w:bCs/>
          <w:color w:val="002060"/>
          <w:sz w:val="16"/>
          <w:szCs w:val="16"/>
        </w:rPr>
        <w:softHyphen/>
        <w:t>мы всех лиц германского и австрийского подданства (11481).</w:t>
      </w:r>
    </w:p>
    <w:p w14:paraId="4B16E3BE" w14:textId="77777777" w:rsidR="00B67D7C" w:rsidRPr="00DE096C" w:rsidRDefault="00B67D7C" w:rsidP="00D45A46">
      <w:pPr>
        <w:jc w:val="both"/>
        <w:rPr>
          <w:bCs/>
          <w:color w:val="002060"/>
          <w:sz w:val="16"/>
          <w:szCs w:val="16"/>
        </w:rPr>
      </w:pPr>
    </w:p>
    <w:p w14:paraId="703A6EB7" w14:textId="700AC94C" w:rsidR="00B67D7C" w:rsidRPr="00DE096C" w:rsidRDefault="00B67D7C" w:rsidP="00D45A46">
      <w:pPr>
        <w:jc w:val="both"/>
        <w:rPr>
          <w:bCs/>
          <w:color w:val="002060"/>
          <w:sz w:val="16"/>
          <w:szCs w:val="16"/>
        </w:rPr>
      </w:pPr>
      <w:r w:rsidRPr="00DE096C">
        <w:rPr>
          <w:bCs/>
          <w:color w:val="002060"/>
          <w:sz w:val="16"/>
          <w:szCs w:val="16"/>
        </w:rPr>
        <w:t>В июле 1914 г. царем был утвержден устав нового общества</w:t>
      </w:r>
      <w:r w:rsidR="00AA0170" w:rsidRPr="00DE096C">
        <w:rPr>
          <w:bCs/>
          <w:color w:val="002060"/>
          <w:sz w:val="16"/>
          <w:szCs w:val="16"/>
        </w:rPr>
        <w:t xml:space="preserve"> Адмиралтейского завода</w:t>
      </w:r>
      <w:r w:rsidRPr="00DE096C">
        <w:rPr>
          <w:bCs/>
          <w:color w:val="002060"/>
          <w:sz w:val="16"/>
          <w:szCs w:val="16"/>
        </w:rPr>
        <w:t>, но намеченным планам помешала война (12109).</w:t>
      </w:r>
    </w:p>
    <w:p w14:paraId="0CB6489C" w14:textId="77777777" w:rsidR="00B67D7C" w:rsidRPr="00DE096C" w:rsidRDefault="00B67D7C" w:rsidP="00D45A46">
      <w:pPr>
        <w:jc w:val="both"/>
        <w:rPr>
          <w:bCs/>
          <w:color w:val="002060"/>
          <w:sz w:val="16"/>
          <w:szCs w:val="16"/>
        </w:rPr>
      </w:pPr>
    </w:p>
    <w:p w14:paraId="6AE731A6" w14:textId="2C0AE842" w:rsidR="00B67D7C" w:rsidRPr="00DE096C" w:rsidRDefault="00AA0170"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июле 1914 г. </w:t>
      </w:r>
      <w:r w:rsidRPr="00DE096C">
        <w:rPr>
          <w:bCs/>
          <w:color w:val="002060"/>
          <w:sz w:val="16"/>
          <w:szCs w:val="16"/>
        </w:rPr>
        <w:t xml:space="preserve">президент Франции Р. Пуанкаре перед его визитом в Россию </w:t>
      </w:r>
      <w:r w:rsidR="00B67D7C" w:rsidRPr="00DE096C">
        <w:rPr>
          <w:bCs/>
          <w:color w:val="002060"/>
          <w:sz w:val="16"/>
          <w:szCs w:val="16"/>
        </w:rPr>
        <w:t>сделал в своем дневнике пометку: «Пермское дело — поблагодарить» (B.И. Бовыкин. Из истории проникновения иностранного капитала в Россию ("Пермское дело") // Научные доклады и сообщения Высшей школы. Исторические науки, № 1, 1958, с. 66–73.) (12109).</w:t>
      </w:r>
    </w:p>
    <w:p w14:paraId="4268ACC2" w14:textId="77777777" w:rsidR="00B67D7C" w:rsidRPr="00DE096C" w:rsidRDefault="00B67D7C" w:rsidP="00D45A46">
      <w:pPr>
        <w:jc w:val="both"/>
        <w:rPr>
          <w:bCs/>
          <w:color w:val="002060"/>
          <w:sz w:val="16"/>
          <w:szCs w:val="16"/>
        </w:rPr>
      </w:pPr>
    </w:p>
    <w:p w14:paraId="3D940454" w14:textId="77777777" w:rsidR="00394E74" w:rsidRPr="00DE096C" w:rsidRDefault="00394E74" w:rsidP="00D45A46">
      <w:pPr>
        <w:pStyle w:val="af7"/>
        <w:spacing w:line="240" w:lineRule="auto"/>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В июле 1914 г., к началу войны, заводы могли давать винтовочного пороха «Вл» до 120 тысяч пудов в год — количество, кото</w:t>
      </w:r>
      <w:r w:rsidRPr="00DE096C">
        <w:rPr>
          <w:rFonts w:ascii="Times New Roman" w:hAnsi="Times New Roman" w:cs="Times New Roman"/>
          <w:bCs/>
          <w:color w:val="002060"/>
          <w:sz w:val="16"/>
          <w:szCs w:val="16"/>
        </w:rPr>
        <w:softHyphen/>
        <w:t xml:space="preserve">рого в тот момент хватало с небольшим избытком, пока потребность в патронах сводилась к 500 млн штук. Но с января 1915 г., когда в полной мере проявился снарядный кризис, потребность в винтовочных патронах возросла. И если достигнутый в начале войны выпуск пороха «Вл» в 10,6 тысячи пудов в месяц казался удовлетворительным, то с января требовалось уже 42 тысячи пудов, и в мае 1915 г. выпуск патронов снизился из-за нехватки пороха (РГВИА. Ф. 962. Оп. 2. Д. 87. Л. 219 и об., 223; ВПР. С. 646, 748-750, 758; РГВИА. Ф. 2000. </w:t>
      </w:r>
      <w:r w:rsidRPr="00DE096C">
        <w:rPr>
          <w:rFonts w:ascii="Times New Roman" w:hAnsi="Times New Roman" w:cs="Times New Roman"/>
          <w:bCs/>
          <w:color w:val="002060"/>
          <w:sz w:val="16"/>
          <w:szCs w:val="16"/>
          <w:lang w:val="en-US" w:bidi="en-US"/>
        </w:rPr>
        <w:t>On</w:t>
      </w:r>
      <w:r w:rsidRPr="00DE096C">
        <w:rPr>
          <w:rFonts w:ascii="Times New Roman" w:hAnsi="Times New Roman" w:cs="Times New Roman"/>
          <w:bCs/>
          <w:color w:val="002060"/>
          <w:sz w:val="16"/>
          <w:szCs w:val="16"/>
          <w:lang w:bidi="en-US"/>
        </w:rPr>
        <w:t xml:space="preserve">. </w:t>
      </w:r>
      <w:r w:rsidRPr="00DE096C">
        <w:rPr>
          <w:rFonts w:ascii="Times New Roman" w:hAnsi="Times New Roman" w:cs="Times New Roman"/>
          <w:bCs/>
          <w:color w:val="002060"/>
          <w:sz w:val="16"/>
          <w:szCs w:val="16"/>
        </w:rPr>
        <w:t xml:space="preserve">1. Д. 4388. Справка Беляева Поливанову для доклада Николаю II, </w:t>
      </w:r>
      <w:r w:rsidRPr="00DE096C">
        <w:rPr>
          <w:rFonts w:ascii="Times New Roman" w:hAnsi="Times New Roman" w:cs="Times New Roman"/>
          <w:bCs/>
          <w:color w:val="002060"/>
          <w:sz w:val="16"/>
          <w:szCs w:val="16"/>
          <w:lang w:bidi="en-US"/>
        </w:rPr>
        <w:t>10.</w:t>
      </w:r>
      <w:r w:rsidRPr="00DE096C">
        <w:rPr>
          <w:rFonts w:ascii="Times New Roman" w:hAnsi="Times New Roman" w:cs="Times New Roman"/>
          <w:bCs/>
          <w:color w:val="002060"/>
          <w:sz w:val="16"/>
          <w:szCs w:val="16"/>
          <w:lang w:val="en-US" w:bidi="en-US"/>
        </w:rPr>
        <w:t>V</w:t>
      </w:r>
      <w:r w:rsidRPr="00DE096C">
        <w:rPr>
          <w:rFonts w:ascii="Times New Roman" w:hAnsi="Times New Roman" w:cs="Times New Roman"/>
          <w:bCs/>
          <w:color w:val="002060"/>
          <w:sz w:val="16"/>
          <w:szCs w:val="16"/>
          <w:lang w:bidi="en-US"/>
        </w:rPr>
        <w:t>1</w:t>
      </w:r>
      <w:r w:rsidRPr="00DE096C">
        <w:rPr>
          <w:rFonts w:ascii="Times New Roman" w:hAnsi="Times New Roman" w:cs="Times New Roman"/>
          <w:bCs/>
          <w:color w:val="002060"/>
          <w:sz w:val="16"/>
          <w:szCs w:val="16"/>
          <w:lang w:val="en-US" w:bidi="en-US"/>
        </w:rPr>
        <w:t>I</w:t>
      </w:r>
      <w:r w:rsidRPr="00DE096C">
        <w:rPr>
          <w:rFonts w:ascii="Times New Roman" w:hAnsi="Times New Roman" w:cs="Times New Roman"/>
          <w:bCs/>
          <w:color w:val="002060"/>
          <w:sz w:val="16"/>
          <w:szCs w:val="16"/>
          <w:lang w:bidi="en-US"/>
        </w:rPr>
        <w:t>.1915.</w:t>
      </w:r>
      <w:r w:rsidRPr="00DE096C">
        <w:rPr>
          <w:rFonts w:ascii="Times New Roman" w:hAnsi="Times New Roman" w:cs="Times New Roman"/>
          <w:bCs/>
          <w:color w:val="002060"/>
          <w:sz w:val="16"/>
          <w:szCs w:val="16"/>
        </w:rPr>
        <w:t>). В июле 1914 г. Кузьмин-Караваев, «не видя возможности в ближай</w:t>
      </w:r>
      <w:r w:rsidRPr="00DE096C">
        <w:rPr>
          <w:rFonts w:ascii="Times New Roman" w:hAnsi="Times New Roman" w:cs="Times New Roman"/>
          <w:bCs/>
          <w:color w:val="002060"/>
          <w:sz w:val="16"/>
          <w:szCs w:val="16"/>
        </w:rPr>
        <w:softHyphen/>
        <w:t>шее время воспользоваться результатами еще дальнейшего, для пороховых заводов опасного, их расширения, принял меры к установлению производства нашего пороха в Аме</w:t>
      </w:r>
      <w:r w:rsidRPr="00DE096C">
        <w:rPr>
          <w:rFonts w:ascii="Times New Roman" w:hAnsi="Times New Roman" w:cs="Times New Roman"/>
          <w:bCs/>
          <w:color w:val="002060"/>
          <w:sz w:val="16"/>
          <w:szCs w:val="16"/>
        </w:rPr>
        <w:softHyphen/>
        <w:t>рике, сознавая, что только этим способом можно поднять с июня—июля 1915 г. выход патронов до 100 млн в месяц». В действительности уже к марту 1915 г. требовалось 200 млн в месяц. В 1916 г. Петроградский патронный завод был рас</w:t>
      </w:r>
      <w:r w:rsidRPr="00DE096C">
        <w:rPr>
          <w:rFonts w:ascii="Times New Roman" w:hAnsi="Times New Roman" w:cs="Times New Roman"/>
          <w:bCs/>
          <w:color w:val="002060"/>
          <w:sz w:val="16"/>
          <w:szCs w:val="16"/>
        </w:rPr>
        <w:softHyphen/>
        <w:t>ширен до выпуска 600 млн патронов в год (Там же. Ф. 29. Оп. 3. Д. 1003. Л. 365 об.) (23452).</w:t>
      </w:r>
    </w:p>
    <w:p w14:paraId="7276D631" w14:textId="77777777" w:rsidR="00394E74" w:rsidRPr="00DE096C" w:rsidRDefault="00394E74" w:rsidP="00D45A46">
      <w:pPr>
        <w:jc w:val="both"/>
        <w:rPr>
          <w:bCs/>
          <w:color w:val="002060"/>
          <w:sz w:val="16"/>
          <w:szCs w:val="16"/>
        </w:rPr>
      </w:pPr>
    </w:p>
    <w:p w14:paraId="6D2EBACE" w14:textId="77777777" w:rsidR="003174ED" w:rsidRPr="00B52707" w:rsidRDefault="003174ED" w:rsidP="003174ED">
      <w:pPr>
        <w:jc w:val="both"/>
        <w:rPr>
          <w:color w:val="0070C0"/>
          <w:sz w:val="16"/>
          <w:szCs w:val="16"/>
        </w:rPr>
      </w:pPr>
      <w:r w:rsidRPr="00B52707">
        <w:rPr>
          <w:color w:val="0070C0"/>
          <w:sz w:val="16"/>
          <w:szCs w:val="16"/>
        </w:rPr>
        <w:t>В июле 1914 года по расчетам Главного военно-техническо</w:t>
      </w:r>
      <w:r w:rsidRPr="00B52707">
        <w:rPr>
          <w:color w:val="0070C0"/>
          <w:sz w:val="16"/>
          <w:szCs w:val="16"/>
        </w:rPr>
        <w:softHyphen/>
        <w:t>го управления Главного управления Генерального Штаба (ГВТУ ГУГШ) требовалось приобрести за границей 843 автомобиля, в августе их количество увеличилось до 2749 единиц. Причем из-за большой нужды в ма</w:t>
      </w:r>
      <w:r w:rsidRPr="00B52707">
        <w:rPr>
          <w:color w:val="0070C0"/>
          <w:sz w:val="16"/>
          <w:szCs w:val="16"/>
        </w:rPr>
        <w:softHyphen/>
        <w:t>шинах ГВТУ предлагало покупать любые ав</w:t>
      </w:r>
      <w:r w:rsidRPr="00B52707">
        <w:rPr>
          <w:color w:val="0070C0"/>
          <w:sz w:val="16"/>
          <w:szCs w:val="16"/>
        </w:rPr>
        <w:softHyphen/>
        <w:t>томобили, которые только можно было зака</w:t>
      </w:r>
      <w:r w:rsidRPr="00B52707">
        <w:rPr>
          <w:color w:val="0070C0"/>
          <w:sz w:val="16"/>
          <w:szCs w:val="16"/>
        </w:rPr>
        <w:softHyphen/>
        <w:t>зать, не выдвигая к ним каких-то особых тех</w:t>
      </w:r>
      <w:r w:rsidRPr="00B52707">
        <w:rPr>
          <w:color w:val="0070C0"/>
          <w:sz w:val="16"/>
          <w:szCs w:val="16"/>
        </w:rPr>
        <w:softHyphen/>
        <w:t>нических требований.</w:t>
      </w:r>
    </w:p>
    <w:p w14:paraId="34C173F6" w14:textId="77777777" w:rsidR="003174ED" w:rsidRPr="00B52707" w:rsidRDefault="003174ED" w:rsidP="003174ED">
      <w:pPr>
        <w:jc w:val="both"/>
        <w:rPr>
          <w:color w:val="0070C0"/>
          <w:sz w:val="16"/>
          <w:szCs w:val="16"/>
        </w:rPr>
      </w:pPr>
      <w:r w:rsidRPr="00B52707">
        <w:rPr>
          <w:color w:val="0070C0"/>
          <w:sz w:val="16"/>
          <w:szCs w:val="16"/>
        </w:rPr>
        <w:t>Закупочная комиссия при покупке машин не только общалась напрямую с их произво</w:t>
      </w:r>
      <w:r w:rsidRPr="00B52707">
        <w:rPr>
          <w:color w:val="0070C0"/>
          <w:sz w:val="16"/>
          <w:szCs w:val="16"/>
        </w:rPr>
        <w:softHyphen/>
        <w:t>дителями, но и прибегала к услугам посред</w:t>
      </w:r>
      <w:r w:rsidRPr="00B52707">
        <w:rPr>
          <w:color w:val="0070C0"/>
          <w:sz w:val="16"/>
          <w:szCs w:val="16"/>
        </w:rPr>
        <w:softHyphen/>
        <w:t>ников. Последние брали за свою работу не</w:t>
      </w:r>
      <w:r w:rsidRPr="00B52707">
        <w:rPr>
          <w:color w:val="0070C0"/>
          <w:sz w:val="16"/>
          <w:szCs w:val="16"/>
        </w:rPr>
        <w:softHyphen/>
        <w:t>малые деньги: например, Британская ин</w:t>
      </w:r>
      <w:r w:rsidRPr="00B52707">
        <w:rPr>
          <w:color w:val="0070C0"/>
          <w:sz w:val="16"/>
          <w:szCs w:val="16"/>
        </w:rPr>
        <w:softHyphen/>
        <w:t>женерная компания, которая была, кстати сказать, рекомендована полковнику Секрётеву правительством Англии, брала за свои услуги 15% от суммы контракта. И далеко не всегда высокие комиссионные гаранти</w:t>
      </w:r>
      <w:r w:rsidRPr="00B52707">
        <w:rPr>
          <w:color w:val="0070C0"/>
          <w:sz w:val="16"/>
          <w:szCs w:val="16"/>
        </w:rPr>
        <w:softHyphen/>
        <w:t>ровали выполнение заказов в срок. Всего в 1914 году комиссия Секрётева приобре</w:t>
      </w:r>
      <w:r w:rsidRPr="00B52707">
        <w:rPr>
          <w:color w:val="0070C0"/>
          <w:sz w:val="16"/>
          <w:szCs w:val="16"/>
        </w:rPr>
        <w:softHyphen/>
        <w:t>ла за рубежом 1276 различных автомобилей, из которых в Россию до конца года прибыло 1216. Для оплаты этих заказов русскому пра</w:t>
      </w:r>
      <w:r w:rsidRPr="00B52707">
        <w:rPr>
          <w:color w:val="0070C0"/>
          <w:sz w:val="16"/>
          <w:szCs w:val="16"/>
        </w:rPr>
        <w:softHyphen/>
        <w:t>вительству потребовалось 128 млн. рублей (25008).</w:t>
      </w:r>
    </w:p>
    <w:p w14:paraId="7C8A7968" w14:textId="77777777" w:rsidR="003174ED" w:rsidRPr="00B52707" w:rsidRDefault="003174ED" w:rsidP="003174ED">
      <w:pPr>
        <w:jc w:val="both"/>
        <w:rPr>
          <w:color w:val="0070C0"/>
          <w:sz w:val="16"/>
          <w:szCs w:val="16"/>
        </w:rPr>
      </w:pPr>
    </w:p>
    <w:p w14:paraId="67609133" w14:textId="77777777" w:rsidR="003174ED" w:rsidRPr="00B52707" w:rsidRDefault="003174ED" w:rsidP="003174ED">
      <w:pPr>
        <w:jc w:val="both"/>
        <w:rPr>
          <w:color w:val="0070C0"/>
          <w:sz w:val="16"/>
          <w:szCs w:val="16"/>
        </w:rPr>
      </w:pPr>
      <w:r w:rsidRPr="00B52707">
        <w:rPr>
          <w:color w:val="0070C0"/>
          <w:sz w:val="16"/>
          <w:szCs w:val="16"/>
        </w:rPr>
        <w:t>В июле месяце 1914 года было потребовано с фронтов всего только 4 телеграфных аппарата, 8 телефонных аппа</w:t>
      </w:r>
      <w:r w:rsidRPr="00B52707">
        <w:rPr>
          <w:color w:val="0070C0"/>
          <w:sz w:val="16"/>
          <w:szCs w:val="16"/>
        </w:rPr>
        <w:softHyphen/>
        <w:t>ратов, 379 верст (401,7 км.) кабеля и 16 двуколок, но уже в октябре месяце того же года требования эти возросли, а именно потребовано было: 141 телеграфный аппарат, 1.646 телефонных аппаратов, 3.452 верст (3659 км.) кабеля и 57 двуколок.</w:t>
      </w:r>
    </w:p>
    <w:p w14:paraId="7EAF4CA2" w14:textId="77777777" w:rsidR="003174ED" w:rsidRPr="00B52707" w:rsidRDefault="003174ED" w:rsidP="003174ED">
      <w:pPr>
        <w:jc w:val="both"/>
        <w:rPr>
          <w:color w:val="0070C0"/>
          <w:sz w:val="16"/>
          <w:szCs w:val="16"/>
        </w:rPr>
      </w:pPr>
      <w:r w:rsidRPr="00B52707">
        <w:rPr>
          <w:color w:val="0070C0"/>
          <w:sz w:val="16"/>
          <w:szCs w:val="16"/>
        </w:rPr>
        <w:t>В конце же 1914 года (в декабре) требования несколько уменьшились, выразившись цифрами — 20 телеграфных аппа</w:t>
      </w:r>
      <w:r w:rsidRPr="00B52707">
        <w:rPr>
          <w:color w:val="0070C0"/>
          <w:sz w:val="16"/>
          <w:szCs w:val="16"/>
        </w:rPr>
        <w:softHyphen/>
        <w:t>ратов, 559 телефонных аппаратов, 807 верст (855,4 км.) ка</w:t>
      </w:r>
      <w:r w:rsidRPr="00B52707">
        <w:rPr>
          <w:color w:val="0070C0"/>
          <w:sz w:val="16"/>
          <w:szCs w:val="16"/>
        </w:rPr>
        <w:softHyphen/>
        <w:t>беля, и только требования на двуколки увеличились по сравнению с октябрем (90 штук).</w:t>
      </w:r>
    </w:p>
    <w:p w14:paraId="261BCD67" w14:textId="77777777" w:rsidR="003174ED" w:rsidRPr="00B52707" w:rsidRDefault="003174ED" w:rsidP="003174ED">
      <w:pPr>
        <w:jc w:val="both"/>
        <w:rPr>
          <w:color w:val="0070C0"/>
          <w:sz w:val="16"/>
          <w:szCs w:val="16"/>
        </w:rPr>
      </w:pPr>
      <w:r w:rsidRPr="00B52707">
        <w:rPr>
          <w:color w:val="0070C0"/>
          <w:sz w:val="16"/>
          <w:szCs w:val="16"/>
        </w:rPr>
        <w:t>В 1915 году требования на телеграфно-телефонное иму</w:t>
      </w:r>
      <w:r w:rsidRPr="00B52707">
        <w:rPr>
          <w:color w:val="0070C0"/>
          <w:sz w:val="16"/>
          <w:szCs w:val="16"/>
        </w:rPr>
        <w:softHyphen/>
        <w:t>щество за время с 1 января до 1 января 1916 года коле</w:t>
      </w:r>
      <w:r w:rsidRPr="00B52707">
        <w:rPr>
          <w:color w:val="0070C0"/>
          <w:sz w:val="16"/>
          <w:szCs w:val="16"/>
        </w:rPr>
        <w:softHyphen/>
        <w:t>бались по месяцам то в большую, то в меньшую сторону, но в общем все же за этот год они постепенно повышались (24923).</w:t>
      </w:r>
    </w:p>
    <w:p w14:paraId="13A3A749" w14:textId="77777777" w:rsidR="003174ED" w:rsidRPr="00B52707" w:rsidRDefault="003174ED" w:rsidP="003174ED">
      <w:pPr>
        <w:jc w:val="both"/>
        <w:rPr>
          <w:color w:val="0070C0"/>
          <w:sz w:val="16"/>
          <w:szCs w:val="16"/>
        </w:rPr>
      </w:pPr>
    </w:p>
    <w:p w14:paraId="44B86744"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w:t>
      </w:r>
    </w:p>
    <w:p w14:paraId="715E7EE8" w14:textId="77777777" w:rsidR="00B67D7C" w:rsidRPr="00DE096C" w:rsidRDefault="00B67D7C" w:rsidP="00D45A46">
      <w:pPr>
        <w:shd w:val="clear" w:color="auto" w:fill="FFFFFF"/>
        <w:jc w:val="both"/>
        <w:rPr>
          <w:bCs/>
          <w:i/>
          <w:color w:val="002060"/>
          <w:sz w:val="16"/>
          <w:szCs w:val="16"/>
        </w:rPr>
      </w:pPr>
    </w:p>
    <w:p w14:paraId="51377700" w14:textId="77777777" w:rsidR="006D06B5" w:rsidRPr="00DE096C" w:rsidRDefault="006D06B5" w:rsidP="00D45A46">
      <w:pPr>
        <w:jc w:val="both"/>
        <w:rPr>
          <w:bCs/>
          <w:color w:val="002060"/>
          <w:sz w:val="16"/>
          <w:szCs w:val="16"/>
        </w:rPr>
      </w:pPr>
      <w:r w:rsidRPr="00DE096C">
        <w:rPr>
          <w:bCs/>
          <w:color w:val="002060"/>
          <w:sz w:val="16"/>
          <w:szCs w:val="16"/>
        </w:rPr>
        <w:t>В июле 1914 г. всего в армии насчитывалось 39 авиаотрядов (19566).</w:t>
      </w:r>
    </w:p>
    <w:p w14:paraId="57DD2A6B" w14:textId="77777777" w:rsidR="006D06B5" w:rsidRPr="00DE096C" w:rsidRDefault="006D06B5" w:rsidP="00D45A46">
      <w:pPr>
        <w:jc w:val="both"/>
        <w:rPr>
          <w:bCs/>
          <w:color w:val="002060"/>
          <w:sz w:val="16"/>
          <w:szCs w:val="16"/>
        </w:rPr>
      </w:pPr>
    </w:p>
    <w:p w14:paraId="3CD5D632" w14:textId="5B9E7D98"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В июле 1914 г. был утвержден штат №</w:t>
      </w:r>
      <w:r w:rsidR="00AA0170" w:rsidRPr="00DE096C">
        <w:rPr>
          <w:bCs/>
          <w:i w:val="0"/>
          <w:color w:val="002060"/>
          <w:spacing w:val="0"/>
          <w:kern w:val="0"/>
          <w:position w:val="0"/>
          <w:sz w:val="16"/>
          <w:szCs w:val="16"/>
        </w:rPr>
        <w:t xml:space="preserve"> </w:t>
      </w:r>
      <w:r w:rsidRPr="00DE096C">
        <w:rPr>
          <w:bCs/>
          <w:i w:val="0"/>
          <w:color w:val="002060"/>
          <w:spacing w:val="0"/>
          <w:kern w:val="0"/>
          <w:position w:val="0"/>
          <w:sz w:val="16"/>
          <w:szCs w:val="16"/>
        </w:rPr>
        <w:t xml:space="preserve">7 "Команды для аэроплана типа «Илья Муромец», состоявшей из 4 офицеров, 1 военного чиновника и 40 нижних чинов. На аппарат предполагалось мощное вооружение: 37 мм пушка Гочкиса, 2 пулемета "Максим", 2 ружья-пулемета "Мадсен" и 2 пистолета "Маузер". </w:t>
      </w:r>
    </w:p>
    <w:p w14:paraId="72871D7E"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Один корабль приравнивался к полевому отряду и придавался штабам армий и фронтов (11277).</w:t>
      </w:r>
    </w:p>
    <w:p w14:paraId="4483691A" w14:textId="77777777" w:rsidR="00B67D7C" w:rsidRPr="00DE096C" w:rsidRDefault="00B67D7C" w:rsidP="00D45A46">
      <w:pPr>
        <w:pStyle w:val="a3"/>
        <w:jc w:val="both"/>
        <w:rPr>
          <w:bCs/>
          <w:i w:val="0"/>
          <w:color w:val="002060"/>
          <w:spacing w:val="0"/>
          <w:kern w:val="0"/>
          <w:position w:val="0"/>
          <w:sz w:val="16"/>
          <w:szCs w:val="16"/>
        </w:rPr>
      </w:pPr>
    </w:p>
    <w:p w14:paraId="14A985A4" w14:textId="6A451BD0" w:rsidR="00B67D7C" w:rsidRPr="00DE096C" w:rsidRDefault="00B67D7C" w:rsidP="00D45A46">
      <w:pPr>
        <w:jc w:val="both"/>
        <w:rPr>
          <w:bCs/>
          <w:color w:val="002060"/>
          <w:sz w:val="16"/>
          <w:szCs w:val="16"/>
        </w:rPr>
      </w:pPr>
      <w:r w:rsidRPr="00DE096C">
        <w:rPr>
          <w:bCs/>
          <w:color w:val="002060"/>
          <w:sz w:val="16"/>
          <w:szCs w:val="16"/>
        </w:rPr>
        <w:t>В июле 1914 г. был утвержден штат №7 "Команды для аэроплана типа "Илья Муромец", состоявшей из 4 офицеров, 1 военного чиновника и 40 нижних чинов. На аппарат предполагалось мощное вооружение: 37 мм пушка Гочкиса, 2 пулемета "Максим", 2 ружья- пулемета "Мадсен" и 2 пистолета "Маузер".</w:t>
      </w:r>
    </w:p>
    <w:p w14:paraId="4678A132" w14:textId="77777777" w:rsidR="00B67D7C" w:rsidRPr="00DE096C" w:rsidRDefault="00B67D7C" w:rsidP="00D45A46">
      <w:pPr>
        <w:jc w:val="both"/>
        <w:rPr>
          <w:bCs/>
          <w:color w:val="002060"/>
          <w:sz w:val="16"/>
          <w:szCs w:val="16"/>
        </w:rPr>
      </w:pPr>
      <w:r w:rsidRPr="00DE096C">
        <w:rPr>
          <w:bCs/>
          <w:color w:val="002060"/>
          <w:sz w:val="16"/>
          <w:szCs w:val="16"/>
        </w:rPr>
        <w:t>Один корабль приравнивался к полевому отряду и придавался штабам армий и фронтов (12038).</w:t>
      </w:r>
    </w:p>
    <w:p w14:paraId="1CCCE15A" w14:textId="77777777" w:rsidR="00B67D7C" w:rsidRPr="00DE096C" w:rsidRDefault="00B67D7C" w:rsidP="00D45A46">
      <w:pPr>
        <w:jc w:val="both"/>
        <w:rPr>
          <w:bCs/>
          <w:color w:val="002060"/>
          <w:sz w:val="16"/>
          <w:szCs w:val="16"/>
        </w:rPr>
      </w:pPr>
    </w:p>
    <w:p w14:paraId="18F1487B" w14:textId="77777777" w:rsidR="0040655A" w:rsidRPr="00DE096C" w:rsidRDefault="0040655A" w:rsidP="00D45A46">
      <w:pPr>
        <w:jc w:val="both"/>
        <w:rPr>
          <w:bCs/>
          <w:color w:val="002060"/>
          <w:sz w:val="16"/>
          <w:szCs w:val="16"/>
        </w:rPr>
      </w:pPr>
      <w:r w:rsidRPr="00DE096C">
        <w:rPr>
          <w:bCs/>
          <w:color w:val="002060"/>
          <w:sz w:val="16"/>
          <w:szCs w:val="16"/>
        </w:rPr>
        <w:t>В июле 1914 года Военное ведомство, которое в отличие от морского, считало поначалу главным предназначением ИМ ведение разведки, утвердило штат "Команды для аэроплана типа Илья Муромец, состоявшей из 4 офицеров, 1 военного чиновника и 40 нижних чинов. На аппарат предполагалось мощное вооружение: 37 мм пушка Гочкиса, 2 пулемета "Максим", 2 ружья-пулемета "Мадсен" и 2 пистолетов "Маузер"(от установки пушки отказались быстро). Один корабль приравнивался к полевому отряду и придавался штабам армий и фронтов. Командиром 2-го воздушного корабля был назначен штабс-капитан Е.В.Руднев, 15-го поручик А.В.Панкратьев (12284).</w:t>
      </w:r>
    </w:p>
    <w:p w14:paraId="05FC0211" w14:textId="77777777" w:rsidR="0040655A" w:rsidRPr="00DE096C" w:rsidRDefault="0040655A" w:rsidP="00D45A46">
      <w:pPr>
        <w:jc w:val="both"/>
        <w:rPr>
          <w:bCs/>
          <w:color w:val="002060"/>
          <w:sz w:val="16"/>
          <w:szCs w:val="16"/>
        </w:rPr>
      </w:pPr>
    </w:p>
    <w:p w14:paraId="7AEDEBBF" w14:textId="249E2B06" w:rsidR="00B67D7C" w:rsidRPr="00DE096C" w:rsidRDefault="00B67D7C" w:rsidP="00D45A46">
      <w:pPr>
        <w:shd w:val="clear" w:color="auto" w:fill="FFFFFF"/>
        <w:jc w:val="both"/>
        <w:rPr>
          <w:bCs/>
          <w:color w:val="002060"/>
          <w:sz w:val="16"/>
          <w:szCs w:val="16"/>
        </w:rPr>
      </w:pPr>
      <w:r w:rsidRPr="00DE096C">
        <w:rPr>
          <w:bCs/>
          <w:color w:val="002060"/>
          <w:sz w:val="16"/>
          <w:szCs w:val="16"/>
        </w:rPr>
        <w:t>В июле 1914 на поиски полярных исследователей Седова, Брусилова, Русанова, затерявшихся в Арктике, были снаряжены две морские экспедиции с участием летчиков Н.Д.Александрова,И.И.Нагурского и П.В.Евсюкова» Последний, узнав об объявлении войны, вернулся из Мурманска, чтобы добровольно поступить в действующую «армию. Александров и Нагурский, погрузив свои самолеты (поплавковые .</w:t>
      </w:r>
      <w:r w:rsidRPr="00DE096C">
        <w:rPr>
          <w:bCs/>
          <w:color w:val="002060"/>
          <w:sz w:val="16"/>
          <w:szCs w:val="16"/>
          <w:vertAlign w:val="superscript"/>
        </w:rPr>
        <w:t>|!</w:t>
      </w:r>
      <w:r w:rsidRPr="00DE096C">
        <w:rPr>
          <w:bCs/>
          <w:color w:val="002060"/>
          <w:sz w:val="16"/>
          <w:szCs w:val="16"/>
        </w:rPr>
        <w:t>Фарман-16" и "Морис-Фарман") на два парохода отбыли на Новую Землю. При первом пробном полете Александров поломал свой самолет и в поисках полярников не участвовал. Его "Фарман--Щ16" был превращен в аэросани и в таком виде эксплуатировался. Нагурский же продолжал поиски, сделав ряд полетов. Это была первая арктическая экспедиция с участием авиации. ("Воздушные пути Севера". 1933, стр.16, 52).</w:t>
      </w:r>
    </w:p>
    <w:p w14:paraId="1479E51E" w14:textId="77777777" w:rsidR="00B67D7C" w:rsidRPr="00DE096C" w:rsidRDefault="00B67D7C" w:rsidP="00D45A46">
      <w:pPr>
        <w:shd w:val="clear" w:color="auto" w:fill="FFFFFF"/>
        <w:jc w:val="both"/>
        <w:rPr>
          <w:bCs/>
          <w:color w:val="002060"/>
          <w:sz w:val="16"/>
          <w:szCs w:val="16"/>
        </w:rPr>
      </w:pPr>
    </w:p>
    <w:p w14:paraId="58C52024" w14:textId="712DEB87" w:rsidR="00895D15" w:rsidRPr="00DE096C" w:rsidRDefault="00895D15" w:rsidP="00D45A46">
      <w:pPr>
        <w:jc w:val="both"/>
        <w:rPr>
          <w:bCs/>
          <w:color w:val="002060"/>
          <w:sz w:val="16"/>
          <w:szCs w:val="16"/>
        </w:rPr>
      </w:pPr>
      <w:r w:rsidRPr="00DE096C">
        <w:rPr>
          <w:bCs/>
          <w:color w:val="002060"/>
          <w:sz w:val="16"/>
          <w:szCs w:val="16"/>
        </w:rPr>
        <w:t>В июле 1914 г. на поиски полярных исследователей Седова, Брусилова и Русакова, затерявшихся в Арктике, были снаряжены две морских экспедиции с участием летчиков Н.Д. Александрова, И.И. Нагурского и Ц.В.Евсюкова. Последний, узнав об об”явлении войны, вернулся из Мурманска, дабы добровольно поступить в действующую армию. Алек</w:t>
      </w:r>
      <w:r w:rsidRPr="00DE096C">
        <w:rPr>
          <w:bCs/>
          <w:color w:val="002060"/>
          <w:sz w:val="16"/>
          <w:szCs w:val="16"/>
        </w:rPr>
        <w:softHyphen/>
        <w:t>сандров и Нагурский, погрузив свои самолеты /поплавковые Фарман-16 и Морис-Фарман/ на два парохода, отбыли на Новую Землю. При первом пробном полете Александров поломал свой самолет и в поисках полярников не участвовал. Его Фарман-16 был превращен в аэросани и в таком виде эксплуатировался. Нагурский же продолжал поиски, сделав ряд полетов. это была первая арктическая экспедиция с участием авиации.</w:t>
      </w:r>
    </w:p>
    <w:p w14:paraId="1D6EF566" w14:textId="77777777" w:rsidR="00895D15" w:rsidRPr="00DE096C" w:rsidRDefault="00895D15" w:rsidP="00D45A46">
      <w:pPr>
        <w:jc w:val="both"/>
        <w:rPr>
          <w:bCs/>
          <w:color w:val="002060"/>
          <w:sz w:val="16"/>
          <w:szCs w:val="16"/>
        </w:rPr>
      </w:pPr>
      <w:r w:rsidRPr="00DE096C">
        <w:rPr>
          <w:bCs/>
          <w:color w:val="002060"/>
          <w:sz w:val="16"/>
          <w:szCs w:val="16"/>
        </w:rPr>
        <w:t>/”Воздушные пути Севера”, 1933, стр. 16, 52/ (23320).</w:t>
      </w:r>
    </w:p>
    <w:p w14:paraId="44C9083F" w14:textId="77777777" w:rsidR="00895D15" w:rsidRPr="00DE096C" w:rsidRDefault="00895D15" w:rsidP="00D45A46">
      <w:pPr>
        <w:jc w:val="both"/>
        <w:rPr>
          <w:bCs/>
          <w:color w:val="002060"/>
          <w:sz w:val="16"/>
          <w:szCs w:val="16"/>
        </w:rPr>
      </w:pPr>
    </w:p>
    <w:p w14:paraId="23576493" w14:textId="77777777" w:rsidR="00B67D7C" w:rsidRPr="00DE096C" w:rsidRDefault="00B67D7C" w:rsidP="00D45A46">
      <w:pPr>
        <w:shd w:val="clear" w:color="auto" w:fill="FFFFFF"/>
        <w:jc w:val="both"/>
        <w:rPr>
          <w:bCs/>
          <w:i/>
          <w:color w:val="002060"/>
          <w:sz w:val="16"/>
          <w:szCs w:val="16"/>
        </w:rPr>
      </w:pPr>
      <w:r w:rsidRPr="00DE096C">
        <w:rPr>
          <w:bCs/>
          <w:color w:val="002060"/>
          <w:sz w:val="16"/>
          <w:szCs w:val="16"/>
        </w:rPr>
        <w:t xml:space="preserve">В июле 1914 ари Академии Наук образована Ученая воздухоплавательная </w:t>
      </w:r>
      <w:r w:rsidRPr="00DE096C">
        <w:rPr>
          <w:bCs/>
          <w:i/>
          <w:color w:val="002060"/>
          <w:sz w:val="16"/>
          <w:szCs w:val="16"/>
        </w:rPr>
        <w:t>комиссия, которая приступила к разработке широкого плана на</w:t>
      </w:r>
      <w:r w:rsidRPr="00DE096C">
        <w:rPr>
          <w:bCs/>
          <w:i/>
          <w:color w:val="002060"/>
          <w:sz w:val="16"/>
          <w:szCs w:val="16"/>
        </w:rPr>
        <w:softHyphen/>
        <w:t>учных метеорологических исследований с помощью самолетов. Ини</w:t>
      </w:r>
      <w:r w:rsidRPr="00DE096C">
        <w:rPr>
          <w:bCs/>
          <w:i/>
          <w:color w:val="002060"/>
          <w:sz w:val="16"/>
          <w:szCs w:val="16"/>
        </w:rPr>
        <w:softHyphen/>
        <w:t>циатором и организатором этого дела был академик М'.А.Рыкачев.</w:t>
      </w:r>
    </w:p>
    <w:p w14:paraId="6ABA297A" w14:textId="77777777" w:rsidR="00B67D7C" w:rsidRPr="00DE096C" w:rsidRDefault="00B67D7C" w:rsidP="00D45A46">
      <w:pPr>
        <w:shd w:val="clear" w:color="auto" w:fill="FFFFFF"/>
        <w:jc w:val="both"/>
        <w:rPr>
          <w:bCs/>
          <w:i/>
          <w:color w:val="002060"/>
          <w:sz w:val="16"/>
          <w:szCs w:val="16"/>
        </w:rPr>
      </w:pPr>
    </w:p>
    <w:p w14:paraId="29EFFE31" w14:textId="77777777" w:rsidR="00895D15" w:rsidRPr="00DE096C" w:rsidRDefault="00895D15" w:rsidP="00D45A46">
      <w:pPr>
        <w:jc w:val="both"/>
        <w:rPr>
          <w:bCs/>
          <w:color w:val="002060"/>
          <w:sz w:val="16"/>
          <w:szCs w:val="16"/>
        </w:rPr>
      </w:pPr>
      <w:r w:rsidRPr="00DE096C">
        <w:rPr>
          <w:bCs/>
          <w:color w:val="002060"/>
          <w:sz w:val="16"/>
          <w:szCs w:val="16"/>
        </w:rPr>
        <w:t>В июле 1914 г. при Академии наук образована Ученая воздухоплавательная ко</w:t>
      </w:r>
      <w:r w:rsidRPr="00DE096C">
        <w:rPr>
          <w:bCs/>
          <w:color w:val="002060"/>
          <w:sz w:val="16"/>
          <w:szCs w:val="16"/>
        </w:rPr>
        <w:softHyphen/>
        <w:t>миссия, которая приступила к разработке широкого плана научных метеорологических исследований с помощью самолетов .Инициатором и организатором этого дела был академик Ц.А.Рыкачев (23320).</w:t>
      </w:r>
    </w:p>
    <w:p w14:paraId="76F75518" w14:textId="77777777" w:rsidR="00895D15" w:rsidRPr="00DE096C" w:rsidRDefault="00895D15" w:rsidP="00D45A46">
      <w:pPr>
        <w:jc w:val="both"/>
        <w:rPr>
          <w:bCs/>
          <w:color w:val="002060"/>
          <w:sz w:val="16"/>
          <w:szCs w:val="16"/>
        </w:rPr>
      </w:pPr>
    </w:p>
    <w:p w14:paraId="77F87A92" w14:textId="77777777" w:rsidR="00895D15" w:rsidRPr="00DE096C" w:rsidRDefault="00895D15" w:rsidP="00D45A46">
      <w:pPr>
        <w:jc w:val="both"/>
        <w:rPr>
          <w:bCs/>
          <w:color w:val="002060"/>
          <w:sz w:val="16"/>
          <w:szCs w:val="16"/>
        </w:rPr>
      </w:pPr>
      <w:r w:rsidRPr="00DE096C">
        <w:rPr>
          <w:bCs/>
          <w:color w:val="002060"/>
          <w:sz w:val="16"/>
          <w:szCs w:val="16"/>
        </w:rPr>
        <w:lastRenderedPageBreak/>
        <w:t>В июле 1814 г. в связи с мобилизацией армии подлежали изъятию по казенным расценкам у владельцев все имевшиеся в стране самолеты и авиа</w:t>
      </w:r>
      <w:r w:rsidRPr="00DE096C">
        <w:rPr>
          <w:bCs/>
          <w:color w:val="002060"/>
          <w:sz w:val="16"/>
          <w:szCs w:val="16"/>
        </w:rPr>
        <w:softHyphen/>
        <w:t>ционные моторв. Некоторые гражданские летчики, имевшие собствен</w:t>
      </w:r>
      <w:r w:rsidRPr="00DE096C">
        <w:rPr>
          <w:bCs/>
          <w:color w:val="002060"/>
          <w:sz w:val="16"/>
          <w:szCs w:val="16"/>
        </w:rPr>
        <w:softHyphen/>
        <w:t>ные самолеты, добро вольно вступили в армию со своими самолетами (23320).</w:t>
      </w:r>
    </w:p>
    <w:p w14:paraId="12831E90" w14:textId="77777777" w:rsidR="00895D15" w:rsidRPr="00DE096C" w:rsidRDefault="00895D15" w:rsidP="00D45A46">
      <w:pPr>
        <w:jc w:val="both"/>
        <w:rPr>
          <w:bCs/>
          <w:color w:val="002060"/>
          <w:sz w:val="16"/>
          <w:szCs w:val="16"/>
        </w:rPr>
      </w:pPr>
    </w:p>
    <w:p w14:paraId="18A8204D" w14:textId="77777777" w:rsidR="00394E74" w:rsidRPr="00DE096C" w:rsidRDefault="00394E74" w:rsidP="00D45A46">
      <w:pPr>
        <w:jc w:val="both"/>
        <w:rPr>
          <w:bCs/>
          <w:color w:val="002060"/>
          <w:sz w:val="16"/>
          <w:szCs w:val="16"/>
        </w:rPr>
      </w:pPr>
      <w:r w:rsidRPr="00DE096C">
        <w:rPr>
          <w:bCs/>
          <w:color w:val="002060"/>
          <w:sz w:val="16"/>
          <w:szCs w:val="16"/>
          <w:lang w:bidi="ru-RU"/>
        </w:rPr>
        <w:t>В июле 1914 г. утвердили штат коман</w:t>
      </w:r>
      <w:r w:rsidRPr="00DE096C">
        <w:rPr>
          <w:bCs/>
          <w:color w:val="002060"/>
          <w:sz w:val="16"/>
          <w:szCs w:val="16"/>
          <w:lang w:bidi="ru-RU"/>
        </w:rPr>
        <w:softHyphen/>
        <w:t>ды для обслуживания воздушных кораблей типа «ИМ», согласно которому один эк</w:t>
      </w:r>
      <w:r w:rsidRPr="00DE096C">
        <w:rPr>
          <w:bCs/>
          <w:color w:val="002060"/>
          <w:sz w:val="16"/>
          <w:szCs w:val="16"/>
          <w:lang w:bidi="ru-RU"/>
        </w:rPr>
        <w:softHyphen/>
        <w:t>земпляр приравнивался к полевому отря</w:t>
      </w:r>
      <w:r w:rsidRPr="00DE096C">
        <w:rPr>
          <w:bCs/>
          <w:color w:val="002060"/>
          <w:sz w:val="16"/>
          <w:szCs w:val="16"/>
          <w:lang w:bidi="ru-RU"/>
        </w:rPr>
        <w:softHyphen/>
        <w:t>ду, состоящему из 4 офицеров, одного чи</w:t>
      </w:r>
      <w:r w:rsidRPr="00DE096C">
        <w:rPr>
          <w:bCs/>
          <w:color w:val="002060"/>
          <w:sz w:val="16"/>
          <w:szCs w:val="16"/>
          <w:lang w:bidi="ru-RU"/>
        </w:rPr>
        <w:softHyphen/>
        <w:t>новника, 40 нижних чинов и должен был действовать самостоятельно в интересах армий и фронтов. Формирование таких ко</w:t>
      </w:r>
      <w:r w:rsidRPr="00DE096C">
        <w:rPr>
          <w:bCs/>
          <w:color w:val="002060"/>
          <w:sz w:val="16"/>
          <w:szCs w:val="16"/>
          <w:lang w:bidi="ru-RU"/>
        </w:rPr>
        <w:softHyphen/>
        <w:t>манд и отправка первых пяти «ИМ» на фронт не принесли обнадеживающих ре</w:t>
      </w:r>
      <w:r w:rsidRPr="00DE096C">
        <w:rPr>
          <w:bCs/>
          <w:color w:val="002060"/>
          <w:sz w:val="16"/>
          <w:szCs w:val="16"/>
          <w:lang w:bidi="ru-RU"/>
        </w:rPr>
        <w:softHyphen/>
        <w:t>зультатов. Несколько аварий, неопреде</w:t>
      </w:r>
      <w:r w:rsidRPr="00DE096C">
        <w:rPr>
          <w:bCs/>
          <w:color w:val="002060"/>
          <w:sz w:val="16"/>
          <w:szCs w:val="16"/>
          <w:lang w:bidi="ru-RU"/>
        </w:rPr>
        <w:softHyphen/>
        <w:t>ленность боевого использования в первое время, создали мнение о непригодности воздушных кораблей типа «ИМ» к боевому использованию. Все это привело к приос</w:t>
      </w:r>
      <w:r w:rsidRPr="00DE096C">
        <w:rPr>
          <w:bCs/>
          <w:color w:val="002060"/>
          <w:sz w:val="16"/>
          <w:szCs w:val="16"/>
          <w:lang w:bidi="ru-RU"/>
        </w:rPr>
        <w:softHyphen/>
        <w:t>тановке постройки новой серии в количе</w:t>
      </w:r>
      <w:r w:rsidRPr="00DE096C">
        <w:rPr>
          <w:bCs/>
          <w:color w:val="002060"/>
          <w:sz w:val="16"/>
          <w:szCs w:val="16"/>
          <w:lang w:bidi="ru-RU"/>
        </w:rPr>
        <w:softHyphen/>
        <w:t>стве 32 экземпляров (23374).</w:t>
      </w:r>
    </w:p>
    <w:p w14:paraId="04EBF475" w14:textId="77777777" w:rsidR="00394E74" w:rsidRPr="00DE096C" w:rsidRDefault="00394E74" w:rsidP="00D45A46">
      <w:pPr>
        <w:jc w:val="both"/>
        <w:rPr>
          <w:bCs/>
          <w:color w:val="002060"/>
          <w:sz w:val="16"/>
          <w:szCs w:val="16"/>
          <w:lang w:bidi="ru-RU"/>
        </w:rPr>
      </w:pPr>
    </w:p>
    <w:p w14:paraId="02D61181"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Морская авиация:</w:t>
      </w:r>
    </w:p>
    <w:p w14:paraId="696A2FB8" w14:textId="77777777" w:rsidR="00B67D7C" w:rsidRPr="00DE096C" w:rsidRDefault="00B67D7C" w:rsidP="00D45A46">
      <w:pPr>
        <w:shd w:val="clear" w:color="auto" w:fill="FFFFFF"/>
        <w:jc w:val="both"/>
        <w:rPr>
          <w:bCs/>
          <w:i/>
          <w:color w:val="002060"/>
          <w:sz w:val="16"/>
          <w:szCs w:val="16"/>
        </w:rPr>
      </w:pPr>
    </w:p>
    <w:p w14:paraId="308CC850" w14:textId="18177125" w:rsidR="00B67D7C" w:rsidRPr="00DE096C" w:rsidRDefault="00B67D7C" w:rsidP="00D45A46">
      <w:pPr>
        <w:shd w:val="clear" w:color="auto" w:fill="FFFFFF"/>
        <w:jc w:val="both"/>
        <w:rPr>
          <w:bCs/>
          <w:color w:val="002060"/>
          <w:sz w:val="16"/>
          <w:szCs w:val="16"/>
        </w:rPr>
      </w:pPr>
      <w:r w:rsidRPr="00DE096C">
        <w:rPr>
          <w:bCs/>
          <w:color w:val="002060"/>
          <w:sz w:val="16"/>
          <w:szCs w:val="16"/>
        </w:rPr>
        <w:t>В июле 1914 г. было принято «Положение о Службе авиации в Служ</w:t>
      </w:r>
      <w:r w:rsidRPr="00DE096C">
        <w:rPr>
          <w:bCs/>
          <w:color w:val="002060"/>
          <w:sz w:val="16"/>
          <w:szCs w:val="16"/>
        </w:rPr>
        <w:softHyphen/>
        <w:t>бе связи флота». С этого времени морская авиация постепенно обрета</w:t>
      </w:r>
      <w:r w:rsidRPr="00DE096C">
        <w:rPr>
          <w:bCs/>
          <w:color w:val="002060"/>
          <w:sz w:val="16"/>
          <w:szCs w:val="16"/>
        </w:rPr>
        <w:softHyphen/>
        <w:t>ет зримые организационные формы. В 1916 г. было принято «Положение о службе морской авиации в Российс</w:t>
      </w:r>
      <w:r w:rsidRPr="00DE096C">
        <w:rPr>
          <w:bCs/>
          <w:color w:val="002060"/>
          <w:sz w:val="16"/>
          <w:szCs w:val="16"/>
        </w:rPr>
        <w:softHyphen/>
        <w:t>ком флоте», выделившее авиацию из службы связи. Постепенно российские конструк</w:t>
      </w:r>
      <w:r w:rsidRPr="00DE096C">
        <w:rPr>
          <w:bCs/>
          <w:color w:val="002060"/>
          <w:sz w:val="16"/>
          <w:szCs w:val="16"/>
        </w:rPr>
        <w:softHyphen/>
        <w:t>торы начали разрабатывать для нее отечественные самолеты. Во время Первой мировой войны морская авиация оказывала посиль</w:t>
      </w:r>
      <w:r w:rsidRPr="00DE096C">
        <w:rPr>
          <w:bCs/>
          <w:color w:val="002060"/>
          <w:sz w:val="16"/>
          <w:szCs w:val="16"/>
        </w:rPr>
        <w:softHyphen/>
        <w:t>ную помощь флоту: вела разведку, поиск подводных лодок, корректировала огонь корабельной артиллерии, действовала по кораблям противни</w:t>
      </w:r>
      <w:r w:rsidRPr="00DE096C">
        <w:rPr>
          <w:bCs/>
          <w:color w:val="002060"/>
          <w:sz w:val="16"/>
          <w:szCs w:val="16"/>
        </w:rPr>
        <w:softHyphen/>
        <w:t>ка, вела воздушные бои (11854).</w:t>
      </w:r>
    </w:p>
    <w:p w14:paraId="23ED637B" w14:textId="77777777" w:rsidR="00B67D7C" w:rsidRPr="00DE096C" w:rsidRDefault="00B67D7C" w:rsidP="00D45A46">
      <w:pPr>
        <w:shd w:val="clear" w:color="auto" w:fill="FFFFFF"/>
        <w:jc w:val="both"/>
        <w:rPr>
          <w:bCs/>
          <w:color w:val="002060"/>
          <w:sz w:val="16"/>
          <w:szCs w:val="16"/>
        </w:rPr>
      </w:pPr>
    </w:p>
    <w:p w14:paraId="4A3F83E6" w14:textId="2F56F36D" w:rsidR="00B67D7C" w:rsidRPr="00DE096C" w:rsidRDefault="00B67D7C" w:rsidP="00D45A46">
      <w:pPr>
        <w:pStyle w:val="a5"/>
        <w:rPr>
          <w:bCs/>
          <w:color w:val="002060"/>
          <w:sz w:val="16"/>
          <w:szCs w:val="16"/>
          <w:lang w:val="ru-RU"/>
        </w:rPr>
      </w:pPr>
      <w:r w:rsidRPr="00DE096C">
        <w:rPr>
          <w:bCs/>
          <w:color w:val="002060"/>
          <w:sz w:val="16"/>
          <w:szCs w:val="16"/>
          <w:lang w:val="ru-RU"/>
        </w:rPr>
        <w:t xml:space="preserve">В июле 1914 г. </w:t>
      </w:r>
      <w:r w:rsidR="00AA0170" w:rsidRPr="00DE096C">
        <w:rPr>
          <w:bCs/>
          <w:color w:val="002060"/>
          <w:sz w:val="16"/>
          <w:szCs w:val="16"/>
          <w:lang w:val="ru-RU"/>
        </w:rPr>
        <w:t>авиаци</w:t>
      </w:r>
      <w:r w:rsidR="00AA0170" w:rsidRPr="00DE096C">
        <w:rPr>
          <w:bCs/>
          <w:color w:val="002060"/>
          <w:sz w:val="16"/>
          <w:szCs w:val="16"/>
          <w:lang w:val="ru-RU"/>
        </w:rPr>
        <w:softHyphen/>
        <w:t>онный отдел школы Офицерской воз</w:t>
      </w:r>
      <w:r w:rsidR="00AA0170" w:rsidRPr="00DE096C">
        <w:rPr>
          <w:bCs/>
          <w:color w:val="002060"/>
          <w:sz w:val="16"/>
          <w:szCs w:val="16"/>
          <w:lang w:val="ru-RU"/>
        </w:rPr>
        <w:softHyphen/>
        <w:t xml:space="preserve">духоплавательной школы, который постепенно расширялся, был </w:t>
      </w:r>
      <w:r w:rsidRPr="00DE096C">
        <w:rPr>
          <w:bCs/>
          <w:color w:val="002060"/>
          <w:sz w:val="16"/>
          <w:szCs w:val="16"/>
          <w:lang w:val="ru-RU"/>
        </w:rPr>
        <w:t>преобразовали в Гатчинскую воен</w:t>
      </w:r>
      <w:r w:rsidRPr="00DE096C">
        <w:rPr>
          <w:bCs/>
          <w:color w:val="002060"/>
          <w:sz w:val="16"/>
          <w:szCs w:val="16"/>
          <w:lang w:val="ru-RU"/>
        </w:rPr>
        <w:softHyphen/>
        <w:t>ную авиационную школу (11924).</w:t>
      </w:r>
    </w:p>
    <w:p w14:paraId="01B3F13D" w14:textId="77777777" w:rsidR="00B67D7C" w:rsidRPr="00DE096C" w:rsidRDefault="00B67D7C" w:rsidP="00D45A46">
      <w:pPr>
        <w:pStyle w:val="a5"/>
        <w:rPr>
          <w:bCs/>
          <w:color w:val="002060"/>
          <w:sz w:val="16"/>
          <w:szCs w:val="16"/>
          <w:lang w:val="ru-RU"/>
        </w:rPr>
      </w:pPr>
    </w:p>
    <w:p w14:paraId="6F3A6D1A"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Воздухоплавание:</w:t>
      </w:r>
    </w:p>
    <w:p w14:paraId="2F786447" w14:textId="77777777" w:rsidR="00B67D7C" w:rsidRPr="00DE096C" w:rsidRDefault="00B67D7C" w:rsidP="00D45A46">
      <w:pPr>
        <w:shd w:val="clear" w:color="auto" w:fill="FFFFFF"/>
        <w:jc w:val="both"/>
        <w:rPr>
          <w:bCs/>
          <w:i/>
          <w:color w:val="002060"/>
          <w:sz w:val="16"/>
          <w:szCs w:val="16"/>
        </w:rPr>
      </w:pPr>
    </w:p>
    <w:p w14:paraId="38ABBC81" w14:textId="77777777" w:rsidR="00B67D7C" w:rsidRPr="00DE096C" w:rsidRDefault="00B67D7C" w:rsidP="00D45A46">
      <w:pPr>
        <w:jc w:val="both"/>
        <w:rPr>
          <w:bCs/>
          <w:color w:val="002060"/>
          <w:sz w:val="16"/>
          <w:szCs w:val="16"/>
        </w:rPr>
      </w:pPr>
      <w:r w:rsidRPr="00DE096C">
        <w:rPr>
          <w:bCs/>
          <w:color w:val="002060"/>
          <w:sz w:val="16"/>
          <w:szCs w:val="16"/>
        </w:rPr>
        <w:t>В июле 1914 года в составе русской армии было всего 11 воздухоплавательных рот и одно воздухоплавательное отделение. А именно – воздухоплавательные роты: 2-я (Брест-Литовск), 3-я (Лида), 4-я (Бердичев), Сибирская (Владивосток), Ковенская крепостная, Брест-Литовская крепостная, Новогеоргиевская крепостная, Гродненская крепостная, Осовецкая крепостная, Карсская крепостная, Владивостокская крепостная; а также Свеаборгское крепостное воздухоплавательное отделение. Кроме того, имелся учебный батальон Офицерской воздухоплавательной школы, из состава которого, при мобилизации были сформированы 12-я (с. Сализи около Санкт-Петербурга), 13-я (предположительно Варшава) и 14-я (Ивангород) воздухоплавательные роты. 2-я, 3-я, 4-я, 12-я и Сибирская воздухоплавательные роты имели на вооружении в основном управляемые аэростаты (дирижабли), которых имелось 14 единиц (4 больших и 10 малых). Остальные роты оснащались неуправляемыми аэростатами. Совершенно справедливо, что действительно полевыми являлись только две новые роты 13-я и 14-я. (11701).</w:t>
      </w:r>
    </w:p>
    <w:p w14:paraId="2F6B69FF" w14:textId="77777777" w:rsidR="00B67D7C" w:rsidRPr="00DE096C" w:rsidRDefault="00B67D7C" w:rsidP="00D45A46">
      <w:pPr>
        <w:jc w:val="both"/>
        <w:rPr>
          <w:bCs/>
          <w:color w:val="002060"/>
          <w:sz w:val="16"/>
          <w:szCs w:val="16"/>
        </w:rPr>
      </w:pPr>
    </w:p>
    <w:p w14:paraId="16999DFB" w14:textId="77777777" w:rsidR="00394E74" w:rsidRPr="00DE096C" w:rsidRDefault="00394E74" w:rsidP="00D45A46">
      <w:pPr>
        <w:jc w:val="both"/>
        <w:rPr>
          <w:bCs/>
          <w:color w:val="002060"/>
          <w:sz w:val="16"/>
          <w:szCs w:val="16"/>
        </w:rPr>
      </w:pPr>
      <w:r w:rsidRPr="00DE096C">
        <w:rPr>
          <w:bCs/>
          <w:color w:val="002060"/>
          <w:sz w:val="16"/>
          <w:szCs w:val="16"/>
          <w:lang w:bidi="en-US"/>
        </w:rPr>
        <w:t>В июле 1914 г. было семь крепостных воздухоплавательных рот в Ковно, Гродно, Осовце, Новогеоргиевске, Брест-Литовске, Карсе и Владивостоке. Кроме того, имелась авиационная часть Свеаборгской крепости и две роты №№ 13 и 14 в составе батальона школы воздухоплавательных офицеров. У каждой крепостной роты было три станции, а у других рот только по одной станции. Всего было двадцать четыре станции.</w:t>
      </w:r>
    </w:p>
    <w:p w14:paraId="1E4E6EA4" w14:textId="77777777" w:rsidR="00394E74" w:rsidRPr="00DE096C" w:rsidRDefault="00394E74" w:rsidP="00D45A46">
      <w:pPr>
        <w:jc w:val="both"/>
        <w:rPr>
          <w:bCs/>
          <w:color w:val="002060"/>
          <w:sz w:val="16"/>
          <w:szCs w:val="16"/>
        </w:rPr>
      </w:pPr>
      <w:r w:rsidRPr="00DE096C">
        <w:rPr>
          <w:bCs/>
          <w:color w:val="002060"/>
          <w:sz w:val="16"/>
          <w:szCs w:val="16"/>
          <w:lang w:bidi="en-US"/>
        </w:rPr>
        <w:t>Тогда было решено сформировать двенадцать полевых рот, каждая с одной оперативной и одной резервной станцией. В каждой армии должна была быть одна полевая рота. Для создания этих рот должны были быть выделены шесть станций из состава Ковенской, Гродненской и Карсской рот (по две от каждой роты) и шесть станций из состава Брест-Литовской и Владивостокской рот (по три от каждой роты).</w:t>
      </w:r>
    </w:p>
    <w:p w14:paraId="41F755DB" w14:textId="77777777" w:rsidR="00394E74" w:rsidRPr="00DE096C" w:rsidRDefault="00394E74" w:rsidP="00D45A46">
      <w:pPr>
        <w:jc w:val="both"/>
        <w:rPr>
          <w:bCs/>
          <w:color w:val="002060"/>
          <w:sz w:val="16"/>
          <w:szCs w:val="16"/>
        </w:rPr>
      </w:pPr>
      <w:r w:rsidRPr="00DE096C">
        <w:rPr>
          <w:bCs/>
          <w:color w:val="002060"/>
          <w:sz w:val="16"/>
          <w:szCs w:val="16"/>
          <w:lang w:bidi="en-US"/>
        </w:rPr>
        <w:t>Три роты Брест-Литовской роты должны были стать 1-й, 5-й и 6-й полевыми воздухоплавательными ротами. Трое из Владивостокской роты (расквартированной в Брест-Литовске) должны были стать 7-й, 8-й и 9-й полевыми воздухоплавательными ротами.</w:t>
      </w:r>
    </w:p>
    <w:p w14:paraId="48A588F3" w14:textId="77777777" w:rsidR="00394E74" w:rsidRPr="00DE096C" w:rsidRDefault="00394E74" w:rsidP="00D45A46">
      <w:pPr>
        <w:jc w:val="both"/>
        <w:rPr>
          <w:bCs/>
          <w:color w:val="002060"/>
          <w:sz w:val="16"/>
          <w:szCs w:val="16"/>
        </w:rPr>
      </w:pPr>
      <w:r w:rsidRPr="00DE096C">
        <w:rPr>
          <w:bCs/>
          <w:color w:val="002060"/>
          <w:sz w:val="16"/>
          <w:szCs w:val="16"/>
          <w:lang w:bidi="en-US"/>
        </w:rPr>
        <w:t>На базе роты в Ковно были сформированы 10-я и 11-я полевые воздухоплавательные роты; 15-го и 16-го в Гродно; 17-го и 18-го в Карсе. 9 июня 1914 г. действовали 2-я, 3-я, 4-я, 12-я, 13-я и 14-я полевые воздухоплавательные роты. 14-я рота находилась в Ивангороде.</w:t>
      </w:r>
    </w:p>
    <w:p w14:paraId="1183BCAE" w14:textId="77777777" w:rsidR="00394E74" w:rsidRPr="00DE096C" w:rsidRDefault="00394E74" w:rsidP="00D45A46">
      <w:pPr>
        <w:jc w:val="both"/>
        <w:rPr>
          <w:bCs/>
          <w:color w:val="002060"/>
          <w:sz w:val="16"/>
          <w:szCs w:val="16"/>
        </w:rPr>
      </w:pPr>
      <w:r w:rsidRPr="00DE096C">
        <w:rPr>
          <w:bCs/>
          <w:color w:val="002060"/>
          <w:sz w:val="16"/>
          <w:szCs w:val="16"/>
          <w:lang w:bidi="en-US"/>
        </w:rPr>
        <w:t>В Гродно было три станции, на каждой по два аэростата; одна в Ивангороде стала 16-й полевой ротой; одна станция с одним аэростатом, обслуживающая 11-ю армию, стала 15-й полевой ротой, а станция в Гродно осталась там.</w:t>
      </w:r>
    </w:p>
    <w:p w14:paraId="05EA0FFE" w14:textId="77777777" w:rsidR="00394E74" w:rsidRPr="00DE096C" w:rsidRDefault="00394E74" w:rsidP="00D45A46">
      <w:pPr>
        <w:pStyle w:val="af7"/>
        <w:spacing w:line="240" w:lineRule="auto"/>
        <w:jc w:val="both"/>
        <w:rPr>
          <w:rFonts w:ascii="Times New Roman" w:hAnsi="Times New Roman" w:cs="Times New Roman"/>
          <w:bCs/>
          <w:color w:val="002060"/>
          <w:sz w:val="16"/>
          <w:szCs w:val="16"/>
          <w:lang w:bidi="en-US"/>
        </w:rPr>
      </w:pPr>
      <w:r w:rsidRPr="00DE096C">
        <w:rPr>
          <w:rFonts w:ascii="Times New Roman" w:hAnsi="Times New Roman" w:cs="Times New Roman"/>
          <w:bCs/>
          <w:color w:val="002060"/>
          <w:sz w:val="16"/>
          <w:szCs w:val="16"/>
          <w:lang w:bidi="en-US"/>
        </w:rPr>
        <w:t>В Ковно тоже было три станции; один служил в 1-й армии и не был переформирован; одна становилась 11-й полевой ротой; а одна, обслуживающая 5-й Сибирский армейский корпус (с одним аэростатом), должна была стать 10-й полевой ротой. Три станции в Осовце остались там. В Новогеоргиевске было три станции. Лишь в сентябре 1915 года будут сформированы дополнительные полевые авиационные роты. Воздушным отделом в настоящее время командовал Полковник Н.А. Семковский (23525).</w:t>
      </w:r>
    </w:p>
    <w:p w14:paraId="7F744043" w14:textId="77777777" w:rsidR="00394E74" w:rsidRPr="00DE096C" w:rsidRDefault="00394E74" w:rsidP="00D45A46">
      <w:pPr>
        <w:pStyle w:val="af7"/>
        <w:spacing w:line="240" w:lineRule="auto"/>
        <w:jc w:val="both"/>
        <w:rPr>
          <w:rFonts w:ascii="Times New Roman" w:hAnsi="Times New Roman" w:cs="Times New Roman"/>
          <w:bCs/>
          <w:color w:val="002060"/>
          <w:sz w:val="16"/>
          <w:szCs w:val="16"/>
          <w:lang w:bidi="en-US"/>
        </w:rPr>
      </w:pPr>
    </w:p>
    <w:p w14:paraId="5C0C5011" w14:textId="1D2488E2" w:rsidR="002578C3" w:rsidRPr="00DE096C" w:rsidRDefault="002578C3" w:rsidP="002578C3">
      <w:pPr>
        <w:shd w:val="clear" w:color="auto" w:fill="FFFFFF"/>
        <w:jc w:val="both"/>
        <w:rPr>
          <w:bCs/>
          <w:i/>
          <w:color w:val="002060"/>
          <w:sz w:val="16"/>
          <w:szCs w:val="16"/>
        </w:rPr>
      </w:pPr>
      <w:r>
        <w:rPr>
          <w:bCs/>
          <w:i/>
          <w:color w:val="002060"/>
          <w:sz w:val="16"/>
          <w:szCs w:val="16"/>
        </w:rPr>
        <w:t>Авиац</w:t>
      </w:r>
      <w:r w:rsidR="00B041BF">
        <w:rPr>
          <w:bCs/>
          <w:i/>
          <w:color w:val="002060"/>
          <w:sz w:val="16"/>
          <w:szCs w:val="16"/>
        </w:rPr>
        <w:t>ия и воздухоплавание Франции</w:t>
      </w:r>
      <w:r w:rsidRPr="00DE096C">
        <w:rPr>
          <w:bCs/>
          <w:i/>
          <w:color w:val="002060"/>
          <w:sz w:val="16"/>
          <w:szCs w:val="16"/>
        </w:rPr>
        <w:t>:</w:t>
      </w:r>
    </w:p>
    <w:p w14:paraId="5F688333" w14:textId="77777777" w:rsidR="002578C3" w:rsidRPr="00DE096C" w:rsidRDefault="002578C3" w:rsidP="002578C3">
      <w:pPr>
        <w:shd w:val="clear" w:color="auto" w:fill="FFFFFF"/>
        <w:jc w:val="both"/>
        <w:rPr>
          <w:bCs/>
          <w:i/>
          <w:color w:val="002060"/>
          <w:sz w:val="16"/>
          <w:szCs w:val="16"/>
        </w:rPr>
      </w:pPr>
    </w:p>
    <w:p w14:paraId="324864AC" w14:textId="77777777" w:rsidR="002578C3" w:rsidRPr="00B52707" w:rsidRDefault="002578C3" w:rsidP="002578C3">
      <w:pPr>
        <w:jc w:val="both"/>
        <w:rPr>
          <w:color w:val="0070C0"/>
          <w:sz w:val="16"/>
          <w:szCs w:val="16"/>
        </w:rPr>
      </w:pPr>
      <w:r w:rsidRPr="00B52707">
        <w:rPr>
          <w:rStyle w:val="ab"/>
          <w:rFonts w:ascii="Times New Roman" w:hAnsi="Times New Roman"/>
          <w:color w:val="0070C0"/>
          <w:spacing w:val="0"/>
          <w:sz w:val="16"/>
          <w:szCs w:val="16"/>
        </w:rPr>
        <w:t xml:space="preserve">В июле 1914 г. был создан самолет «Моран - Солнье» тип </w:t>
      </w:r>
      <w:r w:rsidRPr="00B52707">
        <w:rPr>
          <w:rStyle w:val="ab"/>
          <w:rFonts w:ascii="Times New Roman" w:hAnsi="Times New Roman"/>
          <w:color w:val="0070C0"/>
          <w:spacing w:val="0"/>
          <w:sz w:val="16"/>
          <w:szCs w:val="16"/>
          <w:lang w:val="en-US"/>
        </w:rPr>
        <w:t>N</w:t>
      </w:r>
      <w:r w:rsidRPr="00B52707">
        <w:rPr>
          <w:rStyle w:val="ab"/>
          <w:rFonts w:ascii="Times New Roman" w:hAnsi="Times New Roman"/>
          <w:color w:val="0070C0"/>
          <w:spacing w:val="0"/>
          <w:sz w:val="16"/>
          <w:szCs w:val="16"/>
        </w:rPr>
        <w:t>. На самолете появился киль с рулем поворо</w:t>
      </w:r>
      <w:r w:rsidRPr="00B52707">
        <w:rPr>
          <w:rStyle w:val="ab"/>
          <w:rFonts w:ascii="Times New Roman" w:hAnsi="Times New Roman"/>
          <w:color w:val="0070C0"/>
          <w:spacing w:val="0"/>
          <w:sz w:val="16"/>
          <w:szCs w:val="16"/>
        </w:rPr>
        <w:softHyphen/>
        <w:t>та, а впереди большой кок. Через год создается новый вари</w:t>
      </w:r>
      <w:r w:rsidRPr="00B52707">
        <w:rPr>
          <w:rStyle w:val="ab"/>
          <w:rFonts w:ascii="Times New Roman" w:hAnsi="Times New Roman"/>
          <w:color w:val="0070C0"/>
          <w:spacing w:val="0"/>
          <w:sz w:val="16"/>
          <w:szCs w:val="16"/>
        </w:rPr>
        <w:softHyphen/>
        <w:t xml:space="preserve">ант «Моран» тип </w:t>
      </w:r>
      <w:r w:rsidRPr="00B52707">
        <w:rPr>
          <w:rStyle w:val="ab"/>
          <w:rFonts w:ascii="Times New Roman" w:hAnsi="Times New Roman"/>
          <w:color w:val="0070C0"/>
          <w:spacing w:val="0"/>
          <w:sz w:val="16"/>
          <w:szCs w:val="16"/>
          <w:lang w:val="en-US"/>
        </w:rPr>
        <w:t>LA</w:t>
      </w:r>
      <w:r w:rsidRPr="00B52707">
        <w:rPr>
          <w:rStyle w:val="ab"/>
          <w:rFonts w:ascii="Times New Roman" w:hAnsi="Times New Roman"/>
          <w:color w:val="0070C0"/>
          <w:spacing w:val="0"/>
          <w:sz w:val="16"/>
          <w:szCs w:val="16"/>
        </w:rPr>
        <w:t>, к которому затем сделали фюзеляж типа «монокок», и самолет получил обозначение типа Р. Этот тип стал самым массовым из «Моранов» (построено более 600 эк</w:t>
      </w:r>
      <w:r w:rsidRPr="00B52707">
        <w:rPr>
          <w:rStyle w:val="ab"/>
          <w:rFonts w:ascii="Times New Roman" w:hAnsi="Times New Roman"/>
          <w:color w:val="0070C0"/>
          <w:spacing w:val="0"/>
          <w:sz w:val="16"/>
          <w:szCs w:val="16"/>
        </w:rPr>
        <w:softHyphen/>
        <w:t>земпляров) (25675).</w:t>
      </w:r>
    </w:p>
    <w:p w14:paraId="1E4AD7A1" w14:textId="77777777" w:rsidR="002578C3" w:rsidRPr="00B52707" w:rsidRDefault="002578C3" w:rsidP="002578C3">
      <w:pPr>
        <w:jc w:val="both"/>
        <w:rPr>
          <w:color w:val="0070C0"/>
          <w:sz w:val="16"/>
          <w:szCs w:val="16"/>
        </w:rPr>
      </w:pPr>
    </w:p>
    <w:p w14:paraId="383EF75B" w14:textId="77777777" w:rsidR="002578C3" w:rsidRPr="00B52707" w:rsidRDefault="002578C3" w:rsidP="002578C3">
      <w:pPr>
        <w:jc w:val="both"/>
        <w:rPr>
          <w:color w:val="0070C0"/>
          <w:sz w:val="16"/>
          <w:szCs w:val="16"/>
        </w:rPr>
      </w:pPr>
      <w:r w:rsidRPr="00B52707">
        <w:rPr>
          <w:color w:val="0070C0"/>
          <w:sz w:val="16"/>
          <w:szCs w:val="16"/>
        </w:rPr>
        <w:t>На июль 1914 г. в Военном флоте Франции числились один гидроавиатранспорт «Ля Фадр» и семнадцать гидропланов – семь Ньюпор IV, шесть Вуазен «Канар» II и по два Кодрон G.III и Бреге IV. Морское министерство страны проигнорировало Моран-Солнье Тип G «Гидро», хотя он превосходил всех остальных по летным данным, которые приближались к показателям лучших образцов того времени с намного более мощными, но дорогими, неэкономичными по расходу топлива и ненадежными двигателями, показав себя и практичным, и способным к дальним полетам над морем (25615).</w:t>
      </w:r>
    </w:p>
    <w:p w14:paraId="62A43CEB" w14:textId="77777777" w:rsidR="002578C3" w:rsidRPr="00B52707" w:rsidRDefault="002578C3" w:rsidP="002578C3">
      <w:pPr>
        <w:jc w:val="both"/>
        <w:rPr>
          <w:color w:val="0070C0"/>
          <w:sz w:val="16"/>
          <w:szCs w:val="16"/>
        </w:rPr>
      </w:pPr>
    </w:p>
    <w:p w14:paraId="3E1996AE" w14:textId="77777777" w:rsidR="00D80453" w:rsidRPr="00CF03EC" w:rsidRDefault="00D80453" w:rsidP="00D80453">
      <w:pPr>
        <w:jc w:val="both"/>
        <w:rPr>
          <w:color w:val="0070C0"/>
          <w:sz w:val="16"/>
          <w:szCs w:val="16"/>
        </w:rPr>
      </w:pPr>
      <w:r w:rsidRPr="00CF03EC">
        <w:rPr>
          <w:color w:val="0070C0"/>
          <w:sz w:val="16"/>
          <w:szCs w:val="16"/>
        </w:rPr>
        <w:t>В июле 1914 г. в последний мирный месяц 1914 г. на фирме «Моран-Солнье» начали строить спортивные самолеты Тип N «Монокок», которые получили обозначение MoS.5. Они отличались только улучшенной системой управления с меньшими нагрузками на рычаги и лучшей надежностью, поскольку повышенную удельную нагрузку на крыло и малые размеры, из-за которых получились слишком короткими плечи рулевых поверхностей, конструкторы залогом скорости – главного достоинства своего самолета, который задумывался как гоночный.</w:t>
      </w:r>
    </w:p>
    <w:p w14:paraId="76B66ECB" w14:textId="77777777" w:rsidR="00D80453" w:rsidRPr="00CF03EC" w:rsidRDefault="00D80453" w:rsidP="00D80453">
      <w:pPr>
        <w:jc w:val="both"/>
        <w:rPr>
          <w:color w:val="0070C0"/>
          <w:sz w:val="16"/>
          <w:szCs w:val="16"/>
        </w:rPr>
      </w:pPr>
      <w:r w:rsidRPr="00CF03EC">
        <w:rPr>
          <w:color w:val="0070C0"/>
          <w:sz w:val="16"/>
          <w:szCs w:val="16"/>
        </w:rPr>
        <w:t>С августа 1914 года в этом качестве M.S.5 стал никому не нужен. С началом войны все готовые аэропланы Моран N, реквизировали, но более трех месяцев они просто стояли на хранении на заводе. Им лишь присвоили новое обозначение Тип Nm, что означало "militaire" (военный), чтобы собственность армии не потерялась в документах фирмы и не дай бог не ушла «налево».</w:t>
      </w:r>
    </w:p>
    <w:p w14:paraId="4FC55CED" w14:textId="77777777" w:rsidR="00D80453" w:rsidRPr="00CF03EC" w:rsidRDefault="00D80453" w:rsidP="00D80453">
      <w:pPr>
        <w:jc w:val="both"/>
        <w:rPr>
          <w:color w:val="0070C0"/>
          <w:sz w:val="16"/>
          <w:szCs w:val="16"/>
        </w:rPr>
      </w:pPr>
      <w:r w:rsidRPr="00CF03EC">
        <w:rPr>
          <w:color w:val="0070C0"/>
          <w:sz w:val="16"/>
          <w:szCs w:val="16"/>
        </w:rPr>
        <w:t>Один из этих аэропланов Раймонд Солнье и использовал для опытов с синхронной установкой пулемета, но пока механизм не работал (25772).</w:t>
      </w:r>
    </w:p>
    <w:p w14:paraId="618AE19D" w14:textId="77777777" w:rsidR="00D80453" w:rsidRPr="00CF03EC" w:rsidRDefault="00D80453" w:rsidP="00D80453">
      <w:pPr>
        <w:jc w:val="both"/>
        <w:rPr>
          <w:color w:val="0070C0"/>
          <w:sz w:val="16"/>
          <w:szCs w:val="16"/>
        </w:rPr>
      </w:pPr>
    </w:p>
    <w:p w14:paraId="4C9731EF" w14:textId="70A5E476" w:rsidR="00394E74" w:rsidRPr="00DE096C" w:rsidRDefault="00394E74" w:rsidP="00D45A46">
      <w:pPr>
        <w:shd w:val="clear" w:color="auto" w:fill="FFFFFF"/>
        <w:jc w:val="both"/>
        <w:rPr>
          <w:bCs/>
          <w:i/>
          <w:color w:val="002060"/>
          <w:sz w:val="16"/>
          <w:szCs w:val="16"/>
        </w:rPr>
      </w:pPr>
      <w:r w:rsidRPr="00DE096C">
        <w:rPr>
          <w:bCs/>
          <w:i/>
          <w:color w:val="002060"/>
          <w:sz w:val="16"/>
          <w:szCs w:val="16"/>
        </w:rPr>
        <w:t>Другие оборонные отрасли:</w:t>
      </w:r>
    </w:p>
    <w:p w14:paraId="04DE92D9" w14:textId="77777777" w:rsidR="00394E74" w:rsidRPr="00DE096C" w:rsidRDefault="00394E74" w:rsidP="00D45A46">
      <w:pPr>
        <w:shd w:val="clear" w:color="auto" w:fill="FFFFFF"/>
        <w:jc w:val="both"/>
        <w:rPr>
          <w:bCs/>
          <w:i/>
          <w:color w:val="002060"/>
          <w:sz w:val="16"/>
          <w:szCs w:val="16"/>
        </w:rPr>
      </w:pPr>
    </w:p>
    <w:p w14:paraId="494DC905" w14:textId="77777777" w:rsidR="00394E74" w:rsidRPr="00DE096C" w:rsidRDefault="00394E74" w:rsidP="00D45A46">
      <w:pPr>
        <w:jc w:val="both"/>
        <w:rPr>
          <w:bCs/>
          <w:color w:val="002060"/>
          <w:sz w:val="16"/>
          <w:szCs w:val="16"/>
        </w:rPr>
      </w:pPr>
      <w:r w:rsidRPr="00DE096C">
        <w:rPr>
          <w:bCs/>
          <w:color w:val="002060"/>
          <w:sz w:val="16"/>
          <w:szCs w:val="16"/>
        </w:rPr>
        <w:t>С июля 1914 по январь 1917 г. число ра</w:t>
      </w:r>
      <w:r w:rsidRPr="00DE096C">
        <w:rPr>
          <w:bCs/>
          <w:color w:val="002060"/>
          <w:sz w:val="16"/>
          <w:szCs w:val="16"/>
        </w:rPr>
        <w:softHyphen/>
        <w:t>бочих на Петроградском трубочном заводе ГАУ заводе увеличилось с 6840 до 18 500 (РГВИА. Ф. 29. Оп. 3. Д. 1004. Л. 187; РГИА. Ф. 1276. Оп. 12. Д. 598. Л. 12—13; Генерал В.С. Михайлов. С. 160).</w:t>
      </w:r>
    </w:p>
    <w:p w14:paraId="48259BBC" w14:textId="77777777" w:rsidR="00394E74" w:rsidRPr="00DE096C" w:rsidRDefault="00394E74" w:rsidP="00D45A46">
      <w:pPr>
        <w:jc w:val="both"/>
        <w:rPr>
          <w:bCs/>
          <w:color w:val="002060"/>
          <w:sz w:val="16"/>
          <w:szCs w:val="16"/>
        </w:rPr>
      </w:pPr>
      <w:r w:rsidRPr="00DE096C">
        <w:rPr>
          <w:bCs/>
          <w:color w:val="002060"/>
          <w:sz w:val="16"/>
          <w:szCs w:val="16"/>
        </w:rPr>
        <w:t>Продолжая расширяться, Трубочный завод ГАУ присо</w:t>
      </w:r>
      <w:r w:rsidRPr="00DE096C">
        <w:rPr>
          <w:bCs/>
          <w:color w:val="002060"/>
          <w:sz w:val="16"/>
          <w:szCs w:val="16"/>
        </w:rPr>
        <w:softHyphen/>
        <w:t>единил к себе прилегающий к его территории участок, ото</w:t>
      </w:r>
      <w:r w:rsidRPr="00DE096C">
        <w:rPr>
          <w:bCs/>
          <w:color w:val="002060"/>
          <w:sz w:val="16"/>
          <w:szCs w:val="16"/>
        </w:rPr>
        <w:softHyphen/>
        <w:t>бранный у германского подданного, и еще один смежный с заводом участок, а затем, несмотря на «высочайше» при</w:t>
      </w:r>
      <w:r w:rsidRPr="00DE096C">
        <w:rPr>
          <w:bCs/>
          <w:color w:val="002060"/>
          <w:sz w:val="16"/>
          <w:szCs w:val="16"/>
        </w:rPr>
        <w:softHyphen/>
        <w:t>знанную нежелательность расширения военных произ</w:t>
      </w:r>
      <w:r w:rsidRPr="00DE096C">
        <w:rPr>
          <w:bCs/>
          <w:color w:val="002060"/>
          <w:sz w:val="16"/>
          <w:szCs w:val="16"/>
        </w:rPr>
        <w:softHyphen/>
        <w:t>водств в столице, в декабре 1916 г. приобрел еще участок земли, принадлежавший Академии художеств, уплатив за него 1,5 млн руб.</w:t>
      </w:r>
    </w:p>
    <w:p w14:paraId="65D449BF" w14:textId="77777777" w:rsidR="00394E74" w:rsidRPr="00DE096C" w:rsidRDefault="00394E74" w:rsidP="00D45A46">
      <w:pPr>
        <w:jc w:val="both"/>
        <w:rPr>
          <w:bCs/>
          <w:color w:val="002060"/>
          <w:sz w:val="16"/>
          <w:szCs w:val="16"/>
        </w:rPr>
      </w:pPr>
      <w:r w:rsidRPr="00DE096C">
        <w:rPr>
          <w:bCs/>
          <w:color w:val="002060"/>
          <w:sz w:val="16"/>
          <w:szCs w:val="16"/>
        </w:rPr>
        <w:t>«Заминки» в работе Самарского завода в 1914 г. Волосатов объяснял объективной ее сложностью; часть нарядов (на 400 тысяч трубок) была передана Петроградскому (23452).</w:t>
      </w:r>
    </w:p>
    <w:p w14:paraId="1C1E050C" w14:textId="77777777" w:rsidR="00394E74" w:rsidRPr="00DE096C" w:rsidRDefault="00394E74" w:rsidP="00D45A46">
      <w:pPr>
        <w:jc w:val="both"/>
        <w:rPr>
          <w:bCs/>
          <w:color w:val="002060"/>
          <w:sz w:val="16"/>
          <w:szCs w:val="16"/>
        </w:rPr>
      </w:pPr>
    </w:p>
    <w:p w14:paraId="76DA5ABD" w14:textId="19A9E0EA" w:rsidR="00B041BF" w:rsidRPr="00DE096C" w:rsidRDefault="00B041BF" w:rsidP="00B041BF">
      <w:pPr>
        <w:shd w:val="clear" w:color="auto" w:fill="FFFFFF"/>
        <w:jc w:val="both"/>
        <w:rPr>
          <w:bCs/>
          <w:i/>
          <w:color w:val="002060"/>
          <w:sz w:val="16"/>
          <w:szCs w:val="16"/>
        </w:rPr>
      </w:pPr>
      <w:r>
        <w:rPr>
          <w:bCs/>
          <w:i/>
          <w:color w:val="002060"/>
          <w:sz w:val="16"/>
          <w:szCs w:val="16"/>
        </w:rPr>
        <w:t>Авиация</w:t>
      </w:r>
      <w:r w:rsidRPr="00DE096C">
        <w:rPr>
          <w:bCs/>
          <w:i/>
          <w:color w:val="002060"/>
          <w:sz w:val="16"/>
          <w:szCs w:val="16"/>
        </w:rPr>
        <w:t>:</w:t>
      </w:r>
    </w:p>
    <w:p w14:paraId="31D7F5F4" w14:textId="77777777" w:rsidR="00B041BF" w:rsidRPr="00DE096C" w:rsidRDefault="00B041BF" w:rsidP="00B041BF">
      <w:pPr>
        <w:shd w:val="clear" w:color="auto" w:fill="FFFFFF"/>
        <w:jc w:val="both"/>
        <w:rPr>
          <w:bCs/>
          <w:i/>
          <w:color w:val="002060"/>
          <w:sz w:val="16"/>
          <w:szCs w:val="16"/>
        </w:rPr>
      </w:pPr>
    </w:p>
    <w:p w14:paraId="485BA6D5" w14:textId="77777777" w:rsidR="00B041BF" w:rsidRPr="00B52707" w:rsidRDefault="00B041BF" w:rsidP="00B041BF">
      <w:pPr>
        <w:jc w:val="both"/>
        <w:rPr>
          <w:color w:val="0070C0"/>
          <w:sz w:val="16"/>
          <w:szCs w:val="16"/>
        </w:rPr>
      </w:pPr>
      <w:r w:rsidRPr="00B52707">
        <w:rPr>
          <w:color w:val="0070C0"/>
          <w:sz w:val="16"/>
          <w:szCs w:val="16"/>
        </w:rPr>
        <w:t>На июль-август 1914 г. Императорский Воздушный Флот России имел 41 строевой авиационный отряд, из которых самолеты «Моран-Ж» только четыре. Всего в ИВФ числилось 220 самолетов, в т.ч. 26 «Моран-Ж» («Морже»). Все они были направлены в действующую армию (25704).</w:t>
      </w:r>
    </w:p>
    <w:p w14:paraId="7F1C2306" w14:textId="77777777" w:rsidR="00B041BF" w:rsidRPr="00B52707" w:rsidRDefault="00B041BF" w:rsidP="00B041BF">
      <w:pPr>
        <w:jc w:val="both"/>
        <w:rPr>
          <w:color w:val="0070C0"/>
          <w:sz w:val="16"/>
          <w:szCs w:val="16"/>
        </w:rPr>
      </w:pPr>
    </w:p>
    <w:p w14:paraId="46CE19E7" w14:textId="5F637078" w:rsidR="00B67D7C" w:rsidRPr="00DE096C" w:rsidRDefault="00B67D7C" w:rsidP="00D45A46">
      <w:pPr>
        <w:shd w:val="clear" w:color="auto" w:fill="FFFFFF"/>
        <w:jc w:val="both"/>
        <w:rPr>
          <w:bCs/>
          <w:i/>
          <w:color w:val="002060"/>
          <w:sz w:val="16"/>
          <w:szCs w:val="16"/>
        </w:rPr>
      </w:pPr>
      <w:r w:rsidRPr="00DE096C">
        <w:rPr>
          <w:bCs/>
          <w:i/>
          <w:color w:val="002060"/>
          <w:sz w:val="16"/>
          <w:szCs w:val="16"/>
        </w:rPr>
        <w:t>Жизнь и внутреняя политика:</w:t>
      </w:r>
    </w:p>
    <w:p w14:paraId="6BC48A95" w14:textId="77777777" w:rsidR="00B67D7C" w:rsidRPr="00DE096C" w:rsidRDefault="00B67D7C" w:rsidP="00D45A46">
      <w:pPr>
        <w:shd w:val="clear" w:color="auto" w:fill="FFFFFF"/>
        <w:jc w:val="both"/>
        <w:rPr>
          <w:bCs/>
          <w:i/>
          <w:color w:val="002060"/>
          <w:sz w:val="16"/>
          <w:szCs w:val="16"/>
        </w:rPr>
      </w:pPr>
    </w:p>
    <w:p w14:paraId="6E0563E5" w14:textId="2AA73293" w:rsidR="00B67D7C" w:rsidRPr="00DE096C" w:rsidRDefault="00AA0170"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В</w:t>
      </w:r>
      <w:r w:rsidR="00B67D7C" w:rsidRPr="00DE096C">
        <w:rPr>
          <w:bCs/>
          <w:i w:val="0"/>
          <w:color w:val="002060"/>
          <w:spacing w:val="0"/>
          <w:kern w:val="0"/>
          <w:position w:val="0"/>
          <w:sz w:val="16"/>
          <w:szCs w:val="16"/>
        </w:rPr>
        <w:t xml:space="preserve"> период июля 1914 — июня 1915 г. </w:t>
      </w:r>
      <w:r w:rsidRPr="00DE096C">
        <w:rPr>
          <w:bCs/>
          <w:i w:val="0"/>
          <w:color w:val="002060"/>
          <w:spacing w:val="0"/>
          <w:kern w:val="0"/>
          <w:position w:val="0"/>
          <w:sz w:val="16"/>
          <w:szCs w:val="16"/>
        </w:rPr>
        <w:t xml:space="preserve">были созданы общественные организации, представленные Всероссийским Земским союзом, Всероссийским союзом городов и Центральным военно-промышленным комитетом. </w:t>
      </w:r>
      <w:r w:rsidR="00B67D7C" w:rsidRPr="00DE096C">
        <w:rPr>
          <w:bCs/>
          <w:i w:val="0"/>
          <w:color w:val="002060"/>
          <w:spacing w:val="0"/>
          <w:kern w:val="0"/>
          <w:position w:val="0"/>
          <w:sz w:val="16"/>
          <w:szCs w:val="16"/>
        </w:rPr>
        <w:t xml:space="preserve">Так, Всероссийский земский союз был создан почти по телеграфу. Московская губернская земская управа </w:t>
      </w:r>
      <w:r w:rsidR="00B67D7C" w:rsidRPr="00DE096C">
        <w:rPr>
          <w:bCs/>
          <w:i w:val="0"/>
          <w:color w:val="002060"/>
          <w:spacing w:val="0"/>
          <w:kern w:val="0"/>
          <w:position w:val="0"/>
          <w:sz w:val="16"/>
          <w:szCs w:val="16"/>
        </w:rPr>
        <w:lastRenderedPageBreak/>
        <w:t>предложила экстренному собранию, созванному 25 июля 1914 г., создать общеземскую организацию помощи раненым и просила ассигновать 500 000 рублей; с этой целью телеграммою же уведомила о новом коллективном земском деле и остальные земства. Через несколько дней ответные телеграммы были получены почти со всей России. Съезд представителей земств, состоявшийся 30 июля 1914 г., конституировал образование Земского союза. К Союзу примкнула 41 земская губерния (исключение составляло Курское губернское земство и Область войска Донского). Его высшим органом являлся съезд уполномоченных земств (по два уполномоченных от каждой земской губернии: от губернского земского собрания и губернской земской управы). Между съездами делами союза ведал Главный комитет из десяти членов во главе с главноуполномоченным. Первым главноуполномоченным стал князь г.Е.Львов. Общее руководство деятельностью Союза было сохранено за собранием уполномоченных губернских земств, которые избирали главноуполномоченного и Главный комитет. С первых же дней при Союзе возник ряд отделов: по лечебному делу, эвакуации, трудовому посредничеству, которые позднее были разбиты на отделы: эвакуационный, заготовительный, отдел санитарных поездов и т.д. Эти усилия были закреплены 12 августа 1914 г. по всеподданнейшему докладу министра внутренних дел. Средства же центральной организации Земского союза складывались из пособий государства, ассигнований земских собраний и частных пожертвований (11270).</w:t>
      </w:r>
    </w:p>
    <w:p w14:paraId="5FD64C70" w14:textId="77777777" w:rsidR="00B67D7C" w:rsidRPr="00DE096C" w:rsidRDefault="00B67D7C" w:rsidP="00D45A46">
      <w:pPr>
        <w:pStyle w:val="a3"/>
        <w:jc w:val="both"/>
        <w:rPr>
          <w:bCs/>
          <w:i w:val="0"/>
          <w:color w:val="002060"/>
          <w:spacing w:val="0"/>
          <w:kern w:val="0"/>
          <w:position w:val="0"/>
          <w:sz w:val="16"/>
          <w:szCs w:val="16"/>
        </w:rPr>
      </w:pPr>
    </w:p>
    <w:p w14:paraId="7D1F0B56" w14:textId="77777777" w:rsidR="00102E02" w:rsidRPr="00DE096C" w:rsidRDefault="00102E02" w:rsidP="00D45A46">
      <w:pPr>
        <w:jc w:val="both"/>
        <w:rPr>
          <w:bCs/>
          <w:color w:val="002060"/>
          <w:sz w:val="16"/>
          <w:szCs w:val="16"/>
        </w:rPr>
      </w:pPr>
      <w:bookmarkStart w:id="114" w:name="_Hlk117232282"/>
      <w:r w:rsidRPr="00DE096C">
        <w:rPr>
          <w:bCs/>
          <w:color w:val="002060"/>
          <w:sz w:val="16"/>
          <w:szCs w:val="16"/>
        </w:rPr>
        <w:t>В июле 1914 года вместе с объявлением войны императорским указом была запрещена продажа водки. Сначала эта мера рассматривалась как временная на период мобилизации, однако по массовым ходатайствам с мест запрет был сохранен на все время войны. Образовавшуюся огромную брешь в бюджете попытались закрыть увеличением налогов.</w:t>
      </w:r>
    </w:p>
    <w:p w14:paraId="2B02E61E" w14:textId="77777777" w:rsidR="00102E02" w:rsidRPr="00DE096C" w:rsidRDefault="00102E02" w:rsidP="00D45A46">
      <w:pPr>
        <w:jc w:val="both"/>
        <w:rPr>
          <w:bCs/>
          <w:color w:val="002060"/>
          <w:sz w:val="16"/>
          <w:szCs w:val="16"/>
        </w:rPr>
      </w:pPr>
      <w:r w:rsidRPr="00DE096C">
        <w:rPr>
          <w:bCs/>
          <w:color w:val="002060"/>
          <w:sz w:val="16"/>
          <w:szCs w:val="16"/>
        </w:rPr>
        <w:t>.</w:t>
      </w:r>
    </w:p>
    <w:bookmarkEnd w:id="114"/>
    <w:p w14:paraId="3B3F5575"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Авиация и воздухоплавание Германии:</w:t>
      </w:r>
    </w:p>
    <w:p w14:paraId="07BE2B25" w14:textId="77777777" w:rsidR="00B67D7C" w:rsidRPr="00DE096C" w:rsidRDefault="00B67D7C" w:rsidP="00D45A46">
      <w:pPr>
        <w:shd w:val="clear" w:color="auto" w:fill="FFFFFF"/>
        <w:jc w:val="both"/>
        <w:rPr>
          <w:bCs/>
          <w:i/>
          <w:color w:val="002060"/>
          <w:sz w:val="16"/>
          <w:szCs w:val="16"/>
        </w:rPr>
      </w:pPr>
    </w:p>
    <w:p w14:paraId="2589E26A" w14:textId="7253DF52"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 июле 1914-го, вскоре после возвращения в Германию </w:t>
      </w:r>
      <w:r w:rsidR="00AA0170" w:rsidRPr="00DE096C">
        <w:rPr>
          <w:bCs/>
          <w:i w:val="0"/>
          <w:color w:val="002060"/>
          <w:spacing w:val="0"/>
          <w:kern w:val="0"/>
          <w:position w:val="0"/>
          <w:sz w:val="16"/>
          <w:szCs w:val="16"/>
        </w:rPr>
        <w:t>Луцкого</w:t>
      </w:r>
      <w:r w:rsidRPr="00DE096C">
        <w:rPr>
          <w:bCs/>
          <w:i w:val="0"/>
          <w:color w:val="002060"/>
          <w:spacing w:val="0"/>
          <w:kern w:val="0"/>
          <w:position w:val="0"/>
          <w:sz w:val="16"/>
          <w:szCs w:val="16"/>
        </w:rPr>
        <w:t xml:space="preserve"> арестовали, обвинив в шпионаже в пользу России. Отстреливался в своей квартире, но был схвачен. Через неделю началась первая мировая война. Немцы пытались заставить Луцкого работать на свою военную промышленность, но он не пошел ни на какие соглашения. Его продержали всю войну в тюрьме Шпандау в Берлине и освободили после поражения Германии. Дальнейшая биография Луцкого неизвестна. Удалось восстановить лишь дату смерти - 1920 г. (11256).</w:t>
      </w:r>
    </w:p>
    <w:p w14:paraId="35BFCA49" w14:textId="77777777" w:rsidR="00B67D7C" w:rsidRPr="00DE096C" w:rsidRDefault="00B67D7C" w:rsidP="00D45A46">
      <w:pPr>
        <w:pStyle w:val="a3"/>
        <w:jc w:val="both"/>
        <w:rPr>
          <w:bCs/>
          <w:i w:val="0"/>
          <w:color w:val="002060"/>
          <w:spacing w:val="0"/>
          <w:kern w:val="0"/>
          <w:position w:val="0"/>
          <w:sz w:val="16"/>
          <w:szCs w:val="16"/>
        </w:rPr>
      </w:pPr>
    </w:p>
    <w:p w14:paraId="03F2533E" w14:textId="108109FD" w:rsidR="006F1FDC" w:rsidRPr="00DE096C" w:rsidRDefault="006F1FDC" w:rsidP="00D45A46">
      <w:pPr>
        <w:pStyle w:val="a3"/>
        <w:jc w:val="both"/>
        <w:rPr>
          <w:bCs/>
          <w:color w:val="002060"/>
          <w:spacing w:val="0"/>
          <w:kern w:val="0"/>
          <w:position w:val="0"/>
          <w:sz w:val="16"/>
          <w:szCs w:val="16"/>
        </w:rPr>
      </w:pPr>
      <w:r w:rsidRPr="00DE096C">
        <w:rPr>
          <w:bCs/>
          <w:color w:val="002060"/>
          <w:spacing w:val="0"/>
          <w:kern w:val="0"/>
          <w:position w:val="0"/>
          <w:sz w:val="16"/>
          <w:szCs w:val="16"/>
        </w:rPr>
        <w:t>Авиация и воздухоплавание Англии:</w:t>
      </w:r>
    </w:p>
    <w:p w14:paraId="02701C76" w14:textId="77777777" w:rsidR="006F1FDC" w:rsidRPr="00DE096C" w:rsidRDefault="006F1FDC" w:rsidP="00D45A46">
      <w:pPr>
        <w:pStyle w:val="a3"/>
        <w:jc w:val="both"/>
        <w:rPr>
          <w:bCs/>
          <w:color w:val="002060"/>
          <w:spacing w:val="0"/>
          <w:kern w:val="0"/>
          <w:position w:val="0"/>
          <w:sz w:val="16"/>
          <w:szCs w:val="16"/>
        </w:rPr>
      </w:pPr>
    </w:p>
    <w:p w14:paraId="7ADD0E9F" w14:textId="2DDCC1D0" w:rsidR="006F1FDC" w:rsidRPr="00DE096C" w:rsidRDefault="006F1FDC" w:rsidP="00D45A46">
      <w:pPr>
        <w:jc w:val="both"/>
        <w:rPr>
          <w:bCs/>
          <w:color w:val="002060"/>
          <w:sz w:val="16"/>
          <w:szCs w:val="16"/>
        </w:rPr>
      </w:pPr>
      <w:r w:rsidRPr="00DE096C">
        <w:rPr>
          <w:bCs/>
          <w:color w:val="002060"/>
          <w:sz w:val="16"/>
          <w:szCs w:val="16"/>
        </w:rPr>
        <w:t xml:space="preserve">В июле 1914 </w:t>
      </w:r>
      <w:r w:rsidR="00102E02" w:rsidRPr="00DE096C">
        <w:rPr>
          <w:bCs/>
          <w:color w:val="002060"/>
          <w:sz w:val="16"/>
          <w:szCs w:val="16"/>
        </w:rPr>
        <w:t xml:space="preserve">состоялся </w:t>
      </w:r>
      <w:r w:rsidRPr="00DE096C">
        <w:rPr>
          <w:bCs/>
          <w:color w:val="002060"/>
          <w:sz w:val="16"/>
          <w:szCs w:val="16"/>
        </w:rPr>
        <w:t>первый полет Авро 510, Авро 514, Vickers FB5 Gunbus</w:t>
      </w:r>
    </w:p>
    <w:p w14:paraId="0D86EB77" w14:textId="77777777" w:rsidR="006F1FDC" w:rsidRPr="00DE096C" w:rsidRDefault="006F1FDC" w:rsidP="00D45A46">
      <w:pPr>
        <w:jc w:val="both"/>
        <w:rPr>
          <w:bCs/>
          <w:color w:val="002060"/>
          <w:sz w:val="16"/>
          <w:szCs w:val="16"/>
        </w:rPr>
      </w:pPr>
    </w:p>
    <w:p w14:paraId="19C01AD4"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Авиация и воздухоплавание Франции:</w:t>
      </w:r>
    </w:p>
    <w:p w14:paraId="79D1F55A" w14:textId="77777777" w:rsidR="00B67D7C" w:rsidRPr="00DE096C" w:rsidRDefault="00B67D7C" w:rsidP="00D45A46">
      <w:pPr>
        <w:pStyle w:val="a3"/>
        <w:jc w:val="both"/>
        <w:rPr>
          <w:bCs/>
          <w:color w:val="002060"/>
          <w:spacing w:val="0"/>
          <w:kern w:val="0"/>
          <w:position w:val="0"/>
          <w:sz w:val="16"/>
          <w:szCs w:val="16"/>
        </w:rPr>
      </w:pPr>
    </w:p>
    <w:p w14:paraId="06BE82B2" w14:textId="175C57A3" w:rsidR="00B67D7C" w:rsidRPr="00DE096C" w:rsidRDefault="00102E02"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июле 1914 г. во Франции началась военная мобилизация</w:t>
      </w:r>
      <w:r w:rsidRPr="00DE096C">
        <w:rPr>
          <w:bCs/>
          <w:color w:val="002060"/>
          <w:sz w:val="16"/>
          <w:szCs w:val="16"/>
        </w:rPr>
        <w:t xml:space="preserve"> и</w:t>
      </w:r>
      <w:r w:rsidR="00B67D7C" w:rsidRPr="00DE096C">
        <w:rPr>
          <w:bCs/>
          <w:color w:val="002060"/>
          <w:sz w:val="16"/>
          <w:szCs w:val="16"/>
        </w:rPr>
        <w:t xml:space="preserve"> военно-воздушные силы этой страны приняли на вооружение 25 самолетов "Блерио XI". Две эскадрильи были укомплектованы одноместными вариантами, а четыре других использовали двухместные самолеты "Блерио XI-2", на которые устанавливались двигатели "Gnome" ("Гном") мощностью 70 л.с. и имели крылья с увеличенной площадью.</w:t>
      </w:r>
    </w:p>
    <w:p w14:paraId="2AD8E606" w14:textId="77777777" w:rsidR="00102E02" w:rsidRPr="00DE096C" w:rsidRDefault="00102E02" w:rsidP="00D45A46">
      <w:pPr>
        <w:jc w:val="both"/>
        <w:rPr>
          <w:bCs/>
          <w:color w:val="002060"/>
          <w:sz w:val="16"/>
          <w:szCs w:val="16"/>
        </w:rPr>
      </w:pPr>
    </w:p>
    <w:p w14:paraId="6A962C92" w14:textId="1C9F6B02" w:rsidR="006F1FDC" w:rsidRPr="00DE096C" w:rsidRDefault="006F1FDC" w:rsidP="00D45A46">
      <w:pPr>
        <w:jc w:val="both"/>
        <w:rPr>
          <w:bCs/>
          <w:color w:val="002060"/>
          <w:sz w:val="16"/>
          <w:szCs w:val="16"/>
        </w:rPr>
      </w:pPr>
      <w:r w:rsidRPr="00DE096C">
        <w:rPr>
          <w:bCs/>
          <w:color w:val="002060"/>
          <w:sz w:val="16"/>
          <w:szCs w:val="16"/>
        </w:rPr>
        <w:t>За июль 1914 г. все 20 французских авиазаводов не построили и трехсот самолетов, а за декабрь они дали 3 000 аэропланов и 9 000 моторов к ним (22748).</w:t>
      </w:r>
    </w:p>
    <w:p w14:paraId="1E38CF9B" w14:textId="77777777" w:rsidR="006F1FDC" w:rsidRPr="00DE096C" w:rsidRDefault="006F1FDC" w:rsidP="00D45A46">
      <w:pPr>
        <w:jc w:val="both"/>
        <w:rPr>
          <w:bCs/>
          <w:color w:val="002060"/>
          <w:sz w:val="16"/>
          <w:szCs w:val="16"/>
        </w:rPr>
      </w:pPr>
    </w:p>
    <w:p w14:paraId="182DD7F6" w14:textId="77777777" w:rsidR="00B67D7C" w:rsidRPr="00DE096C" w:rsidRDefault="00B67D7C" w:rsidP="00D45A46">
      <w:pPr>
        <w:jc w:val="both"/>
        <w:rPr>
          <w:bCs/>
          <w:i/>
          <w:color w:val="002060"/>
          <w:sz w:val="16"/>
          <w:szCs w:val="16"/>
        </w:rPr>
      </w:pPr>
      <w:r w:rsidRPr="00DE096C">
        <w:rPr>
          <w:bCs/>
          <w:i/>
          <w:color w:val="002060"/>
          <w:sz w:val="16"/>
          <w:szCs w:val="16"/>
        </w:rPr>
        <w:t>Авиация и воздухоплавание за рубежом:</w:t>
      </w:r>
    </w:p>
    <w:p w14:paraId="31C2C94A" w14:textId="77777777" w:rsidR="00B67D7C" w:rsidRPr="00DE096C" w:rsidRDefault="00B67D7C" w:rsidP="00D45A46">
      <w:pPr>
        <w:jc w:val="both"/>
        <w:rPr>
          <w:bCs/>
          <w:i/>
          <w:color w:val="002060"/>
          <w:sz w:val="16"/>
          <w:szCs w:val="16"/>
        </w:rPr>
      </w:pPr>
    </w:p>
    <w:p w14:paraId="18B0FC51" w14:textId="77777777" w:rsidR="00B67D7C" w:rsidRPr="00DE096C" w:rsidRDefault="00B67D7C" w:rsidP="00D45A46">
      <w:pPr>
        <w:jc w:val="both"/>
        <w:rPr>
          <w:bCs/>
          <w:color w:val="002060"/>
          <w:sz w:val="16"/>
          <w:szCs w:val="16"/>
        </w:rPr>
      </w:pPr>
      <w:r w:rsidRPr="00DE096C">
        <w:rPr>
          <w:bCs/>
          <w:color w:val="002060"/>
          <w:sz w:val="16"/>
          <w:szCs w:val="16"/>
        </w:rPr>
        <w:t>В июле 1914 накануне Первой мировой войны использованием аваиции для нужд армии заинтересовались австрийские военные. Разработанный на случай войны с Россией мобилизационный план Австро-Венгрии предусматривал размещение на землях Галиции трех авационных подразделений, два из которых должны были быть расквартированы во Львове. С аэродрома Герц в Австрии должно было перебазироваться Флик 14 ( флик - от немецкого Fliegercopmanie - "авиационная рота" - основная структурная единица австрийской военной авиации), а с венского военного аэродрома Асперн - Флик 11. В самом начале Первой мировой войны создание австрийских авиационных подразделений столкнулось со значительными трудностями. Хотя, согласно мобилизационным планам, уже 15-16 августа Флик 14 под командованием капитана Ф. Кара должен был достичь полной боеготовности, но в реальности подразделение не могло исполнять своих задач аж до конца августа. Еще 22 августа во Флик 14 не было ни одного летчика и наличествовало всего 3 человека технического персонала. Так до конца и не сформированное подразделение к концу августа 1914 года было переброшено из Львова в Перемышль, а оттуда в Краков. Флик 11 вообще во Львов не попало, а вместо этого разместилось в городе Станиславе (ныне Ивано-Франковск). 25 августа 1914 года состоялась первая встреча в воздухе пилотов враждующих сторон. Российские пилоты из состава 11-го авиаотряда поручик Передков и поручик-наблюдатель Рихтер, возвращаясь после воздушной разведки укреплений в окрестностях Львова, в районе Винник встретили австрийский военный аэроплан "Райт". Позднее россияне утверждали, что австрийский самолет поднялся с небольшого аэродрома в окрестностях Львова. Летчики разминулись на расстоянии полкилометра, не проявив никаких враждебных намерений. Когда в сентябре 1914 года российские войска подошли к Львову, город осмотрел командир 9-го авиаотряда, штабс-капитан Петр Нестеров. Весной 1915 года во Львов прибыли два крупных четырехмоторных самолета типа "Илья Муромец". Самолеты приземлились во Львове 14 и 15 мая 1915 года. Их разместили в обширном элинге для дирижаблей на Левандовском аэродроме. В июне 1915 года во Львов вновь вступили австрийские войска, и на Левандовке вновь разместилось австрийское авиационное поразделение. В 1917-18 годах, когда Львов оказался в глубоком тылу, подразделение на аэродроме "Левандовка" получило статус этапного авиационного парка № 4, в котором ремонтировали боевые самолеты. В конце марта 1918 года через Львов пролегла одна из первых в мире регклярных линий авиапочтовой связи, которая была создана австрийской армией. С 20 марта 1918 года она функционировала по маршруту Вена - Краков - Львов - Проскуров (ныне Хмельницкий) - Киев. Корреспонденцию, бандероли и иные отправления специальные курьеры доставляли львовянам уже через несколько часов после приземления самолетов. Авиалиния действовала регулярно и постоянно до 5 ноября 1918 года. Перелет начинался из Вены в 4 ч. 30 мин. утра, а заканчивался в Киеве в 17 ч. 30 мин. То есть, расстояние в 1200 километров преодолевалось за 13 часов, а не за двое суток, как на железнодорожном транспорте в то время (12298).</w:t>
      </w:r>
    </w:p>
    <w:p w14:paraId="58CC807F" w14:textId="77777777" w:rsidR="00B67D7C" w:rsidRPr="00DE096C" w:rsidRDefault="00B67D7C" w:rsidP="00D45A46">
      <w:pPr>
        <w:jc w:val="both"/>
        <w:rPr>
          <w:bCs/>
          <w:color w:val="002060"/>
          <w:sz w:val="16"/>
          <w:szCs w:val="16"/>
        </w:rPr>
      </w:pPr>
    </w:p>
    <w:p w14:paraId="42774CE3" w14:textId="77777777" w:rsidR="007305C5" w:rsidRPr="00DE096C" w:rsidRDefault="007305C5" w:rsidP="00D45A46">
      <w:pPr>
        <w:jc w:val="both"/>
        <w:rPr>
          <w:bCs/>
          <w:color w:val="002060"/>
          <w:sz w:val="16"/>
          <w:szCs w:val="16"/>
        </w:rPr>
      </w:pPr>
      <w:r w:rsidRPr="00DE096C">
        <w:rPr>
          <w:bCs/>
          <w:color w:val="002060"/>
          <w:sz w:val="16"/>
          <w:szCs w:val="16"/>
        </w:rPr>
        <w:t xml:space="preserve">В июле 1914 накануне Первой мировой войны использованием аваиции для нужд армии заинтересовались австрийские военные. Разработанный на случай войны с Россией мобилизационный план Австро-Венгрии предусматривал размещение на землях Галиции трех авационных подразделений, два из которых должны были быть расквартированы во Львове. С аэродрома Герц в Австрии должно было перебазироваться Флик 14 ( флик - от немецкого Fliegercopmanie - "авиационная рота" - основная структурная единица австрийской военной авиации), а с венского военного аэродрома Асперн - Флик 11. В самом начале Первой мировой войны создание австрийских авиационных подразделений столкнулось со значительными трудностями. Хотя, согласно мобилизационным планам, уже 15-16 августа Флик 14 под командованием капитана Ф. Кара должен был достичь полной боеготовности, но в реальности подразделение не могло исполнять своих задач аж до конца августа. Еще 22 августа во Флик 14 не было ни одного летчика и наличествовало всего 3 человека технического персонала. Так до конца и не сформированное подразделение к концу августа 1914 года было переброшено из Львова в Перемышль, а оттуда в Краков. Флик 11 вообще во Львов не попало, а вместо этого разместилось в городе Станиславе (ныне Ивано-Франковск). </w:t>
      </w:r>
    </w:p>
    <w:p w14:paraId="75CD67A5" w14:textId="77777777" w:rsidR="007305C5" w:rsidRPr="00DE096C" w:rsidRDefault="007305C5" w:rsidP="00D45A46">
      <w:pPr>
        <w:jc w:val="both"/>
        <w:rPr>
          <w:bCs/>
          <w:color w:val="002060"/>
          <w:sz w:val="16"/>
          <w:szCs w:val="16"/>
        </w:rPr>
      </w:pPr>
    </w:p>
    <w:p w14:paraId="1B6A735F" w14:textId="77777777" w:rsidR="006F1FDC" w:rsidRPr="00DE096C" w:rsidRDefault="006F1FDC" w:rsidP="00D45A46">
      <w:pPr>
        <w:jc w:val="both"/>
        <w:rPr>
          <w:bCs/>
          <w:color w:val="002060"/>
          <w:sz w:val="16"/>
          <w:szCs w:val="16"/>
        </w:rPr>
      </w:pPr>
      <w:r w:rsidRPr="00DE096C">
        <w:rPr>
          <w:bCs/>
          <w:color w:val="002060"/>
          <w:sz w:val="16"/>
          <w:szCs w:val="16"/>
        </w:rPr>
        <w:t>В июле 1914 Китайская Республика использует самолеты для бомбардировки целей во время восстания Бай Лан (20337).</w:t>
      </w:r>
    </w:p>
    <w:p w14:paraId="5DD8D5EE" w14:textId="77777777" w:rsidR="006F1FDC" w:rsidRPr="00DE096C" w:rsidRDefault="006F1FDC" w:rsidP="00D45A46">
      <w:pPr>
        <w:jc w:val="both"/>
        <w:rPr>
          <w:bCs/>
          <w:color w:val="002060"/>
          <w:sz w:val="16"/>
          <w:szCs w:val="16"/>
        </w:rPr>
      </w:pPr>
    </w:p>
    <w:p w14:paraId="6370D75C" w14:textId="2582B6CD" w:rsidR="006F1FDC" w:rsidRPr="00DE096C" w:rsidRDefault="006F1FDC" w:rsidP="00D45A46">
      <w:pPr>
        <w:jc w:val="both"/>
        <w:rPr>
          <w:bCs/>
          <w:i/>
          <w:iCs/>
          <w:color w:val="002060"/>
          <w:sz w:val="16"/>
          <w:szCs w:val="16"/>
        </w:rPr>
      </w:pPr>
      <w:r w:rsidRPr="00DE096C">
        <w:rPr>
          <w:bCs/>
          <w:i/>
          <w:iCs/>
          <w:color w:val="002060"/>
          <w:sz w:val="16"/>
          <w:szCs w:val="16"/>
        </w:rPr>
        <w:t>За рубежом:</w:t>
      </w:r>
    </w:p>
    <w:p w14:paraId="377CF1A5" w14:textId="77777777" w:rsidR="006F1FDC" w:rsidRPr="00DE096C" w:rsidRDefault="006F1FDC" w:rsidP="00D45A46">
      <w:pPr>
        <w:jc w:val="both"/>
        <w:rPr>
          <w:bCs/>
          <w:i/>
          <w:iCs/>
          <w:color w:val="002060"/>
          <w:sz w:val="16"/>
          <w:szCs w:val="16"/>
        </w:rPr>
      </w:pPr>
    </w:p>
    <w:p w14:paraId="31372EB4" w14:textId="77777777" w:rsidR="006F1FDC" w:rsidRPr="00DE096C" w:rsidRDefault="006F1FDC" w:rsidP="00D45A46">
      <w:pPr>
        <w:shd w:val="clear" w:color="auto" w:fill="FFFFFF"/>
        <w:jc w:val="both"/>
        <w:rPr>
          <w:bCs/>
          <w:color w:val="002060"/>
          <w:sz w:val="16"/>
          <w:szCs w:val="16"/>
          <w:shd w:val="clear" w:color="auto" w:fill="FFFFFF"/>
        </w:rPr>
      </w:pPr>
      <w:r w:rsidRPr="00DE096C">
        <w:rPr>
          <w:bCs/>
          <w:color w:val="002060"/>
          <w:sz w:val="16"/>
          <w:szCs w:val="16"/>
          <w:shd w:val="clear" w:color="auto" w:fill="FFFFFF"/>
        </w:rPr>
        <w:t>В июле 1914 года Джулио Уливи попросили провести новый эксперимент — взорвать лучами стандартную мину, а не ту, которая побывала в его лаборатории. Но в назначенный день изобретатель на берег не явился. Дальнейшее расследование показало, что он снабжал мины химическим взрывателем, точно рассчитанным на заданное в эксперименте время. Три дня подряд ведущие газеты мира рассказывали о разоблачении афериста (20313).</w:t>
      </w:r>
    </w:p>
    <w:p w14:paraId="2D0775F9" w14:textId="77777777" w:rsidR="006F1FDC" w:rsidRPr="00DE096C" w:rsidRDefault="006F1FDC" w:rsidP="00D45A46">
      <w:pPr>
        <w:shd w:val="clear" w:color="auto" w:fill="FFFFFF"/>
        <w:jc w:val="both"/>
        <w:rPr>
          <w:bCs/>
          <w:color w:val="002060"/>
          <w:sz w:val="16"/>
          <w:szCs w:val="16"/>
        </w:rPr>
      </w:pPr>
    </w:p>
    <w:p w14:paraId="309EA13E" w14:textId="77777777" w:rsidR="00D37730" w:rsidRPr="00DE096C" w:rsidRDefault="00D37730" w:rsidP="00D45A46">
      <w:pPr>
        <w:jc w:val="both"/>
        <w:rPr>
          <w:bCs/>
          <w:i/>
          <w:color w:val="002060"/>
          <w:sz w:val="16"/>
          <w:szCs w:val="16"/>
        </w:rPr>
      </w:pPr>
      <w:r w:rsidRPr="00DE096C">
        <w:rPr>
          <w:bCs/>
          <w:i/>
          <w:color w:val="002060"/>
          <w:sz w:val="16"/>
          <w:szCs w:val="16"/>
        </w:rPr>
        <w:t>Самолетостроение:</w:t>
      </w:r>
    </w:p>
    <w:p w14:paraId="509C9812" w14:textId="77777777" w:rsidR="00D37730" w:rsidRPr="00DE096C" w:rsidRDefault="00D37730" w:rsidP="00D45A46">
      <w:pPr>
        <w:jc w:val="both"/>
        <w:rPr>
          <w:bCs/>
          <w:i/>
          <w:color w:val="002060"/>
          <w:sz w:val="16"/>
          <w:szCs w:val="16"/>
        </w:rPr>
      </w:pPr>
    </w:p>
    <w:p w14:paraId="2282CE7F" w14:textId="4AC9320E" w:rsidR="00D37730" w:rsidRPr="00DE096C" w:rsidRDefault="00D37730" w:rsidP="00D45A46">
      <w:pPr>
        <w:jc w:val="both"/>
        <w:rPr>
          <w:bCs/>
          <w:color w:val="002060"/>
          <w:sz w:val="16"/>
          <w:szCs w:val="16"/>
        </w:rPr>
      </w:pPr>
      <w:r w:rsidRPr="00DE096C">
        <w:rPr>
          <w:bCs/>
          <w:color w:val="002060"/>
          <w:sz w:val="16"/>
          <w:szCs w:val="16"/>
        </w:rPr>
        <w:t xml:space="preserve">К августу 1914 г. </w:t>
      </w:r>
      <w:r w:rsidR="00DF0EA3" w:rsidRPr="00DE096C">
        <w:rPr>
          <w:bCs/>
          <w:color w:val="002060"/>
          <w:sz w:val="16"/>
          <w:szCs w:val="16"/>
        </w:rPr>
        <w:t xml:space="preserve">ни Россия, </w:t>
      </w:r>
      <w:r w:rsidRPr="00DE096C">
        <w:rPr>
          <w:bCs/>
          <w:color w:val="002060"/>
          <w:sz w:val="16"/>
          <w:szCs w:val="16"/>
        </w:rPr>
        <w:t xml:space="preserve">ни одна </w:t>
      </w:r>
      <w:r w:rsidR="00DF0EA3" w:rsidRPr="00DE096C">
        <w:rPr>
          <w:bCs/>
          <w:color w:val="002060"/>
          <w:sz w:val="16"/>
          <w:szCs w:val="16"/>
        </w:rPr>
        <w:t xml:space="preserve">лругая </w:t>
      </w:r>
      <w:r w:rsidRPr="00DE096C">
        <w:rPr>
          <w:bCs/>
          <w:color w:val="002060"/>
          <w:sz w:val="16"/>
          <w:szCs w:val="16"/>
        </w:rPr>
        <w:t>страна мира не имела серийных более или менее эффективных авиационных бомб (18738).</w:t>
      </w:r>
    </w:p>
    <w:p w14:paraId="0F389D74" w14:textId="77777777" w:rsidR="00D37730" w:rsidRPr="00DE096C" w:rsidRDefault="00D37730" w:rsidP="00D45A46">
      <w:pPr>
        <w:jc w:val="both"/>
        <w:rPr>
          <w:bCs/>
          <w:color w:val="002060"/>
          <w:sz w:val="16"/>
          <w:szCs w:val="16"/>
        </w:rPr>
      </w:pPr>
    </w:p>
    <w:p w14:paraId="61236898" w14:textId="2FB01291" w:rsidR="006F1FDC" w:rsidRPr="00DE096C" w:rsidRDefault="006F1FDC" w:rsidP="00D45A46">
      <w:pPr>
        <w:jc w:val="both"/>
        <w:rPr>
          <w:bCs/>
          <w:i/>
          <w:color w:val="002060"/>
          <w:sz w:val="16"/>
          <w:szCs w:val="16"/>
        </w:rPr>
      </w:pPr>
      <w:r w:rsidRPr="00DE096C">
        <w:rPr>
          <w:bCs/>
          <w:i/>
          <w:color w:val="002060"/>
          <w:sz w:val="16"/>
          <w:szCs w:val="16"/>
        </w:rPr>
        <w:t>Аэростатостроение:</w:t>
      </w:r>
    </w:p>
    <w:p w14:paraId="26708B74" w14:textId="77777777" w:rsidR="006F1FDC" w:rsidRPr="00DE096C" w:rsidRDefault="006F1FDC" w:rsidP="00D45A46">
      <w:pPr>
        <w:jc w:val="both"/>
        <w:rPr>
          <w:bCs/>
          <w:i/>
          <w:color w:val="002060"/>
          <w:sz w:val="16"/>
          <w:szCs w:val="16"/>
        </w:rPr>
      </w:pPr>
    </w:p>
    <w:p w14:paraId="2A8D7DA5" w14:textId="77777777" w:rsidR="006F1FDC" w:rsidRPr="00DE096C" w:rsidRDefault="006F1FDC" w:rsidP="00D45A46">
      <w:pPr>
        <w:jc w:val="both"/>
        <w:rPr>
          <w:bCs/>
          <w:color w:val="002060"/>
          <w:sz w:val="16"/>
          <w:szCs w:val="16"/>
        </w:rPr>
      </w:pPr>
      <w:r w:rsidRPr="00DE096C">
        <w:rPr>
          <w:rStyle w:val="43"/>
          <w:rFonts w:ascii="Times New Roman" w:hAnsi="Times New Roman" w:cs="Times New Roman"/>
          <w:bCs/>
          <w:color w:val="002060"/>
          <w:w w:val="100"/>
          <w:sz w:val="16"/>
          <w:szCs w:val="16"/>
        </w:rPr>
        <w:t>К августу 1914 г. на вооружении России, Фран</w:t>
      </w:r>
      <w:r w:rsidRPr="00DE096C">
        <w:rPr>
          <w:rStyle w:val="43"/>
          <w:rFonts w:ascii="Times New Roman" w:hAnsi="Times New Roman" w:cs="Times New Roman"/>
          <w:bCs/>
          <w:color w:val="002060"/>
          <w:w w:val="100"/>
          <w:sz w:val="16"/>
          <w:szCs w:val="16"/>
        </w:rPr>
        <w:softHyphen/>
        <w:t>ции и Англии находились исключительно мягкие и полужёсткие дирижабли. Большинство этих дирижаблей были экспериментальные и учеб</w:t>
      </w:r>
      <w:r w:rsidRPr="00DE096C">
        <w:rPr>
          <w:rStyle w:val="43"/>
          <w:rFonts w:ascii="Times New Roman" w:hAnsi="Times New Roman" w:cs="Times New Roman"/>
          <w:bCs/>
          <w:color w:val="002060"/>
          <w:w w:val="100"/>
          <w:sz w:val="16"/>
          <w:szCs w:val="16"/>
        </w:rPr>
        <w:softHyphen/>
        <w:t>ные, и только немногие из них, объёмом около 10000 м3, могли принять участие в военных дей</w:t>
      </w:r>
      <w:r w:rsidRPr="00DE096C">
        <w:rPr>
          <w:rStyle w:val="43"/>
          <w:rFonts w:ascii="Times New Roman" w:hAnsi="Times New Roman" w:cs="Times New Roman"/>
          <w:bCs/>
          <w:color w:val="002060"/>
          <w:w w:val="100"/>
          <w:sz w:val="16"/>
          <w:szCs w:val="16"/>
        </w:rPr>
        <w:softHyphen/>
        <w:t xml:space="preserve">ствиях. В России это были «Астра», </w:t>
      </w:r>
      <w:r w:rsidRPr="00DE096C">
        <w:rPr>
          <w:rStyle w:val="43"/>
          <w:rFonts w:ascii="Times New Roman" w:hAnsi="Times New Roman" w:cs="Times New Roman"/>
          <w:bCs/>
          <w:color w:val="002060"/>
          <w:w w:val="100"/>
          <w:sz w:val="16"/>
          <w:szCs w:val="16"/>
        </w:rPr>
        <w:lastRenderedPageBreak/>
        <w:t>«Кондор», «Аль</w:t>
      </w:r>
      <w:r w:rsidRPr="00DE096C">
        <w:rPr>
          <w:rStyle w:val="43"/>
          <w:rFonts w:ascii="Times New Roman" w:hAnsi="Times New Roman" w:cs="Times New Roman"/>
          <w:bCs/>
          <w:color w:val="002060"/>
          <w:w w:val="100"/>
          <w:sz w:val="16"/>
          <w:szCs w:val="16"/>
        </w:rPr>
        <w:softHyphen/>
        <w:t>батрос» и «Буревестник»; во Франции — «</w:t>
      </w:r>
      <w:r w:rsidRPr="00DE096C">
        <w:rPr>
          <w:rStyle w:val="43"/>
          <w:rFonts w:ascii="Times New Roman" w:hAnsi="Times New Roman" w:cs="Times New Roman"/>
          <w:bCs/>
          <w:color w:val="002060"/>
          <w:w w:val="100"/>
          <w:sz w:val="16"/>
          <w:szCs w:val="16"/>
          <w:lang w:val="en-US"/>
        </w:rPr>
        <w:t>Fleurus</w:t>
      </w:r>
      <w:r w:rsidRPr="00DE096C">
        <w:rPr>
          <w:rStyle w:val="43"/>
          <w:rFonts w:ascii="Times New Roman" w:hAnsi="Times New Roman" w:cs="Times New Roman"/>
          <w:bCs/>
          <w:color w:val="002060"/>
          <w:w w:val="100"/>
          <w:sz w:val="16"/>
          <w:szCs w:val="16"/>
        </w:rPr>
        <w:t>», «</w:t>
      </w:r>
      <w:r w:rsidRPr="00DE096C">
        <w:rPr>
          <w:rStyle w:val="43"/>
          <w:rFonts w:ascii="Times New Roman" w:hAnsi="Times New Roman" w:cs="Times New Roman"/>
          <w:bCs/>
          <w:color w:val="002060"/>
          <w:w w:val="100"/>
          <w:sz w:val="16"/>
          <w:szCs w:val="16"/>
          <w:lang w:val="en-US"/>
        </w:rPr>
        <w:t>Montgolfier</w:t>
      </w:r>
      <w:r w:rsidRPr="00DE096C">
        <w:rPr>
          <w:rStyle w:val="43"/>
          <w:rFonts w:ascii="Times New Roman" w:hAnsi="Times New Roman" w:cs="Times New Roman"/>
          <w:bCs/>
          <w:color w:val="002060"/>
          <w:w w:val="100"/>
          <w:sz w:val="16"/>
          <w:szCs w:val="16"/>
        </w:rPr>
        <w:t>», «</w:t>
      </w:r>
      <w:r w:rsidRPr="00DE096C">
        <w:rPr>
          <w:rStyle w:val="43"/>
          <w:rFonts w:ascii="Times New Roman" w:hAnsi="Times New Roman" w:cs="Times New Roman"/>
          <w:bCs/>
          <w:color w:val="002060"/>
          <w:w w:val="100"/>
          <w:sz w:val="16"/>
          <w:szCs w:val="16"/>
          <w:lang w:val="en-US"/>
        </w:rPr>
        <w:t>Adjudant</w:t>
      </w:r>
      <w:r w:rsidRPr="00DE096C">
        <w:rPr>
          <w:rStyle w:val="43"/>
          <w:rFonts w:ascii="Times New Roman" w:hAnsi="Times New Roman" w:cs="Times New Roman"/>
          <w:bCs/>
          <w:color w:val="002060"/>
          <w:w w:val="100"/>
          <w:sz w:val="16"/>
          <w:szCs w:val="16"/>
        </w:rPr>
        <w:t xml:space="preserve"> </w:t>
      </w:r>
      <w:r w:rsidRPr="00DE096C">
        <w:rPr>
          <w:rStyle w:val="43"/>
          <w:rFonts w:ascii="Times New Roman" w:hAnsi="Times New Roman" w:cs="Times New Roman"/>
          <w:bCs/>
          <w:color w:val="002060"/>
          <w:w w:val="100"/>
          <w:sz w:val="16"/>
          <w:szCs w:val="16"/>
          <w:lang w:val="en-US"/>
        </w:rPr>
        <w:t>Vincenot</w:t>
      </w:r>
      <w:r w:rsidRPr="00DE096C">
        <w:rPr>
          <w:rStyle w:val="43"/>
          <w:rFonts w:ascii="Times New Roman" w:hAnsi="Times New Roman" w:cs="Times New Roman"/>
          <w:bCs/>
          <w:color w:val="002060"/>
          <w:w w:val="100"/>
          <w:sz w:val="16"/>
          <w:szCs w:val="16"/>
        </w:rPr>
        <w:t>» и «</w:t>
      </w:r>
      <w:r w:rsidRPr="00DE096C">
        <w:rPr>
          <w:rStyle w:val="43"/>
          <w:rFonts w:ascii="Times New Roman" w:hAnsi="Times New Roman" w:cs="Times New Roman"/>
          <w:bCs/>
          <w:color w:val="002060"/>
          <w:w w:val="100"/>
          <w:sz w:val="16"/>
          <w:szCs w:val="16"/>
          <w:lang w:val="en-US"/>
        </w:rPr>
        <w:t>Dupuy</w:t>
      </w:r>
      <w:r w:rsidRPr="00DE096C">
        <w:rPr>
          <w:rStyle w:val="43"/>
          <w:rFonts w:ascii="Times New Roman" w:hAnsi="Times New Roman" w:cs="Times New Roman"/>
          <w:bCs/>
          <w:color w:val="002060"/>
          <w:w w:val="100"/>
          <w:sz w:val="16"/>
          <w:szCs w:val="16"/>
        </w:rPr>
        <w:t xml:space="preserve"> </w:t>
      </w:r>
      <w:r w:rsidRPr="00DE096C">
        <w:rPr>
          <w:rStyle w:val="43"/>
          <w:rFonts w:ascii="Times New Roman" w:hAnsi="Times New Roman" w:cs="Times New Roman"/>
          <w:bCs/>
          <w:color w:val="002060"/>
          <w:w w:val="100"/>
          <w:sz w:val="16"/>
          <w:szCs w:val="16"/>
          <w:lang w:val="en-US"/>
        </w:rPr>
        <w:t>de</w:t>
      </w:r>
      <w:r w:rsidRPr="00DE096C">
        <w:rPr>
          <w:rStyle w:val="43"/>
          <w:rFonts w:ascii="Times New Roman" w:hAnsi="Times New Roman" w:cs="Times New Roman"/>
          <w:bCs/>
          <w:color w:val="002060"/>
          <w:w w:val="100"/>
          <w:sz w:val="16"/>
          <w:szCs w:val="16"/>
        </w:rPr>
        <w:t xml:space="preserve"> </w:t>
      </w:r>
      <w:r w:rsidRPr="00DE096C">
        <w:rPr>
          <w:rStyle w:val="43"/>
          <w:rFonts w:ascii="Times New Roman" w:hAnsi="Times New Roman" w:cs="Times New Roman"/>
          <w:bCs/>
          <w:color w:val="002060"/>
          <w:w w:val="100"/>
          <w:sz w:val="16"/>
          <w:szCs w:val="16"/>
          <w:lang w:val="en-US"/>
        </w:rPr>
        <w:t>Lome</w:t>
      </w:r>
      <w:r w:rsidRPr="00DE096C">
        <w:rPr>
          <w:rStyle w:val="43"/>
          <w:rFonts w:ascii="Times New Roman" w:hAnsi="Times New Roman" w:cs="Times New Roman"/>
          <w:bCs/>
          <w:color w:val="002060"/>
          <w:w w:val="100"/>
          <w:sz w:val="16"/>
          <w:szCs w:val="16"/>
        </w:rPr>
        <w:t xml:space="preserve">»; в Англии — </w:t>
      </w:r>
      <w:r w:rsidRPr="00DE096C">
        <w:rPr>
          <w:rStyle w:val="43"/>
          <w:rFonts w:ascii="Times New Roman" w:hAnsi="Times New Roman" w:cs="Times New Roman"/>
          <w:bCs/>
          <w:color w:val="002060"/>
          <w:w w:val="100"/>
          <w:sz w:val="16"/>
          <w:szCs w:val="16"/>
          <w:lang w:val="en-US"/>
        </w:rPr>
        <w:t>Naval</w:t>
      </w:r>
      <w:r w:rsidRPr="00DE096C">
        <w:rPr>
          <w:rStyle w:val="43"/>
          <w:rFonts w:ascii="Times New Roman" w:hAnsi="Times New Roman" w:cs="Times New Roman"/>
          <w:bCs/>
          <w:color w:val="002060"/>
          <w:w w:val="100"/>
          <w:sz w:val="16"/>
          <w:szCs w:val="16"/>
        </w:rPr>
        <w:t xml:space="preserve"> </w:t>
      </w:r>
      <w:r w:rsidRPr="00DE096C">
        <w:rPr>
          <w:rStyle w:val="43"/>
          <w:rFonts w:ascii="Times New Roman" w:hAnsi="Times New Roman" w:cs="Times New Roman"/>
          <w:bCs/>
          <w:color w:val="002060"/>
          <w:w w:val="100"/>
          <w:sz w:val="16"/>
          <w:szCs w:val="16"/>
          <w:lang w:val="en-US"/>
        </w:rPr>
        <w:t>Airship</w:t>
      </w:r>
      <w:r w:rsidRPr="00DE096C">
        <w:rPr>
          <w:rStyle w:val="43"/>
          <w:rFonts w:ascii="Times New Roman" w:hAnsi="Times New Roman" w:cs="Times New Roman"/>
          <w:bCs/>
          <w:color w:val="002060"/>
          <w:w w:val="100"/>
          <w:sz w:val="16"/>
          <w:szCs w:val="16"/>
        </w:rPr>
        <w:t xml:space="preserve"> № 3 («</w:t>
      </w:r>
      <w:r w:rsidRPr="00DE096C">
        <w:rPr>
          <w:rStyle w:val="43"/>
          <w:rFonts w:ascii="Times New Roman" w:hAnsi="Times New Roman" w:cs="Times New Roman"/>
          <w:bCs/>
          <w:color w:val="002060"/>
          <w:w w:val="100"/>
          <w:sz w:val="16"/>
          <w:szCs w:val="16"/>
          <w:lang w:val="en-US"/>
        </w:rPr>
        <w:t>Astra</w:t>
      </w:r>
      <w:r w:rsidRPr="00DE096C">
        <w:rPr>
          <w:rStyle w:val="43"/>
          <w:rFonts w:ascii="Times New Roman" w:hAnsi="Times New Roman" w:cs="Times New Roman"/>
          <w:bCs/>
          <w:color w:val="002060"/>
          <w:w w:val="100"/>
          <w:sz w:val="16"/>
          <w:szCs w:val="16"/>
        </w:rPr>
        <w:t xml:space="preserve">- </w:t>
      </w:r>
      <w:r w:rsidRPr="00DE096C">
        <w:rPr>
          <w:rStyle w:val="43"/>
          <w:rFonts w:ascii="Times New Roman" w:hAnsi="Times New Roman" w:cs="Times New Roman"/>
          <w:bCs/>
          <w:color w:val="002060"/>
          <w:w w:val="100"/>
          <w:sz w:val="16"/>
          <w:szCs w:val="16"/>
          <w:lang w:val="en-US"/>
        </w:rPr>
        <w:t>Torres</w:t>
      </w:r>
      <w:r w:rsidRPr="00DE096C">
        <w:rPr>
          <w:rStyle w:val="43"/>
          <w:rFonts w:ascii="Times New Roman" w:hAnsi="Times New Roman" w:cs="Times New Roman"/>
          <w:bCs/>
          <w:color w:val="002060"/>
          <w:w w:val="100"/>
          <w:sz w:val="16"/>
          <w:szCs w:val="16"/>
        </w:rPr>
        <w:t xml:space="preserve">»), </w:t>
      </w:r>
      <w:r w:rsidRPr="00DE096C">
        <w:rPr>
          <w:rStyle w:val="43"/>
          <w:rFonts w:ascii="Times New Roman" w:hAnsi="Times New Roman" w:cs="Times New Roman"/>
          <w:bCs/>
          <w:color w:val="002060"/>
          <w:w w:val="100"/>
          <w:sz w:val="16"/>
          <w:szCs w:val="16"/>
          <w:lang w:val="en-US"/>
        </w:rPr>
        <w:t>Naval</w:t>
      </w:r>
      <w:r w:rsidRPr="00DE096C">
        <w:rPr>
          <w:rStyle w:val="43"/>
          <w:rFonts w:ascii="Times New Roman" w:hAnsi="Times New Roman" w:cs="Times New Roman"/>
          <w:bCs/>
          <w:color w:val="002060"/>
          <w:w w:val="100"/>
          <w:sz w:val="16"/>
          <w:szCs w:val="16"/>
        </w:rPr>
        <w:t xml:space="preserve"> </w:t>
      </w:r>
      <w:r w:rsidRPr="00DE096C">
        <w:rPr>
          <w:rStyle w:val="43"/>
          <w:rFonts w:ascii="Times New Roman" w:hAnsi="Times New Roman" w:cs="Times New Roman"/>
          <w:bCs/>
          <w:color w:val="002060"/>
          <w:w w:val="100"/>
          <w:sz w:val="16"/>
          <w:szCs w:val="16"/>
          <w:lang w:val="en-US"/>
        </w:rPr>
        <w:t>Airship</w:t>
      </w:r>
      <w:r w:rsidRPr="00DE096C">
        <w:rPr>
          <w:rStyle w:val="43"/>
          <w:rFonts w:ascii="Times New Roman" w:hAnsi="Times New Roman" w:cs="Times New Roman"/>
          <w:bCs/>
          <w:color w:val="002060"/>
          <w:w w:val="100"/>
          <w:sz w:val="16"/>
          <w:szCs w:val="16"/>
        </w:rPr>
        <w:t xml:space="preserve"> № 4 (</w:t>
      </w:r>
      <w:r w:rsidRPr="00DE096C">
        <w:rPr>
          <w:rStyle w:val="43"/>
          <w:rFonts w:ascii="Times New Roman" w:hAnsi="Times New Roman" w:cs="Times New Roman"/>
          <w:bCs/>
          <w:color w:val="002060"/>
          <w:w w:val="100"/>
          <w:sz w:val="16"/>
          <w:szCs w:val="16"/>
          <w:lang w:val="en-US"/>
        </w:rPr>
        <w:t>PL</w:t>
      </w:r>
      <w:r w:rsidRPr="00DE096C">
        <w:rPr>
          <w:rStyle w:val="43"/>
          <w:rFonts w:ascii="Times New Roman" w:hAnsi="Times New Roman" w:cs="Times New Roman"/>
          <w:bCs/>
          <w:color w:val="002060"/>
          <w:w w:val="100"/>
          <w:sz w:val="16"/>
          <w:szCs w:val="16"/>
        </w:rPr>
        <w:t>-18) и «</w:t>
      </w:r>
      <w:r w:rsidRPr="00DE096C">
        <w:rPr>
          <w:rStyle w:val="43"/>
          <w:rFonts w:ascii="Times New Roman" w:hAnsi="Times New Roman" w:cs="Times New Roman"/>
          <w:bCs/>
          <w:color w:val="002060"/>
          <w:w w:val="100"/>
          <w:sz w:val="16"/>
          <w:szCs w:val="16"/>
          <w:lang w:val="en-US"/>
        </w:rPr>
        <w:t>Beta</w:t>
      </w:r>
      <w:r w:rsidRPr="00DE096C">
        <w:rPr>
          <w:rStyle w:val="43"/>
          <w:rFonts w:ascii="Times New Roman" w:hAnsi="Times New Roman" w:cs="Times New Roman"/>
          <w:bCs/>
          <w:color w:val="002060"/>
          <w:w w:val="100"/>
          <w:sz w:val="16"/>
          <w:szCs w:val="16"/>
        </w:rPr>
        <w:t>» (20120).</w:t>
      </w:r>
    </w:p>
    <w:p w14:paraId="1119DF09" w14:textId="77777777" w:rsidR="006F1FDC" w:rsidRPr="00DE096C" w:rsidRDefault="006F1FDC" w:rsidP="00D45A46">
      <w:pPr>
        <w:jc w:val="both"/>
        <w:rPr>
          <w:rStyle w:val="43"/>
          <w:rFonts w:ascii="Times New Roman" w:hAnsi="Times New Roman" w:cs="Times New Roman"/>
          <w:bCs/>
          <w:color w:val="002060"/>
          <w:w w:val="100"/>
          <w:sz w:val="16"/>
          <w:szCs w:val="16"/>
        </w:rPr>
      </w:pPr>
    </w:p>
    <w:p w14:paraId="09FD3147" w14:textId="77777777" w:rsidR="006D34A5" w:rsidRPr="00DE096C" w:rsidRDefault="006D34A5" w:rsidP="00D45A46">
      <w:pPr>
        <w:jc w:val="both"/>
        <w:rPr>
          <w:bCs/>
          <w:i/>
          <w:color w:val="002060"/>
          <w:sz w:val="16"/>
          <w:szCs w:val="16"/>
        </w:rPr>
      </w:pPr>
      <w:r w:rsidRPr="00DE096C">
        <w:rPr>
          <w:bCs/>
          <w:i/>
          <w:color w:val="002060"/>
          <w:sz w:val="16"/>
          <w:szCs w:val="16"/>
        </w:rPr>
        <w:t>Другие оборонные отрасли:</w:t>
      </w:r>
    </w:p>
    <w:p w14:paraId="515824DE" w14:textId="77777777" w:rsidR="006D34A5" w:rsidRPr="00DE096C" w:rsidRDefault="006D34A5" w:rsidP="00D45A46">
      <w:pPr>
        <w:jc w:val="both"/>
        <w:rPr>
          <w:bCs/>
          <w:i/>
          <w:color w:val="002060"/>
          <w:sz w:val="16"/>
          <w:szCs w:val="16"/>
        </w:rPr>
      </w:pPr>
    </w:p>
    <w:p w14:paraId="2F7C3688" w14:textId="77777777" w:rsidR="006F1FDC" w:rsidRPr="00DE096C" w:rsidRDefault="006F1FDC" w:rsidP="00D45A46">
      <w:pPr>
        <w:jc w:val="both"/>
        <w:rPr>
          <w:bCs/>
          <w:color w:val="002060"/>
          <w:sz w:val="16"/>
          <w:szCs w:val="16"/>
        </w:rPr>
      </w:pPr>
      <w:r w:rsidRPr="00DE096C">
        <w:rPr>
          <w:bCs/>
          <w:color w:val="002060"/>
          <w:sz w:val="16"/>
          <w:szCs w:val="16"/>
        </w:rPr>
        <w:t>К августу 1914 года Российская армия практически осталась без тяжелой артиллерии, но опережала все другие по числу полевых трехдюймовых (76-мм) пушек. Еще в 1911 году Николай II полностью упразднил тяжелую (осадную) артиллерию, а новые полки тяжелой артиллерии планировалось сформировать только к 1921 году! Объяснялось это тем, что как император и верховный главнокомандующий Николай II, так и его родственник великий князь Сергей Михайлович, непосредственно ведавший артиллерией, — оба свято придерживались французской военной доктрины, утверждавшей, что будущая война станет маневренной и поэтому может быть выиграна с помощью одних лишь трехдюймовок (22974).</w:t>
      </w:r>
    </w:p>
    <w:p w14:paraId="4B44B92D" w14:textId="77777777" w:rsidR="006F1FDC" w:rsidRPr="00DE096C" w:rsidRDefault="006F1FDC" w:rsidP="00D45A46">
      <w:pPr>
        <w:jc w:val="both"/>
        <w:rPr>
          <w:bCs/>
          <w:color w:val="002060"/>
          <w:sz w:val="16"/>
          <w:szCs w:val="16"/>
        </w:rPr>
      </w:pPr>
    </w:p>
    <w:p w14:paraId="3D8B3BB4" w14:textId="77777777" w:rsidR="006D34A5" w:rsidRPr="00DE096C" w:rsidRDefault="006D34A5" w:rsidP="00D45A46">
      <w:pPr>
        <w:pStyle w:val="p1"/>
        <w:spacing w:before="0" w:beforeAutospacing="0" w:after="0" w:afterAutospacing="0"/>
        <w:jc w:val="both"/>
        <w:rPr>
          <w:bCs/>
          <w:color w:val="002060"/>
          <w:sz w:val="16"/>
          <w:szCs w:val="16"/>
        </w:rPr>
      </w:pPr>
      <w:r w:rsidRPr="00DE096C">
        <w:rPr>
          <w:bCs/>
          <w:color w:val="002060"/>
          <w:sz w:val="16"/>
          <w:szCs w:val="16"/>
        </w:rPr>
        <w:t>К августу 1915 в начале войны способность промышленности снабжать фронт артиллерийскими снарядами, сама по себе недостаточная, была подорвана прекращением ввоза из Германии основного сырья для изготовления взрывчатых веществ — бензола и толуола. Правительство, готовясь к войне, недооценило серьезность этой давно выявленной угрозы, как и затруднений с получением селитры из Чили — основного поставщика другого главного сырья. Германия, также использовавшая до войны чилийскую селитру и теперь ее лишившаяся, преодолела последствия этого урона благодаря тому, что немецкие химики сумели поставить в промышленном масштабе собственное производство, основанное на новой технологии получения связанного азота. В России разработки в этой области не дали ощутимого результата (18409).</w:t>
      </w:r>
    </w:p>
    <w:p w14:paraId="217E472D" w14:textId="77777777" w:rsidR="006D34A5" w:rsidRPr="00DE096C" w:rsidRDefault="006D34A5" w:rsidP="00D45A46">
      <w:pPr>
        <w:pStyle w:val="p1"/>
        <w:spacing w:before="0" w:beforeAutospacing="0" w:after="0" w:afterAutospacing="0"/>
        <w:jc w:val="both"/>
        <w:rPr>
          <w:bCs/>
          <w:color w:val="002060"/>
          <w:sz w:val="16"/>
          <w:szCs w:val="16"/>
        </w:rPr>
      </w:pPr>
    </w:p>
    <w:p w14:paraId="047D5A93" w14:textId="77777777" w:rsidR="006D34A5" w:rsidRPr="00DE096C" w:rsidRDefault="006D34A5" w:rsidP="00D45A46">
      <w:pPr>
        <w:pStyle w:val="p1"/>
        <w:spacing w:before="0" w:beforeAutospacing="0" w:after="0" w:afterAutospacing="0"/>
        <w:jc w:val="both"/>
        <w:rPr>
          <w:bCs/>
          <w:color w:val="002060"/>
          <w:sz w:val="16"/>
          <w:szCs w:val="16"/>
        </w:rPr>
      </w:pPr>
      <w:r w:rsidRPr="00DE096C">
        <w:rPr>
          <w:bCs/>
          <w:color w:val="002060"/>
          <w:sz w:val="16"/>
          <w:szCs w:val="16"/>
        </w:rPr>
        <w:t>К августу 1914 к началу войны существовала программа моторизации войск (создание за 1914–1920 гг. 44 автомобильных рот, 44 транспортов, не считая запасных, ремонтных, крепостных команд, рот, мастерских), выполненная в какой-то мере только в организационной части (создано пять автомобильных рот и шесть отдельных автокоманд). Из-за недостатка материальной части в 1915 г. удалось сформировать только четыре отдельные автомобильные роты, причем укомплектованность их машинами «не превышала 70%» (18366).</w:t>
      </w:r>
    </w:p>
    <w:p w14:paraId="580868FB" w14:textId="77777777" w:rsidR="006D34A5" w:rsidRPr="00DE096C" w:rsidRDefault="006D34A5" w:rsidP="00D45A46">
      <w:pPr>
        <w:pStyle w:val="p1"/>
        <w:spacing w:before="0" w:beforeAutospacing="0" w:after="0" w:afterAutospacing="0"/>
        <w:jc w:val="both"/>
        <w:rPr>
          <w:bCs/>
          <w:color w:val="002060"/>
          <w:sz w:val="16"/>
          <w:szCs w:val="16"/>
        </w:rPr>
      </w:pPr>
    </w:p>
    <w:p w14:paraId="55B04C22" w14:textId="77777777" w:rsidR="006D34A5" w:rsidRPr="00DE096C" w:rsidRDefault="006D34A5" w:rsidP="00D45A46">
      <w:pPr>
        <w:pStyle w:val="p1"/>
        <w:spacing w:before="0" w:beforeAutospacing="0" w:after="0" w:afterAutospacing="0"/>
        <w:jc w:val="both"/>
        <w:rPr>
          <w:bCs/>
          <w:color w:val="002060"/>
          <w:sz w:val="16"/>
          <w:szCs w:val="16"/>
        </w:rPr>
      </w:pPr>
      <w:r w:rsidRPr="00DE096C">
        <w:rPr>
          <w:bCs/>
          <w:color w:val="002060"/>
          <w:sz w:val="16"/>
          <w:szCs w:val="16"/>
        </w:rPr>
        <w:t>К августу 1914 в плане реконструкции Ижевского завода обнаружились «ошибки и упущения», настолько серьезные, «что осуществление проекта пришлось отложить». Дело касалось «крупнейшего и главнейшего из всего плана переустройства Ижевских заводов» здания, предназначенного для сверлильно-токарной мастерской: ее предстояло перевести туда из старых деревянных бараков. Проект этого здания был в 1913 г. составлен на заводе неудачно; в Петербурге переделан еще более неудачно и утвержден. Когда выявилась необходимость начать все сначала, то оказалось, что уже «создавшееся положение не дает надежды на скорый приступ к постройке здания и, несмотря на крайнюю спешность таковой, едва ли окажется возможным приступить к постройке фундамента ранее весны 1915 года». Сверлильно-токарный цех еще не был восстановлен в полной мере после предвоенного сокращения — часть его помещений была занята под склады и ремонтные мастерские; значительное число станков негде было поставить. Площадь существовавших «сверлильно-токарных бараков» не позволяла одновременно делать стволы ружей и снаряды: приходилось «увеличивая выход стволов, сокращать выход снарядов, и наоборот». От этого возможная производительность по стволам падала на 30%.</w:t>
      </w:r>
    </w:p>
    <w:p w14:paraId="6765A438" w14:textId="77777777" w:rsidR="006D34A5" w:rsidRPr="00DE096C" w:rsidRDefault="006D34A5" w:rsidP="00D45A46">
      <w:pPr>
        <w:pStyle w:val="p1"/>
        <w:spacing w:before="0" w:beforeAutospacing="0" w:after="0" w:afterAutospacing="0"/>
        <w:jc w:val="both"/>
        <w:rPr>
          <w:bCs/>
          <w:color w:val="002060"/>
          <w:sz w:val="16"/>
          <w:szCs w:val="16"/>
        </w:rPr>
      </w:pPr>
      <w:r w:rsidRPr="00DE096C">
        <w:rPr>
          <w:bCs/>
          <w:color w:val="002060"/>
          <w:sz w:val="16"/>
          <w:szCs w:val="16"/>
        </w:rPr>
        <w:t>А кроме того, предстояло разместить «имеющие прибыть из Америки станки», заметил посетивший завод эксперт ЦВПК. По его мнению, постройка задерживалась нехваткой рабочих рук, на что и ссылался подрядчик; в ГАУ причину видели в неумелом составлении проекта; подрядчику же было интересно продать заводу здание собственного бывшего пивоваренного завода, пригодное для устройства механического цеха. К сверлению и черновой обработке стволов Ижевский завод с конца 1914 г. привлекал в помощь местных фабрикантов охотничьего оружия, которые довели выпуск до 600 стволов в сутки; сам завод с окончанием его дополнительного оборудования станками и двигателями рассчитывал в будущем изготовлять до 1 млн. в год просверленных, обточенных и закаленных ствольных болванок для других казенных заводов (18409).</w:t>
      </w:r>
    </w:p>
    <w:p w14:paraId="4159D973" w14:textId="77777777" w:rsidR="006D34A5" w:rsidRPr="00DE096C" w:rsidRDefault="006D34A5" w:rsidP="00D45A46">
      <w:pPr>
        <w:pStyle w:val="p1"/>
        <w:spacing w:before="0" w:beforeAutospacing="0" w:after="0" w:afterAutospacing="0"/>
        <w:jc w:val="both"/>
        <w:rPr>
          <w:bCs/>
          <w:color w:val="002060"/>
          <w:sz w:val="16"/>
          <w:szCs w:val="16"/>
        </w:rPr>
      </w:pPr>
    </w:p>
    <w:p w14:paraId="2EF7FA34" w14:textId="77777777" w:rsidR="006D34A5" w:rsidRPr="00DE096C" w:rsidRDefault="006D34A5" w:rsidP="00D45A46">
      <w:pPr>
        <w:pStyle w:val="p1"/>
        <w:spacing w:before="0" w:beforeAutospacing="0" w:after="0" w:afterAutospacing="0"/>
        <w:jc w:val="both"/>
        <w:rPr>
          <w:bCs/>
          <w:color w:val="002060"/>
          <w:sz w:val="16"/>
          <w:szCs w:val="16"/>
        </w:rPr>
      </w:pPr>
      <w:r w:rsidRPr="00DE096C">
        <w:rPr>
          <w:bCs/>
          <w:color w:val="002060"/>
          <w:sz w:val="16"/>
          <w:szCs w:val="16"/>
        </w:rPr>
        <w:t>К августу 1914 к началу войны пытаясь насадить производство автомобилей, военное ведомство имело опыт переговоров с рядом фирм, но выяснилось, что «без гарантии новым заводам определенных крупных казенных заказов на несколько лет вперед» либо устранения заграничной конкуренции введением запретительных пошлин «отечественная промышленность народиться и окрепнуть не может» (16366).</w:t>
      </w:r>
    </w:p>
    <w:p w14:paraId="7A46662B" w14:textId="77777777" w:rsidR="006D34A5" w:rsidRPr="00DE096C" w:rsidRDefault="006D34A5" w:rsidP="00D45A46">
      <w:pPr>
        <w:pStyle w:val="p1"/>
        <w:spacing w:before="0" w:beforeAutospacing="0" w:after="0" w:afterAutospacing="0"/>
        <w:jc w:val="both"/>
        <w:rPr>
          <w:bCs/>
          <w:color w:val="002060"/>
          <w:sz w:val="16"/>
          <w:szCs w:val="16"/>
        </w:rPr>
      </w:pPr>
    </w:p>
    <w:p w14:paraId="79CA722F" w14:textId="77777777" w:rsidR="006D34A5" w:rsidRPr="00DE096C" w:rsidRDefault="006D34A5" w:rsidP="00D45A46">
      <w:pPr>
        <w:jc w:val="both"/>
        <w:rPr>
          <w:bCs/>
          <w:color w:val="002060"/>
          <w:sz w:val="16"/>
          <w:szCs w:val="16"/>
        </w:rPr>
      </w:pPr>
      <w:r w:rsidRPr="00DE096C">
        <w:rPr>
          <w:bCs/>
          <w:color w:val="002060"/>
          <w:sz w:val="16"/>
          <w:szCs w:val="16"/>
        </w:rPr>
        <w:t>К августу 1914 первую мировую войну русская армия встретила, имея на вооружении искровых рот 72 полевые и четыре автомобильные станции, что составляло 96% от потребного количества в соответствии с существовавшими нормами снабжения. Военно-морской флот обладал 165 судовыми и 64 береговыми радиостанциями4, не уступая по этому показателю самым современным флотам того времени. Все пехотные части с соответствующими штабами и все инженерные войска к началу войны были полностью снабжены телеграфно-телефонным имуществом. Исключение составляли отдельные кавалерийские части и запасы инженерных складов, которые не в полной мере соответствовали установленным нормам.</w:t>
      </w:r>
    </w:p>
    <w:p w14:paraId="668B6AEF" w14:textId="77777777" w:rsidR="006D34A5" w:rsidRPr="00DE096C" w:rsidRDefault="006D34A5" w:rsidP="00D45A46">
      <w:pPr>
        <w:jc w:val="both"/>
        <w:rPr>
          <w:bCs/>
          <w:color w:val="002060"/>
          <w:sz w:val="16"/>
          <w:szCs w:val="16"/>
        </w:rPr>
      </w:pPr>
      <w:r w:rsidRPr="00DE096C">
        <w:rPr>
          <w:bCs/>
          <w:color w:val="002060"/>
          <w:sz w:val="16"/>
          <w:szCs w:val="16"/>
        </w:rPr>
        <w:t>Первые месяцы войны показали, что производственных мощностей предприятий было недостаточно для удовлетворения постоянно растущих потребностей армии, флота, почтово-телеграфного и железнодорожного ведомств. Так, ежемесячно требовалось около 800 телеграфных и 16000 телефонных аппаратов, в то время, как все отечественные предприятия могли дать их в начале войны не более 100 и 500 штук соответственно. В России не производились многие комплектующие и электроизмерительные приборы для радиостанций, магнето для питания аэропланных раций и др. (18297).</w:t>
      </w:r>
    </w:p>
    <w:p w14:paraId="0D924864" w14:textId="77777777" w:rsidR="006D34A5" w:rsidRPr="00DE096C" w:rsidRDefault="006D34A5" w:rsidP="00D45A46">
      <w:pPr>
        <w:jc w:val="both"/>
        <w:rPr>
          <w:bCs/>
          <w:color w:val="002060"/>
          <w:sz w:val="16"/>
          <w:szCs w:val="16"/>
        </w:rPr>
      </w:pPr>
    </w:p>
    <w:p w14:paraId="6FDA9982" w14:textId="77777777" w:rsidR="006D34A5" w:rsidRPr="00DE096C" w:rsidRDefault="006D34A5" w:rsidP="00D45A46">
      <w:pPr>
        <w:pStyle w:val="2"/>
        <w:spacing w:before="0" w:after="0"/>
        <w:jc w:val="both"/>
        <w:rPr>
          <w:b w:val="0"/>
          <w:bCs/>
          <w:color w:val="002060"/>
          <w:sz w:val="16"/>
          <w:szCs w:val="16"/>
        </w:rPr>
      </w:pPr>
      <w:r w:rsidRPr="00DE096C">
        <w:rPr>
          <w:b w:val="0"/>
          <w:bCs/>
          <w:color w:val="002060"/>
          <w:sz w:val="16"/>
          <w:szCs w:val="16"/>
        </w:rPr>
        <w:t>К августу 1914 к началу первой мировой войны на аэродроме МОВ на Ходынке стал действовать крупнейший в то время в России научно-испытательный центр, где были заложены основы летно-испытательной службы. Кроме того, МОВ выступило с рядом интересных и перспективных проектов развития авиационного центра и сети воздушных сообщений, так и нереализованных. Одним из главных недостатков Ходынского авиационного центра было отсутствие прочных связей между научными исследованиями, проводимыми НТК МОВ во главе с Н.Е.Жуковским, и выпуском серийной продукции на «Дуксе». Такие связи начали устанавливать только в 1916 г. в связи с организацией Авиационного расчетно-испытательного бюро (АРИБ).</w:t>
      </w:r>
    </w:p>
    <w:p w14:paraId="304011EE" w14:textId="77777777" w:rsidR="006D34A5" w:rsidRPr="00DE096C" w:rsidRDefault="006D34A5" w:rsidP="00D45A46">
      <w:pPr>
        <w:pStyle w:val="2"/>
        <w:spacing w:before="0" w:after="0"/>
        <w:jc w:val="both"/>
        <w:rPr>
          <w:b w:val="0"/>
          <w:bCs/>
          <w:color w:val="002060"/>
          <w:sz w:val="16"/>
          <w:szCs w:val="16"/>
        </w:rPr>
      </w:pPr>
      <w:r w:rsidRPr="00DE096C">
        <w:rPr>
          <w:b w:val="0"/>
          <w:bCs/>
          <w:color w:val="002060"/>
          <w:sz w:val="16"/>
          <w:szCs w:val="16"/>
        </w:rPr>
        <w:t>В обзоре русской авиации за 1913 г. отмечалось, что его «можно назвать годом независимой от Запада русской авиации, причем главенствующую роль играет военная авиация... В прошлом году окончательно выяснилось превалирование военной авиации над частной. Вся наша частная авиация находится в сильной зависимости от военной... За минувший 1913 год русская авиационная промышленность вполне окрепла. И теперь у нас несколько превосходно оборудованных авиазаводов... На московском заводе «Дукс» находятся авиатор А.М.Габер-Влынский, авиатор конструктор Ф.Моска и др. лица... Единственная беда этих фабрик — почти полное отсутствие частных заказов. Несмотря на то, что русских авиаторов ежегодно кончает авиационные школы весьма много, у наших авиазаводов заказов от них почти нет... Частные летчики почти не дают заказов нашим заводам. Однако дела авиазаводов идут превосходно, т.к. их поддерживает крупными заказами наше военное ведомство. Вся наша промышленная авиация держится на заказах военного ведомства, так же как и вся вообще русская авиация зиждется на военной авиации.»</w:t>
      </w:r>
    </w:p>
    <w:p w14:paraId="24FC9B20" w14:textId="77777777" w:rsidR="006D34A5" w:rsidRPr="00DE096C" w:rsidRDefault="006D34A5" w:rsidP="00D45A46">
      <w:pPr>
        <w:pStyle w:val="2"/>
        <w:spacing w:before="0" w:after="0"/>
        <w:jc w:val="both"/>
        <w:rPr>
          <w:b w:val="0"/>
          <w:bCs/>
          <w:color w:val="002060"/>
          <w:sz w:val="16"/>
          <w:szCs w:val="16"/>
        </w:rPr>
      </w:pPr>
      <w:r w:rsidRPr="00DE096C">
        <w:rPr>
          <w:b w:val="0"/>
          <w:bCs/>
          <w:color w:val="002060"/>
          <w:sz w:val="16"/>
          <w:szCs w:val="16"/>
        </w:rPr>
        <w:t>Далее шло очень простое объяснение этому странному явлению: «Теперь все авиаторы, даже молодые, превосходно поняли, что постройка аэроплана, а тем более копировка существующего типа дело весьма не сложное. Вместо того, чтобы платить заводу за аппарат 8—10 тысяч рублей, каждый авиатор сможет провести постройку того же аэроплана за 5—6 тысяч. Помимо сохранения денег летчик получает навык в постройке, что является чрезвычайно ценным в дальнейшей деятельности.» (15464).</w:t>
      </w:r>
    </w:p>
    <w:p w14:paraId="09D7CEEE" w14:textId="77777777" w:rsidR="006D34A5" w:rsidRPr="00DE096C" w:rsidRDefault="006D34A5" w:rsidP="00D45A46">
      <w:pPr>
        <w:pStyle w:val="2"/>
        <w:spacing w:before="0" w:after="0"/>
        <w:jc w:val="both"/>
        <w:rPr>
          <w:b w:val="0"/>
          <w:bCs/>
          <w:color w:val="002060"/>
          <w:sz w:val="16"/>
          <w:szCs w:val="16"/>
        </w:rPr>
      </w:pPr>
    </w:p>
    <w:p w14:paraId="372A2BB2" w14:textId="77777777" w:rsidR="006D34A5" w:rsidRPr="00DE096C" w:rsidRDefault="006D34A5" w:rsidP="00D45A46">
      <w:pPr>
        <w:pStyle w:val="21"/>
        <w:shd w:val="clear" w:color="auto" w:fill="auto"/>
        <w:spacing w:after="0" w:line="240" w:lineRule="auto"/>
        <w:ind w:firstLine="0"/>
        <w:jc w:val="both"/>
        <w:rPr>
          <w:rFonts w:ascii="Times New Roman" w:hAnsi="Times New Roman" w:cs="Times New Roman"/>
          <w:bCs/>
          <w:color w:val="002060"/>
          <w:spacing w:val="0"/>
          <w:sz w:val="16"/>
          <w:szCs w:val="16"/>
        </w:rPr>
      </w:pPr>
      <w:r w:rsidRPr="00DE096C">
        <w:rPr>
          <w:rFonts w:ascii="Times New Roman" w:hAnsi="Times New Roman" w:cs="Times New Roman"/>
          <w:bCs/>
          <w:color w:val="002060"/>
          <w:spacing w:val="0"/>
          <w:sz w:val="16"/>
          <w:szCs w:val="16"/>
        </w:rPr>
        <w:t>К августу 1914 и началу военных действий в России имелось только 2 446 000 050 патронов, что сразу же создавало некомплект как минимум в 11% от нормы. В самые первые месяцы войны поставки винтовочных патронов в войска в целом соответствовали фактическим нуждам армии. Например, на активно сражающемся Северо-Западном фронте суточный расход патронов даже в ноябре-декабре 1914 года не превышал 2-2,5 штуки на каждую строевую винтовку. Однако уже в феврале 1915 года начальник снабжений Северо-Западного фронта стал бить тревогу по поводу незначительности поставок винтовочного боезапаса и просил военное ведомство высылать на фронт «не менее 75 млн винтовочных патронов в месяц (или не менее 19 млн в неделю) – ввиду того, что количество войск возросло и расход боезапаса возрастает». В начале марта 1915 года генерал-лейтенант А.В. Гулевич с этого же фронта панически телеграфировал в Ставку о «чрезмерно большом расходе ружейных патронов» и необходимости срочного отпуска со складов в среднем 20 миллионов патронов в неделю (15230).</w:t>
      </w:r>
    </w:p>
    <w:p w14:paraId="67DB1E15" w14:textId="77777777" w:rsidR="006D34A5" w:rsidRPr="00DE096C" w:rsidRDefault="006D34A5" w:rsidP="00D45A46">
      <w:pPr>
        <w:pStyle w:val="21"/>
        <w:shd w:val="clear" w:color="auto" w:fill="auto"/>
        <w:spacing w:after="0" w:line="240" w:lineRule="auto"/>
        <w:ind w:firstLine="0"/>
        <w:jc w:val="both"/>
        <w:rPr>
          <w:rFonts w:ascii="Times New Roman" w:hAnsi="Times New Roman" w:cs="Times New Roman"/>
          <w:bCs/>
          <w:color w:val="002060"/>
          <w:spacing w:val="0"/>
          <w:sz w:val="16"/>
          <w:szCs w:val="16"/>
        </w:rPr>
      </w:pPr>
    </w:p>
    <w:p w14:paraId="5C1E0456" w14:textId="77777777" w:rsidR="006D34A5" w:rsidRPr="00DE096C" w:rsidRDefault="006D34A5" w:rsidP="00D45A46">
      <w:pPr>
        <w:pStyle w:val="ae"/>
        <w:spacing w:before="0" w:beforeAutospacing="0" w:after="0" w:afterAutospacing="0"/>
        <w:jc w:val="both"/>
        <w:rPr>
          <w:bCs/>
          <w:color w:val="002060"/>
          <w:sz w:val="16"/>
          <w:szCs w:val="16"/>
        </w:rPr>
      </w:pPr>
      <w:r w:rsidRPr="00DE096C">
        <w:rPr>
          <w:bCs/>
          <w:color w:val="002060"/>
          <w:sz w:val="16"/>
          <w:szCs w:val="16"/>
        </w:rPr>
        <w:t>К августу 1914 и началу Первой мировой войны русская армия отличалась довольно высокой степенью насыщенности радиоустановками: 17 стационарных, около 100 полевых и свыше 30 легких кавалерийских радиостанций. Однако в период военных действий армия столкнулась с острым недостатком в средствах радиосвязи, и начиная с 1915 года недостаток связной радиотехники восполнялся поставками из Англии и Франции. В 1917 году в Москве создается «Электротехнический завод Военного ведомства» но внести какой-либо заметный вклад общую картину он не успел (15736).</w:t>
      </w:r>
    </w:p>
    <w:p w14:paraId="069948FD" w14:textId="77777777" w:rsidR="006D34A5" w:rsidRPr="00DE096C" w:rsidRDefault="006D34A5" w:rsidP="00D45A46">
      <w:pPr>
        <w:pStyle w:val="ae"/>
        <w:spacing w:before="0" w:beforeAutospacing="0" w:after="0" w:afterAutospacing="0"/>
        <w:jc w:val="both"/>
        <w:rPr>
          <w:bCs/>
          <w:color w:val="002060"/>
          <w:sz w:val="16"/>
          <w:szCs w:val="16"/>
        </w:rPr>
      </w:pPr>
    </w:p>
    <w:p w14:paraId="4191BB0C" w14:textId="77777777" w:rsidR="00B67D7C" w:rsidRPr="00DE096C" w:rsidRDefault="00B67D7C" w:rsidP="00D45A46">
      <w:pPr>
        <w:jc w:val="both"/>
        <w:rPr>
          <w:bCs/>
          <w:i/>
          <w:color w:val="002060"/>
          <w:sz w:val="16"/>
          <w:szCs w:val="16"/>
        </w:rPr>
      </w:pPr>
      <w:r w:rsidRPr="00DE096C">
        <w:rPr>
          <w:bCs/>
          <w:i/>
          <w:color w:val="002060"/>
          <w:sz w:val="16"/>
          <w:szCs w:val="16"/>
        </w:rPr>
        <w:t>Армия:</w:t>
      </w:r>
    </w:p>
    <w:p w14:paraId="0EC18A7D" w14:textId="77777777" w:rsidR="00B67D7C" w:rsidRPr="00DE096C" w:rsidRDefault="00B67D7C" w:rsidP="00D45A46">
      <w:pPr>
        <w:jc w:val="both"/>
        <w:rPr>
          <w:bCs/>
          <w:i/>
          <w:color w:val="002060"/>
          <w:sz w:val="16"/>
          <w:szCs w:val="16"/>
        </w:rPr>
      </w:pPr>
    </w:p>
    <w:p w14:paraId="31EA89B2" w14:textId="77777777" w:rsidR="006D34A5" w:rsidRPr="00DE096C" w:rsidRDefault="006D34A5" w:rsidP="00D45A46">
      <w:pPr>
        <w:jc w:val="both"/>
        <w:rPr>
          <w:bCs/>
          <w:color w:val="002060"/>
          <w:sz w:val="16"/>
          <w:szCs w:val="16"/>
        </w:rPr>
      </w:pPr>
      <w:r w:rsidRPr="00DE096C">
        <w:rPr>
          <w:bCs/>
          <w:color w:val="002060"/>
          <w:sz w:val="16"/>
          <w:szCs w:val="16"/>
        </w:rPr>
        <w:lastRenderedPageBreak/>
        <w:t>К августу 1914 г. в русских пехотных и кавалерийских дивизиях не было артиллерии! В военное время к пехотной дивизии прикомандировывали артиллерийскую бригаду, оснащенную дивизионными орудиями. Что же касается батальонной и полковой артиллерии, то ее не было и в помине (15117).</w:t>
      </w:r>
    </w:p>
    <w:p w14:paraId="0DB1328E" w14:textId="77777777" w:rsidR="006D34A5" w:rsidRPr="00DE096C" w:rsidRDefault="006D34A5" w:rsidP="00D45A46">
      <w:pPr>
        <w:jc w:val="both"/>
        <w:rPr>
          <w:bCs/>
          <w:color w:val="002060"/>
          <w:sz w:val="16"/>
          <w:szCs w:val="16"/>
        </w:rPr>
      </w:pPr>
    </w:p>
    <w:p w14:paraId="61ED3099" w14:textId="77777777" w:rsidR="00B67D7C" w:rsidRPr="00DE096C" w:rsidRDefault="00B67D7C" w:rsidP="00D45A46">
      <w:pPr>
        <w:jc w:val="both"/>
        <w:rPr>
          <w:bCs/>
          <w:color w:val="002060"/>
          <w:sz w:val="16"/>
          <w:szCs w:val="16"/>
        </w:rPr>
      </w:pPr>
      <w:r w:rsidRPr="00DE096C">
        <w:rPr>
          <w:bCs/>
          <w:color w:val="002060"/>
          <w:sz w:val="16"/>
          <w:szCs w:val="16"/>
        </w:rPr>
        <w:t xml:space="preserve">К августу 1914 года русская армия имела 39 саперных батальонов, 9 понтонных батальонов, всего-навсего 7 радиорот, 39 полевых инженерных парков, 4 осадных инженерных парка, 30 корпусных авиаотрядов, 6 авиарот. </w:t>
      </w:r>
    </w:p>
    <w:p w14:paraId="636E5491" w14:textId="77777777" w:rsidR="00B67D7C" w:rsidRPr="00DE096C" w:rsidRDefault="00B67D7C" w:rsidP="00D45A46">
      <w:pPr>
        <w:jc w:val="both"/>
        <w:rPr>
          <w:bCs/>
          <w:color w:val="002060"/>
          <w:sz w:val="16"/>
          <w:szCs w:val="16"/>
        </w:rPr>
      </w:pPr>
      <w:r w:rsidRPr="00DE096C">
        <w:rPr>
          <w:bCs/>
          <w:color w:val="002060"/>
          <w:sz w:val="16"/>
          <w:szCs w:val="16"/>
        </w:rPr>
        <w:t xml:space="preserve">Общее развитие науки и техники во второй половине 19 века предопределили значительный рост технической оснащенности инженерных войск, несмотря на все невнимание правительства и верховного командования к ним. Можно без преувеличения сказать, что инженерные войска были самым оснащенным технически родом войск в армии. Инженерные войска располагали автомобилями, мотоциклами, самолетами, электростанциями, радиостанциями, телеграфными станциями. Впрочем, в этой области инженерные войска скорее выступали в роли органа технически-боевого обеспечения пехоты, артиллерии и кавалерии. Инженерные войска отвечали за техническое содержание этих машин, их ремонт, обеспечение запчастями, горючим, обучение личного состава; а оперативно эта техника работала непосредственно на пехоту, артиллерию и кавалерию и не решала задач непосредственного инженерного обеспечения боя. </w:t>
      </w:r>
    </w:p>
    <w:p w14:paraId="1AAF299A" w14:textId="77777777" w:rsidR="00B67D7C" w:rsidRPr="00DE096C" w:rsidRDefault="00B67D7C" w:rsidP="00D45A46">
      <w:pPr>
        <w:jc w:val="both"/>
        <w:rPr>
          <w:bCs/>
          <w:color w:val="002060"/>
          <w:sz w:val="16"/>
          <w:szCs w:val="16"/>
        </w:rPr>
      </w:pPr>
      <w:r w:rsidRPr="00DE096C">
        <w:rPr>
          <w:bCs/>
          <w:color w:val="002060"/>
          <w:sz w:val="16"/>
          <w:szCs w:val="16"/>
        </w:rPr>
        <w:t xml:space="preserve">Для решения задач собственно инженерного обеспечения боя инженерные войска имели на вооружении легкие мостовые парки длиной 20м., понтонные парки Томиловского длиной 200м., телеграфное имущество, комплекты радиостанций, комплекты для подрывных работ с запасами пироксилиновой взрывчатки, огнепроводного шнура, электродетонаторами, капсюлями-детонаторами, комплекты шанцевого инструмента, запасы колючей проволоки. Однако в количественном отношении запасов инженерного имущества хватило лишь на 4-6 месяцев войны. </w:t>
      </w:r>
    </w:p>
    <w:p w14:paraId="4CDBB423" w14:textId="2680CEE9" w:rsidR="00B67D7C" w:rsidRPr="00DE096C" w:rsidRDefault="00B67D7C" w:rsidP="00D45A46">
      <w:pPr>
        <w:shd w:val="clear" w:color="auto" w:fill="FFFFFF"/>
        <w:jc w:val="both"/>
        <w:rPr>
          <w:bCs/>
          <w:color w:val="002060"/>
          <w:sz w:val="16"/>
          <w:szCs w:val="16"/>
        </w:rPr>
      </w:pPr>
    </w:p>
    <w:p w14:paraId="368E9923" w14:textId="3A5BB906" w:rsidR="006F1FDC" w:rsidRPr="00DE096C" w:rsidRDefault="006F1FDC" w:rsidP="00D45A46">
      <w:pPr>
        <w:shd w:val="clear" w:color="auto" w:fill="FFFFFF"/>
        <w:jc w:val="both"/>
        <w:rPr>
          <w:bCs/>
          <w:i/>
          <w:iCs/>
          <w:color w:val="002060"/>
          <w:sz w:val="16"/>
          <w:szCs w:val="16"/>
        </w:rPr>
      </w:pPr>
      <w:r w:rsidRPr="00DE096C">
        <w:rPr>
          <w:bCs/>
          <w:i/>
          <w:iCs/>
          <w:color w:val="002060"/>
          <w:sz w:val="16"/>
          <w:szCs w:val="16"/>
        </w:rPr>
        <w:t>Авиация и воздухоплавание за рубежом:</w:t>
      </w:r>
    </w:p>
    <w:p w14:paraId="6169F233" w14:textId="77777777" w:rsidR="006F1FDC" w:rsidRPr="00DE096C" w:rsidRDefault="006F1FDC" w:rsidP="00D45A46">
      <w:pPr>
        <w:shd w:val="clear" w:color="auto" w:fill="FFFFFF"/>
        <w:jc w:val="both"/>
        <w:rPr>
          <w:bCs/>
          <w:i/>
          <w:iCs/>
          <w:color w:val="002060"/>
          <w:sz w:val="16"/>
          <w:szCs w:val="16"/>
        </w:rPr>
      </w:pPr>
    </w:p>
    <w:p w14:paraId="04CAFB65" w14:textId="77777777" w:rsidR="006F1FDC" w:rsidRPr="00DE096C" w:rsidRDefault="006F1FDC" w:rsidP="00D45A46">
      <w:pPr>
        <w:jc w:val="both"/>
        <w:rPr>
          <w:rStyle w:val="43"/>
          <w:rFonts w:ascii="Times New Roman" w:hAnsi="Times New Roman" w:cs="Times New Roman"/>
          <w:bCs/>
          <w:color w:val="002060"/>
          <w:sz w:val="16"/>
          <w:szCs w:val="16"/>
        </w:rPr>
      </w:pPr>
      <w:r w:rsidRPr="00DE096C">
        <w:rPr>
          <w:bCs/>
          <w:color w:val="002060"/>
          <w:sz w:val="16"/>
          <w:szCs w:val="16"/>
        </w:rPr>
        <w:t>К августу 1914 г. в составе Воздушных войск Австро-венгерской монархии числились лишь 48 самолетов, 1 дирижабль и 12 привязных аэростатов. Мобилизационных резервов аэропланов не было, и большинство из 85 подготовленных военных пилотов оказались «безлошадными». Основным тактическим звеном австро-венгерской военной авиации стали летные роты (Fliegerkompanie, сокращенно Flik), иногда их называли «летными командами» — Fliegerkommando. Они могли включать 8 и более пилотов. К 1914 г. летные роты еще не имели специализации, и их функции ограничивались разведкой, наблюдением за полем боя и курьерской связью. Закупал матчасть Авиационный арсенал и передавал ее трем территориальным авиапаркам, а те — ротам комплектов летных принадлежностей, которые снабжали всем роты летные (22732).</w:t>
      </w:r>
    </w:p>
    <w:p w14:paraId="7A1B0CE2" w14:textId="77777777" w:rsidR="006F1FDC" w:rsidRPr="00DE096C" w:rsidRDefault="006F1FDC" w:rsidP="00D45A46">
      <w:pPr>
        <w:jc w:val="both"/>
        <w:rPr>
          <w:rStyle w:val="43"/>
          <w:rFonts w:ascii="Times New Roman" w:hAnsi="Times New Roman" w:cs="Times New Roman"/>
          <w:bCs/>
          <w:color w:val="002060"/>
          <w:sz w:val="16"/>
          <w:szCs w:val="16"/>
        </w:rPr>
      </w:pPr>
    </w:p>
    <w:p w14:paraId="2A7F7561" w14:textId="77777777" w:rsidR="00062977" w:rsidRPr="00B52707" w:rsidRDefault="00062977" w:rsidP="00062977">
      <w:pPr>
        <w:jc w:val="both"/>
        <w:rPr>
          <w:color w:val="0070C0"/>
          <w:sz w:val="16"/>
          <w:szCs w:val="16"/>
        </w:rPr>
      </w:pPr>
      <w:r w:rsidRPr="00B52707">
        <w:rPr>
          <w:color w:val="0070C0"/>
          <w:sz w:val="16"/>
          <w:szCs w:val="16"/>
        </w:rPr>
        <w:t>К августу 1914 г. в составе Воздушных войск Австро-Венгерской монархии числились лишь 48 самолетов, один дирижабль и двенадцать привязных аэростатов.</w:t>
      </w:r>
    </w:p>
    <w:p w14:paraId="76C6C893" w14:textId="77777777" w:rsidR="00062977" w:rsidRPr="00B52707" w:rsidRDefault="00062977" w:rsidP="00062977">
      <w:pPr>
        <w:jc w:val="both"/>
        <w:rPr>
          <w:color w:val="0070C0"/>
          <w:sz w:val="16"/>
          <w:szCs w:val="16"/>
        </w:rPr>
      </w:pPr>
      <w:r w:rsidRPr="00B52707">
        <w:rPr>
          <w:color w:val="0070C0"/>
          <w:sz w:val="16"/>
          <w:szCs w:val="16"/>
        </w:rPr>
        <w:t>О мобилизационных резервах аэропланов правительство вообще не позаботилось, даже не попытавшись сагитировать к этому владельцев частных воздушных судов на общественных началах, коли не имело возможности привлечь их материальными выгодами, и большинство из 85 подготовленных военных пилотов являлись «безлошадными». Таким образом, организована австрийская военная авиация оказалась куда рациональнее немецкой, но явно уступала технически.</w:t>
      </w:r>
    </w:p>
    <w:p w14:paraId="4309B466" w14:textId="77777777" w:rsidR="00062977" w:rsidRPr="00B52707" w:rsidRDefault="00062977" w:rsidP="00062977">
      <w:pPr>
        <w:jc w:val="both"/>
        <w:rPr>
          <w:color w:val="0070C0"/>
          <w:sz w:val="16"/>
          <w:szCs w:val="16"/>
        </w:rPr>
      </w:pPr>
      <w:r w:rsidRPr="00B52707">
        <w:rPr>
          <w:color w:val="0070C0"/>
          <w:sz w:val="16"/>
          <w:szCs w:val="16"/>
        </w:rPr>
        <w:t>Основным тактическим звеном австро-венгерской военной авиации стали летные роты (Fliegerkompanie, сокращенно Flik), иногда их называли «летными командами» – Fliegerkommando. Они могли включать восемь и более пилотов, но ни одна не имела полного штата аэропланов – их надеялись начать выпускать «массово», как только начнется война.</w:t>
      </w:r>
    </w:p>
    <w:p w14:paraId="665A96C7" w14:textId="77777777" w:rsidR="00062977" w:rsidRPr="00B52707" w:rsidRDefault="00062977" w:rsidP="00062977">
      <w:pPr>
        <w:jc w:val="both"/>
        <w:rPr>
          <w:color w:val="0070C0"/>
          <w:sz w:val="16"/>
          <w:szCs w:val="16"/>
        </w:rPr>
      </w:pPr>
      <w:r w:rsidRPr="00B52707">
        <w:rPr>
          <w:color w:val="0070C0"/>
          <w:sz w:val="16"/>
          <w:szCs w:val="16"/>
        </w:rPr>
        <w:t>К 1914 г. австрийские летные роты еще не имели специализации и их задачи ограничивались разведкой, наблюдением за полем боя и курьерской связью (25724).</w:t>
      </w:r>
    </w:p>
    <w:p w14:paraId="3C573572" w14:textId="77777777" w:rsidR="00062977" w:rsidRPr="00B52707" w:rsidRDefault="00062977" w:rsidP="00062977">
      <w:pPr>
        <w:jc w:val="both"/>
        <w:rPr>
          <w:color w:val="0070C0"/>
          <w:sz w:val="16"/>
          <w:szCs w:val="16"/>
        </w:rPr>
      </w:pPr>
    </w:p>
    <w:p w14:paraId="7ACA26F8" w14:textId="77777777" w:rsidR="006F1FDC" w:rsidRPr="00DE096C" w:rsidRDefault="006F1FDC" w:rsidP="00D45A46">
      <w:pPr>
        <w:jc w:val="both"/>
        <w:rPr>
          <w:rStyle w:val="43"/>
          <w:rFonts w:ascii="Times New Roman" w:hAnsi="Times New Roman" w:cs="Times New Roman"/>
          <w:bCs/>
          <w:color w:val="002060"/>
          <w:sz w:val="16"/>
          <w:szCs w:val="16"/>
        </w:rPr>
      </w:pPr>
      <w:r w:rsidRPr="00DE096C">
        <w:rPr>
          <w:bCs/>
          <w:color w:val="002060"/>
          <w:sz w:val="16"/>
          <w:szCs w:val="16"/>
        </w:rPr>
        <w:t>К августу 1914 г. авиамоторы мощностью свыше 150 сил уже стояли на серийных самолетах, но их вес, ресурс, надежность и цена отпугивали заказчиков. Двигатели в 80–120 сил, пусть и не давали особой скорости, но и не сулили проблем, потому особо мощные «мерседесы», «аргусы» и BMW в серию пошли только в 1915 г. Поначалу считалось, что они нужны лишь бомбардировщикам, но расположение цилиндров в один ряд давало хорошее соотношение мощности и лобового сечения, позволяя истребителю набирать 1 000 м высоты за 4 минуты и разгоняться до 175–200 км/ч. Увеличивалась скорость выполнения эволюций и, следовательно, маневренность — несмотря на рост веса и нагрузки на крыло (22768).</w:t>
      </w:r>
    </w:p>
    <w:p w14:paraId="3845F573" w14:textId="77777777" w:rsidR="006F1FDC" w:rsidRPr="00DE096C" w:rsidRDefault="006F1FDC" w:rsidP="00D45A46">
      <w:pPr>
        <w:jc w:val="both"/>
        <w:rPr>
          <w:rStyle w:val="43"/>
          <w:rFonts w:ascii="Times New Roman" w:hAnsi="Times New Roman" w:cs="Times New Roman"/>
          <w:bCs/>
          <w:color w:val="002060"/>
          <w:sz w:val="16"/>
          <w:szCs w:val="16"/>
        </w:rPr>
      </w:pPr>
    </w:p>
    <w:p w14:paraId="239A8F96"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7B834468" w14:textId="77777777" w:rsidR="00B67D7C" w:rsidRPr="00DE096C" w:rsidRDefault="00B67D7C" w:rsidP="00D45A46">
      <w:pPr>
        <w:shd w:val="clear" w:color="auto" w:fill="FFFFFF"/>
        <w:jc w:val="both"/>
        <w:rPr>
          <w:bCs/>
          <w:i/>
          <w:color w:val="002060"/>
          <w:sz w:val="16"/>
          <w:szCs w:val="16"/>
        </w:rPr>
      </w:pPr>
    </w:p>
    <w:p w14:paraId="75E43E9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 (14) августа 1914 г. командир порта Императора Петра Великого (Ревель) получил инст</w:t>
      </w:r>
      <w:r w:rsidRPr="00DE096C">
        <w:rPr>
          <w:bCs/>
          <w:color w:val="002060"/>
          <w:sz w:val="16"/>
          <w:szCs w:val="16"/>
        </w:rPr>
        <w:softHyphen/>
        <w:t>рукции на заключение срочного контракта с Р-БВЗ на изготовление "одного учебного гид</w:t>
      </w:r>
      <w:r w:rsidRPr="00DE096C">
        <w:rPr>
          <w:bCs/>
          <w:color w:val="002060"/>
          <w:sz w:val="16"/>
          <w:szCs w:val="16"/>
        </w:rPr>
        <w:softHyphen/>
        <w:t>роаэроплана типа "Малютка" и сдачу последнего не позднее 15 сентября. Аппарат должен был оснащаться мотором "Гном" 80 л.с., но никаких технических подробностей не сообща</w:t>
      </w:r>
      <w:r w:rsidRPr="00DE096C">
        <w:rPr>
          <w:bCs/>
          <w:color w:val="002060"/>
          <w:sz w:val="16"/>
          <w:szCs w:val="16"/>
        </w:rPr>
        <w:softHyphen/>
        <w:t>лось и модель остается загадкой по сей день. По Шаврову, "Малюткой" назывался самолет Сикорского С-8, тренировочный биплан-трактор с 50-сильным "Гномом"; в то же время ни</w:t>
      </w:r>
      <w:r w:rsidRPr="00DE096C">
        <w:rPr>
          <w:bCs/>
          <w:color w:val="002060"/>
          <w:sz w:val="16"/>
          <w:szCs w:val="16"/>
        </w:rPr>
        <w:softHyphen/>
        <w:t>что не мешает предположить, что ею был отремонтированный или модифицированный С-5а. В любом случае обе эти конструкции происходили от С-6А и имели несомненные сходства. Описание аппарата С-5а давалось ранее в соответствующем разделе, а потому здесь остается привести информацию о С-8.</w:t>
      </w:r>
    </w:p>
    <w:p w14:paraId="50422DF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Этот тип являлся одномоторным двухместным трехстоечным бипланом. Его фюзеляж, способный вместить двух членов экипажа, сидевших бок о бок, состоял из ясеневого каркаса и смешанной обшивки: фанеры толщиной 2,5-3,0 мм, крепившейся на шурупах и клею в носовой и средней частях корпуса, и полотна в хвостовой. Остов традиционно усиливался внутренними растяжками, а крылья имели обычную для современных аппаратов Сикорского конструкцию. Для обеспечения пилотам лучшего обзора между фюзеляжем и нижними крыльями оставлялся зазор шириной 0,5 м. Машина оснащалась двойным управлением, но при единственном штурвале, который мог передаваться от инструктора к ученику и обратно. Хвостовое оперение и шасси были по типу С-6А. Аэроплан С-8 строился осенью 1912 г. и удачно летал (2843).</w:t>
      </w:r>
    </w:p>
    <w:p w14:paraId="15E9B04D" w14:textId="77777777" w:rsidR="00B67D7C" w:rsidRPr="00DE096C" w:rsidRDefault="00B67D7C" w:rsidP="00D45A46">
      <w:pPr>
        <w:shd w:val="clear" w:color="auto" w:fill="FFFFFF"/>
        <w:jc w:val="both"/>
        <w:rPr>
          <w:bCs/>
          <w:color w:val="002060"/>
          <w:sz w:val="16"/>
          <w:szCs w:val="16"/>
        </w:rPr>
      </w:pPr>
    </w:p>
    <w:p w14:paraId="411D3877" w14:textId="3E02EA8F" w:rsidR="00B67D7C" w:rsidRPr="00DE096C" w:rsidRDefault="00B67D7C" w:rsidP="00D45A46">
      <w:pPr>
        <w:jc w:val="both"/>
        <w:rPr>
          <w:bCs/>
          <w:color w:val="002060"/>
          <w:sz w:val="16"/>
          <w:szCs w:val="16"/>
        </w:rPr>
      </w:pPr>
      <w:r w:rsidRPr="00DE096C">
        <w:rPr>
          <w:bCs/>
          <w:color w:val="002060"/>
          <w:sz w:val="16"/>
          <w:szCs w:val="16"/>
        </w:rPr>
        <w:t xml:space="preserve">1 (14) августа 1914 г. </w:t>
      </w:r>
      <w:r w:rsidR="0035066C" w:rsidRPr="00DE096C">
        <w:rPr>
          <w:bCs/>
          <w:color w:val="002060"/>
          <w:sz w:val="16"/>
          <w:szCs w:val="16"/>
        </w:rPr>
        <w:t xml:space="preserve">провозглашалось крайним сроком подачи предложений </w:t>
      </w:r>
      <w:r w:rsidRPr="00DE096C">
        <w:rPr>
          <w:bCs/>
          <w:color w:val="002060"/>
          <w:sz w:val="16"/>
          <w:szCs w:val="16"/>
        </w:rPr>
        <w:t>и надо отметить, что многие изобретатели из России, Европы и даже из Америки откликнулись на призыв. В целом, однако, затея не принесла желаемых результатов — отчасти из-за начала войны</w:t>
      </w:r>
      <w:r w:rsidR="0035066C" w:rsidRPr="00DE096C">
        <w:rPr>
          <w:bCs/>
          <w:color w:val="002060"/>
          <w:sz w:val="16"/>
          <w:szCs w:val="16"/>
        </w:rPr>
        <w:t>. 20 декабря 1913 г. Морское ведомство огла</w:t>
      </w:r>
      <w:r w:rsidR="0035066C" w:rsidRPr="00DE096C">
        <w:rPr>
          <w:bCs/>
          <w:color w:val="002060"/>
          <w:sz w:val="16"/>
          <w:szCs w:val="16"/>
        </w:rPr>
        <w:softHyphen/>
        <w:t>сило тс технические требования, которым должны были удовлетворять проекты как отече</w:t>
      </w:r>
      <w:r w:rsidR="0035066C" w:rsidRPr="00DE096C">
        <w:rPr>
          <w:bCs/>
          <w:color w:val="002060"/>
          <w:sz w:val="16"/>
          <w:szCs w:val="16"/>
        </w:rPr>
        <w:softHyphen/>
        <w:t>ственных, так и зарубежных авторов, желавших участвовать в соревновании, о начале ко</w:t>
      </w:r>
      <w:r w:rsidR="0035066C" w:rsidRPr="00DE096C">
        <w:rPr>
          <w:bCs/>
          <w:color w:val="002060"/>
          <w:sz w:val="16"/>
          <w:szCs w:val="16"/>
        </w:rPr>
        <w:softHyphen/>
        <w:t>торого объявлялось через прессу. В соответствии с выдвинутыми спецификациями предпо</w:t>
      </w:r>
      <w:r w:rsidR="0035066C" w:rsidRPr="00DE096C">
        <w:rPr>
          <w:bCs/>
          <w:color w:val="002060"/>
          <w:sz w:val="16"/>
          <w:szCs w:val="16"/>
        </w:rPr>
        <w:softHyphen/>
        <w:t>лагалось, что морской тяжелый аппарат будет иметь скорость не менее 100 км/ч при двух или более двигателях с общим числом цилиндров не менее 12, сохраняя возможность де</w:t>
      </w:r>
      <w:r w:rsidR="0035066C" w:rsidRPr="00DE096C">
        <w:rPr>
          <w:bCs/>
          <w:color w:val="002060"/>
          <w:sz w:val="16"/>
          <w:szCs w:val="16"/>
        </w:rPr>
        <w:softHyphen/>
        <w:t>ржаться в воздухе даже при потере 1/3 общей мощности моторов, причем механик мог бы обслуживать и ремонтировать последние в полете. В придачу к тому моторы оснащались бы надежными устройствами самопуска, дабы экипаж мог включать их в любой момент без посторонней помощи. Двойное управление аппаратом или какой-либо другой механизм, по</w:t>
      </w:r>
      <w:r w:rsidR="0035066C" w:rsidRPr="00DE096C">
        <w:rPr>
          <w:bCs/>
          <w:color w:val="002060"/>
          <w:sz w:val="16"/>
          <w:szCs w:val="16"/>
        </w:rPr>
        <w:softHyphen/>
        <w:t>зволяющий одному летчику сменять другого,были также желательны. Экипаж состоял из 5 человек: двух пилотов, двух наблюдателей и одного механика, имевших под рукой пулемет, прожектор, радиостанцию и бомбоносы и обладавших хорошим обзором с их мест. Даль</w:t>
      </w:r>
      <w:r w:rsidR="0035066C" w:rsidRPr="00DE096C">
        <w:rPr>
          <w:bCs/>
          <w:color w:val="002060"/>
          <w:sz w:val="16"/>
          <w:szCs w:val="16"/>
        </w:rPr>
        <w:softHyphen/>
        <w:t>ность действия машины исчислялась не менее, чем в 1000 км, а полезная нагрузка слага лась из общего веса летчиков — 350 кг, добавочного груза — 150 кг, и веса бензина, масла и воды в радиаторах. Как гидроаэроплан, аппарат должен был обладать достаточной море</w:t>
      </w:r>
      <w:r w:rsidR="0035066C" w:rsidRPr="00DE096C">
        <w:rPr>
          <w:bCs/>
          <w:color w:val="002060"/>
          <w:sz w:val="16"/>
          <w:szCs w:val="16"/>
        </w:rPr>
        <w:softHyphen/>
        <w:t>ходностью: выдерживать крен до 10°, не касаясь крыльями воды, тогда как пропеллеры на</w:t>
      </w:r>
      <w:r w:rsidR="0035066C" w:rsidRPr="00DE096C">
        <w:rPr>
          <w:bCs/>
          <w:color w:val="002060"/>
          <w:sz w:val="16"/>
          <w:szCs w:val="16"/>
        </w:rPr>
        <w:softHyphen/>
        <w:t>дежно защищались бы от действия влаги. Аппарату также предстояло быть устойчивым в дрейфе и на якоре. Наконец, фюзеляж и поплавки самолета, разделенные на изолированные отсеки, сообщали бы ему определенную непотопляемость. Отдельным пунктом говорилось о предпочтительности иметь аэроплан со складными крыльями — такая конструкция позво</w:t>
      </w:r>
      <w:r w:rsidR="0035066C" w:rsidRPr="00DE096C">
        <w:rPr>
          <w:bCs/>
          <w:color w:val="002060"/>
          <w:sz w:val="16"/>
          <w:szCs w:val="16"/>
        </w:rPr>
        <w:softHyphen/>
        <w:t>ляла экономить место при хранении и транспортировке машины в собранном виде</w:t>
      </w:r>
      <w:r w:rsidRPr="00DE096C">
        <w:rPr>
          <w:bCs/>
          <w:color w:val="002060"/>
          <w:sz w:val="16"/>
          <w:szCs w:val="16"/>
        </w:rPr>
        <w:t xml:space="preserve"> (2843).</w:t>
      </w:r>
    </w:p>
    <w:p w14:paraId="190BF371" w14:textId="77777777" w:rsidR="00B67D7C" w:rsidRPr="00DE096C" w:rsidRDefault="00B67D7C" w:rsidP="00D45A46">
      <w:pPr>
        <w:jc w:val="both"/>
        <w:rPr>
          <w:bCs/>
          <w:color w:val="002060"/>
          <w:sz w:val="16"/>
          <w:szCs w:val="16"/>
        </w:rPr>
      </w:pPr>
    </w:p>
    <w:p w14:paraId="3AA18BA3" w14:textId="43E91159" w:rsidR="00AF0EB4" w:rsidRPr="00DE096C" w:rsidRDefault="00AF0EB4" w:rsidP="00D45A46">
      <w:pPr>
        <w:jc w:val="both"/>
        <w:rPr>
          <w:bCs/>
          <w:color w:val="002060"/>
          <w:sz w:val="16"/>
          <w:szCs w:val="16"/>
        </w:rPr>
      </w:pPr>
      <w:r w:rsidRPr="00DE096C">
        <w:rPr>
          <w:bCs/>
          <w:color w:val="002060"/>
          <w:sz w:val="16"/>
          <w:szCs w:val="16"/>
        </w:rPr>
        <w:t>1 (14) августа 1914 г. начались испытания Щ-2 в Гребном порту. Они закончились катастрофой, летчик П.В.Евсюков погиб. Второй был сдан флоту в сентябре 1914 года после доработки. Летал на Черноморском флоте.</w:t>
      </w:r>
    </w:p>
    <w:p w14:paraId="6276BB30" w14:textId="77777777" w:rsidR="00AF0EB4" w:rsidRPr="00DE096C" w:rsidRDefault="00AF0EB4" w:rsidP="00D45A46">
      <w:pPr>
        <w:jc w:val="both"/>
        <w:rPr>
          <w:bCs/>
          <w:color w:val="002060"/>
          <w:sz w:val="16"/>
          <w:szCs w:val="16"/>
        </w:rPr>
      </w:pPr>
      <w:r w:rsidRPr="00DE096C">
        <w:rPr>
          <w:bCs/>
          <w:color w:val="002060"/>
          <w:sz w:val="16"/>
          <w:szCs w:val="16"/>
        </w:rPr>
        <w:t>Щ-2 (Морской второй) - более крупная, тоже двухместная, с двигателем Калеп в 80 л. с. Размеры и площадь крыльев были значительно увеличены, обводы лодки сильно изменены. Хвостовая часть трехгранного сечения (вершиной вверх) была приподнята на хвосте. Угол продольной килеватости был очень мал, редан вогнут и невысок. Под хвостом была пристроена на шарнирах лыжа. Коробка крыльев, установленная над корпусом лодки, монтировалась на стойках мотоустановки на высоте 100 мм над лодкой. Стабилизатор был сильно увеличен. Впервые в России постройка корпуса лодки Щ-2 производилась на стапеле килем вверх. Построено всего 2 самолета.</w:t>
      </w:r>
    </w:p>
    <w:p w14:paraId="7FF80B82" w14:textId="77777777" w:rsidR="00AF0EB4" w:rsidRPr="00DE096C" w:rsidRDefault="00AF0EB4" w:rsidP="00D45A46">
      <w:pPr>
        <w:jc w:val="both"/>
        <w:rPr>
          <w:bCs/>
          <w:color w:val="002060"/>
          <w:sz w:val="16"/>
          <w:szCs w:val="16"/>
        </w:rPr>
      </w:pPr>
      <w:r w:rsidRPr="00DE096C">
        <w:rPr>
          <w:bCs/>
          <w:color w:val="002060"/>
          <w:sz w:val="16"/>
          <w:szCs w:val="16"/>
        </w:rPr>
        <w:t xml:space="preserve">За Щ-2 последовала летающая лодка Щ-3. Это было видоизменение самолета Щ-2 с двигателем Гном-Моносупап в 100 л. с. Корпус лодки оставлен прежний, но еще раз был изменен профиль крыльев. Полеты показали, что улучшений по сравнению с лодкой Щ-2 не получилось. Неудовлетворительной была мореходность. После опытной лодки Щ-3 была выпушена серийная летающая лодка Щ-4. Этот гидросамолет являлся видоизменением Щ-3 с тем же двигателем. Был изменен профиль крыльев и незначительно - корпус лодки. Редан был вогнутый, низкий, угол продольной килеватости очень малый. Стабилизатор был сделан с изменяемым в полете углом установки, для чего служил винтовой подъемник под его передней кромкой. Работы проводились осенью 1914-1915 гг. Все проведенные изменения дали некоторое улучшение и после испытаний, проведенных в Севастополе, летающая лодка Щ-4 была принята морским ведомством в шести экземплярах на Черноморском флоте к февралю 1915 года. </w:t>
      </w:r>
    </w:p>
    <w:p w14:paraId="69DE69B8" w14:textId="77777777" w:rsidR="00AF0EB4" w:rsidRPr="00DE096C" w:rsidRDefault="00AF0EB4" w:rsidP="00D45A46">
      <w:pPr>
        <w:jc w:val="both"/>
        <w:rPr>
          <w:bCs/>
          <w:color w:val="002060"/>
          <w:sz w:val="16"/>
          <w:szCs w:val="16"/>
        </w:rPr>
      </w:pPr>
      <w:r w:rsidRPr="00DE096C">
        <w:rPr>
          <w:bCs/>
          <w:color w:val="002060"/>
          <w:sz w:val="16"/>
          <w:szCs w:val="16"/>
        </w:rPr>
        <w:lastRenderedPageBreak/>
        <w:t xml:space="preserve">ЛТХ: Размах крыльев - 13.68 м, длинна 8 м, площадь крыла 33.5 м.кв., масса пустого самолета 420 кг, нормальная взлетная 820 кг, на аппараты ставились моторы Гном мощностью 80 л.с., макс.скорость 90 км/ч, крейсерская скорость 70 км/ч, дальность полета 220-250 км, потолок 2000 м, экипаж 2 человека, вооружение: не предусматривалось, с началом войны ставились пулеметы Максим на импровизированной установке или ружье-пулеметы Мадсены или Федорова обр.1913 года. Пилоты могли брать 15-30 кг бомб в кабину (12284). </w:t>
      </w:r>
    </w:p>
    <w:p w14:paraId="148A9C7A" w14:textId="77777777" w:rsidR="00AF0EB4" w:rsidRPr="00DE096C" w:rsidRDefault="00AF0EB4" w:rsidP="00D45A46">
      <w:pPr>
        <w:jc w:val="both"/>
        <w:rPr>
          <w:bCs/>
          <w:color w:val="002060"/>
          <w:sz w:val="16"/>
          <w:szCs w:val="16"/>
        </w:rPr>
      </w:pPr>
    </w:p>
    <w:p w14:paraId="05807847" w14:textId="77777777" w:rsidR="00E753CB" w:rsidRPr="00DE096C" w:rsidRDefault="00E753CB" w:rsidP="00D45A46">
      <w:pPr>
        <w:jc w:val="both"/>
        <w:rPr>
          <w:bCs/>
          <w:color w:val="002060"/>
          <w:sz w:val="16"/>
          <w:szCs w:val="16"/>
        </w:rPr>
      </w:pPr>
      <w:r w:rsidRPr="00DE096C">
        <w:rPr>
          <w:bCs/>
          <w:color w:val="002060"/>
          <w:sz w:val="16"/>
          <w:szCs w:val="16"/>
        </w:rPr>
        <w:t>К 1 августа 1914 г. к началу Первой мировой войны российские заводы произвели по государственным заказам примерно 500 самолетов, из которых всего около десятка были отечественной разработки. Успешная работа самолетостроительных предприятий позволила обеспечить нарождающийся военно-воздушный флот авиатехникой российского производства. Из 335 принятых или заказанных в 1913 г. Военным министерством самолетов только 13 были импортными. Это было большое достижение для страны с только начинавшей развиваться машиностроительной промышленностью.</w:t>
      </w:r>
    </w:p>
    <w:p w14:paraId="2C92EF1F" w14:textId="77777777" w:rsidR="00E753CB" w:rsidRPr="00DE096C" w:rsidRDefault="00E753CB" w:rsidP="00D45A46">
      <w:pPr>
        <w:jc w:val="both"/>
        <w:rPr>
          <w:bCs/>
          <w:color w:val="002060"/>
          <w:sz w:val="16"/>
          <w:szCs w:val="16"/>
        </w:rPr>
      </w:pPr>
      <w:r w:rsidRPr="00DE096C">
        <w:rPr>
          <w:bCs/>
          <w:color w:val="002060"/>
          <w:sz w:val="16"/>
          <w:szCs w:val="16"/>
        </w:rPr>
        <w:t>В армию успели доставить совсем немного новых моделей самолетов: 20 «Фарман-22 бис», 18 «Моранов» и один «Депердюссен». Все перечисленные выше машины были копиями французских самолетов. Конечно, военному руководству было проще брать на вооружение уже проверенные на практике зарубежные образцы, тем более что подавляющее большинство двигателей также имело французское происхождение. Тем не менее Военное министерство никогда не отказывалось от идеи производства самолетов отечественной разработки. Для выбора подходящей машины ежегодно проводили конкурсы на лучший русский военный аэроплан. От самолетов требовалась скорость и скороподъемность, удобство наблюдения и фотографирования в полете, возможность посадки и взлета во внеаэродромных условиях. Первое время большинству русских самолетов не удавалось выполнить сложных условий состязаний (23472).</w:t>
      </w:r>
    </w:p>
    <w:p w14:paraId="1BEC3C00" w14:textId="77777777" w:rsidR="00E753CB" w:rsidRPr="00DE096C" w:rsidRDefault="00E753CB" w:rsidP="00D45A46">
      <w:pPr>
        <w:jc w:val="both"/>
        <w:rPr>
          <w:bCs/>
          <w:color w:val="002060"/>
          <w:sz w:val="16"/>
          <w:szCs w:val="16"/>
        </w:rPr>
      </w:pPr>
    </w:p>
    <w:p w14:paraId="5F2D182F" w14:textId="77777777" w:rsidR="00955729" w:rsidRPr="00DE096C" w:rsidRDefault="00955729" w:rsidP="00D45A46">
      <w:pPr>
        <w:jc w:val="both"/>
        <w:rPr>
          <w:bCs/>
          <w:color w:val="002060"/>
          <w:sz w:val="16"/>
          <w:szCs w:val="16"/>
          <w:lang w:bidi="en-US"/>
        </w:rPr>
      </w:pPr>
      <w:r w:rsidRPr="00DE096C">
        <w:rPr>
          <w:bCs/>
          <w:color w:val="002060"/>
          <w:sz w:val="16"/>
          <w:szCs w:val="16"/>
          <w:lang w:bidi="en-US"/>
        </w:rPr>
        <w:t>1 августа 1914 г. Главное военно-техническое управление заказало 100 самолетов российским заводам плюс еще 100 машин из-за рубежа. Все они были одного типа, которые использовались до войны, что позволяло постепенно обучать пилотов и механиков использованию одних и тех же типов оборудования (23525).</w:t>
      </w:r>
    </w:p>
    <w:p w14:paraId="6005B02B" w14:textId="77777777" w:rsidR="00955729" w:rsidRPr="00DE096C" w:rsidRDefault="00955729" w:rsidP="00D45A46">
      <w:pPr>
        <w:jc w:val="both"/>
        <w:rPr>
          <w:bCs/>
          <w:color w:val="002060"/>
          <w:sz w:val="16"/>
          <w:szCs w:val="16"/>
        </w:rPr>
      </w:pPr>
    </w:p>
    <w:p w14:paraId="390C2169" w14:textId="77777777" w:rsidR="00DC55EB" w:rsidRPr="00DE096C" w:rsidRDefault="00DC55EB" w:rsidP="00D45A46">
      <w:pPr>
        <w:shd w:val="clear" w:color="auto" w:fill="FFFFFF"/>
        <w:jc w:val="both"/>
        <w:rPr>
          <w:bCs/>
          <w:i/>
          <w:color w:val="002060"/>
          <w:sz w:val="16"/>
          <w:szCs w:val="16"/>
        </w:rPr>
      </w:pPr>
      <w:r w:rsidRPr="00DE096C">
        <w:rPr>
          <w:bCs/>
          <w:i/>
          <w:color w:val="002060"/>
          <w:sz w:val="16"/>
          <w:szCs w:val="16"/>
        </w:rPr>
        <w:t>Другие оборонные отрасли:</w:t>
      </w:r>
    </w:p>
    <w:p w14:paraId="216A99CE" w14:textId="77777777" w:rsidR="00DC55EB" w:rsidRPr="00DE096C" w:rsidRDefault="00DC55EB" w:rsidP="00D45A46">
      <w:pPr>
        <w:shd w:val="clear" w:color="auto" w:fill="FFFFFF"/>
        <w:jc w:val="both"/>
        <w:rPr>
          <w:bCs/>
          <w:i/>
          <w:color w:val="002060"/>
          <w:sz w:val="16"/>
          <w:szCs w:val="16"/>
        </w:rPr>
      </w:pPr>
    </w:p>
    <w:p w14:paraId="11827193" w14:textId="77777777" w:rsidR="00E753CB" w:rsidRPr="00DE096C" w:rsidRDefault="00E753CB" w:rsidP="00D45A46">
      <w:pPr>
        <w:jc w:val="both"/>
        <w:rPr>
          <w:bCs/>
          <w:color w:val="002060"/>
          <w:sz w:val="16"/>
          <w:szCs w:val="16"/>
          <w:lang w:bidi="ru-RU"/>
        </w:rPr>
      </w:pPr>
      <w:r w:rsidRPr="00DE096C">
        <w:rPr>
          <w:bCs/>
          <w:color w:val="002060"/>
          <w:sz w:val="16"/>
          <w:szCs w:val="16"/>
        </w:rPr>
        <w:t>К 1 августа 1914 г., как свидетельствовало ГАУ, имевшийся к началу войны запас винтовок (4120 тысячи) «с первых же дней войны оказался недостаточным для снабжения вновь формируе</w:t>
      </w:r>
      <w:r w:rsidRPr="00DE096C">
        <w:rPr>
          <w:bCs/>
          <w:color w:val="002060"/>
          <w:sz w:val="16"/>
          <w:szCs w:val="16"/>
        </w:rPr>
        <w:softHyphen/>
        <w:t>мых войсковых частей и пополнения текущего расхода». По причине общих финансовых затруднений размер запаса был установлен Мобилизационным комитетом в 1910 г. с понижением — таким, что новая норма военного времени давала формальное обоснование свертыванию производ</w:t>
      </w:r>
      <w:r w:rsidRPr="00DE096C">
        <w:rPr>
          <w:bCs/>
          <w:color w:val="002060"/>
          <w:sz w:val="16"/>
          <w:szCs w:val="16"/>
        </w:rPr>
        <w:softHyphen/>
        <w:t>ства, вызванному в действительности отсутствием средств (Шацилло К.Ф. От Портсмутского мира к Первой мировой войне. С. 11—12; Зайончковский А.М. Подготовка России к империалистиче</w:t>
      </w:r>
      <w:r w:rsidRPr="00DE096C">
        <w:rPr>
          <w:bCs/>
          <w:color w:val="002060"/>
          <w:sz w:val="16"/>
          <w:szCs w:val="16"/>
        </w:rPr>
        <w:softHyphen/>
        <w:t xml:space="preserve">ской войне. С. 91, 87; </w:t>
      </w:r>
      <w:r w:rsidRPr="00DE096C">
        <w:rPr>
          <w:bCs/>
          <w:color w:val="002060"/>
          <w:sz w:val="16"/>
          <w:szCs w:val="16"/>
          <w:lang w:val="en-US" w:bidi="en-US"/>
        </w:rPr>
        <w:t>dlib</w:t>
      </w:r>
      <w:r w:rsidRPr="00DE096C">
        <w:rPr>
          <w:bCs/>
          <w:color w:val="002060"/>
          <w:sz w:val="16"/>
          <w:szCs w:val="16"/>
          <w:lang w:bidi="en-US"/>
        </w:rPr>
        <w:t>.</w:t>
      </w:r>
      <w:r w:rsidRPr="00DE096C">
        <w:rPr>
          <w:bCs/>
          <w:color w:val="002060"/>
          <w:sz w:val="16"/>
          <w:szCs w:val="16"/>
          <w:lang w:val="en-US" w:bidi="en-US"/>
        </w:rPr>
        <w:t>rsl</w:t>
      </w:r>
      <w:r w:rsidRPr="00DE096C">
        <w:rPr>
          <w:bCs/>
          <w:color w:val="002060"/>
          <w:sz w:val="16"/>
          <w:szCs w:val="16"/>
          <w:lang w:bidi="en-US"/>
        </w:rPr>
        <w:t>.</w:t>
      </w:r>
      <w:r w:rsidRPr="00DE096C">
        <w:rPr>
          <w:bCs/>
          <w:color w:val="002060"/>
          <w:sz w:val="16"/>
          <w:szCs w:val="16"/>
          <w:lang w:val="en-US" w:bidi="en-US"/>
        </w:rPr>
        <w:t>ru</w:t>
      </w:r>
      <w:r w:rsidRPr="00DE096C">
        <w:rPr>
          <w:bCs/>
          <w:color w:val="002060"/>
          <w:sz w:val="16"/>
          <w:szCs w:val="16"/>
          <w:lang w:bidi="en-US"/>
        </w:rPr>
        <w:t xml:space="preserve">/01003391035. </w:t>
      </w:r>
      <w:r w:rsidRPr="00DE096C">
        <w:rPr>
          <w:bCs/>
          <w:color w:val="002060"/>
          <w:sz w:val="16"/>
          <w:szCs w:val="16"/>
        </w:rPr>
        <w:t>С. 173; РГВИА. Ф. 962. Оп. 2. Д. 25. Л. 240; Там же. Ф. 29. Оп. 3. Д. 731. Л. 27 об. Ц Доклад ГАУ в Военный совет, 8.IV. 1915.), но для «общества», для Думы в объяснение сокращения деятельности ружейных заводов ведомства ссылались на ожидаемое перевооружение автоматической винтовкой, что, впрочем, тоже действительно учитывалось (23452).</w:t>
      </w:r>
    </w:p>
    <w:p w14:paraId="544BC568" w14:textId="77777777" w:rsidR="00E753CB" w:rsidRPr="00DE096C" w:rsidRDefault="00E753CB" w:rsidP="00D45A46">
      <w:pPr>
        <w:jc w:val="both"/>
        <w:rPr>
          <w:bCs/>
          <w:color w:val="002060"/>
          <w:sz w:val="16"/>
          <w:szCs w:val="16"/>
          <w:lang w:bidi="ru-RU"/>
        </w:rPr>
      </w:pPr>
    </w:p>
    <w:p w14:paraId="119B3374" w14:textId="77777777" w:rsidR="00DC55EB" w:rsidRPr="00DE096C" w:rsidRDefault="00DC55EB" w:rsidP="00D45A46">
      <w:pPr>
        <w:pStyle w:val="ae"/>
        <w:spacing w:before="0" w:beforeAutospacing="0" w:after="0" w:afterAutospacing="0"/>
        <w:jc w:val="both"/>
        <w:rPr>
          <w:bCs/>
          <w:color w:val="002060"/>
          <w:sz w:val="16"/>
          <w:szCs w:val="16"/>
        </w:rPr>
      </w:pPr>
      <w:r w:rsidRPr="00DE096C">
        <w:rPr>
          <w:bCs/>
          <w:color w:val="002060"/>
          <w:sz w:val="16"/>
          <w:szCs w:val="16"/>
        </w:rPr>
        <w:t>К 1 (14) августа 1914 г., началу Первой мировой войны Телефонной связью было оборудовано только 700 км линий. Телеграфная связь осуществлялась в основном на аппаратах Морзе. Практически отсутствовала местная телефонная связь в железнодорожных узлах и управлениях дорог. На 44 % протяженности железнодорожных линий управление движением поездов осуществлялось по жезловой системе, на 43 % – по телеграфно-телефонным средствам связи и только на 13 % – с использованием полуавтоматической блокировки электромеханического типа. Около 11 тыс. стрелок управлялись с постов гидравлической и механической централизации. Лишь 145 стрелок на двух станциях были включены в электромеханическую централизацию с путевыми педалями. Телеграфная и телефонная аппаратура, другое оборудование по-прежнему поставлялись иностранными фирмами (15736).</w:t>
      </w:r>
    </w:p>
    <w:p w14:paraId="0A11A4CA" w14:textId="77777777" w:rsidR="00DC55EB" w:rsidRPr="00DE096C" w:rsidRDefault="00DC55EB" w:rsidP="00D45A46">
      <w:pPr>
        <w:pStyle w:val="ae"/>
        <w:spacing w:before="0" w:beforeAutospacing="0" w:after="0" w:afterAutospacing="0"/>
        <w:jc w:val="both"/>
        <w:rPr>
          <w:bCs/>
          <w:color w:val="002060"/>
          <w:sz w:val="16"/>
          <w:szCs w:val="16"/>
        </w:rPr>
      </w:pPr>
    </w:p>
    <w:p w14:paraId="7A86F117" w14:textId="77777777" w:rsidR="00B67D7C" w:rsidRPr="00DE096C" w:rsidRDefault="00B67D7C" w:rsidP="00D45A46">
      <w:pPr>
        <w:jc w:val="both"/>
        <w:rPr>
          <w:bCs/>
          <w:i/>
          <w:color w:val="002060"/>
          <w:sz w:val="16"/>
          <w:szCs w:val="16"/>
        </w:rPr>
      </w:pPr>
      <w:r w:rsidRPr="00DE096C">
        <w:rPr>
          <w:bCs/>
          <w:i/>
          <w:color w:val="002060"/>
          <w:sz w:val="16"/>
          <w:szCs w:val="16"/>
        </w:rPr>
        <w:t>Авиация:</w:t>
      </w:r>
    </w:p>
    <w:p w14:paraId="25DC04A8" w14:textId="77777777" w:rsidR="00B67D7C" w:rsidRPr="00DE096C" w:rsidRDefault="00B67D7C" w:rsidP="00D45A46">
      <w:pPr>
        <w:jc w:val="both"/>
        <w:rPr>
          <w:bCs/>
          <w:i/>
          <w:color w:val="002060"/>
          <w:sz w:val="16"/>
          <w:szCs w:val="16"/>
        </w:rPr>
      </w:pPr>
    </w:p>
    <w:p w14:paraId="04AB59E8" w14:textId="6C2FCF38" w:rsidR="00537158" w:rsidRPr="00DE096C" w:rsidRDefault="00537158" w:rsidP="00D45A46">
      <w:pPr>
        <w:pStyle w:val="2"/>
        <w:spacing w:before="0" w:after="0"/>
        <w:jc w:val="both"/>
        <w:rPr>
          <w:b w:val="0"/>
          <w:bCs/>
          <w:color w:val="002060"/>
          <w:sz w:val="16"/>
          <w:szCs w:val="16"/>
        </w:rPr>
      </w:pPr>
      <w:r w:rsidRPr="00DE096C">
        <w:rPr>
          <w:b w:val="0"/>
          <w:bCs/>
          <w:color w:val="002060"/>
          <w:sz w:val="16"/>
          <w:szCs w:val="16"/>
        </w:rPr>
        <w:t xml:space="preserve">К 1 </w:t>
      </w:r>
      <w:r w:rsidR="0035066C" w:rsidRPr="00DE096C">
        <w:rPr>
          <w:b w:val="0"/>
          <w:bCs/>
          <w:color w:val="002060"/>
          <w:sz w:val="16"/>
          <w:szCs w:val="16"/>
        </w:rPr>
        <w:t xml:space="preserve">(14) </w:t>
      </w:r>
      <w:r w:rsidRPr="00DE096C">
        <w:rPr>
          <w:b w:val="0"/>
          <w:bCs/>
          <w:color w:val="002060"/>
          <w:sz w:val="16"/>
          <w:szCs w:val="16"/>
        </w:rPr>
        <w:t>августа 1914 г. на фронт отправили всего 28 авиаотрядов, в них находились 94 «Ньюпора», 90 «Фарманов», 7 «Депердюссенов» (12-й отряд) и 12 «Моранов». Среди них 4 августа в Действующую армию прибыл Авиационный отряд Гренадерского корпуса под командой В.А.Юнгмейстера. 9 августа авиаотряд, перейдя австрийскую границу, начал боевые действия. Основной задачей авиации являлась оперативная воздушная разведка. В армии, помимо Гренадерского, состояло 7 отрядов, в каждом из них было всего по 6—7 летчиков, 7—8 самолетов и 8—10 летчиков- наблюдателей. Ежемесячно в Авиаканц на имя генерал-квартирмейстера Фогеля отправлялись отчеты о боевой деятельности, в них фиксировали высоту и место полета, расход бензина, а также бомбовую нагрузку. Средняя продолжительность полета составляла 1,5—2 часа. В первый год войны вооружение самолета составлял маузер у сидящего во второй кабине наблюдателя. Тем не менее бывали случаи попадания в летчика вражеского самолета. Позже на самолетах ставили пехотные пулеметы, стреляющие поверх винта. В отчетах нередки донесения об отказах оружия в воздухе (15464).</w:t>
      </w:r>
    </w:p>
    <w:p w14:paraId="3CA4C796" w14:textId="77777777" w:rsidR="00537158" w:rsidRPr="00DE096C" w:rsidRDefault="00537158" w:rsidP="00D45A46">
      <w:pPr>
        <w:jc w:val="both"/>
        <w:rPr>
          <w:bCs/>
          <w:color w:val="002060"/>
          <w:sz w:val="16"/>
          <w:szCs w:val="16"/>
        </w:rPr>
      </w:pPr>
    </w:p>
    <w:p w14:paraId="1889A913" w14:textId="7BC5AE56" w:rsidR="00B67D7C" w:rsidRPr="00DE096C" w:rsidRDefault="0035066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С</w:t>
      </w:r>
      <w:r w:rsidR="00B67D7C" w:rsidRPr="00DE096C">
        <w:rPr>
          <w:bCs/>
          <w:i w:val="0"/>
          <w:color w:val="002060"/>
          <w:spacing w:val="0"/>
          <w:kern w:val="0"/>
          <w:position w:val="0"/>
          <w:sz w:val="16"/>
          <w:szCs w:val="16"/>
        </w:rPr>
        <w:t xml:space="preserve"> 1 (14) августа</w:t>
      </w:r>
      <w:r w:rsidRPr="00DE096C">
        <w:rPr>
          <w:bCs/>
          <w:i w:val="0"/>
          <w:color w:val="002060"/>
          <w:spacing w:val="0"/>
          <w:kern w:val="0"/>
          <w:position w:val="0"/>
          <w:sz w:val="16"/>
          <w:szCs w:val="16"/>
        </w:rPr>
        <w:t xml:space="preserve"> 1914 г.</w:t>
      </w:r>
      <w:r w:rsidR="00B67D7C" w:rsidRPr="00DE096C">
        <w:rPr>
          <w:bCs/>
          <w:i w:val="0"/>
          <w:color w:val="002060"/>
          <w:spacing w:val="0"/>
          <w:kern w:val="0"/>
          <w:position w:val="0"/>
          <w:sz w:val="16"/>
          <w:szCs w:val="16"/>
        </w:rPr>
        <w:t xml:space="preserve"> донесения </w:t>
      </w:r>
      <w:r w:rsidRPr="00DE096C">
        <w:rPr>
          <w:bCs/>
          <w:i w:val="0"/>
          <w:color w:val="002060"/>
          <w:spacing w:val="0"/>
          <w:kern w:val="0"/>
          <w:position w:val="0"/>
          <w:sz w:val="16"/>
          <w:szCs w:val="16"/>
        </w:rPr>
        <w:t xml:space="preserve">авиаторов </w:t>
      </w:r>
      <w:r w:rsidR="00B67D7C" w:rsidRPr="00DE096C">
        <w:rPr>
          <w:bCs/>
          <w:i w:val="0"/>
          <w:color w:val="002060"/>
          <w:spacing w:val="0"/>
          <w:kern w:val="0"/>
          <w:position w:val="0"/>
          <w:sz w:val="16"/>
          <w:szCs w:val="16"/>
        </w:rPr>
        <w:t xml:space="preserve">стали использоваться штабом армии при составлении "Сводок сведений о противнике". Особенно успешно действовал 1 -и авиаотряд, который обследовал район Млава-Зольдау-Лаутенберг. </w:t>
      </w:r>
      <w:r w:rsidRPr="00DE096C">
        <w:rPr>
          <w:bCs/>
          <w:i w:val="0"/>
          <w:color w:val="002060"/>
          <w:spacing w:val="0"/>
          <w:kern w:val="0"/>
          <w:position w:val="0"/>
          <w:sz w:val="16"/>
          <w:szCs w:val="16"/>
        </w:rPr>
        <w:t xml:space="preserve">Кампания 1914 г. открылась на русском театре военных действий Восточно-Прусской операцией. Здесь представляет интерес рассмотреть работу авиации 2-й армии генерала Самсонова. В состав армии входили пять корпусных авиаотрядов, из которых 1-й, 13-й, 15-й и 23-й были распределены по армейским корпусам, а 21-й обслуживал штаб армии. </w:t>
      </w:r>
      <w:r w:rsidR="00B67D7C" w:rsidRPr="00DE096C">
        <w:rPr>
          <w:bCs/>
          <w:i w:val="0"/>
          <w:color w:val="002060"/>
          <w:spacing w:val="0"/>
          <w:kern w:val="0"/>
          <w:position w:val="0"/>
          <w:sz w:val="16"/>
          <w:szCs w:val="16"/>
        </w:rPr>
        <w:t>Во время наступления летчики ежедневно вели разведку, вскрывая пути отхода и места сосредоточения войск противника. Так, 9 и 10 августа удалось обнаружить движение на железных и шоссейных дорогах, большие скопления войск противника на левом фланге 2-й армии в районах Доич-Эйлау, Гильденбург и Алленштейн. Однако эти очень своевременные сведения воздушной разведки были поставлены под сомнение командованием, за что вскоре пришлось поплатиться поспешным отступлением. Всего за август авиаотряды 2-й армии совершили более 80 боевых вылетов. С самого начала войны русские летчики применяли аэрофотосъемку как эффективный способ воздушной разведки. Так, например, в донесении начальника Осовецкого крепостного авиаотряда от 18 сентября сообщается, что "...рядовой Алексей Литвин-Литвиненко, несмотря на попадание в аэроплан 16 пуль, продолжил фотографирование и этим способствовал выяснению обстановки на фронте Иоганисбург-Бяла-Щучин". Аэрофотосъемка неприятельских позиций для контроля и повышения эффективности артиллерийского огня применялась во время осады крепости Перемышль осенью 1914 г. Об этом докладывал заведующий организацией авиационного дела в армиях Юго-западного фронта Великий князь Александр Михайлович в своем донесении Верховному Главнокомандующему от 28.11.14: "... определенные специальными фотографическими снимками снежного покрова места попадания наших снарядов... выяснили некоторые дефекты в определении целей и расстояний" (11278).</w:t>
      </w:r>
    </w:p>
    <w:p w14:paraId="742800BC" w14:textId="77777777" w:rsidR="00B67D7C" w:rsidRPr="00DE096C" w:rsidRDefault="00B67D7C" w:rsidP="00D45A46">
      <w:pPr>
        <w:pStyle w:val="a3"/>
        <w:jc w:val="both"/>
        <w:rPr>
          <w:bCs/>
          <w:i w:val="0"/>
          <w:color w:val="002060"/>
          <w:spacing w:val="0"/>
          <w:kern w:val="0"/>
          <w:position w:val="0"/>
          <w:sz w:val="16"/>
          <w:szCs w:val="16"/>
        </w:rPr>
      </w:pPr>
    </w:p>
    <w:p w14:paraId="3DB12D66" w14:textId="6B912353" w:rsidR="00B67D7C" w:rsidRPr="00DE096C" w:rsidRDefault="0035066C" w:rsidP="00D45A46">
      <w:pPr>
        <w:jc w:val="both"/>
        <w:rPr>
          <w:bCs/>
          <w:color w:val="002060"/>
          <w:sz w:val="16"/>
          <w:szCs w:val="16"/>
        </w:rPr>
      </w:pPr>
      <w:r w:rsidRPr="00DE096C">
        <w:rPr>
          <w:bCs/>
          <w:color w:val="002060"/>
          <w:sz w:val="16"/>
          <w:szCs w:val="16"/>
        </w:rPr>
        <w:t>С</w:t>
      </w:r>
      <w:r w:rsidR="00B67D7C" w:rsidRPr="00DE096C">
        <w:rPr>
          <w:bCs/>
          <w:color w:val="002060"/>
          <w:sz w:val="16"/>
          <w:szCs w:val="16"/>
        </w:rPr>
        <w:t xml:space="preserve"> 1 (14) августа 1914 </w:t>
      </w:r>
      <w:r w:rsidRPr="00DE096C">
        <w:rPr>
          <w:bCs/>
          <w:color w:val="002060"/>
          <w:sz w:val="16"/>
          <w:szCs w:val="16"/>
        </w:rPr>
        <w:t xml:space="preserve">авиаторы начали боевую работу уже в период развертывания войск и </w:t>
      </w:r>
      <w:r w:rsidR="00B67D7C" w:rsidRPr="00DE096C">
        <w:rPr>
          <w:bCs/>
          <w:color w:val="002060"/>
          <w:sz w:val="16"/>
          <w:szCs w:val="16"/>
        </w:rPr>
        <w:t xml:space="preserve">их донесения стали использоваться штабом армии при составлении "Сводок сведений о противнике". Особенно успешно действовал 1 -и авиаотряд, который обследовал район Млава-Зольдау-Лаутенберг. Во время наступления летчики ежедневно вели разведку, вскрывая пути отхода и места сосредоточения войск противника. Так, 9 и 10 августа удалось обнаружить движение на железных и шоссейных дорогах, большие скопления войск противника на левом фланге 2-й армии в районах Доич-Эйлау, Гильденбург и Алленштейн. Однако эти очень своевременные сведения воздушной разведки были поставлены под сомнение командованием, за что вскоре пришлось поплатиться поспешным отступлением. Всего за август авиаотряды 2-й армии совершили более 80 боевых вылетов. С самого начала войны русские летчики применяли аэрофотосъемку как эффективный способ воздушной разведки. Так, например, в донесении начальника Осовецкого крепостного авиаотряда от 18 сентября сообщается, что "...рядовой Алексей Литвин-Литвиненко, несмотря на попадание в аэроплан 16 пуль, продолжил фотографирование и этим способствовал выяснению обстановки на фронте Иоганисбург-Бяла-Щучин". Аэрофотосъемка неприятельских позиций для контроля и повышения эффективности артиллерийского огня применялась во время осады крепости Перемышль осенью 1914 г. Об этом докладывал заведующий организацией авиационного дела в армиях Юго-западного фронта Великий князь Александр Михайлович в своем донесении Верховному Главнокомандующему от 28.11.14: "... определенные специальными фотографическими снимками снежного покрова места попадания наших снарядов... выяснили некоторые дефекты в определении целей и расстояний". В осаде Перемышля задействовались объединенные в группу 24-й корпусной и Брест-Литовский авиаотряды во главе с одним из опытнейших военных летчиков поручиком Е. Рудневым. В задачу группы, кроме разведки, входила и бомбардировка крепости. За время осады было сброшено около 50 различных бомб массой от 6 фунтов до 2 пудов 30 фунтов (2,7-46,4 кг). "Особенно энергичная деятельность была развита 18-го ноября... За этот день было совершено 13 полетов, сделано 14 фотоснимков крепости и ее фортов, сброшено 27 бомб общим весом взрывчатки 21 пуд 20 фунтов (353 кг). Бомбы были сброшены с высоты 1700-2200 м..., причем по результатам взрывов во многих местах начались пожары. Все летавшие были отстреляны шрапнелью противника..." С помощью воздушной разведки русское командование следило за всеми действиями осажденного гарнизона, который сдался 5 марта 1915 г. Примером успешного применения авиации может служить работа авиаотрядов 3-й и 8-й армий Юго-западного фронта в Галицийской операции. Ограниченный радиус действия самолетов вынуждал использовать авиацию в основном для решения тактических задач. Однако правильная организация работы авиаотрядов давала материалы и оперативных масштабов: штабы армий обменивались данными воздушной разведки и регулярно информировали штаб фронта о всех важнейших сведениях, собранных летчиками. Когда началось наступление 8-й армии, авиаторы привозили из разведвылетов важные сведения о группировках противника и путях его отхода. Эти данные были подтверждены дальнейшим ходом событий - войска 8-й армии продвигались вперед, не встречая серьезного сопротивления. Не менее успешно действовали авиаотряды 3-й армии, наступавшей на Львов. За период Галицийской битвы с 6 августа по 13 сентября 9-й и 11-й корпусные авиаотряды (КАО) </w:t>
      </w:r>
      <w:r w:rsidR="00B67D7C" w:rsidRPr="00DE096C">
        <w:rPr>
          <w:bCs/>
          <w:color w:val="002060"/>
          <w:sz w:val="16"/>
          <w:szCs w:val="16"/>
        </w:rPr>
        <w:lastRenderedPageBreak/>
        <w:t>3-й армии совершили свыше 70 боевых вылетов, а четыре отряда 8-й армии (7-й, 8-й и 12-й корпусные, 3-й полевой) - свыше 100. В этот период хуже обстояли дела у летчики 4-й и 5-й армий. Полетов было мало, а плохая организация воздушной разведки привела к неприятным неожиданностям во время боевых действий. В целом в кампании 1914 г. наиболее высокий уровень работы авиации оказался на Юго-западном фронте. Здесь авиаторы успешно справлялись с поставленными перед ними задачами, и их деятельность часто получала высокую оценку наземного командования. Об этом свидетельствует приказ Главнокомандующего фронтом генерала Н. И. Иванова от 11.01.1915: "Летчики-офицеры и нижние чины, не считаясь с трудностями обстановки, не взирая ни на какую погоду, с честью выполнили свой долг и своими мужественными разведками приносили надлежащую пользу своим корпусам и армиям". Иначе обстояли дела на Северо-Западном фронте. В сентябре здесь решением главкома авиаотряды были изъяты из состава корпусов и сведены в авиационные группы, подчиненные начальникам штабов армий. Однако эта реорганизация оказалась малоэффективной, так как не были созданы органы управления авиагруппами, а ограниченный радиус действия самолетов затруднял их применение в интересах армейского командования. К тому же такая структура не учитывала сложные географические (болотистая и лесная местность) и погодные условия, существовавшие на северо-западе. Собранные на одном аэродроме самолеты каждой группы при плохих метеоусловиях были обречены на бездействие, тогда как в случае рассредоточения по площадкам авиаотрядов имелись бы шансы использовать кратковременные местные улучшения погоды. Исследование динамики убыли и поступления самолетов в целом по Русской армии показывает, что потери аэропланов были значительными и составляли не менее 45,8% за 2 месяца. Большая часть (иногда 90%) этой убыли была вызвана выходом из строя изношенных аэропланов и моторов. Мощностей русских авиазаводов не хватало для восполнения этих потерь - с начала войны до 1 января 1915 г. они отправили в действующую армию 157 самолетов. Причем часто эти машины имели дефекты и забраковывались при сборке в отрядах и ротах. Особые нарекания вызывали самолеты завода Щетинина. Так, монопланы "Ньюпор" имели отрицательный угол установки крыла, что повлекло ряд аварий. Французские самолеты, сделанные на русских авиазаводах, отличались большей массой и низким качеством изготовления по сравнению с импортными "собратьями". Первые месяцы войны выявили и тот факт, что часто высшие военные начальники проявляли полное незнание свойств и возможностей аэропланов. Отсюда - либо отсутствие постановки задач и бездействие авиации, либо постановка перед летчиками нереальных боевых задач. Чтобы избежать таких недоразумений, были изданы подробные указания по использованию нового рода войск. Особую заботу о летчиках проявил главнокомандующий Юго-Западным фронтом, который издал приказ №6 от 12 августа 1914 г.: "Придавая большое значение работе аэропланов и признавая весь риск и трудности выполнения задач летчиками и наблюдателями, приказываю...". Далее шли указания летать не больше одного раза в день на дальность не более 200-230 верст, полеты совершать в утренние часы. Штабному начальству предписывалось не посылать летчиков по мелочам, не злоупотреблять частым направлением аппаратов к линии фронта, давать задачи на поиск крупных соединений противника, не поручать летчикам и наблюдателям разбрасывать прокламации, ибо в случае пленения они не приравниваются к военнопленным и могут быть расстреляны, и т.д. Бичом русской авиации в первые месяцы войны стал безудержный обстрел аппаратов своими войсками, что стало причиной гибели нескольких авиаторов. Например, 13 августа при перелете линии фронта был убит своими войсками военный летчик 25-го КАО поручик Гудим, 27 августа такая же участь постигла при посадке военного летчика 11-го КАО поручика Лемешко и т.д. Другие случаи имели менее трагические последствия. Так, "30 июля 1914г. начальник 7-го корпусного авиаотряда штабс-капитан Степанов вылетел для производства воздушной разведки, пролетая над местечком Ярмолинцы, подвергся обстрелу залпами... получил пробоины в стабилизатор и крыло. Расследование показало... стреляли роты 60-го пехотного Замоского полка". В тот же день летчик того же отряда поручик Сабельников попал в такую же ситуацию. Результат - 4 пробоины. Подобных примеров было много, и это вынудило командование издать приказы, запрещавшие "стрелять по своим и планирующим аппаратам, стрельбу вести только по приказу офицера или при бросании бомб противником". Господам офицерам было приказано изучить знаки своих и неприятельских аэропланов, знать их силуэты. Начальный период войны выявил плохую организацию в снабжении авиационных отрядов и рот бензином, касторовым маслом, запчастями, палатками и другим авиационным имуществом. Самолеты и моторы быстро выходили из строя в суровых полевых условиях, особенно с наступлением ненастной осенней погоды, когда остро сказались нехватка палаток и переносных ангаров, использование для аэродромов малопригодных площадок. Уже после первых месяцев войны многие авиаотряды пришлось отвести в тыл для снабжения аэропланами новых систем и для переучивания летчиков на них. Так, пилоты, летавшие на "Ньюпорах", освоили "Мораны". Широко использовалась для вооружения отрядов отремонтированная трофейная авиатехника. Поставки самолетов и назначения личного состава целиком зависели от штаба авиации, возглавлявшегося Великим князем Александром Михайловичем. Он часто назначал командирами рот и начальниками отрядов офицеров, хорошо писавших отчеты, но мало летавших. В этой ситуации протежируемые отряды снабжались самолетами вне очереди , тогда как части, несшие ответственную и тяжелую работу, оставались без аэропланов. Снабжение самолетами оставалось большой проблемой, которая часто решалась на самом высоком уровне. Так, 31 августа 1914 г. командующий 8-й армией генерал Брусилов бьет челом Великому князю: "Настоящее время лишился совершенно воздушных аппаратов, столь драгоценных для разведок, что ставит управление войсками в крайне трудное положение. ...Покорно прошу Ваше императорское высочество оказать армии величайшую помощь "Фарманами" и "Ньюпорами". Деятельность летчиков в разведке незаменима." Просьба Брусилова была удовлетворена, и армия получила 4 самолета из состава Брест-Литовского крепостного авиаотряда. Однако таких просьб было множество, а дефицит самолетов и моторов стал хронической болезнью русской авиации до конца войны. К началу боевых действий в составе воздушного флота России насчитывался 221 летчик: 170 офицеров, 35 нижних чинов и 16 вольноопределяющихся (добровольцев). На 1 января 1915 г. потери летчиков составили 33 человека или 14,9% от общего состава. Из них 6 погибли от действий неприятеля, 5 - в авариях, 22 попали в плен и пропали без вести. Среди погибших: штабс-капитаны Грузинов, Нестеров, поручики Лемешко, Гудим, старший унтер-офицер Доброшинский и др. Пропали без вести: поручики Николаевский, Шамин, Машерек и др. Ранены или разбились при падении: капитан Витковский, гвардии штабс-капитан Мельницкий, штабс-капитан Мучник, поручики Городецкий, Корнидов, Павлов, доброволец Шпицберг. Некоторые из них, например, летчик-доброволец 16-го КАО Шпицберг, впоследствии скончались в госпитале. В скорбный список боевых потерь одним из первых попал военный летчик начальник 14-го КАО Ефграф Ефграфович Грузинов, смертельно раненный шрапнелью в воздухе во время выполнения боевого задания. 17 августа он вылетел на разведку района Кщонов-Пиляш-Ковице-Быхов-Люблин и обратно не вернулся. Самолет упал на вражеской территории, которую вскоре заняли русские войска. У села Быхово близ Янова были найдены свежая могила и разбитый "Ньюпор". В могиле обнаружили тело Грузинова, вопрос местных жителей и пленных австрийцев дал представление об обстоятельствах его гибели. Выяснилось, что самолет пролетал над австрийскими позициями на высоте 1000-1200 м и был обстрелян сначала пехотой, потом артиллерийской батареей, которая дала три залпа. Два первых цели не достигли. После третьего аппарат дрогнул, перевернулся и, сделав крутой вираж, врезался в землю с работающим мотором. Посмертно высочайшим приказом штабс-капитан Грузинов был награжден орденом Святого Георгия 4-й степени. Состоялись и первые воздушные бои. Таран и героическая гибель 26 августа военного летчика начальника 11-го КАО Петра Николаевича Нестерова открыли новую эпоху борьбы в воздухе. Из вооружения у русских авиаторов имелись только пистолеты "Маузер" и карабины. Хроника тех лет описывает несколько случаев воздушных боев. Так, 28 октября в окрестностях Петроково (под Варшавой) "появился неприятельский аэроплан. Через несколько минут поднялись два наших летчика и после воздушного боя сбросили "Таубе" на землю. Немецкие авиаторы разбились. Неприятельский аэроплан исковеркан". К сожалению, подтверждения этому газетному сообщению не нашлось. А вот воздушный бой и совместные действия с артиллерией, принесшие успех военному летчику Гродненского крепостного авиаотряда поручику Семенову, были подтверждены несколькими донесениями, хранящимися в Военно-историческом архиве. 27 августа Семенов с наблюдателем корнетом Николаевым при перелете через озеро Мейер, что в Восточной Пруссии, заметил неприятельский аэроплан, летевший к Летцену. Обойдя противника с правой стороны, Семенов атаковал его, заставил спуститься ниже и изменить направление полета в район русских позиций, где тот был обстрелян и около озера упал (11237).</w:t>
      </w:r>
    </w:p>
    <w:p w14:paraId="51277AB2" w14:textId="77777777" w:rsidR="00B67D7C" w:rsidRPr="00DE096C" w:rsidRDefault="00B67D7C" w:rsidP="00D45A46">
      <w:pPr>
        <w:jc w:val="both"/>
        <w:rPr>
          <w:bCs/>
          <w:i/>
          <w:color w:val="002060"/>
          <w:sz w:val="16"/>
          <w:szCs w:val="16"/>
        </w:rPr>
      </w:pPr>
    </w:p>
    <w:p w14:paraId="729AD3EE" w14:textId="40284785" w:rsidR="00B67D7C" w:rsidRPr="00DE096C" w:rsidRDefault="00B67D7C" w:rsidP="00D45A46">
      <w:pPr>
        <w:jc w:val="both"/>
        <w:rPr>
          <w:bCs/>
          <w:color w:val="002060"/>
          <w:sz w:val="16"/>
          <w:szCs w:val="16"/>
        </w:rPr>
      </w:pPr>
      <w:r w:rsidRPr="00DE096C">
        <w:rPr>
          <w:bCs/>
          <w:color w:val="002060"/>
          <w:sz w:val="16"/>
          <w:szCs w:val="16"/>
        </w:rPr>
        <w:t xml:space="preserve">1 (14) августа (старого стиля) 1914 в русских официальных сводках </w:t>
      </w:r>
      <w:r w:rsidR="0035066C" w:rsidRPr="00DE096C">
        <w:rPr>
          <w:bCs/>
          <w:color w:val="002060"/>
          <w:sz w:val="16"/>
          <w:szCs w:val="16"/>
        </w:rPr>
        <w:t xml:space="preserve">уже </w:t>
      </w:r>
      <w:r w:rsidRPr="00DE096C">
        <w:rPr>
          <w:bCs/>
          <w:color w:val="002060"/>
          <w:sz w:val="16"/>
          <w:szCs w:val="16"/>
        </w:rPr>
        <w:t xml:space="preserve">было отмечено, что "воздушная разведка в Галиции дает весьма обстоятельные результаты". Там действовал как раз отряд Нестерова. </w:t>
      </w:r>
    </w:p>
    <w:p w14:paraId="38C1466D" w14:textId="77777777" w:rsidR="00B67D7C" w:rsidRPr="00DE096C" w:rsidRDefault="00B67D7C" w:rsidP="00D45A46">
      <w:pPr>
        <w:jc w:val="both"/>
        <w:rPr>
          <w:bCs/>
          <w:color w:val="002060"/>
          <w:sz w:val="16"/>
          <w:szCs w:val="16"/>
        </w:rPr>
      </w:pPr>
      <w:r w:rsidRPr="00DE096C">
        <w:rPr>
          <w:bCs/>
          <w:color w:val="002060"/>
          <w:sz w:val="16"/>
          <w:szCs w:val="16"/>
        </w:rPr>
        <w:t>Через несколько дней, 9 августа, было сообщено, что в Пруссии русские летчики впервые произвели бомбометание по вражеским сооружениям военного значения. 12 августа сообщалось уже о групповой разведке русских летчиков "в глубоком тылу противника". При этом упоминалось, что один из самолетов получил пробоину в бензиновом баке, но летчик заткнул пробоину ногой и сумел благополучно вернуться па свой аэродром. Далее сообщения о действиях авиации запестрели в сводках почти ежедневно (11055).</w:t>
      </w:r>
    </w:p>
    <w:p w14:paraId="69B78BE7" w14:textId="77777777" w:rsidR="00B67D7C" w:rsidRPr="00DE096C" w:rsidRDefault="00B67D7C" w:rsidP="00D45A46">
      <w:pPr>
        <w:shd w:val="clear" w:color="auto" w:fill="FFFFFF"/>
        <w:jc w:val="both"/>
        <w:rPr>
          <w:bCs/>
          <w:color w:val="002060"/>
          <w:sz w:val="16"/>
          <w:szCs w:val="16"/>
        </w:rPr>
      </w:pPr>
    </w:p>
    <w:p w14:paraId="417F019F" w14:textId="33B30C9F" w:rsidR="00B67D7C" w:rsidRPr="00DE096C" w:rsidRDefault="00B67D7C" w:rsidP="00D45A46">
      <w:pPr>
        <w:shd w:val="clear" w:color="auto" w:fill="FFFFFF"/>
        <w:jc w:val="both"/>
        <w:rPr>
          <w:bCs/>
          <w:i/>
          <w:color w:val="002060"/>
          <w:sz w:val="16"/>
          <w:szCs w:val="16"/>
        </w:rPr>
      </w:pPr>
      <w:r w:rsidRPr="00DE096C">
        <w:rPr>
          <w:bCs/>
          <w:color w:val="002060"/>
          <w:sz w:val="16"/>
          <w:szCs w:val="16"/>
        </w:rPr>
        <w:t xml:space="preserve">1 (14) августа 1914 </w:t>
      </w:r>
      <w:r w:rsidR="0035066C" w:rsidRPr="00DE096C">
        <w:rPr>
          <w:bCs/>
          <w:color w:val="002060"/>
          <w:sz w:val="16"/>
          <w:szCs w:val="16"/>
        </w:rPr>
        <w:t xml:space="preserve">г. </w:t>
      </w:r>
      <w:r w:rsidRPr="00DE096C">
        <w:rPr>
          <w:bCs/>
          <w:color w:val="002060"/>
          <w:sz w:val="16"/>
          <w:szCs w:val="16"/>
        </w:rPr>
        <w:t xml:space="preserve">Ставка верховного главнокомандующего впервые отметила, что русская воздушная разведка в Галиции дает весьма обстоятелъные результаты. В этот же день огнем нашей артиллерии был сбит близ местечка Олита Сувалкской губернии гермашкий самолет. Экипаж в составе четырех офицеров был пленен </w:t>
      </w:r>
      <w:r w:rsidRPr="00DE096C">
        <w:rPr>
          <w:bCs/>
          <w:i/>
          <w:color w:val="002060"/>
          <w:sz w:val="16"/>
          <w:szCs w:val="16"/>
        </w:rPr>
        <w:t>(Воздушный справочник. 1915,</w:t>
      </w:r>
      <w:r w:rsidR="0035066C" w:rsidRPr="00DE096C">
        <w:rPr>
          <w:bCs/>
          <w:i/>
          <w:color w:val="002060"/>
          <w:sz w:val="16"/>
          <w:szCs w:val="16"/>
        </w:rPr>
        <w:t xml:space="preserve"> </w:t>
      </w:r>
      <w:r w:rsidRPr="00DE096C">
        <w:rPr>
          <w:bCs/>
          <w:i/>
          <w:color w:val="002060"/>
          <w:sz w:val="16"/>
          <w:szCs w:val="16"/>
        </w:rPr>
        <w:t>стр.2).</w:t>
      </w:r>
    </w:p>
    <w:p w14:paraId="406E0F65" w14:textId="77777777" w:rsidR="00B67D7C" w:rsidRPr="00DE096C" w:rsidRDefault="00B67D7C" w:rsidP="00D45A46">
      <w:pPr>
        <w:shd w:val="clear" w:color="auto" w:fill="FFFFFF"/>
        <w:jc w:val="both"/>
        <w:rPr>
          <w:bCs/>
          <w:i/>
          <w:color w:val="002060"/>
          <w:sz w:val="16"/>
          <w:szCs w:val="16"/>
        </w:rPr>
      </w:pPr>
    </w:p>
    <w:p w14:paraId="67C2E505" w14:textId="77777777" w:rsidR="00351E07" w:rsidRPr="00DE096C" w:rsidRDefault="00351E07" w:rsidP="00D45A46">
      <w:pPr>
        <w:jc w:val="both"/>
        <w:rPr>
          <w:bCs/>
          <w:color w:val="002060"/>
          <w:sz w:val="16"/>
          <w:szCs w:val="16"/>
        </w:rPr>
      </w:pPr>
      <w:r w:rsidRPr="00DE096C">
        <w:rPr>
          <w:bCs/>
          <w:color w:val="002060"/>
          <w:sz w:val="16"/>
          <w:szCs w:val="16"/>
        </w:rPr>
        <w:t>1 (14) августа 1914 г. Ставка верховного главнокомандующего впервые отметила, что русская воздушная разведка в Галиции дает весьма обстоятельные результаты. В этот же день огнем нашей артиллерии был сбит близ м. Олита Сувалкской губ. германский самолет. Эк илах в составе четырех офицеров был пленен.</w:t>
      </w:r>
    </w:p>
    <w:p w14:paraId="3AD8D393" w14:textId="77777777" w:rsidR="00351E07" w:rsidRPr="00DE096C" w:rsidRDefault="00351E07" w:rsidP="00D45A46">
      <w:pPr>
        <w:jc w:val="both"/>
        <w:rPr>
          <w:bCs/>
          <w:color w:val="002060"/>
          <w:sz w:val="16"/>
          <w:szCs w:val="16"/>
        </w:rPr>
      </w:pPr>
      <w:r w:rsidRPr="00DE096C">
        <w:rPr>
          <w:bCs/>
          <w:color w:val="002060"/>
          <w:sz w:val="16"/>
          <w:szCs w:val="16"/>
        </w:rPr>
        <w:t>/Архив Вишнева в ЦДА; Воздушный справочник, 1915, стр.2/ (23320).</w:t>
      </w:r>
    </w:p>
    <w:p w14:paraId="2B397151" w14:textId="77777777" w:rsidR="00351E07" w:rsidRPr="00DE096C" w:rsidRDefault="00351E07" w:rsidP="00D45A46">
      <w:pPr>
        <w:jc w:val="both"/>
        <w:rPr>
          <w:bCs/>
          <w:color w:val="002060"/>
          <w:sz w:val="16"/>
          <w:szCs w:val="16"/>
        </w:rPr>
      </w:pPr>
    </w:p>
    <w:p w14:paraId="7949C0FF" w14:textId="77777777" w:rsidR="00955729" w:rsidRPr="00DE096C" w:rsidRDefault="00955729" w:rsidP="00D45A46">
      <w:pPr>
        <w:jc w:val="both"/>
        <w:rPr>
          <w:bCs/>
          <w:color w:val="002060"/>
          <w:sz w:val="16"/>
          <w:szCs w:val="16"/>
        </w:rPr>
      </w:pPr>
      <w:r w:rsidRPr="00DE096C">
        <w:rPr>
          <w:bCs/>
          <w:color w:val="002060"/>
          <w:sz w:val="16"/>
          <w:szCs w:val="16"/>
        </w:rPr>
        <w:t xml:space="preserve">С 1 августа 1914 г. </w:t>
      </w:r>
      <w:r w:rsidRPr="00DE096C">
        <w:rPr>
          <w:bCs/>
          <w:color w:val="002060"/>
          <w:sz w:val="16"/>
          <w:szCs w:val="16"/>
          <w:lang w:val="en-US"/>
        </w:rPr>
        <w:t>c</w:t>
      </w:r>
      <w:r w:rsidRPr="00DE096C">
        <w:rPr>
          <w:bCs/>
          <w:color w:val="002060"/>
          <w:sz w:val="16"/>
          <w:szCs w:val="16"/>
        </w:rPr>
        <w:t xml:space="preserve"> вступлением России в Первую мировую войну были приняты практические меры по строительству воздушной обороны (ВоздО) в интересах военного и морского ведомств. Созданные ранее временные запретные зоны в воздушном пространстве западных приграничных районов страны с введением военного положения были структурированы в воздушную оборону, которая на сухопутном театре войны (ТВ) была разделена на оборону войск от нападения с воздуха и войсковую воздушную оборону.</w:t>
      </w:r>
    </w:p>
    <w:p w14:paraId="1D7E018E" w14:textId="77777777" w:rsidR="00955729" w:rsidRPr="00DE096C" w:rsidRDefault="00955729" w:rsidP="00D45A46">
      <w:pPr>
        <w:jc w:val="both"/>
        <w:rPr>
          <w:bCs/>
          <w:color w:val="002060"/>
          <w:sz w:val="16"/>
          <w:szCs w:val="16"/>
        </w:rPr>
      </w:pPr>
      <w:r w:rsidRPr="00DE096C">
        <w:rPr>
          <w:bCs/>
          <w:color w:val="002060"/>
          <w:sz w:val="16"/>
          <w:szCs w:val="16"/>
        </w:rPr>
        <w:t>Первая создавалась непосредственно в прифронтовой полосе (до 3</w:t>
      </w:r>
      <w:r w:rsidRPr="00DE096C">
        <w:rPr>
          <w:bCs/>
          <w:color w:val="002060"/>
          <w:sz w:val="16"/>
          <w:szCs w:val="16"/>
        </w:rPr>
        <w:softHyphen/>
        <w:t>5 км от передовой линии) на основе группы пассивных средств ВоздО (артиллерии, пулеметных команд и пехотных подразделений).</w:t>
      </w:r>
    </w:p>
    <w:p w14:paraId="060E7570" w14:textId="77777777" w:rsidR="00955729" w:rsidRPr="00DE096C" w:rsidRDefault="00955729" w:rsidP="00D45A46">
      <w:pPr>
        <w:jc w:val="both"/>
        <w:rPr>
          <w:bCs/>
          <w:color w:val="002060"/>
          <w:sz w:val="16"/>
          <w:szCs w:val="16"/>
        </w:rPr>
      </w:pPr>
      <w:r w:rsidRPr="00DE096C">
        <w:rPr>
          <w:bCs/>
          <w:color w:val="002060"/>
          <w:sz w:val="16"/>
          <w:szCs w:val="16"/>
        </w:rPr>
        <w:lastRenderedPageBreak/>
        <w:t>Территория войсковой воздушной обороны ограничивалась зоной действий воздушных сил противника (или угрожаемой зоной воздушного нападения) с включением в себя крупных административных и военных пунктов (крепости и укрепленные районы, штабы армий и корпусов, военные склады, важные транспортные узлы и мосты). Основу их защиты от воздушного нападения также составляли пассивные средства ВоздО. В отдельных случаях для этой цели задействовалась специальная (охранная) авиация, формирование которой началось в ходе кампании 1914 г.</w:t>
      </w:r>
    </w:p>
    <w:p w14:paraId="73BBFCC9" w14:textId="77777777" w:rsidR="00955729" w:rsidRPr="00DE096C" w:rsidRDefault="00955729" w:rsidP="00D45A46">
      <w:pPr>
        <w:jc w:val="both"/>
        <w:rPr>
          <w:bCs/>
          <w:color w:val="002060"/>
          <w:sz w:val="16"/>
          <w:szCs w:val="16"/>
        </w:rPr>
      </w:pPr>
      <w:r w:rsidRPr="00DE096C">
        <w:rPr>
          <w:bCs/>
          <w:color w:val="002060"/>
          <w:sz w:val="16"/>
          <w:szCs w:val="16"/>
        </w:rPr>
        <w:t>Особое место занимала организация ВоздО объектов на Балтийском и Черном морях (судов, портов, приморских позиционных районов, гидроаэродромов и т. д.), находившихся в ведении морского ведомства Российской империи (23405).</w:t>
      </w:r>
    </w:p>
    <w:p w14:paraId="0DDDA694" w14:textId="77777777" w:rsidR="00955729" w:rsidRPr="00DE096C" w:rsidRDefault="00955729" w:rsidP="00D45A46">
      <w:pPr>
        <w:jc w:val="both"/>
        <w:rPr>
          <w:bCs/>
          <w:color w:val="002060"/>
          <w:sz w:val="16"/>
          <w:szCs w:val="16"/>
          <w:lang w:bidi="ru-RU"/>
        </w:rPr>
      </w:pPr>
    </w:p>
    <w:p w14:paraId="63FFD355" w14:textId="77777777" w:rsidR="00955729" w:rsidRPr="00DE096C" w:rsidRDefault="00955729" w:rsidP="00D45A46">
      <w:pPr>
        <w:jc w:val="both"/>
        <w:rPr>
          <w:bCs/>
          <w:color w:val="002060"/>
          <w:sz w:val="16"/>
          <w:szCs w:val="16"/>
        </w:rPr>
      </w:pPr>
      <w:r w:rsidRPr="00DE096C">
        <w:rPr>
          <w:bCs/>
          <w:color w:val="002060"/>
          <w:sz w:val="16"/>
          <w:szCs w:val="16"/>
          <w:lang w:bidi="en-US"/>
        </w:rPr>
        <w:t>1 августа 1914 года Германия объявила войну России, а 5 августа — Австро-Венгрия. Россия наконец объявила войну Центральным державам 7-го числа. К 12 числа все основные воюющие стороны находились в состоянии войны.</w:t>
      </w:r>
    </w:p>
    <w:p w14:paraId="685B5D56" w14:textId="77777777" w:rsidR="00955729" w:rsidRPr="00DE096C" w:rsidRDefault="00955729" w:rsidP="00D45A46">
      <w:pPr>
        <w:jc w:val="both"/>
        <w:rPr>
          <w:bCs/>
          <w:color w:val="002060"/>
          <w:sz w:val="16"/>
          <w:szCs w:val="16"/>
        </w:rPr>
      </w:pPr>
      <w:r w:rsidRPr="00DE096C">
        <w:rPr>
          <w:bCs/>
          <w:color w:val="002060"/>
          <w:sz w:val="16"/>
          <w:szCs w:val="16"/>
          <w:lang w:bidi="en-US"/>
        </w:rPr>
        <w:t>Русская авиация теперь имела тридцать корпусных авиационных отрядов (КАО), 3-й полевой АО и восемь крепостных АО. В наличии было 169 офицеров и 44 рядовых пилота. Авиационные роты предназначались исключительно в качестве баз для АО, служили в качестве ремонтных центров и для поддержания резервных запасов, в то время как восемь АО крепостей отвечали за собственное техническое обслуживание и находились под руководством командира каждой крепости.</w:t>
      </w:r>
    </w:p>
    <w:p w14:paraId="141896F1" w14:textId="77777777" w:rsidR="00955729" w:rsidRPr="00DE096C" w:rsidRDefault="00955729" w:rsidP="00D45A46">
      <w:pPr>
        <w:jc w:val="both"/>
        <w:rPr>
          <w:bCs/>
          <w:color w:val="002060"/>
          <w:sz w:val="16"/>
          <w:szCs w:val="16"/>
        </w:rPr>
      </w:pPr>
      <w:r w:rsidRPr="00DE096C">
        <w:rPr>
          <w:bCs/>
          <w:color w:val="002060"/>
          <w:sz w:val="16"/>
          <w:szCs w:val="16"/>
          <w:lang w:bidi="en-US"/>
        </w:rPr>
        <w:t>Авиационные роты были следующими: 1-я авиационная рота в Санкт-Петербурге с 1-й, 5-й, 8-й, 16-й, 22-й и гвардейской КАО; 2-я авиационная рота в Варшаве с 14-й, 15-й, 19-й и 21-й КАО; 3-я авиационная рота в Киеве с 9-м, 11-м, 12-м КАО и 3-м полевым АО; 4-я авиационная рота в Лиде с 2-м, 3-м, 4-м, 6-м, 10-м, 20-м и 21-м КАО; 5-я авиационная рота в Броннице с 13-м и 17-м КАО и Гренадерским КАО; 6-я авиационная рота в Одессе с 7-м, 8-м, 24-м и 25-м КАО; в состав Сибирской авиационной компании входили 1-й Сибирский КАО в Иркутске, 4-й Сибирский КАО в Спасском и 5-й Сибирский КАО в Хабаровске.</w:t>
      </w:r>
    </w:p>
    <w:p w14:paraId="0E636835" w14:textId="77777777" w:rsidR="00955729" w:rsidRPr="00DE096C" w:rsidRDefault="00955729" w:rsidP="00D45A46">
      <w:pPr>
        <w:jc w:val="both"/>
        <w:rPr>
          <w:bCs/>
          <w:color w:val="002060"/>
          <w:sz w:val="16"/>
          <w:szCs w:val="16"/>
        </w:rPr>
      </w:pPr>
      <w:r w:rsidRPr="00DE096C">
        <w:rPr>
          <w:bCs/>
          <w:color w:val="002060"/>
          <w:sz w:val="16"/>
          <w:szCs w:val="16"/>
          <w:lang w:bidi="en-US"/>
        </w:rPr>
        <w:t>Авиационные роты и их АО должны были иметь 372 самолета, а имели только 199, нехватка 173, а Крепостные АО должны были иметь 128 машин, но имели вдвое меньше. Таким образом, к началу войны уже не хватало 237 самолетов. По мере того как война продолжалась, стало очевидным, что из-за износа, повреждений и разрушений ежемесячная потеря самолетов составит 37%. Но никто, наделенный властью, не мог этого предвидеть (23525).</w:t>
      </w:r>
    </w:p>
    <w:p w14:paraId="16A165C4" w14:textId="77777777" w:rsidR="00955729" w:rsidRPr="00DE096C" w:rsidRDefault="00955729" w:rsidP="00D45A46">
      <w:pPr>
        <w:jc w:val="both"/>
        <w:rPr>
          <w:bCs/>
          <w:color w:val="002060"/>
          <w:sz w:val="16"/>
          <w:szCs w:val="16"/>
          <w:lang w:bidi="en-US"/>
        </w:rPr>
      </w:pPr>
    </w:p>
    <w:p w14:paraId="48C9BFA2" w14:textId="77777777" w:rsidR="00955729" w:rsidRPr="00DE096C" w:rsidRDefault="00955729" w:rsidP="00D45A46">
      <w:pPr>
        <w:jc w:val="both"/>
        <w:rPr>
          <w:bCs/>
          <w:color w:val="002060"/>
          <w:sz w:val="16"/>
          <w:szCs w:val="16"/>
        </w:rPr>
      </w:pPr>
      <w:r w:rsidRPr="00DE096C">
        <w:rPr>
          <w:bCs/>
          <w:color w:val="002060"/>
          <w:sz w:val="16"/>
          <w:szCs w:val="16"/>
          <w:lang w:bidi="en-US"/>
        </w:rPr>
        <w:t>1 августа 1914 г. был отдан приказ подчинить все КАО непосредственному командованию штабов различных корпусов, а 3-й полевой АО перешел в подчинение штаба 3-й армии. 3-й полевой АО было приказано сформировать 10 мая 1913 г. 22 мая 1916 г. он стал вновь сформированным АО 8-й армии с типами Вуазен и Моран. (Примечание: в январе 1916 года старая 8-я армия АО была переименована во 2-ю Кавказскую КАО) (23525).</w:t>
      </w:r>
    </w:p>
    <w:p w14:paraId="7EC982DD" w14:textId="77777777" w:rsidR="00955729" w:rsidRPr="00DE096C" w:rsidRDefault="00955729" w:rsidP="00D45A46">
      <w:pPr>
        <w:jc w:val="both"/>
        <w:rPr>
          <w:bCs/>
          <w:color w:val="002060"/>
          <w:sz w:val="16"/>
          <w:szCs w:val="16"/>
          <w:lang w:bidi="en-US"/>
        </w:rPr>
      </w:pPr>
    </w:p>
    <w:p w14:paraId="13AE5066" w14:textId="77777777" w:rsidR="00955729" w:rsidRPr="00DE096C" w:rsidRDefault="00955729" w:rsidP="00D45A46">
      <w:pPr>
        <w:jc w:val="both"/>
        <w:rPr>
          <w:bCs/>
          <w:color w:val="002060"/>
          <w:sz w:val="16"/>
          <w:szCs w:val="16"/>
          <w:lang w:bidi="en-US"/>
        </w:rPr>
      </w:pPr>
      <w:r w:rsidRPr="00DE096C">
        <w:rPr>
          <w:bCs/>
          <w:color w:val="002060"/>
          <w:sz w:val="16"/>
          <w:szCs w:val="16"/>
          <w:lang w:bidi="en-US"/>
        </w:rPr>
        <w:t xml:space="preserve">1 августа 1914 г. в отчете русской армии от говорилось, что в составе одиннадцать авиационных рот, с сорока шестью воздушными змеями (их должно было быть пятьдесят) и тридцать семь </w:t>
      </w:r>
      <w:r w:rsidRPr="00DE096C">
        <w:rPr>
          <w:bCs/>
          <w:color w:val="002060"/>
          <w:sz w:val="16"/>
          <w:szCs w:val="16"/>
          <w:lang w:bidi="en-US"/>
        </w:rPr>
        <w:softHyphen/>
        <w:t>с лебедками. К этому времени были полностью сформированы 12-я, 13-я и 14-я авиационные роты (23525).</w:t>
      </w:r>
    </w:p>
    <w:p w14:paraId="214F1320" w14:textId="77777777" w:rsidR="00955729" w:rsidRPr="00DE096C" w:rsidRDefault="00955729" w:rsidP="00D45A46">
      <w:pPr>
        <w:jc w:val="both"/>
        <w:rPr>
          <w:bCs/>
          <w:color w:val="002060"/>
          <w:sz w:val="16"/>
          <w:szCs w:val="16"/>
        </w:rPr>
      </w:pPr>
    </w:p>
    <w:p w14:paraId="0557A53F" w14:textId="77777777" w:rsidR="00DA1330" w:rsidRPr="00B52707" w:rsidRDefault="00DA1330" w:rsidP="00DA1330">
      <w:pPr>
        <w:jc w:val="both"/>
        <w:rPr>
          <w:color w:val="0070C0"/>
          <w:sz w:val="16"/>
          <w:szCs w:val="16"/>
        </w:rPr>
      </w:pPr>
      <w:r w:rsidRPr="00B52707">
        <w:rPr>
          <w:color w:val="0070C0"/>
          <w:sz w:val="16"/>
          <w:szCs w:val="16"/>
        </w:rPr>
        <w:t>1 (14) августа 1914 г. император Николай II утвердил штаты «Команды для аэроплана типа «Илья Муромец». По штату в отряд входили: командир корабля (капитан или подполковник), помощник командира - летчик (до капитана), артиллерийский офицер (до капитана), младший офицер-адъютант (завхоз и казначей) (до штабс-капитана), младший механик (военный чиновник XII класса), фельдфебель-летчик, старший фейерверкер-артиллерист, старший унтер-офицер-пулеметчик, два старших унтер-офицера моториста, два младших унтер-офицера моториста, каптенармус, младший фельдшер и 31 солдат. По табелю полагалось два легковых авто, четыре полуторки и один мотоцикл. Отряд обеспечивался одной палаткой- ангаром для «муромца». Имелась походная мастерская, гараж. Потом этот штат и табель по опыту военных действий был существенно скорректирован (24965).</w:t>
      </w:r>
    </w:p>
    <w:p w14:paraId="0E6B1345" w14:textId="77777777" w:rsidR="00DA1330" w:rsidRPr="00B52707" w:rsidRDefault="00DA1330" w:rsidP="00DA1330">
      <w:pPr>
        <w:jc w:val="both"/>
        <w:rPr>
          <w:color w:val="0070C0"/>
          <w:sz w:val="16"/>
          <w:szCs w:val="16"/>
        </w:rPr>
      </w:pPr>
    </w:p>
    <w:p w14:paraId="3CCEE614" w14:textId="77777777" w:rsidR="00DA1330" w:rsidRPr="00B52707" w:rsidRDefault="00DA1330" w:rsidP="00DA1330">
      <w:pPr>
        <w:jc w:val="both"/>
        <w:rPr>
          <w:color w:val="0070C0"/>
          <w:sz w:val="16"/>
          <w:szCs w:val="16"/>
        </w:rPr>
      </w:pPr>
      <w:r w:rsidRPr="00B52707">
        <w:rPr>
          <w:color w:val="0070C0"/>
          <w:sz w:val="16"/>
          <w:szCs w:val="16"/>
        </w:rPr>
        <w:t>1 (14) авг. 1914 г. Приказом верх. главщего для упо</w:t>
      </w:r>
      <w:r w:rsidRPr="00B52707">
        <w:rPr>
          <w:color w:val="0070C0"/>
          <w:sz w:val="16"/>
          <w:szCs w:val="16"/>
        </w:rPr>
        <w:softHyphen/>
        <w:t>рядочения на театре войны авиационного и воздухоплава</w:t>
      </w:r>
      <w:r w:rsidRPr="00B52707">
        <w:rPr>
          <w:color w:val="0070C0"/>
          <w:sz w:val="16"/>
          <w:szCs w:val="16"/>
        </w:rPr>
        <w:softHyphen/>
        <w:t>тельного дела были учреждены должности «заведующих организацией авиационного дела в действующей армии», при чем в армиях Ю.-З. фронта на эту должность назначен был быв. великий князь Александр Михайлович, в армиях С.-З. фронта ген. Каульбарс (24923).</w:t>
      </w:r>
    </w:p>
    <w:p w14:paraId="685D66F4" w14:textId="77777777" w:rsidR="00DA1330" w:rsidRPr="00B52707" w:rsidRDefault="00DA1330" w:rsidP="00DA1330">
      <w:pPr>
        <w:jc w:val="both"/>
        <w:rPr>
          <w:color w:val="0070C0"/>
          <w:sz w:val="16"/>
          <w:szCs w:val="16"/>
        </w:rPr>
      </w:pPr>
    </w:p>
    <w:p w14:paraId="719D83B2" w14:textId="77777777" w:rsidR="00955729" w:rsidRPr="00DE096C" w:rsidRDefault="00955729" w:rsidP="00D45A46">
      <w:pPr>
        <w:jc w:val="both"/>
        <w:rPr>
          <w:bCs/>
          <w:color w:val="002060"/>
          <w:sz w:val="16"/>
          <w:szCs w:val="16"/>
          <w:lang w:bidi="en-US"/>
        </w:rPr>
      </w:pPr>
      <w:r w:rsidRPr="00DE096C">
        <w:rPr>
          <w:bCs/>
          <w:color w:val="002060"/>
          <w:sz w:val="16"/>
          <w:szCs w:val="16"/>
          <w:lang w:bidi="en-US"/>
        </w:rPr>
        <w:t>1 августа 1914 г. Временная авиационная секция Офицерской воздухоплавательной школы была реорганизована в самостоятельную школу под названием Военная авиационная школа в Гатчине. С 1910 г. по июль 1914 г. русские училища подготовили около 300 летчиков. Из них 133 человека прошли обучение в период с января по июль 1914 года (23525).</w:t>
      </w:r>
    </w:p>
    <w:p w14:paraId="42D23209" w14:textId="77777777" w:rsidR="00955729" w:rsidRPr="00DE096C" w:rsidRDefault="00955729" w:rsidP="00D45A46">
      <w:pPr>
        <w:jc w:val="both"/>
        <w:rPr>
          <w:bCs/>
          <w:color w:val="002060"/>
          <w:sz w:val="16"/>
          <w:szCs w:val="16"/>
        </w:rPr>
      </w:pPr>
    </w:p>
    <w:p w14:paraId="7F7EAB1B" w14:textId="19813987" w:rsidR="00DC55EB" w:rsidRPr="00DE096C" w:rsidRDefault="00DC55EB" w:rsidP="00D45A46">
      <w:pPr>
        <w:pStyle w:val="ae"/>
        <w:spacing w:before="0" w:beforeAutospacing="0" w:after="0" w:afterAutospacing="0"/>
        <w:jc w:val="both"/>
        <w:rPr>
          <w:bCs/>
          <w:i/>
          <w:iCs/>
          <w:color w:val="002060"/>
          <w:sz w:val="16"/>
          <w:szCs w:val="16"/>
        </w:rPr>
      </w:pPr>
      <w:r w:rsidRPr="00DE096C">
        <w:rPr>
          <w:bCs/>
          <w:i/>
          <w:iCs/>
          <w:color w:val="002060"/>
          <w:sz w:val="16"/>
          <w:szCs w:val="16"/>
        </w:rPr>
        <w:t>Морская авиация:</w:t>
      </w:r>
    </w:p>
    <w:p w14:paraId="2952BF84" w14:textId="77777777" w:rsidR="00DC55EB" w:rsidRPr="00DE096C" w:rsidRDefault="00DC55EB" w:rsidP="00D45A46">
      <w:pPr>
        <w:pStyle w:val="ae"/>
        <w:spacing w:before="0" w:beforeAutospacing="0" w:after="0" w:afterAutospacing="0"/>
        <w:jc w:val="both"/>
        <w:rPr>
          <w:bCs/>
          <w:i/>
          <w:iCs/>
          <w:color w:val="002060"/>
          <w:sz w:val="16"/>
          <w:szCs w:val="16"/>
        </w:rPr>
      </w:pPr>
    </w:p>
    <w:p w14:paraId="48E18C00" w14:textId="77777777" w:rsidR="00DC55EB" w:rsidRPr="00DE096C" w:rsidRDefault="00DC55EB" w:rsidP="00D45A46">
      <w:pPr>
        <w:jc w:val="both"/>
        <w:rPr>
          <w:bCs/>
          <w:color w:val="002060"/>
          <w:sz w:val="16"/>
          <w:szCs w:val="16"/>
        </w:rPr>
      </w:pPr>
      <w:r w:rsidRPr="00DE096C">
        <w:rPr>
          <w:bCs/>
          <w:color w:val="002060"/>
          <w:sz w:val="16"/>
          <w:szCs w:val="16"/>
        </w:rPr>
        <w:t xml:space="preserve">На 1 (14) августа 1914 года в Морском министерстве насчитывалось всего лишь около 3 десятков самолетов, 2 десятка дипломированных летчиков и около 10 офицеров проходило летную подготовку непосредственно на флотах, и процесс подготовки летных кадров, казалось, не вызывал особого беспокойства. Более того, большую роль сыграл первый официальный документ отечественной морской авиации «Положение о службе авиации в службе связи», в котором в числе прочих были отражены вопросы подготовки кадров для авиации флота»... </w:t>
      </w:r>
    </w:p>
    <w:p w14:paraId="0FC4C846" w14:textId="77777777" w:rsidR="00DC55EB" w:rsidRPr="00DE096C" w:rsidRDefault="00DC55EB" w:rsidP="00D45A46">
      <w:pPr>
        <w:jc w:val="both"/>
        <w:rPr>
          <w:bCs/>
          <w:color w:val="002060"/>
          <w:sz w:val="16"/>
          <w:szCs w:val="16"/>
        </w:rPr>
      </w:pPr>
      <w:r w:rsidRPr="00DE096C">
        <w:rPr>
          <w:bCs/>
          <w:color w:val="002060"/>
          <w:sz w:val="16"/>
          <w:szCs w:val="16"/>
        </w:rPr>
        <w:t xml:space="preserve">...Документ также определял, что подготовка нижних чинов к службе в качестве авиационных специалистов осуществляется на флотах при одной из станций 1 -го разряда в каждом воздушном районе». «Период обучения нижних чинов не должен превышать одного года, после чего выдержавшие экзамен по особой программе в комиссии, назначаемой приказом командующего морскими силами, производятся в авиационные унтер-офицеры на открывающиеся вакансии: имеющие уже при обучении звание унтер-офицера переименовываются в авиационные унтер-офицеры», — гласил один из пунктов указанного положения... </w:t>
      </w:r>
    </w:p>
    <w:p w14:paraId="0B43EAF7" w14:textId="77777777" w:rsidR="00DC55EB" w:rsidRPr="00DE096C" w:rsidRDefault="00DC55EB" w:rsidP="00D45A46">
      <w:pPr>
        <w:jc w:val="both"/>
        <w:rPr>
          <w:bCs/>
          <w:color w:val="002060"/>
          <w:sz w:val="16"/>
          <w:szCs w:val="16"/>
        </w:rPr>
      </w:pPr>
      <w:r w:rsidRPr="00DE096C">
        <w:rPr>
          <w:bCs/>
          <w:color w:val="002060"/>
          <w:sz w:val="16"/>
          <w:szCs w:val="16"/>
        </w:rPr>
        <w:t xml:space="preserve">...То, что Морское министерство в первую очередь было обеспокоено подготовкой летного состава, являлось вполне закономерным, хотя при этом, особенно в начале войны, зачастую упускался из виду уровень образования и квалификации механиков. Такое случалось, как правило, из-за недооценки роли младших авиационных специалистов, что служило предпосылкой к поломкам аэропланов и авариям. Еще труднее обстояло дело с замещением инженерных должностей. «Вообще, надо отметить, что долгое время военных инженеров-авиаторов ни одно учебное заведение не готовило, — указано в исследовательских материалах. — Поэтому на должности авиационных инженеров-механиков (и иных специалистов) назначали лиц, окончивших политехнические, кораблестроительные и другие вузы, а зачастую на инженерные должности назначались опытные техники»... </w:t>
      </w:r>
    </w:p>
    <w:p w14:paraId="4799CEC9" w14:textId="77777777" w:rsidR="00DC55EB" w:rsidRPr="00DE096C" w:rsidRDefault="00DC55EB" w:rsidP="00D45A46">
      <w:pPr>
        <w:jc w:val="both"/>
        <w:rPr>
          <w:bCs/>
          <w:color w:val="002060"/>
          <w:sz w:val="16"/>
          <w:szCs w:val="16"/>
        </w:rPr>
      </w:pPr>
      <w:r w:rsidRPr="00DE096C">
        <w:rPr>
          <w:bCs/>
          <w:color w:val="002060"/>
          <w:sz w:val="16"/>
          <w:szCs w:val="16"/>
        </w:rPr>
        <w:t xml:space="preserve">...Механиков по обслуживанию летательных аппаратов готовили непосредственно на гидроавиационных станциях службы связи флотов. В общем, до лета 1915 года ни летчиков, ни инженерно-технических специалистов непосредственно для морской авиации учебные заведения Морского министерства не готовили... </w:t>
      </w:r>
    </w:p>
    <w:p w14:paraId="729ED2AD" w14:textId="77777777" w:rsidR="00DC55EB" w:rsidRPr="00DE096C" w:rsidRDefault="00DC55EB" w:rsidP="00D45A46">
      <w:pPr>
        <w:jc w:val="both"/>
        <w:rPr>
          <w:bCs/>
          <w:color w:val="002060"/>
          <w:sz w:val="16"/>
          <w:szCs w:val="16"/>
        </w:rPr>
      </w:pPr>
      <w:r w:rsidRPr="00DE096C">
        <w:rPr>
          <w:bCs/>
          <w:color w:val="002060"/>
          <w:sz w:val="16"/>
          <w:szCs w:val="16"/>
        </w:rPr>
        <w:t xml:space="preserve">...Ход войны изменил отношение флотского командования к качественной стороне подготовки авиационных специалистов, занимающихся ремонтом и обслуживанием самолетов, и в начале 1917 года в Гапсале (ныне Хаапсалу) было создано соответствующее специализированное учебное заведение — Школа авиационных унтер-офицеров (наземных младших авиаспециалистов). В дальнейшем (кампания 1917 г.) в связи с увеличением потребности флотов в летном составе и перспективным (плановым) развитием отечественной морской авиации эта школа наряду с подготовкой наземного технического персонала начала осуществлять обучение матросов, унтер-офицеров и охотников флота летным специальностям... </w:t>
      </w:r>
    </w:p>
    <w:p w14:paraId="520538FF" w14:textId="77777777" w:rsidR="00DC55EB" w:rsidRPr="00DE096C" w:rsidRDefault="00DC55EB" w:rsidP="00D45A46">
      <w:pPr>
        <w:jc w:val="both"/>
        <w:rPr>
          <w:bCs/>
          <w:color w:val="002060"/>
          <w:sz w:val="16"/>
          <w:szCs w:val="16"/>
        </w:rPr>
      </w:pPr>
      <w:r w:rsidRPr="00DE096C">
        <w:rPr>
          <w:bCs/>
          <w:color w:val="002060"/>
          <w:sz w:val="16"/>
          <w:szCs w:val="16"/>
        </w:rPr>
        <w:t xml:space="preserve">Источник: </w:t>
      </w:r>
    </w:p>
    <w:p w14:paraId="2D687C1C" w14:textId="77777777" w:rsidR="00DC55EB" w:rsidRPr="00DE096C" w:rsidRDefault="00DC55EB" w:rsidP="00D45A46">
      <w:pPr>
        <w:jc w:val="both"/>
        <w:rPr>
          <w:bCs/>
          <w:color w:val="002060"/>
          <w:sz w:val="16"/>
          <w:szCs w:val="16"/>
        </w:rPr>
      </w:pPr>
      <w:r w:rsidRPr="00DE096C">
        <w:rPr>
          <w:bCs/>
          <w:color w:val="002060"/>
          <w:sz w:val="16"/>
          <w:szCs w:val="16"/>
        </w:rPr>
        <w:t>Сайт Ейского ЕЕВАУЛ, страница "ИСТОРИЯ АВИАЦИИ В РОССИЙСКОМ ИМПЕРАТОРСКОМ ФЛОТЕ 1890-1917)" (11701).</w:t>
      </w:r>
    </w:p>
    <w:p w14:paraId="1C6E001C" w14:textId="77777777" w:rsidR="00DC55EB" w:rsidRPr="00DE096C" w:rsidRDefault="00DC55EB" w:rsidP="00D45A46">
      <w:pPr>
        <w:jc w:val="both"/>
        <w:rPr>
          <w:bCs/>
          <w:color w:val="002060"/>
          <w:sz w:val="16"/>
          <w:szCs w:val="16"/>
        </w:rPr>
      </w:pPr>
    </w:p>
    <w:p w14:paraId="64A53361" w14:textId="120C65B1" w:rsidR="0035066C" w:rsidRPr="00DE096C" w:rsidRDefault="0035066C" w:rsidP="00D45A46">
      <w:pPr>
        <w:shd w:val="clear" w:color="auto" w:fill="FFFFFF"/>
        <w:jc w:val="both"/>
        <w:rPr>
          <w:bCs/>
          <w:i/>
          <w:color w:val="002060"/>
          <w:sz w:val="16"/>
          <w:szCs w:val="16"/>
        </w:rPr>
      </w:pPr>
      <w:r w:rsidRPr="00DE096C">
        <w:rPr>
          <w:bCs/>
          <w:i/>
          <w:color w:val="002060"/>
          <w:sz w:val="16"/>
          <w:szCs w:val="16"/>
        </w:rPr>
        <w:t>Армия:</w:t>
      </w:r>
    </w:p>
    <w:p w14:paraId="00A5F485" w14:textId="79A25526" w:rsidR="0035066C" w:rsidRPr="00DE096C" w:rsidRDefault="0035066C" w:rsidP="00D45A46">
      <w:pPr>
        <w:shd w:val="clear" w:color="auto" w:fill="FFFFFF"/>
        <w:jc w:val="both"/>
        <w:rPr>
          <w:bCs/>
          <w:i/>
          <w:color w:val="002060"/>
          <w:sz w:val="16"/>
          <w:szCs w:val="16"/>
        </w:rPr>
      </w:pPr>
    </w:p>
    <w:p w14:paraId="7B9C0F75" w14:textId="77777777" w:rsidR="0035066C" w:rsidRPr="00DE096C" w:rsidRDefault="0035066C" w:rsidP="00D45A46">
      <w:pPr>
        <w:jc w:val="both"/>
        <w:rPr>
          <w:bCs/>
          <w:color w:val="002060"/>
          <w:sz w:val="16"/>
          <w:szCs w:val="16"/>
        </w:rPr>
      </w:pPr>
      <w:r w:rsidRPr="00DE096C">
        <w:rPr>
          <w:bCs/>
          <w:color w:val="002060"/>
          <w:sz w:val="16"/>
          <w:szCs w:val="16"/>
        </w:rPr>
        <w:t>К 1 (14) августа 1914-го года штаты действующей артиллерии укомплектовали на 100 %, а мобилизационный резерв был укомплектован на 98 %. В русской артиллерии такой идеальной ситуации никогда не было, ни до 14-го года, ни после него (15599).</w:t>
      </w:r>
    </w:p>
    <w:p w14:paraId="2D09F617" w14:textId="77777777" w:rsidR="0035066C" w:rsidRPr="00DE096C" w:rsidRDefault="0035066C" w:rsidP="00D45A46">
      <w:pPr>
        <w:jc w:val="both"/>
        <w:rPr>
          <w:bCs/>
          <w:color w:val="002060"/>
          <w:sz w:val="16"/>
          <w:szCs w:val="16"/>
        </w:rPr>
      </w:pPr>
    </w:p>
    <w:p w14:paraId="10C694EA" w14:textId="778C83B2"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 и воздухоплавание Франции:</w:t>
      </w:r>
    </w:p>
    <w:p w14:paraId="2D4B9586" w14:textId="77777777" w:rsidR="00B67D7C" w:rsidRPr="00DE096C" w:rsidRDefault="00B67D7C" w:rsidP="00D45A46">
      <w:pPr>
        <w:shd w:val="clear" w:color="auto" w:fill="FFFFFF"/>
        <w:jc w:val="both"/>
        <w:rPr>
          <w:bCs/>
          <w:i/>
          <w:color w:val="002060"/>
          <w:sz w:val="16"/>
          <w:szCs w:val="16"/>
        </w:rPr>
      </w:pPr>
    </w:p>
    <w:p w14:paraId="47B3F837" w14:textId="7ED80F13" w:rsidR="00B67D7C" w:rsidRPr="00DE096C" w:rsidRDefault="00B67D7C" w:rsidP="00D45A46">
      <w:pPr>
        <w:jc w:val="both"/>
        <w:rPr>
          <w:bCs/>
          <w:color w:val="002060"/>
          <w:sz w:val="16"/>
          <w:szCs w:val="16"/>
        </w:rPr>
      </w:pPr>
      <w:r w:rsidRPr="00DE096C">
        <w:rPr>
          <w:bCs/>
          <w:color w:val="002060"/>
          <w:sz w:val="16"/>
          <w:szCs w:val="16"/>
        </w:rPr>
        <w:t xml:space="preserve">1 (14) августа 1914 </w:t>
      </w:r>
      <w:r w:rsidR="0035066C" w:rsidRPr="00DE096C">
        <w:rPr>
          <w:bCs/>
          <w:color w:val="002060"/>
          <w:sz w:val="16"/>
          <w:szCs w:val="16"/>
        </w:rPr>
        <w:t xml:space="preserve">г. </w:t>
      </w:r>
      <w:r w:rsidRPr="00DE096C">
        <w:rPr>
          <w:bCs/>
          <w:color w:val="002060"/>
          <w:sz w:val="16"/>
          <w:szCs w:val="16"/>
        </w:rPr>
        <w:t>впервые зафиксировано воздушное нападение авиаторов на военную базу. Французы - поручик Цезари и капрал Прудоммо на самолете "Вуазен-5", поднявшись с аэродрома под Верденом и прихватив с собой 4 артиллерийских гранаты 90-мм, снабженных стабилизатором, атаковали немецкую базу в крепости Мец (11999).</w:t>
      </w:r>
    </w:p>
    <w:p w14:paraId="5E463B35" w14:textId="77777777" w:rsidR="00B67D7C" w:rsidRPr="00DE096C" w:rsidRDefault="00B67D7C" w:rsidP="00D45A46">
      <w:pPr>
        <w:jc w:val="both"/>
        <w:rPr>
          <w:bCs/>
          <w:color w:val="002060"/>
          <w:sz w:val="16"/>
          <w:szCs w:val="16"/>
        </w:rPr>
      </w:pPr>
    </w:p>
    <w:p w14:paraId="52AEC330" w14:textId="5A37CFC2" w:rsidR="00CD36D2" w:rsidRPr="00DE096C" w:rsidRDefault="00CD36D2" w:rsidP="00D45A46">
      <w:pPr>
        <w:jc w:val="both"/>
        <w:rPr>
          <w:bCs/>
          <w:color w:val="002060"/>
          <w:sz w:val="16"/>
          <w:szCs w:val="16"/>
        </w:rPr>
      </w:pPr>
      <w:r w:rsidRPr="00DE096C">
        <w:rPr>
          <w:bCs/>
          <w:color w:val="002060"/>
          <w:sz w:val="16"/>
          <w:szCs w:val="16"/>
        </w:rPr>
        <w:t xml:space="preserve">1 (14) августа 1914 </w:t>
      </w:r>
      <w:r w:rsidR="0035066C" w:rsidRPr="00DE096C">
        <w:rPr>
          <w:bCs/>
          <w:color w:val="002060"/>
          <w:sz w:val="16"/>
          <w:szCs w:val="16"/>
        </w:rPr>
        <w:t xml:space="preserve">г. </w:t>
      </w:r>
      <w:r w:rsidRPr="00DE096C">
        <w:rPr>
          <w:bCs/>
          <w:color w:val="002060"/>
          <w:sz w:val="16"/>
          <w:szCs w:val="16"/>
        </w:rPr>
        <w:t>первый настоящий бомбардировщик, французский Voisin III, впервые используется в бою при атаке ангаров немецких дирижаблей в Мец-Фраскати, Германия (20337).</w:t>
      </w:r>
    </w:p>
    <w:p w14:paraId="1582F4B6" w14:textId="77777777" w:rsidR="00CD36D2" w:rsidRPr="00DE096C" w:rsidRDefault="00CD36D2" w:rsidP="00D45A46">
      <w:pPr>
        <w:jc w:val="both"/>
        <w:rPr>
          <w:bCs/>
          <w:color w:val="002060"/>
          <w:sz w:val="16"/>
          <w:szCs w:val="16"/>
        </w:rPr>
      </w:pPr>
    </w:p>
    <w:p w14:paraId="475A494E" w14:textId="3B26A2D6" w:rsidR="004C13D3" w:rsidRPr="00DE096C" w:rsidRDefault="004C13D3" w:rsidP="00D45A46">
      <w:pPr>
        <w:jc w:val="both"/>
        <w:rPr>
          <w:bCs/>
          <w:i/>
          <w:color w:val="002060"/>
          <w:sz w:val="16"/>
          <w:szCs w:val="16"/>
        </w:rPr>
      </w:pPr>
      <w:r w:rsidRPr="00DE096C">
        <w:rPr>
          <w:bCs/>
          <w:i/>
          <w:color w:val="002060"/>
          <w:sz w:val="16"/>
          <w:szCs w:val="16"/>
        </w:rPr>
        <w:t>Авиация и воздухоплавание Германии:</w:t>
      </w:r>
    </w:p>
    <w:p w14:paraId="6DBB0223" w14:textId="77777777" w:rsidR="004C13D3" w:rsidRPr="00DE096C" w:rsidRDefault="004C13D3" w:rsidP="00D45A46">
      <w:pPr>
        <w:jc w:val="both"/>
        <w:rPr>
          <w:bCs/>
          <w:i/>
          <w:color w:val="002060"/>
          <w:sz w:val="16"/>
          <w:szCs w:val="16"/>
        </w:rPr>
      </w:pPr>
    </w:p>
    <w:p w14:paraId="3A4DD986" w14:textId="77777777" w:rsidR="004C13D3" w:rsidRPr="00DE096C" w:rsidRDefault="004C13D3" w:rsidP="00D45A46">
      <w:pPr>
        <w:jc w:val="both"/>
        <w:rPr>
          <w:bCs/>
          <w:color w:val="002060"/>
          <w:sz w:val="16"/>
          <w:szCs w:val="16"/>
        </w:rPr>
      </w:pPr>
      <w:r w:rsidRPr="00DE096C">
        <w:rPr>
          <w:bCs/>
          <w:color w:val="002060"/>
          <w:sz w:val="16"/>
          <w:szCs w:val="16"/>
        </w:rPr>
        <w:lastRenderedPageBreak/>
        <w:t>1 (14) августа в 1914 году германский цеппелин сбросил бомбы на Антверпен. Первая бомбардировка дирижаблем территории противника. Повреждено 900 домов, 60 полностью стерты с лица земли (14983).</w:t>
      </w:r>
    </w:p>
    <w:p w14:paraId="579EB73B" w14:textId="77777777" w:rsidR="004C13D3" w:rsidRPr="00DE096C" w:rsidRDefault="004C13D3" w:rsidP="00D45A46">
      <w:pPr>
        <w:jc w:val="both"/>
        <w:rPr>
          <w:bCs/>
          <w:color w:val="002060"/>
          <w:sz w:val="16"/>
          <w:szCs w:val="16"/>
        </w:rPr>
      </w:pPr>
    </w:p>
    <w:p w14:paraId="3B9D8F05" w14:textId="77777777" w:rsidR="00CD36D2" w:rsidRPr="00DE096C" w:rsidRDefault="00CD36D2" w:rsidP="00D45A46">
      <w:pPr>
        <w:jc w:val="both"/>
        <w:rPr>
          <w:bCs/>
          <w:color w:val="002060"/>
          <w:sz w:val="16"/>
          <w:szCs w:val="16"/>
        </w:rPr>
      </w:pPr>
      <w:r w:rsidRPr="00DE096C">
        <w:rPr>
          <w:bCs/>
          <w:color w:val="002060"/>
          <w:sz w:val="16"/>
          <w:szCs w:val="16"/>
        </w:rPr>
        <w:t>1 (14) августа 1914 г. немецкий цеппелин сбросил бомбы на Антверпен. Как сообщалось в печати, «по крайней мере девять улиц пострадали от бомб. По приблизительному подсчету около 900 домов повреждены более или менее сильно, а 60 совершенно разрушены. Подсчитать человеческие жертвы пока трудно». Следующего дня другой цеппелин подверг бомбардировке железнодорожную станцию Млава в Восточной Пруссии, занятую русскими войсками. По свидетельству одного из российских летчиков, рано утром «...цеппелин начал уже кидать бомбы, причем одна из них попала в зал 1-го класса вокзала, пробила крышу и разорвалась, а другая бомба была брошена на полотно железной дороги, на место высадки одного из эшелонов. На месте оказалось несколько трупов... Всего сброшено было десять бомб». Этот цеппелин русской артиллерии удалось сбить (22851).</w:t>
      </w:r>
    </w:p>
    <w:p w14:paraId="26849666" w14:textId="77777777" w:rsidR="00CD36D2" w:rsidRPr="00DE096C" w:rsidRDefault="00CD36D2" w:rsidP="00D45A46">
      <w:pPr>
        <w:jc w:val="both"/>
        <w:rPr>
          <w:bCs/>
          <w:color w:val="002060"/>
          <w:sz w:val="16"/>
          <w:szCs w:val="16"/>
        </w:rPr>
      </w:pPr>
    </w:p>
    <w:p w14:paraId="478A89E4" w14:textId="77777777" w:rsidR="00CD36D2" w:rsidRPr="00DE096C" w:rsidRDefault="00CD36D2" w:rsidP="00D45A46">
      <w:pPr>
        <w:shd w:val="clear" w:color="auto" w:fill="FFFFFF"/>
        <w:jc w:val="both"/>
        <w:rPr>
          <w:bCs/>
          <w:color w:val="002060"/>
          <w:sz w:val="16"/>
          <w:szCs w:val="16"/>
        </w:rPr>
      </w:pPr>
      <w:r w:rsidRPr="00DE096C">
        <w:rPr>
          <w:bCs/>
          <w:color w:val="002060"/>
          <w:sz w:val="16"/>
          <w:szCs w:val="16"/>
        </w:rPr>
        <w:t>1 (14) августа 1914 г. немецкий цеппелин сбросил бомбы на Антверпен. Как сообщалось в печати, «по крайней мере девять улиц пострадали от бомб. По приблизительному подсчету около 900 домов повреждены более или менее сильно, а 60 совершенно разрушены. Подсчитать человеческие жертвы пока трудно» (19946).</w:t>
      </w:r>
    </w:p>
    <w:p w14:paraId="28D8CA91" w14:textId="77777777" w:rsidR="00CD36D2" w:rsidRPr="00DE096C" w:rsidRDefault="00CD36D2" w:rsidP="00D45A46">
      <w:pPr>
        <w:shd w:val="clear" w:color="auto" w:fill="FFFFFF"/>
        <w:jc w:val="both"/>
        <w:rPr>
          <w:bCs/>
          <w:color w:val="002060"/>
          <w:sz w:val="16"/>
          <w:szCs w:val="16"/>
        </w:rPr>
      </w:pPr>
    </w:p>
    <w:p w14:paraId="7EE82C32" w14:textId="77777777" w:rsidR="004C13D3" w:rsidRPr="00DE096C" w:rsidRDefault="004C13D3" w:rsidP="00D45A46">
      <w:pPr>
        <w:jc w:val="both"/>
        <w:rPr>
          <w:bCs/>
          <w:i/>
          <w:color w:val="002060"/>
          <w:sz w:val="16"/>
          <w:szCs w:val="16"/>
        </w:rPr>
      </w:pPr>
      <w:r w:rsidRPr="00DE096C">
        <w:rPr>
          <w:bCs/>
          <w:i/>
          <w:color w:val="002060"/>
          <w:sz w:val="16"/>
          <w:szCs w:val="16"/>
        </w:rPr>
        <w:t>За рубежом:</w:t>
      </w:r>
    </w:p>
    <w:p w14:paraId="2BF46B3B" w14:textId="77777777" w:rsidR="004C13D3" w:rsidRPr="00DE096C" w:rsidRDefault="004C13D3" w:rsidP="00D45A46">
      <w:pPr>
        <w:jc w:val="both"/>
        <w:rPr>
          <w:bCs/>
          <w:color w:val="002060"/>
          <w:sz w:val="16"/>
          <w:szCs w:val="16"/>
        </w:rPr>
      </w:pPr>
    </w:p>
    <w:p w14:paraId="5AC29405" w14:textId="0487592E" w:rsidR="004C13D3" w:rsidRPr="00DE096C" w:rsidRDefault="004C13D3" w:rsidP="00D45A46">
      <w:pPr>
        <w:jc w:val="both"/>
        <w:rPr>
          <w:bCs/>
          <w:color w:val="002060"/>
          <w:sz w:val="16"/>
          <w:szCs w:val="16"/>
        </w:rPr>
      </w:pPr>
      <w:r w:rsidRPr="00DE096C">
        <w:rPr>
          <w:bCs/>
          <w:color w:val="002060"/>
          <w:sz w:val="16"/>
          <w:szCs w:val="16"/>
        </w:rPr>
        <w:t xml:space="preserve">1 (14) августа в 1914 году </w:t>
      </w:r>
      <w:r w:rsidR="0035066C" w:rsidRPr="00DE096C">
        <w:rPr>
          <w:bCs/>
          <w:color w:val="002060"/>
          <w:sz w:val="16"/>
          <w:szCs w:val="16"/>
        </w:rPr>
        <w:t xml:space="preserve">еачалось </w:t>
      </w:r>
      <w:r w:rsidRPr="00DE096C">
        <w:rPr>
          <w:bCs/>
          <w:color w:val="002060"/>
          <w:sz w:val="16"/>
          <w:szCs w:val="16"/>
        </w:rPr>
        <w:t>французское наступление в Лотарингии. Французские войска пытаются вторгнуться в Германию, но терпят поражение и отступают к Парижу (14983).</w:t>
      </w:r>
    </w:p>
    <w:p w14:paraId="75B558A2" w14:textId="77777777" w:rsidR="004C13D3" w:rsidRPr="00DE096C" w:rsidRDefault="004C13D3" w:rsidP="00D45A46">
      <w:pPr>
        <w:jc w:val="both"/>
        <w:rPr>
          <w:bCs/>
          <w:color w:val="002060"/>
          <w:sz w:val="16"/>
          <w:szCs w:val="16"/>
        </w:rPr>
      </w:pPr>
    </w:p>
    <w:p w14:paraId="55218927" w14:textId="77777777" w:rsidR="00DA1330" w:rsidRPr="00B52707" w:rsidRDefault="00DA1330" w:rsidP="00DA1330">
      <w:pPr>
        <w:jc w:val="both"/>
        <w:rPr>
          <w:color w:val="0070C0"/>
          <w:sz w:val="16"/>
          <w:szCs w:val="16"/>
        </w:rPr>
      </w:pPr>
      <w:r w:rsidRPr="00B52707">
        <w:rPr>
          <w:color w:val="0070C0"/>
          <w:sz w:val="16"/>
          <w:szCs w:val="16"/>
        </w:rPr>
        <w:t>1 (14) августа 1914 г. австро-венгерская авиация понесла на Восточном фронте первую потерю. Возвращаясь с разведки, в районе г. Тарнополь (Тернополь) потерпел аварию австрийский аэроплан. Погиб весь его экипаж (3 пилота). Следующий день также не обошелся без потерь. Возле станции Балин (Подольская железная дорога) нашими войсками был захвачен австрийский летательный аппарат. Офицер-летчик и нижний чин попали в плен (25135).</w:t>
      </w:r>
    </w:p>
    <w:p w14:paraId="02978D91" w14:textId="77777777" w:rsidR="00DA1330" w:rsidRPr="00B52707" w:rsidRDefault="00DA1330" w:rsidP="00DA1330">
      <w:pPr>
        <w:jc w:val="both"/>
        <w:rPr>
          <w:color w:val="0070C0"/>
          <w:sz w:val="16"/>
          <w:szCs w:val="16"/>
        </w:rPr>
      </w:pPr>
    </w:p>
    <w:p w14:paraId="0B1E927A" w14:textId="77777777" w:rsidR="00DA1330" w:rsidRPr="00B52707" w:rsidRDefault="00DA1330" w:rsidP="00DA1330">
      <w:pPr>
        <w:jc w:val="both"/>
        <w:rPr>
          <w:color w:val="0070C0"/>
          <w:sz w:val="16"/>
          <w:szCs w:val="16"/>
        </w:rPr>
      </w:pPr>
      <w:r w:rsidRPr="00B52707">
        <w:rPr>
          <w:color w:val="0070C0"/>
          <w:sz w:val="16"/>
          <w:szCs w:val="16"/>
        </w:rPr>
        <w:t xml:space="preserve">1 (14) августа 1914 г. </w:t>
      </w:r>
      <w:r>
        <w:rPr>
          <w:color w:val="0070C0"/>
          <w:sz w:val="16"/>
          <w:szCs w:val="16"/>
        </w:rPr>
        <w:t>д</w:t>
      </w:r>
      <w:r w:rsidRPr="00B52707">
        <w:rPr>
          <w:color w:val="0070C0"/>
          <w:sz w:val="16"/>
          <w:szCs w:val="16"/>
        </w:rPr>
        <w:t>нем над Антверпеном появился «цеппелин» и начал методично бомбить жилые кварталы. В плотной малоэтажной застройке он разрушил или поджег 60 домов и еще около 900 повредил разросшийся пожар. А 30-го августа лейтенант Фердинанд фон Хиддесен на одномоторном </w:t>
      </w:r>
      <w:hyperlink r:id="rId38" w:tgtFrame="_blank" w:history="1">
        <w:r w:rsidRPr="00B52707">
          <w:rPr>
            <w:rStyle w:val="af0"/>
            <w:color w:val="0070C0"/>
            <w:sz w:val="16"/>
            <w:szCs w:val="16"/>
          </w:rPr>
          <w:t>Румплер «Таубе»</w:t>
        </w:r>
      </w:hyperlink>
      <w:r w:rsidRPr="00B52707">
        <w:rPr>
          <w:color w:val="0070C0"/>
          <w:sz w:val="16"/>
          <w:szCs w:val="16"/>
        </w:rPr>
        <w:t> долетел до Парижа и четырьмя ручными гранатами убил женщину и ранил двоих штатских. Затем он снизился и с высоты 25 м сбросил вымпел в цветах немецкого флага с надписью «Германская армия у ворот Парижа. Любое сопротивление обречено на провал» (25758). </w:t>
      </w:r>
    </w:p>
    <w:p w14:paraId="2EE5F88A" w14:textId="77777777" w:rsidR="00DA1330" w:rsidRPr="00B52707" w:rsidRDefault="00DA1330" w:rsidP="00DA1330">
      <w:pPr>
        <w:jc w:val="both"/>
        <w:rPr>
          <w:color w:val="0070C0"/>
          <w:sz w:val="16"/>
          <w:szCs w:val="16"/>
        </w:rPr>
      </w:pPr>
    </w:p>
    <w:p w14:paraId="5226BF22" w14:textId="77777777" w:rsidR="0035066C" w:rsidRPr="00DE096C" w:rsidRDefault="0035066C" w:rsidP="00D45A46">
      <w:pPr>
        <w:shd w:val="clear" w:color="auto" w:fill="FFFFFF"/>
        <w:jc w:val="both"/>
        <w:rPr>
          <w:bCs/>
          <w:i/>
          <w:color w:val="002060"/>
          <w:sz w:val="16"/>
          <w:szCs w:val="16"/>
        </w:rPr>
      </w:pPr>
      <w:r w:rsidRPr="00DE096C">
        <w:rPr>
          <w:bCs/>
          <w:i/>
          <w:color w:val="002060"/>
          <w:sz w:val="16"/>
          <w:szCs w:val="16"/>
        </w:rPr>
        <w:t>Другие оборонные отрасли:</w:t>
      </w:r>
    </w:p>
    <w:p w14:paraId="337F598A" w14:textId="77777777" w:rsidR="0035066C" w:rsidRPr="00DE096C" w:rsidRDefault="0035066C" w:rsidP="00D45A46">
      <w:pPr>
        <w:shd w:val="clear" w:color="auto" w:fill="FFFFFF"/>
        <w:jc w:val="both"/>
        <w:rPr>
          <w:bCs/>
          <w:i/>
          <w:color w:val="002060"/>
          <w:sz w:val="16"/>
          <w:szCs w:val="16"/>
        </w:rPr>
      </w:pPr>
    </w:p>
    <w:p w14:paraId="5BFF1AB2" w14:textId="77777777" w:rsidR="0035066C" w:rsidRPr="00DE096C" w:rsidRDefault="0035066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2 (15) августа 1914 г. на заседании ЦК кадетской партии Милюков вынужден был признать, что «единство 26 июля» является «довольно фиктивным», но его «надо всё же некоторое время поддерживать», ибо «демонстрация расхождения между властью и народом сейчас была бы очень неудобна с общей точки зрения». Но уже 14 ноября 1914 г. на заседании ЦК кадетской партии обсуждается вопрос о возможности революции во время войны. Интенсивность обсуждения этого вопроса приходится на начало 1915 г., когда представителями с мест выдвигается призыв о немедленном начале оппозиционной борьбы против внутреннего врага — царского правительства (11270).</w:t>
      </w:r>
    </w:p>
    <w:p w14:paraId="64AFFECC" w14:textId="77777777" w:rsidR="0035066C" w:rsidRPr="00DE096C" w:rsidRDefault="0035066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 пользу такого решения говорило всё: поражение русской армии, усиление революционных и оппозиционных настроений в обществе, создание думского Прогрессивного блока, деятельность общественных буржуазных организаций. Это заставило либералов поставить вопрос о власти. </w:t>
      </w:r>
    </w:p>
    <w:p w14:paraId="4ECEB3AC" w14:textId="77777777" w:rsidR="0035066C" w:rsidRPr="00DE096C" w:rsidRDefault="0035066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Пути передачи власти буржуазии предполагались разные, но все они сводились к одному — «власть надо брать в любой момент», но никак не революционным путем, а посредством эволюционного общественного развития в рамках существующего парламентарного строя. И тем не менее в 1915 г. буржуазия не решалась еще на дворцовый переворот, к признанию необходимости которого она пришла осенью 1916 г. Тогда они считали для себя возможным продолжать борьбу за создание «министерства общественного доверия», которое, по их разумению, будет приемлемым и для верховной власти, так как ни в коем случае не предусматривало какого-либо радикального политического переворота, и одновременно могло быть рассмотрено в перспективе в качестве «ступеньки» к созданию думского ответственного министерства. </w:t>
      </w:r>
    </w:p>
    <w:p w14:paraId="6ACFA5F9" w14:textId="77777777" w:rsidR="0035066C" w:rsidRPr="00DE096C" w:rsidRDefault="0035066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Дебаты вокруг этого вопроса продолжались в либеральной среде вплоть до самой Февральской революции. Они то ослабевали, то усиливались, принимая радикальное направление в зависимости от положения в стране. Споры касались и перспектив развития кризисной ситуации, и возможности революции. Но споры оставались лишь спорами, в то время как политическая обстановка всё более осложнялась. </w:t>
      </w:r>
    </w:p>
    <w:p w14:paraId="3B1F2F27" w14:textId="77777777" w:rsidR="0035066C" w:rsidRPr="00DE096C" w:rsidRDefault="0035066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Одной из причин политической нестабильности стал экономический кризис. Во многом он был вызван переключением на военное производство тех отраслей промышленности, которые изготавливали предметы потребления. В результате нарушился обмен между городом и деревней, ухудшилось снабжение городского трудового населения и значительно сократилось потребление трудящихся.</w:t>
      </w:r>
    </w:p>
    <w:p w14:paraId="3660C203" w14:textId="77777777" w:rsidR="0035066C" w:rsidRPr="00DE096C" w:rsidRDefault="0035066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Выход из создавшегося положения виделся правительствам воюющих держав в проведении всеобъемлющей централизации снабжения. В России с 1915 г. карточная система явочным путем стала проводиться городскими самоуправлениями на дефицитные продукты: сахар и керосин. Но официально, в виде общегосударственной меры, карточная система появилась лишь с введением хлебной монополии 25 марта 1917 г.</w:t>
      </w:r>
    </w:p>
    <w:p w14:paraId="38FFB492" w14:textId="77777777" w:rsidR="0035066C" w:rsidRPr="00DE096C" w:rsidRDefault="0035066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Обсуждались в России и проекты введения трудовой повинности, но идея оказалась непопулярной. Власть, опасаясь волнений рабочих и обострения социального вопроса, не пошла на принятие этого законопроекта.</w:t>
      </w:r>
    </w:p>
    <w:p w14:paraId="44BF29D1" w14:textId="77777777" w:rsidR="0035066C" w:rsidRPr="00DE096C" w:rsidRDefault="0035066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Огромные жертвы, затяжной и кровопролитный характер войны, рост дороговизны в тылу воюющих государств привели в политической сфере к смещению акцентов — от грандиозной вспышки национализма и шовинизма, идей гражданского мира во имя победы над внешним врагом к созданию в широких народных массах совершенно новой психологии военного коммунизма с присущими ей настроениями максимализма, нетерпения, всеобщего уравнительства, с ориентацией на насилие и прямое революционное действие (11270).</w:t>
      </w:r>
    </w:p>
    <w:p w14:paraId="74B41C87" w14:textId="77777777" w:rsidR="0035066C" w:rsidRPr="00DE096C" w:rsidRDefault="0035066C" w:rsidP="00D45A46">
      <w:pPr>
        <w:pStyle w:val="a3"/>
        <w:jc w:val="both"/>
        <w:rPr>
          <w:bCs/>
          <w:i w:val="0"/>
          <w:color w:val="002060"/>
          <w:spacing w:val="0"/>
          <w:kern w:val="0"/>
          <w:position w:val="0"/>
          <w:sz w:val="16"/>
          <w:szCs w:val="16"/>
        </w:rPr>
      </w:pPr>
    </w:p>
    <w:p w14:paraId="1E7A4013" w14:textId="6B0606CE" w:rsidR="005B041C" w:rsidRPr="00DE096C" w:rsidRDefault="005B041C" w:rsidP="00D45A46">
      <w:pPr>
        <w:jc w:val="both"/>
        <w:rPr>
          <w:bCs/>
          <w:color w:val="002060"/>
          <w:sz w:val="16"/>
          <w:szCs w:val="16"/>
        </w:rPr>
      </w:pPr>
      <w:r w:rsidRPr="00DE096C">
        <w:rPr>
          <w:bCs/>
          <w:color w:val="002060"/>
          <w:sz w:val="16"/>
          <w:szCs w:val="16"/>
        </w:rPr>
        <w:t>2 (15) августа 1914 г. Тульский завод получил задание до</w:t>
      </w:r>
      <w:r w:rsidRPr="00DE096C">
        <w:rPr>
          <w:bCs/>
          <w:color w:val="002060"/>
          <w:sz w:val="16"/>
          <w:szCs w:val="16"/>
        </w:rPr>
        <w:softHyphen/>
        <w:t>вести выпуск винтовок до 10 тысяч в месяц, а в декабре 1914 г. было предписано поднять производство до 700 в сутки (примерно такой нормы завод должен был — в соответствии с «Большой программой» 1913—1914 гг. — достигнуть, при односменной работе, к 1915 г. «на случай войны»).</w:t>
      </w:r>
    </w:p>
    <w:p w14:paraId="52F8E195" w14:textId="77777777" w:rsidR="005B041C" w:rsidRPr="00DE096C" w:rsidRDefault="005B041C" w:rsidP="00D45A46">
      <w:pPr>
        <w:jc w:val="both"/>
        <w:rPr>
          <w:bCs/>
          <w:color w:val="002060"/>
          <w:sz w:val="16"/>
          <w:szCs w:val="16"/>
          <w:lang w:bidi="ru-RU"/>
        </w:rPr>
      </w:pPr>
      <w:r w:rsidRPr="00DE096C">
        <w:rPr>
          <w:bCs/>
          <w:color w:val="002060"/>
          <w:sz w:val="16"/>
          <w:szCs w:val="16"/>
        </w:rPr>
        <w:t>За август—декабрь 1914 г. ТОЗ изготовил 45 848 винтовок. В 1915 г. завод перешел к кругло</w:t>
      </w:r>
      <w:r w:rsidRPr="00DE096C">
        <w:rPr>
          <w:bCs/>
          <w:color w:val="002060"/>
          <w:sz w:val="16"/>
          <w:szCs w:val="16"/>
        </w:rPr>
        <w:softHyphen/>
        <w:t>суточной работе при двух нерабочих днях в месяц (длитель</w:t>
      </w:r>
      <w:r w:rsidRPr="00DE096C">
        <w:rPr>
          <w:bCs/>
          <w:color w:val="002060"/>
          <w:sz w:val="16"/>
          <w:szCs w:val="16"/>
        </w:rPr>
        <w:softHyphen/>
        <w:t>ность рабочей смены достигала 11—12 часов, со сверхуроч</w:t>
      </w:r>
      <w:r w:rsidRPr="00DE096C">
        <w:rPr>
          <w:bCs/>
          <w:color w:val="002060"/>
          <w:sz w:val="16"/>
          <w:szCs w:val="16"/>
        </w:rPr>
        <w:softHyphen/>
        <w:t>ными часами — 14), к увеличенной скорости резания, к ручной подаче у станка, к облегченным условиям приемки; допускалось ухудшение качества продукции. Удалось заку</w:t>
      </w:r>
      <w:r w:rsidRPr="00DE096C">
        <w:rPr>
          <w:bCs/>
          <w:color w:val="002060"/>
          <w:sz w:val="16"/>
          <w:szCs w:val="16"/>
        </w:rPr>
        <w:softHyphen/>
        <w:t>пить более 1000 станков за границей, а некоторые изготов</w:t>
      </w:r>
      <w:r w:rsidRPr="00DE096C">
        <w:rPr>
          <w:bCs/>
          <w:color w:val="002060"/>
          <w:sz w:val="16"/>
          <w:szCs w:val="16"/>
        </w:rPr>
        <w:softHyphen/>
        <w:t>лялись в собственном станкостроительном отделе. Началь</w:t>
      </w:r>
      <w:r w:rsidRPr="00DE096C">
        <w:rPr>
          <w:bCs/>
          <w:color w:val="002060"/>
          <w:sz w:val="16"/>
          <w:szCs w:val="16"/>
        </w:rPr>
        <w:softHyphen/>
        <w:t>ник ТОЗ в самом начале войны уведомил ГАУ, что «усилить выход ружей теперь же можно только одним способом» — отказавшись от использования вольфрамистой стали; стволы из мартеновской стали «менее прочны, но все же вполне пригодны», такая сталь «легче обрабатывается» и требует меньшего расхода рабочего инструмента. Поставщик стволь</w:t>
      </w:r>
      <w:r w:rsidRPr="00DE096C">
        <w:rPr>
          <w:bCs/>
          <w:color w:val="002060"/>
          <w:sz w:val="16"/>
          <w:szCs w:val="16"/>
        </w:rPr>
        <w:softHyphen/>
        <w:t>ных болванок, Ижевский завод, получит возможность вы</w:t>
      </w:r>
      <w:r w:rsidRPr="00DE096C">
        <w:rPr>
          <w:bCs/>
          <w:color w:val="002060"/>
          <w:sz w:val="16"/>
          <w:szCs w:val="16"/>
        </w:rPr>
        <w:softHyphen/>
        <w:t>свободить тигли для изготовления инструментальной стали. К середине 1915 г. суточный выпуск был доведен до 925 вин</w:t>
      </w:r>
      <w:r w:rsidRPr="00DE096C">
        <w:rPr>
          <w:bCs/>
          <w:color w:val="002060"/>
          <w:sz w:val="16"/>
          <w:szCs w:val="16"/>
        </w:rPr>
        <w:softHyphen/>
        <w:t>товок, к осени — до 1500, в декабре — превысил 1700. Рос также и выпуск взрывателей. (23452).</w:t>
      </w:r>
    </w:p>
    <w:p w14:paraId="30F2F250" w14:textId="77777777" w:rsidR="005B041C" w:rsidRPr="00DE096C" w:rsidRDefault="005B041C" w:rsidP="00D45A46">
      <w:pPr>
        <w:jc w:val="both"/>
        <w:rPr>
          <w:bCs/>
          <w:color w:val="002060"/>
          <w:sz w:val="16"/>
          <w:szCs w:val="16"/>
          <w:lang w:bidi="ru-RU"/>
        </w:rPr>
      </w:pPr>
    </w:p>
    <w:p w14:paraId="4916305E" w14:textId="77777777" w:rsidR="00B67D7C" w:rsidRPr="00DE096C" w:rsidRDefault="00B67D7C" w:rsidP="00D45A46">
      <w:pPr>
        <w:jc w:val="both"/>
        <w:rPr>
          <w:bCs/>
          <w:i/>
          <w:color w:val="002060"/>
          <w:sz w:val="16"/>
          <w:szCs w:val="16"/>
        </w:rPr>
      </w:pPr>
      <w:r w:rsidRPr="00DE096C">
        <w:rPr>
          <w:bCs/>
          <w:i/>
          <w:color w:val="002060"/>
          <w:sz w:val="16"/>
          <w:szCs w:val="16"/>
        </w:rPr>
        <w:t>Авиация:</w:t>
      </w:r>
    </w:p>
    <w:p w14:paraId="734A672E" w14:textId="77777777" w:rsidR="00B67D7C" w:rsidRPr="00DE096C" w:rsidRDefault="00B67D7C" w:rsidP="00D45A46">
      <w:pPr>
        <w:jc w:val="both"/>
        <w:rPr>
          <w:bCs/>
          <w:i/>
          <w:color w:val="002060"/>
          <w:sz w:val="16"/>
          <w:szCs w:val="16"/>
        </w:rPr>
      </w:pPr>
    </w:p>
    <w:p w14:paraId="0865322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 (15) августа 1914 Французский летчик Альфонс Пуаре, застигнутый войной в России и поступивший на русскую службу, на собственном самолете "Фарман-ХХ</w:t>
      </w:r>
      <w:r w:rsidRPr="00DE096C">
        <w:rPr>
          <w:bCs/>
          <w:color w:val="002060"/>
          <w:sz w:val="16"/>
          <w:szCs w:val="16"/>
          <w:vertAlign w:val="superscript"/>
        </w:rPr>
        <w:t>п</w:t>
      </w:r>
      <w:r w:rsidRPr="00DE096C">
        <w:rPr>
          <w:bCs/>
          <w:color w:val="002060"/>
          <w:sz w:val="16"/>
          <w:szCs w:val="16"/>
        </w:rPr>
        <w:t xml:space="preserve"> совершил разведку по маршруту Осовец-Граево-Осовец. Наблюдателем с ним летал бывший полковник Владимир Николаевич Гатовский. Летчики добыли ценные сведения для армии генерала Самсонова, действовавшей в этом направлении, и сбросили на противника артиллерийский снаряд 42 мм, только что сконструиный в Осовецкой крепости генералом Брожовским и штабе-капитаном Цебржинским. (ЦГВИА. ф.2008, д.346, л.72).</w:t>
      </w:r>
    </w:p>
    <w:p w14:paraId="2D42692C" w14:textId="77777777" w:rsidR="00B67D7C" w:rsidRPr="00DE096C" w:rsidRDefault="00B67D7C" w:rsidP="00D45A46">
      <w:pPr>
        <w:shd w:val="clear" w:color="auto" w:fill="FFFFFF"/>
        <w:jc w:val="both"/>
        <w:rPr>
          <w:bCs/>
          <w:color w:val="002060"/>
          <w:sz w:val="16"/>
          <w:szCs w:val="16"/>
        </w:rPr>
      </w:pPr>
    </w:p>
    <w:p w14:paraId="6133F2E0" w14:textId="77777777" w:rsidR="006C4766" w:rsidRPr="00DE096C" w:rsidRDefault="006C4766" w:rsidP="00D45A46">
      <w:pPr>
        <w:jc w:val="both"/>
        <w:rPr>
          <w:bCs/>
          <w:color w:val="002060"/>
          <w:sz w:val="16"/>
          <w:szCs w:val="16"/>
        </w:rPr>
      </w:pPr>
      <w:bookmarkStart w:id="115" w:name="_Hlk117251170"/>
      <w:r w:rsidRPr="00DE096C">
        <w:rPr>
          <w:bCs/>
          <w:color w:val="002060"/>
          <w:sz w:val="16"/>
          <w:szCs w:val="16"/>
        </w:rPr>
        <w:t>2 (15) августа 1914 г. французский летчик Альфонс Пуаре, застигнутый войной в России и поступивший на русскую службу, на собственном самолете Фарман-ХХ совершил разведку по маршруту Осовец-Граево-Лык-Осовец. Наблюдателем с ним летал быв. полковник Владимир Николаевич Гатовский (полковник В.Н.Гатовский был разжалован царем в рядовые за оскор</w:t>
      </w:r>
      <w:r w:rsidRPr="00DE096C">
        <w:rPr>
          <w:bCs/>
          <w:color w:val="002060"/>
          <w:sz w:val="16"/>
          <w:szCs w:val="16"/>
        </w:rPr>
        <w:softHyphen/>
        <w:t>бление действием сербского князя Карагеоргиевича, а в советское время служил преподавателем в военной академии). Летчики добыли ценные сведения для армии ген. Самсонова, дей</w:t>
      </w:r>
      <w:r w:rsidRPr="00DE096C">
        <w:rPr>
          <w:bCs/>
          <w:color w:val="002060"/>
          <w:sz w:val="16"/>
          <w:szCs w:val="16"/>
        </w:rPr>
        <w:softHyphen/>
        <w:t>ствовавшей в этом направлении, и сбросили на противника артиллерий</w:t>
      </w:r>
      <w:r w:rsidRPr="00DE096C">
        <w:rPr>
          <w:bCs/>
          <w:color w:val="002060"/>
          <w:sz w:val="16"/>
          <w:szCs w:val="16"/>
        </w:rPr>
        <w:softHyphen/>
        <w:t>ский снаряд 42 мм, только что сконструированный в Осовецкой крепости ген. Броковским и шт.-капитаном Цебржинским.</w:t>
      </w:r>
    </w:p>
    <w:p w14:paraId="20F974FC" w14:textId="597026E7" w:rsidR="006C4766" w:rsidRPr="00DE096C" w:rsidRDefault="006C4766" w:rsidP="00D45A46">
      <w:pPr>
        <w:jc w:val="both"/>
        <w:rPr>
          <w:bCs/>
          <w:color w:val="002060"/>
          <w:sz w:val="16"/>
          <w:szCs w:val="16"/>
        </w:rPr>
      </w:pPr>
      <w:r w:rsidRPr="00DE096C">
        <w:rPr>
          <w:bCs/>
          <w:color w:val="002060"/>
          <w:sz w:val="16"/>
          <w:szCs w:val="16"/>
        </w:rPr>
        <w:t>/ЦГВИА, Ф. 2008,</w:t>
      </w:r>
      <w:r w:rsidR="0006581C">
        <w:rPr>
          <w:bCs/>
          <w:color w:val="002060"/>
          <w:sz w:val="16"/>
          <w:szCs w:val="16"/>
        </w:rPr>
        <w:t xml:space="preserve"> </w:t>
      </w:r>
      <w:r w:rsidRPr="00DE096C">
        <w:rPr>
          <w:bCs/>
          <w:color w:val="002060"/>
          <w:sz w:val="16"/>
          <w:szCs w:val="16"/>
        </w:rPr>
        <w:t>д. 346, Л. 72/ (23320).</w:t>
      </w:r>
    </w:p>
    <w:p w14:paraId="1D09B9D2" w14:textId="77777777" w:rsidR="006C4766" w:rsidRPr="00DE096C" w:rsidRDefault="006C4766" w:rsidP="00D45A46">
      <w:pPr>
        <w:jc w:val="both"/>
        <w:rPr>
          <w:bCs/>
          <w:color w:val="002060"/>
          <w:sz w:val="16"/>
          <w:szCs w:val="16"/>
        </w:rPr>
      </w:pPr>
    </w:p>
    <w:bookmarkEnd w:id="115"/>
    <w:p w14:paraId="67C996BF" w14:textId="2DD7CE66" w:rsidR="00B67D7C" w:rsidRPr="00DE096C" w:rsidRDefault="00B67D7C" w:rsidP="00D45A46">
      <w:pPr>
        <w:jc w:val="both"/>
        <w:rPr>
          <w:bCs/>
          <w:color w:val="002060"/>
          <w:sz w:val="16"/>
          <w:szCs w:val="16"/>
        </w:rPr>
      </w:pPr>
      <w:r w:rsidRPr="00DE096C">
        <w:rPr>
          <w:bCs/>
          <w:color w:val="002060"/>
          <w:sz w:val="16"/>
          <w:szCs w:val="16"/>
        </w:rPr>
        <w:lastRenderedPageBreak/>
        <w:t xml:space="preserve">2 (15) августа 1914 </w:t>
      </w:r>
      <w:r w:rsidR="0035066C" w:rsidRPr="00DE096C">
        <w:rPr>
          <w:bCs/>
          <w:color w:val="002060"/>
          <w:sz w:val="16"/>
          <w:szCs w:val="16"/>
        </w:rPr>
        <w:t>и</w:t>
      </w:r>
      <w:r w:rsidRPr="00DE096C">
        <w:rPr>
          <w:bCs/>
          <w:color w:val="002060"/>
          <w:sz w:val="16"/>
          <w:szCs w:val="16"/>
        </w:rPr>
        <w:t>з письма штабс-капитана Нестерова жене: "Дорогая Диночка!.. Какой-то тип пишет в газете "Киев", что я собираюсь повторить опыт Гарро. Свинство помещать подобные вещи в газетах... Целую тебя, детишек... Петя" .</w:t>
      </w:r>
    </w:p>
    <w:p w14:paraId="3BA90E74" w14:textId="77777777" w:rsidR="00B67D7C" w:rsidRPr="00DE096C" w:rsidRDefault="00B67D7C" w:rsidP="00D45A46">
      <w:pPr>
        <w:jc w:val="both"/>
        <w:rPr>
          <w:bCs/>
          <w:color w:val="002060"/>
          <w:sz w:val="16"/>
          <w:szCs w:val="16"/>
        </w:rPr>
      </w:pPr>
      <w:r w:rsidRPr="00DE096C">
        <w:rPr>
          <w:bCs/>
          <w:color w:val="002060"/>
          <w:sz w:val="16"/>
          <w:szCs w:val="16"/>
        </w:rPr>
        <w:t>История с Гарро свидетельствует о том, что авиаторы всех воюющих государств в эти дни были немало озабочены средствами борьбы в воздухе с воздушным противником (11999).</w:t>
      </w:r>
    </w:p>
    <w:p w14:paraId="5F9C55A6" w14:textId="77777777" w:rsidR="00B67D7C" w:rsidRPr="00DE096C" w:rsidRDefault="00B67D7C" w:rsidP="00D45A46">
      <w:pPr>
        <w:jc w:val="both"/>
        <w:rPr>
          <w:bCs/>
          <w:color w:val="002060"/>
          <w:sz w:val="16"/>
          <w:szCs w:val="16"/>
        </w:rPr>
      </w:pPr>
    </w:p>
    <w:p w14:paraId="53933AA4" w14:textId="0FA70D46" w:rsidR="00CD36D2" w:rsidRPr="00DE096C" w:rsidRDefault="00CD36D2" w:rsidP="00D45A46">
      <w:pPr>
        <w:pStyle w:val="a3"/>
        <w:jc w:val="both"/>
        <w:rPr>
          <w:bCs/>
          <w:color w:val="002060"/>
          <w:spacing w:val="0"/>
          <w:kern w:val="0"/>
          <w:position w:val="0"/>
          <w:sz w:val="16"/>
          <w:szCs w:val="16"/>
        </w:rPr>
      </w:pPr>
      <w:r w:rsidRPr="00DE096C">
        <w:rPr>
          <w:bCs/>
          <w:color w:val="002060"/>
          <w:spacing w:val="0"/>
          <w:kern w:val="0"/>
          <w:position w:val="0"/>
          <w:sz w:val="16"/>
          <w:szCs w:val="16"/>
        </w:rPr>
        <w:t>Военное воздухоплавание:</w:t>
      </w:r>
    </w:p>
    <w:p w14:paraId="523D7D78" w14:textId="77777777" w:rsidR="00CD36D2" w:rsidRPr="00DE096C" w:rsidRDefault="00CD36D2" w:rsidP="00D45A46">
      <w:pPr>
        <w:pStyle w:val="a3"/>
        <w:jc w:val="both"/>
        <w:rPr>
          <w:bCs/>
          <w:color w:val="002060"/>
          <w:spacing w:val="0"/>
          <w:kern w:val="0"/>
          <w:position w:val="0"/>
          <w:sz w:val="16"/>
          <w:szCs w:val="16"/>
        </w:rPr>
      </w:pPr>
    </w:p>
    <w:p w14:paraId="1EB1E0E0" w14:textId="77777777" w:rsidR="00CD36D2" w:rsidRPr="00DE096C" w:rsidRDefault="00CD36D2" w:rsidP="00D45A46">
      <w:pPr>
        <w:jc w:val="both"/>
        <w:rPr>
          <w:bCs/>
          <w:color w:val="002060"/>
          <w:sz w:val="16"/>
          <w:szCs w:val="16"/>
        </w:rPr>
      </w:pPr>
      <w:r w:rsidRPr="00DE096C">
        <w:rPr>
          <w:rStyle w:val="43"/>
          <w:rFonts w:ascii="Times New Roman" w:hAnsi="Times New Roman" w:cs="Times New Roman"/>
          <w:bCs/>
          <w:color w:val="002060"/>
          <w:w w:val="100"/>
          <w:sz w:val="16"/>
          <w:szCs w:val="16"/>
        </w:rPr>
        <w:t>2 (15) августа 1914 г. «Кондор» пере</w:t>
      </w:r>
      <w:r w:rsidRPr="00DE096C">
        <w:rPr>
          <w:rStyle w:val="43"/>
          <w:rFonts w:ascii="Times New Roman" w:hAnsi="Times New Roman" w:cs="Times New Roman"/>
          <w:bCs/>
          <w:color w:val="002060"/>
          <w:w w:val="100"/>
          <w:sz w:val="16"/>
          <w:szCs w:val="16"/>
        </w:rPr>
        <w:softHyphen/>
        <w:t>летел из Брест-Литовска в Белосток (130 км), где его командир получил задачу по производству разведок под Сольдау, но осуществить её не смог, так как она превышала возможности дирижабля. 21 августа «Кондор» вернулся в Брест-Литовск, где выполнил 12 учебно-боевых полётов (20120).</w:t>
      </w:r>
    </w:p>
    <w:p w14:paraId="290CBA6F" w14:textId="77777777" w:rsidR="00CD36D2" w:rsidRPr="00DE096C" w:rsidRDefault="00CD36D2" w:rsidP="00D45A46">
      <w:pPr>
        <w:jc w:val="both"/>
        <w:rPr>
          <w:bCs/>
          <w:color w:val="002060"/>
          <w:sz w:val="16"/>
          <w:szCs w:val="16"/>
        </w:rPr>
      </w:pPr>
    </w:p>
    <w:p w14:paraId="6858EB9F" w14:textId="77777777" w:rsidR="00CD36D2" w:rsidRPr="00DE096C" w:rsidRDefault="00CD36D2" w:rsidP="00D45A46">
      <w:pPr>
        <w:jc w:val="both"/>
        <w:rPr>
          <w:bCs/>
          <w:color w:val="002060"/>
          <w:sz w:val="16"/>
          <w:szCs w:val="16"/>
        </w:rPr>
      </w:pPr>
      <w:r w:rsidRPr="00DE096C">
        <w:rPr>
          <w:rStyle w:val="43"/>
          <w:rFonts w:ascii="Times New Roman" w:hAnsi="Times New Roman" w:cs="Times New Roman"/>
          <w:bCs/>
          <w:color w:val="002060"/>
          <w:w w:val="100"/>
          <w:sz w:val="16"/>
          <w:szCs w:val="16"/>
        </w:rPr>
        <w:t>2 (15) августа 1914 г. «Кондор», который наполнили водородом в Брест-Литовске и готовили к ночным бомбар</w:t>
      </w:r>
      <w:r w:rsidRPr="00DE096C">
        <w:rPr>
          <w:rStyle w:val="43"/>
          <w:rFonts w:ascii="Times New Roman" w:hAnsi="Times New Roman" w:cs="Times New Roman"/>
          <w:bCs/>
          <w:color w:val="002060"/>
          <w:w w:val="100"/>
          <w:sz w:val="16"/>
          <w:szCs w:val="16"/>
        </w:rPr>
        <w:softHyphen/>
        <w:t>дировкам (он имел два пулемёта и брал 160 кг бомб), но после проверки на готовность к боевым вылетам, согласно докладу полковника Антонова велико</w:t>
      </w:r>
      <w:r w:rsidRPr="00DE096C">
        <w:rPr>
          <w:rStyle w:val="43"/>
          <w:rFonts w:ascii="Times New Roman" w:hAnsi="Times New Roman" w:cs="Times New Roman"/>
          <w:bCs/>
          <w:color w:val="002060"/>
          <w:w w:val="100"/>
          <w:sz w:val="16"/>
          <w:szCs w:val="16"/>
        </w:rPr>
        <w:softHyphen/>
        <w:t>му князю: «"Кондор" для боевой работы не го</w:t>
      </w:r>
      <w:r w:rsidRPr="00DE096C">
        <w:rPr>
          <w:rStyle w:val="43"/>
          <w:rFonts w:ascii="Times New Roman" w:hAnsi="Times New Roman" w:cs="Times New Roman"/>
          <w:bCs/>
          <w:color w:val="002060"/>
          <w:w w:val="100"/>
          <w:sz w:val="16"/>
          <w:szCs w:val="16"/>
        </w:rPr>
        <w:softHyphen/>
        <w:t>дится и мог использоваться как учебный для подготовки личного состава на заказанный французский дирижабль», пере</w:t>
      </w:r>
      <w:r w:rsidRPr="00DE096C">
        <w:rPr>
          <w:rStyle w:val="43"/>
          <w:rFonts w:ascii="Times New Roman" w:hAnsi="Times New Roman" w:cs="Times New Roman"/>
          <w:bCs/>
          <w:color w:val="002060"/>
          <w:w w:val="100"/>
          <w:sz w:val="16"/>
          <w:szCs w:val="16"/>
        </w:rPr>
        <w:softHyphen/>
        <w:t>летел из Брест-Литовска в Белосток (130 км), где его командир получил задачу по производству разведок под Сольдау, но осуществить её не смог, так как она превышала возможности дирижабля. 21 августа «Кондор» вернулся в Брест-Литовск, где выполнил 12 учебно-боевых полётов.</w:t>
      </w:r>
    </w:p>
    <w:p w14:paraId="36540E8D" w14:textId="77777777" w:rsidR="00CD36D2" w:rsidRPr="00DE096C" w:rsidRDefault="00CD36D2" w:rsidP="00D45A46">
      <w:pPr>
        <w:jc w:val="both"/>
        <w:rPr>
          <w:bCs/>
          <w:color w:val="002060"/>
          <w:sz w:val="16"/>
          <w:szCs w:val="16"/>
        </w:rPr>
      </w:pPr>
      <w:r w:rsidRPr="00DE096C">
        <w:rPr>
          <w:rStyle w:val="43"/>
          <w:rFonts w:ascii="Times New Roman" w:hAnsi="Times New Roman" w:cs="Times New Roman"/>
          <w:bCs/>
          <w:color w:val="002060"/>
          <w:w w:val="100"/>
          <w:sz w:val="16"/>
          <w:szCs w:val="16"/>
        </w:rPr>
        <w:t>В октябре в одном из полётов по линии фор</w:t>
      </w:r>
      <w:r w:rsidRPr="00DE096C">
        <w:rPr>
          <w:rStyle w:val="43"/>
          <w:rFonts w:ascii="Times New Roman" w:hAnsi="Times New Roman" w:cs="Times New Roman"/>
          <w:bCs/>
          <w:color w:val="002060"/>
          <w:w w:val="100"/>
          <w:sz w:val="16"/>
          <w:szCs w:val="16"/>
        </w:rPr>
        <w:softHyphen/>
        <w:t>тового пояса принял участие военный инженер, производивший работы в Брест-Литовской кре</w:t>
      </w:r>
      <w:r w:rsidRPr="00DE096C">
        <w:rPr>
          <w:rStyle w:val="43"/>
          <w:rFonts w:ascii="Times New Roman" w:hAnsi="Times New Roman" w:cs="Times New Roman"/>
          <w:bCs/>
          <w:color w:val="002060"/>
          <w:w w:val="100"/>
          <w:sz w:val="16"/>
          <w:szCs w:val="16"/>
        </w:rPr>
        <w:softHyphen/>
        <w:t>пости, штабс-капитан В.М. Догадин. Он вспо</w:t>
      </w:r>
      <w:r w:rsidRPr="00DE096C">
        <w:rPr>
          <w:rStyle w:val="43"/>
          <w:rFonts w:ascii="Times New Roman" w:hAnsi="Times New Roman" w:cs="Times New Roman"/>
          <w:bCs/>
          <w:color w:val="002060"/>
          <w:w w:val="100"/>
          <w:sz w:val="16"/>
          <w:szCs w:val="16"/>
        </w:rPr>
        <w:softHyphen/>
        <w:t>минал: «Хотя несовершенная работа моторов сопровождалась оглушительными взрывами, а необычность ощущения вызывала приподня</w:t>
      </w:r>
      <w:r w:rsidRPr="00DE096C">
        <w:rPr>
          <w:rStyle w:val="43"/>
          <w:rFonts w:ascii="Times New Roman" w:hAnsi="Times New Roman" w:cs="Times New Roman"/>
          <w:bCs/>
          <w:color w:val="002060"/>
          <w:w w:val="100"/>
          <w:sz w:val="16"/>
          <w:szCs w:val="16"/>
        </w:rPr>
        <w:softHyphen/>
        <w:t>то-напряжённое состояние, я смог насладиться красотой панорамы укреплений на фоне живого пейзажа». Новизна впечатлений, однако, не по</w:t>
      </w:r>
      <w:r w:rsidRPr="00DE096C">
        <w:rPr>
          <w:rStyle w:val="43"/>
          <w:rFonts w:ascii="Times New Roman" w:hAnsi="Times New Roman" w:cs="Times New Roman"/>
          <w:bCs/>
          <w:color w:val="002060"/>
          <w:w w:val="100"/>
          <w:sz w:val="16"/>
          <w:szCs w:val="16"/>
        </w:rPr>
        <w:softHyphen/>
        <w:t>мешала ему отметить вызванный отсутствием общего руководства работ «полный разнобой в формах укреплений».</w:t>
      </w:r>
    </w:p>
    <w:p w14:paraId="51BEFE41" w14:textId="77777777" w:rsidR="00CD36D2" w:rsidRPr="00DE096C" w:rsidRDefault="00CD36D2" w:rsidP="00D45A46">
      <w:pPr>
        <w:tabs>
          <w:tab w:val="left" w:pos="596"/>
        </w:tabs>
        <w:jc w:val="both"/>
        <w:rPr>
          <w:bCs/>
          <w:color w:val="002060"/>
          <w:sz w:val="16"/>
          <w:szCs w:val="16"/>
        </w:rPr>
      </w:pPr>
      <w:r w:rsidRPr="00DE096C">
        <w:rPr>
          <w:rStyle w:val="43"/>
          <w:rFonts w:ascii="Times New Roman" w:hAnsi="Times New Roman" w:cs="Times New Roman"/>
          <w:bCs/>
          <w:color w:val="002060"/>
          <w:w w:val="100"/>
          <w:sz w:val="16"/>
          <w:szCs w:val="16"/>
        </w:rPr>
        <w:t>6 октября «Кондор» перелетел во Львов (270 км) для ведения разведки австрийской кре</w:t>
      </w:r>
      <w:r w:rsidRPr="00DE096C">
        <w:rPr>
          <w:rStyle w:val="43"/>
          <w:rFonts w:ascii="Times New Roman" w:hAnsi="Times New Roman" w:cs="Times New Roman"/>
          <w:bCs/>
          <w:color w:val="002060"/>
          <w:w w:val="100"/>
          <w:sz w:val="16"/>
          <w:szCs w:val="16"/>
        </w:rPr>
        <w:softHyphen/>
        <w:t>пости Перемышль. Сначала «Кондор» стоял в ов</w:t>
      </w:r>
      <w:r w:rsidRPr="00DE096C">
        <w:rPr>
          <w:rStyle w:val="43"/>
          <w:rFonts w:ascii="Times New Roman" w:hAnsi="Times New Roman" w:cs="Times New Roman"/>
          <w:bCs/>
          <w:color w:val="002060"/>
          <w:w w:val="100"/>
          <w:sz w:val="16"/>
          <w:szCs w:val="16"/>
        </w:rPr>
        <w:softHyphen/>
        <w:t>раге на якорной стоянке на окраине города. Под командой капитана П.И. Таранова-Белозерова он совершил два учебных дневных полёта и один боевой ночной полёт. В последнем полёте на пол</w:t>
      </w:r>
      <w:r w:rsidRPr="00DE096C">
        <w:rPr>
          <w:rStyle w:val="43"/>
          <w:rFonts w:ascii="Times New Roman" w:hAnsi="Times New Roman" w:cs="Times New Roman"/>
          <w:bCs/>
          <w:color w:val="002060"/>
          <w:w w:val="100"/>
          <w:sz w:val="16"/>
          <w:szCs w:val="16"/>
        </w:rPr>
        <w:softHyphen/>
        <w:t>пути к Перемышлю из-за сильного встречного ветра пришлось повернуть назад.</w:t>
      </w:r>
    </w:p>
    <w:p w14:paraId="272CE4F2" w14:textId="77777777" w:rsidR="00CD36D2" w:rsidRPr="00DE096C" w:rsidRDefault="00CD36D2" w:rsidP="00D45A46">
      <w:pPr>
        <w:tabs>
          <w:tab w:val="left" w:pos="519"/>
        </w:tabs>
        <w:jc w:val="both"/>
        <w:rPr>
          <w:bCs/>
          <w:color w:val="002060"/>
          <w:sz w:val="16"/>
          <w:szCs w:val="16"/>
        </w:rPr>
      </w:pPr>
      <w:r w:rsidRPr="00DE096C">
        <w:rPr>
          <w:rStyle w:val="43"/>
          <w:rFonts w:ascii="Times New Roman" w:hAnsi="Times New Roman" w:cs="Times New Roman"/>
          <w:bCs/>
          <w:color w:val="002060"/>
          <w:w w:val="100"/>
          <w:sz w:val="16"/>
          <w:szCs w:val="16"/>
        </w:rPr>
        <w:t>6 ноября во время снежной бури стоявший в овраге дирижабль занесло снегом до такой степени, что газ из его оболочки пришлось вы</w:t>
      </w:r>
      <w:r w:rsidRPr="00DE096C">
        <w:rPr>
          <w:rStyle w:val="43"/>
          <w:rFonts w:ascii="Times New Roman" w:hAnsi="Times New Roman" w:cs="Times New Roman"/>
          <w:bCs/>
          <w:color w:val="002060"/>
          <w:w w:val="100"/>
          <w:sz w:val="16"/>
          <w:szCs w:val="16"/>
        </w:rPr>
        <w:softHyphen/>
        <w:t>пустить. При этом оболочка получила большие разрывы, и её отправили на ТРАРМ для ремонта. В феврале 1915 г. отремонтированный «Кондор» снова наполнили газом в Брест-Литовске. Он вы</w:t>
      </w:r>
      <w:r w:rsidRPr="00DE096C">
        <w:rPr>
          <w:rStyle w:val="43"/>
          <w:rFonts w:ascii="Times New Roman" w:hAnsi="Times New Roman" w:cs="Times New Roman"/>
          <w:bCs/>
          <w:color w:val="002060"/>
          <w:w w:val="100"/>
          <w:sz w:val="16"/>
          <w:szCs w:val="16"/>
        </w:rPr>
        <w:softHyphen/>
        <w:t>полнил несколько учебных полётов, но попытка лететь на фронт из-за тумана закончилась неу</w:t>
      </w:r>
      <w:r w:rsidRPr="00DE096C">
        <w:rPr>
          <w:rStyle w:val="43"/>
          <w:rFonts w:ascii="Times New Roman" w:hAnsi="Times New Roman" w:cs="Times New Roman"/>
          <w:bCs/>
          <w:color w:val="002060"/>
          <w:w w:val="100"/>
          <w:sz w:val="16"/>
          <w:szCs w:val="16"/>
        </w:rPr>
        <w:softHyphen/>
        <w:t>дачей. Из Брест-Литовска «Кондор» перелетел в Бердичев, затратив на это 14 часов, после чего его разоружили.</w:t>
      </w:r>
    </w:p>
    <w:p w14:paraId="0057EFE2" w14:textId="77777777" w:rsidR="00CD36D2" w:rsidRPr="00DE096C" w:rsidRDefault="00CD36D2" w:rsidP="00D45A46">
      <w:pPr>
        <w:jc w:val="both"/>
        <w:rPr>
          <w:bCs/>
          <w:color w:val="002060"/>
          <w:sz w:val="16"/>
          <w:szCs w:val="16"/>
        </w:rPr>
      </w:pPr>
      <w:r w:rsidRPr="00DE096C">
        <w:rPr>
          <w:rStyle w:val="43"/>
          <w:rFonts w:ascii="Times New Roman" w:hAnsi="Times New Roman" w:cs="Times New Roman"/>
          <w:bCs/>
          <w:color w:val="002060"/>
          <w:w w:val="100"/>
          <w:sz w:val="16"/>
          <w:szCs w:val="16"/>
        </w:rPr>
        <w:t>Одновременно для стоянки «Кондора» из Луцка во Львов перевезли разборный эллинг. Перенос эллинга на новое место осуществлялся с большими трудностями. Работы по его разбор</w:t>
      </w:r>
      <w:r w:rsidRPr="00DE096C">
        <w:rPr>
          <w:rStyle w:val="43"/>
          <w:rFonts w:ascii="Times New Roman" w:hAnsi="Times New Roman" w:cs="Times New Roman"/>
          <w:bCs/>
          <w:color w:val="002060"/>
          <w:w w:val="100"/>
          <w:sz w:val="16"/>
          <w:szCs w:val="16"/>
        </w:rPr>
        <w:softHyphen/>
        <w:t>ке 2-я воздухоплавательная рота начала 3 ноя</w:t>
      </w:r>
      <w:r w:rsidRPr="00DE096C">
        <w:rPr>
          <w:rStyle w:val="43"/>
          <w:rFonts w:ascii="Times New Roman" w:hAnsi="Times New Roman" w:cs="Times New Roman"/>
          <w:bCs/>
          <w:color w:val="002060"/>
          <w:w w:val="100"/>
          <w:sz w:val="16"/>
          <w:szCs w:val="16"/>
        </w:rPr>
        <w:softHyphen/>
        <w:t>бря 1914 г. Вследствие сильных морозов металл стал хрупким. От этого сломался крюк стяжного домкрата, и эллинг обрушился. При этом погиб рядовой Целинский, а трое солдат и двое рабо</w:t>
      </w:r>
      <w:r w:rsidRPr="00DE096C">
        <w:rPr>
          <w:rStyle w:val="43"/>
          <w:rFonts w:ascii="Times New Roman" w:hAnsi="Times New Roman" w:cs="Times New Roman"/>
          <w:bCs/>
          <w:color w:val="002060"/>
          <w:w w:val="100"/>
          <w:sz w:val="16"/>
          <w:szCs w:val="16"/>
        </w:rPr>
        <w:softHyphen/>
        <w:t>чих получили ушибы. Значительная часть (40%) металлоконструкций эллинга была повреждена.</w:t>
      </w:r>
    </w:p>
    <w:p w14:paraId="489A6E05" w14:textId="77777777" w:rsidR="00CD36D2" w:rsidRPr="00DE096C" w:rsidRDefault="00CD36D2" w:rsidP="00D45A46">
      <w:pPr>
        <w:jc w:val="both"/>
        <w:rPr>
          <w:rStyle w:val="43"/>
          <w:rFonts w:ascii="Times New Roman" w:hAnsi="Times New Roman" w:cs="Times New Roman"/>
          <w:bCs/>
          <w:color w:val="002060"/>
          <w:w w:val="100"/>
          <w:sz w:val="16"/>
          <w:szCs w:val="16"/>
        </w:rPr>
      </w:pPr>
      <w:r w:rsidRPr="00DE096C">
        <w:rPr>
          <w:rStyle w:val="43"/>
          <w:rFonts w:ascii="Times New Roman" w:hAnsi="Times New Roman" w:cs="Times New Roman"/>
          <w:bCs/>
          <w:color w:val="002060"/>
          <w:w w:val="100"/>
          <w:sz w:val="16"/>
          <w:szCs w:val="16"/>
        </w:rPr>
        <w:t>24 декабря все части эллинга доставили во Львов, а 1 января 1915 г. началась его установка на уже готовый фундамент. Командир 2-й воздухоплавательной роты подполковник М.В. Агапов докладывал Авиаканцу: «Снежные заносы, обледенелость железных ферм и недостаточное коли</w:t>
      </w:r>
      <w:r w:rsidRPr="00DE096C">
        <w:rPr>
          <w:rStyle w:val="43"/>
          <w:rFonts w:ascii="Times New Roman" w:hAnsi="Times New Roman" w:cs="Times New Roman"/>
          <w:bCs/>
          <w:color w:val="002060"/>
          <w:w w:val="100"/>
          <w:sz w:val="16"/>
          <w:szCs w:val="16"/>
        </w:rPr>
        <w:softHyphen/>
        <w:t>чество опытных специалистов-рабочих крайне задерживает быстрое проведение работ. Все за</w:t>
      </w:r>
      <w:r w:rsidRPr="00DE096C">
        <w:rPr>
          <w:rStyle w:val="43"/>
          <w:rFonts w:ascii="Times New Roman" w:hAnsi="Times New Roman" w:cs="Times New Roman"/>
          <w:bCs/>
          <w:color w:val="002060"/>
          <w:w w:val="100"/>
          <w:sz w:val="16"/>
          <w:szCs w:val="16"/>
        </w:rPr>
        <w:softHyphen/>
        <w:t>висящие меры принимаются»62. Повреждённые фермы отремонтировали в железнодорожных мастерских Львова, и к лету эллинг установили. Но при эвакуации Львова 9 июня 1915 г. эллинг пришлось взорвать (20120).</w:t>
      </w:r>
    </w:p>
    <w:p w14:paraId="677B8324" w14:textId="4BC13C2B" w:rsidR="00CD36D2" w:rsidRPr="00DE096C" w:rsidRDefault="00CD36D2" w:rsidP="00D45A46">
      <w:pPr>
        <w:jc w:val="both"/>
        <w:rPr>
          <w:bCs/>
          <w:color w:val="002060"/>
          <w:sz w:val="16"/>
          <w:szCs w:val="16"/>
        </w:rPr>
      </w:pPr>
    </w:p>
    <w:p w14:paraId="4F2E1DAE" w14:textId="78499776" w:rsidR="00E25292" w:rsidRPr="00DE096C" w:rsidRDefault="00E25292" w:rsidP="00D45A46">
      <w:pPr>
        <w:jc w:val="both"/>
        <w:rPr>
          <w:bCs/>
          <w:i/>
          <w:iCs/>
          <w:color w:val="002060"/>
          <w:sz w:val="16"/>
          <w:szCs w:val="16"/>
        </w:rPr>
      </w:pPr>
      <w:r w:rsidRPr="00DE096C">
        <w:rPr>
          <w:bCs/>
          <w:i/>
          <w:iCs/>
          <w:color w:val="002060"/>
          <w:sz w:val="16"/>
          <w:szCs w:val="16"/>
        </w:rPr>
        <w:t>Жизнь и внутренняя политика:</w:t>
      </w:r>
    </w:p>
    <w:p w14:paraId="18356B73" w14:textId="77777777" w:rsidR="00E25292" w:rsidRPr="00DE096C" w:rsidRDefault="00E25292" w:rsidP="00D45A46">
      <w:pPr>
        <w:jc w:val="both"/>
        <w:rPr>
          <w:bCs/>
          <w:color w:val="002060"/>
          <w:sz w:val="16"/>
          <w:szCs w:val="16"/>
        </w:rPr>
      </w:pPr>
    </w:p>
    <w:p w14:paraId="01248930" w14:textId="77777777" w:rsidR="00E25292" w:rsidRPr="00DE096C" w:rsidRDefault="00E25292"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2 (15) августа 1914 г. на заседании ЦК кадетской партии Милюков вынужден был признать, что «единство 26 июля» является «довольно фиктивным», но его «надо всё же некоторое время поддерживать», ибо «демонстрация расхождения между властью и народом сейчас была бы очень неудобна с общей точки зрения». Но уже </w:t>
      </w:r>
      <w:bookmarkStart w:id="116" w:name="_Hlk117239870"/>
      <w:r w:rsidRPr="00DE096C">
        <w:rPr>
          <w:bCs/>
          <w:i w:val="0"/>
          <w:color w:val="002060"/>
          <w:spacing w:val="0"/>
          <w:kern w:val="0"/>
          <w:position w:val="0"/>
          <w:sz w:val="16"/>
          <w:szCs w:val="16"/>
        </w:rPr>
        <w:t>14 ноября 1914 г. на заседании ЦК кадетской партии обсуждается вопрос о возможности революции во время войны. Интенсивность обсуждения этого вопроса приходится на начало 1915 г., когда представителями с мест выдвигается призыв о немедленном начале оппозиционной борьбы против внутреннего врага — царского правительства (11270).</w:t>
      </w:r>
    </w:p>
    <w:p w14:paraId="71AF9F6C" w14:textId="77777777" w:rsidR="00E25292" w:rsidRPr="00DE096C" w:rsidRDefault="00E25292"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 пользу такого решения говорило всё: поражение русской армии, усиление революционных и оппозиционных настроений в обществе, создание думского Прогрессивного блока, деятельность общественных буржуазных организаций. Это заставило либералов поставить вопрос о власти. </w:t>
      </w:r>
    </w:p>
    <w:p w14:paraId="7983D9C9" w14:textId="77777777" w:rsidR="00E25292" w:rsidRPr="00DE096C" w:rsidRDefault="00E25292"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Пути передачи власти буржуазии предполагались разные, но все они сводились к одному — «власть надо брать в любой момент», но никак не революционным путем, а посредством эволюционного общественного развития в рамках существующего парламентарного строя. И тем не менее в 1915 г. буржуазия не решалась еще на дворцовый переворот, к признанию необходимости которого она пришла осенью 1916 г. Тогда они считали для себя возможным продолжать борьбу за создание «министерства общественного доверия», которое, по их разумению, будет приемлемым и для верховной власти, так как ни в коем случае не предусматривало какого-либо радикального политического переворота, и одновременно могло быть рассмотрено в перспективе в качестве «ступеньки» к созданию думского ответственного министерства. </w:t>
      </w:r>
    </w:p>
    <w:p w14:paraId="5246DA72" w14:textId="77777777" w:rsidR="00E25292" w:rsidRPr="00DE096C" w:rsidRDefault="00E25292"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Дебаты вокруг этого вопроса продолжались в либеральной среде вплоть до самой Февральской революции. Они то ослабевали, то усиливались, принимая радикальное направление в зависимости от положения в стране. Споры касались и перспектив развития кризисной ситуации, и возможности революции. Но споры оставались лишь спорами, в то время как политическая обстановка всё более осложнялась. </w:t>
      </w:r>
    </w:p>
    <w:p w14:paraId="03372CF2" w14:textId="77777777" w:rsidR="00E25292" w:rsidRPr="00DE096C" w:rsidRDefault="00E25292"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Одной из причин политической нестабильности стал экономический кризис. Во многом он был вызван переключением на военное производство тех отраслей промышленности, которые изготавливали предметы потребления. В результате нарушился обмен между городом и деревней, ухудшилось снабжение городского трудового населения и значительно сократилось потребление трудящихся.</w:t>
      </w:r>
    </w:p>
    <w:p w14:paraId="76C3F81B" w14:textId="77777777" w:rsidR="00E25292" w:rsidRPr="00DE096C" w:rsidRDefault="00E25292"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Выход из создавшегося положения виделся правительствам воюющих держав в проведении всеобъемлющей централизации снабжения. В России с 1915 г. карточная система явочным путем стала проводиться городскими самоуправлениями на дефицитные продукты: сахар и керосин. Но официально, в виде общегосударственной меры, карточная система появилась лишь с введением хлебной монополии 25 марта 1917 г.</w:t>
      </w:r>
    </w:p>
    <w:p w14:paraId="57122CDB" w14:textId="77777777" w:rsidR="00E25292" w:rsidRPr="00DE096C" w:rsidRDefault="00E25292"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Обсуждались в России и проекты введения трудовой повинности, но идея оказалась непопулярной. Власть, опасаясь волнений рабочих и обострения социального вопроса, не пошла на принятие этого законопроекта.</w:t>
      </w:r>
    </w:p>
    <w:p w14:paraId="6F4FA080" w14:textId="77777777" w:rsidR="00E25292" w:rsidRPr="00DE096C" w:rsidRDefault="00E25292"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Огромные жертвы, затяжной и кровопролитный характер войны, рост дороговизны в тылу воюющих государств привели в политической сфере к смещению акцентов — от грандиозной вспышки национализма и шовинизма, идей гражданского мира во имя победы над внешним врагом к созданию в широких народных массах совершенно новой психологии военного коммунизма с присущими ей настроениями максимализма, нетерпения, всеобщего уравнительства, с ориентацией на насилие и прямое революционное действие (11270).</w:t>
      </w:r>
    </w:p>
    <w:p w14:paraId="5CCD51A0" w14:textId="77777777" w:rsidR="00E25292" w:rsidRPr="00DE096C" w:rsidRDefault="00E25292" w:rsidP="00D45A46">
      <w:pPr>
        <w:pStyle w:val="a3"/>
        <w:jc w:val="both"/>
        <w:rPr>
          <w:bCs/>
          <w:i w:val="0"/>
          <w:color w:val="002060"/>
          <w:spacing w:val="0"/>
          <w:kern w:val="0"/>
          <w:position w:val="0"/>
          <w:sz w:val="16"/>
          <w:szCs w:val="16"/>
        </w:rPr>
      </w:pPr>
    </w:p>
    <w:bookmarkEnd w:id="116"/>
    <w:p w14:paraId="0B8EB586"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Авиация и воздухоплавание Германии:</w:t>
      </w:r>
    </w:p>
    <w:p w14:paraId="7CD67E96" w14:textId="77777777" w:rsidR="00B67D7C" w:rsidRPr="00DE096C" w:rsidRDefault="00B67D7C" w:rsidP="00D45A46">
      <w:pPr>
        <w:pStyle w:val="a3"/>
        <w:jc w:val="both"/>
        <w:rPr>
          <w:bCs/>
          <w:color w:val="002060"/>
          <w:spacing w:val="0"/>
          <w:kern w:val="0"/>
          <w:position w:val="0"/>
          <w:sz w:val="16"/>
          <w:szCs w:val="16"/>
        </w:rPr>
      </w:pPr>
    </w:p>
    <w:p w14:paraId="4BC34770" w14:textId="0C9F93E0" w:rsidR="00B67D7C" w:rsidRPr="00DE096C" w:rsidRDefault="0035066C" w:rsidP="00D45A46">
      <w:pPr>
        <w:jc w:val="both"/>
        <w:rPr>
          <w:bCs/>
          <w:color w:val="002060"/>
          <w:sz w:val="16"/>
          <w:szCs w:val="16"/>
        </w:rPr>
      </w:pPr>
      <w:r w:rsidRPr="00DE096C">
        <w:rPr>
          <w:bCs/>
          <w:color w:val="002060"/>
          <w:sz w:val="16"/>
          <w:szCs w:val="16"/>
        </w:rPr>
        <w:t>С</w:t>
      </w:r>
      <w:r w:rsidR="00B67D7C" w:rsidRPr="00DE096C">
        <w:rPr>
          <w:bCs/>
          <w:color w:val="002060"/>
          <w:sz w:val="16"/>
          <w:szCs w:val="16"/>
        </w:rPr>
        <w:t xml:space="preserve"> 2 (15) августа по 26 августа (9 сентября) 1914 года, за исключением двух дождливых дней, </w:t>
      </w:r>
      <w:r w:rsidRPr="00DE096C">
        <w:rPr>
          <w:bCs/>
          <w:color w:val="002060"/>
          <w:sz w:val="16"/>
          <w:szCs w:val="16"/>
        </w:rPr>
        <w:t xml:space="preserve">авиаотряд 3-го армейского корпуса присылал ежедневно </w:t>
      </w:r>
      <w:r w:rsidR="00B67D7C" w:rsidRPr="00DE096C">
        <w:rPr>
          <w:bCs/>
          <w:color w:val="002060"/>
          <w:sz w:val="16"/>
          <w:szCs w:val="16"/>
        </w:rPr>
        <w:t>ценные сведения, несмотря на то, что за это время он переменил 18 стоянок (11282).</w:t>
      </w:r>
    </w:p>
    <w:p w14:paraId="1D9872C6" w14:textId="77777777" w:rsidR="00B67D7C" w:rsidRPr="00DE096C" w:rsidRDefault="00B67D7C" w:rsidP="00D45A46">
      <w:pPr>
        <w:jc w:val="both"/>
        <w:rPr>
          <w:bCs/>
          <w:color w:val="002060"/>
          <w:sz w:val="16"/>
          <w:szCs w:val="16"/>
        </w:rPr>
      </w:pPr>
    </w:p>
    <w:p w14:paraId="7C77DCA9" w14:textId="77777777" w:rsidR="00BE3CE9" w:rsidRPr="00DE096C" w:rsidRDefault="00BE3CE9" w:rsidP="00D45A46">
      <w:pPr>
        <w:jc w:val="both"/>
        <w:rPr>
          <w:bCs/>
          <w:i/>
          <w:color w:val="002060"/>
          <w:sz w:val="16"/>
          <w:szCs w:val="16"/>
        </w:rPr>
      </w:pPr>
      <w:r w:rsidRPr="00DE096C">
        <w:rPr>
          <w:bCs/>
          <w:i/>
          <w:color w:val="002060"/>
          <w:sz w:val="16"/>
          <w:szCs w:val="16"/>
        </w:rPr>
        <w:t>Авиация и воздухоплавание Франции:</w:t>
      </w:r>
    </w:p>
    <w:p w14:paraId="1D592B38" w14:textId="77777777" w:rsidR="00BE3CE9" w:rsidRPr="00DE096C" w:rsidRDefault="00BE3CE9" w:rsidP="00D45A46">
      <w:pPr>
        <w:jc w:val="both"/>
        <w:rPr>
          <w:bCs/>
          <w:i/>
          <w:color w:val="002060"/>
          <w:sz w:val="16"/>
          <w:szCs w:val="16"/>
        </w:rPr>
      </w:pPr>
    </w:p>
    <w:p w14:paraId="00DBC582" w14:textId="77777777" w:rsidR="00BE3CE9" w:rsidRPr="00DE096C" w:rsidRDefault="00BE3CE9" w:rsidP="00D45A46">
      <w:pPr>
        <w:jc w:val="both"/>
        <w:rPr>
          <w:bCs/>
          <w:color w:val="002060"/>
          <w:sz w:val="16"/>
          <w:szCs w:val="16"/>
        </w:rPr>
      </w:pPr>
      <w:r w:rsidRPr="00DE096C">
        <w:rPr>
          <w:bCs/>
          <w:color w:val="002060"/>
          <w:sz w:val="16"/>
          <w:szCs w:val="16"/>
        </w:rPr>
        <w:t>2 (15) августа в 1914 году французские ВВС понесли первую боевую потерю. На свой аэродром не вернулся аэроплан с экипажем в составе летчика Викторина Гаро (Victorin Garaix) и лейтенанта Альбера Де-Тизлё (Albert de Taizleux). Их аппарат, летевший на разведку в район города Мец, был сбит немецкой зениткой. Пилот разведчика, хотя и не имел офицерского звания, был далеко не рядовым авиатором. До войны он прославился многими авиационными рекордами. Однако в документах 1914 года, хранящихся в архиве Исторической службы ВВС Франции в Реймсе, можно отыскать лишь самые общие сведения о том злополучном вылете. На фоне последующих воздушных баталий, в которых были сбиты тысячи аэропланов, гибель Гаро и Де-Тизлё стала первым трагическим, но увы, рядовым эпизодом. Сейчас даже французские исследователи Первой мировой войны редко упоминают в своих работах об экипаже, открывшем скорбный список потерь "Армэ дель Эр", и еще реже - марку их самолета: "Поль Шмитт" (Paul Shmitt). А ведь когда-то эта марка была известна не меньше, чем сейчас "Боинг", "Локхид" или "Туполев" (14984).</w:t>
      </w:r>
    </w:p>
    <w:p w14:paraId="0A34CE9E" w14:textId="77777777" w:rsidR="00BE3CE9" w:rsidRPr="00DE096C" w:rsidRDefault="00BE3CE9" w:rsidP="00D45A46">
      <w:pPr>
        <w:jc w:val="both"/>
        <w:rPr>
          <w:bCs/>
          <w:color w:val="002060"/>
          <w:sz w:val="16"/>
          <w:szCs w:val="16"/>
        </w:rPr>
      </w:pPr>
    </w:p>
    <w:p w14:paraId="7C288D42" w14:textId="77777777" w:rsidR="00CB38C3" w:rsidRPr="00DE096C" w:rsidRDefault="00CB38C3" w:rsidP="00D45A46">
      <w:pPr>
        <w:jc w:val="both"/>
        <w:rPr>
          <w:bCs/>
          <w:color w:val="002060"/>
          <w:sz w:val="16"/>
          <w:szCs w:val="16"/>
        </w:rPr>
      </w:pPr>
      <w:r w:rsidRPr="00DE096C">
        <w:rPr>
          <w:bCs/>
          <w:color w:val="002060"/>
          <w:sz w:val="16"/>
          <w:szCs w:val="16"/>
        </w:rPr>
        <w:t>2 (15) августа 1914 - Французские ВВС понесли первую боевую потерю в Первой Мировой войне. На свой аэродром не вернулся аэроплан с экипажем в составе лётчика Викторина Гаро (Victorin Garaix) и лейтенанта Альбера Де-Тизлё (Albert de Taizleux). Их аппарат, летевший на разведку в район города Мец, был сбит немецкой зениткой.</w:t>
      </w:r>
    </w:p>
    <w:p w14:paraId="3AC0110B" w14:textId="77777777" w:rsidR="00CB38C3" w:rsidRPr="00DE096C" w:rsidRDefault="00CB38C3" w:rsidP="00D45A46">
      <w:pPr>
        <w:jc w:val="both"/>
        <w:rPr>
          <w:bCs/>
          <w:color w:val="002060"/>
          <w:sz w:val="16"/>
          <w:szCs w:val="16"/>
        </w:rPr>
      </w:pPr>
      <w:r w:rsidRPr="00DE096C">
        <w:rPr>
          <w:bCs/>
          <w:color w:val="002060"/>
          <w:sz w:val="16"/>
          <w:szCs w:val="16"/>
        </w:rPr>
        <w:lastRenderedPageBreak/>
        <w:t>Пилот разведчика, хотя и не имел офицерского звания, был далеко не рядовым авиатором. До войны он прославился многими авиационными рекордами. Однако в документах 1914 года, хранящихся в архиве Исторической службы ВВС Франции в Реймсе, можно отыскать лишь самые общие сведения о том злополучном вылете.</w:t>
      </w:r>
    </w:p>
    <w:p w14:paraId="755A9468" w14:textId="77777777" w:rsidR="00CB38C3" w:rsidRPr="00DE096C" w:rsidRDefault="00CB38C3" w:rsidP="00D45A46">
      <w:pPr>
        <w:jc w:val="both"/>
        <w:rPr>
          <w:bCs/>
          <w:color w:val="002060"/>
          <w:sz w:val="16"/>
          <w:szCs w:val="16"/>
        </w:rPr>
      </w:pPr>
      <w:r w:rsidRPr="00DE096C">
        <w:rPr>
          <w:bCs/>
          <w:color w:val="002060"/>
          <w:sz w:val="16"/>
          <w:szCs w:val="16"/>
        </w:rPr>
        <w:t>На фоне последующих воздушных баталий, в которых были сбиты тысячи аэропланов, гибель Гаро и Де-Тизлё стала первым трагическим, но увы, рядовым эпизодом. Сейчас даже французские исследователи Первой мировой войны редко упоминают в своих работах об экипаже, открывшем скорбный список потерь "Армэ дель Эр", и ещё реже - марку их самолета: "Поль Шмитт" (Paul Shmitt) (22398).</w:t>
      </w:r>
    </w:p>
    <w:p w14:paraId="2EFC4993" w14:textId="77777777" w:rsidR="00CB38C3" w:rsidRPr="00DE096C" w:rsidRDefault="00CB38C3" w:rsidP="00D45A46">
      <w:pPr>
        <w:jc w:val="both"/>
        <w:rPr>
          <w:bCs/>
          <w:color w:val="002060"/>
          <w:sz w:val="16"/>
          <w:szCs w:val="16"/>
        </w:rPr>
      </w:pPr>
    </w:p>
    <w:p w14:paraId="28EF4E00" w14:textId="77777777" w:rsidR="004718BC" w:rsidRPr="00B52707" w:rsidRDefault="004718BC" w:rsidP="004718BC">
      <w:pPr>
        <w:jc w:val="both"/>
        <w:rPr>
          <w:color w:val="0070C0"/>
          <w:sz w:val="16"/>
          <w:szCs w:val="16"/>
        </w:rPr>
      </w:pPr>
      <w:r w:rsidRPr="00B52707">
        <w:rPr>
          <w:color w:val="0070C0"/>
          <w:sz w:val="16"/>
          <w:szCs w:val="16"/>
        </w:rPr>
        <w:t xml:space="preserve">Примерно 2 (15 августа) 1914 года во фронтовых эскадрильях Франции произошли первые потери авиации, и встал вопрос о необходимости подкреплений. </w:t>
      </w:r>
    </w:p>
    <w:p w14:paraId="7F90105E" w14:textId="77777777" w:rsidR="004718BC" w:rsidRPr="00B52707" w:rsidRDefault="004718BC" w:rsidP="004718BC">
      <w:pPr>
        <w:jc w:val="both"/>
        <w:rPr>
          <w:color w:val="0070C0"/>
          <w:sz w:val="16"/>
          <w:szCs w:val="16"/>
        </w:rPr>
      </w:pPr>
      <w:r w:rsidRPr="00B52707">
        <w:rPr>
          <w:color w:val="0070C0"/>
          <w:sz w:val="16"/>
          <w:szCs w:val="16"/>
        </w:rPr>
        <w:t>Капитан Жорж Белленже, командующий авиацией сражавшейся в Вогезах 1-й армии, просит прислать ему в подкрепление бронированный Blériot Жюля Ведрина. Если просьба капитана Белленже будет удовлетворена, возникнет вопрос о назначении бронированный Blériot в фронтовую эскадрилью. 17 августа 1914 года военное министерство сообщает по телефону генеральному штабу, что «самолет Ведрина – это двухместный «Блерио» с двигателем мощностью 160 л.с., бронированный и вооруженный пулеметом, развивающий скорость 130 км/ч. Он несет запас топлива на два часа полета и 1500 патронов. Его конфигурация не оставляет места для чего-либо еще. Этот самолет представляет собой боевую машину, предназначенную для обстрела из пулемета дирижаблей, самолетов, крупных скоплений войск и особенно артиллерийских колонн. Ведрин и его стрелок (лейтенант кавалерии Бодо) образуют команду, которая экспериментально проводила указанные виды стрельбы.»</w:t>
      </w:r>
    </w:p>
    <w:p w14:paraId="54D0D318" w14:textId="77777777" w:rsidR="004718BC" w:rsidRPr="00B52707" w:rsidRDefault="004718BC" w:rsidP="004718BC">
      <w:pPr>
        <w:jc w:val="both"/>
        <w:rPr>
          <w:color w:val="0070C0"/>
          <w:sz w:val="16"/>
          <w:szCs w:val="16"/>
        </w:rPr>
      </w:pPr>
      <w:r w:rsidRPr="00B52707">
        <w:rPr>
          <w:color w:val="0070C0"/>
          <w:sz w:val="16"/>
          <w:szCs w:val="16"/>
        </w:rPr>
        <w:t>20 августа 1914 года Ведрина вызвали в военное министерство, но по дороге он попал в дорожно-транспортное происшествие, разбив свою машину. В конце концов он приехал в военное министерство на другой машине и по выходу из министерства Жюль Ведрин столкнулся с журналистами, которым заявил, что теперь он солдат и его долг – хранить молчание. Восемь дней спустя Ведрин прибыл со своим самолетом и двумя механиками, Рамонду и Денебудом в эскадрилью DO 22, приданную авиации 4-й армии, которая в то время сражалась на равнинах Шампани (25742).</w:t>
      </w:r>
    </w:p>
    <w:p w14:paraId="6A3F1DC0" w14:textId="77777777" w:rsidR="004718BC" w:rsidRPr="00B52707" w:rsidRDefault="004718BC" w:rsidP="004718BC">
      <w:pPr>
        <w:jc w:val="both"/>
        <w:rPr>
          <w:color w:val="0070C0"/>
          <w:sz w:val="16"/>
          <w:szCs w:val="16"/>
        </w:rPr>
      </w:pPr>
    </w:p>
    <w:p w14:paraId="26E73454" w14:textId="77777777" w:rsidR="00BE3CE9" w:rsidRPr="00DE096C" w:rsidRDefault="00BE3CE9" w:rsidP="00D45A46">
      <w:pPr>
        <w:jc w:val="both"/>
        <w:rPr>
          <w:bCs/>
          <w:i/>
          <w:color w:val="002060"/>
          <w:sz w:val="16"/>
          <w:szCs w:val="16"/>
        </w:rPr>
      </w:pPr>
      <w:r w:rsidRPr="00DE096C">
        <w:rPr>
          <w:bCs/>
          <w:i/>
          <w:color w:val="002060"/>
          <w:sz w:val="16"/>
          <w:szCs w:val="16"/>
        </w:rPr>
        <w:t>За рубежом:</w:t>
      </w:r>
    </w:p>
    <w:p w14:paraId="0ECF50F3" w14:textId="77777777" w:rsidR="00BE3CE9" w:rsidRPr="00DE096C" w:rsidRDefault="00BE3CE9" w:rsidP="00D45A46">
      <w:pPr>
        <w:jc w:val="both"/>
        <w:rPr>
          <w:bCs/>
          <w:color w:val="002060"/>
          <w:sz w:val="16"/>
          <w:szCs w:val="16"/>
        </w:rPr>
      </w:pPr>
    </w:p>
    <w:p w14:paraId="42612E9D" w14:textId="77777777" w:rsidR="00BE3CE9" w:rsidRPr="00DE096C" w:rsidRDefault="00BE3CE9" w:rsidP="00D45A46">
      <w:pPr>
        <w:jc w:val="both"/>
        <w:rPr>
          <w:bCs/>
          <w:color w:val="002060"/>
          <w:sz w:val="16"/>
          <w:szCs w:val="16"/>
        </w:rPr>
      </w:pPr>
      <w:r w:rsidRPr="00DE096C">
        <w:rPr>
          <w:bCs/>
          <w:color w:val="002060"/>
          <w:sz w:val="16"/>
          <w:szCs w:val="16"/>
        </w:rPr>
        <w:t>2 (15) августа в 1914 году началась эксплуатация Панамского канала. Церемония закладки Канала, состоявшаяся 1 января 1880 года в устье реки Рио-Гранде, проходила под французским флагом, заканчивать же строительство этого грандиозного сооружения пришлось американцам — в конце 1898-го французское правительство предложило американскому президенту Уильяму Маккинли выкупить все еще не достроенный Канал за 40 миллионов долларов. И вот спустя 15 с лишним лет после этой сделки первым по Каналу, из Атлантического в Тихий океан проследовал корабль «Кристобаль». Официальное открытие состоялось 12 июня 1920 г. 31 декабря 1999 г. в соответствии с договорами Торрихоса-Картера 1977 г. канал был передан США под полный контроль Панамы. Общая протяженность Панамского канала составляет 81,6 км, из них 65,2 км — по суше и 16,4 км — по дну Панамской и Лимонской бухт. Минимальная высота над уровнем моря — 83 метра. Минимальная ширина по дну — 150 метров. Глубина шлюзов — 12,5 метра. Время прохождения судов через Канал — 7–8 часов, пропускная способность — 36 судов в сутки. Канал на двенадцать с лишним тысяч километров сократил путь между Атлантическим и Тихим океанами (14984).</w:t>
      </w:r>
    </w:p>
    <w:p w14:paraId="2546254D" w14:textId="66739282" w:rsidR="00BE3CE9" w:rsidRPr="00DE096C" w:rsidRDefault="00BE3CE9" w:rsidP="00D45A46">
      <w:pPr>
        <w:jc w:val="both"/>
        <w:rPr>
          <w:bCs/>
          <w:color w:val="002060"/>
          <w:sz w:val="16"/>
          <w:szCs w:val="16"/>
        </w:rPr>
      </w:pPr>
    </w:p>
    <w:p w14:paraId="7AC87FF5" w14:textId="225ADC6A" w:rsidR="006C4766" w:rsidRPr="00DE096C" w:rsidRDefault="006C4766" w:rsidP="00D45A46">
      <w:pPr>
        <w:jc w:val="both"/>
        <w:rPr>
          <w:bCs/>
          <w:i/>
          <w:iCs/>
          <w:color w:val="002060"/>
          <w:sz w:val="16"/>
          <w:szCs w:val="16"/>
        </w:rPr>
      </w:pPr>
      <w:r w:rsidRPr="00DE096C">
        <w:rPr>
          <w:bCs/>
          <w:i/>
          <w:iCs/>
          <w:color w:val="002060"/>
          <w:sz w:val="16"/>
          <w:szCs w:val="16"/>
        </w:rPr>
        <w:t>Авиация:</w:t>
      </w:r>
    </w:p>
    <w:p w14:paraId="08C5544D" w14:textId="77777777" w:rsidR="006C4766" w:rsidRPr="00DE096C" w:rsidRDefault="006C4766" w:rsidP="00D45A46">
      <w:pPr>
        <w:jc w:val="both"/>
        <w:rPr>
          <w:bCs/>
          <w:i/>
          <w:iCs/>
          <w:color w:val="002060"/>
          <w:sz w:val="16"/>
          <w:szCs w:val="16"/>
        </w:rPr>
      </w:pPr>
    </w:p>
    <w:p w14:paraId="41FFC249" w14:textId="77777777" w:rsidR="006C4766" w:rsidRPr="00DE096C" w:rsidRDefault="006C4766" w:rsidP="00D45A46">
      <w:pPr>
        <w:jc w:val="both"/>
        <w:rPr>
          <w:bCs/>
          <w:color w:val="002060"/>
          <w:sz w:val="16"/>
          <w:szCs w:val="16"/>
        </w:rPr>
      </w:pPr>
      <w:r w:rsidRPr="00DE096C">
        <w:rPr>
          <w:bCs/>
          <w:color w:val="002060"/>
          <w:sz w:val="16"/>
          <w:szCs w:val="16"/>
        </w:rPr>
        <w:t>3 (16) августа 1914 г. шеф авиации в.к. Александр Михайлович обратился к народу воззванием, в котором говорилось: "Особый Комитет по усилению военного флота на добровольные пожертвования за десятилетие своего суще</w:t>
      </w:r>
      <w:r w:rsidRPr="00DE096C">
        <w:rPr>
          <w:bCs/>
          <w:color w:val="002060"/>
          <w:sz w:val="16"/>
          <w:szCs w:val="16"/>
        </w:rPr>
        <w:softHyphen/>
        <w:t>ствования подготовил значительное количество военных летчиков, несущих в настоящее время боевую службу, направил ныне все свои средства на постройку самолетов и на непрерывную подготовку летчиков и авиа</w:t>
      </w:r>
      <w:r w:rsidRPr="00DE096C">
        <w:rPr>
          <w:bCs/>
          <w:color w:val="002060"/>
          <w:sz w:val="16"/>
          <w:szCs w:val="16"/>
        </w:rPr>
        <w:softHyphen/>
        <w:t>ционных мотористов как из чинов армии и флота, так и из числа частных лиц, желающих служить на правах охотников в военно-авиационных отрядах”. Шеф призывал жертвовать на "воздушный флот — могучее оружие современной войны".</w:t>
      </w:r>
    </w:p>
    <w:p w14:paraId="0BCD3DEB" w14:textId="77777777" w:rsidR="006C4766" w:rsidRPr="00DE096C" w:rsidRDefault="006C4766" w:rsidP="00D45A46">
      <w:pPr>
        <w:jc w:val="both"/>
        <w:rPr>
          <w:bCs/>
          <w:color w:val="002060"/>
          <w:sz w:val="16"/>
          <w:szCs w:val="16"/>
        </w:rPr>
      </w:pPr>
      <w:r w:rsidRPr="00DE096C">
        <w:rPr>
          <w:bCs/>
          <w:color w:val="002060"/>
          <w:sz w:val="16"/>
          <w:szCs w:val="16"/>
        </w:rPr>
        <w:t>/"Русский инвалид" за 3 августа 1914/ (23320).</w:t>
      </w:r>
    </w:p>
    <w:p w14:paraId="5BCD1A37" w14:textId="77777777" w:rsidR="006C4766" w:rsidRPr="00DE096C" w:rsidRDefault="006C4766" w:rsidP="00D45A46">
      <w:pPr>
        <w:jc w:val="both"/>
        <w:rPr>
          <w:bCs/>
          <w:color w:val="002060"/>
          <w:sz w:val="16"/>
          <w:szCs w:val="16"/>
        </w:rPr>
      </w:pPr>
    </w:p>
    <w:p w14:paraId="0F11B81E" w14:textId="77777777" w:rsidR="00B67D7C" w:rsidRPr="00DE096C" w:rsidRDefault="00B67D7C" w:rsidP="00D45A46">
      <w:pPr>
        <w:jc w:val="both"/>
        <w:rPr>
          <w:bCs/>
          <w:i/>
          <w:color w:val="002060"/>
          <w:sz w:val="16"/>
          <w:szCs w:val="16"/>
        </w:rPr>
      </w:pPr>
      <w:r w:rsidRPr="00DE096C">
        <w:rPr>
          <w:bCs/>
          <w:i/>
          <w:color w:val="002060"/>
          <w:sz w:val="16"/>
          <w:szCs w:val="16"/>
        </w:rPr>
        <w:t>Морская авиация:</w:t>
      </w:r>
    </w:p>
    <w:p w14:paraId="35D112C4" w14:textId="77777777" w:rsidR="00B67D7C" w:rsidRPr="00DE096C" w:rsidRDefault="00B67D7C" w:rsidP="00D45A46">
      <w:pPr>
        <w:jc w:val="both"/>
        <w:rPr>
          <w:bCs/>
          <w:i/>
          <w:color w:val="002060"/>
          <w:sz w:val="16"/>
          <w:szCs w:val="16"/>
        </w:rPr>
      </w:pPr>
    </w:p>
    <w:p w14:paraId="30C9C810" w14:textId="77777777" w:rsidR="00B67D7C" w:rsidRPr="00DE096C" w:rsidRDefault="00B67D7C" w:rsidP="00D45A46">
      <w:pPr>
        <w:jc w:val="both"/>
        <w:rPr>
          <w:bCs/>
          <w:color w:val="002060"/>
          <w:sz w:val="16"/>
          <w:szCs w:val="16"/>
        </w:rPr>
      </w:pPr>
      <w:r w:rsidRPr="00DE096C">
        <w:rPr>
          <w:bCs/>
          <w:color w:val="002060"/>
          <w:sz w:val="16"/>
          <w:szCs w:val="16"/>
        </w:rPr>
        <w:t>3 (16) августа 1914 «Печора» пришла в губу Крестовую и встала на якорь. Через день разобранный гидросамолет перевезли на берег к становищу Ольгино, и 6 августа Нагурский вместе с мотористом, матросом первой статьи Евгением Кузнецовым, приступил к сборке машины. Дело было не простым: открытый всем ветрам берег, метели, сильный туман, дождь со снегом, холод.</w:t>
      </w:r>
    </w:p>
    <w:p w14:paraId="480CE601" w14:textId="77777777" w:rsidR="00B67D7C" w:rsidRPr="00DE096C" w:rsidRDefault="00B67D7C" w:rsidP="00D45A46">
      <w:pPr>
        <w:jc w:val="both"/>
        <w:rPr>
          <w:bCs/>
          <w:color w:val="002060"/>
          <w:sz w:val="16"/>
          <w:szCs w:val="16"/>
        </w:rPr>
      </w:pPr>
      <w:r w:rsidRPr="00DE096C">
        <w:rPr>
          <w:bCs/>
          <w:color w:val="002060"/>
          <w:sz w:val="16"/>
          <w:szCs w:val="16"/>
        </w:rPr>
        <w:t>В 4 часа 30 минут 8 августа Нагурский и Кузнецов вылетели на обследование западного берега Новой Земли. В полете Нагурский ориентировался по береговой линии Новой Земли и показаниям компаса. От мыса Борисова начались редкий лед и торосы, потом с севера надвинулся густой туман и облака. Ориентировка затруднилась — пришлось лететь по компасу. И здесь предусмотрительность Нагурского, захватившего компас отечественного изготовления, оказалась нелишней — французский компас отказал. Пришлось лететь почти целый час вне видимости. Разглядеть земные ориентиры удалось только в районе Горбовых островов. Во всех проливах стоял старый, нетронутый лед. Нагурский пролетел к мысу Литке, обогнул его и направил свою машину обратно. У острова Панкратьева не смог сесть из-за льда и тумана, пришлось лететь дальше на юг.</w:t>
      </w:r>
    </w:p>
    <w:p w14:paraId="31E08630" w14:textId="77777777" w:rsidR="00B67D7C" w:rsidRPr="00DE096C" w:rsidRDefault="00B67D7C" w:rsidP="00D45A46">
      <w:pPr>
        <w:jc w:val="both"/>
        <w:rPr>
          <w:bCs/>
          <w:color w:val="002060"/>
          <w:sz w:val="16"/>
          <w:szCs w:val="16"/>
        </w:rPr>
      </w:pPr>
      <w:r w:rsidRPr="00DE096C">
        <w:rPr>
          <w:bCs/>
          <w:color w:val="002060"/>
          <w:sz w:val="16"/>
          <w:szCs w:val="16"/>
        </w:rPr>
        <w:t>Сесть удалось в 8 часов 50 минут у мыса Борисова.</w:t>
      </w:r>
    </w:p>
    <w:p w14:paraId="0D88A067" w14:textId="77777777" w:rsidR="00B67D7C" w:rsidRPr="00DE096C" w:rsidRDefault="00B67D7C" w:rsidP="00D45A46">
      <w:pPr>
        <w:jc w:val="both"/>
        <w:rPr>
          <w:bCs/>
          <w:color w:val="002060"/>
          <w:sz w:val="16"/>
          <w:szCs w:val="16"/>
        </w:rPr>
      </w:pPr>
      <w:r w:rsidRPr="00DE096C">
        <w:rPr>
          <w:bCs/>
          <w:color w:val="002060"/>
          <w:sz w:val="16"/>
          <w:szCs w:val="16"/>
        </w:rPr>
        <w:t>В воздухе в общей сложности летчики пробыли 4 часа 20 минут. Подойти к берегу в этом месте было трудно: был он высок, скалист, перед ним — торчащие из воды камни. Несколько раз при рулежке натыкались на них. В результате пострадал левый поплавок, в который потом постоянно набиралась вода. Чтобы выйти на берег, пришлось лезть в воду.</w:t>
      </w:r>
    </w:p>
    <w:p w14:paraId="4D7E5567" w14:textId="77777777" w:rsidR="00B67D7C" w:rsidRPr="00DE096C" w:rsidRDefault="00B67D7C" w:rsidP="00D45A46">
      <w:pPr>
        <w:jc w:val="both"/>
        <w:rPr>
          <w:bCs/>
          <w:color w:val="002060"/>
          <w:sz w:val="16"/>
          <w:szCs w:val="16"/>
        </w:rPr>
      </w:pPr>
      <w:r w:rsidRPr="00DE096C">
        <w:rPr>
          <w:bCs/>
          <w:color w:val="002060"/>
          <w:sz w:val="16"/>
          <w:szCs w:val="16"/>
        </w:rPr>
        <w:t>Основательно закрепив аппарат, летчики развели костры из плавника и, утомленные перелетом, моментально уснули.</w:t>
      </w:r>
    </w:p>
    <w:p w14:paraId="029F1CED" w14:textId="77777777" w:rsidR="00B67D7C" w:rsidRPr="00DE096C" w:rsidRDefault="00B67D7C" w:rsidP="00D45A46">
      <w:pPr>
        <w:jc w:val="both"/>
        <w:rPr>
          <w:bCs/>
          <w:color w:val="002060"/>
          <w:sz w:val="16"/>
          <w:szCs w:val="16"/>
        </w:rPr>
      </w:pPr>
      <w:r w:rsidRPr="00DE096C">
        <w:rPr>
          <w:bCs/>
          <w:color w:val="002060"/>
          <w:sz w:val="16"/>
          <w:szCs w:val="16"/>
        </w:rPr>
        <w:t>Мимо стоянки самолета следовало судно «Андромеда», которое и заправило его топливом и маслом. 9 августа Нагурский поднял самолет в воздух, чтобы обследовать положение льдов у Горбовых островов и сесть у Заячьего острова, где была промысловая избушка.</w:t>
      </w:r>
    </w:p>
    <w:p w14:paraId="2D254EAB" w14:textId="77777777" w:rsidR="00B67D7C" w:rsidRPr="00DE096C" w:rsidRDefault="00B67D7C" w:rsidP="00D45A46">
      <w:pPr>
        <w:jc w:val="both"/>
        <w:rPr>
          <w:bCs/>
          <w:color w:val="002060"/>
          <w:sz w:val="16"/>
          <w:szCs w:val="16"/>
        </w:rPr>
      </w:pPr>
      <w:r w:rsidRPr="00DE096C">
        <w:rPr>
          <w:bCs/>
          <w:color w:val="002060"/>
          <w:sz w:val="16"/>
          <w:szCs w:val="16"/>
        </w:rPr>
        <w:t>Полет проходил на высоте 1000 метров, погода была ясная. Выяснилось, что Архангельская губа, проливы между островами Берха, Лучухиным и Заячьим забиты льдом. Эта первая в мире ледовая разведка была сделана в интересах капитана судна «Андромеда», который должен был заложить склад продовольствия на Заячьем острове для пропавших без вести экспедиции Г. Я. Седова, Г. Л. Брусилова и В. А. Русанова.</w:t>
      </w:r>
    </w:p>
    <w:p w14:paraId="0B47D429" w14:textId="77777777" w:rsidR="00B67D7C" w:rsidRPr="00DE096C" w:rsidRDefault="00B67D7C" w:rsidP="00D45A46">
      <w:pPr>
        <w:jc w:val="both"/>
        <w:rPr>
          <w:bCs/>
          <w:color w:val="002060"/>
          <w:sz w:val="16"/>
          <w:szCs w:val="16"/>
        </w:rPr>
      </w:pPr>
      <w:r w:rsidRPr="00DE096C">
        <w:rPr>
          <w:bCs/>
          <w:color w:val="002060"/>
          <w:sz w:val="16"/>
          <w:szCs w:val="16"/>
        </w:rPr>
        <w:t>В 6 часов 15 минут Нагурский благополучно сел у Архангельской губы, где стал поджидать "Андромеду". После этого полета моторист Евгений Кузнецов заболел. Его служба проходила раньше на Черном море, и он так и не привык к холодам этих мест.</w:t>
      </w:r>
    </w:p>
    <w:p w14:paraId="5DA2F1CC" w14:textId="77777777" w:rsidR="00B67D7C" w:rsidRPr="00DE096C" w:rsidRDefault="00B67D7C" w:rsidP="00D45A46">
      <w:pPr>
        <w:jc w:val="both"/>
        <w:rPr>
          <w:bCs/>
          <w:i/>
          <w:color w:val="002060"/>
          <w:sz w:val="16"/>
          <w:szCs w:val="16"/>
        </w:rPr>
      </w:pPr>
    </w:p>
    <w:p w14:paraId="1D2AA5EA" w14:textId="33D4D592" w:rsidR="004718BC" w:rsidRPr="00DE096C" w:rsidRDefault="004718BC" w:rsidP="004718BC">
      <w:pPr>
        <w:jc w:val="both"/>
        <w:rPr>
          <w:bCs/>
          <w:i/>
          <w:color w:val="002060"/>
          <w:sz w:val="16"/>
          <w:szCs w:val="16"/>
        </w:rPr>
      </w:pPr>
      <w:r>
        <w:rPr>
          <w:bCs/>
          <w:i/>
          <w:color w:val="002060"/>
          <w:sz w:val="16"/>
          <w:szCs w:val="16"/>
        </w:rPr>
        <w:t>Военное врздухоплавание</w:t>
      </w:r>
      <w:r w:rsidRPr="00DE096C">
        <w:rPr>
          <w:bCs/>
          <w:i/>
          <w:color w:val="002060"/>
          <w:sz w:val="16"/>
          <w:szCs w:val="16"/>
        </w:rPr>
        <w:t>:</w:t>
      </w:r>
    </w:p>
    <w:p w14:paraId="082BD4F5" w14:textId="77777777" w:rsidR="004718BC" w:rsidRPr="00DE096C" w:rsidRDefault="004718BC" w:rsidP="004718BC">
      <w:pPr>
        <w:jc w:val="both"/>
        <w:rPr>
          <w:bCs/>
          <w:color w:val="002060"/>
          <w:sz w:val="16"/>
          <w:szCs w:val="16"/>
        </w:rPr>
      </w:pPr>
    </w:p>
    <w:p w14:paraId="46A7F713" w14:textId="77777777" w:rsidR="004718BC" w:rsidRPr="00B52707" w:rsidRDefault="004718BC" w:rsidP="004718BC">
      <w:pPr>
        <w:jc w:val="both"/>
        <w:rPr>
          <w:color w:val="0070C0"/>
          <w:sz w:val="16"/>
          <w:szCs w:val="16"/>
        </w:rPr>
      </w:pPr>
      <w:r w:rsidRPr="00B52707">
        <w:rPr>
          <w:color w:val="0070C0"/>
          <w:sz w:val="16"/>
          <w:szCs w:val="16"/>
        </w:rPr>
        <w:t>3 (16) августа 1914 года вышел приказ командования Черноморского флота №269, которым предусматривалось создание при авиации Черноморского флота отряда дирижаблей. Осуществление этих замыслов продвигалось крайне медленно. Очевидно, причиной этого послужили отсутствие прямой подводной угрозы в первый год войны и относительное превосходство Черноморского флота на данном театре военных действий.</w:t>
      </w:r>
    </w:p>
    <w:p w14:paraId="34BE6BA5" w14:textId="77777777" w:rsidR="004718BC" w:rsidRPr="00B52707" w:rsidRDefault="004718BC" w:rsidP="004718BC">
      <w:pPr>
        <w:jc w:val="both"/>
        <w:rPr>
          <w:color w:val="0070C0"/>
          <w:sz w:val="16"/>
          <w:szCs w:val="16"/>
        </w:rPr>
      </w:pPr>
      <w:r w:rsidRPr="00B52707">
        <w:rPr>
          <w:color w:val="0070C0"/>
          <w:sz w:val="16"/>
          <w:szCs w:val="16"/>
        </w:rPr>
        <w:t>Свою роль сыграла также неспособность отечественных предприятий в короткий срок спроектировать и изготовить в необходимых количествах воздухоплавательные аппараты с требуемыми характеристиками по причине загруженности другими военными заказами. Не было возможности использовать для этой цели и те дирижабли, которые находились в распоряжении армии. Большинство этих аппаратов, как купленных за границей, так и отечественных, были построены еще до войны и представляли собой единичные экземпляры самых разнообразных конструкций. Технические возможности дирижаблей уже не позволяли использовать их в длительных полетах над морем из-за устаревшего оборудования и слабых моторов. Малые объемы оболочек этих аппаратов ограничивали грузоподъемность и, как следствие, продолжительность полета. Несколько управляемых аэростатов, признанных годными к боевой службе, усиленно использовались в интересах армии на сухопутных фронтах (25376).</w:t>
      </w:r>
    </w:p>
    <w:p w14:paraId="08346752" w14:textId="77777777" w:rsidR="004718BC" w:rsidRPr="00B52707" w:rsidRDefault="004718BC" w:rsidP="004718BC">
      <w:pPr>
        <w:jc w:val="both"/>
        <w:rPr>
          <w:color w:val="0070C0"/>
          <w:sz w:val="16"/>
          <w:szCs w:val="16"/>
        </w:rPr>
      </w:pPr>
    </w:p>
    <w:p w14:paraId="4F231532" w14:textId="77777777" w:rsidR="0040366D" w:rsidRPr="00DE096C" w:rsidRDefault="0040366D" w:rsidP="00D45A46">
      <w:pPr>
        <w:jc w:val="both"/>
        <w:rPr>
          <w:bCs/>
          <w:i/>
          <w:color w:val="002060"/>
          <w:sz w:val="16"/>
          <w:szCs w:val="16"/>
        </w:rPr>
      </w:pPr>
      <w:r w:rsidRPr="00DE096C">
        <w:rPr>
          <w:bCs/>
          <w:i/>
          <w:color w:val="002060"/>
          <w:sz w:val="16"/>
          <w:szCs w:val="16"/>
        </w:rPr>
        <w:t>За рубежом:</w:t>
      </w:r>
    </w:p>
    <w:p w14:paraId="0FF10332" w14:textId="77777777" w:rsidR="0040366D" w:rsidRPr="00DE096C" w:rsidRDefault="0040366D" w:rsidP="00D45A46">
      <w:pPr>
        <w:jc w:val="both"/>
        <w:rPr>
          <w:bCs/>
          <w:color w:val="002060"/>
          <w:sz w:val="16"/>
          <w:szCs w:val="16"/>
        </w:rPr>
      </w:pPr>
    </w:p>
    <w:p w14:paraId="2C145B73" w14:textId="77777777" w:rsidR="0040366D" w:rsidRPr="00DE096C" w:rsidRDefault="0040366D" w:rsidP="00D45A46">
      <w:pPr>
        <w:jc w:val="both"/>
        <w:rPr>
          <w:bCs/>
          <w:color w:val="002060"/>
          <w:sz w:val="16"/>
          <w:szCs w:val="16"/>
        </w:rPr>
      </w:pPr>
      <w:r w:rsidRPr="00DE096C">
        <w:rPr>
          <w:bCs/>
          <w:color w:val="002060"/>
          <w:sz w:val="16"/>
          <w:szCs w:val="16"/>
        </w:rPr>
        <w:t>3 (16) августа в 1914 году создание в Галиции польских легионов как отдельного формирования в составе австрийской армии. К 1916 году легионы насчитывали 7 пехотных и 2 уланских полка, принимавших участие в боях с русской армией (14985).</w:t>
      </w:r>
    </w:p>
    <w:p w14:paraId="24050CCB" w14:textId="77777777" w:rsidR="0040366D" w:rsidRPr="00DE096C" w:rsidRDefault="0040366D" w:rsidP="00D45A46">
      <w:pPr>
        <w:jc w:val="both"/>
        <w:rPr>
          <w:bCs/>
          <w:color w:val="002060"/>
          <w:sz w:val="16"/>
          <w:szCs w:val="16"/>
        </w:rPr>
      </w:pPr>
    </w:p>
    <w:p w14:paraId="0B8A0858" w14:textId="65E81BEF" w:rsidR="00335BFD" w:rsidRPr="00B52707" w:rsidRDefault="00335BFD" w:rsidP="00335BFD">
      <w:pPr>
        <w:jc w:val="both"/>
        <w:rPr>
          <w:color w:val="0070C0"/>
          <w:sz w:val="16"/>
          <w:szCs w:val="16"/>
        </w:rPr>
      </w:pPr>
      <w:r w:rsidRPr="00B52707">
        <w:rPr>
          <w:color w:val="0070C0"/>
          <w:sz w:val="16"/>
          <w:szCs w:val="16"/>
        </w:rPr>
        <w:t>3 (16) августа 1914 г. немецкий лёгкий крейсер типа «Магдебург» «Бреслау» встал на якорь напротив Константинополя и в тот же день поднял… турецкий флаг. Официально было объявлено, что корабль продан Османской империи. В реальности же его просто передали, да ещё с сохранением значительной части немецкого экипажа. «Бреслау» был переименован в «Мидилли» (25153).</w:t>
      </w:r>
    </w:p>
    <w:p w14:paraId="496EBE42" w14:textId="77777777" w:rsidR="00335BFD" w:rsidRPr="00B52707" w:rsidRDefault="00335BFD" w:rsidP="00335BFD">
      <w:pPr>
        <w:jc w:val="both"/>
        <w:rPr>
          <w:color w:val="0070C0"/>
          <w:sz w:val="16"/>
          <w:szCs w:val="16"/>
        </w:rPr>
      </w:pPr>
    </w:p>
    <w:p w14:paraId="33E2ABF6" w14:textId="52E1E041" w:rsidR="00335BFD" w:rsidRPr="00DE096C" w:rsidRDefault="00335BFD" w:rsidP="00335BFD">
      <w:pPr>
        <w:jc w:val="both"/>
        <w:rPr>
          <w:bCs/>
          <w:i/>
          <w:color w:val="002060"/>
          <w:sz w:val="16"/>
          <w:szCs w:val="16"/>
        </w:rPr>
      </w:pPr>
      <w:r>
        <w:rPr>
          <w:bCs/>
          <w:i/>
          <w:color w:val="002060"/>
          <w:sz w:val="16"/>
          <w:szCs w:val="16"/>
        </w:rPr>
        <w:lastRenderedPageBreak/>
        <w:t>Лругие оборонные отрасли</w:t>
      </w:r>
      <w:r w:rsidRPr="00DE096C">
        <w:rPr>
          <w:bCs/>
          <w:i/>
          <w:color w:val="002060"/>
          <w:sz w:val="16"/>
          <w:szCs w:val="16"/>
        </w:rPr>
        <w:t>:</w:t>
      </w:r>
    </w:p>
    <w:p w14:paraId="19EBCEDE" w14:textId="77777777" w:rsidR="00335BFD" w:rsidRPr="00DE096C" w:rsidRDefault="00335BFD" w:rsidP="00335BFD">
      <w:pPr>
        <w:jc w:val="both"/>
        <w:rPr>
          <w:bCs/>
          <w:i/>
          <w:color w:val="002060"/>
          <w:sz w:val="16"/>
          <w:szCs w:val="16"/>
        </w:rPr>
      </w:pPr>
    </w:p>
    <w:p w14:paraId="25E26E50" w14:textId="77777777" w:rsidR="00335BFD" w:rsidRPr="00B52707" w:rsidRDefault="00335BFD" w:rsidP="00335BFD">
      <w:pPr>
        <w:jc w:val="both"/>
        <w:rPr>
          <w:color w:val="0070C0"/>
          <w:sz w:val="16"/>
          <w:szCs w:val="16"/>
        </w:rPr>
      </w:pPr>
      <w:r w:rsidRPr="00B52707">
        <w:rPr>
          <w:color w:val="0070C0"/>
          <w:sz w:val="16"/>
          <w:szCs w:val="16"/>
        </w:rPr>
        <w:t>4 (17) августа 1914 года военный ми</w:t>
      </w:r>
      <w:r w:rsidRPr="00B52707">
        <w:rPr>
          <w:color w:val="0070C0"/>
          <w:sz w:val="16"/>
          <w:szCs w:val="16"/>
        </w:rPr>
        <w:softHyphen/>
        <w:t>нистр В. Сухомлинов распорядился сфор</w:t>
      </w:r>
      <w:r w:rsidRPr="00B52707">
        <w:rPr>
          <w:color w:val="0070C0"/>
          <w:sz w:val="16"/>
          <w:szCs w:val="16"/>
        </w:rPr>
        <w:softHyphen/>
        <w:t>мировать «бронированную пулеметную батарею». Возможно, этому способствова</w:t>
      </w:r>
      <w:r w:rsidRPr="00B52707">
        <w:rPr>
          <w:color w:val="0070C0"/>
          <w:sz w:val="16"/>
          <w:szCs w:val="16"/>
        </w:rPr>
        <w:softHyphen/>
        <w:t>ло успешное использование отдельных бро</w:t>
      </w:r>
      <w:r w:rsidRPr="00B52707">
        <w:rPr>
          <w:color w:val="0070C0"/>
          <w:sz w:val="16"/>
          <w:szCs w:val="16"/>
        </w:rPr>
        <w:softHyphen/>
        <w:t>невых автомобилей союзниками во Фран</w:t>
      </w:r>
      <w:r w:rsidRPr="00B52707">
        <w:rPr>
          <w:color w:val="0070C0"/>
          <w:sz w:val="16"/>
          <w:szCs w:val="16"/>
        </w:rPr>
        <w:softHyphen/>
        <w:t>ции и Бельгии. Эти машины кустарного производства были далеки от совершенства, и ни в какие подразделения не сводились, а действовали отдельно.</w:t>
      </w:r>
    </w:p>
    <w:p w14:paraId="7AAEA70F" w14:textId="77777777" w:rsidR="00335BFD" w:rsidRPr="00B52707" w:rsidRDefault="00335BFD" w:rsidP="00335BFD">
      <w:pPr>
        <w:jc w:val="both"/>
        <w:rPr>
          <w:color w:val="0070C0"/>
          <w:sz w:val="16"/>
          <w:szCs w:val="16"/>
        </w:rPr>
      </w:pPr>
      <w:r w:rsidRPr="00B52707">
        <w:rPr>
          <w:color w:val="0070C0"/>
          <w:sz w:val="16"/>
          <w:szCs w:val="16"/>
        </w:rPr>
        <w:t>В течение шести недель в России полков</w:t>
      </w:r>
      <w:r w:rsidRPr="00B52707">
        <w:rPr>
          <w:color w:val="0070C0"/>
          <w:sz w:val="16"/>
          <w:szCs w:val="16"/>
        </w:rPr>
        <w:softHyphen/>
        <w:t>ником А.Н. Добржанским была сформиро</w:t>
      </w:r>
      <w:r w:rsidRPr="00B52707">
        <w:rPr>
          <w:color w:val="0070C0"/>
          <w:sz w:val="16"/>
          <w:szCs w:val="16"/>
        </w:rPr>
        <w:softHyphen/>
        <w:t>вана 1-я автомобильно-пулеметная рота, по</w:t>
      </w:r>
      <w:r w:rsidRPr="00B52707">
        <w:rPr>
          <w:color w:val="0070C0"/>
          <w:sz w:val="16"/>
          <w:szCs w:val="16"/>
        </w:rPr>
        <w:softHyphen/>
        <w:t>лучившая на вооружение восемь пулемет</w:t>
      </w:r>
      <w:r w:rsidRPr="00B52707">
        <w:rPr>
          <w:color w:val="0070C0"/>
          <w:sz w:val="16"/>
          <w:szCs w:val="16"/>
        </w:rPr>
        <w:softHyphen/>
        <w:t>ных бронемашин «Руссо-Балт» тип С и один пушечный «Маннесман-Мулаг». Брониров</w:t>
      </w:r>
      <w:r w:rsidRPr="00B52707">
        <w:rPr>
          <w:color w:val="0070C0"/>
          <w:sz w:val="16"/>
          <w:szCs w:val="16"/>
        </w:rPr>
        <w:softHyphen/>
        <w:t>ку автомобилей выполнил Ижорский завод, вооружение каждого «Руссо-Балта» состоя</w:t>
      </w:r>
      <w:r w:rsidRPr="00B52707">
        <w:rPr>
          <w:color w:val="0070C0"/>
          <w:sz w:val="16"/>
          <w:szCs w:val="16"/>
        </w:rPr>
        <w:softHyphen/>
        <w:t>ло из трех пулеметов Максим, а «Маннесма- на» - 47-мм морской пушки Гочкиса и двух пулеметов Максим (25008).</w:t>
      </w:r>
    </w:p>
    <w:p w14:paraId="194BECE7" w14:textId="77777777" w:rsidR="00335BFD" w:rsidRPr="00B52707" w:rsidRDefault="00335BFD" w:rsidP="00335BFD">
      <w:pPr>
        <w:jc w:val="both"/>
        <w:rPr>
          <w:color w:val="0070C0"/>
          <w:sz w:val="16"/>
          <w:szCs w:val="16"/>
        </w:rPr>
      </w:pPr>
    </w:p>
    <w:p w14:paraId="70C87C31" w14:textId="69F2C260" w:rsidR="00B67D7C" w:rsidRPr="00DE096C" w:rsidRDefault="00B67D7C" w:rsidP="00D45A46">
      <w:pPr>
        <w:jc w:val="both"/>
        <w:rPr>
          <w:bCs/>
          <w:i/>
          <w:color w:val="002060"/>
          <w:sz w:val="16"/>
          <w:szCs w:val="16"/>
        </w:rPr>
      </w:pPr>
      <w:r w:rsidRPr="00DE096C">
        <w:rPr>
          <w:bCs/>
          <w:i/>
          <w:color w:val="002060"/>
          <w:sz w:val="16"/>
          <w:szCs w:val="16"/>
        </w:rPr>
        <w:t>А</w:t>
      </w:r>
      <w:r w:rsidR="0024481F" w:rsidRPr="00DE096C">
        <w:rPr>
          <w:bCs/>
          <w:i/>
          <w:color w:val="002060"/>
          <w:sz w:val="16"/>
          <w:szCs w:val="16"/>
        </w:rPr>
        <w:t>виация</w:t>
      </w:r>
      <w:r w:rsidRPr="00DE096C">
        <w:rPr>
          <w:bCs/>
          <w:i/>
          <w:color w:val="002060"/>
          <w:sz w:val="16"/>
          <w:szCs w:val="16"/>
        </w:rPr>
        <w:t>:</w:t>
      </w:r>
    </w:p>
    <w:p w14:paraId="565169B2" w14:textId="77777777" w:rsidR="00B67D7C" w:rsidRPr="00DE096C" w:rsidRDefault="00B67D7C" w:rsidP="00D45A46">
      <w:pPr>
        <w:jc w:val="both"/>
        <w:rPr>
          <w:bCs/>
          <w:i/>
          <w:color w:val="002060"/>
          <w:sz w:val="16"/>
          <w:szCs w:val="16"/>
        </w:rPr>
      </w:pPr>
    </w:p>
    <w:p w14:paraId="0C50C249" w14:textId="77777777" w:rsidR="00B67D7C" w:rsidRPr="00DE096C" w:rsidRDefault="00B67D7C" w:rsidP="00D45A46">
      <w:pPr>
        <w:jc w:val="both"/>
        <w:rPr>
          <w:bCs/>
          <w:color w:val="002060"/>
          <w:sz w:val="16"/>
          <w:szCs w:val="16"/>
        </w:rPr>
      </w:pPr>
      <w:r w:rsidRPr="00DE096C">
        <w:rPr>
          <w:bCs/>
          <w:color w:val="002060"/>
          <w:sz w:val="16"/>
          <w:szCs w:val="16"/>
        </w:rPr>
        <w:t>4 (17) августа 1914 11-й русский авиаотряд выполнил 4 разведывательных полета, обследовав перед фронтом 3-й армии полосу шириной около 50 км и глубиной от места вылета 70 км, проникнув за государственную границу на 20-25 км.</w:t>
      </w:r>
    </w:p>
    <w:p w14:paraId="113A1E39" w14:textId="77777777" w:rsidR="00B67D7C" w:rsidRPr="00DE096C" w:rsidRDefault="00B67D7C" w:rsidP="00D45A46">
      <w:pPr>
        <w:jc w:val="both"/>
        <w:rPr>
          <w:bCs/>
          <w:color w:val="002060"/>
          <w:sz w:val="16"/>
          <w:szCs w:val="16"/>
        </w:rPr>
      </w:pPr>
      <w:r w:rsidRPr="00DE096C">
        <w:rPr>
          <w:bCs/>
          <w:color w:val="002060"/>
          <w:sz w:val="16"/>
          <w:szCs w:val="16"/>
        </w:rPr>
        <w:t>Телеграмма в штаб 3-й русской армии: "в 6 час. 30 мин. утра вылетел на Ныопоре № 5 из Дубно. В 6 час. 50 мин. пролетел Рудня, в 7 час. замечена на дороге Михайловка - Крупец часть силою около двух батальонов, направление движения части не выяснено. Мелкие части и заставы обнаружены к югу от дер. Михайловка и к юго-западу от дер. Крупец к Радзивилову; по линии Немировка - Батьков - Старики войск не обнаружено; артиллерии, обозов, коновязей нет. На улицах селений и по дорогам движение. Броды достигли 7 час. 30 мин. На площади и во дворах замечено много людей. Обозов, артиллерии, коновязей нет. По шоссе Броды - Суходолы замечены две небольшие части и три крытых парусиной повозки, двигались направлению Суходолы. Пролетели Радзивилов 7 час. 50 мин. Заметили к юго-востоку от города часть силою один или два батальона в строю по-ротно. У Батьково крупных частей конницы нет. Прилетели Рудно 8 час. 10 мин. В аппарате имеются пробоины от ружейных пуль. Военный летчик штабс-капитан Гавин. Наблюдатель капитан Лазарев" (11999).</w:t>
      </w:r>
    </w:p>
    <w:p w14:paraId="7DA630EB" w14:textId="77777777" w:rsidR="00B67D7C" w:rsidRPr="00DE096C" w:rsidRDefault="00B67D7C" w:rsidP="00D45A46">
      <w:pPr>
        <w:jc w:val="both"/>
        <w:rPr>
          <w:bCs/>
          <w:color w:val="002060"/>
          <w:sz w:val="16"/>
          <w:szCs w:val="16"/>
        </w:rPr>
      </w:pPr>
    </w:p>
    <w:p w14:paraId="33F80CFD" w14:textId="06585A9D" w:rsidR="0024481F" w:rsidRPr="00DE096C" w:rsidRDefault="0024481F" w:rsidP="00D45A46">
      <w:pPr>
        <w:pStyle w:val="a3"/>
        <w:jc w:val="both"/>
        <w:rPr>
          <w:bCs/>
          <w:iCs/>
          <w:color w:val="002060"/>
          <w:spacing w:val="0"/>
          <w:kern w:val="0"/>
          <w:position w:val="0"/>
          <w:sz w:val="16"/>
          <w:szCs w:val="16"/>
        </w:rPr>
      </w:pPr>
      <w:r w:rsidRPr="00DE096C">
        <w:rPr>
          <w:bCs/>
          <w:iCs/>
          <w:color w:val="002060"/>
          <w:spacing w:val="0"/>
          <w:kern w:val="0"/>
          <w:position w:val="0"/>
          <w:sz w:val="16"/>
          <w:szCs w:val="16"/>
        </w:rPr>
        <w:t>Армия:</w:t>
      </w:r>
    </w:p>
    <w:p w14:paraId="652D3CD2" w14:textId="77777777" w:rsidR="0024481F" w:rsidRPr="00DE096C" w:rsidRDefault="0024481F" w:rsidP="00D45A46">
      <w:pPr>
        <w:pStyle w:val="a3"/>
        <w:jc w:val="both"/>
        <w:rPr>
          <w:bCs/>
          <w:iCs/>
          <w:color w:val="002060"/>
          <w:spacing w:val="0"/>
          <w:kern w:val="0"/>
          <w:position w:val="0"/>
          <w:sz w:val="16"/>
          <w:szCs w:val="16"/>
        </w:rPr>
      </w:pPr>
    </w:p>
    <w:p w14:paraId="6B48326D" w14:textId="4E170BD1"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4 (17) августа 1914 г. </w:t>
      </w:r>
      <w:r w:rsidR="0024481F" w:rsidRPr="00DE096C">
        <w:rPr>
          <w:bCs/>
          <w:i w:val="0"/>
          <w:color w:val="002060"/>
          <w:spacing w:val="0"/>
          <w:kern w:val="0"/>
          <w:position w:val="0"/>
          <w:sz w:val="16"/>
          <w:szCs w:val="16"/>
        </w:rPr>
        <w:t xml:space="preserve">была телеграмма генерал-квартирмейстера Штаба главковерха ген. Ю. Н. Данилова </w:t>
      </w:r>
      <w:r w:rsidRPr="00DE096C">
        <w:rPr>
          <w:bCs/>
          <w:i w:val="0"/>
          <w:color w:val="002060"/>
          <w:spacing w:val="0"/>
          <w:kern w:val="0"/>
          <w:position w:val="0"/>
          <w:sz w:val="16"/>
          <w:szCs w:val="16"/>
        </w:rPr>
        <w:t xml:space="preserve">начальнику Главного артиллерийского полигона за № 3004: </w:t>
      </w:r>
    </w:p>
    <w:p w14:paraId="4BC37469"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"Благоволите выслать Ставку верховного главнокомандующего орудие с прислугой для стрельбы по воздухоплавательным аппаратам, если таковые имеются на артиллерийском полигоне или вообще вашем распоряжении".</w:t>
      </w:r>
    </w:p>
    <w:p w14:paraId="2455C0E1"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Эта телеграмма свидетельствует о полном незнакомстве Штаба главковерха ни с порядком артиллерийского снабжения, ни вообще с артиллерийскими вопросами: обращение в учреждению, ведающему научно-испытательнюй работой, по вопросу артиллерийского снабжения через голову ГАУ, которому полигон подчинен. Смешно звучит самое требование одного орудия для зенитной стрельбы (одно орудие для такой стрельбы бессильно). </w:t>
      </w:r>
    </w:p>
    <w:p w14:paraId="08D53E53"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Посмотрим, какие органы ведали снабжением действующей арии, согласно Положению о полевом управлении 1914 г. </w:t>
      </w:r>
    </w:p>
    <w:p w14:paraId="77C4ADAC"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1. В полевом управлении главнокомандующего армиями фронта </w:t>
      </w:r>
    </w:p>
    <w:p w14:paraId="4F47902D"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Главнокомандующий армиями фронта обязан был давать "общие руководящие указания по обеспечению подчиненных ему армий всем необходимым", осуществляя свои намерения через главного начальника снабжений армий фронта. </w:t>
      </w:r>
    </w:p>
    <w:p w14:paraId="0772EF62"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 оперативном отделении управления генерал-квартирмейстера Штаба армий фронта содержались сведения о боевом составе армий и о "степени их обеспеченности всем необходимым". </w:t>
      </w:r>
    </w:p>
    <w:p w14:paraId="5F563EB1"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Руководство снабжением армий фронта всем необходимым возлагалось на главного начальника снабжений (главначснаб) фронта. </w:t>
      </w:r>
    </w:p>
    <w:p w14:paraId="0AB00012"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Непосредственно ему подчинялся начальник артиллерийского снабжения фронта (начартснаб). </w:t>
      </w:r>
    </w:p>
    <w:p w14:paraId="1CFF5801"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На начальника артиллерийского снабжения армий фронта, возлагалось: руководство обеспечением армий, крепостей и тыла огнеприпасами и прочими предметами артиллерийского довольствия. </w:t>
      </w:r>
    </w:p>
    <w:p w14:paraId="0ADFF150"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Он являлся распорядителем всех артиллерийских средств тылового района. Он должен был давать указания по правильному использованию артиллерии в техническом отношении и по содержанию ее материальной части и ручного оружия в исправности. На него возложено было своевременное истребование и распределение, в соответствии с потребностями, огнестрельных припасов и прочих предметов артснабжения между армиями, а также забота о своевременной доставке этих предметов по назначению. </w:t>
      </w:r>
    </w:p>
    <w:p w14:paraId="4C394076"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Он обязан был иметь в постоянной готовности сведения: о наличии и потребности в боевых припасах и прочих предметах артснабжения каждой армии и крепостей фронта; о наличии предметов артснабжения на складах и в парках тылового района; о состоянии материальной части артиллерии и парков как в, армиях, так и в тыловом районе. Начартснаб Фронта обязан был давать указания начальникам артиллерии военных округов о порядке артснабжения и устанавливать очередь подачи к армиям огнестрельных припасов и прочих предметов артиллерийского довольствия. </w:t>
      </w:r>
    </w:p>
    <w:p w14:paraId="4B6AC3C3"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Начартснаб фронта должен был своевременно сноситься: </w:t>
      </w:r>
    </w:p>
    <w:p w14:paraId="59E4E1F6"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а) с начальником военных сообщений фронта о всех предстоящих перевозках предметов артснабжения; </w:t>
      </w:r>
    </w:p>
    <w:p w14:paraId="3CBD7734"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б) согласно общим указаниям главного начальника снабжений фронта, с ГАУ "о пополнении огнеприпасов и прочих предметов артиллерийского ведомства, указывая куда, к какому сроку и что именно должно быть доставлено". </w:t>
      </w:r>
    </w:p>
    <w:p w14:paraId="4B92E1C1"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Наконец, в случае необходимости возведения временных укреплений и заблаговременной заготовки позиций в тыловом районе начартснаб фронта обязан был делать, согласно получаемым им указаниям, соответственные распоряжения начальникам окружных артиллерийских управлений, находящихся в районе фронта, о производстве вооружительных работ и связанных с ними хозяйственных операций. </w:t>
      </w:r>
    </w:p>
    <w:p w14:paraId="5CEB771D"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Для осуществления обязанностей, возлагавшихся на начартснаба фронта, имелось при нем управление в составе 4 штаб-офицеров для делопроизводства и поручений, 2 артиллерийских чиновников, бухгалтера и 5 писарей. </w:t>
      </w:r>
    </w:p>
    <w:p w14:paraId="504570BF"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На положении о начальнике артиллерийского снабжения пришлось остановиться более подробно, так как начальники артиллерийского снабжения фронтов руководили главнейшими органами боевого снабжения на театре военных действий, и по закону только им единственным вменялось в обязанность "своевременно сноситься" с ГАУ о пополнении действующих армий предметами боевого снабжения. Этим правом они широко пользовались и буквально засыпали ГАУ своими требованиями, часто неосновательными, но нередко сопровождаемыми угрозами, что в случае невыполнения того или иного требования, особенно огнеприпасов, фронт вынужден будет потерпеть неудачу или вовсе прекратить военные действия. ГАУ не в силах было ни удовлетворять, ни даже разобраться в этих никем не регулируемых требованиях, и в результате страдало дело боевого снабжения. </w:t>
      </w:r>
    </w:p>
    <w:p w14:paraId="130327BB"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2. В полевом управлении армии </w:t>
      </w:r>
    </w:p>
    <w:p w14:paraId="7B17EA53"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Командующий армией должен был наблюдать, чтобы "вверенная ему армия была обеспечена всеми видами довольствия своевременно и в достаточном количестве". </w:t>
      </w:r>
    </w:p>
    <w:p w14:paraId="5F857799"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Сведения "о степени обеспеченности армии всем необходимым в соответствии с военными операциями" сосредоточивались в этапно-хозяйственном отделе штаба армии (ЭХО). Этот отдел должен был удовлетворять требования корпусных управлений из средств, назначенных в распоряжение армии, или сноситься по этому вопросу только "с соответственными управлениями, подчиненными главному начальнику снабжений армий фронта", но не с центральными управлениями военного министерства. </w:t>
      </w:r>
    </w:p>
    <w:p w14:paraId="1E4A15C1"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На ЭХО возлагалось заведывание всеми тыловыми учреждениями и заведениями, переданными в армию, но не распределенными по корпусам; руководство их службой; организация подвоза и вывоза от конечно-выгрузочных станций и другие обязанности, не имеющие непосредственного отношения к артснаб. Важнейшей обязанностью ЭХО являлось "надлежащее устройство этапных линий и организация подвоза и вывоза по ним". </w:t>
      </w:r>
    </w:p>
    <w:p w14:paraId="1B31598B"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Начальник ЭХО должен был привлекаться к участию в разработке штабом армии военных операций и составлять соображения по обеспечению армии всем необходимым на период военной операции. По утверждении этих соображений командармом начальник ЭХО обязан был передать их корпусным управлениям для дальнейшей разработки и приведения в исполнение; вместе с тем он обязан был заблаговременно снестись с главначснабом фронта о своевременной подаче недостающих запасов. </w:t>
      </w:r>
    </w:p>
    <w:p w14:paraId="4F44E776"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Начальник ЭХО распоряжался составлением общей сводки требований по каждому виду довольствия, согласно заявлениям, поступающим от корпусов, и устанавливал, в соответствии с общими указаниями начальника штаба армии очередь пополнения по заявленным потребностям. Начальник ЭХО обязан был разрабатывать указания по использованию захваченных у неприятеля запасов и т.д. </w:t>
      </w:r>
    </w:p>
    <w:p w14:paraId="21707C07"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Начальник ЭХО осуществлял свои обязанности через непосредственно ему подчиненных заведующих частями, в том числе заведующим артиллерийской частью (зач), при котором для делопроизводства и поручений состояли 2 офицера и один артиллерийский чиновник. </w:t>
      </w:r>
    </w:p>
    <w:p w14:paraId="7352CA11"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На заведующих частями возлагались следующие общие обязанности: </w:t>
      </w:r>
    </w:p>
    <w:p w14:paraId="4A1EF0DA"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а) заведывание войсковыми и тыловыми учреждениями, состоящими на этапных линиях и не распределенными между корпусами; </w:t>
      </w:r>
    </w:p>
    <w:p w14:paraId="200AACA5"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б) содержание сведений о степени обеспеченности армии видами довольствия и о количестве и распределении запасов на этапных линиях армии; </w:t>
      </w:r>
    </w:p>
    <w:p w14:paraId="548DFA6D"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 исчисление кредитов, а также потребности армии в предметах довольствия в соответствии с предстоящими операциями и многие другие обязанности, не имеющие прямого отношения к артснабжению. </w:t>
      </w:r>
    </w:p>
    <w:p w14:paraId="65CD022F"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lastRenderedPageBreak/>
        <w:t xml:space="preserve">В частности, заведующий артиллерийской частью, с доклада начальнику ЭХО, имел право "по делам своей специальности" входить с представлениями к начартснаб фронта, а также "давать по техническим вопросам и по специальной службе указания соответственным корпусным управлениям армии". </w:t>
      </w:r>
    </w:p>
    <w:p w14:paraId="04D9B612"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 общем порядке службы заведующий артиллерийской частью пользовался правами инспектора артиллерии корпуса. </w:t>
      </w:r>
    </w:p>
    <w:p w14:paraId="2F2A80B8"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По закону армейские органы артснаб не имели права сноситься с центральными тыловыми органами. Но в действительности, по крайней мере в 1914-1915 гг., заведующие артиллерийской частью нередко обращались по вопросам артснаб непосредственно в ГАУ, окончательно загружая его работой. </w:t>
      </w:r>
    </w:p>
    <w:p w14:paraId="0C98E4D2"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3. В полевом управлении корпуса </w:t>
      </w:r>
    </w:p>
    <w:p w14:paraId="608EF4D3"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Командир корпуса обязан был заботиться, чтобы войска его корпуса были обеспечены всеми видами довольствия. Начальник штаба корпуса должен был иметь сведения об обеспечении корпуса всем необходимым и об устройстве тыла корпуса, между прочим и по артиллерийской части; ему вменялось в обязанность своевременно сообщать начальникам корпусных управлений, в том числе инспектору артиллерии корпуса (инаркору), сведения о предстоящих операциях для соответствующих соображений и распоряжений. </w:t>
      </w:r>
    </w:p>
    <w:p w14:paraId="675326C1"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Важнейшей обязанностью инаркора являлась забота "о своевременном и соответственном с потребностью пополнении войскового запаса огнеприпасов, ручного оружия и прочих предметов артиллерийского довольствия в войсках корпуса, а также о непосредственной организации пополнения огнестрельных войсковых запасов во время боя". </w:t>
      </w:r>
    </w:p>
    <w:p w14:paraId="7C02ADB9"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Инаркору подчинялись, на правах начальника дивизии, все артиллерийские части, приданные корпусу и не включенные в состав дивизий, а также парковые артиллерийские бригады технические артиллерийские заведения и склады, переданные в ведение корпуса. Командир корпуса мог своим распоряжением выделять артиллерийские парки в полное ведение начальников дивизий. </w:t>
      </w:r>
    </w:p>
    <w:p w14:paraId="0DCF9CD4"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Во время боя инаркор, независимо от руководства работой артиллерийских парков корпуса, обязан был "исполнять поручения командира корпуса по своей специальности", а после боя он должен был распорядиться сбором оружия и огнестрельных припасов, оставшихся на поле сражения. </w:t>
      </w:r>
    </w:p>
    <w:p w14:paraId="70C025FD"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Инаркор должен был иметь в постоянной готовности сведения о степени обеспеченности частей корпуса огнестрельными припасами, как находящимися при войсках, так и состоящими в парках, требуя эти сведения от начальников дивизий. </w:t>
      </w:r>
    </w:p>
    <w:p w14:paraId="167E44DD"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При инаркоре имелось управление в составе 2 старших адъютантов, 2 артиллерийских чиновников и 4 писарей. </w:t>
      </w:r>
    </w:p>
    <w:p w14:paraId="05247FC5"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 качестве начальника одного из корпусных управлений инаркоры, ведая вопросами по обеспечению корпуса предметами артснаба, должны были разрабатывать, руководствуясь общими указаниями командира корпуса и начальника ЭХО штаба армии, соображения по устройству в корпусе артиллерийской части и представлять их на утверждение командиру корпуса. Утвержденные соображения служили основанием деятельности инаркоров. </w:t>
      </w:r>
    </w:p>
    <w:p w14:paraId="644665DB"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Инаркор, состоя в непосредственном подчинении командира корпуса, обязывался, - принимать к руководству общие указания начальника ЭХО штаба армии, докладывая о них командиру корпуса. На его же обязанности лежало составление требований на те предметы артиллерийского снабжения, которые необходимо было доставить корпусу из средств общего тыла. </w:t>
      </w:r>
    </w:p>
    <w:p w14:paraId="7BBE72B9"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Требования эти направлялись к начальнику ЭХО. </w:t>
      </w:r>
    </w:p>
    <w:p w14:paraId="54442030"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 общем, согласно Положению о полевом управлении, на инаркора возлагались ответственные обязанности по артиллерийскому снабжению корпуса. </w:t>
      </w:r>
    </w:p>
    <w:p w14:paraId="5493AA60"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На время войны оставалось в силе и основное положение (приказ в. в. 1911 г. № 133), по которому инаркор обязан был руководить технической подготовкой. Поэтому, естественно, инаркор не мог оставаться безучастным к боевой работе артиллерии, которая являлась результатом технической подготовки. </w:t>
      </w:r>
    </w:p>
    <w:p w14:paraId="3FFC1604"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Инаркоры очутились во время войны между двух стульев - не то они действительно инспекторы и руководители артиллерии в бою, не то "артиллерийские каптенармусы" корпуса, как они сами себя с иронией называли. А так как первая роль им приходилась больше по вкусу и к ней они были более подготовлены, то артиллерийское снабжение корпуса отходило на второй план, оставаясь без хозяина, и в результате сильно страдало многими недочетами. </w:t>
      </w:r>
    </w:p>
    <w:p w14:paraId="44E57BEF"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4. В полевом управлении дивизии </w:t>
      </w:r>
    </w:p>
    <w:p w14:paraId="32D0498E"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На начальника дивизии возлагалось наблюдение "за соответственным операциям обеспечением всех войск дивизии всеми видами довольствия и за деятельностью в этом отношении всех подведомственных ему чинов и органов". Но никаких подведомственных ему "чинов и органов" по части артснабжения Положением о полевом управлении не предусматривалось. На начальника дивизии возлагалась забота, главным образом, об интендантском снабжении дивизии через подчиненного ему дивизионного интенданта. В отношении же артснабжения его роль сводилась к утверждению уставовленных свидетельств "на утраченные и поврежденные по разным случаям боевые патроны" и на предметы казенного имущества, "утраченные или поврежденные во время военных действий". </w:t>
      </w:r>
    </w:p>
    <w:p w14:paraId="7BA29C3B"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Начальник штаба дивизии обязан был иметь сведения "об устройстве тыла дивизии по артиллерийской части", но в штабе дивизии не было никого, кто бы мог ведать этим вопросом. </w:t>
      </w:r>
    </w:p>
    <w:p w14:paraId="285086DC"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Что же касается командиров артиллерийских бригад, то их обязанности в отношении артснабжения дивизии Положением вовсе не предусматривались. </w:t>
      </w:r>
    </w:p>
    <w:p w14:paraId="3452707A"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5. В военном округе на театре военных действий </w:t>
      </w:r>
    </w:p>
    <w:p w14:paraId="59B1C7E5"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Главные начальники военных округов, входящих в район театра военных действий, подчинялись непосредственно главному начальнику снабжений соответствующего фронта. В то же время, исполняя сверх обязанностей, предусмотренных Положением о полевом управлении, обязанности, указанные кн. II С. В. П., 1869 г., изд. 3, главные начальники военных округов оставались в некотором подчинении и военному министру. </w:t>
      </w:r>
    </w:p>
    <w:p w14:paraId="144E7249"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Такая двойственность подчинения вредно сказывалась на их работе по снабжению. </w:t>
      </w:r>
    </w:p>
    <w:p w14:paraId="2083290C"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Главный начальник округа в своей деятельности во время войны должен был руководствоваться указаниями главначснаба армий фронта и "первоначальным планом снабжения, разработанным в мирное время". </w:t>
      </w:r>
    </w:p>
    <w:p w14:paraId="62CA729F"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Такого плана, по крайней мере в отношении артиллерийского снабжения, разработано в мирное время не было, а потому работа по боевому снабжению военных округов на театре военных действий никакой планомерностью не отличалась и в значительной мере носила характер импровизации. </w:t>
      </w:r>
    </w:p>
    <w:p w14:paraId="0B9C1F9F"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Согласно нормальному штату военно-окружного управления на театре военных действий в состав округа входило окружное артиллерийское управление (окарту). </w:t>
      </w:r>
    </w:p>
    <w:p w14:paraId="7F75D2C7"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На начальника этого управления, сверх обязанностей и прав, указанных в кн. II С. В. П., 1869 г., изд. 3, возлагалось исполнение требований, предъявляемых ему начартснабами фронта, по обеспечению армий всем необходимым, а также по устройству артиллерийского тыла в пределах тылового района. </w:t>
      </w:r>
    </w:p>
    <w:p w14:paraId="66240916"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Начальник окарту, руководствуясь составленными еще в мирное время подготовительными к войне соображениями, общими указаниями главного начальника округа, а равно нарядами и распоряжениями начартснаба фронта, должен был разрабатывать подробный план по устройству артиллерийского тыла в своем районе. По утверждении главным начальником округа этот план должен был служить основанием для деятельности начальника окарту. </w:t>
      </w:r>
    </w:p>
    <w:p w14:paraId="0F7D874F"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Начальник окарту должен был ведать артиллерийскими заведениями и учреждениями, находящимися в тыловом районе; в то же время некоторые из них (арсеналы, мастерские, склады) оставались в ведении ГАУ, вследствие чего происходили, как увидим ниже, многие трения в деле снабжения. </w:t>
      </w:r>
    </w:p>
    <w:p w14:paraId="5DBC8DE8"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Начальнику окарту предоставлены были довольно широкие полномочия в хозяйственном отношении, но требовать из внутренних округов и от ГАУ недостающие для армий предметы артснабжения он мог лишь через начартснаба фронта. </w:t>
      </w:r>
    </w:p>
    <w:p w14:paraId="259CDD91"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Таким образом, начальник окарту должен был, с одной стороны, удовлетворять требования, предъявляемые ему начальником артснабжений фронта, с другой стороны, обратно, через последнего обращаться с требованиями к ГАУ. </w:t>
      </w:r>
    </w:p>
    <w:p w14:paraId="0DECC6D1"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Организация управления артснабжения на фронте, установленная Положением о полевом управлении 1914 г., отличалась отсутствием планомерности и страдала крупными дефектами, идущими в разрез с логикой правильного функционирования любого аппарата. </w:t>
      </w:r>
    </w:p>
    <w:p w14:paraId="4F93E9CF"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Артиллерийское снабжение армий замыкалось в организации главного начальника снабжений фронта или отдельной армии (на правах фронта). </w:t>
      </w:r>
    </w:p>
    <w:p w14:paraId="787D98A4"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Таких организаций, независимых, не связанных между собою и не объединяемых свыше в отношении артснабжения, было в начале войны пять (два фронта и три отдельные армии). </w:t>
      </w:r>
    </w:p>
    <w:p w14:paraId="0555C1BE"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При Штабе главковерха но было никакого вполне компетентного органа, планирующего артснабжение на фронта),. Таким органом не могло являться ГАУ, находившееся в глубоком тылу и не имевшее живой органической связи с действующей армией, к тому же совершенно лишенное сведений как о состоянии артснабжения на фронтах, так и оперативных, на основании которых возможно было бы критически относиться к градом сыпавшимся на ГАУ требованиям и заявкам. </w:t>
      </w:r>
    </w:p>
    <w:p w14:paraId="45F65ABC"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ГАУ было лишено возможности выделять те требования, которые действительно необходимо было удовлетворять в порядке оперативном, а не в порядке личных знакомств и протекционизма, как это имело место. Эти требования с первых же дней войны были проникнуты элементами преувеличений и паники, что в тылу не могло не отражаться на планомерности работы ГАУ и на ценах предметов вооружения, поставляемых частной промышленностью. </w:t>
      </w:r>
    </w:p>
    <w:p w14:paraId="1703A76E"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На ГАУ требования сыпались с разных сторон - не только от действующей армии, как от фронтов, так и от армий и даже от отдельных начальников, но и от законодательных учреждений, от отдельных членов Государственной думы и даже от общественных деятелей, "радеющих за армию". </w:t>
      </w:r>
    </w:p>
    <w:p w14:paraId="023AE53B"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Требования предъявлялись к ГАУ самые разнообразные как мелочного характера, так и первостепенной важности, - от какой-нибудь запасной части и телефонного провода до сформирования новых батарей и пр., как, например, требование ген.-адъютанга Иванова, главнокомандующего армиями Юго-западного фронта, предъявленное ГАУ о формировании в Бресте осадного парка. </w:t>
      </w:r>
    </w:p>
    <w:p w14:paraId="2878B9BD"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Самодовлеющая, не объединяемая свыше работа начартснабов фронта была бы терпима, и то лишь на первый период войны, в том случае, если бы заблаговременно в мирное время был разработан общий план боевого снабжения в соответствии с оперативным планом войны, если бы сообразно с этим планом артиллерийские запасы были тогда же распределены и по возможности сосредоточены в районах будущих фронтов, а часть запасов оставлена была в виде резерва в распоряжении военного министра, т. е. ГАУ. </w:t>
      </w:r>
    </w:p>
    <w:p w14:paraId="3A7A4F12"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lastRenderedPageBreak/>
        <w:t>Но этого сделано не было, вследствие чего со всех сторон обрушились требования на ГАУ, которое в сравнительно короткий срок роздало все свои запасы. При этом ГАУ не считалось с оперативной в них необходимостью, уступая требованиям и просьбам более настойчивых или влиятельных и даже просто более ему известных начальников. В результате ГАУ само осталось без резерва запасов артиллерийского имущества уже к началу 1915 г. (11483).</w:t>
      </w:r>
    </w:p>
    <w:p w14:paraId="013833FE" w14:textId="77777777" w:rsidR="00B67D7C" w:rsidRPr="00DE096C" w:rsidRDefault="00B67D7C" w:rsidP="00D45A46">
      <w:pPr>
        <w:pStyle w:val="a3"/>
        <w:jc w:val="both"/>
        <w:rPr>
          <w:bCs/>
          <w:i w:val="0"/>
          <w:color w:val="002060"/>
          <w:spacing w:val="0"/>
          <w:kern w:val="0"/>
          <w:position w:val="0"/>
          <w:sz w:val="16"/>
          <w:szCs w:val="16"/>
        </w:rPr>
      </w:pPr>
    </w:p>
    <w:p w14:paraId="7CDD25A9" w14:textId="678F9DE1" w:rsidR="00D94D44" w:rsidRPr="00DE096C" w:rsidRDefault="00D94D44" w:rsidP="00D94D44">
      <w:pPr>
        <w:jc w:val="both"/>
        <w:rPr>
          <w:bCs/>
          <w:i/>
          <w:color w:val="002060"/>
          <w:sz w:val="16"/>
          <w:szCs w:val="16"/>
        </w:rPr>
      </w:pPr>
      <w:r w:rsidRPr="00DE096C">
        <w:rPr>
          <w:bCs/>
          <w:i/>
          <w:color w:val="002060"/>
          <w:sz w:val="16"/>
          <w:szCs w:val="16"/>
        </w:rPr>
        <w:t xml:space="preserve">Авиация и воздухоплавание </w:t>
      </w:r>
      <w:r>
        <w:rPr>
          <w:bCs/>
          <w:i/>
          <w:color w:val="002060"/>
          <w:sz w:val="16"/>
          <w:szCs w:val="16"/>
        </w:rPr>
        <w:t>Германии</w:t>
      </w:r>
      <w:r w:rsidRPr="00DE096C">
        <w:rPr>
          <w:bCs/>
          <w:i/>
          <w:color w:val="002060"/>
          <w:sz w:val="16"/>
          <w:szCs w:val="16"/>
        </w:rPr>
        <w:t>:</w:t>
      </w:r>
    </w:p>
    <w:p w14:paraId="4AFAD036" w14:textId="77777777" w:rsidR="00D94D44" w:rsidRPr="00DE096C" w:rsidRDefault="00D94D44" w:rsidP="00D94D44">
      <w:pPr>
        <w:jc w:val="both"/>
        <w:rPr>
          <w:bCs/>
          <w:color w:val="002060"/>
          <w:sz w:val="16"/>
          <w:szCs w:val="16"/>
        </w:rPr>
      </w:pPr>
    </w:p>
    <w:p w14:paraId="7B194ABD" w14:textId="77777777" w:rsidR="00335BFD" w:rsidRPr="00B52707" w:rsidRDefault="00335BFD" w:rsidP="00335BFD">
      <w:pPr>
        <w:jc w:val="both"/>
        <w:rPr>
          <w:color w:val="0070C0"/>
          <w:sz w:val="16"/>
          <w:szCs w:val="16"/>
        </w:rPr>
      </w:pPr>
      <w:r w:rsidRPr="00B52707">
        <w:rPr>
          <w:color w:val="0070C0"/>
          <w:sz w:val="16"/>
          <w:szCs w:val="16"/>
        </w:rPr>
        <w:t>К 4 (17) августа 1914 - началу Восточно-Прусской операции (17.08–15.09.1914 г.) численность военной авиации Германии (этому времени военное командование Германии сосредоточило основную свою воздушную группировку в составе 8-й немецкой армии (Восточная Пруссия) достигла 57 аэропланов против одного дирижабля и 30 аэропланов, задействованных в наступательной операции 1-й и 2-й русских армий СЗФ. В этот период отмечались случаи проведения противником воздушной разведки в нашем глубоком тылу. Некоторые вражеские ЛА достигали рубежа городов, удаленных от линии фронта свыше 200 км, включая Ригу (25135).</w:t>
      </w:r>
    </w:p>
    <w:p w14:paraId="14552654" w14:textId="77777777" w:rsidR="00335BFD" w:rsidRPr="00B52707" w:rsidRDefault="00335BFD" w:rsidP="00335BFD">
      <w:pPr>
        <w:jc w:val="both"/>
        <w:rPr>
          <w:color w:val="0070C0"/>
          <w:sz w:val="16"/>
          <w:szCs w:val="16"/>
        </w:rPr>
      </w:pPr>
    </w:p>
    <w:p w14:paraId="666D4FBC" w14:textId="3F8D4B7B" w:rsidR="006B72FA" w:rsidRPr="00DE096C" w:rsidRDefault="006B72FA" w:rsidP="00D45A46">
      <w:pPr>
        <w:jc w:val="both"/>
        <w:rPr>
          <w:bCs/>
          <w:i/>
          <w:color w:val="002060"/>
          <w:sz w:val="16"/>
          <w:szCs w:val="16"/>
        </w:rPr>
      </w:pPr>
      <w:r w:rsidRPr="00DE096C">
        <w:rPr>
          <w:bCs/>
          <w:i/>
          <w:color w:val="002060"/>
          <w:sz w:val="16"/>
          <w:szCs w:val="16"/>
        </w:rPr>
        <w:t>Авиация и воздухоплавание за рубежом:</w:t>
      </w:r>
    </w:p>
    <w:p w14:paraId="0A98C3A1" w14:textId="77777777" w:rsidR="006B72FA" w:rsidRPr="00DE096C" w:rsidRDefault="006B72FA" w:rsidP="00D45A46">
      <w:pPr>
        <w:jc w:val="both"/>
        <w:rPr>
          <w:bCs/>
          <w:color w:val="002060"/>
          <w:sz w:val="16"/>
          <w:szCs w:val="16"/>
        </w:rPr>
      </w:pPr>
    </w:p>
    <w:p w14:paraId="1F5CA6C3" w14:textId="77777777" w:rsidR="006B72FA" w:rsidRPr="00DE096C" w:rsidRDefault="006B72FA" w:rsidP="00D45A46">
      <w:pPr>
        <w:jc w:val="both"/>
        <w:rPr>
          <w:bCs/>
          <w:color w:val="002060"/>
          <w:sz w:val="16"/>
          <w:szCs w:val="16"/>
        </w:rPr>
      </w:pPr>
      <w:r w:rsidRPr="00DE096C">
        <w:rPr>
          <w:bCs/>
          <w:color w:val="002060"/>
          <w:sz w:val="16"/>
          <w:szCs w:val="16"/>
        </w:rPr>
        <w:t>4 (17) августа 1914 первый авианосец Императорского флота Японии, Вакамия, повторно вводится в эксплуатацию в качестве авианосца (20337).</w:t>
      </w:r>
    </w:p>
    <w:p w14:paraId="4076494D" w14:textId="77777777" w:rsidR="006B72FA" w:rsidRPr="00DE096C" w:rsidRDefault="006B72FA" w:rsidP="00D45A46">
      <w:pPr>
        <w:jc w:val="both"/>
        <w:rPr>
          <w:bCs/>
          <w:color w:val="002060"/>
          <w:sz w:val="16"/>
          <w:szCs w:val="16"/>
        </w:rPr>
      </w:pPr>
    </w:p>
    <w:p w14:paraId="642F5191" w14:textId="77777777" w:rsidR="00214B12" w:rsidRPr="00DE096C" w:rsidRDefault="00214B12" w:rsidP="00D45A46">
      <w:pPr>
        <w:jc w:val="both"/>
        <w:rPr>
          <w:bCs/>
          <w:i/>
          <w:color w:val="002060"/>
          <w:sz w:val="16"/>
          <w:szCs w:val="16"/>
        </w:rPr>
      </w:pPr>
      <w:r w:rsidRPr="00DE096C">
        <w:rPr>
          <w:bCs/>
          <w:i/>
          <w:color w:val="002060"/>
          <w:sz w:val="16"/>
          <w:szCs w:val="16"/>
        </w:rPr>
        <w:t>За рубежом:</w:t>
      </w:r>
    </w:p>
    <w:p w14:paraId="06590DA8" w14:textId="77777777" w:rsidR="00214B12" w:rsidRPr="00DE096C" w:rsidRDefault="00214B12" w:rsidP="00D45A46">
      <w:pPr>
        <w:jc w:val="both"/>
        <w:rPr>
          <w:bCs/>
          <w:color w:val="002060"/>
          <w:sz w:val="16"/>
          <w:szCs w:val="16"/>
        </w:rPr>
      </w:pPr>
    </w:p>
    <w:p w14:paraId="216DAD24" w14:textId="77777777" w:rsidR="00214B12" w:rsidRPr="00DE096C" w:rsidRDefault="00214B12" w:rsidP="00D45A46">
      <w:pPr>
        <w:jc w:val="both"/>
        <w:rPr>
          <w:bCs/>
          <w:color w:val="002060"/>
          <w:sz w:val="16"/>
          <w:szCs w:val="16"/>
        </w:rPr>
      </w:pPr>
      <w:r w:rsidRPr="00DE096C">
        <w:rPr>
          <w:bCs/>
          <w:color w:val="002060"/>
          <w:sz w:val="16"/>
          <w:szCs w:val="16"/>
        </w:rPr>
        <w:t>4 (17) августа в 1914 году британский экспедиционный корпус высаживается во Франции (14986).</w:t>
      </w:r>
    </w:p>
    <w:p w14:paraId="07980005" w14:textId="77777777" w:rsidR="00214B12" w:rsidRPr="00DE096C" w:rsidRDefault="00214B12" w:rsidP="00D45A46">
      <w:pPr>
        <w:jc w:val="both"/>
        <w:rPr>
          <w:bCs/>
          <w:color w:val="002060"/>
          <w:sz w:val="16"/>
          <w:szCs w:val="16"/>
        </w:rPr>
      </w:pPr>
    </w:p>
    <w:p w14:paraId="5DF01C3A" w14:textId="52E7566B" w:rsidR="00335BFD" w:rsidRPr="00DE096C" w:rsidRDefault="00335BFD" w:rsidP="00335BFD">
      <w:pPr>
        <w:jc w:val="both"/>
        <w:rPr>
          <w:bCs/>
          <w:i/>
          <w:color w:val="002060"/>
          <w:sz w:val="16"/>
          <w:szCs w:val="16"/>
        </w:rPr>
      </w:pPr>
      <w:r>
        <w:rPr>
          <w:bCs/>
          <w:i/>
          <w:color w:val="002060"/>
          <w:sz w:val="16"/>
          <w:szCs w:val="16"/>
        </w:rPr>
        <w:t>Другие оборонные отрасли</w:t>
      </w:r>
      <w:r w:rsidRPr="00DE096C">
        <w:rPr>
          <w:bCs/>
          <w:i/>
          <w:color w:val="002060"/>
          <w:sz w:val="16"/>
          <w:szCs w:val="16"/>
        </w:rPr>
        <w:t>:</w:t>
      </w:r>
    </w:p>
    <w:p w14:paraId="5F77CAEA" w14:textId="77777777" w:rsidR="00335BFD" w:rsidRPr="00DE096C" w:rsidRDefault="00335BFD" w:rsidP="00335BFD">
      <w:pPr>
        <w:jc w:val="both"/>
        <w:rPr>
          <w:bCs/>
          <w:color w:val="002060"/>
          <w:sz w:val="16"/>
          <w:szCs w:val="16"/>
        </w:rPr>
      </w:pPr>
    </w:p>
    <w:p w14:paraId="65FEB1E9" w14:textId="77777777" w:rsidR="00335BFD" w:rsidRPr="00B52707" w:rsidRDefault="00335BFD" w:rsidP="00335BFD">
      <w:pPr>
        <w:jc w:val="both"/>
        <w:rPr>
          <w:color w:val="0070C0"/>
          <w:sz w:val="16"/>
          <w:szCs w:val="16"/>
        </w:rPr>
      </w:pPr>
      <w:r w:rsidRPr="00B52707">
        <w:rPr>
          <w:color w:val="0070C0"/>
          <w:sz w:val="16"/>
          <w:szCs w:val="16"/>
        </w:rPr>
        <w:t>5 (18) и 30 августа (12 сентября) 1914 года положениями Военного Совета от ГВТУ разрешено было приобрести 1.906 автомобилей, 74 трактора и 3.000 мото</w:t>
      </w:r>
      <w:r w:rsidRPr="00B52707">
        <w:rPr>
          <w:color w:val="0070C0"/>
          <w:sz w:val="16"/>
          <w:szCs w:val="16"/>
        </w:rPr>
        <w:softHyphen/>
        <w:t>циклетов.</w:t>
      </w:r>
    </w:p>
    <w:p w14:paraId="76FC1920" w14:textId="77777777" w:rsidR="00335BFD" w:rsidRPr="00B52707" w:rsidRDefault="00335BFD" w:rsidP="00335BFD">
      <w:pPr>
        <w:jc w:val="both"/>
        <w:rPr>
          <w:color w:val="0070C0"/>
          <w:sz w:val="16"/>
          <w:szCs w:val="16"/>
        </w:rPr>
      </w:pPr>
      <w:r w:rsidRPr="00B52707">
        <w:rPr>
          <w:color w:val="0070C0"/>
          <w:sz w:val="16"/>
          <w:szCs w:val="16"/>
        </w:rPr>
        <w:t>Кроме того, вследствие представлений этого управле</w:t>
      </w:r>
      <w:r w:rsidRPr="00B52707">
        <w:rPr>
          <w:color w:val="0070C0"/>
          <w:sz w:val="16"/>
          <w:szCs w:val="16"/>
        </w:rPr>
        <w:softHyphen/>
        <w:t>ния от 15 и 29 октября 1914 года, Военный Совет поло</w:t>
      </w:r>
      <w:r w:rsidRPr="00B52707">
        <w:rPr>
          <w:color w:val="0070C0"/>
          <w:sz w:val="16"/>
          <w:szCs w:val="16"/>
        </w:rPr>
        <w:softHyphen/>
        <w:t>жениями от 18 и 30 того же октября разрешил заготовить еще 25 автомобилей и 100 мотоциклетов. Таким образом, на основании всех четырех упомянутых положений Военного Совета, ГВТУ должно было заготовить 1.931 автомобиль, 74 трактора и 3.000 мотоциклетов. Кроме самодвижущихся повозок, заготовленных комиссией) Секретева, а также за</w:t>
      </w:r>
      <w:r w:rsidRPr="00B52707">
        <w:rPr>
          <w:color w:val="0070C0"/>
          <w:sz w:val="16"/>
          <w:szCs w:val="16"/>
        </w:rPr>
        <w:softHyphen/>
        <w:t>казанных Британской Инженерной Компании, в счет ука</w:t>
      </w:r>
      <w:r w:rsidRPr="00B52707">
        <w:rPr>
          <w:color w:val="0070C0"/>
          <w:sz w:val="16"/>
          <w:szCs w:val="16"/>
        </w:rPr>
        <w:softHyphen/>
        <w:t>занного числа куплены были ГВТУ 106 грузовых автомо</w:t>
      </w:r>
      <w:r w:rsidRPr="00B52707">
        <w:rPr>
          <w:color w:val="0070C0"/>
          <w:sz w:val="16"/>
          <w:szCs w:val="16"/>
        </w:rPr>
        <w:softHyphen/>
        <w:t>билей из числа обращавшихся у населения Финляндии, на которую положение о военно-автомобильной повинности не было распространено. Затем приобретены были наличной покупкой две небольшие партии грузовиков, прибывшие в Архангельск на имя частных лиц. В счет того же коли</w:t>
      </w:r>
      <w:r w:rsidRPr="00B52707">
        <w:rPr>
          <w:color w:val="0070C0"/>
          <w:sz w:val="16"/>
          <w:szCs w:val="16"/>
        </w:rPr>
        <w:softHyphen/>
        <w:t>чества автомобилей, которое разрешено было заготовить указанными выше положениями Военного Совета, ГВТУ приобретено было 284 автомобиля фирмы «Уайт» чрез по</w:t>
      </w:r>
      <w:r w:rsidRPr="00B52707">
        <w:rPr>
          <w:color w:val="0070C0"/>
          <w:sz w:val="16"/>
          <w:szCs w:val="16"/>
        </w:rPr>
        <w:softHyphen/>
        <w:t>средство банкирского дома «Маврикий Нелькён» (24923).</w:t>
      </w:r>
    </w:p>
    <w:p w14:paraId="405CC687" w14:textId="77777777" w:rsidR="00335BFD" w:rsidRPr="00B52707" w:rsidRDefault="00335BFD" w:rsidP="00335BFD">
      <w:pPr>
        <w:jc w:val="both"/>
        <w:rPr>
          <w:color w:val="0070C0"/>
          <w:sz w:val="16"/>
          <w:szCs w:val="16"/>
        </w:rPr>
      </w:pPr>
    </w:p>
    <w:p w14:paraId="6D456D4C" w14:textId="3BEAD0F4" w:rsidR="00B67D7C" w:rsidRPr="00DE096C" w:rsidRDefault="00B67D7C" w:rsidP="00D45A46">
      <w:pPr>
        <w:jc w:val="both"/>
        <w:rPr>
          <w:bCs/>
          <w:i/>
          <w:color w:val="002060"/>
          <w:sz w:val="16"/>
          <w:szCs w:val="16"/>
        </w:rPr>
      </w:pPr>
      <w:r w:rsidRPr="00DE096C">
        <w:rPr>
          <w:bCs/>
          <w:i/>
          <w:color w:val="002060"/>
          <w:sz w:val="16"/>
          <w:szCs w:val="16"/>
        </w:rPr>
        <w:t>Авиация:</w:t>
      </w:r>
    </w:p>
    <w:p w14:paraId="1B7EE044" w14:textId="77777777" w:rsidR="00B67D7C" w:rsidRPr="00DE096C" w:rsidRDefault="00B67D7C" w:rsidP="00D45A46">
      <w:pPr>
        <w:jc w:val="both"/>
        <w:rPr>
          <w:bCs/>
          <w:i/>
          <w:color w:val="002060"/>
          <w:sz w:val="16"/>
          <w:szCs w:val="16"/>
        </w:rPr>
      </w:pPr>
    </w:p>
    <w:p w14:paraId="6D6E5AA8" w14:textId="46D2265A"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5 (18) августа 1914 г. Начальнику авиационного отдела Офицерской Воздухо­плавательной Школы в Гатчине полковнику С.А.Ульянину поручили формирование первых четырех команд</w:t>
      </w:r>
      <w:r w:rsidR="0024481F" w:rsidRPr="00DE096C">
        <w:rPr>
          <w:bCs/>
          <w:i w:val="0"/>
          <w:color w:val="002060"/>
          <w:spacing w:val="0"/>
          <w:kern w:val="0"/>
          <w:position w:val="0"/>
          <w:sz w:val="16"/>
          <w:szCs w:val="16"/>
        </w:rPr>
        <w:t xml:space="preserve"> для ИМ</w:t>
      </w:r>
      <w:r w:rsidRPr="00DE096C">
        <w:rPr>
          <w:bCs/>
          <w:i w:val="0"/>
          <w:color w:val="002060"/>
          <w:spacing w:val="0"/>
          <w:kern w:val="0"/>
          <w:position w:val="0"/>
          <w:sz w:val="16"/>
          <w:szCs w:val="16"/>
        </w:rPr>
        <w:t>, а с сентября еще трех. Командиром 1-го воздушного корабля был назначен штабс-капитан Е.В.Руднев, 11-го поручик А.В.Панкратьев, 111-го штабс-капитан С.М.Бродович и IV-го поручик С.К.Модрах. Еще до отправки на фронт 1-го корабля в августе на нем была испытана 37 мм пушка Гочкиса, которая была установлена на пулеметно-орудийной площадке. По замыслу орудие предназначалось для борьбы с германскими дирижаблями - "Цеппелинами". Испытания были признаны неудовлетворительными: при весе в 6 пудов и скорострельности 10 выстрелов в минуту пушка требовала 2 человек — наводчика и подно­счика снарядов, которых было 15 штук, да и их разлет составлял 200-250 м. Уже в Эскадре в январе 1915 г. пробовали на корабле V-м другую 3-х дюймовую пушку системы полковника Гельвига, которую прислали из 1лавного Артиллерийского Управления. Она была безоткатной, с нали­чием добавочного ствола прямо противоположного главному. При выстреле из главного ствола вылетал боевой снаряд, а из добавочного - пыж, но исключало откат ствола. Но от нее тоже отказались из-за большого веса, малой скорострельности и эффективности стрельбы (11277).</w:t>
      </w:r>
    </w:p>
    <w:p w14:paraId="3D98C396" w14:textId="77777777" w:rsidR="00B67D7C" w:rsidRPr="00DE096C" w:rsidRDefault="00B67D7C" w:rsidP="00D45A46">
      <w:pPr>
        <w:pStyle w:val="a3"/>
        <w:jc w:val="both"/>
        <w:rPr>
          <w:bCs/>
          <w:i w:val="0"/>
          <w:color w:val="002060"/>
          <w:spacing w:val="0"/>
          <w:kern w:val="0"/>
          <w:position w:val="0"/>
          <w:sz w:val="16"/>
          <w:szCs w:val="16"/>
        </w:rPr>
      </w:pPr>
    </w:p>
    <w:p w14:paraId="28942257" w14:textId="7D4031E4" w:rsidR="00B67D7C" w:rsidRPr="00DE096C" w:rsidRDefault="00B67D7C" w:rsidP="00D45A46">
      <w:pPr>
        <w:jc w:val="both"/>
        <w:rPr>
          <w:bCs/>
          <w:color w:val="002060"/>
          <w:sz w:val="16"/>
          <w:szCs w:val="16"/>
        </w:rPr>
      </w:pPr>
      <w:r w:rsidRPr="00DE096C">
        <w:rPr>
          <w:bCs/>
          <w:color w:val="002060"/>
          <w:sz w:val="16"/>
          <w:szCs w:val="16"/>
        </w:rPr>
        <w:t xml:space="preserve">5 </w:t>
      </w:r>
      <w:r w:rsidR="0024481F" w:rsidRPr="00DE096C">
        <w:rPr>
          <w:bCs/>
          <w:color w:val="002060"/>
          <w:sz w:val="16"/>
          <w:szCs w:val="16"/>
        </w:rPr>
        <w:t xml:space="preserve">(18) </w:t>
      </w:r>
      <w:r w:rsidRPr="00DE096C">
        <w:rPr>
          <w:bCs/>
          <w:color w:val="002060"/>
          <w:sz w:val="16"/>
          <w:szCs w:val="16"/>
        </w:rPr>
        <w:t>августа 1914 г. Начальнику авиационного отдела Офицерской Воздухоплавательной Школы в Гатчине полковнику С.А.Ульянину поручили формирование первых четырех команд, а с сентября еще трех. Командиром 1-го воздушного корабля был назначен штабс-капитан Е.В.Руднев, Н-го поручик А.В.Панкратьев, Ш-го штабс-капитан С.М.Бродович и IV-ro поручик С.К.Модрах.</w:t>
      </w:r>
    </w:p>
    <w:p w14:paraId="55F63D12" w14:textId="77777777" w:rsidR="00B67D7C" w:rsidRPr="00DE096C" w:rsidRDefault="00B67D7C" w:rsidP="00D45A46">
      <w:pPr>
        <w:jc w:val="both"/>
        <w:rPr>
          <w:bCs/>
          <w:color w:val="002060"/>
          <w:sz w:val="16"/>
          <w:szCs w:val="16"/>
        </w:rPr>
      </w:pPr>
      <w:r w:rsidRPr="00DE096C">
        <w:rPr>
          <w:bCs/>
          <w:color w:val="002060"/>
          <w:sz w:val="16"/>
          <w:szCs w:val="16"/>
        </w:rPr>
        <w:t>Еще до отправки на фронт 1-го корабля в августе на нем была испытана 37 мм пушка Гочкиса, которая была установлена на пулеметно-ору- дийной площадке. По замыслу орудие предназначалось для борьбы с германскими дирижаблями - "Цеппелинами". Испытания были признаны неудовлетворительными: при весе в 6 пудов и скорострельности 10 выстрелов в минуту пушка требовала 2 человек - наводчика и подносчика снарядов, которых было 15 штук, да и их разлет составлял 200-250 м. Уже в Эскадре в январе 1915 г. пробовали на корабле V-м другую 3-х дюймовую пушку системы полковника Гельвига, которую прислали из Главного Артиллерийского Управления. Она была безоткатной, с наличием добавочного ствола прямо противоположного главному. При выстреле из главного ствола вылетал боевой снаряд, а из добавочного - пыж, что исключало откат ствола. Но от нее тоже отказались из-за большого веса, малой скорострельности и эффективности стрельбы (12038).</w:t>
      </w:r>
    </w:p>
    <w:p w14:paraId="6291B0BB" w14:textId="77777777" w:rsidR="00B67D7C" w:rsidRPr="00DE096C" w:rsidRDefault="00B67D7C" w:rsidP="00D45A46">
      <w:pPr>
        <w:jc w:val="both"/>
        <w:rPr>
          <w:bCs/>
          <w:color w:val="002060"/>
          <w:sz w:val="16"/>
          <w:szCs w:val="16"/>
        </w:rPr>
      </w:pPr>
    </w:p>
    <w:p w14:paraId="573121EC" w14:textId="59B64CFB" w:rsidR="00B67D7C" w:rsidRPr="00DE096C" w:rsidRDefault="00B67D7C" w:rsidP="00D45A46">
      <w:pPr>
        <w:jc w:val="both"/>
        <w:rPr>
          <w:bCs/>
          <w:color w:val="002060"/>
          <w:sz w:val="16"/>
          <w:szCs w:val="16"/>
        </w:rPr>
      </w:pPr>
      <w:r w:rsidRPr="00DE096C">
        <w:rPr>
          <w:bCs/>
          <w:color w:val="002060"/>
          <w:sz w:val="16"/>
          <w:szCs w:val="16"/>
        </w:rPr>
        <w:t xml:space="preserve">5 </w:t>
      </w:r>
      <w:r w:rsidR="0024481F" w:rsidRPr="00DE096C">
        <w:rPr>
          <w:bCs/>
          <w:color w:val="002060"/>
          <w:sz w:val="16"/>
          <w:szCs w:val="16"/>
        </w:rPr>
        <w:t xml:space="preserve">(18) </w:t>
      </w:r>
      <w:r w:rsidRPr="00DE096C">
        <w:rPr>
          <w:bCs/>
          <w:color w:val="002060"/>
          <w:sz w:val="16"/>
          <w:szCs w:val="16"/>
        </w:rPr>
        <w:t xml:space="preserve">августа </w:t>
      </w:r>
      <w:r w:rsidR="0024481F" w:rsidRPr="00DE096C">
        <w:rPr>
          <w:bCs/>
          <w:color w:val="002060"/>
          <w:sz w:val="16"/>
          <w:szCs w:val="16"/>
        </w:rPr>
        <w:t>1914 г. Н</w:t>
      </w:r>
      <w:r w:rsidRPr="00DE096C">
        <w:rPr>
          <w:bCs/>
          <w:color w:val="002060"/>
          <w:sz w:val="16"/>
          <w:szCs w:val="16"/>
        </w:rPr>
        <w:t>ачальнику Военно-авиационной Школы (ВАШ) в Гатчине полковнику С.А. Ульянину поручили начать формирование первых четырёх команд (экипажей) для построенных и строящихся самолётов, а с сентября - ещё трёх. Инструктора школы штабс-капитан Е.В. Руднев, поручики А.В. Панкратьев, С.М. Бродович и С.К. Модрах были срочно командированы на Корпусной аэродром для обучения полётам на машине нового типа. Они же стали и первыми командирами "Муромцев" (I. II. Ill и IVсоответственно).</w:t>
      </w:r>
    </w:p>
    <w:p w14:paraId="12EF4104" w14:textId="77777777" w:rsidR="00B67D7C" w:rsidRPr="00DE096C" w:rsidRDefault="00B67D7C" w:rsidP="00D45A46">
      <w:pPr>
        <w:jc w:val="both"/>
        <w:rPr>
          <w:bCs/>
          <w:color w:val="002060"/>
          <w:sz w:val="16"/>
          <w:szCs w:val="16"/>
        </w:rPr>
      </w:pPr>
      <w:r w:rsidRPr="00DE096C">
        <w:rPr>
          <w:bCs/>
          <w:color w:val="002060"/>
          <w:sz w:val="16"/>
          <w:szCs w:val="16"/>
        </w:rPr>
        <w:t>Все самолёты "Илья Муромец" получили двойную нумерацию. Во-первых, каждый самолёт имел сквозной заводской номер (обозначаемый арабскими цифрами), во- вторых - собственный номер, совпадающий с номером отряда, (обозначаемый римскими цифрами). Заводские номера оставались неизменными на протяжении всей карьеры самолёта, а вот собственные номера могли меняться и переходить от одного самолёта к другому. Это создавало определённую путаницу (12041).</w:t>
      </w:r>
    </w:p>
    <w:p w14:paraId="7F9DE79A" w14:textId="77777777" w:rsidR="00B67D7C" w:rsidRPr="00DE096C" w:rsidRDefault="00B67D7C" w:rsidP="00D45A46">
      <w:pPr>
        <w:jc w:val="both"/>
        <w:rPr>
          <w:bCs/>
          <w:color w:val="002060"/>
          <w:sz w:val="16"/>
          <w:szCs w:val="16"/>
        </w:rPr>
      </w:pPr>
    </w:p>
    <w:p w14:paraId="1FD41AFD" w14:textId="0213AC50" w:rsidR="006B72FA" w:rsidRPr="00DE096C" w:rsidRDefault="006B72FA" w:rsidP="00D45A46">
      <w:pPr>
        <w:jc w:val="both"/>
        <w:rPr>
          <w:bCs/>
          <w:color w:val="002060"/>
          <w:sz w:val="16"/>
          <w:szCs w:val="16"/>
        </w:rPr>
      </w:pPr>
      <w:r w:rsidRPr="00DE096C">
        <w:rPr>
          <w:bCs/>
          <w:color w:val="002060"/>
          <w:sz w:val="16"/>
          <w:szCs w:val="16"/>
          <w:shd w:val="clear" w:color="auto" w:fill="FFFFFF"/>
        </w:rPr>
        <w:t xml:space="preserve">5 (18) августа 1914 года сформировали четыре односамолетных отряда муромцов, укомплектованных лучшими авиационными офицерами. С июля до сентября подготовили пять самолетов (№№ 135–138. 143), которые по одному перебрасывали на фронт. </w:t>
      </w:r>
      <w:r w:rsidRPr="00DE096C">
        <w:rPr>
          <w:bCs/>
          <w:color w:val="002060"/>
          <w:sz w:val="16"/>
          <w:szCs w:val="16"/>
        </w:rPr>
        <w:t>Отряды из одного муромца и 2-3 легких самолётов, подчинявшихся генерал-инспектору авиации великому князю Александру Михайловичу, которые было решено придавать штабам фронтов или армий, уже к ноябрю показали, что без централизованного руководства и постоянной технической помощи они не приспособлены для боевых действий и довольно быстро выходят из строя и оказались неэффективными.</w:t>
      </w:r>
    </w:p>
    <w:p w14:paraId="271C2B1C" w14:textId="77777777" w:rsidR="006B72FA" w:rsidRPr="00DE096C" w:rsidRDefault="006B72FA" w:rsidP="00D45A46">
      <w:pPr>
        <w:jc w:val="both"/>
        <w:rPr>
          <w:bCs/>
          <w:color w:val="002060"/>
          <w:sz w:val="16"/>
          <w:szCs w:val="16"/>
        </w:rPr>
      </w:pPr>
      <w:r w:rsidRPr="00DE096C">
        <w:rPr>
          <w:bCs/>
          <w:color w:val="002060"/>
          <w:sz w:val="16"/>
          <w:szCs w:val="16"/>
        </w:rPr>
        <w:t>Великий князь Александр Михайлович предлагал прекратить выпуск «Муромцев», а деньги, ассигнованные на их постройку, употребить на закупку аэропланов за границей. Производство «Муромцев» в первые же месяцы войны было приостановлено, и только усилиям РБВЗ военное министерство было вынуждено дать согласие на возобновление производства самолетов «Илья Муромец» (19957).</w:t>
      </w:r>
    </w:p>
    <w:p w14:paraId="7EAEAAC8" w14:textId="53A4D19B" w:rsidR="006B72FA" w:rsidRPr="00DE096C" w:rsidRDefault="006B72FA" w:rsidP="00D45A46">
      <w:pPr>
        <w:jc w:val="both"/>
        <w:rPr>
          <w:bCs/>
          <w:color w:val="002060"/>
          <w:sz w:val="16"/>
          <w:szCs w:val="16"/>
        </w:rPr>
      </w:pPr>
    </w:p>
    <w:p w14:paraId="6F073464" w14:textId="4DFD9B3E" w:rsidR="005B041C" w:rsidRPr="00DE096C" w:rsidRDefault="005B041C" w:rsidP="00D45A46">
      <w:pPr>
        <w:jc w:val="both"/>
        <w:rPr>
          <w:bCs/>
          <w:color w:val="002060"/>
          <w:sz w:val="16"/>
          <w:szCs w:val="16"/>
        </w:rPr>
      </w:pPr>
      <w:bookmarkStart w:id="117" w:name="bookmark19"/>
      <w:r w:rsidRPr="00DE096C">
        <w:rPr>
          <w:bCs/>
          <w:color w:val="002060"/>
          <w:sz w:val="16"/>
          <w:szCs w:val="16"/>
        </w:rPr>
        <w:t>5 (18) августа 1914 г. в полосе действующей армии был открыт боевой счет сбитым неприятельским ЛА наземными огневыми средствами. Германский аэроплан, летевший по направлению г. Вильковишки (Мариямпольский уезд), вблизи границы был сбит ружейными выстрелами нашей конницы. При падении аппарата экипаж (офицер- пилот и механик) получил легкие ранения.</w:t>
      </w:r>
      <w:bookmarkEnd w:id="117"/>
    </w:p>
    <w:p w14:paraId="0271C928" w14:textId="77777777" w:rsidR="005B041C" w:rsidRPr="00DE096C" w:rsidRDefault="005B041C" w:rsidP="00D45A46">
      <w:pPr>
        <w:jc w:val="both"/>
        <w:rPr>
          <w:bCs/>
          <w:color w:val="002060"/>
          <w:sz w:val="16"/>
          <w:szCs w:val="16"/>
        </w:rPr>
      </w:pPr>
      <w:bookmarkStart w:id="118" w:name="bookmark21"/>
      <w:r w:rsidRPr="00DE096C">
        <w:rPr>
          <w:bCs/>
          <w:color w:val="002060"/>
          <w:sz w:val="16"/>
          <w:szCs w:val="16"/>
        </w:rPr>
        <w:t>13 августа «в 12 верстах к западу от Симно [район оз. Амальва, Сувалкская губерния] нами сбит немецкий аэроплан; 4 летчика, офицеры, при падении убиты» (по другим данным - отдельные получили ранения). В руки русскому командованию попал один из секретных документов ВВФ Германии. На следующий день в том же районе (м. Олита /Алитус) был подбит еще один германский ЛА.</w:t>
      </w:r>
      <w:bookmarkEnd w:id="118"/>
    </w:p>
    <w:p w14:paraId="623EBB80" w14:textId="77777777" w:rsidR="005B041C" w:rsidRPr="00DE096C" w:rsidRDefault="005B041C" w:rsidP="00D45A46">
      <w:pPr>
        <w:jc w:val="both"/>
        <w:rPr>
          <w:bCs/>
          <w:color w:val="002060"/>
          <w:sz w:val="16"/>
          <w:szCs w:val="16"/>
        </w:rPr>
      </w:pPr>
      <w:bookmarkStart w:id="119" w:name="bookmark23"/>
      <w:bookmarkStart w:id="120" w:name="bookmark24"/>
      <w:r w:rsidRPr="00DE096C">
        <w:rPr>
          <w:bCs/>
          <w:color w:val="002060"/>
          <w:sz w:val="16"/>
          <w:szCs w:val="16"/>
        </w:rPr>
        <w:t>По данным Штаба ВГК, «в Сувалкской и Ковненской губерниях нашими войсками ведется борьба с воздушной разведкой противника</w:t>
      </w:r>
      <w:hyperlink w:anchor="bookmark1092" w:tooltip="Current Document">
        <w:r w:rsidRPr="00DE096C">
          <w:rPr>
            <w:rStyle w:val="af0"/>
            <w:bCs/>
            <w:color w:val="002060"/>
            <w:sz w:val="16"/>
            <w:szCs w:val="16"/>
          </w:rPr>
          <w:t>»</w:t>
        </w:r>
      </w:hyperlink>
      <w:r w:rsidRPr="00DE096C">
        <w:rPr>
          <w:bCs/>
          <w:color w:val="002060"/>
          <w:sz w:val="16"/>
          <w:szCs w:val="16"/>
        </w:rPr>
        <w:t>. Подтверждая их, над г. Ковно (Каунас) под артиллерийский огонь с фортов крепости попал очередной германский летательный аппарат, «подстреленный летчик упал с аэропланом» (23405).</w:t>
      </w:r>
      <w:bookmarkEnd w:id="119"/>
      <w:bookmarkEnd w:id="120"/>
    </w:p>
    <w:p w14:paraId="1BAC11A5" w14:textId="77777777" w:rsidR="005B041C" w:rsidRPr="00DE096C" w:rsidRDefault="005B041C" w:rsidP="00D45A46">
      <w:pPr>
        <w:jc w:val="both"/>
        <w:rPr>
          <w:bCs/>
          <w:color w:val="002060"/>
          <w:sz w:val="16"/>
          <w:szCs w:val="16"/>
          <w:lang w:bidi="ru-RU"/>
        </w:rPr>
      </w:pPr>
    </w:p>
    <w:p w14:paraId="3D78D939" w14:textId="77777777" w:rsidR="00695876" w:rsidRPr="00B52707" w:rsidRDefault="00695876" w:rsidP="00695876">
      <w:pPr>
        <w:jc w:val="both"/>
        <w:rPr>
          <w:color w:val="0070C0"/>
          <w:sz w:val="16"/>
          <w:szCs w:val="16"/>
        </w:rPr>
      </w:pPr>
      <w:r w:rsidRPr="00B52707">
        <w:rPr>
          <w:color w:val="0070C0"/>
          <w:sz w:val="16"/>
          <w:szCs w:val="16"/>
        </w:rPr>
        <w:t>5 (18) августа 1914 г. ГУ ГШ поручило на</w:t>
      </w:r>
      <w:r w:rsidRPr="00B52707">
        <w:rPr>
          <w:color w:val="0070C0"/>
          <w:sz w:val="16"/>
          <w:szCs w:val="16"/>
        </w:rPr>
        <w:softHyphen/>
        <w:t>чальнику ОВШ полковнику С.А. Ульянину формирование первых 4 команд самоле</w:t>
      </w:r>
      <w:r w:rsidRPr="00B52707">
        <w:rPr>
          <w:color w:val="0070C0"/>
          <w:sz w:val="16"/>
          <w:szCs w:val="16"/>
        </w:rPr>
        <w:softHyphen/>
        <w:t>тов «Илья Муромец». Формирование ве</w:t>
      </w:r>
      <w:r w:rsidRPr="00B52707">
        <w:rPr>
          <w:color w:val="0070C0"/>
          <w:sz w:val="16"/>
          <w:szCs w:val="16"/>
        </w:rPr>
        <w:softHyphen/>
        <w:t>лось по штату №7 «команды для аэро</w:t>
      </w:r>
      <w:r w:rsidRPr="00B52707">
        <w:rPr>
          <w:color w:val="0070C0"/>
          <w:sz w:val="16"/>
          <w:szCs w:val="16"/>
        </w:rPr>
        <w:softHyphen/>
        <w:t>плана типа «Илья Муромец», включав</w:t>
      </w:r>
      <w:r w:rsidRPr="00B52707">
        <w:rPr>
          <w:color w:val="0070C0"/>
          <w:sz w:val="16"/>
          <w:szCs w:val="16"/>
        </w:rPr>
        <w:softHyphen/>
        <w:t>ший каждый по 8 офицеров, 1 чинов</w:t>
      </w:r>
      <w:r w:rsidRPr="00B52707">
        <w:rPr>
          <w:color w:val="0070C0"/>
          <w:sz w:val="16"/>
          <w:szCs w:val="16"/>
        </w:rPr>
        <w:softHyphen/>
        <w:t>ника, 40 нижних чинов (Король, В.В. Земля и небо генерала А.М. Кованько. Санкт-Петеру- бург, 2004 г.).</w:t>
      </w:r>
    </w:p>
    <w:p w14:paraId="60323E1D" w14:textId="77777777" w:rsidR="00695876" w:rsidRPr="00B52707" w:rsidRDefault="00695876" w:rsidP="00695876">
      <w:pPr>
        <w:jc w:val="both"/>
        <w:rPr>
          <w:color w:val="0070C0"/>
          <w:sz w:val="16"/>
          <w:szCs w:val="16"/>
        </w:rPr>
      </w:pPr>
      <w:r w:rsidRPr="00B52707">
        <w:rPr>
          <w:color w:val="0070C0"/>
          <w:sz w:val="16"/>
          <w:szCs w:val="16"/>
        </w:rPr>
        <w:t>В 1914 г. впервые в мире создана эскадра воздушных многомоторных кора</w:t>
      </w:r>
      <w:r w:rsidRPr="00B52707">
        <w:rPr>
          <w:color w:val="0070C0"/>
          <w:sz w:val="16"/>
          <w:szCs w:val="16"/>
        </w:rPr>
        <w:softHyphen/>
        <w:t>блей «Илья Муромец», которая подчиня</w:t>
      </w:r>
      <w:r w:rsidRPr="00B52707">
        <w:rPr>
          <w:color w:val="0070C0"/>
          <w:sz w:val="16"/>
          <w:szCs w:val="16"/>
        </w:rPr>
        <w:softHyphen/>
        <w:t>лась начальнику Штаба верховного глав</w:t>
      </w:r>
      <w:r w:rsidRPr="00B52707">
        <w:rPr>
          <w:color w:val="0070C0"/>
          <w:sz w:val="16"/>
          <w:szCs w:val="16"/>
        </w:rPr>
        <w:softHyphen/>
        <w:t>нокомандующего, для выполнения особых задач, требовавших большей грузоподъ</w:t>
      </w:r>
      <w:r w:rsidRPr="00B52707">
        <w:rPr>
          <w:color w:val="0070C0"/>
          <w:sz w:val="16"/>
          <w:szCs w:val="16"/>
        </w:rPr>
        <w:softHyphen/>
        <w:t>емности и дальности полета (24962).</w:t>
      </w:r>
    </w:p>
    <w:p w14:paraId="0285D9A5" w14:textId="77777777" w:rsidR="00695876" w:rsidRPr="00B52707" w:rsidRDefault="00695876" w:rsidP="00695876">
      <w:pPr>
        <w:jc w:val="both"/>
        <w:rPr>
          <w:color w:val="0070C0"/>
          <w:sz w:val="16"/>
          <w:szCs w:val="16"/>
        </w:rPr>
      </w:pPr>
    </w:p>
    <w:p w14:paraId="1BA8EC94" w14:textId="77BBC547" w:rsidR="00D94D44" w:rsidRPr="00DE096C" w:rsidRDefault="00D94D44" w:rsidP="00D94D44">
      <w:pPr>
        <w:jc w:val="both"/>
        <w:rPr>
          <w:bCs/>
          <w:i/>
          <w:iCs/>
          <w:color w:val="002060"/>
          <w:sz w:val="16"/>
          <w:szCs w:val="16"/>
        </w:rPr>
      </w:pPr>
      <w:r>
        <w:rPr>
          <w:bCs/>
          <w:i/>
          <w:iCs/>
          <w:color w:val="002060"/>
          <w:sz w:val="16"/>
          <w:szCs w:val="16"/>
        </w:rPr>
        <w:lastRenderedPageBreak/>
        <w:t>Морская авиация</w:t>
      </w:r>
      <w:r w:rsidRPr="00DE096C">
        <w:rPr>
          <w:bCs/>
          <w:i/>
          <w:iCs/>
          <w:color w:val="002060"/>
          <w:sz w:val="16"/>
          <w:szCs w:val="16"/>
        </w:rPr>
        <w:t>:</w:t>
      </w:r>
    </w:p>
    <w:p w14:paraId="3A88B465" w14:textId="77777777" w:rsidR="00D94D44" w:rsidRPr="00DE096C" w:rsidRDefault="00D94D44" w:rsidP="00D94D44">
      <w:pPr>
        <w:jc w:val="both"/>
        <w:rPr>
          <w:bCs/>
          <w:i/>
          <w:iCs/>
          <w:color w:val="002060"/>
          <w:sz w:val="16"/>
          <w:szCs w:val="16"/>
        </w:rPr>
      </w:pPr>
    </w:p>
    <w:p w14:paraId="63FB5320" w14:textId="77777777" w:rsidR="00695876" w:rsidRPr="00B52707" w:rsidRDefault="00695876" w:rsidP="00695876">
      <w:pPr>
        <w:jc w:val="both"/>
        <w:rPr>
          <w:color w:val="0070C0"/>
          <w:sz w:val="16"/>
          <w:szCs w:val="16"/>
        </w:rPr>
      </w:pPr>
      <w:r w:rsidRPr="00B52707">
        <w:rPr>
          <w:color w:val="0070C0"/>
          <w:sz w:val="16"/>
          <w:szCs w:val="16"/>
        </w:rPr>
        <w:t>5 (18) августа 1914 г., приказом по флоту и Морскому ведомству №269 было введено в действие «Положение о Службе авиации в Службе связи», кото</w:t>
      </w:r>
      <w:r w:rsidRPr="00B52707">
        <w:rPr>
          <w:color w:val="0070C0"/>
          <w:sz w:val="16"/>
          <w:szCs w:val="16"/>
        </w:rPr>
        <w:softHyphen/>
        <w:t>рое, наконец, определило правовой статус авиационных подразделений флотов (24962).</w:t>
      </w:r>
    </w:p>
    <w:p w14:paraId="3BB0D7B5" w14:textId="77777777" w:rsidR="00695876" w:rsidRPr="00B52707" w:rsidRDefault="00695876" w:rsidP="00695876">
      <w:pPr>
        <w:jc w:val="both"/>
        <w:rPr>
          <w:color w:val="0070C0"/>
          <w:sz w:val="16"/>
          <w:szCs w:val="16"/>
        </w:rPr>
      </w:pPr>
    </w:p>
    <w:p w14:paraId="750A1A52" w14:textId="4C0AD287" w:rsidR="005E1289" w:rsidRPr="00DE096C" w:rsidRDefault="005E1289" w:rsidP="00D45A46">
      <w:pPr>
        <w:jc w:val="both"/>
        <w:rPr>
          <w:bCs/>
          <w:i/>
          <w:iCs/>
          <w:color w:val="002060"/>
          <w:sz w:val="16"/>
          <w:szCs w:val="16"/>
        </w:rPr>
      </w:pPr>
      <w:r w:rsidRPr="00DE096C">
        <w:rPr>
          <w:bCs/>
          <w:i/>
          <w:iCs/>
          <w:color w:val="002060"/>
          <w:sz w:val="16"/>
          <w:szCs w:val="16"/>
        </w:rPr>
        <w:t>За рубежом:</w:t>
      </w:r>
    </w:p>
    <w:p w14:paraId="734D7D1F" w14:textId="77777777" w:rsidR="005E1289" w:rsidRPr="00DE096C" w:rsidRDefault="005E1289" w:rsidP="00D45A46">
      <w:pPr>
        <w:jc w:val="both"/>
        <w:rPr>
          <w:bCs/>
          <w:i/>
          <w:iCs/>
          <w:color w:val="002060"/>
          <w:sz w:val="16"/>
          <w:szCs w:val="16"/>
        </w:rPr>
      </w:pPr>
    </w:p>
    <w:p w14:paraId="71163D37" w14:textId="498021FD" w:rsidR="005E1289" w:rsidRPr="00DE096C" w:rsidRDefault="005E1289" w:rsidP="00D45A46">
      <w:pPr>
        <w:jc w:val="both"/>
        <w:rPr>
          <w:bCs/>
          <w:color w:val="002060"/>
          <w:sz w:val="16"/>
          <w:szCs w:val="16"/>
        </w:rPr>
      </w:pPr>
      <w:r w:rsidRPr="00DE096C">
        <w:rPr>
          <w:bCs/>
          <w:color w:val="002060"/>
          <w:sz w:val="16"/>
          <w:szCs w:val="16"/>
        </w:rPr>
        <w:t>5 (18) августа в 1914 году США объявляют о своем нейтралитете в "бельгийско-немецкой войне" (первой мировой войне) (14987).</w:t>
      </w:r>
    </w:p>
    <w:p w14:paraId="7D374E01" w14:textId="77777777" w:rsidR="005E1289" w:rsidRPr="00DE096C" w:rsidRDefault="005E1289" w:rsidP="00D45A46">
      <w:pPr>
        <w:jc w:val="both"/>
        <w:rPr>
          <w:bCs/>
          <w:color w:val="002060"/>
          <w:sz w:val="16"/>
          <w:szCs w:val="16"/>
        </w:rPr>
      </w:pPr>
    </w:p>
    <w:p w14:paraId="67CB0524"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Другие оборонные отрасли:</w:t>
      </w:r>
    </w:p>
    <w:p w14:paraId="72911C34" w14:textId="77777777" w:rsidR="00B67D7C" w:rsidRPr="00DE096C" w:rsidRDefault="00B67D7C" w:rsidP="00D45A46">
      <w:pPr>
        <w:pStyle w:val="a3"/>
        <w:jc w:val="both"/>
        <w:rPr>
          <w:bCs/>
          <w:color w:val="002060"/>
          <w:spacing w:val="0"/>
          <w:kern w:val="0"/>
          <w:position w:val="0"/>
          <w:sz w:val="16"/>
          <w:szCs w:val="16"/>
        </w:rPr>
      </w:pPr>
    </w:p>
    <w:p w14:paraId="7EEB619A" w14:textId="25A4E5E7" w:rsidR="00B67D7C" w:rsidRPr="00DE096C" w:rsidRDefault="00B67D7C" w:rsidP="00D45A46">
      <w:pPr>
        <w:jc w:val="both"/>
        <w:rPr>
          <w:bCs/>
          <w:color w:val="002060"/>
          <w:sz w:val="16"/>
          <w:szCs w:val="16"/>
        </w:rPr>
      </w:pPr>
      <w:r w:rsidRPr="00DE096C">
        <w:rPr>
          <w:bCs/>
          <w:color w:val="002060"/>
          <w:sz w:val="16"/>
          <w:szCs w:val="16"/>
        </w:rPr>
        <w:t xml:space="preserve">6 (19) августа 1914 г. были командированы в Америку и Японию русские инженеры-пороховщики для размещения крупных заказов на ружейный порох. Но и эта мера могла дать свои результаты также только через несколько месяцев. Только счастливый случай помог ликвидировать кризис: в Америке нашим инженерам удалось найти и закупить партию готового пороха, который по своим качествам подходил к русской винтовке. По прибытии его в Россию выпуск патронов начал сравнительно быстро увеличиваться, благо за время задержки в снаряжении патронов накопился запас винтовочных гильз. </w:t>
      </w:r>
    </w:p>
    <w:p w14:paraId="270C4430" w14:textId="77777777" w:rsidR="00B67D7C" w:rsidRPr="00DE096C" w:rsidRDefault="00B67D7C" w:rsidP="00D45A46">
      <w:pPr>
        <w:jc w:val="both"/>
        <w:rPr>
          <w:bCs/>
          <w:color w:val="002060"/>
          <w:sz w:val="16"/>
          <w:szCs w:val="16"/>
        </w:rPr>
      </w:pPr>
      <w:r w:rsidRPr="00DE096C">
        <w:rPr>
          <w:bCs/>
          <w:color w:val="002060"/>
          <w:sz w:val="16"/>
          <w:szCs w:val="16"/>
        </w:rPr>
        <w:t xml:space="preserve">Работа патронных заводов в первую половину 1915 г. значительно усилила темп. Форсировка велась главным образом за счет увеличения числа рабочих дней и часов. Заводы работали непрерывно 22 часа в сутки и 29 дней в месяц. Форсировать сами технологические процессы, как это делалось в оружейном производстве, было нельзя ввиду особенностей патронного производства. </w:t>
      </w:r>
    </w:p>
    <w:p w14:paraId="1CA0A701" w14:textId="77777777" w:rsidR="00B67D7C" w:rsidRPr="00DE096C" w:rsidRDefault="00B67D7C" w:rsidP="00D45A46">
      <w:pPr>
        <w:jc w:val="both"/>
        <w:rPr>
          <w:bCs/>
          <w:color w:val="002060"/>
          <w:sz w:val="16"/>
          <w:szCs w:val="16"/>
        </w:rPr>
      </w:pPr>
      <w:r w:rsidRPr="00DE096C">
        <w:rPr>
          <w:bCs/>
          <w:color w:val="002060"/>
          <w:sz w:val="16"/>
          <w:szCs w:val="16"/>
        </w:rPr>
        <w:t xml:space="preserve">В то же время на всех патронных заводах с началом 1915 г. были предприняты меры к максимальному увеличению пропускной способности заводов путем постановки дополнительного оборудования, которое спешно заказывалось в России и за границей. Новое оборудование начало вступать в работу примерно с середины 1915 года. Таким образом, на протяжении 1915 г. заводы при максимальнейшем напряжении могли усилить выпуск патронов только примерно в два раза (с 49,9 млн до 107,9), причем частью за счет форсировки работы, частью за счет увеличения оборудования. </w:t>
      </w:r>
    </w:p>
    <w:p w14:paraId="5A33825D" w14:textId="77777777" w:rsidR="00B67D7C" w:rsidRPr="00DE096C" w:rsidRDefault="00B67D7C" w:rsidP="00D45A46">
      <w:pPr>
        <w:jc w:val="both"/>
        <w:rPr>
          <w:bCs/>
          <w:color w:val="002060"/>
          <w:sz w:val="16"/>
          <w:szCs w:val="16"/>
        </w:rPr>
      </w:pPr>
      <w:r w:rsidRPr="00DE096C">
        <w:rPr>
          <w:bCs/>
          <w:color w:val="002060"/>
          <w:sz w:val="16"/>
          <w:szCs w:val="16"/>
        </w:rPr>
        <w:t>За 1916 г. эффект годового нарастания выпуска получился ниже, только 1,5 (с 109,3 до 150,7), и главным образом за счет постановки дополнительного оборудования, которое, начав поступать в заводы с 1915 г., все время продолжало прибывать и в 1916 году.</w:t>
      </w:r>
    </w:p>
    <w:p w14:paraId="051D220D" w14:textId="77777777" w:rsidR="00B67D7C" w:rsidRPr="00DE096C" w:rsidRDefault="00B67D7C" w:rsidP="00D45A46">
      <w:pPr>
        <w:jc w:val="both"/>
        <w:rPr>
          <w:bCs/>
          <w:color w:val="002060"/>
          <w:sz w:val="16"/>
          <w:szCs w:val="16"/>
        </w:rPr>
      </w:pPr>
      <w:r w:rsidRPr="00DE096C">
        <w:rPr>
          <w:bCs/>
          <w:color w:val="002060"/>
          <w:sz w:val="16"/>
          <w:szCs w:val="16"/>
        </w:rPr>
        <w:t xml:space="preserve">Дальнейший рост производительности заводов был невозможен, так как они были насыщены станками и свободных площадей для дальнейшего развития станочных парков уже не было. </w:t>
      </w:r>
    </w:p>
    <w:p w14:paraId="49AFEE4A" w14:textId="77777777" w:rsidR="00B67D7C" w:rsidRPr="00DE096C" w:rsidRDefault="00B67D7C" w:rsidP="00D45A46">
      <w:pPr>
        <w:jc w:val="both"/>
        <w:rPr>
          <w:bCs/>
          <w:color w:val="002060"/>
          <w:sz w:val="16"/>
          <w:szCs w:val="16"/>
        </w:rPr>
      </w:pPr>
      <w:r w:rsidRPr="00DE096C">
        <w:rPr>
          <w:bCs/>
          <w:color w:val="002060"/>
          <w:sz w:val="16"/>
          <w:szCs w:val="16"/>
        </w:rPr>
        <w:t xml:space="preserve">Таким образом, война застала патронные заводы при средней месячной производительности около 50 млн патронов. При предельной форсировке работы и насыщении заводов до отказа оборудованием удалось на протяжении 2,5 лет поднять месячный выпуск до 150 миллионов. Эту цифру заводы давали с крайним напряжением, и ее нужно признать "вымученной" (11329). </w:t>
      </w:r>
    </w:p>
    <w:p w14:paraId="7D55751B" w14:textId="77777777" w:rsidR="00B67D7C" w:rsidRPr="00DE096C" w:rsidRDefault="00B67D7C" w:rsidP="00D45A46">
      <w:pPr>
        <w:jc w:val="both"/>
        <w:rPr>
          <w:bCs/>
          <w:color w:val="002060"/>
          <w:sz w:val="16"/>
          <w:szCs w:val="16"/>
        </w:rPr>
      </w:pPr>
    </w:p>
    <w:p w14:paraId="527A800C" w14:textId="77777777" w:rsidR="00B67D7C" w:rsidRPr="00DE096C" w:rsidRDefault="00B67D7C" w:rsidP="00D45A46">
      <w:pPr>
        <w:jc w:val="both"/>
        <w:rPr>
          <w:bCs/>
          <w:i/>
          <w:color w:val="002060"/>
          <w:sz w:val="16"/>
          <w:szCs w:val="16"/>
        </w:rPr>
      </w:pPr>
      <w:r w:rsidRPr="00DE096C">
        <w:rPr>
          <w:bCs/>
          <w:i/>
          <w:color w:val="002060"/>
          <w:sz w:val="16"/>
          <w:szCs w:val="16"/>
        </w:rPr>
        <w:t>Авиация:</w:t>
      </w:r>
    </w:p>
    <w:p w14:paraId="408F3449" w14:textId="77777777" w:rsidR="00B67D7C" w:rsidRPr="00DE096C" w:rsidRDefault="00B67D7C" w:rsidP="00D45A46">
      <w:pPr>
        <w:jc w:val="both"/>
        <w:rPr>
          <w:bCs/>
          <w:i/>
          <w:color w:val="002060"/>
          <w:sz w:val="16"/>
          <w:szCs w:val="16"/>
        </w:rPr>
      </w:pPr>
    </w:p>
    <w:p w14:paraId="50D5ABE3" w14:textId="040F9C15" w:rsidR="00B67D7C" w:rsidRPr="00DE096C" w:rsidRDefault="0024481F" w:rsidP="00D45A46">
      <w:pPr>
        <w:jc w:val="both"/>
        <w:rPr>
          <w:bCs/>
          <w:color w:val="002060"/>
          <w:sz w:val="16"/>
          <w:szCs w:val="16"/>
        </w:rPr>
      </w:pPr>
      <w:r w:rsidRPr="00DE096C">
        <w:rPr>
          <w:bCs/>
          <w:color w:val="002060"/>
          <w:sz w:val="16"/>
          <w:szCs w:val="16"/>
        </w:rPr>
        <w:t>С</w:t>
      </w:r>
      <w:r w:rsidR="00B67D7C" w:rsidRPr="00DE096C">
        <w:rPr>
          <w:bCs/>
          <w:color w:val="002060"/>
          <w:sz w:val="16"/>
          <w:szCs w:val="16"/>
        </w:rPr>
        <w:t xml:space="preserve"> 6 </w:t>
      </w:r>
      <w:r w:rsidRPr="00DE096C">
        <w:rPr>
          <w:bCs/>
          <w:color w:val="002060"/>
          <w:sz w:val="16"/>
          <w:szCs w:val="16"/>
        </w:rPr>
        <w:t xml:space="preserve">(19) </w:t>
      </w:r>
      <w:r w:rsidR="00B67D7C" w:rsidRPr="00DE096C">
        <w:rPr>
          <w:bCs/>
          <w:color w:val="002060"/>
          <w:sz w:val="16"/>
          <w:szCs w:val="16"/>
        </w:rPr>
        <w:t xml:space="preserve">августа по 13 </w:t>
      </w:r>
      <w:r w:rsidRPr="00DE096C">
        <w:rPr>
          <w:bCs/>
          <w:color w:val="002060"/>
          <w:sz w:val="16"/>
          <w:szCs w:val="16"/>
        </w:rPr>
        <w:t xml:space="preserve">(27) </w:t>
      </w:r>
      <w:r w:rsidR="00B67D7C" w:rsidRPr="00DE096C">
        <w:rPr>
          <w:bCs/>
          <w:color w:val="002060"/>
          <w:sz w:val="16"/>
          <w:szCs w:val="16"/>
        </w:rPr>
        <w:t xml:space="preserve">сентября </w:t>
      </w:r>
      <w:r w:rsidRPr="00DE096C">
        <w:rPr>
          <w:bCs/>
          <w:color w:val="002060"/>
          <w:sz w:val="16"/>
          <w:szCs w:val="16"/>
        </w:rPr>
        <w:t xml:space="preserve">за период Галицийской битвы </w:t>
      </w:r>
      <w:r w:rsidR="00B67D7C" w:rsidRPr="00DE096C">
        <w:rPr>
          <w:bCs/>
          <w:color w:val="002060"/>
          <w:sz w:val="16"/>
          <w:szCs w:val="16"/>
        </w:rPr>
        <w:t xml:space="preserve">9-й и 11-й корпусные авиаотряды (КАО) 3-й армии совершили свыше 70 боевых вылетов, а четыре отряда 8-й армии (7-й, 8-й и 12-й корпусные, 3-й полевой) - свыше 100. В этот период хуже обстояли дела у летчики 4-й и 5-й армий. Полетов было мало, а плохая организация воздушной разведки привела к неприятным неожиданностям во время боевых действий. В целом в кампании 1914 г. наиболее высокий уровень работы авиации оказался на Юго-западном фронте. Здесь авиаторы успешно справлялись с поставленными перед ними задачами, и их деятельность часто получала высокую оценку наземного командования. Об этом свидетельствует приказ Главнокомандующего фронтом генерала Н. И. Иванова от 11.01.1915: "Летчики-офицеры и нижние чины, не считаясь с трудностями обстановки, не взирая ни на какую погоду, с честью выполнили свой долг и своими мужественными разведками приносили надлежащую пользу своим корпусам и армиям". Иначе обстояли дела на Северо-Западном фронте. В сентябре здесь решением главкома авиаотряды были изъяты из состава корпусов и сведены в авиационные группы, подчиненные начальникам штабов армий. Однако эта реорганизация оказалась малоэффективной, так как не были созданы органы управления авиагруппами, а ограниченный радиус действия самолетов затруднял их применение в интересах армейского командования. К тому же такая структура не учитывала сложные географические (болотистая и лесная местность) и погодные условия, существовавшие на северо-западе. Собранные на одном аэродроме самолеты каждой группы при плохих метеоусловиях были обречены на бездействие, тогда как в случае рассредоточения по площадкам авиаотрядов имелись бы шансы использовать кратковременные местные улучшения погоды. Исследование динамики убыли и поступления самолетов в целом по Русской армии показывает, что потери аэропланов были значительными и составляли не менее 45,8% за 2 месяца. Большая часть (иногда 90%) этой убыли была вызвана выходом из строя изношенных аэропланов и моторов. Мощностей русских авиазаводов не хватало для восполнения этих потерь - с начала войны до 1 января 1915 г. они отправили в действующую армию 157 самолетов. Причем часто эти машины имели дефекты и забраковывались при сборке в отрядах и ротах. Особые нарекания вызывали самолеты завода Щетинина. Так, монопланы "Ньюпор" имели отрицательный угол установки крыла, что повлекло ряд аварий. Французские самолеты, сделанные на русских авиазаводах, отличались большей массой и низким качеством изготовления по сравнению с импортными "собратьями". Первые месяцы войны выявили и тот факт, что часто высшие военные начальники проявляли полное незнание свойств и возможностей аэропланов. Отсюда - либо отсутствие постановки задач и бездействие авиации, либо постановка перед летчиками нереальных боевых задач. Чтобы избежать таких недоразумений, были изданы подробные указания по использованию нового рода войск. Особую заботу о летчиках проявил главнокомандующий Юго-Западным фронтом, который издал приказ №6 от 12 августа 1914 г.: "Придавая большое значение работе аэропланов и признавая весь риск и трудности выполнения задач летчиками и наблюдателями, приказываю...". Далее шли указания летать не больше одного раза в день на дальность не более 200-230 верст, полеты совершать в утренние часы. Штабному начальству предписывалось не посылать летчиков по мелочам, не злоупотреблять частым направлением аппаратов к линии фронта, давать задачи на поиск крупных соединений противника, не поручать летчикам и наблюдателям разбрасывать прокламации, ибо в случае пленения они не приравниваются к военнопленным и могут быть расстреляны, и т.д. Бичом русской авиации в первые месяцы войны стал безудержный обстрел аппаратов своими войсками, что стало причиной гибели нескольких авиаторов. Например, 13 августа при перелете линии фронта был убит своими войсками военный летчик 25-го КАО поручик Гудим, 27 августа такая же участь постигла при посадке военного летчика 11-го КАО поручика Лемешко и т.д. Другие случаи имели менее трагические последствия. Так, "30 июля 1914г. начальник 7-го корпусного авиаотряда штабс-капитан Степанов вылетел для производства воздушной разведки, пролетая над местечком Ярмолинцы, подвергся обстрелу залпами... получил пробоины в стабилизатор и крыло. Расследование показало... стреляли роты 60-го пехотного Замоского полка". В тот же день летчик того же отряда поручик Сабельников попал в такую же ситуацию. Результат - 4 пробоины. Подобных примеров было много, и это вынудило командование издать приказы, запрещавшие "стрелять по своим и планирующим аппаратам, стрельбу вести только по приказу офицера или при бросании бомб противником". Господам офицерам было приказано изучить знаки своих и неприятельских аэропланов, знать их силуэты. Начальный период войны выявил плохую организацию в снабжении авиационных отрядов и рот бензином, касторовым маслом, запчастями, палатками и другим авиационным имуществом. Самолеты и моторы быстро выходили из строя в суровых полевых условиях, особенно с наступлением ненастной осенней погоды, когда остро сказались нехватка палаток и переносных ангаров, использование для аэродромов малопригодных площадок. Уже после первых месяцев войны многие авиаотряды пришлось отвести в тыл для снабжения аэропланами новых систем и для переучивания летчиков на них. Так, пилоты, летавшие на "Ньюпорах", освоили "Мораны". Широко использовалась для вооружения отрядов отремонтированная трофейная авиатехника. Поставки самолетов и назначения личного состава целиком зависели от штаба авиации, возглавлявшегося Великим князем Александром Михайловичем. Он часто назначал командирами рот и начальниками отрядов офицеров, хорошо писавших отчеты, но мало летавших. В этой ситуации протежируемые отряды снабжались самолетами вне очереди , тогда как части, несшие ответственную и тяжелую работу, оставались без аэропланов. Снабжение самолетами оставалось большой проблемой, которая часто решалась на самом высоком уровне. Так, 31 августа 1914 г. командующий 8-й армией генерал Брусилов бьет челом Великому князю: "Настоящее время лишился совершенно воздушных аппаратов, столь драгоценных для разведок, что ставит управление войсками в крайне трудное положение. ...Покорно прошу Ваше императорское высочество оказать армии величайшую помощь "Фарманами" и "Ньюпорами". Деятельность летчиков в разведке незаменима." Просьба Брусилова была удовлетворена, и армия получила 4 самолета из состава Брест-Литовского крепостного авиаотряда. Однако таких просьб было множество, а дефицит самолетов и моторов стал хронической болезнью русской авиации до конца войны. К началу боевых действий в составе воздушного флота России насчитывался 221 летчик: 170 офицеров, 35 нижних чинов и 16 вольноопределяющихся (добровольцев). На 1 января 1915 г. потери летчиков составили 33 человека или 14,9% от общего состава. Из них 6 погибли от действий неприятеля, 5 - в авариях, 22 попали в плен и пропали без вести. Среди погибших: штабс-капитаны Грузинов, Нестеров, поручики Лемешко, Гудим, старший унтер-офицер Доброшинский и др. Пропали без вести: поручики Николаевский, Шамин, Машерек и др. Ранены или разбились при падении: капитан Витковский, гвардии штабс-капитан Мельницкий, штабс-капитан Мучник, поручики Городецкий, Корнидов, Павлов, доброволец Шпицберг. Некоторые из них, например, летчик-доброволец 16-го КАО Шпицберг, впоследствии скончались в госпитале. В скорбный список боевых потерь одним из первых попал военный летчик начальник 14-го КАО Ефграф Ефграфович Грузинов, смертельно раненный шрапнелью в воздухе во время выполнения боевого задания. 17 августа он вылетел на разведку района Кщонов-Пиляш-Ковице-Быхов-Люблин и обратно не вернулся. Самолет упал на вражеской территории, которую вскоре заняли русские войска. У села Быхово близ Янова были найдены свежая могила и разбитый "Ньюпор". В могиле обнаружили тело Грузинова, вопрос местных жителей и пленных австрийцев дал представление об обстоятельствах его гибели. Выяснилось, что самолет пролетал над австрийскими позициями на высоте </w:t>
      </w:r>
      <w:r w:rsidR="00B67D7C" w:rsidRPr="00DE096C">
        <w:rPr>
          <w:bCs/>
          <w:color w:val="002060"/>
          <w:sz w:val="16"/>
          <w:szCs w:val="16"/>
        </w:rPr>
        <w:lastRenderedPageBreak/>
        <w:t>1000-1200 м и был обстрелян сначала пехотой, потом артиллерийской батареей, которая дала три залпа. Два первых цели не достигли. После третьего аппарат дрогнул, перевернулся и, сделав крутой вираж, врезался в землю с работающим мотором. Посмертно высочайшим приказом штабс-капитан Грузинов был награжден орденом Святого Георгия 4-й степени. Состоялись и первые воздушные бои. Таран и героическая гибель 26 августа военного летчика начальника 11-го КАО Петра Николаевича Нестерова открыли новую эпоху борьбы в воздухе. Из вооружения у русских авиаторов имелись только пистолеты "Маузер" и карабины. Хроника тех лет описывает несколько случаев воздушных боев. Так, 28 октября в окрестностях Петроково (под Варшавой) "появился неприятельский аэроплан. Через несколько минут поднялись два наших летчика и после воздушного боя сбросили "Таубе" на землю. Немецкие авиаторы разбились. Неприятельский аэроплан исковеркан". К сожалению, подтверждения этому газетному сообщению не нашлось. А вот воздушный бой и совместные действия с артиллерией, принесшие успех военному летчику Гродненского крепостного авиаотряда поручику Семенову, были подтверждены несколькими донесениями, хранящимися в Военно-историческом архиве. 27 августа Семенов с наблюдателем корнетом Николаевым при перелете через озеро Мейер, что в Восточной Пруссии, заметил неприятельский аэроплан, летевший к Летцену. Обойдя противника с правой стороны, Семенов атаковал его, заставил спуститься ниже и изменить направление полета в район русских позиций, где тот был обстрелян и около озера упал (11237).</w:t>
      </w:r>
    </w:p>
    <w:p w14:paraId="302FF55D" w14:textId="77777777" w:rsidR="00B67D7C" w:rsidRPr="00DE096C" w:rsidRDefault="00B67D7C" w:rsidP="00D45A46">
      <w:pPr>
        <w:jc w:val="both"/>
        <w:rPr>
          <w:bCs/>
          <w:i/>
          <w:color w:val="002060"/>
          <w:sz w:val="16"/>
          <w:szCs w:val="16"/>
        </w:rPr>
      </w:pPr>
    </w:p>
    <w:p w14:paraId="3AE4B8B8"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Примером успешного применения авиации может служить работа авиаотрядов 3-й и 8-й армий Юго-западного фронта в Галицийской операции. Ограниченный радиус действия самолетов вынуждал использовать авиацию в основном для решения тактических задач. Однако правильная организация работы авиаотрядов давала материалы и оперативных масштабов: штабы армий обменивались данными воздушной разведки и регулярно информировали штаб фронта о всех важнейших сведениях, собранных летчиками. Когда началось наступление 8-й армии, авиаторы привозили из разведвылетов важные сведения о группировках противника и путях его отхода. Эти данные были подтверждены дальнейшим ходом событий - войска 8-й армии продвигались вперед, не встречая серьезного сопротивления. Не менее успешно действовали авиаотряды 3-й армии, наступавшей на Львов. За период Галицийской битвы с 6 августа по 13 сентября 9-й и 11-й корпусные авиаотряды (КАО) 3-й армии совершили свыше 70 боевых вылетов, а четыре отряда 8-й армии (7-й, 8-й и 12-й корпусные, 3-й полевой) - свыше 100. В этот период хуже обстояли дела у летчики 4-й и 5-й армий. Полетов было мало, а плохая организация воздушной разведки привела к неприятным неожиданностям во время боевых действий (11278).</w:t>
      </w:r>
    </w:p>
    <w:p w14:paraId="738F2CB4" w14:textId="77777777" w:rsidR="00B67D7C" w:rsidRPr="00DE096C" w:rsidRDefault="00B67D7C" w:rsidP="00D45A46">
      <w:pPr>
        <w:pStyle w:val="a3"/>
        <w:jc w:val="both"/>
        <w:rPr>
          <w:bCs/>
          <w:i w:val="0"/>
          <w:color w:val="002060"/>
          <w:spacing w:val="0"/>
          <w:kern w:val="0"/>
          <w:position w:val="0"/>
          <w:sz w:val="16"/>
          <w:szCs w:val="16"/>
        </w:rPr>
      </w:pPr>
    </w:p>
    <w:p w14:paraId="56B2E8A1" w14:textId="77777777" w:rsidR="00B67D7C" w:rsidRPr="00DE096C" w:rsidRDefault="00B67D7C" w:rsidP="00D45A46">
      <w:pPr>
        <w:jc w:val="both"/>
        <w:rPr>
          <w:bCs/>
          <w:color w:val="002060"/>
          <w:sz w:val="16"/>
          <w:szCs w:val="16"/>
        </w:rPr>
      </w:pPr>
      <w:r w:rsidRPr="00DE096C">
        <w:rPr>
          <w:bCs/>
          <w:color w:val="002060"/>
          <w:sz w:val="16"/>
          <w:szCs w:val="16"/>
        </w:rPr>
        <w:t>6 (19) августа 1914 - в ночь германские войска под командованием Притвица отходят к Гумбиннену. Телеграмма из штаба 3-й армии: "Начальнику авиационного отряда одиннадцатого корпуса. Выслать на разведку два аэроплана: первый на Лопатин, Топоров, Радехов, Стоянов, Друшкополь - выяснить, есть ли противник в этом районе, где именно и в каких силах. Номер второй на Подзамче, Подгорце, Сасов, Злочев - нет ли движения колонн в восточном и северо-восточном направлениях. Полковник Духонин".</w:t>
      </w:r>
    </w:p>
    <w:p w14:paraId="2893506A" w14:textId="77777777" w:rsidR="00B67D7C" w:rsidRPr="00DE096C" w:rsidRDefault="00B67D7C" w:rsidP="00D45A46">
      <w:pPr>
        <w:jc w:val="both"/>
        <w:rPr>
          <w:bCs/>
          <w:color w:val="002060"/>
          <w:sz w:val="16"/>
          <w:szCs w:val="16"/>
        </w:rPr>
      </w:pPr>
      <w:r w:rsidRPr="00DE096C">
        <w:rPr>
          <w:bCs/>
          <w:color w:val="002060"/>
          <w:sz w:val="16"/>
          <w:szCs w:val="16"/>
        </w:rPr>
        <w:t>Эта телеграмма не свидетельствует о широко применявшейся практике, а лишь о частном случае особого интереса и к данным авиаторов тоже (11999).</w:t>
      </w:r>
    </w:p>
    <w:p w14:paraId="3680C9E0" w14:textId="77777777" w:rsidR="00B67D7C" w:rsidRPr="00DE096C" w:rsidRDefault="00B67D7C" w:rsidP="00D45A46">
      <w:pPr>
        <w:jc w:val="both"/>
        <w:rPr>
          <w:bCs/>
          <w:color w:val="002060"/>
          <w:sz w:val="16"/>
          <w:szCs w:val="16"/>
        </w:rPr>
      </w:pPr>
    </w:p>
    <w:p w14:paraId="1EDBF636" w14:textId="77777777" w:rsidR="00B1205B" w:rsidRPr="00B52707" w:rsidRDefault="00B1205B" w:rsidP="00B1205B">
      <w:pPr>
        <w:jc w:val="both"/>
        <w:rPr>
          <w:color w:val="0070C0"/>
          <w:sz w:val="16"/>
          <w:szCs w:val="16"/>
        </w:rPr>
      </w:pPr>
      <w:r w:rsidRPr="00B52707">
        <w:rPr>
          <w:color w:val="0070C0"/>
          <w:sz w:val="16"/>
          <w:szCs w:val="16"/>
        </w:rPr>
        <w:t>6 (19) августа 1914 г. впервые на русско-германском (Восточном) фронте противник провел воздушную бомбардировку. Над Ново-Александрией (Пулавы, царство Польское) австрийский аэроплан сбросил несколько бомб, не причинивших никакого вреда (25135).</w:t>
      </w:r>
    </w:p>
    <w:p w14:paraId="77814989" w14:textId="77777777" w:rsidR="00B1205B" w:rsidRPr="00B52707" w:rsidRDefault="00B1205B" w:rsidP="00B1205B">
      <w:pPr>
        <w:jc w:val="both"/>
        <w:rPr>
          <w:color w:val="0070C0"/>
          <w:sz w:val="16"/>
          <w:szCs w:val="16"/>
        </w:rPr>
      </w:pPr>
    </w:p>
    <w:p w14:paraId="35EEF765" w14:textId="77777777" w:rsidR="00B1205B" w:rsidRPr="00B52707" w:rsidRDefault="00B1205B" w:rsidP="00B1205B">
      <w:pPr>
        <w:jc w:val="both"/>
        <w:rPr>
          <w:color w:val="0070C0"/>
          <w:sz w:val="16"/>
          <w:szCs w:val="16"/>
        </w:rPr>
      </w:pPr>
      <w:r w:rsidRPr="00B52707">
        <w:rPr>
          <w:color w:val="0070C0"/>
          <w:sz w:val="16"/>
          <w:szCs w:val="16"/>
        </w:rPr>
        <w:t>6 (19) августа 1914 г. в районе г. Виндава (Вентспилс) нашими наблюдательными постами был обнаружен неприятельский гидроаэроплан, совершавший свой полет северо-западнее города. Его появление напрямую было связано с отражением утром того же дня пограничной стражей морского десанта противника, пытавшегося высадиться на побережье с борта трех миноносцев (25135).</w:t>
      </w:r>
    </w:p>
    <w:p w14:paraId="2B95A374" w14:textId="77777777" w:rsidR="00B1205B" w:rsidRPr="00B52707" w:rsidRDefault="00B1205B" w:rsidP="00B1205B">
      <w:pPr>
        <w:jc w:val="both"/>
        <w:rPr>
          <w:color w:val="0070C0"/>
          <w:sz w:val="16"/>
          <w:szCs w:val="16"/>
        </w:rPr>
      </w:pPr>
    </w:p>
    <w:p w14:paraId="05CD6847" w14:textId="2A2FC114" w:rsidR="00B67D7C" w:rsidRPr="00DE096C" w:rsidRDefault="00B67D7C" w:rsidP="00D45A46">
      <w:pPr>
        <w:shd w:val="clear" w:color="auto" w:fill="FFFFFF"/>
        <w:jc w:val="both"/>
        <w:rPr>
          <w:bCs/>
          <w:color w:val="002060"/>
          <w:sz w:val="16"/>
          <w:szCs w:val="16"/>
        </w:rPr>
      </w:pPr>
      <w:r w:rsidRPr="00DE096C">
        <w:rPr>
          <w:bCs/>
          <w:color w:val="002060"/>
          <w:sz w:val="16"/>
          <w:szCs w:val="16"/>
        </w:rPr>
        <w:t>6 (19) августа 1914 при Гатчинской авиашколе по предписанию ГВТУ началось формирование первых отрядов воздушных кораблей "Илья Муомец”. Из состава школы выделено 10 офицеров-летчиков и 150 солдат. Формирование велось на Корпусном аэродроме в Петербурге. Первый отряд был сформирован к концу августа (ЦГВ</w:t>
      </w:r>
      <w:r w:rsidR="000843FB" w:rsidRPr="00DE096C">
        <w:rPr>
          <w:bCs/>
          <w:color w:val="002060"/>
          <w:sz w:val="16"/>
          <w:szCs w:val="16"/>
        </w:rPr>
        <w:t>И</w:t>
      </w:r>
      <w:r w:rsidRPr="00DE096C">
        <w:rPr>
          <w:bCs/>
          <w:color w:val="002060"/>
          <w:sz w:val="16"/>
          <w:szCs w:val="16"/>
        </w:rPr>
        <w:t>А. ф.2008, Д.568).</w:t>
      </w:r>
    </w:p>
    <w:p w14:paraId="34260D5D" w14:textId="77777777" w:rsidR="00B67D7C" w:rsidRPr="00DE096C" w:rsidRDefault="00B67D7C" w:rsidP="00D45A46">
      <w:pPr>
        <w:shd w:val="clear" w:color="auto" w:fill="FFFFFF"/>
        <w:jc w:val="both"/>
        <w:rPr>
          <w:bCs/>
          <w:color w:val="002060"/>
          <w:sz w:val="16"/>
          <w:szCs w:val="16"/>
        </w:rPr>
      </w:pPr>
    </w:p>
    <w:p w14:paraId="0E790CFD" w14:textId="77777777" w:rsidR="000843FB" w:rsidRPr="00DE096C" w:rsidRDefault="000843FB" w:rsidP="00D45A46">
      <w:pPr>
        <w:jc w:val="both"/>
        <w:rPr>
          <w:bCs/>
          <w:color w:val="002060"/>
          <w:sz w:val="16"/>
          <w:szCs w:val="16"/>
        </w:rPr>
      </w:pPr>
      <w:r w:rsidRPr="00DE096C">
        <w:rPr>
          <w:bCs/>
          <w:color w:val="002060"/>
          <w:sz w:val="16"/>
          <w:szCs w:val="16"/>
        </w:rPr>
        <w:t>6 (19) августа 1914 г, при Гатчинской авиашколе по предписанию ГВТУ началось формирование первых отрядов воздушных кораблей "Илья Муромец", Из состава школы было выделено 10 офицеров-летчиков и 150 нижних чинов, Формирование велось на Корпусной аэродроме в Петербурге. Первый отряд был сформирован к концу августа.</w:t>
      </w:r>
    </w:p>
    <w:p w14:paraId="54F3ED06" w14:textId="77777777" w:rsidR="000843FB" w:rsidRPr="00DE096C" w:rsidRDefault="000843FB" w:rsidP="00D45A46">
      <w:pPr>
        <w:jc w:val="both"/>
        <w:rPr>
          <w:bCs/>
          <w:color w:val="002060"/>
          <w:sz w:val="16"/>
          <w:szCs w:val="16"/>
        </w:rPr>
      </w:pPr>
      <w:r w:rsidRPr="00DE096C">
        <w:rPr>
          <w:bCs/>
          <w:color w:val="002060"/>
          <w:sz w:val="16"/>
          <w:szCs w:val="16"/>
        </w:rPr>
        <w:t>/ЦГВПА, ф. 2008, Д. 568/ (23320).</w:t>
      </w:r>
    </w:p>
    <w:p w14:paraId="2CD8D1FA" w14:textId="77777777" w:rsidR="000843FB" w:rsidRPr="00DE096C" w:rsidRDefault="000843FB" w:rsidP="00D45A46">
      <w:pPr>
        <w:jc w:val="both"/>
        <w:rPr>
          <w:bCs/>
          <w:color w:val="002060"/>
          <w:sz w:val="16"/>
          <w:szCs w:val="16"/>
        </w:rPr>
      </w:pPr>
    </w:p>
    <w:p w14:paraId="32DB6AA6"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Авиация:</w:t>
      </w:r>
    </w:p>
    <w:p w14:paraId="26972F2F" w14:textId="77777777" w:rsidR="00B67D7C" w:rsidRPr="00DE096C" w:rsidRDefault="00B67D7C" w:rsidP="00D45A46">
      <w:pPr>
        <w:pStyle w:val="a3"/>
        <w:jc w:val="both"/>
        <w:rPr>
          <w:bCs/>
          <w:color w:val="002060"/>
          <w:spacing w:val="0"/>
          <w:kern w:val="0"/>
          <w:position w:val="0"/>
          <w:sz w:val="16"/>
          <w:szCs w:val="16"/>
        </w:rPr>
      </w:pPr>
    </w:p>
    <w:p w14:paraId="10F9DF7D" w14:textId="77777777" w:rsidR="00214B12" w:rsidRPr="00DE096C" w:rsidRDefault="00214B12" w:rsidP="00D45A46">
      <w:pPr>
        <w:jc w:val="both"/>
        <w:rPr>
          <w:bCs/>
          <w:color w:val="002060"/>
          <w:sz w:val="16"/>
          <w:szCs w:val="16"/>
        </w:rPr>
      </w:pPr>
      <w:r w:rsidRPr="00DE096C">
        <w:rPr>
          <w:bCs/>
          <w:color w:val="002060"/>
          <w:sz w:val="16"/>
          <w:szCs w:val="16"/>
        </w:rPr>
        <w:t>7 августа в 1914 году издано Постановление Военного Совета о формировании четырех отрядов на базе воздушных кораблей «Илья Муромец». 4 сентября началось формирование еще 3 отрядов. «Илья Муромец» - биплан, тяжелый бомбардировщик. Разработан Игорем Сикорским. Применялся в дальней разведке. Создан на базе самолёта «Русский витязь» 1913 года. Первый полёт «Ильи Муромца» состоялся в январе 1914 года. 12 февраля 1914 года «Илья Муромец» установил мировой рекорд высоты с полезной нагрузкой, подняв в воздух 16 человек на высоту 2000 м. В июне 1914 года совершил перелёт Санкт-Петербург - Киев. После перелёта российская армия разместила заказ на поставку «Ильи Муромца». Расположение двигателей на нижнем крыле создавало открытый доступ механику к двигателям во время полёта. За кабиной пилота располагался пассажирский салон с большими окнами. За годы войны произведено около 75 экземпляров «Ильи Муромца». Выпускался в 5 вариантах. «S-16» - 2-х местный разведчик с двигателем «Гном». Применялся с колесным или лыжным шасси. S-20 - последний проект Сикорского в России. В созданной в 1914 году "Эскадре Воздушных Кораблей" состояло до 7-ми отрядов. За время войны «И.Муромцы» совершили около 400 боевых вылетов на разведку и бомбардировку. В первый бой «Илья Муромец» вступил 19 июля 1915 года. Самолёт лейтенанта Башко отбился от 3 «Брандербургов», сбив 1 вражеский самолёт. 5 ноября 1915 года. при бомбардировке ж.д. станции Барановичи огнём противовоздушной обороны сбит зенитками самолёт штабс-капитана Озерецкого. Это была первая потеря «Ильи Муромца». Всего «Муромцами» было сбито не менее 12 самолетов противника (14976).</w:t>
      </w:r>
    </w:p>
    <w:p w14:paraId="5CFF87D7" w14:textId="77777777" w:rsidR="00214B12" w:rsidRPr="00DE096C" w:rsidRDefault="00214B12" w:rsidP="00D45A46">
      <w:pPr>
        <w:jc w:val="both"/>
        <w:rPr>
          <w:bCs/>
          <w:color w:val="002060"/>
          <w:sz w:val="16"/>
          <w:szCs w:val="16"/>
        </w:rPr>
      </w:pPr>
    </w:p>
    <w:p w14:paraId="520B1D3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7 (20) августа 1914 Постановление Военного Совета о формировании четырех отря</w:t>
      </w:r>
      <w:r w:rsidRPr="00DE096C">
        <w:rPr>
          <w:bCs/>
          <w:color w:val="002060"/>
          <w:sz w:val="16"/>
          <w:szCs w:val="16"/>
        </w:rPr>
        <w:softHyphen/>
        <w:t>дов на базе воздушных кораблей «Илья Муромец». 4 сентября началось формирование еще 3 отрядов (1137).</w:t>
      </w:r>
    </w:p>
    <w:p w14:paraId="0F6DC112" w14:textId="77777777" w:rsidR="00B67D7C" w:rsidRPr="00DE096C" w:rsidRDefault="00B67D7C" w:rsidP="00D45A46">
      <w:pPr>
        <w:shd w:val="clear" w:color="auto" w:fill="FFFFFF"/>
        <w:jc w:val="both"/>
        <w:rPr>
          <w:bCs/>
          <w:color w:val="002060"/>
          <w:sz w:val="16"/>
          <w:szCs w:val="16"/>
        </w:rPr>
      </w:pPr>
    </w:p>
    <w:p w14:paraId="0094987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7 (20) августа 1914г. Постановление Военного Совета о формировании четырех отрядов на базе воздушных кораблей «Илья Муромец». 4 сентября началось формирование еще 3 отрядов (11425).</w:t>
      </w:r>
    </w:p>
    <w:p w14:paraId="5FA91D23" w14:textId="77777777" w:rsidR="00B67D7C" w:rsidRPr="00DE096C" w:rsidRDefault="00B67D7C" w:rsidP="00D45A46">
      <w:pPr>
        <w:shd w:val="clear" w:color="auto" w:fill="FFFFFF"/>
        <w:jc w:val="both"/>
        <w:rPr>
          <w:bCs/>
          <w:color w:val="002060"/>
          <w:sz w:val="16"/>
          <w:szCs w:val="16"/>
        </w:rPr>
      </w:pPr>
    </w:p>
    <w:p w14:paraId="70E66A5A" w14:textId="77777777" w:rsidR="00207609" w:rsidRPr="00DE096C" w:rsidRDefault="00207609" w:rsidP="00D45A46">
      <w:pPr>
        <w:jc w:val="both"/>
        <w:rPr>
          <w:bCs/>
          <w:color w:val="002060"/>
          <w:sz w:val="16"/>
          <w:szCs w:val="16"/>
        </w:rPr>
      </w:pPr>
      <w:r w:rsidRPr="00DE096C">
        <w:rPr>
          <w:bCs/>
          <w:color w:val="002060"/>
          <w:sz w:val="16"/>
          <w:szCs w:val="16"/>
        </w:rPr>
        <w:t>7 (20) августа 1914 г. Военный Совет постановил сформировать в г. Полоцке первую тыловую авиационно-автомобильную мастерскую для ремонта самолетов, моторов и автомобилей авиационных отрядов.</w:t>
      </w:r>
    </w:p>
    <w:p w14:paraId="528AFB60" w14:textId="77777777" w:rsidR="00207609" w:rsidRPr="00DE096C" w:rsidRDefault="00207609" w:rsidP="00D45A46">
      <w:pPr>
        <w:jc w:val="both"/>
        <w:rPr>
          <w:bCs/>
          <w:color w:val="002060"/>
          <w:sz w:val="16"/>
          <w:szCs w:val="16"/>
        </w:rPr>
      </w:pPr>
      <w:r w:rsidRPr="00DE096C">
        <w:rPr>
          <w:bCs/>
          <w:color w:val="002060"/>
          <w:sz w:val="16"/>
          <w:szCs w:val="16"/>
        </w:rPr>
        <w:t>/Протокол Военного Совета от 7 августа 1914/ (23320).</w:t>
      </w:r>
    </w:p>
    <w:p w14:paraId="38DA754E" w14:textId="77777777" w:rsidR="00207609" w:rsidRPr="00DE096C" w:rsidRDefault="00207609" w:rsidP="00D45A46">
      <w:pPr>
        <w:jc w:val="both"/>
        <w:rPr>
          <w:bCs/>
          <w:color w:val="002060"/>
          <w:sz w:val="16"/>
          <w:szCs w:val="16"/>
        </w:rPr>
      </w:pPr>
    </w:p>
    <w:p w14:paraId="75CFABB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7 (20) августа 1914 в официальной сводке впервые сообщалось, что русские летчики в Восточной Пруссии метали бомбы в сооружения “военного значения". Эту дату следует считать началом бомбардировочных действий русской авиации (Воздушный справочник. 1915, стр.2).</w:t>
      </w:r>
    </w:p>
    <w:p w14:paraId="3AFC9022" w14:textId="77777777" w:rsidR="00B67D7C" w:rsidRPr="00DE096C" w:rsidRDefault="00B67D7C" w:rsidP="00D45A46">
      <w:pPr>
        <w:shd w:val="clear" w:color="auto" w:fill="FFFFFF"/>
        <w:jc w:val="both"/>
        <w:rPr>
          <w:bCs/>
          <w:color w:val="002060"/>
          <w:sz w:val="16"/>
          <w:szCs w:val="16"/>
        </w:rPr>
      </w:pPr>
    </w:p>
    <w:p w14:paraId="3C19344B" w14:textId="77777777" w:rsidR="00093991" w:rsidRPr="00DE096C" w:rsidRDefault="00093991" w:rsidP="00D45A46">
      <w:pPr>
        <w:jc w:val="both"/>
        <w:rPr>
          <w:bCs/>
          <w:color w:val="002060"/>
          <w:sz w:val="16"/>
          <w:szCs w:val="16"/>
        </w:rPr>
      </w:pPr>
      <w:r w:rsidRPr="00DE096C">
        <w:rPr>
          <w:bCs/>
          <w:color w:val="002060"/>
          <w:sz w:val="16"/>
          <w:szCs w:val="16"/>
        </w:rPr>
        <w:t>7 (20) августа 1914 г. в официальной сводке впервые сообщалось, что "русские летчики в Восточной Пруссии метали бомбы в сооружения военного значенмя". Эту дату следует считать началом бомбардировочных действий русской авиации.</w:t>
      </w:r>
    </w:p>
    <w:p w14:paraId="2DF807D3" w14:textId="77777777" w:rsidR="00093991" w:rsidRPr="00DE096C" w:rsidRDefault="00093991" w:rsidP="00D45A46">
      <w:pPr>
        <w:jc w:val="both"/>
        <w:rPr>
          <w:bCs/>
          <w:color w:val="002060"/>
          <w:sz w:val="16"/>
          <w:szCs w:val="16"/>
        </w:rPr>
      </w:pPr>
      <w:r w:rsidRPr="00DE096C">
        <w:rPr>
          <w:bCs/>
          <w:color w:val="002060"/>
          <w:sz w:val="16"/>
          <w:szCs w:val="16"/>
        </w:rPr>
        <w:t>/Воздушный справочник, 1915,стр.2/ (23320).</w:t>
      </w:r>
    </w:p>
    <w:p w14:paraId="1F50F6AE" w14:textId="77777777" w:rsidR="00093991" w:rsidRPr="00DE096C" w:rsidRDefault="00093991" w:rsidP="00D45A46">
      <w:pPr>
        <w:jc w:val="both"/>
        <w:rPr>
          <w:bCs/>
          <w:color w:val="002060"/>
          <w:sz w:val="16"/>
          <w:szCs w:val="16"/>
        </w:rPr>
      </w:pPr>
    </w:p>
    <w:p w14:paraId="063248CA" w14:textId="68228767" w:rsidR="00B67D7C" w:rsidRPr="00DE096C" w:rsidRDefault="00B67D7C" w:rsidP="00D45A46">
      <w:pPr>
        <w:jc w:val="both"/>
        <w:rPr>
          <w:bCs/>
          <w:color w:val="002060"/>
          <w:sz w:val="16"/>
          <w:szCs w:val="16"/>
        </w:rPr>
      </w:pPr>
      <w:r w:rsidRPr="00DE096C">
        <w:rPr>
          <w:bCs/>
          <w:color w:val="002060"/>
          <w:sz w:val="16"/>
          <w:szCs w:val="16"/>
        </w:rPr>
        <w:t>7 (20) августа 1914 - из письма Нестерова жене: "Дорогая Дина! Сегодня у нас был серьезный день: все летали на разведку. Передков и я летали к неприятелю, дали некоторые сведения, стреляли в нас и те и другие, т.е. и наши и австрийцы, но толку не было, т.к. высоко поднимались. Летали довольно далеко в глубь Австрии, как-то забавно себя чувствовать, смотря на неприятеля сверху. Хотя дел у меня и много сейчас, но чувствую себя довольно хорошо, т.к. все более или менее урегулировалось..." (11999).</w:t>
      </w:r>
    </w:p>
    <w:p w14:paraId="521F1817" w14:textId="77777777" w:rsidR="00B67D7C" w:rsidRPr="00DE096C" w:rsidRDefault="00B67D7C" w:rsidP="00D45A46">
      <w:pPr>
        <w:jc w:val="both"/>
        <w:rPr>
          <w:bCs/>
          <w:color w:val="002060"/>
          <w:sz w:val="16"/>
          <w:szCs w:val="16"/>
        </w:rPr>
      </w:pPr>
    </w:p>
    <w:p w14:paraId="1BDC9A3B" w14:textId="77777777" w:rsidR="00B1205B" w:rsidRPr="00B52707" w:rsidRDefault="00B1205B" w:rsidP="00B1205B">
      <w:pPr>
        <w:jc w:val="both"/>
        <w:rPr>
          <w:color w:val="0070C0"/>
          <w:sz w:val="16"/>
          <w:szCs w:val="16"/>
        </w:rPr>
      </w:pPr>
      <w:r w:rsidRPr="00B52707">
        <w:rPr>
          <w:color w:val="0070C0"/>
          <w:sz w:val="16"/>
          <w:szCs w:val="16"/>
        </w:rPr>
        <w:t>7 (20) августа 1914 е. наши войска в районе г. Радом (царство Польское) подбили неприятельский летательный аппарат. Он опустился на территории, занятой русскими войсками. Экипаж аэроплана (2 летчика-офицера) попал в плен (25135).</w:t>
      </w:r>
    </w:p>
    <w:p w14:paraId="79157BC8" w14:textId="77777777" w:rsidR="00B1205B" w:rsidRPr="00B52707" w:rsidRDefault="00B1205B" w:rsidP="00B1205B">
      <w:pPr>
        <w:jc w:val="both"/>
        <w:rPr>
          <w:color w:val="0070C0"/>
          <w:sz w:val="16"/>
          <w:szCs w:val="16"/>
        </w:rPr>
      </w:pPr>
    </w:p>
    <w:p w14:paraId="483AAA42" w14:textId="77777777" w:rsidR="00B1205B" w:rsidRPr="00B52707" w:rsidRDefault="00B1205B" w:rsidP="00B1205B">
      <w:pPr>
        <w:jc w:val="both"/>
        <w:rPr>
          <w:color w:val="0070C0"/>
          <w:sz w:val="16"/>
          <w:szCs w:val="16"/>
        </w:rPr>
      </w:pPr>
      <w:r w:rsidRPr="00B52707">
        <w:rPr>
          <w:color w:val="0070C0"/>
          <w:sz w:val="16"/>
          <w:szCs w:val="16"/>
        </w:rPr>
        <w:t>7 (20) августа 1914 г. вечером германский дирижабль подверг бомбардировке передовые русские позиции в Восточной Пруссии. В результате ранение получили несколько человек. Через несколько дней бомба, брошенная с цеппелина, попала в бивак (лагерь) 111-го пехотного Камского полка и вывела из строя убитыми и ранеными сразу 17 человек.</w:t>
      </w:r>
    </w:p>
    <w:p w14:paraId="0DA27089" w14:textId="77777777" w:rsidR="00B1205B" w:rsidRPr="00B52707" w:rsidRDefault="00B1205B" w:rsidP="00B1205B">
      <w:pPr>
        <w:jc w:val="both"/>
        <w:rPr>
          <w:color w:val="0070C0"/>
          <w:sz w:val="16"/>
          <w:szCs w:val="16"/>
        </w:rPr>
      </w:pPr>
      <w:r w:rsidRPr="00B52707">
        <w:rPr>
          <w:color w:val="0070C0"/>
          <w:sz w:val="16"/>
          <w:szCs w:val="16"/>
        </w:rPr>
        <w:lastRenderedPageBreak/>
        <w:t>За уничтожение вражеского дирижабля командованием армией была обещана крупная денежная награда. Это настолько подняло дух личного состава, что порой приводило к курьезным случаям. Во время очередного ночного визита цеппелина в Инстербурге один из чиновников армейского управления попытался его сбить стрельбой из револьвера. Для такого воздушного исполина это было сравнимо как слону дробина. За все время рейдов цеппелинов в Восточной Пруссии в первые месяцы войны ни один из них не был поражен нашими средствами воздушной обороны. В свою очередь, германским аэронавтам не удалось достигнуть поставленной цели – разбомбить штаб 1-й русской армии. Для его защиты был создан специальный охранный отряд, объединявший в своем составе подразделения пехоты, кавалерии и артиллерии. Он также решал задачи и противовоздушного прикрытия обороняемого объекта (25135).</w:t>
      </w:r>
    </w:p>
    <w:p w14:paraId="2BC3E0FB" w14:textId="77777777" w:rsidR="00B1205B" w:rsidRPr="00B52707" w:rsidRDefault="00B1205B" w:rsidP="00B1205B">
      <w:pPr>
        <w:jc w:val="both"/>
        <w:rPr>
          <w:color w:val="0070C0"/>
          <w:sz w:val="16"/>
          <w:szCs w:val="16"/>
        </w:rPr>
      </w:pPr>
    </w:p>
    <w:p w14:paraId="149AD347" w14:textId="77777777" w:rsidR="00B1205B" w:rsidRPr="00B52707" w:rsidRDefault="00B1205B" w:rsidP="00B1205B">
      <w:pPr>
        <w:jc w:val="both"/>
        <w:rPr>
          <w:color w:val="0070C0"/>
          <w:sz w:val="16"/>
          <w:szCs w:val="16"/>
        </w:rPr>
      </w:pPr>
      <w:r w:rsidRPr="00B52707">
        <w:rPr>
          <w:color w:val="0070C0"/>
          <w:sz w:val="16"/>
          <w:szCs w:val="16"/>
        </w:rPr>
        <w:t>В ночь с 7 на 8 (20 на 21) августа 1914 г. цеппелин Z-V (база – г. Кёнигсберг) провел глубокую воздушную разведку российской территории, пройдя по маршруту: Вроцлав – Плоцк— Кутно – Лодзь – Новогеоргиевск (Модлин), 24–25 августа он повторил ее (со сбросом бомб в расположении русских войск). Через два дня в ходе проведения очередной воздушной разведки цеппелин атаковал русскую кавалерийскую бригаду, подвергнув ее бомбоштурмовому удару. После этого дирижабль провел бомбардировку вокзала в г. Млава. По свидетельству одного из наших летчиков, рано утром «цеппелин начал уже кидать бомбы, причем одна из них попала в зал 1-го класса вокзала, пробила крышу и разорвалась, а другая бомба была брошена на полотно железной дороги, на место высадки одного из эшелонов. На месте оказалось несколько трупов… Всего сброшено было десять бомб» (25135).</w:t>
      </w:r>
    </w:p>
    <w:p w14:paraId="12A81952" w14:textId="77777777" w:rsidR="00B1205B" w:rsidRPr="00B52707" w:rsidRDefault="00B1205B" w:rsidP="00B1205B">
      <w:pPr>
        <w:jc w:val="both"/>
        <w:rPr>
          <w:color w:val="0070C0"/>
          <w:sz w:val="16"/>
          <w:szCs w:val="16"/>
        </w:rPr>
      </w:pPr>
    </w:p>
    <w:p w14:paraId="77EA145D" w14:textId="6996887F" w:rsidR="00D94D44" w:rsidRPr="00DE096C" w:rsidRDefault="00D94D44" w:rsidP="00D94D44">
      <w:pPr>
        <w:shd w:val="clear" w:color="auto" w:fill="FFFFFF"/>
        <w:jc w:val="both"/>
        <w:rPr>
          <w:bCs/>
          <w:i/>
          <w:color w:val="002060"/>
          <w:sz w:val="16"/>
          <w:szCs w:val="16"/>
        </w:rPr>
      </w:pPr>
      <w:r>
        <w:rPr>
          <w:bCs/>
          <w:i/>
          <w:color w:val="002060"/>
          <w:sz w:val="16"/>
          <w:szCs w:val="16"/>
        </w:rPr>
        <w:t>Морская а</w:t>
      </w:r>
      <w:r w:rsidRPr="00DE096C">
        <w:rPr>
          <w:bCs/>
          <w:i/>
          <w:color w:val="002060"/>
          <w:sz w:val="16"/>
          <w:szCs w:val="16"/>
        </w:rPr>
        <w:t>виация:</w:t>
      </w:r>
    </w:p>
    <w:p w14:paraId="6A1C1F01" w14:textId="77777777" w:rsidR="00D94D44" w:rsidRPr="00DE096C" w:rsidRDefault="00D94D44" w:rsidP="00D94D44">
      <w:pPr>
        <w:shd w:val="clear" w:color="auto" w:fill="FFFFFF"/>
        <w:jc w:val="both"/>
        <w:rPr>
          <w:bCs/>
          <w:i/>
          <w:color w:val="002060"/>
          <w:sz w:val="16"/>
          <w:szCs w:val="16"/>
        </w:rPr>
      </w:pPr>
    </w:p>
    <w:p w14:paraId="5B1A5C9F" w14:textId="0816DD60" w:rsidR="00214B12" w:rsidRPr="00DE096C" w:rsidRDefault="00214B12" w:rsidP="00D45A46">
      <w:pPr>
        <w:jc w:val="both"/>
        <w:rPr>
          <w:bCs/>
          <w:color w:val="002060"/>
          <w:sz w:val="16"/>
          <w:szCs w:val="16"/>
        </w:rPr>
      </w:pPr>
      <w:r w:rsidRPr="00DE096C">
        <w:rPr>
          <w:bCs/>
          <w:color w:val="002060"/>
          <w:sz w:val="16"/>
          <w:szCs w:val="16"/>
        </w:rPr>
        <w:t xml:space="preserve">7 </w:t>
      </w:r>
      <w:r w:rsidR="00E72378" w:rsidRPr="00DE096C">
        <w:rPr>
          <w:bCs/>
          <w:color w:val="002060"/>
          <w:sz w:val="16"/>
          <w:szCs w:val="16"/>
        </w:rPr>
        <w:t xml:space="preserve">(20) </w:t>
      </w:r>
      <w:r w:rsidRPr="00DE096C">
        <w:rPr>
          <w:bCs/>
          <w:color w:val="002060"/>
          <w:sz w:val="16"/>
          <w:szCs w:val="16"/>
        </w:rPr>
        <w:t xml:space="preserve">августа в 1914 году морской летчик Я.И.Нагурский с механиком Е.В.Кузнецовым на поплавковом биплане </w:t>
      </w:r>
      <w:hyperlink r:id="rId39" w:tgtFrame="_blank" w:history="1">
        <w:r w:rsidRPr="00DE096C">
          <w:rPr>
            <w:bCs/>
            <w:color w:val="002060"/>
            <w:sz w:val="16"/>
            <w:szCs w:val="16"/>
          </w:rPr>
          <w:t xml:space="preserve">«Maurice Farman» «MF.11» «Hydro» </w:t>
        </w:r>
      </w:hyperlink>
      <w:r w:rsidRPr="00DE096C">
        <w:rPr>
          <w:bCs/>
          <w:color w:val="002060"/>
          <w:sz w:val="16"/>
          <w:szCs w:val="16"/>
        </w:rPr>
        <w:t>совершили (7 – 31 августа 1914 года) первые полеты на самолете в Арктике в район Новой Земли в поисках экспедиции Г.Я.Седова, достигнув 76° северной широты (14976).</w:t>
      </w:r>
    </w:p>
    <w:p w14:paraId="1D602BA9" w14:textId="77777777" w:rsidR="00214B12" w:rsidRPr="00DE096C" w:rsidRDefault="00214B12" w:rsidP="00D45A46">
      <w:pPr>
        <w:jc w:val="both"/>
        <w:rPr>
          <w:bCs/>
          <w:color w:val="002060"/>
          <w:sz w:val="16"/>
          <w:szCs w:val="16"/>
        </w:rPr>
      </w:pPr>
    </w:p>
    <w:p w14:paraId="4EC5FCAB" w14:textId="77777777" w:rsidR="00D94D44" w:rsidRPr="00DE096C" w:rsidRDefault="00D94D44" w:rsidP="00D94D44">
      <w:pPr>
        <w:shd w:val="clear" w:color="auto" w:fill="FFFFFF"/>
        <w:jc w:val="both"/>
        <w:rPr>
          <w:bCs/>
          <w:color w:val="002060"/>
          <w:sz w:val="16"/>
          <w:szCs w:val="16"/>
        </w:rPr>
      </w:pPr>
      <w:r w:rsidRPr="00DE096C">
        <w:rPr>
          <w:bCs/>
          <w:color w:val="002060"/>
          <w:sz w:val="16"/>
          <w:szCs w:val="16"/>
        </w:rPr>
        <w:t>7 — 31 августа (20 августа 13 сентября) 1914 Первые полеты на самолете в Арктике в поисках экспедиции Г. Я. Седова совершил морской летчик Я. И. Нагурский с меха</w:t>
      </w:r>
      <w:r w:rsidRPr="00DE096C">
        <w:rPr>
          <w:bCs/>
          <w:color w:val="002060"/>
          <w:sz w:val="16"/>
          <w:szCs w:val="16"/>
        </w:rPr>
        <w:softHyphen/>
        <w:t>ником Е. В. Кузнецовым на поплавковом биплане «М. Фарман» в район Новой Земли, достигнув 76" с. ш (1137).</w:t>
      </w:r>
    </w:p>
    <w:p w14:paraId="1C7B00CB" w14:textId="77777777" w:rsidR="00D94D44" w:rsidRPr="00DE096C" w:rsidRDefault="00D94D44" w:rsidP="00D94D44">
      <w:pPr>
        <w:shd w:val="clear" w:color="auto" w:fill="FFFFFF"/>
        <w:jc w:val="both"/>
        <w:rPr>
          <w:bCs/>
          <w:color w:val="002060"/>
          <w:sz w:val="16"/>
          <w:szCs w:val="16"/>
        </w:rPr>
      </w:pPr>
    </w:p>
    <w:p w14:paraId="35DA28F7" w14:textId="77777777" w:rsidR="00D94D44" w:rsidRPr="00DE096C" w:rsidRDefault="00D94D44" w:rsidP="00D94D44">
      <w:pPr>
        <w:shd w:val="clear" w:color="auto" w:fill="FFFFFF"/>
        <w:jc w:val="both"/>
        <w:rPr>
          <w:bCs/>
          <w:color w:val="002060"/>
          <w:sz w:val="16"/>
          <w:szCs w:val="16"/>
        </w:rPr>
      </w:pPr>
      <w:r w:rsidRPr="00DE096C">
        <w:rPr>
          <w:bCs/>
          <w:color w:val="002060"/>
          <w:sz w:val="16"/>
          <w:szCs w:val="16"/>
        </w:rPr>
        <w:t>7-31 августа (2</w:t>
      </w:r>
      <w:r>
        <w:rPr>
          <w:bCs/>
          <w:color w:val="002060"/>
          <w:sz w:val="16"/>
          <w:szCs w:val="16"/>
        </w:rPr>
        <w:t>0</w:t>
      </w:r>
      <w:r w:rsidRPr="00DE096C">
        <w:rPr>
          <w:bCs/>
          <w:color w:val="002060"/>
          <w:sz w:val="16"/>
          <w:szCs w:val="16"/>
        </w:rPr>
        <w:t xml:space="preserve"> августа 11 сентября) 1914 г. первые полеты на самолёте в Арктике в поисках экспедиции Г. Я. Седова совершил морской летчик Я. И. Нагурский с механиком Е. В. Кузнецовым на поплавковом биплане «М. Фарман» в район Новой Земли, достигнув 76° с. ш (11425).</w:t>
      </w:r>
    </w:p>
    <w:p w14:paraId="0D624E92" w14:textId="77777777" w:rsidR="00D94D44" w:rsidRPr="00DE096C" w:rsidRDefault="00D94D44" w:rsidP="00D94D44">
      <w:pPr>
        <w:shd w:val="clear" w:color="auto" w:fill="FFFFFF"/>
        <w:jc w:val="both"/>
        <w:rPr>
          <w:bCs/>
          <w:color w:val="002060"/>
          <w:sz w:val="16"/>
          <w:szCs w:val="16"/>
        </w:rPr>
      </w:pPr>
    </w:p>
    <w:p w14:paraId="0D77BB74"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 и воздухоплавание Франции:</w:t>
      </w:r>
    </w:p>
    <w:p w14:paraId="455F0870" w14:textId="77777777" w:rsidR="00B67D7C" w:rsidRPr="00DE096C" w:rsidRDefault="00B67D7C" w:rsidP="00D45A46">
      <w:pPr>
        <w:shd w:val="clear" w:color="auto" w:fill="FFFFFF"/>
        <w:jc w:val="both"/>
        <w:rPr>
          <w:bCs/>
          <w:i/>
          <w:color w:val="002060"/>
          <w:sz w:val="16"/>
          <w:szCs w:val="16"/>
        </w:rPr>
      </w:pPr>
    </w:p>
    <w:p w14:paraId="69D38C79" w14:textId="4D727F36" w:rsidR="00B67D7C" w:rsidRPr="00DE096C" w:rsidRDefault="00B67D7C" w:rsidP="00D45A46">
      <w:pPr>
        <w:jc w:val="both"/>
        <w:rPr>
          <w:bCs/>
          <w:color w:val="002060"/>
          <w:sz w:val="16"/>
          <w:szCs w:val="16"/>
        </w:rPr>
      </w:pPr>
      <w:r w:rsidRPr="00DE096C">
        <w:rPr>
          <w:bCs/>
          <w:color w:val="002060"/>
          <w:sz w:val="16"/>
          <w:szCs w:val="16"/>
        </w:rPr>
        <w:t xml:space="preserve">7 (20) августа 1914 года, «Монгольфье» сбила собственная пехота. После ремонта он возобновил полеты, но 20 декабря, после передачи в морское ведомство, был окончательно сбит немцами, когда шел над неприятелем на высоте 1800 м. Дирижаблю удалось приземлиться за французскими линиями. Всего он совершил 6 полетов, налетал 55 часов и сбросил 25 бомб. </w:t>
      </w:r>
    </w:p>
    <w:p w14:paraId="73C0EB59" w14:textId="77777777" w:rsidR="00B67D7C" w:rsidRPr="00DE096C" w:rsidRDefault="00B67D7C" w:rsidP="00D45A46">
      <w:pPr>
        <w:jc w:val="both"/>
        <w:rPr>
          <w:bCs/>
          <w:color w:val="002060"/>
          <w:sz w:val="16"/>
          <w:szCs w:val="16"/>
        </w:rPr>
      </w:pPr>
      <w:r w:rsidRPr="00DE096C">
        <w:rPr>
          <w:bCs/>
          <w:color w:val="002060"/>
          <w:sz w:val="16"/>
          <w:szCs w:val="16"/>
        </w:rPr>
        <w:t xml:space="preserve">В актив «Контэ» можно записать лишь 2 полета: один в 1914 и другой — в 1915 году (11324). </w:t>
      </w:r>
    </w:p>
    <w:p w14:paraId="4B11BD07" w14:textId="77777777" w:rsidR="00B67D7C" w:rsidRPr="00DE096C" w:rsidRDefault="00B67D7C" w:rsidP="00D45A46">
      <w:pPr>
        <w:shd w:val="clear" w:color="auto" w:fill="FFFFFF"/>
        <w:jc w:val="both"/>
        <w:rPr>
          <w:bCs/>
          <w:i/>
          <w:color w:val="002060"/>
          <w:sz w:val="16"/>
          <w:szCs w:val="16"/>
        </w:rPr>
      </w:pPr>
    </w:p>
    <w:p w14:paraId="028D8D96" w14:textId="77777777" w:rsidR="00AF50E4" w:rsidRPr="00DE096C" w:rsidRDefault="00AF50E4" w:rsidP="00D45A46">
      <w:pPr>
        <w:jc w:val="both"/>
        <w:rPr>
          <w:bCs/>
          <w:i/>
          <w:color w:val="002060"/>
          <w:sz w:val="16"/>
          <w:szCs w:val="16"/>
        </w:rPr>
      </w:pPr>
      <w:r w:rsidRPr="00DE096C">
        <w:rPr>
          <w:bCs/>
          <w:i/>
          <w:color w:val="002060"/>
          <w:sz w:val="16"/>
          <w:szCs w:val="16"/>
        </w:rPr>
        <w:t>За рубежом:</w:t>
      </w:r>
    </w:p>
    <w:p w14:paraId="0B7D7761" w14:textId="77777777" w:rsidR="00AF50E4" w:rsidRPr="00DE096C" w:rsidRDefault="00AF50E4" w:rsidP="00D45A46">
      <w:pPr>
        <w:jc w:val="both"/>
        <w:rPr>
          <w:bCs/>
          <w:color w:val="002060"/>
          <w:sz w:val="16"/>
          <w:szCs w:val="16"/>
        </w:rPr>
      </w:pPr>
    </w:p>
    <w:p w14:paraId="67598D72" w14:textId="77777777" w:rsidR="00AF50E4" w:rsidRPr="00DE096C" w:rsidRDefault="00AF50E4" w:rsidP="00D45A46">
      <w:pPr>
        <w:jc w:val="both"/>
        <w:rPr>
          <w:bCs/>
          <w:color w:val="002060"/>
          <w:sz w:val="16"/>
          <w:szCs w:val="16"/>
        </w:rPr>
      </w:pPr>
      <w:r w:rsidRPr="00DE096C">
        <w:rPr>
          <w:bCs/>
          <w:color w:val="002060"/>
          <w:sz w:val="16"/>
          <w:szCs w:val="16"/>
        </w:rPr>
        <w:t>7 (20) августа в 1914 году немецкие войска оккупируют Брюссель (14989).</w:t>
      </w:r>
    </w:p>
    <w:p w14:paraId="71942AA4" w14:textId="77777777" w:rsidR="00AF50E4" w:rsidRPr="00DE096C" w:rsidRDefault="00AF50E4" w:rsidP="00D45A46">
      <w:pPr>
        <w:jc w:val="both"/>
        <w:rPr>
          <w:bCs/>
          <w:color w:val="002060"/>
          <w:sz w:val="16"/>
          <w:szCs w:val="16"/>
        </w:rPr>
      </w:pPr>
    </w:p>
    <w:p w14:paraId="134DBED6" w14:textId="0765AAFB" w:rsidR="00633CA8" w:rsidRPr="00DE096C" w:rsidRDefault="00633CA8" w:rsidP="00D45A46">
      <w:pPr>
        <w:pStyle w:val="a3"/>
        <w:jc w:val="both"/>
        <w:rPr>
          <w:bCs/>
          <w:color w:val="002060"/>
          <w:spacing w:val="0"/>
          <w:kern w:val="0"/>
          <w:position w:val="0"/>
          <w:sz w:val="16"/>
          <w:szCs w:val="16"/>
        </w:rPr>
      </w:pPr>
      <w:r w:rsidRPr="00DE096C">
        <w:rPr>
          <w:bCs/>
          <w:color w:val="002060"/>
          <w:spacing w:val="0"/>
          <w:kern w:val="0"/>
          <w:position w:val="0"/>
          <w:sz w:val="16"/>
          <w:szCs w:val="16"/>
        </w:rPr>
        <w:t>Самолетостроение:</w:t>
      </w:r>
    </w:p>
    <w:p w14:paraId="6E31DD29" w14:textId="77777777" w:rsidR="00633CA8" w:rsidRPr="00DE096C" w:rsidRDefault="00633CA8" w:rsidP="00D45A46">
      <w:pPr>
        <w:pStyle w:val="a3"/>
        <w:jc w:val="both"/>
        <w:rPr>
          <w:bCs/>
          <w:color w:val="002060"/>
          <w:spacing w:val="0"/>
          <w:kern w:val="0"/>
          <w:position w:val="0"/>
          <w:sz w:val="16"/>
          <w:szCs w:val="16"/>
        </w:rPr>
      </w:pPr>
    </w:p>
    <w:p w14:paraId="46E56074" w14:textId="77777777" w:rsidR="00D94D44" w:rsidRPr="00B52707" w:rsidRDefault="00D94D44" w:rsidP="00D94D44">
      <w:pPr>
        <w:jc w:val="both"/>
        <w:rPr>
          <w:color w:val="0070C0"/>
          <w:sz w:val="16"/>
          <w:szCs w:val="16"/>
        </w:rPr>
      </w:pPr>
      <w:r w:rsidRPr="00B52707">
        <w:rPr>
          <w:color w:val="0070C0"/>
          <w:sz w:val="16"/>
          <w:szCs w:val="16"/>
        </w:rPr>
        <w:t>В начале августа 1914 г. авиационное отделение Русско-Балтийского завода закончило постройку еще двух кораблей «Илья Муромец» и ремонт одного поврежденного. Сикорский приступил к их заводским испытаниям. Никаких дефектов не было выявлено, и самолеты были сданы Главному авиационному управлению. При испытании самолета требовалось при полезной нагрузке 80 пудов, запасе бензина и масла на 3 часа полета и с экипажем из 4 человек (один из которых был членом приемочной комиссии) набрать за 1 час высоту 2000 м при скорости 100 км/час. Во время взлета запускался пишущий высотомер, запечатанный приемочной комиссией, после полета бланк самописца прилагался к протоколу.</w:t>
      </w:r>
    </w:p>
    <w:p w14:paraId="68B2280A" w14:textId="77777777" w:rsidR="00D94D44" w:rsidRPr="00B52707" w:rsidRDefault="00D94D44" w:rsidP="00D94D44">
      <w:pPr>
        <w:jc w:val="both"/>
        <w:rPr>
          <w:color w:val="0070C0"/>
          <w:sz w:val="16"/>
          <w:szCs w:val="16"/>
        </w:rPr>
      </w:pPr>
      <w:r w:rsidRPr="00B52707">
        <w:rPr>
          <w:color w:val="0070C0"/>
          <w:sz w:val="16"/>
          <w:szCs w:val="16"/>
        </w:rPr>
        <w:t>Первый испытываемый корабль был снабжен моторами «Аргус» по 140 л.е., общая мощность моторной установки 560 л.с. При сдаточном полете корабль набрал высоту 2000 м за 55 минут и показал скорость 105 км/ч на высоте 500 м. Он был принят комиссией без возражений. Его командиром был назначен штабс-капитан Горшков, и кораблю было присвоено название «Киевский».</w:t>
      </w:r>
    </w:p>
    <w:p w14:paraId="15B70909" w14:textId="77777777" w:rsidR="00D94D44" w:rsidRPr="00B52707" w:rsidRDefault="00D94D44" w:rsidP="00D94D44">
      <w:pPr>
        <w:jc w:val="both"/>
        <w:rPr>
          <w:color w:val="0070C0"/>
          <w:sz w:val="16"/>
          <w:szCs w:val="16"/>
        </w:rPr>
      </w:pPr>
      <w:r w:rsidRPr="00B52707">
        <w:rPr>
          <w:color w:val="0070C0"/>
          <w:sz w:val="16"/>
          <w:szCs w:val="16"/>
        </w:rPr>
        <w:t>Следующий корабль был снабжен моторами «Сальмсон» 130 и 200 л.с., общей мощностью 660 л.с. Высоту 2000 м корабль набрал за 1 ч. 10 мин., показав скорость 95 км/ч. После некоторых пререканий корабль был принят комиссией. Его командиром был назначен штабс-капитан Руднев. Такая разница в полетных данных кораблей происходит из-за технических качеств моторов: у «Аргуса» 6 цилиндров, расположенных в ряд, имели меньшее лобовое сопротивление, нежели звездообразные двигатели «Сальмсон».</w:t>
      </w:r>
    </w:p>
    <w:p w14:paraId="29E26C59" w14:textId="77777777" w:rsidR="00D94D44" w:rsidRPr="00B52707" w:rsidRDefault="00D94D44" w:rsidP="00D94D44">
      <w:pPr>
        <w:jc w:val="both"/>
        <w:rPr>
          <w:color w:val="0070C0"/>
          <w:sz w:val="16"/>
          <w:szCs w:val="16"/>
        </w:rPr>
      </w:pPr>
      <w:r w:rsidRPr="00B52707">
        <w:rPr>
          <w:color w:val="0070C0"/>
          <w:sz w:val="16"/>
          <w:szCs w:val="16"/>
        </w:rPr>
        <w:t>Третий корабль, тоже с моторами «Сальмсон», показал те же качества, что и второй. Его командиром был назначен поручик Панкратьев, сформировавший 2-й боевой отряд. Вновь назначенные командиры получили задание перелететь на передовые базы - Рудневу во Львов, Панкратьеву - в Двинск.</w:t>
      </w:r>
    </w:p>
    <w:p w14:paraId="6E635025" w14:textId="77777777" w:rsidR="00D94D44" w:rsidRPr="00B52707" w:rsidRDefault="00D94D44" w:rsidP="00D94D44">
      <w:pPr>
        <w:jc w:val="both"/>
        <w:rPr>
          <w:color w:val="0070C0"/>
          <w:sz w:val="16"/>
          <w:szCs w:val="16"/>
        </w:rPr>
      </w:pPr>
      <w:r w:rsidRPr="00B52707">
        <w:rPr>
          <w:color w:val="0070C0"/>
          <w:sz w:val="16"/>
          <w:szCs w:val="16"/>
        </w:rPr>
        <w:t>Руднев должен был действовать против австрийской крепости Перемышль, осажденной нашими войсками, а Панкратьев - в зависимости от указаний штаба 7-й армии (24965).</w:t>
      </w:r>
    </w:p>
    <w:p w14:paraId="73069605" w14:textId="77777777" w:rsidR="00D94D44" w:rsidRPr="00B52707" w:rsidRDefault="00D94D44" w:rsidP="00D94D44">
      <w:pPr>
        <w:jc w:val="both"/>
        <w:rPr>
          <w:color w:val="0070C0"/>
          <w:sz w:val="16"/>
          <w:szCs w:val="16"/>
        </w:rPr>
      </w:pPr>
    </w:p>
    <w:p w14:paraId="09FE64BC" w14:textId="77777777" w:rsidR="00633CA8" w:rsidRPr="00DE096C" w:rsidRDefault="00633CA8" w:rsidP="00D45A46">
      <w:pPr>
        <w:jc w:val="both"/>
        <w:rPr>
          <w:bCs/>
          <w:color w:val="002060"/>
          <w:sz w:val="16"/>
          <w:szCs w:val="16"/>
        </w:rPr>
      </w:pPr>
      <w:r w:rsidRPr="00DE096C">
        <w:rPr>
          <w:bCs/>
          <w:color w:val="002060"/>
          <w:sz w:val="16"/>
          <w:szCs w:val="16"/>
          <w:lang w:bidi="en-US"/>
        </w:rPr>
        <w:t>В начале августа 1914 командир ИМ-</w:t>
      </w:r>
      <w:r w:rsidRPr="00DE096C">
        <w:rPr>
          <w:bCs/>
          <w:color w:val="002060"/>
          <w:sz w:val="16"/>
          <w:szCs w:val="16"/>
          <w:lang w:val="en-US" w:bidi="en-US"/>
        </w:rPr>
        <w:t>I</w:t>
      </w:r>
      <w:r w:rsidRPr="00DE096C">
        <w:rPr>
          <w:bCs/>
          <w:color w:val="002060"/>
          <w:sz w:val="16"/>
          <w:szCs w:val="16"/>
          <w:lang w:bidi="en-US"/>
        </w:rPr>
        <w:t xml:space="preserve"> военный летчик Штабс Капитан Е.В. Руднев направил докладную «О непригодности </w:t>
      </w:r>
      <w:r w:rsidRPr="00DE096C">
        <w:rPr>
          <w:bCs/>
          <w:color w:val="002060"/>
          <w:sz w:val="16"/>
          <w:szCs w:val="16"/>
          <w:lang w:val="en-US" w:bidi="en-US"/>
        </w:rPr>
        <w:t>II</w:t>
      </w:r>
      <w:r w:rsidRPr="00DE096C">
        <w:rPr>
          <w:bCs/>
          <w:color w:val="002060"/>
          <w:sz w:val="16"/>
          <w:szCs w:val="16"/>
          <w:lang w:bidi="en-US"/>
        </w:rPr>
        <w:t>'я Муромца к боевому применению» в которой были перечислено то, что он считал серьезными недостатками во время серии испытательных полетов. К ним относятся невозможность взлета с полной нагрузкой 1472 кг (экипаж из четырех человек и запас топлива на пять часов), невозможность сделать это на трех двигателях, медленный набор боевой высоты (два часа на высоту 2000 метров), малая скорость 100 км/ч, неудачное расположение топливных баков (над двигателями) и уязвимость для атак противника. 10 ноября Генштаб ВГК направил в ЦМТД директиву, предписывавшую приостановить оснащение «Ильи Муромца» до устранения всех недостатков. Хотя Руднев, очень опытный летчик, не выполнил ни одного задания, его отчет вызвал сомнение в ценности ИМ для службы на фронте. В январе 1915 г. он потребовал перевода из «тяжелой» в «легкую» авиацию.</w:t>
      </w:r>
    </w:p>
    <w:p w14:paraId="7F6B3711" w14:textId="77777777" w:rsidR="00633CA8" w:rsidRPr="00DE096C" w:rsidRDefault="00633CA8" w:rsidP="00D45A46">
      <w:pPr>
        <w:jc w:val="both"/>
        <w:rPr>
          <w:bCs/>
          <w:color w:val="002060"/>
          <w:sz w:val="16"/>
          <w:szCs w:val="16"/>
          <w:lang w:bidi="en-US"/>
        </w:rPr>
      </w:pPr>
      <w:r w:rsidRPr="00DE096C">
        <w:rPr>
          <w:bCs/>
          <w:color w:val="002060"/>
          <w:sz w:val="16"/>
          <w:szCs w:val="16"/>
          <w:lang w:bidi="en-US"/>
        </w:rPr>
        <w:t xml:space="preserve">Из-за новизны концепции тяжелого бомбардировщика мало задумывались об их вооружении и о том, как они будут использоваться. Вскоре Главному артиллерийскому управлению был дан заказ на разработку бомб и другого снаряжения, а также артиллерийских установок. Эскадрильи летающих кораблей (ЭВК) еще не было. Первоначально предполагалось, что каждый самолет «Илья Муромец» (ИМ) будет считаться боевой единицей, имеющей равный статус с частями легкой авиации, и в конечном итоге будет находиться под командованием генерал-фельдинспектора авиации и воздухоплавания (должность, которая раньше также еще не появился) Этот офицер будет отвечать за распределение </w:t>
      </w:r>
      <w:r w:rsidRPr="00DE096C">
        <w:rPr>
          <w:bCs/>
          <w:color w:val="002060"/>
          <w:sz w:val="16"/>
          <w:szCs w:val="16"/>
          <w:lang w:val="en-US" w:bidi="en-US"/>
        </w:rPr>
        <w:t>IM</w:t>
      </w:r>
      <w:r w:rsidRPr="00DE096C">
        <w:rPr>
          <w:bCs/>
          <w:color w:val="002060"/>
          <w:sz w:val="16"/>
          <w:szCs w:val="16"/>
          <w:lang w:bidi="en-US"/>
        </w:rPr>
        <w:t xml:space="preserve"> по штабам армии и фронта (23525).</w:t>
      </w:r>
    </w:p>
    <w:p w14:paraId="4F2C7EE9" w14:textId="77777777" w:rsidR="00633CA8" w:rsidRPr="00DE096C" w:rsidRDefault="00633CA8" w:rsidP="00D45A46">
      <w:pPr>
        <w:jc w:val="both"/>
        <w:rPr>
          <w:bCs/>
          <w:color w:val="002060"/>
          <w:sz w:val="16"/>
          <w:szCs w:val="16"/>
          <w:lang w:bidi="en-US"/>
        </w:rPr>
      </w:pPr>
    </w:p>
    <w:p w14:paraId="7E8DA66E" w14:textId="289EC680" w:rsidR="00E72378" w:rsidRPr="00DE096C" w:rsidRDefault="00E72378" w:rsidP="00D45A46">
      <w:pPr>
        <w:pStyle w:val="a3"/>
        <w:jc w:val="both"/>
        <w:rPr>
          <w:bCs/>
          <w:color w:val="002060"/>
          <w:spacing w:val="0"/>
          <w:kern w:val="0"/>
          <w:position w:val="0"/>
          <w:sz w:val="16"/>
          <w:szCs w:val="16"/>
        </w:rPr>
      </w:pPr>
      <w:r w:rsidRPr="00DE096C">
        <w:rPr>
          <w:bCs/>
          <w:color w:val="002060"/>
          <w:spacing w:val="0"/>
          <w:kern w:val="0"/>
          <w:position w:val="0"/>
          <w:sz w:val="16"/>
          <w:szCs w:val="16"/>
        </w:rPr>
        <w:t>Другие оборонные отрасли:</w:t>
      </w:r>
    </w:p>
    <w:p w14:paraId="1B36C48C" w14:textId="77777777" w:rsidR="00E72378" w:rsidRPr="00DE096C" w:rsidRDefault="00E72378" w:rsidP="00D45A46">
      <w:pPr>
        <w:pStyle w:val="a3"/>
        <w:jc w:val="both"/>
        <w:rPr>
          <w:bCs/>
          <w:color w:val="002060"/>
          <w:spacing w:val="0"/>
          <w:kern w:val="0"/>
          <w:position w:val="0"/>
          <w:sz w:val="16"/>
          <w:szCs w:val="16"/>
        </w:rPr>
      </w:pPr>
    </w:p>
    <w:p w14:paraId="1F1EE8A2" w14:textId="77777777" w:rsidR="00E72378" w:rsidRPr="00DE096C" w:rsidRDefault="00E72378" w:rsidP="00D45A46">
      <w:pPr>
        <w:jc w:val="both"/>
        <w:rPr>
          <w:bCs/>
          <w:color w:val="002060"/>
          <w:sz w:val="16"/>
          <w:szCs w:val="16"/>
        </w:rPr>
      </w:pPr>
      <w:r w:rsidRPr="00DE096C">
        <w:rPr>
          <w:bCs/>
          <w:color w:val="002060"/>
          <w:sz w:val="16"/>
          <w:szCs w:val="16"/>
        </w:rPr>
        <w:t>В начале августа 1914 г. в Петербурге по инициативе ГАУ состоялось совещание специально созданной комиссии по «изысканию способов изготовления оптического стекла в России». Участники совещания — профессора В. Е. Тищенко, А. Л. Гершун, горный инженер Н. Н. Качалов и другие члены комиссии единодушно высказались за необходимость и возможность освоения производства оптического стекла в России. Предприятием, наиболее подходящим для проведения опытов, был выбран Фарфоровый завод в Петербурге (Обуховской обороны, д. 151), находившийся в подчинении Министерства двора. На проведение опытов было выделено 137 тыс. рублей. По предложению Артиллерийского управления, опыты начались с обыкновенного флинта, по причине того, что в то время в нем ощущался наиболее острый недостаток (22777).</w:t>
      </w:r>
    </w:p>
    <w:p w14:paraId="7FCF440C" w14:textId="77777777" w:rsidR="00E72378" w:rsidRPr="00DE096C" w:rsidRDefault="00E72378" w:rsidP="00D45A46">
      <w:pPr>
        <w:jc w:val="both"/>
        <w:rPr>
          <w:bCs/>
          <w:color w:val="002060"/>
          <w:sz w:val="16"/>
          <w:szCs w:val="16"/>
        </w:rPr>
      </w:pPr>
    </w:p>
    <w:p w14:paraId="4BAAD0BC" w14:textId="77777777" w:rsidR="00633CA8" w:rsidRPr="00DE096C" w:rsidRDefault="00633CA8" w:rsidP="00D45A46">
      <w:pPr>
        <w:pStyle w:val="af7"/>
        <w:spacing w:line="240" w:lineRule="auto"/>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В начале августа 1914 г. Артиллерийский комитет воз</w:t>
      </w:r>
      <w:r w:rsidRPr="00DE096C">
        <w:rPr>
          <w:rFonts w:ascii="Times New Roman" w:hAnsi="Times New Roman" w:cs="Times New Roman"/>
          <w:bCs/>
          <w:color w:val="002060"/>
          <w:sz w:val="16"/>
          <w:szCs w:val="16"/>
        </w:rPr>
        <w:softHyphen/>
        <w:t>звал «к большим частным стекольным заводам... Некоторые из этих заводов откликнулись с большой охотой, и опыты начались одновременно в разных местах», — свидетельство</w:t>
      </w:r>
      <w:r w:rsidRPr="00DE096C">
        <w:rPr>
          <w:rFonts w:ascii="Times New Roman" w:hAnsi="Times New Roman" w:cs="Times New Roman"/>
          <w:bCs/>
          <w:color w:val="002060"/>
          <w:sz w:val="16"/>
          <w:szCs w:val="16"/>
        </w:rPr>
        <w:softHyphen/>
        <w:t>вал профессор Г.Ю. Жуковский. Однако все эти опыты «до сих пор, — то есть к концу 1915 г., — не привели решитель</w:t>
      </w:r>
      <w:r w:rsidRPr="00DE096C">
        <w:rPr>
          <w:rFonts w:ascii="Times New Roman" w:hAnsi="Times New Roman" w:cs="Times New Roman"/>
          <w:bCs/>
          <w:color w:val="002060"/>
          <w:sz w:val="16"/>
          <w:szCs w:val="16"/>
        </w:rPr>
        <w:softHyphen/>
        <w:t>но ни к каким результатам». «Изготовление оптического стекла является делом настолько сложным, что требует... нового оборудования, специальных плавильных печей и разработки особого способа плавки, непрактикуемого на стеклянных заводах, изготовляющих обыкновенное или зеркальное стекло». Надлежит определить условия отжига стекла, состав стекла, подходящий по физическим свой</w:t>
      </w:r>
      <w:r w:rsidRPr="00DE096C">
        <w:rPr>
          <w:rFonts w:ascii="Times New Roman" w:hAnsi="Times New Roman" w:cs="Times New Roman"/>
          <w:bCs/>
          <w:color w:val="002060"/>
          <w:sz w:val="16"/>
          <w:szCs w:val="16"/>
        </w:rPr>
        <w:softHyphen/>
        <w:t>ствам, подобрать сорта глин для горшков. Нужны «такие исключительные условия, которые не встречаются при вы</w:t>
      </w:r>
      <w:r w:rsidRPr="00DE096C">
        <w:rPr>
          <w:rFonts w:ascii="Times New Roman" w:hAnsi="Times New Roman" w:cs="Times New Roman"/>
          <w:bCs/>
          <w:color w:val="002060"/>
          <w:sz w:val="16"/>
          <w:szCs w:val="16"/>
        </w:rPr>
        <w:softHyphen/>
        <w:t>работке даже самых тонких сортов [обычного] стекла». Рос</w:t>
      </w:r>
      <w:r w:rsidRPr="00DE096C">
        <w:rPr>
          <w:rFonts w:ascii="Times New Roman" w:hAnsi="Times New Roman" w:cs="Times New Roman"/>
          <w:bCs/>
          <w:color w:val="002060"/>
          <w:sz w:val="16"/>
          <w:szCs w:val="16"/>
        </w:rPr>
        <w:softHyphen/>
        <w:t>сийские заводы «оказались бессильными самостоятельно решить поставленную задачу» — они «не обладали соответ</w:t>
      </w:r>
      <w:r w:rsidRPr="00DE096C">
        <w:rPr>
          <w:rFonts w:ascii="Times New Roman" w:hAnsi="Times New Roman" w:cs="Times New Roman"/>
          <w:bCs/>
          <w:color w:val="002060"/>
          <w:sz w:val="16"/>
          <w:szCs w:val="16"/>
        </w:rPr>
        <w:softHyphen/>
        <w:t>ствующими научными силами», чтобы «поставить система</w:t>
      </w:r>
      <w:r w:rsidRPr="00DE096C">
        <w:rPr>
          <w:rFonts w:ascii="Times New Roman" w:hAnsi="Times New Roman" w:cs="Times New Roman"/>
          <w:bCs/>
          <w:color w:val="002060"/>
          <w:sz w:val="16"/>
          <w:szCs w:val="16"/>
        </w:rPr>
        <w:softHyphen/>
        <w:t>тические опыты и разъяснить [техникам] основные требо</w:t>
      </w:r>
      <w:r w:rsidRPr="00DE096C">
        <w:rPr>
          <w:rFonts w:ascii="Times New Roman" w:hAnsi="Times New Roman" w:cs="Times New Roman"/>
          <w:bCs/>
          <w:color w:val="002060"/>
          <w:sz w:val="16"/>
          <w:szCs w:val="16"/>
        </w:rPr>
        <w:softHyphen/>
        <w:t>вания производства, а также разыскать причины неудач»; сказывалась и «малая личная заинтересованность работаю</w:t>
      </w:r>
      <w:r w:rsidRPr="00DE096C">
        <w:rPr>
          <w:rFonts w:ascii="Times New Roman" w:hAnsi="Times New Roman" w:cs="Times New Roman"/>
          <w:bCs/>
          <w:color w:val="002060"/>
          <w:sz w:val="16"/>
          <w:szCs w:val="16"/>
        </w:rPr>
        <w:softHyphen/>
        <w:t xml:space="preserve">щих лиц» (РГВИА. Ф. </w:t>
      </w:r>
      <w:r w:rsidRPr="00DE096C">
        <w:rPr>
          <w:rFonts w:ascii="Times New Roman" w:hAnsi="Times New Roman" w:cs="Times New Roman"/>
          <w:bCs/>
          <w:color w:val="002060"/>
          <w:sz w:val="16"/>
          <w:szCs w:val="16"/>
        </w:rPr>
        <w:lastRenderedPageBreak/>
        <w:t xml:space="preserve">504. Оп. 10. Д. 8. Л. 2, 6—7. Рапорт совещательного члена Артиллерийского комитета генерал-лейтенанта А.Л. Королькова, </w:t>
      </w:r>
      <w:r w:rsidRPr="00DE096C">
        <w:rPr>
          <w:rFonts w:ascii="Times New Roman" w:hAnsi="Times New Roman" w:cs="Times New Roman"/>
          <w:bCs/>
          <w:color w:val="002060"/>
          <w:sz w:val="16"/>
          <w:szCs w:val="16"/>
          <w:lang w:bidi="en-US"/>
        </w:rPr>
        <w:t>16.</w:t>
      </w:r>
      <w:r w:rsidRPr="00DE096C">
        <w:rPr>
          <w:rFonts w:ascii="Times New Roman" w:hAnsi="Times New Roman" w:cs="Times New Roman"/>
          <w:bCs/>
          <w:color w:val="002060"/>
          <w:sz w:val="16"/>
          <w:szCs w:val="16"/>
          <w:lang w:val="en-US" w:bidi="en-US"/>
        </w:rPr>
        <w:t>VIII</w:t>
      </w:r>
      <w:r w:rsidRPr="00DE096C">
        <w:rPr>
          <w:rFonts w:ascii="Times New Roman" w:hAnsi="Times New Roman" w:cs="Times New Roman"/>
          <w:bCs/>
          <w:color w:val="002060"/>
          <w:sz w:val="16"/>
          <w:szCs w:val="16"/>
          <w:lang w:bidi="en-US"/>
        </w:rPr>
        <w:t xml:space="preserve">.1914; </w:t>
      </w:r>
      <w:r w:rsidRPr="00DE096C">
        <w:rPr>
          <w:rFonts w:ascii="Times New Roman" w:hAnsi="Times New Roman" w:cs="Times New Roman"/>
          <w:bCs/>
          <w:color w:val="002060"/>
          <w:sz w:val="16"/>
          <w:szCs w:val="16"/>
        </w:rPr>
        <w:t>Жуковский Г.Ю. Производство оптических стекол. Пг., 1918. Ч. 1. С. 37; РГВИА. Ф. 504. Оп. 10. Д. 8. Л. 305 и об. Заключение IV отдела Артиллерийского комитета ГАУ «Об изготовлении на Гусевских хру</w:t>
      </w:r>
      <w:r w:rsidRPr="00DE096C">
        <w:rPr>
          <w:rFonts w:ascii="Times New Roman" w:hAnsi="Times New Roman" w:cs="Times New Roman"/>
          <w:bCs/>
          <w:color w:val="002060"/>
          <w:sz w:val="16"/>
          <w:szCs w:val="16"/>
        </w:rPr>
        <w:softHyphen/>
        <w:t>стальных заводах оптических стекол», 7.Х1.1915).</w:t>
      </w:r>
    </w:p>
    <w:p w14:paraId="73169E9A" w14:textId="77777777" w:rsidR="00633CA8" w:rsidRPr="00DE096C" w:rsidRDefault="00633CA8" w:rsidP="00D45A46">
      <w:pPr>
        <w:pStyle w:val="af7"/>
        <w:spacing w:line="240" w:lineRule="auto"/>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По заданию артиллерийского ведомства Жуковский об</w:t>
      </w:r>
      <w:r w:rsidRPr="00DE096C">
        <w:rPr>
          <w:rFonts w:ascii="Times New Roman" w:hAnsi="Times New Roman" w:cs="Times New Roman"/>
          <w:bCs/>
          <w:color w:val="002060"/>
          <w:sz w:val="16"/>
          <w:szCs w:val="16"/>
        </w:rPr>
        <w:softHyphen/>
        <w:t>следовал частные заводы во Владимирской, Воронежской, Пензенской, Саратовской, Харьковской и Екатеринослав- ской губерниях. Единственным предприятием, подававшим надежды, представлялись ему Мальцовские хрустальные заводы (завод) в Гусе-Хрустальном Владимирской губер</w:t>
      </w:r>
      <w:r w:rsidRPr="00DE096C">
        <w:rPr>
          <w:rFonts w:ascii="Times New Roman" w:hAnsi="Times New Roman" w:cs="Times New Roman"/>
          <w:bCs/>
          <w:color w:val="002060"/>
          <w:sz w:val="16"/>
          <w:szCs w:val="16"/>
        </w:rPr>
        <w:softHyphen/>
        <w:t>нии, «ныне принадлежащие графу Игнатьеву». По донесе</w:t>
      </w:r>
      <w:r w:rsidRPr="00DE096C">
        <w:rPr>
          <w:rFonts w:ascii="Times New Roman" w:hAnsi="Times New Roman" w:cs="Times New Roman"/>
          <w:bCs/>
          <w:color w:val="002060"/>
          <w:sz w:val="16"/>
          <w:szCs w:val="16"/>
        </w:rPr>
        <w:softHyphen/>
        <w:t>нию артиллерийского приемщика, стекольно-хрустальный отдел завода изготовлял по военным заказам фляги, изо</w:t>
      </w:r>
      <w:r w:rsidRPr="00DE096C">
        <w:rPr>
          <w:rFonts w:ascii="Times New Roman" w:hAnsi="Times New Roman" w:cs="Times New Roman"/>
          <w:bCs/>
          <w:color w:val="002060"/>
          <w:sz w:val="16"/>
          <w:szCs w:val="16"/>
        </w:rPr>
        <w:softHyphen/>
        <w:t>ляторы, стекла для фонарей и для противогазных очков (23452).</w:t>
      </w:r>
    </w:p>
    <w:p w14:paraId="45CF5FC6" w14:textId="77777777" w:rsidR="00633CA8" w:rsidRPr="00DE096C" w:rsidRDefault="00633CA8" w:rsidP="00D45A46">
      <w:pPr>
        <w:jc w:val="both"/>
        <w:rPr>
          <w:bCs/>
          <w:color w:val="002060"/>
          <w:sz w:val="16"/>
          <w:szCs w:val="16"/>
          <w:lang w:bidi="ru-RU"/>
        </w:rPr>
      </w:pPr>
    </w:p>
    <w:p w14:paraId="5C34B722" w14:textId="77777777" w:rsidR="00214B12" w:rsidRPr="00DE096C" w:rsidRDefault="00214B12" w:rsidP="00D45A46">
      <w:pPr>
        <w:shd w:val="clear" w:color="auto" w:fill="FFFFFF"/>
        <w:jc w:val="both"/>
        <w:rPr>
          <w:bCs/>
          <w:i/>
          <w:color w:val="002060"/>
          <w:sz w:val="16"/>
          <w:szCs w:val="16"/>
        </w:rPr>
      </w:pPr>
      <w:r w:rsidRPr="00DE096C">
        <w:rPr>
          <w:bCs/>
          <w:i/>
          <w:color w:val="002060"/>
          <w:sz w:val="16"/>
          <w:szCs w:val="16"/>
        </w:rPr>
        <w:t>Авиация:</w:t>
      </w:r>
    </w:p>
    <w:p w14:paraId="6D62805F" w14:textId="77777777" w:rsidR="00214B12" w:rsidRPr="00DE096C" w:rsidRDefault="00214B12" w:rsidP="00D45A46">
      <w:pPr>
        <w:shd w:val="clear" w:color="auto" w:fill="FFFFFF"/>
        <w:jc w:val="both"/>
        <w:rPr>
          <w:bCs/>
          <w:i/>
          <w:color w:val="002060"/>
          <w:sz w:val="16"/>
          <w:szCs w:val="16"/>
        </w:rPr>
      </w:pPr>
    </w:p>
    <w:p w14:paraId="76E3A15D" w14:textId="77777777" w:rsidR="00214B12" w:rsidRPr="00DE096C" w:rsidRDefault="00214B12" w:rsidP="00D45A46">
      <w:pPr>
        <w:jc w:val="both"/>
        <w:rPr>
          <w:bCs/>
          <w:color w:val="002060"/>
          <w:sz w:val="16"/>
          <w:szCs w:val="16"/>
        </w:rPr>
      </w:pPr>
      <w:r w:rsidRPr="00DE096C">
        <w:rPr>
          <w:bCs/>
          <w:color w:val="002060"/>
          <w:sz w:val="16"/>
          <w:szCs w:val="16"/>
        </w:rPr>
        <w:t>В начале августа 1914 г. показали войсковому командованию, что авиация является весьма действенным средством для получения данных о противнике. Неясность обстановки на Северо-Западном и Юго-Западном фронтах требовала все более интенсивной работы воздушных разведчиков. Однако увеличение боевого напряжения уже через семь – десять дней приграничной войны привело к большим потерям авиационной техники. Чтобы вообще не лишиться средств воздушной разведки, Верховный Главнокомандующий издал 12 августа 1914 г. приказ № 6 с требованием использовать авиацию лишь при «действительной необходимости», однако никто не мог определить ее пределы (19566).</w:t>
      </w:r>
    </w:p>
    <w:p w14:paraId="15B25982" w14:textId="77777777" w:rsidR="00214B12" w:rsidRPr="00DE096C" w:rsidRDefault="00214B12" w:rsidP="00D45A46">
      <w:pPr>
        <w:jc w:val="both"/>
        <w:rPr>
          <w:bCs/>
          <w:color w:val="002060"/>
          <w:sz w:val="16"/>
          <w:szCs w:val="16"/>
        </w:rPr>
      </w:pPr>
    </w:p>
    <w:p w14:paraId="5B684445" w14:textId="77777777" w:rsidR="00633CA8" w:rsidRPr="00DE096C" w:rsidRDefault="00633CA8" w:rsidP="00D45A46">
      <w:pPr>
        <w:jc w:val="both"/>
        <w:rPr>
          <w:bCs/>
          <w:color w:val="002060"/>
          <w:sz w:val="16"/>
          <w:szCs w:val="16"/>
        </w:rPr>
      </w:pPr>
      <w:r w:rsidRPr="00DE096C">
        <w:rPr>
          <w:bCs/>
          <w:color w:val="002060"/>
          <w:sz w:val="16"/>
          <w:szCs w:val="16"/>
        </w:rPr>
        <w:t>С начала августа 1914 г., когда началась Первая мировая война, пять уцелев</w:t>
      </w:r>
      <w:r w:rsidRPr="00DE096C">
        <w:rPr>
          <w:bCs/>
          <w:color w:val="002060"/>
          <w:sz w:val="16"/>
          <w:szCs w:val="16"/>
        </w:rPr>
        <w:softHyphen/>
        <w:t>ших после года эксплуатации «Кертиссов» (№№ 5, 7, 8, 9 и 10) свели в специальный авиаотряд, предназначен</w:t>
      </w:r>
      <w:r w:rsidRPr="00DE096C">
        <w:rPr>
          <w:bCs/>
          <w:color w:val="002060"/>
          <w:sz w:val="16"/>
          <w:szCs w:val="16"/>
        </w:rPr>
        <w:softHyphen/>
        <w:t>ный для обучения летчиков и наблюдательных полетов в окрестностях Севастополя. Полеты совершались почти каждый день, патрулировалась зона глубиной до 80 км.</w:t>
      </w:r>
    </w:p>
    <w:p w14:paraId="4A0FED99" w14:textId="77777777" w:rsidR="00633CA8" w:rsidRPr="00DE096C" w:rsidRDefault="00633CA8" w:rsidP="00D45A46">
      <w:pPr>
        <w:jc w:val="both"/>
        <w:rPr>
          <w:bCs/>
          <w:color w:val="002060"/>
          <w:sz w:val="16"/>
          <w:szCs w:val="16"/>
        </w:rPr>
      </w:pPr>
      <w:r w:rsidRPr="00DE096C">
        <w:rPr>
          <w:bCs/>
          <w:color w:val="002060"/>
          <w:sz w:val="16"/>
          <w:szCs w:val="16"/>
        </w:rPr>
        <w:t>Некоторые из «Кертиссов» в первые месяцы войны летали также в районе Батуми и устья Дуная для раз</w:t>
      </w:r>
      <w:r w:rsidRPr="00DE096C">
        <w:rPr>
          <w:bCs/>
          <w:color w:val="002060"/>
          <w:sz w:val="16"/>
          <w:szCs w:val="16"/>
        </w:rPr>
        <w:softHyphen/>
        <w:t>ведки диспозиции турецких и румынских войск (23545).</w:t>
      </w:r>
    </w:p>
    <w:p w14:paraId="601ADAF3" w14:textId="77777777" w:rsidR="00633CA8" w:rsidRPr="00DE096C" w:rsidRDefault="00633CA8" w:rsidP="00D45A46">
      <w:pPr>
        <w:jc w:val="both"/>
        <w:rPr>
          <w:bCs/>
          <w:color w:val="002060"/>
          <w:sz w:val="16"/>
          <w:szCs w:val="16"/>
          <w:lang w:bidi="en-US"/>
        </w:rPr>
      </w:pPr>
    </w:p>
    <w:p w14:paraId="534B2CDF" w14:textId="77777777" w:rsidR="00F62B85" w:rsidRPr="00B52707" w:rsidRDefault="00F62B85" w:rsidP="00F62B85">
      <w:pPr>
        <w:jc w:val="both"/>
        <w:rPr>
          <w:color w:val="0070C0"/>
          <w:sz w:val="16"/>
          <w:szCs w:val="16"/>
        </w:rPr>
      </w:pPr>
      <w:r w:rsidRPr="00B52707">
        <w:rPr>
          <w:color w:val="0070C0"/>
          <w:sz w:val="16"/>
          <w:szCs w:val="16"/>
        </w:rPr>
        <w:t>В начале августа 1914 г., когда 11-й корпусной авиаотряд (далее сокращенно - као) (командир П.Н.Нестеров) стоял в Дубно, Нестеров приделал специальный нож кхвостовой части фюзеляжа моноплана «Моран-Ж». Этот нож предназначался для разрезания оболочки неприятельских аэростатов. Способ атаки, который сейчас можно назвать примитивным и даже наивным, предполагал, что летчик должен, пролетев вплотную над аэростатом, «полоснуть» ножом по его оболочке. Этот трюк, разумеется, требовал от пилота филигранного владения машиной и, скорее всего, мог окончиться простым столкновением. До практического применения дело не дошло, так же, как и у другого приспособления Нестерова, которое он в том же месяце установил на своем моноплане «Ньюпор». Оно представляло собой длинный трос с грузом, которым автор идеи «надеялся опутать винтнеприятельского аэроплана, пролетая перед носом такового» (25147).</w:t>
      </w:r>
    </w:p>
    <w:p w14:paraId="06055130" w14:textId="77777777" w:rsidR="00F62B85" w:rsidRPr="00B52707" w:rsidRDefault="00F62B85" w:rsidP="00F62B85">
      <w:pPr>
        <w:jc w:val="both"/>
        <w:rPr>
          <w:color w:val="0070C0"/>
          <w:sz w:val="16"/>
          <w:szCs w:val="16"/>
        </w:rPr>
      </w:pPr>
    </w:p>
    <w:p w14:paraId="76209947" w14:textId="77777777" w:rsidR="00403316" w:rsidRPr="00DE096C" w:rsidRDefault="00403316" w:rsidP="00D45A46">
      <w:pPr>
        <w:jc w:val="both"/>
        <w:rPr>
          <w:bCs/>
          <w:i/>
          <w:color w:val="002060"/>
          <w:sz w:val="16"/>
          <w:szCs w:val="16"/>
        </w:rPr>
      </w:pPr>
      <w:r w:rsidRPr="00DE096C">
        <w:rPr>
          <w:bCs/>
          <w:i/>
          <w:color w:val="002060"/>
          <w:sz w:val="16"/>
          <w:szCs w:val="16"/>
        </w:rPr>
        <w:t>За рубежом:</w:t>
      </w:r>
    </w:p>
    <w:p w14:paraId="5BA53CD1" w14:textId="77777777" w:rsidR="00403316" w:rsidRPr="00DE096C" w:rsidRDefault="00403316" w:rsidP="00D45A46">
      <w:pPr>
        <w:jc w:val="both"/>
        <w:rPr>
          <w:bCs/>
          <w:color w:val="002060"/>
          <w:sz w:val="16"/>
          <w:szCs w:val="16"/>
        </w:rPr>
      </w:pPr>
    </w:p>
    <w:p w14:paraId="65990FB6" w14:textId="77777777" w:rsidR="003844F9" w:rsidRPr="00B52707" w:rsidRDefault="003844F9" w:rsidP="003844F9">
      <w:pPr>
        <w:jc w:val="both"/>
        <w:rPr>
          <w:color w:val="0070C0"/>
          <w:sz w:val="16"/>
          <w:szCs w:val="16"/>
        </w:rPr>
      </w:pPr>
      <w:r w:rsidRPr="00B52707">
        <w:rPr>
          <w:color w:val="0070C0"/>
          <w:sz w:val="16"/>
          <w:szCs w:val="16"/>
        </w:rPr>
        <w:t>К концу первой недели августа 1914 г. в связи с началом войны с Германией Морское министерство Франции оформило заказ фирме Моран-Солнье на 60 серийных самолетов Тип G «Гидро».</w:t>
      </w:r>
    </w:p>
    <w:p w14:paraId="3BFCB413" w14:textId="77777777" w:rsidR="003844F9" w:rsidRPr="00B52707" w:rsidRDefault="003844F9" w:rsidP="003844F9">
      <w:pPr>
        <w:jc w:val="both"/>
        <w:rPr>
          <w:color w:val="0070C0"/>
          <w:sz w:val="16"/>
          <w:szCs w:val="16"/>
        </w:rPr>
      </w:pPr>
      <w:r w:rsidRPr="00B52707">
        <w:rPr>
          <w:color w:val="0070C0"/>
          <w:sz w:val="16"/>
          <w:szCs w:val="16"/>
        </w:rPr>
        <w:t>В сентябре 1914 г. все заказанные самолеты этой модификации сданы в строевые части. Сделаны они были в большой спешке с заказом многих деталей и узлов, а также комплектов поплавкового шасси «на стороне», и как оказалось, не очень качественно (25442).</w:t>
      </w:r>
    </w:p>
    <w:p w14:paraId="68951983" w14:textId="77777777" w:rsidR="003844F9" w:rsidRPr="00B52707" w:rsidRDefault="003844F9" w:rsidP="003844F9">
      <w:pPr>
        <w:jc w:val="both"/>
        <w:rPr>
          <w:color w:val="0070C0"/>
          <w:sz w:val="16"/>
          <w:szCs w:val="16"/>
        </w:rPr>
      </w:pPr>
    </w:p>
    <w:p w14:paraId="6D1AF9DC" w14:textId="77777777" w:rsidR="00403316" w:rsidRPr="00DE096C" w:rsidRDefault="00403316" w:rsidP="00D45A46">
      <w:pPr>
        <w:jc w:val="both"/>
        <w:rPr>
          <w:bCs/>
          <w:color w:val="002060"/>
          <w:sz w:val="16"/>
          <w:szCs w:val="16"/>
        </w:rPr>
      </w:pPr>
      <w:r w:rsidRPr="00DE096C">
        <w:rPr>
          <w:bCs/>
          <w:color w:val="002060"/>
          <w:sz w:val="16"/>
          <w:szCs w:val="16"/>
        </w:rPr>
        <w:t>В первую неделю августа 1914 из 120 бирж во всём мире работали только шесть в трёх из 43 стран, где вообще велись какие-то торги акциями (18155).</w:t>
      </w:r>
    </w:p>
    <w:p w14:paraId="3EF06841" w14:textId="77777777" w:rsidR="00403316" w:rsidRPr="00DE096C" w:rsidRDefault="00403316" w:rsidP="00D45A46">
      <w:pPr>
        <w:jc w:val="both"/>
        <w:rPr>
          <w:bCs/>
          <w:color w:val="002060"/>
          <w:sz w:val="16"/>
          <w:szCs w:val="16"/>
        </w:rPr>
      </w:pPr>
    </w:p>
    <w:p w14:paraId="18BDF878" w14:textId="1F5D41C7" w:rsidR="00D94D44" w:rsidRDefault="00D94D44" w:rsidP="00D45A46">
      <w:pPr>
        <w:shd w:val="clear" w:color="auto" w:fill="FFFFFF"/>
        <w:jc w:val="both"/>
        <w:rPr>
          <w:bCs/>
          <w:i/>
          <w:color w:val="002060"/>
          <w:sz w:val="16"/>
          <w:szCs w:val="16"/>
        </w:rPr>
      </w:pPr>
      <w:r>
        <w:rPr>
          <w:bCs/>
          <w:i/>
          <w:color w:val="002060"/>
          <w:sz w:val="16"/>
          <w:szCs w:val="16"/>
        </w:rPr>
        <w:t>А</w:t>
      </w:r>
      <w:r w:rsidRPr="00DE096C">
        <w:rPr>
          <w:bCs/>
          <w:i/>
          <w:color w:val="002060"/>
          <w:sz w:val="16"/>
          <w:szCs w:val="16"/>
        </w:rPr>
        <w:t>виация:</w:t>
      </w:r>
    </w:p>
    <w:p w14:paraId="3B6E4CAE" w14:textId="77777777" w:rsidR="00D94D44" w:rsidRDefault="00D94D44" w:rsidP="00D45A46">
      <w:pPr>
        <w:shd w:val="clear" w:color="auto" w:fill="FFFFFF"/>
        <w:jc w:val="both"/>
        <w:rPr>
          <w:bCs/>
          <w:i/>
          <w:color w:val="002060"/>
          <w:sz w:val="16"/>
          <w:szCs w:val="16"/>
        </w:rPr>
      </w:pPr>
    </w:p>
    <w:p w14:paraId="359F2E82" w14:textId="77777777" w:rsidR="00D94D44" w:rsidRPr="00DE096C" w:rsidRDefault="00D94D44" w:rsidP="00D94D44">
      <w:pPr>
        <w:jc w:val="both"/>
        <w:rPr>
          <w:bCs/>
          <w:color w:val="002060"/>
          <w:sz w:val="16"/>
          <w:szCs w:val="16"/>
        </w:rPr>
      </w:pPr>
      <w:r w:rsidRPr="00DE096C">
        <w:rPr>
          <w:bCs/>
          <w:color w:val="002060"/>
          <w:sz w:val="16"/>
          <w:szCs w:val="16"/>
        </w:rPr>
        <w:t>8 (21) августа 1914 г. ночью, освещая землю под собой сильным прожектором, немецкий аэроплан кружил над Митавой.</w:t>
      </w:r>
    </w:p>
    <w:p w14:paraId="36C7FDCE" w14:textId="77777777" w:rsidR="00D94D44" w:rsidRPr="00DE096C" w:rsidRDefault="00D94D44" w:rsidP="00D94D44">
      <w:pPr>
        <w:shd w:val="clear" w:color="auto" w:fill="FFFFFF"/>
        <w:jc w:val="both"/>
        <w:rPr>
          <w:bCs/>
          <w:i/>
          <w:color w:val="002060"/>
          <w:sz w:val="16"/>
          <w:szCs w:val="16"/>
        </w:rPr>
      </w:pPr>
    </w:p>
    <w:p w14:paraId="5DACD3D3" w14:textId="456311E4" w:rsidR="00B67D7C" w:rsidRPr="00DE096C" w:rsidRDefault="00B67D7C" w:rsidP="00D45A46">
      <w:pPr>
        <w:jc w:val="both"/>
        <w:rPr>
          <w:bCs/>
          <w:color w:val="002060"/>
          <w:sz w:val="16"/>
          <w:szCs w:val="16"/>
        </w:rPr>
      </w:pPr>
      <w:r w:rsidRPr="00DE096C">
        <w:rPr>
          <w:bCs/>
          <w:color w:val="002060"/>
          <w:sz w:val="16"/>
          <w:szCs w:val="16"/>
        </w:rPr>
        <w:t xml:space="preserve">8 </w:t>
      </w:r>
      <w:r w:rsidR="00E72378" w:rsidRPr="00DE096C">
        <w:rPr>
          <w:bCs/>
          <w:color w:val="002060"/>
          <w:sz w:val="16"/>
          <w:szCs w:val="16"/>
        </w:rPr>
        <w:t xml:space="preserve">(21) </w:t>
      </w:r>
      <w:r w:rsidRPr="00DE096C">
        <w:rPr>
          <w:bCs/>
          <w:color w:val="002060"/>
          <w:sz w:val="16"/>
          <w:szCs w:val="16"/>
        </w:rPr>
        <w:t xml:space="preserve">августа 1914 </w:t>
      </w:r>
      <w:r w:rsidR="00E72378" w:rsidRPr="00DE096C">
        <w:rPr>
          <w:bCs/>
          <w:color w:val="002060"/>
          <w:sz w:val="16"/>
          <w:szCs w:val="16"/>
        </w:rPr>
        <w:t xml:space="preserve">г. в 4 часа 30 минут </w:t>
      </w:r>
      <w:r w:rsidRPr="00DE096C">
        <w:rPr>
          <w:bCs/>
          <w:color w:val="002060"/>
          <w:sz w:val="16"/>
          <w:szCs w:val="16"/>
        </w:rPr>
        <w:t xml:space="preserve">Нагурский и Кузнецов вылетели на обследование западного берега Новой Земли. В полете Нагурский ориентировался по береговой линии Новой Земли и показаниям компаса. От мыса Борисова начались редкий лед и торосы, потом с севера надвинулся густой туман и облака. Ориентировка затруднилась — пришлось лететь по компасу. И здесь предусмотрительность Нагурского, захватившего компас отечественного изготовления, оказалась нелишней — французский компас отказал. Пришлось лететь почти целый час вне видимости. [57] Разглядеть земные ориентиры удалось только в районе Горбовых островов. Во всех проливах стоял старый, нетронутый лед. Нагурский пролетел к мысу Литке, обогнул его и направил свою машину обратно. У острова Панкратьева не смог сесть из-за льда и тумана, пришлось лететь дальше на юг. </w:t>
      </w:r>
    </w:p>
    <w:p w14:paraId="4A47373E" w14:textId="77777777" w:rsidR="00B67D7C" w:rsidRPr="00DE096C" w:rsidRDefault="00B67D7C" w:rsidP="00D45A46">
      <w:pPr>
        <w:jc w:val="both"/>
        <w:rPr>
          <w:bCs/>
          <w:color w:val="002060"/>
          <w:sz w:val="16"/>
          <w:szCs w:val="16"/>
        </w:rPr>
      </w:pPr>
      <w:r w:rsidRPr="00DE096C">
        <w:rPr>
          <w:bCs/>
          <w:color w:val="002060"/>
          <w:sz w:val="16"/>
          <w:szCs w:val="16"/>
        </w:rPr>
        <w:t xml:space="preserve">Сесть удалось в 8 часов 50 минут у мыса Борисова. </w:t>
      </w:r>
    </w:p>
    <w:p w14:paraId="291F2D73" w14:textId="77777777" w:rsidR="00B67D7C" w:rsidRPr="00DE096C" w:rsidRDefault="00B67D7C" w:rsidP="00D45A46">
      <w:pPr>
        <w:jc w:val="both"/>
        <w:rPr>
          <w:bCs/>
          <w:color w:val="002060"/>
          <w:sz w:val="16"/>
          <w:szCs w:val="16"/>
        </w:rPr>
      </w:pPr>
      <w:r w:rsidRPr="00DE096C">
        <w:rPr>
          <w:bCs/>
          <w:color w:val="002060"/>
          <w:sz w:val="16"/>
          <w:szCs w:val="16"/>
        </w:rPr>
        <w:t>В воздухе в общей сложности летчики пробыли 4 часа 20 минут. Подойти к берегу в этом месте было трудно: был он высок, скалист, перед ним — торчащие из воды камни. Несколько раз при рулежке натыкались на них. В результате пострадал левый поплавок, в который потом постоянно набиралась вода. Чтобы выйти на берег, пришлось лезть в воду (Альбатросы)</w:t>
      </w:r>
    </w:p>
    <w:p w14:paraId="2C1F6C25" w14:textId="77777777" w:rsidR="00B67D7C" w:rsidRPr="00DE096C" w:rsidRDefault="00B67D7C" w:rsidP="00D45A46">
      <w:pPr>
        <w:shd w:val="clear" w:color="auto" w:fill="FFFFFF"/>
        <w:jc w:val="both"/>
        <w:rPr>
          <w:bCs/>
          <w:color w:val="002060"/>
          <w:sz w:val="16"/>
          <w:szCs w:val="16"/>
        </w:rPr>
      </w:pPr>
    </w:p>
    <w:p w14:paraId="4C849956" w14:textId="50B6D59E" w:rsidR="00B67D7C" w:rsidRPr="00DE096C" w:rsidRDefault="00B67D7C" w:rsidP="00D45A46">
      <w:pPr>
        <w:pStyle w:val="a3"/>
        <w:jc w:val="both"/>
        <w:rPr>
          <w:bCs/>
          <w:color w:val="002060"/>
          <w:spacing w:val="0"/>
          <w:position w:val="0"/>
          <w:sz w:val="16"/>
          <w:szCs w:val="16"/>
        </w:rPr>
      </w:pPr>
      <w:r w:rsidRPr="00DE096C">
        <w:rPr>
          <w:bCs/>
          <w:i w:val="0"/>
          <w:color w:val="002060"/>
          <w:spacing w:val="0"/>
          <w:position w:val="0"/>
          <w:sz w:val="16"/>
          <w:szCs w:val="16"/>
        </w:rPr>
        <w:t xml:space="preserve">8 (21) августа 1914 </w:t>
      </w:r>
      <w:r w:rsidR="00E72378" w:rsidRPr="00DE096C">
        <w:rPr>
          <w:bCs/>
          <w:i w:val="0"/>
          <w:color w:val="002060"/>
          <w:spacing w:val="0"/>
          <w:position w:val="0"/>
          <w:sz w:val="16"/>
          <w:szCs w:val="16"/>
        </w:rPr>
        <w:t xml:space="preserve">г. </w:t>
      </w:r>
      <w:r w:rsidRPr="00DE096C">
        <w:rPr>
          <w:bCs/>
          <w:i w:val="0"/>
          <w:color w:val="002060"/>
          <w:spacing w:val="0"/>
          <w:position w:val="0"/>
          <w:sz w:val="16"/>
          <w:szCs w:val="16"/>
        </w:rPr>
        <w:t>состоялся первый полет на самолете в Арктике. Морской летчик по адмиралтейству, Иван (Ян) Иосифович Нагурский гидросамолете "морио Фарман" с механиком Евгением МихайловичемКузнецовым</w:t>
      </w:r>
      <w:r w:rsidRPr="00DE096C">
        <w:rPr>
          <w:bCs/>
          <w:i w:val="0"/>
          <w:color w:val="002060"/>
          <w:spacing w:val="0"/>
          <w:position w:val="0"/>
          <w:sz w:val="16"/>
          <w:szCs w:val="16"/>
          <w:vertAlign w:val="superscript"/>
        </w:rPr>
        <w:t>х</w:t>
      </w:r>
      <w:r w:rsidRPr="00DE096C">
        <w:rPr>
          <w:bCs/>
          <w:i w:val="0"/>
          <w:color w:val="002060"/>
          <w:spacing w:val="0"/>
          <w:position w:val="0"/>
          <w:sz w:val="16"/>
          <w:szCs w:val="16"/>
        </w:rPr>
        <w:t>совершил полет вдоль западного побережья Новой Земли от Крестовой губы до Баренцевых островов и обратно (420 км). Полет был предпринят для розысков экспедиции Г.Я.Седова. Нагурский продолжал поиски до конца августа сделав всего пять разведывательных полетов, удаляясь иногда на 100 км от берега. Экспедицию Нагурский не нашел, но полеты его внесли цен-сведения в освоение Арктики. Он впервые описал условия арктических полетов и указал на возможность достижения Северного полюса на самолете. ("Воздушные пути Севера", 1933, стр.1б-18).</w:t>
      </w:r>
    </w:p>
    <w:p w14:paraId="15FB668A" w14:textId="77777777" w:rsidR="00B67D7C" w:rsidRPr="00DE096C" w:rsidRDefault="00B67D7C" w:rsidP="00D45A46">
      <w:pPr>
        <w:shd w:val="clear" w:color="auto" w:fill="FFFFFF"/>
        <w:jc w:val="both"/>
        <w:rPr>
          <w:bCs/>
          <w:color w:val="002060"/>
          <w:sz w:val="16"/>
          <w:szCs w:val="16"/>
        </w:rPr>
      </w:pPr>
    </w:p>
    <w:p w14:paraId="63836C83" w14:textId="1125E669" w:rsidR="00B67D7C" w:rsidRPr="00DE096C" w:rsidRDefault="00B67D7C" w:rsidP="00D45A46">
      <w:pPr>
        <w:jc w:val="both"/>
        <w:rPr>
          <w:bCs/>
          <w:color w:val="002060"/>
          <w:sz w:val="16"/>
          <w:szCs w:val="16"/>
        </w:rPr>
      </w:pPr>
      <w:r w:rsidRPr="00DE096C">
        <w:rPr>
          <w:bCs/>
          <w:color w:val="002060"/>
          <w:sz w:val="16"/>
          <w:szCs w:val="16"/>
        </w:rPr>
        <w:t xml:space="preserve">8 </w:t>
      </w:r>
      <w:r w:rsidR="006C0839" w:rsidRPr="00DE096C">
        <w:rPr>
          <w:bCs/>
          <w:color w:val="002060"/>
          <w:sz w:val="16"/>
          <w:szCs w:val="16"/>
        </w:rPr>
        <w:t xml:space="preserve">(21) </w:t>
      </w:r>
      <w:r w:rsidRPr="00DE096C">
        <w:rPr>
          <w:bCs/>
          <w:color w:val="002060"/>
          <w:sz w:val="16"/>
          <w:szCs w:val="16"/>
        </w:rPr>
        <w:t xml:space="preserve">августа </w:t>
      </w:r>
      <w:r w:rsidR="006C0839" w:rsidRPr="00DE096C">
        <w:rPr>
          <w:bCs/>
          <w:color w:val="002060"/>
          <w:sz w:val="16"/>
          <w:szCs w:val="16"/>
        </w:rPr>
        <w:t>1914 г. в</w:t>
      </w:r>
      <w:r w:rsidR="00E72378" w:rsidRPr="00DE096C">
        <w:rPr>
          <w:bCs/>
          <w:color w:val="002060"/>
          <w:sz w:val="16"/>
          <w:szCs w:val="16"/>
        </w:rPr>
        <w:t xml:space="preserve"> 4 часа 30 минут </w:t>
      </w:r>
      <w:r w:rsidRPr="00DE096C">
        <w:rPr>
          <w:bCs/>
          <w:color w:val="002060"/>
          <w:sz w:val="16"/>
          <w:szCs w:val="16"/>
        </w:rPr>
        <w:t>Нагурский и Кузнецов вылетели на обследование западного берега Новой Земли. В полете Нагурский ориентировался по береговой линии Новой Земли и показаниям компаса. От мыса Борисова начались редкий лед и торосы, потом с севера надвинулся густой туман и облака. Ориентировка затруднилась — пришлось лететь по компасу. И здесь предусмотрительность Нагурского, захватившего компас отечественного изготовления, оказалась нелишней — французский компас отказал. Пришлось лететь почти целый час вне видимости. Разглядеть земные ориентиры удалось только в районе Горбовых островов. Во всех проливах стоял старый, нетронутый лед. Нагурский пролетел к мысу Литке, обогнул его и направил свою машину обратно. У острова Панкратьева не смог сесть из-за льда и тумана, пришлось лететь дальше на юг.</w:t>
      </w:r>
    </w:p>
    <w:p w14:paraId="43E6C55E" w14:textId="77777777" w:rsidR="00B67D7C" w:rsidRPr="00DE096C" w:rsidRDefault="00B67D7C" w:rsidP="00D45A46">
      <w:pPr>
        <w:jc w:val="both"/>
        <w:rPr>
          <w:bCs/>
          <w:color w:val="002060"/>
          <w:sz w:val="16"/>
          <w:szCs w:val="16"/>
        </w:rPr>
      </w:pPr>
      <w:r w:rsidRPr="00DE096C">
        <w:rPr>
          <w:bCs/>
          <w:color w:val="002060"/>
          <w:sz w:val="16"/>
          <w:szCs w:val="16"/>
        </w:rPr>
        <w:t>Сесть удалось в 8 часов 50 минут у мыса Борисова.</w:t>
      </w:r>
    </w:p>
    <w:p w14:paraId="072E7095" w14:textId="77777777" w:rsidR="00B67D7C" w:rsidRPr="00DE096C" w:rsidRDefault="00B67D7C" w:rsidP="00D45A46">
      <w:pPr>
        <w:jc w:val="both"/>
        <w:rPr>
          <w:bCs/>
          <w:color w:val="002060"/>
          <w:sz w:val="16"/>
          <w:szCs w:val="16"/>
        </w:rPr>
      </w:pPr>
      <w:r w:rsidRPr="00DE096C">
        <w:rPr>
          <w:bCs/>
          <w:color w:val="002060"/>
          <w:sz w:val="16"/>
          <w:szCs w:val="16"/>
        </w:rPr>
        <w:t>В воздухе в общей сложности летчики пробыли 4 часа 20 минут. Подойти к берегу в этом месте было трудно: был он высок, скалист, перед ним — торчащие из воды камни. Несколько раз при рулежке натыкались на них. В результате пострадал левый поплавок, в который потом постоянно набиралась вода. Чтобы выйти на берег, пришлось лезть в воду.</w:t>
      </w:r>
    </w:p>
    <w:p w14:paraId="1BA1B7E8" w14:textId="77777777" w:rsidR="00B67D7C" w:rsidRPr="00DE096C" w:rsidRDefault="00B67D7C" w:rsidP="00D45A46">
      <w:pPr>
        <w:jc w:val="both"/>
        <w:rPr>
          <w:bCs/>
          <w:color w:val="002060"/>
          <w:sz w:val="16"/>
          <w:szCs w:val="16"/>
        </w:rPr>
      </w:pPr>
      <w:r w:rsidRPr="00DE096C">
        <w:rPr>
          <w:bCs/>
          <w:color w:val="002060"/>
          <w:sz w:val="16"/>
          <w:szCs w:val="16"/>
        </w:rPr>
        <w:t>Основательно закрепив аппарат, летчики развели костры из плавника и, утомленные перелетом, моментально уснули.</w:t>
      </w:r>
    </w:p>
    <w:p w14:paraId="26190677" w14:textId="77777777" w:rsidR="00B67D7C" w:rsidRPr="00DE096C" w:rsidRDefault="00B67D7C" w:rsidP="00D45A46">
      <w:pPr>
        <w:jc w:val="both"/>
        <w:rPr>
          <w:bCs/>
          <w:color w:val="002060"/>
          <w:sz w:val="16"/>
          <w:szCs w:val="16"/>
        </w:rPr>
      </w:pPr>
      <w:r w:rsidRPr="00DE096C">
        <w:rPr>
          <w:bCs/>
          <w:color w:val="002060"/>
          <w:sz w:val="16"/>
          <w:szCs w:val="16"/>
        </w:rPr>
        <w:t>Мимо стоянки самолета следовало судно «Андромеда», которое и заправило его топливом и маслом. 9 августа Нагурский поднял самолет в воздух, чтобы обследовать положение льдов у Горбовых островов и сесть у Заячьего острова, где была промысловая избушка.</w:t>
      </w:r>
    </w:p>
    <w:p w14:paraId="2919CC23" w14:textId="77777777" w:rsidR="00B67D7C" w:rsidRPr="00DE096C" w:rsidRDefault="00B67D7C" w:rsidP="00D45A46">
      <w:pPr>
        <w:jc w:val="both"/>
        <w:rPr>
          <w:bCs/>
          <w:color w:val="002060"/>
          <w:sz w:val="16"/>
          <w:szCs w:val="16"/>
        </w:rPr>
      </w:pPr>
      <w:r w:rsidRPr="00DE096C">
        <w:rPr>
          <w:bCs/>
          <w:color w:val="002060"/>
          <w:sz w:val="16"/>
          <w:szCs w:val="16"/>
        </w:rPr>
        <w:t>Полет проходил на высоте 1000 метров, погода была ясная. Выяснилось, что Архангельская губа, проливы между островами Берха, Лучухиным и Заячьим забиты льдом. Эта первая в мире ледовая разведка была сделана в интересах капитана судна «Андромеда», который должен был заложить склад продовольствия на Заячьем острове для пропавших без вести экспедиции Г. Я. Седова, Г. Л. Брусилова и В. А. Русанова.</w:t>
      </w:r>
    </w:p>
    <w:p w14:paraId="5DB92A70" w14:textId="77777777" w:rsidR="00B67D7C" w:rsidRPr="00DE096C" w:rsidRDefault="00B67D7C" w:rsidP="00D45A46">
      <w:pPr>
        <w:jc w:val="both"/>
        <w:rPr>
          <w:bCs/>
          <w:color w:val="002060"/>
          <w:sz w:val="16"/>
          <w:szCs w:val="16"/>
        </w:rPr>
      </w:pPr>
      <w:r w:rsidRPr="00DE096C">
        <w:rPr>
          <w:bCs/>
          <w:color w:val="002060"/>
          <w:sz w:val="16"/>
          <w:szCs w:val="16"/>
        </w:rPr>
        <w:t>В 6 часов 15 минут Нагурский благополучно сел у Архангельской губы, где стал поджидать "Андромеду". После этого полета моторист Евгений Кузнецов заболел. Его служба проходила раньше на Черном море, и он так и не привык к холодам этих мест.</w:t>
      </w:r>
    </w:p>
    <w:p w14:paraId="239DEEB8" w14:textId="77777777" w:rsidR="00B67D7C" w:rsidRPr="00DE096C" w:rsidRDefault="00B67D7C" w:rsidP="00D45A46">
      <w:pPr>
        <w:jc w:val="both"/>
        <w:rPr>
          <w:bCs/>
          <w:i/>
          <w:color w:val="002060"/>
          <w:sz w:val="16"/>
          <w:szCs w:val="16"/>
        </w:rPr>
      </w:pPr>
    </w:p>
    <w:p w14:paraId="000572CD" w14:textId="77777777" w:rsidR="009536C8" w:rsidRPr="00DE096C" w:rsidRDefault="009536C8" w:rsidP="00D45A46">
      <w:pPr>
        <w:jc w:val="both"/>
        <w:rPr>
          <w:bCs/>
          <w:color w:val="002060"/>
          <w:sz w:val="16"/>
          <w:szCs w:val="16"/>
        </w:rPr>
      </w:pPr>
      <w:r w:rsidRPr="00DE096C">
        <w:rPr>
          <w:bCs/>
          <w:color w:val="002060"/>
          <w:sz w:val="16"/>
          <w:szCs w:val="16"/>
        </w:rPr>
        <w:t>8 (21) августа 1914 г. состоялся первый полет на самолете в Арктике. Морской летчик, поручик по адмиралтейству, Иван /ян/ Иосифович Нагурский на гидросамолете Морис Фарман с механиком Евгением Михайловичем Кузнецовым совершил полет вдоль западного побережья Новой Земли от Крестовой губы до Варенцовых островов и обратно /420 км/. Полет был предпринят для розыска экспедиции Г. Я. Седова. Нагурский продолжал поиски до конца августа, сделав всего пять разведывательных полетов, удаляясь иногда на 100 км от берега. Экспедицию Нагурский не нашел, но полеты его внесли ценные сведения в освоение Арктики, Он впервые описал условия арктических полетов и указал на возмож</w:t>
      </w:r>
      <w:r w:rsidRPr="00DE096C">
        <w:rPr>
          <w:bCs/>
          <w:color w:val="002060"/>
          <w:sz w:val="16"/>
          <w:szCs w:val="16"/>
        </w:rPr>
        <w:softHyphen/>
        <w:t>ность достижения северного полюса на самолете.</w:t>
      </w:r>
    </w:p>
    <w:p w14:paraId="6C11DC04" w14:textId="77777777" w:rsidR="009536C8" w:rsidRPr="00DE096C" w:rsidRDefault="009536C8" w:rsidP="00D45A46">
      <w:pPr>
        <w:jc w:val="both"/>
        <w:rPr>
          <w:bCs/>
          <w:color w:val="002060"/>
          <w:sz w:val="16"/>
          <w:szCs w:val="16"/>
        </w:rPr>
      </w:pPr>
      <w:r w:rsidRPr="00DE096C">
        <w:rPr>
          <w:bCs/>
          <w:color w:val="002060"/>
          <w:sz w:val="16"/>
          <w:szCs w:val="16"/>
        </w:rPr>
        <w:t>/«Воздушные пути севера», 1933, стр. 16-18/ (23320).</w:t>
      </w:r>
    </w:p>
    <w:p w14:paraId="0432727B" w14:textId="77777777" w:rsidR="009536C8" w:rsidRPr="00DE096C" w:rsidRDefault="009536C8" w:rsidP="00D45A46">
      <w:pPr>
        <w:jc w:val="both"/>
        <w:rPr>
          <w:bCs/>
          <w:color w:val="002060"/>
          <w:sz w:val="16"/>
          <w:szCs w:val="16"/>
        </w:rPr>
      </w:pPr>
    </w:p>
    <w:p w14:paraId="77CA6559" w14:textId="77777777" w:rsidR="00D94D44" w:rsidRPr="00B52707" w:rsidRDefault="00D94D44" w:rsidP="00D94D44">
      <w:pPr>
        <w:jc w:val="both"/>
        <w:rPr>
          <w:color w:val="0070C0"/>
          <w:sz w:val="16"/>
          <w:szCs w:val="16"/>
        </w:rPr>
      </w:pPr>
      <w:r w:rsidRPr="00B52707">
        <w:rPr>
          <w:color w:val="0070C0"/>
          <w:sz w:val="16"/>
          <w:szCs w:val="16"/>
        </w:rPr>
        <w:lastRenderedPageBreak/>
        <w:t>8 (21) августа 1914 года Нагурский и Кузнецов совершили первый в мире полет в Арктике на Farman M.F.11. Всего же в августе-сентябре 1914 года они поднимались в воздух десять раз, общая продолжитель</w:t>
      </w:r>
      <w:r w:rsidRPr="00B52707">
        <w:rPr>
          <w:color w:val="0070C0"/>
          <w:sz w:val="16"/>
          <w:szCs w:val="16"/>
        </w:rPr>
        <w:softHyphen/>
        <w:t>ность полетов составила 11 часов 30 минут. По окончании экспедиции в рапорте на имя начальника Главного гидрографического управления Нагурский писал: «Летать в арктических странах, хотя и тяжело, но вполне возможно, и авиация в будущем может оказать гидрографии большую услугу в следующих случаях: при рекогносцировке льдов, в открытии новых земель, нахождении и нанесении на карту подводных преград, препятствующих судоходству». Кроме того, Нагурский составил подробный отчет о проделанной работе с рекомендациями по адаптации самолетов к работе в северных условиях. В частности, он первый предложил окрашивать летательные аппараты в крас</w:t>
      </w:r>
      <w:r w:rsidRPr="00B52707">
        <w:rPr>
          <w:color w:val="0070C0"/>
          <w:sz w:val="16"/>
          <w:szCs w:val="16"/>
        </w:rPr>
        <w:softHyphen/>
        <w:t>ный цвет для их лучшей заметности на фоне снега, а поплавки гидросамолетов разделять на водонепроницаемые отсеки (24914).</w:t>
      </w:r>
    </w:p>
    <w:p w14:paraId="2A9EF52E" w14:textId="77777777" w:rsidR="00D94D44" w:rsidRPr="00B52707" w:rsidRDefault="00D94D44" w:rsidP="00D94D44">
      <w:pPr>
        <w:jc w:val="both"/>
        <w:rPr>
          <w:color w:val="0070C0"/>
          <w:sz w:val="16"/>
          <w:szCs w:val="16"/>
        </w:rPr>
      </w:pPr>
    </w:p>
    <w:p w14:paraId="529BC5E3"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Жизнь и внутреняя политика:</w:t>
      </w:r>
    </w:p>
    <w:p w14:paraId="3D037BF8" w14:textId="77777777" w:rsidR="00B67D7C" w:rsidRPr="00DE096C" w:rsidRDefault="00B67D7C" w:rsidP="00D45A46">
      <w:pPr>
        <w:shd w:val="clear" w:color="auto" w:fill="FFFFFF"/>
        <w:jc w:val="both"/>
        <w:rPr>
          <w:bCs/>
          <w:i/>
          <w:color w:val="002060"/>
          <w:sz w:val="16"/>
          <w:szCs w:val="16"/>
        </w:rPr>
      </w:pPr>
    </w:p>
    <w:p w14:paraId="49B79F27" w14:textId="0C73B40D" w:rsidR="004B2114" w:rsidRPr="00DE096C" w:rsidRDefault="004B2114" w:rsidP="00D45A46">
      <w:pPr>
        <w:jc w:val="both"/>
        <w:rPr>
          <w:bCs/>
          <w:color w:val="002060"/>
          <w:sz w:val="16"/>
          <w:szCs w:val="16"/>
        </w:rPr>
      </w:pPr>
      <w:r w:rsidRPr="00DE096C">
        <w:rPr>
          <w:bCs/>
          <w:color w:val="002060"/>
          <w:sz w:val="16"/>
          <w:szCs w:val="16"/>
        </w:rPr>
        <w:t xml:space="preserve">8 </w:t>
      </w:r>
      <w:r w:rsidR="006C0839" w:rsidRPr="00DE096C">
        <w:rPr>
          <w:bCs/>
          <w:color w:val="002060"/>
          <w:sz w:val="16"/>
          <w:szCs w:val="16"/>
        </w:rPr>
        <w:t xml:space="preserve">(21) </w:t>
      </w:r>
      <w:r w:rsidRPr="00DE096C">
        <w:rPr>
          <w:bCs/>
          <w:color w:val="002060"/>
          <w:sz w:val="16"/>
          <w:szCs w:val="16"/>
        </w:rPr>
        <w:t>августа в 1914 году на экстренном заседании Государственной Думы, созванном в связи с началом Первой мировой войны, все фракции, кроме трудовиков и социал-демократов, проголосовали за выделение правительству военных кредитов (14977).</w:t>
      </w:r>
    </w:p>
    <w:p w14:paraId="24616EA4" w14:textId="77777777" w:rsidR="004B2114" w:rsidRPr="00DE096C" w:rsidRDefault="004B2114" w:rsidP="00D45A46">
      <w:pPr>
        <w:jc w:val="both"/>
        <w:rPr>
          <w:bCs/>
          <w:color w:val="002060"/>
          <w:sz w:val="16"/>
          <w:szCs w:val="16"/>
        </w:rPr>
      </w:pPr>
    </w:p>
    <w:p w14:paraId="48DE4A64" w14:textId="09257435"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8—9 (21-22) августа 1914 г. </w:t>
      </w:r>
      <w:r w:rsidR="006C0839" w:rsidRPr="00DE096C">
        <w:rPr>
          <w:bCs/>
          <w:i w:val="0"/>
          <w:color w:val="002060"/>
          <w:spacing w:val="0"/>
          <w:kern w:val="0"/>
          <w:position w:val="0"/>
          <w:sz w:val="16"/>
          <w:szCs w:val="16"/>
        </w:rPr>
        <w:t xml:space="preserve">одновременно с созданием Союза на учредительном съезде городских голов </w:t>
      </w:r>
      <w:r w:rsidRPr="00DE096C">
        <w:rPr>
          <w:bCs/>
          <w:i w:val="0"/>
          <w:color w:val="002060"/>
          <w:spacing w:val="0"/>
          <w:kern w:val="0"/>
          <w:position w:val="0"/>
          <w:sz w:val="16"/>
          <w:szCs w:val="16"/>
        </w:rPr>
        <w:t xml:space="preserve">был образован </w:t>
      </w:r>
      <w:r w:rsidRPr="00DE096C">
        <w:rPr>
          <w:bCs/>
          <w:color w:val="002060"/>
          <w:spacing w:val="0"/>
          <w:kern w:val="0"/>
          <w:position w:val="0"/>
          <w:sz w:val="16"/>
          <w:szCs w:val="16"/>
        </w:rPr>
        <w:t xml:space="preserve">Союз городов </w:t>
      </w:r>
      <w:r w:rsidRPr="00DE096C">
        <w:rPr>
          <w:bCs/>
          <w:i w:val="0"/>
          <w:color w:val="002060"/>
          <w:spacing w:val="0"/>
          <w:kern w:val="0"/>
          <w:position w:val="0"/>
          <w:sz w:val="16"/>
          <w:szCs w:val="16"/>
        </w:rPr>
        <w:t>(Согор). Всероссийский городской союз состоял из съезда уполномоченных от органов городского самоуправления. Исполнительным органом Союза являлись главноуполномоченные и комитет (в составе 10 лиц), избранный съездом городских голов.</w:t>
      </w:r>
    </w:p>
    <w:p w14:paraId="12D8BCBE"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В комитет входили два представителя земцев. Этот орган создавал фонд, который состоял из отчислений, ассигнованных городскими думами на нужды, связанные с войной, из взносов городов, не принимающих непосредственного участия в оказании помощи, из пособий государственного казначейства, из пожертвований и специальных сборов. Деньги расходовались в основном на перевозки и оказание помощи раненым.</w:t>
      </w:r>
    </w:p>
    <w:p w14:paraId="1FCD7368"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В провинции действовали областные, городские и фронтовые комитеты. Главноуполномоченным этого союза был городской голова Москвы крупный капиталист М.В.Челноков, а его товарищами — А.И.Гучков и М.И.Терещенко.</w:t>
      </w:r>
    </w:p>
    <w:p w14:paraId="27D120F8"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На местах же отделения Всероссийского земского союза и Согора образовывали согласительные комиссии, координирующие деятельность обоих организаций.</w:t>
      </w:r>
    </w:p>
    <w:p w14:paraId="1CEA88D0"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 ходе войны контакты между организациями расширялись, а поскольку функции этих союзов фактически совпадали, то в июле 1915 г. в центре и на местах были учреждены объединенные органы, которые должны были координировать деятельность — </w:t>
      </w:r>
      <w:r w:rsidRPr="00DE096C">
        <w:rPr>
          <w:bCs/>
          <w:color w:val="002060"/>
          <w:spacing w:val="0"/>
          <w:kern w:val="0"/>
          <w:position w:val="0"/>
          <w:sz w:val="16"/>
          <w:szCs w:val="16"/>
        </w:rPr>
        <w:t>Главный комитет по снабжению армии</w:t>
      </w:r>
      <w:r w:rsidRPr="00DE096C">
        <w:rPr>
          <w:bCs/>
          <w:i w:val="0"/>
          <w:color w:val="002060"/>
          <w:spacing w:val="0"/>
          <w:kern w:val="0"/>
          <w:position w:val="0"/>
          <w:sz w:val="16"/>
          <w:szCs w:val="16"/>
        </w:rPr>
        <w:t>, а также его местные, губернские, уездные и городские комитеты при земских и городских управах и уполномоченные на фронтах.</w:t>
      </w:r>
    </w:p>
    <w:p w14:paraId="6C8F484F"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Функции созданного Земгора как общественной организации были довольно многогранны. Земгор ставил себе задачей мобилизацию промышленности для нужд обороны, но не крупной, а мелкой кустарно-ремесленной, и распределения среди нее заказов военного ведомства на простые предметы военного снаряжения — повозки, походные кухни, лопаты и т.д. Деятельность Земгора в области мобилизации кустарей и мелких промышленных предприятий имела существенное значение. Земгор организовал ряд мелких кожевенных, химических, деревообрабатывающих, металлургических, пошивочных и прочих мастерских. Кроме этого, в круг его ведения входили все сношения с правительством, военным ведомством, государственными учреждениями, общественными организациями и частными лицами по делам, связанным со снабжением армии. Главный комитет принимал заказы от военного ведомства и распределял их между земствами и городами, осуществлял контроль за исполнением заказов и производил передачу изготовленных предметов военному ведомству. Земгору предоставлялось право испрашивать у государства необходимые кредиты и распоряжаться отпускаемыми на исполнение заказов суммами. Земгор занимался также устройством собственных фабрично-заводских предприятий, что, в основном, осуществлялось путем приспособления для этой цели заводов и фабрик частных предпринимателей. Всё это, правда, выходило за рамки обычной общественной деятельности.</w:t>
      </w:r>
    </w:p>
    <w:p w14:paraId="4FD5FA1B"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Что касается правительства, то сначала оно оказывало известную поддержку Земгору, рассчитывая, что объединение мелкой и кустарной промышленности позволит разместить часть военных заказов вне сферы «регулирования». Одновременно правительство надеялось разгрузить крупные заводы от производства ширпотреба.</w:t>
      </w:r>
    </w:p>
    <w:p w14:paraId="5EE8BDF1"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Но, столкнувшись со всё нарастающей активностью буржуазии в общественной и политической жизни страны, оно решило изъять из ведения Земского и Городского союзов военно-санитарное дело. В этих целях в сентябре 1916 г. было создано центральное ведомство — Главное управление санитарным делом, которое, правда, не успело сформировать свой аппарат до Февральской буржуазно-демократической революции. Продолжая выбранный в отношении Земгора реакционный курс, правительство запрещает земские и городские съезды, а когда они собираются явочным порядком, производит выборочные аресты земских деятелей.</w:t>
      </w:r>
    </w:p>
    <w:p w14:paraId="21CBA21E"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Но тогда, в 1914 г., ни правительство, ни Земгор еще не знали, к чему может привести идея объединения общества на «общепатриотической» основе. Весной 1915 г. после Галицийского поражения, правительство поддержало лозунг буржуазии о «мобилизации промышленности», согласилось решить вопрос о привлечении частных предпринимательских организаций к делу заготовления предметов военного довольствия. «Надо не медля ни одной минуты мобилизовывать всю промышленность и приспособить все фабрики и заводы только к нуждам войны», — призывала московская буржуазная газета «Утро России». Вопрос о привлечении частных предпринимательских организаций к делу заготовления предметов военного довольствия обсуждался и в ходе подготовительных заседаний к Особому совещанию по обороне (весна 1915 г.) (11270).</w:t>
      </w:r>
    </w:p>
    <w:p w14:paraId="1C170B07" w14:textId="77777777" w:rsidR="00B67D7C" w:rsidRPr="00DE096C" w:rsidRDefault="00B67D7C" w:rsidP="00D45A46">
      <w:pPr>
        <w:pStyle w:val="a3"/>
        <w:jc w:val="both"/>
        <w:rPr>
          <w:bCs/>
          <w:i w:val="0"/>
          <w:color w:val="002060"/>
          <w:spacing w:val="0"/>
          <w:kern w:val="0"/>
          <w:position w:val="0"/>
          <w:sz w:val="16"/>
          <w:szCs w:val="16"/>
        </w:rPr>
      </w:pPr>
    </w:p>
    <w:p w14:paraId="3B0ED2E0" w14:textId="77777777" w:rsidR="00AF50E4" w:rsidRPr="00DE096C" w:rsidRDefault="00AF50E4" w:rsidP="00D45A46">
      <w:pPr>
        <w:jc w:val="both"/>
        <w:rPr>
          <w:bCs/>
          <w:i/>
          <w:color w:val="002060"/>
          <w:sz w:val="16"/>
          <w:szCs w:val="16"/>
        </w:rPr>
      </w:pPr>
      <w:r w:rsidRPr="00DE096C">
        <w:rPr>
          <w:bCs/>
          <w:i/>
          <w:color w:val="002060"/>
          <w:sz w:val="16"/>
          <w:szCs w:val="16"/>
        </w:rPr>
        <w:t>За рубежом:</w:t>
      </w:r>
    </w:p>
    <w:p w14:paraId="42BCB238" w14:textId="77777777" w:rsidR="00AF50E4" w:rsidRPr="00DE096C" w:rsidRDefault="00AF50E4" w:rsidP="00D45A46">
      <w:pPr>
        <w:jc w:val="both"/>
        <w:rPr>
          <w:bCs/>
          <w:color w:val="002060"/>
          <w:sz w:val="16"/>
          <w:szCs w:val="16"/>
        </w:rPr>
      </w:pPr>
    </w:p>
    <w:p w14:paraId="5C0DD5D3" w14:textId="3AD6601B" w:rsidR="00AF50E4" w:rsidRPr="00DE096C" w:rsidRDefault="00AF50E4" w:rsidP="00D45A46">
      <w:pPr>
        <w:jc w:val="both"/>
        <w:rPr>
          <w:bCs/>
          <w:color w:val="002060"/>
          <w:sz w:val="16"/>
          <w:szCs w:val="16"/>
        </w:rPr>
      </w:pPr>
      <w:r w:rsidRPr="00DE096C">
        <w:rPr>
          <w:bCs/>
          <w:color w:val="002060"/>
          <w:sz w:val="16"/>
          <w:szCs w:val="16"/>
        </w:rPr>
        <w:t>8 (21) августа в 1914 году начало</w:t>
      </w:r>
      <w:r w:rsidR="006C0839" w:rsidRPr="00DE096C">
        <w:rPr>
          <w:bCs/>
          <w:color w:val="002060"/>
          <w:sz w:val="16"/>
          <w:szCs w:val="16"/>
        </w:rPr>
        <w:t>сь</w:t>
      </w:r>
      <w:r w:rsidRPr="00DE096C">
        <w:rPr>
          <w:bCs/>
          <w:color w:val="002060"/>
          <w:sz w:val="16"/>
          <w:szCs w:val="16"/>
        </w:rPr>
        <w:t xml:space="preserve"> пригранично</w:t>
      </w:r>
      <w:r w:rsidR="006C0839" w:rsidRPr="00DE096C">
        <w:rPr>
          <w:bCs/>
          <w:color w:val="002060"/>
          <w:sz w:val="16"/>
          <w:szCs w:val="16"/>
        </w:rPr>
        <w:t>е</w:t>
      </w:r>
      <w:r w:rsidRPr="00DE096C">
        <w:rPr>
          <w:bCs/>
          <w:color w:val="002060"/>
          <w:sz w:val="16"/>
          <w:szCs w:val="16"/>
        </w:rPr>
        <w:t xml:space="preserve"> сражения у северо-восточной границы Франции. Продолжалось до 25 августа. Принесло победу германским армиям и неудачу французским, отступавшим на всем фронте от Верхней Шельды до Лотарингии (14995).</w:t>
      </w:r>
    </w:p>
    <w:p w14:paraId="19D0E46F" w14:textId="77777777" w:rsidR="00AF50E4" w:rsidRPr="00DE096C" w:rsidRDefault="00AF50E4" w:rsidP="00D45A46">
      <w:pPr>
        <w:jc w:val="both"/>
        <w:rPr>
          <w:bCs/>
          <w:color w:val="002060"/>
          <w:sz w:val="16"/>
          <w:szCs w:val="16"/>
        </w:rPr>
      </w:pPr>
    </w:p>
    <w:p w14:paraId="73F65919" w14:textId="77777777" w:rsidR="00CB0D0D" w:rsidRPr="00CF03EC" w:rsidRDefault="00CB0D0D" w:rsidP="00CB0D0D">
      <w:pPr>
        <w:jc w:val="both"/>
        <w:rPr>
          <w:color w:val="0070C0"/>
          <w:sz w:val="16"/>
          <w:szCs w:val="16"/>
        </w:rPr>
      </w:pPr>
      <w:r w:rsidRPr="00CF03EC">
        <w:rPr>
          <w:color w:val="0070C0"/>
          <w:sz w:val="16"/>
          <w:szCs w:val="16"/>
        </w:rPr>
        <w:t>8 (21</w:t>
      </w:r>
      <w:r>
        <w:rPr>
          <w:color w:val="0070C0"/>
          <w:sz w:val="16"/>
          <w:szCs w:val="16"/>
        </w:rPr>
        <w:t>)</w:t>
      </w:r>
      <w:r w:rsidRPr="00CF03EC">
        <w:rPr>
          <w:color w:val="0070C0"/>
          <w:sz w:val="16"/>
          <w:szCs w:val="16"/>
        </w:rPr>
        <w:t xml:space="preserve"> августа 1914 г., по немецким данным была первая боевая потеря среди воздушных судов легче воздуха имела место только когда огнем с земли сбили Цеппелин Z VIII, а 5 августа Z VI (и опять же – пехоте!) удалось лишь повредить, и он совершил вынужденную, но не аварийную посадку в Бонне (25772).</w:t>
      </w:r>
    </w:p>
    <w:p w14:paraId="4CC50FDD" w14:textId="77777777" w:rsidR="00CB0D0D" w:rsidRPr="00CF03EC" w:rsidRDefault="00CB0D0D" w:rsidP="00CB0D0D">
      <w:pPr>
        <w:jc w:val="both"/>
        <w:rPr>
          <w:color w:val="0070C0"/>
          <w:sz w:val="16"/>
          <w:szCs w:val="16"/>
        </w:rPr>
      </w:pPr>
    </w:p>
    <w:p w14:paraId="6E152E21"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Авиация:</w:t>
      </w:r>
    </w:p>
    <w:p w14:paraId="3D9794A3" w14:textId="77777777" w:rsidR="00B67D7C" w:rsidRPr="00DE096C" w:rsidRDefault="00B67D7C" w:rsidP="00D45A46">
      <w:pPr>
        <w:pStyle w:val="a3"/>
        <w:jc w:val="both"/>
        <w:rPr>
          <w:bCs/>
          <w:color w:val="002060"/>
          <w:spacing w:val="0"/>
          <w:kern w:val="0"/>
          <w:position w:val="0"/>
          <w:sz w:val="16"/>
          <w:szCs w:val="16"/>
        </w:rPr>
      </w:pPr>
    </w:p>
    <w:p w14:paraId="7B2DF360" w14:textId="64BBF0EC" w:rsidR="004B2114" w:rsidRPr="00DE096C" w:rsidRDefault="004B2114" w:rsidP="00D45A46">
      <w:pPr>
        <w:pStyle w:val="2"/>
        <w:spacing w:before="0" w:after="0"/>
        <w:jc w:val="both"/>
        <w:rPr>
          <w:b w:val="0"/>
          <w:bCs/>
          <w:color w:val="002060"/>
          <w:sz w:val="16"/>
          <w:szCs w:val="16"/>
        </w:rPr>
      </w:pPr>
      <w:r w:rsidRPr="00DE096C">
        <w:rPr>
          <w:b w:val="0"/>
          <w:bCs/>
          <w:color w:val="002060"/>
          <w:sz w:val="16"/>
          <w:szCs w:val="16"/>
        </w:rPr>
        <w:t xml:space="preserve">9 </w:t>
      </w:r>
      <w:r w:rsidR="006C0839" w:rsidRPr="00DE096C">
        <w:rPr>
          <w:b w:val="0"/>
          <w:bCs/>
          <w:color w:val="002060"/>
          <w:sz w:val="16"/>
          <w:szCs w:val="16"/>
        </w:rPr>
        <w:t xml:space="preserve">(22) </w:t>
      </w:r>
      <w:r w:rsidRPr="00DE096C">
        <w:rPr>
          <w:b w:val="0"/>
          <w:bCs/>
          <w:color w:val="002060"/>
          <w:sz w:val="16"/>
          <w:szCs w:val="16"/>
        </w:rPr>
        <w:t xml:space="preserve">августа 1914 </w:t>
      </w:r>
      <w:r w:rsidR="006C0839" w:rsidRPr="00DE096C">
        <w:rPr>
          <w:b w:val="0"/>
          <w:bCs/>
          <w:color w:val="002060"/>
          <w:sz w:val="16"/>
          <w:szCs w:val="16"/>
        </w:rPr>
        <w:t xml:space="preserve">г. </w:t>
      </w:r>
      <w:r w:rsidRPr="00DE096C">
        <w:rPr>
          <w:b w:val="0"/>
          <w:bCs/>
          <w:color w:val="002060"/>
          <w:sz w:val="16"/>
          <w:szCs w:val="16"/>
        </w:rPr>
        <w:t>авиаотряд Гренадерского корпуса под командой В.А.Юнгмейстера, перейдя австрийскую границу, начал боевые действия. Основной задачей авиации являлась оперативная воздушная разведка. В армии, помимо Гренадерского, состояло 7 отрядов, в каждом из них было всего по 6—7 летчиков, 7—8 самолетов и 8—10 летчиков- наблюдателей. Ежемесячно в Авиаканц на имя генерал-квартирмейстера Фогеля отправлялись отчеты о боевой деятельности, в них фиксировали высоту и место полета, расход бензина, а также бомбовую нагрузку. Средняя продолжительность полета составляла 1,5—2 часа. В первый год войны вооружение самолета составлял маузер у сидящего во второй кабине наблюдателя. Тем не менее бывали случаи попадания в летчика вражеского самолета. Позже на самолетах ставили пехотные пулеметы, стреляющие поверх винта. В отчетах нередки донесения об отказах оружия в воздухе (15464).</w:t>
      </w:r>
    </w:p>
    <w:p w14:paraId="2CDE92A0" w14:textId="77777777" w:rsidR="004B2114" w:rsidRPr="00DE096C" w:rsidRDefault="004B2114" w:rsidP="00D45A46">
      <w:pPr>
        <w:pStyle w:val="2"/>
        <w:spacing w:before="0" w:after="0"/>
        <w:jc w:val="both"/>
        <w:rPr>
          <w:b w:val="0"/>
          <w:bCs/>
          <w:color w:val="002060"/>
          <w:sz w:val="16"/>
          <w:szCs w:val="16"/>
        </w:rPr>
      </w:pPr>
    </w:p>
    <w:p w14:paraId="71ABDB90" w14:textId="0799EE1B" w:rsidR="004B2114" w:rsidRPr="00DE096C" w:rsidRDefault="004B2114" w:rsidP="00D45A46">
      <w:pPr>
        <w:pStyle w:val="2"/>
        <w:spacing w:before="0" w:after="0"/>
        <w:jc w:val="both"/>
        <w:rPr>
          <w:b w:val="0"/>
          <w:bCs/>
          <w:color w:val="002060"/>
          <w:sz w:val="16"/>
          <w:szCs w:val="16"/>
        </w:rPr>
      </w:pPr>
      <w:r w:rsidRPr="00DE096C">
        <w:rPr>
          <w:b w:val="0"/>
          <w:bCs/>
          <w:color w:val="002060"/>
          <w:sz w:val="16"/>
          <w:szCs w:val="16"/>
        </w:rPr>
        <w:t xml:space="preserve">9 </w:t>
      </w:r>
      <w:r w:rsidR="006C0839" w:rsidRPr="00DE096C">
        <w:rPr>
          <w:b w:val="0"/>
          <w:bCs/>
          <w:color w:val="002060"/>
          <w:sz w:val="16"/>
          <w:szCs w:val="16"/>
        </w:rPr>
        <w:t xml:space="preserve">(22) </w:t>
      </w:r>
      <w:r w:rsidRPr="00DE096C">
        <w:rPr>
          <w:b w:val="0"/>
          <w:bCs/>
          <w:color w:val="002060"/>
          <w:sz w:val="16"/>
          <w:szCs w:val="16"/>
        </w:rPr>
        <w:t xml:space="preserve">августа 1914 </w:t>
      </w:r>
      <w:r w:rsidR="006C0839" w:rsidRPr="00DE096C">
        <w:rPr>
          <w:b w:val="0"/>
          <w:bCs/>
          <w:color w:val="002060"/>
          <w:sz w:val="16"/>
          <w:szCs w:val="16"/>
        </w:rPr>
        <w:t xml:space="preserve">г. </w:t>
      </w:r>
      <w:r w:rsidRPr="00DE096C">
        <w:rPr>
          <w:b w:val="0"/>
          <w:bCs/>
          <w:color w:val="002060"/>
          <w:sz w:val="16"/>
          <w:szCs w:val="16"/>
        </w:rPr>
        <w:t>Нестеров писал жене: «Я открыл фабрику «Моранов», успел поломать три раза «Моран», два рава серьезно, а один раз встал «на попа» и согнул только носок у мотора, винт остался цел. Объясняю это вообще переутомлением из-за деятельности по командованию отрядом.» В журнале боевой деятельности 11-го као есть запись: «28 июля в городе Дубно при спуске на пахоту аппарат «Моран-Сольнье» No 218 с мотором «Гном» 80НР за № 3281/857, управляемый военным летчиком штабс-капитаном Нестеровым, скапотировал. Сломаны: винт, руль направления, нижние брусья фюзеляжа, погнуты оси колес, кожух и носок мотора, порваны амортизаторы.» Если здесь все как будто бы ясно — виновата мягкая пахота, да и сам Нестеров жене написал с юмором: «Смешно было сидеть под аппаратом вверх ногами, т.к. аппарат глубоко залез в мягкую землю и вылезти было очень трудно», — то в другом случае летчик В.Г.Соколов был свидетелем, как Нестеров после боевого вылета прямо у самолета упал в глубокий обморок. В полете 21 августа, поднявшись выше огня вражеской пехоты на 1000 м, где вблизи туч сильно болтало, Нестеров почувствовал приступы тошноты, мутилось сознание, в глазах плыли круги. Когда стало совсем плохо, сел на вынужденную в Рудне Почаевской, самолет был серьезно поврежден. Менее чем за месяц Нестеров совершил десять боевых вылетов, налет составил более 18,5 часов. Много это или мало, пока еще никто не знал (15464).</w:t>
      </w:r>
    </w:p>
    <w:p w14:paraId="6913228A" w14:textId="77777777" w:rsidR="004B2114" w:rsidRPr="00DE096C" w:rsidRDefault="004B2114" w:rsidP="00D45A46">
      <w:pPr>
        <w:pStyle w:val="2"/>
        <w:spacing w:before="0" w:after="0"/>
        <w:jc w:val="both"/>
        <w:rPr>
          <w:b w:val="0"/>
          <w:bCs/>
          <w:color w:val="002060"/>
          <w:sz w:val="16"/>
          <w:szCs w:val="16"/>
        </w:rPr>
      </w:pPr>
    </w:p>
    <w:p w14:paraId="2A6001AA" w14:textId="77777777" w:rsidR="006C0839" w:rsidRPr="00DE096C" w:rsidRDefault="006C0839" w:rsidP="00D45A46">
      <w:pPr>
        <w:jc w:val="both"/>
        <w:rPr>
          <w:bCs/>
          <w:color w:val="002060"/>
          <w:sz w:val="16"/>
          <w:szCs w:val="16"/>
        </w:rPr>
      </w:pPr>
      <w:r w:rsidRPr="00DE096C">
        <w:rPr>
          <w:bCs/>
          <w:color w:val="002060"/>
          <w:sz w:val="16"/>
          <w:szCs w:val="16"/>
        </w:rPr>
        <w:t xml:space="preserve">9 (22) августа 1914 г. Нестеров писал жене: «Я открыл фабрику «Моранов», успел поломать три раза «Моран», два раза серьезно, а один раз встал «на попа» и согнул только носок у мотора, винт остался цел. Объясняю это вообще переутомлением из-за деятельности по командованию отрядом». </w:t>
      </w:r>
    </w:p>
    <w:p w14:paraId="402C9CAB" w14:textId="77777777" w:rsidR="006C0839" w:rsidRPr="00DE096C" w:rsidRDefault="006C0839" w:rsidP="00D45A46">
      <w:pPr>
        <w:jc w:val="both"/>
        <w:rPr>
          <w:bCs/>
          <w:color w:val="002060"/>
          <w:sz w:val="16"/>
          <w:szCs w:val="16"/>
        </w:rPr>
      </w:pPr>
      <w:r w:rsidRPr="00DE096C">
        <w:rPr>
          <w:bCs/>
          <w:color w:val="002060"/>
          <w:sz w:val="16"/>
          <w:szCs w:val="16"/>
        </w:rPr>
        <w:t xml:space="preserve">В данном случае дело было не только в этом. Нестеров переучивался на «Моран» на заводе «Дукс» только в июне 1914 г. Системы управления самолетов «Моран» и «Ньюпор» резко отличались друг от друга. На «Ньюпоре» управление кренами осуществлялось ножным управлением, на «Моране» же — ручкой управления, аналогично современным самолетам, только крен создавался не элеронами, а искривлением концов крыльев (гошированием). </w:t>
      </w:r>
    </w:p>
    <w:p w14:paraId="0A8311A8" w14:textId="77777777" w:rsidR="006C0839" w:rsidRPr="00DE096C" w:rsidRDefault="006C0839" w:rsidP="00D45A46">
      <w:pPr>
        <w:jc w:val="both"/>
        <w:rPr>
          <w:bCs/>
          <w:color w:val="002060"/>
          <w:sz w:val="16"/>
          <w:szCs w:val="16"/>
        </w:rPr>
      </w:pPr>
      <w:r w:rsidRPr="00DE096C">
        <w:rPr>
          <w:bCs/>
          <w:color w:val="002060"/>
          <w:sz w:val="16"/>
          <w:szCs w:val="16"/>
        </w:rPr>
        <w:t xml:space="preserve">Переучивание на «Моране» Нестерову далось с большим напряжением. После первой попытки сразу овладеть управлением в воздухе, когда сам он чувствовал себя отвратительно, ему пришлось отказаться от этого и перейти к последовательному освоению «Морана», начав с руления. 2 июня он написал подполковнику С. А. Немченко относительно приемки самолетов: «Тренировка на «Моране» очень еще серьезная, необходима мне настолько, что я даже сомневаюсь, успею ли я </w:t>
      </w:r>
      <w:r w:rsidRPr="00DE096C">
        <w:rPr>
          <w:bCs/>
          <w:color w:val="002060"/>
          <w:sz w:val="16"/>
          <w:szCs w:val="16"/>
        </w:rPr>
        <w:lastRenderedPageBreak/>
        <w:t xml:space="preserve">подготовиться к концу июня настолько, чтобы управлять «Мораном», как и «Ньюпором»; настолько привычка к последнему въелась в меня. Летать же неуверенным в аппарате нельзя». Следует заметить, что на «Моране» на высший пилотаж Нестеров не летал ни разу. </w:t>
      </w:r>
    </w:p>
    <w:p w14:paraId="61492316" w14:textId="77777777" w:rsidR="006C0839" w:rsidRPr="00DE096C" w:rsidRDefault="006C0839" w:rsidP="00D45A46">
      <w:pPr>
        <w:jc w:val="both"/>
        <w:rPr>
          <w:bCs/>
          <w:color w:val="002060"/>
          <w:sz w:val="16"/>
          <w:szCs w:val="16"/>
        </w:rPr>
      </w:pPr>
      <w:r w:rsidRPr="00DE096C">
        <w:rPr>
          <w:bCs/>
          <w:color w:val="002060"/>
          <w:sz w:val="16"/>
          <w:szCs w:val="16"/>
        </w:rPr>
        <w:t>Возможно, обе эти причины в совокупности и привели к ошибке в пилотировании в момент тарана, что определило трагический исход первого в мире воздушного боя и никак не умаляет заслуг и героизма П. Н. Нестерова (11236).</w:t>
      </w:r>
    </w:p>
    <w:p w14:paraId="4DD3E0A7" w14:textId="77777777" w:rsidR="006C0839" w:rsidRPr="00DE096C" w:rsidRDefault="006C0839" w:rsidP="00D45A46">
      <w:pPr>
        <w:jc w:val="both"/>
        <w:rPr>
          <w:bCs/>
          <w:color w:val="002060"/>
          <w:sz w:val="16"/>
          <w:szCs w:val="16"/>
        </w:rPr>
      </w:pPr>
    </w:p>
    <w:p w14:paraId="1E20F275" w14:textId="13D9C884" w:rsidR="00B67D7C" w:rsidRPr="00DE096C" w:rsidRDefault="00B67D7C" w:rsidP="00D45A46">
      <w:pPr>
        <w:jc w:val="both"/>
        <w:rPr>
          <w:bCs/>
          <w:color w:val="002060"/>
          <w:sz w:val="16"/>
          <w:szCs w:val="16"/>
        </w:rPr>
      </w:pPr>
      <w:r w:rsidRPr="00DE096C">
        <w:rPr>
          <w:bCs/>
          <w:color w:val="002060"/>
          <w:sz w:val="16"/>
          <w:szCs w:val="16"/>
        </w:rPr>
        <w:t>9 (22) августа 1914</w:t>
      </w:r>
      <w:r w:rsidR="006C0839" w:rsidRPr="00DE096C">
        <w:rPr>
          <w:bCs/>
          <w:color w:val="002060"/>
          <w:sz w:val="16"/>
          <w:szCs w:val="16"/>
        </w:rPr>
        <w:t xml:space="preserve"> г.</w:t>
      </w:r>
      <w:r w:rsidRPr="00DE096C">
        <w:rPr>
          <w:bCs/>
          <w:color w:val="002060"/>
          <w:sz w:val="16"/>
          <w:szCs w:val="16"/>
        </w:rPr>
        <w:t xml:space="preserve"> было сообщено, что в Пруссии русские летчики впервые произвели бомбометание по вражеским сооружениям военного значения. </w:t>
      </w:r>
      <w:bookmarkStart w:id="121" w:name="_Hlk117237205"/>
      <w:r w:rsidRPr="00DE096C">
        <w:rPr>
          <w:bCs/>
          <w:color w:val="002060"/>
          <w:sz w:val="16"/>
          <w:szCs w:val="16"/>
        </w:rPr>
        <w:t>12 августа сообщалось уже о групповой разведке русских летчиков "в глубоком тылу противника". При этом упоминалось, что один из самолетов получил пробоину в бензиновом баке, но летчик заткнул пробоину ногой и сумел благополучно вернуться па свой аэродром. Далее сообщения о действиях авиации запестрели в сводках почти ежедневно (11055).</w:t>
      </w:r>
    </w:p>
    <w:p w14:paraId="710242AD" w14:textId="77777777" w:rsidR="00B67D7C" w:rsidRPr="00DE096C" w:rsidRDefault="00B67D7C" w:rsidP="00D45A46">
      <w:pPr>
        <w:shd w:val="clear" w:color="auto" w:fill="FFFFFF"/>
        <w:jc w:val="both"/>
        <w:rPr>
          <w:bCs/>
          <w:color w:val="002060"/>
          <w:sz w:val="16"/>
          <w:szCs w:val="16"/>
        </w:rPr>
      </w:pPr>
    </w:p>
    <w:bookmarkEnd w:id="121"/>
    <w:p w14:paraId="7EC4CE5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9 (22) августа 1914 Командующий дает ука</w:t>
      </w:r>
      <w:r w:rsidRPr="00DE096C">
        <w:rPr>
          <w:bCs/>
          <w:color w:val="002060"/>
          <w:sz w:val="16"/>
          <w:szCs w:val="16"/>
        </w:rPr>
        <w:softHyphen/>
        <w:t>зание 3-й эскадрилье провести разведку района атаки. Пи</w:t>
      </w:r>
      <w:r w:rsidRPr="00DE096C">
        <w:rPr>
          <w:bCs/>
          <w:color w:val="002060"/>
          <w:sz w:val="16"/>
          <w:szCs w:val="16"/>
        </w:rPr>
        <w:softHyphen/>
        <w:t>лот д'Альанзье, вылетев на разведку, обнаружил германскую дивизию. Однако, ввиду отсутствия на этом участке фран</w:t>
      </w:r>
      <w:r w:rsidRPr="00DE096C">
        <w:rPr>
          <w:bCs/>
          <w:color w:val="002060"/>
          <w:sz w:val="16"/>
          <w:szCs w:val="16"/>
        </w:rPr>
        <w:softHyphen/>
        <w:t>цузской артиллерии, рассеять ее было нечем. Командир эс</w:t>
      </w:r>
      <w:r w:rsidRPr="00DE096C">
        <w:rPr>
          <w:bCs/>
          <w:color w:val="002060"/>
          <w:sz w:val="16"/>
          <w:szCs w:val="16"/>
        </w:rPr>
        <w:softHyphen/>
        <w:t>кадрильи лейтенант Бельемуа приказывает пилоту вновь вылететь в том же направлении, прихватив с собой короб</w:t>
      </w:r>
      <w:r w:rsidRPr="00DE096C">
        <w:rPr>
          <w:bCs/>
          <w:color w:val="002060"/>
          <w:sz w:val="16"/>
          <w:szCs w:val="16"/>
        </w:rPr>
        <w:softHyphen/>
        <w:t>ку, в которой упаковано 1500 стрел. Действительность берет свое, военные пилоты не мо</w:t>
      </w:r>
      <w:r w:rsidRPr="00DE096C">
        <w:rPr>
          <w:bCs/>
          <w:color w:val="002060"/>
          <w:sz w:val="16"/>
          <w:szCs w:val="16"/>
        </w:rPr>
        <w:softHyphen/>
        <w:t>гут просто так летать над противником и безучастно наблю</w:t>
      </w:r>
      <w:r w:rsidRPr="00DE096C">
        <w:rPr>
          <w:bCs/>
          <w:color w:val="002060"/>
          <w:sz w:val="16"/>
          <w:szCs w:val="16"/>
        </w:rPr>
        <w:softHyphen/>
        <w:t>дать за его действиями. Поэтому прибегают хотя бы к сбра</w:t>
      </w:r>
      <w:r w:rsidRPr="00DE096C">
        <w:rPr>
          <w:bCs/>
          <w:color w:val="002060"/>
          <w:sz w:val="16"/>
          <w:szCs w:val="16"/>
        </w:rPr>
        <w:softHyphen/>
        <w:t>сыванию с аэроплана стрел, поскольку выпуск авиабомб еще не налажен.</w:t>
      </w:r>
    </w:p>
    <w:p w14:paraId="5F2C1A2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Тем не менее, в этот день германские аэропланы впервые «бомбили» Париж. Вместе с бомбами были сброшены лис</w:t>
      </w:r>
      <w:r w:rsidRPr="00DE096C">
        <w:rPr>
          <w:bCs/>
          <w:color w:val="002060"/>
          <w:sz w:val="16"/>
          <w:szCs w:val="16"/>
        </w:rPr>
        <w:softHyphen/>
        <w:t>товки: «Парижане! Германская армия находится у ворот Па</w:t>
      </w:r>
      <w:r w:rsidRPr="00DE096C">
        <w:rPr>
          <w:bCs/>
          <w:color w:val="002060"/>
          <w:sz w:val="16"/>
          <w:szCs w:val="16"/>
        </w:rPr>
        <w:softHyphen/>
        <w:t>рижа, и вам остается только сдаться!» Погибло три человека (11060).</w:t>
      </w:r>
    </w:p>
    <w:p w14:paraId="39F3EF1C" w14:textId="77777777" w:rsidR="00B67D7C" w:rsidRPr="00DE096C" w:rsidRDefault="00B67D7C" w:rsidP="00D45A46">
      <w:pPr>
        <w:shd w:val="clear" w:color="auto" w:fill="FFFFFF"/>
        <w:jc w:val="both"/>
        <w:rPr>
          <w:bCs/>
          <w:color w:val="002060"/>
          <w:sz w:val="16"/>
          <w:szCs w:val="16"/>
        </w:rPr>
      </w:pPr>
    </w:p>
    <w:p w14:paraId="5E28CDB3"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9 и 10 (22 и 23) августа 1914 удалось обнаружить движение на железных и шоссейных дорогах, большие скопления войск противника на левом фланге 2-й армии в районах Доич-Эйлау, Гильденбург и Алленштейн. Однако эти очень своевременные сведения воздушной разведки были поставлены под сомнение командованием, за что вскоре пришлось поплатиться поспешным отступлением. Всего за август авиаотряды 2-й армии совершили более 80 боевых вылетов. С самого начала войны русские летчики применяли аэрофотосъемку как эффективный способ воздушной разведки. Так, например, в донесении начальника Осовецкого крепостного авиаотряда от 18 сентября сообщается, что "...рядовой Алексей Литвин-Литвиненко, несмотря на попадание в аэроплан 16 пуль, продолжил фотографирование и этим способствовал выяснению обстановки на фронте Иоганисбург-Бяла-Щучин". Аэрофотосъемка неприятельских позиций для контроля и повышения эффективности артиллерийского огня применялась во время осады крепости Перемышль осенью 1914 г. Об этом докладывал заведующий организацией авиационного дела в армиях Юго-западного фронта Великий князь Александр Михайлович в своем донесении Верховному Главнокомандующему от 28.11.14: "... определенные специальными фотографическими снимками снежного покрова места попадания наших снарядов... выяснили некоторые дефекты в определении целей и расстояний" (11278).</w:t>
      </w:r>
    </w:p>
    <w:p w14:paraId="5E6845A2" w14:textId="77777777" w:rsidR="00B67D7C" w:rsidRPr="00DE096C" w:rsidRDefault="00B67D7C" w:rsidP="00D45A46">
      <w:pPr>
        <w:pStyle w:val="a3"/>
        <w:jc w:val="both"/>
        <w:rPr>
          <w:bCs/>
          <w:i w:val="0"/>
          <w:color w:val="002060"/>
          <w:spacing w:val="0"/>
          <w:kern w:val="0"/>
          <w:position w:val="0"/>
          <w:sz w:val="16"/>
          <w:szCs w:val="16"/>
        </w:rPr>
      </w:pPr>
    </w:p>
    <w:p w14:paraId="6144507C" w14:textId="77777777" w:rsidR="00B67D7C" w:rsidRPr="00DE096C" w:rsidRDefault="00B67D7C" w:rsidP="00D45A46">
      <w:pPr>
        <w:jc w:val="both"/>
        <w:rPr>
          <w:bCs/>
          <w:color w:val="002060"/>
          <w:sz w:val="16"/>
          <w:szCs w:val="16"/>
        </w:rPr>
      </w:pPr>
      <w:r w:rsidRPr="00DE096C">
        <w:rPr>
          <w:bCs/>
          <w:color w:val="002060"/>
          <w:sz w:val="16"/>
          <w:szCs w:val="16"/>
        </w:rPr>
        <w:t xml:space="preserve">9 и 10 (22 и 23) августа 1914 летчикам удалось обнаружить движение на железных и шоссейных дорогах, большие скопления войск противника на левом фланге 2-й армии в районах Доич-Эйлау, Гильденбург и Алленштейн. Однако эти очень своевременные сведения воздушной разведки были поставлены под сомнение командованием, за что вскоре пришлось поплатиться поспешным отступлением. Всего за август авиаотряды 2-й армии совершили более 80 боевых вылетов. С самого начала войны русские летчики применяли аэрофотосъемку как эффективный способ воздушной разведки. Так, например, в донесении начальника Осовецкого крепостного авиаотряда от 18 сентября сообщается, что "...рядовой Алексей Литвин-Литвиненко, несмотря на попадание в аэроплан 16 пуль, продолжил фотографирование и этим способствовал выяснению обстановки на фронте Иоганисбург-Бяла-Щучин". Аэрофотосъемка неприятельских позиций для контроля и повышения эффективности артиллерийского огня применялась во время осады крепости Перемышль осенью 1914 г. Об этом докладывал заведующий организацией авиационного дела в армиях Юго-западного фронта Великий князь Александр Михайлович в своем донесении Верховному Главнокомандующему от 28.11.14: "... определенные специальными фотографическими снимками снежного покрова места попадания наших снарядов... выяснили некоторые дефекты в определении целей и расстояний". В осаде Перемышля задействовались объединенные в группу 24-й корпусной и Брест-Литовский авиаотряды во главе с одним из опытнейших военных летчиков поручиком Е. Рудневым. В задачу группы, кроме разведки, входила и бомбардировка крепости. За время осады было сброшено около 50 различных бомб массой от 6 фунтов до 2 пудов 30 фунтов (2,7-46,4 кг). "Особенно энергичная деятельность была развита 18-го ноября... За этот день было совершено 13 полетов, сделано 14 фотоснимков крепости и ее фортов, сброшено 27 бомб общим весом взрывчатки 21 пуд 20 фунтов (353 кг). Бомбы были сброшены с высоты 1700-2200 м..., причем по результатам взрывов во многих местах начались пожары. Все летавшие были отстреляны шрапнелью противника..." С помощью воздушной разведки русское командование следило за всеми действиями осажденного гарнизона, который сдался 5 марта 1915 г. Примером успешного применения авиации может служить работа авиаотрядов 3-й и 8-й армий Юго-западного фронта в Галицийской операции. Ограниченный радиус действия самолетов вынуждал использовать авиацию в основном для решения тактических задач. Однако правильная организация работы авиаотрядов давала материалы и оперативных масштабов: штабы армий обменивались данными воздушной разведки и регулярно информировали штаб фронта о всех важнейших сведениях, собранных летчиками. Когда началось наступление 8-й армии, авиаторы привозили из разведвылетов важные сведения о группировках противника и путях его отхода. Эти данные были подтверждены дальнейшим ходом событий - войска 8-й армии продвигались вперед, не встречая серьезного сопротивления. Не менее успешно действовали авиаотряды 3-й армии, наступавшей на Львов. За период Галицийской битвы с 6 августа по 13 сентября 9-й и 11-й корпусные авиаотряды (КАО) 3-й армии совершили свыше 70 боевых вылетов, а четыре отряда 8-й армии (7-й, 8-й и 12-й корпусные, 3-й полевой) - свыше 100. В этот период хуже обстояли дела у летчики 4-й и 5-й армий. Полетов было мало, а плохая организация воздушной разведки привела к неприятным неожиданностям во время боевых действий. В целом в кампании 1914 г. наиболее высокий уровень работы авиации оказался на Юго-западном фронте. Здесь авиаторы успешно справлялись с поставленными перед ними задачами, и их деятельность часто получала высокую оценку наземного командования. Об этом свидетельствует приказ Главнокомандующего фронтом генерала Н. И. Иванова от 11.01.1915: "Летчики-офицеры и нижние чины, не считаясь с трудностями обстановки, не взирая ни на какую погоду, с честью выполнили свой долг и своими мужественными разведками приносили надлежащую пользу своим корпусам и армиям". Иначе обстояли дела на Северо-Западном фронте. В сентябре здесь решением главкома авиаотряды были изъяты из состава корпусов и сведены в авиационные группы, подчиненные начальникам штабов армий. Однако эта реорганизация оказалась малоэффективной, так как не были созданы органы управления авиагруппами, а ограниченный радиус действия самолетов затруднял их применение в интересах армейского командования. К тому же такая структура не учитывала сложные географические (болотистая и лесная местность) и погодные условия, существовавшие на северо-западе. Собранные на одном аэродроме самолеты каждой группы при плохих метеоусловиях были обречены на бездействие, тогда как в случае рассредоточения по площадкам авиаотрядов имелись бы шансы использовать кратковременные местные улучшения погоды. Исследование динамики убыли и поступления самолетов в целом по Русской армии показывает, что потери аэропланов были значительными и составляли не менее 45,8% за 2 месяца. Большая часть (иногда 90%) этой убыли была вызвана выходом из строя изношенных аэропланов и моторов. Мощностей русских авиазаводов не хватало для восполнения этих потерь - с начала войны до 1 января 1915 г. они отправили в действующую армию 157 самолетов. Причем часто эти машины имели дефекты и забраковывались при сборке в отрядах и ротах. Особые нарекания вызывали самолеты завода Щетинина. Так, монопланы "Ньюпор" имели отрицательный угол установки крыла, что повлекло ряд аварий. Французские самолеты, сделанные на русских авиазаводах, отличались большей массой и низким качеством изготовления по сравнению с импортными "собратьями". Первые месяцы войны выявили и тот факт, что часто высшие военные начальники проявляли полное незнание свойств и возможностей аэропланов. Отсюда - либо отсутствие постановки задач и бездействие авиации, либо постановка перед летчиками нереальных боевых задач. Чтобы избежать таких недоразумений, были изданы подробные указания по использованию нового рода войск. Особую заботу о летчиках проявил главнокомандующий Юго-Западным фронтом, который издал приказ №6 от 12 августа 1914 г.: "Придавая большое значение работе аэропланов и признавая весь риск и трудности выполнения задач летчиками и наблюдателями, приказываю...". Далее шли указания летать не больше одного раза в день на дальность не более 200-230 верст, полеты совершать в утренние часы. Штабному начальству предписывалось не посылать летчиков по мелочам, не злоупотреблять частым направлением аппаратов к линии фронта, давать задачи на поиск крупных соединений противника, не поручать летчикам и наблюдателям разбрасывать прокламации, ибо в случае пленения они не приравниваются к военнопленным и могут быть расстреляны, и т.д. Бичом русской авиации в первые месяцы войны стал безудержный обстрел аппаратов своими войсками, что стало причиной гибели нескольких авиаторов. Например, 13 августа при перелете линии фронта был убит своими войсками военный летчик 25-го КАО поручик Гудим, 27 августа такая же участь постигла при посадке военного летчика 11-го КАО поручика Лемешко и т.д. Другие случаи имели менее трагические последствия. Так, "30 июля 1914г. начальник 7-го корпусного авиаотряда штабс-капитан Степанов вылетел для производства воздушной разведки, пролетая над местечком Ярмолинцы, подвергся обстрелу залпами... получил пробоины в стабилизатор и крыло. Расследование показало... стреляли роты 60-го пехотного Замоского полка". В тот же день летчик того же отряда поручик Сабельников попал в такую же ситуацию. Результат - 4 пробоины. Подобных примеров было много, и это вынудило командование издать приказы, запрещавшие "стрелять по своим и планирующим аппаратам, стрельбу вести только по приказу офицера или при бросании бомб противником". Господам офицерам было приказано изучить знаки своих и неприятельских аэропланов, знать их силуэты. Начальный период войны выявил плохую организацию в снабжении авиационных отрядов и рот бензином, касторовым маслом, запчастями, палатками и другим авиационным имуществом. Самолеты и моторы быстро выходили из строя в суровых полевых условиях, особенно с наступлением ненастной осенней погоды, когда остро сказались нехватка палаток и переносных ангаров, использование для аэродромов малопригодных площадок. Уже после первых месяцев войны многие авиаотряды пришлось отвести в тыл для снабжения аэропланами новых систем и для переучивания летчиков на них. Так, пилоты, летавшие на "Ньюпорах", освоили "Мораны". Широко использовалась для вооружения отрядов отремонтированная трофейная авиатехника. Поставки самолетов и назначения личного состава целиком зависели от штаба авиации, возглавлявшегося Великим князем Александром </w:t>
      </w:r>
      <w:r w:rsidRPr="00DE096C">
        <w:rPr>
          <w:bCs/>
          <w:color w:val="002060"/>
          <w:sz w:val="16"/>
          <w:szCs w:val="16"/>
        </w:rPr>
        <w:lastRenderedPageBreak/>
        <w:t>Михайловичем. Он часто назначал командирами рот и начальниками отрядов офицеров, хорошо писавших отчеты, но мало летавших. В этой ситуации протежируемые отряды снабжались самолетами вне очереди , тогда как части, несшие ответственную и тяжелую работу, оставались без аэропланов. Снабжение самолетами оставалось большой проблемой, которая часто решалась на самом высоком уровне. Так, 31 августа 1914 г. командующий 8-й армией генерал Брусилов бьет челом Великому князю: "Настоящее время лишился совершенно воздушных аппаратов, столь драгоценных для разведок, что ставит управление войсками в крайне трудное положение. ...Покорно прошу Ваше императорское высочество оказать армии величайшую помощь "Фарманами" и "Ньюпорами". Деятельность летчиков в разведке незаменима." Просьба Брусилова была удовлетворена, и армия получила 4 самолета из состава Брест-Литовского крепостного авиаотряда. Однако таких просьб было множество, а дефицит самолетов и моторов стал хронической болезнью русской авиации до конца войны. К началу боевых действий в составе воздушного флота России насчитывался 221 летчик: 170 офицеров, 35 нижних чинов и 16 вольноопределяющихся (добровольцев). На 1 января 1915 г. потери летчиков составили 33 человека или 14,9% от общего состава. Из них 6 погибли от действий неприятеля, 5 - в авариях, 22 попали в плен и пропали без вести. Среди погибших: штабс-капитаны Грузинов, Нестеров, поручики Лемешко, Гудим, старший унтер-офицер Доброшинский и др. Пропали без вести: поручики Николаевский, Шамин, Машерек и др. Ранены или разбились при падении: капитан Витковский, гвардии штабс-капитан Мельницкий, штабс-капитан Мучник, поручики Городецкий, Корнидов, Павлов, доброволец Шпицберг. Некоторые из них, например, летчик-доброволец 16-го КАО Шпицберг, впоследствии скончались в госпитале. В скорбный список боевых потерь одним из первых попал военный летчик начальник 14-го КАО Ефграф Ефграфович Грузинов, смертельно раненный шрапнелью в воздухе во время выполнения боевого задания. 17 августа он вылетел на разведку района Кщонов-Пиляш-Ковице-Быхов-Люблин и обратно не вернулся. Самолет упал на вражеской территории, которую вскоре заняли русские войска. У села Быхово близ Янова были найдены свежая могила и разбитый "Ньюпор". В могиле обнаружили тело Грузинова, вопрос местных жителей и пленных австрийцев дал представление об обстоятельствах его гибели. Выяснилось, что самолет пролетал над австрийскими позициями на высоте 1000-1200 м и был обстрелян сначала пехотой, потом артиллерийской батареей, которая дала три залпа. Два первых цели не достигли. После третьего аппарат дрогнул, перевернулся и, сделав крутой вираж, врезался в землю с работающим мотором. Посмертно высочайшим приказом штабс-капитан Грузинов был награжден орденом Святого Георгия 4-й степени. Состоялись и первые воздушные бои. Таран и героическая гибель 26 августа военного летчика начальника 11-го КАО Петра Николаевича Нестерова открыли новую эпоху борьбы в воздухе. Из вооружения у русских авиаторов имелись только пистолеты "Маузер" и карабины. Хроника тех лет описывает несколько случаев воздушных боев. Так, 28 октября в окрестностях Петроково (под Варшавой) "появился неприятельский аэроплан. Через несколько минут поднялись два наших летчика и после воздушного боя сбросили "Таубе" на землю. Немецкие авиаторы разбились. Неприятельский аэроплан исковеркан". К сожалению, подтверждения этому газетному сообщению не нашлось. А вот воздушный бой и совместные действия с артиллерией, принесшие успех военному летчику Гродненского крепостного авиаотряда поручику Семенову, были подтверждены несколькими донесениями, хранящимися в Военно-историческом архиве. 27 августа Семенов с наблюдателем корнетом Николаевым при перелете через озеро Мейер, что в Восточной Пруссии, заметил неприятельский аэроплан, летевший к Летцену. Обойдя противника с правой стороны, Семенов атаковал его, заставил спуститься ниже и изменить направление полета в район русских позиций, где тот был обстрелян и около озера упал (11237).</w:t>
      </w:r>
    </w:p>
    <w:p w14:paraId="14D08FD3" w14:textId="77777777" w:rsidR="00B67D7C" w:rsidRPr="00DE096C" w:rsidRDefault="00B67D7C" w:rsidP="00D45A46">
      <w:pPr>
        <w:jc w:val="both"/>
        <w:rPr>
          <w:bCs/>
          <w:i/>
          <w:color w:val="002060"/>
          <w:sz w:val="16"/>
          <w:szCs w:val="16"/>
        </w:rPr>
      </w:pPr>
    </w:p>
    <w:p w14:paraId="202A3EE9" w14:textId="0C7664A3" w:rsidR="00B67D7C" w:rsidRPr="00DE096C" w:rsidRDefault="00B67D7C" w:rsidP="00D45A46">
      <w:pPr>
        <w:jc w:val="both"/>
        <w:rPr>
          <w:bCs/>
          <w:color w:val="002060"/>
          <w:sz w:val="16"/>
          <w:szCs w:val="16"/>
        </w:rPr>
      </w:pPr>
      <w:r w:rsidRPr="00DE096C">
        <w:rPr>
          <w:bCs/>
          <w:color w:val="002060"/>
          <w:sz w:val="16"/>
          <w:szCs w:val="16"/>
        </w:rPr>
        <w:t xml:space="preserve">9 и 10 (22 и 23) августа </w:t>
      </w:r>
      <w:r w:rsidR="006C0839" w:rsidRPr="00DE096C">
        <w:rPr>
          <w:bCs/>
          <w:color w:val="002060"/>
          <w:sz w:val="16"/>
          <w:szCs w:val="16"/>
        </w:rPr>
        <w:t xml:space="preserve">1914 г. </w:t>
      </w:r>
      <w:r w:rsidRPr="00DE096C">
        <w:rPr>
          <w:bCs/>
          <w:color w:val="002060"/>
          <w:sz w:val="16"/>
          <w:szCs w:val="16"/>
        </w:rPr>
        <w:t xml:space="preserve">удалось обнаружить движение на железных и шоссейных дорогах, большие скопления войск противника на левом фланге 2-й армии в районах Доич-Эйлау, Гильденбург и Алленштейн. Однако эти очень своевременные сведения воздушной разведки были поставлены под сомнение командованием, за что вскоре пришлось поплатиться поспешным отступлением. Всего за август авиаотряды 2-й армии совершили более 80 боевых вылетов. </w:t>
      </w:r>
    </w:p>
    <w:p w14:paraId="0FBC3F66" w14:textId="77777777" w:rsidR="00B67D7C" w:rsidRPr="00DE096C" w:rsidRDefault="00B67D7C" w:rsidP="00D45A46">
      <w:pPr>
        <w:jc w:val="both"/>
        <w:rPr>
          <w:bCs/>
          <w:i/>
          <w:color w:val="002060"/>
          <w:sz w:val="16"/>
          <w:szCs w:val="16"/>
        </w:rPr>
      </w:pPr>
    </w:p>
    <w:p w14:paraId="2B3EC98E" w14:textId="0DC695BD" w:rsidR="00633CA8" w:rsidRPr="00DE096C" w:rsidRDefault="00633CA8" w:rsidP="00D45A46">
      <w:pPr>
        <w:jc w:val="both"/>
        <w:rPr>
          <w:bCs/>
          <w:color w:val="002060"/>
          <w:sz w:val="16"/>
          <w:szCs w:val="16"/>
        </w:rPr>
      </w:pPr>
      <w:r w:rsidRPr="00DE096C">
        <w:rPr>
          <w:bCs/>
          <w:color w:val="002060"/>
          <w:sz w:val="16"/>
          <w:szCs w:val="16"/>
        </w:rPr>
        <w:t xml:space="preserve">9 (22) августа 1914 г. нашими наблюдательными постами был зафиксирован разведывательный полет германского аэроплана на г. Кальвария (Сувалкская губ.). Отмечались полеты неприятельской авиации и с пропагандистскими целями. На позиции русских войск немецкие </w:t>
      </w:r>
      <w:bookmarkStart w:id="122" w:name="bookmark7"/>
      <w:r w:rsidRPr="00DE096C">
        <w:rPr>
          <w:bCs/>
          <w:color w:val="002060"/>
          <w:sz w:val="16"/>
          <w:szCs w:val="16"/>
        </w:rPr>
        <w:t>летчики сбрасывали многочисленные прокламации (преимущественно для нижних чинов) следующего содержания: «Солдаты! У австрийской границы русская армия разбита и отступает. Много русских солдат остались на поле сражений. В Польше мятежи. В Москве и Одессе революция и скоро распространится на всю Россию. &lt;...&gt; Вам начальство говорит, что мы мучаем русских пленных. Не верьте этой клевете. Да где нашлись бы палачи, чтоб убивать стотысячную армию русских пленных? Ваши пленные теперь спокойно проживают внутри нашей страны вместе с французами, бельгийцами и англичанами, они очень, очень довольны. Не стоит умирать за потерянное дело, живите для жен и детей ваших, для вашего родного края, для новой и счастливой России»</w:t>
      </w:r>
      <w:hyperlink w:anchor="bookmark1076" w:tooltip="Current Document">
        <w:r w:rsidRPr="00DE096C">
          <w:rPr>
            <w:rStyle w:val="af0"/>
            <w:bCs/>
            <w:color w:val="002060"/>
            <w:sz w:val="16"/>
            <w:szCs w:val="16"/>
          </w:rPr>
          <w:t>[2]</w:t>
        </w:r>
      </w:hyperlink>
      <w:r w:rsidRPr="00DE096C">
        <w:rPr>
          <w:bCs/>
          <w:color w:val="002060"/>
          <w:sz w:val="16"/>
          <w:szCs w:val="16"/>
        </w:rPr>
        <w:t>.</w:t>
      </w:r>
      <w:bookmarkEnd w:id="122"/>
    </w:p>
    <w:p w14:paraId="22C72108" w14:textId="77777777" w:rsidR="00633CA8" w:rsidRPr="00DE096C" w:rsidRDefault="00633CA8" w:rsidP="00D45A46">
      <w:pPr>
        <w:jc w:val="both"/>
        <w:rPr>
          <w:bCs/>
          <w:color w:val="002060"/>
          <w:sz w:val="16"/>
          <w:szCs w:val="16"/>
        </w:rPr>
      </w:pPr>
      <w:bookmarkStart w:id="123" w:name="bookmark8"/>
      <w:r w:rsidRPr="00DE096C">
        <w:rPr>
          <w:bCs/>
          <w:color w:val="002060"/>
          <w:sz w:val="16"/>
          <w:szCs w:val="16"/>
        </w:rPr>
        <w:t>С началом войны накануне занятия австро-венгерскими войсками населенных пунктов Сендзишев (Сендзишув), Воль-бром, Мехов, Войдислав, Андреев, Бялогу и Кельцы (Кельце) (царство Польское) неприятельские летчики разбрасывали над ними прокламации на польском языке, призывавшие местное население не подчиняться русской администрации (23405).</w:t>
      </w:r>
      <w:bookmarkEnd w:id="123"/>
    </w:p>
    <w:p w14:paraId="4C4AFE95" w14:textId="77777777" w:rsidR="00633CA8" w:rsidRPr="00DE096C" w:rsidRDefault="00633CA8" w:rsidP="00D45A46">
      <w:pPr>
        <w:jc w:val="both"/>
        <w:rPr>
          <w:bCs/>
          <w:color w:val="002060"/>
          <w:sz w:val="16"/>
          <w:szCs w:val="16"/>
          <w:lang w:bidi="ru-RU"/>
        </w:rPr>
      </w:pPr>
    </w:p>
    <w:p w14:paraId="25FE4E37" w14:textId="77777777" w:rsidR="00D94D44" w:rsidRPr="00B52707" w:rsidRDefault="00D94D44" w:rsidP="00D94D44">
      <w:pPr>
        <w:jc w:val="both"/>
        <w:rPr>
          <w:color w:val="0070C0"/>
          <w:sz w:val="16"/>
          <w:szCs w:val="16"/>
        </w:rPr>
      </w:pPr>
      <w:r w:rsidRPr="00B52707">
        <w:rPr>
          <w:color w:val="0070C0"/>
          <w:sz w:val="16"/>
          <w:szCs w:val="16"/>
        </w:rPr>
        <w:t>С 9 (22) августа 1914 г. в полосе русского Юго-Западного фронта в разведывательных целях действовал австрийский военный дирижабль «Шютте-Ланц» SL–II. 1 сентября он выполнил успешную разведку в районе Лодзь – Петраков (Пётркув-Трыбунальски). Позднее воздушный корабль был переброшен на Западноевропейский театр войны (25135).</w:t>
      </w:r>
    </w:p>
    <w:p w14:paraId="280B58B1" w14:textId="77777777" w:rsidR="00D94D44" w:rsidRPr="00B52707" w:rsidRDefault="00D94D44" w:rsidP="00D94D44">
      <w:pPr>
        <w:jc w:val="both"/>
        <w:rPr>
          <w:color w:val="0070C0"/>
          <w:sz w:val="16"/>
          <w:szCs w:val="16"/>
        </w:rPr>
      </w:pPr>
    </w:p>
    <w:p w14:paraId="43D8DBDC" w14:textId="77777777" w:rsidR="00B67D7C" w:rsidRPr="00DE096C" w:rsidRDefault="00B67D7C" w:rsidP="00D45A46">
      <w:pPr>
        <w:jc w:val="both"/>
        <w:rPr>
          <w:bCs/>
          <w:i/>
          <w:color w:val="002060"/>
          <w:sz w:val="16"/>
          <w:szCs w:val="16"/>
        </w:rPr>
      </w:pPr>
      <w:r w:rsidRPr="00DE096C">
        <w:rPr>
          <w:bCs/>
          <w:i/>
          <w:color w:val="002060"/>
          <w:sz w:val="16"/>
          <w:szCs w:val="16"/>
        </w:rPr>
        <w:t>Морская авиация:</w:t>
      </w:r>
    </w:p>
    <w:p w14:paraId="71775C6A" w14:textId="77777777" w:rsidR="00B67D7C" w:rsidRPr="00DE096C" w:rsidRDefault="00B67D7C" w:rsidP="00D45A46">
      <w:pPr>
        <w:jc w:val="both"/>
        <w:rPr>
          <w:bCs/>
          <w:i/>
          <w:color w:val="002060"/>
          <w:sz w:val="16"/>
          <w:szCs w:val="16"/>
        </w:rPr>
      </w:pPr>
    </w:p>
    <w:p w14:paraId="05B84234" w14:textId="0FEE201D" w:rsidR="00B67D7C" w:rsidRPr="00DE096C" w:rsidRDefault="00B67D7C" w:rsidP="00D45A46">
      <w:pPr>
        <w:jc w:val="both"/>
        <w:rPr>
          <w:bCs/>
          <w:color w:val="002060"/>
          <w:sz w:val="16"/>
          <w:szCs w:val="16"/>
        </w:rPr>
      </w:pPr>
      <w:r w:rsidRPr="00DE096C">
        <w:rPr>
          <w:bCs/>
          <w:color w:val="002060"/>
          <w:sz w:val="16"/>
          <w:szCs w:val="16"/>
        </w:rPr>
        <w:t xml:space="preserve">9 (22) августа </w:t>
      </w:r>
      <w:r w:rsidR="006C0839" w:rsidRPr="00DE096C">
        <w:rPr>
          <w:bCs/>
          <w:color w:val="002060"/>
          <w:sz w:val="16"/>
          <w:szCs w:val="16"/>
        </w:rPr>
        <w:t xml:space="preserve">1914 г. </w:t>
      </w:r>
      <w:r w:rsidRPr="00DE096C">
        <w:rPr>
          <w:bCs/>
          <w:color w:val="002060"/>
          <w:sz w:val="16"/>
          <w:szCs w:val="16"/>
        </w:rPr>
        <w:t>Нагурский поднял самолет в воздух, чтобы обследовать положение льдов у Горбовых островов и сесть у Заячьего острова, где была промысловая избушка.</w:t>
      </w:r>
    </w:p>
    <w:p w14:paraId="08D086C2" w14:textId="77777777" w:rsidR="00B67D7C" w:rsidRPr="00DE096C" w:rsidRDefault="00B67D7C" w:rsidP="00D45A46">
      <w:pPr>
        <w:jc w:val="both"/>
        <w:rPr>
          <w:bCs/>
          <w:color w:val="002060"/>
          <w:sz w:val="16"/>
          <w:szCs w:val="16"/>
        </w:rPr>
      </w:pPr>
      <w:r w:rsidRPr="00DE096C">
        <w:rPr>
          <w:bCs/>
          <w:color w:val="002060"/>
          <w:sz w:val="16"/>
          <w:szCs w:val="16"/>
        </w:rPr>
        <w:t>Полет проходил на высоте 1000 метров, погода была ясная. Выяснилось, что Архангельская губа, проливы между островами Берха, Лучухиным и Заячьим забиты льдом. Эта первая в мире ледовая разведка была сделана в интересах капитана судна «Андромеда», который должен был заложить склад продовольствия на Заячьем острове для пропавших без вести экспедиции Г. Я. Седова, Г. Л. Брусилова и В. А. Русанова.</w:t>
      </w:r>
    </w:p>
    <w:p w14:paraId="42CE66FD" w14:textId="77777777" w:rsidR="00B67D7C" w:rsidRPr="00DE096C" w:rsidRDefault="00B67D7C" w:rsidP="00D45A46">
      <w:pPr>
        <w:jc w:val="both"/>
        <w:rPr>
          <w:bCs/>
          <w:color w:val="002060"/>
          <w:sz w:val="16"/>
          <w:szCs w:val="16"/>
        </w:rPr>
      </w:pPr>
      <w:r w:rsidRPr="00DE096C">
        <w:rPr>
          <w:bCs/>
          <w:color w:val="002060"/>
          <w:sz w:val="16"/>
          <w:szCs w:val="16"/>
        </w:rPr>
        <w:t>В 6 часов 15 минут Нагурский благополучно сел у Архангельской губы, где стал поджидать "Андромеду". После этого полета моторист Евгений Кузнецов заболел. Его служба проходила раньше на Черном море, и он так и не привык к холодам этих мест.</w:t>
      </w:r>
    </w:p>
    <w:p w14:paraId="0351DFB1" w14:textId="77777777" w:rsidR="00B67D7C" w:rsidRPr="00DE096C" w:rsidRDefault="00B67D7C" w:rsidP="00D45A46">
      <w:pPr>
        <w:jc w:val="both"/>
        <w:rPr>
          <w:bCs/>
          <w:i/>
          <w:color w:val="002060"/>
          <w:sz w:val="16"/>
          <w:szCs w:val="16"/>
        </w:rPr>
      </w:pPr>
    </w:p>
    <w:p w14:paraId="76FF2C5D" w14:textId="77777777" w:rsidR="00B67D7C" w:rsidRPr="00DE096C" w:rsidRDefault="00B67D7C" w:rsidP="00D45A46">
      <w:pPr>
        <w:jc w:val="both"/>
        <w:rPr>
          <w:bCs/>
          <w:i/>
          <w:color w:val="002060"/>
          <w:sz w:val="16"/>
          <w:szCs w:val="16"/>
        </w:rPr>
      </w:pPr>
      <w:r w:rsidRPr="00DE096C">
        <w:rPr>
          <w:bCs/>
          <w:i/>
          <w:color w:val="002060"/>
          <w:sz w:val="16"/>
          <w:szCs w:val="16"/>
        </w:rPr>
        <w:t>Авиация и воздухоплавание Германии:</w:t>
      </w:r>
    </w:p>
    <w:p w14:paraId="3655EC4A" w14:textId="77777777" w:rsidR="00B67D7C" w:rsidRPr="00DE096C" w:rsidRDefault="00B67D7C" w:rsidP="00D45A46">
      <w:pPr>
        <w:jc w:val="both"/>
        <w:rPr>
          <w:bCs/>
          <w:i/>
          <w:color w:val="002060"/>
          <w:sz w:val="16"/>
          <w:szCs w:val="16"/>
        </w:rPr>
      </w:pPr>
    </w:p>
    <w:p w14:paraId="1956B112" w14:textId="3EABDB8B" w:rsidR="00B67D7C" w:rsidRPr="00DE096C" w:rsidRDefault="00B67D7C" w:rsidP="00D45A46">
      <w:pPr>
        <w:jc w:val="both"/>
        <w:rPr>
          <w:bCs/>
          <w:color w:val="002060"/>
          <w:sz w:val="16"/>
          <w:szCs w:val="16"/>
        </w:rPr>
      </w:pPr>
      <w:r w:rsidRPr="00DE096C">
        <w:rPr>
          <w:bCs/>
          <w:color w:val="002060"/>
          <w:sz w:val="16"/>
          <w:szCs w:val="16"/>
        </w:rPr>
        <w:t xml:space="preserve">9 (22) августа 1914 </w:t>
      </w:r>
      <w:r w:rsidR="006C0839" w:rsidRPr="00DE096C">
        <w:rPr>
          <w:bCs/>
          <w:color w:val="002060"/>
          <w:sz w:val="16"/>
          <w:szCs w:val="16"/>
        </w:rPr>
        <w:t>г.</w:t>
      </w:r>
      <w:r w:rsidRPr="00DE096C">
        <w:rPr>
          <w:bCs/>
          <w:color w:val="002060"/>
          <w:sz w:val="16"/>
          <w:szCs w:val="16"/>
        </w:rPr>
        <w:t xml:space="preserve"> германская авиационная разведка доносит о движении многочисленных обозов от Англе-Фонтен до Баве. Поступил приказ из штаба главного германского командования использовать для ближней разведки в Лотарингии цеппелины Z-VII и Z-VIII; им ставилась задача отыскать с рассветом отходящие в Эльзасе французские войска и расстроить их ряды бомбардировкой (11999).</w:t>
      </w:r>
    </w:p>
    <w:p w14:paraId="2DD3BF61" w14:textId="77777777" w:rsidR="00B67D7C" w:rsidRPr="00DE096C" w:rsidRDefault="00B67D7C" w:rsidP="00D45A46">
      <w:pPr>
        <w:jc w:val="both"/>
        <w:rPr>
          <w:bCs/>
          <w:color w:val="002060"/>
          <w:sz w:val="16"/>
          <w:szCs w:val="16"/>
        </w:rPr>
      </w:pPr>
    </w:p>
    <w:p w14:paraId="2F61BCCA" w14:textId="77777777" w:rsidR="00344A8B" w:rsidRPr="00DE096C" w:rsidRDefault="00344A8B" w:rsidP="00D45A46">
      <w:pPr>
        <w:jc w:val="both"/>
        <w:rPr>
          <w:bCs/>
          <w:i/>
          <w:color w:val="002060"/>
          <w:sz w:val="16"/>
          <w:szCs w:val="16"/>
        </w:rPr>
      </w:pPr>
      <w:r w:rsidRPr="00DE096C">
        <w:rPr>
          <w:bCs/>
          <w:i/>
          <w:color w:val="002060"/>
          <w:sz w:val="16"/>
          <w:szCs w:val="16"/>
        </w:rPr>
        <w:t>Авиация и воздухоплавание Англии:</w:t>
      </w:r>
    </w:p>
    <w:p w14:paraId="53944EF9" w14:textId="77777777" w:rsidR="00344A8B" w:rsidRPr="00DE096C" w:rsidRDefault="00344A8B" w:rsidP="00D45A46">
      <w:pPr>
        <w:jc w:val="both"/>
        <w:rPr>
          <w:bCs/>
          <w:i/>
          <w:color w:val="002060"/>
          <w:sz w:val="16"/>
          <w:szCs w:val="16"/>
        </w:rPr>
      </w:pPr>
    </w:p>
    <w:p w14:paraId="7BA68C22" w14:textId="6E5DD9B7" w:rsidR="00344A8B" w:rsidRPr="00DE096C" w:rsidRDefault="00344A8B" w:rsidP="00D45A46">
      <w:pPr>
        <w:jc w:val="both"/>
        <w:rPr>
          <w:bCs/>
          <w:color w:val="002060"/>
          <w:sz w:val="16"/>
          <w:szCs w:val="16"/>
        </w:rPr>
      </w:pPr>
      <w:r w:rsidRPr="00DE096C">
        <w:rPr>
          <w:bCs/>
          <w:color w:val="002060"/>
          <w:sz w:val="16"/>
          <w:szCs w:val="16"/>
        </w:rPr>
        <w:t>9 (22) августа в 1914 году первым английским военным аэропланом</w:t>
      </w:r>
      <w:r w:rsidR="006C0839" w:rsidRPr="00DE096C">
        <w:rPr>
          <w:bCs/>
          <w:color w:val="002060"/>
          <w:sz w:val="16"/>
          <w:szCs w:val="16"/>
        </w:rPr>
        <w:t>,</w:t>
      </w:r>
      <w:r w:rsidRPr="00DE096C">
        <w:rPr>
          <w:bCs/>
          <w:color w:val="002060"/>
          <w:sz w:val="16"/>
          <w:szCs w:val="16"/>
        </w:rPr>
        <w:t xml:space="preserve"> сбитым в ходе боевых действий</w:t>
      </w:r>
      <w:r w:rsidR="006C0839" w:rsidRPr="00DE096C">
        <w:rPr>
          <w:bCs/>
          <w:color w:val="002060"/>
          <w:sz w:val="16"/>
          <w:szCs w:val="16"/>
        </w:rPr>
        <w:t>,</w:t>
      </w:r>
      <w:r w:rsidRPr="00DE096C">
        <w:rPr>
          <w:bCs/>
          <w:color w:val="002060"/>
          <w:sz w:val="16"/>
          <w:szCs w:val="16"/>
        </w:rPr>
        <w:t xml:space="preserve"> стал "Авро 504" из 5-ой эскадрильи. Его пилотировал лейтенант В.Митерфолл. Он был сбит ружейным огнём немецкой пехоты над территорией Бельгии (14990).</w:t>
      </w:r>
    </w:p>
    <w:p w14:paraId="3F5AE0D9" w14:textId="77777777" w:rsidR="00344A8B" w:rsidRPr="00DE096C" w:rsidRDefault="00344A8B" w:rsidP="00D45A46">
      <w:pPr>
        <w:jc w:val="both"/>
        <w:rPr>
          <w:bCs/>
          <w:color w:val="002060"/>
          <w:sz w:val="16"/>
          <w:szCs w:val="16"/>
        </w:rPr>
      </w:pPr>
    </w:p>
    <w:p w14:paraId="221624CF" w14:textId="22688885" w:rsidR="006B72FA" w:rsidRPr="00DE096C" w:rsidRDefault="006B72FA" w:rsidP="00D45A46">
      <w:pPr>
        <w:jc w:val="both"/>
        <w:rPr>
          <w:bCs/>
          <w:color w:val="002060"/>
          <w:sz w:val="16"/>
          <w:szCs w:val="16"/>
        </w:rPr>
      </w:pPr>
      <w:r w:rsidRPr="00DE096C">
        <w:rPr>
          <w:bCs/>
          <w:color w:val="002060"/>
          <w:sz w:val="16"/>
          <w:szCs w:val="16"/>
        </w:rPr>
        <w:t xml:space="preserve">9 (22) августа 1914 </w:t>
      </w:r>
      <w:r w:rsidR="006C0839" w:rsidRPr="00DE096C">
        <w:rPr>
          <w:bCs/>
          <w:color w:val="002060"/>
          <w:sz w:val="16"/>
          <w:szCs w:val="16"/>
        </w:rPr>
        <w:t>п</w:t>
      </w:r>
      <w:r w:rsidRPr="00DE096C">
        <w:rPr>
          <w:bCs/>
          <w:color w:val="002060"/>
          <w:sz w:val="16"/>
          <w:szCs w:val="16"/>
        </w:rPr>
        <w:t>ервым английским военным аэропланом, сбитым в ходе боевых действий в ходе Первой мировой войны, стал Аvrо 504 из 5-й эскадрильи. Его пилот 2Lt V.E.Waterfall и наблюдатель Lt C.G.G.Bayly погибли. Самолёт, вероятно, был сбит ружейным огнём немецкой пехоты над территорией Бельгии (22390).</w:t>
      </w:r>
    </w:p>
    <w:p w14:paraId="468EDE0F" w14:textId="77777777" w:rsidR="006B72FA" w:rsidRPr="00DE096C" w:rsidRDefault="006B72FA" w:rsidP="00D45A46">
      <w:pPr>
        <w:jc w:val="both"/>
        <w:rPr>
          <w:bCs/>
          <w:color w:val="002060"/>
          <w:sz w:val="16"/>
          <w:szCs w:val="16"/>
        </w:rPr>
      </w:pPr>
    </w:p>
    <w:p w14:paraId="1C70BF46" w14:textId="77777777" w:rsidR="00344A8B" w:rsidRPr="00DE096C" w:rsidRDefault="00344A8B" w:rsidP="00D45A46">
      <w:pPr>
        <w:jc w:val="both"/>
        <w:rPr>
          <w:bCs/>
          <w:i/>
          <w:color w:val="002060"/>
          <w:sz w:val="16"/>
          <w:szCs w:val="16"/>
        </w:rPr>
      </w:pPr>
      <w:r w:rsidRPr="00DE096C">
        <w:rPr>
          <w:bCs/>
          <w:i/>
          <w:color w:val="002060"/>
          <w:sz w:val="16"/>
          <w:szCs w:val="16"/>
        </w:rPr>
        <w:t>За рубежом:</w:t>
      </w:r>
    </w:p>
    <w:p w14:paraId="2C669D20" w14:textId="77777777" w:rsidR="00344A8B" w:rsidRPr="00DE096C" w:rsidRDefault="00344A8B" w:rsidP="00D45A46">
      <w:pPr>
        <w:jc w:val="both"/>
        <w:rPr>
          <w:bCs/>
          <w:color w:val="002060"/>
          <w:sz w:val="16"/>
          <w:szCs w:val="16"/>
        </w:rPr>
      </w:pPr>
    </w:p>
    <w:p w14:paraId="77A68D0B" w14:textId="77777777" w:rsidR="00344A8B" w:rsidRPr="00DE096C" w:rsidRDefault="00344A8B" w:rsidP="00D45A46">
      <w:pPr>
        <w:jc w:val="both"/>
        <w:rPr>
          <w:bCs/>
          <w:color w:val="002060"/>
          <w:sz w:val="16"/>
          <w:szCs w:val="16"/>
        </w:rPr>
      </w:pPr>
      <w:r w:rsidRPr="00DE096C">
        <w:rPr>
          <w:bCs/>
          <w:color w:val="002060"/>
          <w:sz w:val="16"/>
          <w:szCs w:val="16"/>
        </w:rPr>
        <w:t>9 (22) августа в 1914 году отставной генерал Пауль фон Гинденбург был назначен командующим Восьмой германской армией в Восточной Пруссии (14990).</w:t>
      </w:r>
    </w:p>
    <w:p w14:paraId="4B7DD695" w14:textId="77777777" w:rsidR="00344A8B" w:rsidRPr="00DE096C" w:rsidRDefault="00344A8B" w:rsidP="00D45A46">
      <w:pPr>
        <w:jc w:val="both"/>
        <w:rPr>
          <w:bCs/>
          <w:color w:val="002060"/>
          <w:sz w:val="16"/>
          <w:szCs w:val="16"/>
        </w:rPr>
      </w:pPr>
    </w:p>
    <w:p w14:paraId="359DE813" w14:textId="77777777" w:rsidR="00B67D7C" w:rsidRPr="00DE096C" w:rsidRDefault="00B67D7C" w:rsidP="00D45A46">
      <w:pPr>
        <w:jc w:val="both"/>
        <w:rPr>
          <w:bCs/>
          <w:i/>
          <w:color w:val="002060"/>
          <w:sz w:val="16"/>
          <w:szCs w:val="16"/>
        </w:rPr>
      </w:pPr>
      <w:r w:rsidRPr="00DE096C">
        <w:rPr>
          <w:bCs/>
          <w:i/>
          <w:color w:val="002060"/>
          <w:sz w:val="16"/>
          <w:szCs w:val="16"/>
        </w:rPr>
        <w:t>Авиация:</w:t>
      </w:r>
    </w:p>
    <w:p w14:paraId="05DCE17F" w14:textId="77777777" w:rsidR="00B67D7C" w:rsidRPr="00DE096C" w:rsidRDefault="00B67D7C" w:rsidP="00D45A46">
      <w:pPr>
        <w:jc w:val="both"/>
        <w:rPr>
          <w:bCs/>
          <w:i/>
          <w:color w:val="002060"/>
          <w:sz w:val="16"/>
          <w:szCs w:val="16"/>
        </w:rPr>
      </w:pPr>
    </w:p>
    <w:p w14:paraId="05C3684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10 (23) августа 1914 Командир 11-го авиаотряда 3-й русской армии военный летчик штабс-капитан П.Н. Нестеров производит первую с российской стороны регулярную военную разведку в рай</w:t>
      </w:r>
      <w:r w:rsidRPr="00DE096C">
        <w:rPr>
          <w:bCs/>
          <w:color w:val="002060"/>
          <w:sz w:val="16"/>
          <w:szCs w:val="16"/>
        </w:rPr>
        <w:softHyphen/>
        <w:t>оне Дубно с наблюдателем генерального штаба штабс-ка</w:t>
      </w:r>
      <w:r w:rsidRPr="00DE096C">
        <w:rPr>
          <w:bCs/>
          <w:color w:val="002060"/>
          <w:sz w:val="16"/>
          <w:szCs w:val="16"/>
        </w:rPr>
        <w:softHyphen/>
        <w:t>питаном Лазаревым; продолжительность полета — 1 час 35 минут.</w:t>
      </w:r>
    </w:p>
    <w:p w14:paraId="34844CE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Аэродромы были неподготовлены, после сильного дож</w:t>
      </w:r>
      <w:r w:rsidRPr="00DE096C">
        <w:rPr>
          <w:bCs/>
          <w:color w:val="002060"/>
          <w:sz w:val="16"/>
          <w:szCs w:val="16"/>
        </w:rPr>
        <w:softHyphen/>
        <w:t>дя, шедшего накануне, земля размокла. Выдержка из отчета: «при спуске на пахоть аппарат „Моран-Сольнье" № 218 с мотором „Гном" 80 НР* за № 328/957, управляемый воен</w:t>
      </w:r>
      <w:r w:rsidRPr="00DE096C">
        <w:rPr>
          <w:bCs/>
          <w:color w:val="002060"/>
          <w:sz w:val="16"/>
          <w:szCs w:val="16"/>
        </w:rPr>
        <w:softHyphen/>
        <w:t>ным летчиком штабс-капитаном Нестеровым, скапотировал. Сломаны: винт, руль, направления, нижние брусья фюзеля</w:t>
      </w:r>
      <w:r w:rsidRPr="00DE096C">
        <w:rPr>
          <w:bCs/>
          <w:color w:val="002060"/>
          <w:sz w:val="16"/>
          <w:szCs w:val="16"/>
        </w:rPr>
        <w:softHyphen/>
        <w:t>жа, погнуты оси колес, кожух и носок мотора, порваны амор</w:t>
      </w:r>
      <w:r w:rsidRPr="00DE096C">
        <w:rPr>
          <w:bCs/>
          <w:color w:val="002060"/>
          <w:sz w:val="16"/>
          <w:szCs w:val="16"/>
        </w:rPr>
        <w:softHyphen/>
        <w:t>тизаторы. Часть сломанного аппарата взята для исправле</w:t>
      </w:r>
      <w:r w:rsidRPr="00DE096C">
        <w:rPr>
          <w:bCs/>
          <w:color w:val="002060"/>
          <w:sz w:val="16"/>
          <w:szCs w:val="16"/>
        </w:rPr>
        <w:softHyphen/>
        <w:t>ния другого аппарата. Подан акт об исключении за № 51» (11060).</w:t>
      </w:r>
    </w:p>
    <w:p w14:paraId="5286FCFA" w14:textId="77777777" w:rsidR="00B67D7C" w:rsidRPr="00DE096C" w:rsidRDefault="00B67D7C" w:rsidP="00D45A46">
      <w:pPr>
        <w:shd w:val="clear" w:color="auto" w:fill="FFFFFF"/>
        <w:jc w:val="both"/>
        <w:rPr>
          <w:bCs/>
          <w:color w:val="002060"/>
          <w:sz w:val="16"/>
          <w:szCs w:val="16"/>
        </w:rPr>
      </w:pPr>
    </w:p>
    <w:p w14:paraId="2E3A471C" w14:textId="1381F648" w:rsidR="00B67D7C" w:rsidRPr="00DE096C" w:rsidRDefault="006C0839" w:rsidP="00D45A46">
      <w:pPr>
        <w:jc w:val="both"/>
        <w:rPr>
          <w:bCs/>
          <w:color w:val="002060"/>
          <w:sz w:val="16"/>
          <w:szCs w:val="16"/>
        </w:rPr>
      </w:pPr>
      <w:r w:rsidRPr="00DE096C">
        <w:rPr>
          <w:bCs/>
          <w:color w:val="002060"/>
          <w:sz w:val="16"/>
          <w:szCs w:val="16"/>
        </w:rPr>
        <w:lastRenderedPageBreak/>
        <w:t>В</w:t>
      </w:r>
      <w:r w:rsidR="00B67D7C" w:rsidRPr="00DE096C">
        <w:rPr>
          <w:bCs/>
          <w:color w:val="002060"/>
          <w:sz w:val="16"/>
          <w:szCs w:val="16"/>
        </w:rPr>
        <w:t xml:space="preserve"> ночь на 10 (23) августа 1914</w:t>
      </w:r>
      <w:r w:rsidRPr="00DE096C">
        <w:rPr>
          <w:bCs/>
          <w:color w:val="002060"/>
          <w:sz w:val="16"/>
          <w:szCs w:val="16"/>
        </w:rPr>
        <w:t xml:space="preserve"> г. </w:t>
      </w:r>
      <w:r w:rsidR="00B67D7C" w:rsidRPr="00DE096C">
        <w:rPr>
          <w:bCs/>
          <w:color w:val="002060"/>
          <w:sz w:val="16"/>
          <w:szCs w:val="16"/>
        </w:rPr>
        <w:t xml:space="preserve">бомба </w:t>
      </w:r>
      <w:r w:rsidRPr="00DE096C">
        <w:rPr>
          <w:bCs/>
          <w:color w:val="002060"/>
          <w:sz w:val="16"/>
          <w:szCs w:val="16"/>
        </w:rPr>
        <w:t xml:space="preserve">с цепеллина </w:t>
      </w:r>
      <w:r w:rsidR="00B67D7C" w:rsidRPr="00DE096C">
        <w:rPr>
          <w:bCs/>
          <w:color w:val="002060"/>
          <w:sz w:val="16"/>
          <w:szCs w:val="16"/>
        </w:rPr>
        <w:t xml:space="preserve">попала в бивак 110-го пехотного Камского полка и вывела из строя убитыми и ранеными сразу 17 человек. Другой раз цеппелин в одном из своих ночных налетов на место расположения 1-й армии в городе Инстербурге сбросил несколько легких бомб в стоящий на восточной окраине города артиллерийский парк. Попадания пришлись в коновязь. На утро там можно было видеть 30 убитых лошадей с развороченными внутренностями. </w:t>
      </w:r>
    </w:p>
    <w:p w14:paraId="0CC6BB97" w14:textId="77777777" w:rsidR="00B67D7C" w:rsidRPr="00DE096C" w:rsidRDefault="00B67D7C" w:rsidP="00D45A46">
      <w:pPr>
        <w:jc w:val="both"/>
        <w:rPr>
          <w:bCs/>
          <w:color w:val="002060"/>
          <w:sz w:val="16"/>
          <w:szCs w:val="16"/>
        </w:rPr>
      </w:pPr>
      <w:r w:rsidRPr="00DE096C">
        <w:rPr>
          <w:bCs/>
          <w:color w:val="002060"/>
          <w:sz w:val="16"/>
          <w:szCs w:val="16"/>
        </w:rPr>
        <w:t xml:space="preserve">В тот период при штабе 1-й армии имелся охранный отряд, состоящий из трех родов войск. Обычно на ночь от отряда выставлялось вокруг штаба со всех сторон охранение. Сохранился один из приказов от 27 августа по одному отряду за № 164: </w:t>
      </w:r>
    </w:p>
    <w:p w14:paraId="3F174F18" w14:textId="77777777" w:rsidR="00B67D7C" w:rsidRPr="00DE096C" w:rsidRDefault="00B67D7C" w:rsidP="00D45A46">
      <w:pPr>
        <w:jc w:val="both"/>
        <w:rPr>
          <w:bCs/>
          <w:color w:val="002060"/>
          <w:sz w:val="16"/>
          <w:szCs w:val="16"/>
        </w:rPr>
      </w:pPr>
      <w:r w:rsidRPr="00DE096C">
        <w:rPr>
          <w:bCs/>
          <w:color w:val="002060"/>
          <w:sz w:val="16"/>
          <w:szCs w:val="16"/>
        </w:rPr>
        <w:t xml:space="preserve">«Последние дни ночью и на рассвете над ночлегами войск появляется цеппелин, бросающий вниз бомбы. Предписываю частям, несущим службу охранения, открывать по неприятельскому воздушному кораблю ружейный и артиллерийский огонь. Батарея (или ее дежурная часть) должна постоянно иметь орудия, еще с вечера направленными в разные стороны, с врытыми в землю (ямы) хоботами и поднятыми дулами, насколько возможно. С приближением неприятельского воздушного корабля немедленно тушить [180] все огни. На биваках (по возможности) не располагаться открыто. </w:t>
      </w:r>
    </w:p>
    <w:p w14:paraId="7C42313E" w14:textId="77777777" w:rsidR="00B67D7C" w:rsidRPr="00DE096C" w:rsidRDefault="00B67D7C" w:rsidP="00D45A46">
      <w:pPr>
        <w:jc w:val="both"/>
        <w:rPr>
          <w:bCs/>
          <w:color w:val="002060"/>
          <w:sz w:val="16"/>
          <w:szCs w:val="16"/>
        </w:rPr>
      </w:pPr>
      <w:r w:rsidRPr="00DE096C">
        <w:rPr>
          <w:bCs/>
          <w:color w:val="002060"/>
          <w:sz w:val="16"/>
          <w:szCs w:val="16"/>
        </w:rPr>
        <w:t xml:space="preserve">Командующий армией обещает Георгиевские кресты тем чинам, выстрелами которых будет спущен на землю неприятельский воздушный корабль, захвачен или уничтожен. </w:t>
      </w:r>
    </w:p>
    <w:p w14:paraId="12681C73" w14:textId="77777777" w:rsidR="00B67D7C" w:rsidRPr="00DE096C" w:rsidRDefault="00B67D7C" w:rsidP="00D45A46">
      <w:pPr>
        <w:jc w:val="both"/>
        <w:rPr>
          <w:bCs/>
          <w:color w:val="002060"/>
          <w:sz w:val="16"/>
          <w:szCs w:val="16"/>
        </w:rPr>
      </w:pPr>
      <w:r w:rsidRPr="00DE096C">
        <w:rPr>
          <w:bCs/>
          <w:color w:val="002060"/>
          <w:sz w:val="16"/>
          <w:szCs w:val="16"/>
        </w:rPr>
        <w:t xml:space="preserve">О возможности ночной стрельбы вверх по воздушному кораблю должны быть предупреждены все без исключения чины главной квартиры, охранного отряда и проходящие части. </w:t>
      </w:r>
    </w:p>
    <w:p w14:paraId="3F18243F" w14:textId="77777777" w:rsidR="00B67D7C" w:rsidRPr="00DE096C" w:rsidRDefault="00B67D7C" w:rsidP="00D45A46">
      <w:pPr>
        <w:jc w:val="both"/>
        <w:rPr>
          <w:bCs/>
          <w:color w:val="002060"/>
          <w:sz w:val="16"/>
          <w:szCs w:val="16"/>
        </w:rPr>
      </w:pPr>
      <w:r w:rsidRPr="00DE096C">
        <w:rPr>
          <w:bCs/>
          <w:color w:val="002060"/>
          <w:sz w:val="16"/>
          <w:szCs w:val="16"/>
        </w:rPr>
        <w:t xml:space="preserve">Об изложенном объявляю по отряду для сведения и руководства. Начальник охранного отряда». </w:t>
      </w:r>
    </w:p>
    <w:p w14:paraId="1C334EC5" w14:textId="77777777" w:rsidR="00B67D7C" w:rsidRPr="00DE096C" w:rsidRDefault="00B67D7C" w:rsidP="00D45A46">
      <w:pPr>
        <w:jc w:val="both"/>
        <w:rPr>
          <w:bCs/>
          <w:color w:val="002060"/>
          <w:sz w:val="16"/>
          <w:szCs w:val="16"/>
        </w:rPr>
      </w:pPr>
      <w:r w:rsidRPr="00DE096C">
        <w:rPr>
          <w:bCs/>
          <w:color w:val="002060"/>
          <w:sz w:val="16"/>
          <w:szCs w:val="16"/>
        </w:rPr>
        <w:t>Потом была обещана денежная награда за сбитие цеппелина. Это привело к тому, что во время одного из ночных визитов германского воздушного корабля в Инстербурге на улице был замечен один из чинов армейского управления, стреляющий по цеппелину из... револьвера. Однако, несмотря на все это, ни один из кораблей в Восточной Пруссии над Инстербургом подбит не был. С другой стороны, за все время цеппелины не причинили штабу армии никакого вреда. Для борьбы с ними в воздухе мы тогда не располагали соответствующими воздушными силами. А между тем перед войной в составе войск Виленского округа числилась 4-я воздухоплавательная рота, расположенная в Ковно, 5-я воздухоплавательная рота в Гродно и 9-я воздухоплавательная рота в Лиде. В последней имелись воздушные корабли и, между прочим, дирижабль «Астра», полученный летом 1913 года. Мне удалось 31 августа того же года подняться на нем, причем он обратил на себя внимание крайней медлительностью и тем, что ни за что не брал высоты. Было ясно, что для военных целей он окажется непригодным» (11324).</w:t>
      </w:r>
    </w:p>
    <w:p w14:paraId="776192C9" w14:textId="77777777" w:rsidR="00B67D7C" w:rsidRPr="00DE096C" w:rsidRDefault="00B67D7C" w:rsidP="00D45A46">
      <w:pPr>
        <w:pStyle w:val="a3"/>
        <w:jc w:val="both"/>
        <w:rPr>
          <w:bCs/>
          <w:color w:val="002060"/>
          <w:spacing w:val="0"/>
          <w:kern w:val="0"/>
          <w:position w:val="0"/>
          <w:sz w:val="16"/>
          <w:szCs w:val="16"/>
        </w:rPr>
      </w:pPr>
    </w:p>
    <w:p w14:paraId="75492433" w14:textId="77777777" w:rsidR="00B67D7C" w:rsidRPr="00DE096C" w:rsidRDefault="00B67D7C" w:rsidP="00D45A46">
      <w:pPr>
        <w:jc w:val="both"/>
        <w:rPr>
          <w:bCs/>
          <w:color w:val="002060"/>
          <w:sz w:val="16"/>
          <w:szCs w:val="16"/>
        </w:rPr>
      </w:pPr>
      <w:r w:rsidRPr="00DE096C">
        <w:rPr>
          <w:bCs/>
          <w:color w:val="002060"/>
          <w:sz w:val="16"/>
          <w:szCs w:val="16"/>
        </w:rPr>
        <w:t>10 (23) августа 1914 - русская воздушная разведка на четвертый и пятый день стремительно развивавшегося наступления 2-й армии выявила скопление германских войск численностью до двух пехотных корпусов на левом фланге русской армии. Однако в штабах армии и фронта эти сведения воздушной разведки были взяты под сомнение на том основании, что по "наиболее надежным" данным агентурной разведки такое количество германских войск едва насчитывалось на всем фронте армии. Командование русских не приняло никаких мер ни по проверке данных воздушной разведки, ни по предупреждению возможного нападения. Это пренебрежение окажется роковым.</w:t>
      </w:r>
    </w:p>
    <w:p w14:paraId="11FEAA0C" w14:textId="77777777" w:rsidR="00B67D7C" w:rsidRPr="00DE096C" w:rsidRDefault="00B67D7C" w:rsidP="00D45A46">
      <w:pPr>
        <w:jc w:val="both"/>
        <w:rPr>
          <w:bCs/>
          <w:color w:val="002060"/>
          <w:sz w:val="16"/>
          <w:szCs w:val="16"/>
        </w:rPr>
      </w:pPr>
      <w:r w:rsidRPr="00DE096C">
        <w:rPr>
          <w:bCs/>
          <w:color w:val="002060"/>
          <w:sz w:val="16"/>
          <w:szCs w:val="16"/>
        </w:rPr>
        <w:t>Сбит с земли и из-за повреждения мотора совершил вынужденную посадку около Львова на австрийской территории один из лучших российских летчиков-спортсменов Васильев , вместе с которым в качестве военного наблюдателя на борту находился генерал Мартынов . Оба попали в плен (11999).</w:t>
      </w:r>
    </w:p>
    <w:p w14:paraId="71CE4907" w14:textId="77777777" w:rsidR="00B67D7C" w:rsidRPr="00DE096C" w:rsidRDefault="00B67D7C" w:rsidP="00D45A46">
      <w:pPr>
        <w:jc w:val="both"/>
        <w:rPr>
          <w:bCs/>
          <w:color w:val="002060"/>
          <w:sz w:val="16"/>
          <w:szCs w:val="16"/>
        </w:rPr>
      </w:pPr>
    </w:p>
    <w:p w14:paraId="1CA2090E" w14:textId="77777777" w:rsidR="003F4041" w:rsidRPr="00DE096C" w:rsidRDefault="003F4041" w:rsidP="00D45A46">
      <w:pPr>
        <w:jc w:val="both"/>
        <w:rPr>
          <w:bCs/>
          <w:color w:val="002060"/>
          <w:sz w:val="16"/>
          <w:szCs w:val="16"/>
        </w:rPr>
      </w:pPr>
      <w:r w:rsidRPr="00DE096C">
        <w:rPr>
          <w:bCs/>
          <w:color w:val="002060"/>
          <w:sz w:val="16"/>
          <w:szCs w:val="16"/>
        </w:rPr>
        <w:t>10 (23) августа 1914 г. известный авиатор А. А. Васильев, поступивший в армию добровольцем о собственным самолетом, вылетел в дальнюю по тому времени разведку района Дубно-Львов-Дубно /300 км/. Вместе с ним полетел отставной генерал-лейтенант Е .И .Мартынов - инициатор этого полета.</w:t>
      </w:r>
    </w:p>
    <w:p w14:paraId="0F4212B0" w14:textId="77777777" w:rsidR="003F4041" w:rsidRPr="00DE096C" w:rsidRDefault="003F4041" w:rsidP="00D45A46">
      <w:pPr>
        <w:jc w:val="both"/>
        <w:rPr>
          <w:bCs/>
          <w:color w:val="002060"/>
          <w:sz w:val="16"/>
          <w:szCs w:val="16"/>
        </w:rPr>
      </w:pPr>
      <w:r w:rsidRPr="00DE096C">
        <w:rPr>
          <w:bCs/>
          <w:color w:val="002060"/>
          <w:sz w:val="16"/>
          <w:szCs w:val="16"/>
        </w:rPr>
        <w:t>Пролетая над фортами Львова, Мартынов нанес на план все детали, имевшие военное значение для русских войск, двигавшихся к Львову. На обрат</w:t>
      </w:r>
      <w:r w:rsidRPr="00DE096C">
        <w:rPr>
          <w:bCs/>
          <w:color w:val="002060"/>
          <w:sz w:val="16"/>
          <w:szCs w:val="16"/>
        </w:rPr>
        <w:softHyphen/>
        <w:t>ном пути самолет был обстрелян противником и поврежден. Летчики вы</w:t>
      </w:r>
      <w:r w:rsidRPr="00DE096C">
        <w:rPr>
          <w:bCs/>
          <w:color w:val="002060"/>
          <w:sz w:val="16"/>
          <w:szCs w:val="16"/>
        </w:rPr>
        <w:softHyphen/>
        <w:t>нужденно сели в 2-3 верстах от своей территории, были пленены и отправлены вглубь Австрии до 11 марта 1915 года. Васильев был освобож</w:t>
      </w:r>
      <w:r w:rsidRPr="00DE096C">
        <w:rPr>
          <w:bCs/>
          <w:color w:val="002060"/>
          <w:sz w:val="16"/>
          <w:szCs w:val="16"/>
        </w:rPr>
        <w:softHyphen/>
        <w:t>ден из плена и 6 апреля возвратился в Россию, но к полетам больше не возвращался.</w:t>
      </w:r>
    </w:p>
    <w:p w14:paraId="74D3B10B" w14:textId="77777777" w:rsidR="003F4041" w:rsidRPr="00DE096C" w:rsidRDefault="003F4041" w:rsidP="00D45A46">
      <w:pPr>
        <w:jc w:val="both"/>
        <w:rPr>
          <w:bCs/>
          <w:color w:val="002060"/>
          <w:sz w:val="16"/>
          <w:szCs w:val="16"/>
        </w:rPr>
      </w:pPr>
      <w:r w:rsidRPr="00DE096C">
        <w:rPr>
          <w:bCs/>
          <w:color w:val="002060"/>
          <w:sz w:val="16"/>
          <w:szCs w:val="16"/>
        </w:rPr>
        <w:t>/"Вечернее время» за 16 мая 1915/ (23320).</w:t>
      </w:r>
    </w:p>
    <w:p w14:paraId="783BDB4B" w14:textId="77777777" w:rsidR="003F4041" w:rsidRPr="00DE096C" w:rsidRDefault="003F4041" w:rsidP="00D45A46">
      <w:pPr>
        <w:jc w:val="both"/>
        <w:rPr>
          <w:bCs/>
          <w:color w:val="002060"/>
          <w:sz w:val="16"/>
          <w:szCs w:val="16"/>
        </w:rPr>
      </w:pPr>
    </w:p>
    <w:p w14:paraId="7EC1CCBD" w14:textId="77777777" w:rsidR="00D94D44" w:rsidRPr="00B52707" w:rsidRDefault="00D94D44" w:rsidP="00D94D44">
      <w:pPr>
        <w:jc w:val="both"/>
        <w:rPr>
          <w:color w:val="0070C0"/>
          <w:sz w:val="16"/>
          <w:szCs w:val="16"/>
        </w:rPr>
      </w:pPr>
      <w:r w:rsidRPr="00B52707">
        <w:rPr>
          <w:color w:val="0070C0"/>
          <w:sz w:val="16"/>
          <w:szCs w:val="16"/>
        </w:rPr>
        <w:t>10 (23) августа 1914 г. был нанесен первый авиацион</w:t>
      </w:r>
      <w:r w:rsidRPr="00B52707">
        <w:rPr>
          <w:color w:val="0070C0"/>
          <w:sz w:val="16"/>
          <w:szCs w:val="16"/>
        </w:rPr>
        <w:softHyphen/>
        <w:t>ный удар по вражеской территории, несколь</w:t>
      </w:r>
      <w:r w:rsidRPr="00B52707">
        <w:rPr>
          <w:color w:val="0070C0"/>
          <w:sz w:val="16"/>
          <w:szCs w:val="16"/>
        </w:rPr>
        <w:softHyphen/>
        <w:t>ко бомб было сброшено на Мюльхейм (24992).</w:t>
      </w:r>
    </w:p>
    <w:p w14:paraId="6BD86B57" w14:textId="77777777" w:rsidR="00D94D44" w:rsidRPr="00B52707" w:rsidRDefault="00D94D44" w:rsidP="00D94D44">
      <w:pPr>
        <w:jc w:val="both"/>
        <w:rPr>
          <w:color w:val="0070C0"/>
          <w:sz w:val="16"/>
          <w:szCs w:val="16"/>
        </w:rPr>
      </w:pPr>
    </w:p>
    <w:p w14:paraId="11D47400" w14:textId="77777777" w:rsidR="004B2114" w:rsidRPr="00DE096C" w:rsidRDefault="004B2114" w:rsidP="00D45A46">
      <w:pPr>
        <w:jc w:val="both"/>
        <w:rPr>
          <w:bCs/>
          <w:i/>
          <w:color w:val="002060"/>
          <w:sz w:val="16"/>
          <w:szCs w:val="16"/>
        </w:rPr>
      </w:pPr>
      <w:r w:rsidRPr="00DE096C">
        <w:rPr>
          <w:bCs/>
          <w:i/>
          <w:color w:val="002060"/>
          <w:sz w:val="16"/>
          <w:szCs w:val="16"/>
        </w:rPr>
        <w:t>Армия:</w:t>
      </w:r>
    </w:p>
    <w:p w14:paraId="1E72F18E" w14:textId="77777777" w:rsidR="004B2114" w:rsidRPr="00DE096C" w:rsidRDefault="004B2114" w:rsidP="00D45A46">
      <w:pPr>
        <w:jc w:val="both"/>
        <w:rPr>
          <w:bCs/>
          <w:i/>
          <w:color w:val="002060"/>
          <w:sz w:val="16"/>
          <w:szCs w:val="16"/>
        </w:rPr>
      </w:pPr>
    </w:p>
    <w:p w14:paraId="3AA987FD" w14:textId="0A88BCE3" w:rsidR="004B2114" w:rsidRPr="00DE096C" w:rsidRDefault="004B2114" w:rsidP="00D45A46">
      <w:pPr>
        <w:pStyle w:val="21"/>
        <w:shd w:val="clear" w:color="auto" w:fill="auto"/>
        <w:spacing w:after="0" w:line="240" w:lineRule="auto"/>
        <w:ind w:firstLine="0"/>
        <w:jc w:val="both"/>
        <w:rPr>
          <w:rFonts w:ascii="Times New Roman" w:hAnsi="Times New Roman" w:cs="Times New Roman"/>
          <w:bCs/>
          <w:color w:val="002060"/>
          <w:spacing w:val="0"/>
          <w:sz w:val="16"/>
          <w:szCs w:val="16"/>
        </w:rPr>
      </w:pPr>
      <w:r w:rsidRPr="00DE096C">
        <w:rPr>
          <w:rFonts w:ascii="Times New Roman" w:hAnsi="Times New Roman" w:cs="Times New Roman"/>
          <w:bCs/>
          <w:color w:val="002060"/>
          <w:spacing w:val="0"/>
          <w:sz w:val="16"/>
          <w:szCs w:val="16"/>
        </w:rPr>
        <w:t xml:space="preserve">С 10 по 26 августа </w:t>
      </w:r>
      <w:r w:rsidR="006C0839" w:rsidRPr="00DE096C">
        <w:rPr>
          <w:rFonts w:ascii="Times New Roman" w:hAnsi="Times New Roman" w:cs="Times New Roman"/>
          <w:bCs/>
          <w:color w:val="002060"/>
          <w:spacing w:val="0"/>
          <w:sz w:val="16"/>
          <w:szCs w:val="16"/>
        </w:rPr>
        <w:t xml:space="preserve">(23 августа – 8 сентября) </w:t>
      </w:r>
      <w:r w:rsidRPr="00DE096C">
        <w:rPr>
          <w:rFonts w:ascii="Times New Roman" w:hAnsi="Times New Roman" w:cs="Times New Roman"/>
          <w:bCs/>
          <w:color w:val="002060"/>
          <w:spacing w:val="0"/>
          <w:sz w:val="16"/>
          <w:szCs w:val="16"/>
        </w:rPr>
        <w:t>1914 года, то есть всего за 16 дней, на Юго-Западном фронте было израсходовано по 350 выстрелов на каждое полевое орудие. Русское же военное ведомство отталкивалось в расчетах о грядущих потребностях в артиллерийском боезапасе опять-таки от условий военных действий в горной и бездорожной местности в Маньчжурии. В итоге посчитали, что заготовленных 76-мм снарядов к основной полевой пушке русской армии из расчета по 1000 выстрелов на орудие хватит, по крайней мере, на год (15230).</w:t>
      </w:r>
    </w:p>
    <w:p w14:paraId="14D2BF9E" w14:textId="77777777" w:rsidR="004B2114" w:rsidRPr="00DE096C" w:rsidRDefault="004B2114" w:rsidP="00D45A46">
      <w:pPr>
        <w:pStyle w:val="21"/>
        <w:shd w:val="clear" w:color="auto" w:fill="auto"/>
        <w:spacing w:after="0" w:line="240" w:lineRule="auto"/>
        <w:ind w:firstLine="0"/>
        <w:jc w:val="both"/>
        <w:rPr>
          <w:rFonts w:ascii="Times New Roman" w:hAnsi="Times New Roman" w:cs="Times New Roman"/>
          <w:bCs/>
          <w:color w:val="002060"/>
          <w:spacing w:val="0"/>
          <w:sz w:val="16"/>
          <w:szCs w:val="16"/>
        </w:rPr>
      </w:pPr>
    </w:p>
    <w:p w14:paraId="740DC78B"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 и воздухоплавание Германии:</w:t>
      </w:r>
    </w:p>
    <w:p w14:paraId="4FAD13B6" w14:textId="77777777" w:rsidR="00B67D7C" w:rsidRPr="00DE096C" w:rsidRDefault="00B67D7C" w:rsidP="00D45A46">
      <w:pPr>
        <w:shd w:val="clear" w:color="auto" w:fill="FFFFFF"/>
        <w:jc w:val="both"/>
        <w:rPr>
          <w:bCs/>
          <w:i/>
          <w:color w:val="002060"/>
          <w:sz w:val="16"/>
          <w:szCs w:val="16"/>
        </w:rPr>
      </w:pPr>
    </w:p>
    <w:p w14:paraId="3DD9FC77" w14:textId="12704996" w:rsidR="00B67D7C" w:rsidRPr="00DE096C" w:rsidRDefault="00B67D7C" w:rsidP="00D45A46">
      <w:pPr>
        <w:jc w:val="both"/>
        <w:rPr>
          <w:bCs/>
          <w:color w:val="002060"/>
          <w:sz w:val="16"/>
          <w:szCs w:val="16"/>
        </w:rPr>
      </w:pPr>
      <w:r w:rsidRPr="00DE096C">
        <w:rPr>
          <w:bCs/>
          <w:color w:val="002060"/>
          <w:sz w:val="16"/>
          <w:szCs w:val="16"/>
        </w:rPr>
        <w:t xml:space="preserve">10 (23) августа 1914 </w:t>
      </w:r>
      <w:r w:rsidR="008518B8" w:rsidRPr="00DE096C">
        <w:rPr>
          <w:bCs/>
          <w:color w:val="002060"/>
          <w:sz w:val="16"/>
          <w:szCs w:val="16"/>
        </w:rPr>
        <w:t xml:space="preserve">г. дирижабль SL-2, обслуживающий австрийскую армию, </w:t>
      </w:r>
      <w:r w:rsidRPr="00DE096C">
        <w:rPr>
          <w:bCs/>
          <w:color w:val="002060"/>
          <w:sz w:val="16"/>
          <w:szCs w:val="16"/>
        </w:rPr>
        <w:t xml:space="preserve">после четырнадцатичасового полета корабль снизился около главной австрийской штаб-квартиры и передал очень важные сведения о начавшемся наступлении русских войск под Красником. </w:t>
      </w:r>
      <w:r w:rsidR="008518B8" w:rsidRPr="00DE096C">
        <w:rPr>
          <w:bCs/>
          <w:color w:val="002060"/>
          <w:sz w:val="16"/>
          <w:szCs w:val="16"/>
        </w:rPr>
        <w:t xml:space="preserve">Он производил полеты в районе Холма, Красника и Люблина. Один из разведывательных полетов продолжался (с промежуточной посадкой в Перемышле) в течение 60 часов. </w:t>
      </w:r>
      <w:r w:rsidRPr="00DE096C">
        <w:rPr>
          <w:bCs/>
          <w:color w:val="002060"/>
          <w:sz w:val="16"/>
          <w:szCs w:val="16"/>
        </w:rPr>
        <w:t>1 сентября SL-2 выполнил очень успешную разведку в районе Лодзь — Петраков. Бомбами, пулеметным огнем и разведкой дирижабли поддерживали австро-венгерскую армию в боях за Холм и Люблин. С августа по октябрь они часто бомбардировали русские крепости и железнодорожные станции Белостока, Лыка, а также Мульдзена, Варшавы и Млавы. Гражданский дирижабль «Саксония» провел ряд очень удачных налетов на русские города и, в частности, на форты Ломуси (11324).</w:t>
      </w:r>
    </w:p>
    <w:p w14:paraId="6EB748C7" w14:textId="77777777" w:rsidR="00B67D7C" w:rsidRPr="00DE096C" w:rsidRDefault="00B67D7C" w:rsidP="00D45A46">
      <w:pPr>
        <w:jc w:val="both"/>
        <w:rPr>
          <w:bCs/>
          <w:color w:val="002060"/>
          <w:sz w:val="16"/>
          <w:szCs w:val="16"/>
        </w:rPr>
      </w:pPr>
    </w:p>
    <w:p w14:paraId="086FFB8C" w14:textId="03154DDB" w:rsidR="00B67D7C" w:rsidRPr="00DE096C" w:rsidRDefault="00B67D7C" w:rsidP="00D45A46">
      <w:pPr>
        <w:jc w:val="both"/>
        <w:rPr>
          <w:bCs/>
          <w:color w:val="002060"/>
          <w:sz w:val="16"/>
          <w:szCs w:val="16"/>
        </w:rPr>
      </w:pPr>
      <w:bookmarkStart w:id="124" w:name="_Hlk117237613"/>
      <w:r w:rsidRPr="00DE096C">
        <w:rPr>
          <w:bCs/>
          <w:color w:val="002060"/>
          <w:sz w:val="16"/>
          <w:szCs w:val="16"/>
        </w:rPr>
        <w:t xml:space="preserve">10 (23) августа 1914 </w:t>
      </w:r>
      <w:r w:rsidR="008518B8" w:rsidRPr="00DE096C">
        <w:rPr>
          <w:bCs/>
          <w:color w:val="002060"/>
          <w:sz w:val="16"/>
          <w:szCs w:val="16"/>
        </w:rPr>
        <w:t>г., находившийся в распоряжении главного австрийского командования “Шютте-Ланц SL-2”</w:t>
      </w:r>
      <w:r w:rsidR="0079538F" w:rsidRPr="00DE096C">
        <w:rPr>
          <w:bCs/>
          <w:color w:val="002060"/>
          <w:sz w:val="16"/>
          <w:szCs w:val="16"/>
        </w:rPr>
        <w:t>,</w:t>
      </w:r>
      <w:r w:rsidR="008518B8" w:rsidRPr="00DE096C">
        <w:rPr>
          <w:bCs/>
          <w:color w:val="002060"/>
          <w:sz w:val="16"/>
          <w:szCs w:val="16"/>
        </w:rPr>
        <w:t xml:space="preserve"> вел разведку в районе Холм—Люблин—Красник. </w:t>
      </w:r>
      <w:r w:rsidR="0079538F" w:rsidRPr="00DE096C">
        <w:rPr>
          <w:bCs/>
          <w:color w:val="002060"/>
          <w:sz w:val="16"/>
          <w:szCs w:val="16"/>
        </w:rPr>
        <w:t>П</w:t>
      </w:r>
      <w:r w:rsidRPr="00DE096C">
        <w:rPr>
          <w:bCs/>
          <w:color w:val="002060"/>
          <w:sz w:val="16"/>
          <w:szCs w:val="16"/>
        </w:rPr>
        <w:t>осле 13-чaсового полёта дирижабль снизился у австрийской главной штаб-квартиры и сообщил очень важные сведения о начавшемся сражении под Красником; 18 августа (1 сентября) 1914 им была снова совершена успешная разведка в районе Лодзь—Петроков (11282).</w:t>
      </w:r>
    </w:p>
    <w:p w14:paraId="4B11EA13" w14:textId="77777777" w:rsidR="00B67D7C" w:rsidRPr="00DE096C" w:rsidRDefault="00B67D7C" w:rsidP="00D45A46">
      <w:pPr>
        <w:jc w:val="both"/>
        <w:rPr>
          <w:bCs/>
          <w:color w:val="002060"/>
          <w:sz w:val="16"/>
          <w:szCs w:val="16"/>
        </w:rPr>
      </w:pPr>
    </w:p>
    <w:bookmarkEnd w:id="124"/>
    <w:p w14:paraId="094DA7EF"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Внешняя политика:</w:t>
      </w:r>
    </w:p>
    <w:p w14:paraId="033024D0" w14:textId="77777777" w:rsidR="00B67D7C" w:rsidRPr="00DE096C" w:rsidRDefault="00B67D7C" w:rsidP="00D45A46">
      <w:pPr>
        <w:pStyle w:val="a3"/>
        <w:jc w:val="both"/>
        <w:rPr>
          <w:bCs/>
          <w:color w:val="002060"/>
          <w:spacing w:val="0"/>
          <w:kern w:val="0"/>
          <w:position w:val="0"/>
          <w:sz w:val="16"/>
          <w:szCs w:val="16"/>
        </w:rPr>
      </w:pPr>
    </w:p>
    <w:p w14:paraId="690100BF" w14:textId="77777777" w:rsidR="00B67D7C" w:rsidRPr="00DE096C" w:rsidRDefault="00B67D7C" w:rsidP="00D45A46">
      <w:pPr>
        <w:jc w:val="both"/>
        <w:rPr>
          <w:bCs/>
          <w:color w:val="002060"/>
          <w:sz w:val="16"/>
          <w:szCs w:val="16"/>
        </w:rPr>
      </w:pPr>
      <w:r w:rsidRPr="00DE096C">
        <w:rPr>
          <w:bCs/>
          <w:color w:val="002060"/>
          <w:sz w:val="16"/>
          <w:szCs w:val="16"/>
        </w:rPr>
        <w:t xml:space="preserve">10 (23) августа 1914 г. было подписано соглашение с Англией и Францией, запрещающее заключение сепаратного мира с враждующей стороной в ходе войны (11784). </w:t>
      </w:r>
    </w:p>
    <w:p w14:paraId="6686A0A3" w14:textId="77777777" w:rsidR="00B67D7C" w:rsidRPr="00DE096C" w:rsidRDefault="00B67D7C" w:rsidP="00D45A46">
      <w:pPr>
        <w:jc w:val="both"/>
        <w:rPr>
          <w:bCs/>
          <w:color w:val="002060"/>
          <w:sz w:val="16"/>
          <w:szCs w:val="16"/>
        </w:rPr>
      </w:pPr>
    </w:p>
    <w:p w14:paraId="55CD8AB8" w14:textId="77777777" w:rsidR="00344A8B" w:rsidRPr="00DE096C" w:rsidRDefault="00344A8B" w:rsidP="00D45A46">
      <w:pPr>
        <w:jc w:val="both"/>
        <w:rPr>
          <w:bCs/>
          <w:i/>
          <w:color w:val="002060"/>
          <w:sz w:val="16"/>
          <w:szCs w:val="16"/>
        </w:rPr>
      </w:pPr>
      <w:r w:rsidRPr="00DE096C">
        <w:rPr>
          <w:bCs/>
          <w:i/>
          <w:color w:val="002060"/>
          <w:sz w:val="16"/>
          <w:szCs w:val="16"/>
        </w:rPr>
        <w:t>За рубежом:</w:t>
      </w:r>
    </w:p>
    <w:p w14:paraId="494F9833" w14:textId="77777777" w:rsidR="00344A8B" w:rsidRPr="00DE096C" w:rsidRDefault="00344A8B" w:rsidP="00D45A46">
      <w:pPr>
        <w:jc w:val="both"/>
        <w:rPr>
          <w:bCs/>
          <w:color w:val="002060"/>
          <w:sz w:val="16"/>
          <w:szCs w:val="16"/>
        </w:rPr>
      </w:pPr>
    </w:p>
    <w:p w14:paraId="0D8EB0D3" w14:textId="77777777" w:rsidR="00344A8B" w:rsidRPr="00DE096C" w:rsidRDefault="00344A8B" w:rsidP="00D45A46">
      <w:pPr>
        <w:jc w:val="both"/>
        <w:rPr>
          <w:bCs/>
          <w:color w:val="002060"/>
          <w:sz w:val="16"/>
          <w:szCs w:val="16"/>
        </w:rPr>
      </w:pPr>
      <w:r w:rsidRPr="00DE096C">
        <w:rPr>
          <w:bCs/>
          <w:color w:val="002060"/>
          <w:sz w:val="16"/>
          <w:szCs w:val="16"/>
        </w:rPr>
        <w:t>10 (23) августа в 1914 году первая битва британских экспедиционных войск в Mons во время Первой мировой войны (14991).</w:t>
      </w:r>
    </w:p>
    <w:p w14:paraId="36224F64" w14:textId="77777777" w:rsidR="00344A8B" w:rsidRPr="00DE096C" w:rsidRDefault="00344A8B" w:rsidP="00D45A46">
      <w:pPr>
        <w:jc w:val="both"/>
        <w:rPr>
          <w:bCs/>
          <w:color w:val="002060"/>
          <w:sz w:val="16"/>
          <w:szCs w:val="16"/>
        </w:rPr>
      </w:pPr>
    </w:p>
    <w:p w14:paraId="5D4C86C5" w14:textId="77777777" w:rsidR="00344A8B" w:rsidRPr="00DE096C" w:rsidRDefault="00344A8B" w:rsidP="00D45A46">
      <w:pPr>
        <w:jc w:val="both"/>
        <w:rPr>
          <w:bCs/>
          <w:color w:val="002060"/>
          <w:sz w:val="16"/>
          <w:szCs w:val="16"/>
        </w:rPr>
      </w:pPr>
      <w:r w:rsidRPr="00DE096C">
        <w:rPr>
          <w:bCs/>
          <w:color w:val="002060"/>
          <w:sz w:val="16"/>
          <w:szCs w:val="16"/>
        </w:rPr>
        <w:t>10 (23) августа в 1914 году Япония объявляет войну Германии в Первой мировой войне, атакуя немецкий порт Циндао в Китае (14991).</w:t>
      </w:r>
    </w:p>
    <w:p w14:paraId="5BDB0C6E" w14:textId="77777777" w:rsidR="00344A8B" w:rsidRPr="00DE096C" w:rsidRDefault="00344A8B" w:rsidP="00D45A46">
      <w:pPr>
        <w:jc w:val="both"/>
        <w:rPr>
          <w:bCs/>
          <w:color w:val="002060"/>
          <w:sz w:val="16"/>
          <w:szCs w:val="16"/>
        </w:rPr>
      </w:pPr>
    </w:p>
    <w:p w14:paraId="7D78C222"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Авиация:</w:t>
      </w:r>
    </w:p>
    <w:p w14:paraId="1CBC7AF4" w14:textId="77777777" w:rsidR="00B67D7C" w:rsidRPr="00DE096C" w:rsidRDefault="00B67D7C" w:rsidP="00D45A46">
      <w:pPr>
        <w:pStyle w:val="a3"/>
        <w:jc w:val="both"/>
        <w:rPr>
          <w:bCs/>
          <w:color w:val="002060"/>
          <w:spacing w:val="0"/>
          <w:kern w:val="0"/>
          <w:position w:val="0"/>
          <w:sz w:val="16"/>
          <w:szCs w:val="16"/>
        </w:rPr>
      </w:pPr>
    </w:p>
    <w:p w14:paraId="3A030B11" w14:textId="77777777" w:rsidR="004C5BD8" w:rsidRPr="00DE096C" w:rsidRDefault="004C5BD8" w:rsidP="00D45A46">
      <w:pPr>
        <w:jc w:val="both"/>
        <w:rPr>
          <w:bCs/>
          <w:color w:val="002060"/>
          <w:sz w:val="16"/>
          <w:szCs w:val="16"/>
        </w:rPr>
      </w:pPr>
      <w:r w:rsidRPr="00DE096C">
        <w:rPr>
          <w:bCs/>
          <w:color w:val="002060"/>
          <w:sz w:val="16"/>
          <w:szCs w:val="16"/>
        </w:rPr>
        <w:t>11 (24) августа 1914 г. в приказе н-ка штаба верховного главнокомандующего по вопросам организации боевых действий авиации указывалось: "В целях борьбы о неприятельскими летательными аппаратами представляется необходимым вооружить наиболее грузоподъемные из наших аэропланов. Для сего признается необходимым использовать автоматические ружья Мадсена. Запоздалое признание необходимости вооружения самолетов не дало ожидаемого эффекта в силу мало пригодности ружей Мадсена для воздушного боя и ничтожного количества их в наличии.</w:t>
      </w:r>
    </w:p>
    <w:p w14:paraId="21CC4B04" w14:textId="77777777" w:rsidR="004C5BD8" w:rsidRPr="00DE096C" w:rsidRDefault="004C5BD8" w:rsidP="00D45A46">
      <w:pPr>
        <w:jc w:val="both"/>
        <w:rPr>
          <w:bCs/>
          <w:color w:val="002060"/>
          <w:sz w:val="16"/>
          <w:szCs w:val="16"/>
        </w:rPr>
      </w:pPr>
      <w:r w:rsidRPr="00DE096C">
        <w:rPr>
          <w:bCs/>
          <w:color w:val="002060"/>
          <w:sz w:val="16"/>
          <w:szCs w:val="16"/>
        </w:rPr>
        <w:t xml:space="preserve">/ЦГВИА, Ф. 2019, </w:t>
      </w:r>
      <w:r w:rsidRPr="00DE096C">
        <w:rPr>
          <w:bCs/>
          <w:color w:val="002060"/>
          <w:sz w:val="16"/>
          <w:szCs w:val="16"/>
          <w:lang w:val="en-US"/>
        </w:rPr>
        <w:t>o</w:t>
      </w:r>
      <w:r w:rsidRPr="00DE096C">
        <w:rPr>
          <w:bCs/>
          <w:color w:val="002060"/>
          <w:sz w:val="16"/>
          <w:szCs w:val="16"/>
        </w:rPr>
        <w:t>п. 1, д. 541, Л. 55/ (23320).</w:t>
      </w:r>
    </w:p>
    <w:p w14:paraId="3566A901" w14:textId="77777777" w:rsidR="004C5BD8" w:rsidRPr="00DE096C" w:rsidRDefault="004C5BD8" w:rsidP="00D45A46">
      <w:pPr>
        <w:jc w:val="both"/>
        <w:rPr>
          <w:bCs/>
          <w:color w:val="002060"/>
          <w:sz w:val="16"/>
          <w:szCs w:val="16"/>
        </w:rPr>
      </w:pPr>
    </w:p>
    <w:p w14:paraId="05C5AC00" w14:textId="77777777" w:rsidR="00B67D7C" w:rsidRPr="00DE096C" w:rsidRDefault="00B67D7C" w:rsidP="00D45A46">
      <w:pPr>
        <w:jc w:val="both"/>
        <w:rPr>
          <w:bCs/>
          <w:color w:val="002060"/>
          <w:sz w:val="16"/>
          <w:szCs w:val="16"/>
        </w:rPr>
      </w:pPr>
      <w:r w:rsidRPr="00DE096C">
        <w:rPr>
          <w:bCs/>
          <w:color w:val="002060"/>
          <w:sz w:val="16"/>
          <w:szCs w:val="16"/>
        </w:rPr>
        <w:t>11 (24) августа 1914 - из письма Нестерова: "Дорогая Дина!.. Ты, по-видимому, думаешь, что у нас здесь происходят на наших "Моранах" бои, но пока этого не было заметно, хотя ведут пленных австрийцев в довольно порядочном количестве, но все это в небольших стычках. Надо думать, что теперь приближаются дни, когда крупные силы столкнутся, т.к. у нас по всей линии наступление массой. На днях и мы думаем переходить поближе и, может быть, перейдем границу, где остановимся биваком. Каждый из нас уже побывал по 2-3 раза за границей и произвел разведку, давшую те или иные сведения. Я открыл фабрику "Моранов"; успел поломать три раза "Моран", два раза серьезно, а один раз встал "на попа" и согнул только носок у мотора, винт остался цел. Объясню это вообще переутомлением из-за деятельности по командованию отрядом. Часто приходится бывать в штабе армии, т. е. в тылу и в передовых отрядах, т. е. на границе, так что впечатления сменяются очень быстро. Получил автомобиль "Мерседес" с гудком таким, как ходил мимо нас, и часто на нем ездим...</w:t>
      </w:r>
    </w:p>
    <w:p w14:paraId="0B6428D0" w14:textId="77777777" w:rsidR="00B67D7C" w:rsidRPr="00DE096C" w:rsidRDefault="00B67D7C" w:rsidP="00D45A46">
      <w:pPr>
        <w:jc w:val="both"/>
        <w:rPr>
          <w:bCs/>
          <w:color w:val="002060"/>
          <w:sz w:val="16"/>
          <w:szCs w:val="16"/>
        </w:rPr>
      </w:pPr>
      <w:r w:rsidRPr="00DE096C">
        <w:rPr>
          <w:bCs/>
          <w:color w:val="002060"/>
          <w:sz w:val="16"/>
          <w:szCs w:val="16"/>
        </w:rPr>
        <w:t>Ну, целую крепко, пойду посплю - 12 с четвертью ночи. Времени свободного мало, все отрывают для бумаг... Твой Петя" (11999).</w:t>
      </w:r>
    </w:p>
    <w:p w14:paraId="1C7E5881" w14:textId="77777777" w:rsidR="00B67D7C" w:rsidRPr="00DE096C" w:rsidRDefault="00B67D7C" w:rsidP="00D45A46">
      <w:pPr>
        <w:jc w:val="both"/>
        <w:rPr>
          <w:bCs/>
          <w:color w:val="002060"/>
          <w:sz w:val="16"/>
          <w:szCs w:val="16"/>
        </w:rPr>
      </w:pPr>
    </w:p>
    <w:p w14:paraId="2EF77556" w14:textId="77777777" w:rsidR="00D94D44" w:rsidRPr="00B52707" w:rsidRDefault="00D94D44" w:rsidP="00D94D44">
      <w:pPr>
        <w:jc w:val="both"/>
        <w:rPr>
          <w:color w:val="0070C0"/>
          <w:sz w:val="16"/>
          <w:szCs w:val="16"/>
        </w:rPr>
      </w:pPr>
      <w:r w:rsidRPr="00B52707">
        <w:rPr>
          <w:color w:val="0070C0"/>
          <w:sz w:val="16"/>
          <w:szCs w:val="16"/>
        </w:rPr>
        <w:t>11-12 (24–25) августа 1914 г. цеппелин Z-V (база – г. Кёнигсберг) повторил глубокую воздушную разведку российской территории, пройдя по маршруту: Вроцлав – Плоцк— Кутно – Лодзь – Новогеоргиевск (Модлин) (со сбросом бомб в расположении русских войск). Через два дня в ходе проведения очередной воздушной разведки цеппелин атаковал русскую кавалерийскую бригаду, подвергнув ее бомбоштурмовому удару. После этого дирижабль провел бомбардировку вокзала в г. Млава. По свидетельству одного из наших летчиков, рано утром «цеппелин начал уже кидать бомбы, причем одна из них попала в зал 1-го класса вокзала, пробила крышу и разорвалась, а другая бомба была брошена на полотно железной дороги, на место высадки одного из эшелонов. На месте оказалось несколько трупов… Всего сброшено было десять бомб» (25135).</w:t>
      </w:r>
    </w:p>
    <w:p w14:paraId="665D1E29" w14:textId="77777777" w:rsidR="00D94D44" w:rsidRPr="00B52707" w:rsidRDefault="00D94D44" w:rsidP="00D94D44">
      <w:pPr>
        <w:jc w:val="both"/>
        <w:rPr>
          <w:color w:val="0070C0"/>
          <w:sz w:val="16"/>
          <w:szCs w:val="16"/>
        </w:rPr>
      </w:pPr>
    </w:p>
    <w:p w14:paraId="36161565" w14:textId="6E2D8996"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 xml:space="preserve">Авиация и воздухоплавание </w:t>
      </w:r>
      <w:r w:rsidR="0079538F" w:rsidRPr="00DE096C">
        <w:rPr>
          <w:bCs/>
          <w:color w:val="002060"/>
          <w:spacing w:val="0"/>
          <w:kern w:val="0"/>
          <w:position w:val="0"/>
          <w:sz w:val="16"/>
          <w:szCs w:val="16"/>
        </w:rPr>
        <w:t>Германии</w:t>
      </w:r>
      <w:r w:rsidRPr="00DE096C">
        <w:rPr>
          <w:bCs/>
          <w:color w:val="002060"/>
          <w:spacing w:val="0"/>
          <w:kern w:val="0"/>
          <w:position w:val="0"/>
          <w:sz w:val="16"/>
          <w:szCs w:val="16"/>
        </w:rPr>
        <w:t>:</w:t>
      </w:r>
    </w:p>
    <w:p w14:paraId="083F96F1" w14:textId="77777777" w:rsidR="00B67D7C" w:rsidRPr="00DE096C" w:rsidRDefault="00B67D7C" w:rsidP="00D45A46">
      <w:pPr>
        <w:pStyle w:val="a3"/>
        <w:jc w:val="both"/>
        <w:rPr>
          <w:bCs/>
          <w:color w:val="002060"/>
          <w:spacing w:val="0"/>
          <w:kern w:val="0"/>
          <w:position w:val="0"/>
          <w:sz w:val="16"/>
          <w:szCs w:val="16"/>
        </w:rPr>
      </w:pPr>
    </w:p>
    <w:p w14:paraId="0F583E48" w14:textId="52B69AF8" w:rsidR="00B67D7C" w:rsidRPr="00DE096C" w:rsidRDefault="00B67D7C" w:rsidP="00D45A46">
      <w:pPr>
        <w:jc w:val="both"/>
        <w:rPr>
          <w:bCs/>
          <w:color w:val="002060"/>
          <w:sz w:val="16"/>
          <w:szCs w:val="16"/>
        </w:rPr>
      </w:pPr>
      <w:bookmarkStart w:id="125" w:name="_Hlk117237691"/>
      <w:r w:rsidRPr="00DE096C">
        <w:rPr>
          <w:bCs/>
          <w:color w:val="002060"/>
          <w:sz w:val="16"/>
          <w:szCs w:val="16"/>
        </w:rPr>
        <w:t xml:space="preserve">11 (24) августа </w:t>
      </w:r>
      <w:r w:rsidR="0079538F" w:rsidRPr="00DE096C">
        <w:rPr>
          <w:bCs/>
          <w:color w:val="002060"/>
          <w:sz w:val="16"/>
          <w:szCs w:val="16"/>
        </w:rPr>
        <w:t xml:space="preserve">1914 г. </w:t>
      </w:r>
      <w:r w:rsidRPr="00DE096C">
        <w:rPr>
          <w:bCs/>
          <w:color w:val="002060"/>
          <w:sz w:val="16"/>
          <w:szCs w:val="16"/>
        </w:rPr>
        <w:t xml:space="preserve">Z-IX произвел первое воздушное нападение на крепость Антверпен. В очередной раз о воздушных кораблях вспомнили, когда в районе Эльзаса левый фланг германских войск попал в тяжелое положение. Имея перед собой превосходящие силы противника и гористую местность, войска очень слабо ориентировались в обстановке. Высланные в разведку конные части баварской дивизии понесли большие потери и не смогли проникнуть в расположение противника более чем на 15 км. Авиация также была не в состоянии обеспечить эффективную разведку из-за плохой погоды, отсутствия подходящих аэродромов и сильно пересеченной местности (11324). </w:t>
      </w:r>
    </w:p>
    <w:p w14:paraId="4759FD6A" w14:textId="77777777" w:rsidR="00B67D7C" w:rsidRPr="00DE096C" w:rsidRDefault="00B67D7C" w:rsidP="00D45A46">
      <w:pPr>
        <w:pStyle w:val="a3"/>
        <w:jc w:val="both"/>
        <w:rPr>
          <w:bCs/>
          <w:color w:val="002060"/>
          <w:spacing w:val="0"/>
          <w:kern w:val="0"/>
          <w:position w:val="0"/>
          <w:sz w:val="16"/>
          <w:szCs w:val="16"/>
        </w:rPr>
      </w:pPr>
    </w:p>
    <w:bookmarkEnd w:id="125"/>
    <w:p w14:paraId="625B9A41"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Авиация и воздухоплавание Англии:</w:t>
      </w:r>
    </w:p>
    <w:p w14:paraId="6F39AC24" w14:textId="77777777" w:rsidR="00B67D7C" w:rsidRPr="00DE096C" w:rsidRDefault="00B67D7C" w:rsidP="00D45A46">
      <w:pPr>
        <w:pStyle w:val="a3"/>
        <w:jc w:val="both"/>
        <w:rPr>
          <w:bCs/>
          <w:color w:val="002060"/>
          <w:spacing w:val="0"/>
          <w:kern w:val="0"/>
          <w:position w:val="0"/>
          <w:sz w:val="16"/>
          <w:szCs w:val="16"/>
        </w:rPr>
      </w:pPr>
    </w:p>
    <w:p w14:paraId="128DDCF0" w14:textId="79843F64" w:rsidR="00B67D7C" w:rsidRPr="00DE096C" w:rsidRDefault="00B67D7C" w:rsidP="00D45A46">
      <w:pPr>
        <w:jc w:val="both"/>
        <w:rPr>
          <w:bCs/>
          <w:color w:val="002060"/>
          <w:sz w:val="16"/>
          <w:szCs w:val="16"/>
        </w:rPr>
      </w:pPr>
      <w:r w:rsidRPr="00DE096C">
        <w:rPr>
          <w:bCs/>
          <w:color w:val="002060"/>
          <w:sz w:val="16"/>
          <w:szCs w:val="16"/>
        </w:rPr>
        <w:t xml:space="preserve">11 (24) августа и 19 августа (2 сентября) 1914 года </w:t>
      </w:r>
      <w:r w:rsidR="0079538F" w:rsidRPr="00DE096C">
        <w:rPr>
          <w:bCs/>
          <w:color w:val="002060"/>
          <w:sz w:val="16"/>
          <w:szCs w:val="16"/>
        </w:rPr>
        <w:t xml:space="preserve">ночью </w:t>
      </w:r>
      <w:r w:rsidRPr="00DE096C">
        <w:rPr>
          <w:bCs/>
          <w:color w:val="002060"/>
          <w:sz w:val="16"/>
          <w:szCs w:val="16"/>
        </w:rPr>
        <w:t xml:space="preserve">немецкие цеппелины отбомбились по Антверпену. Ущерб городу был нанесен минимальный, но волна резонанса от этой во многом демонстрационной акции прокатилась по всей Европе. Перед британским военным министром была поставлена срочная задача: найти средства защиты от цеппелинов. Естественным образом взор министра упал на командующего Королевским летным [263] корпусом, но тот ловко вышел из положения, заявив, что вся вверенная ему авиация с августа 1914 года находится во Франции и оказывает посильную помощь Британскому экспедиционному корпусу, а в метрополии осталось для обучения только небольшое количество ветхих аппаратов, непригодных для использования на фронте. Выбор у военного министра был невелик, поэтому вся ответственность за защиту Отечества от предстоящих налетов цеппелинов была официально возложена на Королевскую морскую воздушную службу. </w:t>
      </w:r>
    </w:p>
    <w:p w14:paraId="6761A067" w14:textId="77777777" w:rsidR="00B67D7C" w:rsidRPr="00DE096C" w:rsidRDefault="00B67D7C" w:rsidP="00D45A46">
      <w:pPr>
        <w:jc w:val="both"/>
        <w:rPr>
          <w:bCs/>
          <w:color w:val="002060"/>
          <w:sz w:val="16"/>
          <w:szCs w:val="16"/>
        </w:rPr>
      </w:pPr>
      <w:r w:rsidRPr="00DE096C">
        <w:rPr>
          <w:bCs/>
          <w:color w:val="002060"/>
          <w:sz w:val="16"/>
          <w:szCs w:val="16"/>
        </w:rPr>
        <w:t xml:space="preserve">Директором воздушного департамента ВМФ стал капитан Мюррей Ф. Суетер, который приобрел большой опыт, инспектируя строительство британского дирижабля «Мэйфлай». С целью выработки рекомендаций по организации системы противовоздушной обороны была сформирована комиссия, которую возглавил Уинстон Черчилль. </w:t>
      </w:r>
    </w:p>
    <w:p w14:paraId="2753789E" w14:textId="77777777" w:rsidR="00B67D7C" w:rsidRPr="00DE096C" w:rsidRDefault="00B67D7C" w:rsidP="00D45A46">
      <w:pPr>
        <w:jc w:val="both"/>
        <w:rPr>
          <w:bCs/>
          <w:color w:val="002060"/>
          <w:sz w:val="16"/>
          <w:szCs w:val="16"/>
        </w:rPr>
      </w:pPr>
      <w:r w:rsidRPr="00DE096C">
        <w:rPr>
          <w:bCs/>
          <w:color w:val="002060"/>
          <w:sz w:val="16"/>
          <w:szCs w:val="16"/>
        </w:rPr>
        <w:t xml:space="preserve">Первоначальная задача морских авиаторов заключалась в организации постоянного патрулирования воздушного пространства прибрежных районов Великобритании. Однако состав морской авиации явно не справлялся с поставленным заданием. Не было самолетов с большой длительностью полета и сильным вооружением, не хватало подготовленных летчиков и отлаженной системы обнаружения и оповещения. В связи с этим вероятность перехвата противника оценивалась весьма невысоко, что «с успехом» и было продемонстрировано 10 сентября, когда морской летчик на самолете «Фарман» вылетел на перехват обнаруженного дирижабля. Тревога оказалась ложной. </w:t>
      </w:r>
    </w:p>
    <w:p w14:paraId="48472023" w14:textId="77777777" w:rsidR="00B67D7C" w:rsidRPr="00DE096C" w:rsidRDefault="00B67D7C" w:rsidP="00D45A46">
      <w:pPr>
        <w:jc w:val="both"/>
        <w:rPr>
          <w:bCs/>
          <w:color w:val="002060"/>
          <w:sz w:val="16"/>
          <w:szCs w:val="16"/>
        </w:rPr>
      </w:pPr>
      <w:r w:rsidRPr="00DE096C">
        <w:rPr>
          <w:bCs/>
          <w:color w:val="002060"/>
          <w:sz w:val="16"/>
          <w:szCs w:val="16"/>
        </w:rPr>
        <w:t xml:space="preserve">Ситуация еще больше ухудшилась, когда на примере Антверпена немцы продемонстрировали способность производить налеты в ночное время суток. В этих условиях Королевская морская авиация из-за отсутствия самолетов, оснащенных соответствующим оборудованием для ночных полетов, и подготовленных летчиков была практически бессильна. Имелись и другие проблемы. Так, было установлено, что атака дирижабля одним слабовооруженным самолетом достаточно легко отражалась командой с помощью бортовых стрелковых установок, а также путем выполнения правильных маневров уклонения от противника. </w:t>
      </w:r>
    </w:p>
    <w:p w14:paraId="6BA8B747" w14:textId="77777777" w:rsidR="00B67D7C" w:rsidRPr="00DE096C" w:rsidRDefault="00B67D7C" w:rsidP="00D45A46">
      <w:pPr>
        <w:jc w:val="both"/>
        <w:rPr>
          <w:bCs/>
          <w:color w:val="002060"/>
          <w:sz w:val="16"/>
          <w:szCs w:val="16"/>
        </w:rPr>
      </w:pPr>
      <w:r w:rsidRPr="00DE096C">
        <w:rPr>
          <w:bCs/>
          <w:color w:val="002060"/>
          <w:sz w:val="16"/>
          <w:szCs w:val="16"/>
        </w:rPr>
        <w:t xml:space="preserve">Пилоты морской авиации отрабатывали разные тактические приемы нападения на цеппелины. Одним из них являлся заход на дирижабль сверху с последующим сбросом на него бомбы. Самым экзотическим методом атаки была буксировка на длинном фале захвата-резака, который при соприкосновении с воздушным кораблем вспарывал его газонепроницаемую оболочку. Тем не менее эксперименты показали, что ни один из этих способов не обеспечивает достижения удовлетворительного результата. </w:t>
      </w:r>
    </w:p>
    <w:p w14:paraId="428C1375" w14:textId="77777777" w:rsidR="00B67D7C" w:rsidRPr="00DE096C" w:rsidRDefault="00B67D7C" w:rsidP="00D45A46">
      <w:pPr>
        <w:jc w:val="both"/>
        <w:rPr>
          <w:bCs/>
          <w:color w:val="002060"/>
          <w:sz w:val="16"/>
          <w:szCs w:val="16"/>
        </w:rPr>
      </w:pPr>
      <w:r w:rsidRPr="00DE096C">
        <w:rPr>
          <w:bCs/>
          <w:color w:val="002060"/>
          <w:sz w:val="16"/>
          <w:szCs w:val="16"/>
        </w:rPr>
        <w:t>Военные специалисты напряженно работали над совершенствованием авиационного оружия, способного результативно бороться с цеппелинами. Но все это было в перспективе. Не лучшим образом обстояло дело с зенитной артиллерией. [264] К началу войны на вооружении зенитных батарей находилось 33 орудия, которые к тому же были мало приспособлены для ведения эффективного огня, так как их переоборудовали из пехотных гаубиц и мортир (11324).</w:t>
      </w:r>
    </w:p>
    <w:p w14:paraId="12D3424E" w14:textId="77777777" w:rsidR="00B67D7C" w:rsidRPr="00DE096C" w:rsidRDefault="00B67D7C" w:rsidP="00D45A46">
      <w:pPr>
        <w:jc w:val="both"/>
        <w:rPr>
          <w:bCs/>
          <w:i/>
          <w:color w:val="002060"/>
          <w:sz w:val="16"/>
          <w:szCs w:val="16"/>
        </w:rPr>
      </w:pPr>
    </w:p>
    <w:p w14:paraId="4DA352CC" w14:textId="77777777" w:rsidR="00344A8B" w:rsidRPr="00DE096C" w:rsidRDefault="00344A8B" w:rsidP="00D45A46">
      <w:pPr>
        <w:jc w:val="both"/>
        <w:rPr>
          <w:bCs/>
          <w:i/>
          <w:color w:val="002060"/>
          <w:sz w:val="16"/>
          <w:szCs w:val="16"/>
        </w:rPr>
      </w:pPr>
      <w:r w:rsidRPr="00DE096C">
        <w:rPr>
          <w:bCs/>
          <w:i/>
          <w:color w:val="002060"/>
          <w:sz w:val="16"/>
          <w:szCs w:val="16"/>
        </w:rPr>
        <w:t>Авиация и воздухоплавание Франции:</w:t>
      </w:r>
    </w:p>
    <w:p w14:paraId="0DAC3940" w14:textId="77777777" w:rsidR="00344A8B" w:rsidRPr="00DE096C" w:rsidRDefault="00344A8B" w:rsidP="00D45A46">
      <w:pPr>
        <w:jc w:val="both"/>
        <w:rPr>
          <w:bCs/>
          <w:i/>
          <w:color w:val="002060"/>
          <w:sz w:val="16"/>
          <w:szCs w:val="16"/>
        </w:rPr>
      </w:pPr>
    </w:p>
    <w:p w14:paraId="231CF743" w14:textId="77777777" w:rsidR="00344A8B" w:rsidRPr="00DE096C" w:rsidRDefault="00344A8B" w:rsidP="00D45A46">
      <w:pPr>
        <w:jc w:val="both"/>
        <w:rPr>
          <w:bCs/>
          <w:color w:val="002060"/>
          <w:sz w:val="16"/>
          <w:szCs w:val="16"/>
        </w:rPr>
      </w:pPr>
      <w:r w:rsidRPr="00DE096C">
        <w:rPr>
          <w:bCs/>
          <w:color w:val="002060"/>
          <w:sz w:val="16"/>
          <w:szCs w:val="16"/>
        </w:rPr>
        <w:t>11 (24) августа в 1914 году первым дирижаблем, сбитым французской пехотой, становится французское воздушное судно "Дюрои де Лом", ошибочно принятое за немецкий цеппелин (14992).</w:t>
      </w:r>
    </w:p>
    <w:p w14:paraId="294682DC" w14:textId="77777777" w:rsidR="00344A8B" w:rsidRPr="00DE096C" w:rsidRDefault="00344A8B" w:rsidP="00D45A46">
      <w:pPr>
        <w:jc w:val="both"/>
        <w:rPr>
          <w:bCs/>
          <w:color w:val="002060"/>
          <w:sz w:val="16"/>
          <w:szCs w:val="16"/>
        </w:rPr>
      </w:pPr>
    </w:p>
    <w:p w14:paraId="1116EA45" w14:textId="77777777" w:rsidR="00344A8B" w:rsidRPr="00DE096C" w:rsidRDefault="00344A8B" w:rsidP="00D45A46">
      <w:pPr>
        <w:jc w:val="both"/>
        <w:rPr>
          <w:bCs/>
          <w:i/>
          <w:color w:val="002060"/>
          <w:sz w:val="16"/>
          <w:szCs w:val="16"/>
        </w:rPr>
      </w:pPr>
      <w:r w:rsidRPr="00DE096C">
        <w:rPr>
          <w:bCs/>
          <w:i/>
          <w:color w:val="002060"/>
          <w:sz w:val="16"/>
          <w:szCs w:val="16"/>
        </w:rPr>
        <w:t>За рубежом:</w:t>
      </w:r>
    </w:p>
    <w:p w14:paraId="37262352" w14:textId="77777777" w:rsidR="00344A8B" w:rsidRPr="00DE096C" w:rsidRDefault="00344A8B" w:rsidP="00D45A46">
      <w:pPr>
        <w:jc w:val="both"/>
        <w:rPr>
          <w:bCs/>
          <w:color w:val="002060"/>
          <w:sz w:val="16"/>
          <w:szCs w:val="16"/>
        </w:rPr>
      </w:pPr>
    </w:p>
    <w:p w14:paraId="4D25DADA" w14:textId="77777777" w:rsidR="00344A8B" w:rsidRPr="00DE096C" w:rsidRDefault="00344A8B" w:rsidP="00D45A46">
      <w:pPr>
        <w:jc w:val="both"/>
        <w:rPr>
          <w:bCs/>
          <w:color w:val="002060"/>
          <w:sz w:val="16"/>
          <w:szCs w:val="16"/>
        </w:rPr>
      </w:pPr>
      <w:r w:rsidRPr="00DE096C">
        <w:rPr>
          <w:bCs/>
          <w:color w:val="002060"/>
          <w:sz w:val="16"/>
          <w:szCs w:val="16"/>
        </w:rPr>
        <w:t>11 (24) августа в 1914 году командующими немецкими войсками в Восточной Пруссии назначаются генералы Гинденбург и Людендорф (14992).</w:t>
      </w:r>
    </w:p>
    <w:p w14:paraId="4049C3C6" w14:textId="77777777" w:rsidR="00344A8B" w:rsidRPr="00DE096C" w:rsidRDefault="00344A8B" w:rsidP="00D45A46">
      <w:pPr>
        <w:jc w:val="both"/>
        <w:rPr>
          <w:bCs/>
          <w:color w:val="002060"/>
          <w:sz w:val="16"/>
          <w:szCs w:val="16"/>
        </w:rPr>
      </w:pPr>
    </w:p>
    <w:p w14:paraId="68E84FF4" w14:textId="77777777" w:rsidR="00344A8B" w:rsidRPr="00DE096C" w:rsidRDefault="00344A8B" w:rsidP="00D45A46">
      <w:pPr>
        <w:jc w:val="both"/>
        <w:rPr>
          <w:bCs/>
          <w:color w:val="002060"/>
          <w:sz w:val="16"/>
          <w:szCs w:val="16"/>
        </w:rPr>
      </w:pPr>
      <w:r w:rsidRPr="00DE096C">
        <w:rPr>
          <w:bCs/>
          <w:color w:val="002060"/>
          <w:sz w:val="16"/>
          <w:szCs w:val="16"/>
        </w:rPr>
        <w:t>11 (24) августа в 1914 году Британские и бельгийские войска начинают отступление от Монса (до 7 сентября) (14992).</w:t>
      </w:r>
    </w:p>
    <w:p w14:paraId="3350395B" w14:textId="77777777" w:rsidR="00344A8B" w:rsidRPr="00DE096C" w:rsidRDefault="00344A8B" w:rsidP="00D45A46">
      <w:pPr>
        <w:jc w:val="both"/>
        <w:rPr>
          <w:bCs/>
          <w:color w:val="002060"/>
          <w:sz w:val="16"/>
          <w:szCs w:val="16"/>
        </w:rPr>
      </w:pPr>
    </w:p>
    <w:p w14:paraId="27B5193F" w14:textId="77777777" w:rsidR="00B67D7C" w:rsidRPr="00DE096C" w:rsidRDefault="00B67D7C" w:rsidP="00D45A46">
      <w:pPr>
        <w:jc w:val="both"/>
        <w:rPr>
          <w:bCs/>
          <w:i/>
          <w:color w:val="002060"/>
          <w:sz w:val="16"/>
          <w:szCs w:val="16"/>
        </w:rPr>
      </w:pPr>
      <w:r w:rsidRPr="00DE096C">
        <w:rPr>
          <w:bCs/>
          <w:i/>
          <w:color w:val="002060"/>
          <w:sz w:val="16"/>
          <w:szCs w:val="16"/>
        </w:rPr>
        <w:t>Самолетостроение:</w:t>
      </w:r>
    </w:p>
    <w:p w14:paraId="699660C6" w14:textId="77777777" w:rsidR="00B67D7C" w:rsidRPr="00DE096C" w:rsidRDefault="00B67D7C" w:rsidP="00D45A46">
      <w:pPr>
        <w:jc w:val="both"/>
        <w:rPr>
          <w:bCs/>
          <w:i/>
          <w:color w:val="002060"/>
          <w:sz w:val="16"/>
          <w:szCs w:val="16"/>
        </w:rPr>
      </w:pPr>
    </w:p>
    <w:p w14:paraId="4BE2D4E4" w14:textId="2D46CAF1" w:rsidR="00B67D7C" w:rsidRPr="00DE096C" w:rsidRDefault="00B67D7C" w:rsidP="00D45A46">
      <w:pPr>
        <w:jc w:val="both"/>
        <w:rPr>
          <w:bCs/>
          <w:color w:val="002060"/>
          <w:sz w:val="16"/>
          <w:szCs w:val="16"/>
        </w:rPr>
      </w:pPr>
      <w:bookmarkStart w:id="126" w:name="_Hlk117237898"/>
      <w:r w:rsidRPr="00DE096C">
        <w:rPr>
          <w:bCs/>
          <w:color w:val="002060"/>
          <w:sz w:val="16"/>
          <w:szCs w:val="16"/>
        </w:rPr>
        <w:t xml:space="preserve">12 </w:t>
      </w:r>
      <w:r w:rsidR="0079538F" w:rsidRPr="00DE096C">
        <w:rPr>
          <w:bCs/>
          <w:color w:val="002060"/>
          <w:sz w:val="16"/>
          <w:szCs w:val="16"/>
        </w:rPr>
        <w:t xml:space="preserve">(25) </w:t>
      </w:r>
      <w:r w:rsidRPr="00DE096C">
        <w:rPr>
          <w:bCs/>
          <w:color w:val="002060"/>
          <w:sz w:val="16"/>
          <w:szCs w:val="16"/>
        </w:rPr>
        <w:t>августа</w:t>
      </w:r>
      <w:r w:rsidR="0079538F" w:rsidRPr="00DE096C">
        <w:rPr>
          <w:bCs/>
          <w:color w:val="002060"/>
          <w:sz w:val="16"/>
          <w:szCs w:val="16"/>
        </w:rPr>
        <w:t xml:space="preserve"> 1914 г.</w:t>
      </w:r>
      <w:r w:rsidRPr="00DE096C">
        <w:rPr>
          <w:bCs/>
          <w:color w:val="002060"/>
          <w:sz w:val="16"/>
          <w:szCs w:val="16"/>
        </w:rPr>
        <w:t xml:space="preserve"> в ГВТУ прислали сообщение: "...в 7 часов вечера над пороховыми складами Охтинского порохового завода пролетал аэроплан, который был обстрелян часовыми, а потом караулом, стреляли много. С аэроплана сигнализировали что-то, и раздавались особые звуки. Аэроплан вскоре скрылся. Предполагается, что это аэроплан Сикорского. В деревянных частях найдено две застрявшие пули. Аэроплан летел на полигон Морского ведомства".</w:t>
      </w:r>
    </w:p>
    <w:p w14:paraId="580E0392" w14:textId="77777777" w:rsidR="00B67D7C" w:rsidRPr="00DE096C" w:rsidRDefault="00B67D7C" w:rsidP="00D45A46">
      <w:pPr>
        <w:jc w:val="both"/>
        <w:rPr>
          <w:bCs/>
          <w:color w:val="002060"/>
          <w:sz w:val="16"/>
          <w:szCs w:val="16"/>
        </w:rPr>
      </w:pPr>
      <w:r w:rsidRPr="00DE096C">
        <w:rPr>
          <w:bCs/>
          <w:color w:val="002060"/>
          <w:sz w:val="16"/>
          <w:szCs w:val="16"/>
        </w:rPr>
        <w:t xml:space="preserve">Чуть позже испытания орудия провели в присутствии военного министра генерала- адъютанта Сухомлинова. Штабс-капитан М.М. Чайковский, артиллерийский офицер "Муромца I", демонстрировавший пушку высокому гостю, смог попасть в деревянный ящик, установленный в качестве цели перед аэропланом. После выстрела Чайковского камни, бывшие в ящике, эффектно разлетелись. </w:t>
      </w:r>
    </w:p>
    <w:p w14:paraId="2CABE297" w14:textId="77777777" w:rsidR="00B67D7C" w:rsidRPr="00DE096C" w:rsidRDefault="00B67D7C" w:rsidP="00D45A46">
      <w:pPr>
        <w:jc w:val="both"/>
        <w:rPr>
          <w:bCs/>
          <w:color w:val="002060"/>
          <w:sz w:val="16"/>
          <w:szCs w:val="16"/>
        </w:rPr>
      </w:pPr>
      <w:r w:rsidRPr="00DE096C">
        <w:rPr>
          <w:bCs/>
          <w:color w:val="002060"/>
          <w:sz w:val="16"/>
          <w:szCs w:val="16"/>
        </w:rPr>
        <w:t>Странно, но ни Казаков, ни Чайковский не пишут в своих воспоминаниях, почему орудие не стали использовать. Причина оказалась втом, что испытания были признаны неудовлетворительными: при весе в 96 килограмм и скорострельности 10 выстрелов в минуту пушка требовала для обслуживания двух человек - наводчика и подносчика снарядов, разлёт снарядов составлял 200-250 метров, что никого устроить не могло.</w:t>
      </w:r>
    </w:p>
    <w:p w14:paraId="59207992" w14:textId="77777777" w:rsidR="00B67D7C" w:rsidRPr="00DE096C" w:rsidRDefault="00B67D7C" w:rsidP="00D45A46">
      <w:pPr>
        <w:jc w:val="both"/>
        <w:rPr>
          <w:bCs/>
          <w:color w:val="002060"/>
          <w:sz w:val="16"/>
          <w:szCs w:val="16"/>
        </w:rPr>
      </w:pPr>
      <w:r w:rsidRPr="00DE096C">
        <w:rPr>
          <w:bCs/>
          <w:color w:val="002060"/>
          <w:sz w:val="16"/>
          <w:szCs w:val="16"/>
        </w:rPr>
        <w:t>Тем временем полным ходом шло доосна- щение первых трёх "Муромцев" для отправки на фронт. Первым был готов аэроплан Руднева, который утром 31 августа 1914 года после молебна и водосвятия улетел на Севе- ро-Западный фронт, направляясь в Белосток. Маршрут аппарата пролегал вдоль линии железной дороги с промежуточной посадкой в Двинске. Полёт должен был выполняться на максимально возможной высоте. Из-за сильного встречного ветра в 12 м/с, после 177 вёрст пути, Рудневу пришлось вынужденно сесть у станции Плюсса, при этом аэроплан получил незначительные повреждения. Механик РБВЗ, вызванный из Петрограда, смог отремонтировать "Муромец" и он 11 сентября благополучно совершил посадку в Двинске. В Белосток же Руднев прилетел только... 23 сентября, затратив на путь до места назначения 14 лётных часов и... 24 дня (12041).</w:t>
      </w:r>
    </w:p>
    <w:p w14:paraId="4DE4B127" w14:textId="77777777" w:rsidR="00B67D7C" w:rsidRPr="00DE096C" w:rsidRDefault="00B67D7C" w:rsidP="00D45A46">
      <w:pPr>
        <w:jc w:val="both"/>
        <w:rPr>
          <w:bCs/>
          <w:color w:val="002060"/>
          <w:sz w:val="16"/>
          <w:szCs w:val="16"/>
        </w:rPr>
      </w:pPr>
    </w:p>
    <w:bookmarkEnd w:id="126"/>
    <w:p w14:paraId="596CFA36" w14:textId="77777777" w:rsidR="001438FE" w:rsidRPr="00DE096C" w:rsidRDefault="001438FE" w:rsidP="00D45A46">
      <w:pPr>
        <w:jc w:val="both"/>
        <w:rPr>
          <w:bCs/>
          <w:i/>
          <w:color w:val="002060"/>
          <w:sz w:val="16"/>
          <w:szCs w:val="16"/>
        </w:rPr>
      </w:pPr>
      <w:r w:rsidRPr="00DE096C">
        <w:rPr>
          <w:bCs/>
          <w:i/>
          <w:color w:val="002060"/>
          <w:sz w:val="16"/>
          <w:szCs w:val="16"/>
        </w:rPr>
        <w:t>Другие оборонные отрасли:</w:t>
      </w:r>
    </w:p>
    <w:p w14:paraId="44C7C9AD" w14:textId="77777777" w:rsidR="001438FE" w:rsidRPr="00DE096C" w:rsidRDefault="001438FE" w:rsidP="00D45A46">
      <w:pPr>
        <w:jc w:val="both"/>
        <w:rPr>
          <w:bCs/>
          <w:i/>
          <w:color w:val="002060"/>
          <w:sz w:val="16"/>
          <w:szCs w:val="16"/>
        </w:rPr>
      </w:pPr>
    </w:p>
    <w:p w14:paraId="3F90C671" w14:textId="5F9ED859" w:rsidR="001438FE" w:rsidRPr="00DE096C" w:rsidRDefault="001438FE" w:rsidP="00D45A46">
      <w:pPr>
        <w:jc w:val="both"/>
        <w:rPr>
          <w:bCs/>
          <w:color w:val="002060"/>
          <w:sz w:val="16"/>
          <w:szCs w:val="16"/>
        </w:rPr>
      </w:pPr>
      <w:r w:rsidRPr="00DE096C">
        <w:rPr>
          <w:bCs/>
          <w:color w:val="002060"/>
          <w:sz w:val="16"/>
          <w:szCs w:val="16"/>
        </w:rPr>
        <w:t xml:space="preserve">12 </w:t>
      </w:r>
      <w:r w:rsidR="0079538F" w:rsidRPr="00DE096C">
        <w:rPr>
          <w:bCs/>
          <w:color w:val="002060"/>
          <w:sz w:val="16"/>
          <w:szCs w:val="16"/>
        </w:rPr>
        <w:t xml:space="preserve">(25) </w:t>
      </w:r>
      <w:r w:rsidRPr="00DE096C">
        <w:rPr>
          <w:bCs/>
          <w:color w:val="002060"/>
          <w:sz w:val="16"/>
          <w:szCs w:val="16"/>
        </w:rPr>
        <w:t>августа 1914 г. Генеральный штаб по поводу "Большой программы по усилению армии", составленной Генеральным штабом, ответил, что «ни одно из мероприятий… организационного характера — осуществлению не подлежит». Но что касается мер в области производства вооружения и расширения военных заводов, то следовало продолжать их «полным ходом», причем предприятия артиллерийского ведомства «расширить за счет кредитов, предусматриваемых Большой программою» (18409).</w:t>
      </w:r>
    </w:p>
    <w:p w14:paraId="3019B9AA" w14:textId="77777777" w:rsidR="001438FE" w:rsidRPr="00DE096C" w:rsidRDefault="001438FE" w:rsidP="00D45A46">
      <w:pPr>
        <w:jc w:val="both"/>
        <w:rPr>
          <w:bCs/>
          <w:color w:val="002060"/>
          <w:sz w:val="16"/>
          <w:szCs w:val="16"/>
        </w:rPr>
      </w:pPr>
    </w:p>
    <w:p w14:paraId="65F475B7" w14:textId="77777777" w:rsidR="00B67D7C" w:rsidRPr="00DE096C" w:rsidRDefault="00B67D7C" w:rsidP="00D45A46">
      <w:pPr>
        <w:jc w:val="both"/>
        <w:rPr>
          <w:bCs/>
          <w:i/>
          <w:color w:val="002060"/>
          <w:sz w:val="16"/>
          <w:szCs w:val="16"/>
        </w:rPr>
      </w:pPr>
      <w:r w:rsidRPr="00DE096C">
        <w:rPr>
          <w:bCs/>
          <w:i/>
          <w:color w:val="002060"/>
          <w:sz w:val="16"/>
          <w:szCs w:val="16"/>
        </w:rPr>
        <w:t>Авиация:</w:t>
      </w:r>
    </w:p>
    <w:p w14:paraId="6E54C7D7" w14:textId="77777777" w:rsidR="00B67D7C" w:rsidRPr="00DE096C" w:rsidRDefault="00B67D7C" w:rsidP="00D45A46">
      <w:pPr>
        <w:jc w:val="both"/>
        <w:rPr>
          <w:bCs/>
          <w:i/>
          <w:color w:val="002060"/>
          <w:sz w:val="16"/>
          <w:szCs w:val="16"/>
        </w:rPr>
      </w:pPr>
    </w:p>
    <w:p w14:paraId="4583858E" w14:textId="2935F077" w:rsidR="00B67D7C" w:rsidRPr="00DE096C" w:rsidRDefault="00B67D7C" w:rsidP="00D45A46">
      <w:pPr>
        <w:jc w:val="both"/>
        <w:rPr>
          <w:bCs/>
          <w:color w:val="002060"/>
          <w:sz w:val="16"/>
          <w:szCs w:val="16"/>
        </w:rPr>
      </w:pPr>
      <w:r w:rsidRPr="00DE096C">
        <w:rPr>
          <w:bCs/>
          <w:color w:val="002060"/>
          <w:sz w:val="16"/>
          <w:szCs w:val="16"/>
        </w:rPr>
        <w:t>12 (25) августа 1914 г.</w:t>
      </w:r>
      <w:r w:rsidR="0079538F" w:rsidRPr="00DE096C">
        <w:rPr>
          <w:bCs/>
          <w:color w:val="002060"/>
          <w:sz w:val="16"/>
          <w:szCs w:val="16"/>
        </w:rPr>
        <w:t xml:space="preserve"> главнокомандующий Юго-Западным фронтомй издал приказ №6</w:t>
      </w:r>
      <w:r w:rsidRPr="00DE096C">
        <w:rPr>
          <w:bCs/>
          <w:color w:val="002060"/>
          <w:sz w:val="16"/>
          <w:szCs w:val="16"/>
        </w:rPr>
        <w:t xml:space="preserve">: "Придавая большое значение работе аэропланов и признавая весь риск и трудности выполнения задач летчиками и наблюдателями, приказываю...". Далее шли указания летать не больше одного раза в день на дальность не более 200-230 </w:t>
      </w:r>
      <w:r w:rsidRPr="00DE096C">
        <w:rPr>
          <w:bCs/>
          <w:color w:val="002060"/>
          <w:sz w:val="16"/>
          <w:szCs w:val="16"/>
        </w:rPr>
        <w:lastRenderedPageBreak/>
        <w:t>верст, полеты совершать в утренние часы. Штабному начальству предписывалось не посылать летчиков по мелочам, не злоупотреблять частым направлением аппаратов к линии фронта, давать задачи на поиск крупных соединений противника, не поручать летчикам и наблюдателям разбрасывать прокламации, ибо в случае пленения они не приравниваются к военнопленным и могут быть расстреляны, и т.д. Бичом русской авиации в первые месяцы войны стал безудержный обстрел аппаратов своими войсками, что стало причиной гибели нескольких авиаторов. Например, 13 августа при перелете линии фронта был убит своими войсками военный летчик 25-го КАО поручик Гудим, 27 августа такая же участь постигла при посадке военного летчика 11-го КАО поручика Лемешко и т.д. Другие случаи имели менее трагические последствия. Так, "30 июля 1914г. начальник 7-го корпусного авиаотряда штабс-капитан Степанов вылетел для производства воздушной разведки, пролетая над местечком Ярмолинцы, подвергся обстрелу залпами... получил пробоины в стабилизатор и крыло. Расследование показало... стреляли роты 60-го пехотного Замоского полка". В тот же день летчик того же отряда поручик Сабельников попал в такую же ситуацию. Результат - 4 пробоины. Подобных примеров было много, и это вынудило командование издать приказы, запрещавшие "стрелять по своим и планирующим аппаратам, стрельбу вести только по приказу офицера или при бросании бомб противником". Господам офицерам было приказано изучить знаки своих и неприятельских аэропланов, знать их силуэты. Начальный период войны выявил плохую организацию в снабжении авиационных отрядов и рот бензином, касторовым маслом, запчастями, палатками и другим авиационным имуществом. Самолеты и моторы быстро выходили из строя в суровых полевых условиях, особенно с наступлением ненастной осенней погоды, когда остро сказались нехватка палаток и переносных ангаров, использование для аэродромов малопригодных площадок. Уже после первых месяцев войны многие авиаотряды пришлось отвести в тыл для снабжения аэропланами новых систем и для переучивания летчиков на них. Так, пилоты, летавшие на "Ньюпорах", освоили "Мораны". Широко использовалась для вооружения отрядов отремонтированная трофейная авиатехника. Поставки самолетов и назначения личного состава целиком зависели от штаба авиации, возглавлявшегося Великим князем Александром Михайловичем. Он часто назначал командирами рот и начальниками отрядов офицеров, хорошо писавших отчеты, но мало летавших. В этой ситуации протежируемые отряды снабжались самолетами вне очереди , тогда как части, несшие ответственную и тяжелую работу, оставались без аэропланов. Снабжение самолетами оставалось большой проблемой, которая часто решалась на самом высоком уровне. Так, 31 августа 1914 г. командующий 8-й армией генерал Брусилов бьет челом Великому князю: "Настоящее время лишился совершенно воздушных аппаратов, столь драгоценных для разведок, что ставит управление войсками в крайне трудное положение. ...Покорно прошу Ваше императорское высочество оказать армии величайшую помощь "Фарманами" и "Ньюпорами". Деятельность летчиков в разведке незаменима." Просьба Брусилова была удовлетворена, и армия получила 4 самолета из состава Брест-Литовского крепостного авиаотряда. Однако таких просьб было множество, а дефицит самолетов и моторов стал хронической болезнью русской авиации до конца войны. К началу боевых действий в составе воздушного флота России насчитывался 221 летчик: 170 офицеров, 35 нижних чинов и 16 вольноопределяющихся (добровольцев). На 1 января 1915 г. потери летчиков составили 33 человека или 14,9% от общего состава. Из них 6 погибли от действий неприятеля, 5 - в авариях, 22 попали в плен и пропали без вести. Среди погибших: штабс-капитаны Грузинов, Нестеров, поручики Лемешко, Гудим, старший унтер-офицер Доброшинский и др. Пропали без вести: поручики Николаевский, Шамин, Машерек и др. Ранены или разбились при падении: капитан Витковский, гвардии штабс-капитан Мельницкий, штабс-капитан Мучник, поручики Городецкий, Корнидов, Павлов, доброволец Шпицберг. Некоторые из них, например, летчик-доброволец 16-го КАО Шпицберг, впоследствии скончались в госпитале. В скорбный список боевых потерь одним из первых попал военный летчик начальник 14-го КАО Ефграф Ефграфович Грузинов, смертельно раненный шрапнелью в воздухе во время выполнения боевого задания. 17 августа он вылетел на разведку района Кщонов-Пиляш-Ковице-Быхов-Люблин и обратно не вернулся. Самолет упал на вражеской территории, которую вскоре заняли русские войска. У села Быхово близ Янова были найдены свежая могила и разбитый "Ньюпор". В могиле обнаружили тело Грузинова, вопрос местных жителей и пленных австрийцев дал представление об обстоятельствах его гибели. Выяснилось, что самолет пролетал над австрийскими позициями на высоте 1000-1200 м и был обстрелян сначала пехотой, потом артиллерийской батареей, которая дала три залпа. Два первых цели не достигли. После третьего аппарат дрогнул, перевернулся и, сделав крутой вираж, врезался в землю с работающим мотором. Посмертно высочайшим приказом штабс-капитан Грузинов был награжден орденом Святого Георгия 4-й степени. Состоялись и первые воздушные бои. Таран и героическая гибель 26 августа военного летчика начальника 11-го КАО Петра Николаевича Нестерова открыли новую эпоху борьбы в воздухе. Из вооружения у русских авиаторов имелись только пистолеты "Маузер" и карабины. Хроника тех лет описывает несколько случаев воздушных боев. Так, 28 октября в окрестностях Петроково (под Варшавой) "появился неприятельский аэроплан. Через несколько минут поднялись два наших летчика и после воздушного боя сбросили "Таубе" на землю. Немецкие авиаторы разбились. Неприятельский аэроплан исковеркан". К сожалению, подтверждения этому газетному сообщению не нашлось. А вот воздушный бой и совместные действия с артиллерией, принесшие успех военному летчику Гродненского крепостного авиаотряда поручику Семенову, были подтверждены несколькими донесениями, хранящимися в Военно-историческом архиве. 27 августа Семенов с наблюдателем корнетом Николаевым при перелете через озеро Мейер, что в Восточной Пруссии, заметил неприятельский аэроплан, летевший к Летцену. Обойдя противника с правой стороны, Семенов атаковал его, заставил спуститься ниже и изменить направление полета в район русских позиций, где тот был обстрелян и около озера упал (11237).</w:t>
      </w:r>
    </w:p>
    <w:p w14:paraId="61A77B91" w14:textId="77777777" w:rsidR="00B67D7C" w:rsidRPr="00DE096C" w:rsidRDefault="00B67D7C" w:rsidP="00D45A46">
      <w:pPr>
        <w:jc w:val="both"/>
        <w:rPr>
          <w:bCs/>
          <w:i/>
          <w:color w:val="002060"/>
          <w:sz w:val="16"/>
          <w:szCs w:val="16"/>
        </w:rPr>
      </w:pPr>
    </w:p>
    <w:p w14:paraId="713C417D" w14:textId="61E9B8A6"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12 (25) августа 1914 г.</w:t>
      </w:r>
      <w:r w:rsidR="0079538F" w:rsidRPr="00DE096C">
        <w:rPr>
          <w:bCs/>
          <w:i w:val="0"/>
          <w:color w:val="002060"/>
          <w:spacing w:val="0"/>
          <w:kern w:val="0"/>
          <w:position w:val="0"/>
          <w:sz w:val="16"/>
          <w:szCs w:val="16"/>
        </w:rPr>
        <w:t xml:space="preserve"> главнокомандующий Юго-Западным фронтом издал приказ №6</w:t>
      </w:r>
      <w:r w:rsidRPr="00DE096C">
        <w:rPr>
          <w:bCs/>
          <w:i w:val="0"/>
          <w:color w:val="002060"/>
          <w:spacing w:val="0"/>
          <w:kern w:val="0"/>
          <w:position w:val="0"/>
          <w:sz w:val="16"/>
          <w:szCs w:val="16"/>
        </w:rPr>
        <w:t>: "Придавая большое значение работе аэропланов и признавая весь риск и трудности выполнения задач летчиками и наблюдателями, приказываю...". Далее шли указания летать не больше одного раза в день на дальность не более 200-230 верст, полеты совершать в утренние часы. Штабному начальству предписывалось не посылать летчиков по мелочам, не злоупотреблять частым направлением аппаратов к линии фронта, давать задачи на поиск крупных соединений противника, не поручать летчикам и наблюдателям разбрасывать прокламации, ибо в случае пленения они не приравниваются к военнопленным и могут быть расстреляны, и т.д. (11278).</w:t>
      </w:r>
    </w:p>
    <w:p w14:paraId="2FA9541E" w14:textId="77777777" w:rsidR="00B67D7C" w:rsidRPr="00DE096C" w:rsidRDefault="00B67D7C" w:rsidP="00D45A46">
      <w:pPr>
        <w:pStyle w:val="a3"/>
        <w:jc w:val="both"/>
        <w:rPr>
          <w:bCs/>
          <w:i w:val="0"/>
          <w:color w:val="002060"/>
          <w:spacing w:val="0"/>
          <w:kern w:val="0"/>
          <w:position w:val="0"/>
          <w:sz w:val="16"/>
          <w:szCs w:val="16"/>
        </w:rPr>
      </w:pPr>
    </w:p>
    <w:p w14:paraId="1B839A56" w14:textId="77777777" w:rsidR="00552299" w:rsidRPr="00DE096C" w:rsidRDefault="00552299" w:rsidP="00D45A46">
      <w:pPr>
        <w:jc w:val="both"/>
        <w:rPr>
          <w:bCs/>
          <w:color w:val="002060"/>
          <w:sz w:val="16"/>
          <w:szCs w:val="16"/>
        </w:rPr>
      </w:pPr>
      <w:r w:rsidRPr="00DE096C">
        <w:rPr>
          <w:bCs/>
          <w:color w:val="002060"/>
          <w:sz w:val="16"/>
          <w:szCs w:val="16"/>
        </w:rPr>
        <w:t>12 (25) августа 1914 г. Верховный Главнокомандующий издал приказ № 6 с требованием использовать авиацию лишь при «действительной необходимости», однако никто не мог определить ее пределы.</w:t>
      </w:r>
    </w:p>
    <w:p w14:paraId="22C48DD1" w14:textId="77777777" w:rsidR="00552299" w:rsidRPr="00DE096C" w:rsidRDefault="00552299" w:rsidP="00D45A46">
      <w:pPr>
        <w:jc w:val="both"/>
        <w:rPr>
          <w:bCs/>
          <w:color w:val="002060"/>
          <w:sz w:val="16"/>
          <w:szCs w:val="16"/>
        </w:rPr>
      </w:pPr>
      <w:r w:rsidRPr="00DE096C">
        <w:rPr>
          <w:bCs/>
          <w:color w:val="002060"/>
          <w:sz w:val="16"/>
          <w:szCs w:val="16"/>
        </w:rPr>
        <w:t>Рассредоточенные от Балтийского моря до границы с Румынией авиаотряды использовались кустарно и некомпетентно. Ставка пришла к выводу, что на обоих фронтах «в авиационном деле» требуется ввести организующее начало в качестве двух новых должностных лиц, а именно: Заведующего организацией авиационного дела в армиях Юго-Западного фронта (ЮЗФ) и Заведующего организацией авиационного дела в армиях Северо-Западного фронта (СЗФ) 19. Перед назначенным на пост Заведующего авиацией ЮЗФ Великим князем Александром Михайловичем и занявшим аналогичную должность на СЗФ генералом от кавалерии А.В. Каульбарсом стояла задача организационной работы, которая согласно высказыванию известного русского военного теоретика Леера заключалась «в установке между элементами армии прочной внутренней органической связи, приводящей к сплочению войск, их самостоятельности и удобоуправляемости» (19566).</w:t>
      </w:r>
    </w:p>
    <w:p w14:paraId="698143B8" w14:textId="77777777" w:rsidR="00552299" w:rsidRPr="00DE096C" w:rsidRDefault="00552299" w:rsidP="00D45A46">
      <w:pPr>
        <w:jc w:val="both"/>
        <w:rPr>
          <w:bCs/>
          <w:color w:val="002060"/>
          <w:sz w:val="16"/>
          <w:szCs w:val="16"/>
        </w:rPr>
      </w:pPr>
    </w:p>
    <w:p w14:paraId="18818DF8" w14:textId="77777777" w:rsidR="000C5FAC" w:rsidRPr="00B52707" w:rsidRDefault="000C5FAC" w:rsidP="000C5FAC">
      <w:pPr>
        <w:jc w:val="both"/>
        <w:rPr>
          <w:color w:val="0070C0"/>
          <w:sz w:val="16"/>
          <w:szCs w:val="16"/>
        </w:rPr>
      </w:pPr>
      <w:r w:rsidRPr="00B52707">
        <w:rPr>
          <w:color w:val="0070C0"/>
          <w:sz w:val="16"/>
          <w:szCs w:val="16"/>
        </w:rPr>
        <w:t>12 (25) августа 1914 г. главнокомандующий Юго-Западным фронтом издал приказ №6: "Придавая большое значение работе аэропланов и признавая весь риск и трудности выполнения задач летчиками и наблюдателями, приказываю… ". Далее шли указания летать не белый одного раза в день на дальность не более 200-230 верст, полеты совершать в утренние часы. Штабному начальству предписывалось не посылать летчиков по мелочам, не злоупотреблять частым направлением аппаратов к линии фронта, давать задачи на писк крупных соединений противника, не поручать летчикам и наблюдателям разбрасывать прокламации, ибо в случае пленения они не приравниваются к военнопленным и могут быть расстреляны, и т. д. (25150).</w:t>
      </w:r>
    </w:p>
    <w:p w14:paraId="3D30239C" w14:textId="77777777" w:rsidR="000C5FAC" w:rsidRPr="00B52707" w:rsidRDefault="000C5FAC" w:rsidP="000C5FAC">
      <w:pPr>
        <w:jc w:val="both"/>
        <w:rPr>
          <w:color w:val="0070C0"/>
          <w:sz w:val="16"/>
          <w:szCs w:val="16"/>
        </w:rPr>
      </w:pPr>
    </w:p>
    <w:p w14:paraId="0E0CD88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12 (25) августа 1914 командир 20-го корпусного авиаотряда подъесаул В.М.Ткачев, производя воздушную разведку в районе Люблин-Юзефов-Боров, проник в тыл противника и обнаружил обход неприятельским корпусом правого фланга 4-й армии. При возвращении Ткаачев был обстрелян неприятельскими войсками, в результате чего был пробит масляный бак "Ньюпора". Заткнув ногами пробоину и управляя только ручкой, Ткачев дотянул до расположения своих войск и вовремя доставил ценные сведения, чем спас положение 4-й армии (ЦГВИА. ф.493, оп. 3, д.129, л.58).</w:t>
      </w:r>
    </w:p>
    <w:p w14:paraId="1DDC1794" w14:textId="77777777" w:rsidR="00B67D7C" w:rsidRPr="00DE096C" w:rsidRDefault="00B67D7C" w:rsidP="00D45A46">
      <w:pPr>
        <w:shd w:val="clear" w:color="auto" w:fill="FFFFFF"/>
        <w:jc w:val="both"/>
        <w:rPr>
          <w:bCs/>
          <w:color w:val="002060"/>
          <w:sz w:val="16"/>
          <w:szCs w:val="16"/>
        </w:rPr>
      </w:pPr>
    </w:p>
    <w:p w14:paraId="4C8E6716" w14:textId="77777777" w:rsidR="004C5BD8" w:rsidRPr="00DE096C" w:rsidRDefault="004C5BD8" w:rsidP="00D45A46">
      <w:pPr>
        <w:jc w:val="both"/>
        <w:rPr>
          <w:bCs/>
          <w:color w:val="002060"/>
          <w:sz w:val="16"/>
          <w:szCs w:val="16"/>
        </w:rPr>
      </w:pPr>
      <w:r w:rsidRPr="00DE096C">
        <w:rPr>
          <w:bCs/>
          <w:color w:val="002060"/>
          <w:sz w:val="16"/>
          <w:szCs w:val="16"/>
        </w:rPr>
        <w:t>12 (25) августа 1914 г. командир 20-го корпусного авиаотряда подъесаул В.М.Ткачев, производя воздушную разведку в районе Люблин-Юзефов-Боров, проник в тыл противника и обнаружил обход неприятельским корпусом правого фланга 4-й армии. При возвращении Ткачев был обстрелян неприятельскими войсками, в результате чего был пробит масляный бак мотора. Заткнув ногами пробоину и управляя только ручкой, Ткачев до</w:t>
      </w:r>
      <w:r w:rsidRPr="00DE096C">
        <w:rPr>
          <w:bCs/>
          <w:color w:val="002060"/>
          <w:sz w:val="16"/>
          <w:szCs w:val="16"/>
        </w:rPr>
        <w:softHyphen/>
        <w:t>тянул до расположения своих войск и вовремя доставил ценные сведения, чем спас положение 4-й армии.</w:t>
      </w:r>
    </w:p>
    <w:p w14:paraId="0E15885E" w14:textId="77777777" w:rsidR="004C5BD8" w:rsidRPr="00DE096C" w:rsidRDefault="004C5BD8" w:rsidP="00D45A46">
      <w:pPr>
        <w:jc w:val="both"/>
        <w:rPr>
          <w:bCs/>
          <w:color w:val="002060"/>
          <w:sz w:val="16"/>
          <w:szCs w:val="16"/>
        </w:rPr>
      </w:pPr>
      <w:r w:rsidRPr="00DE096C">
        <w:rPr>
          <w:bCs/>
          <w:color w:val="002060"/>
          <w:sz w:val="16"/>
          <w:szCs w:val="16"/>
        </w:rPr>
        <w:t>/ЦГВИА, ф.493, оп. 3, Д. 129, Л. 58/ (23320).</w:t>
      </w:r>
    </w:p>
    <w:p w14:paraId="6B1D3BAA" w14:textId="77777777" w:rsidR="004C5BD8" w:rsidRPr="00DE096C" w:rsidRDefault="004C5BD8" w:rsidP="00D45A46">
      <w:pPr>
        <w:jc w:val="both"/>
        <w:rPr>
          <w:bCs/>
          <w:color w:val="002060"/>
          <w:sz w:val="16"/>
          <w:szCs w:val="16"/>
        </w:rPr>
      </w:pPr>
    </w:p>
    <w:p w14:paraId="70C06F34" w14:textId="3718C25A" w:rsidR="00E61531" w:rsidRPr="00DE096C" w:rsidRDefault="00E61531" w:rsidP="00D45A46">
      <w:pPr>
        <w:jc w:val="both"/>
        <w:rPr>
          <w:bCs/>
          <w:color w:val="002060"/>
          <w:sz w:val="16"/>
          <w:szCs w:val="16"/>
        </w:rPr>
      </w:pPr>
      <w:r w:rsidRPr="00DE096C">
        <w:rPr>
          <w:bCs/>
          <w:color w:val="002060"/>
          <w:sz w:val="16"/>
          <w:szCs w:val="16"/>
        </w:rPr>
        <w:t>12 (25) августа 1914 года подъесаул Вячеслав Ткачев произвел смелую и решительную воздушную разведку в районе Люблин — Бельжице — Ополе — Юзефов — Аннополь — Боров — Госцерадово — Уржендово — Красник — Люблин, проник в тыл и фланги неприятельского расположения и, несмотря на действительный огонь противника по аппарату, сопровождавший его в течение всего полета и повредивший жизненные части аппарата, с исключительной находчивостью, доблестным присутствием духа и беззаветным мужеством выполнил возложенную на него задачу по раскрытию сил и определению направления движения колонн противника, вовремя доставил добытые разведкой сведения первостепенной важности и тем способствовал принятию стратегических решений, приведших к одержанию решительного успеха над противником (11334).</w:t>
      </w:r>
    </w:p>
    <w:p w14:paraId="21771601" w14:textId="77777777" w:rsidR="00E61531" w:rsidRPr="00DE096C" w:rsidRDefault="00E61531" w:rsidP="00D45A46">
      <w:pPr>
        <w:shd w:val="clear" w:color="auto" w:fill="FFFFFF"/>
        <w:jc w:val="both"/>
        <w:rPr>
          <w:bCs/>
          <w:i/>
          <w:color w:val="002060"/>
          <w:sz w:val="16"/>
          <w:szCs w:val="16"/>
        </w:rPr>
      </w:pPr>
    </w:p>
    <w:p w14:paraId="1F813C65" w14:textId="77777777" w:rsidR="00B67D7C" w:rsidRPr="00DE096C" w:rsidRDefault="00B67D7C" w:rsidP="00D45A46">
      <w:pPr>
        <w:jc w:val="both"/>
        <w:rPr>
          <w:bCs/>
          <w:color w:val="002060"/>
          <w:sz w:val="16"/>
          <w:szCs w:val="16"/>
        </w:rPr>
      </w:pPr>
      <w:r w:rsidRPr="00DE096C">
        <w:rPr>
          <w:bCs/>
          <w:color w:val="002060"/>
          <w:sz w:val="16"/>
          <w:szCs w:val="16"/>
        </w:rPr>
        <w:t>12 (25) августа 1914 сообщалось уже о групповой разведке русских летчиков "в глубоком тылу противника". При этом упоминалось, что один из самолетов получил пробоину в бензиновом баке, но летчик заткнул пробоину ногой и сумел благополучно вернуться па свой аэродром. Далее сообщения о действиях авиации запестрели в сводках почти ежедневно (11055).</w:t>
      </w:r>
    </w:p>
    <w:p w14:paraId="3BF6A7F0" w14:textId="77777777" w:rsidR="00B67D7C" w:rsidRPr="00DE096C" w:rsidRDefault="00B67D7C" w:rsidP="00D45A46">
      <w:pPr>
        <w:shd w:val="clear" w:color="auto" w:fill="FFFFFF"/>
        <w:jc w:val="both"/>
        <w:rPr>
          <w:bCs/>
          <w:color w:val="002060"/>
          <w:sz w:val="16"/>
          <w:szCs w:val="16"/>
        </w:rPr>
      </w:pPr>
    </w:p>
    <w:p w14:paraId="14A1C28C" w14:textId="5EF8FD22" w:rsidR="0079538F" w:rsidRPr="00DE096C" w:rsidRDefault="00B67D7C" w:rsidP="00D45A46">
      <w:pPr>
        <w:jc w:val="both"/>
        <w:rPr>
          <w:bCs/>
          <w:color w:val="002060"/>
          <w:sz w:val="16"/>
          <w:szCs w:val="16"/>
        </w:rPr>
      </w:pPr>
      <w:r w:rsidRPr="00DE096C">
        <w:rPr>
          <w:bCs/>
          <w:color w:val="002060"/>
          <w:sz w:val="16"/>
          <w:szCs w:val="16"/>
        </w:rPr>
        <w:t xml:space="preserve">12 (25) августа </w:t>
      </w:r>
      <w:r w:rsidR="0079538F" w:rsidRPr="00DE096C">
        <w:rPr>
          <w:bCs/>
          <w:color w:val="002060"/>
          <w:sz w:val="16"/>
          <w:szCs w:val="16"/>
        </w:rPr>
        <w:t>1914, согласно воспоминаниям</w:t>
      </w:r>
      <w:r w:rsidR="00552299" w:rsidRPr="00DE096C">
        <w:rPr>
          <w:bCs/>
          <w:color w:val="002060"/>
          <w:sz w:val="16"/>
          <w:szCs w:val="16"/>
        </w:rPr>
        <w:t xml:space="preserve"> Ткачева</w:t>
      </w:r>
      <w:r w:rsidR="0079538F" w:rsidRPr="00DE096C">
        <w:rPr>
          <w:bCs/>
          <w:color w:val="002060"/>
          <w:sz w:val="16"/>
          <w:szCs w:val="16"/>
        </w:rPr>
        <w:t>:</w:t>
      </w:r>
    </w:p>
    <w:p w14:paraId="34A5F1BB" w14:textId="77777777" w:rsidR="0079538F" w:rsidRPr="00DE096C" w:rsidRDefault="0079538F" w:rsidP="00D45A46">
      <w:pPr>
        <w:jc w:val="both"/>
        <w:rPr>
          <w:bCs/>
          <w:color w:val="002060"/>
          <w:sz w:val="16"/>
          <w:szCs w:val="16"/>
        </w:rPr>
      </w:pPr>
      <w:r w:rsidRPr="00DE096C">
        <w:rPr>
          <w:bCs/>
          <w:color w:val="002060"/>
          <w:sz w:val="16"/>
          <w:szCs w:val="16"/>
        </w:rPr>
        <w:t xml:space="preserve">Три корпуса 4-й русской армии, натолкнувшись вблизи границы на превосходящие силы противника, вынуждены были после горячего боя откатиться на север. </w:t>
      </w:r>
    </w:p>
    <w:p w14:paraId="5D3751A6" w14:textId="77777777" w:rsidR="0079538F" w:rsidRPr="00DE096C" w:rsidRDefault="0079538F" w:rsidP="00D45A46">
      <w:pPr>
        <w:jc w:val="both"/>
        <w:rPr>
          <w:bCs/>
          <w:color w:val="002060"/>
          <w:sz w:val="16"/>
          <w:szCs w:val="16"/>
        </w:rPr>
      </w:pPr>
      <w:r w:rsidRPr="00DE096C">
        <w:rPr>
          <w:bCs/>
          <w:color w:val="002060"/>
          <w:sz w:val="16"/>
          <w:szCs w:val="16"/>
        </w:rPr>
        <w:t xml:space="preserve">В особенно тяжелое положение попал наш правофланговый 14-й корпус. Неприятель все время старался охватывать его правый фланг. </w:t>
      </w:r>
    </w:p>
    <w:p w14:paraId="54149506" w14:textId="2E44286B" w:rsidR="0079538F" w:rsidRPr="00DE096C" w:rsidRDefault="0079538F" w:rsidP="00D45A46">
      <w:pPr>
        <w:jc w:val="both"/>
        <w:rPr>
          <w:bCs/>
          <w:color w:val="002060"/>
          <w:sz w:val="16"/>
          <w:szCs w:val="16"/>
        </w:rPr>
      </w:pPr>
      <w:r w:rsidRPr="00DE096C">
        <w:rPr>
          <w:bCs/>
          <w:color w:val="002060"/>
          <w:sz w:val="16"/>
          <w:szCs w:val="16"/>
        </w:rPr>
        <w:t>20-й корпусный авиационный отряд ежедневно освещал три направления перед фронтом армии. Моим незаменимым помощником в производстве воздушных разведок был поручик Головатенко.</w:t>
      </w:r>
    </w:p>
    <w:p w14:paraId="312ED3B7" w14:textId="3186742E" w:rsidR="00B67D7C" w:rsidRPr="00DE096C" w:rsidRDefault="0079538F" w:rsidP="00D45A46">
      <w:pPr>
        <w:jc w:val="both"/>
        <w:rPr>
          <w:bCs/>
          <w:color w:val="002060"/>
          <w:sz w:val="16"/>
          <w:szCs w:val="16"/>
        </w:rPr>
      </w:pPr>
      <w:r w:rsidRPr="00DE096C">
        <w:rPr>
          <w:bCs/>
          <w:color w:val="002060"/>
          <w:sz w:val="16"/>
          <w:szCs w:val="16"/>
        </w:rPr>
        <w:t>Л</w:t>
      </w:r>
      <w:r w:rsidR="00B67D7C" w:rsidRPr="00DE096C">
        <w:rPr>
          <w:bCs/>
          <w:color w:val="002060"/>
          <w:sz w:val="16"/>
          <w:szCs w:val="16"/>
        </w:rPr>
        <w:t xml:space="preserve">ично я получил от генерал-квартирмейстера специальную задачу: «Обследовать возможно тщательнее, что происходит против почти 50-верстного промежутка между правым флангом нашей 4-й армии и рекой Вислой, где находится слабый отряд и две кавалерийские дивизии генерала Новикова». </w:t>
      </w:r>
    </w:p>
    <w:p w14:paraId="6C7CEFCA" w14:textId="77777777" w:rsidR="00B67D7C" w:rsidRPr="00DE096C" w:rsidRDefault="00B67D7C" w:rsidP="00D45A46">
      <w:pPr>
        <w:jc w:val="both"/>
        <w:rPr>
          <w:bCs/>
          <w:color w:val="002060"/>
          <w:sz w:val="16"/>
          <w:szCs w:val="16"/>
        </w:rPr>
      </w:pPr>
      <w:r w:rsidRPr="00DE096C">
        <w:rPr>
          <w:bCs/>
          <w:color w:val="002060"/>
          <w:sz w:val="16"/>
          <w:szCs w:val="16"/>
        </w:rPr>
        <w:t xml:space="preserve">В тот знаменательный для меня день, вернее утро, стояла прекрасная погода, что создавало исключительно благоприятные условия для разведки. Я летел на высоте 1000–1200 метров над шоссе, которое шло от интересующего штаб армии «промежутка» в сторону Сандомира, находившегося в глубоком тылу противника. </w:t>
      </w:r>
    </w:p>
    <w:p w14:paraId="10081032" w14:textId="77777777" w:rsidR="00B67D7C" w:rsidRPr="00DE096C" w:rsidRDefault="00B67D7C" w:rsidP="00D45A46">
      <w:pPr>
        <w:jc w:val="both"/>
        <w:rPr>
          <w:bCs/>
          <w:color w:val="002060"/>
          <w:sz w:val="16"/>
          <w:szCs w:val="16"/>
        </w:rPr>
      </w:pPr>
      <w:r w:rsidRPr="00DE096C">
        <w:rPr>
          <w:bCs/>
          <w:color w:val="002060"/>
          <w:sz w:val="16"/>
          <w:szCs w:val="16"/>
        </w:rPr>
        <w:t xml:space="preserve">Углубившись за линию фронта нашей армии, я заметил на белой, сверкающей на солнце ленте дороги передовые части противника, затем главные силы... </w:t>
      </w:r>
    </w:p>
    <w:p w14:paraId="206212BA" w14:textId="77777777" w:rsidR="00B67D7C" w:rsidRPr="00DE096C" w:rsidRDefault="00B67D7C" w:rsidP="00D45A46">
      <w:pPr>
        <w:jc w:val="both"/>
        <w:rPr>
          <w:bCs/>
          <w:color w:val="002060"/>
          <w:sz w:val="16"/>
          <w:szCs w:val="16"/>
        </w:rPr>
      </w:pPr>
      <w:r w:rsidRPr="00DE096C">
        <w:rPr>
          <w:bCs/>
          <w:color w:val="002060"/>
          <w:sz w:val="16"/>
          <w:szCs w:val="16"/>
        </w:rPr>
        <w:t xml:space="preserve">На несколько десятков километров протянулась бесконечная лента двигавшихся по шоссе неприятельской пехоты и артиллерии... Наконец колонны войск остались позади, но мне хотелось убедиться, [273] нет ли еще колонн дальше, и я продолжал путь в глубь неприятельского тыла. </w:t>
      </w:r>
    </w:p>
    <w:p w14:paraId="6D7524C3" w14:textId="77777777" w:rsidR="00B67D7C" w:rsidRPr="00DE096C" w:rsidRDefault="00B67D7C" w:rsidP="00D45A46">
      <w:pPr>
        <w:jc w:val="both"/>
        <w:rPr>
          <w:bCs/>
          <w:color w:val="002060"/>
          <w:sz w:val="16"/>
          <w:szCs w:val="16"/>
        </w:rPr>
      </w:pPr>
      <w:r w:rsidRPr="00DE096C">
        <w:rPr>
          <w:bCs/>
          <w:color w:val="002060"/>
          <w:sz w:val="16"/>
          <w:szCs w:val="16"/>
        </w:rPr>
        <w:t xml:space="preserve">Минут через десять на дороге снова появилась длинная кишка, но уже не войск, а сплошных обозов, наблюдая которые я почти долетел до Сандомира. </w:t>
      </w:r>
    </w:p>
    <w:p w14:paraId="421039B6" w14:textId="77777777" w:rsidR="00B67D7C" w:rsidRPr="00DE096C" w:rsidRDefault="00B67D7C" w:rsidP="00D45A46">
      <w:pPr>
        <w:jc w:val="both"/>
        <w:rPr>
          <w:bCs/>
          <w:color w:val="002060"/>
          <w:sz w:val="16"/>
          <w:szCs w:val="16"/>
        </w:rPr>
      </w:pPr>
      <w:r w:rsidRPr="00DE096C">
        <w:rPr>
          <w:bCs/>
          <w:color w:val="002060"/>
          <w:sz w:val="16"/>
          <w:szCs w:val="16"/>
        </w:rPr>
        <w:t xml:space="preserve">Выяснив обстановку против интересующего штаб армии промежутка и собрав исключительной важности сведения о неприятеле, я возвращался домой. И тут мне пришла мысль взглянуть еще, что делается на нашем правом фланге — под Красником. </w:t>
      </w:r>
    </w:p>
    <w:p w14:paraId="0382D21D" w14:textId="77777777" w:rsidR="00B67D7C" w:rsidRPr="00DE096C" w:rsidRDefault="00B67D7C" w:rsidP="00D45A46">
      <w:pPr>
        <w:jc w:val="both"/>
        <w:rPr>
          <w:bCs/>
          <w:color w:val="002060"/>
          <w:sz w:val="16"/>
          <w:szCs w:val="16"/>
        </w:rPr>
      </w:pPr>
      <w:r w:rsidRPr="00DE096C">
        <w:rPr>
          <w:bCs/>
          <w:color w:val="002060"/>
          <w:sz w:val="16"/>
          <w:szCs w:val="16"/>
        </w:rPr>
        <w:t xml:space="preserve">Еще издали, по артиллерийским разрывам, я заметил, что под Красником идет бой, а подлетев ближе, увидел бригаду неприятельской пехоты, выходящей в тыл и в обход правого фланга наших войск. </w:t>
      </w:r>
    </w:p>
    <w:p w14:paraId="4CC35197" w14:textId="77777777" w:rsidR="00B67D7C" w:rsidRPr="00DE096C" w:rsidRDefault="00B67D7C" w:rsidP="00D45A46">
      <w:pPr>
        <w:jc w:val="both"/>
        <w:rPr>
          <w:bCs/>
          <w:color w:val="002060"/>
          <w:sz w:val="16"/>
          <w:szCs w:val="16"/>
        </w:rPr>
      </w:pPr>
      <w:r w:rsidRPr="00DE096C">
        <w:rPr>
          <w:bCs/>
          <w:color w:val="002060"/>
          <w:sz w:val="16"/>
          <w:szCs w:val="16"/>
        </w:rPr>
        <w:t xml:space="preserve">Чтобы подробнее обследовать тактическую обстановку самого боя, я стал крутиться над районом Красника и делать на карте наброски расположения неприятельской артиллерии. В это время под крыльями почувствовался «горох», затем вдруг последовал сильнейший удар пуль по металлическим частям аэроплана... Из бака хлынула толстая струя касторового масла. Ротативный мотор «Гном» требовал обильной смазки, и я отлично понимал, что быстрая утечка масла создаст для меня серьезную угрозу, тем более что высота полета не достигала сейчас и 1000 метров. </w:t>
      </w:r>
    </w:p>
    <w:p w14:paraId="7C1DEA63" w14:textId="77777777" w:rsidR="00B67D7C" w:rsidRPr="00DE096C" w:rsidRDefault="00B67D7C" w:rsidP="00D45A46">
      <w:pPr>
        <w:jc w:val="both"/>
        <w:rPr>
          <w:bCs/>
          <w:color w:val="002060"/>
          <w:sz w:val="16"/>
          <w:szCs w:val="16"/>
        </w:rPr>
      </w:pPr>
      <w:r w:rsidRPr="00DE096C">
        <w:rPr>
          <w:bCs/>
          <w:color w:val="002060"/>
          <w:sz w:val="16"/>
          <w:szCs w:val="16"/>
        </w:rPr>
        <w:t xml:space="preserve">«Неужели плен?!» — мгновенно промелькнуло у меня в голове, и я почувствовал, как от этой мысли сжалось сердце. </w:t>
      </w:r>
    </w:p>
    <w:p w14:paraId="22B5E4AF" w14:textId="77777777" w:rsidR="00B67D7C" w:rsidRPr="00DE096C" w:rsidRDefault="00B67D7C" w:rsidP="00D45A46">
      <w:pPr>
        <w:jc w:val="both"/>
        <w:rPr>
          <w:bCs/>
          <w:color w:val="002060"/>
          <w:sz w:val="16"/>
          <w:szCs w:val="16"/>
        </w:rPr>
      </w:pPr>
      <w:r w:rsidRPr="00DE096C">
        <w:rPr>
          <w:bCs/>
          <w:color w:val="002060"/>
          <w:sz w:val="16"/>
          <w:szCs w:val="16"/>
        </w:rPr>
        <w:t xml:space="preserve">Быстро окинув взглядом окружавшую местность, я подумал: «Не сесть ли мне на лес, и если посадка закончится благополучно, то ночью пробраться к своим!» </w:t>
      </w:r>
    </w:p>
    <w:p w14:paraId="3712C5D9" w14:textId="77777777" w:rsidR="00B67D7C" w:rsidRPr="00DE096C" w:rsidRDefault="00B67D7C" w:rsidP="00D45A46">
      <w:pPr>
        <w:jc w:val="both"/>
        <w:rPr>
          <w:bCs/>
          <w:color w:val="002060"/>
          <w:sz w:val="16"/>
          <w:szCs w:val="16"/>
        </w:rPr>
      </w:pPr>
      <w:r w:rsidRPr="00DE096C">
        <w:rPr>
          <w:bCs/>
          <w:color w:val="002060"/>
          <w:sz w:val="16"/>
          <w:szCs w:val="16"/>
        </w:rPr>
        <w:t xml:space="preserve">Однако я тут же отверг это решение и принял другое: с любым риском, но дотянуть до своих и доставить как можно скорее собранные мною сведения! Взяв направление к нашим позициям, я бросил управление ногами, поднял их кверху и носком правого ботинка прикрыл снизу зияющую дыру в баке, чем приостановил буйную утечку масла. В таком положении я дотянул до своих позиций и спустился на полянку, прикрытую кустарником от наблюдения неприятельской артиллерии. </w:t>
      </w:r>
    </w:p>
    <w:p w14:paraId="663CD91E" w14:textId="77777777" w:rsidR="00B67D7C" w:rsidRPr="00DE096C" w:rsidRDefault="00B67D7C" w:rsidP="00D45A46">
      <w:pPr>
        <w:jc w:val="both"/>
        <w:rPr>
          <w:bCs/>
          <w:color w:val="002060"/>
          <w:sz w:val="16"/>
          <w:szCs w:val="16"/>
        </w:rPr>
      </w:pPr>
      <w:r w:rsidRPr="00DE096C">
        <w:rPr>
          <w:bCs/>
          <w:color w:val="002060"/>
          <w:sz w:val="16"/>
          <w:szCs w:val="16"/>
        </w:rPr>
        <w:t xml:space="preserve">Наши цепи отходили... </w:t>
      </w:r>
    </w:p>
    <w:p w14:paraId="47623215" w14:textId="77777777" w:rsidR="00B67D7C" w:rsidRPr="00DE096C" w:rsidRDefault="00B67D7C" w:rsidP="00D45A46">
      <w:pPr>
        <w:jc w:val="both"/>
        <w:rPr>
          <w:bCs/>
          <w:color w:val="002060"/>
          <w:sz w:val="16"/>
          <w:szCs w:val="16"/>
        </w:rPr>
      </w:pPr>
      <w:r w:rsidRPr="00DE096C">
        <w:rPr>
          <w:bCs/>
          <w:color w:val="002060"/>
          <w:sz w:val="16"/>
          <w:szCs w:val="16"/>
        </w:rPr>
        <w:t xml:space="preserve">Возник вопрос: где, кому передать собранные мною важные сведения ?!. </w:t>
      </w:r>
    </w:p>
    <w:p w14:paraId="1D2835D5" w14:textId="77777777" w:rsidR="00B67D7C" w:rsidRPr="00DE096C" w:rsidRDefault="00B67D7C" w:rsidP="00D45A46">
      <w:pPr>
        <w:jc w:val="both"/>
        <w:rPr>
          <w:bCs/>
          <w:color w:val="002060"/>
          <w:sz w:val="16"/>
          <w:szCs w:val="16"/>
        </w:rPr>
      </w:pPr>
      <w:r w:rsidRPr="00DE096C">
        <w:rPr>
          <w:bCs/>
          <w:color w:val="002060"/>
          <w:sz w:val="16"/>
          <w:szCs w:val="16"/>
        </w:rPr>
        <w:t xml:space="preserve">Никто ничем в этом отношении помочь мне не мог. В тот момент меня охватило одно стремление — спасти во что бы то ни стало аэроплан, не дать трофей в руки наседавшего неприятеля... [274] </w:t>
      </w:r>
    </w:p>
    <w:p w14:paraId="2AA5FCEE" w14:textId="77777777" w:rsidR="00B67D7C" w:rsidRPr="00DE096C" w:rsidRDefault="00B67D7C" w:rsidP="00D45A46">
      <w:pPr>
        <w:jc w:val="both"/>
        <w:rPr>
          <w:bCs/>
          <w:color w:val="002060"/>
          <w:sz w:val="16"/>
          <w:szCs w:val="16"/>
        </w:rPr>
      </w:pPr>
      <w:r w:rsidRPr="00DE096C">
        <w:rPr>
          <w:bCs/>
          <w:color w:val="002060"/>
          <w:sz w:val="16"/>
          <w:szCs w:val="16"/>
        </w:rPr>
        <w:t xml:space="preserve">Сзади нажимала австрийская пехота, а сбоку, где-то из-за леса, открыла огонь артиллерия той бригады противника, которую я наблюдал с аэроплана, подлетая к Краснику. </w:t>
      </w:r>
    </w:p>
    <w:p w14:paraId="3CE4F40D" w14:textId="77777777" w:rsidR="00B67D7C" w:rsidRPr="00DE096C" w:rsidRDefault="00B67D7C" w:rsidP="00D45A46">
      <w:pPr>
        <w:jc w:val="both"/>
        <w:rPr>
          <w:bCs/>
          <w:color w:val="002060"/>
          <w:sz w:val="16"/>
          <w:szCs w:val="16"/>
        </w:rPr>
      </w:pPr>
      <w:r w:rsidRPr="00DE096C">
        <w:rPr>
          <w:bCs/>
          <w:color w:val="002060"/>
          <w:sz w:val="16"/>
          <w:szCs w:val="16"/>
        </w:rPr>
        <w:t xml:space="preserve">С большим трудом я собрал необходимую «тягу» для аэроплана, так как наши пехотинцы не хотели признавать меня (одетого в кожаную куртку и в кожаные штаны и в каске) за русского офицера. Да и никому не хотелось возиться с какой-то подстреленной машиной, когда сзади и сбоку наседал противник. </w:t>
      </w:r>
    </w:p>
    <w:p w14:paraId="36737C67" w14:textId="77777777" w:rsidR="00B67D7C" w:rsidRPr="00DE096C" w:rsidRDefault="00B67D7C" w:rsidP="00D45A46">
      <w:pPr>
        <w:jc w:val="both"/>
        <w:rPr>
          <w:bCs/>
          <w:color w:val="002060"/>
          <w:sz w:val="16"/>
          <w:szCs w:val="16"/>
        </w:rPr>
      </w:pPr>
      <w:r w:rsidRPr="00DE096C">
        <w:rPr>
          <w:bCs/>
          <w:color w:val="002060"/>
          <w:sz w:val="16"/>
          <w:szCs w:val="16"/>
        </w:rPr>
        <w:t xml:space="preserve">И все же солдаты вытянули мой «Ньюпор» на шоссе и привязали его хвостом к отступающей патронной двуколке. </w:t>
      </w:r>
    </w:p>
    <w:p w14:paraId="0778418E" w14:textId="77777777" w:rsidR="00B67D7C" w:rsidRPr="00DE096C" w:rsidRDefault="00B67D7C" w:rsidP="00D45A46">
      <w:pPr>
        <w:jc w:val="both"/>
        <w:rPr>
          <w:bCs/>
          <w:color w:val="002060"/>
          <w:sz w:val="16"/>
          <w:szCs w:val="16"/>
        </w:rPr>
      </w:pPr>
      <w:r w:rsidRPr="00DE096C">
        <w:rPr>
          <w:bCs/>
          <w:color w:val="002060"/>
          <w:sz w:val="16"/>
          <w:szCs w:val="16"/>
        </w:rPr>
        <w:t xml:space="preserve">Примерно через два часа я был со своим аэропланом в деревне Вильколаз, уже охваченной с юга стрелковыми окопами... Здесь я застал штаб одной из дивизии 14-го корпуса и немедленно доложил начальнику этой дивизии результаты разведки. </w:t>
      </w:r>
    </w:p>
    <w:p w14:paraId="2B7798AA" w14:textId="77777777" w:rsidR="00B67D7C" w:rsidRPr="00DE096C" w:rsidRDefault="00B67D7C" w:rsidP="00D45A46">
      <w:pPr>
        <w:jc w:val="both"/>
        <w:rPr>
          <w:bCs/>
          <w:color w:val="002060"/>
          <w:sz w:val="16"/>
          <w:szCs w:val="16"/>
        </w:rPr>
      </w:pPr>
      <w:r w:rsidRPr="00DE096C">
        <w:rPr>
          <w:bCs/>
          <w:color w:val="002060"/>
          <w:sz w:val="16"/>
          <w:szCs w:val="16"/>
        </w:rPr>
        <w:t xml:space="preserve">— Большое вам, горячее русское спасибо, — сердечно поблагодарил меня генерал, — ведь вы своей разведкой предупредили на несколько дней вперед о надвигающейся страшной угрозе правому флангу нашей армии, а тем самым спасаете общее положение Юго-Западного фронта. </w:t>
      </w:r>
    </w:p>
    <w:p w14:paraId="26286E74" w14:textId="77777777" w:rsidR="00B67D7C" w:rsidRPr="00DE096C" w:rsidRDefault="00B67D7C" w:rsidP="00D45A46">
      <w:pPr>
        <w:jc w:val="both"/>
        <w:rPr>
          <w:bCs/>
          <w:color w:val="002060"/>
          <w:sz w:val="16"/>
          <w:szCs w:val="16"/>
        </w:rPr>
      </w:pPr>
      <w:r w:rsidRPr="00DE096C">
        <w:rPr>
          <w:bCs/>
          <w:color w:val="002060"/>
          <w:sz w:val="16"/>
          <w:szCs w:val="16"/>
        </w:rPr>
        <w:t xml:space="preserve">Вскоре по моей просьбе была установлена прямая связь с Люблином. Я сделал начальнику разведывательного отделения штаба армии доклад о моей разведке и попросил выслать отрядный легковой автомобиль и штабной грузовик с мотористами. </w:t>
      </w:r>
    </w:p>
    <w:p w14:paraId="7822108F" w14:textId="77777777" w:rsidR="00B67D7C" w:rsidRPr="00DE096C" w:rsidRDefault="00B67D7C" w:rsidP="00D45A46">
      <w:pPr>
        <w:jc w:val="both"/>
        <w:rPr>
          <w:bCs/>
          <w:color w:val="002060"/>
          <w:sz w:val="16"/>
          <w:szCs w:val="16"/>
        </w:rPr>
      </w:pPr>
      <w:r w:rsidRPr="00DE096C">
        <w:rPr>
          <w:bCs/>
          <w:color w:val="002060"/>
          <w:sz w:val="16"/>
          <w:szCs w:val="16"/>
        </w:rPr>
        <w:t xml:space="preserve">Подъехали автомобили. </w:t>
      </w:r>
    </w:p>
    <w:p w14:paraId="4DE23589" w14:textId="77777777" w:rsidR="00B67D7C" w:rsidRPr="00DE096C" w:rsidRDefault="00B67D7C" w:rsidP="00D45A46">
      <w:pPr>
        <w:jc w:val="both"/>
        <w:rPr>
          <w:bCs/>
          <w:color w:val="002060"/>
          <w:sz w:val="16"/>
          <w:szCs w:val="16"/>
        </w:rPr>
      </w:pPr>
      <w:r w:rsidRPr="00DE096C">
        <w:rPr>
          <w:bCs/>
          <w:color w:val="002060"/>
          <w:sz w:val="16"/>
          <w:szCs w:val="16"/>
        </w:rPr>
        <w:t xml:space="preserve">Приятно было видеть, как лица всех солдат, особенно Косткина и Мороховского, озарились радостными улыбками. </w:t>
      </w:r>
    </w:p>
    <w:p w14:paraId="7A2C9EB6" w14:textId="77777777" w:rsidR="00B67D7C" w:rsidRPr="00DE096C" w:rsidRDefault="00B67D7C" w:rsidP="00D45A46">
      <w:pPr>
        <w:jc w:val="both"/>
        <w:rPr>
          <w:bCs/>
          <w:color w:val="002060"/>
          <w:sz w:val="16"/>
          <w:szCs w:val="16"/>
        </w:rPr>
      </w:pPr>
      <w:r w:rsidRPr="00DE096C">
        <w:rPr>
          <w:bCs/>
          <w:color w:val="002060"/>
          <w:sz w:val="16"/>
          <w:szCs w:val="16"/>
        </w:rPr>
        <w:t xml:space="preserve">— Ваше высокоблагородие, живы, невредимы?! </w:t>
      </w:r>
    </w:p>
    <w:p w14:paraId="1CD19312" w14:textId="77777777" w:rsidR="00B67D7C" w:rsidRPr="00DE096C" w:rsidRDefault="00B67D7C" w:rsidP="00D45A46">
      <w:pPr>
        <w:jc w:val="both"/>
        <w:rPr>
          <w:bCs/>
          <w:color w:val="002060"/>
          <w:sz w:val="16"/>
          <w:szCs w:val="16"/>
        </w:rPr>
      </w:pPr>
      <w:r w:rsidRPr="00DE096C">
        <w:rPr>
          <w:bCs/>
          <w:color w:val="002060"/>
          <w:sz w:val="16"/>
          <w:szCs w:val="16"/>
        </w:rPr>
        <w:t xml:space="preserve">— Все в порядке, братцы, — весело ответил я им. — Вот только аэроплан пострадал. </w:t>
      </w:r>
    </w:p>
    <w:p w14:paraId="2F03E332" w14:textId="77777777" w:rsidR="00B67D7C" w:rsidRPr="00DE096C" w:rsidRDefault="00B67D7C" w:rsidP="00D45A46">
      <w:pPr>
        <w:jc w:val="both"/>
        <w:rPr>
          <w:bCs/>
          <w:color w:val="002060"/>
          <w:sz w:val="16"/>
          <w:szCs w:val="16"/>
        </w:rPr>
      </w:pPr>
      <w:r w:rsidRPr="00DE096C">
        <w:rPr>
          <w:bCs/>
          <w:color w:val="002060"/>
          <w:sz w:val="16"/>
          <w:szCs w:val="16"/>
        </w:rPr>
        <w:t xml:space="preserve">Отдав распоряжение о доставке аэроплана на аэродром, я выехал на легковом автомобиле для спешного доклада командованию армии. </w:t>
      </w:r>
    </w:p>
    <w:p w14:paraId="432FBDD8" w14:textId="77777777" w:rsidR="00B67D7C" w:rsidRPr="00DE096C" w:rsidRDefault="00B67D7C" w:rsidP="00D45A46">
      <w:pPr>
        <w:jc w:val="both"/>
        <w:rPr>
          <w:bCs/>
          <w:color w:val="002060"/>
          <w:sz w:val="16"/>
          <w:szCs w:val="16"/>
        </w:rPr>
      </w:pPr>
      <w:r w:rsidRPr="00DE096C">
        <w:rPr>
          <w:bCs/>
          <w:color w:val="002060"/>
          <w:sz w:val="16"/>
          <w:szCs w:val="16"/>
        </w:rPr>
        <w:t xml:space="preserve">— Ну, Вячеслав, твоя сегодняшняя разведка настоящая сенсация! — расцеловал меня офицер — ординарец штаба армии, мой однокашник по кадетскому корпусу. И сообщил мне по секрету: — Я слышал, брат, что тебя представляют к высшей награде! </w:t>
      </w:r>
    </w:p>
    <w:p w14:paraId="1992E8A7" w14:textId="77777777" w:rsidR="00B67D7C" w:rsidRPr="00DE096C" w:rsidRDefault="00B67D7C" w:rsidP="00D45A46">
      <w:pPr>
        <w:jc w:val="both"/>
        <w:rPr>
          <w:bCs/>
          <w:color w:val="002060"/>
          <w:sz w:val="16"/>
          <w:szCs w:val="16"/>
        </w:rPr>
      </w:pPr>
      <w:r w:rsidRPr="00DE096C">
        <w:rPr>
          <w:bCs/>
          <w:color w:val="002060"/>
          <w:sz w:val="16"/>
          <w:szCs w:val="16"/>
        </w:rPr>
        <w:t xml:space="preserve">Воспитанный в коллективе (в пансионате кадетского корпуса и артиллерийского училища), я встретил эту новость довольно равнодушно, так как в нашей товарищеской среде ни честолюбие, ни карьеризм не были в почете, к тому же я тогда точно и не понимал, что значит «высшая награда». [275] </w:t>
      </w:r>
    </w:p>
    <w:p w14:paraId="33F418B3" w14:textId="77777777" w:rsidR="00B67D7C" w:rsidRPr="00DE096C" w:rsidRDefault="00B67D7C" w:rsidP="00D45A46">
      <w:pPr>
        <w:jc w:val="both"/>
        <w:rPr>
          <w:bCs/>
          <w:color w:val="002060"/>
          <w:sz w:val="16"/>
          <w:szCs w:val="16"/>
        </w:rPr>
      </w:pPr>
      <w:r w:rsidRPr="00DE096C">
        <w:rPr>
          <w:bCs/>
          <w:color w:val="002060"/>
          <w:sz w:val="16"/>
          <w:szCs w:val="16"/>
        </w:rPr>
        <w:t xml:space="preserve">Генерал Попов от души поблагодарил меня за добытые мною сведения о противнике и за способ их доставки. Он повел меня к начальнику штаба генералу Гутору. С ним мы все вошли в кабинет командующего армией, где нас встретил уже не Зальц, а сменивший его генерал Эверт, массивный, внушительного вида мужчина с рыжеватой окладистой бородой. Он крепко пожал мне руку и сказал: </w:t>
      </w:r>
    </w:p>
    <w:p w14:paraId="36645030" w14:textId="77777777" w:rsidR="00B67D7C" w:rsidRPr="00DE096C" w:rsidRDefault="00B67D7C" w:rsidP="00D45A46">
      <w:pPr>
        <w:jc w:val="both"/>
        <w:rPr>
          <w:bCs/>
          <w:color w:val="002060"/>
          <w:sz w:val="16"/>
          <w:szCs w:val="16"/>
        </w:rPr>
      </w:pPr>
      <w:r w:rsidRPr="00DE096C">
        <w:rPr>
          <w:bCs/>
          <w:color w:val="002060"/>
          <w:sz w:val="16"/>
          <w:szCs w:val="16"/>
        </w:rPr>
        <w:t xml:space="preserve">— Ну, воздушный разведчик, поздравляю и искренне благодарю! Вы спасаете наше положение. </w:t>
      </w:r>
    </w:p>
    <w:p w14:paraId="41650E04" w14:textId="77777777" w:rsidR="00B67D7C" w:rsidRPr="00DE096C" w:rsidRDefault="00B67D7C" w:rsidP="00D45A46">
      <w:pPr>
        <w:jc w:val="both"/>
        <w:rPr>
          <w:bCs/>
          <w:color w:val="002060"/>
          <w:sz w:val="16"/>
          <w:szCs w:val="16"/>
        </w:rPr>
      </w:pPr>
      <w:r w:rsidRPr="00DE096C">
        <w:rPr>
          <w:bCs/>
          <w:color w:val="002060"/>
          <w:sz w:val="16"/>
          <w:szCs w:val="16"/>
        </w:rPr>
        <w:t xml:space="preserve">По-видимому, еще в ночь на 13 августа Ставка получила сведения об обстановке на правом фланге Юго-Западного фронта и одновременно результаты моей разведки 12 августа, и Верховное командование отдало распоряжение о погрузке и переброске по железной дороге из-под Варшавы 1-го корпуса на юг для предотвращения обхода правого фланга 4-й армии, предпринятого неприятелем. </w:t>
      </w:r>
    </w:p>
    <w:p w14:paraId="5CD77B5B" w14:textId="77777777" w:rsidR="00B67D7C" w:rsidRPr="00DE096C" w:rsidRDefault="00B67D7C" w:rsidP="00D45A46">
      <w:pPr>
        <w:jc w:val="both"/>
        <w:rPr>
          <w:bCs/>
          <w:color w:val="002060"/>
          <w:sz w:val="16"/>
          <w:szCs w:val="16"/>
        </w:rPr>
      </w:pPr>
      <w:r w:rsidRPr="00DE096C">
        <w:rPr>
          <w:bCs/>
          <w:color w:val="002060"/>
          <w:sz w:val="16"/>
          <w:szCs w:val="16"/>
        </w:rPr>
        <w:t xml:space="preserve">Случай, произошедший со мной в бою под Красником — 12 августа, — был широко освещен в столичных газетах. Появилась даже специальная брошюрка с иллюстрацией. </w:t>
      </w:r>
    </w:p>
    <w:p w14:paraId="51A42BF9" w14:textId="77777777" w:rsidR="00B67D7C" w:rsidRPr="00DE096C" w:rsidRDefault="00B67D7C" w:rsidP="00D45A46">
      <w:pPr>
        <w:jc w:val="both"/>
        <w:rPr>
          <w:bCs/>
          <w:color w:val="002060"/>
          <w:sz w:val="16"/>
          <w:szCs w:val="16"/>
        </w:rPr>
      </w:pPr>
      <w:r w:rsidRPr="00DE096C">
        <w:rPr>
          <w:bCs/>
          <w:color w:val="002060"/>
          <w:sz w:val="16"/>
          <w:szCs w:val="16"/>
        </w:rPr>
        <w:t xml:space="preserve">ПТА (Петербургское телеграфное агентство) сообщило об этом случае за границу, и в немецкой газете «Берлинер тагеблат» появилась соответствующая заметка. А недавно, то есть сорок пять лет спустя, я получил письмо от незнакомого мне старого летчика, в котором он пишет: «Когда я в середине августа 1914 года читал в газетах о вашем подвиге, а немного позже и о бессмертном подвиге П. Н. Нестерова, я дал себе слово: «Эдгар, ты должен стать военным летчиком!» </w:t>
      </w:r>
    </w:p>
    <w:p w14:paraId="2237C819" w14:textId="77777777" w:rsidR="00B67D7C" w:rsidRPr="00DE096C" w:rsidRDefault="00B67D7C" w:rsidP="00D45A46">
      <w:pPr>
        <w:jc w:val="both"/>
        <w:rPr>
          <w:bCs/>
          <w:color w:val="002060"/>
          <w:sz w:val="16"/>
          <w:szCs w:val="16"/>
        </w:rPr>
      </w:pPr>
      <w:r w:rsidRPr="00DE096C">
        <w:rPr>
          <w:bCs/>
          <w:color w:val="002060"/>
          <w:sz w:val="16"/>
          <w:szCs w:val="16"/>
        </w:rPr>
        <w:t xml:space="preserve">Этот юный в то время энтузиаст, Э. И. Меос, уроженец города Тарту, окончил позже Гатчинскую авиационную школу, а в 1916 году французские школы в По и в Казо и был до конца Первой мировой войны достойным членом семьи французских героев воздуха — знаменитой эскадрильи «Аистов». </w:t>
      </w:r>
    </w:p>
    <w:p w14:paraId="51043C5A" w14:textId="77777777" w:rsidR="00B67D7C" w:rsidRPr="00DE096C" w:rsidRDefault="00B67D7C" w:rsidP="00D45A46">
      <w:pPr>
        <w:jc w:val="both"/>
        <w:rPr>
          <w:bCs/>
          <w:color w:val="002060"/>
          <w:sz w:val="16"/>
          <w:szCs w:val="16"/>
        </w:rPr>
      </w:pPr>
      <w:r w:rsidRPr="00DE096C">
        <w:rPr>
          <w:bCs/>
          <w:color w:val="002060"/>
          <w:sz w:val="16"/>
          <w:szCs w:val="16"/>
        </w:rPr>
        <w:t xml:space="preserve">Тогда же, в августе 1914 года, заведующий авиацией Юго-Западного фронта, Великий князь Александр Михайлович, послал кубанскому наказному атаману телеграмму следующего содержания: </w:t>
      </w:r>
    </w:p>
    <w:p w14:paraId="2A8C174C" w14:textId="77777777" w:rsidR="00B67D7C" w:rsidRPr="00DE096C" w:rsidRDefault="00B67D7C" w:rsidP="00D45A46">
      <w:pPr>
        <w:jc w:val="both"/>
        <w:rPr>
          <w:bCs/>
          <w:color w:val="002060"/>
          <w:sz w:val="16"/>
          <w:szCs w:val="16"/>
        </w:rPr>
      </w:pPr>
      <w:r w:rsidRPr="00DE096C">
        <w:rPr>
          <w:bCs/>
          <w:color w:val="002060"/>
          <w:sz w:val="16"/>
          <w:szCs w:val="16"/>
        </w:rPr>
        <w:t xml:space="preserve">«Счастлив сообщить, что сыны Кубани верны традициям своих предков — они покрывают себя боевой славой не только на земле, но и в воздухе!» </w:t>
      </w:r>
    </w:p>
    <w:p w14:paraId="5B6686D7" w14:textId="77777777" w:rsidR="00B67D7C" w:rsidRPr="00DE096C" w:rsidRDefault="00B67D7C" w:rsidP="00D45A46">
      <w:pPr>
        <w:jc w:val="both"/>
        <w:rPr>
          <w:bCs/>
          <w:color w:val="002060"/>
          <w:sz w:val="16"/>
          <w:szCs w:val="16"/>
        </w:rPr>
      </w:pPr>
      <w:r w:rsidRPr="00DE096C">
        <w:rPr>
          <w:bCs/>
          <w:color w:val="002060"/>
          <w:sz w:val="16"/>
          <w:szCs w:val="16"/>
        </w:rPr>
        <w:t xml:space="preserve">В конце 1914 года меня вызвали в штаб армии, где генерал Попов в присутствии командующего и начальника штаба мне объявил: </w:t>
      </w:r>
    </w:p>
    <w:p w14:paraId="074FC3D8" w14:textId="77777777" w:rsidR="00B67D7C" w:rsidRPr="00DE096C" w:rsidRDefault="00B67D7C" w:rsidP="00D45A46">
      <w:pPr>
        <w:jc w:val="both"/>
        <w:rPr>
          <w:bCs/>
          <w:color w:val="002060"/>
          <w:sz w:val="16"/>
          <w:szCs w:val="16"/>
        </w:rPr>
      </w:pPr>
      <w:r w:rsidRPr="00DE096C">
        <w:rPr>
          <w:bCs/>
          <w:color w:val="002060"/>
          <w:sz w:val="16"/>
          <w:szCs w:val="16"/>
        </w:rPr>
        <w:t xml:space="preserve">— Приказом армиям Юго-Западного фронта от 24 ноября 1914 года за № 290, по удостоении Георгиевской кавалерской думы, учрежденной [276] при штабе главнокомандующего армиями Юго-Западного фронта, вы награждены орденом Святого великомученика и победоносца Георгия 4-й степени. </w:t>
      </w:r>
    </w:p>
    <w:p w14:paraId="1A18F1DD" w14:textId="77777777" w:rsidR="00B67D7C" w:rsidRPr="00DE096C" w:rsidRDefault="00B67D7C" w:rsidP="00D45A46">
      <w:pPr>
        <w:jc w:val="both"/>
        <w:rPr>
          <w:bCs/>
          <w:color w:val="002060"/>
          <w:sz w:val="16"/>
          <w:szCs w:val="16"/>
        </w:rPr>
      </w:pPr>
      <w:r w:rsidRPr="00DE096C">
        <w:rPr>
          <w:bCs/>
          <w:color w:val="002060"/>
          <w:sz w:val="16"/>
          <w:szCs w:val="16"/>
        </w:rPr>
        <w:t xml:space="preserve">Генерал взял выписку из списка чинов, признанных достойными награждения этим орденом, и прочел: </w:t>
      </w:r>
    </w:p>
    <w:p w14:paraId="4A036E32" w14:textId="77777777" w:rsidR="00B67D7C" w:rsidRPr="00DE096C" w:rsidRDefault="00B67D7C" w:rsidP="00D45A46">
      <w:pPr>
        <w:jc w:val="both"/>
        <w:rPr>
          <w:bCs/>
          <w:color w:val="002060"/>
          <w:sz w:val="16"/>
          <w:szCs w:val="16"/>
        </w:rPr>
      </w:pPr>
      <w:r w:rsidRPr="00DE096C">
        <w:rPr>
          <w:bCs/>
          <w:color w:val="002060"/>
          <w:sz w:val="16"/>
          <w:szCs w:val="16"/>
        </w:rPr>
        <w:t xml:space="preserve">— «20-го корпусного авиационного отряда военному летчику подъесаулу Вячеславу Ткачеву за то, что 12 августа 1914 года произвел смелую и решительную воздушную разведку в районе: Люблин — Белжице — Ополе — Юзефов — Боров — Госцерадово — У ржендов — Красник, проник в тыл и фланги неприятельского расположения и, несмотря на действительный огонь противника, повредивший жизненные части аппарата, с исключительной находчивостью, доблестным присутствием духа и беззаветным мужеством выполнил возложенную на него задачу по раскрытию сил и определению направления движения колонны противника, вовремя доставил добытые разведкой сведения первостепенной важности и тем способствовал принятию стратегических решений, приведших к одержанию решительного успеха над противником». </w:t>
      </w:r>
    </w:p>
    <w:p w14:paraId="00A755E0" w14:textId="77777777" w:rsidR="00B67D7C" w:rsidRPr="00DE096C" w:rsidRDefault="00B67D7C" w:rsidP="00D45A46">
      <w:pPr>
        <w:jc w:val="both"/>
        <w:rPr>
          <w:bCs/>
          <w:color w:val="002060"/>
          <w:sz w:val="16"/>
          <w:szCs w:val="16"/>
        </w:rPr>
      </w:pPr>
      <w:r w:rsidRPr="00DE096C">
        <w:rPr>
          <w:bCs/>
          <w:color w:val="002060"/>
          <w:sz w:val="16"/>
          <w:szCs w:val="16"/>
        </w:rPr>
        <w:t xml:space="preserve">Командующий армией подошел ко мне, приколол на моей груди скромный, покрытый белой эмалью крестик, пожал мне руку и сказал: </w:t>
      </w:r>
    </w:p>
    <w:p w14:paraId="2E962075" w14:textId="77777777" w:rsidR="00B67D7C" w:rsidRPr="00DE096C" w:rsidRDefault="00B67D7C" w:rsidP="00D45A46">
      <w:pPr>
        <w:jc w:val="both"/>
        <w:rPr>
          <w:bCs/>
          <w:color w:val="002060"/>
          <w:sz w:val="16"/>
          <w:szCs w:val="16"/>
        </w:rPr>
      </w:pPr>
      <w:r w:rsidRPr="00DE096C">
        <w:rPr>
          <w:bCs/>
          <w:color w:val="002060"/>
          <w:sz w:val="16"/>
          <w:szCs w:val="16"/>
        </w:rPr>
        <w:t xml:space="preserve">— Поздравляю! Наша армия гордится, что в ее составе первый георгиевский кавалер авиации. </w:t>
      </w:r>
    </w:p>
    <w:p w14:paraId="5067F72E" w14:textId="77777777" w:rsidR="00B67D7C" w:rsidRPr="00DE096C" w:rsidRDefault="00B67D7C" w:rsidP="00D45A46">
      <w:pPr>
        <w:jc w:val="both"/>
        <w:rPr>
          <w:bCs/>
          <w:color w:val="002060"/>
          <w:sz w:val="16"/>
          <w:szCs w:val="16"/>
        </w:rPr>
      </w:pPr>
      <w:r w:rsidRPr="00DE096C">
        <w:rPr>
          <w:bCs/>
          <w:color w:val="002060"/>
          <w:sz w:val="16"/>
          <w:szCs w:val="16"/>
        </w:rPr>
        <w:t>После событий 12 августа, когда я приезжал для доклада и для получения новых заданий в штаб армии, меня встречал мой однокашник неизменной фразой: «Ты наше «Вечернее время», а генерал-квартирмейстер тотчас вел меня в кабинет командующего армией для личного доклада — такое серьезное значение придавалось теперь воздушной разведке (11334).</w:t>
      </w:r>
    </w:p>
    <w:p w14:paraId="3F827A69" w14:textId="77777777" w:rsidR="00B67D7C" w:rsidRPr="00DE096C" w:rsidRDefault="00B67D7C" w:rsidP="00D45A46">
      <w:pPr>
        <w:shd w:val="clear" w:color="auto" w:fill="FFFFFF"/>
        <w:jc w:val="both"/>
        <w:rPr>
          <w:bCs/>
          <w:i/>
          <w:color w:val="002060"/>
          <w:sz w:val="16"/>
          <w:szCs w:val="16"/>
        </w:rPr>
      </w:pPr>
    </w:p>
    <w:p w14:paraId="0B9EF673" w14:textId="77777777" w:rsidR="00B67D7C" w:rsidRPr="00DE096C" w:rsidRDefault="00B67D7C" w:rsidP="00D45A46">
      <w:pPr>
        <w:jc w:val="both"/>
        <w:rPr>
          <w:bCs/>
          <w:color w:val="002060"/>
          <w:sz w:val="16"/>
          <w:szCs w:val="16"/>
        </w:rPr>
      </w:pPr>
      <w:r w:rsidRPr="00DE096C">
        <w:rPr>
          <w:bCs/>
          <w:color w:val="002060"/>
          <w:sz w:val="16"/>
          <w:szCs w:val="16"/>
        </w:rPr>
        <w:lastRenderedPageBreak/>
        <w:t>12 (25) августа 1914 с русской стороны произведены два разведывательных полета: 9-й авиаотряд - в небольшом районе Буек, Красне, Глиняны (направление на Львов); 11-й авиаотряд - в районе Львова. Из рапорта Нестерову: "...По окончании разведки примерно в районе дер. Винники встретили неприятельский аэроплан системы Райт, поднявшийся навстречу из района восточнее Львова; от встречи с нами Райт уклонился, пролетев мимо на расстоянии около полуверсты; ввиду того, что мы везли ценные сведения, от сближения с противником на выстрел маузера пришлось отказаться... Поручик Рихтер. Поручик Передков..."</w:t>
      </w:r>
    </w:p>
    <w:p w14:paraId="6C614742" w14:textId="77777777" w:rsidR="00B67D7C" w:rsidRPr="00DE096C" w:rsidRDefault="00B67D7C" w:rsidP="00D45A46">
      <w:pPr>
        <w:jc w:val="both"/>
        <w:rPr>
          <w:bCs/>
          <w:color w:val="002060"/>
          <w:sz w:val="16"/>
          <w:szCs w:val="16"/>
        </w:rPr>
      </w:pPr>
      <w:r w:rsidRPr="00DE096C">
        <w:rPr>
          <w:bCs/>
          <w:color w:val="002060"/>
          <w:sz w:val="16"/>
          <w:szCs w:val="16"/>
        </w:rPr>
        <w:t>Из этого донесения видно, что у выполнявших разведку летчиков при встрече с аэропланом противника возникало естественное желание напасть на него. Однако сама возможность ведения воздушного поединка была еще настолько неопределенной, а средства борьбы настолько малоэффективными, что доводы разума перевешивали и принуждали пилотов отказываться от таких попыток.</w:t>
      </w:r>
    </w:p>
    <w:p w14:paraId="6AF792A1" w14:textId="77777777" w:rsidR="00B67D7C" w:rsidRPr="00DE096C" w:rsidRDefault="00B67D7C" w:rsidP="00D45A46">
      <w:pPr>
        <w:jc w:val="both"/>
        <w:rPr>
          <w:bCs/>
          <w:color w:val="002060"/>
          <w:sz w:val="16"/>
          <w:szCs w:val="16"/>
        </w:rPr>
      </w:pPr>
      <w:r w:rsidRPr="00DE096C">
        <w:rPr>
          <w:bCs/>
          <w:color w:val="002060"/>
          <w:sz w:val="16"/>
          <w:szCs w:val="16"/>
        </w:rPr>
        <w:t>Русские авиаторы снова отмечали продолжавшееся сосредоточение германских сил на левом фланге русской армии. Но и к этим сведениям отнеслись с недоверием, и прежде всего командир VI армейского корпуса, действовавшего на левом фланге (11999).</w:t>
      </w:r>
    </w:p>
    <w:p w14:paraId="36C11ACF" w14:textId="77777777" w:rsidR="00B67D7C" w:rsidRPr="00DE096C" w:rsidRDefault="00B67D7C" w:rsidP="00D45A46">
      <w:pPr>
        <w:jc w:val="both"/>
        <w:rPr>
          <w:bCs/>
          <w:color w:val="002060"/>
          <w:sz w:val="16"/>
          <w:szCs w:val="16"/>
        </w:rPr>
      </w:pPr>
    </w:p>
    <w:p w14:paraId="292E3577" w14:textId="40FFB041" w:rsidR="00B67D7C" w:rsidRPr="00DE096C" w:rsidRDefault="00B67D7C" w:rsidP="00D45A46">
      <w:pPr>
        <w:jc w:val="both"/>
        <w:rPr>
          <w:bCs/>
          <w:color w:val="002060"/>
          <w:sz w:val="16"/>
          <w:szCs w:val="16"/>
        </w:rPr>
      </w:pPr>
      <w:bookmarkStart w:id="127" w:name="_Hlk117238197"/>
      <w:r w:rsidRPr="00DE096C">
        <w:rPr>
          <w:bCs/>
          <w:color w:val="002060"/>
          <w:sz w:val="16"/>
          <w:szCs w:val="16"/>
        </w:rPr>
        <w:t>12</w:t>
      </w:r>
      <w:r w:rsidR="00552299" w:rsidRPr="00DE096C">
        <w:rPr>
          <w:bCs/>
          <w:color w:val="002060"/>
          <w:sz w:val="16"/>
          <w:szCs w:val="16"/>
        </w:rPr>
        <w:t xml:space="preserve"> (</w:t>
      </w:r>
      <w:r w:rsidRPr="00DE096C">
        <w:rPr>
          <w:bCs/>
          <w:color w:val="002060"/>
          <w:sz w:val="16"/>
          <w:szCs w:val="16"/>
        </w:rPr>
        <w:t>25</w:t>
      </w:r>
      <w:r w:rsidR="00552299" w:rsidRPr="00DE096C">
        <w:rPr>
          <w:bCs/>
          <w:color w:val="002060"/>
          <w:sz w:val="16"/>
          <w:szCs w:val="16"/>
        </w:rPr>
        <w:t>)</w:t>
      </w:r>
      <w:r w:rsidRPr="00DE096C">
        <w:rPr>
          <w:bCs/>
          <w:color w:val="002060"/>
          <w:sz w:val="16"/>
          <w:szCs w:val="16"/>
        </w:rPr>
        <w:t xml:space="preserve"> августа 1914 года состоялась первая встреча в воздухе пилотов враждующих сторон. Российские пилоты из состава 11-го авиаотряда поручик Передков и поручик-наблюдатель Рихтер, возвращаясь после воздушной разведки укреплений в окрестностях Львова, в районе Винник встретили австрийский военный аэроплан "Райт". Позднее россияне утверждали, что австрийский самолет поднялся с небольшого аэродрома в окрестностях Львова. Летчики разминулись на расстоянии полкилометра, не проявив никаких враждебных намерений. Когда в сентябре 1914 года российские войска подошли к Львову, город осмотрел командир 9-го авиаотряда, штабс-капитан Петр Нестеров. Весной 1915 года во Львов прибыли два крупных четырехмоторных самолета типа "Илья Муромец". Самолеты приземлились во Львове 14 и 15 мая 1915 года. Их разместили в обширном элинге для дирижаблей на Левандовском аэродроме. В июне 1915 года во Львов вновь вступили австрийские войска, и на Левандовке вновь разместилось австрийское авиационное поразделение. В 1917-18 годах, когда Львов оказался в глубоком тылу, подразделение на аэродроме "Левандовка" получило статус этапного авиационного парка № 4, в котором ремонтировали боевые самолеты. В конце марта 1918 года через Львов пролегла одна из первых в мире регклярных линий авиапочтовой связи, которая была создана австрийской армией. С 20 марта 1918 года она функционировала по маршруту Вена - Краков - Львов - Проскуров (ныне Хмельницкий) - Киев. Корреспонденцию, бандероли и иные отправления специальные курьеры доставляли львовянам уже через несколько часов после приземления самолетов. Авиалиния действовала регулярно и постоянно до 5 ноября 1918 года. Перелет начинался из Вены в 4 ч. 30 мин. утра, а заканчивался в Киеве в 17 ч. 30 мин. То есть, расстояние в 1200 километров преодолевалось за 13 часов, а не за двое суток, как на железнодорожном транспорте в то время (12298).</w:t>
      </w:r>
    </w:p>
    <w:p w14:paraId="6CC5EDE5" w14:textId="77777777" w:rsidR="00B67D7C" w:rsidRPr="00DE096C" w:rsidRDefault="00B67D7C" w:rsidP="00D45A46">
      <w:pPr>
        <w:jc w:val="both"/>
        <w:rPr>
          <w:bCs/>
          <w:color w:val="002060"/>
          <w:sz w:val="16"/>
          <w:szCs w:val="16"/>
        </w:rPr>
      </w:pPr>
    </w:p>
    <w:bookmarkEnd w:id="127"/>
    <w:p w14:paraId="3BAFCF54" w14:textId="77777777" w:rsidR="00463704" w:rsidRPr="00DE096C" w:rsidRDefault="00463704" w:rsidP="00D45A46">
      <w:pPr>
        <w:jc w:val="both"/>
        <w:rPr>
          <w:bCs/>
          <w:color w:val="002060"/>
          <w:sz w:val="16"/>
          <w:szCs w:val="16"/>
        </w:rPr>
      </w:pPr>
      <w:r w:rsidRPr="00DE096C">
        <w:rPr>
          <w:bCs/>
          <w:color w:val="002060"/>
          <w:sz w:val="16"/>
          <w:szCs w:val="16"/>
        </w:rPr>
        <w:t>12 (25) августа 1914 г. в ГВТУ прислали сообщение: "...в 7 часов вечера над пороховыми складами Охтинского порохового завода пролетал аэроплан, который был обстрелян часовыми, а потом караулом, стреляли много. С аэроплана сигнализировали что-то, и раздавались особые звуки. Аэроплан вскоре скрылся. Предполагается, что это аэроплан Сикорского. В деревянных частях найдено две застрявшие пули. Аэроплан летел на полигон Морского ведомства".</w:t>
      </w:r>
    </w:p>
    <w:p w14:paraId="62B1AE98" w14:textId="77777777" w:rsidR="00463704" w:rsidRPr="00DE096C" w:rsidRDefault="00463704" w:rsidP="00D45A46">
      <w:pPr>
        <w:jc w:val="both"/>
        <w:rPr>
          <w:bCs/>
          <w:color w:val="002060"/>
          <w:sz w:val="16"/>
          <w:szCs w:val="16"/>
        </w:rPr>
      </w:pPr>
      <w:r w:rsidRPr="00DE096C">
        <w:rPr>
          <w:bCs/>
          <w:color w:val="002060"/>
          <w:sz w:val="16"/>
          <w:szCs w:val="16"/>
        </w:rPr>
        <w:t xml:space="preserve">Чуть позже испытания орудия провели в присутствии военного министра генерала- адъютанта Сухомлинова. Штабс-капитан М.М. Чайковский, артиллерийский офицер "Муромца I", демонстрировавший пушку высокому гостю, смог попасть в деревянный ящик, установленный в качестве цели перед аэропланом. После выстрела Чайковского камни, бывшие в ящике, эффектно разлетелись. </w:t>
      </w:r>
    </w:p>
    <w:p w14:paraId="5583D855" w14:textId="77777777" w:rsidR="00463704" w:rsidRPr="00DE096C" w:rsidRDefault="00463704" w:rsidP="00D45A46">
      <w:pPr>
        <w:jc w:val="both"/>
        <w:rPr>
          <w:bCs/>
          <w:color w:val="002060"/>
          <w:sz w:val="16"/>
          <w:szCs w:val="16"/>
        </w:rPr>
      </w:pPr>
      <w:r w:rsidRPr="00DE096C">
        <w:rPr>
          <w:bCs/>
          <w:color w:val="002060"/>
          <w:sz w:val="16"/>
          <w:szCs w:val="16"/>
        </w:rPr>
        <w:t>Странно, но ни Казаков, ни Чайковский не пишут в своих воспоминаниях, почему орудие не стали использовать. Причина оказалась втом, что испытания были признаны неудовлетворительными: при весе в 96 килограмм и скорострельности 10 выстрелов в минуту пушка требовала для обслуживания двух человек - наводчика и подносчика снарядов, разлёт снарядов составлял 200-250 метров, что никого устроить не могло.</w:t>
      </w:r>
    </w:p>
    <w:p w14:paraId="3E0F09EC" w14:textId="77777777" w:rsidR="00463704" w:rsidRPr="00DE096C" w:rsidRDefault="00463704" w:rsidP="00D45A46">
      <w:pPr>
        <w:jc w:val="both"/>
        <w:rPr>
          <w:bCs/>
          <w:color w:val="002060"/>
          <w:sz w:val="16"/>
          <w:szCs w:val="16"/>
        </w:rPr>
      </w:pPr>
      <w:r w:rsidRPr="00DE096C">
        <w:rPr>
          <w:bCs/>
          <w:color w:val="002060"/>
          <w:sz w:val="16"/>
          <w:szCs w:val="16"/>
        </w:rPr>
        <w:t>Тем временем полным ходом шло доосна- щение первых трёх "Муромцев" для отправки на фронт. Первым был готов аэроплан Руднева, который утром 31 августа 1914 года после молебна и водосвятия улетел на Севе- ро-Западный фронт, направляясь в Белосток. Маршрут аппарата пролегал вдоль линии железной дороги с промежуточной посадкой в Двинске. Полёт должен был выполняться на максимально возможной высоте. Из-за сильного встречного ветра в 12 м/с, после 177 вёрст пути, Рудневу пришлось вынужденно сесть у станции Плюсса, при этом аэроплан получил незначительные повреждения. Механик РБВЗ, вызванный из Петрограда, смог отремонтировать "Муромец" и он 11 сентября благополучно совершил посадку в Двинске. В Белосток же Руднев прилетел только... 23 сентября, затратив на путь до места назначения 14 лётных часов и... 24 дня (12041).</w:t>
      </w:r>
    </w:p>
    <w:p w14:paraId="61FC82CA" w14:textId="77777777" w:rsidR="00463704" w:rsidRPr="00DE096C" w:rsidRDefault="00463704" w:rsidP="00D45A46">
      <w:pPr>
        <w:jc w:val="both"/>
        <w:rPr>
          <w:bCs/>
          <w:color w:val="002060"/>
          <w:sz w:val="16"/>
          <w:szCs w:val="16"/>
        </w:rPr>
      </w:pPr>
    </w:p>
    <w:p w14:paraId="79A977D8"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Морская авиация:</w:t>
      </w:r>
    </w:p>
    <w:p w14:paraId="756789C9" w14:textId="77777777" w:rsidR="00B67D7C" w:rsidRPr="00DE096C" w:rsidRDefault="00B67D7C" w:rsidP="00D45A46">
      <w:pPr>
        <w:shd w:val="clear" w:color="auto" w:fill="FFFFFF"/>
        <w:jc w:val="both"/>
        <w:rPr>
          <w:bCs/>
          <w:i/>
          <w:color w:val="002060"/>
          <w:sz w:val="16"/>
          <w:szCs w:val="16"/>
        </w:rPr>
      </w:pPr>
    </w:p>
    <w:p w14:paraId="201DC8A7" w14:textId="77777777" w:rsidR="00B67D7C" w:rsidRPr="00DE096C" w:rsidRDefault="00B67D7C" w:rsidP="00D45A46">
      <w:pPr>
        <w:jc w:val="both"/>
        <w:rPr>
          <w:bCs/>
          <w:color w:val="002060"/>
          <w:sz w:val="16"/>
          <w:szCs w:val="16"/>
        </w:rPr>
      </w:pPr>
      <w:r w:rsidRPr="00DE096C">
        <w:rPr>
          <w:bCs/>
          <w:color w:val="002060"/>
          <w:sz w:val="16"/>
          <w:szCs w:val="16"/>
        </w:rPr>
        <w:t>12 (25) августа Нагурский совершил третий полет. Ему была поставлена задача облететь Горбовы острова, остров Панкратьева и установить положение льдов. Эту задачу Нагурский выполнил за 20 минут, после чего опустился на место стоянки в губе Архангельской, там самолет был защищен от западных и северных ветров.</w:t>
      </w:r>
    </w:p>
    <w:p w14:paraId="31A7600C" w14:textId="77777777" w:rsidR="00B67D7C" w:rsidRPr="00DE096C" w:rsidRDefault="00B67D7C" w:rsidP="00D45A46">
      <w:pPr>
        <w:jc w:val="both"/>
        <w:rPr>
          <w:bCs/>
          <w:color w:val="002060"/>
          <w:sz w:val="16"/>
          <w:szCs w:val="16"/>
        </w:rPr>
      </w:pPr>
      <w:r w:rsidRPr="00DE096C">
        <w:rPr>
          <w:bCs/>
          <w:color w:val="002060"/>
          <w:sz w:val="16"/>
          <w:szCs w:val="16"/>
        </w:rPr>
        <w:t>В 9 часов того же дня Нагурский поднялся в воздух с капитаном «Андромеды» Г. Поспеловым. Им предстояло долететь до Русской гавани и осмотреть весь берег — нет ли там кого из членов пропавшей экспедиции.</w:t>
      </w:r>
    </w:p>
    <w:p w14:paraId="7D1C7ABB" w14:textId="77777777" w:rsidR="00B67D7C" w:rsidRPr="00DE096C" w:rsidRDefault="00B67D7C" w:rsidP="00D45A46">
      <w:pPr>
        <w:jc w:val="both"/>
        <w:rPr>
          <w:bCs/>
          <w:color w:val="002060"/>
          <w:sz w:val="16"/>
          <w:szCs w:val="16"/>
        </w:rPr>
      </w:pPr>
      <w:r w:rsidRPr="00DE096C">
        <w:rPr>
          <w:bCs/>
          <w:color w:val="002060"/>
          <w:sz w:val="16"/>
          <w:szCs w:val="16"/>
        </w:rPr>
        <w:t>Едва гидросамолет набрал высоту 500 метров и взял направление на мыс Нассау, как в двигателе послышался резкий стук. Летчик понял, что это поломка в моторе, и сразу стал планировать. С судна заметили случившееся и выслали шлюпки к месту вынужденной посадки гидросамолета.</w:t>
      </w:r>
    </w:p>
    <w:p w14:paraId="489D57FC" w14:textId="77777777" w:rsidR="00B67D7C" w:rsidRPr="00DE096C" w:rsidRDefault="00B67D7C" w:rsidP="00D45A46">
      <w:pPr>
        <w:jc w:val="both"/>
        <w:rPr>
          <w:bCs/>
          <w:color w:val="002060"/>
          <w:sz w:val="16"/>
          <w:szCs w:val="16"/>
        </w:rPr>
      </w:pPr>
      <w:r w:rsidRPr="00DE096C">
        <w:rPr>
          <w:bCs/>
          <w:color w:val="002060"/>
          <w:sz w:val="16"/>
          <w:szCs w:val="16"/>
        </w:rPr>
        <w:t>После разборки двигателя выяснилось, что сломался шатун третьего цилиндра и погнут главный вал. Поломка шатуна произошла по вине завода — не были зашплинтованы гайки.</w:t>
      </w:r>
    </w:p>
    <w:p w14:paraId="574548B8" w14:textId="77777777" w:rsidR="00B67D7C" w:rsidRPr="00DE096C" w:rsidRDefault="00B67D7C" w:rsidP="00D45A46">
      <w:pPr>
        <w:jc w:val="both"/>
        <w:rPr>
          <w:bCs/>
          <w:color w:val="002060"/>
          <w:sz w:val="16"/>
          <w:szCs w:val="16"/>
        </w:rPr>
      </w:pPr>
      <w:r w:rsidRPr="00DE096C">
        <w:rPr>
          <w:bCs/>
          <w:color w:val="002060"/>
          <w:sz w:val="16"/>
          <w:szCs w:val="16"/>
        </w:rPr>
        <w:t>19 августа с Земли Франца-Иосифа пришло судно «Герта», и от начальника экспедиции Ислямова Нагурский получил приказание: насколько возможно облететь пространство на запад и север от острова Панкратьева. Нужно было найти «Фоку», который вышел с мыса Флора и намеревался идти к Новой Земле.</w:t>
      </w:r>
    </w:p>
    <w:p w14:paraId="1803A372" w14:textId="77777777" w:rsidR="00B67D7C" w:rsidRPr="00DE096C" w:rsidRDefault="00B67D7C" w:rsidP="00D45A46">
      <w:pPr>
        <w:shd w:val="clear" w:color="auto" w:fill="FFFFFF"/>
        <w:jc w:val="both"/>
        <w:rPr>
          <w:bCs/>
          <w:i/>
          <w:color w:val="002060"/>
          <w:sz w:val="16"/>
          <w:szCs w:val="16"/>
        </w:rPr>
      </w:pPr>
    </w:p>
    <w:p w14:paraId="60005DFF" w14:textId="77777777" w:rsidR="00FF67EC" w:rsidRPr="00DE096C" w:rsidRDefault="00FF67EC" w:rsidP="00D45A46">
      <w:pPr>
        <w:jc w:val="both"/>
        <w:rPr>
          <w:bCs/>
          <w:color w:val="002060"/>
          <w:sz w:val="16"/>
          <w:szCs w:val="16"/>
        </w:rPr>
      </w:pPr>
      <w:r w:rsidRPr="00DE096C">
        <w:rPr>
          <w:bCs/>
          <w:color w:val="002060"/>
          <w:sz w:val="16"/>
          <w:szCs w:val="16"/>
        </w:rPr>
        <w:t>12 (25) августа 1914 г. в Ревеле сформирован «отдельный крепостной авиационный отряд морской крепости императора Петра Великого» по особому штату, несколько раз изменявшемуся.</w:t>
      </w:r>
    </w:p>
    <w:p w14:paraId="0922DAE7" w14:textId="77777777" w:rsidR="00FF67EC" w:rsidRPr="00DE096C" w:rsidRDefault="00FF67EC" w:rsidP="00D45A46">
      <w:pPr>
        <w:jc w:val="both"/>
        <w:rPr>
          <w:bCs/>
          <w:color w:val="002060"/>
          <w:sz w:val="16"/>
          <w:szCs w:val="16"/>
        </w:rPr>
      </w:pPr>
      <w:r w:rsidRPr="00DE096C">
        <w:rPr>
          <w:bCs/>
          <w:color w:val="002060"/>
          <w:sz w:val="16"/>
          <w:szCs w:val="16"/>
        </w:rPr>
        <w:t>/Приказ по Морскому ведомству и флоту № 259 от 12 авг.1914/ (23320).</w:t>
      </w:r>
    </w:p>
    <w:p w14:paraId="19348C8A" w14:textId="77777777" w:rsidR="00FF67EC" w:rsidRPr="00DE096C" w:rsidRDefault="00FF67EC" w:rsidP="00D45A46">
      <w:pPr>
        <w:jc w:val="both"/>
        <w:rPr>
          <w:bCs/>
          <w:color w:val="002060"/>
          <w:sz w:val="16"/>
          <w:szCs w:val="16"/>
        </w:rPr>
      </w:pPr>
    </w:p>
    <w:p w14:paraId="5EA215C4"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Военное воздухоплавание:</w:t>
      </w:r>
    </w:p>
    <w:p w14:paraId="0B29F9BE" w14:textId="77777777" w:rsidR="00B67D7C" w:rsidRPr="00DE096C" w:rsidRDefault="00B67D7C" w:rsidP="00D45A46">
      <w:pPr>
        <w:shd w:val="clear" w:color="auto" w:fill="FFFFFF"/>
        <w:jc w:val="both"/>
        <w:rPr>
          <w:bCs/>
          <w:i/>
          <w:color w:val="002060"/>
          <w:sz w:val="16"/>
          <w:szCs w:val="16"/>
        </w:rPr>
      </w:pPr>
    </w:p>
    <w:p w14:paraId="645E92F6" w14:textId="77777777" w:rsidR="00B67D7C" w:rsidRPr="00DE096C" w:rsidRDefault="00B67D7C" w:rsidP="00D45A46">
      <w:pPr>
        <w:jc w:val="both"/>
        <w:rPr>
          <w:bCs/>
          <w:color w:val="002060"/>
          <w:sz w:val="16"/>
          <w:szCs w:val="16"/>
        </w:rPr>
      </w:pPr>
      <w:r w:rsidRPr="00DE096C">
        <w:rPr>
          <w:bCs/>
          <w:color w:val="002060"/>
          <w:sz w:val="16"/>
          <w:szCs w:val="16"/>
        </w:rPr>
        <w:t>12 (25) августа 1914 года поступил приказ о назначении экипажа и предписание о подготовке в течение трех дней дирижабля к перелету в Лиду, а затем на передовую базу в Белосток. За это короткое время удалось только отрегулировать моторы, проверить исправность баллонетов и систем воздухораспределения, а также провести косметический ремонт оборудования и приборов. Не успели главного — заменить несущий газ, который был закачан в конце мая. Время отлета — ночь на 16 августа (11324).</w:t>
      </w:r>
    </w:p>
    <w:p w14:paraId="1B38D643" w14:textId="77777777" w:rsidR="00B67D7C" w:rsidRPr="00DE096C" w:rsidRDefault="00B67D7C" w:rsidP="00D45A46">
      <w:pPr>
        <w:shd w:val="clear" w:color="auto" w:fill="FFFFFF"/>
        <w:jc w:val="both"/>
        <w:rPr>
          <w:bCs/>
          <w:i/>
          <w:color w:val="002060"/>
          <w:sz w:val="16"/>
          <w:szCs w:val="16"/>
        </w:rPr>
      </w:pPr>
    </w:p>
    <w:p w14:paraId="5DF706C2" w14:textId="77777777" w:rsidR="006B72FA" w:rsidRPr="00DE096C" w:rsidRDefault="006B72FA" w:rsidP="00D45A46">
      <w:pPr>
        <w:jc w:val="both"/>
        <w:rPr>
          <w:bCs/>
          <w:color w:val="002060"/>
          <w:sz w:val="16"/>
          <w:szCs w:val="16"/>
        </w:rPr>
      </w:pPr>
      <w:r w:rsidRPr="00DE096C">
        <w:rPr>
          <w:rStyle w:val="43"/>
          <w:rFonts w:ascii="Times New Roman" w:hAnsi="Times New Roman" w:cs="Times New Roman"/>
          <w:bCs/>
          <w:color w:val="002060"/>
          <w:w w:val="100"/>
          <w:sz w:val="16"/>
          <w:szCs w:val="16"/>
        </w:rPr>
        <w:t>12 (25) августа 1914 г. на находив</w:t>
      </w:r>
      <w:r w:rsidRPr="00DE096C">
        <w:rPr>
          <w:rStyle w:val="43"/>
          <w:rFonts w:ascii="Times New Roman" w:hAnsi="Times New Roman" w:cs="Times New Roman"/>
          <w:bCs/>
          <w:color w:val="002060"/>
          <w:w w:val="100"/>
          <w:sz w:val="16"/>
          <w:szCs w:val="16"/>
        </w:rPr>
        <w:softHyphen/>
        <w:t>шийся в д. Сализи дирижабль назначили бое</w:t>
      </w:r>
      <w:r w:rsidRPr="00DE096C">
        <w:rPr>
          <w:rStyle w:val="43"/>
          <w:rFonts w:ascii="Times New Roman" w:hAnsi="Times New Roman" w:cs="Times New Roman"/>
          <w:bCs/>
          <w:color w:val="002060"/>
          <w:w w:val="100"/>
          <w:sz w:val="16"/>
          <w:szCs w:val="16"/>
        </w:rPr>
        <w:softHyphen/>
        <w:t>вой экипаж в составе командира Б. В. Голубова, его помощников И.М. Лоссовкого, А.П. Атури- на, Л.А. Липпинга и механика А.Г. Киротара. До Лиды с ними летел механик П.И. Чимала. Эки</w:t>
      </w:r>
      <w:r w:rsidRPr="00DE096C">
        <w:rPr>
          <w:rStyle w:val="43"/>
          <w:rFonts w:ascii="Times New Roman" w:hAnsi="Times New Roman" w:cs="Times New Roman"/>
          <w:bCs/>
          <w:color w:val="002060"/>
          <w:w w:val="100"/>
          <w:sz w:val="16"/>
          <w:szCs w:val="16"/>
        </w:rPr>
        <w:softHyphen/>
        <w:t>пажу приказали срочно готовить «Альбатрос» к перелёту в Лиду, а затем на передовую базу в Белосток, поэтому бывший в оболочке с мая газ освежить не удалось (20120).</w:t>
      </w:r>
    </w:p>
    <w:p w14:paraId="68CB22C8" w14:textId="77777777" w:rsidR="006B72FA" w:rsidRPr="00DE096C" w:rsidRDefault="006B72FA" w:rsidP="00D45A46">
      <w:pPr>
        <w:jc w:val="both"/>
        <w:rPr>
          <w:bCs/>
          <w:color w:val="002060"/>
          <w:sz w:val="16"/>
          <w:szCs w:val="16"/>
        </w:rPr>
      </w:pPr>
    </w:p>
    <w:p w14:paraId="5402387C" w14:textId="77777777" w:rsidR="006B72FA" w:rsidRPr="00DE096C" w:rsidRDefault="006B72FA" w:rsidP="00D45A46">
      <w:pPr>
        <w:jc w:val="both"/>
        <w:rPr>
          <w:bCs/>
          <w:color w:val="002060"/>
          <w:sz w:val="16"/>
          <w:szCs w:val="16"/>
        </w:rPr>
      </w:pPr>
      <w:r w:rsidRPr="00DE096C">
        <w:rPr>
          <w:rStyle w:val="43"/>
          <w:rFonts w:ascii="Times New Roman" w:hAnsi="Times New Roman" w:cs="Times New Roman"/>
          <w:bCs/>
          <w:color w:val="002060"/>
          <w:w w:val="100"/>
          <w:sz w:val="16"/>
          <w:szCs w:val="16"/>
        </w:rPr>
        <w:t xml:space="preserve">12 (25) августа 1914 г. на </w:t>
      </w:r>
      <w:r w:rsidRPr="00DE096C">
        <w:rPr>
          <w:rStyle w:val="af"/>
          <w:rFonts w:ascii="Times New Roman" w:eastAsia="Segoe UI" w:hAnsi="Times New Roman" w:cs="Times New Roman"/>
          <w:b w:val="0"/>
          <w:color w:val="002060"/>
          <w:sz w:val="16"/>
          <w:szCs w:val="16"/>
        </w:rPr>
        <w:t>«Альбатрос»,</w:t>
      </w:r>
      <w:r w:rsidRPr="00DE096C">
        <w:rPr>
          <w:rStyle w:val="43"/>
          <w:rFonts w:ascii="Times New Roman" w:hAnsi="Times New Roman" w:cs="Times New Roman"/>
          <w:bCs/>
          <w:color w:val="002060"/>
          <w:w w:val="100"/>
          <w:sz w:val="16"/>
          <w:szCs w:val="16"/>
        </w:rPr>
        <w:t xml:space="preserve"> на находив</w:t>
      </w:r>
      <w:r w:rsidRPr="00DE096C">
        <w:rPr>
          <w:rStyle w:val="43"/>
          <w:rFonts w:ascii="Times New Roman" w:hAnsi="Times New Roman" w:cs="Times New Roman"/>
          <w:bCs/>
          <w:color w:val="002060"/>
          <w:w w:val="100"/>
          <w:sz w:val="16"/>
          <w:szCs w:val="16"/>
        </w:rPr>
        <w:softHyphen/>
        <w:t>шийся в д. Сализи, назначили бое</w:t>
      </w:r>
      <w:r w:rsidRPr="00DE096C">
        <w:rPr>
          <w:rStyle w:val="43"/>
          <w:rFonts w:ascii="Times New Roman" w:hAnsi="Times New Roman" w:cs="Times New Roman"/>
          <w:bCs/>
          <w:color w:val="002060"/>
          <w:w w:val="100"/>
          <w:sz w:val="16"/>
          <w:szCs w:val="16"/>
        </w:rPr>
        <w:softHyphen/>
        <w:t>вой экипаж в составе командира Б. В. Голубова, его помощников И.М. Лоссовкого, А.П. Атурина, Л.А. Липпинга и механика А.Г. Киротара. До Лиды с ними летел механик П.И. Чимала. Эки</w:t>
      </w:r>
      <w:r w:rsidRPr="00DE096C">
        <w:rPr>
          <w:rStyle w:val="43"/>
          <w:rFonts w:ascii="Times New Roman" w:hAnsi="Times New Roman" w:cs="Times New Roman"/>
          <w:bCs/>
          <w:color w:val="002060"/>
          <w:w w:val="100"/>
          <w:sz w:val="16"/>
          <w:szCs w:val="16"/>
        </w:rPr>
        <w:softHyphen/>
        <w:t>пажу приказали срочно готовить «Альбатрос» к перелёту в Лиду, а затем на передовую базу в Белосток, поэтому бывший в оболочке с мая газ освежить не удалось.</w:t>
      </w:r>
    </w:p>
    <w:p w14:paraId="743DC11D" w14:textId="77777777" w:rsidR="006B72FA" w:rsidRPr="00DE096C" w:rsidRDefault="006B72FA" w:rsidP="00D45A46">
      <w:pPr>
        <w:jc w:val="both"/>
        <w:rPr>
          <w:bCs/>
          <w:color w:val="002060"/>
          <w:sz w:val="16"/>
          <w:szCs w:val="16"/>
        </w:rPr>
      </w:pPr>
      <w:r w:rsidRPr="00DE096C">
        <w:rPr>
          <w:rStyle w:val="43"/>
          <w:rFonts w:ascii="Times New Roman" w:hAnsi="Times New Roman" w:cs="Times New Roman"/>
          <w:bCs/>
          <w:color w:val="002060"/>
          <w:w w:val="100"/>
          <w:sz w:val="16"/>
          <w:szCs w:val="16"/>
        </w:rPr>
        <w:t>15 августа в 17.30 дирижабль вывели из эллин</w:t>
      </w:r>
      <w:r w:rsidRPr="00DE096C">
        <w:rPr>
          <w:rStyle w:val="43"/>
          <w:rFonts w:ascii="Times New Roman" w:hAnsi="Times New Roman" w:cs="Times New Roman"/>
          <w:bCs/>
          <w:color w:val="002060"/>
          <w:w w:val="100"/>
          <w:sz w:val="16"/>
          <w:szCs w:val="16"/>
        </w:rPr>
        <w:softHyphen/>
        <w:t>га, а в 18.00 «Альбатрос» всплыл в воздух и через Гатчинский аэродром направился к Варшавской дороге. Полёт проходил на высоте 200 м при боко</w:t>
      </w:r>
      <w:r w:rsidRPr="00DE096C">
        <w:rPr>
          <w:rStyle w:val="43"/>
          <w:rFonts w:ascii="Times New Roman" w:hAnsi="Times New Roman" w:cs="Times New Roman"/>
          <w:bCs/>
          <w:color w:val="002060"/>
          <w:w w:val="100"/>
          <w:sz w:val="16"/>
          <w:szCs w:val="16"/>
        </w:rPr>
        <w:softHyphen/>
        <w:t>вом ветре 5 м/с. На подходе к Пскову П.И. Чима</w:t>
      </w:r>
      <w:r w:rsidRPr="00DE096C">
        <w:rPr>
          <w:rStyle w:val="43"/>
          <w:rFonts w:ascii="Times New Roman" w:hAnsi="Times New Roman" w:cs="Times New Roman"/>
          <w:bCs/>
          <w:color w:val="002060"/>
          <w:w w:val="100"/>
          <w:sz w:val="16"/>
          <w:szCs w:val="16"/>
        </w:rPr>
        <w:softHyphen/>
        <w:t>ла доложил, что шестерёнки распределительной передачи сильно греются, и просил уменьшить число оборотов моторов. После этого ветер стал сносить «Альбатрос» в сторону г. Порхова, и служившая ориентиром Варшавская железная дорога исчезла из вида. Через 20 минут, когда П.И. Чимала обслужил коробку, Б.В. Голубов дал полный ход, и дирижабль снова вышел на желез</w:t>
      </w:r>
      <w:r w:rsidRPr="00DE096C">
        <w:rPr>
          <w:rStyle w:val="43"/>
          <w:rFonts w:ascii="Times New Roman" w:hAnsi="Times New Roman" w:cs="Times New Roman"/>
          <w:bCs/>
          <w:color w:val="002060"/>
          <w:w w:val="100"/>
          <w:sz w:val="16"/>
          <w:szCs w:val="16"/>
        </w:rPr>
        <w:softHyphen/>
        <w:t>ную дорогу, избежав опасности посадки среди псковских болот.</w:t>
      </w:r>
    </w:p>
    <w:p w14:paraId="00266E19" w14:textId="77777777" w:rsidR="006B72FA" w:rsidRPr="00DE096C" w:rsidRDefault="006B72FA" w:rsidP="00D45A46">
      <w:pPr>
        <w:jc w:val="both"/>
        <w:rPr>
          <w:bCs/>
          <w:color w:val="002060"/>
          <w:sz w:val="16"/>
          <w:szCs w:val="16"/>
        </w:rPr>
      </w:pPr>
      <w:r w:rsidRPr="00DE096C">
        <w:rPr>
          <w:rStyle w:val="43"/>
          <w:rFonts w:ascii="Times New Roman" w:hAnsi="Times New Roman" w:cs="Times New Roman"/>
          <w:bCs/>
          <w:color w:val="002060"/>
          <w:w w:val="100"/>
          <w:sz w:val="16"/>
          <w:szCs w:val="16"/>
        </w:rPr>
        <w:t>В 2.00, проходя на высоте 200-300 м над Двин</w:t>
      </w:r>
      <w:r w:rsidRPr="00DE096C">
        <w:rPr>
          <w:rStyle w:val="43"/>
          <w:rFonts w:ascii="Times New Roman" w:hAnsi="Times New Roman" w:cs="Times New Roman"/>
          <w:bCs/>
          <w:color w:val="002060"/>
          <w:w w:val="100"/>
          <w:sz w:val="16"/>
          <w:szCs w:val="16"/>
        </w:rPr>
        <w:softHyphen/>
        <w:t>ской крепостью, «Альбатрос» попал под обстрел своих войск. Уклоняясь от него, дирижабль сно</w:t>
      </w:r>
      <w:r w:rsidRPr="00DE096C">
        <w:rPr>
          <w:rStyle w:val="43"/>
          <w:rFonts w:ascii="Times New Roman" w:hAnsi="Times New Roman" w:cs="Times New Roman"/>
          <w:bCs/>
          <w:color w:val="002060"/>
          <w:w w:val="100"/>
          <w:sz w:val="16"/>
          <w:szCs w:val="16"/>
        </w:rPr>
        <w:softHyphen/>
        <w:t>ва сбился с пути. В 5.00 «Альбатрос» приблизил</w:t>
      </w:r>
      <w:r w:rsidRPr="00DE096C">
        <w:rPr>
          <w:rStyle w:val="43"/>
          <w:rFonts w:ascii="Times New Roman" w:hAnsi="Times New Roman" w:cs="Times New Roman"/>
          <w:bCs/>
          <w:color w:val="002060"/>
          <w:w w:val="100"/>
          <w:sz w:val="16"/>
          <w:szCs w:val="16"/>
        </w:rPr>
        <w:softHyphen/>
        <w:t>ся к Вильно, восстановил ориентировку и в 6.30 прибыл в Лиду, пройдя за 12 часов полёта 693 км. 28 августа «Альбатрос» ночью перелетел в Бе</w:t>
      </w:r>
      <w:r w:rsidRPr="00DE096C">
        <w:rPr>
          <w:rStyle w:val="43"/>
          <w:rFonts w:ascii="Times New Roman" w:hAnsi="Times New Roman" w:cs="Times New Roman"/>
          <w:bCs/>
          <w:color w:val="002060"/>
          <w:w w:val="100"/>
          <w:sz w:val="16"/>
          <w:szCs w:val="16"/>
        </w:rPr>
        <w:softHyphen/>
        <w:t>лосток (160 км), куда заранее послали команду для обслуживания его на стоянке.</w:t>
      </w:r>
    </w:p>
    <w:p w14:paraId="5D5A7299" w14:textId="77777777" w:rsidR="006B72FA" w:rsidRPr="00DE096C" w:rsidRDefault="006B72FA" w:rsidP="00D45A46">
      <w:pPr>
        <w:jc w:val="both"/>
        <w:rPr>
          <w:bCs/>
          <w:color w:val="002060"/>
          <w:sz w:val="16"/>
          <w:szCs w:val="16"/>
        </w:rPr>
      </w:pPr>
      <w:r w:rsidRPr="00DE096C">
        <w:rPr>
          <w:rStyle w:val="43"/>
          <w:rFonts w:ascii="Times New Roman" w:hAnsi="Times New Roman" w:cs="Times New Roman"/>
          <w:bCs/>
          <w:color w:val="002060"/>
          <w:w w:val="100"/>
          <w:sz w:val="16"/>
          <w:szCs w:val="16"/>
        </w:rPr>
        <w:t>Штаб Северо-Западного фронта приказал «Альбатросу» провести разведку в районе Ал- ленштейна, где решалась судьба армии генерала А. Самсонова. Дирижабль поднимался на высоту 500-700 м (подняться выше 1000 м мешал плохой газ) и не мог продвинуться вперёд из-за сильных западных ветров. Тогда штаб фронта приказал экипажу выполнить ночную бомбардировку подъездных путей к крепости Осовец. В ночь на 30 августа «Альбатрос» вылетел к Осовцу, но под Граевом его обстреляли сильным ружейным и пулемётным огнём части 4-го Сибирского кор</w:t>
      </w:r>
      <w:r w:rsidRPr="00DE096C">
        <w:rPr>
          <w:rStyle w:val="43"/>
          <w:rFonts w:ascii="Times New Roman" w:hAnsi="Times New Roman" w:cs="Times New Roman"/>
          <w:bCs/>
          <w:color w:val="002060"/>
          <w:w w:val="100"/>
          <w:sz w:val="16"/>
          <w:szCs w:val="16"/>
        </w:rPr>
        <w:softHyphen/>
        <w:t>пуса. Быстро теряя водород через 12 пробоин, ди</w:t>
      </w:r>
      <w:r w:rsidRPr="00DE096C">
        <w:rPr>
          <w:rStyle w:val="43"/>
          <w:rFonts w:ascii="Times New Roman" w:hAnsi="Times New Roman" w:cs="Times New Roman"/>
          <w:bCs/>
          <w:color w:val="002060"/>
          <w:w w:val="100"/>
          <w:sz w:val="16"/>
          <w:szCs w:val="16"/>
        </w:rPr>
        <w:softHyphen/>
        <w:t>рижабль повернул назад.</w:t>
      </w:r>
    </w:p>
    <w:p w14:paraId="71EB364A" w14:textId="77777777" w:rsidR="006B72FA" w:rsidRPr="00DE096C" w:rsidRDefault="006B72FA" w:rsidP="00D45A46">
      <w:pPr>
        <w:jc w:val="both"/>
        <w:rPr>
          <w:bCs/>
          <w:color w:val="002060"/>
          <w:sz w:val="16"/>
          <w:szCs w:val="16"/>
        </w:rPr>
      </w:pPr>
      <w:r w:rsidRPr="00DE096C">
        <w:rPr>
          <w:rStyle w:val="43"/>
          <w:rFonts w:ascii="Times New Roman" w:hAnsi="Times New Roman" w:cs="Times New Roman"/>
          <w:bCs/>
          <w:color w:val="002060"/>
          <w:w w:val="100"/>
          <w:sz w:val="16"/>
          <w:szCs w:val="16"/>
        </w:rPr>
        <w:t>9 сентября он перелетел в Брест-Литовск на ремонт и вернулся в Белосток 28 сентября.</w:t>
      </w:r>
    </w:p>
    <w:p w14:paraId="678EB3E2" w14:textId="77777777" w:rsidR="006B72FA" w:rsidRPr="00DE096C" w:rsidRDefault="006B72FA" w:rsidP="00D45A46">
      <w:pPr>
        <w:jc w:val="both"/>
        <w:rPr>
          <w:bCs/>
          <w:color w:val="002060"/>
          <w:sz w:val="16"/>
          <w:szCs w:val="16"/>
        </w:rPr>
      </w:pPr>
      <w:r w:rsidRPr="00DE096C">
        <w:rPr>
          <w:rStyle w:val="43"/>
          <w:rFonts w:ascii="Times New Roman" w:hAnsi="Times New Roman" w:cs="Times New Roman"/>
          <w:bCs/>
          <w:color w:val="002060"/>
          <w:w w:val="100"/>
          <w:sz w:val="16"/>
          <w:szCs w:val="16"/>
        </w:rPr>
        <w:lastRenderedPageBreak/>
        <w:t>В конце сентября подполковник Б.В. Голубов убыл в 3-ю воздухоплавательную роту для под</w:t>
      </w:r>
      <w:r w:rsidRPr="00DE096C">
        <w:rPr>
          <w:rStyle w:val="43"/>
          <w:rFonts w:ascii="Times New Roman" w:hAnsi="Times New Roman" w:cs="Times New Roman"/>
          <w:bCs/>
          <w:color w:val="002060"/>
          <w:w w:val="100"/>
          <w:sz w:val="16"/>
          <w:szCs w:val="16"/>
        </w:rPr>
        <w:softHyphen/>
        <w:t>готовки «Буревестника» и «Астры» к боевым действиям. Командиром «Альбатроса» назна</w:t>
      </w:r>
      <w:r w:rsidRPr="00DE096C">
        <w:rPr>
          <w:rStyle w:val="43"/>
          <w:rFonts w:ascii="Times New Roman" w:hAnsi="Times New Roman" w:cs="Times New Roman"/>
          <w:bCs/>
          <w:color w:val="002060"/>
          <w:w w:val="100"/>
          <w:sz w:val="16"/>
          <w:szCs w:val="16"/>
        </w:rPr>
        <w:softHyphen/>
        <w:t>чили штабс-капитана А.И. Шабского. 2, 3 и 6 октября он пытался повести дирижабль на Лет- цен. Четыре раза дирижаблю помешала плохая погода, один раз он заблудился и один раз его обстреляли свои войска.</w:t>
      </w:r>
    </w:p>
    <w:p w14:paraId="6897E0CE" w14:textId="77777777" w:rsidR="006B72FA" w:rsidRPr="00DE096C" w:rsidRDefault="006B72FA" w:rsidP="00D45A46">
      <w:pPr>
        <w:jc w:val="both"/>
        <w:rPr>
          <w:rStyle w:val="43"/>
          <w:rFonts w:ascii="Times New Roman" w:hAnsi="Times New Roman" w:cs="Times New Roman"/>
          <w:bCs/>
          <w:color w:val="002060"/>
          <w:w w:val="100"/>
          <w:sz w:val="16"/>
          <w:szCs w:val="16"/>
        </w:rPr>
      </w:pPr>
      <w:r w:rsidRPr="00DE096C">
        <w:rPr>
          <w:rStyle w:val="43"/>
          <w:rFonts w:ascii="Times New Roman" w:hAnsi="Times New Roman" w:cs="Times New Roman"/>
          <w:bCs/>
          <w:color w:val="002060"/>
          <w:w w:val="100"/>
          <w:sz w:val="16"/>
          <w:szCs w:val="16"/>
        </w:rPr>
        <w:t>В ночь на 13 октября дирижабль вновь вы</w:t>
      </w:r>
      <w:r w:rsidRPr="00DE096C">
        <w:rPr>
          <w:rStyle w:val="43"/>
          <w:rFonts w:ascii="Times New Roman" w:hAnsi="Times New Roman" w:cs="Times New Roman"/>
          <w:bCs/>
          <w:color w:val="002060"/>
          <w:w w:val="100"/>
          <w:sz w:val="16"/>
          <w:szCs w:val="16"/>
        </w:rPr>
        <w:softHyphen/>
        <w:t>летел на Летцен. Попав в сильный туман уже на взлёте, А.И. Шабский потерял ориентиров</w:t>
      </w:r>
      <w:r w:rsidRPr="00DE096C">
        <w:rPr>
          <w:rStyle w:val="43"/>
          <w:rFonts w:ascii="Times New Roman" w:hAnsi="Times New Roman" w:cs="Times New Roman"/>
          <w:bCs/>
          <w:color w:val="002060"/>
          <w:w w:val="100"/>
          <w:sz w:val="16"/>
          <w:szCs w:val="16"/>
        </w:rPr>
        <w:softHyphen/>
        <w:t>ку. Проблуждав в тумане около пяти часов, он, опасаясь попасть к противнику, был вынужден опуститься на поле. При посадке «Альбатрос» на</w:t>
      </w:r>
      <w:r w:rsidRPr="00DE096C">
        <w:rPr>
          <w:rStyle w:val="43"/>
          <w:rFonts w:ascii="Times New Roman" w:hAnsi="Times New Roman" w:cs="Times New Roman"/>
          <w:bCs/>
          <w:color w:val="002060"/>
          <w:w w:val="100"/>
          <w:sz w:val="16"/>
          <w:szCs w:val="16"/>
        </w:rPr>
        <w:softHyphen/>
        <w:t>летел на деревья, порвал оболочку и разбил гон</w:t>
      </w:r>
      <w:r w:rsidRPr="00DE096C">
        <w:rPr>
          <w:rStyle w:val="43"/>
          <w:rFonts w:ascii="Times New Roman" w:hAnsi="Times New Roman" w:cs="Times New Roman"/>
          <w:bCs/>
          <w:color w:val="002060"/>
          <w:w w:val="100"/>
          <w:sz w:val="16"/>
          <w:szCs w:val="16"/>
        </w:rPr>
        <w:softHyphen/>
        <w:t>долу при тренаже. Экипаж отделался ушибами. Авария произошла в 30 км от немецких позиций близ местечка Гоннондзь. Восстанавливать «Аль</w:t>
      </w:r>
      <w:r w:rsidRPr="00DE096C">
        <w:rPr>
          <w:rStyle w:val="43"/>
          <w:rFonts w:ascii="Times New Roman" w:hAnsi="Times New Roman" w:cs="Times New Roman"/>
          <w:bCs/>
          <w:color w:val="002060"/>
          <w:w w:val="100"/>
          <w:sz w:val="16"/>
          <w:szCs w:val="16"/>
        </w:rPr>
        <w:softHyphen/>
        <w:t>батрос» не стали, так как от него уцелели лишь моторы (20120).</w:t>
      </w:r>
    </w:p>
    <w:p w14:paraId="25983AC5" w14:textId="77777777" w:rsidR="006B72FA" w:rsidRPr="00DE096C" w:rsidRDefault="006B72FA" w:rsidP="00D45A46">
      <w:pPr>
        <w:jc w:val="both"/>
        <w:rPr>
          <w:bCs/>
          <w:color w:val="002060"/>
          <w:sz w:val="16"/>
          <w:szCs w:val="16"/>
        </w:rPr>
      </w:pPr>
    </w:p>
    <w:p w14:paraId="6E809B95" w14:textId="77777777" w:rsidR="001438FE" w:rsidRPr="00DE096C" w:rsidRDefault="001438FE" w:rsidP="00D45A46">
      <w:pPr>
        <w:jc w:val="both"/>
        <w:rPr>
          <w:bCs/>
          <w:i/>
          <w:color w:val="002060"/>
          <w:sz w:val="16"/>
          <w:szCs w:val="16"/>
        </w:rPr>
      </w:pPr>
      <w:r w:rsidRPr="00DE096C">
        <w:rPr>
          <w:bCs/>
          <w:i/>
          <w:color w:val="002060"/>
          <w:sz w:val="16"/>
          <w:szCs w:val="16"/>
        </w:rPr>
        <w:t>Армия:</w:t>
      </w:r>
    </w:p>
    <w:p w14:paraId="56DD9BC3" w14:textId="77777777" w:rsidR="001438FE" w:rsidRPr="00DE096C" w:rsidRDefault="001438FE" w:rsidP="00D45A46">
      <w:pPr>
        <w:jc w:val="both"/>
        <w:rPr>
          <w:bCs/>
          <w:i/>
          <w:color w:val="002060"/>
          <w:sz w:val="16"/>
          <w:szCs w:val="16"/>
        </w:rPr>
      </w:pPr>
    </w:p>
    <w:p w14:paraId="0EAD72C4" w14:textId="5E475784" w:rsidR="001438FE" w:rsidRPr="00DE096C" w:rsidRDefault="001438FE" w:rsidP="00D45A46">
      <w:pPr>
        <w:jc w:val="both"/>
        <w:rPr>
          <w:bCs/>
          <w:color w:val="002060"/>
          <w:sz w:val="16"/>
          <w:szCs w:val="16"/>
        </w:rPr>
      </w:pPr>
      <w:r w:rsidRPr="00DE096C">
        <w:rPr>
          <w:bCs/>
          <w:color w:val="002060"/>
          <w:sz w:val="16"/>
          <w:szCs w:val="16"/>
        </w:rPr>
        <w:t xml:space="preserve">12 </w:t>
      </w:r>
      <w:r w:rsidR="00552299" w:rsidRPr="00DE096C">
        <w:rPr>
          <w:bCs/>
          <w:color w:val="002060"/>
          <w:sz w:val="16"/>
          <w:szCs w:val="16"/>
        </w:rPr>
        <w:t xml:space="preserve">(25) </w:t>
      </w:r>
      <w:r w:rsidRPr="00DE096C">
        <w:rPr>
          <w:bCs/>
          <w:color w:val="002060"/>
          <w:sz w:val="16"/>
          <w:szCs w:val="16"/>
        </w:rPr>
        <w:t>августа в 1914 году в России был издан указ о всеобщей мобилизации. В тот же день был создан Всероссийский Земский союз, призванный помочь правительству в организации снабжения армии (14981).</w:t>
      </w:r>
    </w:p>
    <w:p w14:paraId="2F188466" w14:textId="77777777" w:rsidR="001438FE" w:rsidRPr="00DE096C" w:rsidRDefault="001438FE" w:rsidP="00D45A46">
      <w:pPr>
        <w:jc w:val="both"/>
        <w:rPr>
          <w:bCs/>
          <w:color w:val="002060"/>
          <w:sz w:val="16"/>
          <w:szCs w:val="16"/>
        </w:rPr>
      </w:pPr>
    </w:p>
    <w:p w14:paraId="5A9C0390" w14:textId="13C0D4C2" w:rsidR="001438FE" w:rsidRPr="00DE096C" w:rsidRDefault="001438FE" w:rsidP="00D45A46">
      <w:pPr>
        <w:jc w:val="both"/>
        <w:rPr>
          <w:bCs/>
          <w:color w:val="002060"/>
          <w:sz w:val="16"/>
          <w:szCs w:val="16"/>
        </w:rPr>
      </w:pPr>
      <w:r w:rsidRPr="00DE096C">
        <w:rPr>
          <w:bCs/>
          <w:color w:val="002060"/>
          <w:sz w:val="16"/>
          <w:szCs w:val="16"/>
        </w:rPr>
        <w:t xml:space="preserve">12 </w:t>
      </w:r>
      <w:r w:rsidR="00552299" w:rsidRPr="00DE096C">
        <w:rPr>
          <w:bCs/>
          <w:color w:val="002060"/>
          <w:sz w:val="16"/>
          <w:szCs w:val="16"/>
        </w:rPr>
        <w:t xml:space="preserve">(25) </w:t>
      </w:r>
      <w:r w:rsidRPr="00DE096C">
        <w:rPr>
          <w:bCs/>
          <w:color w:val="002060"/>
          <w:sz w:val="16"/>
          <w:szCs w:val="16"/>
        </w:rPr>
        <w:t>августа в 1914 году в Восточной Пруссии донской казак Кузьма Крючков в рукопашном бою убивает 11 немецких солдат, получая при этом 16 колотых ран (за что будет награжден Георгиевским крестом (14981).</w:t>
      </w:r>
    </w:p>
    <w:p w14:paraId="2E41823B" w14:textId="77777777" w:rsidR="001438FE" w:rsidRPr="00DE096C" w:rsidRDefault="001438FE" w:rsidP="00D45A46">
      <w:pPr>
        <w:jc w:val="both"/>
        <w:rPr>
          <w:bCs/>
          <w:color w:val="002060"/>
          <w:sz w:val="16"/>
          <w:szCs w:val="16"/>
        </w:rPr>
      </w:pPr>
    </w:p>
    <w:p w14:paraId="222DDFE3"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Жизнь и внутреняя политика:</w:t>
      </w:r>
    </w:p>
    <w:p w14:paraId="54F2C1C2" w14:textId="77777777" w:rsidR="00B67D7C" w:rsidRPr="00DE096C" w:rsidRDefault="00B67D7C" w:rsidP="00D45A46">
      <w:pPr>
        <w:shd w:val="clear" w:color="auto" w:fill="FFFFFF"/>
        <w:jc w:val="both"/>
        <w:rPr>
          <w:bCs/>
          <w:i/>
          <w:color w:val="002060"/>
          <w:sz w:val="16"/>
          <w:szCs w:val="16"/>
        </w:rPr>
      </w:pPr>
    </w:p>
    <w:p w14:paraId="1ACF1794" w14:textId="361B5936" w:rsidR="00552299" w:rsidRPr="00DE096C" w:rsidRDefault="00552299" w:rsidP="00D45A46">
      <w:pPr>
        <w:jc w:val="both"/>
        <w:rPr>
          <w:bCs/>
          <w:color w:val="002060"/>
          <w:sz w:val="16"/>
          <w:szCs w:val="16"/>
        </w:rPr>
      </w:pPr>
      <w:r w:rsidRPr="00DE096C">
        <w:rPr>
          <w:bCs/>
          <w:color w:val="002060"/>
          <w:sz w:val="16"/>
          <w:szCs w:val="16"/>
        </w:rPr>
        <w:t>12 (25) августа в 1914 году, в день, когда в России был издан указ о всеобщей мобилизации, был создан Всероссийский Земский союз, призванный помочь правительству в организации снабжения армии (14981).</w:t>
      </w:r>
    </w:p>
    <w:p w14:paraId="15C84204" w14:textId="77777777" w:rsidR="00552299" w:rsidRPr="00DE096C" w:rsidRDefault="00552299" w:rsidP="00D45A46">
      <w:pPr>
        <w:jc w:val="both"/>
        <w:rPr>
          <w:bCs/>
          <w:color w:val="002060"/>
          <w:sz w:val="16"/>
          <w:szCs w:val="16"/>
        </w:rPr>
      </w:pPr>
    </w:p>
    <w:p w14:paraId="6C7355DD" w14:textId="77777777" w:rsidR="00552299"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12 (25) августа 1914 г. по всеподданнейшему докладу министра внутренних дел</w:t>
      </w:r>
      <w:r w:rsidR="00552299" w:rsidRPr="00DE096C">
        <w:rPr>
          <w:bCs/>
          <w:i w:val="0"/>
          <w:color w:val="002060"/>
          <w:spacing w:val="0"/>
          <w:kern w:val="0"/>
          <w:position w:val="0"/>
          <w:sz w:val="16"/>
          <w:szCs w:val="16"/>
        </w:rPr>
        <w:t xml:space="preserve"> были закреплены усилия Земского союза</w:t>
      </w:r>
      <w:r w:rsidRPr="00DE096C">
        <w:rPr>
          <w:bCs/>
          <w:i w:val="0"/>
          <w:color w:val="002060"/>
          <w:spacing w:val="0"/>
          <w:kern w:val="0"/>
          <w:position w:val="0"/>
          <w:sz w:val="16"/>
          <w:szCs w:val="16"/>
        </w:rPr>
        <w:t>. Средства же центральной организации Земского союза складывались из пособий государства, ассигнований земских собраний и частных пожертвований</w:t>
      </w:r>
      <w:r w:rsidR="00552299" w:rsidRPr="00DE096C">
        <w:rPr>
          <w:bCs/>
          <w:i w:val="0"/>
          <w:color w:val="002060"/>
          <w:spacing w:val="0"/>
          <w:kern w:val="0"/>
          <w:position w:val="0"/>
          <w:sz w:val="16"/>
          <w:szCs w:val="16"/>
        </w:rPr>
        <w:t>.</w:t>
      </w:r>
    </w:p>
    <w:p w14:paraId="00001575" w14:textId="1FB2027D" w:rsidR="00B67D7C" w:rsidRPr="00DE096C" w:rsidRDefault="00552299"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Московская губернская земская управа предложила экстренному собранию, созванному 25 июля 1914 г., создать общеземскую организацию помощи раненым и просила ассигновать 500 000 рублей; с этой целью телеграммою же уведомила о новом коллективном земском деле и остальные земства. Через несколько дней ответные телеграммы были получены почти со всей России. Съезд представителей земств, состоявшийся 30 июля 1914 г., конституировал образование Земского союза. К Союзу примкнула 41 земская губерния (исключение составляло Курское губернское земство и Область войска Донского). Его высшим органом являлся съезд уполномоченных земств (по два уполномоченных от каждой земской губернии: от губернского земского собрания и губернской земской управы). Между съездами делами союза ведал Главный комитет из десяти членов во главе с главноуполномоченным. Первым главноуполномоченным стал князь г.Е.Львов. Общее руководство деятельностью Союза было сохранено за собранием уполномоченных губернских земств, которые избирали главноуполномоченного и Главный комитет. С первых же дней при Союзе возник ряд отделов: по лечебному делу, эвакуации, трудовому посредничеству, которые позднее были разбиты на отделы: эвакуационный, заготовительный, отдел санитарных поездов и т.д.</w:t>
      </w:r>
      <w:r w:rsidR="00B67D7C" w:rsidRPr="00DE096C">
        <w:rPr>
          <w:bCs/>
          <w:i w:val="0"/>
          <w:color w:val="002060"/>
          <w:spacing w:val="0"/>
          <w:kern w:val="0"/>
          <w:position w:val="0"/>
          <w:sz w:val="16"/>
          <w:szCs w:val="16"/>
        </w:rPr>
        <w:t xml:space="preserve"> (11270).</w:t>
      </w:r>
    </w:p>
    <w:p w14:paraId="1E43E526" w14:textId="77777777" w:rsidR="00B67D7C" w:rsidRPr="00DE096C" w:rsidRDefault="00B67D7C" w:rsidP="00D45A46">
      <w:pPr>
        <w:pStyle w:val="a3"/>
        <w:jc w:val="both"/>
        <w:rPr>
          <w:bCs/>
          <w:i w:val="0"/>
          <w:color w:val="002060"/>
          <w:spacing w:val="0"/>
          <w:kern w:val="0"/>
          <w:position w:val="0"/>
          <w:sz w:val="16"/>
          <w:szCs w:val="16"/>
        </w:rPr>
      </w:pPr>
    </w:p>
    <w:p w14:paraId="2DBAACC3"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Авиация и воздухоплавание Германии:</w:t>
      </w:r>
    </w:p>
    <w:p w14:paraId="6D8280D1" w14:textId="77777777" w:rsidR="00B67D7C" w:rsidRPr="00DE096C" w:rsidRDefault="00B67D7C" w:rsidP="00D45A46">
      <w:pPr>
        <w:pStyle w:val="a3"/>
        <w:jc w:val="both"/>
        <w:rPr>
          <w:bCs/>
          <w:color w:val="002060"/>
          <w:spacing w:val="0"/>
          <w:kern w:val="0"/>
          <w:position w:val="0"/>
          <w:sz w:val="16"/>
          <w:szCs w:val="16"/>
        </w:rPr>
      </w:pPr>
    </w:p>
    <w:p w14:paraId="4294B2CF" w14:textId="0B162AFD" w:rsidR="00B67D7C" w:rsidRPr="00DE096C" w:rsidRDefault="00B67D7C" w:rsidP="00D45A46">
      <w:pPr>
        <w:jc w:val="both"/>
        <w:rPr>
          <w:bCs/>
          <w:color w:val="002060"/>
          <w:sz w:val="16"/>
          <w:szCs w:val="16"/>
        </w:rPr>
      </w:pPr>
      <w:r w:rsidRPr="00DE096C">
        <w:rPr>
          <w:bCs/>
          <w:color w:val="002060"/>
          <w:sz w:val="16"/>
          <w:szCs w:val="16"/>
        </w:rPr>
        <w:t>12 (25) августа 1914 год, первым пилотом германских ВВС</w:t>
      </w:r>
      <w:r w:rsidR="00552299" w:rsidRPr="00DE096C">
        <w:rPr>
          <w:bCs/>
          <w:color w:val="002060"/>
          <w:sz w:val="16"/>
          <w:szCs w:val="16"/>
        </w:rPr>
        <w:t>,</w:t>
      </w:r>
      <w:r w:rsidRPr="00DE096C">
        <w:rPr>
          <w:bCs/>
          <w:color w:val="002060"/>
          <w:sz w:val="16"/>
          <w:szCs w:val="16"/>
        </w:rPr>
        <w:t xml:space="preserve"> погибшим при выполнении служебных обязанностей, был обер-лейтенант Рейнольд Янов, который получил смертельные травмы в авиакатастрофе, происшедшей в Мальмеди (Бельгия). Р.Янов имел немецкое пилотское свидетельство №80 и являлся ветераном балканской компании 1912 года во время которой выполнял разведывательные полёты для турок</w:t>
      </w:r>
    </w:p>
    <w:p w14:paraId="5D9C83CB" w14:textId="77777777" w:rsidR="00B67D7C" w:rsidRPr="00DE096C" w:rsidRDefault="00B67D7C" w:rsidP="00D45A46">
      <w:pPr>
        <w:jc w:val="both"/>
        <w:rPr>
          <w:bCs/>
          <w:color w:val="002060"/>
          <w:sz w:val="16"/>
          <w:szCs w:val="16"/>
        </w:rPr>
      </w:pPr>
    </w:p>
    <w:p w14:paraId="5878DF5B" w14:textId="5DB5CAF1" w:rsidR="00B67D7C" w:rsidRPr="00DE096C" w:rsidRDefault="00B67D7C" w:rsidP="00D45A46">
      <w:pPr>
        <w:jc w:val="both"/>
        <w:rPr>
          <w:bCs/>
          <w:color w:val="002060"/>
          <w:sz w:val="16"/>
          <w:szCs w:val="16"/>
        </w:rPr>
      </w:pPr>
      <w:r w:rsidRPr="00DE096C">
        <w:rPr>
          <w:bCs/>
          <w:color w:val="002060"/>
          <w:sz w:val="16"/>
          <w:szCs w:val="16"/>
        </w:rPr>
        <w:t xml:space="preserve">12 (25) августа 1914 будучи </w:t>
      </w:r>
      <w:r w:rsidR="00552299" w:rsidRPr="00DE096C">
        <w:rPr>
          <w:bCs/>
          <w:color w:val="002060"/>
          <w:sz w:val="16"/>
          <w:szCs w:val="16"/>
        </w:rPr>
        <w:t xml:space="preserve">не </w:t>
      </w:r>
      <w:r w:rsidRPr="00DE096C">
        <w:rPr>
          <w:bCs/>
          <w:color w:val="002060"/>
          <w:sz w:val="16"/>
          <w:szCs w:val="16"/>
        </w:rPr>
        <w:t>в состоянии сходу овладеть Антверпеном, германцы подвергли его бомбардировке под прикрытием ночи. Ранним утром германский цеппелин сбросил несколько бомб на Антверпен, в одном доме было убито 6 жителей прямо в постели. Всего в этот налет погибло 10 человек и двое умерли впоследствии от ран.</w:t>
      </w:r>
    </w:p>
    <w:p w14:paraId="301D9361" w14:textId="77777777" w:rsidR="00B67D7C" w:rsidRPr="00DE096C" w:rsidRDefault="00B67D7C" w:rsidP="00D45A46">
      <w:pPr>
        <w:jc w:val="both"/>
        <w:rPr>
          <w:bCs/>
          <w:color w:val="002060"/>
          <w:sz w:val="16"/>
          <w:szCs w:val="16"/>
        </w:rPr>
      </w:pPr>
      <w:r w:rsidRPr="00DE096C">
        <w:rPr>
          <w:bCs/>
          <w:color w:val="002060"/>
          <w:sz w:val="16"/>
          <w:szCs w:val="16"/>
        </w:rPr>
        <w:t>Однако несколько иная картина вырастает из опубликованного вскоре после этого события рассказа очевидца : "Я проснулся в первом часу ночи от оглушительной канонады. Выбежав на улицу, я увидел вверху, футах в 700 над землей, огромный цеппелин. Бродя по городу, я насчитал не менее 10 различных улиц, пострадавших от бомб. По моим расчетам около 900 построек разного рода получили легкие повреждения, а 60 домов подверглись почти полному разрушению. Число жертв еще не установлено. Лично я на своем пути наткнулся на 4 трупа. В одном участке уцелел один только дом. Вокруг него но всем направлениям разбросаны были тела изувеченных обывателей. Главная площадь являла картину самого страшного разрушения, какие мне только приходилось видеть. Я ходил в сопровождении королевского секретаря. Бомбы бросались в публичные здания, особенно усердно - в королевский дворец. Секретарь дал мне осколки бомбы, найденные у дворца, дабы все правительства Европы и Америки по свидетельствам очевидцев могли объединиться в протесте. Я попросил секретаря по иностранным делам барона фон-дер Эль- ста, папского нунция, русского посла, министра Вандер- вельде, министра Иманса и графа Гобле сопровождать меня. Они пришли в ужас при виде разрушений, произведенных бомбами".</w:t>
      </w:r>
    </w:p>
    <w:p w14:paraId="79ABCA99" w14:textId="3FF4686F" w:rsidR="00B67D7C" w:rsidRPr="00DE096C" w:rsidRDefault="00B67D7C" w:rsidP="00D45A46">
      <w:pPr>
        <w:jc w:val="both"/>
        <w:rPr>
          <w:bCs/>
          <w:color w:val="002060"/>
          <w:sz w:val="16"/>
          <w:szCs w:val="16"/>
        </w:rPr>
      </w:pPr>
      <w:r w:rsidRPr="00DE096C">
        <w:rPr>
          <w:bCs/>
          <w:color w:val="002060"/>
          <w:sz w:val="16"/>
          <w:szCs w:val="16"/>
        </w:rPr>
        <w:t>Корреспондент американской газеты Александр Пауэлл, бывший в Антверпене, когда над городом появились первые цеппелины, писал в своей заметке, вышедшей в Британии три месяца спустя: "Когда я зашел в комнату разбомбленного дома, где перед тем спала женщина, то у меня закружилась голова и меня затошнило, поскольку женщина была разорвана буквально на клочки. Пол, стены, потолок - все было заляпано... словом, все, что осталось от женщины, можно было собрать только полотенцем... В сквере поблизости один полицейский на посту на дальнем конце площади был убит мгновенно, а другому оторвало обе ноги... Женщине, которая проснулась при первых взрывах и высунулась из окна, чтобы посмотреть, что происходит, оторвало голову" (11999).</w:t>
      </w:r>
    </w:p>
    <w:p w14:paraId="4E885208" w14:textId="77777777" w:rsidR="00B67D7C" w:rsidRPr="00DE096C" w:rsidRDefault="00B67D7C" w:rsidP="00D45A46">
      <w:pPr>
        <w:jc w:val="both"/>
        <w:rPr>
          <w:bCs/>
          <w:color w:val="002060"/>
          <w:sz w:val="16"/>
          <w:szCs w:val="16"/>
        </w:rPr>
      </w:pPr>
    </w:p>
    <w:p w14:paraId="3E26C329" w14:textId="034990AB" w:rsidR="000C5FAC" w:rsidRPr="00DE096C" w:rsidRDefault="000C5FAC" w:rsidP="000C5FAC">
      <w:pPr>
        <w:shd w:val="clear" w:color="auto" w:fill="FFFFFF"/>
        <w:jc w:val="both"/>
        <w:rPr>
          <w:bCs/>
          <w:i/>
          <w:color w:val="002060"/>
          <w:sz w:val="16"/>
          <w:szCs w:val="16"/>
        </w:rPr>
      </w:pPr>
      <w:r w:rsidRPr="00DE096C">
        <w:rPr>
          <w:bCs/>
          <w:i/>
          <w:color w:val="002060"/>
          <w:sz w:val="16"/>
          <w:szCs w:val="16"/>
        </w:rPr>
        <w:t xml:space="preserve">Авиация и воздухоплавание </w:t>
      </w:r>
      <w:r>
        <w:rPr>
          <w:bCs/>
          <w:i/>
          <w:color w:val="002060"/>
          <w:sz w:val="16"/>
          <w:szCs w:val="16"/>
        </w:rPr>
        <w:t>Франции</w:t>
      </w:r>
      <w:r w:rsidRPr="00DE096C">
        <w:rPr>
          <w:bCs/>
          <w:i/>
          <w:color w:val="002060"/>
          <w:sz w:val="16"/>
          <w:szCs w:val="16"/>
        </w:rPr>
        <w:t>:</w:t>
      </w:r>
    </w:p>
    <w:p w14:paraId="7019DF3F" w14:textId="77777777" w:rsidR="000C5FAC" w:rsidRPr="00DE096C" w:rsidRDefault="000C5FAC" w:rsidP="000C5FAC">
      <w:pPr>
        <w:shd w:val="clear" w:color="auto" w:fill="FFFFFF"/>
        <w:jc w:val="both"/>
        <w:rPr>
          <w:bCs/>
          <w:i/>
          <w:color w:val="002060"/>
          <w:sz w:val="16"/>
          <w:szCs w:val="16"/>
        </w:rPr>
      </w:pPr>
    </w:p>
    <w:p w14:paraId="0101338C" w14:textId="77777777" w:rsidR="000C5FAC" w:rsidRPr="00B52707" w:rsidRDefault="000C5FAC" w:rsidP="000C5FAC">
      <w:pPr>
        <w:jc w:val="both"/>
        <w:rPr>
          <w:color w:val="0070C0"/>
          <w:sz w:val="16"/>
          <w:szCs w:val="16"/>
        </w:rPr>
      </w:pPr>
      <w:r w:rsidRPr="00B52707">
        <w:rPr>
          <w:color w:val="0070C0"/>
          <w:sz w:val="16"/>
          <w:szCs w:val="16"/>
        </w:rPr>
        <w:t>12 (25) августа 1914 года состоялся воздушный бой, оставивший свой след в архивах. В тот день знаменитый летчик Ролан Гаррос, мобилизованный в армию в звании сержанта, вылетел с аэродрома Тул (Toul), Лотарингия, на самолете Morane Parasol из состава эскадрильи MS 23 с приказом патрулировать заданный сектор. В кабине «Морана» также сидел наблюдатель лейтенант Раймон де Бернис (Raymond de Bernis), вооруженный кавалерийским карабином. С момента своего первого полета 19 августа Ролан Гаррос и Раймон де Бернис приняли решение систематически атаковать немецкие самолеты, которые им встретятся. 25 августа де Бернис произвел несколько безрезультатных выстрелов по немецкому двухместному самолету недалеко от Люневиля (Lunéville), а затем по второму самолету Albatros, который он поразил. пришлось отпустить его в пике. Баварские архивы сообщают, что наблюдатель оберлейтенант Леонард (Leonhard) из состава 3-го (баварского) полевого авиаотряда [Feldflieger Abteilung 3b (bayrisch); FFA 3b] был ранен в тот же день под Люневилем На следующий день, 26 августа, Гаррос и де Бернис повторили атаку, причем де Бернис произвел три выстрела по «Альбатросу», который скрылся в облаке. Немецкие архивы сообщают о гибели в воздушном бою над Нанси командира FFA 5 гауптмана (капитана) Вернера Керкзика (Werner Kerksieck). Однако нет никаких указаний на то, что немецкий самолет был сбит, поскольку Керкзик был не пилотом, а наблюдателем (25749).</w:t>
      </w:r>
    </w:p>
    <w:p w14:paraId="26232142" w14:textId="77777777" w:rsidR="000C5FAC" w:rsidRPr="00B52707" w:rsidRDefault="000C5FAC" w:rsidP="000C5FAC">
      <w:pPr>
        <w:jc w:val="both"/>
        <w:rPr>
          <w:color w:val="0070C0"/>
          <w:sz w:val="16"/>
          <w:szCs w:val="16"/>
        </w:rPr>
      </w:pPr>
    </w:p>
    <w:p w14:paraId="5EBFDFE3"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 и воздухоплавание Англии:</w:t>
      </w:r>
    </w:p>
    <w:p w14:paraId="01FCDF49" w14:textId="77777777" w:rsidR="00B67D7C" w:rsidRPr="00DE096C" w:rsidRDefault="00B67D7C" w:rsidP="00D45A46">
      <w:pPr>
        <w:shd w:val="clear" w:color="auto" w:fill="FFFFFF"/>
        <w:jc w:val="both"/>
        <w:rPr>
          <w:bCs/>
          <w:i/>
          <w:color w:val="002060"/>
          <w:sz w:val="16"/>
          <w:szCs w:val="16"/>
        </w:rPr>
      </w:pPr>
    </w:p>
    <w:p w14:paraId="5D0EA280" w14:textId="11FEF20A" w:rsidR="00B67D7C" w:rsidRPr="00DE096C" w:rsidRDefault="00B67D7C" w:rsidP="00D45A46">
      <w:pPr>
        <w:jc w:val="both"/>
        <w:rPr>
          <w:bCs/>
          <w:color w:val="002060"/>
          <w:sz w:val="16"/>
          <w:szCs w:val="16"/>
        </w:rPr>
      </w:pPr>
      <w:r w:rsidRPr="00DE096C">
        <w:rPr>
          <w:bCs/>
          <w:color w:val="002060"/>
          <w:sz w:val="16"/>
          <w:szCs w:val="16"/>
        </w:rPr>
        <w:t>12 (25) августа 1914 год, 2-ой лейтенант Р.Б.Скини и механик Р.К.Барлоу из 3-й эскадрильии при выполнении тренировочного полёта из Незерайвона в Дувр из-за поломки двигателя совершили вынужденную посадку. Устранив неисправность на своём «Блерио»</w:t>
      </w:r>
      <w:r w:rsidR="00552299" w:rsidRPr="00DE096C">
        <w:rPr>
          <w:bCs/>
          <w:color w:val="002060"/>
          <w:sz w:val="16"/>
          <w:szCs w:val="16"/>
        </w:rPr>
        <w:t>,</w:t>
      </w:r>
      <w:r w:rsidRPr="00DE096C">
        <w:rPr>
          <w:bCs/>
          <w:color w:val="002060"/>
          <w:sz w:val="16"/>
          <w:szCs w:val="16"/>
        </w:rPr>
        <w:t xml:space="preserve"> пилоты снова поднялись в воздух. Но их машина внезапно потеряла высоту и врезалась в дерево. Оба пилота погибли. Скини и Барлоу считаются первыми английскими лётчиками</w:t>
      </w:r>
      <w:r w:rsidR="00552299" w:rsidRPr="00DE096C">
        <w:rPr>
          <w:bCs/>
          <w:color w:val="002060"/>
          <w:sz w:val="16"/>
          <w:szCs w:val="16"/>
        </w:rPr>
        <w:t>,</w:t>
      </w:r>
      <w:r w:rsidRPr="00DE096C">
        <w:rPr>
          <w:bCs/>
          <w:color w:val="002060"/>
          <w:sz w:val="16"/>
          <w:szCs w:val="16"/>
        </w:rPr>
        <w:t xml:space="preserve"> погибшими при выполнении служебных обязанностей</w:t>
      </w:r>
    </w:p>
    <w:p w14:paraId="157CDE13" w14:textId="77777777" w:rsidR="00B67D7C" w:rsidRPr="00DE096C" w:rsidRDefault="00B67D7C" w:rsidP="00D45A46">
      <w:pPr>
        <w:jc w:val="both"/>
        <w:rPr>
          <w:bCs/>
          <w:color w:val="002060"/>
          <w:sz w:val="16"/>
          <w:szCs w:val="16"/>
        </w:rPr>
      </w:pPr>
    </w:p>
    <w:p w14:paraId="7F9AFB55" w14:textId="77777777" w:rsidR="00463704" w:rsidRPr="00DE096C" w:rsidRDefault="00463704" w:rsidP="00D45A46">
      <w:pPr>
        <w:jc w:val="both"/>
        <w:rPr>
          <w:bCs/>
          <w:color w:val="002060"/>
          <w:sz w:val="16"/>
          <w:szCs w:val="16"/>
        </w:rPr>
      </w:pPr>
      <w:r w:rsidRPr="00DE096C">
        <w:rPr>
          <w:bCs/>
          <w:color w:val="002060"/>
          <w:sz w:val="16"/>
          <w:szCs w:val="16"/>
        </w:rPr>
        <w:t>12 (25) августа в 1914 году 2-ой лейтенант Р.Б.Скини и механик Р.К.Барлоу из 3-й эскадрильии при выполнении тренировочного полёта из Незерайвона в Дувр из-за поломки двигателя совершили вынужденную посадку. Устранив неисправность на своём «Блерио» пилоты снова поднялись в воздух. Но их машина внезапно потеряла высоту и врезалась в дерево. Оба пилота погибли. Скини и Барлоу считаются первыми английскими лётчиками, погибшими при выполнении служебных обязанностей (14981).</w:t>
      </w:r>
    </w:p>
    <w:p w14:paraId="77A8EE53" w14:textId="77777777" w:rsidR="00463704" w:rsidRPr="00DE096C" w:rsidRDefault="00463704" w:rsidP="00D45A46">
      <w:pPr>
        <w:jc w:val="both"/>
        <w:rPr>
          <w:bCs/>
          <w:color w:val="002060"/>
          <w:sz w:val="16"/>
          <w:szCs w:val="16"/>
        </w:rPr>
      </w:pPr>
    </w:p>
    <w:p w14:paraId="3D221521" w14:textId="77777777" w:rsidR="006B72FA" w:rsidRPr="00DE096C" w:rsidRDefault="006B72FA" w:rsidP="00D45A46">
      <w:pPr>
        <w:jc w:val="both"/>
        <w:rPr>
          <w:bCs/>
          <w:color w:val="002060"/>
          <w:sz w:val="16"/>
          <w:szCs w:val="16"/>
        </w:rPr>
      </w:pPr>
      <w:r w:rsidRPr="00DE096C">
        <w:rPr>
          <w:bCs/>
          <w:color w:val="002060"/>
          <w:sz w:val="16"/>
          <w:szCs w:val="16"/>
        </w:rPr>
        <w:t xml:space="preserve">12 (25) августа 1914 г. во время массового вылета на разведку — сразу три B.E.2 — группа летчиков 2-й эскадрильи RFC была атакована одиночным германским самолетом типа «Таубе», который изображал из себя истребитель. Пулеметов не было ни на одном из самолетов, поэтому весь бой представлял собой просто маневры для демонстративного прижимания врага колесами сверху и хаотической стрельбой из личного оружия. В этом «цирке» более удачливыми оказались британцы, </w:t>
      </w:r>
      <w:r w:rsidRPr="00DE096C">
        <w:rPr>
          <w:bCs/>
          <w:color w:val="002060"/>
          <w:sz w:val="16"/>
          <w:szCs w:val="16"/>
        </w:rPr>
        <w:lastRenderedPageBreak/>
        <w:t>которые смогли принудить своего «визави» к посадке. Приземлившиеся рядом с совершившим посадку немцем лейтенанты Хьюберт Харви-Келли и Уильям Мэнсфилд уже не обнаружили германского экипажа, зато смогли срезать с аэроплана несколько сувениров и поджечь его. Так была одержана первая воздушная победа в истории британской авиации (22739).</w:t>
      </w:r>
    </w:p>
    <w:p w14:paraId="5F915945" w14:textId="77777777" w:rsidR="006B72FA" w:rsidRPr="00DE096C" w:rsidRDefault="006B72FA" w:rsidP="00D45A46">
      <w:pPr>
        <w:jc w:val="both"/>
        <w:rPr>
          <w:bCs/>
          <w:color w:val="002060"/>
          <w:sz w:val="16"/>
          <w:szCs w:val="16"/>
        </w:rPr>
      </w:pPr>
    </w:p>
    <w:p w14:paraId="73394619" w14:textId="77777777" w:rsidR="000C5FAC" w:rsidRPr="00B52707" w:rsidRDefault="000C5FAC" w:rsidP="000C5FAC">
      <w:pPr>
        <w:jc w:val="both"/>
        <w:rPr>
          <w:color w:val="0070C0"/>
          <w:sz w:val="16"/>
          <w:szCs w:val="16"/>
        </w:rPr>
      </w:pPr>
      <w:r w:rsidRPr="00B52707">
        <w:rPr>
          <w:color w:val="0070C0"/>
          <w:sz w:val="16"/>
          <w:szCs w:val="16"/>
        </w:rPr>
        <w:t>12 (25) августа 1914 года, три экипажа Королевского летного корпуса заявили, что три немецких самолёта были вынуждены приземлиться в пределах их позиций в Ле-Като (Le Cateau), Ле-Кеснуа (Le Quesnoy) и к югу от Мобежа (Maubeuge). Ни один немецкий документ не позволяет проверить эти претензии, которые к тому же игнорируются британским командованием (25749).</w:t>
      </w:r>
    </w:p>
    <w:p w14:paraId="77433513" w14:textId="77777777" w:rsidR="000C5FAC" w:rsidRPr="00B52707" w:rsidRDefault="000C5FAC" w:rsidP="000C5FAC">
      <w:pPr>
        <w:jc w:val="both"/>
        <w:rPr>
          <w:color w:val="0070C0"/>
          <w:sz w:val="16"/>
          <w:szCs w:val="16"/>
        </w:rPr>
      </w:pPr>
    </w:p>
    <w:p w14:paraId="726033A6" w14:textId="77777777" w:rsidR="00344A8B" w:rsidRPr="00DE096C" w:rsidRDefault="00344A8B" w:rsidP="00D45A46">
      <w:pPr>
        <w:jc w:val="both"/>
        <w:rPr>
          <w:bCs/>
          <w:i/>
          <w:color w:val="002060"/>
          <w:sz w:val="16"/>
          <w:szCs w:val="16"/>
        </w:rPr>
      </w:pPr>
      <w:r w:rsidRPr="00DE096C">
        <w:rPr>
          <w:bCs/>
          <w:i/>
          <w:color w:val="002060"/>
          <w:sz w:val="16"/>
          <w:szCs w:val="16"/>
        </w:rPr>
        <w:t>За рубежом:</w:t>
      </w:r>
    </w:p>
    <w:p w14:paraId="6FAA62B6" w14:textId="77777777" w:rsidR="00344A8B" w:rsidRPr="00DE096C" w:rsidRDefault="00344A8B" w:rsidP="00D45A46">
      <w:pPr>
        <w:jc w:val="both"/>
        <w:rPr>
          <w:bCs/>
          <w:color w:val="002060"/>
          <w:sz w:val="16"/>
          <w:szCs w:val="16"/>
        </w:rPr>
      </w:pPr>
    </w:p>
    <w:p w14:paraId="7699C03F" w14:textId="77777777" w:rsidR="00344A8B" w:rsidRPr="00DE096C" w:rsidRDefault="00344A8B" w:rsidP="00D45A46">
      <w:pPr>
        <w:jc w:val="both"/>
        <w:rPr>
          <w:bCs/>
          <w:color w:val="002060"/>
          <w:sz w:val="16"/>
          <w:szCs w:val="16"/>
        </w:rPr>
      </w:pPr>
      <w:r w:rsidRPr="00DE096C">
        <w:rPr>
          <w:bCs/>
          <w:color w:val="002060"/>
          <w:sz w:val="16"/>
          <w:szCs w:val="16"/>
        </w:rPr>
        <w:t>12 (25) августа в 1914 году немецкие войска берут неприступные укрепления, преграждающие дорогу на Францию (14993).</w:t>
      </w:r>
    </w:p>
    <w:p w14:paraId="037132E4" w14:textId="77777777" w:rsidR="00344A8B" w:rsidRPr="00DE096C" w:rsidRDefault="00344A8B" w:rsidP="00D45A46">
      <w:pPr>
        <w:jc w:val="both"/>
        <w:rPr>
          <w:bCs/>
          <w:color w:val="002060"/>
          <w:sz w:val="16"/>
          <w:szCs w:val="16"/>
        </w:rPr>
      </w:pPr>
    </w:p>
    <w:p w14:paraId="28BA0E00" w14:textId="77777777" w:rsidR="00344A8B" w:rsidRPr="00DE096C" w:rsidRDefault="00344A8B" w:rsidP="00D45A46">
      <w:pPr>
        <w:jc w:val="both"/>
        <w:rPr>
          <w:bCs/>
          <w:color w:val="002060"/>
          <w:sz w:val="16"/>
          <w:szCs w:val="16"/>
        </w:rPr>
      </w:pPr>
      <w:r w:rsidRPr="00DE096C">
        <w:rPr>
          <w:bCs/>
          <w:color w:val="002060"/>
          <w:sz w:val="16"/>
          <w:szCs w:val="16"/>
        </w:rPr>
        <w:t>12 (25) августа в 1914 году Япония объявляет войну Австро-Венгрии (14993).</w:t>
      </w:r>
    </w:p>
    <w:p w14:paraId="04B7E02F" w14:textId="77777777" w:rsidR="00344A8B" w:rsidRPr="00DE096C" w:rsidRDefault="00344A8B" w:rsidP="00D45A46">
      <w:pPr>
        <w:jc w:val="both"/>
        <w:rPr>
          <w:bCs/>
          <w:color w:val="002060"/>
          <w:sz w:val="16"/>
          <w:szCs w:val="16"/>
        </w:rPr>
      </w:pPr>
    </w:p>
    <w:p w14:paraId="1D2017CF" w14:textId="77777777" w:rsidR="00B67D7C" w:rsidRPr="00DE096C" w:rsidRDefault="00B67D7C" w:rsidP="00D45A46">
      <w:pPr>
        <w:jc w:val="both"/>
        <w:rPr>
          <w:bCs/>
          <w:i/>
          <w:color w:val="002060"/>
          <w:sz w:val="16"/>
          <w:szCs w:val="16"/>
        </w:rPr>
      </w:pPr>
      <w:r w:rsidRPr="00DE096C">
        <w:rPr>
          <w:bCs/>
          <w:i/>
          <w:color w:val="002060"/>
          <w:sz w:val="16"/>
          <w:szCs w:val="16"/>
        </w:rPr>
        <w:t>Самолетостроение:</w:t>
      </w:r>
    </w:p>
    <w:p w14:paraId="733E2488" w14:textId="77777777" w:rsidR="00B67D7C" w:rsidRPr="00DE096C" w:rsidRDefault="00B67D7C" w:rsidP="00D45A46">
      <w:pPr>
        <w:jc w:val="both"/>
        <w:rPr>
          <w:bCs/>
          <w:i/>
          <w:color w:val="002060"/>
          <w:sz w:val="16"/>
          <w:szCs w:val="16"/>
        </w:rPr>
      </w:pPr>
    </w:p>
    <w:p w14:paraId="12E1D1DB" w14:textId="5E3D393E" w:rsidR="008E0C02" w:rsidRPr="00DE096C" w:rsidRDefault="008E0C02" w:rsidP="00D45A46">
      <w:pPr>
        <w:jc w:val="both"/>
        <w:rPr>
          <w:bCs/>
          <w:color w:val="002060"/>
          <w:sz w:val="16"/>
          <w:szCs w:val="16"/>
        </w:rPr>
      </w:pPr>
      <w:r w:rsidRPr="00DE096C">
        <w:rPr>
          <w:bCs/>
          <w:color w:val="002060"/>
          <w:sz w:val="16"/>
          <w:szCs w:val="16"/>
        </w:rPr>
        <w:t>13 (26) августа 1914 г. сделка от 27 июля (9 августа) 1914 г., когда МГШ просил командира Петроградского порта о даче Р-БВЗ срочного наряда на приобретение "гидроаэроплана системы Сикорский-15 с 125НР (125 л.с. — А А) мотором Аргус, стоимостью 14,000 руб",</w:t>
      </w:r>
      <w:r w:rsidR="0006581C">
        <w:rPr>
          <w:bCs/>
          <w:color w:val="002060"/>
          <w:sz w:val="16"/>
          <w:szCs w:val="16"/>
        </w:rPr>
        <w:t xml:space="preserve"> </w:t>
      </w:r>
      <w:r w:rsidRPr="00DE096C">
        <w:rPr>
          <w:bCs/>
          <w:color w:val="002060"/>
          <w:sz w:val="16"/>
          <w:szCs w:val="16"/>
        </w:rPr>
        <w:t>была официально закреп</w:t>
      </w:r>
      <w:r w:rsidRPr="00DE096C">
        <w:rPr>
          <w:bCs/>
          <w:color w:val="002060"/>
          <w:sz w:val="16"/>
          <w:szCs w:val="16"/>
        </w:rPr>
        <w:softHyphen/>
        <w:t>лена, но руководство компании неожиданно увеличило цену до 17,000 руб. Спор длился недолго и 20 августа аппарат С-15 доставили в Гребной порт вместе с двумя С-10, вариант "бис" или "в". Через два дня всех их подготовили к сдаточным испытаниям, которые пришлось отложить из-за плохой погоды. В конце сентября — начале октября 1914 г. С-15 был отправлен в Ревель и опробован там, но не удовлетворил требованиям, предъ</w:t>
      </w:r>
      <w:r w:rsidRPr="00DE096C">
        <w:rPr>
          <w:bCs/>
          <w:color w:val="002060"/>
          <w:sz w:val="16"/>
          <w:szCs w:val="16"/>
        </w:rPr>
        <w:softHyphen/>
        <w:t>являвшимся к нему. В середине октября его послали обратно на завод и более сведений о нем не поступало (2843).</w:t>
      </w:r>
    </w:p>
    <w:p w14:paraId="7C3C69A4" w14:textId="77777777" w:rsidR="008E0C02" w:rsidRPr="00DE096C" w:rsidRDefault="008E0C02" w:rsidP="00D45A46">
      <w:pPr>
        <w:shd w:val="clear" w:color="auto" w:fill="FFFFFF"/>
        <w:jc w:val="both"/>
        <w:rPr>
          <w:bCs/>
          <w:color w:val="002060"/>
          <w:sz w:val="16"/>
          <w:szCs w:val="16"/>
        </w:rPr>
      </w:pPr>
    </w:p>
    <w:p w14:paraId="4F6F2379" w14:textId="59AA2A63" w:rsidR="00B67D7C" w:rsidRPr="00DE096C" w:rsidRDefault="00FF67EC" w:rsidP="00D45A46">
      <w:pPr>
        <w:jc w:val="both"/>
        <w:rPr>
          <w:bCs/>
          <w:color w:val="002060"/>
          <w:sz w:val="16"/>
          <w:szCs w:val="16"/>
        </w:rPr>
      </w:pPr>
      <w:r w:rsidRPr="00DE096C">
        <w:rPr>
          <w:bCs/>
          <w:color w:val="002060"/>
          <w:sz w:val="16"/>
          <w:szCs w:val="16"/>
        </w:rPr>
        <w:t xml:space="preserve">13 (26) августа 1914 г. </w:t>
      </w:r>
      <w:r w:rsidR="002E1FBB" w:rsidRPr="00DE096C">
        <w:rPr>
          <w:bCs/>
          <w:color w:val="002060"/>
          <w:sz w:val="16"/>
          <w:szCs w:val="16"/>
        </w:rPr>
        <w:t>флотом приобретен</w:t>
      </w:r>
      <w:r w:rsidR="00B67D7C" w:rsidRPr="00DE096C">
        <w:rPr>
          <w:bCs/>
          <w:color w:val="002060"/>
          <w:sz w:val="16"/>
          <w:szCs w:val="16"/>
        </w:rPr>
        <w:t xml:space="preserve"> модель С-15</w:t>
      </w:r>
      <w:r w:rsidR="002E1FBB" w:rsidRPr="00DE096C">
        <w:rPr>
          <w:bCs/>
          <w:color w:val="002060"/>
          <w:sz w:val="16"/>
          <w:szCs w:val="16"/>
        </w:rPr>
        <w:t>, которая, вероятно,</w:t>
      </w:r>
      <w:r w:rsidR="00B67D7C" w:rsidRPr="00DE096C">
        <w:rPr>
          <w:bCs/>
          <w:color w:val="002060"/>
          <w:sz w:val="16"/>
          <w:szCs w:val="16"/>
        </w:rPr>
        <w:t xml:space="preserve"> являлась дальнейшим развитием одной из модифика</w:t>
      </w:r>
      <w:r w:rsidR="00B67D7C" w:rsidRPr="00DE096C">
        <w:rPr>
          <w:bCs/>
          <w:color w:val="002060"/>
          <w:sz w:val="16"/>
          <w:szCs w:val="16"/>
        </w:rPr>
        <w:softHyphen/>
        <w:t>ций модели С-10. 27 июля 1914 г. МГШ просил командира Петроградского порта о даче Р-БВЗ срочного наряда на приобретение "гидроаэроплана системы Сикорский-15 с 125НР (125 л.с. — А А) мотором Аргус, стоимостью 14,000 руб". Сделка была официально закреп</w:t>
      </w:r>
      <w:r w:rsidR="00B67D7C" w:rsidRPr="00DE096C">
        <w:rPr>
          <w:bCs/>
          <w:color w:val="002060"/>
          <w:sz w:val="16"/>
          <w:szCs w:val="16"/>
        </w:rPr>
        <w:softHyphen/>
        <w:t>лена только 13 августа, т.к. руководство компании неожиданно увеличило цену до 17,000 руб. Спор длился недолго и 20 августа аппарат С-15 доставили в Гребной порт вместе с двумя С-10, вариант "бис" или "в". Через два дня всех их подготовили к сдаточным испытаниям, которые пришлось отложить из-за плохой погоды. В конце сентября — начале октября 1914 г. С-15 был отправлен в Ревель и опробован там, но не удовлетворил требованиям, предъ</w:t>
      </w:r>
      <w:r w:rsidR="00B67D7C" w:rsidRPr="00DE096C">
        <w:rPr>
          <w:bCs/>
          <w:color w:val="002060"/>
          <w:sz w:val="16"/>
          <w:szCs w:val="16"/>
        </w:rPr>
        <w:softHyphen/>
        <w:t>являвшимся к нему. В середине октября 1914 его послали обратно на завод и более сведений о нем не поступало (2843).</w:t>
      </w:r>
    </w:p>
    <w:p w14:paraId="75B0ADD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Сведения о контракте на гидроплан С-15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B67D7C" w:rsidRPr="00DE096C" w14:paraId="42C76C34" w14:textId="77777777" w:rsidTr="00C2024A">
        <w:tc>
          <w:tcPr>
            <w:tcW w:w="4788" w:type="dxa"/>
            <w:shd w:val="clear" w:color="auto" w:fill="FFFFFF"/>
          </w:tcPr>
          <w:p w14:paraId="160A5652" w14:textId="77777777" w:rsidR="00B67D7C" w:rsidRPr="00DE096C" w:rsidRDefault="00B67D7C" w:rsidP="00D45A46">
            <w:pPr>
              <w:jc w:val="both"/>
              <w:rPr>
                <w:bCs/>
                <w:color w:val="002060"/>
                <w:sz w:val="16"/>
                <w:szCs w:val="16"/>
              </w:rPr>
            </w:pPr>
            <w:r w:rsidRPr="00DE096C">
              <w:rPr>
                <w:bCs/>
                <w:color w:val="002060"/>
                <w:sz w:val="16"/>
                <w:szCs w:val="16"/>
              </w:rPr>
              <w:t>Дата контракта</w:t>
            </w:r>
          </w:p>
        </w:tc>
        <w:tc>
          <w:tcPr>
            <w:tcW w:w="4788" w:type="dxa"/>
            <w:shd w:val="clear" w:color="auto" w:fill="FFFFFF"/>
          </w:tcPr>
          <w:p w14:paraId="259E3E44" w14:textId="77777777" w:rsidR="00B67D7C" w:rsidRPr="00DE096C" w:rsidRDefault="00B67D7C" w:rsidP="00D45A46">
            <w:pPr>
              <w:jc w:val="both"/>
              <w:rPr>
                <w:bCs/>
                <w:color w:val="002060"/>
                <w:sz w:val="16"/>
                <w:szCs w:val="16"/>
              </w:rPr>
            </w:pPr>
            <w:r w:rsidRPr="00DE096C">
              <w:rPr>
                <w:bCs/>
                <w:color w:val="002060"/>
                <w:sz w:val="16"/>
                <w:szCs w:val="16"/>
              </w:rPr>
              <w:t>Август 13 (26) 1914</w:t>
            </w:r>
          </w:p>
        </w:tc>
      </w:tr>
      <w:tr w:rsidR="00B67D7C" w:rsidRPr="00DE096C" w14:paraId="73FCB3F8" w14:textId="77777777" w:rsidTr="00C2024A">
        <w:tc>
          <w:tcPr>
            <w:tcW w:w="4788" w:type="dxa"/>
            <w:shd w:val="clear" w:color="auto" w:fill="FFFFFF"/>
          </w:tcPr>
          <w:p w14:paraId="778ED4E3" w14:textId="77777777" w:rsidR="00B67D7C" w:rsidRPr="00DE096C" w:rsidRDefault="00B67D7C" w:rsidP="00D45A46">
            <w:pPr>
              <w:jc w:val="both"/>
              <w:rPr>
                <w:bCs/>
                <w:color w:val="002060"/>
                <w:sz w:val="16"/>
                <w:szCs w:val="16"/>
              </w:rPr>
            </w:pPr>
            <w:r w:rsidRPr="00DE096C">
              <w:rPr>
                <w:bCs/>
                <w:color w:val="002060"/>
                <w:sz w:val="16"/>
                <w:szCs w:val="16"/>
              </w:rPr>
              <w:t>Число заказанных аэропланов</w:t>
            </w:r>
          </w:p>
        </w:tc>
        <w:tc>
          <w:tcPr>
            <w:tcW w:w="4788" w:type="dxa"/>
            <w:shd w:val="clear" w:color="auto" w:fill="FFFFFF"/>
          </w:tcPr>
          <w:p w14:paraId="3D8A0C0A" w14:textId="77777777" w:rsidR="00B67D7C" w:rsidRPr="00DE096C" w:rsidRDefault="00B67D7C" w:rsidP="00D45A46">
            <w:pPr>
              <w:jc w:val="both"/>
              <w:rPr>
                <w:bCs/>
                <w:color w:val="002060"/>
                <w:sz w:val="16"/>
                <w:szCs w:val="16"/>
              </w:rPr>
            </w:pPr>
            <w:r w:rsidRPr="00DE096C">
              <w:rPr>
                <w:bCs/>
                <w:color w:val="002060"/>
                <w:sz w:val="16"/>
                <w:szCs w:val="16"/>
              </w:rPr>
              <w:t>1</w:t>
            </w:r>
          </w:p>
        </w:tc>
      </w:tr>
      <w:tr w:rsidR="00B67D7C" w:rsidRPr="00DE096C" w14:paraId="04ADCAA7" w14:textId="77777777" w:rsidTr="00C2024A">
        <w:tc>
          <w:tcPr>
            <w:tcW w:w="4788" w:type="dxa"/>
            <w:shd w:val="clear" w:color="auto" w:fill="FFFFFF"/>
          </w:tcPr>
          <w:p w14:paraId="40913737" w14:textId="77777777" w:rsidR="00B67D7C" w:rsidRPr="00DE096C" w:rsidRDefault="00B67D7C" w:rsidP="00D45A46">
            <w:pPr>
              <w:jc w:val="both"/>
              <w:rPr>
                <w:bCs/>
                <w:color w:val="002060"/>
                <w:sz w:val="16"/>
                <w:szCs w:val="16"/>
              </w:rPr>
            </w:pPr>
            <w:r w:rsidRPr="00DE096C">
              <w:rPr>
                <w:bCs/>
                <w:color w:val="002060"/>
                <w:sz w:val="16"/>
                <w:szCs w:val="16"/>
              </w:rPr>
              <w:t>Заводские номера сданных аэропланов</w:t>
            </w:r>
          </w:p>
        </w:tc>
        <w:tc>
          <w:tcPr>
            <w:tcW w:w="4788" w:type="dxa"/>
            <w:shd w:val="clear" w:color="auto" w:fill="FFFFFF"/>
          </w:tcPr>
          <w:p w14:paraId="1E001837" w14:textId="77777777" w:rsidR="00B67D7C" w:rsidRPr="00DE096C" w:rsidRDefault="00B67D7C" w:rsidP="00D45A46">
            <w:pPr>
              <w:jc w:val="both"/>
              <w:rPr>
                <w:bCs/>
                <w:color w:val="002060"/>
                <w:sz w:val="16"/>
                <w:szCs w:val="16"/>
              </w:rPr>
            </w:pPr>
            <w:r w:rsidRPr="00DE096C">
              <w:rPr>
                <w:bCs/>
                <w:color w:val="002060"/>
                <w:sz w:val="16"/>
                <w:szCs w:val="16"/>
              </w:rPr>
              <w:t>-</w:t>
            </w:r>
          </w:p>
        </w:tc>
      </w:tr>
      <w:tr w:rsidR="00B67D7C" w:rsidRPr="00DE096C" w14:paraId="7672BCB5" w14:textId="77777777" w:rsidTr="00C2024A">
        <w:tc>
          <w:tcPr>
            <w:tcW w:w="4788" w:type="dxa"/>
            <w:shd w:val="clear" w:color="auto" w:fill="FFFFFF"/>
          </w:tcPr>
          <w:p w14:paraId="1A4425E3" w14:textId="77777777" w:rsidR="00B67D7C" w:rsidRPr="00DE096C" w:rsidRDefault="00B67D7C" w:rsidP="00D45A46">
            <w:pPr>
              <w:jc w:val="both"/>
              <w:rPr>
                <w:bCs/>
                <w:color w:val="002060"/>
                <w:sz w:val="16"/>
                <w:szCs w:val="16"/>
              </w:rPr>
            </w:pPr>
            <w:r w:rsidRPr="00DE096C">
              <w:rPr>
                <w:bCs/>
                <w:color w:val="002060"/>
                <w:sz w:val="16"/>
                <w:szCs w:val="16"/>
              </w:rPr>
              <w:t>Условия:</w:t>
            </w:r>
          </w:p>
        </w:tc>
        <w:tc>
          <w:tcPr>
            <w:tcW w:w="4788" w:type="dxa"/>
            <w:shd w:val="clear" w:color="auto" w:fill="FFFFFF"/>
          </w:tcPr>
          <w:p w14:paraId="436E384D" w14:textId="77777777" w:rsidR="00B67D7C" w:rsidRPr="00DE096C" w:rsidRDefault="00B67D7C" w:rsidP="00D45A46">
            <w:pPr>
              <w:jc w:val="both"/>
              <w:rPr>
                <w:bCs/>
                <w:color w:val="002060"/>
                <w:sz w:val="16"/>
                <w:szCs w:val="16"/>
              </w:rPr>
            </w:pPr>
            <w:r w:rsidRPr="00DE096C">
              <w:rPr>
                <w:bCs/>
                <w:color w:val="002060"/>
                <w:sz w:val="16"/>
                <w:szCs w:val="16"/>
              </w:rPr>
              <w:t>от 14,000 до 17,000 руб. за аппарат под мотор "Аргус" 125 л.с. Примечания: контракт расторгнут 10/12 декабря 1914 г. (2843).</w:t>
            </w:r>
          </w:p>
        </w:tc>
      </w:tr>
    </w:tbl>
    <w:p w14:paraId="2ABE6AAF" w14:textId="77777777" w:rsidR="00B67D7C" w:rsidRPr="00DE096C" w:rsidRDefault="00B67D7C" w:rsidP="00D45A46">
      <w:pPr>
        <w:shd w:val="clear" w:color="auto" w:fill="FFFFFF"/>
        <w:jc w:val="both"/>
        <w:rPr>
          <w:bCs/>
          <w:color w:val="002060"/>
          <w:sz w:val="16"/>
          <w:szCs w:val="16"/>
        </w:rPr>
      </w:pPr>
    </w:p>
    <w:p w14:paraId="660F8A06"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w:t>
      </w:r>
    </w:p>
    <w:p w14:paraId="7D2EE8D5" w14:textId="77777777" w:rsidR="00B67D7C" w:rsidRPr="00DE096C" w:rsidRDefault="00B67D7C" w:rsidP="00D45A46">
      <w:pPr>
        <w:shd w:val="clear" w:color="auto" w:fill="FFFFFF"/>
        <w:jc w:val="both"/>
        <w:rPr>
          <w:bCs/>
          <w:i/>
          <w:color w:val="002060"/>
          <w:sz w:val="16"/>
          <w:szCs w:val="16"/>
        </w:rPr>
      </w:pPr>
    </w:p>
    <w:p w14:paraId="0BA73FB9" w14:textId="77777777" w:rsidR="00B67D7C" w:rsidRPr="00DE096C" w:rsidRDefault="00B67D7C" w:rsidP="00D45A46">
      <w:pPr>
        <w:jc w:val="both"/>
        <w:rPr>
          <w:bCs/>
          <w:color w:val="002060"/>
          <w:sz w:val="16"/>
          <w:szCs w:val="16"/>
        </w:rPr>
      </w:pPr>
      <w:r w:rsidRPr="00DE096C">
        <w:rPr>
          <w:bCs/>
          <w:color w:val="002060"/>
          <w:sz w:val="16"/>
          <w:szCs w:val="16"/>
        </w:rPr>
        <w:t>13 (26) августа 1914 при перелете линии фронта был убит своими войсками военный летчик 25-го КАО поручик Гудим, 27 августа такая же участь постигла при посадке военного летчика 11-го КАО поручика Лемешко и т.д. Другие случаи имели менее трагические последствия. Так, "30 июля 1914г. начальник 7-го корпусного авиаотряда штабс-капитан Степанов вылетел для производства воздушной разведки, пролетая над местечком Ярмолинцы, подвергся обстрелу залпами... получил пробоины в стабилизатор и крыло. Расследование показало... стреляли роты 60-го пехотного Замоского полка". В тот же день летчик того же отряда поручик Сабельников попал в такую же ситуацию. Результат - 4 пробоины. Подобных примеров было много, и это вынудило командование издать приказы, запрещавшие "стрелять по своим и планирующим аппаратам, стрельбу вести только по приказу офицера или при бросании бомб противником". Господам офицерам было приказано изучить знаки своих и неприятельских аэропланов, знать их силуэты. Начальный период войны выявил плохую организацию в снабжении авиационных отрядов и рот бензином, касторовым маслом, запчастями, палатками и другим авиационным имуществом. Самолеты и моторы быстро выходили из строя в суровых полевых условиях, особенно с наступлением ненастной осенней погоды, когда остро сказались нехватка палаток и переносных ангаров, использование для аэродромов малопригодных площадок. Уже после первых месяцев войны многие авиаотряды пришлось отвести в тыл для снабжения аэропланами новых систем и для переучивания летчиков на них. Так, пилоты, летавшие на "Ньюпорах", освоили "Мораны". Широко использовалась для вооружения отрядов отремонтированная трофейная авиатехника. Поставки самолетов и назначения личного состава целиком зависели от штаба авиации, возглавлявшегося Великим князем Александром Михайловичем. Он часто назначал командирами рот и начальниками отрядов офицеров, хорошо писавших отчеты, но мало летавших. В этой ситуации протежируемые отряды снабжались самолетами вне очереди , тогда как части, несшие ответственную и тяжелую работу, оставались без аэропланов. Снабжение самолетами оставалось большой проблемой, которая часто решалась на самом высоком уровне. Так, 31 августа 1914 г. командующий 8-й армией генерал Брусилов бьет челом Великому князю: "Настоящее время лишился совершенно воздушных аппаратов, столь драгоценных для разведок, что ставит управление войсками в крайне трудное положение. ...Покорно прошу Ваше императорское высочество оказать армии величайшую помощь "Фарманами" и "Ньюпорами". Деятельность летчиков в разведке незаменима." Просьба Брусилова была удовлетворена, и армия получила 4 самолета из состава Брест-Литовского крепостного авиаотряда. Однако таких просьб было множество, а дефицит самолетов и моторов стал хронической болезнью русской авиации до конца войны. К началу боевых действий в составе воздушного флота России насчитывался 221 летчик: 170 офицеров, 35 нижних чинов и 16 вольноопределяющихся (добровольцев). На 1 января 1915 г. потери летчиков составили 33 человека или 14,9% от общего состава. Из них 6 погибли от действий неприятеля, 5 - в авариях, 22 попали в плен и пропали без вести. Среди погибших: штабс-капитаны Грузинов, Нестеров, поручики Лемешко, Гудим, старший унтер-офицер Доброшинский и др. Пропали без вести: поручики Николаевский, Шамин, Машерек и др. Ранены или разбились при падении: капитан Витковский, гвардии штабс-капитан Мельницкий, штабс-капитан Мучник, поручики Городецкий, Корнидов, Павлов, доброволец Шпицберг. Некоторые из них, например, летчик-доброволец 16-го КАО Шпицберг, впоследствии скончались в госпитале. В скорбный список боевых потерь одним из первых попал военный летчик начальник 14-го КАО Ефграф Ефграфович Грузинов, смертельно раненный шрапнелью в воздухе во время выполнения боевого задания. 17 августа он вылетел на разведку района Кщонов-Пиляш-Ковице-Быхов-Люблин и обратно не вернулся. Самолет упал на вражеской территории, которую вскоре заняли русские войска. У села Быхово близ Янова были найдены свежая могила и разбитый "Ньюпор". В могиле обнаружили тело Грузинова, вопрос местных жителей и пленных австрийцев дал представление об обстоятельствах его гибели. Выяснилось, что самолет пролетал над австрийскими позициями на высоте 1000-1200 м и был обстрелян сначала пехотой, потом артиллерийской батареей, которая дала три залпа. Два первых цели не достигли. После третьего аппарат дрогнул, перевернулся и, сделав крутой вираж, врезался в землю с работающим мотором. Посмертно высочайшим приказом штабс-капитан Грузинов был награжден орденом Святого Георгия 4-й степени. Состоялись и первые воздушные бои. Таран и героическая гибель 26 августа военного летчика начальника 11-го КАО Петра Николаевича Нестерова открыли новую эпоху борьбы в воздухе. Из вооружения у русских авиаторов имелись только пистолеты "Маузер" и карабины. Хроника тех лет описывает несколько случаев воздушных боев. Так, 28 октября в окрестностях Петроково (под Варшавой) "появился неприятельский аэроплан. Через несколько минут поднялись два наших летчика и после воздушного боя сбросили "Таубе" на землю. Немецкие авиаторы разбились. Неприятельский аэроплан исковеркан". К сожалению, подтверждения этому газетному сообщению не нашлось. А вот воздушный бой и совместные действия с артиллерией, принесшие успех военному летчику Гродненского крепостного авиаотряда поручику Семенову, были подтверждены несколькими донесениями, хранящимися в Военно-историческом архиве. 27 августа Семенов с наблюдателем корнетом Николаевым при перелете через озеро Мейер, что в Восточной Пруссии, заметил неприятельский аэроплан, летевший к Летцену. Обойдя противника с правой стороны, Семенов атаковал его, заставил спуститься ниже и изменить направление полета в район русских позиций, где тот был обстрелян и около озера упал (11237).</w:t>
      </w:r>
    </w:p>
    <w:p w14:paraId="2A4457ED" w14:textId="77777777" w:rsidR="00B67D7C" w:rsidRPr="00DE096C" w:rsidRDefault="00B67D7C" w:rsidP="00D45A46">
      <w:pPr>
        <w:jc w:val="both"/>
        <w:rPr>
          <w:bCs/>
          <w:i/>
          <w:color w:val="002060"/>
          <w:sz w:val="16"/>
          <w:szCs w:val="16"/>
        </w:rPr>
      </w:pPr>
    </w:p>
    <w:p w14:paraId="1AEDF006" w14:textId="702908A8"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13 (26) августа 1914 при перелете линии фронта был убит своими войсками военный летчик 25-го КАО поручик Гудим, 27 августа такая же участь постигла при посадке военного летчика 11-го КАО поручика Лемешко и т.д. Другие случаи имели менее трагические последствия. Так, "30 июля 1914г. начальник 7-го корпусного авиаотряда штабскапитан Степанов вылетел для производства воздушной разведки, пролетая над местечком Ярмолинцы, подвергся обстрелу залпами... получил пробоины в стабилизатор и крыло (11278). </w:t>
      </w:r>
    </w:p>
    <w:p w14:paraId="351DD040" w14:textId="77777777" w:rsidR="00B67D7C" w:rsidRPr="00DE096C" w:rsidRDefault="00B67D7C" w:rsidP="00D45A46">
      <w:pPr>
        <w:pStyle w:val="a3"/>
        <w:jc w:val="both"/>
        <w:rPr>
          <w:bCs/>
          <w:i w:val="0"/>
          <w:color w:val="002060"/>
          <w:spacing w:val="0"/>
          <w:kern w:val="0"/>
          <w:position w:val="0"/>
          <w:sz w:val="16"/>
          <w:szCs w:val="16"/>
        </w:rPr>
      </w:pPr>
    </w:p>
    <w:p w14:paraId="16EA1618" w14:textId="77777777" w:rsidR="008E0C02" w:rsidRPr="00DE096C" w:rsidRDefault="008E0C02" w:rsidP="00D45A46">
      <w:pPr>
        <w:jc w:val="both"/>
        <w:rPr>
          <w:bCs/>
          <w:color w:val="002060"/>
          <w:sz w:val="16"/>
          <w:szCs w:val="16"/>
        </w:rPr>
      </w:pPr>
      <w:r w:rsidRPr="00DE096C">
        <w:rPr>
          <w:bCs/>
          <w:color w:val="002060"/>
          <w:sz w:val="16"/>
          <w:szCs w:val="16"/>
        </w:rPr>
        <w:lastRenderedPageBreak/>
        <w:t>13 (26) августа 1914 г. при перелете линии фронта был убит своими войсками военный летчик 25-го КАО поручик Гудим, 14 (27) августа такая же участь постигла при посадке военного летчика 11-го КАО поручика Лемешко и т.д. (11237)</w:t>
      </w:r>
    </w:p>
    <w:p w14:paraId="2D5E4AB8" w14:textId="77777777" w:rsidR="008E0C02" w:rsidRPr="00DE096C" w:rsidRDefault="008E0C02" w:rsidP="00D45A46">
      <w:pPr>
        <w:jc w:val="both"/>
        <w:rPr>
          <w:bCs/>
          <w:color w:val="002060"/>
          <w:sz w:val="16"/>
          <w:szCs w:val="16"/>
        </w:rPr>
      </w:pPr>
    </w:p>
    <w:p w14:paraId="53CAF852" w14:textId="77777777" w:rsidR="00B67D7C" w:rsidRPr="00DE096C" w:rsidRDefault="00B67D7C" w:rsidP="00D45A46">
      <w:pPr>
        <w:pStyle w:val="a3"/>
        <w:jc w:val="both"/>
        <w:rPr>
          <w:bCs/>
          <w:i w:val="0"/>
          <w:color w:val="002060"/>
          <w:spacing w:val="0"/>
          <w:position w:val="0"/>
          <w:sz w:val="16"/>
          <w:szCs w:val="16"/>
        </w:rPr>
      </w:pPr>
      <w:r w:rsidRPr="00DE096C">
        <w:rPr>
          <w:bCs/>
          <w:i w:val="0"/>
          <w:color w:val="002060"/>
          <w:spacing w:val="0"/>
          <w:position w:val="0"/>
          <w:sz w:val="16"/>
          <w:szCs w:val="16"/>
        </w:rPr>
        <w:t>13 (26) августа 1914 поручик Николай Степанович Воеводский произвел разведку в районе Сольдау-Лаутенбург и, несмотря на сильный ртиллерийский обстрел и частично поврежденный пропеллер.обнаружил большое скопление немцев около Лаутенбурга. Своевременно доставленные им сведения дали возможность принять меры к отражению намечавшегося удара. Летчик награжден георгиевским оржием ("Русский инвалид". 1916 г., 30 октября).</w:t>
      </w:r>
    </w:p>
    <w:p w14:paraId="2CA55029" w14:textId="77777777" w:rsidR="00B67D7C" w:rsidRPr="00DE096C" w:rsidRDefault="00B67D7C" w:rsidP="00D45A46">
      <w:pPr>
        <w:pStyle w:val="a3"/>
        <w:jc w:val="both"/>
        <w:rPr>
          <w:bCs/>
          <w:color w:val="002060"/>
          <w:spacing w:val="0"/>
          <w:position w:val="0"/>
          <w:sz w:val="16"/>
          <w:szCs w:val="16"/>
        </w:rPr>
      </w:pPr>
    </w:p>
    <w:p w14:paraId="67C66D61" w14:textId="77777777" w:rsidR="002445DF" w:rsidRPr="00DE096C" w:rsidRDefault="002445DF" w:rsidP="00D45A46">
      <w:pPr>
        <w:jc w:val="both"/>
        <w:rPr>
          <w:bCs/>
          <w:color w:val="002060"/>
          <w:sz w:val="16"/>
          <w:szCs w:val="16"/>
        </w:rPr>
      </w:pPr>
      <w:r w:rsidRPr="00DE096C">
        <w:rPr>
          <w:bCs/>
          <w:color w:val="002060"/>
          <w:sz w:val="16"/>
          <w:szCs w:val="16"/>
        </w:rPr>
        <w:t>13 (26) августа 1914 г. поручик Николай Степанович Воеводский произвел развед</w:t>
      </w:r>
      <w:r w:rsidRPr="00DE096C">
        <w:rPr>
          <w:bCs/>
          <w:color w:val="002060"/>
          <w:sz w:val="16"/>
          <w:szCs w:val="16"/>
        </w:rPr>
        <w:softHyphen/>
        <w:t>ку в районе Сольдау-Лаутенбург-Келькин-Сольдау и несмотря на сильнйшиенй артиллерийский обстрел и частично поврежденный пропеллер обнаружил большое скопление немцев около Лаутенбурга. Своевременно доста</w:t>
      </w:r>
      <w:r w:rsidRPr="00DE096C">
        <w:rPr>
          <w:bCs/>
          <w:color w:val="002060"/>
          <w:sz w:val="16"/>
          <w:szCs w:val="16"/>
        </w:rPr>
        <w:softHyphen/>
        <w:t>вленные им сведения дали возможность принять меры к отражению наме</w:t>
      </w:r>
      <w:r w:rsidRPr="00DE096C">
        <w:rPr>
          <w:bCs/>
          <w:color w:val="002060"/>
          <w:sz w:val="16"/>
          <w:szCs w:val="16"/>
        </w:rPr>
        <w:softHyphen/>
        <w:t>чавшегося удара. Летчик награжден георгиевским оружием.</w:t>
      </w:r>
    </w:p>
    <w:p w14:paraId="425F1AA6" w14:textId="77777777" w:rsidR="002445DF" w:rsidRPr="00DE096C" w:rsidRDefault="002445DF" w:rsidP="00D45A46">
      <w:pPr>
        <w:jc w:val="both"/>
        <w:rPr>
          <w:bCs/>
          <w:color w:val="002060"/>
          <w:sz w:val="16"/>
          <w:szCs w:val="16"/>
        </w:rPr>
      </w:pPr>
      <w:r w:rsidRPr="00DE096C">
        <w:rPr>
          <w:bCs/>
          <w:color w:val="002060"/>
          <w:sz w:val="16"/>
          <w:szCs w:val="16"/>
        </w:rPr>
        <w:t>/«Русский инвалид» за 30 октября 1916/ (23320).</w:t>
      </w:r>
    </w:p>
    <w:p w14:paraId="558E282C" w14:textId="77777777" w:rsidR="002445DF" w:rsidRPr="00DE096C" w:rsidRDefault="002445DF" w:rsidP="00D45A46">
      <w:pPr>
        <w:jc w:val="both"/>
        <w:rPr>
          <w:bCs/>
          <w:color w:val="002060"/>
          <w:sz w:val="16"/>
          <w:szCs w:val="16"/>
        </w:rPr>
      </w:pPr>
    </w:p>
    <w:p w14:paraId="5D00FDB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13 (26) августа 1914 поручик Иван Дмитриевич Хризосколео, производя воздушную разведку в районе Сольдау, обнаружил два немецких корпуса, направлявшихся к полю сражения. Были приняты соответствую меры к предотвращению намечавшегося удара (ЦГВИА, ф. 493, оп. 3, д. 129, л. 147).</w:t>
      </w:r>
    </w:p>
    <w:p w14:paraId="0A129154" w14:textId="77777777" w:rsidR="00B67D7C" w:rsidRPr="00DE096C" w:rsidRDefault="00B67D7C" w:rsidP="00D45A46">
      <w:pPr>
        <w:shd w:val="clear" w:color="auto" w:fill="FFFFFF"/>
        <w:jc w:val="both"/>
        <w:rPr>
          <w:bCs/>
          <w:color w:val="002060"/>
          <w:sz w:val="16"/>
          <w:szCs w:val="16"/>
        </w:rPr>
      </w:pPr>
    </w:p>
    <w:p w14:paraId="055E054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13 (26) августа 1914 в районе станции Млава нашими войсками сбит немецкий "Цеппелин", бомбардировавший ранним утром эту станцию. Дирижаблъ опустился близ станции и был частично разрушен его экипажем, которым после этого был взят в плен. Остатки дирижабля были отправлены в Петроград. Это был первый немецкий дирижабль, сбитый русскими войсками (Воздушный справочник. 1915; ТВФ, 1914, №№'4-5).</w:t>
      </w:r>
    </w:p>
    <w:p w14:paraId="02FE4740" w14:textId="77777777" w:rsidR="00B67D7C" w:rsidRPr="00DE096C" w:rsidRDefault="00B67D7C" w:rsidP="00D45A46">
      <w:pPr>
        <w:shd w:val="clear" w:color="auto" w:fill="FFFFFF"/>
        <w:jc w:val="both"/>
        <w:rPr>
          <w:bCs/>
          <w:color w:val="002060"/>
          <w:sz w:val="16"/>
          <w:szCs w:val="16"/>
        </w:rPr>
      </w:pPr>
    </w:p>
    <w:p w14:paraId="69B2BDDD" w14:textId="77777777" w:rsidR="000C5FAC" w:rsidRPr="00B52707" w:rsidRDefault="000C5FAC" w:rsidP="000C5FAC">
      <w:pPr>
        <w:jc w:val="both"/>
        <w:rPr>
          <w:color w:val="0070C0"/>
          <w:sz w:val="16"/>
          <w:szCs w:val="16"/>
        </w:rPr>
      </w:pPr>
      <w:r w:rsidRPr="00B52707">
        <w:rPr>
          <w:color w:val="0070C0"/>
          <w:sz w:val="16"/>
          <w:szCs w:val="16"/>
        </w:rPr>
        <w:t>13-14 (26-27) августа 1914 г. в ходе проведения очередной воздушной разведки цеппелин Z-V (база – г. Кёнигсберг) атаковал русскую кавалерийскую бригаду, подвергнув ее бомбоштурмовому удару. После этого дирижабль провел бомбардировку вокзала в г. Млава. По свидетельству одного из наших летчиков, рано утром «цеппелин начал уже кидать бомбы, причем одна из них попала в зал 1-го класса вокзала, пробила крышу и разорвалась, а другая бомба была брошена на полотно железной дороги, на место высадки одного из эшелонов. На месте оказалось несколько трупов… Всего сброшено было десять бомб» (25135).</w:t>
      </w:r>
    </w:p>
    <w:p w14:paraId="092ABAC1" w14:textId="77777777" w:rsidR="000C5FAC" w:rsidRPr="00B52707" w:rsidRDefault="000C5FAC" w:rsidP="000C5FAC">
      <w:pPr>
        <w:jc w:val="both"/>
        <w:rPr>
          <w:color w:val="0070C0"/>
          <w:sz w:val="16"/>
          <w:szCs w:val="16"/>
        </w:rPr>
      </w:pPr>
    </w:p>
    <w:p w14:paraId="474B2E11" w14:textId="77777777" w:rsidR="000C5FAC" w:rsidRPr="00B52707" w:rsidRDefault="000C5FAC" w:rsidP="000C5FAC">
      <w:pPr>
        <w:jc w:val="both"/>
        <w:rPr>
          <w:color w:val="0070C0"/>
          <w:sz w:val="16"/>
          <w:szCs w:val="16"/>
        </w:rPr>
      </w:pPr>
      <w:r w:rsidRPr="00B52707">
        <w:rPr>
          <w:color w:val="0070C0"/>
          <w:sz w:val="16"/>
          <w:szCs w:val="16"/>
        </w:rPr>
        <w:t>13 (26) августа 1914 г. при перелете линии фронта был убит своими войсками военный летчик 25-го КАО поручик Гудим (25150).</w:t>
      </w:r>
    </w:p>
    <w:p w14:paraId="2A33259B" w14:textId="77777777" w:rsidR="000C5FAC" w:rsidRPr="00B52707" w:rsidRDefault="000C5FAC" w:rsidP="000C5FAC">
      <w:pPr>
        <w:jc w:val="both"/>
        <w:rPr>
          <w:color w:val="0070C0"/>
          <w:sz w:val="16"/>
          <w:szCs w:val="16"/>
        </w:rPr>
      </w:pPr>
    </w:p>
    <w:p w14:paraId="7000016B"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Морская авиация:</w:t>
      </w:r>
    </w:p>
    <w:p w14:paraId="4B43554B" w14:textId="77777777" w:rsidR="00B67D7C" w:rsidRPr="00DE096C" w:rsidRDefault="00B67D7C" w:rsidP="00D45A46">
      <w:pPr>
        <w:shd w:val="clear" w:color="auto" w:fill="FFFFFF"/>
        <w:jc w:val="both"/>
        <w:rPr>
          <w:bCs/>
          <w:i/>
          <w:color w:val="002060"/>
          <w:sz w:val="16"/>
          <w:szCs w:val="16"/>
        </w:rPr>
      </w:pPr>
    </w:p>
    <w:p w14:paraId="712BEC8B" w14:textId="3625E99F" w:rsidR="00B67D7C" w:rsidRPr="00DE096C" w:rsidRDefault="00B67D7C" w:rsidP="00D45A46">
      <w:pPr>
        <w:shd w:val="clear" w:color="auto" w:fill="FFFFFF"/>
        <w:jc w:val="both"/>
        <w:rPr>
          <w:bCs/>
          <w:color w:val="002060"/>
          <w:sz w:val="16"/>
          <w:szCs w:val="16"/>
        </w:rPr>
      </w:pPr>
      <w:r w:rsidRPr="00DE096C">
        <w:rPr>
          <w:bCs/>
          <w:color w:val="002060"/>
          <w:sz w:val="16"/>
          <w:szCs w:val="16"/>
        </w:rPr>
        <w:t>13 (2</w:t>
      </w:r>
      <w:r w:rsidR="002E1FBB" w:rsidRPr="00DE096C">
        <w:rPr>
          <w:bCs/>
          <w:color w:val="002060"/>
          <w:sz w:val="16"/>
          <w:szCs w:val="16"/>
        </w:rPr>
        <w:t>6</w:t>
      </w:r>
      <w:r w:rsidRPr="00DE096C">
        <w:rPr>
          <w:bCs/>
          <w:color w:val="002060"/>
          <w:sz w:val="16"/>
          <w:szCs w:val="16"/>
        </w:rPr>
        <w:t xml:space="preserve">) августа 1914 года </w:t>
      </w:r>
      <w:r w:rsidR="002E1FBB" w:rsidRPr="00DE096C">
        <w:rPr>
          <w:bCs/>
          <w:color w:val="002060"/>
          <w:sz w:val="16"/>
          <w:szCs w:val="16"/>
        </w:rPr>
        <w:t xml:space="preserve">Мобилизационная записка Северного воздушного района Службы связи Черного моря свидетельствует о наличии </w:t>
      </w:r>
      <w:r w:rsidRPr="00DE096C">
        <w:rPr>
          <w:bCs/>
          <w:color w:val="002060"/>
          <w:sz w:val="16"/>
          <w:szCs w:val="16"/>
        </w:rPr>
        <w:t>10 боевых (7 летающих лодок «Кертисс-Д» и 3 поплавковых гидропланов «Моран-Сонье») и 6 учебных аппаратов («Кертисс-Е» со слабыми моторами). Двухместные аппараты модели «Д» развивали скорость полета 110 км/час, поднимались на высоту 1000 м за 15 мин, радиус действия их достигал 275 км, полезная нагрузка не превышала 150 кг. Лет-но-технический персонал состоял из 12 пилотов и 3 учеников в обер-офицерских чинах, 16 авиационных унтер-офицеров, за</w:t>
      </w:r>
      <w:r w:rsidRPr="00DE096C">
        <w:rPr>
          <w:bCs/>
          <w:color w:val="002060"/>
          <w:sz w:val="16"/>
          <w:szCs w:val="16"/>
        </w:rPr>
        <w:softHyphen/>
        <w:t>ведующих аппаратами и моторами, 26 матросов.</w:t>
      </w:r>
    </w:p>
    <w:p w14:paraId="3D1E899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Фактически район располагал тремя отрядами: первый бо</w:t>
      </w:r>
      <w:r w:rsidRPr="00DE096C">
        <w:rPr>
          <w:bCs/>
          <w:color w:val="002060"/>
          <w:sz w:val="16"/>
          <w:szCs w:val="16"/>
        </w:rPr>
        <w:softHyphen/>
        <w:t>евой прибрежного базирования имел 3 «Кертисс-Д» и 3 «Мо-ран-Сонье»; второй боевой корабельного базирования - 4 «Кер</w:t>
      </w:r>
      <w:r w:rsidRPr="00DE096C">
        <w:rPr>
          <w:bCs/>
          <w:color w:val="002060"/>
          <w:sz w:val="16"/>
          <w:szCs w:val="16"/>
        </w:rPr>
        <w:softHyphen/>
        <w:t>тисс-Д»; а также резервный. Все отряды находились в обращенной устьем к Стрелецкому рейду Круглой бухте, где завершалось инженерное оборудование авиастанции «Круглая бухта». Первая станция в Килен-бухте, получившая наимено</w:t>
      </w:r>
      <w:r w:rsidRPr="00DE096C">
        <w:rPr>
          <w:bCs/>
          <w:color w:val="002060"/>
          <w:sz w:val="16"/>
          <w:szCs w:val="16"/>
        </w:rPr>
        <w:softHyphen/>
        <w:t>вание «Севастополь», использовалась в качестве штабного, ре</w:t>
      </w:r>
      <w:r w:rsidRPr="00DE096C">
        <w:rPr>
          <w:bCs/>
          <w:color w:val="002060"/>
          <w:sz w:val="16"/>
          <w:szCs w:val="16"/>
        </w:rPr>
        <w:softHyphen/>
        <w:t>монтного и учебного центра. Постройка станций «Ак-Мечеть» и «Овидиополь» продолжалась.</w:t>
      </w:r>
    </w:p>
    <w:p w14:paraId="5790E0F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Следует упомянуть, что на Северной стороне города разме</w:t>
      </w:r>
      <w:r w:rsidRPr="00DE096C">
        <w:rPr>
          <w:bCs/>
          <w:color w:val="002060"/>
          <w:sz w:val="16"/>
          <w:szCs w:val="16"/>
        </w:rPr>
        <w:softHyphen/>
        <w:t>щался армейский авиаотряд, имевший 8 колесных аэропланов разных типов и лишь 3 пилотов - офицеров. Командир отря</w:t>
      </w:r>
      <w:r w:rsidRPr="00DE096C">
        <w:rPr>
          <w:bCs/>
          <w:color w:val="002060"/>
          <w:sz w:val="16"/>
          <w:szCs w:val="16"/>
        </w:rPr>
        <w:softHyphen/>
        <w:t>да штабс-капитан Карачаев был подчинен коменданту Севас</w:t>
      </w:r>
      <w:r w:rsidRPr="00DE096C">
        <w:rPr>
          <w:bCs/>
          <w:color w:val="002060"/>
          <w:sz w:val="16"/>
          <w:szCs w:val="16"/>
        </w:rPr>
        <w:softHyphen/>
        <w:t>топольской крепости генерал-лейтенанту Ананьину.</w:t>
      </w:r>
    </w:p>
    <w:p w14:paraId="6C1404C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С учетом опыта практического использования и разрабо</w:t>
      </w:r>
      <w:r w:rsidRPr="00DE096C">
        <w:rPr>
          <w:bCs/>
          <w:color w:val="002060"/>
          <w:sz w:val="16"/>
          <w:szCs w:val="16"/>
        </w:rPr>
        <w:softHyphen/>
        <w:t>танной авиационным комитетом «Программы по гидроавиа</w:t>
      </w:r>
      <w:r w:rsidRPr="00DE096C">
        <w:rPr>
          <w:bCs/>
          <w:color w:val="002060"/>
          <w:sz w:val="16"/>
          <w:szCs w:val="16"/>
        </w:rPr>
        <w:softHyphen/>
        <w:t>ции на 1914 год», командующий Морскими силами Черного моря поставил боевым отрядам следующие задачи: прово</w:t>
      </w:r>
      <w:r w:rsidRPr="00DE096C">
        <w:rPr>
          <w:bCs/>
          <w:color w:val="002060"/>
          <w:sz w:val="16"/>
          <w:szCs w:val="16"/>
        </w:rPr>
        <w:softHyphen/>
        <w:t>дить разведку в море, опираясь на плавучую базу или берего</w:t>
      </w:r>
      <w:r w:rsidRPr="00DE096C">
        <w:rPr>
          <w:bCs/>
          <w:color w:val="002060"/>
          <w:sz w:val="16"/>
          <w:szCs w:val="16"/>
        </w:rPr>
        <w:softHyphen/>
        <w:t>вую станцию; обнаруживать минные заграждения неприяте</w:t>
      </w:r>
      <w:r w:rsidRPr="00DE096C">
        <w:rPr>
          <w:bCs/>
          <w:color w:val="002060"/>
          <w:sz w:val="16"/>
          <w:szCs w:val="16"/>
        </w:rPr>
        <w:softHyphen/>
        <w:t>ля; обнаруживать подводные лодки и давать оповещения; атаковать бомбами военные суда.</w:t>
      </w:r>
    </w:p>
    <w:p w14:paraId="570923D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С началом Первой мировой войны на еще не воевавшем Черноморском флоте была организована воздушная дозор</w:t>
      </w:r>
      <w:r w:rsidRPr="00DE096C">
        <w:rPr>
          <w:bCs/>
          <w:color w:val="002060"/>
          <w:sz w:val="16"/>
          <w:szCs w:val="16"/>
        </w:rPr>
        <w:softHyphen/>
        <w:t>ная служба. Ежедневно с восходом и перед заходом солнца морская авиация совершала разведывательные полеты на рас</w:t>
      </w:r>
      <w:r w:rsidRPr="00DE096C">
        <w:rPr>
          <w:bCs/>
          <w:color w:val="002060"/>
          <w:sz w:val="16"/>
          <w:szCs w:val="16"/>
        </w:rPr>
        <w:softHyphen/>
        <w:t>стояние 25-30 миль от Херсонесского маяка, что позволяло пилоту и наблюдателю осматривать морскую поверхность в хорошую погоду на большую дальность. Поскольку летаю</w:t>
      </w:r>
      <w:r w:rsidRPr="00DE096C">
        <w:rPr>
          <w:bCs/>
          <w:color w:val="002060"/>
          <w:sz w:val="16"/>
          <w:szCs w:val="16"/>
        </w:rPr>
        <w:softHyphen/>
        <w:t>щие лодки не имели радиостанций, доклады о разведке при</w:t>
      </w:r>
      <w:r w:rsidRPr="00DE096C">
        <w:rPr>
          <w:bCs/>
          <w:color w:val="002060"/>
          <w:sz w:val="16"/>
          <w:szCs w:val="16"/>
        </w:rPr>
        <w:softHyphen/>
        <w:t>ходилось делать по возвращении на авиастанцию. При выхо</w:t>
      </w:r>
      <w:r w:rsidRPr="00DE096C">
        <w:rPr>
          <w:bCs/>
          <w:color w:val="002060"/>
          <w:sz w:val="16"/>
          <w:szCs w:val="16"/>
        </w:rPr>
        <w:softHyphen/>
        <w:t>дах эскадры в море авиастанция обеспечивала разведку фарватеров, обнаружение заграждений и неприятельских ко</w:t>
      </w:r>
      <w:r w:rsidRPr="00DE096C">
        <w:rPr>
          <w:bCs/>
          <w:color w:val="002060"/>
          <w:sz w:val="16"/>
          <w:szCs w:val="16"/>
        </w:rPr>
        <w:softHyphen/>
        <w:t>раблей. Пилоты могли подавать условные сигналы с помо</w:t>
      </w:r>
      <w:r w:rsidRPr="00DE096C">
        <w:rPr>
          <w:bCs/>
          <w:color w:val="002060"/>
          <w:sz w:val="16"/>
          <w:szCs w:val="16"/>
        </w:rPr>
        <w:softHyphen/>
        <w:t>щью цветных дымков (11283).</w:t>
      </w:r>
    </w:p>
    <w:p w14:paraId="14B089DC" w14:textId="77777777" w:rsidR="00B67D7C" w:rsidRPr="00DE096C" w:rsidRDefault="00B67D7C" w:rsidP="00D45A46">
      <w:pPr>
        <w:shd w:val="clear" w:color="auto" w:fill="FFFFFF"/>
        <w:jc w:val="both"/>
        <w:rPr>
          <w:bCs/>
          <w:color w:val="002060"/>
          <w:sz w:val="16"/>
          <w:szCs w:val="16"/>
        </w:rPr>
      </w:pPr>
    </w:p>
    <w:p w14:paraId="53A56A7A" w14:textId="218636E7" w:rsidR="00B67D7C" w:rsidRPr="00DE096C" w:rsidRDefault="00B67D7C" w:rsidP="00D45A46">
      <w:pPr>
        <w:jc w:val="both"/>
        <w:rPr>
          <w:bCs/>
          <w:color w:val="002060"/>
          <w:sz w:val="16"/>
          <w:szCs w:val="16"/>
        </w:rPr>
      </w:pPr>
      <w:r w:rsidRPr="00DE096C">
        <w:rPr>
          <w:bCs/>
          <w:color w:val="002060"/>
          <w:sz w:val="16"/>
          <w:szCs w:val="16"/>
        </w:rPr>
        <w:t xml:space="preserve">13 </w:t>
      </w:r>
      <w:r w:rsidR="002E1FBB" w:rsidRPr="00DE096C">
        <w:rPr>
          <w:bCs/>
          <w:color w:val="002060"/>
          <w:sz w:val="16"/>
          <w:szCs w:val="16"/>
        </w:rPr>
        <w:t xml:space="preserve">(26) </w:t>
      </w:r>
      <w:r w:rsidRPr="00DE096C">
        <w:rPr>
          <w:bCs/>
          <w:color w:val="002060"/>
          <w:sz w:val="16"/>
          <w:szCs w:val="16"/>
        </w:rPr>
        <w:t>августа 1914 г. в докладе Морского генерального штаба за № 425 говорилось, что во всей авиации на Балтике насчитывается всего лишь четыре аэроплана: два С-10 Сикорского, одна летающая лодка М-1 Щетинина и одна "Донне-Левек" (та, что находилась в ремонте). Для увеличения численности морских аппаратов Морскому ведомству предлагалось "срочно сделать заказ русским заводам", в частности, заказать Щетинину четыре летающих лодки типа М-1. Впрочем, в морском министерстве было известно о разработке Григоровичем уже более совершенных образцов, поэтому первая летающая лодка М-1 осталась в единственном экземпляре и разделила судьбу многих других эксплуатирующихся самолетов.</w:t>
      </w:r>
    </w:p>
    <w:p w14:paraId="0BF2B4F2" w14:textId="77777777" w:rsidR="00B67D7C" w:rsidRPr="00DE096C" w:rsidRDefault="00B67D7C" w:rsidP="00D45A46">
      <w:pPr>
        <w:jc w:val="both"/>
        <w:rPr>
          <w:bCs/>
          <w:color w:val="002060"/>
          <w:sz w:val="16"/>
          <w:szCs w:val="16"/>
        </w:rPr>
      </w:pPr>
      <w:r w:rsidRPr="00DE096C">
        <w:rPr>
          <w:bCs/>
          <w:color w:val="002060"/>
          <w:sz w:val="16"/>
          <w:szCs w:val="16"/>
        </w:rPr>
        <w:t>В первые недели войны командованием была признана необходимость основать третью авиационную станцию в Ревеле (первоначально в порту Петра Великого, затем в устье реки Бригитовки). Она считалась тыловой и предназначалась для сборки поступившей боевой техники, проведения испытаний и обучения личного состава. Дополнительно на эту станцию возлагались задачи прикрытия штаба и главной базы флота в Гельсингфорсе, штаба Службы связи Балтийского моря и базы в Ревеле (12052).</w:t>
      </w:r>
    </w:p>
    <w:p w14:paraId="79146D98" w14:textId="77777777" w:rsidR="00B67D7C" w:rsidRPr="00DE096C" w:rsidRDefault="00B67D7C" w:rsidP="00D45A46">
      <w:pPr>
        <w:jc w:val="both"/>
        <w:rPr>
          <w:bCs/>
          <w:color w:val="002060"/>
          <w:sz w:val="16"/>
          <w:szCs w:val="16"/>
        </w:rPr>
      </w:pPr>
    </w:p>
    <w:p w14:paraId="2032FB77" w14:textId="3E643C39" w:rsidR="006B72FA" w:rsidRPr="00DE096C" w:rsidRDefault="006B72FA" w:rsidP="00D45A46">
      <w:pPr>
        <w:shd w:val="clear" w:color="auto" w:fill="FFFFFF"/>
        <w:jc w:val="both"/>
        <w:rPr>
          <w:bCs/>
          <w:i/>
          <w:color w:val="002060"/>
          <w:sz w:val="16"/>
          <w:szCs w:val="16"/>
        </w:rPr>
      </w:pPr>
      <w:r w:rsidRPr="00DE096C">
        <w:rPr>
          <w:bCs/>
          <w:i/>
          <w:color w:val="002060"/>
          <w:sz w:val="16"/>
          <w:szCs w:val="16"/>
        </w:rPr>
        <w:t>Военное воздухоплавание:</w:t>
      </w:r>
    </w:p>
    <w:p w14:paraId="5EE5CD22" w14:textId="77777777" w:rsidR="006B72FA" w:rsidRPr="00DE096C" w:rsidRDefault="006B72FA" w:rsidP="00D45A46">
      <w:pPr>
        <w:shd w:val="clear" w:color="auto" w:fill="FFFFFF"/>
        <w:jc w:val="both"/>
        <w:rPr>
          <w:bCs/>
          <w:i/>
          <w:color w:val="002060"/>
          <w:sz w:val="16"/>
          <w:szCs w:val="16"/>
        </w:rPr>
      </w:pPr>
    </w:p>
    <w:p w14:paraId="687839DD" w14:textId="77777777" w:rsidR="006B72FA" w:rsidRPr="00DE096C" w:rsidRDefault="006B72FA" w:rsidP="00D45A46">
      <w:pPr>
        <w:jc w:val="both"/>
        <w:rPr>
          <w:bCs/>
          <w:color w:val="002060"/>
          <w:sz w:val="16"/>
          <w:szCs w:val="16"/>
        </w:rPr>
      </w:pPr>
      <w:r w:rsidRPr="00DE096C">
        <w:rPr>
          <w:bCs/>
          <w:color w:val="002060"/>
          <w:sz w:val="16"/>
          <w:szCs w:val="16"/>
        </w:rPr>
        <w:t>13 (26) августа 1914 г. комендантом крепости Ивангород был назначен гене</w:t>
      </w:r>
      <w:r w:rsidRPr="00DE096C">
        <w:rPr>
          <w:bCs/>
          <w:color w:val="002060"/>
          <w:sz w:val="16"/>
          <w:szCs w:val="16"/>
        </w:rPr>
        <w:softHyphen/>
        <w:t>рал-майор Алексей Владимирович фон Шварц — талантливый военный инженер, участник оборо</w:t>
      </w:r>
      <w:r w:rsidRPr="00DE096C">
        <w:rPr>
          <w:bCs/>
          <w:color w:val="002060"/>
          <w:sz w:val="16"/>
          <w:szCs w:val="16"/>
        </w:rPr>
        <w:softHyphen/>
        <w:t>ны Порт-Артура.</w:t>
      </w:r>
    </w:p>
    <w:p w14:paraId="6750CC84" w14:textId="77777777" w:rsidR="006B72FA" w:rsidRPr="00DE096C" w:rsidRDefault="006B72FA" w:rsidP="00D45A46">
      <w:pPr>
        <w:jc w:val="both"/>
        <w:rPr>
          <w:bCs/>
          <w:color w:val="002060"/>
          <w:sz w:val="16"/>
          <w:szCs w:val="16"/>
        </w:rPr>
      </w:pPr>
      <w:r w:rsidRPr="00DE096C">
        <w:rPr>
          <w:bCs/>
          <w:color w:val="002060"/>
          <w:sz w:val="16"/>
          <w:szCs w:val="16"/>
        </w:rPr>
        <w:t>Крепость Ивангород защи</w:t>
      </w:r>
      <w:r w:rsidRPr="00DE096C">
        <w:rPr>
          <w:bCs/>
          <w:color w:val="002060"/>
          <w:sz w:val="16"/>
          <w:szCs w:val="16"/>
        </w:rPr>
        <w:softHyphen/>
        <w:t>щала Варшаву с юга, образуя с ней и крепостью Новогеоргиевск укреплённый район.</w:t>
      </w:r>
    </w:p>
    <w:p w14:paraId="21C2E01D" w14:textId="77777777" w:rsidR="006B72FA" w:rsidRPr="00DE096C" w:rsidRDefault="006B72FA" w:rsidP="00D45A46">
      <w:pPr>
        <w:jc w:val="both"/>
        <w:rPr>
          <w:bCs/>
          <w:color w:val="002060"/>
          <w:sz w:val="16"/>
          <w:szCs w:val="16"/>
        </w:rPr>
      </w:pPr>
      <w:r w:rsidRPr="00DE096C">
        <w:rPr>
          <w:bCs/>
          <w:color w:val="002060"/>
          <w:sz w:val="16"/>
          <w:szCs w:val="16"/>
        </w:rPr>
        <w:t>А.В. Шварц запросил в Бресте привязные аэростаты, и 19 августа в его распоряжение при</w:t>
      </w:r>
      <w:r w:rsidRPr="00DE096C">
        <w:rPr>
          <w:bCs/>
          <w:color w:val="002060"/>
          <w:sz w:val="16"/>
          <w:szCs w:val="16"/>
        </w:rPr>
        <w:softHyphen/>
        <w:t>слали 6-ю воздухоплавательную роту с двумя станциями змейковых аэростатов. 29 августа в Ивангород прибыла 14-я воздухоплаватель</w:t>
      </w:r>
      <w:r w:rsidRPr="00DE096C">
        <w:rPr>
          <w:bCs/>
          <w:color w:val="002060"/>
          <w:sz w:val="16"/>
          <w:szCs w:val="16"/>
        </w:rPr>
        <w:softHyphen/>
        <w:t>ная рота, сформированная из состава батальо</w:t>
      </w:r>
      <w:r w:rsidRPr="00DE096C">
        <w:rPr>
          <w:bCs/>
          <w:color w:val="002060"/>
          <w:sz w:val="16"/>
          <w:szCs w:val="16"/>
        </w:rPr>
        <w:softHyphen/>
        <w:t>на ОВШ (командир — капитан А.Н. Вегенер).</w:t>
      </w:r>
    </w:p>
    <w:p w14:paraId="4C1C6B30" w14:textId="77777777" w:rsidR="006B72FA" w:rsidRPr="00DE096C" w:rsidRDefault="006B72FA" w:rsidP="00D45A46">
      <w:pPr>
        <w:jc w:val="both"/>
        <w:rPr>
          <w:bCs/>
          <w:color w:val="002060"/>
          <w:sz w:val="16"/>
          <w:szCs w:val="16"/>
        </w:rPr>
      </w:pPr>
      <w:r w:rsidRPr="00DE096C">
        <w:rPr>
          <w:bCs/>
          <w:color w:val="002060"/>
          <w:sz w:val="16"/>
          <w:szCs w:val="16"/>
        </w:rPr>
        <w:t>В середине сентября гарнизон крепости усилила 5-я воздухоплавательная рота штабс-капитана Дукшт-Дукшинского.</w:t>
      </w:r>
    </w:p>
    <w:p w14:paraId="7948E22E" w14:textId="77777777" w:rsidR="006B72FA" w:rsidRPr="00DE096C" w:rsidRDefault="006B72FA" w:rsidP="00D45A46">
      <w:pPr>
        <w:jc w:val="both"/>
        <w:rPr>
          <w:bCs/>
          <w:color w:val="002060"/>
          <w:sz w:val="16"/>
          <w:szCs w:val="16"/>
        </w:rPr>
      </w:pPr>
      <w:r w:rsidRPr="00DE096C">
        <w:rPr>
          <w:bCs/>
          <w:color w:val="002060"/>
          <w:sz w:val="16"/>
          <w:szCs w:val="16"/>
        </w:rPr>
        <w:t>По прибытии 14-й воздухоплавательной роты в крепость Ивангород одновременно с устрой</w:t>
      </w:r>
      <w:r w:rsidRPr="00DE096C">
        <w:rPr>
          <w:bCs/>
          <w:color w:val="002060"/>
          <w:sz w:val="16"/>
          <w:szCs w:val="16"/>
        </w:rPr>
        <w:softHyphen/>
        <w:t>ством базы и тылового склада и обучением лич</w:t>
      </w:r>
      <w:r w:rsidRPr="00DE096C">
        <w:rPr>
          <w:bCs/>
          <w:color w:val="002060"/>
          <w:sz w:val="16"/>
          <w:szCs w:val="16"/>
        </w:rPr>
        <w:softHyphen/>
        <w:t>ного состава роты службе воздухоплавателей на войне производились подъёмы на аэростате для изучения крепостного района, вероятных позиций противника под крепостью, разведки видимости крепостных сооружений со стороны противника днём и ночью, а также обучение ко</w:t>
      </w:r>
      <w:r w:rsidRPr="00DE096C">
        <w:rPr>
          <w:bCs/>
          <w:color w:val="002060"/>
          <w:sz w:val="16"/>
          <w:szCs w:val="16"/>
        </w:rPr>
        <w:softHyphen/>
        <w:t>мандующего состава роты приёмам воздушной разведки и подготовки наблюдателей-артилле</w:t>
      </w:r>
      <w:r w:rsidRPr="00DE096C">
        <w:rPr>
          <w:bCs/>
          <w:color w:val="002060"/>
          <w:sz w:val="16"/>
          <w:szCs w:val="16"/>
        </w:rPr>
        <w:softHyphen/>
        <w:t>ристов (20120).</w:t>
      </w:r>
    </w:p>
    <w:p w14:paraId="7C1A056E" w14:textId="77777777" w:rsidR="006B72FA" w:rsidRPr="00DE096C" w:rsidRDefault="006B72FA" w:rsidP="00D45A46">
      <w:pPr>
        <w:jc w:val="both"/>
        <w:rPr>
          <w:bCs/>
          <w:color w:val="002060"/>
          <w:sz w:val="16"/>
          <w:szCs w:val="16"/>
        </w:rPr>
      </w:pPr>
    </w:p>
    <w:p w14:paraId="1FBD5D93"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Армия:</w:t>
      </w:r>
    </w:p>
    <w:p w14:paraId="3EBBA5E5" w14:textId="77777777" w:rsidR="00B67D7C" w:rsidRPr="00DE096C" w:rsidRDefault="00B67D7C" w:rsidP="00D45A46">
      <w:pPr>
        <w:shd w:val="clear" w:color="auto" w:fill="FFFFFF"/>
        <w:jc w:val="both"/>
        <w:rPr>
          <w:bCs/>
          <w:i/>
          <w:color w:val="002060"/>
          <w:sz w:val="16"/>
          <w:szCs w:val="16"/>
        </w:rPr>
      </w:pPr>
    </w:p>
    <w:p w14:paraId="5319CCCA" w14:textId="77777777" w:rsidR="002445DF"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13 (26) августа 1914 г.</w:t>
      </w:r>
      <w:r w:rsidR="002E1FBB" w:rsidRPr="00DE096C">
        <w:rPr>
          <w:bCs/>
          <w:i w:val="0"/>
          <w:color w:val="002060"/>
          <w:spacing w:val="0"/>
          <w:kern w:val="0"/>
          <w:position w:val="0"/>
          <w:sz w:val="16"/>
          <w:szCs w:val="16"/>
        </w:rPr>
        <w:t xml:space="preserve"> были</w:t>
      </w:r>
      <w:r w:rsidR="002445DF" w:rsidRPr="00DE096C">
        <w:rPr>
          <w:bCs/>
          <w:i w:val="0"/>
          <w:color w:val="002060"/>
          <w:spacing w:val="0"/>
          <w:kern w:val="0"/>
          <w:position w:val="0"/>
          <w:sz w:val="16"/>
          <w:szCs w:val="16"/>
        </w:rPr>
        <w:t xml:space="preserve"> утвержденны</w:t>
      </w:r>
      <w:r w:rsidR="002E1FBB" w:rsidRPr="00DE096C">
        <w:rPr>
          <w:bCs/>
          <w:i w:val="0"/>
          <w:color w:val="002060"/>
          <w:spacing w:val="0"/>
          <w:kern w:val="0"/>
          <w:position w:val="0"/>
          <w:sz w:val="16"/>
          <w:szCs w:val="16"/>
        </w:rPr>
        <w:t xml:space="preserve"> </w:t>
      </w:r>
      <w:r w:rsidR="002445DF" w:rsidRPr="00DE096C">
        <w:rPr>
          <w:bCs/>
          <w:i w:val="0"/>
          <w:color w:val="002060"/>
          <w:spacing w:val="0"/>
          <w:kern w:val="0"/>
          <w:position w:val="0"/>
          <w:sz w:val="16"/>
          <w:szCs w:val="16"/>
        </w:rPr>
        <w:t>правила о сборе оружия, однако, их неудовлетворительность</w:t>
      </w:r>
      <w:r w:rsidRPr="00DE096C">
        <w:rPr>
          <w:bCs/>
          <w:i w:val="0"/>
          <w:color w:val="002060"/>
          <w:spacing w:val="0"/>
          <w:kern w:val="0"/>
          <w:position w:val="0"/>
          <w:sz w:val="16"/>
          <w:szCs w:val="16"/>
        </w:rPr>
        <w:t>, вызвала уже 21 того же августа издание указаний главного начальника снабжений Юго-западного фронта о порядке сбора, хранения и перевозки оружия и огнеприпасов, собираемых на полях сражении и остающихся от больных и раненых.</w:t>
      </w:r>
    </w:p>
    <w:p w14:paraId="1FD23A8D" w14:textId="77777777" w:rsidR="002445DF" w:rsidRPr="00DE096C" w:rsidRDefault="002445DF"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Единственным руководящим указанием в начале войны по вопросу о сборе оружия являлась ст. 536 "Положения о полевом управлении войск в военное время", изд. 1914 г., согласно которой инспектор артиллерии корпуса обязывался: после боя озабочиваться "сбором оружия и огнестрельных припасов, оставшихся на поле сражения, руководствуясь особым по сему Положением" Это особое Положение было утверждено лишь 13 августа 1914 г., дошло же до войск значительно позднее, что впрочем, ввиду крайней его неудовлетворительности, не могло иметь существенных последствий. </w:t>
      </w:r>
    </w:p>
    <w:p w14:paraId="26A7D30D" w14:textId="73AB689C" w:rsidR="00B67D7C" w:rsidRPr="00DE096C" w:rsidRDefault="002445DF"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Действительно, возлагая сбор оружия на инспекторов артиллерии в корпусах, Положение не предоставляло никаких к тому реальных средств. Сбор оружия всецело зависел от усмотрения командиров корпусов, организация сбора носила случайный характер и не могла считаться сколько-нибудь прочной (отчет генерал-инспарта о командировке на Юго-западный фронт).</w:t>
      </w:r>
      <w:r w:rsidR="00B67D7C" w:rsidRPr="00DE096C">
        <w:rPr>
          <w:bCs/>
          <w:i w:val="0"/>
          <w:color w:val="002060"/>
          <w:spacing w:val="0"/>
          <w:kern w:val="0"/>
          <w:position w:val="0"/>
          <w:sz w:val="16"/>
          <w:szCs w:val="16"/>
        </w:rPr>
        <w:t xml:space="preserve"> </w:t>
      </w:r>
    </w:p>
    <w:p w14:paraId="0F5871EB"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Согласно указаниям Юго-западного фронта собираемое оружие и огнеприпасы следовало сдавать ближайшим этапным комендантам и по распоряжениям этапно-хозяйственных отделов армий сосредоточивать во временных складах, устраиваемых при некоторых этапах (согласно п. 12 "Положения 13 августа" требовалась </w:t>
      </w:r>
      <w:r w:rsidRPr="00DE096C">
        <w:rPr>
          <w:bCs/>
          <w:i w:val="0"/>
          <w:color w:val="002060"/>
          <w:spacing w:val="0"/>
          <w:kern w:val="0"/>
          <w:position w:val="0"/>
          <w:sz w:val="16"/>
          <w:szCs w:val="16"/>
        </w:rPr>
        <w:lastRenderedPageBreak/>
        <w:t xml:space="preserve">отправка в ближайшие склады огнестрельных припасов, организация которых, однако, вовсе не предусматривалась Положением). Для сбора оружия и всех огнеприпасов в каждом корпусе, а равно в отдельном отряде наряжались: а) заведующий сбором оружия и огнеприпасов, б) рабочие, в) строевые части для наблюдения за рабочими и г) необходимые перевозочные средства. В предвидении сбора значительного количества оставленных на поле сражения оружия и боевых припасов в помощь заведующему сбором назначался артиллерийский офицер с необходимым числом солдат. Заведующий сбором подчинялся корпусному коменданту. Указаниями определялся порядок сортировки, чистки, использования, направления оружия в Брестский и Киевский артсклады и т. д. </w:t>
      </w:r>
    </w:p>
    <w:p w14:paraId="4F16EFD4"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Отсутствие штатных организаций для сбора оружия давало себя знать, и вскоре после начала войны последовал приказ верховного главнокомандующего 1914 г., № 169, которым учреждалась сеть штаб-офицеров для заведывания в армиях сбором и исправлением оружия, а для объединения этого дела на фронтах при управлениях начальников артснабжения фронтов были назначены особые штаб-офицеры для поручений. Деятельность этих офицеров не была определена при учреждении должностей, что повлекло издание каждым из фронтов самостоятельно отдельных указаний, весьма существенно отличавшихся друг от друга. </w:t>
      </w:r>
    </w:p>
    <w:p w14:paraId="3DFB7F58"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Первым реагировал Юго-западный фронт, главнокомандующий которого 31 января 1915 г. утвердил наставление для штаб-офицеров, назначенных согласно приказу главковерха № 169. По наставлению Юго-западного фронта они подчинялись заведующему артчастью ЭХО армии и на них возлагалось: </w:t>
      </w:r>
    </w:p>
    <w:p w14:paraId="745118F3"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а) Ближайшее наблюдение за сбором ручного оружия и патронов как русских, так и иностранных с полей сражения, а также и организация такого сбора, где это потребуется. (Имея своей главной задачей сбор винтовок, пулеметов и патронов, они обязаны были оказывать по возможности содействие сбору и охранению и других нужных армии предметов вооружения и снаряжения.) </w:t>
      </w:r>
    </w:p>
    <w:p w14:paraId="66371524"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б) Наблюдение за доставкой названных в п. "а" предметов в пункты, избранные начальником этапно-хозяйственного отдела, как временные склады оружия армии. </w:t>
      </w:r>
    </w:p>
    <w:p w14:paraId="6A32F173"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 Организация подвижных оружейных мастерских при в р е м е н н ых складах оружия армии и руководство их деятельностью (ближайшее заведывание этими мастерскими могло быть возложено штаб-офицером на одного из находившихся в его ведении классных оружейных мастеров). </w:t>
      </w:r>
    </w:p>
    <w:p w14:paraId="3F65ADC8"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г) Наблюдение и руководство сортировкой собранного оружия - приведением в порядок оружия в армейских мастерских, отпуском оружия, своевременной отправкой оружия в тыл, обором и приемом оружия от населения. </w:t>
      </w:r>
    </w:p>
    <w:p w14:paraId="3AC8A5CD"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д) Наблюдение за состоянием оружия в войсковых частях. В непосредственном их подчинении состояли заведующий временным складом оружия, его помощники три классных оружейных мастера. </w:t>
      </w:r>
    </w:p>
    <w:p w14:paraId="3E8D82A3"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В распоряжении каждого из них была особая команда для сбора оружия, осмотра полей сражений, сосредоточения всего подобранного в те или другие пункты и для окарауливажия оружия. Наставление заключало в себе ряд указаний ро ремонту, выдаче оружия и т. п. (11483).</w:t>
      </w:r>
    </w:p>
    <w:p w14:paraId="55D986E6" w14:textId="77777777" w:rsidR="00B67D7C" w:rsidRPr="00DE096C" w:rsidRDefault="00B67D7C" w:rsidP="00D45A46">
      <w:pPr>
        <w:pStyle w:val="a3"/>
        <w:jc w:val="both"/>
        <w:rPr>
          <w:bCs/>
          <w:i w:val="0"/>
          <w:color w:val="002060"/>
          <w:spacing w:val="0"/>
          <w:kern w:val="0"/>
          <w:position w:val="0"/>
          <w:sz w:val="16"/>
          <w:szCs w:val="16"/>
        </w:rPr>
      </w:pPr>
    </w:p>
    <w:p w14:paraId="1518FDAC" w14:textId="77777777" w:rsidR="00C445B0" w:rsidRPr="00DE096C" w:rsidRDefault="00C445B0" w:rsidP="00D45A46">
      <w:pPr>
        <w:jc w:val="both"/>
        <w:rPr>
          <w:bCs/>
          <w:i/>
          <w:color w:val="002060"/>
          <w:sz w:val="16"/>
          <w:szCs w:val="16"/>
        </w:rPr>
      </w:pPr>
      <w:r w:rsidRPr="00DE096C">
        <w:rPr>
          <w:bCs/>
          <w:i/>
          <w:color w:val="002060"/>
          <w:sz w:val="16"/>
          <w:szCs w:val="16"/>
        </w:rPr>
        <w:t>Жизнь и внутренняя политика:</w:t>
      </w:r>
    </w:p>
    <w:p w14:paraId="7AC87A56" w14:textId="77777777" w:rsidR="00C445B0" w:rsidRPr="00DE096C" w:rsidRDefault="00C445B0" w:rsidP="00D45A46">
      <w:pPr>
        <w:jc w:val="both"/>
        <w:rPr>
          <w:bCs/>
          <w:i/>
          <w:color w:val="002060"/>
          <w:sz w:val="16"/>
          <w:szCs w:val="16"/>
        </w:rPr>
      </w:pPr>
    </w:p>
    <w:p w14:paraId="780A20B0" w14:textId="73B4DBF9" w:rsidR="00C445B0" w:rsidRPr="00DE096C" w:rsidRDefault="00C445B0" w:rsidP="00D45A46">
      <w:pPr>
        <w:jc w:val="both"/>
        <w:rPr>
          <w:bCs/>
          <w:color w:val="002060"/>
          <w:sz w:val="16"/>
          <w:szCs w:val="16"/>
        </w:rPr>
      </w:pPr>
      <w:r w:rsidRPr="00DE096C">
        <w:rPr>
          <w:bCs/>
          <w:color w:val="002060"/>
          <w:sz w:val="16"/>
          <w:szCs w:val="16"/>
        </w:rPr>
        <w:t xml:space="preserve">13 </w:t>
      </w:r>
      <w:r w:rsidR="002445DF" w:rsidRPr="00DE096C">
        <w:rPr>
          <w:bCs/>
          <w:color w:val="002060"/>
          <w:sz w:val="16"/>
          <w:szCs w:val="16"/>
        </w:rPr>
        <w:t xml:space="preserve">(26) </w:t>
      </w:r>
      <w:r w:rsidRPr="00DE096C">
        <w:rPr>
          <w:bCs/>
          <w:color w:val="002060"/>
          <w:sz w:val="16"/>
          <w:szCs w:val="16"/>
        </w:rPr>
        <w:t>августа в 1914 году в России вводится военная цензура (14982).</w:t>
      </w:r>
    </w:p>
    <w:p w14:paraId="3794EC0F" w14:textId="77777777" w:rsidR="00C445B0" w:rsidRPr="00DE096C" w:rsidRDefault="00C445B0" w:rsidP="00D45A46">
      <w:pPr>
        <w:jc w:val="both"/>
        <w:rPr>
          <w:bCs/>
          <w:color w:val="002060"/>
          <w:sz w:val="16"/>
          <w:szCs w:val="16"/>
        </w:rPr>
      </w:pPr>
    </w:p>
    <w:p w14:paraId="6730D97B"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Авиация и воздухоплавание Англии:</w:t>
      </w:r>
    </w:p>
    <w:p w14:paraId="58144250" w14:textId="77777777" w:rsidR="00B67D7C" w:rsidRPr="00DE096C" w:rsidRDefault="00B67D7C" w:rsidP="00D45A46">
      <w:pPr>
        <w:pStyle w:val="a3"/>
        <w:jc w:val="both"/>
        <w:rPr>
          <w:bCs/>
          <w:color w:val="002060"/>
          <w:spacing w:val="0"/>
          <w:kern w:val="0"/>
          <w:position w:val="0"/>
          <w:sz w:val="16"/>
          <w:szCs w:val="16"/>
        </w:rPr>
      </w:pPr>
    </w:p>
    <w:p w14:paraId="1C40CFDB" w14:textId="77777777" w:rsidR="00B67D7C" w:rsidRPr="00DE096C" w:rsidRDefault="00B67D7C" w:rsidP="00D45A46">
      <w:pPr>
        <w:jc w:val="both"/>
        <w:rPr>
          <w:bCs/>
          <w:color w:val="002060"/>
          <w:sz w:val="16"/>
          <w:szCs w:val="16"/>
        </w:rPr>
      </w:pPr>
      <w:r w:rsidRPr="00DE096C">
        <w:rPr>
          <w:bCs/>
          <w:color w:val="002060"/>
          <w:sz w:val="16"/>
          <w:szCs w:val="16"/>
        </w:rPr>
        <w:t>13 (26) августа 1914 год, начали свои полёты первыми прибывшие во Францию 2-я, 3-я, 4-я и 5-я английские эскадрильи, у которых на вооружении находились ВЕ2, Блерио, Форман, Форман, ВЕ8 и Авро 504. Форманы являлись первыми вооружёнными английскими самолётами</w:t>
      </w:r>
    </w:p>
    <w:p w14:paraId="7D72C166" w14:textId="77777777" w:rsidR="00B67D7C" w:rsidRPr="00DE096C" w:rsidRDefault="00B67D7C" w:rsidP="00D45A46">
      <w:pPr>
        <w:jc w:val="both"/>
        <w:rPr>
          <w:bCs/>
          <w:color w:val="002060"/>
          <w:sz w:val="16"/>
          <w:szCs w:val="16"/>
        </w:rPr>
      </w:pPr>
    </w:p>
    <w:p w14:paraId="367252C7" w14:textId="4332D946"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13 (26) августа 1914 </w:t>
      </w:r>
      <w:r w:rsidR="002445DF" w:rsidRPr="00DE096C">
        <w:rPr>
          <w:bCs/>
          <w:color w:val="002060"/>
          <w:sz w:val="16"/>
          <w:szCs w:val="16"/>
        </w:rPr>
        <w:t xml:space="preserve">из выступления английского премьер-министра Асквита на состоявшейся </w:t>
      </w:r>
      <w:r w:rsidRPr="00DE096C">
        <w:rPr>
          <w:bCs/>
          <w:color w:val="002060"/>
          <w:sz w:val="16"/>
          <w:szCs w:val="16"/>
        </w:rPr>
        <w:t>Ассамблее: «Мы были связаны обязательствами, принуждающими нас обеспечи</w:t>
      </w:r>
      <w:r w:rsidRPr="00DE096C">
        <w:rPr>
          <w:bCs/>
          <w:color w:val="002060"/>
          <w:sz w:val="16"/>
          <w:szCs w:val="16"/>
        </w:rPr>
        <w:softHyphen/>
        <w:t>вать и поддерживать маленькое, нейтральное государство — Бельгию, которой угрожала опасность...»</w:t>
      </w:r>
    </w:p>
    <w:p w14:paraId="5ADE655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Английский план войны сводился к развертыванию во Франции (в районе Ле-Като, Мобеж, Гирсон) небольшой экспедиционной армии с целью самостоятельных действий вдоль морского побережья (11060).</w:t>
      </w:r>
    </w:p>
    <w:p w14:paraId="20E2E4FF" w14:textId="77777777" w:rsidR="00B67D7C" w:rsidRPr="00DE096C" w:rsidRDefault="00B67D7C" w:rsidP="00D45A46">
      <w:pPr>
        <w:shd w:val="clear" w:color="auto" w:fill="FFFFFF"/>
        <w:jc w:val="both"/>
        <w:rPr>
          <w:bCs/>
          <w:color w:val="002060"/>
          <w:sz w:val="16"/>
          <w:szCs w:val="16"/>
        </w:rPr>
      </w:pPr>
    </w:p>
    <w:p w14:paraId="3B77C010"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 и воздухоплавание Франции:</w:t>
      </w:r>
    </w:p>
    <w:p w14:paraId="7C0FECD7" w14:textId="77777777" w:rsidR="00B67D7C" w:rsidRPr="00DE096C" w:rsidRDefault="00B67D7C" w:rsidP="00D45A46">
      <w:pPr>
        <w:shd w:val="clear" w:color="auto" w:fill="FFFFFF"/>
        <w:jc w:val="both"/>
        <w:rPr>
          <w:bCs/>
          <w:i/>
          <w:color w:val="002060"/>
          <w:sz w:val="16"/>
          <w:szCs w:val="16"/>
        </w:rPr>
      </w:pPr>
    </w:p>
    <w:p w14:paraId="09FDFBCE" w14:textId="10C61B57" w:rsidR="00B67D7C" w:rsidRPr="00DE096C" w:rsidRDefault="00B67D7C" w:rsidP="00D45A46">
      <w:pPr>
        <w:jc w:val="both"/>
        <w:rPr>
          <w:bCs/>
          <w:color w:val="002060"/>
          <w:sz w:val="16"/>
          <w:szCs w:val="16"/>
        </w:rPr>
      </w:pPr>
      <w:r w:rsidRPr="00DE096C">
        <w:rPr>
          <w:bCs/>
          <w:color w:val="002060"/>
          <w:sz w:val="16"/>
          <w:szCs w:val="16"/>
        </w:rPr>
        <w:t>13 (26) августа 1914 - 3-я французская эскадрилья в составе шести аэропланов "Блерио" придается "Эльзасской армии" с задачей летать в районе боев, беря на борт по 3 легких бомбы, и бомбардировать любые попадающиеся на глаза скопления противника.</w:t>
      </w:r>
    </w:p>
    <w:p w14:paraId="6FB1BF83" w14:textId="77777777" w:rsidR="00B67D7C" w:rsidRPr="00DE096C" w:rsidRDefault="00B67D7C" w:rsidP="00D45A46">
      <w:pPr>
        <w:jc w:val="both"/>
        <w:rPr>
          <w:bCs/>
          <w:color w:val="002060"/>
          <w:sz w:val="16"/>
          <w:szCs w:val="16"/>
        </w:rPr>
      </w:pPr>
      <w:r w:rsidRPr="00DE096C">
        <w:rPr>
          <w:bCs/>
          <w:color w:val="002060"/>
          <w:sz w:val="16"/>
          <w:szCs w:val="16"/>
        </w:rPr>
        <w:t>Из донесения штаба 7-й германской армии главному командованию: "Наши летчики отлично выполняют свои обязанности. Французские летчики не используются для дальней разведки и работают больше в целях ближней разведки, в разведке поля сражения, и в этом отношении они превосходят наших летчиков".</w:t>
      </w:r>
    </w:p>
    <w:p w14:paraId="110CEED7" w14:textId="77777777" w:rsidR="00B67D7C" w:rsidRPr="00DE096C" w:rsidRDefault="00B67D7C" w:rsidP="00D45A46">
      <w:pPr>
        <w:jc w:val="both"/>
        <w:rPr>
          <w:bCs/>
          <w:color w:val="002060"/>
          <w:sz w:val="16"/>
          <w:szCs w:val="16"/>
        </w:rPr>
      </w:pPr>
      <w:r w:rsidRPr="00DE096C">
        <w:rPr>
          <w:bCs/>
          <w:color w:val="002060"/>
          <w:sz w:val="16"/>
          <w:szCs w:val="16"/>
        </w:rPr>
        <w:t>Это донесение свидетельствует о внимательном отношении немцев к действиям не только своей авиации (11999).</w:t>
      </w:r>
    </w:p>
    <w:p w14:paraId="38337776" w14:textId="77777777" w:rsidR="00B67D7C" w:rsidRPr="00DE096C" w:rsidRDefault="00B67D7C" w:rsidP="00D45A46">
      <w:pPr>
        <w:jc w:val="both"/>
        <w:rPr>
          <w:bCs/>
          <w:color w:val="002060"/>
          <w:sz w:val="16"/>
          <w:szCs w:val="16"/>
        </w:rPr>
      </w:pPr>
    </w:p>
    <w:p w14:paraId="6B01ACEE" w14:textId="62D075F2" w:rsidR="007378DE" w:rsidRPr="00DE096C" w:rsidRDefault="007378DE" w:rsidP="00D45A46">
      <w:pPr>
        <w:shd w:val="clear" w:color="auto" w:fill="FFFFFF"/>
        <w:jc w:val="both"/>
        <w:rPr>
          <w:bCs/>
          <w:i/>
          <w:color w:val="002060"/>
          <w:sz w:val="16"/>
          <w:szCs w:val="16"/>
        </w:rPr>
      </w:pPr>
      <w:r w:rsidRPr="00DE096C">
        <w:rPr>
          <w:bCs/>
          <w:i/>
          <w:color w:val="002060"/>
          <w:sz w:val="16"/>
          <w:szCs w:val="16"/>
        </w:rPr>
        <w:t>За рубежом:</w:t>
      </w:r>
    </w:p>
    <w:p w14:paraId="3A540B17" w14:textId="77777777" w:rsidR="007378DE" w:rsidRPr="00DE096C" w:rsidRDefault="007378DE" w:rsidP="00D45A46">
      <w:pPr>
        <w:shd w:val="clear" w:color="auto" w:fill="FFFFFF"/>
        <w:jc w:val="both"/>
        <w:rPr>
          <w:bCs/>
          <w:i/>
          <w:color w:val="002060"/>
          <w:sz w:val="16"/>
          <w:szCs w:val="16"/>
        </w:rPr>
      </w:pPr>
    </w:p>
    <w:p w14:paraId="33C110BB" w14:textId="77777777" w:rsidR="00652E60" w:rsidRPr="00DE096C" w:rsidRDefault="00652E60" w:rsidP="00D45A46">
      <w:pPr>
        <w:jc w:val="both"/>
        <w:rPr>
          <w:bCs/>
          <w:color w:val="002060"/>
          <w:sz w:val="16"/>
          <w:szCs w:val="16"/>
        </w:rPr>
      </w:pPr>
      <w:r w:rsidRPr="00DE096C">
        <w:rPr>
          <w:bCs/>
          <w:color w:val="002060"/>
          <w:sz w:val="16"/>
          <w:szCs w:val="16"/>
        </w:rPr>
        <w:t>13 (26) августа 1914 г. полковник — артиллерист Жан Батист Этьен написал: «Победителем в этой войне будет тот, кто первым подвезет к нужному месту 75-мм орудие» (22820).</w:t>
      </w:r>
    </w:p>
    <w:p w14:paraId="10ABA583" w14:textId="77777777" w:rsidR="00652E60" w:rsidRPr="00DE096C" w:rsidRDefault="00652E60" w:rsidP="00D45A46">
      <w:pPr>
        <w:jc w:val="both"/>
        <w:rPr>
          <w:bCs/>
          <w:color w:val="002060"/>
          <w:sz w:val="16"/>
          <w:szCs w:val="16"/>
        </w:rPr>
      </w:pPr>
    </w:p>
    <w:p w14:paraId="11AC6B89" w14:textId="77777777" w:rsidR="00C445B0" w:rsidRPr="00DE096C" w:rsidRDefault="00C445B0" w:rsidP="00D45A46">
      <w:pPr>
        <w:jc w:val="both"/>
        <w:rPr>
          <w:bCs/>
          <w:i/>
          <w:color w:val="002060"/>
          <w:sz w:val="16"/>
          <w:szCs w:val="16"/>
        </w:rPr>
      </w:pPr>
      <w:r w:rsidRPr="00DE096C">
        <w:rPr>
          <w:bCs/>
          <w:i/>
          <w:color w:val="002060"/>
          <w:sz w:val="16"/>
          <w:szCs w:val="16"/>
        </w:rPr>
        <w:t>Другие оборонные отрасли:</w:t>
      </w:r>
    </w:p>
    <w:p w14:paraId="1EA62CC1" w14:textId="77777777" w:rsidR="00C445B0" w:rsidRPr="00DE096C" w:rsidRDefault="00C445B0" w:rsidP="00D45A46">
      <w:pPr>
        <w:jc w:val="both"/>
        <w:rPr>
          <w:bCs/>
          <w:i/>
          <w:color w:val="002060"/>
          <w:sz w:val="16"/>
          <w:szCs w:val="16"/>
        </w:rPr>
      </w:pPr>
    </w:p>
    <w:p w14:paraId="680FB49D" w14:textId="01BFB39B" w:rsidR="00C445B0" w:rsidRPr="00DE096C" w:rsidRDefault="00C445B0" w:rsidP="00D45A46">
      <w:pPr>
        <w:pStyle w:val="ae"/>
        <w:spacing w:before="0" w:beforeAutospacing="0" w:after="0" w:afterAutospacing="0"/>
        <w:jc w:val="both"/>
        <w:rPr>
          <w:bCs/>
          <w:color w:val="002060"/>
          <w:sz w:val="16"/>
          <w:szCs w:val="16"/>
        </w:rPr>
      </w:pPr>
      <w:r w:rsidRPr="00DE096C">
        <w:rPr>
          <w:bCs/>
          <w:color w:val="002060"/>
          <w:sz w:val="16"/>
          <w:szCs w:val="16"/>
        </w:rPr>
        <w:t xml:space="preserve">14 </w:t>
      </w:r>
      <w:r w:rsidR="002445DF" w:rsidRPr="00DE096C">
        <w:rPr>
          <w:bCs/>
          <w:color w:val="002060"/>
          <w:sz w:val="16"/>
          <w:szCs w:val="16"/>
        </w:rPr>
        <w:t xml:space="preserve">(27) </w:t>
      </w:r>
      <w:r w:rsidRPr="00DE096C">
        <w:rPr>
          <w:bCs/>
          <w:color w:val="002060"/>
          <w:sz w:val="16"/>
          <w:szCs w:val="16"/>
        </w:rPr>
        <w:t>августа 1914 г. Военный министр В.А. Сухомлинов представлением в Совет Министров ходатайствовал о сооружении 300-киловаттных радиостанций в Москве на Ходынском поле и в Царском Селе под Петроградом, где была резиденция царя, а также отдельной большой приемной и маломощной передающей радиостанций в Твери. Установку станций предполагалось произвести силами РОБТиТ.</w:t>
      </w:r>
    </w:p>
    <w:p w14:paraId="3D90D655" w14:textId="77777777" w:rsidR="00C445B0" w:rsidRPr="00DE096C" w:rsidRDefault="00C445B0" w:rsidP="00D45A46">
      <w:pPr>
        <w:pStyle w:val="ae"/>
        <w:spacing w:before="0" w:beforeAutospacing="0" w:after="0" w:afterAutospacing="0"/>
        <w:jc w:val="both"/>
        <w:rPr>
          <w:bCs/>
          <w:color w:val="002060"/>
          <w:sz w:val="16"/>
          <w:szCs w:val="16"/>
        </w:rPr>
      </w:pPr>
      <w:r w:rsidRPr="00DE096C">
        <w:rPr>
          <w:bCs/>
          <w:color w:val="002060"/>
          <w:sz w:val="16"/>
          <w:szCs w:val="16"/>
        </w:rPr>
        <w:t>Заинтересованность правительства в проекте Военного ведомства была столь велика, что РОБТиТ получило от российского правительства 5 млн рублей., причем первый платеж в размере 1 млн 113 тыс. рублей прошел в момент заключения контракта.</w:t>
      </w:r>
    </w:p>
    <w:p w14:paraId="787B58E9" w14:textId="77777777" w:rsidR="00C445B0" w:rsidRPr="00DE096C" w:rsidRDefault="00C445B0" w:rsidP="00D45A46">
      <w:pPr>
        <w:pStyle w:val="ae"/>
        <w:spacing w:before="0" w:beforeAutospacing="0" w:after="0" w:afterAutospacing="0"/>
        <w:jc w:val="both"/>
        <w:rPr>
          <w:bCs/>
          <w:color w:val="002060"/>
          <w:sz w:val="16"/>
          <w:szCs w:val="16"/>
        </w:rPr>
      </w:pPr>
      <w:r w:rsidRPr="00DE096C">
        <w:rPr>
          <w:bCs/>
          <w:color w:val="002060"/>
          <w:sz w:val="16"/>
          <w:szCs w:val="16"/>
        </w:rPr>
        <w:t>Русские инженеры завода РОБТиТ в рекордный срок – за 100 дней (сентябрь-декабрь 1914 года) – построили сверхмощные по тому времени радиостанции (100 кВт в антенне) на Ходынском поле в Москве и в Царском Селе. Ходынская вступила в строй 7 декабря 1914-го, Царскосельская – 28 января 1915-го, а Тверская – 11 ноября 1914 года (15736).</w:t>
      </w:r>
    </w:p>
    <w:p w14:paraId="2F0EE146" w14:textId="77777777" w:rsidR="00C445B0" w:rsidRPr="00DE096C" w:rsidRDefault="00C445B0" w:rsidP="00D45A46">
      <w:pPr>
        <w:pStyle w:val="ae"/>
        <w:spacing w:before="0" w:beforeAutospacing="0" w:after="0" w:afterAutospacing="0"/>
        <w:jc w:val="both"/>
        <w:rPr>
          <w:bCs/>
          <w:color w:val="002060"/>
          <w:sz w:val="16"/>
          <w:szCs w:val="16"/>
        </w:rPr>
      </w:pPr>
    </w:p>
    <w:p w14:paraId="0840B29B" w14:textId="77777777" w:rsidR="00E1184D" w:rsidRPr="00DE096C" w:rsidRDefault="00E1184D" w:rsidP="00E1184D">
      <w:pPr>
        <w:shd w:val="clear" w:color="auto" w:fill="FFFFFF"/>
        <w:jc w:val="both"/>
        <w:rPr>
          <w:bCs/>
          <w:i/>
          <w:color w:val="002060"/>
          <w:sz w:val="16"/>
          <w:szCs w:val="16"/>
        </w:rPr>
      </w:pPr>
      <w:r w:rsidRPr="00DE096C">
        <w:rPr>
          <w:bCs/>
          <w:i/>
          <w:color w:val="002060"/>
          <w:sz w:val="16"/>
          <w:szCs w:val="16"/>
        </w:rPr>
        <w:t>Морская авиация:</w:t>
      </w:r>
    </w:p>
    <w:p w14:paraId="3510922A" w14:textId="77777777" w:rsidR="00E1184D" w:rsidRPr="00DE096C" w:rsidRDefault="00E1184D" w:rsidP="00E1184D">
      <w:pPr>
        <w:shd w:val="clear" w:color="auto" w:fill="FFFFFF"/>
        <w:jc w:val="both"/>
        <w:rPr>
          <w:bCs/>
          <w:i/>
          <w:color w:val="002060"/>
          <w:sz w:val="16"/>
          <w:szCs w:val="16"/>
        </w:rPr>
      </w:pPr>
    </w:p>
    <w:p w14:paraId="57C43564" w14:textId="77777777" w:rsidR="00E1184D" w:rsidRPr="00DE096C" w:rsidRDefault="00E1184D" w:rsidP="00E1184D">
      <w:pPr>
        <w:shd w:val="clear" w:color="auto" w:fill="FFFFFF"/>
        <w:jc w:val="both"/>
        <w:rPr>
          <w:bCs/>
          <w:color w:val="002060"/>
          <w:sz w:val="16"/>
          <w:szCs w:val="16"/>
        </w:rPr>
      </w:pPr>
      <w:r w:rsidRPr="00DE096C">
        <w:rPr>
          <w:bCs/>
          <w:color w:val="002060"/>
          <w:sz w:val="16"/>
          <w:szCs w:val="16"/>
        </w:rPr>
        <w:t>14 (27) августа 1914 г. Приказом морского министра по флоту и морскому ведомству № 269 Положение о службе авиации в Службе связи было введено в действие с 1 июля 1914 г. Это первый официальный документ о создании мор</w:t>
      </w:r>
      <w:r w:rsidRPr="00DE096C">
        <w:rPr>
          <w:bCs/>
          <w:color w:val="002060"/>
          <w:sz w:val="16"/>
          <w:szCs w:val="16"/>
        </w:rPr>
        <w:softHyphen/>
        <w:t>ской авиации России.</w:t>
      </w:r>
    </w:p>
    <w:p w14:paraId="1D4118E5" w14:textId="77777777" w:rsidR="00E1184D" w:rsidRPr="00DE096C" w:rsidRDefault="00E1184D" w:rsidP="00E1184D">
      <w:pPr>
        <w:shd w:val="clear" w:color="auto" w:fill="FFFFFF"/>
        <w:jc w:val="both"/>
        <w:rPr>
          <w:bCs/>
          <w:color w:val="002060"/>
          <w:sz w:val="16"/>
          <w:szCs w:val="16"/>
        </w:rPr>
      </w:pPr>
      <w:r w:rsidRPr="00DE096C">
        <w:rPr>
          <w:bCs/>
          <w:color w:val="002060"/>
          <w:sz w:val="16"/>
          <w:szCs w:val="16"/>
        </w:rPr>
        <w:t>Положение гласило:</w:t>
      </w:r>
    </w:p>
    <w:p w14:paraId="6564BB51" w14:textId="77777777" w:rsidR="00E1184D" w:rsidRPr="00DE096C" w:rsidRDefault="00E1184D" w:rsidP="00E1184D">
      <w:pPr>
        <w:shd w:val="clear" w:color="auto" w:fill="FFFFFF"/>
        <w:jc w:val="both"/>
        <w:rPr>
          <w:bCs/>
          <w:color w:val="002060"/>
          <w:sz w:val="16"/>
          <w:szCs w:val="16"/>
        </w:rPr>
      </w:pPr>
      <w:r w:rsidRPr="00DE096C">
        <w:rPr>
          <w:bCs/>
          <w:color w:val="002060"/>
          <w:sz w:val="16"/>
          <w:szCs w:val="16"/>
        </w:rPr>
        <w:t>«1. Для наблюдения за морем вне видимости береговых постов, для несения разведочной и сторожевой служб, для борьбы с воз</w:t>
      </w:r>
      <w:r w:rsidRPr="00DE096C">
        <w:rPr>
          <w:bCs/>
          <w:color w:val="002060"/>
          <w:sz w:val="16"/>
          <w:szCs w:val="16"/>
        </w:rPr>
        <w:softHyphen/>
        <w:t>душной разведкой противника и других активно-боевых действий при службе связи имеется служба авиации.</w:t>
      </w:r>
    </w:p>
    <w:p w14:paraId="6473001E" w14:textId="77777777" w:rsidR="00E1184D" w:rsidRPr="00DE096C" w:rsidRDefault="00E1184D" w:rsidP="00E1184D">
      <w:pPr>
        <w:shd w:val="clear" w:color="auto" w:fill="FFFFFF"/>
        <w:jc w:val="both"/>
        <w:rPr>
          <w:bCs/>
          <w:color w:val="002060"/>
          <w:sz w:val="16"/>
          <w:szCs w:val="16"/>
        </w:rPr>
      </w:pPr>
      <w:r w:rsidRPr="00DE096C">
        <w:rPr>
          <w:bCs/>
          <w:color w:val="002060"/>
          <w:sz w:val="16"/>
          <w:szCs w:val="16"/>
        </w:rPr>
        <w:t>2. Общее руководство службой авиации всех морей сосредоточи</w:t>
      </w:r>
      <w:r w:rsidRPr="00DE096C">
        <w:rPr>
          <w:bCs/>
          <w:color w:val="002060"/>
          <w:sz w:val="16"/>
          <w:szCs w:val="16"/>
        </w:rPr>
        <w:softHyphen/>
        <w:t>вается в Морском генеральном штабе.</w:t>
      </w:r>
    </w:p>
    <w:p w14:paraId="2AD87C1B" w14:textId="77777777" w:rsidR="00E1184D" w:rsidRPr="00DE096C" w:rsidRDefault="00E1184D" w:rsidP="00E1184D">
      <w:pPr>
        <w:shd w:val="clear" w:color="auto" w:fill="FFFFFF"/>
        <w:jc w:val="both"/>
        <w:rPr>
          <w:bCs/>
          <w:color w:val="002060"/>
          <w:sz w:val="16"/>
          <w:szCs w:val="16"/>
        </w:rPr>
      </w:pPr>
      <w:r w:rsidRPr="00DE096C">
        <w:rPr>
          <w:bCs/>
          <w:color w:val="002060"/>
          <w:sz w:val="16"/>
          <w:szCs w:val="16"/>
        </w:rPr>
        <w:t>3. Руководство службой авиации в каждом море возлагается на командующего морскими силами».</w:t>
      </w:r>
    </w:p>
    <w:p w14:paraId="4E1DDF4A" w14:textId="77777777" w:rsidR="00E1184D" w:rsidRPr="00DE096C" w:rsidRDefault="00E1184D" w:rsidP="00E1184D">
      <w:pPr>
        <w:shd w:val="clear" w:color="auto" w:fill="FFFFFF"/>
        <w:jc w:val="both"/>
        <w:rPr>
          <w:bCs/>
          <w:color w:val="002060"/>
          <w:sz w:val="16"/>
          <w:szCs w:val="16"/>
        </w:rPr>
      </w:pPr>
      <w:r w:rsidRPr="00DE096C">
        <w:rPr>
          <w:bCs/>
          <w:color w:val="002060"/>
          <w:sz w:val="16"/>
          <w:szCs w:val="16"/>
        </w:rPr>
        <w:t>Состав авиационных отрядов (первоначальной организационной единицей в этот период был авиационный отряд в составе от трех до девяти самолетов) определялся Морским генеральным штабом и утверждался Адмиралтейств-советом. Устанавливалось, что в сво</w:t>
      </w:r>
      <w:r w:rsidRPr="00DE096C">
        <w:rPr>
          <w:bCs/>
          <w:color w:val="002060"/>
          <w:sz w:val="16"/>
          <w:szCs w:val="16"/>
        </w:rPr>
        <w:softHyphen/>
        <w:t>их действиях авиационные отряды опираются на авиационные станции двух разрядов, оборудованные в различных пунктах побе</w:t>
      </w:r>
      <w:r w:rsidRPr="00DE096C">
        <w:rPr>
          <w:bCs/>
          <w:color w:val="002060"/>
          <w:sz w:val="16"/>
          <w:szCs w:val="16"/>
        </w:rPr>
        <w:softHyphen/>
        <w:t>режья.</w:t>
      </w:r>
    </w:p>
    <w:p w14:paraId="6B0BFEA9" w14:textId="77777777" w:rsidR="00E1184D" w:rsidRPr="00DE096C" w:rsidRDefault="00E1184D" w:rsidP="00E1184D">
      <w:pPr>
        <w:shd w:val="clear" w:color="auto" w:fill="FFFFFF"/>
        <w:jc w:val="both"/>
        <w:rPr>
          <w:bCs/>
          <w:color w:val="002060"/>
          <w:sz w:val="16"/>
          <w:szCs w:val="16"/>
        </w:rPr>
      </w:pPr>
      <w:r w:rsidRPr="00DE096C">
        <w:rPr>
          <w:bCs/>
          <w:color w:val="002060"/>
          <w:sz w:val="16"/>
          <w:szCs w:val="16"/>
        </w:rPr>
        <w:t>Станции первого разряда предназначались для постоянного ба</w:t>
      </w:r>
      <w:r w:rsidRPr="00DE096C">
        <w:rPr>
          <w:bCs/>
          <w:color w:val="002060"/>
          <w:sz w:val="16"/>
          <w:szCs w:val="16"/>
        </w:rPr>
        <w:softHyphen/>
        <w:t>зирования авиационных отрядов, станции второго разряда — для временного. По современной терминологии это соответствует поня</w:t>
      </w:r>
      <w:r w:rsidRPr="00DE096C">
        <w:rPr>
          <w:bCs/>
          <w:color w:val="002060"/>
          <w:sz w:val="16"/>
          <w:szCs w:val="16"/>
        </w:rPr>
        <w:softHyphen/>
        <w:t>тию — аэродромы постоянного базирования и оперативные. Кроме того, предусматривалось и строительство запасных станций, раз</w:t>
      </w:r>
      <w:r w:rsidRPr="00DE096C">
        <w:rPr>
          <w:bCs/>
          <w:color w:val="002060"/>
          <w:sz w:val="16"/>
          <w:szCs w:val="16"/>
        </w:rPr>
        <w:softHyphen/>
        <w:t>вертывание которых проводилось в соответствии с мобилизацион</w:t>
      </w:r>
      <w:r w:rsidRPr="00DE096C">
        <w:rPr>
          <w:bCs/>
          <w:color w:val="002060"/>
          <w:sz w:val="16"/>
          <w:szCs w:val="16"/>
        </w:rPr>
        <w:softHyphen/>
        <w:t>ным планом.</w:t>
      </w:r>
    </w:p>
    <w:p w14:paraId="46357EFF" w14:textId="77777777" w:rsidR="00E1184D" w:rsidRPr="00DE096C" w:rsidRDefault="00E1184D" w:rsidP="00E1184D">
      <w:pPr>
        <w:shd w:val="clear" w:color="auto" w:fill="FFFFFF"/>
        <w:jc w:val="both"/>
        <w:rPr>
          <w:bCs/>
          <w:color w:val="002060"/>
          <w:sz w:val="16"/>
          <w:szCs w:val="16"/>
        </w:rPr>
      </w:pPr>
      <w:r w:rsidRPr="00DE096C">
        <w:rPr>
          <w:bCs/>
          <w:color w:val="002060"/>
          <w:sz w:val="16"/>
          <w:szCs w:val="16"/>
        </w:rPr>
        <w:t>Станции как первого, так и второго разряда с базирующимися на них авиационными отрядами объединялись (в зависимости от местных условий) в воздушные районы, причем одна из станций в этом случае являлась головной (1085).</w:t>
      </w:r>
    </w:p>
    <w:p w14:paraId="0D55E22B" w14:textId="77777777" w:rsidR="00E1184D" w:rsidRPr="00DE096C" w:rsidRDefault="00E1184D" w:rsidP="00E1184D">
      <w:pPr>
        <w:shd w:val="clear" w:color="auto" w:fill="FFFFFF"/>
        <w:jc w:val="both"/>
        <w:rPr>
          <w:bCs/>
          <w:color w:val="002060"/>
          <w:sz w:val="16"/>
          <w:szCs w:val="16"/>
        </w:rPr>
      </w:pPr>
      <w:r w:rsidRPr="00DE096C">
        <w:rPr>
          <w:bCs/>
          <w:color w:val="002060"/>
          <w:sz w:val="16"/>
          <w:szCs w:val="16"/>
        </w:rPr>
        <w:t>Наряду с прочими вопросами Положение о службе морской авиации определяло обязанности летного состава и других должно</w:t>
      </w:r>
      <w:r w:rsidRPr="00DE096C">
        <w:rPr>
          <w:bCs/>
          <w:color w:val="002060"/>
          <w:sz w:val="16"/>
          <w:szCs w:val="16"/>
        </w:rPr>
        <w:softHyphen/>
        <w:t>стных лиц, в частности, командиру отряда предписывалось наблю</w:t>
      </w:r>
      <w:r w:rsidRPr="00DE096C">
        <w:rPr>
          <w:bCs/>
          <w:color w:val="002060"/>
          <w:sz w:val="16"/>
          <w:szCs w:val="16"/>
        </w:rPr>
        <w:softHyphen/>
        <w:t>дать за правильностью несения службы в отряде. Он отвечал также за состояние материальной части и ее ремонт, а при полетах не</w:t>
      </w:r>
      <w:r w:rsidRPr="00DE096C">
        <w:rPr>
          <w:bCs/>
          <w:color w:val="002060"/>
          <w:sz w:val="16"/>
          <w:szCs w:val="16"/>
        </w:rPr>
        <w:softHyphen/>
        <w:t>скольких самолетов его отряда руководил ими.</w:t>
      </w:r>
    </w:p>
    <w:p w14:paraId="32D243D2" w14:textId="77777777" w:rsidR="00E1184D" w:rsidRPr="00DE096C" w:rsidRDefault="00E1184D" w:rsidP="00E1184D">
      <w:pPr>
        <w:shd w:val="clear" w:color="auto" w:fill="FFFFFF"/>
        <w:jc w:val="both"/>
        <w:rPr>
          <w:bCs/>
          <w:color w:val="002060"/>
          <w:sz w:val="16"/>
          <w:szCs w:val="16"/>
        </w:rPr>
      </w:pPr>
      <w:r w:rsidRPr="00DE096C">
        <w:rPr>
          <w:bCs/>
          <w:color w:val="002060"/>
          <w:sz w:val="16"/>
          <w:szCs w:val="16"/>
        </w:rPr>
        <w:t>На летчика возлагались обязанности «вести формуляр самолета и осуществление осмотра и регулировки порученного ему самолета перед каждым вылетом». Он был обязан также производить техни</w:t>
      </w:r>
      <w:r w:rsidRPr="00DE096C">
        <w:rPr>
          <w:bCs/>
          <w:color w:val="002060"/>
          <w:sz w:val="16"/>
          <w:szCs w:val="16"/>
        </w:rPr>
        <w:softHyphen/>
        <w:t>ческое обучение подчиненных ему нижних чинов.</w:t>
      </w:r>
    </w:p>
    <w:p w14:paraId="47808B9B" w14:textId="77777777" w:rsidR="00E1184D" w:rsidRPr="00DE096C" w:rsidRDefault="00E1184D" w:rsidP="00E1184D">
      <w:pPr>
        <w:shd w:val="clear" w:color="auto" w:fill="FFFFFF"/>
        <w:jc w:val="both"/>
        <w:rPr>
          <w:bCs/>
          <w:color w:val="002060"/>
          <w:sz w:val="16"/>
          <w:szCs w:val="16"/>
        </w:rPr>
      </w:pPr>
      <w:r w:rsidRPr="00DE096C">
        <w:rPr>
          <w:bCs/>
          <w:color w:val="002060"/>
          <w:sz w:val="16"/>
          <w:szCs w:val="16"/>
        </w:rPr>
        <w:lastRenderedPageBreak/>
        <w:t>Введенное Положение сразу же подверглось основательной кри</w:t>
      </w:r>
      <w:r w:rsidRPr="00DE096C">
        <w:rPr>
          <w:bCs/>
          <w:color w:val="002060"/>
          <w:sz w:val="16"/>
          <w:szCs w:val="16"/>
        </w:rPr>
        <w:softHyphen/>
        <w:t>тике. В частности, отмечалось, что оно устарело, так как выраба</w:t>
      </w:r>
      <w:r w:rsidRPr="00DE096C">
        <w:rPr>
          <w:bCs/>
          <w:color w:val="002060"/>
          <w:sz w:val="16"/>
          <w:szCs w:val="16"/>
        </w:rPr>
        <w:softHyphen/>
        <w:t>тывалось в период, когда авиация только еще зарождалась и ее возможности в полной мере не проявились, и ориентируется глав</w:t>
      </w:r>
      <w:r w:rsidRPr="00DE096C">
        <w:rPr>
          <w:bCs/>
          <w:color w:val="002060"/>
          <w:sz w:val="16"/>
          <w:szCs w:val="16"/>
        </w:rPr>
        <w:softHyphen/>
        <w:t>ным образом на базовую авиацию, не уделяя внимания корабель</w:t>
      </w:r>
      <w:r w:rsidRPr="00DE096C">
        <w:rPr>
          <w:bCs/>
          <w:color w:val="002060"/>
          <w:sz w:val="16"/>
          <w:szCs w:val="16"/>
        </w:rPr>
        <w:softHyphen/>
        <w:t>ной. Справедливым было замечание, что решаемые морской авиа</w:t>
      </w:r>
      <w:r w:rsidRPr="00DE096C">
        <w:rPr>
          <w:bCs/>
          <w:color w:val="002060"/>
          <w:sz w:val="16"/>
          <w:szCs w:val="16"/>
        </w:rPr>
        <w:softHyphen/>
        <w:t>цией задачи вышли за пределы Службы связи и ее следует выделить в самостоятельную организацию. Специфика и характер</w:t>
      </w:r>
      <w:r w:rsidRPr="00DE096C">
        <w:rPr>
          <w:bCs/>
          <w:color w:val="002060"/>
          <w:sz w:val="16"/>
          <w:szCs w:val="16"/>
        </w:rPr>
        <w:softHyphen/>
        <w:t>ные особенности авиации требовали, чтобы ею руководили люди, компетентные в этой области. Имелись и конкретные предложе</w:t>
      </w:r>
      <w:r w:rsidRPr="00DE096C">
        <w:rPr>
          <w:bCs/>
          <w:color w:val="002060"/>
          <w:sz w:val="16"/>
          <w:szCs w:val="16"/>
        </w:rPr>
        <w:softHyphen/>
        <w:t>ния. В частности, выдвигалось требование создания учебно-боевых самолетов, характеристики которых не отличались бы от боевых. Относительно организации корабельной авиации предлагался спе</w:t>
      </w:r>
      <w:r w:rsidRPr="00DE096C">
        <w:rPr>
          <w:bCs/>
          <w:color w:val="002060"/>
          <w:sz w:val="16"/>
          <w:szCs w:val="16"/>
        </w:rPr>
        <w:softHyphen/>
        <w:t>циальный термин «корабль-база», а также определялся порядок регулирования взаимоотношений между авиационным и судовым составом: «Корабль-база всецело предназначен обслуживать аэропланы, естественно, командира базы [следует] подчинить старшему из начальников отрядов [авиационных], на корабле содержащихся».</w:t>
      </w:r>
    </w:p>
    <w:p w14:paraId="29789B9E" w14:textId="77777777" w:rsidR="00E1184D" w:rsidRPr="00DE096C" w:rsidRDefault="00E1184D" w:rsidP="00E1184D">
      <w:pPr>
        <w:shd w:val="clear" w:color="auto" w:fill="FFFFFF"/>
        <w:jc w:val="both"/>
        <w:rPr>
          <w:bCs/>
          <w:color w:val="002060"/>
          <w:sz w:val="16"/>
          <w:szCs w:val="16"/>
        </w:rPr>
      </w:pPr>
      <w:r w:rsidRPr="00DE096C">
        <w:rPr>
          <w:bCs/>
          <w:color w:val="002060"/>
          <w:sz w:val="16"/>
          <w:szCs w:val="16"/>
        </w:rPr>
        <w:t>К сожалению, столь здравые мысли относительно подчиненно</w:t>
      </w:r>
      <w:r w:rsidRPr="00DE096C">
        <w:rPr>
          <w:bCs/>
          <w:color w:val="002060"/>
          <w:sz w:val="16"/>
          <w:szCs w:val="16"/>
        </w:rPr>
        <w:softHyphen/>
        <w:t>сти на авианесущем корабле не нашли практической и разумной реализации в Российском флоте.</w:t>
      </w:r>
    </w:p>
    <w:p w14:paraId="12F6BBDE" w14:textId="77777777" w:rsidR="00E1184D" w:rsidRPr="00DE096C" w:rsidRDefault="00E1184D" w:rsidP="00E1184D">
      <w:pPr>
        <w:shd w:val="clear" w:color="auto" w:fill="FFFFFF"/>
        <w:jc w:val="both"/>
        <w:rPr>
          <w:bCs/>
          <w:color w:val="002060"/>
          <w:sz w:val="16"/>
          <w:szCs w:val="16"/>
        </w:rPr>
      </w:pPr>
    </w:p>
    <w:p w14:paraId="68E5135E"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Авиация:</w:t>
      </w:r>
    </w:p>
    <w:p w14:paraId="3724EE4B" w14:textId="77777777" w:rsidR="00B67D7C" w:rsidRPr="00DE096C" w:rsidRDefault="00B67D7C" w:rsidP="00D45A46">
      <w:pPr>
        <w:pStyle w:val="a3"/>
        <w:jc w:val="both"/>
        <w:rPr>
          <w:bCs/>
          <w:color w:val="002060"/>
          <w:spacing w:val="0"/>
          <w:kern w:val="0"/>
          <w:position w:val="0"/>
          <w:sz w:val="16"/>
          <w:szCs w:val="16"/>
        </w:rPr>
      </w:pPr>
    </w:p>
    <w:p w14:paraId="1ED6715D" w14:textId="77777777" w:rsidR="00B67D7C" w:rsidRPr="00DE096C" w:rsidRDefault="00B67D7C" w:rsidP="00D45A46">
      <w:pPr>
        <w:jc w:val="both"/>
        <w:rPr>
          <w:bCs/>
          <w:color w:val="002060"/>
          <w:sz w:val="16"/>
          <w:szCs w:val="16"/>
        </w:rPr>
      </w:pPr>
      <w:r w:rsidRPr="00DE096C">
        <w:rPr>
          <w:bCs/>
          <w:color w:val="002060"/>
          <w:sz w:val="16"/>
          <w:szCs w:val="16"/>
        </w:rPr>
        <w:t>14 (27) августа 1914 - из письма Нестерова жене: "Дорогая Диночка!.. Мы уже три дня за границей в Бродах. Сегодня переходим еще глубже ко Львову. Все мы здоровы, кроме Гавина, которого со вчерашнего дня не дождались. О судьбе его никто не знает, по всей вероятности, попал в плен. Вчера мне сообщили бумагу о награждении меня орденом Владимира 4-й степени за мирное время... Живем мы в помещичьем доме как баре, но работа у нас тяжелая. Вчера вечером был в штабе армии и ездил на передовые позиции, наблюдал первый раз бой. Был большой бой, картина очень сильная, впечатление такое получается, что приходишь к заключению о бессмысленности войны. Раненые идут спокойно, с чувством исполненного долга и безропотно. В тылу, где мы помещаемся, до сих пор этого не было видно, поэтому о войне не думалось. Ну, целую тебя... Твой Петя" (11999).</w:t>
      </w:r>
    </w:p>
    <w:p w14:paraId="23C7C684" w14:textId="77777777" w:rsidR="00B67D7C" w:rsidRPr="00DE096C" w:rsidRDefault="00B67D7C" w:rsidP="00D45A46">
      <w:pPr>
        <w:jc w:val="both"/>
        <w:rPr>
          <w:bCs/>
          <w:color w:val="002060"/>
          <w:sz w:val="16"/>
          <w:szCs w:val="16"/>
        </w:rPr>
      </w:pPr>
    </w:p>
    <w:p w14:paraId="4217859A" w14:textId="77777777" w:rsidR="00B67D7C" w:rsidRPr="00DE096C" w:rsidRDefault="00B67D7C" w:rsidP="00D45A46">
      <w:pPr>
        <w:jc w:val="both"/>
        <w:rPr>
          <w:bCs/>
          <w:color w:val="002060"/>
          <w:sz w:val="16"/>
          <w:szCs w:val="16"/>
        </w:rPr>
      </w:pPr>
      <w:r w:rsidRPr="00DE096C">
        <w:rPr>
          <w:bCs/>
          <w:color w:val="002060"/>
          <w:sz w:val="16"/>
          <w:szCs w:val="16"/>
        </w:rPr>
        <w:t>14 (27) августа 1914 - выписка из журнала о боевых действиях: "...13-го авг. в 7 час. 20 мин. утра военный летчик штабс-капитан Гавин, с наблюдателем, причисленным к Генеральному штабу поручиком 168 пех. Миргородского полка Рихтером на Ныопо- ре № 45 с мотором ГНОМ 70 HP вылетел на разведку укреплений г. Львова. Над Львовом аппарат был подбит шрапнелью в левое крыло, причем одновременно остановился мотор; ввиду этого был сделан вынужденный спуск в районе, занятом австрийскими войсками. Дабы не дать аппарат неприятелю - аппарат был подожжен, а сам летчик с наблюдателем направились к русской армии. Пройдя от аппарата небольшое расстояние, они увидели, что аппарат был охвачен пламенем. Летчики благополучно возвратились. Подан акт об исключении аппарата за № 121". По дороге летчики взяли в плен австрийского солдата, который "оказался хорошим проводником".</w:t>
      </w:r>
    </w:p>
    <w:p w14:paraId="1B6D4202" w14:textId="77777777" w:rsidR="00B67D7C" w:rsidRPr="00DE096C" w:rsidRDefault="00B67D7C" w:rsidP="00D45A46">
      <w:pPr>
        <w:jc w:val="both"/>
        <w:rPr>
          <w:bCs/>
          <w:color w:val="002060"/>
          <w:sz w:val="16"/>
          <w:szCs w:val="16"/>
        </w:rPr>
      </w:pPr>
      <w:r w:rsidRPr="00DE096C">
        <w:rPr>
          <w:bCs/>
          <w:color w:val="002060"/>
          <w:sz w:val="16"/>
          <w:szCs w:val="16"/>
        </w:rPr>
        <w:t>Телеграмма из штаба 3-й армии командиру IX корпуса: "Случаи стрельбы по своим аэропланам продолжаются, несмотря на ясные признаки, сегодня был обстрелян летчик капитан Нестеров сборной командой 42-й пехотной дивизии близ деревни Ясиновице, телеграфной командой шестого саперного батальона, частями 128-го Старооскольского полка у Злочева. Аппарат прострелян в нескольких местах. Прошу принять самые энергичные меры, чтобы прекратить эту беспорядочную стрельбу по своим аэропланам. Драгомиров".</w:t>
      </w:r>
    </w:p>
    <w:p w14:paraId="498A1121" w14:textId="77777777" w:rsidR="00B67D7C" w:rsidRPr="00DE096C" w:rsidRDefault="00B67D7C" w:rsidP="00D45A46">
      <w:pPr>
        <w:jc w:val="both"/>
        <w:rPr>
          <w:bCs/>
          <w:color w:val="002060"/>
          <w:sz w:val="16"/>
          <w:szCs w:val="16"/>
        </w:rPr>
      </w:pPr>
      <w:r w:rsidRPr="00DE096C">
        <w:rPr>
          <w:bCs/>
          <w:color w:val="002060"/>
          <w:sz w:val="16"/>
          <w:szCs w:val="16"/>
        </w:rPr>
        <w:t>В районе 2-й русской армии летчики XIII корпусного авиаотряда доносят командиру о приближении с севера германского корпуса. Однако командир XIII корпуса, имевшего задачей продвижение в сторону Алленштейна, ожидал прибытия в качестве подкрепления IV корпуса и посчитал, что летчик ошибся в определении принадлежности корпуса. Подобные ошибки действительно происходили, и это являлось одной из проблем воздушной разведки первых месяцев войны. На всякий случай посланный в этом направлении конный разъезд не вернулся. Также по неизвестным причинам не вернулся и посланный в этом направлении аэроплан. Еще через некоторое время русский корпус неожиданно был атакован с севера и отошел в беспорядке (11999).</w:t>
      </w:r>
    </w:p>
    <w:p w14:paraId="50C006FD" w14:textId="77777777" w:rsidR="00B67D7C" w:rsidRPr="00DE096C" w:rsidRDefault="00B67D7C" w:rsidP="00D45A46">
      <w:pPr>
        <w:jc w:val="both"/>
        <w:rPr>
          <w:bCs/>
          <w:color w:val="002060"/>
          <w:sz w:val="16"/>
          <w:szCs w:val="16"/>
        </w:rPr>
      </w:pPr>
    </w:p>
    <w:p w14:paraId="0D4D5C01" w14:textId="23AA08D2" w:rsidR="00B67D7C" w:rsidRPr="00DE096C" w:rsidRDefault="00B67D7C" w:rsidP="00D45A46">
      <w:pPr>
        <w:jc w:val="both"/>
        <w:rPr>
          <w:bCs/>
          <w:color w:val="002060"/>
          <w:sz w:val="16"/>
          <w:szCs w:val="16"/>
        </w:rPr>
      </w:pPr>
      <w:r w:rsidRPr="00DE096C">
        <w:rPr>
          <w:bCs/>
          <w:color w:val="002060"/>
          <w:sz w:val="16"/>
          <w:szCs w:val="16"/>
        </w:rPr>
        <w:t xml:space="preserve">14 (27) августа 1914 </w:t>
      </w:r>
      <w:r w:rsidR="002445DF" w:rsidRPr="00DE096C">
        <w:rPr>
          <w:bCs/>
          <w:color w:val="002060"/>
          <w:sz w:val="16"/>
          <w:szCs w:val="16"/>
        </w:rPr>
        <w:t xml:space="preserve">ыл приказо </w:t>
      </w:r>
      <w:r w:rsidRPr="00DE096C">
        <w:rPr>
          <w:bCs/>
          <w:color w:val="002060"/>
          <w:sz w:val="16"/>
          <w:szCs w:val="16"/>
        </w:rPr>
        <w:t xml:space="preserve">по </w:t>
      </w:r>
      <w:r w:rsidR="002445DF" w:rsidRPr="00DE096C">
        <w:rPr>
          <w:bCs/>
          <w:color w:val="002060"/>
          <w:sz w:val="16"/>
          <w:szCs w:val="16"/>
        </w:rPr>
        <w:t xml:space="preserve">озранному </w:t>
      </w:r>
      <w:r w:rsidRPr="00DE096C">
        <w:rPr>
          <w:bCs/>
          <w:color w:val="002060"/>
          <w:sz w:val="16"/>
          <w:szCs w:val="16"/>
        </w:rPr>
        <w:t xml:space="preserve">отряду за № 164: </w:t>
      </w:r>
    </w:p>
    <w:p w14:paraId="6BCF4F5A" w14:textId="77777777" w:rsidR="00B67D7C" w:rsidRPr="00DE096C" w:rsidRDefault="00B67D7C" w:rsidP="00D45A46">
      <w:pPr>
        <w:jc w:val="both"/>
        <w:rPr>
          <w:bCs/>
          <w:color w:val="002060"/>
          <w:sz w:val="16"/>
          <w:szCs w:val="16"/>
        </w:rPr>
      </w:pPr>
      <w:r w:rsidRPr="00DE096C">
        <w:rPr>
          <w:bCs/>
          <w:color w:val="002060"/>
          <w:sz w:val="16"/>
          <w:szCs w:val="16"/>
        </w:rPr>
        <w:t xml:space="preserve">«Последние дни ночью и на рассвете над ночлегами войск появляется цеппелин, бросающий вниз бомбы. Предписываю частям, несущим службу охранения, открывать по неприятельскому воздушному кораблю ружейный и артиллерийский огонь. Батарея (или ее дежурная часть) должна постоянно иметь орудия, еще с вечера направленными в разные стороны, с врытыми в землю (ямы) хоботами и поднятыми дулами, насколько возможно. С приближением неприятельского воздушного корабля немедленно тушить [180] все огни. На биваках (по возможности) не располагаться открыто. </w:t>
      </w:r>
    </w:p>
    <w:p w14:paraId="0B242A5B" w14:textId="77777777" w:rsidR="00B67D7C" w:rsidRPr="00DE096C" w:rsidRDefault="00B67D7C" w:rsidP="00D45A46">
      <w:pPr>
        <w:jc w:val="both"/>
        <w:rPr>
          <w:bCs/>
          <w:color w:val="002060"/>
          <w:sz w:val="16"/>
          <w:szCs w:val="16"/>
        </w:rPr>
      </w:pPr>
      <w:r w:rsidRPr="00DE096C">
        <w:rPr>
          <w:bCs/>
          <w:color w:val="002060"/>
          <w:sz w:val="16"/>
          <w:szCs w:val="16"/>
        </w:rPr>
        <w:t xml:space="preserve">Командующий армией обещает Георгиевские кресты тем чинам, выстрелами которых будет спущен на землю неприятельский воздушный корабль, захвачен или уничтожен. </w:t>
      </w:r>
    </w:p>
    <w:p w14:paraId="0579A5E0" w14:textId="77777777" w:rsidR="00B67D7C" w:rsidRPr="00DE096C" w:rsidRDefault="00B67D7C" w:rsidP="00D45A46">
      <w:pPr>
        <w:jc w:val="both"/>
        <w:rPr>
          <w:bCs/>
          <w:color w:val="002060"/>
          <w:sz w:val="16"/>
          <w:szCs w:val="16"/>
        </w:rPr>
      </w:pPr>
      <w:r w:rsidRPr="00DE096C">
        <w:rPr>
          <w:bCs/>
          <w:color w:val="002060"/>
          <w:sz w:val="16"/>
          <w:szCs w:val="16"/>
        </w:rPr>
        <w:t xml:space="preserve">О возможности ночной стрельбы вверх по воздушному кораблю должны быть предупреждены все без исключения чины главной квартиры, охранного отряда и проходящие части. </w:t>
      </w:r>
    </w:p>
    <w:p w14:paraId="26DD3A6C" w14:textId="77777777" w:rsidR="00B67D7C" w:rsidRPr="00DE096C" w:rsidRDefault="00B67D7C" w:rsidP="00D45A46">
      <w:pPr>
        <w:jc w:val="both"/>
        <w:rPr>
          <w:bCs/>
          <w:color w:val="002060"/>
          <w:sz w:val="16"/>
          <w:szCs w:val="16"/>
        </w:rPr>
      </w:pPr>
      <w:r w:rsidRPr="00DE096C">
        <w:rPr>
          <w:bCs/>
          <w:color w:val="002060"/>
          <w:sz w:val="16"/>
          <w:szCs w:val="16"/>
        </w:rPr>
        <w:t xml:space="preserve">Об изложенном объявляю по отряду для сведения и руководства. Начальник охранного отряда». </w:t>
      </w:r>
    </w:p>
    <w:p w14:paraId="101715FB" w14:textId="77777777" w:rsidR="00B67D7C" w:rsidRPr="00DE096C" w:rsidRDefault="00B67D7C" w:rsidP="00D45A46">
      <w:pPr>
        <w:jc w:val="both"/>
        <w:rPr>
          <w:bCs/>
          <w:color w:val="002060"/>
          <w:sz w:val="16"/>
          <w:szCs w:val="16"/>
        </w:rPr>
      </w:pPr>
      <w:r w:rsidRPr="00DE096C">
        <w:rPr>
          <w:bCs/>
          <w:color w:val="002060"/>
          <w:sz w:val="16"/>
          <w:szCs w:val="16"/>
        </w:rPr>
        <w:t>Потом была обещана денежная награда за сбитие цеппелина. Это привело к тому, что во время одного из ночных визитов германского воздушного корабля в Инстербурге на улице был замечен один из чинов армейского управления, стреляющий по цеппелину из... револьвера. Однако, несмотря на все это, ни один из кораблей в Восточной Пруссии над Инстербургом подбит не был. С другой стороны, за все время цеппелины не причинили штабу армии никакого вреда. Для борьбы с ними в воздухе мы тогда не располагали соответствующими воздушными силами. А между тем перед войной в составе войск Виленского округа числилась 4-я воздухоплавательная рота, расположенная в Ковно, 5-я воздухоплавательная рота в Гродно и 9-я воздухоплавательная рота в Лиде. В последней имелись воздушные корабли и, между прочим, дирижабль «Астра», полученный летом 1913 года. Мне удалось 31 августа того же года подняться на нем, причем он обратил на себя внимание крайней медлительностью и тем, что ни за что не брал высоты. Было ясно, что для военных целей он окажется непригодным» (11324).</w:t>
      </w:r>
    </w:p>
    <w:p w14:paraId="60B3025E" w14:textId="77777777" w:rsidR="00B67D7C" w:rsidRPr="00DE096C" w:rsidRDefault="00B67D7C" w:rsidP="00D45A46">
      <w:pPr>
        <w:pStyle w:val="a3"/>
        <w:jc w:val="both"/>
        <w:rPr>
          <w:bCs/>
          <w:color w:val="002060"/>
          <w:spacing w:val="0"/>
          <w:kern w:val="0"/>
          <w:position w:val="0"/>
          <w:sz w:val="16"/>
          <w:szCs w:val="16"/>
        </w:rPr>
      </w:pPr>
    </w:p>
    <w:p w14:paraId="4E6EB53A" w14:textId="779D400F" w:rsidR="00B67D7C" w:rsidRPr="00DE096C" w:rsidRDefault="00B67D7C" w:rsidP="00D45A46">
      <w:pPr>
        <w:jc w:val="both"/>
        <w:rPr>
          <w:bCs/>
          <w:color w:val="002060"/>
          <w:sz w:val="16"/>
          <w:szCs w:val="16"/>
        </w:rPr>
      </w:pPr>
      <w:r w:rsidRPr="00DE096C">
        <w:rPr>
          <w:bCs/>
          <w:color w:val="002060"/>
          <w:sz w:val="16"/>
          <w:szCs w:val="16"/>
        </w:rPr>
        <w:t xml:space="preserve">14 </w:t>
      </w:r>
      <w:r w:rsidR="002445DF" w:rsidRPr="00DE096C">
        <w:rPr>
          <w:bCs/>
          <w:color w:val="002060"/>
          <w:sz w:val="16"/>
          <w:szCs w:val="16"/>
        </w:rPr>
        <w:t xml:space="preserve">(27) </w:t>
      </w:r>
      <w:r w:rsidRPr="00DE096C">
        <w:rPr>
          <w:bCs/>
          <w:color w:val="002060"/>
          <w:sz w:val="16"/>
          <w:szCs w:val="16"/>
        </w:rPr>
        <w:t>августа 1914 года были Высочайше утверждены штат № 7 команды аэроплана "Илья Муромец" и табель "специального имущества". Команда состояла из четырёх офицеров (командира, помощника командира, артиллериста и младшего офицера), одного военного чиновника и 40 нижних чинов. Командир "Муромца" пользовался правами и нёс обязанности командира авиационного отряда.</w:t>
      </w:r>
    </w:p>
    <w:p w14:paraId="082B4D30" w14:textId="77777777" w:rsidR="00B67D7C" w:rsidRPr="00DE096C" w:rsidRDefault="00B67D7C" w:rsidP="00D45A46">
      <w:pPr>
        <w:jc w:val="both"/>
        <w:rPr>
          <w:bCs/>
          <w:color w:val="002060"/>
          <w:sz w:val="16"/>
          <w:szCs w:val="16"/>
        </w:rPr>
      </w:pPr>
      <w:r w:rsidRPr="00DE096C">
        <w:rPr>
          <w:bCs/>
          <w:color w:val="002060"/>
          <w:sz w:val="16"/>
          <w:szCs w:val="16"/>
        </w:rPr>
        <w:t>37-мм пушка "Гочкис" с боезапасом 500 снарядов, два пулемёта "Максим", два ружья-пулемёта "Мадсен" (общий боезапас 30000 патронов) и два пистолета "Маузер" (500 патронов) составляли вооружение аэроплана. Отряду придавались два легковых и четыре полуторатонных грузовых автомобиля, а также одна мотоциклетка (12041).</w:t>
      </w:r>
    </w:p>
    <w:p w14:paraId="003CD91F" w14:textId="77777777" w:rsidR="00B67D7C" w:rsidRPr="00DE096C" w:rsidRDefault="00B67D7C" w:rsidP="00D45A46">
      <w:pPr>
        <w:jc w:val="both"/>
        <w:rPr>
          <w:bCs/>
          <w:color w:val="002060"/>
          <w:sz w:val="16"/>
          <w:szCs w:val="16"/>
        </w:rPr>
      </w:pPr>
    </w:p>
    <w:p w14:paraId="0D816DCA" w14:textId="77777777" w:rsidR="001C0601" w:rsidRPr="00DE096C" w:rsidRDefault="001C0601" w:rsidP="00D45A46">
      <w:pPr>
        <w:jc w:val="both"/>
        <w:rPr>
          <w:bCs/>
          <w:color w:val="002060"/>
          <w:sz w:val="16"/>
          <w:szCs w:val="16"/>
        </w:rPr>
      </w:pPr>
      <w:r w:rsidRPr="00DE096C">
        <w:rPr>
          <w:bCs/>
          <w:color w:val="002060"/>
          <w:sz w:val="16"/>
          <w:szCs w:val="16"/>
        </w:rPr>
        <w:t>14 (27) августа 1914 г. приказом верховного главнокомандующего № 14 для «упоря</w:t>
      </w:r>
      <w:r w:rsidRPr="00DE096C">
        <w:rPr>
          <w:bCs/>
          <w:color w:val="002060"/>
          <w:sz w:val="16"/>
          <w:szCs w:val="16"/>
        </w:rPr>
        <w:softHyphen/>
        <w:t>дочения в действующих армиях авиационного и воздухоплавательного дела» введены должности «Заведующих организацией авиационного дела» и определены их права и обязанности. Этим же приказом назначены «заведующими авиацией": на юго-западный фронт - шеф авиации в.к.Александрович, на Северо-Западный фронт - генерал от кавалерии барон А.В,Каульбаро, оба с подчинением командующим армиями соответствующих Фронтов.</w:t>
      </w:r>
    </w:p>
    <w:p w14:paraId="395D8443" w14:textId="77777777" w:rsidR="001C0601" w:rsidRPr="00DE096C" w:rsidRDefault="001C0601" w:rsidP="00D45A46">
      <w:pPr>
        <w:jc w:val="both"/>
        <w:rPr>
          <w:bCs/>
          <w:color w:val="002060"/>
          <w:sz w:val="16"/>
          <w:szCs w:val="16"/>
        </w:rPr>
      </w:pPr>
      <w:r w:rsidRPr="00DE096C">
        <w:rPr>
          <w:bCs/>
          <w:color w:val="002060"/>
          <w:sz w:val="16"/>
          <w:szCs w:val="16"/>
        </w:rPr>
        <w:t>/ЦГВИА, ф .2003, оп, 1, д 1224, Л. 215/ (23320).</w:t>
      </w:r>
    </w:p>
    <w:p w14:paraId="53A7BE11" w14:textId="77777777" w:rsidR="001C0601" w:rsidRPr="00DE096C" w:rsidRDefault="001C0601" w:rsidP="00D45A46">
      <w:pPr>
        <w:jc w:val="both"/>
        <w:rPr>
          <w:bCs/>
          <w:color w:val="002060"/>
          <w:sz w:val="16"/>
          <w:szCs w:val="16"/>
        </w:rPr>
      </w:pPr>
    </w:p>
    <w:p w14:paraId="396233F5" w14:textId="0D62F58C" w:rsidR="00C445B0" w:rsidRPr="00DE096C" w:rsidRDefault="00C445B0" w:rsidP="00D45A46">
      <w:pPr>
        <w:jc w:val="both"/>
        <w:rPr>
          <w:bCs/>
          <w:color w:val="002060"/>
          <w:sz w:val="16"/>
          <w:szCs w:val="16"/>
        </w:rPr>
      </w:pPr>
      <w:r w:rsidRPr="00DE096C">
        <w:rPr>
          <w:bCs/>
          <w:color w:val="002060"/>
          <w:sz w:val="16"/>
          <w:szCs w:val="16"/>
        </w:rPr>
        <w:t xml:space="preserve">14 </w:t>
      </w:r>
      <w:r w:rsidR="002445DF" w:rsidRPr="00DE096C">
        <w:rPr>
          <w:bCs/>
          <w:color w:val="002060"/>
          <w:sz w:val="16"/>
          <w:szCs w:val="16"/>
        </w:rPr>
        <w:t xml:space="preserve">(27) </w:t>
      </w:r>
      <w:r w:rsidRPr="00DE096C">
        <w:rPr>
          <w:bCs/>
          <w:color w:val="002060"/>
          <w:sz w:val="16"/>
          <w:szCs w:val="16"/>
        </w:rPr>
        <w:t>августа 1914 г. в приказе Верховного Главнокомандующего (ВГК) № 14 необходимость введения Заведующих авиацией формулировалась так: «В целях упорядочения в действующих армиях авиационного и воздухоплавательного дела…». Перепоручив авиацию Великому князю, старшинство которого над бароном А.В. Каульбарсом было особо оговорено в вышеупомянутом приказе, Ставка сохранила строевое и оперативное подчинение авиаотрядов штабам армий, корпусов и крепостей. Война потребовала изменить структуру основной организационной единицы – авиаотряда. Уже первые полеты на воздушную разведку указали на необходимость введения в его штат не менее четырех летчиков-наблюдателей, что и было осуществлено приказом ВГК от 27 сентября 1914 г. № 78. Как и предполагалось до войны, для штаба армии требовался особый армейский авиаотряд, имеющий на вооружении самолеты с увеличенными радиусом действия и грузоподъемностью. Требованиям армейского самолета наилучшим образом соответствовали уже апробированные на фронте «Вуазены», но завод Лебедева только начинал их выпускать. Поэтому Заведующий авиацией согласился отложить формирование армейских отрядов до зимы, когда должна была снизиться активность авиации, и можно было бы без ущерба для ее боевой деятельности выдвинуть на командные должности в новые отряды летчиков, имевших лучшие показатели в боевой работе. Зимой интенсивность полетов по фронту несколько уменьшилась. Распределение отрядов по армиям приняло относительную стабильность. В начале 1915 г. руководство авиацией сосредоточило внимание на разработке концепции развития авиации при затяжной войне. В этой связи генералу А.В. Каульбарсу, командируемому в союзные страны в конце января 1915 г., было поручено выяснить там следующее: «возможно ли в виду разнообразия службы аэропланов ограничиться каким-либо из типов аэропланов, соединив в нем все требования, предъявляемые военным аппаратам, или признается необходимым выработать несколько типов аэропланов, пригодных для определенных задач: 1) разведка; 2) связь; 3) бомбометание; 4) корректирование огня артиллерии; 5) уничтожение неприятельских летательных аппаратов (...). Требования, предъявляемые к аппаратам перечисленных типов» (19566).</w:t>
      </w:r>
    </w:p>
    <w:p w14:paraId="0770129A" w14:textId="77777777" w:rsidR="00C445B0" w:rsidRPr="00DE096C" w:rsidRDefault="00C445B0" w:rsidP="00D45A46">
      <w:pPr>
        <w:jc w:val="both"/>
        <w:rPr>
          <w:bCs/>
          <w:color w:val="002060"/>
          <w:sz w:val="16"/>
          <w:szCs w:val="16"/>
        </w:rPr>
      </w:pPr>
    </w:p>
    <w:p w14:paraId="47B34B44" w14:textId="77777777" w:rsidR="007378DE" w:rsidRPr="00DE096C" w:rsidRDefault="007378DE" w:rsidP="00D45A46">
      <w:pPr>
        <w:shd w:val="clear" w:color="auto" w:fill="FFFFFF"/>
        <w:jc w:val="both"/>
        <w:rPr>
          <w:bCs/>
          <w:color w:val="002060"/>
          <w:sz w:val="16"/>
          <w:szCs w:val="16"/>
        </w:rPr>
      </w:pPr>
      <w:r w:rsidRPr="00DE096C">
        <w:rPr>
          <w:bCs/>
          <w:color w:val="002060"/>
          <w:sz w:val="16"/>
          <w:szCs w:val="16"/>
          <w:shd w:val="clear" w:color="auto" w:fill="FFFFFF"/>
        </w:rPr>
        <w:t>14 (27) августа 1914 на ВК А.М. была возложена обязанность руководить </w:t>
      </w:r>
      <w:r w:rsidRPr="00DE096C">
        <w:rPr>
          <w:bCs/>
          <w:color w:val="002060"/>
          <w:sz w:val="16"/>
          <w:szCs w:val="16"/>
          <w:bdr w:val="none" w:sz="0" w:space="0" w:color="auto" w:frame="1"/>
          <w:shd w:val="clear" w:color="auto" w:fill="FFFFFF"/>
        </w:rPr>
        <w:t>«устройством и обеспечением различными видами специального имущества авиационных и воздухоплавательных частей Юго-Западного фронта»</w:t>
      </w:r>
      <w:r w:rsidRPr="00DE096C">
        <w:rPr>
          <w:bCs/>
          <w:color w:val="002060"/>
          <w:sz w:val="16"/>
          <w:szCs w:val="16"/>
          <w:shd w:val="clear" w:color="auto" w:fill="FFFFFF"/>
        </w:rPr>
        <w:t xml:space="preserve">. А 3 сентября 1915 г. по распоряжению императора «для установления единообразия в обучении летчиков и постановки такого обучения на вполне рациональных началах и в соответствие с требованиями, вытекающими из опыта войны, возложить на все время настоящей </w:t>
      </w:r>
      <w:r w:rsidRPr="00DE096C">
        <w:rPr>
          <w:bCs/>
          <w:color w:val="002060"/>
          <w:sz w:val="16"/>
          <w:szCs w:val="16"/>
          <w:shd w:val="clear" w:color="auto" w:fill="FFFFFF"/>
        </w:rPr>
        <w:lastRenderedPageBreak/>
        <w:t>войны на Августейшего заведующего организацией авиационного дела в действующей армии великого князя Александра Михайловича... общее руководство деятельностью как военных, так и частных авиационных школ, а равно и Офицерской воздухоплавательной школы по всем отделам обучения». Ему предоставлялось </w:t>
      </w:r>
      <w:r w:rsidRPr="00DE096C">
        <w:rPr>
          <w:bCs/>
          <w:color w:val="002060"/>
          <w:sz w:val="16"/>
          <w:szCs w:val="16"/>
          <w:bdr w:val="none" w:sz="0" w:space="0" w:color="auto" w:frame="1"/>
          <w:shd w:val="clear" w:color="auto" w:fill="FFFFFF"/>
        </w:rPr>
        <w:t>«право давать руководящие указания по вопросам обшего направления деятельности школ, инспектировать все означенные школы, а также входить в непосредственные сношения по вопросам обучения с соответствующими Главными управлениями Военного министерства... В целях полного согласования дела снабжения авиационных и воздухоплавательных частей с интересами армии предоставить Августейшему заведующему организацией авиационного дела в действующей армии право давать руководящие указания по вопросам, касающимися заказов и приема этого имущества, проверять деятельность всех заводов, изготовляющих авиационное и воздухоплавательное имущество, и складов, хранящих и отправляющих такое имущество в армию, а равно входить по изложенным вопросам в непосредственные сношения с подлежащими Главными управлениями Военного министерства»{</w:t>
      </w:r>
      <w:r w:rsidRPr="00DE096C">
        <w:rPr>
          <w:bCs/>
          <w:color w:val="002060"/>
          <w:sz w:val="16"/>
          <w:szCs w:val="16"/>
          <w:shd w:val="clear" w:color="auto" w:fill="FFFFFF"/>
        </w:rPr>
        <w:t xml:space="preserve"> ГАРФ. Ф. 555. Oп. 1. Д. 141. Л. 1, 2.</w:t>
      </w:r>
      <w:r w:rsidRPr="00DE096C">
        <w:rPr>
          <w:bCs/>
          <w:color w:val="002060"/>
          <w:sz w:val="16"/>
          <w:szCs w:val="16"/>
          <w:bdr w:val="none" w:sz="0" w:space="0" w:color="auto" w:frame="1"/>
          <w:shd w:val="clear" w:color="auto" w:fill="FFFFFF"/>
        </w:rPr>
        <w:t xml:space="preserve"> }</w:t>
      </w:r>
      <w:r w:rsidRPr="00DE096C">
        <w:rPr>
          <w:bCs/>
          <w:color w:val="002060"/>
          <w:sz w:val="16"/>
          <w:szCs w:val="16"/>
          <w:shd w:val="clear" w:color="auto" w:fill="FFFFFF"/>
        </w:rPr>
        <w:t>. В 1916 г. великий князь получил звание полевого генерала-инспектора военно-воздушного флота (19949).</w:t>
      </w:r>
    </w:p>
    <w:p w14:paraId="445B38FC" w14:textId="77777777" w:rsidR="007378DE" w:rsidRPr="00DE096C" w:rsidRDefault="007378DE" w:rsidP="00D45A46">
      <w:pPr>
        <w:shd w:val="clear" w:color="auto" w:fill="FFFFFF"/>
        <w:jc w:val="both"/>
        <w:rPr>
          <w:bCs/>
          <w:color w:val="002060"/>
          <w:sz w:val="16"/>
          <w:szCs w:val="16"/>
        </w:rPr>
      </w:pPr>
    </w:p>
    <w:p w14:paraId="4C8EEA62" w14:textId="77777777" w:rsidR="00011CC7" w:rsidRPr="00DE096C" w:rsidRDefault="00011CC7" w:rsidP="00D45A46">
      <w:pPr>
        <w:jc w:val="both"/>
        <w:rPr>
          <w:bCs/>
          <w:color w:val="002060"/>
          <w:sz w:val="16"/>
          <w:szCs w:val="16"/>
        </w:rPr>
      </w:pPr>
      <w:r w:rsidRPr="00DE096C">
        <w:rPr>
          <w:bCs/>
          <w:color w:val="002060"/>
          <w:sz w:val="16"/>
          <w:szCs w:val="16"/>
        </w:rPr>
        <w:t>14 (27) августа 1914 г. поручик Иван Дмитриевич Хризосколео, производя воздушную разведку в районе Сольдау, обнаружил два немецких корпуса, направляющихся на поля сражения, раскрыл замыеел противника и дал своевремониые сведения, благодаря который были приняты соответствующие меры к предотвращению намечавшегося удара.</w:t>
      </w:r>
    </w:p>
    <w:p w14:paraId="21C292A3" w14:textId="77777777" w:rsidR="00011CC7" w:rsidRPr="00DE096C" w:rsidRDefault="00011CC7" w:rsidP="00D45A46">
      <w:pPr>
        <w:jc w:val="both"/>
        <w:rPr>
          <w:bCs/>
          <w:color w:val="002060"/>
          <w:sz w:val="16"/>
          <w:szCs w:val="16"/>
        </w:rPr>
      </w:pPr>
      <w:r w:rsidRPr="00DE096C">
        <w:rPr>
          <w:bCs/>
          <w:color w:val="002060"/>
          <w:sz w:val="16"/>
          <w:szCs w:val="16"/>
        </w:rPr>
        <w:t>/ЦГВИА, ф. 493, оп. 3, Д. 129, Л. 147/ (23320).</w:t>
      </w:r>
    </w:p>
    <w:p w14:paraId="113D2B1A" w14:textId="77777777" w:rsidR="00011CC7" w:rsidRPr="00DE096C" w:rsidRDefault="00011CC7" w:rsidP="00D45A46">
      <w:pPr>
        <w:jc w:val="both"/>
        <w:rPr>
          <w:bCs/>
          <w:i/>
          <w:color w:val="002060"/>
          <w:sz w:val="16"/>
          <w:szCs w:val="16"/>
        </w:rPr>
      </w:pPr>
    </w:p>
    <w:p w14:paraId="1B88FA23" w14:textId="77777777" w:rsidR="00E1184D" w:rsidRPr="00B52707" w:rsidRDefault="00E1184D" w:rsidP="00E1184D">
      <w:pPr>
        <w:jc w:val="both"/>
        <w:rPr>
          <w:color w:val="0070C0"/>
          <w:sz w:val="16"/>
          <w:szCs w:val="16"/>
        </w:rPr>
      </w:pPr>
      <w:r w:rsidRPr="00B52707">
        <w:rPr>
          <w:color w:val="0070C0"/>
          <w:sz w:val="16"/>
          <w:szCs w:val="16"/>
        </w:rPr>
        <w:t>14 (27) августа 1914 г. при посадке был убит своими войсками военный летчик 11-го КАО поручика Ламешко и т. д. (25150).</w:t>
      </w:r>
    </w:p>
    <w:p w14:paraId="70F0BF3E" w14:textId="77777777" w:rsidR="00E1184D" w:rsidRPr="00B52707" w:rsidRDefault="00E1184D" w:rsidP="00E1184D">
      <w:pPr>
        <w:jc w:val="both"/>
        <w:rPr>
          <w:color w:val="0070C0"/>
          <w:sz w:val="16"/>
          <w:szCs w:val="16"/>
        </w:rPr>
      </w:pPr>
    </w:p>
    <w:p w14:paraId="5EE5A602" w14:textId="77777777" w:rsidR="00E1184D" w:rsidRPr="00B52707" w:rsidRDefault="00E1184D" w:rsidP="00E1184D">
      <w:pPr>
        <w:jc w:val="both"/>
        <w:rPr>
          <w:color w:val="0070C0"/>
          <w:sz w:val="16"/>
          <w:szCs w:val="16"/>
        </w:rPr>
      </w:pPr>
      <w:r w:rsidRPr="00B52707">
        <w:rPr>
          <w:color w:val="0070C0"/>
          <w:sz w:val="16"/>
          <w:szCs w:val="16"/>
        </w:rPr>
        <w:t>14 (27) августа 1914 г. воздушный корабль Z-V (база – г. Кёнигсберг) при обстреле с земли получил серьезные повреждения и совершил вынужденную посадку в районе Липовска. Огонь по дирижаблю вела полевая артиллерия (6-й конно-артиллерийский дивизион) и пулеметная команда (штабс-капитан Н.Л. Калашников) лейб-гвардии Петроградского полка 3-й гвардейской пехотной дивизии 1-го армейского корпуса 2-й армии Северо-Западного фронта. Дирижабль опустился в 5 км от Липовска. При спуске экипаж привел свое воздушное судно в негодность и попытался скрыться, но скоро был пленен нашими частями. В плен попал весь его экипаж (8 чел.) во главе с командиром корабля капитаном Э. Грюнером (Grьner). В тот же день основные части сбитого дирижабля были доставлены в г. Киев, а позднее – в Офицерскую воздухоплавательную школу (г. Петроград). За уничтожение воздушного корабля противника артиллерийские расчеты удостоились правительственных наград (25135).</w:t>
      </w:r>
    </w:p>
    <w:p w14:paraId="2B1E7790" w14:textId="77777777" w:rsidR="00E1184D" w:rsidRPr="00B52707" w:rsidRDefault="00E1184D" w:rsidP="00E1184D">
      <w:pPr>
        <w:jc w:val="both"/>
        <w:rPr>
          <w:color w:val="0070C0"/>
          <w:sz w:val="16"/>
          <w:szCs w:val="16"/>
        </w:rPr>
      </w:pPr>
    </w:p>
    <w:p w14:paraId="71866294" w14:textId="4080334F" w:rsidR="00C445B0" w:rsidRPr="00DE096C" w:rsidRDefault="00C445B0" w:rsidP="00D45A46">
      <w:pPr>
        <w:jc w:val="both"/>
        <w:rPr>
          <w:bCs/>
          <w:i/>
          <w:color w:val="002060"/>
          <w:sz w:val="16"/>
          <w:szCs w:val="16"/>
        </w:rPr>
      </w:pPr>
      <w:r w:rsidRPr="00DE096C">
        <w:rPr>
          <w:bCs/>
          <w:i/>
          <w:color w:val="002060"/>
          <w:sz w:val="16"/>
          <w:szCs w:val="16"/>
        </w:rPr>
        <w:t>Армия:</w:t>
      </w:r>
    </w:p>
    <w:p w14:paraId="4B80B04A" w14:textId="77777777" w:rsidR="00C445B0" w:rsidRPr="00DE096C" w:rsidRDefault="00C445B0" w:rsidP="00D45A46">
      <w:pPr>
        <w:jc w:val="both"/>
        <w:rPr>
          <w:bCs/>
          <w:i/>
          <w:color w:val="002060"/>
          <w:sz w:val="16"/>
          <w:szCs w:val="16"/>
        </w:rPr>
      </w:pPr>
    </w:p>
    <w:p w14:paraId="22F7EFB6" w14:textId="19C947BB" w:rsidR="00C445B0" w:rsidRPr="00DE096C" w:rsidRDefault="00C445B0" w:rsidP="00D45A46">
      <w:pPr>
        <w:jc w:val="both"/>
        <w:rPr>
          <w:bCs/>
          <w:color w:val="002060"/>
          <w:sz w:val="16"/>
          <w:szCs w:val="16"/>
        </w:rPr>
      </w:pPr>
      <w:r w:rsidRPr="00DE096C">
        <w:rPr>
          <w:bCs/>
          <w:color w:val="002060"/>
          <w:sz w:val="16"/>
          <w:szCs w:val="16"/>
        </w:rPr>
        <w:t xml:space="preserve">14 </w:t>
      </w:r>
      <w:r w:rsidR="002445DF" w:rsidRPr="00DE096C">
        <w:rPr>
          <w:bCs/>
          <w:color w:val="002060"/>
          <w:sz w:val="16"/>
          <w:szCs w:val="16"/>
        </w:rPr>
        <w:t xml:space="preserve">(27) </w:t>
      </w:r>
      <w:r w:rsidRPr="00DE096C">
        <w:rPr>
          <w:bCs/>
          <w:color w:val="002060"/>
          <w:sz w:val="16"/>
          <w:szCs w:val="16"/>
        </w:rPr>
        <w:t>августа в 1914 году первым именным георгиевским крестом в ходе первой мировой войны награждается донской казак из хутора Нижний Калмыкос Козьма Крючков. Вот как опишет события сам герой: — Часов в десять утра направились мы от города Кальварии к имению Александрово. Нас было четверо — я и мои товарищи: Иван Щегольков, Василий Астахов и Михаил Иванков. Начали подыматься на горку и наткнулись на немецкий разъезд в 27 человек, в числе их офицер и унтер-офицер. Сперва немцы испугались, но потом полезли на нас. Однако мы их встретили стойко и уложили несколько человек.</w:t>
      </w:r>
    </w:p>
    <w:p w14:paraId="1CB3D104" w14:textId="77777777" w:rsidR="00C445B0" w:rsidRPr="00DE096C" w:rsidRDefault="00C445B0" w:rsidP="00D45A46">
      <w:pPr>
        <w:jc w:val="both"/>
        <w:rPr>
          <w:bCs/>
          <w:color w:val="002060"/>
          <w:sz w:val="16"/>
          <w:szCs w:val="16"/>
        </w:rPr>
      </w:pPr>
      <w:r w:rsidRPr="00DE096C">
        <w:rPr>
          <w:bCs/>
          <w:color w:val="002060"/>
          <w:sz w:val="16"/>
          <w:szCs w:val="16"/>
        </w:rPr>
        <w:t>Увертываясь от нападения, нам пришлось разъединиться. Меня окружили одиннадцать человек. Не чая быть живым, я решил дорого продать свою жизнь. Лошадь у меня подвижная, послушная. Хотел было пустить в ход винтовку, но второпях патрон заскочил, а в это время немец рубанул меня по пальцам руки, и я бросил винтовку. Схватился за шашку и начал работать. Получил несколько мелких ран. Чувствую, кровь течет, но сознаю, что раны неважныя. За каждую рану отвечаю смертельным ударом, от которого немец ложится пластом навеки. Уложив несколько человек, я почувствовал, что с шашкой трудно работать, а потому схватил их же пику и ею по одиночке уложил остальных. В это время мои товарищи справились с другими. На земле лежали двадцать четыре трупа, да несколько нераненных лощадей носились в испуге. Товарищи мои получили легкие раны, я тоже получил шестнадцать ран, но все пустых, так — уколы в спину, в шею, в руки. Лошадка моя тоже получила одиннадцать ран, однако я на ней проехал потом назад шесть верст. Первого августа (по старому стилю) в Белую Олиту прибыл командующий армией генерал Ренненкампф, который снял с себя георгиевскую ленточку, приколол мне на грудь и поздравил с первым георгиевским крестом (14983).</w:t>
      </w:r>
    </w:p>
    <w:p w14:paraId="39664D43" w14:textId="77777777" w:rsidR="00C445B0" w:rsidRPr="00DE096C" w:rsidRDefault="00C445B0" w:rsidP="00D45A46">
      <w:pPr>
        <w:jc w:val="both"/>
        <w:rPr>
          <w:bCs/>
          <w:color w:val="002060"/>
          <w:sz w:val="16"/>
          <w:szCs w:val="16"/>
        </w:rPr>
      </w:pPr>
    </w:p>
    <w:p w14:paraId="57CDB241" w14:textId="7375F337" w:rsidR="002F0233" w:rsidRPr="00DE096C" w:rsidRDefault="002F0233" w:rsidP="00D45A46">
      <w:pPr>
        <w:jc w:val="both"/>
        <w:rPr>
          <w:bCs/>
          <w:color w:val="002060"/>
          <w:sz w:val="16"/>
          <w:szCs w:val="16"/>
        </w:rPr>
      </w:pPr>
      <w:r w:rsidRPr="00DE096C">
        <w:rPr>
          <w:bCs/>
          <w:color w:val="002060"/>
          <w:sz w:val="16"/>
          <w:szCs w:val="16"/>
        </w:rPr>
        <w:t>14 (27) августа 1914 г. в районе (м. Олита /Алитус) Сувалкская губерния был подбит еще один германский ЛА.</w:t>
      </w:r>
    </w:p>
    <w:p w14:paraId="093C41C1" w14:textId="77777777" w:rsidR="002F0233" w:rsidRPr="00DE096C" w:rsidRDefault="002F0233" w:rsidP="00D45A46">
      <w:pPr>
        <w:jc w:val="both"/>
        <w:rPr>
          <w:bCs/>
          <w:color w:val="002060"/>
          <w:sz w:val="16"/>
          <w:szCs w:val="16"/>
        </w:rPr>
      </w:pPr>
      <w:r w:rsidRPr="00DE096C">
        <w:rPr>
          <w:bCs/>
          <w:color w:val="002060"/>
          <w:sz w:val="16"/>
          <w:szCs w:val="16"/>
        </w:rPr>
        <w:t>По данным Штаба ВГК, «в Сувалкской и Ковненской губерниях нашими войсками ведется борьба с воздушной разведкой противника</w:t>
      </w:r>
      <w:hyperlink w:anchor="bookmark1092" w:tooltip="Current Document">
        <w:r w:rsidRPr="00DE096C">
          <w:rPr>
            <w:rStyle w:val="af0"/>
            <w:bCs/>
            <w:color w:val="002060"/>
            <w:sz w:val="16"/>
            <w:szCs w:val="16"/>
          </w:rPr>
          <w:t>»</w:t>
        </w:r>
      </w:hyperlink>
      <w:r w:rsidRPr="00DE096C">
        <w:rPr>
          <w:bCs/>
          <w:color w:val="002060"/>
          <w:sz w:val="16"/>
          <w:szCs w:val="16"/>
        </w:rPr>
        <w:t>. Подтверждая их, над г. Ковно (Каунас) под артиллерийский огонь с фортов крепости попал очередной германский летательный аппарат, «подстреленный летчик упал с аэропланом» (23405).</w:t>
      </w:r>
    </w:p>
    <w:p w14:paraId="67B3504B" w14:textId="77777777" w:rsidR="002F0233" w:rsidRPr="00DE096C" w:rsidRDefault="002F0233" w:rsidP="00D45A46">
      <w:pPr>
        <w:jc w:val="both"/>
        <w:rPr>
          <w:bCs/>
          <w:color w:val="002060"/>
          <w:sz w:val="16"/>
          <w:szCs w:val="16"/>
          <w:lang w:bidi="ru-RU"/>
        </w:rPr>
      </w:pPr>
    </w:p>
    <w:p w14:paraId="651C3C83" w14:textId="28C07BEF" w:rsidR="002F0233" w:rsidRPr="00DE096C" w:rsidRDefault="002F0233" w:rsidP="00D45A46">
      <w:pPr>
        <w:jc w:val="both"/>
        <w:rPr>
          <w:bCs/>
          <w:color w:val="002060"/>
          <w:sz w:val="16"/>
          <w:szCs w:val="16"/>
        </w:rPr>
      </w:pPr>
      <w:bookmarkStart w:id="128" w:name="bookmark25"/>
      <w:bookmarkStart w:id="129" w:name="bookmark26"/>
      <w:r w:rsidRPr="00DE096C">
        <w:rPr>
          <w:bCs/>
          <w:color w:val="002060"/>
          <w:sz w:val="16"/>
          <w:szCs w:val="16"/>
        </w:rPr>
        <w:t>14 (27) августа 1914 г. австро-венгерская авиация понесла на Восточном фронте первую потерю. Возвращаясь с разведки, в районе г. Тарнополь (Тернополь) потерпел аварию австрийский аэроплан. Погиб весь его экипаж (3 пилота). Следующий день также не обошелся без потерь. Возле станции Балин (Подольская железная дорога) нашими войсками был захвачен австрийский летательный аппарат. Офицер-летчик и нижний чин попали в плен.</w:t>
      </w:r>
      <w:bookmarkEnd w:id="128"/>
      <w:bookmarkEnd w:id="129"/>
    </w:p>
    <w:p w14:paraId="074A63AE" w14:textId="77777777" w:rsidR="002F0233" w:rsidRPr="00DE096C" w:rsidRDefault="002F0233" w:rsidP="00D45A46">
      <w:pPr>
        <w:jc w:val="both"/>
        <w:rPr>
          <w:bCs/>
          <w:color w:val="002060"/>
          <w:sz w:val="16"/>
          <w:szCs w:val="16"/>
        </w:rPr>
      </w:pPr>
      <w:bookmarkStart w:id="130" w:name="bookmark27"/>
      <w:bookmarkStart w:id="131" w:name="bookmark28"/>
      <w:r w:rsidRPr="00DE096C">
        <w:rPr>
          <w:bCs/>
          <w:color w:val="002060"/>
          <w:sz w:val="16"/>
          <w:szCs w:val="16"/>
        </w:rPr>
        <w:t>К этому времени военное командование Германии сосредоточило основную свою воздушную группировку в составе 8-й немецкой армии (Восточная Пруссия). К началу Восточно-Прусской операции (17.08</w:t>
      </w:r>
      <w:r w:rsidRPr="00DE096C">
        <w:rPr>
          <w:bCs/>
          <w:color w:val="002060"/>
          <w:sz w:val="16"/>
          <w:szCs w:val="16"/>
        </w:rPr>
        <w:softHyphen/>
        <w:t>15.09.1914 г.) ее численность достигла 57 аэропланов против одного дирижабля и 30 аэропланов, задействованных в наступательной операции 1-й и 2-й русских армий СЗФ. В этот период отмечались случаи проведения противником воздушной разведки в нашем глубоком тылу. Некоторые вражеские ЛА достигали рубежа городов, удаленных от линии фронта свыше 200 км, включая Ригу.</w:t>
      </w:r>
      <w:bookmarkEnd w:id="130"/>
      <w:bookmarkEnd w:id="131"/>
    </w:p>
    <w:p w14:paraId="4BDEC7E0" w14:textId="77777777" w:rsidR="002F0233" w:rsidRPr="00DE096C" w:rsidRDefault="002F0233" w:rsidP="00D45A46">
      <w:pPr>
        <w:jc w:val="both"/>
        <w:rPr>
          <w:bCs/>
          <w:color w:val="002060"/>
          <w:sz w:val="16"/>
          <w:szCs w:val="16"/>
        </w:rPr>
      </w:pPr>
      <w:r w:rsidRPr="00DE096C">
        <w:rPr>
          <w:bCs/>
          <w:color w:val="002060"/>
          <w:sz w:val="16"/>
          <w:szCs w:val="16"/>
        </w:rPr>
        <w:t xml:space="preserve">Для действий в районе русских приморских объектов привлекалась гидроавиация германского флота на Балтийском море. Так, 19 августа в районе г. Виндава (Вентспилс) нашими наблюдательными постами </w:t>
      </w:r>
      <w:bookmarkStart w:id="132" w:name="bookmark29"/>
      <w:r w:rsidRPr="00DE096C">
        <w:rPr>
          <w:bCs/>
          <w:color w:val="002060"/>
          <w:sz w:val="16"/>
          <w:szCs w:val="16"/>
        </w:rPr>
        <w:t>был обнаружен неприятельский гидроаэроплан, совершавший свой полет северо-западнее город</w:t>
      </w:r>
      <w:hyperlink w:anchor="bookmark1098" w:tooltip="Current Document">
        <w:r w:rsidRPr="00DE096C">
          <w:rPr>
            <w:rStyle w:val="af0"/>
            <w:bCs/>
            <w:color w:val="002060"/>
            <w:sz w:val="16"/>
            <w:szCs w:val="16"/>
          </w:rPr>
          <w:t>а</w:t>
        </w:r>
      </w:hyperlink>
      <w:r w:rsidRPr="00DE096C">
        <w:rPr>
          <w:bCs/>
          <w:color w:val="002060"/>
          <w:sz w:val="16"/>
          <w:szCs w:val="16"/>
        </w:rPr>
        <w:t>. Его появление напрямую было связано с отражением утром того же дня пограничной стражей морского десанта противника, пытавшегося высадиться на побережье с борта трех миноносцев.</w:t>
      </w:r>
      <w:bookmarkEnd w:id="132"/>
    </w:p>
    <w:p w14:paraId="3CA6C906" w14:textId="77777777" w:rsidR="002F0233" w:rsidRPr="00DE096C" w:rsidRDefault="002F0233" w:rsidP="00D45A46">
      <w:pPr>
        <w:jc w:val="both"/>
        <w:rPr>
          <w:bCs/>
          <w:color w:val="002060"/>
          <w:sz w:val="16"/>
          <w:szCs w:val="16"/>
        </w:rPr>
      </w:pPr>
      <w:r w:rsidRPr="00DE096C">
        <w:rPr>
          <w:bCs/>
          <w:color w:val="002060"/>
          <w:sz w:val="16"/>
          <w:szCs w:val="16"/>
        </w:rPr>
        <w:t xml:space="preserve">В первые месяцы войны неприятельская авиация мало беспокоила русское командование, выполняя лишь задачи разведывательного характера (23405). </w:t>
      </w:r>
    </w:p>
    <w:p w14:paraId="657AAD31" w14:textId="77777777" w:rsidR="002F0233" w:rsidRPr="00DE096C" w:rsidRDefault="002F0233" w:rsidP="00D45A46">
      <w:pPr>
        <w:jc w:val="both"/>
        <w:rPr>
          <w:bCs/>
          <w:color w:val="002060"/>
          <w:sz w:val="16"/>
          <w:szCs w:val="16"/>
        </w:rPr>
      </w:pPr>
    </w:p>
    <w:p w14:paraId="24AECFC5" w14:textId="77777777" w:rsidR="00C445B0" w:rsidRPr="00DE096C" w:rsidRDefault="00C445B0" w:rsidP="00D45A46">
      <w:pPr>
        <w:jc w:val="both"/>
        <w:rPr>
          <w:bCs/>
          <w:i/>
          <w:color w:val="002060"/>
          <w:sz w:val="16"/>
          <w:szCs w:val="16"/>
        </w:rPr>
      </w:pPr>
      <w:r w:rsidRPr="00DE096C">
        <w:rPr>
          <w:bCs/>
          <w:i/>
          <w:color w:val="002060"/>
          <w:sz w:val="16"/>
          <w:szCs w:val="16"/>
        </w:rPr>
        <w:t>Жизнь и внутренняя политика:</w:t>
      </w:r>
    </w:p>
    <w:p w14:paraId="61657688" w14:textId="77777777" w:rsidR="00C445B0" w:rsidRPr="00DE096C" w:rsidRDefault="00C445B0" w:rsidP="00D45A46">
      <w:pPr>
        <w:jc w:val="both"/>
        <w:rPr>
          <w:bCs/>
          <w:i/>
          <w:color w:val="002060"/>
          <w:sz w:val="16"/>
          <w:szCs w:val="16"/>
        </w:rPr>
      </w:pPr>
    </w:p>
    <w:p w14:paraId="0C812191" w14:textId="0BC31AD2" w:rsidR="00C445B0" w:rsidRPr="00DE096C" w:rsidRDefault="00C445B0" w:rsidP="00D45A46">
      <w:pPr>
        <w:jc w:val="both"/>
        <w:rPr>
          <w:bCs/>
          <w:color w:val="002060"/>
          <w:sz w:val="16"/>
          <w:szCs w:val="16"/>
        </w:rPr>
      </w:pPr>
      <w:r w:rsidRPr="00DE096C">
        <w:rPr>
          <w:bCs/>
          <w:color w:val="002060"/>
          <w:sz w:val="16"/>
          <w:szCs w:val="16"/>
        </w:rPr>
        <w:t xml:space="preserve">14 </w:t>
      </w:r>
      <w:r w:rsidR="002445DF" w:rsidRPr="00DE096C">
        <w:rPr>
          <w:bCs/>
          <w:color w:val="002060"/>
          <w:sz w:val="16"/>
          <w:szCs w:val="16"/>
        </w:rPr>
        <w:t xml:space="preserve">(27) </w:t>
      </w:r>
      <w:r w:rsidRPr="00DE096C">
        <w:rPr>
          <w:bCs/>
          <w:color w:val="002060"/>
          <w:sz w:val="16"/>
          <w:szCs w:val="16"/>
        </w:rPr>
        <w:t>августа в 1914 году Россия обещает Польше автономию в случае помощи поляков в первой мировой войне (14983).</w:t>
      </w:r>
    </w:p>
    <w:p w14:paraId="50F16934" w14:textId="77777777" w:rsidR="00C445B0" w:rsidRPr="00DE096C" w:rsidRDefault="00C445B0" w:rsidP="00D45A46">
      <w:pPr>
        <w:jc w:val="both"/>
        <w:rPr>
          <w:bCs/>
          <w:color w:val="002060"/>
          <w:sz w:val="16"/>
          <w:szCs w:val="16"/>
        </w:rPr>
      </w:pPr>
    </w:p>
    <w:p w14:paraId="585DCC33" w14:textId="1CB8B98D" w:rsidR="00674AF1" w:rsidRPr="00DE096C" w:rsidRDefault="002F0233" w:rsidP="00D45A46">
      <w:pPr>
        <w:jc w:val="both"/>
        <w:rPr>
          <w:bCs/>
          <w:color w:val="002060"/>
          <w:sz w:val="16"/>
          <w:szCs w:val="16"/>
        </w:rPr>
      </w:pPr>
      <w:r w:rsidRPr="00DE096C">
        <w:rPr>
          <w:bCs/>
          <w:color w:val="002060"/>
          <w:sz w:val="16"/>
          <w:szCs w:val="16"/>
        </w:rPr>
        <w:t>14</w:t>
      </w:r>
      <w:r w:rsidR="00674AF1" w:rsidRPr="00DE096C">
        <w:rPr>
          <w:bCs/>
          <w:color w:val="002060"/>
          <w:sz w:val="16"/>
          <w:szCs w:val="16"/>
        </w:rPr>
        <w:t xml:space="preserve"> </w:t>
      </w:r>
      <w:r w:rsidR="002445DF" w:rsidRPr="00DE096C">
        <w:rPr>
          <w:bCs/>
          <w:color w:val="002060"/>
          <w:sz w:val="16"/>
          <w:szCs w:val="16"/>
        </w:rPr>
        <w:t xml:space="preserve">(27) </w:t>
      </w:r>
      <w:r w:rsidR="00674AF1" w:rsidRPr="00DE096C">
        <w:rPr>
          <w:bCs/>
          <w:color w:val="002060"/>
          <w:sz w:val="16"/>
          <w:szCs w:val="16"/>
        </w:rPr>
        <w:t>августа в 1914 году воззвание к полякам великого князя Николая Николаевича, Верховного главнокомандующего русскими войсками (с программой объединения польских земель под эгидой русского царя)</w:t>
      </w:r>
      <w:r w:rsidR="00674AF1" w:rsidRPr="00DE096C">
        <w:rPr>
          <w:rStyle w:val="ucoz-forum-post"/>
          <w:rFonts w:eastAsiaTheme="majorEastAsia"/>
          <w:bCs/>
          <w:color w:val="002060"/>
          <w:sz w:val="16"/>
          <w:szCs w:val="16"/>
        </w:rPr>
        <w:t xml:space="preserve"> (14751)</w:t>
      </w:r>
      <w:r w:rsidR="00674AF1" w:rsidRPr="00DE096C">
        <w:rPr>
          <w:bCs/>
          <w:color w:val="002060"/>
          <w:sz w:val="16"/>
          <w:szCs w:val="16"/>
        </w:rPr>
        <w:t>.</w:t>
      </w:r>
    </w:p>
    <w:p w14:paraId="216FB857" w14:textId="77777777" w:rsidR="00674AF1" w:rsidRPr="00DE096C" w:rsidRDefault="00674AF1" w:rsidP="00D45A46">
      <w:pPr>
        <w:jc w:val="both"/>
        <w:rPr>
          <w:bCs/>
          <w:color w:val="002060"/>
          <w:sz w:val="16"/>
          <w:szCs w:val="16"/>
        </w:rPr>
      </w:pPr>
    </w:p>
    <w:p w14:paraId="55FFA617"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 и воздухоплавание Франции:</w:t>
      </w:r>
    </w:p>
    <w:p w14:paraId="4B939AF2" w14:textId="77777777" w:rsidR="00B67D7C" w:rsidRPr="00DE096C" w:rsidRDefault="00B67D7C" w:rsidP="00D45A46">
      <w:pPr>
        <w:shd w:val="clear" w:color="auto" w:fill="FFFFFF"/>
        <w:jc w:val="both"/>
        <w:rPr>
          <w:bCs/>
          <w:i/>
          <w:color w:val="002060"/>
          <w:sz w:val="16"/>
          <w:szCs w:val="16"/>
        </w:rPr>
      </w:pPr>
    </w:p>
    <w:p w14:paraId="78AC008A" w14:textId="77777777" w:rsidR="00B67D7C" w:rsidRPr="00DE096C" w:rsidRDefault="00B67D7C" w:rsidP="00D45A46">
      <w:pPr>
        <w:jc w:val="both"/>
        <w:rPr>
          <w:bCs/>
          <w:color w:val="002060"/>
          <w:sz w:val="16"/>
          <w:szCs w:val="16"/>
        </w:rPr>
      </w:pPr>
      <w:r w:rsidRPr="00DE096C">
        <w:rPr>
          <w:bCs/>
          <w:color w:val="002060"/>
          <w:sz w:val="16"/>
          <w:szCs w:val="16"/>
        </w:rPr>
        <w:t>14 (27) августа 1914 - французское командование рассылает в войска "Указание для употребления артиллерии", в котором требует обеспечить полную связь между пехотой и артиллерией. Далее в указании говорится: "Наконец, следует подражать нашему противнику, широко применяющему аэропланы для подготовки своих атак. Эти аэропланы летают над местностью впереди фронта и дают возможность артиллерии брать под обстрел на максимальную дальность ее орудий наши сосредоточения и наши колонны, так что мы не можем даже приблизительно определить расположение батарей.</w:t>
      </w:r>
    </w:p>
    <w:p w14:paraId="799DAB09" w14:textId="77777777" w:rsidR="00B67D7C" w:rsidRPr="00DE096C" w:rsidRDefault="00B67D7C" w:rsidP="00D45A46">
      <w:pPr>
        <w:jc w:val="both"/>
        <w:rPr>
          <w:bCs/>
          <w:color w:val="002060"/>
          <w:sz w:val="16"/>
          <w:szCs w:val="16"/>
        </w:rPr>
      </w:pPr>
      <w:r w:rsidRPr="00DE096C">
        <w:rPr>
          <w:bCs/>
          <w:color w:val="002060"/>
          <w:sz w:val="16"/>
          <w:szCs w:val="16"/>
        </w:rPr>
        <w:t>Теперь, когда мы вошли в соприкосновение с противником на всем фронте армий, число самолетов, необходимых для стратегической разведки, сильно сократилось. Таким образом, командующие армиями впредь отдадут в распоряжение командиров армейских корпусов и резервных дивизий некоторое количество аэропланов, которые будут применяться для следующих задач:</w:t>
      </w:r>
    </w:p>
    <w:p w14:paraId="30B770AE" w14:textId="77777777" w:rsidR="00B67D7C" w:rsidRPr="00DE096C" w:rsidRDefault="00B67D7C" w:rsidP="00D45A46">
      <w:pPr>
        <w:jc w:val="both"/>
        <w:rPr>
          <w:bCs/>
          <w:color w:val="002060"/>
          <w:sz w:val="16"/>
          <w:szCs w:val="16"/>
        </w:rPr>
      </w:pPr>
      <w:r w:rsidRPr="00DE096C">
        <w:rPr>
          <w:bCs/>
          <w:color w:val="002060"/>
          <w:sz w:val="16"/>
          <w:szCs w:val="16"/>
        </w:rPr>
        <w:t>1. Отыскивать цели;</w:t>
      </w:r>
    </w:p>
    <w:p w14:paraId="086A9928" w14:textId="77777777" w:rsidR="00B67D7C" w:rsidRPr="00DE096C" w:rsidRDefault="00B67D7C" w:rsidP="00D45A46">
      <w:pPr>
        <w:jc w:val="both"/>
        <w:rPr>
          <w:bCs/>
          <w:color w:val="002060"/>
          <w:sz w:val="16"/>
          <w:szCs w:val="16"/>
        </w:rPr>
      </w:pPr>
      <w:r w:rsidRPr="00DE096C">
        <w:rPr>
          <w:bCs/>
          <w:color w:val="002060"/>
          <w:sz w:val="16"/>
          <w:szCs w:val="16"/>
        </w:rPr>
        <w:t>2. Давать батареям все необходимые сведения для производства стрельбы.</w:t>
      </w:r>
    </w:p>
    <w:p w14:paraId="7C82541E" w14:textId="77777777" w:rsidR="00B67D7C" w:rsidRPr="00DE096C" w:rsidRDefault="00B67D7C" w:rsidP="00D45A46">
      <w:pPr>
        <w:jc w:val="both"/>
        <w:rPr>
          <w:bCs/>
          <w:color w:val="002060"/>
          <w:sz w:val="16"/>
          <w:szCs w:val="16"/>
        </w:rPr>
      </w:pPr>
      <w:r w:rsidRPr="00DE096C">
        <w:rPr>
          <w:bCs/>
          <w:color w:val="002060"/>
          <w:sz w:val="16"/>
          <w:szCs w:val="16"/>
        </w:rPr>
        <w:t>Опыты, произведенные в этой области в течение нескольких лет, достаточно многочисленны, чтобы в каждом армейском корпусе или резервной дивизии командующий артиллерией мог, после получения сведений от службы авиации, принять необходимые исполнительные меры.</w:t>
      </w:r>
    </w:p>
    <w:p w14:paraId="2EE1F2C5" w14:textId="77777777" w:rsidR="00B67D7C" w:rsidRPr="00DE096C" w:rsidRDefault="00B67D7C" w:rsidP="00D45A46">
      <w:pPr>
        <w:jc w:val="both"/>
        <w:rPr>
          <w:bCs/>
          <w:color w:val="002060"/>
          <w:sz w:val="16"/>
          <w:szCs w:val="16"/>
        </w:rPr>
      </w:pPr>
      <w:r w:rsidRPr="00DE096C">
        <w:rPr>
          <w:bCs/>
          <w:color w:val="002060"/>
          <w:sz w:val="16"/>
          <w:szCs w:val="16"/>
        </w:rPr>
        <w:t>Главнокомандующий Жоффр".</w:t>
      </w:r>
    </w:p>
    <w:p w14:paraId="2D2B2A63" w14:textId="77777777" w:rsidR="00B67D7C" w:rsidRPr="00DE096C" w:rsidRDefault="00B67D7C" w:rsidP="00D45A46">
      <w:pPr>
        <w:jc w:val="both"/>
        <w:rPr>
          <w:bCs/>
          <w:color w:val="002060"/>
          <w:sz w:val="16"/>
          <w:szCs w:val="16"/>
        </w:rPr>
      </w:pPr>
      <w:r w:rsidRPr="00DE096C">
        <w:rPr>
          <w:bCs/>
          <w:color w:val="002060"/>
          <w:sz w:val="16"/>
          <w:szCs w:val="16"/>
        </w:rPr>
        <w:t>Любопытное свидетельство. И это несмотря на то, что французы первыми начали активно применять аэропланы для корректирования огня артиллерии; у русских и германских войск этим занимались преимущественно привязные аэростаты. Здесь любопытно привести свидетельство командующего германской авиацией Гёпнера: "Первые артиллерийские стрельбы в Германии с участием летчиков были проведены при артиллерийской школе в октябре 1912 г., а затем весной 1913 г. Три офицера артиллериста получили специальную подготовку по этому делу... Дальнейших шагов в этом направлении вплоть до начала войны сделано у нас не было..."</w:t>
      </w:r>
    </w:p>
    <w:p w14:paraId="6C05E1FE" w14:textId="77777777" w:rsidR="00B67D7C" w:rsidRPr="00DE096C" w:rsidRDefault="00B67D7C" w:rsidP="00D45A46">
      <w:pPr>
        <w:jc w:val="both"/>
        <w:rPr>
          <w:bCs/>
          <w:color w:val="002060"/>
          <w:sz w:val="16"/>
          <w:szCs w:val="16"/>
        </w:rPr>
      </w:pPr>
      <w:r w:rsidRPr="00DE096C">
        <w:rPr>
          <w:bCs/>
          <w:color w:val="002060"/>
          <w:sz w:val="16"/>
          <w:szCs w:val="16"/>
        </w:rPr>
        <w:t>И у него же в другом месте: "В конце 1912 г. главная инспекция нашей артиллерии указывала, что "преимущество Франции в деле применения аэропланов для нужд артиллерии надо рассматривать в известной мере как компенсацию ее отсталости в области тяжелой артиллерии"" (11999).</w:t>
      </w:r>
    </w:p>
    <w:p w14:paraId="38BBB8CC" w14:textId="77777777" w:rsidR="00B67D7C" w:rsidRPr="00DE096C" w:rsidRDefault="00B67D7C" w:rsidP="00D45A46">
      <w:pPr>
        <w:jc w:val="both"/>
        <w:rPr>
          <w:bCs/>
          <w:color w:val="002060"/>
          <w:sz w:val="16"/>
          <w:szCs w:val="16"/>
        </w:rPr>
      </w:pPr>
    </w:p>
    <w:p w14:paraId="5D19B2BF" w14:textId="7192156A" w:rsidR="007378DE" w:rsidRPr="00DE096C" w:rsidRDefault="007378DE" w:rsidP="00D45A46">
      <w:pPr>
        <w:shd w:val="clear" w:color="auto" w:fill="FFFFFF"/>
        <w:jc w:val="both"/>
        <w:rPr>
          <w:bCs/>
          <w:i/>
          <w:color w:val="002060"/>
          <w:sz w:val="16"/>
          <w:szCs w:val="16"/>
        </w:rPr>
      </w:pPr>
      <w:r w:rsidRPr="00DE096C">
        <w:rPr>
          <w:bCs/>
          <w:i/>
          <w:color w:val="002060"/>
          <w:sz w:val="16"/>
          <w:szCs w:val="16"/>
        </w:rPr>
        <w:lastRenderedPageBreak/>
        <w:t>Авиация и воздухоплавание Англии:</w:t>
      </w:r>
    </w:p>
    <w:p w14:paraId="3DEB3549" w14:textId="77777777" w:rsidR="007378DE" w:rsidRPr="00DE096C" w:rsidRDefault="007378DE" w:rsidP="00D45A46">
      <w:pPr>
        <w:shd w:val="clear" w:color="auto" w:fill="FFFFFF"/>
        <w:jc w:val="both"/>
        <w:rPr>
          <w:bCs/>
          <w:i/>
          <w:color w:val="002060"/>
          <w:sz w:val="16"/>
          <w:szCs w:val="16"/>
        </w:rPr>
      </w:pPr>
    </w:p>
    <w:p w14:paraId="461A0681" w14:textId="77777777" w:rsidR="007378DE" w:rsidRPr="00DE096C" w:rsidRDefault="007378DE" w:rsidP="00D45A46">
      <w:pPr>
        <w:jc w:val="both"/>
        <w:rPr>
          <w:bCs/>
          <w:color w:val="002060"/>
          <w:sz w:val="16"/>
          <w:szCs w:val="16"/>
        </w:rPr>
      </w:pPr>
      <w:r w:rsidRPr="00DE096C">
        <w:rPr>
          <w:bCs/>
          <w:color w:val="002060"/>
          <w:sz w:val="16"/>
          <w:szCs w:val="16"/>
        </w:rPr>
        <w:t>14 (27) августа 1914 эскадрилья The Royal Service Naval Air под командованием Wing Commander Чарльза Самсона прибыла во Францию для службы на первой мировой войне (20337).</w:t>
      </w:r>
    </w:p>
    <w:p w14:paraId="6F7859A1" w14:textId="77777777" w:rsidR="007378DE" w:rsidRPr="00DE096C" w:rsidRDefault="007378DE" w:rsidP="00D45A46">
      <w:pPr>
        <w:jc w:val="both"/>
        <w:rPr>
          <w:bCs/>
          <w:color w:val="002060"/>
          <w:sz w:val="16"/>
          <w:szCs w:val="16"/>
        </w:rPr>
      </w:pPr>
    </w:p>
    <w:p w14:paraId="14AD36C4"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 и воздухоплавание за рубежом:</w:t>
      </w:r>
    </w:p>
    <w:p w14:paraId="541AA9B6" w14:textId="77777777" w:rsidR="00B67D7C" w:rsidRPr="00DE096C" w:rsidRDefault="00B67D7C" w:rsidP="00D45A46">
      <w:pPr>
        <w:shd w:val="clear" w:color="auto" w:fill="FFFFFF"/>
        <w:jc w:val="both"/>
        <w:rPr>
          <w:bCs/>
          <w:i/>
          <w:color w:val="002060"/>
          <w:sz w:val="16"/>
          <w:szCs w:val="16"/>
        </w:rPr>
      </w:pPr>
    </w:p>
    <w:p w14:paraId="1DED80EA" w14:textId="77777777" w:rsidR="00E75798" w:rsidRPr="00DE096C" w:rsidRDefault="00E75798" w:rsidP="00D45A46">
      <w:pPr>
        <w:shd w:val="clear" w:color="auto" w:fill="FFFFFF"/>
        <w:jc w:val="both"/>
        <w:rPr>
          <w:bCs/>
          <w:color w:val="002060"/>
          <w:sz w:val="16"/>
          <w:szCs w:val="16"/>
        </w:rPr>
      </w:pPr>
      <w:r w:rsidRPr="00DE096C">
        <w:rPr>
          <w:bCs/>
          <w:color w:val="002060"/>
          <w:sz w:val="16"/>
          <w:szCs w:val="16"/>
        </w:rPr>
        <w:t>14 (27) августа 1914 г. один вооруженный австрийский самолет атаковал невооруженный сербский аэроплан, но его летчик Миодраг Томич сумел уйти от неприятеля. Наконец, спустя девять месяцев правительство Франции направило в Сербию свою эскадрилью MF-93 из 12 самолетов «Фарман» MF. 11 (пять из них позже подарили сербской армии) и примерно сто военнослужащих. Первая сербская авиашкола была создана в 1915 г., но сложное военное положение, в котором оказалась Сербия, воспрепятствовало ее дальнейшей работе. Франция передала два уже не новых самолета «Блерио» XI, которые в Сербии получили собственные имена «Олуй» и «Вихор» (буря и вихрь). «Олуй» был первым сербским боевым самолетом – на нем установили пулемет Schwarclose М.08. Трофеями сербов в 1915 г. стали один турецкий «Блерио» и один австро-венгерский «Авиатик». 2 августа 1915 г. сербы выполнили первый полет на бомбометание. Экипаж сбросил небольшие бомбы и стрелы на колонну неприятельских войск. Из России поступили два воздушных шара постройки фирмы «Треугольник» и семь артиллерийских батарей, включая одну зенитную с пушками калибра 76 мм. Эта батарея, положившая начало ПВО Сербии, 15 августа 1915 г. сбив австро-венгерский аэроплан; до конца войны батарея сбил еще два неприятельских самолета. В это же время для стрельбы по воздушным целям адаптировали несколько полевых орудий. Из- за драматичного ухудшения ситуации на Балканском театре военных действий в конце 1915 г., король принял решение высести войска с территории Сербии. Тогда был уничтожен и первый воздушный шар «Cp6nja» После вывода сербской армии через Черногорию и Албанию в Грецию на состров Корфу, там была сформирована новая авиационная эскадрилья (12104).</w:t>
      </w:r>
    </w:p>
    <w:p w14:paraId="3B7743A9" w14:textId="77777777" w:rsidR="00E75798" w:rsidRPr="00DE096C" w:rsidRDefault="00E75798" w:rsidP="00D45A46">
      <w:pPr>
        <w:shd w:val="clear" w:color="auto" w:fill="FFFFFF"/>
        <w:jc w:val="both"/>
        <w:rPr>
          <w:bCs/>
          <w:color w:val="002060"/>
          <w:sz w:val="16"/>
          <w:szCs w:val="16"/>
        </w:rPr>
      </w:pPr>
    </w:p>
    <w:p w14:paraId="696B7C24" w14:textId="77777777" w:rsidR="00344A8B" w:rsidRPr="00DE096C" w:rsidRDefault="00344A8B" w:rsidP="00D45A46">
      <w:pPr>
        <w:jc w:val="both"/>
        <w:rPr>
          <w:bCs/>
          <w:i/>
          <w:color w:val="002060"/>
          <w:sz w:val="16"/>
          <w:szCs w:val="16"/>
        </w:rPr>
      </w:pPr>
      <w:r w:rsidRPr="00DE096C">
        <w:rPr>
          <w:bCs/>
          <w:i/>
          <w:color w:val="002060"/>
          <w:sz w:val="16"/>
          <w:szCs w:val="16"/>
        </w:rPr>
        <w:t>За рубежом:</w:t>
      </w:r>
    </w:p>
    <w:p w14:paraId="5B86516F" w14:textId="77777777" w:rsidR="00344A8B" w:rsidRPr="00DE096C" w:rsidRDefault="00344A8B" w:rsidP="00D45A46">
      <w:pPr>
        <w:jc w:val="both"/>
        <w:rPr>
          <w:bCs/>
          <w:color w:val="002060"/>
          <w:sz w:val="16"/>
          <w:szCs w:val="16"/>
        </w:rPr>
      </w:pPr>
    </w:p>
    <w:p w14:paraId="4AEEFFCB" w14:textId="77777777" w:rsidR="00344A8B" w:rsidRPr="00DE096C" w:rsidRDefault="00344A8B" w:rsidP="00D45A46">
      <w:pPr>
        <w:jc w:val="both"/>
        <w:rPr>
          <w:bCs/>
          <w:color w:val="002060"/>
          <w:sz w:val="16"/>
          <w:szCs w:val="16"/>
        </w:rPr>
      </w:pPr>
      <w:r w:rsidRPr="00DE096C">
        <w:rPr>
          <w:bCs/>
          <w:color w:val="002060"/>
          <w:sz w:val="16"/>
          <w:szCs w:val="16"/>
        </w:rPr>
        <w:t>14 (27) августа в 1914 году Япония объявила войну Австро-Венгрии</w:t>
      </w:r>
      <w:r w:rsidRPr="00DE096C">
        <w:rPr>
          <w:rStyle w:val="ucoz-forum-post"/>
          <w:rFonts w:eastAsiaTheme="majorEastAsia"/>
          <w:bCs/>
          <w:color w:val="002060"/>
          <w:sz w:val="16"/>
          <w:szCs w:val="16"/>
        </w:rPr>
        <w:t xml:space="preserve"> (14751)</w:t>
      </w:r>
      <w:r w:rsidRPr="00DE096C">
        <w:rPr>
          <w:bCs/>
          <w:color w:val="002060"/>
          <w:sz w:val="16"/>
          <w:szCs w:val="16"/>
        </w:rPr>
        <w:t>.</w:t>
      </w:r>
    </w:p>
    <w:p w14:paraId="4DD7DADF" w14:textId="77777777" w:rsidR="00344A8B" w:rsidRPr="00DE096C" w:rsidRDefault="00344A8B" w:rsidP="00D45A46">
      <w:pPr>
        <w:jc w:val="both"/>
        <w:rPr>
          <w:bCs/>
          <w:color w:val="002060"/>
          <w:sz w:val="16"/>
          <w:szCs w:val="16"/>
        </w:rPr>
      </w:pPr>
    </w:p>
    <w:p w14:paraId="6CF48BD4"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7CA536A7" w14:textId="77777777" w:rsidR="00B67D7C" w:rsidRPr="00DE096C" w:rsidRDefault="00B67D7C" w:rsidP="00D45A46">
      <w:pPr>
        <w:shd w:val="clear" w:color="auto" w:fill="FFFFFF"/>
        <w:jc w:val="both"/>
        <w:rPr>
          <w:bCs/>
          <w:i/>
          <w:color w:val="002060"/>
          <w:sz w:val="16"/>
          <w:szCs w:val="16"/>
        </w:rPr>
      </w:pPr>
    </w:p>
    <w:p w14:paraId="692EA192" w14:textId="25EFB89A" w:rsidR="00585137" w:rsidRPr="00DE096C" w:rsidRDefault="00585137" w:rsidP="00D45A46">
      <w:pPr>
        <w:jc w:val="both"/>
        <w:rPr>
          <w:bCs/>
          <w:color w:val="002060"/>
          <w:sz w:val="16"/>
          <w:szCs w:val="16"/>
        </w:rPr>
      </w:pPr>
      <w:r w:rsidRPr="00DE096C">
        <w:rPr>
          <w:bCs/>
          <w:color w:val="002060"/>
          <w:sz w:val="16"/>
          <w:szCs w:val="16"/>
        </w:rPr>
        <w:t xml:space="preserve">15 </w:t>
      </w:r>
      <w:r w:rsidR="00042E9E" w:rsidRPr="00DE096C">
        <w:rPr>
          <w:bCs/>
          <w:color w:val="002060"/>
          <w:sz w:val="16"/>
          <w:szCs w:val="16"/>
        </w:rPr>
        <w:t xml:space="preserve">(28) </w:t>
      </w:r>
      <w:r w:rsidRPr="00DE096C">
        <w:rPr>
          <w:bCs/>
          <w:color w:val="002060"/>
          <w:sz w:val="16"/>
          <w:szCs w:val="16"/>
        </w:rPr>
        <w:t>августа 1914 г. директор Балтийского завода известил МГШ (Морской Генераль</w:t>
      </w:r>
      <w:r w:rsidRPr="00DE096C">
        <w:rPr>
          <w:bCs/>
          <w:color w:val="002060"/>
          <w:sz w:val="16"/>
          <w:szCs w:val="16"/>
        </w:rPr>
        <w:softHyphen/>
        <w:t>ный штаб) о том, что Воздухоплавательное отделение предприятия могло наладить выпуск «гидроаэропланов системы профессора Гаккеля» в соответствии с прилагав</w:t>
      </w:r>
      <w:r w:rsidRPr="00DE096C">
        <w:rPr>
          <w:bCs/>
          <w:color w:val="002060"/>
          <w:sz w:val="16"/>
          <w:szCs w:val="16"/>
        </w:rPr>
        <w:softHyphen/>
        <w:t>шимся чертежом. Аппарат, движимый двумя 175-сильными моторами и несущий по</w:t>
      </w:r>
      <w:r w:rsidRPr="00DE096C">
        <w:rPr>
          <w:bCs/>
          <w:color w:val="002060"/>
          <w:sz w:val="16"/>
          <w:szCs w:val="16"/>
        </w:rPr>
        <w:softHyphen/>
        <w:t>лезную нагрузку в 500 кг, должен был лететь со скоростью 90 км/ч в течение 10 часов; его цена составляла бы 90.000 руб., тогда как премия в 3.000 руб. назначалась за ка</w:t>
      </w:r>
      <w:r w:rsidRPr="00DE096C">
        <w:rPr>
          <w:bCs/>
          <w:color w:val="002060"/>
          <w:sz w:val="16"/>
          <w:szCs w:val="16"/>
        </w:rPr>
        <w:softHyphen/>
        <w:t>ждую дополнительную единицу скорости. Завод обещал завершить строительство про</w:t>
      </w:r>
      <w:r w:rsidRPr="00DE096C">
        <w:rPr>
          <w:bCs/>
          <w:color w:val="002060"/>
          <w:sz w:val="16"/>
          <w:szCs w:val="16"/>
        </w:rPr>
        <w:softHyphen/>
        <w:t>тотипа в трехмесячный срок. К концу августа авиационный инженер Балтийского флота П.А. Шишков изучил проект и дал положительный отзыв, особо отметив, что с учетом большого опыта Гаккеля аппарат обещал дать хорошие результаты, а Балтийский за</w:t>
      </w:r>
      <w:r w:rsidRPr="00DE096C">
        <w:rPr>
          <w:bCs/>
          <w:color w:val="002060"/>
          <w:sz w:val="16"/>
          <w:szCs w:val="16"/>
        </w:rPr>
        <w:softHyphen/>
        <w:t>вод, являясь солидным промышленным предприятием, мог справиться с постройкой машины. По Шишкову, гидроаэроплан по внешнему виду напоминал летающую лодку Кертисса «Америка», но имел более удачно расположенные двигатели с редукторами, работавшими на уменьшение оборотов. Будучи весьма продуманным в аэродинамиче</w:t>
      </w:r>
      <w:r w:rsidRPr="00DE096C">
        <w:rPr>
          <w:bCs/>
          <w:color w:val="002060"/>
          <w:sz w:val="16"/>
          <w:szCs w:val="16"/>
        </w:rPr>
        <w:softHyphen/>
        <w:t>ском плане, он весил 2880 кг при поверхности крыльев в 98,00 кв.м и общей мощно</w:t>
      </w:r>
      <w:r w:rsidRPr="00DE096C">
        <w:rPr>
          <w:bCs/>
          <w:color w:val="002060"/>
          <w:sz w:val="16"/>
          <w:szCs w:val="16"/>
        </w:rPr>
        <w:softHyphen/>
        <w:t>сти моторов в 300 л.с. МГШ имел все основания полагать, что Балтийский завод дей</w:t>
      </w:r>
      <w:r w:rsidRPr="00DE096C">
        <w:rPr>
          <w:bCs/>
          <w:color w:val="002060"/>
          <w:sz w:val="16"/>
          <w:szCs w:val="16"/>
        </w:rPr>
        <w:softHyphen/>
        <w:t>ствительно был в состоянии достичь больших успехов, чем какая-нибудь не слишком хорошо оборудованная и снабжаемая частная фирма (15782).</w:t>
      </w:r>
    </w:p>
    <w:p w14:paraId="3CF95673" w14:textId="77777777" w:rsidR="00585137" w:rsidRPr="00DE096C" w:rsidRDefault="00585137" w:rsidP="00D45A46">
      <w:pPr>
        <w:jc w:val="both"/>
        <w:rPr>
          <w:bCs/>
          <w:color w:val="002060"/>
          <w:sz w:val="16"/>
          <w:szCs w:val="16"/>
        </w:rPr>
      </w:pPr>
    </w:p>
    <w:p w14:paraId="44764FA5" w14:textId="6D23E964" w:rsidR="00585137" w:rsidRPr="00DE096C" w:rsidRDefault="00585137" w:rsidP="00D45A46">
      <w:pPr>
        <w:pStyle w:val="23"/>
        <w:shd w:val="clear" w:color="auto" w:fill="auto"/>
        <w:spacing w:line="240" w:lineRule="auto"/>
        <w:ind w:firstLine="0"/>
        <w:jc w:val="both"/>
        <w:rPr>
          <w:bCs/>
          <w:color w:val="002060"/>
          <w:sz w:val="16"/>
          <w:szCs w:val="16"/>
        </w:rPr>
      </w:pPr>
      <w:r w:rsidRPr="00DE096C">
        <w:rPr>
          <w:bCs/>
          <w:color w:val="002060"/>
          <w:sz w:val="16"/>
          <w:szCs w:val="16"/>
        </w:rPr>
        <w:t xml:space="preserve">С 15 </w:t>
      </w:r>
      <w:r w:rsidR="00684CAC" w:rsidRPr="00DE096C">
        <w:rPr>
          <w:bCs/>
          <w:color w:val="002060"/>
          <w:sz w:val="16"/>
          <w:szCs w:val="16"/>
        </w:rPr>
        <w:t xml:space="preserve">(28) </w:t>
      </w:r>
      <w:r w:rsidRPr="00DE096C">
        <w:rPr>
          <w:bCs/>
          <w:color w:val="002060"/>
          <w:sz w:val="16"/>
          <w:szCs w:val="16"/>
        </w:rPr>
        <w:t xml:space="preserve">августа по 5 </w:t>
      </w:r>
      <w:r w:rsidR="00684CAC" w:rsidRPr="00DE096C">
        <w:rPr>
          <w:bCs/>
          <w:color w:val="002060"/>
          <w:sz w:val="16"/>
          <w:szCs w:val="16"/>
        </w:rPr>
        <w:t xml:space="preserve">(18) </w:t>
      </w:r>
      <w:r w:rsidRPr="00DE096C">
        <w:rPr>
          <w:bCs/>
          <w:color w:val="002060"/>
          <w:sz w:val="16"/>
          <w:szCs w:val="16"/>
        </w:rPr>
        <w:t>сентября 1914 г. Григорашвили провел на Комендантском аэродроме всесторонние летные испытания «Би-Кока». Для самолета с двигателем в 50 л. с. «Би-Кок» продемонстрировал ре</w:t>
      </w:r>
      <w:r w:rsidRPr="00DE096C">
        <w:rPr>
          <w:bCs/>
          <w:color w:val="002060"/>
          <w:sz w:val="16"/>
          <w:szCs w:val="16"/>
        </w:rPr>
        <w:softHyphen/>
        <w:t>кордные данные: скорость 99 км/ч и полезную нагрузку 256 кг при весовой отдаче в 50 %. Перспективной машиной заинтересовалось военное ведомство. Пороховщиков начал строить второй экземпляр самолета. На нем конструк</w:t>
      </w:r>
      <w:r w:rsidRPr="00DE096C">
        <w:rPr>
          <w:bCs/>
          <w:color w:val="002060"/>
          <w:sz w:val="16"/>
          <w:szCs w:val="16"/>
        </w:rPr>
        <w:softHyphen/>
        <w:t>тор планировал установить мощный двигатель, пулемет, броню и гусеничное шасси. На первом же «Би-Коке» Григорашвили собирался отправиться доб</w:t>
      </w:r>
      <w:r w:rsidRPr="00DE096C">
        <w:rPr>
          <w:bCs/>
          <w:color w:val="002060"/>
          <w:sz w:val="16"/>
          <w:szCs w:val="16"/>
        </w:rPr>
        <w:softHyphen/>
        <w:t>ровольцем на фронт. Началась мировая война, и столичные летчики-спорт</w:t>
      </w:r>
      <w:r w:rsidRPr="00DE096C">
        <w:rPr>
          <w:bCs/>
          <w:color w:val="002060"/>
          <w:sz w:val="16"/>
          <w:szCs w:val="16"/>
        </w:rPr>
        <w:softHyphen/>
        <w:t>смены устремились «охотниками» (т. е. добровольцами) в армию. Однако это</w:t>
      </w:r>
      <w:r w:rsidRPr="00DE096C">
        <w:rPr>
          <w:bCs/>
          <w:color w:val="002060"/>
          <w:sz w:val="16"/>
          <w:szCs w:val="16"/>
        </w:rPr>
        <w:softHyphen/>
        <w:t>му намерению нашего героя не суждено было сбыться (15740).</w:t>
      </w:r>
    </w:p>
    <w:p w14:paraId="09DA4CEE" w14:textId="77777777" w:rsidR="00585137" w:rsidRPr="00DE096C" w:rsidRDefault="00585137" w:rsidP="00D45A46">
      <w:pPr>
        <w:pStyle w:val="23"/>
        <w:shd w:val="clear" w:color="auto" w:fill="auto"/>
        <w:spacing w:line="240" w:lineRule="auto"/>
        <w:ind w:firstLine="0"/>
        <w:jc w:val="both"/>
        <w:rPr>
          <w:bCs/>
          <w:color w:val="002060"/>
          <w:sz w:val="16"/>
          <w:szCs w:val="16"/>
        </w:rPr>
      </w:pPr>
    </w:p>
    <w:p w14:paraId="16C5EDBA" w14:textId="7116612B" w:rsidR="00585137" w:rsidRPr="00DE096C" w:rsidRDefault="00585137" w:rsidP="00D45A46">
      <w:pPr>
        <w:jc w:val="both"/>
        <w:rPr>
          <w:bCs/>
          <w:color w:val="002060"/>
          <w:sz w:val="16"/>
          <w:szCs w:val="16"/>
        </w:rPr>
      </w:pPr>
      <w:r w:rsidRPr="00DE096C">
        <w:rPr>
          <w:bCs/>
          <w:color w:val="002060"/>
          <w:sz w:val="16"/>
          <w:szCs w:val="16"/>
        </w:rPr>
        <w:t xml:space="preserve">15 </w:t>
      </w:r>
      <w:r w:rsidR="00684CAC" w:rsidRPr="00DE096C">
        <w:rPr>
          <w:bCs/>
          <w:color w:val="002060"/>
          <w:sz w:val="16"/>
          <w:szCs w:val="16"/>
        </w:rPr>
        <w:t xml:space="preserve">(28) </w:t>
      </w:r>
      <w:r w:rsidRPr="00DE096C">
        <w:rPr>
          <w:bCs/>
          <w:color w:val="002060"/>
          <w:sz w:val="16"/>
          <w:szCs w:val="16"/>
        </w:rPr>
        <w:t xml:space="preserve">августа в 1914 году начались </w:t>
      </w:r>
      <w:r w:rsidR="00684CAC" w:rsidRPr="00DE096C">
        <w:rPr>
          <w:bCs/>
          <w:color w:val="002060"/>
          <w:sz w:val="16"/>
          <w:szCs w:val="16"/>
        </w:rPr>
        <w:t xml:space="preserve">и проходили </w:t>
      </w:r>
      <w:r w:rsidRPr="00DE096C">
        <w:rPr>
          <w:bCs/>
          <w:color w:val="002060"/>
          <w:sz w:val="16"/>
          <w:szCs w:val="16"/>
        </w:rPr>
        <w:t xml:space="preserve">по 5 </w:t>
      </w:r>
      <w:r w:rsidR="00684CAC" w:rsidRPr="00DE096C">
        <w:rPr>
          <w:bCs/>
          <w:color w:val="002060"/>
          <w:sz w:val="16"/>
          <w:szCs w:val="16"/>
        </w:rPr>
        <w:t xml:space="preserve">(18) </w:t>
      </w:r>
      <w:r w:rsidRPr="00DE096C">
        <w:rPr>
          <w:bCs/>
          <w:color w:val="002060"/>
          <w:sz w:val="16"/>
          <w:szCs w:val="16"/>
        </w:rPr>
        <w:t xml:space="preserve">сентября испытания самолета Пороховщикова </w:t>
      </w:r>
      <w:hyperlink r:id="rId40" w:tgtFrame="_blank" w:history="1">
        <w:r w:rsidRPr="00DE096C">
          <w:rPr>
            <w:bCs/>
            <w:color w:val="002060"/>
            <w:sz w:val="16"/>
            <w:szCs w:val="16"/>
          </w:rPr>
          <w:t xml:space="preserve">«Би-Кок». </w:t>
        </w:r>
      </w:hyperlink>
      <w:r w:rsidRPr="00DE096C">
        <w:rPr>
          <w:bCs/>
          <w:color w:val="002060"/>
          <w:sz w:val="16"/>
          <w:szCs w:val="16"/>
        </w:rPr>
        <w:t>С полной нагрузкой 256 кг, равной весу пустого самолета, летчику М.Л. Григорашвили удалось достичь максимальной скорости около 100 км/час. Для самолета с двигателем 50 л.с. такие данные считались весьма высокими. До конца года велись переговоры с Военным ведомством об изготовлении небольшой серии "Би-Кок" на заводе Ф.Ф. Терещенко. Однако Пороховщиков желал строить свои самолет лично, в количестве, достаточном для вооружения одного авиаотряда, о чем уведомил в своем письме от 8 января 1915 г. Дальнейшие переговоры зашли в тупик и постройка военных "Двухвосток" Пороховщикова не состоялась (14984).</w:t>
      </w:r>
    </w:p>
    <w:p w14:paraId="0B9A2562" w14:textId="77777777" w:rsidR="00684CAC" w:rsidRPr="00DE096C" w:rsidRDefault="00684CAC" w:rsidP="00D45A46">
      <w:pPr>
        <w:jc w:val="both"/>
        <w:rPr>
          <w:bCs/>
          <w:color w:val="002060"/>
          <w:sz w:val="16"/>
          <w:szCs w:val="16"/>
        </w:rPr>
      </w:pPr>
    </w:p>
    <w:p w14:paraId="3398CD43" w14:textId="77777777" w:rsidR="00684CAC" w:rsidRPr="00DE096C" w:rsidRDefault="00684CAC" w:rsidP="00D45A46">
      <w:pPr>
        <w:jc w:val="both"/>
        <w:rPr>
          <w:bCs/>
          <w:color w:val="002060"/>
          <w:sz w:val="16"/>
          <w:szCs w:val="16"/>
        </w:rPr>
      </w:pPr>
      <w:r w:rsidRPr="00DE096C">
        <w:rPr>
          <w:bCs/>
          <w:color w:val="002060"/>
          <w:sz w:val="16"/>
          <w:szCs w:val="16"/>
        </w:rPr>
        <w:t>15 (28) августа — 5 (18) сентября 1914 г. на Комендантском аэродроме производились первые испытания самолета «Би-Кок», предложенного в качестве разведчика Военному ведомству. Летал М. Л. Григорашвили, инженер путей сообщения, автор воздушных винтов. Самолет показал хорошие качества: скорость 99 км/ч, полная нагрузка при этом составляла 256 кг., т. е. была равна массе пустого. Для самолета с двигателем в 50 л. с. это были рекордные данные. Военное ведомство обратило внимание на этот самолет, ф. Ф. Терещенко было предложено принять заказ на постройку нескольких самолетов “Би-Кок”. Были начаты переговоры с А. А. Пороховщиковым, но тот письмом от 8 января 1915 г. ответил, что хочет строить аппараты сам и при том в количестве не менее, как на целый авиационный отряд. Заказ оформлен не был, и этот оригинальный и интересный самолет развития не получил. В 1915 г. на втором экземпляре “Би-Кока” было гусеничное шасси — брезентовая лента на семи установленных в ряд деревянных барабанах — двух крайних диаметром 20 см и пяти малых промежуточных в общей раме. Эти гусеницы ставились взамен колес — возможно, впервые в мире — были испытаны, но применения не нашли (Шавров История воздухоплавания и авиации в СССР, с. 470—475).</w:t>
      </w:r>
    </w:p>
    <w:p w14:paraId="080740B6" w14:textId="77777777" w:rsidR="00684CAC" w:rsidRPr="00DE096C" w:rsidRDefault="00684CAC" w:rsidP="00D45A46">
      <w:pPr>
        <w:jc w:val="both"/>
        <w:rPr>
          <w:bCs/>
          <w:color w:val="002060"/>
          <w:sz w:val="16"/>
          <w:szCs w:val="16"/>
        </w:rPr>
      </w:pPr>
    </w:p>
    <w:p w14:paraId="75B3251F" w14:textId="2395B945" w:rsidR="002F0233" w:rsidRPr="00DE096C" w:rsidRDefault="002F0233" w:rsidP="00D45A46">
      <w:pPr>
        <w:jc w:val="both"/>
        <w:rPr>
          <w:bCs/>
          <w:color w:val="002060"/>
          <w:sz w:val="16"/>
          <w:szCs w:val="16"/>
          <w:lang w:bidi="ru-RU"/>
        </w:rPr>
      </w:pPr>
      <w:r w:rsidRPr="00DE096C">
        <w:rPr>
          <w:bCs/>
          <w:color w:val="002060"/>
          <w:sz w:val="16"/>
          <w:szCs w:val="16"/>
          <w:lang w:bidi="ru-RU"/>
        </w:rPr>
        <w:t xml:space="preserve">С 15 (28) августа по 5 (18) сентября 1914 г. «Би-Кок» Александра Александровича Пороховщикова (1892-1943 гг.) успешно прошел испытания. </w:t>
      </w:r>
    </w:p>
    <w:p w14:paraId="74A3FA5D" w14:textId="77777777" w:rsidR="002F0233" w:rsidRPr="00DE096C" w:rsidRDefault="002F0233" w:rsidP="00D45A46">
      <w:pPr>
        <w:jc w:val="both"/>
        <w:rPr>
          <w:bCs/>
          <w:color w:val="002060"/>
          <w:sz w:val="16"/>
          <w:szCs w:val="16"/>
        </w:rPr>
      </w:pPr>
      <w:r w:rsidRPr="00DE096C">
        <w:rPr>
          <w:bCs/>
          <w:color w:val="002060"/>
          <w:sz w:val="16"/>
          <w:szCs w:val="16"/>
          <w:lang w:bidi="ru-RU"/>
        </w:rPr>
        <w:t>По схеме «Би-Кок» представлял собой ярко выраженный полу</w:t>
      </w:r>
      <w:r w:rsidRPr="00DE096C">
        <w:rPr>
          <w:bCs/>
          <w:color w:val="002060"/>
          <w:sz w:val="16"/>
          <w:szCs w:val="16"/>
          <w:lang w:bidi="ru-RU"/>
        </w:rPr>
        <w:softHyphen/>
        <w:t>тораплан с двухместной кабиной и двой</w:t>
      </w:r>
      <w:r w:rsidRPr="00DE096C">
        <w:rPr>
          <w:bCs/>
          <w:color w:val="002060"/>
          <w:sz w:val="16"/>
          <w:szCs w:val="16"/>
          <w:lang w:bidi="ru-RU"/>
        </w:rPr>
        <w:softHyphen/>
        <w:t>ным управлением, был оборудован двига</w:t>
      </w:r>
      <w:r w:rsidRPr="00DE096C">
        <w:rPr>
          <w:bCs/>
          <w:color w:val="002060"/>
          <w:sz w:val="16"/>
          <w:szCs w:val="16"/>
          <w:lang w:bidi="ru-RU"/>
        </w:rPr>
        <w:softHyphen/>
        <w:t>телем «Гном» 50 л.с. Хвостовые балки за</w:t>
      </w:r>
      <w:r w:rsidRPr="00DE096C">
        <w:rPr>
          <w:bCs/>
          <w:color w:val="002060"/>
          <w:sz w:val="16"/>
          <w:szCs w:val="16"/>
          <w:lang w:bidi="ru-RU"/>
        </w:rPr>
        <w:softHyphen/>
        <w:t>канчивались цельноповоротными рулями направления, в верхней части соединялись неподвижным стабилизатором, в нижней части — цельноповоротным рулем высоты.</w:t>
      </w:r>
    </w:p>
    <w:p w14:paraId="51C8B566" w14:textId="77777777" w:rsidR="002F0233" w:rsidRPr="00DE096C" w:rsidRDefault="002F0233" w:rsidP="00D45A46">
      <w:pPr>
        <w:jc w:val="both"/>
        <w:rPr>
          <w:bCs/>
          <w:color w:val="002060"/>
          <w:sz w:val="16"/>
          <w:szCs w:val="16"/>
          <w:lang w:bidi="ru-RU"/>
        </w:rPr>
      </w:pPr>
      <w:r w:rsidRPr="00DE096C">
        <w:rPr>
          <w:bCs/>
          <w:color w:val="002060"/>
          <w:sz w:val="16"/>
          <w:szCs w:val="16"/>
          <w:lang w:bidi="ru-RU"/>
        </w:rPr>
        <w:t>Самолет предназначался для военного использования, поэтому предполагалась установка бронирования и вооружения. Кроме того, конструкция легко разбира</w:t>
      </w:r>
      <w:r w:rsidRPr="00DE096C">
        <w:rPr>
          <w:bCs/>
          <w:color w:val="002060"/>
          <w:sz w:val="16"/>
          <w:szCs w:val="16"/>
          <w:lang w:bidi="ru-RU"/>
        </w:rPr>
        <w:softHyphen/>
        <w:t>лась в течение 5 минут, в разобранном виде «Би-Кок» помещался в транспортный контейнер размерами 3,7 х 1,8 х 1,7 м. Между тем основной причиной появления «разборного» самолета стало его строи</w:t>
      </w:r>
      <w:r w:rsidRPr="00DE096C">
        <w:rPr>
          <w:bCs/>
          <w:color w:val="002060"/>
          <w:sz w:val="16"/>
          <w:szCs w:val="16"/>
          <w:lang w:bidi="ru-RU"/>
        </w:rPr>
        <w:softHyphen/>
        <w:t>тельство на личной квартире конструктора, размещенной на 6-м этаже жилого дома.</w:t>
      </w:r>
    </w:p>
    <w:p w14:paraId="1BE3EE63" w14:textId="77777777" w:rsidR="002F0233" w:rsidRPr="00DE096C" w:rsidRDefault="002F0233" w:rsidP="00D45A46">
      <w:pPr>
        <w:jc w:val="both"/>
        <w:rPr>
          <w:bCs/>
          <w:color w:val="002060"/>
          <w:sz w:val="16"/>
          <w:szCs w:val="16"/>
        </w:rPr>
      </w:pPr>
      <w:r w:rsidRPr="00DE096C">
        <w:rPr>
          <w:bCs/>
          <w:color w:val="002060"/>
          <w:sz w:val="16"/>
          <w:szCs w:val="16"/>
          <w:lang w:bidi="ru-RU"/>
        </w:rPr>
        <w:t>С полной нагрузкой 256 кг, равной весу пу</w:t>
      </w:r>
      <w:r w:rsidRPr="00DE096C">
        <w:rPr>
          <w:bCs/>
          <w:color w:val="002060"/>
          <w:sz w:val="16"/>
          <w:szCs w:val="16"/>
          <w:lang w:bidi="ru-RU"/>
        </w:rPr>
        <w:softHyphen/>
        <w:t>стого самолета, летчику М.Л. Григорашвили удалось достичь максимальной скоро</w:t>
      </w:r>
      <w:r w:rsidRPr="00DE096C">
        <w:rPr>
          <w:bCs/>
          <w:color w:val="002060"/>
          <w:sz w:val="16"/>
          <w:szCs w:val="16"/>
          <w:lang w:bidi="ru-RU"/>
        </w:rPr>
        <w:softHyphen/>
        <w:t>сти около 100 км/ч. Для самолета с двига</w:t>
      </w:r>
      <w:r w:rsidRPr="00DE096C">
        <w:rPr>
          <w:bCs/>
          <w:color w:val="002060"/>
          <w:sz w:val="16"/>
          <w:szCs w:val="16"/>
          <w:lang w:bidi="ru-RU"/>
        </w:rPr>
        <w:softHyphen/>
        <w:t>телем 50 л.с. такие данные считались весьма высокими. До конца года велись переговоры с Военным ведомством об из</w:t>
      </w:r>
      <w:r w:rsidRPr="00DE096C">
        <w:rPr>
          <w:bCs/>
          <w:color w:val="002060"/>
          <w:sz w:val="16"/>
          <w:szCs w:val="16"/>
          <w:lang w:bidi="ru-RU"/>
        </w:rPr>
        <w:softHyphen/>
        <w:t>готовлении небольшой серии «Би-Кок» на заводе Ф.Ф. Терещенко. Однако Порохов</w:t>
      </w:r>
      <w:r w:rsidRPr="00DE096C">
        <w:rPr>
          <w:bCs/>
          <w:color w:val="002060"/>
          <w:sz w:val="16"/>
          <w:szCs w:val="16"/>
          <w:lang w:bidi="ru-RU"/>
        </w:rPr>
        <w:softHyphen/>
        <w:t>щиков желал строить свой самолет лично, в количестве, достаточном для вооружения одного авиаотряда, о чем уведомил в сво</w:t>
      </w:r>
      <w:r w:rsidRPr="00DE096C">
        <w:rPr>
          <w:bCs/>
          <w:color w:val="002060"/>
          <w:sz w:val="16"/>
          <w:szCs w:val="16"/>
          <w:lang w:bidi="ru-RU"/>
        </w:rPr>
        <w:softHyphen/>
        <w:t>ем письме от 8 января 1915 г. Дальнейшие переговоры зашли в тупик и постройка во</w:t>
      </w:r>
      <w:r w:rsidRPr="00DE096C">
        <w:rPr>
          <w:bCs/>
          <w:color w:val="002060"/>
          <w:sz w:val="16"/>
          <w:szCs w:val="16"/>
          <w:lang w:bidi="ru-RU"/>
        </w:rPr>
        <w:softHyphen/>
        <w:t>енных «Двухвосток» Пороховщикова не со</w:t>
      </w:r>
      <w:r w:rsidRPr="00DE096C">
        <w:rPr>
          <w:bCs/>
          <w:color w:val="002060"/>
          <w:sz w:val="16"/>
          <w:szCs w:val="16"/>
          <w:lang w:bidi="ru-RU"/>
        </w:rPr>
        <w:softHyphen/>
        <w:t>стоялась.</w:t>
      </w:r>
    </w:p>
    <w:p w14:paraId="123D07C3" w14:textId="77777777" w:rsidR="002F0233" w:rsidRPr="00DE096C" w:rsidRDefault="002F0233" w:rsidP="00D45A46">
      <w:pPr>
        <w:jc w:val="both"/>
        <w:rPr>
          <w:bCs/>
          <w:color w:val="002060"/>
          <w:sz w:val="16"/>
          <w:szCs w:val="16"/>
        </w:rPr>
      </w:pPr>
      <w:r w:rsidRPr="00DE096C">
        <w:rPr>
          <w:bCs/>
          <w:color w:val="002060"/>
          <w:sz w:val="16"/>
          <w:szCs w:val="16"/>
          <w:lang w:bidi="ru-RU"/>
        </w:rPr>
        <w:t>В 1915 г. построили второй экземпляр «Би-Кок» с оригинальным гусеничным шас</w:t>
      </w:r>
      <w:r w:rsidRPr="00DE096C">
        <w:rPr>
          <w:bCs/>
          <w:color w:val="002060"/>
          <w:sz w:val="16"/>
          <w:szCs w:val="16"/>
          <w:lang w:bidi="ru-RU"/>
        </w:rPr>
        <w:softHyphen/>
        <w:t>си, которое можно было устанавливать вместо колес. Гусеничное шасси представ</w:t>
      </w:r>
      <w:r w:rsidRPr="00DE096C">
        <w:rPr>
          <w:bCs/>
          <w:color w:val="002060"/>
          <w:sz w:val="16"/>
          <w:szCs w:val="16"/>
          <w:lang w:bidi="ru-RU"/>
        </w:rPr>
        <w:softHyphen/>
        <w:t>ляло собой брезентовую ленту, двигающу</w:t>
      </w:r>
      <w:r w:rsidRPr="00DE096C">
        <w:rPr>
          <w:bCs/>
          <w:color w:val="002060"/>
          <w:sz w:val="16"/>
          <w:szCs w:val="16"/>
          <w:lang w:bidi="ru-RU"/>
        </w:rPr>
        <w:softHyphen/>
        <w:t>юся на деревянных барабанах. Проведен</w:t>
      </w:r>
      <w:r w:rsidRPr="00DE096C">
        <w:rPr>
          <w:bCs/>
          <w:color w:val="002060"/>
          <w:sz w:val="16"/>
          <w:szCs w:val="16"/>
          <w:lang w:bidi="ru-RU"/>
        </w:rPr>
        <w:softHyphen/>
        <w:t>ные испытания подтвердили работоспо</w:t>
      </w:r>
      <w:r w:rsidRPr="00DE096C">
        <w:rPr>
          <w:bCs/>
          <w:color w:val="002060"/>
          <w:sz w:val="16"/>
          <w:szCs w:val="16"/>
          <w:lang w:bidi="ru-RU"/>
        </w:rPr>
        <w:softHyphen/>
        <w:t>собность оригинального устройства, однако дальнейшего развития изобретения не произошло.</w:t>
      </w:r>
    </w:p>
    <w:p w14:paraId="4A5F755E" w14:textId="77777777" w:rsidR="002F0233" w:rsidRPr="00DE096C" w:rsidRDefault="002F0233" w:rsidP="00D45A46">
      <w:pPr>
        <w:jc w:val="both"/>
        <w:rPr>
          <w:bCs/>
          <w:color w:val="002060"/>
          <w:sz w:val="16"/>
          <w:szCs w:val="16"/>
          <w:lang w:bidi="ru-RU"/>
        </w:rPr>
      </w:pPr>
    </w:p>
    <w:p w14:paraId="5D1BCA7D" w14:textId="77777777" w:rsidR="00B67D7C" w:rsidRPr="00DE096C" w:rsidRDefault="00B67D7C" w:rsidP="00D45A46">
      <w:pPr>
        <w:jc w:val="both"/>
        <w:rPr>
          <w:bCs/>
          <w:color w:val="002060"/>
          <w:sz w:val="16"/>
          <w:szCs w:val="16"/>
        </w:rPr>
      </w:pPr>
      <w:r w:rsidRPr="00DE096C">
        <w:rPr>
          <w:bCs/>
          <w:color w:val="002060"/>
          <w:sz w:val="16"/>
          <w:szCs w:val="16"/>
        </w:rPr>
        <w:t>15 (28) августа 1914 г. директор Балтийского завода известил МГШ о том, что Воздухопла</w:t>
      </w:r>
      <w:r w:rsidRPr="00DE096C">
        <w:rPr>
          <w:bCs/>
          <w:color w:val="002060"/>
          <w:sz w:val="16"/>
          <w:szCs w:val="16"/>
        </w:rPr>
        <w:softHyphen/>
        <w:t>вательное отделение предприятия могло наладить выпуск "гидроаэропланов системы про</w:t>
      </w:r>
      <w:r w:rsidRPr="00DE096C">
        <w:rPr>
          <w:bCs/>
          <w:color w:val="002060"/>
          <w:sz w:val="16"/>
          <w:szCs w:val="16"/>
        </w:rPr>
        <w:softHyphen/>
        <w:t>фессора Гаккеля" в соответствии с прилагавшимся чертежом. Аппарат, движимый двумя 175-сильными моторами и несущий полезную нагрузку в 500 кг, должен был лететь со ско</w:t>
      </w:r>
      <w:r w:rsidRPr="00DE096C">
        <w:rPr>
          <w:bCs/>
          <w:color w:val="002060"/>
          <w:sz w:val="16"/>
          <w:szCs w:val="16"/>
        </w:rPr>
        <w:softHyphen/>
        <w:t>ростью 90 км/ч в течение 10 часов; его цена составляла бы 90.000 руб., тогда как премия в 3.000 руб. назначалась за каждую дополнительную единицу скорости. Завод обещал за</w:t>
      </w:r>
      <w:r w:rsidRPr="00DE096C">
        <w:rPr>
          <w:bCs/>
          <w:color w:val="002060"/>
          <w:sz w:val="16"/>
          <w:szCs w:val="16"/>
        </w:rPr>
        <w:softHyphen/>
        <w:t>вершить строительство прототипа в трехмесячный срок. К концу августа авиационный ин</w:t>
      </w:r>
      <w:r w:rsidRPr="00DE096C">
        <w:rPr>
          <w:bCs/>
          <w:color w:val="002060"/>
          <w:sz w:val="16"/>
          <w:szCs w:val="16"/>
        </w:rPr>
        <w:softHyphen/>
        <w:t>женер Балтийского флота П.А. Шишков изучил проект и дал положительный отзыв, особо отметив, что с учетом большого опыта Гаккеля аппарат обещал дать хорошие результаты, а Балтийский завод, являясь солидным промышленным предприятием, мог справиться с постройкой машины. По Шишкову, гид</w:t>
      </w:r>
      <w:r w:rsidRPr="00DE096C">
        <w:rPr>
          <w:bCs/>
          <w:color w:val="002060"/>
          <w:sz w:val="16"/>
          <w:szCs w:val="16"/>
        </w:rPr>
        <w:softHyphen/>
        <w:t>роаэроплан по внешнему виду напоминал летающую лодку Кертисса "Америка", но имел более удачно рас</w:t>
      </w:r>
      <w:r w:rsidRPr="00DE096C">
        <w:rPr>
          <w:bCs/>
          <w:color w:val="002060"/>
          <w:sz w:val="16"/>
          <w:szCs w:val="16"/>
        </w:rPr>
        <w:softHyphen/>
        <w:t>положенные двигатели с редукторами, работавшими на уменьшение оборотов. Будучи весьма продуманным в аэродинамическом плане, он весил 2880 кг при поверх</w:t>
      </w:r>
      <w:r w:rsidRPr="00DE096C">
        <w:rPr>
          <w:bCs/>
          <w:color w:val="002060"/>
          <w:sz w:val="16"/>
          <w:szCs w:val="16"/>
        </w:rPr>
        <w:softHyphen/>
        <w:t>ности крыльев в 98,00 кв. м и общей мощности моторов в 300 л.с. МГШ имел все основания полагать, что Бал</w:t>
      </w:r>
      <w:r w:rsidRPr="00DE096C">
        <w:rPr>
          <w:bCs/>
          <w:color w:val="002060"/>
          <w:sz w:val="16"/>
          <w:szCs w:val="16"/>
        </w:rPr>
        <w:softHyphen/>
        <w:t>тийский завод действительно был в состоянии достичь больших успехов, чем какая-нибудь не слишком хоро</w:t>
      </w:r>
      <w:r w:rsidRPr="00DE096C">
        <w:rPr>
          <w:bCs/>
          <w:color w:val="002060"/>
          <w:sz w:val="16"/>
          <w:szCs w:val="16"/>
        </w:rPr>
        <w:softHyphen/>
        <w:t>шо оборудованная и снабжаемая частная фирма (2843).</w:t>
      </w:r>
    </w:p>
    <w:p w14:paraId="3139F289" w14:textId="77777777" w:rsidR="002F0233" w:rsidRPr="00DE096C" w:rsidRDefault="002F0233" w:rsidP="00D45A46">
      <w:pPr>
        <w:jc w:val="both"/>
        <w:rPr>
          <w:bCs/>
          <w:i/>
          <w:color w:val="002060"/>
          <w:sz w:val="16"/>
          <w:szCs w:val="16"/>
        </w:rPr>
      </w:pPr>
    </w:p>
    <w:p w14:paraId="3CB92364" w14:textId="069F883B" w:rsidR="00B67D7C" w:rsidRPr="00DE096C" w:rsidRDefault="00B67D7C" w:rsidP="00D45A46">
      <w:pPr>
        <w:jc w:val="both"/>
        <w:rPr>
          <w:bCs/>
          <w:i/>
          <w:color w:val="002060"/>
          <w:sz w:val="16"/>
          <w:szCs w:val="16"/>
        </w:rPr>
      </w:pPr>
      <w:r w:rsidRPr="00DE096C">
        <w:rPr>
          <w:bCs/>
          <w:i/>
          <w:color w:val="002060"/>
          <w:sz w:val="16"/>
          <w:szCs w:val="16"/>
        </w:rPr>
        <w:lastRenderedPageBreak/>
        <w:t>Авиация:</w:t>
      </w:r>
    </w:p>
    <w:p w14:paraId="258F8D52" w14:textId="77777777" w:rsidR="00B67D7C" w:rsidRPr="00DE096C" w:rsidRDefault="00B67D7C" w:rsidP="00D45A46">
      <w:pPr>
        <w:jc w:val="both"/>
        <w:rPr>
          <w:bCs/>
          <w:i/>
          <w:color w:val="002060"/>
          <w:sz w:val="16"/>
          <w:szCs w:val="16"/>
        </w:rPr>
      </w:pPr>
    </w:p>
    <w:p w14:paraId="0F2D3C0A" w14:textId="77777777" w:rsidR="00B67D7C" w:rsidRPr="00DE096C" w:rsidRDefault="00B67D7C" w:rsidP="00D45A46">
      <w:pPr>
        <w:jc w:val="both"/>
        <w:rPr>
          <w:bCs/>
          <w:color w:val="002060"/>
          <w:sz w:val="16"/>
          <w:szCs w:val="16"/>
        </w:rPr>
      </w:pPr>
      <w:r w:rsidRPr="00DE096C">
        <w:rPr>
          <w:bCs/>
          <w:color w:val="002060"/>
          <w:sz w:val="16"/>
          <w:szCs w:val="16"/>
        </w:rPr>
        <w:t>15 (28) августа 1914 был подбит вылетевший на разведку аэроплан 9-го авиаотряда 3-й армии, управляемый Войткевичем. Телеграмма из штаба 3-й армии командиру XI корпуса: "Вчера утром Ста- рооскольским полком был обстрелян при спуске в Злочеве летчик штабс-капитан Нестеров, сегодня при спуске летчики штабс-капитан Плотников и поручик Войткевич в районе Скварова были расстреляны частями вверенного Вам корпуса, в том числе вторично Старооскольским полком. Расстрел продолжался после спуска с дистанции 300 шагов , прошу распоряжения производстве расследования. Рузский".</w:t>
      </w:r>
    </w:p>
    <w:p w14:paraId="5564F66A" w14:textId="77777777" w:rsidR="00B67D7C" w:rsidRPr="00DE096C" w:rsidRDefault="00B67D7C" w:rsidP="00D45A46">
      <w:pPr>
        <w:jc w:val="both"/>
        <w:rPr>
          <w:bCs/>
          <w:color w:val="002060"/>
          <w:sz w:val="16"/>
          <w:szCs w:val="16"/>
        </w:rPr>
      </w:pPr>
      <w:r w:rsidRPr="00DE096C">
        <w:rPr>
          <w:bCs/>
          <w:color w:val="002060"/>
          <w:sz w:val="16"/>
          <w:szCs w:val="16"/>
        </w:rPr>
        <w:t>Подобные истории происходили тогда на всех фронтах. Быть может, наиболее яркой иллюстрацией этого феномена является признание Рихтгофена: "Я был совершенно не в курсе деятельности нашей авиации, но каждый раз при виде летчика сердце мое трепетало. Разумеется, при этом я и понятия не имел, немецкий аэроплан я вижу или вражеский, а уж о таких тонкостях, как кресты на наших машинах и круги на вражеских, не мог и подумать. В результате мы все палили по любому появлявшемуся аэроплану".</w:t>
      </w:r>
    </w:p>
    <w:p w14:paraId="1D4E35D9" w14:textId="77777777" w:rsidR="00B67D7C" w:rsidRPr="00DE096C" w:rsidRDefault="00B67D7C" w:rsidP="00D45A46">
      <w:pPr>
        <w:jc w:val="both"/>
        <w:rPr>
          <w:bCs/>
          <w:color w:val="002060"/>
          <w:sz w:val="16"/>
          <w:szCs w:val="16"/>
        </w:rPr>
      </w:pPr>
      <w:r w:rsidRPr="00DE096C">
        <w:rPr>
          <w:bCs/>
          <w:color w:val="002060"/>
          <w:sz w:val="16"/>
          <w:szCs w:val="16"/>
        </w:rPr>
        <w:t>Район Танненберга. С германской стороны капитан генерального штаба XVII армейского корпуса доставил с воздушной разведки сведения о благополучном совершении прорыва корпуса в тыл русских. 43-й авиаотряд установил, что на путях к западу, кроме уже известного левого крыла нет никаких новых русских войск, которые могли бы препятствовать обходу, направленному в тыл русских на Вилленберг.</w:t>
      </w:r>
    </w:p>
    <w:p w14:paraId="5C748A8A" w14:textId="77777777" w:rsidR="00B67D7C" w:rsidRPr="00DE096C" w:rsidRDefault="00B67D7C" w:rsidP="00D45A46">
      <w:pPr>
        <w:jc w:val="both"/>
        <w:rPr>
          <w:bCs/>
          <w:color w:val="002060"/>
          <w:sz w:val="16"/>
          <w:szCs w:val="16"/>
        </w:rPr>
      </w:pPr>
      <w:r w:rsidRPr="00DE096C">
        <w:rPr>
          <w:bCs/>
          <w:color w:val="002060"/>
          <w:sz w:val="16"/>
          <w:szCs w:val="16"/>
        </w:rPr>
        <w:t>Германский цеппелин подверг бомбардировке станцию Млава (Восточная Пруссия), занятую русскими войсками. По свидетельству одного из летчиков, рано утром "...цеппелин начал уже кидать бомбы, причем одна из них попала в зал I класса вокзала, пробила крышу и разорвалась, а другая бомба была брошена на полотно железной дороги, на мecтo высадки одного из эшелонов. На месте оказалось несколько трупов... Всего сброшено было десять бомб".</w:t>
      </w:r>
    </w:p>
    <w:p w14:paraId="7DF3BF9F" w14:textId="77777777" w:rsidR="00B67D7C" w:rsidRPr="00DE096C" w:rsidRDefault="00B67D7C" w:rsidP="00D45A46">
      <w:pPr>
        <w:jc w:val="both"/>
        <w:rPr>
          <w:bCs/>
          <w:color w:val="002060"/>
          <w:sz w:val="16"/>
          <w:szCs w:val="16"/>
        </w:rPr>
      </w:pPr>
      <w:r w:rsidRPr="00DE096C">
        <w:rPr>
          <w:bCs/>
          <w:color w:val="002060"/>
          <w:sz w:val="16"/>
          <w:szCs w:val="16"/>
        </w:rPr>
        <w:t>Цеппелин был сбит русской артиллерией (11999).</w:t>
      </w:r>
    </w:p>
    <w:p w14:paraId="0B0B41C2" w14:textId="77777777" w:rsidR="00B67D7C" w:rsidRPr="00DE096C" w:rsidRDefault="00B67D7C" w:rsidP="00D45A46">
      <w:pPr>
        <w:jc w:val="both"/>
        <w:rPr>
          <w:bCs/>
          <w:color w:val="002060"/>
          <w:sz w:val="16"/>
          <w:szCs w:val="16"/>
        </w:rPr>
      </w:pPr>
    </w:p>
    <w:p w14:paraId="171A46F7" w14:textId="58688715" w:rsidR="002F0233" w:rsidRPr="00DE096C" w:rsidRDefault="002F0233" w:rsidP="00D45A46">
      <w:pPr>
        <w:jc w:val="both"/>
        <w:rPr>
          <w:bCs/>
          <w:color w:val="002060"/>
          <w:sz w:val="16"/>
          <w:szCs w:val="16"/>
        </w:rPr>
      </w:pPr>
      <w:r w:rsidRPr="00DE096C">
        <w:rPr>
          <w:bCs/>
          <w:color w:val="002060"/>
          <w:sz w:val="16"/>
          <w:szCs w:val="16"/>
        </w:rPr>
        <w:t>15 (28) августа 1914 г. возле станции Балин (Подольская железная дорога) нашими войсками был захвачен австрийский летательный аппарат. Офицер-летчик и нижний чин попали в плен.</w:t>
      </w:r>
    </w:p>
    <w:p w14:paraId="6621395C" w14:textId="77777777" w:rsidR="002F0233" w:rsidRPr="00DE096C" w:rsidRDefault="002F0233" w:rsidP="00D45A46">
      <w:pPr>
        <w:jc w:val="both"/>
        <w:rPr>
          <w:bCs/>
          <w:color w:val="002060"/>
          <w:sz w:val="16"/>
          <w:szCs w:val="16"/>
        </w:rPr>
      </w:pPr>
      <w:r w:rsidRPr="00DE096C">
        <w:rPr>
          <w:bCs/>
          <w:color w:val="002060"/>
          <w:sz w:val="16"/>
          <w:szCs w:val="16"/>
        </w:rPr>
        <w:t>К этому времени военное командование Германии сосредоточило основную свою воздушную группировку в составе 8-й немецкой армии (Восточная Пруссия). К началу Восточно-Прусской операции (17.08</w:t>
      </w:r>
      <w:r w:rsidRPr="00DE096C">
        <w:rPr>
          <w:bCs/>
          <w:color w:val="002060"/>
          <w:sz w:val="16"/>
          <w:szCs w:val="16"/>
        </w:rPr>
        <w:softHyphen/>
        <w:t>15.09.1914 г.) ее численность достигла 57 аэропланов против одного дирижабля и 30 аэропланов, задействованных в наступательной операции 1-й и 2-й русских армий СЗФ. В этот период отмечались случаи проведения противником воздушной разведки в нашем глубоком тылу. Некоторые вражеские ЛА достигали рубежа городов, удаленных от линии фронта свыше 200 км, включая Ригу.</w:t>
      </w:r>
    </w:p>
    <w:p w14:paraId="23A27124" w14:textId="77777777" w:rsidR="002F0233" w:rsidRPr="00DE096C" w:rsidRDefault="002F0233" w:rsidP="00D45A46">
      <w:pPr>
        <w:jc w:val="both"/>
        <w:rPr>
          <w:bCs/>
          <w:color w:val="002060"/>
          <w:sz w:val="16"/>
          <w:szCs w:val="16"/>
        </w:rPr>
      </w:pPr>
      <w:r w:rsidRPr="00DE096C">
        <w:rPr>
          <w:bCs/>
          <w:color w:val="002060"/>
          <w:sz w:val="16"/>
          <w:szCs w:val="16"/>
        </w:rPr>
        <w:t>Для действий в районе русских приморских объектов привлекалась гидроавиация германского флота на Балтийском море. Так, 19 августа в районе г. Виндава (Вентспилс) нашими наблюдательными постами был обнаружен неприятельский гидроаэроплан, совершавший свой полет северо-западнее город</w:t>
      </w:r>
      <w:hyperlink w:anchor="bookmark1098" w:tooltip="Current Document">
        <w:r w:rsidRPr="00DE096C">
          <w:rPr>
            <w:rStyle w:val="af0"/>
            <w:bCs/>
            <w:color w:val="002060"/>
            <w:sz w:val="16"/>
            <w:szCs w:val="16"/>
          </w:rPr>
          <w:t>а</w:t>
        </w:r>
      </w:hyperlink>
      <w:r w:rsidRPr="00DE096C">
        <w:rPr>
          <w:bCs/>
          <w:color w:val="002060"/>
          <w:sz w:val="16"/>
          <w:szCs w:val="16"/>
        </w:rPr>
        <w:t>. Его появление напрямую было связано с отражением утром того же дня пограничной стражей морского десанта противника, пытавшегося высадиться на побережье с борта трех миноносцев.</w:t>
      </w:r>
    </w:p>
    <w:p w14:paraId="29DB2914" w14:textId="77777777" w:rsidR="002F0233" w:rsidRPr="00DE096C" w:rsidRDefault="002F0233" w:rsidP="00D45A46">
      <w:pPr>
        <w:jc w:val="both"/>
        <w:rPr>
          <w:bCs/>
          <w:color w:val="002060"/>
          <w:sz w:val="16"/>
          <w:szCs w:val="16"/>
        </w:rPr>
      </w:pPr>
      <w:r w:rsidRPr="00DE096C">
        <w:rPr>
          <w:bCs/>
          <w:color w:val="002060"/>
          <w:sz w:val="16"/>
          <w:szCs w:val="16"/>
        </w:rPr>
        <w:t xml:space="preserve">В первые месяцы войны неприятельская авиация мало беспокоила русское командование, выполняя лишь задачи разведывательного характера (23405). </w:t>
      </w:r>
    </w:p>
    <w:p w14:paraId="57C3A42E" w14:textId="77777777" w:rsidR="002F0233" w:rsidRPr="00DE096C" w:rsidRDefault="002F0233" w:rsidP="00D45A46">
      <w:pPr>
        <w:jc w:val="both"/>
        <w:rPr>
          <w:bCs/>
          <w:color w:val="002060"/>
          <w:sz w:val="16"/>
          <w:szCs w:val="16"/>
        </w:rPr>
      </w:pPr>
    </w:p>
    <w:p w14:paraId="005E7693" w14:textId="77777777" w:rsidR="00042E9E" w:rsidRPr="00DE096C" w:rsidRDefault="00042E9E" w:rsidP="00D45A46">
      <w:pPr>
        <w:jc w:val="both"/>
        <w:rPr>
          <w:bCs/>
          <w:color w:val="002060"/>
          <w:sz w:val="16"/>
          <w:szCs w:val="16"/>
        </w:rPr>
      </w:pPr>
      <w:r w:rsidRPr="00DE096C">
        <w:rPr>
          <w:bCs/>
          <w:color w:val="002060"/>
          <w:sz w:val="16"/>
          <w:szCs w:val="16"/>
        </w:rPr>
        <w:t>15 (28) августа 1914 г. в районе ст. Млава нашими войсками обит немецкий дирижабль «цеппелин», бомбардировавший ранним утром эту станцию. Дирижабль спустился близ станции и был частично разрушен его экипажем, который после этого был взят в плен. Остатки дирижабля были отправлены в Петроград. Это был первый немецкий дирижабль, сбитый нашими войсками,</w:t>
      </w:r>
    </w:p>
    <w:p w14:paraId="42F787F2" w14:textId="77777777" w:rsidR="00042E9E" w:rsidRPr="00DE096C" w:rsidRDefault="00042E9E" w:rsidP="00D45A46">
      <w:pPr>
        <w:jc w:val="both"/>
        <w:rPr>
          <w:bCs/>
          <w:color w:val="002060"/>
          <w:sz w:val="16"/>
          <w:szCs w:val="16"/>
        </w:rPr>
      </w:pPr>
      <w:r w:rsidRPr="00DE096C">
        <w:rPr>
          <w:bCs/>
          <w:color w:val="002060"/>
          <w:sz w:val="16"/>
          <w:szCs w:val="16"/>
        </w:rPr>
        <w:t>/Воздушный справочник, 1915;ТВФ, 1914, № 4-6/ (23320).</w:t>
      </w:r>
    </w:p>
    <w:p w14:paraId="2D271EA4" w14:textId="77777777" w:rsidR="00042E9E" w:rsidRPr="00DE096C" w:rsidRDefault="00042E9E" w:rsidP="00D45A46">
      <w:pPr>
        <w:jc w:val="both"/>
        <w:rPr>
          <w:bCs/>
          <w:color w:val="002060"/>
          <w:sz w:val="16"/>
          <w:szCs w:val="16"/>
        </w:rPr>
      </w:pPr>
    </w:p>
    <w:p w14:paraId="2ED53EEE" w14:textId="77777777" w:rsidR="006F1965" w:rsidRPr="00B52707" w:rsidRDefault="006F1965" w:rsidP="006F1965">
      <w:pPr>
        <w:jc w:val="both"/>
        <w:rPr>
          <w:color w:val="0070C0"/>
          <w:sz w:val="16"/>
          <w:szCs w:val="16"/>
        </w:rPr>
      </w:pPr>
      <w:r w:rsidRPr="00B52707">
        <w:rPr>
          <w:color w:val="0070C0"/>
          <w:sz w:val="16"/>
          <w:szCs w:val="16"/>
        </w:rPr>
        <w:t xml:space="preserve">15 (28) августа 1914 г. вблизи г. Лодзь ружейным огнем казачьего разъезда оказался подбитым германский аэроплан. При падении весь его экипаж (3 человека) погиб (25135). </w:t>
      </w:r>
    </w:p>
    <w:p w14:paraId="45DC0A9A" w14:textId="77777777" w:rsidR="006F1965" w:rsidRPr="00B52707" w:rsidRDefault="006F1965" w:rsidP="006F1965">
      <w:pPr>
        <w:jc w:val="both"/>
        <w:rPr>
          <w:color w:val="0070C0"/>
          <w:sz w:val="16"/>
          <w:szCs w:val="16"/>
        </w:rPr>
      </w:pPr>
    </w:p>
    <w:p w14:paraId="7889A20A" w14:textId="77777777" w:rsidR="00042E9E" w:rsidRPr="00DE096C" w:rsidRDefault="00042E9E" w:rsidP="00D45A46">
      <w:pPr>
        <w:jc w:val="both"/>
        <w:rPr>
          <w:bCs/>
          <w:color w:val="002060"/>
          <w:sz w:val="16"/>
          <w:szCs w:val="16"/>
        </w:rPr>
      </w:pPr>
      <w:r w:rsidRPr="00DE096C">
        <w:rPr>
          <w:bCs/>
          <w:color w:val="002060"/>
          <w:sz w:val="16"/>
          <w:szCs w:val="16"/>
        </w:rPr>
        <w:t>15 (28) августа 1914 г. «высочайше» утверждены выработанные в главной ВТУ правила и условия для полетов военных летчиков, дающие возможность судить о степени подготовки последних к выполнению задач военного времени, причем к летчикам предъявляются требования совершать дальние и продолжительные полеты во все время года. Для выполнения этих правил Министерство внутренних дел ввело особые удостоверения, на которых местные власти должны делать отметки о времени и месте посадки и вылета самолета.</w:t>
      </w:r>
    </w:p>
    <w:p w14:paraId="531A5F61" w14:textId="77777777" w:rsidR="00042E9E" w:rsidRPr="00DE096C" w:rsidRDefault="00042E9E" w:rsidP="00D45A46">
      <w:pPr>
        <w:jc w:val="both"/>
        <w:rPr>
          <w:bCs/>
          <w:color w:val="002060"/>
          <w:sz w:val="16"/>
          <w:szCs w:val="16"/>
        </w:rPr>
      </w:pPr>
      <w:r w:rsidRPr="00DE096C">
        <w:rPr>
          <w:bCs/>
          <w:color w:val="002060"/>
          <w:sz w:val="16"/>
          <w:szCs w:val="16"/>
        </w:rPr>
        <w:t>/ЦГИАМ, ф. 63, оп. 23, Д. 69, л. 20/ (23320).</w:t>
      </w:r>
    </w:p>
    <w:p w14:paraId="35C9EEEB" w14:textId="77777777" w:rsidR="00042E9E" w:rsidRPr="00DE096C" w:rsidRDefault="00042E9E" w:rsidP="00D45A46">
      <w:pPr>
        <w:jc w:val="both"/>
        <w:rPr>
          <w:bCs/>
          <w:color w:val="002060"/>
          <w:sz w:val="16"/>
          <w:szCs w:val="16"/>
        </w:rPr>
      </w:pPr>
    </w:p>
    <w:p w14:paraId="49E660DB" w14:textId="77777777" w:rsidR="00B67D7C" w:rsidRPr="00DE096C" w:rsidRDefault="00B67D7C" w:rsidP="00D45A46">
      <w:pPr>
        <w:jc w:val="both"/>
        <w:rPr>
          <w:bCs/>
          <w:i/>
          <w:color w:val="002060"/>
          <w:sz w:val="16"/>
          <w:szCs w:val="16"/>
        </w:rPr>
      </w:pPr>
      <w:r w:rsidRPr="00DE096C">
        <w:rPr>
          <w:bCs/>
          <w:i/>
          <w:color w:val="002060"/>
          <w:sz w:val="16"/>
          <w:szCs w:val="16"/>
        </w:rPr>
        <w:t>Воздухоплавание:</w:t>
      </w:r>
    </w:p>
    <w:p w14:paraId="261E7FEF" w14:textId="77777777" w:rsidR="00B67D7C" w:rsidRPr="00DE096C" w:rsidRDefault="00B67D7C" w:rsidP="00D45A46">
      <w:pPr>
        <w:jc w:val="both"/>
        <w:rPr>
          <w:bCs/>
          <w:i/>
          <w:color w:val="002060"/>
          <w:sz w:val="16"/>
          <w:szCs w:val="16"/>
        </w:rPr>
      </w:pPr>
    </w:p>
    <w:p w14:paraId="7B1ECD8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15-16 (28-29) августа 1914 военный воздухоплаватель Б.В.Голубов на дирижабле "Альбатрос</w:t>
      </w:r>
      <w:r w:rsidRPr="00DE096C">
        <w:rPr>
          <w:bCs/>
          <w:color w:val="002060"/>
          <w:sz w:val="16"/>
          <w:szCs w:val="16"/>
          <w:vertAlign w:val="superscript"/>
        </w:rPr>
        <w:t>11</w:t>
      </w:r>
      <w:r w:rsidRPr="00DE096C">
        <w:rPr>
          <w:bCs/>
          <w:color w:val="002060"/>
          <w:sz w:val="16"/>
          <w:szCs w:val="16"/>
        </w:rPr>
        <w:t xml:space="preserve"> совершил-ночной перелет из Сализи в Лиду, покрыв расстояние 650 км за 12 часов. Дирижабль предназначался для полетов на фронте, но к таковым оказался непригоден, так выше 1000 м не поднимался ("Воздухоплавание". 1924, № 6-7).</w:t>
      </w:r>
    </w:p>
    <w:p w14:paraId="67BF04B0" w14:textId="77777777" w:rsidR="00B67D7C" w:rsidRPr="00DE096C" w:rsidRDefault="00B67D7C" w:rsidP="00D45A46">
      <w:pPr>
        <w:shd w:val="clear" w:color="auto" w:fill="FFFFFF"/>
        <w:jc w:val="both"/>
        <w:rPr>
          <w:bCs/>
          <w:color w:val="002060"/>
          <w:sz w:val="16"/>
          <w:szCs w:val="16"/>
        </w:rPr>
      </w:pPr>
    </w:p>
    <w:p w14:paraId="5AD53308" w14:textId="77777777" w:rsidR="00684CAC" w:rsidRPr="00DE096C" w:rsidRDefault="00684CAC" w:rsidP="00D45A46">
      <w:pPr>
        <w:jc w:val="both"/>
        <w:rPr>
          <w:bCs/>
          <w:color w:val="002060"/>
          <w:sz w:val="16"/>
          <w:szCs w:val="16"/>
        </w:rPr>
      </w:pPr>
      <w:r w:rsidRPr="00DE096C">
        <w:rPr>
          <w:bCs/>
          <w:color w:val="002060"/>
          <w:sz w:val="16"/>
          <w:szCs w:val="16"/>
        </w:rPr>
        <w:t>15-16 (28-29) августа 1914 г. военный воздухоплаватель В.В.Голубов на дирижабле «Альбатрос» совершил ночной перелет из Сализи в Лиду, покрыв расстояние 650 км в течение 12 часов. Дирижабль предназначался для полетов на фронте, но к таковым оказался непригодным, так как выше 1000 м не поднимался. 30-го августа он был сбит своими войсками.</w:t>
      </w:r>
    </w:p>
    <w:p w14:paraId="4013B025" w14:textId="77777777" w:rsidR="00684CAC" w:rsidRPr="00DE096C" w:rsidRDefault="00684CAC" w:rsidP="00D45A46">
      <w:pPr>
        <w:jc w:val="both"/>
        <w:rPr>
          <w:bCs/>
          <w:color w:val="002060"/>
          <w:sz w:val="16"/>
          <w:szCs w:val="16"/>
        </w:rPr>
      </w:pPr>
      <w:r w:rsidRPr="00DE096C">
        <w:rPr>
          <w:bCs/>
          <w:color w:val="002060"/>
          <w:sz w:val="16"/>
          <w:szCs w:val="16"/>
        </w:rPr>
        <w:t xml:space="preserve">/«Воздухоплавание», 1924, № 6-7/ (23320). </w:t>
      </w:r>
    </w:p>
    <w:p w14:paraId="4E59470B" w14:textId="77777777" w:rsidR="00684CAC" w:rsidRPr="00DE096C" w:rsidRDefault="00684CAC" w:rsidP="00D45A46">
      <w:pPr>
        <w:jc w:val="both"/>
        <w:rPr>
          <w:bCs/>
          <w:color w:val="002060"/>
          <w:sz w:val="16"/>
          <w:szCs w:val="16"/>
        </w:rPr>
      </w:pPr>
    </w:p>
    <w:p w14:paraId="2623B592" w14:textId="77777777" w:rsidR="00B67D7C" w:rsidRPr="00DE096C" w:rsidRDefault="00B67D7C" w:rsidP="00D45A46">
      <w:pPr>
        <w:jc w:val="both"/>
        <w:rPr>
          <w:bCs/>
          <w:color w:val="002060"/>
          <w:sz w:val="16"/>
          <w:szCs w:val="16"/>
        </w:rPr>
      </w:pPr>
      <w:r w:rsidRPr="00DE096C">
        <w:rPr>
          <w:bCs/>
          <w:color w:val="002060"/>
          <w:sz w:val="16"/>
          <w:szCs w:val="16"/>
        </w:rPr>
        <w:t xml:space="preserve">15 (28) августа в 17.00 вся команда собралась в эллинге в районе деревни Сализи. Было произведено последнее подполнение несущим газом, и в 17.30 «Альбатрос» вывели из эллинга. Экипаж занял свои места, и в 18.00 наземная команда отдала концы. Отделившись от старта, корабль взял направление на Гатчинский аэродром, а оттуда к Варшавской железной дороге, которую выбрали в качестве ориентира в пути следования. </w:t>
      </w:r>
    </w:p>
    <w:p w14:paraId="42F96F84" w14:textId="77777777" w:rsidR="00B67D7C" w:rsidRPr="00DE096C" w:rsidRDefault="00B67D7C" w:rsidP="00D45A46">
      <w:pPr>
        <w:jc w:val="both"/>
        <w:rPr>
          <w:bCs/>
          <w:color w:val="002060"/>
          <w:sz w:val="16"/>
          <w:szCs w:val="16"/>
        </w:rPr>
      </w:pPr>
      <w:r w:rsidRPr="00DE096C">
        <w:rPr>
          <w:bCs/>
          <w:color w:val="002060"/>
          <w:sz w:val="16"/>
          <w:szCs w:val="16"/>
        </w:rPr>
        <w:t xml:space="preserve">Около 20.00 на высоте 200 м прошли Лугу, привокзальная площадь которой была ярко освещена, и углубились в Псковские болота. Замеренная скорость дирижабля на 800 об/мин (экономичных) двигателей в минуту составила 66 км/ч. Ночная мгла все больше опускалась на землю, но огоньки в сторожках и на разъездах железной дороги давали возможность легко ориентироваться. </w:t>
      </w:r>
    </w:p>
    <w:p w14:paraId="7637EDBF" w14:textId="77777777" w:rsidR="00B67D7C" w:rsidRPr="00DE096C" w:rsidRDefault="00B67D7C" w:rsidP="00D45A46">
      <w:pPr>
        <w:jc w:val="both"/>
        <w:rPr>
          <w:bCs/>
          <w:color w:val="002060"/>
          <w:sz w:val="16"/>
          <w:szCs w:val="16"/>
        </w:rPr>
      </w:pPr>
      <w:r w:rsidRPr="00DE096C">
        <w:rPr>
          <w:bCs/>
          <w:color w:val="002060"/>
          <w:sz w:val="16"/>
          <w:szCs w:val="16"/>
        </w:rPr>
        <w:t xml:space="preserve">На подходе к Пскову механик Чимала передал по переговорной трубе из машинного отделения, что сильно греется камора распределения мощности на винты и попросил разрешения снизить число оборотов до 500. Это были неприятные минуты полета — боковым ветром дирижабль стало сносить в сторону от железной дороги и возникла реальная перспектива аварийной посадки в болоте. К счастью, через 20 минут Чимала передал, что можно увеличить обороты, и вскоре корабль опять вышел на железную дорогу. Как потом стало известно, камору полностью забило густой смазкой, которая и разогрелась в результате вращения шестерен. Когда Чимала открыл крышку механизма, лишнюю смазку выбило и температура пришла в норму. Впоследствии на правильность заправки смазкой всегда обращали особое внимание и таких экстремальных случаев больше не было. </w:t>
      </w:r>
    </w:p>
    <w:p w14:paraId="5AA8AD93" w14:textId="77777777" w:rsidR="00B67D7C" w:rsidRPr="00DE096C" w:rsidRDefault="00B67D7C" w:rsidP="00D45A46">
      <w:pPr>
        <w:jc w:val="both"/>
        <w:rPr>
          <w:bCs/>
          <w:color w:val="002060"/>
          <w:sz w:val="16"/>
          <w:szCs w:val="16"/>
        </w:rPr>
      </w:pPr>
      <w:r w:rsidRPr="00DE096C">
        <w:rPr>
          <w:bCs/>
          <w:color w:val="002060"/>
          <w:sz w:val="16"/>
          <w:szCs w:val="16"/>
        </w:rPr>
        <w:t xml:space="preserve">Корабль летел на высоте 200-300 м и в 2.00 подошел к Двинску, который обнаружил себя светлым пятном в непроглядной тьме. Когда воздушный корабль пролетел над крепостью, то был обстрелян бдительными часовыми, хотя сообщение о пути следования дирижабля передавалось во все узловые пункты маршрута. Пройдя Двинск, «Альбатрос» сбился с пути, но вскоре восстановил ориентировку и на рассвете приблизился к Вильно. Утро выдалось тихое и ясное, ветер не изменил направления, и поэтому после поворота на Лиду он стал боковым. В 6.30 [385] «Альбатрос» вполне благополучно прибыл к месту назначения. За 12 часов полета было пройдено около 780 км пути. </w:t>
      </w:r>
    </w:p>
    <w:p w14:paraId="1417BD8B" w14:textId="77777777" w:rsidR="00B67D7C" w:rsidRPr="00DE096C" w:rsidRDefault="00B67D7C" w:rsidP="00D45A46">
      <w:pPr>
        <w:jc w:val="both"/>
        <w:rPr>
          <w:bCs/>
          <w:color w:val="002060"/>
          <w:sz w:val="16"/>
          <w:szCs w:val="16"/>
        </w:rPr>
      </w:pPr>
      <w:r w:rsidRPr="00DE096C">
        <w:rPr>
          <w:bCs/>
          <w:color w:val="002060"/>
          <w:sz w:val="16"/>
          <w:szCs w:val="16"/>
        </w:rPr>
        <w:t xml:space="preserve">Несколько дней спустя «Альбатрос» ночью перелетел в Белосток и был принят наземной командой, которую загодя выслали к новому месту стоянки. </w:t>
      </w:r>
    </w:p>
    <w:p w14:paraId="6DCF2881" w14:textId="77777777" w:rsidR="00B67D7C" w:rsidRPr="00DE096C" w:rsidRDefault="00B67D7C" w:rsidP="00D45A46">
      <w:pPr>
        <w:jc w:val="both"/>
        <w:rPr>
          <w:bCs/>
          <w:color w:val="002060"/>
          <w:sz w:val="16"/>
          <w:szCs w:val="16"/>
        </w:rPr>
      </w:pPr>
      <w:r w:rsidRPr="00DE096C">
        <w:rPr>
          <w:bCs/>
          <w:color w:val="002060"/>
          <w:sz w:val="16"/>
          <w:szCs w:val="16"/>
        </w:rPr>
        <w:t>Прилет «Альбатроса» совпал с днями катастрофы армии генерала Самсонова, и начальник штаба Северо-Западного фронта полковник Бонч-Бруевич настаивал на проведении дневной или ночной разведки в районе Алленштейна. Но сильный западный ветер не позволил «Альбатросу» выполнить это задание. На высоте 500-700 м корабль встречал такое сильное воздушное течение, что его сносило, несмотря на работавшие в полную мощность двигатели, а подняться выше этого потока не позволяла плохая подъемная сила газа. Стало очевидным, что дирижабль не сможет в ближайшее время использоваться для разведки, и штаб Северо-Западного фронта поставил ему задачу осуществить ночную бомбардировку подъездных путей на подходах к Осовцу (11324).</w:t>
      </w:r>
    </w:p>
    <w:p w14:paraId="3F51C0BE" w14:textId="77777777" w:rsidR="00B67D7C" w:rsidRPr="00DE096C" w:rsidRDefault="00B67D7C" w:rsidP="00D45A46">
      <w:pPr>
        <w:shd w:val="clear" w:color="auto" w:fill="FFFFFF"/>
        <w:jc w:val="both"/>
        <w:rPr>
          <w:bCs/>
          <w:i/>
          <w:color w:val="002060"/>
          <w:sz w:val="16"/>
          <w:szCs w:val="16"/>
        </w:rPr>
      </w:pPr>
    </w:p>
    <w:p w14:paraId="47787CA2" w14:textId="77777777" w:rsidR="007378DE" w:rsidRPr="00DE096C" w:rsidRDefault="007378DE" w:rsidP="00D45A46">
      <w:pPr>
        <w:jc w:val="both"/>
        <w:rPr>
          <w:bCs/>
          <w:color w:val="002060"/>
          <w:sz w:val="16"/>
          <w:szCs w:val="16"/>
        </w:rPr>
      </w:pPr>
      <w:r w:rsidRPr="00DE096C">
        <w:rPr>
          <w:rStyle w:val="43"/>
          <w:rFonts w:ascii="Times New Roman" w:hAnsi="Times New Roman" w:cs="Times New Roman"/>
          <w:bCs/>
          <w:color w:val="002060"/>
          <w:w w:val="100"/>
          <w:sz w:val="16"/>
          <w:szCs w:val="16"/>
        </w:rPr>
        <w:t>15 (28) августа 1914 в 17.30 дирижабль вывели из эллин</w:t>
      </w:r>
      <w:r w:rsidRPr="00DE096C">
        <w:rPr>
          <w:rStyle w:val="43"/>
          <w:rFonts w:ascii="Times New Roman" w:hAnsi="Times New Roman" w:cs="Times New Roman"/>
          <w:bCs/>
          <w:color w:val="002060"/>
          <w:w w:val="100"/>
          <w:sz w:val="16"/>
          <w:szCs w:val="16"/>
        </w:rPr>
        <w:softHyphen/>
        <w:t>га, а в 18.00 «Альбатрос» всплыл в воздух и через Гатчинский аэродром направился к Варшавской дороге. Полёт проходил на высоте 200 м при боко</w:t>
      </w:r>
      <w:r w:rsidRPr="00DE096C">
        <w:rPr>
          <w:rStyle w:val="43"/>
          <w:rFonts w:ascii="Times New Roman" w:hAnsi="Times New Roman" w:cs="Times New Roman"/>
          <w:bCs/>
          <w:color w:val="002060"/>
          <w:w w:val="100"/>
          <w:sz w:val="16"/>
          <w:szCs w:val="16"/>
        </w:rPr>
        <w:softHyphen/>
        <w:t>вом ветре 5 м/с. На подходе к Пскову П.И. Чима</w:t>
      </w:r>
      <w:r w:rsidRPr="00DE096C">
        <w:rPr>
          <w:rStyle w:val="43"/>
          <w:rFonts w:ascii="Times New Roman" w:hAnsi="Times New Roman" w:cs="Times New Roman"/>
          <w:bCs/>
          <w:color w:val="002060"/>
          <w:w w:val="100"/>
          <w:sz w:val="16"/>
          <w:szCs w:val="16"/>
        </w:rPr>
        <w:softHyphen/>
        <w:t>ла доложил, что шестерёнки распределительной передачи сильно греются, и просил уменьшить число оборотов моторов. После этого ветер стал сносить «Альбатрос» в сторону г. Порхова, и служившая ориентиром Варшавская железная дорога исчезла из вида. Через 20 минут, когда П.И. Чимала обслужил коробку, Б.В. Голубов дал полный ход, и дирижабль снова вышел на желез</w:t>
      </w:r>
      <w:r w:rsidRPr="00DE096C">
        <w:rPr>
          <w:rStyle w:val="43"/>
          <w:rFonts w:ascii="Times New Roman" w:hAnsi="Times New Roman" w:cs="Times New Roman"/>
          <w:bCs/>
          <w:color w:val="002060"/>
          <w:w w:val="100"/>
          <w:sz w:val="16"/>
          <w:szCs w:val="16"/>
        </w:rPr>
        <w:softHyphen/>
        <w:t>ную дорогу, избежав опасности посадки среди псковских болот.</w:t>
      </w:r>
    </w:p>
    <w:p w14:paraId="74523E5F" w14:textId="77777777" w:rsidR="007378DE" w:rsidRPr="00DE096C" w:rsidRDefault="007378DE" w:rsidP="00D45A46">
      <w:pPr>
        <w:jc w:val="both"/>
        <w:rPr>
          <w:bCs/>
          <w:color w:val="002060"/>
          <w:sz w:val="16"/>
          <w:szCs w:val="16"/>
        </w:rPr>
      </w:pPr>
      <w:r w:rsidRPr="00DE096C">
        <w:rPr>
          <w:rStyle w:val="43"/>
          <w:rFonts w:ascii="Times New Roman" w:hAnsi="Times New Roman" w:cs="Times New Roman"/>
          <w:bCs/>
          <w:color w:val="002060"/>
          <w:w w:val="100"/>
          <w:sz w:val="16"/>
          <w:szCs w:val="16"/>
        </w:rPr>
        <w:lastRenderedPageBreak/>
        <w:t>В 2.00, проходя на высоте 200-300 м над Двин</w:t>
      </w:r>
      <w:r w:rsidRPr="00DE096C">
        <w:rPr>
          <w:rStyle w:val="43"/>
          <w:rFonts w:ascii="Times New Roman" w:hAnsi="Times New Roman" w:cs="Times New Roman"/>
          <w:bCs/>
          <w:color w:val="002060"/>
          <w:w w:val="100"/>
          <w:sz w:val="16"/>
          <w:szCs w:val="16"/>
        </w:rPr>
        <w:softHyphen/>
        <w:t>ской крепостью, «Альбатрос» попал под обстрел своих войск. Уклоняясь от него, дирижабль сно</w:t>
      </w:r>
      <w:r w:rsidRPr="00DE096C">
        <w:rPr>
          <w:rStyle w:val="43"/>
          <w:rFonts w:ascii="Times New Roman" w:hAnsi="Times New Roman" w:cs="Times New Roman"/>
          <w:bCs/>
          <w:color w:val="002060"/>
          <w:w w:val="100"/>
          <w:sz w:val="16"/>
          <w:szCs w:val="16"/>
        </w:rPr>
        <w:softHyphen/>
        <w:t>ва сбился с пути. В 5.00 «Альбатрос» приблизил</w:t>
      </w:r>
      <w:r w:rsidRPr="00DE096C">
        <w:rPr>
          <w:rStyle w:val="43"/>
          <w:rFonts w:ascii="Times New Roman" w:hAnsi="Times New Roman" w:cs="Times New Roman"/>
          <w:bCs/>
          <w:color w:val="002060"/>
          <w:w w:val="100"/>
          <w:sz w:val="16"/>
          <w:szCs w:val="16"/>
        </w:rPr>
        <w:softHyphen/>
        <w:t>ся к Вильно, восстановил ориентировку и в 6.30 прибыл в Лиду, пройдя за 12 часов полёта 693 км. 28 августа «Альбатрос» ночью перелетел в Бе</w:t>
      </w:r>
      <w:r w:rsidRPr="00DE096C">
        <w:rPr>
          <w:rStyle w:val="43"/>
          <w:rFonts w:ascii="Times New Roman" w:hAnsi="Times New Roman" w:cs="Times New Roman"/>
          <w:bCs/>
          <w:color w:val="002060"/>
          <w:w w:val="100"/>
          <w:sz w:val="16"/>
          <w:szCs w:val="16"/>
        </w:rPr>
        <w:softHyphen/>
        <w:t>лосток (160 км), куда заранее послали команду для обслуживания его на стоянке (20120).</w:t>
      </w:r>
    </w:p>
    <w:p w14:paraId="122FB574" w14:textId="77777777" w:rsidR="007378DE" w:rsidRPr="00DE096C" w:rsidRDefault="007378DE" w:rsidP="00D45A46">
      <w:pPr>
        <w:jc w:val="both"/>
        <w:rPr>
          <w:bCs/>
          <w:color w:val="002060"/>
          <w:sz w:val="16"/>
          <w:szCs w:val="16"/>
        </w:rPr>
      </w:pPr>
    </w:p>
    <w:p w14:paraId="4B50EF31" w14:textId="77777777" w:rsidR="007378DE" w:rsidRPr="00DE096C" w:rsidRDefault="007378DE" w:rsidP="00D45A46">
      <w:pPr>
        <w:jc w:val="both"/>
        <w:rPr>
          <w:bCs/>
          <w:color w:val="002060"/>
          <w:sz w:val="16"/>
          <w:szCs w:val="16"/>
        </w:rPr>
      </w:pPr>
      <w:r w:rsidRPr="00DE096C">
        <w:rPr>
          <w:rStyle w:val="43"/>
          <w:rFonts w:ascii="Times New Roman" w:hAnsi="Times New Roman" w:cs="Times New Roman"/>
          <w:bCs/>
          <w:color w:val="002060"/>
          <w:w w:val="100"/>
          <w:sz w:val="16"/>
          <w:szCs w:val="16"/>
        </w:rPr>
        <w:t>15 (28) августа 1914 в 17.30 дирижабль Альбатрос вывели из эллин</w:t>
      </w:r>
      <w:r w:rsidRPr="00DE096C">
        <w:rPr>
          <w:rStyle w:val="43"/>
          <w:rFonts w:ascii="Times New Roman" w:hAnsi="Times New Roman" w:cs="Times New Roman"/>
          <w:bCs/>
          <w:color w:val="002060"/>
          <w:w w:val="100"/>
          <w:sz w:val="16"/>
          <w:szCs w:val="16"/>
        </w:rPr>
        <w:softHyphen/>
        <w:t>га, а в 18.00 «Альбатрос» всплыл в воздух и через Гатчинский аэродром направился к Варшавской дороге. Полёт проходил на высоте 200 м при боко</w:t>
      </w:r>
      <w:r w:rsidRPr="00DE096C">
        <w:rPr>
          <w:rStyle w:val="43"/>
          <w:rFonts w:ascii="Times New Roman" w:hAnsi="Times New Roman" w:cs="Times New Roman"/>
          <w:bCs/>
          <w:color w:val="002060"/>
          <w:w w:val="100"/>
          <w:sz w:val="16"/>
          <w:szCs w:val="16"/>
        </w:rPr>
        <w:softHyphen/>
        <w:t>вом ветре 5 м/с. На подходе к Пскову П.И. Чима</w:t>
      </w:r>
      <w:r w:rsidRPr="00DE096C">
        <w:rPr>
          <w:rStyle w:val="43"/>
          <w:rFonts w:ascii="Times New Roman" w:hAnsi="Times New Roman" w:cs="Times New Roman"/>
          <w:bCs/>
          <w:color w:val="002060"/>
          <w:w w:val="100"/>
          <w:sz w:val="16"/>
          <w:szCs w:val="16"/>
        </w:rPr>
        <w:softHyphen/>
        <w:t>ла доложил, что шестерёнки распределительной передачи сильно греются, и просил уменьшить число оборотов моторов. После этого ветер стал сносить «Альбатрос» в сторону г. Порхова, и служившая ориентиром Варшавская железная дорога исчезла из вида. Через 20 минут, когда П.И. Чимала обслужил коробку, Б.В. Голубов дал полный ход, и дирижабль снова вышел на желез</w:t>
      </w:r>
      <w:r w:rsidRPr="00DE096C">
        <w:rPr>
          <w:rStyle w:val="43"/>
          <w:rFonts w:ascii="Times New Roman" w:hAnsi="Times New Roman" w:cs="Times New Roman"/>
          <w:bCs/>
          <w:color w:val="002060"/>
          <w:w w:val="100"/>
          <w:sz w:val="16"/>
          <w:szCs w:val="16"/>
        </w:rPr>
        <w:softHyphen/>
        <w:t>ную дорогу, избежав опасности посадки среди псковских болот.</w:t>
      </w:r>
    </w:p>
    <w:p w14:paraId="7AF512A6" w14:textId="77777777" w:rsidR="007378DE" w:rsidRPr="00DE096C" w:rsidRDefault="007378DE" w:rsidP="00D45A46">
      <w:pPr>
        <w:jc w:val="both"/>
        <w:rPr>
          <w:bCs/>
          <w:color w:val="002060"/>
          <w:sz w:val="16"/>
          <w:szCs w:val="16"/>
        </w:rPr>
      </w:pPr>
      <w:r w:rsidRPr="00DE096C">
        <w:rPr>
          <w:rStyle w:val="43"/>
          <w:rFonts w:ascii="Times New Roman" w:hAnsi="Times New Roman" w:cs="Times New Roman"/>
          <w:bCs/>
          <w:color w:val="002060"/>
          <w:w w:val="100"/>
          <w:sz w:val="16"/>
          <w:szCs w:val="16"/>
        </w:rPr>
        <w:t>В 2.00, проходя на высоте 200-300 м над Двин</w:t>
      </w:r>
      <w:r w:rsidRPr="00DE096C">
        <w:rPr>
          <w:rStyle w:val="43"/>
          <w:rFonts w:ascii="Times New Roman" w:hAnsi="Times New Roman" w:cs="Times New Roman"/>
          <w:bCs/>
          <w:color w:val="002060"/>
          <w:w w:val="100"/>
          <w:sz w:val="16"/>
          <w:szCs w:val="16"/>
        </w:rPr>
        <w:softHyphen/>
        <w:t>ской крепостью, «Альбатрос» попал под обстрел своих войск. Уклоняясь от него, дирижабль сно</w:t>
      </w:r>
      <w:r w:rsidRPr="00DE096C">
        <w:rPr>
          <w:rStyle w:val="43"/>
          <w:rFonts w:ascii="Times New Roman" w:hAnsi="Times New Roman" w:cs="Times New Roman"/>
          <w:bCs/>
          <w:color w:val="002060"/>
          <w:w w:val="100"/>
          <w:sz w:val="16"/>
          <w:szCs w:val="16"/>
        </w:rPr>
        <w:softHyphen/>
        <w:t>ва сбился с пути. В 5.00 «Альбатрос» приблизил</w:t>
      </w:r>
      <w:r w:rsidRPr="00DE096C">
        <w:rPr>
          <w:rStyle w:val="43"/>
          <w:rFonts w:ascii="Times New Roman" w:hAnsi="Times New Roman" w:cs="Times New Roman"/>
          <w:bCs/>
          <w:color w:val="002060"/>
          <w:w w:val="100"/>
          <w:sz w:val="16"/>
          <w:szCs w:val="16"/>
        </w:rPr>
        <w:softHyphen/>
        <w:t>ся к Вильно, восстановил ориентировку и в 6.30 прибыл в Лиду, пройдя за 12 часов полёта 693 км. 28 августа «Альбатрос» ночью перелетел в Бе</w:t>
      </w:r>
      <w:r w:rsidRPr="00DE096C">
        <w:rPr>
          <w:rStyle w:val="43"/>
          <w:rFonts w:ascii="Times New Roman" w:hAnsi="Times New Roman" w:cs="Times New Roman"/>
          <w:bCs/>
          <w:color w:val="002060"/>
          <w:w w:val="100"/>
          <w:sz w:val="16"/>
          <w:szCs w:val="16"/>
        </w:rPr>
        <w:softHyphen/>
        <w:t>лосток (160 км), куда заранее послали команду для обслуживания его на стоянке.</w:t>
      </w:r>
    </w:p>
    <w:p w14:paraId="26D96111" w14:textId="77777777" w:rsidR="007378DE" w:rsidRPr="00DE096C" w:rsidRDefault="007378DE" w:rsidP="00D45A46">
      <w:pPr>
        <w:jc w:val="both"/>
        <w:rPr>
          <w:bCs/>
          <w:color w:val="002060"/>
          <w:sz w:val="16"/>
          <w:szCs w:val="16"/>
        </w:rPr>
      </w:pPr>
      <w:r w:rsidRPr="00DE096C">
        <w:rPr>
          <w:rStyle w:val="43"/>
          <w:rFonts w:ascii="Times New Roman" w:hAnsi="Times New Roman" w:cs="Times New Roman"/>
          <w:bCs/>
          <w:color w:val="002060"/>
          <w:w w:val="100"/>
          <w:sz w:val="16"/>
          <w:szCs w:val="16"/>
        </w:rPr>
        <w:t>Штаб Северо-Западного фронта приказал «Альбатросу» провести разведку в районе Алленштейна, где решалась судьба армии генерала А. Самсонова. Дирижабль поднимался на высоту 500-700 м (подняться выше 1000 м мешал плохой газ) и не мог продвинуться вперёд из-за сильных западных ветров. Тогда штаб фронта приказал экипажу выполнить ночную бомбардировку подъездных путей к крепости Осовец. В ночь на 30 августа «Альбатрос» вылетел к Осовцу, но под Граевом его обстреляли сильным ружейным и пулемётным огнём части 4-го Сибирского кор</w:t>
      </w:r>
      <w:r w:rsidRPr="00DE096C">
        <w:rPr>
          <w:rStyle w:val="43"/>
          <w:rFonts w:ascii="Times New Roman" w:hAnsi="Times New Roman" w:cs="Times New Roman"/>
          <w:bCs/>
          <w:color w:val="002060"/>
          <w:w w:val="100"/>
          <w:sz w:val="16"/>
          <w:szCs w:val="16"/>
        </w:rPr>
        <w:softHyphen/>
        <w:t>пуса. Быстро теряя водород через 12 пробоин, ди</w:t>
      </w:r>
      <w:r w:rsidRPr="00DE096C">
        <w:rPr>
          <w:rStyle w:val="43"/>
          <w:rFonts w:ascii="Times New Roman" w:hAnsi="Times New Roman" w:cs="Times New Roman"/>
          <w:bCs/>
          <w:color w:val="002060"/>
          <w:w w:val="100"/>
          <w:sz w:val="16"/>
          <w:szCs w:val="16"/>
        </w:rPr>
        <w:softHyphen/>
        <w:t>рижабль повернул назад.</w:t>
      </w:r>
    </w:p>
    <w:p w14:paraId="7C6D9F44" w14:textId="77777777" w:rsidR="007378DE" w:rsidRPr="00DE096C" w:rsidRDefault="007378DE" w:rsidP="00D45A46">
      <w:pPr>
        <w:jc w:val="both"/>
        <w:rPr>
          <w:bCs/>
          <w:color w:val="002060"/>
          <w:sz w:val="16"/>
          <w:szCs w:val="16"/>
        </w:rPr>
      </w:pPr>
      <w:r w:rsidRPr="00DE096C">
        <w:rPr>
          <w:rStyle w:val="43"/>
          <w:rFonts w:ascii="Times New Roman" w:hAnsi="Times New Roman" w:cs="Times New Roman"/>
          <w:bCs/>
          <w:color w:val="002060"/>
          <w:w w:val="100"/>
          <w:sz w:val="16"/>
          <w:szCs w:val="16"/>
        </w:rPr>
        <w:t>9 сентября он перелетел в Брест-Литовск на ремонт и вернулся в Белосток 28 сентября.</w:t>
      </w:r>
    </w:p>
    <w:p w14:paraId="1483E898" w14:textId="77777777" w:rsidR="007378DE" w:rsidRPr="00DE096C" w:rsidRDefault="007378DE" w:rsidP="00D45A46">
      <w:pPr>
        <w:jc w:val="both"/>
        <w:rPr>
          <w:bCs/>
          <w:color w:val="002060"/>
          <w:sz w:val="16"/>
          <w:szCs w:val="16"/>
        </w:rPr>
      </w:pPr>
      <w:r w:rsidRPr="00DE096C">
        <w:rPr>
          <w:rStyle w:val="43"/>
          <w:rFonts w:ascii="Times New Roman" w:hAnsi="Times New Roman" w:cs="Times New Roman"/>
          <w:bCs/>
          <w:color w:val="002060"/>
          <w:w w:val="100"/>
          <w:sz w:val="16"/>
          <w:szCs w:val="16"/>
        </w:rPr>
        <w:t>В конце сентября подполковник Б.В. Голубов убыл в 3-ю воздухоплавательную роту для под</w:t>
      </w:r>
      <w:r w:rsidRPr="00DE096C">
        <w:rPr>
          <w:rStyle w:val="43"/>
          <w:rFonts w:ascii="Times New Roman" w:hAnsi="Times New Roman" w:cs="Times New Roman"/>
          <w:bCs/>
          <w:color w:val="002060"/>
          <w:w w:val="100"/>
          <w:sz w:val="16"/>
          <w:szCs w:val="16"/>
        </w:rPr>
        <w:softHyphen/>
        <w:t>готовки «Буревестника» и «Астры» к боевым действиям. Командиром «Альбатроса» назна</w:t>
      </w:r>
      <w:r w:rsidRPr="00DE096C">
        <w:rPr>
          <w:rStyle w:val="43"/>
          <w:rFonts w:ascii="Times New Roman" w:hAnsi="Times New Roman" w:cs="Times New Roman"/>
          <w:bCs/>
          <w:color w:val="002060"/>
          <w:w w:val="100"/>
          <w:sz w:val="16"/>
          <w:szCs w:val="16"/>
        </w:rPr>
        <w:softHyphen/>
        <w:t>чили штабс-капитана А.И. Шабского. 2, 3 и 6 октября он пытался повести дирижабль на Лет- цен. Четыре раза дирижаблю помешала плохая погода, один раз он заблудился и один раз его обстреляли свои войска.</w:t>
      </w:r>
    </w:p>
    <w:p w14:paraId="237ED07C" w14:textId="77777777" w:rsidR="007378DE" w:rsidRPr="00DE096C" w:rsidRDefault="007378DE" w:rsidP="00D45A46">
      <w:pPr>
        <w:jc w:val="both"/>
        <w:rPr>
          <w:rStyle w:val="43"/>
          <w:rFonts w:ascii="Times New Roman" w:hAnsi="Times New Roman" w:cs="Times New Roman"/>
          <w:bCs/>
          <w:color w:val="002060"/>
          <w:w w:val="100"/>
          <w:sz w:val="16"/>
          <w:szCs w:val="16"/>
        </w:rPr>
      </w:pPr>
      <w:r w:rsidRPr="00DE096C">
        <w:rPr>
          <w:rStyle w:val="43"/>
          <w:rFonts w:ascii="Times New Roman" w:hAnsi="Times New Roman" w:cs="Times New Roman"/>
          <w:bCs/>
          <w:color w:val="002060"/>
          <w:w w:val="100"/>
          <w:sz w:val="16"/>
          <w:szCs w:val="16"/>
        </w:rPr>
        <w:t>В ночь на 13 октября дирижабль вновь вы</w:t>
      </w:r>
      <w:r w:rsidRPr="00DE096C">
        <w:rPr>
          <w:rStyle w:val="43"/>
          <w:rFonts w:ascii="Times New Roman" w:hAnsi="Times New Roman" w:cs="Times New Roman"/>
          <w:bCs/>
          <w:color w:val="002060"/>
          <w:w w:val="100"/>
          <w:sz w:val="16"/>
          <w:szCs w:val="16"/>
        </w:rPr>
        <w:softHyphen/>
        <w:t>летел на Летцен. Попав в сильный туман уже на взлёте, А.И. Шабский потерял ориентиров</w:t>
      </w:r>
      <w:r w:rsidRPr="00DE096C">
        <w:rPr>
          <w:rStyle w:val="43"/>
          <w:rFonts w:ascii="Times New Roman" w:hAnsi="Times New Roman" w:cs="Times New Roman"/>
          <w:bCs/>
          <w:color w:val="002060"/>
          <w:w w:val="100"/>
          <w:sz w:val="16"/>
          <w:szCs w:val="16"/>
        </w:rPr>
        <w:softHyphen/>
        <w:t>ку. Проблуждав в тумане около пяти часов, он, опасаясь попасть к противнику, был вынужден опуститься на поле. При посадке «Альбатрос» на</w:t>
      </w:r>
      <w:r w:rsidRPr="00DE096C">
        <w:rPr>
          <w:rStyle w:val="43"/>
          <w:rFonts w:ascii="Times New Roman" w:hAnsi="Times New Roman" w:cs="Times New Roman"/>
          <w:bCs/>
          <w:color w:val="002060"/>
          <w:w w:val="100"/>
          <w:sz w:val="16"/>
          <w:szCs w:val="16"/>
        </w:rPr>
        <w:softHyphen/>
        <w:t>летел на деревья, порвал оболочку и разбил гон</w:t>
      </w:r>
      <w:r w:rsidRPr="00DE096C">
        <w:rPr>
          <w:rStyle w:val="43"/>
          <w:rFonts w:ascii="Times New Roman" w:hAnsi="Times New Roman" w:cs="Times New Roman"/>
          <w:bCs/>
          <w:color w:val="002060"/>
          <w:w w:val="100"/>
          <w:sz w:val="16"/>
          <w:szCs w:val="16"/>
        </w:rPr>
        <w:softHyphen/>
        <w:t>долу при тренаже. Экипаж отделался ушибами. Авария произошла в 30 км от немецких позиций близ местечка Гоннондзь. Восстанавливать «Аль</w:t>
      </w:r>
      <w:r w:rsidRPr="00DE096C">
        <w:rPr>
          <w:rStyle w:val="43"/>
          <w:rFonts w:ascii="Times New Roman" w:hAnsi="Times New Roman" w:cs="Times New Roman"/>
          <w:bCs/>
          <w:color w:val="002060"/>
          <w:w w:val="100"/>
          <w:sz w:val="16"/>
          <w:szCs w:val="16"/>
        </w:rPr>
        <w:softHyphen/>
        <w:t>батрос» не стали, так как от него уцелели лишь моторы (20120).</w:t>
      </w:r>
    </w:p>
    <w:p w14:paraId="5310E08A" w14:textId="77777777" w:rsidR="007378DE" w:rsidRPr="00DE096C" w:rsidRDefault="007378DE" w:rsidP="00D45A46">
      <w:pPr>
        <w:jc w:val="both"/>
        <w:rPr>
          <w:bCs/>
          <w:color w:val="002060"/>
          <w:sz w:val="16"/>
          <w:szCs w:val="16"/>
        </w:rPr>
      </w:pPr>
    </w:p>
    <w:p w14:paraId="3E5C17CF" w14:textId="77777777" w:rsidR="00585137" w:rsidRPr="00DE096C" w:rsidRDefault="00585137" w:rsidP="00D45A46">
      <w:pPr>
        <w:jc w:val="both"/>
        <w:rPr>
          <w:bCs/>
          <w:i/>
          <w:color w:val="002060"/>
          <w:sz w:val="16"/>
          <w:szCs w:val="16"/>
        </w:rPr>
      </w:pPr>
      <w:r w:rsidRPr="00DE096C">
        <w:rPr>
          <w:bCs/>
          <w:i/>
          <w:color w:val="002060"/>
          <w:sz w:val="16"/>
          <w:szCs w:val="16"/>
        </w:rPr>
        <w:t>Армия:</w:t>
      </w:r>
    </w:p>
    <w:p w14:paraId="6E0A316B" w14:textId="77777777" w:rsidR="00585137" w:rsidRPr="00DE096C" w:rsidRDefault="00585137" w:rsidP="00D45A46">
      <w:pPr>
        <w:jc w:val="both"/>
        <w:rPr>
          <w:bCs/>
          <w:i/>
          <w:color w:val="002060"/>
          <w:sz w:val="16"/>
          <w:szCs w:val="16"/>
        </w:rPr>
      </w:pPr>
    </w:p>
    <w:p w14:paraId="1816D22E" w14:textId="1857E366" w:rsidR="00585137" w:rsidRPr="00DE096C" w:rsidRDefault="00585137" w:rsidP="00D45A46">
      <w:pPr>
        <w:jc w:val="both"/>
        <w:rPr>
          <w:bCs/>
          <w:color w:val="002060"/>
          <w:sz w:val="16"/>
          <w:szCs w:val="16"/>
        </w:rPr>
      </w:pPr>
      <w:r w:rsidRPr="00DE096C">
        <w:rPr>
          <w:bCs/>
          <w:color w:val="002060"/>
          <w:sz w:val="16"/>
          <w:szCs w:val="16"/>
        </w:rPr>
        <w:t xml:space="preserve">15 </w:t>
      </w:r>
      <w:r w:rsidR="00865110" w:rsidRPr="00DE096C">
        <w:rPr>
          <w:bCs/>
          <w:color w:val="002060"/>
          <w:sz w:val="16"/>
          <w:szCs w:val="16"/>
        </w:rPr>
        <w:t xml:space="preserve">(28) </w:t>
      </w:r>
      <w:r w:rsidRPr="00DE096C">
        <w:rPr>
          <w:bCs/>
          <w:color w:val="002060"/>
          <w:sz w:val="16"/>
          <w:szCs w:val="16"/>
        </w:rPr>
        <w:t>августа в 1914 году русская артиллерия в Восточной Пруссии сбила германский цеппелин (14984).</w:t>
      </w:r>
    </w:p>
    <w:p w14:paraId="3E89EF60" w14:textId="77777777" w:rsidR="00585137" w:rsidRPr="00DE096C" w:rsidRDefault="00585137" w:rsidP="00D45A46">
      <w:pPr>
        <w:jc w:val="both"/>
        <w:rPr>
          <w:bCs/>
          <w:color w:val="002060"/>
          <w:sz w:val="16"/>
          <w:szCs w:val="16"/>
        </w:rPr>
      </w:pPr>
    </w:p>
    <w:p w14:paraId="4CB10659" w14:textId="77777777" w:rsidR="00B67D7C" w:rsidRPr="00DE096C" w:rsidRDefault="00B67D7C" w:rsidP="00D45A46">
      <w:pPr>
        <w:jc w:val="both"/>
        <w:rPr>
          <w:bCs/>
          <w:i/>
          <w:color w:val="002060"/>
          <w:sz w:val="16"/>
          <w:szCs w:val="16"/>
        </w:rPr>
      </w:pPr>
      <w:r w:rsidRPr="00DE096C">
        <w:rPr>
          <w:bCs/>
          <w:i/>
          <w:color w:val="002060"/>
          <w:sz w:val="16"/>
          <w:szCs w:val="16"/>
        </w:rPr>
        <w:t>Авиация и воздухоплавание Германии:</w:t>
      </w:r>
    </w:p>
    <w:p w14:paraId="3E4D6152" w14:textId="77777777" w:rsidR="00B67D7C" w:rsidRPr="00DE096C" w:rsidRDefault="00B67D7C" w:rsidP="00D45A46">
      <w:pPr>
        <w:jc w:val="both"/>
        <w:rPr>
          <w:bCs/>
          <w:i/>
          <w:color w:val="002060"/>
          <w:sz w:val="16"/>
          <w:szCs w:val="16"/>
        </w:rPr>
      </w:pPr>
    </w:p>
    <w:p w14:paraId="399B4A3A" w14:textId="77777777" w:rsidR="00B67D7C" w:rsidRPr="00DE096C" w:rsidRDefault="00B67D7C" w:rsidP="00D45A46">
      <w:pPr>
        <w:jc w:val="both"/>
        <w:rPr>
          <w:bCs/>
          <w:color w:val="002060"/>
          <w:sz w:val="16"/>
          <w:szCs w:val="16"/>
        </w:rPr>
      </w:pPr>
      <w:r w:rsidRPr="00DE096C">
        <w:rPr>
          <w:bCs/>
          <w:color w:val="002060"/>
          <w:sz w:val="16"/>
          <w:szCs w:val="16"/>
        </w:rPr>
        <w:t xml:space="preserve">15 (28) августа 1914 года по приказу главного командования для разведки в этом районе были задействованы дирижабли Z-VII и Z-VIII. С рассветом им следовало отыскать отходящие в Эльзас колонны противника и расстроить его боевые порядки, произведя бомбометание. Вылет воздушных кораблей готовился в большой спешке. Стояла плохая погода — дул небольшой ветер, вершины гор, которые поднимались до высоты 1500 м, были окутаны облаками. Первым снялся со швартовых Z-VII и вскоре исчез в утренней дымке — исчез навсегда. За ним отправился Z-VIII. Вначале полет проходил нормально. Видимость была вполне удовлетворительная, и уже через час экипаж Z-VIII обнаружил передовые колонны врага. Командир решил осмотреть другие районы и, набрав высоту, направил дирижабль на север. С земли по кораблю велся беспорядочный огонь из стрелкового оружия, интенсивность которого постоянно возрастала. По всему было видно, что главные силы противника где-то недалеко. Местность постепенно повышалась, и вскоре корабль вошел в широкое ущелье. Порывы ветра, срывающегося с гор, ощутимо потряхивали корпус воздушного судна и вскоре достигли опасной силы. </w:t>
      </w:r>
    </w:p>
    <w:p w14:paraId="157B58D5" w14:textId="77777777" w:rsidR="00B67D7C" w:rsidRPr="00DE096C" w:rsidRDefault="00B67D7C" w:rsidP="00D45A46">
      <w:pPr>
        <w:jc w:val="both"/>
        <w:rPr>
          <w:bCs/>
          <w:color w:val="002060"/>
          <w:sz w:val="16"/>
          <w:szCs w:val="16"/>
        </w:rPr>
      </w:pPr>
      <w:r w:rsidRPr="00DE096C">
        <w:rPr>
          <w:bCs/>
          <w:color w:val="002060"/>
          <w:sz w:val="16"/>
          <w:szCs w:val="16"/>
        </w:rPr>
        <w:t>Командир принял решение возвращаться и стал плавно разворачивать дирижабль на обратный курс. Внезапно нисходящий поток бросил корабль вниз, и он с дифферентом на хвост стал терять высоту — земля стремительно приближалась. Чтобы выровнять корабль, был сброшен кормовой балласт, но высоты явно не хватало. Удар о землю разрушил хвостовую часть дирижабля, и командир дал команду срочно покинуть гибнувший корабль. Через несколько секунд раздался взрыв — это воспламенился хвостовой отсек, но экипаж успел отбежать на безопасное расстояние и после нескольких дней скитаний по горам вернулся в расположение своих войск (11324).</w:t>
      </w:r>
    </w:p>
    <w:p w14:paraId="380B9AFA" w14:textId="77777777" w:rsidR="00B67D7C" w:rsidRPr="00DE096C" w:rsidRDefault="00B67D7C" w:rsidP="00D45A46">
      <w:pPr>
        <w:jc w:val="both"/>
        <w:rPr>
          <w:bCs/>
          <w:i/>
          <w:color w:val="002060"/>
          <w:sz w:val="16"/>
          <w:szCs w:val="16"/>
        </w:rPr>
      </w:pPr>
    </w:p>
    <w:p w14:paraId="30453A1E" w14:textId="77777777" w:rsidR="00344A8B" w:rsidRPr="00DE096C" w:rsidRDefault="00344A8B" w:rsidP="00D45A46">
      <w:pPr>
        <w:jc w:val="both"/>
        <w:rPr>
          <w:bCs/>
          <w:color w:val="002060"/>
          <w:sz w:val="16"/>
          <w:szCs w:val="16"/>
        </w:rPr>
      </w:pPr>
      <w:r w:rsidRPr="00DE096C">
        <w:rPr>
          <w:bCs/>
          <w:color w:val="002060"/>
          <w:sz w:val="16"/>
          <w:szCs w:val="16"/>
        </w:rPr>
        <w:t>15 (28) августа в 1914 году совершает свой первый полет первый цеппелин с крестообразным хвостом, LZ-27. Выполнив около 50 полетов, он разобьется в 1916 во время вынужденной посадки (14752).</w:t>
      </w:r>
    </w:p>
    <w:p w14:paraId="6AD36DCF" w14:textId="77777777" w:rsidR="00344A8B" w:rsidRPr="00DE096C" w:rsidRDefault="00344A8B" w:rsidP="00D45A46">
      <w:pPr>
        <w:jc w:val="both"/>
        <w:rPr>
          <w:bCs/>
          <w:color w:val="002060"/>
          <w:sz w:val="16"/>
          <w:szCs w:val="16"/>
        </w:rPr>
      </w:pPr>
    </w:p>
    <w:p w14:paraId="4C288107" w14:textId="77777777" w:rsidR="00344A8B" w:rsidRPr="00DE096C" w:rsidRDefault="00344A8B" w:rsidP="00D45A46">
      <w:pPr>
        <w:jc w:val="both"/>
        <w:rPr>
          <w:bCs/>
          <w:color w:val="002060"/>
          <w:sz w:val="16"/>
          <w:szCs w:val="16"/>
        </w:rPr>
      </w:pPr>
      <w:r w:rsidRPr="00DE096C">
        <w:rPr>
          <w:bCs/>
          <w:color w:val="002060"/>
          <w:sz w:val="16"/>
          <w:szCs w:val="16"/>
        </w:rPr>
        <w:t>15 (28) августа 1914 года Совершил свой первый полет первый цеппелин с крестообразным хвостом, LZ-27. Выполнив около 50 полетов, он разобьется в 1916 во время вынужденной посадки. Однотипный LZ-27 дирижабль «Graf Zeppelin», например, при длине в 236 метров имел наибольший диаметр 30 м, оболочку, наполненную водородом, приводился в движение пятью моторами мощностью 530 лошадиных сил каждый и мог летать со скоростью до 130 километров в час (14752).</w:t>
      </w:r>
    </w:p>
    <w:p w14:paraId="48EAD9DC" w14:textId="77777777" w:rsidR="00344A8B" w:rsidRPr="00DE096C" w:rsidRDefault="00344A8B" w:rsidP="00D45A46">
      <w:pPr>
        <w:jc w:val="both"/>
        <w:rPr>
          <w:bCs/>
          <w:color w:val="002060"/>
          <w:sz w:val="16"/>
          <w:szCs w:val="16"/>
        </w:rPr>
      </w:pPr>
    </w:p>
    <w:p w14:paraId="47614BCC" w14:textId="77777777" w:rsidR="007378DE" w:rsidRPr="00DE096C" w:rsidRDefault="007378DE" w:rsidP="00D45A46">
      <w:pPr>
        <w:jc w:val="both"/>
        <w:rPr>
          <w:bCs/>
          <w:color w:val="002060"/>
          <w:sz w:val="16"/>
          <w:szCs w:val="16"/>
        </w:rPr>
      </w:pPr>
      <w:r w:rsidRPr="00DE096C">
        <w:rPr>
          <w:bCs/>
          <w:color w:val="002060"/>
          <w:sz w:val="16"/>
          <w:szCs w:val="16"/>
        </w:rPr>
        <w:t>15 (28) августа 1914 - Совершил свой первый полёт цеппелин с крестообразным хвостом, «LZ-27». Выполнив около 50 полётов, он разбился в 1916-м во время вынужденной посадки. Однотипный «Graf Zeppelin», например, при длине в 236 метров имел наибольший диаметр 30 м, оболочку, наполненную водородом, приводился в движение пятью моторами мощностью 530 л.с. каждый и мог летать со скоростью до 130 км/ч (22383).</w:t>
      </w:r>
    </w:p>
    <w:p w14:paraId="7AA5BD9A" w14:textId="77777777" w:rsidR="007378DE" w:rsidRPr="00DE096C" w:rsidRDefault="007378DE" w:rsidP="00D45A46">
      <w:pPr>
        <w:jc w:val="both"/>
        <w:rPr>
          <w:bCs/>
          <w:color w:val="002060"/>
          <w:sz w:val="16"/>
          <w:szCs w:val="16"/>
        </w:rPr>
      </w:pPr>
    </w:p>
    <w:p w14:paraId="20C91FBA" w14:textId="1D6F584B" w:rsidR="002F0233" w:rsidRPr="00DE096C" w:rsidRDefault="002F0233" w:rsidP="00D45A46">
      <w:pPr>
        <w:jc w:val="both"/>
        <w:rPr>
          <w:bCs/>
          <w:i/>
          <w:color w:val="002060"/>
          <w:sz w:val="16"/>
          <w:szCs w:val="16"/>
        </w:rPr>
      </w:pPr>
      <w:r w:rsidRPr="00DE096C">
        <w:rPr>
          <w:bCs/>
          <w:i/>
          <w:color w:val="002060"/>
          <w:sz w:val="16"/>
          <w:szCs w:val="16"/>
        </w:rPr>
        <w:t>Авиация и воздухоплавание Англии:</w:t>
      </w:r>
    </w:p>
    <w:p w14:paraId="5947DD95" w14:textId="77777777" w:rsidR="002F0233" w:rsidRPr="00DE096C" w:rsidRDefault="002F0233" w:rsidP="00D45A46">
      <w:pPr>
        <w:jc w:val="both"/>
        <w:rPr>
          <w:bCs/>
          <w:i/>
          <w:color w:val="002060"/>
          <w:sz w:val="16"/>
          <w:szCs w:val="16"/>
        </w:rPr>
      </w:pPr>
    </w:p>
    <w:p w14:paraId="350C819C" w14:textId="77777777" w:rsidR="002F0233" w:rsidRPr="00DE096C" w:rsidRDefault="002F0233" w:rsidP="00D45A46">
      <w:pPr>
        <w:jc w:val="both"/>
        <w:rPr>
          <w:bCs/>
          <w:color w:val="002060"/>
          <w:sz w:val="16"/>
          <w:szCs w:val="16"/>
        </w:rPr>
      </w:pPr>
      <w:r w:rsidRPr="00DE096C">
        <w:rPr>
          <w:bCs/>
          <w:color w:val="002060"/>
          <w:sz w:val="16"/>
          <w:szCs w:val="16"/>
        </w:rPr>
        <w:t>15 (28) июля 1914 состоялся первый успеш</w:t>
      </w:r>
      <w:r w:rsidRPr="00DE096C">
        <w:rPr>
          <w:bCs/>
          <w:color w:val="002060"/>
          <w:sz w:val="16"/>
          <w:szCs w:val="16"/>
        </w:rPr>
        <w:softHyphen/>
        <w:t>ный сброс 356-мм торпеды (вес около 385 кг) в Англии. Хотя гид</w:t>
      </w:r>
      <w:r w:rsidRPr="00DE096C">
        <w:rPr>
          <w:bCs/>
          <w:color w:val="002060"/>
          <w:sz w:val="16"/>
          <w:szCs w:val="16"/>
        </w:rPr>
        <w:softHyphen/>
        <w:t>росамолет фирмы «Шорт» с 160-силь</w:t>
      </w:r>
      <w:r w:rsidRPr="00DE096C">
        <w:rPr>
          <w:bCs/>
          <w:color w:val="002060"/>
          <w:sz w:val="16"/>
          <w:szCs w:val="16"/>
        </w:rPr>
        <w:softHyphen/>
        <w:t>ным мотором успешно справился с этой за</w:t>
      </w:r>
      <w:r w:rsidRPr="00DE096C">
        <w:rPr>
          <w:bCs/>
          <w:color w:val="002060"/>
          <w:sz w:val="16"/>
          <w:szCs w:val="16"/>
        </w:rPr>
        <w:softHyphen/>
        <w:t>дачей, приняли решение сконструировать специальный торпедоносец. Так в 1915 г. появился знаменитый «Шорт-184» (23464).</w:t>
      </w:r>
    </w:p>
    <w:p w14:paraId="3BD50767" w14:textId="77777777" w:rsidR="002F0233" w:rsidRPr="00DE096C" w:rsidRDefault="002F0233" w:rsidP="00D45A46">
      <w:pPr>
        <w:jc w:val="both"/>
        <w:rPr>
          <w:bCs/>
          <w:color w:val="002060"/>
          <w:sz w:val="16"/>
          <w:szCs w:val="16"/>
        </w:rPr>
      </w:pPr>
    </w:p>
    <w:p w14:paraId="74B4B179" w14:textId="5ED2D525" w:rsidR="00344A8B" w:rsidRPr="00DE096C" w:rsidRDefault="00344A8B" w:rsidP="00D45A46">
      <w:pPr>
        <w:jc w:val="both"/>
        <w:rPr>
          <w:bCs/>
          <w:i/>
          <w:color w:val="002060"/>
          <w:sz w:val="16"/>
          <w:szCs w:val="16"/>
        </w:rPr>
      </w:pPr>
      <w:r w:rsidRPr="00DE096C">
        <w:rPr>
          <w:bCs/>
          <w:i/>
          <w:color w:val="002060"/>
          <w:sz w:val="16"/>
          <w:szCs w:val="16"/>
        </w:rPr>
        <w:t>За рубежом:</w:t>
      </w:r>
    </w:p>
    <w:p w14:paraId="53096604" w14:textId="77777777" w:rsidR="00344A8B" w:rsidRPr="00DE096C" w:rsidRDefault="00344A8B" w:rsidP="00D45A46">
      <w:pPr>
        <w:jc w:val="both"/>
        <w:rPr>
          <w:bCs/>
          <w:color w:val="002060"/>
          <w:sz w:val="16"/>
          <w:szCs w:val="16"/>
        </w:rPr>
      </w:pPr>
    </w:p>
    <w:p w14:paraId="2A9B996C" w14:textId="77777777" w:rsidR="00344A8B" w:rsidRPr="00DE096C" w:rsidRDefault="00344A8B" w:rsidP="00D45A46">
      <w:pPr>
        <w:jc w:val="both"/>
        <w:rPr>
          <w:bCs/>
          <w:color w:val="002060"/>
          <w:sz w:val="16"/>
          <w:szCs w:val="16"/>
        </w:rPr>
      </w:pPr>
      <w:r w:rsidRPr="00DE096C">
        <w:rPr>
          <w:bCs/>
          <w:color w:val="002060"/>
          <w:sz w:val="16"/>
          <w:szCs w:val="16"/>
        </w:rPr>
        <w:t>15 (28) августа в 1914 году Австро-Венгрия объявляет войну Бельгии (14752).</w:t>
      </w:r>
    </w:p>
    <w:p w14:paraId="2E598247" w14:textId="77777777" w:rsidR="00344A8B" w:rsidRPr="00DE096C" w:rsidRDefault="00344A8B" w:rsidP="00D45A46">
      <w:pPr>
        <w:jc w:val="both"/>
        <w:rPr>
          <w:bCs/>
          <w:color w:val="002060"/>
          <w:sz w:val="16"/>
          <w:szCs w:val="16"/>
        </w:rPr>
      </w:pPr>
    </w:p>
    <w:p w14:paraId="3AE7A08E" w14:textId="77777777" w:rsidR="00344A8B" w:rsidRPr="00DE096C" w:rsidRDefault="00344A8B" w:rsidP="00D45A46">
      <w:pPr>
        <w:jc w:val="both"/>
        <w:rPr>
          <w:bCs/>
          <w:color w:val="002060"/>
          <w:sz w:val="16"/>
          <w:szCs w:val="16"/>
        </w:rPr>
      </w:pPr>
      <w:r w:rsidRPr="00DE096C">
        <w:rPr>
          <w:bCs/>
          <w:color w:val="002060"/>
          <w:sz w:val="16"/>
          <w:szCs w:val="16"/>
        </w:rPr>
        <w:t>15 (28) августа в 1914 году первое морское сражение Мировой войны. В бою у Гельголанд (Helgoland) в Северном море британская эскадра адмирала Битти (5 линкоров, 8 легких крейсеров, 33 эсминца, 3 подлодки) нанесла поражение германской эскадре адмирала Маасса (6 легких крейсеров, 19 эсминцев, 12 миноносцев). Потери немцев - 3 крейсера, 1 эсминец, 700 убитых (среди них адмирал Маасс), 300 пленных, 150 раненых. Потери британцев - 35 убитых , 50 раненых (14752).</w:t>
      </w:r>
    </w:p>
    <w:p w14:paraId="63073B5B" w14:textId="77777777" w:rsidR="00344A8B" w:rsidRPr="00DE096C" w:rsidRDefault="00344A8B" w:rsidP="00D45A46">
      <w:pPr>
        <w:jc w:val="both"/>
        <w:rPr>
          <w:bCs/>
          <w:color w:val="002060"/>
          <w:sz w:val="16"/>
          <w:szCs w:val="16"/>
        </w:rPr>
      </w:pPr>
    </w:p>
    <w:p w14:paraId="31A0C33D" w14:textId="77777777" w:rsidR="006F1965" w:rsidRPr="00DE096C" w:rsidRDefault="006F1965" w:rsidP="006F1965">
      <w:pPr>
        <w:shd w:val="clear" w:color="auto" w:fill="FFFFFF"/>
        <w:jc w:val="both"/>
        <w:rPr>
          <w:bCs/>
          <w:i/>
          <w:color w:val="002060"/>
          <w:sz w:val="16"/>
          <w:szCs w:val="16"/>
        </w:rPr>
      </w:pPr>
      <w:r w:rsidRPr="00DE096C">
        <w:rPr>
          <w:bCs/>
          <w:i/>
          <w:color w:val="002060"/>
          <w:sz w:val="16"/>
          <w:szCs w:val="16"/>
        </w:rPr>
        <w:t>Авиация:</w:t>
      </w:r>
    </w:p>
    <w:p w14:paraId="7F6ED4EC" w14:textId="77777777" w:rsidR="006F1965" w:rsidRPr="00DE096C" w:rsidRDefault="006F1965" w:rsidP="006F1965">
      <w:pPr>
        <w:shd w:val="clear" w:color="auto" w:fill="FFFFFF"/>
        <w:jc w:val="both"/>
        <w:rPr>
          <w:bCs/>
          <w:i/>
          <w:color w:val="002060"/>
          <w:sz w:val="16"/>
          <w:szCs w:val="16"/>
        </w:rPr>
      </w:pPr>
    </w:p>
    <w:p w14:paraId="65B7910F" w14:textId="77777777" w:rsidR="006F1965" w:rsidRPr="00B52707" w:rsidRDefault="006F1965" w:rsidP="006F1965">
      <w:pPr>
        <w:jc w:val="both"/>
        <w:rPr>
          <w:color w:val="0070C0"/>
          <w:sz w:val="16"/>
          <w:szCs w:val="16"/>
        </w:rPr>
      </w:pPr>
      <w:r w:rsidRPr="00B52707">
        <w:rPr>
          <w:color w:val="0070C0"/>
          <w:sz w:val="16"/>
          <w:szCs w:val="16"/>
        </w:rPr>
        <w:t>В первой половине августа 1914 г. в приказе начальника Штаба Верховного главнокомандующего (ВГК) оговаривались вопросы организации боевых действий с применением авиации и указывалось: «В целях борьбы с неприятельскими летательными аппаратами представляется необходимым вооружить наиболее грузоподъемные из наших аэропланов. Для чего признается необходимым использовать автоматические ружья Мадсена» (25135).</w:t>
      </w:r>
    </w:p>
    <w:p w14:paraId="4E44C670" w14:textId="77777777" w:rsidR="006F1965" w:rsidRPr="00B52707" w:rsidRDefault="006F1965" w:rsidP="006F1965">
      <w:pPr>
        <w:jc w:val="both"/>
        <w:rPr>
          <w:color w:val="0070C0"/>
          <w:sz w:val="16"/>
          <w:szCs w:val="16"/>
        </w:rPr>
      </w:pPr>
    </w:p>
    <w:p w14:paraId="30ABA057" w14:textId="17E1CA19" w:rsidR="00266DDA" w:rsidRPr="00DE096C" w:rsidRDefault="00266DDA" w:rsidP="00D45A46">
      <w:pPr>
        <w:shd w:val="clear" w:color="auto" w:fill="FFFFFF"/>
        <w:jc w:val="both"/>
        <w:rPr>
          <w:bCs/>
          <w:i/>
          <w:color w:val="002060"/>
          <w:sz w:val="16"/>
          <w:szCs w:val="16"/>
        </w:rPr>
      </w:pPr>
      <w:r w:rsidRPr="00DE096C">
        <w:rPr>
          <w:bCs/>
          <w:i/>
          <w:color w:val="002060"/>
          <w:sz w:val="16"/>
          <w:szCs w:val="16"/>
        </w:rPr>
        <w:t>Самолетостроение:</w:t>
      </w:r>
    </w:p>
    <w:p w14:paraId="172C1D2F" w14:textId="77777777" w:rsidR="00266DDA" w:rsidRPr="00DE096C" w:rsidRDefault="00266DDA" w:rsidP="00D45A46">
      <w:pPr>
        <w:shd w:val="clear" w:color="auto" w:fill="FFFFFF"/>
        <w:jc w:val="both"/>
        <w:rPr>
          <w:bCs/>
          <w:i/>
          <w:color w:val="002060"/>
          <w:sz w:val="16"/>
          <w:szCs w:val="16"/>
        </w:rPr>
      </w:pPr>
    </w:p>
    <w:p w14:paraId="1268509F" w14:textId="77777777" w:rsidR="00266DDA" w:rsidRPr="00DE096C" w:rsidRDefault="00266DDA" w:rsidP="00D45A46">
      <w:pPr>
        <w:jc w:val="both"/>
        <w:rPr>
          <w:bCs/>
          <w:color w:val="002060"/>
          <w:sz w:val="16"/>
          <w:szCs w:val="16"/>
        </w:rPr>
      </w:pPr>
      <w:r w:rsidRPr="00DE096C">
        <w:rPr>
          <w:bCs/>
          <w:color w:val="002060"/>
          <w:sz w:val="16"/>
          <w:szCs w:val="16"/>
        </w:rPr>
        <w:t>В середине августа 1914 г., когда уже шла Империалистическая война, на заводе ПРТВ С. Щетинина в Петрограде был закончен по производству М-2 («Морской второй») экземпляр № 1, морской разведчик – летающая лодка и его испытаниям придавалось большое значение.</w:t>
      </w:r>
    </w:p>
    <w:p w14:paraId="46E98E3F" w14:textId="77777777" w:rsidR="00266DDA" w:rsidRPr="00DE096C" w:rsidRDefault="00266DDA" w:rsidP="00D45A46">
      <w:pPr>
        <w:jc w:val="both"/>
        <w:rPr>
          <w:bCs/>
          <w:color w:val="002060"/>
          <w:sz w:val="16"/>
          <w:szCs w:val="16"/>
        </w:rPr>
      </w:pPr>
      <w:r w:rsidRPr="00DE096C">
        <w:rPr>
          <w:bCs/>
          <w:color w:val="002060"/>
          <w:sz w:val="16"/>
          <w:szCs w:val="16"/>
        </w:rPr>
        <w:t>Первый полет на самолете с акватории Гребного порт 13 сентября (31 августа по старому стилю) 1914 г. выполнил известный в то время летчик Петр Владимирович Евсюков, который летал во время Балканской войны 1912-1913 гг. в русском авиаотряде С. Щетинина. Этот полет закончился катастрофой – самолет разбился, а летчик Евсюков погиб.</w:t>
      </w:r>
    </w:p>
    <w:p w14:paraId="0902E05B" w14:textId="77777777" w:rsidR="00266DDA" w:rsidRPr="00DE096C" w:rsidRDefault="00266DDA" w:rsidP="00D45A46">
      <w:pPr>
        <w:jc w:val="both"/>
        <w:rPr>
          <w:bCs/>
          <w:color w:val="002060"/>
          <w:sz w:val="16"/>
          <w:szCs w:val="16"/>
        </w:rPr>
      </w:pPr>
      <w:r w:rsidRPr="00DE096C">
        <w:rPr>
          <w:bCs/>
          <w:color w:val="002060"/>
          <w:sz w:val="16"/>
          <w:szCs w:val="16"/>
        </w:rPr>
        <w:t>Несмотря на катастрофу первого экземпляра М-2, было решено достроить четыре контрактных самолета (23594).</w:t>
      </w:r>
    </w:p>
    <w:p w14:paraId="4E65B1E3" w14:textId="77777777" w:rsidR="00266DDA" w:rsidRPr="00DE096C" w:rsidRDefault="00266DDA" w:rsidP="00D45A46">
      <w:pPr>
        <w:jc w:val="both"/>
        <w:rPr>
          <w:bCs/>
          <w:color w:val="002060"/>
          <w:sz w:val="16"/>
          <w:szCs w:val="16"/>
        </w:rPr>
      </w:pPr>
    </w:p>
    <w:p w14:paraId="277CEEBF" w14:textId="433303F8" w:rsidR="00B67D7C" w:rsidRPr="00DE096C" w:rsidRDefault="00B67D7C" w:rsidP="00D45A46">
      <w:pPr>
        <w:shd w:val="clear" w:color="auto" w:fill="FFFFFF"/>
        <w:jc w:val="both"/>
        <w:rPr>
          <w:bCs/>
          <w:i/>
          <w:color w:val="002060"/>
          <w:sz w:val="16"/>
          <w:szCs w:val="16"/>
        </w:rPr>
      </w:pPr>
      <w:r w:rsidRPr="00DE096C">
        <w:rPr>
          <w:bCs/>
          <w:i/>
          <w:color w:val="002060"/>
          <w:sz w:val="16"/>
          <w:szCs w:val="16"/>
        </w:rPr>
        <w:t>Другие оборонные отрасли:</w:t>
      </w:r>
    </w:p>
    <w:p w14:paraId="7EDFE34F" w14:textId="77777777" w:rsidR="00B67D7C" w:rsidRPr="00DE096C" w:rsidRDefault="00B67D7C" w:rsidP="00D45A46">
      <w:pPr>
        <w:shd w:val="clear" w:color="auto" w:fill="FFFFFF"/>
        <w:jc w:val="both"/>
        <w:rPr>
          <w:bCs/>
          <w:i/>
          <w:color w:val="002060"/>
          <w:sz w:val="16"/>
          <w:szCs w:val="16"/>
        </w:rPr>
      </w:pPr>
    </w:p>
    <w:p w14:paraId="67CF6EDF" w14:textId="77777777" w:rsidR="00B67D7C" w:rsidRPr="00DE096C" w:rsidRDefault="00B67D7C" w:rsidP="00D45A46">
      <w:pPr>
        <w:jc w:val="both"/>
        <w:rPr>
          <w:bCs/>
          <w:color w:val="002060"/>
          <w:sz w:val="16"/>
          <w:szCs w:val="16"/>
        </w:rPr>
      </w:pPr>
      <w:r w:rsidRPr="00DE096C">
        <w:rPr>
          <w:bCs/>
          <w:color w:val="002060"/>
          <w:sz w:val="16"/>
          <w:szCs w:val="16"/>
        </w:rPr>
        <w:t xml:space="preserve">В середине августа 1914 г. последовало распоряжение ГАУ в кратчайший срок довести суточный выпуск трубок до 4000 штук. </w:t>
      </w:r>
    </w:p>
    <w:p w14:paraId="1BDD4771" w14:textId="77777777" w:rsidR="00B67D7C" w:rsidRPr="00DE096C" w:rsidRDefault="00B67D7C" w:rsidP="00D45A46">
      <w:pPr>
        <w:jc w:val="both"/>
        <w:rPr>
          <w:bCs/>
          <w:color w:val="002060"/>
          <w:sz w:val="16"/>
          <w:szCs w:val="16"/>
        </w:rPr>
      </w:pPr>
      <w:r w:rsidRPr="00DE096C">
        <w:rPr>
          <w:bCs/>
          <w:color w:val="002060"/>
          <w:sz w:val="16"/>
          <w:szCs w:val="16"/>
        </w:rPr>
        <w:t>В середине сентября 1914 г. Артиллерийское управление дало следующую программу разворачивания выпуска трубок (шт. в сутки):</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700"/>
        <w:gridCol w:w="912"/>
      </w:tblGrid>
      <w:tr w:rsidR="00B67D7C" w:rsidRPr="00DE096C" w14:paraId="1B3C53ED" w14:textId="77777777" w:rsidTr="00C2024A">
        <w:tc>
          <w:tcPr>
            <w:tcW w:w="2700" w:type="dxa"/>
          </w:tcPr>
          <w:p w14:paraId="130A7925" w14:textId="77777777" w:rsidR="00B67D7C" w:rsidRPr="00DE096C" w:rsidRDefault="00B67D7C" w:rsidP="00D45A46">
            <w:pPr>
              <w:jc w:val="both"/>
              <w:rPr>
                <w:bCs/>
                <w:color w:val="002060"/>
                <w:sz w:val="16"/>
                <w:szCs w:val="16"/>
              </w:rPr>
            </w:pPr>
            <w:r w:rsidRPr="00DE096C">
              <w:rPr>
                <w:bCs/>
                <w:color w:val="002060"/>
                <w:sz w:val="16"/>
                <w:szCs w:val="16"/>
              </w:rPr>
              <w:t>1) 22-сек. с 1 ноября 1914 г.</w:t>
            </w:r>
          </w:p>
        </w:tc>
        <w:tc>
          <w:tcPr>
            <w:tcW w:w="912" w:type="dxa"/>
          </w:tcPr>
          <w:p w14:paraId="13D631AC" w14:textId="77777777" w:rsidR="00B67D7C" w:rsidRPr="00DE096C" w:rsidRDefault="00B67D7C" w:rsidP="00D45A46">
            <w:pPr>
              <w:jc w:val="both"/>
              <w:rPr>
                <w:bCs/>
                <w:color w:val="002060"/>
                <w:sz w:val="16"/>
                <w:szCs w:val="16"/>
              </w:rPr>
            </w:pPr>
            <w:r w:rsidRPr="00DE096C">
              <w:rPr>
                <w:bCs/>
                <w:color w:val="002060"/>
                <w:sz w:val="16"/>
                <w:szCs w:val="16"/>
              </w:rPr>
              <w:t>5500</w:t>
            </w:r>
          </w:p>
        </w:tc>
      </w:tr>
      <w:tr w:rsidR="00B67D7C" w:rsidRPr="00DE096C" w14:paraId="351F01A2" w14:textId="77777777" w:rsidTr="00C2024A">
        <w:tc>
          <w:tcPr>
            <w:tcW w:w="2700" w:type="dxa"/>
          </w:tcPr>
          <w:p w14:paraId="746C66AA" w14:textId="77777777" w:rsidR="00B67D7C" w:rsidRPr="00DE096C" w:rsidRDefault="00B67D7C" w:rsidP="00D45A46">
            <w:pPr>
              <w:jc w:val="both"/>
              <w:rPr>
                <w:bCs/>
                <w:color w:val="002060"/>
                <w:sz w:val="16"/>
                <w:szCs w:val="16"/>
              </w:rPr>
            </w:pPr>
            <w:r w:rsidRPr="00DE096C">
              <w:rPr>
                <w:bCs/>
                <w:color w:val="002060"/>
                <w:sz w:val="16"/>
                <w:szCs w:val="16"/>
              </w:rPr>
              <w:t xml:space="preserve"> с 1 января 1915 г.</w:t>
            </w:r>
          </w:p>
        </w:tc>
        <w:tc>
          <w:tcPr>
            <w:tcW w:w="912" w:type="dxa"/>
          </w:tcPr>
          <w:p w14:paraId="7DAB711B" w14:textId="77777777" w:rsidR="00B67D7C" w:rsidRPr="00DE096C" w:rsidRDefault="00B67D7C" w:rsidP="00D45A46">
            <w:pPr>
              <w:jc w:val="both"/>
              <w:rPr>
                <w:bCs/>
                <w:color w:val="002060"/>
                <w:sz w:val="16"/>
                <w:szCs w:val="16"/>
              </w:rPr>
            </w:pPr>
            <w:r w:rsidRPr="00DE096C">
              <w:rPr>
                <w:bCs/>
                <w:color w:val="002060"/>
                <w:sz w:val="16"/>
                <w:szCs w:val="16"/>
              </w:rPr>
              <w:t>6000</w:t>
            </w:r>
          </w:p>
        </w:tc>
      </w:tr>
      <w:tr w:rsidR="00B67D7C" w:rsidRPr="00DE096C" w14:paraId="5610BB49" w14:textId="77777777" w:rsidTr="00C2024A">
        <w:tc>
          <w:tcPr>
            <w:tcW w:w="2700" w:type="dxa"/>
          </w:tcPr>
          <w:p w14:paraId="018E8231" w14:textId="77777777" w:rsidR="00B67D7C" w:rsidRPr="00DE096C" w:rsidRDefault="00B67D7C" w:rsidP="00D45A46">
            <w:pPr>
              <w:jc w:val="both"/>
              <w:rPr>
                <w:bCs/>
                <w:color w:val="002060"/>
                <w:sz w:val="16"/>
                <w:szCs w:val="16"/>
              </w:rPr>
            </w:pPr>
            <w:r w:rsidRPr="00DE096C">
              <w:rPr>
                <w:bCs/>
                <w:color w:val="002060"/>
                <w:sz w:val="16"/>
                <w:szCs w:val="16"/>
              </w:rPr>
              <w:t xml:space="preserve"> с 15 января 1915 г.</w:t>
            </w:r>
          </w:p>
        </w:tc>
        <w:tc>
          <w:tcPr>
            <w:tcW w:w="912" w:type="dxa"/>
          </w:tcPr>
          <w:p w14:paraId="53253936" w14:textId="77777777" w:rsidR="00B67D7C" w:rsidRPr="00DE096C" w:rsidRDefault="00B67D7C" w:rsidP="00D45A46">
            <w:pPr>
              <w:jc w:val="both"/>
              <w:rPr>
                <w:bCs/>
                <w:color w:val="002060"/>
                <w:sz w:val="16"/>
                <w:szCs w:val="16"/>
              </w:rPr>
            </w:pPr>
            <w:r w:rsidRPr="00DE096C">
              <w:rPr>
                <w:bCs/>
                <w:color w:val="002060"/>
                <w:sz w:val="16"/>
                <w:szCs w:val="16"/>
              </w:rPr>
              <w:t>7000</w:t>
            </w:r>
          </w:p>
        </w:tc>
      </w:tr>
      <w:tr w:rsidR="00B67D7C" w:rsidRPr="00DE096C" w14:paraId="31EF4587" w14:textId="77777777" w:rsidTr="00C2024A">
        <w:tc>
          <w:tcPr>
            <w:tcW w:w="2700" w:type="dxa"/>
          </w:tcPr>
          <w:p w14:paraId="5AEDCFB0" w14:textId="77777777" w:rsidR="00B67D7C" w:rsidRPr="00DE096C" w:rsidRDefault="00B67D7C" w:rsidP="00D45A46">
            <w:pPr>
              <w:jc w:val="both"/>
              <w:rPr>
                <w:bCs/>
                <w:color w:val="002060"/>
                <w:sz w:val="16"/>
                <w:szCs w:val="16"/>
              </w:rPr>
            </w:pPr>
            <w:r w:rsidRPr="00DE096C">
              <w:rPr>
                <w:bCs/>
                <w:color w:val="002060"/>
                <w:sz w:val="16"/>
                <w:szCs w:val="16"/>
              </w:rPr>
              <w:t xml:space="preserve"> к апрелю 1915 г.</w:t>
            </w:r>
          </w:p>
        </w:tc>
        <w:tc>
          <w:tcPr>
            <w:tcW w:w="912" w:type="dxa"/>
          </w:tcPr>
          <w:p w14:paraId="7045698D" w14:textId="77777777" w:rsidR="00B67D7C" w:rsidRPr="00DE096C" w:rsidRDefault="00B67D7C" w:rsidP="00D45A46">
            <w:pPr>
              <w:jc w:val="both"/>
              <w:rPr>
                <w:bCs/>
                <w:color w:val="002060"/>
                <w:sz w:val="16"/>
                <w:szCs w:val="16"/>
              </w:rPr>
            </w:pPr>
            <w:r w:rsidRPr="00DE096C">
              <w:rPr>
                <w:bCs/>
                <w:color w:val="002060"/>
                <w:sz w:val="16"/>
                <w:szCs w:val="16"/>
              </w:rPr>
              <w:t>9000</w:t>
            </w:r>
          </w:p>
        </w:tc>
      </w:tr>
      <w:tr w:rsidR="00B67D7C" w:rsidRPr="00DE096C" w14:paraId="2D686B30" w14:textId="77777777" w:rsidTr="00C2024A">
        <w:tc>
          <w:tcPr>
            <w:tcW w:w="2700" w:type="dxa"/>
          </w:tcPr>
          <w:p w14:paraId="434B16E5" w14:textId="77777777" w:rsidR="00B67D7C" w:rsidRPr="00DE096C" w:rsidRDefault="00B67D7C" w:rsidP="00D45A46">
            <w:pPr>
              <w:jc w:val="both"/>
              <w:rPr>
                <w:bCs/>
                <w:color w:val="002060"/>
                <w:sz w:val="16"/>
                <w:szCs w:val="16"/>
              </w:rPr>
            </w:pPr>
            <w:r w:rsidRPr="00DE096C">
              <w:rPr>
                <w:bCs/>
                <w:color w:val="002060"/>
                <w:sz w:val="16"/>
                <w:szCs w:val="16"/>
              </w:rPr>
              <w:t>2) 45-сек. с ноября 1914 г.</w:t>
            </w:r>
          </w:p>
        </w:tc>
        <w:tc>
          <w:tcPr>
            <w:tcW w:w="912" w:type="dxa"/>
          </w:tcPr>
          <w:p w14:paraId="32BA3AA4" w14:textId="77777777" w:rsidR="00B67D7C" w:rsidRPr="00DE096C" w:rsidRDefault="00B67D7C" w:rsidP="00D45A46">
            <w:pPr>
              <w:jc w:val="both"/>
              <w:rPr>
                <w:bCs/>
                <w:color w:val="002060"/>
                <w:sz w:val="16"/>
                <w:szCs w:val="16"/>
              </w:rPr>
            </w:pPr>
            <w:r w:rsidRPr="00DE096C">
              <w:rPr>
                <w:bCs/>
                <w:color w:val="002060"/>
                <w:sz w:val="16"/>
                <w:szCs w:val="16"/>
              </w:rPr>
              <w:t>1500</w:t>
            </w:r>
          </w:p>
        </w:tc>
      </w:tr>
    </w:tbl>
    <w:p w14:paraId="19E4E077" w14:textId="77777777" w:rsidR="00B67D7C" w:rsidRPr="00DE096C" w:rsidRDefault="00B67D7C" w:rsidP="00D45A46">
      <w:pPr>
        <w:jc w:val="both"/>
        <w:rPr>
          <w:bCs/>
          <w:color w:val="002060"/>
          <w:sz w:val="16"/>
          <w:szCs w:val="16"/>
        </w:rPr>
      </w:pPr>
      <w:r w:rsidRPr="00DE096C">
        <w:rPr>
          <w:bCs/>
          <w:color w:val="002060"/>
          <w:sz w:val="16"/>
          <w:szCs w:val="16"/>
        </w:rPr>
        <w:t xml:space="preserve">Работа переведена была на трехсменную. Работали все праздники. Ремонт и чистка станков, механизмов и котлов сократились до минимума и производились не более одного раза в месяц. </w:t>
      </w:r>
    </w:p>
    <w:p w14:paraId="7C83E867" w14:textId="77777777" w:rsidR="00B67D7C" w:rsidRPr="00DE096C" w:rsidRDefault="00B67D7C" w:rsidP="00D45A46">
      <w:pPr>
        <w:jc w:val="both"/>
        <w:rPr>
          <w:bCs/>
          <w:color w:val="002060"/>
          <w:sz w:val="16"/>
          <w:szCs w:val="16"/>
        </w:rPr>
      </w:pPr>
      <w:r w:rsidRPr="00DE096C">
        <w:rPr>
          <w:bCs/>
          <w:color w:val="002060"/>
          <w:sz w:val="16"/>
          <w:szCs w:val="16"/>
        </w:rPr>
        <w:t>В связи с усилением работ теснота помещения достигла крайних пределов. Под производство заняты были военное собрание, канцелярия и другие помещения служебного характера (11329).</w:t>
      </w:r>
    </w:p>
    <w:p w14:paraId="6B77B9F1" w14:textId="77777777" w:rsidR="00B67D7C" w:rsidRPr="00DE096C" w:rsidRDefault="00B67D7C" w:rsidP="00D45A46">
      <w:pPr>
        <w:jc w:val="both"/>
        <w:rPr>
          <w:bCs/>
          <w:i/>
          <w:color w:val="002060"/>
          <w:sz w:val="16"/>
          <w:szCs w:val="16"/>
        </w:rPr>
      </w:pPr>
    </w:p>
    <w:p w14:paraId="6B253C92" w14:textId="77777777" w:rsidR="00B344BB" w:rsidRPr="00DE096C" w:rsidRDefault="00B344BB" w:rsidP="00D45A46">
      <w:pPr>
        <w:shd w:val="clear" w:color="auto" w:fill="FFFFFF"/>
        <w:jc w:val="both"/>
        <w:rPr>
          <w:bCs/>
          <w:i/>
          <w:color w:val="002060"/>
          <w:sz w:val="16"/>
          <w:szCs w:val="16"/>
        </w:rPr>
      </w:pPr>
      <w:r w:rsidRPr="00DE096C">
        <w:rPr>
          <w:bCs/>
          <w:i/>
          <w:color w:val="002060"/>
          <w:sz w:val="16"/>
          <w:szCs w:val="16"/>
        </w:rPr>
        <w:t>Авиация:</w:t>
      </w:r>
    </w:p>
    <w:p w14:paraId="0E91AE25" w14:textId="77777777" w:rsidR="00B344BB" w:rsidRPr="00DE096C" w:rsidRDefault="00B344BB" w:rsidP="00D45A46">
      <w:pPr>
        <w:shd w:val="clear" w:color="auto" w:fill="FFFFFF"/>
        <w:jc w:val="both"/>
        <w:rPr>
          <w:bCs/>
          <w:i/>
          <w:color w:val="002060"/>
          <w:sz w:val="16"/>
          <w:szCs w:val="16"/>
        </w:rPr>
      </w:pPr>
    </w:p>
    <w:p w14:paraId="05D273B9" w14:textId="77777777" w:rsidR="00B344BB" w:rsidRPr="00DE096C" w:rsidRDefault="00B344BB" w:rsidP="00D45A46">
      <w:pPr>
        <w:pStyle w:val="2"/>
        <w:spacing w:before="0" w:after="0"/>
        <w:jc w:val="both"/>
        <w:rPr>
          <w:b w:val="0"/>
          <w:bCs/>
          <w:color w:val="002060"/>
          <w:sz w:val="16"/>
          <w:szCs w:val="16"/>
        </w:rPr>
      </w:pPr>
      <w:r w:rsidRPr="00DE096C">
        <w:rPr>
          <w:b w:val="0"/>
          <w:bCs/>
          <w:color w:val="002060"/>
          <w:sz w:val="16"/>
          <w:szCs w:val="16"/>
        </w:rPr>
        <w:t>В середине августа 1914, через две недели после начала войны «Московские ведомости» сообщили, что «на Ходынском аэродроме частная воздухоплавательная жизнь замерла. Зато бьет ключом жизнь в мастерских воздухоплавательного завода «Дукс». С лихорадочной поспешностью заготавливаются для воздушного флота самолеты с огромным количеством запасных частей. Завод оказался настолько прекрасно поставленным, что за последний месяц смог в несколько раз поднять свою производительность. Выпущена масса новых превосходных аппаратов.» Но несмотря на дифирамбы, «Дукс» вместе с другими авиазаводами не мог в полной мере обеспечить потребности фронта (15364).</w:t>
      </w:r>
    </w:p>
    <w:p w14:paraId="75AE2F1C" w14:textId="77777777" w:rsidR="00B344BB" w:rsidRPr="00DE096C" w:rsidRDefault="00B344BB" w:rsidP="00D45A46">
      <w:pPr>
        <w:pStyle w:val="2"/>
        <w:spacing w:before="0" w:after="0"/>
        <w:jc w:val="both"/>
        <w:rPr>
          <w:b w:val="0"/>
          <w:bCs/>
          <w:color w:val="002060"/>
          <w:sz w:val="16"/>
          <w:szCs w:val="16"/>
        </w:rPr>
      </w:pPr>
    </w:p>
    <w:p w14:paraId="24A8C61E" w14:textId="77777777" w:rsidR="00266DDA" w:rsidRPr="00DE096C" w:rsidRDefault="00266DDA" w:rsidP="00D45A46">
      <w:pPr>
        <w:jc w:val="both"/>
        <w:rPr>
          <w:bCs/>
          <w:color w:val="002060"/>
          <w:sz w:val="16"/>
          <w:szCs w:val="16"/>
        </w:rPr>
      </w:pPr>
      <w:bookmarkStart w:id="133" w:name="bookmark12"/>
      <w:r w:rsidRPr="00DE096C">
        <w:rPr>
          <w:bCs/>
          <w:color w:val="002060"/>
          <w:sz w:val="16"/>
          <w:szCs w:val="16"/>
        </w:rPr>
        <w:t>Еще в первой половине августа 1914 г. в приказе начальника Штаба Верховного главнокомандующего (ВГК), где оговаривались вопросы организации боевых действий с применением авиации, указывалось: «В целях борьбы с неприятельскими летательными аппаратами представляется необходимым вооружить наиболее грузоподъемные из наших аэропланов. Для чего признается необходимым использовать автоматические ружья Мадсена». Однако автоматического оружия в то время не хватало до установленного комплекта и в пехоте. Следовательно, единственно возможным способом, пригодным для надежного уничтожения противника в воздухе в условиях отсутствия вооружения на аэропланах, считался касательный удар, получивший позднее в русской (советской) авиации название - воздушный таран.</w:t>
      </w:r>
      <w:bookmarkEnd w:id="133"/>
    </w:p>
    <w:p w14:paraId="79C53F8B" w14:textId="77777777" w:rsidR="00266DDA" w:rsidRPr="00DE096C" w:rsidRDefault="00266DDA" w:rsidP="00D45A46">
      <w:pPr>
        <w:jc w:val="both"/>
        <w:rPr>
          <w:bCs/>
          <w:color w:val="002060"/>
          <w:sz w:val="16"/>
          <w:szCs w:val="16"/>
        </w:rPr>
      </w:pPr>
      <w:r w:rsidRPr="00DE096C">
        <w:rPr>
          <w:bCs/>
          <w:color w:val="002060"/>
          <w:sz w:val="16"/>
          <w:szCs w:val="16"/>
        </w:rPr>
        <w:t>Впервые такой прием ведения воздушного боя был осуществлен в ходе Городокского сражения 3—12 сентября 1914 г. Над г. Жолкиевом (Украина), где размещался в то время штаб 3-й русской армии Юго</w:t>
      </w:r>
      <w:r w:rsidRPr="00DE096C">
        <w:rPr>
          <w:bCs/>
          <w:color w:val="002060"/>
          <w:sz w:val="16"/>
          <w:szCs w:val="16"/>
        </w:rPr>
        <w:softHyphen/>
        <w:t>Западного фронта (ЮЗФ), каждое утро фиксировалось появление австрийских ЛА, проводивших воздушную разведку местности (23405).</w:t>
      </w:r>
    </w:p>
    <w:p w14:paraId="1F239EC0" w14:textId="77777777" w:rsidR="00266DDA" w:rsidRPr="00DE096C" w:rsidRDefault="00266DDA" w:rsidP="00D45A46">
      <w:pPr>
        <w:jc w:val="both"/>
        <w:rPr>
          <w:bCs/>
          <w:color w:val="002060"/>
          <w:sz w:val="16"/>
          <w:szCs w:val="16"/>
          <w:lang w:bidi="ru-RU"/>
        </w:rPr>
      </w:pPr>
    </w:p>
    <w:p w14:paraId="36523A23" w14:textId="77777777" w:rsidR="00B344BB" w:rsidRPr="00DE096C" w:rsidRDefault="00B344BB" w:rsidP="00D45A46">
      <w:pPr>
        <w:jc w:val="both"/>
        <w:rPr>
          <w:bCs/>
          <w:i/>
          <w:color w:val="002060"/>
          <w:sz w:val="16"/>
          <w:szCs w:val="16"/>
        </w:rPr>
      </w:pPr>
      <w:r w:rsidRPr="00DE096C">
        <w:rPr>
          <w:bCs/>
          <w:i/>
          <w:color w:val="002060"/>
          <w:sz w:val="16"/>
          <w:szCs w:val="16"/>
        </w:rPr>
        <w:t>Другие оборонные отрасли:</w:t>
      </w:r>
    </w:p>
    <w:p w14:paraId="0B8D1906" w14:textId="77777777" w:rsidR="00B344BB" w:rsidRPr="00DE096C" w:rsidRDefault="00B344BB" w:rsidP="00D45A46">
      <w:pPr>
        <w:jc w:val="both"/>
        <w:rPr>
          <w:bCs/>
          <w:i/>
          <w:color w:val="002060"/>
          <w:sz w:val="16"/>
          <w:szCs w:val="16"/>
        </w:rPr>
      </w:pPr>
    </w:p>
    <w:p w14:paraId="3F05B985" w14:textId="03C0E02F" w:rsidR="00B344BB" w:rsidRPr="00DE096C" w:rsidRDefault="00B344BB" w:rsidP="00D45A46">
      <w:pPr>
        <w:pStyle w:val="p1"/>
        <w:spacing w:before="0" w:beforeAutospacing="0" w:after="0" w:afterAutospacing="0"/>
        <w:jc w:val="both"/>
        <w:rPr>
          <w:bCs/>
          <w:color w:val="002060"/>
          <w:sz w:val="16"/>
          <w:szCs w:val="16"/>
        </w:rPr>
      </w:pPr>
      <w:r w:rsidRPr="00DE096C">
        <w:rPr>
          <w:bCs/>
          <w:color w:val="002060"/>
          <w:sz w:val="16"/>
          <w:szCs w:val="16"/>
        </w:rPr>
        <w:t xml:space="preserve">16 </w:t>
      </w:r>
      <w:r w:rsidR="00684CAC" w:rsidRPr="00DE096C">
        <w:rPr>
          <w:bCs/>
          <w:color w:val="002060"/>
          <w:sz w:val="16"/>
          <w:szCs w:val="16"/>
        </w:rPr>
        <w:t xml:space="preserve">(29) </w:t>
      </w:r>
      <w:r w:rsidRPr="00DE096C">
        <w:rPr>
          <w:bCs/>
          <w:color w:val="002060"/>
          <w:sz w:val="16"/>
          <w:szCs w:val="16"/>
        </w:rPr>
        <w:t>августа 1914 г. профессор-генерал Корольков докладывал ГАУ, что для технических расчетов и для точного изготовления пробных стекол «мы не имеем русских мастеров. Мастера, которые работали ранее на Обуховском заводе, теперь высланы в центральные губернии». Но их можно вернуть; в России также «имеется несколько военнопленных», их можно «принудительно привлечь к работе». В поданном Корольковым списке таких специалистов перечислены Ахт, Адольф Задтлер, Павел Гербер, Л.Л. Бенгуерель. 5 сентября начальник Петроградского военного округа распорядился вернуть их (18409).</w:t>
      </w:r>
    </w:p>
    <w:p w14:paraId="59AB01F3" w14:textId="77777777" w:rsidR="00B344BB" w:rsidRPr="00DE096C" w:rsidRDefault="00B344BB" w:rsidP="00D45A46">
      <w:pPr>
        <w:pStyle w:val="p1"/>
        <w:spacing w:before="0" w:beforeAutospacing="0" w:after="0" w:afterAutospacing="0"/>
        <w:jc w:val="both"/>
        <w:rPr>
          <w:bCs/>
          <w:color w:val="002060"/>
          <w:sz w:val="16"/>
          <w:szCs w:val="16"/>
        </w:rPr>
      </w:pPr>
    </w:p>
    <w:p w14:paraId="787D232C" w14:textId="77777777" w:rsidR="00266DDA" w:rsidRPr="00DE096C" w:rsidRDefault="00266DDA" w:rsidP="00D45A46">
      <w:pPr>
        <w:jc w:val="both"/>
        <w:rPr>
          <w:bCs/>
          <w:color w:val="002060"/>
          <w:sz w:val="16"/>
          <w:szCs w:val="16"/>
        </w:rPr>
      </w:pPr>
      <w:r w:rsidRPr="00DE096C">
        <w:rPr>
          <w:bCs/>
          <w:color w:val="002060"/>
          <w:sz w:val="16"/>
          <w:szCs w:val="16"/>
        </w:rPr>
        <w:t>16 (29) августа 1914 г. профессор-генерал Король</w:t>
      </w:r>
      <w:r w:rsidRPr="00DE096C">
        <w:rPr>
          <w:bCs/>
          <w:color w:val="002060"/>
          <w:sz w:val="16"/>
          <w:szCs w:val="16"/>
        </w:rPr>
        <w:softHyphen/>
        <w:t>ков докла</w:t>
      </w:r>
      <w:r w:rsidRPr="00DE096C">
        <w:rPr>
          <w:bCs/>
          <w:color w:val="002060"/>
          <w:sz w:val="16"/>
          <w:szCs w:val="16"/>
        </w:rPr>
        <w:softHyphen/>
        <w:t>дывал ГАУ: Для технических расчетов и для точного изготовления пробных стекол «мы не имеем русских мастеров. Мастера, которые работали ранее на Обуховском заводе, теперь высланы в центральные губернии». Но их можно вернуть; в России также «имеется несколько воен</w:t>
      </w:r>
      <w:r w:rsidRPr="00DE096C">
        <w:rPr>
          <w:bCs/>
          <w:color w:val="002060"/>
          <w:sz w:val="16"/>
          <w:szCs w:val="16"/>
        </w:rPr>
        <w:softHyphen/>
        <w:t>нопленных», их можно «принудительно привлечь к работе». В поданном Корольковым списке таких специалистов пере</w:t>
      </w:r>
      <w:r w:rsidRPr="00DE096C">
        <w:rPr>
          <w:bCs/>
          <w:color w:val="002060"/>
          <w:sz w:val="16"/>
          <w:szCs w:val="16"/>
        </w:rPr>
        <w:softHyphen/>
        <w:t>числены Ахт, Адольф Задтлер, Павел Гербер, Л.Л. Бенгуе- рель. 5 сентября начальник Петроградского военного окру</w:t>
      </w:r>
      <w:r w:rsidRPr="00DE096C">
        <w:rPr>
          <w:bCs/>
          <w:color w:val="002060"/>
          <w:sz w:val="16"/>
          <w:szCs w:val="16"/>
        </w:rPr>
        <w:softHyphen/>
        <w:t>га распорядился вернуть их (Там же. Ф. 504. Оп. 10. Д. 8. Л. 8, 3 об., 32. Через два года по по</w:t>
      </w:r>
      <w:r w:rsidRPr="00DE096C">
        <w:rPr>
          <w:bCs/>
          <w:color w:val="002060"/>
          <w:sz w:val="16"/>
          <w:szCs w:val="16"/>
        </w:rPr>
        <w:softHyphen/>
        <w:t>воду неправомерного использования этих специалистов для принуди</w:t>
      </w:r>
      <w:r w:rsidRPr="00DE096C">
        <w:rPr>
          <w:bCs/>
          <w:color w:val="002060"/>
          <w:sz w:val="16"/>
          <w:szCs w:val="16"/>
        </w:rPr>
        <w:softHyphen/>
        <w:t>тельных работ сделало протест посольство США (немцы были задер</w:t>
      </w:r>
      <w:r w:rsidRPr="00DE096C">
        <w:rPr>
          <w:bCs/>
          <w:color w:val="002060"/>
          <w:sz w:val="16"/>
          <w:szCs w:val="16"/>
        </w:rPr>
        <w:softHyphen/>
        <w:t>жаны в статусе военнообязанных, а не военнопленных), но к тому времени Ахт и Задтлер уже считались освобожденными от работ на за</w:t>
      </w:r>
      <w:r w:rsidRPr="00DE096C">
        <w:rPr>
          <w:bCs/>
          <w:color w:val="002060"/>
          <w:sz w:val="16"/>
          <w:szCs w:val="16"/>
        </w:rPr>
        <w:softHyphen/>
        <w:t>воде, а Бенгуереля (австриец) ГУГШ предложило ГАУ также освободить от работ. ГАУ возражало, называя Бенгуереля «безусловно необходимым работником» (Там же. Л. 417, 423, 492)) (23452).</w:t>
      </w:r>
    </w:p>
    <w:p w14:paraId="73BB58C6" w14:textId="77777777" w:rsidR="00266DDA" w:rsidRPr="00DE096C" w:rsidRDefault="00266DDA" w:rsidP="00D45A46">
      <w:pPr>
        <w:jc w:val="both"/>
        <w:rPr>
          <w:bCs/>
          <w:color w:val="002060"/>
          <w:sz w:val="16"/>
          <w:szCs w:val="16"/>
          <w:lang w:bidi="ru-RU"/>
        </w:rPr>
      </w:pPr>
    </w:p>
    <w:p w14:paraId="1076B0EE"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w:t>
      </w:r>
    </w:p>
    <w:p w14:paraId="346E5249" w14:textId="77777777" w:rsidR="00B67D7C" w:rsidRPr="00DE096C" w:rsidRDefault="00B67D7C" w:rsidP="00D45A46">
      <w:pPr>
        <w:shd w:val="clear" w:color="auto" w:fill="FFFFFF"/>
        <w:jc w:val="both"/>
        <w:rPr>
          <w:bCs/>
          <w:i/>
          <w:color w:val="002060"/>
          <w:sz w:val="16"/>
          <w:szCs w:val="16"/>
        </w:rPr>
      </w:pPr>
    </w:p>
    <w:p w14:paraId="07577A5D" w14:textId="77777777" w:rsidR="00B67D7C" w:rsidRPr="00DE096C" w:rsidRDefault="00B67D7C" w:rsidP="00D45A46">
      <w:pPr>
        <w:jc w:val="both"/>
        <w:rPr>
          <w:bCs/>
          <w:color w:val="002060"/>
          <w:sz w:val="16"/>
          <w:szCs w:val="16"/>
        </w:rPr>
      </w:pPr>
      <w:r w:rsidRPr="00DE096C">
        <w:rPr>
          <w:bCs/>
          <w:color w:val="002060"/>
          <w:sz w:val="16"/>
          <w:szCs w:val="16"/>
        </w:rPr>
        <w:t>16 (29) августа 1914 аэроплан 14-го германского авиаотряда заметил русскую колонну, которая шла в тыл сражающегося под Нейденбургом I армейского германского корпуса. Летчик дал знать об этом, выкинув донесение с вымпелом; благодаря этому германским командованием были приняты срочные меры, позволившие отразить корпус, идущий на выручку русским, попавшим в мешок у Танненберга (11999).</w:t>
      </w:r>
    </w:p>
    <w:p w14:paraId="41FDEBF8" w14:textId="77777777" w:rsidR="00B67D7C" w:rsidRPr="00DE096C" w:rsidRDefault="00B67D7C" w:rsidP="00D45A46">
      <w:pPr>
        <w:jc w:val="both"/>
        <w:rPr>
          <w:bCs/>
          <w:color w:val="002060"/>
          <w:sz w:val="16"/>
          <w:szCs w:val="16"/>
        </w:rPr>
      </w:pPr>
    </w:p>
    <w:p w14:paraId="1A96CFA3" w14:textId="7603E468" w:rsidR="00B344BB" w:rsidRPr="00DE096C" w:rsidRDefault="00B344BB" w:rsidP="00D45A46">
      <w:pPr>
        <w:jc w:val="both"/>
        <w:rPr>
          <w:bCs/>
          <w:color w:val="002060"/>
          <w:sz w:val="16"/>
          <w:szCs w:val="16"/>
        </w:rPr>
      </w:pPr>
      <w:r w:rsidRPr="00DE096C">
        <w:rPr>
          <w:bCs/>
          <w:color w:val="002060"/>
          <w:sz w:val="16"/>
          <w:szCs w:val="16"/>
        </w:rPr>
        <w:t>16</w:t>
      </w:r>
      <w:r w:rsidR="00684CAC" w:rsidRPr="00DE096C">
        <w:rPr>
          <w:bCs/>
          <w:color w:val="002060"/>
          <w:sz w:val="16"/>
          <w:szCs w:val="16"/>
        </w:rPr>
        <w:t xml:space="preserve"> (29)</w:t>
      </w:r>
      <w:r w:rsidRPr="00DE096C">
        <w:rPr>
          <w:bCs/>
          <w:color w:val="002060"/>
          <w:sz w:val="16"/>
          <w:szCs w:val="16"/>
        </w:rPr>
        <w:t>, 17</w:t>
      </w:r>
      <w:r w:rsidR="00684CAC" w:rsidRPr="00DE096C">
        <w:rPr>
          <w:bCs/>
          <w:color w:val="002060"/>
          <w:sz w:val="16"/>
          <w:szCs w:val="16"/>
        </w:rPr>
        <w:t xml:space="preserve"> (30)</w:t>
      </w:r>
      <w:r w:rsidRPr="00DE096C">
        <w:rPr>
          <w:bCs/>
          <w:color w:val="002060"/>
          <w:sz w:val="16"/>
          <w:szCs w:val="16"/>
        </w:rPr>
        <w:t>, 19, 24, 26, 27 и 28 августа 1914 года</w:t>
      </w:r>
      <w:r w:rsidR="00684CAC" w:rsidRPr="00DE096C">
        <w:rPr>
          <w:bCs/>
          <w:color w:val="002060"/>
          <w:sz w:val="16"/>
          <w:szCs w:val="16"/>
        </w:rPr>
        <w:t xml:space="preserve"> поручик 4-го Туркестанского стрелкового полка Андрей Олейник</w:t>
      </w:r>
      <w:r w:rsidRPr="00DE096C">
        <w:rPr>
          <w:bCs/>
          <w:color w:val="002060"/>
          <w:sz w:val="16"/>
          <w:szCs w:val="16"/>
        </w:rPr>
        <w:t>, сначала в окрестностях Галича, а потом у Городка, каждый раз под сильным орудийным и ружейным огнем противника, с явной опасностью для жизни, спокойно и мужественно совершал разведку расположения частей противника и каждый раз доставлял весьма ценные сведения, явно содействовавшие успеху наших боевых операций, причем 17 августа совершил два полета, 27 августа — пять и 28 августа — четыре [310] полета, из коих первый и последний привлекли на аппарат такой напряженный и сосредоточенный огонь неприятельских батарей, что он колебался от близких разрывов шрапнелей и был пробит в двенадцати местах, но тем не менее поручик Олейник неустрашимо продолжал совершать опасную разведку (11334).</w:t>
      </w:r>
    </w:p>
    <w:p w14:paraId="26A858A3" w14:textId="77777777" w:rsidR="00B344BB" w:rsidRPr="00DE096C" w:rsidRDefault="00B344BB" w:rsidP="00D45A46">
      <w:pPr>
        <w:shd w:val="clear" w:color="auto" w:fill="FFFFFF"/>
        <w:jc w:val="both"/>
        <w:rPr>
          <w:bCs/>
          <w:i/>
          <w:color w:val="002060"/>
          <w:sz w:val="16"/>
          <w:szCs w:val="16"/>
        </w:rPr>
      </w:pPr>
    </w:p>
    <w:p w14:paraId="235D3670"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Морская авиация:</w:t>
      </w:r>
    </w:p>
    <w:p w14:paraId="49FE3CA1" w14:textId="77777777" w:rsidR="00B67D7C" w:rsidRPr="00DE096C" w:rsidRDefault="00B67D7C" w:rsidP="00D45A46">
      <w:pPr>
        <w:shd w:val="clear" w:color="auto" w:fill="FFFFFF"/>
        <w:jc w:val="both"/>
        <w:rPr>
          <w:bCs/>
          <w:i/>
          <w:color w:val="002060"/>
          <w:sz w:val="16"/>
          <w:szCs w:val="16"/>
        </w:rPr>
      </w:pPr>
    </w:p>
    <w:p w14:paraId="05845F8F" w14:textId="55868012" w:rsidR="00B67D7C" w:rsidRPr="00DE096C" w:rsidRDefault="00B67D7C" w:rsidP="00D45A46">
      <w:pPr>
        <w:shd w:val="clear" w:color="auto" w:fill="FFFFFF"/>
        <w:jc w:val="both"/>
        <w:rPr>
          <w:bCs/>
          <w:color w:val="002060"/>
          <w:sz w:val="16"/>
          <w:szCs w:val="16"/>
        </w:rPr>
      </w:pPr>
      <w:bookmarkStart w:id="134" w:name="_Hlk117257046"/>
      <w:r w:rsidRPr="00DE096C">
        <w:rPr>
          <w:bCs/>
          <w:color w:val="002060"/>
          <w:sz w:val="16"/>
          <w:szCs w:val="16"/>
        </w:rPr>
        <w:t>16 (29) августа 1914 года</w:t>
      </w:r>
      <w:r w:rsidR="00E61531" w:rsidRPr="00DE096C">
        <w:rPr>
          <w:bCs/>
          <w:color w:val="002060"/>
          <w:sz w:val="16"/>
          <w:szCs w:val="16"/>
        </w:rPr>
        <w:t xml:space="preserve"> морской министр объя</w:t>
      </w:r>
      <w:r w:rsidR="00E61531" w:rsidRPr="00DE096C">
        <w:rPr>
          <w:bCs/>
          <w:color w:val="002060"/>
          <w:sz w:val="16"/>
          <w:szCs w:val="16"/>
        </w:rPr>
        <w:softHyphen/>
        <w:t>вил в своем приказе по Флоту и Морскому ведомству № 269 «Положе</w:t>
      </w:r>
      <w:r w:rsidR="00E61531" w:rsidRPr="00DE096C">
        <w:rPr>
          <w:bCs/>
          <w:color w:val="002060"/>
          <w:sz w:val="16"/>
          <w:szCs w:val="16"/>
        </w:rPr>
        <w:softHyphen/>
        <w:t>ние о службе связи и службе авиации»</w:t>
      </w:r>
      <w:r w:rsidRPr="00DE096C">
        <w:rPr>
          <w:bCs/>
          <w:color w:val="002060"/>
          <w:sz w:val="16"/>
          <w:szCs w:val="16"/>
        </w:rPr>
        <w:t>. Непосредственное отношение к службе авиации в «Положении» имело лишь пять статей. Наиболь</w:t>
      </w:r>
      <w:r w:rsidRPr="00DE096C">
        <w:rPr>
          <w:bCs/>
          <w:color w:val="002060"/>
          <w:sz w:val="16"/>
          <w:szCs w:val="16"/>
        </w:rPr>
        <w:softHyphen/>
        <w:t>шую важность представляли 2-я и 4-я статьи, где ответствен</w:t>
      </w:r>
      <w:r w:rsidRPr="00DE096C">
        <w:rPr>
          <w:bCs/>
          <w:color w:val="002060"/>
          <w:sz w:val="16"/>
          <w:szCs w:val="16"/>
        </w:rPr>
        <w:softHyphen/>
        <w:t>ность за развитие авиации возлагалась на Морской генераль</w:t>
      </w:r>
      <w:r w:rsidRPr="00DE096C">
        <w:rPr>
          <w:bCs/>
          <w:color w:val="002060"/>
          <w:sz w:val="16"/>
          <w:szCs w:val="16"/>
        </w:rPr>
        <w:softHyphen/>
        <w:t>ный штаб и определялись его полномочия, а руководство ее боевым использованием предоставлялось командующим фло</w:t>
      </w:r>
      <w:r w:rsidRPr="00DE096C">
        <w:rPr>
          <w:bCs/>
          <w:color w:val="002060"/>
          <w:sz w:val="16"/>
          <w:szCs w:val="16"/>
        </w:rPr>
        <w:softHyphen/>
        <w:t>тами.</w:t>
      </w:r>
    </w:p>
    <w:p w14:paraId="4252ABB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Таким образом, в предвоенный период развитие отечествен</w:t>
      </w:r>
      <w:r w:rsidRPr="00DE096C">
        <w:rPr>
          <w:bCs/>
          <w:color w:val="002060"/>
          <w:sz w:val="16"/>
          <w:szCs w:val="16"/>
        </w:rPr>
        <w:softHyphen/>
        <w:t>ной морской авиации было направлено по верному пути, но шло недопустимо медленными темпами. Главная причина этого заключалась в неверной оценке потенциальных возможнос</w:t>
      </w:r>
      <w:r w:rsidRPr="00DE096C">
        <w:rPr>
          <w:bCs/>
          <w:color w:val="002060"/>
          <w:sz w:val="16"/>
          <w:szCs w:val="16"/>
        </w:rPr>
        <w:softHyphen/>
        <w:t>тей гидроаэропланов, тактико-технические характеристики которых улучшались довольно быстро. В результате Морское ведомство не проявило должного интереса к установлению де</w:t>
      </w:r>
      <w:r w:rsidRPr="00DE096C">
        <w:rPr>
          <w:bCs/>
          <w:color w:val="002060"/>
          <w:sz w:val="16"/>
          <w:szCs w:val="16"/>
        </w:rPr>
        <w:softHyphen/>
        <w:t>ловых отношений с появившимися русскими авиазаводами, как это сделало Военное ведомство. По его заказам в период с осени 1912 по весну 1914 годов только петербургский завод Щетинина изготовил 87 «НьюпоровЛУ» и 36 «Фарманов-У1». Другие заводы тоже неохотно брались за постройку аэропла</w:t>
      </w:r>
      <w:r w:rsidRPr="00DE096C">
        <w:rPr>
          <w:bCs/>
          <w:color w:val="002060"/>
          <w:sz w:val="16"/>
          <w:szCs w:val="16"/>
        </w:rPr>
        <w:softHyphen/>
        <w:t>нов русских конструкций, предпочитая пользоваться чертежа</w:t>
      </w:r>
      <w:r w:rsidRPr="00DE096C">
        <w:rPr>
          <w:bCs/>
          <w:color w:val="002060"/>
          <w:sz w:val="16"/>
          <w:szCs w:val="16"/>
        </w:rPr>
        <w:softHyphen/>
        <w:t>ми зарубежных фирм и зачастую собирали аэропланы из куп</w:t>
      </w:r>
      <w:r w:rsidRPr="00DE096C">
        <w:rPr>
          <w:bCs/>
          <w:color w:val="002060"/>
          <w:sz w:val="16"/>
          <w:szCs w:val="16"/>
        </w:rPr>
        <w:softHyphen/>
        <w:t>ленных у них деталей. Тем не менее, к началу Первой мировой войны русская армия имела 39 авиаотрядов с 228 аэроплана</w:t>
      </w:r>
      <w:r w:rsidRPr="00DE096C">
        <w:rPr>
          <w:bCs/>
          <w:color w:val="002060"/>
          <w:sz w:val="16"/>
          <w:szCs w:val="16"/>
        </w:rPr>
        <w:softHyphen/>
        <w:t>ми и почти 200 более или менее подготовленных пилотов.</w:t>
      </w:r>
    </w:p>
    <w:p w14:paraId="78918EB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Допущенные Морским генеральным штабом и другими структурами Морского министерства просчеты привели к тому, что Балтийский и Черноморский флоты в первый период вой</w:t>
      </w:r>
      <w:r w:rsidRPr="00DE096C">
        <w:rPr>
          <w:bCs/>
          <w:color w:val="002060"/>
          <w:sz w:val="16"/>
          <w:szCs w:val="16"/>
        </w:rPr>
        <w:softHyphen/>
        <w:t>ны имели ограниченные авиационные силы, не справлявшие</w:t>
      </w:r>
      <w:r w:rsidRPr="00DE096C">
        <w:rPr>
          <w:bCs/>
          <w:color w:val="002060"/>
          <w:sz w:val="16"/>
          <w:szCs w:val="16"/>
        </w:rPr>
        <w:softHyphen/>
        <w:t>ся со все возрастающими масштабами действий, испытываю</w:t>
      </w:r>
      <w:r w:rsidRPr="00DE096C">
        <w:rPr>
          <w:bCs/>
          <w:color w:val="002060"/>
          <w:sz w:val="16"/>
          <w:szCs w:val="16"/>
        </w:rPr>
        <w:softHyphen/>
        <w:t>щие постоянные трудности с материально-техническим обеспечением.</w:t>
      </w:r>
    </w:p>
    <w:p w14:paraId="031D3ED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официальных документах такое положение сглаживалось и замалчивалось различными способами. Так, например, во «Все-подданейшем докладе по Морскому министерству за 1914 год» сказано буквально следующее. «Деятельность службы связи и морской авиации во всех морях продолжали свое развитие, при</w:t>
      </w:r>
      <w:r w:rsidRPr="00DE096C">
        <w:rPr>
          <w:bCs/>
          <w:color w:val="002060"/>
          <w:sz w:val="16"/>
          <w:szCs w:val="16"/>
        </w:rPr>
        <w:softHyphen/>
        <w:t>чем эта отрасль морской службы получила в истекшем году надлежащую организацию». В большом разделе доклада, посвященном судостроению и технике, о количественном и качественном состоянии морской авиации даже не упомя</w:t>
      </w:r>
      <w:r w:rsidRPr="00DE096C">
        <w:rPr>
          <w:bCs/>
          <w:color w:val="002060"/>
          <w:sz w:val="16"/>
          <w:szCs w:val="16"/>
        </w:rPr>
        <w:softHyphen/>
        <w:t>нуто.</w:t>
      </w:r>
    </w:p>
    <w:p w14:paraId="1400FD8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Следует заметить, что руководство Морского министерства не предприняло далее попытки устройства возле Архангельс</w:t>
      </w:r>
      <w:r w:rsidRPr="00DE096C">
        <w:rPr>
          <w:bCs/>
          <w:color w:val="002060"/>
          <w:sz w:val="16"/>
          <w:szCs w:val="16"/>
        </w:rPr>
        <w:softHyphen/>
        <w:t>ка малой воздушной станции и формирования там заполяр</w:t>
      </w:r>
      <w:r w:rsidRPr="00DE096C">
        <w:rPr>
          <w:bCs/>
          <w:color w:val="002060"/>
          <w:sz w:val="16"/>
          <w:szCs w:val="16"/>
        </w:rPr>
        <w:softHyphen/>
        <w:t>ного авиаотряда в интересах обеспечения значительных воен</w:t>
      </w:r>
      <w:r w:rsidRPr="00DE096C">
        <w:rPr>
          <w:bCs/>
          <w:color w:val="002060"/>
          <w:sz w:val="16"/>
          <w:szCs w:val="16"/>
        </w:rPr>
        <w:softHyphen/>
        <w:t>ных перевозок союзниками преимущественно на своих транспортных судах. Между тем, возможность применения авиации в Арктике на примитивном еще аэроплане без необ</w:t>
      </w:r>
      <w:r w:rsidRPr="00DE096C">
        <w:rPr>
          <w:bCs/>
          <w:color w:val="002060"/>
          <w:sz w:val="16"/>
          <w:szCs w:val="16"/>
        </w:rPr>
        <w:softHyphen/>
        <w:t>ходимых приборов была доказана на конкретном примере (11283).</w:t>
      </w:r>
    </w:p>
    <w:p w14:paraId="050BC13A" w14:textId="77777777" w:rsidR="00B67D7C" w:rsidRPr="00DE096C" w:rsidRDefault="00B67D7C" w:rsidP="00D45A46">
      <w:pPr>
        <w:jc w:val="both"/>
        <w:rPr>
          <w:bCs/>
          <w:i/>
          <w:color w:val="002060"/>
          <w:sz w:val="16"/>
          <w:szCs w:val="16"/>
        </w:rPr>
      </w:pPr>
    </w:p>
    <w:bookmarkEnd w:id="134"/>
    <w:p w14:paraId="021E095F" w14:textId="77777777" w:rsidR="00266DDA" w:rsidRPr="00DE096C" w:rsidRDefault="00266DDA" w:rsidP="00D45A46">
      <w:pPr>
        <w:jc w:val="both"/>
        <w:rPr>
          <w:bCs/>
          <w:color w:val="002060"/>
          <w:sz w:val="16"/>
          <w:szCs w:val="16"/>
        </w:rPr>
      </w:pPr>
      <w:r w:rsidRPr="00DE096C">
        <w:rPr>
          <w:rStyle w:val="43"/>
          <w:rFonts w:ascii="Times New Roman" w:hAnsi="Times New Roman" w:cs="Times New Roman"/>
          <w:bCs/>
          <w:color w:val="002060"/>
          <w:w w:val="100"/>
          <w:sz w:val="16"/>
          <w:szCs w:val="16"/>
        </w:rPr>
        <w:lastRenderedPageBreak/>
        <w:t>16 (29) августа 1914 г., то есть ещё до начала во</w:t>
      </w:r>
      <w:r w:rsidRPr="00DE096C">
        <w:rPr>
          <w:rStyle w:val="43"/>
          <w:rFonts w:ascii="Times New Roman" w:hAnsi="Times New Roman" w:cs="Times New Roman"/>
          <w:bCs/>
          <w:color w:val="002060"/>
          <w:w w:val="100"/>
          <w:sz w:val="16"/>
          <w:szCs w:val="16"/>
        </w:rPr>
        <w:softHyphen/>
        <w:t>енных действий на Чёрном море, командование Черноморским флотом издало приказ, один из разделов которого гласил: «Для отыскания и уничтожения неприятельских подводных ло</w:t>
      </w:r>
      <w:r w:rsidRPr="00DE096C">
        <w:rPr>
          <w:rStyle w:val="43"/>
          <w:rFonts w:ascii="Times New Roman" w:hAnsi="Times New Roman" w:cs="Times New Roman"/>
          <w:bCs/>
          <w:color w:val="002060"/>
          <w:w w:val="100"/>
          <w:sz w:val="16"/>
          <w:szCs w:val="16"/>
        </w:rPr>
        <w:softHyphen/>
        <w:t>док, а также для наблюдения за морем в видимо</w:t>
      </w:r>
      <w:r w:rsidRPr="00DE096C">
        <w:rPr>
          <w:rStyle w:val="43"/>
          <w:rFonts w:ascii="Times New Roman" w:hAnsi="Times New Roman" w:cs="Times New Roman"/>
          <w:bCs/>
          <w:color w:val="002060"/>
          <w:w w:val="100"/>
          <w:sz w:val="16"/>
          <w:szCs w:val="16"/>
        </w:rPr>
        <w:softHyphen/>
        <w:t>сти береговых постов, для несения разведочной и сторожевой служб и других боевых целей при авиации Черноморского флота сформировать отряд дирижаблей»75.</w:t>
      </w:r>
    </w:p>
    <w:p w14:paraId="555A3835" w14:textId="77777777" w:rsidR="00266DDA" w:rsidRPr="00DE096C" w:rsidRDefault="00266DDA" w:rsidP="00D45A46">
      <w:pPr>
        <w:jc w:val="both"/>
        <w:rPr>
          <w:bCs/>
          <w:color w:val="002060"/>
          <w:sz w:val="16"/>
          <w:szCs w:val="16"/>
        </w:rPr>
      </w:pPr>
      <w:r w:rsidRPr="00DE096C">
        <w:rPr>
          <w:rStyle w:val="43"/>
          <w:rFonts w:ascii="Times New Roman" w:hAnsi="Times New Roman" w:cs="Times New Roman"/>
          <w:bCs/>
          <w:color w:val="002060"/>
          <w:w w:val="100"/>
          <w:sz w:val="16"/>
          <w:szCs w:val="16"/>
        </w:rPr>
        <w:t>По объективным причинам создание отря</w:t>
      </w:r>
      <w:r w:rsidRPr="00DE096C">
        <w:rPr>
          <w:rStyle w:val="43"/>
          <w:rFonts w:ascii="Times New Roman" w:hAnsi="Times New Roman" w:cs="Times New Roman"/>
          <w:bCs/>
          <w:color w:val="002060"/>
          <w:w w:val="100"/>
          <w:sz w:val="16"/>
          <w:szCs w:val="16"/>
        </w:rPr>
        <w:softHyphen/>
        <w:t>да дирижаблей затянулось, но 25 мая (7 июня)1915 г. эсминец «Пронзительный» захватил и после снятия команды потопил у Карасу ту</w:t>
      </w:r>
      <w:r w:rsidRPr="00DE096C">
        <w:rPr>
          <w:rStyle w:val="43"/>
          <w:rFonts w:ascii="Times New Roman" w:hAnsi="Times New Roman" w:cs="Times New Roman"/>
          <w:bCs/>
          <w:color w:val="002060"/>
          <w:w w:val="100"/>
          <w:sz w:val="16"/>
          <w:szCs w:val="16"/>
        </w:rPr>
        <w:softHyphen/>
        <w:t>рецкий пароход «</w:t>
      </w:r>
      <w:r w:rsidRPr="00DE096C">
        <w:rPr>
          <w:rStyle w:val="43"/>
          <w:rFonts w:ascii="Times New Roman" w:hAnsi="Times New Roman" w:cs="Times New Roman"/>
          <w:bCs/>
          <w:color w:val="002060"/>
          <w:w w:val="100"/>
          <w:sz w:val="16"/>
          <w:szCs w:val="16"/>
          <w:lang w:val="en-US"/>
        </w:rPr>
        <w:t>Edincik</w:t>
      </w:r>
      <w:r w:rsidRPr="00DE096C">
        <w:rPr>
          <w:rStyle w:val="43"/>
          <w:rFonts w:ascii="Times New Roman" w:hAnsi="Times New Roman" w:cs="Times New Roman"/>
          <w:bCs/>
          <w:color w:val="002060"/>
          <w:w w:val="100"/>
          <w:sz w:val="16"/>
          <w:szCs w:val="16"/>
        </w:rPr>
        <w:t>». В частном письме, найденном на пароходе, сообщалось о прибы</w:t>
      </w:r>
      <w:r w:rsidRPr="00DE096C">
        <w:rPr>
          <w:rStyle w:val="43"/>
          <w:rFonts w:ascii="Times New Roman" w:hAnsi="Times New Roman" w:cs="Times New Roman"/>
          <w:bCs/>
          <w:color w:val="002060"/>
          <w:w w:val="100"/>
          <w:sz w:val="16"/>
          <w:szCs w:val="16"/>
        </w:rPr>
        <w:softHyphen/>
        <w:t>тии в Константинополь германских подводных лодок. Подводная угроза побудила русское ко</w:t>
      </w:r>
      <w:r w:rsidRPr="00DE096C">
        <w:rPr>
          <w:rStyle w:val="43"/>
          <w:rFonts w:ascii="Times New Roman" w:hAnsi="Times New Roman" w:cs="Times New Roman"/>
          <w:bCs/>
          <w:color w:val="002060"/>
          <w:w w:val="100"/>
          <w:sz w:val="16"/>
          <w:szCs w:val="16"/>
        </w:rPr>
        <w:softHyphen/>
        <w:t>мандование обратиться к опыту союзников, уже использовавших дирижабли для противолодоч</w:t>
      </w:r>
      <w:r w:rsidRPr="00DE096C">
        <w:rPr>
          <w:rStyle w:val="43"/>
          <w:rFonts w:ascii="Times New Roman" w:hAnsi="Times New Roman" w:cs="Times New Roman"/>
          <w:bCs/>
          <w:color w:val="002060"/>
          <w:w w:val="100"/>
          <w:sz w:val="16"/>
          <w:szCs w:val="16"/>
        </w:rPr>
        <w:softHyphen/>
        <w:t>ной обороны (20120).</w:t>
      </w:r>
    </w:p>
    <w:p w14:paraId="012B3A07" w14:textId="77777777" w:rsidR="00266DDA" w:rsidRPr="00DE096C" w:rsidRDefault="00266DDA" w:rsidP="00D45A46">
      <w:pPr>
        <w:jc w:val="both"/>
        <w:rPr>
          <w:rStyle w:val="43"/>
          <w:rFonts w:ascii="Times New Roman" w:hAnsi="Times New Roman" w:cs="Times New Roman"/>
          <w:bCs/>
          <w:color w:val="002060"/>
          <w:w w:val="100"/>
          <w:sz w:val="16"/>
          <w:szCs w:val="16"/>
        </w:rPr>
      </w:pPr>
    </w:p>
    <w:p w14:paraId="725DD0D1" w14:textId="77777777" w:rsidR="00266DDA" w:rsidRPr="00DE096C" w:rsidRDefault="00266DDA" w:rsidP="00D45A46">
      <w:pPr>
        <w:jc w:val="both"/>
        <w:rPr>
          <w:bCs/>
          <w:color w:val="002060"/>
          <w:sz w:val="16"/>
          <w:szCs w:val="16"/>
        </w:rPr>
      </w:pPr>
      <w:r w:rsidRPr="00DE096C">
        <w:rPr>
          <w:rStyle w:val="43"/>
          <w:rFonts w:ascii="Times New Roman" w:hAnsi="Times New Roman" w:cs="Times New Roman"/>
          <w:bCs/>
          <w:color w:val="002060"/>
          <w:w w:val="100"/>
          <w:sz w:val="16"/>
          <w:szCs w:val="16"/>
        </w:rPr>
        <w:t>16 (29) августа 1914 г., то есть ещё до начала во</w:t>
      </w:r>
      <w:r w:rsidRPr="00DE096C">
        <w:rPr>
          <w:rStyle w:val="43"/>
          <w:rFonts w:ascii="Times New Roman" w:hAnsi="Times New Roman" w:cs="Times New Roman"/>
          <w:bCs/>
          <w:color w:val="002060"/>
          <w:w w:val="100"/>
          <w:sz w:val="16"/>
          <w:szCs w:val="16"/>
        </w:rPr>
        <w:softHyphen/>
        <w:t>енных действий на Чёрном море, командование Черноморским флотом издало приказ, один из разделов которого гласил: «Для отыскания и уничтожения неприятельских подводных ло</w:t>
      </w:r>
      <w:r w:rsidRPr="00DE096C">
        <w:rPr>
          <w:rStyle w:val="43"/>
          <w:rFonts w:ascii="Times New Roman" w:hAnsi="Times New Roman" w:cs="Times New Roman"/>
          <w:bCs/>
          <w:color w:val="002060"/>
          <w:w w:val="100"/>
          <w:sz w:val="16"/>
          <w:szCs w:val="16"/>
        </w:rPr>
        <w:softHyphen/>
        <w:t>док, а также для наблюдения за морем в видимо</w:t>
      </w:r>
      <w:r w:rsidRPr="00DE096C">
        <w:rPr>
          <w:rStyle w:val="43"/>
          <w:rFonts w:ascii="Times New Roman" w:hAnsi="Times New Roman" w:cs="Times New Roman"/>
          <w:bCs/>
          <w:color w:val="002060"/>
          <w:w w:val="100"/>
          <w:sz w:val="16"/>
          <w:szCs w:val="16"/>
        </w:rPr>
        <w:softHyphen/>
        <w:t>сти береговых постов, для несения разведочной и сторожевой служб и других боевых целей при авиации Черноморского флота сформировать отряд дирижаблей»75.</w:t>
      </w:r>
    </w:p>
    <w:p w14:paraId="1420DD90" w14:textId="77777777" w:rsidR="00266DDA" w:rsidRPr="00DE096C" w:rsidRDefault="00266DDA" w:rsidP="00D45A46">
      <w:pPr>
        <w:jc w:val="both"/>
        <w:rPr>
          <w:bCs/>
          <w:color w:val="002060"/>
          <w:sz w:val="16"/>
          <w:szCs w:val="16"/>
        </w:rPr>
      </w:pPr>
      <w:r w:rsidRPr="00DE096C">
        <w:rPr>
          <w:rStyle w:val="43"/>
          <w:rFonts w:ascii="Times New Roman" w:hAnsi="Times New Roman" w:cs="Times New Roman"/>
          <w:bCs/>
          <w:color w:val="002060"/>
          <w:w w:val="100"/>
          <w:sz w:val="16"/>
          <w:szCs w:val="16"/>
        </w:rPr>
        <w:t>По объективным причинам создание отря</w:t>
      </w:r>
      <w:r w:rsidRPr="00DE096C">
        <w:rPr>
          <w:rStyle w:val="43"/>
          <w:rFonts w:ascii="Times New Roman" w:hAnsi="Times New Roman" w:cs="Times New Roman"/>
          <w:bCs/>
          <w:color w:val="002060"/>
          <w:w w:val="100"/>
          <w:sz w:val="16"/>
          <w:szCs w:val="16"/>
        </w:rPr>
        <w:softHyphen/>
        <w:t>да дирижаблей затянулось, но 25 мая (7 июня)1915 г. эсминец «Пронзительный» захватил и после снятия команды потопил у Карасу ту</w:t>
      </w:r>
      <w:r w:rsidRPr="00DE096C">
        <w:rPr>
          <w:rStyle w:val="43"/>
          <w:rFonts w:ascii="Times New Roman" w:hAnsi="Times New Roman" w:cs="Times New Roman"/>
          <w:bCs/>
          <w:color w:val="002060"/>
          <w:w w:val="100"/>
          <w:sz w:val="16"/>
          <w:szCs w:val="16"/>
        </w:rPr>
        <w:softHyphen/>
        <w:t>рецкий пароход «</w:t>
      </w:r>
      <w:r w:rsidRPr="00DE096C">
        <w:rPr>
          <w:rStyle w:val="43"/>
          <w:rFonts w:ascii="Times New Roman" w:hAnsi="Times New Roman" w:cs="Times New Roman"/>
          <w:bCs/>
          <w:color w:val="002060"/>
          <w:w w:val="100"/>
          <w:sz w:val="16"/>
          <w:szCs w:val="16"/>
          <w:lang w:val="en-US"/>
        </w:rPr>
        <w:t>Edincik</w:t>
      </w:r>
      <w:r w:rsidRPr="00DE096C">
        <w:rPr>
          <w:rStyle w:val="43"/>
          <w:rFonts w:ascii="Times New Roman" w:hAnsi="Times New Roman" w:cs="Times New Roman"/>
          <w:bCs/>
          <w:color w:val="002060"/>
          <w:w w:val="100"/>
          <w:sz w:val="16"/>
          <w:szCs w:val="16"/>
        </w:rPr>
        <w:t>». В частном письме, найденном на пароходе, сообщалось о прибы</w:t>
      </w:r>
      <w:r w:rsidRPr="00DE096C">
        <w:rPr>
          <w:rStyle w:val="43"/>
          <w:rFonts w:ascii="Times New Roman" w:hAnsi="Times New Roman" w:cs="Times New Roman"/>
          <w:bCs/>
          <w:color w:val="002060"/>
          <w:w w:val="100"/>
          <w:sz w:val="16"/>
          <w:szCs w:val="16"/>
        </w:rPr>
        <w:softHyphen/>
        <w:t>тии в Константинополь германских подводных лодок. Подводная угроза побудила русское ко</w:t>
      </w:r>
      <w:r w:rsidRPr="00DE096C">
        <w:rPr>
          <w:rStyle w:val="43"/>
          <w:rFonts w:ascii="Times New Roman" w:hAnsi="Times New Roman" w:cs="Times New Roman"/>
          <w:bCs/>
          <w:color w:val="002060"/>
          <w:w w:val="100"/>
          <w:sz w:val="16"/>
          <w:szCs w:val="16"/>
        </w:rPr>
        <w:softHyphen/>
        <w:t>мандование обратиться к опыту союзников, уже использовавших дирижабли для противолодоч</w:t>
      </w:r>
      <w:r w:rsidRPr="00DE096C">
        <w:rPr>
          <w:rStyle w:val="43"/>
          <w:rFonts w:ascii="Times New Roman" w:hAnsi="Times New Roman" w:cs="Times New Roman"/>
          <w:bCs/>
          <w:color w:val="002060"/>
          <w:w w:val="100"/>
          <w:sz w:val="16"/>
          <w:szCs w:val="16"/>
        </w:rPr>
        <w:softHyphen/>
        <w:t>ной обороны.</w:t>
      </w:r>
    </w:p>
    <w:p w14:paraId="4BE09116" w14:textId="77777777" w:rsidR="00266DDA" w:rsidRPr="00DE096C" w:rsidRDefault="00266DDA" w:rsidP="00D45A46">
      <w:pPr>
        <w:jc w:val="both"/>
        <w:rPr>
          <w:bCs/>
          <w:color w:val="002060"/>
          <w:sz w:val="16"/>
          <w:szCs w:val="16"/>
        </w:rPr>
      </w:pPr>
      <w:r w:rsidRPr="00DE096C">
        <w:rPr>
          <w:rStyle w:val="43"/>
          <w:rFonts w:ascii="Times New Roman" w:hAnsi="Times New Roman" w:cs="Times New Roman"/>
          <w:bCs/>
          <w:color w:val="002060"/>
          <w:w w:val="100"/>
          <w:sz w:val="16"/>
          <w:szCs w:val="16"/>
        </w:rPr>
        <w:t>23 сентября 1915 г. вице-адмирал А.И. Русин отправил запрос морскому агенту в Великобри</w:t>
      </w:r>
      <w:r w:rsidRPr="00DE096C">
        <w:rPr>
          <w:rStyle w:val="43"/>
          <w:rFonts w:ascii="Times New Roman" w:hAnsi="Times New Roman" w:cs="Times New Roman"/>
          <w:bCs/>
          <w:color w:val="002060"/>
          <w:w w:val="100"/>
          <w:sz w:val="16"/>
          <w:szCs w:val="16"/>
        </w:rPr>
        <w:softHyphen/>
        <w:t>тании капитану 1 ранга Н.А. Волкову: «К Дарда</w:t>
      </w:r>
      <w:r w:rsidRPr="00DE096C">
        <w:rPr>
          <w:rStyle w:val="43"/>
          <w:rFonts w:ascii="Times New Roman" w:hAnsi="Times New Roman" w:cs="Times New Roman"/>
          <w:bCs/>
          <w:color w:val="002060"/>
          <w:w w:val="100"/>
          <w:sz w:val="16"/>
          <w:szCs w:val="16"/>
        </w:rPr>
        <w:softHyphen/>
        <w:t>неллам союзниками посланы малые дирижабли для поисков подлодок. Спросите в Адмиралтей</w:t>
      </w:r>
      <w:r w:rsidRPr="00DE096C">
        <w:rPr>
          <w:rStyle w:val="43"/>
          <w:rFonts w:ascii="Times New Roman" w:hAnsi="Times New Roman" w:cs="Times New Roman"/>
          <w:bCs/>
          <w:color w:val="002060"/>
          <w:w w:val="100"/>
          <w:sz w:val="16"/>
          <w:szCs w:val="16"/>
        </w:rPr>
        <w:softHyphen/>
        <w:t>стве, оказались ли они полезными». Уже 29 сен</w:t>
      </w:r>
      <w:r w:rsidRPr="00DE096C">
        <w:rPr>
          <w:rStyle w:val="43"/>
          <w:rFonts w:ascii="Times New Roman" w:hAnsi="Times New Roman" w:cs="Times New Roman"/>
          <w:bCs/>
          <w:color w:val="002060"/>
          <w:w w:val="100"/>
          <w:sz w:val="16"/>
          <w:szCs w:val="16"/>
        </w:rPr>
        <w:softHyphen/>
        <w:t>тября от него получили положительный ответ: «Дирижабли оказались очень полезны. Адмирал</w:t>
      </w:r>
      <w:r w:rsidRPr="00DE096C">
        <w:rPr>
          <w:rStyle w:val="43"/>
          <w:rFonts w:ascii="Times New Roman" w:hAnsi="Times New Roman" w:cs="Times New Roman"/>
          <w:bCs/>
          <w:color w:val="002060"/>
          <w:w w:val="100"/>
          <w:sz w:val="16"/>
          <w:szCs w:val="16"/>
        </w:rPr>
        <w:softHyphen/>
        <w:t>тейство заказало Виккерсу увеличенные с двумя моторами и вышлет в Дарданеллы. Есть воз</w:t>
      </w:r>
      <w:r w:rsidRPr="00DE096C">
        <w:rPr>
          <w:rStyle w:val="43"/>
          <w:rFonts w:ascii="Times New Roman" w:hAnsi="Times New Roman" w:cs="Times New Roman"/>
          <w:bCs/>
          <w:color w:val="002060"/>
          <w:w w:val="100"/>
          <w:sz w:val="16"/>
          <w:szCs w:val="16"/>
        </w:rPr>
        <w:softHyphen/>
        <w:t>можность заказать и для нас». 15 октября из Се</w:t>
      </w:r>
      <w:r w:rsidRPr="00DE096C">
        <w:rPr>
          <w:rStyle w:val="43"/>
          <w:rFonts w:ascii="Times New Roman" w:hAnsi="Times New Roman" w:cs="Times New Roman"/>
          <w:bCs/>
          <w:color w:val="002060"/>
          <w:w w:val="100"/>
          <w:sz w:val="16"/>
          <w:szCs w:val="16"/>
        </w:rPr>
        <w:softHyphen/>
        <w:t>вастополя последовал запрос в МГШ: «Прошу сообщить подробные данные о дирижаблях, за</w:t>
      </w:r>
      <w:r w:rsidRPr="00DE096C">
        <w:rPr>
          <w:rStyle w:val="43"/>
          <w:rFonts w:ascii="Times New Roman" w:hAnsi="Times New Roman" w:cs="Times New Roman"/>
          <w:bCs/>
          <w:color w:val="002060"/>
          <w:w w:val="100"/>
          <w:sz w:val="16"/>
          <w:szCs w:val="16"/>
        </w:rPr>
        <w:softHyphen/>
        <w:t>казанных в Англии для Чёрного моря. Сведения необходимы для предварительных мероприятий, могут ли быть заказаны ангары»76.</w:t>
      </w:r>
    </w:p>
    <w:p w14:paraId="012AE68B" w14:textId="77777777" w:rsidR="00266DDA" w:rsidRPr="00DE096C" w:rsidRDefault="00266DDA" w:rsidP="00D45A46">
      <w:pPr>
        <w:jc w:val="both"/>
        <w:rPr>
          <w:bCs/>
          <w:color w:val="002060"/>
          <w:sz w:val="16"/>
          <w:szCs w:val="16"/>
        </w:rPr>
      </w:pPr>
      <w:r w:rsidRPr="00DE096C">
        <w:rPr>
          <w:rStyle w:val="43"/>
          <w:rFonts w:ascii="Times New Roman" w:hAnsi="Times New Roman" w:cs="Times New Roman"/>
          <w:bCs/>
          <w:color w:val="002060"/>
          <w:w w:val="100"/>
          <w:sz w:val="16"/>
          <w:szCs w:val="16"/>
        </w:rPr>
        <w:t>В результате фирме Виккерс заказали четыре дирижабля типа «</w:t>
      </w:r>
      <w:r w:rsidRPr="00DE096C">
        <w:rPr>
          <w:rStyle w:val="43"/>
          <w:rFonts w:ascii="Times New Roman" w:hAnsi="Times New Roman" w:cs="Times New Roman"/>
          <w:bCs/>
          <w:color w:val="002060"/>
          <w:w w:val="100"/>
          <w:sz w:val="16"/>
          <w:szCs w:val="16"/>
          <w:lang w:val="en-US"/>
        </w:rPr>
        <w:t>Coastal</w:t>
      </w:r>
      <w:r w:rsidRPr="00DE096C">
        <w:rPr>
          <w:rStyle w:val="43"/>
          <w:rFonts w:ascii="Times New Roman" w:hAnsi="Times New Roman" w:cs="Times New Roman"/>
          <w:bCs/>
          <w:color w:val="002060"/>
          <w:w w:val="100"/>
          <w:sz w:val="16"/>
          <w:szCs w:val="16"/>
        </w:rPr>
        <w:t>». Они предназначались для выполнения патрулирования береговой ли</w:t>
      </w:r>
      <w:r w:rsidRPr="00DE096C">
        <w:rPr>
          <w:rStyle w:val="43"/>
          <w:rFonts w:ascii="Times New Roman" w:hAnsi="Times New Roman" w:cs="Times New Roman"/>
          <w:bCs/>
          <w:color w:val="002060"/>
          <w:w w:val="100"/>
          <w:sz w:val="16"/>
          <w:szCs w:val="16"/>
        </w:rPr>
        <w:softHyphen/>
        <w:t>нии и конвоирования судов. Проект разработали в июне 1915 г. на основе конструкции морского дирижабля № 3 фирмы «Астра-Торрес» (Фран</w:t>
      </w:r>
      <w:r w:rsidRPr="00DE096C">
        <w:rPr>
          <w:rStyle w:val="43"/>
          <w:rFonts w:ascii="Times New Roman" w:hAnsi="Times New Roman" w:cs="Times New Roman"/>
          <w:bCs/>
          <w:color w:val="002060"/>
          <w:w w:val="100"/>
          <w:sz w:val="16"/>
          <w:szCs w:val="16"/>
        </w:rPr>
        <w:softHyphen/>
        <w:t>ция).</w:t>
      </w:r>
    </w:p>
    <w:p w14:paraId="65DB0509" w14:textId="77777777" w:rsidR="00266DDA" w:rsidRPr="00DE096C" w:rsidRDefault="00266DDA" w:rsidP="00D45A46">
      <w:pPr>
        <w:jc w:val="both"/>
        <w:rPr>
          <w:bCs/>
          <w:color w:val="002060"/>
          <w:sz w:val="16"/>
          <w:szCs w:val="16"/>
        </w:rPr>
      </w:pPr>
      <w:r w:rsidRPr="00DE096C">
        <w:rPr>
          <w:rStyle w:val="43"/>
          <w:rFonts w:ascii="Times New Roman" w:hAnsi="Times New Roman" w:cs="Times New Roman"/>
          <w:bCs/>
          <w:color w:val="002060"/>
          <w:w w:val="100"/>
          <w:sz w:val="16"/>
          <w:szCs w:val="16"/>
        </w:rPr>
        <w:t>Оболочка дирижабля объёмом 4810 м3 имела характерную для фирмы «Астра-Торрес» трё- харочную (состоящую из трёх полуцилиндров) структуру. Оболочка была оборудована четырь</w:t>
      </w:r>
      <w:r w:rsidRPr="00DE096C">
        <w:rPr>
          <w:rStyle w:val="43"/>
          <w:rFonts w:ascii="Times New Roman" w:hAnsi="Times New Roman" w:cs="Times New Roman"/>
          <w:bCs/>
          <w:color w:val="002060"/>
          <w:w w:val="100"/>
          <w:sz w:val="16"/>
          <w:szCs w:val="16"/>
        </w:rPr>
        <w:softHyphen/>
        <w:t>мя баллонетами, расположенными в нижних полуцилиндрах. Сами полуцилиндры соединя</w:t>
      </w:r>
      <w:r w:rsidRPr="00DE096C">
        <w:rPr>
          <w:rStyle w:val="43"/>
          <w:rFonts w:ascii="Times New Roman" w:hAnsi="Times New Roman" w:cs="Times New Roman"/>
          <w:bCs/>
          <w:color w:val="002060"/>
          <w:w w:val="100"/>
          <w:sz w:val="16"/>
          <w:szCs w:val="16"/>
        </w:rPr>
        <w:softHyphen/>
        <w:t>лись пористыми внутренними перегородками, помогавшими поддерживать форму оболочки. По линиям соприкосновения полуцилиндров в оболочку вдоль всей её длины были вшиты три продольных троса. В ряде сечений продольные тросы были связаны друг с другом поперечны</w:t>
      </w:r>
      <w:r w:rsidRPr="00DE096C">
        <w:rPr>
          <w:rStyle w:val="43"/>
          <w:rFonts w:ascii="Times New Roman" w:hAnsi="Times New Roman" w:cs="Times New Roman"/>
          <w:bCs/>
          <w:color w:val="002060"/>
          <w:w w:val="100"/>
          <w:sz w:val="16"/>
          <w:szCs w:val="16"/>
        </w:rPr>
        <w:softHyphen/>
        <w:t>ми тросами, образовывавшими равносторонний треугольник. Таким образом, внутри оболочки находилась своеобразная тросовая трёхгран</w:t>
      </w:r>
      <w:r w:rsidRPr="00DE096C">
        <w:rPr>
          <w:rStyle w:val="43"/>
          <w:rFonts w:ascii="Times New Roman" w:hAnsi="Times New Roman" w:cs="Times New Roman"/>
          <w:bCs/>
          <w:color w:val="002060"/>
          <w:w w:val="100"/>
          <w:sz w:val="16"/>
          <w:szCs w:val="16"/>
        </w:rPr>
        <w:softHyphen/>
        <w:t>ная ферма. Внутреннее давление газа создавало в тросах этой фермы растягивающие усилия, что придавало необходимую жёсткость всей оболоч</w:t>
      </w:r>
      <w:r w:rsidRPr="00DE096C">
        <w:rPr>
          <w:rStyle w:val="43"/>
          <w:rFonts w:ascii="Times New Roman" w:hAnsi="Times New Roman" w:cs="Times New Roman"/>
          <w:bCs/>
          <w:color w:val="002060"/>
          <w:w w:val="100"/>
          <w:sz w:val="16"/>
          <w:szCs w:val="16"/>
        </w:rPr>
        <w:softHyphen/>
        <w:t>ке. Конструкция оболочки позволяла обеспечи</w:t>
      </w:r>
      <w:r w:rsidRPr="00DE096C">
        <w:rPr>
          <w:rStyle w:val="43"/>
          <w:rFonts w:ascii="Times New Roman" w:hAnsi="Times New Roman" w:cs="Times New Roman"/>
          <w:bCs/>
          <w:color w:val="002060"/>
          <w:w w:val="100"/>
          <w:sz w:val="16"/>
          <w:szCs w:val="16"/>
        </w:rPr>
        <w:softHyphen/>
        <w:t>вать неизменяемость её формы при небольшом давлении газа. Вдоль всей длины двух верхних продольных тросов располагались узлы подве</w:t>
      </w:r>
      <w:r w:rsidRPr="00DE096C">
        <w:rPr>
          <w:rStyle w:val="43"/>
          <w:rFonts w:ascii="Times New Roman" w:hAnsi="Times New Roman" w:cs="Times New Roman"/>
          <w:bCs/>
          <w:color w:val="002060"/>
          <w:w w:val="100"/>
          <w:sz w:val="16"/>
          <w:szCs w:val="16"/>
        </w:rPr>
        <w:softHyphen/>
        <w:t>ски гондолы. Тросы, идущие из узлов подвески, сходились в шесть точек (по три с каждой сторо</w:t>
      </w:r>
      <w:r w:rsidRPr="00DE096C">
        <w:rPr>
          <w:rStyle w:val="43"/>
          <w:rFonts w:ascii="Times New Roman" w:hAnsi="Times New Roman" w:cs="Times New Roman"/>
          <w:bCs/>
          <w:color w:val="002060"/>
          <w:w w:val="100"/>
          <w:sz w:val="16"/>
          <w:szCs w:val="16"/>
        </w:rPr>
        <w:softHyphen/>
        <w:t>ны). Снизу к этим точкам подходили вертикаль</w:t>
      </w:r>
      <w:r w:rsidRPr="00DE096C">
        <w:rPr>
          <w:rStyle w:val="43"/>
          <w:rFonts w:ascii="Times New Roman" w:hAnsi="Times New Roman" w:cs="Times New Roman"/>
          <w:bCs/>
          <w:color w:val="002060"/>
          <w:w w:val="100"/>
          <w:sz w:val="16"/>
          <w:szCs w:val="16"/>
        </w:rPr>
        <w:softHyphen/>
        <w:t>ные тросы, связанные с гондолой. Такая подвеска гондолы позволяла равномерно распределять нагрузку от неё по оболочке, что дало возмож</w:t>
      </w:r>
      <w:r w:rsidRPr="00DE096C">
        <w:rPr>
          <w:rStyle w:val="43"/>
          <w:rFonts w:ascii="Times New Roman" w:hAnsi="Times New Roman" w:cs="Times New Roman"/>
          <w:bCs/>
          <w:color w:val="002060"/>
          <w:w w:val="100"/>
          <w:sz w:val="16"/>
          <w:szCs w:val="16"/>
        </w:rPr>
        <w:softHyphen/>
        <w:t>ность сделать гондолу достаточно короткой. Отсутствие снаружи сложной системы тросовой подвески уменьшало лобовое сопротивление ди</w:t>
      </w:r>
      <w:r w:rsidRPr="00DE096C">
        <w:rPr>
          <w:rStyle w:val="43"/>
          <w:rFonts w:ascii="Times New Roman" w:hAnsi="Times New Roman" w:cs="Times New Roman"/>
          <w:bCs/>
          <w:color w:val="002060"/>
          <w:w w:val="100"/>
          <w:sz w:val="16"/>
          <w:szCs w:val="16"/>
        </w:rPr>
        <w:softHyphen/>
        <w:t>рижабля.</w:t>
      </w:r>
    </w:p>
    <w:p w14:paraId="1E5D205C" w14:textId="77777777" w:rsidR="00266DDA" w:rsidRPr="00DE096C" w:rsidRDefault="00266DDA" w:rsidP="00D45A46">
      <w:pPr>
        <w:jc w:val="both"/>
        <w:rPr>
          <w:bCs/>
          <w:color w:val="002060"/>
          <w:sz w:val="16"/>
          <w:szCs w:val="16"/>
        </w:rPr>
      </w:pPr>
      <w:r w:rsidRPr="00DE096C">
        <w:rPr>
          <w:rStyle w:val="43"/>
          <w:rFonts w:ascii="Times New Roman" w:hAnsi="Times New Roman" w:cs="Times New Roman"/>
          <w:bCs/>
          <w:color w:val="002060"/>
          <w:w w:val="100"/>
          <w:sz w:val="16"/>
          <w:szCs w:val="16"/>
        </w:rPr>
        <w:t>Гондолу с кабиной, в которой располагались пять членов экипажа, образовывали два фю</w:t>
      </w:r>
      <w:r w:rsidRPr="00DE096C">
        <w:rPr>
          <w:rStyle w:val="43"/>
          <w:rFonts w:ascii="Times New Roman" w:hAnsi="Times New Roman" w:cs="Times New Roman"/>
          <w:bCs/>
          <w:color w:val="002060"/>
          <w:w w:val="100"/>
          <w:sz w:val="16"/>
          <w:szCs w:val="16"/>
        </w:rPr>
        <w:softHyphen/>
        <w:t>зеляжа самолётов «Авро-510», состыкованные хвостовыми частями друг к другу. В гондоле раз</w:t>
      </w:r>
      <w:r w:rsidRPr="00DE096C">
        <w:rPr>
          <w:rStyle w:val="43"/>
          <w:rFonts w:ascii="Times New Roman" w:hAnsi="Times New Roman" w:cs="Times New Roman"/>
          <w:bCs/>
          <w:color w:val="002060"/>
          <w:w w:val="100"/>
          <w:sz w:val="16"/>
          <w:szCs w:val="16"/>
        </w:rPr>
        <w:softHyphen/>
        <w:t>мещались два мотора «Санбим», работающие на тянущий и толкающий винты.</w:t>
      </w:r>
    </w:p>
    <w:p w14:paraId="75AF328D" w14:textId="77777777" w:rsidR="00266DDA" w:rsidRPr="00DE096C" w:rsidRDefault="00266DDA" w:rsidP="00D45A46">
      <w:pPr>
        <w:jc w:val="both"/>
        <w:rPr>
          <w:bCs/>
          <w:color w:val="002060"/>
          <w:sz w:val="16"/>
          <w:szCs w:val="16"/>
        </w:rPr>
      </w:pPr>
      <w:r w:rsidRPr="00DE096C">
        <w:rPr>
          <w:rStyle w:val="43"/>
          <w:rFonts w:ascii="Times New Roman" w:hAnsi="Times New Roman" w:cs="Times New Roman"/>
          <w:bCs/>
          <w:color w:val="002060"/>
          <w:w w:val="100"/>
          <w:sz w:val="16"/>
          <w:szCs w:val="16"/>
        </w:rPr>
        <w:t>В верхней части оболочки располагалась пози</w:t>
      </w:r>
      <w:r w:rsidRPr="00DE096C">
        <w:rPr>
          <w:rStyle w:val="43"/>
          <w:rFonts w:ascii="Times New Roman" w:hAnsi="Times New Roman" w:cs="Times New Roman"/>
          <w:bCs/>
          <w:color w:val="002060"/>
          <w:w w:val="100"/>
          <w:sz w:val="16"/>
          <w:szCs w:val="16"/>
        </w:rPr>
        <w:softHyphen/>
        <w:t>ция для пулемёта «Льюис» для защиты от нападе</w:t>
      </w:r>
      <w:r w:rsidRPr="00DE096C">
        <w:rPr>
          <w:rStyle w:val="43"/>
          <w:rFonts w:ascii="Times New Roman" w:hAnsi="Times New Roman" w:cs="Times New Roman"/>
          <w:bCs/>
          <w:color w:val="002060"/>
          <w:w w:val="100"/>
          <w:sz w:val="16"/>
          <w:szCs w:val="16"/>
        </w:rPr>
        <w:softHyphen/>
        <w:t>ний самолётов из верхней полусферы, другой пу</w:t>
      </w:r>
      <w:r w:rsidRPr="00DE096C">
        <w:rPr>
          <w:rStyle w:val="43"/>
          <w:rFonts w:ascii="Times New Roman" w:hAnsi="Times New Roman" w:cs="Times New Roman"/>
          <w:bCs/>
          <w:color w:val="002060"/>
          <w:w w:val="100"/>
          <w:sz w:val="16"/>
          <w:szCs w:val="16"/>
        </w:rPr>
        <w:softHyphen/>
        <w:t>лемёт этого типа находился в гондоле. К гондоле подвешивались четыре 454-кг бомбы.</w:t>
      </w:r>
    </w:p>
    <w:p w14:paraId="5D332FDA" w14:textId="77777777" w:rsidR="00266DDA" w:rsidRPr="00DE096C" w:rsidRDefault="00266DDA" w:rsidP="00D45A46">
      <w:pPr>
        <w:jc w:val="both"/>
        <w:rPr>
          <w:bCs/>
          <w:color w:val="002060"/>
          <w:sz w:val="16"/>
          <w:szCs w:val="16"/>
        </w:rPr>
      </w:pPr>
      <w:r w:rsidRPr="00DE096C">
        <w:rPr>
          <w:rStyle w:val="43"/>
          <w:rFonts w:ascii="Times New Roman" w:hAnsi="Times New Roman" w:cs="Times New Roman"/>
          <w:bCs/>
          <w:color w:val="002060"/>
          <w:w w:val="100"/>
          <w:sz w:val="16"/>
          <w:szCs w:val="16"/>
        </w:rPr>
        <w:t>Для обучения полётам на этих дирижаблях в Англию послали морского лётчика лейтенан</w:t>
      </w:r>
      <w:r w:rsidRPr="00DE096C">
        <w:rPr>
          <w:rStyle w:val="43"/>
          <w:rFonts w:ascii="Times New Roman" w:hAnsi="Times New Roman" w:cs="Times New Roman"/>
          <w:bCs/>
          <w:color w:val="002060"/>
          <w:w w:val="100"/>
          <w:sz w:val="16"/>
          <w:szCs w:val="16"/>
        </w:rPr>
        <w:softHyphen/>
        <w:t>та В.Н. Качинского и электротехника мичмана В.Н. Сахарова с унтер-офицерами (или матроса</w:t>
      </w:r>
      <w:r w:rsidRPr="00DE096C">
        <w:rPr>
          <w:rStyle w:val="43"/>
          <w:rFonts w:ascii="Times New Roman" w:hAnsi="Times New Roman" w:cs="Times New Roman"/>
          <w:bCs/>
          <w:color w:val="002060"/>
          <w:w w:val="100"/>
          <w:sz w:val="16"/>
          <w:szCs w:val="16"/>
        </w:rPr>
        <w:softHyphen/>
        <w:t>ми) М.В. Коваленко, Г.Д. Петкусом и П.М. Чер</w:t>
      </w:r>
      <w:r w:rsidRPr="00DE096C">
        <w:rPr>
          <w:rStyle w:val="43"/>
          <w:rFonts w:ascii="Times New Roman" w:hAnsi="Times New Roman" w:cs="Times New Roman"/>
          <w:bCs/>
          <w:color w:val="002060"/>
          <w:w w:val="100"/>
          <w:sz w:val="16"/>
          <w:szCs w:val="16"/>
        </w:rPr>
        <w:softHyphen/>
        <w:t>вяковым.</w:t>
      </w:r>
    </w:p>
    <w:p w14:paraId="0FBF95F1" w14:textId="77777777" w:rsidR="00266DDA" w:rsidRPr="00DE096C" w:rsidRDefault="00266DDA" w:rsidP="00D45A46">
      <w:pPr>
        <w:jc w:val="both"/>
        <w:rPr>
          <w:bCs/>
          <w:color w:val="002060"/>
          <w:sz w:val="16"/>
          <w:szCs w:val="16"/>
        </w:rPr>
      </w:pPr>
      <w:r w:rsidRPr="00DE096C">
        <w:rPr>
          <w:rStyle w:val="43"/>
          <w:rFonts w:ascii="Times New Roman" w:hAnsi="Times New Roman" w:cs="Times New Roman"/>
          <w:bCs/>
          <w:color w:val="002060"/>
          <w:w w:val="100"/>
          <w:sz w:val="16"/>
          <w:szCs w:val="16"/>
        </w:rPr>
        <w:t>В феврале 1916 г. в Севастополе начались рабо</w:t>
      </w:r>
      <w:r w:rsidRPr="00DE096C">
        <w:rPr>
          <w:rStyle w:val="43"/>
          <w:rFonts w:ascii="Times New Roman" w:hAnsi="Times New Roman" w:cs="Times New Roman"/>
          <w:bCs/>
          <w:color w:val="002060"/>
          <w:w w:val="100"/>
          <w:sz w:val="16"/>
          <w:szCs w:val="16"/>
        </w:rPr>
        <w:softHyphen/>
        <w:t>ты по созданию отряда управляемых аэростатов. Так как в распоряжении флота не было ни воз</w:t>
      </w:r>
      <w:r w:rsidRPr="00DE096C">
        <w:rPr>
          <w:rStyle w:val="43"/>
          <w:rFonts w:ascii="Times New Roman" w:hAnsi="Times New Roman" w:cs="Times New Roman"/>
          <w:bCs/>
          <w:color w:val="002060"/>
          <w:w w:val="100"/>
          <w:sz w:val="16"/>
          <w:szCs w:val="16"/>
        </w:rPr>
        <w:softHyphen/>
        <w:t>духоплавателей, ни управляемых аэростатов, то до возвращения обучавшегося в Англии личного состава и получения из заграницы дирижаблей было решено прибегнуть к помощи Военного ве</w:t>
      </w:r>
      <w:r w:rsidRPr="00DE096C">
        <w:rPr>
          <w:rStyle w:val="43"/>
          <w:rFonts w:ascii="Times New Roman" w:hAnsi="Times New Roman" w:cs="Times New Roman"/>
          <w:bCs/>
          <w:color w:val="002060"/>
          <w:w w:val="100"/>
          <w:sz w:val="16"/>
          <w:szCs w:val="16"/>
        </w:rPr>
        <w:softHyphen/>
        <w:t>домства. Организацию отряда дирижаблей воз</w:t>
      </w:r>
      <w:r w:rsidRPr="00DE096C">
        <w:rPr>
          <w:rStyle w:val="43"/>
          <w:rFonts w:ascii="Times New Roman" w:hAnsi="Times New Roman" w:cs="Times New Roman"/>
          <w:bCs/>
          <w:color w:val="002060"/>
          <w:w w:val="100"/>
          <w:sz w:val="16"/>
          <w:szCs w:val="16"/>
        </w:rPr>
        <w:softHyphen/>
        <w:t>ложили на военного воздухоплавателя штабс-ка</w:t>
      </w:r>
      <w:r w:rsidRPr="00DE096C">
        <w:rPr>
          <w:rStyle w:val="43"/>
          <w:rFonts w:ascii="Times New Roman" w:hAnsi="Times New Roman" w:cs="Times New Roman"/>
          <w:bCs/>
          <w:color w:val="002060"/>
          <w:w w:val="100"/>
          <w:sz w:val="16"/>
          <w:szCs w:val="16"/>
        </w:rPr>
        <w:softHyphen/>
        <w:t>питана Л.А. Липпинга. Лётный состав отряда состоял также из военных воздухоплавателей: прапорщиков Б.П. Рожнова и Е.Ф. Сапунова, поручика И. Святобливо-Коробки, механиков И.М. Квятковского, В.С. Кудрявцева и моториста Капитонова. Для обучения предполагалось ис</w:t>
      </w:r>
      <w:r w:rsidRPr="00DE096C">
        <w:rPr>
          <w:rStyle w:val="43"/>
          <w:rFonts w:ascii="Times New Roman" w:hAnsi="Times New Roman" w:cs="Times New Roman"/>
          <w:bCs/>
          <w:color w:val="002060"/>
          <w:w w:val="100"/>
          <w:sz w:val="16"/>
          <w:szCs w:val="16"/>
        </w:rPr>
        <w:softHyphen/>
        <w:t>пользовать дирижабль «Голубь».</w:t>
      </w:r>
    </w:p>
    <w:p w14:paraId="43E7E690" w14:textId="77777777" w:rsidR="00266DDA" w:rsidRPr="00DE096C" w:rsidRDefault="00266DDA" w:rsidP="00D45A46">
      <w:pPr>
        <w:jc w:val="both"/>
        <w:rPr>
          <w:bCs/>
          <w:color w:val="002060"/>
          <w:sz w:val="16"/>
          <w:szCs w:val="16"/>
        </w:rPr>
      </w:pPr>
      <w:r w:rsidRPr="00DE096C">
        <w:rPr>
          <w:rStyle w:val="43"/>
          <w:rFonts w:ascii="Times New Roman" w:hAnsi="Times New Roman" w:cs="Times New Roman"/>
          <w:bCs/>
          <w:color w:val="002060"/>
          <w:w w:val="100"/>
          <w:sz w:val="16"/>
          <w:szCs w:val="16"/>
        </w:rPr>
        <w:t>В апреле начались подготовительные работы по оборудованию лагеря и места стоянки аэро</w:t>
      </w:r>
      <w:r w:rsidRPr="00DE096C">
        <w:rPr>
          <w:rStyle w:val="43"/>
          <w:rFonts w:ascii="Times New Roman" w:hAnsi="Times New Roman" w:cs="Times New Roman"/>
          <w:bCs/>
          <w:color w:val="002060"/>
          <w:w w:val="100"/>
          <w:sz w:val="16"/>
          <w:szCs w:val="16"/>
        </w:rPr>
        <w:softHyphen/>
        <w:t>стата под открытым небом в защищённой от ве</w:t>
      </w:r>
      <w:r w:rsidRPr="00DE096C">
        <w:rPr>
          <w:rStyle w:val="43"/>
          <w:rFonts w:ascii="Times New Roman" w:hAnsi="Times New Roman" w:cs="Times New Roman"/>
          <w:bCs/>
          <w:color w:val="002060"/>
          <w:w w:val="100"/>
          <w:sz w:val="16"/>
          <w:szCs w:val="16"/>
        </w:rPr>
        <w:softHyphen/>
        <w:t>тра Инкерманской балке, которую расчистили от кустарника. Для выхода из балки выровняли до</w:t>
      </w:r>
      <w:r w:rsidRPr="00DE096C">
        <w:rPr>
          <w:rStyle w:val="43"/>
          <w:rFonts w:ascii="Times New Roman" w:hAnsi="Times New Roman" w:cs="Times New Roman"/>
          <w:bCs/>
          <w:color w:val="002060"/>
          <w:w w:val="100"/>
          <w:sz w:val="16"/>
          <w:szCs w:val="16"/>
        </w:rPr>
        <w:softHyphen/>
        <w:t>рогу, на берегу балки разбили лагерь, построили гаражи для силиколевых газогенераторов и про</w:t>
      </w:r>
      <w:r w:rsidRPr="00DE096C">
        <w:rPr>
          <w:rStyle w:val="43"/>
          <w:rFonts w:ascii="Times New Roman" w:hAnsi="Times New Roman" w:cs="Times New Roman"/>
          <w:bCs/>
          <w:color w:val="002060"/>
          <w:w w:val="100"/>
          <w:sz w:val="16"/>
          <w:szCs w:val="16"/>
        </w:rPr>
        <w:softHyphen/>
        <w:t>ложили водопровод.</w:t>
      </w:r>
    </w:p>
    <w:p w14:paraId="3284FC01" w14:textId="77777777" w:rsidR="00266DDA" w:rsidRPr="00DE096C" w:rsidRDefault="00266DDA" w:rsidP="00D45A46">
      <w:pPr>
        <w:jc w:val="both"/>
        <w:rPr>
          <w:bCs/>
          <w:color w:val="002060"/>
          <w:sz w:val="16"/>
          <w:szCs w:val="16"/>
        </w:rPr>
      </w:pPr>
      <w:r w:rsidRPr="00DE096C">
        <w:rPr>
          <w:rStyle w:val="43"/>
          <w:rFonts w:ascii="Times New Roman" w:hAnsi="Times New Roman" w:cs="Times New Roman"/>
          <w:bCs/>
          <w:color w:val="002060"/>
          <w:w w:val="100"/>
          <w:sz w:val="16"/>
          <w:szCs w:val="16"/>
        </w:rPr>
        <w:t>В июне прибывший из Петрограда «Голубь» собрали в балке, и получили для него водород. По завершении сборки поднялся ветер. «Голубь» начало раскачивать, и его попытались перевести вглубь балки за её второй поворот для более спо</w:t>
      </w:r>
      <w:r w:rsidRPr="00DE096C">
        <w:rPr>
          <w:rStyle w:val="43"/>
          <w:rFonts w:ascii="Times New Roman" w:hAnsi="Times New Roman" w:cs="Times New Roman"/>
          <w:bCs/>
          <w:color w:val="002060"/>
          <w:w w:val="100"/>
          <w:sz w:val="16"/>
          <w:szCs w:val="16"/>
        </w:rPr>
        <w:softHyphen/>
        <w:t>койной стоянки. При этом оболочка дирижабля (как оказалось при осмотре — прелая) лопнула по хребту. Восстановлению она не подлежала, и 22 июня 1916 г. «Голубь» разобрали.</w:t>
      </w:r>
    </w:p>
    <w:p w14:paraId="32C47619" w14:textId="77777777" w:rsidR="00266DDA" w:rsidRPr="00DE096C" w:rsidRDefault="00266DDA" w:rsidP="00D45A46">
      <w:pPr>
        <w:jc w:val="both"/>
        <w:rPr>
          <w:bCs/>
          <w:color w:val="002060"/>
          <w:sz w:val="16"/>
          <w:szCs w:val="16"/>
        </w:rPr>
      </w:pPr>
      <w:r w:rsidRPr="00DE096C">
        <w:rPr>
          <w:rStyle w:val="43"/>
          <w:rFonts w:ascii="Times New Roman" w:hAnsi="Times New Roman" w:cs="Times New Roman"/>
          <w:bCs/>
          <w:color w:val="002060"/>
          <w:w w:val="100"/>
          <w:sz w:val="16"/>
          <w:szCs w:val="16"/>
        </w:rPr>
        <w:t>В августе, когда стали известны размеры ан</w:t>
      </w:r>
      <w:r w:rsidRPr="00DE096C">
        <w:rPr>
          <w:rStyle w:val="43"/>
          <w:rFonts w:ascii="Times New Roman" w:hAnsi="Times New Roman" w:cs="Times New Roman"/>
          <w:bCs/>
          <w:color w:val="002060"/>
          <w:w w:val="100"/>
          <w:sz w:val="16"/>
          <w:szCs w:val="16"/>
        </w:rPr>
        <w:softHyphen/>
        <w:t>глийских дирижаблей, воздухоплаватели выпи</w:t>
      </w:r>
      <w:r w:rsidRPr="00DE096C">
        <w:rPr>
          <w:rStyle w:val="43"/>
          <w:rFonts w:ascii="Times New Roman" w:hAnsi="Times New Roman" w:cs="Times New Roman"/>
          <w:bCs/>
          <w:color w:val="002060"/>
          <w:w w:val="100"/>
          <w:sz w:val="16"/>
          <w:szCs w:val="16"/>
        </w:rPr>
        <w:softHyphen/>
        <w:t>сали из Сализи переносной эллинг конструкции Уэйнимана, который после перевозки и ремонта поставили на Куликовом поле на окраине Сева</w:t>
      </w:r>
      <w:r w:rsidRPr="00DE096C">
        <w:rPr>
          <w:rStyle w:val="43"/>
          <w:rFonts w:ascii="Times New Roman" w:hAnsi="Times New Roman" w:cs="Times New Roman"/>
          <w:bCs/>
          <w:color w:val="002060"/>
          <w:w w:val="100"/>
          <w:sz w:val="16"/>
          <w:szCs w:val="16"/>
        </w:rPr>
        <w:softHyphen/>
        <w:t>стополя (20120).</w:t>
      </w:r>
    </w:p>
    <w:p w14:paraId="35F37EB7" w14:textId="77777777" w:rsidR="00266DDA" w:rsidRPr="00DE096C" w:rsidRDefault="00266DDA" w:rsidP="00D45A46">
      <w:pPr>
        <w:jc w:val="both"/>
        <w:rPr>
          <w:rStyle w:val="43"/>
          <w:rFonts w:ascii="Times New Roman" w:hAnsi="Times New Roman" w:cs="Times New Roman"/>
          <w:bCs/>
          <w:color w:val="002060"/>
          <w:w w:val="100"/>
          <w:sz w:val="16"/>
          <w:szCs w:val="16"/>
        </w:rPr>
      </w:pPr>
    </w:p>
    <w:p w14:paraId="2F007EA0" w14:textId="77777777" w:rsidR="00DA48CD" w:rsidRPr="00DE096C" w:rsidRDefault="00DA48CD" w:rsidP="00D45A46">
      <w:pPr>
        <w:jc w:val="both"/>
        <w:rPr>
          <w:bCs/>
          <w:i/>
          <w:color w:val="002060"/>
          <w:sz w:val="16"/>
          <w:szCs w:val="16"/>
        </w:rPr>
      </w:pPr>
      <w:r w:rsidRPr="00DE096C">
        <w:rPr>
          <w:bCs/>
          <w:i/>
          <w:color w:val="002060"/>
          <w:sz w:val="16"/>
          <w:szCs w:val="16"/>
        </w:rPr>
        <w:t>За рубежом:</w:t>
      </w:r>
    </w:p>
    <w:p w14:paraId="41068E93" w14:textId="77777777" w:rsidR="00DA48CD" w:rsidRPr="00DE096C" w:rsidRDefault="00DA48CD" w:rsidP="00D45A46">
      <w:pPr>
        <w:jc w:val="both"/>
        <w:rPr>
          <w:bCs/>
          <w:color w:val="002060"/>
          <w:sz w:val="16"/>
          <w:szCs w:val="16"/>
        </w:rPr>
      </w:pPr>
    </w:p>
    <w:p w14:paraId="33987E10" w14:textId="77777777" w:rsidR="00DA48CD" w:rsidRPr="00DE096C" w:rsidRDefault="00DA48CD" w:rsidP="00D45A46">
      <w:pPr>
        <w:jc w:val="both"/>
        <w:rPr>
          <w:bCs/>
          <w:color w:val="002060"/>
          <w:sz w:val="16"/>
          <w:szCs w:val="16"/>
        </w:rPr>
      </w:pPr>
      <w:r w:rsidRPr="00DE096C">
        <w:rPr>
          <w:rStyle w:val="ucoz-forum-post"/>
          <w:rFonts w:eastAsiaTheme="majorEastAsia"/>
          <w:bCs/>
          <w:color w:val="002060"/>
          <w:sz w:val="16"/>
          <w:szCs w:val="16"/>
        </w:rPr>
        <w:t xml:space="preserve">16 (29) августа </w:t>
      </w:r>
      <w:r w:rsidRPr="00DE096C">
        <w:rPr>
          <w:bCs/>
          <w:color w:val="002060"/>
          <w:sz w:val="16"/>
          <w:szCs w:val="16"/>
        </w:rPr>
        <w:t>в 1914 году новозеландские войска оккупируют германское Самоа (14753).</w:t>
      </w:r>
    </w:p>
    <w:p w14:paraId="7C28EB6C" w14:textId="77777777" w:rsidR="00DA48CD" w:rsidRPr="00DE096C" w:rsidRDefault="00DA48CD" w:rsidP="00D45A46">
      <w:pPr>
        <w:jc w:val="both"/>
        <w:rPr>
          <w:bCs/>
          <w:color w:val="002060"/>
          <w:sz w:val="16"/>
          <w:szCs w:val="16"/>
        </w:rPr>
      </w:pPr>
    </w:p>
    <w:p w14:paraId="48DC969B" w14:textId="77777777" w:rsidR="00B67D7C" w:rsidRPr="00DE096C" w:rsidRDefault="00B67D7C" w:rsidP="00D45A46">
      <w:pPr>
        <w:jc w:val="both"/>
        <w:rPr>
          <w:bCs/>
          <w:i/>
          <w:color w:val="002060"/>
          <w:sz w:val="16"/>
          <w:szCs w:val="16"/>
        </w:rPr>
      </w:pPr>
      <w:r w:rsidRPr="00DE096C">
        <w:rPr>
          <w:bCs/>
          <w:i/>
          <w:color w:val="002060"/>
          <w:sz w:val="16"/>
          <w:szCs w:val="16"/>
        </w:rPr>
        <w:t>Другие оборонные отрасли:</w:t>
      </w:r>
    </w:p>
    <w:p w14:paraId="518A8243" w14:textId="77777777" w:rsidR="00B67D7C" w:rsidRPr="00DE096C" w:rsidRDefault="00B67D7C" w:rsidP="00D45A46">
      <w:pPr>
        <w:jc w:val="both"/>
        <w:rPr>
          <w:bCs/>
          <w:i/>
          <w:color w:val="002060"/>
          <w:sz w:val="16"/>
          <w:szCs w:val="16"/>
        </w:rPr>
      </w:pPr>
    </w:p>
    <w:p w14:paraId="01A90D37" w14:textId="0F9FA956" w:rsidR="00B67D7C" w:rsidRPr="00DE096C" w:rsidRDefault="00B67D7C" w:rsidP="00D45A46">
      <w:pPr>
        <w:jc w:val="both"/>
        <w:rPr>
          <w:bCs/>
          <w:color w:val="002060"/>
          <w:sz w:val="16"/>
          <w:szCs w:val="16"/>
        </w:rPr>
      </w:pPr>
      <w:r w:rsidRPr="00DE096C">
        <w:rPr>
          <w:bCs/>
          <w:color w:val="002060"/>
          <w:sz w:val="16"/>
          <w:szCs w:val="16"/>
        </w:rPr>
        <w:t xml:space="preserve">17 </w:t>
      </w:r>
      <w:r w:rsidR="003574D5" w:rsidRPr="00DE096C">
        <w:rPr>
          <w:bCs/>
          <w:color w:val="002060"/>
          <w:sz w:val="16"/>
          <w:szCs w:val="16"/>
        </w:rPr>
        <w:t xml:space="preserve">(30) </w:t>
      </w:r>
      <w:r w:rsidRPr="00DE096C">
        <w:rPr>
          <w:bCs/>
          <w:color w:val="002060"/>
          <w:sz w:val="16"/>
          <w:szCs w:val="16"/>
        </w:rPr>
        <w:t>августа 1914 г.</w:t>
      </w:r>
      <w:r w:rsidR="003574D5" w:rsidRPr="00DE096C">
        <w:rPr>
          <w:bCs/>
          <w:color w:val="002060"/>
          <w:sz w:val="16"/>
          <w:szCs w:val="16"/>
        </w:rPr>
        <w:t xml:space="preserve"> в Государственную думу быд представлен Законопроект Морского министерства</w:t>
      </w:r>
      <w:r w:rsidRPr="00DE096C">
        <w:rPr>
          <w:bCs/>
          <w:color w:val="002060"/>
          <w:sz w:val="16"/>
          <w:szCs w:val="16"/>
        </w:rPr>
        <w:t xml:space="preserve"> "Об отпуске сверхсметного кредита на дополнительное оборудование Обуховского сталелитейного завода в связи с изготовлением 14- и 16-дм. орудий из хромоникелевой стали, башенных установок для орудий до 16-дм. калибра и увеличением снарядного производства". с. 2, 3. РГАВМФ, ф.401, оп. 2, д. 617, лл. 70, 71.).</w:t>
      </w:r>
    </w:p>
    <w:p w14:paraId="4D6CB0D3" w14:textId="77777777" w:rsidR="00B67D7C" w:rsidRPr="00DE096C" w:rsidRDefault="00B67D7C" w:rsidP="00D45A46">
      <w:pPr>
        <w:jc w:val="both"/>
        <w:rPr>
          <w:bCs/>
          <w:color w:val="002060"/>
          <w:sz w:val="16"/>
          <w:szCs w:val="16"/>
        </w:rPr>
      </w:pPr>
      <w:r w:rsidRPr="00DE096C">
        <w:rPr>
          <w:bCs/>
          <w:color w:val="002060"/>
          <w:sz w:val="16"/>
          <w:szCs w:val="16"/>
        </w:rPr>
        <w:t>Что касается цехов пушечного отдела, то они были уже в основном приспособлены к сооружению 16" орудий и свободно могли выполнить предусмотренные для Обуховского завода программы при условии не очень значительных затрат на два токарных станка, могущих обрабатывать орудия весом до 115 т.</w:t>
      </w:r>
    </w:p>
    <w:p w14:paraId="5DC8712F" w14:textId="77777777" w:rsidR="00B67D7C" w:rsidRPr="00DE096C" w:rsidRDefault="00B67D7C" w:rsidP="00D45A46">
      <w:pPr>
        <w:jc w:val="both"/>
        <w:rPr>
          <w:bCs/>
          <w:color w:val="002060"/>
          <w:sz w:val="16"/>
          <w:szCs w:val="16"/>
        </w:rPr>
      </w:pPr>
      <w:r w:rsidRPr="00DE096C">
        <w:rPr>
          <w:bCs/>
          <w:color w:val="002060"/>
          <w:sz w:val="16"/>
          <w:szCs w:val="16"/>
        </w:rPr>
        <w:t>Кроме коренного переоборудования сталелитейной мастерской и дооборудования пушечной, планировалось также сооружение снарядной мастерской с полным оборудованием и дооборудование снаряднозакалочной, постройка нового чугунолитейного цеха и цеха скорострельной артиллерии. Помимо этого, было предусмотрено строительство нового здания и полное переоборудование заводской лаборатории.</w:t>
      </w:r>
    </w:p>
    <w:p w14:paraId="6DAAF7E8" w14:textId="77777777" w:rsidR="00B67D7C" w:rsidRPr="00DE096C" w:rsidRDefault="00B67D7C" w:rsidP="00D45A46">
      <w:pPr>
        <w:jc w:val="both"/>
        <w:rPr>
          <w:bCs/>
          <w:color w:val="002060"/>
          <w:sz w:val="16"/>
          <w:szCs w:val="16"/>
        </w:rPr>
      </w:pPr>
      <w:r w:rsidRPr="00DE096C">
        <w:rPr>
          <w:bCs/>
          <w:color w:val="002060"/>
          <w:sz w:val="16"/>
          <w:szCs w:val="16"/>
        </w:rPr>
        <w:t>И, наконец, было запланировано расширение башенного отдела завода, необходимое для производства новых больших башен. Существовавший котельный цех, расположенный в противоположной части завода, в силу ограниченности его размеров и малой мощности грузоподъемных механизмов не мог изготавливать поворотные столы четырехорудийных 16" установок. Помимо этого, перемещение подобных крупных конструкций через весь завод было невозможным ввиду недостаточности железнодорожного габарита. Поэтому новым планом расширения завода предусматривалось возведение нового цеха заготовки башенных конструкций рядом с прокатным и сборочным цехами, сосредотачивавшее, таким образом, все башенное производство на едином участке. Сборочный цех, оборудованный по предшествующему плану расширения завода одним 150-тонным краном, предполагалось оснастить вторым таким же краном. Помимо этого, было решено реконструировать подкрановые пути и построить бассейн для подачи барж, на которых окончательно готовые части башен сплавлялись вниз по Неве к верфям для установки их на корабли.</w:t>
      </w:r>
    </w:p>
    <w:p w14:paraId="52F56555" w14:textId="77777777" w:rsidR="00B67D7C" w:rsidRPr="00DE096C" w:rsidRDefault="00B67D7C" w:rsidP="00D45A46">
      <w:pPr>
        <w:jc w:val="both"/>
        <w:rPr>
          <w:bCs/>
          <w:color w:val="002060"/>
          <w:sz w:val="16"/>
          <w:szCs w:val="16"/>
        </w:rPr>
      </w:pPr>
      <w:r w:rsidRPr="00DE096C">
        <w:rPr>
          <w:bCs/>
          <w:color w:val="002060"/>
          <w:sz w:val="16"/>
          <w:szCs w:val="16"/>
        </w:rPr>
        <w:t>Затраты на дооборудование Обуховского завода под программу серийного производства 16" орудий, их установок и снарядов были исчислены в 6623 тыс. руб. Работы, в соответствии со степенью их срочности, разбивались на два этапа — 1914–1915 гг. и 1916 г., и были рассчитаны на три года. В объяснительной записке к проекту говорилось, что «…часть переустройства, обусловленная необходимостью приступить через 1,5–2 года к валовому производству 16» пушек и башенных к ним установок, должна вестись возможно ускоренным порядком, а потому нужные на эту часть переустройства средства должны быть отпущены в первую очередь…», причем имелось в виду, что «…переустройство осложняется необходимостью не задерживать текущее производство даже на самое короткое время» (Законопроект Морского министерства, представленный в Государственную думу 17 августа 1914 г., "Об отпуске сверхсметного кредита на дополнительное оборудование Обуховского сталелитейного завода в связи с изготовлением 14- и 16-дм. орудий из хромоникелевой стали, башенных установок для орудий до 16-дм. калибра и увеличением снарядного производства". с. 2, 3. РГАВМФ, ф.401, оп. 2, д. 617, лл. 70, 71.).</w:t>
      </w:r>
    </w:p>
    <w:p w14:paraId="2B3D5701" w14:textId="77777777" w:rsidR="00B67D7C" w:rsidRPr="00DE096C" w:rsidRDefault="00B67D7C" w:rsidP="00D45A46">
      <w:pPr>
        <w:jc w:val="both"/>
        <w:rPr>
          <w:bCs/>
          <w:color w:val="002060"/>
          <w:sz w:val="16"/>
          <w:szCs w:val="16"/>
        </w:rPr>
      </w:pPr>
      <w:r w:rsidRPr="00DE096C">
        <w:rPr>
          <w:bCs/>
          <w:color w:val="002060"/>
          <w:sz w:val="16"/>
          <w:szCs w:val="16"/>
        </w:rPr>
        <w:t xml:space="preserve">Запрос в Думу «Об отпуске сверхсметного кредита на дополнительное оборудование Обуховского сталелитейного завода в связи с изготовлением 14» и 16 орудий из хромоникелевой стали, башенных установок для орудий 16" калибра и увеличения снарядного производства" (так полностью именовался законопроект) был подан И.К. Григоровичем 17 августа 1914 г., т. е. когда уже началась война. Принятие новых программ строительства линкоров было приостановлено, как тогда полагали, на время, но жизнь показала, что навсегда. Однако даже в тяжелые годы войны 1914–1918 гг. на перегруженном срочными заказами армии и флота Обуховском заводе пытались по возможности следовать предвоенному плану реконструкции. Так, в 1916 г. была «приведена в действие законченная сооружением новая башенная </w:t>
      </w:r>
      <w:r w:rsidRPr="00DE096C">
        <w:rPr>
          <w:bCs/>
          <w:color w:val="002060"/>
          <w:sz w:val="16"/>
          <w:szCs w:val="16"/>
        </w:rPr>
        <w:lastRenderedPageBreak/>
        <w:t>мастерская для монтажа трехорудийных башен для 16" пушек». Помимо этого, существенно было расширено производство стали, но полностью программа развития завода по плану 1914 г. реализована не была. ("Доклад по Морскому министерству за 1916 г.", с. 127.)</w:t>
      </w:r>
    </w:p>
    <w:p w14:paraId="6B3F9521" w14:textId="77777777" w:rsidR="00B67D7C" w:rsidRPr="00DE096C" w:rsidRDefault="00B67D7C" w:rsidP="00D45A46">
      <w:pPr>
        <w:jc w:val="both"/>
        <w:rPr>
          <w:bCs/>
          <w:color w:val="002060"/>
          <w:sz w:val="16"/>
          <w:szCs w:val="16"/>
        </w:rPr>
      </w:pPr>
      <w:r w:rsidRPr="00DE096C">
        <w:rPr>
          <w:bCs/>
          <w:color w:val="002060"/>
          <w:sz w:val="16"/>
          <w:szCs w:val="16"/>
        </w:rPr>
        <w:t>Вторым казенным заводом, предположенным для изготовления крупных морских орудий, должен был стать Пермский артиллерийский завод, до этого производивший лишь мелкие и средние орудия для Военного ведомства, станки для них и снаряды. Предложения о перевооружении Пермских заводов составлялись Горным ведомством в 1910-1911 гг., когда наибольшим перспективным калибром морской артиллерии считался калибр 14". Эти предложения одобрил Совет министров, и Законом от 23 июня 1913 г. было определено отпустить средства на перевооружение Пермских пушечных заводов для изготовления предметов артиллерийского вооружения и оборудования полигона при заводе на общую сумму в 10628 тыс. руб., причем главная часть ассигнований в размере 4831 тыс. руб. имела назначение установить на Пермских заводах оборудование для производства орудий самых крупных калибров до 12 штук в год (12109).</w:t>
      </w:r>
    </w:p>
    <w:p w14:paraId="0149160B" w14:textId="77777777" w:rsidR="00B67D7C" w:rsidRPr="00DE096C" w:rsidRDefault="00B67D7C" w:rsidP="00D45A46">
      <w:pPr>
        <w:jc w:val="both"/>
        <w:rPr>
          <w:bCs/>
          <w:color w:val="002060"/>
          <w:sz w:val="16"/>
          <w:szCs w:val="16"/>
        </w:rPr>
      </w:pPr>
    </w:p>
    <w:p w14:paraId="6BDF4BA1" w14:textId="77777777" w:rsidR="00B67D7C" w:rsidRPr="00DE096C" w:rsidRDefault="00B67D7C" w:rsidP="00D45A46">
      <w:pPr>
        <w:jc w:val="both"/>
        <w:rPr>
          <w:bCs/>
          <w:i/>
          <w:color w:val="002060"/>
          <w:sz w:val="16"/>
          <w:szCs w:val="16"/>
        </w:rPr>
      </w:pPr>
      <w:r w:rsidRPr="00DE096C">
        <w:rPr>
          <w:bCs/>
          <w:i/>
          <w:color w:val="002060"/>
          <w:sz w:val="16"/>
          <w:szCs w:val="16"/>
        </w:rPr>
        <w:t>Авиация:</w:t>
      </w:r>
    </w:p>
    <w:p w14:paraId="70656310" w14:textId="77777777" w:rsidR="00B67D7C" w:rsidRPr="00DE096C" w:rsidRDefault="00B67D7C" w:rsidP="00D45A46">
      <w:pPr>
        <w:jc w:val="both"/>
        <w:rPr>
          <w:bCs/>
          <w:i/>
          <w:color w:val="002060"/>
          <w:sz w:val="16"/>
          <w:szCs w:val="16"/>
        </w:rPr>
      </w:pPr>
    </w:p>
    <w:p w14:paraId="7C9640B0" w14:textId="77777777" w:rsidR="00B67D7C" w:rsidRPr="00DE096C" w:rsidRDefault="00B67D7C" w:rsidP="00D45A46">
      <w:pPr>
        <w:jc w:val="both"/>
        <w:rPr>
          <w:bCs/>
          <w:color w:val="002060"/>
          <w:sz w:val="16"/>
          <w:szCs w:val="16"/>
        </w:rPr>
      </w:pPr>
      <w:r w:rsidRPr="00DE096C">
        <w:rPr>
          <w:bCs/>
          <w:color w:val="002060"/>
          <w:sz w:val="16"/>
          <w:szCs w:val="16"/>
        </w:rPr>
        <w:t>17 (30) августа 1914 Е.Е.Грузинов вылетел на разведку района Кщонов-Пиляш-Ковице-Быхов-Люблин и обратно не вернулся. Самолет упал на вражеской территории, которую вскоре заняли русские войска. У села Быхово близ Янова были найдены свежая могила и разбитый "Ньюпор". В могиле обнаружили тело Грузинова, вопрос местных жителей и пленных австрийцев дал представление об обстоятельствах его гибели. Выяснилось, что самолет пролетал над австрийскими позициями на высоте 1000-1200 м и был обстрелян сначала пехотой, потом артиллерийской батареей, которая дала три залпа. Два первых цели не достигли. После третьего аппарат дрогнул, перевернулся и, сделав крутой вираж, врезался в землю с работающим мотором. Посмертно высочайшим приказом штабс-капитан Грузинов был награжден орденом Святого Георгия 4-й степени. Состоялись и первые воздушные бои. Таран и героическая гибель 26 августа военного летчика начальника 11-го КАО Петра Николаевича Нестерова открыли новую эпоху борьбы в воздухе. Из вооружения у русских авиаторов имелись только пистолеты "Маузер" и карабины. Хроника тех лет описывает несколько случаев воздушных боев. Так, 28 октября в окрестностях Петроково (под Варшавой) "появился неприятельский аэроплан. Через несколько минут поднялись два наших летчика и после воздушного боя сбросили "Таубе" на землю. Немецкие авиаторы разбились. Неприятельский аэроплан исковеркан". К сожалению, подтверждения этому газетному сообщению не нашлось. А вот воздушный бой и совместные действия с артиллерией, принесшие успех военному летчику Гродненского крепостного авиаотряда поручику Семенову, были подтверждены несколькими донесениями, хранящимися в Военно-историческом архиве. 27 августа Семенов с наблюдателем корнетом Николаевым при перелете через озеро Мейер, что в Восточной Пруссии, заметил неприятельский аэроплан, летевший к Летцену. Обойдя противника с правой стороны, Семенов атаковал его, заставил спуститься ниже и изменить направление полета в район русских позиций, где тот был обстрелян и около озера упал (11237).</w:t>
      </w:r>
    </w:p>
    <w:p w14:paraId="2B3CA516" w14:textId="77777777" w:rsidR="00B67D7C" w:rsidRPr="00DE096C" w:rsidRDefault="00B67D7C" w:rsidP="00D45A46">
      <w:pPr>
        <w:jc w:val="both"/>
        <w:rPr>
          <w:bCs/>
          <w:i/>
          <w:color w:val="002060"/>
          <w:sz w:val="16"/>
          <w:szCs w:val="16"/>
        </w:rPr>
      </w:pPr>
    </w:p>
    <w:p w14:paraId="50960E4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17 (30) августа 1914 11-й русский авиаотряд выполнил 4 разведывательных полета, обследовав перед фронтом 3-й армии полосу ши</w:t>
      </w:r>
      <w:r w:rsidRPr="00DE096C">
        <w:rPr>
          <w:bCs/>
          <w:color w:val="002060"/>
          <w:sz w:val="16"/>
          <w:szCs w:val="16"/>
        </w:rPr>
        <w:softHyphen/>
        <w:t>риной около 50 км и глубиной от места вылета 70 км, про</w:t>
      </w:r>
      <w:r w:rsidRPr="00DE096C">
        <w:rPr>
          <w:bCs/>
          <w:color w:val="002060"/>
          <w:sz w:val="16"/>
          <w:szCs w:val="16"/>
        </w:rPr>
        <w:softHyphen/>
        <w:t>никнув за государственную границу на 20-25 км.</w:t>
      </w:r>
    </w:p>
    <w:p w14:paraId="27AF09C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Телеграмма в штаб 3-й русской армии: «в б час. 30 мин. утра вылетел на Ньюпоре № 5 из Дубно. В 6 час. 50 мин. пролетел Рудня, в 7 час. замечена на дороге Михайловка — Крупец часть силою около двух батальонов, направление движения части не выяснено. Мелкие части и заставы об</w:t>
      </w:r>
      <w:r w:rsidRPr="00DE096C">
        <w:rPr>
          <w:bCs/>
          <w:color w:val="002060"/>
          <w:sz w:val="16"/>
          <w:szCs w:val="16"/>
        </w:rPr>
        <w:softHyphen/>
        <w:t>наружены к югу от дер. Михайловка и к юго-западу от дер. Крупец к Радзивилову; по линии Немировка — Батьков — Старики войск не обнаружено; артиллерии, обозов, коно</w:t>
      </w:r>
      <w:r w:rsidRPr="00DE096C">
        <w:rPr>
          <w:bCs/>
          <w:color w:val="002060"/>
          <w:sz w:val="16"/>
          <w:szCs w:val="16"/>
        </w:rPr>
        <w:softHyphen/>
        <w:t>вязей нет. На улицах селений и по дорогам движение. Бро</w:t>
      </w:r>
      <w:r w:rsidRPr="00DE096C">
        <w:rPr>
          <w:bCs/>
          <w:color w:val="002060"/>
          <w:sz w:val="16"/>
          <w:szCs w:val="16"/>
        </w:rPr>
        <w:softHyphen/>
        <w:t>ды достигли 7 час. 30 мин. На площади и во дворах замече</w:t>
      </w:r>
      <w:r w:rsidRPr="00DE096C">
        <w:rPr>
          <w:bCs/>
          <w:color w:val="002060"/>
          <w:sz w:val="16"/>
          <w:szCs w:val="16"/>
        </w:rPr>
        <w:softHyphen/>
        <w:t>но много людей. Обозов, артиллерии, коновязей нет. По шоссе Броды — Суходолы замечены две небольшие части и три крытых парусиной повозки, двигались направлению Суходолы. Пролетели Радзивилов 7 час. 50 мин. Заметили к юго-востоку от города часть силою один или два баталь</w:t>
      </w:r>
      <w:r w:rsidRPr="00DE096C">
        <w:rPr>
          <w:bCs/>
          <w:color w:val="002060"/>
          <w:sz w:val="16"/>
          <w:szCs w:val="16"/>
        </w:rPr>
        <w:softHyphen/>
        <w:t>она в строю по-ротно. У Батьково крупных частей конни</w:t>
      </w:r>
      <w:r w:rsidRPr="00DE096C">
        <w:rPr>
          <w:bCs/>
          <w:color w:val="002060"/>
          <w:sz w:val="16"/>
          <w:szCs w:val="16"/>
        </w:rPr>
        <w:softHyphen/>
        <w:t>цы нет. Прилетели Рудно 8 час. 10 мин. В аппарате имеют</w:t>
      </w:r>
      <w:r w:rsidRPr="00DE096C">
        <w:rPr>
          <w:bCs/>
          <w:color w:val="002060"/>
          <w:sz w:val="16"/>
          <w:szCs w:val="16"/>
        </w:rPr>
        <w:softHyphen/>
        <w:t>ся пробоины от ружейных пуль. Военный летчик штабс-ка</w:t>
      </w:r>
      <w:r w:rsidRPr="00DE096C">
        <w:rPr>
          <w:bCs/>
          <w:color w:val="002060"/>
          <w:sz w:val="16"/>
          <w:szCs w:val="16"/>
        </w:rPr>
        <w:softHyphen/>
        <w:t>питан Гавин. Наблюдатель капитан Лазарев».</w:t>
      </w:r>
    </w:p>
    <w:p w14:paraId="0117939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Россия к началу войны имела 39 авиационных отрядов, в составе которых насчитывалось 263 аэроплана, предназ</w:t>
      </w:r>
      <w:r w:rsidRPr="00DE096C">
        <w:rPr>
          <w:bCs/>
          <w:color w:val="002060"/>
          <w:sz w:val="16"/>
          <w:szCs w:val="16"/>
        </w:rPr>
        <w:softHyphen/>
        <w:t>наченных для использования в военных целях, а также 18 гидроаэропланов. Большинство аэропланов было иностран</w:t>
      </w:r>
      <w:r w:rsidRPr="00DE096C">
        <w:rPr>
          <w:bCs/>
          <w:color w:val="002060"/>
          <w:sz w:val="16"/>
          <w:szCs w:val="16"/>
        </w:rPr>
        <w:softHyphen/>
        <w:t>ного производства.</w:t>
      </w:r>
    </w:p>
    <w:p w14:paraId="00855EA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До начала войны военное ведомство в России обучило около 300 пилотов.</w:t>
      </w:r>
    </w:p>
    <w:p w14:paraId="178CBD8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Основными центрами подготовки военных летчиков являлись авиационные школы в Гатчине и Севастополе. Обучение летчиков велось также при аэроклубах Петро</w:t>
      </w:r>
      <w:r w:rsidRPr="00DE096C">
        <w:rPr>
          <w:bCs/>
          <w:color w:val="002060"/>
          <w:sz w:val="16"/>
          <w:szCs w:val="16"/>
        </w:rPr>
        <w:softHyphen/>
        <w:t>града, Москвы и Одессы. Русскому командованию казалось, что этого вполне достаточно, поэтому сеть летных школ не только не расширялась, но и прием в существующие был достаточно строго регламентирован; принимались только офицеры не менее двух лет прослужившие в действующей армии.</w:t>
      </w:r>
    </w:p>
    <w:p w14:paraId="0D4FC45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первой половине 1914г. эти школы подготовили 133 военных летчика.</w:t>
      </w:r>
    </w:p>
    <w:p w14:paraId="482CE69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Накануне войны, в связи с крупными успехами авиа</w:t>
      </w:r>
      <w:r w:rsidRPr="00DE096C">
        <w:rPr>
          <w:bCs/>
          <w:color w:val="002060"/>
          <w:sz w:val="16"/>
          <w:szCs w:val="16"/>
        </w:rPr>
        <w:softHyphen/>
        <w:t>ции, в России было приостановлено строительство дири</w:t>
      </w:r>
      <w:r w:rsidRPr="00DE096C">
        <w:rPr>
          <w:bCs/>
          <w:color w:val="002060"/>
          <w:sz w:val="16"/>
          <w:szCs w:val="16"/>
        </w:rPr>
        <w:softHyphen/>
        <w:t>жаблей.</w:t>
      </w:r>
    </w:p>
    <w:p w14:paraId="7D96CC9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Из 14 имеющихся в наличии дирижаблей в России, за исключением четырех самых крупных, все были устарев шими и различных конструкций, что очень осложняло их эксплуатацию. Их скорость не превышала 55 км/час. Для разведки тыла неприятеля они были признаны непригод-ными^и оставались на своих базах.</w:t>
      </w:r>
    </w:p>
    <w:p w14:paraId="1D329E2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Большие управляемые дирижабли России были пост</w:t>
      </w:r>
      <w:r w:rsidRPr="00DE096C">
        <w:rPr>
          <w:bCs/>
          <w:color w:val="002060"/>
          <w:sz w:val="16"/>
          <w:szCs w:val="16"/>
        </w:rPr>
        <w:softHyphen/>
        <w:t>роены и приняты на вооружение в 1913 г. и распределялись следующим образом. Дирижабль «Кондор» придавался 2-й воздухоплавательной роте, расквартированной в Брест-Литовске. Его объем 9600 м</w:t>
      </w:r>
      <w:r w:rsidRPr="00DE096C">
        <w:rPr>
          <w:bCs/>
          <w:color w:val="002060"/>
          <w:sz w:val="16"/>
          <w:szCs w:val="16"/>
          <w:vertAlign w:val="superscript"/>
        </w:rPr>
        <w:t>3</w:t>
      </w:r>
      <w:r w:rsidRPr="00DE096C">
        <w:rPr>
          <w:bCs/>
          <w:color w:val="002060"/>
          <w:sz w:val="16"/>
          <w:szCs w:val="16"/>
        </w:rPr>
        <w:t>, скорость полета 55 км/час, потолок — 3000 м, экипаж — 7-10 человек. Строился на за</w:t>
      </w:r>
      <w:r w:rsidRPr="00DE096C">
        <w:rPr>
          <w:bCs/>
          <w:color w:val="002060"/>
          <w:sz w:val="16"/>
          <w:szCs w:val="16"/>
        </w:rPr>
        <w:softHyphen/>
        <w:t>воде «Клеман-Баяр» во Франции. Дирижабль «Астра» на</w:t>
      </w:r>
      <w:r w:rsidRPr="00DE096C">
        <w:rPr>
          <w:bCs/>
          <w:color w:val="002060"/>
          <w:sz w:val="16"/>
          <w:szCs w:val="16"/>
        </w:rPr>
        <w:softHyphen/>
        <w:t>ходился на вооружении 3-й воздухоплавательной роты в г. Лиде. Этот нежесткий корабль объемом 9800 м</w:t>
      </w:r>
      <w:r w:rsidRPr="00DE096C">
        <w:rPr>
          <w:bCs/>
          <w:color w:val="002060"/>
          <w:sz w:val="16"/>
          <w:szCs w:val="16"/>
          <w:vertAlign w:val="superscript"/>
        </w:rPr>
        <w:t>3</w:t>
      </w:r>
      <w:r w:rsidRPr="00DE096C">
        <w:rPr>
          <w:bCs/>
          <w:color w:val="002060"/>
          <w:sz w:val="16"/>
          <w:szCs w:val="16"/>
        </w:rPr>
        <w:t xml:space="preserve"> был по</w:t>
      </w:r>
      <w:r w:rsidRPr="00DE096C">
        <w:rPr>
          <w:bCs/>
          <w:color w:val="002060"/>
          <w:sz w:val="16"/>
          <w:szCs w:val="16"/>
        </w:rPr>
        <w:softHyphen/>
        <w:t>строен на заводе «Астра» во Франции. Скорость полета — 63 км/час, потолок — 2500 м, экипаж — 8-12 человек. Ди</w:t>
      </w:r>
      <w:r w:rsidRPr="00DE096C">
        <w:rPr>
          <w:bCs/>
          <w:color w:val="002060"/>
          <w:sz w:val="16"/>
          <w:szCs w:val="16"/>
        </w:rPr>
        <w:softHyphen/>
        <w:t>рижабль «Буревестник» был придан 4-й воздухоплаватель</w:t>
      </w:r>
      <w:r w:rsidRPr="00DE096C">
        <w:rPr>
          <w:bCs/>
          <w:color w:val="002060"/>
          <w:sz w:val="16"/>
          <w:szCs w:val="16"/>
        </w:rPr>
        <w:softHyphen/>
        <w:t>ной роте, расквартированной в г. Бердичеве. Этот нежест</w:t>
      </w:r>
      <w:r w:rsidRPr="00DE096C">
        <w:rPr>
          <w:bCs/>
          <w:color w:val="002060"/>
          <w:sz w:val="16"/>
          <w:szCs w:val="16"/>
        </w:rPr>
        <w:softHyphen/>
        <w:t>кий дирижабль типа «Парсеваль» был построен в Германии. Его объем — 10 тыс. м</w:t>
      </w:r>
      <w:r w:rsidRPr="00DE096C">
        <w:rPr>
          <w:bCs/>
          <w:color w:val="002060"/>
          <w:sz w:val="16"/>
          <w:szCs w:val="16"/>
          <w:vertAlign w:val="superscript"/>
        </w:rPr>
        <w:t>3</w:t>
      </w:r>
      <w:r w:rsidRPr="00DE096C">
        <w:rPr>
          <w:bCs/>
          <w:color w:val="002060"/>
          <w:sz w:val="16"/>
          <w:szCs w:val="16"/>
        </w:rPr>
        <w:t>, скорость — 75 км/час, потолок — 2000м, экипаж— 7-10 человек. Дирижабль «Альбатрос» находился при 12-й воздухоплавательной роте в Сализи. Этот дирижабль нежесткой системы был построен на Ижор-ском заводе по проекту Д. В. Голубова и Д. С. Сухоржевс-кого. Его объем — 10 тыс. м</w:t>
      </w:r>
      <w:r w:rsidRPr="00DE096C">
        <w:rPr>
          <w:bCs/>
          <w:color w:val="002060"/>
          <w:sz w:val="16"/>
          <w:szCs w:val="16"/>
          <w:vertAlign w:val="superscript"/>
        </w:rPr>
        <w:t>3</w:t>
      </w:r>
      <w:r w:rsidRPr="00DE096C">
        <w:rPr>
          <w:bCs/>
          <w:color w:val="002060"/>
          <w:sz w:val="16"/>
          <w:szCs w:val="16"/>
        </w:rPr>
        <w:t>, скорость — 75 км/час, пото</w:t>
      </w:r>
      <w:r w:rsidRPr="00DE096C">
        <w:rPr>
          <w:bCs/>
          <w:color w:val="002060"/>
          <w:sz w:val="16"/>
          <w:szCs w:val="16"/>
        </w:rPr>
        <w:softHyphen/>
        <w:t>лок — 2000 м, экипаж 8-12 человек. Все четыре дирижабля были вооружены пулеметами, имели приспособления для сбрасывания бомб и обладали продолжительностью поле</w:t>
      </w:r>
      <w:r w:rsidRPr="00DE096C">
        <w:rPr>
          <w:bCs/>
          <w:color w:val="002060"/>
          <w:sz w:val="16"/>
          <w:szCs w:val="16"/>
        </w:rPr>
        <w:softHyphen/>
        <w:t>та до 20 часов. Эти дирижабли активно участвовали в бое</w:t>
      </w:r>
      <w:r w:rsidRPr="00DE096C">
        <w:rPr>
          <w:bCs/>
          <w:color w:val="002060"/>
          <w:sz w:val="16"/>
          <w:szCs w:val="16"/>
        </w:rPr>
        <w:softHyphen/>
        <w:t>вых действиях; доставляли командованию ценные сведе</w:t>
      </w:r>
      <w:r w:rsidRPr="00DE096C">
        <w:rPr>
          <w:bCs/>
          <w:color w:val="002060"/>
          <w:sz w:val="16"/>
          <w:szCs w:val="16"/>
        </w:rPr>
        <w:softHyphen/>
        <w:t>ния о передвижениях австро-германских войск, бомбили склады боеприпасов, железнодорожные узлы.</w:t>
      </w:r>
    </w:p>
    <w:p w14:paraId="39EA497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штабе русского верховного главнокомандования ди</w:t>
      </w:r>
      <w:r w:rsidRPr="00DE096C">
        <w:rPr>
          <w:bCs/>
          <w:color w:val="002060"/>
          <w:sz w:val="16"/>
          <w:szCs w:val="16"/>
        </w:rPr>
        <w:softHyphen/>
        <w:t>рижабли считали главным средством стратегической раз</w:t>
      </w:r>
      <w:r w:rsidRPr="00DE096C">
        <w:rPr>
          <w:bCs/>
          <w:color w:val="002060"/>
          <w:sz w:val="16"/>
          <w:szCs w:val="16"/>
        </w:rPr>
        <w:softHyphen/>
        <w:t>ведки. Как только армия и флот были переведены на воен</w:t>
      </w:r>
      <w:r w:rsidRPr="00DE096C">
        <w:rPr>
          <w:bCs/>
          <w:color w:val="002060"/>
          <w:sz w:val="16"/>
          <w:szCs w:val="16"/>
        </w:rPr>
        <w:softHyphen/>
        <w:t>ное положение, началась перестройка воздухоплавательных частей в соответствии с требованиями военного времени. Батальон офицерской Воздухоплавательной школы был расформирован, его личный состав направлен на укомплек</w:t>
      </w:r>
      <w:r w:rsidRPr="00DE096C">
        <w:rPr>
          <w:bCs/>
          <w:color w:val="002060"/>
          <w:sz w:val="16"/>
          <w:szCs w:val="16"/>
        </w:rPr>
        <w:softHyphen/>
        <w:t>тование запасного воздухоплавательного батальона, 12, 13 и 14-й воздухоплавательных рот. Остальные воздухопла</w:t>
      </w:r>
      <w:r w:rsidRPr="00DE096C">
        <w:rPr>
          <w:bCs/>
          <w:color w:val="002060"/>
          <w:sz w:val="16"/>
          <w:szCs w:val="16"/>
        </w:rPr>
        <w:softHyphen/>
        <w:t>вательные роты пополнены личным составом в соответ</w:t>
      </w:r>
      <w:r w:rsidRPr="00DE096C">
        <w:rPr>
          <w:bCs/>
          <w:color w:val="002060"/>
          <w:sz w:val="16"/>
          <w:szCs w:val="16"/>
        </w:rPr>
        <w:softHyphen/>
        <w:t>ствии со штатами военного времени. Роты с управляемы</w:t>
      </w:r>
      <w:r w:rsidRPr="00DE096C">
        <w:rPr>
          <w:bCs/>
          <w:color w:val="002060"/>
          <w:sz w:val="16"/>
          <w:szCs w:val="16"/>
        </w:rPr>
        <w:softHyphen/>
        <w:t>ми аэростатами дислоцировались в Луцке, Бердичеве, Бе</w:t>
      </w:r>
      <w:r w:rsidRPr="00DE096C">
        <w:rPr>
          <w:bCs/>
          <w:color w:val="002060"/>
          <w:sz w:val="16"/>
          <w:szCs w:val="16"/>
        </w:rPr>
        <w:softHyphen/>
        <w:t>лостоке, Лиде, Сализи (близ Петрограда), Брест-Литовске, Ковно, Гродно и др. Для обслуживания дирижаблей здесь были построены 14 эллингов.</w:t>
      </w:r>
    </w:p>
    <w:p w14:paraId="6C11010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Русские воздухоплавательные части имели к началу войны на'вооружении 14 управляемых аэростатов.</w:t>
      </w:r>
    </w:p>
    <w:p w14:paraId="6361E04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Помимо управляемых аэростатов на вооружении рус</w:t>
      </w:r>
      <w:r w:rsidRPr="00DE096C">
        <w:rPr>
          <w:bCs/>
          <w:color w:val="002060"/>
          <w:sz w:val="16"/>
          <w:szCs w:val="16"/>
        </w:rPr>
        <w:softHyphen/>
        <w:t>ской армии находились наблюдательные станции с неуп</w:t>
      </w:r>
      <w:r w:rsidRPr="00DE096C">
        <w:rPr>
          <w:bCs/>
          <w:color w:val="002060"/>
          <w:sz w:val="16"/>
          <w:szCs w:val="16"/>
        </w:rPr>
        <w:softHyphen/>
        <w:t>равляемыми — змейковыми и сигнальными — аэростатами, которые служили средством артиллерийского наблюдения и ближней разведки. К началу войны военное ведомство располагало 46-ю змейковыми аэростатами, приписанны</w:t>
      </w:r>
      <w:r w:rsidRPr="00DE096C">
        <w:rPr>
          <w:bCs/>
          <w:color w:val="002060"/>
          <w:sz w:val="16"/>
          <w:szCs w:val="16"/>
        </w:rPr>
        <w:softHyphen/>
        <w:t>ми к 11-ти воздухоплавательным ротам, в основном крепо</w:t>
      </w:r>
      <w:r w:rsidRPr="00DE096C">
        <w:rPr>
          <w:bCs/>
          <w:color w:val="002060"/>
          <w:sz w:val="16"/>
          <w:szCs w:val="16"/>
        </w:rPr>
        <w:softHyphen/>
        <w:t>стным. Каждая рота имела 2-3 наблюдательные станции. Каждая станция располагала одним змейковым и одним запасным аэростатом с лебедками для их подъема и спуска. Численный состав воздухоплавательной роты составлял от 60 до 100 человек (11060).</w:t>
      </w:r>
    </w:p>
    <w:p w14:paraId="3CE6098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Соображения о возможных видах боевого применения само</w:t>
      </w:r>
      <w:r w:rsidRPr="00DE096C">
        <w:rPr>
          <w:bCs/>
          <w:color w:val="002060"/>
          <w:sz w:val="16"/>
          <w:szCs w:val="16"/>
        </w:rPr>
        <w:softHyphen/>
        <w:t>летов, мысль о воздушном бое не встретила поддержки в высших военных кругах. Руководители Генерального штаба особенно подчеркивали в своем заключении, что «мысль о том, что во время войны придется раньше всего сразиться, чтобы овладеть воздухом, едва ли верна, это значило бы по</w:t>
      </w:r>
      <w:r w:rsidRPr="00DE096C">
        <w:rPr>
          <w:bCs/>
          <w:color w:val="002060"/>
          <w:sz w:val="16"/>
          <w:szCs w:val="16"/>
        </w:rPr>
        <w:softHyphen/>
        <w:t>ставить на карту воздухоплавательные средства и при том без надобности». Поэтому никаких мероприятий по воору</w:t>
      </w:r>
      <w:r w:rsidRPr="00DE096C">
        <w:rPr>
          <w:bCs/>
          <w:color w:val="002060"/>
          <w:sz w:val="16"/>
          <w:szCs w:val="16"/>
        </w:rPr>
        <w:softHyphen/>
        <w:t>жению самолетов в России не проводилось (11060).</w:t>
      </w:r>
    </w:p>
    <w:p w14:paraId="6008D5BD" w14:textId="77777777" w:rsidR="00B67D7C" w:rsidRPr="00DE096C" w:rsidRDefault="00B67D7C" w:rsidP="00D45A46">
      <w:pPr>
        <w:shd w:val="clear" w:color="auto" w:fill="FFFFFF"/>
        <w:jc w:val="both"/>
        <w:rPr>
          <w:bCs/>
          <w:color w:val="002060"/>
          <w:sz w:val="16"/>
          <w:szCs w:val="16"/>
        </w:rPr>
      </w:pPr>
    </w:p>
    <w:p w14:paraId="4DFC8EF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17 (30) августа 1914 командир XI корпусного отряда П.Н.Нестеров с наблюдателем Лазаревым, совершая разведку в районе Львова, выужден был сесть в расположении противника. Не имея возможности странитъ дефект в двигателе, летчики уничтожили самолет, а сами вернулись обратно через фронт (Воздушный справочник, 1915, стр. 6).</w:t>
      </w:r>
    </w:p>
    <w:p w14:paraId="6D06B695" w14:textId="77777777" w:rsidR="00B67D7C" w:rsidRPr="00DE096C" w:rsidRDefault="00B67D7C" w:rsidP="00D45A46">
      <w:pPr>
        <w:shd w:val="clear" w:color="auto" w:fill="FFFFFF"/>
        <w:jc w:val="both"/>
        <w:rPr>
          <w:bCs/>
          <w:color w:val="002060"/>
          <w:sz w:val="16"/>
          <w:szCs w:val="16"/>
        </w:rPr>
      </w:pPr>
    </w:p>
    <w:p w14:paraId="11B3ABD8" w14:textId="77777777" w:rsidR="003574D5" w:rsidRPr="00DE096C" w:rsidRDefault="003574D5" w:rsidP="00D45A46">
      <w:pPr>
        <w:jc w:val="both"/>
        <w:rPr>
          <w:bCs/>
          <w:color w:val="002060"/>
          <w:sz w:val="16"/>
          <w:szCs w:val="16"/>
        </w:rPr>
      </w:pPr>
      <w:r w:rsidRPr="00DE096C">
        <w:rPr>
          <w:bCs/>
          <w:color w:val="002060"/>
          <w:sz w:val="16"/>
          <w:szCs w:val="16"/>
        </w:rPr>
        <w:t>17 (30) августа 1914 г. командир XI корпусного отряда П.Н.Нестеров с наблюдателем Лазаревым, совершая разведку в районе Львова, вынужден был сесть в расположении противника. Не сумев устранить дефект в мотope, летчики уничтожили самолет, а сами вернулись обратно.</w:t>
      </w:r>
    </w:p>
    <w:p w14:paraId="34D44075" w14:textId="77777777" w:rsidR="003574D5" w:rsidRPr="00DE096C" w:rsidRDefault="003574D5" w:rsidP="00D45A46">
      <w:pPr>
        <w:jc w:val="both"/>
        <w:rPr>
          <w:bCs/>
          <w:color w:val="002060"/>
          <w:sz w:val="16"/>
          <w:szCs w:val="16"/>
        </w:rPr>
      </w:pPr>
      <w:r w:rsidRPr="00DE096C">
        <w:rPr>
          <w:bCs/>
          <w:color w:val="002060"/>
          <w:sz w:val="16"/>
          <w:szCs w:val="16"/>
        </w:rPr>
        <w:t>/Воздушный справочник, 1915, стр. 6/ (23320).</w:t>
      </w:r>
    </w:p>
    <w:p w14:paraId="4DB98AD1" w14:textId="77777777" w:rsidR="003574D5" w:rsidRPr="00DE096C" w:rsidRDefault="003574D5" w:rsidP="00D45A46">
      <w:pPr>
        <w:jc w:val="both"/>
        <w:rPr>
          <w:bCs/>
          <w:color w:val="002060"/>
          <w:sz w:val="16"/>
          <w:szCs w:val="16"/>
        </w:rPr>
      </w:pPr>
    </w:p>
    <w:p w14:paraId="35976C30" w14:textId="77777777" w:rsidR="00B67D7C" w:rsidRPr="00DE096C" w:rsidRDefault="00B67D7C" w:rsidP="00D45A46">
      <w:pPr>
        <w:jc w:val="both"/>
        <w:rPr>
          <w:bCs/>
          <w:color w:val="002060"/>
          <w:sz w:val="16"/>
          <w:szCs w:val="16"/>
        </w:rPr>
      </w:pPr>
      <w:r w:rsidRPr="00DE096C">
        <w:rPr>
          <w:bCs/>
          <w:color w:val="002060"/>
          <w:sz w:val="16"/>
          <w:szCs w:val="16"/>
        </w:rPr>
        <w:t>17 (30) августа 1914 германская авиация непрерывно следила за всеми передвижениями русских войск, и ее данные внимательно изучались германским командованием. Летчики своевременно вскрыли передвижение и концентрацию 2-й русской армии. Им удалось также своевременно вскрыть движение русских дивизий в тыл I германского армейского корпуса. Несколько дней спустя Гинденбург, награждая военного летчика Зигерта, руководившего действиями германской авиации на этом участке фронта, скажет: "Не будь летчиков - не было бы и Танненбергской победы". В этой фразе запечатлелся первый действительный восторг от деятельности авиационной разведки, намного превзошедшей осторожные ожидания генералитетов.</w:t>
      </w:r>
    </w:p>
    <w:p w14:paraId="0D1E433C" w14:textId="77777777" w:rsidR="00B67D7C" w:rsidRPr="00DE096C" w:rsidRDefault="00B67D7C" w:rsidP="00D45A46">
      <w:pPr>
        <w:jc w:val="both"/>
        <w:rPr>
          <w:bCs/>
          <w:color w:val="002060"/>
          <w:sz w:val="16"/>
          <w:szCs w:val="16"/>
        </w:rPr>
      </w:pPr>
      <w:r w:rsidRPr="00DE096C">
        <w:rPr>
          <w:bCs/>
          <w:color w:val="002060"/>
          <w:sz w:val="16"/>
          <w:szCs w:val="16"/>
        </w:rPr>
        <w:lastRenderedPageBreak/>
        <w:t>Гинденбург: "Танненберг! Это слово пробуждает тяжелые воспоминания для могучего немецкого рыцарства, боевой клич побеждающих славян, память об этом все еще свежа в истории, несмотря на то, что прошло более пятисот лет" .</w:t>
      </w:r>
    </w:p>
    <w:p w14:paraId="5D060772" w14:textId="77777777" w:rsidR="00B67D7C" w:rsidRPr="00DE096C" w:rsidRDefault="00B67D7C" w:rsidP="00D45A46">
      <w:pPr>
        <w:jc w:val="both"/>
        <w:rPr>
          <w:bCs/>
          <w:color w:val="002060"/>
          <w:sz w:val="16"/>
          <w:szCs w:val="16"/>
        </w:rPr>
      </w:pPr>
      <w:r w:rsidRPr="00DE096C">
        <w:rPr>
          <w:bCs/>
          <w:color w:val="002060"/>
          <w:sz w:val="16"/>
          <w:szCs w:val="16"/>
        </w:rPr>
        <w:t>Из донесения Нестерова: "Вследствие неисправности двухместного аппарата я в 9 час. 30 мин. вылетел без наблюдателя на одноместном Моране. Близ с. Унтервальден идет артиллерийский бой. Наши позиции полукругом между Якторов - Полухов. Под нашим огнем горят деревни Станимирж, Куровице. Австрийцы заняли высоты и лес юго-западнее железной дороги. Бивак части около полка пехоты к юго-западу Поджарков и видимо пехота в резервных колоннах в разбросанном виде в долине между высотами 398 и 363 протяжением около 2 верст..." (11999).</w:t>
      </w:r>
    </w:p>
    <w:p w14:paraId="4B589886" w14:textId="77777777" w:rsidR="00B67D7C" w:rsidRPr="00DE096C" w:rsidRDefault="00B67D7C" w:rsidP="00D45A46">
      <w:pPr>
        <w:jc w:val="both"/>
        <w:rPr>
          <w:bCs/>
          <w:color w:val="002060"/>
          <w:sz w:val="16"/>
          <w:szCs w:val="16"/>
        </w:rPr>
      </w:pPr>
    </w:p>
    <w:p w14:paraId="0D870BCB" w14:textId="216445E1" w:rsidR="005C182A" w:rsidRPr="00DE096C" w:rsidRDefault="005C182A" w:rsidP="00D45A46">
      <w:pPr>
        <w:jc w:val="both"/>
        <w:rPr>
          <w:bCs/>
          <w:color w:val="002060"/>
          <w:sz w:val="16"/>
          <w:szCs w:val="16"/>
        </w:rPr>
      </w:pPr>
      <w:r w:rsidRPr="00DE096C">
        <w:rPr>
          <w:bCs/>
          <w:color w:val="002060"/>
          <w:sz w:val="16"/>
          <w:szCs w:val="16"/>
        </w:rPr>
        <w:t>К 17 (30) августа 1914 г. - началу Восточно-Прусской операции (17.08</w:t>
      </w:r>
      <w:r w:rsidRPr="00DE096C">
        <w:rPr>
          <w:bCs/>
          <w:color w:val="002060"/>
          <w:sz w:val="16"/>
          <w:szCs w:val="16"/>
        </w:rPr>
        <w:softHyphen/>
        <w:t>15.09.1914 г.) численность германских ВВС достигла 57 аэропланов против одного дирижабля и 30 аэропланов, задействованных в наступательной операции 1-й и 2-й русских армий СЗФ. В этот период отмечались случаи проведения противником воздушной разведки в нашем глубоком тылу. Некоторые вражеские ЛА достигали рубежа городов, удаленных от линии фронта свыше 200 км, включая Ригу.</w:t>
      </w:r>
    </w:p>
    <w:p w14:paraId="10DC19BB" w14:textId="77777777" w:rsidR="005C182A" w:rsidRPr="00DE096C" w:rsidRDefault="005C182A" w:rsidP="00D45A46">
      <w:pPr>
        <w:jc w:val="both"/>
        <w:rPr>
          <w:bCs/>
          <w:color w:val="002060"/>
          <w:sz w:val="16"/>
          <w:szCs w:val="16"/>
        </w:rPr>
      </w:pPr>
      <w:r w:rsidRPr="00DE096C">
        <w:rPr>
          <w:bCs/>
          <w:color w:val="002060"/>
          <w:sz w:val="16"/>
          <w:szCs w:val="16"/>
        </w:rPr>
        <w:t>Для действий в районе русских приморских объектов привлекалась гидроавиация германского флота на Балтийском море. Так, 19 августа в районе г. Виндава (Вентспилс) нашими наблюдательными постами был обнаружен неприятельский гидроаэроплан, совершавший свой полет северо-западнее город</w:t>
      </w:r>
      <w:hyperlink w:anchor="bookmark1098" w:tooltip="Current Document">
        <w:r w:rsidRPr="00DE096C">
          <w:rPr>
            <w:rStyle w:val="af0"/>
            <w:bCs/>
            <w:color w:val="002060"/>
            <w:sz w:val="16"/>
            <w:szCs w:val="16"/>
          </w:rPr>
          <w:t>а</w:t>
        </w:r>
      </w:hyperlink>
      <w:r w:rsidRPr="00DE096C">
        <w:rPr>
          <w:bCs/>
          <w:color w:val="002060"/>
          <w:sz w:val="16"/>
          <w:szCs w:val="16"/>
        </w:rPr>
        <w:t>. Его появление напрямую было связано с отражением утром того же дня пограничной стражей морского десанта противника, пытавшегося высадиться на побережье с борта трех миноносцев.</w:t>
      </w:r>
    </w:p>
    <w:p w14:paraId="66D3CA23" w14:textId="77777777" w:rsidR="005C182A" w:rsidRPr="00DE096C" w:rsidRDefault="005C182A" w:rsidP="00D45A46">
      <w:pPr>
        <w:jc w:val="both"/>
        <w:rPr>
          <w:bCs/>
          <w:color w:val="002060"/>
          <w:sz w:val="16"/>
          <w:szCs w:val="16"/>
        </w:rPr>
      </w:pPr>
      <w:r w:rsidRPr="00DE096C">
        <w:rPr>
          <w:bCs/>
          <w:color w:val="002060"/>
          <w:sz w:val="16"/>
          <w:szCs w:val="16"/>
        </w:rPr>
        <w:t xml:space="preserve">В первые месяцы войны неприятельская авиация мало беспокоила русское командование, выполняя лишь задачи разведывательного характера (23405). </w:t>
      </w:r>
    </w:p>
    <w:p w14:paraId="65FE8B30" w14:textId="77777777" w:rsidR="005C182A" w:rsidRPr="00DE096C" w:rsidRDefault="005C182A" w:rsidP="00D45A46">
      <w:pPr>
        <w:jc w:val="both"/>
        <w:rPr>
          <w:bCs/>
          <w:color w:val="002060"/>
          <w:sz w:val="16"/>
          <w:szCs w:val="16"/>
        </w:rPr>
      </w:pPr>
    </w:p>
    <w:p w14:paraId="20E02D0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17 (30) августа 1914 командир 14-го корпусного авиаотряда штабс-штан Евграф Евграфович Грузинов вылетел на разведку неприятельских войск в районе Быхова-Люблина и не вернулся .По показаниям венных австрийцев, Грузинов, будучи ранен у посада Быхова ав-грийскимм войсками и не надеясь улетать, сознательно разбил самолет при посадке, дабы не отдать его противнику, но при этом погиб и сам. Это была первая жертва русской авиации, понесенная в борьбе с неприятелем (ЦГВИА. ф.493, оп.З, д.156; "Русский инвалид". 1915 г., 23 апреля).</w:t>
      </w:r>
    </w:p>
    <w:p w14:paraId="532CA2BC" w14:textId="77777777" w:rsidR="00B67D7C" w:rsidRPr="00DE096C" w:rsidRDefault="00B67D7C" w:rsidP="00D45A46">
      <w:pPr>
        <w:shd w:val="clear" w:color="auto" w:fill="FFFFFF"/>
        <w:jc w:val="both"/>
        <w:rPr>
          <w:bCs/>
          <w:color w:val="002060"/>
          <w:sz w:val="16"/>
          <w:szCs w:val="16"/>
        </w:rPr>
      </w:pPr>
    </w:p>
    <w:p w14:paraId="3CA22D2D" w14:textId="77777777" w:rsidR="003574D5" w:rsidRPr="00DE096C" w:rsidRDefault="003574D5" w:rsidP="00D45A46">
      <w:pPr>
        <w:jc w:val="both"/>
        <w:rPr>
          <w:bCs/>
          <w:color w:val="002060"/>
          <w:sz w:val="16"/>
          <w:szCs w:val="16"/>
        </w:rPr>
      </w:pPr>
      <w:r w:rsidRPr="00DE096C">
        <w:rPr>
          <w:bCs/>
          <w:color w:val="002060"/>
          <w:sz w:val="16"/>
          <w:szCs w:val="16"/>
        </w:rPr>
        <w:t>17 (30) августа 1914 г. командир 14-го корпусного авиаотряда шт.-капитан Евграф Евграфович Грузинов вылетел на разведку неприятельских войск в районе Быхава-Люблин и не вернулся. По показаниям плен</w:t>
      </w:r>
      <w:r w:rsidRPr="00DE096C">
        <w:rPr>
          <w:bCs/>
          <w:color w:val="002060"/>
          <w:sz w:val="16"/>
          <w:szCs w:val="16"/>
        </w:rPr>
        <w:softHyphen/>
        <w:t>ных австрийцев Грузинов, будучи ранен у посада Быхава австрийски</w:t>
      </w:r>
      <w:r w:rsidRPr="00DE096C">
        <w:rPr>
          <w:bCs/>
          <w:color w:val="002060"/>
          <w:sz w:val="16"/>
          <w:szCs w:val="16"/>
        </w:rPr>
        <w:softHyphen/>
        <w:t>ми войсками и не надеясь улететь, сознательно разбил самолет при посадке, дабы не отдать его противнику, но при этом погиб и сам. Герой посмертно был награжден орденом св. Георгия 4 ст. Это была первая жертва русской авиации, понесенная в борьбе с неприятелем.</w:t>
      </w:r>
    </w:p>
    <w:p w14:paraId="34ABEFFD" w14:textId="41B087A1" w:rsidR="003574D5" w:rsidRPr="00DE096C" w:rsidRDefault="003574D5" w:rsidP="00D45A46">
      <w:pPr>
        <w:jc w:val="both"/>
        <w:rPr>
          <w:bCs/>
          <w:color w:val="002060"/>
          <w:sz w:val="16"/>
          <w:szCs w:val="16"/>
        </w:rPr>
      </w:pPr>
      <w:r w:rsidRPr="00DE096C">
        <w:rPr>
          <w:bCs/>
          <w:color w:val="002060"/>
          <w:sz w:val="16"/>
          <w:szCs w:val="16"/>
        </w:rPr>
        <w:t>/ЦГВИА, ф. 493, оп. 3, д.15б; "Русский инвалид" за 23 апреля 1915/ (23320).</w:t>
      </w:r>
    </w:p>
    <w:p w14:paraId="4322922E" w14:textId="77777777" w:rsidR="003574D5" w:rsidRPr="00DE096C" w:rsidRDefault="003574D5" w:rsidP="00D45A46">
      <w:pPr>
        <w:jc w:val="both"/>
        <w:rPr>
          <w:bCs/>
          <w:color w:val="002060"/>
          <w:sz w:val="16"/>
          <w:szCs w:val="16"/>
        </w:rPr>
      </w:pPr>
    </w:p>
    <w:p w14:paraId="01D8700C" w14:textId="77777777" w:rsidR="00F44D3B" w:rsidRPr="00B52707" w:rsidRDefault="00F44D3B" w:rsidP="00F44D3B">
      <w:pPr>
        <w:jc w:val="both"/>
        <w:rPr>
          <w:color w:val="0070C0"/>
          <w:sz w:val="16"/>
          <w:szCs w:val="16"/>
        </w:rPr>
      </w:pPr>
      <w:r w:rsidRPr="00B52707">
        <w:rPr>
          <w:color w:val="0070C0"/>
          <w:sz w:val="16"/>
          <w:szCs w:val="16"/>
        </w:rPr>
        <w:t>17 (30) августа 1914 г. пропал военный летчик начальник 1 «1-го КАО Ефграф Ефграфович Грузинов вылетел на разведку района Кщонов-Пиляш-Ковице-Быхов-Люблин и обратно не вернулся. Самолет упал на вражеской территории, которую вскоре заняли русские войска. У села Быхово близ Янова были найдены свежая могила и разбитый "Ньюпор". В могиле обнаружили тело Грузинова, а опрос местных жителей и пленных австрийцев дал представление об обстоятельствах его гибели. Выяснилось, что самолет пролетал над австрийскими позициями на высоте 1000-1200 м и был обстрелян сначала пехотой, потом артиллерийской батареей, которая дала три залпа Два первых цели ни достигли. После третъего аппарат дрогнул, перевернулся и, сделав крутой вираж, врезался я землю с работающим мотором Посмертно высочайшим приказом штабс-капитан Грузинов был награжден орденом Святого Георгия 4-й степени (25150).</w:t>
      </w:r>
    </w:p>
    <w:p w14:paraId="674F25F1" w14:textId="77777777" w:rsidR="00F44D3B" w:rsidRPr="00B52707" w:rsidRDefault="00F44D3B" w:rsidP="00F44D3B">
      <w:pPr>
        <w:jc w:val="both"/>
        <w:rPr>
          <w:color w:val="0070C0"/>
          <w:sz w:val="16"/>
          <w:szCs w:val="16"/>
        </w:rPr>
      </w:pPr>
    </w:p>
    <w:p w14:paraId="726BF8C9" w14:textId="202F7158" w:rsidR="00B67D7C" w:rsidRPr="00DE096C" w:rsidRDefault="00B67D7C" w:rsidP="00D45A46">
      <w:pPr>
        <w:jc w:val="both"/>
        <w:rPr>
          <w:bCs/>
          <w:color w:val="002060"/>
          <w:sz w:val="16"/>
          <w:szCs w:val="16"/>
        </w:rPr>
      </w:pPr>
      <w:r w:rsidRPr="00DE096C">
        <w:rPr>
          <w:bCs/>
          <w:color w:val="002060"/>
          <w:sz w:val="16"/>
          <w:szCs w:val="16"/>
        </w:rPr>
        <w:t xml:space="preserve">17 (30) августа около 1 часа дня над городом </w:t>
      </w:r>
      <w:r w:rsidR="003574D5" w:rsidRPr="00DE096C">
        <w:rPr>
          <w:bCs/>
          <w:color w:val="002060"/>
          <w:sz w:val="16"/>
          <w:szCs w:val="16"/>
        </w:rPr>
        <w:t xml:space="preserve">Остров </w:t>
      </w:r>
      <w:r w:rsidRPr="00DE096C">
        <w:rPr>
          <w:bCs/>
          <w:color w:val="002060"/>
          <w:sz w:val="16"/>
          <w:szCs w:val="16"/>
        </w:rPr>
        <w:t>появился неприятельский аэроплан. Кружась высоко в воздухе, аэроплан пролетел над городом, а затем повернул по направлению к Пскову и стал сбрасывать бомбы. Две бомбы упали около железнодорожного моста, не причинив, однако, ни мосту, ни другим сооружениям никаких повреждений. Жертв людьми также не было. Третья бомба упала в огород вблизи товарной конторы, но не разорвалась и была подобрана воинской частью.</w:t>
      </w:r>
    </w:p>
    <w:p w14:paraId="333425D7" w14:textId="77777777" w:rsidR="00B67D7C" w:rsidRPr="00DE096C" w:rsidRDefault="00B67D7C" w:rsidP="00D45A46">
      <w:pPr>
        <w:jc w:val="both"/>
        <w:rPr>
          <w:bCs/>
          <w:color w:val="002060"/>
          <w:sz w:val="16"/>
          <w:szCs w:val="16"/>
        </w:rPr>
      </w:pPr>
      <w:r w:rsidRPr="00DE096C">
        <w:rPr>
          <w:bCs/>
          <w:color w:val="002060"/>
          <w:sz w:val="16"/>
          <w:szCs w:val="16"/>
        </w:rPr>
        <w:t xml:space="preserve">Красный набат. 1919.23 августа. </w:t>
      </w:r>
    </w:p>
    <w:p w14:paraId="729C7574" w14:textId="77777777" w:rsidR="00B67D7C" w:rsidRPr="00DE096C" w:rsidRDefault="00B67D7C" w:rsidP="00D45A46">
      <w:pPr>
        <w:shd w:val="clear" w:color="auto" w:fill="FFFFFF"/>
        <w:jc w:val="both"/>
        <w:rPr>
          <w:bCs/>
          <w:i/>
          <w:color w:val="002060"/>
          <w:sz w:val="16"/>
          <w:szCs w:val="16"/>
        </w:rPr>
      </w:pPr>
    </w:p>
    <w:p w14:paraId="7752E6DD" w14:textId="77777777" w:rsidR="00B67D7C" w:rsidRPr="00DE096C" w:rsidRDefault="00B67D7C" w:rsidP="00D45A46">
      <w:pPr>
        <w:jc w:val="both"/>
        <w:rPr>
          <w:bCs/>
          <w:color w:val="002060"/>
          <w:sz w:val="16"/>
          <w:szCs w:val="16"/>
        </w:rPr>
      </w:pPr>
      <w:r w:rsidRPr="00DE096C">
        <w:rPr>
          <w:bCs/>
          <w:color w:val="002060"/>
          <w:sz w:val="16"/>
          <w:szCs w:val="16"/>
        </w:rPr>
        <w:t>17 (31) августа 1914 авиация 3-й русской армии выполнила три боевых полета. Штабс-капитан Воротников с наблюдателем штабс- капитаном Плотниковым добыли в этот день важные сведения - установили направление отхода австрийских войск на Львов. Другой аэроплан повредили, и разведка была прекращена. Летчик Мрочковский и наблюдатель Лазарев из разведки не вернулись. В 11-м авиаотряде осталось всего два исправных аэроплана. Однако летчики 3-й армии отлично справлялись со своими задачами.</w:t>
      </w:r>
    </w:p>
    <w:p w14:paraId="426F92B6" w14:textId="77777777" w:rsidR="00B67D7C" w:rsidRPr="00DE096C" w:rsidRDefault="00B67D7C" w:rsidP="00D45A46">
      <w:pPr>
        <w:jc w:val="both"/>
        <w:rPr>
          <w:bCs/>
          <w:color w:val="002060"/>
          <w:sz w:val="16"/>
          <w:szCs w:val="16"/>
        </w:rPr>
      </w:pPr>
      <w:r w:rsidRPr="00DE096C">
        <w:rPr>
          <w:bCs/>
          <w:color w:val="002060"/>
          <w:sz w:val="16"/>
          <w:szCs w:val="16"/>
        </w:rPr>
        <w:t>На правом крыле Юго-Западного фронта, в 4-й и 5-й русских армиях, воздушная разведка не справлялась со своими задачами. Русское командование не имело ясного представления о силах и группировке противника. Так, например, отсутствие должной организации воздушной разведки привело к тому, что не были своевременно обнаружены стратегическое развертывание 1-й австро-германской армии и ее выход из Танневских лесов. А при сражении у Крас- ника 4-я русская армия, намечавшая охват левого фланга австрийских войск, сама оказалась под угрозой охвата своего правого фланга и вынуждена была вместо широко задуманного наступления перейти к обороне.</w:t>
      </w:r>
    </w:p>
    <w:p w14:paraId="4D5C35A5" w14:textId="77777777" w:rsidR="00B67D7C" w:rsidRPr="00DE096C" w:rsidRDefault="00B67D7C" w:rsidP="00D45A46">
      <w:pPr>
        <w:jc w:val="both"/>
        <w:rPr>
          <w:bCs/>
          <w:color w:val="002060"/>
          <w:sz w:val="16"/>
          <w:szCs w:val="16"/>
        </w:rPr>
      </w:pPr>
      <w:r w:rsidRPr="00DE096C">
        <w:rPr>
          <w:bCs/>
          <w:color w:val="002060"/>
          <w:sz w:val="16"/>
          <w:szCs w:val="16"/>
        </w:rPr>
        <w:t>Не лучшим образом обстояло дело и на фронте 5-й русской армии. Так, сражение у Томашова фактически было выиграно войсками 5-й армии и австрийцы начали отступление. Однако командование русской армии, не имея данных воздушной разведки, вместо развития наступления приняло решение об отходе "на три перехода" (11999).</w:t>
      </w:r>
    </w:p>
    <w:p w14:paraId="6582D980" w14:textId="77777777" w:rsidR="00B67D7C" w:rsidRPr="00DE096C" w:rsidRDefault="00B67D7C" w:rsidP="00D45A46">
      <w:pPr>
        <w:jc w:val="both"/>
        <w:rPr>
          <w:bCs/>
          <w:color w:val="002060"/>
          <w:sz w:val="16"/>
          <w:szCs w:val="16"/>
        </w:rPr>
      </w:pPr>
    </w:p>
    <w:p w14:paraId="67DEE62E"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Морская авиация:</w:t>
      </w:r>
    </w:p>
    <w:p w14:paraId="6D315504" w14:textId="77777777" w:rsidR="00B67D7C" w:rsidRPr="00DE096C" w:rsidRDefault="00B67D7C" w:rsidP="00D45A46">
      <w:pPr>
        <w:shd w:val="clear" w:color="auto" w:fill="FFFFFF"/>
        <w:jc w:val="both"/>
        <w:rPr>
          <w:bCs/>
          <w:i/>
          <w:color w:val="002060"/>
          <w:sz w:val="16"/>
          <w:szCs w:val="16"/>
        </w:rPr>
      </w:pPr>
    </w:p>
    <w:p w14:paraId="18976049" w14:textId="69E3690B" w:rsidR="00B67D7C" w:rsidRPr="00DE096C" w:rsidRDefault="00B67D7C" w:rsidP="00D45A46">
      <w:pPr>
        <w:jc w:val="both"/>
        <w:rPr>
          <w:bCs/>
          <w:color w:val="002060"/>
          <w:sz w:val="16"/>
          <w:szCs w:val="16"/>
        </w:rPr>
      </w:pPr>
      <w:r w:rsidRPr="00DE096C">
        <w:rPr>
          <w:bCs/>
          <w:color w:val="002060"/>
          <w:sz w:val="16"/>
          <w:szCs w:val="16"/>
        </w:rPr>
        <w:t xml:space="preserve">17 (30) августа 1914 </w:t>
      </w:r>
      <w:r w:rsidR="003574D5" w:rsidRPr="00DE096C">
        <w:rPr>
          <w:bCs/>
          <w:color w:val="002060"/>
          <w:sz w:val="16"/>
          <w:szCs w:val="16"/>
        </w:rPr>
        <w:t>с</w:t>
      </w:r>
      <w:r w:rsidRPr="00DE096C">
        <w:rPr>
          <w:bCs/>
          <w:color w:val="002060"/>
          <w:sz w:val="16"/>
          <w:szCs w:val="16"/>
        </w:rPr>
        <w:t xml:space="preserve">остоялась первая проверка авиаоснащения крейсера «Кагул». После спуска самолетов на воду лейтенант В.В. Утгоф и мичман Н.А. Рагозин совершили полеты над открытым морем продолжительностью соответственно 102 и 66 минут. Когда крейсер находился в 60 милях от Севастополя Рагозин и Утгоф перелетели на воздушную станцию «Круглая бухта», созданную в 10 километрах западнее Севастополя. </w:t>
      </w:r>
    </w:p>
    <w:p w14:paraId="02557E4E" w14:textId="77777777" w:rsidR="00B67D7C" w:rsidRPr="00DE096C" w:rsidRDefault="00B67D7C" w:rsidP="00D45A46">
      <w:pPr>
        <w:shd w:val="clear" w:color="auto" w:fill="FFFFFF"/>
        <w:jc w:val="both"/>
        <w:rPr>
          <w:bCs/>
          <w:color w:val="002060"/>
          <w:sz w:val="16"/>
          <w:szCs w:val="16"/>
        </w:rPr>
      </w:pPr>
    </w:p>
    <w:p w14:paraId="24DB2924"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Армия:</w:t>
      </w:r>
    </w:p>
    <w:p w14:paraId="06C60368" w14:textId="77777777" w:rsidR="00B67D7C" w:rsidRPr="00DE096C" w:rsidRDefault="00B67D7C" w:rsidP="00D45A46">
      <w:pPr>
        <w:shd w:val="clear" w:color="auto" w:fill="FFFFFF"/>
        <w:jc w:val="both"/>
        <w:rPr>
          <w:bCs/>
          <w:i/>
          <w:color w:val="002060"/>
          <w:sz w:val="16"/>
          <w:szCs w:val="16"/>
        </w:rPr>
      </w:pPr>
    </w:p>
    <w:p w14:paraId="757D4F2C" w14:textId="4D023A3C" w:rsidR="00B344BB" w:rsidRPr="00DE096C" w:rsidRDefault="00B344BB" w:rsidP="00D45A46">
      <w:pPr>
        <w:jc w:val="both"/>
        <w:rPr>
          <w:bCs/>
          <w:color w:val="002060"/>
          <w:sz w:val="16"/>
          <w:szCs w:val="16"/>
        </w:rPr>
      </w:pPr>
      <w:r w:rsidRPr="00DE096C">
        <w:rPr>
          <w:bCs/>
          <w:color w:val="002060"/>
          <w:sz w:val="16"/>
          <w:szCs w:val="16"/>
        </w:rPr>
        <w:t xml:space="preserve">17 </w:t>
      </w:r>
      <w:r w:rsidR="003574D5" w:rsidRPr="00DE096C">
        <w:rPr>
          <w:bCs/>
          <w:color w:val="002060"/>
          <w:sz w:val="16"/>
          <w:szCs w:val="16"/>
        </w:rPr>
        <w:t xml:space="preserve">(30) </w:t>
      </w:r>
      <w:r w:rsidRPr="00DE096C">
        <w:rPr>
          <w:bCs/>
          <w:color w:val="002060"/>
          <w:sz w:val="16"/>
          <w:szCs w:val="16"/>
        </w:rPr>
        <w:t>августа в 1914 году русское наступление в Восточной Пруссии. Русская армия наносит поражение немцам и вынуждает их перебросить крупные силы с Западного фронта, что ослабит немецкий натиск во Франции. Немцам удастся в итоге окружить и уничтожить два корпуса русской 2-й армии (14986).</w:t>
      </w:r>
    </w:p>
    <w:p w14:paraId="63533322" w14:textId="77777777" w:rsidR="00B344BB" w:rsidRPr="00DE096C" w:rsidRDefault="00B344BB" w:rsidP="00D45A46">
      <w:pPr>
        <w:jc w:val="both"/>
        <w:rPr>
          <w:bCs/>
          <w:color w:val="002060"/>
          <w:sz w:val="16"/>
          <w:szCs w:val="16"/>
        </w:rPr>
      </w:pPr>
    </w:p>
    <w:p w14:paraId="09DD8BC7" w14:textId="4A534F88" w:rsidR="00B67D7C" w:rsidRPr="00DE096C" w:rsidRDefault="00B67D7C" w:rsidP="00D45A46">
      <w:pPr>
        <w:jc w:val="both"/>
        <w:rPr>
          <w:bCs/>
          <w:color w:val="002060"/>
          <w:sz w:val="16"/>
          <w:szCs w:val="16"/>
        </w:rPr>
      </w:pPr>
      <w:r w:rsidRPr="00DE096C">
        <w:rPr>
          <w:bCs/>
          <w:color w:val="002060"/>
          <w:sz w:val="16"/>
          <w:szCs w:val="16"/>
        </w:rPr>
        <w:t xml:space="preserve">17 </w:t>
      </w:r>
      <w:r w:rsidR="003574D5" w:rsidRPr="00DE096C">
        <w:rPr>
          <w:bCs/>
          <w:color w:val="002060"/>
          <w:sz w:val="16"/>
          <w:szCs w:val="16"/>
        </w:rPr>
        <w:t xml:space="preserve">(30) </w:t>
      </w:r>
      <w:r w:rsidRPr="00DE096C">
        <w:rPr>
          <w:bCs/>
          <w:color w:val="002060"/>
          <w:sz w:val="16"/>
          <w:szCs w:val="16"/>
        </w:rPr>
        <w:t>августа 1914 г., через несколько дней после начала войны, Военный министр В.А. Сухомлинов предложил полковнику лейб- гвардии Егерского полка А.Н. Добржанскому сформировать «бронированную пулеметную автомобильную батарею». Через два дня резо-люцией Сухомлинова было «положено начало существованию блиндированных автомобилей и формированию 1-й пулеметной автомобильной роты» — именно в тот день, когда Жилин-ский издал неоднократно упомянутый приказ о принятии мер по борьбе со вражескими бро-немашинами! 22 сентября 1914 г. Добржанский был назначен ее командиром. Формирование роты прошло всего за полтора месяца, и его обеспечила Учебная авторота полковника Се</w:t>
      </w:r>
      <w:r w:rsidR="003574D5" w:rsidRPr="00DE096C">
        <w:rPr>
          <w:bCs/>
          <w:color w:val="002060"/>
          <w:sz w:val="16"/>
          <w:szCs w:val="16"/>
        </w:rPr>
        <w:t>к</w:t>
      </w:r>
      <w:r w:rsidRPr="00DE096C">
        <w:rPr>
          <w:bCs/>
          <w:color w:val="002060"/>
          <w:sz w:val="16"/>
          <w:szCs w:val="16"/>
        </w:rPr>
        <w:t>ретева. 19 октября 1914 г., после напутствен-ного молебна на Семеновском плацу, рота отправилась на фронт и вошла в оперативное подчинение штаба 2-й армии. Так была соз-дана первая бронеавтомобильная войсковая часть в мире! Боевое крещение рота приняла в боях под Лодзью 9—10 ноября 1914 г. в со-ставе Ловичского отряда генерал-лейтенанта В.А. Слюсаренко.</w:t>
      </w:r>
    </w:p>
    <w:p w14:paraId="1347FE67" w14:textId="77777777" w:rsidR="00B67D7C" w:rsidRPr="00DE096C" w:rsidRDefault="00B67D7C" w:rsidP="00D45A46">
      <w:pPr>
        <w:jc w:val="both"/>
        <w:rPr>
          <w:bCs/>
          <w:color w:val="002060"/>
          <w:sz w:val="16"/>
          <w:szCs w:val="16"/>
        </w:rPr>
      </w:pPr>
      <w:r w:rsidRPr="00DE096C">
        <w:rPr>
          <w:bCs/>
          <w:color w:val="002060"/>
          <w:sz w:val="16"/>
          <w:szCs w:val="16"/>
        </w:rPr>
        <w:t>Осенью 1914 г. Военное министерство ассигновало колоссальные средства для закупки броневиков в Англии и Франции и их постройки на отечественных заводах. С 21 декабря 1914 г. началось формирование отдельных автомо-бильных пулеметных взводов. Большая заслуга в развитии нового рода войск принадлежала, несомненно, упомянутым выше энтузиастам автомобилизации Русской армии, которых поддержал начальник Офицерской стрелковой школы генерал-майор Н.М. Филатов.</w:t>
      </w:r>
    </w:p>
    <w:p w14:paraId="4BF7763B" w14:textId="77777777" w:rsidR="00B67D7C" w:rsidRPr="00DE096C" w:rsidRDefault="00B67D7C" w:rsidP="00D45A46">
      <w:pPr>
        <w:jc w:val="both"/>
        <w:rPr>
          <w:bCs/>
          <w:color w:val="002060"/>
          <w:sz w:val="16"/>
          <w:szCs w:val="16"/>
        </w:rPr>
      </w:pPr>
      <w:r w:rsidRPr="00DE096C">
        <w:rPr>
          <w:bCs/>
          <w:color w:val="002060"/>
          <w:sz w:val="16"/>
          <w:szCs w:val="16"/>
        </w:rPr>
        <w:t>Следует признать, что эффект от несущественных действий немецких боевых машин в Восточной Пруссии, не столько тактический, сколько психологический, имел место. Но не совсем тот, на который рассчитывали немцы. Бурный бронеавтомобильный рост в Русской армии тому подтверждение. Сообщения о не-мецких броневиках, несомненно, дали допол-нительный толчок развитию российского бро-невого дела. Вероятно, именно для того, чтобы убедить консервативные круги русского коман-дования в необходимости внедрения броневых частей в армию, сообщения о вражеских бро-невиках сознательно преувеличивались. Раз-работки русским командованием мер борьбы с бронеавтомобилями противника также в опре-деленной мере преследовали эту цель. Таким образом, и раздуваемый с подачи сторонников активной моторизации армии миф о многочис-ленных немецких броневиках в прессе можно считать частью плана по развитию нового рода войск в Русской Императорской армии.</w:t>
      </w:r>
    </w:p>
    <w:p w14:paraId="6F7F93D7" w14:textId="77777777" w:rsidR="00B67D7C" w:rsidRPr="00DE096C" w:rsidRDefault="00B67D7C" w:rsidP="00D45A46">
      <w:pPr>
        <w:jc w:val="both"/>
        <w:rPr>
          <w:bCs/>
          <w:color w:val="002060"/>
          <w:sz w:val="16"/>
          <w:szCs w:val="16"/>
        </w:rPr>
      </w:pPr>
      <w:r w:rsidRPr="00DE096C">
        <w:rPr>
          <w:bCs/>
          <w:color w:val="002060"/>
          <w:sz w:val="16"/>
          <w:szCs w:val="16"/>
        </w:rPr>
        <w:t>Типичным примером использования «страшилки» о германских броневиках в целях раз-вития нового рода войск является рапорт Былинского. Весной 1915 г. штабс-капитан В.Р. Былинский обратился в штаб 10-й армии с рапортом, в котором писал: «Вступая в бой с противником, отлично вооруженным брониро-ванными пушечными и пулеметными батарея-ми на автомобилях, и не имея в своей армии аналогичных средств вооружения, сразу несли от их губительных действий большие потери, в моральном же отношении потери от падения духа в войсках, сознающих свою абсолютную беспомощность, были неисчислимы [...].</w:t>
      </w:r>
    </w:p>
    <w:p w14:paraId="0C579A37" w14:textId="77777777" w:rsidR="00B67D7C" w:rsidRPr="00DE096C" w:rsidRDefault="00B67D7C" w:rsidP="00D45A46">
      <w:pPr>
        <w:jc w:val="both"/>
        <w:rPr>
          <w:bCs/>
          <w:color w:val="002060"/>
          <w:sz w:val="16"/>
          <w:szCs w:val="16"/>
        </w:rPr>
      </w:pPr>
      <w:r w:rsidRPr="00DE096C">
        <w:rPr>
          <w:bCs/>
          <w:color w:val="002060"/>
          <w:sz w:val="16"/>
          <w:szCs w:val="16"/>
        </w:rPr>
        <w:lastRenderedPageBreak/>
        <w:t>Совершенное отсутствие в районе 1-й и 10-й армий, где я с начала кампании пробыл в строю, каких бы то ни было броневых авто-мобилей, побудили меня сформировать своей конструкции и на свой счет отдельный авто- пушечно-пулеметный взвод [...]».</w:t>
      </w:r>
    </w:p>
    <w:p w14:paraId="17C3F43E" w14:textId="77777777" w:rsidR="00B67D7C" w:rsidRPr="00DE096C" w:rsidRDefault="00B67D7C" w:rsidP="00D45A46">
      <w:pPr>
        <w:jc w:val="both"/>
        <w:rPr>
          <w:bCs/>
          <w:color w:val="002060"/>
          <w:sz w:val="16"/>
          <w:szCs w:val="16"/>
        </w:rPr>
      </w:pPr>
      <w:r w:rsidRPr="00DE096C">
        <w:rPr>
          <w:bCs/>
          <w:color w:val="002060"/>
          <w:sz w:val="16"/>
          <w:szCs w:val="16"/>
        </w:rPr>
        <w:t>Инициативу Былинского поддержали — ему выделили два трофейных автомобиля «Мерседес» и откомандировали в Петроград на Обуховский завод для постройки броневиков и формирования «внепланового» пулеметно- автомобильного взвода. Заручившись под-держкой влиятельного приверженца мотори-зации армии генерал-майора свиты Его Импе-раторского Величества князя В.Н. Орлова, он вскоре получил и третью машину — немецкий грузовик «Ллойд» (Ыоуд) выпуска 1911 г. 23 ав-густа 1915 г. 25-й автопулеметный взвод под командованием Былинского был отправлен в 5-ю армию на Северный фронт.</w:t>
      </w:r>
    </w:p>
    <w:p w14:paraId="537DB435" w14:textId="77777777" w:rsidR="00B67D7C" w:rsidRPr="00DE096C" w:rsidRDefault="00B67D7C" w:rsidP="00D45A46">
      <w:pPr>
        <w:jc w:val="both"/>
        <w:rPr>
          <w:bCs/>
          <w:color w:val="002060"/>
          <w:sz w:val="16"/>
          <w:szCs w:val="16"/>
        </w:rPr>
      </w:pPr>
      <w:r w:rsidRPr="00DE096C">
        <w:rPr>
          <w:bCs/>
          <w:color w:val="002060"/>
          <w:sz w:val="16"/>
          <w:szCs w:val="16"/>
        </w:rPr>
        <w:t>По приказу начальника Штаба Верховного Главнокомандующего от 7 июня 1916 г. пуле-метные автомобильные взводы были объеди-нены в броневые автомобильные дивизионы из расчета один дивизион на армию. При этом взвод переименовывался в отделение. На Кавказском фронте была сохранена взводная организация бронеавтомобильных частей. На 1 сентября 1916 г. в России действовали 12 ли-нейных броневых автомобильных дивизионов Русской армии, а также бельгийский и бри-танский бронедивизионы; в Петрограде рас-полагался Запасной бронедивизион. В начале 1917 г. к ним добавился дивизион особого на-значения. Бронеавтомобили получили весьма широкое распространение в Русской армии. До октября 1917 г. организация подразделений, тактика боевого использования и количество бронеавтомобилей во многом превосходили показатели армий других стран.</w:t>
      </w:r>
    </w:p>
    <w:p w14:paraId="18772C40" w14:textId="77777777" w:rsidR="00B67D7C" w:rsidRPr="00DE096C" w:rsidRDefault="00B67D7C" w:rsidP="00D45A46">
      <w:pPr>
        <w:jc w:val="both"/>
        <w:rPr>
          <w:bCs/>
          <w:color w:val="002060"/>
          <w:sz w:val="16"/>
          <w:szCs w:val="16"/>
        </w:rPr>
      </w:pPr>
      <w:r w:rsidRPr="00DE096C">
        <w:rPr>
          <w:bCs/>
          <w:color w:val="002060"/>
          <w:sz w:val="16"/>
          <w:szCs w:val="16"/>
        </w:rPr>
        <w:t>Что касается немцев, то только 27 октября 1914 г., когда 1-я автомобильная пулеметная рота Русской армии уже прибыла на фронт, военное министерство Пруссии обязало Транспортно-техническую испытательную ко-миссию разработать план мероприятий по по-стройке бронеавтомобилей и формированию броневых частей. К этому подключили также Оржейную испытательную комиссию и Отдел «А2» (Отдел инфантерии). 3 ноября совместны-ми усилиями были сформулированы состоящие из 16 пунктов требования к бронеавтомобилям. После их одобрения военным министерством на заводах «Бюссинг», «Даймлер» и «Эрхардт» разместили заказ на изготовление трех бро-нированных машин (12256).</w:t>
      </w:r>
    </w:p>
    <w:p w14:paraId="2EE9424E" w14:textId="77777777" w:rsidR="00B67D7C" w:rsidRPr="00DE096C" w:rsidRDefault="00B67D7C" w:rsidP="00D45A46">
      <w:pPr>
        <w:jc w:val="both"/>
        <w:rPr>
          <w:bCs/>
          <w:color w:val="002060"/>
          <w:sz w:val="16"/>
          <w:szCs w:val="16"/>
        </w:rPr>
      </w:pPr>
    </w:p>
    <w:p w14:paraId="601C8C26" w14:textId="77777777" w:rsidR="00F44D3B" w:rsidRPr="00B52707" w:rsidRDefault="00F44D3B" w:rsidP="00F44D3B">
      <w:pPr>
        <w:jc w:val="both"/>
        <w:rPr>
          <w:color w:val="0070C0"/>
          <w:sz w:val="16"/>
          <w:szCs w:val="16"/>
        </w:rPr>
      </w:pPr>
      <w:r w:rsidRPr="00B52707">
        <w:rPr>
          <w:color w:val="0070C0"/>
          <w:sz w:val="16"/>
          <w:szCs w:val="16"/>
        </w:rPr>
        <w:t>17 (30) августа 1914 г. российская армия начала активные действия. На северном (немецком) участке фронта она попыталась овладеть Кенигсбергом, одержав победу в Гумбинен-Гольдапском сражении, а на южном (австрийском) 3 сентября взяла Львов. Однако на севере немцы воспользовались оплошностью русского командования и ударом в разрыв между 1-й армией генерала Ренненкампфа и 2-й Самсонова у Танненберга окружили и уничтожили последнюю. Для этого пришлось снять большие силы с Западного фронта, что решило судьбу «блицкрига» и спасло Париж ценой русской крови (25758).</w:t>
      </w:r>
    </w:p>
    <w:p w14:paraId="42397FD9" w14:textId="77777777" w:rsidR="00F44D3B" w:rsidRPr="00B52707" w:rsidRDefault="00F44D3B" w:rsidP="00F44D3B">
      <w:pPr>
        <w:jc w:val="both"/>
        <w:rPr>
          <w:color w:val="0070C0"/>
          <w:sz w:val="16"/>
          <w:szCs w:val="16"/>
        </w:rPr>
      </w:pPr>
    </w:p>
    <w:p w14:paraId="45A186DF"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 и воздухоплавание Германии:</w:t>
      </w:r>
    </w:p>
    <w:p w14:paraId="60BFFF5D" w14:textId="77777777" w:rsidR="00B67D7C" w:rsidRPr="00DE096C" w:rsidRDefault="00B67D7C" w:rsidP="00D45A46">
      <w:pPr>
        <w:shd w:val="clear" w:color="auto" w:fill="FFFFFF"/>
        <w:jc w:val="both"/>
        <w:rPr>
          <w:bCs/>
          <w:i/>
          <w:color w:val="002060"/>
          <w:sz w:val="16"/>
          <w:szCs w:val="16"/>
        </w:rPr>
      </w:pPr>
    </w:p>
    <w:p w14:paraId="40B47145" w14:textId="334D710F"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17 (30) августа 1914 </w:t>
      </w:r>
      <w:r w:rsidR="003574D5" w:rsidRPr="00DE096C">
        <w:rPr>
          <w:bCs/>
          <w:color w:val="002060"/>
          <w:sz w:val="16"/>
          <w:szCs w:val="16"/>
        </w:rPr>
        <w:t>п</w:t>
      </w:r>
      <w:r w:rsidRPr="00DE096C">
        <w:rPr>
          <w:bCs/>
          <w:color w:val="002060"/>
          <w:sz w:val="16"/>
          <w:szCs w:val="16"/>
        </w:rPr>
        <w:t>ервую бомбардировку Парижа с самолетов осуществили немец</w:t>
      </w:r>
      <w:r w:rsidRPr="00DE096C">
        <w:rPr>
          <w:bCs/>
          <w:color w:val="002060"/>
          <w:sz w:val="16"/>
          <w:szCs w:val="16"/>
        </w:rPr>
        <w:softHyphen/>
        <w:t>кие летчики (1137).</w:t>
      </w:r>
    </w:p>
    <w:p w14:paraId="656A3FC7" w14:textId="77777777" w:rsidR="00B67D7C" w:rsidRPr="00DE096C" w:rsidRDefault="00B67D7C" w:rsidP="00D45A46">
      <w:pPr>
        <w:shd w:val="clear" w:color="auto" w:fill="FFFFFF"/>
        <w:jc w:val="both"/>
        <w:rPr>
          <w:bCs/>
          <w:color w:val="002060"/>
          <w:sz w:val="16"/>
          <w:szCs w:val="16"/>
        </w:rPr>
      </w:pPr>
    </w:p>
    <w:p w14:paraId="381D9BB9" w14:textId="77777777" w:rsidR="00B67D7C" w:rsidRPr="00DE096C" w:rsidRDefault="00B67D7C" w:rsidP="00D45A46">
      <w:pPr>
        <w:jc w:val="both"/>
        <w:rPr>
          <w:bCs/>
          <w:color w:val="002060"/>
          <w:sz w:val="16"/>
          <w:szCs w:val="16"/>
        </w:rPr>
      </w:pPr>
      <w:r w:rsidRPr="00DE096C">
        <w:rPr>
          <w:bCs/>
          <w:color w:val="002060"/>
          <w:sz w:val="16"/>
          <w:szCs w:val="16"/>
        </w:rPr>
        <w:t>17 (30) августа 1915 над Парижем появились два германских аэроплана "Таубе" . Германские летчики сбросили несколько бомб на собор Парижской Богоматери, затем флаг с надписью: "Мы взяли Антверпен , скоро очередь дойдет и до вас!" Публика рукоплескала французским солдатам, стрелявшим по аэропланам из митральез.</w:t>
      </w:r>
    </w:p>
    <w:p w14:paraId="62EBC74B" w14:textId="6F204697" w:rsidR="00B67D7C" w:rsidRPr="00DE096C" w:rsidRDefault="00B67D7C" w:rsidP="00D45A46">
      <w:pPr>
        <w:jc w:val="both"/>
        <w:rPr>
          <w:bCs/>
          <w:color w:val="002060"/>
          <w:sz w:val="16"/>
          <w:szCs w:val="16"/>
        </w:rPr>
      </w:pPr>
      <w:r w:rsidRPr="00DE096C">
        <w:rPr>
          <w:bCs/>
          <w:color w:val="002060"/>
          <w:sz w:val="16"/>
          <w:szCs w:val="16"/>
        </w:rPr>
        <w:t>Одного германского "Таубе", бомбившего Париж, с легкостью догнал английский "Бристоль" и стал прижимать его сверху, не давая возможности германскому пилоту Вернеру применить против него единственное на то время про- тивосамолетное оружие - бомбу. Вернер и его наблюдатель начали палить по англичанам из личного оружия, англичане ответили тем же. "Пули жужжали вокруг. Так длилось полчаса", - рассказывал затем Вернер. Тут к англичанам присоединился французский "Блерио", который "с ужасающей быстротой... бросался то вверх, то вниз, и яркие вспышки говорили о непрерывных выстрелах", - писал американский корреспондент. В конце концов, немцы предпочли сдаться на милость победителей.</w:t>
      </w:r>
    </w:p>
    <w:p w14:paraId="0A498634" w14:textId="77777777" w:rsidR="00B67D7C" w:rsidRPr="00DE096C" w:rsidRDefault="00B67D7C" w:rsidP="00D45A46">
      <w:pPr>
        <w:jc w:val="both"/>
        <w:rPr>
          <w:bCs/>
          <w:color w:val="002060"/>
          <w:sz w:val="16"/>
          <w:szCs w:val="16"/>
        </w:rPr>
      </w:pPr>
      <w:r w:rsidRPr="00DE096C">
        <w:rPr>
          <w:bCs/>
          <w:color w:val="002060"/>
          <w:sz w:val="16"/>
          <w:szCs w:val="16"/>
        </w:rPr>
        <w:t>Другому самолету, управляемому пилотом Францем фон Хиндессеном, удалось вернуться домой.</w:t>
      </w:r>
    </w:p>
    <w:p w14:paraId="41AE3954" w14:textId="77777777" w:rsidR="00B67D7C" w:rsidRPr="00DE096C" w:rsidRDefault="00B67D7C" w:rsidP="00D45A46">
      <w:pPr>
        <w:jc w:val="both"/>
        <w:rPr>
          <w:bCs/>
          <w:color w:val="002060"/>
          <w:sz w:val="16"/>
          <w:szCs w:val="16"/>
        </w:rPr>
      </w:pPr>
      <w:r w:rsidRPr="00DE096C">
        <w:rPr>
          <w:bCs/>
          <w:color w:val="002060"/>
          <w:sz w:val="16"/>
          <w:szCs w:val="16"/>
        </w:rPr>
        <w:t>Таким было первое боевое столкновение авиаторов, закончившееся пленением германских пилотов (11999).</w:t>
      </w:r>
    </w:p>
    <w:p w14:paraId="53DA2D72" w14:textId="77777777" w:rsidR="00B67D7C" w:rsidRPr="00DE096C" w:rsidRDefault="00B67D7C" w:rsidP="00D45A46">
      <w:pPr>
        <w:jc w:val="both"/>
        <w:rPr>
          <w:bCs/>
          <w:color w:val="002060"/>
          <w:sz w:val="16"/>
          <w:szCs w:val="16"/>
        </w:rPr>
      </w:pPr>
    </w:p>
    <w:p w14:paraId="740E57C3" w14:textId="77777777" w:rsidR="00C539D8" w:rsidRPr="00DE096C" w:rsidRDefault="00C539D8" w:rsidP="00D45A46">
      <w:pPr>
        <w:jc w:val="both"/>
        <w:rPr>
          <w:bCs/>
          <w:color w:val="002060"/>
          <w:sz w:val="16"/>
          <w:szCs w:val="16"/>
        </w:rPr>
      </w:pPr>
      <w:r w:rsidRPr="00DE096C">
        <w:rPr>
          <w:bCs/>
          <w:color w:val="002060"/>
          <w:sz w:val="16"/>
          <w:szCs w:val="16"/>
        </w:rPr>
        <w:t>17 (30) августа в 1914 году пилот моноплана «Тубе» - предположительно лейтенант Фердинанд фон Хиддессен - сбросил пять бомб на Париж. Город стал первой столицей, которая подверглась авиаудару с самолёта. В результате бомбёжки одна женщина была убита, ещё двое человек ранены (14754).</w:t>
      </w:r>
    </w:p>
    <w:p w14:paraId="6549BC83" w14:textId="77777777" w:rsidR="00C539D8" w:rsidRPr="00DE096C" w:rsidRDefault="00C539D8" w:rsidP="00D45A46">
      <w:pPr>
        <w:jc w:val="both"/>
        <w:rPr>
          <w:bCs/>
          <w:color w:val="002060"/>
          <w:sz w:val="16"/>
          <w:szCs w:val="16"/>
        </w:rPr>
      </w:pPr>
    </w:p>
    <w:p w14:paraId="58D1E45A" w14:textId="77777777" w:rsidR="00C539D8" w:rsidRPr="00DE096C" w:rsidRDefault="00C539D8" w:rsidP="00D45A46">
      <w:pPr>
        <w:jc w:val="both"/>
        <w:rPr>
          <w:rStyle w:val="ucoz-forum-post"/>
          <w:rFonts w:eastAsiaTheme="majorEastAsia"/>
          <w:bCs/>
          <w:color w:val="002060"/>
          <w:sz w:val="16"/>
          <w:szCs w:val="16"/>
        </w:rPr>
      </w:pPr>
      <w:r w:rsidRPr="00DE096C">
        <w:rPr>
          <w:bCs/>
          <w:color w:val="002060"/>
          <w:sz w:val="16"/>
          <w:szCs w:val="16"/>
        </w:rPr>
        <w:t xml:space="preserve">17 (30) августа </w:t>
      </w:r>
      <w:r w:rsidRPr="00DE096C">
        <w:rPr>
          <w:rStyle w:val="ucoz-forum-post"/>
          <w:rFonts w:eastAsiaTheme="majorEastAsia"/>
          <w:bCs/>
          <w:color w:val="002060"/>
          <w:sz w:val="16"/>
          <w:szCs w:val="16"/>
        </w:rPr>
        <w:t>1914. Пилот моноплана «Тубе» - предположительно лейтенант Фердинанд фон Хиддессен - сбросил пять бомб на Париж. Город стал первой столицей, которая подверглась авиаудару с самолёта. В результате бомбёжки одна женщина была убита, ещё двое человек ранены.</w:t>
      </w:r>
    </w:p>
    <w:p w14:paraId="073226B7" w14:textId="77777777" w:rsidR="00C539D8" w:rsidRPr="00DE096C" w:rsidRDefault="00C539D8" w:rsidP="00D45A46">
      <w:pPr>
        <w:jc w:val="both"/>
        <w:rPr>
          <w:rStyle w:val="ucoz-forum-post"/>
          <w:rFonts w:eastAsiaTheme="majorEastAsia"/>
          <w:bCs/>
          <w:color w:val="002060"/>
          <w:sz w:val="16"/>
          <w:szCs w:val="16"/>
        </w:rPr>
      </w:pPr>
    </w:p>
    <w:p w14:paraId="1EF589D3" w14:textId="77777777" w:rsidR="00914B52" w:rsidRPr="00DE096C" w:rsidRDefault="00914B52" w:rsidP="00D45A46">
      <w:pPr>
        <w:jc w:val="both"/>
        <w:rPr>
          <w:bCs/>
          <w:color w:val="002060"/>
          <w:sz w:val="16"/>
          <w:szCs w:val="16"/>
        </w:rPr>
      </w:pPr>
      <w:r w:rsidRPr="00DE096C">
        <w:rPr>
          <w:bCs/>
          <w:color w:val="002060"/>
          <w:sz w:val="16"/>
          <w:szCs w:val="16"/>
        </w:rPr>
        <w:t>17 (30) августа 1914 Париж впервые бомбит немецкий самолет - Этрих Таубе, на котором летает лейтенант Фердинанд фон Хиддессен (20337).</w:t>
      </w:r>
    </w:p>
    <w:p w14:paraId="4CB51BFF" w14:textId="77777777" w:rsidR="00914B52" w:rsidRPr="00DE096C" w:rsidRDefault="00914B52" w:rsidP="00D45A46">
      <w:pPr>
        <w:jc w:val="both"/>
        <w:rPr>
          <w:bCs/>
          <w:color w:val="002060"/>
          <w:sz w:val="16"/>
          <w:szCs w:val="16"/>
        </w:rPr>
      </w:pPr>
    </w:p>
    <w:p w14:paraId="5AFFF641" w14:textId="77777777" w:rsidR="00914B52" w:rsidRPr="00DE096C" w:rsidRDefault="00914B52" w:rsidP="00D45A46">
      <w:pPr>
        <w:jc w:val="both"/>
        <w:rPr>
          <w:bCs/>
          <w:color w:val="002060"/>
          <w:sz w:val="16"/>
          <w:szCs w:val="16"/>
        </w:rPr>
      </w:pPr>
      <w:r w:rsidRPr="00DE096C">
        <w:rPr>
          <w:bCs/>
          <w:color w:val="002060"/>
          <w:sz w:val="16"/>
          <w:szCs w:val="16"/>
        </w:rPr>
        <w:t>17 (30) августа 1914 - Пилот многоцелевого моноплана «Таубе» - предположительно лейтенант Фердинанд фон Хингессен - сбросил пять бомб на Париж. Этот город стал первой столицей, которая подверглась авиаудару с самолёта. В результате бомбёжки одна женщина была убита, ещё двое человек ранены (22381).</w:t>
      </w:r>
    </w:p>
    <w:p w14:paraId="2896F5AE" w14:textId="77777777" w:rsidR="00914B52" w:rsidRPr="00DE096C" w:rsidRDefault="00914B52" w:rsidP="00D45A46">
      <w:pPr>
        <w:jc w:val="both"/>
        <w:rPr>
          <w:bCs/>
          <w:color w:val="002060"/>
          <w:sz w:val="16"/>
          <w:szCs w:val="16"/>
        </w:rPr>
      </w:pPr>
    </w:p>
    <w:p w14:paraId="1E9CF982" w14:textId="77777777" w:rsidR="006B2482" w:rsidRPr="00B52707" w:rsidRDefault="006B2482" w:rsidP="006B2482">
      <w:pPr>
        <w:jc w:val="both"/>
        <w:rPr>
          <w:color w:val="0070C0"/>
          <w:sz w:val="16"/>
          <w:szCs w:val="16"/>
        </w:rPr>
      </w:pPr>
      <w:r w:rsidRPr="00B52707">
        <w:rPr>
          <w:color w:val="0070C0"/>
          <w:sz w:val="16"/>
          <w:szCs w:val="16"/>
        </w:rPr>
        <w:t>17 (30) августа 1914 г. немцы совершили налет на Париж, сбросив три килограмма бомб и пачку листовок, объ</w:t>
      </w:r>
      <w:r w:rsidRPr="00B52707">
        <w:rPr>
          <w:color w:val="0070C0"/>
          <w:sz w:val="16"/>
          <w:szCs w:val="16"/>
        </w:rPr>
        <w:softHyphen/>
        <w:t>являвших парижанам, что немецкая армия стоит у во</w:t>
      </w:r>
      <w:r w:rsidRPr="00B52707">
        <w:rPr>
          <w:color w:val="0070C0"/>
          <w:sz w:val="16"/>
          <w:szCs w:val="16"/>
        </w:rPr>
        <w:softHyphen/>
        <w:t>рот французской столицы (24992).</w:t>
      </w:r>
    </w:p>
    <w:p w14:paraId="071CAC53" w14:textId="77777777" w:rsidR="006B2482" w:rsidRPr="00B52707" w:rsidRDefault="006B2482" w:rsidP="006B2482">
      <w:pPr>
        <w:jc w:val="both"/>
        <w:rPr>
          <w:color w:val="0070C0"/>
          <w:sz w:val="16"/>
          <w:szCs w:val="16"/>
        </w:rPr>
      </w:pPr>
    </w:p>
    <w:p w14:paraId="720B9330" w14:textId="77777777" w:rsidR="006B2482" w:rsidRPr="00B52707" w:rsidRDefault="006B2482" w:rsidP="006B2482">
      <w:pPr>
        <w:jc w:val="both"/>
        <w:rPr>
          <w:color w:val="0070C0"/>
          <w:sz w:val="16"/>
          <w:szCs w:val="16"/>
        </w:rPr>
      </w:pPr>
      <w:r w:rsidRPr="00B52707">
        <w:rPr>
          <w:color w:val="0070C0"/>
          <w:sz w:val="16"/>
          <w:szCs w:val="16"/>
        </w:rPr>
        <w:t>17 (30-го) августа 1914 лейтенант Фердинанд фон Хиддесен на одномоторном </w:t>
      </w:r>
      <w:hyperlink r:id="rId41" w:tgtFrame="_blank" w:history="1">
        <w:r w:rsidRPr="00B52707">
          <w:rPr>
            <w:rStyle w:val="af0"/>
            <w:color w:val="0070C0"/>
            <w:sz w:val="16"/>
            <w:szCs w:val="16"/>
          </w:rPr>
          <w:t>Румплер «Таубе»</w:t>
        </w:r>
      </w:hyperlink>
      <w:r w:rsidRPr="00B52707">
        <w:rPr>
          <w:color w:val="0070C0"/>
          <w:sz w:val="16"/>
          <w:szCs w:val="16"/>
        </w:rPr>
        <w:t> долетел до Парижа и четырьмя ручными гранатами убил женщину и ранил двоих штатских. Затем он снизился и с высоты 25 м сбросил вымпел в цветах немецкого флага с надписью «Германская армия у ворот Парижа. Любое сопротивление обречено на провал» (25758). </w:t>
      </w:r>
    </w:p>
    <w:p w14:paraId="411A8AA1" w14:textId="77777777" w:rsidR="006B2482" w:rsidRPr="00B52707" w:rsidRDefault="006B2482" w:rsidP="006B2482">
      <w:pPr>
        <w:jc w:val="both"/>
        <w:rPr>
          <w:color w:val="0070C0"/>
          <w:sz w:val="16"/>
          <w:szCs w:val="16"/>
        </w:rPr>
      </w:pPr>
    </w:p>
    <w:p w14:paraId="2A04020A" w14:textId="77777777" w:rsidR="00C539D8" w:rsidRPr="00DE096C" w:rsidRDefault="00C539D8" w:rsidP="00D45A46">
      <w:pPr>
        <w:jc w:val="both"/>
        <w:rPr>
          <w:bCs/>
          <w:i/>
          <w:color w:val="002060"/>
          <w:sz w:val="16"/>
          <w:szCs w:val="16"/>
        </w:rPr>
      </w:pPr>
      <w:r w:rsidRPr="00DE096C">
        <w:rPr>
          <w:bCs/>
          <w:i/>
          <w:color w:val="002060"/>
          <w:sz w:val="16"/>
          <w:szCs w:val="16"/>
        </w:rPr>
        <w:t>За рубежом:</w:t>
      </w:r>
    </w:p>
    <w:p w14:paraId="76CEFF03" w14:textId="77777777" w:rsidR="00C539D8" w:rsidRPr="00DE096C" w:rsidRDefault="00C539D8" w:rsidP="00D45A46">
      <w:pPr>
        <w:jc w:val="both"/>
        <w:rPr>
          <w:bCs/>
          <w:color w:val="002060"/>
          <w:sz w:val="16"/>
          <w:szCs w:val="16"/>
        </w:rPr>
      </w:pPr>
    </w:p>
    <w:p w14:paraId="7E1A1DEE" w14:textId="77777777" w:rsidR="00C539D8" w:rsidRPr="00DE096C" w:rsidRDefault="00C539D8" w:rsidP="00D45A46">
      <w:pPr>
        <w:jc w:val="both"/>
        <w:rPr>
          <w:bCs/>
          <w:color w:val="002060"/>
          <w:sz w:val="16"/>
          <w:szCs w:val="16"/>
        </w:rPr>
      </w:pPr>
      <w:r w:rsidRPr="00DE096C">
        <w:rPr>
          <w:bCs/>
          <w:color w:val="002060"/>
          <w:sz w:val="16"/>
          <w:szCs w:val="16"/>
        </w:rPr>
        <w:t>17 (30) августа в 1914 году германские войска захватили Амьен (14754)/</w:t>
      </w:r>
    </w:p>
    <w:p w14:paraId="4AFB3FCD" w14:textId="77777777" w:rsidR="00C539D8" w:rsidRPr="00DE096C" w:rsidRDefault="00C539D8" w:rsidP="00D45A46">
      <w:pPr>
        <w:jc w:val="both"/>
        <w:rPr>
          <w:bCs/>
          <w:color w:val="002060"/>
          <w:sz w:val="16"/>
          <w:szCs w:val="16"/>
        </w:rPr>
      </w:pPr>
    </w:p>
    <w:p w14:paraId="23CB7D8E"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509C8182" w14:textId="77777777" w:rsidR="00B67D7C" w:rsidRPr="00DE096C" w:rsidRDefault="00B67D7C" w:rsidP="00D45A46">
      <w:pPr>
        <w:shd w:val="clear" w:color="auto" w:fill="FFFFFF"/>
        <w:jc w:val="both"/>
        <w:rPr>
          <w:bCs/>
          <w:i/>
          <w:color w:val="002060"/>
          <w:sz w:val="16"/>
          <w:szCs w:val="16"/>
        </w:rPr>
      </w:pPr>
    </w:p>
    <w:p w14:paraId="1F2138A9" w14:textId="6C4F1C0A" w:rsidR="00B67D7C" w:rsidRPr="00DE096C" w:rsidRDefault="00B67D7C" w:rsidP="00D45A46">
      <w:pPr>
        <w:shd w:val="clear" w:color="auto" w:fill="FFFFFF"/>
        <w:jc w:val="both"/>
        <w:rPr>
          <w:bCs/>
          <w:color w:val="002060"/>
          <w:sz w:val="16"/>
          <w:szCs w:val="16"/>
        </w:rPr>
      </w:pPr>
      <w:r w:rsidRPr="00DE096C">
        <w:rPr>
          <w:bCs/>
          <w:color w:val="002060"/>
          <w:sz w:val="16"/>
          <w:szCs w:val="16"/>
        </w:rPr>
        <w:t>18 (31) августа 1914</w:t>
      </w:r>
      <w:r w:rsidR="0082673A" w:rsidRPr="00DE096C">
        <w:rPr>
          <w:bCs/>
          <w:color w:val="002060"/>
          <w:sz w:val="16"/>
          <w:szCs w:val="16"/>
        </w:rPr>
        <w:t xml:space="preserve"> самолет типа М-2 попал на Опытную станцию в Гребном порту Петрограда</w:t>
      </w:r>
      <w:r w:rsidRPr="00DE096C">
        <w:rPr>
          <w:bCs/>
          <w:color w:val="002060"/>
          <w:sz w:val="16"/>
          <w:szCs w:val="16"/>
        </w:rPr>
        <w:t>, так как ранее ангар для него не успели установить. Тридцать первого числа испытатель завода пилот П. В. Евсюков поднял машину в воздух, но этот ее полет закончился трагедией: лодка разбилась, а авиатор погиб. Сборку других М-2 приостановили до выяснения причин катастрофы, но проведенное расследование установило, что, по всей видимости, дело заключалось не в дефектах конструкции. Восьмо</w:t>
      </w:r>
      <w:r w:rsidRPr="00DE096C">
        <w:rPr>
          <w:bCs/>
          <w:color w:val="002060"/>
          <w:sz w:val="16"/>
          <w:szCs w:val="16"/>
        </w:rPr>
        <w:softHyphen/>
        <w:t>го октября четыре мотора «Гном-Моносупап» по 100 л. с. каждый отправили на завод (двигатель с потерянного аппарата — вероятно, «Гном» или «Рон» 80 л. с., передали на РБВЗ), что предвещало скорое окончание работ</w:t>
      </w:r>
      <w:r w:rsidRPr="00DE096C">
        <w:rPr>
          <w:bCs/>
          <w:color w:val="002060"/>
          <w:sz w:val="16"/>
          <w:szCs w:val="16"/>
          <w:vertAlign w:val="superscript"/>
        </w:rPr>
        <w:t>1</w:t>
      </w:r>
      <w:r w:rsidRPr="00DE096C">
        <w:rPr>
          <w:bCs/>
          <w:color w:val="002060"/>
          <w:sz w:val="16"/>
          <w:szCs w:val="16"/>
        </w:rPr>
        <w:t>, и 28 ноября новый аппарат прибыл на 3-ю морскук&gt;авиастанцию в Ревель. Через 12 дней туда же доставили еще один гидроплан из серии и в период до 22 декабря летчик ПРТВ Я. И. Седов-Серов и флотский авиатор лейтенант И. И. Кульнев опробовали их, установив необходи</w:t>
      </w:r>
      <w:r w:rsidRPr="00DE096C">
        <w:rPr>
          <w:bCs/>
          <w:color w:val="002060"/>
          <w:sz w:val="16"/>
          <w:szCs w:val="16"/>
        </w:rPr>
        <w:softHyphen/>
        <w:t>мость некоторых усовершенствований. В течение зимы механик и пилот компании завершили нужные переделки, после чего весной 1915г. сдаточные полеты возобновили, и, в частности, высоту 1 тыс. 300 м брали за 15 минут. Двадцать пятого апреля списки авиационной части Службы связи Балтийского моря пополнили, наконец, этими двумя самолетами, получившими номера Щ-2 и Щ-3 (2807).</w:t>
      </w:r>
    </w:p>
    <w:p w14:paraId="58877C77" w14:textId="77777777" w:rsidR="00B67D7C" w:rsidRPr="00DE096C" w:rsidRDefault="00B67D7C" w:rsidP="00D45A46">
      <w:pPr>
        <w:shd w:val="clear" w:color="auto" w:fill="FFFFFF"/>
        <w:jc w:val="both"/>
        <w:rPr>
          <w:bCs/>
          <w:color w:val="002060"/>
          <w:sz w:val="16"/>
          <w:szCs w:val="16"/>
        </w:rPr>
      </w:pPr>
    </w:p>
    <w:p w14:paraId="132F0FC7" w14:textId="165ADF37" w:rsidR="00B67D7C" w:rsidRPr="00DE096C" w:rsidRDefault="00B67D7C" w:rsidP="00D45A46">
      <w:pPr>
        <w:shd w:val="clear" w:color="auto" w:fill="FFFFFF"/>
        <w:jc w:val="both"/>
        <w:rPr>
          <w:bCs/>
          <w:color w:val="002060"/>
          <w:sz w:val="16"/>
          <w:szCs w:val="16"/>
        </w:rPr>
      </w:pPr>
      <w:r w:rsidRPr="00DE096C">
        <w:rPr>
          <w:bCs/>
          <w:color w:val="002060"/>
          <w:sz w:val="16"/>
          <w:szCs w:val="16"/>
        </w:rPr>
        <w:t>18 (31) августа 1914 г</w:t>
      </w:r>
      <w:r w:rsidR="005E1289" w:rsidRPr="00DE096C">
        <w:rPr>
          <w:bCs/>
          <w:color w:val="002060"/>
          <w:sz w:val="16"/>
          <w:szCs w:val="16"/>
        </w:rPr>
        <w:t>. М-2 поступила на Опытную станцию в Гребном порту С-Петербурга</w:t>
      </w:r>
      <w:r w:rsidRPr="00DE096C">
        <w:rPr>
          <w:bCs/>
          <w:color w:val="002060"/>
          <w:sz w:val="16"/>
          <w:szCs w:val="16"/>
        </w:rPr>
        <w:t>, а через тринадцать дней, пилотируемая лётчиком-испы</w:t>
      </w:r>
      <w:r w:rsidRPr="00DE096C">
        <w:rPr>
          <w:bCs/>
          <w:color w:val="002060"/>
          <w:sz w:val="16"/>
          <w:szCs w:val="16"/>
        </w:rPr>
        <w:softHyphen/>
        <w:t>тателем П.В.Евсюковым потерпела катастрофу. Расследование не вы</w:t>
      </w:r>
      <w:r w:rsidRPr="00DE096C">
        <w:rPr>
          <w:bCs/>
          <w:color w:val="002060"/>
          <w:sz w:val="16"/>
          <w:szCs w:val="16"/>
        </w:rPr>
        <w:softHyphen/>
        <w:t>явило причину катастрофы и после внесения некоторых изменений в конце ноября новую лодку напра</w:t>
      </w:r>
      <w:r w:rsidRPr="00DE096C">
        <w:rPr>
          <w:bCs/>
          <w:color w:val="002060"/>
          <w:sz w:val="16"/>
          <w:szCs w:val="16"/>
        </w:rPr>
        <w:softHyphen/>
        <w:t>вили на 3-ю морскую станцию в Ревель, а затем доставили и вто</w:t>
      </w:r>
      <w:r w:rsidRPr="00DE096C">
        <w:rPr>
          <w:bCs/>
          <w:color w:val="002060"/>
          <w:sz w:val="16"/>
          <w:szCs w:val="16"/>
        </w:rPr>
        <w:softHyphen/>
        <w:t>рую лодку 24 апреля 1915 г. Два самолёта, облётанные лётчиком-</w:t>
      </w:r>
    </w:p>
    <w:p w14:paraId="0F7D0E0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испытателем ПРТВ Я.И.Седовым-Серовым и лейтенантом И.И.Куль</w:t>
      </w:r>
      <w:r w:rsidRPr="00DE096C">
        <w:rPr>
          <w:bCs/>
          <w:color w:val="002060"/>
          <w:sz w:val="16"/>
          <w:szCs w:val="16"/>
        </w:rPr>
        <w:softHyphen/>
        <w:t>невым включили в состав авиаци</w:t>
      </w:r>
      <w:r w:rsidRPr="00DE096C">
        <w:rPr>
          <w:bCs/>
          <w:color w:val="002060"/>
          <w:sz w:val="16"/>
          <w:szCs w:val="16"/>
        </w:rPr>
        <w:softHyphen/>
        <w:t>онной части службы связи Балтийс</w:t>
      </w:r>
      <w:r w:rsidRPr="00DE096C">
        <w:rPr>
          <w:bCs/>
          <w:color w:val="002060"/>
          <w:sz w:val="16"/>
          <w:szCs w:val="16"/>
        </w:rPr>
        <w:softHyphen/>
        <w:t>кого флота, присвоив им номера Щ-2 и Щ-3.</w:t>
      </w:r>
    </w:p>
    <w:p w14:paraId="4B90CA8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По просьбе черноморцев и пос</w:t>
      </w:r>
      <w:r w:rsidRPr="00DE096C">
        <w:rPr>
          <w:bCs/>
          <w:color w:val="002060"/>
          <w:sz w:val="16"/>
          <w:szCs w:val="16"/>
        </w:rPr>
        <w:softHyphen/>
        <w:t>ле переговоров с шефом русской авиации великим князем Александ</w:t>
      </w:r>
      <w:r w:rsidRPr="00DE096C">
        <w:rPr>
          <w:bCs/>
          <w:color w:val="002060"/>
          <w:sz w:val="16"/>
          <w:szCs w:val="16"/>
        </w:rPr>
        <w:softHyphen/>
        <w:t>ром Михайловичем, две оставшие</w:t>
      </w:r>
      <w:r w:rsidRPr="00DE096C">
        <w:rPr>
          <w:bCs/>
          <w:color w:val="002060"/>
          <w:sz w:val="16"/>
          <w:szCs w:val="16"/>
        </w:rPr>
        <w:softHyphen/>
        <w:t>ся от контракта лодки направили 10 марта 1915 г. на Чёрное море. По завершении испытаний им при</w:t>
      </w:r>
      <w:r w:rsidRPr="00DE096C">
        <w:rPr>
          <w:bCs/>
          <w:color w:val="002060"/>
          <w:sz w:val="16"/>
          <w:szCs w:val="16"/>
        </w:rPr>
        <w:softHyphen/>
        <w:t>своили бортовые номера 29 и 30. Первая из них, базируясь на авиатранспорте «Император Нико</w:t>
      </w:r>
      <w:r w:rsidRPr="00DE096C">
        <w:rPr>
          <w:bCs/>
          <w:color w:val="002060"/>
          <w:sz w:val="16"/>
          <w:szCs w:val="16"/>
        </w:rPr>
        <w:softHyphen/>
        <w:t xml:space="preserve">лай </w:t>
      </w:r>
      <w:r w:rsidRPr="00DE096C">
        <w:rPr>
          <w:bCs/>
          <w:color w:val="002060"/>
          <w:sz w:val="16"/>
          <w:szCs w:val="16"/>
          <w:lang w:val="en-US"/>
        </w:rPr>
        <w:t>I</w:t>
      </w:r>
      <w:r w:rsidRPr="00DE096C">
        <w:rPr>
          <w:bCs/>
          <w:color w:val="002060"/>
          <w:sz w:val="16"/>
          <w:szCs w:val="16"/>
        </w:rPr>
        <w:t>» с экипажем: подпоручиком по адмиралтейству А.Е. Жуковым и прапорщиком артиллерии С.Н.Кор</w:t>
      </w:r>
      <w:r w:rsidRPr="00DE096C">
        <w:rPr>
          <w:bCs/>
          <w:color w:val="002060"/>
          <w:sz w:val="16"/>
          <w:szCs w:val="16"/>
        </w:rPr>
        <w:softHyphen/>
        <w:t>саковым, участвовала в рейде к Босфору 12 апреля 1915 г., и пред</w:t>
      </w:r>
      <w:r w:rsidRPr="00DE096C">
        <w:rPr>
          <w:bCs/>
          <w:color w:val="002060"/>
          <w:sz w:val="16"/>
          <w:szCs w:val="16"/>
        </w:rPr>
        <w:softHyphen/>
        <w:t>приняла атаку бомбами турецкой канонерской лодки класса «Бурак Рейс».</w:t>
      </w:r>
    </w:p>
    <w:p w14:paraId="0CB5C98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Журнале заседаний авиаци</w:t>
      </w:r>
      <w:r w:rsidRPr="00DE096C">
        <w:rPr>
          <w:bCs/>
          <w:color w:val="002060"/>
          <w:sz w:val="16"/>
          <w:szCs w:val="16"/>
        </w:rPr>
        <w:softHyphen/>
        <w:t>онного комитета Службы связи Чёр</w:t>
      </w:r>
      <w:r w:rsidRPr="00DE096C">
        <w:rPr>
          <w:bCs/>
          <w:color w:val="002060"/>
          <w:sz w:val="16"/>
          <w:szCs w:val="16"/>
        </w:rPr>
        <w:softHyphen/>
        <w:t>ного моря за 24 апреля 1915 г. при</w:t>
      </w:r>
      <w:r w:rsidRPr="00DE096C">
        <w:rPr>
          <w:bCs/>
          <w:color w:val="002060"/>
          <w:sz w:val="16"/>
          <w:szCs w:val="16"/>
        </w:rPr>
        <w:softHyphen/>
        <w:t>водятся некоторые данные по ре</w:t>
      </w:r>
      <w:r w:rsidRPr="00DE096C">
        <w:rPr>
          <w:bCs/>
          <w:color w:val="002060"/>
          <w:sz w:val="16"/>
          <w:szCs w:val="16"/>
        </w:rPr>
        <w:softHyphen/>
        <w:t>зультатам испытаний летающей лод</w:t>
      </w:r>
      <w:r w:rsidRPr="00DE096C">
        <w:rPr>
          <w:bCs/>
          <w:color w:val="002060"/>
          <w:sz w:val="16"/>
          <w:szCs w:val="16"/>
        </w:rPr>
        <w:softHyphen/>
        <w:t>ки М-2: «Испытание лодки завода Щетинимо в открытом море 12 ап</w:t>
      </w:r>
      <w:r w:rsidRPr="00DE096C">
        <w:rPr>
          <w:bCs/>
          <w:color w:val="002060"/>
          <w:sz w:val="16"/>
          <w:szCs w:val="16"/>
        </w:rPr>
        <w:softHyphen/>
        <w:t>реля но волне дали следующие ре</w:t>
      </w:r>
      <w:r w:rsidRPr="00DE096C">
        <w:rPr>
          <w:bCs/>
          <w:color w:val="002060"/>
          <w:sz w:val="16"/>
          <w:szCs w:val="16"/>
        </w:rPr>
        <w:softHyphen/>
        <w:t>зультаты: на разбеге её не залива</w:t>
      </w:r>
      <w:r w:rsidRPr="00DE096C">
        <w:rPr>
          <w:bCs/>
          <w:color w:val="002060"/>
          <w:sz w:val="16"/>
          <w:szCs w:val="16"/>
        </w:rPr>
        <w:softHyphen/>
        <w:t>ло, лодка с полной нагрузкой быс</w:t>
      </w:r>
      <w:r w:rsidRPr="00DE096C">
        <w:rPr>
          <w:bCs/>
          <w:color w:val="002060"/>
          <w:sz w:val="16"/>
          <w:szCs w:val="16"/>
        </w:rPr>
        <w:softHyphen/>
        <w:t>тро оторвалась, хорошо взяла вы</w:t>
      </w:r>
      <w:r w:rsidRPr="00DE096C">
        <w:rPr>
          <w:bCs/>
          <w:color w:val="002060"/>
          <w:sz w:val="16"/>
          <w:szCs w:val="16"/>
        </w:rPr>
        <w:softHyphen/>
        <w:t>соту. По осмотре лодки воды в ней не оказалось и лётчиков нисколько не заливало, хотя пришлось прыгать с волны на волну. Считая это испы</w:t>
      </w:r>
      <w:r w:rsidRPr="00DE096C">
        <w:rPr>
          <w:bCs/>
          <w:color w:val="002060"/>
          <w:sz w:val="16"/>
          <w:szCs w:val="16"/>
        </w:rPr>
        <w:softHyphen/>
        <w:t>тание тяжелым и выполненным от</w:t>
      </w:r>
      <w:r w:rsidRPr="00DE096C">
        <w:rPr>
          <w:bCs/>
          <w:color w:val="002060"/>
          <w:sz w:val="16"/>
          <w:szCs w:val="16"/>
        </w:rPr>
        <w:softHyphen/>
        <w:t>лично, авиационный комитет при</w:t>
      </w:r>
      <w:r w:rsidRPr="00DE096C">
        <w:rPr>
          <w:bCs/>
          <w:color w:val="002060"/>
          <w:sz w:val="16"/>
          <w:szCs w:val="16"/>
        </w:rPr>
        <w:softHyphen/>
        <w:t>знаёт лодку Щетинина гораздо луч</w:t>
      </w:r>
      <w:r w:rsidRPr="00DE096C">
        <w:rPr>
          <w:bCs/>
          <w:color w:val="002060"/>
          <w:sz w:val="16"/>
          <w:szCs w:val="16"/>
        </w:rPr>
        <w:softHyphen/>
        <w:t>ше, нежели лодку ФБА. К недостат</w:t>
      </w:r>
      <w:r w:rsidRPr="00DE096C">
        <w:rPr>
          <w:bCs/>
          <w:color w:val="002060"/>
          <w:sz w:val="16"/>
          <w:szCs w:val="16"/>
        </w:rPr>
        <w:softHyphen/>
        <w:t xml:space="preserve">кам этой </w:t>
      </w:r>
      <w:r w:rsidRPr="00DE096C">
        <w:rPr>
          <w:bCs/>
          <w:color w:val="002060"/>
          <w:sz w:val="16"/>
          <w:szCs w:val="16"/>
        </w:rPr>
        <w:lastRenderedPageBreak/>
        <w:t>лодки относится скверный способ обшивки, так как на другой лодке при хорошей посадке отста</w:t>
      </w:r>
      <w:r w:rsidRPr="00DE096C">
        <w:rPr>
          <w:bCs/>
          <w:color w:val="002060"/>
          <w:sz w:val="16"/>
          <w:szCs w:val="16"/>
        </w:rPr>
        <w:softHyphen/>
        <w:t>ли листы фанеры». Но жизненный цикл этого варианта лодок оказал</w:t>
      </w:r>
      <w:r w:rsidRPr="00DE096C">
        <w:rPr>
          <w:bCs/>
          <w:color w:val="002060"/>
          <w:sz w:val="16"/>
          <w:szCs w:val="16"/>
        </w:rPr>
        <w:softHyphen/>
        <w:t>ся коротким: лодку №30 списали в октябре; но Балтике Щ-2 и Щ-3 ис</w:t>
      </w:r>
      <w:r w:rsidRPr="00DE096C">
        <w:rPr>
          <w:bCs/>
          <w:color w:val="002060"/>
          <w:sz w:val="16"/>
          <w:szCs w:val="16"/>
        </w:rPr>
        <w:softHyphen/>
        <w:t>пользовались до зимы 1915-1916 гг. после чего с них сняли двигатели (11759).</w:t>
      </w:r>
    </w:p>
    <w:p w14:paraId="34FFF909" w14:textId="77777777" w:rsidR="00B67D7C" w:rsidRPr="00DE096C" w:rsidRDefault="00B67D7C" w:rsidP="00D45A46">
      <w:pPr>
        <w:shd w:val="clear" w:color="auto" w:fill="FFFFFF"/>
        <w:jc w:val="both"/>
        <w:rPr>
          <w:bCs/>
          <w:color w:val="002060"/>
          <w:sz w:val="16"/>
          <w:szCs w:val="16"/>
        </w:rPr>
      </w:pPr>
    </w:p>
    <w:p w14:paraId="56784B34" w14:textId="5283065D" w:rsidR="005C182A" w:rsidRPr="00DE096C" w:rsidRDefault="005C182A" w:rsidP="00D45A46">
      <w:pPr>
        <w:shd w:val="clear" w:color="auto" w:fill="FFFFFF"/>
        <w:jc w:val="both"/>
        <w:rPr>
          <w:bCs/>
          <w:i/>
          <w:color w:val="002060"/>
          <w:sz w:val="16"/>
          <w:szCs w:val="16"/>
        </w:rPr>
      </w:pPr>
      <w:r w:rsidRPr="00DE096C">
        <w:rPr>
          <w:bCs/>
          <w:i/>
          <w:color w:val="002060"/>
          <w:sz w:val="16"/>
          <w:szCs w:val="16"/>
        </w:rPr>
        <w:t>Армия:</w:t>
      </w:r>
    </w:p>
    <w:p w14:paraId="2E954348" w14:textId="77777777" w:rsidR="005C182A" w:rsidRPr="00DE096C" w:rsidRDefault="005C182A" w:rsidP="00D45A46">
      <w:pPr>
        <w:shd w:val="clear" w:color="auto" w:fill="FFFFFF"/>
        <w:jc w:val="both"/>
        <w:rPr>
          <w:bCs/>
          <w:i/>
          <w:color w:val="002060"/>
          <w:sz w:val="16"/>
          <w:szCs w:val="16"/>
        </w:rPr>
      </w:pPr>
    </w:p>
    <w:p w14:paraId="2F42FB12" w14:textId="063EF54D" w:rsidR="005C182A" w:rsidRPr="00DE096C" w:rsidRDefault="005C182A" w:rsidP="00D45A46">
      <w:pPr>
        <w:jc w:val="both"/>
        <w:rPr>
          <w:bCs/>
          <w:color w:val="002060"/>
          <w:sz w:val="16"/>
          <w:szCs w:val="16"/>
          <w:lang w:bidi="en-US"/>
        </w:rPr>
      </w:pPr>
      <w:r w:rsidRPr="00DE096C">
        <w:rPr>
          <w:bCs/>
          <w:color w:val="002060"/>
          <w:sz w:val="16"/>
          <w:szCs w:val="16"/>
          <w:lang w:bidi="en-US"/>
        </w:rPr>
        <w:t>18 (31) августа 1914 г. на Юго-Западном фронте 3-я армия русских в составе 9-й и 11-й КАО и 8-я армия в составе 7-й, 8-й и 12-й КАО двинулись в направлении Львова, сдавшегося им 2-3 сентября (23525).</w:t>
      </w:r>
    </w:p>
    <w:p w14:paraId="37A6BA2E" w14:textId="77777777" w:rsidR="005C182A" w:rsidRPr="00DE096C" w:rsidRDefault="005C182A" w:rsidP="00D45A46">
      <w:pPr>
        <w:jc w:val="both"/>
        <w:rPr>
          <w:bCs/>
          <w:color w:val="002060"/>
          <w:sz w:val="16"/>
          <w:szCs w:val="16"/>
        </w:rPr>
      </w:pPr>
    </w:p>
    <w:p w14:paraId="6B63E3A8" w14:textId="77777777" w:rsidR="005C182A" w:rsidRPr="00DE096C" w:rsidRDefault="005C182A" w:rsidP="00D45A46">
      <w:pPr>
        <w:jc w:val="both"/>
        <w:rPr>
          <w:bCs/>
          <w:color w:val="002060"/>
          <w:sz w:val="16"/>
          <w:szCs w:val="16"/>
        </w:rPr>
      </w:pPr>
      <w:r w:rsidRPr="00DE096C">
        <w:rPr>
          <w:bCs/>
          <w:color w:val="002060"/>
          <w:sz w:val="16"/>
          <w:szCs w:val="16"/>
        </w:rPr>
        <w:t>18 (31) августа в 1914 году началась Галицийская битва, крупнейшее сражение Первой мировой войны между русскими и австрийскими войсками в Галиции и Польше. Велась на фронте в 400 км. С обеих сторон участвовало около 2 млн. человек. В ходе битвы, завершившейся 21 сентября, австро-венгерские войска потеряли 400 тысяч человек, русские — 230 тысяч. Русские войска, освободив Галицию и австрийскую часть Польши, создали угрозу вторжения в Венгрию и Силезию, чем вынудили германское командование перебросить часть войск с Западного на Восточный театр военных действий (14987).</w:t>
      </w:r>
    </w:p>
    <w:p w14:paraId="7221A175" w14:textId="77777777" w:rsidR="005C182A" w:rsidRPr="00DE096C" w:rsidRDefault="005C182A" w:rsidP="00D45A46">
      <w:pPr>
        <w:jc w:val="both"/>
        <w:rPr>
          <w:bCs/>
          <w:color w:val="002060"/>
          <w:sz w:val="16"/>
          <w:szCs w:val="16"/>
        </w:rPr>
      </w:pPr>
    </w:p>
    <w:p w14:paraId="5B019753" w14:textId="5FE9FCD4"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w:t>
      </w:r>
    </w:p>
    <w:p w14:paraId="671728D0" w14:textId="77777777" w:rsidR="00B67D7C" w:rsidRPr="00DE096C" w:rsidRDefault="00B67D7C" w:rsidP="00D45A46">
      <w:pPr>
        <w:shd w:val="clear" w:color="auto" w:fill="FFFFFF"/>
        <w:jc w:val="both"/>
        <w:rPr>
          <w:bCs/>
          <w:i/>
          <w:color w:val="002060"/>
          <w:sz w:val="16"/>
          <w:szCs w:val="16"/>
        </w:rPr>
      </w:pPr>
    </w:p>
    <w:p w14:paraId="7E858F59" w14:textId="77777777" w:rsidR="00B67D7C" w:rsidRPr="00DE096C" w:rsidRDefault="00B67D7C" w:rsidP="00D45A46">
      <w:pPr>
        <w:jc w:val="both"/>
        <w:rPr>
          <w:rStyle w:val="1"/>
          <w:b w:val="0"/>
          <w:bCs/>
          <w:color w:val="002060"/>
          <w:sz w:val="16"/>
          <w:szCs w:val="16"/>
        </w:rPr>
      </w:pPr>
      <w:r w:rsidRPr="00DE096C">
        <w:rPr>
          <w:rStyle w:val="1"/>
          <w:b w:val="0"/>
          <w:bCs/>
          <w:color w:val="002060"/>
          <w:sz w:val="16"/>
          <w:szCs w:val="16"/>
        </w:rPr>
        <w:t xml:space="preserve">18 (31) августа1914 г. АО переформировывается в (ВАШ). В приказе № 2 по ВАШ говорилось о формировании команд аэропланов “Илья Муромец” с первого по четвертый номер, о назначении командиров этих аэропланов, об обучении полетам на них при ВАШ. Заботясь о расширении имеющегося аэродрома в Гатчине и помещений для личного состава ВАШ, Ульянин нашел новое место для аэродрома недалеко от Петрограда. Теперь там аэродром авиапредприятия “Пулково”. После утверждения постоянного штата ВАШ 7 марта 1916 г. Ульянин служил на должности “Генерал-майор“. По положению он являлся членом Технических комитетов Главного Военно-технического Управления и УВВФ, членом Учебного комитета ВАШ. </w:t>
      </w:r>
    </w:p>
    <w:p w14:paraId="64D936BA" w14:textId="77777777" w:rsidR="00B67D7C" w:rsidRPr="00DE096C" w:rsidRDefault="00B67D7C" w:rsidP="00D45A46">
      <w:pPr>
        <w:jc w:val="both"/>
        <w:rPr>
          <w:rStyle w:val="1"/>
          <w:b w:val="0"/>
          <w:bCs/>
          <w:color w:val="002060"/>
          <w:sz w:val="16"/>
          <w:szCs w:val="16"/>
        </w:rPr>
      </w:pPr>
      <w:r w:rsidRPr="00DE096C">
        <w:rPr>
          <w:rStyle w:val="1"/>
          <w:b w:val="0"/>
          <w:bCs/>
          <w:color w:val="002060"/>
          <w:sz w:val="16"/>
          <w:szCs w:val="16"/>
        </w:rPr>
        <w:t>Первого начальника АО и первого начальника ВАШ назначили первым председателем Заграничной комиссии по закупке авиационного и воздухоплавательного имущества в Англии, Италии и Франции с центром в Париже. В представлении Великий Князь Александр Михайлович писал: “Начальник ВАШ, военный инженер, военный летчик, полковник Ульянин, вся предыдущая служба и выдающаяся деятельность которого по авиации и воздухоплаванию дают полные основания для столь серьезного и ответственного во всех отношениях назначения” (11221).</w:t>
      </w:r>
    </w:p>
    <w:p w14:paraId="7C155EE6" w14:textId="77777777" w:rsidR="00B67D7C" w:rsidRPr="00DE096C" w:rsidRDefault="00B67D7C" w:rsidP="00D45A46">
      <w:pPr>
        <w:jc w:val="both"/>
        <w:rPr>
          <w:rStyle w:val="1"/>
          <w:b w:val="0"/>
          <w:bCs/>
          <w:color w:val="002060"/>
          <w:sz w:val="16"/>
          <w:szCs w:val="16"/>
        </w:rPr>
      </w:pPr>
    </w:p>
    <w:p w14:paraId="5AE69BE2" w14:textId="77777777" w:rsidR="00B67D7C" w:rsidRPr="00DE096C" w:rsidRDefault="00B67D7C" w:rsidP="00D45A46">
      <w:pPr>
        <w:shd w:val="clear" w:color="auto" w:fill="FFFFFF"/>
        <w:jc w:val="both"/>
        <w:rPr>
          <w:bCs/>
          <w:i/>
          <w:color w:val="002060"/>
          <w:sz w:val="16"/>
          <w:szCs w:val="16"/>
        </w:rPr>
      </w:pPr>
      <w:r w:rsidRPr="00DE096C">
        <w:rPr>
          <w:bCs/>
          <w:color w:val="002060"/>
          <w:sz w:val="16"/>
          <w:szCs w:val="16"/>
        </w:rPr>
        <w:t xml:space="preserve">18 (31) августа 1914 Авиационный отдел Офицерской Воздухоплавателъ-ой школы реорганизован в Военную Авиационную школу. Началыником школы назначен полковник С.А.Ульянин, заведующими практическими занятиями - штабс-капитаны Г.Г.Горшков и Д.А.Борейко, инструкторами - штабс-капитаны Л.А.Дацкевич, Н.Н.Данилевский, Е.В.Руднев, С.М.Бродович, поручики С.К.Модрах, А.В.Панкратьев, А.А.Кованько, механиками - Воловский и П.С.Брылин. Полеты производились на Гатчинском и Корпусном аэродромах, а с 1915 шода и на Средней Рогатке под Петроградом (Приказ по школе № I от 18 августа 1914 г.; ЦГВИА. ф.298, </w:t>
      </w:r>
      <w:r w:rsidRPr="00DE096C">
        <w:rPr>
          <w:bCs/>
          <w:i/>
          <w:color w:val="002060"/>
          <w:sz w:val="16"/>
          <w:szCs w:val="16"/>
        </w:rPr>
        <w:t>оп.1, д.96).</w:t>
      </w:r>
    </w:p>
    <w:p w14:paraId="5BF71088" w14:textId="77777777" w:rsidR="00B67D7C" w:rsidRPr="00DE096C" w:rsidRDefault="00B67D7C" w:rsidP="00D45A46">
      <w:pPr>
        <w:shd w:val="clear" w:color="auto" w:fill="FFFFFF"/>
        <w:jc w:val="both"/>
        <w:rPr>
          <w:bCs/>
          <w:color w:val="002060"/>
          <w:sz w:val="16"/>
          <w:szCs w:val="16"/>
        </w:rPr>
      </w:pPr>
    </w:p>
    <w:p w14:paraId="419E5480" w14:textId="77777777" w:rsidR="005C204F" w:rsidRPr="00DE096C" w:rsidRDefault="005C204F" w:rsidP="00D45A46">
      <w:pPr>
        <w:jc w:val="both"/>
        <w:rPr>
          <w:bCs/>
          <w:color w:val="002060"/>
          <w:sz w:val="16"/>
          <w:szCs w:val="16"/>
        </w:rPr>
      </w:pPr>
      <w:r w:rsidRPr="00DE096C">
        <w:rPr>
          <w:bCs/>
          <w:color w:val="002060"/>
          <w:sz w:val="16"/>
          <w:szCs w:val="16"/>
        </w:rPr>
        <w:t>18 (31) августа 1914 г. Авиационный отдел Офицерской Воздухоплавательной школы реорганизован в Военную Авиационную школу. Начальником шко</w:t>
      </w:r>
      <w:r w:rsidRPr="00DE096C">
        <w:rPr>
          <w:bCs/>
          <w:color w:val="002060"/>
          <w:sz w:val="16"/>
          <w:szCs w:val="16"/>
        </w:rPr>
        <w:softHyphen/>
        <w:t>лы назначен полковник С.А.Ульянин, заведующими практическими занятиями - шт.-капитаны Г.Г.Горшков и Д. А. Борейко, инструкторами - капитаны Л. А.Дацкевич, н. Н.Н.Данилевский, Е. В. Руднев, С. И. Бродович, поручики С.К.Модрах, А.В.Панкратьев и А.А.Кованько, механика</w:t>
      </w:r>
      <w:r w:rsidRPr="00DE096C">
        <w:rPr>
          <w:bCs/>
          <w:color w:val="002060"/>
          <w:sz w:val="16"/>
          <w:szCs w:val="16"/>
        </w:rPr>
        <w:softHyphen/>
        <w:t>ми - Воловокий и П. С. Брылин. Полеты производились на гатчинском и Корпусном аэродромах, а с 1915 года и на Средней рогатке в Пет</w:t>
      </w:r>
      <w:r w:rsidRPr="00DE096C">
        <w:rPr>
          <w:bCs/>
          <w:color w:val="002060"/>
          <w:sz w:val="16"/>
          <w:szCs w:val="16"/>
        </w:rPr>
        <w:softHyphen/>
        <w:t>рограде.</w:t>
      </w:r>
    </w:p>
    <w:p w14:paraId="721C9B9F" w14:textId="77777777" w:rsidR="005C204F" w:rsidRPr="00DE096C" w:rsidRDefault="005C204F" w:rsidP="00D45A46">
      <w:pPr>
        <w:jc w:val="both"/>
        <w:rPr>
          <w:bCs/>
          <w:color w:val="002060"/>
          <w:sz w:val="16"/>
          <w:szCs w:val="16"/>
        </w:rPr>
      </w:pPr>
      <w:r w:rsidRPr="00DE096C">
        <w:rPr>
          <w:bCs/>
          <w:color w:val="002060"/>
          <w:sz w:val="16"/>
          <w:szCs w:val="16"/>
        </w:rPr>
        <w:t>/Приказ по школе № 1 от 18 авг. 1914; ЦГВИА, ф. 298, оп. 1, д. 96/ (23320).</w:t>
      </w:r>
    </w:p>
    <w:p w14:paraId="4E8B1CE5" w14:textId="77777777" w:rsidR="005C204F" w:rsidRPr="00DE096C" w:rsidRDefault="005C204F" w:rsidP="00D45A46">
      <w:pPr>
        <w:jc w:val="both"/>
        <w:rPr>
          <w:bCs/>
          <w:color w:val="002060"/>
          <w:sz w:val="16"/>
          <w:szCs w:val="16"/>
        </w:rPr>
      </w:pPr>
    </w:p>
    <w:p w14:paraId="72B90DDD" w14:textId="77777777" w:rsidR="005E1289" w:rsidRPr="00DE096C" w:rsidRDefault="005E1289" w:rsidP="00D45A46">
      <w:pPr>
        <w:shd w:val="clear" w:color="auto" w:fill="FFFFFF"/>
        <w:jc w:val="both"/>
        <w:rPr>
          <w:bCs/>
          <w:color w:val="002060"/>
          <w:sz w:val="16"/>
          <w:szCs w:val="16"/>
        </w:rPr>
      </w:pPr>
      <w:r w:rsidRPr="00DE096C">
        <w:rPr>
          <w:bCs/>
          <w:color w:val="002060"/>
          <w:sz w:val="16"/>
          <w:szCs w:val="16"/>
        </w:rPr>
        <w:t>18 (31) августа 1914 г. Авиационный отдел ОВШ пере</w:t>
      </w:r>
      <w:r w:rsidRPr="00DE096C">
        <w:rPr>
          <w:bCs/>
          <w:color w:val="002060"/>
          <w:sz w:val="16"/>
          <w:szCs w:val="16"/>
        </w:rPr>
        <w:softHyphen/>
        <w:t>формирован в Военную авиационную школу, располагавшуюся на аэродроме в Гатчине и на Корпусном аэродроме в С.-Петер</w:t>
      </w:r>
      <w:r w:rsidRPr="00DE096C">
        <w:rPr>
          <w:bCs/>
          <w:color w:val="002060"/>
          <w:sz w:val="16"/>
          <w:szCs w:val="16"/>
        </w:rPr>
        <w:softHyphen/>
        <w:t>бурге (1137).</w:t>
      </w:r>
    </w:p>
    <w:p w14:paraId="4055D83D" w14:textId="77777777" w:rsidR="005E1289" w:rsidRPr="00DE096C" w:rsidRDefault="005E1289" w:rsidP="00D45A46">
      <w:pPr>
        <w:shd w:val="clear" w:color="auto" w:fill="FFFFFF"/>
        <w:jc w:val="both"/>
        <w:rPr>
          <w:bCs/>
          <w:color w:val="002060"/>
          <w:sz w:val="16"/>
          <w:szCs w:val="16"/>
        </w:rPr>
      </w:pPr>
    </w:p>
    <w:p w14:paraId="30420CAC" w14:textId="6133B06A" w:rsidR="00B67D7C" w:rsidRPr="00DE096C" w:rsidRDefault="00B67D7C" w:rsidP="00D45A46">
      <w:pPr>
        <w:jc w:val="both"/>
        <w:rPr>
          <w:bCs/>
          <w:color w:val="002060"/>
          <w:sz w:val="16"/>
          <w:szCs w:val="16"/>
        </w:rPr>
      </w:pPr>
      <w:r w:rsidRPr="00DE096C">
        <w:rPr>
          <w:bCs/>
          <w:color w:val="002060"/>
          <w:sz w:val="16"/>
          <w:szCs w:val="16"/>
        </w:rPr>
        <w:t xml:space="preserve">18 (31) августа в 11 час. утра над городом </w:t>
      </w:r>
      <w:r w:rsidR="005E1289" w:rsidRPr="00DE096C">
        <w:rPr>
          <w:bCs/>
          <w:color w:val="002060"/>
          <w:sz w:val="16"/>
          <w:szCs w:val="16"/>
        </w:rPr>
        <w:t xml:space="preserve">Остров </w:t>
      </w:r>
      <w:r w:rsidRPr="00DE096C">
        <w:rPr>
          <w:bCs/>
          <w:color w:val="002060"/>
          <w:sz w:val="16"/>
          <w:szCs w:val="16"/>
        </w:rPr>
        <w:t>появился неприятельский аэроплан, который, кружась высоко в воздухе, сбрасывал бомбы. Одна из брошенных бомб упала на середину реки, около парома, не причинив никому вреда. Вторая бомба упала на Рижской улице, около дома Иогансона. С дома сорвало обшивку на протяжении одной сажени, сорвало рамы, разрушило фундамент. Осколком бомбы легко ранило 15-летнего мальчика. В соседних четырех домах от взрыва бомбы выбиты стекла. Две бомбы упали в им. Захваево Жеребцовской волости, близ ст. Остров. Никаких повреждений строениям не причинено.</w:t>
      </w:r>
    </w:p>
    <w:p w14:paraId="70ECDF19" w14:textId="77777777" w:rsidR="00B67D7C" w:rsidRPr="00DE096C" w:rsidRDefault="00B67D7C" w:rsidP="00D45A46">
      <w:pPr>
        <w:jc w:val="both"/>
        <w:rPr>
          <w:bCs/>
          <w:color w:val="002060"/>
          <w:sz w:val="16"/>
          <w:szCs w:val="16"/>
        </w:rPr>
      </w:pPr>
      <w:r w:rsidRPr="00DE096C">
        <w:rPr>
          <w:bCs/>
          <w:color w:val="002060"/>
          <w:sz w:val="16"/>
          <w:szCs w:val="16"/>
        </w:rPr>
        <w:t xml:space="preserve">Красный набат. 1919. 26 августа. </w:t>
      </w:r>
    </w:p>
    <w:p w14:paraId="4A37C043" w14:textId="7F1A5FEF" w:rsidR="00B67D7C" w:rsidRPr="00DE096C" w:rsidRDefault="00B67D7C" w:rsidP="00D45A46">
      <w:pPr>
        <w:shd w:val="clear" w:color="auto" w:fill="FFFFFF"/>
        <w:jc w:val="both"/>
        <w:rPr>
          <w:bCs/>
          <w:i/>
          <w:color w:val="002060"/>
          <w:sz w:val="16"/>
          <w:szCs w:val="16"/>
        </w:rPr>
      </w:pPr>
    </w:p>
    <w:p w14:paraId="3068901B" w14:textId="77777777" w:rsidR="005C182A" w:rsidRPr="00DE096C" w:rsidRDefault="005C182A" w:rsidP="00D45A46">
      <w:pPr>
        <w:jc w:val="both"/>
        <w:rPr>
          <w:bCs/>
          <w:color w:val="002060"/>
          <w:sz w:val="16"/>
          <w:szCs w:val="16"/>
        </w:rPr>
      </w:pPr>
      <w:r w:rsidRPr="00DE096C">
        <w:rPr>
          <w:bCs/>
          <w:color w:val="002060"/>
          <w:sz w:val="16"/>
          <w:szCs w:val="16"/>
          <w:lang w:bidi="en-US"/>
        </w:rPr>
        <w:t xml:space="preserve">18 августа 1914 г. Ставка ВГК поручила Полковнику С. А. Ульянину, командиру Военной авиационной школы в Гатчине, организовать первые четыре экипажа «Ильи Муромца». В сентябре должны были появиться еще три экипажа. Большую часть этой работы проделал его заместитель, военный летчик Штабс Капитан Г.Г. Горшков, который лично проводил собеседования с кандидатами военных летчиков на должности командиров ИМ и просил их выбрать помощника по своему выбору. С июля по сентябрь было переоборудовано пять ИМ </w:t>
      </w:r>
      <w:r w:rsidRPr="00DE096C">
        <w:rPr>
          <w:bCs/>
          <w:color w:val="002060"/>
          <w:sz w:val="16"/>
          <w:szCs w:val="16"/>
          <w:lang w:bidi="ru-RU"/>
        </w:rPr>
        <w:t xml:space="preserve">( </w:t>
      </w:r>
      <w:r w:rsidRPr="00DE096C">
        <w:rPr>
          <w:bCs/>
          <w:color w:val="002060"/>
          <w:sz w:val="16"/>
          <w:szCs w:val="16"/>
          <w:lang w:bidi="en-US"/>
        </w:rPr>
        <w:t>типа В № 135-138 и № 143). Поставки задержались из-за пробных полетов и множества модификаций, в том числе установки вооружения. В течение августа и сентября на фронт прибыли только два,ИМ-</w:t>
      </w:r>
      <w:r w:rsidRPr="00DE096C">
        <w:rPr>
          <w:bCs/>
          <w:color w:val="002060"/>
          <w:sz w:val="16"/>
          <w:szCs w:val="16"/>
          <w:lang w:val="en-US" w:bidi="en-US"/>
        </w:rPr>
        <w:t>I</w:t>
      </w:r>
      <w:r w:rsidRPr="00DE096C">
        <w:rPr>
          <w:bCs/>
          <w:color w:val="002060"/>
          <w:sz w:val="16"/>
          <w:szCs w:val="16"/>
          <w:lang w:bidi="en-US"/>
        </w:rPr>
        <w:t xml:space="preserve"> иИМ-</w:t>
      </w:r>
      <w:r w:rsidRPr="00DE096C">
        <w:rPr>
          <w:bCs/>
          <w:color w:val="002060"/>
          <w:sz w:val="16"/>
          <w:szCs w:val="16"/>
          <w:lang w:val="en-US" w:bidi="en-US"/>
        </w:rPr>
        <w:t>II</w:t>
      </w:r>
      <w:r w:rsidRPr="00DE096C">
        <w:rPr>
          <w:bCs/>
          <w:color w:val="002060"/>
          <w:sz w:val="16"/>
          <w:szCs w:val="16"/>
          <w:lang w:bidi="en-US"/>
        </w:rPr>
        <w:t xml:space="preserve"> (23525).</w:t>
      </w:r>
    </w:p>
    <w:p w14:paraId="366D3726" w14:textId="77777777" w:rsidR="005C182A" w:rsidRPr="00DE096C" w:rsidRDefault="005C182A" w:rsidP="00D45A46">
      <w:pPr>
        <w:jc w:val="both"/>
        <w:rPr>
          <w:bCs/>
          <w:color w:val="002060"/>
          <w:sz w:val="16"/>
          <w:szCs w:val="16"/>
          <w:lang w:bidi="en-US"/>
        </w:rPr>
      </w:pPr>
    </w:p>
    <w:p w14:paraId="7BACC360" w14:textId="77777777" w:rsidR="006B2482" w:rsidRPr="00B52707" w:rsidRDefault="006B2482" w:rsidP="006B2482">
      <w:pPr>
        <w:jc w:val="both"/>
        <w:rPr>
          <w:color w:val="0070C0"/>
          <w:sz w:val="16"/>
          <w:szCs w:val="16"/>
        </w:rPr>
      </w:pPr>
      <w:r w:rsidRPr="00B52707">
        <w:rPr>
          <w:color w:val="0070C0"/>
          <w:sz w:val="16"/>
          <w:szCs w:val="16"/>
        </w:rPr>
        <w:t>18 (31) августа 1914 г. Руднев Е.В. после торжественного молебна вылетел в Белосток, в распоряжение штаба Северо-Западного фронта. Из-за нелетной погоды и поломок в пути к месту назначения летчик смог добраться только к концу сентября и, вместо того, чтобы немедленно приступить к боевой работе, начал бомбардировать ГВТУ жалобами на недостатки конструкции самолета.</w:t>
      </w:r>
    </w:p>
    <w:p w14:paraId="2DD037AE" w14:textId="77777777" w:rsidR="006B2482" w:rsidRPr="00B52707" w:rsidRDefault="006B2482" w:rsidP="006B2482">
      <w:pPr>
        <w:jc w:val="both"/>
        <w:rPr>
          <w:color w:val="0070C0"/>
          <w:sz w:val="16"/>
          <w:szCs w:val="16"/>
        </w:rPr>
      </w:pPr>
      <w:r w:rsidRPr="00B52707">
        <w:rPr>
          <w:color w:val="0070C0"/>
          <w:sz w:val="16"/>
          <w:szCs w:val="16"/>
        </w:rPr>
        <w:t>В довоенные годы штабс-капитан Е.В. Руднев считался одним из первых и лучших военных летчиков России. Но на фронте, под огнем, он, к сожалению, оказался, в прямом и переносном смысле, не на высоте. Из поступающих от штабс-капитана докладных следовало, что «муромец» плохо набирает высоту, имеет небольшую скорость, уязвим от вражеского огня. Упоминалось о затруднениях с ремонтом, обслуживанием, обеспечением материалами, вооружением. Командующий Северо-Западным фронтом переадресовал надоевшего жалобами Руднева Е.В. на Юго-Западный фронт. Летчик перегнал свой «муромец» во Львов, но и здесь вместо бомбардировки осажденного Перемышля продолжал «бомбардировать» начальство жалобами на недостатки своего самолета.</w:t>
      </w:r>
    </w:p>
    <w:p w14:paraId="27F4E727" w14:textId="77777777" w:rsidR="006B2482" w:rsidRPr="00B52707" w:rsidRDefault="006B2482" w:rsidP="006B2482">
      <w:pPr>
        <w:jc w:val="both"/>
        <w:rPr>
          <w:color w:val="0070C0"/>
          <w:sz w:val="16"/>
          <w:szCs w:val="16"/>
        </w:rPr>
      </w:pPr>
      <w:r w:rsidRPr="00B52707">
        <w:rPr>
          <w:color w:val="0070C0"/>
          <w:sz w:val="16"/>
          <w:szCs w:val="16"/>
        </w:rPr>
        <w:t>В конце концов Руднев Е.В. написал докладную записку «О непригодности аппаратов типа «Илья Муромец» для военных целей». Его поддержал заведующий авиацией и воздухоплаванием в действующей армии великий князь Александр Михайлович и потребовал от командования прекратить опыты с «муромцами»: «Ввиду малого у нас числа выдающихся летчиков не могу не высказать сожаления, что замедлившаяся постройка «муромцев» не дала возможности использовать на театре военных действий на аппаратах других систем целый ряд выдающихся офицеров-летчиков, задержанных в Петрограде в качестве личного состава строящихся Муромцев».</w:t>
      </w:r>
    </w:p>
    <w:p w14:paraId="79548DF1" w14:textId="77777777" w:rsidR="006B2482" w:rsidRPr="00B52707" w:rsidRDefault="006B2482" w:rsidP="006B2482">
      <w:pPr>
        <w:jc w:val="both"/>
        <w:rPr>
          <w:color w:val="0070C0"/>
          <w:sz w:val="16"/>
          <w:szCs w:val="16"/>
        </w:rPr>
      </w:pPr>
      <w:r w:rsidRPr="00B52707">
        <w:rPr>
          <w:color w:val="0070C0"/>
          <w:sz w:val="16"/>
          <w:szCs w:val="16"/>
        </w:rPr>
        <w:t>Командиром воздушного корабля № 1 вместо отказавшегося воевать Руднева был назначен военный морской летчик лейтенант Г.И. Лавров. Личный друг И.И. Сикорского и выдающийся офицер быстро превратил первый экипаж в один из лучших в Эскадре (24965).</w:t>
      </w:r>
    </w:p>
    <w:p w14:paraId="3BD66165" w14:textId="77777777" w:rsidR="006B2482" w:rsidRPr="00B52707" w:rsidRDefault="006B2482" w:rsidP="006B2482">
      <w:pPr>
        <w:jc w:val="both"/>
        <w:rPr>
          <w:color w:val="0070C0"/>
          <w:sz w:val="16"/>
          <w:szCs w:val="16"/>
        </w:rPr>
      </w:pPr>
    </w:p>
    <w:p w14:paraId="31DF60C4" w14:textId="13BEBD45" w:rsidR="005C204F" w:rsidRPr="00DE096C" w:rsidRDefault="005C204F" w:rsidP="00D45A46">
      <w:pPr>
        <w:shd w:val="clear" w:color="auto" w:fill="FFFFFF"/>
        <w:jc w:val="both"/>
        <w:rPr>
          <w:bCs/>
          <w:i/>
          <w:color w:val="002060"/>
          <w:sz w:val="16"/>
          <w:szCs w:val="16"/>
        </w:rPr>
      </w:pPr>
      <w:r w:rsidRPr="00DE096C">
        <w:rPr>
          <w:bCs/>
          <w:i/>
          <w:color w:val="002060"/>
          <w:sz w:val="16"/>
          <w:szCs w:val="16"/>
        </w:rPr>
        <w:t>Морская авиация:</w:t>
      </w:r>
    </w:p>
    <w:p w14:paraId="6E34E2A7" w14:textId="77777777" w:rsidR="005C204F" w:rsidRPr="00DE096C" w:rsidRDefault="005C204F" w:rsidP="00D45A46">
      <w:pPr>
        <w:shd w:val="clear" w:color="auto" w:fill="FFFFFF"/>
        <w:jc w:val="both"/>
        <w:rPr>
          <w:bCs/>
          <w:i/>
          <w:color w:val="002060"/>
          <w:sz w:val="16"/>
          <w:szCs w:val="16"/>
        </w:rPr>
      </w:pPr>
    </w:p>
    <w:p w14:paraId="369619AB" w14:textId="77777777" w:rsidR="005C204F" w:rsidRPr="00DE096C" w:rsidRDefault="005C204F" w:rsidP="00D45A46">
      <w:pPr>
        <w:jc w:val="both"/>
        <w:rPr>
          <w:bCs/>
          <w:color w:val="002060"/>
          <w:sz w:val="16"/>
          <w:szCs w:val="16"/>
        </w:rPr>
      </w:pPr>
      <w:r w:rsidRPr="00DE096C">
        <w:rPr>
          <w:bCs/>
          <w:color w:val="002060"/>
          <w:sz w:val="16"/>
          <w:szCs w:val="16"/>
        </w:rPr>
        <w:t>18 (31) августа 1914 г. приказом по флоту и Морскому ведомству № 269 утверждено Положение о службе связи в морокой авиации, а при Морском генера</w:t>
      </w:r>
      <w:r w:rsidRPr="00DE096C">
        <w:rPr>
          <w:bCs/>
          <w:color w:val="002060"/>
          <w:sz w:val="16"/>
          <w:szCs w:val="16"/>
        </w:rPr>
        <w:softHyphen/>
        <w:t>льном штабе учрежден отдел под названием "Организация авиации и воздухоплавания в мороком ведомстве". Этим было положено нача</w:t>
      </w:r>
      <w:r w:rsidRPr="00DE096C">
        <w:rPr>
          <w:bCs/>
          <w:color w:val="002060"/>
          <w:sz w:val="16"/>
          <w:szCs w:val="16"/>
        </w:rPr>
        <w:softHyphen/>
        <w:t>ло организации Морской авиации (23320).</w:t>
      </w:r>
    </w:p>
    <w:p w14:paraId="37637F60" w14:textId="77777777" w:rsidR="005C204F" w:rsidRPr="00DE096C" w:rsidRDefault="005C204F" w:rsidP="00D45A46">
      <w:pPr>
        <w:jc w:val="both"/>
        <w:rPr>
          <w:bCs/>
          <w:color w:val="002060"/>
          <w:sz w:val="16"/>
          <w:szCs w:val="16"/>
        </w:rPr>
      </w:pPr>
    </w:p>
    <w:p w14:paraId="105067A0" w14:textId="77777777" w:rsidR="00B344BB" w:rsidRPr="00DE096C" w:rsidRDefault="00B344BB" w:rsidP="00D45A46">
      <w:pPr>
        <w:jc w:val="both"/>
        <w:rPr>
          <w:bCs/>
          <w:i/>
          <w:color w:val="002060"/>
          <w:sz w:val="16"/>
          <w:szCs w:val="16"/>
        </w:rPr>
      </w:pPr>
      <w:r w:rsidRPr="00DE096C">
        <w:rPr>
          <w:bCs/>
          <w:i/>
          <w:color w:val="002060"/>
          <w:sz w:val="16"/>
          <w:szCs w:val="16"/>
        </w:rPr>
        <w:t>Жизнь и внутренняя политика:</w:t>
      </w:r>
    </w:p>
    <w:p w14:paraId="77A40F88" w14:textId="77777777" w:rsidR="00B344BB" w:rsidRPr="00DE096C" w:rsidRDefault="00B344BB" w:rsidP="00D45A46">
      <w:pPr>
        <w:jc w:val="both"/>
        <w:rPr>
          <w:bCs/>
          <w:i/>
          <w:color w:val="002060"/>
          <w:sz w:val="16"/>
          <w:szCs w:val="16"/>
        </w:rPr>
      </w:pPr>
    </w:p>
    <w:p w14:paraId="6BF4CD43" w14:textId="34799AA5" w:rsidR="00B344BB" w:rsidRPr="00DE096C" w:rsidRDefault="00B344BB" w:rsidP="00D45A46">
      <w:pPr>
        <w:jc w:val="both"/>
        <w:rPr>
          <w:bCs/>
          <w:color w:val="002060"/>
          <w:sz w:val="16"/>
          <w:szCs w:val="16"/>
        </w:rPr>
      </w:pPr>
      <w:r w:rsidRPr="00DE096C">
        <w:rPr>
          <w:bCs/>
          <w:color w:val="002060"/>
          <w:sz w:val="16"/>
          <w:szCs w:val="16"/>
        </w:rPr>
        <w:t xml:space="preserve">18 </w:t>
      </w:r>
      <w:r w:rsidR="005E1289" w:rsidRPr="00DE096C">
        <w:rPr>
          <w:bCs/>
          <w:color w:val="002060"/>
          <w:sz w:val="16"/>
          <w:szCs w:val="16"/>
        </w:rPr>
        <w:t xml:space="preserve">(31) </w:t>
      </w:r>
      <w:r w:rsidRPr="00DE096C">
        <w:rPr>
          <w:bCs/>
          <w:color w:val="002060"/>
          <w:sz w:val="16"/>
          <w:szCs w:val="16"/>
        </w:rPr>
        <w:t>августа в 1914 году указом Николая II Санкт-Петербург был переименован в Петроград. Отказ от немецкого названия был тепло встречен Санкт-Петербургским обществом. С начала войны петербуржцы называли своих новых противников не "немцами", а "германцами", чтобы не обижать Санкт-Петербургских немцев, которые многие десятилетия жили в российской столице и были военными, учеными, булочниками и ремесленниками (14987).</w:t>
      </w:r>
    </w:p>
    <w:p w14:paraId="29738318" w14:textId="77777777" w:rsidR="00B344BB" w:rsidRPr="00DE096C" w:rsidRDefault="00B344BB" w:rsidP="00D45A46">
      <w:pPr>
        <w:jc w:val="both"/>
        <w:rPr>
          <w:bCs/>
          <w:color w:val="002060"/>
          <w:sz w:val="16"/>
          <w:szCs w:val="16"/>
        </w:rPr>
      </w:pPr>
    </w:p>
    <w:p w14:paraId="4F78FE05" w14:textId="7A965FB1" w:rsidR="00674AF1" w:rsidRPr="00DE096C" w:rsidRDefault="005E1289" w:rsidP="00D45A46">
      <w:pPr>
        <w:jc w:val="both"/>
        <w:rPr>
          <w:bCs/>
          <w:color w:val="002060"/>
          <w:sz w:val="16"/>
          <w:szCs w:val="16"/>
        </w:rPr>
      </w:pPr>
      <w:r w:rsidRPr="00DE096C">
        <w:rPr>
          <w:bCs/>
          <w:color w:val="002060"/>
          <w:sz w:val="16"/>
          <w:szCs w:val="16"/>
        </w:rPr>
        <w:t>18 (</w:t>
      </w:r>
      <w:r w:rsidR="00674AF1" w:rsidRPr="00DE096C">
        <w:rPr>
          <w:bCs/>
          <w:color w:val="002060"/>
          <w:sz w:val="16"/>
          <w:szCs w:val="16"/>
        </w:rPr>
        <w:t>31</w:t>
      </w:r>
      <w:r w:rsidR="00865110" w:rsidRPr="00DE096C">
        <w:rPr>
          <w:bCs/>
          <w:color w:val="002060"/>
          <w:sz w:val="16"/>
          <w:szCs w:val="16"/>
        </w:rPr>
        <w:t>)</w:t>
      </w:r>
      <w:r w:rsidR="00674AF1" w:rsidRPr="00DE096C">
        <w:rPr>
          <w:bCs/>
          <w:color w:val="002060"/>
          <w:sz w:val="16"/>
          <w:szCs w:val="16"/>
        </w:rPr>
        <w:t xml:space="preserve"> августа в 1914 году указом императора Николая II Санкт-Петербург переименован в Петроград. Переименование было предпринято на волне патриотических чувств, охвативших всю страну (и особенно Санкт-Петербург) с началом первой мировой войны. Отказ от немецкого названия был тепло встречен Санкт-Петербургским обществом. С начала войны петербуржцы называли своих новых противников не "немцами", а "германцами", чтобы не обижать Санкт-Петербургских немцев, которые многие десятилетия жили в российской столице и были военными, учеными, булочниками и ремесленниками (14755).</w:t>
      </w:r>
    </w:p>
    <w:p w14:paraId="6FB5D889" w14:textId="77777777" w:rsidR="00674AF1" w:rsidRPr="00DE096C" w:rsidRDefault="00674AF1" w:rsidP="00D45A46">
      <w:pPr>
        <w:jc w:val="both"/>
        <w:rPr>
          <w:bCs/>
          <w:color w:val="002060"/>
          <w:sz w:val="16"/>
          <w:szCs w:val="16"/>
        </w:rPr>
      </w:pPr>
    </w:p>
    <w:p w14:paraId="2E40EDFE" w14:textId="77777777" w:rsidR="00B344BB" w:rsidRPr="00DE096C" w:rsidRDefault="00B344BB" w:rsidP="00D45A46">
      <w:pPr>
        <w:jc w:val="both"/>
        <w:rPr>
          <w:bCs/>
          <w:i/>
          <w:color w:val="002060"/>
          <w:sz w:val="16"/>
          <w:szCs w:val="16"/>
        </w:rPr>
      </w:pPr>
      <w:r w:rsidRPr="00DE096C">
        <w:rPr>
          <w:bCs/>
          <w:i/>
          <w:color w:val="002060"/>
          <w:sz w:val="16"/>
          <w:szCs w:val="16"/>
        </w:rPr>
        <w:t>За рубежом:</w:t>
      </w:r>
    </w:p>
    <w:p w14:paraId="0BF6E43F" w14:textId="77777777" w:rsidR="00B344BB" w:rsidRPr="00DE096C" w:rsidRDefault="00B344BB" w:rsidP="00D45A46">
      <w:pPr>
        <w:jc w:val="both"/>
        <w:rPr>
          <w:bCs/>
          <w:color w:val="002060"/>
          <w:sz w:val="16"/>
          <w:szCs w:val="16"/>
        </w:rPr>
      </w:pPr>
    </w:p>
    <w:p w14:paraId="7E7FB3C4" w14:textId="1F0640CB" w:rsidR="00625CB6" w:rsidRPr="00DE096C" w:rsidRDefault="00625CB6" w:rsidP="00D45A46">
      <w:pPr>
        <w:pStyle w:val="ae"/>
        <w:spacing w:before="0" w:beforeAutospacing="0" w:after="0" w:afterAutospacing="0"/>
        <w:jc w:val="both"/>
        <w:rPr>
          <w:bCs/>
          <w:color w:val="002060"/>
          <w:sz w:val="16"/>
          <w:szCs w:val="16"/>
        </w:rPr>
      </w:pPr>
      <w:r w:rsidRPr="00DE096C">
        <w:rPr>
          <w:bCs/>
          <w:color w:val="002060"/>
          <w:sz w:val="16"/>
          <w:szCs w:val="16"/>
        </w:rPr>
        <w:t xml:space="preserve">18 (31) августа — 9 </w:t>
      </w:r>
      <w:r w:rsidR="005E1289" w:rsidRPr="00DE096C">
        <w:rPr>
          <w:bCs/>
          <w:color w:val="002060"/>
          <w:sz w:val="16"/>
          <w:szCs w:val="16"/>
        </w:rPr>
        <w:t xml:space="preserve">(22) </w:t>
      </w:r>
      <w:r w:rsidRPr="00DE096C">
        <w:rPr>
          <w:bCs/>
          <w:color w:val="002060"/>
          <w:sz w:val="16"/>
          <w:szCs w:val="16"/>
        </w:rPr>
        <w:t>сентября 1914 г. была первая битва на Марне. Германские войска в соответствии с планом Шлиффена попытались стремительным броском захватить Париж и так закончить войну. В ходе маневренных боев британские и французские войска провели ряд рискованных атак, исход сражения не раз «висел на волоске». Однако грандиозная попытка немцев разбить Францию за 6 недель провалилась. 17 августа в войну вступила Российская империя, это обрекло Германию на ведение войны на два фронта, чего она, безусловно, не могла выдержать. После отступления немецких войск от Парижа на неподготовленные позиции у р. Эн войска союзников попытались развить успех и атаковали противника у скалистых высот Шмен-де-Дам (17 ноября). Хотя немцы и не располагали достаточным временем для того, чтобы подготовиться к обороне, они открыли ураганный огонь и смогли отбить атаку. Битва на Эне стала первым опытом «окопной войны» на Западном фронте и послужила образцом на будущее. После нее война постепенно утратила маневренный характер, положения фронтов стабилизировались, и применение химического оружия для обеих сторон казалось выходом из этой патовой ситуации (20246).</w:t>
      </w:r>
    </w:p>
    <w:p w14:paraId="042073E6" w14:textId="77777777" w:rsidR="00625CB6" w:rsidRPr="00DE096C" w:rsidRDefault="00625CB6" w:rsidP="00D45A46">
      <w:pPr>
        <w:pStyle w:val="ae"/>
        <w:spacing w:before="0" w:beforeAutospacing="0" w:after="0" w:afterAutospacing="0"/>
        <w:jc w:val="both"/>
        <w:rPr>
          <w:bCs/>
          <w:color w:val="002060"/>
          <w:sz w:val="16"/>
          <w:szCs w:val="16"/>
        </w:rPr>
      </w:pPr>
      <w:bookmarkStart w:id="135" w:name="k13"/>
      <w:bookmarkEnd w:id="135"/>
      <w:r w:rsidRPr="00DE096C">
        <w:rPr>
          <w:bCs/>
          <w:color w:val="002060"/>
          <w:sz w:val="16"/>
          <w:szCs w:val="16"/>
        </w:rPr>
        <w:t>10 марта 1915 г. британские экспедиционные силы, сконцентрировав огонь 340 орудий на участке фронта шириной всего 2000 м и создав четырехкратное преимущество в живой силе, попытались сбить немцев с их позиций у Нев-Шапель и захватить Оберский хребет. Но во время атак они несли потери в соотношении 10 : 1. Немцы, подтянув резервы, пытались контратаковать британцев, но потеряли от артиллерийского огня до 10 тыс. человек. Сражение закончилось ничем. Обе стороны понесли потери убитыми примерно по 13 тыс. человек, война зашла в тупик (20246).</w:t>
      </w:r>
    </w:p>
    <w:p w14:paraId="6C0ADE3F" w14:textId="77777777" w:rsidR="00625CB6" w:rsidRPr="00DE096C" w:rsidRDefault="00625CB6" w:rsidP="00D45A46">
      <w:pPr>
        <w:pStyle w:val="ae"/>
        <w:spacing w:before="0" w:beforeAutospacing="0" w:after="0" w:afterAutospacing="0"/>
        <w:jc w:val="both"/>
        <w:rPr>
          <w:bCs/>
          <w:color w:val="002060"/>
          <w:sz w:val="16"/>
          <w:szCs w:val="16"/>
        </w:rPr>
      </w:pPr>
    </w:p>
    <w:p w14:paraId="6DBDC77A" w14:textId="659A3A3B" w:rsidR="005C182A" w:rsidRPr="00DE096C" w:rsidRDefault="005C182A" w:rsidP="00D45A46">
      <w:pPr>
        <w:shd w:val="clear" w:color="auto" w:fill="FFFFFF"/>
        <w:jc w:val="both"/>
        <w:rPr>
          <w:bCs/>
          <w:i/>
          <w:color w:val="002060"/>
          <w:sz w:val="16"/>
          <w:szCs w:val="16"/>
        </w:rPr>
      </w:pPr>
      <w:r w:rsidRPr="00DE096C">
        <w:rPr>
          <w:bCs/>
          <w:i/>
          <w:color w:val="002060"/>
          <w:sz w:val="16"/>
          <w:szCs w:val="16"/>
        </w:rPr>
        <w:t>Авиация:</w:t>
      </w:r>
    </w:p>
    <w:p w14:paraId="5600F11F" w14:textId="77777777" w:rsidR="005C182A" w:rsidRPr="00DE096C" w:rsidRDefault="005C182A" w:rsidP="00D45A46">
      <w:pPr>
        <w:shd w:val="clear" w:color="auto" w:fill="FFFFFF"/>
        <w:jc w:val="both"/>
        <w:rPr>
          <w:bCs/>
          <w:i/>
          <w:color w:val="002060"/>
          <w:sz w:val="16"/>
          <w:szCs w:val="16"/>
        </w:rPr>
      </w:pPr>
    </w:p>
    <w:p w14:paraId="7D2F0521" w14:textId="0C90A416" w:rsidR="005C182A" w:rsidRPr="00DE096C" w:rsidRDefault="005C182A" w:rsidP="00D45A46">
      <w:pPr>
        <w:jc w:val="both"/>
        <w:rPr>
          <w:bCs/>
          <w:color w:val="002060"/>
          <w:sz w:val="16"/>
          <w:szCs w:val="16"/>
        </w:rPr>
      </w:pPr>
      <w:r w:rsidRPr="00DE096C">
        <w:rPr>
          <w:bCs/>
          <w:color w:val="002060"/>
          <w:sz w:val="16"/>
          <w:szCs w:val="16"/>
          <w:lang w:bidi="en-US"/>
        </w:rPr>
        <w:t>19 августа (1 сентября) 1914 г. командование русской армии предложило, чтобы во избежание потерь от дружественного огня все самолеты несли специальную государственную маркировку в виде красно-бело-синего круга. Позже он был изменен на красно-сине-белый медальон с белым в центре (23525).</w:t>
      </w:r>
    </w:p>
    <w:p w14:paraId="0FE4BF26" w14:textId="77777777" w:rsidR="005C182A" w:rsidRPr="00DE096C" w:rsidRDefault="005C182A" w:rsidP="00D45A46">
      <w:pPr>
        <w:jc w:val="both"/>
        <w:rPr>
          <w:bCs/>
          <w:color w:val="002060"/>
          <w:sz w:val="16"/>
          <w:szCs w:val="16"/>
          <w:lang w:bidi="en-US"/>
        </w:rPr>
      </w:pPr>
    </w:p>
    <w:p w14:paraId="589F42FA" w14:textId="783806D3" w:rsidR="005C182A" w:rsidRPr="00DE096C" w:rsidRDefault="005C182A" w:rsidP="00D45A46">
      <w:pPr>
        <w:jc w:val="both"/>
        <w:rPr>
          <w:bCs/>
          <w:color w:val="002060"/>
          <w:sz w:val="16"/>
          <w:szCs w:val="16"/>
        </w:rPr>
      </w:pPr>
      <w:r w:rsidRPr="00DE096C">
        <w:rPr>
          <w:bCs/>
          <w:color w:val="002060"/>
          <w:sz w:val="16"/>
          <w:szCs w:val="16"/>
        </w:rPr>
        <w:t>19 августа (1 сентября) 1914 г. впервые на русско-германском (Восточном) фронте противник провел воздушную бомбардировку. Над Ново- Александрией (Пулавы, царство Польское) австрийский аэроплан сбросил несколько бомб, не причинивших никакого вреда. На следующий день наши войска в районе г. Радом (царство Польское) подбили неприятельский летательный аппарат. Он опустился на территории, занятой русскими войсками. Экипаж аэроплана (2 летчика-офицера) попал в плен (23405).</w:t>
      </w:r>
    </w:p>
    <w:p w14:paraId="70D95FC9" w14:textId="77777777" w:rsidR="005C182A" w:rsidRPr="00DE096C" w:rsidRDefault="005C182A" w:rsidP="00D45A46">
      <w:pPr>
        <w:jc w:val="both"/>
        <w:rPr>
          <w:bCs/>
          <w:color w:val="002060"/>
          <w:sz w:val="16"/>
          <w:szCs w:val="16"/>
        </w:rPr>
      </w:pPr>
    </w:p>
    <w:p w14:paraId="52DFE4A8" w14:textId="77777777" w:rsidR="00866BA3" w:rsidRPr="00B52707" w:rsidRDefault="00866BA3" w:rsidP="00866BA3">
      <w:pPr>
        <w:jc w:val="both"/>
        <w:rPr>
          <w:color w:val="0070C0"/>
          <w:sz w:val="16"/>
          <w:szCs w:val="16"/>
        </w:rPr>
      </w:pPr>
      <w:r w:rsidRPr="00B52707">
        <w:rPr>
          <w:color w:val="0070C0"/>
          <w:sz w:val="16"/>
          <w:szCs w:val="16"/>
        </w:rPr>
        <w:t>19 августа (1 сентября) 1914 г. австрийский военный дирижабль «Шютте-Ланц» SL–II выполнил в полосе русского Юго-Западного фронта успешную разведку в районе Лодзь – Петраков (Пётркув-Трыбунальски). Позднее воздушный корабль был переброшен на Западноевропейский театр войны (25135).</w:t>
      </w:r>
    </w:p>
    <w:p w14:paraId="7253E907" w14:textId="77777777" w:rsidR="00866BA3" w:rsidRPr="00B52707" w:rsidRDefault="00866BA3" w:rsidP="00866BA3">
      <w:pPr>
        <w:jc w:val="both"/>
        <w:rPr>
          <w:color w:val="0070C0"/>
          <w:sz w:val="16"/>
          <w:szCs w:val="16"/>
        </w:rPr>
      </w:pPr>
    </w:p>
    <w:p w14:paraId="2A84DFA1" w14:textId="249A7ED8" w:rsidR="00B67D7C" w:rsidRPr="00DE096C" w:rsidRDefault="00B67D7C" w:rsidP="00D45A46">
      <w:pPr>
        <w:shd w:val="clear" w:color="auto" w:fill="FFFFFF"/>
        <w:jc w:val="both"/>
        <w:rPr>
          <w:bCs/>
          <w:i/>
          <w:color w:val="002060"/>
          <w:sz w:val="16"/>
          <w:szCs w:val="16"/>
        </w:rPr>
      </w:pPr>
      <w:r w:rsidRPr="00DE096C">
        <w:rPr>
          <w:bCs/>
          <w:i/>
          <w:color w:val="002060"/>
          <w:sz w:val="16"/>
          <w:szCs w:val="16"/>
        </w:rPr>
        <w:t>Морская авиация:</w:t>
      </w:r>
    </w:p>
    <w:p w14:paraId="4683E85A" w14:textId="77777777" w:rsidR="00B67D7C" w:rsidRPr="00DE096C" w:rsidRDefault="00B67D7C" w:rsidP="00D45A46">
      <w:pPr>
        <w:shd w:val="clear" w:color="auto" w:fill="FFFFFF"/>
        <w:jc w:val="both"/>
        <w:rPr>
          <w:bCs/>
          <w:i/>
          <w:color w:val="002060"/>
          <w:sz w:val="16"/>
          <w:szCs w:val="16"/>
        </w:rPr>
      </w:pPr>
    </w:p>
    <w:p w14:paraId="59B8443F" w14:textId="77777777" w:rsidR="00B67D7C" w:rsidRPr="00DE096C" w:rsidRDefault="00B67D7C" w:rsidP="00D45A46">
      <w:pPr>
        <w:jc w:val="both"/>
        <w:rPr>
          <w:bCs/>
          <w:color w:val="002060"/>
          <w:sz w:val="16"/>
          <w:szCs w:val="16"/>
        </w:rPr>
      </w:pPr>
      <w:r w:rsidRPr="00DE096C">
        <w:rPr>
          <w:bCs/>
          <w:color w:val="002060"/>
          <w:sz w:val="16"/>
          <w:szCs w:val="16"/>
        </w:rPr>
        <w:t>19 августа (1 сентября) с Земли Франца-Иосифа пришло судно «Герта», и от начальника экспедиции Ислямова Нагурский получил приказание: насколько возможно облететь пространство на запад и север от острова Панкратьева. Нужно было найти «Фоку», который вышел с мыса Флора и намеревался идти к Новой Земле.</w:t>
      </w:r>
    </w:p>
    <w:p w14:paraId="0D1F167B" w14:textId="77777777" w:rsidR="00B67D7C" w:rsidRPr="00DE096C" w:rsidRDefault="00B67D7C" w:rsidP="00D45A46">
      <w:pPr>
        <w:shd w:val="clear" w:color="auto" w:fill="FFFFFF"/>
        <w:jc w:val="both"/>
        <w:rPr>
          <w:bCs/>
          <w:i/>
          <w:color w:val="002060"/>
          <w:sz w:val="16"/>
          <w:szCs w:val="16"/>
        </w:rPr>
      </w:pPr>
    </w:p>
    <w:p w14:paraId="1C470D14" w14:textId="08195686" w:rsidR="005C182A" w:rsidRPr="00DE096C" w:rsidRDefault="005C182A" w:rsidP="00D45A46">
      <w:pPr>
        <w:jc w:val="both"/>
        <w:rPr>
          <w:bCs/>
          <w:color w:val="002060"/>
          <w:sz w:val="16"/>
          <w:szCs w:val="16"/>
        </w:rPr>
      </w:pPr>
      <w:r w:rsidRPr="00DE096C">
        <w:rPr>
          <w:bCs/>
          <w:color w:val="002060"/>
          <w:sz w:val="16"/>
          <w:szCs w:val="16"/>
        </w:rPr>
        <w:t>19 августа (1 сентября) 1914 г. в районе г. Виндава (Вентспилс) нашими наблюдательными постами был обнаружен неприятельский гидроаэроплан, совершавший свой полет северо-западнее города. Его появление напрямую было связано с отражением утром того же дня пограничной стражей морского десанта противника, пытавшегося высадиться на побережье с борта трех миноносцев.</w:t>
      </w:r>
    </w:p>
    <w:p w14:paraId="6CCD6871" w14:textId="77777777" w:rsidR="005C182A" w:rsidRPr="00DE096C" w:rsidRDefault="005C182A" w:rsidP="00D45A46">
      <w:pPr>
        <w:jc w:val="both"/>
        <w:rPr>
          <w:bCs/>
          <w:color w:val="002060"/>
          <w:sz w:val="16"/>
          <w:szCs w:val="16"/>
        </w:rPr>
      </w:pPr>
      <w:r w:rsidRPr="00DE096C">
        <w:rPr>
          <w:bCs/>
          <w:color w:val="002060"/>
          <w:sz w:val="16"/>
          <w:szCs w:val="16"/>
        </w:rPr>
        <w:t xml:space="preserve">В первые месяцы войны неприятельская авиация мало беспокоила русское командование, выполняя лишь задачи разведывательного характера (23405). </w:t>
      </w:r>
    </w:p>
    <w:p w14:paraId="1F2CAF63" w14:textId="77777777" w:rsidR="005C182A" w:rsidRPr="00DE096C" w:rsidRDefault="005C182A" w:rsidP="00D45A46">
      <w:pPr>
        <w:jc w:val="both"/>
        <w:rPr>
          <w:bCs/>
          <w:color w:val="002060"/>
          <w:sz w:val="16"/>
          <w:szCs w:val="16"/>
        </w:rPr>
      </w:pPr>
    </w:p>
    <w:p w14:paraId="4E2F03BB" w14:textId="50A7EDD6" w:rsidR="009D2302" w:rsidRPr="00DE096C" w:rsidRDefault="009D2302" w:rsidP="00D45A46">
      <w:pPr>
        <w:jc w:val="both"/>
        <w:rPr>
          <w:rStyle w:val="1"/>
          <w:b w:val="0"/>
          <w:bCs/>
          <w:i/>
          <w:color w:val="002060"/>
          <w:sz w:val="16"/>
          <w:szCs w:val="16"/>
        </w:rPr>
      </w:pPr>
      <w:r w:rsidRPr="00DE096C">
        <w:rPr>
          <w:rStyle w:val="1"/>
          <w:b w:val="0"/>
          <w:bCs/>
          <w:i/>
          <w:color w:val="002060"/>
          <w:sz w:val="16"/>
          <w:szCs w:val="16"/>
        </w:rPr>
        <w:t>Воздухоплавание:</w:t>
      </w:r>
    </w:p>
    <w:p w14:paraId="7CAF0A40" w14:textId="77777777" w:rsidR="009D2302" w:rsidRPr="00DE096C" w:rsidRDefault="009D2302" w:rsidP="00D45A46">
      <w:pPr>
        <w:jc w:val="both"/>
        <w:rPr>
          <w:rStyle w:val="1"/>
          <w:b w:val="0"/>
          <w:bCs/>
          <w:i/>
          <w:color w:val="002060"/>
          <w:sz w:val="16"/>
          <w:szCs w:val="16"/>
        </w:rPr>
      </w:pPr>
    </w:p>
    <w:p w14:paraId="3B0D27F8" w14:textId="0C904074" w:rsidR="009D2302" w:rsidRPr="00DE096C" w:rsidRDefault="009D2302" w:rsidP="00D45A46">
      <w:pPr>
        <w:jc w:val="both"/>
        <w:rPr>
          <w:bCs/>
          <w:color w:val="002060"/>
          <w:sz w:val="16"/>
          <w:szCs w:val="16"/>
        </w:rPr>
      </w:pPr>
      <w:r w:rsidRPr="00DE096C">
        <w:rPr>
          <w:bCs/>
          <w:color w:val="002060"/>
          <w:sz w:val="16"/>
          <w:szCs w:val="16"/>
        </w:rPr>
        <w:t xml:space="preserve">19 августа (1 сентября) 1914 в распоряжение </w:t>
      </w:r>
      <w:r w:rsidR="00E33915" w:rsidRPr="00DE096C">
        <w:rPr>
          <w:bCs/>
          <w:color w:val="002060"/>
          <w:sz w:val="16"/>
          <w:szCs w:val="16"/>
        </w:rPr>
        <w:t xml:space="preserve">А.В. Шварца </w:t>
      </w:r>
      <w:r w:rsidRPr="00DE096C">
        <w:rPr>
          <w:bCs/>
          <w:color w:val="002060"/>
          <w:sz w:val="16"/>
          <w:szCs w:val="16"/>
        </w:rPr>
        <w:t>при</w:t>
      </w:r>
      <w:r w:rsidRPr="00DE096C">
        <w:rPr>
          <w:bCs/>
          <w:color w:val="002060"/>
          <w:sz w:val="16"/>
          <w:szCs w:val="16"/>
        </w:rPr>
        <w:softHyphen/>
        <w:t>слали 6-ю воздухоплавательную роту с двумя станциями змейковых аэростатов. 29 августа в Ивангород прибыла 14-я воздухоплаватель</w:t>
      </w:r>
      <w:r w:rsidRPr="00DE096C">
        <w:rPr>
          <w:bCs/>
          <w:color w:val="002060"/>
          <w:sz w:val="16"/>
          <w:szCs w:val="16"/>
        </w:rPr>
        <w:softHyphen/>
        <w:t>ная рота, сформированная из состава батальо</w:t>
      </w:r>
      <w:r w:rsidRPr="00DE096C">
        <w:rPr>
          <w:bCs/>
          <w:color w:val="002060"/>
          <w:sz w:val="16"/>
          <w:szCs w:val="16"/>
        </w:rPr>
        <w:softHyphen/>
        <w:t>на ОВШ (командир — капитан А.Н. Вегенер).</w:t>
      </w:r>
    </w:p>
    <w:p w14:paraId="02C316E3" w14:textId="77777777" w:rsidR="009D2302" w:rsidRPr="00DE096C" w:rsidRDefault="009D2302" w:rsidP="00D45A46">
      <w:pPr>
        <w:jc w:val="both"/>
        <w:rPr>
          <w:bCs/>
          <w:color w:val="002060"/>
          <w:sz w:val="16"/>
          <w:szCs w:val="16"/>
        </w:rPr>
      </w:pPr>
      <w:r w:rsidRPr="00DE096C">
        <w:rPr>
          <w:bCs/>
          <w:color w:val="002060"/>
          <w:sz w:val="16"/>
          <w:szCs w:val="16"/>
        </w:rPr>
        <w:t>В середине сентября гарнизон крепости усилила 5-я воздухоплавательная рота штабс-капитана Дукшт-Дукшинского.</w:t>
      </w:r>
    </w:p>
    <w:p w14:paraId="1151A203" w14:textId="77777777" w:rsidR="009D2302" w:rsidRPr="00DE096C" w:rsidRDefault="009D2302" w:rsidP="00D45A46">
      <w:pPr>
        <w:jc w:val="both"/>
        <w:rPr>
          <w:bCs/>
          <w:color w:val="002060"/>
          <w:sz w:val="16"/>
          <w:szCs w:val="16"/>
        </w:rPr>
      </w:pPr>
      <w:r w:rsidRPr="00DE096C">
        <w:rPr>
          <w:bCs/>
          <w:color w:val="002060"/>
          <w:sz w:val="16"/>
          <w:szCs w:val="16"/>
        </w:rPr>
        <w:t>По прибытии 14-й воздухоплавательной роты в крепость Ивангород одновременно с устрой</w:t>
      </w:r>
      <w:r w:rsidRPr="00DE096C">
        <w:rPr>
          <w:bCs/>
          <w:color w:val="002060"/>
          <w:sz w:val="16"/>
          <w:szCs w:val="16"/>
        </w:rPr>
        <w:softHyphen/>
        <w:t>ством базы и тылового склада и обучением лич</w:t>
      </w:r>
      <w:r w:rsidRPr="00DE096C">
        <w:rPr>
          <w:bCs/>
          <w:color w:val="002060"/>
          <w:sz w:val="16"/>
          <w:szCs w:val="16"/>
        </w:rPr>
        <w:softHyphen/>
        <w:t>ного состава роты службе воздухоплавателей на войне производились подъёмы на аэростате для изучения крепостного района, вероятных позиций противника под крепостью, разведки видимости крепостных сооружений со стороны противника днём и ночью, а также обучение ко</w:t>
      </w:r>
      <w:r w:rsidRPr="00DE096C">
        <w:rPr>
          <w:bCs/>
          <w:color w:val="002060"/>
          <w:sz w:val="16"/>
          <w:szCs w:val="16"/>
        </w:rPr>
        <w:softHyphen/>
        <w:t>мандующего состава роты приёмам воздушной разведки и подготовки наблюдателей-артилле</w:t>
      </w:r>
      <w:r w:rsidRPr="00DE096C">
        <w:rPr>
          <w:bCs/>
          <w:color w:val="002060"/>
          <w:sz w:val="16"/>
          <w:szCs w:val="16"/>
        </w:rPr>
        <w:softHyphen/>
        <w:t>ристов (20120).</w:t>
      </w:r>
    </w:p>
    <w:p w14:paraId="03C112A1" w14:textId="77777777" w:rsidR="009D2302" w:rsidRPr="00DE096C" w:rsidRDefault="009D2302" w:rsidP="00D45A46">
      <w:pPr>
        <w:jc w:val="both"/>
        <w:rPr>
          <w:bCs/>
          <w:color w:val="002060"/>
          <w:sz w:val="16"/>
          <w:szCs w:val="16"/>
        </w:rPr>
      </w:pPr>
    </w:p>
    <w:p w14:paraId="7CAE2E3E" w14:textId="77777777" w:rsidR="00B67D7C" w:rsidRPr="00DE096C" w:rsidRDefault="00B67D7C" w:rsidP="00D45A46">
      <w:pPr>
        <w:jc w:val="both"/>
        <w:rPr>
          <w:rStyle w:val="1"/>
          <w:b w:val="0"/>
          <w:bCs/>
          <w:i/>
          <w:color w:val="002060"/>
          <w:sz w:val="16"/>
          <w:szCs w:val="16"/>
        </w:rPr>
      </w:pPr>
      <w:r w:rsidRPr="00DE096C">
        <w:rPr>
          <w:rStyle w:val="1"/>
          <w:b w:val="0"/>
          <w:bCs/>
          <w:i/>
          <w:color w:val="002060"/>
          <w:sz w:val="16"/>
          <w:szCs w:val="16"/>
        </w:rPr>
        <w:t>Армия:</w:t>
      </w:r>
    </w:p>
    <w:p w14:paraId="4130FE41" w14:textId="77777777" w:rsidR="00B67D7C" w:rsidRPr="00DE096C" w:rsidRDefault="00B67D7C" w:rsidP="00D45A46">
      <w:pPr>
        <w:jc w:val="both"/>
        <w:rPr>
          <w:rStyle w:val="1"/>
          <w:b w:val="0"/>
          <w:bCs/>
          <w:i/>
          <w:color w:val="002060"/>
          <w:sz w:val="16"/>
          <w:szCs w:val="16"/>
        </w:rPr>
      </w:pPr>
    </w:p>
    <w:p w14:paraId="0F96D5AA" w14:textId="5A25E480" w:rsidR="00B67D7C" w:rsidRPr="00DE096C" w:rsidRDefault="00B67D7C" w:rsidP="00D45A46">
      <w:pPr>
        <w:jc w:val="both"/>
        <w:rPr>
          <w:bCs/>
          <w:color w:val="002060"/>
          <w:sz w:val="16"/>
          <w:szCs w:val="16"/>
        </w:rPr>
      </w:pPr>
      <w:r w:rsidRPr="00DE096C">
        <w:rPr>
          <w:bCs/>
          <w:color w:val="002060"/>
          <w:sz w:val="16"/>
          <w:szCs w:val="16"/>
        </w:rPr>
        <w:t>19 августа</w:t>
      </w:r>
      <w:r w:rsidR="00E33915" w:rsidRPr="00DE096C">
        <w:rPr>
          <w:bCs/>
          <w:color w:val="002060"/>
          <w:sz w:val="16"/>
          <w:szCs w:val="16"/>
        </w:rPr>
        <w:t xml:space="preserve"> (1 сентября) </w:t>
      </w:r>
      <w:r w:rsidRPr="00DE096C">
        <w:rPr>
          <w:bCs/>
          <w:color w:val="002060"/>
          <w:sz w:val="16"/>
          <w:szCs w:val="16"/>
        </w:rPr>
        <w:t>1914 г. военный министр генерал-адъютант Сухомлинов вызвал к себе временно прикомандированного к канцелярии военного министерства лейб-гвардии Егерского полка полковника Добржанского и предложил ему сформировать «бронированную пулеметную автомобильную батарею». Этим самым военный министр «положил начало существованию блиндированных автомобилей» в России.</w:t>
      </w:r>
    </w:p>
    <w:p w14:paraId="288F8A44" w14:textId="77777777" w:rsidR="00B67D7C" w:rsidRPr="00DE096C" w:rsidRDefault="00B67D7C" w:rsidP="00D45A46">
      <w:pPr>
        <w:jc w:val="both"/>
        <w:rPr>
          <w:bCs/>
          <w:color w:val="002060"/>
          <w:sz w:val="16"/>
          <w:szCs w:val="16"/>
        </w:rPr>
      </w:pPr>
      <w:r w:rsidRPr="00DE096C">
        <w:rPr>
          <w:bCs/>
          <w:color w:val="002060"/>
          <w:sz w:val="16"/>
          <w:szCs w:val="16"/>
        </w:rPr>
        <w:t>В январе 1917 г., после обобщения первых сообщений о применении танков союзниками, а также собственного опыта применения бронеавтомобилей, был принят перспективный план формирования броневых частей русской армии. Этот план предусматривал создание новых бронедивизионов, оснащенных новой материальной частью вездеходного типа, среди которых особо выделялись боевые машины следующих типов:</w:t>
      </w:r>
    </w:p>
    <w:p w14:paraId="25B80C53" w14:textId="77777777" w:rsidR="00B67D7C" w:rsidRPr="00DE096C" w:rsidRDefault="00B67D7C" w:rsidP="00D45A46">
      <w:pPr>
        <w:jc w:val="both"/>
        <w:rPr>
          <w:bCs/>
          <w:color w:val="002060"/>
          <w:sz w:val="16"/>
          <w:szCs w:val="16"/>
        </w:rPr>
      </w:pPr>
      <w:r w:rsidRPr="00DE096C">
        <w:rPr>
          <w:bCs/>
          <w:color w:val="002060"/>
          <w:sz w:val="16"/>
          <w:szCs w:val="16"/>
        </w:rPr>
        <w:t>«1) бронеавтомобили по проекту Поплавко на полноприводных шасси типа «Джеффери», «Рено», «Панар- Левассер» и ФВД;</w:t>
      </w:r>
    </w:p>
    <w:p w14:paraId="20BD99C8" w14:textId="77777777" w:rsidR="00B67D7C" w:rsidRPr="00DE096C" w:rsidRDefault="00B67D7C" w:rsidP="00D45A46">
      <w:pPr>
        <w:jc w:val="both"/>
        <w:rPr>
          <w:bCs/>
          <w:color w:val="002060"/>
          <w:sz w:val="16"/>
          <w:szCs w:val="16"/>
        </w:rPr>
      </w:pPr>
      <w:r w:rsidRPr="00DE096C">
        <w:rPr>
          <w:bCs/>
          <w:color w:val="002060"/>
          <w:sz w:val="16"/>
          <w:szCs w:val="16"/>
        </w:rPr>
        <w:t>2) бронированные автомобили «Паккард», «Остин» /и др./… на вездеходных приспособлениях Кегресса;</w:t>
      </w:r>
    </w:p>
    <w:p w14:paraId="24C14807" w14:textId="77777777" w:rsidR="00B67D7C" w:rsidRPr="00DE096C" w:rsidRDefault="00B67D7C" w:rsidP="00D45A46">
      <w:pPr>
        <w:jc w:val="both"/>
        <w:rPr>
          <w:bCs/>
          <w:color w:val="002060"/>
          <w:sz w:val="16"/>
          <w:szCs w:val="16"/>
        </w:rPr>
      </w:pPr>
      <w:r w:rsidRPr="00DE096C">
        <w:rPr>
          <w:bCs/>
          <w:color w:val="002060"/>
          <w:sz w:val="16"/>
          <w:szCs w:val="16"/>
        </w:rPr>
        <w:t>3) заказ у французов танков «малого типа».</w:t>
      </w:r>
    </w:p>
    <w:p w14:paraId="25F4FB21" w14:textId="77777777" w:rsidR="00B67D7C" w:rsidRPr="00DE096C" w:rsidRDefault="00B67D7C" w:rsidP="00D45A46">
      <w:pPr>
        <w:jc w:val="both"/>
        <w:rPr>
          <w:bCs/>
          <w:color w:val="002060"/>
          <w:sz w:val="16"/>
          <w:szCs w:val="16"/>
        </w:rPr>
      </w:pPr>
      <w:r w:rsidRPr="00DE096C">
        <w:rPr>
          <w:bCs/>
          <w:color w:val="002060"/>
          <w:sz w:val="16"/>
          <w:szCs w:val="16"/>
        </w:rPr>
        <w:t>Революционные события февраля-марта 1917 г. затормозили реализацию этого плана до лета (12108).</w:t>
      </w:r>
    </w:p>
    <w:p w14:paraId="4252D883" w14:textId="77777777" w:rsidR="00B67D7C" w:rsidRPr="00DE096C" w:rsidRDefault="00B67D7C" w:rsidP="00D45A46">
      <w:pPr>
        <w:jc w:val="both"/>
        <w:rPr>
          <w:bCs/>
          <w:color w:val="002060"/>
          <w:sz w:val="16"/>
          <w:szCs w:val="16"/>
        </w:rPr>
      </w:pPr>
    </w:p>
    <w:p w14:paraId="7F48E3EA" w14:textId="306764D8" w:rsidR="0075385C" w:rsidRPr="00DE096C" w:rsidRDefault="0075385C" w:rsidP="00D45A46">
      <w:pPr>
        <w:jc w:val="both"/>
        <w:rPr>
          <w:bCs/>
          <w:color w:val="002060"/>
          <w:sz w:val="16"/>
          <w:szCs w:val="16"/>
        </w:rPr>
      </w:pPr>
      <w:r w:rsidRPr="00DE096C">
        <w:rPr>
          <w:bCs/>
          <w:color w:val="002060"/>
          <w:sz w:val="16"/>
          <w:szCs w:val="16"/>
        </w:rPr>
        <w:t xml:space="preserve">19 августа </w:t>
      </w:r>
      <w:r w:rsidR="00E33915" w:rsidRPr="00DE096C">
        <w:rPr>
          <w:bCs/>
          <w:color w:val="002060"/>
          <w:sz w:val="16"/>
          <w:szCs w:val="16"/>
        </w:rPr>
        <w:t xml:space="preserve">(1 сентября) </w:t>
      </w:r>
      <w:r w:rsidRPr="00DE096C">
        <w:rPr>
          <w:bCs/>
          <w:color w:val="002060"/>
          <w:sz w:val="16"/>
          <w:szCs w:val="16"/>
        </w:rPr>
        <w:t>в 1914 году в бою при Каушене (Восточная Пруссия) русский эскадрон барона П.Врангеля во внезапной атаке захватывает германскую артиллерийскую батарею (14988).</w:t>
      </w:r>
    </w:p>
    <w:p w14:paraId="2A5C8F68" w14:textId="77777777" w:rsidR="0075385C" w:rsidRPr="00DE096C" w:rsidRDefault="0075385C" w:rsidP="00D45A46">
      <w:pPr>
        <w:jc w:val="both"/>
        <w:rPr>
          <w:bCs/>
          <w:color w:val="002060"/>
          <w:sz w:val="16"/>
          <w:szCs w:val="16"/>
        </w:rPr>
      </w:pPr>
    </w:p>
    <w:p w14:paraId="3BF644F3" w14:textId="0F77098A" w:rsidR="0075385C" w:rsidRPr="00DE096C" w:rsidRDefault="0075385C" w:rsidP="00D45A46">
      <w:pPr>
        <w:jc w:val="both"/>
        <w:rPr>
          <w:bCs/>
          <w:color w:val="002060"/>
          <w:sz w:val="16"/>
          <w:szCs w:val="16"/>
        </w:rPr>
      </w:pPr>
      <w:r w:rsidRPr="00DE096C">
        <w:rPr>
          <w:bCs/>
          <w:color w:val="002060"/>
          <w:sz w:val="16"/>
          <w:szCs w:val="16"/>
        </w:rPr>
        <w:t xml:space="preserve">19 августа </w:t>
      </w:r>
      <w:r w:rsidR="00E33915" w:rsidRPr="00DE096C">
        <w:rPr>
          <w:bCs/>
          <w:color w:val="002060"/>
          <w:sz w:val="16"/>
          <w:szCs w:val="16"/>
        </w:rPr>
        <w:t xml:space="preserve">(1 сентября) </w:t>
      </w:r>
      <w:r w:rsidRPr="00DE096C">
        <w:rPr>
          <w:bCs/>
          <w:color w:val="002060"/>
          <w:sz w:val="16"/>
          <w:szCs w:val="16"/>
        </w:rPr>
        <w:t>в 1914 году русский генерал Н.Бобырь, командующий обороной осажденной крепости Новогеоргиевск (у Варшавы) ночью перебегает к немцам (14988).</w:t>
      </w:r>
    </w:p>
    <w:p w14:paraId="71BFF2A5" w14:textId="77777777" w:rsidR="0075385C" w:rsidRPr="00DE096C" w:rsidRDefault="0075385C" w:rsidP="00D45A46">
      <w:pPr>
        <w:jc w:val="both"/>
        <w:rPr>
          <w:bCs/>
          <w:color w:val="002060"/>
          <w:sz w:val="16"/>
          <w:szCs w:val="16"/>
        </w:rPr>
      </w:pPr>
    </w:p>
    <w:p w14:paraId="6BCC9202" w14:textId="77777777" w:rsidR="00E17878" w:rsidRPr="00DE096C" w:rsidRDefault="00E17878" w:rsidP="00D45A46">
      <w:pPr>
        <w:jc w:val="both"/>
        <w:rPr>
          <w:bCs/>
          <w:i/>
          <w:color w:val="002060"/>
          <w:sz w:val="16"/>
          <w:szCs w:val="16"/>
        </w:rPr>
      </w:pPr>
      <w:r w:rsidRPr="00DE096C">
        <w:rPr>
          <w:bCs/>
          <w:i/>
          <w:color w:val="002060"/>
          <w:sz w:val="16"/>
          <w:szCs w:val="16"/>
        </w:rPr>
        <w:t>Жизнь и внутренняя политика:</w:t>
      </w:r>
    </w:p>
    <w:p w14:paraId="220A507D" w14:textId="77777777" w:rsidR="00E17878" w:rsidRPr="00DE096C" w:rsidRDefault="00E17878" w:rsidP="00D45A46">
      <w:pPr>
        <w:jc w:val="both"/>
        <w:rPr>
          <w:bCs/>
          <w:i/>
          <w:color w:val="002060"/>
          <w:sz w:val="16"/>
          <w:szCs w:val="16"/>
        </w:rPr>
      </w:pPr>
    </w:p>
    <w:p w14:paraId="00BE8555" w14:textId="77777777" w:rsidR="00E17878" w:rsidRPr="00DE096C" w:rsidRDefault="00E17878" w:rsidP="00D45A46">
      <w:pPr>
        <w:jc w:val="both"/>
        <w:rPr>
          <w:bCs/>
          <w:color w:val="002060"/>
          <w:sz w:val="16"/>
          <w:szCs w:val="16"/>
        </w:rPr>
      </w:pPr>
      <w:r w:rsidRPr="00DE096C">
        <w:rPr>
          <w:rStyle w:val="ucoz-forum-post"/>
          <w:rFonts w:eastAsiaTheme="majorEastAsia"/>
          <w:bCs/>
          <w:color w:val="002060"/>
          <w:sz w:val="16"/>
          <w:szCs w:val="16"/>
        </w:rPr>
        <w:t xml:space="preserve">19 августа (1 сентября) </w:t>
      </w:r>
      <w:r w:rsidRPr="00DE096C">
        <w:rPr>
          <w:bCs/>
          <w:color w:val="002060"/>
          <w:sz w:val="16"/>
          <w:szCs w:val="16"/>
        </w:rPr>
        <w:t>в 1914 году столица России Санкт-Петербург переименовывается в Петроград (14756).</w:t>
      </w:r>
    </w:p>
    <w:p w14:paraId="280DD104" w14:textId="77777777" w:rsidR="00E17878" w:rsidRPr="00DE096C" w:rsidRDefault="00E17878" w:rsidP="00D45A46">
      <w:pPr>
        <w:jc w:val="both"/>
        <w:rPr>
          <w:bCs/>
          <w:color w:val="002060"/>
          <w:sz w:val="16"/>
          <w:szCs w:val="16"/>
        </w:rPr>
      </w:pPr>
    </w:p>
    <w:p w14:paraId="351856B4" w14:textId="77777777" w:rsidR="00B67D7C" w:rsidRPr="00DE096C" w:rsidRDefault="00B67D7C" w:rsidP="00D45A46">
      <w:pPr>
        <w:jc w:val="both"/>
        <w:rPr>
          <w:rStyle w:val="1"/>
          <w:b w:val="0"/>
          <w:bCs/>
          <w:i/>
          <w:color w:val="002060"/>
          <w:sz w:val="16"/>
          <w:szCs w:val="16"/>
        </w:rPr>
      </w:pPr>
      <w:r w:rsidRPr="00DE096C">
        <w:rPr>
          <w:rStyle w:val="1"/>
          <w:b w:val="0"/>
          <w:bCs/>
          <w:i/>
          <w:color w:val="002060"/>
          <w:sz w:val="16"/>
          <w:szCs w:val="16"/>
        </w:rPr>
        <w:t>Авиация и воздухоплавание Германии:</w:t>
      </w:r>
    </w:p>
    <w:p w14:paraId="01C30AFA" w14:textId="77777777" w:rsidR="00B67D7C" w:rsidRPr="00DE096C" w:rsidRDefault="00B67D7C" w:rsidP="00D45A46">
      <w:pPr>
        <w:jc w:val="both"/>
        <w:rPr>
          <w:rStyle w:val="1"/>
          <w:b w:val="0"/>
          <w:bCs/>
          <w:i/>
          <w:color w:val="002060"/>
          <w:sz w:val="16"/>
          <w:szCs w:val="16"/>
        </w:rPr>
      </w:pPr>
    </w:p>
    <w:p w14:paraId="3288D0E8" w14:textId="10533B8A" w:rsidR="00B67D7C" w:rsidRPr="00DE096C" w:rsidRDefault="00B67D7C" w:rsidP="00D45A46">
      <w:pPr>
        <w:jc w:val="both"/>
        <w:rPr>
          <w:bCs/>
          <w:color w:val="002060"/>
          <w:sz w:val="16"/>
          <w:szCs w:val="16"/>
        </w:rPr>
      </w:pPr>
      <w:r w:rsidRPr="00DE096C">
        <w:rPr>
          <w:bCs/>
          <w:color w:val="002060"/>
          <w:sz w:val="16"/>
          <w:szCs w:val="16"/>
        </w:rPr>
        <w:t>19 августа (1 сентября) 1914 SL-2</w:t>
      </w:r>
      <w:r w:rsidR="00E33915" w:rsidRPr="00DE096C">
        <w:rPr>
          <w:bCs/>
          <w:color w:val="002060"/>
          <w:sz w:val="16"/>
          <w:szCs w:val="16"/>
        </w:rPr>
        <w:t xml:space="preserve"> который обслуживал автрийскую армию, </w:t>
      </w:r>
      <w:r w:rsidRPr="00DE096C">
        <w:rPr>
          <w:bCs/>
          <w:color w:val="002060"/>
          <w:sz w:val="16"/>
          <w:szCs w:val="16"/>
        </w:rPr>
        <w:t>выполнил очень успешную разведку в районе Лодзь — Петраков. Бомбами, пулеметным огнем и разведкой дирижабли поддерживали австро-венгерскую армию в боях за Холм и Люблин. С августа по октябрь они часто бомбардировали русские крепости и железнодорожные станции Белостока, Лыка, а также Мульдзена, Варшавы и Млавы. Гражданский дирижабль «Саксония» провел ряд очень удачных налетов на русские города и, в частности, на форты Ломуси (11324).</w:t>
      </w:r>
    </w:p>
    <w:p w14:paraId="45C31954" w14:textId="77777777" w:rsidR="00B67D7C" w:rsidRPr="00DE096C" w:rsidRDefault="00B67D7C" w:rsidP="00D45A46">
      <w:pPr>
        <w:jc w:val="both"/>
        <w:rPr>
          <w:bCs/>
          <w:color w:val="002060"/>
          <w:sz w:val="16"/>
          <w:szCs w:val="16"/>
        </w:rPr>
      </w:pPr>
    </w:p>
    <w:p w14:paraId="68AF97D3" w14:textId="22547651" w:rsidR="00B67D7C" w:rsidRPr="00DE096C" w:rsidRDefault="00B67D7C" w:rsidP="00D45A46">
      <w:pPr>
        <w:jc w:val="both"/>
        <w:rPr>
          <w:bCs/>
          <w:color w:val="002060"/>
          <w:sz w:val="16"/>
          <w:szCs w:val="16"/>
        </w:rPr>
      </w:pPr>
      <w:r w:rsidRPr="00DE096C">
        <w:rPr>
          <w:bCs/>
          <w:color w:val="002060"/>
          <w:sz w:val="16"/>
          <w:szCs w:val="16"/>
        </w:rPr>
        <w:t xml:space="preserve">19 августа (1 сентября)1914 </w:t>
      </w:r>
      <w:r w:rsidR="00E33915" w:rsidRPr="00DE096C">
        <w:rPr>
          <w:bCs/>
          <w:color w:val="002060"/>
          <w:sz w:val="16"/>
          <w:szCs w:val="16"/>
        </w:rPr>
        <w:t xml:space="preserve">находившийся в распоряжении главного австрийского командования дирижабль “Шютте-Ланц SL-2” </w:t>
      </w:r>
      <w:r w:rsidRPr="00DE096C">
        <w:rPr>
          <w:bCs/>
          <w:color w:val="002060"/>
          <w:sz w:val="16"/>
          <w:szCs w:val="16"/>
        </w:rPr>
        <w:t>снова соверш</w:t>
      </w:r>
      <w:r w:rsidR="00E33915" w:rsidRPr="00DE096C">
        <w:rPr>
          <w:bCs/>
          <w:color w:val="002060"/>
          <w:sz w:val="16"/>
          <w:szCs w:val="16"/>
        </w:rPr>
        <w:t>ид</w:t>
      </w:r>
      <w:r w:rsidRPr="00DE096C">
        <w:rPr>
          <w:bCs/>
          <w:color w:val="002060"/>
          <w:sz w:val="16"/>
          <w:szCs w:val="16"/>
        </w:rPr>
        <w:t xml:space="preserve"> успешн</w:t>
      </w:r>
      <w:r w:rsidR="00E33915" w:rsidRPr="00DE096C">
        <w:rPr>
          <w:bCs/>
          <w:color w:val="002060"/>
          <w:sz w:val="16"/>
          <w:szCs w:val="16"/>
        </w:rPr>
        <w:t>ую</w:t>
      </w:r>
      <w:r w:rsidRPr="00DE096C">
        <w:rPr>
          <w:bCs/>
          <w:color w:val="002060"/>
          <w:sz w:val="16"/>
          <w:szCs w:val="16"/>
        </w:rPr>
        <w:t xml:space="preserve"> разведк</w:t>
      </w:r>
      <w:r w:rsidR="00E33915" w:rsidRPr="00DE096C">
        <w:rPr>
          <w:bCs/>
          <w:color w:val="002060"/>
          <w:sz w:val="16"/>
          <w:szCs w:val="16"/>
        </w:rPr>
        <w:t>у</w:t>
      </w:r>
      <w:r w:rsidRPr="00DE096C">
        <w:rPr>
          <w:bCs/>
          <w:color w:val="002060"/>
          <w:sz w:val="16"/>
          <w:szCs w:val="16"/>
        </w:rPr>
        <w:t xml:space="preserve"> в районе Лодзь—Петроков (11282).</w:t>
      </w:r>
    </w:p>
    <w:p w14:paraId="336055D1" w14:textId="77777777" w:rsidR="00B67D7C" w:rsidRPr="00DE096C" w:rsidRDefault="00B67D7C" w:rsidP="00D45A46">
      <w:pPr>
        <w:jc w:val="both"/>
        <w:rPr>
          <w:bCs/>
          <w:color w:val="002060"/>
          <w:sz w:val="16"/>
          <w:szCs w:val="16"/>
        </w:rPr>
      </w:pPr>
    </w:p>
    <w:p w14:paraId="11C8F670" w14:textId="77777777" w:rsidR="00B67D7C" w:rsidRPr="00DE096C" w:rsidRDefault="00B67D7C" w:rsidP="00D45A46">
      <w:pPr>
        <w:jc w:val="both"/>
        <w:rPr>
          <w:bCs/>
          <w:color w:val="002060"/>
          <w:sz w:val="16"/>
          <w:szCs w:val="16"/>
        </w:rPr>
      </w:pPr>
      <w:r w:rsidRPr="00DE096C">
        <w:rPr>
          <w:bCs/>
          <w:color w:val="002060"/>
          <w:sz w:val="16"/>
          <w:szCs w:val="16"/>
        </w:rPr>
        <w:t>19 августа (1 сентября) 1914 Дирижабль "Шютте-Ланц-2", находящийся в распоряжении австрийского командования, произвел успешную разведку в районе Лодзь - Петроков (11999).</w:t>
      </w:r>
    </w:p>
    <w:p w14:paraId="65A2F369" w14:textId="77777777" w:rsidR="00B67D7C" w:rsidRPr="00DE096C" w:rsidRDefault="00B67D7C" w:rsidP="00D45A46">
      <w:pPr>
        <w:jc w:val="both"/>
        <w:rPr>
          <w:bCs/>
          <w:color w:val="002060"/>
          <w:sz w:val="16"/>
          <w:szCs w:val="16"/>
        </w:rPr>
      </w:pPr>
    </w:p>
    <w:p w14:paraId="37610359" w14:textId="5C789421" w:rsidR="00B67D7C" w:rsidRPr="00DE096C" w:rsidRDefault="00B67D7C" w:rsidP="00D45A46">
      <w:pPr>
        <w:jc w:val="both"/>
        <w:rPr>
          <w:bCs/>
          <w:color w:val="002060"/>
          <w:sz w:val="16"/>
          <w:szCs w:val="16"/>
        </w:rPr>
      </w:pPr>
      <w:r w:rsidRPr="00DE096C">
        <w:rPr>
          <w:bCs/>
          <w:color w:val="002060"/>
          <w:sz w:val="16"/>
          <w:szCs w:val="16"/>
        </w:rPr>
        <w:lastRenderedPageBreak/>
        <w:t xml:space="preserve">19 августа (1 сентября) </w:t>
      </w:r>
      <w:r w:rsidR="00E33915" w:rsidRPr="00DE096C">
        <w:rPr>
          <w:bCs/>
          <w:color w:val="002060"/>
          <w:sz w:val="16"/>
          <w:szCs w:val="16"/>
        </w:rPr>
        <w:t xml:space="preserve">1914 г. Z-IX, которому </w:t>
      </w:r>
      <w:r w:rsidRPr="00DE096C">
        <w:rPr>
          <w:bCs/>
          <w:color w:val="002060"/>
          <w:sz w:val="16"/>
          <w:szCs w:val="16"/>
        </w:rPr>
        <w:t>удалось обнаружить основную стоянку войск противника близ Гента. Этот и другой его полет, совершенный 26 сентября в окрестностях Булони, были единственными удачными дальними разведками, выполненными боевыми дирижаблями Западного фронта. Далее последовали бомбардировки крепости Антверпен, складов Остенде, Кале и работавших на оборону заводов Нанси. [95]</w:t>
      </w:r>
    </w:p>
    <w:p w14:paraId="1FCA3F02" w14:textId="77777777" w:rsidR="00B67D7C" w:rsidRPr="00DE096C" w:rsidRDefault="00B67D7C" w:rsidP="00D45A46">
      <w:pPr>
        <w:jc w:val="both"/>
        <w:rPr>
          <w:bCs/>
          <w:color w:val="002060"/>
          <w:sz w:val="16"/>
          <w:szCs w:val="16"/>
        </w:rPr>
      </w:pPr>
      <w:r w:rsidRPr="00DE096C">
        <w:rPr>
          <w:bCs/>
          <w:color w:val="002060"/>
          <w:sz w:val="16"/>
          <w:szCs w:val="16"/>
        </w:rPr>
        <w:t xml:space="preserve">За первый месяц войны Германия лишилась трех своих цеппелинов. Противник, как показал его налет на эллинги в Дюссельдорфе и на верфи в Фридрихсхафене, высоко оценивал боевую деятельность немецких дирижаблей. </w:t>
      </w:r>
    </w:p>
    <w:p w14:paraId="2CDFE2C1" w14:textId="77777777" w:rsidR="00B67D7C" w:rsidRPr="00DE096C" w:rsidRDefault="00B67D7C" w:rsidP="00D45A46">
      <w:pPr>
        <w:jc w:val="both"/>
        <w:rPr>
          <w:bCs/>
          <w:color w:val="002060"/>
          <w:sz w:val="16"/>
          <w:szCs w:val="16"/>
        </w:rPr>
      </w:pPr>
      <w:r w:rsidRPr="00DE096C">
        <w:rPr>
          <w:bCs/>
          <w:color w:val="002060"/>
          <w:sz w:val="16"/>
          <w:szCs w:val="16"/>
        </w:rPr>
        <w:t xml:space="preserve">С быстрым продвижением германских войск расстояние от баз до целей увеличилось, в связи с чем постановка боевых задач дирижаблям и возможность их успешного выполнения были затруднены. Для решения этой проблемы была начата модернизация и достройка эллингов, имевшихся в Брюссель-Эттербеке и Мобеже, а также вновь возведены в 1914 году строения в Брюссель-Агате, Брюссель-Эвере и Гонтроде близ Гента. Одновременно началась постройка газодобывающих заводов в Брюсселе, Льеже и Мобеже. </w:t>
      </w:r>
    </w:p>
    <w:p w14:paraId="240AD457" w14:textId="77777777" w:rsidR="00B67D7C" w:rsidRPr="00DE096C" w:rsidRDefault="00B67D7C" w:rsidP="00D45A46">
      <w:pPr>
        <w:jc w:val="both"/>
        <w:rPr>
          <w:bCs/>
          <w:color w:val="002060"/>
          <w:sz w:val="16"/>
          <w:szCs w:val="16"/>
        </w:rPr>
      </w:pPr>
      <w:r w:rsidRPr="00DE096C">
        <w:rPr>
          <w:bCs/>
          <w:color w:val="002060"/>
          <w:sz w:val="16"/>
          <w:szCs w:val="16"/>
        </w:rPr>
        <w:t>Потеря трех воздушных кораблей указывала на то, что дирижабли из-за низкой высотности были непригодны для дневных полетов над занятой противником территорией и что их применение ночью обещало больше успеха. Если в начале войны воздушные корабли и не оправдали возложенных на них надежд, то их командиры и экипажи заслуживали глубокого уважения. Не зная той участи, какая их ожидает, часто под мощным обстрелом, на своих мало испытанных кораблях они геройски исполняли свой долг (11324).</w:t>
      </w:r>
    </w:p>
    <w:p w14:paraId="4E80D95B" w14:textId="77777777" w:rsidR="00B67D7C" w:rsidRPr="00DE096C" w:rsidRDefault="00B67D7C" w:rsidP="00D45A46">
      <w:pPr>
        <w:jc w:val="both"/>
        <w:rPr>
          <w:bCs/>
          <w:i/>
          <w:color w:val="002060"/>
          <w:sz w:val="16"/>
          <w:szCs w:val="16"/>
        </w:rPr>
      </w:pPr>
    </w:p>
    <w:p w14:paraId="401F6A66" w14:textId="20AA0A35" w:rsidR="00B67D7C" w:rsidRPr="00DE096C" w:rsidRDefault="00B67D7C" w:rsidP="00D45A46">
      <w:pPr>
        <w:jc w:val="both"/>
        <w:rPr>
          <w:bCs/>
          <w:color w:val="002060"/>
          <w:sz w:val="16"/>
          <w:szCs w:val="16"/>
        </w:rPr>
      </w:pPr>
      <w:r w:rsidRPr="00DE096C">
        <w:rPr>
          <w:bCs/>
          <w:color w:val="002060"/>
          <w:sz w:val="16"/>
          <w:szCs w:val="16"/>
        </w:rPr>
        <w:t xml:space="preserve">19 августа (1 сентября) 1914 </w:t>
      </w:r>
      <w:r w:rsidR="00E33915" w:rsidRPr="00DE096C">
        <w:rPr>
          <w:bCs/>
          <w:color w:val="002060"/>
          <w:sz w:val="16"/>
          <w:szCs w:val="16"/>
        </w:rPr>
        <w:t>г</w:t>
      </w:r>
      <w:r w:rsidRPr="00DE096C">
        <w:rPr>
          <w:bCs/>
          <w:color w:val="002060"/>
          <w:sz w:val="16"/>
          <w:szCs w:val="16"/>
        </w:rPr>
        <w:t>ерманский разведывательный дирижабль Z-IX ночыо обнаружил на северном участке фронта французские биваки близ Гента (11999).</w:t>
      </w:r>
    </w:p>
    <w:p w14:paraId="1041ABF1" w14:textId="77777777" w:rsidR="00B67D7C" w:rsidRPr="00DE096C" w:rsidRDefault="00B67D7C" w:rsidP="00D45A46">
      <w:pPr>
        <w:jc w:val="both"/>
        <w:rPr>
          <w:bCs/>
          <w:color w:val="002060"/>
          <w:sz w:val="16"/>
          <w:szCs w:val="16"/>
        </w:rPr>
      </w:pPr>
    </w:p>
    <w:p w14:paraId="6C3CD005" w14:textId="2E1E6B71" w:rsidR="00866BA3" w:rsidRPr="00DE096C" w:rsidRDefault="00866BA3" w:rsidP="00866BA3">
      <w:pPr>
        <w:jc w:val="both"/>
        <w:rPr>
          <w:rStyle w:val="1"/>
          <w:b w:val="0"/>
          <w:bCs/>
          <w:i/>
          <w:color w:val="002060"/>
          <w:sz w:val="16"/>
          <w:szCs w:val="16"/>
        </w:rPr>
      </w:pPr>
      <w:r w:rsidRPr="00DE096C">
        <w:rPr>
          <w:rStyle w:val="1"/>
          <w:b w:val="0"/>
          <w:bCs/>
          <w:i/>
          <w:color w:val="002060"/>
          <w:sz w:val="16"/>
          <w:szCs w:val="16"/>
        </w:rPr>
        <w:t xml:space="preserve">Авиация и воздухоплавание </w:t>
      </w:r>
      <w:r>
        <w:rPr>
          <w:rStyle w:val="1"/>
          <w:b w:val="0"/>
          <w:bCs/>
          <w:i/>
          <w:color w:val="002060"/>
          <w:sz w:val="16"/>
          <w:szCs w:val="16"/>
        </w:rPr>
        <w:t>Франции</w:t>
      </w:r>
      <w:r w:rsidRPr="00DE096C">
        <w:rPr>
          <w:rStyle w:val="1"/>
          <w:b w:val="0"/>
          <w:bCs/>
          <w:i/>
          <w:color w:val="002060"/>
          <w:sz w:val="16"/>
          <w:szCs w:val="16"/>
        </w:rPr>
        <w:t>:</w:t>
      </w:r>
    </w:p>
    <w:p w14:paraId="74054ED1" w14:textId="77777777" w:rsidR="00866BA3" w:rsidRPr="00DE096C" w:rsidRDefault="00866BA3" w:rsidP="00866BA3">
      <w:pPr>
        <w:jc w:val="both"/>
        <w:rPr>
          <w:rStyle w:val="1"/>
          <w:b w:val="0"/>
          <w:bCs/>
          <w:i/>
          <w:color w:val="002060"/>
          <w:sz w:val="16"/>
          <w:szCs w:val="16"/>
        </w:rPr>
      </w:pPr>
    </w:p>
    <w:p w14:paraId="44AAC239" w14:textId="77777777" w:rsidR="00866BA3" w:rsidRPr="00B52707" w:rsidRDefault="00866BA3" w:rsidP="00866BA3">
      <w:pPr>
        <w:jc w:val="both"/>
        <w:rPr>
          <w:color w:val="0070C0"/>
          <w:sz w:val="16"/>
          <w:szCs w:val="16"/>
        </w:rPr>
      </w:pPr>
      <w:r>
        <w:rPr>
          <w:color w:val="0070C0"/>
          <w:sz w:val="16"/>
          <w:szCs w:val="16"/>
        </w:rPr>
        <w:t>19 августа (</w:t>
      </w:r>
      <w:r w:rsidRPr="00B52707">
        <w:rPr>
          <w:color w:val="0070C0"/>
          <w:sz w:val="16"/>
          <w:szCs w:val="16"/>
        </w:rPr>
        <w:t>1 сентября</w:t>
      </w:r>
      <w:r>
        <w:rPr>
          <w:color w:val="0070C0"/>
          <w:sz w:val="16"/>
          <w:szCs w:val="16"/>
        </w:rPr>
        <w:t>_</w:t>
      </w:r>
      <w:r w:rsidRPr="00B52707">
        <w:rPr>
          <w:color w:val="0070C0"/>
          <w:sz w:val="16"/>
          <w:szCs w:val="16"/>
        </w:rPr>
        <w:t xml:space="preserve"> 1914 года в Лотарингии лейтенант Альбер Мори (</w:t>
      </w:r>
      <w:r w:rsidRPr="00B52707">
        <w:rPr>
          <w:color w:val="0070C0"/>
          <w:sz w:val="16"/>
          <w:szCs w:val="16"/>
          <w:lang w:val="en-US"/>
        </w:rPr>
        <w:t>Albert</w:t>
      </w:r>
      <w:r w:rsidRPr="00B52707">
        <w:rPr>
          <w:color w:val="0070C0"/>
          <w:sz w:val="16"/>
          <w:szCs w:val="16"/>
        </w:rPr>
        <w:t xml:space="preserve"> </w:t>
      </w:r>
      <w:r w:rsidRPr="00B52707">
        <w:rPr>
          <w:color w:val="0070C0"/>
          <w:sz w:val="16"/>
          <w:szCs w:val="16"/>
          <w:lang w:val="en-US"/>
        </w:rPr>
        <w:t>Moris</w:t>
      </w:r>
      <w:r w:rsidRPr="00B52707">
        <w:rPr>
          <w:color w:val="0070C0"/>
          <w:sz w:val="16"/>
          <w:szCs w:val="16"/>
        </w:rPr>
        <w:t xml:space="preserve">) из эскадрильи </w:t>
      </w:r>
      <w:r w:rsidRPr="00B52707">
        <w:rPr>
          <w:color w:val="0070C0"/>
          <w:sz w:val="16"/>
          <w:szCs w:val="16"/>
          <w:lang w:val="en-US"/>
        </w:rPr>
        <w:t>MF</w:t>
      </w:r>
      <w:r w:rsidRPr="00B52707">
        <w:rPr>
          <w:color w:val="0070C0"/>
          <w:sz w:val="16"/>
          <w:szCs w:val="16"/>
        </w:rPr>
        <w:t xml:space="preserve"> 8, пилотируя </w:t>
      </w:r>
      <w:r w:rsidRPr="00B52707">
        <w:rPr>
          <w:color w:val="0070C0"/>
          <w:sz w:val="16"/>
          <w:szCs w:val="16"/>
          <w:lang w:val="en-US"/>
        </w:rPr>
        <w:t>Maurice</w:t>
      </w:r>
      <w:r w:rsidRPr="00B52707">
        <w:rPr>
          <w:color w:val="0070C0"/>
          <w:sz w:val="16"/>
          <w:szCs w:val="16"/>
        </w:rPr>
        <w:t xml:space="preserve"> </w:t>
      </w:r>
      <w:r w:rsidRPr="00B52707">
        <w:rPr>
          <w:color w:val="0070C0"/>
          <w:sz w:val="16"/>
          <w:szCs w:val="16"/>
          <w:lang w:val="en-US"/>
        </w:rPr>
        <w:t>Farman</w:t>
      </w:r>
      <w:r w:rsidRPr="00B52707">
        <w:rPr>
          <w:color w:val="0070C0"/>
          <w:sz w:val="16"/>
          <w:szCs w:val="16"/>
        </w:rPr>
        <w:t xml:space="preserve"> </w:t>
      </w:r>
      <w:r w:rsidRPr="00B52707">
        <w:rPr>
          <w:color w:val="0070C0"/>
          <w:sz w:val="16"/>
          <w:szCs w:val="16"/>
          <w:lang w:val="en-US"/>
        </w:rPr>
        <w:t>MF</w:t>
      </w:r>
      <w:r w:rsidRPr="00B52707">
        <w:rPr>
          <w:color w:val="0070C0"/>
          <w:sz w:val="16"/>
          <w:szCs w:val="16"/>
        </w:rPr>
        <w:t xml:space="preserve"> </w:t>
      </w:r>
      <w:r w:rsidRPr="00B52707">
        <w:rPr>
          <w:color w:val="0070C0"/>
          <w:sz w:val="16"/>
          <w:szCs w:val="16"/>
          <w:lang w:val="en-US"/>
        </w:rPr>
        <w:t>VII</w:t>
      </w:r>
      <w:r w:rsidRPr="00B52707">
        <w:rPr>
          <w:color w:val="0070C0"/>
          <w:sz w:val="16"/>
          <w:szCs w:val="16"/>
        </w:rPr>
        <w:t xml:space="preserve"> № 123, метал металлические дротики (так называемые «пули Бон» [</w:t>
      </w:r>
      <w:r w:rsidRPr="00B52707">
        <w:rPr>
          <w:color w:val="0070C0"/>
          <w:sz w:val="16"/>
          <w:szCs w:val="16"/>
          <w:lang w:val="en-US"/>
        </w:rPr>
        <w:t>balles</w:t>
      </w:r>
      <w:r w:rsidRPr="00B52707">
        <w:rPr>
          <w:color w:val="0070C0"/>
          <w:sz w:val="16"/>
          <w:szCs w:val="16"/>
        </w:rPr>
        <w:t xml:space="preserve"> </w:t>
      </w:r>
      <w:r w:rsidRPr="00B52707">
        <w:rPr>
          <w:color w:val="0070C0"/>
          <w:sz w:val="16"/>
          <w:szCs w:val="16"/>
          <w:lang w:val="en-US"/>
        </w:rPr>
        <w:t>Bon</w:t>
      </w:r>
      <w:r w:rsidRPr="00B52707">
        <w:rPr>
          <w:color w:val="0070C0"/>
          <w:sz w:val="16"/>
          <w:szCs w:val="16"/>
        </w:rPr>
        <w:t>]) в немецкий наблюдательный аэростат. Вероятно, он убил наблюдателя, поскольку баварские архивы сообщают нам, что в тот день зафиксирована гибель наблюдателя из 1-го (баварского) полевого воздухоплавательного отряда [Feldluftschiffer-Abteilung 1b (bayrisch); FLA 1(b)] обер-лейтенанта Ольденбурга (Oldenburg). Хотя храбрость Альбера Мори была высоко оценена самим генералом Жоффром и вознаграждена повышением по службе, он не смог поджечь и уничтожить аэростат, который был лишь пробит дротиками и который был быстро отремонтирован. Ещё раньше, 25 августа 1914 года, три экипажа Королевского летного корпуса заявили, что три немецких самолёта были вынуждены приземлиться в пределах их позиций в Ле-Като (Le Cateau), Ле-Кеснуа (Le Quesnoy) и к югу от Мобежа (Maubeuge). Ни один немецкий документ не позволяет проверить эти претензии, которые к тому же игнорируются британским командованием (25749).</w:t>
      </w:r>
    </w:p>
    <w:p w14:paraId="65E9EE0E" w14:textId="77777777" w:rsidR="00866BA3" w:rsidRPr="00B52707" w:rsidRDefault="00866BA3" w:rsidP="00866BA3">
      <w:pPr>
        <w:jc w:val="both"/>
        <w:rPr>
          <w:color w:val="0070C0"/>
          <w:sz w:val="16"/>
          <w:szCs w:val="16"/>
        </w:rPr>
      </w:pPr>
    </w:p>
    <w:p w14:paraId="2F611FE3" w14:textId="5AA83550" w:rsidR="00443642" w:rsidRPr="00DE096C" w:rsidRDefault="00443642" w:rsidP="00D45A46">
      <w:pPr>
        <w:jc w:val="both"/>
        <w:rPr>
          <w:rStyle w:val="1"/>
          <w:b w:val="0"/>
          <w:bCs/>
          <w:i/>
          <w:color w:val="002060"/>
          <w:sz w:val="16"/>
          <w:szCs w:val="16"/>
        </w:rPr>
      </w:pPr>
      <w:r w:rsidRPr="00DE096C">
        <w:rPr>
          <w:rStyle w:val="1"/>
          <w:b w:val="0"/>
          <w:bCs/>
          <w:i/>
          <w:color w:val="002060"/>
          <w:sz w:val="16"/>
          <w:szCs w:val="16"/>
        </w:rPr>
        <w:t>Авиация и воздухоплавание за рубежом:</w:t>
      </w:r>
    </w:p>
    <w:p w14:paraId="3C110AD3" w14:textId="77777777" w:rsidR="00443642" w:rsidRPr="00DE096C" w:rsidRDefault="00443642" w:rsidP="00D45A46">
      <w:pPr>
        <w:jc w:val="both"/>
        <w:rPr>
          <w:rStyle w:val="1"/>
          <w:b w:val="0"/>
          <w:bCs/>
          <w:i/>
          <w:color w:val="002060"/>
          <w:sz w:val="16"/>
          <w:szCs w:val="16"/>
        </w:rPr>
      </w:pPr>
    </w:p>
    <w:p w14:paraId="5579FB73" w14:textId="77777777" w:rsidR="00443642" w:rsidRPr="00DE096C" w:rsidRDefault="00443642" w:rsidP="00D45A46">
      <w:pPr>
        <w:jc w:val="both"/>
        <w:rPr>
          <w:bCs/>
          <w:color w:val="002060"/>
          <w:sz w:val="16"/>
          <w:szCs w:val="16"/>
        </w:rPr>
      </w:pPr>
      <w:r w:rsidRPr="00DE096C">
        <w:rPr>
          <w:bCs/>
          <w:color w:val="002060"/>
          <w:sz w:val="16"/>
          <w:szCs w:val="16"/>
        </w:rPr>
        <w:t>19 августа (1 сентября) 1914 носитель гидросамолетов Wakamiya The Imperial ВМС Японии прибывает в залив Цзяочжоу, Китай , чтобы участвовать в операциях во время осады Циндао. Это первое боевое развертывание авианосца (20337).</w:t>
      </w:r>
    </w:p>
    <w:p w14:paraId="43B04F68" w14:textId="77777777" w:rsidR="00443642" w:rsidRPr="00DE096C" w:rsidRDefault="00443642" w:rsidP="00D45A46">
      <w:pPr>
        <w:jc w:val="both"/>
        <w:rPr>
          <w:bCs/>
          <w:color w:val="002060"/>
          <w:sz w:val="16"/>
          <w:szCs w:val="16"/>
        </w:rPr>
      </w:pPr>
    </w:p>
    <w:p w14:paraId="6FA92EF1" w14:textId="77777777" w:rsidR="00B67D7C" w:rsidRPr="00DE096C" w:rsidRDefault="00B67D7C" w:rsidP="00D45A46">
      <w:pPr>
        <w:jc w:val="both"/>
        <w:rPr>
          <w:bCs/>
          <w:i/>
          <w:color w:val="002060"/>
          <w:sz w:val="16"/>
          <w:szCs w:val="16"/>
        </w:rPr>
      </w:pPr>
      <w:r w:rsidRPr="00DE096C">
        <w:rPr>
          <w:bCs/>
          <w:i/>
          <w:color w:val="002060"/>
          <w:sz w:val="16"/>
          <w:szCs w:val="16"/>
        </w:rPr>
        <w:t>Самолетостроение:</w:t>
      </w:r>
    </w:p>
    <w:p w14:paraId="487AB46F" w14:textId="77777777" w:rsidR="00B67D7C" w:rsidRPr="00DE096C" w:rsidRDefault="00B67D7C" w:rsidP="00D45A46">
      <w:pPr>
        <w:jc w:val="both"/>
        <w:rPr>
          <w:bCs/>
          <w:i/>
          <w:color w:val="002060"/>
          <w:sz w:val="16"/>
          <w:szCs w:val="16"/>
        </w:rPr>
      </w:pPr>
    </w:p>
    <w:p w14:paraId="2668DAEC" w14:textId="36CFEC6F" w:rsidR="00B67D7C" w:rsidRPr="00DE096C" w:rsidRDefault="00B67D7C" w:rsidP="00D45A46">
      <w:pPr>
        <w:jc w:val="both"/>
        <w:rPr>
          <w:bCs/>
          <w:color w:val="002060"/>
          <w:sz w:val="16"/>
          <w:szCs w:val="16"/>
        </w:rPr>
      </w:pPr>
      <w:r w:rsidRPr="00DE096C">
        <w:rPr>
          <w:bCs/>
          <w:color w:val="002060"/>
          <w:sz w:val="16"/>
          <w:szCs w:val="16"/>
        </w:rPr>
        <w:t>20 августа (2 сентября) аппарат С-15 доставили в Гребной порт вместе с двумя С-10, вариант "бис" или "в". Через два дня всех их подготовили к сдаточным испытаниям, которые пришлось отложить из-за плохой погоды. В конце сентября — начале октября 1914 г. С-15 был отправлен в Ревель и опробован там, но не удовлетворил требованиям, предъ</w:t>
      </w:r>
      <w:r w:rsidRPr="00DE096C">
        <w:rPr>
          <w:bCs/>
          <w:color w:val="002060"/>
          <w:sz w:val="16"/>
          <w:szCs w:val="16"/>
        </w:rPr>
        <w:softHyphen/>
        <w:t>являвшимся к нему. В середине октября его послали обратно на завод и более сведений о нем не поступало (2843).</w:t>
      </w:r>
    </w:p>
    <w:p w14:paraId="1FA345FC" w14:textId="77777777" w:rsidR="00B67D7C" w:rsidRPr="00DE096C" w:rsidRDefault="00B67D7C" w:rsidP="00D45A46">
      <w:pPr>
        <w:shd w:val="clear" w:color="auto" w:fill="FFFFFF"/>
        <w:jc w:val="both"/>
        <w:rPr>
          <w:bCs/>
          <w:color w:val="002060"/>
          <w:sz w:val="16"/>
          <w:szCs w:val="16"/>
        </w:rPr>
      </w:pPr>
    </w:p>
    <w:p w14:paraId="38E798E1" w14:textId="77777777" w:rsidR="002848A1" w:rsidRPr="00DE096C" w:rsidRDefault="002848A1" w:rsidP="00D45A46">
      <w:pPr>
        <w:jc w:val="both"/>
        <w:rPr>
          <w:bCs/>
          <w:i/>
          <w:color w:val="002060"/>
          <w:sz w:val="16"/>
          <w:szCs w:val="16"/>
        </w:rPr>
      </w:pPr>
      <w:r w:rsidRPr="00DE096C">
        <w:rPr>
          <w:bCs/>
          <w:i/>
          <w:color w:val="002060"/>
          <w:sz w:val="16"/>
          <w:szCs w:val="16"/>
        </w:rPr>
        <w:t>Армия:</w:t>
      </w:r>
    </w:p>
    <w:p w14:paraId="27E0C143" w14:textId="77777777" w:rsidR="002848A1" w:rsidRPr="00DE096C" w:rsidRDefault="002848A1" w:rsidP="00D45A46">
      <w:pPr>
        <w:jc w:val="both"/>
        <w:rPr>
          <w:bCs/>
          <w:i/>
          <w:color w:val="002060"/>
          <w:sz w:val="16"/>
          <w:szCs w:val="16"/>
        </w:rPr>
      </w:pPr>
    </w:p>
    <w:p w14:paraId="7462F2CA" w14:textId="77777777" w:rsidR="002848A1" w:rsidRPr="00DE096C" w:rsidRDefault="002848A1" w:rsidP="00D45A46">
      <w:pPr>
        <w:jc w:val="both"/>
        <w:rPr>
          <w:bCs/>
          <w:color w:val="002060"/>
          <w:sz w:val="16"/>
          <w:szCs w:val="16"/>
        </w:rPr>
      </w:pPr>
      <w:r w:rsidRPr="00DE096C">
        <w:rPr>
          <w:bCs/>
          <w:color w:val="002060"/>
          <w:sz w:val="16"/>
          <w:szCs w:val="16"/>
        </w:rPr>
        <w:t>20 августа (2 сентября) в 1914 году в районе городов Гумбиннен и Гольдап в Восточной Пруссии 1-я русская армия под командованием генерала от кавалерии П.К.Ренненкампфа во встречном сражении разгромила 8-ю немецкую армию (14989).</w:t>
      </w:r>
    </w:p>
    <w:p w14:paraId="13092C37" w14:textId="77777777" w:rsidR="002848A1" w:rsidRPr="00DE096C" w:rsidRDefault="002848A1" w:rsidP="00D45A46">
      <w:pPr>
        <w:jc w:val="both"/>
        <w:rPr>
          <w:bCs/>
          <w:color w:val="002060"/>
          <w:sz w:val="16"/>
          <w:szCs w:val="16"/>
        </w:rPr>
      </w:pPr>
    </w:p>
    <w:p w14:paraId="55C09B81" w14:textId="77777777" w:rsidR="00B67D7C" w:rsidRPr="00DE096C" w:rsidRDefault="00B67D7C" w:rsidP="00D45A46">
      <w:pPr>
        <w:jc w:val="both"/>
        <w:rPr>
          <w:bCs/>
          <w:i/>
          <w:color w:val="002060"/>
          <w:sz w:val="16"/>
          <w:szCs w:val="16"/>
        </w:rPr>
      </w:pPr>
      <w:r w:rsidRPr="00DE096C">
        <w:rPr>
          <w:bCs/>
          <w:i/>
          <w:color w:val="002060"/>
          <w:sz w:val="16"/>
          <w:szCs w:val="16"/>
        </w:rPr>
        <w:t>Авиация:</w:t>
      </w:r>
    </w:p>
    <w:p w14:paraId="591A7E3A" w14:textId="77777777" w:rsidR="00B67D7C" w:rsidRPr="00DE096C" w:rsidRDefault="00B67D7C" w:rsidP="00D45A46">
      <w:pPr>
        <w:jc w:val="both"/>
        <w:rPr>
          <w:bCs/>
          <w:i/>
          <w:color w:val="002060"/>
          <w:sz w:val="16"/>
          <w:szCs w:val="16"/>
        </w:rPr>
      </w:pPr>
    </w:p>
    <w:p w14:paraId="68695328" w14:textId="06A64BB9"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20 августа (2 сентября) 1914 приказом военного министра </w:t>
      </w:r>
      <w:r w:rsidR="00E33915" w:rsidRPr="00DE096C">
        <w:rPr>
          <w:bCs/>
          <w:color w:val="002060"/>
          <w:sz w:val="16"/>
          <w:szCs w:val="16"/>
        </w:rPr>
        <w:t xml:space="preserve">было </w:t>
      </w:r>
      <w:r w:rsidRPr="00DE096C">
        <w:rPr>
          <w:bCs/>
          <w:color w:val="002060"/>
          <w:sz w:val="16"/>
          <w:szCs w:val="16"/>
        </w:rPr>
        <w:t>сформировано Авиационное отделение особого назначения (2 самолета), предназна-авшееся для совместных действий с морским флотом. Командиром отделения был назначен французский летчик, перешедший на русскую службу, штабс-капитан Пьер Грезо. Фактически отделение вело азведку на участке 10-й армии и. позже было развернуто во 2-й рмейский авиаотряд (ЦГВИА. ф. 2008, оп.1, д. 582, л. 30).</w:t>
      </w:r>
    </w:p>
    <w:p w14:paraId="2BA80870" w14:textId="77777777" w:rsidR="00B67D7C" w:rsidRPr="00DE096C" w:rsidRDefault="00B67D7C" w:rsidP="00D45A46">
      <w:pPr>
        <w:shd w:val="clear" w:color="auto" w:fill="FFFFFF"/>
        <w:jc w:val="both"/>
        <w:rPr>
          <w:bCs/>
          <w:color w:val="002060"/>
          <w:sz w:val="16"/>
          <w:szCs w:val="16"/>
        </w:rPr>
      </w:pPr>
    </w:p>
    <w:p w14:paraId="6E18CF57" w14:textId="232D7A5F" w:rsidR="006040A3" w:rsidRPr="00DE096C" w:rsidRDefault="006040A3" w:rsidP="00D45A46">
      <w:pPr>
        <w:jc w:val="both"/>
        <w:rPr>
          <w:bCs/>
          <w:color w:val="002060"/>
          <w:sz w:val="16"/>
          <w:szCs w:val="16"/>
        </w:rPr>
      </w:pPr>
      <w:r w:rsidRPr="00DE096C">
        <w:rPr>
          <w:bCs/>
          <w:color w:val="002060"/>
          <w:sz w:val="16"/>
          <w:szCs w:val="16"/>
        </w:rPr>
        <w:t xml:space="preserve">20 августа </w:t>
      </w:r>
      <w:r w:rsidR="005C182A" w:rsidRPr="00DE096C">
        <w:rPr>
          <w:bCs/>
          <w:color w:val="002060"/>
          <w:sz w:val="16"/>
          <w:szCs w:val="16"/>
        </w:rPr>
        <w:t xml:space="preserve">(2 сентября) </w:t>
      </w:r>
      <w:r w:rsidRPr="00DE096C">
        <w:rPr>
          <w:bCs/>
          <w:color w:val="002060"/>
          <w:sz w:val="16"/>
          <w:szCs w:val="16"/>
        </w:rPr>
        <w:t>1914 г. приказом военного министра сформировано Авиационное отделение особого назначения /2 самолета/, предназначавшееся совместных действий с морским флотом. Командиром отделения назначен Французский летчик, перешедший на русскую службу, капитан Пьер Грезе. Фактически отделение вело разведку на участке 10-й армии и позже было развернуто во 2-й армейский авиотряд,</w:t>
      </w:r>
    </w:p>
    <w:p w14:paraId="48D7213C" w14:textId="77777777" w:rsidR="006040A3" w:rsidRPr="00DE096C" w:rsidRDefault="006040A3" w:rsidP="00D45A46">
      <w:pPr>
        <w:jc w:val="both"/>
        <w:rPr>
          <w:bCs/>
          <w:color w:val="002060"/>
          <w:sz w:val="16"/>
          <w:szCs w:val="16"/>
        </w:rPr>
      </w:pPr>
      <w:r w:rsidRPr="00DE096C">
        <w:rPr>
          <w:bCs/>
          <w:color w:val="002060"/>
          <w:sz w:val="16"/>
          <w:szCs w:val="16"/>
        </w:rPr>
        <w:t>/ЦГВИА, ф. 2008, оп. 1, Д. 582, Л. 30/ (23320).</w:t>
      </w:r>
    </w:p>
    <w:p w14:paraId="0022D28B" w14:textId="77777777" w:rsidR="006040A3" w:rsidRPr="00DE096C" w:rsidRDefault="006040A3" w:rsidP="00D45A46">
      <w:pPr>
        <w:jc w:val="both"/>
        <w:rPr>
          <w:bCs/>
          <w:color w:val="002060"/>
          <w:sz w:val="16"/>
          <w:szCs w:val="16"/>
        </w:rPr>
      </w:pPr>
    </w:p>
    <w:p w14:paraId="4F18F598" w14:textId="2C5BE2A7" w:rsidR="005C182A" w:rsidRPr="00DE096C" w:rsidRDefault="005C182A" w:rsidP="00D45A46">
      <w:pPr>
        <w:jc w:val="both"/>
        <w:rPr>
          <w:bCs/>
          <w:color w:val="002060"/>
          <w:sz w:val="16"/>
          <w:szCs w:val="16"/>
        </w:rPr>
      </w:pPr>
      <w:r w:rsidRPr="00DE096C">
        <w:rPr>
          <w:bCs/>
          <w:color w:val="002060"/>
          <w:sz w:val="16"/>
          <w:szCs w:val="16"/>
        </w:rPr>
        <w:t>20 августа (2 сентября) 1914 г. наши войска в районе г. Радом (царство Польское) подбили неприятельский летательный аппарат. Он опустился на территории, занятой русскими войсками. Экипаж аэроплана (2 летчика-офицера) попал в плен (23405).</w:t>
      </w:r>
    </w:p>
    <w:p w14:paraId="0B92BACA" w14:textId="77777777" w:rsidR="005C182A" w:rsidRPr="00DE096C" w:rsidRDefault="005C182A" w:rsidP="00D45A46">
      <w:pPr>
        <w:jc w:val="both"/>
        <w:rPr>
          <w:bCs/>
          <w:color w:val="002060"/>
          <w:sz w:val="16"/>
          <w:szCs w:val="16"/>
        </w:rPr>
      </w:pPr>
    </w:p>
    <w:p w14:paraId="17148072" w14:textId="5C12FAE1" w:rsidR="005C182A" w:rsidRPr="00DE096C" w:rsidRDefault="005C182A" w:rsidP="00D45A46">
      <w:pPr>
        <w:jc w:val="both"/>
        <w:rPr>
          <w:bCs/>
          <w:color w:val="002060"/>
          <w:sz w:val="16"/>
          <w:szCs w:val="16"/>
          <w:lang w:bidi="en-US"/>
        </w:rPr>
      </w:pPr>
      <w:bookmarkStart w:id="136" w:name="bookmark32"/>
      <w:bookmarkStart w:id="137" w:name="bookmark33"/>
      <w:r w:rsidRPr="00DE096C">
        <w:rPr>
          <w:bCs/>
          <w:color w:val="002060"/>
          <w:sz w:val="16"/>
          <w:szCs w:val="16"/>
          <w:lang w:bidi="en-US"/>
        </w:rPr>
        <w:t xml:space="preserve">20 августа </w:t>
      </w:r>
      <w:r w:rsidRPr="00DE096C">
        <w:rPr>
          <w:bCs/>
          <w:color w:val="002060"/>
          <w:sz w:val="16"/>
          <w:szCs w:val="16"/>
        </w:rPr>
        <w:t xml:space="preserve">(2 сентября) </w:t>
      </w:r>
      <w:r w:rsidRPr="00DE096C">
        <w:rPr>
          <w:bCs/>
          <w:color w:val="002060"/>
          <w:sz w:val="16"/>
          <w:szCs w:val="16"/>
          <w:lang w:bidi="en-US"/>
        </w:rPr>
        <w:t>1914 г. на Юго-Западном фронте 3-я русская армия продвинулась на территорию Австро-Венгрии. Под Ярославицей произошли кавалерийские столкновения. На следующий день 8-я армия русских начала наступление (23525).</w:t>
      </w:r>
    </w:p>
    <w:p w14:paraId="08905D93" w14:textId="77777777" w:rsidR="005C182A" w:rsidRPr="00DE096C" w:rsidRDefault="005C182A" w:rsidP="00D45A46">
      <w:pPr>
        <w:jc w:val="both"/>
        <w:rPr>
          <w:bCs/>
          <w:color w:val="002060"/>
          <w:sz w:val="16"/>
          <w:szCs w:val="16"/>
        </w:rPr>
      </w:pPr>
    </w:p>
    <w:p w14:paraId="256280CF" w14:textId="5F2F7E40" w:rsidR="005C182A" w:rsidRPr="00DE096C" w:rsidRDefault="005C182A" w:rsidP="00D45A46">
      <w:pPr>
        <w:jc w:val="both"/>
        <w:rPr>
          <w:bCs/>
          <w:color w:val="002060"/>
          <w:sz w:val="16"/>
          <w:szCs w:val="16"/>
        </w:rPr>
      </w:pPr>
      <w:r w:rsidRPr="00DE096C">
        <w:rPr>
          <w:bCs/>
          <w:color w:val="002060"/>
          <w:sz w:val="16"/>
          <w:szCs w:val="16"/>
        </w:rPr>
        <w:t>20 августа (2 сентября) 1914 г. вечером германский дирижабль подверг бомбардировке передовые русские позиции в Восточной Пруссии. В результате ранение получили несколько человек. Через несколько дней бомба, брошенная с цеппелина, попала в бивак (лагерь) 111-го пехотного Камского полка и вывела из строя убитыми и ранеными сразу 17 человек.</w:t>
      </w:r>
      <w:bookmarkEnd w:id="136"/>
      <w:bookmarkEnd w:id="137"/>
    </w:p>
    <w:p w14:paraId="4EF445B6" w14:textId="77777777" w:rsidR="005C182A" w:rsidRPr="00DE096C" w:rsidRDefault="005C182A" w:rsidP="00D45A46">
      <w:pPr>
        <w:jc w:val="both"/>
        <w:rPr>
          <w:bCs/>
          <w:color w:val="002060"/>
          <w:sz w:val="16"/>
          <w:szCs w:val="16"/>
        </w:rPr>
      </w:pPr>
      <w:bookmarkStart w:id="138" w:name="bookmark34"/>
      <w:r w:rsidRPr="00DE096C">
        <w:rPr>
          <w:bCs/>
          <w:color w:val="002060"/>
          <w:sz w:val="16"/>
          <w:szCs w:val="16"/>
        </w:rPr>
        <w:t>Другой раз цеппелин в одном из своих ночных налетов на место расположения штаба 1-й русской армии в г. Инстербург (Восточная Пруссия; с 1946 г. - г. Черняховск) сбросил несколько легких бомб в расположенную на восточной окраине города конюшню, убив при этом 30 лошадей.</w:t>
      </w:r>
      <w:bookmarkEnd w:id="138"/>
    </w:p>
    <w:p w14:paraId="0C234005" w14:textId="77777777" w:rsidR="005C182A" w:rsidRPr="00DE096C" w:rsidRDefault="005C182A" w:rsidP="00D45A46">
      <w:pPr>
        <w:jc w:val="both"/>
        <w:rPr>
          <w:bCs/>
          <w:color w:val="002060"/>
          <w:sz w:val="16"/>
          <w:szCs w:val="16"/>
        </w:rPr>
      </w:pPr>
      <w:r w:rsidRPr="00DE096C">
        <w:rPr>
          <w:bCs/>
          <w:color w:val="002060"/>
          <w:sz w:val="16"/>
          <w:szCs w:val="16"/>
        </w:rPr>
        <w:t>В это время дирижабли противника причиняли наибольшие неприятности с началом военных действий частям Северо-Западного фронта.</w:t>
      </w:r>
    </w:p>
    <w:p w14:paraId="3F5BBEAE" w14:textId="77777777" w:rsidR="005C182A" w:rsidRPr="00DE096C" w:rsidRDefault="005C182A" w:rsidP="00D45A46">
      <w:pPr>
        <w:jc w:val="both"/>
        <w:rPr>
          <w:bCs/>
          <w:color w:val="002060"/>
          <w:sz w:val="16"/>
          <w:szCs w:val="16"/>
        </w:rPr>
      </w:pPr>
      <w:r w:rsidRPr="00DE096C">
        <w:rPr>
          <w:bCs/>
          <w:color w:val="002060"/>
          <w:sz w:val="16"/>
          <w:szCs w:val="16"/>
        </w:rPr>
        <w:t>За уничтожение вражеского дирижабля командованием армией была обещана крупная денежная награда. Это настолько подняло дух личного состава, что порой приводило к курьезным случаям. Во время очередного ночного визита цеппелина в Инстербурге один из чиновников армейского управления попытался его сбить стрельбой из револьвера. Для такого воздушного исполина это было сравнимо как слону дробина. За все время рейдов цеппелинов в Восточной Пруссии в первые месяцы войны ни один из них не был поражен нашими средствами воздушной обороны. В свою очередь, германским аэронавтам не удалось достигнуть поставленной цели - разбомбить штаб 1-й русской армии. Для его защиты был создан специальный охранный отряд, объединявший в своем составе подразделения пехоты, кавалерии и артиллерии. Он также решал задачи и противовоздушного прикрытия обороняемого объекта (23405).</w:t>
      </w:r>
    </w:p>
    <w:p w14:paraId="3DAF0243" w14:textId="77777777" w:rsidR="005C182A" w:rsidRPr="00DE096C" w:rsidRDefault="005C182A" w:rsidP="00D45A46">
      <w:pPr>
        <w:jc w:val="both"/>
        <w:rPr>
          <w:bCs/>
          <w:color w:val="002060"/>
          <w:sz w:val="16"/>
          <w:szCs w:val="16"/>
        </w:rPr>
      </w:pPr>
    </w:p>
    <w:p w14:paraId="7DF69123" w14:textId="4D1B38AF" w:rsidR="005C182A" w:rsidRPr="00DE096C" w:rsidRDefault="005C182A" w:rsidP="00D45A46">
      <w:pPr>
        <w:jc w:val="both"/>
        <w:rPr>
          <w:bCs/>
          <w:color w:val="002060"/>
          <w:sz w:val="16"/>
          <w:szCs w:val="16"/>
        </w:rPr>
      </w:pPr>
      <w:r w:rsidRPr="00DE096C">
        <w:rPr>
          <w:bCs/>
          <w:color w:val="002060"/>
          <w:sz w:val="16"/>
          <w:szCs w:val="16"/>
        </w:rPr>
        <w:t xml:space="preserve">В ночь с 20 на 21 августа (2 на 3 сентября) 1914 г. цеппелин Z-V (база - г. Кёнигсберг) провел глубокую воздушную разведку российской территории, пройдя по маршруту: Вроцлав - Плоцк— Кутно - Лодзь - Новогеоргиевск (Модлин), 24-25 августа он повторил ее (со сбросом бомб в расположении русских войск). Через два дня в ходе проведения очередной воздушной разведки цеппелин атаковал русскую кавалерийскую бригаду, подвергнув ее бомбоштурмовому удару. После этого дирижабль провел бомбардировку вокзала в г. Млава. По свидетельству одного из наших летчиков, рано утром «цеппелин начал уже кидать бомбы, причем одна из них попала в зал 1-го класса вокзала, пробила крышу и разорвалась, а другая бомба была брошена </w:t>
      </w:r>
      <w:bookmarkStart w:id="139" w:name="bookmark35"/>
      <w:r w:rsidRPr="00DE096C">
        <w:rPr>
          <w:bCs/>
          <w:color w:val="002060"/>
          <w:sz w:val="16"/>
          <w:szCs w:val="16"/>
        </w:rPr>
        <w:t>на полотно железной дороги, на место высадки одного из эшелонов. На месте оказалось несколько трупов... Всего сброшено было десять бомб».</w:t>
      </w:r>
      <w:bookmarkEnd w:id="139"/>
    </w:p>
    <w:p w14:paraId="772AF2E2" w14:textId="77777777" w:rsidR="005C182A" w:rsidRPr="00DE096C" w:rsidRDefault="005C182A" w:rsidP="00D45A46">
      <w:pPr>
        <w:jc w:val="both"/>
        <w:rPr>
          <w:bCs/>
          <w:color w:val="002060"/>
          <w:sz w:val="16"/>
          <w:szCs w:val="16"/>
        </w:rPr>
      </w:pPr>
      <w:bookmarkStart w:id="140" w:name="bookmark36"/>
      <w:r w:rsidRPr="00DE096C">
        <w:rPr>
          <w:bCs/>
          <w:color w:val="002060"/>
          <w:sz w:val="16"/>
          <w:szCs w:val="16"/>
        </w:rPr>
        <w:t>На этот раз удача отвернулась от германских аэронавтов. 27 августа воздушный корабль при обстреле с земли получил серьезные повреждения и совершил вынужденную посадку в районе Липовска. Огонь по дирижаблю вела полевая артиллерия (6-й конно</w:t>
      </w:r>
      <w:r w:rsidRPr="00DE096C">
        <w:rPr>
          <w:bCs/>
          <w:color w:val="002060"/>
          <w:sz w:val="16"/>
          <w:szCs w:val="16"/>
        </w:rPr>
        <w:softHyphen/>
        <w:t>артиллерийский дивизион) и пулеметная команда (штабс-капитан Н.Л. Калашников) лейб-гвардии Петроградского полка 3-й гвардейской пехотной дивизии 1-го армейского корпуса 2-й армии Северо</w:t>
      </w:r>
      <w:r w:rsidRPr="00DE096C">
        <w:rPr>
          <w:bCs/>
          <w:color w:val="002060"/>
          <w:sz w:val="16"/>
          <w:szCs w:val="16"/>
        </w:rPr>
        <w:softHyphen/>
        <w:t>Западного фронта. Дирижабль опустился в 5 км от Липовска. При спуске экипаж привел свое воздушное судно в негодность и попытался скрыться, но скоро был пленен нашими частями. В плен попал весь его экипаж (8 чел.) во главе с командиром корабля капитаном Э. Грюнером (Gn&gt;ner). В тот же день основные части сбитого дирижабля были доставлены в г. Киев, а позднее - в Офицерскую воздухоплавательную школу (г. Петроград).</w:t>
      </w:r>
      <w:bookmarkEnd w:id="140"/>
    </w:p>
    <w:p w14:paraId="45B4BC04" w14:textId="77777777" w:rsidR="005C182A" w:rsidRPr="00DE096C" w:rsidRDefault="005C182A" w:rsidP="00D45A46">
      <w:pPr>
        <w:jc w:val="both"/>
        <w:rPr>
          <w:bCs/>
          <w:color w:val="002060"/>
          <w:sz w:val="16"/>
          <w:szCs w:val="16"/>
        </w:rPr>
      </w:pPr>
      <w:bookmarkStart w:id="141" w:name="bookmark37"/>
      <w:r w:rsidRPr="00DE096C">
        <w:rPr>
          <w:bCs/>
          <w:color w:val="002060"/>
          <w:sz w:val="16"/>
          <w:szCs w:val="16"/>
        </w:rPr>
        <w:lastRenderedPageBreak/>
        <w:t>За уничтожение воздушного корабля противника артиллерийские расчеты удостоились правительственных наград. Георгиевскими крестами IV степени были награждены: бомбардиры-наводчики Н.И. Савенков, Х.Т. Оснач, Ф.П. Головко, И.А. Кривоносов, Д.Ф. Чабанюк, А.К. Галицкий (23405).</w:t>
      </w:r>
      <w:bookmarkEnd w:id="141"/>
    </w:p>
    <w:p w14:paraId="68588188"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Морская авиация:</w:t>
      </w:r>
    </w:p>
    <w:p w14:paraId="266E3E3C" w14:textId="77777777" w:rsidR="00B67D7C" w:rsidRPr="00DE096C" w:rsidRDefault="00B67D7C" w:rsidP="00D45A46">
      <w:pPr>
        <w:shd w:val="clear" w:color="auto" w:fill="FFFFFF"/>
        <w:jc w:val="both"/>
        <w:rPr>
          <w:bCs/>
          <w:i/>
          <w:color w:val="002060"/>
          <w:sz w:val="16"/>
          <w:szCs w:val="16"/>
        </w:rPr>
      </w:pPr>
    </w:p>
    <w:p w14:paraId="6E5658FD" w14:textId="333D7DF5"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20 августа (2 сентября) 1914 </w:t>
      </w:r>
      <w:r w:rsidR="00E33915" w:rsidRPr="00DE096C">
        <w:rPr>
          <w:bCs/>
          <w:color w:val="002060"/>
          <w:sz w:val="16"/>
          <w:szCs w:val="16"/>
        </w:rPr>
        <w:t xml:space="preserve">г. на одной из летающих лодок </w:t>
      </w:r>
      <w:r w:rsidRPr="00DE096C">
        <w:rPr>
          <w:bCs/>
          <w:color w:val="002060"/>
          <w:sz w:val="16"/>
          <w:szCs w:val="16"/>
        </w:rPr>
        <w:t>отличился лейте</w:t>
      </w:r>
      <w:r w:rsidRPr="00DE096C">
        <w:rPr>
          <w:bCs/>
          <w:color w:val="002060"/>
          <w:sz w:val="16"/>
          <w:szCs w:val="16"/>
        </w:rPr>
        <w:softHyphen/>
        <w:t>нант Илья Кульнев, обнаруживший при низкой облачности возле устья Финского залива германские корабли, готовящие</w:t>
      </w:r>
      <w:r w:rsidRPr="00DE096C">
        <w:rPr>
          <w:bCs/>
          <w:color w:val="002060"/>
          <w:sz w:val="16"/>
          <w:szCs w:val="16"/>
        </w:rPr>
        <w:softHyphen/>
        <w:t>ся к минной постановке. За превосходно выполненную развед</w:t>
      </w:r>
      <w:r w:rsidRPr="00DE096C">
        <w:rPr>
          <w:bCs/>
          <w:color w:val="002060"/>
          <w:sz w:val="16"/>
          <w:szCs w:val="16"/>
        </w:rPr>
        <w:softHyphen/>
        <w:t>ку, первым среди морских летчиков, он был награжден орде</w:t>
      </w:r>
      <w:r w:rsidRPr="00DE096C">
        <w:rPr>
          <w:bCs/>
          <w:color w:val="002060"/>
          <w:sz w:val="16"/>
          <w:szCs w:val="16"/>
        </w:rPr>
        <w:softHyphen/>
        <w:t>ном. Его предложение совершить групповой налет на Либаву с применением фугасных бомб оказалось невыполнимым из-за отсутствия такого опыта (11283).</w:t>
      </w:r>
    </w:p>
    <w:p w14:paraId="01A0CFE9" w14:textId="77777777" w:rsidR="00B67D7C" w:rsidRPr="00DE096C" w:rsidRDefault="00B67D7C" w:rsidP="00D45A46">
      <w:pPr>
        <w:shd w:val="clear" w:color="auto" w:fill="FFFFFF"/>
        <w:jc w:val="both"/>
        <w:rPr>
          <w:bCs/>
          <w:color w:val="002060"/>
          <w:sz w:val="16"/>
          <w:szCs w:val="16"/>
        </w:rPr>
      </w:pPr>
    </w:p>
    <w:p w14:paraId="783BE19B"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Авиация и воздухоплавание Англии:</w:t>
      </w:r>
    </w:p>
    <w:p w14:paraId="2C4AFD82" w14:textId="77777777" w:rsidR="00B67D7C" w:rsidRPr="00DE096C" w:rsidRDefault="00B67D7C" w:rsidP="00D45A46">
      <w:pPr>
        <w:pStyle w:val="a3"/>
        <w:jc w:val="both"/>
        <w:rPr>
          <w:bCs/>
          <w:color w:val="002060"/>
          <w:spacing w:val="0"/>
          <w:kern w:val="0"/>
          <w:position w:val="0"/>
          <w:sz w:val="16"/>
          <w:szCs w:val="16"/>
        </w:rPr>
      </w:pPr>
    </w:p>
    <w:p w14:paraId="53EC23FD" w14:textId="71D7A5A7" w:rsidR="00B67D7C" w:rsidRPr="00DE096C" w:rsidRDefault="00B67D7C" w:rsidP="00D45A46">
      <w:pPr>
        <w:jc w:val="both"/>
        <w:rPr>
          <w:bCs/>
          <w:color w:val="002060"/>
          <w:sz w:val="16"/>
          <w:szCs w:val="16"/>
        </w:rPr>
      </w:pPr>
      <w:r w:rsidRPr="00DE096C">
        <w:rPr>
          <w:bCs/>
          <w:color w:val="002060"/>
          <w:sz w:val="16"/>
          <w:szCs w:val="16"/>
        </w:rPr>
        <w:t xml:space="preserve">20 августа (2 сентября) 1914 года </w:t>
      </w:r>
      <w:r w:rsidR="00E33915" w:rsidRPr="00DE096C">
        <w:rPr>
          <w:bCs/>
          <w:color w:val="002060"/>
          <w:sz w:val="16"/>
          <w:szCs w:val="16"/>
        </w:rPr>
        <w:t xml:space="preserve">ночью </w:t>
      </w:r>
      <w:r w:rsidRPr="00DE096C">
        <w:rPr>
          <w:bCs/>
          <w:color w:val="002060"/>
          <w:sz w:val="16"/>
          <w:szCs w:val="16"/>
        </w:rPr>
        <w:t xml:space="preserve">немецкие цеппелины отбомбились по Антверпену. Ущерб городу был нанесен минимальный, но волна резонанса от этой во многом демонстрационной акции прокатилась по всей Европе. Перед британским военным министром была поставлена срочная задача: найти средства защиты от цеппелинов. Естественным образом взор министра упал на командующего Королевским летным [263] корпусом, но тот ловко вышел из положения, заявив, что вся вверенная ему авиация с августа 1914 года находится во Франции и оказывает посильную помощь Британскому экспедиционному корпусу, а в метрополии осталось для обучения только небольшое количество ветхих аппаратов, непригодных для использования на фронте. Выбор у военного министра был невелик, поэтому вся ответственность за защиту Отечества от предстоящих налетов цеппелинов была официально возложена на Королевскую морскую воздушную службу. </w:t>
      </w:r>
    </w:p>
    <w:p w14:paraId="252D90DB" w14:textId="77777777" w:rsidR="00B67D7C" w:rsidRPr="00DE096C" w:rsidRDefault="00B67D7C" w:rsidP="00D45A46">
      <w:pPr>
        <w:jc w:val="both"/>
        <w:rPr>
          <w:bCs/>
          <w:color w:val="002060"/>
          <w:sz w:val="16"/>
          <w:szCs w:val="16"/>
        </w:rPr>
      </w:pPr>
      <w:r w:rsidRPr="00DE096C">
        <w:rPr>
          <w:bCs/>
          <w:color w:val="002060"/>
          <w:sz w:val="16"/>
          <w:szCs w:val="16"/>
        </w:rPr>
        <w:t xml:space="preserve">Директором воздушного департамента ВМФ стал капитан Мюррей Ф. Суетер, который приобрел большой опыт, инспектируя строительство британского дирижабля «Мэйфлай». С целью выработки рекомендаций по организации системы противовоздушной обороны была сформирована комиссия, которую возглавил Уинстон Черчилль. </w:t>
      </w:r>
    </w:p>
    <w:p w14:paraId="601AE345" w14:textId="77777777" w:rsidR="00B67D7C" w:rsidRPr="00DE096C" w:rsidRDefault="00B67D7C" w:rsidP="00D45A46">
      <w:pPr>
        <w:jc w:val="both"/>
        <w:rPr>
          <w:bCs/>
          <w:color w:val="002060"/>
          <w:sz w:val="16"/>
          <w:szCs w:val="16"/>
        </w:rPr>
      </w:pPr>
      <w:r w:rsidRPr="00DE096C">
        <w:rPr>
          <w:bCs/>
          <w:color w:val="002060"/>
          <w:sz w:val="16"/>
          <w:szCs w:val="16"/>
        </w:rPr>
        <w:t xml:space="preserve">Первоначальная задача морских авиаторов заключалась в организации постоянного патрулирования воздушного пространства прибрежных районов Великобритании. Однако состав морской авиации явно не справлялся с поставленным заданием. Не было самолетов с большой длительностью полета и сильным вооружением, не хватало подготовленных летчиков и отлаженной системы обнаружения и оповещения. В связи с этим вероятность перехвата противника оценивалась весьма невысоко, что «с успехом» и было продемонстрировано 10 сентября, когда морской летчик на самолете «Фарман» вылетел на перехват обнаруженного дирижабля. Тревога оказалась ложной. </w:t>
      </w:r>
    </w:p>
    <w:p w14:paraId="028DB360" w14:textId="77777777" w:rsidR="00B67D7C" w:rsidRPr="00DE096C" w:rsidRDefault="00B67D7C" w:rsidP="00D45A46">
      <w:pPr>
        <w:jc w:val="both"/>
        <w:rPr>
          <w:bCs/>
          <w:color w:val="002060"/>
          <w:sz w:val="16"/>
          <w:szCs w:val="16"/>
        </w:rPr>
      </w:pPr>
      <w:r w:rsidRPr="00DE096C">
        <w:rPr>
          <w:bCs/>
          <w:color w:val="002060"/>
          <w:sz w:val="16"/>
          <w:szCs w:val="16"/>
        </w:rPr>
        <w:t xml:space="preserve">Ситуация еще больше ухудшилась, когда на примере Антверпена немцы продемонстрировали способность производить налеты в ночное время суток. В этих условиях Королевская морская авиация из-за отсутствия самолетов, оснащенных соответствующим оборудованием для ночных полетов, и подготовленных летчиков была практически бессильна. Имелись и другие проблемы. Так, было установлено, что атака дирижабля одним слабовооруженным самолетом достаточно легко отражалась командой с помощью бортовых стрелковых установок, а также путем выполнения правильных маневров уклонения от противника. </w:t>
      </w:r>
    </w:p>
    <w:p w14:paraId="11270D2B" w14:textId="77777777" w:rsidR="00B67D7C" w:rsidRPr="00DE096C" w:rsidRDefault="00B67D7C" w:rsidP="00D45A46">
      <w:pPr>
        <w:jc w:val="both"/>
        <w:rPr>
          <w:bCs/>
          <w:color w:val="002060"/>
          <w:sz w:val="16"/>
          <w:szCs w:val="16"/>
        </w:rPr>
      </w:pPr>
      <w:r w:rsidRPr="00DE096C">
        <w:rPr>
          <w:bCs/>
          <w:color w:val="002060"/>
          <w:sz w:val="16"/>
          <w:szCs w:val="16"/>
        </w:rPr>
        <w:t xml:space="preserve">Пилоты морской авиации отрабатывали разные тактические приемы нападения на цеппелины. Одним из них являлся заход на дирижабль сверху с последующим сбросом на него бомбы. Самым экзотическим методом атаки была буксировка на длинном фале захвата-резака, который при соприкосновении с воздушным кораблем вспарывал его газонепроницаемую оболочку. Тем не менее эксперименты показали, что ни один из этих способов не обеспечивает достижения удовлетворительного результата. </w:t>
      </w:r>
    </w:p>
    <w:p w14:paraId="2230F34E" w14:textId="77777777" w:rsidR="00B67D7C" w:rsidRPr="00DE096C" w:rsidRDefault="00B67D7C" w:rsidP="00D45A46">
      <w:pPr>
        <w:jc w:val="both"/>
        <w:rPr>
          <w:bCs/>
          <w:color w:val="002060"/>
          <w:sz w:val="16"/>
          <w:szCs w:val="16"/>
        </w:rPr>
      </w:pPr>
      <w:r w:rsidRPr="00DE096C">
        <w:rPr>
          <w:bCs/>
          <w:color w:val="002060"/>
          <w:sz w:val="16"/>
          <w:szCs w:val="16"/>
        </w:rPr>
        <w:t>Военные специалисты напряженно работали над совершенствованием авиационного оружия, способного результативно бороться с цеппелинами. Но все это было в перспективе. Не лучшим образом обстояло дело с зенитной артиллерией. [264] К началу войны на вооружении зенитных батарей находилось 33 орудия, которые к тому же были мало приспособлены для ведения эффективного огня, так как их переоборудовали из пехотных гаубиц и мортир (11324).</w:t>
      </w:r>
    </w:p>
    <w:p w14:paraId="4AF2C928" w14:textId="77777777" w:rsidR="00B67D7C" w:rsidRPr="00DE096C" w:rsidRDefault="00B67D7C" w:rsidP="00D45A46">
      <w:pPr>
        <w:jc w:val="both"/>
        <w:rPr>
          <w:bCs/>
          <w:i/>
          <w:color w:val="002060"/>
          <w:sz w:val="16"/>
          <w:szCs w:val="16"/>
        </w:rPr>
      </w:pPr>
    </w:p>
    <w:p w14:paraId="2343D3CD" w14:textId="7FD8A091" w:rsidR="00E33915" w:rsidRPr="00DE096C" w:rsidRDefault="00E33915" w:rsidP="00D45A46">
      <w:pPr>
        <w:pStyle w:val="a3"/>
        <w:jc w:val="both"/>
        <w:rPr>
          <w:bCs/>
          <w:color w:val="002060"/>
          <w:spacing w:val="0"/>
          <w:kern w:val="0"/>
          <w:position w:val="0"/>
          <w:sz w:val="16"/>
          <w:szCs w:val="16"/>
        </w:rPr>
      </w:pPr>
      <w:r w:rsidRPr="00DE096C">
        <w:rPr>
          <w:bCs/>
          <w:color w:val="002060"/>
          <w:spacing w:val="0"/>
          <w:kern w:val="0"/>
          <w:position w:val="0"/>
          <w:sz w:val="16"/>
          <w:szCs w:val="16"/>
        </w:rPr>
        <w:t>Авиация и воздухоплавание Германии:</w:t>
      </w:r>
    </w:p>
    <w:p w14:paraId="7C2115CB" w14:textId="77777777" w:rsidR="00E33915" w:rsidRPr="00DE096C" w:rsidRDefault="00E33915" w:rsidP="00D45A46">
      <w:pPr>
        <w:pStyle w:val="a3"/>
        <w:jc w:val="both"/>
        <w:rPr>
          <w:bCs/>
          <w:color w:val="002060"/>
          <w:spacing w:val="0"/>
          <w:kern w:val="0"/>
          <w:position w:val="0"/>
          <w:sz w:val="16"/>
          <w:szCs w:val="16"/>
        </w:rPr>
      </w:pPr>
    </w:p>
    <w:p w14:paraId="1F0AC0A6" w14:textId="1E30F4B5" w:rsidR="00E33915" w:rsidRPr="00DE096C" w:rsidRDefault="00E33915" w:rsidP="00D45A46">
      <w:pPr>
        <w:jc w:val="both"/>
        <w:rPr>
          <w:bCs/>
          <w:color w:val="002060"/>
          <w:sz w:val="16"/>
          <w:szCs w:val="16"/>
        </w:rPr>
      </w:pPr>
      <w:r w:rsidRPr="00DE096C">
        <w:rPr>
          <w:bCs/>
          <w:color w:val="002060"/>
          <w:sz w:val="16"/>
          <w:szCs w:val="16"/>
        </w:rPr>
        <w:t>20 августа (2 сентября) 1914 года Известный морской истребитель-ас Готфрид Банфельд сбросил с самолета Lohner E несколько небольших бомб на войска противника в Черногории. Биплан Lohner E был с однореданным деревянным корпусом и хвостовым оперением, расположенным на подкосных стойках значительно выше уровня хвостовой части корпуса. Он был оснащен двигателем Hiero мощностью 63 кВт (85 л.с.) в комбинации с толкающим воздушным винтом. Было построено около 40 машин. Первую же воздушную победу Банфельд одержал на машине серии Lohner Т (она отличалась двигателем). За время войны Банфельд выполнил на летающих лодках около 400 боевых вылетов и сбил 20 самолетов противника (14757).</w:t>
      </w:r>
    </w:p>
    <w:p w14:paraId="7A8D5354" w14:textId="77777777" w:rsidR="00E33915" w:rsidRPr="00DE096C" w:rsidRDefault="00E33915" w:rsidP="00D45A46">
      <w:pPr>
        <w:jc w:val="both"/>
        <w:rPr>
          <w:bCs/>
          <w:color w:val="002060"/>
          <w:sz w:val="16"/>
          <w:szCs w:val="16"/>
        </w:rPr>
      </w:pPr>
    </w:p>
    <w:p w14:paraId="73006DF0" w14:textId="4AA44EAD" w:rsidR="00866BA3" w:rsidRPr="00DE096C" w:rsidRDefault="00866BA3" w:rsidP="00866BA3">
      <w:pPr>
        <w:pStyle w:val="a3"/>
        <w:jc w:val="both"/>
        <w:rPr>
          <w:bCs/>
          <w:color w:val="002060"/>
          <w:spacing w:val="0"/>
          <w:kern w:val="0"/>
          <w:position w:val="0"/>
          <w:sz w:val="16"/>
          <w:szCs w:val="16"/>
        </w:rPr>
      </w:pPr>
      <w:r w:rsidRPr="00DE096C">
        <w:rPr>
          <w:bCs/>
          <w:color w:val="002060"/>
          <w:spacing w:val="0"/>
          <w:kern w:val="0"/>
          <w:position w:val="0"/>
          <w:sz w:val="16"/>
          <w:szCs w:val="16"/>
        </w:rPr>
        <w:t xml:space="preserve">Авиация и воздухоплавание </w:t>
      </w:r>
      <w:r>
        <w:rPr>
          <w:bCs/>
          <w:color w:val="002060"/>
          <w:spacing w:val="0"/>
          <w:kern w:val="0"/>
          <w:position w:val="0"/>
          <w:sz w:val="16"/>
          <w:szCs w:val="16"/>
        </w:rPr>
        <w:t>Франции</w:t>
      </w:r>
      <w:r w:rsidRPr="00DE096C">
        <w:rPr>
          <w:bCs/>
          <w:color w:val="002060"/>
          <w:spacing w:val="0"/>
          <w:kern w:val="0"/>
          <w:position w:val="0"/>
          <w:sz w:val="16"/>
          <w:szCs w:val="16"/>
        </w:rPr>
        <w:t>:</w:t>
      </w:r>
    </w:p>
    <w:p w14:paraId="72869675" w14:textId="77777777" w:rsidR="00866BA3" w:rsidRPr="00DE096C" w:rsidRDefault="00866BA3" w:rsidP="00866BA3">
      <w:pPr>
        <w:pStyle w:val="a3"/>
        <w:jc w:val="both"/>
        <w:rPr>
          <w:bCs/>
          <w:color w:val="002060"/>
          <w:spacing w:val="0"/>
          <w:kern w:val="0"/>
          <w:position w:val="0"/>
          <w:sz w:val="16"/>
          <w:szCs w:val="16"/>
        </w:rPr>
      </w:pPr>
    </w:p>
    <w:p w14:paraId="06FD5984" w14:textId="77777777" w:rsidR="00866BA3" w:rsidRPr="00B52707" w:rsidRDefault="00866BA3" w:rsidP="00866BA3">
      <w:pPr>
        <w:jc w:val="both"/>
        <w:rPr>
          <w:color w:val="0070C0"/>
          <w:sz w:val="16"/>
          <w:szCs w:val="16"/>
        </w:rPr>
      </w:pPr>
      <w:r w:rsidRPr="00B52707">
        <w:rPr>
          <w:color w:val="0070C0"/>
          <w:sz w:val="16"/>
          <w:szCs w:val="16"/>
        </w:rPr>
        <w:t>20 августа (2 сентября) 1914 года самолет Blériot La Vache под управлением Луи Ведрина сбил немецкий самолет над Жоншери-Сюр-Вель (Jonchery-sur-Vesle). Это событие, произошедшее в первые дни Первой Мировой войны, вполне может считаться первой воздушной победой в истории.</w:t>
      </w:r>
    </w:p>
    <w:p w14:paraId="405FDB98" w14:textId="77777777" w:rsidR="00866BA3" w:rsidRPr="00B52707" w:rsidRDefault="00866BA3" w:rsidP="00866BA3">
      <w:pPr>
        <w:jc w:val="both"/>
        <w:rPr>
          <w:color w:val="0070C0"/>
          <w:sz w:val="16"/>
          <w:szCs w:val="16"/>
        </w:rPr>
      </w:pPr>
      <w:r w:rsidRPr="00B52707">
        <w:rPr>
          <w:color w:val="0070C0"/>
          <w:sz w:val="16"/>
          <w:szCs w:val="16"/>
        </w:rPr>
        <w:t>Согласно общепринятой исторической точке зрения, первая официальная воздушная победа произошла осенью 1914 года. 5 октября 1914 года в районе Реймса самолет Voisin L № 89 из состава эскадрильи V 24, с экипажем из летчика сержанта Жозефа Франца и механика Луи Кено (Louis Quenault) в качестве стрелка-наблюдателя пересек маршрут биплана Aviatik B (n°B 14/114) из состава 18-го полевого авиаотряда (Feld Flieger Abteilung 18; FFA 18) с экипажем из пилота унтер-офицера Вильгельма Шлихтинга (Wilhelm Schlichting) и наблюдателя обер-лейтенанта Фрица фон Цангена (Fritz von Zangen) (25741).</w:t>
      </w:r>
    </w:p>
    <w:p w14:paraId="38782A5D" w14:textId="77777777" w:rsidR="00866BA3" w:rsidRPr="00B52707" w:rsidRDefault="00866BA3" w:rsidP="00866BA3">
      <w:pPr>
        <w:jc w:val="both"/>
        <w:rPr>
          <w:color w:val="0070C0"/>
          <w:sz w:val="16"/>
          <w:szCs w:val="16"/>
        </w:rPr>
      </w:pPr>
    </w:p>
    <w:p w14:paraId="0A6F0100" w14:textId="77777777" w:rsidR="00307FC0" w:rsidRPr="00DE096C" w:rsidRDefault="00307FC0" w:rsidP="00D45A46">
      <w:pPr>
        <w:jc w:val="both"/>
        <w:rPr>
          <w:bCs/>
          <w:i/>
          <w:color w:val="002060"/>
          <w:sz w:val="16"/>
          <w:szCs w:val="16"/>
        </w:rPr>
      </w:pPr>
      <w:r w:rsidRPr="00DE096C">
        <w:rPr>
          <w:bCs/>
          <w:i/>
          <w:color w:val="002060"/>
          <w:sz w:val="16"/>
          <w:szCs w:val="16"/>
        </w:rPr>
        <w:t>За рубежом:</w:t>
      </w:r>
    </w:p>
    <w:p w14:paraId="5F8624DB" w14:textId="77777777" w:rsidR="00307FC0" w:rsidRPr="00DE096C" w:rsidRDefault="00307FC0" w:rsidP="00D45A46">
      <w:pPr>
        <w:jc w:val="both"/>
        <w:rPr>
          <w:bCs/>
          <w:color w:val="002060"/>
          <w:sz w:val="16"/>
          <w:szCs w:val="16"/>
        </w:rPr>
      </w:pPr>
    </w:p>
    <w:p w14:paraId="3840C6D1" w14:textId="77777777" w:rsidR="00307FC0" w:rsidRPr="00DE096C" w:rsidRDefault="00307FC0" w:rsidP="00D45A46">
      <w:pPr>
        <w:jc w:val="both"/>
        <w:rPr>
          <w:bCs/>
          <w:color w:val="002060"/>
          <w:sz w:val="16"/>
          <w:szCs w:val="16"/>
        </w:rPr>
      </w:pPr>
      <w:r w:rsidRPr="00DE096C">
        <w:rPr>
          <w:rStyle w:val="ucoz-forum-post"/>
          <w:rFonts w:eastAsiaTheme="majorEastAsia"/>
          <w:bCs/>
          <w:color w:val="002060"/>
          <w:sz w:val="16"/>
          <w:szCs w:val="16"/>
        </w:rPr>
        <w:t xml:space="preserve">20 августа (2 сентября) </w:t>
      </w:r>
      <w:r w:rsidRPr="00DE096C">
        <w:rPr>
          <w:bCs/>
          <w:color w:val="002060"/>
          <w:sz w:val="16"/>
          <w:szCs w:val="16"/>
        </w:rPr>
        <w:t>в 1914 году в Берлине состоялся парад захваченного на фронте русского оружия (14757).</w:t>
      </w:r>
    </w:p>
    <w:p w14:paraId="281810ED" w14:textId="77777777" w:rsidR="00307FC0" w:rsidRPr="00DE096C" w:rsidRDefault="00307FC0" w:rsidP="00D45A46">
      <w:pPr>
        <w:jc w:val="both"/>
        <w:rPr>
          <w:bCs/>
          <w:color w:val="002060"/>
          <w:sz w:val="16"/>
          <w:szCs w:val="16"/>
        </w:rPr>
      </w:pPr>
    </w:p>
    <w:p w14:paraId="3E4E1523" w14:textId="77777777" w:rsidR="00307FC0" w:rsidRPr="00DE096C" w:rsidRDefault="00307FC0" w:rsidP="00D45A46">
      <w:pPr>
        <w:jc w:val="both"/>
        <w:rPr>
          <w:bCs/>
          <w:color w:val="002060"/>
          <w:sz w:val="16"/>
          <w:szCs w:val="16"/>
        </w:rPr>
      </w:pPr>
      <w:r w:rsidRPr="00DE096C">
        <w:rPr>
          <w:rStyle w:val="ucoz-forum-post"/>
          <w:rFonts w:eastAsiaTheme="majorEastAsia"/>
          <w:bCs/>
          <w:color w:val="002060"/>
          <w:sz w:val="16"/>
          <w:szCs w:val="16"/>
        </w:rPr>
        <w:t xml:space="preserve">20 августа (2 сентября) </w:t>
      </w:r>
      <w:r w:rsidRPr="00DE096C">
        <w:rPr>
          <w:bCs/>
          <w:color w:val="002060"/>
          <w:sz w:val="16"/>
          <w:szCs w:val="16"/>
        </w:rPr>
        <w:t>в 1914 году правительство Франции переезжает в Бордо (14757).</w:t>
      </w:r>
    </w:p>
    <w:p w14:paraId="548DACAA" w14:textId="77777777" w:rsidR="00307FC0" w:rsidRPr="00DE096C" w:rsidRDefault="00307FC0" w:rsidP="00D45A46">
      <w:pPr>
        <w:jc w:val="both"/>
        <w:rPr>
          <w:bCs/>
          <w:color w:val="002060"/>
          <w:sz w:val="16"/>
          <w:szCs w:val="16"/>
        </w:rPr>
      </w:pPr>
    </w:p>
    <w:p w14:paraId="59B1B8C7" w14:textId="77777777" w:rsidR="00B67D7C" w:rsidRPr="00DE096C" w:rsidRDefault="00B67D7C" w:rsidP="00D45A46">
      <w:pPr>
        <w:jc w:val="both"/>
        <w:rPr>
          <w:bCs/>
          <w:i/>
          <w:color w:val="002060"/>
          <w:sz w:val="16"/>
          <w:szCs w:val="16"/>
        </w:rPr>
      </w:pPr>
      <w:r w:rsidRPr="00DE096C">
        <w:rPr>
          <w:bCs/>
          <w:i/>
          <w:color w:val="002060"/>
          <w:sz w:val="16"/>
          <w:szCs w:val="16"/>
        </w:rPr>
        <w:t>Самолетостроение:</w:t>
      </w:r>
    </w:p>
    <w:p w14:paraId="120A99B7" w14:textId="77777777" w:rsidR="00B67D7C" w:rsidRPr="00DE096C" w:rsidRDefault="00B67D7C" w:rsidP="00D45A46">
      <w:pPr>
        <w:jc w:val="both"/>
        <w:rPr>
          <w:bCs/>
          <w:i/>
          <w:color w:val="002060"/>
          <w:sz w:val="16"/>
          <w:szCs w:val="16"/>
        </w:rPr>
      </w:pPr>
    </w:p>
    <w:p w14:paraId="2C14968F" w14:textId="77777777" w:rsidR="00DC6A70" w:rsidRPr="00DE096C" w:rsidRDefault="00DC6A70" w:rsidP="00D45A46">
      <w:pPr>
        <w:jc w:val="both"/>
        <w:rPr>
          <w:bCs/>
          <w:color w:val="002060"/>
          <w:sz w:val="16"/>
          <w:szCs w:val="16"/>
        </w:rPr>
      </w:pPr>
      <w:r w:rsidRPr="00DE096C">
        <w:rPr>
          <w:bCs/>
          <w:color w:val="002060"/>
          <w:sz w:val="16"/>
          <w:szCs w:val="16"/>
        </w:rPr>
        <w:t>21 августа (3 сентября) 1914 г. поручик Панкратьев принял "Илья Муромец II" с массой недоделок. Он сообщал начальнику ВАШ, что "...не установлены барьеры пулеметной площадки и стойки для пулемёта, лафет для пушки, запасные баки для бензина, приборы, мелкая арматура моторов, неисправны органы управления аппарата, не проведено освещение, не сделано верхнее окно и вообще аппарат не проверен". По существу завод сдавал "сырой" аппарат военным, которые пытались своими силами устранить массу мелких неполадок и недоработок и скорее отправиться на фронт. Панкратьев каждый день докладывал о ходе работ по подготовке аэроплана.</w:t>
      </w:r>
    </w:p>
    <w:p w14:paraId="2CE0AFCC" w14:textId="77777777" w:rsidR="00DC6A70" w:rsidRPr="00DE096C" w:rsidRDefault="00DC6A70" w:rsidP="00D45A46">
      <w:pPr>
        <w:jc w:val="both"/>
        <w:rPr>
          <w:bCs/>
          <w:color w:val="002060"/>
          <w:sz w:val="16"/>
          <w:szCs w:val="16"/>
        </w:rPr>
      </w:pPr>
      <w:r w:rsidRPr="00DE096C">
        <w:rPr>
          <w:bCs/>
          <w:color w:val="002060"/>
          <w:sz w:val="16"/>
          <w:szCs w:val="16"/>
        </w:rPr>
        <w:t>Моторы "Сальмсон" тоже давали о себе знать: "Заводская установка самопуска сделана настолько небрежно, что почти ни одно запускание моторов не обошлось без недоразумений. В настоящее время средствами отряда установка самопуска заменяется и будет завтра готова. Опыты вчерашнего и сегодняшнего дней показали в высшей степени ненадежную работу моторов".</w:t>
      </w:r>
    </w:p>
    <w:p w14:paraId="42C4FE03" w14:textId="77777777" w:rsidR="00DC6A70" w:rsidRPr="00DE096C" w:rsidRDefault="00DC6A70" w:rsidP="00D45A46">
      <w:pPr>
        <w:jc w:val="both"/>
        <w:rPr>
          <w:bCs/>
          <w:color w:val="002060"/>
          <w:sz w:val="16"/>
          <w:szCs w:val="16"/>
        </w:rPr>
      </w:pPr>
      <w:r w:rsidRPr="00DE096C">
        <w:rPr>
          <w:bCs/>
          <w:color w:val="002060"/>
          <w:sz w:val="16"/>
          <w:szCs w:val="16"/>
        </w:rPr>
        <w:t>Наконец, 24 сентября I9I4 года "Муромец II" (заводской номер 136) убыл но назначению в Белосток. Сперва спустились в Пскове, а через два дня - в Острове. Во второй половине дня 27 сентября полетели в Режицу. Начало темнеть и пилот решил садиться. При посадке на незнакомой местности у Режипы аппарат был серьёзно поломан. Кроме того, при спуске "Муромец" ешё был обстрелян ратниками из охраны Винда- во-Рыбинской железной дороги. К счастью, выстрелы из берданок не достигли цели. А вот при посадке аэроплан пострадал серьёзно: снесло переднюю площадку, был сломан фюзеляж за пилотской каютой, в четырёх секциях крыльевых коробок были поломаны нижние плоскости, повреждён вал у одного из 200-сильных "Сальмсонов".</w:t>
      </w:r>
    </w:p>
    <w:p w14:paraId="1A519392" w14:textId="77777777" w:rsidR="00DC6A70" w:rsidRPr="00DE096C" w:rsidRDefault="00DC6A70" w:rsidP="00D45A46">
      <w:pPr>
        <w:jc w:val="both"/>
        <w:rPr>
          <w:bCs/>
          <w:color w:val="002060"/>
          <w:sz w:val="16"/>
          <w:szCs w:val="16"/>
        </w:rPr>
      </w:pPr>
      <w:r w:rsidRPr="00DE096C">
        <w:rPr>
          <w:bCs/>
          <w:color w:val="002060"/>
          <w:sz w:val="16"/>
          <w:szCs w:val="16"/>
        </w:rPr>
        <w:t>Аэроплан был разобран и команда отряда, установив палатку, в спешном порядке приступила к ремонту. К началу ноября, благодаря упорству и настойчивости командира Панкратьева (к тому времени уже штабс-капитана), "Илья Муромец II" был отремонтирован. Но починить согнутый вал 200-сильного мотора "Сальмсон" в полевых условиях не представлялось возможным. Двигатель в сопровождении моториста Ушакова направили для ремонта на завод в Петроград. Отряд "Муромца II" бездействовал в ожидании злополучного "Сальмсона".</w:t>
      </w:r>
    </w:p>
    <w:p w14:paraId="4696F4FF" w14:textId="77777777" w:rsidR="00DC6A70" w:rsidRPr="00DE096C" w:rsidRDefault="00DC6A70" w:rsidP="00D45A46">
      <w:pPr>
        <w:jc w:val="both"/>
        <w:rPr>
          <w:bCs/>
          <w:color w:val="002060"/>
          <w:sz w:val="16"/>
          <w:szCs w:val="16"/>
        </w:rPr>
      </w:pPr>
      <w:r w:rsidRPr="00DE096C">
        <w:rPr>
          <w:bCs/>
          <w:color w:val="002060"/>
          <w:sz w:val="16"/>
          <w:szCs w:val="16"/>
        </w:rPr>
        <w:t>Но злоключения продолжались. После ремонта Ушаков был готов забрать двигатель немедленно, но заводское начальство настояло на пробном запуске. Двигатель поставили на станок для 80-сильного "Гнома". При опробовании мотора на полном газу, станок, естественно, опрокинулся, превратив отремонтированный двигатель в груду обломков.</w:t>
      </w:r>
    </w:p>
    <w:p w14:paraId="2841B3E1" w14:textId="77777777" w:rsidR="00DC6A70" w:rsidRPr="00DE096C" w:rsidRDefault="00DC6A70" w:rsidP="00D45A46">
      <w:pPr>
        <w:jc w:val="both"/>
        <w:rPr>
          <w:bCs/>
          <w:color w:val="002060"/>
          <w:sz w:val="16"/>
          <w:szCs w:val="16"/>
        </w:rPr>
      </w:pPr>
      <w:r w:rsidRPr="00DE096C">
        <w:rPr>
          <w:bCs/>
          <w:color w:val="002060"/>
          <w:sz w:val="16"/>
          <w:szCs w:val="16"/>
        </w:rPr>
        <w:t xml:space="preserve">Во время ремонта в конструкцию II аэроплана были внесены некоторые изменения, положительно сказавшиеся на характеристиках аппарата. Радиаторы были подняты выше, что улучшило условия охлаждения моторов. Была доработана и улучшена система питания моторов бензином из запасных баков. Два наружных топливных бака были заменены одним, перенесённым внутрь фюзеляжа. При сохранении обшей схемы бензинопроводов была обеспечена возможность каждому мотору работать </w:t>
      </w:r>
      <w:r w:rsidRPr="00DE096C">
        <w:rPr>
          <w:bCs/>
          <w:color w:val="002060"/>
          <w:sz w:val="16"/>
          <w:szCs w:val="16"/>
        </w:rPr>
        <w:lastRenderedPageBreak/>
        <w:t>от трёх баков: своего, запасного и бака соседнего мотора. Общий вес аэроплана был уменьшен удалением излишних перегородок, кровати, лестницы, перил верхней площадки и спиливанием концов болтов.</w:t>
      </w:r>
    </w:p>
    <w:p w14:paraId="7B9E7F06" w14:textId="77777777" w:rsidR="00DC6A70" w:rsidRPr="00DE096C" w:rsidRDefault="00DC6A70" w:rsidP="00D45A46">
      <w:pPr>
        <w:jc w:val="both"/>
        <w:rPr>
          <w:bCs/>
          <w:color w:val="002060"/>
          <w:sz w:val="16"/>
          <w:szCs w:val="16"/>
        </w:rPr>
      </w:pPr>
      <w:r w:rsidRPr="00DE096C">
        <w:rPr>
          <w:bCs/>
          <w:color w:val="002060"/>
          <w:sz w:val="16"/>
          <w:szCs w:val="16"/>
        </w:rPr>
        <w:t>Демонтаж баков внешних двигателей позволил уменьшить также и общее сопротивление самолёта. Тщательная переборка трёх оставшихся моторов и отладка карбюраторов дали хорошие результаты: теперь они запускались быстрее, давали на земле до 1650 оборотов и не захлебывались при переходе от малого газа на большой. В картере оставшегося 200-сильного мотора была обнаружена пригоршня гаек, болтов и шплинтов, которые были вынуты с помощью магнита. Естественно, что в адрес союзников при этом было сказано немало крепких слов. Панкратьев сильно переживал, что из-за отсутствия несчастного мотора, отряд не может приступить к боевой работе (12041).</w:t>
      </w:r>
    </w:p>
    <w:p w14:paraId="0A7C038B" w14:textId="77777777" w:rsidR="00DC6A70" w:rsidRPr="00DE096C" w:rsidRDefault="00DC6A70" w:rsidP="00D45A46">
      <w:pPr>
        <w:jc w:val="both"/>
        <w:rPr>
          <w:bCs/>
          <w:color w:val="002060"/>
          <w:sz w:val="16"/>
          <w:szCs w:val="16"/>
        </w:rPr>
      </w:pPr>
    </w:p>
    <w:p w14:paraId="6BF11231" w14:textId="77777777" w:rsidR="00B67D7C" w:rsidRPr="00DE096C" w:rsidRDefault="00B67D7C" w:rsidP="00D45A46">
      <w:pPr>
        <w:jc w:val="both"/>
        <w:rPr>
          <w:bCs/>
          <w:i/>
          <w:color w:val="002060"/>
          <w:sz w:val="16"/>
          <w:szCs w:val="16"/>
        </w:rPr>
      </w:pPr>
      <w:r w:rsidRPr="00DE096C">
        <w:rPr>
          <w:bCs/>
          <w:i/>
          <w:color w:val="002060"/>
          <w:sz w:val="16"/>
          <w:szCs w:val="16"/>
        </w:rPr>
        <w:t>Авиация:</w:t>
      </w:r>
    </w:p>
    <w:p w14:paraId="1A53E48E" w14:textId="77777777" w:rsidR="00B67D7C" w:rsidRPr="00DE096C" w:rsidRDefault="00B67D7C" w:rsidP="00D45A46">
      <w:pPr>
        <w:jc w:val="both"/>
        <w:rPr>
          <w:bCs/>
          <w:i/>
          <w:color w:val="002060"/>
          <w:sz w:val="16"/>
          <w:szCs w:val="16"/>
        </w:rPr>
      </w:pPr>
    </w:p>
    <w:p w14:paraId="74563746" w14:textId="77777777" w:rsidR="00866BA3" w:rsidRPr="00B52707" w:rsidRDefault="00866BA3" w:rsidP="00866BA3">
      <w:pPr>
        <w:jc w:val="both"/>
        <w:rPr>
          <w:color w:val="0070C0"/>
          <w:sz w:val="16"/>
          <w:szCs w:val="16"/>
        </w:rPr>
      </w:pPr>
      <w:r w:rsidRPr="00B52707">
        <w:rPr>
          <w:rStyle w:val="ab"/>
          <w:rFonts w:ascii="Times New Roman" w:hAnsi="Times New Roman"/>
          <w:color w:val="0070C0"/>
          <w:spacing w:val="0"/>
          <w:sz w:val="16"/>
          <w:szCs w:val="16"/>
        </w:rPr>
        <w:t>21 августа (3 сентября) 1914 года отмечено первое появление цеппелина над городом-портом Рига и носило чисто разведывательный характер. Рижане впервые наблюдали вражеский воздушный корабль, маршрут полета которого проходил над озером Кишозер (Кишэзерс, северо- восточная часть города). Он находился на значительной высоте и невооруженному взгляду представлялась лишь легким облачком (25166).</w:t>
      </w:r>
    </w:p>
    <w:p w14:paraId="2A937C61" w14:textId="77777777" w:rsidR="00866BA3" w:rsidRPr="00B52707" w:rsidRDefault="00866BA3" w:rsidP="00866BA3">
      <w:pPr>
        <w:jc w:val="both"/>
        <w:rPr>
          <w:color w:val="0070C0"/>
          <w:sz w:val="16"/>
          <w:szCs w:val="16"/>
        </w:rPr>
      </w:pPr>
    </w:p>
    <w:p w14:paraId="77176A21" w14:textId="77777777" w:rsidR="00866BA3" w:rsidRPr="00B52707" w:rsidRDefault="00866BA3" w:rsidP="00866BA3">
      <w:pPr>
        <w:jc w:val="both"/>
        <w:rPr>
          <w:color w:val="0070C0"/>
          <w:sz w:val="16"/>
          <w:szCs w:val="16"/>
        </w:rPr>
      </w:pPr>
      <w:r w:rsidRPr="00B52707">
        <w:rPr>
          <w:rStyle w:val="ab"/>
          <w:rFonts w:ascii="Times New Roman" w:hAnsi="Times New Roman"/>
          <w:color w:val="0070C0"/>
          <w:spacing w:val="0"/>
          <w:sz w:val="16"/>
          <w:szCs w:val="16"/>
        </w:rPr>
        <w:t>21 августа (3 сентября) 1914 г. над озером Кишозер было отмечено появление двух неприятельских аэропланов, которые осуществляли воздушную разведку. Через несколько дней в ночное время неопознанный самолет был зафиксирован над историческим районом Риги - Московским форштадтом. Следующее появление немецкого аэроплана над столицей Лифляндской губернии состоялось в ночь с 15 на 16 сентября. Он долго кружил над центральной товарной станцией и ретировался после открытия по нему зенитного огня (25166).</w:t>
      </w:r>
    </w:p>
    <w:p w14:paraId="584F6C79" w14:textId="77777777" w:rsidR="00866BA3" w:rsidRPr="00B52707" w:rsidRDefault="00866BA3" w:rsidP="00866BA3">
      <w:pPr>
        <w:jc w:val="both"/>
        <w:rPr>
          <w:color w:val="0070C0"/>
          <w:sz w:val="16"/>
          <w:szCs w:val="16"/>
        </w:rPr>
      </w:pPr>
    </w:p>
    <w:p w14:paraId="139D7E68" w14:textId="77777777" w:rsidR="00B67D7C" w:rsidRPr="00DE096C" w:rsidRDefault="00B67D7C" w:rsidP="00D45A46">
      <w:pPr>
        <w:jc w:val="both"/>
        <w:rPr>
          <w:bCs/>
          <w:color w:val="002060"/>
          <w:sz w:val="16"/>
          <w:szCs w:val="16"/>
        </w:rPr>
      </w:pPr>
      <w:r w:rsidRPr="00DE096C">
        <w:rPr>
          <w:bCs/>
          <w:color w:val="002060"/>
          <w:sz w:val="16"/>
          <w:szCs w:val="16"/>
        </w:rPr>
        <w:t>21 августа (3 сентября) 1914 г. германские цеппелины впервые появились в небе России. Воздушному противнику русское командование смогло противопоставить лишь 3-х дм пушки образца 1900 и 1902 гг., имевшие неплохую результативность огня (11163).</w:t>
      </w:r>
    </w:p>
    <w:p w14:paraId="1C072344" w14:textId="77777777" w:rsidR="00B67D7C" w:rsidRPr="00DE096C" w:rsidRDefault="00B67D7C" w:rsidP="00D45A46">
      <w:pPr>
        <w:jc w:val="both"/>
        <w:rPr>
          <w:bCs/>
          <w:color w:val="002060"/>
          <w:sz w:val="16"/>
          <w:szCs w:val="16"/>
        </w:rPr>
      </w:pPr>
    </w:p>
    <w:p w14:paraId="7B5D5900" w14:textId="77777777" w:rsidR="00866BA3" w:rsidRPr="00DE096C" w:rsidRDefault="00866BA3" w:rsidP="00866BA3">
      <w:pPr>
        <w:jc w:val="both"/>
        <w:rPr>
          <w:bCs/>
          <w:color w:val="002060"/>
          <w:sz w:val="16"/>
          <w:szCs w:val="16"/>
        </w:rPr>
      </w:pPr>
      <w:r w:rsidRPr="00DE096C">
        <w:rPr>
          <w:bCs/>
          <w:color w:val="002060"/>
          <w:sz w:val="16"/>
          <w:szCs w:val="16"/>
        </w:rPr>
        <w:t>21 августа (3 сентября) в 1914 году начались первые полеты (по 13 сентября) на самолете в Арктике (поиск экспедиции Г.Я.Седова). Первый в истории полет над арктическими льдами совершили летчик Ян Иосифович Нагурский и механик Е.В.Кузнецов на поплавковом биплане «Морис Фарман» в районе Новой Земли, достигнув 76 градусов с. ш. В течение трех недель он совершит еще четыре полета, следов экспедиции найти не удастся, но эти полеты уже сами по себе станут подвигом, если принять во внимание технику того времени и условия, в которых проводились полеты. Нагурский доказал, что летать в арктических странах можно, что авиация в будущем может оказать большую услугу в следующих случаях: при рекогносцировках льдов, при открытии новых земель, нахождении и нанесении на карты подводных преград, препятствующих судоходству и т.д (14995).</w:t>
      </w:r>
    </w:p>
    <w:p w14:paraId="472C44DE" w14:textId="77777777" w:rsidR="00866BA3" w:rsidRPr="00DE096C" w:rsidRDefault="00866BA3" w:rsidP="00866BA3">
      <w:pPr>
        <w:jc w:val="both"/>
        <w:rPr>
          <w:bCs/>
          <w:color w:val="002060"/>
          <w:sz w:val="16"/>
          <w:szCs w:val="16"/>
        </w:rPr>
      </w:pPr>
    </w:p>
    <w:p w14:paraId="56139BB1" w14:textId="434F07AB" w:rsidR="00777B2F" w:rsidRPr="00DE096C" w:rsidRDefault="00777B2F" w:rsidP="00D45A46">
      <w:pPr>
        <w:jc w:val="both"/>
        <w:rPr>
          <w:bCs/>
          <w:i/>
          <w:color w:val="002060"/>
          <w:sz w:val="16"/>
          <w:szCs w:val="16"/>
        </w:rPr>
      </w:pPr>
      <w:r w:rsidRPr="00DE096C">
        <w:rPr>
          <w:bCs/>
          <w:i/>
          <w:color w:val="002060"/>
          <w:sz w:val="16"/>
          <w:szCs w:val="16"/>
        </w:rPr>
        <w:t>Воздухоплавание:</w:t>
      </w:r>
    </w:p>
    <w:p w14:paraId="4948B270" w14:textId="77777777" w:rsidR="00777B2F" w:rsidRPr="00DE096C" w:rsidRDefault="00777B2F" w:rsidP="00D45A46">
      <w:pPr>
        <w:jc w:val="both"/>
        <w:rPr>
          <w:bCs/>
          <w:i/>
          <w:color w:val="002060"/>
          <w:sz w:val="16"/>
          <w:szCs w:val="16"/>
        </w:rPr>
      </w:pPr>
    </w:p>
    <w:p w14:paraId="6AE6E28A" w14:textId="77777777" w:rsidR="00777B2F" w:rsidRPr="00DE096C" w:rsidRDefault="00777B2F" w:rsidP="00D45A46">
      <w:pPr>
        <w:jc w:val="both"/>
        <w:rPr>
          <w:bCs/>
          <w:color w:val="002060"/>
          <w:sz w:val="16"/>
          <w:szCs w:val="16"/>
        </w:rPr>
      </w:pPr>
      <w:r w:rsidRPr="00DE096C">
        <w:rPr>
          <w:rStyle w:val="43"/>
          <w:rFonts w:ascii="Times New Roman" w:hAnsi="Times New Roman" w:cs="Times New Roman"/>
          <w:bCs/>
          <w:color w:val="002060"/>
          <w:w w:val="100"/>
          <w:sz w:val="16"/>
          <w:szCs w:val="16"/>
        </w:rPr>
        <w:t>21 августа (3 сентября) 1914 «Кондор» вернулся в Брест-Литовск, где выполнил 12 учебно-боевых полётов (20120).</w:t>
      </w:r>
    </w:p>
    <w:p w14:paraId="368DAF89" w14:textId="77777777" w:rsidR="00777B2F" w:rsidRPr="00DE096C" w:rsidRDefault="00777B2F" w:rsidP="00D45A46">
      <w:pPr>
        <w:jc w:val="both"/>
        <w:rPr>
          <w:bCs/>
          <w:color w:val="002060"/>
          <w:sz w:val="16"/>
          <w:szCs w:val="16"/>
        </w:rPr>
      </w:pPr>
    </w:p>
    <w:p w14:paraId="7493E7B8" w14:textId="77777777" w:rsidR="00777B2F" w:rsidRPr="00DE096C" w:rsidRDefault="00777B2F" w:rsidP="00D45A46">
      <w:pPr>
        <w:jc w:val="both"/>
        <w:rPr>
          <w:bCs/>
          <w:color w:val="002060"/>
          <w:sz w:val="16"/>
          <w:szCs w:val="16"/>
        </w:rPr>
      </w:pPr>
      <w:r w:rsidRPr="00DE096C">
        <w:rPr>
          <w:rStyle w:val="43"/>
          <w:rFonts w:ascii="Times New Roman" w:hAnsi="Times New Roman" w:cs="Times New Roman"/>
          <w:bCs/>
          <w:color w:val="002060"/>
          <w:w w:val="100"/>
          <w:sz w:val="16"/>
          <w:szCs w:val="16"/>
        </w:rPr>
        <w:t>21 августа (3 сентября) 1914 «Кондор» вернулся в Брест-Литовск, где выполнил 12 учебно-боевых полётов.</w:t>
      </w:r>
    </w:p>
    <w:p w14:paraId="692D6C96" w14:textId="77777777" w:rsidR="00777B2F" w:rsidRPr="00DE096C" w:rsidRDefault="00777B2F" w:rsidP="00D45A46">
      <w:pPr>
        <w:jc w:val="both"/>
        <w:rPr>
          <w:bCs/>
          <w:color w:val="002060"/>
          <w:sz w:val="16"/>
          <w:szCs w:val="16"/>
        </w:rPr>
      </w:pPr>
      <w:r w:rsidRPr="00DE096C">
        <w:rPr>
          <w:rStyle w:val="43"/>
          <w:rFonts w:ascii="Times New Roman" w:hAnsi="Times New Roman" w:cs="Times New Roman"/>
          <w:bCs/>
          <w:color w:val="002060"/>
          <w:w w:val="100"/>
          <w:sz w:val="16"/>
          <w:szCs w:val="16"/>
        </w:rPr>
        <w:t>В октябре в одном из полётов по линии фор</w:t>
      </w:r>
      <w:r w:rsidRPr="00DE096C">
        <w:rPr>
          <w:rStyle w:val="43"/>
          <w:rFonts w:ascii="Times New Roman" w:hAnsi="Times New Roman" w:cs="Times New Roman"/>
          <w:bCs/>
          <w:color w:val="002060"/>
          <w:w w:val="100"/>
          <w:sz w:val="16"/>
          <w:szCs w:val="16"/>
        </w:rPr>
        <w:softHyphen/>
        <w:t>тового пояса принял участие военный инженер, производивший работы в Брест-Литовской кре</w:t>
      </w:r>
      <w:r w:rsidRPr="00DE096C">
        <w:rPr>
          <w:rStyle w:val="43"/>
          <w:rFonts w:ascii="Times New Roman" w:hAnsi="Times New Roman" w:cs="Times New Roman"/>
          <w:bCs/>
          <w:color w:val="002060"/>
          <w:w w:val="100"/>
          <w:sz w:val="16"/>
          <w:szCs w:val="16"/>
        </w:rPr>
        <w:softHyphen/>
        <w:t>пости, штабс-капитан В.М. Догадин. Он вспо</w:t>
      </w:r>
      <w:r w:rsidRPr="00DE096C">
        <w:rPr>
          <w:rStyle w:val="43"/>
          <w:rFonts w:ascii="Times New Roman" w:hAnsi="Times New Roman" w:cs="Times New Roman"/>
          <w:bCs/>
          <w:color w:val="002060"/>
          <w:w w:val="100"/>
          <w:sz w:val="16"/>
          <w:szCs w:val="16"/>
        </w:rPr>
        <w:softHyphen/>
        <w:t>минал: «Хотя несовершенная работа моторов сопровождалась оглушительными взрывами, а необычность ощущения вызывала приподня</w:t>
      </w:r>
      <w:r w:rsidRPr="00DE096C">
        <w:rPr>
          <w:rStyle w:val="43"/>
          <w:rFonts w:ascii="Times New Roman" w:hAnsi="Times New Roman" w:cs="Times New Roman"/>
          <w:bCs/>
          <w:color w:val="002060"/>
          <w:w w:val="100"/>
          <w:sz w:val="16"/>
          <w:szCs w:val="16"/>
        </w:rPr>
        <w:softHyphen/>
        <w:t>то-напряжённое состояние, я смог насладиться красотой панорамы укреплений на фоне живого пейзажа». Новизна впечатлений, однако, не по</w:t>
      </w:r>
      <w:r w:rsidRPr="00DE096C">
        <w:rPr>
          <w:rStyle w:val="43"/>
          <w:rFonts w:ascii="Times New Roman" w:hAnsi="Times New Roman" w:cs="Times New Roman"/>
          <w:bCs/>
          <w:color w:val="002060"/>
          <w:w w:val="100"/>
          <w:sz w:val="16"/>
          <w:szCs w:val="16"/>
        </w:rPr>
        <w:softHyphen/>
        <w:t>мешала ему отметить вызванный отсутствием общего руководства работ «полный разнобой в формах укреплений».</w:t>
      </w:r>
    </w:p>
    <w:p w14:paraId="0EABA251" w14:textId="77777777" w:rsidR="00777B2F" w:rsidRPr="00DE096C" w:rsidRDefault="00777B2F" w:rsidP="00D45A46">
      <w:pPr>
        <w:tabs>
          <w:tab w:val="left" w:pos="596"/>
        </w:tabs>
        <w:jc w:val="both"/>
        <w:rPr>
          <w:bCs/>
          <w:color w:val="002060"/>
          <w:sz w:val="16"/>
          <w:szCs w:val="16"/>
        </w:rPr>
      </w:pPr>
      <w:r w:rsidRPr="00DE096C">
        <w:rPr>
          <w:rStyle w:val="43"/>
          <w:rFonts w:ascii="Times New Roman" w:hAnsi="Times New Roman" w:cs="Times New Roman"/>
          <w:bCs/>
          <w:color w:val="002060"/>
          <w:w w:val="100"/>
          <w:sz w:val="16"/>
          <w:szCs w:val="16"/>
        </w:rPr>
        <w:t>6 октября «Кондор» перелетел во Львов (270 км) для ведения разведки австрийской кре</w:t>
      </w:r>
      <w:r w:rsidRPr="00DE096C">
        <w:rPr>
          <w:rStyle w:val="43"/>
          <w:rFonts w:ascii="Times New Roman" w:hAnsi="Times New Roman" w:cs="Times New Roman"/>
          <w:bCs/>
          <w:color w:val="002060"/>
          <w:w w:val="100"/>
          <w:sz w:val="16"/>
          <w:szCs w:val="16"/>
        </w:rPr>
        <w:softHyphen/>
        <w:t>пости Перемышль. Сначала «Кондор» стоял в ов</w:t>
      </w:r>
      <w:r w:rsidRPr="00DE096C">
        <w:rPr>
          <w:rStyle w:val="43"/>
          <w:rFonts w:ascii="Times New Roman" w:hAnsi="Times New Roman" w:cs="Times New Roman"/>
          <w:bCs/>
          <w:color w:val="002060"/>
          <w:w w:val="100"/>
          <w:sz w:val="16"/>
          <w:szCs w:val="16"/>
        </w:rPr>
        <w:softHyphen/>
        <w:t>раге на якорной стоянке на окраине города. Под командой капитана П.И. Таранова-Белозерова он совершил два учебных дневных полёта и один боевой ночной полёт. В последнем полёте на пол</w:t>
      </w:r>
      <w:r w:rsidRPr="00DE096C">
        <w:rPr>
          <w:rStyle w:val="43"/>
          <w:rFonts w:ascii="Times New Roman" w:hAnsi="Times New Roman" w:cs="Times New Roman"/>
          <w:bCs/>
          <w:color w:val="002060"/>
          <w:w w:val="100"/>
          <w:sz w:val="16"/>
          <w:szCs w:val="16"/>
        </w:rPr>
        <w:softHyphen/>
        <w:t>пути к Перемышлю из-за сильного встречного ветра пришлось повернуть назад.</w:t>
      </w:r>
    </w:p>
    <w:p w14:paraId="697EBF83" w14:textId="77777777" w:rsidR="00777B2F" w:rsidRPr="00DE096C" w:rsidRDefault="00777B2F" w:rsidP="00D45A46">
      <w:pPr>
        <w:tabs>
          <w:tab w:val="left" w:pos="519"/>
        </w:tabs>
        <w:jc w:val="both"/>
        <w:rPr>
          <w:bCs/>
          <w:color w:val="002060"/>
          <w:sz w:val="16"/>
          <w:szCs w:val="16"/>
        </w:rPr>
      </w:pPr>
      <w:r w:rsidRPr="00DE096C">
        <w:rPr>
          <w:rStyle w:val="43"/>
          <w:rFonts w:ascii="Times New Roman" w:hAnsi="Times New Roman" w:cs="Times New Roman"/>
          <w:bCs/>
          <w:color w:val="002060"/>
          <w:w w:val="100"/>
          <w:sz w:val="16"/>
          <w:szCs w:val="16"/>
        </w:rPr>
        <w:t>6 ноября во время снежной бури стоявший в овраге дирижабль занесло снегом до такой степени, что газ из его оболочки пришлось вы</w:t>
      </w:r>
      <w:r w:rsidRPr="00DE096C">
        <w:rPr>
          <w:rStyle w:val="43"/>
          <w:rFonts w:ascii="Times New Roman" w:hAnsi="Times New Roman" w:cs="Times New Roman"/>
          <w:bCs/>
          <w:color w:val="002060"/>
          <w:w w:val="100"/>
          <w:sz w:val="16"/>
          <w:szCs w:val="16"/>
        </w:rPr>
        <w:softHyphen/>
        <w:t>пустить. При этом оболочка получила большие разрывы, и её отправили на ТРАРМ для ремонта. В феврале 1915 г. отремонтированный «Кондор» снова наполнили газом в Брест-Литовске. Он вы</w:t>
      </w:r>
      <w:r w:rsidRPr="00DE096C">
        <w:rPr>
          <w:rStyle w:val="43"/>
          <w:rFonts w:ascii="Times New Roman" w:hAnsi="Times New Roman" w:cs="Times New Roman"/>
          <w:bCs/>
          <w:color w:val="002060"/>
          <w:w w:val="100"/>
          <w:sz w:val="16"/>
          <w:szCs w:val="16"/>
        </w:rPr>
        <w:softHyphen/>
        <w:t>полнил несколько учебных полётов, но попытка лететь на фронт из-за тумана закончилась неу</w:t>
      </w:r>
      <w:r w:rsidRPr="00DE096C">
        <w:rPr>
          <w:rStyle w:val="43"/>
          <w:rFonts w:ascii="Times New Roman" w:hAnsi="Times New Roman" w:cs="Times New Roman"/>
          <w:bCs/>
          <w:color w:val="002060"/>
          <w:w w:val="100"/>
          <w:sz w:val="16"/>
          <w:szCs w:val="16"/>
        </w:rPr>
        <w:softHyphen/>
        <w:t>дачей. Из Брест-Литовска «Кондор» перелетел в Бердичев, затратив на это 14 часов, после чего его разоружили.</w:t>
      </w:r>
    </w:p>
    <w:p w14:paraId="3E85E65F" w14:textId="77777777" w:rsidR="00777B2F" w:rsidRPr="00DE096C" w:rsidRDefault="00777B2F" w:rsidP="00D45A46">
      <w:pPr>
        <w:jc w:val="both"/>
        <w:rPr>
          <w:bCs/>
          <w:color w:val="002060"/>
          <w:sz w:val="16"/>
          <w:szCs w:val="16"/>
        </w:rPr>
      </w:pPr>
      <w:r w:rsidRPr="00DE096C">
        <w:rPr>
          <w:rStyle w:val="43"/>
          <w:rFonts w:ascii="Times New Roman" w:hAnsi="Times New Roman" w:cs="Times New Roman"/>
          <w:bCs/>
          <w:color w:val="002060"/>
          <w:w w:val="100"/>
          <w:sz w:val="16"/>
          <w:szCs w:val="16"/>
        </w:rPr>
        <w:t>Одновременно для стоянки «Кондора» из Луцка во Львов перевезли разборный эллинг. Перенос эллинга на новое место осуществлялся с большими трудностями. Работы по его разбор</w:t>
      </w:r>
      <w:r w:rsidRPr="00DE096C">
        <w:rPr>
          <w:rStyle w:val="43"/>
          <w:rFonts w:ascii="Times New Roman" w:hAnsi="Times New Roman" w:cs="Times New Roman"/>
          <w:bCs/>
          <w:color w:val="002060"/>
          <w:w w:val="100"/>
          <w:sz w:val="16"/>
          <w:szCs w:val="16"/>
        </w:rPr>
        <w:softHyphen/>
        <w:t>ке 2-я воздухоплавательная рота начала 3 ноя</w:t>
      </w:r>
      <w:r w:rsidRPr="00DE096C">
        <w:rPr>
          <w:rStyle w:val="43"/>
          <w:rFonts w:ascii="Times New Roman" w:hAnsi="Times New Roman" w:cs="Times New Roman"/>
          <w:bCs/>
          <w:color w:val="002060"/>
          <w:w w:val="100"/>
          <w:sz w:val="16"/>
          <w:szCs w:val="16"/>
        </w:rPr>
        <w:softHyphen/>
        <w:t>бря 1914 г. Вследствие сильных морозов металл стал хрупким. От этого сломался крюк стяжного домкрата, и эллинг обрушился. При этом погиб рядовой Целинский, а трое солдат и двое рабо</w:t>
      </w:r>
      <w:r w:rsidRPr="00DE096C">
        <w:rPr>
          <w:rStyle w:val="43"/>
          <w:rFonts w:ascii="Times New Roman" w:hAnsi="Times New Roman" w:cs="Times New Roman"/>
          <w:bCs/>
          <w:color w:val="002060"/>
          <w:w w:val="100"/>
          <w:sz w:val="16"/>
          <w:szCs w:val="16"/>
        </w:rPr>
        <w:softHyphen/>
        <w:t>чих получили ушибы. Значительная часть (40%) металлоконструкций эллинга была повреждена.</w:t>
      </w:r>
    </w:p>
    <w:p w14:paraId="31E3A5ED" w14:textId="77777777" w:rsidR="00777B2F" w:rsidRPr="00DE096C" w:rsidRDefault="00777B2F" w:rsidP="00D45A46">
      <w:pPr>
        <w:jc w:val="both"/>
        <w:rPr>
          <w:rStyle w:val="43"/>
          <w:rFonts w:ascii="Times New Roman" w:hAnsi="Times New Roman" w:cs="Times New Roman"/>
          <w:bCs/>
          <w:color w:val="002060"/>
          <w:w w:val="100"/>
          <w:sz w:val="16"/>
          <w:szCs w:val="16"/>
        </w:rPr>
      </w:pPr>
      <w:r w:rsidRPr="00DE096C">
        <w:rPr>
          <w:rStyle w:val="43"/>
          <w:rFonts w:ascii="Times New Roman" w:hAnsi="Times New Roman" w:cs="Times New Roman"/>
          <w:bCs/>
          <w:color w:val="002060"/>
          <w:w w:val="100"/>
          <w:sz w:val="16"/>
          <w:szCs w:val="16"/>
        </w:rPr>
        <w:t>24 декабря 1914 все части эллинга доставили во Львов, а 1 января 1915 г. началась его установка на уже готовый фундамент. Командир 2-й воздухоплавательной роты подполковник М.В. Агапов докладывал Авиаканцу: «Снежные заносы, обледенелость железных ферм и недостаточное коли</w:t>
      </w:r>
      <w:r w:rsidRPr="00DE096C">
        <w:rPr>
          <w:rStyle w:val="43"/>
          <w:rFonts w:ascii="Times New Roman" w:hAnsi="Times New Roman" w:cs="Times New Roman"/>
          <w:bCs/>
          <w:color w:val="002060"/>
          <w:w w:val="100"/>
          <w:sz w:val="16"/>
          <w:szCs w:val="16"/>
        </w:rPr>
        <w:softHyphen/>
        <w:t>чество опытных специалистов-рабочих крайне задерживает быстрое проведение работ. Все за</w:t>
      </w:r>
      <w:r w:rsidRPr="00DE096C">
        <w:rPr>
          <w:rStyle w:val="43"/>
          <w:rFonts w:ascii="Times New Roman" w:hAnsi="Times New Roman" w:cs="Times New Roman"/>
          <w:bCs/>
          <w:color w:val="002060"/>
          <w:w w:val="100"/>
          <w:sz w:val="16"/>
          <w:szCs w:val="16"/>
        </w:rPr>
        <w:softHyphen/>
        <w:t>висящие меры принимаются»62. Повреждённые фермы отремонтировали в железнодорожных мастерских Львова, и к лету эллинг установили. Но при эвакуации Львова 9 июня 1915 г. эллинг пришлось взорвать (20120).</w:t>
      </w:r>
    </w:p>
    <w:p w14:paraId="05613FA8" w14:textId="77777777" w:rsidR="00777B2F" w:rsidRPr="00DE096C" w:rsidRDefault="00777B2F" w:rsidP="00D45A46">
      <w:pPr>
        <w:jc w:val="both"/>
        <w:rPr>
          <w:bCs/>
          <w:color w:val="002060"/>
          <w:sz w:val="16"/>
          <w:szCs w:val="16"/>
        </w:rPr>
      </w:pPr>
    </w:p>
    <w:p w14:paraId="58E0A61E" w14:textId="77777777" w:rsidR="00B67D7C" w:rsidRPr="00DE096C" w:rsidRDefault="00B67D7C" w:rsidP="00D45A46">
      <w:pPr>
        <w:jc w:val="both"/>
        <w:rPr>
          <w:bCs/>
          <w:i/>
          <w:color w:val="002060"/>
          <w:sz w:val="16"/>
          <w:szCs w:val="16"/>
        </w:rPr>
      </w:pPr>
      <w:r w:rsidRPr="00DE096C">
        <w:rPr>
          <w:bCs/>
          <w:i/>
          <w:color w:val="002060"/>
          <w:sz w:val="16"/>
          <w:szCs w:val="16"/>
        </w:rPr>
        <w:t>Армия:</w:t>
      </w:r>
    </w:p>
    <w:p w14:paraId="3D51B280" w14:textId="77777777" w:rsidR="00B67D7C" w:rsidRPr="00DE096C" w:rsidRDefault="00B67D7C" w:rsidP="00D45A46">
      <w:pPr>
        <w:jc w:val="both"/>
        <w:rPr>
          <w:bCs/>
          <w:i/>
          <w:color w:val="002060"/>
          <w:sz w:val="16"/>
          <w:szCs w:val="16"/>
        </w:rPr>
      </w:pPr>
    </w:p>
    <w:p w14:paraId="0239BE08" w14:textId="4337A69E" w:rsidR="00E17EC0" w:rsidRPr="00DE096C" w:rsidRDefault="00E17EC0" w:rsidP="00D45A46">
      <w:pPr>
        <w:jc w:val="both"/>
        <w:rPr>
          <w:bCs/>
          <w:color w:val="002060"/>
          <w:sz w:val="16"/>
          <w:szCs w:val="16"/>
        </w:rPr>
      </w:pPr>
      <w:r w:rsidRPr="00DE096C">
        <w:rPr>
          <w:bCs/>
          <w:color w:val="002060"/>
          <w:sz w:val="16"/>
          <w:szCs w:val="16"/>
        </w:rPr>
        <w:t>21 августа</w:t>
      </w:r>
      <w:r w:rsidR="00865110" w:rsidRPr="00DE096C">
        <w:rPr>
          <w:bCs/>
          <w:color w:val="002060"/>
          <w:sz w:val="16"/>
          <w:szCs w:val="16"/>
        </w:rPr>
        <w:t xml:space="preserve"> (3 сентября)</w:t>
      </w:r>
      <w:r w:rsidRPr="00DE096C">
        <w:rPr>
          <w:bCs/>
          <w:color w:val="002060"/>
          <w:sz w:val="16"/>
          <w:szCs w:val="16"/>
        </w:rPr>
        <w:t xml:space="preserve"> в 1914 году немецкие войска занимают осажденную русскую крепость Новогеоргиевск (у Варшавы), захватывая в плен 83 тыс. человек, в том числе 23 русских генерала (14995).</w:t>
      </w:r>
    </w:p>
    <w:p w14:paraId="7C3BF119" w14:textId="77777777" w:rsidR="00E17EC0" w:rsidRPr="00DE096C" w:rsidRDefault="00E17EC0" w:rsidP="00D45A46">
      <w:pPr>
        <w:jc w:val="both"/>
        <w:rPr>
          <w:bCs/>
          <w:color w:val="002060"/>
          <w:sz w:val="16"/>
          <w:szCs w:val="16"/>
        </w:rPr>
      </w:pPr>
    </w:p>
    <w:p w14:paraId="229D5521" w14:textId="48FFE13A" w:rsidR="00E17EC0" w:rsidRPr="00DE096C" w:rsidRDefault="00E17EC0" w:rsidP="00D45A46">
      <w:pPr>
        <w:jc w:val="both"/>
        <w:rPr>
          <w:bCs/>
          <w:color w:val="002060"/>
          <w:sz w:val="16"/>
          <w:szCs w:val="16"/>
        </w:rPr>
      </w:pPr>
      <w:r w:rsidRPr="00DE096C">
        <w:rPr>
          <w:bCs/>
          <w:color w:val="002060"/>
          <w:sz w:val="16"/>
          <w:szCs w:val="16"/>
        </w:rPr>
        <w:t>21 августа</w:t>
      </w:r>
      <w:r w:rsidR="00865110" w:rsidRPr="00DE096C">
        <w:rPr>
          <w:bCs/>
          <w:color w:val="002060"/>
          <w:sz w:val="16"/>
          <w:szCs w:val="16"/>
        </w:rPr>
        <w:t xml:space="preserve"> (3 сентября)</w:t>
      </w:r>
      <w:r w:rsidRPr="00DE096C">
        <w:rPr>
          <w:bCs/>
          <w:color w:val="002060"/>
          <w:sz w:val="16"/>
          <w:szCs w:val="16"/>
        </w:rPr>
        <w:t xml:space="preserve"> в 1914 году в битве у Ярославца (Галиция) во время солнечного затмения русская кавалерия разбивает австрийскую (14995).</w:t>
      </w:r>
    </w:p>
    <w:p w14:paraId="08D7A5F0" w14:textId="77777777" w:rsidR="00E17EC0" w:rsidRPr="00DE096C" w:rsidRDefault="00E17EC0" w:rsidP="00D45A46">
      <w:pPr>
        <w:jc w:val="both"/>
        <w:rPr>
          <w:bCs/>
          <w:color w:val="002060"/>
          <w:sz w:val="16"/>
          <w:szCs w:val="16"/>
        </w:rPr>
      </w:pPr>
    </w:p>
    <w:p w14:paraId="54059E96" w14:textId="1B704224" w:rsidR="00E17EC0" w:rsidRPr="00DE096C" w:rsidRDefault="00E17EC0" w:rsidP="00D45A46">
      <w:pPr>
        <w:jc w:val="both"/>
        <w:rPr>
          <w:bCs/>
          <w:color w:val="002060"/>
          <w:sz w:val="16"/>
          <w:szCs w:val="16"/>
        </w:rPr>
      </w:pPr>
      <w:r w:rsidRPr="00DE096C">
        <w:rPr>
          <w:bCs/>
          <w:color w:val="002060"/>
          <w:sz w:val="16"/>
          <w:szCs w:val="16"/>
        </w:rPr>
        <w:t>21 августа</w:t>
      </w:r>
      <w:r w:rsidR="00865110" w:rsidRPr="00DE096C">
        <w:rPr>
          <w:bCs/>
          <w:color w:val="002060"/>
          <w:sz w:val="16"/>
          <w:szCs w:val="16"/>
        </w:rPr>
        <w:t xml:space="preserve"> (3 сентября)</w:t>
      </w:r>
      <w:r w:rsidRPr="00DE096C">
        <w:rPr>
          <w:bCs/>
          <w:color w:val="002060"/>
          <w:sz w:val="16"/>
          <w:szCs w:val="16"/>
        </w:rPr>
        <w:t xml:space="preserve"> в 1914 году войска 3-й русской армии взяли Львов (14995).</w:t>
      </w:r>
    </w:p>
    <w:p w14:paraId="76A1B562" w14:textId="77777777" w:rsidR="00E17EC0" w:rsidRPr="00DE096C" w:rsidRDefault="00E17EC0" w:rsidP="00D45A46">
      <w:pPr>
        <w:jc w:val="both"/>
        <w:rPr>
          <w:bCs/>
          <w:color w:val="002060"/>
          <w:sz w:val="16"/>
          <w:szCs w:val="16"/>
        </w:rPr>
      </w:pPr>
    </w:p>
    <w:p w14:paraId="374A99E1" w14:textId="7C31D72A"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21 августа (3 сентября) </w:t>
      </w:r>
      <w:r w:rsidR="00865110" w:rsidRPr="00DE096C">
        <w:rPr>
          <w:bCs/>
          <w:i w:val="0"/>
          <w:color w:val="002060"/>
          <w:spacing w:val="0"/>
          <w:kern w:val="0"/>
          <w:position w:val="0"/>
          <w:sz w:val="16"/>
          <w:szCs w:val="16"/>
        </w:rPr>
        <w:t xml:space="preserve">1914 г. вышли </w:t>
      </w:r>
      <w:r w:rsidRPr="00DE096C">
        <w:rPr>
          <w:bCs/>
          <w:i w:val="0"/>
          <w:color w:val="002060"/>
          <w:spacing w:val="0"/>
          <w:kern w:val="0"/>
          <w:position w:val="0"/>
          <w:sz w:val="16"/>
          <w:szCs w:val="16"/>
        </w:rPr>
        <w:t>указани</w:t>
      </w:r>
      <w:r w:rsidR="00865110" w:rsidRPr="00DE096C">
        <w:rPr>
          <w:bCs/>
          <w:i w:val="0"/>
          <w:color w:val="002060"/>
          <w:spacing w:val="0"/>
          <w:kern w:val="0"/>
          <w:position w:val="0"/>
          <w:sz w:val="16"/>
          <w:szCs w:val="16"/>
        </w:rPr>
        <w:t>я</w:t>
      </w:r>
      <w:r w:rsidRPr="00DE096C">
        <w:rPr>
          <w:bCs/>
          <w:i w:val="0"/>
          <w:color w:val="002060"/>
          <w:spacing w:val="0"/>
          <w:kern w:val="0"/>
          <w:position w:val="0"/>
          <w:sz w:val="16"/>
          <w:szCs w:val="16"/>
        </w:rPr>
        <w:t xml:space="preserve"> главного начальника снабжений Юго-западного фронта о порядке сбора, хранения и перевозки оружия и огнеприпасов, собираемых на полях сражении и остающихся от больных и раненых. </w:t>
      </w:r>
    </w:p>
    <w:p w14:paraId="43FE1ABD"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Согласно указаниям Юго-западного фронта собираемое оружие и огнеприпасы следовало сдавать ближайшим этапным комендантам и по распоряжениям этапно-хозяйственных отделов армий сосредоточивать во временных складах, устраиваемых при некоторых этапах (согласно п. 12 "Положения 13 августа" требовалась отправка в ближайшие склады огнестрельных припасов, организация которых, однако, вовсе не предусматривалась Положением). Для сбора оружия и всех огнеприпасов в каждом корпусе, а равно в отдельном отряде наряжались: а) заведующий сбором оружия и огнеприпасов, б) рабочие, в) строевые части для наблюдения за рабочими и г) необходимые перевозочные средства. В предвидении сбора значительного количества оставленных на поле сражения оружия и боевых припасов в помощь заведующему сбором назначался артиллерийский офицер с необходимым числом солдат. Заведующий сбором подчинялся корпусному коменданту. Указаниями определялся порядок сортировки, чистки, использования, направления оружия в Брестский и Киевский артсклады и т. д. </w:t>
      </w:r>
    </w:p>
    <w:p w14:paraId="0654A1E0"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Отсутствие штатных организаций для сбора оружия давало себя знать, и вскоре после начала войны последовал приказ верховного главнокомандующего 1914 г., № 169, которым учреждалась сеть штаб-офицеров для заведывания в армиях сбором и исправлением оружия, а для объединения этого дела на фронтах при управлениях начальников артснабжения фронтов были назначены особые штаб-офицеры для поручений. Деятельность этих офицеров не была определена при учреждении должностей, что повлекло издание каждым из фронтов самостоятельно отдельных указаний, весьма существенно отличавшихся друг от друга. </w:t>
      </w:r>
    </w:p>
    <w:p w14:paraId="77D2C059"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Первым реагировал Юго-западный фронт, главнокомандующий которого 31 января 1915 г. утвердил наставление для штаб-офицеров, назначенных согласно приказу главковерха № 169. По наставлению Юго-западного фронта они подчинялись заведующему артчастью ЭХО армии и на них возлагалось: </w:t>
      </w:r>
    </w:p>
    <w:p w14:paraId="6B2A1C74"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а) Ближайшее наблюдение за сбором ручного оружия и патронов как русских, так и иностранных с полей сражения, а также и организация такого сбора, где это потребуется. (Имея своей главной задачей сбор винтовок, пулеметов и патронов, они обязаны были оказывать по возможности содействие сбору и охранению и других нужных армии предметов вооружения и снаряжения.) </w:t>
      </w:r>
    </w:p>
    <w:p w14:paraId="49926D60"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б) Наблюдение за доставкой названных в п. "а" предметов в пункты, избранные начальником этапно-хозяйственного отдела, как временные склады оружия армии. </w:t>
      </w:r>
    </w:p>
    <w:p w14:paraId="117AD09F"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 Организация подвижных оружейных мастерских при в р е м е н н ых складах оружия армии и руководство их деятельностью (ближайшее заведывание этими мастерскими могло быть возложено штаб-офицером на одного из находившихся в его ведении классных оружейных мастеров). </w:t>
      </w:r>
    </w:p>
    <w:p w14:paraId="2FA227F3"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lastRenderedPageBreak/>
        <w:t xml:space="preserve">г) Наблюдение и руководство сортировкой собранного оружия - приведением в порядок оружия в армейских мастерских, отпуском оружия, своевременной отправкой оружия в тыл, обором и приемом оружия от населения. </w:t>
      </w:r>
    </w:p>
    <w:p w14:paraId="7AE353FD"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д) Наблюдение за состоянием оружия в войсковых частях. В непосредственном их подчинении состояли заведующий временным складом оружия, его помощники три классных оружейных мастера. </w:t>
      </w:r>
    </w:p>
    <w:p w14:paraId="7E1A1262"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В распоряжении каждого из них была особая команда для сбора оружия, осмотра полей сражений, сосредоточения всего подобранного в те или другие пункты и для окарауливажия оружия. Наставление заключало в себе ряд указаний ро ремонту, выдаче оружия и т. п. (11483).</w:t>
      </w:r>
    </w:p>
    <w:p w14:paraId="49403502" w14:textId="77777777" w:rsidR="00B67D7C" w:rsidRPr="00DE096C" w:rsidRDefault="00B67D7C" w:rsidP="00D45A46">
      <w:pPr>
        <w:pStyle w:val="a3"/>
        <w:jc w:val="both"/>
        <w:rPr>
          <w:bCs/>
          <w:i w:val="0"/>
          <w:color w:val="002060"/>
          <w:spacing w:val="0"/>
          <w:kern w:val="0"/>
          <w:position w:val="0"/>
          <w:sz w:val="16"/>
          <w:szCs w:val="16"/>
        </w:rPr>
      </w:pPr>
    </w:p>
    <w:p w14:paraId="14FC6FF9" w14:textId="345A6C44" w:rsidR="003F431E" w:rsidRPr="00DE096C" w:rsidRDefault="003F431E" w:rsidP="00D45A46">
      <w:pPr>
        <w:jc w:val="both"/>
        <w:rPr>
          <w:bCs/>
          <w:color w:val="002060"/>
          <w:sz w:val="16"/>
          <w:szCs w:val="16"/>
          <w:lang w:bidi="en-US"/>
        </w:rPr>
      </w:pPr>
      <w:r w:rsidRPr="00DE096C">
        <w:rPr>
          <w:bCs/>
          <w:color w:val="002060"/>
          <w:sz w:val="16"/>
          <w:szCs w:val="16"/>
          <w:lang w:bidi="en-US"/>
        </w:rPr>
        <w:t>21 августа (3 сентября) 1914 г. 3-я русская армия захватила Лемберг (Львов) и начала обход восточного фланга австро-венгров (23525).</w:t>
      </w:r>
    </w:p>
    <w:p w14:paraId="336055F6" w14:textId="77777777" w:rsidR="003F431E" w:rsidRPr="00DE096C" w:rsidRDefault="003F431E" w:rsidP="00D45A46">
      <w:pPr>
        <w:jc w:val="both"/>
        <w:rPr>
          <w:bCs/>
          <w:color w:val="002060"/>
          <w:sz w:val="16"/>
          <w:szCs w:val="16"/>
        </w:rPr>
      </w:pPr>
    </w:p>
    <w:p w14:paraId="5D58DE12" w14:textId="77777777" w:rsidR="00B67D7C" w:rsidRPr="00DE096C" w:rsidRDefault="00B67D7C" w:rsidP="00D45A46">
      <w:pPr>
        <w:jc w:val="both"/>
        <w:rPr>
          <w:bCs/>
          <w:i/>
          <w:color w:val="002060"/>
          <w:sz w:val="16"/>
          <w:szCs w:val="16"/>
        </w:rPr>
      </w:pPr>
      <w:r w:rsidRPr="00DE096C">
        <w:rPr>
          <w:bCs/>
          <w:i/>
          <w:color w:val="002060"/>
          <w:sz w:val="16"/>
          <w:szCs w:val="16"/>
        </w:rPr>
        <w:t>Авиация и воздухоплавание Франции:</w:t>
      </w:r>
    </w:p>
    <w:p w14:paraId="354C4663" w14:textId="77777777" w:rsidR="00B67D7C" w:rsidRPr="00DE096C" w:rsidRDefault="00B67D7C" w:rsidP="00D45A46">
      <w:pPr>
        <w:jc w:val="both"/>
        <w:rPr>
          <w:bCs/>
          <w:i/>
          <w:color w:val="002060"/>
          <w:sz w:val="16"/>
          <w:szCs w:val="16"/>
        </w:rPr>
      </w:pPr>
    </w:p>
    <w:p w14:paraId="4A350261" w14:textId="77777777" w:rsidR="00B67D7C" w:rsidRPr="00DE096C" w:rsidRDefault="00B67D7C" w:rsidP="00D45A46">
      <w:pPr>
        <w:jc w:val="both"/>
        <w:rPr>
          <w:bCs/>
          <w:color w:val="002060"/>
          <w:sz w:val="16"/>
          <w:szCs w:val="16"/>
        </w:rPr>
      </w:pPr>
      <w:r w:rsidRPr="00DE096C">
        <w:rPr>
          <w:bCs/>
          <w:color w:val="002060"/>
          <w:sz w:val="16"/>
          <w:szCs w:val="16"/>
        </w:rPr>
        <w:t>21 августа (3 сентября) 1914 года французские летчики точно установили, что 1-я германская армия движется не на Париж, а мимо укреплений Парижа с юго-восточной стороны. Их донесения дали основание решению генерала Жоффра прейти в наступление 6 сентября. Что же касается английских летчиков, то они так же, как и рус ские летчики, в начале войны играли незначительную роль (11282).</w:t>
      </w:r>
    </w:p>
    <w:p w14:paraId="6EA928D7" w14:textId="77777777" w:rsidR="00B67D7C" w:rsidRPr="00DE096C" w:rsidRDefault="00B67D7C" w:rsidP="00D45A46">
      <w:pPr>
        <w:jc w:val="both"/>
        <w:rPr>
          <w:bCs/>
          <w:color w:val="002060"/>
          <w:sz w:val="16"/>
          <w:szCs w:val="16"/>
        </w:rPr>
      </w:pPr>
    </w:p>
    <w:p w14:paraId="6A90A5A2" w14:textId="77777777" w:rsidR="00B67D7C" w:rsidRPr="00DE096C" w:rsidRDefault="00B67D7C" w:rsidP="00D45A46">
      <w:pPr>
        <w:jc w:val="both"/>
        <w:rPr>
          <w:bCs/>
          <w:i/>
          <w:color w:val="002060"/>
          <w:sz w:val="16"/>
          <w:szCs w:val="16"/>
        </w:rPr>
      </w:pPr>
      <w:r w:rsidRPr="00DE096C">
        <w:rPr>
          <w:bCs/>
          <w:i/>
          <w:color w:val="002060"/>
          <w:sz w:val="16"/>
          <w:szCs w:val="16"/>
        </w:rPr>
        <w:t>Авиация и воздухоплавание Германии:</w:t>
      </w:r>
    </w:p>
    <w:p w14:paraId="4A2F167C" w14:textId="77777777" w:rsidR="00B67D7C" w:rsidRPr="00DE096C" w:rsidRDefault="00B67D7C" w:rsidP="00D45A46">
      <w:pPr>
        <w:jc w:val="both"/>
        <w:rPr>
          <w:bCs/>
          <w:i/>
          <w:color w:val="002060"/>
          <w:sz w:val="16"/>
          <w:szCs w:val="16"/>
        </w:rPr>
      </w:pPr>
    </w:p>
    <w:p w14:paraId="0B7E7CB3" w14:textId="77777777" w:rsidR="00B67D7C" w:rsidRPr="00DE096C" w:rsidRDefault="00B67D7C" w:rsidP="00D45A46">
      <w:pPr>
        <w:jc w:val="both"/>
        <w:rPr>
          <w:bCs/>
          <w:color w:val="002060"/>
          <w:sz w:val="16"/>
          <w:szCs w:val="16"/>
        </w:rPr>
      </w:pPr>
      <w:r w:rsidRPr="00DE096C">
        <w:rPr>
          <w:bCs/>
          <w:color w:val="002060"/>
          <w:sz w:val="16"/>
          <w:szCs w:val="16"/>
        </w:rPr>
        <w:t>21 августа (3 сентября) 1914 - 1-я германская армия последовала за своим авангардом к Шато-Тьерри, к переправе через Марну, так как, согласно донесениям летчиков, дальнейшее преследование англичан не предвещало успеха. Это общее решение, миновать крепость Париж, сосредоточило все внимание командования германской армии на южном направлении и заданий воздушной разведке по обследованию правого фланга не давалось, а IV резервный корпус, игравший роль заслона со стороны Парижа, своей авиации не имел (11999).</w:t>
      </w:r>
    </w:p>
    <w:p w14:paraId="0E8296DA" w14:textId="77777777" w:rsidR="00B67D7C" w:rsidRPr="00DE096C" w:rsidRDefault="00B67D7C" w:rsidP="00D45A46">
      <w:pPr>
        <w:jc w:val="both"/>
        <w:rPr>
          <w:bCs/>
          <w:color w:val="002060"/>
          <w:sz w:val="16"/>
          <w:szCs w:val="16"/>
        </w:rPr>
      </w:pPr>
      <w:r w:rsidRPr="00DE096C">
        <w:rPr>
          <w:bCs/>
          <w:color w:val="002060"/>
          <w:sz w:val="16"/>
          <w:szCs w:val="16"/>
        </w:rPr>
        <w:t>Французские летчики установили, что 1-я германская армия прекратила движение на Париж и свернула мимо укреплений столицы с юго-восточной стороны. На основании этих данных Жоффр принимает решение начать 6-го сентября контрнаступление.</w:t>
      </w:r>
    </w:p>
    <w:p w14:paraId="42E1E909" w14:textId="77777777" w:rsidR="00B67D7C" w:rsidRPr="00DE096C" w:rsidRDefault="00B67D7C" w:rsidP="00D45A46">
      <w:pPr>
        <w:jc w:val="both"/>
        <w:rPr>
          <w:bCs/>
          <w:color w:val="002060"/>
          <w:sz w:val="16"/>
          <w:szCs w:val="16"/>
        </w:rPr>
      </w:pPr>
      <w:r w:rsidRPr="00DE096C">
        <w:rPr>
          <w:bCs/>
          <w:color w:val="002060"/>
          <w:sz w:val="16"/>
          <w:szCs w:val="16"/>
        </w:rPr>
        <w:t>6-я армия, согласно приказу Жоффра, перемещается северо-восточнее Парижа. Но ее марш прерван известием, поступившим от авиаторов, о появлении колонны противника на дороге Вербери - Санлис - Шантильи. Колонна французов перешла Уазу у Крейль, направляясь на Шантильи. VII корпус быстро развернулся фронтом на север, но противник не обращал на этот корпус никакого внимания: он проходил мимо 6-й армии, направляясь на юго-восток (11999).</w:t>
      </w:r>
    </w:p>
    <w:p w14:paraId="6FB5CED1" w14:textId="77777777" w:rsidR="00B67D7C" w:rsidRPr="00DE096C" w:rsidRDefault="00B67D7C" w:rsidP="00D45A46">
      <w:pPr>
        <w:jc w:val="both"/>
        <w:rPr>
          <w:bCs/>
          <w:color w:val="002060"/>
          <w:sz w:val="16"/>
          <w:szCs w:val="16"/>
        </w:rPr>
      </w:pPr>
    </w:p>
    <w:p w14:paraId="2CCC0BE2" w14:textId="77777777" w:rsidR="00B67D7C" w:rsidRPr="00DE096C" w:rsidRDefault="00B67D7C" w:rsidP="00D45A46">
      <w:pPr>
        <w:jc w:val="both"/>
        <w:rPr>
          <w:bCs/>
          <w:color w:val="002060"/>
          <w:sz w:val="16"/>
          <w:szCs w:val="16"/>
        </w:rPr>
      </w:pPr>
      <w:r w:rsidRPr="00DE096C">
        <w:rPr>
          <w:bCs/>
          <w:color w:val="002060"/>
          <w:sz w:val="16"/>
          <w:szCs w:val="16"/>
        </w:rPr>
        <w:t>21 августа (3 сентября) 1914 в четверг разыгралось воздушное сражение над Францией.</w:t>
      </w:r>
    </w:p>
    <w:p w14:paraId="2AF09C91" w14:textId="77777777" w:rsidR="00B67D7C" w:rsidRPr="00DE096C" w:rsidRDefault="00B67D7C" w:rsidP="00D45A46">
      <w:pPr>
        <w:jc w:val="both"/>
        <w:rPr>
          <w:bCs/>
          <w:color w:val="002060"/>
          <w:sz w:val="16"/>
          <w:szCs w:val="16"/>
        </w:rPr>
      </w:pPr>
      <w:r w:rsidRPr="00DE096C">
        <w:rPr>
          <w:bCs/>
          <w:color w:val="002060"/>
          <w:sz w:val="16"/>
          <w:szCs w:val="16"/>
        </w:rPr>
        <w:t>Телеграфирует в Лондон корреспондент "Evening News": "Вечером около половины шестого я отдыхал в тени большого грушевого дерева. Вдруг послышался жужжащий звук - странный и как будто знакомый...</w:t>
      </w:r>
    </w:p>
    <w:p w14:paraId="6BB33ABE" w14:textId="77777777" w:rsidR="00B67D7C" w:rsidRPr="00DE096C" w:rsidRDefault="00B67D7C" w:rsidP="00D45A46">
      <w:pPr>
        <w:jc w:val="both"/>
        <w:rPr>
          <w:bCs/>
          <w:color w:val="002060"/>
          <w:sz w:val="16"/>
          <w:szCs w:val="16"/>
        </w:rPr>
      </w:pPr>
      <w:r w:rsidRPr="00DE096C">
        <w:rPr>
          <w:bCs/>
          <w:color w:val="002060"/>
          <w:sz w:val="16"/>
          <w:szCs w:val="16"/>
        </w:rPr>
        <w:t>Высоко над головой повис в воздухе крылатый корабль, точь-в-точь как тот, который я видел недавно, когда бомбили железнодорожную станцию.</w:t>
      </w:r>
    </w:p>
    <w:p w14:paraId="55E18395" w14:textId="77777777" w:rsidR="00B67D7C" w:rsidRPr="00DE096C" w:rsidRDefault="00B67D7C" w:rsidP="00D45A46">
      <w:pPr>
        <w:jc w:val="both"/>
        <w:rPr>
          <w:bCs/>
          <w:color w:val="002060"/>
          <w:sz w:val="16"/>
          <w:szCs w:val="16"/>
        </w:rPr>
      </w:pPr>
      <w:r w:rsidRPr="00DE096C">
        <w:rPr>
          <w:bCs/>
          <w:color w:val="002060"/>
          <w:sz w:val="16"/>
          <w:szCs w:val="16"/>
        </w:rPr>
        <w:t>"Летит чертовски быстро. По виду как будто немецкий. Наверное, направляется к стаду коров, которых пригнали для армии, хочет бросить бомбу", - сказал мой сын.</w:t>
      </w:r>
    </w:p>
    <w:p w14:paraId="4781CF02" w14:textId="77777777" w:rsidR="00B67D7C" w:rsidRPr="00DE096C" w:rsidRDefault="00B67D7C" w:rsidP="00D45A46">
      <w:pPr>
        <w:jc w:val="both"/>
        <w:rPr>
          <w:bCs/>
          <w:color w:val="002060"/>
          <w:sz w:val="16"/>
          <w:szCs w:val="16"/>
        </w:rPr>
      </w:pPr>
      <w:r w:rsidRPr="00DE096C">
        <w:rPr>
          <w:bCs/>
          <w:color w:val="002060"/>
          <w:sz w:val="16"/>
          <w:szCs w:val="16"/>
        </w:rPr>
        <w:t>В следующий момент машина повернулась носом к земле и стала быстро спускаться, прорезая воздух, словно ястреб, падающий на добычу. Затем, нырнув немного в сторону, аэроплан помчался над самой землей, словно ласточка перед дождем.</w:t>
      </w:r>
    </w:p>
    <w:p w14:paraId="59EF5E6F" w14:textId="77777777" w:rsidR="00B67D7C" w:rsidRPr="00DE096C" w:rsidRDefault="00B67D7C" w:rsidP="00D45A46">
      <w:pPr>
        <w:jc w:val="both"/>
        <w:rPr>
          <w:bCs/>
          <w:color w:val="002060"/>
          <w:sz w:val="16"/>
          <w:szCs w:val="16"/>
        </w:rPr>
      </w:pPr>
      <w:r w:rsidRPr="00DE096C">
        <w:rPr>
          <w:bCs/>
          <w:color w:val="002060"/>
          <w:sz w:val="16"/>
          <w:szCs w:val="16"/>
        </w:rPr>
        <w:t>Удивительное зрелище, хотя за рулем сидел враг, я не мог удержаться от восторга, видя его хладнокровие. Лететь низко над землей, значит рисковать быть изрешеченным пулями. Ведь на такой высоте его можно сбить при помощи обычного охотничьего ружья.</w:t>
      </w:r>
    </w:p>
    <w:p w14:paraId="4F06B8F1" w14:textId="77777777" w:rsidR="00B67D7C" w:rsidRPr="00DE096C" w:rsidRDefault="00B67D7C" w:rsidP="00D45A46">
      <w:pPr>
        <w:jc w:val="both"/>
        <w:rPr>
          <w:bCs/>
          <w:color w:val="002060"/>
          <w:sz w:val="16"/>
          <w:szCs w:val="16"/>
        </w:rPr>
      </w:pPr>
      <w:r w:rsidRPr="00DE096C">
        <w:rPr>
          <w:bCs/>
          <w:color w:val="002060"/>
          <w:sz w:val="16"/>
          <w:szCs w:val="16"/>
        </w:rPr>
        <w:t>Их было двое. Сидевший за рулем, вероятно, был человеком высокого роста с льняного цвета бородой. Вся поза его, - сгорбленные плечи, вытянутая вперед голова, согнувшееся тело, - напоминала хищную птицу. Глаза закрывали большие авиационные очки. Длинные волосы и вся внешность ясно говорили, что это не военный. Ни головного убора, ни пиджака на нем не было. Рукава были высоко засучены, белые как у женщины руки обнажены. Второго я не успел разглядеть подробно.</w:t>
      </w:r>
    </w:p>
    <w:p w14:paraId="4FF1CF9D" w14:textId="77777777" w:rsidR="00B67D7C" w:rsidRPr="00DE096C" w:rsidRDefault="00B67D7C" w:rsidP="00D45A46">
      <w:pPr>
        <w:jc w:val="both"/>
        <w:rPr>
          <w:bCs/>
          <w:color w:val="002060"/>
          <w:sz w:val="16"/>
          <w:szCs w:val="16"/>
        </w:rPr>
      </w:pPr>
      <w:r w:rsidRPr="00DE096C">
        <w:rPr>
          <w:bCs/>
          <w:color w:val="002060"/>
          <w:sz w:val="16"/>
          <w:szCs w:val="16"/>
        </w:rPr>
        <w:t>Тут поднялись в воздух два французских аэроплана. Немецкий рулевой рванулся вверх, почти вертикально направляясь к самым облакам. Это был его единственный шанс - забраться вверх и сбросить оттуда бомбы или опуститься на один из французских аэропланов и вместе с ним разбиться насмерть. Французы знали это. Они летели вслед за немцем, все время оставаясь поверх его и с обеих сторон подбирались все ближе и ближе, словно орлы, готовые кинуться на цаплю. Пилот левого французского аэроплана начал стрелять по немцу, и в следующую минуту тот полетел стрелой вниз. Затем немец повернулся и, пролетев под левым преследователем, ринулся в сторону. Это был великолепный маневр, позволивший ему избавиться от преследования с двух сторон. Однако правый француз в следующий момент стал пересекать ему дорогу. Немец вновь увернулся, но теперь ему пришлось лететь прямо к фортам. Оттуда наблюдали за боем и уже ждали своей очереди. Надежды впереди не было. Игра была кончена. Немец это знал и начал еще и еще поворачивать, взмывать в вышину, бросаться то вправо, то влево. Но французы неотступно прижимали его к земле до тех пор, пока он не рухнул на землю и не превратился в груду развалин. Оба немецких летчика погибли" (11999).</w:t>
      </w:r>
    </w:p>
    <w:p w14:paraId="0AB6A09E" w14:textId="77777777" w:rsidR="00B67D7C" w:rsidRPr="00DE096C" w:rsidRDefault="00B67D7C" w:rsidP="00D45A46">
      <w:pPr>
        <w:jc w:val="both"/>
        <w:rPr>
          <w:bCs/>
          <w:color w:val="002060"/>
          <w:sz w:val="16"/>
          <w:szCs w:val="16"/>
        </w:rPr>
      </w:pPr>
    </w:p>
    <w:p w14:paraId="51F95A1B" w14:textId="77777777" w:rsidR="007B3688" w:rsidRPr="00DE096C" w:rsidRDefault="007B3688" w:rsidP="00D45A46">
      <w:pPr>
        <w:jc w:val="both"/>
        <w:rPr>
          <w:bCs/>
          <w:color w:val="002060"/>
          <w:sz w:val="16"/>
          <w:szCs w:val="16"/>
        </w:rPr>
      </w:pPr>
      <w:r w:rsidRPr="00DE096C">
        <w:rPr>
          <w:bCs/>
          <w:color w:val="002060"/>
          <w:sz w:val="16"/>
          <w:szCs w:val="16"/>
        </w:rPr>
        <w:t>21 августа (3 сентября) 1914 два дирижабля императорской армии Германии во время своих первых боевых вылетов становятся вторым и третьим дирижаблями, потерянными в бою после повреждения французской пехотой и артиллерийским огнем во время полетов на малых высотах в горах Вогезы. Z VII с трудом возвращается в Германию, чтобы разбиться возле Сент-Квирин в Лотринген, в то время как Z VIII терпит крушение в лесу Бадонвиллерс возле Бадонвиллерса, Франция, где французская кавалерия пленяем его команду. Потеря трех дирижаблей во время их первых боевых вылетов в августе не препятствует немецкой армии продолжать боевое применение дирижаблей (20337).</w:t>
      </w:r>
    </w:p>
    <w:p w14:paraId="66029C11" w14:textId="77777777" w:rsidR="007B3688" w:rsidRPr="00DE096C" w:rsidRDefault="007B3688" w:rsidP="00D45A46">
      <w:pPr>
        <w:jc w:val="both"/>
        <w:rPr>
          <w:bCs/>
          <w:color w:val="002060"/>
          <w:sz w:val="16"/>
          <w:szCs w:val="16"/>
        </w:rPr>
      </w:pPr>
    </w:p>
    <w:p w14:paraId="41926172" w14:textId="77777777" w:rsidR="00B67D7C" w:rsidRPr="00DE096C" w:rsidRDefault="00B67D7C" w:rsidP="00D45A46">
      <w:pPr>
        <w:jc w:val="both"/>
        <w:rPr>
          <w:bCs/>
          <w:i/>
          <w:color w:val="002060"/>
          <w:sz w:val="16"/>
          <w:szCs w:val="16"/>
        </w:rPr>
      </w:pPr>
      <w:r w:rsidRPr="00DE096C">
        <w:rPr>
          <w:bCs/>
          <w:i/>
          <w:color w:val="002060"/>
          <w:sz w:val="16"/>
          <w:szCs w:val="16"/>
        </w:rPr>
        <w:t>Авиация и воздухоплавание Англии:</w:t>
      </w:r>
    </w:p>
    <w:p w14:paraId="27B12D74" w14:textId="77777777" w:rsidR="00B67D7C" w:rsidRPr="00DE096C" w:rsidRDefault="00B67D7C" w:rsidP="00D45A46">
      <w:pPr>
        <w:jc w:val="both"/>
        <w:rPr>
          <w:bCs/>
          <w:i/>
          <w:color w:val="002060"/>
          <w:sz w:val="16"/>
          <w:szCs w:val="16"/>
        </w:rPr>
      </w:pPr>
    </w:p>
    <w:p w14:paraId="53298937" w14:textId="7553C30E" w:rsidR="00B67D7C" w:rsidRPr="00DE096C" w:rsidRDefault="00B67D7C" w:rsidP="00D45A46">
      <w:pPr>
        <w:jc w:val="both"/>
        <w:rPr>
          <w:bCs/>
          <w:color w:val="002060"/>
          <w:sz w:val="16"/>
          <w:szCs w:val="16"/>
        </w:rPr>
      </w:pPr>
      <w:r w:rsidRPr="00DE096C">
        <w:rPr>
          <w:bCs/>
          <w:color w:val="002060"/>
          <w:sz w:val="16"/>
          <w:szCs w:val="16"/>
        </w:rPr>
        <w:t xml:space="preserve">21 августа (3 сентября) 1914 г. </w:t>
      </w:r>
      <w:r w:rsidR="006040A3" w:rsidRPr="00DE096C">
        <w:rPr>
          <w:bCs/>
          <w:color w:val="002060"/>
          <w:sz w:val="16"/>
          <w:szCs w:val="16"/>
        </w:rPr>
        <w:t xml:space="preserve">Ллойд Джордж </w:t>
      </w:r>
      <w:r w:rsidRPr="00DE096C">
        <w:rPr>
          <w:bCs/>
          <w:color w:val="002060"/>
          <w:sz w:val="16"/>
          <w:szCs w:val="16"/>
        </w:rPr>
        <w:t>по предложению лорда Китченера</w:t>
      </w:r>
      <w:r w:rsidR="006040A3" w:rsidRPr="00DE096C">
        <w:rPr>
          <w:bCs/>
          <w:color w:val="002060"/>
          <w:sz w:val="16"/>
          <w:szCs w:val="16"/>
        </w:rPr>
        <w:t xml:space="preserve"> поручил</w:t>
      </w:r>
      <w:r w:rsidRPr="00DE096C">
        <w:rPr>
          <w:bCs/>
          <w:color w:val="002060"/>
          <w:sz w:val="16"/>
          <w:szCs w:val="16"/>
        </w:rPr>
        <w:t xml:space="preserve"> Черчилл</w:t>
      </w:r>
      <w:r w:rsidR="006040A3" w:rsidRPr="00DE096C">
        <w:rPr>
          <w:bCs/>
          <w:color w:val="002060"/>
          <w:sz w:val="16"/>
          <w:szCs w:val="16"/>
        </w:rPr>
        <w:t>ю</w:t>
      </w:r>
      <w:r w:rsidR="0006581C">
        <w:rPr>
          <w:bCs/>
          <w:color w:val="002060"/>
          <w:sz w:val="16"/>
          <w:szCs w:val="16"/>
        </w:rPr>
        <w:t xml:space="preserve"> </w:t>
      </w:r>
      <w:r w:rsidRPr="00DE096C">
        <w:rPr>
          <w:bCs/>
          <w:color w:val="002060"/>
          <w:sz w:val="16"/>
          <w:szCs w:val="16"/>
        </w:rPr>
        <w:t>взя</w:t>
      </w:r>
      <w:r w:rsidR="006040A3" w:rsidRPr="00DE096C">
        <w:rPr>
          <w:bCs/>
          <w:color w:val="002060"/>
          <w:sz w:val="16"/>
          <w:szCs w:val="16"/>
        </w:rPr>
        <w:t>ть</w:t>
      </w:r>
      <w:r w:rsidRPr="00DE096C">
        <w:rPr>
          <w:bCs/>
          <w:color w:val="002060"/>
          <w:sz w:val="16"/>
          <w:szCs w:val="16"/>
        </w:rPr>
        <w:t xml:space="preserve"> на себя все дело воздушной защиты Англии. Считая, что лучший метод защиты - нападение, он перебросил аэропланы в Дюнкерк для атак на воздушные базы неприятеля. Это послужило толчком к широкому самостоятельному развитию операций морской авиации; это же привело впоследствии к организации Королевской морской воздушной службы в качестве независимой от Королевского летного корпуса единицы... Когда Черчилль подал в отставку, воздушно-морская служба перешла в ведение Адмиралтейства" (11999).</w:t>
      </w:r>
    </w:p>
    <w:p w14:paraId="7B81E728" w14:textId="77777777" w:rsidR="00B67D7C" w:rsidRPr="00DE096C" w:rsidRDefault="00B67D7C" w:rsidP="00D45A46">
      <w:pPr>
        <w:jc w:val="both"/>
        <w:rPr>
          <w:bCs/>
          <w:color w:val="002060"/>
          <w:sz w:val="16"/>
          <w:szCs w:val="16"/>
        </w:rPr>
      </w:pPr>
    </w:p>
    <w:p w14:paraId="49AA5DB6" w14:textId="77777777" w:rsidR="006040A3" w:rsidRPr="00DE096C" w:rsidRDefault="006040A3" w:rsidP="00D45A46">
      <w:pPr>
        <w:jc w:val="both"/>
        <w:rPr>
          <w:bCs/>
          <w:i/>
          <w:color w:val="002060"/>
          <w:sz w:val="16"/>
          <w:szCs w:val="16"/>
        </w:rPr>
      </w:pPr>
      <w:r w:rsidRPr="00DE096C">
        <w:rPr>
          <w:bCs/>
          <w:i/>
          <w:color w:val="002060"/>
          <w:sz w:val="16"/>
          <w:szCs w:val="16"/>
        </w:rPr>
        <w:t>За рубежом:</w:t>
      </w:r>
    </w:p>
    <w:p w14:paraId="27D9F133" w14:textId="77777777" w:rsidR="006040A3" w:rsidRPr="00DE096C" w:rsidRDefault="006040A3" w:rsidP="00D45A46">
      <w:pPr>
        <w:jc w:val="both"/>
        <w:rPr>
          <w:bCs/>
          <w:color w:val="002060"/>
          <w:sz w:val="16"/>
          <w:szCs w:val="16"/>
        </w:rPr>
      </w:pPr>
    </w:p>
    <w:p w14:paraId="6F070273" w14:textId="77777777" w:rsidR="006040A3" w:rsidRPr="00DE096C" w:rsidRDefault="006040A3" w:rsidP="00D45A46">
      <w:pPr>
        <w:jc w:val="both"/>
        <w:rPr>
          <w:bCs/>
          <w:color w:val="002060"/>
          <w:sz w:val="16"/>
          <w:szCs w:val="16"/>
        </w:rPr>
      </w:pPr>
      <w:r w:rsidRPr="00DE096C">
        <w:rPr>
          <w:rStyle w:val="ucoz-forum-post"/>
          <w:rFonts w:eastAsiaTheme="majorEastAsia"/>
          <w:bCs/>
          <w:color w:val="002060"/>
          <w:sz w:val="16"/>
          <w:szCs w:val="16"/>
        </w:rPr>
        <w:t xml:space="preserve">21 августа (3 сентября) </w:t>
      </w:r>
      <w:r w:rsidRPr="00DE096C">
        <w:rPr>
          <w:bCs/>
          <w:color w:val="002060"/>
          <w:sz w:val="16"/>
          <w:szCs w:val="16"/>
        </w:rPr>
        <w:t>в 1914 году германские войска форсируют Марну (14758).</w:t>
      </w:r>
    </w:p>
    <w:p w14:paraId="7AF5D635" w14:textId="77777777" w:rsidR="006040A3" w:rsidRPr="00DE096C" w:rsidRDefault="006040A3" w:rsidP="00D45A46">
      <w:pPr>
        <w:jc w:val="both"/>
        <w:rPr>
          <w:bCs/>
          <w:color w:val="002060"/>
          <w:sz w:val="16"/>
          <w:szCs w:val="16"/>
        </w:rPr>
      </w:pPr>
    </w:p>
    <w:p w14:paraId="4427A6C4" w14:textId="77777777" w:rsidR="006040A3" w:rsidRPr="00DE096C" w:rsidRDefault="006040A3" w:rsidP="00D45A46">
      <w:pPr>
        <w:jc w:val="both"/>
        <w:rPr>
          <w:bCs/>
          <w:color w:val="002060"/>
          <w:sz w:val="16"/>
          <w:szCs w:val="16"/>
        </w:rPr>
      </w:pPr>
      <w:r w:rsidRPr="00DE096C">
        <w:rPr>
          <w:rStyle w:val="ucoz-forum-post"/>
          <w:rFonts w:eastAsiaTheme="majorEastAsia"/>
          <w:bCs/>
          <w:color w:val="002060"/>
          <w:sz w:val="16"/>
          <w:szCs w:val="16"/>
        </w:rPr>
        <w:t xml:space="preserve">21 августа (3 сентября) </w:t>
      </w:r>
      <w:r w:rsidRPr="00DE096C">
        <w:rPr>
          <w:bCs/>
          <w:color w:val="002060"/>
          <w:sz w:val="16"/>
          <w:szCs w:val="16"/>
        </w:rPr>
        <w:t>в 1914 году французское правительство в связи с угрозой налетов германской авиации переехало из Парижа в Бордо (14758).</w:t>
      </w:r>
    </w:p>
    <w:p w14:paraId="40357C41" w14:textId="77777777" w:rsidR="006040A3" w:rsidRPr="00DE096C" w:rsidRDefault="006040A3" w:rsidP="00D45A46">
      <w:pPr>
        <w:jc w:val="both"/>
        <w:rPr>
          <w:bCs/>
          <w:color w:val="002060"/>
          <w:sz w:val="16"/>
          <w:szCs w:val="16"/>
        </w:rPr>
      </w:pPr>
    </w:p>
    <w:p w14:paraId="5EEC954A" w14:textId="77777777" w:rsidR="006040A3" w:rsidRPr="00DE096C" w:rsidRDefault="006040A3" w:rsidP="00D45A46">
      <w:pPr>
        <w:jc w:val="both"/>
        <w:rPr>
          <w:bCs/>
          <w:color w:val="002060"/>
          <w:sz w:val="16"/>
          <w:szCs w:val="16"/>
        </w:rPr>
      </w:pPr>
      <w:r w:rsidRPr="00DE096C">
        <w:rPr>
          <w:rStyle w:val="ucoz-forum-post"/>
          <w:rFonts w:eastAsiaTheme="majorEastAsia"/>
          <w:bCs/>
          <w:color w:val="002060"/>
          <w:sz w:val="16"/>
          <w:szCs w:val="16"/>
        </w:rPr>
        <w:t xml:space="preserve">21 августа (3 сентября) </w:t>
      </w:r>
      <w:r w:rsidRPr="00DE096C">
        <w:rPr>
          <w:bCs/>
          <w:color w:val="002060"/>
          <w:sz w:val="16"/>
          <w:szCs w:val="16"/>
        </w:rPr>
        <w:t>в 1914 году германский князь Вильгельм Вид бежал из Албании (14758).</w:t>
      </w:r>
    </w:p>
    <w:p w14:paraId="35282342" w14:textId="77777777" w:rsidR="006040A3" w:rsidRPr="00DE096C" w:rsidRDefault="006040A3" w:rsidP="00D45A46">
      <w:pPr>
        <w:jc w:val="both"/>
        <w:rPr>
          <w:bCs/>
          <w:color w:val="002060"/>
          <w:sz w:val="16"/>
          <w:szCs w:val="16"/>
        </w:rPr>
      </w:pPr>
    </w:p>
    <w:p w14:paraId="48ECC571" w14:textId="1881F34C" w:rsidR="002848A1" w:rsidRPr="00DE096C" w:rsidRDefault="002848A1" w:rsidP="00D45A46">
      <w:pPr>
        <w:jc w:val="both"/>
        <w:rPr>
          <w:bCs/>
          <w:i/>
          <w:color w:val="002060"/>
          <w:sz w:val="16"/>
          <w:szCs w:val="16"/>
        </w:rPr>
      </w:pPr>
      <w:r w:rsidRPr="00DE096C">
        <w:rPr>
          <w:bCs/>
          <w:i/>
          <w:color w:val="002060"/>
          <w:sz w:val="16"/>
          <w:szCs w:val="16"/>
        </w:rPr>
        <w:t>Самолетостроение:</w:t>
      </w:r>
    </w:p>
    <w:p w14:paraId="68E06A54" w14:textId="77777777" w:rsidR="002848A1" w:rsidRPr="00DE096C" w:rsidRDefault="002848A1" w:rsidP="00D45A46">
      <w:pPr>
        <w:jc w:val="both"/>
        <w:rPr>
          <w:bCs/>
          <w:color w:val="002060"/>
          <w:sz w:val="16"/>
          <w:szCs w:val="16"/>
        </w:rPr>
      </w:pPr>
    </w:p>
    <w:p w14:paraId="045C09E3" w14:textId="20115163" w:rsidR="002848A1" w:rsidRPr="00DE096C" w:rsidRDefault="002848A1" w:rsidP="00D45A46">
      <w:pPr>
        <w:jc w:val="both"/>
        <w:rPr>
          <w:bCs/>
          <w:color w:val="002060"/>
          <w:sz w:val="16"/>
          <w:szCs w:val="16"/>
        </w:rPr>
      </w:pPr>
      <w:r w:rsidRPr="00DE096C">
        <w:rPr>
          <w:bCs/>
          <w:color w:val="002060"/>
          <w:sz w:val="16"/>
          <w:szCs w:val="16"/>
        </w:rPr>
        <w:t>22 августа (4 сентября) 1915 года завод Пороховщикова в Риге получил заказ на два своих оригинальных проекта, оба из которых были завершены.</w:t>
      </w:r>
    </w:p>
    <w:p w14:paraId="59F3F61F" w14:textId="77777777" w:rsidR="002848A1" w:rsidRPr="00DE096C" w:rsidRDefault="002848A1" w:rsidP="00D45A46">
      <w:pPr>
        <w:jc w:val="both"/>
        <w:rPr>
          <w:bCs/>
          <w:color w:val="002060"/>
          <w:sz w:val="16"/>
          <w:szCs w:val="16"/>
        </w:rPr>
      </w:pPr>
      <w:r w:rsidRPr="00DE096C">
        <w:rPr>
          <w:bCs/>
          <w:color w:val="002060"/>
          <w:sz w:val="16"/>
          <w:szCs w:val="16"/>
        </w:rPr>
        <w:t>Приближение немецких войск в 1915 году вынудило его перенести свой завод в Петроград, где был построен завод по производству самолетов. Считается, что было построено несколько Morane Saulniers. В 1917 г. был получен заказ от военного министерства на его учебный Р-4, толкающий биплан с двигателем Гном/Рона мощностью 8 л.с.</w:t>
      </w:r>
    </w:p>
    <w:p w14:paraId="7F35E6FD" w14:textId="77777777" w:rsidR="002848A1" w:rsidRPr="00DE096C" w:rsidRDefault="002848A1" w:rsidP="00D45A46">
      <w:pPr>
        <w:jc w:val="both"/>
        <w:rPr>
          <w:bCs/>
          <w:color w:val="002060"/>
          <w:sz w:val="16"/>
          <w:szCs w:val="16"/>
        </w:rPr>
      </w:pPr>
      <w:r w:rsidRPr="00DE096C">
        <w:rPr>
          <w:bCs/>
          <w:color w:val="002060"/>
          <w:sz w:val="16"/>
          <w:szCs w:val="16"/>
        </w:rPr>
        <w:t>В 1914 году на его заводе работало пятьдесят рабочих, в 1915 году их число сократилось до сорока, затем в 1916 году их число увеличилось до девяноста семи, а в 1917 году - до 110. 22 августа 1917 года завод получил заказ на десять Morane G, но ни один из них не был завершен.</w:t>
      </w:r>
    </w:p>
    <w:p w14:paraId="51EB6F0C" w14:textId="77777777" w:rsidR="002848A1" w:rsidRPr="00DE096C" w:rsidRDefault="002848A1" w:rsidP="00D45A46">
      <w:pPr>
        <w:jc w:val="both"/>
        <w:rPr>
          <w:bCs/>
          <w:color w:val="002060"/>
          <w:sz w:val="16"/>
          <w:szCs w:val="16"/>
        </w:rPr>
      </w:pPr>
      <w:r w:rsidRPr="00DE096C">
        <w:rPr>
          <w:bCs/>
          <w:color w:val="002060"/>
          <w:sz w:val="16"/>
          <w:szCs w:val="16"/>
        </w:rPr>
        <w:t>В 1918 г. красные закрыли завод, и Пороховщиков уехал жить в Москву. В начале 1930-х он был заключен в тюрьму по неизвестным обвинениям. Он был казнен в конце 1930-х годов (23535).</w:t>
      </w:r>
    </w:p>
    <w:p w14:paraId="500FF201" w14:textId="77777777" w:rsidR="002848A1" w:rsidRPr="00DE096C" w:rsidRDefault="002848A1" w:rsidP="00D45A46">
      <w:pPr>
        <w:jc w:val="both"/>
        <w:rPr>
          <w:bCs/>
          <w:color w:val="002060"/>
          <w:sz w:val="16"/>
          <w:szCs w:val="16"/>
        </w:rPr>
      </w:pPr>
    </w:p>
    <w:p w14:paraId="418DE41D" w14:textId="3E5F4B81" w:rsidR="00B67D7C" w:rsidRPr="00DE096C" w:rsidRDefault="00B67D7C" w:rsidP="00D45A46">
      <w:pPr>
        <w:jc w:val="both"/>
        <w:rPr>
          <w:bCs/>
          <w:i/>
          <w:color w:val="002060"/>
          <w:sz w:val="16"/>
          <w:szCs w:val="16"/>
        </w:rPr>
      </w:pPr>
      <w:r w:rsidRPr="00DE096C">
        <w:rPr>
          <w:bCs/>
          <w:i/>
          <w:color w:val="002060"/>
          <w:sz w:val="16"/>
          <w:szCs w:val="16"/>
        </w:rPr>
        <w:t>Авиация:</w:t>
      </w:r>
    </w:p>
    <w:p w14:paraId="7B750CAA" w14:textId="77777777" w:rsidR="00B67D7C" w:rsidRPr="00DE096C" w:rsidRDefault="00B67D7C" w:rsidP="00D45A46">
      <w:pPr>
        <w:jc w:val="both"/>
        <w:rPr>
          <w:bCs/>
          <w:i/>
          <w:color w:val="002060"/>
          <w:sz w:val="16"/>
          <w:szCs w:val="16"/>
        </w:rPr>
      </w:pPr>
    </w:p>
    <w:p w14:paraId="5473D7AF" w14:textId="77777777" w:rsidR="00B67D7C" w:rsidRPr="00DE096C" w:rsidRDefault="00B67D7C" w:rsidP="00D45A46">
      <w:pPr>
        <w:jc w:val="both"/>
        <w:rPr>
          <w:bCs/>
          <w:color w:val="002060"/>
          <w:sz w:val="16"/>
          <w:szCs w:val="16"/>
        </w:rPr>
      </w:pPr>
      <w:r w:rsidRPr="00DE096C">
        <w:rPr>
          <w:bCs/>
          <w:color w:val="002060"/>
          <w:sz w:val="16"/>
          <w:szCs w:val="16"/>
        </w:rPr>
        <w:t>22 августа (4 сентября) 1914 в штабе армии получена телеграмма: "... у деревни Артыщов мотор был подбит, пришлось спускаться. Аппарат взорвали... Военный летчик поручик Мрочковский. Наблюдатель капитан Лазарев". Оба летчика благополучно добрались до русских позиций с пленным австрийцем. Об исключении аппарата Ньюпор № 29 с мотором ГНОМ 70 HP № 2280 подан акт за № 122 (11999).</w:t>
      </w:r>
    </w:p>
    <w:p w14:paraId="7B262D36" w14:textId="77777777" w:rsidR="00B67D7C" w:rsidRPr="00DE096C" w:rsidRDefault="00B67D7C" w:rsidP="00D45A46">
      <w:pPr>
        <w:jc w:val="both"/>
        <w:rPr>
          <w:bCs/>
          <w:color w:val="002060"/>
          <w:sz w:val="16"/>
          <w:szCs w:val="16"/>
        </w:rPr>
      </w:pPr>
      <w:r w:rsidRPr="00DE096C">
        <w:rPr>
          <w:bCs/>
          <w:color w:val="002060"/>
          <w:sz w:val="16"/>
          <w:szCs w:val="16"/>
        </w:rPr>
        <w:lastRenderedPageBreak/>
        <w:t>Из штаба Нестерову: "Согласно последовавшего приказания Главнокомандующего армиями Юго-Западного фронта, летчики вверенного Вам отряда штабс-капитан Гавин и поручик Мрочковский, аппараты коих подверглись уничтожению при полетах над неприятельским расположением, должны быть немедленно командированы в Петербург в Главное техническое управление для обучения их на аппаратах новой системы. О дне отбытия летчиков донесите. Основание: Телеграмма штаба Главнокомандующего № 7".</w:t>
      </w:r>
    </w:p>
    <w:p w14:paraId="02A16C41" w14:textId="77777777" w:rsidR="00B67D7C" w:rsidRPr="00DE096C" w:rsidRDefault="00B67D7C" w:rsidP="00D45A46">
      <w:pPr>
        <w:jc w:val="both"/>
        <w:rPr>
          <w:bCs/>
          <w:color w:val="002060"/>
          <w:sz w:val="16"/>
          <w:szCs w:val="16"/>
        </w:rPr>
      </w:pPr>
      <w:r w:rsidRPr="00DE096C">
        <w:rPr>
          <w:bCs/>
          <w:color w:val="002060"/>
          <w:sz w:val="16"/>
          <w:szCs w:val="16"/>
        </w:rPr>
        <w:t>В 11-м авиаотряде осталось только два военных летчика: штабс-капитан Нестеров и поручик Передков (11999).</w:t>
      </w:r>
    </w:p>
    <w:p w14:paraId="05C2A201" w14:textId="77777777" w:rsidR="00B67D7C" w:rsidRPr="00DE096C" w:rsidRDefault="00B67D7C" w:rsidP="00D45A46">
      <w:pPr>
        <w:jc w:val="both"/>
        <w:rPr>
          <w:bCs/>
          <w:color w:val="002060"/>
          <w:sz w:val="16"/>
          <w:szCs w:val="16"/>
        </w:rPr>
      </w:pPr>
    </w:p>
    <w:p w14:paraId="2CADA001" w14:textId="3644E6B8" w:rsidR="002848A1" w:rsidRPr="00DE096C" w:rsidRDefault="002848A1" w:rsidP="00D45A46">
      <w:pPr>
        <w:jc w:val="both"/>
        <w:rPr>
          <w:bCs/>
          <w:color w:val="002060"/>
          <w:sz w:val="16"/>
          <w:szCs w:val="16"/>
        </w:rPr>
      </w:pPr>
      <w:bookmarkStart w:id="142" w:name="bookmark41"/>
      <w:r w:rsidRPr="00DE096C">
        <w:rPr>
          <w:bCs/>
          <w:color w:val="002060"/>
          <w:sz w:val="16"/>
          <w:szCs w:val="16"/>
        </w:rPr>
        <w:t>С 22 августа (4 сентября) 1914 г. в полосе русского Юго-Западного фронта в разведывательных целях действовал австрийский военный дирижабль «Шютте-Ланц» SL-II. 1 сентября он выполнил успешную разведку в районе Лодзь - Петраков (Пётркув-Трыбунальски). Позднее воздушный корабль был переброшен на Западноевропейский театр войны.</w:t>
      </w:r>
      <w:bookmarkEnd w:id="142"/>
    </w:p>
    <w:p w14:paraId="1BE0121E" w14:textId="77777777" w:rsidR="002848A1" w:rsidRPr="00DE096C" w:rsidRDefault="002848A1" w:rsidP="00D45A46">
      <w:pPr>
        <w:jc w:val="both"/>
        <w:rPr>
          <w:bCs/>
          <w:color w:val="002060"/>
          <w:sz w:val="16"/>
          <w:szCs w:val="16"/>
        </w:rPr>
      </w:pPr>
      <w:bookmarkStart w:id="143" w:name="bookmark43"/>
      <w:r w:rsidRPr="00DE096C">
        <w:rPr>
          <w:bCs/>
          <w:color w:val="002060"/>
          <w:sz w:val="16"/>
          <w:szCs w:val="16"/>
        </w:rPr>
        <w:t>Как показал первый месяц войны, германское командование для организации ведения воздушной разведки в зоне ответственности 1-й и 2-й русских армий использовало так называемый «тандем». Вначале в ближнем тылу наших войск появлялся неприятельский аэроплан, а затем - цеппелин, осуществлявший бомбардировочные действия заранее выбранных целей. Основной зенитный огонь велся по аэроплану, который, отвлекая его на себя, позднее скрывался за линией фронта (23405).</w:t>
      </w:r>
      <w:bookmarkEnd w:id="143"/>
    </w:p>
    <w:p w14:paraId="7E23D4DF" w14:textId="77777777" w:rsidR="002848A1" w:rsidRPr="00DE096C" w:rsidRDefault="002848A1" w:rsidP="00D45A46">
      <w:pPr>
        <w:jc w:val="both"/>
        <w:rPr>
          <w:bCs/>
          <w:color w:val="002060"/>
          <w:sz w:val="16"/>
          <w:szCs w:val="16"/>
        </w:rPr>
      </w:pPr>
    </w:p>
    <w:p w14:paraId="7F02DD20" w14:textId="738E1592" w:rsidR="000D2147" w:rsidRPr="00DE096C" w:rsidRDefault="000D2147" w:rsidP="00D45A46">
      <w:pPr>
        <w:jc w:val="both"/>
        <w:rPr>
          <w:bCs/>
          <w:color w:val="002060"/>
          <w:sz w:val="16"/>
          <w:szCs w:val="16"/>
          <w:lang w:bidi="en-US"/>
        </w:rPr>
      </w:pPr>
      <w:r w:rsidRPr="00DE096C">
        <w:rPr>
          <w:bCs/>
          <w:color w:val="002060"/>
          <w:sz w:val="16"/>
          <w:szCs w:val="16"/>
          <w:lang w:bidi="en-US"/>
        </w:rPr>
        <w:t xml:space="preserve">22 августа (4 сентября) 1914 г. немецкий дирижабль </w:t>
      </w:r>
      <w:r w:rsidRPr="00DE096C">
        <w:rPr>
          <w:bCs/>
          <w:color w:val="002060"/>
          <w:sz w:val="16"/>
          <w:szCs w:val="16"/>
          <w:lang w:val="en-US" w:bidi="en-US"/>
        </w:rPr>
        <w:t>SL</w:t>
      </w:r>
      <w:r w:rsidRPr="00DE096C">
        <w:rPr>
          <w:bCs/>
          <w:color w:val="002060"/>
          <w:sz w:val="16"/>
          <w:szCs w:val="16"/>
          <w:lang w:bidi="en-US"/>
        </w:rPr>
        <w:t>.</w:t>
      </w:r>
      <w:r w:rsidRPr="00DE096C">
        <w:rPr>
          <w:bCs/>
          <w:color w:val="002060"/>
          <w:sz w:val="16"/>
          <w:szCs w:val="16"/>
          <w:lang w:val="en-US" w:bidi="en-US"/>
        </w:rPr>
        <w:t>II</w:t>
      </w:r>
      <w:r w:rsidRPr="00DE096C">
        <w:rPr>
          <w:bCs/>
          <w:color w:val="002060"/>
          <w:sz w:val="16"/>
          <w:szCs w:val="16"/>
          <w:lang w:bidi="en-US"/>
        </w:rPr>
        <w:t xml:space="preserve"> (</w:t>
      </w:r>
      <w:r w:rsidRPr="00DE096C">
        <w:rPr>
          <w:bCs/>
          <w:color w:val="002060"/>
          <w:sz w:val="16"/>
          <w:szCs w:val="16"/>
          <w:lang w:val="en-US" w:bidi="en-US"/>
        </w:rPr>
        <w:t>BI</w:t>
      </w:r>
      <w:r w:rsidRPr="00DE096C">
        <w:rPr>
          <w:bCs/>
          <w:color w:val="002060"/>
          <w:sz w:val="16"/>
          <w:szCs w:val="16"/>
          <w:lang w:bidi="en-US"/>
        </w:rPr>
        <w:t>) вылетел из Лигница в Силезии с миссией над южной Польшей. Она ненадолго приземлилась в Перемышле, чтобы передать австро-венграм информацию о передвижениях русских. Она была легко повреждена наземным огнем, но благополучно вернулась на свою базу и была отремонтирована. 26 сентября ее отправили на Западный фронт союзников (23425).</w:t>
      </w:r>
    </w:p>
    <w:p w14:paraId="2BE9FEF3" w14:textId="77777777" w:rsidR="000D2147" w:rsidRPr="00DE096C" w:rsidRDefault="000D2147" w:rsidP="00D45A46">
      <w:pPr>
        <w:jc w:val="both"/>
        <w:rPr>
          <w:bCs/>
          <w:color w:val="002060"/>
          <w:sz w:val="16"/>
          <w:szCs w:val="16"/>
        </w:rPr>
      </w:pPr>
    </w:p>
    <w:p w14:paraId="7F66AA1D" w14:textId="77777777" w:rsidR="00C55AED" w:rsidRPr="00DE096C" w:rsidRDefault="00C55AED" w:rsidP="00D45A46">
      <w:pPr>
        <w:jc w:val="both"/>
        <w:rPr>
          <w:bCs/>
          <w:color w:val="002060"/>
          <w:sz w:val="16"/>
          <w:szCs w:val="16"/>
        </w:rPr>
      </w:pPr>
      <w:r w:rsidRPr="00DE096C">
        <w:rPr>
          <w:bCs/>
          <w:color w:val="002060"/>
          <w:sz w:val="16"/>
          <w:szCs w:val="16"/>
        </w:rPr>
        <w:t>22 августа (4 сентября) 1914 г. в Петрограде сформирован добровольческий авиаци</w:t>
      </w:r>
      <w:r w:rsidRPr="00DE096C">
        <w:rPr>
          <w:bCs/>
          <w:color w:val="002060"/>
          <w:sz w:val="16"/>
          <w:szCs w:val="16"/>
        </w:rPr>
        <w:softHyphen/>
        <w:t>онный отряд из летно-технического состава школы всероссийского аэроклуба, получивший название Особого авиационного отряда. Начальником отряда стал его организатор, начальник школы, капитан 2-го ранга Н.А.Яцук. Отряд убыл на фронт в составе 3 офицеров, 6 летчиков-добровольцев и 40 добровольцев-рядовых. Впоследствии отряд был зачислен в штат с переименованием в 34-й корпусной отряд. /ЦГВИА, ф. 2003, оп. 2, Д. 617, л. 16; Приказ ВГК № 146/ (23320).</w:t>
      </w:r>
    </w:p>
    <w:p w14:paraId="20990430" w14:textId="77777777" w:rsidR="00C55AED" w:rsidRPr="00DE096C" w:rsidRDefault="00C55AED" w:rsidP="00D45A46">
      <w:pPr>
        <w:jc w:val="both"/>
        <w:rPr>
          <w:bCs/>
          <w:color w:val="002060"/>
          <w:sz w:val="16"/>
          <w:szCs w:val="16"/>
        </w:rPr>
      </w:pPr>
    </w:p>
    <w:p w14:paraId="434B8369" w14:textId="7D3BFC36" w:rsidR="003F431E" w:rsidRPr="00DE096C" w:rsidRDefault="003F431E" w:rsidP="00D45A46">
      <w:pPr>
        <w:jc w:val="both"/>
        <w:rPr>
          <w:bCs/>
          <w:color w:val="002060"/>
          <w:sz w:val="16"/>
          <w:szCs w:val="16"/>
          <w:lang w:bidi="en-US"/>
        </w:rPr>
      </w:pPr>
      <w:r w:rsidRPr="00DE096C">
        <w:rPr>
          <w:bCs/>
          <w:color w:val="002060"/>
          <w:sz w:val="16"/>
          <w:szCs w:val="16"/>
          <w:lang w:bidi="en-US"/>
        </w:rPr>
        <w:t>22 августа (4 сентября) 1914 г. пилоту Аэроклуба Старшему лейтенанту Н.А. Яцуку было поручено сформировать Добровольческий АО. в составе пилотов аэроклуба. 15 марта 1915 г. переименована в 34-ю КАО (23525).</w:t>
      </w:r>
    </w:p>
    <w:p w14:paraId="42FD35E6" w14:textId="77777777" w:rsidR="003F431E" w:rsidRPr="00DE096C" w:rsidRDefault="003F431E" w:rsidP="00D45A46">
      <w:pPr>
        <w:jc w:val="both"/>
        <w:rPr>
          <w:bCs/>
          <w:color w:val="002060"/>
          <w:sz w:val="16"/>
          <w:szCs w:val="16"/>
        </w:rPr>
      </w:pPr>
    </w:p>
    <w:p w14:paraId="16CDB02C" w14:textId="77777777" w:rsidR="00E17EC0" w:rsidRPr="00DE096C" w:rsidRDefault="00E17EC0" w:rsidP="00D45A46">
      <w:pPr>
        <w:jc w:val="both"/>
        <w:rPr>
          <w:bCs/>
          <w:i/>
          <w:color w:val="002060"/>
          <w:sz w:val="16"/>
          <w:szCs w:val="16"/>
        </w:rPr>
      </w:pPr>
      <w:r w:rsidRPr="00DE096C">
        <w:rPr>
          <w:bCs/>
          <w:i/>
          <w:color w:val="002060"/>
          <w:sz w:val="16"/>
          <w:szCs w:val="16"/>
        </w:rPr>
        <w:t>Армия:</w:t>
      </w:r>
    </w:p>
    <w:p w14:paraId="6BEC4E1B" w14:textId="77777777" w:rsidR="00E17EC0" w:rsidRPr="00DE096C" w:rsidRDefault="00E17EC0" w:rsidP="00D45A46">
      <w:pPr>
        <w:jc w:val="both"/>
        <w:rPr>
          <w:bCs/>
          <w:i/>
          <w:color w:val="002060"/>
          <w:sz w:val="16"/>
          <w:szCs w:val="16"/>
        </w:rPr>
      </w:pPr>
    </w:p>
    <w:p w14:paraId="637D535C" w14:textId="56887933" w:rsidR="00E17EC0" w:rsidRPr="00DE096C" w:rsidRDefault="00E17EC0" w:rsidP="00D45A46">
      <w:pPr>
        <w:jc w:val="both"/>
        <w:rPr>
          <w:bCs/>
          <w:color w:val="002060"/>
          <w:sz w:val="16"/>
          <w:szCs w:val="16"/>
        </w:rPr>
      </w:pPr>
      <w:r w:rsidRPr="00DE096C">
        <w:rPr>
          <w:bCs/>
          <w:color w:val="002060"/>
          <w:sz w:val="16"/>
          <w:szCs w:val="16"/>
        </w:rPr>
        <w:t xml:space="preserve">22 августа </w:t>
      </w:r>
      <w:r w:rsidR="00C55AED" w:rsidRPr="00DE096C">
        <w:rPr>
          <w:bCs/>
          <w:color w:val="002060"/>
          <w:sz w:val="16"/>
          <w:szCs w:val="16"/>
        </w:rPr>
        <w:t xml:space="preserve">(4 сентября) </w:t>
      </w:r>
      <w:r w:rsidRPr="00DE096C">
        <w:rPr>
          <w:bCs/>
          <w:color w:val="002060"/>
          <w:sz w:val="16"/>
          <w:szCs w:val="16"/>
        </w:rPr>
        <w:t>в 1914 году русские войска начинают Галицийскую операцию в ходе Первой мировой войны (14990).</w:t>
      </w:r>
    </w:p>
    <w:p w14:paraId="59F3E815" w14:textId="77777777" w:rsidR="00E17EC0" w:rsidRPr="00DE096C" w:rsidRDefault="00E17EC0" w:rsidP="00D45A46">
      <w:pPr>
        <w:jc w:val="both"/>
        <w:rPr>
          <w:bCs/>
          <w:color w:val="002060"/>
          <w:sz w:val="16"/>
          <w:szCs w:val="16"/>
        </w:rPr>
      </w:pPr>
    </w:p>
    <w:p w14:paraId="7D1B4A89" w14:textId="77777777" w:rsidR="00E17EC0" w:rsidRPr="00DE096C" w:rsidRDefault="00E17EC0" w:rsidP="00D45A46">
      <w:pPr>
        <w:jc w:val="both"/>
        <w:rPr>
          <w:bCs/>
          <w:i/>
          <w:color w:val="002060"/>
          <w:sz w:val="16"/>
          <w:szCs w:val="16"/>
        </w:rPr>
      </w:pPr>
      <w:r w:rsidRPr="00DE096C">
        <w:rPr>
          <w:bCs/>
          <w:i/>
          <w:color w:val="002060"/>
          <w:sz w:val="16"/>
          <w:szCs w:val="16"/>
        </w:rPr>
        <w:t>Жизнь и внутренняя политика:</w:t>
      </w:r>
    </w:p>
    <w:p w14:paraId="1B0772F7" w14:textId="77777777" w:rsidR="00E17EC0" w:rsidRPr="00DE096C" w:rsidRDefault="00E17EC0" w:rsidP="00D45A46">
      <w:pPr>
        <w:jc w:val="both"/>
        <w:rPr>
          <w:bCs/>
          <w:i/>
          <w:color w:val="002060"/>
          <w:sz w:val="16"/>
          <w:szCs w:val="16"/>
        </w:rPr>
      </w:pPr>
    </w:p>
    <w:p w14:paraId="07D237B0" w14:textId="4C9E7E4E" w:rsidR="00E17EC0" w:rsidRPr="00DE096C" w:rsidRDefault="00E17EC0" w:rsidP="00D45A46">
      <w:pPr>
        <w:jc w:val="both"/>
        <w:rPr>
          <w:bCs/>
          <w:color w:val="002060"/>
          <w:sz w:val="16"/>
          <w:szCs w:val="16"/>
        </w:rPr>
      </w:pPr>
      <w:r w:rsidRPr="00DE096C">
        <w:rPr>
          <w:bCs/>
          <w:color w:val="002060"/>
          <w:sz w:val="16"/>
          <w:szCs w:val="16"/>
        </w:rPr>
        <w:t xml:space="preserve">22 августа </w:t>
      </w:r>
      <w:r w:rsidR="00C55AED" w:rsidRPr="00DE096C">
        <w:rPr>
          <w:bCs/>
          <w:color w:val="002060"/>
          <w:sz w:val="16"/>
          <w:szCs w:val="16"/>
        </w:rPr>
        <w:t xml:space="preserve">(4 сентября) </w:t>
      </w:r>
      <w:r w:rsidRPr="00DE096C">
        <w:rPr>
          <w:bCs/>
          <w:color w:val="002060"/>
          <w:sz w:val="16"/>
          <w:szCs w:val="16"/>
        </w:rPr>
        <w:t>в 1914 году в России на период войны запрещается продажа спиртных напитков (14990).</w:t>
      </w:r>
    </w:p>
    <w:p w14:paraId="26AF1921" w14:textId="77777777" w:rsidR="00E17EC0" w:rsidRPr="00DE096C" w:rsidRDefault="00E17EC0" w:rsidP="00D45A46">
      <w:pPr>
        <w:jc w:val="both"/>
        <w:rPr>
          <w:bCs/>
          <w:color w:val="002060"/>
          <w:sz w:val="16"/>
          <w:szCs w:val="16"/>
        </w:rPr>
      </w:pPr>
    </w:p>
    <w:p w14:paraId="273E1E3E" w14:textId="77777777" w:rsidR="00865110" w:rsidRPr="00DE096C" w:rsidRDefault="00865110" w:rsidP="00D45A46">
      <w:pPr>
        <w:jc w:val="both"/>
        <w:rPr>
          <w:bCs/>
          <w:i/>
          <w:color w:val="002060"/>
          <w:sz w:val="16"/>
          <w:szCs w:val="16"/>
        </w:rPr>
      </w:pPr>
      <w:r w:rsidRPr="00DE096C">
        <w:rPr>
          <w:bCs/>
          <w:i/>
          <w:color w:val="002060"/>
          <w:sz w:val="16"/>
          <w:szCs w:val="16"/>
        </w:rPr>
        <w:t>Внешняя политика:</w:t>
      </w:r>
    </w:p>
    <w:p w14:paraId="151AF935" w14:textId="77777777" w:rsidR="00865110" w:rsidRPr="00DE096C" w:rsidRDefault="00865110" w:rsidP="00D45A46">
      <w:pPr>
        <w:jc w:val="both"/>
        <w:rPr>
          <w:bCs/>
          <w:i/>
          <w:color w:val="002060"/>
          <w:sz w:val="16"/>
          <w:szCs w:val="16"/>
        </w:rPr>
      </w:pPr>
    </w:p>
    <w:p w14:paraId="46D72113" w14:textId="77777777" w:rsidR="00865110" w:rsidRPr="00DE096C" w:rsidRDefault="00865110" w:rsidP="00D45A46">
      <w:pPr>
        <w:jc w:val="both"/>
        <w:rPr>
          <w:bCs/>
          <w:color w:val="002060"/>
          <w:sz w:val="16"/>
          <w:szCs w:val="16"/>
        </w:rPr>
      </w:pPr>
      <w:r w:rsidRPr="00DE096C">
        <w:rPr>
          <w:rStyle w:val="ucoz-forum-post"/>
          <w:rFonts w:eastAsiaTheme="majorEastAsia"/>
          <w:bCs/>
          <w:color w:val="002060"/>
          <w:sz w:val="16"/>
          <w:szCs w:val="16"/>
        </w:rPr>
        <w:t xml:space="preserve">22 августа (4 сентября) </w:t>
      </w:r>
      <w:r w:rsidRPr="00DE096C">
        <w:rPr>
          <w:bCs/>
          <w:color w:val="002060"/>
          <w:sz w:val="16"/>
          <w:szCs w:val="16"/>
        </w:rPr>
        <w:t>в 1914 году Британия, Россия и Франция обещают друг другу не заключать сепаратного мира с Германией (14759).</w:t>
      </w:r>
    </w:p>
    <w:p w14:paraId="461C9FEE" w14:textId="77777777" w:rsidR="00865110" w:rsidRPr="00DE096C" w:rsidRDefault="00865110" w:rsidP="00D45A46">
      <w:pPr>
        <w:jc w:val="both"/>
        <w:rPr>
          <w:bCs/>
          <w:color w:val="002060"/>
          <w:sz w:val="16"/>
          <w:szCs w:val="16"/>
        </w:rPr>
      </w:pPr>
    </w:p>
    <w:p w14:paraId="3A8FB27D" w14:textId="2965FD94" w:rsidR="007B3688" w:rsidRPr="00DE096C" w:rsidRDefault="007B3688" w:rsidP="00D45A46">
      <w:pPr>
        <w:jc w:val="both"/>
        <w:rPr>
          <w:bCs/>
          <w:i/>
          <w:color w:val="002060"/>
          <w:sz w:val="16"/>
          <w:szCs w:val="16"/>
        </w:rPr>
      </w:pPr>
      <w:r w:rsidRPr="00DE096C">
        <w:rPr>
          <w:bCs/>
          <w:i/>
          <w:color w:val="002060"/>
          <w:sz w:val="16"/>
          <w:szCs w:val="16"/>
        </w:rPr>
        <w:t>Авиация и воздухоплавание Англии:</w:t>
      </w:r>
    </w:p>
    <w:p w14:paraId="35BF29E5" w14:textId="77777777" w:rsidR="007B3688" w:rsidRPr="00DE096C" w:rsidRDefault="007B3688" w:rsidP="00D45A46">
      <w:pPr>
        <w:jc w:val="both"/>
        <w:rPr>
          <w:bCs/>
          <w:i/>
          <w:color w:val="002060"/>
          <w:sz w:val="16"/>
          <w:szCs w:val="16"/>
        </w:rPr>
      </w:pPr>
    </w:p>
    <w:p w14:paraId="631C5DCE" w14:textId="77777777" w:rsidR="007B3688" w:rsidRPr="00DE096C" w:rsidRDefault="007B3688" w:rsidP="00D45A46">
      <w:pPr>
        <w:jc w:val="both"/>
        <w:rPr>
          <w:bCs/>
          <w:color w:val="002060"/>
          <w:sz w:val="16"/>
          <w:szCs w:val="16"/>
        </w:rPr>
      </w:pPr>
      <w:r w:rsidRPr="00DE096C">
        <w:rPr>
          <w:bCs/>
          <w:color w:val="002060"/>
          <w:sz w:val="16"/>
          <w:szCs w:val="16"/>
        </w:rPr>
        <w:t>22 августа (4 сентября) 1914 Avro 504 из Королевских ВВС - № 5 - й эскадрильи - на патрулирование над Бельгией сбит немецким ружейным огнем, став первым британский самолетом, уничтоженеым при боевом применении. Ранняя попытка задействовать пушку Льюиса в воздушном бою провалилась, когда Королевский летный корпус Фарман, вооруженный одним орудием, пытается перехватить немецкий Альбатрос. Ему требуется 30 минут чтобы подняться на высоту 305 метров из-за того, что орудие имеет большойо. вес. При посадке пилоту приказывают снять пушку Льюиса и использовать винтовку для будущих миссий (20337).</w:t>
      </w:r>
    </w:p>
    <w:p w14:paraId="524789FE" w14:textId="77777777" w:rsidR="007B3688" w:rsidRPr="00DE096C" w:rsidRDefault="007B3688" w:rsidP="00D45A46">
      <w:pPr>
        <w:jc w:val="both"/>
        <w:rPr>
          <w:bCs/>
          <w:color w:val="002060"/>
          <w:sz w:val="16"/>
          <w:szCs w:val="16"/>
        </w:rPr>
      </w:pPr>
    </w:p>
    <w:p w14:paraId="7EA10B73" w14:textId="6EA29256" w:rsidR="006040A3" w:rsidRPr="00DE096C" w:rsidRDefault="006040A3" w:rsidP="00D45A46">
      <w:pPr>
        <w:jc w:val="both"/>
        <w:rPr>
          <w:bCs/>
          <w:i/>
          <w:color w:val="002060"/>
          <w:sz w:val="16"/>
          <w:szCs w:val="16"/>
        </w:rPr>
      </w:pPr>
      <w:r w:rsidRPr="00DE096C">
        <w:rPr>
          <w:bCs/>
          <w:i/>
          <w:color w:val="002060"/>
          <w:sz w:val="16"/>
          <w:szCs w:val="16"/>
        </w:rPr>
        <w:t>Авиация и воздухоплавание Германии:</w:t>
      </w:r>
    </w:p>
    <w:p w14:paraId="03414360" w14:textId="77777777" w:rsidR="006040A3" w:rsidRPr="00DE096C" w:rsidRDefault="006040A3" w:rsidP="00D45A46">
      <w:pPr>
        <w:jc w:val="both"/>
        <w:rPr>
          <w:bCs/>
          <w:i/>
          <w:color w:val="002060"/>
          <w:sz w:val="16"/>
          <w:szCs w:val="16"/>
        </w:rPr>
      </w:pPr>
    </w:p>
    <w:p w14:paraId="18DC3D50" w14:textId="435AC200" w:rsidR="006040A3" w:rsidRPr="00DE096C" w:rsidRDefault="006040A3" w:rsidP="00D45A46">
      <w:pPr>
        <w:jc w:val="both"/>
        <w:rPr>
          <w:rStyle w:val="ucoz-forum-post"/>
          <w:rFonts w:eastAsiaTheme="majorEastAsia"/>
          <w:bCs/>
          <w:color w:val="002060"/>
          <w:sz w:val="16"/>
          <w:szCs w:val="16"/>
        </w:rPr>
      </w:pPr>
      <w:r w:rsidRPr="00DE096C">
        <w:rPr>
          <w:rStyle w:val="ucoz-forum-post"/>
          <w:rFonts w:eastAsiaTheme="majorEastAsia"/>
          <w:bCs/>
          <w:color w:val="002060"/>
          <w:sz w:val="16"/>
          <w:szCs w:val="16"/>
        </w:rPr>
        <w:t>22 августа (4 сентября) 1914 года Фирмой Kondor Flugzeugwerke был представлен новый самолет Taube, спроектированный главой фирмы, Отто Бекком (Otto Beck) Kondor Type H. Он обладал наибольшим среди самолетов своего типа размахом крыла, и был самым крупным самолетом Taube. Используемый как и большинство остальных Taube для невооруженной разведки, самолет был выпущен в количестве 12 экземпляров (последний в апреле 1915 года). Все они были оснащены двигателем Mercedes D I мощностью 100 л.с (14759).</w:t>
      </w:r>
    </w:p>
    <w:p w14:paraId="5428E766" w14:textId="77777777" w:rsidR="006040A3" w:rsidRPr="00DE096C" w:rsidRDefault="006040A3" w:rsidP="00D45A46">
      <w:pPr>
        <w:jc w:val="both"/>
        <w:rPr>
          <w:rStyle w:val="ucoz-forum-post"/>
          <w:rFonts w:eastAsiaTheme="majorEastAsia"/>
          <w:bCs/>
          <w:color w:val="002060"/>
          <w:sz w:val="16"/>
          <w:szCs w:val="16"/>
        </w:rPr>
      </w:pPr>
    </w:p>
    <w:p w14:paraId="1D7E4F93" w14:textId="3D202166" w:rsidR="007B3688" w:rsidRPr="00DE096C" w:rsidRDefault="007B3688" w:rsidP="00D45A46">
      <w:pPr>
        <w:jc w:val="both"/>
        <w:rPr>
          <w:bCs/>
          <w:i/>
          <w:color w:val="002060"/>
          <w:sz w:val="16"/>
          <w:szCs w:val="16"/>
        </w:rPr>
      </w:pPr>
      <w:r w:rsidRPr="00DE096C">
        <w:rPr>
          <w:bCs/>
          <w:i/>
          <w:color w:val="002060"/>
          <w:sz w:val="16"/>
          <w:szCs w:val="16"/>
        </w:rPr>
        <w:t>За рубежом:</w:t>
      </w:r>
    </w:p>
    <w:p w14:paraId="11BF7D9E" w14:textId="77777777" w:rsidR="007B3688" w:rsidRPr="00DE096C" w:rsidRDefault="007B3688" w:rsidP="00D45A46">
      <w:pPr>
        <w:jc w:val="both"/>
        <w:rPr>
          <w:bCs/>
          <w:i/>
          <w:color w:val="002060"/>
          <w:sz w:val="16"/>
          <w:szCs w:val="16"/>
        </w:rPr>
      </w:pPr>
    </w:p>
    <w:p w14:paraId="1961F2C5" w14:textId="77777777" w:rsidR="007B3688" w:rsidRPr="00DE096C" w:rsidRDefault="007B3688" w:rsidP="00D45A46">
      <w:pPr>
        <w:jc w:val="both"/>
        <w:rPr>
          <w:bCs/>
          <w:color w:val="002060"/>
          <w:sz w:val="16"/>
          <w:szCs w:val="16"/>
        </w:rPr>
      </w:pPr>
      <w:r w:rsidRPr="00DE096C">
        <w:rPr>
          <w:bCs/>
          <w:color w:val="002060"/>
          <w:sz w:val="16"/>
          <w:szCs w:val="16"/>
        </w:rPr>
        <w:t>22 августа (4 сентября) 1914 - Французская армия левого фланга проходит через покинутый правительством Париж.</w:t>
      </w:r>
    </w:p>
    <w:p w14:paraId="5DAB2656" w14:textId="77777777" w:rsidR="007B3688" w:rsidRPr="00DE096C" w:rsidRDefault="007B3688" w:rsidP="00D45A46">
      <w:pPr>
        <w:jc w:val="both"/>
        <w:rPr>
          <w:bCs/>
          <w:color w:val="002060"/>
          <w:sz w:val="16"/>
          <w:szCs w:val="16"/>
        </w:rPr>
      </w:pPr>
      <w:r w:rsidRPr="00DE096C">
        <w:rPr>
          <w:bCs/>
          <w:color w:val="002060"/>
          <w:sz w:val="16"/>
          <w:szCs w:val="16"/>
        </w:rPr>
        <w:t>На основании данных авиационной разведки германское командование издает директиву, в которой отмечает, что противник уклонился от обходного движения и перебрасывает войска на запад. Ввиду этого "оттеснение всех неприятельских сил в юго-восточном направлении к швейцарской границе является уже невозможным". В результате германские армии развертываются фронтом к Парижу между Уазой и Сеной, готовясь отражать удары союзных сил. Направление удара против левого крыла французских армий переносилось на правое; 6-я и 7-я армии должны были занять Нанси. Армия Клюка перешла Марну.</w:t>
      </w:r>
    </w:p>
    <w:p w14:paraId="09EAA8FB" w14:textId="77777777" w:rsidR="007B3688" w:rsidRPr="00DE096C" w:rsidRDefault="007B3688" w:rsidP="00D45A46">
      <w:pPr>
        <w:jc w:val="both"/>
        <w:rPr>
          <w:bCs/>
          <w:color w:val="002060"/>
          <w:sz w:val="16"/>
          <w:szCs w:val="16"/>
        </w:rPr>
      </w:pPr>
      <w:r w:rsidRPr="00DE096C">
        <w:rPr>
          <w:bCs/>
          <w:color w:val="002060"/>
          <w:sz w:val="16"/>
          <w:szCs w:val="16"/>
        </w:rPr>
        <w:t>Четыре корпуса 6-й французской армии, назначенной для обороны Парижа, получают подкрепление в виде 45-й пехотной дивизии, которая, выйдя из Парижа, дошла до Ле- Бурже. 3-я французская эскадрилья, расположенная у Эпи- наль, получила приказ отправиться в район боев в распоряжение армии Фоша.</w:t>
      </w:r>
    </w:p>
    <w:p w14:paraId="0A6162B4" w14:textId="77777777" w:rsidR="007B3688" w:rsidRPr="00DE096C" w:rsidRDefault="007B3688" w:rsidP="00D45A46">
      <w:pPr>
        <w:jc w:val="both"/>
        <w:rPr>
          <w:bCs/>
          <w:color w:val="002060"/>
          <w:sz w:val="16"/>
          <w:szCs w:val="16"/>
        </w:rPr>
      </w:pPr>
      <w:r w:rsidRPr="00DE096C">
        <w:rPr>
          <w:bCs/>
          <w:color w:val="002060"/>
          <w:sz w:val="16"/>
          <w:szCs w:val="16"/>
        </w:rPr>
        <w:t>Из донесений германской авиаразведки: "5 час. 30 мин.</w:t>
      </w:r>
    </w:p>
    <w:p w14:paraId="55144BBC" w14:textId="77777777" w:rsidR="007B3688" w:rsidRPr="00DE096C" w:rsidRDefault="007B3688" w:rsidP="00D45A46">
      <w:pPr>
        <w:jc w:val="both"/>
        <w:rPr>
          <w:bCs/>
          <w:color w:val="002060"/>
          <w:sz w:val="16"/>
          <w:szCs w:val="16"/>
        </w:rPr>
      </w:pPr>
      <w:r w:rsidRPr="00DE096C">
        <w:rPr>
          <w:bCs/>
          <w:color w:val="002060"/>
          <w:sz w:val="16"/>
          <w:szCs w:val="16"/>
        </w:rPr>
        <w:t>пополудни на линии Виллерон - Шенвьер - Эпиэ-ле-Лувр развернувшиеся войска. Южнее Ле-Блан - Мениль полк пехоты. В Париже колонны обозов двигаются на восток. В восточной части Парижа большой лагерь, полный больших и малых палаток". Все остальные донесения летчиков в этот день свидетельствовали преимущественно об отходе французов южнее Марны и Большого Морена и о присутствии 6-й французской армии севернее Парижа.</w:t>
      </w:r>
    </w:p>
    <w:p w14:paraId="06AA5BEB" w14:textId="77777777" w:rsidR="007B3688" w:rsidRPr="00DE096C" w:rsidRDefault="007B3688" w:rsidP="00D45A46">
      <w:pPr>
        <w:jc w:val="both"/>
        <w:rPr>
          <w:bCs/>
          <w:color w:val="002060"/>
          <w:sz w:val="16"/>
          <w:szCs w:val="16"/>
        </w:rPr>
      </w:pPr>
      <w:r w:rsidRPr="00DE096C">
        <w:rPr>
          <w:bCs/>
          <w:color w:val="002060"/>
          <w:sz w:val="16"/>
          <w:szCs w:val="16"/>
        </w:rPr>
        <w:t>Из приказа штаба корпуса 3-й германской армии: "Воздушную разведку направить в треугольник Демартен - Париж - Шуази с обращением особого внимания на обстановку у Куломмье".</w:t>
      </w:r>
    </w:p>
    <w:p w14:paraId="5094FA12" w14:textId="77777777" w:rsidR="007B3688" w:rsidRPr="00DE096C" w:rsidRDefault="007B3688" w:rsidP="00D45A46">
      <w:pPr>
        <w:jc w:val="both"/>
        <w:rPr>
          <w:bCs/>
          <w:color w:val="002060"/>
          <w:sz w:val="16"/>
          <w:szCs w:val="16"/>
        </w:rPr>
      </w:pPr>
      <w:r w:rsidRPr="00DE096C">
        <w:rPr>
          <w:bCs/>
          <w:color w:val="002060"/>
          <w:sz w:val="16"/>
          <w:szCs w:val="16"/>
        </w:rPr>
        <w:t>"Армии эти уже достигли реки Марны, не оставляя ничего против Парижа", - сообщал граф Игнатьев и уточнял это так: "Опасное положение 1-й германской армии, имеющей с фланга парижскую армию, должно быть причиной начала генерального сражения".</w:t>
      </w:r>
    </w:p>
    <w:p w14:paraId="7E4A6B1D" w14:textId="77777777" w:rsidR="007B3688" w:rsidRPr="00DE096C" w:rsidRDefault="007B3688" w:rsidP="00D45A46">
      <w:pPr>
        <w:jc w:val="both"/>
        <w:rPr>
          <w:bCs/>
          <w:color w:val="002060"/>
          <w:sz w:val="16"/>
          <w:szCs w:val="16"/>
        </w:rPr>
      </w:pPr>
      <w:r w:rsidRPr="00DE096C">
        <w:rPr>
          <w:bCs/>
          <w:color w:val="002060"/>
          <w:sz w:val="16"/>
          <w:szCs w:val="16"/>
        </w:rPr>
        <w:t>6-я французская армия остается на своих позициях северо-восточнее Парижа, которые она укрепляет. Части VII корпуса в высшей степени утомлены беспрерывными передвижениями сначала из Эльзаса, затем во время отступления от Соммы. Авиационная разведка, обследовав район к северу от Парижа, нигде не обнаружила противника: вся 1-я германская армия находилась уже восточнее Парижа. В результате 6-я армия разворачивается фронтом на восток, не опасаясь за свой левый фланг.</w:t>
      </w:r>
    </w:p>
    <w:p w14:paraId="07FC2AEE" w14:textId="77777777" w:rsidR="007B3688" w:rsidRPr="00DE096C" w:rsidRDefault="007B3688" w:rsidP="00D45A46">
      <w:pPr>
        <w:jc w:val="both"/>
        <w:rPr>
          <w:bCs/>
          <w:color w:val="002060"/>
          <w:sz w:val="16"/>
          <w:szCs w:val="16"/>
        </w:rPr>
      </w:pPr>
      <w:r w:rsidRPr="00DE096C">
        <w:rPr>
          <w:bCs/>
          <w:color w:val="002060"/>
          <w:sz w:val="16"/>
          <w:szCs w:val="16"/>
        </w:rPr>
        <w:t>Английская армия располагается юго-восточнее Парижа, где она получает пополнение в 10 тыс. человек.</w:t>
      </w:r>
    </w:p>
    <w:p w14:paraId="70079572" w14:textId="77777777" w:rsidR="007B3688" w:rsidRPr="00DE096C" w:rsidRDefault="007B3688" w:rsidP="00D45A46">
      <w:pPr>
        <w:jc w:val="both"/>
        <w:rPr>
          <w:bCs/>
          <w:color w:val="002060"/>
          <w:sz w:val="16"/>
          <w:szCs w:val="16"/>
        </w:rPr>
      </w:pPr>
      <w:r w:rsidRPr="00DE096C">
        <w:rPr>
          <w:bCs/>
          <w:color w:val="002060"/>
          <w:sz w:val="16"/>
          <w:szCs w:val="16"/>
        </w:rPr>
        <w:t>В 22 часа по штабам французских армий разослан приказ Жоффра о наступлении, начинающийся словами: "Следует использовать рискованное положение 1-й германской армии, чтобы сосредоточить на ней усилия союзных левофланговых армий. Все меры должны быть приняты 5 сентября с целью двинуться в атаку 6-го".</w:t>
      </w:r>
    </w:p>
    <w:p w14:paraId="6DFD1DF6" w14:textId="77777777" w:rsidR="007B3688" w:rsidRPr="00DE096C" w:rsidRDefault="007B3688" w:rsidP="00D45A46">
      <w:pPr>
        <w:jc w:val="both"/>
        <w:rPr>
          <w:bCs/>
          <w:color w:val="002060"/>
          <w:sz w:val="16"/>
          <w:szCs w:val="16"/>
        </w:rPr>
      </w:pPr>
      <w:r w:rsidRPr="00DE096C">
        <w:rPr>
          <w:bCs/>
          <w:color w:val="002060"/>
          <w:sz w:val="16"/>
          <w:szCs w:val="16"/>
        </w:rPr>
        <w:t>Этот день ознаменовался беспрерывным треском аэро- планных моторов в окрестностях Парижа (11999).</w:t>
      </w:r>
    </w:p>
    <w:p w14:paraId="227367C5" w14:textId="77777777" w:rsidR="007B3688" w:rsidRPr="00DE096C" w:rsidRDefault="007B3688" w:rsidP="00D45A46">
      <w:pPr>
        <w:jc w:val="both"/>
        <w:rPr>
          <w:bCs/>
          <w:color w:val="002060"/>
          <w:sz w:val="16"/>
          <w:szCs w:val="16"/>
        </w:rPr>
      </w:pPr>
    </w:p>
    <w:p w14:paraId="60CFC02E" w14:textId="77777777" w:rsidR="00E17EC0" w:rsidRPr="00DE096C" w:rsidRDefault="00E17EC0" w:rsidP="00D45A46">
      <w:pPr>
        <w:jc w:val="both"/>
        <w:rPr>
          <w:bCs/>
          <w:i/>
          <w:color w:val="002060"/>
          <w:sz w:val="16"/>
          <w:szCs w:val="16"/>
        </w:rPr>
      </w:pPr>
      <w:r w:rsidRPr="00DE096C">
        <w:rPr>
          <w:bCs/>
          <w:i/>
          <w:color w:val="002060"/>
          <w:sz w:val="16"/>
          <w:szCs w:val="16"/>
        </w:rPr>
        <w:t>Другие оборонные отрасли:</w:t>
      </w:r>
    </w:p>
    <w:p w14:paraId="1D0C9FD2" w14:textId="77777777" w:rsidR="00E17EC0" w:rsidRPr="00DE096C" w:rsidRDefault="00E17EC0" w:rsidP="00D45A46">
      <w:pPr>
        <w:jc w:val="both"/>
        <w:rPr>
          <w:bCs/>
          <w:i/>
          <w:color w:val="002060"/>
          <w:sz w:val="16"/>
          <w:szCs w:val="16"/>
        </w:rPr>
      </w:pPr>
    </w:p>
    <w:p w14:paraId="085BFF7A" w14:textId="04F8A583" w:rsidR="00E17EC0" w:rsidRPr="00DE096C" w:rsidRDefault="00E17EC0" w:rsidP="00D45A46">
      <w:pPr>
        <w:pStyle w:val="ae"/>
        <w:spacing w:before="0" w:beforeAutospacing="0" w:after="0" w:afterAutospacing="0"/>
        <w:jc w:val="both"/>
        <w:textAlignment w:val="top"/>
        <w:rPr>
          <w:bCs/>
          <w:color w:val="002060"/>
          <w:sz w:val="16"/>
          <w:szCs w:val="16"/>
        </w:rPr>
      </w:pPr>
      <w:r w:rsidRPr="00DE096C">
        <w:rPr>
          <w:bCs/>
          <w:color w:val="002060"/>
          <w:sz w:val="16"/>
          <w:szCs w:val="16"/>
        </w:rPr>
        <w:t>23 августа (5 сентября) 1914 решением Совета министров на заграничные расходы было выделено 194 млн. руб., из них 118 млн. руб. – Военному министерству</w:t>
      </w:r>
      <w:r w:rsidR="00A700B0" w:rsidRPr="00DE096C">
        <w:rPr>
          <w:bCs/>
          <w:color w:val="002060"/>
          <w:sz w:val="16"/>
          <w:szCs w:val="16"/>
        </w:rPr>
        <w:t xml:space="preserve"> </w:t>
      </w:r>
      <w:r w:rsidRPr="00DE096C">
        <w:rPr>
          <w:bCs/>
          <w:color w:val="002060"/>
          <w:sz w:val="16"/>
          <w:szCs w:val="16"/>
        </w:rPr>
        <w:t>(затем еще 15 млн.); 20 млн. – Министерству путей сообщения, казенным предприятиям и частным заводам; 10 млн. – Совету съездов представителей торговли и промышленности. К первым заказам за рубежом приступили в сентябре 1914 г. – это были запросы на поставки станков в связи с планами развить военное производство в России.</w:t>
      </w:r>
    </w:p>
    <w:p w14:paraId="4C64AA09" w14:textId="77777777" w:rsidR="00E17EC0" w:rsidRPr="00DE096C" w:rsidRDefault="00E17EC0" w:rsidP="00D45A46">
      <w:pPr>
        <w:pStyle w:val="ae"/>
        <w:spacing w:before="0" w:beforeAutospacing="0" w:after="0" w:afterAutospacing="0"/>
        <w:jc w:val="both"/>
        <w:textAlignment w:val="top"/>
        <w:rPr>
          <w:bCs/>
          <w:color w:val="002060"/>
          <w:sz w:val="16"/>
          <w:szCs w:val="16"/>
        </w:rPr>
      </w:pPr>
      <w:r w:rsidRPr="00DE096C">
        <w:rPr>
          <w:bCs/>
          <w:color w:val="002060"/>
          <w:sz w:val="16"/>
          <w:szCs w:val="16"/>
        </w:rPr>
        <w:lastRenderedPageBreak/>
        <w:t>Далее заказы только росли, отсутствие централизации на них привело к тому, что разные ведомства заказывали в том числе и то, что можно было произвести в России, что существенно осложняло положение на международных рынках производства и при транспортировке готовой продукции. К февралю 1915 г. заказы только Главного Интендантского управления на сукно, сапоги, подковы, седла, мешки и т.п. составили сумму на 64 млн. руб.(32,3 млн. руб. – в Японии, 20 млн. руб. – в США, около 12 млн. руб. – в Англии) (18384).</w:t>
      </w:r>
    </w:p>
    <w:p w14:paraId="4CDBF662" w14:textId="77777777" w:rsidR="00E17EC0" w:rsidRPr="00DE096C" w:rsidRDefault="00E17EC0" w:rsidP="00D45A46">
      <w:pPr>
        <w:pStyle w:val="ae"/>
        <w:spacing w:before="0" w:beforeAutospacing="0" w:after="0" w:afterAutospacing="0"/>
        <w:jc w:val="both"/>
        <w:textAlignment w:val="top"/>
        <w:rPr>
          <w:bCs/>
          <w:color w:val="002060"/>
          <w:sz w:val="16"/>
          <w:szCs w:val="16"/>
        </w:rPr>
      </w:pPr>
    </w:p>
    <w:p w14:paraId="3184687C" w14:textId="391A076E" w:rsidR="00866BA3" w:rsidRPr="00DE096C" w:rsidRDefault="00866BA3" w:rsidP="00866BA3">
      <w:pPr>
        <w:jc w:val="both"/>
        <w:rPr>
          <w:bCs/>
          <w:i/>
          <w:color w:val="002060"/>
          <w:sz w:val="16"/>
          <w:szCs w:val="16"/>
        </w:rPr>
      </w:pPr>
      <w:r>
        <w:rPr>
          <w:bCs/>
          <w:i/>
          <w:color w:val="002060"/>
          <w:sz w:val="16"/>
          <w:szCs w:val="16"/>
        </w:rPr>
        <w:t>Воздухоплавание</w:t>
      </w:r>
      <w:r w:rsidRPr="00DE096C">
        <w:rPr>
          <w:bCs/>
          <w:i/>
          <w:color w:val="002060"/>
          <w:sz w:val="16"/>
          <w:szCs w:val="16"/>
        </w:rPr>
        <w:t>:</w:t>
      </w:r>
    </w:p>
    <w:p w14:paraId="3FA93337" w14:textId="77777777" w:rsidR="00866BA3" w:rsidRPr="00DE096C" w:rsidRDefault="00866BA3" w:rsidP="00866BA3">
      <w:pPr>
        <w:jc w:val="both"/>
        <w:rPr>
          <w:bCs/>
          <w:i/>
          <w:color w:val="002060"/>
          <w:sz w:val="16"/>
          <w:szCs w:val="16"/>
        </w:rPr>
      </w:pPr>
    </w:p>
    <w:p w14:paraId="78E43214" w14:textId="77777777" w:rsidR="00866BA3" w:rsidRPr="00B52707" w:rsidRDefault="00866BA3" w:rsidP="00866BA3">
      <w:pPr>
        <w:jc w:val="both"/>
        <w:rPr>
          <w:color w:val="0070C0"/>
          <w:sz w:val="16"/>
          <w:szCs w:val="16"/>
        </w:rPr>
      </w:pPr>
      <w:r w:rsidRPr="00B52707">
        <w:rPr>
          <w:color w:val="0070C0"/>
          <w:sz w:val="16"/>
          <w:szCs w:val="16"/>
        </w:rPr>
        <w:t>Примерно 23 августа (5 сентября) 1914 г. ВВФ Германии потерял на востоке второй свой военный дирижабль. Проводя разведку между г. Калиш и Лодзь, он оказался в зоне зенитного огня нашей артиллерии и опустился в районе г. Серадзем (царство Польское). Немецкие аэронавты в ходе боя пытались подвергнуть бомбардировке русские позиции, сбросив на них несколько бомб. Одна из них случайно угодила в стадо коров и лошадей, убив несколько животных. При спуске на землю в гондолах дирижабля было обнаружено много боеприпасов (бомб), взрывчатых веществ, планов местности и фотографий. Часть имущества воздушного корабля при падении была уничтожена. Экипаж (4 офицера, классный механик, одно частное лицо и 24 нижних чина) был взят в плен (25135).</w:t>
      </w:r>
    </w:p>
    <w:p w14:paraId="6562275E" w14:textId="77777777" w:rsidR="00866BA3" w:rsidRPr="00B52707" w:rsidRDefault="00866BA3" w:rsidP="00866BA3">
      <w:pPr>
        <w:jc w:val="both"/>
        <w:rPr>
          <w:color w:val="0070C0"/>
          <w:sz w:val="16"/>
          <w:szCs w:val="16"/>
        </w:rPr>
      </w:pPr>
    </w:p>
    <w:p w14:paraId="2D87E2A6" w14:textId="77777777" w:rsidR="00E17EC0" w:rsidRPr="00DE096C" w:rsidRDefault="00E17EC0" w:rsidP="00D45A46">
      <w:pPr>
        <w:jc w:val="both"/>
        <w:rPr>
          <w:bCs/>
          <w:i/>
          <w:color w:val="002060"/>
          <w:sz w:val="16"/>
          <w:szCs w:val="16"/>
        </w:rPr>
      </w:pPr>
      <w:r w:rsidRPr="00DE096C">
        <w:rPr>
          <w:bCs/>
          <w:i/>
          <w:color w:val="002060"/>
          <w:sz w:val="16"/>
          <w:szCs w:val="16"/>
        </w:rPr>
        <w:t>Армия:</w:t>
      </w:r>
    </w:p>
    <w:p w14:paraId="510EB400" w14:textId="77777777" w:rsidR="00E17EC0" w:rsidRPr="00DE096C" w:rsidRDefault="00E17EC0" w:rsidP="00D45A46">
      <w:pPr>
        <w:jc w:val="both"/>
        <w:rPr>
          <w:bCs/>
          <w:i/>
          <w:color w:val="002060"/>
          <w:sz w:val="16"/>
          <w:szCs w:val="16"/>
        </w:rPr>
      </w:pPr>
    </w:p>
    <w:p w14:paraId="3C1C3898" w14:textId="5E8D4F32" w:rsidR="00E17EC0" w:rsidRPr="00DE096C" w:rsidRDefault="00E17EC0" w:rsidP="00D45A46">
      <w:pPr>
        <w:jc w:val="both"/>
        <w:rPr>
          <w:bCs/>
          <w:color w:val="002060"/>
          <w:sz w:val="16"/>
          <w:szCs w:val="16"/>
        </w:rPr>
      </w:pPr>
      <w:r w:rsidRPr="00DE096C">
        <w:rPr>
          <w:bCs/>
          <w:color w:val="002060"/>
          <w:sz w:val="16"/>
          <w:szCs w:val="16"/>
        </w:rPr>
        <w:t xml:space="preserve">23 августа </w:t>
      </w:r>
      <w:r w:rsidR="00A700B0" w:rsidRPr="00DE096C">
        <w:rPr>
          <w:bCs/>
          <w:color w:val="002060"/>
          <w:sz w:val="16"/>
          <w:szCs w:val="16"/>
        </w:rPr>
        <w:t xml:space="preserve">(5 сентября) </w:t>
      </w:r>
      <w:r w:rsidRPr="00DE096C">
        <w:rPr>
          <w:bCs/>
          <w:color w:val="002060"/>
          <w:sz w:val="16"/>
          <w:szCs w:val="16"/>
        </w:rPr>
        <w:t>в 1914 году Россия побеждает при Франкенау в Восточной Пруссии (14991).</w:t>
      </w:r>
    </w:p>
    <w:p w14:paraId="21B3FBD5" w14:textId="77777777" w:rsidR="00E17EC0" w:rsidRPr="00DE096C" w:rsidRDefault="00E17EC0" w:rsidP="00D45A46">
      <w:pPr>
        <w:jc w:val="both"/>
        <w:rPr>
          <w:bCs/>
          <w:color w:val="002060"/>
          <w:sz w:val="16"/>
          <w:szCs w:val="16"/>
        </w:rPr>
      </w:pPr>
    </w:p>
    <w:p w14:paraId="10D0E157" w14:textId="056D881C" w:rsidR="00E17EC0" w:rsidRPr="00DE096C" w:rsidRDefault="00E17EC0" w:rsidP="00D45A46">
      <w:pPr>
        <w:jc w:val="both"/>
        <w:rPr>
          <w:bCs/>
          <w:color w:val="002060"/>
          <w:sz w:val="16"/>
          <w:szCs w:val="16"/>
        </w:rPr>
      </w:pPr>
      <w:r w:rsidRPr="00DE096C">
        <w:rPr>
          <w:bCs/>
          <w:color w:val="002060"/>
          <w:sz w:val="16"/>
          <w:szCs w:val="16"/>
        </w:rPr>
        <w:t xml:space="preserve">23 августа </w:t>
      </w:r>
      <w:r w:rsidR="00A700B0" w:rsidRPr="00DE096C">
        <w:rPr>
          <w:bCs/>
          <w:color w:val="002060"/>
          <w:sz w:val="16"/>
          <w:szCs w:val="16"/>
        </w:rPr>
        <w:t xml:space="preserve">(5 сентября) </w:t>
      </w:r>
      <w:r w:rsidRPr="00DE096C">
        <w:rPr>
          <w:bCs/>
          <w:color w:val="002060"/>
          <w:sz w:val="16"/>
          <w:szCs w:val="16"/>
        </w:rPr>
        <w:t>в 1914 году в ходе Галицийской битвы началось встречное сражение у Крагника. Благодаря численному превосходству австро-венгерские силы нанесли тяжелый урон 4-й (генерал А.Е.Эверт) и 5-й (генерал П.А.Плеве) русским армиям, вынудив их отойти. Однако встретив упорное сопротивление, наступление австро-венгерских войск выдохлось (14991).</w:t>
      </w:r>
    </w:p>
    <w:p w14:paraId="38617A9B" w14:textId="77777777" w:rsidR="00E17EC0" w:rsidRPr="00DE096C" w:rsidRDefault="00E17EC0" w:rsidP="00D45A46">
      <w:pPr>
        <w:jc w:val="both"/>
        <w:rPr>
          <w:bCs/>
          <w:color w:val="002060"/>
          <w:sz w:val="16"/>
          <w:szCs w:val="16"/>
        </w:rPr>
      </w:pPr>
    </w:p>
    <w:p w14:paraId="412F84A0" w14:textId="7F15F580" w:rsidR="00514246" w:rsidRPr="00DE096C" w:rsidRDefault="00514246" w:rsidP="00D45A46">
      <w:pPr>
        <w:jc w:val="both"/>
        <w:rPr>
          <w:bCs/>
          <w:color w:val="002060"/>
          <w:sz w:val="16"/>
          <w:szCs w:val="16"/>
        </w:rPr>
      </w:pPr>
      <w:r w:rsidRPr="00DE096C">
        <w:rPr>
          <w:bCs/>
          <w:color w:val="002060"/>
          <w:sz w:val="16"/>
          <w:szCs w:val="16"/>
          <w:lang w:bidi="en-US"/>
        </w:rPr>
        <w:t>23–24 августа (5-6 сентября) 1914 г. австро-венгры нанесли поражение 4-й русской армии у Красника. Затем 9-я русская армия начала движение на юг от Варшавы (23425).</w:t>
      </w:r>
    </w:p>
    <w:p w14:paraId="75E57DA3" w14:textId="77777777" w:rsidR="00514246" w:rsidRPr="00DE096C" w:rsidRDefault="00514246" w:rsidP="00D45A46">
      <w:pPr>
        <w:jc w:val="both"/>
        <w:rPr>
          <w:bCs/>
          <w:i/>
          <w:color w:val="002060"/>
          <w:sz w:val="16"/>
          <w:szCs w:val="16"/>
        </w:rPr>
      </w:pPr>
    </w:p>
    <w:p w14:paraId="0EA96866" w14:textId="26E68E15" w:rsidR="00B67D7C" w:rsidRPr="00DE096C" w:rsidRDefault="00B67D7C" w:rsidP="00D45A46">
      <w:pPr>
        <w:jc w:val="both"/>
        <w:rPr>
          <w:bCs/>
          <w:i/>
          <w:color w:val="002060"/>
          <w:sz w:val="16"/>
          <w:szCs w:val="16"/>
        </w:rPr>
      </w:pPr>
      <w:r w:rsidRPr="00DE096C">
        <w:rPr>
          <w:bCs/>
          <w:i/>
          <w:color w:val="002060"/>
          <w:sz w:val="16"/>
          <w:szCs w:val="16"/>
        </w:rPr>
        <w:t>Авиация и воздухоплавание Франции:</w:t>
      </w:r>
    </w:p>
    <w:p w14:paraId="1416CD9A" w14:textId="77777777" w:rsidR="00B67D7C" w:rsidRPr="00DE096C" w:rsidRDefault="00B67D7C" w:rsidP="00D45A46">
      <w:pPr>
        <w:jc w:val="both"/>
        <w:rPr>
          <w:bCs/>
          <w:i/>
          <w:color w:val="002060"/>
          <w:sz w:val="16"/>
          <w:szCs w:val="16"/>
        </w:rPr>
      </w:pPr>
    </w:p>
    <w:p w14:paraId="49DA376E" w14:textId="3FA6A4EA" w:rsidR="00B67D7C" w:rsidRPr="00DE096C" w:rsidRDefault="00B67D7C" w:rsidP="00D45A46">
      <w:pPr>
        <w:jc w:val="both"/>
        <w:rPr>
          <w:bCs/>
          <w:color w:val="002060"/>
          <w:sz w:val="16"/>
          <w:szCs w:val="16"/>
        </w:rPr>
      </w:pPr>
      <w:r w:rsidRPr="00DE096C">
        <w:rPr>
          <w:bCs/>
          <w:color w:val="002060"/>
          <w:sz w:val="16"/>
          <w:szCs w:val="16"/>
        </w:rPr>
        <w:t>23 августа (5 сентября) 1914 столкновением 6-й французской армии с IV германским резервным корпусом севернее р. Марны и западнее р. Урк</w:t>
      </w:r>
      <w:r w:rsidR="0037140A" w:rsidRPr="00DE096C">
        <w:rPr>
          <w:bCs/>
          <w:color w:val="002060"/>
          <w:sz w:val="16"/>
          <w:szCs w:val="16"/>
        </w:rPr>
        <w:t xml:space="preserve"> утром началась Марнская битва</w:t>
      </w:r>
      <w:r w:rsidRPr="00DE096C">
        <w:rPr>
          <w:bCs/>
          <w:color w:val="002060"/>
          <w:sz w:val="16"/>
          <w:szCs w:val="16"/>
        </w:rPr>
        <w:t>. Этим встречным сражением разворачивается грандиозное Марнское сражение с участием шести англо-французских и пяти германских армий. Эта битва считается в истории военного искусства первым большим военным сражением, в котором авиация сыграла активную роль.</w:t>
      </w:r>
    </w:p>
    <w:p w14:paraId="538D506D" w14:textId="77777777" w:rsidR="00B67D7C" w:rsidRPr="00DE096C" w:rsidRDefault="00B67D7C" w:rsidP="00D45A46">
      <w:pPr>
        <w:jc w:val="both"/>
        <w:rPr>
          <w:bCs/>
          <w:color w:val="002060"/>
          <w:sz w:val="16"/>
          <w:szCs w:val="16"/>
        </w:rPr>
      </w:pPr>
      <w:r w:rsidRPr="00DE096C">
        <w:rPr>
          <w:bCs/>
          <w:color w:val="002060"/>
          <w:sz w:val="16"/>
          <w:szCs w:val="16"/>
        </w:rPr>
        <w:t>5 сентября - IV германский резервный корпус 1-й армии Клюка, еще не знавшего о смене планов германского главного командования, атакует передовые части 6-й французской армии Монури к западу от р. Урк.</w:t>
      </w:r>
    </w:p>
    <w:p w14:paraId="6F533ACA" w14:textId="77777777" w:rsidR="00B67D7C" w:rsidRPr="00DE096C" w:rsidRDefault="00B67D7C" w:rsidP="00D45A46">
      <w:pPr>
        <w:jc w:val="both"/>
        <w:rPr>
          <w:bCs/>
          <w:color w:val="002060"/>
          <w:sz w:val="16"/>
          <w:szCs w:val="16"/>
        </w:rPr>
      </w:pPr>
      <w:r w:rsidRPr="00DE096C">
        <w:rPr>
          <w:bCs/>
          <w:color w:val="002060"/>
          <w:sz w:val="16"/>
          <w:szCs w:val="16"/>
        </w:rPr>
        <w:t>В 10 часов утра французская авиаразведка доставляет в штаб исключительно важные сведения: наблюдается отход значительных сил противника в районах Монсе-ле-Про- вен - Монмирай. Что это должно означать? Не разгадал ли Клюк ловушку?</w:t>
      </w:r>
    </w:p>
    <w:p w14:paraId="67034560" w14:textId="77777777" w:rsidR="00B67D7C" w:rsidRPr="00DE096C" w:rsidRDefault="00B67D7C" w:rsidP="00D45A46">
      <w:pPr>
        <w:jc w:val="both"/>
        <w:rPr>
          <w:bCs/>
          <w:color w:val="002060"/>
          <w:sz w:val="16"/>
          <w:szCs w:val="16"/>
        </w:rPr>
      </w:pPr>
      <w:r w:rsidRPr="00DE096C">
        <w:rPr>
          <w:bCs/>
          <w:color w:val="002060"/>
          <w:sz w:val="16"/>
          <w:szCs w:val="16"/>
        </w:rPr>
        <w:t>В И часов штаб телеграфирует в 6-ю армию: "Важно, чтобы британская армия и 6-я армия начали действовать во фланг отступающих немецких колонн".</w:t>
      </w:r>
    </w:p>
    <w:p w14:paraId="03896698" w14:textId="77777777" w:rsidR="00B67D7C" w:rsidRPr="00DE096C" w:rsidRDefault="00B67D7C" w:rsidP="00D45A46">
      <w:pPr>
        <w:jc w:val="both"/>
        <w:rPr>
          <w:bCs/>
          <w:color w:val="002060"/>
          <w:sz w:val="16"/>
          <w:szCs w:val="16"/>
        </w:rPr>
      </w:pPr>
      <w:r w:rsidRPr="00DE096C">
        <w:rPr>
          <w:bCs/>
          <w:color w:val="002060"/>
          <w:sz w:val="16"/>
          <w:szCs w:val="16"/>
        </w:rPr>
        <w:t>В полдень командующий 5-й французской армии генерал д'Эспере приказывает передовому X корпусу остановиться и окопаться на гребне к северу от дороги. Вскоре над их позициями появляется германский аэроплан. После того как германский разведчик выбросил ракету в 13 часов на позиции окопавшихся французов обрушивается град 150-мм снарядов; в результате этого артобстрела выведен из строя французский артиллерийский дивизион, находившийся за холмом.</w:t>
      </w:r>
    </w:p>
    <w:p w14:paraId="49318C37" w14:textId="77777777" w:rsidR="00B67D7C" w:rsidRPr="00DE096C" w:rsidRDefault="00B67D7C" w:rsidP="00D45A46">
      <w:pPr>
        <w:jc w:val="both"/>
        <w:rPr>
          <w:bCs/>
          <w:color w:val="002060"/>
          <w:sz w:val="16"/>
          <w:szCs w:val="16"/>
        </w:rPr>
      </w:pPr>
      <w:r w:rsidRPr="00DE096C">
        <w:rPr>
          <w:bCs/>
          <w:color w:val="002060"/>
          <w:sz w:val="16"/>
          <w:szCs w:val="16"/>
        </w:rPr>
        <w:t>Вслед за этим разворачивается мощная атака германской пехоты. Завязывается упорное сражение пехотных частей, временами доходящее до рукопашной. К ночи бой стихает. В первый день не удалось добиться заметного успеха ни той, ни другой стороне на всем 50-ти км участке фронта .</w:t>
      </w:r>
    </w:p>
    <w:p w14:paraId="0CDD0043" w14:textId="77777777" w:rsidR="00B67D7C" w:rsidRPr="00DE096C" w:rsidRDefault="00B67D7C" w:rsidP="00D45A46">
      <w:pPr>
        <w:jc w:val="both"/>
        <w:rPr>
          <w:bCs/>
          <w:color w:val="002060"/>
          <w:sz w:val="16"/>
          <w:szCs w:val="16"/>
        </w:rPr>
      </w:pPr>
      <w:r w:rsidRPr="00DE096C">
        <w:rPr>
          <w:bCs/>
          <w:color w:val="002060"/>
          <w:sz w:val="16"/>
          <w:szCs w:val="16"/>
        </w:rPr>
        <w:t>Несмотря на активность французских авиаразведчиков ясной диспозиции германских войск установить не удалось. Утром, между 7 и 8 часами, летчики отмечали значительное передвижение германских войск в районах Куртакон, Ферте-Гоше, Монмирай, Эстерне, Монсе-ле-Провен. Авиаторы сообщали, что вся эта масса войск направлялась на северо-восток. Но не было ли это ловушкой? Тем более, что восточнее, перед X корпусом и армией генерала Фоша, были замечены передвижения крупных сил к югу, в направлении Сен-Бон. Д'Эспере: "Нужно иметь крепкие нервы, чтобы командовать армией, растянутой почти на 50 км, когда бой прерван наступлением ночи. Наполеон называл это "иметь храбрость после полуночи"". Ночью аэропланы ничем не могли помочь. Кавалерия измотана и также не в состоянии что-либо прояснить в диспозиции противника.</w:t>
      </w:r>
    </w:p>
    <w:p w14:paraId="155FBB7F" w14:textId="77777777" w:rsidR="00B67D7C" w:rsidRPr="00DE096C" w:rsidRDefault="00B67D7C" w:rsidP="00D45A46">
      <w:pPr>
        <w:jc w:val="both"/>
        <w:rPr>
          <w:bCs/>
          <w:color w:val="002060"/>
          <w:sz w:val="16"/>
          <w:szCs w:val="16"/>
        </w:rPr>
      </w:pPr>
      <w:r w:rsidRPr="00DE096C">
        <w:rPr>
          <w:bCs/>
          <w:color w:val="002060"/>
          <w:sz w:val="16"/>
          <w:szCs w:val="16"/>
        </w:rPr>
        <w:t>Мобеж: прорыв пехоты в промежутке между фортами, взяты форты Берсильи и Салемань.</w:t>
      </w:r>
    </w:p>
    <w:p w14:paraId="14A8B09C" w14:textId="77777777" w:rsidR="00B67D7C" w:rsidRPr="00DE096C" w:rsidRDefault="00B67D7C" w:rsidP="00D45A46">
      <w:pPr>
        <w:jc w:val="both"/>
        <w:rPr>
          <w:bCs/>
          <w:color w:val="002060"/>
          <w:sz w:val="16"/>
          <w:szCs w:val="16"/>
        </w:rPr>
      </w:pPr>
      <w:r w:rsidRPr="00DE096C">
        <w:rPr>
          <w:bCs/>
          <w:color w:val="002060"/>
          <w:sz w:val="16"/>
          <w:szCs w:val="16"/>
        </w:rPr>
        <w:t>К вечеру англо-французские войска располагались по изломанной 600-км линии Париж - Верден - Бельфор.</w:t>
      </w:r>
    </w:p>
    <w:p w14:paraId="268C105D" w14:textId="77777777" w:rsidR="00B67D7C" w:rsidRPr="00DE096C" w:rsidRDefault="00B67D7C" w:rsidP="00D45A46">
      <w:pPr>
        <w:jc w:val="both"/>
        <w:rPr>
          <w:bCs/>
          <w:color w:val="002060"/>
          <w:sz w:val="16"/>
          <w:szCs w:val="16"/>
        </w:rPr>
      </w:pPr>
      <w:r w:rsidRPr="00DE096C">
        <w:rPr>
          <w:bCs/>
          <w:color w:val="002060"/>
          <w:sz w:val="16"/>
          <w:szCs w:val="16"/>
        </w:rPr>
        <w:t>Донесения германских авиаразведчиков свидетельствуют о том, что все дороги между Марной и Сеной покрыты направляющимися на юг войсками. В 7 часов вечера в штабе II армейского корпуса, находившегося восточнее IV резервного и двигавшегося в Большой Морен, было получено донесение воздушной разведки, что IV резервный корпус в 5 час. 45 мин. пополудни северо-восточнее Мо ведет бой с противником, появившимся из Парижа. Это сообщение было немедленно передано по телефону в штаб армии, где ему не придали серьезного значения. Около полуночи командир II корпуса вновь донес о том, что IV резервный корпус наткнулся на превосходящие силы и отходит за ручей Теруан. Только после того (т. е. когда приказ на 6-е пошел уже войскам) командование 1-й армии начинает осознавать серьезность угрозы со стороны Парижа. Но в какой степени? Что предпримет оно теперь? Во всяком случае, того наполеоновского приказа, о котором сообщает рейхсархив, Клюком отдано не было. Это совершенно неоспоримый факт. В полночь посылается распоряжение одному только II корпусу: "...II корпус, по получении этого приказа, как можно быстрее выступает в направлении к мостам через Марну у Лизи - Жерми- ньи на поддержку IV резервному корпусу, кавалерия и артиллерия вперед; тотчас установить связь с IV резервным корпусом; занять мост у Жерминьи. Выслать вперед тяжелую артиллерию. На Б. Морене оставить слабые арьергарды". Уже после отсылки приказа является в штаб армии задержавшийся в пути офицер из IV резервного корпуса с подробным донесением о бое 5 сентября.</w:t>
      </w:r>
    </w:p>
    <w:p w14:paraId="665C8265" w14:textId="77777777" w:rsidR="00B67D7C" w:rsidRPr="00DE096C" w:rsidRDefault="00B67D7C" w:rsidP="00D45A46">
      <w:pPr>
        <w:jc w:val="both"/>
        <w:rPr>
          <w:bCs/>
          <w:color w:val="002060"/>
          <w:sz w:val="16"/>
          <w:szCs w:val="16"/>
        </w:rPr>
      </w:pPr>
      <w:r w:rsidRPr="00DE096C">
        <w:rPr>
          <w:bCs/>
          <w:color w:val="002060"/>
          <w:sz w:val="16"/>
          <w:szCs w:val="16"/>
        </w:rPr>
        <w:t>3-я французская эскадрилья при подлете на новое место расположения понесла свою первую потерю; разбился лейтенант Третарр, потеряв при посадке скорость на вираже и упав с высоты 400 м.</w:t>
      </w:r>
    </w:p>
    <w:p w14:paraId="060348E4" w14:textId="77777777" w:rsidR="00B67D7C" w:rsidRPr="00DE096C" w:rsidRDefault="00B67D7C" w:rsidP="00D45A46">
      <w:pPr>
        <w:jc w:val="both"/>
        <w:rPr>
          <w:bCs/>
          <w:i/>
          <w:color w:val="002060"/>
          <w:sz w:val="16"/>
          <w:szCs w:val="16"/>
        </w:rPr>
      </w:pPr>
    </w:p>
    <w:p w14:paraId="1246D7B0" w14:textId="77777777" w:rsidR="00C55AED" w:rsidRPr="00DE096C" w:rsidRDefault="00C55AED" w:rsidP="00D45A46">
      <w:pPr>
        <w:jc w:val="both"/>
        <w:rPr>
          <w:bCs/>
          <w:i/>
          <w:color w:val="002060"/>
          <w:sz w:val="16"/>
          <w:szCs w:val="16"/>
        </w:rPr>
      </w:pPr>
      <w:r w:rsidRPr="00DE096C">
        <w:rPr>
          <w:bCs/>
          <w:i/>
          <w:color w:val="002060"/>
          <w:sz w:val="16"/>
          <w:szCs w:val="16"/>
        </w:rPr>
        <w:t>Внешняя политика:</w:t>
      </w:r>
    </w:p>
    <w:p w14:paraId="42CD2EF0" w14:textId="77777777" w:rsidR="00C55AED" w:rsidRPr="00DE096C" w:rsidRDefault="00C55AED" w:rsidP="00D45A46">
      <w:pPr>
        <w:jc w:val="both"/>
        <w:rPr>
          <w:bCs/>
          <w:i/>
          <w:color w:val="002060"/>
          <w:sz w:val="16"/>
          <w:szCs w:val="16"/>
        </w:rPr>
      </w:pPr>
    </w:p>
    <w:p w14:paraId="548E8946" w14:textId="35DB50CA" w:rsidR="00C55AED" w:rsidRPr="00DE096C" w:rsidRDefault="00C55AED" w:rsidP="00D45A46">
      <w:pPr>
        <w:jc w:val="both"/>
        <w:rPr>
          <w:bCs/>
          <w:color w:val="002060"/>
          <w:sz w:val="16"/>
          <w:szCs w:val="16"/>
        </w:rPr>
      </w:pPr>
      <w:r w:rsidRPr="00DE096C">
        <w:rPr>
          <w:bCs/>
          <w:color w:val="002060"/>
          <w:sz w:val="16"/>
          <w:szCs w:val="16"/>
        </w:rPr>
        <w:t>2</w:t>
      </w:r>
      <w:r w:rsidR="0037140A" w:rsidRPr="00DE096C">
        <w:rPr>
          <w:bCs/>
          <w:color w:val="002060"/>
          <w:sz w:val="16"/>
          <w:szCs w:val="16"/>
        </w:rPr>
        <w:t>3</w:t>
      </w:r>
      <w:r w:rsidRPr="00DE096C">
        <w:rPr>
          <w:bCs/>
          <w:color w:val="002060"/>
          <w:sz w:val="16"/>
          <w:szCs w:val="16"/>
        </w:rPr>
        <w:t xml:space="preserve"> августа (5 сентября) в 1914 году в Лондоне Великобритания, Россия и Франция подписывают соглашение, согласно которому обязуются не заключать сепаратного мира с Германией и Австро-Венгрией (14760).</w:t>
      </w:r>
    </w:p>
    <w:p w14:paraId="7B352555" w14:textId="77777777" w:rsidR="00C55AED" w:rsidRPr="00DE096C" w:rsidRDefault="00C55AED" w:rsidP="00D45A46">
      <w:pPr>
        <w:jc w:val="both"/>
        <w:rPr>
          <w:bCs/>
          <w:color w:val="002060"/>
          <w:sz w:val="16"/>
          <w:szCs w:val="16"/>
        </w:rPr>
      </w:pPr>
    </w:p>
    <w:p w14:paraId="75BD29E8" w14:textId="77777777" w:rsidR="007B3688" w:rsidRPr="00DE096C" w:rsidRDefault="007B3688" w:rsidP="00D45A46">
      <w:pPr>
        <w:jc w:val="both"/>
        <w:rPr>
          <w:bCs/>
          <w:i/>
          <w:color w:val="002060"/>
          <w:sz w:val="16"/>
          <w:szCs w:val="16"/>
        </w:rPr>
      </w:pPr>
      <w:r w:rsidRPr="00DE096C">
        <w:rPr>
          <w:bCs/>
          <w:i/>
          <w:color w:val="002060"/>
          <w:sz w:val="16"/>
          <w:szCs w:val="16"/>
        </w:rPr>
        <w:t>За рубежом:</w:t>
      </w:r>
    </w:p>
    <w:p w14:paraId="74FDA489" w14:textId="77777777" w:rsidR="007B3688" w:rsidRPr="00DE096C" w:rsidRDefault="007B3688" w:rsidP="00D45A46">
      <w:pPr>
        <w:jc w:val="both"/>
        <w:rPr>
          <w:bCs/>
          <w:i/>
          <w:color w:val="002060"/>
          <w:sz w:val="16"/>
          <w:szCs w:val="16"/>
        </w:rPr>
      </w:pPr>
    </w:p>
    <w:p w14:paraId="6E7FE573" w14:textId="77777777" w:rsidR="00105BD1" w:rsidRPr="00DE096C" w:rsidRDefault="00105BD1" w:rsidP="00D45A46">
      <w:pPr>
        <w:jc w:val="both"/>
        <w:rPr>
          <w:bCs/>
          <w:color w:val="002060"/>
          <w:sz w:val="16"/>
          <w:szCs w:val="16"/>
        </w:rPr>
      </w:pPr>
      <w:r w:rsidRPr="00DE096C">
        <w:rPr>
          <w:bCs/>
          <w:color w:val="002060"/>
          <w:sz w:val="16"/>
          <w:szCs w:val="16"/>
        </w:rPr>
        <w:t>23 августа (5 сентября) в 1914 году начинается одно из крупнейших сражений 1-й Мировой войны - сражение на Марне (до 10 сентября). В сражении на реке Марне в период с 5 по 12 сентября объединенные англо-французские войска под командованием генерала Жозефа Жоффра остановят наступление германских армий, а затем и вынудят их отступить. Победе союзников способствует и переброска немецких войск в Восточную Пруссию для отражения наступления русских войск. Быстрый захват Парижа проваливается, Германия должна готовиться к длительной войне на два фронта. Начальник германского Генштаба Хельмут фон Мольтке будет вынужден в результате неудачи уйти в отставку (14760).</w:t>
      </w:r>
    </w:p>
    <w:p w14:paraId="3B924CD6" w14:textId="77777777" w:rsidR="00105BD1" w:rsidRPr="00DE096C" w:rsidRDefault="00105BD1" w:rsidP="00D45A46">
      <w:pPr>
        <w:jc w:val="both"/>
        <w:rPr>
          <w:bCs/>
          <w:color w:val="002060"/>
          <w:sz w:val="16"/>
          <w:szCs w:val="16"/>
        </w:rPr>
      </w:pPr>
    </w:p>
    <w:p w14:paraId="2101F17E" w14:textId="1FAB8CEC" w:rsidR="007B3688" w:rsidRPr="00DE096C" w:rsidRDefault="007B3688" w:rsidP="00D45A46">
      <w:pPr>
        <w:jc w:val="both"/>
        <w:rPr>
          <w:bCs/>
          <w:color w:val="002060"/>
          <w:sz w:val="16"/>
          <w:szCs w:val="16"/>
        </w:rPr>
      </w:pPr>
      <w:r w:rsidRPr="00DE096C">
        <w:rPr>
          <w:bCs/>
          <w:color w:val="002060"/>
          <w:sz w:val="16"/>
          <w:szCs w:val="16"/>
        </w:rPr>
        <w:t xml:space="preserve">23 августа (5 сентября) 1914 </w:t>
      </w:r>
      <w:r w:rsidR="0037140A" w:rsidRPr="00DE096C">
        <w:rPr>
          <w:bCs/>
          <w:color w:val="002060"/>
          <w:sz w:val="16"/>
          <w:szCs w:val="16"/>
        </w:rPr>
        <w:t xml:space="preserve">г. </w:t>
      </w:r>
      <w:r w:rsidRPr="00DE096C">
        <w:rPr>
          <w:bCs/>
          <w:color w:val="002060"/>
          <w:sz w:val="16"/>
          <w:szCs w:val="16"/>
        </w:rPr>
        <w:t>во время осады Циндао Императорский флот Японии выполняет свою первую боевую задачу в воздухе. Трехместный гидросамолет Фарман с Wakamiya бомбит немецкие укрепления в Циндао, Китае , а также проводит рекогносцировку залива Цзяочжоу залива (20337).</w:t>
      </w:r>
    </w:p>
    <w:p w14:paraId="629A3F3F" w14:textId="77777777" w:rsidR="007B3688" w:rsidRPr="00DE096C" w:rsidRDefault="007B3688" w:rsidP="00D45A46">
      <w:pPr>
        <w:jc w:val="both"/>
        <w:rPr>
          <w:bCs/>
          <w:color w:val="002060"/>
          <w:sz w:val="16"/>
          <w:szCs w:val="16"/>
        </w:rPr>
      </w:pPr>
    </w:p>
    <w:p w14:paraId="514BCF0C" w14:textId="5A6A51BA" w:rsidR="007B3688" w:rsidRPr="00DE096C" w:rsidRDefault="007B3688" w:rsidP="00D45A46">
      <w:pPr>
        <w:jc w:val="both"/>
        <w:rPr>
          <w:bCs/>
          <w:color w:val="002060"/>
          <w:sz w:val="16"/>
          <w:szCs w:val="16"/>
        </w:rPr>
      </w:pPr>
      <w:r w:rsidRPr="00DE096C">
        <w:rPr>
          <w:bCs/>
          <w:color w:val="002060"/>
          <w:sz w:val="16"/>
          <w:szCs w:val="16"/>
        </w:rPr>
        <w:t xml:space="preserve">23 августа (5 сентября) 1914 </w:t>
      </w:r>
      <w:r w:rsidR="0037140A" w:rsidRPr="00DE096C">
        <w:rPr>
          <w:bCs/>
          <w:color w:val="002060"/>
          <w:sz w:val="16"/>
          <w:szCs w:val="16"/>
        </w:rPr>
        <w:t xml:space="preserve">г. </w:t>
      </w:r>
      <w:r w:rsidRPr="00DE096C">
        <w:rPr>
          <w:bCs/>
          <w:color w:val="002060"/>
          <w:sz w:val="16"/>
          <w:szCs w:val="16"/>
        </w:rPr>
        <w:t>Япония вступает в Первую мировую войну, объявляя войну Германии (20337).</w:t>
      </w:r>
    </w:p>
    <w:p w14:paraId="6452DC45" w14:textId="77777777" w:rsidR="007B3688" w:rsidRPr="00DE096C" w:rsidRDefault="007B3688" w:rsidP="00D45A46">
      <w:pPr>
        <w:jc w:val="both"/>
        <w:rPr>
          <w:bCs/>
          <w:color w:val="002060"/>
          <w:sz w:val="16"/>
          <w:szCs w:val="16"/>
        </w:rPr>
      </w:pPr>
    </w:p>
    <w:p w14:paraId="70F84DEE" w14:textId="77777777" w:rsidR="00B67D7C" w:rsidRPr="00DE096C" w:rsidRDefault="00B67D7C" w:rsidP="00D45A46">
      <w:pPr>
        <w:jc w:val="both"/>
        <w:rPr>
          <w:bCs/>
          <w:color w:val="002060"/>
          <w:sz w:val="16"/>
          <w:szCs w:val="16"/>
        </w:rPr>
      </w:pPr>
      <w:r w:rsidRPr="00DE096C">
        <w:rPr>
          <w:bCs/>
          <w:color w:val="002060"/>
          <w:sz w:val="16"/>
          <w:szCs w:val="16"/>
        </w:rPr>
        <w:t xml:space="preserve">23 августа (5 сентября) 1914 года Черчилль по предложению начальника R.N.A.S. капитана Мюррея Суэтера, будучи ответственным за ПВО метрополии, санкционировал в целях отражения налётов германских цеппелинов развёртывание авиабазы в районе Дюнкерка с радиусом контроля 100 миль. При отсутствии воинских прикрытий командир базы Чарльз Сэмсон, известный авиатор-пионер, и его брат Феликс, лейтенант флота, в кустарном порядке предприняли бронировку котельным железом автомобилей, включая личный «Мерседес» Феликса, и разместили на них пулемёты. В августе — сентябре импровизированные броневики Сэмсонов провели ряд лихих боёв с кавалерией противника, курсируя вдоль бельгийской границы. К делу подключился Суэтер. Успех бронеавтомобилей дал Адмиралтейству основания начать проектирование капитальных броневиков, а в октябре приступить к формированию бронедивизиона R.N.A.S. под командованием Э.Л. Бузди в составе 15-ти бронеэска-дронов по 3 взвода в каждом (4 БА во взводе). Меж тем на фронтах возлюбили лопату и усиленно рыли окопы, возможности </w:t>
      </w:r>
      <w:r w:rsidRPr="00DE096C">
        <w:rPr>
          <w:bCs/>
          <w:color w:val="002060"/>
          <w:sz w:val="16"/>
          <w:szCs w:val="16"/>
        </w:rPr>
        <w:lastRenderedPageBreak/>
        <w:t xml:space="preserve">для операций на открытой местности иссякали, бронеэскадроны убывали в Африку, на Ближний Восток, в Индию, иным грозило расформирование. Но энтузиазм всех чинов бронеавтомо-бильной службы R.N.A.S. был неукротим. Пионеры авиации открыли целую область войны, рождённые летать теперь желали ползать. Только на чём? В начале февраля 1915 года в Мюррей Клубе (Murray's Club) беседовали майор R.N.A.S. Хезерингтон, лейтенант R.N.A.S. Стерн, гоночный моторист Джеймс Редли. Двух первых из этой компании, рассуждавшей о том, как преодолеть Рейн, охарактеризуем особо Томас Дж. Хезерингтон — 28 лет, вместо университета работал три года в качестве ученика на механических заводах Модсли, служил в 18-м гусарском полку, представлял Великобританию на конных скачках в Сан-Себастьяне, Брюсселе, Нью-Йорке, Чикаго, летал с 1911 года, имел сертификат авиатора за № 25, один из основателей авиабатальона Королевского инженерного корпуса, в 1912 году получил сертификат пилота-воздухоплавателя. </w:t>
      </w:r>
    </w:p>
    <w:p w14:paraId="00D2A923" w14:textId="77777777" w:rsidR="00B67D7C" w:rsidRPr="00DE096C" w:rsidRDefault="00B67D7C" w:rsidP="00D45A46">
      <w:pPr>
        <w:jc w:val="both"/>
        <w:rPr>
          <w:bCs/>
          <w:color w:val="002060"/>
          <w:sz w:val="16"/>
          <w:szCs w:val="16"/>
        </w:rPr>
      </w:pPr>
      <w:r w:rsidRPr="00DE096C">
        <w:rPr>
          <w:bCs/>
          <w:color w:val="002060"/>
          <w:sz w:val="16"/>
          <w:szCs w:val="16"/>
        </w:rPr>
        <w:t>Альберт Джеральд Стерн. Секретарь «Комитета сухопутных кораблей» (L.S.C.). Человек колоссальных пробивных способностей. Сын Джеймса Стерна, основавшего в 1807 году во Франкфурте банкирский дом «Братья Стерн» (подобно Ротшильдам, три независимых отделения во Франкфурте, Париже, Лондоне), после Оксфорда изучал банковское дело во Франкфурте и Нью-Йорке, в 25 лет был принят в партнёры.</w:t>
      </w:r>
    </w:p>
    <w:p w14:paraId="2CAF58FE" w14:textId="77777777" w:rsidR="00B67D7C" w:rsidRPr="00DE096C" w:rsidRDefault="00B67D7C" w:rsidP="00D45A46">
      <w:pPr>
        <w:jc w:val="both"/>
        <w:rPr>
          <w:bCs/>
          <w:color w:val="002060"/>
          <w:sz w:val="16"/>
          <w:szCs w:val="16"/>
        </w:rPr>
      </w:pPr>
      <w:r w:rsidRPr="00DE096C">
        <w:rPr>
          <w:bCs/>
          <w:color w:val="002060"/>
          <w:sz w:val="16"/>
          <w:szCs w:val="16"/>
        </w:rPr>
        <w:t xml:space="preserve">В тот день Хезерингтон был в ударе, много говорил и в основном о хорошо известном аттракционе «Большое колесо». Его сознание преломляло эту штуку в громадный трёхколёсный «сухопутный линкор». Идея впечатляла. Герцог Вэстминстерский — 35-летний офицер R.N.A.S. (в марте 2-му бронедивизиону под его командой предстояло направиться во Францию) согласился устроить званый обед с участием Черчилля. Он состоялся 17 февраля. От R.N.A.S. присутствовали Суэтер, Хезерингтон, Стерн, Бригс. Абсурдность видений Хезерингтона, демонстрировавшего богатейшее воображение, не смутила Первого лорда даже при последующем обсуждении с адмиралом Джоном Фишером, не оставившем от них камня на камне. Вскоре будет ясно сколь здраво поступил Черчилль. Никто не понимал всю широту задачи так, как он, ибо волей судьбы владел всей полнотой информации, а именно: </w:t>
      </w:r>
    </w:p>
    <w:p w14:paraId="5DF5C15E" w14:textId="77777777" w:rsidR="00B67D7C" w:rsidRPr="00DE096C" w:rsidRDefault="00B67D7C" w:rsidP="00D45A46">
      <w:pPr>
        <w:jc w:val="both"/>
        <w:rPr>
          <w:bCs/>
          <w:color w:val="002060"/>
          <w:sz w:val="16"/>
          <w:szCs w:val="16"/>
        </w:rPr>
      </w:pPr>
      <w:r w:rsidRPr="00DE096C">
        <w:rPr>
          <w:bCs/>
          <w:color w:val="002060"/>
          <w:sz w:val="16"/>
          <w:szCs w:val="16"/>
        </w:rPr>
        <w:t xml:space="preserve">I. Успехи автобронеслужбы R.N.A.S. для Первого лорда Адмиралтейства не секрет, как не секрет, что траншеи для бронеавтомобилей непреодолимы. Однако ещё в ноябре 1914 года капитан Туллок, управлявший Пороховой компанией в Чильворте, сообщил свои мысли Морису Хэнки на счёт создания бронированного «сухопутного крейсера», способного добраться до неприятельских пушечных и гаубичных позиций, а позже довёл их и до Черчилля. </w:t>
      </w:r>
    </w:p>
    <w:p w14:paraId="3808283A" w14:textId="77777777" w:rsidR="00B67D7C" w:rsidRPr="00DE096C" w:rsidRDefault="00B67D7C" w:rsidP="00D45A46">
      <w:pPr>
        <w:jc w:val="both"/>
        <w:rPr>
          <w:bCs/>
          <w:color w:val="002060"/>
          <w:sz w:val="16"/>
          <w:szCs w:val="16"/>
        </w:rPr>
      </w:pPr>
      <w:r w:rsidRPr="00DE096C">
        <w:rPr>
          <w:bCs/>
          <w:color w:val="002060"/>
          <w:sz w:val="16"/>
          <w:szCs w:val="16"/>
        </w:rPr>
        <w:t xml:space="preserve">II. Только что Свинтона постигла неудача — армия вынесла отрицательный вердикт по «Holt». Содержание меморандума Хэнки Черчиллю было хорошо известно, в январе 1915 он сам направил развёрнутое письмо в его поддержку на имя Премьера Асквита. В данном случае всего днём раньше, 16. 02. 1915 года на параде Конной Гвардии он лично встал между оглоблями одногусеничной (вспомним «Вездеход») прицепки «Pedrail» и выяснил, что может без труда буксировать 2 тонны. Инженер Брахам Диплок, владелец «Diplock» Caterpillar Tractor Company из Фулхэма заявил о существовании этой коммерческой тележки на конной тяге 14. 11. 1914 года, рекомендовал использовать для перевозки тяжёлых орудий и снаряжения по тяжёлым грунтам. Лорд Китченер ничего дельного в ней не нашёл, Черчилль решил осмотреть. Организация осмотра, кстати, не обошлась без участия Суэте-ра и Хезерингтона. </w:t>
      </w:r>
    </w:p>
    <w:p w14:paraId="2BFBF89C" w14:textId="77777777" w:rsidR="00B67D7C" w:rsidRPr="00DE096C" w:rsidRDefault="00B67D7C" w:rsidP="00D45A46">
      <w:pPr>
        <w:jc w:val="both"/>
        <w:rPr>
          <w:bCs/>
          <w:color w:val="002060"/>
          <w:sz w:val="16"/>
          <w:szCs w:val="16"/>
        </w:rPr>
      </w:pPr>
      <w:r w:rsidRPr="00DE096C">
        <w:rPr>
          <w:bCs/>
          <w:color w:val="002060"/>
          <w:sz w:val="16"/>
          <w:szCs w:val="16"/>
        </w:rPr>
        <w:t>III. 13.02.1915 года Черчилль выдал заказ на 30 тракторов тягачей «Daimler-Foster» R.M.A. (Royal Marine Artillery — Королевская Морская Артиллерия) — средство буксировки 15-дм гаубиц адмирала Бэкона (Артзаводы Ковентри). Приобретение орудий планировалось при условии комплектации подходящими тягачами. По заказу Бэкона тягач спроектировал Уильям Триттон, исполнительный директор «Lincolnengineers William Foster &amp; ОД». 01.11.1914 года первый образец вышел на испытания. Его большие ведущие колёса имели в диаметре 8 футов (какой ни есть, а Хезерингтону бальзам на душу) (12111).</w:t>
      </w:r>
    </w:p>
    <w:p w14:paraId="7C7D53B5" w14:textId="77777777" w:rsidR="00B67D7C" w:rsidRPr="00DE096C" w:rsidRDefault="00B67D7C" w:rsidP="00D45A46">
      <w:pPr>
        <w:jc w:val="both"/>
        <w:rPr>
          <w:bCs/>
          <w:color w:val="002060"/>
          <w:sz w:val="16"/>
          <w:szCs w:val="16"/>
        </w:rPr>
      </w:pPr>
    </w:p>
    <w:p w14:paraId="31863DAC" w14:textId="77777777" w:rsidR="00A700B0" w:rsidRPr="00DE096C" w:rsidRDefault="00A700B0" w:rsidP="00D45A46">
      <w:pPr>
        <w:pStyle w:val="ae"/>
        <w:spacing w:before="0" w:beforeAutospacing="0" w:after="0" w:afterAutospacing="0"/>
        <w:jc w:val="both"/>
        <w:rPr>
          <w:bCs/>
          <w:color w:val="002060"/>
          <w:sz w:val="16"/>
          <w:szCs w:val="16"/>
        </w:rPr>
      </w:pPr>
      <w:r w:rsidRPr="00DE096C">
        <w:rPr>
          <w:bCs/>
          <w:color w:val="002060"/>
          <w:sz w:val="16"/>
          <w:szCs w:val="16"/>
        </w:rPr>
        <w:t>23 августа (5 сентября) 1914 года субботним утром три броневика совершали дальнюю разведку в районе города Ветерло (провинция Антверпена) и возле небольшого хутора нарвались на немцев. Две передовые машины были практически сразу подбиты, Шарль Анкар, командир первой машины, получил смертельное ранение в голову в первые минуты боя. Лишь одной машине удалось уйти. В этой перестрелке получили смертельные ранения два представителя старейших бельгийских родов — принц Анри Луи Бодуэна де Линь (Prince Henri Louis Baudouin de Ligne) и граф Анри Вильмонт (Count Henri de Villermont). Дело в том, что бельгийская аристократия с началом войны не пыталась найти себе тепленьких местечек в штабах или военной промышленности. Отпрыски самых знаменитых родов (и члены королевской фамилии) надевали форму и шли воевать рядовыми, просто чтобы защитить свою Родину. Принц де Линь служил рядовым на втором подбитом броневике (он умер от ран на следующий день после злополучной разведки). После этого боя пулеметы на бельгийских автомобилях стали прикрывать бронированным щитом, а водителями брать... гонщиков. Недостатка же в отчаянных молодых парнях, готовых к рискованным рейдам, в Бельгии не наблюдалось (18519).</w:t>
      </w:r>
    </w:p>
    <w:p w14:paraId="05F8B0C0" w14:textId="77777777" w:rsidR="00A700B0" w:rsidRPr="00DE096C" w:rsidRDefault="00A700B0" w:rsidP="00D45A46">
      <w:pPr>
        <w:pStyle w:val="ae"/>
        <w:spacing w:before="0" w:beforeAutospacing="0" w:after="0" w:afterAutospacing="0"/>
        <w:jc w:val="both"/>
        <w:rPr>
          <w:bCs/>
          <w:color w:val="002060"/>
          <w:sz w:val="16"/>
          <w:szCs w:val="16"/>
        </w:rPr>
      </w:pPr>
    </w:p>
    <w:p w14:paraId="30A1713F" w14:textId="77777777" w:rsidR="00A700B0" w:rsidRPr="00DE096C" w:rsidRDefault="00A700B0" w:rsidP="00D45A46">
      <w:pPr>
        <w:jc w:val="both"/>
        <w:rPr>
          <w:bCs/>
          <w:color w:val="002060"/>
          <w:sz w:val="16"/>
          <w:szCs w:val="16"/>
        </w:rPr>
      </w:pPr>
      <w:r w:rsidRPr="00DE096C">
        <w:rPr>
          <w:bCs/>
          <w:color w:val="002060"/>
          <w:sz w:val="16"/>
          <w:szCs w:val="16"/>
        </w:rPr>
        <w:t>23 августа (5 сентября) в 1914 году немецкие войска захватывают Реймс (14760).</w:t>
      </w:r>
    </w:p>
    <w:p w14:paraId="3C8239E8" w14:textId="77777777" w:rsidR="00A700B0" w:rsidRPr="00DE096C" w:rsidRDefault="00A700B0" w:rsidP="00D45A46">
      <w:pPr>
        <w:jc w:val="both"/>
        <w:rPr>
          <w:bCs/>
          <w:color w:val="002060"/>
          <w:sz w:val="16"/>
          <w:szCs w:val="16"/>
        </w:rPr>
      </w:pPr>
    </w:p>
    <w:p w14:paraId="6AF43FB6" w14:textId="77777777" w:rsidR="00A700B0" w:rsidRPr="00DE096C" w:rsidRDefault="00A700B0" w:rsidP="00D45A46">
      <w:pPr>
        <w:jc w:val="both"/>
        <w:rPr>
          <w:bCs/>
          <w:color w:val="002060"/>
          <w:sz w:val="16"/>
          <w:szCs w:val="16"/>
        </w:rPr>
      </w:pPr>
      <w:r w:rsidRPr="00DE096C">
        <w:rPr>
          <w:bCs/>
          <w:color w:val="002060"/>
          <w:sz w:val="16"/>
          <w:szCs w:val="16"/>
        </w:rPr>
        <w:t>23 августа (5 сентября) в 1914 году капитан-лейтенант Херзинг на своей U-21 топит торпедой британский легкий крейсер "Пэтфайндер" (14760).</w:t>
      </w:r>
    </w:p>
    <w:p w14:paraId="373D1F6E" w14:textId="77777777" w:rsidR="00A700B0" w:rsidRPr="00DE096C" w:rsidRDefault="00A700B0" w:rsidP="00D45A46">
      <w:pPr>
        <w:jc w:val="both"/>
        <w:rPr>
          <w:bCs/>
          <w:color w:val="002060"/>
          <w:sz w:val="16"/>
          <w:szCs w:val="16"/>
        </w:rPr>
      </w:pPr>
    </w:p>
    <w:p w14:paraId="6F013B31" w14:textId="70804C36" w:rsidR="00B67D7C" w:rsidRPr="00DE096C" w:rsidRDefault="00B67D7C" w:rsidP="00D45A46">
      <w:pPr>
        <w:jc w:val="both"/>
        <w:rPr>
          <w:bCs/>
          <w:i/>
          <w:color w:val="002060"/>
          <w:sz w:val="16"/>
          <w:szCs w:val="16"/>
        </w:rPr>
      </w:pPr>
      <w:r w:rsidRPr="00DE096C">
        <w:rPr>
          <w:bCs/>
          <w:i/>
          <w:color w:val="002060"/>
          <w:sz w:val="16"/>
          <w:szCs w:val="16"/>
        </w:rPr>
        <w:t>Авиация:</w:t>
      </w:r>
    </w:p>
    <w:p w14:paraId="1D48AB22" w14:textId="77777777" w:rsidR="00B67D7C" w:rsidRPr="00DE096C" w:rsidRDefault="00B67D7C" w:rsidP="00D45A46">
      <w:pPr>
        <w:jc w:val="both"/>
        <w:rPr>
          <w:bCs/>
          <w:i/>
          <w:color w:val="002060"/>
          <w:sz w:val="16"/>
          <w:szCs w:val="16"/>
        </w:rPr>
      </w:pPr>
    </w:p>
    <w:p w14:paraId="07D9F339" w14:textId="0BC8021D"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24 августа (6 сентября) 1914 </w:t>
      </w:r>
      <w:r w:rsidR="00105BD1" w:rsidRPr="00DE096C">
        <w:rPr>
          <w:bCs/>
          <w:color w:val="002060"/>
          <w:sz w:val="16"/>
          <w:szCs w:val="16"/>
        </w:rPr>
        <w:t xml:space="preserve">г. </w:t>
      </w:r>
      <w:r w:rsidRPr="00DE096C">
        <w:rPr>
          <w:bCs/>
          <w:color w:val="002060"/>
          <w:sz w:val="16"/>
          <w:szCs w:val="16"/>
        </w:rPr>
        <w:t>германский "Цеппелин", производивший разведку между Калишем и Лодзью, был сбит нашими войсками. В гондолах шжабля было найдено много бомб, взрывчатых веществ,</w:t>
      </w:r>
      <w:r w:rsidR="00105BD1" w:rsidRPr="00DE096C">
        <w:rPr>
          <w:bCs/>
          <w:color w:val="002060"/>
          <w:sz w:val="16"/>
          <w:szCs w:val="16"/>
        </w:rPr>
        <w:t xml:space="preserve"> </w:t>
      </w:r>
      <w:r w:rsidRPr="00DE096C">
        <w:rPr>
          <w:bCs/>
          <w:color w:val="002060"/>
          <w:sz w:val="16"/>
          <w:szCs w:val="16"/>
        </w:rPr>
        <w:t>фотоснимком и других военных материалов, частью поврежденных. Экипаж в составе 4 офицеров, механика, 24 солдат и одного частного лица взят в плен (Воздушный справочник. 1915, стр.7).</w:t>
      </w:r>
    </w:p>
    <w:p w14:paraId="4F548A34" w14:textId="77777777" w:rsidR="00B67D7C" w:rsidRPr="00DE096C" w:rsidRDefault="00B67D7C" w:rsidP="00D45A46">
      <w:pPr>
        <w:shd w:val="clear" w:color="auto" w:fill="FFFFFF"/>
        <w:jc w:val="both"/>
        <w:rPr>
          <w:bCs/>
          <w:color w:val="002060"/>
          <w:sz w:val="16"/>
          <w:szCs w:val="16"/>
        </w:rPr>
      </w:pPr>
    </w:p>
    <w:p w14:paraId="399152C0" w14:textId="77777777" w:rsidR="00105BD1" w:rsidRPr="00DE096C" w:rsidRDefault="00105BD1" w:rsidP="00D45A46">
      <w:pPr>
        <w:jc w:val="both"/>
        <w:rPr>
          <w:bCs/>
          <w:color w:val="002060"/>
          <w:sz w:val="16"/>
          <w:szCs w:val="16"/>
        </w:rPr>
      </w:pPr>
      <w:r w:rsidRPr="00DE096C">
        <w:rPr>
          <w:bCs/>
          <w:color w:val="002060"/>
          <w:sz w:val="16"/>
          <w:szCs w:val="16"/>
        </w:rPr>
        <w:t>24 августа (6 сентября) 1914 г. германский цеппелин, производивший разведку между Калишем и Лодзью, был обит нашими войсками. В гондолах дирижабля найдено много бомб, взрывчатых веществ, фотоснимков и других военных материалов, частью поврежденных. Экипаж в составе 4 офицеров, механика, 24 солдат и одного частного лица взят в плен.</w:t>
      </w:r>
    </w:p>
    <w:p w14:paraId="1720574F" w14:textId="77777777" w:rsidR="00105BD1" w:rsidRPr="00DE096C" w:rsidRDefault="00105BD1" w:rsidP="00D45A46">
      <w:pPr>
        <w:jc w:val="both"/>
        <w:rPr>
          <w:bCs/>
          <w:color w:val="002060"/>
          <w:sz w:val="16"/>
          <w:szCs w:val="16"/>
        </w:rPr>
      </w:pPr>
      <w:r w:rsidRPr="00DE096C">
        <w:rPr>
          <w:bCs/>
          <w:color w:val="002060"/>
          <w:sz w:val="16"/>
          <w:szCs w:val="16"/>
        </w:rPr>
        <w:t>/Воздушный справочник, 1915, стр.7/ (23320).</w:t>
      </w:r>
    </w:p>
    <w:p w14:paraId="4EC23715" w14:textId="77777777" w:rsidR="00105BD1" w:rsidRPr="00DE096C" w:rsidRDefault="00105BD1" w:rsidP="00D45A46">
      <w:pPr>
        <w:jc w:val="both"/>
        <w:rPr>
          <w:bCs/>
          <w:color w:val="002060"/>
          <w:sz w:val="16"/>
          <w:szCs w:val="16"/>
        </w:rPr>
      </w:pPr>
    </w:p>
    <w:p w14:paraId="49761906" w14:textId="1BA24A52" w:rsidR="00514246" w:rsidRPr="00DE096C" w:rsidRDefault="00514246" w:rsidP="00D45A46">
      <w:pPr>
        <w:jc w:val="both"/>
        <w:rPr>
          <w:bCs/>
          <w:color w:val="002060"/>
          <w:sz w:val="16"/>
          <w:szCs w:val="16"/>
        </w:rPr>
      </w:pPr>
      <w:r w:rsidRPr="00DE096C">
        <w:rPr>
          <w:bCs/>
          <w:color w:val="002060"/>
          <w:sz w:val="16"/>
          <w:szCs w:val="16"/>
        </w:rPr>
        <w:t>24-25 августа (6-7 октября) 1914 г. цеппелин Z-V (база - г. Кёнигсберг) повторил глубокую воздушную разведку российской территории, пройдя по маршруту: Вроцлав - Плоцк— Кутно - Лодзь - Новогеоргиевск (Модлин) со сбросом бомб в расположении русских войск. Через два дня в ходе проведения очередной воздушной разведки цеппелин атаковал русскую кавалерийскую бригаду, подвергнув ее бомбоштурмовому удару. После этого дирижабль провел бомбардировку вокзала в г. Млава. По свидетельству одного из наших летчиков, рано утром «цеппелин начал уже кидать бомбы, причем одна из них попала в зал 1-го класса вокзала, пробила крышу и разорвалась, а другая бомба была брошена на полотно железной дороги, на место высадки одного из эшелонов. На месте оказалось несколько трупов... Всего сброшено было десять бомб».</w:t>
      </w:r>
    </w:p>
    <w:p w14:paraId="52AADA90" w14:textId="77777777" w:rsidR="00514246" w:rsidRPr="00DE096C" w:rsidRDefault="00514246" w:rsidP="00D45A46">
      <w:pPr>
        <w:jc w:val="both"/>
        <w:rPr>
          <w:bCs/>
          <w:color w:val="002060"/>
          <w:sz w:val="16"/>
          <w:szCs w:val="16"/>
        </w:rPr>
      </w:pPr>
      <w:r w:rsidRPr="00DE096C">
        <w:rPr>
          <w:bCs/>
          <w:color w:val="002060"/>
          <w:sz w:val="16"/>
          <w:szCs w:val="16"/>
        </w:rPr>
        <w:t>На этот раз удача отвернулась от германских аэронавтов. 27 августа воздушный корабль при обстреле с земли получил серьезные повреждения и совершил вынужденную посадку в районе Липовска. Огонь по дирижаблю вела полевая артиллерия (6-й конно</w:t>
      </w:r>
      <w:r w:rsidRPr="00DE096C">
        <w:rPr>
          <w:bCs/>
          <w:color w:val="002060"/>
          <w:sz w:val="16"/>
          <w:szCs w:val="16"/>
        </w:rPr>
        <w:softHyphen/>
        <w:t>артиллерийский дивизион) и пулеметная команда (штабс-капитан Н.Л. Калашников) лейб-гвардии Петроградского полка 3-й гвардейской пехотной дивизии 1-го армейского корпуса 2-й армии Северо</w:t>
      </w:r>
      <w:r w:rsidRPr="00DE096C">
        <w:rPr>
          <w:bCs/>
          <w:color w:val="002060"/>
          <w:sz w:val="16"/>
          <w:szCs w:val="16"/>
        </w:rPr>
        <w:softHyphen/>
        <w:t>Западного фронта. Дирижабль опустился в 5 км от Липовска. При спуске экипаж привел свое воздушное судно в негодность и попытался скрыться, но скоро был пленен нашими частями. В плен попал весь его экипаж (8 чел.) во главе с командиром корабля капитаном Э. Грюнером (Gn&gt;ner). В тот же день основные части сбитого дирижабля были доставлены в г. Киев, а позднее - в Офицерскую воздухоплавательную школу (г. Петроград).</w:t>
      </w:r>
    </w:p>
    <w:p w14:paraId="7F8FA8EA" w14:textId="77777777" w:rsidR="00514246" w:rsidRPr="00DE096C" w:rsidRDefault="00514246" w:rsidP="00D45A46">
      <w:pPr>
        <w:jc w:val="both"/>
        <w:rPr>
          <w:bCs/>
          <w:color w:val="002060"/>
          <w:sz w:val="16"/>
          <w:szCs w:val="16"/>
        </w:rPr>
      </w:pPr>
      <w:r w:rsidRPr="00DE096C">
        <w:rPr>
          <w:bCs/>
          <w:color w:val="002060"/>
          <w:sz w:val="16"/>
          <w:szCs w:val="16"/>
        </w:rPr>
        <w:t>За уничтожение воздушного корабля противника артиллерийские расчеты удостоились правительственных наград. Георгиевскими крестами IV степени были награждены: бомбардиры-наводчики Н.И. Савенков, Х.Т. Оснач, Ф.П. Головко, И.А. Кривоносов, Д.Ф. Чабанюк, А.К. Галицкий (23405).</w:t>
      </w:r>
    </w:p>
    <w:p w14:paraId="45501AB5" w14:textId="77777777" w:rsidR="00514246" w:rsidRPr="00DE096C" w:rsidRDefault="00514246" w:rsidP="00D45A46">
      <w:pPr>
        <w:jc w:val="both"/>
        <w:rPr>
          <w:bCs/>
          <w:color w:val="002060"/>
          <w:sz w:val="16"/>
          <w:szCs w:val="16"/>
        </w:rPr>
      </w:pPr>
    </w:p>
    <w:p w14:paraId="7946C514" w14:textId="77777777" w:rsidR="00B67D7C" w:rsidRPr="00DE096C" w:rsidRDefault="00B67D7C" w:rsidP="00D45A46">
      <w:pPr>
        <w:jc w:val="both"/>
        <w:rPr>
          <w:bCs/>
          <w:i/>
          <w:color w:val="002060"/>
          <w:sz w:val="16"/>
          <w:szCs w:val="16"/>
        </w:rPr>
      </w:pPr>
      <w:r w:rsidRPr="00DE096C">
        <w:rPr>
          <w:bCs/>
          <w:i/>
          <w:color w:val="002060"/>
          <w:sz w:val="16"/>
          <w:szCs w:val="16"/>
        </w:rPr>
        <w:t>Морская авиация:</w:t>
      </w:r>
    </w:p>
    <w:p w14:paraId="2B038874" w14:textId="77777777" w:rsidR="00B67D7C" w:rsidRPr="00DE096C" w:rsidRDefault="00B67D7C" w:rsidP="00D45A46">
      <w:pPr>
        <w:jc w:val="both"/>
        <w:rPr>
          <w:bCs/>
          <w:i/>
          <w:color w:val="002060"/>
          <w:sz w:val="16"/>
          <w:szCs w:val="16"/>
        </w:rPr>
      </w:pPr>
    </w:p>
    <w:p w14:paraId="41968B1B" w14:textId="12EC1710" w:rsidR="00B67D7C" w:rsidRPr="00DE096C" w:rsidRDefault="00B67D7C" w:rsidP="00D45A46">
      <w:pPr>
        <w:jc w:val="both"/>
        <w:rPr>
          <w:bCs/>
          <w:color w:val="002060"/>
          <w:sz w:val="16"/>
          <w:szCs w:val="16"/>
        </w:rPr>
      </w:pPr>
      <w:r w:rsidRPr="00DE096C">
        <w:rPr>
          <w:bCs/>
          <w:color w:val="002060"/>
          <w:sz w:val="16"/>
          <w:szCs w:val="16"/>
        </w:rPr>
        <w:t xml:space="preserve">24 августа (6 сентября) </w:t>
      </w:r>
      <w:r w:rsidR="00105BD1" w:rsidRPr="00DE096C">
        <w:rPr>
          <w:bCs/>
          <w:color w:val="002060"/>
          <w:sz w:val="16"/>
          <w:szCs w:val="16"/>
        </w:rPr>
        <w:t xml:space="preserve">1914 г. </w:t>
      </w:r>
      <w:r w:rsidRPr="00DE096C">
        <w:rPr>
          <w:bCs/>
          <w:color w:val="002060"/>
          <w:sz w:val="16"/>
          <w:szCs w:val="16"/>
        </w:rPr>
        <w:t>старшему лейтенанту Щербачёву удалось обнаружить отряд из девяти кораблей, в тот же день за двухтрубным крейсером, который вёл огонь, наблюдал лейтенантом Кульнев, он же обнаружил отдельные суда.</w:t>
      </w:r>
    </w:p>
    <w:p w14:paraId="476350CB" w14:textId="77777777" w:rsidR="00B67D7C" w:rsidRPr="00DE096C" w:rsidRDefault="00B67D7C" w:rsidP="00D45A46">
      <w:pPr>
        <w:jc w:val="both"/>
        <w:rPr>
          <w:bCs/>
          <w:color w:val="002060"/>
          <w:sz w:val="16"/>
          <w:szCs w:val="16"/>
        </w:rPr>
      </w:pPr>
      <w:r w:rsidRPr="00DE096C">
        <w:rPr>
          <w:bCs/>
          <w:color w:val="002060"/>
          <w:sz w:val="16"/>
          <w:szCs w:val="16"/>
        </w:rPr>
        <w:t>Командующий флотом Балтийского моря адмирал Н. Эссен в докладе морскому министру по итогам 1914 г. по достоинству оценил достижения морской азиации: "Воздухоплавательные аппараты в настоящее время хотя и не являются грозным оружием в морской войне, но следует иметь в виду, что на днях англичане на лёгких крейсерах подвели к Куксгафену семь гидроаэроп- ланов/ которые и атаковали германские суда. Таким образом, для противника воздухоплавательные аппараты могут явиться средством активной борьбы с нами. Для нас воздухоплавательные аппараты пока только одно из средств разведки судов, подходящих к берегу и, быть может, средство воздушной контратаки..."</w:t>
      </w:r>
    </w:p>
    <w:p w14:paraId="481F483F" w14:textId="77777777" w:rsidR="00B67D7C" w:rsidRPr="00DE096C" w:rsidRDefault="00B67D7C" w:rsidP="00D45A46">
      <w:pPr>
        <w:jc w:val="both"/>
        <w:rPr>
          <w:bCs/>
          <w:color w:val="002060"/>
          <w:sz w:val="16"/>
          <w:szCs w:val="16"/>
        </w:rPr>
      </w:pPr>
      <w:r w:rsidRPr="00DE096C">
        <w:rPr>
          <w:bCs/>
          <w:color w:val="002060"/>
          <w:sz w:val="16"/>
          <w:szCs w:val="16"/>
        </w:rPr>
        <w:t>К этому времени немцы закончили переоборудование в авиатранспорт судна, получившего название "Глиндер", подорвавшегося на мине 4 июня 1915 г. (11927).</w:t>
      </w:r>
    </w:p>
    <w:p w14:paraId="7323842E" w14:textId="77777777" w:rsidR="00B67D7C" w:rsidRPr="00DE096C" w:rsidRDefault="00B67D7C" w:rsidP="00D45A46">
      <w:pPr>
        <w:jc w:val="both"/>
        <w:rPr>
          <w:bCs/>
          <w:color w:val="002060"/>
          <w:sz w:val="16"/>
          <w:szCs w:val="16"/>
        </w:rPr>
      </w:pPr>
    </w:p>
    <w:p w14:paraId="3492DD1C" w14:textId="77777777" w:rsidR="005109EE" w:rsidRPr="00DE096C" w:rsidRDefault="005109EE" w:rsidP="00D45A46">
      <w:pPr>
        <w:jc w:val="both"/>
        <w:rPr>
          <w:bCs/>
          <w:i/>
          <w:color w:val="002060"/>
          <w:sz w:val="16"/>
          <w:szCs w:val="16"/>
        </w:rPr>
      </w:pPr>
      <w:r w:rsidRPr="00DE096C">
        <w:rPr>
          <w:bCs/>
          <w:i/>
          <w:color w:val="002060"/>
          <w:sz w:val="16"/>
          <w:szCs w:val="16"/>
        </w:rPr>
        <w:t>Армия:</w:t>
      </w:r>
    </w:p>
    <w:p w14:paraId="01395384" w14:textId="77777777" w:rsidR="005109EE" w:rsidRPr="00DE096C" w:rsidRDefault="005109EE" w:rsidP="00D45A46">
      <w:pPr>
        <w:jc w:val="both"/>
        <w:rPr>
          <w:bCs/>
          <w:i/>
          <w:color w:val="002060"/>
          <w:sz w:val="16"/>
          <w:szCs w:val="16"/>
        </w:rPr>
      </w:pPr>
    </w:p>
    <w:p w14:paraId="0F45A85A" w14:textId="5A42A9E4" w:rsidR="005109EE" w:rsidRPr="00DE096C" w:rsidRDefault="005109EE" w:rsidP="00D45A46">
      <w:pPr>
        <w:jc w:val="both"/>
        <w:rPr>
          <w:bCs/>
          <w:color w:val="002060"/>
          <w:sz w:val="16"/>
          <w:szCs w:val="16"/>
        </w:rPr>
      </w:pPr>
      <w:r w:rsidRPr="00DE096C">
        <w:rPr>
          <w:bCs/>
          <w:color w:val="002060"/>
          <w:sz w:val="16"/>
          <w:szCs w:val="16"/>
        </w:rPr>
        <w:t xml:space="preserve">24 августа </w:t>
      </w:r>
      <w:r w:rsidR="00105BD1" w:rsidRPr="00DE096C">
        <w:rPr>
          <w:bCs/>
          <w:color w:val="002060"/>
          <w:sz w:val="16"/>
          <w:szCs w:val="16"/>
        </w:rPr>
        <w:t xml:space="preserve">(6 сентября) </w:t>
      </w:r>
      <w:r w:rsidRPr="00DE096C">
        <w:rPr>
          <w:bCs/>
          <w:color w:val="002060"/>
          <w:sz w:val="16"/>
          <w:szCs w:val="16"/>
        </w:rPr>
        <w:t>в 1914 году русские войска занимают Франкенау (Восточная Пруссия) (14992).</w:t>
      </w:r>
    </w:p>
    <w:p w14:paraId="7E583D6A" w14:textId="77777777" w:rsidR="005109EE" w:rsidRPr="00DE096C" w:rsidRDefault="005109EE" w:rsidP="00D45A46">
      <w:pPr>
        <w:jc w:val="both"/>
        <w:rPr>
          <w:bCs/>
          <w:color w:val="002060"/>
          <w:sz w:val="16"/>
          <w:szCs w:val="16"/>
        </w:rPr>
      </w:pPr>
    </w:p>
    <w:p w14:paraId="26DAE3AC" w14:textId="77777777" w:rsidR="00B67D7C" w:rsidRPr="00DE096C" w:rsidRDefault="00B67D7C" w:rsidP="00D45A46">
      <w:pPr>
        <w:jc w:val="both"/>
        <w:rPr>
          <w:bCs/>
          <w:i/>
          <w:color w:val="002060"/>
          <w:sz w:val="16"/>
          <w:szCs w:val="16"/>
        </w:rPr>
      </w:pPr>
      <w:r w:rsidRPr="00DE096C">
        <w:rPr>
          <w:bCs/>
          <w:i/>
          <w:color w:val="002060"/>
          <w:sz w:val="16"/>
          <w:szCs w:val="16"/>
        </w:rPr>
        <w:t>Авиация и воздухоплавание Франции:</w:t>
      </w:r>
    </w:p>
    <w:p w14:paraId="365CFF59" w14:textId="77777777" w:rsidR="00B67D7C" w:rsidRPr="00DE096C" w:rsidRDefault="00B67D7C" w:rsidP="00D45A46">
      <w:pPr>
        <w:jc w:val="both"/>
        <w:rPr>
          <w:bCs/>
          <w:i/>
          <w:color w:val="002060"/>
          <w:sz w:val="16"/>
          <w:szCs w:val="16"/>
        </w:rPr>
      </w:pPr>
    </w:p>
    <w:p w14:paraId="4F40699C" w14:textId="76EB8B86" w:rsidR="00105BD1" w:rsidRPr="00DE096C" w:rsidRDefault="00105BD1" w:rsidP="00D45A46">
      <w:pPr>
        <w:jc w:val="both"/>
        <w:rPr>
          <w:bCs/>
          <w:color w:val="002060"/>
          <w:sz w:val="16"/>
          <w:szCs w:val="16"/>
        </w:rPr>
      </w:pPr>
      <w:r w:rsidRPr="00DE096C">
        <w:rPr>
          <w:bCs/>
          <w:color w:val="002060"/>
          <w:sz w:val="16"/>
          <w:szCs w:val="16"/>
        </w:rPr>
        <w:t>24 августа (6 сентября) 1914. донесения летчиков стали основание решению генерала Жоффра прейти в наступление. Что же касается английских летчиков, то они так же, как и рус ские летчики, в начале войны играли незначительную роль (11282).</w:t>
      </w:r>
    </w:p>
    <w:p w14:paraId="752065BA" w14:textId="77777777" w:rsidR="00105BD1" w:rsidRPr="00DE096C" w:rsidRDefault="00105BD1" w:rsidP="00D45A46">
      <w:pPr>
        <w:jc w:val="both"/>
        <w:rPr>
          <w:bCs/>
          <w:color w:val="002060"/>
          <w:sz w:val="16"/>
          <w:szCs w:val="16"/>
        </w:rPr>
      </w:pPr>
    </w:p>
    <w:p w14:paraId="28BCC636" w14:textId="7A74BFEF" w:rsidR="00B67D7C" w:rsidRPr="00DE096C" w:rsidRDefault="00B67D7C" w:rsidP="00D45A46">
      <w:pPr>
        <w:jc w:val="both"/>
        <w:rPr>
          <w:bCs/>
          <w:color w:val="002060"/>
          <w:sz w:val="16"/>
          <w:szCs w:val="16"/>
        </w:rPr>
      </w:pPr>
      <w:r w:rsidRPr="00DE096C">
        <w:rPr>
          <w:bCs/>
          <w:color w:val="002060"/>
          <w:sz w:val="16"/>
          <w:szCs w:val="16"/>
        </w:rPr>
        <w:t xml:space="preserve">24 августа (6 сентября) 1914 </w:t>
      </w:r>
      <w:r w:rsidR="00105BD1" w:rsidRPr="00DE096C">
        <w:rPr>
          <w:bCs/>
          <w:color w:val="002060"/>
          <w:sz w:val="16"/>
          <w:szCs w:val="16"/>
        </w:rPr>
        <w:t>г.</w:t>
      </w:r>
      <w:r w:rsidRPr="00DE096C">
        <w:rPr>
          <w:bCs/>
          <w:color w:val="002060"/>
          <w:sz w:val="16"/>
          <w:szCs w:val="16"/>
        </w:rPr>
        <w:t xml:space="preserve"> "Общий приказ.</w:t>
      </w:r>
    </w:p>
    <w:p w14:paraId="6D0CC707" w14:textId="77777777" w:rsidR="00B67D7C" w:rsidRPr="00DE096C" w:rsidRDefault="00B67D7C" w:rsidP="00D45A46">
      <w:pPr>
        <w:jc w:val="both"/>
        <w:rPr>
          <w:bCs/>
          <w:color w:val="002060"/>
          <w:sz w:val="16"/>
          <w:szCs w:val="16"/>
        </w:rPr>
      </w:pPr>
      <w:r w:rsidRPr="00DE096C">
        <w:rPr>
          <w:bCs/>
          <w:color w:val="002060"/>
          <w:sz w:val="16"/>
          <w:szCs w:val="16"/>
        </w:rPr>
        <w:t>В момент, когда завязывается сражение, от которого зависит спасение страны, необходимо напомнить всем, что нельзя больше оглядываться назад; все усилия должны быть направлены на то, чтобы остановить и отбросить неприятеля; часть, которая не может больше двигаться вперед, должна будет, чего бы это ни стоило, сохранить захваченное пространство и скорее дать убить себя на месте, чем отступить. При настоящих обстоятельствах не может быть терпима никакая слабость.</w:t>
      </w:r>
    </w:p>
    <w:p w14:paraId="1E3C4757" w14:textId="77777777" w:rsidR="00B67D7C" w:rsidRPr="00DE096C" w:rsidRDefault="00B67D7C" w:rsidP="00D45A46">
      <w:pPr>
        <w:jc w:val="both"/>
        <w:rPr>
          <w:bCs/>
          <w:color w:val="002060"/>
          <w:sz w:val="16"/>
          <w:szCs w:val="16"/>
        </w:rPr>
      </w:pPr>
      <w:r w:rsidRPr="00DE096C">
        <w:rPr>
          <w:bCs/>
          <w:color w:val="002060"/>
          <w:sz w:val="16"/>
          <w:szCs w:val="16"/>
        </w:rPr>
        <w:t>Жоффр".</w:t>
      </w:r>
    </w:p>
    <w:p w14:paraId="09898862" w14:textId="77777777" w:rsidR="00B67D7C" w:rsidRPr="00DE096C" w:rsidRDefault="00B67D7C" w:rsidP="00D45A46">
      <w:pPr>
        <w:jc w:val="both"/>
        <w:rPr>
          <w:bCs/>
          <w:color w:val="002060"/>
          <w:sz w:val="16"/>
          <w:szCs w:val="16"/>
        </w:rPr>
      </w:pPr>
      <w:r w:rsidRPr="00DE096C">
        <w:rPr>
          <w:bCs/>
          <w:color w:val="002060"/>
          <w:sz w:val="16"/>
          <w:szCs w:val="16"/>
        </w:rPr>
        <w:t>В 8 час. 30 мин. новое телеграфное сообщение генерала Юге взволновало весь штаб 5-й французской армии. По донесению английских летчиков германские части, противостоящие авангарду французов, отступают на север. На разложенные карты лихорадочно нанесены синие стрелы.</w:t>
      </w:r>
    </w:p>
    <w:p w14:paraId="7C41DEC8" w14:textId="77777777" w:rsidR="00B67D7C" w:rsidRPr="00DE096C" w:rsidRDefault="00B67D7C" w:rsidP="00D45A46">
      <w:pPr>
        <w:jc w:val="both"/>
        <w:rPr>
          <w:bCs/>
          <w:color w:val="002060"/>
          <w:sz w:val="16"/>
          <w:szCs w:val="16"/>
        </w:rPr>
      </w:pPr>
      <w:r w:rsidRPr="00DE096C">
        <w:rPr>
          <w:bCs/>
          <w:color w:val="002060"/>
          <w:sz w:val="16"/>
          <w:szCs w:val="16"/>
        </w:rPr>
        <w:t>Несколько минут спустя от французских летчиков (лейтенант Жермен) получены донесения о том, что начиная с 7 часов утра "многочисленные крупные колонны противника всех родов оружия отступают на север. Передвижение из Ферте-Гоше и Эстерне к Монмирай, дорога из Ферте-Гоше в Эстерне сильно загружена; большие колонны направляются в 7 час. 50 мин. из Куртакон в Ферте-Гоше". В 9 часов французские летчики I корпуса сообщают, что германские войска, похоже, оставили район Эстерне.</w:t>
      </w:r>
    </w:p>
    <w:p w14:paraId="060C8DEE" w14:textId="77777777" w:rsidR="00B67D7C" w:rsidRPr="00DE096C" w:rsidRDefault="00B67D7C" w:rsidP="00D45A46">
      <w:pPr>
        <w:jc w:val="both"/>
        <w:rPr>
          <w:bCs/>
          <w:color w:val="002060"/>
          <w:sz w:val="16"/>
          <w:szCs w:val="16"/>
        </w:rPr>
      </w:pPr>
      <w:r w:rsidRPr="00DE096C">
        <w:rPr>
          <w:bCs/>
          <w:color w:val="002060"/>
          <w:sz w:val="16"/>
          <w:szCs w:val="16"/>
        </w:rPr>
        <w:t>Эти сведения были сразу же переданы в штабы армий и всем трем кавалерийским дивизиям, так же как и сообщение о том, что английская кавалерия находится в Даньи, а большие силы германской кавалерии - у Шуази.</w:t>
      </w:r>
    </w:p>
    <w:p w14:paraId="2AAD8CE6" w14:textId="77777777" w:rsidR="00B67D7C" w:rsidRPr="00DE096C" w:rsidRDefault="00B67D7C" w:rsidP="00D45A46">
      <w:pPr>
        <w:jc w:val="both"/>
        <w:rPr>
          <w:bCs/>
          <w:color w:val="002060"/>
          <w:sz w:val="16"/>
          <w:szCs w:val="16"/>
        </w:rPr>
      </w:pPr>
      <w:r w:rsidRPr="00DE096C">
        <w:rPr>
          <w:bCs/>
          <w:color w:val="002060"/>
          <w:sz w:val="16"/>
          <w:szCs w:val="16"/>
        </w:rPr>
        <w:t>В 10 час. утра в штаб выдвинувшейся на острие атаки 5-й французской армии французские авиаторы доставляют важные сведения: наблюдается отход значительных сил противника в районах Монсо-Ле-Провен-Монмирай. Во французском штабе срочное совещание; почему немцы отходят? Клюк догадался, что попал в западню, или сам готовит ловушку?</w:t>
      </w:r>
    </w:p>
    <w:p w14:paraId="5F031830" w14:textId="77777777" w:rsidR="00B67D7C" w:rsidRPr="00DE096C" w:rsidRDefault="00B67D7C" w:rsidP="00D45A46">
      <w:pPr>
        <w:jc w:val="both"/>
        <w:rPr>
          <w:bCs/>
          <w:color w:val="002060"/>
          <w:sz w:val="16"/>
          <w:szCs w:val="16"/>
        </w:rPr>
      </w:pPr>
      <w:r w:rsidRPr="00DE096C">
        <w:rPr>
          <w:bCs/>
          <w:color w:val="002060"/>
          <w:sz w:val="16"/>
          <w:szCs w:val="16"/>
        </w:rPr>
        <w:t>В 11 часов утра штаб 5-й французской армии связывается со штабом 6-й и уточняет детали взаимодействия. "Важно, чтобы британская и 6-я армии успели ударить во фланг отступающим немецким колоннам".</w:t>
      </w:r>
    </w:p>
    <w:p w14:paraId="14C3D1F7" w14:textId="77777777" w:rsidR="00B67D7C" w:rsidRPr="00DE096C" w:rsidRDefault="00B67D7C" w:rsidP="00D45A46">
      <w:pPr>
        <w:jc w:val="both"/>
        <w:rPr>
          <w:bCs/>
          <w:color w:val="002060"/>
          <w:sz w:val="16"/>
          <w:szCs w:val="16"/>
        </w:rPr>
      </w:pPr>
      <w:r w:rsidRPr="00DE096C">
        <w:rPr>
          <w:bCs/>
          <w:color w:val="002060"/>
          <w:sz w:val="16"/>
          <w:szCs w:val="16"/>
        </w:rPr>
        <w:t>На основании этих данных в 11 час. 40 мин. во все корпуса по телеграфу разослан приказ: "Противник на всем фронте отступает. 5-я армия должна приложить все старания, чтобы достигнуть сегодня вечером Малого Морена (река, протекающая через Монмирай) . Корпуса сохраняют ранее указанные направления движения".</w:t>
      </w:r>
    </w:p>
    <w:p w14:paraId="375AB31E" w14:textId="77777777" w:rsidR="00B67D7C" w:rsidRPr="00DE096C" w:rsidRDefault="00B67D7C" w:rsidP="00D45A46">
      <w:pPr>
        <w:jc w:val="both"/>
        <w:rPr>
          <w:bCs/>
          <w:color w:val="002060"/>
          <w:sz w:val="16"/>
          <w:szCs w:val="16"/>
        </w:rPr>
      </w:pPr>
      <w:r w:rsidRPr="00DE096C">
        <w:rPr>
          <w:bCs/>
          <w:color w:val="002060"/>
          <w:sz w:val="16"/>
          <w:szCs w:val="16"/>
        </w:rPr>
        <w:t>Начинается общее наступление союзников от Парижа до Вердена. На р. Урк весь день происходит ожесточенный бой 6-й французской армии с IV резервным корпусом и со И, подошедшим к нему на помощь с утра. 6-я армия не может продвинуться вперед, 5-я французская армия также задержана III и IX германскими корпусами (1-я армия) и правофланговыми частями 2-й германской армии.</w:t>
      </w:r>
    </w:p>
    <w:p w14:paraId="2D965D31" w14:textId="77777777" w:rsidR="00B67D7C" w:rsidRPr="00DE096C" w:rsidRDefault="00B67D7C" w:rsidP="00D45A46">
      <w:pPr>
        <w:jc w:val="both"/>
        <w:rPr>
          <w:bCs/>
          <w:color w:val="002060"/>
          <w:sz w:val="16"/>
          <w:szCs w:val="16"/>
        </w:rPr>
      </w:pPr>
      <w:r w:rsidRPr="00DE096C">
        <w:rPr>
          <w:bCs/>
          <w:color w:val="002060"/>
          <w:sz w:val="16"/>
          <w:szCs w:val="16"/>
        </w:rPr>
        <w:t>В 9 часов утра штаб 1-й германской армии переходит в Шарли. Клюк лично является на высоты восточнее Лизи. Обзор положения успокаивающе действует на него: боя не слышно. Он считает принятые меры достаточными.</w:t>
      </w:r>
    </w:p>
    <w:p w14:paraId="7C81EBBA" w14:textId="77777777" w:rsidR="00B67D7C" w:rsidRPr="00DE096C" w:rsidRDefault="00B67D7C" w:rsidP="00D45A46">
      <w:pPr>
        <w:jc w:val="both"/>
        <w:rPr>
          <w:bCs/>
          <w:color w:val="002060"/>
          <w:sz w:val="16"/>
          <w:szCs w:val="16"/>
        </w:rPr>
      </w:pPr>
      <w:r w:rsidRPr="00DE096C">
        <w:rPr>
          <w:bCs/>
          <w:color w:val="002060"/>
          <w:sz w:val="16"/>
          <w:szCs w:val="16"/>
        </w:rPr>
        <w:t>Здесь-то и начинается роковое течение событий на р. Урк. Удар армии Монури, севернее Марны, оказывается роковым для Клюка вовсе не в силу реальной опасности, какую он представлял, а скорее в силу своей внезапности и той неизвестности, которой он был окутан вначале. Правда, Клюк догадывался, что угроза очень серьезна, ибо даже небольшие части, прорвавшиеся в тыл, грозят разгромом обозов и сообщений армии. Но размеры этой угрозы оставались для него неясными. Клюк рассчитывал справиться с ней силами двух корпусов. Поэтому остальным он оставил их прежние задачи. Существует удачное сравнение армии Монури с пиявкой, которая присосалась к армии Клюка.</w:t>
      </w:r>
    </w:p>
    <w:p w14:paraId="1F3D30FD" w14:textId="77777777" w:rsidR="00B67D7C" w:rsidRPr="00DE096C" w:rsidRDefault="00B67D7C" w:rsidP="00D45A46">
      <w:pPr>
        <w:jc w:val="both"/>
        <w:rPr>
          <w:bCs/>
          <w:color w:val="002060"/>
          <w:sz w:val="16"/>
          <w:szCs w:val="16"/>
        </w:rPr>
      </w:pPr>
      <w:r w:rsidRPr="00DE096C">
        <w:rPr>
          <w:bCs/>
          <w:color w:val="002060"/>
          <w:sz w:val="16"/>
          <w:szCs w:val="16"/>
        </w:rPr>
        <w:t>Из донесения, сброшенного на вымпеле с аэроплана в 9 час. 20 мин. утра у штаба II армейского корпуса 3-й германской армии: "Противник силою не менее одного армейского корпуса наступает по линии Мо - Сен-Патюс правым флангом к Нефмонтьер, левым - к Сен-Патюс, и частично появился уже у Брежи. Продвижение вперед отдельных рот и батарей в восточном и северо-восточном направлениях; главные силы у Сен-Супле". Одновременно с этим летчиком IX армейского корпуса 3-й германской армии было установлено продвижение французов силою от одного до полутора армейских корпусов между Эстерне и Сеной, а вскоре после этого было установлено приближение англичан по линии Жуй-Ле-Шатель-Розуа.</w:t>
      </w:r>
    </w:p>
    <w:p w14:paraId="098D1B7A" w14:textId="77777777" w:rsidR="00B67D7C" w:rsidRPr="00DE096C" w:rsidRDefault="00B67D7C" w:rsidP="00D45A46">
      <w:pPr>
        <w:jc w:val="both"/>
        <w:rPr>
          <w:bCs/>
          <w:color w:val="002060"/>
          <w:sz w:val="16"/>
          <w:szCs w:val="16"/>
        </w:rPr>
      </w:pPr>
      <w:r w:rsidRPr="00DE096C">
        <w:rPr>
          <w:bCs/>
          <w:color w:val="002060"/>
          <w:sz w:val="16"/>
          <w:szCs w:val="16"/>
        </w:rPr>
        <w:t>От II кавалерийского корпуса и от авиационной разведки поступают сведения о продвижении англичан. В 10 часов утра их передовые части обнаружены у Куломье. Отмечается также выгрузка новых войск противника в Нантейль- ле-Годуэн. Французы, видимо, стремятся к охвату северного германского крыла. В 12 часов прибывает офицер связи капитан Шютц из расположения 3-й пехотной дивизии и сообщает, что она не сможет продержаться без поддержки из-за сильнейшего артогня со стороны Мо. Это сообщение заставляет командование 1-й армии потерять всякое равновесие. В 12 час. 15 мин. II кавалерийскому корпусу отдается приказ немедленно направить артиллерию в Трильпор для поддержки левого фланга фронта на р. Урк. Командование 1-й армии бросает на фронт и части, охраняющие штаб армии. Вскоре после полудня из 2-й армии сообщают, что III и IX корпуса отправлены, сама армия ведет тяжелый бой между Монмираем и Фер-Шампенуазом. В 13 час. 15 мин. направляется приказ обоим корпусам ускорить их движение "насколько только возможно". III корпус должен направить пехотную бригаду с тяжелой артиллерией на Трильпор. Генерал Марвиц получает приказ прикрывать нижнее течение Большого Морена.</w:t>
      </w:r>
    </w:p>
    <w:p w14:paraId="0563C854" w14:textId="77777777" w:rsidR="00B67D7C" w:rsidRPr="00DE096C" w:rsidRDefault="00B67D7C" w:rsidP="00D45A46">
      <w:pPr>
        <w:jc w:val="both"/>
        <w:rPr>
          <w:bCs/>
          <w:color w:val="002060"/>
          <w:sz w:val="16"/>
          <w:szCs w:val="16"/>
        </w:rPr>
      </w:pPr>
      <w:r w:rsidRPr="00DE096C">
        <w:rPr>
          <w:bCs/>
          <w:color w:val="002060"/>
          <w:sz w:val="16"/>
          <w:szCs w:val="16"/>
        </w:rPr>
        <w:t>Но вскоре и эта иллюзия разрушена. В 4 часа дня английская пехота отмечена в движении на Куломье; в 5 часов авиационная разведка наблюдает большой бивуак пехоты на северо-восточной окраине леса Креси, у Фармутье, ля- Сель и Морсерф. Это II и III английские корпуса. Движение этих сил во фланг фронту на р. Урк грозило взорвать его. А между тем продолжали поступать сведения о расположении крупных сил противника также и в районе Нан- тейль-ле-Годуэн.</w:t>
      </w:r>
    </w:p>
    <w:p w14:paraId="6008EA0C" w14:textId="77777777" w:rsidR="00B67D7C" w:rsidRPr="00DE096C" w:rsidRDefault="00B67D7C" w:rsidP="00D45A46">
      <w:pPr>
        <w:jc w:val="both"/>
        <w:rPr>
          <w:bCs/>
          <w:color w:val="002060"/>
          <w:sz w:val="16"/>
          <w:szCs w:val="16"/>
        </w:rPr>
      </w:pPr>
      <w:r w:rsidRPr="00DE096C">
        <w:rPr>
          <w:bCs/>
          <w:color w:val="002060"/>
          <w:sz w:val="16"/>
          <w:szCs w:val="16"/>
        </w:rPr>
        <w:t>В промежутке между 5-й и 6-й французскими армиями англичане начинают медленно двигаться на восток. Левое крыло 2-й германской армии наталкивается на сопротивление армии Фоша (9-я); 4-я и 5-я германские армии задержаны 4-й и 3-й французскими армиями на Марно-Рейн- ском канале и южнее Вердена.</w:t>
      </w:r>
    </w:p>
    <w:p w14:paraId="5107BCA7" w14:textId="77777777" w:rsidR="00B67D7C" w:rsidRPr="00DE096C" w:rsidRDefault="00B67D7C" w:rsidP="00D45A46">
      <w:pPr>
        <w:jc w:val="both"/>
        <w:rPr>
          <w:bCs/>
          <w:color w:val="002060"/>
          <w:sz w:val="16"/>
          <w:szCs w:val="16"/>
        </w:rPr>
      </w:pPr>
      <w:r w:rsidRPr="00DE096C">
        <w:rPr>
          <w:bCs/>
          <w:color w:val="002060"/>
          <w:sz w:val="16"/>
          <w:szCs w:val="16"/>
        </w:rPr>
        <w:t>Положение становится исключительно серьезным. Надо действовать быстро и решительно. В 9 час. 15 мин. вечера Клюк отдает приказ на 8 сентября - II, IV и IV резервный корпуса под командованием генерала Линзингена должны окопаться и удерживаться на месте. Левое крыло от Варе- да должно быть отведено на более удобные позиции.</w:t>
      </w:r>
    </w:p>
    <w:p w14:paraId="30DD3AE5" w14:textId="77777777" w:rsidR="00B67D7C" w:rsidRPr="00DE096C" w:rsidRDefault="00B67D7C" w:rsidP="00D45A46">
      <w:pPr>
        <w:jc w:val="both"/>
        <w:rPr>
          <w:bCs/>
          <w:color w:val="002060"/>
          <w:sz w:val="16"/>
          <w:szCs w:val="16"/>
        </w:rPr>
      </w:pPr>
      <w:r w:rsidRPr="00DE096C">
        <w:rPr>
          <w:bCs/>
          <w:color w:val="002060"/>
          <w:sz w:val="16"/>
          <w:szCs w:val="16"/>
        </w:rPr>
        <w:t>В полдень авангард 10-й французской дивизии входит в Куртакон. Деревня горит. В ней перед этим стояла германская гвардейская кавалерийская дивизия. Кавалеристы обливали дома бензином и заставляли жителей самих поджигать свои дома; несколько человек при этом было расстреляно.</w:t>
      </w:r>
    </w:p>
    <w:p w14:paraId="32293012" w14:textId="77777777" w:rsidR="00B67D7C" w:rsidRPr="00DE096C" w:rsidRDefault="00B67D7C" w:rsidP="00D45A46">
      <w:pPr>
        <w:jc w:val="both"/>
        <w:rPr>
          <w:bCs/>
          <w:color w:val="002060"/>
          <w:sz w:val="16"/>
          <w:szCs w:val="16"/>
        </w:rPr>
      </w:pPr>
      <w:r w:rsidRPr="00DE096C">
        <w:rPr>
          <w:bCs/>
          <w:color w:val="002060"/>
          <w:sz w:val="16"/>
          <w:szCs w:val="16"/>
        </w:rPr>
        <w:t>Французские войска двигались вперед стремительно, встречая множество трупов своих товарищей и фельдграу . Вскоре вошли в Эстерне. Замок не пострадал, повсюду были разбросаны тысячи пустых бутылок из-под шампанского, в подвале обнаружили около 200 человек мертвецки пьяных пленных. Германские войска настигнуты только к вечеру у Малого Морена и Монмирая.</w:t>
      </w:r>
    </w:p>
    <w:p w14:paraId="7125E3F3" w14:textId="77777777" w:rsidR="00B67D7C" w:rsidRPr="00DE096C" w:rsidRDefault="00B67D7C" w:rsidP="00D45A46">
      <w:pPr>
        <w:jc w:val="both"/>
        <w:rPr>
          <w:bCs/>
          <w:color w:val="002060"/>
          <w:sz w:val="16"/>
          <w:szCs w:val="16"/>
        </w:rPr>
      </w:pPr>
      <w:r w:rsidRPr="00DE096C">
        <w:rPr>
          <w:bCs/>
          <w:color w:val="002060"/>
          <w:sz w:val="16"/>
          <w:szCs w:val="16"/>
        </w:rPr>
        <w:t>В ночь Клюк отходит обратно за Марну. 2-я и 3-я германские армии развивают наступление на юг через болота Сен-Гонд. Продвижение германских армий к Вердену остановлено (11999).</w:t>
      </w:r>
    </w:p>
    <w:p w14:paraId="55A6D112" w14:textId="77777777" w:rsidR="00B67D7C" w:rsidRPr="00DE096C" w:rsidRDefault="00B67D7C" w:rsidP="00D45A46">
      <w:pPr>
        <w:jc w:val="both"/>
        <w:rPr>
          <w:bCs/>
          <w:color w:val="002060"/>
          <w:sz w:val="16"/>
          <w:szCs w:val="16"/>
        </w:rPr>
      </w:pPr>
    </w:p>
    <w:p w14:paraId="026F3A34" w14:textId="77777777" w:rsidR="00360F80" w:rsidRPr="00DE096C" w:rsidRDefault="00360F80" w:rsidP="00D45A46">
      <w:pPr>
        <w:jc w:val="both"/>
        <w:rPr>
          <w:bCs/>
          <w:i/>
          <w:color w:val="002060"/>
          <w:sz w:val="16"/>
          <w:szCs w:val="16"/>
        </w:rPr>
      </w:pPr>
      <w:r w:rsidRPr="00DE096C">
        <w:rPr>
          <w:bCs/>
          <w:i/>
          <w:color w:val="002060"/>
          <w:sz w:val="16"/>
          <w:szCs w:val="16"/>
        </w:rPr>
        <w:t>Другие оборонные отрасли:</w:t>
      </w:r>
    </w:p>
    <w:p w14:paraId="0018A07B" w14:textId="77777777" w:rsidR="00360F80" w:rsidRPr="00DE096C" w:rsidRDefault="00360F80" w:rsidP="00D45A46">
      <w:pPr>
        <w:jc w:val="both"/>
        <w:rPr>
          <w:bCs/>
          <w:i/>
          <w:color w:val="002060"/>
          <w:sz w:val="16"/>
          <w:szCs w:val="16"/>
        </w:rPr>
      </w:pPr>
    </w:p>
    <w:p w14:paraId="4BD13C04" w14:textId="1F3102D8" w:rsidR="00360F80" w:rsidRPr="00DE096C" w:rsidRDefault="00360F80" w:rsidP="00D45A46">
      <w:pPr>
        <w:pStyle w:val="p1"/>
        <w:spacing w:before="0" w:beforeAutospacing="0" w:after="0" w:afterAutospacing="0"/>
        <w:jc w:val="both"/>
        <w:rPr>
          <w:bCs/>
          <w:color w:val="002060"/>
          <w:sz w:val="16"/>
          <w:szCs w:val="16"/>
        </w:rPr>
      </w:pPr>
      <w:r w:rsidRPr="00DE096C">
        <w:rPr>
          <w:bCs/>
          <w:color w:val="002060"/>
          <w:sz w:val="16"/>
          <w:szCs w:val="16"/>
        </w:rPr>
        <w:t xml:space="preserve">25 августа </w:t>
      </w:r>
      <w:r w:rsidR="00105BD1" w:rsidRPr="00DE096C">
        <w:rPr>
          <w:bCs/>
          <w:color w:val="002060"/>
          <w:sz w:val="16"/>
          <w:szCs w:val="16"/>
        </w:rPr>
        <w:t xml:space="preserve">(7 сентября) </w:t>
      </w:r>
      <w:r w:rsidRPr="00DE096C">
        <w:rPr>
          <w:bCs/>
          <w:color w:val="002060"/>
          <w:sz w:val="16"/>
          <w:szCs w:val="16"/>
        </w:rPr>
        <w:t>1914 г. ГАУ обратилось в ГУГШ с просьбой вернуть высланных из Риги мастеров и направить на завод Акционерного общества «Российское а. о. оптических и механических производств» к Гершуну. Без этих специалистов встречается «затруднение в производстве технических выкладок и в точном изготовлении пробных стекол, так как подготовленных русских мастеров не имеется» (18409).</w:t>
      </w:r>
    </w:p>
    <w:p w14:paraId="34F8522B" w14:textId="77777777" w:rsidR="00360F80" w:rsidRPr="00DE096C" w:rsidRDefault="00360F80" w:rsidP="00D45A46">
      <w:pPr>
        <w:pStyle w:val="p1"/>
        <w:spacing w:before="0" w:beforeAutospacing="0" w:after="0" w:afterAutospacing="0"/>
        <w:jc w:val="both"/>
        <w:rPr>
          <w:bCs/>
          <w:color w:val="002060"/>
          <w:sz w:val="16"/>
          <w:szCs w:val="16"/>
        </w:rPr>
      </w:pPr>
    </w:p>
    <w:p w14:paraId="7BAF79AD" w14:textId="77777777" w:rsidR="00B67D7C" w:rsidRPr="00DE096C" w:rsidRDefault="00B67D7C" w:rsidP="00D45A46">
      <w:pPr>
        <w:jc w:val="both"/>
        <w:rPr>
          <w:bCs/>
          <w:i/>
          <w:color w:val="002060"/>
          <w:sz w:val="16"/>
          <w:szCs w:val="16"/>
        </w:rPr>
      </w:pPr>
      <w:r w:rsidRPr="00DE096C">
        <w:rPr>
          <w:bCs/>
          <w:i/>
          <w:color w:val="002060"/>
          <w:sz w:val="16"/>
          <w:szCs w:val="16"/>
        </w:rPr>
        <w:t>Авиация:</w:t>
      </w:r>
    </w:p>
    <w:p w14:paraId="15DBCF65" w14:textId="77777777" w:rsidR="00B67D7C" w:rsidRPr="00DE096C" w:rsidRDefault="00B67D7C" w:rsidP="00D45A46">
      <w:pPr>
        <w:jc w:val="both"/>
        <w:rPr>
          <w:bCs/>
          <w:i/>
          <w:color w:val="002060"/>
          <w:sz w:val="16"/>
          <w:szCs w:val="16"/>
        </w:rPr>
      </w:pPr>
    </w:p>
    <w:p w14:paraId="2CB01EBF" w14:textId="18A3B7F6" w:rsidR="00B67D7C" w:rsidRPr="00DE096C" w:rsidRDefault="00B67D7C" w:rsidP="00D45A46">
      <w:pPr>
        <w:jc w:val="both"/>
        <w:rPr>
          <w:bCs/>
          <w:color w:val="002060"/>
          <w:sz w:val="16"/>
          <w:szCs w:val="16"/>
        </w:rPr>
      </w:pPr>
      <w:r w:rsidRPr="00DE096C">
        <w:rPr>
          <w:bCs/>
          <w:color w:val="002060"/>
          <w:sz w:val="16"/>
          <w:szCs w:val="16"/>
        </w:rPr>
        <w:t xml:space="preserve">25 августа (7 сентября) </w:t>
      </w:r>
      <w:r w:rsidR="00865110" w:rsidRPr="00DE096C">
        <w:rPr>
          <w:bCs/>
          <w:color w:val="002060"/>
          <w:sz w:val="16"/>
          <w:szCs w:val="16"/>
        </w:rPr>
        <w:t>п</w:t>
      </w:r>
      <w:r w:rsidRPr="00DE096C">
        <w:rPr>
          <w:bCs/>
          <w:color w:val="002060"/>
          <w:sz w:val="16"/>
          <w:szCs w:val="16"/>
        </w:rPr>
        <w:t>ять дивизий 4-й русской армии после артиллерийской подготовки из 264 орудий атаковали австрийцев на 12-км участке фронта и продвинулись в течеиие дня на 2-3 км.</w:t>
      </w:r>
    </w:p>
    <w:p w14:paraId="7B98630B" w14:textId="77777777" w:rsidR="00B67D7C" w:rsidRPr="00DE096C" w:rsidRDefault="00B67D7C" w:rsidP="00D45A46">
      <w:pPr>
        <w:jc w:val="both"/>
        <w:rPr>
          <w:bCs/>
          <w:color w:val="002060"/>
          <w:sz w:val="16"/>
          <w:szCs w:val="16"/>
        </w:rPr>
      </w:pPr>
      <w:r w:rsidRPr="00DE096C">
        <w:rPr>
          <w:bCs/>
          <w:color w:val="002060"/>
          <w:sz w:val="16"/>
          <w:szCs w:val="16"/>
        </w:rPr>
        <w:t>В 6 час. 30 мин. утра на разведку района Равы-Русской, расположенной на северо-запад от Львова, вылетел штабс- капитан Нестеров с наблюдателем поручиком Титовым. Ввиду важности полета экипаж собственными силами переделал для сбрасывания с большой высоты две артиллерийских трехдюймовых гранаты, которые во время проведения разведки были сброшены на противника. Из донесения в штаб армии: "...Гранаты были брошены над площадью, занятой обозами близ железной дороги у Равы-Русской. До бросания не было видно дыма и пыли, которые появились после. О результатах трудно что-нибудь сказать. Военный летчик штабс-капитан Нестеров". Это было одно из первых бомбометаний с аэроплана, произведенных русскими летчиками в Великой войне.</w:t>
      </w:r>
    </w:p>
    <w:p w14:paraId="201C9F26" w14:textId="77777777" w:rsidR="00B67D7C" w:rsidRPr="00DE096C" w:rsidRDefault="00B67D7C" w:rsidP="00D45A46">
      <w:pPr>
        <w:jc w:val="both"/>
        <w:rPr>
          <w:bCs/>
          <w:color w:val="002060"/>
          <w:sz w:val="16"/>
          <w:szCs w:val="16"/>
        </w:rPr>
      </w:pPr>
      <w:r w:rsidRPr="00DE096C">
        <w:rPr>
          <w:bCs/>
          <w:color w:val="002060"/>
          <w:sz w:val="16"/>
          <w:szCs w:val="16"/>
        </w:rPr>
        <w:t>В этот день Нестеров трижды летал в разведку. Из донесения: "1 час. 35 мин. Из Жолкева. Русская карта 2 версты в дюйме. Вылетев в 7 час. утра на разведку и долетев до боев на линии Рава-Русская, я принужден был возвратиться, так как сломался карандаш. В 10 час. 5 мин. поднялся снова и полетел на Сокаль, Грубешов, где облетел район Варенж, Грубешов, Тышовцы, Лащов, Уно, Бельз. Ввиду того, что мне неизвестно расположение своих войск, доношу о всем замеченном...</w:t>
      </w:r>
    </w:p>
    <w:p w14:paraId="05123BEA" w14:textId="77777777" w:rsidR="00B67D7C" w:rsidRPr="00DE096C" w:rsidRDefault="00B67D7C" w:rsidP="00D45A46">
      <w:pPr>
        <w:jc w:val="both"/>
        <w:rPr>
          <w:bCs/>
          <w:color w:val="002060"/>
          <w:sz w:val="16"/>
          <w:szCs w:val="16"/>
        </w:rPr>
      </w:pPr>
      <w:r w:rsidRPr="00DE096C">
        <w:rPr>
          <w:bCs/>
          <w:color w:val="002060"/>
          <w:sz w:val="16"/>
          <w:szCs w:val="16"/>
        </w:rPr>
        <w:t>У Микулина бой, у Телятина бой, у Лащова резерв около бригады. У Телятина резервная колонна около полка. В районе Тишовцы-Телятин бой, в котором трудно разобраться. Станция Бельз горит. По железной дороге движения нет. Вследствие прекращения бензина вернулся в 12 час. 10 мин. Военный летчик штабс-капитан Нестеров".</w:t>
      </w:r>
    </w:p>
    <w:p w14:paraId="279141F2" w14:textId="77777777" w:rsidR="00B67D7C" w:rsidRPr="00DE096C" w:rsidRDefault="00B67D7C" w:rsidP="00D45A46">
      <w:pPr>
        <w:jc w:val="both"/>
        <w:rPr>
          <w:bCs/>
          <w:color w:val="002060"/>
          <w:sz w:val="16"/>
          <w:szCs w:val="16"/>
        </w:rPr>
      </w:pPr>
      <w:r w:rsidRPr="00DE096C">
        <w:rPr>
          <w:bCs/>
          <w:color w:val="002060"/>
          <w:sz w:val="16"/>
          <w:szCs w:val="16"/>
        </w:rPr>
        <w:lastRenderedPageBreak/>
        <w:t>Телеграмма из штаба армии командиру 11-го корпуса. Отправлена 1 час. 50 мин. дня. Получена 4 час. 20 мин.: "Только что летчиком доставлены сведения Рава-Русской около полка пехоты на западной окраине, южнее Унува около двух бригад ожидают посадки на станциях Зелена, Юзе- фовка. Движения к боевым линиям от Рава-Русская нет.</w:t>
      </w:r>
    </w:p>
    <w:p w14:paraId="0A9BB4C3" w14:textId="77777777" w:rsidR="00B67D7C" w:rsidRPr="00DE096C" w:rsidRDefault="00B67D7C" w:rsidP="00D45A46">
      <w:pPr>
        <w:jc w:val="both"/>
        <w:rPr>
          <w:bCs/>
          <w:color w:val="002060"/>
          <w:sz w:val="16"/>
          <w:szCs w:val="16"/>
        </w:rPr>
      </w:pPr>
      <w:r w:rsidRPr="00DE096C">
        <w:rPr>
          <w:bCs/>
          <w:color w:val="002060"/>
          <w:sz w:val="16"/>
          <w:szCs w:val="16"/>
        </w:rPr>
        <w:t>По шоссе Немиров на Яворов обнаружено движение пехоты. У Равы-Русской огромное количество обозов, стоящих в полном беспорядке. От Томашова и Унува производится усиленная железнодорожная эвакуация. У Бельжеца стоит до дивизии пехоты и движется на Раву-Русскую около бригады, дошедшей до Мосты.</w:t>
      </w:r>
    </w:p>
    <w:p w14:paraId="12725A22" w14:textId="77777777" w:rsidR="00B67D7C" w:rsidRPr="00DE096C" w:rsidRDefault="00B67D7C" w:rsidP="00D45A46">
      <w:pPr>
        <w:jc w:val="both"/>
        <w:rPr>
          <w:bCs/>
          <w:color w:val="002060"/>
          <w:sz w:val="16"/>
          <w:szCs w:val="16"/>
        </w:rPr>
      </w:pPr>
      <w:r w:rsidRPr="00DE096C">
        <w:rPr>
          <w:bCs/>
          <w:color w:val="002060"/>
          <w:sz w:val="16"/>
          <w:szCs w:val="16"/>
        </w:rPr>
        <w:t>Ввиду этих обстоятельств командующий армией приказал X корпусу немедленно перейти в наступление на Немиров - Смолин, поддерживая связь с IX корпусом. Генералу Сиверсу подчиняется бригада XII корпуса, прибывающая к часу дня в Вольдорф. IX корпусу вместе с X энергично наступать на противника с фронта, широко пользуясь для подготовки атаки тяжелой артиллерией. XI корпусу наступать в прежних направлениях, приняв нужные меры к охране правого фланга. Действовать крайне энергично, скорее прервать железнодорожное сообщение у Равы-Русской. XXI корпусу продвинуться вперед против указанной линии, сковать противника, расположенного у Бельжеца. Драгомиров" .</w:t>
      </w:r>
    </w:p>
    <w:p w14:paraId="47F89428" w14:textId="77777777" w:rsidR="00B67D7C" w:rsidRPr="00DE096C" w:rsidRDefault="00B67D7C" w:rsidP="00D45A46">
      <w:pPr>
        <w:jc w:val="both"/>
        <w:rPr>
          <w:bCs/>
          <w:color w:val="002060"/>
          <w:sz w:val="16"/>
          <w:szCs w:val="16"/>
        </w:rPr>
      </w:pPr>
      <w:r w:rsidRPr="00DE096C">
        <w:rPr>
          <w:bCs/>
          <w:color w:val="002060"/>
          <w:sz w:val="16"/>
          <w:szCs w:val="16"/>
        </w:rPr>
        <w:t>Над русскими позициями также летали австрийские разведчики. Особенно настойчиво вел разведку австрийский летчик Фридрих Розенталь, сын владельца имения, в котором расположился штаб 3-й армии. Он уверенно летал над русскими войсками и даже сбросил на аэродром 11 -го авиаотряда бомбу типа артиллерийского снаряда, которая, зарывшись в песок, не разорвалась.</w:t>
      </w:r>
    </w:p>
    <w:p w14:paraId="26589926" w14:textId="77777777" w:rsidR="00B67D7C" w:rsidRPr="00DE096C" w:rsidRDefault="00B67D7C" w:rsidP="00D45A46">
      <w:pPr>
        <w:jc w:val="both"/>
        <w:rPr>
          <w:bCs/>
          <w:color w:val="002060"/>
          <w:sz w:val="16"/>
          <w:szCs w:val="16"/>
        </w:rPr>
      </w:pPr>
      <w:r w:rsidRPr="00DE096C">
        <w:rPr>
          <w:bCs/>
          <w:color w:val="002060"/>
          <w:sz w:val="16"/>
          <w:szCs w:val="16"/>
        </w:rPr>
        <w:t>Состоялось совещание в отделе разведки штаба армии, расположенном в Жолкевском замке барона Розенталя. Полковник Бонч-Бруевич заявил, что ввиду сложившейся на фронте ситуации "совершенно недопустимо... терпеть наглые полеты австрийца, который может сорвать наши намерения". Нестеров дал честное слово офицера, что "австриец перестанет летать, раз это необходимо" (11999).</w:t>
      </w:r>
    </w:p>
    <w:p w14:paraId="2FF81FBF" w14:textId="77777777" w:rsidR="00B67D7C" w:rsidRPr="00DE096C" w:rsidRDefault="00B67D7C" w:rsidP="00D45A46">
      <w:pPr>
        <w:jc w:val="both"/>
        <w:rPr>
          <w:bCs/>
          <w:color w:val="002060"/>
          <w:sz w:val="16"/>
          <w:szCs w:val="16"/>
        </w:rPr>
      </w:pPr>
    </w:p>
    <w:p w14:paraId="5CE6AD2A" w14:textId="77777777" w:rsidR="00B67D7C" w:rsidRPr="00DE096C" w:rsidRDefault="00B67D7C" w:rsidP="00D45A46">
      <w:pPr>
        <w:jc w:val="both"/>
        <w:rPr>
          <w:bCs/>
          <w:color w:val="002060"/>
          <w:sz w:val="16"/>
          <w:szCs w:val="16"/>
        </w:rPr>
      </w:pPr>
      <w:r w:rsidRPr="00DE096C">
        <w:rPr>
          <w:bCs/>
          <w:color w:val="002060"/>
          <w:sz w:val="16"/>
          <w:szCs w:val="16"/>
        </w:rPr>
        <w:t xml:space="preserve">25 августа (7 сентября) 1914 года Нестеров сбросил две гранаты на обоз противника. Первая бомбежка! До сего момента небо бороздили лишь аэропланы-разведчики. </w:t>
      </w:r>
    </w:p>
    <w:p w14:paraId="188E08BD" w14:textId="77777777" w:rsidR="00B67D7C" w:rsidRPr="00DE096C" w:rsidRDefault="00B67D7C" w:rsidP="00D45A46">
      <w:pPr>
        <w:jc w:val="both"/>
        <w:rPr>
          <w:bCs/>
          <w:i/>
          <w:color w:val="002060"/>
          <w:sz w:val="16"/>
          <w:szCs w:val="16"/>
        </w:rPr>
      </w:pPr>
    </w:p>
    <w:p w14:paraId="238171C8" w14:textId="11C9A95A" w:rsidR="00360F80" w:rsidRPr="00DE096C" w:rsidRDefault="00360F80" w:rsidP="00D45A46">
      <w:pPr>
        <w:jc w:val="both"/>
        <w:rPr>
          <w:bCs/>
          <w:color w:val="002060"/>
          <w:sz w:val="16"/>
          <w:szCs w:val="16"/>
        </w:rPr>
      </w:pPr>
      <w:r w:rsidRPr="00DE096C">
        <w:rPr>
          <w:bCs/>
          <w:color w:val="002060"/>
          <w:sz w:val="16"/>
          <w:szCs w:val="16"/>
        </w:rPr>
        <w:t>25 августа (7 сентября) 1914 летчик Петр Нестеров Н. на моноплане Morane-Сольнье Тип G становится первым пилотом</w:t>
      </w:r>
      <w:r w:rsidR="00105BD1" w:rsidRPr="00DE096C">
        <w:rPr>
          <w:bCs/>
          <w:color w:val="002060"/>
          <w:sz w:val="16"/>
          <w:szCs w:val="16"/>
        </w:rPr>
        <w:t>,</w:t>
      </w:r>
      <w:r w:rsidRPr="00DE096C">
        <w:rPr>
          <w:bCs/>
          <w:color w:val="002060"/>
          <w:sz w:val="16"/>
          <w:szCs w:val="16"/>
        </w:rPr>
        <w:t xml:space="preserve"> сбившим вражеский самолет в воздушном бою. После неудачного выстрела из пистолета по австро-венгерскому Albatros B.II с экипажем Франца Малины (пилот) и барона Фридриха фон Розенталя (наблюдатель), Нестеров таранит «Альбатрос». Оба самолета разбились, погибли все трое (20337).</w:t>
      </w:r>
    </w:p>
    <w:p w14:paraId="37F6BF21" w14:textId="77777777" w:rsidR="00360F80" w:rsidRPr="00DE096C" w:rsidRDefault="00360F80" w:rsidP="00D45A46">
      <w:pPr>
        <w:jc w:val="both"/>
        <w:rPr>
          <w:bCs/>
          <w:color w:val="002060"/>
          <w:sz w:val="16"/>
          <w:szCs w:val="16"/>
        </w:rPr>
      </w:pPr>
    </w:p>
    <w:p w14:paraId="100F14AE" w14:textId="77777777" w:rsidR="00360F80" w:rsidRPr="00DE096C" w:rsidRDefault="00360F80" w:rsidP="00D45A46">
      <w:pPr>
        <w:jc w:val="both"/>
        <w:rPr>
          <w:bCs/>
          <w:i/>
          <w:color w:val="002060"/>
          <w:sz w:val="16"/>
          <w:szCs w:val="16"/>
        </w:rPr>
      </w:pPr>
      <w:r w:rsidRPr="00DE096C">
        <w:rPr>
          <w:bCs/>
          <w:i/>
          <w:color w:val="002060"/>
          <w:sz w:val="16"/>
          <w:szCs w:val="16"/>
        </w:rPr>
        <w:t>Армия:</w:t>
      </w:r>
    </w:p>
    <w:p w14:paraId="2D9919D3" w14:textId="77777777" w:rsidR="00360F80" w:rsidRPr="00DE096C" w:rsidRDefault="00360F80" w:rsidP="00D45A46">
      <w:pPr>
        <w:jc w:val="both"/>
        <w:rPr>
          <w:bCs/>
          <w:i/>
          <w:color w:val="002060"/>
          <w:sz w:val="16"/>
          <w:szCs w:val="16"/>
        </w:rPr>
      </w:pPr>
    </w:p>
    <w:p w14:paraId="6580797C" w14:textId="23D98185" w:rsidR="00360F80" w:rsidRPr="00DE096C" w:rsidRDefault="00360F80" w:rsidP="00D45A46">
      <w:pPr>
        <w:jc w:val="both"/>
        <w:rPr>
          <w:bCs/>
          <w:color w:val="002060"/>
          <w:sz w:val="16"/>
          <w:szCs w:val="16"/>
        </w:rPr>
      </w:pPr>
      <w:r w:rsidRPr="00DE096C">
        <w:rPr>
          <w:bCs/>
          <w:color w:val="002060"/>
          <w:sz w:val="16"/>
          <w:szCs w:val="16"/>
        </w:rPr>
        <w:t xml:space="preserve">25 августа </w:t>
      </w:r>
      <w:r w:rsidR="00105BD1" w:rsidRPr="00DE096C">
        <w:rPr>
          <w:bCs/>
          <w:color w:val="002060"/>
          <w:sz w:val="16"/>
          <w:szCs w:val="16"/>
        </w:rPr>
        <w:t xml:space="preserve">(7 сентября) </w:t>
      </w:r>
      <w:r w:rsidRPr="00DE096C">
        <w:rPr>
          <w:bCs/>
          <w:color w:val="002060"/>
          <w:sz w:val="16"/>
          <w:szCs w:val="16"/>
        </w:rPr>
        <w:t xml:space="preserve">в 1914 году захват крейсерами «Паллада» и «Богатырь» германского крейсера </w:t>
      </w:r>
      <w:hyperlink r:id="rId42" w:anchor="103889" w:tgtFrame="_blank" w:history="1">
        <w:r w:rsidRPr="00DE096C">
          <w:rPr>
            <w:bCs/>
            <w:color w:val="002060"/>
            <w:sz w:val="16"/>
            <w:szCs w:val="16"/>
          </w:rPr>
          <w:t xml:space="preserve">«Magdeburg», </w:t>
        </w:r>
      </w:hyperlink>
      <w:r w:rsidRPr="00DE096C">
        <w:rPr>
          <w:bCs/>
          <w:color w:val="002060"/>
          <w:sz w:val="16"/>
          <w:szCs w:val="16"/>
        </w:rPr>
        <w:t>на борту которого были обнаружены шифры флота противника (14993).</w:t>
      </w:r>
    </w:p>
    <w:p w14:paraId="0CC16EFB" w14:textId="77777777" w:rsidR="00360F80" w:rsidRPr="00DE096C" w:rsidRDefault="00360F80" w:rsidP="00D45A46">
      <w:pPr>
        <w:jc w:val="both"/>
        <w:rPr>
          <w:bCs/>
          <w:color w:val="002060"/>
          <w:sz w:val="16"/>
          <w:szCs w:val="16"/>
        </w:rPr>
      </w:pPr>
    </w:p>
    <w:p w14:paraId="654EE739" w14:textId="77777777" w:rsidR="00514246" w:rsidRPr="00DE096C" w:rsidRDefault="00514246" w:rsidP="00D45A46">
      <w:pPr>
        <w:jc w:val="both"/>
        <w:rPr>
          <w:bCs/>
          <w:color w:val="002060"/>
          <w:sz w:val="16"/>
          <w:szCs w:val="16"/>
        </w:rPr>
      </w:pPr>
      <w:r w:rsidRPr="00DE096C">
        <w:rPr>
          <w:bCs/>
          <w:color w:val="002060"/>
          <w:sz w:val="16"/>
          <w:szCs w:val="16"/>
          <w:lang w:bidi="en-US"/>
        </w:rPr>
        <w:t>26-28 августа 1914 г. на Юго-Западном фронте русские войска нанесли поражение 3-й австро-венгерской армии на р. Злота Липа (23525).</w:t>
      </w:r>
    </w:p>
    <w:p w14:paraId="1F096B1F" w14:textId="77777777" w:rsidR="00514246" w:rsidRPr="00DE096C" w:rsidRDefault="00514246" w:rsidP="00D45A46">
      <w:pPr>
        <w:jc w:val="both"/>
        <w:rPr>
          <w:bCs/>
          <w:color w:val="002060"/>
          <w:sz w:val="16"/>
          <w:szCs w:val="16"/>
        </w:rPr>
      </w:pPr>
    </w:p>
    <w:p w14:paraId="624C5D96" w14:textId="7FB8F466" w:rsidR="00E5170E" w:rsidRPr="00DE096C" w:rsidRDefault="00E5170E" w:rsidP="00E5170E">
      <w:pPr>
        <w:jc w:val="both"/>
        <w:rPr>
          <w:bCs/>
          <w:i/>
          <w:color w:val="002060"/>
          <w:sz w:val="16"/>
          <w:szCs w:val="16"/>
        </w:rPr>
      </w:pPr>
      <w:r>
        <w:rPr>
          <w:bCs/>
          <w:i/>
          <w:color w:val="002060"/>
          <w:sz w:val="16"/>
          <w:szCs w:val="16"/>
        </w:rPr>
        <w:t>Самолетостроение</w:t>
      </w:r>
      <w:r w:rsidRPr="00DE096C">
        <w:rPr>
          <w:bCs/>
          <w:i/>
          <w:color w:val="002060"/>
          <w:sz w:val="16"/>
          <w:szCs w:val="16"/>
        </w:rPr>
        <w:t>:</w:t>
      </w:r>
    </w:p>
    <w:p w14:paraId="26AF30D0" w14:textId="77777777" w:rsidR="00E5170E" w:rsidRPr="00DE096C" w:rsidRDefault="00E5170E" w:rsidP="00E5170E">
      <w:pPr>
        <w:jc w:val="both"/>
        <w:rPr>
          <w:bCs/>
          <w:i/>
          <w:color w:val="002060"/>
          <w:sz w:val="16"/>
          <w:szCs w:val="16"/>
        </w:rPr>
      </w:pPr>
    </w:p>
    <w:p w14:paraId="5EC48DDA" w14:textId="77777777" w:rsidR="00E5170E" w:rsidRPr="00B52707" w:rsidRDefault="00E5170E" w:rsidP="00E5170E">
      <w:pPr>
        <w:jc w:val="both"/>
        <w:rPr>
          <w:color w:val="0070C0"/>
          <w:sz w:val="16"/>
          <w:szCs w:val="16"/>
        </w:rPr>
      </w:pPr>
      <w:r w:rsidRPr="00B52707">
        <w:rPr>
          <w:color w:val="0070C0"/>
          <w:sz w:val="16"/>
          <w:szCs w:val="16"/>
        </w:rPr>
        <w:t>26 августа (8 сентября) 1914 г., при первом же испытательном взлете с новым приспособлением - длинным тросом с грузом, которым автор идеи «надеялся опутать винт неприятельского аэроплана, пролетая перед носом такового», трос оборвался. Поэтому, взлетев второй раз на другом самолете, П.Н.Нестеров решил применить наиболее реальное в тогдашних условиях средство уничтожения противника – таран (25147).</w:t>
      </w:r>
    </w:p>
    <w:p w14:paraId="3582CC46" w14:textId="77777777" w:rsidR="00E5170E" w:rsidRPr="00B52707" w:rsidRDefault="00E5170E" w:rsidP="00E5170E">
      <w:pPr>
        <w:jc w:val="both"/>
        <w:rPr>
          <w:color w:val="0070C0"/>
          <w:sz w:val="16"/>
          <w:szCs w:val="16"/>
        </w:rPr>
      </w:pPr>
    </w:p>
    <w:p w14:paraId="6EEE8469" w14:textId="78816808" w:rsidR="003A7535" w:rsidRPr="00DE096C" w:rsidRDefault="003A7535" w:rsidP="003A7535">
      <w:pPr>
        <w:jc w:val="both"/>
        <w:rPr>
          <w:bCs/>
          <w:i/>
          <w:color w:val="002060"/>
          <w:sz w:val="16"/>
          <w:szCs w:val="16"/>
        </w:rPr>
      </w:pPr>
      <w:r>
        <w:rPr>
          <w:bCs/>
          <w:i/>
          <w:color w:val="002060"/>
          <w:sz w:val="16"/>
          <w:szCs w:val="16"/>
        </w:rPr>
        <w:t>Друние оборонные отрасли</w:t>
      </w:r>
      <w:r w:rsidRPr="00DE096C">
        <w:rPr>
          <w:bCs/>
          <w:i/>
          <w:color w:val="002060"/>
          <w:sz w:val="16"/>
          <w:szCs w:val="16"/>
        </w:rPr>
        <w:t>:</w:t>
      </w:r>
    </w:p>
    <w:p w14:paraId="4F5A9DC4" w14:textId="77777777" w:rsidR="003A7535" w:rsidRPr="00DE096C" w:rsidRDefault="003A7535" w:rsidP="003A7535">
      <w:pPr>
        <w:jc w:val="both"/>
        <w:rPr>
          <w:bCs/>
          <w:i/>
          <w:color w:val="002060"/>
          <w:sz w:val="16"/>
          <w:szCs w:val="16"/>
        </w:rPr>
      </w:pPr>
    </w:p>
    <w:p w14:paraId="2A10C615" w14:textId="77777777" w:rsidR="003A7535" w:rsidRPr="00B52707" w:rsidRDefault="003A7535" w:rsidP="003A7535">
      <w:pPr>
        <w:jc w:val="both"/>
        <w:rPr>
          <w:color w:val="0070C0"/>
          <w:sz w:val="16"/>
          <w:szCs w:val="16"/>
        </w:rPr>
      </w:pPr>
      <w:r w:rsidRPr="00B52707">
        <w:rPr>
          <w:color w:val="0070C0"/>
          <w:sz w:val="16"/>
          <w:szCs w:val="16"/>
        </w:rPr>
        <w:t>26 августа (8 сентября) 1914 г. комиссия прибыла в Лондон и присту</w:t>
      </w:r>
      <w:r w:rsidRPr="00B52707">
        <w:rPr>
          <w:color w:val="0070C0"/>
          <w:sz w:val="16"/>
          <w:szCs w:val="16"/>
        </w:rPr>
        <w:softHyphen/>
        <w:t>пила к приобретению автомобилей. В общем можно сказать, что возложенное на нее поручение было выполнено неудачно.</w:t>
      </w:r>
    </w:p>
    <w:p w14:paraId="608BCA7A" w14:textId="77777777" w:rsidR="003A7535" w:rsidRPr="00B52707" w:rsidRDefault="003A7535" w:rsidP="003A7535">
      <w:pPr>
        <w:jc w:val="both"/>
        <w:rPr>
          <w:color w:val="0070C0"/>
          <w:sz w:val="16"/>
          <w:szCs w:val="16"/>
        </w:rPr>
      </w:pPr>
      <w:r w:rsidRPr="00B52707">
        <w:rPr>
          <w:color w:val="0070C0"/>
          <w:sz w:val="16"/>
          <w:szCs w:val="16"/>
        </w:rPr>
        <w:t>При приобретении автомобилей комиссия отчасти вхо</w:t>
      </w:r>
      <w:r w:rsidRPr="00B52707">
        <w:rPr>
          <w:color w:val="0070C0"/>
          <w:sz w:val="16"/>
          <w:szCs w:val="16"/>
        </w:rPr>
        <w:softHyphen/>
        <w:t>дила в непосредственные сношения с заводами, а отчасти прибегала к услугам посредников. Так, были приобретены автомобили завода Бурфорд через посредническую фирму Конрад-Хол, которая обязалась поставить 96 автомобилей, но сдала комиссии только 30, вследствие того, что, по не</w:t>
      </w:r>
      <w:r w:rsidRPr="00B52707">
        <w:rPr>
          <w:color w:val="0070C0"/>
          <w:sz w:val="16"/>
          <w:szCs w:val="16"/>
        </w:rPr>
        <w:softHyphen/>
        <w:t>имению средств, не могла заплатить заводу деньги за остальные автомобили. Затем, через посредство комиссио</w:t>
      </w:r>
      <w:r w:rsidRPr="00B52707">
        <w:rPr>
          <w:color w:val="0070C0"/>
          <w:sz w:val="16"/>
          <w:szCs w:val="16"/>
        </w:rPr>
        <w:softHyphen/>
        <w:t>нера Гастона были приобретены автомобили американских заводов Уайт, Паккард и Джеферри. Приобретение автомо</w:t>
      </w:r>
      <w:r w:rsidRPr="00B52707">
        <w:rPr>
          <w:color w:val="0070C0"/>
          <w:sz w:val="16"/>
          <w:szCs w:val="16"/>
        </w:rPr>
        <w:softHyphen/>
        <w:t>билей через посредников, конечно, не могло быть выгодным для казны, так как им приходилось платить за их посред</w:t>
      </w:r>
      <w:r w:rsidRPr="00B52707">
        <w:rPr>
          <w:color w:val="0070C0"/>
          <w:sz w:val="16"/>
          <w:szCs w:val="16"/>
        </w:rPr>
        <w:softHyphen/>
        <w:t>нические услуги: Так, напр., рекомендованная английским послом Британская Инженерная Компания получила за свое посредничество 15°/о.</w:t>
      </w:r>
    </w:p>
    <w:p w14:paraId="6DE382A9" w14:textId="77777777" w:rsidR="003A7535" w:rsidRPr="00B52707" w:rsidRDefault="003A7535" w:rsidP="003A7535">
      <w:pPr>
        <w:jc w:val="both"/>
        <w:rPr>
          <w:color w:val="0070C0"/>
          <w:sz w:val="16"/>
          <w:szCs w:val="16"/>
        </w:rPr>
      </w:pPr>
      <w:r w:rsidRPr="00B52707">
        <w:rPr>
          <w:color w:val="0070C0"/>
          <w:sz w:val="16"/>
          <w:szCs w:val="16"/>
        </w:rPr>
        <w:t>Вообще нужно заметить, что широко практиковавшийся во время войны способ приобретения предметов воинского снабжения через посредников, пользовавшихся нуждой рус</w:t>
      </w:r>
      <w:r w:rsidRPr="00B52707">
        <w:rPr>
          <w:color w:val="0070C0"/>
          <w:sz w:val="16"/>
          <w:szCs w:val="16"/>
        </w:rPr>
        <w:softHyphen/>
        <w:t>ской армии в этих предметах и чрезмерно обогащавшихся от получаемых ими заказов, обошелся царской России пе дешево.</w:t>
      </w:r>
    </w:p>
    <w:p w14:paraId="4C186D27" w14:textId="77777777" w:rsidR="003A7535" w:rsidRPr="00B52707" w:rsidRDefault="003A7535" w:rsidP="003A7535">
      <w:pPr>
        <w:jc w:val="both"/>
        <w:rPr>
          <w:color w:val="0070C0"/>
          <w:sz w:val="16"/>
          <w:szCs w:val="16"/>
        </w:rPr>
      </w:pPr>
      <w:r w:rsidRPr="00B52707">
        <w:rPr>
          <w:color w:val="0070C0"/>
          <w:sz w:val="16"/>
          <w:szCs w:val="16"/>
        </w:rPr>
        <w:t>По общему правилу, при автомобилях обязательно должны быть запасные части, так как при отсутствии по</w:t>
      </w:r>
      <w:r w:rsidRPr="00B52707">
        <w:rPr>
          <w:color w:val="0070C0"/>
          <w:sz w:val="16"/>
          <w:szCs w:val="16"/>
        </w:rPr>
        <w:softHyphen/>
        <w:t>следних, в случае повреждения той или иной части, авто</w:t>
      </w:r>
      <w:r w:rsidRPr="00B52707">
        <w:rPr>
          <w:color w:val="0070C0"/>
          <w:sz w:val="16"/>
          <w:szCs w:val="16"/>
        </w:rPr>
        <w:softHyphen/>
        <w:t>мобиль приходится иногда ставить на продолжительное время для ремонта в мастерские.</w:t>
      </w:r>
    </w:p>
    <w:p w14:paraId="60205066" w14:textId="77777777" w:rsidR="003A7535" w:rsidRPr="00B52707" w:rsidRDefault="003A7535" w:rsidP="003A7535">
      <w:pPr>
        <w:jc w:val="both"/>
        <w:rPr>
          <w:color w:val="0070C0"/>
          <w:sz w:val="16"/>
          <w:szCs w:val="16"/>
        </w:rPr>
      </w:pPr>
      <w:r w:rsidRPr="00B52707">
        <w:rPr>
          <w:color w:val="0070C0"/>
          <w:sz w:val="16"/>
          <w:szCs w:val="16"/>
        </w:rPr>
        <w:t>Между тем, при заготовке автомобилей в Англии не</w:t>
      </w:r>
      <w:r w:rsidRPr="00B52707">
        <w:rPr>
          <w:color w:val="0070C0"/>
          <w:sz w:val="16"/>
          <w:szCs w:val="16"/>
        </w:rPr>
        <w:softHyphen/>
        <w:t>которые заводы запаздывали доставлять запасные части, и последние грузились не на те пароходы, на которых ра</w:t>
      </w:r>
      <w:r w:rsidRPr="00B52707">
        <w:rPr>
          <w:color w:val="0070C0"/>
          <w:sz w:val="16"/>
          <w:szCs w:val="16"/>
        </w:rPr>
        <w:softHyphen/>
        <w:t>нее погружены были соответствующие, автомобили Кроме того, случаи отправки запасных частей отдельно от автомобилей имели место не только вследствие запоз</w:t>
      </w:r>
      <w:r w:rsidRPr="00B52707">
        <w:rPr>
          <w:color w:val="0070C0"/>
          <w:sz w:val="16"/>
          <w:szCs w:val="16"/>
        </w:rPr>
        <w:softHyphen/>
        <w:t>далой доставки заводами этих частей, но также вследствие беспорядочной погрузки их на пароходы, за которой не было установлено надлежащего наблюдения.</w:t>
      </w:r>
    </w:p>
    <w:p w14:paraId="52B95416" w14:textId="77777777" w:rsidR="003A7535" w:rsidRPr="00B52707" w:rsidRDefault="003A7535" w:rsidP="003A7535">
      <w:pPr>
        <w:jc w:val="both"/>
        <w:rPr>
          <w:color w:val="0070C0"/>
          <w:sz w:val="16"/>
          <w:szCs w:val="16"/>
        </w:rPr>
      </w:pPr>
      <w:r w:rsidRPr="00B52707">
        <w:rPr>
          <w:color w:val="0070C0"/>
          <w:sz w:val="16"/>
          <w:szCs w:val="16"/>
        </w:rPr>
        <w:t>Все контракты с фирмами заключались компссиею нотариальным порядком, при чем указывались сроки по</w:t>
      </w:r>
      <w:r w:rsidRPr="00B52707">
        <w:rPr>
          <w:color w:val="0070C0"/>
          <w:sz w:val="16"/>
          <w:szCs w:val="16"/>
        </w:rPr>
        <w:softHyphen/>
        <w:t>ставки. Фирмы, между прочим, обязывались в годичный срок заменять предметы, поврежденные не по вине лиц, обслуживающих автомобили. Соблюдение указанных в кон</w:t>
      </w:r>
      <w:r w:rsidRPr="00B52707">
        <w:rPr>
          <w:color w:val="0070C0"/>
          <w:sz w:val="16"/>
          <w:szCs w:val="16"/>
        </w:rPr>
        <w:softHyphen/>
        <w:t>тракте условий какими-либо гарантиями не обеспечивалось.</w:t>
      </w:r>
    </w:p>
    <w:p w14:paraId="2ADBB393" w14:textId="77777777" w:rsidR="003A7535" w:rsidRPr="00B52707" w:rsidRDefault="003A7535" w:rsidP="003A7535">
      <w:pPr>
        <w:jc w:val="both"/>
        <w:rPr>
          <w:color w:val="0070C0"/>
          <w:sz w:val="16"/>
          <w:szCs w:val="16"/>
        </w:rPr>
      </w:pPr>
      <w:r w:rsidRPr="00B52707">
        <w:rPr>
          <w:color w:val="0070C0"/>
          <w:sz w:val="16"/>
          <w:szCs w:val="16"/>
        </w:rPr>
        <w:t>Всего заказано было комисси и 1.276 автомобилей, из которых 1.216 были сданы следующими фирмами:</w:t>
      </w:r>
    </w:p>
    <w:tbl>
      <w:tblPr>
        <w:tblOverlap w:val="never"/>
        <w:tblW w:w="0" w:type="auto"/>
        <w:jc w:val="center"/>
        <w:tblLayout w:type="fixed"/>
        <w:tblCellMar>
          <w:left w:w="10" w:type="dxa"/>
          <w:right w:w="10" w:type="dxa"/>
        </w:tblCellMar>
        <w:tblLook w:val="0000" w:firstRow="0" w:lastRow="0" w:firstColumn="0" w:lastColumn="0" w:noHBand="0" w:noVBand="0"/>
      </w:tblPr>
      <w:tblGrid>
        <w:gridCol w:w="2093"/>
        <w:gridCol w:w="1013"/>
        <w:gridCol w:w="2280"/>
        <w:gridCol w:w="792"/>
      </w:tblGrid>
      <w:tr w:rsidR="003A7535" w:rsidRPr="00B52707" w14:paraId="2324951C" w14:textId="77777777" w:rsidTr="00BD0BCB">
        <w:trPr>
          <w:trHeight w:hRule="exact" w:val="422"/>
          <w:jc w:val="center"/>
        </w:trPr>
        <w:tc>
          <w:tcPr>
            <w:tcW w:w="2093" w:type="dxa"/>
            <w:shd w:val="clear" w:color="auto" w:fill="FFFFFF"/>
          </w:tcPr>
          <w:p w14:paraId="4984D13D" w14:textId="77777777" w:rsidR="003A7535" w:rsidRPr="00B52707" w:rsidRDefault="003A7535" w:rsidP="00BD0BCB">
            <w:pPr>
              <w:jc w:val="both"/>
              <w:rPr>
                <w:color w:val="0070C0"/>
                <w:sz w:val="16"/>
                <w:szCs w:val="16"/>
              </w:rPr>
            </w:pPr>
            <w:r w:rsidRPr="00B52707">
              <w:rPr>
                <w:color w:val="0070C0"/>
                <w:sz w:val="16"/>
                <w:szCs w:val="16"/>
              </w:rPr>
              <w:t>Ф и р м а.</w:t>
            </w:r>
          </w:p>
        </w:tc>
        <w:tc>
          <w:tcPr>
            <w:tcW w:w="1013" w:type="dxa"/>
            <w:shd w:val="clear" w:color="auto" w:fill="FFFFFF"/>
          </w:tcPr>
          <w:p w14:paraId="075BEBE7" w14:textId="77777777" w:rsidR="003A7535" w:rsidRPr="00B52707" w:rsidRDefault="003A7535" w:rsidP="00BD0BCB">
            <w:pPr>
              <w:jc w:val="both"/>
              <w:rPr>
                <w:color w:val="0070C0"/>
                <w:sz w:val="16"/>
                <w:szCs w:val="16"/>
              </w:rPr>
            </w:pPr>
            <w:r w:rsidRPr="00B52707">
              <w:rPr>
                <w:color w:val="0070C0"/>
                <w:sz w:val="16"/>
                <w:szCs w:val="16"/>
              </w:rPr>
              <w:t>Коли</w:t>
            </w:r>
            <w:r w:rsidRPr="00B52707">
              <w:rPr>
                <w:color w:val="0070C0"/>
                <w:sz w:val="16"/>
                <w:szCs w:val="16"/>
              </w:rPr>
              <w:softHyphen/>
              <w:t>чество.</w:t>
            </w:r>
          </w:p>
        </w:tc>
        <w:tc>
          <w:tcPr>
            <w:tcW w:w="2280" w:type="dxa"/>
            <w:shd w:val="clear" w:color="auto" w:fill="FFFFFF"/>
          </w:tcPr>
          <w:p w14:paraId="6C75AF1E" w14:textId="77777777" w:rsidR="003A7535" w:rsidRPr="00B52707" w:rsidRDefault="003A7535" w:rsidP="00BD0BCB">
            <w:pPr>
              <w:jc w:val="both"/>
              <w:rPr>
                <w:color w:val="0070C0"/>
                <w:sz w:val="16"/>
                <w:szCs w:val="16"/>
              </w:rPr>
            </w:pPr>
            <w:r w:rsidRPr="00B52707">
              <w:rPr>
                <w:color w:val="0070C0"/>
                <w:sz w:val="16"/>
                <w:szCs w:val="16"/>
              </w:rPr>
              <w:t>Фирма.</w:t>
            </w:r>
          </w:p>
        </w:tc>
        <w:tc>
          <w:tcPr>
            <w:tcW w:w="792" w:type="dxa"/>
            <w:shd w:val="clear" w:color="auto" w:fill="FFFFFF"/>
          </w:tcPr>
          <w:p w14:paraId="79CC068F" w14:textId="77777777" w:rsidR="003A7535" w:rsidRPr="00B52707" w:rsidRDefault="003A7535" w:rsidP="00BD0BCB">
            <w:pPr>
              <w:jc w:val="both"/>
              <w:rPr>
                <w:color w:val="0070C0"/>
                <w:sz w:val="16"/>
                <w:szCs w:val="16"/>
              </w:rPr>
            </w:pPr>
            <w:r w:rsidRPr="00B52707">
              <w:rPr>
                <w:color w:val="0070C0"/>
                <w:sz w:val="16"/>
                <w:szCs w:val="16"/>
              </w:rPr>
              <w:t>Коли</w:t>
            </w:r>
            <w:r w:rsidRPr="00B52707">
              <w:rPr>
                <w:color w:val="0070C0"/>
                <w:sz w:val="16"/>
                <w:szCs w:val="16"/>
              </w:rPr>
              <w:softHyphen/>
              <w:t>чество.</w:t>
            </w:r>
          </w:p>
        </w:tc>
      </w:tr>
      <w:tr w:rsidR="003A7535" w:rsidRPr="00B52707" w14:paraId="43836F46" w14:textId="77777777" w:rsidTr="00BD0BCB">
        <w:trPr>
          <w:trHeight w:hRule="exact" w:val="283"/>
          <w:jc w:val="center"/>
        </w:trPr>
        <w:tc>
          <w:tcPr>
            <w:tcW w:w="2093" w:type="dxa"/>
            <w:shd w:val="clear" w:color="auto" w:fill="FFFFFF"/>
            <w:vAlign w:val="bottom"/>
          </w:tcPr>
          <w:p w14:paraId="4D792212" w14:textId="77777777" w:rsidR="003A7535" w:rsidRPr="00B52707" w:rsidRDefault="003A7535" w:rsidP="00BD0BCB">
            <w:pPr>
              <w:jc w:val="both"/>
              <w:rPr>
                <w:color w:val="0070C0"/>
                <w:sz w:val="16"/>
                <w:szCs w:val="16"/>
              </w:rPr>
            </w:pPr>
            <w:r w:rsidRPr="00B52707">
              <w:rPr>
                <w:color w:val="0070C0"/>
                <w:sz w:val="16"/>
                <w:szCs w:val="16"/>
              </w:rPr>
              <w:t>Остин</w:t>
            </w:r>
            <w:r w:rsidRPr="00B52707">
              <w:rPr>
                <w:color w:val="0070C0"/>
                <w:sz w:val="16"/>
                <w:szCs w:val="16"/>
              </w:rPr>
              <w:tab/>
            </w:r>
          </w:p>
        </w:tc>
        <w:tc>
          <w:tcPr>
            <w:tcW w:w="1013" w:type="dxa"/>
            <w:shd w:val="clear" w:color="auto" w:fill="FFFFFF"/>
            <w:vAlign w:val="bottom"/>
          </w:tcPr>
          <w:p w14:paraId="3B1CF0A5" w14:textId="77777777" w:rsidR="003A7535" w:rsidRPr="00B52707" w:rsidRDefault="003A7535" w:rsidP="00BD0BCB">
            <w:pPr>
              <w:jc w:val="both"/>
              <w:rPr>
                <w:color w:val="0070C0"/>
                <w:sz w:val="16"/>
                <w:szCs w:val="16"/>
              </w:rPr>
            </w:pPr>
            <w:r w:rsidRPr="00B52707">
              <w:rPr>
                <w:color w:val="0070C0"/>
                <w:sz w:val="16"/>
                <w:szCs w:val="16"/>
              </w:rPr>
              <w:t>212</w:t>
            </w:r>
          </w:p>
        </w:tc>
        <w:tc>
          <w:tcPr>
            <w:tcW w:w="2280" w:type="dxa"/>
            <w:shd w:val="clear" w:color="auto" w:fill="FFFFFF"/>
            <w:vAlign w:val="bottom"/>
          </w:tcPr>
          <w:p w14:paraId="6048B731" w14:textId="77777777" w:rsidR="003A7535" w:rsidRPr="00B52707" w:rsidRDefault="003A7535" w:rsidP="00BD0BCB">
            <w:pPr>
              <w:jc w:val="both"/>
              <w:rPr>
                <w:color w:val="0070C0"/>
                <w:sz w:val="16"/>
                <w:szCs w:val="16"/>
              </w:rPr>
            </w:pPr>
            <w:r w:rsidRPr="00B52707">
              <w:rPr>
                <w:color w:val="0070C0"/>
                <w:sz w:val="16"/>
                <w:szCs w:val="16"/>
              </w:rPr>
              <w:t xml:space="preserve">Нзпир </w:t>
            </w:r>
            <w:r w:rsidRPr="00B52707">
              <w:rPr>
                <w:color w:val="0070C0"/>
                <w:sz w:val="16"/>
                <w:szCs w:val="16"/>
              </w:rPr>
              <w:tab/>
            </w:r>
          </w:p>
        </w:tc>
        <w:tc>
          <w:tcPr>
            <w:tcW w:w="792" w:type="dxa"/>
            <w:shd w:val="clear" w:color="auto" w:fill="FFFFFF"/>
            <w:vAlign w:val="bottom"/>
          </w:tcPr>
          <w:p w14:paraId="60A8B70E" w14:textId="77777777" w:rsidR="003A7535" w:rsidRPr="00B52707" w:rsidRDefault="003A7535" w:rsidP="00BD0BCB">
            <w:pPr>
              <w:jc w:val="both"/>
              <w:rPr>
                <w:color w:val="0070C0"/>
                <w:sz w:val="16"/>
                <w:szCs w:val="16"/>
              </w:rPr>
            </w:pPr>
            <w:r w:rsidRPr="00B52707">
              <w:rPr>
                <w:color w:val="0070C0"/>
                <w:sz w:val="16"/>
                <w:szCs w:val="16"/>
              </w:rPr>
              <w:t>. .</w:t>
            </w:r>
            <w:r w:rsidRPr="00B52707">
              <w:rPr>
                <w:color w:val="0070C0"/>
                <w:sz w:val="16"/>
                <w:szCs w:val="16"/>
              </w:rPr>
              <w:tab/>
              <w:t>121</w:t>
            </w:r>
          </w:p>
        </w:tc>
      </w:tr>
      <w:tr w:rsidR="003A7535" w:rsidRPr="00B52707" w14:paraId="5E0979BB" w14:textId="77777777" w:rsidTr="00BD0BCB">
        <w:trPr>
          <w:trHeight w:hRule="exact" w:val="254"/>
          <w:jc w:val="center"/>
        </w:trPr>
        <w:tc>
          <w:tcPr>
            <w:tcW w:w="2093" w:type="dxa"/>
            <w:tcBorders>
              <w:top w:val="single" w:sz="4" w:space="0" w:color="auto"/>
            </w:tcBorders>
            <w:shd w:val="clear" w:color="auto" w:fill="FFFFFF"/>
          </w:tcPr>
          <w:p w14:paraId="2450AC72" w14:textId="77777777" w:rsidR="003A7535" w:rsidRPr="00B52707" w:rsidRDefault="003A7535" w:rsidP="00BD0BCB">
            <w:pPr>
              <w:jc w:val="both"/>
              <w:rPr>
                <w:color w:val="0070C0"/>
                <w:sz w:val="16"/>
                <w:szCs w:val="16"/>
              </w:rPr>
            </w:pPr>
            <w:r w:rsidRPr="00B52707">
              <w:rPr>
                <w:color w:val="0070C0"/>
                <w:sz w:val="16"/>
                <w:szCs w:val="16"/>
              </w:rPr>
              <w:t xml:space="preserve">Бианки </w:t>
            </w:r>
            <w:r w:rsidRPr="00B52707">
              <w:rPr>
                <w:color w:val="0070C0"/>
                <w:sz w:val="16"/>
                <w:szCs w:val="16"/>
              </w:rPr>
              <w:tab/>
            </w:r>
          </w:p>
        </w:tc>
        <w:tc>
          <w:tcPr>
            <w:tcW w:w="1013" w:type="dxa"/>
            <w:tcBorders>
              <w:top w:val="single" w:sz="4" w:space="0" w:color="auto"/>
            </w:tcBorders>
            <w:shd w:val="clear" w:color="auto" w:fill="FFFFFF"/>
          </w:tcPr>
          <w:p w14:paraId="45F446FD" w14:textId="77777777" w:rsidR="003A7535" w:rsidRPr="00B52707" w:rsidRDefault="003A7535" w:rsidP="00BD0BCB">
            <w:pPr>
              <w:jc w:val="both"/>
              <w:rPr>
                <w:color w:val="0070C0"/>
                <w:sz w:val="16"/>
                <w:szCs w:val="16"/>
              </w:rPr>
            </w:pPr>
            <w:r w:rsidRPr="00B52707">
              <w:rPr>
                <w:color w:val="0070C0"/>
                <w:sz w:val="16"/>
                <w:szCs w:val="16"/>
              </w:rPr>
              <w:t>20</w:t>
            </w:r>
          </w:p>
        </w:tc>
        <w:tc>
          <w:tcPr>
            <w:tcW w:w="2280" w:type="dxa"/>
            <w:tcBorders>
              <w:top w:val="single" w:sz="4" w:space="0" w:color="auto"/>
            </w:tcBorders>
            <w:shd w:val="clear" w:color="auto" w:fill="FFFFFF"/>
          </w:tcPr>
          <w:p w14:paraId="47542CE1" w14:textId="77777777" w:rsidR="003A7535" w:rsidRPr="00B52707" w:rsidRDefault="003A7535" w:rsidP="00BD0BCB">
            <w:pPr>
              <w:jc w:val="both"/>
              <w:rPr>
                <w:color w:val="0070C0"/>
                <w:sz w:val="16"/>
                <w:szCs w:val="16"/>
              </w:rPr>
            </w:pPr>
            <w:r w:rsidRPr="00B52707">
              <w:rPr>
                <w:color w:val="0070C0"/>
                <w:sz w:val="16"/>
                <w:szCs w:val="16"/>
              </w:rPr>
              <w:t>Рено</w:t>
            </w:r>
            <w:r w:rsidRPr="00B52707">
              <w:rPr>
                <w:color w:val="0070C0"/>
                <w:sz w:val="16"/>
                <w:szCs w:val="16"/>
              </w:rPr>
              <w:tab/>
            </w:r>
          </w:p>
        </w:tc>
        <w:tc>
          <w:tcPr>
            <w:tcW w:w="792" w:type="dxa"/>
            <w:tcBorders>
              <w:top w:val="single" w:sz="4" w:space="0" w:color="auto"/>
            </w:tcBorders>
            <w:shd w:val="clear" w:color="auto" w:fill="FFFFFF"/>
          </w:tcPr>
          <w:p w14:paraId="034A8CD5" w14:textId="77777777" w:rsidR="003A7535" w:rsidRPr="00B52707" w:rsidRDefault="003A7535" w:rsidP="00BD0BCB">
            <w:pPr>
              <w:jc w:val="both"/>
              <w:rPr>
                <w:color w:val="0070C0"/>
                <w:sz w:val="16"/>
                <w:szCs w:val="16"/>
              </w:rPr>
            </w:pPr>
            <w:r w:rsidRPr="00B52707">
              <w:rPr>
                <w:color w:val="0070C0"/>
                <w:sz w:val="16"/>
                <w:szCs w:val="16"/>
              </w:rPr>
              <w:t>. .</w:t>
            </w:r>
            <w:r w:rsidRPr="00B52707">
              <w:rPr>
                <w:color w:val="0070C0"/>
                <w:sz w:val="16"/>
                <w:szCs w:val="16"/>
              </w:rPr>
              <w:tab/>
              <w:t>55</w:t>
            </w:r>
          </w:p>
        </w:tc>
      </w:tr>
      <w:tr w:rsidR="003A7535" w:rsidRPr="00B52707" w14:paraId="34BBC87B" w14:textId="77777777" w:rsidTr="00BD0BCB">
        <w:trPr>
          <w:trHeight w:hRule="exact" w:val="264"/>
          <w:jc w:val="center"/>
        </w:trPr>
        <w:tc>
          <w:tcPr>
            <w:tcW w:w="2093" w:type="dxa"/>
            <w:tcBorders>
              <w:top w:val="single" w:sz="4" w:space="0" w:color="auto"/>
            </w:tcBorders>
            <w:shd w:val="clear" w:color="auto" w:fill="FFFFFF"/>
          </w:tcPr>
          <w:p w14:paraId="2C8FD72D" w14:textId="77777777" w:rsidR="003A7535" w:rsidRPr="00B52707" w:rsidRDefault="003A7535" w:rsidP="00BD0BCB">
            <w:pPr>
              <w:jc w:val="both"/>
              <w:rPr>
                <w:color w:val="0070C0"/>
                <w:sz w:val="16"/>
                <w:szCs w:val="16"/>
              </w:rPr>
            </w:pPr>
            <w:r w:rsidRPr="00B52707">
              <w:rPr>
                <w:color w:val="0070C0"/>
                <w:sz w:val="16"/>
                <w:szCs w:val="16"/>
              </w:rPr>
              <w:t xml:space="preserve">Бурфорд </w:t>
            </w:r>
            <w:r w:rsidRPr="00B52707">
              <w:rPr>
                <w:color w:val="0070C0"/>
                <w:sz w:val="16"/>
                <w:szCs w:val="16"/>
              </w:rPr>
              <w:tab/>
            </w:r>
          </w:p>
        </w:tc>
        <w:tc>
          <w:tcPr>
            <w:tcW w:w="1013" w:type="dxa"/>
            <w:tcBorders>
              <w:top w:val="single" w:sz="4" w:space="0" w:color="auto"/>
            </w:tcBorders>
            <w:shd w:val="clear" w:color="auto" w:fill="FFFFFF"/>
          </w:tcPr>
          <w:p w14:paraId="253E9478" w14:textId="77777777" w:rsidR="003A7535" w:rsidRPr="00B52707" w:rsidRDefault="003A7535" w:rsidP="00BD0BCB">
            <w:pPr>
              <w:jc w:val="both"/>
              <w:rPr>
                <w:color w:val="0070C0"/>
                <w:sz w:val="16"/>
                <w:szCs w:val="16"/>
              </w:rPr>
            </w:pPr>
            <w:r w:rsidRPr="00B52707">
              <w:rPr>
                <w:color w:val="0070C0"/>
                <w:sz w:val="16"/>
                <w:szCs w:val="16"/>
              </w:rPr>
              <w:t>30</w:t>
            </w:r>
          </w:p>
        </w:tc>
        <w:tc>
          <w:tcPr>
            <w:tcW w:w="2280" w:type="dxa"/>
            <w:tcBorders>
              <w:top w:val="single" w:sz="4" w:space="0" w:color="auto"/>
            </w:tcBorders>
            <w:shd w:val="clear" w:color="auto" w:fill="FFFFFF"/>
          </w:tcPr>
          <w:p w14:paraId="6CD27F21" w14:textId="77777777" w:rsidR="003A7535" w:rsidRPr="00B52707" w:rsidRDefault="003A7535" w:rsidP="00BD0BCB">
            <w:pPr>
              <w:jc w:val="both"/>
              <w:rPr>
                <w:color w:val="0070C0"/>
                <w:sz w:val="16"/>
                <w:szCs w:val="16"/>
              </w:rPr>
            </w:pPr>
            <w:r w:rsidRPr="00B52707">
              <w:rPr>
                <w:color w:val="0070C0"/>
                <w:sz w:val="16"/>
                <w:szCs w:val="16"/>
              </w:rPr>
              <w:t xml:space="preserve">Санбнм </w:t>
            </w:r>
            <w:r w:rsidRPr="00B52707">
              <w:rPr>
                <w:color w:val="0070C0"/>
                <w:sz w:val="16"/>
                <w:szCs w:val="16"/>
              </w:rPr>
              <w:tab/>
            </w:r>
          </w:p>
        </w:tc>
        <w:tc>
          <w:tcPr>
            <w:tcW w:w="792" w:type="dxa"/>
            <w:tcBorders>
              <w:top w:val="single" w:sz="4" w:space="0" w:color="auto"/>
            </w:tcBorders>
            <w:shd w:val="clear" w:color="auto" w:fill="FFFFFF"/>
          </w:tcPr>
          <w:p w14:paraId="62641663" w14:textId="77777777" w:rsidR="003A7535" w:rsidRPr="00B52707" w:rsidRDefault="003A7535" w:rsidP="00BD0BCB">
            <w:pPr>
              <w:jc w:val="both"/>
              <w:rPr>
                <w:color w:val="0070C0"/>
                <w:sz w:val="16"/>
                <w:szCs w:val="16"/>
              </w:rPr>
            </w:pPr>
            <w:r w:rsidRPr="00B52707">
              <w:rPr>
                <w:color w:val="0070C0"/>
                <w:sz w:val="16"/>
                <w:szCs w:val="16"/>
              </w:rPr>
              <w:t>. .</w:t>
            </w:r>
            <w:r w:rsidRPr="00B52707">
              <w:rPr>
                <w:color w:val="0070C0"/>
                <w:sz w:val="16"/>
                <w:szCs w:val="16"/>
              </w:rPr>
              <w:tab/>
              <w:t>33</w:t>
            </w:r>
          </w:p>
        </w:tc>
      </w:tr>
      <w:tr w:rsidR="003A7535" w:rsidRPr="00B52707" w14:paraId="20F82F7C" w14:textId="77777777" w:rsidTr="00BD0BCB">
        <w:trPr>
          <w:trHeight w:hRule="exact" w:val="254"/>
          <w:jc w:val="center"/>
        </w:trPr>
        <w:tc>
          <w:tcPr>
            <w:tcW w:w="2093" w:type="dxa"/>
            <w:shd w:val="clear" w:color="auto" w:fill="FFFFFF"/>
          </w:tcPr>
          <w:p w14:paraId="2306DB78" w14:textId="77777777" w:rsidR="003A7535" w:rsidRPr="00B52707" w:rsidRDefault="003A7535" w:rsidP="00BD0BCB">
            <w:pPr>
              <w:jc w:val="both"/>
              <w:rPr>
                <w:color w:val="0070C0"/>
                <w:sz w:val="16"/>
                <w:szCs w:val="16"/>
              </w:rPr>
            </w:pPr>
            <w:r w:rsidRPr="00B52707">
              <w:rPr>
                <w:color w:val="0070C0"/>
                <w:sz w:val="16"/>
                <w:szCs w:val="16"/>
              </w:rPr>
              <w:t xml:space="preserve">Бельсайз </w:t>
            </w:r>
            <w:r w:rsidRPr="00B52707">
              <w:rPr>
                <w:color w:val="0070C0"/>
                <w:sz w:val="16"/>
                <w:szCs w:val="16"/>
              </w:rPr>
              <w:tab/>
            </w:r>
          </w:p>
        </w:tc>
        <w:tc>
          <w:tcPr>
            <w:tcW w:w="1013" w:type="dxa"/>
            <w:shd w:val="clear" w:color="auto" w:fill="FFFFFF"/>
          </w:tcPr>
          <w:p w14:paraId="591E5AB1" w14:textId="77777777" w:rsidR="003A7535" w:rsidRPr="00B52707" w:rsidRDefault="003A7535" w:rsidP="00BD0BCB">
            <w:pPr>
              <w:jc w:val="both"/>
              <w:rPr>
                <w:color w:val="0070C0"/>
                <w:sz w:val="16"/>
                <w:szCs w:val="16"/>
              </w:rPr>
            </w:pPr>
            <w:r w:rsidRPr="00B52707">
              <w:rPr>
                <w:color w:val="0070C0"/>
                <w:sz w:val="16"/>
                <w:szCs w:val="16"/>
              </w:rPr>
              <w:t>8</w:t>
            </w:r>
          </w:p>
        </w:tc>
        <w:tc>
          <w:tcPr>
            <w:tcW w:w="2280" w:type="dxa"/>
            <w:tcBorders>
              <w:top w:val="single" w:sz="4" w:space="0" w:color="auto"/>
            </w:tcBorders>
            <w:shd w:val="clear" w:color="auto" w:fill="FFFFFF"/>
          </w:tcPr>
          <w:p w14:paraId="7C8A18CE" w14:textId="77777777" w:rsidR="003A7535" w:rsidRPr="00B52707" w:rsidRDefault="003A7535" w:rsidP="00BD0BCB">
            <w:pPr>
              <w:jc w:val="both"/>
              <w:rPr>
                <w:color w:val="0070C0"/>
                <w:sz w:val="16"/>
                <w:szCs w:val="16"/>
              </w:rPr>
            </w:pPr>
            <w:r w:rsidRPr="00B52707">
              <w:rPr>
                <w:color w:val="0070C0"/>
                <w:sz w:val="16"/>
                <w:szCs w:val="16"/>
              </w:rPr>
              <w:t>Сидд.тей-Дези</w:t>
            </w:r>
            <w:r w:rsidRPr="00B52707">
              <w:rPr>
                <w:color w:val="0070C0"/>
                <w:sz w:val="16"/>
                <w:szCs w:val="16"/>
              </w:rPr>
              <w:tab/>
            </w:r>
          </w:p>
        </w:tc>
        <w:tc>
          <w:tcPr>
            <w:tcW w:w="792" w:type="dxa"/>
            <w:tcBorders>
              <w:top w:val="single" w:sz="4" w:space="0" w:color="auto"/>
            </w:tcBorders>
            <w:shd w:val="clear" w:color="auto" w:fill="FFFFFF"/>
          </w:tcPr>
          <w:p w14:paraId="58E6953D" w14:textId="77777777" w:rsidR="003A7535" w:rsidRPr="00B52707" w:rsidRDefault="003A7535" w:rsidP="00BD0BCB">
            <w:pPr>
              <w:jc w:val="both"/>
              <w:rPr>
                <w:color w:val="0070C0"/>
                <w:sz w:val="16"/>
                <w:szCs w:val="16"/>
              </w:rPr>
            </w:pPr>
            <w:r w:rsidRPr="00B52707">
              <w:rPr>
                <w:color w:val="0070C0"/>
                <w:sz w:val="16"/>
                <w:szCs w:val="16"/>
              </w:rPr>
              <w:t>. .</w:t>
            </w:r>
            <w:r w:rsidRPr="00B52707">
              <w:rPr>
                <w:color w:val="0070C0"/>
                <w:sz w:val="16"/>
                <w:szCs w:val="16"/>
              </w:rPr>
              <w:tab/>
              <w:t>75</w:t>
            </w:r>
          </w:p>
        </w:tc>
      </w:tr>
      <w:tr w:rsidR="003A7535" w:rsidRPr="00B52707" w14:paraId="51FC9150" w14:textId="77777777" w:rsidTr="00BD0BCB">
        <w:trPr>
          <w:trHeight w:hRule="exact" w:val="264"/>
          <w:jc w:val="center"/>
        </w:trPr>
        <w:tc>
          <w:tcPr>
            <w:tcW w:w="2093" w:type="dxa"/>
            <w:tcBorders>
              <w:top w:val="single" w:sz="4" w:space="0" w:color="auto"/>
            </w:tcBorders>
            <w:shd w:val="clear" w:color="auto" w:fill="FFFFFF"/>
          </w:tcPr>
          <w:p w14:paraId="6C427838" w14:textId="77777777" w:rsidR="003A7535" w:rsidRPr="00B52707" w:rsidRDefault="003A7535" w:rsidP="00BD0BCB">
            <w:pPr>
              <w:jc w:val="both"/>
              <w:rPr>
                <w:color w:val="0070C0"/>
                <w:sz w:val="16"/>
                <w:szCs w:val="16"/>
              </w:rPr>
            </w:pPr>
            <w:r w:rsidRPr="00B52707">
              <w:rPr>
                <w:color w:val="0070C0"/>
                <w:sz w:val="16"/>
                <w:szCs w:val="16"/>
              </w:rPr>
              <w:t>Вайтинг-Федераль</w:t>
            </w:r>
          </w:p>
        </w:tc>
        <w:tc>
          <w:tcPr>
            <w:tcW w:w="1013" w:type="dxa"/>
            <w:tcBorders>
              <w:top w:val="single" w:sz="4" w:space="0" w:color="auto"/>
            </w:tcBorders>
            <w:shd w:val="clear" w:color="auto" w:fill="FFFFFF"/>
          </w:tcPr>
          <w:p w14:paraId="4D0AE3D2" w14:textId="77777777" w:rsidR="003A7535" w:rsidRPr="00B52707" w:rsidRDefault="003A7535" w:rsidP="00BD0BCB">
            <w:pPr>
              <w:jc w:val="both"/>
              <w:rPr>
                <w:color w:val="0070C0"/>
                <w:sz w:val="16"/>
                <w:szCs w:val="16"/>
              </w:rPr>
            </w:pPr>
            <w:r w:rsidRPr="00B52707">
              <w:rPr>
                <w:color w:val="0070C0"/>
                <w:sz w:val="16"/>
                <w:szCs w:val="16"/>
              </w:rPr>
              <w:t>45</w:t>
            </w:r>
          </w:p>
        </w:tc>
        <w:tc>
          <w:tcPr>
            <w:tcW w:w="2280" w:type="dxa"/>
            <w:tcBorders>
              <w:top w:val="single" w:sz="4" w:space="0" w:color="auto"/>
            </w:tcBorders>
            <w:shd w:val="clear" w:color="auto" w:fill="FFFFFF"/>
          </w:tcPr>
          <w:p w14:paraId="35D2C349" w14:textId="77777777" w:rsidR="003A7535" w:rsidRPr="00B52707" w:rsidRDefault="003A7535" w:rsidP="00BD0BCB">
            <w:pPr>
              <w:jc w:val="both"/>
              <w:rPr>
                <w:color w:val="0070C0"/>
                <w:sz w:val="16"/>
                <w:szCs w:val="16"/>
              </w:rPr>
            </w:pPr>
            <w:r w:rsidRPr="00B52707">
              <w:rPr>
                <w:color w:val="0070C0"/>
                <w:sz w:val="16"/>
                <w:szCs w:val="16"/>
              </w:rPr>
              <w:t>Шеффильд-Симнлекс . .</w:t>
            </w:r>
          </w:p>
        </w:tc>
        <w:tc>
          <w:tcPr>
            <w:tcW w:w="792" w:type="dxa"/>
            <w:tcBorders>
              <w:top w:val="single" w:sz="4" w:space="0" w:color="auto"/>
            </w:tcBorders>
            <w:shd w:val="clear" w:color="auto" w:fill="FFFFFF"/>
          </w:tcPr>
          <w:p w14:paraId="719A92BF" w14:textId="77777777" w:rsidR="003A7535" w:rsidRPr="00B52707" w:rsidRDefault="003A7535" w:rsidP="00BD0BCB">
            <w:pPr>
              <w:jc w:val="both"/>
              <w:rPr>
                <w:color w:val="0070C0"/>
                <w:sz w:val="16"/>
                <w:szCs w:val="16"/>
              </w:rPr>
            </w:pPr>
            <w:r w:rsidRPr="00B52707">
              <w:rPr>
                <w:color w:val="0070C0"/>
                <w:sz w:val="16"/>
                <w:szCs w:val="16"/>
              </w:rPr>
              <w:t>. .</w:t>
            </w:r>
            <w:r w:rsidRPr="00B52707">
              <w:rPr>
                <w:color w:val="0070C0"/>
                <w:sz w:val="16"/>
                <w:szCs w:val="16"/>
              </w:rPr>
              <w:tab/>
              <w:t>30</w:t>
            </w:r>
          </w:p>
        </w:tc>
      </w:tr>
      <w:tr w:rsidR="003A7535" w:rsidRPr="00B52707" w14:paraId="51A6037B" w14:textId="77777777" w:rsidTr="00BD0BCB">
        <w:trPr>
          <w:trHeight w:hRule="exact" w:val="259"/>
          <w:jc w:val="center"/>
        </w:trPr>
        <w:tc>
          <w:tcPr>
            <w:tcW w:w="2093" w:type="dxa"/>
            <w:shd w:val="clear" w:color="auto" w:fill="FFFFFF"/>
          </w:tcPr>
          <w:p w14:paraId="615F8181" w14:textId="77777777" w:rsidR="003A7535" w:rsidRPr="00B52707" w:rsidRDefault="003A7535" w:rsidP="00BD0BCB">
            <w:pPr>
              <w:jc w:val="both"/>
              <w:rPr>
                <w:color w:val="0070C0"/>
                <w:sz w:val="16"/>
                <w:szCs w:val="16"/>
              </w:rPr>
            </w:pPr>
            <w:r w:rsidRPr="00B52707">
              <w:rPr>
                <w:color w:val="0070C0"/>
                <w:sz w:val="16"/>
                <w:szCs w:val="16"/>
              </w:rPr>
              <w:t xml:space="preserve">Гарфорд </w:t>
            </w:r>
          </w:p>
        </w:tc>
        <w:tc>
          <w:tcPr>
            <w:tcW w:w="1013" w:type="dxa"/>
            <w:shd w:val="clear" w:color="auto" w:fill="FFFFFF"/>
          </w:tcPr>
          <w:p w14:paraId="27F80ABB" w14:textId="77777777" w:rsidR="003A7535" w:rsidRPr="00B52707" w:rsidRDefault="003A7535" w:rsidP="00BD0BCB">
            <w:pPr>
              <w:jc w:val="both"/>
              <w:rPr>
                <w:color w:val="0070C0"/>
                <w:sz w:val="16"/>
                <w:szCs w:val="16"/>
              </w:rPr>
            </w:pPr>
            <w:r w:rsidRPr="00B52707">
              <w:rPr>
                <w:color w:val="0070C0"/>
                <w:sz w:val="16"/>
                <w:szCs w:val="16"/>
              </w:rPr>
              <w:t>140</w:t>
            </w:r>
          </w:p>
        </w:tc>
        <w:tc>
          <w:tcPr>
            <w:tcW w:w="2280" w:type="dxa"/>
            <w:shd w:val="clear" w:color="auto" w:fill="FFFFFF"/>
          </w:tcPr>
          <w:p w14:paraId="71C06BBE" w14:textId="77777777" w:rsidR="003A7535" w:rsidRPr="00B52707" w:rsidRDefault="003A7535" w:rsidP="00BD0BCB">
            <w:pPr>
              <w:jc w:val="both"/>
              <w:rPr>
                <w:color w:val="0070C0"/>
                <w:sz w:val="16"/>
                <w:szCs w:val="16"/>
              </w:rPr>
            </w:pPr>
            <w:r w:rsidRPr="00B52707">
              <w:rPr>
                <w:color w:val="0070C0"/>
                <w:sz w:val="16"/>
                <w:szCs w:val="16"/>
              </w:rPr>
              <w:t xml:space="preserve">Паккард </w:t>
            </w:r>
            <w:r w:rsidRPr="00B52707">
              <w:rPr>
                <w:color w:val="0070C0"/>
                <w:sz w:val="16"/>
                <w:szCs w:val="16"/>
              </w:rPr>
              <w:tab/>
            </w:r>
          </w:p>
        </w:tc>
        <w:tc>
          <w:tcPr>
            <w:tcW w:w="792" w:type="dxa"/>
            <w:shd w:val="clear" w:color="auto" w:fill="FFFFFF"/>
          </w:tcPr>
          <w:p w14:paraId="7DF2409F" w14:textId="77777777" w:rsidR="003A7535" w:rsidRPr="00B52707" w:rsidRDefault="003A7535" w:rsidP="00BD0BCB">
            <w:pPr>
              <w:jc w:val="both"/>
              <w:rPr>
                <w:color w:val="0070C0"/>
                <w:sz w:val="16"/>
                <w:szCs w:val="16"/>
              </w:rPr>
            </w:pPr>
            <w:r w:rsidRPr="00B52707">
              <w:rPr>
                <w:color w:val="0070C0"/>
                <w:sz w:val="16"/>
                <w:szCs w:val="16"/>
              </w:rPr>
              <w:t>. .</w:t>
            </w:r>
            <w:r w:rsidRPr="00B52707">
              <w:rPr>
                <w:color w:val="0070C0"/>
                <w:sz w:val="16"/>
                <w:szCs w:val="16"/>
              </w:rPr>
              <w:tab/>
              <w:t>198</w:t>
            </w:r>
          </w:p>
        </w:tc>
      </w:tr>
      <w:tr w:rsidR="003A7535" w:rsidRPr="00B52707" w14:paraId="026743A2" w14:textId="77777777" w:rsidTr="00BD0BCB">
        <w:trPr>
          <w:trHeight w:hRule="exact" w:val="254"/>
          <w:jc w:val="center"/>
        </w:trPr>
        <w:tc>
          <w:tcPr>
            <w:tcW w:w="2093" w:type="dxa"/>
            <w:tcBorders>
              <w:top w:val="single" w:sz="4" w:space="0" w:color="auto"/>
            </w:tcBorders>
            <w:shd w:val="clear" w:color="auto" w:fill="FFFFFF"/>
          </w:tcPr>
          <w:p w14:paraId="68E058ED" w14:textId="77777777" w:rsidR="003A7535" w:rsidRPr="00B52707" w:rsidRDefault="003A7535" w:rsidP="00BD0BCB">
            <w:pPr>
              <w:jc w:val="both"/>
              <w:rPr>
                <w:color w:val="0070C0"/>
                <w:sz w:val="16"/>
                <w:szCs w:val="16"/>
              </w:rPr>
            </w:pPr>
            <w:r w:rsidRPr="00B52707">
              <w:rPr>
                <w:color w:val="0070C0"/>
                <w:sz w:val="16"/>
                <w:szCs w:val="16"/>
              </w:rPr>
              <w:t>Джефферис</w:t>
            </w:r>
            <w:r w:rsidRPr="00B52707">
              <w:rPr>
                <w:color w:val="0070C0"/>
                <w:sz w:val="16"/>
                <w:szCs w:val="16"/>
              </w:rPr>
              <w:tab/>
            </w:r>
          </w:p>
        </w:tc>
        <w:tc>
          <w:tcPr>
            <w:tcW w:w="1013" w:type="dxa"/>
            <w:tcBorders>
              <w:top w:val="single" w:sz="4" w:space="0" w:color="auto"/>
            </w:tcBorders>
            <w:shd w:val="clear" w:color="auto" w:fill="FFFFFF"/>
          </w:tcPr>
          <w:p w14:paraId="01C074BC" w14:textId="77777777" w:rsidR="003A7535" w:rsidRPr="00B52707" w:rsidRDefault="003A7535" w:rsidP="00BD0BCB">
            <w:pPr>
              <w:jc w:val="both"/>
              <w:rPr>
                <w:color w:val="0070C0"/>
                <w:sz w:val="16"/>
                <w:szCs w:val="16"/>
              </w:rPr>
            </w:pPr>
            <w:r w:rsidRPr="00B52707">
              <w:rPr>
                <w:color w:val="0070C0"/>
                <w:sz w:val="16"/>
                <w:szCs w:val="16"/>
              </w:rPr>
              <w:t>26</w:t>
            </w:r>
          </w:p>
        </w:tc>
        <w:tc>
          <w:tcPr>
            <w:tcW w:w="2280" w:type="dxa"/>
            <w:shd w:val="clear" w:color="auto" w:fill="FFFFFF"/>
          </w:tcPr>
          <w:p w14:paraId="4F4B14B5" w14:textId="77777777" w:rsidR="003A7535" w:rsidRPr="00B52707" w:rsidRDefault="003A7535" w:rsidP="00BD0BCB">
            <w:pPr>
              <w:jc w:val="both"/>
              <w:rPr>
                <w:color w:val="0070C0"/>
                <w:sz w:val="16"/>
                <w:szCs w:val="16"/>
              </w:rPr>
            </w:pPr>
            <w:r w:rsidRPr="00B52707">
              <w:rPr>
                <w:color w:val="0070C0"/>
                <w:sz w:val="16"/>
                <w:szCs w:val="16"/>
              </w:rPr>
              <w:t>Уайт</w:t>
            </w:r>
            <w:r w:rsidRPr="00B52707">
              <w:rPr>
                <w:color w:val="0070C0"/>
                <w:sz w:val="16"/>
                <w:szCs w:val="16"/>
              </w:rPr>
              <w:tab/>
            </w:r>
          </w:p>
        </w:tc>
        <w:tc>
          <w:tcPr>
            <w:tcW w:w="792" w:type="dxa"/>
            <w:shd w:val="clear" w:color="auto" w:fill="FFFFFF"/>
          </w:tcPr>
          <w:p w14:paraId="0E663761" w14:textId="77777777" w:rsidR="003A7535" w:rsidRPr="00B52707" w:rsidRDefault="003A7535" w:rsidP="00BD0BCB">
            <w:pPr>
              <w:jc w:val="both"/>
              <w:rPr>
                <w:color w:val="0070C0"/>
                <w:sz w:val="16"/>
                <w:szCs w:val="16"/>
              </w:rPr>
            </w:pPr>
            <w:r w:rsidRPr="00B52707">
              <w:rPr>
                <w:color w:val="0070C0"/>
                <w:sz w:val="16"/>
                <w:szCs w:val="16"/>
              </w:rPr>
              <w:t>. .</w:t>
            </w:r>
            <w:r w:rsidRPr="00B52707">
              <w:rPr>
                <w:color w:val="0070C0"/>
                <w:sz w:val="16"/>
                <w:szCs w:val="16"/>
              </w:rPr>
              <w:tab/>
              <w:t>70</w:t>
            </w:r>
          </w:p>
        </w:tc>
      </w:tr>
      <w:tr w:rsidR="003A7535" w:rsidRPr="00B52707" w14:paraId="6F2B77FA" w14:textId="77777777" w:rsidTr="00BD0BCB">
        <w:trPr>
          <w:trHeight w:hRule="exact" w:val="250"/>
          <w:jc w:val="center"/>
        </w:trPr>
        <w:tc>
          <w:tcPr>
            <w:tcW w:w="2093" w:type="dxa"/>
            <w:shd w:val="clear" w:color="auto" w:fill="FFFFFF"/>
          </w:tcPr>
          <w:p w14:paraId="4E9A4497" w14:textId="77777777" w:rsidR="003A7535" w:rsidRPr="00B52707" w:rsidRDefault="003A7535" w:rsidP="00BD0BCB">
            <w:pPr>
              <w:jc w:val="both"/>
              <w:rPr>
                <w:color w:val="0070C0"/>
                <w:sz w:val="16"/>
                <w:szCs w:val="16"/>
              </w:rPr>
            </w:pPr>
            <w:r w:rsidRPr="00B52707">
              <w:rPr>
                <w:color w:val="0070C0"/>
                <w:sz w:val="16"/>
                <w:szCs w:val="16"/>
              </w:rPr>
              <w:t>Изото-Фраскини</w:t>
            </w:r>
            <w:r w:rsidRPr="00B52707">
              <w:rPr>
                <w:color w:val="0070C0"/>
                <w:sz w:val="16"/>
                <w:szCs w:val="16"/>
              </w:rPr>
              <w:tab/>
            </w:r>
          </w:p>
        </w:tc>
        <w:tc>
          <w:tcPr>
            <w:tcW w:w="1013" w:type="dxa"/>
            <w:shd w:val="clear" w:color="auto" w:fill="FFFFFF"/>
          </w:tcPr>
          <w:p w14:paraId="0F462B2E" w14:textId="77777777" w:rsidR="003A7535" w:rsidRPr="00B52707" w:rsidRDefault="003A7535" w:rsidP="00BD0BCB">
            <w:pPr>
              <w:jc w:val="both"/>
              <w:rPr>
                <w:color w:val="0070C0"/>
                <w:sz w:val="16"/>
                <w:szCs w:val="16"/>
              </w:rPr>
            </w:pPr>
            <w:r w:rsidRPr="00B52707">
              <w:rPr>
                <w:color w:val="0070C0"/>
                <w:sz w:val="16"/>
                <w:szCs w:val="16"/>
              </w:rPr>
              <w:t>1</w:t>
            </w:r>
          </w:p>
        </w:tc>
        <w:tc>
          <w:tcPr>
            <w:tcW w:w="2280" w:type="dxa"/>
            <w:shd w:val="clear" w:color="auto" w:fill="FFFFFF"/>
          </w:tcPr>
          <w:p w14:paraId="11F3316C" w14:textId="77777777" w:rsidR="003A7535" w:rsidRPr="00B52707" w:rsidRDefault="003A7535" w:rsidP="00BD0BCB">
            <w:pPr>
              <w:jc w:val="both"/>
              <w:rPr>
                <w:color w:val="0070C0"/>
                <w:sz w:val="16"/>
                <w:szCs w:val="16"/>
              </w:rPr>
            </w:pPr>
            <w:r w:rsidRPr="00B52707">
              <w:rPr>
                <w:color w:val="0070C0"/>
                <w:sz w:val="16"/>
                <w:szCs w:val="16"/>
              </w:rPr>
              <w:t>Фиат</w:t>
            </w:r>
            <w:r w:rsidRPr="00B52707">
              <w:rPr>
                <w:color w:val="0070C0"/>
                <w:sz w:val="16"/>
                <w:szCs w:val="16"/>
              </w:rPr>
              <w:tab/>
            </w:r>
          </w:p>
        </w:tc>
        <w:tc>
          <w:tcPr>
            <w:tcW w:w="792" w:type="dxa"/>
            <w:shd w:val="clear" w:color="auto" w:fill="FFFFFF"/>
          </w:tcPr>
          <w:p w14:paraId="39BBA811" w14:textId="77777777" w:rsidR="003A7535" w:rsidRPr="00B52707" w:rsidRDefault="003A7535" w:rsidP="00BD0BCB">
            <w:pPr>
              <w:jc w:val="both"/>
              <w:rPr>
                <w:color w:val="0070C0"/>
                <w:sz w:val="16"/>
                <w:szCs w:val="16"/>
              </w:rPr>
            </w:pPr>
            <w:r w:rsidRPr="00B52707">
              <w:rPr>
                <w:color w:val="0070C0"/>
                <w:sz w:val="16"/>
                <w:szCs w:val="16"/>
              </w:rPr>
              <w:t>. .</w:t>
            </w:r>
            <w:r w:rsidRPr="00B52707">
              <w:rPr>
                <w:color w:val="0070C0"/>
                <w:sz w:val="16"/>
                <w:szCs w:val="16"/>
              </w:rPr>
              <w:tab/>
              <w:t>74</w:t>
            </w:r>
          </w:p>
        </w:tc>
      </w:tr>
      <w:tr w:rsidR="003A7535" w:rsidRPr="00B52707" w14:paraId="06C73B5D" w14:textId="77777777" w:rsidTr="00BD0BCB">
        <w:trPr>
          <w:trHeight w:hRule="exact" w:val="264"/>
          <w:jc w:val="center"/>
        </w:trPr>
        <w:tc>
          <w:tcPr>
            <w:tcW w:w="2093" w:type="dxa"/>
            <w:tcBorders>
              <w:top w:val="single" w:sz="4" w:space="0" w:color="auto"/>
            </w:tcBorders>
            <w:shd w:val="clear" w:color="auto" w:fill="FFFFFF"/>
          </w:tcPr>
          <w:p w14:paraId="71A6AFEC" w14:textId="77777777" w:rsidR="003A7535" w:rsidRPr="00B52707" w:rsidRDefault="003A7535" w:rsidP="00BD0BCB">
            <w:pPr>
              <w:jc w:val="both"/>
              <w:rPr>
                <w:color w:val="0070C0"/>
                <w:sz w:val="16"/>
                <w:szCs w:val="16"/>
              </w:rPr>
            </w:pPr>
            <w:r w:rsidRPr="00B52707">
              <w:rPr>
                <w:color w:val="0070C0"/>
                <w:sz w:val="16"/>
                <w:szCs w:val="16"/>
              </w:rPr>
              <w:t>Кросслей</w:t>
            </w:r>
            <w:r w:rsidRPr="00B52707">
              <w:rPr>
                <w:color w:val="0070C0"/>
                <w:sz w:val="16"/>
                <w:szCs w:val="16"/>
              </w:rPr>
              <w:tab/>
            </w:r>
          </w:p>
        </w:tc>
        <w:tc>
          <w:tcPr>
            <w:tcW w:w="1013" w:type="dxa"/>
            <w:tcBorders>
              <w:top w:val="single" w:sz="4" w:space="0" w:color="auto"/>
            </w:tcBorders>
            <w:shd w:val="clear" w:color="auto" w:fill="FFFFFF"/>
          </w:tcPr>
          <w:p w14:paraId="22B7E58D" w14:textId="77777777" w:rsidR="003A7535" w:rsidRPr="00B52707" w:rsidRDefault="003A7535" w:rsidP="00BD0BCB">
            <w:pPr>
              <w:jc w:val="both"/>
              <w:rPr>
                <w:color w:val="0070C0"/>
                <w:sz w:val="16"/>
                <w:szCs w:val="16"/>
              </w:rPr>
            </w:pPr>
            <w:r w:rsidRPr="00B52707">
              <w:rPr>
                <w:color w:val="0070C0"/>
                <w:sz w:val="16"/>
                <w:szCs w:val="16"/>
              </w:rPr>
              <w:t>45</w:t>
            </w:r>
          </w:p>
        </w:tc>
        <w:tc>
          <w:tcPr>
            <w:tcW w:w="2280" w:type="dxa"/>
            <w:tcBorders>
              <w:top w:val="single" w:sz="4" w:space="0" w:color="auto"/>
            </w:tcBorders>
            <w:shd w:val="clear" w:color="auto" w:fill="FFFFFF"/>
          </w:tcPr>
          <w:p w14:paraId="03EE0C99" w14:textId="77777777" w:rsidR="003A7535" w:rsidRPr="00B52707" w:rsidRDefault="003A7535" w:rsidP="00BD0BCB">
            <w:pPr>
              <w:jc w:val="both"/>
              <w:rPr>
                <w:color w:val="0070C0"/>
                <w:sz w:val="16"/>
                <w:szCs w:val="16"/>
              </w:rPr>
            </w:pPr>
            <w:r w:rsidRPr="00B52707">
              <w:rPr>
                <w:color w:val="0070C0"/>
                <w:sz w:val="16"/>
                <w:szCs w:val="16"/>
              </w:rPr>
              <w:t>Локомобиль</w:t>
            </w:r>
          </w:p>
        </w:tc>
        <w:tc>
          <w:tcPr>
            <w:tcW w:w="792" w:type="dxa"/>
            <w:tcBorders>
              <w:top w:val="single" w:sz="4" w:space="0" w:color="auto"/>
            </w:tcBorders>
            <w:shd w:val="clear" w:color="auto" w:fill="FFFFFF"/>
          </w:tcPr>
          <w:p w14:paraId="5E65E9CD" w14:textId="77777777" w:rsidR="003A7535" w:rsidRPr="00B52707" w:rsidRDefault="003A7535" w:rsidP="00BD0BCB">
            <w:pPr>
              <w:jc w:val="both"/>
              <w:rPr>
                <w:color w:val="0070C0"/>
                <w:sz w:val="16"/>
                <w:szCs w:val="16"/>
              </w:rPr>
            </w:pPr>
            <w:r w:rsidRPr="00B52707">
              <w:rPr>
                <w:color w:val="0070C0"/>
                <w:sz w:val="16"/>
                <w:szCs w:val="16"/>
              </w:rPr>
              <w:t>, .</w:t>
            </w:r>
            <w:r w:rsidRPr="00B52707">
              <w:rPr>
                <w:color w:val="0070C0"/>
                <w:sz w:val="16"/>
                <w:szCs w:val="16"/>
              </w:rPr>
              <w:tab/>
              <w:t>2</w:t>
            </w:r>
          </w:p>
        </w:tc>
      </w:tr>
      <w:tr w:rsidR="003A7535" w:rsidRPr="00B52707" w14:paraId="1E5B0704" w14:textId="77777777" w:rsidTr="00BD0BCB">
        <w:trPr>
          <w:trHeight w:hRule="exact" w:val="259"/>
          <w:jc w:val="center"/>
        </w:trPr>
        <w:tc>
          <w:tcPr>
            <w:tcW w:w="2093" w:type="dxa"/>
            <w:shd w:val="clear" w:color="auto" w:fill="FFFFFF"/>
            <w:vAlign w:val="bottom"/>
          </w:tcPr>
          <w:p w14:paraId="243D02C1" w14:textId="77777777" w:rsidR="003A7535" w:rsidRPr="00B52707" w:rsidRDefault="003A7535" w:rsidP="00BD0BCB">
            <w:pPr>
              <w:jc w:val="both"/>
              <w:rPr>
                <w:color w:val="0070C0"/>
                <w:sz w:val="16"/>
                <w:szCs w:val="16"/>
              </w:rPr>
            </w:pPr>
            <w:r w:rsidRPr="00B52707">
              <w:rPr>
                <w:color w:val="0070C0"/>
                <w:sz w:val="16"/>
                <w:szCs w:val="16"/>
              </w:rPr>
              <w:t>Маршалл</w:t>
            </w:r>
            <w:r w:rsidRPr="00B52707">
              <w:rPr>
                <w:color w:val="0070C0"/>
                <w:sz w:val="16"/>
                <w:szCs w:val="16"/>
              </w:rPr>
              <w:tab/>
            </w:r>
          </w:p>
        </w:tc>
        <w:tc>
          <w:tcPr>
            <w:tcW w:w="1013" w:type="dxa"/>
            <w:shd w:val="clear" w:color="auto" w:fill="FFFFFF"/>
            <w:vAlign w:val="center"/>
          </w:tcPr>
          <w:p w14:paraId="539F60C8" w14:textId="77777777" w:rsidR="003A7535" w:rsidRPr="00B52707" w:rsidRDefault="003A7535" w:rsidP="00BD0BCB">
            <w:pPr>
              <w:jc w:val="both"/>
              <w:rPr>
                <w:color w:val="0070C0"/>
                <w:sz w:val="16"/>
                <w:szCs w:val="16"/>
              </w:rPr>
            </w:pPr>
            <w:r w:rsidRPr="00B52707">
              <w:rPr>
                <w:color w:val="0070C0"/>
                <w:sz w:val="16"/>
                <w:szCs w:val="16"/>
              </w:rPr>
              <w:t>15</w:t>
            </w:r>
          </w:p>
        </w:tc>
        <w:tc>
          <w:tcPr>
            <w:tcW w:w="2280" w:type="dxa"/>
            <w:shd w:val="clear" w:color="auto" w:fill="FFFFFF"/>
            <w:vAlign w:val="center"/>
          </w:tcPr>
          <w:p w14:paraId="2450BB1D" w14:textId="77777777" w:rsidR="003A7535" w:rsidRPr="00B52707" w:rsidRDefault="003A7535" w:rsidP="00BD0BCB">
            <w:pPr>
              <w:jc w:val="both"/>
              <w:rPr>
                <w:color w:val="0070C0"/>
                <w:sz w:val="16"/>
                <w:szCs w:val="16"/>
              </w:rPr>
            </w:pPr>
            <w:r w:rsidRPr="00B52707">
              <w:rPr>
                <w:color w:val="0070C0"/>
                <w:sz w:val="16"/>
                <w:szCs w:val="16"/>
              </w:rPr>
              <w:t>—</w:t>
            </w:r>
          </w:p>
        </w:tc>
        <w:tc>
          <w:tcPr>
            <w:tcW w:w="792" w:type="dxa"/>
            <w:shd w:val="clear" w:color="auto" w:fill="FFFFFF"/>
          </w:tcPr>
          <w:p w14:paraId="482714F0" w14:textId="77777777" w:rsidR="003A7535" w:rsidRPr="00B52707" w:rsidRDefault="003A7535" w:rsidP="00BD0BCB">
            <w:pPr>
              <w:jc w:val="both"/>
              <w:rPr>
                <w:color w:val="0070C0"/>
                <w:sz w:val="16"/>
                <w:szCs w:val="16"/>
              </w:rPr>
            </w:pPr>
          </w:p>
        </w:tc>
      </w:tr>
      <w:tr w:rsidR="003A7535" w:rsidRPr="00B52707" w14:paraId="0A2EB0FC" w14:textId="77777777" w:rsidTr="00BD0BCB">
        <w:trPr>
          <w:trHeight w:hRule="exact" w:val="245"/>
          <w:jc w:val="center"/>
        </w:trPr>
        <w:tc>
          <w:tcPr>
            <w:tcW w:w="2093" w:type="dxa"/>
            <w:tcBorders>
              <w:bottom w:val="single" w:sz="4" w:space="0" w:color="auto"/>
            </w:tcBorders>
            <w:shd w:val="clear" w:color="auto" w:fill="FFFFFF"/>
          </w:tcPr>
          <w:p w14:paraId="2528F767" w14:textId="77777777" w:rsidR="003A7535" w:rsidRPr="00B52707" w:rsidRDefault="003A7535" w:rsidP="00BD0BCB">
            <w:pPr>
              <w:jc w:val="both"/>
              <w:rPr>
                <w:color w:val="0070C0"/>
                <w:sz w:val="16"/>
                <w:szCs w:val="16"/>
              </w:rPr>
            </w:pPr>
            <w:r w:rsidRPr="00B52707">
              <w:rPr>
                <w:color w:val="0070C0"/>
                <w:sz w:val="16"/>
                <w:szCs w:val="16"/>
              </w:rPr>
              <w:t>Мерседес</w:t>
            </w:r>
            <w:r w:rsidRPr="00B52707">
              <w:rPr>
                <w:color w:val="0070C0"/>
                <w:sz w:val="16"/>
                <w:szCs w:val="16"/>
              </w:rPr>
              <w:tab/>
            </w:r>
          </w:p>
        </w:tc>
        <w:tc>
          <w:tcPr>
            <w:tcW w:w="1013" w:type="dxa"/>
            <w:tcBorders>
              <w:bottom w:val="single" w:sz="4" w:space="0" w:color="auto"/>
            </w:tcBorders>
            <w:shd w:val="clear" w:color="auto" w:fill="FFFFFF"/>
          </w:tcPr>
          <w:p w14:paraId="2FA7E0D1" w14:textId="77777777" w:rsidR="003A7535" w:rsidRPr="00B52707" w:rsidRDefault="003A7535" w:rsidP="00BD0BCB">
            <w:pPr>
              <w:jc w:val="both"/>
              <w:rPr>
                <w:color w:val="0070C0"/>
                <w:sz w:val="16"/>
                <w:szCs w:val="16"/>
              </w:rPr>
            </w:pPr>
            <w:r w:rsidRPr="00B52707">
              <w:rPr>
                <w:color w:val="0070C0"/>
                <w:sz w:val="16"/>
                <w:szCs w:val="16"/>
              </w:rPr>
              <w:t>1</w:t>
            </w:r>
          </w:p>
        </w:tc>
        <w:tc>
          <w:tcPr>
            <w:tcW w:w="2280" w:type="dxa"/>
            <w:tcBorders>
              <w:bottom w:val="single" w:sz="4" w:space="0" w:color="auto"/>
            </w:tcBorders>
            <w:shd w:val="clear" w:color="auto" w:fill="FFFFFF"/>
          </w:tcPr>
          <w:p w14:paraId="566886D2" w14:textId="77777777" w:rsidR="003A7535" w:rsidRPr="00B52707" w:rsidRDefault="003A7535" w:rsidP="00BD0BCB">
            <w:pPr>
              <w:jc w:val="both"/>
              <w:rPr>
                <w:color w:val="0070C0"/>
                <w:sz w:val="16"/>
                <w:szCs w:val="16"/>
              </w:rPr>
            </w:pPr>
            <w:r w:rsidRPr="00B52707">
              <w:rPr>
                <w:color w:val="0070C0"/>
                <w:sz w:val="16"/>
                <w:szCs w:val="16"/>
              </w:rPr>
              <w:t>Итого .</w:t>
            </w:r>
          </w:p>
        </w:tc>
        <w:tc>
          <w:tcPr>
            <w:tcW w:w="792" w:type="dxa"/>
            <w:tcBorders>
              <w:bottom w:val="single" w:sz="4" w:space="0" w:color="auto"/>
            </w:tcBorders>
            <w:shd w:val="clear" w:color="auto" w:fill="FFFFFF"/>
          </w:tcPr>
          <w:p w14:paraId="0308F86A" w14:textId="77777777" w:rsidR="003A7535" w:rsidRPr="00B52707" w:rsidRDefault="003A7535" w:rsidP="00BD0BCB">
            <w:pPr>
              <w:jc w:val="both"/>
              <w:rPr>
                <w:color w:val="0070C0"/>
                <w:sz w:val="16"/>
                <w:szCs w:val="16"/>
              </w:rPr>
            </w:pPr>
            <w:r w:rsidRPr="00B52707">
              <w:rPr>
                <w:color w:val="0070C0"/>
                <w:sz w:val="16"/>
                <w:szCs w:val="16"/>
              </w:rPr>
              <w:t>. . 1.216</w:t>
            </w:r>
          </w:p>
        </w:tc>
      </w:tr>
    </w:tbl>
    <w:p w14:paraId="3C48690C" w14:textId="77777777" w:rsidR="003A7535" w:rsidRPr="00B52707" w:rsidRDefault="003A7535" w:rsidP="003A7535">
      <w:pPr>
        <w:jc w:val="both"/>
        <w:rPr>
          <w:color w:val="0070C0"/>
          <w:sz w:val="16"/>
          <w:szCs w:val="16"/>
        </w:rPr>
      </w:pPr>
      <w:r w:rsidRPr="00B52707">
        <w:rPr>
          <w:color w:val="0070C0"/>
          <w:sz w:val="16"/>
          <w:szCs w:val="16"/>
        </w:rPr>
        <w:t>Таким образом, комиссиею приобретены были автомо</w:t>
      </w:r>
      <w:r w:rsidRPr="00B52707">
        <w:rPr>
          <w:color w:val="0070C0"/>
          <w:sz w:val="16"/>
          <w:szCs w:val="16"/>
        </w:rPr>
        <w:softHyphen/>
        <w:t>били самых разнообразных фирм и столь желательный принцип однотипности автомобилей соблюден не был.</w:t>
      </w:r>
    </w:p>
    <w:p w14:paraId="40F2D65B" w14:textId="77777777" w:rsidR="003A7535" w:rsidRPr="00B52707" w:rsidRDefault="003A7535" w:rsidP="003A7535">
      <w:pPr>
        <w:jc w:val="both"/>
        <w:rPr>
          <w:color w:val="0070C0"/>
          <w:sz w:val="16"/>
          <w:szCs w:val="16"/>
        </w:rPr>
      </w:pPr>
      <w:r w:rsidRPr="00B52707">
        <w:rPr>
          <w:color w:val="0070C0"/>
          <w:sz w:val="16"/>
          <w:szCs w:val="16"/>
        </w:rPr>
        <w:t>В составе сделанной комиссиею заготовки имелись автомобили различного назначения, а именно: бронированные (48 фирмы Остин, 1 фирмы Изото-Фраскини и 35 фирмы Рено), тракторы (26 фирмы Джефферис, и 15 фирмы Мар</w:t>
      </w:r>
      <w:r w:rsidRPr="00B52707">
        <w:rPr>
          <w:color w:val="0070C0"/>
          <w:sz w:val="16"/>
          <w:szCs w:val="16"/>
        </w:rPr>
        <w:softHyphen/>
        <w:t>шалл), санитарные шасси (236 фирмы Остин), грузовики, мастерские, цистерны, кухни, автомобильное депо и пр.</w:t>
      </w:r>
    </w:p>
    <w:p w14:paraId="3F1625EB" w14:textId="77777777" w:rsidR="003A7535" w:rsidRPr="00B52707" w:rsidRDefault="003A7535" w:rsidP="003A7535">
      <w:pPr>
        <w:jc w:val="both"/>
        <w:rPr>
          <w:color w:val="0070C0"/>
          <w:sz w:val="16"/>
          <w:szCs w:val="16"/>
        </w:rPr>
      </w:pPr>
      <w:r w:rsidRPr="00B52707">
        <w:rPr>
          <w:color w:val="0070C0"/>
          <w:sz w:val="16"/>
          <w:szCs w:val="16"/>
        </w:rPr>
        <w:t>Доставка приобретенного комиссиею автомобильного имущества из Англии в Петроград организована была таким образом. Из Ливерпуля автомобили па пароходах фирмы Мартенс доставлялись в Архангельский порт, откуда по узкоколейной Вологда-Архангельской жел. дор. направля</w:t>
      </w:r>
      <w:r w:rsidRPr="00B52707">
        <w:rPr>
          <w:color w:val="0070C0"/>
          <w:sz w:val="16"/>
          <w:szCs w:val="16"/>
        </w:rPr>
        <w:softHyphen/>
        <w:t>лись в Вологду. Здесь происходила перегрузка па плат</w:t>
      </w:r>
      <w:r w:rsidRPr="00B52707">
        <w:rPr>
          <w:color w:val="0070C0"/>
          <w:sz w:val="16"/>
          <w:szCs w:val="16"/>
        </w:rPr>
        <w:softHyphen/>
        <w:t>формы ширококолейной жел. дор., по которой автомобили доставлялись в Петроградскую портовую таможню, где они хранились в пакгаузах впредь до распоряжения о пригото</w:t>
      </w:r>
      <w:r w:rsidRPr="00B52707">
        <w:rPr>
          <w:color w:val="0070C0"/>
          <w:sz w:val="16"/>
          <w:szCs w:val="16"/>
        </w:rPr>
        <w:softHyphen/>
        <w:t>влении их к сдаче. В Архангельск, Вологду и Петроград</w:t>
      </w:r>
      <w:r w:rsidRPr="00B52707">
        <w:rPr>
          <w:color w:val="0070C0"/>
          <w:sz w:val="16"/>
          <w:szCs w:val="16"/>
        </w:rPr>
        <w:softHyphen/>
        <w:t>скую таможню командированы были особые команды под начальством офицеров для работ по разгрузке и нагрузке, а в таможню, кроме того, и для приготовления автомобилей к сдаче. Задержка в доставке автомобилей происходила, главным образом, в Архангельске (24923).</w:t>
      </w:r>
    </w:p>
    <w:p w14:paraId="4FB97F70" w14:textId="77777777" w:rsidR="003A7535" w:rsidRPr="00B52707" w:rsidRDefault="003A7535" w:rsidP="003A7535">
      <w:pPr>
        <w:jc w:val="both"/>
        <w:rPr>
          <w:color w:val="0070C0"/>
          <w:sz w:val="16"/>
          <w:szCs w:val="16"/>
        </w:rPr>
      </w:pPr>
    </w:p>
    <w:p w14:paraId="1BF20464" w14:textId="77777777" w:rsidR="00B67D7C" w:rsidRPr="00DE096C" w:rsidRDefault="00B67D7C" w:rsidP="00D45A46">
      <w:pPr>
        <w:jc w:val="both"/>
        <w:rPr>
          <w:bCs/>
          <w:i/>
          <w:color w:val="002060"/>
          <w:sz w:val="16"/>
          <w:szCs w:val="16"/>
        </w:rPr>
      </w:pPr>
      <w:r w:rsidRPr="00DE096C">
        <w:rPr>
          <w:bCs/>
          <w:i/>
          <w:color w:val="002060"/>
          <w:sz w:val="16"/>
          <w:szCs w:val="16"/>
        </w:rPr>
        <w:t>Авиация:</w:t>
      </w:r>
    </w:p>
    <w:p w14:paraId="2E9F3FFA" w14:textId="77777777" w:rsidR="00B67D7C" w:rsidRPr="00DE096C" w:rsidRDefault="00B67D7C" w:rsidP="00D45A46">
      <w:pPr>
        <w:jc w:val="both"/>
        <w:rPr>
          <w:bCs/>
          <w:i/>
          <w:color w:val="002060"/>
          <w:sz w:val="16"/>
          <w:szCs w:val="16"/>
        </w:rPr>
      </w:pPr>
    </w:p>
    <w:p w14:paraId="2E6636E2" w14:textId="77777777" w:rsidR="00033CC4" w:rsidRPr="00DE096C" w:rsidRDefault="00033CC4" w:rsidP="00D45A46">
      <w:pPr>
        <w:jc w:val="both"/>
        <w:rPr>
          <w:rStyle w:val="ucoz-forum-post"/>
          <w:rFonts w:eastAsiaTheme="majorEastAsia"/>
          <w:bCs/>
          <w:color w:val="002060"/>
          <w:sz w:val="16"/>
          <w:szCs w:val="16"/>
        </w:rPr>
      </w:pPr>
      <w:r w:rsidRPr="00DE096C">
        <w:rPr>
          <w:bCs/>
          <w:color w:val="002060"/>
          <w:sz w:val="16"/>
          <w:szCs w:val="16"/>
        </w:rPr>
        <w:t>26 августа (8 сентября)</w:t>
      </w:r>
      <w:r w:rsidRPr="00DE096C">
        <w:rPr>
          <w:rStyle w:val="ucoz-forum-post"/>
          <w:rFonts w:eastAsiaTheme="majorEastAsia"/>
          <w:bCs/>
          <w:color w:val="002060"/>
          <w:sz w:val="16"/>
          <w:szCs w:val="16"/>
        </w:rPr>
        <w:t xml:space="preserve"> 1914 г. – в Галиции в воздушном бою с австрийцами погиб, впервые в мире применив таран, военный лётчик штабс-капитан Петр Николаевич Нестеров. (26 августа ст. ст.) (14763).</w:t>
      </w:r>
    </w:p>
    <w:p w14:paraId="22544682" w14:textId="77777777" w:rsidR="00033CC4" w:rsidRPr="00DE096C" w:rsidRDefault="00033CC4" w:rsidP="00D45A46">
      <w:pPr>
        <w:jc w:val="both"/>
        <w:rPr>
          <w:rStyle w:val="ucoz-forum-post"/>
          <w:rFonts w:eastAsiaTheme="majorEastAsia"/>
          <w:bCs/>
          <w:color w:val="002060"/>
          <w:sz w:val="16"/>
          <w:szCs w:val="16"/>
        </w:rPr>
      </w:pPr>
    </w:p>
    <w:p w14:paraId="1621AADE" w14:textId="23605331" w:rsidR="00D60381" w:rsidRPr="00DE096C" w:rsidRDefault="00D60381" w:rsidP="00D45A46">
      <w:pPr>
        <w:pStyle w:val="a00"/>
        <w:spacing w:after="0"/>
        <w:jc w:val="both"/>
        <w:rPr>
          <w:bCs/>
          <w:color w:val="002060"/>
          <w:sz w:val="16"/>
          <w:szCs w:val="16"/>
        </w:rPr>
      </w:pPr>
      <w:r w:rsidRPr="00DE096C">
        <w:rPr>
          <w:bCs/>
          <w:color w:val="002060"/>
          <w:sz w:val="16"/>
          <w:szCs w:val="16"/>
        </w:rPr>
        <w:t xml:space="preserve">26 августа </w:t>
      </w:r>
      <w:r w:rsidR="00105BD1" w:rsidRPr="00DE096C">
        <w:rPr>
          <w:bCs/>
          <w:color w:val="002060"/>
          <w:sz w:val="16"/>
          <w:szCs w:val="16"/>
        </w:rPr>
        <w:t xml:space="preserve">(8 сентября) </w:t>
      </w:r>
      <w:r w:rsidRPr="00DE096C">
        <w:rPr>
          <w:bCs/>
          <w:color w:val="002060"/>
          <w:sz w:val="16"/>
          <w:szCs w:val="16"/>
        </w:rPr>
        <w:t>1914 года над аэродромом Шолкив служивший в авиаэскадрилье 11-го армейского корпуса штабс-капитан русской армии Петр Николаевич Нестеров, пилотировавший разведывательный моноплан «Моран» тип М, осуществил первый таран. Первым самолетом, уничтоженным тараном, был австрийский двухместный аэроплан, который пилотировал лейтенант барон фон Розенталь. Петр Нестеров (вошедший в историю авиации как пилот, впервые выполнивший «мертвую петлю» 27 августа 1913 года) стал первым русским военным летчиком, который погиб в бою (Тейлор Майкл, Мандэй Дэвид. Книга Гиннеса об авиации С. 152-153.) (15135).</w:t>
      </w:r>
    </w:p>
    <w:p w14:paraId="24A4BE9F" w14:textId="77777777" w:rsidR="00D60381" w:rsidRPr="00DE096C" w:rsidRDefault="00D60381" w:rsidP="00D45A46">
      <w:pPr>
        <w:pStyle w:val="a00"/>
        <w:spacing w:after="0"/>
        <w:jc w:val="both"/>
        <w:rPr>
          <w:bCs/>
          <w:color w:val="002060"/>
          <w:sz w:val="16"/>
          <w:szCs w:val="16"/>
        </w:rPr>
      </w:pPr>
    </w:p>
    <w:p w14:paraId="5F31A789" w14:textId="55319B7D"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26 августа (8 сентября) 1914 </w:t>
      </w:r>
      <w:r w:rsidR="00105BD1" w:rsidRPr="00DE096C">
        <w:rPr>
          <w:bCs/>
          <w:color w:val="002060"/>
          <w:sz w:val="16"/>
          <w:szCs w:val="16"/>
        </w:rPr>
        <w:t>г. в</w:t>
      </w:r>
      <w:r w:rsidRPr="00DE096C">
        <w:rPr>
          <w:bCs/>
          <w:color w:val="002060"/>
          <w:sz w:val="16"/>
          <w:szCs w:val="16"/>
        </w:rPr>
        <w:t>первые таран как один из способов воздушного боя применил П. Н. Нестеров. Сбив австрийский самолет, Нестеров погиб (1137).</w:t>
      </w:r>
    </w:p>
    <w:p w14:paraId="0EF52171" w14:textId="77777777" w:rsidR="00B67D7C" w:rsidRPr="00DE096C" w:rsidRDefault="00B67D7C" w:rsidP="00D45A46">
      <w:pPr>
        <w:shd w:val="clear" w:color="auto" w:fill="FFFFFF"/>
        <w:jc w:val="both"/>
        <w:rPr>
          <w:bCs/>
          <w:color w:val="002060"/>
          <w:sz w:val="16"/>
          <w:szCs w:val="16"/>
        </w:rPr>
      </w:pPr>
    </w:p>
    <w:p w14:paraId="6D10AA64" w14:textId="521FCE1B" w:rsidR="00B67D7C" w:rsidRPr="00DE096C" w:rsidRDefault="00B67D7C" w:rsidP="00D45A46">
      <w:pPr>
        <w:shd w:val="clear" w:color="auto" w:fill="FFFFFF"/>
        <w:jc w:val="both"/>
        <w:rPr>
          <w:bCs/>
          <w:color w:val="002060"/>
          <w:sz w:val="16"/>
          <w:szCs w:val="16"/>
        </w:rPr>
      </w:pPr>
      <w:r w:rsidRPr="00DE096C">
        <w:rPr>
          <w:bCs/>
          <w:color w:val="002060"/>
          <w:sz w:val="16"/>
          <w:szCs w:val="16"/>
        </w:rPr>
        <w:t>26 августа (8 сентября) 1914</w:t>
      </w:r>
      <w:r w:rsidR="00105BD1" w:rsidRPr="00DE096C">
        <w:rPr>
          <w:bCs/>
          <w:color w:val="002060"/>
          <w:sz w:val="16"/>
          <w:szCs w:val="16"/>
        </w:rPr>
        <w:t xml:space="preserve"> </w:t>
      </w:r>
      <w:r w:rsidRPr="00DE096C">
        <w:rPr>
          <w:bCs/>
          <w:color w:val="002060"/>
          <w:sz w:val="16"/>
          <w:szCs w:val="16"/>
        </w:rPr>
        <w:t xml:space="preserve">г. </w:t>
      </w:r>
      <w:r w:rsidR="00105BD1" w:rsidRPr="00DE096C">
        <w:rPr>
          <w:bCs/>
          <w:color w:val="002060"/>
          <w:sz w:val="16"/>
          <w:szCs w:val="16"/>
        </w:rPr>
        <w:t>в</w:t>
      </w:r>
      <w:r w:rsidRPr="00DE096C">
        <w:rPr>
          <w:bCs/>
          <w:color w:val="002060"/>
          <w:sz w:val="16"/>
          <w:szCs w:val="16"/>
        </w:rPr>
        <w:t>первые таран как один из способов воздушного боя приме нил П. Н. Нестеров. Сбив австрийский самолёт, Нестеров погиб (11425).</w:t>
      </w:r>
    </w:p>
    <w:p w14:paraId="33659CF7" w14:textId="77777777" w:rsidR="00B67D7C" w:rsidRPr="00DE096C" w:rsidRDefault="00B67D7C" w:rsidP="00D45A46">
      <w:pPr>
        <w:shd w:val="clear" w:color="auto" w:fill="FFFFFF"/>
        <w:jc w:val="both"/>
        <w:rPr>
          <w:bCs/>
          <w:color w:val="002060"/>
          <w:sz w:val="16"/>
          <w:szCs w:val="16"/>
        </w:rPr>
      </w:pPr>
    </w:p>
    <w:p w14:paraId="1C4F213D" w14:textId="0F60437F" w:rsidR="00B67D7C" w:rsidRPr="00DE096C" w:rsidRDefault="00B67D7C" w:rsidP="00D45A46">
      <w:pPr>
        <w:shd w:val="clear" w:color="auto" w:fill="FFFFFF"/>
        <w:jc w:val="both"/>
        <w:rPr>
          <w:bCs/>
          <w:color w:val="002060"/>
          <w:sz w:val="16"/>
          <w:szCs w:val="16"/>
        </w:rPr>
      </w:pPr>
      <w:r w:rsidRPr="00DE096C">
        <w:rPr>
          <w:bCs/>
          <w:color w:val="002060"/>
          <w:sz w:val="16"/>
          <w:szCs w:val="16"/>
        </w:rPr>
        <w:t>26 августа (8 сентября) 1914 произошел первый воздушный бой на русско-германском фронте. Командир XI корпусного авиаотряда штабс-капитан П.Н.Нестеров на самолете "Моран-Ж" атаковал над местечком Жолкев близ Львова австрийский самолет "Альбатрос" и, не имея никакого оружия для обстрела, таранил его по верхней плоскости ролесами своего самолета, в результате чего погибли два австйских летчика и сам Нестеров. Таким образом, Нестеров, первым совершивший мертвую петлю, первым открыл воздушный бой и первым эименил воздушный таран. За этот бессмертный подвиг Нестеров посмертно был награжден орденом Георгия 4 степени и произведен в чин капитана. На месте гибели героя уже в советское время уста</w:t>
      </w:r>
      <w:r w:rsidRPr="00DE096C">
        <w:rPr>
          <w:bCs/>
          <w:color w:val="002060"/>
          <w:sz w:val="16"/>
          <w:szCs w:val="16"/>
        </w:rPr>
        <w:softHyphen/>
        <w:t>новлен обелиск, а город Жолкев переименован в город Нестеров. (ЦГВИА. ф.</w:t>
      </w:r>
      <w:r w:rsidR="009E2EDE" w:rsidRPr="00DE096C">
        <w:rPr>
          <w:bCs/>
          <w:color w:val="002060"/>
          <w:sz w:val="16"/>
          <w:szCs w:val="16"/>
        </w:rPr>
        <w:t xml:space="preserve"> </w:t>
      </w:r>
      <w:r w:rsidRPr="00DE096C">
        <w:rPr>
          <w:bCs/>
          <w:color w:val="002060"/>
          <w:sz w:val="16"/>
          <w:szCs w:val="16"/>
        </w:rPr>
        <w:t>2000, оп.</w:t>
      </w:r>
      <w:r w:rsidR="009E2EDE" w:rsidRPr="00DE096C">
        <w:rPr>
          <w:bCs/>
          <w:color w:val="002060"/>
          <w:sz w:val="16"/>
          <w:szCs w:val="16"/>
        </w:rPr>
        <w:t xml:space="preserve"> 3</w:t>
      </w:r>
      <w:r w:rsidRPr="00DE096C">
        <w:rPr>
          <w:bCs/>
          <w:color w:val="002060"/>
          <w:sz w:val="16"/>
          <w:szCs w:val="16"/>
        </w:rPr>
        <w:t>, д.</w:t>
      </w:r>
      <w:r w:rsidR="009E2EDE" w:rsidRPr="00DE096C">
        <w:rPr>
          <w:bCs/>
          <w:color w:val="002060"/>
          <w:sz w:val="16"/>
          <w:szCs w:val="16"/>
        </w:rPr>
        <w:t xml:space="preserve"> </w:t>
      </w:r>
      <w:r w:rsidRPr="00DE096C">
        <w:rPr>
          <w:bCs/>
          <w:color w:val="002060"/>
          <w:sz w:val="16"/>
          <w:szCs w:val="16"/>
        </w:rPr>
        <w:t>2472, л.</w:t>
      </w:r>
      <w:r w:rsidR="009E2EDE" w:rsidRPr="00DE096C">
        <w:rPr>
          <w:bCs/>
          <w:color w:val="002060"/>
          <w:sz w:val="16"/>
          <w:szCs w:val="16"/>
        </w:rPr>
        <w:t xml:space="preserve"> </w:t>
      </w:r>
      <w:r w:rsidRPr="00DE096C">
        <w:rPr>
          <w:bCs/>
          <w:color w:val="002060"/>
          <w:sz w:val="16"/>
          <w:szCs w:val="16"/>
        </w:rPr>
        <w:t>134, акт расследования Гибели Нестерова).</w:t>
      </w:r>
    </w:p>
    <w:p w14:paraId="22BAE92B" w14:textId="77777777" w:rsidR="00B67D7C" w:rsidRPr="00DE096C" w:rsidRDefault="00B67D7C" w:rsidP="00D45A46">
      <w:pPr>
        <w:shd w:val="clear" w:color="auto" w:fill="FFFFFF"/>
        <w:jc w:val="both"/>
        <w:rPr>
          <w:bCs/>
          <w:color w:val="002060"/>
          <w:sz w:val="16"/>
          <w:szCs w:val="16"/>
        </w:rPr>
      </w:pPr>
    </w:p>
    <w:p w14:paraId="44BF6F8D" w14:textId="77777777" w:rsidR="009E2EDE" w:rsidRPr="00DE096C" w:rsidRDefault="009E2EDE" w:rsidP="00D45A46">
      <w:pPr>
        <w:jc w:val="both"/>
        <w:rPr>
          <w:bCs/>
          <w:color w:val="002060"/>
          <w:sz w:val="16"/>
          <w:szCs w:val="16"/>
        </w:rPr>
      </w:pPr>
      <w:r w:rsidRPr="00DE096C">
        <w:rPr>
          <w:bCs/>
          <w:color w:val="002060"/>
          <w:sz w:val="16"/>
          <w:szCs w:val="16"/>
        </w:rPr>
        <w:t>26 августа (8 сентября) 1914 г. произошел первый воздушный бой на русско-германском фронте. Командир XI корпусного авиаотряда шт.-капитан П.Н.Нестеров на самолете Моран-Ж атаковал над местечком Жолкиев близ Львова австрийский самолет "Альбатрос" и, не имея никакого оружия для об стрела, таранил его по верхней плоскости колесами своего самолета, в результате чего погибли два австрийских летчика и сам Нестеров. Таким образом, Нестеров, первым совершивший мертвую петлд, первым открыл воздушный бой и первым применил воздушный таран. За этот «бессмертный подвиг Нестеров посмертно был награжден орденом св. Георгия 4 ст. и произведен в чин капитана, На месте гибели героя уже в советское время установлен обелиск, а г. Жолкиев переимено</w:t>
      </w:r>
      <w:r w:rsidRPr="00DE096C">
        <w:rPr>
          <w:bCs/>
          <w:color w:val="002060"/>
          <w:sz w:val="16"/>
          <w:szCs w:val="16"/>
        </w:rPr>
        <w:softHyphen/>
        <w:t>ван в город Нестеров.</w:t>
      </w:r>
    </w:p>
    <w:p w14:paraId="7F275CE5" w14:textId="77777777" w:rsidR="009E2EDE" w:rsidRPr="00DE096C" w:rsidRDefault="009E2EDE" w:rsidP="00D45A46">
      <w:pPr>
        <w:jc w:val="both"/>
        <w:rPr>
          <w:bCs/>
          <w:color w:val="002060"/>
          <w:sz w:val="16"/>
          <w:szCs w:val="16"/>
        </w:rPr>
      </w:pPr>
      <w:r w:rsidRPr="00DE096C">
        <w:rPr>
          <w:bCs/>
          <w:color w:val="002060"/>
          <w:sz w:val="16"/>
          <w:szCs w:val="16"/>
        </w:rPr>
        <w:t>/ЦГВИА, ф. 2000, оп. 3, д. 2472, л. 134, акт расследования гибели Нестерова/ (23320).</w:t>
      </w:r>
    </w:p>
    <w:p w14:paraId="2423B3E1" w14:textId="77777777" w:rsidR="009E2EDE" w:rsidRPr="00DE096C" w:rsidRDefault="009E2EDE" w:rsidP="00D45A46">
      <w:pPr>
        <w:jc w:val="both"/>
        <w:rPr>
          <w:bCs/>
          <w:color w:val="002060"/>
          <w:sz w:val="16"/>
          <w:szCs w:val="16"/>
        </w:rPr>
      </w:pPr>
    </w:p>
    <w:p w14:paraId="778FDF73" w14:textId="77777777" w:rsidR="00B67D7C" w:rsidRPr="00DE096C" w:rsidRDefault="00B67D7C" w:rsidP="00D45A46">
      <w:pPr>
        <w:jc w:val="both"/>
        <w:rPr>
          <w:bCs/>
          <w:color w:val="002060"/>
          <w:sz w:val="16"/>
          <w:szCs w:val="16"/>
        </w:rPr>
      </w:pPr>
      <w:r w:rsidRPr="00DE096C">
        <w:rPr>
          <w:bCs/>
          <w:color w:val="002060"/>
          <w:sz w:val="16"/>
          <w:szCs w:val="16"/>
        </w:rPr>
        <w:t>26 августа (8 сентября) 1914 - Русское командование объединяет усилия 4-й, 5-й и 9-й армий, и к исходу дня 9-я армия прорывает позиции австрийцев.</w:t>
      </w:r>
    </w:p>
    <w:p w14:paraId="657C2DE5" w14:textId="77777777" w:rsidR="00B67D7C" w:rsidRPr="00DE096C" w:rsidRDefault="00B67D7C" w:rsidP="00D45A46">
      <w:pPr>
        <w:jc w:val="both"/>
        <w:rPr>
          <w:bCs/>
          <w:color w:val="002060"/>
          <w:sz w:val="16"/>
          <w:szCs w:val="16"/>
        </w:rPr>
      </w:pPr>
      <w:r w:rsidRPr="00DE096C">
        <w:rPr>
          <w:bCs/>
          <w:color w:val="002060"/>
          <w:sz w:val="16"/>
          <w:szCs w:val="16"/>
        </w:rPr>
        <w:t>Акт расследования гибели летчика П.Н. Нестерова:</w:t>
      </w:r>
    </w:p>
    <w:p w14:paraId="67F9926A" w14:textId="77777777" w:rsidR="00B67D7C" w:rsidRPr="00DE096C" w:rsidRDefault="00B67D7C" w:rsidP="00D45A46">
      <w:pPr>
        <w:jc w:val="both"/>
        <w:rPr>
          <w:bCs/>
          <w:color w:val="002060"/>
          <w:sz w:val="16"/>
          <w:szCs w:val="16"/>
        </w:rPr>
      </w:pPr>
      <w:r w:rsidRPr="00DE096C">
        <w:rPr>
          <w:bCs/>
          <w:color w:val="002060"/>
          <w:sz w:val="16"/>
          <w:szCs w:val="16"/>
        </w:rPr>
        <w:t>"Осмотром разбитых аппаратов и опросом свидетелей воздушной борьбы штабс-капитана Нестерова с австрийским бимонопланом системы "Альбатрос" выяснилось:</w:t>
      </w:r>
    </w:p>
    <w:p w14:paraId="6C72DFBF" w14:textId="77777777" w:rsidR="00B67D7C" w:rsidRPr="00DE096C" w:rsidRDefault="00B67D7C" w:rsidP="00D45A46">
      <w:pPr>
        <w:jc w:val="both"/>
        <w:rPr>
          <w:bCs/>
          <w:color w:val="002060"/>
          <w:sz w:val="16"/>
          <w:szCs w:val="16"/>
        </w:rPr>
      </w:pPr>
      <w:r w:rsidRPr="00DE096C">
        <w:rPr>
          <w:bCs/>
          <w:color w:val="002060"/>
          <w:sz w:val="16"/>
          <w:szCs w:val="16"/>
        </w:rPr>
        <w:t>1. Штабс-капитан Нестеров уже давно выражал мнение, что является возможным сбить неприятельский воздушный аппарат ударом сверху колесами собственной машины по поддерживающим поверхностям неприятельского аппарата, причем допускал возможность благополучного исхода для таранящего летчика.</w:t>
      </w:r>
    </w:p>
    <w:p w14:paraId="0DFE8A2A" w14:textId="77777777" w:rsidR="00B67D7C" w:rsidRPr="00DE096C" w:rsidRDefault="00B67D7C" w:rsidP="00D45A46">
      <w:pPr>
        <w:jc w:val="both"/>
        <w:rPr>
          <w:bCs/>
          <w:color w:val="002060"/>
          <w:sz w:val="16"/>
          <w:szCs w:val="16"/>
        </w:rPr>
      </w:pPr>
      <w:r w:rsidRPr="00DE096C">
        <w:rPr>
          <w:bCs/>
          <w:color w:val="002060"/>
          <w:sz w:val="16"/>
          <w:szCs w:val="16"/>
        </w:rPr>
        <w:t>2. Штабс-капитан Нестеров неоднократно выражал мысль, что неприятельская воздушная машина летать над 11-м авиационным отрядом беспрепятственно не будет.</w:t>
      </w:r>
    </w:p>
    <w:p w14:paraId="790736C2" w14:textId="1F4D20E9" w:rsidR="00B67D7C" w:rsidRPr="00DE096C" w:rsidRDefault="00B67D7C" w:rsidP="00D45A46">
      <w:pPr>
        <w:jc w:val="both"/>
        <w:rPr>
          <w:bCs/>
          <w:color w:val="002060"/>
          <w:sz w:val="16"/>
          <w:szCs w:val="16"/>
        </w:rPr>
      </w:pPr>
      <w:r w:rsidRPr="00DE096C">
        <w:rPr>
          <w:bCs/>
          <w:color w:val="002060"/>
          <w:sz w:val="16"/>
          <w:szCs w:val="16"/>
        </w:rPr>
        <w:t>3. Решение таранить и сбивать неприятельские воздушные машины у штабс-капитана Нестерова зародилось уже давно. Так, в г. Дубно, числа 5-6 сего августа</w:t>
      </w:r>
      <w:r w:rsidR="0006581C">
        <w:rPr>
          <w:bCs/>
          <w:color w:val="002060"/>
          <w:sz w:val="16"/>
          <w:szCs w:val="16"/>
        </w:rPr>
        <w:t xml:space="preserve"> </w:t>
      </w:r>
      <w:r w:rsidRPr="00DE096C">
        <w:rPr>
          <w:bCs/>
          <w:color w:val="002060"/>
          <w:sz w:val="16"/>
          <w:szCs w:val="16"/>
        </w:rPr>
        <w:t>им был приспособлен нож к задней конечности фюзеляжа, которым он предполагал разрезать оболочку неприятельского дирижабля. Во время пребывания в Злочеве он решил приспособить к хвосту аппарата длинный трос с грузом, которым надеялся опутать винт неприятельского аэроплана, пролетая перед носом такового.</w:t>
      </w:r>
    </w:p>
    <w:p w14:paraId="24CCB7F3" w14:textId="77777777" w:rsidR="00B67D7C" w:rsidRPr="00DE096C" w:rsidRDefault="00B67D7C" w:rsidP="00D45A46">
      <w:pPr>
        <w:jc w:val="both"/>
        <w:rPr>
          <w:bCs/>
          <w:color w:val="002060"/>
          <w:sz w:val="16"/>
          <w:szCs w:val="16"/>
        </w:rPr>
      </w:pPr>
      <w:r w:rsidRPr="00DE096C">
        <w:rPr>
          <w:bCs/>
          <w:color w:val="002060"/>
          <w:sz w:val="16"/>
          <w:szCs w:val="16"/>
        </w:rPr>
        <w:t>4. Об опасности такого рода действия товарищи покойного ему неоднократно указывали, настаивая на том, что при ударе в воздухе таранящий аппарат должен обязательно поломаться, на что штабс-капитан Нестеров отвечал, что это еще не доказано, а, наконец, если аппарат и сломится, то это еще ничего не значит, так как все равно когда-нибудь разбиваться придется, а жертвовать собой есть долг каждого воина.</w:t>
      </w:r>
    </w:p>
    <w:p w14:paraId="5CB9A856" w14:textId="3AE5BED1" w:rsidR="00B67D7C" w:rsidRPr="00DE096C" w:rsidRDefault="00B67D7C" w:rsidP="00D45A46">
      <w:pPr>
        <w:jc w:val="both"/>
        <w:rPr>
          <w:bCs/>
          <w:color w:val="002060"/>
          <w:sz w:val="16"/>
          <w:szCs w:val="16"/>
        </w:rPr>
      </w:pPr>
      <w:r w:rsidRPr="00DE096C">
        <w:rPr>
          <w:bCs/>
          <w:color w:val="002060"/>
          <w:sz w:val="16"/>
          <w:szCs w:val="16"/>
        </w:rPr>
        <w:t>5. 26 августа</w:t>
      </w:r>
      <w:r w:rsidR="0006581C">
        <w:rPr>
          <w:bCs/>
          <w:color w:val="002060"/>
          <w:sz w:val="16"/>
          <w:szCs w:val="16"/>
        </w:rPr>
        <w:t xml:space="preserve"> </w:t>
      </w:r>
      <w:r w:rsidRPr="00DE096C">
        <w:rPr>
          <w:bCs/>
          <w:color w:val="002060"/>
          <w:sz w:val="16"/>
          <w:szCs w:val="16"/>
        </w:rPr>
        <w:t>штабс-капитан Нестеров для преследования неприятельского аппарата подымался два раза; при первом подъеме</w:t>
      </w:r>
      <w:r w:rsidR="0006581C">
        <w:rPr>
          <w:bCs/>
          <w:color w:val="002060"/>
          <w:sz w:val="16"/>
          <w:szCs w:val="16"/>
        </w:rPr>
        <w:t xml:space="preserve"> </w:t>
      </w:r>
      <w:r w:rsidRPr="00DE096C">
        <w:rPr>
          <w:bCs/>
          <w:color w:val="002060"/>
          <w:sz w:val="16"/>
          <w:szCs w:val="16"/>
        </w:rPr>
        <w:t>догнать неприятельский аппарат не удалось, кроме того, при подъеме, еще на земле, оборвался трос с грузом , после чего штабс-капитан Нестеров спустился и поехал в канцелярию, велев предупредить себя, если появится неприятельский аппарат.</w:t>
      </w:r>
    </w:p>
    <w:p w14:paraId="597BDAE2" w14:textId="77777777" w:rsidR="00B67D7C" w:rsidRPr="00DE096C" w:rsidRDefault="00B67D7C" w:rsidP="00D45A46">
      <w:pPr>
        <w:jc w:val="both"/>
        <w:rPr>
          <w:bCs/>
          <w:color w:val="002060"/>
          <w:sz w:val="16"/>
          <w:szCs w:val="16"/>
        </w:rPr>
      </w:pPr>
      <w:r w:rsidRPr="00DE096C">
        <w:rPr>
          <w:bCs/>
          <w:color w:val="002060"/>
          <w:sz w:val="16"/>
          <w:szCs w:val="16"/>
        </w:rPr>
        <w:t>Вскоре вновь появился тот же аппарат; штабс-капитан Нестеров поехал на аэродром на автомобиле, спешно сел на свой двухместный аппарат системы Моран-Солнье, так как одноместный разбился ; садясь в аппарат, он настолько спешил, что даже к нему не привязался.</w:t>
      </w:r>
    </w:p>
    <w:p w14:paraId="7F8902AA" w14:textId="77777777" w:rsidR="00B67D7C" w:rsidRPr="00DE096C" w:rsidRDefault="00B67D7C" w:rsidP="00D45A46">
      <w:pPr>
        <w:jc w:val="both"/>
        <w:rPr>
          <w:bCs/>
          <w:color w:val="002060"/>
          <w:sz w:val="16"/>
          <w:szCs w:val="16"/>
        </w:rPr>
      </w:pPr>
      <w:r w:rsidRPr="00DE096C">
        <w:rPr>
          <w:bCs/>
          <w:color w:val="002060"/>
          <w:sz w:val="16"/>
          <w:szCs w:val="16"/>
        </w:rPr>
        <w:t>На слова поручика Кованько: "что же ты будешь делать, возьми хоть браунинг", - штабс-капитан Нестеров ответил: "ничего, я как-нибудь обойдусь".</w:t>
      </w:r>
    </w:p>
    <w:p w14:paraId="4638298C" w14:textId="77777777" w:rsidR="00B67D7C" w:rsidRPr="00DE096C" w:rsidRDefault="00B67D7C" w:rsidP="00D45A46">
      <w:pPr>
        <w:jc w:val="both"/>
        <w:rPr>
          <w:bCs/>
          <w:color w:val="002060"/>
          <w:sz w:val="16"/>
          <w:szCs w:val="16"/>
        </w:rPr>
      </w:pPr>
      <w:r w:rsidRPr="00DE096C">
        <w:rPr>
          <w:bCs/>
          <w:color w:val="002060"/>
          <w:sz w:val="16"/>
          <w:szCs w:val="16"/>
        </w:rPr>
        <w:t>6. Штабс-капитан Нестеров быстро выиграл высоту и нагнал неприятельский аппарат в трех с половиной верстах (северо-западнее деревни Липина) в 12 час. 5 мин. дня. Здесь, будучи значительно выше неприятельской машины, он спланировал не нее, очевидно, с целью сбить ее колесами.</w:t>
      </w:r>
    </w:p>
    <w:p w14:paraId="739EA803" w14:textId="77777777" w:rsidR="00B67D7C" w:rsidRPr="00DE096C" w:rsidRDefault="00B67D7C" w:rsidP="00D45A46">
      <w:pPr>
        <w:jc w:val="both"/>
        <w:rPr>
          <w:bCs/>
          <w:color w:val="002060"/>
          <w:sz w:val="16"/>
          <w:szCs w:val="16"/>
        </w:rPr>
      </w:pPr>
      <w:r w:rsidRPr="00DE096C">
        <w:rPr>
          <w:bCs/>
          <w:color w:val="002060"/>
          <w:sz w:val="16"/>
          <w:szCs w:val="16"/>
        </w:rPr>
        <w:t>7. Вследствие трудности учесть поступательную скорость обеих машин, аппарат штабс-капитана Нестерова не ударил австрийский аэроплан колесами, а врезался мотором между двумя несущими поверхностями бимонопла- на . Доказательством сего служат: а) совершенно изломанный винт Морана, б) обмотавшаяся вокруг обломка того же винта наружная покрышка Бауденовского гибкого вала от счетчика оборотов, в) поломка вала, отделение мотора от аппарата и отдельное его падение на землю метрах в 130 от первого.</w:t>
      </w:r>
    </w:p>
    <w:p w14:paraId="28A07839" w14:textId="77777777" w:rsidR="00B67D7C" w:rsidRPr="00DE096C" w:rsidRDefault="00B67D7C" w:rsidP="00D45A46">
      <w:pPr>
        <w:jc w:val="both"/>
        <w:rPr>
          <w:bCs/>
          <w:color w:val="002060"/>
          <w:sz w:val="16"/>
          <w:szCs w:val="16"/>
        </w:rPr>
      </w:pPr>
      <w:r w:rsidRPr="00DE096C">
        <w:rPr>
          <w:bCs/>
          <w:color w:val="002060"/>
          <w:sz w:val="16"/>
          <w:szCs w:val="16"/>
        </w:rPr>
        <w:t>8. По характеру падения Морана штабс-капитана Нестерова спиралью можно заключить, что крылья такового в первый, последовавший после столкновения момент, остались целы, а если прогнулись, то незначительно.</w:t>
      </w:r>
    </w:p>
    <w:p w14:paraId="2F30E35F" w14:textId="77777777" w:rsidR="00B67D7C" w:rsidRPr="00DE096C" w:rsidRDefault="00B67D7C" w:rsidP="00D45A46">
      <w:pPr>
        <w:jc w:val="both"/>
        <w:rPr>
          <w:bCs/>
          <w:color w:val="002060"/>
          <w:sz w:val="16"/>
          <w:szCs w:val="16"/>
        </w:rPr>
      </w:pPr>
      <w:r w:rsidRPr="00DE096C">
        <w:rPr>
          <w:bCs/>
          <w:color w:val="002060"/>
          <w:sz w:val="16"/>
          <w:szCs w:val="16"/>
        </w:rPr>
        <w:t>9. Штабс-капитан Нестеров вылетел из аппарата и упал на землю отдельно от машины метрах в 25 от нее, момент отделения его от аппарата установить не удалось; имеются показания, что он вылетел в самый момент столкновения аппаратов, но некоторые показывают, что это случилось значительно ниже указанной точки.</w:t>
      </w:r>
    </w:p>
    <w:p w14:paraId="018F83FD" w14:textId="77777777" w:rsidR="00B67D7C" w:rsidRPr="00DE096C" w:rsidRDefault="00B67D7C" w:rsidP="00D45A46">
      <w:pPr>
        <w:jc w:val="both"/>
        <w:rPr>
          <w:bCs/>
          <w:color w:val="002060"/>
          <w:sz w:val="16"/>
          <w:szCs w:val="16"/>
        </w:rPr>
      </w:pPr>
      <w:r w:rsidRPr="00DE096C">
        <w:rPr>
          <w:bCs/>
          <w:color w:val="002060"/>
          <w:sz w:val="16"/>
          <w:szCs w:val="16"/>
        </w:rPr>
        <w:t>10. Осмотр обломков Морана указывает на то, что шасси прогнулось или подломилось уже в воздухе, нижние тросы ослабли, и в момент касания земли аппарат сложился так, что концы крыльев смотрели в одну сторону.</w:t>
      </w:r>
    </w:p>
    <w:p w14:paraId="79C73788" w14:textId="77777777" w:rsidR="00B67D7C" w:rsidRPr="00DE096C" w:rsidRDefault="00B67D7C" w:rsidP="00D45A46">
      <w:pPr>
        <w:jc w:val="both"/>
        <w:rPr>
          <w:bCs/>
          <w:color w:val="002060"/>
          <w:sz w:val="16"/>
          <w:szCs w:val="16"/>
        </w:rPr>
      </w:pPr>
      <w:r w:rsidRPr="00DE096C">
        <w:rPr>
          <w:bCs/>
          <w:color w:val="002060"/>
          <w:sz w:val="16"/>
          <w:szCs w:val="16"/>
        </w:rPr>
        <w:t>Из всего вышеизложенного надлежит вывести заключение, что штабс-капитан Нестеров сознательно, презрев личную опасность, преднамеренно поднялся, настиг и ударил неприятельский аэроплан собственной машиной; что от силы столкновения собственный аппарат штабс-капитана Нестерова настолько пострадал, что штабс-капитан Нестеров спуститься на нем не мог, был выброшен из аппарата при одном из резких движений последнего и погиб, разбившись о землю.</w:t>
      </w:r>
    </w:p>
    <w:p w14:paraId="6AAA4634" w14:textId="77777777" w:rsidR="00B67D7C" w:rsidRPr="00DE096C" w:rsidRDefault="00B67D7C" w:rsidP="00D45A46">
      <w:pPr>
        <w:jc w:val="both"/>
        <w:rPr>
          <w:bCs/>
          <w:color w:val="002060"/>
          <w:sz w:val="16"/>
          <w:szCs w:val="16"/>
        </w:rPr>
      </w:pPr>
      <w:r w:rsidRPr="00DE096C">
        <w:rPr>
          <w:bCs/>
          <w:color w:val="002060"/>
          <w:sz w:val="16"/>
          <w:szCs w:val="16"/>
        </w:rPr>
        <w:t>Подписал: председатель комиссии генерального штаба капитан Лазарев, члены: военный летчик поручик Передков и военный летчик поручик Кованько".</w:t>
      </w:r>
    </w:p>
    <w:p w14:paraId="2154308E" w14:textId="77777777" w:rsidR="00B67D7C" w:rsidRPr="00DE096C" w:rsidRDefault="00B67D7C" w:rsidP="00D45A46">
      <w:pPr>
        <w:jc w:val="both"/>
        <w:rPr>
          <w:bCs/>
          <w:color w:val="002060"/>
          <w:sz w:val="16"/>
          <w:szCs w:val="16"/>
        </w:rPr>
      </w:pPr>
      <w:r w:rsidRPr="00DE096C">
        <w:rPr>
          <w:bCs/>
          <w:color w:val="002060"/>
          <w:sz w:val="16"/>
          <w:szCs w:val="16"/>
        </w:rPr>
        <w:t>Из приказа по войскам 3-й армии № 33 от (26) августа 1914 г.: "Слава ему, геройски исполнившему свой долг перед Родиной! Да будет его подвиг всем примером и да найдет в себе силу каждый поступить, как поступил штабс-капитан Нестеров, если обстоятельства этого потребуют...</w:t>
      </w:r>
    </w:p>
    <w:p w14:paraId="35D76E22" w14:textId="77777777" w:rsidR="00B67D7C" w:rsidRPr="00DE096C" w:rsidRDefault="00B67D7C" w:rsidP="00D45A46">
      <w:pPr>
        <w:jc w:val="both"/>
        <w:rPr>
          <w:bCs/>
          <w:color w:val="002060"/>
          <w:sz w:val="16"/>
          <w:szCs w:val="16"/>
        </w:rPr>
      </w:pPr>
      <w:r w:rsidRPr="00DE096C">
        <w:rPr>
          <w:bCs/>
          <w:color w:val="002060"/>
          <w:sz w:val="16"/>
          <w:szCs w:val="16"/>
        </w:rPr>
        <w:t>Командующий армией генерал от инфантерии Рузский,</w:t>
      </w:r>
    </w:p>
    <w:p w14:paraId="24A8F12F" w14:textId="643DD245" w:rsidR="00B67D7C" w:rsidRPr="00DE096C" w:rsidRDefault="00B67D7C" w:rsidP="00D45A46">
      <w:pPr>
        <w:jc w:val="both"/>
        <w:rPr>
          <w:bCs/>
          <w:color w:val="002060"/>
          <w:sz w:val="16"/>
          <w:szCs w:val="16"/>
        </w:rPr>
      </w:pPr>
      <w:r w:rsidRPr="00DE096C">
        <w:rPr>
          <w:bCs/>
          <w:color w:val="002060"/>
          <w:sz w:val="16"/>
          <w:szCs w:val="16"/>
        </w:rPr>
        <w:t>Начальник штаба армии генерал-лейтенант Драгомиров".</w:t>
      </w:r>
    </w:p>
    <w:p w14:paraId="003961F5" w14:textId="77777777" w:rsidR="00B67D7C" w:rsidRPr="00DE096C" w:rsidRDefault="00B67D7C" w:rsidP="00D45A46">
      <w:pPr>
        <w:jc w:val="both"/>
        <w:rPr>
          <w:bCs/>
          <w:color w:val="002060"/>
          <w:sz w:val="16"/>
          <w:szCs w:val="16"/>
        </w:rPr>
      </w:pPr>
      <w:r w:rsidRPr="00DE096C">
        <w:rPr>
          <w:bCs/>
          <w:color w:val="002060"/>
          <w:sz w:val="16"/>
          <w:szCs w:val="16"/>
        </w:rPr>
        <w:t>Телеграмма: "Австрийский летчик поручик Розенталь и унтер офицер Молина погибли 26 августа при воздушной атаке их северо-западнее Воля Высоцкого штабс-капитаном Нестеровым также погибшим при этом. Драгомиров".</w:t>
      </w:r>
    </w:p>
    <w:p w14:paraId="346FAB3A" w14:textId="77777777" w:rsidR="00B67D7C" w:rsidRPr="00DE096C" w:rsidRDefault="00B67D7C" w:rsidP="00D45A46">
      <w:pPr>
        <w:jc w:val="both"/>
        <w:rPr>
          <w:bCs/>
          <w:color w:val="002060"/>
          <w:sz w:val="16"/>
          <w:szCs w:val="16"/>
        </w:rPr>
      </w:pPr>
      <w:r w:rsidRPr="00DE096C">
        <w:rPr>
          <w:bCs/>
          <w:color w:val="002060"/>
          <w:sz w:val="16"/>
          <w:szCs w:val="16"/>
        </w:rPr>
        <w:t>Вот как описал первый в истории воздушный таран механик П. Н. Нестерова, доставивший тело героя в Киев: "25 августа появились австрийские аэропланы над нашими позициями. Мы насчитали три штуки. Один из них бросил фитильную бомбу, и они улетели. Наша стрельба из винтовок не причинила им никакого вреда. Нестеров попробовал их догнать, но у него почему-то зачихал мотор, и ему пришлось совершить посадку.</w:t>
      </w:r>
    </w:p>
    <w:p w14:paraId="3B08A4E4" w14:textId="77777777" w:rsidR="00B67D7C" w:rsidRPr="00DE096C" w:rsidRDefault="00B67D7C" w:rsidP="00D45A46">
      <w:pPr>
        <w:jc w:val="both"/>
        <w:rPr>
          <w:bCs/>
          <w:color w:val="002060"/>
          <w:sz w:val="16"/>
          <w:szCs w:val="16"/>
        </w:rPr>
      </w:pPr>
      <w:r w:rsidRPr="00DE096C">
        <w:rPr>
          <w:bCs/>
          <w:color w:val="002060"/>
          <w:sz w:val="16"/>
          <w:szCs w:val="16"/>
        </w:rPr>
        <w:t>На следующий день, едва появились аэропланы австрийцев, Нестеров сразу же бросился к своему аппарату и стал быстро набирать высоту. Поднявшись на высоту 2000 м, он нагнал австрийца сверху и задел его своим шасси. Аэроплан противника стремительно полетел вниз. Аппарат Нестерова после этого стал спирально спускаться. Мы обрадовались, значит он жив и все нормально. Но еще на большой высоте он вдруг опрокинулся и камнем полетел в болото еще быстрее австрийца.</w:t>
      </w:r>
    </w:p>
    <w:p w14:paraId="55AA985E" w14:textId="77777777" w:rsidR="00B67D7C" w:rsidRPr="00DE096C" w:rsidRDefault="00B67D7C" w:rsidP="00D45A46">
      <w:pPr>
        <w:jc w:val="both"/>
        <w:rPr>
          <w:bCs/>
          <w:color w:val="002060"/>
          <w:sz w:val="16"/>
          <w:szCs w:val="16"/>
        </w:rPr>
      </w:pPr>
      <w:r w:rsidRPr="00DE096C">
        <w:rPr>
          <w:bCs/>
          <w:color w:val="002060"/>
          <w:sz w:val="16"/>
          <w:szCs w:val="16"/>
        </w:rPr>
        <w:t>Сначала сорвался с петель мотор и глубоко ушел в землю, затем выпало тело и, наконец, грохнулась в болото рама. После этого упал австрийский аэроплан.</w:t>
      </w:r>
    </w:p>
    <w:p w14:paraId="0CA42A50" w14:textId="77777777" w:rsidR="00B67D7C" w:rsidRPr="00DE096C" w:rsidRDefault="00B67D7C" w:rsidP="00D45A46">
      <w:pPr>
        <w:jc w:val="both"/>
        <w:rPr>
          <w:bCs/>
          <w:color w:val="002060"/>
          <w:sz w:val="16"/>
          <w:szCs w:val="16"/>
        </w:rPr>
      </w:pPr>
      <w:r w:rsidRPr="00DE096C">
        <w:rPr>
          <w:bCs/>
          <w:color w:val="002060"/>
          <w:sz w:val="16"/>
          <w:szCs w:val="16"/>
        </w:rPr>
        <w:t>Нестеров был мертв. Осмотр тела показал следующее. Удар Нестерова по противнику был рассчитан точно и произведен правильно. Это доказывает первоначальное снижение аэроплана по заранее заданной ему спирали. Но аппарат в последний момент был случайно задет пропеллером австрийского аэроплана. От неожиданного толчка Нестеров сломал позвоночник о спинку своего сиденья. Смерть наступила моментально.</w:t>
      </w:r>
    </w:p>
    <w:p w14:paraId="10F80293" w14:textId="77777777" w:rsidR="00B67D7C" w:rsidRPr="00DE096C" w:rsidRDefault="00B67D7C" w:rsidP="00D45A46">
      <w:pPr>
        <w:jc w:val="both"/>
        <w:rPr>
          <w:bCs/>
          <w:color w:val="002060"/>
          <w:sz w:val="16"/>
          <w:szCs w:val="16"/>
        </w:rPr>
      </w:pPr>
      <w:r w:rsidRPr="00DE096C">
        <w:rPr>
          <w:bCs/>
          <w:color w:val="002060"/>
          <w:sz w:val="16"/>
          <w:szCs w:val="16"/>
        </w:rPr>
        <w:t>Оба австрийских летчика также погибли. Рядом с ними нашли две бомбы".</w:t>
      </w:r>
    </w:p>
    <w:p w14:paraId="15878E22" w14:textId="77777777" w:rsidR="00B67D7C" w:rsidRPr="00DE096C" w:rsidRDefault="00B67D7C" w:rsidP="00D45A46">
      <w:pPr>
        <w:jc w:val="both"/>
        <w:rPr>
          <w:bCs/>
          <w:color w:val="002060"/>
          <w:sz w:val="16"/>
          <w:szCs w:val="16"/>
        </w:rPr>
      </w:pPr>
      <w:r w:rsidRPr="00DE096C">
        <w:rPr>
          <w:bCs/>
          <w:color w:val="002060"/>
          <w:sz w:val="16"/>
          <w:szCs w:val="16"/>
        </w:rPr>
        <w:t xml:space="preserve">А вот что написал после гибели Нестерова в редакцию газеты "Новое время" Евграф Крутень: "Все мы, военные летчики, уверены, что Нестеров не просто воткнулся, зажмурив глаза, своим аппаратом в неприятельский, как казалось из первых газетных сообщений. Для Нестерова это было бы слишком плоско. Он не стал бы так тратить аппарат. Он знал себе цену, знал, что он нужен авиации общественной и военной как летчик и как конструктор. Нет, он выполнил свою идею, которую высказал на товарищеском обеде в Гатчине после своего замечательного перелета Киев - Петербург в 18 часов всего. Он сказал: "Я не фокусник. Моя первая мертвая </w:t>
      </w:r>
      <w:r w:rsidRPr="00DE096C">
        <w:rPr>
          <w:bCs/>
          <w:color w:val="002060"/>
          <w:sz w:val="16"/>
          <w:szCs w:val="16"/>
        </w:rPr>
        <w:lastRenderedPageBreak/>
        <w:t>петля - доказательство моей теории: в воздухе везде опора . Необходимо лишь самообладание. Перелет такой, как мой, без всяких предварительных подготовок, сами знаете, какое имеет значение у нас в военной авиации.</w:t>
      </w:r>
    </w:p>
    <w:p w14:paraId="0C6461D5" w14:textId="77777777" w:rsidR="00B67D7C" w:rsidRPr="00DE096C" w:rsidRDefault="00B67D7C" w:rsidP="00D45A46">
      <w:pPr>
        <w:jc w:val="both"/>
        <w:rPr>
          <w:bCs/>
          <w:color w:val="002060"/>
          <w:sz w:val="16"/>
          <w:szCs w:val="16"/>
        </w:rPr>
      </w:pPr>
      <w:r w:rsidRPr="00DE096C">
        <w:rPr>
          <w:bCs/>
          <w:color w:val="002060"/>
          <w:sz w:val="16"/>
          <w:szCs w:val="16"/>
        </w:rPr>
        <w:t>Теперь меня занимает мысль об уничтожении неприятельских аппаратов таранным способом, пользуясь быстроходностью и быстроподъемностью аэроплана. Например, ударив на лету своим шасси неприятельский аппарат сверху".</w:t>
      </w:r>
    </w:p>
    <w:p w14:paraId="0209D3B1" w14:textId="77777777" w:rsidR="00B67D7C" w:rsidRPr="00DE096C" w:rsidRDefault="00B67D7C" w:rsidP="00D45A46">
      <w:pPr>
        <w:jc w:val="both"/>
        <w:rPr>
          <w:bCs/>
          <w:color w:val="002060"/>
          <w:sz w:val="16"/>
          <w:szCs w:val="16"/>
        </w:rPr>
      </w:pPr>
      <w:r w:rsidRPr="00DE096C">
        <w:rPr>
          <w:bCs/>
          <w:color w:val="002060"/>
          <w:sz w:val="16"/>
          <w:szCs w:val="16"/>
        </w:rPr>
        <w:t>Мы, участники обеда, были захвачены его идеей. Так Просто!..</w:t>
      </w:r>
    </w:p>
    <w:p w14:paraId="4E0AE054" w14:textId="77777777" w:rsidR="00B67D7C" w:rsidRPr="00DE096C" w:rsidRDefault="00B67D7C" w:rsidP="00D45A46">
      <w:pPr>
        <w:jc w:val="both"/>
        <w:rPr>
          <w:bCs/>
          <w:color w:val="002060"/>
          <w:sz w:val="16"/>
          <w:szCs w:val="16"/>
        </w:rPr>
      </w:pPr>
      <w:r w:rsidRPr="00DE096C">
        <w:rPr>
          <w:bCs/>
          <w:color w:val="002060"/>
          <w:sz w:val="16"/>
          <w:szCs w:val="16"/>
        </w:rPr>
        <w:t>Как за два года до петли, говоря о ней, Нестеров и показал ее на практике, так и теперь Нестеров не говорил на ветер. 12 мая этого года он сказал о бое, а 26 августа это и было им приведено в исполнение...</w:t>
      </w:r>
    </w:p>
    <w:p w14:paraId="124CC4BF" w14:textId="77777777" w:rsidR="00B67D7C" w:rsidRPr="00DE096C" w:rsidRDefault="00B67D7C" w:rsidP="00D45A46">
      <w:pPr>
        <w:jc w:val="both"/>
        <w:rPr>
          <w:bCs/>
          <w:color w:val="002060"/>
          <w:sz w:val="16"/>
          <w:szCs w:val="16"/>
        </w:rPr>
      </w:pPr>
      <w:r w:rsidRPr="00DE096C">
        <w:rPr>
          <w:bCs/>
          <w:color w:val="002060"/>
          <w:sz w:val="16"/>
          <w:szCs w:val="16"/>
        </w:rPr>
        <w:t>Итак, начало боя в воздухе положено...</w:t>
      </w:r>
    </w:p>
    <w:p w14:paraId="26248FC8" w14:textId="77777777" w:rsidR="00B67D7C" w:rsidRPr="00DE096C" w:rsidRDefault="00B67D7C" w:rsidP="00D45A46">
      <w:pPr>
        <w:jc w:val="both"/>
        <w:rPr>
          <w:bCs/>
          <w:color w:val="002060"/>
          <w:sz w:val="16"/>
          <w:szCs w:val="16"/>
        </w:rPr>
      </w:pPr>
      <w:r w:rsidRPr="00DE096C">
        <w:rPr>
          <w:bCs/>
          <w:color w:val="002060"/>
          <w:sz w:val="16"/>
          <w:szCs w:val="16"/>
        </w:rPr>
        <w:t>Поручик Крутень" (11999).</w:t>
      </w:r>
    </w:p>
    <w:p w14:paraId="63ACAE91" w14:textId="77777777" w:rsidR="00B67D7C" w:rsidRPr="00DE096C" w:rsidRDefault="00B67D7C" w:rsidP="00D45A46">
      <w:pPr>
        <w:jc w:val="both"/>
        <w:rPr>
          <w:bCs/>
          <w:i/>
          <w:color w:val="002060"/>
          <w:sz w:val="16"/>
          <w:szCs w:val="16"/>
        </w:rPr>
      </w:pPr>
    </w:p>
    <w:p w14:paraId="72B1D261" w14:textId="44C5EC30" w:rsidR="00562E95" w:rsidRPr="00DE096C" w:rsidRDefault="00105BD1" w:rsidP="00D45A46">
      <w:pPr>
        <w:jc w:val="both"/>
        <w:rPr>
          <w:bCs/>
          <w:color w:val="002060"/>
          <w:sz w:val="16"/>
          <w:szCs w:val="16"/>
        </w:rPr>
      </w:pPr>
      <w:r w:rsidRPr="00DE096C">
        <w:rPr>
          <w:bCs/>
          <w:color w:val="002060"/>
          <w:sz w:val="16"/>
          <w:szCs w:val="16"/>
        </w:rPr>
        <w:t>26 августа (</w:t>
      </w:r>
      <w:r w:rsidR="00562E95" w:rsidRPr="00DE096C">
        <w:rPr>
          <w:bCs/>
          <w:color w:val="002060"/>
          <w:sz w:val="16"/>
          <w:szCs w:val="16"/>
        </w:rPr>
        <w:t>8 сентября</w:t>
      </w:r>
      <w:r w:rsidRPr="00DE096C">
        <w:rPr>
          <w:bCs/>
          <w:color w:val="002060"/>
          <w:sz w:val="16"/>
          <w:szCs w:val="16"/>
        </w:rPr>
        <w:t>)</w:t>
      </w:r>
      <w:r w:rsidR="00562E95" w:rsidRPr="00DE096C">
        <w:rPr>
          <w:bCs/>
          <w:color w:val="002060"/>
          <w:sz w:val="16"/>
          <w:szCs w:val="16"/>
        </w:rPr>
        <w:t xml:space="preserve"> в 1914 году в Галиции над городом Жолква под Львовом в воздушном бою с австрийцами погиб, впервые в мире применив таран, сбив двухместный австрийский самолет-разведчик, русский военный летчик штабс-капитан Петр Николаевич Нестеров, пилот и новатор летного дела. Корпусом своего "Морана" он ударил сверху австрийский самолет "Альбатрос", в результате чего оба самолета упали на землю, а пилоты погибли. Нестеров разрабатывал технику пилотирования на глубоких виражах, освоил ночные полеты, первым в истории авиации ввел крены на вираже, выполнил ряд фигур высшего пилотажа, в том числе «мертвую петлю». Посмертно награжден орденом Святого Георгия 4-й степени. Похоронен в Киеве (14763).</w:t>
      </w:r>
    </w:p>
    <w:p w14:paraId="2AE0CE0C" w14:textId="77777777" w:rsidR="00562E95" w:rsidRPr="00DE096C" w:rsidRDefault="00562E95" w:rsidP="00D45A46">
      <w:pPr>
        <w:jc w:val="both"/>
        <w:rPr>
          <w:bCs/>
          <w:color w:val="002060"/>
          <w:sz w:val="16"/>
          <w:szCs w:val="16"/>
        </w:rPr>
      </w:pPr>
    </w:p>
    <w:p w14:paraId="1B4538F2" w14:textId="77777777" w:rsidR="002F474A" w:rsidRPr="00DE096C" w:rsidRDefault="002F474A" w:rsidP="00D45A46">
      <w:pPr>
        <w:jc w:val="both"/>
        <w:rPr>
          <w:bCs/>
          <w:color w:val="002060"/>
          <w:sz w:val="16"/>
          <w:szCs w:val="16"/>
        </w:rPr>
      </w:pPr>
      <w:r w:rsidRPr="00DE096C">
        <w:rPr>
          <w:bCs/>
          <w:color w:val="002060"/>
          <w:sz w:val="16"/>
          <w:szCs w:val="16"/>
        </w:rPr>
        <w:t xml:space="preserve">26 августа 1914 года штабс-капитан Петр Нестеров, заметив в воздухе над городом. Жолкиевом неприятельский аэроплан, производивший разведку, по личной инициативе, поднявшись на аппарате, протаранил неприятельский аэроплан, упавший с двумя летчиками около деревни Воля Высоцка, при этом сам погиб славной смертью героя (11334). </w:t>
      </w:r>
    </w:p>
    <w:p w14:paraId="49A65D2D" w14:textId="77777777" w:rsidR="002F474A" w:rsidRPr="00DE096C" w:rsidRDefault="002F474A" w:rsidP="00D45A46">
      <w:pPr>
        <w:jc w:val="both"/>
        <w:rPr>
          <w:bCs/>
          <w:color w:val="002060"/>
          <w:sz w:val="16"/>
          <w:szCs w:val="16"/>
        </w:rPr>
      </w:pPr>
    </w:p>
    <w:p w14:paraId="0D4D711D" w14:textId="49F30A95"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26 августа (8 сентября) 1914 </w:t>
      </w:r>
      <w:r w:rsidR="00105BD1" w:rsidRPr="00DE096C">
        <w:rPr>
          <w:bCs/>
          <w:color w:val="002060"/>
          <w:sz w:val="16"/>
          <w:szCs w:val="16"/>
        </w:rPr>
        <w:t xml:space="preserve">г. </w:t>
      </w:r>
      <w:r w:rsidRPr="00DE096C">
        <w:rPr>
          <w:bCs/>
          <w:color w:val="002060"/>
          <w:sz w:val="16"/>
          <w:szCs w:val="16"/>
        </w:rPr>
        <w:t>из Петрограда вылетели на фронт в район Варшавы первые два самолета "Илья Муромец". В связи с этим командующий IX армии приказал предупредить войска по пути полета "Муромцев" во избежание обстрела с земли, что уже имело место, так как войска плохо отличали свои самолеты от неприятельских (ЦГВИА. ф.2139, оп. 2, д. 180, л. 6).</w:t>
      </w:r>
    </w:p>
    <w:p w14:paraId="6EF91556" w14:textId="77777777" w:rsidR="00B67D7C" w:rsidRPr="00DE096C" w:rsidRDefault="00B67D7C" w:rsidP="00D45A46">
      <w:pPr>
        <w:shd w:val="clear" w:color="auto" w:fill="FFFFFF"/>
        <w:jc w:val="both"/>
        <w:rPr>
          <w:bCs/>
          <w:color w:val="002060"/>
          <w:sz w:val="16"/>
          <w:szCs w:val="16"/>
        </w:rPr>
      </w:pPr>
    </w:p>
    <w:p w14:paraId="203CECFB" w14:textId="77777777" w:rsidR="00463DD2" w:rsidRPr="00DE096C" w:rsidRDefault="00463DD2" w:rsidP="00D45A46">
      <w:pPr>
        <w:jc w:val="both"/>
        <w:rPr>
          <w:bCs/>
          <w:color w:val="002060"/>
          <w:sz w:val="16"/>
          <w:szCs w:val="16"/>
        </w:rPr>
      </w:pPr>
      <w:r w:rsidRPr="00DE096C">
        <w:rPr>
          <w:bCs/>
          <w:color w:val="002060"/>
          <w:sz w:val="16"/>
          <w:szCs w:val="16"/>
        </w:rPr>
        <w:t>26 августа (8 сентября) 1914 г. из Петрограда вылетели на фронт в район Варшавы первые два самолета “Илья Муромец". В связи с этим командующий 1Х армии приказал предупредить войска по пути полета "Муромцев“ во избежание обстрела с земли, что уже имело место, так как войска не отличали свои самолеты от неприятельских.</w:t>
      </w:r>
    </w:p>
    <w:p w14:paraId="5C5C1640" w14:textId="77777777" w:rsidR="00463DD2" w:rsidRPr="00DE096C" w:rsidRDefault="00463DD2" w:rsidP="00D45A46">
      <w:pPr>
        <w:jc w:val="both"/>
        <w:rPr>
          <w:bCs/>
          <w:color w:val="002060"/>
          <w:sz w:val="16"/>
          <w:szCs w:val="16"/>
        </w:rPr>
      </w:pPr>
      <w:r w:rsidRPr="00DE096C">
        <w:rPr>
          <w:bCs/>
          <w:color w:val="002060"/>
          <w:sz w:val="16"/>
          <w:szCs w:val="16"/>
        </w:rPr>
        <w:t>/ЦГВИА, Ф. 2139, оп. 2, Д.180, Л. 6/ (23320).</w:t>
      </w:r>
    </w:p>
    <w:p w14:paraId="53CE7083" w14:textId="77777777" w:rsidR="00463DD2" w:rsidRPr="00DE096C" w:rsidRDefault="00463DD2" w:rsidP="00D45A46">
      <w:pPr>
        <w:jc w:val="both"/>
        <w:rPr>
          <w:bCs/>
          <w:color w:val="002060"/>
          <w:sz w:val="16"/>
          <w:szCs w:val="16"/>
        </w:rPr>
      </w:pPr>
    </w:p>
    <w:p w14:paraId="437B63DE" w14:textId="77777777" w:rsidR="00514246" w:rsidRPr="00DE096C" w:rsidRDefault="00514246" w:rsidP="00D45A46">
      <w:pPr>
        <w:jc w:val="both"/>
        <w:rPr>
          <w:bCs/>
          <w:color w:val="002060"/>
          <w:sz w:val="16"/>
          <w:szCs w:val="16"/>
        </w:rPr>
      </w:pPr>
      <w:r w:rsidRPr="00DE096C">
        <w:rPr>
          <w:bCs/>
          <w:color w:val="002060"/>
          <w:sz w:val="16"/>
          <w:szCs w:val="16"/>
        </w:rPr>
        <w:t>26 августа (8 сентября) 1914 г., стремясь прекратить систематические полеты неприятеля над г. Жолкиевом (Украина), где размещался в то время штаб 3-й русской армии Юго</w:t>
      </w:r>
      <w:r w:rsidRPr="00DE096C">
        <w:rPr>
          <w:bCs/>
          <w:color w:val="002060"/>
          <w:sz w:val="16"/>
          <w:szCs w:val="16"/>
        </w:rPr>
        <w:softHyphen/>
        <w:t>Западного фронта (ЮЗФ) и каждое утро фиксировалось появление австрийских ЛА, проводивших воздушную разведку местности, командир 11 КАО (3-я авиационная рота) штабс-капитан П.Н. Нестеров совершил перехват аэроплана противника из положения «дежурство на аэродроме». В результате вражеский трехместный летательный аппарат типа «Альбатрос» (Albatros, экипаж: лейтенант Ф. Розенталь, унтер-офицер Ф. Малина и неустановленное лицо) был атакован в воздухе над аэродромом русского авиаотряда в районе г. Жолкиев нашим аэропланом - двухместным летательным аппаратом типа «Моран-Солнье» «G» (Morane-Saulnier G).</w:t>
      </w:r>
    </w:p>
    <w:p w14:paraId="6FB309B9" w14:textId="77777777" w:rsidR="00514246" w:rsidRPr="00DE096C" w:rsidRDefault="00514246" w:rsidP="00D45A46">
      <w:pPr>
        <w:jc w:val="both"/>
        <w:rPr>
          <w:bCs/>
          <w:color w:val="002060"/>
          <w:sz w:val="16"/>
          <w:szCs w:val="16"/>
        </w:rPr>
      </w:pPr>
      <w:bookmarkStart w:id="144" w:name="bookmark13"/>
      <w:r w:rsidRPr="00DE096C">
        <w:rPr>
          <w:bCs/>
          <w:color w:val="002060"/>
          <w:sz w:val="16"/>
          <w:szCs w:val="16"/>
        </w:rPr>
        <w:t>В результате тарана экипаж неприятельского аэроплана и русский пилот погибли. За этот подвиг отважный русский летчик был удостоен ордена Святого Георгия IV степени и чина капитана (посмертно) (23405).</w:t>
      </w:r>
    </w:p>
    <w:p w14:paraId="4288E263" w14:textId="77777777" w:rsidR="00514246" w:rsidRPr="00DE096C" w:rsidRDefault="00514246" w:rsidP="00D45A46">
      <w:pPr>
        <w:jc w:val="both"/>
        <w:rPr>
          <w:bCs/>
          <w:color w:val="002060"/>
          <w:sz w:val="16"/>
          <w:szCs w:val="16"/>
        </w:rPr>
      </w:pPr>
    </w:p>
    <w:p w14:paraId="1861C443" w14:textId="77777777" w:rsidR="00514246" w:rsidRPr="00DE096C" w:rsidRDefault="00514246" w:rsidP="00D45A46">
      <w:pPr>
        <w:jc w:val="both"/>
        <w:rPr>
          <w:bCs/>
          <w:color w:val="002060"/>
          <w:sz w:val="16"/>
          <w:szCs w:val="16"/>
        </w:rPr>
      </w:pPr>
      <w:r w:rsidRPr="00DE096C">
        <w:rPr>
          <w:bCs/>
          <w:color w:val="002060"/>
          <w:sz w:val="16"/>
          <w:szCs w:val="16"/>
        </w:rPr>
        <w:t>26 августа (8 сентября) 1914 г. наши войска в районе польского городка Замостья (Люблинская губ.) сбили немецкий ЛА. При спуске неприятельские летчики попали в плен (23405).</w:t>
      </w:r>
      <w:bookmarkEnd w:id="144"/>
    </w:p>
    <w:p w14:paraId="79B2FF13" w14:textId="77777777" w:rsidR="00514246" w:rsidRPr="00DE096C" w:rsidRDefault="00514246" w:rsidP="00D45A46">
      <w:pPr>
        <w:jc w:val="both"/>
        <w:rPr>
          <w:bCs/>
          <w:color w:val="002060"/>
          <w:sz w:val="16"/>
          <w:szCs w:val="16"/>
          <w:lang w:bidi="ru-RU"/>
        </w:rPr>
      </w:pPr>
    </w:p>
    <w:p w14:paraId="2F11E59D" w14:textId="77777777" w:rsidR="006A0592" w:rsidRPr="00B52707" w:rsidRDefault="006A0592" w:rsidP="006A0592">
      <w:pPr>
        <w:jc w:val="both"/>
        <w:rPr>
          <w:color w:val="0070C0"/>
          <w:sz w:val="16"/>
          <w:szCs w:val="16"/>
        </w:rPr>
      </w:pPr>
      <w:r w:rsidRPr="00B52707">
        <w:rPr>
          <w:color w:val="0070C0"/>
          <w:sz w:val="16"/>
          <w:szCs w:val="16"/>
        </w:rPr>
        <w:t>26 августа (8 сентября) 1914 г. в районе Замостья (Замосцья) нашими передовыми частями был сбит германский аэроплан. В плен попали два неприятельских пилота (один из них раненый) (25135).</w:t>
      </w:r>
    </w:p>
    <w:p w14:paraId="5CA28369" w14:textId="77777777" w:rsidR="006A0592" w:rsidRPr="00B52707" w:rsidRDefault="006A0592" w:rsidP="006A0592">
      <w:pPr>
        <w:jc w:val="both"/>
        <w:rPr>
          <w:color w:val="0070C0"/>
          <w:sz w:val="16"/>
          <w:szCs w:val="16"/>
        </w:rPr>
      </w:pPr>
    </w:p>
    <w:p w14:paraId="62F079B5" w14:textId="4A7E4CCE" w:rsidR="00514246" w:rsidRPr="00DE096C" w:rsidRDefault="00514246" w:rsidP="00D45A46">
      <w:pPr>
        <w:jc w:val="both"/>
        <w:rPr>
          <w:bCs/>
          <w:color w:val="002060"/>
          <w:sz w:val="16"/>
          <w:szCs w:val="16"/>
          <w:lang w:bidi="en-US"/>
        </w:rPr>
      </w:pPr>
      <w:r w:rsidRPr="00DE096C">
        <w:rPr>
          <w:bCs/>
          <w:color w:val="002060"/>
          <w:sz w:val="16"/>
          <w:szCs w:val="16"/>
          <w:lang w:bidi="en-US"/>
        </w:rPr>
        <w:t xml:space="preserve">26 августа (8 сентября) 1914 г. на Северо-Западном фронте дирижабль немецкой армии </w:t>
      </w:r>
      <w:r w:rsidRPr="00DE096C">
        <w:rPr>
          <w:bCs/>
          <w:color w:val="002060"/>
          <w:sz w:val="16"/>
          <w:szCs w:val="16"/>
          <w:lang w:val="en-US" w:bidi="en-US"/>
        </w:rPr>
        <w:t>Z</w:t>
      </w:r>
      <w:r w:rsidRPr="00DE096C">
        <w:rPr>
          <w:bCs/>
          <w:color w:val="002060"/>
          <w:sz w:val="16"/>
          <w:szCs w:val="16"/>
          <w:lang w:bidi="en-US"/>
        </w:rPr>
        <w:t>.</w:t>
      </w:r>
      <w:r w:rsidRPr="00DE096C">
        <w:rPr>
          <w:bCs/>
          <w:color w:val="002060"/>
          <w:sz w:val="16"/>
          <w:szCs w:val="16"/>
          <w:lang w:val="en-US" w:bidi="en-US"/>
        </w:rPr>
        <w:t>V</w:t>
      </w:r>
      <w:r w:rsidRPr="00DE096C">
        <w:rPr>
          <w:bCs/>
          <w:color w:val="002060"/>
          <w:sz w:val="16"/>
          <w:szCs w:val="16"/>
          <w:lang w:bidi="en-US"/>
        </w:rPr>
        <w:t xml:space="preserve"> (</w:t>
      </w:r>
      <w:r w:rsidRPr="00DE096C">
        <w:rPr>
          <w:bCs/>
          <w:color w:val="002060"/>
          <w:sz w:val="16"/>
          <w:szCs w:val="16"/>
          <w:lang w:val="en-US" w:bidi="en-US"/>
        </w:rPr>
        <w:t>LZ</w:t>
      </w:r>
      <w:r w:rsidRPr="00DE096C">
        <w:rPr>
          <w:bCs/>
          <w:color w:val="002060"/>
          <w:sz w:val="16"/>
          <w:szCs w:val="16"/>
          <w:lang w:bidi="en-US"/>
        </w:rPr>
        <w:t>.20) во время своего седьмого боевого вылета атаковал железнодорожную станцию Млава под проливным дождем, получил тяжелые повреждения от русского наземного огня и был вынужден приземлиться во Млаве. Его командир погиб, а экипаж попал в плен (23525).</w:t>
      </w:r>
    </w:p>
    <w:p w14:paraId="3E79EDB2" w14:textId="77777777" w:rsidR="00514246" w:rsidRPr="00DE096C" w:rsidRDefault="00514246" w:rsidP="00D45A46">
      <w:pPr>
        <w:jc w:val="both"/>
        <w:rPr>
          <w:bCs/>
          <w:color w:val="002060"/>
          <w:sz w:val="16"/>
          <w:szCs w:val="16"/>
        </w:rPr>
      </w:pPr>
    </w:p>
    <w:p w14:paraId="64B48019" w14:textId="77777777" w:rsidR="004B2114" w:rsidRPr="00DE096C" w:rsidRDefault="004B2114" w:rsidP="00D45A46">
      <w:pPr>
        <w:jc w:val="both"/>
        <w:rPr>
          <w:bCs/>
          <w:i/>
          <w:color w:val="002060"/>
          <w:sz w:val="16"/>
          <w:szCs w:val="16"/>
        </w:rPr>
      </w:pPr>
      <w:r w:rsidRPr="00DE096C">
        <w:rPr>
          <w:bCs/>
          <w:i/>
          <w:color w:val="002060"/>
          <w:sz w:val="16"/>
          <w:szCs w:val="16"/>
        </w:rPr>
        <w:t>Армия:</w:t>
      </w:r>
    </w:p>
    <w:p w14:paraId="7BA322A9" w14:textId="77777777" w:rsidR="004B2114" w:rsidRPr="00DE096C" w:rsidRDefault="004B2114" w:rsidP="00D45A46">
      <w:pPr>
        <w:jc w:val="both"/>
        <w:rPr>
          <w:bCs/>
          <w:i/>
          <w:color w:val="002060"/>
          <w:sz w:val="16"/>
          <w:szCs w:val="16"/>
        </w:rPr>
      </w:pPr>
    </w:p>
    <w:p w14:paraId="3C759698" w14:textId="51D770AA" w:rsidR="004B2114" w:rsidRPr="00DE096C" w:rsidRDefault="004B2114" w:rsidP="00D45A46">
      <w:pPr>
        <w:pStyle w:val="21"/>
        <w:shd w:val="clear" w:color="auto" w:fill="auto"/>
        <w:spacing w:after="0" w:line="240" w:lineRule="auto"/>
        <w:ind w:firstLine="0"/>
        <w:jc w:val="both"/>
        <w:rPr>
          <w:rFonts w:ascii="Times New Roman" w:hAnsi="Times New Roman" w:cs="Times New Roman"/>
          <w:bCs/>
          <w:color w:val="002060"/>
          <w:spacing w:val="0"/>
          <w:sz w:val="16"/>
          <w:szCs w:val="16"/>
        </w:rPr>
      </w:pPr>
      <w:r w:rsidRPr="00DE096C">
        <w:rPr>
          <w:rFonts w:ascii="Times New Roman" w:hAnsi="Times New Roman" w:cs="Times New Roman"/>
          <w:bCs/>
          <w:color w:val="002060"/>
          <w:spacing w:val="0"/>
          <w:sz w:val="16"/>
          <w:szCs w:val="16"/>
        </w:rPr>
        <w:t xml:space="preserve">С 10 </w:t>
      </w:r>
      <w:r w:rsidR="00105BD1" w:rsidRPr="00DE096C">
        <w:rPr>
          <w:rFonts w:ascii="Times New Roman" w:hAnsi="Times New Roman" w:cs="Times New Roman"/>
          <w:bCs/>
          <w:color w:val="002060"/>
          <w:spacing w:val="0"/>
          <w:sz w:val="16"/>
          <w:szCs w:val="16"/>
        </w:rPr>
        <w:t xml:space="preserve">(23) </w:t>
      </w:r>
      <w:r w:rsidRPr="00DE096C">
        <w:rPr>
          <w:rFonts w:ascii="Times New Roman" w:hAnsi="Times New Roman" w:cs="Times New Roman"/>
          <w:bCs/>
          <w:color w:val="002060"/>
          <w:spacing w:val="0"/>
          <w:sz w:val="16"/>
          <w:szCs w:val="16"/>
        </w:rPr>
        <w:t xml:space="preserve">по 26 августа </w:t>
      </w:r>
      <w:r w:rsidR="00105BD1" w:rsidRPr="00DE096C">
        <w:rPr>
          <w:rFonts w:ascii="Times New Roman" w:hAnsi="Times New Roman" w:cs="Times New Roman"/>
          <w:bCs/>
          <w:color w:val="002060"/>
          <w:spacing w:val="0"/>
          <w:sz w:val="16"/>
          <w:szCs w:val="16"/>
        </w:rPr>
        <w:t xml:space="preserve">(8 сентября) </w:t>
      </w:r>
      <w:r w:rsidRPr="00DE096C">
        <w:rPr>
          <w:rFonts w:ascii="Times New Roman" w:hAnsi="Times New Roman" w:cs="Times New Roman"/>
          <w:bCs/>
          <w:color w:val="002060"/>
          <w:spacing w:val="0"/>
          <w:sz w:val="16"/>
          <w:szCs w:val="16"/>
        </w:rPr>
        <w:t>1914 года, то есть всего за 16 дней, на Юго-Западном фронте было израсходовано по 350 выстрелов на каждое полевое орудие. Русское же военное ведомство отталкивалось в расчетах о грядущих потребностях в артиллерийском боезапасе опять-таки от условий военных действий в горной и бездорожной местности в Маньчжурии. В итоге посчитали, что заготовленных 76-мм снарядов к основной полевой пушке русской армии из расчета по 1000 выстрелов на орудие хватит, по крайней мере, на год (15230).</w:t>
      </w:r>
    </w:p>
    <w:p w14:paraId="061F1FF6" w14:textId="77777777" w:rsidR="004B2114" w:rsidRPr="00DE096C" w:rsidRDefault="004B2114" w:rsidP="00D45A46">
      <w:pPr>
        <w:pStyle w:val="21"/>
        <w:shd w:val="clear" w:color="auto" w:fill="auto"/>
        <w:spacing w:after="0" w:line="240" w:lineRule="auto"/>
        <w:ind w:firstLine="0"/>
        <w:jc w:val="both"/>
        <w:rPr>
          <w:rFonts w:ascii="Times New Roman" w:hAnsi="Times New Roman" w:cs="Times New Roman"/>
          <w:bCs/>
          <w:color w:val="002060"/>
          <w:spacing w:val="0"/>
          <w:sz w:val="16"/>
          <w:szCs w:val="16"/>
        </w:rPr>
      </w:pPr>
    </w:p>
    <w:p w14:paraId="7319D291" w14:textId="2022844C" w:rsidR="00D60381" w:rsidRPr="00DE096C" w:rsidRDefault="00D60381" w:rsidP="00D45A46">
      <w:pPr>
        <w:jc w:val="both"/>
        <w:rPr>
          <w:bCs/>
          <w:color w:val="002060"/>
          <w:sz w:val="16"/>
          <w:szCs w:val="16"/>
        </w:rPr>
      </w:pPr>
      <w:r w:rsidRPr="00DE096C">
        <w:rPr>
          <w:bCs/>
          <w:color w:val="002060"/>
          <w:sz w:val="16"/>
          <w:szCs w:val="16"/>
        </w:rPr>
        <w:t xml:space="preserve">26 августа </w:t>
      </w:r>
      <w:r w:rsidR="00105BD1" w:rsidRPr="00DE096C">
        <w:rPr>
          <w:bCs/>
          <w:color w:val="002060"/>
          <w:sz w:val="16"/>
          <w:szCs w:val="16"/>
        </w:rPr>
        <w:t xml:space="preserve">(8 сентября) </w:t>
      </w:r>
      <w:r w:rsidRPr="00DE096C">
        <w:rPr>
          <w:bCs/>
          <w:color w:val="002060"/>
          <w:sz w:val="16"/>
          <w:szCs w:val="16"/>
        </w:rPr>
        <w:t>в 1914 году в ходе Восточно-Прусской операции русских войск в первой мировой войне после первых побед из-за бездействия командующего 1-й русской армии Ренненкампфа и нерешительности командующего Северо-Западным фронтом генерала Жилинского немецкие войска под командованием генералов Гинденбурга и Людендорфа атакуют и окружают 2-ю русскую армию генерала Самсонова в районе Танненберга у Мазурских озер. В сражении принимали участие Вторая русская армия (командующий — А.В.Самсонов) и Восьмая германская армия (командующий — Пауль фон Гинденбург, начальник штаба — Эрих Людендорф). Немцы отбили наступление русских армий на Восточную Пруссию и нанесли тяжёлое поражение Второй армии, командующий которой, генерал Самсонов, по официальной версии, застрелился.</w:t>
      </w:r>
    </w:p>
    <w:p w14:paraId="40AFF957" w14:textId="77777777" w:rsidR="00D60381" w:rsidRPr="00DE096C" w:rsidRDefault="00D60381" w:rsidP="00D45A46">
      <w:pPr>
        <w:jc w:val="both"/>
        <w:rPr>
          <w:bCs/>
          <w:color w:val="002060"/>
          <w:sz w:val="16"/>
          <w:szCs w:val="16"/>
        </w:rPr>
      </w:pPr>
      <w:r w:rsidRPr="00DE096C">
        <w:rPr>
          <w:bCs/>
          <w:color w:val="002060"/>
          <w:sz w:val="16"/>
          <w:szCs w:val="16"/>
        </w:rPr>
        <w:t>Примечательная особенность сражения — серия быстрых перемещений германской армии по железной дороге, позволившиx разбить русские войска по частям. Стремление немецких политиков символически привязать битву при Танненберге к Грюнвальдскому сражению, произошедшему в этих местах 500 годами ранее, привело к созданию масштабного Танненбергского мемориала с могилой президента Гинденбурга. Танненберг (Tannenberg), ныне Стембарк (Stbark) — населённый пункт в Польше, в Ольштынском воеводстве (до 1945 года в бывшей Восточной Пруссии). В немецкой литературе сражением под Танненбергом зачастую называют точно также, как Грюнвальдскую битву, которая развернулась 15 июля 1410 году между селениями Грюнвальд (лагерь литовско-польско-русского войска) и Танненберг (лагерь Ордена и союзников) (14994).</w:t>
      </w:r>
    </w:p>
    <w:p w14:paraId="39FD5167" w14:textId="77777777" w:rsidR="00D60381" w:rsidRPr="00DE096C" w:rsidRDefault="00D60381" w:rsidP="00D45A46">
      <w:pPr>
        <w:jc w:val="both"/>
        <w:rPr>
          <w:bCs/>
          <w:color w:val="002060"/>
          <w:sz w:val="16"/>
          <w:szCs w:val="16"/>
        </w:rPr>
      </w:pPr>
    </w:p>
    <w:p w14:paraId="4628AB3E" w14:textId="0DC3DDB8" w:rsidR="00D60381" w:rsidRPr="00DE096C" w:rsidRDefault="00D60381" w:rsidP="00D45A46">
      <w:pPr>
        <w:jc w:val="both"/>
        <w:rPr>
          <w:bCs/>
          <w:color w:val="002060"/>
          <w:sz w:val="16"/>
          <w:szCs w:val="16"/>
        </w:rPr>
      </w:pPr>
      <w:r w:rsidRPr="00DE096C">
        <w:rPr>
          <w:bCs/>
          <w:color w:val="002060"/>
          <w:sz w:val="16"/>
          <w:szCs w:val="16"/>
        </w:rPr>
        <w:t xml:space="preserve">26 августа </w:t>
      </w:r>
      <w:r w:rsidR="00105BD1" w:rsidRPr="00DE096C">
        <w:rPr>
          <w:bCs/>
          <w:color w:val="002060"/>
          <w:sz w:val="16"/>
          <w:szCs w:val="16"/>
        </w:rPr>
        <w:t xml:space="preserve">(8 сентября) </w:t>
      </w:r>
      <w:r w:rsidRPr="00DE096C">
        <w:rPr>
          <w:bCs/>
          <w:color w:val="002060"/>
          <w:sz w:val="16"/>
          <w:szCs w:val="16"/>
        </w:rPr>
        <w:t>в 1914 году рядом с островом Осмуссаар (Оденсхольм) сел на камни немецкий крейсер "Магдебург". Наблюдательный пост маяка заметил корабль и сообщил по радио в штаб Балтийского флота. Русские крейсера и миноносцы из Ханко и Палдиски подошли к крейсеру и открыли по нему огонь. В безвыходной ситуации командир "Магдебурга" капитан 2-го ранга Хабенихт приказал взорвать крейсер и сдаться русским кораблям.Позднее русские водолазы обследовали брошенный крейсер и нашли две книги шифров германского флота. Одну книгу командующий Балтийским флотом адмирал Эссен передал Британскому Адмиралтейству (позже это приведет к гибели эскадры фон Шпее у Фолклендских островов) (14994).</w:t>
      </w:r>
    </w:p>
    <w:p w14:paraId="213E46A9" w14:textId="77777777" w:rsidR="00D60381" w:rsidRPr="00DE096C" w:rsidRDefault="00D60381" w:rsidP="00D45A46">
      <w:pPr>
        <w:jc w:val="both"/>
        <w:rPr>
          <w:bCs/>
          <w:color w:val="002060"/>
          <w:sz w:val="16"/>
          <w:szCs w:val="16"/>
        </w:rPr>
      </w:pPr>
    </w:p>
    <w:p w14:paraId="6D2992C4" w14:textId="77777777" w:rsidR="00033CC4" w:rsidRPr="00DE096C" w:rsidRDefault="00033CC4" w:rsidP="00D45A46">
      <w:pPr>
        <w:jc w:val="both"/>
        <w:rPr>
          <w:bCs/>
          <w:color w:val="002060"/>
          <w:sz w:val="16"/>
          <w:szCs w:val="16"/>
        </w:rPr>
      </w:pPr>
      <w:r w:rsidRPr="00DE096C">
        <w:rPr>
          <w:bCs/>
          <w:color w:val="002060"/>
          <w:sz w:val="16"/>
          <w:szCs w:val="16"/>
        </w:rPr>
        <w:t>26 августа (8 сентября) в 1914 году крейсеры "Паллада" и "Богатырь" захватывают германский крейсер "Магдебург", на борту которого будут обнаружены шифры флота противника (14763).</w:t>
      </w:r>
    </w:p>
    <w:p w14:paraId="6EF04D14" w14:textId="77777777" w:rsidR="00033CC4" w:rsidRPr="00DE096C" w:rsidRDefault="00033CC4" w:rsidP="00D45A46">
      <w:pPr>
        <w:jc w:val="both"/>
        <w:rPr>
          <w:bCs/>
          <w:color w:val="002060"/>
          <w:sz w:val="16"/>
          <w:szCs w:val="16"/>
        </w:rPr>
      </w:pPr>
    </w:p>
    <w:p w14:paraId="13C9FD6B" w14:textId="77777777" w:rsidR="00B67D7C" w:rsidRPr="00DE096C" w:rsidRDefault="00B67D7C" w:rsidP="00D45A46">
      <w:pPr>
        <w:jc w:val="both"/>
        <w:rPr>
          <w:bCs/>
          <w:i/>
          <w:color w:val="002060"/>
          <w:sz w:val="16"/>
          <w:szCs w:val="16"/>
        </w:rPr>
      </w:pPr>
      <w:r w:rsidRPr="00DE096C">
        <w:rPr>
          <w:bCs/>
          <w:i/>
          <w:color w:val="002060"/>
          <w:sz w:val="16"/>
          <w:szCs w:val="16"/>
        </w:rPr>
        <w:t>Авиация:</w:t>
      </w:r>
    </w:p>
    <w:p w14:paraId="470B9CCE" w14:textId="77777777" w:rsidR="00B67D7C" w:rsidRPr="00DE096C" w:rsidRDefault="00B67D7C" w:rsidP="00D45A46">
      <w:pPr>
        <w:jc w:val="both"/>
        <w:rPr>
          <w:bCs/>
          <w:i/>
          <w:color w:val="002060"/>
          <w:sz w:val="16"/>
          <w:szCs w:val="16"/>
        </w:rPr>
      </w:pPr>
    </w:p>
    <w:p w14:paraId="238B67C0" w14:textId="77777777" w:rsidR="00B67D7C" w:rsidRPr="00DE096C" w:rsidRDefault="00B67D7C" w:rsidP="00D45A46">
      <w:pPr>
        <w:jc w:val="both"/>
        <w:rPr>
          <w:bCs/>
          <w:color w:val="002060"/>
          <w:sz w:val="16"/>
          <w:szCs w:val="16"/>
        </w:rPr>
      </w:pPr>
      <w:r w:rsidRPr="00DE096C">
        <w:rPr>
          <w:bCs/>
          <w:color w:val="002060"/>
          <w:sz w:val="16"/>
          <w:szCs w:val="16"/>
        </w:rPr>
        <w:t>27 августа (9 сентября) 1914 Семенов с наблюдателем корнетом Николаевым при перелете через озеро Мейер, что в Восточной Пруссии, заметил неприятельский аэроплан, летевший к Летцену. Обойдя противника с правой стороны, Семенов атаковал его, заставил спуститься ниже и изменить направление полета в район русских позиций, где тот был обстрелян и около озера упал (11237).</w:t>
      </w:r>
    </w:p>
    <w:p w14:paraId="3617ED38" w14:textId="77777777" w:rsidR="00B67D7C" w:rsidRPr="00DE096C" w:rsidRDefault="00B67D7C" w:rsidP="00D45A46">
      <w:pPr>
        <w:jc w:val="both"/>
        <w:rPr>
          <w:bCs/>
          <w:i/>
          <w:color w:val="002060"/>
          <w:sz w:val="16"/>
          <w:szCs w:val="16"/>
        </w:rPr>
      </w:pPr>
    </w:p>
    <w:p w14:paraId="6136EF8D" w14:textId="77777777" w:rsidR="006A0592" w:rsidRPr="00B52707" w:rsidRDefault="006A0592" w:rsidP="006A0592">
      <w:pPr>
        <w:jc w:val="both"/>
        <w:rPr>
          <w:color w:val="0070C0"/>
          <w:sz w:val="16"/>
          <w:szCs w:val="16"/>
        </w:rPr>
      </w:pPr>
      <w:r w:rsidRPr="00B52707">
        <w:rPr>
          <w:color w:val="0070C0"/>
          <w:sz w:val="16"/>
          <w:szCs w:val="16"/>
        </w:rPr>
        <w:t xml:space="preserve">27 августа (9 сентября) 1914 г. военный летчик 28-го корпусного авиационного отряда (КАО) поручик А.И. Семенов провел один из первых воздушный бой в зоне действия Северо-Западного фронта (СЗФ). При выполнении разведывательного полета в районе оз. Мейер (Восточная Пруссия) он (с наблюдателем корнетом </w:t>
      </w:r>
      <w:r w:rsidRPr="00B52707">
        <w:rPr>
          <w:color w:val="0070C0"/>
          <w:sz w:val="16"/>
          <w:szCs w:val="16"/>
        </w:rPr>
        <w:lastRenderedPageBreak/>
        <w:t>Николаевым) обнаружил неприятельский аппарат. Маневрируя в опасной близи от противника, Семенов вынудил его пойти на снижение и изменить направление полета в район русских позиций. Там немецкий аэроплан был обстрелян нашей пехотой и упал возле озера (25135).</w:t>
      </w:r>
    </w:p>
    <w:p w14:paraId="1390CFDD" w14:textId="77777777" w:rsidR="006A0592" w:rsidRPr="00B52707" w:rsidRDefault="006A0592" w:rsidP="006A0592">
      <w:pPr>
        <w:jc w:val="both"/>
        <w:rPr>
          <w:color w:val="0070C0"/>
          <w:sz w:val="16"/>
          <w:szCs w:val="16"/>
        </w:rPr>
      </w:pPr>
    </w:p>
    <w:p w14:paraId="35830A62" w14:textId="77777777" w:rsidR="006A0592" w:rsidRPr="00B52707" w:rsidRDefault="006A0592" w:rsidP="006A0592">
      <w:pPr>
        <w:jc w:val="both"/>
        <w:rPr>
          <w:color w:val="0070C0"/>
          <w:sz w:val="16"/>
          <w:szCs w:val="16"/>
        </w:rPr>
      </w:pPr>
      <w:r w:rsidRPr="00B52707">
        <w:rPr>
          <w:color w:val="0070C0"/>
          <w:sz w:val="16"/>
          <w:szCs w:val="16"/>
        </w:rPr>
        <w:t>27 августа (9 сентября) 1914 г. военный летчик Гродненского крепостного авиаотряда поручик А.И.Семёнов «заставил снизиться немецкий самолетнад нашей артиллерией в Восточной Пруссии, которой и был расстрелян». Однако здесь речь не может идти о настоящем воздушном бое, так как наш летчик лишь заставил противника снизиться своими угрожающими маневрами. Недаром в Высочайшем (царском) приказе о награждении Семёнова орденом Св.Георгия 4-й степени говорилось о том, что он «способствовал уничтожению неприятельского аэроплана», а не сбил его (25147).</w:t>
      </w:r>
    </w:p>
    <w:p w14:paraId="7F3214CF" w14:textId="77777777" w:rsidR="006A0592" w:rsidRPr="00B52707" w:rsidRDefault="006A0592" w:rsidP="006A0592">
      <w:pPr>
        <w:jc w:val="both"/>
        <w:rPr>
          <w:color w:val="0070C0"/>
          <w:sz w:val="16"/>
          <w:szCs w:val="16"/>
        </w:rPr>
      </w:pPr>
    </w:p>
    <w:p w14:paraId="3F5546C8" w14:textId="77777777" w:rsidR="006A0592" w:rsidRPr="00B52707" w:rsidRDefault="006A0592" w:rsidP="006A0592">
      <w:pPr>
        <w:jc w:val="both"/>
        <w:rPr>
          <w:color w:val="0070C0"/>
          <w:sz w:val="16"/>
          <w:szCs w:val="16"/>
        </w:rPr>
      </w:pPr>
      <w:r w:rsidRPr="00B52707">
        <w:rPr>
          <w:color w:val="0070C0"/>
          <w:sz w:val="16"/>
          <w:szCs w:val="16"/>
        </w:rPr>
        <w:t>27 августа (9 сентября) 1914 г. л Семенов с наблюдателем корнетом Николаевым при пролете через озеро Мейер. что в Восточной Пруссии, заметил неприятельский аэроплан, летевший к Летцену. Обойдя противника с правой стороны, Семенов атаковал его, заставил спуститься ниже и изменить направление полета в район русских позиций, где тот был обстрелян и около озера упал.</w:t>
      </w:r>
    </w:p>
    <w:p w14:paraId="45892A9E" w14:textId="77777777" w:rsidR="006A0592" w:rsidRPr="00B52707" w:rsidRDefault="006A0592" w:rsidP="006A0592">
      <w:pPr>
        <w:jc w:val="both"/>
        <w:rPr>
          <w:color w:val="0070C0"/>
          <w:sz w:val="16"/>
          <w:szCs w:val="16"/>
        </w:rPr>
      </w:pPr>
      <w:r w:rsidRPr="00B52707">
        <w:rPr>
          <w:color w:val="0070C0"/>
          <w:sz w:val="16"/>
          <w:szCs w:val="16"/>
        </w:rPr>
        <w:t>воздушный бой и совместные действия с артиллерией, принесшие успех военному летчику Гродненского крепостного авиаотряда поручику Семенову, были подтверждены несколькими донесениями. хранящимися в Военно-историческом архиве (25150).</w:t>
      </w:r>
    </w:p>
    <w:p w14:paraId="3A34BF93" w14:textId="77777777" w:rsidR="006A0592" w:rsidRPr="00B52707" w:rsidRDefault="006A0592" w:rsidP="006A0592">
      <w:pPr>
        <w:jc w:val="both"/>
        <w:rPr>
          <w:color w:val="0070C0"/>
          <w:sz w:val="16"/>
          <w:szCs w:val="16"/>
        </w:rPr>
      </w:pPr>
    </w:p>
    <w:p w14:paraId="4EF44739" w14:textId="24C29C0C" w:rsidR="00B67D7C" w:rsidRPr="00DE096C" w:rsidRDefault="00B67D7C" w:rsidP="00D45A46">
      <w:pPr>
        <w:jc w:val="both"/>
        <w:rPr>
          <w:bCs/>
          <w:color w:val="002060"/>
          <w:sz w:val="16"/>
          <w:szCs w:val="16"/>
        </w:rPr>
      </w:pPr>
      <w:r w:rsidRPr="00DE096C">
        <w:rPr>
          <w:bCs/>
          <w:color w:val="002060"/>
          <w:sz w:val="16"/>
          <w:szCs w:val="16"/>
        </w:rPr>
        <w:t xml:space="preserve">27 августа (9 сентября) 1914 такая при посадке </w:t>
      </w:r>
      <w:r w:rsidR="00105BD1" w:rsidRPr="00DE096C">
        <w:rPr>
          <w:bCs/>
          <w:color w:val="002060"/>
          <w:sz w:val="16"/>
          <w:szCs w:val="16"/>
        </w:rPr>
        <w:t>был расст</w:t>
      </w:r>
      <w:r w:rsidR="00865110" w:rsidRPr="00DE096C">
        <w:rPr>
          <w:bCs/>
          <w:color w:val="002060"/>
          <w:sz w:val="16"/>
          <w:szCs w:val="16"/>
        </w:rPr>
        <w:t xml:space="preserve">релян с земли </w:t>
      </w:r>
      <w:r w:rsidRPr="00DE096C">
        <w:rPr>
          <w:bCs/>
          <w:color w:val="002060"/>
          <w:sz w:val="16"/>
          <w:szCs w:val="16"/>
        </w:rPr>
        <w:t>военн</w:t>
      </w:r>
      <w:r w:rsidR="00865110" w:rsidRPr="00DE096C">
        <w:rPr>
          <w:bCs/>
          <w:color w:val="002060"/>
          <w:sz w:val="16"/>
          <w:szCs w:val="16"/>
        </w:rPr>
        <w:t>ый</w:t>
      </w:r>
      <w:r w:rsidRPr="00DE096C">
        <w:rPr>
          <w:bCs/>
          <w:color w:val="002060"/>
          <w:sz w:val="16"/>
          <w:szCs w:val="16"/>
        </w:rPr>
        <w:t xml:space="preserve"> летчик 11-го КАО поручик Лемешк и т.д. Другие случаи имели менее трагические последствия. Так, "30 июля 1914г. начальник 7-го корпусного авиаотряда штабс-капитан Степанов вылетел для производства воздушной разведки, пролетая над местечком Ярмолинцы, подвергся обстрелу залпами... получил пробоины в стабилизатор и крыло. Расследование показало... стреляли роты 60-го пехотного Замоского полка". В тот же день летчик того же отряда поручик Сабельников попал в такую же ситуацию. Результат - 4 пробоины. Подобных примеров было много, и это вынудило командование издать приказы, запрещавшие "стрелять по своим и планирующим аппаратам, стрельбу вести только по приказу офицера или при бросании бомб противником". Господам офицерам было приказано изучить знаки своих и неприятельских аэропланов, знать их силуэты. Начальный период войны выявил плохую организацию в снабжении авиационных отрядов и рот бензином, касторовым маслом, запчастями, палатками и другим авиационным имуществом. Самолеты и моторы быстро выходили из строя в суровых полевых условиях, особенно с наступлением ненастной осенней погоды, когда остро сказались нехватка палаток и переносных ангаров, использование для аэродромов малопригодных площадок. Уже после первых месяцев войны многие авиаотряды пришлось отвести в тыл для снабжения аэропланами новых систем и для переучивания летчиков на них. Так, пилоты, летавшие на "Ньюпорах", освоили "Мораны". Широко использовалась для вооружения отрядов отремонтированная трофейная авиатехника. Поставки самолетов и назначения личного состава целиком зависели от штаба авиации, возглавлявшегося Великим князем Александром Михайловичем. Он часто назначал командирами рот и начальниками отрядов офицеров, хорошо писавших отчеты, но мало летавших. В этой ситуации протежируемые отряды снабжались самолетами вне очереди , тогда как части, несшие ответственную и тяжелую работу, оставались без аэропланов. Снабжение самолетами оставалось большой проблемой, которая часто решалась на самом высоком уровне. Так, 31 августа 1914 г. командующий 8-й армией генерал Брусилов бьет челом Великому князю: "Настоящее время лишился совершенно воздушных аппаратов, столь драгоценных для разведок, что ставит управление войсками в крайне трудное положение. ...Покорно прошу Ваше императорское высочество оказать армии величайшую помощь "Фарманами" и "Ньюпорами". Деятельность летчиков в разведке незаменима." Просьба Брусилова была удовлетворена, и армия получила 4 самолета из состава Брест-Литовского крепостного авиаотряда. Однако таких просьб было множество, а дефицит самолетов и моторов стал хронической болезнью русской авиации до конца войны. К началу боевых действий в составе воздушного флота России насчитывался 221 летчик: 170 офицеров, 35 нижних чинов и 16 вольноопределяющихся (добровольцев). На 1 января 1915 г. потери летчиков составили 33 человека или 14,9% от общего состава. Из них 6 погибли от действий неприятеля, 5 - в авариях, 22 попали в плен и пропали без вести. Среди погибших: штабс-капитаны Грузинов, Нестеров, поручики Лемешко, Гудим, старший унтер-офицер Доброшинский и др. Пропали без вести: поручики Николаевский, Шамин, Машерек и др. Ранены или разбились при падении: капитан Витковский, гвардии штабс-капитан Мельницкий, штабс-капитан Мучник, поручики Городецкий, Корнидов, Павлов, доброволец Шпицберг. Некоторые из них, например, летчик-доброволец 16-го КАО Шпицберг, впоследствии скончались в госпитале. В скорбный список боевых потерь одним из первых попал военный летчик начальник 14-го КАО Ефграф Ефграфович Грузинов, смертельно раненный шрапнелью в воздухе во время выполнения боевого задания. 17 августа он вылетел на разведку района Кщонов-Пиляш-Ковице-Быхов-Люблин и обратно не вернулся. Самолет упал на вражеской территории, которую вскоре заняли русские войска. У села Быхово близ Янова были найдены свежая могила и разбитый "Ньюпор". В могиле обнаружили тело Грузинова, вопрос местных жителей и пленных австрийцев дал представление об обстоятельствах его гибели. Выяснилось, что самолет пролетал над австрийскими позициями на высоте 1000-1200 м и был обстрелян сначала пехотой, потом артиллерийской батареей, которая дала три залпа. Два первых цели не достигли. После третьего аппарат дрогнул, перевернулся и, сделав крутой вираж, врезался в землю с работающим мотором. Посмертно высочайшим приказом штабс-капитан Грузинов был награжден орденом Святого Георгия 4-й степени. Состоялись и первые воздушные бои. Таран и героическая гибель 26 августа военного летчика начальника 11-го КАО Петра Николаевича Нестерова открыли новую эпоху борьбы в воздухе. Из вооружения у русских авиаторов имелись только пистолеты "Маузер" и карабины. Хроника тех лет описывает несколько случаев воздушных боев. Так, 28 октября в окрестностях Петроково (под Варшавой) "появился неприятельский аэроплан. Через несколько минут поднялись два наших летчика и после воздушного боя сбросили "Таубе" на землю. Немецкие авиаторы разбились. Неприятельский аэроплан исковеркан". К сожалению, подтверждения этому газетному сообщению не нашлось. А вот воздушный бой и совместные действия с артиллерией, принесшие успех военному летчику Гродненского крепостного авиаотряда поручику Семенову, были подтверждены несколькими донесениями, хранящимися в Военно-историческом архиве. 27 августа Семенов с наблюдателем корнетом Николаевым при перелете через озеро Мейер, что в Восточной Пруссии, заметил неприятельский аэроплан, летевший к Летцену. Обойдя противника с правой стороны, Семенов атаковал его, заставил спуститься ниже и изменить направление полета в район русских позиций, где тот был обстрелян и около озера упал (11237).</w:t>
      </w:r>
    </w:p>
    <w:p w14:paraId="0C5D334C" w14:textId="77777777" w:rsidR="00B67D7C" w:rsidRPr="00DE096C" w:rsidRDefault="00B67D7C" w:rsidP="00D45A46">
      <w:pPr>
        <w:jc w:val="both"/>
        <w:rPr>
          <w:bCs/>
          <w:i/>
          <w:color w:val="002060"/>
          <w:sz w:val="16"/>
          <w:szCs w:val="16"/>
        </w:rPr>
      </w:pPr>
    </w:p>
    <w:p w14:paraId="6E859910" w14:textId="7DC7E8FA"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27 августа (</w:t>
      </w:r>
      <w:r w:rsidR="00865110" w:rsidRPr="00DE096C">
        <w:rPr>
          <w:bCs/>
          <w:i w:val="0"/>
          <w:color w:val="002060"/>
          <w:spacing w:val="0"/>
          <w:kern w:val="0"/>
          <w:position w:val="0"/>
          <w:sz w:val="16"/>
          <w:szCs w:val="16"/>
        </w:rPr>
        <w:t>9</w:t>
      </w:r>
      <w:r w:rsidRPr="00DE096C">
        <w:rPr>
          <w:bCs/>
          <w:i w:val="0"/>
          <w:color w:val="002060"/>
          <w:spacing w:val="0"/>
          <w:kern w:val="0"/>
          <w:position w:val="0"/>
          <w:sz w:val="16"/>
          <w:szCs w:val="16"/>
        </w:rPr>
        <w:t xml:space="preserve"> сентября)1914 </w:t>
      </w:r>
      <w:r w:rsidR="00865110" w:rsidRPr="00DE096C">
        <w:rPr>
          <w:bCs/>
          <w:i w:val="0"/>
          <w:color w:val="002060"/>
          <w:spacing w:val="0"/>
          <w:kern w:val="0"/>
          <w:position w:val="0"/>
          <w:sz w:val="16"/>
          <w:szCs w:val="16"/>
        </w:rPr>
        <w:t>был расстрелян с земли</w:t>
      </w:r>
      <w:r w:rsidRPr="00DE096C">
        <w:rPr>
          <w:bCs/>
          <w:i w:val="0"/>
          <w:color w:val="002060"/>
          <w:spacing w:val="0"/>
          <w:kern w:val="0"/>
          <w:position w:val="0"/>
          <w:sz w:val="16"/>
          <w:szCs w:val="16"/>
        </w:rPr>
        <w:t xml:space="preserve"> при посадке военн</w:t>
      </w:r>
      <w:r w:rsidR="00865110" w:rsidRPr="00DE096C">
        <w:rPr>
          <w:bCs/>
          <w:i w:val="0"/>
          <w:color w:val="002060"/>
          <w:spacing w:val="0"/>
          <w:kern w:val="0"/>
          <w:position w:val="0"/>
          <w:sz w:val="16"/>
          <w:szCs w:val="16"/>
        </w:rPr>
        <w:t xml:space="preserve">ый </w:t>
      </w:r>
      <w:r w:rsidRPr="00DE096C">
        <w:rPr>
          <w:bCs/>
          <w:i w:val="0"/>
          <w:color w:val="002060"/>
          <w:spacing w:val="0"/>
          <w:kern w:val="0"/>
          <w:position w:val="0"/>
          <w:sz w:val="16"/>
          <w:szCs w:val="16"/>
        </w:rPr>
        <w:t xml:space="preserve">летчик 11-го КАО поручик Лемешко и т.д. Другие случаи имели менее трагические последствия. Так, "30 июля 1914г. начальник 7-го корпусного авиаотряда штабскапитан Степанов вылетел для производства воздушной разведки, пролетая над местечком Ярмолинцы, подвергся обстрелу залпами... получил пробоины в стабилизатор и крыло (11278). </w:t>
      </w:r>
    </w:p>
    <w:p w14:paraId="164DEC55" w14:textId="77777777" w:rsidR="00B67D7C" w:rsidRPr="00DE096C" w:rsidRDefault="00B67D7C" w:rsidP="00D45A46">
      <w:pPr>
        <w:pStyle w:val="a3"/>
        <w:jc w:val="both"/>
        <w:rPr>
          <w:bCs/>
          <w:i w:val="0"/>
          <w:color w:val="002060"/>
          <w:spacing w:val="0"/>
          <w:kern w:val="0"/>
          <w:position w:val="0"/>
          <w:sz w:val="16"/>
          <w:szCs w:val="16"/>
        </w:rPr>
      </w:pPr>
    </w:p>
    <w:p w14:paraId="4670338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27-28 августа (9-10 сентября) 1914 командир 8-го корпусного авиаотряда штабс-капитан Андрей Иванович Олейник в течение двух дней совершил девять полетов на разведку в районе Галич-Городня, доставляя каждый раз ценные сведения о противнике, способствовавшие успеху операций наших войск (ЦГВИА. ф.493, оп.З, д.129, л.124; "Военный летчик”, 1917, № I).</w:t>
      </w:r>
    </w:p>
    <w:p w14:paraId="59766450" w14:textId="77777777" w:rsidR="00B67D7C" w:rsidRPr="00DE096C" w:rsidRDefault="00B67D7C" w:rsidP="00D45A46">
      <w:pPr>
        <w:shd w:val="clear" w:color="auto" w:fill="FFFFFF"/>
        <w:jc w:val="both"/>
        <w:rPr>
          <w:bCs/>
          <w:color w:val="002060"/>
          <w:sz w:val="16"/>
          <w:szCs w:val="16"/>
        </w:rPr>
      </w:pPr>
    </w:p>
    <w:p w14:paraId="2F1E256A" w14:textId="77777777" w:rsidR="00115091" w:rsidRPr="00DE096C" w:rsidRDefault="00115091" w:rsidP="00D45A46">
      <w:pPr>
        <w:jc w:val="both"/>
        <w:rPr>
          <w:bCs/>
          <w:color w:val="002060"/>
          <w:sz w:val="16"/>
          <w:szCs w:val="16"/>
        </w:rPr>
      </w:pPr>
      <w:r w:rsidRPr="00DE096C">
        <w:rPr>
          <w:bCs/>
          <w:color w:val="002060"/>
          <w:sz w:val="16"/>
          <w:szCs w:val="16"/>
        </w:rPr>
        <w:t>27-28 августа (9-10 сентября) 1914 г. командир 8-го корпусного авиаотряда шт.-капитан Андрей Иванович Олейник в течение двух дней совершил девять полетов на разведку в районе Галич-Городня, доставляя каждый раз ценные сведения о противнике, способствовавшие успеху операций наших войск. В одном из полетов самолет Олейника получил 12 пробоин и несмотря на это разведка продолжалась.</w:t>
      </w:r>
    </w:p>
    <w:p w14:paraId="328E1A3E" w14:textId="77777777" w:rsidR="00115091" w:rsidRPr="00DE096C" w:rsidRDefault="00115091" w:rsidP="00D45A46">
      <w:pPr>
        <w:jc w:val="both"/>
        <w:rPr>
          <w:bCs/>
          <w:color w:val="002060"/>
          <w:sz w:val="16"/>
          <w:szCs w:val="16"/>
        </w:rPr>
      </w:pPr>
      <w:r w:rsidRPr="00DE096C">
        <w:rPr>
          <w:bCs/>
          <w:color w:val="002060"/>
          <w:sz w:val="16"/>
          <w:szCs w:val="16"/>
        </w:rPr>
        <w:t>/ЦГВИА, ф. 493, оп. 3, д. 129, л. 134; "Военный летчик",1917, № 1/ (23320).</w:t>
      </w:r>
    </w:p>
    <w:p w14:paraId="109181FC" w14:textId="77777777" w:rsidR="00115091" w:rsidRPr="00DE096C" w:rsidRDefault="00115091" w:rsidP="00D45A46">
      <w:pPr>
        <w:jc w:val="both"/>
        <w:rPr>
          <w:bCs/>
          <w:color w:val="002060"/>
          <w:sz w:val="16"/>
          <w:szCs w:val="16"/>
        </w:rPr>
      </w:pPr>
    </w:p>
    <w:p w14:paraId="2DF344D4" w14:textId="0C037EB5" w:rsidR="00B67D7C" w:rsidRPr="00DE096C" w:rsidRDefault="00B67D7C" w:rsidP="00D45A46">
      <w:pPr>
        <w:jc w:val="both"/>
        <w:rPr>
          <w:bCs/>
          <w:color w:val="002060"/>
          <w:sz w:val="16"/>
          <w:szCs w:val="16"/>
        </w:rPr>
      </w:pPr>
      <w:r w:rsidRPr="00DE096C">
        <w:rPr>
          <w:bCs/>
          <w:color w:val="002060"/>
          <w:sz w:val="16"/>
          <w:szCs w:val="16"/>
        </w:rPr>
        <w:t>27 августа (9 сентября) 1914 года в первом воздушном бою на русском фронте</w:t>
      </w:r>
      <w:r w:rsidR="00865110" w:rsidRPr="00DE096C">
        <w:rPr>
          <w:bCs/>
          <w:color w:val="002060"/>
          <w:sz w:val="16"/>
          <w:szCs w:val="16"/>
        </w:rPr>
        <w:t xml:space="preserve"> погиб летчик капитан Нестеров</w:t>
      </w:r>
      <w:r w:rsidRPr="00DE096C">
        <w:rPr>
          <w:bCs/>
          <w:color w:val="002060"/>
          <w:sz w:val="16"/>
          <w:szCs w:val="16"/>
        </w:rPr>
        <w:t xml:space="preserve">. Это была [62] большая потеря для русского зарождающегося воздушного флота. Он был не только автор «мертвой петли», но и один из лучших и отважных летчиков России. Его полеты в 1914 году из Киева в Гатчину, из Москвы в Гатчину без спуска, его перелет Киев — Одесса во время сильнейшей бури, когда никто и думать не смел о полете, — все это были рекорды не только российских, но и европейских масштабов. И смерть его была необыкновенной, имеющей какой-то мистически-романтический смысл. Его отряд самолетов был расположен в усадьбе какого-то австрийского помещика, около городка Жолква (Галиция). Местность была ровная, удобная для взлетов и посадки. Каждое утро туда прилетал австрийский самолет и кружился над усадьбой. Когда поднимался русский самолет, австриец улетал. Садясь в последний раз в аппарат, как рассказывали свидетели, Нестеров сказал: «Больше австриец не будет летать над нашим аэродромом». Из оружия у Нестерова был только револьвер. Чтобы сдержать свое слово, т. е. сбить противника, ему пришлось (первому в истории воздухоплавания) применить таранный удар. Тогда летчики еще не были снабжены парашютами, это тоже пришло позднее. Поэтому, уничтожив противника, он и сам погиб. Ему было всего 27 лет. </w:t>
      </w:r>
    </w:p>
    <w:p w14:paraId="68A444D7" w14:textId="77777777" w:rsidR="00B67D7C" w:rsidRPr="00DE096C" w:rsidRDefault="00B67D7C" w:rsidP="00D45A46">
      <w:pPr>
        <w:jc w:val="both"/>
        <w:rPr>
          <w:bCs/>
          <w:color w:val="002060"/>
          <w:sz w:val="16"/>
          <w:szCs w:val="16"/>
        </w:rPr>
      </w:pPr>
      <w:r w:rsidRPr="00DE096C">
        <w:rPr>
          <w:bCs/>
          <w:color w:val="002060"/>
          <w:sz w:val="16"/>
          <w:szCs w:val="16"/>
        </w:rPr>
        <w:t>Из бумаг сбитого австрийца выяснилось, что это был барон Розенталь, владелец того имения, где был расположен отряд Нестерова. Теперь город Жолква Львовской области, вблизи которого произошел этот воздушный бой, называется в честь известного летчика город Нестеров (11334).</w:t>
      </w:r>
    </w:p>
    <w:p w14:paraId="00F1E56B" w14:textId="77777777" w:rsidR="00B67D7C" w:rsidRPr="00DE096C" w:rsidRDefault="00B67D7C" w:rsidP="00D45A46">
      <w:pPr>
        <w:shd w:val="clear" w:color="auto" w:fill="FFFFFF"/>
        <w:jc w:val="both"/>
        <w:rPr>
          <w:bCs/>
          <w:i/>
          <w:color w:val="002060"/>
          <w:sz w:val="16"/>
          <w:szCs w:val="16"/>
        </w:rPr>
      </w:pPr>
    </w:p>
    <w:p w14:paraId="5262BD32" w14:textId="77777777" w:rsidR="00514246" w:rsidRPr="00DE096C" w:rsidRDefault="00514246" w:rsidP="00D45A46">
      <w:pPr>
        <w:jc w:val="both"/>
        <w:rPr>
          <w:bCs/>
          <w:color w:val="002060"/>
          <w:sz w:val="16"/>
          <w:szCs w:val="16"/>
        </w:rPr>
      </w:pPr>
      <w:r w:rsidRPr="00DE096C">
        <w:rPr>
          <w:bCs/>
          <w:color w:val="002060"/>
          <w:sz w:val="16"/>
          <w:szCs w:val="16"/>
        </w:rPr>
        <w:t>27 августа (9 сентября) 1914 г. в ходе проведения очередной воздушной разведки цеппелин Z-V (база - г. Кёнигсберг) атаковал русскую кавалерийскую бригаду, подвергнув ее бомбоштурмовому удару. После этого дирижабль провел бомбардировку вокзала в г. Млава. По свидетельству одного из наших летчиков, рано утром «цеппелин начал уже кидать бомбы, причем одна из них попала в зал 1-го класса вокзала, пробила крышу и разорвалась, а другая бомба была брошена на полотно железной дороги, на место высадки одного из эшелонов. На месте оказалось несколько трупов... Всего сброшено было десять бомб».</w:t>
      </w:r>
    </w:p>
    <w:p w14:paraId="310108A6" w14:textId="77777777" w:rsidR="00514246" w:rsidRPr="00DE096C" w:rsidRDefault="00514246" w:rsidP="00D45A46">
      <w:pPr>
        <w:jc w:val="both"/>
        <w:rPr>
          <w:bCs/>
          <w:color w:val="002060"/>
          <w:sz w:val="16"/>
          <w:szCs w:val="16"/>
        </w:rPr>
      </w:pPr>
      <w:r w:rsidRPr="00DE096C">
        <w:rPr>
          <w:bCs/>
          <w:color w:val="002060"/>
          <w:sz w:val="16"/>
          <w:szCs w:val="16"/>
        </w:rPr>
        <w:t>На этот раз удача отвернулась от германских аэронавтов. 27 августа воздушный корабль при обстреле с земли получил серьезные повреждения и совершил вынужденную посадку в районе Липовска. Огонь по дирижаблю вела полевая артиллерия (6-й конно</w:t>
      </w:r>
      <w:r w:rsidRPr="00DE096C">
        <w:rPr>
          <w:bCs/>
          <w:color w:val="002060"/>
          <w:sz w:val="16"/>
          <w:szCs w:val="16"/>
        </w:rPr>
        <w:softHyphen/>
        <w:t>артиллерийский дивизион) и пулеметная команда (штабс-капитан Н.Л. Калашников) лейб-гвардии Петроградского полка 3-й гвардейской пехотной дивизии 1-го армейского корпуса 2-й армии Северо</w:t>
      </w:r>
      <w:r w:rsidRPr="00DE096C">
        <w:rPr>
          <w:bCs/>
          <w:color w:val="002060"/>
          <w:sz w:val="16"/>
          <w:szCs w:val="16"/>
        </w:rPr>
        <w:softHyphen/>
        <w:t xml:space="preserve">Западного фронта. Дирижабль </w:t>
      </w:r>
      <w:r w:rsidRPr="00DE096C">
        <w:rPr>
          <w:bCs/>
          <w:color w:val="002060"/>
          <w:sz w:val="16"/>
          <w:szCs w:val="16"/>
        </w:rPr>
        <w:lastRenderedPageBreak/>
        <w:t>опустился в 5 км от Липовска. При спуске экипаж привел свое воздушное судно в негодность и попытался скрыться, но скоро был пленен нашими частями. В плен попал весь его экипаж (8 чел.) во главе с командиром корабля капитаном Э. Грюнером (Gn&gt;ner). В тот же день основные части сбитого дирижабля были доставлены в г. Киев, а позднее - в Офицерскую воздухоплавательную школу (г. Петроград).</w:t>
      </w:r>
    </w:p>
    <w:p w14:paraId="0FB587D9" w14:textId="77777777" w:rsidR="00514246" w:rsidRPr="00DE096C" w:rsidRDefault="00514246" w:rsidP="00D45A46">
      <w:pPr>
        <w:jc w:val="both"/>
        <w:rPr>
          <w:bCs/>
          <w:color w:val="002060"/>
          <w:sz w:val="16"/>
          <w:szCs w:val="16"/>
        </w:rPr>
      </w:pPr>
      <w:r w:rsidRPr="00DE096C">
        <w:rPr>
          <w:bCs/>
          <w:color w:val="002060"/>
          <w:sz w:val="16"/>
          <w:szCs w:val="16"/>
        </w:rPr>
        <w:t>За уничтожение воздушного корабля противника артиллерийские расчеты удостоились правительственных наград. Георгиевскими крестами IV степени были награждены: бомбардиры-наводчики Н.И. Савенков, Х.Т. Оснач, Ф.П. Головко, И.А. Кривоносов, Д.Ф. Чабанюк, А.К. Галицкий (23405).</w:t>
      </w:r>
    </w:p>
    <w:p w14:paraId="42294482" w14:textId="77777777" w:rsidR="00514246" w:rsidRPr="00DE096C" w:rsidRDefault="00514246" w:rsidP="00D45A46">
      <w:pPr>
        <w:jc w:val="both"/>
        <w:rPr>
          <w:bCs/>
          <w:color w:val="002060"/>
          <w:sz w:val="16"/>
          <w:szCs w:val="16"/>
        </w:rPr>
      </w:pPr>
    </w:p>
    <w:p w14:paraId="4435FD4D" w14:textId="7DA0E9C8" w:rsidR="00514246" w:rsidRPr="00DE096C" w:rsidRDefault="00514246" w:rsidP="00D45A46">
      <w:pPr>
        <w:jc w:val="both"/>
        <w:rPr>
          <w:bCs/>
          <w:color w:val="002060"/>
          <w:sz w:val="16"/>
          <w:szCs w:val="16"/>
        </w:rPr>
      </w:pPr>
      <w:r w:rsidRPr="00DE096C">
        <w:rPr>
          <w:bCs/>
          <w:color w:val="002060"/>
          <w:sz w:val="16"/>
          <w:szCs w:val="16"/>
          <w:lang w:bidi="en-US"/>
        </w:rPr>
        <w:t xml:space="preserve">27 августа </w:t>
      </w:r>
      <w:r w:rsidR="000F5F6C" w:rsidRPr="00DE096C">
        <w:rPr>
          <w:bCs/>
          <w:color w:val="002060"/>
          <w:sz w:val="16"/>
          <w:szCs w:val="16"/>
          <w:lang w:bidi="en-US"/>
        </w:rPr>
        <w:t xml:space="preserve">(9 сентября) </w:t>
      </w:r>
      <w:r w:rsidRPr="00DE096C">
        <w:rPr>
          <w:bCs/>
          <w:color w:val="002060"/>
          <w:sz w:val="16"/>
          <w:szCs w:val="16"/>
          <w:lang w:bidi="en-US"/>
        </w:rPr>
        <w:t>1914 г. начальник Генерального штаба учредил в Ставке управление (коллегию) для управления и организации авиационного флота действующей армии. Великий князь Александр Михайлович был назначен командующим авиацией армий Юго-Западного фронта, а генерал-кавалерист барон А. В. Каульбарс — авиацией Северо-Западного фронта. Капитан 1-го ранга Н.Ф. Фогель должен был исполнять обязанности начальника штаба великого князя.</w:t>
      </w:r>
    </w:p>
    <w:p w14:paraId="66435726" w14:textId="77777777" w:rsidR="00514246" w:rsidRPr="00DE096C" w:rsidRDefault="00514246" w:rsidP="00D45A46">
      <w:pPr>
        <w:jc w:val="both"/>
        <w:rPr>
          <w:bCs/>
          <w:color w:val="002060"/>
          <w:sz w:val="16"/>
          <w:szCs w:val="16"/>
        </w:rPr>
      </w:pPr>
      <w:r w:rsidRPr="00DE096C">
        <w:rPr>
          <w:bCs/>
          <w:color w:val="002060"/>
          <w:sz w:val="16"/>
          <w:szCs w:val="16"/>
          <w:lang w:bidi="en-US"/>
        </w:rPr>
        <w:t>Генерал Н. В. Пневский был назначен начальником ОВФ (отдела воздушного флота) Военного министерства, в обязанности которого входило заказ самолетов и припасов.</w:t>
      </w:r>
    </w:p>
    <w:p w14:paraId="40734763" w14:textId="77777777" w:rsidR="00514246" w:rsidRPr="00DE096C" w:rsidRDefault="00514246" w:rsidP="00D45A46">
      <w:pPr>
        <w:jc w:val="both"/>
        <w:rPr>
          <w:bCs/>
          <w:color w:val="002060"/>
          <w:sz w:val="16"/>
          <w:szCs w:val="16"/>
        </w:rPr>
      </w:pPr>
      <w:r w:rsidRPr="00DE096C">
        <w:rPr>
          <w:bCs/>
          <w:color w:val="002060"/>
          <w:sz w:val="16"/>
          <w:szCs w:val="16"/>
          <w:lang w:bidi="en-US"/>
        </w:rPr>
        <w:t>Напряжение существовало между великим князем и генералом Каульбарсом, который через несколько месяцев решил ненадолго оставить свое командование. В результате 18 января 1915 года великий князь был назначен инспектором авиации и возглавил организацию воздушного флота всей армии. Его канцелярия называлась Управление - Военно-Воздушный Флот - Инспекторский отдел (АВИАДАРМ). К началу осени 1915 года из-за наступления противника великий князь шесть раз менял свою ставку. У него был очень небольшой штат сотрудников, большинство из которых практически не имели опыта в авиационных делах (23525).</w:t>
      </w:r>
    </w:p>
    <w:p w14:paraId="2186811A" w14:textId="77777777" w:rsidR="00514246" w:rsidRPr="00DE096C" w:rsidRDefault="00514246" w:rsidP="00D45A46">
      <w:pPr>
        <w:jc w:val="both"/>
        <w:rPr>
          <w:bCs/>
          <w:color w:val="002060"/>
          <w:sz w:val="16"/>
          <w:szCs w:val="16"/>
          <w:lang w:bidi="en-US"/>
        </w:rPr>
      </w:pPr>
    </w:p>
    <w:p w14:paraId="76E4FC04" w14:textId="77777777" w:rsidR="00B67D7C" w:rsidRPr="00DE096C" w:rsidRDefault="00B67D7C" w:rsidP="00D45A46">
      <w:pPr>
        <w:jc w:val="both"/>
        <w:rPr>
          <w:bCs/>
          <w:i/>
          <w:color w:val="002060"/>
          <w:sz w:val="16"/>
          <w:szCs w:val="16"/>
        </w:rPr>
      </w:pPr>
      <w:r w:rsidRPr="00DE096C">
        <w:rPr>
          <w:bCs/>
          <w:i/>
          <w:color w:val="002060"/>
          <w:sz w:val="16"/>
          <w:szCs w:val="16"/>
        </w:rPr>
        <w:t>Авиация и воздухоплавание Германии:</w:t>
      </w:r>
    </w:p>
    <w:p w14:paraId="49A52CD9" w14:textId="77777777" w:rsidR="00B67D7C" w:rsidRPr="00DE096C" w:rsidRDefault="00B67D7C" w:rsidP="00D45A46">
      <w:pPr>
        <w:jc w:val="both"/>
        <w:rPr>
          <w:bCs/>
          <w:i/>
          <w:color w:val="002060"/>
          <w:sz w:val="16"/>
          <w:szCs w:val="16"/>
        </w:rPr>
      </w:pPr>
    </w:p>
    <w:p w14:paraId="60B6635C" w14:textId="77777777" w:rsidR="00B67D7C" w:rsidRPr="00DE096C" w:rsidRDefault="00B67D7C" w:rsidP="00D45A46">
      <w:pPr>
        <w:jc w:val="both"/>
        <w:rPr>
          <w:bCs/>
          <w:color w:val="002060"/>
          <w:sz w:val="16"/>
          <w:szCs w:val="16"/>
        </w:rPr>
      </w:pPr>
      <w:r w:rsidRPr="00DE096C">
        <w:rPr>
          <w:bCs/>
          <w:color w:val="002060"/>
          <w:sz w:val="16"/>
          <w:szCs w:val="16"/>
        </w:rPr>
        <w:t>27 августа (9 сентября) 1914 - Бельгийская армия совершает новую военную вылазку из Антверпена.</w:t>
      </w:r>
    </w:p>
    <w:p w14:paraId="500EBB27" w14:textId="77777777" w:rsidR="00B67D7C" w:rsidRPr="00DE096C" w:rsidRDefault="00B67D7C" w:rsidP="00D45A46">
      <w:pPr>
        <w:jc w:val="both"/>
        <w:rPr>
          <w:bCs/>
          <w:color w:val="002060"/>
          <w:sz w:val="16"/>
          <w:szCs w:val="16"/>
        </w:rPr>
      </w:pPr>
      <w:r w:rsidRPr="00DE096C">
        <w:rPr>
          <w:bCs/>
          <w:color w:val="002060"/>
          <w:sz w:val="16"/>
          <w:szCs w:val="16"/>
        </w:rPr>
        <w:t>Утром Мольтке отдает приказ о срочном сближении 1-й и 2-й германских армий.</w:t>
      </w:r>
    </w:p>
    <w:p w14:paraId="602EB53C" w14:textId="77777777" w:rsidR="00B67D7C" w:rsidRPr="00DE096C" w:rsidRDefault="00B67D7C" w:rsidP="00D45A46">
      <w:pPr>
        <w:jc w:val="both"/>
        <w:rPr>
          <w:bCs/>
          <w:color w:val="002060"/>
          <w:sz w:val="16"/>
          <w:szCs w:val="16"/>
        </w:rPr>
      </w:pPr>
      <w:r w:rsidRPr="00DE096C">
        <w:rPr>
          <w:bCs/>
          <w:color w:val="002060"/>
          <w:sz w:val="16"/>
          <w:szCs w:val="16"/>
        </w:rPr>
        <w:t>Германский аэроплан "Таубе" бомбил город Нанси. Вместе с бомбами сбрасывались листовки следующего содержания: "Желаем всего доброго жителям Нанцига, которые скоро сделаются германскими подданными. Мы извиняемся за этот несколько эксцентрический способ рекомендации бомбами и пулями. Скоро мы познакомимся поближе. Лейтенанты Виммер и Шнейдер, военные авиаторы из Страсбурга". На обратном пути аэроплан был сбит французской зенитной артиллерией; оба летчика погибли (11999).</w:t>
      </w:r>
    </w:p>
    <w:p w14:paraId="7AEBB87A" w14:textId="77777777" w:rsidR="00B67D7C" w:rsidRPr="00DE096C" w:rsidRDefault="00B67D7C" w:rsidP="00D45A46">
      <w:pPr>
        <w:jc w:val="both"/>
        <w:rPr>
          <w:bCs/>
          <w:color w:val="002060"/>
          <w:sz w:val="16"/>
          <w:szCs w:val="16"/>
        </w:rPr>
      </w:pPr>
    </w:p>
    <w:p w14:paraId="40111FEC" w14:textId="77777777" w:rsidR="00033CC4" w:rsidRPr="00DE096C" w:rsidRDefault="00033CC4" w:rsidP="00D45A46">
      <w:pPr>
        <w:jc w:val="both"/>
        <w:rPr>
          <w:bCs/>
          <w:i/>
          <w:color w:val="002060"/>
          <w:sz w:val="16"/>
          <w:szCs w:val="16"/>
        </w:rPr>
      </w:pPr>
      <w:r w:rsidRPr="00DE096C">
        <w:rPr>
          <w:bCs/>
          <w:i/>
          <w:color w:val="002060"/>
          <w:sz w:val="16"/>
          <w:szCs w:val="16"/>
        </w:rPr>
        <w:t>За рубежом:</w:t>
      </w:r>
    </w:p>
    <w:p w14:paraId="6C028775" w14:textId="77777777" w:rsidR="00033CC4" w:rsidRPr="00DE096C" w:rsidRDefault="00033CC4" w:rsidP="00D45A46">
      <w:pPr>
        <w:jc w:val="both"/>
        <w:rPr>
          <w:bCs/>
          <w:color w:val="002060"/>
          <w:sz w:val="16"/>
          <w:szCs w:val="16"/>
        </w:rPr>
      </w:pPr>
    </w:p>
    <w:p w14:paraId="381394D5" w14:textId="77777777" w:rsidR="00033CC4" w:rsidRPr="00DE096C" w:rsidRDefault="00033CC4" w:rsidP="00D45A46">
      <w:pPr>
        <w:jc w:val="both"/>
        <w:rPr>
          <w:bCs/>
          <w:color w:val="002060"/>
          <w:sz w:val="16"/>
          <w:szCs w:val="16"/>
        </w:rPr>
      </w:pPr>
      <w:r w:rsidRPr="00DE096C">
        <w:rPr>
          <w:bCs/>
          <w:color w:val="002060"/>
          <w:sz w:val="16"/>
          <w:szCs w:val="16"/>
        </w:rPr>
        <w:t>27 августа (9 сентября) в 1914 году завершилась битва на Марне, сорвано наступление немцев на Париж (14764).</w:t>
      </w:r>
    </w:p>
    <w:p w14:paraId="624176A2" w14:textId="77777777" w:rsidR="00033CC4" w:rsidRPr="00DE096C" w:rsidRDefault="00033CC4" w:rsidP="00D45A46">
      <w:pPr>
        <w:jc w:val="both"/>
        <w:rPr>
          <w:bCs/>
          <w:color w:val="002060"/>
          <w:sz w:val="16"/>
          <w:szCs w:val="16"/>
        </w:rPr>
      </w:pPr>
    </w:p>
    <w:p w14:paraId="04711B18" w14:textId="77777777" w:rsidR="00033CC4" w:rsidRPr="00DE096C" w:rsidRDefault="00033CC4" w:rsidP="00D45A46">
      <w:pPr>
        <w:jc w:val="both"/>
        <w:rPr>
          <w:bCs/>
          <w:color w:val="002060"/>
          <w:sz w:val="16"/>
          <w:szCs w:val="16"/>
        </w:rPr>
      </w:pPr>
      <w:r w:rsidRPr="00DE096C">
        <w:rPr>
          <w:bCs/>
          <w:color w:val="002060"/>
          <w:sz w:val="16"/>
          <w:szCs w:val="16"/>
        </w:rPr>
        <w:t>27 августа (9 сентября) в 1914 году канадские власти запретили показ документальной кинохроники о первой мировой войне, так как кадры значительно расходились с официальными сообщениями с фронта (14764).</w:t>
      </w:r>
    </w:p>
    <w:p w14:paraId="02290CF6" w14:textId="77777777" w:rsidR="00033CC4" w:rsidRPr="00DE096C" w:rsidRDefault="00033CC4" w:rsidP="00D45A46">
      <w:pPr>
        <w:jc w:val="both"/>
        <w:rPr>
          <w:bCs/>
          <w:color w:val="002060"/>
          <w:sz w:val="16"/>
          <w:szCs w:val="16"/>
        </w:rPr>
      </w:pPr>
    </w:p>
    <w:p w14:paraId="7BE2F768"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w:t>
      </w:r>
    </w:p>
    <w:p w14:paraId="4D3A39E8" w14:textId="77777777" w:rsidR="00B67D7C" w:rsidRPr="00DE096C" w:rsidRDefault="00B67D7C" w:rsidP="00D45A46">
      <w:pPr>
        <w:shd w:val="clear" w:color="auto" w:fill="FFFFFF"/>
        <w:jc w:val="both"/>
        <w:rPr>
          <w:bCs/>
          <w:i/>
          <w:color w:val="002060"/>
          <w:sz w:val="16"/>
          <w:szCs w:val="16"/>
        </w:rPr>
      </w:pPr>
    </w:p>
    <w:p w14:paraId="4DCC640E" w14:textId="77777777" w:rsidR="00B67D7C" w:rsidRPr="00DE096C" w:rsidRDefault="00B67D7C" w:rsidP="00D45A46">
      <w:pPr>
        <w:shd w:val="clear" w:color="auto" w:fill="FFFFFF"/>
        <w:jc w:val="both"/>
        <w:rPr>
          <w:bCs/>
          <w:i/>
          <w:color w:val="002060"/>
          <w:sz w:val="16"/>
          <w:szCs w:val="16"/>
        </w:rPr>
      </w:pPr>
      <w:r w:rsidRPr="00DE096C">
        <w:rPr>
          <w:bCs/>
          <w:color w:val="002060"/>
          <w:sz w:val="16"/>
          <w:szCs w:val="16"/>
        </w:rPr>
        <w:t xml:space="preserve">28 августа (10 сентября) 1914 произошел второй воздушный бой. Летчик Гроднненского крепостного авиаотряда поручик Алексей Иванович Семенов, выполняя разведку, встретился с немецким самолетом и вступил с ним в бой. Искусным маневрированием Семенов прижал вражеский самолет так низко к земле на своей территории, что его удалось сбить пехоте </w:t>
      </w:r>
      <w:r w:rsidRPr="00DE096C">
        <w:rPr>
          <w:bCs/>
          <w:i/>
          <w:color w:val="002060"/>
          <w:sz w:val="16"/>
          <w:szCs w:val="16"/>
        </w:rPr>
        <w:t>(ЦГВИА. ф.2000, оп.1, д.41; "Русский инвалид</w:t>
      </w:r>
      <w:r w:rsidRPr="00DE096C">
        <w:rPr>
          <w:bCs/>
          <w:i/>
          <w:color w:val="002060"/>
          <w:sz w:val="16"/>
          <w:szCs w:val="16"/>
          <w:vertAlign w:val="superscript"/>
        </w:rPr>
        <w:t>11</w:t>
      </w:r>
      <w:r w:rsidRPr="00DE096C">
        <w:rPr>
          <w:bCs/>
          <w:i/>
          <w:color w:val="002060"/>
          <w:sz w:val="16"/>
          <w:szCs w:val="16"/>
        </w:rPr>
        <w:t>.1915, № 83).</w:t>
      </w:r>
    </w:p>
    <w:p w14:paraId="352740B5" w14:textId="77777777" w:rsidR="00B67D7C" w:rsidRPr="00DE096C" w:rsidRDefault="00B67D7C" w:rsidP="00D45A46">
      <w:pPr>
        <w:shd w:val="clear" w:color="auto" w:fill="FFFFFF"/>
        <w:jc w:val="both"/>
        <w:rPr>
          <w:bCs/>
          <w:i/>
          <w:color w:val="002060"/>
          <w:sz w:val="16"/>
          <w:szCs w:val="16"/>
        </w:rPr>
      </w:pPr>
    </w:p>
    <w:p w14:paraId="7F785624" w14:textId="00424A1D" w:rsidR="000F61E9" w:rsidRPr="00DE096C" w:rsidRDefault="000F61E9" w:rsidP="00D45A46">
      <w:pPr>
        <w:jc w:val="both"/>
        <w:rPr>
          <w:bCs/>
          <w:color w:val="002060"/>
          <w:sz w:val="16"/>
          <w:szCs w:val="16"/>
        </w:rPr>
      </w:pPr>
      <w:r w:rsidRPr="00DE096C">
        <w:rPr>
          <w:bCs/>
          <w:color w:val="002060"/>
          <w:sz w:val="16"/>
          <w:szCs w:val="16"/>
        </w:rPr>
        <w:t xml:space="preserve">28 августа (10 </w:t>
      </w:r>
      <w:r w:rsidR="000F5F6C" w:rsidRPr="00DE096C">
        <w:rPr>
          <w:bCs/>
          <w:color w:val="002060"/>
          <w:sz w:val="16"/>
          <w:szCs w:val="16"/>
        </w:rPr>
        <w:t>сентября</w:t>
      </w:r>
      <w:r w:rsidRPr="00DE096C">
        <w:rPr>
          <w:bCs/>
          <w:color w:val="002060"/>
          <w:sz w:val="16"/>
          <w:szCs w:val="16"/>
        </w:rPr>
        <w:t>) 1914 г. произошел второй воздушный бой. Летчик Гродненского крепостного авиаотряда поручик Алексей Иванович Семенов, выполняя разведку, встретился с немецким самолетом и вступил с ним в бой. Искусным маневрированием Семенов прижал вражеский самолет так низко и на своей территории, что его удалось сбить пехоте.</w:t>
      </w:r>
    </w:p>
    <w:p w14:paraId="468DA35B" w14:textId="77777777" w:rsidR="000F61E9" w:rsidRPr="00DE096C" w:rsidRDefault="000F61E9" w:rsidP="00D45A46">
      <w:pPr>
        <w:jc w:val="both"/>
        <w:rPr>
          <w:bCs/>
          <w:color w:val="002060"/>
          <w:sz w:val="16"/>
          <w:szCs w:val="16"/>
        </w:rPr>
      </w:pPr>
      <w:r w:rsidRPr="00DE096C">
        <w:rPr>
          <w:bCs/>
          <w:color w:val="002060"/>
          <w:sz w:val="16"/>
          <w:szCs w:val="16"/>
        </w:rPr>
        <w:t>/ЦГВИА, ф. 2000, оп. 1, д. 41; "Русский инвалид”, 1915 № 83/ (23320).</w:t>
      </w:r>
    </w:p>
    <w:p w14:paraId="112C9A99" w14:textId="77777777" w:rsidR="000F5F6C" w:rsidRPr="00DE096C" w:rsidRDefault="000F5F6C" w:rsidP="00D45A46">
      <w:pPr>
        <w:shd w:val="clear" w:color="auto" w:fill="FFFFFF"/>
        <w:jc w:val="both"/>
        <w:rPr>
          <w:bCs/>
          <w:i/>
          <w:color w:val="002060"/>
          <w:sz w:val="16"/>
          <w:szCs w:val="16"/>
        </w:rPr>
      </w:pPr>
    </w:p>
    <w:p w14:paraId="7733A5B6" w14:textId="58208617" w:rsidR="000F5F6C" w:rsidRPr="00DE096C" w:rsidRDefault="000F5F6C" w:rsidP="00D45A46">
      <w:pPr>
        <w:jc w:val="both"/>
        <w:rPr>
          <w:bCs/>
          <w:color w:val="002060"/>
          <w:sz w:val="16"/>
          <w:szCs w:val="16"/>
        </w:rPr>
      </w:pPr>
      <w:r w:rsidRPr="00DE096C">
        <w:rPr>
          <w:bCs/>
          <w:color w:val="002060"/>
          <w:sz w:val="16"/>
          <w:szCs w:val="16"/>
        </w:rPr>
        <w:t>28 августа (10 сентября) 1914 г. вблизи г. Лодзь ружейным огнем казачьего разъезда оказался подбитым германский аэроплан. При падении весь его экипаж (3 человека) погиб. Ранее в результате успешного обстрела наземными частями (южнее г. Грубешов (Хрубешув), Люблинское воеводство) удалось посадить австрийский летательный аппарат. Два офицера-пилота оказались убитыми, один - ранен. 8 сентября в районе Замостья (Замосцья) нашими передовыми частями был сбит германский аэроплан. В плен попали два неприятельских пилота (один из них раненый) (23405).</w:t>
      </w:r>
    </w:p>
    <w:p w14:paraId="136937EC" w14:textId="77777777" w:rsidR="000F5F6C" w:rsidRPr="00DE096C" w:rsidRDefault="000F5F6C" w:rsidP="00D45A46">
      <w:pPr>
        <w:jc w:val="both"/>
        <w:rPr>
          <w:bCs/>
          <w:color w:val="002060"/>
          <w:sz w:val="16"/>
          <w:szCs w:val="16"/>
        </w:rPr>
      </w:pPr>
    </w:p>
    <w:p w14:paraId="340CA93A" w14:textId="1F1203E8" w:rsidR="007B6235" w:rsidRPr="00DE096C" w:rsidRDefault="007B6235" w:rsidP="00D45A46">
      <w:pPr>
        <w:shd w:val="clear" w:color="auto" w:fill="FFFFFF"/>
        <w:jc w:val="both"/>
        <w:rPr>
          <w:bCs/>
          <w:i/>
          <w:color w:val="002060"/>
          <w:sz w:val="16"/>
          <w:szCs w:val="16"/>
        </w:rPr>
      </w:pPr>
      <w:r w:rsidRPr="00DE096C">
        <w:rPr>
          <w:bCs/>
          <w:i/>
          <w:color w:val="002060"/>
          <w:sz w:val="16"/>
          <w:szCs w:val="16"/>
        </w:rPr>
        <w:t>Воздухоплавание:</w:t>
      </w:r>
    </w:p>
    <w:p w14:paraId="64C4E378" w14:textId="77777777" w:rsidR="007B6235" w:rsidRPr="00DE096C" w:rsidRDefault="007B6235" w:rsidP="00D45A46">
      <w:pPr>
        <w:shd w:val="clear" w:color="auto" w:fill="FFFFFF"/>
        <w:jc w:val="both"/>
        <w:rPr>
          <w:bCs/>
          <w:i/>
          <w:color w:val="002060"/>
          <w:sz w:val="16"/>
          <w:szCs w:val="16"/>
        </w:rPr>
      </w:pPr>
    </w:p>
    <w:p w14:paraId="01D5A673" w14:textId="77777777" w:rsidR="007B6235" w:rsidRPr="00DE096C" w:rsidRDefault="007B6235" w:rsidP="00D45A46">
      <w:pPr>
        <w:jc w:val="both"/>
        <w:rPr>
          <w:bCs/>
          <w:color w:val="002060"/>
          <w:sz w:val="16"/>
          <w:szCs w:val="16"/>
        </w:rPr>
      </w:pPr>
      <w:r w:rsidRPr="00DE096C">
        <w:rPr>
          <w:rStyle w:val="43"/>
          <w:rFonts w:ascii="Times New Roman" w:hAnsi="Times New Roman" w:cs="Times New Roman"/>
          <w:bCs/>
          <w:color w:val="002060"/>
          <w:w w:val="100"/>
          <w:sz w:val="16"/>
          <w:szCs w:val="16"/>
        </w:rPr>
        <w:t>28 августа (10 сентября) 1914 «Альбатрос» ночью перелетел в Бе</w:t>
      </w:r>
      <w:r w:rsidRPr="00DE096C">
        <w:rPr>
          <w:rStyle w:val="43"/>
          <w:rFonts w:ascii="Times New Roman" w:hAnsi="Times New Roman" w:cs="Times New Roman"/>
          <w:bCs/>
          <w:color w:val="002060"/>
          <w:w w:val="100"/>
          <w:sz w:val="16"/>
          <w:szCs w:val="16"/>
        </w:rPr>
        <w:softHyphen/>
        <w:t>лосток (160 км), куда заранее послали команду для обслуживания его на стоянке (20120).</w:t>
      </w:r>
    </w:p>
    <w:p w14:paraId="7C5F2D37" w14:textId="77777777" w:rsidR="007B6235" w:rsidRPr="00DE096C" w:rsidRDefault="007B6235" w:rsidP="00D45A46">
      <w:pPr>
        <w:jc w:val="both"/>
        <w:rPr>
          <w:bCs/>
          <w:color w:val="002060"/>
          <w:sz w:val="16"/>
          <w:szCs w:val="16"/>
        </w:rPr>
      </w:pPr>
    </w:p>
    <w:p w14:paraId="3DEA2E81" w14:textId="77777777" w:rsidR="00674AF1" w:rsidRPr="00DE096C" w:rsidRDefault="00674AF1" w:rsidP="00D45A46">
      <w:pPr>
        <w:jc w:val="both"/>
        <w:rPr>
          <w:bCs/>
          <w:i/>
          <w:color w:val="002060"/>
          <w:sz w:val="16"/>
          <w:szCs w:val="16"/>
        </w:rPr>
      </w:pPr>
      <w:r w:rsidRPr="00DE096C">
        <w:rPr>
          <w:bCs/>
          <w:i/>
          <w:color w:val="002060"/>
          <w:sz w:val="16"/>
          <w:szCs w:val="16"/>
        </w:rPr>
        <w:t>Армия:</w:t>
      </w:r>
    </w:p>
    <w:p w14:paraId="5C06E108" w14:textId="77777777" w:rsidR="00674AF1" w:rsidRPr="00DE096C" w:rsidRDefault="00674AF1" w:rsidP="00D45A46">
      <w:pPr>
        <w:jc w:val="both"/>
        <w:rPr>
          <w:bCs/>
          <w:i/>
          <w:color w:val="002060"/>
          <w:sz w:val="16"/>
          <w:szCs w:val="16"/>
        </w:rPr>
      </w:pPr>
    </w:p>
    <w:p w14:paraId="0EF3C567" w14:textId="30927CC3" w:rsidR="00674AF1" w:rsidRPr="00DE096C" w:rsidRDefault="00674AF1" w:rsidP="00D45A46">
      <w:pPr>
        <w:jc w:val="both"/>
        <w:rPr>
          <w:bCs/>
          <w:color w:val="002060"/>
          <w:sz w:val="16"/>
          <w:szCs w:val="16"/>
        </w:rPr>
      </w:pPr>
      <w:r w:rsidRPr="00DE096C">
        <w:rPr>
          <w:bCs/>
          <w:color w:val="002060"/>
          <w:sz w:val="16"/>
          <w:szCs w:val="16"/>
        </w:rPr>
        <w:t xml:space="preserve">28 августа </w:t>
      </w:r>
      <w:r w:rsidR="00865110" w:rsidRPr="00DE096C">
        <w:rPr>
          <w:bCs/>
          <w:color w:val="002060"/>
          <w:sz w:val="16"/>
          <w:szCs w:val="16"/>
        </w:rPr>
        <w:t xml:space="preserve">(10 сентября) </w:t>
      </w:r>
      <w:r w:rsidRPr="00DE096C">
        <w:rPr>
          <w:bCs/>
          <w:color w:val="002060"/>
          <w:sz w:val="16"/>
          <w:szCs w:val="16"/>
        </w:rPr>
        <w:t>в 1914 году русские войска начинают наступление в Восточной Пруссии (28-30 августа) (14752).</w:t>
      </w:r>
    </w:p>
    <w:p w14:paraId="38E8BD8F" w14:textId="77777777" w:rsidR="00674AF1" w:rsidRPr="00DE096C" w:rsidRDefault="00674AF1" w:rsidP="00D45A46">
      <w:pPr>
        <w:jc w:val="both"/>
        <w:rPr>
          <w:bCs/>
          <w:color w:val="002060"/>
          <w:sz w:val="16"/>
          <w:szCs w:val="16"/>
        </w:rPr>
      </w:pPr>
    </w:p>
    <w:p w14:paraId="53BCF92E" w14:textId="0188732C" w:rsidR="00674AF1" w:rsidRPr="00DE096C" w:rsidRDefault="00674AF1" w:rsidP="00D45A46">
      <w:pPr>
        <w:jc w:val="both"/>
        <w:rPr>
          <w:bCs/>
          <w:color w:val="002060"/>
          <w:sz w:val="16"/>
          <w:szCs w:val="16"/>
        </w:rPr>
      </w:pPr>
      <w:r w:rsidRPr="00DE096C">
        <w:rPr>
          <w:bCs/>
          <w:color w:val="002060"/>
          <w:sz w:val="16"/>
          <w:szCs w:val="16"/>
        </w:rPr>
        <w:t xml:space="preserve">28 августа </w:t>
      </w:r>
      <w:r w:rsidR="00865110" w:rsidRPr="00DE096C">
        <w:rPr>
          <w:bCs/>
          <w:color w:val="002060"/>
          <w:sz w:val="16"/>
          <w:szCs w:val="16"/>
        </w:rPr>
        <w:t xml:space="preserve">(10 сентября) </w:t>
      </w:r>
      <w:r w:rsidRPr="00DE096C">
        <w:rPr>
          <w:bCs/>
          <w:color w:val="002060"/>
          <w:sz w:val="16"/>
          <w:szCs w:val="16"/>
        </w:rPr>
        <w:t>в 1914 году в сражении у реки Золотая Липа 3-я и 8-я русские армии нанесли поражение 3-й австро-венгерской армии и вынудили ее отойти за реку Гнилая Липа (14752).</w:t>
      </w:r>
    </w:p>
    <w:p w14:paraId="13B03893" w14:textId="77777777" w:rsidR="00674AF1" w:rsidRPr="00DE096C" w:rsidRDefault="00674AF1" w:rsidP="00D45A46">
      <w:pPr>
        <w:jc w:val="both"/>
        <w:rPr>
          <w:bCs/>
          <w:color w:val="002060"/>
          <w:sz w:val="16"/>
          <w:szCs w:val="16"/>
        </w:rPr>
      </w:pPr>
    </w:p>
    <w:p w14:paraId="6A77113A" w14:textId="77777777" w:rsidR="00674AF1" w:rsidRPr="00DE096C" w:rsidRDefault="00674AF1" w:rsidP="00D45A46">
      <w:pPr>
        <w:jc w:val="both"/>
        <w:rPr>
          <w:bCs/>
          <w:i/>
          <w:color w:val="002060"/>
          <w:sz w:val="16"/>
          <w:szCs w:val="16"/>
        </w:rPr>
      </w:pPr>
      <w:r w:rsidRPr="00DE096C">
        <w:rPr>
          <w:bCs/>
          <w:i/>
          <w:color w:val="002060"/>
          <w:sz w:val="16"/>
          <w:szCs w:val="16"/>
        </w:rPr>
        <w:t>Другие оборонные отрасли:</w:t>
      </w:r>
    </w:p>
    <w:p w14:paraId="74DCD641" w14:textId="77777777" w:rsidR="00674AF1" w:rsidRPr="00DE096C" w:rsidRDefault="00674AF1" w:rsidP="00D45A46">
      <w:pPr>
        <w:jc w:val="both"/>
        <w:rPr>
          <w:bCs/>
          <w:i/>
          <w:color w:val="002060"/>
          <w:sz w:val="16"/>
          <w:szCs w:val="16"/>
        </w:rPr>
      </w:pPr>
    </w:p>
    <w:p w14:paraId="571462F0" w14:textId="01BA423E" w:rsidR="00674AF1" w:rsidRPr="00DE096C" w:rsidRDefault="00674AF1" w:rsidP="00D45A46">
      <w:pPr>
        <w:pStyle w:val="21"/>
        <w:shd w:val="clear" w:color="auto" w:fill="auto"/>
        <w:spacing w:after="0" w:line="240" w:lineRule="auto"/>
        <w:ind w:firstLine="0"/>
        <w:jc w:val="both"/>
        <w:rPr>
          <w:rFonts w:ascii="Times New Roman" w:hAnsi="Times New Roman" w:cs="Times New Roman"/>
          <w:bCs/>
          <w:color w:val="002060"/>
          <w:spacing w:val="0"/>
          <w:sz w:val="16"/>
          <w:szCs w:val="16"/>
        </w:rPr>
      </w:pPr>
      <w:r w:rsidRPr="00DE096C">
        <w:rPr>
          <w:rFonts w:ascii="Times New Roman" w:hAnsi="Times New Roman" w:cs="Times New Roman"/>
          <w:bCs/>
          <w:color w:val="002060"/>
          <w:spacing w:val="0"/>
          <w:sz w:val="16"/>
          <w:szCs w:val="16"/>
        </w:rPr>
        <w:t xml:space="preserve">29 августа </w:t>
      </w:r>
      <w:r w:rsidR="00865110" w:rsidRPr="00DE096C">
        <w:rPr>
          <w:rFonts w:ascii="Times New Roman" w:hAnsi="Times New Roman" w:cs="Times New Roman"/>
          <w:bCs/>
          <w:color w:val="002060"/>
          <w:spacing w:val="0"/>
          <w:sz w:val="16"/>
          <w:szCs w:val="16"/>
        </w:rPr>
        <w:t xml:space="preserve">(11 сентября) </w:t>
      </w:r>
      <w:r w:rsidRPr="00DE096C">
        <w:rPr>
          <w:rFonts w:ascii="Times New Roman" w:hAnsi="Times New Roman" w:cs="Times New Roman"/>
          <w:bCs/>
          <w:color w:val="002060"/>
          <w:spacing w:val="0"/>
          <w:sz w:val="16"/>
          <w:szCs w:val="16"/>
        </w:rPr>
        <w:t>1914 года Начальник штаба Ставки Верховного Главнокомандования, генерал Н.Н. Янушкевич послал военному министру В.А. Сухомлинову паническую телеграмму: «…Во избежание снарядного и патронного голода со всеми его последствиями верховный главнокомандующий [великий князь Николай Николаевич] требует полного напряжения деятельности к разрешению этой задачи государственной важности. Безотлагательная помощь фронту необходима: без патронов и снарядов не может быть победы» (15230).</w:t>
      </w:r>
    </w:p>
    <w:p w14:paraId="44247D9C" w14:textId="77777777" w:rsidR="00674AF1" w:rsidRPr="00DE096C" w:rsidRDefault="00674AF1" w:rsidP="00D45A46">
      <w:pPr>
        <w:pStyle w:val="21"/>
        <w:shd w:val="clear" w:color="auto" w:fill="auto"/>
        <w:spacing w:after="0" w:line="240" w:lineRule="auto"/>
        <w:ind w:firstLine="0"/>
        <w:jc w:val="both"/>
        <w:rPr>
          <w:rFonts w:ascii="Times New Roman" w:hAnsi="Times New Roman" w:cs="Times New Roman"/>
          <w:bCs/>
          <w:color w:val="002060"/>
          <w:spacing w:val="0"/>
          <w:sz w:val="16"/>
          <w:szCs w:val="16"/>
        </w:rPr>
      </w:pPr>
    </w:p>
    <w:p w14:paraId="46F39D24"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Авиация:</w:t>
      </w:r>
    </w:p>
    <w:p w14:paraId="0AE05542" w14:textId="77777777" w:rsidR="00B67D7C" w:rsidRPr="00DE096C" w:rsidRDefault="00B67D7C" w:rsidP="00D45A46">
      <w:pPr>
        <w:pStyle w:val="a3"/>
        <w:jc w:val="both"/>
        <w:rPr>
          <w:bCs/>
          <w:color w:val="002060"/>
          <w:spacing w:val="0"/>
          <w:kern w:val="0"/>
          <w:position w:val="0"/>
          <w:sz w:val="16"/>
          <w:szCs w:val="16"/>
        </w:rPr>
      </w:pPr>
    </w:p>
    <w:p w14:paraId="5B337D06" w14:textId="4F6B840E" w:rsidR="00B67D7C" w:rsidRPr="00DE096C" w:rsidRDefault="00B67D7C" w:rsidP="00D45A46">
      <w:pPr>
        <w:jc w:val="both"/>
        <w:rPr>
          <w:bCs/>
          <w:color w:val="002060"/>
          <w:sz w:val="16"/>
          <w:szCs w:val="16"/>
        </w:rPr>
      </w:pPr>
      <w:r w:rsidRPr="00DE096C">
        <w:rPr>
          <w:bCs/>
          <w:color w:val="002060"/>
          <w:sz w:val="16"/>
          <w:szCs w:val="16"/>
        </w:rPr>
        <w:t xml:space="preserve">29 августа (11 сентября) 1914 </w:t>
      </w:r>
      <w:r w:rsidR="00865110" w:rsidRPr="00DE096C">
        <w:rPr>
          <w:bCs/>
          <w:color w:val="002060"/>
          <w:sz w:val="16"/>
          <w:szCs w:val="16"/>
        </w:rPr>
        <w:t>п</w:t>
      </w:r>
      <w:r w:rsidRPr="00DE096C">
        <w:rPr>
          <w:bCs/>
          <w:color w:val="002060"/>
          <w:sz w:val="16"/>
          <w:szCs w:val="16"/>
        </w:rPr>
        <w:t>еред фронтом 8-й армии в Гродекском районе русская авиация обнаружила сосредоточение крупных сил противника. Благодаря этим сведениям командованию стало ясно, что австро-венгерские войска готовят контрудар по центру армии с целью последующего захвата Львова. Стянув резервы на угрожаемое направление, русские с рассветом 12 сентября внезапно перешли в наступление.</w:t>
      </w:r>
    </w:p>
    <w:p w14:paraId="615023EC" w14:textId="77777777" w:rsidR="00B67D7C" w:rsidRPr="00DE096C" w:rsidRDefault="00B67D7C" w:rsidP="00D45A46">
      <w:pPr>
        <w:jc w:val="both"/>
        <w:rPr>
          <w:bCs/>
          <w:color w:val="002060"/>
          <w:sz w:val="16"/>
          <w:szCs w:val="16"/>
        </w:rPr>
      </w:pPr>
      <w:r w:rsidRPr="00DE096C">
        <w:rPr>
          <w:bCs/>
          <w:color w:val="002060"/>
          <w:sz w:val="16"/>
          <w:szCs w:val="16"/>
        </w:rPr>
        <w:t>Брусилов: "Около полудня... мной было получено донесение генерала Радко-Дмитриева, что его воздушная разведка выяснила: несколько больших колонн стягиваются к Гродеку и, очевидно, центр тяжести боя переносится к нашему центру. Из этих сведений было ясно, что... австрийцы предполагают пробить мой центр, разрезать армию пополам и по ближней дороге от Гродека ко Львову захватить этот важный административный и политический пункт. Это чрезвычайно важное и своевременное донесение, которое только и могло быть выяснено воздушной разведкой, дало мне возможность стянуть все мои резервы к VII и VIII корпусам... (11999).</w:t>
      </w:r>
    </w:p>
    <w:p w14:paraId="5A7EFF48" w14:textId="77777777" w:rsidR="00B67D7C" w:rsidRPr="00DE096C" w:rsidRDefault="00B67D7C" w:rsidP="00D45A46">
      <w:pPr>
        <w:jc w:val="both"/>
        <w:rPr>
          <w:bCs/>
          <w:color w:val="002060"/>
          <w:sz w:val="16"/>
          <w:szCs w:val="16"/>
        </w:rPr>
      </w:pPr>
    </w:p>
    <w:p w14:paraId="20167EA3" w14:textId="019A82BB" w:rsidR="00BD4215" w:rsidRPr="00DE096C" w:rsidRDefault="00EC3568" w:rsidP="00D45A46">
      <w:pPr>
        <w:jc w:val="both"/>
        <w:rPr>
          <w:bCs/>
          <w:color w:val="002060"/>
          <w:sz w:val="16"/>
          <w:szCs w:val="16"/>
        </w:rPr>
      </w:pPr>
      <w:r w:rsidRPr="00DE096C">
        <w:rPr>
          <w:bCs/>
          <w:color w:val="002060"/>
          <w:sz w:val="16"/>
          <w:szCs w:val="16"/>
        </w:rPr>
        <w:t xml:space="preserve">29 августа (11 сентября) 1914 г. командир 8-го корпуса ген. Радко-Дмитриев </w:t>
      </w:r>
      <w:r w:rsidR="00BD4215" w:rsidRPr="00DE096C">
        <w:rPr>
          <w:bCs/>
          <w:color w:val="002060"/>
          <w:sz w:val="16"/>
          <w:szCs w:val="16"/>
        </w:rPr>
        <w:t>до</w:t>
      </w:r>
      <w:r w:rsidRPr="00DE096C">
        <w:rPr>
          <w:bCs/>
          <w:color w:val="002060"/>
          <w:sz w:val="16"/>
          <w:szCs w:val="16"/>
        </w:rPr>
        <w:t>н</w:t>
      </w:r>
      <w:r w:rsidR="00BD4215" w:rsidRPr="00DE096C">
        <w:rPr>
          <w:bCs/>
          <w:color w:val="002060"/>
          <w:sz w:val="16"/>
          <w:szCs w:val="16"/>
        </w:rPr>
        <w:t xml:space="preserve">осил </w:t>
      </w:r>
      <w:r w:rsidRPr="00DE096C">
        <w:rPr>
          <w:bCs/>
          <w:color w:val="002060"/>
          <w:sz w:val="16"/>
          <w:szCs w:val="16"/>
        </w:rPr>
        <w:t>командующему 8-й</w:t>
      </w:r>
      <w:r w:rsidR="00BD4215" w:rsidRPr="00DE096C">
        <w:rPr>
          <w:bCs/>
          <w:color w:val="002060"/>
          <w:sz w:val="16"/>
          <w:szCs w:val="16"/>
        </w:rPr>
        <w:t xml:space="preserve"> армии г</w:t>
      </w:r>
      <w:r w:rsidRPr="00DE096C">
        <w:rPr>
          <w:bCs/>
          <w:color w:val="002060"/>
          <w:sz w:val="16"/>
          <w:szCs w:val="16"/>
        </w:rPr>
        <w:t>ене</w:t>
      </w:r>
      <w:r w:rsidR="00BD4215" w:rsidRPr="00DE096C">
        <w:rPr>
          <w:bCs/>
          <w:color w:val="002060"/>
          <w:sz w:val="16"/>
          <w:szCs w:val="16"/>
        </w:rPr>
        <w:t>р</w:t>
      </w:r>
      <w:r w:rsidRPr="00DE096C">
        <w:rPr>
          <w:bCs/>
          <w:color w:val="002060"/>
          <w:sz w:val="16"/>
          <w:szCs w:val="16"/>
        </w:rPr>
        <w:t>алу</w:t>
      </w:r>
      <w:r w:rsidR="00BD4215" w:rsidRPr="00DE096C">
        <w:rPr>
          <w:bCs/>
          <w:color w:val="002060"/>
          <w:sz w:val="16"/>
          <w:szCs w:val="16"/>
        </w:rPr>
        <w:t xml:space="preserve"> </w:t>
      </w:r>
      <w:r w:rsidRPr="00DE096C">
        <w:rPr>
          <w:bCs/>
          <w:color w:val="002060"/>
          <w:sz w:val="16"/>
          <w:szCs w:val="16"/>
        </w:rPr>
        <w:t>Б</w:t>
      </w:r>
      <w:r w:rsidR="00BD4215" w:rsidRPr="00DE096C">
        <w:rPr>
          <w:bCs/>
          <w:color w:val="002060"/>
          <w:sz w:val="16"/>
          <w:szCs w:val="16"/>
        </w:rPr>
        <w:t>ру</w:t>
      </w:r>
      <w:r w:rsidRPr="00DE096C">
        <w:rPr>
          <w:bCs/>
          <w:color w:val="002060"/>
          <w:sz w:val="16"/>
          <w:szCs w:val="16"/>
        </w:rPr>
        <w:t xml:space="preserve">силову, </w:t>
      </w:r>
      <w:r w:rsidR="00BD4215" w:rsidRPr="00DE096C">
        <w:rPr>
          <w:bCs/>
          <w:color w:val="002060"/>
          <w:sz w:val="16"/>
          <w:szCs w:val="16"/>
        </w:rPr>
        <w:t xml:space="preserve">что </w:t>
      </w:r>
      <w:r w:rsidRPr="00DE096C">
        <w:rPr>
          <w:bCs/>
          <w:color w:val="002060"/>
          <w:sz w:val="16"/>
          <w:szCs w:val="16"/>
        </w:rPr>
        <w:t>в</w:t>
      </w:r>
      <w:r w:rsidR="00BD4215" w:rsidRPr="00DE096C">
        <w:rPr>
          <w:bCs/>
          <w:color w:val="002060"/>
          <w:sz w:val="16"/>
          <w:szCs w:val="16"/>
        </w:rPr>
        <w:t>о</w:t>
      </w:r>
      <w:r w:rsidRPr="00DE096C">
        <w:rPr>
          <w:bCs/>
          <w:color w:val="002060"/>
          <w:sz w:val="16"/>
          <w:szCs w:val="16"/>
        </w:rPr>
        <w:t>з</w:t>
      </w:r>
      <w:r w:rsidR="00BD4215" w:rsidRPr="00DE096C">
        <w:rPr>
          <w:bCs/>
          <w:color w:val="002060"/>
          <w:sz w:val="16"/>
          <w:szCs w:val="16"/>
        </w:rPr>
        <w:t>ду</w:t>
      </w:r>
      <w:r w:rsidRPr="00DE096C">
        <w:rPr>
          <w:bCs/>
          <w:color w:val="002060"/>
          <w:sz w:val="16"/>
          <w:szCs w:val="16"/>
        </w:rPr>
        <w:t>ш</w:t>
      </w:r>
      <w:r w:rsidR="00BD4215" w:rsidRPr="00DE096C">
        <w:rPr>
          <w:bCs/>
          <w:color w:val="002060"/>
          <w:sz w:val="16"/>
          <w:szCs w:val="16"/>
        </w:rPr>
        <w:t>ная р</w:t>
      </w:r>
      <w:r w:rsidRPr="00DE096C">
        <w:rPr>
          <w:bCs/>
          <w:color w:val="002060"/>
          <w:sz w:val="16"/>
          <w:szCs w:val="16"/>
        </w:rPr>
        <w:t>азведка</w:t>
      </w:r>
      <w:r w:rsidR="00BD4215" w:rsidRPr="00DE096C">
        <w:rPr>
          <w:bCs/>
          <w:color w:val="002060"/>
          <w:sz w:val="16"/>
          <w:szCs w:val="16"/>
        </w:rPr>
        <w:t xml:space="preserve"> к</w:t>
      </w:r>
      <w:r w:rsidRPr="00DE096C">
        <w:rPr>
          <w:bCs/>
          <w:color w:val="002060"/>
          <w:sz w:val="16"/>
          <w:szCs w:val="16"/>
        </w:rPr>
        <w:t>орпуса</w:t>
      </w:r>
      <w:r w:rsidR="00BD4215" w:rsidRPr="00DE096C">
        <w:rPr>
          <w:bCs/>
          <w:color w:val="002060"/>
          <w:sz w:val="16"/>
          <w:szCs w:val="16"/>
        </w:rPr>
        <w:t xml:space="preserve"> обнаружила нисколько больших колонн проти</w:t>
      </w:r>
      <w:r w:rsidRPr="00DE096C">
        <w:rPr>
          <w:bCs/>
          <w:color w:val="002060"/>
          <w:sz w:val="16"/>
          <w:szCs w:val="16"/>
        </w:rPr>
        <w:t>вника, направляющихся</w:t>
      </w:r>
      <w:r w:rsidR="00BD4215" w:rsidRPr="00DE096C">
        <w:rPr>
          <w:bCs/>
          <w:color w:val="002060"/>
          <w:sz w:val="16"/>
          <w:szCs w:val="16"/>
        </w:rPr>
        <w:t xml:space="preserve"> к Грод</w:t>
      </w:r>
      <w:r w:rsidRPr="00DE096C">
        <w:rPr>
          <w:bCs/>
          <w:color w:val="002060"/>
          <w:sz w:val="16"/>
          <w:szCs w:val="16"/>
        </w:rPr>
        <w:t>ск</w:t>
      </w:r>
      <w:r w:rsidR="00BD4215" w:rsidRPr="00DE096C">
        <w:rPr>
          <w:bCs/>
          <w:color w:val="002060"/>
          <w:sz w:val="16"/>
          <w:szCs w:val="16"/>
        </w:rPr>
        <w:t xml:space="preserve">у </w:t>
      </w:r>
      <w:r w:rsidRPr="00DE096C">
        <w:rPr>
          <w:bCs/>
          <w:color w:val="002060"/>
          <w:sz w:val="16"/>
          <w:szCs w:val="16"/>
        </w:rPr>
        <w:t>с</w:t>
      </w:r>
      <w:r w:rsidR="00BD4215" w:rsidRPr="00DE096C">
        <w:rPr>
          <w:bCs/>
          <w:color w:val="002060"/>
          <w:sz w:val="16"/>
          <w:szCs w:val="16"/>
        </w:rPr>
        <w:t xml:space="preserve"> </w:t>
      </w:r>
      <w:r w:rsidRPr="00DE096C">
        <w:rPr>
          <w:bCs/>
          <w:color w:val="002060"/>
          <w:sz w:val="16"/>
          <w:szCs w:val="16"/>
        </w:rPr>
        <w:t>намерением р</w:t>
      </w:r>
      <w:r w:rsidR="00BD4215" w:rsidRPr="00DE096C">
        <w:rPr>
          <w:bCs/>
          <w:color w:val="002060"/>
          <w:sz w:val="16"/>
          <w:szCs w:val="16"/>
        </w:rPr>
        <w:t>а</w:t>
      </w:r>
      <w:r w:rsidRPr="00DE096C">
        <w:rPr>
          <w:bCs/>
          <w:color w:val="002060"/>
          <w:sz w:val="16"/>
          <w:szCs w:val="16"/>
        </w:rPr>
        <w:t>з</w:t>
      </w:r>
      <w:r w:rsidR="00BD4215" w:rsidRPr="00DE096C">
        <w:rPr>
          <w:bCs/>
          <w:color w:val="002060"/>
          <w:sz w:val="16"/>
          <w:szCs w:val="16"/>
        </w:rPr>
        <w:t>р</w:t>
      </w:r>
      <w:r w:rsidRPr="00DE096C">
        <w:rPr>
          <w:bCs/>
          <w:color w:val="002060"/>
          <w:sz w:val="16"/>
          <w:szCs w:val="16"/>
        </w:rPr>
        <w:t xml:space="preserve">резать </w:t>
      </w:r>
      <w:r w:rsidR="00BD4215" w:rsidRPr="00DE096C">
        <w:rPr>
          <w:bCs/>
          <w:color w:val="002060"/>
          <w:sz w:val="16"/>
          <w:szCs w:val="16"/>
        </w:rPr>
        <w:t xml:space="preserve">армию пополам </w:t>
      </w:r>
      <w:r w:rsidRPr="00DE096C">
        <w:rPr>
          <w:bCs/>
          <w:color w:val="002060"/>
          <w:sz w:val="16"/>
          <w:szCs w:val="16"/>
        </w:rPr>
        <w:t xml:space="preserve">и, </w:t>
      </w:r>
      <w:r w:rsidR="00BD4215" w:rsidRPr="00DE096C">
        <w:rPr>
          <w:bCs/>
          <w:color w:val="002060"/>
          <w:sz w:val="16"/>
          <w:szCs w:val="16"/>
        </w:rPr>
        <w:t>про</w:t>
      </w:r>
      <w:r w:rsidRPr="00DE096C">
        <w:rPr>
          <w:bCs/>
          <w:color w:val="002060"/>
          <w:sz w:val="16"/>
          <w:szCs w:val="16"/>
        </w:rPr>
        <w:t>бив</w:t>
      </w:r>
      <w:r w:rsidR="00BD4215" w:rsidRPr="00DE096C">
        <w:rPr>
          <w:bCs/>
          <w:color w:val="002060"/>
          <w:sz w:val="16"/>
          <w:szCs w:val="16"/>
        </w:rPr>
        <w:t xml:space="preserve"> </w:t>
      </w:r>
      <w:r w:rsidRPr="00DE096C">
        <w:rPr>
          <w:bCs/>
          <w:color w:val="002060"/>
          <w:sz w:val="16"/>
          <w:szCs w:val="16"/>
        </w:rPr>
        <w:t>се</w:t>
      </w:r>
      <w:r w:rsidR="00BD4215" w:rsidRPr="00DE096C">
        <w:rPr>
          <w:bCs/>
          <w:color w:val="002060"/>
          <w:sz w:val="16"/>
          <w:szCs w:val="16"/>
        </w:rPr>
        <w:t>б</w:t>
      </w:r>
      <w:r w:rsidRPr="00DE096C">
        <w:rPr>
          <w:bCs/>
          <w:color w:val="002060"/>
          <w:sz w:val="16"/>
          <w:szCs w:val="16"/>
        </w:rPr>
        <w:t>е</w:t>
      </w:r>
      <w:r w:rsidR="00BD4215" w:rsidRPr="00DE096C">
        <w:rPr>
          <w:bCs/>
          <w:color w:val="002060"/>
          <w:sz w:val="16"/>
          <w:szCs w:val="16"/>
        </w:rPr>
        <w:t xml:space="preserve"> дорогу</w:t>
      </w:r>
      <w:r w:rsidRPr="00DE096C">
        <w:rPr>
          <w:bCs/>
          <w:color w:val="002060"/>
          <w:sz w:val="16"/>
          <w:szCs w:val="16"/>
        </w:rPr>
        <w:t xml:space="preserve">, </w:t>
      </w:r>
      <w:r w:rsidR="00BD4215" w:rsidRPr="00DE096C">
        <w:rPr>
          <w:bCs/>
          <w:color w:val="002060"/>
          <w:sz w:val="16"/>
          <w:szCs w:val="16"/>
        </w:rPr>
        <w:t>о</w:t>
      </w:r>
      <w:r w:rsidRPr="00DE096C">
        <w:rPr>
          <w:bCs/>
          <w:color w:val="002060"/>
          <w:sz w:val="16"/>
          <w:szCs w:val="16"/>
        </w:rPr>
        <w:t>в</w:t>
      </w:r>
      <w:r w:rsidR="00BD4215" w:rsidRPr="00DE096C">
        <w:rPr>
          <w:bCs/>
          <w:color w:val="002060"/>
          <w:sz w:val="16"/>
          <w:szCs w:val="16"/>
        </w:rPr>
        <w:t>ладеть Львовом.</w:t>
      </w:r>
      <w:r w:rsidRPr="00DE096C">
        <w:rPr>
          <w:bCs/>
          <w:color w:val="002060"/>
          <w:sz w:val="16"/>
          <w:szCs w:val="16"/>
        </w:rPr>
        <w:t xml:space="preserve"> В</w:t>
      </w:r>
      <w:r w:rsidR="00BD4215" w:rsidRPr="00DE096C">
        <w:rPr>
          <w:bCs/>
          <w:color w:val="002060"/>
          <w:sz w:val="16"/>
          <w:szCs w:val="16"/>
        </w:rPr>
        <w:t xml:space="preserve"> ровультат</w:t>
      </w:r>
      <w:r w:rsidRPr="00DE096C">
        <w:rPr>
          <w:bCs/>
          <w:color w:val="002060"/>
          <w:sz w:val="16"/>
          <w:szCs w:val="16"/>
        </w:rPr>
        <w:t>е</w:t>
      </w:r>
      <w:r w:rsidR="00BD4215" w:rsidRPr="00DE096C">
        <w:rPr>
          <w:bCs/>
          <w:color w:val="002060"/>
          <w:sz w:val="16"/>
          <w:szCs w:val="16"/>
        </w:rPr>
        <w:t xml:space="preserve"> принятых м</w:t>
      </w:r>
      <w:r w:rsidRPr="00DE096C">
        <w:rPr>
          <w:bCs/>
          <w:color w:val="002060"/>
          <w:sz w:val="16"/>
          <w:szCs w:val="16"/>
        </w:rPr>
        <w:t>е</w:t>
      </w:r>
      <w:r w:rsidR="00BD4215" w:rsidRPr="00DE096C">
        <w:rPr>
          <w:bCs/>
          <w:color w:val="002060"/>
          <w:sz w:val="16"/>
          <w:szCs w:val="16"/>
        </w:rPr>
        <w:t xml:space="preserve">р </w:t>
      </w:r>
      <w:r w:rsidRPr="00DE096C">
        <w:rPr>
          <w:bCs/>
          <w:color w:val="002060"/>
          <w:sz w:val="16"/>
          <w:szCs w:val="16"/>
        </w:rPr>
        <w:t>к</w:t>
      </w:r>
      <w:r w:rsidR="00BD4215" w:rsidRPr="00DE096C">
        <w:rPr>
          <w:bCs/>
          <w:color w:val="002060"/>
          <w:sz w:val="16"/>
          <w:szCs w:val="16"/>
        </w:rPr>
        <w:t>ата</w:t>
      </w:r>
      <w:r w:rsidRPr="00DE096C">
        <w:rPr>
          <w:bCs/>
          <w:color w:val="002060"/>
          <w:sz w:val="16"/>
          <w:szCs w:val="16"/>
        </w:rPr>
        <w:t>ст</w:t>
      </w:r>
      <w:r w:rsidR="00BD4215" w:rsidRPr="00DE096C">
        <w:rPr>
          <w:bCs/>
          <w:color w:val="002060"/>
          <w:sz w:val="16"/>
          <w:szCs w:val="16"/>
        </w:rPr>
        <w:t>рофа армии была предотвращена.</w:t>
      </w:r>
      <w:r w:rsidRPr="00DE096C">
        <w:rPr>
          <w:bCs/>
          <w:color w:val="002060"/>
          <w:sz w:val="16"/>
          <w:szCs w:val="16"/>
        </w:rPr>
        <w:t xml:space="preserve"> </w:t>
      </w:r>
      <w:r w:rsidR="00BD4215" w:rsidRPr="00DE096C">
        <w:rPr>
          <w:bCs/>
          <w:color w:val="002060"/>
          <w:sz w:val="16"/>
          <w:szCs w:val="16"/>
        </w:rPr>
        <w:t>Та</w:t>
      </w:r>
      <w:r w:rsidRPr="00DE096C">
        <w:rPr>
          <w:bCs/>
          <w:color w:val="002060"/>
          <w:sz w:val="16"/>
          <w:szCs w:val="16"/>
        </w:rPr>
        <w:t>к</w:t>
      </w:r>
      <w:r w:rsidR="00BD4215" w:rsidRPr="00DE096C">
        <w:rPr>
          <w:bCs/>
          <w:color w:val="002060"/>
          <w:sz w:val="16"/>
          <w:szCs w:val="16"/>
        </w:rPr>
        <w:t xml:space="preserve"> воздушная разведка помогла 8-й ариях разгадать намерения противника и спастн положение на Фронте.</w:t>
      </w:r>
    </w:p>
    <w:p w14:paraId="1A04E45F" w14:textId="77777777" w:rsidR="00BD4215" w:rsidRPr="00DE096C" w:rsidRDefault="00BD4215" w:rsidP="00D45A46">
      <w:pPr>
        <w:jc w:val="both"/>
        <w:rPr>
          <w:bCs/>
          <w:color w:val="002060"/>
          <w:sz w:val="16"/>
          <w:szCs w:val="16"/>
        </w:rPr>
      </w:pPr>
      <w:r w:rsidRPr="00DE096C">
        <w:rPr>
          <w:bCs/>
          <w:color w:val="002060"/>
          <w:sz w:val="16"/>
          <w:szCs w:val="16"/>
        </w:rPr>
        <w:t>/А. А.Брусилов. Мон воспоминания, 1940, стр. 93/ (23320).</w:t>
      </w:r>
    </w:p>
    <w:p w14:paraId="48B9C9FB" w14:textId="77777777" w:rsidR="00BD4215" w:rsidRPr="00DE096C" w:rsidRDefault="00BD4215" w:rsidP="00D45A46">
      <w:pPr>
        <w:jc w:val="both"/>
        <w:rPr>
          <w:bCs/>
          <w:color w:val="002060"/>
          <w:sz w:val="16"/>
          <w:szCs w:val="16"/>
        </w:rPr>
      </w:pPr>
    </w:p>
    <w:p w14:paraId="4E7696F4" w14:textId="27DB5669" w:rsidR="000F5F6C" w:rsidRPr="00DE096C" w:rsidRDefault="000F5F6C" w:rsidP="00D45A46">
      <w:pPr>
        <w:jc w:val="both"/>
        <w:rPr>
          <w:bCs/>
          <w:color w:val="002060"/>
          <w:sz w:val="16"/>
          <w:szCs w:val="16"/>
        </w:rPr>
      </w:pPr>
      <w:r w:rsidRPr="00DE096C">
        <w:rPr>
          <w:bCs/>
          <w:color w:val="002060"/>
          <w:sz w:val="16"/>
          <w:szCs w:val="16"/>
          <w:lang w:bidi="en-US"/>
        </w:rPr>
        <w:t>29 августа (11 сентября) 1914 Сикорский на ИМ. № 128 вылетел инструктором в Гатчину (23525).</w:t>
      </w:r>
    </w:p>
    <w:p w14:paraId="3689DD15" w14:textId="77777777" w:rsidR="000F5F6C" w:rsidRPr="00DE096C" w:rsidRDefault="000F5F6C" w:rsidP="00D45A46">
      <w:pPr>
        <w:jc w:val="both"/>
        <w:rPr>
          <w:bCs/>
          <w:color w:val="002060"/>
          <w:sz w:val="16"/>
          <w:szCs w:val="16"/>
          <w:lang w:bidi="en-US"/>
        </w:rPr>
      </w:pPr>
    </w:p>
    <w:p w14:paraId="025C3838" w14:textId="77777777" w:rsidR="000F5F6C" w:rsidRPr="00DE096C" w:rsidRDefault="000F5F6C" w:rsidP="00D45A46">
      <w:pPr>
        <w:shd w:val="clear" w:color="auto" w:fill="FFFFFF"/>
        <w:jc w:val="both"/>
        <w:rPr>
          <w:bCs/>
          <w:color w:val="002060"/>
          <w:sz w:val="16"/>
          <w:szCs w:val="16"/>
        </w:rPr>
      </w:pPr>
      <w:r w:rsidRPr="00DE096C">
        <w:rPr>
          <w:bCs/>
          <w:color w:val="002060"/>
          <w:sz w:val="16"/>
          <w:szCs w:val="16"/>
        </w:rPr>
        <w:lastRenderedPageBreak/>
        <w:t>29 августа (11 сентября) 1914 командир 8-го корпуса генерал Радко-Диитриев доносил командующему 8-й армией генералу Брусилову, что воздушная разведка корпуса обнаружила несколько больших колонн противника, направлявшихся к Гродеку с намерением разрезать армию пополам и, пробив себе дорогу, овладеть Львовом. В результате принятых мер катастрофа армии была предотвращена. Так воздушная разведка помогла 8-й армии разгадать намерения противника спасти положение на фронте (А.А.Брусилов. Мои воспоминания. 1946, стр. 95).</w:t>
      </w:r>
    </w:p>
    <w:p w14:paraId="26E56242" w14:textId="77777777" w:rsidR="000F5F6C" w:rsidRPr="00DE096C" w:rsidRDefault="000F5F6C" w:rsidP="00D45A46">
      <w:pPr>
        <w:shd w:val="clear" w:color="auto" w:fill="FFFFFF"/>
        <w:jc w:val="both"/>
        <w:rPr>
          <w:bCs/>
          <w:color w:val="002060"/>
          <w:sz w:val="16"/>
          <w:szCs w:val="16"/>
        </w:rPr>
      </w:pPr>
    </w:p>
    <w:p w14:paraId="5514523C"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Морская авиация:</w:t>
      </w:r>
    </w:p>
    <w:p w14:paraId="07A3A2EA" w14:textId="77777777" w:rsidR="00B67D7C" w:rsidRPr="00DE096C" w:rsidRDefault="00B67D7C" w:rsidP="00D45A46">
      <w:pPr>
        <w:pStyle w:val="a3"/>
        <w:jc w:val="both"/>
        <w:rPr>
          <w:bCs/>
          <w:color w:val="002060"/>
          <w:spacing w:val="0"/>
          <w:kern w:val="0"/>
          <w:position w:val="0"/>
          <w:sz w:val="16"/>
          <w:szCs w:val="16"/>
        </w:rPr>
      </w:pPr>
    </w:p>
    <w:p w14:paraId="2BAD99B1" w14:textId="22576705" w:rsidR="00B67D7C" w:rsidRPr="00DE096C" w:rsidRDefault="00B67D7C" w:rsidP="00D45A46">
      <w:pPr>
        <w:jc w:val="both"/>
        <w:rPr>
          <w:bCs/>
          <w:color w:val="002060"/>
          <w:sz w:val="16"/>
          <w:szCs w:val="16"/>
        </w:rPr>
      </w:pPr>
      <w:r w:rsidRPr="00DE096C">
        <w:rPr>
          <w:bCs/>
          <w:color w:val="002060"/>
          <w:sz w:val="16"/>
          <w:szCs w:val="16"/>
        </w:rPr>
        <w:t xml:space="preserve">29 августа (11 сентября) 1914 года </w:t>
      </w:r>
      <w:r w:rsidR="00865110" w:rsidRPr="00DE096C">
        <w:rPr>
          <w:bCs/>
          <w:color w:val="002060"/>
          <w:sz w:val="16"/>
          <w:szCs w:val="16"/>
        </w:rPr>
        <w:t xml:space="preserve">введенное </w:t>
      </w:r>
      <w:r w:rsidRPr="00DE096C">
        <w:rPr>
          <w:bCs/>
          <w:color w:val="002060"/>
          <w:sz w:val="16"/>
          <w:szCs w:val="16"/>
        </w:rPr>
        <w:t>в действие «Положение о службе авиации в службе связи» закрепило организационное включение морской авиации в состав службы связи Балтийского и Черного морей. Этот основополагающий документ определил конкретные задачи уже всей отечественной морской авиации, без привязки к конкретному морскому театру военных действий. В нем указывалось: «1. Для наблюдения за морем вне видимости береговых постов, для несения разведочной и сторожевой служб, для борьбы с воздушной разведкой противника и других активно-боевых целей при службе связи имеется служба авиации» (Российский государственный архив Военно-морского флота (РГА ВМФ). Ф. 249. Оп. 1. Д. 92. Л. 151.). Таким образом, в первом официальном документе отечественной морской авиации ставилась только одна задача — ведение воздушной разведки, остальные задачи не раскрывались, а были указаны в общем, как «другие активно-боевые цели».</w:t>
      </w:r>
    </w:p>
    <w:p w14:paraId="3DEDD4FF" w14:textId="77777777" w:rsidR="00B67D7C" w:rsidRPr="00DE096C" w:rsidRDefault="00B67D7C" w:rsidP="00D45A46">
      <w:pPr>
        <w:jc w:val="both"/>
        <w:rPr>
          <w:bCs/>
          <w:color w:val="002060"/>
          <w:sz w:val="16"/>
          <w:szCs w:val="16"/>
        </w:rPr>
      </w:pPr>
      <w:r w:rsidRPr="00DE096C">
        <w:rPr>
          <w:bCs/>
          <w:color w:val="002060"/>
          <w:sz w:val="16"/>
          <w:szCs w:val="16"/>
        </w:rPr>
        <w:t>Указанный документ до введения в действие на протяжении двух лет (1912—1914 гг.) обсуждался в Морском министерстве, на Балтийском и Черноморском флотах. При этом предложения черноморцев, учитывавшие особенности их театра, учтены были незначительно, и еще до официального утверждения положения было ясно, что документ в первую очередь будет соответствовать и отвечать требованиям морской авиации берегового базирования (иначе — морской авиации прибрежного действия или авиации службы связи Балтийского моря) (11177).</w:t>
      </w:r>
    </w:p>
    <w:p w14:paraId="68110F3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То, что введенное Положение не вполне соответствовало обста</w:t>
      </w:r>
      <w:r w:rsidRPr="00DE096C">
        <w:rPr>
          <w:bCs/>
          <w:color w:val="002060"/>
          <w:sz w:val="16"/>
          <w:szCs w:val="16"/>
        </w:rPr>
        <w:softHyphen/>
        <w:t>новке, осознавали и в Морском генеральном штабе, организацион</w:t>
      </w:r>
      <w:r w:rsidRPr="00DE096C">
        <w:rPr>
          <w:bCs/>
          <w:color w:val="002060"/>
          <w:sz w:val="16"/>
          <w:szCs w:val="16"/>
        </w:rPr>
        <w:softHyphen/>
        <w:t>но-штатная структура которого также оказалась устаревшей. Поэ</w:t>
      </w:r>
      <w:r w:rsidRPr="00DE096C">
        <w:rPr>
          <w:bCs/>
          <w:color w:val="002060"/>
          <w:sz w:val="16"/>
          <w:szCs w:val="16"/>
        </w:rPr>
        <w:softHyphen/>
        <w:t>тому начальник Морского генерального штаба в августе 1914 г. обратился в Адмиралтейств-совет с ходатайством о некотором из</w:t>
      </w:r>
      <w:r w:rsidRPr="00DE096C">
        <w:rPr>
          <w:bCs/>
          <w:color w:val="002060"/>
          <w:sz w:val="16"/>
          <w:szCs w:val="16"/>
        </w:rPr>
        <w:softHyphen/>
        <w:t>менении штатов, «не находя удобным, по обстоятельствам военно</w:t>
      </w:r>
      <w:r w:rsidRPr="00DE096C">
        <w:rPr>
          <w:bCs/>
          <w:color w:val="002060"/>
          <w:sz w:val="16"/>
          <w:szCs w:val="16"/>
        </w:rPr>
        <w:softHyphen/>
        <w:t>го времени, вносить изменение штатов в только что созданную организацию». Ходатайство удовлетворили и в штат Морского ге</w:t>
      </w:r>
      <w:r w:rsidRPr="00DE096C">
        <w:rPr>
          <w:bCs/>
          <w:color w:val="002060"/>
          <w:sz w:val="16"/>
          <w:szCs w:val="16"/>
        </w:rPr>
        <w:softHyphen/>
        <w:t>нерального штаба дополнительно ввели три должности: начальни</w:t>
      </w:r>
      <w:r w:rsidRPr="00DE096C">
        <w:rPr>
          <w:bCs/>
          <w:color w:val="002060"/>
          <w:sz w:val="16"/>
          <w:szCs w:val="16"/>
        </w:rPr>
        <w:softHyphen/>
        <w:t>ка воздухоплавательного отдела и двух обер-офицеров. Их включи</w:t>
      </w:r>
      <w:r w:rsidRPr="00DE096C">
        <w:rPr>
          <w:bCs/>
          <w:color w:val="002060"/>
          <w:sz w:val="16"/>
          <w:szCs w:val="16"/>
        </w:rPr>
        <w:softHyphen/>
        <w:t>ли в организационно-тактическое отделение (1085).</w:t>
      </w:r>
    </w:p>
    <w:p w14:paraId="7182270B" w14:textId="77777777" w:rsidR="00B67D7C" w:rsidRPr="00DE096C" w:rsidRDefault="00B67D7C" w:rsidP="00D45A46">
      <w:pPr>
        <w:shd w:val="clear" w:color="auto" w:fill="FFFFFF"/>
        <w:jc w:val="both"/>
        <w:rPr>
          <w:bCs/>
          <w:color w:val="002060"/>
          <w:sz w:val="16"/>
          <w:szCs w:val="16"/>
        </w:rPr>
      </w:pPr>
    </w:p>
    <w:p w14:paraId="0177D0BD" w14:textId="77777777" w:rsidR="000F5F6C" w:rsidRPr="00DE096C" w:rsidRDefault="000F5F6C" w:rsidP="00D45A46">
      <w:pPr>
        <w:jc w:val="both"/>
        <w:rPr>
          <w:bCs/>
          <w:color w:val="002060"/>
          <w:sz w:val="16"/>
          <w:szCs w:val="16"/>
        </w:rPr>
      </w:pPr>
      <w:r w:rsidRPr="00DE096C">
        <w:rPr>
          <w:bCs/>
          <w:color w:val="002060"/>
          <w:sz w:val="16"/>
          <w:szCs w:val="16"/>
          <w:lang w:bidi="en-US"/>
        </w:rPr>
        <w:t>29–30 августа (11-12 сентября) на Юго-Западном фронте 3-я русская армия нанесла поражение 4-й австро-венгерской армии у Лутцова на р. Злота Липа и продолжила наступление на Лемберг. 30–31 августа австро-венгры нанесли поражение 4-й и 5-й русским армиям в битве при Замостье-Комарове.</w:t>
      </w:r>
    </w:p>
    <w:p w14:paraId="6C8F9C34" w14:textId="77777777" w:rsidR="000F5F6C" w:rsidRPr="00DE096C" w:rsidRDefault="000F5F6C" w:rsidP="00D45A46">
      <w:pPr>
        <w:jc w:val="both"/>
        <w:rPr>
          <w:bCs/>
          <w:color w:val="002060"/>
          <w:sz w:val="16"/>
          <w:szCs w:val="16"/>
        </w:rPr>
      </w:pPr>
      <w:r w:rsidRPr="00DE096C">
        <w:rPr>
          <w:bCs/>
          <w:color w:val="002060"/>
          <w:sz w:val="16"/>
          <w:szCs w:val="16"/>
          <w:lang w:bidi="en-US"/>
        </w:rPr>
        <w:t>Планы морской авиации Черноморского флота на август предусматривали размещение 1-й станции в Севастополе; 2-я станция в Днестровском лимане; 3-я станция на Тарханкуте Тендровского района; 4-я станция в Керчи; и 5-я станция в Поти, в Батумской области. Станции первого ранга имели ангары, ремонтные мастерские, запасы горюче-смазочных материалов, вспомогательные помещения, лазарет и другие постройки. Авиапосты второго ранга были временными и должны были находиться в Жебрянах, Тендре, Сухуми и Батуме (23525).</w:t>
      </w:r>
    </w:p>
    <w:p w14:paraId="5C6863E9" w14:textId="77777777" w:rsidR="000F5F6C" w:rsidRPr="00DE096C" w:rsidRDefault="000F5F6C" w:rsidP="00D45A46">
      <w:pPr>
        <w:jc w:val="both"/>
        <w:rPr>
          <w:bCs/>
          <w:color w:val="002060"/>
          <w:sz w:val="16"/>
          <w:szCs w:val="16"/>
          <w:lang w:bidi="en-US"/>
        </w:rPr>
      </w:pPr>
    </w:p>
    <w:p w14:paraId="61CB1857" w14:textId="77777777" w:rsidR="00674AF1" w:rsidRPr="00DE096C" w:rsidRDefault="00674AF1" w:rsidP="00D45A46">
      <w:pPr>
        <w:jc w:val="both"/>
        <w:rPr>
          <w:bCs/>
          <w:i/>
          <w:color w:val="002060"/>
          <w:sz w:val="16"/>
          <w:szCs w:val="16"/>
        </w:rPr>
      </w:pPr>
      <w:r w:rsidRPr="00DE096C">
        <w:rPr>
          <w:bCs/>
          <w:i/>
          <w:color w:val="002060"/>
          <w:sz w:val="16"/>
          <w:szCs w:val="16"/>
        </w:rPr>
        <w:t>Армия:</w:t>
      </w:r>
    </w:p>
    <w:p w14:paraId="4771A064" w14:textId="77777777" w:rsidR="00674AF1" w:rsidRPr="00DE096C" w:rsidRDefault="00674AF1" w:rsidP="00D45A46">
      <w:pPr>
        <w:jc w:val="both"/>
        <w:rPr>
          <w:bCs/>
          <w:i/>
          <w:color w:val="002060"/>
          <w:sz w:val="16"/>
          <w:szCs w:val="16"/>
        </w:rPr>
      </w:pPr>
    </w:p>
    <w:p w14:paraId="6D22ED8C" w14:textId="5515DFCC" w:rsidR="00674AF1" w:rsidRPr="00DE096C" w:rsidRDefault="00674AF1" w:rsidP="00D45A46">
      <w:pPr>
        <w:jc w:val="both"/>
        <w:rPr>
          <w:bCs/>
          <w:color w:val="002060"/>
          <w:sz w:val="16"/>
          <w:szCs w:val="16"/>
        </w:rPr>
      </w:pPr>
      <w:r w:rsidRPr="00DE096C">
        <w:rPr>
          <w:rStyle w:val="ucoz-forum-post"/>
          <w:rFonts w:eastAsiaTheme="majorEastAsia"/>
          <w:bCs/>
          <w:color w:val="002060"/>
          <w:sz w:val="16"/>
          <w:szCs w:val="16"/>
        </w:rPr>
        <w:t xml:space="preserve">29 августа </w:t>
      </w:r>
      <w:r w:rsidR="00A32DB5" w:rsidRPr="00DE096C">
        <w:rPr>
          <w:rStyle w:val="ucoz-forum-post"/>
          <w:rFonts w:eastAsiaTheme="majorEastAsia"/>
          <w:bCs/>
          <w:color w:val="002060"/>
          <w:sz w:val="16"/>
          <w:szCs w:val="16"/>
        </w:rPr>
        <w:t xml:space="preserve">(11 сентября) </w:t>
      </w:r>
      <w:r w:rsidRPr="00DE096C">
        <w:rPr>
          <w:bCs/>
          <w:color w:val="002060"/>
          <w:sz w:val="16"/>
          <w:szCs w:val="16"/>
        </w:rPr>
        <w:t>в 1914 году во время Первой мировой войны в ходе боев на Северо-Западном фронте в районе Комусинских лесов окружены 13-й и 15-й корпуса 2-й армии генерала А.В.Самсонова. В ходе Галицийского сражения начались бои на реке Гнилая Липа, во время которых 3-я русская армия (генерал Н.В.Рузский) прорвала немецкий фронт юго-восточнее Львова, а 8-я (генерал А.А.Брусилов) отразила контрудар 2-й австро-венгерской армии и разбила австро-венгерский корпус.</w:t>
      </w:r>
    </w:p>
    <w:p w14:paraId="7000102A" w14:textId="77777777" w:rsidR="00674AF1" w:rsidRPr="00DE096C" w:rsidRDefault="00674AF1" w:rsidP="00D45A46">
      <w:pPr>
        <w:jc w:val="both"/>
        <w:rPr>
          <w:bCs/>
          <w:color w:val="002060"/>
          <w:sz w:val="16"/>
          <w:szCs w:val="16"/>
        </w:rPr>
      </w:pPr>
    </w:p>
    <w:p w14:paraId="69E2CF32" w14:textId="4510C33D" w:rsidR="00256718" w:rsidRPr="00DE096C" w:rsidRDefault="00256718" w:rsidP="00D45A46">
      <w:pPr>
        <w:jc w:val="both"/>
        <w:rPr>
          <w:bCs/>
          <w:color w:val="002060"/>
          <w:sz w:val="16"/>
          <w:szCs w:val="16"/>
          <w:lang w:bidi="en-US"/>
        </w:rPr>
      </w:pPr>
      <w:bookmarkStart w:id="145" w:name="_Hlk80696807"/>
      <w:r w:rsidRPr="00DE096C">
        <w:rPr>
          <w:bCs/>
          <w:color w:val="002060"/>
          <w:sz w:val="16"/>
          <w:szCs w:val="16"/>
          <w:lang w:bidi="en-US"/>
        </w:rPr>
        <w:t xml:space="preserve">29 августа (11 сентября) 1914 г. австро-венгерские 1-я, 2-я, 4-я армии и </w:t>
      </w:r>
      <w:r w:rsidRPr="00DE096C">
        <w:rPr>
          <w:bCs/>
          <w:color w:val="002060"/>
          <w:sz w:val="16"/>
          <w:szCs w:val="16"/>
          <w:lang w:bidi="ru-RU"/>
        </w:rPr>
        <w:t xml:space="preserve">З.Агтее </w:t>
      </w:r>
      <w:r w:rsidRPr="00DE096C">
        <w:rPr>
          <w:bCs/>
          <w:color w:val="002060"/>
          <w:sz w:val="16"/>
          <w:szCs w:val="16"/>
          <w:lang w:bidi="en-US"/>
        </w:rPr>
        <w:t>(с севера на юг) в плохую погоду начали быстрое отступление, отступив на линию позади Тарнува и Горлице. 28 сентября. Русские преследовали их очень медленно (23525).</w:t>
      </w:r>
    </w:p>
    <w:p w14:paraId="3D3398B7" w14:textId="77777777" w:rsidR="00256718" w:rsidRPr="00DE096C" w:rsidRDefault="00256718" w:rsidP="00D45A46">
      <w:pPr>
        <w:jc w:val="both"/>
        <w:rPr>
          <w:bCs/>
          <w:color w:val="002060"/>
          <w:sz w:val="16"/>
          <w:szCs w:val="16"/>
        </w:rPr>
      </w:pPr>
    </w:p>
    <w:p w14:paraId="62F526FA" w14:textId="37FC9622" w:rsidR="006B5BAB" w:rsidRPr="00DE096C" w:rsidRDefault="006B5BAB" w:rsidP="00D45A46">
      <w:pPr>
        <w:shd w:val="clear" w:color="auto" w:fill="FFFFFF"/>
        <w:jc w:val="both"/>
        <w:rPr>
          <w:bCs/>
          <w:i/>
          <w:color w:val="002060"/>
          <w:sz w:val="16"/>
          <w:szCs w:val="16"/>
        </w:rPr>
      </w:pPr>
      <w:r w:rsidRPr="00DE096C">
        <w:rPr>
          <w:bCs/>
          <w:i/>
          <w:color w:val="002060"/>
          <w:sz w:val="16"/>
          <w:szCs w:val="16"/>
        </w:rPr>
        <w:t>Самолетостроение:</w:t>
      </w:r>
    </w:p>
    <w:p w14:paraId="71E532AA" w14:textId="77777777" w:rsidR="006B5BAB" w:rsidRPr="00DE096C" w:rsidRDefault="006B5BAB" w:rsidP="00D45A46">
      <w:pPr>
        <w:shd w:val="clear" w:color="auto" w:fill="FFFFFF"/>
        <w:jc w:val="both"/>
        <w:rPr>
          <w:bCs/>
          <w:i/>
          <w:color w:val="002060"/>
          <w:sz w:val="16"/>
          <w:szCs w:val="16"/>
        </w:rPr>
      </w:pPr>
    </w:p>
    <w:p w14:paraId="0CF3CE13" w14:textId="77777777" w:rsidR="00552829" w:rsidRPr="00DE096C" w:rsidRDefault="00552829" w:rsidP="00D45A46">
      <w:pPr>
        <w:jc w:val="both"/>
        <w:rPr>
          <w:bCs/>
          <w:color w:val="002060"/>
          <w:sz w:val="16"/>
          <w:szCs w:val="16"/>
        </w:rPr>
      </w:pPr>
      <w:r w:rsidRPr="00DE096C">
        <w:rPr>
          <w:bCs/>
          <w:color w:val="002060"/>
          <w:sz w:val="16"/>
          <w:szCs w:val="16"/>
        </w:rPr>
        <w:t>30 августа (12 сентября) 1914 г. конструктор Я.М.Гаккель представил на конкурс «морских аэропланов» проект двухмоторного гидросамолета лодоч</w:t>
      </w:r>
      <w:r w:rsidRPr="00DE096C">
        <w:rPr>
          <w:bCs/>
          <w:color w:val="002060"/>
          <w:sz w:val="16"/>
          <w:szCs w:val="16"/>
        </w:rPr>
        <w:softHyphen/>
        <w:t>ного типа с моторами по 160 л.с. По проектным данным гидросамолет превосходил вое прочие достоявшие на вооружении морской ави</w:t>
      </w:r>
      <w:r w:rsidRPr="00DE096C">
        <w:rPr>
          <w:bCs/>
          <w:color w:val="002060"/>
          <w:sz w:val="16"/>
          <w:szCs w:val="16"/>
        </w:rPr>
        <w:softHyphen/>
        <w:t>ации. Морское ведомство начало вести переговоры о Балтийским судостроительным заводом о постройке итого самолета, но внезапно пре</w:t>
      </w:r>
      <w:r w:rsidRPr="00DE096C">
        <w:rPr>
          <w:bCs/>
          <w:color w:val="002060"/>
          <w:sz w:val="16"/>
          <w:szCs w:val="16"/>
        </w:rPr>
        <w:softHyphen/>
        <w:t>кратила их.</w:t>
      </w:r>
    </w:p>
    <w:p w14:paraId="00355EB6" w14:textId="77777777" w:rsidR="00552829" w:rsidRPr="00DE096C" w:rsidRDefault="00552829" w:rsidP="00D45A46">
      <w:pPr>
        <w:jc w:val="both"/>
        <w:rPr>
          <w:bCs/>
          <w:color w:val="002060"/>
          <w:sz w:val="16"/>
          <w:szCs w:val="16"/>
        </w:rPr>
      </w:pPr>
      <w:r w:rsidRPr="00DE096C">
        <w:rPr>
          <w:bCs/>
          <w:color w:val="002060"/>
          <w:sz w:val="16"/>
          <w:szCs w:val="16"/>
        </w:rPr>
        <w:t>/Архив Я.М.Гаккеля в Академии наук СССР/ (23320).</w:t>
      </w:r>
    </w:p>
    <w:p w14:paraId="1A7F1B40" w14:textId="77777777" w:rsidR="00552829" w:rsidRPr="00DE096C" w:rsidRDefault="00552829" w:rsidP="00D45A46">
      <w:pPr>
        <w:jc w:val="both"/>
        <w:rPr>
          <w:bCs/>
          <w:color w:val="002060"/>
          <w:sz w:val="16"/>
          <w:szCs w:val="16"/>
        </w:rPr>
      </w:pPr>
    </w:p>
    <w:p w14:paraId="07F1CA45" w14:textId="38BA742E" w:rsidR="006B5BAB" w:rsidRPr="00DE096C" w:rsidRDefault="006B5BAB" w:rsidP="00D45A46">
      <w:pPr>
        <w:shd w:val="clear" w:color="auto" w:fill="FFFFFF"/>
        <w:jc w:val="both"/>
        <w:rPr>
          <w:bCs/>
          <w:color w:val="002060"/>
          <w:sz w:val="16"/>
          <w:szCs w:val="16"/>
        </w:rPr>
      </w:pPr>
      <w:r w:rsidRPr="00DE096C">
        <w:rPr>
          <w:bCs/>
          <w:color w:val="002060"/>
          <w:sz w:val="16"/>
          <w:szCs w:val="16"/>
          <w:shd w:val="clear" w:color="auto" w:fill="FFFFFF"/>
        </w:rPr>
        <w:t xml:space="preserve">30 августа </w:t>
      </w:r>
      <w:r w:rsidR="00A32DB5" w:rsidRPr="00DE096C">
        <w:rPr>
          <w:bCs/>
          <w:color w:val="002060"/>
          <w:sz w:val="16"/>
          <w:szCs w:val="16"/>
          <w:shd w:val="clear" w:color="auto" w:fill="FFFFFF"/>
        </w:rPr>
        <w:t xml:space="preserve">(12 сентября) </w:t>
      </w:r>
      <w:r w:rsidRPr="00DE096C">
        <w:rPr>
          <w:bCs/>
          <w:color w:val="002060"/>
          <w:sz w:val="16"/>
          <w:szCs w:val="16"/>
          <w:shd w:val="clear" w:color="auto" w:fill="FFFFFF"/>
        </w:rPr>
        <w:t>1914 г. Котельников получил письмо, извещавшее о том, что военное министерство решило заказать 70 парашютов его конструкции (21505).</w:t>
      </w:r>
    </w:p>
    <w:p w14:paraId="61E96E44" w14:textId="77777777" w:rsidR="006B5BAB" w:rsidRPr="00DE096C" w:rsidRDefault="006B5BAB" w:rsidP="00D45A46">
      <w:pPr>
        <w:shd w:val="clear" w:color="auto" w:fill="FFFFFF"/>
        <w:jc w:val="both"/>
        <w:rPr>
          <w:bCs/>
          <w:color w:val="002060"/>
          <w:sz w:val="16"/>
          <w:szCs w:val="16"/>
        </w:rPr>
      </w:pPr>
    </w:p>
    <w:bookmarkEnd w:id="145"/>
    <w:p w14:paraId="28CD80B9" w14:textId="29CE4AD8" w:rsidR="00D91602" w:rsidRPr="00DE096C" w:rsidRDefault="00D91602" w:rsidP="00D45A46">
      <w:pPr>
        <w:jc w:val="both"/>
        <w:rPr>
          <w:bCs/>
          <w:color w:val="002060"/>
          <w:sz w:val="16"/>
          <w:szCs w:val="16"/>
        </w:rPr>
      </w:pPr>
      <w:r w:rsidRPr="00DE096C">
        <w:rPr>
          <w:bCs/>
          <w:color w:val="002060"/>
          <w:sz w:val="16"/>
          <w:szCs w:val="16"/>
        </w:rPr>
        <w:t xml:space="preserve">30 августа 12 сентября 1914 г. в присутствии высоких чинов сам митрополит отслужил молебен в благословение и во славу русского воинства, и первый "Муромец" под управлением Руднева вылетел на фронт. К месту назначения, однако, он по разным причинам смог добраться только в октябре. </w:t>
      </w:r>
    </w:p>
    <w:p w14:paraId="6ED00927" w14:textId="77777777" w:rsidR="00D91602" w:rsidRPr="00DE096C" w:rsidRDefault="00D91602" w:rsidP="00D45A46">
      <w:pPr>
        <w:jc w:val="both"/>
        <w:rPr>
          <w:bCs/>
          <w:color w:val="002060"/>
          <w:sz w:val="16"/>
          <w:szCs w:val="16"/>
        </w:rPr>
      </w:pPr>
      <w:r w:rsidRPr="00DE096C">
        <w:rPr>
          <w:bCs/>
          <w:color w:val="002060"/>
          <w:sz w:val="16"/>
          <w:szCs w:val="16"/>
        </w:rPr>
        <w:t>Сдача самолетов производилась согласно утвержденному договору специальной комиссии. Требовалось при полезной нагрузке 90 пудов, запасе бензина и масла на три часа полета и экипаже из четырех человек (два пилота, механик и представитель заказчика) набрать не более чем за час высоту 2 тыс. м и иметь горизонтальную скорость не менее 100 км/ч. Полет контролировался запечатанным барографом. Это были ответственные полеты, и сдачу машин вел сам Снкорский. Первый "Муромец" с двигателями "Аргус" в 140 л. с., показавший результаты 55 мин и 105 км/ч был принят без возражений. Второй корабль был снабжен моторами "Сальмсон", которые, как уже упоминалось, заметно снижали характеристики машин. Но ведь шла война, немецкие "Аргусы" не поставлялись и приходилось мириться с установкой не вполне подходящих двигателей. Вторая машина высоту 2 тыс. м набрала за 1 ч 10 мин и показала скорость 95 км/ч. У третьей были те же результаты. Учитывая объективные обстоятельства, связанные с недопоставкой штатных двигателей для "Муромцев", государственная комиссия решила машины принять и отправить на фронт.</w:t>
      </w:r>
    </w:p>
    <w:p w14:paraId="3DFC161A" w14:textId="77777777" w:rsidR="00D91602" w:rsidRPr="00DE096C" w:rsidRDefault="00D91602" w:rsidP="00D45A46">
      <w:pPr>
        <w:jc w:val="both"/>
        <w:rPr>
          <w:bCs/>
          <w:color w:val="002060"/>
          <w:sz w:val="16"/>
          <w:szCs w:val="16"/>
        </w:rPr>
      </w:pPr>
      <w:r w:rsidRPr="00DE096C">
        <w:rPr>
          <w:bCs/>
          <w:color w:val="002060"/>
          <w:sz w:val="16"/>
          <w:szCs w:val="16"/>
        </w:rPr>
        <w:t>Первую передали штабс-капитану Рудневу, вторую - поручику Панкратьеву. Рудневу предписывалось перелететь во Львов для ведения боевых действий против осажденной русскими войсками австрийской крепости Перемышль, а Панкратьеву - в Двинск в распоряжение штаба 7-й армии. Имущество отрядов шло железной дорогой, сами же корабли отправлялись на фронт торжественно.</w:t>
      </w:r>
    </w:p>
    <w:p w14:paraId="0AE8C3E2" w14:textId="77777777" w:rsidR="00D91602" w:rsidRPr="00DE096C" w:rsidRDefault="00D91602" w:rsidP="00D45A46">
      <w:pPr>
        <w:jc w:val="both"/>
        <w:rPr>
          <w:bCs/>
          <w:color w:val="002060"/>
          <w:sz w:val="16"/>
          <w:szCs w:val="16"/>
        </w:rPr>
      </w:pPr>
      <w:r w:rsidRPr="00DE096C">
        <w:rPr>
          <w:bCs/>
          <w:color w:val="002060"/>
          <w:sz w:val="16"/>
          <w:szCs w:val="16"/>
        </w:rPr>
        <w:t>Панкратьев вылетел на фронт на "Муромце" (№ 136) 24 сентября. Но и ему не повезло. При посадке на одном из промежуточных пунктов маршрута надломилось шасси (наезд на препятствие), винты правой группы моторов задели за землю и погнули носки коленчатых валов. Требовался ремонт, который в полевых условиях при отсутствии ремонтной материальной базы проводить было непросто. Таким образом, информация о возможностях боевого применения "Муромцев" шла только от Руднева (11230).</w:t>
      </w:r>
    </w:p>
    <w:p w14:paraId="1EAF5FD0" w14:textId="77777777" w:rsidR="00D91602" w:rsidRPr="00DE096C" w:rsidRDefault="00D91602" w:rsidP="00D45A46">
      <w:pPr>
        <w:jc w:val="both"/>
        <w:rPr>
          <w:bCs/>
          <w:color w:val="002060"/>
          <w:sz w:val="16"/>
          <w:szCs w:val="16"/>
        </w:rPr>
      </w:pPr>
    </w:p>
    <w:p w14:paraId="40C13ECA" w14:textId="77777777" w:rsidR="006A0592" w:rsidRPr="00B52707" w:rsidRDefault="006A0592" w:rsidP="006A0592">
      <w:pPr>
        <w:jc w:val="both"/>
        <w:rPr>
          <w:color w:val="0070C0"/>
          <w:sz w:val="16"/>
          <w:szCs w:val="16"/>
        </w:rPr>
      </w:pPr>
      <w:r w:rsidRPr="00B52707">
        <w:rPr>
          <w:color w:val="0070C0"/>
          <w:sz w:val="16"/>
          <w:szCs w:val="16"/>
        </w:rPr>
        <w:t>30 августа (12 сентября) 1914 г. Военный Совет постановил: предложить ГВТУ, если представится возможным, предусмотреть в заключаемых с поставщиками контрактах неустойку, хотя бы и необеспеченную, гарантирующую бесплатную за</w:t>
      </w:r>
      <w:r w:rsidRPr="00B52707">
        <w:rPr>
          <w:color w:val="0070C0"/>
          <w:sz w:val="16"/>
          <w:szCs w:val="16"/>
        </w:rPr>
        <w:softHyphen/>
        <w:t>мену в течение года после приемки отдельных составных частей автомобилей или приборов, быстро износившихся или пришедших в негодность, вследствие недоброкачествен</w:t>
      </w:r>
      <w:r w:rsidRPr="00B52707">
        <w:rPr>
          <w:color w:val="0070C0"/>
          <w:sz w:val="16"/>
          <w:szCs w:val="16"/>
        </w:rPr>
        <w:softHyphen/>
        <w:t>ности материала или сборки.</w:t>
      </w:r>
    </w:p>
    <w:p w14:paraId="5092B0D6" w14:textId="77777777" w:rsidR="006A0592" w:rsidRPr="00B52707" w:rsidRDefault="006A0592" w:rsidP="006A0592">
      <w:pPr>
        <w:jc w:val="both"/>
        <w:rPr>
          <w:color w:val="0070C0"/>
          <w:sz w:val="16"/>
          <w:szCs w:val="16"/>
        </w:rPr>
      </w:pPr>
      <w:r w:rsidRPr="00B52707">
        <w:rPr>
          <w:color w:val="0070C0"/>
          <w:sz w:val="16"/>
          <w:szCs w:val="16"/>
        </w:rPr>
        <w:t>Командированной в Англию комиссии поручена была заготовка автомобилей и одновременно приемка 422 грузо</w:t>
      </w:r>
      <w:r w:rsidRPr="00B52707">
        <w:rPr>
          <w:color w:val="0070C0"/>
          <w:sz w:val="16"/>
          <w:szCs w:val="16"/>
        </w:rPr>
        <w:softHyphen/>
        <w:t>вых автомобилей от Британской Инженерной Компании.</w:t>
      </w:r>
    </w:p>
    <w:p w14:paraId="2696D956" w14:textId="77777777" w:rsidR="006A0592" w:rsidRPr="00B52707" w:rsidRDefault="006A0592" w:rsidP="006A0592">
      <w:pPr>
        <w:jc w:val="both"/>
        <w:rPr>
          <w:color w:val="0070C0"/>
          <w:sz w:val="16"/>
          <w:szCs w:val="16"/>
        </w:rPr>
      </w:pPr>
      <w:r w:rsidRPr="00B52707">
        <w:rPr>
          <w:color w:val="0070C0"/>
          <w:sz w:val="16"/>
          <w:szCs w:val="16"/>
        </w:rPr>
        <w:t>Перед от'ездом в Англию ген. Секретеву было указано военным министром Сухомлиновым и начальником ГВТУ Роппом, что для возможности провезти автомобили через Архангельский порт, командировка должна закончиться между 20 октября и 1 ноября и что необходимо приобрести в Англии бронированные автомобили (24923).</w:t>
      </w:r>
    </w:p>
    <w:p w14:paraId="041C78AF" w14:textId="77777777" w:rsidR="006A0592" w:rsidRPr="00B52707" w:rsidRDefault="006A0592" w:rsidP="006A0592">
      <w:pPr>
        <w:jc w:val="both"/>
        <w:rPr>
          <w:color w:val="0070C0"/>
          <w:sz w:val="16"/>
          <w:szCs w:val="16"/>
        </w:rPr>
      </w:pPr>
    </w:p>
    <w:p w14:paraId="4D790249"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Другие оборонные отрасли:</w:t>
      </w:r>
    </w:p>
    <w:p w14:paraId="36597B12" w14:textId="77777777" w:rsidR="00B67D7C" w:rsidRPr="00DE096C" w:rsidRDefault="00B67D7C" w:rsidP="00D45A46">
      <w:pPr>
        <w:shd w:val="clear" w:color="auto" w:fill="FFFFFF"/>
        <w:jc w:val="both"/>
        <w:rPr>
          <w:bCs/>
          <w:i/>
          <w:color w:val="002060"/>
          <w:sz w:val="16"/>
          <w:szCs w:val="16"/>
        </w:rPr>
      </w:pPr>
    </w:p>
    <w:p w14:paraId="21D31F22" w14:textId="6ED9CFFF" w:rsidR="00674AF1" w:rsidRPr="00DE096C" w:rsidRDefault="00674AF1" w:rsidP="00D45A46">
      <w:pPr>
        <w:jc w:val="both"/>
        <w:rPr>
          <w:bCs/>
          <w:color w:val="002060"/>
          <w:sz w:val="16"/>
          <w:szCs w:val="16"/>
        </w:rPr>
      </w:pPr>
      <w:r w:rsidRPr="00DE096C">
        <w:rPr>
          <w:bCs/>
          <w:color w:val="002060"/>
          <w:sz w:val="16"/>
          <w:szCs w:val="16"/>
        </w:rPr>
        <w:t xml:space="preserve">30 августа </w:t>
      </w:r>
      <w:r w:rsidR="00A32DB5" w:rsidRPr="00DE096C">
        <w:rPr>
          <w:bCs/>
          <w:color w:val="002060"/>
          <w:sz w:val="16"/>
          <w:szCs w:val="16"/>
        </w:rPr>
        <w:t xml:space="preserve">(12 сентября) </w:t>
      </w:r>
      <w:r w:rsidRPr="00DE096C">
        <w:rPr>
          <w:bCs/>
          <w:color w:val="002060"/>
          <w:sz w:val="16"/>
          <w:szCs w:val="16"/>
        </w:rPr>
        <w:t>1914 г. между РОБТиТ и ГВТУ был заключен контракт на сумму 5 565 тыс. руб. на по изготовлению и строительство мощных передающих радиостанций в Москве и Царском Селе и приемной станции в Твери, предназначенных для связи России с Антантой (18297).</w:t>
      </w:r>
    </w:p>
    <w:p w14:paraId="3B5E1AAB" w14:textId="77777777" w:rsidR="00674AF1" w:rsidRPr="00DE096C" w:rsidRDefault="00674AF1" w:rsidP="00D45A46">
      <w:pPr>
        <w:jc w:val="both"/>
        <w:rPr>
          <w:bCs/>
          <w:color w:val="002060"/>
          <w:sz w:val="16"/>
          <w:szCs w:val="16"/>
        </w:rPr>
      </w:pPr>
    </w:p>
    <w:p w14:paraId="2431D84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30 августа (12 сентября) 1914 года между Русским военным ведомством и заводом РОБТиТ был заключен контракт, по которому завод при</w:t>
      </w:r>
      <w:r w:rsidRPr="00DE096C">
        <w:rPr>
          <w:bCs/>
          <w:color w:val="002060"/>
          <w:sz w:val="16"/>
          <w:szCs w:val="16"/>
        </w:rPr>
        <w:softHyphen/>
        <w:t>нимал на себя изготовление, доставку и установку мощных ис</w:t>
      </w:r>
      <w:r w:rsidRPr="00DE096C">
        <w:rPr>
          <w:bCs/>
          <w:color w:val="002060"/>
          <w:sz w:val="16"/>
          <w:szCs w:val="16"/>
        </w:rPr>
        <w:softHyphen/>
        <w:t>кровых радиостанций в Москве и Царском Селе, большой при</w:t>
      </w:r>
      <w:r w:rsidRPr="00DE096C">
        <w:rPr>
          <w:bCs/>
          <w:color w:val="002060"/>
          <w:sz w:val="16"/>
          <w:szCs w:val="16"/>
        </w:rPr>
        <w:softHyphen/>
        <w:t>емной и маломощной передающей радиостанции в Твери.</w:t>
      </w:r>
    </w:p>
    <w:p w14:paraId="2742100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lastRenderedPageBreak/>
        <w:t>Радиостанции в Москве (на Ходынском поле) и Царском Селе предназначались для уверенной связи с Парижем и Карнар</w:t>
      </w:r>
      <w:r w:rsidRPr="00DE096C">
        <w:rPr>
          <w:bCs/>
          <w:color w:val="002060"/>
          <w:sz w:val="16"/>
          <w:szCs w:val="16"/>
        </w:rPr>
        <w:softHyphen/>
        <w:t>воном (Англия). Приём должен был производиться в течение 24 часов в сутки круглый год.</w:t>
      </w:r>
    </w:p>
    <w:p w14:paraId="2C6EA5C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Заинтересованность правительства в создании этих радио</w:t>
      </w:r>
      <w:r w:rsidRPr="00DE096C">
        <w:rPr>
          <w:bCs/>
          <w:color w:val="002060"/>
          <w:sz w:val="16"/>
          <w:szCs w:val="16"/>
        </w:rPr>
        <w:softHyphen/>
        <w:t>станций была столь велика, что оно согласилось обеспечить пер</w:t>
      </w:r>
      <w:r w:rsidRPr="00DE096C">
        <w:rPr>
          <w:bCs/>
          <w:color w:val="002060"/>
          <w:sz w:val="16"/>
          <w:szCs w:val="16"/>
        </w:rPr>
        <w:softHyphen/>
        <w:t>вый платеж РОБТиТ в размере 1.113.000 рублей в момент заклю</w:t>
      </w:r>
      <w:r w:rsidRPr="00DE096C">
        <w:rPr>
          <w:bCs/>
          <w:color w:val="002060"/>
          <w:sz w:val="16"/>
          <w:szCs w:val="16"/>
        </w:rPr>
        <w:softHyphen/>
        <w:t>чения контракта.</w:t>
      </w:r>
    </w:p>
    <w:p w14:paraId="2BDAA21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Помимо собственных радиотехнических аппаратов, уст</w:t>
      </w:r>
      <w:r w:rsidRPr="00DE096C">
        <w:rPr>
          <w:bCs/>
          <w:color w:val="002060"/>
          <w:sz w:val="16"/>
          <w:szCs w:val="16"/>
        </w:rPr>
        <w:softHyphen/>
        <w:t>ройств и приборов, РОБТиТ обязан был построить целый горо</w:t>
      </w:r>
      <w:r w:rsidRPr="00DE096C">
        <w:rPr>
          <w:bCs/>
          <w:color w:val="002060"/>
          <w:sz w:val="16"/>
          <w:szCs w:val="16"/>
        </w:rPr>
        <w:softHyphen/>
        <w:t>док для размещения в теплых зданиях приёмной станции, машин</w:t>
      </w:r>
      <w:r w:rsidRPr="00DE096C">
        <w:rPr>
          <w:bCs/>
          <w:color w:val="002060"/>
          <w:sz w:val="16"/>
          <w:szCs w:val="16"/>
        </w:rPr>
        <w:softHyphen/>
        <w:t>ного отделения, кочегарки, ремонтной мастерской, здание для пе</w:t>
      </w:r>
      <w:r w:rsidRPr="00DE096C">
        <w:rPr>
          <w:bCs/>
          <w:color w:val="002060"/>
          <w:sz w:val="16"/>
          <w:szCs w:val="16"/>
        </w:rPr>
        <w:softHyphen/>
        <w:t>редающей станции, агрегатное отделение и два аккумуляторных флигеля. В обязанности РОБТиТ входило также устройство ко</w:t>
      </w:r>
      <w:r w:rsidRPr="00DE096C">
        <w:rPr>
          <w:bCs/>
          <w:color w:val="002060"/>
          <w:sz w:val="16"/>
          <w:szCs w:val="16"/>
        </w:rPr>
        <w:softHyphen/>
        <w:t>лодцев и линий водопровода длиною около двух верст, электроос</w:t>
      </w:r>
      <w:r w:rsidRPr="00DE096C">
        <w:rPr>
          <w:bCs/>
          <w:color w:val="002060"/>
          <w:sz w:val="16"/>
          <w:szCs w:val="16"/>
        </w:rPr>
        <w:softHyphen/>
        <w:t>вещения, градирни для охлаждения двигателей, обеспечение всех помещений противопожарным инвентарем. И, наконец, вся тер</w:t>
      </w:r>
      <w:r w:rsidRPr="00DE096C">
        <w:rPr>
          <w:bCs/>
          <w:color w:val="002060"/>
          <w:sz w:val="16"/>
          <w:szCs w:val="16"/>
        </w:rPr>
        <w:softHyphen/>
        <w:t>ритория должна была быть обнесена надежным ограждением, ос</w:t>
      </w:r>
      <w:r w:rsidRPr="00DE096C">
        <w:rPr>
          <w:bCs/>
          <w:color w:val="002060"/>
          <w:sz w:val="16"/>
          <w:szCs w:val="16"/>
        </w:rPr>
        <w:softHyphen/>
        <w:t>вещаться прожекторами, а в машинном отделении нужно было соорудить склад топлива на 10 тысяч пудов нефти.</w:t>
      </w:r>
    </w:p>
    <w:p w14:paraId="7D88AA7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Начало войны ускорило юридическое оформление этих работ.</w:t>
      </w:r>
    </w:p>
    <w:p w14:paraId="7F01535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Уже в декабре 1914 года Московская радиостанция начала действовать. По условиям контракта допускалось строительство воздушной сети на временных деревянных мачтах. 120-метровые мачты строились по типу четырехбревенчатой сваи с нескольки</w:t>
      </w:r>
      <w:r w:rsidRPr="00DE096C">
        <w:rPr>
          <w:bCs/>
          <w:color w:val="002060"/>
          <w:sz w:val="16"/>
          <w:szCs w:val="16"/>
        </w:rPr>
        <w:softHyphen/>
        <w:t>ми ярусами растяжек и были возведены за 10 - 15 дней. В даль</w:t>
      </w:r>
      <w:r w:rsidRPr="00DE096C">
        <w:rPr>
          <w:bCs/>
          <w:color w:val="002060"/>
          <w:sz w:val="16"/>
          <w:szCs w:val="16"/>
        </w:rPr>
        <w:softHyphen/>
        <w:t>нейшем их заменили 120-метровыми стальными мачтами.</w:t>
      </w:r>
    </w:p>
    <w:p w14:paraId="70E78AB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С июля 1914 года заводская радиостанция также начала ре</w:t>
      </w:r>
      <w:r w:rsidRPr="00DE096C">
        <w:rPr>
          <w:bCs/>
          <w:color w:val="002060"/>
          <w:sz w:val="16"/>
          <w:szCs w:val="16"/>
        </w:rPr>
        <w:softHyphen/>
        <w:t>гулярную работу по поддержанию связи с союзниками. Сюда были направлены для несения службы специалисты офицерской электротехнической школы.</w:t>
      </w:r>
    </w:p>
    <w:p w14:paraId="7DC1ABC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Диапазон волн Московской радиостанции 7000,9000 и 11000 м (передатчик), Царскосельской - 5000, 7000 и 9000 м. Передат</w:t>
      </w:r>
      <w:r w:rsidRPr="00DE096C">
        <w:rPr>
          <w:bCs/>
          <w:color w:val="002060"/>
          <w:sz w:val="16"/>
          <w:szCs w:val="16"/>
        </w:rPr>
        <w:softHyphen/>
        <w:t>чики были приспособлены для работы как ключом, так и машин</w:t>
      </w:r>
      <w:r w:rsidRPr="00DE096C">
        <w:rPr>
          <w:bCs/>
          <w:color w:val="002060"/>
          <w:sz w:val="16"/>
          <w:szCs w:val="16"/>
        </w:rPr>
        <w:softHyphen/>
        <w:t>ным автоматом (трансмиттер Уинстона). Автоматы и другие при</w:t>
      </w:r>
      <w:r w:rsidRPr="00DE096C">
        <w:rPr>
          <w:bCs/>
          <w:color w:val="002060"/>
          <w:sz w:val="16"/>
          <w:szCs w:val="16"/>
        </w:rPr>
        <w:softHyphen/>
        <w:t>боры допускали скорость передачи 70 слов в минуту. Приём вел</w:t>
      </w:r>
      <w:r w:rsidRPr="00DE096C">
        <w:rPr>
          <w:bCs/>
          <w:color w:val="002060"/>
          <w:sz w:val="16"/>
          <w:szCs w:val="16"/>
        </w:rPr>
        <w:softHyphen/>
        <w:t>ся на слух и на регистрирующие аппараты в диапазоне волн от 400 до 10000 м.</w:t>
      </w:r>
    </w:p>
    <w:p w14:paraId="09E6EF2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Ходынский (Московский) искровой радиопередатчик имел колебательную мощность 100 кВт при мощности потребления 300 кВт и работал на волнах 7000 - 9000 м.</w:t>
      </w:r>
    </w:p>
    <w:p w14:paraId="7B7124C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Будучи однотипными, Московская и Царскосельская радио</w:t>
      </w:r>
      <w:r w:rsidRPr="00DE096C">
        <w:rPr>
          <w:bCs/>
          <w:color w:val="002060"/>
          <w:sz w:val="16"/>
          <w:szCs w:val="16"/>
        </w:rPr>
        <w:softHyphen/>
        <w:t>станции по мощности входили в число самых крупных в Европе. Они представляли собой высшее достижение радиотехники ис</w:t>
      </w:r>
      <w:r w:rsidRPr="00DE096C">
        <w:rPr>
          <w:bCs/>
          <w:color w:val="002060"/>
          <w:sz w:val="16"/>
          <w:szCs w:val="16"/>
        </w:rPr>
        <w:softHyphen/>
        <w:t>крового периода. Для своего времени они обладали отличными тактико-техническими данными, надёжностью в работе и боль</w:t>
      </w:r>
      <w:r w:rsidRPr="00DE096C">
        <w:rPr>
          <w:bCs/>
          <w:color w:val="002060"/>
          <w:sz w:val="16"/>
          <w:szCs w:val="16"/>
        </w:rPr>
        <w:softHyphen/>
        <w:t>шим запасом инженерной прочности (11481).</w:t>
      </w:r>
    </w:p>
    <w:p w14:paraId="3E9D9574" w14:textId="77777777" w:rsidR="00B67D7C" w:rsidRPr="00DE096C" w:rsidRDefault="00B67D7C" w:rsidP="00D45A46">
      <w:pPr>
        <w:jc w:val="both"/>
        <w:rPr>
          <w:bCs/>
          <w:color w:val="002060"/>
          <w:sz w:val="16"/>
          <w:szCs w:val="16"/>
        </w:rPr>
      </w:pPr>
    </w:p>
    <w:p w14:paraId="3E7B59FC" w14:textId="49573615" w:rsidR="00674AF1" w:rsidRPr="00DE096C" w:rsidRDefault="00674AF1" w:rsidP="00D45A46">
      <w:pPr>
        <w:jc w:val="both"/>
        <w:rPr>
          <w:bCs/>
          <w:color w:val="002060"/>
          <w:sz w:val="16"/>
          <w:szCs w:val="16"/>
        </w:rPr>
      </w:pPr>
      <w:r w:rsidRPr="00DE096C">
        <w:rPr>
          <w:bCs/>
          <w:color w:val="002060"/>
          <w:sz w:val="16"/>
          <w:szCs w:val="16"/>
        </w:rPr>
        <w:t xml:space="preserve">30 августа </w:t>
      </w:r>
      <w:r w:rsidR="00A32DB5" w:rsidRPr="00DE096C">
        <w:rPr>
          <w:bCs/>
          <w:color w:val="002060"/>
          <w:sz w:val="16"/>
          <w:szCs w:val="16"/>
        </w:rPr>
        <w:t xml:space="preserve">(12 сентября) </w:t>
      </w:r>
      <w:r w:rsidRPr="00DE096C">
        <w:rPr>
          <w:bCs/>
          <w:color w:val="002060"/>
          <w:sz w:val="16"/>
          <w:szCs w:val="16"/>
        </w:rPr>
        <w:t>1914 г. в связи с отсутствием в России для ведения боевых действий необходимого числа единиц механического транспорта Военным советом была утверждена закупка автомобилей, мотоциклов и тракторов за границей. Для этой цели в Англию направилась специальная закупочная комиссия. Ее председателем был назначен командир Военно-автомобильной роты полковник П.И. Секретев. В состав комиссии также вошли преподаватель инженерной академии полковник С.Ф. Балдин, состоящий на службе в ГАУ инженер-технолог капитан И.А. Сидоркин, врач военно-автомобильной роты Е.Ф. Климович и заведующий мастерскими роты штабс-капитан В.А. Мгебров. Всего в 1914 г. комиссией было заказано 1276 автомобилей различного назначения и 15 паровых тракторов производства английской фирмы "Маршал". Согласно положениям Военного совета от 5 и 30 августа 1914 г. ГВТУ разрешалось приобрести за границей 1906 автомобилей и 74 трактора (18380).</w:t>
      </w:r>
    </w:p>
    <w:p w14:paraId="1D37E008" w14:textId="77777777" w:rsidR="00674AF1" w:rsidRPr="00DE096C" w:rsidRDefault="00674AF1" w:rsidP="00D45A46">
      <w:pPr>
        <w:jc w:val="both"/>
        <w:rPr>
          <w:bCs/>
          <w:color w:val="002060"/>
          <w:sz w:val="16"/>
          <w:szCs w:val="16"/>
        </w:rPr>
      </w:pPr>
    </w:p>
    <w:p w14:paraId="039A5153"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Морская авиация:</w:t>
      </w:r>
    </w:p>
    <w:p w14:paraId="522E9C64" w14:textId="77777777" w:rsidR="00B67D7C" w:rsidRPr="00DE096C" w:rsidRDefault="00B67D7C" w:rsidP="00D45A46">
      <w:pPr>
        <w:shd w:val="clear" w:color="auto" w:fill="FFFFFF"/>
        <w:jc w:val="both"/>
        <w:rPr>
          <w:bCs/>
          <w:i/>
          <w:color w:val="002060"/>
          <w:sz w:val="16"/>
          <w:szCs w:val="16"/>
        </w:rPr>
      </w:pPr>
    </w:p>
    <w:p w14:paraId="61328DDB" w14:textId="31C2977A" w:rsidR="00B67D7C" w:rsidRPr="00DE096C" w:rsidRDefault="00B67D7C" w:rsidP="00D45A46">
      <w:pPr>
        <w:jc w:val="both"/>
        <w:rPr>
          <w:bCs/>
          <w:color w:val="002060"/>
          <w:sz w:val="16"/>
          <w:szCs w:val="16"/>
        </w:rPr>
      </w:pPr>
      <w:r w:rsidRPr="00DE096C">
        <w:rPr>
          <w:bCs/>
          <w:color w:val="002060"/>
          <w:sz w:val="16"/>
          <w:szCs w:val="16"/>
        </w:rPr>
        <w:t>30 августа</w:t>
      </w:r>
      <w:r w:rsidR="00A32DB5" w:rsidRPr="00DE096C">
        <w:rPr>
          <w:bCs/>
          <w:color w:val="002060"/>
          <w:sz w:val="16"/>
          <w:szCs w:val="16"/>
        </w:rPr>
        <w:t xml:space="preserve"> </w:t>
      </w:r>
      <w:r w:rsidRPr="00DE096C">
        <w:rPr>
          <w:bCs/>
          <w:color w:val="002060"/>
          <w:sz w:val="16"/>
          <w:szCs w:val="16"/>
        </w:rPr>
        <w:t>(12 сентября) в 4 часа 20 минут Нагурский поднялся в воздух на отремонтированном самолете при свежем ветре 8 метров в секунду и взял направление на запад-северо-запад. Этот полет показал, что на параллели Заячьего острова находится сплошной старый лед и движется он на юг. Капитан Г. Поспелов на основании этого принял решение: при первой возможности идти в губу Крестовую.</w:t>
      </w:r>
    </w:p>
    <w:p w14:paraId="6B78E91E" w14:textId="77777777" w:rsidR="00B67D7C" w:rsidRPr="00DE096C" w:rsidRDefault="00B67D7C" w:rsidP="00D45A46">
      <w:pPr>
        <w:jc w:val="both"/>
        <w:rPr>
          <w:bCs/>
          <w:color w:val="002060"/>
          <w:sz w:val="16"/>
          <w:szCs w:val="16"/>
        </w:rPr>
      </w:pPr>
      <w:r w:rsidRPr="00DE096C">
        <w:rPr>
          <w:bCs/>
          <w:color w:val="002060"/>
          <w:sz w:val="16"/>
          <w:szCs w:val="16"/>
        </w:rPr>
        <w:t>31 августа в 13 час 15 минут Нагурский с Кузнецовым вылетели к Крестовой губе. Дул западный ветер до 7 метров в секунду. Низкие с разрывами облака сильно затрудняли ориентирование. Был момент, когда Нагурский сбился с курса, и опознал местность, лишь увидев под собой Новую Землю. Оказалось, что Нагурский долетел приблизительно до середины Новой Земли. После двух часов полета ветер стал южным, скорость полета при этом значительно снизилась. До Крестовой губы гидросамолет летел три часа с четвертью. Там летчики нашли приют на судне «Печора». Через полтора дня в губу пришла «Андромеда». Сделав два полета с пассажирами, Нагурский получил от начальника экспедиции приказание о разборке аэроплана.</w:t>
      </w:r>
    </w:p>
    <w:p w14:paraId="18940695" w14:textId="77777777" w:rsidR="00B67D7C" w:rsidRPr="00DE096C" w:rsidRDefault="00B67D7C" w:rsidP="00D45A46">
      <w:pPr>
        <w:jc w:val="both"/>
        <w:rPr>
          <w:bCs/>
          <w:color w:val="002060"/>
          <w:sz w:val="16"/>
          <w:szCs w:val="16"/>
        </w:rPr>
      </w:pPr>
      <w:r w:rsidRPr="00DE096C">
        <w:rPr>
          <w:bCs/>
          <w:color w:val="002060"/>
          <w:sz w:val="16"/>
          <w:szCs w:val="16"/>
        </w:rPr>
        <w:t>В своем отчете командованию о проделанной работе поручик Я. И. Нагурский так сформулировал условия полетов самолетов в Арктике и их несомненную пользу:</w:t>
      </w:r>
    </w:p>
    <w:p w14:paraId="01CD3E27" w14:textId="77777777" w:rsidR="00B67D7C" w:rsidRPr="00DE096C" w:rsidRDefault="00B67D7C" w:rsidP="00D45A46">
      <w:pPr>
        <w:jc w:val="both"/>
        <w:rPr>
          <w:bCs/>
          <w:i/>
          <w:color w:val="002060"/>
          <w:sz w:val="16"/>
          <w:szCs w:val="16"/>
        </w:rPr>
      </w:pPr>
      <w:r w:rsidRPr="00DE096C">
        <w:rPr>
          <w:bCs/>
          <w:i/>
          <w:color w:val="002060"/>
          <w:sz w:val="16"/>
          <w:szCs w:val="16"/>
        </w:rPr>
        <w:t>«....После произведенных мною полетов у Новой Земли я отметил следующее, что может сослужить пользу для будущей авиации в арктических странах.</w:t>
      </w:r>
    </w:p>
    <w:p w14:paraId="39D5FE3D" w14:textId="77777777" w:rsidR="00B67D7C" w:rsidRPr="00DE096C" w:rsidRDefault="00B67D7C" w:rsidP="00D45A46">
      <w:pPr>
        <w:jc w:val="both"/>
        <w:rPr>
          <w:bCs/>
          <w:i/>
          <w:color w:val="002060"/>
          <w:sz w:val="16"/>
          <w:szCs w:val="16"/>
        </w:rPr>
      </w:pPr>
      <w:r w:rsidRPr="00DE096C">
        <w:rPr>
          <w:bCs/>
          <w:i/>
          <w:color w:val="002060"/>
          <w:sz w:val="16"/>
          <w:szCs w:val="16"/>
        </w:rPr>
        <w:t>8 воздушных слоях температура также изменчива в отрицательную сторону по сравнению с низкими слоями. Аэронавт Андрэ, который совершил научное путешествие к полюсу, утверждал, что ближе к. полюсу температура верхних слоев воздуха должна быть положительной по отношению к низшим слоям. Это предположение оказалось неверным.</w:t>
      </w:r>
    </w:p>
    <w:p w14:paraId="61873A1C" w14:textId="77777777" w:rsidR="00B67D7C" w:rsidRPr="00DE096C" w:rsidRDefault="00B67D7C" w:rsidP="00D45A46">
      <w:pPr>
        <w:jc w:val="both"/>
        <w:rPr>
          <w:bCs/>
          <w:i/>
          <w:color w:val="002060"/>
          <w:sz w:val="16"/>
          <w:szCs w:val="16"/>
        </w:rPr>
      </w:pPr>
      <w:r w:rsidRPr="00DE096C">
        <w:rPr>
          <w:bCs/>
          <w:i/>
          <w:color w:val="002060"/>
          <w:sz w:val="16"/>
          <w:szCs w:val="16"/>
        </w:rPr>
        <w:t>В Северном Ледовитом океане очень часты изменения направления ветров, а также изменения направления ветров по небольшим расстояниям. Пролетая расстояние 220 верст, я встречал три-четыре направления ветров.</w:t>
      </w:r>
    </w:p>
    <w:p w14:paraId="1BCD2DC0" w14:textId="77777777" w:rsidR="00B67D7C" w:rsidRPr="00DE096C" w:rsidRDefault="00B67D7C" w:rsidP="00D45A46">
      <w:pPr>
        <w:jc w:val="both"/>
        <w:rPr>
          <w:bCs/>
          <w:i/>
          <w:color w:val="002060"/>
          <w:sz w:val="16"/>
          <w:szCs w:val="16"/>
        </w:rPr>
      </w:pPr>
      <w:r w:rsidRPr="00DE096C">
        <w:rPr>
          <w:bCs/>
          <w:i/>
          <w:color w:val="002060"/>
          <w:sz w:val="16"/>
          <w:szCs w:val="16"/>
        </w:rPr>
        <w:t>Часты туманы и облачность.</w:t>
      </w:r>
    </w:p>
    <w:p w14:paraId="2960CF9B" w14:textId="77777777" w:rsidR="00B67D7C" w:rsidRPr="00DE096C" w:rsidRDefault="00B67D7C" w:rsidP="00D45A46">
      <w:pPr>
        <w:jc w:val="both"/>
        <w:rPr>
          <w:bCs/>
          <w:i/>
          <w:color w:val="002060"/>
          <w:sz w:val="16"/>
          <w:szCs w:val="16"/>
        </w:rPr>
      </w:pPr>
      <w:r w:rsidRPr="00DE096C">
        <w:rPr>
          <w:bCs/>
          <w:i/>
          <w:color w:val="002060"/>
          <w:sz w:val="16"/>
          <w:szCs w:val="16"/>
        </w:rPr>
        <w:t>В летнее время полеты возможны круглые сутки ввиду полного света ночью. Самым лучшим месяцем для летания в Северном Ледовитом океане, по сличении мной метеорологических данных, считаю май и июнь месяцы.</w:t>
      </w:r>
    </w:p>
    <w:p w14:paraId="02093146" w14:textId="77777777" w:rsidR="00B67D7C" w:rsidRPr="00DE096C" w:rsidRDefault="00B67D7C" w:rsidP="00D45A46">
      <w:pPr>
        <w:jc w:val="both"/>
        <w:rPr>
          <w:bCs/>
          <w:i/>
          <w:color w:val="002060"/>
          <w:sz w:val="16"/>
          <w:szCs w:val="16"/>
        </w:rPr>
      </w:pPr>
      <w:r w:rsidRPr="00DE096C">
        <w:rPr>
          <w:bCs/>
          <w:i/>
          <w:color w:val="002060"/>
          <w:sz w:val="16"/>
          <w:szCs w:val="16"/>
        </w:rPr>
        <w:t>Контур берега Новой Земли в некоторых местах не сходен с картою.</w:t>
      </w:r>
    </w:p>
    <w:p w14:paraId="35B3F43E" w14:textId="77777777" w:rsidR="00B67D7C" w:rsidRPr="00DE096C" w:rsidRDefault="00B67D7C" w:rsidP="00D45A46">
      <w:pPr>
        <w:jc w:val="both"/>
        <w:rPr>
          <w:bCs/>
          <w:i/>
          <w:color w:val="002060"/>
          <w:sz w:val="16"/>
          <w:szCs w:val="16"/>
        </w:rPr>
      </w:pPr>
      <w:r w:rsidRPr="00DE096C">
        <w:rPr>
          <w:bCs/>
          <w:i/>
          <w:color w:val="002060"/>
          <w:sz w:val="16"/>
          <w:szCs w:val="16"/>
        </w:rPr>
        <w:t>Следующие экспедиции следует снабжать гидроаэропланом, как можно более портативным, дабы легко помещался на судне, позволял быструю разборку и сборку и был как можно боже грузоподъемен. Особое внимание следует обратить на поплавки, которые должны иметь по крайней мере три продольных шпангоута. Имея крепкие поплавки с добавочными колесами, можно остановиться на одном шасси.</w:t>
      </w:r>
    </w:p>
    <w:p w14:paraId="53ADAFA3" w14:textId="77777777" w:rsidR="00B67D7C" w:rsidRPr="00DE096C" w:rsidRDefault="00B67D7C" w:rsidP="00D45A46">
      <w:pPr>
        <w:jc w:val="both"/>
        <w:rPr>
          <w:bCs/>
          <w:i/>
          <w:color w:val="002060"/>
          <w:sz w:val="16"/>
          <w:szCs w:val="16"/>
        </w:rPr>
      </w:pPr>
      <w:r w:rsidRPr="00DE096C">
        <w:rPr>
          <w:bCs/>
          <w:i/>
          <w:color w:val="002060"/>
          <w:sz w:val="16"/>
          <w:szCs w:val="16"/>
        </w:rPr>
        <w:t>Следует брать запасные поплавки и побольше винтов: за один месяц моего летания лопнуло два винта. Гидроазроплан следует иметь выкрашенным в красный цвет, как более заметный среди белого.</w:t>
      </w:r>
    </w:p>
    <w:p w14:paraId="4937EB23" w14:textId="77777777" w:rsidR="00B67D7C" w:rsidRPr="00DE096C" w:rsidRDefault="00B67D7C" w:rsidP="00D45A46">
      <w:pPr>
        <w:jc w:val="both"/>
        <w:rPr>
          <w:bCs/>
          <w:i/>
          <w:color w:val="002060"/>
          <w:sz w:val="16"/>
          <w:szCs w:val="16"/>
        </w:rPr>
      </w:pPr>
      <w:r w:rsidRPr="00DE096C">
        <w:rPr>
          <w:bCs/>
          <w:i/>
          <w:color w:val="002060"/>
          <w:sz w:val="16"/>
          <w:szCs w:val="16"/>
        </w:rPr>
        <w:t>Летчик, идущий в экспедицию, должен обратить особое внимание на верхнюю одежду: сапоги должны быть особенно теплые и непромокаемые, куртку следует делать на гагачьем или лебяжьем пуху, поверх которой иметь романовский полушубок, брюки должны быть меховые, меховая шапка, желтые очки и две пары шерстяных перчаток.</w:t>
      </w:r>
    </w:p>
    <w:p w14:paraId="01447F47" w14:textId="77777777" w:rsidR="00B67D7C" w:rsidRPr="00DE096C" w:rsidRDefault="00B67D7C" w:rsidP="00D45A46">
      <w:pPr>
        <w:jc w:val="both"/>
        <w:rPr>
          <w:bCs/>
          <w:i/>
          <w:color w:val="002060"/>
          <w:sz w:val="16"/>
          <w:szCs w:val="16"/>
        </w:rPr>
      </w:pPr>
      <w:r w:rsidRPr="00DE096C">
        <w:rPr>
          <w:bCs/>
          <w:i/>
          <w:color w:val="002060"/>
          <w:sz w:val="16"/>
          <w:szCs w:val="16"/>
        </w:rPr>
        <w:t>В полет следует забирать с собой следующее: винтовку с патронами, моток стального троса, который необходим для укрепления аппарата, а также для других целей ... Следует иметь с собой дымные ракеты с парашютами на случай дабы привлечь внимание, все необходимые запасные части мотора, малый инструмент и провизию.</w:t>
      </w:r>
    </w:p>
    <w:p w14:paraId="3BD366F0" w14:textId="77777777" w:rsidR="00B67D7C" w:rsidRPr="00DE096C" w:rsidRDefault="00B67D7C" w:rsidP="00D45A46">
      <w:pPr>
        <w:jc w:val="both"/>
        <w:rPr>
          <w:bCs/>
          <w:i/>
          <w:color w:val="002060"/>
          <w:sz w:val="16"/>
          <w:szCs w:val="16"/>
        </w:rPr>
      </w:pPr>
      <w:r w:rsidRPr="00DE096C">
        <w:rPr>
          <w:bCs/>
          <w:i/>
          <w:color w:val="002060"/>
          <w:sz w:val="16"/>
          <w:szCs w:val="16"/>
        </w:rPr>
        <w:t>Летать в арктических странах, хотя и тяжело, но вполне возможно, и авиация в будущем может оказать гидрографии большую услугу в следующих случаях: при рекогносцировках льдов, в открытии новых земель, нахождении и нанесении на карту подводных преград, препятствующих судоходству. С высоты хорошо видны все рифы, банки, отмели.</w:t>
      </w:r>
    </w:p>
    <w:p w14:paraId="3820DC1B" w14:textId="77777777" w:rsidR="00B67D7C" w:rsidRPr="00DE096C" w:rsidRDefault="00B67D7C" w:rsidP="00D45A46">
      <w:pPr>
        <w:jc w:val="both"/>
        <w:rPr>
          <w:bCs/>
          <w:i/>
          <w:color w:val="002060"/>
          <w:sz w:val="16"/>
          <w:szCs w:val="16"/>
        </w:rPr>
      </w:pPr>
      <w:r w:rsidRPr="00DE096C">
        <w:rPr>
          <w:bCs/>
          <w:i/>
          <w:color w:val="002060"/>
          <w:sz w:val="16"/>
          <w:szCs w:val="16"/>
        </w:rPr>
        <w:t>Фотографии сверху могут дать точные данные для исправления и дополнения карт.</w:t>
      </w:r>
    </w:p>
    <w:p w14:paraId="5FA8D1B9" w14:textId="77777777" w:rsidR="00B67D7C" w:rsidRPr="00DE096C" w:rsidRDefault="00B67D7C" w:rsidP="00D45A46">
      <w:pPr>
        <w:jc w:val="both"/>
        <w:rPr>
          <w:bCs/>
          <w:i/>
          <w:color w:val="002060"/>
          <w:sz w:val="16"/>
          <w:szCs w:val="16"/>
        </w:rPr>
      </w:pPr>
      <w:r w:rsidRPr="00DE096C">
        <w:rPr>
          <w:bCs/>
          <w:i/>
          <w:color w:val="002060"/>
          <w:sz w:val="16"/>
          <w:szCs w:val="16"/>
        </w:rPr>
        <w:t xml:space="preserve">Прошлые экспедиции, стремящиеся пройти Северный полюс, «се неудачны, ибо плохо учитывались силы и энергия (человеческий фактор, как сказали бы мы сейчас </w:t>
      </w:r>
      <w:r w:rsidRPr="00DE096C">
        <w:rPr>
          <w:bCs/>
          <w:color w:val="002060"/>
          <w:sz w:val="16"/>
          <w:szCs w:val="16"/>
        </w:rPr>
        <w:t xml:space="preserve">— </w:t>
      </w:r>
      <w:r w:rsidRPr="00DE096C">
        <w:rPr>
          <w:bCs/>
          <w:i/>
          <w:color w:val="002060"/>
          <w:sz w:val="16"/>
          <w:szCs w:val="16"/>
        </w:rPr>
        <w:t>А. Г.) человека с тысячеверстным расстоянием, какое нужно преодолеть, полным преград и самых тяжелых условий...</w:t>
      </w:r>
    </w:p>
    <w:p w14:paraId="6A827ED8" w14:textId="77777777" w:rsidR="00B67D7C" w:rsidRPr="00DE096C" w:rsidRDefault="00B67D7C" w:rsidP="00D45A46">
      <w:pPr>
        <w:jc w:val="both"/>
        <w:rPr>
          <w:bCs/>
          <w:i/>
          <w:color w:val="002060"/>
          <w:sz w:val="16"/>
          <w:szCs w:val="16"/>
        </w:rPr>
      </w:pPr>
      <w:r w:rsidRPr="00DE096C">
        <w:rPr>
          <w:bCs/>
          <w:i/>
          <w:color w:val="002060"/>
          <w:sz w:val="16"/>
          <w:szCs w:val="16"/>
        </w:rPr>
        <w:t>Авиация, как колоссально быстрый способ передвижения, есть единственный способ для разрешения этой задачи».</w:t>
      </w:r>
    </w:p>
    <w:p w14:paraId="2B49201A" w14:textId="77777777" w:rsidR="00B67D7C" w:rsidRPr="00DE096C" w:rsidRDefault="00B67D7C" w:rsidP="00D45A46">
      <w:pPr>
        <w:shd w:val="clear" w:color="auto" w:fill="FFFFFF"/>
        <w:jc w:val="both"/>
        <w:rPr>
          <w:bCs/>
          <w:i/>
          <w:color w:val="002060"/>
          <w:sz w:val="16"/>
          <w:szCs w:val="16"/>
        </w:rPr>
      </w:pPr>
    </w:p>
    <w:p w14:paraId="2F61540C"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Военное воздухоплавание:</w:t>
      </w:r>
    </w:p>
    <w:p w14:paraId="43E21897" w14:textId="77777777" w:rsidR="00B67D7C" w:rsidRPr="00DE096C" w:rsidRDefault="00B67D7C" w:rsidP="00D45A46">
      <w:pPr>
        <w:shd w:val="clear" w:color="auto" w:fill="FFFFFF"/>
        <w:jc w:val="both"/>
        <w:rPr>
          <w:bCs/>
          <w:i/>
          <w:color w:val="002060"/>
          <w:sz w:val="16"/>
          <w:szCs w:val="16"/>
        </w:rPr>
      </w:pPr>
    </w:p>
    <w:p w14:paraId="53D63697" w14:textId="77777777" w:rsidR="00B67D7C" w:rsidRPr="00DE096C" w:rsidRDefault="00B67D7C" w:rsidP="00D45A46">
      <w:pPr>
        <w:jc w:val="both"/>
        <w:rPr>
          <w:bCs/>
          <w:color w:val="002060"/>
          <w:sz w:val="16"/>
          <w:szCs w:val="16"/>
        </w:rPr>
      </w:pPr>
      <w:r w:rsidRPr="00DE096C">
        <w:rPr>
          <w:bCs/>
          <w:color w:val="002060"/>
          <w:sz w:val="16"/>
          <w:szCs w:val="16"/>
        </w:rPr>
        <w:t xml:space="preserve">В ночь на 30 августа (12 сентября) 1914 «Альбатрос» вылетел на выполнение задания по направлению к Осовцу, но и тут потерпел неудачу. Под Граевом он был встречен сильным оружейным огнем 4-го Сибирского корпуса, только что прибывшего на фронт из Восточной Сибири и не предупрежденного о возможном пролете своего дирижабля. Оболочка корабля получила множество пробоин, а так как в Белостоке строительство эллинга еще не закончилось и отсутствовали подъемные краны для ремонта оболочки, пришлось перелететь в Брест-Литовск. Там дирижабль привели в порядок, и в середине сентября он вернулся в Белосток. Погода стала портиться — начались туманы, дожди, задули сильные ветры. Но особенно мешали полетам туманы. В конце сентября Б. Голубов был назначен командиром 3-й воздухоплавательной роты и выехал в Лиду на приемку переданных под его начало дирижаблей «Гриф» и «Астра XIII». Временно командиром «Альбатроса» стал А. Шабский. Он выполнил несколько ознакомительных полетов, а затем предпринял ряд безуспешных ночных боевых вылетов в район Осовца на позиции противника — погода явно не благоприятствовала выполнению заданий (11324). </w:t>
      </w:r>
    </w:p>
    <w:p w14:paraId="5BF9219C" w14:textId="77777777" w:rsidR="00B67D7C" w:rsidRPr="00DE096C" w:rsidRDefault="00B67D7C" w:rsidP="00D45A46">
      <w:pPr>
        <w:shd w:val="clear" w:color="auto" w:fill="FFFFFF"/>
        <w:jc w:val="both"/>
        <w:rPr>
          <w:bCs/>
          <w:i/>
          <w:color w:val="002060"/>
          <w:sz w:val="16"/>
          <w:szCs w:val="16"/>
        </w:rPr>
      </w:pPr>
    </w:p>
    <w:p w14:paraId="031C83E1" w14:textId="77777777" w:rsidR="006B5BAB" w:rsidRPr="00DE096C" w:rsidRDefault="006B5BAB" w:rsidP="00D45A46">
      <w:pPr>
        <w:jc w:val="both"/>
        <w:rPr>
          <w:bCs/>
          <w:color w:val="002060"/>
          <w:sz w:val="16"/>
          <w:szCs w:val="16"/>
        </w:rPr>
      </w:pPr>
      <w:bookmarkStart w:id="146" w:name="_Hlk52725069"/>
      <w:r w:rsidRPr="00DE096C">
        <w:rPr>
          <w:rStyle w:val="43"/>
          <w:rFonts w:ascii="Times New Roman" w:hAnsi="Times New Roman" w:cs="Times New Roman"/>
          <w:bCs/>
          <w:color w:val="002060"/>
          <w:w w:val="100"/>
          <w:sz w:val="16"/>
          <w:szCs w:val="16"/>
        </w:rPr>
        <w:t>В ночь на 30 августа (12 сентября) 1914 «Альбатрос» вылетел к Осовцу, но под Граевом его обстреляли сильным ружейным и пулемётным огнём части 4-го Сибирского кор</w:t>
      </w:r>
      <w:r w:rsidRPr="00DE096C">
        <w:rPr>
          <w:rStyle w:val="43"/>
          <w:rFonts w:ascii="Times New Roman" w:hAnsi="Times New Roman" w:cs="Times New Roman"/>
          <w:bCs/>
          <w:color w:val="002060"/>
          <w:w w:val="100"/>
          <w:sz w:val="16"/>
          <w:szCs w:val="16"/>
        </w:rPr>
        <w:softHyphen/>
        <w:t>пуса. Быстро теряя водород через 12 пробоин, ди</w:t>
      </w:r>
      <w:r w:rsidRPr="00DE096C">
        <w:rPr>
          <w:rStyle w:val="43"/>
          <w:rFonts w:ascii="Times New Roman" w:hAnsi="Times New Roman" w:cs="Times New Roman"/>
          <w:bCs/>
          <w:color w:val="002060"/>
          <w:w w:val="100"/>
          <w:sz w:val="16"/>
          <w:szCs w:val="16"/>
        </w:rPr>
        <w:softHyphen/>
        <w:t>рижабль повернул назад (20120).</w:t>
      </w:r>
    </w:p>
    <w:p w14:paraId="77FBF326" w14:textId="77777777" w:rsidR="006B5BAB" w:rsidRPr="00DE096C" w:rsidRDefault="006B5BAB" w:rsidP="00D45A46">
      <w:pPr>
        <w:jc w:val="both"/>
        <w:rPr>
          <w:bCs/>
          <w:color w:val="002060"/>
          <w:sz w:val="16"/>
          <w:szCs w:val="16"/>
        </w:rPr>
      </w:pPr>
    </w:p>
    <w:bookmarkEnd w:id="146"/>
    <w:p w14:paraId="17AC03A7" w14:textId="77777777" w:rsidR="006B5BAB" w:rsidRPr="00DE096C" w:rsidRDefault="006B5BAB" w:rsidP="00D45A46">
      <w:pPr>
        <w:jc w:val="both"/>
        <w:rPr>
          <w:bCs/>
          <w:color w:val="002060"/>
          <w:sz w:val="16"/>
          <w:szCs w:val="16"/>
        </w:rPr>
      </w:pPr>
      <w:r w:rsidRPr="00DE096C">
        <w:rPr>
          <w:rStyle w:val="43"/>
          <w:rFonts w:ascii="Times New Roman" w:hAnsi="Times New Roman" w:cs="Times New Roman"/>
          <w:bCs/>
          <w:color w:val="002060"/>
          <w:w w:val="100"/>
          <w:sz w:val="16"/>
          <w:szCs w:val="16"/>
        </w:rPr>
        <w:lastRenderedPageBreak/>
        <w:t>В ночь на 30 августа (12 сентября) 1914 «Альбатрос» вылетел к Осовцу, но под Граевом его обстреляли сильным ружейным и пулемётным огнём части 4-го Сибирского кор</w:t>
      </w:r>
      <w:r w:rsidRPr="00DE096C">
        <w:rPr>
          <w:rStyle w:val="43"/>
          <w:rFonts w:ascii="Times New Roman" w:hAnsi="Times New Roman" w:cs="Times New Roman"/>
          <w:bCs/>
          <w:color w:val="002060"/>
          <w:w w:val="100"/>
          <w:sz w:val="16"/>
          <w:szCs w:val="16"/>
        </w:rPr>
        <w:softHyphen/>
        <w:t>пуса. Быстро теряя водород через 12 пробоин, ди</w:t>
      </w:r>
      <w:r w:rsidRPr="00DE096C">
        <w:rPr>
          <w:rStyle w:val="43"/>
          <w:rFonts w:ascii="Times New Roman" w:hAnsi="Times New Roman" w:cs="Times New Roman"/>
          <w:bCs/>
          <w:color w:val="002060"/>
          <w:w w:val="100"/>
          <w:sz w:val="16"/>
          <w:szCs w:val="16"/>
        </w:rPr>
        <w:softHyphen/>
        <w:t>рижабль повернул назад.</w:t>
      </w:r>
    </w:p>
    <w:p w14:paraId="3D14D80A" w14:textId="77777777" w:rsidR="006B5BAB" w:rsidRPr="00DE096C" w:rsidRDefault="006B5BAB" w:rsidP="00D45A46">
      <w:pPr>
        <w:jc w:val="both"/>
        <w:rPr>
          <w:bCs/>
          <w:color w:val="002060"/>
          <w:sz w:val="16"/>
          <w:szCs w:val="16"/>
        </w:rPr>
      </w:pPr>
      <w:r w:rsidRPr="00DE096C">
        <w:rPr>
          <w:rStyle w:val="43"/>
          <w:rFonts w:ascii="Times New Roman" w:hAnsi="Times New Roman" w:cs="Times New Roman"/>
          <w:bCs/>
          <w:color w:val="002060"/>
          <w:w w:val="100"/>
          <w:sz w:val="16"/>
          <w:szCs w:val="16"/>
        </w:rPr>
        <w:t>9 сентября он перелетел в Брест-Литовск на ремонт и вернулся в Белосток 28 сентября.</w:t>
      </w:r>
    </w:p>
    <w:p w14:paraId="63B0BE37" w14:textId="77777777" w:rsidR="006B5BAB" w:rsidRPr="00DE096C" w:rsidRDefault="006B5BAB" w:rsidP="00D45A46">
      <w:pPr>
        <w:jc w:val="both"/>
        <w:rPr>
          <w:bCs/>
          <w:color w:val="002060"/>
          <w:sz w:val="16"/>
          <w:szCs w:val="16"/>
        </w:rPr>
      </w:pPr>
      <w:r w:rsidRPr="00DE096C">
        <w:rPr>
          <w:rStyle w:val="43"/>
          <w:rFonts w:ascii="Times New Roman" w:hAnsi="Times New Roman" w:cs="Times New Roman"/>
          <w:bCs/>
          <w:color w:val="002060"/>
          <w:w w:val="100"/>
          <w:sz w:val="16"/>
          <w:szCs w:val="16"/>
        </w:rPr>
        <w:t>В конце сентября подполковник Б.В. Голубов убыл в 3-ю воздухоплавательную роту для под</w:t>
      </w:r>
      <w:r w:rsidRPr="00DE096C">
        <w:rPr>
          <w:rStyle w:val="43"/>
          <w:rFonts w:ascii="Times New Roman" w:hAnsi="Times New Roman" w:cs="Times New Roman"/>
          <w:bCs/>
          <w:color w:val="002060"/>
          <w:w w:val="100"/>
          <w:sz w:val="16"/>
          <w:szCs w:val="16"/>
        </w:rPr>
        <w:softHyphen/>
        <w:t>готовки «Буревестника» и «Астры» к боевым действиям. Командиром «Альбатроса» назна</w:t>
      </w:r>
      <w:r w:rsidRPr="00DE096C">
        <w:rPr>
          <w:rStyle w:val="43"/>
          <w:rFonts w:ascii="Times New Roman" w:hAnsi="Times New Roman" w:cs="Times New Roman"/>
          <w:bCs/>
          <w:color w:val="002060"/>
          <w:w w:val="100"/>
          <w:sz w:val="16"/>
          <w:szCs w:val="16"/>
        </w:rPr>
        <w:softHyphen/>
        <w:t>чили штабс-капитана А.И. Шабского. 2, 3 и 6 октября он пытался повести дирижабль на Лет- цен. Четыре раза дирижаблю помешала плохая погода, один раз он заблудился и один раз его обстреляли свои войска.</w:t>
      </w:r>
    </w:p>
    <w:p w14:paraId="0E7E21DE" w14:textId="77777777" w:rsidR="006B5BAB" w:rsidRPr="00DE096C" w:rsidRDefault="006B5BAB" w:rsidP="00D45A46">
      <w:pPr>
        <w:jc w:val="both"/>
        <w:rPr>
          <w:rStyle w:val="43"/>
          <w:rFonts w:ascii="Times New Roman" w:hAnsi="Times New Roman" w:cs="Times New Roman"/>
          <w:bCs/>
          <w:color w:val="002060"/>
          <w:w w:val="100"/>
          <w:sz w:val="16"/>
          <w:szCs w:val="16"/>
        </w:rPr>
      </w:pPr>
      <w:r w:rsidRPr="00DE096C">
        <w:rPr>
          <w:rStyle w:val="43"/>
          <w:rFonts w:ascii="Times New Roman" w:hAnsi="Times New Roman" w:cs="Times New Roman"/>
          <w:bCs/>
          <w:color w:val="002060"/>
          <w:w w:val="100"/>
          <w:sz w:val="16"/>
          <w:szCs w:val="16"/>
        </w:rPr>
        <w:t>В ночь на 13 октября дирижабль вновь вы</w:t>
      </w:r>
      <w:r w:rsidRPr="00DE096C">
        <w:rPr>
          <w:rStyle w:val="43"/>
          <w:rFonts w:ascii="Times New Roman" w:hAnsi="Times New Roman" w:cs="Times New Roman"/>
          <w:bCs/>
          <w:color w:val="002060"/>
          <w:w w:val="100"/>
          <w:sz w:val="16"/>
          <w:szCs w:val="16"/>
        </w:rPr>
        <w:softHyphen/>
        <w:t>летел на Летцен. Попав в сильный туман уже на взлёте, А.И. Шабский потерял ориентиров</w:t>
      </w:r>
      <w:r w:rsidRPr="00DE096C">
        <w:rPr>
          <w:rStyle w:val="43"/>
          <w:rFonts w:ascii="Times New Roman" w:hAnsi="Times New Roman" w:cs="Times New Roman"/>
          <w:bCs/>
          <w:color w:val="002060"/>
          <w:w w:val="100"/>
          <w:sz w:val="16"/>
          <w:szCs w:val="16"/>
        </w:rPr>
        <w:softHyphen/>
        <w:t>ку. Проблуждав в тумане около пяти часов, он, опасаясь попасть к противнику, был вынужден опуститься на поле. При посадке «Альбатрос» на</w:t>
      </w:r>
      <w:r w:rsidRPr="00DE096C">
        <w:rPr>
          <w:rStyle w:val="43"/>
          <w:rFonts w:ascii="Times New Roman" w:hAnsi="Times New Roman" w:cs="Times New Roman"/>
          <w:bCs/>
          <w:color w:val="002060"/>
          <w:w w:val="100"/>
          <w:sz w:val="16"/>
          <w:szCs w:val="16"/>
        </w:rPr>
        <w:softHyphen/>
        <w:t>летел на деревья, порвал оболочку и разбил гон</w:t>
      </w:r>
      <w:r w:rsidRPr="00DE096C">
        <w:rPr>
          <w:rStyle w:val="43"/>
          <w:rFonts w:ascii="Times New Roman" w:hAnsi="Times New Roman" w:cs="Times New Roman"/>
          <w:bCs/>
          <w:color w:val="002060"/>
          <w:w w:val="100"/>
          <w:sz w:val="16"/>
          <w:szCs w:val="16"/>
        </w:rPr>
        <w:softHyphen/>
        <w:t>долу при тренаже. Экипаж отделался ушибами. Авария произошла в 30 км от немецких позиций близ местечка Гоннондзь. Восстанавливать «Аль</w:t>
      </w:r>
      <w:r w:rsidRPr="00DE096C">
        <w:rPr>
          <w:rStyle w:val="43"/>
          <w:rFonts w:ascii="Times New Roman" w:hAnsi="Times New Roman" w:cs="Times New Roman"/>
          <w:bCs/>
          <w:color w:val="002060"/>
          <w:w w:val="100"/>
          <w:sz w:val="16"/>
          <w:szCs w:val="16"/>
        </w:rPr>
        <w:softHyphen/>
        <w:t>батрос» не стали, так как от него уцелели лишь моторы (20120).</w:t>
      </w:r>
    </w:p>
    <w:p w14:paraId="17E60BFB" w14:textId="77777777" w:rsidR="006B5BAB" w:rsidRPr="00DE096C" w:rsidRDefault="006B5BAB" w:rsidP="00D45A46">
      <w:pPr>
        <w:jc w:val="both"/>
        <w:rPr>
          <w:bCs/>
          <w:color w:val="002060"/>
          <w:sz w:val="16"/>
          <w:szCs w:val="16"/>
        </w:rPr>
      </w:pPr>
    </w:p>
    <w:p w14:paraId="7F8B46F1"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Армия:</w:t>
      </w:r>
    </w:p>
    <w:p w14:paraId="1D2D939F" w14:textId="77777777" w:rsidR="00B67D7C" w:rsidRPr="00DE096C" w:rsidRDefault="00B67D7C" w:rsidP="00D45A46">
      <w:pPr>
        <w:shd w:val="clear" w:color="auto" w:fill="FFFFFF"/>
        <w:jc w:val="both"/>
        <w:rPr>
          <w:bCs/>
          <w:i/>
          <w:color w:val="002060"/>
          <w:sz w:val="16"/>
          <w:szCs w:val="16"/>
        </w:rPr>
      </w:pPr>
    </w:p>
    <w:p w14:paraId="139FA3D0" w14:textId="47E6EA88" w:rsidR="00B67D7C" w:rsidRPr="00DE096C" w:rsidRDefault="00B67D7C" w:rsidP="00D45A46">
      <w:pPr>
        <w:shd w:val="clear" w:color="auto" w:fill="FFFFFF"/>
        <w:jc w:val="both"/>
        <w:rPr>
          <w:bCs/>
          <w:color w:val="002060"/>
          <w:sz w:val="16"/>
          <w:szCs w:val="16"/>
        </w:rPr>
      </w:pPr>
      <w:r w:rsidRPr="00DE096C">
        <w:rPr>
          <w:bCs/>
          <w:color w:val="002060"/>
          <w:sz w:val="16"/>
          <w:szCs w:val="16"/>
        </w:rPr>
        <w:t>30 августа (12 сентября) 1914 г. Военный Совет разрешил её приобретение</w:t>
      </w:r>
      <w:r w:rsidR="00A32DB5" w:rsidRPr="00DE096C">
        <w:rPr>
          <w:bCs/>
          <w:color w:val="002060"/>
          <w:sz w:val="16"/>
          <w:szCs w:val="16"/>
        </w:rPr>
        <w:t xml:space="preserve"> 3 тыс. мотоциклов и 455 боковых колясок к ним по смете ГВТУ</w:t>
      </w:r>
      <w:r w:rsidRPr="00DE096C">
        <w:rPr>
          <w:bCs/>
          <w:color w:val="002060"/>
          <w:sz w:val="16"/>
          <w:szCs w:val="16"/>
        </w:rPr>
        <w:t>. На том же заседании решили развернуть 12 ма</w:t>
      </w:r>
      <w:r w:rsidRPr="00DE096C">
        <w:rPr>
          <w:bCs/>
          <w:color w:val="002060"/>
          <w:sz w:val="16"/>
          <w:szCs w:val="16"/>
        </w:rPr>
        <w:softHyphen/>
        <w:t>стерских для ремонта мотоциклов [2.30].</w:t>
      </w:r>
    </w:p>
    <w:p w14:paraId="6E5C23B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Заказ на первую партию - 3 тыс. мотоциклов - разделили по</w:t>
      </w:r>
      <w:r w:rsidRPr="00DE096C">
        <w:rPr>
          <w:bCs/>
          <w:color w:val="002060"/>
          <w:sz w:val="16"/>
          <w:szCs w:val="16"/>
        </w:rPr>
        <w:softHyphen/>
        <w:t>ровну между США и Великобританией и поручили шести фирмам, из них четырем английским [2.31]. В дальнейшем приобретение мотоциклов значительно расширили. О желании участвовать в этой деятельности заявили многие фирмы, посредники и частные лица, но первым выразил готовность представитель американ</w:t>
      </w:r>
      <w:r w:rsidRPr="00DE096C">
        <w:rPr>
          <w:bCs/>
          <w:color w:val="002060"/>
          <w:sz w:val="16"/>
          <w:szCs w:val="16"/>
        </w:rPr>
        <w:softHyphen/>
        <w:t>ской фирмы «Харлей-Дэвидсон», причём, на вполне приемлемых условиях: 100 шт. - немедленно, а через две недели - по 100 шт. еженедельно [2.32]. К тому времени выяснилось, что наиболее подходящим для русского театра военных действий оказался са</w:t>
      </w:r>
      <w:r w:rsidRPr="00DE096C">
        <w:rPr>
          <w:bCs/>
          <w:color w:val="002060"/>
          <w:sz w:val="16"/>
          <w:szCs w:val="16"/>
        </w:rPr>
        <w:softHyphen/>
        <w:t>мый мощный из серийно выпускавшихся в тот период мотоцик</w:t>
      </w:r>
      <w:r w:rsidRPr="00DE096C">
        <w:rPr>
          <w:bCs/>
          <w:color w:val="002060"/>
          <w:sz w:val="16"/>
          <w:szCs w:val="16"/>
        </w:rPr>
        <w:softHyphen/>
        <w:t>лов - фирмы «Индиан». То были машины заводских марок С-1, С-2, С-3, причём, каждая - с У-образным двухцилиндровым дви</w:t>
      </w:r>
      <w:r w:rsidRPr="00DE096C">
        <w:rPr>
          <w:bCs/>
          <w:color w:val="002060"/>
          <w:sz w:val="16"/>
          <w:szCs w:val="16"/>
        </w:rPr>
        <w:softHyphen/>
        <w:t>гателем мощностью 7 л.с. [2.31]. Этого следовало ожидать, ведь именно такие машины оказались лучшими в первом испытатель</w:t>
      </w:r>
      <w:r w:rsidRPr="00DE096C">
        <w:rPr>
          <w:bCs/>
          <w:color w:val="002060"/>
          <w:sz w:val="16"/>
          <w:szCs w:val="16"/>
        </w:rPr>
        <w:softHyphen/>
        <w:t>ном мотопробеге, организованном ГВТУ в 1914 г. [2.23, 2.24].</w:t>
      </w:r>
    </w:p>
    <w:p w14:paraId="5FD457A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Технический комитет Военного ведомства сформулировал технические требования (ТТ), предъявляемые к импортным мо</w:t>
      </w:r>
      <w:r w:rsidRPr="00DE096C">
        <w:rPr>
          <w:bCs/>
          <w:color w:val="002060"/>
          <w:sz w:val="16"/>
          <w:szCs w:val="16"/>
        </w:rPr>
        <w:softHyphen/>
        <w:t>тоциклам и запретил установку на коляску мотоцикла пулемёта и стрельбу из него во время движения. На мотоциклах разрешалась только раздельная транспортировка пулемётов либо до 5 тыс. пу</w:t>
      </w:r>
      <w:r w:rsidRPr="00DE096C">
        <w:rPr>
          <w:bCs/>
          <w:color w:val="002060"/>
          <w:sz w:val="16"/>
          <w:szCs w:val="16"/>
        </w:rPr>
        <w:softHyphen/>
        <w:t>лемётных патронов [2.33]. Этот запрет задерживал прогресс веде</w:t>
      </w:r>
      <w:r w:rsidRPr="00DE096C">
        <w:rPr>
          <w:bCs/>
          <w:color w:val="002060"/>
          <w:sz w:val="16"/>
          <w:szCs w:val="16"/>
        </w:rPr>
        <w:softHyphen/>
        <w:t>ния боя в русской армии и нередко нарушался, чему способство</w:t>
      </w:r>
      <w:r w:rsidRPr="00DE096C">
        <w:rPr>
          <w:bCs/>
          <w:color w:val="002060"/>
          <w:sz w:val="16"/>
          <w:szCs w:val="16"/>
        </w:rPr>
        <w:softHyphen/>
        <w:t>вали примеры как противника, так и союзников. Германские под</w:t>
      </w:r>
      <w:r w:rsidRPr="00DE096C">
        <w:rPr>
          <w:bCs/>
          <w:color w:val="002060"/>
          <w:sz w:val="16"/>
          <w:szCs w:val="16"/>
        </w:rPr>
        <w:softHyphen/>
        <w:t>разделения нередко наступали при огневой поддержке мотоцик</w:t>
      </w:r>
      <w:r w:rsidRPr="00DE096C">
        <w:rPr>
          <w:bCs/>
          <w:color w:val="002060"/>
          <w:sz w:val="16"/>
          <w:szCs w:val="16"/>
        </w:rPr>
        <w:softHyphen/>
        <w:t>лов «N511 8 Р5» с боковым прицепом, оснащённым станковым пу</w:t>
      </w:r>
      <w:r w:rsidRPr="00DE096C">
        <w:rPr>
          <w:bCs/>
          <w:color w:val="002060"/>
          <w:sz w:val="16"/>
          <w:szCs w:val="16"/>
        </w:rPr>
        <w:softHyphen/>
        <w:t>лемётом, а союзные - с французскими мотоциклами «С1етеп1 М11е1агу» и английскими - «С1упо МПеШгу», с установленными в коляске пулемётами типа «Максим», приспособленными для стрельбы на ходу и защитными бронелистами [2.5]. Сведений об использовании подобных мотоциклов в русской армии не об</w:t>
      </w:r>
      <w:r w:rsidRPr="00DE096C">
        <w:rPr>
          <w:bCs/>
          <w:color w:val="002060"/>
          <w:sz w:val="16"/>
          <w:szCs w:val="16"/>
        </w:rPr>
        <w:softHyphen/>
        <w:t>наружено (11429).</w:t>
      </w:r>
    </w:p>
    <w:p w14:paraId="7032EECA" w14:textId="77777777" w:rsidR="00B67D7C" w:rsidRPr="00DE096C" w:rsidRDefault="00B67D7C" w:rsidP="00D45A46">
      <w:pPr>
        <w:shd w:val="clear" w:color="auto" w:fill="FFFFFF"/>
        <w:jc w:val="both"/>
        <w:rPr>
          <w:bCs/>
          <w:color w:val="002060"/>
          <w:sz w:val="16"/>
          <w:szCs w:val="16"/>
        </w:rPr>
      </w:pPr>
    </w:p>
    <w:p w14:paraId="6CFFAEC5" w14:textId="6B8B3098" w:rsidR="00674AF1" w:rsidRPr="00DE096C" w:rsidRDefault="00674AF1" w:rsidP="00D45A46">
      <w:pPr>
        <w:jc w:val="both"/>
        <w:rPr>
          <w:bCs/>
          <w:color w:val="002060"/>
          <w:sz w:val="16"/>
          <w:szCs w:val="16"/>
        </w:rPr>
      </w:pPr>
      <w:r w:rsidRPr="00DE096C">
        <w:rPr>
          <w:bCs/>
          <w:color w:val="002060"/>
          <w:sz w:val="16"/>
          <w:szCs w:val="16"/>
        </w:rPr>
        <w:t xml:space="preserve">30 августа </w:t>
      </w:r>
      <w:r w:rsidR="00A32DB5" w:rsidRPr="00DE096C">
        <w:rPr>
          <w:bCs/>
          <w:color w:val="002060"/>
          <w:sz w:val="16"/>
          <w:szCs w:val="16"/>
        </w:rPr>
        <w:t xml:space="preserve">(12 сентября) </w:t>
      </w:r>
      <w:r w:rsidRPr="00DE096C">
        <w:rPr>
          <w:bCs/>
          <w:color w:val="002060"/>
          <w:sz w:val="16"/>
          <w:szCs w:val="16"/>
        </w:rPr>
        <w:t>в 1914 году окруженный немцами в районе Танненберга, застрелился командующий 2-й русской армии генерал Александр Самсонов (14754).</w:t>
      </w:r>
    </w:p>
    <w:p w14:paraId="27E0B148" w14:textId="77777777" w:rsidR="00674AF1" w:rsidRPr="00DE096C" w:rsidRDefault="00674AF1" w:rsidP="00D45A46">
      <w:pPr>
        <w:jc w:val="both"/>
        <w:rPr>
          <w:bCs/>
          <w:color w:val="002060"/>
          <w:sz w:val="16"/>
          <w:szCs w:val="16"/>
        </w:rPr>
      </w:pPr>
    </w:p>
    <w:p w14:paraId="71FDD86B" w14:textId="77777777" w:rsidR="00033CC4" w:rsidRPr="00DE096C" w:rsidRDefault="00033CC4" w:rsidP="00D45A46">
      <w:pPr>
        <w:jc w:val="both"/>
        <w:rPr>
          <w:bCs/>
          <w:i/>
          <w:color w:val="002060"/>
          <w:sz w:val="16"/>
          <w:szCs w:val="16"/>
        </w:rPr>
      </w:pPr>
      <w:r w:rsidRPr="00DE096C">
        <w:rPr>
          <w:bCs/>
          <w:i/>
          <w:color w:val="002060"/>
          <w:sz w:val="16"/>
          <w:szCs w:val="16"/>
        </w:rPr>
        <w:t>За рубежом:</w:t>
      </w:r>
    </w:p>
    <w:p w14:paraId="326462BB" w14:textId="77777777" w:rsidR="00033CC4" w:rsidRPr="00DE096C" w:rsidRDefault="00033CC4" w:rsidP="00D45A46">
      <w:pPr>
        <w:jc w:val="both"/>
        <w:rPr>
          <w:bCs/>
          <w:color w:val="002060"/>
          <w:sz w:val="16"/>
          <w:szCs w:val="16"/>
        </w:rPr>
      </w:pPr>
    </w:p>
    <w:p w14:paraId="502C5C1A" w14:textId="01919AA1" w:rsidR="00033CC4" w:rsidRPr="00DE096C" w:rsidRDefault="00033CC4" w:rsidP="00D45A46">
      <w:pPr>
        <w:jc w:val="both"/>
        <w:rPr>
          <w:bCs/>
          <w:color w:val="002060"/>
          <w:sz w:val="16"/>
          <w:szCs w:val="16"/>
        </w:rPr>
      </w:pPr>
      <w:r w:rsidRPr="00DE096C">
        <w:rPr>
          <w:bCs/>
          <w:color w:val="002060"/>
          <w:sz w:val="16"/>
          <w:szCs w:val="16"/>
        </w:rPr>
        <w:t xml:space="preserve">30 августа (12 сентября) в 1914 году </w:t>
      </w:r>
      <w:r w:rsidR="00A32DB5" w:rsidRPr="00DE096C">
        <w:rPr>
          <w:bCs/>
          <w:color w:val="002060"/>
          <w:sz w:val="16"/>
          <w:szCs w:val="16"/>
        </w:rPr>
        <w:t xml:space="preserve">была </w:t>
      </w:r>
      <w:r w:rsidRPr="00DE096C">
        <w:rPr>
          <w:bCs/>
          <w:color w:val="002060"/>
          <w:sz w:val="16"/>
          <w:szCs w:val="16"/>
        </w:rPr>
        <w:t xml:space="preserve">победа </w:t>
      </w:r>
      <w:r w:rsidR="00A32DB5" w:rsidRPr="00DE096C">
        <w:rPr>
          <w:bCs/>
          <w:color w:val="002060"/>
          <w:sz w:val="16"/>
          <w:szCs w:val="16"/>
        </w:rPr>
        <w:t>с</w:t>
      </w:r>
      <w:r w:rsidRPr="00DE096C">
        <w:rPr>
          <w:bCs/>
          <w:color w:val="002060"/>
          <w:sz w:val="16"/>
          <w:szCs w:val="16"/>
        </w:rPr>
        <w:t>оюзников в Первой битве на Марне в I Мировой войне (14767).</w:t>
      </w:r>
    </w:p>
    <w:p w14:paraId="50D625D0" w14:textId="77777777" w:rsidR="00033CC4" w:rsidRPr="00DE096C" w:rsidRDefault="00033CC4" w:rsidP="00D45A46">
      <w:pPr>
        <w:jc w:val="both"/>
        <w:rPr>
          <w:bCs/>
          <w:color w:val="002060"/>
          <w:sz w:val="16"/>
          <w:szCs w:val="16"/>
        </w:rPr>
      </w:pPr>
    </w:p>
    <w:p w14:paraId="42758AA2"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32543C2C" w14:textId="77777777" w:rsidR="00B67D7C" w:rsidRPr="00DE096C" w:rsidRDefault="00B67D7C" w:rsidP="00D45A46">
      <w:pPr>
        <w:shd w:val="clear" w:color="auto" w:fill="FFFFFF"/>
        <w:jc w:val="both"/>
        <w:rPr>
          <w:bCs/>
          <w:i/>
          <w:color w:val="002060"/>
          <w:sz w:val="16"/>
          <w:szCs w:val="16"/>
        </w:rPr>
      </w:pPr>
    </w:p>
    <w:p w14:paraId="4AE08F6B" w14:textId="6588C865" w:rsidR="00B67D7C" w:rsidRPr="00DE096C" w:rsidRDefault="00B67D7C" w:rsidP="00D45A46">
      <w:pPr>
        <w:jc w:val="both"/>
        <w:rPr>
          <w:bCs/>
          <w:color w:val="002060"/>
          <w:sz w:val="16"/>
          <w:szCs w:val="16"/>
        </w:rPr>
      </w:pPr>
      <w:r w:rsidRPr="00DE096C">
        <w:rPr>
          <w:bCs/>
          <w:color w:val="002060"/>
          <w:sz w:val="16"/>
          <w:szCs w:val="16"/>
        </w:rPr>
        <w:t xml:space="preserve">31 августа (13 сентября) 1914 г. </w:t>
      </w:r>
      <w:r w:rsidR="00A32DB5" w:rsidRPr="00DE096C">
        <w:rPr>
          <w:bCs/>
          <w:color w:val="002060"/>
          <w:sz w:val="16"/>
          <w:szCs w:val="16"/>
        </w:rPr>
        <w:t xml:space="preserve">ИМ, аналогичный "Киевскому" (заводской №135) с четырьмя двигателями "Аргус" по 140 л. с. был передан военному ведомству. </w:t>
      </w:r>
      <w:r w:rsidRPr="00DE096C">
        <w:rPr>
          <w:bCs/>
          <w:color w:val="002060"/>
          <w:sz w:val="16"/>
          <w:szCs w:val="16"/>
        </w:rPr>
        <w:t>Он вместе с "Киевским" и четырьмя последующими (№ 136/143, 137, 138, 139) получил общее название "тип Б" - конструкторская разработка С-22 (буквой "А" обозначался самолет "Русский Витязь" С-21). Для последних машин типа "Б" уже не хватало немецких двигателей "Аргус". Имевшиеся в запасе 12 двигателей были предназначены для самолета типа "В", о котором речь пойдет ниже. На тип "В" пришлось ставить звездообразные 14-цилиндровые двигатели "Сальмсон" в 200 л. с. (внутренние) и 9-цилиндровые в 130 л. с. (внешние). Капотов и обтекателей к ним не было. Эти двигатели со всем оборудованием давали значительное лобовое сопротивление, поэтому, несмотря на большую мощность, характеристики самолета (скорость, потолок, дальность и грузоподъемность) были ниже, чем с двигателями "Аргус". Назревала явная необходимость создания отечественных рядных авиадвигателей (11230).</w:t>
      </w:r>
    </w:p>
    <w:p w14:paraId="23EAC71A" w14:textId="77777777" w:rsidR="00B67D7C" w:rsidRPr="00DE096C" w:rsidRDefault="00B67D7C" w:rsidP="00D45A46">
      <w:pPr>
        <w:jc w:val="both"/>
        <w:rPr>
          <w:bCs/>
          <w:color w:val="002060"/>
          <w:sz w:val="16"/>
          <w:szCs w:val="16"/>
        </w:rPr>
      </w:pPr>
    </w:p>
    <w:p w14:paraId="00E4F203" w14:textId="4C8FB869"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31 августа (13 сентября) </w:t>
      </w:r>
      <w:r w:rsidR="00012B57" w:rsidRPr="00DE096C">
        <w:rPr>
          <w:bCs/>
          <w:i w:val="0"/>
          <w:color w:val="002060"/>
          <w:spacing w:val="0"/>
          <w:kern w:val="0"/>
          <w:position w:val="0"/>
          <w:sz w:val="16"/>
          <w:szCs w:val="16"/>
        </w:rPr>
        <w:t xml:space="preserve">утром </w:t>
      </w:r>
      <w:r w:rsidRPr="00DE096C">
        <w:rPr>
          <w:bCs/>
          <w:i w:val="0"/>
          <w:color w:val="002060"/>
          <w:spacing w:val="0"/>
          <w:kern w:val="0"/>
          <w:position w:val="0"/>
          <w:sz w:val="16"/>
          <w:szCs w:val="16"/>
        </w:rPr>
        <w:t>"Илья Муромец 1" Е.В.Руднева вылетел в Белосток на Северо-Западный фронт. 24 сентября на фронт отправился "Илья Муромец II" поручика А.В.Панкратьева. Председатель Правления А/О РБВЗ Шидловский написал докладную записку военному министру Сухомлинову и просил, чтобы ему на деле дали возможность доказать пригодность "Муромцев" для военных целей. В ней указывалось неправильное использование этих машин на фронте и предлагалось сформировать из разрозненных отрядов "Муромцев" боевое соединение по типу эскадры морских боевых кораблей. Верховный Главнокомандующий Великий князь Николай Николаевич и сам император также ознакомились с докладом и одобрили этот проект. В начале декабря 1914г. был издан приказ согласно которого вся авиация делилась на тяжелую и легкую. Было сформировано Управление Эскадры Воздушных Кораблей (УЭВК), подчиненное Верховному Главнокомандующему. М.В.Шидловскому присвоили звание генерал-майора, что соответствовало его чину действительного статского советника, и назначили Начальником УЭВК. По штату Эскадре полагалось 10 боевых и 2 учебных корабля. Аэродром УЭВК находился у деревни Старая Яблонна (под Варшавой), куда в декабре 1914 г прибыли 111-й, V-й, VI-й и VII-й корабли. Два последних "Муромца" были нового типа В ("облегченного"), с острым носом (первый учебный с 2 "Сальмсонами", второй боевой). Еще в сентябре 1914 г. при формировании трех до­полнительных отрядов (V-го поручика Г.В.Алехновича, VI-го штабс-капитана Б.Н.Фирсова и VII-го штабс-капитана Г.Г.Горшкова). Для отряда "Киевский" ( VII-го по порядку) предназ­начался "Киевский" №128, находившийся в Гатчинской школе. Но школа просила оставить корабль для подготовки летчиков. Тогда Горшкову выделили новый аэроплан за №150 типа И, который получил название "Киевский" по имени отряда. Бесценные моторы "Аргус" были сняты с гатчинца и поставлены на новый корабль, который в декабре убыл по ж/д на фронт вместе с УЭВК (11277).</w:t>
      </w:r>
    </w:p>
    <w:p w14:paraId="6A250E17" w14:textId="77777777" w:rsidR="00B67D7C" w:rsidRPr="00DE096C" w:rsidRDefault="00B67D7C" w:rsidP="00D45A46">
      <w:pPr>
        <w:pStyle w:val="a3"/>
        <w:jc w:val="both"/>
        <w:rPr>
          <w:bCs/>
          <w:i w:val="0"/>
          <w:color w:val="002060"/>
          <w:spacing w:val="0"/>
          <w:kern w:val="0"/>
          <w:position w:val="0"/>
          <w:sz w:val="16"/>
          <w:szCs w:val="16"/>
        </w:rPr>
      </w:pPr>
    </w:p>
    <w:p w14:paraId="322ABFEC" w14:textId="49CB9D8D" w:rsidR="00B67D7C" w:rsidRPr="00DE096C" w:rsidRDefault="00B67D7C" w:rsidP="00D45A46">
      <w:pPr>
        <w:jc w:val="both"/>
        <w:rPr>
          <w:bCs/>
          <w:color w:val="002060"/>
          <w:sz w:val="16"/>
          <w:szCs w:val="16"/>
        </w:rPr>
      </w:pPr>
      <w:r w:rsidRPr="00DE096C">
        <w:rPr>
          <w:bCs/>
          <w:color w:val="002060"/>
          <w:sz w:val="16"/>
          <w:szCs w:val="16"/>
        </w:rPr>
        <w:t xml:space="preserve">31 августа </w:t>
      </w:r>
      <w:r w:rsidR="00012B57" w:rsidRPr="00DE096C">
        <w:rPr>
          <w:bCs/>
          <w:color w:val="002060"/>
          <w:sz w:val="16"/>
          <w:szCs w:val="16"/>
        </w:rPr>
        <w:t xml:space="preserve">(13 сентября) </w:t>
      </w:r>
      <w:r w:rsidRPr="00DE096C">
        <w:rPr>
          <w:bCs/>
          <w:color w:val="002060"/>
          <w:sz w:val="16"/>
          <w:szCs w:val="16"/>
        </w:rPr>
        <w:t xml:space="preserve">1914 года </w:t>
      </w:r>
      <w:r w:rsidR="00012B57" w:rsidRPr="00DE096C">
        <w:rPr>
          <w:bCs/>
          <w:color w:val="002060"/>
          <w:sz w:val="16"/>
          <w:szCs w:val="16"/>
        </w:rPr>
        <w:t xml:space="preserve">аэроплан Руднева утром </w:t>
      </w:r>
      <w:r w:rsidRPr="00DE096C">
        <w:rPr>
          <w:bCs/>
          <w:color w:val="002060"/>
          <w:sz w:val="16"/>
          <w:szCs w:val="16"/>
        </w:rPr>
        <w:t>после молебна и водосвятия улетел на Северо-Западный фронт, направляясь в Белосток. Маршрут аппарата пролегал вдоль линии железной дороги с промежуточной посадкой в Двинске. Полёт должен был выполняться на максимально возможной высоте. Из-за сильного встречного ветра в 12 м/с, после 177 вёрст пути, Рудневу пришлось вынужденно сесть у станции Плюсса, при этом аэроплан получил незначительные повреждения. Механик РБВЗ, вызванный из Петрограда, смог отремонтировать "Муромец" и он 11 сентября благополучно совершил посадку в Двинске. В Белосток же Руднев прилетел только... 23 сентября, затратив на путь до места назначения 14 лётных часов и... 24 дня (12041).</w:t>
      </w:r>
    </w:p>
    <w:p w14:paraId="2D118106" w14:textId="77777777" w:rsidR="00B67D7C" w:rsidRPr="00DE096C" w:rsidRDefault="00B67D7C" w:rsidP="00D45A46">
      <w:pPr>
        <w:jc w:val="both"/>
        <w:rPr>
          <w:bCs/>
          <w:color w:val="002060"/>
          <w:sz w:val="16"/>
          <w:szCs w:val="16"/>
        </w:rPr>
      </w:pPr>
    </w:p>
    <w:p w14:paraId="14CB269E" w14:textId="77777777" w:rsidR="005D67F4" w:rsidRPr="00DE096C" w:rsidRDefault="005D67F4" w:rsidP="00D45A46">
      <w:pPr>
        <w:pStyle w:val="rtejustify"/>
        <w:shd w:val="clear" w:color="auto" w:fill="FFFFFF"/>
        <w:spacing w:before="0" w:beforeAutospacing="0" w:after="0" w:afterAutospacing="0"/>
        <w:jc w:val="both"/>
        <w:rPr>
          <w:bCs/>
          <w:color w:val="002060"/>
          <w:sz w:val="16"/>
          <w:szCs w:val="16"/>
        </w:rPr>
      </w:pPr>
      <w:r w:rsidRPr="00DE096C">
        <w:rPr>
          <w:bCs/>
          <w:color w:val="002060"/>
          <w:sz w:val="16"/>
          <w:szCs w:val="16"/>
        </w:rPr>
        <w:t>31 августа (13 сентября) 1914 г. утром «Илья Муромец I» под командованием Е.В. Руднева вылетел в Белосток на Северо-Западный фронт. 24 сентября на фронт отправился «Илья Муромец II» поручика А.В. Панкратьева (17110).</w:t>
      </w:r>
    </w:p>
    <w:p w14:paraId="50953817" w14:textId="77777777" w:rsidR="005D67F4" w:rsidRPr="00DE096C" w:rsidRDefault="005D67F4" w:rsidP="00D45A46">
      <w:pPr>
        <w:pStyle w:val="rtejustify"/>
        <w:shd w:val="clear" w:color="auto" w:fill="FFFFFF"/>
        <w:spacing w:before="0" w:beforeAutospacing="0" w:after="0" w:afterAutospacing="0"/>
        <w:jc w:val="both"/>
        <w:rPr>
          <w:bCs/>
          <w:color w:val="002060"/>
          <w:sz w:val="16"/>
          <w:szCs w:val="16"/>
        </w:rPr>
      </w:pPr>
    </w:p>
    <w:p w14:paraId="0795A925" w14:textId="77777777" w:rsidR="005D67F4" w:rsidRPr="00DE096C" w:rsidRDefault="005D67F4" w:rsidP="00D45A46">
      <w:pPr>
        <w:jc w:val="both"/>
        <w:rPr>
          <w:bCs/>
          <w:color w:val="002060"/>
          <w:sz w:val="16"/>
          <w:szCs w:val="16"/>
        </w:rPr>
      </w:pPr>
      <w:r w:rsidRPr="00DE096C">
        <w:rPr>
          <w:bCs/>
          <w:color w:val="002060"/>
          <w:sz w:val="16"/>
          <w:szCs w:val="16"/>
        </w:rPr>
        <w:t>31 августа (13 сентября) 1914 г. утром "Илья Муромец I" Е.В.Руднева вылетел в Белосток на Северо-Западный фронт. Аэроплану надлежало следовать на большой высоте вдоль линии ж/д с остановкой в Двинске. Но получилось все иначе. Из-за сильного ветра в 12 м/с, преодолев всего 177 верст, корабль совершил вынужденную посадку возле станции Плюсса и получил небольшие повреждения. Вызванный из Петрограда механик РБВЗ отремонтировал аппарат, который 11 сентября благополучно приземлился в Двинске, а 23 сентября добрался до Белостока. Несмотря на то, что полетное время составило 14 часов, корабль добрался до места назначения за неполный месяц. Совершив в октябре 1914 г. несколько пробных полетов, штабс-капитан Руднев остался недоволен летными качествами "Муромца", нашел и другие недостатки. Появилась его докладная записка "О непригодности аппаратов типа "Илья Муромец" для военных целей", а за ней уведомление Штаба Верховного Главнокомандующего в ГВТУ "о приостановлении снабжения аэропланами типа "Илья Муромец" впредь до устранения недостатков этих аппаратов. Доблестный же командир 1-го корабля, не совершивший ни одного боевого полета, по прилете 25 ноября во Львов подал рапорт о переводе в легкую авиацию. В январе 1915 г. корабль был доставлен в Яблонну, где после мелкого ремонта был испытан в полете. Сикорский лично взял на нем высоту в 2200 метров, тогда как Руднев не мог подняться выше 1375 м. А снятые с корабля ненадежные по мнению Руднева "Аргусы" были в марте переставлены на корабль Ш-й №151, который впоследствии совершал 5-ти часовые полеты вглубь территории противника.</w:t>
      </w:r>
    </w:p>
    <w:p w14:paraId="13869B4E" w14:textId="77777777" w:rsidR="005D67F4" w:rsidRPr="00DE096C" w:rsidRDefault="005D67F4" w:rsidP="00D45A46">
      <w:pPr>
        <w:jc w:val="both"/>
        <w:rPr>
          <w:bCs/>
          <w:color w:val="002060"/>
          <w:sz w:val="16"/>
          <w:szCs w:val="16"/>
        </w:rPr>
      </w:pPr>
    </w:p>
    <w:p w14:paraId="55EEC06D" w14:textId="77777777" w:rsidR="000F5F6C" w:rsidRPr="00DE096C" w:rsidRDefault="000F5F6C" w:rsidP="00D45A46">
      <w:pPr>
        <w:jc w:val="both"/>
        <w:rPr>
          <w:bCs/>
          <w:color w:val="002060"/>
          <w:sz w:val="16"/>
          <w:szCs w:val="16"/>
        </w:rPr>
      </w:pPr>
      <w:r w:rsidRPr="00DE096C">
        <w:rPr>
          <w:bCs/>
          <w:color w:val="002060"/>
          <w:sz w:val="16"/>
          <w:szCs w:val="16"/>
          <w:lang w:bidi="en-US"/>
        </w:rPr>
        <w:t>31 августа 1914 г. завод Р-БВЗ передал армии два Ильи Муромца (ИМ) - ИМ Киевский (№ 128) и ИМ-И (№ 135). И. М. Киевский сначала был направлен в Гатчину в качестве инструктора, но в сентябре переведен в Белосток и прикомандирован к штабу Северо-Западного фронта. Стоимость одного ИМ теперь составляла около 150 000 рублей (75 000 долларов США).</w:t>
      </w:r>
    </w:p>
    <w:p w14:paraId="4358F415" w14:textId="77777777" w:rsidR="000F5F6C" w:rsidRPr="00DE096C" w:rsidRDefault="000F5F6C" w:rsidP="00D45A46">
      <w:pPr>
        <w:jc w:val="both"/>
        <w:rPr>
          <w:bCs/>
          <w:color w:val="002060"/>
          <w:sz w:val="16"/>
          <w:szCs w:val="16"/>
          <w:lang w:bidi="en-US"/>
        </w:rPr>
      </w:pPr>
      <w:r w:rsidRPr="00DE096C">
        <w:rPr>
          <w:bCs/>
          <w:color w:val="002060"/>
          <w:sz w:val="16"/>
          <w:szCs w:val="16"/>
          <w:lang w:bidi="en-US"/>
        </w:rPr>
        <w:lastRenderedPageBreak/>
        <w:t>Военный летчик Есаул В.М. Ткачев в своих мемуарах «Крылья России» указывал, что к началу войны должно было быть 289 летчиков (203 офицера и 86 рядовых), а фактически было 213 летчиков (168 офицеров и 44 рядовых). Когда началась война, 30 самолетов находились в школах и 172 — в воинских частях. Эти цифры различаются в зависимости от разных источников (23525).</w:t>
      </w:r>
    </w:p>
    <w:p w14:paraId="4698A557" w14:textId="77777777" w:rsidR="000F5F6C" w:rsidRPr="00DE096C" w:rsidRDefault="000F5F6C" w:rsidP="00D45A46">
      <w:pPr>
        <w:jc w:val="both"/>
        <w:rPr>
          <w:bCs/>
          <w:color w:val="002060"/>
          <w:sz w:val="16"/>
          <w:szCs w:val="16"/>
        </w:rPr>
      </w:pPr>
    </w:p>
    <w:p w14:paraId="690BE108" w14:textId="1E94783D" w:rsidR="000F5F6C" w:rsidRPr="00DE096C" w:rsidRDefault="000F5F6C" w:rsidP="00D45A46">
      <w:pPr>
        <w:jc w:val="both"/>
        <w:rPr>
          <w:bCs/>
          <w:color w:val="002060"/>
          <w:sz w:val="16"/>
          <w:szCs w:val="16"/>
        </w:rPr>
      </w:pPr>
      <w:r w:rsidRPr="00DE096C">
        <w:rPr>
          <w:bCs/>
          <w:color w:val="002060"/>
          <w:sz w:val="16"/>
          <w:szCs w:val="16"/>
        </w:rPr>
        <w:t>31 августа (13 сентября) 1914 г. Р-БВЗ передал армии два Ильи Муромца, ИМ Киевский (№ 128) и ИМ-I (№ 135). Вскоре за ними последуют другие корабли этой исторической серии.</w:t>
      </w:r>
    </w:p>
    <w:p w14:paraId="07C4D55D" w14:textId="77777777" w:rsidR="000F5F6C" w:rsidRPr="00DE096C" w:rsidRDefault="000F5F6C" w:rsidP="00D45A46">
      <w:pPr>
        <w:jc w:val="both"/>
        <w:rPr>
          <w:bCs/>
          <w:color w:val="002060"/>
          <w:sz w:val="16"/>
          <w:szCs w:val="16"/>
        </w:rPr>
      </w:pPr>
      <w:r w:rsidRPr="00DE096C">
        <w:rPr>
          <w:bCs/>
          <w:color w:val="002060"/>
          <w:sz w:val="16"/>
          <w:szCs w:val="16"/>
        </w:rPr>
        <w:t>Производство на Р-БВЗ во время войны было почти полностью сосредоточено на различных типах Sikorsky. Насколько известно, было построено 85 IM, один «А», шесть «В», 18 «В», 55 «Г», три «Д» и два «Е», по крайней мере половина из них — учебные. Еще три «Ги» были построены красными во время Гражданской войны. В сентябре 1915 года Центральное военно-техническое управление заказало восемнадцать С-16. Поставки начались в середине января 1916 года. Всего было построено тридцать три истребителя С-16 по цене около 9500 рублей (около 5000 долларов) каждый.</w:t>
      </w:r>
    </w:p>
    <w:p w14:paraId="253A0204" w14:textId="77777777" w:rsidR="000F5F6C" w:rsidRPr="00DE096C" w:rsidRDefault="000F5F6C" w:rsidP="00D45A46">
      <w:pPr>
        <w:jc w:val="both"/>
        <w:rPr>
          <w:bCs/>
          <w:color w:val="002060"/>
          <w:sz w:val="16"/>
          <w:szCs w:val="16"/>
        </w:rPr>
      </w:pPr>
      <w:r w:rsidRPr="00DE096C">
        <w:rPr>
          <w:bCs/>
          <w:color w:val="002060"/>
          <w:sz w:val="16"/>
          <w:szCs w:val="16"/>
        </w:rPr>
        <w:t>С октября 1912 по апрель 1914 года Р-БВЗ произвел 38 французских самолетов Farmans и Nieuport IV. В 1910-1913 годах на Р-БВЗ было построено около 100 самолетов, с 1914 по 1917 год было построено около 140 самолетов. Не все из них были приняты.</w:t>
      </w:r>
    </w:p>
    <w:p w14:paraId="3D6C13E4" w14:textId="77777777" w:rsidR="000F5F6C" w:rsidRPr="00DE096C" w:rsidRDefault="000F5F6C" w:rsidP="00D45A46">
      <w:pPr>
        <w:jc w:val="both"/>
        <w:rPr>
          <w:bCs/>
          <w:color w:val="002060"/>
          <w:sz w:val="16"/>
          <w:szCs w:val="16"/>
        </w:rPr>
      </w:pPr>
      <w:r w:rsidRPr="00DE096C">
        <w:rPr>
          <w:bCs/>
          <w:color w:val="002060"/>
          <w:sz w:val="16"/>
          <w:szCs w:val="16"/>
        </w:rPr>
        <w:t>К началу 1917 года производство выросло до шести ИМ и 30-40 самолетов других типов в месяц. В 1914 г. насчитывалось 270 рабочих, в 1915 г. их число возросло до 400, в 1916 г. — до 478, а в марте 1917 г. — до 475. На авиамоторном заводе в Петрограде (сдача началась в ноябре 1916 г.) было 266 рабочих в 1916 г. и 430 в 1917.</w:t>
      </w:r>
    </w:p>
    <w:p w14:paraId="7643F3C2" w14:textId="77777777" w:rsidR="000F5F6C" w:rsidRPr="00DE096C" w:rsidRDefault="000F5F6C" w:rsidP="00D45A46">
      <w:pPr>
        <w:jc w:val="both"/>
        <w:rPr>
          <w:bCs/>
          <w:color w:val="002060"/>
          <w:sz w:val="16"/>
          <w:szCs w:val="16"/>
        </w:rPr>
      </w:pPr>
      <w:r w:rsidRPr="00DE096C">
        <w:rPr>
          <w:bCs/>
          <w:color w:val="002060"/>
          <w:sz w:val="16"/>
          <w:szCs w:val="16"/>
        </w:rPr>
        <w:t>Директором авиационного завода Р-БВЗ в 1916-1918 годах был Витольд Ярковский, бывший директор завода Щетинина в 1915-1916 годах и завода Лебедева в 1913-1915 годах.</w:t>
      </w:r>
    </w:p>
    <w:p w14:paraId="27EB42D4" w14:textId="77777777" w:rsidR="000F5F6C" w:rsidRPr="00DE096C" w:rsidRDefault="000F5F6C" w:rsidP="00D45A46">
      <w:pPr>
        <w:jc w:val="both"/>
        <w:rPr>
          <w:bCs/>
          <w:color w:val="002060"/>
          <w:sz w:val="16"/>
          <w:szCs w:val="16"/>
        </w:rPr>
      </w:pPr>
      <w:r w:rsidRPr="00DE096C">
        <w:rPr>
          <w:bCs/>
          <w:color w:val="002060"/>
          <w:sz w:val="16"/>
          <w:szCs w:val="16"/>
        </w:rPr>
        <w:t>М. В. Шидловский и его сын Михаил были застрелены красногвардейцами 14 января 1921 г. при попытке бегства через границу в Финляндию (23125).</w:t>
      </w:r>
    </w:p>
    <w:p w14:paraId="076F817B" w14:textId="77777777" w:rsidR="000F5F6C" w:rsidRPr="00DE096C" w:rsidRDefault="000F5F6C" w:rsidP="00D45A46">
      <w:pPr>
        <w:jc w:val="both"/>
        <w:rPr>
          <w:bCs/>
          <w:color w:val="002060"/>
          <w:sz w:val="16"/>
          <w:szCs w:val="16"/>
        </w:rPr>
      </w:pPr>
    </w:p>
    <w:p w14:paraId="5BC70394" w14:textId="410AEEB4" w:rsidR="000F5F6C" w:rsidRPr="00DE096C" w:rsidRDefault="000F5F6C" w:rsidP="00D45A46">
      <w:pPr>
        <w:jc w:val="both"/>
        <w:rPr>
          <w:bCs/>
          <w:color w:val="002060"/>
          <w:sz w:val="16"/>
          <w:szCs w:val="16"/>
        </w:rPr>
      </w:pPr>
      <w:r w:rsidRPr="00DE096C">
        <w:rPr>
          <w:bCs/>
          <w:color w:val="002060"/>
          <w:sz w:val="16"/>
          <w:szCs w:val="16"/>
        </w:rPr>
        <w:t>31 августа (13 сентября) 1914 г. военному ведомству был передан самолет (заводской №135) с четырьмя двигателями «Аргус» по 140 л. с., аналогичный «Киевскому». Он вместе с «Киевским» и четырьмя последующими (№ 136/143, 137, 138, 139) получил общее название «тип Б» — конструкторская разработка С-22 (буквой «А» обозначался самолет «Русский Витязь» С-21). Для последних машин типа «Б» уже не хватало немецких двигателей «Аргус». Имевшиеся в запасе 12 двигате</w:t>
      </w:r>
      <w:r w:rsidRPr="00DE096C">
        <w:rPr>
          <w:bCs/>
          <w:color w:val="002060"/>
          <w:sz w:val="16"/>
          <w:szCs w:val="16"/>
        </w:rPr>
        <w:softHyphen/>
        <w:t>лей были предназначены для самолета типа «В».</w:t>
      </w:r>
    </w:p>
    <w:p w14:paraId="7CE131EF" w14:textId="77777777" w:rsidR="000F5F6C" w:rsidRPr="00DE096C" w:rsidRDefault="000F5F6C" w:rsidP="00D45A46">
      <w:pPr>
        <w:jc w:val="both"/>
        <w:rPr>
          <w:bCs/>
          <w:color w:val="002060"/>
          <w:sz w:val="16"/>
          <w:szCs w:val="16"/>
        </w:rPr>
      </w:pPr>
      <w:r w:rsidRPr="00DE096C">
        <w:rPr>
          <w:bCs/>
          <w:color w:val="002060"/>
          <w:sz w:val="16"/>
          <w:szCs w:val="16"/>
        </w:rPr>
        <w:t>На тип «Б» пришлось ставить звездообразные 14-цилиндровые двигатели «Сальмсон» в 200 л. с. (внутренние) и 9-цилиндровые в 130 л. с. (внеш</w:t>
      </w:r>
      <w:r w:rsidRPr="00DE096C">
        <w:rPr>
          <w:bCs/>
          <w:color w:val="002060"/>
          <w:sz w:val="16"/>
          <w:szCs w:val="16"/>
        </w:rPr>
        <w:softHyphen/>
        <w:t>ние). Капотов и обтекателей к ним не было. Эти двигате</w:t>
      </w:r>
      <w:r w:rsidRPr="00DE096C">
        <w:rPr>
          <w:bCs/>
          <w:color w:val="002060"/>
          <w:sz w:val="16"/>
          <w:szCs w:val="16"/>
        </w:rPr>
        <w:softHyphen/>
        <w:t>ли со всем оборудованием давали значительное лобовое сопротивление, поэтому, несмотря на большую мощ</w:t>
      </w:r>
      <w:r w:rsidRPr="00DE096C">
        <w:rPr>
          <w:bCs/>
          <w:color w:val="002060"/>
          <w:sz w:val="16"/>
          <w:szCs w:val="16"/>
        </w:rPr>
        <w:softHyphen/>
        <w:t>ность, характеристики самолета (скорость, потолок, дальность и грузоподъемность) были ниже, чем с двигате</w:t>
      </w:r>
      <w:r w:rsidRPr="00DE096C">
        <w:rPr>
          <w:bCs/>
          <w:color w:val="002060"/>
          <w:sz w:val="16"/>
          <w:szCs w:val="16"/>
        </w:rPr>
        <w:softHyphen/>
        <w:t>лями «Аргус». Назревала явная необходимость создания отечественных рядных авиадвигателей.</w:t>
      </w:r>
    </w:p>
    <w:p w14:paraId="6645909D" w14:textId="77777777" w:rsidR="000F5F6C" w:rsidRPr="00DE096C" w:rsidRDefault="000F5F6C" w:rsidP="00D45A46">
      <w:pPr>
        <w:jc w:val="both"/>
        <w:rPr>
          <w:bCs/>
          <w:color w:val="002060"/>
          <w:sz w:val="16"/>
          <w:szCs w:val="16"/>
        </w:rPr>
      </w:pPr>
      <w:r w:rsidRPr="00DE096C">
        <w:rPr>
          <w:bCs/>
          <w:color w:val="002060"/>
          <w:sz w:val="16"/>
          <w:szCs w:val="16"/>
        </w:rPr>
        <w:t>Сдача самолетов производилась согласно утвержден</w:t>
      </w:r>
      <w:r w:rsidRPr="00DE096C">
        <w:rPr>
          <w:bCs/>
          <w:color w:val="002060"/>
          <w:sz w:val="16"/>
          <w:szCs w:val="16"/>
        </w:rPr>
        <w:softHyphen/>
        <w:t>ному договору специальной комиссии. Требовалось при полезной нагрузке 50 пудов, запасе бензина и масла на три часа полета и экипаже из четырех человек (два пи</w:t>
      </w:r>
      <w:r w:rsidRPr="00DE096C">
        <w:rPr>
          <w:bCs/>
          <w:color w:val="002060"/>
          <w:sz w:val="16"/>
          <w:szCs w:val="16"/>
        </w:rPr>
        <w:softHyphen/>
        <w:t>лота, механик и представитель заказчика) набрать не более чем за час высоту 2 тыс. м и иметь горизонталь</w:t>
      </w:r>
      <w:r w:rsidRPr="00DE096C">
        <w:rPr>
          <w:bCs/>
          <w:color w:val="002060"/>
          <w:sz w:val="16"/>
          <w:szCs w:val="16"/>
        </w:rPr>
        <w:softHyphen/>
        <w:t>ную скорость не менее 100 км/ч. Полет контролировал</w:t>
      </w:r>
      <w:r w:rsidRPr="00DE096C">
        <w:rPr>
          <w:bCs/>
          <w:color w:val="002060"/>
          <w:sz w:val="16"/>
          <w:szCs w:val="16"/>
        </w:rPr>
        <w:softHyphen/>
        <w:t>ся запечатанным барографом. Это были ответственные полеты, и сдачу машин вел сам Сикорский. Первый «Муромец» с двигателями «Аргус» в 140 л. с., показав</w:t>
      </w:r>
      <w:r w:rsidRPr="00DE096C">
        <w:rPr>
          <w:bCs/>
          <w:color w:val="002060"/>
          <w:sz w:val="16"/>
          <w:szCs w:val="16"/>
        </w:rPr>
        <w:softHyphen/>
        <w:t>ший результаты 55 мин и 105 км/ч был принят без воз</w:t>
      </w:r>
      <w:r w:rsidRPr="00DE096C">
        <w:rPr>
          <w:bCs/>
          <w:color w:val="002060"/>
          <w:sz w:val="16"/>
          <w:szCs w:val="16"/>
        </w:rPr>
        <w:softHyphen/>
        <w:t>ражений. Второй корабль был снабжен моторами «Сальмсон», которые, как уже упоминалось, заметно снижали характеристики машин. Но ведь шла война, немецкие «Аргусы» не поставлялись и приходилось мириться с установкой не вполне подходящих двигате</w:t>
      </w:r>
      <w:r w:rsidRPr="00DE096C">
        <w:rPr>
          <w:bCs/>
          <w:color w:val="002060"/>
          <w:sz w:val="16"/>
          <w:szCs w:val="16"/>
        </w:rPr>
        <w:softHyphen/>
        <w:t>лей. Вторая машина высоту 2 тыс. м набрала за 1 ч 10 мин и показала скорость 95 км/ч. У третьей были те же результаты. Учитывая объективные обстоятельства, связанные с недопоставкой штатных двигателей для «Муромцев», государственная комиссия решила маши</w:t>
      </w:r>
      <w:r w:rsidRPr="00DE096C">
        <w:rPr>
          <w:bCs/>
          <w:color w:val="002060"/>
          <w:sz w:val="16"/>
          <w:szCs w:val="16"/>
        </w:rPr>
        <w:softHyphen/>
        <w:t>ны принять и отправить на фронт. Первую передали штабс-капитану Рудневу, вторую — поручику Панк</w:t>
      </w:r>
      <w:r w:rsidRPr="00DE096C">
        <w:rPr>
          <w:bCs/>
          <w:color w:val="002060"/>
          <w:sz w:val="16"/>
          <w:szCs w:val="16"/>
        </w:rPr>
        <w:softHyphen/>
        <w:t>ратьеву. Рудневу предписывалось перелететь во Львов для ведения боевых действий против осажденной рус</w:t>
      </w:r>
      <w:r w:rsidRPr="00DE096C">
        <w:rPr>
          <w:bCs/>
          <w:color w:val="002060"/>
          <w:sz w:val="16"/>
          <w:szCs w:val="16"/>
        </w:rPr>
        <w:softHyphen/>
        <w:t>скими войсками австрийской крепости Перемышль, а Панкратьеву — в Двинск в распоряжение штаба 7-й ар</w:t>
      </w:r>
      <w:r w:rsidRPr="00DE096C">
        <w:rPr>
          <w:bCs/>
          <w:color w:val="002060"/>
          <w:sz w:val="16"/>
          <w:szCs w:val="16"/>
        </w:rPr>
        <w:softHyphen/>
        <w:t>мии. Имущество отрядов шло железной дорогой, сами же корабли отправлялись на фронт торжественно (24177).</w:t>
      </w:r>
    </w:p>
    <w:p w14:paraId="15C9BB5E" w14:textId="77777777" w:rsidR="000F5F6C" w:rsidRPr="00DE096C" w:rsidRDefault="000F5F6C" w:rsidP="00D45A46">
      <w:pPr>
        <w:jc w:val="both"/>
        <w:rPr>
          <w:bCs/>
          <w:color w:val="002060"/>
          <w:sz w:val="16"/>
          <w:szCs w:val="16"/>
        </w:rPr>
      </w:pPr>
    </w:p>
    <w:p w14:paraId="7725C0F0" w14:textId="77777777" w:rsidR="000F5F6C" w:rsidRPr="00DE096C" w:rsidRDefault="000F5F6C" w:rsidP="00D45A46">
      <w:pPr>
        <w:jc w:val="both"/>
        <w:rPr>
          <w:bCs/>
          <w:color w:val="002060"/>
          <w:sz w:val="16"/>
          <w:szCs w:val="16"/>
        </w:rPr>
      </w:pPr>
      <w:r w:rsidRPr="00DE096C">
        <w:rPr>
          <w:bCs/>
          <w:color w:val="002060"/>
          <w:sz w:val="16"/>
          <w:szCs w:val="16"/>
          <w:lang w:bidi="ru-RU"/>
        </w:rPr>
        <w:t>31 августа</w:t>
      </w:r>
      <w:r w:rsidRPr="00DE096C">
        <w:rPr>
          <w:bCs/>
          <w:color w:val="002060"/>
          <w:sz w:val="16"/>
          <w:szCs w:val="16"/>
        </w:rPr>
        <w:t xml:space="preserve"> (13 сентября)</w:t>
      </w:r>
      <w:r w:rsidRPr="00DE096C">
        <w:rPr>
          <w:bCs/>
          <w:color w:val="002060"/>
          <w:sz w:val="16"/>
          <w:szCs w:val="16"/>
          <w:lang w:bidi="ru-RU"/>
        </w:rPr>
        <w:t xml:space="preserve"> 1914 г. самолет М-2 Григоровича потерпел катастрофу, в результате которой погиб летчик П.В. Ев</w:t>
      </w:r>
      <w:r w:rsidRPr="00DE096C">
        <w:rPr>
          <w:bCs/>
          <w:color w:val="002060"/>
          <w:sz w:val="16"/>
          <w:szCs w:val="16"/>
          <w:lang w:bidi="ru-RU"/>
        </w:rPr>
        <w:softHyphen/>
        <w:t>сюков. Причины несчастья достоверно не установили, однако и фактов, подтверждающих порочность конструкции, выявлено не было, поэтому изготовление последую</w:t>
      </w:r>
      <w:r w:rsidRPr="00DE096C">
        <w:rPr>
          <w:bCs/>
          <w:color w:val="002060"/>
          <w:sz w:val="16"/>
          <w:szCs w:val="16"/>
          <w:lang w:bidi="ru-RU"/>
        </w:rPr>
        <w:softHyphen/>
        <w:t>щих М-2 продолжили (23374).</w:t>
      </w:r>
    </w:p>
    <w:p w14:paraId="7E67B570" w14:textId="77777777" w:rsidR="000F5F6C" w:rsidRPr="00DE096C" w:rsidRDefault="000F5F6C" w:rsidP="00D45A46">
      <w:pPr>
        <w:jc w:val="both"/>
        <w:rPr>
          <w:bCs/>
          <w:color w:val="002060"/>
          <w:sz w:val="16"/>
          <w:szCs w:val="16"/>
        </w:rPr>
      </w:pPr>
    </w:p>
    <w:p w14:paraId="6BA88C6F" w14:textId="77777777" w:rsidR="000F5F6C" w:rsidRPr="00DE096C" w:rsidRDefault="000F5F6C" w:rsidP="00D45A46">
      <w:pPr>
        <w:jc w:val="both"/>
        <w:rPr>
          <w:bCs/>
          <w:color w:val="002060"/>
          <w:sz w:val="16"/>
          <w:szCs w:val="16"/>
        </w:rPr>
      </w:pPr>
      <w:r w:rsidRPr="00DE096C">
        <w:rPr>
          <w:bCs/>
          <w:color w:val="002060"/>
          <w:sz w:val="16"/>
          <w:szCs w:val="16"/>
        </w:rPr>
        <w:t>31 августа (13 сентября) 1914 г. первый полет на М-2 («Морской второй») экземпляр № 1, морской разведчик – летающая лодка выполнил известный в то время летчик Петр Владимирович Евсюков, который летал во время Балканской войны 1912-1913 гг. в русском авиаотряде С. Щетинина. Этот полет закончился катастрофой – самолет разбился, а летчик Евсюков погиб.</w:t>
      </w:r>
    </w:p>
    <w:p w14:paraId="3C207D2E" w14:textId="77777777" w:rsidR="000F5F6C" w:rsidRPr="00DE096C" w:rsidRDefault="000F5F6C" w:rsidP="00D45A46">
      <w:pPr>
        <w:jc w:val="both"/>
        <w:rPr>
          <w:bCs/>
          <w:color w:val="002060"/>
          <w:sz w:val="16"/>
          <w:szCs w:val="16"/>
        </w:rPr>
      </w:pPr>
      <w:r w:rsidRPr="00DE096C">
        <w:rPr>
          <w:bCs/>
          <w:color w:val="002060"/>
          <w:sz w:val="16"/>
          <w:szCs w:val="16"/>
        </w:rPr>
        <w:t>Несмотря на катастрофу первого экземпляра М-2, было решено достроить четыре контрактных самолета (23594).</w:t>
      </w:r>
    </w:p>
    <w:p w14:paraId="456F151E" w14:textId="77777777" w:rsidR="000F5F6C" w:rsidRPr="00DE096C" w:rsidRDefault="000F5F6C" w:rsidP="00D45A46">
      <w:pPr>
        <w:jc w:val="both"/>
        <w:rPr>
          <w:bCs/>
          <w:color w:val="002060"/>
          <w:sz w:val="16"/>
          <w:szCs w:val="16"/>
        </w:rPr>
      </w:pPr>
    </w:p>
    <w:p w14:paraId="138F972D" w14:textId="765DC08C" w:rsidR="00B67D7C" w:rsidRPr="00DE096C" w:rsidRDefault="00012B57" w:rsidP="00D45A46">
      <w:pPr>
        <w:shd w:val="clear" w:color="auto" w:fill="FFFFFF"/>
        <w:jc w:val="both"/>
        <w:rPr>
          <w:bCs/>
          <w:color w:val="002060"/>
          <w:sz w:val="16"/>
          <w:szCs w:val="16"/>
        </w:rPr>
      </w:pPr>
      <w:r w:rsidRPr="00DE096C">
        <w:rPr>
          <w:bCs/>
          <w:color w:val="002060"/>
          <w:sz w:val="16"/>
          <w:szCs w:val="16"/>
        </w:rPr>
        <w:t>31</w:t>
      </w:r>
      <w:r w:rsidR="00B67D7C" w:rsidRPr="00DE096C">
        <w:rPr>
          <w:bCs/>
          <w:color w:val="002060"/>
          <w:sz w:val="16"/>
          <w:szCs w:val="16"/>
        </w:rPr>
        <w:t xml:space="preserve"> августа (13 сентября) 1914 испытатель завода пилот П. В. Евсюков </w:t>
      </w:r>
      <w:r w:rsidRPr="00DE096C">
        <w:rPr>
          <w:bCs/>
          <w:color w:val="002060"/>
          <w:sz w:val="16"/>
          <w:szCs w:val="16"/>
        </w:rPr>
        <w:t xml:space="preserve">на Опытной станции в Гребном порту Петрограда </w:t>
      </w:r>
      <w:r w:rsidR="00B67D7C" w:rsidRPr="00DE096C">
        <w:rPr>
          <w:bCs/>
          <w:color w:val="002060"/>
          <w:sz w:val="16"/>
          <w:szCs w:val="16"/>
        </w:rPr>
        <w:t xml:space="preserve">поднял </w:t>
      </w:r>
      <w:r w:rsidRPr="00DE096C">
        <w:rPr>
          <w:bCs/>
          <w:color w:val="002060"/>
          <w:sz w:val="16"/>
          <w:szCs w:val="16"/>
        </w:rPr>
        <w:t>М-2</w:t>
      </w:r>
      <w:r w:rsidR="00B67D7C" w:rsidRPr="00DE096C">
        <w:rPr>
          <w:bCs/>
          <w:color w:val="002060"/>
          <w:sz w:val="16"/>
          <w:szCs w:val="16"/>
        </w:rPr>
        <w:t xml:space="preserve"> в воздух, но этот ее полет закончился трагедией: лодка разбилась, а авиатор погиб. Сборку других М-2 приостановили до выяснения причин катастрофы, но проведенное расследование установило, что, по всей видимости, дело заключалось не в дефектах конструкции. Восьмо</w:t>
      </w:r>
      <w:r w:rsidR="00B67D7C" w:rsidRPr="00DE096C">
        <w:rPr>
          <w:bCs/>
          <w:color w:val="002060"/>
          <w:sz w:val="16"/>
          <w:szCs w:val="16"/>
        </w:rPr>
        <w:softHyphen/>
        <w:t>го октября четыре мотора «Гном-Моносупап» по 100 л. с. каждый отправили на завод (двигатель с потерянного аппарата — вероятно, «Гном» или «Рон» 80 л. с., передали на РБВЗ), что предвещало скорое окончание работ</w:t>
      </w:r>
      <w:r w:rsidR="00B67D7C" w:rsidRPr="00DE096C">
        <w:rPr>
          <w:bCs/>
          <w:color w:val="002060"/>
          <w:sz w:val="16"/>
          <w:szCs w:val="16"/>
          <w:vertAlign w:val="superscript"/>
        </w:rPr>
        <w:t>1</w:t>
      </w:r>
      <w:r w:rsidR="00B67D7C" w:rsidRPr="00DE096C">
        <w:rPr>
          <w:bCs/>
          <w:color w:val="002060"/>
          <w:sz w:val="16"/>
          <w:szCs w:val="16"/>
        </w:rPr>
        <w:t>, и 28 ноября новый аппарат прибыл на 3-ю морскук&gt;авиастанцию в Ревель. Через 12 дней туда же доставили еще один гидроплан из серии и в период до 22 декабря летчик ПРТВ Я. И. Седов-Серов и флотский авиатор лейтенант И. И. Кульнев опробовали их, установив необходи</w:t>
      </w:r>
      <w:r w:rsidR="00B67D7C" w:rsidRPr="00DE096C">
        <w:rPr>
          <w:bCs/>
          <w:color w:val="002060"/>
          <w:sz w:val="16"/>
          <w:szCs w:val="16"/>
        </w:rPr>
        <w:softHyphen/>
        <w:t>мость некоторых усовершенствований. В течение зимы механик и пилот компании завершили нужные переделки, после чего весной 1915г. сдаточные полеты возобновили, и, в частности, высоту 1 тыс. 300 м брали за 15 минут. Двадцать пятого апреля списки авиационной части Службы связи Балтийского моря пополнили, наконец, этими двумя самолетами, получившими номера Щ-2 и Щ-3 (2807).</w:t>
      </w:r>
    </w:p>
    <w:p w14:paraId="06A76494" w14:textId="77777777" w:rsidR="00B67D7C" w:rsidRPr="00DE096C" w:rsidRDefault="00B67D7C" w:rsidP="00D45A46">
      <w:pPr>
        <w:shd w:val="clear" w:color="auto" w:fill="FFFFFF"/>
        <w:jc w:val="both"/>
        <w:rPr>
          <w:bCs/>
          <w:color w:val="002060"/>
          <w:sz w:val="16"/>
          <w:szCs w:val="16"/>
        </w:rPr>
      </w:pPr>
    </w:p>
    <w:p w14:paraId="40F0C49C" w14:textId="77777777" w:rsidR="005D67F4" w:rsidRPr="00DE096C" w:rsidRDefault="005D67F4" w:rsidP="00D45A46">
      <w:pPr>
        <w:jc w:val="both"/>
        <w:rPr>
          <w:bCs/>
          <w:color w:val="002060"/>
          <w:sz w:val="16"/>
          <w:szCs w:val="16"/>
        </w:rPr>
      </w:pPr>
      <w:r w:rsidRPr="00DE096C">
        <w:rPr>
          <w:bCs/>
          <w:color w:val="002060"/>
          <w:sz w:val="16"/>
          <w:szCs w:val="16"/>
        </w:rPr>
        <w:t>31 августа (13 сентября) 1914 года произошла катастрофа летающей лодки Григоровича М-2 (Морской второй) при испытаниях в Гребном порту, летчик П.В.Евсюков погиб (14755).</w:t>
      </w:r>
    </w:p>
    <w:p w14:paraId="6FB365E4" w14:textId="77777777" w:rsidR="005D67F4" w:rsidRPr="00DE096C" w:rsidRDefault="005D67F4" w:rsidP="00D45A46">
      <w:pPr>
        <w:jc w:val="both"/>
        <w:rPr>
          <w:bCs/>
          <w:color w:val="002060"/>
          <w:sz w:val="16"/>
          <w:szCs w:val="16"/>
        </w:rPr>
      </w:pPr>
    </w:p>
    <w:p w14:paraId="4B104572" w14:textId="035925EF" w:rsidR="000C1218" w:rsidRPr="00DE096C" w:rsidRDefault="000C1218" w:rsidP="00D45A46">
      <w:pPr>
        <w:jc w:val="both"/>
        <w:rPr>
          <w:bCs/>
          <w:color w:val="002060"/>
          <w:sz w:val="16"/>
          <w:szCs w:val="16"/>
        </w:rPr>
      </w:pPr>
      <w:r w:rsidRPr="00DE096C">
        <w:rPr>
          <w:bCs/>
          <w:color w:val="002060"/>
          <w:sz w:val="16"/>
          <w:szCs w:val="16"/>
        </w:rPr>
        <w:t>31 августа (13 сентября) 1914 г. в Петрограде разбился один из первых в России летчиков-испытателей Петр Владимирович Евсюков /1891/. По окончании в 1911 году авиашколы ПРТВ Евсюков стал инструктором и одновре</w:t>
      </w:r>
      <w:r w:rsidRPr="00DE096C">
        <w:rPr>
          <w:bCs/>
          <w:color w:val="002060"/>
          <w:sz w:val="16"/>
          <w:szCs w:val="16"/>
        </w:rPr>
        <w:softHyphen/>
        <w:t>менно испытателем самолетов этого товарищества. В 1912—13 г. уча</w:t>
      </w:r>
      <w:r w:rsidRPr="00DE096C">
        <w:rPr>
          <w:bCs/>
          <w:color w:val="002060"/>
          <w:sz w:val="16"/>
          <w:szCs w:val="16"/>
        </w:rPr>
        <w:softHyphen/>
        <w:t>ствовал в отряде С.С. Щетинина на Балканах. В течение последних дней подготовил к сдаче партию летающих лодок Григоровича. Рaзбился по собственной неосторожности.</w:t>
      </w:r>
    </w:p>
    <w:p w14:paraId="4A4503C6" w14:textId="77777777" w:rsidR="000C1218" w:rsidRPr="00DE096C" w:rsidRDefault="000C1218" w:rsidP="00D45A46">
      <w:pPr>
        <w:jc w:val="both"/>
        <w:rPr>
          <w:bCs/>
          <w:color w:val="002060"/>
          <w:sz w:val="16"/>
          <w:szCs w:val="16"/>
        </w:rPr>
      </w:pPr>
      <w:r w:rsidRPr="00DE096C">
        <w:rPr>
          <w:bCs/>
          <w:color w:val="002060"/>
          <w:sz w:val="16"/>
          <w:szCs w:val="16"/>
        </w:rPr>
        <w:t>/"Воздухоплавание", 1914, № 9, стр. 573/ (23320).</w:t>
      </w:r>
    </w:p>
    <w:p w14:paraId="54AEA935" w14:textId="77777777" w:rsidR="000C1218" w:rsidRPr="00DE096C" w:rsidRDefault="000C1218" w:rsidP="00D45A46">
      <w:pPr>
        <w:jc w:val="both"/>
        <w:rPr>
          <w:bCs/>
          <w:color w:val="002060"/>
          <w:sz w:val="16"/>
          <w:szCs w:val="16"/>
        </w:rPr>
      </w:pPr>
    </w:p>
    <w:p w14:paraId="76DEE3FF" w14:textId="1DAE8974" w:rsidR="00B67D7C" w:rsidRPr="00DE096C" w:rsidRDefault="00B67D7C" w:rsidP="00D45A46">
      <w:pPr>
        <w:jc w:val="both"/>
        <w:rPr>
          <w:bCs/>
          <w:color w:val="002060"/>
          <w:sz w:val="16"/>
          <w:szCs w:val="16"/>
        </w:rPr>
      </w:pPr>
      <w:r w:rsidRPr="00DE096C">
        <w:rPr>
          <w:bCs/>
          <w:color w:val="002060"/>
          <w:sz w:val="16"/>
          <w:szCs w:val="16"/>
        </w:rPr>
        <w:t xml:space="preserve">31 августа </w:t>
      </w:r>
      <w:r w:rsidR="005D67F4" w:rsidRPr="00DE096C">
        <w:rPr>
          <w:bCs/>
          <w:color w:val="002060"/>
          <w:sz w:val="16"/>
          <w:szCs w:val="16"/>
        </w:rPr>
        <w:t xml:space="preserve">(13 сентября) 1914 г. </w:t>
      </w:r>
      <w:r w:rsidRPr="00DE096C">
        <w:rPr>
          <w:bCs/>
          <w:color w:val="002060"/>
          <w:sz w:val="16"/>
          <w:szCs w:val="16"/>
        </w:rPr>
        <w:t xml:space="preserve">самолет </w:t>
      </w:r>
      <w:r w:rsidR="005D67F4" w:rsidRPr="00DE096C">
        <w:rPr>
          <w:bCs/>
          <w:color w:val="002060"/>
          <w:sz w:val="16"/>
          <w:szCs w:val="16"/>
        </w:rPr>
        <w:t xml:space="preserve">М-2, оснащенного двигателем "Гном" 80 л.с. в начале испытаний </w:t>
      </w:r>
      <w:r w:rsidRPr="00DE096C">
        <w:rPr>
          <w:bCs/>
          <w:color w:val="002060"/>
          <w:sz w:val="16"/>
          <w:szCs w:val="16"/>
        </w:rPr>
        <w:t>потерпел катастрофу, в результате которой погиб летчик П.В. Евсюков. Причины несчастья достоверно не установили, однако фактов, указывающих на недостатки конструкции, также не было выявлено, поэтому изготовление последующих М-2 продолжили. Четыре построенных однотипных аппарата отличались от первого образца более мощными двигателями "Гном-Моносупап" в 100 л.с.</w:t>
      </w:r>
    </w:p>
    <w:p w14:paraId="5FDD9BEE" w14:textId="77777777" w:rsidR="00B67D7C" w:rsidRPr="00DE096C" w:rsidRDefault="00B67D7C" w:rsidP="00D45A46">
      <w:pPr>
        <w:jc w:val="both"/>
        <w:rPr>
          <w:bCs/>
          <w:color w:val="002060"/>
          <w:sz w:val="16"/>
          <w:szCs w:val="16"/>
        </w:rPr>
      </w:pPr>
      <w:r w:rsidRPr="00DE096C">
        <w:rPr>
          <w:bCs/>
          <w:color w:val="002060"/>
          <w:sz w:val="16"/>
          <w:szCs w:val="16"/>
        </w:rPr>
        <w:t>23 ноября 1914 г. в Ревель на 3-ю станцию были высланы первые две М-2, которые прибыли к месту назначения на следующий день. Сборка первого экземпляра выявила достаточно много дефектов конструкции, нестыковок, случаев явного и скрытого брака - сказалась спешка с выполнением заказа. Поэтому все усилия решили поначалу сосредоточить на доводке одного самолета, а во второй ввести изменения по опыту первого. Для ускорения доводки этого М-2 в Ревель приехал сам Григорович.</w:t>
      </w:r>
    </w:p>
    <w:p w14:paraId="53B3E1AF" w14:textId="77777777" w:rsidR="00B67D7C" w:rsidRPr="00DE096C" w:rsidRDefault="00B67D7C" w:rsidP="00D45A46">
      <w:pPr>
        <w:jc w:val="both"/>
        <w:rPr>
          <w:bCs/>
          <w:color w:val="002060"/>
          <w:sz w:val="16"/>
          <w:szCs w:val="16"/>
        </w:rPr>
      </w:pPr>
      <w:r w:rsidRPr="00DE096C">
        <w:rPr>
          <w:bCs/>
          <w:color w:val="002060"/>
          <w:sz w:val="16"/>
          <w:szCs w:val="16"/>
        </w:rPr>
        <w:t>Отметим, что 20 декабря на 3-ю станцию прибыли три летающие лодки ФБА (Ргапсо-ВпТ1сЬ-Ау|'а1юп - франко-британская фирма, строившая летающие лодки с 1912 г.) из шести заказанных во Франции 12 сентября 1914 г. На тот момент это были наиболее доведенные машины, как по конструкции, так и по летным и эксплуатационным характеристикам. Сравнение двух типов аппаратов было явно не в пользу М-2, поэтому представители флота заняли более жесткую позицию в отношении приемки лодок Григоровича. К первому января 1915 г. ни одна из них еще не прошла сдаточных испытаний.</w:t>
      </w:r>
    </w:p>
    <w:p w14:paraId="36E5E9D1" w14:textId="77777777" w:rsidR="00B67D7C" w:rsidRPr="00DE096C" w:rsidRDefault="00B67D7C" w:rsidP="00D45A46">
      <w:pPr>
        <w:jc w:val="both"/>
        <w:rPr>
          <w:bCs/>
          <w:color w:val="002060"/>
          <w:sz w:val="16"/>
          <w:szCs w:val="16"/>
        </w:rPr>
      </w:pPr>
      <w:r w:rsidRPr="00DE096C">
        <w:rPr>
          <w:bCs/>
          <w:color w:val="002060"/>
          <w:sz w:val="16"/>
          <w:szCs w:val="16"/>
        </w:rPr>
        <w:t>Несмотря на трудности доводки М-2, первую такую лодку в начале февраля 1915 г. удалось испытать. Доработанные по ее опыту детали и узлы заново изготовили на заводе Щетинина, доставили в Ревель и установили на второй экземпляр. По причине изменений конструкции, он получил новое обозначение - М-3. Сдаточные испытания закончились в марте 1915 г., затем М-2 и М-3 зачислили в состав Службы связи Балтийского моря под обозначением Щ-2 и Щ-3 (12083).</w:t>
      </w:r>
    </w:p>
    <w:p w14:paraId="2D47B857" w14:textId="77777777" w:rsidR="00B67D7C" w:rsidRPr="00DE096C" w:rsidRDefault="00B67D7C" w:rsidP="00D45A46">
      <w:pPr>
        <w:jc w:val="both"/>
        <w:rPr>
          <w:bCs/>
          <w:color w:val="002060"/>
          <w:sz w:val="16"/>
          <w:szCs w:val="16"/>
        </w:rPr>
      </w:pPr>
      <w:r w:rsidRPr="00DE096C">
        <w:rPr>
          <w:bCs/>
          <w:color w:val="002060"/>
          <w:sz w:val="16"/>
          <w:szCs w:val="16"/>
        </w:rPr>
        <w:t>Между тем, затянувшаяся сдача этих первых летающих лодок отечественного производства негативно повлияла на отношение к ним со стороны морского ведомства. В середине января 1915 г. штаб заведующего авиацией при Службе связи Балтийского моря принял решение о заказе большой партии летающих лодок ФБА для оснащения отрядов и станций на Балтике. Впрочем, реализация этого решения поначалу сдерживалась тем обстоятельством, что производственные мощности французской фирмы до предела были загружены заказами собственного флота. Начались переговоры о лицензионном соглашении.</w:t>
      </w:r>
    </w:p>
    <w:p w14:paraId="3377AB09" w14:textId="77777777" w:rsidR="00B67D7C" w:rsidRPr="00DE096C" w:rsidRDefault="00B67D7C" w:rsidP="00D45A46">
      <w:pPr>
        <w:jc w:val="both"/>
        <w:rPr>
          <w:bCs/>
          <w:color w:val="002060"/>
          <w:sz w:val="16"/>
          <w:szCs w:val="16"/>
        </w:rPr>
      </w:pPr>
      <w:r w:rsidRPr="00DE096C">
        <w:rPr>
          <w:bCs/>
          <w:color w:val="002060"/>
          <w:sz w:val="16"/>
          <w:szCs w:val="16"/>
        </w:rPr>
        <w:t xml:space="preserve">2 февраля 1915 г. было получено сообщение, что фирма ФБА готова продать комплект чертежей своей летающей лодки России за 13000 рублей и, кроме того, фирма пожелала получать по 1300 рублей за каждый построенный такой самолет на русских заводах. После подписания лицензионного соглашения от приемки двух </w:t>
      </w:r>
      <w:r w:rsidRPr="00DE096C">
        <w:rPr>
          <w:bCs/>
          <w:color w:val="002060"/>
          <w:sz w:val="16"/>
          <w:szCs w:val="16"/>
        </w:rPr>
        <w:lastRenderedPageBreak/>
        <w:t>оставшихся лодок Щетинина отказались, выплатив заводу лишь небольшую неустойку. А французские ФБА в довольно большом числе экземпляров начал строить в Петрограде завод В.А. Лебедева.</w:t>
      </w:r>
    </w:p>
    <w:p w14:paraId="10E95269" w14:textId="77777777" w:rsidR="00B67D7C" w:rsidRPr="00DE096C" w:rsidRDefault="00B67D7C" w:rsidP="00D45A46">
      <w:pPr>
        <w:jc w:val="both"/>
        <w:rPr>
          <w:bCs/>
          <w:color w:val="002060"/>
          <w:sz w:val="16"/>
          <w:szCs w:val="16"/>
        </w:rPr>
      </w:pPr>
      <w:r w:rsidRPr="00DE096C">
        <w:rPr>
          <w:bCs/>
          <w:color w:val="002060"/>
          <w:sz w:val="16"/>
          <w:szCs w:val="16"/>
        </w:rPr>
        <w:t>Принятые флотом М-2 (Щ-2) и М-3 (Щ-3) использовались на 3-й станции в качестве учебных машин. Летом 1915 г. почти одновременно они получили при жесткой посадке довольно серьезные повреждения конструкции и до октября находились в долговременном ремонте. В ноябре того же года их списали.</w:t>
      </w:r>
    </w:p>
    <w:p w14:paraId="620B4D53" w14:textId="77777777" w:rsidR="00B67D7C" w:rsidRPr="00DE096C" w:rsidRDefault="00B67D7C" w:rsidP="00D45A46">
      <w:pPr>
        <w:jc w:val="both"/>
        <w:rPr>
          <w:bCs/>
          <w:color w:val="002060"/>
          <w:sz w:val="16"/>
          <w:szCs w:val="16"/>
        </w:rPr>
      </w:pPr>
      <w:r w:rsidRPr="00DE096C">
        <w:rPr>
          <w:bCs/>
          <w:color w:val="002060"/>
          <w:sz w:val="16"/>
          <w:szCs w:val="16"/>
        </w:rPr>
        <w:t>На Черном море летом 1914 г. еще царила довольно благодушная обстановка. Казалось, война далеко, а время для реорганизаций еще есть. В сентябре морская авиация Черноморского флота насчитывала всего шесть боевых машин. По-ложение резко изменилось в октябре, когда после набега немецких крейсеров "Гебен" и "Бреслау" при участии части турецкого флота Турция объявила войну России. Обострение военной ситуации показало острую нехватку боеспособных самолетов.</w:t>
      </w:r>
    </w:p>
    <w:p w14:paraId="66A2586B" w14:textId="77777777" w:rsidR="00B67D7C" w:rsidRPr="00DE096C" w:rsidRDefault="00B67D7C" w:rsidP="00D45A46">
      <w:pPr>
        <w:jc w:val="both"/>
        <w:rPr>
          <w:bCs/>
          <w:color w:val="002060"/>
          <w:sz w:val="16"/>
          <w:szCs w:val="16"/>
        </w:rPr>
      </w:pPr>
      <w:r w:rsidRPr="00DE096C">
        <w:rPr>
          <w:bCs/>
          <w:color w:val="002060"/>
          <w:sz w:val="16"/>
          <w:szCs w:val="16"/>
        </w:rPr>
        <w:t xml:space="preserve">В сложившихся условиях предложение Щетинина о поставке двух летающих лодок типа М-2 командованием Черноморского флота было встречено вполне благожелательно. Имеющиеся в наличии на заводе две недостроенные лодки срочно доработали по типу М-3, кроме того, внесли дополнительные изменения и дооборудовали кабину. После чего они получили обозначение М-4 и уже весной 1915 г. прибыли на Черное море. </w:t>
      </w:r>
    </w:p>
    <w:p w14:paraId="7D26F6F4" w14:textId="77777777" w:rsidR="00B67D7C" w:rsidRPr="00DE096C" w:rsidRDefault="00B67D7C" w:rsidP="00D45A46">
      <w:pPr>
        <w:jc w:val="both"/>
        <w:rPr>
          <w:bCs/>
          <w:color w:val="002060"/>
          <w:sz w:val="16"/>
          <w:szCs w:val="16"/>
        </w:rPr>
      </w:pPr>
      <w:r w:rsidRPr="00DE096C">
        <w:rPr>
          <w:bCs/>
          <w:color w:val="002060"/>
          <w:sz w:val="16"/>
          <w:szCs w:val="16"/>
        </w:rPr>
        <w:t>После проведения сдаточных испытаний в апреле 1915 г. самолеты зачислили в состав авиации Черноморского флота. Летчики встретили их довольно хорошо: по сравнению с летающими лодками американского производства "Кер- тисс" (СигН$$) машины Григоровича имели лучшие мореходные, летные и эксплуатационные характеристики. Один самолет использовался в составе корабельного отряда, другой состоял в береговом отряде. Скоро оба экземпляра успешно опробовали в боевой обстановке. 12 апреля аппарат с бортовым номером "29", спущенный с борта крейсера "Император Николай I", в районе Босфора впервые атаковал турецкую канонерку. Это сообщение, наряду с другими положительными отзывами об ис-пользовании летающих лодок Щетинина-Григоровича, позволило вполне уверенно продолжать строительство следующих гидросамолетов (12083).</w:t>
      </w:r>
    </w:p>
    <w:p w14:paraId="5ADCF908" w14:textId="77777777" w:rsidR="00B67D7C" w:rsidRPr="00DE096C" w:rsidRDefault="00B67D7C" w:rsidP="00D45A46">
      <w:pPr>
        <w:jc w:val="both"/>
        <w:rPr>
          <w:bCs/>
          <w:color w:val="002060"/>
          <w:sz w:val="16"/>
          <w:szCs w:val="16"/>
        </w:rPr>
      </w:pPr>
    </w:p>
    <w:p w14:paraId="02856E99" w14:textId="77777777" w:rsidR="00D91602" w:rsidRPr="00DE096C" w:rsidRDefault="00D91602" w:rsidP="00D45A46">
      <w:pPr>
        <w:jc w:val="both"/>
        <w:rPr>
          <w:bCs/>
          <w:color w:val="002060"/>
          <w:sz w:val="16"/>
          <w:szCs w:val="16"/>
        </w:rPr>
      </w:pPr>
      <w:r w:rsidRPr="00DE096C">
        <w:rPr>
          <w:bCs/>
          <w:color w:val="002060"/>
          <w:sz w:val="16"/>
          <w:szCs w:val="16"/>
        </w:rPr>
        <w:t>31 августа 1914 года Руднева утром после молебна и водосвятия улетел на Севе- ро-Западный фронт, направляясь в Белосток. Маршрут аппарата пролегал вдоль линии железной дороги с промежуточной посадкой в Двинске. Полёт должен был выполняться на максимально возможной высоте. Из-за сильного встречного ветра в 12 м/с, после 177 вёрст пути, Рудневу пришлось вынужденно сесть у станции Плюсса, при этом аэроплан получил незначительные повреждения. Механик РБВЗ, вызванный из Петрограда, смог отремонтировать "Муромец" и он 11 сентября благополучно совершил посадку в Двинске. В Белосток же Руднев прилетел только... 23 сентября, затратив на путь до места назначения 14 лётных часов и... 24 дня (12041).</w:t>
      </w:r>
    </w:p>
    <w:p w14:paraId="53F09329" w14:textId="77777777" w:rsidR="00D91602" w:rsidRPr="00DE096C" w:rsidRDefault="00D91602" w:rsidP="00D45A46">
      <w:pPr>
        <w:jc w:val="both"/>
        <w:rPr>
          <w:bCs/>
          <w:color w:val="002060"/>
          <w:sz w:val="16"/>
          <w:szCs w:val="16"/>
        </w:rPr>
      </w:pPr>
    </w:p>
    <w:p w14:paraId="6A4A94A0" w14:textId="77777777" w:rsidR="00B67D7C" w:rsidRPr="00DE096C" w:rsidRDefault="00B67D7C" w:rsidP="00D45A46">
      <w:pPr>
        <w:jc w:val="both"/>
        <w:rPr>
          <w:bCs/>
          <w:i/>
          <w:color w:val="002060"/>
          <w:sz w:val="16"/>
          <w:szCs w:val="16"/>
        </w:rPr>
      </w:pPr>
      <w:r w:rsidRPr="00DE096C">
        <w:rPr>
          <w:bCs/>
          <w:i/>
          <w:color w:val="002060"/>
          <w:sz w:val="16"/>
          <w:szCs w:val="16"/>
        </w:rPr>
        <w:t>Авиация:</w:t>
      </w:r>
    </w:p>
    <w:p w14:paraId="4A34AD78" w14:textId="77777777" w:rsidR="00B67D7C" w:rsidRPr="00DE096C" w:rsidRDefault="00B67D7C" w:rsidP="00D45A46">
      <w:pPr>
        <w:jc w:val="both"/>
        <w:rPr>
          <w:bCs/>
          <w:i/>
          <w:color w:val="002060"/>
          <w:sz w:val="16"/>
          <w:szCs w:val="16"/>
        </w:rPr>
      </w:pPr>
    </w:p>
    <w:p w14:paraId="5B2D0AD2" w14:textId="77777777" w:rsidR="00B67D7C" w:rsidRPr="00DE096C" w:rsidRDefault="00B67D7C" w:rsidP="00D45A46">
      <w:pPr>
        <w:jc w:val="both"/>
        <w:rPr>
          <w:bCs/>
          <w:color w:val="002060"/>
          <w:sz w:val="16"/>
          <w:szCs w:val="16"/>
        </w:rPr>
      </w:pPr>
      <w:r w:rsidRPr="00DE096C">
        <w:rPr>
          <w:bCs/>
          <w:color w:val="002060"/>
          <w:sz w:val="16"/>
          <w:szCs w:val="16"/>
        </w:rPr>
        <w:t>31 августа (13 сентября) 1914 г. командующий 8-й армией генерал Брусилов бьет челом Великому князю: "Настоящее время лишился совершенно воздушных аппаратов, столь драгоценных для разведок, что ставит управление войсками в крайне трудное положение. ...Покорно прошу Ваше императорское высочество оказать армии величайшую помощь "Фарманами" и "Ньюпорами". Деятельность летчиков в разведке незаменима." Просьба Брусилова была удовлетворена, и армия получила 4 самолета из состава Брест-Литовского крепостного авиаотряда. Однако таких просьб было множество, а дефицит самолетов и моторов стал хронической болезнью русской авиации до конца войны. К началу боевых действий в составе воздушного флота России насчитывался 221 летчик: 170 офицеров, 35 нижних чинов и 16 вольноопределяющихся (добровольцев). На 1 января 1915 г. потери летчиков составили 33 человека или 14,9% от общего состава. Из них 6 погибли от действий неприятеля, 5 - в авариях, 22 попали в плен и пропали без вести. Среди погибших: штабс-капитаны Грузинов, Нестеров, поручики Лемешко, Гудим, старший унтер-офицер Доброшинский и др. Пропали без вести: поручики Николаевский, Шамин, Машерек и др. Ранены или разбились при падении: капитан Витковский, гвардии штабс-капитан Мельницкий, штабс-капитан Мучник, поручики Городецкий, Корнидов, Павлов, доброволец Шпицберг. Некоторые из них, например, летчик-доброволец 16-го КАО Шпицберг, впоследствии скончались в госпитале. В скорбный список боевых потерь одним из первых попал военный летчик начальник 14-го КАО Ефграф Ефграфович Грузинов, смертельно раненный шрапнелью в воздухе во время выполнения боевого задания. 17 августа он вылетел на разведку района Кщонов-Пиляш-Ковице-Быхов-Люблин и обратно не вернулся. Самолет упал на вражеской территории, которую вскоре заняли русские войска. У села Быхово близ Янова были найдены свежая могила и разбитый "Ньюпор". В могиле обнаружили тело Грузинова, вопрос местных жителей и пленных австрийцев дал представление об обстоятельствах его гибели. Выяснилось, что самолет пролетал над австрийскими позициями на высоте 1000-1200 м и был обстрелян сначала пехотой, потом артиллерийской батареей, которая дала три залпа. Два первых цели не достигли. После третьего аппарат дрогнул, перевернулся и, сделав крутой вираж, врезался в землю с работающим мотором. Посмертно высочайшим приказом штабс-капитан Грузинов был награжден орденом Святого Георгия 4-й степени. Состоялись и первые воздушные бои. Таран и героическая гибель 26 августа военного летчика начальника 11-го КАО Петра Николаевича Нестерова открыли новую эпоху борьбы в воздухе. Из вооружения у русских авиаторов имелись только пистолеты "Маузер" и карабины. Хроника тех лет описывает несколько случаев воздушных боев. Так, 28 октября в окрестностях Петроково (под Варшавой) "появился неприятельский аэроплан. Через несколько минут поднялись два наших летчика и после воздушного боя сбросили "Таубе" на землю. Немецкие авиаторы разбились. Неприятельский аэроплан исковеркан". К сожалению, подтверждения этому газетному сообщению не нашлось. А вот воздушный бой и совместные действия с артиллерией, принесшие успех военному летчику Гродненского крепостного авиаотряда поручику Семенову, были подтверждены несколькими донесениями, хранящимися в Военно-историческом архиве. 27 августа Семенов с наблюдателем корнетом Николаевым при перелете через озеро Мейер, что в Восточной Пруссии, заметил неприятельский аэроплан, летевший к Летцену. Обойдя противника с правой стороны, Семенов атаковал его, заставил спуститься ниже и изменить направление полета в район русских позиций, где тот был обстрелян и около озера упал (11237).</w:t>
      </w:r>
    </w:p>
    <w:p w14:paraId="6A04FBC5" w14:textId="77777777" w:rsidR="00B67D7C" w:rsidRPr="00DE096C" w:rsidRDefault="00B67D7C" w:rsidP="00D45A46">
      <w:pPr>
        <w:jc w:val="both"/>
        <w:rPr>
          <w:bCs/>
          <w:i/>
          <w:color w:val="002060"/>
          <w:sz w:val="16"/>
          <w:szCs w:val="16"/>
        </w:rPr>
      </w:pPr>
    </w:p>
    <w:p w14:paraId="4129804D" w14:textId="4756BC1F" w:rsidR="00EB46EB" w:rsidRPr="00DE096C" w:rsidRDefault="00EB46EB" w:rsidP="00D45A46">
      <w:pPr>
        <w:jc w:val="both"/>
        <w:rPr>
          <w:bCs/>
          <w:color w:val="002060"/>
          <w:sz w:val="16"/>
          <w:szCs w:val="16"/>
          <w:lang w:bidi="en-US"/>
        </w:rPr>
      </w:pPr>
      <w:r w:rsidRPr="00DE096C">
        <w:rPr>
          <w:bCs/>
          <w:color w:val="002060"/>
          <w:sz w:val="16"/>
          <w:szCs w:val="16"/>
          <w:lang w:bidi="en-US"/>
        </w:rPr>
        <w:t>31 августа (13 сентября) 1914 г. генерал 8-й русской армии А. А. Брусилов посетил великого князя Александра Михайловича и сообщил ему, что «в настоящее время я испытываю нехватку самолетов, остро необходимых для разведки, что чрезвычайно затрудняет управление войсками противника. Смиренно прошу Ваше Королевское Высочество оказать армии наибольшую помощь Фарманов и Ньюпоров. Разведывательная работа летчиков незаменима» (23525).</w:t>
      </w:r>
    </w:p>
    <w:p w14:paraId="702BE562" w14:textId="77777777" w:rsidR="00EB46EB" w:rsidRPr="00DE096C" w:rsidRDefault="00EB46EB" w:rsidP="00D45A46">
      <w:pPr>
        <w:jc w:val="both"/>
        <w:rPr>
          <w:bCs/>
          <w:color w:val="002060"/>
          <w:sz w:val="16"/>
          <w:szCs w:val="16"/>
        </w:rPr>
      </w:pPr>
    </w:p>
    <w:p w14:paraId="02A150A1" w14:textId="5DEB4A29" w:rsidR="0056062A" w:rsidRPr="00DE096C" w:rsidRDefault="0056062A" w:rsidP="00D45A46">
      <w:pPr>
        <w:jc w:val="both"/>
        <w:rPr>
          <w:bCs/>
          <w:color w:val="002060"/>
          <w:sz w:val="16"/>
          <w:szCs w:val="16"/>
        </w:rPr>
      </w:pPr>
      <w:r w:rsidRPr="00DE096C">
        <w:rPr>
          <w:bCs/>
          <w:color w:val="002060"/>
          <w:sz w:val="16"/>
          <w:szCs w:val="16"/>
        </w:rPr>
        <w:t>31 августа (1</w:t>
      </w:r>
      <w:r w:rsidR="00EB46EB" w:rsidRPr="00DE096C">
        <w:rPr>
          <w:bCs/>
          <w:color w:val="002060"/>
          <w:sz w:val="16"/>
          <w:szCs w:val="16"/>
        </w:rPr>
        <w:t>3</w:t>
      </w:r>
      <w:r w:rsidRPr="00DE096C">
        <w:rPr>
          <w:bCs/>
          <w:color w:val="002060"/>
          <w:sz w:val="16"/>
          <w:szCs w:val="16"/>
        </w:rPr>
        <w:t xml:space="preserve"> сентября) 1914 г. командующий 8-й армией генерал Брусилов бьет челом Великому князю: "Настоящее время лишился совершенно воздушных аппаратов, столь драгоценных для разведок, что ставит управление войсками в крайне трудное положение. ...Покорно прошу Ваше императорское высочество оказать армии величайшую помощь "Фарманами" и "Ньюпорами". Деятельность летчиков в разведке незаменима." Просьба Брусилова была удовлетворена, и армия получила 4 самолета из состава Брест-Литовского крепостного авиаотряда. Однако таких просьб было множество, а дефицит самолетов и моторов стал хронической болезнью русской авиации до конца войны (20028).</w:t>
      </w:r>
    </w:p>
    <w:p w14:paraId="019EF128" w14:textId="77777777" w:rsidR="0056062A" w:rsidRPr="00DE096C" w:rsidRDefault="0056062A" w:rsidP="00D45A46">
      <w:pPr>
        <w:jc w:val="both"/>
        <w:rPr>
          <w:rStyle w:val="43"/>
          <w:rFonts w:ascii="Times New Roman" w:hAnsi="Times New Roman" w:cs="Times New Roman"/>
          <w:bCs/>
          <w:color w:val="002060"/>
          <w:sz w:val="16"/>
          <w:szCs w:val="16"/>
        </w:rPr>
      </w:pPr>
    </w:p>
    <w:p w14:paraId="5C3B9A78" w14:textId="6452C6BA"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31 августа (13 сентября) 1914 г. командующий 8-й армией генерал Брусилов бьет челом Великому князю: "Настоящее время лишился совершенно воздушных аппаратов, столь драгоценных для разведок, что ставит управление войсками в крайне трудное положение. ...Покорно прошу Ваше императорское высочество оказать армии величайшую помощь "Фарманами" и "Ньюпорами". Деятельность летчиков в разведке незаменима." Просьба Брусилова была удовлетворена, и армия получила 4 самолета из состава Брест-Литовского крепостного авиаотряда. Однако таких просьб было множество, а дефицит самолетов и моторов стал хронической болезнью русской авиации до конца войны (11278).</w:t>
      </w:r>
    </w:p>
    <w:p w14:paraId="75A1C8A1" w14:textId="77777777" w:rsidR="00B67D7C" w:rsidRPr="00DE096C" w:rsidRDefault="00B67D7C" w:rsidP="00D45A46">
      <w:pPr>
        <w:pStyle w:val="a3"/>
        <w:jc w:val="both"/>
        <w:rPr>
          <w:bCs/>
          <w:i w:val="0"/>
          <w:color w:val="002060"/>
          <w:spacing w:val="0"/>
          <w:kern w:val="0"/>
          <w:position w:val="0"/>
          <w:sz w:val="16"/>
          <w:szCs w:val="16"/>
        </w:rPr>
      </w:pPr>
    </w:p>
    <w:p w14:paraId="3120D7E9" w14:textId="4CDB5696" w:rsidR="006C3E3F" w:rsidRPr="00DE096C" w:rsidRDefault="006C3E3F" w:rsidP="00D45A46">
      <w:pPr>
        <w:jc w:val="both"/>
        <w:rPr>
          <w:bCs/>
          <w:color w:val="002060"/>
          <w:sz w:val="16"/>
          <w:szCs w:val="16"/>
        </w:rPr>
      </w:pPr>
      <w:r w:rsidRPr="00DE096C">
        <w:rPr>
          <w:bCs/>
          <w:color w:val="002060"/>
          <w:sz w:val="16"/>
          <w:szCs w:val="16"/>
        </w:rPr>
        <w:t xml:space="preserve">31 августа (13 сентября) 1914 г. командующий 8-й армией генерал Брусилов бьет челом Великому князю: "Настоящее время лишился совершенно воздушных аппаратов, столь драгоценных для разведок, что ставит управление войсками в крайне трудное положение. ...Покорно прошу Ваше императорское высочество оказать армии величайшую помощь "Фарманами" и "Ньюпорами". Деятельность летчиков в разведке незаменима." Просьба Брусилова была удовлетворена, и армия получила 4 самолета из состава Брест-Литовского крепостного авиаотряда. Однако таких просьб было множество, а дефицит самолетов и моторов стал хронической болезнью русской авиации до конца войны. К началу боевых действий в составе воздушного флота России насчитывался 221 летчик: 170 офицеров, 35 нижних чинов и 16 вольноопределяющихся (добровольцев). На 1 января 1915 г. потери летчиков составили 33 человека или 14,9% от общего состава. Из них 6 погибли от действий неприятеля, 5 - в авариях, 22 попали в плен и пропали без вести. Среди погибших: штабс-капитаны Грузинов, Нестеров, поручики Лемешко, Гудим, старший унтер-офицер Доброшинский и др. Пропали без вести: поручики Николаевский, Шамин, Машерек и др. Ранены или разбились при падении: капитан Витковский, гвардии штабс-капитан Мельницкий, штабс-капитан Мучник, поручики Городецкий, Корнидов, Павлов, доброволец Шпицберг. Некоторые из них, например, летчик-доброволец 16-го КАО Шпицберг, впоследствии скончались в госпитале. В скорбный список боевых потерь одним из первых попал военный летчик начальник 14-го КАО Ефграф Ефграфович Грузинов, смертельно раненный шрапнелью в воздухе во время выполнения боевого задания. 17 августа он вылетел на разведку района Кщонов-Пиляш-Ковице-Быхов-Люблин и обратно не вернулся. Самолет упал на вражеской территории, которую вскоре заняли русские войска. У села Быхово близ Янова были найдены свежая могила и разбитый "Ньюпор". В могиле обнаружили тело Грузинова, вопрос местных жителей и пленных австрийцев дал представление об обстоятельствах его гибели. Выяснилось, что самолет пролетал над австрийскими позициями на высоте 1000-1200 м и был обстрелян сначала пехотой, потом артиллерийской батареей, которая дала три залпа. Два первых цели не достигли. После третьего аппарат дрогнул, перевернулся и, сделав крутой вираж, врезался в землю с работающим мотором. Посмертно высочайшим приказом штабс-капитан Грузинов был награжден орденом Святого Георгия 4-й степени. Состоялись и первые воздушные бои. Таран и героическая гибель 26 августа военного летчика начальника 11-го КАО Петра Николаевича Нестерова открыли новую эпоху борьбы в воздухе. Из вооружения у русских авиаторов имелись только пистолеты "Маузер" и карабины. Хроника тех лет описывает несколько случаев воздушных боев. Так, 28 октября в окрестностях Петроково (под Варшавой) "появился неприятельский аэроплан. Через несколько минут поднялись два наших летчика и после воздушного боя </w:t>
      </w:r>
      <w:r w:rsidRPr="00DE096C">
        <w:rPr>
          <w:bCs/>
          <w:color w:val="002060"/>
          <w:sz w:val="16"/>
          <w:szCs w:val="16"/>
        </w:rPr>
        <w:lastRenderedPageBreak/>
        <w:t>сбросили "Таубе" на землю. Немецкие авиаторы разбились. Неприятельский аэроплан исковеркан". К сожалению, подтверждения этому газетному сообщению не нашлось. А вот воздушный бой и совместные действия с артиллерией, принесшие успех военному летчику Гродненского крепостного авиаотряда поручику Семенову, были подтверждены несколькими донесениями, хранящимися в Военно-историческом архиве. 27 августа Семенов с наблюдателем корнетом Николаевым при перелете через озеро Мейер, что в Восточной Пруссии, заметил неприятельский аэроплан, летевший к Летцену. Обойдя противника с правой стороны, Семенов атаковал его, заставил спуститься ниже и изменить направление полета в район русских позиций, где тот был обстрелян и около озера упал (11237).</w:t>
      </w:r>
    </w:p>
    <w:p w14:paraId="4AB12544" w14:textId="77777777" w:rsidR="006C3E3F" w:rsidRPr="00DE096C" w:rsidRDefault="006C3E3F" w:rsidP="00D45A46">
      <w:pPr>
        <w:jc w:val="both"/>
        <w:rPr>
          <w:bCs/>
          <w:color w:val="002060"/>
          <w:sz w:val="16"/>
          <w:szCs w:val="16"/>
        </w:rPr>
      </w:pPr>
    </w:p>
    <w:p w14:paraId="69D55943" w14:textId="77777777" w:rsidR="006A0592" w:rsidRPr="00B52707" w:rsidRDefault="006A0592" w:rsidP="006A0592">
      <w:pPr>
        <w:jc w:val="both"/>
        <w:rPr>
          <w:color w:val="0070C0"/>
          <w:sz w:val="16"/>
          <w:szCs w:val="16"/>
        </w:rPr>
      </w:pPr>
      <w:r w:rsidRPr="00B52707">
        <w:rPr>
          <w:color w:val="0070C0"/>
          <w:sz w:val="16"/>
          <w:szCs w:val="16"/>
        </w:rPr>
        <w:t>31 августа (13 сентября) 1914 г. командующий 8-И армией генерал Брусилов бьет челом Великому князю: "Настоящее время лишился совершенно воздушных аппаратов, столь драгоценных для разведок, что ставит управление войсками в крайне трудное положение. … Покорно прошу Ваше императорское высочество оказать армии величайшую помощь "Фарманами" и "Ньюпорами". Деятельность летчиков в разведке незаменима. " Просьба Брусилова была удовлетворена, и армия получила 4 самолета из состава Брест-Литовского крепостного авиаотряда. Однако таких просьб было множество, о дефицит самолетов и моторов стал хронической болезнью русской авиации до конца войны (25150).</w:t>
      </w:r>
    </w:p>
    <w:p w14:paraId="38CE532E" w14:textId="77777777" w:rsidR="006A0592" w:rsidRPr="00B52707" w:rsidRDefault="006A0592" w:rsidP="006A0592">
      <w:pPr>
        <w:jc w:val="both"/>
        <w:rPr>
          <w:color w:val="0070C0"/>
          <w:sz w:val="16"/>
          <w:szCs w:val="16"/>
        </w:rPr>
      </w:pPr>
    </w:p>
    <w:p w14:paraId="13BDCB50" w14:textId="77777777" w:rsidR="006A0592" w:rsidRPr="00DE096C" w:rsidRDefault="006A0592" w:rsidP="006A0592">
      <w:pPr>
        <w:jc w:val="both"/>
        <w:rPr>
          <w:bCs/>
          <w:color w:val="002060"/>
          <w:sz w:val="16"/>
          <w:szCs w:val="16"/>
          <w:lang w:bidi="en-US"/>
        </w:rPr>
      </w:pPr>
      <w:r w:rsidRPr="00DE096C">
        <w:rPr>
          <w:bCs/>
          <w:color w:val="002060"/>
          <w:sz w:val="16"/>
          <w:szCs w:val="16"/>
          <w:lang w:bidi="en-US"/>
        </w:rPr>
        <w:t>31 августа (13 сентября) 1914 г утром ИМ-</w:t>
      </w:r>
      <w:r w:rsidRPr="00DE096C">
        <w:rPr>
          <w:bCs/>
          <w:color w:val="002060"/>
          <w:sz w:val="16"/>
          <w:szCs w:val="16"/>
          <w:lang w:val="en-US" w:bidi="en-US"/>
        </w:rPr>
        <w:t>I</w:t>
      </w:r>
      <w:r w:rsidRPr="00DE096C">
        <w:rPr>
          <w:bCs/>
          <w:color w:val="002060"/>
          <w:sz w:val="16"/>
          <w:szCs w:val="16"/>
          <w:lang w:bidi="en-US"/>
        </w:rPr>
        <w:t xml:space="preserve"> под командованием Е.В. Руднева выполнял рейс Яблонна - Двинск, испытывая сильный встречный ветер и отказ двигателей. Они были вынуждены приземлиться возле Плюса, нанеся легкие повреждения кораблю. Ремонт занял двадцать один день, прежде чем ИМ-</w:t>
      </w:r>
      <w:r w:rsidRPr="00DE096C">
        <w:rPr>
          <w:bCs/>
          <w:color w:val="002060"/>
          <w:sz w:val="16"/>
          <w:szCs w:val="16"/>
          <w:lang w:val="en-US" w:bidi="en-US"/>
        </w:rPr>
        <w:t>I</w:t>
      </w:r>
      <w:r w:rsidRPr="00DE096C">
        <w:rPr>
          <w:bCs/>
          <w:color w:val="002060"/>
          <w:sz w:val="16"/>
          <w:szCs w:val="16"/>
          <w:lang w:bidi="en-US"/>
        </w:rPr>
        <w:t xml:space="preserve"> прибыл в Двинск (23525).</w:t>
      </w:r>
    </w:p>
    <w:p w14:paraId="732D735B" w14:textId="77777777" w:rsidR="006A0592" w:rsidRPr="00DE096C" w:rsidRDefault="006A0592" w:rsidP="006A0592">
      <w:pPr>
        <w:jc w:val="both"/>
        <w:rPr>
          <w:bCs/>
          <w:color w:val="002060"/>
          <w:sz w:val="16"/>
          <w:szCs w:val="16"/>
        </w:rPr>
      </w:pPr>
    </w:p>
    <w:p w14:paraId="5A9ABCED" w14:textId="6620EE6F"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31 августа (13 сентября) 1914 </w:t>
      </w:r>
      <w:r w:rsidR="00463DD2" w:rsidRPr="00DE096C">
        <w:rPr>
          <w:bCs/>
          <w:color w:val="002060"/>
          <w:sz w:val="16"/>
          <w:szCs w:val="16"/>
        </w:rPr>
        <w:t xml:space="preserve">г. </w:t>
      </w:r>
      <w:r w:rsidRPr="00DE096C">
        <w:rPr>
          <w:bCs/>
          <w:color w:val="002060"/>
          <w:sz w:val="16"/>
          <w:szCs w:val="16"/>
        </w:rPr>
        <w:t>в Киеве на Аскольдовой могиле в присутствии ногих тысяч людей состоялись торжественные похороны военного летчика Петра Николаевича Нестерова, геройски погибшего на фрон-е в воздушном бою 26 августа. Секретарь Киевского Общества воздухоплавания И.А.Родзевич, отмечая заслуги погибшего, сказал надгробной речи: "Пример Нестерова найдет подражателей, а имя его будет служить путеводной звездой в дальнейшем развитии русского воздухоплавания" (Киевские и петроградские газеты за 1-3 сентября 1914 г.).</w:t>
      </w:r>
    </w:p>
    <w:p w14:paraId="7D4EB46C" w14:textId="77777777" w:rsidR="00B67D7C" w:rsidRPr="00DE096C" w:rsidRDefault="00B67D7C" w:rsidP="00D45A46">
      <w:pPr>
        <w:shd w:val="clear" w:color="auto" w:fill="FFFFFF"/>
        <w:jc w:val="both"/>
        <w:rPr>
          <w:bCs/>
          <w:color w:val="002060"/>
          <w:sz w:val="16"/>
          <w:szCs w:val="16"/>
        </w:rPr>
      </w:pPr>
    </w:p>
    <w:p w14:paraId="1A859B84" w14:textId="77777777" w:rsidR="001D689A" w:rsidRPr="00DE096C" w:rsidRDefault="001D689A" w:rsidP="00D45A46">
      <w:pPr>
        <w:jc w:val="both"/>
        <w:rPr>
          <w:bCs/>
          <w:color w:val="002060"/>
          <w:sz w:val="16"/>
          <w:szCs w:val="16"/>
        </w:rPr>
      </w:pPr>
      <w:bookmarkStart w:id="147" w:name="bookmark4"/>
      <w:r w:rsidRPr="00DE096C">
        <w:rPr>
          <w:bCs/>
          <w:color w:val="002060"/>
          <w:sz w:val="16"/>
          <w:szCs w:val="16"/>
        </w:rPr>
        <w:t>31 августа (13 сентября) 1914 г. в Киеве на Аскольдовой могиле в присутствии много</w:t>
      </w:r>
      <w:bookmarkStart w:id="148" w:name="bookmark6"/>
      <w:bookmarkEnd w:id="147"/>
      <w:r w:rsidRPr="00DE096C">
        <w:rPr>
          <w:bCs/>
          <w:color w:val="002060"/>
          <w:sz w:val="16"/>
          <w:szCs w:val="16"/>
        </w:rPr>
        <w:t>тысячного населения состоялись торжественные похороны военного</w:t>
      </w:r>
      <w:bookmarkEnd w:id="148"/>
      <w:r w:rsidRPr="00DE096C">
        <w:rPr>
          <w:bCs/>
          <w:color w:val="002060"/>
          <w:sz w:val="16"/>
          <w:szCs w:val="16"/>
        </w:rPr>
        <w:t xml:space="preserve"> летчика Петра Николаевича Нестерова, геройски погибшего на фронте в воздушном бою 26 августа. Секретарь Киевского Общества воздухоплавания И.А.Родзевич, отмечая заслуги погибшего указал в надгробной речи: «пример Нестерова найдет подражателей, имя его будет служить путеводной звездой в дальнейшем развитии русского воздухоплавания»</w:t>
      </w:r>
    </w:p>
    <w:p w14:paraId="12ABDC1D" w14:textId="77777777" w:rsidR="001D689A" w:rsidRPr="00DE096C" w:rsidRDefault="001D689A" w:rsidP="00D45A46">
      <w:pPr>
        <w:jc w:val="both"/>
        <w:rPr>
          <w:bCs/>
          <w:color w:val="002060"/>
          <w:sz w:val="16"/>
          <w:szCs w:val="16"/>
        </w:rPr>
      </w:pPr>
      <w:r w:rsidRPr="00DE096C">
        <w:rPr>
          <w:bCs/>
          <w:color w:val="002060"/>
          <w:sz w:val="16"/>
          <w:szCs w:val="16"/>
        </w:rPr>
        <w:t>/Киевские и петроградские газеты за 1-3 сентября 1914/ (23320).</w:t>
      </w:r>
    </w:p>
    <w:p w14:paraId="6628111C" w14:textId="77777777" w:rsidR="001D689A" w:rsidRPr="00DE096C" w:rsidRDefault="001D689A" w:rsidP="00D45A46">
      <w:pPr>
        <w:jc w:val="both"/>
        <w:rPr>
          <w:bCs/>
          <w:color w:val="002060"/>
          <w:sz w:val="16"/>
          <w:szCs w:val="16"/>
        </w:rPr>
      </w:pPr>
    </w:p>
    <w:p w14:paraId="4F6C9BC1"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Морская авиация:</w:t>
      </w:r>
    </w:p>
    <w:p w14:paraId="14A01328" w14:textId="77777777" w:rsidR="00B67D7C" w:rsidRPr="00DE096C" w:rsidRDefault="00B67D7C" w:rsidP="00D45A46">
      <w:pPr>
        <w:shd w:val="clear" w:color="auto" w:fill="FFFFFF"/>
        <w:jc w:val="both"/>
        <w:rPr>
          <w:bCs/>
          <w:i/>
          <w:color w:val="002060"/>
          <w:sz w:val="16"/>
          <w:szCs w:val="16"/>
        </w:rPr>
      </w:pPr>
    </w:p>
    <w:p w14:paraId="466F3713" w14:textId="35E047B4" w:rsidR="00B67D7C" w:rsidRPr="00DE096C" w:rsidRDefault="00B67D7C" w:rsidP="00D45A46">
      <w:pPr>
        <w:jc w:val="both"/>
        <w:rPr>
          <w:bCs/>
          <w:color w:val="002060"/>
          <w:sz w:val="16"/>
          <w:szCs w:val="16"/>
        </w:rPr>
      </w:pPr>
      <w:r w:rsidRPr="00DE096C">
        <w:rPr>
          <w:bCs/>
          <w:color w:val="002060"/>
          <w:sz w:val="16"/>
          <w:szCs w:val="16"/>
        </w:rPr>
        <w:t xml:space="preserve">31 августа (13 сентября) </w:t>
      </w:r>
      <w:r w:rsidR="00463DD2" w:rsidRPr="00DE096C">
        <w:rPr>
          <w:bCs/>
          <w:color w:val="002060"/>
          <w:sz w:val="16"/>
          <w:szCs w:val="16"/>
        </w:rPr>
        <w:t xml:space="preserve">1914 г. </w:t>
      </w:r>
      <w:r w:rsidRPr="00DE096C">
        <w:rPr>
          <w:bCs/>
          <w:color w:val="002060"/>
          <w:sz w:val="16"/>
          <w:szCs w:val="16"/>
        </w:rPr>
        <w:t>в 13 час 15 минут Нагурский с Кузнецовым вылетели к Крестовой губе. Дул западный ветер до 7 метров в секунду. Низкие с разрывами облака сильно затрудняли ориентирование. Был момент, когда Нагурский сбился с курса, и опознал местность, лишь увидев под собой Новую Землю. Оказалось, что Нагурский долетел приблизительно до середины Новой Земли. После двух часов полета ветер стал южным, скорость полета при этом значительно снизилась. До Крестовой губы гидросамолет летел три часа с четвертью. Там летчики нашли приют на судне «Печора». Через полтора дня в губу пришла «Андромеда». Сделав два полета с пассажирами, Нагурский получил от начальника экспедиции приказание о разборке аэроплана.</w:t>
      </w:r>
    </w:p>
    <w:p w14:paraId="33A0BF80" w14:textId="77777777" w:rsidR="00B67D7C" w:rsidRPr="00DE096C" w:rsidRDefault="00B67D7C" w:rsidP="00D45A46">
      <w:pPr>
        <w:jc w:val="both"/>
        <w:rPr>
          <w:bCs/>
          <w:color w:val="002060"/>
          <w:sz w:val="16"/>
          <w:szCs w:val="16"/>
        </w:rPr>
      </w:pPr>
      <w:r w:rsidRPr="00DE096C">
        <w:rPr>
          <w:bCs/>
          <w:color w:val="002060"/>
          <w:sz w:val="16"/>
          <w:szCs w:val="16"/>
        </w:rPr>
        <w:t>В своем отчете командованию о проделанной работе поручик Я. И. Нагурский так сформулировал условия полетов самолетов в Арктике и их несомненную пользу:</w:t>
      </w:r>
    </w:p>
    <w:p w14:paraId="38DF650C" w14:textId="77777777" w:rsidR="00B67D7C" w:rsidRPr="00DE096C" w:rsidRDefault="00B67D7C" w:rsidP="00D45A46">
      <w:pPr>
        <w:jc w:val="both"/>
        <w:rPr>
          <w:bCs/>
          <w:i/>
          <w:color w:val="002060"/>
          <w:sz w:val="16"/>
          <w:szCs w:val="16"/>
        </w:rPr>
      </w:pPr>
      <w:r w:rsidRPr="00DE096C">
        <w:rPr>
          <w:bCs/>
          <w:i/>
          <w:color w:val="002060"/>
          <w:sz w:val="16"/>
          <w:szCs w:val="16"/>
        </w:rPr>
        <w:t>«....После произведенных мною полетов у Новой Земли я отметил следующее, что может сослужить пользу для будущей авиации в арктических странах.</w:t>
      </w:r>
    </w:p>
    <w:p w14:paraId="6D344523" w14:textId="77777777" w:rsidR="00B67D7C" w:rsidRPr="00DE096C" w:rsidRDefault="00B67D7C" w:rsidP="00D45A46">
      <w:pPr>
        <w:jc w:val="both"/>
        <w:rPr>
          <w:bCs/>
          <w:i/>
          <w:color w:val="002060"/>
          <w:sz w:val="16"/>
          <w:szCs w:val="16"/>
        </w:rPr>
      </w:pPr>
      <w:r w:rsidRPr="00DE096C">
        <w:rPr>
          <w:bCs/>
          <w:i/>
          <w:color w:val="002060"/>
          <w:sz w:val="16"/>
          <w:szCs w:val="16"/>
        </w:rPr>
        <w:t>8 воздушных слоях температура также изменчива в отрицательную сторону по сравнению с низкими слоями. Аэронавт Андрэ, который совершил научное путешествие к полюсу, утверждал, что ближе к. полюсу температура верхних слоев воздуха должна быть положительной по отношению к низшим слоям. Это предположение оказалось неверным.</w:t>
      </w:r>
    </w:p>
    <w:p w14:paraId="094D505F" w14:textId="77777777" w:rsidR="00B67D7C" w:rsidRPr="00DE096C" w:rsidRDefault="00B67D7C" w:rsidP="00D45A46">
      <w:pPr>
        <w:jc w:val="both"/>
        <w:rPr>
          <w:bCs/>
          <w:i/>
          <w:color w:val="002060"/>
          <w:sz w:val="16"/>
          <w:szCs w:val="16"/>
        </w:rPr>
      </w:pPr>
      <w:r w:rsidRPr="00DE096C">
        <w:rPr>
          <w:bCs/>
          <w:i/>
          <w:color w:val="002060"/>
          <w:sz w:val="16"/>
          <w:szCs w:val="16"/>
        </w:rPr>
        <w:t>В Северном Ледовитом океане очень часты изменения направления ветров, а также изменения направления ветров по небольшим расстояниям. Пролетая расстояние 220 верст, я встречал три-четыре направления ветров.</w:t>
      </w:r>
    </w:p>
    <w:p w14:paraId="7610FB57" w14:textId="77777777" w:rsidR="00B67D7C" w:rsidRPr="00DE096C" w:rsidRDefault="00B67D7C" w:rsidP="00D45A46">
      <w:pPr>
        <w:jc w:val="both"/>
        <w:rPr>
          <w:bCs/>
          <w:i/>
          <w:color w:val="002060"/>
          <w:sz w:val="16"/>
          <w:szCs w:val="16"/>
        </w:rPr>
      </w:pPr>
      <w:r w:rsidRPr="00DE096C">
        <w:rPr>
          <w:bCs/>
          <w:i/>
          <w:color w:val="002060"/>
          <w:sz w:val="16"/>
          <w:szCs w:val="16"/>
        </w:rPr>
        <w:t>Часты туманы и облачность.</w:t>
      </w:r>
    </w:p>
    <w:p w14:paraId="0487269B" w14:textId="77777777" w:rsidR="00B67D7C" w:rsidRPr="00DE096C" w:rsidRDefault="00B67D7C" w:rsidP="00D45A46">
      <w:pPr>
        <w:jc w:val="both"/>
        <w:rPr>
          <w:bCs/>
          <w:i/>
          <w:color w:val="002060"/>
          <w:sz w:val="16"/>
          <w:szCs w:val="16"/>
        </w:rPr>
      </w:pPr>
      <w:r w:rsidRPr="00DE096C">
        <w:rPr>
          <w:bCs/>
          <w:i/>
          <w:color w:val="002060"/>
          <w:sz w:val="16"/>
          <w:szCs w:val="16"/>
        </w:rPr>
        <w:t>В летнее время полеты возможны круглые сутки ввиду полного света ночью. Самым лучшим месяцем для летания в Северном Ледовитом океане, по сличении мной метеорологических данных, считаю май и июнь месяцы.</w:t>
      </w:r>
    </w:p>
    <w:p w14:paraId="4FE0AE4C" w14:textId="77777777" w:rsidR="00B67D7C" w:rsidRPr="00DE096C" w:rsidRDefault="00B67D7C" w:rsidP="00D45A46">
      <w:pPr>
        <w:jc w:val="both"/>
        <w:rPr>
          <w:bCs/>
          <w:i/>
          <w:color w:val="002060"/>
          <w:sz w:val="16"/>
          <w:szCs w:val="16"/>
        </w:rPr>
      </w:pPr>
      <w:r w:rsidRPr="00DE096C">
        <w:rPr>
          <w:bCs/>
          <w:i/>
          <w:color w:val="002060"/>
          <w:sz w:val="16"/>
          <w:szCs w:val="16"/>
        </w:rPr>
        <w:t>Контур берега Новой Земли в некоторых местах не сходен с картою.</w:t>
      </w:r>
    </w:p>
    <w:p w14:paraId="798B76F8" w14:textId="77777777" w:rsidR="00B67D7C" w:rsidRPr="00DE096C" w:rsidRDefault="00B67D7C" w:rsidP="00D45A46">
      <w:pPr>
        <w:jc w:val="both"/>
        <w:rPr>
          <w:bCs/>
          <w:i/>
          <w:color w:val="002060"/>
          <w:sz w:val="16"/>
          <w:szCs w:val="16"/>
        </w:rPr>
      </w:pPr>
      <w:r w:rsidRPr="00DE096C">
        <w:rPr>
          <w:bCs/>
          <w:i/>
          <w:color w:val="002060"/>
          <w:sz w:val="16"/>
          <w:szCs w:val="16"/>
        </w:rPr>
        <w:t>Следующие экспедиции следует снабжать гидроаэропланом, как можно более портативным, дабы легко помещался на судне, позволял быструю разборку и сборку и был как можно боже грузоподъемен. Особое внимание следует обратить на поплавки, которые должны иметь по крайней мере три продольных шпангоута. Имея крепкие поплавки с добавочными колесами, можно остановиться на одном шасси.</w:t>
      </w:r>
    </w:p>
    <w:p w14:paraId="765FEE5E" w14:textId="77777777" w:rsidR="00B67D7C" w:rsidRPr="00DE096C" w:rsidRDefault="00B67D7C" w:rsidP="00D45A46">
      <w:pPr>
        <w:jc w:val="both"/>
        <w:rPr>
          <w:bCs/>
          <w:i/>
          <w:color w:val="002060"/>
          <w:sz w:val="16"/>
          <w:szCs w:val="16"/>
        </w:rPr>
      </w:pPr>
      <w:r w:rsidRPr="00DE096C">
        <w:rPr>
          <w:bCs/>
          <w:i/>
          <w:color w:val="002060"/>
          <w:sz w:val="16"/>
          <w:szCs w:val="16"/>
        </w:rPr>
        <w:t>Следует брать запасные поплавки и побольше винтов: за один месяц моего летания лопнуло два винта. Гидроазроплан следует иметь выкрашенным в красный цвет, как более заметный среди белого.</w:t>
      </w:r>
    </w:p>
    <w:p w14:paraId="59488A1A" w14:textId="77777777" w:rsidR="00B67D7C" w:rsidRPr="00DE096C" w:rsidRDefault="00B67D7C" w:rsidP="00D45A46">
      <w:pPr>
        <w:jc w:val="both"/>
        <w:rPr>
          <w:bCs/>
          <w:i/>
          <w:color w:val="002060"/>
          <w:sz w:val="16"/>
          <w:szCs w:val="16"/>
        </w:rPr>
      </w:pPr>
      <w:r w:rsidRPr="00DE096C">
        <w:rPr>
          <w:bCs/>
          <w:i/>
          <w:color w:val="002060"/>
          <w:sz w:val="16"/>
          <w:szCs w:val="16"/>
        </w:rPr>
        <w:t>Летчик, идущий в экспедицию, должен обратить особое внимание на верхнюю одежду: сапоги должны быть особенно теплые и непромокаемые, куртку следует делать на гагачьем или лебяжьем пуху, поверх которой иметь романовский полушубок, брюки должны быть меховые, меховая шапка, желтые очки и две пары шерстяных перчаток.</w:t>
      </w:r>
    </w:p>
    <w:p w14:paraId="4EE6EE52" w14:textId="77777777" w:rsidR="00B67D7C" w:rsidRPr="00DE096C" w:rsidRDefault="00B67D7C" w:rsidP="00D45A46">
      <w:pPr>
        <w:jc w:val="both"/>
        <w:rPr>
          <w:bCs/>
          <w:i/>
          <w:color w:val="002060"/>
          <w:sz w:val="16"/>
          <w:szCs w:val="16"/>
        </w:rPr>
      </w:pPr>
      <w:r w:rsidRPr="00DE096C">
        <w:rPr>
          <w:bCs/>
          <w:i/>
          <w:color w:val="002060"/>
          <w:sz w:val="16"/>
          <w:szCs w:val="16"/>
        </w:rPr>
        <w:t>В полет следует забирать с собой следующее: винтовку с патронами, моток стального троса, который необходим для укрепления аппарата, а также для других целей ... Следует иметь с собой дымные ракеты с парашютами на случай дабы привлечь внимание, все необходимые запасные части мотора, малый инструмент и провизию.</w:t>
      </w:r>
    </w:p>
    <w:p w14:paraId="0C51A8B1" w14:textId="77777777" w:rsidR="00B67D7C" w:rsidRPr="00DE096C" w:rsidRDefault="00B67D7C" w:rsidP="00D45A46">
      <w:pPr>
        <w:jc w:val="both"/>
        <w:rPr>
          <w:bCs/>
          <w:i/>
          <w:color w:val="002060"/>
          <w:sz w:val="16"/>
          <w:szCs w:val="16"/>
        </w:rPr>
      </w:pPr>
      <w:r w:rsidRPr="00DE096C">
        <w:rPr>
          <w:bCs/>
          <w:i/>
          <w:color w:val="002060"/>
          <w:sz w:val="16"/>
          <w:szCs w:val="16"/>
        </w:rPr>
        <w:t>Летать в арктических странах, хотя и тяжело, но вполне возможно, и авиация в будущем может оказать гидрографии большую услугу в следующих случаях: при рекогносцировках льдов, в открытии новых земель, нахождении и нанесении на карту подводных преград, препятствующих судоходству. С высоты хорошо видны все рифы, банки, отмели.</w:t>
      </w:r>
    </w:p>
    <w:p w14:paraId="33C14D2B" w14:textId="77777777" w:rsidR="00B67D7C" w:rsidRPr="00DE096C" w:rsidRDefault="00B67D7C" w:rsidP="00D45A46">
      <w:pPr>
        <w:jc w:val="both"/>
        <w:rPr>
          <w:bCs/>
          <w:i/>
          <w:color w:val="002060"/>
          <w:sz w:val="16"/>
          <w:szCs w:val="16"/>
        </w:rPr>
      </w:pPr>
      <w:r w:rsidRPr="00DE096C">
        <w:rPr>
          <w:bCs/>
          <w:i/>
          <w:color w:val="002060"/>
          <w:sz w:val="16"/>
          <w:szCs w:val="16"/>
        </w:rPr>
        <w:t>Фотографии сверху могут дать точные данные для исправления и дополнения карт.</w:t>
      </w:r>
    </w:p>
    <w:p w14:paraId="19BA2D4F" w14:textId="77777777" w:rsidR="00B67D7C" w:rsidRPr="00DE096C" w:rsidRDefault="00B67D7C" w:rsidP="00D45A46">
      <w:pPr>
        <w:jc w:val="both"/>
        <w:rPr>
          <w:bCs/>
          <w:i/>
          <w:color w:val="002060"/>
          <w:sz w:val="16"/>
          <w:szCs w:val="16"/>
        </w:rPr>
      </w:pPr>
      <w:r w:rsidRPr="00DE096C">
        <w:rPr>
          <w:bCs/>
          <w:i/>
          <w:color w:val="002060"/>
          <w:sz w:val="16"/>
          <w:szCs w:val="16"/>
        </w:rPr>
        <w:t xml:space="preserve">Прошлые экспедиции, стремящиеся пройти Северный полюс, «се неудачны, ибо плохо учитывались силы и энергия (человеческий фактор, как сказали бы мы сейчас </w:t>
      </w:r>
      <w:r w:rsidRPr="00DE096C">
        <w:rPr>
          <w:bCs/>
          <w:color w:val="002060"/>
          <w:sz w:val="16"/>
          <w:szCs w:val="16"/>
        </w:rPr>
        <w:t xml:space="preserve">— </w:t>
      </w:r>
      <w:r w:rsidRPr="00DE096C">
        <w:rPr>
          <w:bCs/>
          <w:i/>
          <w:color w:val="002060"/>
          <w:sz w:val="16"/>
          <w:szCs w:val="16"/>
        </w:rPr>
        <w:t>А. Г.) человека с тысячеверстным расстоянием, какое нужно преодолеть, полным преград и самых тяжелых условий...</w:t>
      </w:r>
    </w:p>
    <w:p w14:paraId="1668FC81" w14:textId="77777777" w:rsidR="00B67D7C" w:rsidRPr="00DE096C" w:rsidRDefault="00B67D7C" w:rsidP="00D45A46">
      <w:pPr>
        <w:jc w:val="both"/>
        <w:rPr>
          <w:bCs/>
          <w:i/>
          <w:color w:val="002060"/>
          <w:sz w:val="16"/>
          <w:szCs w:val="16"/>
        </w:rPr>
      </w:pPr>
      <w:r w:rsidRPr="00DE096C">
        <w:rPr>
          <w:bCs/>
          <w:i/>
          <w:color w:val="002060"/>
          <w:sz w:val="16"/>
          <w:szCs w:val="16"/>
        </w:rPr>
        <w:t>Авиация, как колоссально быстрый способ передвижения, есть единственный способ для разрешения этой задачи».</w:t>
      </w:r>
    </w:p>
    <w:p w14:paraId="54AB9B4E" w14:textId="77777777" w:rsidR="00B67D7C" w:rsidRPr="00DE096C" w:rsidRDefault="00B67D7C" w:rsidP="00D45A46">
      <w:pPr>
        <w:shd w:val="clear" w:color="auto" w:fill="FFFFFF"/>
        <w:jc w:val="both"/>
        <w:rPr>
          <w:bCs/>
          <w:i/>
          <w:color w:val="002060"/>
          <w:sz w:val="16"/>
          <w:szCs w:val="16"/>
        </w:rPr>
      </w:pPr>
    </w:p>
    <w:p w14:paraId="5671F340" w14:textId="77777777" w:rsidR="00674AF1" w:rsidRPr="00DE096C" w:rsidRDefault="00674AF1" w:rsidP="00D45A46">
      <w:pPr>
        <w:jc w:val="both"/>
        <w:rPr>
          <w:bCs/>
          <w:i/>
          <w:color w:val="002060"/>
          <w:sz w:val="16"/>
          <w:szCs w:val="16"/>
        </w:rPr>
      </w:pPr>
      <w:r w:rsidRPr="00DE096C">
        <w:rPr>
          <w:bCs/>
          <w:i/>
          <w:color w:val="002060"/>
          <w:sz w:val="16"/>
          <w:szCs w:val="16"/>
        </w:rPr>
        <w:t>Армия:</w:t>
      </w:r>
    </w:p>
    <w:p w14:paraId="6C8DB803" w14:textId="77777777" w:rsidR="00674AF1" w:rsidRPr="00DE096C" w:rsidRDefault="00674AF1" w:rsidP="00D45A46">
      <w:pPr>
        <w:jc w:val="both"/>
        <w:rPr>
          <w:bCs/>
          <w:i/>
          <w:color w:val="002060"/>
          <w:sz w:val="16"/>
          <w:szCs w:val="16"/>
        </w:rPr>
      </w:pPr>
    </w:p>
    <w:p w14:paraId="13D93C29" w14:textId="3A19494E" w:rsidR="00674AF1" w:rsidRPr="00DE096C" w:rsidRDefault="00674AF1" w:rsidP="00D45A46">
      <w:pPr>
        <w:jc w:val="both"/>
        <w:rPr>
          <w:bCs/>
          <w:color w:val="002060"/>
          <w:sz w:val="16"/>
          <w:szCs w:val="16"/>
        </w:rPr>
      </w:pPr>
      <w:r w:rsidRPr="00DE096C">
        <w:rPr>
          <w:bCs/>
          <w:color w:val="002060"/>
          <w:sz w:val="16"/>
          <w:szCs w:val="16"/>
        </w:rPr>
        <w:t xml:space="preserve">31 августа </w:t>
      </w:r>
      <w:r w:rsidR="00463DD2" w:rsidRPr="00DE096C">
        <w:rPr>
          <w:bCs/>
          <w:color w:val="002060"/>
          <w:sz w:val="16"/>
          <w:szCs w:val="16"/>
        </w:rPr>
        <w:t xml:space="preserve">(13 сентября) </w:t>
      </w:r>
      <w:r w:rsidRPr="00DE096C">
        <w:rPr>
          <w:bCs/>
          <w:color w:val="002060"/>
          <w:sz w:val="16"/>
          <w:szCs w:val="16"/>
        </w:rPr>
        <w:t>в 1914 году русские войска выбивают австрийцев из деревни Гута, захватывая знамя венгерского полка (14755).</w:t>
      </w:r>
    </w:p>
    <w:p w14:paraId="0FE5A81F" w14:textId="77777777" w:rsidR="00674AF1" w:rsidRPr="00DE096C" w:rsidRDefault="00674AF1" w:rsidP="00D45A46">
      <w:pPr>
        <w:jc w:val="both"/>
        <w:rPr>
          <w:bCs/>
          <w:color w:val="002060"/>
          <w:sz w:val="16"/>
          <w:szCs w:val="16"/>
        </w:rPr>
      </w:pPr>
    </w:p>
    <w:p w14:paraId="786F5BB7" w14:textId="5D8235F9" w:rsidR="00674AF1" w:rsidRPr="00DE096C" w:rsidRDefault="00674AF1" w:rsidP="00D45A46">
      <w:pPr>
        <w:jc w:val="both"/>
        <w:rPr>
          <w:bCs/>
          <w:color w:val="002060"/>
          <w:sz w:val="16"/>
          <w:szCs w:val="16"/>
        </w:rPr>
      </w:pPr>
      <w:r w:rsidRPr="00DE096C">
        <w:rPr>
          <w:bCs/>
          <w:color w:val="002060"/>
          <w:sz w:val="16"/>
          <w:szCs w:val="16"/>
        </w:rPr>
        <w:t xml:space="preserve">31 августа </w:t>
      </w:r>
      <w:r w:rsidR="00463DD2" w:rsidRPr="00DE096C">
        <w:rPr>
          <w:bCs/>
          <w:color w:val="002060"/>
          <w:sz w:val="16"/>
          <w:szCs w:val="16"/>
        </w:rPr>
        <w:t xml:space="preserve">(13 сентября) </w:t>
      </w:r>
      <w:r w:rsidRPr="00DE096C">
        <w:rPr>
          <w:bCs/>
          <w:color w:val="002060"/>
          <w:sz w:val="16"/>
          <w:szCs w:val="16"/>
        </w:rPr>
        <w:t>в 1914 году в сражении у реки Гнилая Липа 3-й и 8-я русские армии нанесли поражение 2-й и 3-й австро-венгерским армиям (14755).</w:t>
      </w:r>
    </w:p>
    <w:p w14:paraId="631E6CFF" w14:textId="77777777" w:rsidR="00674AF1" w:rsidRPr="00DE096C" w:rsidRDefault="00674AF1" w:rsidP="00D45A46">
      <w:pPr>
        <w:jc w:val="both"/>
        <w:rPr>
          <w:bCs/>
          <w:color w:val="002060"/>
          <w:sz w:val="16"/>
          <w:szCs w:val="16"/>
        </w:rPr>
      </w:pPr>
    </w:p>
    <w:p w14:paraId="214853AC" w14:textId="77777777" w:rsidR="00B67D7C" w:rsidRPr="00DE096C" w:rsidRDefault="00B67D7C" w:rsidP="00D45A46">
      <w:pPr>
        <w:jc w:val="both"/>
        <w:rPr>
          <w:bCs/>
          <w:i/>
          <w:color w:val="002060"/>
          <w:sz w:val="16"/>
          <w:szCs w:val="16"/>
        </w:rPr>
      </w:pPr>
      <w:r w:rsidRPr="00DE096C">
        <w:rPr>
          <w:bCs/>
          <w:i/>
          <w:color w:val="002060"/>
          <w:sz w:val="16"/>
          <w:szCs w:val="16"/>
        </w:rPr>
        <w:t>Жизнь и внутреняя политика:</w:t>
      </w:r>
    </w:p>
    <w:p w14:paraId="6EBEA993" w14:textId="77777777" w:rsidR="00B67D7C" w:rsidRPr="00DE096C" w:rsidRDefault="00B67D7C" w:rsidP="00D45A46">
      <w:pPr>
        <w:jc w:val="both"/>
        <w:rPr>
          <w:bCs/>
          <w:i/>
          <w:color w:val="002060"/>
          <w:sz w:val="16"/>
          <w:szCs w:val="16"/>
        </w:rPr>
      </w:pPr>
    </w:p>
    <w:p w14:paraId="304298BE" w14:textId="312410C9" w:rsidR="000F5F6C" w:rsidRPr="00DE096C" w:rsidRDefault="000F5F6C" w:rsidP="00D45A46">
      <w:pPr>
        <w:jc w:val="both"/>
        <w:rPr>
          <w:bCs/>
          <w:color w:val="002060"/>
          <w:sz w:val="16"/>
          <w:szCs w:val="16"/>
          <w:lang w:bidi="en-US"/>
        </w:rPr>
      </w:pPr>
      <w:r w:rsidRPr="00DE096C">
        <w:rPr>
          <w:bCs/>
          <w:color w:val="002060"/>
          <w:sz w:val="16"/>
          <w:szCs w:val="16"/>
          <w:lang w:bidi="en-US"/>
        </w:rPr>
        <w:t>31 августа (13 сентября) 1914 г. царь приказал изменить название Санкт-Петербурга на Петроград, чтобы установить его славянскую идентичность. Были изменены и другие города с германскими названиями. В раннесоветский период 1918-1920 гг. был проведен аналогичный процесс смены названий городов, чтобы ликвидировать все следы старого царского режима (23525).</w:t>
      </w:r>
    </w:p>
    <w:p w14:paraId="05EA810D" w14:textId="77777777" w:rsidR="000F5F6C" w:rsidRPr="00DE096C" w:rsidRDefault="000F5F6C" w:rsidP="00D45A46">
      <w:pPr>
        <w:jc w:val="both"/>
        <w:rPr>
          <w:bCs/>
          <w:color w:val="002060"/>
          <w:sz w:val="16"/>
          <w:szCs w:val="16"/>
        </w:rPr>
      </w:pPr>
    </w:p>
    <w:p w14:paraId="237C602B" w14:textId="5F4476CC"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31 августа (13 сентября) 1915 г. </w:t>
      </w:r>
      <w:r w:rsidR="00463DD2" w:rsidRPr="00DE096C">
        <w:rPr>
          <w:bCs/>
          <w:i w:val="0"/>
          <w:color w:val="002060"/>
          <w:spacing w:val="0"/>
          <w:kern w:val="0"/>
          <w:position w:val="0"/>
          <w:sz w:val="16"/>
          <w:szCs w:val="16"/>
        </w:rPr>
        <w:t xml:space="preserve">на первом заседании Особого совещания </w:t>
      </w:r>
      <w:r w:rsidR="00463DD2" w:rsidRPr="00DE096C">
        <w:rPr>
          <w:bCs/>
          <w:color w:val="002060"/>
          <w:spacing w:val="0"/>
          <w:kern w:val="0"/>
          <w:position w:val="0"/>
          <w:sz w:val="16"/>
          <w:szCs w:val="16"/>
        </w:rPr>
        <w:t>по продовольствию</w:t>
      </w:r>
      <w:r w:rsidR="00463DD2" w:rsidRPr="00DE096C">
        <w:rPr>
          <w:bCs/>
          <w:i w:val="0"/>
          <w:color w:val="002060"/>
          <w:spacing w:val="0"/>
          <w:kern w:val="0"/>
          <w:position w:val="0"/>
          <w:sz w:val="16"/>
          <w:szCs w:val="16"/>
        </w:rPr>
        <w:t xml:space="preserve"> </w:t>
      </w:r>
      <w:r w:rsidRPr="00DE096C">
        <w:rPr>
          <w:bCs/>
          <w:i w:val="0"/>
          <w:color w:val="002060"/>
          <w:spacing w:val="0"/>
          <w:kern w:val="0"/>
          <w:position w:val="0"/>
          <w:sz w:val="16"/>
          <w:szCs w:val="16"/>
        </w:rPr>
        <w:t>А.В.Кривошеин в приветственном слове так определил задачи: «Важнейшая цель нашей работы — обеспечение своевременной заготовки и доставки продовольствия и фуража для армии. Цель эта должна быть достигнута во что бы то ни стало и ценою каких бы то ни было усилий и жертв, если только они понадобятся… Вторая общая задача совещания … это содействие к устранению чрезмерной дороговизны продуктов питания в наших столичных, городских и крупных торговых и промышленных центрах, снабжаемых привозными хлебами и другими продуктами».</w:t>
      </w:r>
    </w:p>
    <w:p w14:paraId="75821D85"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А.Н.Наумов (министр земледелия) конкретизировал эти цели следующим дополнением: «Забота о продовольствии является коренной для нас».</w:t>
      </w:r>
    </w:p>
    <w:p w14:paraId="1BB37799"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Для решения поставленных задач широкие полномочия были предоставлены председателю Особого совещания по продовольствию — министру земледелия. Он руководил всем продовольственным делом страны вне театра военных действий, производил через своих уполномоченных, губернаторов и другие органы на местах закупку продовольствия и фуража для армии (всеми способами и безо всякого ограничения суммы), он мог регулировать торговлю и цены. </w:t>
      </w:r>
    </w:p>
    <w:p w14:paraId="4EFFDADC"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lastRenderedPageBreak/>
        <w:t>Председатель также имел право применять общие и частные реквизиции скота, всякого рода продовольственных продуктов, фуража и семян и конфисковывать продовольственные продукты, распределяя их, назначал твердые цены, таксы и прочее. Председатель наделялся также правом по собственному усмотрению отменять все постановления местных властей в отношении правил торговли и снабжения городов.</w:t>
      </w:r>
    </w:p>
    <w:p w14:paraId="487BFF31"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Впоследствии, в рамках статьи 87 Основных законов, полномочия председателя Особого совещания были расширены, и ему было предоставлено право устанавливать в пределах империи или в отдельных ее районах, предельные цены на продажу продовольственных продуктов и фуража, обязательные для всех, в том числе и для располагающих особыми по сему предмету полномочиями.</w:t>
      </w:r>
    </w:p>
    <w:p w14:paraId="57F9C966"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Положением 27 ноября 1915 г. председателю Особого совещания было предоставлено право устанавливать предельные цены на предметы продовольствия, т.е. формально к нему перешла высшая власть в области продовольствия — вне театра военных действий. В районе военных действий хлебными заготовками ведал Главноуполномоченный по закупке хлеба для армии </w:t>
      </w:r>
      <w:r w:rsidRPr="00DE096C">
        <w:rPr>
          <w:bCs/>
          <w:color w:val="002060"/>
          <w:spacing w:val="0"/>
          <w:kern w:val="0"/>
          <w:position w:val="0"/>
          <w:sz w:val="16"/>
          <w:szCs w:val="16"/>
        </w:rPr>
        <w:t>(Хлебармия)</w:t>
      </w:r>
      <w:r w:rsidRPr="00DE096C">
        <w:rPr>
          <w:bCs/>
          <w:i w:val="0"/>
          <w:color w:val="002060"/>
          <w:spacing w:val="0"/>
          <w:kern w:val="0"/>
          <w:position w:val="0"/>
          <w:sz w:val="16"/>
          <w:szCs w:val="16"/>
        </w:rPr>
        <w:t xml:space="preserve"> — товарищ министра земледелия В.Г.Глинка.</w:t>
      </w:r>
    </w:p>
    <w:p w14:paraId="24B03CA7"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Возглавляемая им организация существовала до Особого совещания. Кроме Хлебармии действовали также главноуполномоченный по закупке мяса, жиров, овощей и других продуктов </w:t>
      </w:r>
      <w:r w:rsidRPr="00DE096C">
        <w:rPr>
          <w:bCs/>
          <w:color w:val="002060"/>
          <w:spacing w:val="0"/>
          <w:kern w:val="0"/>
          <w:position w:val="0"/>
          <w:sz w:val="16"/>
          <w:szCs w:val="16"/>
        </w:rPr>
        <w:t>(Заготосель)</w:t>
      </w:r>
      <w:r w:rsidRPr="00DE096C">
        <w:rPr>
          <w:bCs/>
          <w:i w:val="0"/>
          <w:color w:val="002060"/>
          <w:spacing w:val="0"/>
          <w:kern w:val="0"/>
          <w:position w:val="0"/>
          <w:sz w:val="16"/>
          <w:szCs w:val="16"/>
        </w:rPr>
        <w:t>, имевший свою канцелярию, и местные организации.</w:t>
      </w:r>
    </w:p>
    <w:p w14:paraId="18138A0B"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Таким образом, несмотря на формальное единство, фактически действовали в ведомстве продовольствия:</w:t>
      </w:r>
    </w:p>
    <w:p w14:paraId="40A38463"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Особое совещание по продовольствию во главе с председателем и исполнительным органом (Управление делами);</w:t>
      </w:r>
    </w:p>
    <w:p w14:paraId="5C1AB33D"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Главноуполномоченный по закупке хлеба со своей канцелярией и целым рядом комиссий (Хлебармия);</w:t>
      </w:r>
    </w:p>
    <w:p w14:paraId="075B0CDF"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Главноуполномоченный по закупке мяса, жиров, овощей со своей канцелярией (Заготосель) и соответственными при них комиссиями.</w:t>
      </w:r>
    </w:p>
    <w:p w14:paraId="4B097518"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В составе Особого совещания по продовольствию были образованы три комиссии:</w:t>
      </w:r>
    </w:p>
    <w:p w14:paraId="44DDE865"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 О снабжении армии и флота, а также сельского и городского населения хлебом и зерновым фуражом;</w:t>
      </w:r>
    </w:p>
    <w:p w14:paraId="102939E5"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 О снабжении армии и флота и городского населения мясом, маслом и сеном;</w:t>
      </w:r>
    </w:p>
    <w:p w14:paraId="189EB972" w14:textId="77777777" w:rsidR="00B67D7C" w:rsidRPr="00DE096C" w:rsidRDefault="00B67D7C" w:rsidP="00D45A46">
      <w:pPr>
        <w:pStyle w:val="a3"/>
        <w:jc w:val="both"/>
        <w:rPr>
          <w:bCs/>
          <w:i w:val="0"/>
          <w:color w:val="002060"/>
          <w:spacing w:val="0"/>
          <w:kern w:val="0"/>
          <w:position w:val="0"/>
          <w:sz w:val="16"/>
          <w:szCs w:val="16"/>
        </w:rPr>
      </w:pPr>
      <w:r w:rsidRPr="00DE096C">
        <w:rPr>
          <w:bCs/>
          <w:color w:val="002060"/>
          <w:spacing w:val="0"/>
          <w:kern w:val="0"/>
          <w:position w:val="0"/>
          <w:sz w:val="16"/>
          <w:szCs w:val="16"/>
        </w:rPr>
        <w:t>— О мерах борьбы с дороговизною предметов первой необходимости</w:t>
      </w:r>
      <w:r w:rsidRPr="00DE096C">
        <w:rPr>
          <w:bCs/>
          <w:i w:val="0"/>
          <w:color w:val="002060"/>
          <w:spacing w:val="0"/>
          <w:kern w:val="0"/>
          <w:position w:val="0"/>
          <w:sz w:val="16"/>
          <w:szCs w:val="16"/>
        </w:rPr>
        <w:t>.</w:t>
      </w:r>
    </w:p>
    <w:p w14:paraId="1C3D072F"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Затем к ним были присоединены особая экономическая и статистическая комиссия и специальная комиссия для выработки мер, направленных к сокращению потребления населением мяса, и комиссия об учете скота.</w:t>
      </w:r>
    </w:p>
    <w:p w14:paraId="6C495576"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Крупной частью аппарата Особого совещания было Центральное бюро по мукомолью. В области сахарного снабжения действовало </w:t>
      </w:r>
      <w:r w:rsidRPr="00DE096C">
        <w:rPr>
          <w:bCs/>
          <w:color w:val="002060"/>
          <w:spacing w:val="0"/>
          <w:kern w:val="0"/>
          <w:position w:val="0"/>
          <w:sz w:val="16"/>
          <w:szCs w:val="16"/>
        </w:rPr>
        <w:t>Центральное бюро по объединению закупок сахара (Центросахар)</w:t>
      </w:r>
      <w:r w:rsidRPr="00DE096C">
        <w:rPr>
          <w:bCs/>
          <w:i w:val="0"/>
          <w:color w:val="002060"/>
          <w:spacing w:val="0"/>
          <w:kern w:val="0"/>
          <w:position w:val="0"/>
          <w:sz w:val="16"/>
          <w:szCs w:val="16"/>
        </w:rPr>
        <w:t xml:space="preserve"> в Киеве, образованные 20 января 1916 г.</w:t>
      </w:r>
    </w:p>
    <w:p w14:paraId="54608355"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Именно к нему должны были направляться все требования по закупке сахара — как от центральных, так и от местных организаций. На местах еще имелись соляные комитеты.</w:t>
      </w:r>
    </w:p>
    <w:p w14:paraId="159B2A46"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На всех этих комиссиях лежала разработка порученных их ведению дел и представление по ним докладов Особому совещанию. Ведение делопроизводства во всех комиссиях Особого совещания возложено было на Управление делами Особого совещания.</w:t>
      </w:r>
    </w:p>
    <w:p w14:paraId="7CB18376"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В целях объединения и согласования деятельности учреждений, ведающих продовольственным делом, Особое совещание, признав, что деятельность органов, занимающихся этим делом, не должна приостанавливаться и им должно быть предоставлено безостановочное ведение текущих дел и исполнение возложенных на них обязанностей, оставляло за собой обязанность объединения и согласования всех мероприятий и оказания помощи в выполнении возложенных на них задач с применением особых полномочий. Созданные на местах институты уполномоченных были местными органами по продовольственному делу.</w:t>
      </w:r>
    </w:p>
    <w:p w14:paraId="410D435F"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Уполномоченные председателя Особого совещания по продовольствию, 36 из которых (при общем числе 67) были губернаторы, могли на основании статьи 12 Положения об Особом совещании образовывать совещания из лиц, участие которых ими признавалось полезным.</w:t>
      </w:r>
    </w:p>
    <w:p w14:paraId="34DE76F1"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В основном местными органами по продовольственному делу были три разряда уполномоченных: уполномоченные председателя Особого совещания по продовольственному делу, уполномоченные по закупке хлеба для армии (</w:t>
      </w:r>
      <w:r w:rsidRPr="00DE096C">
        <w:rPr>
          <w:bCs/>
          <w:color w:val="002060"/>
          <w:spacing w:val="0"/>
          <w:kern w:val="0"/>
          <w:position w:val="0"/>
          <w:sz w:val="16"/>
          <w:szCs w:val="16"/>
        </w:rPr>
        <w:t>Хлебармия</w:t>
      </w:r>
      <w:r w:rsidRPr="00DE096C">
        <w:rPr>
          <w:bCs/>
          <w:i w:val="0"/>
          <w:color w:val="002060"/>
          <w:spacing w:val="0"/>
          <w:kern w:val="0"/>
          <w:position w:val="0"/>
          <w:sz w:val="16"/>
          <w:szCs w:val="16"/>
        </w:rPr>
        <w:t>) и уполномоченные по закупке мяса, масла и овощей и т.п. (11270)</w:t>
      </w:r>
    </w:p>
    <w:p w14:paraId="5585D6D0" w14:textId="77777777" w:rsidR="00B67D7C" w:rsidRPr="00DE096C" w:rsidRDefault="00B67D7C" w:rsidP="00D45A46">
      <w:pPr>
        <w:pStyle w:val="a3"/>
        <w:jc w:val="both"/>
        <w:rPr>
          <w:bCs/>
          <w:i w:val="0"/>
          <w:color w:val="002060"/>
          <w:spacing w:val="0"/>
          <w:kern w:val="0"/>
          <w:position w:val="0"/>
          <w:sz w:val="16"/>
          <w:szCs w:val="16"/>
        </w:rPr>
      </w:pPr>
    </w:p>
    <w:p w14:paraId="0A8ECC8C" w14:textId="77777777" w:rsidR="00033CC4" w:rsidRPr="00DE096C" w:rsidRDefault="00033CC4" w:rsidP="00D45A46">
      <w:pPr>
        <w:jc w:val="both"/>
        <w:rPr>
          <w:bCs/>
          <w:i/>
          <w:color w:val="002060"/>
          <w:sz w:val="16"/>
          <w:szCs w:val="16"/>
        </w:rPr>
      </w:pPr>
      <w:r w:rsidRPr="00DE096C">
        <w:rPr>
          <w:bCs/>
          <w:i/>
          <w:color w:val="002060"/>
          <w:sz w:val="16"/>
          <w:szCs w:val="16"/>
        </w:rPr>
        <w:t>За рубежом:</w:t>
      </w:r>
    </w:p>
    <w:p w14:paraId="2349C850" w14:textId="77777777" w:rsidR="00033CC4" w:rsidRPr="00DE096C" w:rsidRDefault="00033CC4" w:rsidP="00D45A46">
      <w:pPr>
        <w:jc w:val="both"/>
        <w:rPr>
          <w:bCs/>
          <w:color w:val="002060"/>
          <w:sz w:val="16"/>
          <w:szCs w:val="16"/>
        </w:rPr>
      </w:pPr>
    </w:p>
    <w:p w14:paraId="60967A67" w14:textId="77777777" w:rsidR="00033CC4" w:rsidRPr="00DE096C" w:rsidRDefault="00033CC4" w:rsidP="00D45A46">
      <w:pPr>
        <w:jc w:val="both"/>
        <w:rPr>
          <w:bCs/>
          <w:color w:val="002060"/>
          <w:sz w:val="16"/>
          <w:szCs w:val="16"/>
        </w:rPr>
      </w:pPr>
      <w:r w:rsidRPr="00DE096C">
        <w:rPr>
          <w:rStyle w:val="ucoz-forum-post"/>
          <w:rFonts w:eastAsiaTheme="majorEastAsia"/>
          <w:bCs/>
          <w:color w:val="002060"/>
          <w:sz w:val="16"/>
          <w:szCs w:val="16"/>
        </w:rPr>
        <w:t xml:space="preserve">31 августа (13 сентября) </w:t>
      </w:r>
      <w:r w:rsidRPr="00DE096C">
        <w:rPr>
          <w:bCs/>
          <w:color w:val="002060"/>
          <w:sz w:val="16"/>
          <w:szCs w:val="16"/>
        </w:rPr>
        <w:t>в 1914 году (по 15 сентября) развернулось сражение на реке Эн (Aisne). Англо-французские войска, начав наступление в промежутке между 1-й и 2-й германскими армиями не добились возможного успеха. Сражение имело ограниченное значение, но знаменовало иной характер военных действий. Нужно было добиваться победы не в расчете на одну большую стратегическую опреацию, а на ряд операций (14768).</w:t>
      </w:r>
    </w:p>
    <w:p w14:paraId="07E2BD5A" w14:textId="77777777" w:rsidR="00033CC4" w:rsidRPr="00DE096C" w:rsidRDefault="00033CC4" w:rsidP="00D45A46">
      <w:pPr>
        <w:jc w:val="both"/>
        <w:rPr>
          <w:rStyle w:val="ucoz-forum-post"/>
          <w:rFonts w:eastAsiaTheme="majorEastAsia"/>
          <w:bCs/>
          <w:color w:val="002060"/>
          <w:sz w:val="16"/>
          <w:szCs w:val="16"/>
        </w:rPr>
      </w:pPr>
    </w:p>
    <w:p w14:paraId="2086E9CF" w14:textId="77777777" w:rsidR="00033CC4" w:rsidRPr="00DE096C" w:rsidRDefault="00033CC4" w:rsidP="00D45A46">
      <w:pPr>
        <w:jc w:val="both"/>
        <w:rPr>
          <w:bCs/>
          <w:color w:val="002060"/>
          <w:sz w:val="16"/>
          <w:szCs w:val="16"/>
        </w:rPr>
      </w:pPr>
      <w:r w:rsidRPr="00DE096C">
        <w:rPr>
          <w:rStyle w:val="ucoz-forum-post"/>
          <w:rFonts w:eastAsiaTheme="majorEastAsia"/>
          <w:bCs/>
          <w:color w:val="002060"/>
          <w:sz w:val="16"/>
          <w:szCs w:val="16"/>
        </w:rPr>
        <w:t xml:space="preserve">31 августа (13 сентября) </w:t>
      </w:r>
      <w:r w:rsidRPr="00DE096C">
        <w:rPr>
          <w:bCs/>
          <w:color w:val="002060"/>
          <w:sz w:val="16"/>
          <w:szCs w:val="16"/>
        </w:rPr>
        <w:t xml:space="preserve">в 1914 году первая победа Британии в подводной войне: подводная лодка Е-9 потопила германский крейсер "Хела". Немецкие подводники открыли счет побед </w:t>
      </w:r>
      <w:r w:rsidR="006D2A5D" w:rsidRPr="00DE096C">
        <w:rPr>
          <w:bCs/>
          <w:color w:val="002060"/>
          <w:sz w:val="16"/>
          <w:szCs w:val="16"/>
        </w:rPr>
        <w:t>23 августа (</w:t>
      </w:r>
      <w:r w:rsidRPr="00DE096C">
        <w:rPr>
          <w:bCs/>
          <w:color w:val="002060"/>
          <w:sz w:val="16"/>
          <w:szCs w:val="16"/>
        </w:rPr>
        <w:t>5 сентября</w:t>
      </w:r>
      <w:r w:rsidR="006D2A5D" w:rsidRPr="00DE096C">
        <w:rPr>
          <w:bCs/>
          <w:color w:val="002060"/>
          <w:sz w:val="16"/>
          <w:szCs w:val="16"/>
        </w:rPr>
        <w:t>)</w:t>
      </w:r>
      <w:r w:rsidRPr="00DE096C">
        <w:rPr>
          <w:bCs/>
          <w:color w:val="002060"/>
          <w:sz w:val="16"/>
          <w:szCs w:val="16"/>
        </w:rPr>
        <w:t>, пустив на дно британский крейсер "Патфайндер" (14768).</w:t>
      </w:r>
    </w:p>
    <w:p w14:paraId="72C461F1" w14:textId="77777777" w:rsidR="00033CC4" w:rsidRPr="00DE096C" w:rsidRDefault="00033CC4" w:rsidP="00D45A46">
      <w:pPr>
        <w:jc w:val="both"/>
        <w:rPr>
          <w:rStyle w:val="ucoz-forum-post"/>
          <w:rFonts w:eastAsiaTheme="majorEastAsia"/>
          <w:bCs/>
          <w:color w:val="002060"/>
          <w:sz w:val="16"/>
          <w:szCs w:val="16"/>
        </w:rPr>
      </w:pPr>
    </w:p>
    <w:p w14:paraId="72EE6025" w14:textId="77777777" w:rsidR="00F27E67" w:rsidRPr="00DE096C" w:rsidRDefault="00F27E67" w:rsidP="00D45A46">
      <w:pPr>
        <w:jc w:val="both"/>
        <w:rPr>
          <w:bCs/>
          <w:i/>
          <w:color w:val="002060"/>
          <w:sz w:val="16"/>
          <w:szCs w:val="16"/>
        </w:rPr>
      </w:pPr>
      <w:r w:rsidRPr="00DE096C">
        <w:rPr>
          <w:bCs/>
          <w:i/>
          <w:color w:val="002060"/>
          <w:sz w:val="16"/>
          <w:szCs w:val="16"/>
        </w:rPr>
        <w:t>Самолетостроение:</w:t>
      </w:r>
    </w:p>
    <w:p w14:paraId="3DEB668D" w14:textId="77777777" w:rsidR="00F27E67" w:rsidRPr="00DE096C" w:rsidRDefault="00F27E67" w:rsidP="00D45A46">
      <w:pPr>
        <w:jc w:val="both"/>
        <w:rPr>
          <w:bCs/>
          <w:i/>
          <w:color w:val="002060"/>
          <w:sz w:val="16"/>
          <w:szCs w:val="16"/>
        </w:rPr>
      </w:pPr>
    </w:p>
    <w:p w14:paraId="475F2519" w14:textId="23ECF8A6" w:rsidR="000F5F6C" w:rsidRPr="00DE096C" w:rsidRDefault="000F5F6C" w:rsidP="00D45A46">
      <w:pPr>
        <w:jc w:val="both"/>
        <w:rPr>
          <w:bCs/>
          <w:color w:val="002060"/>
          <w:sz w:val="16"/>
          <w:szCs w:val="16"/>
        </w:rPr>
      </w:pPr>
      <w:r w:rsidRPr="00DE096C">
        <w:rPr>
          <w:bCs/>
          <w:color w:val="002060"/>
          <w:sz w:val="16"/>
          <w:szCs w:val="16"/>
        </w:rPr>
        <w:t>К концу августа 1914 г. был со</w:t>
      </w:r>
      <w:r w:rsidRPr="00DE096C">
        <w:rPr>
          <w:bCs/>
          <w:color w:val="002060"/>
          <w:sz w:val="16"/>
          <w:szCs w:val="16"/>
        </w:rPr>
        <w:softHyphen/>
        <w:t>бран пер</w:t>
      </w:r>
      <w:r w:rsidRPr="00DE096C">
        <w:rPr>
          <w:bCs/>
          <w:color w:val="002060"/>
          <w:sz w:val="16"/>
          <w:szCs w:val="16"/>
        </w:rPr>
        <w:softHyphen/>
        <w:t>вый серийный бомбардировщик «Илья Муромец» с четырьмя двига</w:t>
      </w:r>
      <w:r w:rsidRPr="00DE096C">
        <w:rPr>
          <w:bCs/>
          <w:color w:val="002060"/>
          <w:sz w:val="16"/>
          <w:szCs w:val="16"/>
        </w:rPr>
        <w:softHyphen/>
        <w:t>телями «Аргус» по 140 л.с.,</w:t>
      </w:r>
      <w:r w:rsidR="0006581C">
        <w:rPr>
          <w:bCs/>
          <w:color w:val="002060"/>
          <w:sz w:val="16"/>
          <w:szCs w:val="16"/>
        </w:rPr>
        <w:t xml:space="preserve"> </w:t>
      </w:r>
      <w:r w:rsidRPr="00DE096C">
        <w:rPr>
          <w:bCs/>
          <w:color w:val="002060"/>
          <w:sz w:val="16"/>
          <w:szCs w:val="16"/>
        </w:rPr>
        <w:t>аналогичный «Киевскому». Он стал первым по-настоящему воен</w:t>
      </w:r>
      <w:r w:rsidRPr="00DE096C">
        <w:rPr>
          <w:bCs/>
          <w:color w:val="002060"/>
          <w:sz w:val="16"/>
          <w:szCs w:val="16"/>
        </w:rPr>
        <w:softHyphen/>
        <w:t>ным «Муромцем». Изначально на нём было установлено дополни</w:t>
      </w:r>
      <w:r w:rsidRPr="00DE096C">
        <w:rPr>
          <w:bCs/>
          <w:color w:val="002060"/>
          <w:sz w:val="16"/>
          <w:szCs w:val="16"/>
        </w:rPr>
        <w:softHyphen/>
        <w:t>тельное приборное оборудование, прицелы, кассеты для бомб, пуле</w:t>
      </w:r>
      <w:r w:rsidRPr="00DE096C">
        <w:rPr>
          <w:bCs/>
          <w:color w:val="002060"/>
          <w:sz w:val="16"/>
          <w:szCs w:val="16"/>
        </w:rPr>
        <w:softHyphen/>
        <w:t>мёты. На «Муромце» впервые по</w:t>
      </w:r>
      <w:r w:rsidRPr="00DE096C">
        <w:rPr>
          <w:bCs/>
          <w:color w:val="002060"/>
          <w:sz w:val="16"/>
          <w:szCs w:val="16"/>
        </w:rPr>
        <w:softHyphen/>
        <w:t>явились и опознавательные зна</w:t>
      </w:r>
      <w:r w:rsidRPr="00DE096C">
        <w:rPr>
          <w:bCs/>
          <w:color w:val="002060"/>
          <w:sz w:val="16"/>
          <w:szCs w:val="16"/>
        </w:rPr>
        <w:softHyphen/>
        <w:t>ки - огромный трехцветный наци</w:t>
      </w:r>
      <w:r w:rsidRPr="00DE096C">
        <w:rPr>
          <w:bCs/>
          <w:color w:val="002060"/>
          <w:sz w:val="16"/>
          <w:szCs w:val="16"/>
        </w:rPr>
        <w:softHyphen/>
        <w:t>ональный флаг, нанесенный по бортам самолёта, а затем и кокарды на крыльях. «Киевский» и пять по</w:t>
      </w:r>
      <w:r w:rsidRPr="00DE096C">
        <w:rPr>
          <w:bCs/>
          <w:color w:val="002060"/>
          <w:sz w:val="16"/>
          <w:szCs w:val="16"/>
        </w:rPr>
        <w:softHyphen/>
        <w:t>следующих «Муромцев» получили общее название «тип Б». Для всех «Б» не хватало немецких двигате</w:t>
      </w:r>
      <w:r w:rsidRPr="00DE096C">
        <w:rPr>
          <w:bCs/>
          <w:color w:val="002060"/>
          <w:sz w:val="16"/>
          <w:szCs w:val="16"/>
        </w:rPr>
        <w:softHyphen/>
        <w:t>лей «Аргус» и на четыре из них Си</w:t>
      </w:r>
      <w:r w:rsidRPr="00DE096C">
        <w:rPr>
          <w:bCs/>
          <w:color w:val="002060"/>
          <w:sz w:val="16"/>
          <w:szCs w:val="16"/>
        </w:rPr>
        <w:softHyphen/>
        <w:t>корскому пришлось ставить звез</w:t>
      </w:r>
      <w:r w:rsidRPr="00DE096C">
        <w:rPr>
          <w:bCs/>
          <w:color w:val="002060"/>
          <w:sz w:val="16"/>
          <w:szCs w:val="16"/>
        </w:rPr>
        <w:softHyphen/>
        <w:t>дообразные моторы «Сальмсон» в 200 л.с. и 130 л.с.</w:t>
      </w:r>
    </w:p>
    <w:p w14:paraId="281EFAB6" w14:textId="77777777" w:rsidR="000F5F6C" w:rsidRPr="00DE096C" w:rsidRDefault="000F5F6C" w:rsidP="00D45A46">
      <w:pPr>
        <w:jc w:val="both"/>
        <w:rPr>
          <w:bCs/>
          <w:color w:val="002060"/>
          <w:sz w:val="16"/>
          <w:szCs w:val="16"/>
        </w:rPr>
      </w:pPr>
      <w:r w:rsidRPr="00DE096C">
        <w:rPr>
          <w:bCs/>
          <w:color w:val="002060"/>
          <w:sz w:val="16"/>
          <w:szCs w:val="16"/>
        </w:rPr>
        <w:t>Серийный «Муромец» немедлен</w:t>
      </w:r>
      <w:r w:rsidRPr="00DE096C">
        <w:rPr>
          <w:bCs/>
          <w:color w:val="002060"/>
          <w:sz w:val="16"/>
          <w:szCs w:val="16"/>
        </w:rPr>
        <w:softHyphen/>
        <w:t>но был передан команде опытного пилота штабс-капитана Е.В. Рудне</w:t>
      </w:r>
      <w:r w:rsidRPr="00DE096C">
        <w:rPr>
          <w:bCs/>
          <w:color w:val="002060"/>
          <w:sz w:val="16"/>
          <w:szCs w:val="16"/>
        </w:rPr>
        <w:softHyphen/>
        <w:t>ва. Пара дней тренировок под руко</w:t>
      </w:r>
      <w:r w:rsidRPr="00DE096C">
        <w:rPr>
          <w:bCs/>
          <w:color w:val="002060"/>
          <w:sz w:val="16"/>
          <w:szCs w:val="16"/>
        </w:rPr>
        <w:softHyphen/>
        <w:t>водством Сикорского, и 31 августа Руднев после торжественного мо</w:t>
      </w:r>
      <w:r w:rsidRPr="00DE096C">
        <w:rPr>
          <w:bCs/>
          <w:color w:val="002060"/>
          <w:sz w:val="16"/>
          <w:szCs w:val="16"/>
        </w:rPr>
        <w:softHyphen/>
        <w:t>лебна вылетел в Белосток, в распо</w:t>
      </w:r>
      <w:r w:rsidRPr="00DE096C">
        <w:rPr>
          <w:bCs/>
          <w:color w:val="002060"/>
          <w:sz w:val="16"/>
          <w:szCs w:val="16"/>
        </w:rPr>
        <w:softHyphen/>
        <w:t>ряжение штаба Северо-Западного фронта. Из-за нелётной погоды и поломок в пути к месту назначе</w:t>
      </w:r>
      <w:r w:rsidRPr="00DE096C">
        <w:rPr>
          <w:bCs/>
          <w:color w:val="002060"/>
          <w:sz w:val="16"/>
          <w:szCs w:val="16"/>
        </w:rPr>
        <w:softHyphen/>
        <w:t>ния лётчик смог добраться только к концу сентября и, вместо того, чтобы немедленно приступить к боевой работе, начал бомбарди</w:t>
      </w:r>
      <w:r w:rsidRPr="00DE096C">
        <w:rPr>
          <w:bCs/>
          <w:color w:val="002060"/>
          <w:sz w:val="16"/>
          <w:szCs w:val="16"/>
        </w:rPr>
        <w:softHyphen/>
        <w:t>ровать ГВТУ жалобами на недостат</w:t>
      </w:r>
      <w:r w:rsidRPr="00DE096C">
        <w:rPr>
          <w:bCs/>
          <w:color w:val="002060"/>
          <w:sz w:val="16"/>
          <w:szCs w:val="16"/>
        </w:rPr>
        <w:softHyphen/>
        <w:t>ки конструкции самолёта. Не лучше дела обстояли и со вторым серий</w:t>
      </w:r>
      <w:r w:rsidRPr="00DE096C">
        <w:rPr>
          <w:bCs/>
          <w:color w:val="002060"/>
          <w:sz w:val="16"/>
          <w:szCs w:val="16"/>
        </w:rPr>
        <w:softHyphen/>
        <w:t>ным «Муромцем». Поручик Панкра</w:t>
      </w:r>
      <w:r w:rsidRPr="00DE096C">
        <w:rPr>
          <w:bCs/>
          <w:color w:val="002060"/>
          <w:sz w:val="16"/>
          <w:szCs w:val="16"/>
        </w:rPr>
        <w:softHyphen/>
        <w:t>тьев вылетел на фронт 24 сентября, но вскоре повредил самолёт при вынужденной посадке. В Брест ко</w:t>
      </w:r>
      <w:r w:rsidRPr="00DE096C">
        <w:rPr>
          <w:bCs/>
          <w:color w:val="002060"/>
          <w:sz w:val="16"/>
          <w:szCs w:val="16"/>
        </w:rPr>
        <w:softHyphen/>
        <w:t>рабль ему пришлось доставлять по железной дороге в разобранном виде (23469).</w:t>
      </w:r>
    </w:p>
    <w:p w14:paraId="4784EEA9" w14:textId="77777777" w:rsidR="000F5F6C" w:rsidRPr="00DE096C" w:rsidRDefault="000F5F6C" w:rsidP="00D45A46">
      <w:pPr>
        <w:jc w:val="both"/>
        <w:rPr>
          <w:bCs/>
          <w:color w:val="002060"/>
          <w:sz w:val="16"/>
          <w:szCs w:val="16"/>
          <w:lang w:bidi="ru-RU"/>
        </w:rPr>
      </w:pPr>
    </w:p>
    <w:p w14:paraId="0493FF3B" w14:textId="77777777" w:rsidR="00B86EDA" w:rsidRPr="00B52707" w:rsidRDefault="00B86EDA" w:rsidP="00B86EDA">
      <w:pPr>
        <w:jc w:val="both"/>
        <w:rPr>
          <w:color w:val="0070C0"/>
          <w:sz w:val="16"/>
          <w:szCs w:val="16"/>
        </w:rPr>
      </w:pPr>
      <w:r w:rsidRPr="00B52707">
        <w:rPr>
          <w:color w:val="0070C0"/>
          <w:sz w:val="16"/>
          <w:szCs w:val="16"/>
        </w:rPr>
        <w:t>К концу августа 1914 г. был собран аналогичный «Киевскому» первый серийный бомбардировщик «Илья Муромец». Он стал первым по-настоящему военным «муромцем».</w:t>
      </w:r>
    </w:p>
    <w:p w14:paraId="3CB33F38" w14:textId="77777777" w:rsidR="00B86EDA" w:rsidRPr="00B52707" w:rsidRDefault="00B86EDA" w:rsidP="00B86EDA">
      <w:pPr>
        <w:jc w:val="both"/>
        <w:rPr>
          <w:color w:val="0070C0"/>
          <w:sz w:val="16"/>
          <w:szCs w:val="16"/>
        </w:rPr>
      </w:pPr>
      <w:r w:rsidRPr="00B52707">
        <w:rPr>
          <w:color w:val="0070C0"/>
          <w:sz w:val="16"/>
          <w:szCs w:val="16"/>
        </w:rPr>
        <w:t>«Илья Муромец Киевский» (ИМ-Б Киевский, серия Б) - первая серийная модификация. Название дано в честь перелета первой машины этой версии по маршруту Петербург - Киев 16-17 июня 1914 г. Цельнодеревянный многостоечный биплан с полотняной обшивкой. Двигатели «Argus» (2 по 140 и 2 по 125 л.с.) или «Salmson» (2 по 200 и 2 по 135 л.с.). Экипаж 4 человека. Вооружение изначально не устанавливалось. Построено 6 экземпляров: 2 с моторами «Argus» и 4 с моторами «Salmson». Самолеты «Илья Муромец» серии «Б» применялись главным образом в качестве учебных до середины 1915 г. (24965).</w:t>
      </w:r>
    </w:p>
    <w:p w14:paraId="438D1771" w14:textId="77777777" w:rsidR="00B86EDA" w:rsidRPr="00B52707" w:rsidRDefault="00B86EDA" w:rsidP="00B86EDA">
      <w:pPr>
        <w:jc w:val="both"/>
        <w:rPr>
          <w:color w:val="0070C0"/>
          <w:sz w:val="16"/>
          <w:szCs w:val="16"/>
        </w:rPr>
      </w:pPr>
    </w:p>
    <w:p w14:paraId="0AC9F37C" w14:textId="77777777" w:rsidR="00F27E67" w:rsidRPr="00DE096C" w:rsidRDefault="00F27E67" w:rsidP="00D45A46">
      <w:pPr>
        <w:jc w:val="both"/>
        <w:rPr>
          <w:bCs/>
          <w:color w:val="002060"/>
          <w:sz w:val="16"/>
          <w:szCs w:val="16"/>
        </w:rPr>
      </w:pPr>
      <w:r w:rsidRPr="00DE096C">
        <w:rPr>
          <w:bCs/>
          <w:color w:val="002060"/>
          <w:sz w:val="16"/>
          <w:szCs w:val="16"/>
        </w:rPr>
        <w:t>К концу августа 1914 авиационный инженер Балтийского флота П.А. Шишков изучил проект Гаккеля, представленный Балтийским заводом, и дал положительный отзыв, особо отметив, что с учетом большого опыта Гаккеля аппарат обещал дать хорошие результаты, а Балтийский за</w:t>
      </w:r>
      <w:r w:rsidRPr="00DE096C">
        <w:rPr>
          <w:bCs/>
          <w:color w:val="002060"/>
          <w:sz w:val="16"/>
          <w:szCs w:val="16"/>
        </w:rPr>
        <w:softHyphen/>
        <w:t>вод, являясь солидным промышленным предприятием, мог справиться с постройкой машины. По Шишкову, гидроаэроплан по внешнему виду напоминал летающую лодку Кертисса «Америка», но имел более удачно расположенные двигатели с редукторами, работавшими на уменьшение оборотов. Будучи весьма продуманным в аэродинамиче</w:t>
      </w:r>
      <w:r w:rsidRPr="00DE096C">
        <w:rPr>
          <w:bCs/>
          <w:color w:val="002060"/>
          <w:sz w:val="16"/>
          <w:szCs w:val="16"/>
        </w:rPr>
        <w:softHyphen/>
        <w:t>ском плане, он весил 2880 кг при поверхности крыльев в 98,00 кв.м и общей мощно</w:t>
      </w:r>
      <w:r w:rsidRPr="00DE096C">
        <w:rPr>
          <w:bCs/>
          <w:color w:val="002060"/>
          <w:sz w:val="16"/>
          <w:szCs w:val="16"/>
        </w:rPr>
        <w:softHyphen/>
        <w:t>сти моторов в 300 л.с. МГШ имел все основания полагать, что Балтийский завод дей</w:t>
      </w:r>
      <w:r w:rsidRPr="00DE096C">
        <w:rPr>
          <w:bCs/>
          <w:color w:val="002060"/>
          <w:sz w:val="16"/>
          <w:szCs w:val="16"/>
        </w:rPr>
        <w:softHyphen/>
        <w:t>ствительно был в состоянии достичь больших успехов, чем какая-нибудь не слишком хорошо оборудованная и снабжаемая частная фирма (15782).</w:t>
      </w:r>
    </w:p>
    <w:p w14:paraId="008EA1BC" w14:textId="77777777" w:rsidR="00F27E67" w:rsidRPr="00DE096C" w:rsidRDefault="00F27E67" w:rsidP="00D45A46">
      <w:pPr>
        <w:jc w:val="both"/>
        <w:rPr>
          <w:bCs/>
          <w:color w:val="002060"/>
          <w:sz w:val="16"/>
          <w:szCs w:val="16"/>
        </w:rPr>
      </w:pPr>
    </w:p>
    <w:p w14:paraId="7ADF59EC"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Другие оборонные отрасли:</w:t>
      </w:r>
    </w:p>
    <w:p w14:paraId="6589AE84" w14:textId="77777777" w:rsidR="00B67D7C" w:rsidRPr="00DE096C" w:rsidRDefault="00B67D7C" w:rsidP="00D45A46">
      <w:pPr>
        <w:pStyle w:val="a3"/>
        <w:jc w:val="both"/>
        <w:rPr>
          <w:bCs/>
          <w:color w:val="002060"/>
          <w:spacing w:val="0"/>
          <w:kern w:val="0"/>
          <w:position w:val="0"/>
          <w:sz w:val="16"/>
          <w:szCs w:val="16"/>
        </w:rPr>
      </w:pPr>
    </w:p>
    <w:p w14:paraId="6DF8E607" w14:textId="77777777" w:rsidR="00587176" w:rsidRPr="00DE096C" w:rsidRDefault="00587176" w:rsidP="00D45A46">
      <w:pPr>
        <w:pStyle w:val="ae"/>
        <w:spacing w:before="0" w:beforeAutospacing="0" w:after="0" w:afterAutospacing="0"/>
        <w:jc w:val="both"/>
        <w:rPr>
          <w:bCs/>
          <w:color w:val="002060"/>
          <w:sz w:val="16"/>
          <w:szCs w:val="16"/>
        </w:rPr>
      </w:pPr>
      <w:r w:rsidRPr="00DE096C">
        <w:rPr>
          <w:bCs/>
          <w:color w:val="002060"/>
          <w:sz w:val="16"/>
          <w:szCs w:val="16"/>
        </w:rPr>
        <w:t>В конце августа – начала сентября 1914 года появилась появилась первая усилительная лампа РОБТиТ конструкции Н.Д. Папалекси, когда были изготовлены газонаполненные лампы английского типа (Раунда). Позднее эти лампы применялись для комплектации радиостанций завода РОБТиТ с использованием материалов и помощи от англичан.</w:t>
      </w:r>
    </w:p>
    <w:p w14:paraId="009D7FDA" w14:textId="77777777" w:rsidR="00587176" w:rsidRPr="00DE096C" w:rsidRDefault="00587176" w:rsidP="00D45A46">
      <w:pPr>
        <w:pStyle w:val="ae"/>
        <w:spacing w:before="0" w:beforeAutospacing="0" w:after="0" w:afterAutospacing="0"/>
        <w:jc w:val="both"/>
        <w:rPr>
          <w:bCs/>
          <w:color w:val="002060"/>
          <w:sz w:val="16"/>
          <w:szCs w:val="16"/>
        </w:rPr>
      </w:pPr>
      <w:r w:rsidRPr="00DE096C">
        <w:rPr>
          <w:bCs/>
          <w:color w:val="002060"/>
          <w:sz w:val="16"/>
          <w:szCs w:val="16"/>
        </w:rPr>
        <w:t>Так как на заводе РОБТиТ не было стеклодувного и вакуумного производства, Н.Д. Папалекси обратился за помощью к Н.А. Федорицкому. Здесь в 1916 г. было освоено изготовление стеклянных баллонов, припаивание к баллону необходимых отростков, крепление в нем металлических частей, удаление из баллона воздуха, снабжение наружной арматурой. Так и получилось, что именно на предприятии Федорицкого стали выпускаться радиолампы («катодные реле» по терминологии того времени).</w:t>
      </w:r>
    </w:p>
    <w:p w14:paraId="353E717D" w14:textId="77777777" w:rsidR="00587176" w:rsidRPr="00DE096C" w:rsidRDefault="00587176" w:rsidP="00D45A46">
      <w:pPr>
        <w:pStyle w:val="ae"/>
        <w:spacing w:before="0" w:beforeAutospacing="0" w:after="0" w:afterAutospacing="0"/>
        <w:jc w:val="both"/>
        <w:rPr>
          <w:bCs/>
          <w:color w:val="002060"/>
          <w:sz w:val="16"/>
          <w:szCs w:val="16"/>
        </w:rPr>
      </w:pPr>
      <w:r w:rsidRPr="00DE096C">
        <w:rPr>
          <w:bCs/>
          <w:color w:val="002060"/>
          <w:sz w:val="16"/>
          <w:szCs w:val="16"/>
        </w:rPr>
        <w:t>Выпуск этих ламп продолжался на заводе вплоть до 1918 г (15736).</w:t>
      </w:r>
    </w:p>
    <w:p w14:paraId="37949118" w14:textId="77777777" w:rsidR="00587176" w:rsidRPr="00DE096C" w:rsidRDefault="00587176" w:rsidP="00D45A46">
      <w:pPr>
        <w:pStyle w:val="ae"/>
        <w:spacing w:before="0" w:beforeAutospacing="0" w:after="0" w:afterAutospacing="0"/>
        <w:jc w:val="both"/>
        <w:rPr>
          <w:bCs/>
          <w:color w:val="002060"/>
          <w:sz w:val="16"/>
          <w:szCs w:val="16"/>
        </w:rPr>
      </w:pPr>
    </w:p>
    <w:p w14:paraId="598F0C0A" w14:textId="1FD0F999" w:rsidR="00B67D7C" w:rsidRPr="00DE096C" w:rsidRDefault="00B54189"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В</w:t>
      </w:r>
      <w:r w:rsidR="00B67D7C" w:rsidRPr="00DE096C">
        <w:rPr>
          <w:bCs/>
          <w:i w:val="0"/>
          <w:color w:val="002060"/>
          <w:spacing w:val="0"/>
          <w:kern w:val="0"/>
          <w:position w:val="0"/>
          <w:sz w:val="16"/>
          <w:szCs w:val="16"/>
        </w:rPr>
        <w:t xml:space="preserve"> конце августа и в начале сентября 1914 г. выяснили колоссальную потребность в 76-мм пушечных патронах, далеко превзошедшую самые осторожные расчеты. Произведенное батареями Юго-западного фронта расходование до 1.000 патронов на пушку и требование высылки по 1,5 млн. пушечных патронов в месяц свиде-</w:t>
      </w:r>
      <w:r w:rsidR="00B67D7C" w:rsidRPr="00DE096C">
        <w:rPr>
          <w:bCs/>
          <w:i w:val="0"/>
          <w:color w:val="002060"/>
          <w:spacing w:val="0"/>
          <w:kern w:val="0"/>
          <w:position w:val="0"/>
          <w:sz w:val="16"/>
          <w:szCs w:val="16"/>
        </w:rPr>
        <w:lastRenderedPageBreak/>
        <w:t xml:space="preserve">тельствовали, что ни Штаб верховного главнокомандующего, ни высшие войсковые начальники не знали о размере существовавшего запаса на время большой войны по расчетам ГУГШ, ни о возможном успехе работы заводов по восстановлению запасов. </w:t>
      </w:r>
    </w:p>
    <w:p w14:paraId="5FCDB459" w14:textId="2F042EA3"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Для начальника ГАУ "ясно обрисовалось беспомощное состояние армий Юго-западного фронта, имеющих полевую артиллерию, обреченную на бездействие в продолжение многих месяцев", и необходимость принятия всех мер к немедленному заказу пушечных патронов в частной промышленности в России и за границей.</w:t>
      </w:r>
    </w:p>
    <w:p w14:paraId="718C9691"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Одновременно потребовалась усиленная работа ГАУ для вооружения новых непредвиденных формирований строевых частей на замену погибших в сражениях или взятых в плен, на усиление действующей армии тяжелой и осадной артиллерией и пр. (11483).</w:t>
      </w:r>
    </w:p>
    <w:p w14:paraId="39792985" w14:textId="77777777" w:rsidR="00B67D7C" w:rsidRPr="00DE096C" w:rsidRDefault="00B67D7C" w:rsidP="00D45A46">
      <w:pPr>
        <w:pStyle w:val="a3"/>
        <w:jc w:val="both"/>
        <w:rPr>
          <w:bCs/>
          <w:i w:val="0"/>
          <w:color w:val="002060"/>
          <w:spacing w:val="0"/>
          <w:kern w:val="0"/>
          <w:position w:val="0"/>
          <w:sz w:val="16"/>
          <w:szCs w:val="16"/>
        </w:rPr>
      </w:pPr>
    </w:p>
    <w:p w14:paraId="4EBB9DCA" w14:textId="153EEE36" w:rsidR="00B54189" w:rsidRPr="00DE096C" w:rsidRDefault="00B67D7C" w:rsidP="00D45A46">
      <w:pPr>
        <w:shd w:val="clear" w:color="auto" w:fill="FFFFFF"/>
        <w:jc w:val="both"/>
        <w:rPr>
          <w:bCs/>
          <w:color w:val="002060"/>
          <w:sz w:val="16"/>
          <w:szCs w:val="16"/>
        </w:rPr>
      </w:pPr>
      <w:r w:rsidRPr="00DE096C">
        <w:rPr>
          <w:bCs/>
          <w:color w:val="002060"/>
          <w:sz w:val="16"/>
          <w:szCs w:val="16"/>
        </w:rPr>
        <w:t>В России к началу войны на Путиловском заводе по инициативе капитана ГАУ Тарнавского (предложившего прицел и механизм рас</w:t>
      </w:r>
      <w:r w:rsidRPr="00DE096C">
        <w:rPr>
          <w:bCs/>
          <w:color w:val="002060"/>
          <w:sz w:val="16"/>
          <w:szCs w:val="16"/>
        </w:rPr>
        <w:softHyphen/>
        <w:t>сеивания снарядов) и инженера-технолога завода Ф. Лендера (спроектировавшего артиллерийскую часть) было по</w:t>
      </w:r>
      <w:r w:rsidRPr="00DE096C">
        <w:rPr>
          <w:bCs/>
          <w:color w:val="002060"/>
          <w:sz w:val="16"/>
          <w:szCs w:val="16"/>
        </w:rPr>
        <w:softHyphen/>
        <w:t>строено орудие калибра 76,2-мм, способное вести огонь под большими углами возвышения. Комиссия ГАУ при</w:t>
      </w:r>
      <w:r w:rsidRPr="00DE096C">
        <w:rPr>
          <w:bCs/>
          <w:color w:val="002060"/>
          <w:sz w:val="16"/>
          <w:szCs w:val="16"/>
        </w:rPr>
        <w:softHyphen/>
        <w:t>знала, что орудие пригодно для об</w:t>
      </w:r>
      <w:r w:rsidRPr="00DE096C">
        <w:rPr>
          <w:bCs/>
          <w:color w:val="002060"/>
          <w:sz w:val="16"/>
          <w:szCs w:val="16"/>
        </w:rPr>
        <w:softHyphen/>
        <w:t>стрела не только аэростатов, но также дирижаблей и аэро</w:t>
      </w:r>
      <w:r w:rsidRPr="00DE096C">
        <w:rPr>
          <w:bCs/>
          <w:color w:val="002060"/>
          <w:sz w:val="16"/>
          <w:szCs w:val="16"/>
        </w:rPr>
        <w:softHyphen/>
        <w:t xml:space="preserve">планов. </w:t>
      </w:r>
    </w:p>
    <w:p w14:paraId="56FE4AF9" w14:textId="77777777" w:rsidR="00B54189" w:rsidRPr="00DE096C" w:rsidRDefault="00B54189" w:rsidP="00D45A46">
      <w:pPr>
        <w:shd w:val="clear" w:color="auto" w:fill="FFFFFF"/>
        <w:jc w:val="both"/>
        <w:rPr>
          <w:bCs/>
          <w:color w:val="002060"/>
          <w:sz w:val="16"/>
          <w:szCs w:val="16"/>
        </w:rPr>
      </w:pPr>
    </w:p>
    <w:p w14:paraId="783A9C12" w14:textId="62E3C162"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В конце августа 1914 г. ГАУ заказало </w:t>
      </w:r>
      <w:r w:rsidR="00B54189" w:rsidRPr="00DE096C">
        <w:rPr>
          <w:bCs/>
          <w:color w:val="002060"/>
          <w:sz w:val="16"/>
          <w:szCs w:val="16"/>
        </w:rPr>
        <w:t xml:space="preserve">Путиловском </w:t>
      </w:r>
      <w:r w:rsidRPr="00DE096C">
        <w:rPr>
          <w:bCs/>
          <w:color w:val="002060"/>
          <w:sz w:val="16"/>
          <w:szCs w:val="16"/>
        </w:rPr>
        <w:t>заводу 12 пушек</w:t>
      </w:r>
      <w:r w:rsidR="00B54189" w:rsidRPr="00DE096C">
        <w:rPr>
          <w:bCs/>
          <w:color w:val="002060"/>
          <w:sz w:val="16"/>
          <w:szCs w:val="16"/>
        </w:rPr>
        <w:t xml:space="preserve"> Тарнавского—Лендера</w:t>
      </w:r>
      <w:r w:rsidRPr="00DE096C">
        <w:rPr>
          <w:bCs/>
          <w:color w:val="002060"/>
          <w:sz w:val="16"/>
          <w:szCs w:val="16"/>
        </w:rPr>
        <w:t>, которые предполагалось ставить на четырехко</w:t>
      </w:r>
      <w:r w:rsidRPr="00DE096C">
        <w:rPr>
          <w:bCs/>
          <w:color w:val="002060"/>
          <w:sz w:val="16"/>
          <w:szCs w:val="16"/>
        </w:rPr>
        <w:softHyphen/>
        <w:t>лесные прицепы тележечного типа или в кузова грузовых автомобилей, чтобы использовать для прикрытия наибо</w:t>
      </w:r>
      <w:r w:rsidRPr="00DE096C">
        <w:rPr>
          <w:bCs/>
          <w:color w:val="002060"/>
          <w:sz w:val="16"/>
          <w:szCs w:val="16"/>
        </w:rPr>
        <w:softHyphen/>
        <w:t>лее важных оборонительных объектов, в частности, ставки главнокомандования (11417).</w:t>
      </w:r>
    </w:p>
    <w:p w14:paraId="7B8246B0" w14:textId="77777777" w:rsidR="00B67D7C" w:rsidRPr="00DE096C" w:rsidRDefault="00B67D7C" w:rsidP="00D45A46">
      <w:pPr>
        <w:shd w:val="clear" w:color="auto" w:fill="FFFFFF"/>
        <w:jc w:val="both"/>
        <w:rPr>
          <w:bCs/>
          <w:color w:val="002060"/>
          <w:sz w:val="16"/>
          <w:szCs w:val="16"/>
        </w:rPr>
      </w:pPr>
    </w:p>
    <w:p w14:paraId="4FDEBA5C"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Авиация:</w:t>
      </w:r>
    </w:p>
    <w:p w14:paraId="2EA02EF8" w14:textId="77777777" w:rsidR="00B67D7C" w:rsidRPr="00DE096C" w:rsidRDefault="00B67D7C" w:rsidP="00D45A46">
      <w:pPr>
        <w:pStyle w:val="a3"/>
        <w:jc w:val="both"/>
        <w:rPr>
          <w:bCs/>
          <w:color w:val="002060"/>
          <w:spacing w:val="0"/>
          <w:kern w:val="0"/>
          <w:position w:val="0"/>
          <w:sz w:val="16"/>
          <w:szCs w:val="16"/>
        </w:rPr>
      </w:pPr>
    </w:p>
    <w:p w14:paraId="5236A7E0" w14:textId="219285E5" w:rsidR="00B67D7C" w:rsidRPr="00DE096C" w:rsidRDefault="00B54189" w:rsidP="00D45A46">
      <w:pPr>
        <w:shd w:val="clear" w:color="auto" w:fill="FFFFFF"/>
        <w:jc w:val="both"/>
        <w:rPr>
          <w:bCs/>
          <w:color w:val="002060"/>
          <w:sz w:val="16"/>
          <w:szCs w:val="16"/>
        </w:rPr>
      </w:pPr>
      <w:r w:rsidRPr="00DE096C">
        <w:rPr>
          <w:bCs/>
          <w:color w:val="002060"/>
          <w:sz w:val="16"/>
          <w:szCs w:val="16"/>
        </w:rPr>
        <w:t>К</w:t>
      </w:r>
      <w:r w:rsidR="00B67D7C" w:rsidRPr="00DE096C">
        <w:rPr>
          <w:bCs/>
          <w:color w:val="002060"/>
          <w:sz w:val="16"/>
          <w:szCs w:val="16"/>
        </w:rPr>
        <w:t xml:space="preserve"> концу августа </w:t>
      </w:r>
      <w:r w:rsidRPr="00DE096C">
        <w:rPr>
          <w:bCs/>
          <w:color w:val="002060"/>
          <w:sz w:val="16"/>
          <w:szCs w:val="16"/>
        </w:rPr>
        <w:t xml:space="preserve">1914 г. на Корпусном аэродроме в Петербурге Гатчинской авиашколой по предписанию ГВТУ был сформирован первый отрядо воздушных кораблей "Илья Муомец”. </w:t>
      </w:r>
      <w:r w:rsidR="00B67D7C" w:rsidRPr="00DE096C">
        <w:rPr>
          <w:bCs/>
          <w:color w:val="002060"/>
          <w:sz w:val="16"/>
          <w:szCs w:val="16"/>
        </w:rPr>
        <w:t>(ЦГВИА. ф.2008, Д.568).</w:t>
      </w:r>
    </w:p>
    <w:p w14:paraId="15D316AB" w14:textId="77777777" w:rsidR="00B67D7C" w:rsidRPr="00DE096C" w:rsidRDefault="00B67D7C" w:rsidP="00D45A46">
      <w:pPr>
        <w:shd w:val="clear" w:color="auto" w:fill="FFFFFF"/>
        <w:jc w:val="both"/>
        <w:rPr>
          <w:bCs/>
          <w:color w:val="002060"/>
          <w:sz w:val="16"/>
          <w:szCs w:val="16"/>
        </w:rPr>
      </w:pPr>
    </w:p>
    <w:p w14:paraId="5E194CE0" w14:textId="57071A57" w:rsidR="00B67D7C" w:rsidRPr="00DE096C" w:rsidRDefault="00B54189" w:rsidP="00D45A46">
      <w:pPr>
        <w:pStyle w:val="a3"/>
        <w:jc w:val="both"/>
        <w:rPr>
          <w:bCs/>
          <w:color w:val="002060"/>
          <w:spacing w:val="0"/>
          <w:position w:val="0"/>
          <w:sz w:val="16"/>
          <w:szCs w:val="16"/>
        </w:rPr>
      </w:pPr>
      <w:r w:rsidRPr="00DE096C">
        <w:rPr>
          <w:bCs/>
          <w:i w:val="0"/>
          <w:color w:val="002060"/>
          <w:spacing w:val="0"/>
          <w:position w:val="0"/>
          <w:sz w:val="16"/>
          <w:szCs w:val="16"/>
        </w:rPr>
        <w:t>Д</w:t>
      </w:r>
      <w:r w:rsidR="00B67D7C" w:rsidRPr="00DE096C">
        <w:rPr>
          <w:bCs/>
          <w:i w:val="0"/>
          <w:color w:val="002060"/>
          <w:spacing w:val="0"/>
          <w:position w:val="0"/>
          <w:sz w:val="16"/>
          <w:szCs w:val="16"/>
        </w:rPr>
        <w:t xml:space="preserve">о конца августа </w:t>
      </w:r>
      <w:r w:rsidRPr="00DE096C">
        <w:rPr>
          <w:bCs/>
          <w:i w:val="0"/>
          <w:color w:val="002060"/>
          <w:spacing w:val="0"/>
          <w:position w:val="0"/>
          <w:sz w:val="16"/>
          <w:szCs w:val="16"/>
        </w:rPr>
        <w:t xml:space="preserve">1914 г., </w:t>
      </w:r>
      <w:r w:rsidR="00B67D7C" w:rsidRPr="00DE096C">
        <w:rPr>
          <w:bCs/>
          <w:i w:val="0"/>
          <w:color w:val="002060"/>
          <w:spacing w:val="0"/>
          <w:position w:val="0"/>
          <w:sz w:val="16"/>
          <w:szCs w:val="16"/>
        </w:rPr>
        <w:t>сделав всего пять разведывательных полетов, удаляясь иногда на 100 км от берега</w:t>
      </w:r>
      <w:r w:rsidRPr="00DE096C">
        <w:rPr>
          <w:bCs/>
          <w:i w:val="0"/>
          <w:color w:val="002060"/>
          <w:spacing w:val="0"/>
          <w:position w:val="0"/>
          <w:sz w:val="16"/>
          <w:szCs w:val="16"/>
        </w:rPr>
        <w:t>, Нагурский продолжал поиски</w:t>
      </w:r>
      <w:r w:rsidR="00B67D7C" w:rsidRPr="00DE096C">
        <w:rPr>
          <w:bCs/>
          <w:i w:val="0"/>
          <w:color w:val="002060"/>
          <w:spacing w:val="0"/>
          <w:position w:val="0"/>
          <w:sz w:val="16"/>
          <w:szCs w:val="16"/>
        </w:rPr>
        <w:t xml:space="preserve">. Экспедицию </w:t>
      </w:r>
      <w:r w:rsidRPr="00DE096C">
        <w:rPr>
          <w:bCs/>
          <w:i w:val="0"/>
          <w:color w:val="002060"/>
          <w:spacing w:val="0"/>
          <w:position w:val="0"/>
          <w:sz w:val="16"/>
          <w:szCs w:val="16"/>
        </w:rPr>
        <w:t xml:space="preserve">Г.Я.Седова </w:t>
      </w:r>
      <w:r w:rsidR="00B67D7C" w:rsidRPr="00DE096C">
        <w:rPr>
          <w:bCs/>
          <w:i w:val="0"/>
          <w:color w:val="002060"/>
          <w:spacing w:val="0"/>
          <w:position w:val="0"/>
          <w:sz w:val="16"/>
          <w:szCs w:val="16"/>
        </w:rPr>
        <w:t>Нагурский не нашел, но полеты его внесли цен-сведения в освоение Арктики. Он впервые описал условия арктических полетов и указал на возможность достижения Северного полюса на самолете. ("Воздушные пути Севера", 1933, стр.1б-18).</w:t>
      </w:r>
    </w:p>
    <w:p w14:paraId="0BA71468" w14:textId="77777777" w:rsidR="00B67D7C" w:rsidRPr="00DE096C" w:rsidRDefault="00B67D7C" w:rsidP="00D45A46">
      <w:pPr>
        <w:shd w:val="clear" w:color="auto" w:fill="FFFFFF"/>
        <w:jc w:val="both"/>
        <w:rPr>
          <w:bCs/>
          <w:color w:val="002060"/>
          <w:sz w:val="16"/>
          <w:szCs w:val="16"/>
        </w:rPr>
      </w:pPr>
    </w:p>
    <w:p w14:paraId="47F5B583" w14:textId="77777777" w:rsidR="00B86EDA" w:rsidRPr="00DE096C" w:rsidRDefault="00B86EDA" w:rsidP="00B86EDA">
      <w:pPr>
        <w:pStyle w:val="a3"/>
        <w:jc w:val="both"/>
        <w:rPr>
          <w:bCs/>
          <w:color w:val="002060"/>
          <w:spacing w:val="0"/>
          <w:kern w:val="0"/>
          <w:position w:val="0"/>
          <w:sz w:val="16"/>
          <w:szCs w:val="16"/>
        </w:rPr>
      </w:pPr>
      <w:r w:rsidRPr="00DE096C">
        <w:rPr>
          <w:bCs/>
          <w:color w:val="002060"/>
          <w:spacing w:val="0"/>
          <w:kern w:val="0"/>
          <w:position w:val="0"/>
          <w:sz w:val="16"/>
          <w:szCs w:val="16"/>
        </w:rPr>
        <w:t>Авиация:</w:t>
      </w:r>
    </w:p>
    <w:p w14:paraId="38414F17" w14:textId="77777777" w:rsidR="00B86EDA" w:rsidRPr="00DE096C" w:rsidRDefault="00B86EDA" w:rsidP="00B86EDA">
      <w:pPr>
        <w:pStyle w:val="a3"/>
        <w:jc w:val="both"/>
        <w:rPr>
          <w:bCs/>
          <w:color w:val="002060"/>
          <w:spacing w:val="0"/>
          <w:kern w:val="0"/>
          <w:position w:val="0"/>
          <w:sz w:val="16"/>
          <w:szCs w:val="16"/>
        </w:rPr>
      </w:pPr>
    </w:p>
    <w:p w14:paraId="2D0CC94A" w14:textId="77777777" w:rsidR="00B86EDA" w:rsidRPr="00B52707" w:rsidRDefault="00B86EDA" w:rsidP="00B86EDA">
      <w:pPr>
        <w:jc w:val="both"/>
        <w:rPr>
          <w:color w:val="0070C0"/>
          <w:sz w:val="16"/>
          <w:szCs w:val="16"/>
        </w:rPr>
      </w:pPr>
      <w:r w:rsidRPr="00B52707">
        <w:rPr>
          <w:color w:val="0070C0"/>
          <w:sz w:val="16"/>
          <w:szCs w:val="16"/>
        </w:rPr>
        <w:t>Во второй половине августа 1914 г. в результате успешного обстрела наземными частями (южнее г. Грубешов (Хрубешув), Люблинское воеводство) удалось посадить австрийский летательный аппарат. Два офицера-пилота оказались убитыми, один – ранен (25135).</w:t>
      </w:r>
    </w:p>
    <w:p w14:paraId="5E92D74D" w14:textId="77777777" w:rsidR="00B86EDA" w:rsidRPr="00B52707" w:rsidRDefault="00B86EDA" w:rsidP="00B86EDA">
      <w:pPr>
        <w:jc w:val="both"/>
        <w:rPr>
          <w:color w:val="0070C0"/>
          <w:sz w:val="16"/>
          <w:szCs w:val="16"/>
        </w:rPr>
      </w:pPr>
    </w:p>
    <w:p w14:paraId="23C683E5"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Самолетостроение:</w:t>
      </w:r>
    </w:p>
    <w:p w14:paraId="11BE9ED1" w14:textId="77777777" w:rsidR="00B67D7C" w:rsidRPr="00DE096C" w:rsidRDefault="00B67D7C" w:rsidP="00D45A46">
      <w:pPr>
        <w:pStyle w:val="a3"/>
        <w:jc w:val="both"/>
        <w:rPr>
          <w:bCs/>
          <w:color w:val="002060"/>
          <w:spacing w:val="0"/>
          <w:kern w:val="0"/>
          <w:position w:val="0"/>
          <w:sz w:val="16"/>
          <w:szCs w:val="16"/>
        </w:rPr>
      </w:pPr>
    </w:p>
    <w:p w14:paraId="32430414" w14:textId="77777777" w:rsidR="004A22EB" w:rsidRPr="00B52707" w:rsidRDefault="004A22EB" w:rsidP="004A22EB">
      <w:pPr>
        <w:jc w:val="both"/>
        <w:rPr>
          <w:rStyle w:val="ab"/>
          <w:rFonts w:ascii="Times New Roman" w:hAnsi="Times New Roman"/>
          <w:color w:val="0070C0"/>
          <w:spacing w:val="0"/>
          <w:sz w:val="16"/>
          <w:szCs w:val="16"/>
        </w:rPr>
      </w:pPr>
      <w:r w:rsidRPr="00B52707">
        <w:rPr>
          <w:rFonts w:eastAsia="Trebuchet MS"/>
          <w:color w:val="0070C0"/>
          <w:sz w:val="16"/>
          <w:szCs w:val="16"/>
          <w:shd w:val="clear" w:color="auto" w:fill="FFFFFF"/>
        </w:rPr>
        <w:t>С августа 1914 по июнь 1916 г. российские авиазаводы выпустили 1 512 самолетов. В ходе войны вступили в строй еще два небольших авиастроительных предприятия. Подсчитать точное количество произведенных в России самолетов сложно, так как значительная часть была некомплектна в основном из-за отсутствия моторов. Грешит и статистика, поскольку в число изготовленных заносили также отремонтированные машины. По данным военного и морского ведомств, в 1914–1917 гг. они приняли 3 949 самолетов. Но этого было недостаточно. Пришлось и в этой сфере прибегать к заказам за границей. Организация закупок в 1915 г. была возложена на «Комиссию, командируемую за границу для заготовления авиационного и воздухоплавательного имущества». Снабжение русской армии авиационным имуществом постоянно было в центре внимания правительства, Ставки и Военного министерства (25601).</w:t>
      </w:r>
    </w:p>
    <w:p w14:paraId="50002FA8" w14:textId="77777777" w:rsidR="004A22EB" w:rsidRPr="00B52707" w:rsidRDefault="004A22EB" w:rsidP="004A22EB">
      <w:pPr>
        <w:jc w:val="both"/>
        <w:rPr>
          <w:rStyle w:val="ab"/>
          <w:rFonts w:ascii="Times New Roman" w:hAnsi="Times New Roman"/>
          <w:color w:val="0070C0"/>
          <w:spacing w:val="0"/>
          <w:sz w:val="16"/>
          <w:szCs w:val="16"/>
        </w:rPr>
      </w:pPr>
    </w:p>
    <w:p w14:paraId="3231294F" w14:textId="77777777" w:rsidR="004A22EB" w:rsidRPr="00B52707" w:rsidRDefault="004A22EB" w:rsidP="004A22EB">
      <w:pPr>
        <w:jc w:val="both"/>
        <w:rPr>
          <w:color w:val="0070C0"/>
          <w:sz w:val="16"/>
          <w:szCs w:val="16"/>
        </w:rPr>
      </w:pPr>
      <w:r w:rsidRPr="00B52707">
        <w:rPr>
          <w:color w:val="0070C0"/>
          <w:sz w:val="16"/>
          <w:szCs w:val="16"/>
        </w:rPr>
        <w:t>В августе 1914 г. командир находящегося в действующей армии (на Галицийском фронте, доработка выполнена на полевом аэродроме Золочев) XI КАО штабс-капитан П.Н. Нестеров при помощи своего механика Нелидова доработал закрепленный за собой одноместный «Морже», установив на его хвостовой части пилу, которая могла опускаться в полете, а затем подниматься, чтобы не мешала посадке.</w:t>
      </w:r>
    </w:p>
    <w:p w14:paraId="230A770B" w14:textId="77777777" w:rsidR="004A22EB" w:rsidRPr="00B52707" w:rsidRDefault="004A22EB" w:rsidP="004A22EB">
      <w:pPr>
        <w:jc w:val="both"/>
        <w:rPr>
          <w:color w:val="0070C0"/>
          <w:sz w:val="16"/>
          <w:szCs w:val="16"/>
        </w:rPr>
      </w:pPr>
      <w:r w:rsidRPr="00B52707">
        <w:rPr>
          <w:color w:val="0070C0"/>
          <w:sz w:val="16"/>
          <w:szCs w:val="16"/>
        </w:rPr>
        <w:t>Применить приспособление Нестерову не удалось, т.к. в день 26.08.14 г., когда Нестеров провел свой первый и последний результативный воздушный бой, закончившийся тараном и гибелью обоих самолетов, аппарат находился в ремонте после поломки (25442).</w:t>
      </w:r>
    </w:p>
    <w:p w14:paraId="6385B570" w14:textId="77777777" w:rsidR="004A22EB" w:rsidRPr="00B52707" w:rsidRDefault="004A22EB" w:rsidP="004A22EB">
      <w:pPr>
        <w:jc w:val="both"/>
        <w:rPr>
          <w:color w:val="0070C0"/>
          <w:sz w:val="16"/>
          <w:szCs w:val="16"/>
        </w:rPr>
      </w:pPr>
    </w:p>
    <w:p w14:paraId="58DF7B5C" w14:textId="77777777" w:rsidR="00B67D7C" w:rsidRPr="00DE096C" w:rsidRDefault="00B67D7C" w:rsidP="00D45A46">
      <w:pPr>
        <w:jc w:val="both"/>
        <w:rPr>
          <w:bCs/>
          <w:color w:val="002060"/>
          <w:sz w:val="16"/>
          <w:szCs w:val="16"/>
        </w:rPr>
      </w:pPr>
      <w:r w:rsidRPr="00DE096C">
        <w:rPr>
          <w:bCs/>
          <w:color w:val="002060"/>
          <w:sz w:val="16"/>
          <w:szCs w:val="16"/>
        </w:rPr>
        <w:t>В августе 1914 г. самолет «Илья Муромец» Б был официально принят на вооружение русской армии как разведчик (318).</w:t>
      </w:r>
    </w:p>
    <w:p w14:paraId="108C648C" w14:textId="77777777" w:rsidR="00B67D7C" w:rsidRPr="00DE096C" w:rsidRDefault="00B67D7C" w:rsidP="00D45A46">
      <w:pPr>
        <w:jc w:val="both"/>
        <w:rPr>
          <w:bCs/>
          <w:color w:val="002060"/>
          <w:sz w:val="16"/>
          <w:szCs w:val="16"/>
        </w:rPr>
      </w:pPr>
    </w:p>
    <w:p w14:paraId="36D687CD" w14:textId="03618007" w:rsidR="00B67D7C" w:rsidRPr="00DE096C" w:rsidRDefault="00B54189"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августе 1914 г. </w:t>
      </w:r>
      <w:r w:rsidRPr="00DE096C">
        <w:rPr>
          <w:bCs/>
          <w:color w:val="002060"/>
          <w:sz w:val="16"/>
          <w:szCs w:val="16"/>
        </w:rPr>
        <w:t>началась сдача самолетов</w:t>
      </w:r>
      <w:r w:rsidR="004A22EB">
        <w:rPr>
          <w:bCs/>
          <w:color w:val="002060"/>
          <w:sz w:val="16"/>
          <w:szCs w:val="16"/>
        </w:rPr>
        <w:t>.</w:t>
      </w:r>
      <w:r w:rsidRPr="00DE096C">
        <w:rPr>
          <w:bCs/>
          <w:color w:val="002060"/>
          <w:sz w:val="16"/>
          <w:szCs w:val="16"/>
        </w:rPr>
        <w:t xml:space="preserve"> </w:t>
      </w:r>
      <w:r w:rsidR="00B67D7C" w:rsidRPr="00DE096C">
        <w:rPr>
          <w:bCs/>
          <w:color w:val="002060"/>
          <w:sz w:val="16"/>
          <w:szCs w:val="16"/>
        </w:rPr>
        <w:t>Поскольку немцы стали противниками, поставка "Аргусов" прекратилась, и с третьего серийного "Муромца" их заменили французскими звездообразными "Сальмсонами" в 130 л.с. и 200 л.с.</w:t>
      </w:r>
    </w:p>
    <w:p w14:paraId="5F24A075" w14:textId="77777777" w:rsidR="00B67D7C" w:rsidRPr="00DE096C" w:rsidRDefault="00B67D7C" w:rsidP="00D45A46">
      <w:pPr>
        <w:jc w:val="both"/>
        <w:rPr>
          <w:bCs/>
          <w:color w:val="002060"/>
          <w:sz w:val="16"/>
          <w:szCs w:val="16"/>
        </w:rPr>
      </w:pPr>
      <w:r w:rsidRPr="00DE096C">
        <w:rPr>
          <w:bCs/>
          <w:color w:val="002060"/>
          <w:sz w:val="16"/>
          <w:szCs w:val="16"/>
        </w:rPr>
        <w:t>С седьмого самолета РБВЗ перешел на "тип В" с уменьшенной площадью крыльев, улучшенной аэродинамикой и бомболюком. Бомбы подвешивались внутри фюзеляжа в кассетах и освобождались механическим сбрасывателем. Бомбовая нагрузка составляла 500 кг; калибр бомб - до 10 пудов. Для членов экипажа предусматривалась бронезаши- та, бронированные сиденья, жилеты и каски. Первые три такие машины были готовы в ноябре-декабре 1914 г. (12036).</w:t>
      </w:r>
    </w:p>
    <w:p w14:paraId="1B2C924E" w14:textId="77777777" w:rsidR="00B67D7C" w:rsidRPr="00DE096C" w:rsidRDefault="00B67D7C" w:rsidP="00D45A46">
      <w:pPr>
        <w:jc w:val="both"/>
        <w:rPr>
          <w:bCs/>
          <w:color w:val="002060"/>
          <w:sz w:val="16"/>
          <w:szCs w:val="16"/>
        </w:rPr>
      </w:pPr>
    </w:p>
    <w:p w14:paraId="3060DD8E" w14:textId="62496851" w:rsidR="00B67D7C" w:rsidRPr="00DE096C" w:rsidRDefault="002E7CBF" w:rsidP="00D45A46">
      <w:pPr>
        <w:shd w:val="clear" w:color="auto" w:fill="FFFFFF"/>
        <w:jc w:val="both"/>
        <w:rPr>
          <w:bCs/>
          <w:color w:val="002060"/>
          <w:sz w:val="16"/>
          <w:szCs w:val="16"/>
        </w:rPr>
      </w:pPr>
      <w:r w:rsidRPr="00DE096C">
        <w:rPr>
          <w:bCs/>
          <w:color w:val="002060"/>
          <w:sz w:val="16"/>
          <w:szCs w:val="16"/>
        </w:rPr>
        <w:t>В</w:t>
      </w:r>
      <w:r w:rsidR="00B67D7C" w:rsidRPr="00DE096C">
        <w:rPr>
          <w:bCs/>
          <w:color w:val="002060"/>
          <w:sz w:val="16"/>
          <w:szCs w:val="16"/>
        </w:rPr>
        <w:t xml:space="preserve"> августе 1914 на учебном Муромце (№ 1 с Аргусами) устанавливают на передней площадке 37 мм пушку для борьбы с Цепелинами (Никольский С.Н. На воздушном корабле (помошник № 2)). Летал Е.В.Руднев, а стреляли А.Н.Казаков (на № 1) и И.Н.Аккерман.</w:t>
      </w:r>
    </w:p>
    <w:p w14:paraId="0F2063F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Легко получили орудие (временно до конца войны для опытов) на Морском артполигоне через Слюсаренко, где они были, но не числились (сначала просили доверенность с гербовой печатью). Стреляли вдвоем, чугунными балванками в воду, была сетка для снарядок и туда же клали гильзы. На самолете выстрелы не ощущались.</w:t>
      </w:r>
    </w:p>
    <w:p w14:paraId="68A8746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Заказали и 10 2-пудовых бомбы Орановского</w:t>
      </w:r>
    </w:p>
    <w:p w14:paraId="218602D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Приезжал сам Сухомлинов и велел ехать в Либаву. Но на Вуазенах (францу к Грезо) (11696).</w:t>
      </w:r>
    </w:p>
    <w:p w14:paraId="2D28864B" w14:textId="77777777" w:rsidR="00B67D7C" w:rsidRPr="00DE096C" w:rsidRDefault="00B67D7C" w:rsidP="00D45A46">
      <w:pPr>
        <w:shd w:val="clear" w:color="auto" w:fill="FFFFFF"/>
        <w:jc w:val="both"/>
        <w:rPr>
          <w:bCs/>
          <w:color w:val="002060"/>
          <w:sz w:val="16"/>
          <w:szCs w:val="16"/>
        </w:rPr>
      </w:pPr>
    </w:p>
    <w:p w14:paraId="5D420DF6" w14:textId="249C5AD8" w:rsidR="00B67D7C" w:rsidRPr="00DE096C" w:rsidRDefault="002E7CBF"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августе </w:t>
      </w:r>
      <w:r w:rsidRPr="00DE096C">
        <w:rPr>
          <w:bCs/>
          <w:color w:val="002060"/>
          <w:sz w:val="16"/>
          <w:szCs w:val="16"/>
        </w:rPr>
        <w:t xml:space="preserve">1914 г., еще до отправки на фронт 1-го корабля, </w:t>
      </w:r>
      <w:r w:rsidR="00B67D7C" w:rsidRPr="00DE096C">
        <w:rPr>
          <w:bCs/>
          <w:color w:val="002060"/>
          <w:sz w:val="16"/>
          <w:szCs w:val="16"/>
        </w:rPr>
        <w:t>на нем была испытана 37 мм пушка Гочкиса, которая была установлена на пулеметно-ору- дийной площадке. По замыслу орудие предназначалось для борьбы с германскими дирижаблями - "Цеппелинами". Испытания были признаны неудовлетворительными: при весе в 6 пудов и скорострельности 10 выстрелов в минуту пушка требовала 2 человек - наводчика и подносчика снарядов, которых было 15 штук, да и их разлет составлял 200-250 м. Уже в Эскадре в январе 1915 г. пробовали на корабле V-м другую 3-х дюймовую пушку системы полковника Гельвига, которую прислали из Главного Артиллерийского Управления. Она была безоткатной, с наличием добавочного ствола прямо противоположного главному. При выстреле из главного ствола вылетал боевой снаряд, а из добавочного - пыж, что исключало откат ствола. Но от нее тоже отказались из-за большого веса, малой скорострельности и эффективности стрельбы (12038).</w:t>
      </w:r>
    </w:p>
    <w:p w14:paraId="4A1E6F9B" w14:textId="77777777" w:rsidR="00B67D7C" w:rsidRPr="00DE096C" w:rsidRDefault="00B67D7C" w:rsidP="00D45A46">
      <w:pPr>
        <w:jc w:val="both"/>
        <w:rPr>
          <w:bCs/>
          <w:color w:val="002060"/>
          <w:sz w:val="16"/>
          <w:szCs w:val="16"/>
        </w:rPr>
      </w:pPr>
    </w:p>
    <w:p w14:paraId="0A3E8942" w14:textId="77777777" w:rsidR="004A22EB" w:rsidRPr="00DE096C" w:rsidRDefault="004A22EB" w:rsidP="004A22EB">
      <w:pPr>
        <w:jc w:val="both"/>
        <w:rPr>
          <w:bCs/>
          <w:color w:val="002060"/>
          <w:sz w:val="16"/>
          <w:szCs w:val="16"/>
        </w:rPr>
      </w:pPr>
      <w:r w:rsidRPr="00DE096C">
        <w:rPr>
          <w:bCs/>
          <w:color w:val="002060"/>
          <w:sz w:val="16"/>
          <w:szCs w:val="16"/>
        </w:rPr>
        <w:t>В августе 1914 г. с</w:t>
      </w:r>
      <w:r w:rsidRPr="00DE096C">
        <w:rPr>
          <w:rStyle w:val="1"/>
          <w:b w:val="0"/>
          <w:bCs/>
          <w:color w:val="002060"/>
          <w:sz w:val="16"/>
          <w:szCs w:val="16"/>
        </w:rPr>
        <w:t>амолет С-10А</w:t>
      </w:r>
      <w:r w:rsidRPr="00DE096C">
        <w:rPr>
          <w:bCs/>
          <w:color w:val="002060"/>
          <w:sz w:val="16"/>
          <w:szCs w:val="16"/>
        </w:rPr>
        <w:t xml:space="preserve"> был установлен на поплавки</w:t>
      </w:r>
    </w:p>
    <w:p w14:paraId="1C24697E" w14:textId="77777777" w:rsidR="004A22EB" w:rsidRPr="00DE096C" w:rsidRDefault="004A22EB" w:rsidP="004A22EB">
      <w:pPr>
        <w:shd w:val="clear" w:color="auto" w:fill="FFFFFF"/>
        <w:jc w:val="both"/>
        <w:rPr>
          <w:bCs/>
          <w:color w:val="002060"/>
          <w:sz w:val="16"/>
          <w:szCs w:val="16"/>
        </w:rPr>
      </w:pPr>
    </w:p>
    <w:p w14:paraId="42F9F92C" w14:textId="26D5E878" w:rsidR="00D978FC" w:rsidRPr="00DE096C" w:rsidRDefault="00D978FC" w:rsidP="00D45A46">
      <w:pPr>
        <w:jc w:val="both"/>
        <w:rPr>
          <w:rStyle w:val="43"/>
          <w:rFonts w:ascii="Times New Roman" w:hAnsi="Times New Roman" w:cs="Times New Roman"/>
          <w:bCs/>
          <w:color w:val="002060"/>
          <w:w w:val="100"/>
          <w:sz w:val="16"/>
          <w:szCs w:val="16"/>
        </w:rPr>
      </w:pPr>
      <w:r w:rsidRPr="00DE096C">
        <w:rPr>
          <w:rStyle w:val="43"/>
          <w:rFonts w:ascii="Times New Roman" w:hAnsi="Times New Roman" w:cs="Times New Roman"/>
          <w:bCs/>
          <w:color w:val="002060"/>
          <w:w w:val="100"/>
          <w:sz w:val="16"/>
          <w:szCs w:val="16"/>
        </w:rPr>
        <w:t>В августе 1914 г. изготовленные Г.Е. Котельниковым по заказу ГВТУ кустарно «по мелким мастерским и квартирам» 63 ранцевых парашю</w:t>
      </w:r>
      <w:r w:rsidRPr="00DE096C">
        <w:rPr>
          <w:rStyle w:val="43"/>
          <w:rFonts w:ascii="Times New Roman" w:hAnsi="Times New Roman" w:cs="Times New Roman"/>
          <w:bCs/>
          <w:color w:val="002060"/>
          <w:w w:val="100"/>
          <w:sz w:val="16"/>
          <w:szCs w:val="16"/>
        </w:rPr>
        <w:softHyphen/>
        <w:t>та (7 остались на складе), поступили в отряды воздушных кораблей «Илья Муромец» и возду</w:t>
      </w:r>
      <w:r w:rsidRPr="00DE096C">
        <w:rPr>
          <w:rStyle w:val="43"/>
          <w:rFonts w:ascii="Times New Roman" w:hAnsi="Times New Roman" w:cs="Times New Roman"/>
          <w:bCs/>
          <w:color w:val="002060"/>
          <w:w w:val="100"/>
          <w:sz w:val="16"/>
          <w:szCs w:val="16"/>
        </w:rPr>
        <w:softHyphen/>
        <w:t>хоплавательные роты с дирижаблями. Но прак</w:t>
      </w:r>
      <w:r w:rsidRPr="00DE096C">
        <w:rPr>
          <w:rStyle w:val="43"/>
          <w:rFonts w:ascii="Times New Roman" w:hAnsi="Times New Roman" w:cs="Times New Roman"/>
          <w:bCs/>
          <w:color w:val="002060"/>
          <w:w w:val="100"/>
          <w:sz w:val="16"/>
          <w:szCs w:val="16"/>
        </w:rPr>
        <w:softHyphen/>
        <w:t>тического применения они не нашли, так как пилотов не учили парашютным прыжкам и не готовили к ним психологически (20120).</w:t>
      </w:r>
    </w:p>
    <w:p w14:paraId="0AD8EA6C" w14:textId="77777777" w:rsidR="00D978FC" w:rsidRPr="00DE096C" w:rsidRDefault="00D978FC" w:rsidP="00D45A46">
      <w:pPr>
        <w:jc w:val="both"/>
        <w:rPr>
          <w:bCs/>
          <w:color w:val="002060"/>
          <w:sz w:val="16"/>
          <w:szCs w:val="16"/>
        </w:rPr>
      </w:pPr>
    </w:p>
    <w:p w14:paraId="501CC293" w14:textId="6E83EFA9" w:rsidR="002E7CBF" w:rsidRPr="00DE096C" w:rsidRDefault="002E7CBF" w:rsidP="00D45A46">
      <w:pPr>
        <w:pStyle w:val="a5"/>
        <w:rPr>
          <w:bCs/>
          <w:color w:val="002060"/>
          <w:sz w:val="16"/>
          <w:szCs w:val="16"/>
          <w:lang w:val="ru-RU"/>
        </w:rPr>
      </w:pPr>
      <w:r w:rsidRPr="00DE096C">
        <w:rPr>
          <w:bCs/>
          <w:color w:val="002060"/>
          <w:sz w:val="16"/>
          <w:szCs w:val="16"/>
          <w:lang w:val="ru-RU"/>
        </w:rPr>
        <w:t>В августе 1914 в начале Великой войны из 39 авиационных отрядов лишь 22-й као встретил вооружённым семью «Депердюссенами»</w:t>
      </w:r>
      <w:r w:rsidRPr="00DE096C">
        <w:rPr>
          <w:bCs/>
          <w:color w:val="002060"/>
          <w:sz w:val="16"/>
          <w:szCs w:val="16"/>
          <w:vertAlign w:val="superscript"/>
          <w:lang w:val="ru-RU"/>
        </w:rPr>
        <w:t>12</w:t>
      </w:r>
      <w:r w:rsidRPr="00DE096C">
        <w:rPr>
          <w:bCs/>
          <w:color w:val="002060"/>
          <w:sz w:val="16"/>
          <w:szCs w:val="16"/>
          <w:lang w:val="ru-RU"/>
        </w:rPr>
        <w:t>. Поставленные заводом В.А. Лебедева в течение 1915 года, в рус</w:t>
      </w:r>
      <w:r w:rsidRPr="00DE096C">
        <w:rPr>
          <w:bCs/>
          <w:color w:val="002060"/>
          <w:sz w:val="16"/>
          <w:szCs w:val="16"/>
          <w:lang w:val="ru-RU"/>
        </w:rPr>
        <w:softHyphen/>
        <w:t>ские авиационные отряды и авиационные отряды, «Депердюссены» эксплуатировалось до 1917 г. (15817).</w:t>
      </w:r>
    </w:p>
    <w:p w14:paraId="7A61667A" w14:textId="77777777" w:rsidR="002E7CBF" w:rsidRPr="00DE096C" w:rsidRDefault="002E7CBF" w:rsidP="00D45A46">
      <w:pPr>
        <w:pStyle w:val="a5"/>
        <w:rPr>
          <w:bCs/>
          <w:color w:val="002060"/>
          <w:sz w:val="16"/>
          <w:szCs w:val="16"/>
          <w:lang w:val="ru-RU"/>
        </w:rPr>
      </w:pPr>
    </w:p>
    <w:p w14:paraId="68C88155" w14:textId="46F8AAD4" w:rsidR="002E7CBF" w:rsidRPr="00DE096C" w:rsidRDefault="002E7CBF" w:rsidP="00D45A46">
      <w:pPr>
        <w:jc w:val="both"/>
        <w:rPr>
          <w:bCs/>
          <w:color w:val="002060"/>
          <w:sz w:val="16"/>
          <w:szCs w:val="16"/>
        </w:rPr>
      </w:pPr>
      <w:r w:rsidRPr="00DE096C">
        <w:rPr>
          <w:bCs/>
          <w:color w:val="002060"/>
          <w:sz w:val="16"/>
          <w:szCs w:val="16"/>
        </w:rPr>
        <w:t>В августе 1914 при Гатчинской ВАШ из «Муромцев» были сформированы четыре односамолетных отряда Муромцев. Их отправка в распоряжение штабов армий началась 25 августа 1914 г., однако уникальные машины требовали продуманной системы обеспечения. Предпосылок к этому до войны создать не успели. Наспех обученные пилотированию «Муромцев» летчики-инструкторы ГВАШ дали им отрицательные отзывы (привыкли летать на легких самолетах), к которым присовокупилось нежелание Ставки расходовать дефицитные двигатели типа «Сальмсон» на оснащение четырехмоторных гигантов. Только новые предложения Правления РБВЗ восстановили интерес военных к «Илье Муромцу». Наибольшую энергию в этом отношении проявил председатель акционерного общества РБВЗ, бывший офицер флота М.В. Шидловский, который доказал Военному министру и Верховному Главнокомандующему, что «Муромцы» необходимо сгруппировать в Эскадру воздушных кораблей (ЭВК) и в ее составе наладить постепенное использование самолетов во фронтовых условиях, дорабатывая их в процессе боевой деятельности за счет сил и средств РБВЗ. На фронте должны были обучаться и экипажи (19566).</w:t>
      </w:r>
    </w:p>
    <w:p w14:paraId="6F16980E" w14:textId="77777777" w:rsidR="002E7CBF" w:rsidRPr="00DE096C" w:rsidRDefault="002E7CBF" w:rsidP="00D45A46">
      <w:pPr>
        <w:pStyle w:val="ae"/>
        <w:spacing w:before="0" w:beforeAutospacing="0" w:after="0" w:afterAutospacing="0"/>
        <w:jc w:val="both"/>
        <w:rPr>
          <w:bCs/>
          <w:color w:val="002060"/>
          <w:sz w:val="16"/>
          <w:szCs w:val="16"/>
        </w:rPr>
      </w:pPr>
    </w:p>
    <w:p w14:paraId="55A0EEDB" w14:textId="77777777" w:rsidR="00E46615" w:rsidRPr="00DE096C" w:rsidRDefault="00E46615" w:rsidP="00D45A46">
      <w:pPr>
        <w:shd w:val="clear" w:color="auto" w:fill="FFFFFF"/>
        <w:jc w:val="both"/>
        <w:rPr>
          <w:bCs/>
          <w:color w:val="002060"/>
          <w:sz w:val="16"/>
          <w:szCs w:val="16"/>
        </w:rPr>
      </w:pPr>
      <w:r w:rsidRPr="00DE096C">
        <w:rPr>
          <w:bCs/>
          <w:color w:val="002060"/>
          <w:sz w:val="16"/>
          <w:szCs w:val="16"/>
        </w:rPr>
        <w:t>В августе-сентябре 1914 в начале войны первые же боевые полеты самолетов «Илья Муромец» в тыл про</w:t>
      </w:r>
      <w:r w:rsidRPr="00DE096C">
        <w:rPr>
          <w:bCs/>
          <w:color w:val="002060"/>
          <w:sz w:val="16"/>
          <w:szCs w:val="16"/>
        </w:rPr>
        <w:softHyphen/>
        <w:t>тивника сопровождались сбрасыванием бомб на военные объекты. Эти самолеты в то время брали на борт по 15-20 бомб весом 10-16 кг. В то время Россия располагала разработанными капитаном Толмачевым каплевидными бомбами для сбрасывания с дирижаблей. Практика показала, что для самолетов типа «Илья Муромец» нужны авиабомбы более крупно</w:t>
      </w:r>
      <w:r w:rsidRPr="00DE096C">
        <w:rPr>
          <w:bCs/>
          <w:color w:val="002060"/>
          <w:sz w:val="16"/>
          <w:szCs w:val="16"/>
        </w:rPr>
        <w:softHyphen/>
        <w:t>го калибра. Военное ведомство поставило перед учеными и специалис</w:t>
      </w:r>
      <w:r w:rsidRPr="00DE096C">
        <w:rPr>
          <w:bCs/>
          <w:color w:val="002060"/>
          <w:sz w:val="16"/>
          <w:szCs w:val="16"/>
        </w:rPr>
        <w:softHyphen/>
        <w:t>тами задачу создания фугасных, осколочных и зажигательных авиабомб. К решению этой задачи был привлечен и профессор Н.Е. Жуковский.</w:t>
      </w:r>
    </w:p>
    <w:p w14:paraId="19F830E9" w14:textId="77777777" w:rsidR="00E46615" w:rsidRPr="00DE096C" w:rsidRDefault="00E46615" w:rsidP="00D45A46">
      <w:pPr>
        <w:shd w:val="clear" w:color="auto" w:fill="FFFFFF"/>
        <w:jc w:val="both"/>
        <w:rPr>
          <w:bCs/>
          <w:color w:val="002060"/>
          <w:sz w:val="16"/>
          <w:szCs w:val="16"/>
        </w:rPr>
      </w:pPr>
      <w:r w:rsidRPr="00DE096C">
        <w:rPr>
          <w:bCs/>
          <w:color w:val="002060"/>
          <w:sz w:val="16"/>
          <w:szCs w:val="16"/>
        </w:rPr>
        <w:t>Пока не появились новые авиабомбы, бомбардировка противника осуществлялась примитивными бомбами и специальными стрелами. Так, например, для бомбометания с самолетов использовались 42-линейные гаубичные снаряды, оснащенные ударными взрывателями, разработан</w:t>
      </w:r>
      <w:r w:rsidRPr="00DE096C">
        <w:rPr>
          <w:bCs/>
          <w:color w:val="002060"/>
          <w:sz w:val="16"/>
          <w:szCs w:val="16"/>
        </w:rPr>
        <w:softHyphen/>
        <w:t>ными полковником Печенкиным. Одновременно в мастерских авиацион</w:t>
      </w:r>
      <w:r w:rsidRPr="00DE096C">
        <w:rPr>
          <w:bCs/>
          <w:color w:val="002060"/>
          <w:sz w:val="16"/>
          <w:szCs w:val="16"/>
        </w:rPr>
        <w:softHyphen/>
        <w:t>ных отрядов начали изготавливать специальные «пули», которые приме</w:t>
      </w:r>
      <w:r w:rsidRPr="00DE096C">
        <w:rPr>
          <w:bCs/>
          <w:color w:val="002060"/>
          <w:sz w:val="16"/>
          <w:szCs w:val="16"/>
        </w:rPr>
        <w:softHyphen/>
        <w:t>нялись наряду с трофейными стрелами путем разбрасывания со специаль</w:t>
      </w:r>
      <w:r w:rsidRPr="00DE096C">
        <w:rPr>
          <w:bCs/>
          <w:color w:val="002060"/>
          <w:sz w:val="16"/>
          <w:szCs w:val="16"/>
        </w:rPr>
        <w:softHyphen/>
        <w:t>ных кассет, подвешенных под самолетом. Падение пуль и стрел сопровож</w:t>
      </w:r>
      <w:r w:rsidRPr="00DE096C">
        <w:rPr>
          <w:bCs/>
          <w:color w:val="002060"/>
          <w:sz w:val="16"/>
          <w:szCs w:val="16"/>
        </w:rPr>
        <w:softHyphen/>
        <w:t>далось резким свистом, отрицательно действующим на психику противни</w:t>
      </w:r>
      <w:r w:rsidRPr="00DE096C">
        <w:rPr>
          <w:bCs/>
          <w:color w:val="002060"/>
          <w:sz w:val="16"/>
          <w:szCs w:val="16"/>
        </w:rPr>
        <w:softHyphen/>
        <w:t>ка. В 1917 г. было заказано 400000 «пуль для метания с аэропланов» (11425).</w:t>
      </w:r>
    </w:p>
    <w:p w14:paraId="61791CF4" w14:textId="77777777" w:rsidR="00E46615" w:rsidRPr="00DE096C" w:rsidRDefault="00E46615" w:rsidP="00D45A46">
      <w:pPr>
        <w:shd w:val="clear" w:color="auto" w:fill="FFFFFF"/>
        <w:jc w:val="both"/>
        <w:rPr>
          <w:bCs/>
          <w:color w:val="002060"/>
          <w:sz w:val="16"/>
          <w:szCs w:val="16"/>
        </w:rPr>
      </w:pPr>
    </w:p>
    <w:p w14:paraId="7E58B353" w14:textId="77777777" w:rsidR="00E46615" w:rsidRPr="00DE096C" w:rsidRDefault="00E46615" w:rsidP="00D45A46">
      <w:pPr>
        <w:jc w:val="both"/>
        <w:rPr>
          <w:bCs/>
          <w:color w:val="002060"/>
          <w:sz w:val="16"/>
          <w:szCs w:val="16"/>
        </w:rPr>
      </w:pPr>
      <w:r w:rsidRPr="00DE096C">
        <w:rPr>
          <w:bCs/>
          <w:color w:val="002060"/>
          <w:sz w:val="16"/>
          <w:szCs w:val="16"/>
        </w:rPr>
        <w:t>В августе 1914 г. с началом первой мировой войны выполнение заказа на легкие самолеты И. И. Сикорского оказалось пор угрозой, Поставки из Франции нарушились, а отечественные авиамоторные заводы не выпускали стосильных двигателей «Гном-моносупан», под которые строились С-10А и С-11А (11188).</w:t>
      </w:r>
    </w:p>
    <w:p w14:paraId="2BE46C91" w14:textId="77777777" w:rsidR="00E46615" w:rsidRPr="00DE096C" w:rsidRDefault="00E46615" w:rsidP="00D45A46">
      <w:pPr>
        <w:jc w:val="both"/>
        <w:rPr>
          <w:bCs/>
          <w:color w:val="002060"/>
          <w:sz w:val="16"/>
          <w:szCs w:val="16"/>
        </w:rPr>
      </w:pPr>
    </w:p>
    <w:p w14:paraId="7525C26D" w14:textId="77777777" w:rsidR="00E46615" w:rsidRPr="00DE096C" w:rsidRDefault="00E46615" w:rsidP="00D45A46">
      <w:pPr>
        <w:shd w:val="clear" w:color="auto" w:fill="FFFFFF"/>
        <w:jc w:val="both"/>
        <w:rPr>
          <w:bCs/>
          <w:color w:val="002060"/>
          <w:sz w:val="16"/>
          <w:szCs w:val="16"/>
        </w:rPr>
      </w:pPr>
      <w:r w:rsidRPr="00DE096C">
        <w:rPr>
          <w:bCs/>
          <w:color w:val="002060"/>
          <w:sz w:val="16"/>
          <w:szCs w:val="16"/>
        </w:rPr>
        <w:t>В августе 1914 г. с началом первой мировой войны Анатра полу</w:t>
      </w:r>
      <w:r w:rsidRPr="00DE096C">
        <w:rPr>
          <w:bCs/>
          <w:color w:val="002060"/>
          <w:sz w:val="16"/>
          <w:szCs w:val="16"/>
        </w:rPr>
        <w:softHyphen/>
        <w:t>чил крупные заказы военного ведомства, что позво</w:t>
      </w:r>
      <w:r w:rsidRPr="00DE096C">
        <w:rPr>
          <w:bCs/>
          <w:color w:val="002060"/>
          <w:sz w:val="16"/>
          <w:szCs w:val="16"/>
        </w:rPr>
        <w:softHyphen/>
        <w:t>лило предприятию быстро развиваться и переобору доваться. Уже к середине 1916 года построили новые корпуса, на заводе работали деревообделочный, ме</w:t>
      </w:r>
      <w:r w:rsidRPr="00DE096C">
        <w:rPr>
          <w:bCs/>
          <w:color w:val="002060"/>
          <w:sz w:val="16"/>
          <w:szCs w:val="16"/>
        </w:rPr>
        <w:softHyphen/>
        <w:t>ханический, сварочный, малярный и другие цеха (553).</w:t>
      </w:r>
    </w:p>
    <w:p w14:paraId="44A0C1F0" w14:textId="77777777" w:rsidR="00E46615" w:rsidRPr="00DE096C" w:rsidRDefault="00E46615" w:rsidP="00D45A46">
      <w:pPr>
        <w:shd w:val="clear" w:color="auto" w:fill="FFFFFF"/>
        <w:jc w:val="both"/>
        <w:rPr>
          <w:bCs/>
          <w:color w:val="002060"/>
          <w:sz w:val="16"/>
          <w:szCs w:val="16"/>
        </w:rPr>
      </w:pPr>
    </w:p>
    <w:p w14:paraId="663CF538" w14:textId="77777777" w:rsidR="00E46615" w:rsidRPr="00DE096C" w:rsidRDefault="00E46615" w:rsidP="00D45A46">
      <w:pPr>
        <w:shd w:val="clear" w:color="auto" w:fill="FFFFFF"/>
        <w:jc w:val="both"/>
        <w:rPr>
          <w:bCs/>
          <w:color w:val="002060"/>
          <w:sz w:val="16"/>
          <w:szCs w:val="16"/>
        </w:rPr>
      </w:pPr>
      <w:r w:rsidRPr="00DE096C">
        <w:rPr>
          <w:bCs/>
          <w:color w:val="002060"/>
          <w:sz w:val="16"/>
          <w:szCs w:val="16"/>
        </w:rPr>
        <w:t>С августа 1914 г. разразившаяся первая империалистическая война и возникшая потребность создания собственных средств защиты от значительно ушедшего вперед в области авиационной культуры врага заставляет царское правительство спохватиться и приступить к созданию собственной производственной базы. Тут полностью обнаруживается беспомощность российской промышленности. Царская Россия становится втупик и попадает в полную зави</w:t>
      </w:r>
      <w:r w:rsidRPr="00DE096C">
        <w:rPr>
          <w:bCs/>
          <w:color w:val="002060"/>
          <w:sz w:val="16"/>
          <w:szCs w:val="16"/>
        </w:rPr>
        <w:softHyphen/>
        <w:t>симость от союзников, уплачивая им бешеные деньги за «организацию» новых заводов.</w:t>
      </w:r>
    </w:p>
    <w:p w14:paraId="4B9847CD" w14:textId="77777777" w:rsidR="00E46615" w:rsidRPr="00DE096C" w:rsidRDefault="00E46615" w:rsidP="00D45A46">
      <w:pPr>
        <w:shd w:val="clear" w:color="auto" w:fill="FFFFFF"/>
        <w:jc w:val="both"/>
        <w:rPr>
          <w:bCs/>
          <w:color w:val="002060"/>
          <w:sz w:val="16"/>
          <w:szCs w:val="16"/>
        </w:rPr>
      </w:pPr>
      <w:r w:rsidRPr="00DE096C">
        <w:rPr>
          <w:bCs/>
          <w:color w:val="002060"/>
          <w:sz w:val="16"/>
          <w:szCs w:val="16"/>
        </w:rPr>
        <w:t>Что это были за заводы — мы узнали сразу же после первых дней революции, когда вплотную занялись нацио</w:t>
      </w:r>
      <w:r w:rsidRPr="00DE096C">
        <w:rPr>
          <w:bCs/>
          <w:color w:val="002060"/>
          <w:sz w:val="16"/>
          <w:szCs w:val="16"/>
        </w:rPr>
        <w:softHyphen/>
        <w:t>нализацией и попутно ревизией царского авиационного на</w:t>
      </w:r>
      <w:r w:rsidRPr="00DE096C">
        <w:rPr>
          <w:bCs/>
          <w:color w:val="002060"/>
          <w:sz w:val="16"/>
          <w:szCs w:val="16"/>
        </w:rPr>
        <w:softHyphen/>
        <w:t>следства. Это были маленькие, наспех состроенные и оборудованные предприятия, работавшие исключительно под руководством иностранных фирм, по иностранным образ</w:t>
      </w:r>
      <w:r w:rsidRPr="00DE096C">
        <w:rPr>
          <w:bCs/>
          <w:color w:val="002060"/>
          <w:sz w:val="16"/>
          <w:szCs w:val="16"/>
        </w:rPr>
        <w:softHyphen/>
        <w:t>цам конструкций, на иностранных полуфабрикатах. Но даже и примитивные авиационные заводики не принадле</w:t>
      </w:r>
      <w:r w:rsidRPr="00DE096C">
        <w:rPr>
          <w:bCs/>
          <w:color w:val="002060"/>
          <w:sz w:val="16"/>
          <w:szCs w:val="16"/>
        </w:rPr>
        <w:softHyphen/>
        <w:t>жали целиком России: боясь лишиться огромных прибы</w:t>
      </w:r>
      <w:r w:rsidRPr="00DE096C">
        <w:rPr>
          <w:bCs/>
          <w:color w:val="002060"/>
          <w:sz w:val="16"/>
          <w:szCs w:val="16"/>
        </w:rPr>
        <w:softHyphen/>
        <w:t>лей (достаточно указать, ,что за время мировой войны рус</w:t>
      </w:r>
      <w:r w:rsidRPr="00DE096C">
        <w:rPr>
          <w:bCs/>
          <w:color w:val="002060"/>
          <w:sz w:val="16"/>
          <w:szCs w:val="16"/>
        </w:rPr>
        <w:softHyphen/>
        <w:t>ское военное министерство закупило у иностранных завод</w:t>
      </w:r>
      <w:r w:rsidRPr="00DE096C">
        <w:rPr>
          <w:bCs/>
          <w:color w:val="002060"/>
          <w:sz w:val="16"/>
          <w:szCs w:val="16"/>
        </w:rPr>
        <w:softHyphen/>
        <w:t>чиков авиационного имущества на 520 млн. рублей), союз</w:t>
      </w:r>
      <w:r w:rsidRPr="00DE096C">
        <w:rPr>
          <w:bCs/>
          <w:color w:val="002060"/>
          <w:sz w:val="16"/>
          <w:szCs w:val="16"/>
        </w:rPr>
        <w:softHyphen/>
        <w:t>ники держали их под строжайшим контролем, не давая русским инженерам и техникам сделать буквально ни од</w:t>
      </w:r>
      <w:r w:rsidRPr="00DE096C">
        <w:rPr>
          <w:bCs/>
          <w:color w:val="002060"/>
          <w:sz w:val="16"/>
          <w:szCs w:val="16"/>
        </w:rPr>
        <w:softHyphen/>
        <w:t>ного самостоятельного шага.</w:t>
      </w:r>
    </w:p>
    <w:p w14:paraId="2C0750E0" w14:textId="77777777" w:rsidR="00E46615" w:rsidRPr="00DE096C" w:rsidRDefault="00E46615" w:rsidP="00D45A46">
      <w:pPr>
        <w:shd w:val="clear" w:color="auto" w:fill="FFFFFF"/>
        <w:jc w:val="both"/>
        <w:rPr>
          <w:bCs/>
          <w:color w:val="002060"/>
          <w:sz w:val="16"/>
          <w:szCs w:val="16"/>
        </w:rPr>
      </w:pPr>
      <w:r w:rsidRPr="00DE096C">
        <w:rPr>
          <w:bCs/>
          <w:color w:val="002060"/>
          <w:sz w:val="16"/>
          <w:szCs w:val="16"/>
        </w:rPr>
        <w:t>Продукция этих заводов полностью соответствовала их полукустарному оборудованию и мощности, что, естественно, сказывалось и на состоянии боевой авиации царской армии.</w:t>
      </w:r>
    </w:p>
    <w:p w14:paraId="2FB66D34" w14:textId="77777777" w:rsidR="00E46615" w:rsidRPr="00DE096C" w:rsidRDefault="00E46615" w:rsidP="00D45A46">
      <w:pPr>
        <w:shd w:val="clear" w:color="auto" w:fill="FFFFFF"/>
        <w:jc w:val="both"/>
        <w:rPr>
          <w:bCs/>
          <w:color w:val="002060"/>
          <w:sz w:val="16"/>
          <w:szCs w:val="16"/>
        </w:rPr>
      </w:pPr>
      <w:r w:rsidRPr="00DE096C">
        <w:rPr>
          <w:bCs/>
          <w:color w:val="002060"/>
          <w:sz w:val="16"/>
          <w:szCs w:val="16"/>
        </w:rPr>
        <w:t>Характерная, отличительная черта ее — разношерстность, пестрота и многообразие типов самолетов. Тут были и английские, и французские, и немецкие типы конструкций. И только 2 конструкции из 16 были оригинальными русскими. Это — первые многомоторные бомбардировщики конструкции Сикорского «Илья Муромец», заслужившие впоследствии мировое признание благодаря своим хорошим по тому времени летным качествам. Из 9 типов моторов, стоявших на всей массе разнообразных машин, только один тип мотора был отечественного происхождения. Полетные качества этих самолетов и моторов были .нич</w:t>
      </w:r>
      <w:r w:rsidRPr="00DE096C">
        <w:rPr>
          <w:bCs/>
          <w:color w:val="002060"/>
          <w:sz w:val="16"/>
          <w:szCs w:val="16"/>
        </w:rPr>
        <w:softHyphen/>
        <w:t>тожны. Хотя русские самолеты и строились из иностранно ных материалов, под руководством иностранных инженей ров и, по существу, на иностранных заводах, только территориалъво помещавшихся в России, но они, как правило, были значительно хуже по качеству таких же самолетов, построенных за границей. В этом заключалась волчья тактика капитализма. Блокируясь с Россией и якобы помогая ей в войне против Германии, иностранные промышленники в то же время, умышленно ослабляли мощность царского воздушного флота как для того, чтобы не терять возможно дольше ценных заказчиков, так и на тот случай, если во</w:t>
      </w:r>
      <w:r w:rsidRPr="00DE096C">
        <w:rPr>
          <w:bCs/>
          <w:color w:val="002060"/>
          <w:sz w:val="16"/>
          <w:szCs w:val="16"/>
        </w:rPr>
        <w:softHyphen/>
        <w:t>енная обстановка изменится и Россия повернет оружие против союзников.</w:t>
      </w:r>
    </w:p>
    <w:p w14:paraId="048836D7" w14:textId="77777777" w:rsidR="00E46615" w:rsidRPr="00DE096C" w:rsidRDefault="00E46615" w:rsidP="00D45A46">
      <w:pPr>
        <w:shd w:val="clear" w:color="auto" w:fill="FFFFFF"/>
        <w:jc w:val="both"/>
        <w:rPr>
          <w:bCs/>
          <w:color w:val="002060"/>
          <w:sz w:val="16"/>
          <w:szCs w:val="16"/>
        </w:rPr>
      </w:pPr>
      <w:r w:rsidRPr="00DE096C">
        <w:rPr>
          <w:bCs/>
          <w:color w:val="002060"/>
          <w:sz w:val="16"/>
          <w:szCs w:val="16"/>
        </w:rPr>
        <w:t>Многотипность самолетного парка в царском воздушном значительно осложняла и без того находившуюся на весьма низком уровне подготовку авиационных кадров. В период мировой войны, когда положение на фронтах требовало как можно больше воздушных сил, царское правительство, видя, что на одних офицерах далеко не уедешь, приняло решение открыть специальные школы для подготовки летчиков из рядового технического состава - техников, механиков, мотористов. Запоздалое решение в недалеком будущем пришлось очень кстати и новой советской, подлинно отечественной авиации (11097).</w:t>
      </w:r>
    </w:p>
    <w:p w14:paraId="78AC8C80" w14:textId="77777777" w:rsidR="00E46615" w:rsidRPr="00DE096C" w:rsidRDefault="00E46615" w:rsidP="00D45A46">
      <w:pPr>
        <w:shd w:val="clear" w:color="auto" w:fill="FFFFFF"/>
        <w:jc w:val="both"/>
        <w:rPr>
          <w:bCs/>
          <w:color w:val="002060"/>
          <w:sz w:val="16"/>
          <w:szCs w:val="16"/>
        </w:rPr>
      </w:pPr>
      <w:r w:rsidRPr="00DE096C">
        <w:rPr>
          <w:bCs/>
          <w:color w:val="002060"/>
          <w:sz w:val="16"/>
          <w:szCs w:val="16"/>
        </w:rPr>
        <w:t>Юг страны, где после разгрома сосредоточились главные силы контрреволюции, был отрезан, а там именно и происходило обучение и располагалась вторая часть дореволюционной авиапромышленности. Небольшое же количество заводов, находившихся на советской территории России, стояло из-за отсутствия сырья, металлов и важнейших частей, ввозившихся границы. Помимо этого особо остро стоял о кадрах летчиков, которые летали бы на машиных, доставшихся нам в наследство от царской армии</w:t>
      </w:r>
    </w:p>
    <w:p w14:paraId="0E9705C3" w14:textId="77777777" w:rsidR="00E46615" w:rsidRPr="00DE096C" w:rsidRDefault="00E46615" w:rsidP="00D45A46">
      <w:pPr>
        <w:shd w:val="clear" w:color="auto" w:fill="FFFFFF"/>
        <w:jc w:val="both"/>
        <w:rPr>
          <w:bCs/>
          <w:color w:val="002060"/>
          <w:sz w:val="16"/>
          <w:szCs w:val="16"/>
        </w:rPr>
      </w:pPr>
      <w:r w:rsidRPr="00DE096C">
        <w:rPr>
          <w:bCs/>
          <w:color w:val="002060"/>
          <w:sz w:val="16"/>
          <w:szCs w:val="16"/>
        </w:rPr>
        <w:t>Количество самолетов было очень невелико: к полетам насчитывалось едва ли более 300, но и на этихмашинах на первых порах некому было летать. Следует помнить, что к моменту свержения царского строя и окончания империалистической войны кадровый состав вушной армии делился на следующие группы: 20 про-— кадровое офицерство из дворян и крупной буржуаазии, 30 процентов — офицерство, произведенное в командные чины в военное время, 35 процентов — вольно-определяющиеся, преимущественно из мелкобуржуазной ингеллигенции и, наконец, лишь 15 процентов — из рабочих. Первая группа летчиков дворян и буржуазных аристократов — целиком перешла на сторону контрреволюции. Обе следующие группы — офицеры военного времени и вольноопределяющиеся — представляли весьма шаткую в политическом отношении массу, положиться на которую было весьма рискованно. И даже самая последняя группа— группа летчиков из нижних чинов — требовала очень осторожного подхода, так как положение солдат-летчиков в царской воздушной армии-было весьма отлично от положе</w:t>
      </w:r>
      <w:r w:rsidRPr="00DE096C">
        <w:rPr>
          <w:bCs/>
          <w:color w:val="002060"/>
          <w:sz w:val="16"/>
          <w:szCs w:val="16"/>
        </w:rPr>
        <w:softHyphen/>
        <w:t>ния солдат других родов войск. Солдаты-летчики и ма</w:t>
      </w:r>
      <w:r w:rsidRPr="00DE096C">
        <w:rPr>
          <w:bCs/>
          <w:color w:val="002060"/>
          <w:sz w:val="16"/>
          <w:szCs w:val="16"/>
        </w:rPr>
        <w:softHyphen/>
        <w:t>териально и, до известной степени, морально были, так сказать, на привилегированном положении. (Надо вспом</w:t>
      </w:r>
      <w:r w:rsidRPr="00DE096C">
        <w:rPr>
          <w:bCs/>
          <w:color w:val="002060"/>
          <w:sz w:val="16"/>
          <w:szCs w:val="16"/>
        </w:rPr>
        <w:softHyphen/>
        <w:t>нить нужду царской армии во время империалистической войны в воздушном пушечном мясе.) Царская армия до</w:t>
      </w:r>
      <w:r w:rsidRPr="00DE096C">
        <w:rPr>
          <w:bCs/>
          <w:color w:val="002060"/>
          <w:sz w:val="16"/>
          <w:szCs w:val="16"/>
        </w:rPr>
        <w:softHyphen/>
        <w:t>вольно прилично платила (солдат-летчик получал 105 руб</w:t>
      </w:r>
      <w:r w:rsidRPr="00DE096C">
        <w:rPr>
          <w:bCs/>
          <w:color w:val="002060"/>
          <w:sz w:val="16"/>
          <w:szCs w:val="16"/>
        </w:rPr>
        <w:softHyphen/>
        <w:t>лей жалованья) за право посылать в ответственные и ри</w:t>
      </w:r>
      <w:r w:rsidRPr="00DE096C">
        <w:rPr>
          <w:bCs/>
          <w:color w:val="002060"/>
          <w:sz w:val="16"/>
          <w:szCs w:val="16"/>
        </w:rPr>
        <w:softHyphen/>
        <w:t>скованные воздушные бои летчиков-солдат, сохраняя тем самым жизнь летчиков-офицеров, отсиживавшихся в опасйые моменты по тылам. Но классовое сознание летчиков-солдат было настолько притуплено, что они не понимали этого и считали свое положение более чем удовлетвори</w:t>
      </w:r>
      <w:r w:rsidRPr="00DE096C">
        <w:rPr>
          <w:bCs/>
          <w:color w:val="002060"/>
          <w:sz w:val="16"/>
          <w:szCs w:val="16"/>
        </w:rPr>
        <w:softHyphen/>
        <w:t>тельным.</w:t>
      </w:r>
    </w:p>
    <w:p w14:paraId="52C4B5AC" w14:textId="77777777" w:rsidR="00E46615" w:rsidRPr="00DE096C" w:rsidRDefault="00E46615" w:rsidP="00D45A46">
      <w:pPr>
        <w:shd w:val="clear" w:color="auto" w:fill="FFFFFF"/>
        <w:jc w:val="both"/>
        <w:rPr>
          <w:bCs/>
          <w:color w:val="002060"/>
          <w:sz w:val="16"/>
          <w:szCs w:val="16"/>
        </w:rPr>
      </w:pPr>
      <w:r w:rsidRPr="00DE096C">
        <w:rPr>
          <w:bCs/>
          <w:color w:val="002060"/>
          <w:sz w:val="16"/>
          <w:szCs w:val="16"/>
        </w:rPr>
        <w:t>Однако к моменту падения Временного правительства, контрреволюционная сущность которого стала совершенно ясной, эта группа резко и решительно меняет свои взгляды и убеждения и целиком переходит на сторону революции. Во время Великой Октябрьской социалистической револю-летчики — бывшие царские солдаты — действуют на-дане с пролетариатом, и уже к началу 1918 г. революционная армия насчитывает в своих рядах 4 красногвардейских авиационных отрядов, численно-в 300 летчиков, чьи боевые действия против чер-сил контрреволюции завоевали неувядаемую героиче-славу.</w:t>
      </w:r>
    </w:p>
    <w:p w14:paraId="5F7A6B4A" w14:textId="77777777" w:rsidR="00E46615" w:rsidRPr="00DE096C" w:rsidRDefault="00E46615" w:rsidP="00D45A46">
      <w:pPr>
        <w:shd w:val="clear" w:color="auto" w:fill="FFFFFF"/>
        <w:jc w:val="both"/>
        <w:rPr>
          <w:bCs/>
          <w:color w:val="002060"/>
          <w:sz w:val="16"/>
          <w:szCs w:val="16"/>
        </w:rPr>
      </w:pPr>
      <w:r w:rsidRPr="00DE096C">
        <w:rPr>
          <w:bCs/>
          <w:color w:val="002060"/>
          <w:sz w:val="16"/>
          <w:szCs w:val="16"/>
        </w:rPr>
        <w:t>Эти первые 30 отрядов и послужили основой для даль</w:t>
      </w:r>
      <w:r w:rsidRPr="00DE096C">
        <w:rPr>
          <w:bCs/>
          <w:color w:val="002060"/>
          <w:sz w:val="16"/>
          <w:szCs w:val="16"/>
        </w:rPr>
        <w:softHyphen/>
        <w:t>нейшего роста революционного Красного воздушного флота, который вскоре стал непобедимой грозной силой, заставляющей трепетать значительно более хорошо осна</w:t>
      </w:r>
      <w:r w:rsidRPr="00DE096C">
        <w:rPr>
          <w:bCs/>
          <w:color w:val="002060"/>
          <w:sz w:val="16"/>
          <w:szCs w:val="16"/>
        </w:rPr>
        <w:softHyphen/>
        <w:t>щенного и яисленно превосходящего противника.</w:t>
      </w:r>
    </w:p>
    <w:p w14:paraId="7672CD9F" w14:textId="77777777" w:rsidR="00E46615" w:rsidRPr="00DE096C" w:rsidRDefault="00E46615" w:rsidP="00D45A46">
      <w:pPr>
        <w:shd w:val="clear" w:color="auto" w:fill="FFFFFF"/>
        <w:jc w:val="both"/>
        <w:rPr>
          <w:bCs/>
          <w:color w:val="002060"/>
          <w:sz w:val="16"/>
          <w:szCs w:val="16"/>
        </w:rPr>
      </w:pPr>
      <w:r w:rsidRPr="00DE096C">
        <w:rPr>
          <w:bCs/>
          <w:color w:val="002060"/>
          <w:sz w:val="16"/>
          <w:szCs w:val="16"/>
        </w:rPr>
        <w:t>«Секрет» этого, казалось бы необъяснимого, с точки зрения военной науки, явления заключался в подлинном .энтузиазме, в беззаветном сознательном героизме и предан-делу рабочего класса со стороны красных летчиков. История гражданской войны изобилует бесчисленными при</w:t>
      </w:r>
      <w:r w:rsidRPr="00DE096C">
        <w:rPr>
          <w:bCs/>
          <w:color w:val="002060"/>
          <w:sz w:val="16"/>
          <w:szCs w:val="16"/>
        </w:rPr>
        <w:softHyphen/>
        <w:t>ми самоотверженной борьбы, отваги и мужества героических советских летчиков. На заплатанных жалких самолетых, за которыми справедливо сохранилось до сих пор ое название «летающих гробов», с ничтожными по качеству и мощности моторами красные летчики творили Чудеса и побеждали (11097).</w:t>
      </w:r>
    </w:p>
    <w:p w14:paraId="2D474180" w14:textId="77777777" w:rsidR="00E46615" w:rsidRPr="00DE096C" w:rsidRDefault="00E46615" w:rsidP="00D45A46">
      <w:pPr>
        <w:shd w:val="clear" w:color="auto" w:fill="FFFFFF"/>
        <w:jc w:val="both"/>
        <w:rPr>
          <w:bCs/>
          <w:color w:val="002060"/>
          <w:sz w:val="16"/>
          <w:szCs w:val="16"/>
        </w:rPr>
      </w:pPr>
    </w:p>
    <w:p w14:paraId="21A8A557" w14:textId="77777777" w:rsidR="00E46615" w:rsidRPr="00DE096C" w:rsidRDefault="00E46615" w:rsidP="00D45A46">
      <w:pPr>
        <w:jc w:val="both"/>
        <w:rPr>
          <w:bCs/>
          <w:color w:val="002060"/>
          <w:sz w:val="16"/>
          <w:szCs w:val="16"/>
        </w:rPr>
      </w:pPr>
      <w:r w:rsidRPr="00DE096C">
        <w:rPr>
          <w:bCs/>
          <w:color w:val="002060"/>
          <w:sz w:val="16"/>
          <w:szCs w:val="16"/>
        </w:rPr>
        <w:t>С августа 1914 г. с начала войны 1914 мастерская Уфимцева производила также военные снаряды (запальные стаканы), для чего А. Г. Уфимцевым было специально сконструировано 13 станков-автоматов (11235). В 1921 в Курске из-за отказа двигателя совершил вынужденную посадку самолет "Юнкерс". Мотор починили в мастерских А. Г. Уфимцева (11235).</w:t>
      </w:r>
    </w:p>
    <w:p w14:paraId="5DDBCC47" w14:textId="77777777" w:rsidR="00E46615" w:rsidRPr="00DE096C" w:rsidRDefault="00E46615" w:rsidP="00D45A46">
      <w:pPr>
        <w:jc w:val="both"/>
        <w:rPr>
          <w:bCs/>
          <w:color w:val="002060"/>
          <w:sz w:val="16"/>
          <w:szCs w:val="16"/>
        </w:rPr>
      </w:pPr>
    </w:p>
    <w:p w14:paraId="5438992E" w14:textId="77777777" w:rsidR="00E46615" w:rsidRPr="00DE096C" w:rsidRDefault="00E46615" w:rsidP="00D45A46">
      <w:pPr>
        <w:shd w:val="clear" w:color="auto" w:fill="FFFFFF"/>
        <w:jc w:val="both"/>
        <w:rPr>
          <w:bCs/>
          <w:color w:val="002060"/>
          <w:sz w:val="16"/>
          <w:szCs w:val="16"/>
        </w:rPr>
      </w:pPr>
      <w:r w:rsidRPr="00DE096C">
        <w:rPr>
          <w:bCs/>
          <w:color w:val="002060"/>
          <w:sz w:val="16"/>
          <w:szCs w:val="16"/>
        </w:rPr>
        <w:t>С августа 1914 г. и начала Первой мировой войны отмечается увеличение довоенных заказов и заключению новых контрактов. Вы</w:t>
      </w:r>
      <w:r w:rsidRPr="00DE096C">
        <w:rPr>
          <w:bCs/>
          <w:color w:val="002060"/>
          <w:sz w:val="16"/>
          <w:szCs w:val="16"/>
        </w:rPr>
        <w:softHyphen/>
        <w:t>пуск самолетов увеличили по сравнению с прошлогодним в 2,5 раза, в 1914-1917 гг. на Дуксе построили 190, 382, 481 и 543 самолета, соответственно. Таких темпов роста производст</w:t>
      </w:r>
      <w:r w:rsidRPr="00DE096C">
        <w:rPr>
          <w:bCs/>
          <w:color w:val="002060"/>
          <w:sz w:val="16"/>
          <w:szCs w:val="16"/>
        </w:rPr>
        <w:softHyphen/>
        <w:t>ва не имел ни один из российских авиазаводов (9651).</w:t>
      </w:r>
    </w:p>
    <w:p w14:paraId="1A596E4D" w14:textId="77777777" w:rsidR="00E46615" w:rsidRPr="00DE096C" w:rsidRDefault="00E46615" w:rsidP="00D45A46">
      <w:pPr>
        <w:shd w:val="clear" w:color="auto" w:fill="FFFFFF"/>
        <w:jc w:val="both"/>
        <w:rPr>
          <w:bCs/>
          <w:color w:val="002060"/>
          <w:sz w:val="16"/>
          <w:szCs w:val="16"/>
        </w:rPr>
      </w:pPr>
    </w:p>
    <w:p w14:paraId="73E94BB9" w14:textId="77777777" w:rsidR="00E46615" w:rsidRPr="00DE096C" w:rsidRDefault="00E46615" w:rsidP="00D45A46">
      <w:pPr>
        <w:shd w:val="clear" w:color="auto" w:fill="FFFFFF"/>
        <w:jc w:val="both"/>
        <w:rPr>
          <w:bCs/>
          <w:color w:val="002060"/>
          <w:sz w:val="16"/>
          <w:szCs w:val="16"/>
        </w:rPr>
      </w:pPr>
      <w:r w:rsidRPr="00DE096C">
        <w:rPr>
          <w:bCs/>
          <w:color w:val="002060"/>
          <w:sz w:val="16"/>
          <w:szCs w:val="16"/>
        </w:rPr>
        <w:t>С августа 1914 г. в самом начале войны Главное военно-тех</w:t>
      </w:r>
      <w:r w:rsidRPr="00DE096C">
        <w:rPr>
          <w:bCs/>
          <w:color w:val="002060"/>
          <w:sz w:val="16"/>
          <w:szCs w:val="16"/>
        </w:rPr>
        <w:softHyphen/>
        <w:t>ническое управление заказало во Франции 150, а через не</w:t>
      </w:r>
      <w:r w:rsidRPr="00DE096C">
        <w:rPr>
          <w:bCs/>
          <w:color w:val="002060"/>
          <w:sz w:val="16"/>
          <w:szCs w:val="16"/>
        </w:rPr>
        <w:softHyphen/>
        <w:t>сколько месяцев еще 250 моторов «Сальмсон» (мощностью 130—150 л. с.).</w:t>
      </w:r>
    </w:p>
    <w:p w14:paraId="580AEA8C" w14:textId="77777777" w:rsidR="00E46615" w:rsidRPr="00DE096C" w:rsidRDefault="00E46615" w:rsidP="00D45A46">
      <w:pPr>
        <w:shd w:val="clear" w:color="auto" w:fill="FFFFFF"/>
        <w:jc w:val="both"/>
        <w:rPr>
          <w:bCs/>
          <w:color w:val="002060"/>
          <w:sz w:val="16"/>
          <w:szCs w:val="16"/>
        </w:rPr>
      </w:pPr>
      <w:r w:rsidRPr="00DE096C">
        <w:rPr>
          <w:bCs/>
          <w:color w:val="002060"/>
          <w:sz w:val="16"/>
          <w:szCs w:val="16"/>
        </w:rPr>
        <w:t>Однако французское правительство резко ограничило вывоз самолетов и моторов последних образцов, разрешив прода</w:t>
      </w:r>
      <w:r w:rsidRPr="00DE096C">
        <w:rPr>
          <w:bCs/>
          <w:color w:val="002060"/>
          <w:sz w:val="16"/>
          <w:szCs w:val="16"/>
        </w:rPr>
        <w:softHyphen/>
        <w:t>вать России только устаревшие самолеты и маломощные мо</w:t>
      </w:r>
      <w:r w:rsidRPr="00DE096C">
        <w:rPr>
          <w:bCs/>
          <w:color w:val="002060"/>
          <w:sz w:val="16"/>
          <w:szCs w:val="16"/>
        </w:rPr>
        <w:softHyphen/>
        <w:t>торы (278).</w:t>
      </w:r>
    </w:p>
    <w:p w14:paraId="35D4DDE4" w14:textId="77777777" w:rsidR="00E46615" w:rsidRPr="00DE096C" w:rsidRDefault="00E46615" w:rsidP="00D45A46">
      <w:pPr>
        <w:shd w:val="clear" w:color="auto" w:fill="FFFFFF"/>
        <w:jc w:val="both"/>
        <w:rPr>
          <w:bCs/>
          <w:color w:val="002060"/>
          <w:sz w:val="16"/>
          <w:szCs w:val="16"/>
        </w:rPr>
      </w:pPr>
    </w:p>
    <w:p w14:paraId="42515649" w14:textId="77777777" w:rsidR="00E46615" w:rsidRPr="00DE096C" w:rsidRDefault="00E46615" w:rsidP="00D45A46">
      <w:pPr>
        <w:shd w:val="clear" w:color="auto" w:fill="FFFFFF"/>
        <w:jc w:val="both"/>
        <w:rPr>
          <w:bCs/>
          <w:color w:val="002060"/>
          <w:sz w:val="16"/>
          <w:szCs w:val="16"/>
        </w:rPr>
      </w:pPr>
      <w:r w:rsidRPr="00DE096C">
        <w:rPr>
          <w:bCs/>
          <w:color w:val="002060"/>
          <w:sz w:val="16"/>
          <w:szCs w:val="16"/>
        </w:rPr>
        <w:t>С августа 1914 г. с началом Первой мировой войны для военных це</w:t>
      </w:r>
      <w:r w:rsidRPr="00DE096C">
        <w:rPr>
          <w:bCs/>
          <w:color w:val="002060"/>
          <w:sz w:val="16"/>
          <w:szCs w:val="16"/>
        </w:rPr>
        <w:softHyphen/>
        <w:t>лей на Черном море мобилизовали более 50 граждан</w:t>
      </w:r>
      <w:r w:rsidRPr="00DE096C">
        <w:rPr>
          <w:bCs/>
          <w:color w:val="002060"/>
          <w:sz w:val="16"/>
          <w:szCs w:val="16"/>
        </w:rPr>
        <w:softHyphen/>
        <w:t>ских судов. В указанное количество вошли два новейших 6 товаропассажирских парохода «Император Николай I» и «Император Александр III», которые переоборудова</w:t>
      </w:r>
      <w:r w:rsidRPr="00DE096C">
        <w:rPr>
          <w:bCs/>
          <w:color w:val="002060"/>
          <w:sz w:val="16"/>
          <w:szCs w:val="16"/>
        </w:rPr>
        <w:softHyphen/>
        <w:t xml:space="preserve">ли во вспомогательные крейсеры - </w:t>
      </w:r>
      <w:r w:rsidRPr="00DE096C">
        <w:rPr>
          <w:bCs/>
          <w:color w:val="002060"/>
          <w:sz w:val="16"/>
          <w:szCs w:val="16"/>
        </w:rPr>
        <w:lastRenderedPageBreak/>
        <w:t>авиатранспорты. Оба парохода изначально заказывались фирме-изгото</w:t>
      </w:r>
      <w:r w:rsidRPr="00DE096C">
        <w:rPr>
          <w:bCs/>
          <w:color w:val="002060"/>
          <w:sz w:val="16"/>
          <w:szCs w:val="16"/>
        </w:rPr>
        <w:softHyphen/>
        <w:t>вителю с учетом возможного их использования в случае войны. Они могли развивать скорость, позволявшую им сопровождать боевую эскадру, обладали достаточной «живучестью» на случай боевых повреждений (11107).</w:t>
      </w:r>
    </w:p>
    <w:p w14:paraId="4567FBEC" w14:textId="77777777" w:rsidR="00E46615" w:rsidRPr="00DE096C" w:rsidRDefault="00E46615" w:rsidP="00D45A46">
      <w:pPr>
        <w:shd w:val="clear" w:color="auto" w:fill="FFFFFF"/>
        <w:jc w:val="both"/>
        <w:rPr>
          <w:bCs/>
          <w:color w:val="002060"/>
          <w:sz w:val="16"/>
          <w:szCs w:val="16"/>
        </w:rPr>
      </w:pPr>
    </w:p>
    <w:p w14:paraId="41385890" w14:textId="77777777" w:rsidR="00E46615" w:rsidRPr="00DE096C" w:rsidRDefault="00E46615" w:rsidP="00D45A46">
      <w:pPr>
        <w:jc w:val="both"/>
        <w:rPr>
          <w:bCs/>
          <w:color w:val="002060"/>
          <w:sz w:val="16"/>
          <w:szCs w:val="16"/>
        </w:rPr>
      </w:pPr>
      <w:r w:rsidRPr="00DE096C">
        <w:rPr>
          <w:bCs/>
          <w:color w:val="002060"/>
          <w:sz w:val="16"/>
          <w:szCs w:val="16"/>
        </w:rPr>
        <w:t>С августа 1914 г. в начале первой мировой войны при Петербургском политехничес</w:t>
      </w:r>
      <w:r w:rsidRPr="00DE096C">
        <w:rPr>
          <w:bCs/>
          <w:color w:val="002060"/>
          <w:sz w:val="16"/>
          <w:szCs w:val="16"/>
        </w:rPr>
        <w:softHyphen/>
        <w:t>ком институте началась работа, в результате которой было организовано расчетно-испытательное бюро (РИБ) для обслуживания нужд Управления морской авиации и воздухоплавания.</w:t>
      </w:r>
    </w:p>
    <w:p w14:paraId="29AA5F43" w14:textId="77777777" w:rsidR="00E46615" w:rsidRPr="00DE096C" w:rsidRDefault="00E46615" w:rsidP="00D45A46">
      <w:pPr>
        <w:shd w:val="clear" w:color="auto" w:fill="FFFFFF"/>
        <w:jc w:val="both"/>
        <w:rPr>
          <w:bCs/>
          <w:color w:val="002060"/>
          <w:sz w:val="16"/>
          <w:szCs w:val="16"/>
        </w:rPr>
      </w:pPr>
      <w:r w:rsidRPr="00DE096C">
        <w:rPr>
          <w:bCs/>
          <w:color w:val="002060"/>
          <w:sz w:val="16"/>
          <w:szCs w:val="16"/>
        </w:rPr>
        <w:t>Таким образом, деятельность Аэродинамической лаборатории Политех</w:t>
      </w:r>
      <w:r w:rsidRPr="00DE096C">
        <w:rPr>
          <w:bCs/>
          <w:color w:val="002060"/>
          <w:sz w:val="16"/>
          <w:szCs w:val="16"/>
        </w:rPr>
        <w:softHyphen/>
        <w:t>нического института внесла большой вклад в практику отечественного са</w:t>
      </w:r>
      <w:r w:rsidRPr="00DE096C">
        <w:rPr>
          <w:bCs/>
          <w:color w:val="002060"/>
          <w:sz w:val="16"/>
          <w:szCs w:val="16"/>
        </w:rPr>
        <w:softHyphen/>
        <w:t>молётостроения. Этим она выгодно отличалась от других, более мелких аэродинамических лабораторий Петербурга.</w:t>
      </w:r>
    </w:p>
    <w:p w14:paraId="081543BE" w14:textId="77777777" w:rsidR="00E46615" w:rsidRPr="00DE096C" w:rsidRDefault="00E46615" w:rsidP="00D45A46">
      <w:pPr>
        <w:shd w:val="clear" w:color="auto" w:fill="FFFFFF"/>
        <w:jc w:val="both"/>
        <w:rPr>
          <w:bCs/>
          <w:color w:val="002060"/>
          <w:sz w:val="16"/>
          <w:szCs w:val="16"/>
        </w:rPr>
      </w:pPr>
      <w:r w:rsidRPr="00DE096C">
        <w:rPr>
          <w:bCs/>
          <w:color w:val="002060"/>
          <w:sz w:val="16"/>
          <w:szCs w:val="16"/>
        </w:rPr>
        <w:t>При постройке гидросамолётов Д.П. Григоровича проводились ис</w:t>
      </w:r>
      <w:r w:rsidRPr="00DE096C">
        <w:rPr>
          <w:bCs/>
          <w:color w:val="002060"/>
          <w:sz w:val="16"/>
          <w:szCs w:val="16"/>
        </w:rPr>
        <w:softHyphen/>
        <w:t>следования моделей крыльев и фюзеляжа в аэродинамической трубе. Модели гидролодки протаскивали в гидроканале военно-морского фло</w:t>
      </w:r>
      <w:r w:rsidRPr="00DE096C">
        <w:rPr>
          <w:bCs/>
          <w:color w:val="002060"/>
          <w:sz w:val="16"/>
          <w:szCs w:val="16"/>
        </w:rPr>
        <w:softHyphen/>
        <w:t>та. На основе этих экспериментов был создан гидросамолёт М-5, пока</w:t>
      </w:r>
      <w:r w:rsidRPr="00DE096C">
        <w:rPr>
          <w:bCs/>
          <w:color w:val="002060"/>
          <w:sz w:val="16"/>
          <w:szCs w:val="16"/>
        </w:rPr>
        <w:softHyphen/>
        <w:t>завший хорошие летные и мореходные качества.</w:t>
      </w:r>
    </w:p>
    <w:p w14:paraId="32D47E8E" w14:textId="77777777" w:rsidR="00E46615" w:rsidRPr="00DE096C" w:rsidRDefault="00E46615" w:rsidP="00D45A46">
      <w:pPr>
        <w:shd w:val="clear" w:color="auto" w:fill="FFFFFF"/>
        <w:jc w:val="both"/>
        <w:rPr>
          <w:bCs/>
          <w:color w:val="002060"/>
          <w:sz w:val="16"/>
          <w:szCs w:val="16"/>
        </w:rPr>
      </w:pPr>
      <w:r w:rsidRPr="00DE096C">
        <w:rPr>
          <w:bCs/>
          <w:color w:val="002060"/>
          <w:sz w:val="16"/>
          <w:szCs w:val="16"/>
        </w:rPr>
        <w:t>Интересные исследования проводились по совершенствованию авиабомб, что позволило существенно повысить точность бомбометания.</w:t>
      </w:r>
    </w:p>
    <w:p w14:paraId="1D07DFB6" w14:textId="77777777" w:rsidR="00E46615" w:rsidRPr="00DE096C" w:rsidRDefault="00E46615" w:rsidP="00D45A46">
      <w:pPr>
        <w:shd w:val="clear" w:color="auto" w:fill="FFFFFF"/>
        <w:jc w:val="both"/>
        <w:rPr>
          <w:bCs/>
          <w:color w:val="002060"/>
          <w:sz w:val="16"/>
          <w:szCs w:val="16"/>
        </w:rPr>
      </w:pPr>
      <w:r w:rsidRPr="00DE096C">
        <w:rPr>
          <w:bCs/>
          <w:color w:val="002060"/>
          <w:sz w:val="16"/>
          <w:szCs w:val="16"/>
        </w:rPr>
        <w:t>В лаборатории также проводились продувки по выбору оптимальных форм дирижабля «Гигант» объемом 20 тыс. м</w:t>
      </w:r>
      <w:r w:rsidRPr="00DE096C">
        <w:rPr>
          <w:bCs/>
          <w:color w:val="002060"/>
          <w:sz w:val="16"/>
          <w:szCs w:val="16"/>
          <w:vertAlign w:val="superscript"/>
        </w:rPr>
        <w:t>3</w:t>
      </w:r>
      <w:r w:rsidRPr="00DE096C">
        <w:rPr>
          <w:bCs/>
          <w:color w:val="002060"/>
          <w:sz w:val="16"/>
          <w:szCs w:val="16"/>
        </w:rPr>
        <w:t>, строившегося на Ижорс-ком заводе.</w:t>
      </w:r>
    </w:p>
    <w:p w14:paraId="521DFF97" w14:textId="77777777" w:rsidR="00E46615" w:rsidRPr="00DE096C" w:rsidRDefault="00E46615" w:rsidP="00D45A46">
      <w:pPr>
        <w:shd w:val="clear" w:color="auto" w:fill="FFFFFF"/>
        <w:jc w:val="both"/>
        <w:rPr>
          <w:bCs/>
          <w:color w:val="002060"/>
          <w:sz w:val="16"/>
          <w:szCs w:val="16"/>
        </w:rPr>
      </w:pPr>
      <w:r w:rsidRPr="00DE096C">
        <w:rPr>
          <w:bCs/>
          <w:color w:val="002060"/>
          <w:sz w:val="16"/>
          <w:szCs w:val="16"/>
        </w:rPr>
        <w:t>Ценные опыты были выполнены в вертикальной аэродинамической трубе по изучению парашюта Г.Е. Котельникова (11425).</w:t>
      </w:r>
    </w:p>
    <w:p w14:paraId="63E31FB7" w14:textId="77777777" w:rsidR="00E46615" w:rsidRPr="00DE096C" w:rsidRDefault="00E46615" w:rsidP="00D45A46">
      <w:pPr>
        <w:shd w:val="clear" w:color="auto" w:fill="FFFFFF"/>
        <w:jc w:val="both"/>
        <w:rPr>
          <w:bCs/>
          <w:color w:val="002060"/>
          <w:sz w:val="16"/>
          <w:szCs w:val="16"/>
        </w:rPr>
      </w:pPr>
    </w:p>
    <w:p w14:paraId="71DA79C5" w14:textId="77777777" w:rsidR="000F5F6C" w:rsidRPr="00DE096C" w:rsidRDefault="000F5F6C" w:rsidP="00D45A46">
      <w:pPr>
        <w:jc w:val="both"/>
        <w:rPr>
          <w:bCs/>
          <w:color w:val="002060"/>
          <w:sz w:val="16"/>
          <w:szCs w:val="16"/>
        </w:rPr>
      </w:pPr>
      <w:r w:rsidRPr="00DE096C">
        <w:rPr>
          <w:bCs/>
          <w:color w:val="002060"/>
          <w:sz w:val="16"/>
          <w:szCs w:val="16"/>
        </w:rPr>
        <w:t>В августе 1914 г. на РБВЗ был построен «Илья Муромец» Б-2 (ИМ-Б, «Илья Муромец Киевский», № 128) экз. № 2, стратегический разведчик, по сути – учебный самолет по типу самолета № 107 («Илья Муромец» зав. № А-1, он же – Б-1) с отличиями:</w:t>
      </w:r>
    </w:p>
    <w:p w14:paraId="657E7DC4" w14:textId="77777777" w:rsidR="000F5F6C" w:rsidRPr="00DE096C" w:rsidRDefault="000F5F6C" w:rsidP="00D45A46">
      <w:pPr>
        <w:jc w:val="both"/>
        <w:rPr>
          <w:bCs/>
          <w:color w:val="002060"/>
          <w:sz w:val="16"/>
          <w:szCs w:val="16"/>
        </w:rPr>
      </w:pPr>
      <w:r w:rsidRPr="00DE096C">
        <w:rPr>
          <w:bCs/>
          <w:color w:val="002060"/>
          <w:sz w:val="16"/>
          <w:szCs w:val="16"/>
        </w:rPr>
        <w:t>- силовая установка в составе двух внутренних 6-цилиндровых двигателей «Аргус» (As II по 140 л.с.) и двух внешних 4-цилиндровых (As I) по 125 л.с.;</w:t>
      </w:r>
    </w:p>
    <w:p w14:paraId="40ABA424" w14:textId="77777777" w:rsidR="000F5F6C" w:rsidRPr="00DE096C" w:rsidRDefault="000F5F6C" w:rsidP="00D45A46">
      <w:pPr>
        <w:jc w:val="both"/>
        <w:rPr>
          <w:bCs/>
          <w:color w:val="002060"/>
          <w:sz w:val="16"/>
          <w:szCs w:val="16"/>
        </w:rPr>
      </w:pPr>
      <w:r w:rsidRPr="00DE096C">
        <w:rPr>
          <w:bCs/>
          <w:color w:val="002060"/>
          <w:sz w:val="16"/>
          <w:szCs w:val="16"/>
        </w:rPr>
        <w:t>- сделаны новые топливные баки без отсеков для масла;</w:t>
      </w:r>
    </w:p>
    <w:p w14:paraId="13C4CE0D" w14:textId="77777777" w:rsidR="000F5F6C" w:rsidRPr="00DE096C" w:rsidRDefault="000F5F6C" w:rsidP="00D45A46">
      <w:pPr>
        <w:jc w:val="both"/>
        <w:rPr>
          <w:bCs/>
          <w:color w:val="002060"/>
          <w:sz w:val="16"/>
          <w:szCs w:val="16"/>
        </w:rPr>
      </w:pPr>
      <w:r w:rsidRPr="00DE096C">
        <w:rPr>
          <w:bCs/>
          <w:color w:val="002060"/>
          <w:sz w:val="16"/>
          <w:szCs w:val="16"/>
        </w:rPr>
        <w:t>- сделаны новые масляные баки призматической формы, установленные сразу за моторами;</w:t>
      </w:r>
    </w:p>
    <w:p w14:paraId="00217B74" w14:textId="77777777" w:rsidR="000F5F6C" w:rsidRPr="00DE096C" w:rsidRDefault="000F5F6C" w:rsidP="00D45A46">
      <w:pPr>
        <w:jc w:val="both"/>
        <w:rPr>
          <w:bCs/>
          <w:color w:val="002060"/>
          <w:sz w:val="16"/>
          <w:szCs w:val="16"/>
        </w:rPr>
      </w:pPr>
      <w:r w:rsidRPr="00DE096C">
        <w:rPr>
          <w:bCs/>
          <w:color w:val="002060"/>
          <w:sz w:val="16"/>
          <w:szCs w:val="16"/>
        </w:rPr>
        <w:t>- общий запас ГСМ увеличен на 82%;</w:t>
      </w:r>
    </w:p>
    <w:p w14:paraId="1F89C37F" w14:textId="77777777" w:rsidR="000F5F6C" w:rsidRPr="00DE096C" w:rsidRDefault="000F5F6C" w:rsidP="00D45A46">
      <w:pPr>
        <w:jc w:val="both"/>
        <w:rPr>
          <w:bCs/>
          <w:color w:val="002060"/>
          <w:sz w:val="16"/>
          <w:szCs w:val="16"/>
        </w:rPr>
      </w:pPr>
      <w:r w:rsidRPr="00DE096C">
        <w:rPr>
          <w:bCs/>
          <w:color w:val="002060"/>
          <w:sz w:val="16"/>
          <w:szCs w:val="16"/>
        </w:rPr>
        <w:t>- размах верхнего крыла уменьшен, а нижнего – незначительно увеличен;</w:t>
      </w:r>
    </w:p>
    <w:p w14:paraId="031D9504" w14:textId="77777777" w:rsidR="000F5F6C" w:rsidRPr="00DE096C" w:rsidRDefault="000F5F6C" w:rsidP="00D45A46">
      <w:pPr>
        <w:jc w:val="both"/>
        <w:rPr>
          <w:bCs/>
          <w:color w:val="002060"/>
          <w:sz w:val="16"/>
          <w:szCs w:val="16"/>
        </w:rPr>
      </w:pPr>
      <w:r w:rsidRPr="00DE096C">
        <w:rPr>
          <w:bCs/>
          <w:color w:val="002060"/>
          <w:sz w:val="16"/>
          <w:szCs w:val="16"/>
        </w:rPr>
        <w:t>- длина фюзеляжа уменьшена;</w:t>
      </w:r>
    </w:p>
    <w:p w14:paraId="20EA6CF5" w14:textId="77777777" w:rsidR="000F5F6C" w:rsidRPr="00DE096C" w:rsidRDefault="000F5F6C" w:rsidP="00D45A46">
      <w:pPr>
        <w:jc w:val="both"/>
        <w:rPr>
          <w:bCs/>
          <w:color w:val="002060"/>
          <w:sz w:val="16"/>
          <w:szCs w:val="16"/>
        </w:rPr>
      </w:pPr>
      <w:r w:rsidRPr="00DE096C">
        <w:rPr>
          <w:bCs/>
          <w:color w:val="002060"/>
          <w:sz w:val="16"/>
          <w:szCs w:val="16"/>
        </w:rPr>
        <w:t>- конструкция облегчена, при этом ее прочность улучшена;</w:t>
      </w:r>
    </w:p>
    <w:p w14:paraId="5C62B6D1" w14:textId="77777777" w:rsidR="000F5F6C" w:rsidRPr="00DE096C" w:rsidRDefault="000F5F6C" w:rsidP="00D45A46">
      <w:pPr>
        <w:jc w:val="both"/>
        <w:rPr>
          <w:bCs/>
          <w:color w:val="002060"/>
          <w:sz w:val="16"/>
          <w:szCs w:val="16"/>
        </w:rPr>
      </w:pPr>
      <w:r w:rsidRPr="00DE096C">
        <w:rPr>
          <w:bCs/>
          <w:color w:val="002060"/>
          <w:sz w:val="16"/>
          <w:szCs w:val="16"/>
        </w:rPr>
        <w:t>- все пары колес обтянуты общими кожаными чехлами на шнуровке, превращавшими каждую пару в одно широкое колесо.</w:t>
      </w:r>
    </w:p>
    <w:p w14:paraId="520C492A" w14:textId="77777777" w:rsidR="000F5F6C" w:rsidRPr="00DE096C" w:rsidRDefault="000F5F6C" w:rsidP="00D45A46">
      <w:pPr>
        <w:jc w:val="both"/>
        <w:rPr>
          <w:bCs/>
          <w:color w:val="002060"/>
          <w:sz w:val="16"/>
          <w:szCs w:val="16"/>
        </w:rPr>
      </w:pPr>
      <w:r w:rsidRPr="00DE096C">
        <w:rPr>
          <w:bCs/>
          <w:color w:val="002060"/>
          <w:sz w:val="16"/>
          <w:szCs w:val="16"/>
        </w:rPr>
        <w:t>По сравнению с головным самолетом № 107 летные данные улучшились:</w:t>
      </w:r>
    </w:p>
    <w:p w14:paraId="3C5FB6E9" w14:textId="77777777" w:rsidR="000F5F6C" w:rsidRPr="00DE096C" w:rsidRDefault="000F5F6C" w:rsidP="00D45A46">
      <w:pPr>
        <w:jc w:val="both"/>
        <w:rPr>
          <w:bCs/>
          <w:color w:val="002060"/>
          <w:sz w:val="16"/>
          <w:szCs w:val="16"/>
        </w:rPr>
      </w:pPr>
      <w:r w:rsidRPr="00DE096C">
        <w:rPr>
          <w:bCs/>
          <w:color w:val="002060"/>
          <w:sz w:val="16"/>
          <w:szCs w:val="16"/>
        </w:rPr>
        <w:t>- скорость увеличилась на 5 км/ч (на 6%);</w:t>
      </w:r>
    </w:p>
    <w:p w14:paraId="3EF8DCA4" w14:textId="77777777" w:rsidR="000F5F6C" w:rsidRPr="00DE096C" w:rsidRDefault="000F5F6C" w:rsidP="00D45A46">
      <w:pPr>
        <w:jc w:val="both"/>
        <w:rPr>
          <w:bCs/>
          <w:color w:val="002060"/>
          <w:sz w:val="16"/>
          <w:szCs w:val="16"/>
        </w:rPr>
      </w:pPr>
      <w:r w:rsidRPr="00DE096C">
        <w:rPr>
          <w:bCs/>
          <w:color w:val="002060"/>
          <w:sz w:val="16"/>
          <w:szCs w:val="16"/>
        </w:rPr>
        <w:t>- потолок увеличился на 1500 м (вдвое);</w:t>
      </w:r>
    </w:p>
    <w:p w14:paraId="6C354ACE" w14:textId="77777777" w:rsidR="000F5F6C" w:rsidRPr="00DE096C" w:rsidRDefault="000F5F6C" w:rsidP="00D45A46">
      <w:pPr>
        <w:jc w:val="both"/>
        <w:rPr>
          <w:bCs/>
          <w:color w:val="002060"/>
          <w:sz w:val="16"/>
          <w:szCs w:val="16"/>
        </w:rPr>
      </w:pPr>
      <w:r w:rsidRPr="00DE096C">
        <w:rPr>
          <w:bCs/>
          <w:color w:val="002060"/>
          <w:sz w:val="16"/>
          <w:szCs w:val="16"/>
        </w:rPr>
        <w:t>- продолжительность полета увеличилась на 2 ч (в 1,7 раза).</w:t>
      </w:r>
    </w:p>
    <w:p w14:paraId="5383A8C3" w14:textId="77777777" w:rsidR="000F5F6C" w:rsidRPr="00DE096C" w:rsidRDefault="000F5F6C" w:rsidP="00D45A46">
      <w:pPr>
        <w:jc w:val="both"/>
        <w:rPr>
          <w:bCs/>
          <w:color w:val="002060"/>
          <w:sz w:val="16"/>
          <w:szCs w:val="16"/>
        </w:rPr>
      </w:pPr>
      <w:r w:rsidRPr="00DE096C">
        <w:rPr>
          <w:bCs/>
          <w:color w:val="002060"/>
          <w:sz w:val="16"/>
          <w:szCs w:val="16"/>
        </w:rPr>
        <w:t>В июле 1914 г. самолет был представлен на Императорском смотре, где с ним ознакомились царь Николай II и находившийся с официальным визитом в России президент Франции Р. Пуанкаре (Raymond Nicolas Landry Poincaré). В это время самолету было дано официальное наименование «Корабль Киевский». Пуанкаре высказался о самолете весьма восхищенно, что видимо и подействовало на Николая II, который распорядился выделить РБВЗ из казны для дальнейших работ по самолету 100000 руб.</w:t>
      </w:r>
    </w:p>
    <w:p w14:paraId="7CEE1847" w14:textId="77777777" w:rsidR="000F5F6C" w:rsidRPr="00DE096C" w:rsidRDefault="000F5F6C" w:rsidP="00D45A46">
      <w:pPr>
        <w:jc w:val="both"/>
        <w:rPr>
          <w:bCs/>
          <w:color w:val="002060"/>
          <w:sz w:val="16"/>
          <w:szCs w:val="16"/>
        </w:rPr>
      </w:pPr>
      <w:r w:rsidRPr="00DE096C">
        <w:rPr>
          <w:bCs/>
          <w:color w:val="002060"/>
          <w:sz w:val="16"/>
          <w:szCs w:val="16"/>
        </w:rPr>
        <w:t>Примечание: название «Корабль Киевский», в дальнейшем носили еще 7 различных экземпляров самолета «Илья Муромец», какой-то логики в его присвоении не было и теперь оно не обозначает конкретный экземпляр самолета, а лишь запутывает исследователей, поскольку в документах часто упоминается вместо номера.</w:t>
      </w:r>
    </w:p>
    <w:p w14:paraId="55265B05" w14:textId="77777777" w:rsidR="000F5F6C" w:rsidRPr="00DE096C" w:rsidRDefault="000F5F6C" w:rsidP="00D45A46">
      <w:pPr>
        <w:jc w:val="both"/>
        <w:rPr>
          <w:bCs/>
          <w:color w:val="002060"/>
          <w:sz w:val="16"/>
          <w:szCs w:val="16"/>
        </w:rPr>
      </w:pPr>
      <w:r w:rsidRPr="00DE096C">
        <w:rPr>
          <w:bCs/>
          <w:color w:val="002060"/>
          <w:sz w:val="16"/>
          <w:szCs w:val="16"/>
        </w:rPr>
        <w:t>Самолету по штату полагалось вооружение:</w:t>
      </w:r>
    </w:p>
    <w:p w14:paraId="3B7EB924" w14:textId="77777777" w:rsidR="000F5F6C" w:rsidRPr="00DE096C" w:rsidRDefault="000F5F6C" w:rsidP="00D45A46">
      <w:pPr>
        <w:jc w:val="both"/>
        <w:rPr>
          <w:bCs/>
          <w:color w:val="002060"/>
          <w:sz w:val="16"/>
          <w:szCs w:val="16"/>
        </w:rPr>
      </w:pPr>
      <w:r w:rsidRPr="00DE096C">
        <w:rPr>
          <w:bCs/>
          <w:color w:val="002060"/>
          <w:sz w:val="16"/>
          <w:szCs w:val="16"/>
        </w:rPr>
        <w:t>- 1 пушка «Гочкис» (калибр 37 мм, скорострельность 10 выстр./мин., боекомплект 15 снарядов, вес около 95 кг, предполагалось ее применение для стрельбы по немецким дирижаблям, наземным и морским целям);</w:t>
      </w:r>
    </w:p>
    <w:p w14:paraId="07916A41" w14:textId="77777777" w:rsidR="000F5F6C" w:rsidRPr="00DE096C" w:rsidRDefault="000F5F6C" w:rsidP="00D45A46">
      <w:pPr>
        <w:jc w:val="both"/>
        <w:rPr>
          <w:bCs/>
          <w:color w:val="002060"/>
          <w:sz w:val="16"/>
          <w:szCs w:val="16"/>
        </w:rPr>
      </w:pPr>
      <w:r w:rsidRPr="00DE096C">
        <w:rPr>
          <w:bCs/>
          <w:color w:val="002060"/>
          <w:sz w:val="16"/>
          <w:szCs w:val="16"/>
        </w:rPr>
        <w:t>- 2 тяжелых (станковых) пулемета «Максим» российского производства (7,62 мм);</w:t>
      </w:r>
    </w:p>
    <w:p w14:paraId="70A600B9" w14:textId="77777777" w:rsidR="000F5F6C" w:rsidRPr="00DE096C" w:rsidRDefault="000F5F6C" w:rsidP="00D45A46">
      <w:pPr>
        <w:jc w:val="both"/>
        <w:rPr>
          <w:bCs/>
          <w:color w:val="002060"/>
          <w:sz w:val="16"/>
          <w:szCs w:val="16"/>
        </w:rPr>
      </w:pPr>
      <w:r w:rsidRPr="00DE096C">
        <w:rPr>
          <w:bCs/>
          <w:color w:val="002060"/>
          <w:sz w:val="16"/>
          <w:szCs w:val="16"/>
        </w:rPr>
        <w:t>- 2 ружья-пулемета (ручных пулемета) «Мадсен» (7,62 мм);</w:t>
      </w:r>
    </w:p>
    <w:p w14:paraId="2B76B37E" w14:textId="77777777" w:rsidR="000F5F6C" w:rsidRPr="00DE096C" w:rsidRDefault="000F5F6C" w:rsidP="00D45A46">
      <w:pPr>
        <w:jc w:val="both"/>
        <w:rPr>
          <w:bCs/>
          <w:color w:val="002060"/>
          <w:sz w:val="16"/>
          <w:szCs w:val="16"/>
        </w:rPr>
      </w:pPr>
      <w:r w:rsidRPr="00DE096C">
        <w:rPr>
          <w:bCs/>
          <w:color w:val="002060"/>
          <w:sz w:val="16"/>
          <w:szCs w:val="16"/>
        </w:rPr>
        <w:t>- 2 автоматических пистолета «Маузер № 2» (предположительно, калибр 7,63 мм).</w:t>
      </w:r>
    </w:p>
    <w:p w14:paraId="03D0AD0A" w14:textId="77777777" w:rsidR="000F5F6C" w:rsidRPr="00DE096C" w:rsidRDefault="000F5F6C" w:rsidP="00D45A46">
      <w:pPr>
        <w:jc w:val="both"/>
        <w:rPr>
          <w:bCs/>
          <w:color w:val="002060"/>
          <w:sz w:val="16"/>
          <w:szCs w:val="16"/>
        </w:rPr>
      </w:pPr>
      <w:r w:rsidRPr="00DE096C">
        <w:rPr>
          <w:bCs/>
          <w:color w:val="002060"/>
          <w:sz w:val="16"/>
          <w:szCs w:val="16"/>
        </w:rPr>
        <w:t>На время передачи самолет в августе 1914 г. не был укомплектован вооружением, а верхняя орудийная площадка на нем была снята.</w:t>
      </w:r>
    </w:p>
    <w:p w14:paraId="778AF7F3" w14:textId="77777777" w:rsidR="000F5F6C" w:rsidRPr="00DE096C" w:rsidRDefault="000F5F6C" w:rsidP="00D45A46">
      <w:pPr>
        <w:jc w:val="both"/>
        <w:rPr>
          <w:bCs/>
          <w:color w:val="002060"/>
          <w:sz w:val="16"/>
          <w:szCs w:val="16"/>
        </w:rPr>
      </w:pPr>
      <w:r w:rsidRPr="00DE096C">
        <w:rPr>
          <w:bCs/>
          <w:color w:val="002060"/>
          <w:sz w:val="16"/>
          <w:szCs w:val="16"/>
        </w:rPr>
        <w:t>Куплен для Офицерской воздухоплавательной школы за наличный расчет и направлен своим ходом на ее аэродром в Гатчину.</w:t>
      </w:r>
    </w:p>
    <w:p w14:paraId="295722A2" w14:textId="77777777" w:rsidR="000F5F6C" w:rsidRPr="00DE096C" w:rsidRDefault="000F5F6C" w:rsidP="00D45A46">
      <w:pPr>
        <w:jc w:val="both"/>
        <w:rPr>
          <w:bCs/>
          <w:color w:val="002060"/>
          <w:sz w:val="16"/>
          <w:szCs w:val="16"/>
        </w:rPr>
      </w:pPr>
      <w:r w:rsidRPr="00DE096C">
        <w:rPr>
          <w:bCs/>
          <w:color w:val="002060"/>
          <w:sz w:val="16"/>
          <w:szCs w:val="16"/>
        </w:rPr>
        <w:t>Списан в 1916 г. (ЦГВИА, ф. 493, оп. 5, д. 36, л. 165), по др. данным списан уже в 1914 г.</w:t>
      </w:r>
    </w:p>
    <w:p w14:paraId="0ED87659" w14:textId="77777777" w:rsidR="000F5F6C" w:rsidRPr="00DE096C" w:rsidRDefault="000F5F6C" w:rsidP="00D45A46">
      <w:pPr>
        <w:jc w:val="both"/>
        <w:rPr>
          <w:bCs/>
          <w:color w:val="002060"/>
          <w:sz w:val="16"/>
          <w:szCs w:val="16"/>
        </w:rPr>
      </w:pPr>
      <w:r w:rsidRPr="00DE096C">
        <w:rPr>
          <w:bCs/>
          <w:color w:val="002060"/>
          <w:sz w:val="16"/>
          <w:szCs w:val="16"/>
        </w:rPr>
        <w:t>В конце 1914 г. самолет был затребован для формируемой ЭВК, но по просьбе командования ОВШ был оставлен в Гатчине для подготовки экипажей новых кораблей.</w:t>
      </w:r>
    </w:p>
    <w:p w14:paraId="2140F17A" w14:textId="77777777" w:rsidR="000F5F6C" w:rsidRPr="00DE096C" w:rsidRDefault="000F5F6C" w:rsidP="00D45A46">
      <w:pPr>
        <w:jc w:val="both"/>
        <w:rPr>
          <w:bCs/>
          <w:color w:val="002060"/>
          <w:sz w:val="16"/>
          <w:szCs w:val="16"/>
        </w:rPr>
      </w:pPr>
      <w:r w:rsidRPr="00DE096C">
        <w:rPr>
          <w:bCs/>
          <w:color w:val="002060"/>
          <w:sz w:val="16"/>
          <w:szCs w:val="16"/>
        </w:rPr>
        <w:t>В то же самое время моторы «Аргус» с него были переставлены на другой самолет (23569).</w:t>
      </w:r>
    </w:p>
    <w:p w14:paraId="537C9130" w14:textId="77777777" w:rsidR="000F5F6C" w:rsidRPr="00DE096C" w:rsidRDefault="000F5F6C" w:rsidP="00D45A46">
      <w:pPr>
        <w:jc w:val="both"/>
        <w:rPr>
          <w:bCs/>
          <w:color w:val="002060"/>
          <w:sz w:val="16"/>
          <w:szCs w:val="16"/>
          <w:lang w:bidi="ru-RU"/>
        </w:rPr>
      </w:pPr>
    </w:p>
    <w:p w14:paraId="6CDABD4B" w14:textId="77777777" w:rsidR="000F5F6C" w:rsidRPr="00DE096C" w:rsidRDefault="000F5F6C" w:rsidP="00D45A46">
      <w:pPr>
        <w:jc w:val="both"/>
        <w:rPr>
          <w:bCs/>
          <w:color w:val="002060"/>
          <w:sz w:val="16"/>
          <w:szCs w:val="16"/>
        </w:rPr>
      </w:pPr>
      <w:r w:rsidRPr="00DE096C">
        <w:rPr>
          <w:bCs/>
          <w:color w:val="002060"/>
          <w:sz w:val="16"/>
          <w:szCs w:val="16"/>
        </w:rPr>
        <w:t>В августе 1914 г. на РБВЗ построен «Илья Муромец» Б-3 (ИМ-Б, «Илья Муромец Киевский», зав. № 135, борт № I) экз. № 3, стратегический разведчик, по сути – учебный самолет с отличиями от № 128:</w:t>
      </w:r>
    </w:p>
    <w:p w14:paraId="1E9CE4CD" w14:textId="77777777" w:rsidR="000F5F6C" w:rsidRPr="00DE096C" w:rsidRDefault="000F5F6C" w:rsidP="00D45A46">
      <w:pPr>
        <w:jc w:val="both"/>
        <w:rPr>
          <w:bCs/>
          <w:color w:val="002060"/>
          <w:sz w:val="16"/>
          <w:szCs w:val="16"/>
        </w:rPr>
      </w:pPr>
      <w:r w:rsidRPr="00DE096C">
        <w:rPr>
          <w:bCs/>
          <w:color w:val="002060"/>
          <w:sz w:val="16"/>
          <w:szCs w:val="16"/>
        </w:rPr>
        <w:t>- установлены одинаковые моторы «Аргус» – все 6-цилиндровые As II по 140 л.с.;</w:t>
      </w:r>
    </w:p>
    <w:p w14:paraId="04025E60" w14:textId="77777777" w:rsidR="000F5F6C" w:rsidRPr="00DE096C" w:rsidRDefault="000F5F6C" w:rsidP="00D45A46">
      <w:pPr>
        <w:jc w:val="both"/>
        <w:rPr>
          <w:bCs/>
          <w:color w:val="002060"/>
          <w:sz w:val="16"/>
          <w:szCs w:val="16"/>
        </w:rPr>
      </w:pPr>
      <w:r w:rsidRPr="00DE096C">
        <w:rPr>
          <w:bCs/>
          <w:color w:val="002060"/>
          <w:sz w:val="16"/>
          <w:szCs w:val="16"/>
        </w:rPr>
        <w:t>- сделана новая топливная система с двумя баками над внутренними моторами (отсеков для масла в них нет) и, вероятно, фюзеляжным баком;</w:t>
      </w:r>
    </w:p>
    <w:p w14:paraId="69EB2A71" w14:textId="77777777" w:rsidR="000F5F6C" w:rsidRPr="00DE096C" w:rsidRDefault="000F5F6C" w:rsidP="00D45A46">
      <w:pPr>
        <w:jc w:val="both"/>
        <w:rPr>
          <w:bCs/>
          <w:color w:val="002060"/>
          <w:sz w:val="16"/>
          <w:szCs w:val="16"/>
        </w:rPr>
      </w:pPr>
      <w:r w:rsidRPr="00DE096C">
        <w:rPr>
          <w:bCs/>
          <w:color w:val="002060"/>
          <w:sz w:val="16"/>
          <w:szCs w:val="16"/>
        </w:rPr>
        <w:t>- сделана новая масляная система с четырьмя призматическими баками, установленными за радиаторами охлаждения моторов;</w:t>
      </w:r>
    </w:p>
    <w:p w14:paraId="7DC81946" w14:textId="77777777" w:rsidR="000F5F6C" w:rsidRPr="00DE096C" w:rsidRDefault="000F5F6C" w:rsidP="00D45A46">
      <w:pPr>
        <w:jc w:val="both"/>
        <w:rPr>
          <w:bCs/>
          <w:color w:val="002060"/>
          <w:sz w:val="16"/>
          <w:szCs w:val="16"/>
        </w:rPr>
      </w:pPr>
      <w:r w:rsidRPr="00DE096C">
        <w:rPr>
          <w:bCs/>
          <w:color w:val="002060"/>
          <w:sz w:val="16"/>
          <w:szCs w:val="16"/>
        </w:rPr>
        <w:t>- сделаны новые радиаторы, установленные наклонно по одному за каждым мотором (их общая охлаждающая поверхность, по-видимому, была больше, чем двух на самолете № 128);</w:t>
      </w:r>
    </w:p>
    <w:p w14:paraId="007E85AC" w14:textId="77777777" w:rsidR="000F5F6C" w:rsidRPr="00DE096C" w:rsidRDefault="000F5F6C" w:rsidP="00D45A46">
      <w:pPr>
        <w:jc w:val="both"/>
        <w:rPr>
          <w:bCs/>
          <w:color w:val="002060"/>
          <w:sz w:val="16"/>
          <w:szCs w:val="16"/>
        </w:rPr>
      </w:pPr>
      <w:r w:rsidRPr="00DE096C">
        <w:rPr>
          <w:bCs/>
          <w:color w:val="002060"/>
          <w:sz w:val="16"/>
          <w:szCs w:val="16"/>
        </w:rPr>
        <w:t>- введены подкосы, связывающие верхние точки задних стоек «кабана» центроплана с рамами и верхними лонжеронами фюзеляжа;</w:t>
      </w:r>
    </w:p>
    <w:p w14:paraId="10DAD90D" w14:textId="77777777" w:rsidR="000F5F6C" w:rsidRPr="00DE096C" w:rsidRDefault="000F5F6C" w:rsidP="00D45A46">
      <w:pPr>
        <w:jc w:val="both"/>
        <w:rPr>
          <w:bCs/>
          <w:color w:val="002060"/>
          <w:sz w:val="16"/>
          <w:szCs w:val="16"/>
        </w:rPr>
      </w:pPr>
      <w:r w:rsidRPr="00DE096C">
        <w:rPr>
          <w:bCs/>
          <w:color w:val="002060"/>
          <w:sz w:val="16"/>
          <w:szCs w:val="16"/>
        </w:rPr>
        <w:t>- изменено остекление носовой кабины – добавлены два или три (точно не известно) прямоугольных окна в криволинейной части крыши над лобовым стеклом, фанерный люк под лобовым стеклом заменен стеклянным;</w:t>
      </w:r>
    </w:p>
    <w:p w14:paraId="36C578BA" w14:textId="77777777" w:rsidR="000F5F6C" w:rsidRPr="00DE096C" w:rsidRDefault="000F5F6C" w:rsidP="00D45A46">
      <w:pPr>
        <w:jc w:val="both"/>
        <w:rPr>
          <w:bCs/>
          <w:color w:val="002060"/>
          <w:sz w:val="16"/>
          <w:szCs w:val="16"/>
        </w:rPr>
      </w:pPr>
      <w:r w:rsidRPr="00DE096C">
        <w:rPr>
          <w:bCs/>
          <w:color w:val="002060"/>
          <w:sz w:val="16"/>
          <w:szCs w:val="16"/>
        </w:rPr>
        <w:t>- на бортах кабины и в двери не сделаны круглые иллюминаторы – остались только по 6 квадратных окон на борт;</w:t>
      </w:r>
    </w:p>
    <w:p w14:paraId="50B554F8" w14:textId="77777777" w:rsidR="000F5F6C" w:rsidRPr="00DE096C" w:rsidRDefault="000F5F6C" w:rsidP="00D45A46">
      <w:pPr>
        <w:jc w:val="both"/>
        <w:rPr>
          <w:bCs/>
          <w:color w:val="002060"/>
          <w:sz w:val="16"/>
          <w:szCs w:val="16"/>
        </w:rPr>
      </w:pPr>
      <w:r w:rsidRPr="00DE096C">
        <w:rPr>
          <w:bCs/>
          <w:color w:val="002060"/>
          <w:sz w:val="16"/>
          <w:szCs w:val="16"/>
        </w:rPr>
        <w:t>- снят «передний балкон», взамен непосредственно под лобовым стеклом установлена легкая рама на подкосах – на нее ставились подпорки, когда на стоянке поднималось лобовое стекло;</w:t>
      </w:r>
    </w:p>
    <w:p w14:paraId="578984B6" w14:textId="77777777" w:rsidR="000F5F6C" w:rsidRPr="00DE096C" w:rsidRDefault="000F5F6C" w:rsidP="00D45A46">
      <w:pPr>
        <w:jc w:val="both"/>
        <w:rPr>
          <w:bCs/>
          <w:color w:val="002060"/>
          <w:sz w:val="16"/>
          <w:szCs w:val="16"/>
        </w:rPr>
      </w:pPr>
      <w:r w:rsidRPr="00DE096C">
        <w:rPr>
          <w:bCs/>
          <w:color w:val="002060"/>
          <w:sz w:val="16"/>
          <w:szCs w:val="16"/>
        </w:rPr>
        <w:t>- сделано новое более прочное ограждение верхней пулеметной площадки;</w:t>
      </w:r>
    </w:p>
    <w:p w14:paraId="51B5130E" w14:textId="77777777" w:rsidR="000F5F6C" w:rsidRPr="00DE096C" w:rsidRDefault="000F5F6C" w:rsidP="00D45A46">
      <w:pPr>
        <w:jc w:val="both"/>
        <w:rPr>
          <w:bCs/>
          <w:color w:val="002060"/>
          <w:sz w:val="16"/>
          <w:szCs w:val="16"/>
        </w:rPr>
      </w:pPr>
      <w:r w:rsidRPr="00DE096C">
        <w:rPr>
          <w:bCs/>
          <w:color w:val="002060"/>
          <w:sz w:val="16"/>
          <w:szCs w:val="16"/>
        </w:rPr>
        <w:t>- длинные средние противокапотажные лыжи заменены короткими, такими же, как на ООШ;</w:t>
      </w:r>
    </w:p>
    <w:p w14:paraId="2AA8F13B" w14:textId="77777777" w:rsidR="000F5F6C" w:rsidRPr="00DE096C" w:rsidRDefault="000F5F6C" w:rsidP="00D45A46">
      <w:pPr>
        <w:jc w:val="both"/>
        <w:rPr>
          <w:bCs/>
          <w:color w:val="002060"/>
          <w:sz w:val="16"/>
          <w:szCs w:val="16"/>
        </w:rPr>
      </w:pPr>
      <w:r w:rsidRPr="00DE096C">
        <w:rPr>
          <w:bCs/>
          <w:color w:val="002060"/>
          <w:sz w:val="16"/>
          <w:szCs w:val="16"/>
        </w:rPr>
        <w:t>- сделана новая хвостовая опора шасси из двух горизонтальных лыж (нижняя рабочая, легкая верхняя предохранительная), прикрученных на амортшнурах на двух V-образных стойках вместо рычажного костыля;</w:t>
      </w:r>
    </w:p>
    <w:p w14:paraId="2E3B228D" w14:textId="77777777" w:rsidR="000F5F6C" w:rsidRPr="00DE096C" w:rsidRDefault="000F5F6C" w:rsidP="00D45A46">
      <w:pPr>
        <w:jc w:val="both"/>
        <w:rPr>
          <w:bCs/>
          <w:color w:val="002060"/>
          <w:sz w:val="16"/>
          <w:szCs w:val="16"/>
        </w:rPr>
      </w:pPr>
      <w:r w:rsidRPr="00DE096C">
        <w:rPr>
          <w:bCs/>
          <w:color w:val="002060"/>
          <w:sz w:val="16"/>
          <w:szCs w:val="16"/>
        </w:rPr>
        <w:t>- самолету было придано все штатное вооружение, но установлен при сдаче был только один пулемет «Максим» на верхней площадке.</w:t>
      </w:r>
    </w:p>
    <w:p w14:paraId="2DA944F4" w14:textId="77777777" w:rsidR="000F5F6C" w:rsidRPr="00DE096C" w:rsidRDefault="000F5F6C" w:rsidP="00D45A46">
      <w:pPr>
        <w:jc w:val="both"/>
        <w:rPr>
          <w:bCs/>
          <w:color w:val="002060"/>
          <w:sz w:val="16"/>
          <w:szCs w:val="16"/>
        </w:rPr>
      </w:pPr>
      <w:r w:rsidRPr="00DE096C">
        <w:rPr>
          <w:bCs/>
          <w:color w:val="002060"/>
          <w:sz w:val="16"/>
          <w:szCs w:val="16"/>
        </w:rPr>
        <w:t>Командиром корабля был назначен штабс-капитан Е.В. Руднев.</w:t>
      </w:r>
    </w:p>
    <w:p w14:paraId="51C7144A" w14:textId="77777777" w:rsidR="000F5F6C" w:rsidRPr="00DE096C" w:rsidRDefault="000F5F6C" w:rsidP="00D45A46">
      <w:pPr>
        <w:jc w:val="both"/>
        <w:rPr>
          <w:bCs/>
          <w:color w:val="002060"/>
          <w:sz w:val="16"/>
          <w:szCs w:val="16"/>
        </w:rPr>
      </w:pPr>
      <w:r w:rsidRPr="00DE096C">
        <w:rPr>
          <w:bCs/>
          <w:color w:val="002060"/>
          <w:sz w:val="16"/>
          <w:szCs w:val="16"/>
        </w:rPr>
        <w:t>Приведенные здесь и далее бортовые номера римскими цифрами являются порядковыми номерами, под которыми первоначально принимаемые корабли зачислялись в ЭВК, но снаружи на их планере на видных местах они не наносились до 1920 г., к тому же в практически сразу в них возникла путаница и повторения, а в дальнейшем эти номера стали присваивать не кораблям, а экипажам, но и в этом случае четкости достичь не удалось, здесь они приведены потому что во многих документах о боевых действиях конкретных кораблей они названы именно этими номерами.</w:t>
      </w:r>
    </w:p>
    <w:p w14:paraId="5D6237F1" w14:textId="77777777" w:rsidR="000F5F6C" w:rsidRPr="00DE096C" w:rsidRDefault="000F5F6C" w:rsidP="00D45A46">
      <w:pPr>
        <w:jc w:val="both"/>
        <w:rPr>
          <w:bCs/>
          <w:color w:val="002060"/>
          <w:sz w:val="16"/>
          <w:szCs w:val="16"/>
        </w:rPr>
      </w:pPr>
      <w:r w:rsidRPr="00DE096C">
        <w:rPr>
          <w:bCs/>
          <w:color w:val="002060"/>
          <w:sz w:val="16"/>
          <w:szCs w:val="16"/>
        </w:rPr>
        <w:t>В августе 1914 г. на этом самолете были проведены испытания пушечного вооружения. Пушка «Гочкис» была установлена на «переднем балконе» и показала себя неудовлетворительно, дав рассеивание при стрельбе по наземной цели 200…250 м.</w:t>
      </w:r>
    </w:p>
    <w:p w14:paraId="1C090952" w14:textId="77777777" w:rsidR="000F5F6C" w:rsidRPr="00DE096C" w:rsidRDefault="000F5F6C" w:rsidP="00D45A46">
      <w:pPr>
        <w:jc w:val="both"/>
        <w:rPr>
          <w:bCs/>
          <w:color w:val="002060"/>
          <w:sz w:val="16"/>
          <w:szCs w:val="16"/>
        </w:rPr>
      </w:pPr>
      <w:r w:rsidRPr="00DE096C">
        <w:rPr>
          <w:bCs/>
          <w:color w:val="002060"/>
          <w:sz w:val="16"/>
          <w:szCs w:val="16"/>
        </w:rPr>
        <w:t>Утром 31 августа (13 сентября по н.ст.) 1914 г. корабль вылетел из Гатчины на Северо-западный фронт, но из-за встречного ветра 12 м/с совершил вынужденную посадку у ж/д ст. Плюсса, пройдя 177 верст (189 км) и при посадке был поврежден.</w:t>
      </w:r>
    </w:p>
    <w:p w14:paraId="21B7506E" w14:textId="77777777" w:rsidR="000F5F6C" w:rsidRPr="00DE096C" w:rsidRDefault="000F5F6C" w:rsidP="00D45A46">
      <w:pPr>
        <w:jc w:val="both"/>
        <w:rPr>
          <w:bCs/>
          <w:color w:val="002060"/>
          <w:sz w:val="16"/>
          <w:szCs w:val="16"/>
        </w:rPr>
      </w:pPr>
      <w:r w:rsidRPr="00DE096C">
        <w:rPr>
          <w:bCs/>
          <w:color w:val="002060"/>
          <w:sz w:val="16"/>
          <w:szCs w:val="16"/>
        </w:rPr>
        <w:t>23 сентября (6 октября по н.ст.) корабль прибыл к месту назначения в Белосток на СЗФ. Общее полетное время было 14 ч, но на это потребовалось 24 календарных дня.</w:t>
      </w:r>
    </w:p>
    <w:p w14:paraId="109543F0" w14:textId="77777777" w:rsidR="000F5F6C" w:rsidRPr="00DE096C" w:rsidRDefault="000F5F6C" w:rsidP="00D45A46">
      <w:pPr>
        <w:jc w:val="both"/>
        <w:rPr>
          <w:bCs/>
          <w:color w:val="002060"/>
          <w:sz w:val="16"/>
          <w:szCs w:val="16"/>
        </w:rPr>
      </w:pPr>
      <w:r w:rsidRPr="00DE096C">
        <w:rPr>
          <w:bCs/>
          <w:color w:val="002060"/>
          <w:sz w:val="16"/>
          <w:szCs w:val="16"/>
        </w:rPr>
        <w:t>Во второй половине ноября (по ст. стилю) 1914 г. Руднев получил приказ перегнать самолет на а/д Старая Яблонна (ныне Яблона или Яблонь, севернее Варшавы у Новогеоргиевской крепости, Царство Польское, по-польски Stara Jablon).</w:t>
      </w:r>
    </w:p>
    <w:p w14:paraId="495BF599" w14:textId="77777777" w:rsidR="000F5F6C" w:rsidRPr="00DE096C" w:rsidRDefault="000F5F6C" w:rsidP="00D45A46">
      <w:pPr>
        <w:jc w:val="both"/>
        <w:rPr>
          <w:bCs/>
          <w:color w:val="002060"/>
          <w:sz w:val="16"/>
          <w:szCs w:val="16"/>
        </w:rPr>
      </w:pPr>
      <w:r w:rsidRPr="00DE096C">
        <w:rPr>
          <w:bCs/>
          <w:color w:val="002060"/>
          <w:sz w:val="16"/>
          <w:szCs w:val="16"/>
        </w:rPr>
        <w:t>25 ноября (8 декабря по н.ст.) 1914 г. он совершил промежуточную посадку во Львове (Галиция), где был представлен находившимся там Великим князьям Михаилу Александровичу и Александру Михайловичу (Романовым), которые осмотрели самолет – в то время и было сделано большинство его снимков. Там Руднев совершил на самолете по крайней мере один показательный полет, но не смог подняться выше 1375 м и написал рапорт о непригодности самолета к боевым действиям, отметив также недостатки моторов, которые считал ненадежными, и подал прошение о переводе в легкую авиацию. В ответ штаб Верховного главнокомандующего уведомил ГВТУ о приостановке приемки самолетов ИМ до устранения их недостатков.</w:t>
      </w:r>
    </w:p>
    <w:p w14:paraId="67E9DD40" w14:textId="77777777" w:rsidR="000F5F6C" w:rsidRPr="00DE096C" w:rsidRDefault="000F5F6C" w:rsidP="00D45A46">
      <w:pPr>
        <w:jc w:val="both"/>
        <w:rPr>
          <w:bCs/>
          <w:color w:val="002060"/>
          <w:sz w:val="16"/>
          <w:szCs w:val="16"/>
        </w:rPr>
      </w:pPr>
      <w:r w:rsidRPr="00DE096C">
        <w:rPr>
          <w:bCs/>
          <w:color w:val="002060"/>
          <w:sz w:val="16"/>
          <w:szCs w:val="16"/>
        </w:rPr>
        <w:t>В январе 1915 г. корабль прибыл в Яблонну, но требовал мелкого ремонта, который проводился при участии работников РБВЗ. Для разбирательства по рапорту Руднева прибыл Сикорский, который поднялся на отремонтированном самолете на 2200 м и он был признан годным для боевых полетов. Однако решение о приостановке приемки самолетов было отменено только в апреле 1915 г.</w:t>
      </w:r>
    </w:p>
    <w:p w14:paraId="11D9C4F5" w14:textId="77777777" w:rsidR="000F5F6C" w:rsidRPr="00DE096C" w:rsidRDefault="000F5F6C" w:rsidP="00D45A46">
      <w:pPr>
        <w:jc w:val="both"/>
        <w:rPr>
          <w:bCs/>
          <w:color w:val="002060"/>
          <w:sz w:val="16"/>
          <w:szCs w:val="16"/>
        </w:rPr>
      </w:pPr>
      <w:r w:rsidRPr="00DE096C">
        <w:rPr>
          <w:bCs/>
          <w:color w:val="002060"/>
          <w:sz w:val="16"/>
          <w:szCs w:val="16"/>
        </w:rPr>
        <w:lastRenderedPageBreak/>
        <w:t>Списан в мае 1915 г. в Яблонне, двигатели переставлены на др. самолет (предположительно, № 151), на котором работали надежно в полетах продолжительностью до 5 ч (23569).</w:t>
      </w:r>
    </w:p>
    <w:p w14:paraId="6A65A346" w14:textId="77777777" w:rsidR="000F5F6C" w:rsidRPr="00DE096C" w:rsidRDefault="000F5F6C" w:rsidP="00D45A46">
      <w:pPr>
        <w:jc w:val="both"/>
        <w:rPr>
          <w:bCs/>
          <w:color w:val="002060"/>
          <w:sz w:val="16"/>
          <w:szCs w:val="16"/>
          <w:lang w:bidi="ru-RU"/>
        </w:rPr>
      </w:pPr>
    </w:p>
    <w:p w14:paraId="58359E14" w14:textId="77777777" w:rsidR="000F5F6C" w:rsidRPr="00DE096C" w:rsidRDefault="000F5F6C" w:rsidP="00D45A46">
      <w:pPr>
        <w:jc w:val="both"/>
        <w:rPr>
          <w:bCs/>
          <w:color w:val="002060"/>
          <w:sz w:val="16"/>
          <w:szCs w:val="16"/>
        </w:rPr>
      </w:pPr>
      <w:r w:rsidRPr="00DE096C">
        <w:rPr>
          <w:bCs/>
          <w:color w:val="002060"/>
          <w:sz w:val="16"/>
          <w:szCs w:val="16"/>
          <w:lang w:bidi="ru-RU"/>
        </w:rPr>
        <w:t>В августе 1914 г. на</w:t>
      </w:r>
      <w:r w:rsidRPr="00DE096C">
        <w:rPr>
          <w:bCs/>
          <w:color w:val="002060"/>
          <w:sz w:val="16"/>
          <w:szCs w:val="16"/>
          <w:lang w:bidi="ru-RU"/>
        </w:rPr>
        <w:softHyphen/>
        <w:t>чались испытания первого экземпляра М-2 Григоровича, ос</w:t>
      </w:r>
      <w:r w:rsidRPr="00DE096C">
        <w:rPr>
          <w:bCs/>
          <w:color w:val="002060"/>
          <w:sz w:val="16"/>
          <w:szCs w:val="16"/>
          <w:lang w:bidi="ru-RU"/>
        </w:rPr>
        <w:softHyphen/>
        <w:t>нащенного двигателем «Гном» 80 л.с. В данный тип Григорович внес суще</w:t>
      </w:r>
      <w:r w:rsidRPr="00DE096C">
        <w:rPr>
          <w:bCs/>
          <w:color w:val="002060"/>
          <w:sz w:val="16"/>
          <w:szCs w:val="16"/>
          <w:lang w:bidi="ru-RU"/>
        </w:rPr>
        <w:softHyphen/>
        <w:t>ственные изменения, позволяющие опре</w:t>
      </w:r>
      <w:r w:rsidRPr="00DE096C">
        <w:rPr>
          <w:bCs/>
          <w:color w:val="002060"/>
          <w:sz w:val="16"/>
          <w:szCs w:val="16"/>
          <w:lang w:bidi="ru-RU"/>
        </w:rPr>
        <w:softHyphen/>
        <w:t>делять его как полноценный аппарат ори</w:t>
      </w:r>
      <w:r w:rsidRPr="00DE096C">
        <w:rPr>
          <w:bCs/>
          <w:color w:val="002060"/>
          <w:sz w:val="16"/>
          <w:szCs w:val="16"/>
          <w:lang w:bidi="ru-RU"/>
        </w:rPr>
        <w:softHyphen/>
        <w:t>гинальной постройки. При той же компо</w:t>
      </w:r>
      <w:r w:rsidRPr="00DE096C">
        <w:rPr>
          <w:bCs/>
          <w:color w:val="002060"/>
          <w:sz w:val="16"/>
          <w:szCs w:val="16"/>
          <w:lang w:bidi="ru-RU"/>
        </w:rPr>
        <w:softHyphen/>
        <w:t>новке и двигателе, что и у М-1, размеры самолета значительно увеличились. Соответственно возросли площадь кры</w:t>
      </w:r>
      <w:r w:rsidRPr="00DE096C">
        <w:rPr>
          <w:bCs/>
          <w:color w:val="002060"/>
          <w:sz w:val="16"/>
          <w:szCs w:val="16"/>
          <w:lang w:bidi="ru-RU"/>
        </w:rPr>
        <w:softHyphen/>
        <w:t>льев и оперения. Корпус лодки стал шире для посадки членов экипажа рядом, ее об</w:t>
      </w:r>
      <w:r w:rsidRPr="00DE096C">
        <w:rPr>
          <w:bCs/>
          <w:color w:val="002060"/>
          <w:sz w:val="16"/>
          <w:szCs w:val="16"/>
          <w:lang w:bidi="ru-RU"/>
        </w:rPr>
        <w:softHyphen/>
        <w:t>воды характеризовались заметной килева- тостью в носовой части и вогнутым дни</w:t>
      </w:r>
      <w:r w:rsidRPr="00DE096C">
        <w:rPr>
          <w:bCs/>
          <w:color w:val="002060"/>
          <w:sz w:val="16"/>
          <w:szCs w:val="16"/>
          <w:lang w:bidi="ru-RU"/>
        </w:rPr>
        <w:softHyphen/>
        <w:t>щем в районе редана.</w:t>
      </w:r>
    </w:p>
    <w:p w14:paraId="1BFE4374" w14:textId="77777777" w:rsidR="000F5F6C" w:rsidRPr="00DE096C" w:rsidRDefault="000F5F6C" w:rsidP="00D45A46">
      <w:pPr>
        <w:jc w:val="both"/>
        <w:rPr>
          <w:bCs/>
          <w:color w:val="002060"/>
          <w:sz w:val="16"/>
          <w:szCs w:val="16"/>
        </w:rPr>
      </w:pPr>
      <w:r w:rsidRPr="00DE096C">
        <w:rPr>
          <w:bCs/>
          <w:color w:val="002060"/>
          <w:sz w:val="16"/>
          <w:szCs w:val="16"/>
          <w:lang w:bidi="ru-RU"/>
        </w:rPr>
        <w:t>К сожалению, уже 31 августа самолет потерпел катастрофу, в результате которой погиб летчик П.В. Ев</w:t>
      </w:r>
      <w:r w:rsidRPr="00DE096C">
        <w:rPr>
          <w:bCs/>
          <w:color w:val="002060"/>
          <w:sz w:val="16"/>
          <w:szCs w:val="16"/>
          <w:lang w:bidi="ru-RU"/>
        </w:rPr>
        <w:softHyphen/>
        <w:t>сюков. Причины несчастья достоверно не установили, однако и фактов, подтверждающих порочность конструкции, выявлено не было, поэтому изготовление последую</w:t>
      </w:r>
      <w:r w:rsidRPr="00DE096C">
        <w:rPr>
          <w:bCs/>
          <w:color w:val="002060"/>
          <w:sz w:val="16"/>
          <w:szCs w:val="16"/>
          <w:lang w:bidi="ru-RU"/>
        </w:rPr>
        <w:softHyphen/>
        <w:t>щих М-2 продолжили (23374).</w:t>
      </w:r>
    </w:p>
    <w:p w14:paraId="046E78FC" w14:textId="77777777" w:rsidR="000F5F6C" w:rsidRPr="00DE096C" w:rsidRDefault="000F5F6C" w:rsidP="00D45A46">
      <w:pPr>
        <w:jc w:val="both"/>
        <w:rPr>
          <w:bCs/>
          <w:color w:val="002060"/>
          <w:sz w:val="16"/>
          <w:szCs w:val="16"/>
        </w:rPr>
      </w:pPr>
    </w:p>
    <w:p w14:paraId="1D2405BC" w14:textId="77777777" w:rsidR="000F5F6C" w:rsidRPr="00DE096C" w:rsidRDefault="000F5F6C" w:rsidP="00D45A46">
      <w:pPr>
        <w:jc w:val="both"/>
        <w:rPr>
          <w:bCs/>
          <w:color w:val="002060"/>
          <w:sz w:val="16"/>
          <w:szCs w:val="16"/>
        </w:rPr>
      </w:pPr>
      <w:r w:rsidRPr="00DE096C">
        <w:rPr>
          <w:bCs/>
          <w:color w:val="002060"/>
          <w:sz w:val="16"/>
          <w:szCs w:val="16"/>
          <w:lang w:bidi="ru-RU"/>
        </w:rPr>
        <w:t>С августа 1914 г. с началом войны финан</w:t>
      </w:r>
      <w:r w:rsidRPr="00DE096C">
        <w:rPr>
          <w:bCs/>
          <w:color w:val="002060"/>
          <w:sz w:val="16"/>
          <w:szCs w:val="16"/>
          <w:lang w:bidi="ru-RU"/>
        </w:rPr>
        <w:softHyphen/>
        <w:t>сировать постройку самолета «Святогор» взялся бога</w:t>
      </w:r>
      <w:r w:rsidRPr="00DE096C">
        <w:rPr>
          <w:bCs/>
          <w:color w:val="002060"/>
          <w:sz w:val="16"/>
          <w:szCs w:val="16"/>
          <w:lang w:bidi="ru-RU"/>
        </w:rPr>
        <w:softHyphen/>
        <w:t>тый польский помещик, член Всероссий</w:t>
      </w:r>
      <w:r w:rsidRPr="00DE096C">
        <w:rPr>
          <w:bCs/>
          <w:color w:val="002060"/>
          <w:sz w:val="16"/>
          <w:szCs w:val="16"/>
          <w:lang w:bidi="ru-RU"/>
        </w:rPr>
        <w:softHyphen/>
        <w:t>ского аэроклуба М. Млынский, который выделил для этих целей необходимые 100 тыс. рублей. Заказ на постройку «Святого</w:t>
      </w:r>
      <w:r w:rsidRPr="00DE096C">
        <w:rPr>
          <w:bCs/>
          <w:color w:val="002060"/>
          <w:sz w:val="16"/>
          <w:szCs w:val="16"/>
          <w:lang w:bidi="ru-RU"/>
        </w:rPr>
        <w:softHyphen/>
        <w:t>ра» достался Акционерному обществу В.А. Лебедева.</w:t>
      </w:r>
    </w:p>
    <w:p w14:paraId="09FCBAE4" w14:textId="77777777" w:rsidR="000F5F6C" w:rsidRPr="00DE096C" w:rsidRDefault="000F5F6C" w:rsidP="00D45A46">
      <w:pPr>
        <w:jc w:val="both"/>
        <w:rPr>
          <w:bCs/>
          <w:color w:val="002060"/>
          <w:sz w:val="16"/>
          <w:szCs w:val="16"/>
          <w:lang w:bidi="ru-RU"/>
        </w:rPr>
      </w:pPr>
      <w:r w:rsidRPr="00DE096C">
        <w:rPr>
          <w:bCs/>
          <w:color w:val="002060"/>
          <w:sz w:val="16"/>
          <w:szCs w:val="16"/>
          <w:lang w:bidi="ru-RU"/>
        </w:rPr>
        <w:t>Изготовление самолета началось в дека</w:t>
      </w:r>
      <w:r w:rsidRPr="00DE096C">
        <w:rPr>
          <w:bCs/>
          <w:color w:val="002060"/>
          <w:sz w:val="16"/>
          <w:szCs w:val="16"/>
          <w:lang w:bidi="ru-RU"/>
        </w:rPr>
        <w:softHyphen/>
        <w:t>бре 1914 г. и в основном закончилось 22 июня 1915 г. Отсутствие двигателей, одна</w:t>
      </w:r>
      <w:r w:rsidRPr="00DE096C">
        <w:rPr>
          <w:bCs/>
          <w:color w:val="002060"/>
          <w:sz w:val="16"/>
          <w:szCs w:val="16"/>
          <w:lang w:bidi="ru-RU"/>
        </w:rPr>
        <w:softHyphen/>
        <w:t>ко, не позволило сразу довести аппарат до летного состояния. В условиях продолжаю</w:t>
      </w:r>
      <w:r w:rsidRPr="00DE096C">
        <w:rPr>
          <w:bCs/>
          <w:color w:val="002060"/>
          <w:sz w:val="16"/>
          <w:szCs w:val="16"/>
          <w:lang w:bidi="ru-RU"/>
        </w:rPr>
        <w:softHyphen/>
        <w:t>щейся войны получить запланированные двигатели «Мерседес» мощностью 300 л.с. не представлялось возможным. Попытка использовать силовую установку со сбито</w:t>
      </w:r>
      <w:r w:rsidRPr="00DE096C">
        <w:rPr>
          <w:bCs/>
          <w:color w:val="002060"/>
          <w:sz w:val="16"/>
          <w:szCs w:val="16"/>
          <w:lang w:bidi="ru-RU"/>
        </w:rPr>
        <w:softHyphen/>
        <w:t>го немецкого дирижабля не удалась — дви</w:t>
      </w:r>
      <w:r w:rsidRPr="00DE096C">
        <w:rPr>
          <w:bCs/>
          <w:color w:val="002060"/>
          <w:sz w:val="16"/>
          <w:szCs w:val="16"/>
          <w:lang w:bidi="ru-RU"/>
        </w:rPr>
        <w:softHyphen/>
        <w:t>гатели «Майбах» оказались значительно повреждены. В январе 1916 г. были полу</w:t>
      </w:r>
      <w:r w:rsidRPr="00DE096C">
        <w:rPr>
          <w:bCs/>
          <w:color w:val="002060"/>
          <w:sz w:val="16"/>
          <w:szCs w:val="16"/>
          <w:lang w:bidi="ru-RU"/>
        </w:rPr>
        <w:softHyphen/>
        <w:t>чены французские двигатели «Рено» мощ</w:t>
      </w:r>
      <w:r w:rsidRPr="00DE096C">
        <w:rPr>
          <w:bCs/>
          <w:color w:val="002060"/>
          <w:sz w:val="16"/>
          <w:szCs w:val="16"/>
          <w:lang w:bidi="ru-RU"/>
        </w:rPr>
        <w:softHyphen/>
        <w:t>ностью 220 л.с., которые и установили на «Святогор».</w:t>
      </w:r>
    </w:p>
    <w:p w14:paraId="3F9A7C25" w14:textId="77777777" w:rsidR="000F5F6C" w:rsidRPr="00DE096C" w:rsidRDefault="000F5F6C" w:rsidP="00D45A46">
      <w:pPr>
        <w:jc w:val="both"/>
        <w:rPr>
          <w:bCs/>
          <w:color w:val="002060"/>
          <w:sz w:val="16"/>
          <w:szCs w:val="16"/>
        </w:rPr>
      </w:pPr>
      <w:bookmarkStart w:id="149" w:name="bookmark150"/>
      <w:r w:rsidRPr="00DE096C">
        <w:rPr>
          <w:bCs/>
          <w:color w:val="002060"/>
          <w:sz w:val="16"/>
          <w:szCs w:val="16"/>
          <w:lang w:bidi="ru-RU"/>
        </w:rPr>
        <w:t>Технические характеристики и расчетные летные данные самолета «Святогор»</w:t>
      </w:r>
      <w:bookmarkEnd w:id="149"/>
    </w:p>
    <w:tbl>
      <w:tblPr>
        <w:tblOverlap w:val="never"/>
        <w:tblW w:w="0" w:type="auto"/>
        <w:tblLayout w:type="fixed"/>
        <w:tblCellMar>
          <w:left w:w="10" w:type="dxa"/>
          <w:right w:w="10" w:type="dxa"/>
        </w:tblCellMar>
        <w:tblLook w:val="0000" w:firstRow="0" w:lastRow="0" w:firstColumn="0" w:lastColumn="0" w:noHBand="0" w:noVBand="0"/>
      </w:tblPr>
      <w:tblGrid>
        <w:gridCol w:w="3648"/>
        <w:gridCol w:w="2074"/>
      </w:tblGrid>
      <w:tr w:rsidR="000F5F6C" w:rsidRPr="00DE096C" w14:paraId="7D51DD28" w14:textId="77777777" w:rsidTr="00711059">
        <w:trPr>
          <w:trHeight w:val="269"/>
        </w:trPr>
        <w:tc>
          <w:tcPr>
            <w:tcW w:w="3648" w:type="dxa"/>
            <w:tcBorders>
              <w:top w:val="single" w:sz="4" w:space="0" w:color="auto"/>
              <w:left w:val="single" w:sz="4" w:space="0" w:color="auto"/>
            </w:tcBorders>
            <w:vAlign w:val="bottom"/>
          </w:tcPr>
          <w:p w14:paraId="24995D94" w14:textId="77777777" w:rsidR="000F5F6C" w:rsidRPr="00DE096C" w:rsidRDefault="000F5F6C"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Размах верхнего крыла (м)</w:t>
            </w:r>
          </w:p>
        </w:tc>
        <w:tc>
          <w:tcPr>
            <w:tcW w:w="2074" w:type="dxa"/>
            <w:tcBorders>
              <w:top w:val="single" w:sz="4" w:space="0" w:color="auto"/>
              <w:right w:val="single" w:sz="4" w:space="0" w:color="auto"/>
            </w:tcBorders>
            <w:vAlign w:val="bottom"/>
          </w:tcPr>
          <w:p w14:paraId="2AA7AAD8" w14:textId="77777777" w:rsidR="000F5F6C" w:rsidRPr="00DE096C" w:rsidRDefault="000F5F6C"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36,0</w:t>
            </w:r>
          </w:p>
        </w:tc>
      </w:tr>
      <w:tr w:rsidR="000F5F6C" w:rsidRPr="00DE096C" w14:paraId="547ED823" w14:textId="77777777" w:rsidTr="00711059">
        <w:trPr>
          <w:trHeight w:val="187"/>
        </w:trPr>
        <w:tc>
          <w:tcPr>
            <w:tcW w:w="3648" w:type="dxa"/>
            <w:tcBorders>
              <w:left w:val="single" w:sz="4" w:space="0" w:color="auto"/>
            </w:tcBorders>
            <w:vAlign w:val="bottom"/>
          </w:tcPr>
          <w:p w14:paraId="489E4CAE" w14:textId="77777777" w:rsidR="000F5F6C" w:rsidRPr="00DE096C" w:rsidRDefault="000F5F6C"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Длина в линии полета (м)</w:t>
            </w:r>
          </w:p>
        </w:tc>
        <w:tc>
          <w:tcPr>
            <w:tcW w:w="2074" w:type="dxa"/>
            <w:tcBorders>
              <w:right w:val="single" w:sz="4" w:space="0" w:color="auto"/>
            </w:tcBorders>
            <w:vAlign w:val="bottom"/>
          </w:tcPr>
          <w:p w14:paraId="7BF08081" w14:textId="77777777" w:rsidR="000F5F6C" w:rsidRPr="00DE096C" w:rsidRDefault="000F5F6C"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21,0</w:t>
            </w:r>
          </w:p>
        </w:tc>
      </w:tr>
      <w:tr w:rsidR="000F5F6C" w:rsidRPr="00DE096C" w14:paraId="03588540" w14:textId="77777777" w:rsidTr="00711059">
        <w:trPr>
          <w:trHeight w:val="202"/>
        </w:trPr>
        <w:tc>
          <w:tcPr>
            <w:tcW w:w="3648" w:type="dxa"/>
            <w:tcBorders>
              <w:left w:val="single" w:sz="4" w:space="0" w:color="auto"/>
            </w:tcBorders>
          </w:tcPr>
          <w:p w14:paraId="2136998C" w14:textId="77777777" w:rsidR="000F5F6C" w:rsidRPr="00DE096C" w:rsidRDefault="000F5F6C"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Площадь крыльев (м</w:t>
            </w:r>
            <w:r w:rsidRPr="00DE096C">
              <w:rPr>
                <w:rFonts w:ascii="Times New Roman" w:hAnsi="Times New Roman" w:cs="Times New Roman"/>
                <w:bCs/>
                <w:color w:val="002060"/>
                <w:sz w:val="16"/>
                <w:szCs w:val="16"/>
                <w:vertAlign w:val="superscript"/>
                <w:lang w:eastAsia="ru-RU" w:bidi="ru-RU"/>
              </w:rPr>
              <w:t>2</w:t>
            </w:r>
            <w:r w:rsidRPr="00DE096C">
              <w:rPr>
                <w:rFonts w:ascii="Times New Roman" w:hAnsi="Times New Roman" w:cs="Times New Roman"/>
                <w:bCs/>
                <w:color w:val="002060"/>
                <w:sz w:val="16"/>
                <w:szCs w:val="16"/>
                <w:lang w:eastAsia="ru-RU" w:bidi="ru-RU"/>
              </w:rPr>
              <w:t>)</w:t>
            </w:r>
          </w:p>
        </w:tc>
        <w:tc>
          <w:tcPr>
            <w:tcW w:w="2074" w:type="dxa"/>
            <w:tcBorders>
              <w:right w:val="single" w:sz="4" w:space="0" w:color="auto"/>
            </w:tcBorders>
          </w:tcPr>
          <w:p w14:paraId="46AD59BD" w14:textId="77777777" w:rsidR="000F5F6C" w:rsidRPr="00DE096C" w:rsidRDefault="000F5F6C"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180</w:t>
            </w:r>
          </w:p>
        </w:tc>
      </w:tr>
      <w:tr w:rsidR="000F5F6C" w:rsidRPr="00DE096C" w14:paraId="6D7B6D50" w14:textId="77777777" w:rsidTr="00711059">
        <w:trPr>
          <w:trHeight w:val="187"/>
        </w:trPr>
        <w:tc>
          <w:tcPr>
            <w:tcW w:w="3648" w:type="dxa"/>
            <w:tcBorders>
              <w:left w:val="single" w:sz="4" w:space="0" w:color="auto"/>
            </w:tcBorders>
          </w:tcPr>
          <w:p w14:paraId="75FC96B4" w14:textId="77777777" w:rsidR="000F5F6C" w:rsidRPr="00DE096C" w:rsidRDefault="000F5F6C"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Полетный вес (кг)</w:t>
            </w:r>
          </w:p>
        </w:tc>
        <w:tc>
          <w:tcPr>
            <w:tcW w:w="2074" w:type="dxa"/>
            <w:tcBorders>
              <w:right w:val="single" w:sz="4" w:space="0" w:color="auto"/>
            </w:tcBorders>
          </w:tcPr>
          <w:p w14:paraId="762E68E7" w14:textId="77777777" w:rsidR="000F5F6C" w:rsidRPr="00DE096C" w:rsidRDefault="000F5F6C"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6500</w:t>
            </w:r>
          </w:p>
        </w:tc>
      </w:tr>
      <w:tr w:rsidR="000F5F6C" w:rsidRPr="00DE096C" w14:paraId="2BD2CF6F" w14:textId="77777777" w:rsidTr="00711059">
        <w:trPr>
          <w:trHeight w:val="206"/>
        </w:trPr>
        <w:tc>
          <w:tcPr>
            <w:tcW w:w="3648" w:type="dxa"/>
            <w:tcBorders>
              <w:left w:val="single" w:sz="4" w:space="0" w:color="auto"/>
            </w:tcBorders>
            <w:vAlign w:val="bottom"/>
          </w:tcPr>
          <w:p w14:paraId="331D7898" w14:textId="77777777" w:rsidR="000F5F6C" w:rsidRPr="00DE096C" w:rsidRDefault="000F5F6C"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Скорость у земли (км/ч )</w:t>
            </w:r>
          </w:p>
        </w:tc>
        <w:tc>
          <w:tcPr>
            <w:tcW w:w="2074" w:type="dxa"/>
            <w:tcBorders>
              <w:right w:val="single" w:sz="4" w:space="0" w:color="auto"/>
            </w:tcBorders>
            <w:vAlign w:val="bottom"/>
          </w:tcPr>
          <w:p w14:paraId="0CA833AB" w14:textId="77777777" w:rsidR="000F5F6C" w:rsidRPr="00DE096C" w:rsidRDefault="000F5F6C"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114</w:t>
            </w:r>
          </w:p>
        </w:tc>
      </w:tr>
      <w:tr w:rsidR="000F5F6C" w:rsidRPr="00DE096C" w14:paraId="58C35A60" w14:textId="77777777" w:rsidTr="00711059">
        <w:trPr>
          <w:trHeight w:val="187"/>
        </w:trPr>
        <w:tc>
          <w:tcPr>
            <w:tcW w:w="3648" w:type="dxa"/>
            <w:tcBorders>
              <w:left w:val="single" w:sz="4" w:space="0" w:color="auto"/>
            </w:tcBorders>
          </w:tcPr>
          <w:p w14:paraId="516CA486" w14:textId="77777777" w:rsidR="000F5F6C" w:rsidRPr="00DE096C" w:rsidRDefault="000F5F6C"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Потолок (м)</w:t>
            </w:r>
          </w:p>
        </w:tc>
        <w:tc>
          <w:tcPr>
            <w:tcW w:w="2074" w:type="dxa"/>
            <w:tcBorders>
              <w:right w:val="single" w:sz="4" w:space="0" w:color="auto"/>
            </w:tcBorders>
          </w:tcPr>
          <w:p w14:paraId="4FF0824B" w14:textId="77777777" w:rsidR="000F5F6C" w:rsidRPr="00DE096C" w:rsidRDefault="000F5F6C"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2500</w:t>
            </w:r>
          </w:p>
        </w:tc>
      </w:tr>
      <w:tr w:rsidR="000F5F6C" w:rsidRPr="00DE096C" w14:paraId="1F6FDA2D" w14:textId="77777777" w:rsidTr="00711059">
        <w:trPr>
          <w:trHeight w:val="278"/>
        </w:trPr>
        <w:tc>
          <w:tcPr>
            <w:tcW w:w="3648" w:type="dxa"/>
            <w:tcBorders>
              <w:left w:val="single" w:sz="4" w:space="0" w:color="auto"/>
              <w:bottom w:val="single" w:sz="4" w:space="0" w:color="auto"/>
            </w:tcBorders>
          </w:tcPr>
          <w:p w14:paraId="596EFAA0" w14:textId="77777777" w:rsidR="000F5F6C" w:rsidRPr="00DE096C" w:rsidRDefault="000F5F6C"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Продолжительность полета</w:t>
            </w:r>
          </w:p>
        </w:tc>
        <w:tc>
          <w:tcPr>
            <w:tcW w:w="2074" w:type="dxa"/>
            <w:tcBorders>
              <w:bottom w:val="single" w:sz="4" w:space="0" w:color="auto"/>
              <w:right w:val="single" w:sz="4" w:space="0" w:color="auto"/>
            </w:tcBorders>
          </w:tcPr>
          <w:p w14:paraId="1191BF98" w14:textId="77777777" w:rsidR="000F5F6C" w:rsidRPr="00DE096C" w:rsidRDefault="000F5F6C"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30 часов</w:t>
            </w:r>
          </w:p>
        </w:tc>
      </w:tr>
    </w:tbl>
    <w:p w14:paraId="2111AD6B" w14:textId="77777777" w:rsidR="000F5F6C" w:rsidRPr="00DE096C" w:rsidRDefault="000F5F6C" w:rsidP="00D45A46">
      <w:pPr>
        <w:jc w:val="both"/>
        <w:rPr>
          <w:bCs/>
          <w:color w:val="002060"/>
          <w:sz w:val="16"/>
          <w:szCs w:val="16"/>
        </w:rPr>
      </w:pPr>
      <w:r w:rsidRPr="00DE096C">
        <w:rPr>
          <w:bCs/>
          <w:color w:val="002060"/>
          <w:sz w:val="16"/>
          <w:szCs w:val="16"/>
          <w:lang w:bidi="ru-RU"/>
        </w:rPr>
        <w:t>(23374).</w:t>
      </w:r>
    </w:p>
    <w:p w14:paraId="3E3696C5" w14:textId="77777777" w:rsidR="000F5F6C" w:rsidRPr="00DE096C" w:rsidRDefault="000F5F6C" w:rsidP="00D45A46">
      <w:pPr>
        <w:jc w:val="both"/>
        <w:rPr>
          <w:bCs/>
          <w:color w:val="002060"/>
          <w:sz w:val="16"/>
          <w:szCs w:val="16"/>
        </w:rPr>
      </w:pPr>
    </w:p>
    <w:p w14:paraId="4F42E68C" w14:textId="77777777" w:rsidR="000F5F6C" w:rsidRPr="00DE096C" w:rsidRDefault="000F5F6C" w:rsidP="00D45A46">
      <w:pPr>
        <w:jc w:val="both"/>
        <w:rPr>
          <w:bCs/>
          <w:color w:val="002060"/>
          <w:sz w:val="16"/>
          <w:szCs w:val="16"/>
        </w:rPr>
      </w:pPr>
      <w:r w:rsidRPr="00DE096C">
        <w:rPr>
          <w:bCs/>
          <w:color w:val="002060"/>
          <w:sz w:val="16"/>
          <w:szCs w:val="16"/>
        </w:rPr>
        <w:t>В августе 1914 года, когда Безобразов уехал на фронт, Моска открыл свой завод рядом с заводом «Дукс» на Ходынском аэродроме в Москве. Осенью он получил военный контракт на семьдесят пять самолетов Farman I Vs.</w:t>
      </w:r>
    </w:p>
    <w:p w14:paraId="549360AD" w14:textId="77777777" w:rsidR="000F5F6C" w:rsidRPr="00DE096C" w:rsidRDefault="000F5F6C" w:rsidP="00D45A46">
      <w:pPr>
        <w:jc w:val="both"/>
        <w:rPr>
          <w:bCs/>
          <w:color w:val="002060"/>
          <w:sz w:val="16"/>
          <w:szCs w:val="16"/>
        </w:rPr>
      </w:pPr>
      <w:r w:rsidRPr="00DE096C">
        <w:rPr>
          <w:bCs/>
          <w:color w:val="002060"/>
          <w:sz w:val="16"/>
          <w:szCs w:val="16"/>
        </w:rPr>
        <w:t>Производство до конца года составляло в среднем 2-3 самолета в месяц, но позже увеличилось до пятнадцати самолетов в месяц. Вместе со своим помощником инженера Быстрицким он построил свои собственные проекты: двухместную «Моску МБ» («Б» — Штабс Капитан Быстрицкий, чиновник военного министерства, руководивший закупками) двухместную, которых было построено двенадцать, и «Моску МБ бис». одноместные, из которых пятьдесят были построены в 1916 году. Летные испытания МБ-бис прошли два известных русских летчика Е.Н. Крутен и К.К. Арцеулов. На основании их выводов военное министерство предоставило Моске государственную субсидию в размере 50 000 рублей, что позволило Моске расширить свою мастерскую до фабрики.</w:t>
      </w:r>
    </w:p>
    <w:p w14:paraId="34F0A231" w14:textId="77777777" w:rsidR="000F5F6C" w:rsidRPr="00DE096C" w:rsidRDefault="000F5F6C" w:rsidP="00D45A46">
      <w:pPr>
        <w:jc w:val="both"/>
        <w:rPr>
          <w:bCs/>
          <w:color w:val="002060"/>
          <w:sz w:val="16"/>
          <w:szCs w:val="16"/>
        </w:rPr>
      </w:pPr>
      <w:r w:rsidRPr="00DE096C">
        <w:rPr>
          <w:bCs/>
          <w:color w:val="002060"/>
          <w:sz w:val="16"/>
          <w:szCs w:val="16"/>
        </w:rPr>
        <w:t>В 1915 году на его маленьком заводе было всего двадцать два рабочих, число которых выросло до восьмидесяти двух в 1916 году и 260 в 1917 году. 24 октября 1916 года Моска получила заказ на 125 Моска Б, но было изготовлено только двадцать пять. Всего было построено около тридцати восьми Моска МБ-бис. MB bis был вооружен наклонным 7,7-мм пулеметом Lewis, стреляющим по дуге воздушного винта.</w:t>
      </w:r>
    </w:p>
    <w:p w14:paraId="0E8B075F" w14:textId="77777777" w:rsidR="000F5F6C" w:rsidRPr="00DE096C" w:rsidRDefault="000F5F6C" w:rsidP="00D45A46">
      <w:pPr>
        <w:jc w:val="both"/>
        <w:rPr>
          <w:bCs/>
          <w:color w:val="002060"/>
          <w:sz w:val="16"/>
          <w:szCs w:val="16"/>
        </w:rPr>
      </w:pPr>
      <w:r w:rsidRPr="00DE096C">
        <w:rPr>
          <w:bCs/>
          <w:color w:val="002060"/>
          <w:sz w:val="16"/>
          <w:szCs w:val="16"/>
        </w:rPr>
        <w:t>К концу войны «Моска» выпустила 140 самолетов. Менее половины были приняты военными властями. Моска был хорошим летчиком, но больше администратором, чем бизнесменом. После революции вернулся в Италию. Его завод был захвачен красными и обозначен как ГАЗ №25. Однако его мастерские продолжали работать на белых на территории бывшего завода Лебедева в Таганроге в 1919 году (23525).</w:t>
      </w:r>
    </w:p>
    <w:p w14:paraId="06A68BA0" w14:textId="77777777" w:rsidR="000F5F6C" w:rsidRPr="00DE096C" w:rsidRDefault="000F5F6C" w:rsidP="00D45A46">
      <w:pPr>
        <w:jc w:val="both"/>
        <w:rPr>
          <w:bCs/>
          <w:color w:val="002060"/>
          <w:sz w:val="16"/>
          <w:szCs w:val="16"/>
        </w:rPr>
      </w:pPr>
    </w:p>
    <w:p w14:paraId="3E4730DF" w14:textId="77777777" w:rsidR="000F5F6C" w:rsidRPr="00DE096C" w:rsidRDefault="000F5F6C" w:rsidP="00D45A46">
      <w:pPr>
        <w:jc w:val="both"/>
        <w:rPr>
          <w:bCs/>
          <w:color w:val="002060"/>
          <w:sz w:val="16"/>
          <w:szCs w:val="16"/>
        </w:rPr>
      </w:pPr>
      <w:r w:rsidRPr="00DE096C">
        <w:rPr>
          <w:bCs/>
          <w:color w:val="002060"/>
          <w:sz w:val="16"/>
          <w:szCs w:val="16"/>
        </w:rPr>
        <w:t>До августа 1914 года на заводе Калепа в Риге ежемесячно производилось только два авиадвигателя. Начальником производства был А. Д. Шевцов, а главным инженером Мотора — А. П. Казаков. Во время немецкого наступления летом 1915 года весь завод был эвакуирован в Москву. К концу 1916 года они выпускали по 20 двигателей Le Rhone в месяц. Они также производили запчасти для роторных двигателей. В течение 1916 года завод построил российские варианты двигателя Mercedes мощностью 168 л.с. В 1917 году Мотор получил заказ на 300 двигателей Rhone мощностью 1 л.с. Неизвестно, сколько их было завершено. В 1915 г. было 205 рабочих, в 1916 г. — 215, а к 1916 г. — 297 рабочих (23535).</w:t>
      </w:r>
    </w:p>
    <w:p w14:paraId="4C2ABA3F" w14:textId="77777777" w:rsidR="000F5F6C" w:rsidRPr="00DE096C" w:rsidRDefault="000F5F6C" w:rsidP="00D45A46">
      <w:pPr>
        <w:jc w:val="both"/>
        <w:rPr>
          <w:bCs/>
          <w:color w:val="002060"/>
          <w:sz w:val="16"/>
          <w:szCs w:val="16"/>
        </w:rPr>
      </w:pPr>
    </w:p>
    <w:p w14:paraId="014FBD08" w14:textId="77777777" w:rsidR="000F5F6C" w:rsidRPr="00DE096C" w:rsidRDefault="000F5F6C" w:rsidP="00D45A46">
      <w:pPr>
        <w:jc w:val="both"/>
        <w:rPr>
          <w:bCs/>
          <w:color w:val="002060"/>
          <w:sz w:val="16"/>
          <w:szCs w:val="16"/>
        </w:rPr>
      </w:pPr>
      <w:r w:rsidRPr="00DE096C">
        <w:rPr>
          <w:bCs/>
          <w:color w:val="002060"/>
          <w:sz w:val="16"/>
          <w:szCs w:val="16"/>
        </w:rPr>
        <w:t>В августе 1914 г. немцы конфисковали на своей территории части для монопланов «Моран-Солнье»), предназначающиеся для России. Продукцию французских авиазаводов союзникам теперь приходилось доставлять по морю в Петроград, а позднее, когда немецкий флот стал господствовать на Балтике, — окружным путем в черноморские порты, либо во Владивосток или Архангельск. К тому же Франция, бросившая все силы на защиту Парижа, отказалась продавать двигатели частным заводам и ввела временное эмбарго на экспорт своего самого мощного ротативного мотора «Гном-Моносупап» 100 л. с., а ведь именно под него были разработаны такие самолеты, как монопланы С-10 и С-11 И.И. Сикорского, биплан «Фарман-22 бис» (23472).</w:t>
      </w:r>
    </w:p>
    <w:p w14:paraId="6B138EC8" w14:textId="77777777" w:rsidR="000F5F6C" w:rsidRPr="00DE096C" w:rsidRDefault="000F5F6C" w:rsidP="00D45A46">
      <w:pPr>
        <w:jc w:val="both"/>
        <w:rPr>
          <w:bCs/>
          <w:color w:val="002060"/>
          <w:sz w:val="16"/>
          <w:szCs w:val="16"/>
        </w:rPr>
      </w:pPr>
    </w:p>
    <w:p w14:paraId="6859754F" w14:textId="77777777" w:rsidR="000F5F6C" w:rsidRPr="00DE096C" w:rsidRDefault="000F5F6C" w:rsidP="00D45A46">
      <w:pPr>
        <w:jc w:val="both"/>
        <w:rPr>
          <w:bCs/>
          <w:color w:val="002060"/>
          <w:sz w:val="16"/>
          <w:szCs w:val="16"/>
        </w:rPr>
      </w:pPr>
      <w:r w:rsidRPr="00DE096C">
        <w:rPr>
          <w:bCs/>
          <w:color w:val="002060"/>
          <w:sz w:val="16"/>
          <w:szCs w:val="16"/>
          <w:lang w:bidi="ru-RU"/>
        </w:rPr>
        <w:t>С августа 1914 г. начали работать авиамастерская и авиационная школа, зарегистрированные на Слюсаренко и его жену Л. В. Звереву (она стала первой авиатрисой, совершившей петлю Нестерова) и были переведены из Риги в Петроград. Именно тогда предприятие получило оборонный заказ на постройку и ремонт самолётов. За два года войны завод сдал военной приёмке 40 самолётов «Моран-Парасоль» и «Фарман-12». С 1916 г. завод значительно расширился, так появились новые заказы на 20 самолётов «Лебедь-ХП» и 97 лицензионных моделей. Общая численность рабочих и служащих достигла 460 человек. К июлю 1917 г. почти все заказы были выполнены. Но с этого момента завод стал испытывать затруднения с авиаматериалами, топливом и кадрами. С декабря 1917 г. он сократил свою деятельность, а в конце 1918 г. был закрыт (23485).</w:t>
      </w:r>
    </w:p>
    <w:p w14:paraId="4AF6373C" w14:textId="77777777" w:rsidR="000F5F6C" w:rsidRPr="00DE096C" w:rsidRDefault="000F5F6C" w:rsidP="00D45A46">
      <w:pPr>
        <w:pStyle w:val="af7"/>
        <w:spacing w:line="240" w:lineRule="auto"/>
        <w:jc w:val="both"/>
        <w:rPr>
          <w:rFonts w:ascii="Times New Roman" w:hAnsi="Times New Roman" w:cs="Times New Roman"/>
          <w:bCs/>
          <w:color w:val="002060"/>
          <w:sz w:val="16"/>
          <w:szCs w:val="16"/>
        </w:rPr>
      </w:pPr>
    </w:p>
    <w:p w14:paraId="0CAC73F7"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Другие оборонные отрасли:</w:t>
      </w:r>
    </w:p>
    <w:p w14:paraId="4EE9785C" w14:textId="77777777" w:rsidR="00B67D7C" w:rsidRPr="00DE096C" w:rsidRDefault="00B67D7C" w:rsidP="00D45A46">
      <w:pPr>
        <w:shd w:val="clear" w:color="auto" w:fill="FFFFFF"/>
        <w:jc w:val="both"/>
        <w:rPr>
          <w:bCs/>
          <w:i/>
          <w:color w:val="002060"/>
          <w:sz w:val="16"/>
          <w:szCs w:val="16"/>
        </w:rPr>
      </w:pPr>
    </w:p>
    <w:p w14:paraId="4BC4AAE5" w14:textId="77777777" w:rsidR="00D448B4" w:rsidRPr="00DE096C" w:rsidRDefault="00D448B4" w:rsidP="00D45A46">
      <w:pPr>
        <w:jc w:val="both"/>
        <w:rPr>
          <w:bCs/>
          <w:color w:val="002060"/>
          <w:sz w:val="16"/>
          <w:szCs w:val="16"/>
        </w:rPr>
      </w:pPr>
      <w:r w:rsidRPr="00DE096C">
        <w:rPr>
          <w:bCs/>
          <w:color w:val="002060"/>
          <w:sz w:val="16"/>
          <w:szCs w:val="16"/>
        </w:rPr>
        <w:t>В августе 1914 г. с флотов стали поступать просьбы о снабжении их радиопеленгаторами для определения местоположения судов противника. В частности, из штаба командующего Балтийского флота последовали предложения приобрести радиотелефонные станции, имеющиеся у РОБТиТ (18297).</w:t>
      </w:r>
    </w:p>
    <w:p w14:paraId="52DCEC0E" w14:textId="77777777" w:rsidR="00D448B4" w:rsidRPr="00DE096C" w:rsidRDefault="00D448B4" w:rsidP="00D45A46">
      <w:pPr>
        <w:jc w:val="both"/>
        <w:rPr>
          <w:bCs/>
          <w:color w:val="002060"/>
          <w:sz w:val="16"/>
          <w:szCs w:val="16"/>
        </w:rPr>
      </w:pPr>
    </w:p>
    <w:p w14:paraId="20640A20" w14:textId="77777777" w:rsidR="00587176" w:rsidRPr="00DE096C" w:rsidRDefault="00587176" w:rsidP="00D45A46">
      <w:pPr>
        <w:pStyle w:val="p1"/>
        <w:spacing w:before="0" w:beforeAutospacing="0" w:after="0" w:afterAutospacing="0"/>
        <w:jc w:val="both"/>
        <w:rPr>
          <w:bCs/>
          <w:color w:val="002060"/>
          <w:sz w:val="16"/>
          <w:szCs w:val="16"/>
        </w:rPr>
      </w:pPr>
      <w:r w:rsidRPr="00DE096C">
        <w:rPr>
          <w:bCs/>
          <w:color w:val="002060"/>
          <w:sz w:val="16"/>
          <w:szCs w:val="16"/>
        </w:rPr>
        <w:t>В августе 1914 г., когда еще шла мобилизация, ГАУ доказывало необходимость усиленных заказов на боеприпасы тем, что эти снаряды будут больше нужны в конце войны, чем в начале, — для успеха в «дележе» добычи победителями. План войны, выработанный в Морском генеральном штабе, предусматривал овладение проливами вопреки противодействию не только Германии, но и Англии: «Пока Германия не разгромлена или, по крайней мере, не разгромлен ее флот, Англия… не сможет силою остановить нас в нашем стремлении овладеть проливами и Константинополем. Как только же разгром германского флота станет совершившимся фактом, она это непременно сделает». Неудивительно, что в МГШ в начале войны «видное лицо» высказывало надежду на столкновение британского и германского флотов, да такое, «чтобы от германского флота и дребезгов не осталось и чтобы от английского остались одни дребезги» (1409).</w:t>
      </w:r>
    </w:p>
    <w:p w14:paraId="38E528D2" w14:textId="77777777" w:rsidR="00587176" w:rsidRPr="00DE096C" w:rsidRDefault="00587176" w:rsidP="00D45A46">
      <w:pPr>
        <w:pStyle w:val="p1"/>
        <w:spacing w:before="0" w:beforeAutospacing="0" w:after="0" w:afterAutospacing="0"/>
        <w:jc w:val="both"/>
        <w:rPr>
          <w:bCs/>
          <w:color w:val="002060"/>
          <w:sz w:val="16"/>
          <w:szCs w:val="16"/>
        </w:rPr>
      </w:pPr>
    </w:p>
    <w:p w14:paraId="02101319" w14:textId="77777777" w:rsidR="000F5F6C" w:rsidRPr="00DE096C" w:rsidRDefault="000F5F6C" w:rsidP="00D45A46">
      <w:pPr>
        <w:pStyle w:val="af7"/>
        <w:spacing w:line="240" w:lineRule="auto"/>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В августе 1914 г., когда еще шла мобилизация, ГАУ доказывало не</w:t>
      </w:r>
      <w:r w:rsidRPr="00DE096C">
        <w:rPr>
          <w:rFonts w:ascii="Times New Roman" w:hAnsi="Times New Roman" w:cs="Times New Roman"/>
          <w:bCs/>
          <w:color w:val="002060"/>
          <w:sz w:val="16"/>
          <w:szCs w:val="16"/>
        </w:rPr>
        <w:softHyphen/>
        <w:t>обходимость усиленных заказов на боеприпасы тем, что эти снаряды будут больше нужны в конце войны, чем в начале, — для успеха в «дележе» добычи победителями (См.: Адо В.И. Берлинский конгресс 1878 г. и помещичье-буржуаз- ное общественное мнение России // Исторические записки. 1961. Т. 69. С. 140, 119-120; Маниковский А.А. Указ. соч. Ч. 3. С. 149—150. Так выразился Смыс- ловский на заседании Военного совета 14 августа 1914 г. (РГВИА. Ф. 962. Оп. 2. Д. 137. Л. 119. Записка Смысловского «О довольствии действующей армии в текущую войну боевыми припасами», 18.1.1917)). План войны, выработанный в Морском генеральном шта</w:t>
      </w:r>
      <w:r w:rsidRPr="00DE096C">
        <w:rPr>
          <w:rFonts w:ascii="Times New Roman" w:hAnsi="Times New Roman" w:cs="Times New Roman"/>
          <w:bCs/>
          <w:color w:val="002060"/>
          <w:sz w:val="16"/>
          <w:szCs w:val="16"/>
        </w:rPr>
        <w:softHyphen/>
        <w:t>бе, предусматривал овладение проливами вопреки про</w:t>
      </w:r>
      <w:r w:rsidRPr="00DE096C">
        <w:rPr>
          <w:rFonts w:ascii="Times New Roman" w:hAnsi="Times New Roman" w:cs="Times New Roman"/>
          <w:bCs/>
          <w:color w:val="002060"/>
          <w:sz w:val="16"/>
          <w:szCs w:val="16"/>
        </w:rPr>
        <w:softHyphen/>
        <w:t>тиводействию не только Германии, но и Англии: «Пока Германия не разгромлена или, по крайней мере, не раз</w:t>
      </w:r>
      <w:r w:rsidRPr="00DE096C">
        <w:rPr>
          <w:rFonts w:ascii="Times New Roman" w:hAnsi="Times New Roman" w:cs="Times New Roman"/>
          <w:bCs/>
          <w:color w:val="002060"/>
          <w:sz w:val="16"/>
          <w:szCs w:val="16"/>
        </w:rPr>
        <w:softHyphen/>
        <w:t>громлен ее флот, Англия... не сможет силою остановить нас в нашем стремлении овладеть проливами и Констан</w:t>
      </w:r>
      <w:r w:rsidRPr="00DE096C">
        <w:rPr>
          <w:rFonts w:ascii="Times New Roman" w:hAnsi="Times New Roman" w:cs="Times New Roman"/>
          <w:bCs/>
          <w:color w:val="002060"/>
          <w:sz w:val="16"/>
          <w:szCs w:val="16"/>
        </w:rPr>
        <w:softHyphen/>
        <w:t>тинополем. Как только же разгром германского флота ста</w:t>
      </w:r>
      <w:r w:rsidRPr="00DE096C">
        <w:rPr>
          <w:rFonts w:ascii="Times New Roman" w:hAnsi="Times New Roman" w:cs="Times New Roman"/>
          <w:bCs/>
          <w:color w:val="002060"/>
          <w:sz w:val="16"/>
          <w:szCs w:val="16"/>
        </w:rPr>
        <w:softHyphen/>
        <w:t>нет совершившимся фактом, она это непременно сделает». Неудивительно, что в МГШ в начале войны «видное лицо» высказывало надежду на столкновение британского и гер</w:t>
      </w:r>
      <w:r w:rsidRPr="00DE096C">
        <w:rPr>
          <w:rFonts w:ascii="Times New Roman" w:hAnsi="Times New Roman" w:cs="Times New Roman"/>
          <w:bCs/>
          <w:color w:val="002060"/>
          <w:sz w:val="16"/>
          <w:szCs w:val="16"/>
        </w:rPr>
        <w:softHyphen/>
        <w:t>манского флотов, да такое, «чтобы от германского фло</w:t>
      </w:r>
      <w:r w:rsidRPr="00DE096C">
        <w:rPr>
          <w:rFonts w:ascii="Times New Roman" w:hAnsi="Times New Roman" w:cs="Times New Roman"/>
          <w:bCs/>
          <w:color w:val="002060"/>
          <w:sz w:val="16"/>
          <w:szCs w:val="16"/>
        </w:rPr>
        <w:softHyphen/>
        <w:t>та и дребезгов не осталось и чтобы от английского оста</w:t>
      </w:r>
      <w:r w:rsidRPr="00DE096C">
        <w:rPr>
          <w:rFonts w:ascii="Times New Roman" w:hAnsi="Times New Roman" w:cs="Times New Roman"/>
          <w:bCs/>
          <w:color w:val="002060"/>
          <w:sz w:val="16"/>
          <w:szCs w:val="16"/>
        </w:rPr>
        <w:softHyphen/>
        <w:t>лись одни дребезги». В ноябре 1914 г. И.Г. Щегловитов, Н.А. Маклаков и М.А. Таубе внесли в Совет министров записку, в «в духе старой русской политики», привычной к «традиционному британскому вероломству». Они ставили вопрос о недоверии полученным «британским устным уве</w:t>
      </w:r>
      <w:r w:rsidRPr="00DE096C">
        <w:rPr>
          <w:rFonts w:ascii="Times New Roman" w:hAnsi="Times New Roman" w:cs="Times New Roman"/>
          <w:bCs/>
          <w:color w:val="002060"/>
          <w:sz w:val="16"/>
          <w:szCs w:val="16"/>
        </w:rPr>
        <w:softHyphen/>
        <w:t>рениям», обещаниям отдать Константинополь и проливы и о необходимости самим позаботиться о действенной «га</w:t>
      </w:r>
      <w:r w:rsidRPr="00DE096C">
        <w:rPr>
          <w:rFonts w:ascii="Times New Roman" w:hAnsi="Times New Roman" w:cs="Times New Roman"/>
          <w:bCs/>
          <w:color w:val="002060"/>
          <w:sz w:val="16"/>
          <w:szCs w:val="16"/>
        </w:rPr>
        <w:softHyphen/>
        <w:t>рантии» в виде «возможно скорого завладения нами турец</w:t>
      </w:r>
      <w:r w:rsidRPr="00DE096C">
        <w:rPr>
          <w:rFonts w:ascii="Times New Roman" w:hAnsi="Times New Roman" w:cs="Times New Roman"/>
          <w:bCs/>
          <w:color w:val="002060"/>
          <w:sz w:val="16"/>
          <w:szCs w:val="16"/>
        </w:rPr>
        <w:softHyphen/>
        <w:t>кой столицей с обоими проливами». Записка была пред</w:t>
      </w:r>
      <w:r w:rsidRPr="00DE096C">
        <w:rPr>
          <w:rFonts w:ascii="Times New Roman" w:hAnsi="Times New Roman" w:cs="Times New Roman"/>
          <w:bCs/>
          <w:color w:val="002060"/>
          <w:sz w:val="16"/>
          <w:szCs w:val="16"/>
        </w:rPr>
        <w:softHyphen/>
        <w:t xml:space="preserve">ставлена Горемыкиным Николаю II и «препровождена на усмотрение верховного главнокомандующего» (Цит. по: Игнатьев А.В. Незавершенный этап. К истории русско- английских переговоров 1914 г. // История СССР. 1960. № 3. С. 113; Лопухин </w:t>
      </w:r>
      <w:r w:rsidRPr="00DE096C">
        <w:rPr>
          <w:rFonts w:ascii="Times New Roman" w:hAnsi="Times New Roman" w:cs="Times New Roman"/>
          <w:bCs/>
          <w:color w:val="002060"/>
          <w:sz w:val="16"/>
          <w:szCs w:val="16"/>
        </w:rPr>
        <w:lastRenderedPageBreak/>
        <w:t>Б.В. Записки бывшего директора департамента Министерства иностранных дел. СПб., 2008. С. 261—262; Таубе М.А. «Зарницы». Воспоминания о трагической судьбе пред</w:t>
      </w:r>
      <w:r w:rsidRPr="00DE096C">
        <w:rPr>
          <w:rFonts w:ascii="Times New Roman" w:hAnsi="Times New Roman" w:cs="Times New Roman"/>
          <w:bCs/>
          <w:color w:val="002060"/>
          <w:sz w:val="16"/>
          <w:szCs w:val="16"/>
        </w:rPr>
        <w:softHyphen/>
        <w:t>революционной России (1900—1917). М., 2007. С. 183—184. После воз</w:t>
      </w:r>
      <w:r w:rsidRPr="00DE096C">
        <w:rPr>
          <w:rFonts w:ascii="Times New Roman" w:hAnsi="Times New Roman" w:cs="Times New Roman"/>
          <w:bCs/>
          <w:color w:val="002060"/>
          <w:sz w:val="16"/>
          <w:szCs w:val="16"/>
        </w:rPr>
        <w:softHyphen/>
        <w:t>мущения, вызванного оглаской этого шага в Думе как акта прогерман</w:t>
      </w:r>
      <w:r w:rsidRPr="00DE096C">
        <w:rPr>
          <w:rFonts w:ascii="Times New Roman" w:hAnsi="Times New Roman" w:cs="Times New Roman"/>
          <w:bCs/>
          <w:color w:val="002060"/>
          <w:sz w:val="16"/>
          <w:szCs w:val="16"/>
        </w:rPr>
        <w:softHyphen/>
        <w:t>ски настроенных сил, Таубе, признавая сам факт внесения записки трех авторов в Совет министров и в «высокие сферы», пытался представить ее как записку «об основных задачах нашей внутренней политики» в условиях войны (см. его письмо в редакцию: Речь. 1916, 9 марта). Во</w:t>
      </w:r>
      <w:r w:rsidRPr="00DE096C">
        <w:rPr>
          <w:rFonts w:ascii="Times New Roman" w:hAnsi="Times New Roman" w:cs="Times New Roman"/>
          <w:bCs/>
          <w:color w:val="002060"/>
          <w:sz w:val="16"/>
          <w:szCs w:val="16"/>
        </w:rPr>
        <w:softHyphen/>
        <w:t>просы внутренней политики в ней затронуты, но в целом содержание записки касалось именно международных отношений, как это видно из конспекта и цитат, приведенных В.С. Дякиным (Дякин В.С. Националь</w:t>
      </w:r>
      <w:r w:rsidRPr="00DE096C">
        <w:rPr>
          <w:rFonts w:ascii="Times New Roman" w:hAnsi="Times New Roman" w:cs="Times New Roman"/>
          <w:bCs/>
          <w:color w:val="002060"/>
          <w:sz w:val="16"/>
          <w:szCs w:val="16"/>
        </w:rPr>
        <w:softHyphen/>
        <w:t>ный вопрос во внутренней политике царизма. СПб., 1998. С. 403—404)) (23452).</w:t>
      </w:r>
    </w:p>
    <w:p w14:paraId="3DB95716" w14:textId="77777777" w:rsidR="000F5F6C" w:rsidRPr="00DE096C" w:rsidRDefault="000F5F6C" w:rsidP="00D45A46">
      <w:pPr>
        <w:jc w:val="both"/>
        <w:rPr>
          <w:bCs/>
          <w:color w:val="002060"/>
          <w:sz w:val="16"/>
          <w:szCs w:val="16"/>
        </w:rPr>
      </w:pPr>
    </w:p>
    <w:p w14:paraId="4A5BC6CC" w14:textId="77777777" w:rsidR="00587176" w:rsidRPr="00DE096C" w:rsidRDefault="00587176" w:rsidP="00D45A46">
      <w:pPr>
        <w:jc w:val="both"/>
        <w:rPr>
          <w:bCs/>
          <w:color w:val="002060"/>
          <w:sz w:val="16"/>
          <w:szCs w:val="16"/>
        </w:rPr>
      </w:pPr>
      <w:r w:rsidRPr="00DE096C">
        <w:rPr>
          <w:bCs/>
          <w:color w:val="002060"/>
          <w:sz w:val="16"/>
          <w:szCs w:val="16"/>
        </w:rPr>
        <w:t>В августе 1914 г. Радиотелеграфное депо получает первый наряд на изготовление разработанной им радиостанции для подводных лодок. В дальнейшем дело было поставлено так, что ни одна из вступающих в строй подлодок в состав флота без радиоаппаратуры не принималась (18297).</w:t>
      </w:r>
    </w:p>
    <w:p w14:paraId="3DE65707" w14:textId="77777777" w:rsidR="00587176" w:rsidRPr="00DE096C" w:rsidRDefault="00587176" w:rsidP="00D45A46">
      <w:pPr>
        <w:jc w:val="both"/>
        <w:rPr>
          <w:bCs/>
          <w:color w:val="002060"/>
          <w:sz w:val="16"/>
          <w:szCs w:val="16"/>
        </w:rPr>
      </w:pPr>
    </w:p>
    <w:p w14:paraId="48A575FE" w14:textId="744D37FF" w:rsidR="00B67D7C" w:rsidRPr="00DE096C" w:rsidRDefault="00B67D7C" w:rsidP="00D45A46">
      <w:pPr>
        <w:jc w:val="both"/>
        <w:rPr>
          <w:bCs/>
          <w:color w:val="002060"/>
          <w:sz w:val="16"/>
          <w:szCs w:val="16"/>
        </w:rPr>
      </w:pPr>
      <w:r w:rsidRPr="00DE096C">
        <w:rPr>
          <w:bCs/>
          <w:color w:val="002060"/>
          <w:sz w:val="16"/>
          <w:szCs w:val="16"/>
        </w:rPr>
        <w:t>В</w:t>
      </w:r>
      <w:r w:rsidR="002E7CBF" w:rsidRPr="00DE096C">
        <w:rPr>
          <w:bCs/>
          <w:color w:val="002060"/>
          <w:sz w:val="16"/>
          <w:szCs w:val="16"/>
        </w:rPr>
        <w:t xml:space="preserve"> августе 1914 г. в</w:t>
      </w:r>
      <w:r w:rsidRPr="00DE096C">
        <w:rPr>
          <w:bCs/>
          <w:color w:val="002060"/>
          <w:sz w:val="16"/>
          <w:szCs w:val="16"/>
        </w:rPr>
        <w:t xml:space="preserve">се производство ручного огнестрельного оружия в течение трех лет мировой войны вынесли на своих плечах три казенных оружейных завода: Тульский, Ижевский и Сестрорецкий. Все попытки со стороны правящих сфер привлечь к этому производству гражданскую промышленность оказались бесплодными, и из этого источника не было получено ни одной винтовки, ни одного пулемета, ни одного револьвера. Иначе и быть не могло, ибо импровизировать наспех производства такого порядка, как ружейное, конечно, затея вполне праздная. И если за нее брались, то лишь благодаря полному незнакомству с характером и существом военной техники. </w:t>
      </w:r>
    </w:p>
    <w:p w14:paraId="0EAC71EF" w14:textId="77777777" w:rsidR="00B67D7C" w:rsidRPr="00DE096C" w:rsidRDefault="00B67D7C" w:rsidP="00D45A46">
      <w:pPr>
        <w:jc w:val="both"/>
        <w:rPr>
          <w:bCs/>
          <w:color w:val="002060"/>
          <w:sz w:val="16"/>
          <w:szCs w:val="16"/>
        </w:rPr>
      </w:pPr>
      <w:r w:rsidRPr="00DE096C">
        <w:rPr>
          <w:bCs/>
          <w:color w:val="002060"/>
          <w:sz w:val="16"/>
          <w:szCs w:val="16"/>
        </w:rPr>
        <w:t xml:space="preserve">Производство винтовок за годы войны развивалось следующим образом (тысячи штук):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186"/>
        <w:gridCol w:w="374"/>
        <w:gridCol w:w="425"/>
        <w:gridCol w:w="425"/>
        <w:gridCol w:w="425"/>
        <w:gridCol w:w="426"/>
        <w:gridCol w:w="425"/>
        <w:gridCol w:w="425"/>
        <w:gridCol w:w="425"/>
        <w:gridCol w:w="426"/>
        <w:gridCol w:w="425"/>
        <w:gridCol w:w="425"/>
        <w:gridCol w:w="14"/>
        <w:gridCol w:w="560"/>
        <w:gridCol w:w="567"/>
      </w:tblGrid>
      <w:tr w:rsidR="00B67D7C" w:rsidRPr="00DE096C" w14:paraId="0E6DCE9C" w14:textId="77777777" w:rsidTr="00C2024A">
        <w:tc>
          <w:tcPr>
            <w:tcW w:w="1186" w:type="dxa"/>
          </w:tcPr>
          <w:p w14:paraId="089B9D71" w14:textId="77777777" w:rsidR="00B67D7C" w:rsidRPr="00DE096C" w:rsidRDefault="00B67D7C" w:rsidP="00D45A46">
            <w:pPr>
              <w:jc w:val="both"/>
              <w:rPr>
                <w:bCs/>
                <w:color w:val="002060"/>
                <w:sz w:val="16"/>
                <w:szCs w:val="16"/>
              </w:rPr>
            </w:pPr>
            <w:r w:rsidRPr="00DE096C">
              <w:rPr>
                <w:bCs/>
                <w:color w:val="002060"/>
                <w:sz w:val="16"/>
                <w:szCs w:val="16"/>
              </w:rPr>
              <w:t>1914 год (месяцы)</w:t>
            </w:r>
          </w:p>
        </w:tc>
        <w:tc>
          <w:tcPr>
            <w:tcW w:w="374" w:type="dxa"/>
          </w:tcPr>
          <w:p w14:paraId="54F3B3B1" w14:textId="77777777" w:rsidR="00B67D7C" w:rsidRPr="00DE096C" w:rsidRDefault="00B67D7C" w:rsidP="00D45A46">
            <w:pPr>
              <w:jc w:val="both"/>
              <w:rPr>
                <w:bCs/>
                <w:color w:val="002060"/>
                <w:sz w:val="16"/>
                <w:szCs w:val="16"/>
              </w:rPr>
            </w:pPr>
            <w:r w:rsidRPr="00DE096C">
              <w:rPr>
                <w:bCs/>
                <w:color w:val="002060"/>
                <w:sz w:val="16"/>
                <w:szCs w:val="16"/>
              </w:rPr>
              <w:t>I</w:t>
            </w:r>
          </w:p>
        </w:tc>
        <w:tc>
          <w:tcPr>
            <w:tcW w:w="425" w:type="dxa"/>
          </w:tcPr>
          <w:p w14:paraId="24417D9F" w14:textId="77777777" w:rsidR="00B67D7C" w:rsidRPr="00DE096C" w:rsidRDefault="00B67D7C" w:rsidP="00D45A46">
            <w:pPr>
              <w:jc w:val="both"/>
              <w:rPr>
                <w:bCs/>
                <w:color w:val="002060"/>
                <w:sz w:val="16"/>
                <w:szCs w:val="16"/>
              </w:rPr>
            </w:pPr>
            <w:r w:rsidRPr="00DE096C">
              <w:rPr>
                <w:bCs/>
                <w:color w:val="002060"/>
                <w:sz w:val="16"/>
                <w:szCs w:val="16"/>
              </w:rPr>
              <w:t>II</w:t>
            </w:r>
          </w:p>
        </w:tc>
        <w:tc>
          <w:tcPr>
            <w:tcW w:w="425" w:type="dxa"/>
          </w:tcPr>
          <w:p w14:paraId="7F7CFAF3" w14:textId="77777777" w:rsidR="00B67D7C" w:rsidRPr="00DE096C" w:rsidRDefault="00B67D7C" w:rsidP="00D45A46">
            <w:pPr>
              <w:jc w:val="both"/>
              <w:rPr>
                <w:bCs/>
                <w:color w:val="002060"/>
                <w:sz w:val="16"/>
                <w:szCs w:val="16"/>
              </w:rPr>
            </w:pPr>
            <w:r w:rsidRPr="00DE096C">
              <w:rPr>
                <w:bCs/>
                <w:color w:val="002060"/>
                <w:sz w:val="16"/>
                <w:szCs w:val="16"/>
              </w:rPr>
              <w:t>III</w:t>
            </w:r>
          </w:p>
        </w:tc>
        <w:tc>
          <w:tcPr>
            <w:tcW w:w="425" w:type="dxa"/>
          </w:tcPr>
          <w:p w14:paraId="78B43356" w14:textId="77777777" w:rsidR="00B67D7C" w:rsidRPr="00DE096C" w:rsidRDefault="00B67D7C" w:rsidP="00D45A46">
            <w:pPr>
              <w:jc w:val="both"/>
              <w:rPr>
                <w:bCs/>
                <w:color w:val="002060"/>
                <w:sz w:val="16"/>
                <w:szCs w:val="16"/>
              </w:rPr>
            </w:pPr>
            <w:r w:rsidRPr="00DE096C">
              <w:rPr>
                <w:bCs/>
                <w:color w:val="002060"/>
                <w:sz w:val="16"/>
                <w:szCs w:val="16"/>
              </w:rPr>
              <w:t>IV</w:t>
            </w:r>
          </w:p>
        </w:tc>
        <w:tc>
          <w:tcPr>
            <w:tcW w:w="426" w:type="dxa"/>
          </w:tcPr>
          <w:p w14:paraId="34225C36" w14:textId="77777777" w:rsidR="00B67D7C" w:rsidRPr="00DE096C" w:rsidRDefault="00B67D7C" w:rsidP="00D45A46">
            <w:pPr>
              <w:jc w:val="both"/>
              <w:rPr>
                <w:bCs/>
                <w:color w:val="002060"/>
                <w:sz w:val="16"/>
                <w:szCs w:val="16"/>
              </w:rPr>
            </w:pPr>
            <w:r w:rsidRPr="00DE096C">
              <w:rPr>
                <w:bCs/>
                <w:color w:val="002060"/>
                <w:sz w:val="16"/>
                <w:szCs w:val="16"/>
              </w:rPr>
              <w:t>V</w:t>
            </w:r>
          </w:p>
        </w:tc>
        <w:tc>
          <w:tcPr>
            <w:tcW w:w="425" w:type="dxa"/>
          </w:tcPr>
          <w:p w14:paraId="253841BC" w14:textId="77777777" w:rsidR="00B67D7C" w:rsidRPr="00DE096C" w:rsidRDefault="00B67D7C" w:rsidP="00D45A46">
            <w:pPr>
              <w:jc w:val="both"/>
              <w:rPr>
                <w:bCs/>
                <w:color w:val="002060"/>
                <w:sz w:val="16"/>
                <w:szCs w:val="16"/>
              </w:rPr>
            </w:pPr>
            <w:r w:rsidRPr="00DE096C">
              <w:rPr>
                <w:bCs/>
                <w:color w:val="002060"/>
                <w:sz w:val="16"/>
                <w:szCs w:val="16"/>
              </w:rPr>
              <w:t>VI</w:t>
            </w:r>
          </w:p>
        </w:tc>
        <w:tc>
          <w:tcPr>
            <w:tcW w:w="425" w:type="dxa"/>
          </w:tcPr>
          <w:p w14:paraId="7A3E9306" w14:textId="77777777" w:rsidR="00B67D7C" w:rsidRPr="00DE096C" w:rsidRDefault="00B67D7C" w:rsidP="00D45A46">
            <w:pPr>
              <w:jc w:val="both"/>
              <w:rPr>
                <w:bCs/>
                <w:color w:val="002060"/>
                <w:sz w:val="16"/>
                <w:szCs w:val="16"/>
              </w:rPr>
            </w:pPr>
            <w:r w:rsidRPr="00DE096C">
              <w:rPr>
                <w:bCs/>
                <w:color w:val="002060"/>
                <w:sz w:val="16"/>
                <w:szCs w:val="16"/>
              </w:rPr>
              <w:t>VII</w:t>
            </w:r>
          </w:p>
        </w:tc>
        <w:tc>
          <w:tcPr>
            <w:tcW w:w="425" w:type="dxa"/>
          </w:tcPr>
          <w:p w14:paraId="4D9B4331" w14:textId="77777777" w:rsidR="00B67D7C" w:rsidRPr="00DE096C" w:rsidRDefault="00B67D7C" w:rsidP="00D45A46">
            <w:pPr>
              <w:jc w:val="both"/>
              <w:rPr>
                <w:bCs/>
                <w:color w:val="002060"/>
                <w:sz w:val="16"/>
                <w:szCs w:val="16"/>
              </w:rPr>
            </w:pPr>
            <w:r w:rsidRPr="00DE096C">
              <w:rPr>
                <w:bCs/>
                <w:color w:val="002060"/>
                <w:sz w:val="16"/>
                <w:szCs w:val="16"/>
              </w:rPr>
              <w:t>VIII</w:t>
            </w:r>
          </w:p>
        </w:tc>
        <w:tc>
          <w:tcPr>
            <w:tcW w:w="426" w:type="dxa"/>
          </w:tcPr>
          <w:p w14:paraId="586D8BEF" w14:textId="77777777" w:rsidR="00B67D7C" w:rsidRPr="00DE096C" w:rsidRDefault="00B67D7C" w:rsidP="00D45A46">
            <w:pPr>
              <w:jc w:val="both"/>
              <w:rPr>
                <w:bCs/>
                <w:color w:val="002060"/>
                <w:sz w:val="16"/>
                <w:szCs w:val="16"/>
              </w:rPr>
            </w:pPr>
            <w:r w:rsidRPr="00DE096C">
              <w:rPr>
                <w:bCs/>
                <w:color w:val="002060"/>
                <w:sz w:val="16"/>
                <w:szCs w:val="16"/>
              </w:rPr>
              <w:t>IX</w:t>
            </w:r>
          </w:p>
        </w:tc>
        <w:tc>
          <w:tcPr>
            <w:tcW w:w="425" w:type="dxa"/>
          </w:tcPr>
          <w:p w14:paraId="7D9E478E" w14:textId="77777777" w:rsidR="00B67D7C" w:rsidRPr="00DE096C" w:rsidRDefault="00B67D7C" w:rsidP="00D45A46">
            <w:pPr>
              <w:jc w:val="both"/>
              <w:rPr>
                <w:bCs/>
                <w:color w:val="002060"/>
                <w:sz w:val="16"/>
                <w:szCs w:val="16"/>
              </w:rPr>
            </w:pPr>
            <w:r w:rsidRPr="00DE096C">
              <w:rPr>
                <w:bCs/>
                <w:color w:val="002060"/>
                <w:sz w:val="16"/>
                <w:szCs w:val="16"/>
              </w:rPr>
              <w:t>X</w:t>
            </w:r>
          </w:p>
        </w:tc>
        <w:tc>
          <w:tcPr>
            <w:tcW w:w="437" w:type="dxa"/>
            <w:gridSpan w:val="2"/>
          </w:tcPr>
          <w:p w14:paraId="3C2C1CD4" w14:textId="77777777" w:rsidR="00B67D7C" w:rsidRPr="00DE096C" w:rsidRDefault="00B67D7C" w:rsidP="00D45A46">
            <w:pPr>
              <w:jc w:val="both"/>
              <w:rPr>
                <w:bCs/>
                <w:color w:val="002060"/>
                <w:sz w:val="16"/>
                <w:szCs w:val="16"/>
              </w:rPr>
            </w:pPr>
            <w:r w:rsidRPr="00DE096C">
              <w:rPr>
                <w:bCs/>
                <w:color w:val="002060"/>
                <w:sz w:val="16"/>
                <w:szCs w:val="16"/>
              </w:rPr>
              <w:t>XI</w:t>
            </w:r>
          </w:p>
        </w:tc>
        <w:tc>
          <w:tcPr>
            <w:tcW w:w="555" w:type="dxa"/>
          </w:tcPr>
          <w:p w14:paraId="035ACFCE" w14:textId="77777777" w:rsidR="00B67D7C" w:rsidRPr="00DE096C" w:rsidRDefault="00B67D7C" w:rsidP="00D45A46">
            <w:pPr>
              <w:jc w:val="both"/>
              <w:rPr>
                <w:bCs/>
                <w:color w:val="002060"/>
                <w:sz w:val="16"/>
                <w:szCs w:val="16"/>
              </w:rPr>
            </w:pPr>
            <w:r w:rsidRPr="00DE096C">
              <w:rPr>
                <w:bCs/>
                <w:color w:val="002060"/>
                <w:sz w:val="16"/>
                <w:szCs w:val="16"/>
              </w:rPr>
              <w:t>XII</w:t>
            </w:r>
          </w:p>
        </w:tc>
        <w:tc>
          <w:tcPr>
            <w:tcW w:w="567" w:type="dxa"/>
          </w:tcPr>
          <w:p w14:paraId="4DE2BCB2" w14:textId="77777777" w:rsidR="00B67D7C" w:rsidRPr="00DE096C" w:rsidRDefault="00B67D7C" w:rsidP="00D45A46">
            <w:pPr>
              <w:jc w:val="both"/>
              <w:rPr>
                <w:bCs/>
                <w:color w:val="002060"/>
                <w:sz w:val="16"/>
                <w:szCs w:val="16"/>
              </w:rPr>
            </w:pPr>
            <w:r w:rsidRPr="00DE096C">
              <w:rPr>
                <w:bCs/>
                <w:color w:val="002060"/>
                <w:sz w:val="16"/>
                <w:szCs w:val="16"/>
              </w:rPr>
              <w:t>Итого</w:t>
            </w:r>
          </w:p>
        </w:tc>
      </w:tr>
      <w:tr w:rsidR="00B67D7C" w:rsidRPr="00DE096C" w14:paraId="7E68C519" w14:textId="77777777" w:rsidTr="00C2024A">
        <w:tc>
          <w:tcPr>
            <w:tcW w:w="1186" w:type="dxa"/>
          </w:tcPr>
          <w:p w14:paraId="259BF743" w14:textId="77777777" w:rsidR="00B67D7C" w:rsidRPr="00DE096C" w:rsidRDefault="00B67D7C" w:rsidP="00D45A46">
            <w:pPr>
              <w:jc w:val="both"/>
              <w:rPr>
                <w:bCs/>
                <w:color w:val="002060"/>
                <w:sz w:val="16"/>
                <w:szCs w:val="16"/>
              </w:rPr>
            </w:pPr>
            <w:r w:rsidRPr="00DE096C">
              <w:rPr>
                <w:bCs/>
                <w:color w:val="002060"/>
                <w:sz w:val="16"/>
                <w:szCs w:val="16"/>
              </w:rPr>
              <w:t>Тульский завод</w:t>
            </w:r>
          </w:p>
        </w:tc>
        <w:tc>
          <w:tcPr>
            <w:tcW w:w="374" w:type="dxa"/>
          </w:tcPr>
          <w:p w14:paraId="6B698ED8" w14:textId="77777777" w:rsidR="00B67D7C" w:rsidRPr="00DE096C" w:rsidRDefault="00B67D7C" w:rsidP="00D45A46">
            <w:pPr>
              <w:jc w:val="both"/>
              <w:rPr>
                <w:bCs/>
                <w:color w:val="002060"/>
                <w:sz w:val="16"/>
                <w:szCs w:val="16"/>
              </w:rPr>
            </w:pPr>
            <w:r w:rsidRPr="00DE096C">
              <w:rPr>
                <w:bCs/>
                <w:color w:val="002060"/>
                <w:sz w:val="16"/>
                <w:szCs w:val="16"/>
              </w:rPr>
              <w:t>3</w:t>
            </w:r>
          </w:p>
        </w:tc>
        <w:tc>
          <w:tcPr>
            <w:tcW w:w="425" w:type="dxa"/>
          </w:tcPr>
          <w:p w14:paraId="4B99D593" w14:textId="77777777" w:rsidR="00B67D7C" w:rsidRPr="00DE096C" w:rsidRDefault="00B67D7C" w:rsidP="00D45A46">
            <w:pPr>
              <w:jc w:val="both"/>
              <w:rPr>
                <w:bCs/>
                <w:color w:val="002060"/>
                <w:sz w:val="16"/>
                <w:szCs w:val="16"/>
              </w:rPr>
            </w:pPr>
            <w:r w:rsidRPr="00DE096C">
              <w:rPr>
                <w:bCs/>
                <w:color w:val="002060"/>
                <w:sz w:val="16"/>
                <w:szCs w:val="16"/>
              </w:rPr>
              <w:t>5</w:t>
            </w:r>
          </w:p>
        </w:tc>
        <w:tc>
          <w:tcPr>
            <w:tcW w:w="425" w:type="dxa"/>
          </w:tcPr>
          <w:p w14:paraId="67A351D3" w14:textId="77777777" w:rsidR="00B67D7C" w:rsidRPr="00DE096C" w:rsidRDefault="00B67D7C" w:rsidP="00D45A46">
            <w:pPr>
              <w:jc w:val="both"/>
              <w:rPr>
                <w:bCs/>
                <w:color w:val="002060"/>
                <w:sz w:val="16"/>
                <w:szCs w:val="16"/>
              </w:rPr>
            </w:pPr>
            <w:r w:rsidRPr="00DE096C">
              <w:rPr>
                <w:bCs/>
                <w:color w:val="002060"/>
                <w:sz w:val="16"/>
                <w:szCs w:val="16"/>
              </w:rPr>
              <w:t>0</w:t>
            </w:r>
          </w:p>
        </w:tc>
        <w:tc>
          <w:tcPr>
            <w:tcW w:w="425" w:type="dxa"/>
          </w:tcPr>
          <w:p w14:paraId="7F86FB4B" w14:textId="77777777" w:rsidR="00B67D7C" w:rsidRPr="00DE096C" w:rsidRDefault="00B67D7C" w:rsidP="00D45A46">
            <w:pPr>
              <w:jc w:val="both"/>
              <w:rPr>
                <w:bCs/>
                <w:color w:val="002060"/>
                <w:sz w:val="16"/>
                <w:szCs w:val="16"/>
              </w:rPr>
            </w:pPr>
            <w:r w:rsidRPr="00DE096C">
              <w:rPr>
                <w:bCs/>
                <w:color w:val="002060"/>
                <w:sz w:val="16"/>
                <w:szCs w:val="16"/>
              </w:rPr>
              <w:t>5</w:t>
            </w:r>
          </w:p>
        </w:tc>
        <w:tc>
          <w:tcPr>
            <w:tcW w:w="426" w:type="dxa"/>
          </w:tcPr>
          <w:p w14:paraId="78635ECF" w14:textId="77777777" w:rsidR="00B67D7C" w:rsidRPr="00DE096C" w:rsidRDefault="00B67D7C" w:rsidP="00D45A46">
            <w:pPr>
              <w:jc w:val="both"/>
              <w:rPr>
                <w:bCs/>
                <w:color w:val="002060"/>
                <w:sz w:val="16"/>
                <w:szCs w:val="16"/>
              </w:rPr>
            </w:pPr>
            <w:r w:rsidRPr="00DE096C">
              <w:rPr>
                <w:bCs/>
                <w:color w:val="002060"/>
                <w:sz w:val="16"/>
                <w:szCs w:val="16"/>
              </w:rPr>
              <w:t>1</w:t>
            </w:r>
          </w:p>
        </w:tc>
        <w:tc>
          <w:tcPr>
            <w:tcW w:w="425" w:type="dxa"/>
          </w:tcPr>
          <w:p w14:paraId="17392110" w14:textId="77777777" w:rsidR="00B67D7C" w:rsidRPr="00DE096C" w:rsidRDefault="00B67D7C" w:rsidP="00D45A46">
            <w:pPr>
              <w:jc w:val="both"/>
              <w:rPr>
                <w:bCs/>
                <w:color w:val="002060"/>
                <w:sz w:val="16"/>
                <w:szCs w:val="16"/>
              </w:rPr>
            </w:pPr>
            <w:r w:rsidRPr="00DE096C">
              <w:rPr>
                <w:bCs/>
                <w:color w:val="002060"/>
                <w:sz w:val="16"/>
                <w:szCs w:val="16"/>
              </w:rPr>
              <w:t>1</w:t>
            </w:r>
          </w:p>
        </w:tc>
        <w:tc>
          <w:tcPr>
            <w:tcW w:w="425" w:type="dxa"/>
          </w:tcPr>
          <w:p w14:paraId="05B63204" w14:textId="77777777" w:rsidR="00B67D7C" w:rsidRPr="00DE096C" w:rsidRDefault="00B67D7C" w:rsidP="00D45A46">
            <w:pPr>
              <w:jc w:val="both"/>
              <w:rPr>
                <w:bCs/>
                <w:color w:val="002060"/>
                <w:sz w:val="16"/>
                <w:szCs w:val="16"/>
              </w:rPr>
            </w:pPr>
            <w:r w:rsidRPr="00DE096C">
              <w:rPr>
                <w:bCs/>
                <w:color w:val="002060"/>
                <w:sz w:val="16"/>
                <w:szCs w:val="16"/>
              </w:rPr>
              <w:t>1</w:t>
            </w:r>
          </w:p>
        </w:tc>
        <w:tc>
          <w:tcPr>
            <w:tcW w:w="425" w:type="dxa"/>
          </w:tcPr>
          <w:p w14:paraId="39A976B4" w14:textId="77777777" w:rsidR="00B67D7C" w:rsidRPr="00DE096C" w:rsidRDefault="00B67D7C" w:rsidP="00D45A46">
            <w:pPr>
              <w:jc w:val="both"/>
              <w:rPr>
                <w:bCs/>
                <w:color w:val="002060"/>
                <w:sz w:val="16"/>
                <w:szCs w:val="16"/>
              </w:rPr>
            </w:pPr>
            <w:r w:rsidRPr="00DE096C">
              <w:rPr>
                <w:bCs/>
                <w:color w:val="002060"/>
                <w:sz w:val="16"/>
                <w:szCs w:val="16"/>
              </w:rPr>
              <w:t>3.9</w:t>
            </w:r>
          </w:p>
        </w:tc>
        <w:tc>
          <w:tcPr>
            <w:tcW w:w="426" w:type="dxa"/>
          </w:tcPr>
          <w:p w14:paraId="353BBA86" w14:textId="77777777" w:rsidR="00B67D7C" w:rsidRPr="00DE096C" w:rsidRDefault="00B67D7C" w:rsidP="00D45A46">
            <w:pPr>
              <w:jc w:val="both"/>
              <w:rPr>
                <w:bCs/>
                <w:color w:val="002060"/>
                <w:sz w:val="16"/>
                <w:szCs w:val="16"/>
              </w:rPr>
            </w:pPr>
            <w:r w:rsidRPr="00DE096C">
              <w:rPr>
                <w:bCs/>
                <w:color w:val="002060"/>
                <w:sz w:val="16"/>
                <w:szCs w:val="16"/>
              </w:rPr>
              <w:t>6.7</w:t>
            </w:r>
          </w:p>
        </w:tc>
        <w:tc>
          <w:tcPr>
            <w:tcW w:w="425" w:type="dxa"/>
          </w:tcPr>
          <w:p w14:paraId="4F6F6612" w14:textId="77777777" w:rsidR="00B67D7C" w:rsidRPr="00DE096C" w:rsidRDefault="00B67D7C" w:rsidP="00D45A46">
            <w:pPr>
              <w:jc w:val="both"/>
              <w:rPr>
                <w:bCs/>
                <w:color w:val="002060"/>
                <w:sz w:val="16"/>
                <w:szCs w:val="16"/>
              </w:rPr>
            </w:pPr>
            <w:r w:rsidRPr="00DE096C">
              <w:rPr>
                <w:bCs/>
                <w:color w:val="002060"/>
                <w:sz w:val="16"/>
                <w:szCs w:val="16"/>
              </w:rPr>
              <w:t>10.3</w:t>
            </w:r>
          </w:p>
        </w:tc>
        <w:tc>
          <w:tcPr>
            <w:tcW w:w="437" w:type="dxa"/>
            <w:gridSpan w:val="2"/>
          </w:tcPr>
          <w:p w14:paraId="7FAB8DA3" w14:textId="77777777" w:rsidR="00B67D7C" w:rsidRPr="00DE096C" w:rsidRDefault="00B67D7C" w:rsidP="00D45A46">
            <w:pPr>
              <w:jc w:val="both"/>
              <w:rPr>
                <w:bCs/>
                <w:color w:val="002060"/>
                <w:sz w:val="16"/>
                <w:szCs w:val="16"/>
              </w:rPr>
            </w:pPr>
            <w:r w:rsidRPr="00DE096C">
              <w:rPr>
                <w:bCs/>
                <w:color w:val="002060"/>
                <w:sz w:val="16"/>
                <w:szCs w:val="16"/>
              </w:rPr>
              <w:t>13.1</w:t>
            </w:r>
          </w:p>
        </w:tc>
        <w:tc>
          <w:tcPr>
            <w:tcW w:w="555" w:type="dxa"/>
          </w:tcPr>
          <w:p w14:paraId="7365A2E5" w14:textId="77777777" w:rsidR="00B67D7C" w:rsidRPr="00DE096C" w:rsidRDefault="00B67D7C" w:rsidP="00D45A46">
            <w:pPr>
              <w:jc w:val="both"/>
              <w:rPr>
                <w:bCs/>
                <w:color w:val="002060"/>
                <w:sz w:val="16"/>
                <w:szCs w:val="16"/>
              </w:rPr>
            </w:pPr>
            <w:r w:rsidRPr="00DE096C">
              <w:rPr>
                <w:bCs/>
                <w:color w:val="002060"/>
                <w:sz w:val="16"/>
                <w:szCs w:val="16"/>
              </w:rPr>
              <w:t>12,0</w:t>
            </w:r>
          </w:p>
        </w:tc>
        <w:tc>
          <w:tcPr>
            <w:tcW w:w="567" w:type="dxa"/>
          </w:tcPr>
          <w:p w14:paraId="1D270EA0" w14:textId="77777777" w:rsidR="00B67D7C" w:rsidRPr="00DE096C" w:rsidRDefault="00B67D7C" w:rsidP="00D45A46">
            <w:pPr>
              <w:jc w:val="both"/>
              <w:rPr>
                <w:bCs/>
                <w:color w:val="002060"/>
                <w:sz w:val="16"/>
                <w:szCs w:val="16"/>
              </w:rPr>
            </w:pPr>
            <w:r w:rsidRPr="00DE096C">
              <w:rPr>
                <w:bCs/>
                <w:color w:val="002060"/>
                <w:sz w:val="16"/>
                <w:szCs w:val="16"/>
              </w:rPr>
              <w:t>46,0</w:t>
            </w:r>
          </w:p>
        </w:tc>
      </w:tr>
      <w:tr w:rsidR="00B67D7C" w:rsidRPr="00DE096C" w14:paraId="195A7EFC" w14:textId="77777777" w:rsidTr="00C2024A">
        <w:tc>
          <w:tcPr>
            <w:tcW w:w="1186" w:type="dxa"/>
          </w:tcPr>
          <w:p w14:paraId="145E3A09" w14:textId="77777777" w:rsidR="00B67D7C" w:rsidRPr="00DE096C" w:rsidRDefault="00B67D7C" w:rsidP="00D45A46">
            <w:pPr>
              <w:jc w:val="both"/>
              <w:rPr>
                <w:bCs/>
                <w:color w:val="002060"/>
                <w:sz w:val="16"/>
                <w:szCs w:val="16"/>
              </w:rPr>
            </w:pPr>
            <w:r w:rsidRPr="00DE096C">
              <w:rPr>
                <w:bCs/>
                <w:color w:val="002060"/>
                <w:sz w:val="16"/>
                <w:szCs w:val="16"/>
              </w:rPr>
              <w:t xml:space="preserve">Ижевский </w:t>
            </w:r>
          </w:p>
        </w:tc>
        <w:tc>
          <w:tcPr>
            <w:tcW w:w="2925" w:type="dxa"/>
            <w:gridSpan w:val="7"/>
          </w:tcPr>
          <w:p w14:paraId="7DE518BF" w14:textId="77777777" w:rsidR="00B67D7C" w:rsidRPr="00DE096C" w:rsidRDefault="00B67D7C" w:rsidP="00D45A46">
            <w:pPr>
              <w:jc w:val="both"/>
              <w:rPr>
                <w:bCs/>
                <w:color w:val="002060"/>
                <w:sz w:val="16"/>
                <w:szCs w:val="16"/>
              </w:rPr>
            </w:pPr>
            <w:r w:rsidRPr="00DE096C">
              <w:rPr>
                <w:bCs/>
                <w:color w:val="002060"/>
                <w:sz w:val="16"/>
                <w:szCs w:val="16"/>
              </w:rPr>
              <w:t>помесячных</w:t>
            </w:r>
          </w:p>
          <w:p w14:paraId="58F36167" w14:textId="77777777" w:rsidR="00B67D7C" w:rsidRPr="00DE096C" w:rsidRDefault="00B67D7C" w:rsidP="00D45A46">
            <w:pPr>
              <w:jc w:val="both"/>
              <w:rPr>
                <w:bCs/>
                <w:color w:val="002060"/>
                <w:sz w:val="16"/>
                <w:szCs w:val="16"/>
              </w:rPr>
            </w:pPr>
            <w:r w:rsidRPr="00DE096C">
              <w:rPr>
                <w:bCs/>
                <w:color w:val="002060"/>
                <w:sz w:val="16"/>
                <w:szCs w:val="16"/>
              </w:rPr>
              <w:t> </w:t>
            </w:r>
          </w:p>
        </w:tc>
        <w:tc>
          <w:tcPr>
            <w:tcW w:w="425" w:type="dxa"/>
          </w:tcPr>
          <w:p w14:paraId="0BEC9CBD" w14:textId="77777777" w:rsidR="00B67D7C" w:rsidRPr="00DE096C" w:rsidRDefault="00B67D7C" w:rsidP="00D45A46">
            <w:pPr>
              <w:jc w:val="both"/>
              <w:rPr>
                <w:bCs/>
                <w:color w:val="002060"/>
                <w:sz w:val="16"/>
                <w:szCs w:val="16"/>
              </w:rPr>
            </w:pPr>
            <w:r w:rsidRPr="00DE096C">
              <w:rPr>
                <w:bCs/>
                <w:color w:val="002060"/>
                <w:sz w:val="16"/>
                <w:szCs w:val="16"/>
              </w:rPr>
              <w:t>6.4</w:t>
            </w:r>
          </w:p>
        </w:tc>
        <w:tc>
          <w:tcPr>
            <w:tcW w:w="426" w:type="dxa"/>
          </w:tcPr>
          <w:p w14:paraId="0F45BCDB" w14:textId="77777777" w:rsidR="00B67D7C" w:rsidRPr="00DE096C" w:rsidRDefault="00B67D7C" w:rsidP="00D45A46">
            <w:pPr>
              <w:jc w:val="both"/>
              <w:rPr>
                <w:bCs/>
                <w:color w:val="002060"/>
                <w:sz w:val="16"/>
                <w:szCs w:val="16"/>
              </w:rPr>
            </w:pPr>
            <w:r w:rsidRPr="00DE096C">
              <w:rPr>
                <w:bCs/>
                <w:color w:val="002060"/>
                <w:sz w:val="16"/>
                <w:szCs w:val="16"/>
              </w:rPr>
              <w:t>16.1</w:t>
            </w:r>
          </w:p>
        </w:tc>
        <w:tc>
          <w:tcPr>
            <w:tcW w:w="425" w:type="dxa"/>
          </w:tcPr>
          <w:p w14:paraId="016AC7E6" w14:textId="77777777" w:rsidR="00B67D7C" w:rsidRPr="00DE096C" w:rsidRDefault="00B67D7C" w:rsidP="00D45A46">
            <w:pPr>
              <w:jc w:val="both"/>
              <w:rPr>
                <w:bCs/>
                <w:color w:val="002060"/>
                <w:sz w:val="16"/>
                <w:szCs w:val="16"/>
              </w:rPr>
            </w:pPr>
            <w:r w:rsidRPr="00DE096C">
              <w:rPr>
                <w:bCs/>
                <w:color w:val="002060"/>
                <w:sz w:val="16"/>
                <w:szCs w:val="16"/>
              </w:rPr>
              <w:t>21.0</w:t>
            </w:r>
          </w:p>
        </w:tc>
        <w:tc>
          <w:tcPr>
            <w:tcW w:w="436" w:type="dxa"/>
            <w:gridSpan w:val="2"/>
          </w:tcPr>
          <w:p w14:paraId="788367B7" w14:textId="77777777" w:rsidR="00B67D7C" w:rsidRPr="00DE096C" w:rsidRDefault="00B67D7C" w:rsidP="00D45A46">
            <w:pPr>
              <w:jc w:val="both"/>
              <w:rPr>
                <w:bCs/>
                <w:color w:val="002060"/>
                <w:sz w:val="16"/>
                <w:szCs w:val="16"/>
              </w:rPr>
            </w:pPr>
            <w:r w:rsidRPr="00DE096C">
              <w:rPr>
                <w:bCs/>
                <w:color w:val="002060"/>
                <w:sz w:val="16"/>
                <w:szCs w:val="16"/>
              </w:rPr>
              <w:t>20.1</w:t>
            </w:r>
          </w:p>
        </w:tc>
        <w:tc>
          <w:tcPr>
            <w:tcW w:w="556" w:type="dxa"/>
          </w:tcPr>
          <w:p w14:paraId="642EDB47" w14:textId="77777777" w:rsidR="00B67D7C" w:rsidRPr="00DE096C" w:rsidRDefault="00B67D7C" w:rsidP="00D45A46">
            <w:pPr>
              <w:jc w:val="both"/>
              <w:rPr>
                <w:bCs/>
                <w:color w:val="002060"/>
                <w:sz w:val="16"/>
                <w:szCs w:val="16"/>
              </w:rPr>
            </w:pPr>
            <w:r w:rsidRPr="00DE096C">
              <w:rPr>
                <w:bCs/>
                <w:color w:val="002060"/>
                <w:sz w:val="16"/>
                <w:szCs w:val="16"/>
              </w:rPr>
              <w:t>18.5</w:t>
            </w:r>
          </w:p>
        </w:tc>
        <w:tc>
          <w:tcPr>
            <w:tcW w:w="567" w:type="dxa"/>
          </w:tcPr>
          <w:p w14:paraId="749F2BA6" w14:textId="77777777" w:rsidR="00B67D7C" w:rsidRPr="00DE096C" w:rsidRDefault="00B67D7C" w:rsidP="00D45A46">
            <w:pPr>
              <w:jc w:val="both"/>
              <w:rPr>
                <w:bCs/>
                <w:color w:val="002060"/>
                <w:sz w:val="16"/>
                <w:szCs w:val="16"/>
              </w:rPr>
            </w:pPr>
            <w:r w:rsidRPr="00DE096C">
              <w:rPr>
                <w:bCs/>
                <w:color w:val="002060"/>
                <w:sz w:val="16"/>
                <w:szCs w:val="16"/>
              </w:rPr>
              <w:t>82.1</w:t>
            </w:r>
          </w:p>
        </w:tc>
      </w:tr>
      <w:tr w:rsidR="00B67D7C" w:rsidRPr="00DE096C" w14:paraId="4FA9E9EB" w14:textId="77777777" w:rsidTr="00C2024A">
        <w:tc>
          <w:tcPr>
            <w:tcW w:w="1186" w:type="dxa"/>
          </w:tcPr>
          <w:p w14:paraId="3FC650CE" w14:textId="77777777" w:rsidR="00B67D7C" w:rsidRPr="00DE096C" w:rsidRDefault="00B67D7C" w:rsidP="00D45A46">
            <w:pPr>
              <w:jc w:val="both"/>
              <w:rPr>
                <w:bCs/>
                <w:color w:val="002060"/>
                <w:sz w:val="16"/>
                <w:szCs w:val="16"/>
              </w:rPr>
            </w:pPr>
            <w:r w:rsidRPr="00DE096C">
              <w:rPr>
                <w:bCs/>
                <w:color w:val="002060"/>
                <w:sz w:val="16"/>
                <w:szCs w:val="16"/>
              </w:rPr>
              <w:t>Сестрорецкий</w:t>
            </w:r>
          </w:p>
        </w:tc>
        <w:tc>
          <w:tcPr>
            <w:tcW w:w="2925" w:type="dxa"/>
            <w:gridSpan w:val="7"/>
          </w:tcPr>
          <w:p w14:paraId="3616BEB6" w14:textId="77777777" w:rsidR="00B67D7C" w:rsidRPr="00DE096C" w:rsidRDefault="00B67D7C" w:rsidP="00D45A46">
            <w:pPr>
              <w:jc w:val="both"/>
              <w:rPr>
                <w:bCs/>
                <w:color w:val="002060"/>
                <w:sz w:val="16"/>
                <w:szCs w:val="16"/>
              </w:rPr>
            </w:pPr>
            <w:r w:rsidRPr="00DE096C">
              <w:rPr>
                <w:bCs/>
                <w:color w:val="002060"/>
                <w:sz w:val="16"/>
                <w:szCs w:val="16"/>
              </w:rPr>
              <w:t>сведений нет</w:t>
            </w:r>
          </w:p>
        </w:tc>
        <w:tc>
          <w:tcPr>
            <w:tcW w:w="425" w:type="dxa"/>
          </w:tcPr>
          <w:p w14:paraId="219F17B9" w14:textId="77777777" w:rsidR="00B67D7C" w:rsidRPr="00DE096C" w:rsidRDefault="00B67D7C" w:rsidP="00D45A46">
            <w:pPr>
              <w:jc w:val="both"/>
              <w:rPr>
                <w:bCs/>
                <w:color w:val="002060"/>
                <w:sz w:val="16"/>
                <w:szCs w:val="16"/>
              </w:rPr>
            </w:pPr>
            <w:r w:rsidRPr="00DE096C">
              <w:rPr>
                <w:bCs/>
                <w:color w:val="002060"/>
                <w:sz w:val="16"/>
                <w:szCs w:val="16"/>
              </w:rPr>
              <w:t>—</w:t>
            </w:r>
          </w:p>
        </w:tc>
        <w:tc>
          <w:tcPr>
            <w:tcW w:w="426" w:type="dxa"/>
          </w:tcPr>
          <w:p w14:paraId="6F5DD23F" w14:textId="77777777" w:rsidR="00B67D7C" w:rsidRPr="00DE096C" w:rsidRDefault="00B67D7C" w:rsidP="00D45A46">
            <w:pPr>
              <w:jc w:val="both"/>
              <w:rPr>
                <w:bCs/>
                <w:color w:val="002060"/>
                <w:sz w:val="16"/>
                <w:szCs w:val="16"/>
              </w:rPr>
            </w:pPr>
            <w:r w:rsidRPr="00DE096C">
              <w:rPr>
                <w:bCs/>
                <w:color w:val="002060"/>
                <w:sz w:val="16"/>
                <w:szCs w:val="16"/>
              </w:rPr>
              <w:t>—</w:t>
            </w:r>
          </w:p>
        </w:tc>
        <w:tc>
          <w:tcPr>
            <w:tcW w:w="425" w:type="dxa"/>
          </w:tcPr>
          <w:p w14:paraId="7D57A402" w14:textId="77777777" w:rsidR="00B67D7C" w:rsidRPr="00DE096C" w:rsidRDefault="00B67D7C" w:rsidP="00D45A46">
            <w:pPr>
              <w:jc w:val="both"/>
              <w:rPr>
                <w:bCs/>
                <w:color w:val="002060"/>
                <w:sz w:val="16"/>
                <w:szCs w:val="16"/>
              </w:rPr>
            </w:pPr>
            <w:r w:rsidRPr="00DE096C">
              <w:rPr>
                <w:bCs/>
                <w:color w:val="002060"/>
                <w:sz w:val="16"/>
                <w:szCs w:val="16"/>
              </w:rPr>
              <w:t>1.1</w:t>
            </w:r>
          </w:p>
        </w:tc>
        <w:tc>
          <w:tcPr>
            <w:tcW w:w="436" w:type="dxa"/>
            <w:gridSpan w:val="2"/>
          </w:tcPr>
          <w:p w14:paraId="263BDAF0" w14:textId="77777777" w:rsidR="00B67D7C" w:rsidRPr="00DE096C" w:rsidRDefault="00B67D7C" w:rsidP="00D45A46">
            <w:pPr>
              <w:jc w:val="both"/>
              <w:rPr>
                <w:bCs/>
                <w:color w:val="002060"/>
                <w:sz w:val="16"/>
                <w:szCs w:val="16"/>
              </w:rPr>
            </w:pPr>
            <w:r w:rsidRPr="00DE096C">
              <w:rPr>
                <w:bCs/>
                <w:color w:val="002060"/>
                <w:sz w:val="16"/>
                <w:szCs w:val="16"/>
              </w:rPr>
              <w:t>2.0</w:t>
            </w:r>
          </w:p>
        </w:tc>
        <w:tc>
          <w:tcPr>
            <w:tcW w:w="556" w:type="dxa"/>
          </w:tcPr>
          <w:p w14:paraId="614AE68D" w14:textId="77777777" w:rsidR="00B67D7C" w:rsidRPr="00DE096C" w:rsidRDefault="00B67D7C" w:rsidP="00D45A46">
            <w:pPr>
              <w:jc w:val="both"/>
              <w:rPr>
                <w:bCs/>
                <w:color w:val="002060"/>
                <w:sz w:val="16"/>
                <w:szCs w:val="16"/>
              </w:rPr>
            </w:pPr>
            <w:r w:rsidRPr="00DE096C">
              <w:rPr>
                <w:bCs/>
                <w:color w:val="002060"/>
                <w:sz w:val="16"/>
                <w:szCs w:val="16"/>
              </w:rPr>
              <w:t>2.8</w:t>
            </w:r>
          </w:p>
        </w:tc>
        <w:tc>
          <w:tcPr>
            <w:tcW w:w="567" w:type="dxa"/>
          </w:tcPr>
          <w:p w14:paraId="117BA65D" w14:textId="77777777" w:rsidR="00B67D7C" w:rsidRPr="00DE096C" w:rsidRDefault="00B67D7C" w:rsidP="00D45A46">
            <w:pPr>
              <w:jc w:val="both"/>
              <w:rPr>
                <w:bCs/>
                <w:color w:val="002060"/>
                <w:sz w:val="16"/>
                <w:szCs w:val="16"/>
              </w:rPr>
            </w:pPr>
            <w:r w:rsidRPr="00DE096C">
              <w:rPr>
                <w:bCs/>
                <w:color w:val="002060"/>
                <w:sz w:val="16"/>
                <w:szCs w:val="16"/>
              </w:rPr>
              <w:t>5,9</w:t>
            </w:r>
          </w:p>
        </w:tc>
      </w:tr>
      <w:tr w:rsidR="00B67D7C" w:rsidRPr="00DE096C" w14:paraId="720F6AD0" w14:textId="77777777" w:rsidTr="00C2024A">
        <w:tc>
          <w:tcPr>
            <w:tcW w:w="1186" w:type="dxa"/>
          </w:tcPr>
          <w:p w14:paraId="447FB5B0" w14:textId="77777777" w:rsidR="00B67D7C" w:rsidRPr="00DE096C" w:rsidRDefault="00B67D7C" w:rsidP="00D45A46">
            <w:pPr>
              <w:jc w:val="both"/>
              <w:rPr>
                <w:bCs/>
                <w:color w:val="002060"/>
                <w:sz w:val="16"/>
                <w:szCs w:val="16"/>
              </w:rPr>
            </w:pPr>
            <w:r w:rsidRPr="00DE096C">
              <w:rPr>
                <w:bCs/>
                <w:color w:val="002060"/>
                <w:sz w:val="16"/>
                <w:szCs w:val="16"/>
              </w:rPr>
              <w:t>Итого</w:t>
            </w:r>
          </w:p>
        </w:tc>
        <w:tc>
          <w:tcPr>
            <w:tcW w:w="374" w:type="dxa"/>
          </w:tcPr>
          <w:p w14:paraId="7269E831" w14:textId="77777777" w:rsidR="00B67D7C" w:rsidRPr="00DE096C" w:rsidRDefault="00B67D7C" w:rsidP="00D45A46">
            <w:pPr>
              <w:jc w:val="both"/>
              <w:rPr>
                <w:bCs/>
                <w:color w:val="002060"/>
                <w:sz w:val="16"/>
                <w:szCs w:val="16"/>
              </w:rPr>
            </w:pPr>
            <w:r w:rsidRPr="00DE096C">
              <w:rPr>
                <w:bCs/>
                <w:color w:val="002060"/>
                <w:sz w:val="16"/>
                <w:szCs w:val="16"/>
              </w:rPr>
              <w:t> </w:t>
            </w:r>
          </w:p>
        </w:tc>
        <w:tc>
          <w:tcPr>
            <w:tcW w:w="425" w:type="dxa"/>
          </w:tcPr>
          <w:p w14:paraId="63FD9609" w14:textId="77777777" w:rsidR="00B67D7C" w:rsidRPr="00DE096C" w:rsidRDefault="00B67D7C" w:rsidP="00D45A46">
            <w:pPr>
              <w:jc w:val="both"/>
              <w:rPr>
                <w:bCs/>
                <w:color w:val="002060"/>
                <w:sz w:val="16"/>
                <w:szCs w:val="16"/>
              </w:rPr>
            </w:pPr>
            <w:r w:rsidRPr="00DE096C">
              <w:rPr>
                <w:bCs/>
                <w:color w:val="002060"/>
                <w:sz w:val="16"/>
                <w:szCs w:val="16"/>
              </w:rPr>
              <w:t> </w:t>
            </w:r>
          </w:p>
        </w:tc>
        <w:tc>
          <w:tcPr>
            <w:tcW w:w="425" w:type="dxa"/>
          </w:tcPr>
          <w:p w14:paraId="1271C963" w14:textId="77777777" w:rsidR="00B67D7C" w:rsidRPr="00DE096C" w:rsidRDefault="00B67D7C" w:rsidP="00D45A46">
            <w:pPr>
              <w:jc w:val="both"/>
              <w:rPr>
                <w:bCs/>
                <w:color w:val="002060"/>
                <w:sz w:val="16"/>
                <w:szCs w:val="16"/>
              </w:rPr>
            </w:pPr>
            <w:r w:rsidRPr="00DE096C">
              <w:rPr>
                <w:bCs/>
                <w:color w:val="002060"/>
                <w:sz w:val="16"/>
                <w:szCs w:val="16"/>
              </w:rPr>
              <w:t> </w:t>
            </w:r>
          </w:p>
        </w:tc>
        <w:tc>
          <w:tcPr>
            <w:tcW w:w="425" w:type="dxa"/>
          </w:tcPr>
          <w:p w14:paraId="3247A6F1" w14:textId="77777777" w:rsidR="00B67D7C" w:rsidRPr="00DE096C" w:rsidRDefault="00B67D7C" w:rsidP="00D45A46">
            <w:pPr>
              <w:jc w:val="both"/>
              <w:rPr>
                <w:bCs/>
                <w:color w:val="002060"/>
                <w:sz w:val="16"/>
                <w:szCs w:val="16"/>
              </w:rPr>
            </w:pPr>
            <w:r w:rsidRPr="00DE096C">
              <w:rPr>
                <w:bCs/>
                <w:color w:val="002060"/>
                <w:sz w:val="16"/>
                <w:szCs w:val="16"/>
              </w:rPr>
              <w:t> </w:t>
            </w:r>
          </w:p>
        </w:tc>
        <w:tc>
          <w:tcPr>
            <w:tcW w:w="426" w:type="dxa"/>
          </w:tcPr>
          <w:p w14:paraId="01DC4C70" w14:textId="77777777" w:rsidR="00B67D7C" w:rsidRPr="00DE096C" w:rsidRDefault="00B67D7C" w:rsidP="00D45A46">
            <w:pPr>
              <w:jc w:val="both"/>
              <w:rPr>
                <w:bCs/>
                <w:color w:val="002060"/>
                <w:sz w:val="16"/>
                <w:szCs w:val="16"/>
              </w:rPr>
            </w:pPr>
            <w:r w:rsidRPr="00DE096C">
              <w:rPr>
                <w:bCs/>
                <w:color w:val="002060"/>
                <w:sz w:val="16"/>
                <w:szCs w:val="16"/>
              </w:rPr>
              <w:t> </w:t>
            </w:r>
          </w:p>
        </w:tc>
        <w:tc>
          <w:tcPr>
            <w:tcW w:w="425" w:type="dxa"/>
          </w:tcPr>
          <w:p w14:paraId="7B6D12D7" w14:textId="77777777" w:rsidR="00B67D7C" w:rsidRPr="00DE096C" w:rsidRDefault="00B67D7C" w:rsidP="00D45A46">
            <w:pPr>
              <w:jc w:val="both"/>
              <w:rPr>
                <w:bCs/>
                <w:color w:val="002060"/>
                <w:sz w:val="16"/>
                <w:szCs w:val="16"/>
              </w:rPr>
            </w:pPr>
            <w:r w:rsidRPr="00DE096C">
              <w:rPr>
                <w:bCs/>
                <w:color w:val="002060"/>
                <w:sz w:val="16"/>
                <w:szCs w:val="16"/>
              </w:rPr>
              <w:t> </w:t>
            </w:r>
          </w:p>
        </w:tc>
        <w:tc>
          <w:tcPr>
            <w:tcW w:w="425" w:type="dxa"/>
          </w:tcPr>
          <w:p w14:paraId="2278BE1E" w14:textId="77777777" w:rsidR="00B67D7C" w:rsidRPr="00DE096C" w:rsidRDefault="00B67D7C" w:rsidP="00D45A46">
            <w:pPr>
              <w:jc w:val="both"/>
              <w:rPr>
                <w:bCs/>
                <w:color w:val="002060"/>
                <w:sz w:val="16"/>
                <w:szCs w:val="16"/>
              </w:rPr>
            </w:pPr>
            <w:r w:rsidRPr="00DE096C">
              <w:rPr>
                <w:bCs/>
                <w:color w:val="002060"/>
                <w:sz w:val="16"/>
                <w:szCs w:val="16"/>
              </w:rPr>
              <w:t> </w:t>
            </w:r>
          </w:p>
        </w:tc>
        <w:tc>
          <w:tcPr>
            <w:tcW w:w="425" w:type="dxa"/>
          </w:tcPr>
          <w:p w14:paraId="0D22409F" w14:textId="77777777" w:rsidR="00B67D7C" w:rsidRPr="00DE096C" w:rsidRDefault="00B67D7C" w:rsidP="00D45A46">
            <w:pPr>
              <w:jc w:val="both"/>
              <w:rPr>
                <w:bCs/>
                <w:color w:val="002060"/>
                <w:sz w:val="16"/>
                <w:szCs w:val="16"/>
              </w:rPr>
            </w:pPr>
            <w:r w:rsidRPr="00DE096C">
              <w:rPr>
                <w:bCs/>
                <w:color w:val="002060"/>
                <w:sz w:val="16"/>
                <w:szCs w:val="16"/>
              </w:rPr>
              <w:t>10.3</w:t>
            </w:r>
          </w:p>
        </w:tc>
        <w:tc>
          <w:tcPr>
            <w:tcW w:w="426" w:type="dxa"/>
          </w:tcPr>
          <w:p w14:paraId="7615BE51" w14:textId="77777777" w:rsidR="00B67D7C" w:rsidRPr="00DE096C" w:rsidRDefault="00B67D7C" w:rsidP="00D45A46">
            <w:pPr>
              <w:jc w:val="both"/>
              <w:rPr>
                <w:bCs/>
                <w:color w:val="002060"/>
                <w:sz w:val="16"/>
                <w:szCs w:val="16"/>
              </w:rPr>
            </w:pPr>
            <w:r w:rsidRPr="00DE096C">
              <w:rPr>
                <w:bCs/>
                <w:color w:val="002060"/>
                <w:sz w:val="16"/>
                <w:szCs w:val="16"/>
              </w:rPr>
              <w:t>22.8</w:t>
            </w:r>
          </w:p>
        </w:tc>
        <w:tc>
          <w:tcPr>
            <w:tcW w:w="425" w:type="dxa"/>
          </w:tcPr>
          <w:p w14:paraId="3B333039" w14:textId="77777777" w:rsidR="00B67D7C" w:rsidRPr="00DE096C" w:rsidRDefault="00B67D7C" w:rsidP="00D45A46">
            <w:pPr>
              <w:jc w:val="both"/>
              <w:rPr>
                <w:bCs/>
                <w:color w:val="002060"/>
                <w:sz w:val="16"/>
                <w:szCs w:val="16"/>
              </w:rPr>
            </w:pPr>
            <w:r w:rsidRPr="00DE096C">
              <w:rPr>
                <w:bCs/>
                <w:color w:val="002060"/>
                <w:sz w:val="16"/>
                <w:szCs w:val="16"/>
              </w:rPr>
              <w:t>32.4</w:t>
            </w:r>
          </w:p>
        </w:tc>
        <w:tc>
          <w:tcPr>
            <w:tcW w:w="437" w:type="dxa"/>
            <w:gridSpan w:val="2"/>
          </w:tcPr>
          <w:p w14:paraId="35CDCBDB" w14:textId="77777777" w:rsidR="00B67D7C" w:rsidRPr="00DE096C" w:rsidRDefault="00B67D7C" w:rsidP="00D45A46">
            <w:pPr>
              <w:jc w:val="both"/>
              <w:rPr>
                <w:bCs/>
                <w:color w:val="002060"/>
                <w:sz w:val="16"/>
                <w:szCs w:val="16"/>
              </w:rPr>
            </w:pPr>
            <w:r w:rsidRPr="00DE096C">
              <w:rPr>
                <w:bCs/>
                <w:color w:val="002060"/>
                <w:sz w:val="16"/>
                <w:szCs w:val="16"/>
              </w:rPr>
              <w:t>35.2</w:t>
            </w:r>
          </w:p>
        </w:tc>
        <w:tc>
          <w:tcPr>
            <w:tcW w:w="555" w:type="dxa"/>
          </w:tcPr>
          <w:p w14:paraId="33125F89" w14:textId="77777777" w:rsidR="00B67D7C" w:rsidRPr="00DE096C" w:rsidRDefault="00B67D7C" w:rsidP="00D45A46">
            <w:pPr>
              <w:jc w:val="both"/>
              <w:rPr>
                <w:bCs/>
                <w:color w:val="002060"/>
                <w:sz w:val="16"/>
                <w:szCs w:val="16"/>
              </w:rPr>
            </w:pPr>
            <w:r w:rsidRPr="00DE096C">
              <w:rPr>
                <w:bCs/>
                <w:color w:val="002060"/>
                <w:sz w:val="16"/>
                <w:szCs w:val="16"/>
              </w:rPr>
              <w:t>33.3</w:t>
            </w:r>
          </w:p>
        </w:tc>
        <w:tc>
          <w:tcPr>
            <w:tcW w:w="567" w:type="dxa"/>
          </w:tcPr>
          <w:p w14:paraId="62E7CF7A" w14:textId="77777777" w:rsidR="00B67D7C" w:rsidRPr="00DE096C" w:rsidRDefault="00B67D7C" w:rsidP="00D45A46">
            <w:pPr>
              <w:jc w:val="both"/>
              <w:rPr>
                <w:bCs/>
                <w:color w:val="002060"/>
                <w:sz w:val="16"/>
                <w:szCs w:val="16"/>
              </w:rPr>
            </w:pPr>
            <w:r w:rsidRPr="00DE096C">
              <w:rPr>
                <w:bCs/>
                <w:color w:val="002060"/>
                <w:sz w:val="16"/>
                <w:szCs w:val="16"/>
              </w:rPr>
              <w:t>134.0</w:t>
            </w:r>
          </w:p>
        </w:tc>
      </w:tr>
      <w:tr w:rsidR="00B67D7C" w:rsidRPr="00DE096C" w14:paraId="1AF0B506" w14:textId="77777777" w:rsidTr="00C2024A">
        <w:tc>
          <w:tcPr>
            <w:tcW w:w="1186" w:type="dxa"/>
          </w:tcPr>
          <w:p w14:paraId="54819231" w14:textId="77777777" w:rsidR="00B67D7C" w:rsidRPr="00DE096C" w:rsidRDefault="00B67D7C" w:rsidP="00D45A46">
            <w:pPr>
              <w:jc w:val="both"/>
              <w:rPr>
                <w:bCs/>
                <w:color w:val="002060"/>
                <w:sz w:val="16"/>
                <w:szCs w:val="16"/>
              </w:rPr>
            </w:pPr>
            <w:r w:rsidRPr="00DE096C">
              <w:rPr>
                <w:bCs/>
                <w:color w:val="002060"/>
                <w:sz w:val="16"/>
                <w:szCs w:val="16"/>
              </w:rPr>
              <w:t>1915 год</w:t>
            </w:r>
          </w:p>
          <w:p w14:paraId="09D2398C" w14:textId="77777777" w:rsidR="00B67D7C" w:rsidRPr="00DE096C" w:rsidRDefault="00B67D7C" w:rsidP="00D45A46">
            <w:pPr>
              <w:jc w:val="both"/>
              <w:rPr>
                <w:bCs/>
                <w:color w:val="002060"/>
                <w:sz w:val="16"/>
                <w:szCs w:val="16"/>
              </w:rPr>
            </w:pPr>
            <w:r w:rsidRPr="00DE096C">
              <w:rPr>
                <w:bCs/>
                <w:color w:val="002060"/>
                <w:sz w:val="16"/>
                <w:szCs w:val="16"/>
              </w:rPr>
              <w:t> </w:t>
            </w:r>
          </w:p>
        </w:tc>
        <w:tc>
          <w:tcPr>
            <w:tcW w:w="374" w:type="dxa"/>
          </w:tcPr>
          <w:p w14:paraId="60F657DF" w14:textId="77777777" w:rsidR="00B67D7C" w:rsidRPr="00DE096C" w:rsidRDefault="00B67D7C" w:rsidP="00D45A46">
            <w:pPr>
              <w:jc w:val="both"/>
              <w:rPr>
                <w:bCs/>
                <w:color w:val="002060"/>
                <w:sz w:val="16"/>
                <w:szCs w:val="16"/>
              </w:rPr>
            </w:pPr>
            <w:r w:rsidRPr="00DE096C">
              <w:rPr>
                <w:bCs/>
                <w:color w:val="002060"/>
                <w:sz w:val="16"/>
                <w:szCs w:val="16"/>
              </w:rPr>
              <w:t> </w:t>
            </w:r>
          </w:p>
        </w:tc>
        <w:tc>
          <w:tcPr>
            <w:tcW w:w="425" w:type="dxa"/>
          </w:tcPr>
          <w:p w14:paraId="6595DFB3" w14:textId="77777777" w:rsidR="00B67D7C" w:rsidRPr="00DE096C" w:rsidRDefault="00B67D7C" w:rsidP="00D45A46">
            <w:pPr>
              <w:jc w:val="both"/>
              <w:rPr>
                <w:bCs/>
                <w:color w:val="002060"/>
                <w:sz w:val="16"/>
                <w:szCs w:val="16"/>
              </w:rPr>
            </w:pPr>
            <w:r w:rsidRPr="00DE096C">
              <w:rPr>
                <w:bCs/>
                <w:color w:val="002060"/>
                <w:sz w:val="16"/>
                <w:szCs w:val="16"/>
              </w:rPr>
              <w:t> </w:t>
            </w:r>
          </w:p>
        </w:tc>
        <w:tc>
          <w:tcPr>
            <w:tcW w:w="425" w:type="dxa"/>
          </w:tcPr>
          <w:p w14:paraId="41B3C020" w14:textId="77777777" w:rsidR="00B67D7C" w:rsidRPr="00DE096C" w:rsidRDefault="00B67D7C" w:rsidP="00D45A46">
            <w:pPr>
              <w:jc w:val="both"/>
              <w:rPr>
                <w:bCs/>
                <w:color w:val="002060"/>
                <w:sz w:val="16"/>
                <w:szCs w:val="16"/>
              </w:rPr>
            </w:pPr>
            <w:r w:rsidRPr="00DE096C">
              <w:rPr>
                <w:bCs/>
                <w:color w:val="002060"/>
                <w:sz w:val="16"/>
                <w:szCs w:val="16"/>
              </w:rPr>
              <w:t> </w:t>
            </w:r>
          </w:p>
        </w:tc>
        <w:tc>
          <w:tcPr>
            <w:tcW w:w="425" w:type="dxa"/>
          </w:tcPr>
          <w:p w14:paraId="27DE6D42" w14:textId="77777777" w:rsidR="00B67D7C" w:rsidRPr="00DE096C" w:rsidRDefault="00B67D7C" w:rsidP="00D45A46">
            <w:pPr>
              <w:jc w:val="both"/>
              <w:rPr>
                <w:bCs/>
                <w:color w:val="002060"/>
                <w:sz w:val="16"/>
                <w:szCs w:val="16"/>
              </w:rPr>
            </w:pPr>
            <w:r w:rsidRPr="00DE096C">
              <w:rPr>
                <w:bCs/>
                <w:color w:val="002060"/>
                <w:sz w:val="16"/>
                <w:szCs w:val="16"/>
              </w:rPr>
              <w:t> </w:t>
            </w:r>
          </w:p>
        </w:tc>
        <w:tc>
          <w:tcPr>
            <w:tcW w:w="426" w:type="dxa"/>
          </w:tcPr>
          <w:p w14:paraId="1B124A74" w14:textId="77777777" w:rsidR="00B67D7C" w:rsidRPr="00DE096C" w:rsidRDefault="00B67D7C" w:rsidP="00D45A46">
            <w:pPr>
              <w:jc w:val="both"/>
              <w:rPr>
                <w:bCs/>
                <w:color w:val="002060"/>
                <w:sz w:val="16"/>
                <w:szCs w:val="16"/>
              </w:rPr>
            </w:pPr>
            <w:r w:rsidRPr="00DE096C">
              <w:rPr>
                <w:bCs/>
                <w:color w:val="002060"/>
                <w:sz w:val="16"/>
                <w:szCs w:val="16"/>
              </w:rPr>
              <w:t> </w:t>
            </w:r>
          </w:p>
        </w:tc>
        <w:tc>
          <w:tcPr>
            <w:tcW w:w="425" w:type="dxa"/>
          </w:tcPr>
          <w:p w14:paraId="27BF16F0" w14:textId="77777777" w:rsidR="00B67D7C" w:rsidRPr="00DE096C" w:rsidRDefault="00B67D7C" w:rsidP="00D45A46">
            <w:pPr>
              <w:jc w:val="both"/>
              <w:rPr>
                <w:bCs/>
                <w:color w:val="002060"/>
                <w:sz w:val="16"/>
                <w:szCs w:val="16"/>
              </w:rPr>
            </w:pPr>
            <w:r w:rsidRPr="00DE096C">
              <w:rPr>
                <w:bCs/>
                <w:color w:val="002060"/>
                <w:sz w:val="16"/>
                <w:szCs w:val="16"/>
              </w:rPr>
              <w:t> </w:t>
            </w:r>
          </w:p>
        </w:tc>
        <w:tc>
          <w:tcPr>
            <w:tcW w:w="425" w:type="dxa"/>
          </w:tcPr>
          <w:p w14:paraId="68DFC403" w14:textId="77777777" w:rsidR="00B67D7C" w:rsidRPr="00DE096C" w:rsidRDefault="00B67D7C" w:rsidP="00D45A46">
            <w:pPr>
              <w:jc w:val="both"/>
              <w:rPr>
                <w:bCs/>
                <w:color w:val="002060"/>
                <w:sz w:val="16"/>
                <w:szCs w:val="16"/>
              </w:rPr>
            </w:pPr>
            <w:r w:rsidRPr="00DE096C">
              <w:rPr>
                <w:bCs/>
                <w:color w:val="002060"/>
                <w:sz w:val="16"/>
                <w:szCs w:val="16"/>
              </w:rPr>
              <w:t> </w:t>
            </w:r>
          </w:p>
        </w:tc>
        <w:tc>
          <w:tcPr>
            <w:tcW w:w="425" w:type="dxa"/>
          </w:tcPr>
          <w:p w14:paraId="6B6F8439" w14:textId="77777777" w:rsidR="00B67D7C" w:rsidRPr="00DE096C" w:rsidRDefault="00B67D7C" w:rsidP="00D45A46">
            <w:pPr>
              <w:jc w:val="both"/>
              <w:rPr>
                <w:bCs/>
                <w:color w:val="002060"/>
                <w:sz w:val="16"/>
                <w:szCs w:val="16"/>
              </w:rPr>
            </w:pPr>
            <w:r w:rsidRPr="00DE096C">
              <w:rPr>
                <w:bCs/>
                <w:color w:val="002060"/>
                <w:sz w:val="16"/>
                <w:szCs w:val="16"/>
              </w:rPr>
              <w:t> </w:t>
            </w:r>
          </w:p>
        </w:tc>
        <w:tc>
          <w:tcPr>
            <w:tcW w:w="426" w:type="dxa"/>
          </w:tcPr>
          <w:p w14:paraId="30307672" w14:textId="77777777" w:rsidR="00B67D7C" w:rsidRPr="00DE096C" w:rsidRDefault="00B67D7C" w:rsidP="00D45A46">
            <w:pPr>
              <w:jc w:val="both"/>
              <w:rPr>
                <w:bCs/>
                <w:color w:val="002060"/>
                <w:sz w:val="16"/>
                <w:szCs w:val="16"/>
              </w:rPr>
            </w:pPr>
            <w:r w:rsidRPr="00DE096C">
              <w:rPr>
                <w:bCs/>
                <w:color w:val="002060"/>
                <w:sz w:val="16"/>
                <w:szCs w:val="16"/>
              </w:rPr>
              <w:t> </w:t>
            </w:r>
          </w:p>
        </w:tc>
        <w:tc>
          <w:tcPr>
            <w:tcW w:w="425" w:type="dxa"/>
          </w:tcPr>
          <w:p w14:paraId="4E3CB114" w14:textId="77777777" w:rsidR="00B67D7C" w:rsidRPr="00DE096C" w:rsidRDefault="00B67D7C" w:rsidP="00D45A46">
            <w:pPr>
              <w:jc w:val="both"/>
              <w:rPr>
                <w:bCs/>
                <w:color w:val="002060"/>
                <w:sz w:val="16"/>
                <w:szCs w:val="16"/>
              </w:rPr>
            </w:pPr>
            <w:r w:rsidRPr="00DE096C">
              <w:rPr>
                <w:bCs/>
                <w:color w:val="002060"/>
                <w:sz w:val="16"/>
                <w:szCs w:val="16"/>
              </w:rPr>
              <w:t> </w:t>
            </w:r>
          </w:p>
        </w:tc>
        <w:tc>
          <w:tcPr>
            <w:tcW w:w="439" w:type="dxa"/>
            <w:gridSpan w:val="2"/>
          </w:tcPr>
          <w:p w14:paraId="096238EA" w14:textId="77777777" w:rsidR="00B67D7C" w:rsidRPr="00DE096C" w:rsidRDefault="00B67D7C" w:rsidP="00D45A46">
            <w:pPr>
              <w:jc w:val="both"/>
              <w:rPr>
                <w:bCs/>
                <w:color w:val="002060"/>
                <w:sz w:val="16"/>
                <w:szCs w:val="16"/>
              </w:rPr>
            </w:pPr>
            <w:r w:rsidRPr="00DE096C">
              <w:rPr>
                <w:bCs/>
                <w:color w:val="002060"/>
                <w:sz w:val="16"/>
                <w:szCs w:val="16"/>
              </w:rPr>
              <w:t> </w:t>
            </w:r>
          </w:p>
        </w:tc>
        <w:tc>
          <w:tcPr>
            <w:tcW w:w="553" w:type="dxa"/>
          </w:tcPr>
          <w:p w14:paraId="182E2B06" w14:textId="77777777" w:rsidR="00B67D7C" w:rsidRPr="00DE096C" w:rsidRDefault="00B67D7C" w:rsidP="00D45A46">
            <w:pPr>
              <w:jc w:val="both"/>
              <w:rPr>
                <w:bCs/>
                <w:color w:val="002060"/>
                <w:sz w:val="16"/>
                <w:szCs w:val="16"/>
              </w:rPr>
            </w:pPr>
            <w:r w:rsidRPr="00DE096C">
              <w:rPr>
                <w:bCs/>
                <w:color w:val="002060"/>
                <w:sz w:val="16"/>
                <w:szCs w:val="16"/>
              </w:rPr>
              <w:t> </w:t>
            </w:r>
          </w:p>
        </w:tc>
        <w:tc>
          <w:tcPr>
            <w:tcW w:w="567" w:type="dxa"/>
          </w:tcPr>
          <w:p w14:paraId="3E3539A1" w14:textId="77777777" w:rsidR="00B67D7C" w:rsidRPr="00DE096C" w:rsidRDefault="00B67D7C" w:rsidP="00D45A46">
            <w:pPr>
              <w:jc w:val="both"/>
              <w:rPr>
                <w:bCs/>
                <w:color w:val="002060"/>
                <w:sz w:val="16"/>
                <w:szCs w:val="16"/>
              </w:rPr>
            </w:pPr>
            <w:r w:rsidRPr="00DE096C">
              <w:rPr>
                <w:bCs/>
                <w:color w:val="002060"/>
                <w:sz w:val="16"/>
                <w:szCs w:val="16"/>
              </w:rPr>
              <w:t> </w:t>
            </w:r>
          </w:p>
        </w:tc>
      </w:tr>
      <w:tr w:rsidR="00B67D7C" w:rsidRPr="00DE096C" w14:paraId="4A1C224E" w14:textId="77777777" w:rsidTr="00C2024A">
        <w:tc>
          <w:tcPr>
            <w:tcW w:w="1186" w:type="dxa"/>
          </w:tcPr>
          <w:p w14:paraId="1F5D715C" w14:textId="77777777" w:rsidR="00B67D7C" w:rsidRPr="00DE096C" w:rsidRDefault="00B67D7C" w:rsidP="00D45A46">
            <w:pPr>
              <w:jc w:val="both"/>
              <w:rPr>
                <w:bCs/>
                <w:color w:val="002060"/>
                <w:sz w:val="16"/>
                <w:szCs w:val="16"/>
              </w:rPr>
            </w:pPr>
            <w:r w:rsidRPr="00DE096C">
              <w:rPr>
                <w:bCs/>
                <w:color w:val="002060"/>
                <w:sz w:val="16"/>
                <w:szCs w:val="16"/>
              </w:rPr>
              <w:t>Тульский</w:t>
            </w:r>
          </w:p>
        </w:tc>
        <w:tc>
          <w:tcPr>
            <w:tcW w:w="374" w:type="dxa"/>
          </w:tcPr>
          <w:p w14:paraId="5ED2A984" w14:textId="77777777" w:rsidR="00B67D7C" w:rsidRPr="00DE096C" w:rsidRDefault="00B67D7C" w:rsidP="00D45A46">
            <w:pPr>
              <w:jc w:val="both"/>
              <w:rPr>
                <w:bCs/>
                <w:color w:val="002060"/>
                <w:sz w:val="16"/>
                <w:szCs w:val="16"/>
              </w:rPr>
            </w:pPr>
            <w:r w:rsidRPr="00DE096C">
              <w:rPr>
                <w:bCs/>
                <w:color w:val="002060"/>
                <w:sz w:val="16"/>
                <w:szCs w:val="16"/>
              </w:rPr>
              <w:t>13.4</w:t>
            </w:r>
          </w:p>
        </w:tc>
        <w:tc>
          <w:tcPr>
            <w:tcW w:w="425" w:type="dxa"/>
          </w:tcPr>
          <w:p w14:paraId="52BE17A6" w14:textId="77777777" w:rsidR="00B67D7C" w:rsidRPr="00DE096C" w:rsidRDefault="00B67D7C" w:rsidP="00D45A46">
            <w:pPr>
              <w:jc w:val="both"/>
              <w:rPr>
                <w:bCs/>
                <w:color w:val="002060"/>
                <w:sz w:val="16"/>
                <w:szCs w:val="16"/>
              </w:rPr>
            </w:pPr>
            <w:r w:rsidRPr="00DE096C">
              <w:rPr>
                <w:bCs/>
                <w:color w:val="002060"/>
                <w:sz w:val="16"/>
                <w:szCs w:val="16"/>
              </w:rPr>
              <w:t>17.8</w:t>
            </w:r>
          </w:p>
        </w:tc>
        <w:tc>
          <w:tcPr>
            <w:tcW w:w="425" w:type="dxa"/>
          </w:tcPr>
          <w:p w14:paraId="619E2E51" w14:textId="77777777" w:rsidR="00B67D7C" w:rsidRPr="00DE096C" w:rsidRDefault="00B67D7C" w:rsidP="00D45A46">
            <w:pPr>
              <w:jc w:val="both"/>
              <w:rPr>
                <w:bCs/>
                <w:color w:val="002060"/>
                <w:sz w:val="16"/>
                <w:szCs w:val="16"/>
              </w:rPr>
            </w:pPr>
            <w:r w:rsidRPr="00DE096C">
              <w:rPr>
                <w:bCs/>
                <w:color w:val="002060"/>
                <w:sz w:val="16"/>
                <w:szCs w:val="16"/>
              </w:rPr>
              <w:t>18.2</w:t>
            </w:r>
          </w:p>
        </w:tc>
        <w:tc>
          <w:tcPr>
            <w:tcW w:w="425" w:type="dxa"/>
          </w:tcPr>
          <w:p w14:paraId="0C63D2AA" w14:textId="77777777" w:rsidR="00B67D7C" w:rsidRPr="00DE096C" w:rsidRDefault="00B67D7C" w:rsidP="00D45A46">
            <w:pPr>
              <w:jc w:val="both"/>
              <w:rPr>
                <w:bCs/>
                <w:color w:val="002060"/>
                <w:sz w:val="16"/>
                <w:szCs w:val="16"/>
              </w:rPr>
            </w:pPr>
            <w:r w:rsidRPr="00DE096C">
              <w:rPr>
                <w:bCs/>
                <w:color w:val="002060"/>
                <w:sz w:val="16"/>
                <w:szCs w:val="16"/>
              </w:rPr>
              <w:t>26.0</w:t>
            </w:r>
          </w:p>
        </w:tc>
        <w:tc>
          <w:tcPr>
            <w:tcW w:w="426" w:type="dxa"/>
          </w:tcPr>
          <w:p w14:paraId="6C95732F" w14:textId="77777777" w:rsidR="00B67D7C" w:rsidRPr="00DE096C" w:rsidRDefault="00B67D7C" w:rsidP="00D45A46">
            <w:pPr>
              <w:jc w:val="both"/>
              <w:rPr>
                <w:bCs/>
                <w:color w:val="002060"/>
                <w:sz w:val="16"/>
                <w:szCs w:val="16"/>
              </w:rPr>
            </w:pPr>
            <w:r w:rsidRPr="00DE096C">
              <w:rPr>
                <w:bCs/>
                <w:color w:val="002060"/>
                <w:sz w:val="16"/>
                <w:szCs w:val="16"/>
              </w:rPr>
              <w:t>26.4</w:t>
            </w:r>
          </w:p>
        </w:tc>
        <w:tc>
          <w:tcPr>
            <w:tcW w:w="425" w:type="dxa"/>
          </w:tcPr>
          <w:p w14:paraId="3C70D174" w14:textId="77777777" w:rsidR="00B67D7C" w:rsidRPr="00DE096C" w:rsidRDefault="00B67D7C" w:rsidP="00D45A46">
            <w:pPr>
              <w:jc w:val="both"/>
              <w:rPr>
                <w:bCs/>
                <w:color w:val="002060"/>
                <w:sz w:val="16"/>
                <w:szCs w:val="16"/>
              </w:rPr>
            </w:pPr>
            <w:r w:rsidRPr="00DE096C">
              <w:rPr>
                <w:bCs/>
                <w:color w:val="002060"/>
                <w:sz w:val="16"/>
                <w:szCs w:val="16"/>
              </w:rPr>
              <w:t>27.6</w:t>
            </w:r>
          </w:p>
        </w:tc>
        <w:tc>
          <w:tcPr>
            <w:tcW w:w="425" w:type="dxa"/>
          </w:tcPr>
          <w:p w14:paraId="4F2020E3" w14:textId="77777777" w:rsidR="00B67D7C" w:rsidRPr="00DE096C" w:rsidRDefault="00B67D7C" w:rsidP="00D45A46">
            <w:pPr>
              <w:jc w:val="both"/>
              <w:rPr>
                <w:bCs/>
                <w:color w:val="002060"/>
                <w:sz w:val="16"/>
                <w:szCs w:val="16"/>
              </w:rPr>
            </w:pPr>
            <w:r w:rsidRPr="00DE096C">
              <w:rPr>
                <w:bCs/>
                <w:color w:val="002060"/>
                <w:sz w:val="16"/>
                <w:szCs w:val="16"/>
              </w:rPr>
              <w:t>32.9</w:t>
            </w:r>
          </w:p>
        </w:tc>
        <w:tc>
          <w:tcPr>
            <w:tcW w:w="425" w:type="dxa"/>
          </w:tcPr>
          <w:p w14:paraId="1E9A84D3" w14:textId="77777777" w:rsidR="00B67D7C" w:rsidRPr="00DE096C" w:rsidRDefault="00B67D7C" w:rsidP="00D45A46">
            <w:pPr>
              <w:jc w:val="both"/>
              <w:rPr>
                <w:bCs/>
                <w:color w:val="002060"/>
                <w:sz w:val="16"/>
                <w:szCs w:val="16"/>
              </w:rPr>
            </w:pPr>
            <w:r w:rsidRPr="00DE096C">
              <w:rPr>
                <w:bCs/>
                <w:color w:val="002060"/>
                <w:sz w:val="16"/>
                <w:szCs w:val="16"/>
              </w:rPr>
              <w:t>33.9</w:t>
            </w:r>
          </w:p>
        </w:tc>
        <w:tc>
          <w:tcPr>
            <w:tcW w:w="426" w:type="dxa"/>
          </w:tcPr>
          <w:p w14:paraId="28E65CC2" w14:textId="77777777" w:rsidR="00B67D7C" w:rsidRPr="00DE096C" w:rsidRDefault="00B67D7C" w:rsidP="00D45A46">
            <w:pPr>
              <w:jc w:val="both"/>
              <w:rPr>
                <w:bCs/>
                <w:color w:val="002060"/>
                <w:sz w:val="16"/>
                <w:szCs w:val="16"/>
              </w:rPr>
            </w:pPr>
            <w:r w:rsidRPr="00DE096C">
              <w:rPr>
                <w:bCs/>
                <w:color w:val="002060"/>
                <w:sz w:val="16"/>
                <w:szCs w:val="16"/>
              </w:rPr>
              <w:t>37.5</w:t>
            </w:r>
          </w:p>
        </w:tc>
        <w:tc>
          <w:tcPr>
            <w:tcW w:w="425" w:type="dxa"/>
          </w:tcPr>
          <w:p w14:paraId="28814A9B" w14:textId="77777777" w:rsidR="00B67D7C" w:rsidRPr="00DE096C" w:rsidRDefault="00B67D7C" w:rsidP="00D45A46">
            <w:pPr>
              <w:jc w:val="both"/>
              <w:rPr>
                <w:bCs/>
                <w:color w:val="002060"/>
                <w:sz w:val="16"/>
                <w:szCs w:val="16"/>
              </w:rPr>
            </w:pPr>
            <w:r w:rsidRPr="00DE096C">
              <w:rPr>
                <w:bCs/>
                <w:color w:val="002060"/>
                <w:sz w:val="16"/>
                <w:szCs w:val="16"/>
              </w:rPr>
              <w:t>37.5</w:t>
            </w:r>
          </w:p>
        </w:tc>
        <w:tc>
          <w:tcPr>
            <w:tcW w:w="439" w:type="dxa"/>
            <w:gridSpan w:val="2"/>
          </w:tcPr>
          <w:p w14:paraId="0317E4C5" w14:textId="77777777" w:rsidR="00B67D7C" w:rsidRPr="00DE096C" w:rsidRDefault="00B67D7C" w:rsidP="00D45A46">
            <w:pPr>
              <w:jc w:val="both"/>
              <w:rPr>
                <w:bCs/>
                <w:color w:val="002060"/>
                <w:sz w:val="16"/>
                <w:szCs w:val="16"/>
              </w:rPr>
            </w:pPr>
            <w:r w:rsidRPr="00DE096C">
              <w:rPr>
                <w:bCs/>
                <w:color w:val="002060"/>
                <w:sz w:val="16"/>
                <w:szCs w:val="16"/>
              </w:rPr>
              <w:t>40.0</w:t>
            </w:r>
          </w:p>
        </w:tc>
        <w:tc>
          <w:tcPr>
            <w:tcW w:w="553" w:type="dxa"/>
          </w:tcPr>
          <w:p w14:paraId="46AFFF7B" w14:textId="77777777" w:rsidR="00B67D7C" w:rsidRPr="00DE096C" w:rsidRDefault="00B67D7C" w:rsidP="00D45A46">
            <w:pPr>
              <w:jc w:val="both"/>
              <w:rPr>
                <w:bCs/>
                <w:color w:val="002060"/>
                <w:sz w:val="16"/>
                <w:szCs w:val="16"/>
              </w:rPr>
            </w:pPr>
            <w:r w:rsidRPr="00DE096C">
              <w:rPr>
                <w:bCs/>
                <w:color w:val="002060"/>
                <w:sz w:val="16"/>
                <w:szCs w:val="16"/>
              </w:rPr>
              <w:t>41.4</w:t>
            </w:r>
          </w:p>
        </w:tc>
        <w:tc>
          <w:tcPr>
            <w:tcW w:w="567" w:type="dxa"/>
          </w:tcPr>
          <w:p w14:paraId="68E8E813" w14:textId="77777777" w:rsidR="00B67D7C" w:rsidRPr="00DE096C" w:rsidRDefault="00B67D7C" w:rsidP="00D45A46">
            <w:pPr>
              <w:jc w:val="both"/>
              <w:rPr>
                <w:bCs/>
                <w:color w:val="002060"/>
                <w:sz w:val="16"/>
                <w:szCs w:val="16"/>
              </w:rPr>
            </w:pPr>
            <w:r w:rsidRPr="00DE096C">
              <w:rPr>
                <w:bCs/>
                <w:color w:val="002060"/>
                <w:sz w:val="16"/>
                <w:szCs w:val="16"/>
              </w:rPr>
              <w:t>352.6</w:t>
            </w:r>
          </w:p>
        </w:tc>
      </w:tr>
      <w:tr w:rsidR="00B67D7C" w:rsidRPr="00DE096C" w14:paraId="73B30702" w14:textId="77777777" w:rsidTr="00C2024A">
        <w:tc>
          <w:tcPr>
            <w:tcW w:w="1186" w:type="dxa"/>
          </w:tcPr>
          <w:p w14:paraId="345CD86A" w14:textId="77777777" w:rsidR="00B67D7C" w:rsidRPr="00DE096C" w:rsidRDefault="00B67D7C" w:rsidP="00D45A46">
            <w:pPr>
              <w:jc w:val="both"/>
              <w:rPr>
                <w:bCs/>
                <w:color w:val="002060"/>
                <w:sz w:val="16"/>
                <w:szCs w:val="16"/>
              </w:rPr>
            </w:pPr>
            <w:r w:rsidRPr="00DE096C">
              <w:rPr>
                <w:bCs/>
                <w:color w:val="002060"/>
                <w:sz w:val="16"/>
                <w:szCs w:val="16"/>
              </w:rPr>
              <w:t>Ижевский</w:t>
            </w:r>
          </w:p>
        </w:tc>
        <w:tc>
          <w:tcPr>
            <w:tcW w:w="374" w:type="dxa"/>
          </w:tcPr>
          <w:p w14:paraId="68E71852" w14:textId="77777777" w:rsidR="00B67D7C" w:rsidRPr="00DE096C" w:rsidRDefault="00B67D7C" w:rsidP="00D45A46">
            <w:pPr>
              <w:jc w:val="both"/>
              <w:rPr>
                <w:bCs/>
                <w:color w:val="002060"/>
                <w:sz w:val="16"/>
                <w:szCs w:val="16"/>
              </w:rPr>
            </w:pPr>
            <w:r w:rsidRPr="00DE096C">
              <w:rPr>
                <w:bCs/>
                <w:color w:val="002060"/>
                <w:sz w:val="16"/>
                <w:szCs w:val="16"/>
              </w:rPr>
              <w:t>18.2</w:t>
            </w:r>
          </w:p>
        </w:tc>
        <w:tc>
          <w:tcPr>
            <w:tcW w:w="425" w:type="dxa"/>
          </w:tcPr>
          <w:p w14:paraId="049CFC60" w14:textId="77777777" w:rsidR="00B67D7C" w:rsidRPr="00DE096C" w:rsidRDefault="00B67D7C" w:rsidP="00D45A46">
            <w:pPr>
              <w:jc w:val="both"/>
              <w:rPr>
                <w:bCs/>
                <w:color w:val="002060"/>
                <w:sz w:val="16"/>
                <w:szCs w:val="16"/>
              </w:rPr>
            </w:pPr>
            <w:r w:rsidRPr="00DE096C">
              <w:rPr>
                <w:bCs/>
                <w:color w:val="002060"/>
                <w:sz w:val="16"/>
                <w:szCs w:val="16"/>
              </w:rPr>
              <w:t>18.0</w:t>
            </w:r>
          </w:p>
        </w:tc>
        <w:tc>
          <w:tcPr>
            <w:tcW w:w="425" w:type="dxa"/>
          </w:tcPr>
          <w:p w14:paraId="158AA8A6" w14:textId="77777777" w:rsidR="00B67D7C" w:rsidRPr="00DE096C" w:rsidRDefault="00B67D7C" w:rsidP="00D45A46">
            <w:pPr>
              <w:jc w:val="both"/>
              <w:rPr>
                <w:bCs/>
                <w:color w:val="002060"/>
                <w:sz w:val="16"/>
                <w:szCs w:val="16"/>
              </w:rPr>
            </w:pPr>
            <w:r w:rsidRPr="00DE096C">
              <w:rPr>
                <w:bCs/>
                <w:color w:val="002060"/>
                <w:sz w:val="16"/>
                <w:szCs w:val="16"/>
              </w:rPr>
              <w:t>18.5</w:t>
            </w:r>
          </w:p>
        </w:tc>
        <w:tc>
          <w:tcPr>
            <w:tcW w:w="425" w:type="dxa"/>
          </w:tcPr>
          <w:p w14:paraId="03749D82" w14:textId="77777777" w:rsidR="00B67D7C" w:rsidRPr="00DE096C" w:rsidRDefault="00B67D7C" w:rsidP="00D45A46">
            <w:pPr>
              <w:jc w:val="both"/>
              <w:rPr>
                <w:bCs/>
                <w:color w:val="002060"/>
                <w:sz w:val="16"/>
                <w:szCs w:val="16"/>
              </w:rPr>
            </w:pPr>
            <w:r w:rsidRPr="00DE096C">
              <w:rPr>
                <w:bCs/>
                <w:color w:val="002060"/>
                <w:sz w:val="16"/>
                <w:szCs w:val="16"/>
              </w:rPr>
              <w:t>21.7</w:t>
            </w:r>
          </w:p>
        </w:tc>
        <w:tc>
          <w:tcPr>
            <w:tcW w:w="426" w:type="dxa"/>
          </w:tcPr>
          <w:p w14:paraId="2BCB365B" w14:textId="77777777" w:rsidR="00B67D7C" w:rsidRPr="00DE096C" w:rsidRDefault="00B67D7C" w:rsidP="00D45A46">
            <w:pPr>
              <w:jc w:val="both"/>
              <w:rPr>
                <w:bCs/>
                <w:color w:val="002060"/>
                <w:sz w:val="16"/>
                <w:szCs w:val="16"/>
              </w:rPr>
            </w:pPr>
            <w:r w:rsidRPr="00DE096C">
              <w:rPr>
                <w:bCs/>
                <w:color w:val="002060"/>
                <w:sz w:val="16"/>
                <w:szCs w:val="16"/>
              </w:rPr>
              <w:t>23.2</w:t>
            </w:r>
          </w:p>
        </w:tc>
        <w:tc>
          <w:tcPr>
            <w:tcW w:w="425" w:type="dxa"/>
          </w:tcPr>
          <w:p w14:paraId="2DF10864" w14:textId="77777777" w:rsidR="00B67D7C" w:rsidRPr="00DE096C" w:rsidRDefault="00B67D7C" w:rsidP="00D45A46">
            <w:pPr>
              <w:jc w:val="both"/>
              <w:rPr>
                <w:bCs/>
                <w:color w:val="002060"/>
                <w:sz w:val="16"/>
                <w:szCs w:val="16"/>
              </w:rPr>
            </w:pPr>
            <w:r w:rsidRPr="00DE096C">
              <w:rPr>
                <w:bCs/>
                <w:color w:val="002060"/>
                <w:sz w:val="16"/>
                <w:szCs w:val="16"/>
              </w:rPr>
              <w:t>25.6</w:t>
            </w:r>
          </w:p>
        </w:tc>
        <w:tc>
          <w:tcPr>
            <w:tcW w:w="425" w:type="dxa"/>
          </w:tcPr>
          <w:p w14:paraId="12DBBB2C" w14:textId="77777777" w:rsidR="00B67D7C" w:rsidRPr="00DE096C" w:rsidRDefault="00B67D7C" w:rsidP="00D45A46">
            <w:pPr>
              <w:jc w:val="both"/>
              <w:rPr>
                <w:bCs/>
                <w:color w:val="002060"/>
                <w:sz w:val="16"/>
                <w:szCs w:val="16"/>
              </w:rPr>
            </w:pPr>
            <w:r w:rsidRPr="00DE096C">
              <w:rPr>
                <w:bCs/>
                <w:color w:val="002060"/>
                <w:sz w:val="16"/>
                <w:szCs w:val="16"/>
              </w:rPr>
              <w:t>28.9</w:t>
            </w:r>
          </w:p>
        </w:tc>
        <w:tc>
          <w:tcPr>
            <w:tcW w:w="425" w:type="dxa"/>
          </w:tcPr>
          <w:p w14:paraId="12A84E78" w14:textId="77777777" w:rsidR="00B67D7C" w:rsidRPr="00DE096C" w:rsidRDefault="00B67D7C" w:rsidP="00D45A46">
            <w:pPr>
              <w:jc w:val="both"/>
              <w:rPr>
                <w:bCs/>
                <w:color w:val="002060"/>
                <w:sz w:val="16"/>
                <w:szCs w:val="16"/>
              </w:rPr>
            </w:pPr>
            <w:r w:rsidRPr="00DE096C">
              <w:rPr>
                <w:bCs/>
                <w:color w:val="002060"/>
                <w:sz w:val="16"/>
                <w:szCs w:val="16"/>
              </w:rPr>
              <w:t>29.5</w:t>
            </w:r>
          </w:p>
        </w:tc>
        <w:tc>
          <w:tcPr>
            <w:tcW w:w="426" w:type="dxa"/>
          </w:tcPr>
          <w:p w14:paraId="5DD71002" w14:textId="77777777" w:rsidR="00B67D7C" w:rsidRPr="00DE096C" w:rsidRDefault="00B67D7C" w:rsidP="00D45A46">
            <w:pPr>
              <w:jc w:val="both"/>
              <w:rPr>
                <w:bCs/>
                <w:color w:val="002060"/>
                <w:sz w:val="16"/>
                <w:szCs w:val="16"/>
              </w:rPr>
            </w:pPr>
            <w:r w:rsidRPr="00DE096C">
              <w:rPr>
                <w:bCs/>
                <w:color w:val="002060"/>
                <w:sz w:val="16"/>
                <w:szCs w:val="16"/>
              </w:rPr>
              <w:t>32.2</w:t>
            </w:r>
          </w:p>
        </w:tc>
        <w:tc>
          <w:tcPr>
            <w:tcW w:w="425" w:type="dxa"/>
          </w:tcPr>
          <w:p w14:paraId="1E8E0255" w14:textId="77777777" w:rsidR="00B67D7C" w:rsidRPr="00DE096C" w:rsidRDefault="00B67D7C" w:rsidP="00D45A46">
            <w:pPr>
              <w:jc w:val="both"/>
              <w:rPr>
                <w:bCs/>
                <w:color w:val="002060"/>
                <w:sz w:val="16"/>
                <w:szCs w:val="16"/>
              </w:rPr>
            </w:pPr>
            <w:r w:rsidRPr="00DE096C">
              <w:rPr>
                <w:bCs/>
                <w:color w:val="002060"/>
                <w:sz w:val="16"/>
                <w:szCs w:val="16"/>
              </w:rPr>
              <w:t>32.3</w:t>
            </w:r>
          </w:p>
        </w:tc>
        <w:tc>
          <w:tcPr>
            <w:tcW w:w="439" w:type="dxa"/>
            <w:gridSpan w:val="2"/>
          </w:tcPr>
          <w:p w14:paraId="48FC360B" w14:textId="77777777" w:rsidR="00B67D7C" w:rsidRPr="00DE096C" w:rsidRDefault="00B67D7C" w:rsidP="00D45A46">
            <w:pPr>
              <w:jc w:val="both"/>
              <w:rPr>
                <w:bCs/>
                <w:color w:val="002060"/>
                <w:sz w:val="16"/>
                <w:szCs w:val="16"/>
              </w:rPr>
            </w:pPr>
            <w:r w:rsidRPr="00DE096C">
              <w:rPr>
                <w:bCs/>
                <w:color w:val="002060"/>
                <w:sz w:val="16"/>
                <w:szCs w:val="16"/>
              </w:rPr>
              <w:t>30.8</w:t>
            </w:r>
          </w:p>
        </w:tc>
        <w:tc>
          <w:tcPr>
            <w:tcW w:w="553" w:type="dxa"/>
          </w:tcPr>
          <w:p w14:paraId="0EB2228F" w14:textId="77777777" w:rsidR="00B67D7C" w:rsidRPr="00DE096C" w:rsidRDefault="00B67D7C" w:rsidP="00D45A46">
            <w:pPr>
              <w:jc w:val="both"/>
              <w:rPr>
                <w:bCs/>
                <w:color w:val="002060"/>
                <w:sz w:val="16"/>
                <w:szCs w:val="16"/>
              </w:rPr>
            </w:pPr>
            <w:r w:rsidRPr="00DE096C">
              <w:rPr>
                <w:bCs/>
                <w:color w:val="002060"/>
                <w:sz w:val="16"/>
                <w:szCs w:val="16"/>
              </w:rPr>
              <w:t>33.9</w:t>
            </w:r>
          </w:p>
        </w:tc>
        <w:tc>
          <w:tcPr>
            <w:tcW w:w="567" w:type="dxa"/>
          </w:tcPr>
          <w:p w14:paraId="62E48444" w14:textId="77777777" w:rsidR="00B67D7C" w:rsidRPr="00DE096C" w:rsidRDefault="00B67D7C" w:rsidP="00D45A46">
            <w:pPr>
              <w:jc w:val="both"/>
              <w:rPr>
                <w:bCs/>
                <w:color w:val="002060"/>
                <w:sz w:val="16"/>
                <w:szCs w:val="16"/>
              </w:rPr>
            </w:pPr>
            <w:r w:rsidRPr="00DE096C">
              <w:rPr>
                <w:bCs/>
                <w:color w:val="002060"/>
                <w:sz w:val="16"/>
                <w:szCs w:val="16"/>
              </w:rPr>
              <w:t>312.9</w:t>
            </w:r>
          </w:p>
        </w:tc>
      </w:tr>
      <w:tr w:rsidR="00B67D7C" w:rsidRPr="00DE096C" w14:paraId="3A605B35" w14:textId="77777777" w:rsidTr="00C2024A">
        <w:tc>
          <w:tcPr>
            <w:tcW w:w="1186" w:type="dxa"/>
          </w:tcPr>
          <w:p w14:paraId="3620BD8E" w14:textId="77777777" w:rsidR="00B67D7C" w:rsidRPr="00DE096C" w:rsidRDefault="00B67D7C" w:rsidP="00D45A46">
            <w:pPr>
              <w:jc w:val="both"/>
              <w:rPr>
                <w:bCs/>
                <w:color w:val="002060"/>
                <w:sz w:val="16"/>
                <w:szCs w:val="16"/>
              </w:rPr>
            </w:pPr>
            <w:r w:rsidRPr="00DE096C">
              <w:rPr>
                <w:bCs/>
                <w:color w:val="002060"/>
                <w:sz w:val="16"/>
                <w:szCs w:val="16"/>
              </w:rPr>
              <w:t>Сестрорецкий</w:t>
            </w:r>
          </w:p>
        </w:tc>
        <w:tc>
          <w:tcPr>
            <w:tcW w:w="374" w:type="dxa"/>
          </w:tcPr>
          <w:p w14:paraId="2114C4BC" w14:textId="77777777" w:rsidR="00B67D7C" w:rsidRPr="00DE096C" w:rsidRDefault="00B67D7C" w:rsidP="00D45A46">
            <w:pPr>
              <w:jc w:val="both"/>
              <w:rPr>
                <w:bCs/>
                <w:color w:val="002060"/>
                <w:sz w:val="16"/>
                <w:szCs w:val="16"/>
              </w:rPr>
            </w:pPr>
            <w:r w:rsidRPr="00DE096C">
              <w:rPr>
                <w:bCs/>
                <w:color w:val="002060"/>
                <w:sz w:val="16"/>
                <w:szCs w:val="16"/>
              </w:rPr>
              <w:t>3.2</w:t>
            </w:r>
          </w:p>
        </w:tc>
        <w:tc>
          <w:tcPr>
            <w:tcW w:w="425" w:type="dxa"/>
          </w:tcPr>
          <w:p w14:paraId="34CC1319" w14:textId="77777777" w:rsidR="00B67D7C" w:rsidRPr="00DE096C" w:rsidRDefault="00B67D7C" w:rsidP="00D45A46">
            <w:pPr>
              <w:jc w:val="both"/>
              <w:rPr>
                <w:bCs/>
                <w:color w:val="002060"/>
                <w:sz w:val="16"/>
                <w:szCs w:val="16"/>
              </w:rPr>
            </w:pPr>
            <w:r w:rsidRPr="00DE096C">
              <w:rPr>
                <w:bCs/>
                <w:color w:val="002060"/>
                <w:sz w:val="16"/>
                <w:szCs w:val="16"/>
              </w:rPr>
              <w:t>3.6</w:t>
            </w:r>
          </w:p>
        </w:tc>
        <w:tc>
          <w:tcPr>
            <w:tcW w:w="425" w:type="dxa"/>
          </w:tcPr>
          <w:p w14:paraId="140585C5" w14:textId="77777777" w:rsidR="00B67D7C" w:rsidRPr="00DE096C" w:rsidRDefault="00B67D7C" w:rsidP="00D45A46">
            <w:pPr>
              <w:jc w:val="both"/>
              <w:rPr>
                <w:bCs/>
                <w:color w:val="002060"/>
                <w:sz w:val="16"/>
                <w:szCs w:val="16"/>
              </w:rPr>
            </w:pPr>
            <w:r w:rsidRPr="00DE096C">
              <w:rPr>
                <w:bCs/>
                <w:color w:val="002060"/>
                <w:sz w:val="16"/>
                <w:szCs w:val="16"/>
              </w:rPr>
              <w:t>3.3</w:t>
            </w:r>
          </w:p>
        </w:tc>
        <w:tc>
          <w:tcPr>
            <w:tcW w:w="425" w:type="dxa"/>
          </w:tcPr>
          <w:p w14:paraId="32E98852" w14:textId="77777777" w:rsidR="00B67D7C" w:rsidRPr="00DE096C" w:rsidRDefault="00B67D7C" w:rsidP="00D45A46">
            <w:pPr>
              <w:jc w:val="both"/>
              <w:rPr>
                <w:bCs/>
                <w:color w:val="002060"/>
                <w:sz w:val="16"/>
                <w:szCs w:val="16"/>
              </w:rPr>
            </w:pPr>
            <w:r w:rsidRPr="00DE096C">
              <w:rPr>
                <w:bCs/>
                <w:color w:val="002060"/>
                <w:sz w:val="16"/>
                <w:szCs w:val="16"/>
              </w:rPr>
              <w:t>3.5</w:t>
            </w:r>
          </w:p>
        </w:tc>
        <w:tc>
          <w:tcPr>
            <w:tcW w:w="426" w:type="dxa"/>
          </w:tcPr>
          <w:p w14:paraId="441F7CA4" w14:textId="77777777" w:rsidR="00B67D7C" w:rsidRPr="00DE096C" w:rsidRDefault="00B67D7C" w:rsidP="00D45A46">
            <w:pPr>
              <w:jc w:val="both"/>
              <w:rPr>
                <w:bCs/>
                <w:color w:val="002060"/>
                <w:sz w:val="16"/>
                <w:szCs w:val="16"/>
              </w:rPr>
            </w:pPr>
            <w:r w:rsidRPr="00DE096C">
              <w:rPr>
                <w:bCs/>
                <w:color w:val="002060"/>
                <w:sz w:val="16"/>
                <w:szCs w:val="16"/>
              </w:rPr>
              <w:t>5.3</w:t>
            </w:r>
          </w:p>
        </w:tc>
        <w:tc>
          <w:tcPr>
            <w:tcW w:w="425" w:type="dxa"/>
          </w:tcPr>
          <w:p w14:paraId="06FD8B07" w14:textId="77777777" w:rsidR="00B67D7C" w:rsidRPr="00DE096C" w:rsidRDefault="00B67D7C" w:rsidP="00D45A46">
            <w:pPr>
              <w:jc w:val="both"/>
              <w:rPr>
                <w:bCs/>
                <w:color w:val="002060"/>
                <w:sz w:val="16"/>
                <w:szCs w:val="16"/>
              </w:rPr>
            </w:pPr>
            <w:r w:rsidRPr="00DE096C">
              <w:rPr>
                <w:bCs/>
                <w:color w:val="002060"/>
                <w:sz w:val="16"/>
                <w:szCs w:val="16"/>
              </w:rPr>
              <w:t>5.7</w:t>
            </w:r>
          </w:p>
        </w:tc>
        <w:tc>
          <w:tcPr>
            <w:tcW w:w="425" w:type="dxa"/>
          </w:tcPr>
          <w:p w14:paraId="47CB5127" w14:textId="77777777" w:rsidR="00B67D7C" w:rsidRPr="00DE096C" w:rsidRDefault="00B67D7C" w:rsidP="00D45A46">
            <w:pPr>
              <w:jc w:val="both"/>
              <w:rPr>
                <w:bCs/>
                <w:color w:val="002060"/>
                <w:sz w:val="16"/>
                <w:szCs w:val="16"/>
              </w:rPr>
            </w:pPr>
            <w:r w:rsidRPr="00DE096C">
              <w:rPr>
                <w:bCs/>
                <w:color w:val="002060"/>
                <w:sz w:val="16"/>
                <w:szCs w:val="16"/>
              </w:rPr>
              <w:t>6.9</w:t>
            </w:r>
          </w:p>
        </w:tc>
        <w:tc>
          <w:tcPr>
            <w:tcW w:w="425" w:type="dxa"/>
          </w:tcPr>
          <w:p w14:paraId="5DF51531" w14:textId="77777777" w:rsidR="00B67D7C" w:rsidRPr="00DE096C" w:rsidRDefault="00B67D7C" w:rsidP="00D45A46">
            <w:pPr>
              <w:jc w:val="both"/>
              <w:rPr>
                <w:bCs/>
                <w:color w:val="002060"/>
                <w:sz w:val="16"/>
                <w:szCs w:val="16"/>
              </w:rPr>
            </w:pPr>
            <w:r w:rsidRPr="00DE096C">
              <w:rPr>
                <w:bCs/>
                <w:color w:val="002060"/>
                <w:sz w:val="16"/>
                <w:szCs w:val="16"/>
              </w:rPr>
              <w:t>8.0</w:t>
            </w:r>
          </w:p>
        </w:tc>
        <w:tc>
          <w:tcPr>
            <w:tcW w:w="426" w:type="dxa"/>
          </w:tcPr>
          <w:p w14:paraId="1E3AD258" w14:textId="77777777" w:rsidR="00B67D7C" w:rsidRPr="00DE096C" w:rsidRDefault="00B67D7C" w:rsidP="00D45A46">
            <w:pPr>
              <w:jc w:val="both"/>
              <w:rPr>
                <w:bCs/>
                <w:color w:val="002060"/>
                <w:sz w:val="16"/>
                <w:szCs w:val="16"/>
              </w:rPr>
            </w:pPr>
            <w:r w:rsidRPr="00DE096C">
              <w:rPr>
                <w:bCs/>
                <w:color w:val="002060"/>
                <w:sz w:val="16"/>
                <w:szCs w:val="16"/>
              </w:rPr>
              <w:t>7.4</w:t>
            </w:r>
          </w:p>
        </w:tc>
        <w:tc>
          <w:tcPr>
            <w:tcW w:w="425" w:type="dxa"/>
          </w:tcPr>
          <w:p w14:paraId="51A42FC4" w14:textId="77777777" w:rsidR="00B67D7C" w:rsidRPr="00DE096C" w:rsidRDefault="00B67D7C" w:rsidP="00D45A46">
            <w:pPr>
              <w:jc w:val="both"/>
              <w:rPr>
                <w:bCs/>
                <w:color w:val="002060"/>
                <w:sz w:val="16"/>
                <w:szCs w:val="16"/>
              </w:rPr>
            </w:pPr>
            <w:r w:rsidRPr="00DE096C">
              <w:rPr>
                <w:bCs/>
                <w:color w:val="002060"/>
                <w:sz w:val="16"/>
                <w:szCs w:val="16"/>
              </w:rPr>
              <w:t>8.3</w:t>
            </w:r>
          </w:p>
        </w:tc>
        <w:tc>
          <w:tcPr>
            <w:tcW w:w="439" w:type="dxa"/>
            <w:gridSpan w:val="2"/>
          </w:tcPr>
          <w:p w14:paraId="22C95C14" w14:textId="77777777" w:rsidR="00B67D7C" w:rsidRPr="00DE096C" w:rsidRDefault="00B67D7C" w:rsidP="00D45A46">
            <w:pPr>
              <w:jc w:val="both"/>
              <w:rPr>
                <w:bCs/>
                <w:color w:val="002060"/>
                <w:sz w:val="16"/>
                <w:szCs w:val="16"/>
              </w:rPr>
            </w:pPr>
            <w:r w:rsidRPr="00DE096C">
              <w:rPr>
                <w:bCs/>
                <w:color w:val="002060"/>
                <w:sz w:val="16"/>
                <w:szCs w:val="16"/>
              </w:rPr>
              <w:t>9.3</w:t>
            </w:r>
          </w:p>
        </w:tc>
        <w:tc>
          <w:tcPr>
            <w:tcW w:w="553" w:type="dxa"/>
          </w:tcPr>
          <w:p w14:paraId="21DE37FF" w14:textId="77777777" w:rsidR="00B67D7C" w:rsidRPr="00DE096C" w:rsidRDefault="00B67D7C" w:rsidP="00D45A46">
            <w:pPr>
              <w:jc w:val="both"/>
              <w:rPr>
                <w:bCs/>
                <w:color w:val="002060"/>
                <w:sz w:val="16"/>
                <w:szCs w:val="16"/>
              </w:rPr>
            </w:pPr>
            <w:r w:rsidRPr="00DE096C">
              <w:rPr>
                <w:bCs/>
                <w:color w:val="002060"/>
                <w:sz w:val="16"/>
                <w:szCs w:val="16"/>
              </w:rPr>
              <w:t>9.5</w:t>
            </w:r>
          </w:p>
        </w:tc>
        <w:tc>
          <w:tcPr>
            <w:tcW w:w="567" w:type="dxa"/>
          </w:tcPr>
          <w:p w14:paraId="6516E51C" w14:textId="77777777" w:rsidR="00B67D7C" w:rsidRPr="00DE096C" w:rsidRDefault="00B67D7C" w:rsidP="00D45A46">
            <w:pPr>
              <w:jc w:val="both"/>
              <w:rPr>
                <w:bCs/>
                <w:color w:val="002060"/>
                <w:sz w:val="16"/>
                <w:szCs w:val="16"/>
              </w:rPr>
            </w:pPr>
            <w:r w:rsidRPr="00DE096C">
              <w:rPr>
                <w:bCs/>
                <w:color w:val="002060"/>
                <w:sz w:val="16"/>
                <w:szCs w:val="16"/>
              </w:rPr>
              <w:t>73.9</w:t>
            </w:r>
          </w:p>
        </w:tc>
      </w:tr>
      <w:tr w:rsidR="00B67D7C" w:rsidRPr="00DE096C" w14:paraId="1C4CE16B" w14:textId="77777777" w:rsidTr="00C2024A">
        <w:tc>
          <w:tcPr>
            <w:tcW w:w="1186" w:type="dxa"/>
          </w:tcPr>
          <w:p w14:paraId="1D97D9A5" w14:textId="77777777" w:rsidR="00B67D7C" w:rsidRPr="00DE096C" w:rsidRDefault="00B67D7C" w:rsidP="00D45A46">
            <w:pPr>
              <w:jc w:val="both"/>
              <w:rPr>
                <w:bCs/>
                <w:color w:val="002060"/>
                <w:sz w:val="16"/>
                <w:szCs w:val="16"/>
              </w:rPr>
            </w:pPr>
            <w:r w:rsidRPr="00DE096C">
              <w:rPr>
                <w:bCs/>
                <w:color w:val="002060"/>
                <w:sz w:val="16"/>
                <w:szCs w:val="16"/>
              </w:rPr>
              <w:t>Итого</w:t>
            </w:r>
          </w:p>
        </w:tc>
        <w:tc>
          <w:tcPr>
            <w:tcW w:w="374" w:type="dxa"/>
          </w:tcPr>
          <w:p w14:paraId="65855D2A" w14:textId="77777777" w:rsidR="00B67D7C" w:rsidRPr="00DE096C" w:rsidRDefault="00B67D7C" w:rsidP="00D45A46">
            <w:pPr>
              <w:jc w:val="both"/>
              <w:rPr>
                <w:bCs/>
                <w:color w:val="002060"/>
                <w:sz w:val="16"/>
                <w:szCs w:val="16"/>
              </w:rPr>
            </w:pPr>
            <w:r w:rsidRPr="00DE096C">
              <w:rPr>
                <w:bCs/>
                <w:color w:val="002060"/>
                <w:sz w:val="16"/>
                <w:szCs w:val="16"/>
              </w:rPr>
              <w:t>34.8</w:t>
            </w:r>
          </w:p>
        </w:tc>
        <w:tc>
          <w:tcPr>
            <w:tcW w:w="425" w:type="dxa"/>
          </w:tcPr>
          <w:p w14:paraId="48540660" w14:textId="77777777" w:rsidR="00B67D7C" w:rsidRPr="00DE096C" w:rsidRDefault="00B67D7C" w:rsidP="00D45A46">
            <w:pPr>
              <w:jc w:val="both"/>
              <w:rPr>
                <w:bCs/>
                <w:color w:val="002060"/>
                <w:sz w:val="16"/>
                <w:szCs w:val="16"/>
              </w:rPr>
            </w:pPr>
            <w:r w:rsidRPr="00DE096C">
              <w:rPr>
                <w:bCs/>
                <w:color w:val="002060"/>
                <w:sz w:val="16"/>
                <w:szCs w:val="16"/>
              </w:rPr>
              <w:t>34.8</w:t>
            </w:r>
          </w:p>
        </w:tc>
        <w:tc>
          <w:tcPr>
            <w:tcW w:w="425" w:type="dxa"/>
          </w:tcPr>
          <w:p w14:paraId="5A855CDA" w14:textId="77777777" w:rsidR="00B67D7C" w:rsidRPr="00DE096C" w:rsidRDefault="00B67D7C" w:rsidP="00D45A46">
            <w:pPr>
              <w:jc w:val="both"/>
              <w:rPr>
                <w:bCs/>
                <w:color w:val="002060"/>
                <w:sz w:val="16"/>
                <w:szCs w:val="16"/>
              </w:rPr>
            </w:pPr>
            <w:r w:rsidRPr="00DE096C">
              <w:rPr>
                <w:bCs/>
                <w:color w:val="002060"/>
                <w:sz w:val="16"/>
                <w:szCs w:val="16"/>
              </w:rPr>
              <w:t>40.0</w:t>
            </w:r>
          </w:p>
        </w:tc>
        <w:tc>
          <w:tcPr>
            <w:tcW w:w="425" w:type="dxa"/>
          </w:tcPr>
          <w:p w14:paraId="4947F814" w14:textId="77777777" w:rsidR="00B67D7C" w:rsidRPr="00DE096C" w:rsidRDefault="00B67D7C" w:rsidP="00D45A46">
            <w:pPr>
              <w:jc w:val="both"/>
              <w:rPr>
                <w:bCs/>
                <w:color w:val="002060"/>
                <w:sz w:val="16"/>
                <w:szCs w:val="16"/>
              </w:rPr>
            </w:pPr>
            <w:r w:rsidRPr="00DE096C">
              <w:rPr>
                <w:bCs/>
                <w:color w:val="002060"/>
                <w:sz w:val="16"/>
                <w:szCs w:val="16"/>
              </w:rPr>
              <w:t>51.3</w:t>
            </w:r>
          </w:p>
        </w:tc>
        <w:tc>
          <w:tcPr>
            <w:tcW w:w="426" w:type="dxa"/>
          </w:tcPr>
          <w:p w14:paraId="6904EBC8" w14:textId="77777777" w:rsidR="00B67D7C" w:rsidRPr="00DE096C" w:rsidRDefault="00B67D7C" w:rsidP="00D45A46">
            <w:pPr>
              <w:jc w:val="both"/>
              <w:rPr>
                <w:bCs/>
                <w:color w:val="002060"/>
                <w:sz w:val="16"/>
                <w:szCs w:val="16"/>
              </w:rPr>
            </w:pPr>
            <w:r w:rsidRPr="00DE096C">
              <w:rPr>
                <w:bCs/>
                <w:color w:val="002060"/>
                <w:sz w:val="16"/>
                <w:szCs w:val="16"/>
              </w:rPr>
              <w:t>54.9</w:t>
            </w:r>
          </w:p>
        </w:tc>
        <w:tc>
          <w:tcPr>
            <w:tcW w:w="425" w:type="dxa"/>
          </w:tcPr>
          <w:p w14:paraId="7CD653A9" w14:textId="77777777" w:rsidR="00B67D7C" w:rsidRPr="00DE096C" w:rsidRDefault="00B67D7C" w:rsidP="00D45A46">
            <w:pPr>
              <w:jc w:val="both"/>
              <w:rPr>
                <w:bCs/>
                <w:color w:val="002060"/>
                <w:sz w:val="16"/>
                <w:szCs w:val="16"/>
              </w:rPr>
            </w:pPr>
            <w:r w:rsidRPr="00DE096C">
              <w:rPr>
                <w:bCs/>
                <w:color w:val="002060"/>
                <w:sz w:val="16"/>
                <w:szCs w:val="16"/>
              </w:rPr>
              <w:t>58.8</w:t>
            </w:r>
          </w:p>
        </w:tc>
        <w:tc>
          <w:tcPr>
            <w:tcW w:w="425" w:type="dxa"/>
          </w:tcPr>
          <w:p w14:paraId="45546BD6" w14:textId="77777777" w:rsidR="00B67D7C" w:rsidRPr="00DE096C" w:rsidRDefault="00B67D7C" w:rsidP="00D45A46">
            <w:pPr>
              <w:jc w:val="both"/>
              <w:rPr>
                <w:bCs/>
                <w:color w:val="002060"/>
                <w:sz w:val="16"/>
                <w:szCs w:val="16"/>
              </w:rPr>
            </w:pPr>
            <w:r w:rsidRPr="00DE096C">
              <w:rPr>
                <w:bCs/>
                <w:color w:val="002060"/>
                <w:sz w:val="16"/>
                <w:szCs w:val="16"/>
              </w:rPr>
              <w:t>68.7</w:t>
            </w:r>
          </w:p>
        </w:tc>
        <w:tc>
          <w:tcPr>
            <w:tcW w:w="425" w:type="dxa"/>
          </w:tcPr>
          <w:p w14:paraId="52B9CAE1" w14:textId="77777777" w:rsidR="00B67D7C" w:rsidRPr="00DE096C" w:rsidRDefault="00B67D7C" w:rsidP="00D45A46">
            <w:pPr>
              <w:jc w:val="both"/>
              <w:rPr>
                <w:bCs/>
                <w:color w:val="002060"/>
                <w:sz w:val="16"/>
                <w:szCs w:val="16"/>
              </w:rPr>
            </w:pPr>
            <w:r w:rsidRPr="00DE096C">
              <w:rPr>
                <w:bCs/>
                <w:color w:val="002060"/>
                <w:sz w:val="16"/>
                <w:szCs w:val="16"/>
              </w:rPr>
              <w:t>71.4</w:t>
            </w:r>
          </w:p>
        </w:tc>
        <w:tc>
          <w:tcPr>
            <w:tcW w:w="426" w:type="dxa"/>
          </w:tcPr>
          <w:p w14:paraId="3CA90749" w14:textId="77777777" w:rsidR="00B67D7C" w:rsidRPr="00DE096C" w:rsidRDefault="00B67D7C" w:rsidP="00D45A46">
            <w:pPr>
              <w:jc w:val="both"/>
              <w:rPr>
                <w:bCs/>
                <w:color w:val="002060"/>
                <w:sz w:val="16"/>
                <w:szCs w:val="16"/>
              </w:rPr>
            </w:pPr>
            <w:r w:rsidRPr="00DE096C">
              <w:rPr>
                <w:bCs/>
                <w:color w:val="002060"/>
                <w:sz w:val="16"/>
                <w:szCs w:val="16"/>
              </w:rPr>
              <w:t>77.1</w:t>
            </w:r>
          </w:p>
        </w:tc>
        <w:tc>
          <w:tcPr>
            <w:tcW w:w="425" w:type="dxa"/>
          </w:tcPr>
          <w:p w14:paraId="3B89446D" w14:textId="77777777" w:rsidR="00B67D7C" w:rsidRPr="00DE096C" w:rsidRDefault="00B67D7C" w:rsidP="00D45A46">
            <w:pPr>
              <w:jc w:val="both"/>
              <w:rPr>
                <w:bCs/>
                <w:color w:val="002060"/>
                <w:sz w:val="16"/>
                <w:szCs w:val="16"/>
              </w:rPr>
            </w:pPr>
            <w:r w:rsidRPr="00DE096C">
              <w:rPr>
                <w:bCs/>
                <w:color w:val="002060"/>
                <w:sz w:val="16"/>
                <w:szCs w:val="16"/>
              </w:rPr>
              <w:t>78.1</w:t>
            </w:r>
          </w:p>
        </w:tc>
        <w:tc>
          <w:tcPr>
            <w:tcW w:w="439" w:type="dxa"/>
            <w:gridSpan w:val="2"/>
          </w:tcPr>
          <w:p w14:paraId="1C12D953" w14:textId="77777777" w:rsidR="00B67D7C" w:rsidRPr="00DE096C" w:rsidRDefault="00B67D7C" w:rsidP="00D45A46">
            <w:pPr>
              <w:jc w:val="both"/>
              <w:rPr>
                <w:bCs/>
                <w:color w:val="002060"/>
                <w:sz w:val="16"/>
                <w:szCs w:val="16"/>
              </w:rPr>
            </w:pPr>
            <w:r w:rsidRPr="00DE096C">
              <w:rPr>
                <w:bCs/>
                <w:color w:val="002060"/>
                <w:sz w:val="16"/>
                <w:szCs w:val="16"/>
              </w:rPr>
              <w:t>80.1</w:t>
            </w:r>
          </w:p>
        </w:tc>
        <w:tc>
          <w:tcPr>
            <w:tcW w:w="553" w:type="dxa"/>
          </w:tcPr>
          <w:p w14:paraId="1A2802D2" w14:textId="77777777" w:rsidR="00B67D7C" w:rsidRPr="00DE096C" w:rsidRDefault="00B67D7C" w:rsidP="00D45A46">
            <w:pPr>
              <w:jc w:val="both"/>
              <w:rPr>
                <w:bCs/>
                <w:color w:val="002060"/>
                <w:sz w:val="16"/>
                <w:szCs w:val="16"/>
              </w:rPr>
            </w:pPr>
            <w:r w:rsidRPr="00DE096C">
              <w:rPr>
                <w:bCs/>
                <w:color w:val="002060"/>
                <w:sz w:val="16"/>
                <w:szCs w:val="16"/>
              </w:rPr>
              <w:t>84.8</w:t>
            </w:r>
          </w:p>
        </w:tc>
        <w:tc>
          <w:tcPr>
            <w:tcW w:w="567" w:type="dxa"/>
          </w:tcPr>
          <w:p w14:paraId="0C00F893" w14:textId="77777777" w:rsidR="00B67D7C" w:rsidRPr="00DE096C" w:rsidRDefault="00B67D7C" w:rsidP="00D45A46">
            <w:pPr>
              <w:jc w:val="both"/>
              <w:rPr>
                <w:bCs/>
                <w:color w:val="002060"/>
                <w:sz w:val="16"/>
                <w:szCs w:val="16"/>
              </w:rPr>
            </w:pPr>
            <w:r w:rsidRPr="00DE096C">
              <w:rPr>
                <w:bCs/>
                <w:color w:val="002060"/>
                <w:sz w:val="16"/>
                <w:szCs w:val="16"/>
              </w:rPr>
              <w:t>739.4</w:t>
            </w:r>
          </w:p>
        </w:tc>
      </w:tr>
      <w:tr w:rsidR="00B67D7C" w:rsidRPr="00DE096C" w14:paraId="51DCBC8A" w14:textId="77777777" w:rsidTr="00C2024A">
        <w:tc>
          <w:tcPr>
            <w:tcW w:w="1186" w:type="dxa"/>
          </w:tcPr>
          <w:p w14:paraId="4C707A52" w14:textId="77777777" w:rsidR="00B67D7C" w:rsidRPr="00DE096C" w:rsidRDefault="00B67D7C" w:rsidP="00D45A46">
            <w:pPr>
              <w:jc w:val="both"/>
              <w:rPr>
                <w:bCs/>
                <w:color w:val="002060"/>
                <w:sz w:val="16"/>
                <w:szCs w:val="16"/>
              </w:rPr>
            </w:pPr>
            <w:r w:rsidRPr="00DE096C">
              <w:rPr>
                <w:bCs/>
                <w:color w:val="002060"/>
                <w:sz w:val="16"/>
                <w:szCs w:val="16"/>
              </w:rPr>
              <w:t xml:space="preserve">1916 год </w:t>
            </w:r>
          </w:p>
        </w:tc>
        <w:tc>
          <w:tcPr>
            <w:tcW w:w="374" w:type="dxa"/>
          </w:tcPr>
          <w:p w14:paraId="12117B53" w14:textId="77777777" w:rsidR="00B67D7C" w:rsidRPr="00DE096C" w:rsidRDefault="00B67D7C" w:rsidP="00D45A46">
            <w:pPr>
              <w:jc w:val="both"/>
              <w:rPr>
                <w:bCs/>
                <w:color w:val="002060"/>
                <w:sz w:val="16"/>
                <w:szCs w:val="16"/>
              </w:rPr>
            </w:pPr>
            <w:r w:rsidRPr="00DE096C">
              <w:rPr>
                <w:bCs/>
                <w:color w:val="002060"/>
                <w:sz w:val="16"/>
                <w:szCs w:val="16"/>
              </w:rPr>
              <w:t> </w:t>
            </w:r>
          </w:p>
        </w:tc>
        <w:tc>
          <w:tcPr>
            <w:tcW w:w="425" w:type="dxa"/>
          </w:tcPr>
          <w:p w14:paraId="43B4E955" w14:textId="77777777" w:rsidR="00B67D7C" w:rsidRPr="00DE096C" w:rsidRDefault="00B67D7C" w:rsidP="00D45A46">
            <w:pPr>
              <w:jc w:val="both"/>
              <w:rPr>
                <w:bCs/>
                <w:color w:val="002060"/>
                <w:sz w:val="16"/>
                <w:szCs w:val="16"/>
              </w:rPr>
            </w:pPr>
            <w:r w:rsidRPr="00DE096C">
              <w:rPr>
                <w:bCs/>
                <w:color w:val="002060"/>
                <w:sz w:val="16"/>
                <w:szCs w:val="16"/>
              </w:rPr>
              <w:t> </w:t>
            </w:r>
          </w:p>
        </w:tc>
        <w:tc>
          <w:tcPr>
            <w:tcW w:w="425" w:type="dxa"/>
          </w:tcPr>
          <w:p w14:paraId="0E6834FA" w14:textId="77777777" w:rsidR="00B67D7C" w:rsidRPr="00DE096C" w:rsidRDefault="00B67D7C" w:rsidP="00D45A46">
            <w:pPr>
              <w:jc w:val="both"/>
              <w:rPr>
                <w:bCs/>
                <w:color w:val="002060"/>
                <w:sz w:val="16"/>
                <w:szCs w:val="16"/>
              </w:rPr>
            </w:pPr>
            <w:r w:rsidRPr="00DE096C">
              <w:rPr>
                <w:bCs/>
                <w:color w:val="002060"/>
                <w:sz w:val="16"/>
                <w:szCs w:val="16"/>
              </w:rPr>
              <w:t> </w:t>
            </w:r>
          </w:p>
        </w:tc>
        <w:tc>
          <w:tcPr>
            <w:tcW w:w="425" w:type="dxa"/>
          </w:tcPr>
          <w:p w14:paraId="4EC51F28" w14:textId="77777777" w:rsidR="00B67D7C" w:rsidRPr="00DE096C" w:rsidRDefault="00B67D7C" w:rsidP="00D45A46">
            <w:pPr>
              <w:jc w:val="both"/>
              <w:rPr>
                <w:bCs/>
                <w:color w:val="002060"/>
                <w:sz w:val="16"/>
                <w:szCs w:val="16"/>
              </w:rPr>
            </w:pPr>
            <w:r w:rsidRPr="00DE096C">
              <w:rPr>
                <w:bCs/>
                <w:color w:val="002060"/>
                <w:sz w:val="16"/>
                <w:szCs w:val="16"/>
              </w:rPr>
              <w:t> </w:t>
            </w:r>
          </w:p>
        </w:tc>
        <w:tc>
          <w:tcPr>
            <w:tcW w:w="426" w:type="dxa"/>
          </w:tcPr>
          <w:p w14:paraId="7B490E2E" w14:textId="77777777" w:rsidR="00B67D7C" w:rsidRPr="00DE096C" w:rsidRDefault="00B67D7C" w:rsidP="00D45A46">
            <w:pPr>
              <w:jc w:val="both"/>
              <w:rPr>
                <w:bCs/>
                <w:color w:val="002060"/>
                <w:sz w:val="16"/>
                <w:szCs w:val="16"/>
              </w:rPr>
            </w:pPr>
            <w:r w:rsidRPr="00DE096C">
              <w:rPr>
                <w:bCs/>
                <w:color w:val="002060"/>
                <w:sz w:val="16"/>
                <w:szCs w:val="16"/>
              </w:rPr>
              <w:t> </w:t>
            </w:r>
          </w:p>
        </w:tc>
        <w:tc>
          <w:tcPr>
            <w:tcW w:w="425" w:type="dxa"/>
          </w:tcPr>
          <w:p w14:paraId="3CB1F3F2" w14:textId="77777777" w:rsidR="00B67D7C" w:rsidRPr="00DE096C" w:rsidRDefault="00B67D7C" w:rsidP="00D45A46">
            <w:pPr>
              <w:jc w:val="both"/>
              <w:rPr>
                <w:bCs/>
                <w:color w:val="002060"/>
                <w:sz w:val="16"/>
                <w:szCs w:val="16"/>
              </w:rPr>
            </w:pPr>
            <w:r w:rsidRPr="00DE096C">
              <w:rPr>
                <w:bCs/>
                <w:color w:val="002060"/>
                <w:sz w:val="16"/>
                <w:szCs w:val="16"/>
              </w:rPr>
              <w:t> </w:t>
            </w:r>
          </w:p>
        </w:tc>
        <w:tc>
          <w:tcPr>
            <w:tcW w:w="425" w:type="dxa"/>
          </w:tcPr>
          <w:p w14:paraId="11E860DC" w14:textId="77777777" w:rsidR="00B67D7C" w:rsidRPr="00DE096C" w:rsidRDefault="00B67D7C" w:rsidP="00D45A46">
            <w:pPr>
              <w:jc w:val="both"/>
              <w:rPr>
                <w:bCs/>
                <w:color w:val="002060"/>
                <w:sz w:val="16"/>
                <w:szCs w:val="16"/>
              </w:rPr>
            </w:pPr>
            <w:r w:rsidRPr="00DE096C">
              <w:rPr>
                <w:bCs/>
                <w:color w:val="002060"/>
                <w:sz w:val="16"/>
                <w:szCs w:val="16"/>
              </w:rPr>
              <w:t> </w:t>
            </w:r>
          </w:p>
        </w:tc>
        <w:tc>
          <w:tcPr>
            <w:tcW w:w="425" w:type="dxa"/>
          </w:tcPr>
          <w:p w14:paraId="1AD89883" w14:textId="77777777" w:rsidR="00B67D7C" w:rsidRPr="00DE096C" w:rsidRDefault="00B67D7C" w:rsidP="00D45A46">
            <w:pPr>
              <w:jc w:val="both"/>
              <w:rPr>
                <w:bCs/>
                <w:color w:val="002060"/>
                <w:sz w:val="16"/>
                <w:szCs w:val="16"/>
              </w:rPr>
            </w:pPr>
            <w:r w:rsidRPr="00DE096C">
              <w:rPr>
                <w:bCs/>
                <w:color w:val="002060"/>
                <w:sz w:val="16"/>
                <w:szCs w:val="16"/>
              </w:rPr>
              <w:t> </w:t>
            </w:r>
          </w:p>
        </w:tc>
        <w:tc>
          <w:tcPr>
            <w:tcW w:w="426" w:type="dxa"/>
          </w:tcPr>
          <w:p w14:paraId="025FA319" w14:textId="77777777" w:rsidR="00B67D7C" w:rsidRPr="00DE096C" w:rsidRDefault="00B67D7C" w:rsidP="00D45A46">
            <w:pPr>
              <w:jc w:val="both"/>
              <w:rPr>
                <w:bCs/>
                <w:color w:val="002060"/>
                <w:sz w:val="16"/>
                <w:szCs w:val="16"/>
              </w:rPr>
            </w:pPr>
            <w:r w:rsidRPr="00DE096C">
              <w:rPr>
                <w:bCs/>
                <w:color w:val="002060"/>
                <w:sz w:val="16"/>
                <w:szCs w:val="16"/>
              </w:rPr>
              <w:t> </w:t>
            </w:r>
          </w:p>
        </w:tc>
        <w:tc>
          <w:tcPr>
            <w:tcW w:w="425" w:type="dxa"/>
          </w:tcPr>
          <w:p w14:paraId="2A00B0D4" w14:textId="77777777" w:rsidR="00B67D7C" w:rsidRPr="00DE096C" w:rsidRDefault="00B67D7C" w:rsidP="00D45A46">
            <w:pPr>
              <w:jc w:val="both"/>
              <w:rPr>
                <w:bCs/>
                <w:color w:val="002060"/>
                <w:sz w:val="16"/>
                <w:szCs w:val="16"/>
              </w:rPr>
            </w:pPr>
            <w:r w:rsidRPr="00DE096C">
              <w:rPr>
                <w:bCs/>
                <w:color w:val="002060"/>
                <w:sz w:val="16"/>
                <w:szCs w:val="16"/>
              </w:rPr>
              <w:t> </w:t>
            </w:r>
          </w:p>
        </w:tc>
        <w:tc>
          <w:tcPr>
            <w:tcW w:w="432" w:type="dxa"/>
            <w:gridSpan w:val="2"/>
          </w:tcPr>
          <w:p w14:paraId="778C7813" w14:textId="77777777" w:rsidR="00B67D7C" w:rsidRPr="00DE096C" w:rsidRDefault="00B67D7C" w:rsidP="00D45A46">
            <w:pPr>
              <w:jc w:val="both"/>
              <w:rPr>
                <w:bCs/>
                <w:color w:val="002060"/>
                <w:sz w:val="16"/>
                <w:szCs w:val="16"/>
              </w:rPr>
            </w:pPr>
            <w:r w:rsidRPr="00DE096C">
              <w:rPr>
                <w:bCs/>
                <w:color w:val="002060"/>
                <w:sz w:val="16"/>
                <w:szCs w:val="16"/>
              </w:rPr>
              <w:t> </w:t>
            </w:r>
          </w:p>
        </w:tc>
        <w:tc>
          <w:tcPr>
            <w:tcW w:w="560" w:type="dxa"/>
          </w:tcPr>
          <w:p w14:paraId="62E7778C" w14:textId="77777777" w:rsidR="00B67D7C" w:rsidRPr="00DE096C" w:rsidRDefault="00B67D7C" w:rsidP="00D45A46">
            <w:pPr>
              <w:jc w:val="both"/>
              <w:rPr>
                <w:bCs/>
                <w:color w:val="002060"/>
                <w:sz w:val="16"/>
                <w:szCs w:val="16"/>
              </w:rPr>
            </w:pPr>
            <w:r w:rsidRPr="00DE096C">
              <w:rPr>
                <w:bCs/>
                <w:color w:val="002060"/>
                <w:sz w:val="16"/>
                <w:szCs w:val="16"/>
              </w:rPr>
              <w:t> </w:t>
            </w:r>
          </w:p>
        </w:tc>
        <w:tc>
          <w:tcPr>
            <w:tcW w:w="567" w:type="dxa"/>
          </w:tcPr>
          <w:p w14:paraId="64E21F6E" w14:textId="77777777" w:rsidR="00B67D7C" w:rsidRPr="00DE096C" w:rsidRDefault="00B67D7C" w:rsidP="00D45A46">
            <w:pPr>
              <w:jc w:val="both"/>
              <w:rPr>
                <w:bCs/>
                <w:color w:val="002060"/>
                <w:sz w:val="16"/>
                <w:szCs w:val="16"/>
              </w:rPr>
            </w:pPr>
            <w:r w:rsidRPr="00DE096C">
              <w:rPr>
                <w:bCs/>
                <w:color w:val="002060"/>
                <w:sz w:val="16"/>
                <w:szCs w:val="16"/>
              </w:rPr>
              <w:t> </w:t>
            </w:r>
          </w:p>
        </w:tc>
      </w:tr>
      <w:tr w:rsidR="00B67D7C" w:rsidRPr="00DE096C" w14:paraId="177963F9" w14:textId="77777777" w:rsidTr="00C2024A">
        <w:tc>
          <w:tcPr>
            <w:tcW w:w="1186" w:type="dxa"/>
          </w:tcPr>
          <w:p w14:paraId="1C39E475" w14:textId="77777777" w:rsidR="00B67D7C" w:rsidRPr="00DE096C" w:rsidRDefault="00B67D7C" w:rsidP="00D45A46">
            <w:pPr>
              <w:jc w:val="both"/>
              <w:rPr>
                <w:bCs/>
                <w:color w:val="002060"/>
                <w:sz w:val="16"/>
                <w:szCs w:val="16"/>
              </w:rPr>
            </w:pPr>
            <w:r w:rsidRPr="00DE096C">
              <w:rPr>
                <w:bCs/>
                <w:color w:val="002060"/>
                <w:sz w:val="16"/>
                <w:szCs w:val="16"/>
              </w:rPr>
              <w:t>Тульский</w:t>
            </w:r>
          </w:p>
        </w:tc>
        <w:tc>
          <w:tcPr>
            <w:tcW w:w="374" w:type="dxa"/>
          </w:tcPr>
          <w:p w14:paraId="73FE2CAD" w14:textId="77777777" w:rsidR="00B67D7C" w:rsidRPr="00DE096C" w:rsidRDefault="00B67D7C" w:rsidP="00D45A46">
            <w:pPr>
              <w:jc w:val="both"/>
              <w:rPr>
                <w:bCs/>
                <w:color w:val="002060"/>
                <w:sz w:val="16"/>
                <w:szCs w:val="16"/>
              </w:rPr>
            </w:pPr>
            <w:r w:rsidRPr="00DE096C">
              <w:rPr>
                <w:bCs/>
                <w:color w:val="002060"/>
                <w:sz w:val="16"/>
                <w:szCs w:val="16"/>
              </w:rPr>
              <w:t>43.2</w:t>
            </w:r>
          </w:p>
        </w:tc>
        <w:tc>
          <w:tcPr>
            <w:tcW w:w="425" w:type="dxa"/>
          </w:tcPr>
          <w:p w14:paraId="7904D052" w14:textId="77777777" w:rsidR="00B67D7C" w:rsidRPr="00DE096C" w:rsidRDefault="00B67D7C" w:rsidP="00D45A46">
            <w:pPr>
              <w:jc w:val="both"/>
              <w:rPr>
                <w:bCs/>
                <w:color w:val="002060"/>
                <w:sz w:val="16"/>
                <w:szCs w:val="16"/>
              </w:rPr>
            </w:pPr>
            <w:r w:rsidRPr="00DE096C">
              <w:rPr>
                <w:bCs/>
                <w:color w:val="002060"/>
                <w:sz w:val="16"/>
                <w:szCs w:val="16"/>
              </w:rPr>
              <w:t>45.6</w:t>
            </w:r>
          </w:p>
        </w:tc>
        <w:tc>
          <w:tcPr>
            <w:tcW w:w="425" w:type="dxa"/>
          </w:tcPr>
          <w:p w14:paraId="48B8D426" w14:textId="77777777" w:rsidR="00B67D7C" w:rsidRPr="00DE096C" w:rsidRDefault="00B67D7C" w:rsidP="00D45A46">
            <w:pPr>
              <w:jc w:val="both"/>
              <w:rPr>
                <w:bCs/>
                <w:color w:val="002060"/>
                <w:sz w:val="16"/>
                <w:szCs w:val="16"/>
              </w:rPr>
            </w:pPr>
            <w:r w:rsidRPr="00DE096C">
              <w:rPr>
                <w:bCs/>
                <w:color w:val="002060"/>
                <w:sz w:val="16"/>
                <w:szCs w:val="16"/>
              </w:rPr>
              <w:t>52.0</w:t>
            </w:r>
          </w:p>
        </w:tc>
        <w:tc>
          <w:tcPr>
            <w:tcW w:w="425" w:type="dxa"/>
          </w:tcPr>
          <w:p w14:paraId="75AF811B" w14:textId="77777777" w:rsidR="00B67D7C" w:rsidRPr="00DE096C" w:rsidRDefault="00B67D7C" w:rsidP="00D45A46">
            <w:pPr>
              <w:jc w:val="both"/>
              <w:rPr>
                <w:bCs/>
                <w:color w:val="002060"/>
                <w:sz w:val="16"/>
                <w:szCs w:val="16"/>
              </w:rPr>
            </w:pPr>
            <w:r w:rsidRPr="00DE096C">
              <w:rPr>
                <w:bCs/>
                <w:color w:val="002060"/>
                <w:sz w:val="16"/>
                <w:szCs w:val="16"/>
              </w:rPr>
              <w:t>52.0</w:t>
            </w:r>
          </w:p>
        </w:tc>
        <w:tc>
          <w:tcPr>
            <w:tcW w:w="426" w:type="dxa"/>
          </w:tcPr>
          <w:p w14:paraId="68F8D7B3" w14:textId="77777777" w:rsidR="00B67D7C" w:rsidRPr="00DE096C" w:rsidRDefault="00B67D7C" w:rsidP="00D45A46">
            <w:pPr>
              <w:jc w:val="both"/>
              <w:rPr>
                <w:bCs/>
                <w:color w:val="002060"/>
                <w:sz w:val="16"/>
                <w:szCs w:val="16"/>
              </w:rPr>
            </w:pPr>
            <w:r w:rsidRPr="00DE096C">
              <w:rPr>
                <w:bCs/>
                <w:color w:val="002060"/>
                <w:sz w:val="16"/>
                <w:szCs w:val="16"/>
              </w:rPr>
              <w:t>52.0</w:t>
            </w:r>
          </w:p>
        </w:tc>
        <w:tc>
          <w:tcPr>
            <w:tcW w:w="425" w:type="dxa"/>
          </w:tcPr>
          <w:p w14:paraId="2D77E7A3" w14:textId="77777777" w:rsidR="00B67D7C" w:rsidRPr="00DE096C" w:rsidRDefault="00B67D7C" w:rsidP="00D45A46">
            <w:pPr>
              <w:jc w:val="both"/>
              <w:rPr>
                <w:bCs/>
                <w:color w:val="002060"/>
                <w:sz w:val="16"/>
                <w:szCs w:val="16"/>
              </w:rPr>
            </w:pPr>
            <w:r w:rsidRPr="00DE096C">
              <w:rPr>
                <w:bCs/>
                <w:color w:val="002060"/>
                <w:sz w:val="16"/>
                <w:szCs w:val="16"/>
              </w:rPr>
              <w:t>53.0</w:t>
            </w:r>
          </w:p>
        </w:tc>
        <w:tc>
          <w:tcPr>
            <w:tcW w:w="425" w:type="dxa"/>
          </w:tcPr>
          <w:p w14:paraId="6BFE2A7C" w14:textId="77777777" w:rsidR="00B67D7C" w:rsidRPr="00DE096C" w:rsidRDefault="00B67D7C" w:rsidP="00D45A46">
            <w:pPr>
              <w:jc w:val="both"/>
              <w:rPr>
                <w:bCs/>
                <w:color w:val="002060"/>
                <w:sz w:val="16"/>
                <w:szCs w:val="16"/>
              </w:rPr>
            </w:pPr>
            <w:r w:rsidRPr="00DE096C">
              <w:rPr>
                <w:bCs/>
                <w:color w:val="002060"/>
                <w:sz w:val="16"/>
                <w:szCs w:val="16"/>
              </w:rPr>
              <w:t>56.0</w:t>
            </w:r>
          </w:p>
        </w:tc>
        <w:tc>
          <w:tcPr>
            <w:tcW w:w="425" w:type="dxa"/>
          </w:tcPr>
          <w:p w14:paraId="10B0C1D3" w14:textId="77777777" w:rsidR="00B67D7C" w:rsidRPr="00DE096C" w:rsidRDefault="00B67D7C" w:rsidP="00D45A46">
            <w:pPr>
              <w:jc w:val="both"/>
              <w:rPr>
                <w:bCs/>
                <w:color w:val="002060"/>
                <w:sz w:val="16"/>
                <w:szCs w:val="16"/>
              </w:rPr>
            </w:pPr>
            <w:r w:rsidRPr="00DE096C">
              <w:rPr>
                <w:bCs/>
                <w:color w:val="002060"/>
                <w:sz w:val="16"/>
                <w:szCs w:val="16"/>
              </w:rPr>
              <w:t>57.0</w:t>
            </w:r>
          </w:p>
        </w:tc>
        <w:tc>
          <w:tcPr>
            <w:tcW w:w="426" w:type="dxa"/>
          </w:tcPr>
          <w:p w14:paraId="680868FB" w14:textId="77777777" w:rsidR="00B67D7C" w:rsidRPr="00DE096C" w:rsidRDefault="00B67D7C" w:rsidP="00D45A46">
            <w:pPr>
              <w:jc w:val="both"/>
              <w:rPr>
                <w:bCs/>
                <w:color w:val="002060"/>
                <w:sz w:val="16"/>
                <w:szCs w:val="16"/>
              </w:rPr>
            </w:pPr>
            <w:r w:rsidRPr="00DE096C">
              <w:rPr>
                <w:bCs/>
                <w:color w:val="002060"/>
                <w:sz w:val="16"/>
                <w:szCs w:val="16"/>
              </w:rPr>
              <w:t>58.0</w:t>
            </w:r>
          </w:p>
        </w:tc>
        <w:tc>
          <w:tcPr>
            <w:tcW w:w="425" w:type="dxa"/>
          </w:tcPr>
          <w:p w14:paraId="25B06144" w14:textId="77777777" w:rsidR="00B67D7C" w:rsidRPr="00DE096C" w:rsidRDefault="00B67D7C" w:rsidP="00D45A46">
            <w:pPr>
              <w:jc w:val="both"/>
              <w:rPr>
                <w:bCs/>
                <w:color w:val="002060"/>
                <w:sz w:val="16"/>
                <w:szCs w:val="16"/>
              </w:rPr>
            </w:pPr>
            <w:r w:rsidRPr="00DE096C">
              <w:rPr>
                <w:bCs/>
                <w:color w:val="002060"/>
                <w:sz w:val="16"/>
                <w:szCs w:val="16"/>
              </w:rPr>
              <w:t>59.0</w:t>
            </w:r>
          </w:p>
        </w:tc>
        <w:tc>
          <w:tcPr>
            <w:tcW w:w="432" w:type="dxa"/>
            <w:gridSpan w:val="2"/>
          </w:tcPr>
          <w:p w14:paraId="7A903FBF" w14:textId="77777777" w:rsidR="00B67D7C" w:rsidRPr="00DE096C" w:rsidRDefault="00B67D7C" w:rsidP="00D45A46">
            <w:pPr>
              <w:jc w:val="both"/>
              <w:rPr>
                <w:bCs/>
                <w:color w:val="002060"/>
                <w:sz w:val="16"/>
                <w:szCs w:val="16"/>
              </w:rPr>
            </w:pPr>
            <w:r w:rsidRPr="00DE096C">
              <w:rPr>
                <w:bCs/>
                <w:color w:val="002060"/>
                <w:sz w:val="16"/>
                <w:szCs w:val="16"/>
              </w:rPr>
              <w:t>60.0</w:t>
            </w:r>
          </w:p>
        </w:tc>
        <w:tc>
          <w:tcPr>
            <w:tcW w:w="560" w:type="dxa"/>
          </w:tcPr>
          <w:p w14:paraId="0AEA7E9F" w14:textId="77777777" w:rsidR="00B67D7C" w:rsidRPr="00DE096C" w:rsidRDefault="00B67D7C" w:rsidP="00D45A46">
            <w:pPr>
              <w:jc w:val="both"/>
              <w:rPr>
                <w:bCs/>
                <w:color w:val="002060"/>
                <w:sz w:val="16"/>
                <w:szCs w:val="16"/>
              </w:rPr>
            </w:pPr>
            <w:r w:rsidRPr="00DE096C">
              <w:rPr>
                <w:bCs/>
                <w:color w:val="002060"/>
                <w:sz w:val="16"/>
                <w:szCs w:val="16"/>
              </w:rPr>
              <w:t>61.0</w:t>
            </w:r>
          </w:p>
        </w:tc>
        <w:tc>
          <w:tcPr>
            <w:tcW w:w="567" w:type="dxa"/>
          </w:tcPr>
          <w:p w14:paraId="61085388" w14:textId="77777777" w:rsidR="00B67D7C" w:rsidRPr="00DE096C" w:rsidRDefault="00B67D7C" w:rsidP="00D45A46">
            <w:pPr>
              <w:jc w:val="both"/>
              <w:rPr>
                <w:bCs/>
                <w:color w:val="002060"/>
                <w:sz w:val="16"/>
                <w:szCs w:val="16"/>
              </w:rPr>
            </w:pPr>
            <w:r w:rsidRPr="00DE096C">
              <w:rPr>
                <w:bCs/>
                <w:color w:val="002060"/>
                <w:sz w:val="16"/>
                <w:szCs w:val="16"/>
              </w:rPr>
              <w:t>648.8</w:t>
            </w:r>
          </w:p>
        </w:tc>
      </w:tr>
      <w:tr w:rsidR="00B67D7C" w:rsidRPr="00DE096C" w14:paraId="17103AC1" w14:textId="77777777" w:rsidTr="00C2024A">
        <w:tc>
          <w:tcPr>
            <w:tcW w:w="1186" w:type="dxa"/>
          </w:tcPr>
          <w:p w14:paraId="26FCF996" w14:textId="77777777" w:rsidR="00B67D7C" w:rsidRPr="00DE096C" w:rsidRDefault="00B67D7C" w:rsidP="00D45A46">
            <w:pPr>
              <w:jc w:val="both"/>
              <w:rPr>
                <w:bCs/>
                <w:color w:val="002060"/>
                <w:sz w:val="16"/>
                <w:szCs w:val="16"/>
              </w:rPr>
            </w:pPr>
            <w:r w:rsidRPr="00DE096C">
              <w:rPr>
                <w:bCs/>
                <w:color w:val="002060"/>
                <w:sz w:val="16"/>
                <w:szCs w:val="16"/>
              </w:rPr>
              <w:t>Ижевский</w:t>
            </w:r>
          </w:p>
        </w:tc>
        <w:tc>
          <w:tcPr>
            <w:tcW w:w="374" w:type="dxa"/>
          </w:tcPr>
          <w:p w14:paraId="51FFB6D3" w14:textId="77777777" w:rsidR="00B67D7C" w:rsidRPr="00DE096C" w:rsidRDefault="00B67D7C" w:rsidP="00D45A46">
            <w:pPr>
              <w:jc w:val="both"/>
              <w:rPr>
                <w:bCs/>
                <w:color w:val="002060"/>
                <w:sz w:val="16"/>
                <w:szCs w:val="16"/>
              </w:rPr>
            </w:pPr>
            <w:r w:rsidRPr="00DE096C">
              <w:rPr>
                <w:bCs/>
                <w:color w:val="002060"/>
                <w:sz w:val="16"/>
                <w:szCs w:val="16"/>
              </w:rPr>
              <w:t>36.0</w:t>
            </w:r>
          </w:p>
        </w:tc>
        <w:tc>
          <w:tcPr>
            <w:tcW w:w="425" w:type="dxa"/>
          </w:tcPr>
          <w:p w14:paraId="5A15937E" w14:textId="77777777" w:rsidR="00B67D7C" w:rsidRPr="00DE096C" w:rsidRDefault="00B67D7C" w:rsidP="00D45A46">
            <w:pPr>
              <w:jc w:val="both"/>
              <w:rPr>
                <w:bCs/>
                <w:color w:val="002060"/>
                <w:sz w:val="16"/>
                <w:szCs w:val="16"/>
              </w:rPr>
            </w:pPr>
            <w:r w:rsidRPr="00DE096C">
              <w:rPr>
                <w:bCs/>
                <w:color w:val="002060"/>
                <w:sz w:val="16"/>
                <w:szCs w:val="16"/>
              </w:rPr>
              <w:t>33.1</w:t>
            </w:r>
          </w:p>
        </w:tc>
        <w:tc>
          <w:tcPr>
            <w:tcW w:w="425" w:type="dxa"/>
          </w:tcPr>
          <w:p w14:paraId="08C8369F" w14:textId="77777777" w:rsidR="00B67D7C" w:rsidRPr="00DE096C" w:rsidRDefault="00B67D7C" w:rsidP="00D45A46">
            <w:pPr>
              <w:jc w:val="both"/>
              <w:rPr>
                <w:bCs/>
                <w:color w:val="002060"/>
                <w:sz w:val="16"/>
                <w:szCs w:val="16"/>
              </w:rPr>
            </w:pPr>
            <w:r w:rsidRPr="00DE096C">
              <w:rPr>
                <w:bCs/>
                <w:color w:val="002060"/>
                <w:sz w:val="16"/>
                <w:szCs w:val="16"/>
              </w:rPr>
              <w:t>37.7</w:t>
            </w:r>
          </w:p>
        </w:tc>
        <w:tc>
          <w:tcPr>
            <w:tcW w:w="425" w:type="dxa"/>
          </w:tcPr>
          <w:p w14:paraId="03E4302E" w14:textId="77777777" w:rsidR="00B67D7C" w:rsidRPr="00DE096C" w:rsidRDefault="00B67D7C" w:rsidP="00D45A46">
            <w:pPr>
              <w:jc w:val="both"/>
              <w:rPr>
                <w:bCs/>
                <w:color w:val="002060"/>
                <w:sz w:val="16"/>
                <w:szCs w:val="16"/>
              </w:rPr>
            </w:pPr>
            <w:r w:rsidRPr="00DE096C">
              <w:rPr>
                <w:bCs/>
                <w:color w:val="002060"/>
                <w:sz w:val="16"/>
                <w:szCs w:val="16"/>
              </w:rPr>
              <w:t>38.0</w:t>
            </w:r>
          </w:p>
        </w:tc>
        <w:tc>
          <w:tcPr>
            <w:tcW w:w="426" w:type="dxa"/>
          </w:tcPr>
          <w:p w14:paraId="641913F3" w14:textId="77777777" w:rsidR="00B67D7C" w:rsidRPr="00DE096C" w:rsidRDefault="00B67D7C" w:rsidP="00D45A46">
            <w:pPr>
              <w:jc w:val="both"/>
              <w:rPr>
                <w:bCs/>
                <w:color w:val="002060"/>
                <w:sz w:val="16"/>
                <w:szCs w:val="16"/>
              </w:rPr>
            </w:pPr>
            <w:r w:rsidRPr="00DE096C">
              <w:rPr>
                <w:bCs/>
                <w:color w:val="002060"/>
                <w:sz w:val="16"/>
                <w:szCs w:val="16"/>
              </w:rPr>
              <w:t>38.4</w:t>
            </w:r>
          </w:p>
        </w:tc>
        <w:tc>
          <w:tcPr>
            <w:tcW w:w="425" w:type="dxa"/>
          </w:tcPr>
          <w:p w14:paraId="311F36CE" w14:textId="77777777" w:rsidR="00B67D7C" w:rsidRPr="00DE096C" w:rsidRDefault="00B67D7C" w:rsidP="00D45A46">
            <w:pPr>
              <w:jc w:val="both"/>
              <w:rPr>
                <w:bCs/>
                <w:color w:val="002060"/>
                <w:sz w:val="16"/>
                <w:szCs w:val="16"/>
              </w:rPr>
            </w:pPr>
            <w:r w:rsidRPr="00DE096C">
              <w:rPr>
                <w:bCs/>
                <w:color w:val="002060"/>
                <w:sz w:val="16"/>
                <w:szCs w:val="16"/>
              </w:rPr>
              <w:t>38.7</w:t>
            </w:r>
          </w:p>
        </w:tc>
        <w:tc>
          <w:tcPr>
            <w:tcW w:w="425" w:type="dxa"/>
          </w:tcPr>
          <w:p w14:paraId="15865B66" w14:textId="77777777" w:rsidR="00B67D7C" w:rsidRPr="00DE096C" w:rsidRDefault="00B67D7C" w:rsidP="00D45A46">
            <w:pPr>
              <w:jc w:val="both"/>
              <w:rPr>
                <w:bCs/>
                <w:color w:val="002060"/>
                <w:sz w:val="16"/>
                <w:szCs w:val="16"/>
              </w:rPr>
            </w:pPr>
            <w:r w:rsidRPr="00DE096C">
              <w:rPr>
                <w:bCs/>
                <w:color w:val="002060"/>
                <w:sz w:val="16"/>
                <w:szCs w:val="16"/>
              </w:rPr>
              <w:t>40.8</w:t>
            </w:r>
          </w:p>
        </w:tc>
        <w:tc>
          <w:tcPr>
            <w:tcW w:w="425" w:type="dxa"/>
          </w:tcPr>
          <w:p w14:paraId="5E6D145F" w14:textId="77777777" w:rsidR="00B67D7C" w:rsidRPr="00DE096C" w:rsidRDefault="00B67D7C" w:rsidP="00D45A46">
            <w:pPr>
              <w:jc w:val="both"/>
              <w:rPr>
                <w:bCs/>
                <w:color w:val="002060"/>
                <w:sz w:val="16"/>
                <w:szCs w:val="16"/>
              </w:rPr>
            </w:pPr>
            <w:r w:rsidRPr="00DE096C">
              <w:rPr>
                <w:bCs/>
                <w:color w:val="002060"/>
                <w:sz w:val="16"/>
                <w:szCs w:val="16"/>
              </w:rPr>
              <w:t>43.2</w:t>
            </w:r>
          </w:p>
        </w:tc>
        <w:tc>
          <w:tcPr>
            <w:tcW w:w="426" w:type="dxa"/>
          </w:tcPr>
          <w:p w14:paraId="19B362D2" w14:textId="77777777" w:rsidR="00B67D7C" w:rsidRPr="00DE096C" w:rsidRDefault="00B67D7C" w:rsidP="00D45A46">
            <w:pPr>
              <w:jc w:val="both"/>
              <w:rPr>
                <w:bCs/>
                <w:color w:val="002060"/>
                <w:sz w:val="16"/>
                <w:szCs w:val="16"/>
              </w:rPr>
            </w:pPr>
            <w:r w:rsidRPr="00DE096C">
              <w:rPr>
                <w:bCs/>
                <w:color w:val="002060"/>
                <w:sz w:val="16"/>
                <w:szCs w:val="16"/>
              </w:rPr>
              <w:t>45.3</w:t>
            </w:r>
          </w:p>
        </w:tc>
        <w:tc>
          <w:tcPr>
            <w:tcW w:w="425" w:type="dxa"/>
          </w:tcPr>
          <w:p w14:paraId="11E2D1C2" w14:textId="77777777" w:rsidR="00B67D7C" w:rsidRPr="00DE096C" w:rsidRDefault="00B67D7C" w:rsidP="00D45A46">
            <w:pPr>
              <w:jc w:val="both"/>
              <w:rPr>
                <w:bCs/>
                <w:color w:val="002060"/>
                <w:sz w:val="16"/>
                <w:szCs w:val="16"/>
              </w:rPr>
            </w:pPr>
            <w:r w:rsidRPr="00DE096C">
              <w:rPr>
                <w:bCs/>
                <w:color w:val="002060"/>
                <w:sz w:val="16"/>
                <w:szCs w:val="16"/>
              </w:rPr>
              <w:t>50.2</w:t>
            </w:r>
          </w:p>
        </w:tc>
        <w:tc>
          <w:tcPr>
            <w:tcW w:w="432" w:type="dxa"/>
            <w:gridSpan w:val="2"/>
          </w:tcPr>
          <w:p w14:paraId="4595AD2F" w14:textId="77777777" w:rsidR="00B67D7C" w:rsidRPr="00DE096C" w:rsidRDefault="00B67D7C" w:rsidP="00D45A46">
            <w:pPr>
              <w:jc w:val="both"/>
              <w:rPr>
                <w:bCs/>
                <w:color w:val="002060"/>
                <w:sz w:val="16"/>
                <w:szCs w:val="16"/>
              </w:rPr>
            </w:pPr>
            <w:r w:rsidRPr="00DE096C">
              <w:rPr>
                <w:bCs/>
                <w:color w:val="002060"/>
                <w:sz w:val="16"/>
                <w:szCs w:val="16"/>
              </w:rPr>
              <w:t>50.4</w:t>
            </w:r>
          </w:p>
        </w:tc>
        <w:tc>
          <w:tcPr>
            <w:tcW w:w="560" w:type="dxa"/>
          </w:tcPr>
          <w:p w14:paraId="1A21B646" w14:textId="77777777" w:rsidR="00B67D7C" w:rsidRPr="00DE096C" w:rsidRDefault="00B67D7C" w:rsidP="00D45A46">
            <w:pPr>
              <w:jc w:val="both"/>
              <w:rPr>
                <w:bCs/>
                <w:color w:val="002060"/>
                <w:sz w:val="16"/>
                <w:szCs w:val="16"/>
              </w:rPr>
            </w:pPr>
            <w:r w:rsidRPr="00DE096C">
              <w:rPr>
                <w:bCs/>
                <w:color w:val="002060"/>
                <w:sz w:val="16"/>
                <w:szCs w:val="16"/>
              </w:rPr>
              <w:t>53.2</w:t>
            </w:r>
          </w:p>
        </w:tc>
        <w:tc>
          <w:tcPr>
            <w:tcW w:w="567" w:type="dxa"/>
          </w:tcPr>
          <w:p w14:paraId="1A5A58E0" w14:textId="77777777" w:rsidR="00B67D7C" w:rsidRPr="00DE096C" w:rsidRDefault="00B67D7C" w:rsidP="00D45A46">
            <w:pPr>
              <w:jc w:val="both"/>
              <w:rPr>
                <w:bCs/>
                <w:color w:val="002060"/>
                <w:sz w:val="16"/>
                <w:szCs w:val="16"/>
              </w:rPr>
            </w:pPr>
            <w:r w:rsidRPr="00DE096C">
              <w:rPr>
                <w:bCs/>
                <w:color w:val="002060"/>
                <w:sz w:val="16"/>
                <w:szCs w:val="16"/>
              </w:rPr>
              <w:t>504.9</w:t>
            </w:r>
          </w:p>
        </w:tc>
      </w:tr>
      <w:tr w:rsidR="00B67D7C" w:rsidRPr="00DE096C" w14:paraId="34C07540" w14:textId="77777777" w:rsidTr="00C2024A">
        <w:tc>
          <w:tcPr>
            <w:tcW w:w="1186" w:type="dxa"/>
          </w:tcPr>
          <w:p w14:paraId="64AACC7D" w14:textId="77777777" w:rsidR="00B67D7C" w:rsidRPr="00DE096C" w:rsidRDefault="00B67D7C" w:rsidP="00D45A46">
            <w:pPr>
              <w:jc w:val="both"/>
              <w:rPr>
                <w:bCs/>
                <w:color w:val="002060"/>
                <w:sz w:val="16"/>
                <w:szCs w:val="16"/>
              </w:rPr>
            </w:pPr>
            <w:r w:rsidRPr="00DE096C">
              <w:rPr>
                <w:bCs/>
                <w:color w:val="002060"/>
                <w:sz w:val="16"/>
                <w:szCs w:val="16"/>
              </w:rPr>
              <w:t>Сестрорецкий</w:t>
            </w:r>
          </w:p>
        </w:tc>
        <w:tc>
          <w:tcPr>
            <w:tcW w:w="374" w:type="dxa"/>
          </w:tcPr>
          <w:p w14:paraId="0773B11A" w14:textId="77777777" w:rsidR="00B67D7C" w:rsidRPr="00DE096C" w:rsidRDefault="00B67D7C" w:rsidP="00D45A46">
            <w:pPr>
              <w:jc w:val="both"/>
              <w:rPr>
                <w:bCs/>
                <w:color w:val="002060"/>
                <w:sz w:val="16"/>
                <w:szCs w:val="16"/>
              </w:rPr>
            </w:pPr>
            <w:r w:rsidRPr="00DE096C">
              <w:rPr>
                <w:bCs/>
                <w:color w:val="002060"/>
                <w:sz w:val="16"/>
                <w:szCs w:val="16"/>
              </w:rPr>
              <w:t>10.2</w:t>
            </w:r>
          </w:p>
        </w:tc>
        <w:tc>
          <w:tcPr>
            <w:tcW w:w="425" w:type="dxa"/>
          </w:tcPr>
          <w:p w14:paraId="7C5DF62D" w14:textId="77777777" w:rsidR="00B67D7C" w:rsidRPr="00DE096C" w:rsidRDefault="00B67D7C" w:rsidP="00D45A46">
            <w:pPr>
              <w:jc w:val="both"/>
              <w:rPr>
                <w:bCs/>
                <w:color w:val="002060"/>
                <w:sz w:val="16"/>
                <w:szCs w:val="16"/>
              </w:rPr>
            </w:pPr>
            <w:r w:rsidRPr="00DE096C">
              <w:rPr>
                <w:bCs/>
                <w:color w:val="002060"/>
                <w:sz w:val="16"/>
                <w:szCs w:val="16"/>
              </w:rPr>
              <w:t>10.0</w:t>
            </w:r>
          </w:p>
        </w:tc>
        <w:tc>
          <w:tcPr>
            <w:tcW w:w="425" w:type="dxa"/>
          </w:tcPr>
          <w:p w14:paraId="3BBA2458" w14:textId="77777777" w:rsidR="00B67D7C" w:rsidRPr="00DE096C" w:rsidRDefault="00B67D7C" w:rsidP="00D45A46">
            <w:pPr>
              <w:jc w:val="both"/>
              <w:rPr>
                <w:bCs/>
                <w:color w:val="002060"/>
                <w:sz w:val="16"/>
                <w:szCs w:val="16"/>
              </w:rPr>
            </w:pPr>
            <w:r w:rsidRPr="00DE096C">
              <w:rPr>
                <w:bCs/>
                <w:color w:val="002060"/>
                <w:sz w:val="16"/>
                <w:szCs w:val="16"/>
              </w:rPr>
              <w:t>10.8</w:t>
            </w:r>
          </w:p>
        </w:tc>
        <w:tc>
          <w:tcPr>
            <w:tcW w:w="425" w:type="dxa"/>
          </w:tcPr>
          <w:p w14:paraId="6F111184" w14:textId="77777777" w:rsidR="00B67D7C" w:rsidRPr="00DE096C" w:rsidRDefault="00B67D7C" w:rsidP="00D45A46">
            <w:pPr>
              <w:jc w:val="both"/>
              <w:rPr>
                <w:bCs/>
                <w:color w:val="002060"/>
                <w:sz w:val="16"/>
                <w:szCs w:val="16"/>
              </w:rPr>
            </w:pPr>
            <w:r w:rsidRPr="00DE096C">
              <w:rPr>
                <w:bCs/>
                <w:color w:val="002060"/>
                <w:sz w:val="16"/>
                <w:szCs w:val="16"/>
              </w:rPr>
              <w:t>10.0</w:t>
            </w:r>
          </w:p>
        </w:tc>
        <w:tc>
          <w:tcPr>
            <w:tcW w:w="426" w:type="dxa"/>
          </w:tcPr>
          <w:p w14:paraId="7CD9F514" w14:textId="77777777" w:rsidR="00B67D7C" w:rsidRPr="00DE096C" w:rsidRDefault="00B67D7C" w:rsidP="00D45A46">
            <w:pPr>
              <w:jc w:val="both"/>
              <w:rPr>
                <w:bCs/>
                <w:color w:val="002060"/>
                <w:sz w:val="16"/>
                <w:szCs w:val="16"/>
              </w:rPr>
            </w:pPr>
            <w:r w:rsidRPr="00DE096C">
              <w:rPr>
                <w:bCs/>
                <w:color w:val="002060"/>
                <w:sz w:val="16"/>
                <w:szCs w:val="16"/>
              </w:rPr>
              <w:t>12.5</w:t>
            </w:r>
          </w:p>
        </w:tc>
        <w:tc>
          <w:tcPr>
            <w:tcW w:w="425" w:type="dxa"/>
          </w:tcPr>
          <w:p w14:paraId="509BF17B" w14:textId="77777777" w:rsidR="00B67D7C" w:rsidRPr="00DE096C" w:rsidRDefault="00B67D7C" w:rsidP="00D45A46">
            <w:pPr>
              <w:jc w:val="both"/>
              <w:rPr>
                <w:bCs/>
                <w:color w:val="002060"/>
                <w:sz w:val="16"/>
                <w:szCs w:val="16"/>
              </w:rPr>
            </w:pPr>
            <w:r w:rsidRPr="00DE096C">
              <w:rPr>
                <w:bCs/>
                <w:color w:val="002060"/>
                <w:sz w:val="16"/>
                <w:szCs w:val="16"/>
              </w:rPr>
              <w:t>12.6</w:t>
            </w:r>
          </w:p>
        </w:tc>
        <w:tc>
          <w:tcPr>
            <w:tcW w:w="425" w:type="dxa"/>
          </w:tcPr>
          <w:p w14:paraId="098BE736" w14:textId="77777777" w:rsidR="00B67D7C" w:rsidRPr="00DE096C" w:rsidRDefault="00B67D7C" w:rsidP="00D45A46">
            <w:pPr>
              <w:jc w:val="both"/>
              <w:rPr>
                <w:bCs/>
                <w:color w:val="002060"/>
                <w:sz w:val="16"/>
                <w:szCs w:val="16"/>
              </w:rPr>
            </w:pPr>
            <w:r w:rsidRPr="00DE096C">
              <w:rPr>
                <w:bCs/>
                <w:color w:val="002060"/>
                <w:sz w:val="16"/>
                <w:szCs w:val="16"/>
              </w:rPr>
              <w:t>13.0</w:t>
            </w:r>
          </w:p>
        </w:tc>
        <w:tc>
          <w:tcPr>
            <w:tcW w:w="425" w:type="dxa"/>
          </w:tcPr>
          <w:p w14:paraId="5731A8D4" w14:textId="77777777" w:rsidR="00B67D7C" w:rsidRPr="00DE096C" w:rsidRDefault="00B67D7C" w:rsidP="00D45A46">
            <w:pPr>
              <w:jc w:val="both"/>
              <w:rPr>
                <w:bCs/>
                <w:color w:val="002060"/>
                <w:sz w:val="16"/>
                <w:szCs w:val="16"/>
              </w:rPr>
            </w:pPr>
            <w:r w:rsidRPr="00DE096C">
              <w:rPr>
                <w:bCs/>
                <w:color w:val="002060"/>
                <w:sz w:val="16"/>
                <w:szCs w:val="16"/>
              </w:rPr>
              <w:t>13.8</w:t>
            </w:r>
          </w:p>
        </w:tc>
        <w:tc>
          <w:tcPr>
            <w:tcW w:w="426" w:type="dxa"/>
          </w:tcPr>
          <w:p w14:paraId="2726BF48" w14:textId="77777777" w:rsidR="00B67D7C" w:rsidRPr="00DE096C" w:rsidRDefault="00B67D7C" w:rsidP="00D45A46">
            <w:pPr>
              <w:jc w:val="both"/>
              <w:rPr>
                <w:bCs/>
                <w:color w:val="002060"/>
                <w:sz w:val="16"/>
                <w:szCs w:val="16"/>
              </w:rPr>
            </w:pPr>
            <w:r w:rsidRPr="00DE096C">
              <w:rPr>
                <w:bCs/>
                <w:color w:val="002060"/>
                <w:sz w:val="16"/>
                <w:szCs w:val="16"/>
              </w:rPr>
              <w:t>14.0</w:t>
            </w:r>
          </w:p>
        </w:tc>
        <w:tc>
          <w:tcPr>
            <w:tcW w:w="425" w:type="dxa"/>
          </w:tcPr>
          <w:p w14:paraId="14850713" w14:textId="77777777" w:rsidR="00B67D7C" w:rsidRPr="00DE096C" w:rsidRDefault="00B67D7C" w:rsidP="00D45A46">
            <w:pPr>
              <w:jc w:val="both"/>
              <w:rPr>
                <w:bCs/>
                <w:color w:val="002060"/>
                <w:sz w:val="16"/>
                <w:szCs w:val="16"/>
              </w:rPr>
            </w:pPr>
            <w:r w:rsidRPr="00DE096C">
              <w:rPr>
                <w:bCs/>
                <w:color w:val="002060"/>
                <w:sz w:val="16"/>
                <w:szCs w:val="16"/>
              </w:rPr>
              <w:t>14.5</w:t>
            </w:r>
          </w:p>
        </w:tc>
        <w:tc>
          <w:tcPr>
            <w:tcW w:w="432" w:type="dxa"/>
            <w:gridSpan w:val="2"/>
          </w:tcPr>
          <w:p w14:paraId="4E6D162E" w14:textId="77777777" w:rsidR="00B67D7C" w:rsidRPr="00DE096C" w:rsidRDefault="00B67D7C" w:rsidP="00D45A46">
            <w:pPr>
              <w:jc w:val="both"/>
              <w:rPr>
                <w:bCs/>
                <w:color w:val="002060"/>
                <w:sz w:val="16"/>
                <w:szCs w:val="16"/>
              </w:rPr>
            </w:pPr>
            <w:r w:rsidRPr="00DE096C">
              <w:rPr>
                <w:bCs/>
                <w:color w:val="002060"/>
                <w:sz w:val="16"/>
                <w:szCs w:val="16"/>
              </w:rPr>
              <w:t>13.3</w:t>
            </w:r>
          </w:p>
        </w:tc>
        <w:tc>
          <w:tcPr>
            <w:tcW w:w="560" w:type="dxa"/>
          </w:tcPr>
          <w:p w14:paraId="49F8B7FB" w14:textId="77777777" w:rsidR="00B67D7C" w:rsidRPr="00DE096C" w:rsidRDefault="00B67D7C" w:rsidP="00D45A46">
            <w:pPr>
              <w:jc w:val="both"/>
              <w:rPr>
                <w:bCs/>
                <w:color w:val="002060"/>
                <w:sz w:val="16"/>
                <w:szCs w:val="16"/>
              </w:rPr>
            </w:pPr>
            <w:r w:rsidRPr="00DE096C">
              <w:rPr>
                <w:bCs/>
                <w:color w:val="002060"/>
                <w:sz w:val="16"/>
                <w:szCs w:val="16"/>
              </w:rPr>
              <w:t>13.0</w:t>
            </w:r>
          </w:p>
        </w:tc>
        <w:tc>
          <w:tcPr>
            <w:tcW w:w="567" w:type="dxa"/>
          </w:tcPr>
          <w:p w14:paraId="65B6E6C8" w14:textId="77777777" w:rsidR="00B67D7C" w:rsidRPr="00DE096C" w:rsidRDefault="00B67D7C" w:rsidP="00D45A46">
            <w:pPr>
              <w:jc w:val="both"/>
              <w:rPr>
                <w:bCs/>
                <w:color w:val="002060"/>
                <w:sz w:val="16"/>
                <w:szCs w:val="16"/>
              </w:rPr>
            </w:pPr>
            <w:r w:rsidRPr="00DE096C">
              <w:rPr>
                <w:bCs/>
                <w:color w:val="002060"/>
                <w:sz w:val="16"/>
                <w:szCs w:val="16"/>
              </w:rPr>
              <w:t>147.8</w:t>
            </w:r>
          </w:p>
        </w:tc>
      </w:tr>
      <w:tr w:rsidR="00B67D7C" w:rsidRPr="00DE096C" w14:paraId="731F7305" w14:textId="77777777" w:rsidTr="00C2024A">
        <w:tc>
          <w:tcPr>
            <w:tcW w:w="1186" w:type="dxa"/>
          </w:tcPr>
          <w:p w14:paraId="565EF5FC" w14:textId="77777777" w:rsidR="00B67D7C" w:rsidRPr="00DE096C" w:rsidRDefault="00B67D7C" w:rsidP="00D45A46">
            <w:pPr>
              <w:jc w:val="both"/>
              <w:rPr>
                <w:bCs/>
                <w:color w:val="002060"/>
                <w:sz w:val="16"/>
                <w:szCs w:val="16"/>
              </w:rPr>
            </w:pPr>
            <w:r w:rsidRPr="00DE096C">
              <w:rPr>
                <w:bCs/>
                <w:color w:val="002060"/>
                <w:sz w:val="16"/>
                <w:szCs w:val="16"/>
              </w:rPr>
              <w:t>Итого</w:t>
            </w:r>
          </w:p>
        </w:tc>
        <w:tc>
          <w:tcPr>
            <w:tcW w:w="374" w:type="dxa"/>
          </w:tcPr>
          <w:p w14:paraId="140FA74E" w14:textId="77777777" w:rsidR="00B67D7C" w:rsidRPr="00DE096C" w:rsidRDefault="00B67D7C" w:rsidP="00D45A46">
            <w:pPr>
              <w:jc w:val="both"/>
              <w:rPr>
                <w:bCs/>
                <w:color w:val="002060"/>
                <w:sz w:val="16"/>
                <w:szCs w:val="16"/>
              </w:rPr>
            </w:pPr>
            <w:r w:rsidRPr="00DE096C">
              <w:rPr>
                <w:bCs/>
                <w:color w:val="002060"/>
                <w:sz w:val="16"/>
                <w:szCs w:val="16"/>
              </w:rPr>
              <w:t>89.4</w:t>
            </w:r>
          </w:p>
        </w:tc>
        <w:tc>
          <w:tcPr>
            <w:tcW w:w="425" w:type="dxa"/>
          </w:tcPr>
          <w:p w14:paraId="37921E3F" w14:textId="77777777" w:rsidR="00B67D7C" w:rsidRPr="00DE096C" w:rsidRDefault="00B67D7C" w:rsidP="00D45A46">
            <w:pPr>
              <w:jc w:val="both"/>
              <w:rPr>
                <w:bCs/>
                <w:color w:val="002060"/>
                <w:sz w:val="16"/>
                <w:szCs w:val="16"/>
              </w:rPr>
            </w:pPr>
            <w:r w:rsidRPr="00DE096C">
              <w:rPr>
                <w:bCs/>
                <w:color w:val="002060"/>
                <w:sz w:val="16"/>
                <w:szCs w:val="16"/>
              </w:rPr>
              <w:t>88.7</w:t>
            </w:r>
          </w:p>
        </w:tc>
        <w:tc>
          <w:tcPr>
            <w:tcW w:w="425" w:type="dxa"/>
          </w:tcPr>
          <w:p w14:paraId="7B9F3897" w14:textId="77777777" w:rsidR="00B67D7C" w:rsidRPr="00DE096C" w:rsidRDefault="00B67D7C" w:rsidP="00D45A46">
            <w:pPr>
              <w:jc w:val="both"/>
              <w:rPr>
                <w:bCs/>
                <w:color w:val="002060"/>
                <w:sz w:val="16"/>
                <w:szCs w:val="16"/>
              </w:rPr>
            </w:pPr>
            <w:r w:rsidRPr="00DE096C">
              <w:rPr>
                <w:bCs/>
                <w:color w:val="002060"/>
                <w:sz w:val="16"/>
                <w:szCs w:val="16"/>
              </w:rPr>
              <w:t>100.5</w:t>
            </w:r>
          </w:p>
        </w:tc>
        <w:tc>
          <w:tcPr>
            <w:tcW w:w="425" w:type="dxa"/>
          </w:tcPr>
          <w:p w14:paraId="264AF3AA" w14:textId="77777777" w:rsidR="00B67D7C" w:rsidRPr="00DE096C" w:rsidRDefault="00B67D7C" w:rsidP="00D45A46">
            <w:pPr>
              <w:jc w:val="both"/>
              <w:rPr>
                <w:bCs/>
                <w:color w:val="002060"/>
                <w:sz w:val="16"/>
                <w:szCs w:val="16"/>
              </w:rPr>
            </w:pPr>
            <w:r w:rsidRPr="00DE096C">
              <w:rPr>
                <w:bCs/>
                <w:color w:val="002060"/>
                <w:sz w:val="16"/>
                <w:szCs w:val="16"/>
              </w:rPr>
              <w:t>100.0</w:t>
            </w:r>
          </w:p>
        </w:tc>
        <w:tc>
          <w:tcPr>
            <w:tcW w:w="426" w:type="dxa"/>
          </w:tcPr>
          <w:p w14:paraId="24728F82" w14:textId="77777777" w:rsidR="00B67D7C" w:rsidRPr="00DE096C" w:rsidRDefault="00B67D7C" w:rsidP="00D45A46">
            <w:pPr>
              <w:jc w:val="both"/>
              <w:rPr>
                <w:bCs/>
                <w:color w:val="002060"/>
                <w:sz w:val="16"/>
                <w:szCs w:val="16"/>
              </w:rPr>
            </w:pPr>
            <w:r w:rsidRPr="00DE096C">
              <w:rPr>
                <w:bCs/>
                <w:color w:val="002060"/>
                <w:sz w:val="16"/>
                <w:szCs w:val="16"/>
              </w:rPr>
              <w:t>102.9</w:t>
            </w:r>
          </w:p>
        </w:tc>
        <w:tc>
          <w:tcPr>
            <w:tcW w:w="425" w:type="dxa"/>
          </w:tcPr>
          <w:p w14:paraId="59F84465" w14:textId="77777777" w:rsidR="00B67D7C" w:rsidRPr="00DE096C" w:rsidRDefault="00B67D7C" w:rsidP="00D45A46">
            <w:pPr>
              <w:jc w:val="both"/>
              <w:rPr>
                <w:bCs/>
                <w:color w:val="002060"/>
                <w:sz w:val="16"/>
                <w:szCs w:val="16"/>
              </w:rPr>
            </w:pPr>
            <w:r w:rsidRPr="00DE096C">
              <w:rPr>
                <w:bCs/>
                <w:color w:val="002060"/>
                <w:sz w:val="16"/>
                <w:szCs w:val="16"/>
              </w:rPr>
              <w:t>104.3</w:t>
            </w:r>
          </w:p>
        </w:tc>
        <w:tc>
          <w:tcPr>
            <w:tcW w:w="425" w:type="dxa"/>
          </w:tcPr>
          <w:p w14:paraId="2464AC30" w14:textId="77777777" w:rsidR="00B67D7C" w:rsidRPr="00DE096C" w:rsidRDefault="00B67D7C" w:rsidP="00D45A46">
            <w:pPr>
              <w:jc w:val="both"/>
              <w:rPr>
                <w:bCs/>
                <w:color w:val="002060"/>
                <w:sz w:val="16"/>
                <w:szCs w:val="16"/>
              </w:rPr>
            </w:pPr>
            <w:r w:rsidRPr="00DE096C">
              <w:rPr>
                <w:bCs/>
                <w:color w:val="002060"/>
                <w:sz w:val="16"/>
                <w:szCs w:val="16"/>
              </w:rPr>
              <w:t>109.8</w:t>
            </w:r>
          </w:p>
        </w:tc>
        <w:tc>
          <w:tcPr>
            <w:tcW w:w="425" w:type="dxa"/>
          </w:tcPr>
          <w:p w14:paraId="452E6A94" w14:textId="77777777" w:rsidR="00B67D7C" w:rsidRPr="00DE096C" w:rsidRDefault="00B67D7C" w:rsidP="00D45A46">
            <w:pPr>
              <w:jc w:val="both"/>
              <w:rPr>
                <w:bCs/>
                <w:color w:val="002060"/>
                <w:sz w:val="16"/>
                <w:szCs w:val="16"/>
              </w:rPr>
            </w:pPr>
            <w:r w:rsidRPr="00DE096C">
              <w:rPr>
                <w:bCs/>
                <w:color w:val="002060"/>
                <w:sz w:val="16"/>
                <w:szCs w:val="16"/>
              </w:rPr>
              <w:t>114.0</w:t>
            </w:r>
          </w:p>
        </w:tc>
        <w:tc>
          <w:tcPr>
            <w:tcW w:w="426" w:type="dxa"/>
          </w:tcPr>
          <w:p w14:paraId="20BB9200" w14:textId="77777777" w:rsidR="00B67D7C" w:rsidRPr="00DE096C" w:rsidRDefault="00B67D7C" w:rsidP="00D45A46">
            <w:pPr>
              <w:jc w:val="both"/>
              <w:rPr>
                <w:bCs/>
                <w:color w:val="002060"/>
                <w:sz w:val="16"/>
                <w:szCs w:val="16"/>
              </w:rPr>
            </w:pPr>
            <w:r w:rsidRPr="00DE096C">
              <w:rPr>
                <w:bCs/>
                <w:color w:val="002060"/>
                <w:sz w:val="16"/>
                <w:szCs w:val="16"/>
              </w:rPr>
              <w:t>117.3</w:t>
            </w:r>
          </w:p>
        </w:tc>
        <w:tc>
          <w:tcPr>
            <w:tcW w:w="425" w:type="dxa"/>
          </w:tcPr>
          <w:p w14:paraId="56DCC27F" w14:textId="77777777" w:rsidR="00B67D7C" w:rsidRPr="00DE096C" w:rsidRDefault="00B67D7C" w:rsidP="00D45A46">
            <w:pPr>
              <w:jc w:val="both"/>
              <w:rPr>
                <w:bCs/>
                <w:color w:val="002060"/>
                <w:sz w:val="16"/>
                <w:szCs w:val="16"/>
              </w:rPr>
            </w:pPr>
            <w:r w:rsidRPr="00DE096C">
              <w:rPr>
                <w:bCs/>
                <w:color w:val="002060"/>
                <w:sz w:val="16"/>
                <w:szCs w:val="16"/>
              </w:rPr>
              <w:t>123.7</w:t>
            </w:r>
          </w:p>
        </w:tc>
        <w:tc>
          <w:tcPr>
            <w:tcW w:w="432" w:type="dxa"/>
            <w:gridSpan w:val="2"/>
          </w:tcPr>
          <w:p w14:paraId="6E1E5A53" w14:textId="77777777" w:rsidR="00B67D7C" w:rsidRPr="00DE096C" w:rsidRDefault="00B67D7C" w:rsidP="00D45A46">
            <w:pPr>
              <w:jc w:val="both"/>
              <w:rPr>
                <w:bCs/>
                <w:color w:val="002060"/>
                <w:sz w:val="16"/>
                <w:szCs w:val="16"/>
              </w:rPr>
            </w:pPr>
            <w:r w:rsidRPr="00DE096C">
              <w:rPr>
                <w:bCs/>
                <w:color w:val="002060"/>
                <w:sz w:val="16"/>
                <w:szCs w:val="16"/>
              </w:rPr>
              <w:t>123.7</w:t>
            </w:r>
          </w:p>
        </w:tc>
        <w:tc>
          <w:tcPr>
            <w:tcW w:w="560" w:type="dxa"/>
          </w:tcPr>
          <w:p w14:paraId="1D7C1A57" w14:textId="77777777" w:rsidR="00B67D7C" w:rsidRPr="00DE096C" w:rsidRDefault="00B67D7C" w:rsidP="00D45A46">
            <w:pPr>
              <w:jc w:val="both"/>
              <w:rPr>
                <w:bCs/>
                <w:color w:val="002060"/>
                <w:sz w:val="16"/>
                <w:szCs w:val="16"/>
              </w:rPr>
            </w:pPr>
            <w:r w:rsidRPr="00DE096C">
              <w:rPr>
                <w:bCs/>
                <w:color w:val="002060"/>
                <w:sz w:val="16"/>
                <w:szCs w:val="16"/>
              </w:rPr>
              <w:t>127.2</w:t>
            </w:r>
          </w:p>
        </w:tc>
        <w:tc>
          <w:tcPr>
            <w:tcW w:w="567" w:type="dxa"/>
          </w:tcPr>
          <w:p w14:paraId="3D0B3C92" w14:textId="77777777" w:rsidR="00B67D7C" w:rsidRPr="00DE096C" w:rsidRDefault="00B67D7C" w:rsidP="00D45A46">
            <w:pPr>
              <w:jc w:val="both"/>
              <w:rPr>
                <w:bCs/>
                <w:color w:val="002060"/>
                <w:sz w:val="16"/>
                <w:szCs w:val="16"/>
              </w:rPr>
            </w:pPr>
            <w:r w:rsidRPr="00DE096C">
              <w:rPr>
                <w:bCs/>
                <w:color w:val="002060"/>
                <w:sz w:val="16"/>
                <w:szCs w:val="16"/>
              </w:rPr>
              <w:t>1301.4</w:t>
            </w:r>
          </w:p>
        </w:tc>
      </w:tr>
      <w:tr w:rsidR="00B67D7C" w:rsidRPr="00DE096C" w14:paraId="41704315" w14:textId="77777777" w:rsidTr="00C2024A">
        <w:tc>
          <w:tcPr>
            <w:tcW w:w="1186" w:type="dxa"/>
          </w:tcPr>
          <w:p w14:paraId="188C79AF" w14:textId="77777777" w:rsidR="00B67D7C" w:rsidRPr="00DE096C" w:rsidRDefault="00B67D7C" w:rsidP="00D45A46">
            <w:pPr>
              <w:jc w:val="both"/>
              <w:rPr>
                <w:bCs/>
                <w:color w:val="002060"/>
                <w:sz w:val="16"/>
                <w:szCs w:val="16"/>
              </w:rPr>
            </w:pPr>
            <w:r w:rsidRPr="00DE096C">
              <w:rPr>
                <w:bCs/>
                <w:color w:val="002060"/>
                <w:sz w:val="16"/>
                <w:szCs w:val="16"/>
              </w:rPr>
              <w:t xml:space="preserve">1917 год </w:t>
            </w:r>
          </w:p>
        </w:tc>
        <w:tc>
          <w:tcPr>
            <w:tcW w:w="374" w:type="dxa"/>
          </w:tcPr>
          <w:p w14:paraId="6024F395" w14:textId="77777777" w:rsidR="00B67D7C" w:rsidRPr="00DE096C" w:rsidRDefault="00B67D7C" w:rsidP="00D45A46">
            <w:pPr>
              <w:jc w:val="both"/>
              <w:rPr>
                <w:bCs/>
                <w:color w:val="002060"/>
                <w:sz w:val="16"/>
                <w:szCs w:val="16"/>
              </w:rPr>
            </w:pPr>
            <w:r w:rsidRPr="00DE096C">
              <w:rPr>
                <w:bCs/>
                <w:color w:val="002060"/>
                <w:sz w:val="16"/>
                <w:szCs w:val="16"/>
              </w:rPr>
              <w:t> </w:t>
            </w:r>
          </w:p>
        </w:tc>
        <w:tc>
          <w:tcPr>
            <w:tcW w:w="425" w:type="dxa"/>
          </w:tcPr>
          <w:p w14:paraId="04A18023" w14:textId="77777777" w:rsidR="00B67D7C" w:rsidRPr="00DE096C" w:rsidRDefault="00B67D7C" w:rsidP="00D45A46">
            <w:pPr>
              <w:jc w:val="both"/>
              <w:rPr>
                <w:bCs/>
                <w:color w:val="002060"/>
                <w:sz w:val="16"/>
                <w:szCs w:val="16"/>
              </w:rPr>
            </w:pPr>
            <w:r w:rsidRPr="00DE096C">
              <w:rPr>
                <w:bCs/>
                <w:color w:val="002060"/>
                <w:sz w:val="16"/>
                <w:szCs w:val="16"/>
              </w:rPr>
              <w:t> </w:t>
            </w:r>
          </w:p>
        </w:tc>
        <w:tc>
          <w:tcPr>
            <w:tcW w:w="425" w:type="dxa"/>
          </w:tcPr>
          <w:p w14:paraId="42BD6C7F" w14:textId="77777777" w:rsidR="00B67D7C" w:rsidRPr="00DE096C" w:rsidRDefault="00B67D7C" w:rsidP="00D45A46">
            <w:pPr>
              <w:jc w:val="both"/>
              <w:rPr>
                <w:bCs/>
                <w:color w:val="002060"/>
                <w:sz w:val="16"/>
                <w:szCs w:val="16"/>
              </w:rPr>
            </w:pPr>
            <w:r w:rsidRPr="00DE096C">
              <w:rPr>
                <w:bCs/>
                <w:color w:val="002060"/>
                <w:sz w:val="16"/>
                <w:szCs w:val="16"/>
              </w:rPr>
              <w:t> </w:t>
            </w:r>
          </w:p>
        </w:tc>
        <w:tc>
          <w:tcPr>
            <w:tcW w:w="425" w:type="dxa"/>
          </w:tcPr>
          <w:p w14:paraId="77F81D4C" w14:textId="77777777" w:rsidR="00B67D7C" w:rsidRPr="00DE096C" w:rsidRDefault="00B67D7C" w:rsidP="00D45A46">
            <w:pPr>
              <w:jc w:val="both"/>
              <w:rPr>
                <w:bCs/>
                <w:color w:val="002060"/>
                <w:sz w:val="16"/>
                <w:szCs w:val="16"/>
              </w:rPr>
            </w:pPr>
            <w:r w:rsidRPr="00DE096C">
              <w:rPr>
                <w:bCs/>
                <w:color w:val="002060"/>
                <w:sz w:val="16"/>
                <w:szCs w:val="16"/>
              </w:rPr>
              <w:t> </w:t>
            </w:r>
          </w:p>
        </w:tc>
        <w:tc>
          <w:tcPr>
            <w:tcW w:w="426" w:type="dxa"/>
          </w:tcPr>
          <w:p w14:paraId="0488F2A9" w14:textId="77777777" w:rsidR="00B67D7C" w:rsidRPr="00DE096C" w:rsidRDefault="00B67D7C" w:rsidP="00D45A46">
            <w:pPr>
              <w:jc w:val="both"/>
              <w:rPr>
                <w:bCs/>
                <w:color w:val="002060"/>
                <w:sz w:val="16"/>
                <w:szCs w:val="16"/>
              </w:rPr>
            </w:pPr>
            <w:r w:rsidRPr="00DE096C">
              <w:rPr>
                <w:bCs/>
                <w:color w:val="002060"/>
                <w:sz w:val="16"/>
                <w:szCs w:val="16"/>
              </w:rPr>
              <w:t> </w:t>
            </w:r>
          </w:p>
        </w:tc>
        <w:tc>
          <w:tcPr>
            <w:tcW w:w="425" w:type="dxa"/>
          </w:tcPr>
          <w:p w14:paraId="14D1EF3A" w14:textId="77777777" w:rsidR="00B67D7C" w:rsidRPr="00DE096C" w:rsidRDefault="00B67D7C" w:rsidP="00D45A46">
            <w:pPr>
              <w:jc w:val="both"/>
              <w:rPr>
                <w:bCs/>
                <w:color w:val="002060"/>
                <w:sz w:val="16"/>
                <w:szCs w:val="16"/>
              </w:rPr>
            </w:pPr>
            <w:r w:rsidRPr="00DE096C">
              <w:rPr>
                <w:bCs/>
                <w:color w:val="002060"/>
                <w:sz w:val="16"/>
                <w:szCs w:val="16"/>
              </w:rPr>
              <w:t> </w:t>
            </w:r>
          </w:p>
        </w:tc>
        <w:tc>
          <w:tcPr>
            <w:tcW w:w="425" w:type="dxa"/>
          </w:tcPr>
          <w:p w14:paraId="54D32F87" w14:textId="77777777" w:rsidR="00B67D7C" w:rsidRPr="00DE096C" w:rsidRDefault="00B67D7C" w:rsidP="00D45A46">
            <w:pPr>
              <w:jc w:val="both"/>
              <w:rPr>
                <w:bCs/>
                <w:color w:val="002060"/>
                <w:sz w:val="16"/>
                <w:szCs w:val="16"/>
              </w:rPr>
            </w:pPr>
            <w:r w:rsidRPr="00DE096C">
              <w:rPr>
                <w:bCs/>
                <w:color w:val="002060"/>
                <w:sz w:val="16"/>
                <w:szCs w:val="16"/>
              </w:rPr>
              <w:t> </w:t>
            </w:r>
          </w:p>
        </w:tc>
        <w:tc>
          <w:tcPr>
            <w:tcW w:w="425" w:type="dxa"/>
          </w:tcPr>
          <w:p w14:paraId="44D3355E" w14:textId="77777777" w:rsidR="00B67D7C" w:rsidRPr="00DE096C" w:rsidRDefault="00B67D7C" w:rsidP="00D45A46">
            <w:pPr>
              <w:jc w:val="both"/>
              <w:rPr>
                <w:bCs/>
                <w:color w:val="002060"/>
                <w:sz w:val="16"/>
                <w:szCs w:val="16"/>
              </w:rPr>
            </w:pPr>
            <w:r w:rsidRPr="00DE096C">
              <w:rPr>
                <w:bCs/>
                <w:color w:val="002060"/>
                <w:sz w:val="16"/>
                <w:szCs w:val="16"/>
              </w:rPr>
              <w:t> </w:t>
            </w:r>
          </w:p>
        </w:tc>
        <w:tc>
          <w:tcPr>
            <w:tcW w:w="426" w:type="dxa"/>
          </w:tcPr>
          <w:p w14:paraId="75B3437E" w14:textId="77777777" w:rsidR="00B67D7C" w:rsidRPr="00DE096C" w:rsidRDefault="00B67D7C" w:rsidP="00D45A46">
            <w:pPr>
              <w:jc w:val="both"/>
              <w:rPr>
                <w:bCs/>
                <w:color w:val="002060"/>
                <w:sz w:val="16"/>
                <w:szCs w:val="16"/>
              </w:rPr>
            </w:pPr>
            <w:r w:rsidRPr="00DE096C">
              <w:rPr>
                <w:bCs/>
                <w:color w:val="002060"/>
                <w:sz w:val="16"/>
                <w:szCs w:val="16"/>
              </w:rPr>
              <w:t> </w:t>
            </w:r>
          </w:p>
        </w:tc>
        <w:tc>
          <w:tcPr>
            <w:tcW w:w="425" w:type="dxa"/>
          </w:tcPr>
          <w:p w14:paraId="79312BA3" w14:textId="77777777" w:rsidR="00B67D7C" w:rsidRPr="00DE096C" w:rsidRDefault="00B67D7C" w:rsidP="00D45A46">
            <w:pPr>
              <w:jc w:val="both"/>
              <w:rPr>
                <w:bCs/>
                <w:color w:val="002060"/>
                <w:sz w:val="16"/>
                <w:szCs w:val="16"/>
              </w:rPr>
            </w:pPr>
            <w:r w:rsidRPr="00DE096C">
              <w:rPr>
                <w:bCs/>
                <w:color w:val="002060"/>
                <w:sz w:val="16"/>
                <w:szCs w:val="16"/>
              </w:rPr>
              <w:t> </w:t>
            </w:r>
          </w:p>
        </w:tc>
        <w:tc>
          <w:tcPr>
            <w:tcW w:w="425" w:type="dxa"/>
          </w:tcPr>
          <w:p w14:paraId="6E63F796" w14:textId="77777777" w:rsidR="00B67D7C" w:rsidRPr="00DE096C" w:rsidRDefault="00B67D7C" w:rsidP="00D45A46">
            <w:pPr>
              <w:jc w:val="both"/>
              <w:rPr>
                <w:bCs/>
                <w:color w:val="002060"/>
                <w:sz w:val="16"/>
                <w:szCs w:val="16"/>
              </w:rPr>
            </w:pPr>
            <w:r w:rsidRPr="00DE096C">
              <w:rPr>
                <w:bCs/>
                <w:color w:val="002060"/>
                <w:sz w:val="16"/>
                <w:szCs w:val="16"/>
              </w:rPr>
              <w:t> </w:t>
            </w:r>
          </w:p>
        </w:tc>
        <w:tc>
          <w:tcPr>
            <w:tcW w:w="567" w:type="dxa"/>
            <w:gridSpan w:val="2"/>
          </w:tcPr>
          <w:p w14:paraId="0C1E1A93" w14:textId="77777777" w:rsidR="00B67D7C" w:rsidRPr="00DE096C" w:rsidRDefault="00B67D7C" w:rsidP="00D45A46">
            <w:pPr>
              <w:jc w:val="both"/>
              <w:rPr>
                <w:bCs/>
                <w:color w:val="002060"/>
                <w:sz w:val="16"/>
                <w:szCs w:val="16"/>
              </w:rPr>
            </w:pPr>
            <w:r w:rsidRPr="00DE096C">
              <w:rPr>
                <w:bCs/>
                <w:color w:val="002060"/>
                <w:sz w:val="16"/>
                <w:szCs w:val="16"/>
              </w:rPr>
              <w:t> </w:t>
            </w:r>
          </w:p>
        </w:tc>
        <w:tc>
          <w:tcPr>
            <w:tcW w:w="567" w:type="dxa"/>
          </w:tcPr>
          <w:p w14:paraId="79EE2E39" w14:textId="77777777" w:rsidR="00B67D7C" w:rsidRPr="00DE096C" w:rsidRDefault="00B67D7C" w:rsidP="00D45A46">
            <w:pPr>
              <w:jc w:val="both"/>
              <w:rPr>
                <w:bCs/>
                <w:color w:val="002060"/>
                <w:sz w:val="16"/>
                <w:szCs w:val="16"/>
              </w:rPr>
            </w:pPr>
            <w:r w:rsidRPr="00DE096C">
              <w:rPr>
                <w:bCs/>
                <w:color w:val="002060"/>
                <w:sz w:val="16"/>
                <w:szCs w:val="16"/>
              </w:rPr>
              <w:t> </w:t>
            </w:r>
          </w:p>
        </w:tc>
      </w:tr>
      <w:tr w:rsidR="00B67D7C" w:rsidRPr="00DE096C" w14:paraId="42412233" w14:textId="77777777" w:rsidTr="00C2024A">
        <w:tc>
          <w:tcPr>
            <w:tcW w:w="1186" w:type="dxa"/>
          </w:tcPr>
          <w:p w14:paraId="0ACA5892" w14:textId="77777777" w:rsidR="00B67D7C" w:rsidRPr="00DE096C" w:rsidRDefault="00B67D7C" w:rsidP="00D45A46">
            <w:pPr>
              <w:jc w:val="both"/>
              <w:rPr>
                <w:bCs/>
                <w:color w:val="002060"/>
                <w:sz w:val="16"/>
                <w:szCs w:val="16"/>
              </w:rPr>
            </w:pPr>
            <w:r w:rsidRPr="00DE096C">
              <w:rPr>
                <w:bCs/>
                <w:color w:val="002060"/>
                <w:sz w:val="16"/>
                <w:szCs w:val="16"/>
              </w:rPr>
              <w:t>Тульский</w:t>
            </w:r>
          </w:p>
        </w:tc>
        <w:tc>
          <w:tcPr>
            <w:tcW w:w="374" w:type="dxa"/>
          </w:tcPr>
          <w:p w14:paraId="0FB487A6" w14:textId="77777777" w:rsidR="00B67D7C" w:rsidRPr="00DE096C" w:rsidRDefault="00B67D7C" w:rsidP="00D45A46">
            <w:pPr>
              <w:jc w:val="both"/>
              <w:rPr>
                <w:bCs/>
                <w:color w:val="002060"/>
                <w:sz w:val="16"/>
                <w:szCs w:val="16"/>
              </w:rPr>
            </w:pPr>
            <w:r w:rsidRPr="00DE096C">
              <w:rPr>
                <w:bCs/>
                <w:color w:val="002060"/>
                <w:sz w:val="16"/>
                <w:szCs w:val="16"/>
              </w:rPr>
              <w:t>62.0</w:t>
            </w:r>
          </w:p>
        </w:tc>
        <w:tc>
          <w:tcPr>
            <w:tcW w:w="425" w:type="dxa"/>
          </w:tcPr>
          <w:p w14:paraId="1BC49E09" w14:textId="77777777" w:rsidR="00B67D7C" w:rsidRPr="00DE096C" w:rsidRDefault="00B67D7C" w:rsidP="00D45A46">
            <w:pPr>
              <w:jc w:val="both"/>
              <w:rPr>
                <w:bCs/>
                <w:color w:val="002060"/>
                <w:sz w:val="16"/>
                <w:szCs w:val="16"/>
              </w:rPr>
            </w:pPr>
            <w:r w:rsidRPr="00DE096C">
              <w:rPr>
                <w:bCs/>
                <w:color w:val="002060"/>
                <w:sz w:val="16"/>
                <w:szCs w:val="16"/>
              </w:rPr>
              <w:t>42.0</w:t>
            </w:r>
          </w:p>
        </w:tc>
        <w:tc>
          <w:tcPr>
            <w:tcW w:w="425" w:type="dxa"/>
          </w:tcPr>
          <w:p w14:paraId="60EF719F" w14:textId="77777777" w:rsidR="00B67D7C" w:rsidRPr="00DE096C" w:rsidRDefault="00B67D7C" w:rsidP="00D45A46">
            <w:pPr>
              <w:jc w:val="both"/>
              <w:rPr>
                <w:bCs/>
                <w:color w:val="002060"/>
                <w:sz w:val="16"/>
                <w:szCs w:val="16"/>
              </w:rPr>
            </w:pPr>
            <w:r w:rsidRPr="00DE096C">
              <w:rPr>
                <w:bCs/>
                <w:color w:val="002060"/>
                <w:sz w:val="16"/>
                <w:szCs w:val="16"/>
              </w:rPr>
              <w:t>58.4</w:t>
            </w:r>
          </w:p>
        </w:tc>
        <w:tc>
          <w:tcPr>
            <w:tcW w:w="425" w:type="dxa"/>
          </w:tcPr>
          <w:p w14:paraId="5CE6BCFF" w14:textId="77777777" w:rsidR="00B67D7C" w:rsidRPr="00DE096C" w:rsidRDefault="00B67D7C" w:rsidP="00D45A46">
            <w:pPr>
              <w:jc w:val="both"/>
              <w:rPr>
                <w:bCs/>
                <w:color w:val="002060"/>
                <w:sz w:val="16"/>
                <w:szCs w:val="16"/>
              </w:rPr>
            </w:pPr>
            <w:r w:rsidRPr="00DE096C">
              <w:rPr>
                <w:bCs/>
                <w:color w:val="002060"/>
                <w:sz w:val="16"/>
                <w:szCs w:val="16"/>
              </w:rPr>
              <w:t>47.8</w:t>
            </w:r>
          </w:p>
        </w:tc>
        <w:tc>
          <w:tcPr>
            <w:tcW w:w="426" w:type="dxa"/>
          </w:tcPr>
          <w:p w14:paraId="1AED737B" w14:textId="77777777" w:rsidR="00B67D7C" w:rsidRPr="00DE096C" w:rsidRDefault="00B67D7C" w:rsidP="00D45A46">
            <w:pPr>
              <w:jc w:val="both"/>
              <w:rPr>
                <w:bCs/>
                <w:color w:val="002060"/>
                <w:sz w:val="16"/>
                <w:szCs w:val="16"/>
              </w:rPr>
            </w:pPr>
            <w:r w:rsidRPr="00DE096C">
              <w:rPr>
                <w:bCs/>
                <w:color w:val="002060"/>
                <w:sz w:val="16"/>
                <w:szCs w:val="16"/>
              </w:rPr>
              <w:t>51.5</w:t>
            </w:r>
          </w:p>
        </w:tc>
        <w:tc>
          <w:tcPr>
            <w:tcW w:w="425" w:type="dxa"/>
          </w:tcPr>
          <w:p w14:paraId="2273FE4B" w14:textId="77777777" w:rsidR="00B67D7C" w:rsidRPr="00DE096C" w:rsidRDefault="00B67D7C" w:rsidP="00D45A46">
            <w:pPr>
              <w:jc w:val="both"/>
              <w:rPr>
                <w:bCs/>
                <w:color w:val="002060"/>
                <w:sz w:val="16"/>
                <w:szCs w:val="16"/>
              </w:rPr>
            </w:pPr>
            <w:r w:rsidRPr="00DE096C">
              <w:rPr>
                <w:bCs/>
                <w:color w:val="002060"/>
                <w:sz w:val="16"/>
                <w:szCs w:val="16"/>
              </w:rPr>
              <w:t>54.1</w:t>
            </w:r>
          </w:p>
        </w:tc>
        <w:tc>
          <w:tcPr>
            <w:tcW w:w="425" w:type="dxa"/>
          </w:tcPr>
          <w:p w14:paraId="56EF3718" w14:textId="77777777" w:rsidR="00B67D7C" w:rsidRPr="00DE096C" w:rsidRDefault="00B67D7C" w:rsidP="00D45A46">
            <w:pPr>
              <w:jc w:val="both"/>
              <w:rPr>
                <w:bCs/>
                <w:color w:val="002060"/>
                <w:sz w:val="16"/>
                <w:szCs w:val="16"/>
              </w:rPr>
            </w:pPr>
            <w:r w:rsidRPr="00DE096C">
              <w:rPr>
                <w:bCs/>
                <w:color w:val="002060"/>
                <w:sz w:val="16"/>
                <w:szCs w:val="16"/>
              </w:rPr>
              <w:t>40.5</w:t>
            </w:r>
          </w:p>
        </w:tc>
        <w:tc>
          <w:tcPr>
            <w:tcW w:w="425" w:type="dxa"/>
          </w:tcPr>
          <w:p w14:paraId="3221883C" w14:textId="77777777" w:rsidR="00B67D7C" w:rsidRPr="00DE096C" w:rsidRDefault="00B67D7C" w:rsidP="00D45A46">
            <w:pPr>
              <w:jc w:val="both"/>
              <w:rPr>
                <w:bCs/>
                <w:color w:val="002060"/>
                <w:sz w:val="16"/>
                <w:szCs w:val="16"/>
              </w:rPr>
            </w:pPr>
            <w:r w:rsidRPr="00DE096C">
              <w:rPr>
                <w:bCs/>
                <w:color w:val="002060"/>
                <w:sz w:val="16"/>
                <w:szCs w:val="16"/>
              </w:rPr>
              <w:t>37.5</w:t>
            </w:r>
          </w:p>
        </w:tc>
        <w:tc>
          <w:tcPr>
            <w:tcW w:w="426" w:type="dxa"/>
          </w:tcPr>
          <w:p w14:paraId="4B742A95" w14:textId="77777777" w:rsidR="00B67D7C" w:rsidRPr="00DE096C" w:rsidRDefault="00B67D7C" w:rsidP="00D45A46">
            <w:pPr>
              <w:jc w:val="both"/>
              <w:rPr>
                <w:bCs/>
                <w:color w:val="002060"/>
                <w:sz w:val="16"/>
                <w:szCs w:val="16"/>
              </w:rPr>
            </w:pPr>
            <w:r w:rsidRPr="00DE096C">
              <w:rPr>
                <w:bCs/>
                <w:color w:val="002060"/>
                <w:sz w:val="16"/>
                <w:szCs w:val="16"/>
              </w:rPr>
              <w:t>40.0</w:t>
            </w:r>
          </w:p>
        </w:tc>
        <w:tc>
          <w:tcPr>
            <w:tcW w:w="425" w:type="dxa"/>
          </w:tcPr>
          <w:p w14:paraId="4292663A" w14:textId="77777777" w:rsidR="00B67D7C" w:rsidRPr="00DE096C" w:rsidRDefault="00B67D7C" w:rsidP="00D45A46">
            <w:pPr>
              <w:jc w:val="both"/>
              <w:rPr>
                <w:bCs/>
                <w:color w:val="002060"/>
                <w:sz w:val="16"/>
                <w:szCs w:val="16"/>
              </w:rPr>
            </w:pPr>
            <w:r w:rsidRPr="00DE096C">
              <w:rPr>
                <w:bCs/>
                <w:color w:val="002060"/>
                <w:sz w:val="16"/>
                <w:szCs w:val="16"/>
              </w:rPr>
              <w:t>28.1</w:t>
            </w:r>
          </w:p>
        </w:tc>
        <w:tc>
          <w:tcPr>
            <w:tcW w:w="425" w:type="dxa"/>
          </w:tcPr>
          <w:p w14:paraId="05689F95" w14:textId="77777777" w:rsidR="00B67D7C" w:rsidRPr="00DE096C" w:rsidRDefault="00B67D7C" w:rsidP="00D45A46">
            <w:pPr>
              <w:jc w:val="both"/>
              <w:rPr>
                <w:bCs/>
                <w:color w:val="002060"/>
                <w:sz w:val="16"/>
                <w:szCs w:val="16"/>
              </w:rPr>
            </w:pPr>
            <w:r w:rsidRPr="00DE096C">
              <w:rPr>
                <w:bCs/>
                <w:color w:val="002060"/>
                <w:sz w:val="16"/>
                <w:szCs w:val="16"/>
              </w:rPr>
              <w:t>29.6</w:t>
            </w:r>
          </w:p>
        </w:tc>
        <w:tc>
          <w:tcPr>
            <w:tcW w:w="567" w:type="dxa"/>
            <w:gridSpan w:val="2"/>
          </w:tcPr>
          <w:p w14:paraId="19BEC8CF" w14:textId="77777777" w:rsidR="00B67D7C" w:rsidRPr="00DE096C" w:rsidRDefault="00B67D7C" w:rsidP="00D45A46">
            <w:pPr>
              <w:jc w:val="both"/>
              <w:rPr>
                <w:bCs/>
                <w:color w:val="002060"/>
                <w:sz w:val="16"/>
                <w:szCs w:val="16"/>
              </w:rPr>
            </w:pPr>
            <w:r w:rsidRPr="00DE096C">
              <w:rPr>
                <w:bCs/>
                <w:color w:val="002060"/>
                <w:sz w:val="16"/>
                <w:szCs w:val="16"/>
              </w:rPr>
              <w:t>15.2</w:t>
            </w:r>
          </w:p>
        </w:tc>
        <w:tc>
          <w:tcPr>
            <w:tcW w:w="567" w:type="dxa"/>
          </w:tcPr>
          <w:p w14:paraId="472A7116" w14:textId="77777777" w:rsidR="00B67D7C" w:rsidRPr="00DE096C" w:rsidRDefault="00B67D7C" w:rsidP="00D45A46">
            <w:pPr>
              <w:jc w:val="both"/>
              <w:rPr>
                <w:bCs/>
                <w:color w:val="002060"/>
                <w:sz w:val="16"/>
                <w:szCs w:val="16"/>
              </w:rPr>
            </w:pPr>
            <w:r w:rsidRPr="00DE096C">
              <w:rPr>
                <w:bCs/>
                <w:color w:val="002060"/>
                <w:sz w:val="16"/>
                <w:szCs w:val="16"/>
              </w:rPr>
              <w:t>506.7</w:t>
            </w:r>
          </w:p>
        </w:tc>
      </w:tr>
      <w:tr w:rsidR="00B67D7C" w:rsidRPr="00DE096C" w14:paraId="3445E405" w14:textId="77777777" w:rsidTr="00C2024A">
        <w:tc>
          <w:tcPr>
            <w:tcW w:w="1186" w:type="dxa"/>
          </w:tcPr>
          <w:p w14:paraId="57C9C3C3" w14:textId="77777777" w:rsidR="00B67D7C" w:rsidRPr="00DE096C" w:rsidRDefault="00B67D7C" w:rsidP="00D45A46">
            <w:pPr>
              <w:jc w:val="both"/>
              <w:rPr>
                <w:bCs/>
                <w:color w:val="002060"/>
                <w:sz w:val="16"/>
                <w:szCs w:val="16"/>
              </w:rPr>
            </w:pPr>
            <w:r w:rsidRPr="00DE096C">
              <w:rPr>
                <w:bCs/>
                <w:color w:val="002060"/>
                <w:sz w:val="16"/>
                <w:szCs w:val="16"/>
              </w:rPr>
              <w:t>Ижевскиий</w:t>
            </w:r>
          </w:p>
        </w:tc>
        <w:tc>
          <w:tcPr>
            <w:tcW w:w="374" w:type="dxa"/>
          </w:tcPr>
          <w:p w14:paraId="7267E362" w14:textId="77777777" w:rsidR="00B67D7C" w:rsidRPr="00DE096C" w:rsidRDefault="00B67D7C" w:rsidP="00D45A46">
            <w:pPr>
              <w:jc w:val="both"/>
              <w:rPr>
                <w:bCs/>
                <w:color w:val="002060"/>
                <w:sz w:val="16"/>
                <w:szCs w:val="16"/>
              </w:rPr>
            </w:pPr>
            <w:r w:rsidRPr="00DE096C">
              <w:rPr>
                <w:bCs/>
                <w:color w:val="002060"/>
                <w:sz w:val="16"/>
                <w:szCs w:val="16"/>
              </w:rPr>
              <w:t>55.7</w:t>
            </w:r>
          </w:p>
        </w:tc>
        <w:tc>
          <w:tcPr>
            <w:tcW w:w="425" w:type="dxa"/>
          </w:tcPr>
          <w:p w14:paraId="168B14C0" w14:textId="77777777" w:rsidR="00B67D7C" w:rsidRPr="00DE096C" w:rsidRDefault="00B67D7C" w:rsidP="00D45A46">
            <w:pPr>
              <w:jc w:val="both"/>
              <w:rPr>
                <w:bCs/>
                <w:color w:val="002060"/>
                <w:sz w:val="16"/>
                <w:szCs w:val="16"/>
              </w:rPr>
            </w:pPr>
            <w:r w:rsidRPr="00DE096C">
              <w:rPr>
                <w:bCs/>
                <w:color w:val="002060"/>
                <w:sz w:val="16"/>
                <w:szCs w:val="16"/>
              </w:rPr>
              <w:t>39.0</w:t>
            </w:r>
          </w:p>
        </w:tc>
        <w:tc>
          <w:tcPr>
            <w:tcW w:w="425" w:type="dxa"/>
          </w:tcPr>
          <w:p w14:paraId="70A7BDD3" w14:textId="77777777" w:rsidR="00B67D7C" w:rsidRPr="00DE096C" w:rsidRDefault="00B67D7C" w:rsidP="00D45A46">
            <w:pPr>
              <w:jc w:val="both"/>
              <w:rPr>
                <w:bCs/>
                <w:color w:val="002060"/>
                <w:sz w:val="16"/>
                <w:szCs w:val="16"/>
              </w:rPr>
            </w:pPr>
            <w:r w:rsidRPr="00DE096C">
              <w:rPr>
                <w:bCs/>
                <w:color w:val="002060"/>
                <w:sz w:val="16"/>
                <w:szCs w:val="16"/>
              </w:rPr>
              <w:t>55.8</w:t>
            </w:r>
          </w:p>
        </w:tc>
        <w:tc>
          <w:tcPr>
            <w:tcW w:w="425" w:type="dxa"/>
          </w:tcPr>
          <w:p w14:paraId="6E2A2AB4" w14:textId="77777777" w:rsidR="00B67D7C" w:rsidRPr="00DE096C" w:rsidRDefault="00B67D7C" w:rsidP="00D45A46">
            <w:pPr>
              <w:jc w:val="both"/>
              <w:rPr>
                <w:bCs/>
                <w:color w:val="002060"/>
                <w:sz w:val="16"/>
                <w:szCs w:val="16"/>
              </w:rPr>
            </w:pPr>
            <w:r w:rsidRPr="00DE096C">
              <w:rPr>
                <w:bCs/>
                <w:color w:val="002060"/>
                <w:sz w:val="16"/>
                <w:szCs w:val="16"/>
              </w:rPr>
              <w:t>52.7</w:t>
            </w:r>
          </w:p>
        </w:tc>
        <w:tc>
          <w:tcPr>
            <w:tcW w:w="426" w:type="dxa"/>
          </w:tcPr>
          <w:p w14:paraId="62B540B0" w14:textId="77777777" w:rsidR="00B67D7C" w:rsidRPr="00DE096C" w:rsidRDefault="00B67D7C" w:rsidP="00D45A46">
            <w:pPr>
              <w:jc w:val="both"/>
              <w:rPr>
                <w:bCs/>
                <w:color w:val="002060"/>
                <w:sz w:val="16"/>
                <w:szCs w:val="16"/>
              </w:rPr>
            </w:pPr>
            <w:r w:rsidRPr="00DE096C">
              <w:rPr>
                <w:bCs/>
                <w:color w:val="002060"/>
                <w:sz w:val="16"/>
                <w:szCs w:val="16"/>
              </w:rPr>
              <w:t>55.1</w:t>
            </w:r>
          </w:p>
        </w:tc>
        <w:tc>
          <w:tcPr>
            <w:tcW w:w="425" w:type="dxa"/>
          </w:tcPr>
          <w:p w14:paraId="5E7F7F2B" w14:textId="77777777" w:rsidR="00B67D7C" w:rsidRPr="00DE096C" w:rsidRDefault="00B67D7C" w:rsidP="00D45A46">
            <w:pPr>
              <w:jc w:val="both"/>
              <w:rPr>
                <w:bCs/>
                <w:color w:val="002060"/>
                <w:sz w:val="16"/>
                <w:szCs w:val="16"/>
              </w:rPr>
            </w:pPr>
            <w:r w:rsidRPr="00DE096C">
              <w:rPr>
                <w:bCs/>
                <w:color w:val="002060"/>
                <w:sz w:val="16"/>
                <w:szCs w:val="16"/>
              </w:rPr>
              <w:t>54.0</w:t>
            </w:r>
          </w:p>
        </w:tc>
        <w:tc>
          <w:tcPr>
            <w:tcW w:w="425" w:type="dxa"/>
          </w:tcPr>
          <w:p w14:paraId="5C3E8FA7" w14:textId="77777777" w:rsidR="00B67D7C" w:rsidRPr="00DE096C" w:rsidRDefault="00B67D7C" w:rsidP="00D45A46">
            <w:pPr>
              <w:jc w:val="both"/>
              <w:rPr>
                <w:bCs/>
                <w:color w:val="002060"/>
                <w:sz w:val="16"/>
                <w:szCs w:val="16"/>
              </w:rPr>
            </w:pPr>
            <w:r w:rsidRPr="00DE096C">
              <w:rPr>
                <w:bCs/>
                <w:color w:val="002060"/>
                <w:sz w:val="16"/>
                <w:szCs w:val="16"/>
              </w:rPr>
              <w:t>46.8</w:t>
            </w:r>
          </w:p>
        </w:tc>
        <w:tc>
          <w:tcPr>
            <w:tcW w:w="425" w:type="dxa"/>
          </w:tcPr>
          <w:p w14:paraId="6719DD3F" w14:textId="77777777" w:rsidR="00B67D7C" w:rsidRPr="00DE096C" w:rsidRDefault="00B67D7C" w:rsidP="00D45A46">
            <w:pPr>
              <w:jc w:val="both"/>
              <w:rPr>
                <w:bCs/>
                <w:color w:val="002060"/>
                <w:sz w:val="16"/>
                <w:szCs w:val="16"/>
              </w:rPr>
            </w:pPr>
            <w:r w:rsidRPr="00DE096C">
              <w:rPr>
                <w:bCs/>
                <w:color w:val="002060"/>
                <w:sz w:val="16"/>
                <w:szCs w:val="16"/>
              </w:rPr>
              <w:t>31.3</w:t>
            </w:r>
          </w:p>
        </w:tc>
        <w:tc>
          <w:tcPr>
            <w:tcW w:w="426" w:type="dxa"/>
          </w:tcPr>
          <w:p w14:paraId="6649A316" w14:textId="77777777" w:rsidR="00B67D7C" w:rsidRPr="00DE096C" w:rsidRDefault="00B67D7C" w:rsidP="00D45A46">
            <w:pPr>
              <w:jc w:val="both"/>
              <w:rPr>
                <w:bCs/>
                <w:color w:val="002060"/>
                <w:sz w:val="16"/>
                <w:szCs w:val="16"/>
              </w:rPr>
            </w:pPr>
            <w:r w:rsidRPr="00DE096C">
              <w:rPr>
                <w:bCs/>
                <w:color w:val="002060"/>
                <w:sz w:val="16"/>
                <w:szCs w:val="16"/>
              </w:rPr>
              <w:t>30.0</w:t>
            </w:r>
          </w:p>
        </w:tc>
        <w:tc>
          <w:tcPr>
            <w:tcW w:w="425" w:type="dxa"/>
          </w:tcPr>
          <w:p w14:paraId="32025DBB" w14:textId="77777777" w:rsidR="00B67D7C" w:rsidRPr="00DE096C" w:rsidRDefault="00B67D7C" w:rsidP="00D45A46">
            <w:pPr>
              <w:jc w:val="both"/>
              <w:rPr>
                <w:bCs/>
                <w:color w:val="002060"/>
                <w:sz w:val="16"/>
                <w:szCs w:val="16"/>
              </w:rPr>
            </w:pPr>
            <w:r w:rsidRPr="00DE096C">
              <w:rPr>
                <w:bCs/>
                <w:color w:val="002060"/>
                <w:sz w:val="16"/>
                <w:szCs w:val="16"/>
              </w:rPr>
              <w:t>32.5</w:t>
            </w:r>
          </w:p>
        </w:tc>
        <w:tc>
          <w:tcPr>
            <w:tcW w:w="425" w:type="dxa"/>
          </w:tcPr>
          <w:p w14:paraId="1FD2A780" w14:textId="77777777" w:rsidR="00B67D7C" w:rsidRPr="00DE096C" w:rsidRDefault="00B67D7C" w:rsidP="00D45A46">
            <w:pPr>
              <w:jc w:val="both"/>
              <w:rPr>
                <w:bCs/>
                <w:color w:val="002060"/>
                <w:sz w:val="16"/>
                <w:szCs w:val="16"/>
              </w:rPr>
            </w:pPr>
            <w:r w:rsidRPr="00DE096C">
              <w:rPr>
                <w:bCs/>
                <w:color w:val="002060"/>
                <w:sz w:val="16"/>
                <w:szCs w:val="16"/>
              </w:rPr>
              <w:t>28.8</w:t>
            </w:r>
          </w:p>
        </w:tc>
        <w:tc>
          <w:tcPr>
            <w:tcW w:w="567" w:type="dxa"/>
            <w:gridSpan w:val="2"/>
          </w:tcPr>
          <w:p w14:paraId="6F70A7CC" w14:textId="77777777" w:rsidR="00B67D7C" w:rsidRPr="00DE096C" w:rsidRDefault="00B67D7C" w:rsidP="00D45A46">
            <w:pPr>
              <w:jc w:val="both"/>
              <w:rPr>
                <w:bCs/>
                <w:color w:val="002060"/>
                <w:sz w:val="16"/>
                <w:szCs w:val="16"/>
              </w:rPr>
            </w:pPr>
            <w:r w:rsidRPr="00DE096C">
              <w:rPr>
                <w:bCs/>
                <w:color w:val="002060"/>
                <w:sz w:val="16"/>
                <w:szCs w:val="16"/>
              </w:rPr>
              <w:t>24.3</w:t>
            </w:r>
          </w:p>
        </w:tc>
        <w:tc>
          <w:tcPr>
            <w:tcW w:w="567" w:type="dxa"/>
          </w:tcPr>
          <w:p w14:paraId="4FE23631" w14:textId="77777777" w:rsidR="00B67D7C" w:rsidRPr="00DE096C" w:rsidRDefault="00B67D7C" w:rsidP="00D45A46">
            <w:pPr>
              <w:jc w:val="both"/>
              <w:rPr>
                <w:bCs/>
                <w:color w:val="002060"/>
                <w:sz w:val="16"/>
                <w:szCs w:val="16"/>
              </w:rPr>
            </w:pPr>
            <w:r w:rsidRPr="00DE096C">
              <w:rPr>
                <w:bCs/>
                <w:color w:val="002060"/>
                <w:sz w:val="16"/>
                <w:szCs w:val="16"/>
              </w:rPr>
              <w:t>505.9</w:t>
            </w:r>
          </w:p>
        </w:tc>
      </w:tr>
      <w:tr w:rsidR="00B67D7C" w:rsidRPr="00DE096C" w14:paraId="63F963CC" w14:textId="77777777" w:rsidTr="00C2024A">
        <w:tc>
          <w:tcPr>
            <w:tcW w:w="1186" w:type="dxa"/>
          </w:tcPr>
          <w:p w14:paraId="78497512" w14:textId="77777777" w:rsidR="00B67D7C" w:rsidRPr="00DE096C" w:rsidRDefault="00B67D7C" w:rsidP="00D45A46">
            <w:pPr>
              <w:jc w:val="both"/>
              <w:rPr>
                <w:bCs/>
                <w:color w:val="002060"/>
                <w:sz w:val="16"/>
                <w:szCs w:val="16"/>
              </w:rPr>
            </w:pPr>
            <w:r w:rsidRPr="00DE096C">
              <w:rPr>
                <w:bCs/>
                <w:color w:val="002060"/>
                <w:sz w:val="16"/>
                <w:szCs w:val="16"/>
              </w:rPr>
              <w:t>Сестрорецкий</w:t>
            </w:r>
          </w:p>
        </w:tc>
        <w:tc>
          <w:tcPr>
            <w:tcW w:w="374" w:type="dxa"/>
          </w:tcPr>
          <w:p w14:paraId="351D2AE7" w14:textId="77777777" w:rsidR="00B67D7C" w:rsidRPr="00DE096C" w:rsidRDefault="00B67D7C" w:rsidP="00D45A46">
            <w:pPr>
              <w:jc w:val="both"/>
              <w:rPr>
                <w:bCs/>
                <w:color w:val="002060"/>
                <w:sz w:val="16"/>
                <w:szCs w:val="16"/>
              </w:rPr>
            </w:pPr>
            <w:r w:rsidRPr="00DE096C">
              <w:rPr>
                <w:bCs/>
                <w:color w:val="002060"/>
                <w:sz w:val="16"/>
                <w:szCs w:val="16"/>
              </w:rPr>
              <w:t>11.1</w:t>
            </w:r>
          </w:p>
        </w:tc>
        <w:tc>
          <w:tcPr>
            <w:tcW w:w="425" w:type="dxa"/>
          </w:tcPr>
          <w:p w14:paraId="3B03A108" w14:textId="77777777" w:rsidR="00B67D7C" w:rsidRPr="00DE096C" w:rsidRDefault="00B67D7C" w:rsidP="00D45A46">
            <w:pPr>
              <w:jc w:val="both"/>
              <w:rPr>
                <w:bCs/>
                <w:color w:val="002060"/>
                <w:sz w:val="16"/>
                <w:szCs w:val="16"/>
              </w:rPr>
            </w:pPr>
            <w:r w:rsidRPr="00DE096C">
              <w:rPr>
                <w:bCs/>
                <w:color w:val="002060"/>
                <w:sz w:val="16"/>
                <w:szCs w:val="16"/>
              </w:rPr>
              <w:t>11.0</w:t>
            </w:r>
          </w:p>
        </w:tc>
        <w:tc>
          <w:tcPr>
            <w:tcW w:w="425" w:type="dxa"/>
          </w:tcPr>
          <w:p w14:paraId="154583D4" w14:textId="77777777" w:rsidR="00B67D7C" w:rsidRPr="00DE096C" w:rsidRDefault="00B67D7C" w:rsidP="00D45A46">
            <w:pPr>
              <w:jc w:val="both"/>
              <w:rPr>
                <w:bCs/>
                <w:color w:val="002060"/>
                <w:sz w:val="16"/>
                <w:szCs w:val="16"/>
              </w:rPr>
            </w:pPr>
            <w:r w:rsidRPr="00DE096C">
              <w:rPr>
                <w:bCs/>
                <w:color w:val="002060"/>
                <w:sz w:val="16"/>
                <w:szCs w:val="16"/>
              </w:rPr>
              <w:t>6.4</w:t>
            </w:r>
          </w:p>
        </w:tc>
        <w:tc>
          <w:tcPr>
            <w:tcW w:w="425" w:type="dxa"/>
          </w:tcPr>
          <w:p w14:paraId="26DF2047" w14:textId="77777777" w:rsidR="00B67D7C" w:rsidRPr="00DE096C" w:rsidRDefault="00B67D7C" w:rsidP="00D45A46">
            <w:pPr>
              <w:jc w:val="both"/>
              <w:rPr>
                <w:bCs/>
                <w:color w:val="002060"/>
                <w:sz w:val="16"/>
                <w:szCs w:val="16"/>
              </w:rPr>
            </w:pPr>
            <w:r w:rsidRPr="00DE096C">
              <w:rPr>
                <w:bCs/>
                <w:color w:val="002060"/>
                <w:sz w:val="16"/>
                <w:szCs w:val="16"/>
              </w:rPr>
              <w:t>1.3</w:t>
            </w:r>
          </w:p>
        </w:tc>
        <w:tc>
          <w:tcPr>
            <w:tcW w:w="426" w:type="dxa"/>
          </w:tcPr>
          <w:p w14:paraId="58E6097A" w14:textId="77777777" w:rsidR="00B67D7C" w:rsidRPr="00DE096C" w:rsidRDefault="00B67D7C" w:rsidP="00D45A46">
            <w:pPr>
              <w:jc w:val="both"/>
              <w:rPr>
                <w:bCs/>
                <w:color w:val="002060"/>
                <w:sz w:val="16"/>
                <w:szCs w:val="16"/>
              </w:rPr>
            </w:pPr>
            <w:r w:rsidRPr="00DE096C">
              <w:rPr>
                <w:bCs/>
                <w:color w:val="002060"/>
                <w:sz w:val="16"/>
                <w:szCs w:val="16"/>
              </w:rPr>
              <w:t>9.9</w:t>
            </w:r>
          </w:p>
        </w:tc>
        <w:tc>
          <w:tcPr>
            <w:tcW w:w="425" w:type="dxa"/>
          </w:tcPr>
          <w:p w14:paraId="0C066451" w14:textId="77777777" w:rsidR="00B67D7C" w:rsidRPr="00DE096C" w:rsidRDefault="00B67D7C" w:rsidP="00D45A46">
            <w:pPr>
              <w:jc w:val="both"/>
              <w:rPr>
                <w:bCs/>
                <w:color w:val="002060"/>
                <w:sz w:val="16"/>
                <w:szCs w:val="16"/>
              </w:rPr>
            </w:pPr>
            <w:r w:rsidRPr="00DE096C">
              <w:rPr>
                <w:bCs/>
                <w:color w:val="002060"/>
                <w:sz w:val="16"/>
                <w:szCs w:val="16"/>
              </w:rPr>
              <w:t>9.8</w:t>
            </w:r>
          </w:p>
        </w:tc>
        <w:tc>
          <w:tcPr>
            <w:tcW w:w="425" w:type="dxa"/>
          </w:tcPr>
          <w:p w14:paraId="6C43267A" w14:textId="77777777" w:rsidR="00B67D7C" w:rsidRPr="00DE096C" w:rsidRDefault="00B67D7C" w:rsidP="00D45A46">
            <w:pPr>
              <w:jc w:val="both"/>
              <w:rPr>
                <w:bCs/>
                <w:color w:val="002060"/>
                <w:sz w:val="16"/>
                <w:szCs w:val="16"/>
              </w:rPr>
            </w:pPr>
            <w:r w:rsidRPr="00DE096C">
              <w:rPr>
                <w:bCs/>
                <w:color w:val="002060"/>
                <w:sz w:val="16"/>
                <w:szCs w:val="16"/>
              </w:rPr>
              <w:t>8.6</w:t>
            </w:r>
          </w:p>
        </w:tc>
        <w:tc>
          <w:tcPr>
            <w:tcW w:w="425" w:type="dxa"/>
          </w:tcPr>
          <w:p w14:paraId="67281938" w14:textId="77777777" w:rsidR="00B67D7C" w:rsidRPr="00DE096C" w:rsidRDefault="00B67D7C" w:rsidP="00D45A46">
            <w:pPr>
              <w:jc w:val="both"/>
              <w:rPr>
                <w:bCs/>
                <w:color w:val="002060"/>
                <w:sz w:val="16"/>
                <w:szCs w:val="16"/>
              </w:rPr>
            </w:pPr>
            <w:r w:rsidRPr="00DE096C">
              <w:rPr>
                <w:bCs/>
                <w:color w:val="002060"/>
                <w:sz w:val="16"/>
                <w:szCs w:val="16"/>
              </w:rPr>
              <w:t>9.8</w:t>
            </w:r>
          </w:p>
        </w:tc>
        <w:tc>
          <w:tcPr>
            <w:tcW w:w="426" w:type="dxa"/>
          </w:tcPr>
          <w:p w14:paraId="085C5FC6" w14:textId="77777777" w:rsidR="00B67D7C" w:rsidRPr="00DE096C" w:rsidRDefault="00B67D7C" w:rsidP="00D45A46">
            <w:pPr>
              <w:jc w:val="both"/>
              <w:rPr>
                <w:bCs/>
                <w:color w:val="002060"/>
                <w:sz w:val="16"/>
                <w:szCs w:val="16"/>
              </w:rPr>
            </w:pPr>
            <w:r w:rsidRPr="00DE096C">
              <w:rPr>
                <w:bCs/>
                <w:color w:val="002060"/>
                <w:sz w:val="16"/>
                <w:szCs w:val="16"/>
              </w:rPr>
              <w:t>8.0</w:t>
            </w:r>
          </w:p>
        </w:tc>
        <w:tc>
          <w:tcPr>
            <w:tcW w:w="425" w:type="dxa"/>
          </w:tcPr>
          <w:p w14:paraId="5AD2EE05" w14:textId="77777777" w:rsidR="00B67D7C" w:rsidRPr="00DE096C" w:rsidRDefault="00B67D7C" w:rsidP="00D45A46">
            <w:pPr>
              <w:jc w:val="both"/>
              <w:rPr>
                <w:bCs/>
                <w:color w:val="002060"/>
                <w:sz w:val="16"/>
                <w:szCs w:val="16"/>
              </w:rPr>
            </w:pPr>
            <w:r w:rsidRPr="00DE096C">
              <w:rPr>
                <w:bCs/>
                <w:color w:val="002060"/>
                <w:sz w:val="16"/>
                <w:szCs w:val="16"/>
              </w:rPr>
              <w:t>10.7</w:t>
            </w:r>
          </w:p>
        </w:tc>
        <w:tc>
          <w:tcPr>
            <w:tcW w:w="425" w:type="dxa"/>
          </w:tcPr>
          <w:p w14:paraId="69020D68" w14:textId="77777777" w:rsidR="00B67D7C" w:rsidRPr="00DE096C" w:rsidRDefault="00B67D7C" w:rsidP="00D45A46">
            <w:pPr>
              <w:jc w:val="both"/>
              <w:rPr>
                <w:bCs/>
                <w:color w:val="002060"/>
                <w:sz w:val="16"/>
                <w:szCs w:val="16"/>
              </w:rPr>
            </w:pPr>
            <w:r w:rsidRPr="00DE096C">
              <w:rPr>
                <w:bCs/>
                <w:color w:val="002060"/>
                <w:sz w:val="16"/>
                <w:szCs w:val="16"/>
              </w:rPr>
              <w:t>8.1</w:t>
            </w:r>
          </w:p>
        </w:tc>
        <w:tc>
          <w:tcPr>
            <w:tcW w:w="567" w:type="dxa"/>
            <w:gridSpan w:val="2"/>
          </w:tcPr>
          <w:p w14:paraId="0EC93596" w14:textId="77777777" w:rsidR="00B67D7C" w:rsidRPr="00DE096C" w:rsidRDefault="00B67D7C" w:rsidP="00D45A46">
            <w:pPr>
              <w:jc w:val="both"/>
              <w:rPr>
                <w:bCs/>
                <w:color w:val="002060"/>
                <w:sz w:val="16"/>
                <w:szCs w:val="16"/>
              </w:rPr>
            </w:pPr>
            <w:r w:rsidRPr="00DE096C">
              <w:rPr>
                <w:bCs/>
                <w:color w:val="002060"/>
                <w:sz w:val="16"/>
                <w:szCs w:val="16"/>
              </w:rPr>
              <w:t>4.2</w:t>
            </w:r>
          </w:p>
        </w:tc>
        <w:tc>
          <w:tcPr>
            <w:tcW w:w="567" w:type="dxa"/>
          </w:tcPr>
          <w:p w14:paraId="5819770F" w14:textId="77777777" w:rsidR="00B67D7C" w:rsidRPr="00DE096C" w:rsidRDefault="00B67D7C" w:rsidP="00D45A46">
            <w:pPr>
              <w:jc w:val="both"/>
              <w:rPr>
                <w:bCs/>
                <w:color w:val="002060"/>
                <w:sz w:val="16"/>
                <w:szCs w:val="16"/>
              </w:rPr>
            </w:pPr>
            <w:r w:rsidRPr="00DE096C">
              <w:rPr>
                <w:bCs/>
                <w:color w:val="002060"/>
                <w:sz w:val="16"/>
                <w:szCs w:val="16"/>
              </w:rPr>
              <w:t>98.9</w:t>
            </w:r>
          </w:p>
        </w:tc>
      </w:tr>
      <w:tr w:rsidR="00B67D7C" w:rsidRPr="00DE096C" w14:paraId="48C612AB" w14:textId="77777777" w:rsidTr="00C2024A">
        <w:tc>
          <w:tcPr>
            <w:tcW w:w="1186" w:type="dxa"/>
          </w:tcPr>
          <w:p w14:paraId="717671C8" w14:textId="77777777" w:rsidR="00B67D7C" w:rsidRPr="00DE096C" w:rsidRDefault="00B67D7C" w:rsidP="00D45A46">
            <w:pPr>
              <w:jc w:val="both"/>
              <w:rPr>
                <w:bCs/>
                <w:color w:val="002060"/>
                <w:sz w:val="16"/>
                <w:szCs w:val="16"/>
              </w:rPr>
            </w:pPr>
            <w:r w:rsidRPr="00DE096C">
              <w:rPr>
                <w:bCs/>
                <w:color w:val="002060"/>
                <w:sz w:val="16"/>
                <w:szCs w:val="16"/>
              </w:rPr>
              <w:t>Итого</w:t>
            </w:r>
          </w:p>
        </w:tc>
        <w:tc>
          <w:tcPr>
            <w:tcW w:w="374" w:type="dxa"/>
          </w:tcPr>
          <w:p w14:paraId="67F7FC57" w14:textId="77777777" w:rsidR="00B67D7C" w:rsidRPr="00DE096C" w:rsidRDefault="00B67D7C" w:rsidP="00D45A46">
            <w:pPr>
              <w:jc w:val="both"/>
              <w:rPr>
                <w:bCs/>
                <w:color w:val="002060"/>
                <w:sz w:val="16"/>
                <w:szCs w:val="16"/>
              </w:rPr>
            </w:pPr>
            <w:r w:rsidRPr="00DE096C">
              <w:rPr>
                <w:bCs/>
                <w:color w:val="002060"/>
                <w:sz w:val="16"/>
                <w:szCs w:val="16"/>
              </w:rPr>
              <w:t>128.8</w:t>
            </w:r>
          </w:p>
        </w:tc>
        <w:tc>
          <w:tcPr>
            <w:tcW w:w="425" w:type="dxa"/>
          </w:tcPr>
          <w:p w14:paraId="2F988B05" w14:textId="77777777" w:rsidR="00B67D7C" w:rsidRPr="00DE096C" w:rsidRDefault="00B67D7C" w:rsidP="00D45A46">
            <w:pPr>
              <w:jc w:val="both"/>
              <w:rPr>
                <w:bCs/>
                <w:color w:val="002060"/>
                <w:sz w:val="16"/>
                <w:szCs w:val="16"/>
              </w:rPr>
            </w:pPr>
            <w:r w:rsidRPr="00DE096C">
              <w:rPr>
                <w:bCs/>
                <w:color w:val="002060"/>
                <w:sz w:val="16"/>
                <w:szCs w:val="16"/>
              </w:rPr>
              <w:t>92.0</w:t>
            </w:r>
          </w:p>
        </w:tc>
        <w:tc>
          <w:tcPr>
            <w:tcW w:w="425" w:type="dxa"/>
          </w:tcPr>
          <w:p w14:paraId="0A1A0A7F" w14:textId="77777777" w:rsidR="00B67D7C" w:rsidRPr="00DE096C" w:rsidRDefault="00B67D7C" w:rsidP="00D45A46">
            <w:pPr>
              <w:jc w:val="both"/>
              <w:rPr>
                <w:bCs/>
                <w:color w:val="002060"/>
                <w:sz w:val="16"/>
                <w:szCs w:val="16"/>
              </w:rPr>
            </w:pPr>
            <w:r w:rsidRPr="00DE096C">
              <w:rPr>
                <w:bCs/>
                <w:color w:val="002060"/>
                <w:sz w:val="16"/>
                <w:szCs w:val="16"/>
              </w:rPr>
              <w:t>120.6</w:t>
            </w:r>
          </w:p>
        </w:tc>
        <w:tc>
          <w:tcPr>
            <w:tcW w:w="425" w:type="dxa"/>
          </w:tcPr>
          <w:p w14:paraId="24116F26" w14:textId="77777777" w:rsidR="00B67D7C" w:rsidRPr="00DE096C" w:rsidRDefault="00B67D7C" w:rsidP="00D45A46">
            <w:pPr>
              <w:jc w:val="both"/>
              <w:rPr>
                <w:bCs/>
                <w:color w:val="002060"/>
                <w:sz w:val="16"/>
                <w:szCs w:val="16"/>
              </w:rPr>
            </w:pPr>
            <w:r w:rsidRPr="00DE096C">
              <w:rPr>
                <w:bCs/>
                <w:color w:val="002060"/>
                <w:sz w:val="16"/>
                <w:szCs w:val="16"/>
              </w:rPr>
              <w:t>101.7</w:t>
            </w:r>
          </w:p>
        </w:tc>
        <w:tc>
          <w:tcPr>
            <w:tcW w:w="426" w:type="dxa"/>
          </w:tcPr>
          <w:p w14:paraId="4BE1C372" w14:textId="77777777" w:rsidR="00B67D7C" w:rsidRPr="00DE096C" w:rsidRDefault="00B67D7C" w:rsidP="00D45A46">
            <w:pPr>
              <w:jc w:val="both"/>
              <w:rPr>
                <w:bCs/>
                <w:color w:val="002060"/>
                <w:sz w:val="16"/>
                <w:szCs w:val="16"/>
              </w:rPr>
            </w:pPr>
            <w:r w:rsidRPr="00DE096C">
              <w:rPr>
                <w:bCs/>
                <w:color w:val="002060"/>
                <w:sz w:val="16"/>
                <w:szCs w:val="16"/>
              </w:rPr>
              <w:t>116.4</w:t>
            </w:r>
          </w:p>
        </w:tc>
        <w:tc>
          <w:tcPr>
            <w:tcW w:w="425" w:type="dxa"/>
          </w:tcPr>
          <w:p w14:paraId="2F13C08F" w14:textId="77777777" w:rsidR="00B67D7C" w:rsidRPr="00DE096C" w:rsidRDefault="00B67D7C" w:rsidP="00D45A46">
            <w:pPr>
              <w:jc w:val="both"/>
              <w:rPr>
                <w:bCs/>
                <w:color w:val="002060"/>
                <w:sz w:val="16"/>
                <w:szCs w:val="16"/>
              </w:rPr>
            </w:pPr>
            <w:r w:rsidRPr="00DE096C">
              <w:rPr>
                <w:bCs/>
                <w:color w:val="002060"/>
                <w:sz w:val="16"/>
                <w:szCs w:val="16"/>
              </w:rPr>
              <w:t>117.9</w:t>
            </w:r>
          </w:p>
        </w:tc>
        <w:tc>
          <w:tcPr>
            <w:tcW w:w="425" w:type="dxa"/>
          </w:tcPr>
          <w:p w14:paraId="23CF071E" w14:textId="77777777" w:rsidR="00B67D7C" w:rsidRPr="00DE096C" w:rsidRDefault="00B67D7C" w:rsidP="00D45A46">
            <w:pPr>
              <w:jc w:val="both"/>
              <w:rPr>
                <w:bCs/>
                <w:color w:val="002060"/>
                <w:sz w:val="16"/>
                <w:szCs w:val="16"/>
              </w:rPr>
            </w:pPr>
            <w:r w:rsidRPr="00DE096C">
              <w:rPr>
                <w:bCs/>
                <w:color w:val="002060"/>
                <w:sz w:val="16"/>
                <w:szCs w:val="16"/>
              </w:rPr>
              <w:t>95.9</w:t>
            </w:r>
          </w:p>
        </w:tc>
        <w:tc>
          <w:tcPr>
            <w:tcW w:w="425" w:type="dxa"/>
          </w:tcPr>
          <w:p w14:paraId="5850C338" w14:textId="77777777" w:rsidR="00B67D7C" w:rsidRPr="00DE096C" w:rsidRDefault="00B67D7C" w:rsidP="00D45A46">
            <w:pPr>
              <w:jc w:val="both"/>
              <w:rPr>
                <w:bCs/>
                <w:color w:val="002060"/>
                <w:sz w:val="16"/>
                <w:szCs w:val="16"/>
              </w:rPr>
            </w:pPr>
            <w:r w:rsidRPr="00DE096C">
              <w:rPr>
                <w:bCs/>
                <w:color w:val="002060"/>
                <w:sz w:val="16"/>
                <w:szCs w:val="16"/>
              </w:rPr>
              <w:t>78.6</w:t>
            </w:r>
          </w:p>
        </w:tc>
        <w:tc>
          <w:tcPr>
            <w:tcW w:w="426" w:type="dxa"/>
          </w:tcPr>
          <w:p w14:paraId="2D5E1376" w14:textId="77777777" w:rsidR="00B67D7C" w:rsidRPr="00DE096C" w:rsidRDefault="00B67D7C" w:rsidP="00D45A46">
            <w:pPr>
              <w:jc w:val="both"/>
              <w:rPr>
                <w:bCs/>
                <w:color w:val="002060"/>
                <w:sz w:val="16"/>
                <w:szCs w:val="16"/>
              </w:rPr>
            </w:pPr>
            <w:r w:rsidRPr="00DE096C">
              <w:rPr>
                <w:bCs/>
                <w:color w:val="002060"/>
                <w:sz w:val="16"/>
                <w:szCs w:val="16"/>
              </w:rPr>
              <w:t>78.0</w:t>
            </w:r>
          </w:p>
        </w:tc>
        <w:tc>
          <w:tcPr>
            <w:tcW w:w="425" w:type="dxa"/>
          </w:tcPr>
          <w:p w14:paraId="0D1D60B9" w14:textId="77777777" w:rsidR="00B67D7C" w:rsidRPr="00DE096C" w:rsidRDefault="00B67D7C" w:rsidP="00D45A46">
            <w:pPr>
              <w:jc w:val="both"/>
              <w:rPr>
                <w:bCs/>
                <w:color w:val="002060"/>
                <w:sz w:val="16"/>
                <w:szCs w:val="16"/>
              </w:rPr>
            </w:pPr>
            <w:r w:rsidRPr="00DE096C">
              <w:rPr>
                <w:bCs/>
                <w:color w:val="002060"/>
                <w:sz w:val="16"/>
                <w:szCs w:val="16"/>
              </w:rPr>
              <w:t>71.3</w:t>
            </w:r>
          </w:p>
        </w:tc>
        <w:tc>
          <w:tcPr>
            <w:tcW w:w="425" w:type="dxa"/>
          </w:tcPr>
          <w:p w14:paraId="3B145E4B" w14:textId="77777777" w:rsidR="00B67D7C" w:rsidRPr="00DE096C" w:rsidRDefault="00B67D7C" w:rsidP="00D45A46">
            <w:pPr>
              <w:jc w:val="both"/>
              <w:rPr>
                <w:bCs/>
                <w:color w:val="002060"/>
                <w:sz w:val="16"/>
                <w:szCs w:val="16"/>
              </w:rPr>
            </w:pPr>
            <w:r w:rsidRPr="00DE096C">
              <w:rPr>
                <w:bCs/>
                <w:color w:val="002060"/>
                <w:sz w:val="16"/>
                <w:szCs w:val="16"/>
              </w:rPr>
              <w:t>66.5</w:t>
            </w:r>
          </w:p>
        </w:tc>
        <w:tc>
          <w:tcPr>
            <w:tcW w:w="567" w:type="dxa"/>
            <w:gridSpan w:val="2"/>
          </w:tcPr>
          <w:p w14:paraId="177228DB" w14:textId="77777777" w:rsidR="00B67D7C" w:rsidRPr="00DE096C" w:rsidRDefault="00B67D7C" w:rsidP="00D45A46">
            <w:pPr>
              <w:jc w:val="both"/>
              <w:rPr>
                <w:bCs/>
                <w:color w:val="002060"/>
                <w:sz w:val="16"/>
                <w:szCs w:val="16"/>
              </w:rPr>
            </w:pPr>
            <w:r w:rsidRPr="00DE096C">
              <w:rPr>
                <w:bCs/>
                <w:color w:val="002060"/>
                <w:sz w:val="16"/>
                <w:szCs w:val="16"/>
              </w:rPr>
              <w:t>43.7</w:t>
            </w:r>
          </w:p>
        </w:tc>
        <w:tc>
          <w:tcPr>
            <w:tcW w:w="567" w:type="dxa"/>
          </w:tcPr>
          <w:p w14:paraId="11962996" w14:textId="77777777" w:rsidR="00B67D7C" w:rsidRPr="00DE096C" w:rsidRDefault="00B67D7C" w:rsidP="00D45A46">
            <w:pPr>
              <w:jc w:val="both"/>
              <w:rPr>
                <w:bCs/>
                <w:color w:val="002060"/>
                <w:sz w:val="16"/>
                <w:szCs w:val="16"/>
              </w:rPr>
            </w:pPr>
            <w:r w:rsidRPr="00DE096C">
              <w:rPr>
                <w:bCs/>
                <w:color w:val="002060"/>
                <w:sz w:val="16"/>
                <w:szCs w:val="16"/>
              </w:rPr>
              <w:t>1111.4</w:t>
            </w:r>
          </w:p>
        </w:tc>
      </w:tr>
    </w:tbl>
    <w:p w14:paraId="71C70648" w14:textId="77777777" w:rsidR="00B67D7C" w:rsidRPr="00DE096C" w:rsidRDefault="00B67D7C" w:rsidP="00D45A46">
      <w:pPr>
        <w:jc w:val="both"/>
        <w:rPr>
          <w:bCs/>
          <w:color w:val="002060"/>
          <w:sz w:val="16"/>
          <w:szCs w:val="16"/>
        </w:rPr>
      </w:pPr>
      <w:r w:rsidRPr="00DE096C">
        <w:rPr>
          <w:bCs/>
          <w:color w:val="002060"/>
          <w:sz w:val="16"/>
          <w:szCs w:val="16"/>
        </w:rPr>
        <w:t xml:space="preserve">Мощность оружейных заводов к началу войны, по составу их оборудования, оценивалась, при расчете на 2-2,5 сменную работу, в следующих цифрах: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356"/>
        <w:gridCol w:w="1356"/>
        <w:gridCol w:w="1356"/>
        <w:gridCol w:w="1356"/>
      </w:tblGrid>
      <w:tr w:rsidR="00B67D7C" w:rsidRPr="00DE096C" w14:paraId="36AC1BF1" w14:textId="77777777" w:rsidTr="00C2024A">
        <w:tc>
          <w:tcPr>
            <w:tcW w:w="1356" w:type="dxa"/>
          </w:tcPr>
          <w:p w14:paraId="7B48E207" w14:textId="77777777" w:rsidR="00B67D7C" w:rsidRPr="00DE096C" w:rsidRDefault="00B67D7C" w:rsidP="00D45A46">
            <w:pPr>
              <w:jc w:val="both"/>
              <w:rPr>
                <w:bCs/>
                <w:color w:val="002060"/>
                <w:sz w:val="16"/>
                <w:szCs w:val="16"/>
              </w:rPr>
            </w:pPr>
            <w:r w:rsidRPr="00DE096C">
              <w:rPr>
                <w:bCs/>
                <w:color w:val="002060"/>
                <w:sz w:val="16"/>
                <w:szCs w:val="16"/>
              </w:rPr>
              <w:t> </w:t>
            </w:r>
          </w:p>
        </w:tc>
        <w:tc>
          <w:tcPr>
            <w:tcW w:w="1356" w:type="dxa"/>
          </w:tcPr>
          <w:p w14:paraId="361419B5" w14:textId="77777777" w:rsidR="00B67D7C" w:rsidRPr="00DE096C" w:rsidRDefault="00B67D7C" w:rsidP="00D45A46">
            <w:pPr>
              <w:jc w:val="both"/>
              <w:rPr>
                <w:bCs/>
                <w:color w:val="002060"/>
                <w:sz w:val="16"/>
                <w:szCs w:val="16"/>
              </w:rPr>
            </w:pPr>
            <w:r w:rsidRPr="00DE096C">
              <w:rPr>
                <w:bCs/>
                <w:color w:val="002060"/>
                <w:sz w:val="16"/>
                <w:szCs w:val="16"/>
              </w:rPr>
              <w:t> </w:t>
            </w:r>
          </w:p>
        </w:tc>
        <w:tc>
          <w:tcPr>
            <w:tcW w:w="1356" w:type="dxa"/>
          </w:tcPr>
          <w:p w14:paraId="3C2B15A3" w14:textId="77777777" w:rsidR="00B67D7C" w:rsidRPr="00DE096C" w:rsidRDefault="00B67D7C" w:rsidP="00D45A46">
            <w:pPr>
              <w:jc w:val="both"/>
              <w:rPr>
                <w:bCs/>
                <w:color w:val="002060"/>
                <w:sz w:val="16"/>
                <w:szCs w:val="16"/>
              </w:rPr>
            </w:pPr>
            <w:r w:rsidRPr="00DE096C">
              <w:rPr>
                <w:bCs/>
                <w:color w:val="002060"/>
                <w:sz w:val="16"/>
                <w:szCs w:val="16"/>
              </w:rPr>
              <w:t>В год</w:t>
            </w:r>
          </w:p>
        </w:tc>
        <w:tc>
          <w:tcPr>
            <w:tcW w:w="1356" w:type="dxa"/>
          </w:tcPr>
          <w:p w14:paraId="5BE9E2BC" w14:textId="77777777" w:rsidR="00B67D7C" w:rsidRPr="00DE096C" w:rsidRDefault="00B67D7C" w:rsidP="00D45A46">
            <w:pPr>
              <w:jc w:val="both"/>
              <w:rPr>
                <w:bCs/>
                <w:color w:val="002060"/>
                <w:sz w:val="16"/>
                <w:szCs w:val="16"/>
              </w:rPr>
            </w:pPr>
            <w:r w:rsidRPr="00DE096C">
              <w:rPr>
                <w:bCs/>
                <w:color w:val="002060"/>
                <w:sz w:val="16"/>
                <w:szCs w:val="16"/>
              </w:rPr>
              <w:t>В месяц</w:t>
            </w:r>
          </w:p>
        </w:tc>
      </w:tr>
      <w:tr w:rsidR="00B67D7C" w:rsidRPr="00DE096C" w14:paraId="46BAC6A5" w14:textId="77777777" w:rsidTr="00C2024A">
        <w:tc>
          <w:tcPr>
            <w:tcW w:w="1356" w:type="dxa"/>
          </w:tcPr>
          <w:p w14:paraId="03B8B7A2" w14:textId="77777777" w:rsidR="00B67D7C" w:rsidRPr="00DE096C" w:rsidRDefault="00B67D7C" w:rsidP="00D45A46">
            <w:pPr>
              <w:jc w:val="both"/>
              <w:rPr>
                <w:bCs/>
                <w:color w:val="002060"/>
                <w:sz w:val="16"/>
                <w:szCs w:val="16"/>
              </w:rPr>
            </w:pPr>
            <w:r w:rsidRPr="00DE096C">
              <w:rPr>
                <w:bCs/>
                <w:color w:val="002060"/>
                <w:sz w:val="16"/>
                <w:szCs w:val="16"/>
              </w:rPr>
              <w:t> </w:t>
            </w:r>
          </w:p>
        </w:tc>
        <w:tc>
          <w:tcPr>
            <w:tcW w:w="1356" w:type="dxa"/>
          </w:tcPr>
          <w:p w14:paraId="6069757A" w14:textId="77777777" w:rsidR="00B67D7C" w:rsidRPr="00DE096C" w:rsidRDefault="00B67D7C" w:rsidP="00D45A46">
            <w:pPr>
              <w:jc w:val="both"/>
              <w:rPr>
                <w:bCs/>
                <w:color w:val="002060"/>
                <w:sz w:val="16"/>
                <w:szCs w:val="16"/>
              </w:rPr>
            </w:pPr>
            <w:r w:rsidRPr="00DE096C">
              <w:rPr>
                <w:bCs/>
                <w:color w:val="002060"/>
                <w:sz w:val="16"/>
                <w:szCs w:val="16"/>
              </w:rPr>
              <w:t>Тульский завод</w:t>
            </w:r>
          </w:p>
        </w:tc>
        <w:tc>
          <w:tcPr>
            <w:tcW w:w="1356" w:type="dxa"/>
          </w:tcPr>
          <w:p w14:paraId="48CCA8EE" w14:textId="77777777" w:rsidR="00B67D7C" w:rsidRPr="00DE096C" w:rsidRDefault="00B67D7C" w:rsidP="00D45A46">
            <w:pPr>
              <w:jc w:val="both"/>
              <w:rPr>
                <w:bCs/>
                <w:color w:val="002060"/>
                <w:sz w:val="16"/>
                <w:szCs w:val="16"/>
              </w:rPr>
            </w:pPr>
            <w:r w:rsidRPr="00DE096C">
              <w:rPr>
                <w:bCs/>
                <w:color w:val="002060"/>
                <w:sz w:val="16"/>
                <w:szCs w:val="16"/>
              </w:rPr>
              <w:t>250.000</w:t>
            </w:r>
          </w:p>
        </w:tc>
        <w:tc>
          <w:tcPr>
            <w:tcW w:w="1356" w:type="dxa"/>
          </w:tcPr>
          <w:p w14:paraId="6E79839B" w14:textId="77777777" w:rsidR="00B67D7C" w:rsidRPr="00DE096C" w:rsidRDefault="00B67D7C" w:rsidP="00D45A46">
            <w:pPr>
              <w:jc w:val="both"/>
              <w:rPr>
                <w:bCs/>
                <w:color w:val="002060"/>
                <w:sz w:val="16"/>
                <w:szCs w:val="16"/>
              </w:rPr>
            </w:pPr>
            <w:r w:rsidRPr="00DE096C">
              <w:rPr>
                <w:bCs/>
                <w:color w:val="002060"/>
                <w:sz w:val="16"/>
                <w:szCs w:val="16"/>
              </w:rPr>
              <w:t>21.000</w:t>
            </w:r>
          </w:p>
        </w:tc>
      </w:tr>
      <w:tr w:rsidR="00B67D7C" w:rsidRPr="00DE096C" w14:paraId="3F8BE896" w14:textId="77777777" w:rsidTr="00C2024A">
        <w:tc>
          <w:tcPr>
            <w:tcW w:w="1356" w:type="dxa"/>
          </w:tcPr>
          <w:p w14:paraId="0663932B" w14:textId="77777777" w:rsidR="00B67D7C" w:rsidRPr="00DE096C" w:rsidRDefault="00B67D7C" w:rsidP="00D45A46">
            <w:pPr>
              <w:jc w:val="both"/>
              <w:rPr>
                <w:bCs/>
                <w:color w:val="002060"/>
                <w:sz w:val="16"/>
                <w:szCs w:val="16"/>
              </w:rPr>
            </w:pPr>
            <w:r w:rsidRPr="00DE096C">
              <w:rPr>
                <w:bCs/>
                <w:color w:val="002060"/>
                <w:sz w:val="16"/>
                <w:szCs w:val="16"/>
              </w:rPr>
              <w:t> </w:t>
            </w:r>
          </w:p>
        </w:tc>
        <w:tc>
          <w:tcPr>
            <w:tcW w:w="1356" w:type="dxa"/>
          </w:tcPr>
          <w:p w14:paraId="35118953" w14:textId="77777777" w:rsidR="00B67D7C" w:rsidRPr="00DE096C" w:rsidRDefault="00B67D7C" w:rsidP="00D45A46">
            <w:pPr>
              <w:jc w:val="both"/>
              <w:rPr>
                <w:bCs/>
                <w:color w:val="002060"/>
                <w:sz w:val="16"/>
                <w:szCs w:val="16"/>
              </w:rPr>
            </w:pPr>
            <w:r w:rsidRPr="00DE096C">
              <w:rPr>
                <w:bCs/>
                <w:color w:val="002060"/>
                <w:sz w:val="16"/>
                <w:szCs w:val="16"/>
              </w:rPr>
              <w:t>Ижевский</w:t>
            </w:r>
          </w:p>
        </w:tc>
        <w:tc>
          <w:tcPr>
            <w:tcW w:w="1356" w:type="dxa"/>
          </w:tcPr>
          <w:p w14:paraId="7CCE1189" w14:textId="77777777" w:rsidR="00B67D7C" w:rsidRPr="00DE096C" w:rsidRDefault="00B67D7C" w:rsidP="00D45A46">
            <w:pPr>
              <w:jc w:val="both"/>
              <w:rPr>
                <w:bCs/>
                <w:color w:val="002060"/>
                <w:sz w:val="16"/>
                <w:szCs w:val="16"/>
              </w:rPr>
            </w:pPr>
            <w:r w:rsidRPr="00DE096C">
              <w:rPr>
                <w:bCs/>
                <w:color w:val="002060"/>
                <w:sz w:val="16"/>
                <w:szCs w:val="16"/>
              </w:rPr>
              <w:t>200.000</w:t>
            </w:r>
          </w:p>
        </w:tc>
        <w:tc>
          <w:tcPr>
            <w:tcW w:w="1356" w:type="dxa"/>
          </w:tcPr>
          <w:p w14:paraId="0883B38D" w14:textId="77777777" w:rsidR="00B67D7C" w:rsidRPr="00DE096C" w:rsidRDefault="00B67D7C" w:rsidP="00D45A46">
            <w:pPr>
              <w:jc w:val="both"/>
              <w:rPr>
                <w:bCs/>
                <w:color w:val="002060"/>
                <w:sz w:val="16"/>
                <w:szCs w:val="16"/>
              </w:rPr>
            </w:pPr>
            <w:r w:rsidRPr="00DE096C">
              <w:rPr>
                <w:bCs/>
                <w:color w:val="002060"/>
                <w:sz w:val="16"/>
                <w:szCs w:val="16"/>
              </w:rPr>
              <w:t>17.000</w:t>
            </w:r>
          </w:p>
        </w:tc>
      </w:tr>
      <w:tr w:rsidR="00B67D7C" w:rsidRPr="00DE096C" w14:paraId="40D60B64" w14:textId="77777777" w:rsidTr="00C2024A">
        <w:tc>
          <w:tcPr>
            <w:tcW w:w="1356" w:type="dxa"/>
          </w:tcPr>
          <w:p w14:paraId="75669D74" w14:textId="77777777" w:rsidR="00B67D7C" w:rsidRPr="00DE096C" w:rsidRDefault="00B67D7C" w:rsidP="00D45A46">
            <w:pPr>
              <w:jc w:val="both"/>
              <w:rPr>
                <w:bCs/>
                <w:color w:val="002060"/>
                <w:sz w:val="16"/>
                <w:szCs w:val="16"/>
              </w:rPr>
            </w:pPr>
            <w:r w:rsidRPr="00DE096C">
              <w:rPr>
                <w:bCs/>
                <w:color w:val="002060"/>
                <w:sz w:val="16"/>
                <w:szCs w:val="16"/>
              </w:rPr>
              <w:t> </w:t>
            </w:r>
          </w:p>
        </w:tc>
        <w:tc>
          <w:tcPr>
            <w:tcW w:w="1356" w:type="dxa"/>
          </w:tcPr>
          <w:p w14:paraId="7CB3589C" w14:textId="77777777" w:rsidR="00B67D7C" w:rsidRPr="00DE096C" w:rsidRDefault="00B67D7C" w:rsidP="00D45A46">
            <w:pPr>
              <w:jc w:val="both"/>
              <w:rPr>
                <w:bCs/>
                <w:color w:val="002060"/>
                <w:sz w:val="16"/>
                <w:szCs w:val="16"/>
              </w:rPr>
            </w:pPr>
            <w:r w:rsidRPr="00DE096C">
              <w:rPr>
                <w:bCs/>
                <w:color w:val="002060"/>
                <w:sz w:val="16"/>
                <w:szCs w:val="16"/>
              </w:rPr>
              <w:t>Сестрорецкий</w:t>
            </w:r>
          </w:p>
        </w:tc>
        <w:tc>
          <w:tcPr>
            <w:tcW w:w="1356" w:type="dxa"/>
          </w:tcPr>
          <w:p w14:paraId="075B410D" w14:textId="77777777" w:rsidR="00B67D7C" w:rsidRPr="00DE096C" w:rsidRDefault="00B67D7C" w:rsidP="00D45A46">
            <w:pPr>
              <w:jc w:val="both"/>
              <w:rPr>
                <w:bCs/>
                <w:color w:val="002060"/>
                <w:sz w:val="16"/>
                <w:szCs w:val="16"/>
              </w:rPr>
            </w:pPr>
            <w:r w:rsidRPr="00DE096C">
              <w:rPr>
                <w:bCs/>
                <w:color w:val="002060"/>
                <w:sz w:val="16"/>
                <w:szCs w:val="16"/>
              </w:rPr>
              <w:t>75.000</w:t>
            </w:r>
          </w:p>
        </w:tc>
        <w:tc>
          <w:tcPr>
            <w:tcW w:w="1356" w:type="dxa"/>
          </w:tcPr>
          <w:p w14:paraId="52DB443F" w14:textId="77777777" w:rsidR="00B67D7C" w:rsidRPr="00DE096C" w:rsidRDefault="00B67D7C" w:rsidP="00D45A46">
            <w:pPr>
              <w:jc w:val="both"/>
              <w:rPr>
                <w:bCs/>
                <w:color w:val="002060"/>
                <w:sz w:val="16"/>
                <w:szCs w:val="16"/>
              </w:rPr>
            </w:pPr>
            <w:r w:rsidRPr="00DE096C">
              <w:rPr>
                <w:bCs/>
                <w:color w:val="002060"/>
                <w:sz w:val="16"/>
                <w:szCs w:val="16"/>
              </w:rPr>
              <w:t>6.000</w:t>
            </w:r>
          </w:p>
        </w:tc>
      </w:tr>
      <w:tr w:rsidR="00B67D7C" w:rsidRPr="00DE096C" w14:paraId="0F045E2C" w14:textId="77777777" w:rsidTr="00C2024A">
        <w:tc>
          <w:tcPr>
            <w:tcW w:w="1356" w:type="dxa"/>
          </w:tcPr>
          <w:p w14:paraId="6E7FC162" w14:textId="77777777" w:rsidR="00B67D7C" w:rsidRPr="00DE096C" w:rsidRDefault="00B67D7C" w:rsidP="00D45A46">
            <w:pPr>
              <w:jc w:val="both"/>
              <w:rPr>
                <w:bCs/>
                <w:color w:val="002060"/>
                <w:sz w:val="16"/>
                <w:szCs w:val="16"/>
              </w:rPr>
            </w:pPr>
            <w:r w:rsidRPr="00DE096C">
              <w:rPr>
                <w:bCs/>
                <w:color w:val="002060"/>
                <w:sz w:val="16"/>
                <w:szCs w:val="16"/>
              </w:rPr>
              <w:t> </w:t>
            </w:r>
          </w:p>
        </w:tc>
        <w:tc>
          <w:tcPr>
            <w:tcW w:w="1356" w:type="dxa"/>
          </w:tcPr>
          <w:p w14:paraId="362AC670" w14:textId="77777777" w:rsidR="00B67D7C" w:rsidRPr="00DE096C" w:rsidRDefault="00B67D7C" w:rsidP="00D45A46">
            <w:pPr>
              <w:jc w:val="both"/>
              <w:rPr>
                <w:bCs/>
                <w:color w:val="002060"/>
                <w:sz w:val="16"/>
                <w:szCs w:val="16"/>
              </w:rPr>
            </w:pPr>
            <w:r w:rsidRPr="00DE096C">
              <w:rPr>
                <w:bCs/>
                <w:color w:val="002060"/>
                <w:sz w:val="16"/>
                <w:szCs w:val="16"/>
              </w:rPr>
              <w:t>Итого</w:t>
            </w:r>
          </w:p>
        </w:tc>
        <w:tc>
          <w:tcPr>
            <w:tcW w:w="1356" w:type="dxa"/>
          </w:tcPr>
          <w:p w14:paraId="220B77A7" w14:textId="77777777" w:rsidR="00B67D7C" w:rsidRPr="00DE096C" w:rsidRDefault="00B67D7C" w:rsidP="00D45A46">
            <w:pPr>
              <w:jc w:val="both"/>
              <w:rPr>
                <w:bCs/>
                <w:color w:val="002060"/>
                <w:sz w:val="16"/>
                <w:szCs w:val="16"/>
              </w:rPr>
            </w:pPr>
            <w:r w:rsidRPr="00DE096C">
              <w:rPr>
                <w:bCs/>
                <w:color w:val="002060"/>
                <w:sz w:val="16"/>
                <w:szCs w:val="16"/>
              </w:rPr>
              <w:t>525.000</w:t>
            </w:r>
          </w:p>
        </w:tc>
        <w:tc>
          <w:tcPr>
            <w:tcW w:w="1356" w:type="dxa"/>
          </w:tcPr>
          <w:p w14:paraId="2CFA07A7" w14:textId="77777777" w:rsidR="00B67D7C" w:rsidRPr="00DE096C" w:rsidRDefault="00B67D7C" w:rsidP="00D45A46">
            <w:pPr>
              <w:jc w:val="both"/>
              <w:rPr>
                <w:bCs/>
                <w:color w:val="002060"/>
                <w:sz w:val="16"/>
                <w:szCs w:val="16"/>
              </w:rPr>
            </w:pPr>
            <w:r w:rsidRPr="00DE096C">
              <w:rPr>
                <w:bCs/>
                <w:color w:val="002060"/>
                <w:sz w:val="16"/>
                <w:szCs w:val="16"/>
              </w:rPr>
              <w:t>44.000</w:t>
            </w:r>
          </w:p>
        </w:tc>
      </w:tr>
    </w:tbl>
    <w:p w14:paraId="359D82EB" w14:textId="77777777" w:rsidR="00B67D7C" w:rsidRPr="00DE096C" w:rsidRDefault="00B67D7C" w:rsidP="00D45A46">
      <w:pPr>
        <w:jc w:val="both"/>
        <w:rPr>
          <w:bCs/>
          <w:color w:val="002060"/>
          <w:sz w:val="16"/>
          <w:szCs w:val="16"/>
        </w:rPr>
      </w:pPr>
      <w:r w:rsidRPr="00DE096C">
        <w:rPr>
          <w:bCs/>
          <w:color w:val="002060"/>
          <w:sz w:val="16"/>
          <w:szCs w:val="16"/>
        </w:rPr>
        <w:t xml:space="preserve">Из приведенных таблиц видно, что заводы, начав разворачивать производство с августа 1914 г., в каковой [месяц] было выпущено суммарно 10,3 тыс. винтовок, достигли своего номинального довоенного максимума, 44 тыс., в апреле 1915 г., то есть на 9-м месяце. Дальнейшее развитие производительности шло за счет форсировки производственных процессов (увеличение скоростей резания и подачи на станках и пр.), за счет увеличения числа рабочих дней в месяце и за счет усиления станочного парка завода путем постановки нового оборудования. </w:t>
      </w:r>
    </w:p>
    <w:p w14:paraId="76B44F67" w14:textId="77777777" w:rsidR="00B67D7C" w:rsidRPr="00DE096C" w:rsidRDefault="00B67D7C" w:rsidP="00D45A46">
      <w:pPr>
        <w:jc w:val="both"/>
        <w:rPr>
          <w:bCs/>
          <w:color w:val="002060"/>
          <w:sz w:val="16"/>
          <w:szCs w:val="16"/>
        </w:rPr>
      </w:pPr>
      <w:r w:rsidRPr="00DE096C">
        <w:rPr>
          <w:bCs/>
          <w:color w:val="002060"/>
          <w:sz w:val="16"/>
          <w:szCs w:val="16"/>
        </w:rPr>
        <w:t xml:space="preserve">Если принять указанный максимум (44 тыс.) за единицу, то суммарный выпуск винтовок, возрастет следующим образом: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912"/>
        <w:gridCol w:w="864"/>
        <w:gridCol w:w="828"/>
        <w:gridCol w:w="912"/>
      </w:tblGrid>
      <w:tr w:rsidR="00B67D7C" w:rsidRPr="00DE096C" w14:paraId="4975CAED" w14:textId="77777777" w:rsidTr="00C2024A">
        <w:tc>
          <w:tcPr>
            <w:tcW w:w="912" w:type="dxa"/>
          </w:tcPr>
          <w:p w14:paraId="7E57210B" w14:textId="77777777" w:rsidR="00B67D7C" w:rsidRPr="00DE096C" w:rsidRDefault="00B67D7C" w:rsidP="00D45A46">
            <w:pPr>
              <w:jc w:val="both"/>
              <w:rPr>
                <w:bCs/>
                <w:color w:val="002060"/>
                <w:sz w:val="16"/>
                <w:szCs w:val="16"/>
              </w:rPr>
            </w:pPr>
            <w:r w:rsidRPr="00DE096C">
              <w:rPr>
                <w:bCs/>
                <w:color w:val="002060"/>
                <w:sz w:val="16"/>
                <w:szCs w:val="16"/>
              </w:rPr>
              <w:t>1911 г.</w:t>
            </w:r>
          </w:p>
        </w:tc>
        <w:tc>
          <w:tcPr>
            <w:tcW w:w="864" w:type="dxa"/>
          </w:tcPr>
          <w:p w14:paraId="6F9BA24C" w14:textId="77777777" w:rsidR="00B67D7C" w:rsidRPr="00DE096C" w:rsidRDefault="00B67D7C" w:rsidP="00D45A46">
            <w:pPr>
              <w:jc w:val="both"/>
              <w:rPr>
                <w:bCs/>
                <w:color w:val="002060"/>
                <w:sz w:val="16"/>
                <w:szCs w:val="16"/>
              </w:rPr>
            </w:pPr>
            <w:r w:rsidRPr="00DE096C">
              <w:rPr>
                <w:bCs/>
                <w:color w:val="002060"/>
                <w:sz w:val="16"/>
                <w:szCs w:val="16"/>
              </w:rPr>
              <w:t>1915 г.</w:t>
            </w:r>
          </w:p>
        </w:tc>
        <w:tc>
          <w:tcPr>
            <w:tcW w:w="828" w:type="dxa"/>
          </w:tcPr>
          <w:p w14:paraId="40AE2ED4" w14:textId="77777777" w:rsidR="00B67D7C" w:rsidRPr="00DE096C" w:rsidRDefault="00B67D7C" w:rsidP="00D45A46">
            <w:pPr>
              <w:jc w:val="both"/>
              <w:rPr>
                <w:bCs/>
                <w:color w:val="002060"/>
                <w:sz w:val="16"/>
                <w:szCs w:val="16"/>
              </w:rPr>
            </w:pPr>
            <w:r w:rsidRPr="00DE096C">
              <w:rPr>
                <w:bCs/>
                <w:color w:val="002060"/>
                <w:sz w:val="16"/>
                <w:szCs w:val="16"/>
              </w:rPr>
              <w:t>1916 г.</w:t>
            </w:r>
          </w:p>
        </w:tc>
        <w:tc>
          <w:tcPr>
            <w:tcW w:w="912" w:type="dxa"/>
          </w:tcPr>
          <w:p w14:paraId="7547402C" w14:textId="77777777" w:rsidR="00B67D7C" w:rsidRPr="00DE096C" w:rsidRDefault="00B67D7C" w:rsidP="00D45A46">
            <w:pPr>
              <w:jc w:val="both"/>
              <w:rPr>
                <w:bCs/>
                <w:color w:val="002060"/>
                <w:sz w:val="16"/>
                <w:szCs w:val="16"/>
              </w:rPr>
            </w:pPr>
            <w:r w:rsidRPr="00DE096C">
              <w:rPr>
                <w:bCs/>
                <w:color w:val="002060"/>
                <w:sz w:val="16"/>
                <w:szCs w:val="16"/>
              </w:rPr>
              <w:t>1917 г.</w:t>
            </w:r>
          </w:p>
        </w:tc>
      </w:tr>
      <w:tr w:rsidR="00B67D7C" w:rsidRPr="00DE096C" w14:paraId="0965D135" w14:textId="77777777" w:rsidTr="00C2024A">
        <w:tc>
          <w:tcPr>
            <w:tcW w:w="912" w:type="dxa"/>
          </w:tcPr>
          <w:p w14:paraId="46F6B226" w14:textId="77777777" w:rsidR="00B67D7C" w:rsidRPr="00DE096C" w:rsidRDefault="00B67D7C" w:rsidP="00D45A46">
            <w:pPr>
              <w:jc w:val="both"/>
              <w:rPr>
                <w:bCs/>
                <w:color w:val="002060"/>
                <w:sz w:val="16"/>
                <w:szCs w:val="16"/>
              </w:rPr>
            </w:pPr>
            <w:r w:rsidRPr="00DE096C">
              <w:rPr>
                <w:bCs/>
                <w:color w:val="002060"/>
                <w:sz w:val="16"/>
                <w:szCs w:val="16"/>
              </w:rPr>
              <w:t>VIII - 0.25</w:t>
            </w:r>
          </w:p>
        </w:tc>
        <w:tc>
          <w:tcPr>
            <w:tcW w:w="864" w:type="dxa"/>
          </w:tcPr>
          <w:p w14:paraId="011D43A9" w14:textId="77777777" w:rsidR="00B67D7C" w:rsidRPr="00DE096C" w:rsidRDefault="00B67D7C" w:rsidP="00D45A46">
            <w:pPr>
              <w:jc w:val="both"/>
              <w:rPr>
                <w:bCs/>
                <w:color w:val="002060"/>
                <w:sz w:val="16"/>
                <w:szCs w:val="16"/>
              </w:rPr>
            </w:pPr>
            <w:r w:rsidRPr="00DE096C">
              <w:rPr>
                <w:bCs/>
                <w:color w:val="002060"/>
                <w:sz w:val="16"/>
                <w:szCs w:val="16"/>
              </w:rPr>
              <w:t>I — 0.87</w:t>
            </w:r>
          </w:p>
        </w:tc>
        <w:tc>
          <w:tcPr>
            <w:tcW w:w="828" w:type="dxa"/>
          </w:tcPr>
          <w:p w14:paraId="5AB9546E" w14:textId="77777777" w:rsidR="00B67D7C" w:rsidRPr="00DE096C" w:rsidRDefault="00B67D7C" w:rsidP="00D45A46">
            <w:pPr>
              <w:jc w:val="both"/>
              <w:rPr>
                <w:bCs/>
                <w:color w:val="002060"/>
                <w:sz w:val="16"/>
                <w:szCs w:val="16"/>
              </w:rPr>
            </w:pPr>
            <w:r w:rsidRPr="00DE096C">
              <w:rPr>
                <w:bCs/>
                <w:color w:val="002060"/>
                <w:sz w:val="16"/>
                <w:szCs w:val="16"/>
              </w:rPr>
              <w:t>I — 2.23</w:t>
            </w:r>
          </w:p>
        </w:tc>
        <w:tc>
          <w:tcPr>
            <w:tcW w:w="912" w:type="dxa"/>
          </w:tcPr>
          <w:p w14:paraId="12E8D5FC" w14:textId="77777777" w:rsidR="00B67D7C" w:rsidRPr="00DE096C" w:rsidRDefault="00B67D7C" w:rsidP="00D45A46">
            <w:pPr>
              <w:jc w:val="both"/>
              <w:rPr>
                <w:bCs/>
                <w:color w:val="002060"/>
                <w:sz w:val="16"/>
                <w:szCs w:val="16"/>
              </w:rPr>
            </w:pPr>
            <w:r w:rsidRPr="00DE096C">
              <w:rPr>
                <w:bCs/>
                <w:color w:val="002060"/>
                <w:sz w:val="16"/>
                <w:szCs w:val="16"/>
              </w:rPr>
              <w:t>I — 3.22</w:t>
            </w:r>
          </w:p>
        </w:tc>
      </w:tr>
      <w:tr w:rsidR="00B67D7C" w:rsidRPr="00DE096C" w14:paraId="790671F1" w14:textId="77777777" w:rsidTr="00C2024A">
        <w:tc>
          <w:tcPr>
            <w:tcW w:w="912" w:type="dxa"/>
          </w:tcPr>
          <w:p w14:paraId="22179B9F" w14:textId="77777777" w:rsidR="00B67D7C" w:rsidRPr="00DE096C" w:rsidRDefault="00B67D7C" w:rsidP="00D45A46">
            <w:pPr>
              <w:jc w:val="both"/>
              <w:rPr>
                <w:bCs/>
                <w:color w:val="002060"/>
                <w:sz w:val="16"/>
                <w:szCs w:val="16"/>
              </w:rPr>
            </w:pPr>
            <w:r w:rsidRPr="00DE096C">
              <w:rPr>
                <w:bCs/>
                <w:color w:val="002060"/>
                <w:sz w:val="16"/>
                <w:szCs w:val="16"/>
              </w:rPr>
              <w:t>IX — 0.56</w:t>
            </w:r>
          </w:p>
        </w:tc>
        <w:tc>
          <w:tcPr>
            <w:tcW w:w="864" w:type="dxa"/>
          </w:tcPr>
          <w:p w14:paraId="7EB9F388" w14:textId="77777777" w:rsidR="00B67D7C" w:rsidRPr="00DE096C" w:rsidRDefault="00B67D7C" w:rsidP="00D45A46">
            <w:pPr>
              <w:jc w:val="both"/>
              <w:rPr>
                <w:bCs/>
                <w:color w:val="002060"/>
                <w:sz w:val="16"/>
                <w:szCs w:val="16"/>
              </w:rPr>
            </w:pPr>
            <w:r w:rsidRPr="00DE096C">
              <w:rPr>
                <w:bCs/>
                <w:color w:val="002060"/>
                <w:sz w:val="16"/>
                <w:szCs w:val="16"/>
              </w:rPr>
              <w:t>II — 0.98</w:t>
            </w:r>
          </w:p>
        </w:tc>
        <w:tc>
          <w:tcPr>
            <w:tcW w:w="828" w:type="dxa"/>
          </w:tcPr>
          <w:p w14:paraId="3EC0A144" w14:textId="77777777" w:rsidR="00B67D7C" w:rsidRPr="00DE096C" w:rsidRDefault="00B67D7C" w:rsidP="00D45A46">
            <w:pPr>
              <w:jc w:val="both"/>
              <w:rPr>
                <w:bCs/>
                <w:color w:val="002060"/>
                <w:sz w:val="16"/>
                <w:szCs w:val="16"/>
              </w:rPr>
            </w:pPr>
            <w:r w:rsidRPr="00DE096C">
              <w:rPr>
                <w:bCs/>
                <w:color w:val="002060"/>
                <w:sz w:val="16"/>
                <w:szCs w:val="16"/>
              </w:rPr>
              <w:t>II — 2.21</w:t>
            </w:r>
          </w:p>
        </w:tc>
        <w:tc>
          <w:tcPr>
            <w:tcW w:w="912" w:type="dxa"/>
          </w:tcPr>
          <w:p w14:paraId="7EF78717" w14:textId="77777777" w:rsidR="00B67D7C" w:rsidRPr="00DE096C" w:rsidRDefault="00B67D7C" w:rsidP="00D45A46">
            <w:pPr>
              <w:jc w:val="both"/>
              <w:rPr>
                <w:bCs/>
                <w:color w:val="002060"/>
                <w:sz w:val="16"/>
                <w:szCs w:val="16"/>
              </w:rPr>
            </w:pPr>
            <w:r w:rsidRPr="00DE096C">
              <w:rPr>
                <w:bCs/>
                <w:color w:val="002060"/>
                <w:sz w:val="16"/>
                <w:szCs w:val="16"/>
              </w:rPr>
              <w:t>II — 2.25</w:t>
            </w:r>
          </w:p>
        </w:tc>
      </w:tr>
      <w:tr w:rsidR="00B67D7C" w:rsidRPr="00DE096C" w14:paraId="0027042D" w14:textId="77777777" w:rsidTr="00C2024A">
        <w:tc>
          <w:tcPr>
            <w:tcW w:w="912" w:type="dxa"/>
          </w:tcPr>
          <w:p w14:paraId="074E1CAC" w14:textId="77777777" w:rsidR="00B67D7C" w:rsidRPr="00DE096C" w:rsidRDefault="00B67D7C" w:rsidP="00D45A46">
            <w:pPr>
              <w:jc w:val="both"/>
              <w:rPr>
                <w:bCs/>
                <w:color w:val="002060"/>
                <w:sz w:val="16"/>
                <w:szCs w:val="16"/>
              </w:rPr>
            </w:pPr>
            <w:r w:rsidRPr="00DE096C">
              <w:rPr>
                <w:bCs/>
                <w:color w:val="002060"/>
                <w:sz w:val="16"/>
                <w:szCs w:val="16"/>
              </w:rPr>
              <w:t>X — 0.80</w:t>
            </w:r>
          </w:p>
        </w:tc>
        <w:tc>
          <w:tcPr>
            <w:tcW w:w="864" w:type="dxa"/>
          </w:tcPr>
          <w:p w14:paraId="5AAE982C" w14:textId="77777777" w:rsidR="00B67D7C" w:rsidRPr="00DE096C" w:rsidRDefault="00B67D7C" w:rsidP="00D45A46">
            <w:pPr>
              <w:jc w:val="both"/>
              <w:rPr>
                <w:bCs/>
                <w:color w:val="002060"/>
                <w:sz w:val="16"/>
                <w:szCs w:val="16"/>
              </w:rPr>
            </w:pPr>
            <w:r w:rsidRPr="00DE096C">
              <w:rPr>
                <w:bCs/>
                <w:color w:val="002060"/>
                <w:sz w:val="16"/>
                <w:szCs w:val="16"/>
              </w:rPr>
              <w:t>III — 1.00</w:t>
            </w:r>
          </w:p>
        </w:tc>
        <w:tc>
          <w:tcPr>
            <w:tcW w:w="828" w:type="dxa"/>
          </w:tcPr>
          <w:p w14:paraId="7710B7D5" w14:textId="77777777" w:rsidR="00B67D7C" w:rsidRPr="00DE096C" w:rsidRDefault="00B67D7C" w:rsidP="00D45A46">
            <w:pPr>
              <w:jc w:val="both"/>
              <w:rPr>
                <w:bCs/>
                <w:color w:val="002060"/>
                <w:sz w:val="16"/>
                <w:szCs w:val="16"/>
              </w:rPr>
            </w:pPr>
            <w:r w:rsidRPr="00DE096C">
              <w:rPr>
                <w:bCs/>
                <w:color w:val="002060"/>
                <w:sz w:val="16"/>
                <w:szCs w:val="16"/>
              </w:rPr>
              <w:t>III — 2.5</w:t>
            </w:r>
          </w:p>
        </w:tc>
        <w:tc>
          <w:tcPr>
            <w:tcW w:w="912" w:type="dxa"/>
          </w:tcPr>
          <w:p w14:paraId="57695D24" w14:textId="77777777" w:rsidR="00B67D7C" w:rsidRPr="00DE096C" w:rsidRDefault="00B67D7C" w:rsidP="00D45A46">
            <w:pPr>
              <w:jc w:val="both"/>
              <w:rPr>
                <w:bCs/>
                <w:color w:val="002060"/>
                <w:sz w:val="16"/>
                <w:szCs w:val="16"/>
              </w:rPr>
            </w:pPr>
            <w:r w:rsidRPr="00DE096C">
              <w:rPr>
                <w:bCs/>
                <w:color w:val="002060"/>
                <w:sz w:val="16"/>
                <w:szCs w:val="16"/>
              </w:rPr>
              <w:t> </w:t>
            </w:r>
          </w:p>
        </w:tc>
      </w:tr>
      <w:tr w:rsidR="00B67D7C" w:rsidRPr="00DE096C" w14:paraId="3725A124" w14:textId="77777777" w:rsidTr="00C2024A">
        <w:tc>
          <w:tcPr>
            <w:tcW w:w="912" w:type="dxa"/>
          </w:tcPr>
          <w:p w14:paraId="73D7DA82" w14:textId="77777777" w:rsidR="00B67D7C" w:rsidRPr="00DE096C" w:rsidRDefault="00B67D7C" w:rsidP="00D45A46">
            <w:pPr>
              <w:jc w:val="both"/>
              <w:rPr>
                <w:bCs/>
                <w:color w:val="002060"/>
                <w:sz w:val="16"/>
                <w:szCs w:val="16"/>
              </w:rPr>
            </w:pPr>
            <w:r w:rsidRPr="00DE096C">
              <w:rPr>
                <w:bCs/>
                <w:color w:val="002060"/>
                <w:sz w:val="16"/>
                <w:szCs w:val="16"/>
              </w:rPr>
              <w:t>XI — 0.88</w:t>
            </w:r>
          </w:p>
        </w:tc>
        <w:tc>
          <w:tcPr>
            <w:tcW w:w="864" w:type="dxa"/>
          </w:tcPr>
          <w:p w14:paraId="3AE694DB" w14:textId="77777777" w:rsidR="00B67D7C" w:rsidRPr="00DE096C" w:rsidRDefault="00B67D7C" w:rsidP="00D45A46">
            <w:pPr>
              <w:jc w:val="both"/>
              <w:rPr>
                <w:bCs/>
                <w:color w:val="002060"/>
                <w:sz w:val="16"/>
                <w:szCs w:val="16"/>
              </w:rPr>
            </w:pPr>
            <w:r w:rsidRPr="00DE096C">
              <w:rPr>
                <w:bCs/>
                <w:color w:val="002060"/>
                <w:sz w:val="16"/>
                <w:szCs w:val="16"/>
              </w:rPr>
              <w:t>IV — 1.25</w:t>
            </w:r>
          </w:p>
        </w:tc>
        <w:tc>
          <w:tcPr>
            <w:tcW w:w="828" w:type="dxa"/>
          </w:tcPr>
          <w:p w14:paraId="3AE95F83" w14:textId="77777777" w:rsidR="00B67D7C" w:rsidRPr="00DE096C" w:rsidRDefault="00B67D7C" w:rsidP="00D45A46">
            <w:pPr>
              <w:jc w:val="both"/>
              <w:rPr>
                <w:bCs/>
                <w:color w:val="002060"/>
                <w:sz w:val="16"/>
                <w:szCs w:val="16"/>
              </w:rPr>
            </w:pPr>
            <w:r w:rsidRPr="00DE096C">
              <w:rPr>
                <w:bCs/>
                <w:color w:val="002060"/>
                <w:sz w:val="16"/>
                <w:szCs w:val="16"/>
              </w:rPr>
              <w:t>IV — 2.5</w:t>
            </w:r>
          </w:p>
        </w:tc>
        <w:tc>
          <w:tcPr>
            <w:tcW w:w="912" w:type="dxa"/>
          </w:tcPr>
          <w:p w14:paraId="26020925" w14:textId="77777777" w:rsidR="00B67D7C" w:rsidRPr="00DE096C" w:rsidRDefault="00B67D7C" w:rsidP="00D45A46">
            <w:pPr>
              <w:jc w:val="both"/>
              <w:rPr>
                <w:bCs/>
                <w:color w:val="002060"/>
                <w:sz w:val="16"/>
                <w:szCs w:val="16"/>
              </w:rPr>
            </w:pPr>
            <w:r w:rsidRPr="00DE096C">
              <w:rPr>
                <w:bCs/>
                <w:color w:val="002060"/>
                <w:sz w:val="16"/>
                <w:szCs w:val="16"/>
              </w:rPr>
              <w:t> </w:t>
            </w:r>
          </w:p>
        </w:tc>
      </w:tr>
      <w:tr w:rsidR="00B67D7C" w:rsidRPr="00DE096C" w14:paraId="187B9727" w14:textId="77777777" w:rsidTr="00C2024A">
        <w:tc>
          <w:tcPr>
            <w:tcW w:w="912" w:type="dxa"/>
          </w:tcPr>
          <w:p w14:paraId="39A3AD9B" w14:textId="77777777" w:rsidR="00B67D7C" w:rsidRPr="00DE096C" w:rsidRDefault="00B67D7C" w:rsidP="00D45A46">
            <w:pPr>
              <w:jc w:val="both"/>
              <w:rPr>
                <w:bCs/>
                <w:color w:val="002060"/>
                <w:sz w:val="16"/>
                <w:szCs w:val="16"/>
              </w:rPr>
            </w:pPr>
            <w:r w:rsidRPr="00DE096C">
              <w:rPr>
                <w:bCs/>
                <w:color w:val="002060"/>
                <w:sz w:val="16"/>
                <w:szCs w:val="16"/>
              </w:rPr>
              <w:t>XII — 0.87</w:t>
            </w:r>
          </w:p>
        </w:tc>
        <w:tc>
          <w:tcPr>
            <w:tcW w:w="864" w:type="dxa"/>
          </w:tcPr>
          <w:p w14:paraId="5747F0BE" w14:textId="77777777" w:rsidR="00B67D7C" w:rsidRPr="00DE096C" w:rsidRDefault="00B67D7C" w:rsidP="00D45A46">
            <w:pPr>
              <w:jc w:val="both"/>
              <w:rPr>
                <w:bCs/>
                <w:color w:val="002060"/>
                <w:sz w:val="16"/>
                <w:szCs w:val="16"/>
              </w:rPr>
            </w:pPr>
            <w:r w:rsidRPr="00DE096C">
              <w:rPr>
                <w:bCs/>
                <w:color w:val="002060"/>
                <w:sz w:val="16"/>
                <w:szCs w:val="16"/>
              </w:rPr>
              <w:t>V — 1.37</w:t>
            </w:r>
          </w:p>
        </w:tc>
        <w:tc>
          <w:tcPr>
            <w:tcW w:w="828" w:type="dxa"/>
          </w:tcPr>
          <w:p w14:paraId="7DEB9644" w14:textId="77777777" w:rsidR="00B67D7C" w:rsidRPr="00DE096C" w:rsidRDefault="00B67D7C" w:rsidP="00D45A46">
            <w:pPr>
              <w:jc w:val="both"/>
              <w:rPr>
                <w:bCs/>
                <w:color w:val="002060"/>
                <w:sz w:val="16"/>
                <w:szCs w:val="16"/>
              </w:rPr>
            </w:pPr>
            <w:r w:rsidRPr="00DE096C">
              <w:rPr>
                <w:bCs/>
                <w:color w:val="002060"/>
                <w:sz w:val="16"/>
                <w:szCs w:val="16"/>
              </w:rPr>
              <w:t>V — 2.57</w:t>
            </w:r>
          </w:p>
        </w:tc>
        <w:tc>
          <w:tcPr>
            <w:tcW w:w="912" w:type="dxa"/>
          </w:tcPr>
          <w:p w14:paraId="51F0A876" w14:textId="77777777" w:rsidR="00B67D7C" w:rsidRPr="00DE096C" w:rsidRDefault="00B67D7C" w:rsidP="00D45A46">
            <w:pPr>
              <w:jc w:val="both"/>
              <w:rPr>
                <w:bCs/>
                <w:color w:val="002060"/>
                <w:sz w:val="16"/>
                <w:szCs w:val="16"/>
              </w:rPr>
            </w:pPr>
            <w:r w:rsidRPr="00DE096C">
              <w:rPr>
                <w:bCs/>
                <w:color w:val="002060"/>
                <w:sz w:val="16"/>
                <w:szCs w:val="16"/>
              </w:rPr>
              <w:t> </w:t>
            </w:r>
          </w:p>
        </w:tc>
      </w:tr>
      <w:tr w:rsidR="00B67D7C" w:rsidRPr="00DE096C" w14:paraId="68665286" w14:textId="77777777" w:rsidTr="00C2024A">
        <w:tc>
          <w:tcPr>
            <w:tcW w:w="912" w:type="dxa"/>
          </w:tcPr>
          <w:p w14:paraId="5862764D" w14:textId="77777777" w:rsidR="00B67D7C" w:rsidRPr="00DE096C" w:rsidRDefault="00B67D7C" w:rsidP="00D45A46">
            <w:pPr>
              <w:jc w:val="both"/>
              <w:rPr>
                <w:bCs/>
                <w:color w:val="002060"/>
                <w:sz w:val="16"/>
                <w:szCs w:val="16"/>
              </w:rPr>
            </w:pPr>
            <w:r w:rsidRPr="00DE096C">
              <w:rPr>
                <w:bCs/>
                <w:color w:val="002060"/>
                <w:sz w:val="16"/>
                <w:szCs w:val="16"/>
              </w:rPr>
              <w:t> </w:t>
            </w:r>
          </w:p>
        </w:tc>
        <w:tc>
          <w:tcPr>
            <w:tcW w:w="864" w:type="dxa"/>
          </w:tcPr>
          <w:p w14:paraId="54615E95" w14:textId="77777777" w:rsidR="00B67D7C" w:rsidRPr="00DE096C" w:rsidRDefault="00B67D7C" w:rsidP="00D45A46">
            <w:pPr>
              <w:jc w:val="both"/>
              <w:rPr>
                <w:bCs/>
                <w:color w:val="002060"/>
                <w:sz w:val="16"/>
                <w:szCs w:val="16"/>
              </w:rPr>
            </w:pPr>
            <w:r w:rsidRPr="00DE096C">
              <w:rPr>
                <w:bCs/>
                <w:color w:val="002060"/>
                <w:sz w:val="16"/>
                <w:szCs w:val="16"/>
              </w:rPr>
              <w:t>VI — 1.47</w:t>
            </w:r>
          </w:p>
        </w:tc>
        <w:tc>
          <w:tcPr>
            <w:tcW w:w="828" w:type="dxa"/>
          </w:tcPr>
          <w:p w14:paraId="36766893" w14:textId="77777777" w:rsidR="00B67D7C" w:rsidRPr="00DE096C" w:rsidRDefault="00B67D7C" w:rsidP="00D45A46">
            <w:pPr>
              <w:jc w:val="both"/>
              <w:rPr>
                <w:bCs/>
                <w:color w:val="002060"/>
                <w:sz w:val="16"/>
                <w:szCs w:val="16"/>
              </w:rPr>
            </w:pPr>
            <w:r w:rsidRPr="00DE096C">
              <w:rPr>
                <w:bCs/>
                <w:color w:val="002060"/>
                <w:sz w:val="16"/>
                <w:szCs w:val="16"/>
              </w:rPr>
              <w:t>VI — 2.6</w:t>
            </w:r>
          </w:p>
        </w:tc>
        <w:tc>
          <w:tcPr>
            <w:tcW w:w="912" w:type="dxa"/>
          </w:tcPr>
          <w:p w14:paraId="77969F33" w14:textId="77777777" w:rsidR="00B67D7C" w:rsidRPr="00DE096C" w:rsidRDefault="00B67D7C" w:rsidP="00D45A46">
            <w:pPr>
              <w:jc w:val="both"/>
              <w:rPr>
                <w:bCs/>
                <w:color w:val="002060"/>
                <w:sz w:val="16"/>
                <w:szCs w:val="16"/>
              </w:rPr>
            </w:pPr>
            <w:r w:rsidRPr="00DE096C">
              <w:rPr>
                <w:bCs/>
                <w:color w:val="002060"/>
                <w:sz w:val="16"/>
                <w:szCs w:val="16"/>
              </w:rPr>
              <w:t> </w:t>
            </w:r>
          </w:p>
        </w:tc>
      </w:tr>
      <w:tr w:rsidR="00B67D7C" w:rsidRPr="00DE096C" w14:paraId="2B655A9B" w14:textId="77777777" w:rsidTr="00C2024A">
        <w:tc>
          <w:tcPr>
            <w:tcW w:w="912" w:type="dxa"/>
          </w:tcPr>
          <w:p w14:paraId="3878C735" w14:textId="77777777" w:rsidR="00B67D7C" w:rsidRPr="00DE096C" w:rsidRDefault="00B67D7C" w:rsidP="00D45A46">
            <w:pPr>
              <w:jc w:val="both"/>
              <w:rPr>
                <w:bCs/>
                <w:color w:val="002060"/>
                <w:sz w:val="16"/>
                <w:szCs w:val="16"/>
              </w:rPr>
            </w:pPr>
            <w:r w:rsidRPr="00DE096C">
              <w:rPr>
                <w:bCs/>
                <w:color w:val="002060"/>
                <w:sz w:val="16"/>
                <w:szCs w:val="16"/>
              </w:rPr>
              <w:t> </w:t>
            </w:r>
          </w:p>
        </w:tc>
        <w:tc>
          <w:tcPr>
            <w:tcW w:w="864" w:type="dxa"/>
          </w:tcPr>
          <w:p w14:paraId="0C7EFEA5" w14:textId="77777777" w:rsidR="00B67D7C" w:rsidRPr="00DE096C" w:rsidRDefault="00B67D7C" w:rsidP="00D45A46">
            <w:pPr>
              <w:jc w:val="both"/>
              <w:rPr>
                <w:bCs/>
                <w:color w:val="002060"/>
                <w:sz w:val="16"/>
                <w:szCs w:val="16"/>
              </w:rPr>
            </w:pPr>
            <w:r w:rsidRPr="00DE096C">
              <w:rPr>
                <w:bCs/>
                <w:color w:val="002060"/>
                <w:sz w:val="16"/>
                <w:szCs w:val="16"/>
              </w:rPr>
              <w:t>VII — 1.70</w:t>
            </w:r>
          </w:p>
        </w:tc>
        <w:tc>
          <w:tcPr>
            <w:tcW w:w="828" w:type="dxa"/>
          </w:tcPr>
          <w:p w14:paraId="7EFBB0DE" w14:textId="77777777" w:rsidR="00B67D7C" w:rsidRPr="00DE096C" w:rsidRDefault="00B67D7C" w:rsidP="00D45A46">
            <w:pPr>
              <w:jc w:val="both"/>
              <w:rPr>
                <w:bCs/>
                <w:color w:val="002060"/>
                <w:sz w:val="16"/>
                <w:szCs w:val="16"/>
              </w:rPr>
            </w:pPr>
            <w:r w:rsidRPr="00DE096C">
              <w:rPr>
                <w:bCs/>
                <w:color w:val="002060"/>
                <w:sz w:val="16"/>
                <w:szCs w:val="16"/>
              </w:rPr>
              <w:t>VII — 2.78</w:t>
            </w:r>
          </w:p>
        </w:tc>
        <w:tc>
          <w:tcPr>
            <w:tcW w:w="912" w:type="dxa"/>
          </w:tcPr>
          <w:p w14:paraId="18BD25F1" w14:textId="77777777" w:rsidR="00B67D7C" w:rsidRPr="00DE096C" w:rsidRDefault="00B67D7C" w:rsidP="00D45A46">
            <w:pPr>
              <w:jc w:val="both"/>
              <w:rPr>
                <w:bCs/>
                <w:color w:val="002060"/>
                <w:sz w:val="16"/>
                <w:szCs w:val="16"/>
              </w:rPr>
            </w:pPr>
            <w:r w:rsidRPr="00DE096C">
              <w:rPr>
                <w:bCs/>
                <w:color w:val="002060"/>
                <w:sz w:val="16"/>
                <w:szCs w:val="16"/>
              </w:rPr>
              <w:t> </w:t>
            </w:r>
          </w:p>
        </w:tc>
      </w:tr>
      <w:tr w:rsidR="00B67D7C" w:rsidRPr="00DE096C" w14:paraId="515EF2CC" w14:textId="77777777" w:rsidTr="00C2024A">
        <w:tc>
          <w:tcPr>
            <w:tcW w:w="912" w:type="dxa"/>
          </w:tcPr>
          <w:p w14:paraId="6A51ADCB" w14:textId="77777777" w:rsidR="00B67D7C" w:rsidRPr="00DE096C" w:rsidRDefault="00B67D7C" w:rsidP="00D45A46">
            <w:pPr>
              <w:jc w:val="both"/>
              <w:rPr>
                <w:bCs/>
                <w:color w:val="002060"/>
                <w:sz w:val="16"/>
                <w:szCs w:val="16"/>
              </w:rPr>
            </w:pPr>
            <w:r w:rsidRPr="00DE096C">
              <w:rPr>
                <w:bCs/>
                <w:color w:val="002060"/>
                <w:sz w:val="16"/>
                <w:szCs w:val="16"/>
              </w:rPr>
              <w:t> </w:t>
            </w:r>
          </w:p>
        </w:tc>
        <w:tc>
          <w:tcPr>
            <w:tcW w:w="864" w:type="dxa"/>
          </w:tcPr>
          <w:p w14:paraId="5A853B82" w14:textId="77777777" w:rsidR="00B67D7C" w:rsidRPr="00DE096C" w:rsidRDefault="00B67D7C" w:rsidP="00D45A46">
            <w:pPr>
              <w:jc w:val="both"/>
              <w:rPr>
                <w:bCs/>
                <w:color w:val="002060"/>
                <w:sz w:val="16"/>
                <w:szCs w:val="16"/>
              </w:rPr>
            </w:pPr>
            <w:r w:rsidRPr="00DE096C">
              <w:rPr>
                <w:bCs/>
                <w:color w:val="002060"/>
                <w:sz w:val="16"/>
                <w:szCs w:val="16"/>
              </w:rPr>
              <w:t>VIII — 1.78</w:t>
            </w:r>
          </w:p>
        </w:tc>
        <w:tc>
          <w:tcPr>
            <w:tcW w:w="828" w:type="dxa"/>
          </w:tcPr>
          <w:p w14:paraId="4448C03F" w14:textId="77777777" w:rsidR="00B67D7C" w:rsidRPr="00DE096C" w:rsidRDefault="00B67D7C" w:rsidP="00D45A46">
            <w:pPr>
              <w:jc w:val="both"/>
              <w:rPr>
                <w:bCs/>
                <w:color w:val="002060"/>
                <w:sz w:val="16"/>
                <w:szCs w:val="16"/>
              </w:rPr>
            </w:pPr>
            <w:r w:rsidRPr="00DE096C">
              <w:rPr>
                <w:bCs/>
                <w:color w:val="002060"/>
                <w:sz w:val="16"/>
                <w:szCs w:val="16"/>
              </w:rPr>
              <w:t>VIII — 2.85</w:t>
            </w:r>
          </w:p>
        </w:tc>
        <w:tc>
          <w:tcPr>
            <w:tcW w:w="912" w:type="dxa"/>
          </w:tcPr>
          <w:p w14:paraId="3603F872" w14:textId="77777777" w:rsidR="00B67D7C" w:rsidRPr="00DE096C" w:rsidRDefault="00B67D7C" w:rsidP="00D45A46">
            <w:pPr>
              <w:jc w:val="both"/>
              <w:rPr>
                <w:bCs/>
                <w:color w:val="002060"/>
                <w:sz w:val="16"/>
                <w:szCs w:val="16"/>
              </w:rPr>
            </w:pPr>
            <w:r w:rsidRPr="00DE096C">
              <w:rPr>
                <w:bCs/>
                <w:color w:val="002060"/>
                <w:sz w:val="16"/>
                <w:szCs w:val="16"/>
              </w:rPr>
              <w:t> </w:t>
            </w:r>
          </w:p>
        </w:tc>
      </w:tr>
      <w:tr w:rsidR="00B67D7C" w:rsidRPr="00DE096C" w14:paraId="35CCEE98" w14:textId="77777777" w:rsidTr="00C2024A">
        <w:tc>
          <w:tcPr>
            <w:tcW w:w="912" w:type="dxa"/>
          </w:tcPr>
          <w:p w14:paraId="42955D97" w14:textId="77777777" w:rsidR="00B67D7C" w:rsidRPr="00DE096C" w:rsidRDefault="00B67D7C" w:rsidP="00D45A46">
            <w:pPr>
              <w:jc w:val="both"/>
              <w:rPr>
                <w:bCs/>
                <w:color w:val="002060"/>
                <w:sz w:val="16"/>
                <w:szCs w:val="16"/>
              </w:rPr>
            </w:pPr>
            <w:r w:rsidRPr="00DE096C">
              <w:rPr>
                <w:bCs/>
                <w:color w:val="002060"/>
                <w:sz w:val="16"/>
                <w:szCs w:val="16"/>
              </w:rPr>
              <w:t> </w:t>
            </w:r>
          </w:p>
        </w:tc>
        <w:tc>
          <w:tcPr>
            <w:tcW w:w="864" w:type="dxa"/>
          </w:tcPr>
          <w:p w14:paraId="77344FC1" w14:textId="77777777" w:rsidR="00B67D7C" w:rsidRPr="00DE096C" w:rsidRDefault="00B67D7C" w:rsidP="00D45A46">
            <w:pPr>
              <w:jc w:val="both"/>
              <w:rPr>
                <w:bCs/>
                <w:color w:val="002060"/>
                <w:sz w:val="16"/>
                <w:szCs w:val="16"/>
              </w:rPr>
            </w:pPr>
            <w:r w:rsidRPr="00DE096C">
              <w:rPr>
                <w:bCs/>
                <w:color w:val="002060"/>
                <w:sz w:val="16"/>
                <w:szCs w:val="16"/>
              </w:rPr>
              <w:t>IX — 1.93</w:t>
            </w:r>
          </w:p>
        </w:tc>
        <w:tc>
          <w:tcPr>
            <w:tcW w:w="828" w:type="dxa"/>
          </w:tcPr>
          <w:p w14:paraId="2CE4A084" w14:textId="77777777" w:rsidR="00B67D7C" w:rsidRPr="00DE096C" w:rsidRDefault="00B67D7C" w:rsidP="00D45A46">
            <w:pPr>
              <w:jc w:val="both"/>
              <w:rPr>
                <w:bCs/>
                <w:color w:val="002060"/>
                <w:sz w:val="16"/>
                <w:szCs w:val="16"/>
              </w:rPr>
            </w:pPr>
            <w:r w:rsidRPr="00DE096C">
              <w:rPr>
                <w:bCs/>
                <w:color w:val="002060"/>
                <w:sz w:val="16"/>
                <w:szCs w:val="16"/>
              </w:rPr>
              <w:t>IX — 2.9</w:t>
            </w:r>
          </w:p>
        </w:tc>
        <w:tc>
          <w:tcPr>
            <w:tcW w:w="912" w:type="dxa"/>
          </w:tcPr>
          <w:p w14:paraId="59EEB61A" w14:textId="77777777" w:rsidR="00B67D7C" w:rsidRPr="00DE096C" w:rsidRDefault="00B67D7C" w:rsidP="00D45A46">
            <w:pPr>
              <w:jc w:val="both"/>
              <w:rPr>
                <w:bCs/>
                <w:color w:val="002060"/>
                <w:sz w:val="16"/>
                <w:szCs w:val="16"/>
              </w:rPr>
            </w:pPr>
            <w:r w:rsidRPr="00DE096C">
              <w:rPr>
                <w:bCs/>
                <w:color w:val="002060"/>
                <w:sz w:val="16"/>
                <w:szCs w:val="16"/>
              </w:rPr>
              <w:t> </w:t>
            </w:r>
          </w:p>
        </w:tc>
      </w:tr>
      <w:tr w:rsidR="00B67D7C" w:rsidRPr="00DE096C" w14:paraId="636ACCF9" w14:textId="77777777" w:rsidTr="00C2024A">
        <w:tc>
          <w:tcPr>
            <w:tcW w:w="912" w:type="dxa"/>
          </w:tcPr>
          <w:p w14:paraId="11EA0D52" w14:textId="77777777" w:rsidR="00B67D7C" w:rsidRPr="00DE096C" w:rsidRDefault="00B67D7C" w:rsidP="00D45A46">
            <w:pPr>
              <w:jc w:val="both"/>
              <w:rPr>
                <w:bCs/>
                <w:color w:val="002060"/>
                <w:sz w:val="16"/>
                <w:szCs w:val="16"/>
              </w:rPr>
            </w:pPr>
            <w:r w:rsidRPr="00DE096C">
              <w:rPr>
                <w:bCs/>
                <w:color w:val="002060"/>
                <w:sz w:val="16"/>
                <w:szCs w:val="16"/>
              </w:rPr>
              <w:t> </w:t>
            </w:r>
          </w:p>
        </w:tc>
        <w:tc>
          <w:tcPr>
            <w:tcW w:w="864" w:type="dxa"/>
          </w:tcPr>
          <w:p w14:paraId="5B0DBCEF" w14:textId="77777777" w:rsidR="00B67D7C" w:rsidRPr="00DE096C" w:rsidRDefault="00B67D7C" w:rsidP="00D45A46">
            <w:pPr>
              <w:jc w:val="both"/>
              <w:rPr>
                <w:bCs/>
                <w:color w:val="002060"/>
                <w:sz w:val="16"/>
                <w:szCs w:val="16"/>
              </w:rPr>
            </w:pPr>
            <w:r w:rsidRPr="00DE096C">
              <w:rPr>
                <w:bCs/>
                <w:color w:val="002060"/>
                <w:sz w:val="16"/>
                <w:szCs w:val="16"/>
              </w:rPr>
              <w:t>X — 1.95</w:t>
            </w:r>
          </w:p>
        </w:tc>
        <w:tc>
          <w:tcPr>
            <w:tcW w:w="828" w:type="dxa"/>
          </w:tcPr>
          <w:p w14:paraId="3915F4DE" w14:textId="77777777" w:rsidR="00B67D7C" w:rsidRPr="00DE096C" w:rsidRDefault="00B67D7C" w:rsidP="00D45A46">
            <w:pPr>
              <w:jc w:val="both"/>
              <w:rPr>
                <w:bCs/>
                <w:color w:val="002060"/>
                <w:sz w:val="16"/>
                <w:szCs w:val="16"/>
              </w:rPr>
            </w:pPr>
            <w:r w:rsidRPr="00DE096C">
              <w:rPr>
                <w:bCs/>
                <w:color w:val="002060"/>
                <w:sz w:val="16"/>
                <w:szCs w:val="16"/>
              </w:rPr>
              <w:t>X — 3.0</w:t>
            </w:r>
          </w:p>
        </w:tc>
        <w:tc>
          <w:tcPr>
            <w:tcW w:w="912" w:type="dxa"/>
          </w:tcPr>
          <w:p w14:paraId="1A5FAC89" w14:textId="77777777" w:rsidR="00B67D7C" w:rsidRPr="00DE096C" w:rsidRDefault="00B67D7C" w:rsidP="00D45A46">
            <w:pPr>
              <w:jc w:val="both"/>
              <w:rPr>
                <w:bCs/>
                <w:color w:val="002060"/>
                <w:sz w:val="16"/>
                <w:szCs w:val="16"/>
              </w:rPr>
            </w:pPr>
            <w:r w:rsidRPr="00DE096C">
              <w:rPr>
                <w:bCs/>
                <w:color w:val="002060"/>
                <w:sz w:val="16"/>
                <w:szCs w:val="16"/>
              </w:rPr>
              <w:t> </w:t>
            </w:r>
          </w:p>
        </w:tc>
      </w:tr>
      <w:tr w:rsidR="00B67D7C" w:rsidRPr="00DE096C" w14:paraId="5563A932" w14:textId="77777777" w:rsidTr="00C2024A">
        <w:tc>
          <w:tcPr>
            <w:tcW w:w="912" w:type="dxa"/>
          </w:tcPr>
          <w:p w14:paraId="1346580F" w14:textId="77777777" w:rsidR="00B67D7C" w:rsidRPr="00DE096C" w:rsidRDefault="00B67D7C" w:rsidP="00D45A46">
            <w:pPr>
              <w:jc w:val="both"/>
              <w:rPr>
                <w:bCs/>
                <w:color w:val="002060"/>
                <w:sz w:val="16"/>
                <w:szCs w:val="16"/>
              </w:rPr>
            </w:pPr>
            <w:r w:rsidRPr="00DE096C">
              <w:rPr>
                <w:bCs/>
                <w:color w:val="002060"/>
                <w:sz w:val="16"/>
                <w:szCs w:val="16"/>
              </w:rPr>
              <w:t> </w:t>
            </w:r>
          </w:p>
        </w:tc>
        <w:tc>
          <w:tcPr>
            <w:tcW w:w="864" w:type="dxa"/>
          </w:tcPr>
          <w:p w14:paraId="0CACE4A2" w14:textId="77777777" w:rsidR="00B67D7C" w:rsidRPr="00DE096C" w:rsidRDefault="00B67D7C" w:rsidP="00D45A46">
            <w:pPr>
              <w:jc w:val="both"/>
              <w:rPr>
                <w:bCs/>
                <w:color w:val="002060"/>
                <w:sz w:val="16"/>
                <w:szCs w:val="16"/>
              </w:rPr>
            </w:pPr>
            <w:r w:rsidRPr="00DE096C">
              <w:rPr>
                <w:bCs/>
                <w:color w:val="002060"/>
                <w:sz w:val="16"/>
                <w:szCs w:val="16"/>
              </w:rPr>
              <w:t>XI — 2.0</w:t>
            </w:r>
          </w:p>
        </w:tc>
        <w:tc>
          <w:tcPr>
            <w:tcW w:w="828" w:type="dxa"/>
          </w:tcPr>
          <w:p w14:paraId="5FCBE2A2" w14:textId="77777777" w:rsidR="00B67D7C" w:rsidRPr="00DE096C" w:rsidRDefault="00B67D7C" w:rsidP="00D45A46">
            <w:pPr>
              <w:jc w:val="both"/>
              <w:rPr>
                <w:bCs/>
                <w:color w:val="002060"/>
                <w:sz w:val="16"/>
                <w:szCs w:val="16"/>
              </w:rPr>
            </w:pPr>
            <w:r w:rsidRPr="00DE096C">
              <w:rPr>
                <w:bCs/>
                <w:color w:val="002060"/>
                <w:sz w:val="16"/>
                <w:szCs w:val="16"/>
              </w:rPr>
              <w:t>XI — 3.0</w:t>
            </w:r>
          </w:p>
        </w:tc>
        <w:tc>
          <w:tcPr>
            <w:tcW w:w="912" w:type="dxa"/>
          </w:tcPr>
          <w:p w14:paraId="2BC23B24" w14:textId="77777777" w:rsidR="00B67D7C" w:rsidRPr="00DE096C" w:rsidRDefault="00B67D7C" w:rsidP="00D45A46">
            <w:pPr>
              <w:jc w:val="both"/>
              <w:rPr>
                <w:bCs/>
                <w:color w:val="002060"/>
                <w:sz w:val="16"/>
                <w:szCs w:val="16"/>
              </w:rPr>
            </w:pPr>
            <w:r w:rsidRPr="00DE096C">
              <w:rPr>
                <w:bCs/>
                <w:color w:val="002060"/>
                <w:sz w:val="16"/>
                <w:szCs w:val="16"/>
              </w:rPr>
              <w:t> </w:t>
            </w:r>
          </w:p>
        </w:tc>
      </w:tr>
      <w:tr w:rsidR="00B67D7C" w:rsidRPr="00DE096C" w14:paraId="0A78E864" w14:textId="77777777" w:rsidTr="00C2024A">
        <w:tc>
          <w:tcPr>
            <w:tcW w:w="912" w:type="dxa"/>
          </w:tcPr>
          <w:p w14:paraId="6B5ECA30" w14:textId="77777777" w:rsidR="00B67D7C" w:rsidRPr="00DE096C" w:rsidRDefault="00B67D7C" w:rsidP="00D45A46">
            <w:pPr>
              <w:jc w:val="both"/>
              <w:rPr>
                <w:bCs/>
                <w:color w:val="002060"/>
                <w:sz w:val="16"/>
                <w:szCs w:val="16"/>
              </w:rPr>
            </w:pPr>
            <w:r w:rsidRPr="00DE096C">
              <w:rPr>
                <w:bCs/>
                <w:color w:val="002060"/>
                <w:sz w:val="16"/>
                <w:szCs w:val="16"/>
              </w:rPr>
              <w:t> </w:t>
            </w:r>
          </w:p>
        </w:tc>
        <w:tc>
          <w:tcPr>
            <w:tcW w:w="864" w:type="dxa"/>
          </w:tcPr>
          <w:p w14:paraId="2E7F8A46" w14:textId="77777777" w:rsidR="00B67D7C" w:rsidRPr="00DE096C" w:rsidRDefault="00B67D7C" w:rsidP="00D45A46">
            <w:pPr>
              <w:jc w:val="both"/>
              <w:rPr>
                <w:bCs/>
                <w:color w:val="002060"/>
                <w:sz w:val="16"/>
                <w:szCs w:val="16"/>
              </w:rPr>
            </w:pPr>
            <w:r w:rsidRPr="00DE096C">
              <w:rPr>
                <w:bCs/>
                <w:color w:val="002060"/>
                <w:sz w:val="16"/>
                <w:szCs w:val="16"/>
              </w:rPr>
              <w:t>XII — 2.1</w:t>
            </w:r>
          </w:p>
        </w:tc>
        <w:tc>
          <w:tcPr>
            <w:tcW w:w="828" w:type="dxa"/>
          </w:tcPr>
          <w:p w14:paraId="6DE87C90" w14:textId="77777777" w:rsidR="00B67D7C" w:rsidRPr="00DE096C" w:rsidRDefault="00B67D7C" w:rsidP="00D45A46">
            <w:pPr>
              <w:jc w:val="both"/>
              <w:rPr>
                <w:bCs/>
                <w:color w:val="002060"/>
                <w:sz w:val="16"/>
                <w:szCs w:val="16"/>
              </w:rPr>
            </w:pPr>
            <w:r w:rsidRPr="00DE096C">
              <w:rPr>
                <w:bCs/>
                <w:color w:val="002060"/>
                <w:sz w:val="16"/>
                <w:szCs w:val="16"/>
              </w:rPr>
              <w:t>XII — 3.2</w:t>
            </w:r>
          </w:p>
        </w:tc>
        <w:tc>
          <w:tcPr>
            <w:tcW w:w="912" w:type="dxa"/>
          </w:tcPr>
          <w:p w14:paraId="0AFF980D" w14:textId="77777777" w:rsidR="00B67D7C" w:rsidRPr="00DE096C" w:rsidRDefault="00B67D7C" w:rsidP="00D45A46">
            <w:pPr>
              <w:jc w:val="both"/>
              <w:rPr>
                <w:bCs/>
                <w:color w:val="002060"/>
                <w:sz w:val="16"/>
                <w:szCs w:val="16"/>
              </w:rPr>
            </w:pPr>
            <w:r w:rsidRPr="00DE096C">
              <w:rPr>
                <w:bCs/>
                <w:color w:val="002060"/>
                <w:sz w:val="16"/>
                <w:szCs w:val="16"/>
              </w:rPr>
              <w:t> </w:t>
            </w:r>
          </w:p>
        </w:tc>
      </w:tr>
    </w:tbl>
    <w:p w14:paraId="5B780A9C" w14:textId="77777777" w:rsidR="00B67D7C" w:rsidRPr="00DE096C" w:rsidRDefault="00B67D7C" w:rsidP="00D45A46">
      <w:pPr>
        <w:jc w:val="both"/>
        <w:rPr>
          <w:bCs/>
          <w:color w:val="002060"/>
          <w:sz w:val="16"/>
          <w:szCs w:val="16"/>
        </w:rPr>
      </w:pPr>
      <w:r w:rsidRPr="00DE096C">
        <w:rPr>
          <w:bCs/>
          <w:color w:val="002060"/>
          <w:sz w:val="16"/>
          <w:szCs w:val="16"/>
        </w:rPr>
        <w:t xml:space="preserve">Приведенные коэффициенты поучительны. Если учесть все обстоятельства, при которых они получены, то надо считать, что они показывают ту предельную календарную скорость разворачивания производства, которую практически можно требовать от оружейных заводов. Правда, разворачивание шло импровизированным порядком, без предварительной мобилизационной подготовки. Это обстоятельство, без сомнения, действовало тормозящим образом. Но, с другой стороны, работа шла под натиском жесточайшей форсировки, которая не могла бы быть допущена при плановом разворачивании. В итоге можно считать, что эти два фактора, противоположно влияющие, взаимно уравновешивались. </w:t>
      </w:r>
    </w:p>
    <w:p w14:paraId="273BEB0C" w14:textId="77777777" w:rsidR="00B67D7C" w:rsidRPr="00DE096C" w:rsidRDefault="00B67D7C" w:rsidP="00D45A46">
      <w:pPr>
        <w:jc w:val="both"/>
        <w:rPr>
          <w:bCs/>
          <w:color w:val="002060"/>
          <w:sz w:val="16"/>
          <w:szCs w:val="16"/>
        </w:rPr>
      </w:pPr>
      <w:r w:rsidRPr="00DE096C">
        <w:rPr>
          <w:bCs/>
          <w:color w:val="002060"/>
          <w:sz w:val="16"/>
          <w:szCs w:val="16"/>
        </w:rPr>
        <w:t xml:space="preserve">Из таблиц видно, что максимум, 44 тыс., достигнут на 9-м месяце. Что касается дальнейшего подъема производительности, то можно считать, что рост ее в пределах коэффициентов от 1 до 1,3 можно отнести за счет форсировки работы, то есть увеличения скоростей подач, увеличения рабочих дней в месяце и пр. Дальнейший же рост выше 1,3 — это результат усиления оборудования при наличии той же форсировки. </w:t>
      </w:r>
    </w:p>
    <w:p w14:paraId="40B5062C" w14:textId="77777777" w:rsidR="00B67D7C" w:rsidRPr="00DE096C" w:rsidRDefault="00B67D7C" w:rsidP="00D45A46">
      <w:pPr>
        <w:jc w:val="both"/>
        <w:rPr>
          <w:bCs/>
          <w:color w:val="002060"/>
          <w:sz w:val="16"/>
          <w:szCs w:val="16"/>
        </w:rPr>
      </w:pPr>
      <w:r w:rsidRPr="00DE096C">
        <w:rPr>
          <w:bCs/>
          <w:color w:val="002060"/>
          <w:sz w:val="16"/>
          <w:szCs w:val="16"/>
        </w:rPr>
        <w:t>Из таблиц видно также, что чем выше загрузка завода заказами в мирное время, тем в более короткий срок достигается максимум при мобилизационном разворачивании. Впрочем, это ясно, конечно, и без таблиц (11329).</w:t>
      </w:r>
    </w:p>
    <w:p w14:paraId="7BBAA584" w14:textId="77777777" w:rsidR="00B67D7C" w:rsidRPr="00DE096C" w:rsidRDefault="00B67D7C" w:rsidP="00D45A46">
      <w:pPr>
        <w:jc w:val="both"/>
        <w:rPr>
          <w:bCs/>
          <w:color w:val="002060"/>
          <w:sz w:val="16"/>
          <w:szCs w:val="16"/>
        </w:rPr>
      </w:pPr>
    </w:p>
    <w:p w14:paraId="4B13CF90" w14:textId="12061F28" w:rsidR="00B67D7C" w:rsidRPr="00DE096C" w:rsidRDefault="002E7CBF"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августе 1914 г. </w:t>
      </w:r>
      <w:r w:rsidRPr="00DE096C">
        <w:rPr>
          <w:bCs/>
          <w:color w:val="002060"/>
          <w:sz w:val="16"/>
          <w:szCs w:val="16"/>
        </w:rPr>
        <w:t xml:space="preserve">Объехав Донецкий бассейн, комиссия для обследования вопроса о возможности получения бннзола и толуола при процессах коксования каменного угля, ведшегося в широких размерах в том районе, но обычно без улавливания побочных продуктов коксования, </w:t>
      </w:r>
      <w:r w:rsidR="00B67D7C" w:rsidRPr="00DE096C">
        <w:rPr>
          <w:bCs/>
          <w:color w:val="002060"/>
          <w:sz w:val="16"/>
          <w:szCs w:val="16"/>
        </w:rPr>
        <w:t xml:space="preserve">сделала в ГАУ доклад, в коем определенно указала, что установка добычи толуола и бензола в сколько-нибудь короткий срок представляется совершенно невозможной, и признала, что единственный выход — немедля заготовлять толуол и бензол в Америке. </w:t>
      </w:r>
    </w:p>
    <w:p w14:paraId="520E93F7" w14:textId="77777777" w:rsidR="00B67D7C" w:rsidRPr="00DE096C" w:rsidRDefault="00B67D7C" w:rsidP="00D45A46">
      <w:pPr>
        <w:jc w:val="both"/>
        <w:rPr>
          <w:bCs/>
          <w:color w:val="002060"/>
          <w:sz w:val="16"/>
          <w:szCs w:val="16"/>
        </w:rPr>
      </w:pPr>
      <w:r w:rsidRPr="00DE096C">
        <w:rPr>
          <w:bCs/>
          <w:color w:val="002060"/>
          <w:sz w:val="16"/>
          <w:szCs w:val="16"/>
        </w:rPr>
        <w:t xml:space="preserve">С целью выяснения возможности и условий такого заказа был командирован в Америку проф. Сапожников. Командировка эта выяснила, однако, что на Америку особенно рассчитывать нельзя, так как существовавшая там коксобензольная промышленность лишь в небольшой мере может удовлетворить громадный спрос на </w:t>
      </w:r>
      <w:r w:rsidRPr="00DE096C">
        <w:rPr>
          <w:bCs/>
          <w:color w:val="002060"/>
          <w:sz w:val="16"/>
          <w:szCs w:val="16"/>
        </w:rPr>
        <w:lastRenderedPageBreak/>
        <w:t xml:space="preserve">ароматические углеводороды, возникший со стороны России и ее союзников, и что для этого Америке придется строить новые заводы. Действительно, впоследствии выяснилось, что за 1915 и 1916 гг. войны там было выстроено 40 бензольных заводов с производительностью на 8 000 000 пудов сырого бензола в год. </w:t>
      </w:r>
    </w:p>
    <w:p w14:paraId="144F3D9B" w14:textId="77777777" w:rsidR="00B67D7C" w:rsidRPr="00DE096C" w:rsidRDefault="00B67D7C" w:rsidP="00D45A46">
      <w:pPr>
        <w:jc w:val="both"/>
        <w:rPr>
          <w:bCs/>
          <w:color w:val="002060"/>
          <w:sz w:val="16"/>
          <w:szCs w:val="16"/>
        </w:rPr>
      </w:pPr>
      <w:r w:rsidRPr="00DE096C">
        <w:rPr>
          <w:bCs/>
          <w:color w:val="002060"/>
          <w:sz w:val="16"/>
          <w:szCs w:val="16"/>
        </w:rPr>
        <w:t xml:space="preserve">Ввиду такого положения решено было вновь пересмотреть вопрос об организации производства бензола и толуола внутри страны. </w:t>
      </w:r>
    </w:p>
    <w:p w14:paraId="3EFB12BD" w14:textId="77777777" w:rsidR="00B67D7C" w:rsidRPr="00DE096C" w:rsidRDefault="00B67D7C" w:rsidP="00D45A46">
      <w:pPr>
        <w:jc w:val="both"/>
        <w:rPr>
          <w:bCs/>
          <w:color w:val="002060"/>
          <w:sz w:val="16"/>
          <w:szCs w:val="16"/>
        </w:rPr>
      </w:pPr>
      <w:r w:rsidRPr="00DE096C">
        <w:rPr>
          <w:bCs/>
          <w:color w:val="002060"/>
          <w:sz w:val="16"/>
          <w:szCs w:val="16"/>
        </w:rPr>
        <w:t xml:space="preserve">В ноябре 1914 г. в Донецкий бассейн выехала вторая комиссия, под председательством проф. В.Н. Ипатьева. В течение месяца ею были обследованы все коксовые фабрики Донецкого бассейна. </w:t>
      </w:r>
    </w:p>
    <w:p w14:paraId="410AB5AD" w14:textId="77777777" w:rsidR="00B67D7C" w:rsidRPr="00DE096C" w:rsidRDefault="00B67D7C" w:rsidP="00D45A46">
      <w:pPr>
        <w:jc w:val="both"/>
        <w:rPr>
          <w:bCs/>
          <w:color w:val="002060"/>
          <w:sz w:val="16"/>
          <w:szCs w:val="16"/>
        </w:rPr>
      </w:pPr>
      <w:r w:rsidRPr="00DE096C">
        <w:rPr>
          <w:bCs/>
          <w:color w:val="002060"/>
          <w:sz w:val="16"/>
          <w:szCs w:val="16"/>
        </w:rPr>
        <w:t xml:space="preserve">Комиссия Ипатьева пришла к иным заключениям, чем предшествующая. Работы ее изложены в печатной брошюре: "Отчет Комиссии, командированной в Донецкий бассейн по вопросу о расширении выработки толуола и бензола в России". Комиссия проф. Ипатьева, излагая результаты обследования, дала категорическое заключение о полной возможности в короткий срок организовать производство названных продуктов: во-первых, путем устройства дополнительных сооружений при существующих коксовальных фабриках, имеющих печи рекуперационного типа, но без полного оборудования сооружений, улавливающих продукты коксования, а во-вторых, путем постройки новых бензоловых заводов. Комиссией был разработан план организации этого дела, в коем помимо бензола и толуола намечено было получение ряда других исходных продуктов для выработки различных взрывчатых веществ, на случай если тротила не хватит. </w:t>
      </w:r>
    </w:p>
    <w:p w14:paraId="52E87F98" w14:textId="77777777" w:rsidR="00B67D7C" w:rsidRPr="00DE096C" w:rsidRDefault="00B67D7C" w:rsidP="00D45A46">
      <w:pPr>
        <w:jc w:val="both"/>
        <w:rPr>
          <w:bCs/>
          <w:color w:val="002060"/>
          <w:sz w:val="16"/>
          <w:szCs w:val="16"/>
        </w:rPr>
      </w:pPr>
      <w:r w:rsidRPr="00DE096C">
        <w:rPr>
          <w:bCs/>
          <w:color w:val="002060"/>
          <w:sz w:val="16"/>
          <w:szCs w:val="16"/>
        </w:rPr>
        <w:t xml:space="preserve">Однако Военное министерство не отнеслось с должной серьезностью к работам и проектам комиссии и колебалось принять какие-либо решительные меры. После долгих переговоров им было дано, наконец, разрешение образовать по этому делу специальную постоянную комиссию при ГАУ. Полтора месяца шла переписка между ГАУ и Военным министерством относительно положения об этой комиссии и ее правах, и только к 6 февраля 1915 г. было утверждено положение, причем она получила название "Комиссия по заготовке взрывчатых веществ". </w:t>
      </w:r>
    </w:p>
    <w:p w14:paraId="3C73CA94" w14:textId="77777777" w:rsidR="00B67D7C" w:rsidRPr="00DE096C" w:rsidRDefault="00B67D7C" w:rsidP="00D45A46">
      <w:pPr>
        <w:jc w:val="both"/>
        <w:rPr>
          <w:bCs/>
          <w:color w:val="002060"/>
          <w:sz w:val="16"/>
          <w:szCs w:val="16"/>
        </w:rPr>
      </w:pPr>
      <w:r w:rsidRPr="00DE096C">
        <w:rPr>
          <w:bCs/>
          <w:color w:val="002060"/>
          <w:sz w:val="16"/>
          <w:szCs w:val="16"/>
        </w:rPr>
        <w:t xml:space="preserve">Таким образом, с августа 1914 г. было потеряно пять драгоценных месяцев, пока серьезно занялись делом первоочередной важности. </w:t>
      </w:r>
    </w:p>
    <w:p w14:paraId="412F59DF" w14:textId="77777777" w:rsidR="00B67D7C" w:rsidRPr="00DE096C" w:rsidRDefault="00B67D7C" w:rsidP="00D45A46">
      <w:pPr>
        <w:jc w:val="both"/>
        <w:rPr>
          <w:bCs/>
          <w:color w:val="002060"/>
          <w:sz w:val="16"/>
          <w:szCs w:val="16"/>
        </w:rPr>
      </w:pPr>
      <w:r w:rsidRPr="00DE096C">
        <w:rPr>
          <w:bCs/>
          <w:color w:val="002060"/>
          <w:sz w:val="16"/>
          <w:szCs w:val="16"/>
        </w:rPr>
        <w:t xml:space="preserve">Председателем комиссии был назначен проф. Ипатьев и его ближайшим сотрудником был проф. Фокин. </w:t>
      </w:r>
    </w:p>
    <w:p w14:paraId="50978C23" w14:textId="77777777" w:rsidR="00B67D7C" w:rsidRPr="00DE096C" w:rsidRDefault="00B67D7C" w:rsidP="00D45A46">
      <w:pPr>
        <w:jc w:val="both"/>
        <w:rPr>
          <w:bCs/>
          <w:color w:val="002060"/>
          <w:sz w:val="16"/>
          <w:szCs w:val="16"/>
        </w:rPr>
      </w:pPr>
      <w:r w:rsidRPr="00DE096C">
        <w:rPr>
          <w:bCs/>
          <w:color w:val="002060"/>
          <w:sz w:val="16"/>
          <w:szCs w:val="16"/>
        </w:rPr>
        <w:t xml:space="preserve">Эти обстоятельства не лишили работников комиссии энергии, и она, не дожидаясь утверждения положения, а в дальнейшем и не считаясь с ним, за свой риск и страх приступила к осуществлению программы, намеченной после поездки в Донецкий бассейн. </w:t>
      </w:r>
    </w:p>
    <w:p w14:paraId="60E80988" w14:textId="77777777" w:rsidR="00B67D7C" w:rsidRPr="00DE096C" w:rsidRDefault="00B67D7C" w:rsidP="00D45A46">
      <w:pPr>
        <w:jc w:val="both"/>
        <w:rPr>
          <w:bCs/>
          <w:color w:val="002060"/>
          <w:sz w:val="16"/>
          <w:szCs w:val="16"/>
        </w:rPr>
      </w:pPr>
      <w:r w:rsidRPr="00DE096C">
        <w:rPr>
          <w:bCs/>
          <w:color w:val="002060"/>
          <w:sz w:val="16"/>
          <w:szCs w:val="16"/>
        </w:rPr>
        <w:t xml:space="preserve">На первых шагах в работе встретились большие затруднения. Представители частновладельческой коксовой промышленности неохотно шли навстречу начинаниям комиссии. С одной стороны, они боялись нарушить права германских концессионеров, которым принадлежала часть имевшихся на юге устройств для улавливания побочных продуктов коксования. С другой стороны — боялись перепроизводства бензола, толуола и нафталина и др., так как не рассчитывали, что параллельно с этими производствами могут в дальнейшем развиться те отрасли промышленности, которые, помимо военного ведомства, явятся потребителями названных продуктов, как, например, производство красителей. </w:t>
      </w:r>
    </w:p>
    <w:p w14:paraId="40C2990C" w14:textId="77777777" w:rsidR="00B67D7C" w:rsidRPr="00DE096C" w:rsidRDefault="00B67D7C" w:rsidP="00D45A46">
      <w:pPr>
        <w:jc w:val="both"/>
        <w:rPr>
          <w:bCs/>
          <w:color w:val="002060"/>
          <w:sz w:val="16"/>
          <w:szCs w:val="16"/>
        </w:rPr>
      </w:pPr>
      <w:r w:rsidRPr="00DE096C">
        <w:rPr>
          <w:bCs/>
          <w:color w:val="002060"/>
          <w:sz w:val="16"/>
          <w:szCs w:val="16"/>
        </w:rPr>
        <w:t xml:space="preserve">Первая фирма, с которой удалось договориться, была фирма Оливье Пьетт (бельгийская, в Макеевке). В течение января 1915 г. Комиссия разработала договор, согласно коего Пьетт должен соорудить у себя на заводе установку для улавливания сырого бензола, а также ректификационный завод для фракционирования бензола, как своего, так и того, который будет доставляться с других заводов. Контрактный срок начала поставки был выполнен Пьеттом с незначительным опозданием (август 1915 г. вместо июля). Фирма начала постройки в феврале 1915 г., еще до утверждения договора с ней. Цена на ректификацию бензола была калькулирована 50 коп. за пуд вместо 9 руб., которые платили в мирное время за то же Тентелевскому заводу. </w:t>
      </w:r>
    </w:p>
    <w:p w14:paraId="047637C1" w14:textId="77777777" w:rsidR="00B67D7C" w:rsidRPr="00DE096C" w:rsidRDefault="00B67D7C" w:rsidP="00D45A46">
      <w:pPr>
        <w:jc w:val="both"/>
        <w:rPr>
          <w:bCs/>
          <w:color w:val="002060"/>
          <w:sz w:val="16"/>
          <w:szCs w:val="16"/>
        </w:rPr>
      </w:pPr>
      <w:r w:rsidRPr="00DE096C">
        <w:rPr>
          <w:bCs/>
          <w:color w:val="002060"/>
          <w:sz w:val="16"/>
          <w:szCs w:val="16"/>
        </w:rPr>
        <w:t xml:space="preserve">Вслед за этим Комиссия вступила в переговоры с Южно-Днепровским обществом в Кадиевке о постройке установок для улавливания сырого бензола. Но Общество отказалось взять на себя постройку, так как было связано с одной германской фирмой десятилетним контрактом, согласно коего этой фирме принадлежало право использования всех продуктов коксования кадиевских печей. </w:t>
      </w:r>
    </w:p>
    <w:p w14:paraId="4645AB26" w14:textId="77777777" w:rsidR="00B67D7C" w:rsidRPr="00DE096C" w:rsidRDefault="00B67D7C" w:rsidP="00D45A46">
      <w:pPr>
        <w:jc w:val="both"/>
        <w:rPr>
          <w:bCs/>
          <w:color w:val="002060"/>
          <w:sz w:val="16"/>
          <w:szCs w:val="16"/>
        </w:rPr>
      </w:pPr>
      <w:r w:rsidRPr="00DE096C">
        <w:rPr>
          <w:bCs/>
          <w:color w:val="002060"/>
          <w:sz w:val="16"/>
          <w:szCs w:val="16"/>
        </w:rPr>
        <w:t xml:space="preserve">Ввиду этого ГАУ признало необходимым самостоятельно предпринять постройку казенного бензолового завода при кадиевских коксовых печах, из продукции которых можно было бы получать до 200 тыс. [пудов в год] сырого бензола. После долгих колебаний Военное министерство дало, наконец, в феврале 1915 г. согласие на постройку завода. </w:t>
      </w:r>
    </w:p>
    <w:p w14:paraId="79C3A7F1" w14:textId="77777777" w:rsidR="00B67D7C" w:rsidRPr="00DE096C" w:rsidRDefault="00B67D7C" w:rsidP="00D45A46">
      <w:pPr>
        <w:jc w:val="both"/>
        <w:rPr>
          <w:bCs/>
          <w:color w:val="002060"/>
          <w:sz w:val="16"/>
          <w:szCs w:val="16"/>
        </w:rPr>
      </w:pPr>
      <w:r w:rsidRPr="00DE096C">
        <w:rPr>
          <w:bCs/>
          <w:color w:val="002060"/>
          <w:sz w:val="16"/>
          <w:szCs w:val="16"/>
        </w:rPr>
        <w:t xml:space="preserve">Постройка велась строительной комиссией под председательством В.Н. Ипатьева. Южно-Днепровское Общество оказывало работе Комиссии деятельную помощь. Завод был готов 20 августа 1915 г., на полтора месяца ранее назначенного срока. Завод тотчас был пущен в ход и давал бензол по ценам, которые не превосходили цен мирного времени на германских бензоловых заводах, и, таким образом, расходы на сооружение завода должны были быстро окупиться. </w:t>
      </w:r>
    </w:p>
    <w:p w14:paraId="620ED244" w14:textId="77777777" w:rsidR="00B67D7C" w:rsidRPr="00DE096C" w:rsidRDefault="00B67D7C" w:rsidP="00D45A46">
      <w:pPr>
        <w:jc w:val="both"/>
        <w:rPr>
          <w:bCs/>
          <w:color w:val="002060"/>
          <w:sz w:val="16"/>
          <w:szCs w:val="16"/>
        </w:rPr>
      </w:pPr>
      <w:r w:rsidRPr="00DE096C">
        <w:rPr>
          <w:bCs/>
          <w:color w:val="002060"/>
          <w:sz w:val="16"/>
          <w:szCs w:val="16"/>
        </w:rPr>
        <w:t xml:space="preserve">Постройка Макеевского и в особенности Кадиевского казенного завода сыграла огромную роль в деле насаждения на Юге коксобензольной промышленности. Как только выяснилось, что постройка этих заводов идет успешно, частные предприниматели нашли в себе, наконец, решимость взяться за дело, и в ГАУ стали поступать от них предложения на поставку бензола и толуола, при условии выдачи авансов на постройку заводов. </w:t>
      </w:r>
    </w:p>
    <w:p w14:paraId="6DA57582" w14:textId="77777777" w:rsidR="00B67D7C" w:rsidRPr="00DE096C" w:rsidRDefault="00B67D7C" w:rsidP="00D45A46">
      <w:pPr>
        <w:jc w:val="both"/>
        <w:rPr>
          <w:bCs/>
          <w:color w:val="002060"/>
          <w:sz w:val="16"/>
          <w:szCs w:val="16"/>
        </w:rPr>
      </w:pPr>
      <w:r w:rsidRPr="00DE096C">
        <w:rPr>
          <w:bCs/>
          <w:color w:val="002060"/>
          <w:sz w:val="16"/>
          <w:szCs w:val="16"/>
        </w:rPr>
        <w:t xml:space="preserve">В дальнейшем таким порядком предпринята была постройка до 20 бензольных заводов не только в Донецком бассейне, но и в Сибири, в Кузнецком бассейне. </w:t>
      </w:r>
    </w:p>
    <w:p w14:paraId="7F99F143" w14:textId="77777777" w:rsidR="00B67D7C" w:rsidRPr="00DE096C" w:rsidRDefault="00B67D7C" w:rsidP="00D45A46">
      <w:pPr>
        <w:jc w:val="both"/>
        <w:rPr>
          <w:bCs/>
          <w:color w:val="002060"/>
          <w:sz w:val="16"/>
          <w:szCs w:val="16"/>
        </w:rPr>
      </w:pPr>
      <w:r w:rsidRPr="00DE096C">
        <w:rPr>
          <w:bCs/>
          <w:color w:val="002060"/>
          <w:sz w:val="16"/>
          <w:szCs w:val="16"/>
        </w:rPr>
        <w:t xml:space="preserve">Фактический рост за время войны бензольных заводов в Донецком бассейне виден из следующей таблицы, где цифры указывают общее наличие заводов к означенным датам: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88"/>
        <w:gridCol w:w="684"/>
      </w:tblGrid>
      <w:tr w:rsidR="00B67D7C" w:rsidRPr="00DE096C" w14:paraId="49341F30" w14:textId="77777777" w:rsidTr="00C2024A">
        <w:tc>
          <w:tcPr>
            <w:tcW w:w="1788" w:type="dxa"/>
          </w:tcPr>
          <w:p w14:paraId="4FC98D0D" w14:textId="77777777" w:rsidR="00B67D7C" w:rsidRPr="00DE096C" w:rsidRDefault="00B67D7C" w:rsidP="00D45A46">
            <w:pPr>
              <w:jc w:val="both"/>
              <w:rPr>
                <w:bCs/>
                <w:color w:val="002060"/>
                <w:sz w:val="16"/>
                <w:szCs w:val="16"/>
              </w:rPr>
            </w:pPr>
            <w:r w:rsidRPr="00DE096C">
              <w:rPr>
                <w:bCs/>
                <w:color w:val="002060"/>
                <w:sz w:val="16"/>
                <w:szCs w:val="16"/>
              </w:rPr>
              <w:t xml:space="preserve">1915 г.: </w:t>
            </w:r>
          </w:p>
        </w:tc>
        <w:tc>
          <w:tcPr>
            <w:tcW w:w="684" w:type="dxa"/>
          </w:tcPr>
          <w:p w14:paraId="0235135A" w14:textId="77777777" w:rsidR="00B67D7C" w:rsidRPr="00DE096C" w:rsidRDefault="00B67D7C" w:rsidP="00D45A46">
            <w:pPr>
              <w:jc w:val="both"/>
              <w:rPr>
                <w:bCs/>
                <w:color w:val="002060"/>
                <w:sz w:val="16"/>
                <w:szCs w:val="16"/>
              </w:rPr>
            </w:pPr>
            <w:r w:rsidRPr="00DE096C">
              <w:rPr>
                <w:bCs/>
                <w:color w:val="002060"/>
                <w:sz w:val="16"/>
                <w:szCs w:val="16"/>
              </w:rPr>
              <w:t> </w:t>
            </w:r>
          </w:p>
        </w:tc>
      </w:tr>
      <w:tr w:rsidR="00B67D7C" w:rsidRPr="00DE096C" w14:paraId="03E80D88" w14:textId="77777777" w:rsidTr="00C2024A">
        <w:tc>
          <w:tcPr>
            <w:tcW w:w="1788" w:type="dxa"/>
          </w:tcPr>
          <w:p w14:paraId="6F9D56D1" w14:textId="77777777" w:rsidR="00B67D7C" w:rsidRPr="00DE096C" w:rsidRDefault="00B67D7C" w:rsidP="00D45A46">
            <w:pPr>
              <w:jc w:val="both"/>
              <w:rPr>
                <w:bCs/>
                <w:color w:val="002060"/>
                <w:sz w:val="16"/>
                <w:szCs w:val="16"/>
              </w:rPr>
            </w:pPr>
            <w:r w:rsidRPr="00DE096C">
              <w:rPr>
                <w:bCs/>
                <w:color w:val="002060"/>
                <w:sz w:val="16"/>
                <w:szCs w:val="16"/>
              </w:rPr>
              <w:t>Февраль</w:t>
            </w:r>
          </w:p>
        </w:tc>
        <w:tc>
          <w:tcPr>
            <w:tcW w:w="684" w:type="dxa"/>
          </w:tcPr>
          <w:p w14:paraId="021893BB" w14:textId="77777777" w:rsidR="00B67D7C" w:rsidRPr="00DE096C" w:rsidRDefault="00B67D7C" w:rsidP="00D45A46">
            <w:pPr>
              <w:jc w:val="both"/>
              <w:rPr>
                <w:bCs/>
                <w:color w:val="002060"/>
                <w:sz w:val="16"/>
                <w:szCs w:val="16"/>
              </w:rPr>
            </w:pPr>
            <w:r w:rsidRPr="00DE096C">
              <w:rPr>
                <w:bCs/>
                <w:color w:val="002060"/>
                <w:sz w:val="16"/>
                <w:szCs w:val="16"/>
              </w:rPr>
              <w:t xml:space="preserve">3 </w:t>
            </w:r>
          </w:p>
        </w:tc>
      </w:tr>
      <w:tr w:rsidR="00B67D7C" w:rsidRPr="00DE096C" w14:paraId="29E60EFE" w14:textId="77777777" w:rsidTr="00C2024A">
        <w:tc>
          <w:tcPr>
            <w:tcW w:w="1788" w:type="dxa"/>
          </w:tcPr>
          <w:p w14:paraId="785BCE68" w14:textId="77777777" w:rsidR="00B67D7C" w:rsidRPr="00DE096C" w:rsidRDefault="00B67D7C" w:rsidP="00D45A46">
            <w:pPr>
              <w:jc w:val="both"/>
              <w:rPr>
                <w:bCs/>
                <w:color w:val="002060"/>
                <w:sz w:val="16"/>
                <w:szCs w:val="16"/>
              </w:rPr>
            </w:pPr>
            <w:r w:rsidRPr="00DE096C">
              <w:rPr>
                <w:bCs/>
                <w:color w:val="002060"/>
                <w:sz w:val="16"/>
                <w:szCs w:val="16"/>
              </w:rPr>
              <w:t>Июнь</w:t>
            </w:r>
          </w:p>
        </w:tc>
        <w:tc>
          <w:tcPr>
            <w:tcW w:w="684" w:type="dxa"/>
          </w:tcPr>
          <w:p w14:paraId="750A5EDC" w14:textId="77777777" w:rsidR="00B67D7C" w:rsidRPr="00DE096C" w:rsidRDefault="00B67D7C" w:rsidP="00D45A46">
            <w:pPr>
              <w:jc w:val="both"/>
              <w:rPr>
                <w:bCs/>
                <w:color w:val="002060"/>
                <w:sz w:val="16"/>
                <w:szCs w:val="16"/>
              </w:rPr>
            </w:pPr>
            <w:r w:rsidRPr="00DE096C">
              <w:rPr>
                <w:bCs/>
                <w:color w:val="002060"/>
                <w:sz w:val="16"/>
                <w:szCs w:val="16"/>
              </w:rPr>
              <w:t xml:space="preserve">4 </w:t>
            </w:r>
          </w:p>
        </w:tc>
      </w:tr>
      <w:tr w:rsidR="00B67D7C" w:rsidRPr="00DE096C" w14:paraId="17A3F329" w14:textId="77777777" w:rsidTr="00C2024A">
        <w:tc>
          <w:tcPr>
            <w:tcW w:w="1788" w:type="dxa"/>
          </w:tcPr>
          <w:p w14:paraId="79D9DD7E" w14:textId="77777777" w:rsidR="00B67D7C" w:rsidRPr="00DE096C" w:rsidRDefault="00B67D7C" w:rsidP="00D45A46">
            <w:pPr>
              <w:jc w:val="both"/>
              <w:rPr>
                <w:bCs/>
                <w:color w:val="002060"/>
                <w:sz w:val="16"/>
                <w:szCs w:val="16"/>
              </w:rPr>
            </w:pPr>
            <w:r w:rsidRPr="00DE096C">
              <w:rPr>
                <w:bCs/>
                <w:color w:val="002060"/>
                <w:sz w:val="16"/>
                <w:szCs w:val="16"/>
              </w:rPr>
              <w:t>Июль</w:t>
            </w:r>
          </w:p>
        </w:tc>
        <w:tc>
          <w:tcPr>
            <w:tcW w:w="684" w:type="dxa"/>
          </w:tcPr>
          <w:p w14:paraId="361325F5" w14:textId="77777777" w:rsidR="00B67D7C" w:rsidRPr="00DE096C" w:rsidRDefault="00B67D7C" w:rsidP="00D45A46">
            <w:pPr>
              <w:jc w:val="both"/>
              <w:rPr>
                <w:bCs/>
                <w:color w:val="002060"/>
                <w:sz w:val="16"/>
                <w:szCs w:val="16"/>
              </w:rPr>
            </w:pPr>
            <w:r w:rsidRPr="00DE096C">
              <w:rPr>
                <w:bCs/>
                <w:color w:val="002060"/>
                <w:sz w:val="16"/>
                <w:szCs w:val="16"/>
              </w:rPr>
              <w:t xml:space="preserve">5 </w:t>
            </w:r>
          </w:p>
        </w:tc>
      </w:tr>
      <w:tr w:rsidR="00B67D7C" w:rsidRPr="00DE096C" w14:paraId="0C6C9D15" w14:textId="77777777" w:rsidTr="00C2024A">
        <w:tc>
          <w:tcPr>
            <w:tcW w:w="1788" w:type="dxa"/>
          </w:tcPr>
          <w:p w14:paraId="07B4267E" w14:textId="77777777" w:rsidR="00B67D7C" w:rsidRPr="00DE096C" w:rsidRDefault="00B67D7C" w:rsidP="00D45A46">
            <w:pPr>
              <w:jc w:val="both"/>
              <w:rPr>
                <w:bCs/>
                <w:color w:val="002060"/>
                <w:sz w:val="16"/>
                <w:szCs w:val="16"/>
              </w:rPr>
            </w:pPr>
            <w:r w:rsidRPr="00DE096C">
              <w:rPr>
                <w:bCs/>
                <w:color w:val="002060"/>
                <w:sz w:val="16"/>
                <w:szCs w:val="16"/>
              </w:rPr>
              <w:t>Сентябрь</w:t>
            </w:r>
          </w:p>
        </w:tc>
        <w:tc>
          <w:tcPr>
            <w:tcW w:w="684" w:type="dxa"/>
          </w:tcPr>
          <w:p w14:paraId="253564E6" w14:textId="77777777" w:rsidR="00B67D7C" w:rsidRPr="00DE096C" w:rsidRDefault="00B67D7C" w:rsidP="00D45A46">
            <w:pPr>
              <w:jc w:val="both"/>
              <w:rPr>
                <w:bCs/>
                <w:color w:val="002060"/>
                <w:sz w:val="16"/>
                <w:szCs w:val="16"/>
              </w:rPr>
            </w:pPr>
            <w:r w:rsidRPr="00DE096C">
              <w:rPr>
                <w:bCs/>
                <w:color w:val="002060"/>
                <w:sz w:val="16"/>
                <w:szCs w:val="16"/>
              </w:rPr>
              <w:t xml:space="preserve">7 </w:t>
            </w:r>
          </w:p>
        </w:tc>
      </w:tr>
      <w:tr w:rsidR="00B67D7C" w:rsidRPr="00DE096C" w14:paraId="15AB9812" w14:textId="77777777" w:rsidTr="00C2024A">
        <w:tc>
          <w:tcPr>
            <w:tcW w:w="1788" w:type="dxa"/>
          </w:tcPr>
          <w:p w14:paraId="3DD2D3B8" w14:textId="77777777" w:rsidR="00B67D7C" w:rsidRPr="00DE096C" w:rsidRDefault="00B67D7C" w:rsidP="00D45A46">
            <w:pPr>
              <w:jc w:val="both"/>
              <w:rPr>
                <w:bCs/>
                <w:color w:val="002060"/>
                <w:sz w:val="16"/>
                <w:szCs w:val="16"/>
              </w:rPr>
            </w:pPr>
            <w:r w:rsidRPr="00DE096C">
              <w:rPr>
                <w:bCs/>
                <w:color w:val="002060"/>
                <w:sz w:val="16"/>
                <w:szCs w:val="16"/>
              </w:rPr>
              <w:t>Ноябрь</w:t>
            </w:r>
          </w:p>
        </w:tc>
        <w:tc>
          <w:tcPr>
            <w:tcW w:w="684" w:type="dxa"/>
          </w:tcPr>
          <w:p w14:paraId="5C11104F" w14:textId="77777777" w:rsidR="00B67D7C" w:rsidRPr="00DE096C" w:rsidRDefault="00B67D7C" w:rsidP="00D45A46">
            <w:pPr>
              <w:jc w:val="both"/>
              <w:rPr>
                <w:bCs/>
                <w:color w:val="002060"/>
                <w:sz w:val="16"/>
                <w:szCs w:val="16"/>
              </w:rPr>
            </w:pPr>
            <w:r w:rsidRPr="00DE096C">
              <w:rPr>
                <w:bCs/>
                <w:color w:val="002060"/>
                <w:sz w:val="16"/>
                <w:szCs w:val="16"/>
              </w:rPr>
              <w:t xml:space="preserve">8 </w:t>
            </w:r>
          </w:p>
        </w:tc>
      </w:tr>
      <w:tr w:rsidR="00B67D7C" w:rsidRPr="00DE096C" w14:paraId="344AEE0A" w14:textId="77777777" w:rsidTr="00C2024A">
        <w:tc>
          <w:tcPr>
            <w:tcW w:w="1788" w:type="dxa"/>
          </w:tcPr>
          <w:p w14:paraId="72F59732" w14:textId="77777777" w:rsidR="00B67D7C" w:rsidRPr="00DE096C" w:rsidRDefault="00B67D7C" w:rsidP="00D45A46">
            <w:pPr>
              <w:jc w:val="both"/>
              <w:rPr>
                <w:bCs/>
                <w:color w:val="002060"/>
                <w:sz w:val="16"/>
                <w:szCs w:val="16"/>
              </w:rPr>
            </w:pPr>
            <w:r w:rsidRPr="00DE096C">
              <w:rPr>
                <w:bCs/>
                <w:color w:val="002060"/>
                <w:sz w:val="16"/>
                <w:szCs w:val="16"/>
              </w:rPr>
              <w:t xml:space="preserve">1916 г.: </w:t>
            </w:r>
          </w:p>
        </w:tc>
        <w:tc>
          <w:tcPr>
            <w:tcW w:w="684" w:type="dxa"/>
          </w:tcPr>
          <w:p w14:paraId="52B63CE5" w14:textId="77777777" w:rsidR="00B67D7C" w:rsidRPr="00DE096C" w:rsidRDefault="00B67D7C" w:rsidP="00D45A46">
            <w:pPr>
              <w:jc w:val="both"/>
              <w:rPr>
                <w:bCs/>
                <w:color w:val="002060"/>
                <w:sz w:val="16"/>
                <w:szCs w:val="16"/>
              </w:rPr>
            </w:pPr>
            <w:r w:rsidRPr="00DE096C">
              <w:rPr>
                <w:bCs/>
                <w:color w:val="002060"/>
                <w:sz w:val="16"/>
                <w:szCs w:val="16"/>
              </w:rPr>
              <w:t> </w:t>
            </w:r>
          </w:p>
        </w:tc>
      </w:tr>
      <w:tr w:rsidR="00B67D7C" w:rsidRPr="00DE096C" w14:paraId="5C74B66C" w14:textId="77777777" w:rsidTr="00C2024A">
        <w:tc>
          <w:tcPr>
            <w:tcW w:w="1788" w:type="dxa"/>
          </w:tcPr>
          <w:p w14:paraId="399ACF19" w14:textId="77777777" w:rsidR="00B67D7C" w:rsidRPr="00DE096C" w:rsidRDefault="00B67D7C" w:rsidP="00D45A46">
            <w:pPr>
              <w:jc w:val="both"/>
              <w:rPr>
                <w:bCs/>
                <w:color w:val="002060"/>
                <w:sz w:val="16"/>
                <w:szCs w:val="16"/>
              </w:rPr>
            </w:pPr>
            <w:r w:rsidRPr="00DE096C">
              <w:rPr>
                <w:bCs/>
                <w:color w:val="002060"/>
                <w:sz w:val="16"/>
                <w:szCs w:val="16"/>
              </w:rPr>
              <w:t>Август</w:t>
            </w:r>
          </w:p>
        </w:tc>
        <w:tc>
          <w:tcPr>
            <w:tcW w:w="684" w:type="dxa"/>
          </w:tcPr>
          <w:p w14:paraId="0307C748" w14:textId="77777777" w:rsidR="00B67D7C" w:rsidRPr="00DE096C" w:rsidRDefault="00B67D7C" w:rsidP="00D45A46">
            <w:pPr>
              <w:jc w:val="both"/>
              <w:rPr>
                <w:bCs/>
                <w:color w:val="002060"/>
                <w:sz w:val="16"/>
                <w:szCs w:val="16"/>
              </w:rPr>
            </w:pPr>
            <w:r w:rsidRPr="00DE096C">
              <w:rPr>
                <w:bCs/>
                <w:color w:val="002060"/>
                <w:sz w:val="16"/>
                <w:szCs w:val="16"/>
              </w:rPr>
              <w:t xml:space="preserve">10 </w:t>
            </w:r>
          </w:p>
        </w:tc>
      </w:tr>
      <w:tr w:rsidR="00B67D7C" w:rsidRPr="00DE096C" w14:paraId="38BC0DCA" w14:textId="77777777" w:rsidTr="00C2024A">
        <w:tc>
          <w:tcPr>
            <w:tcW w:w="1788" w:type="dxa"/>
          </w:tcPr>
          <w:p w14:paraId="04873FF5" w14:textId="77777777" w:rsidR="00B67D7C" w:rsidRPr="00DE096C" w:rsidRDefault="00B67D7C" w:rsidP="00D45A46">
            <w:pPr>
              <w:jc w:val="both"/>
              <w:rPr>
                <w:bCs/>
                <w:color w:val="002060"/>
                <w:sz w:val="16"/>
                <w:szCs w:val="16"/>
              </w:rPr>
            </w:pPr>
            <w:r w:rsidRPr="00DE096C">
              <w:rPr>
                <w:bCs/>
                <w:color w:val="002060"/>
                <w:sz w:val="16"/>
                <w:szCs w:val="16"/>
              </w:rPr>
              <w:t>Сентябрь</w:t>
            </w:r>
          </w:p>
        </w:tc>
        <w:tc>
          <w:tcPr>
            <w:tcW w:w="684" w:type="dxa"/>
          </w:tcPr>
          <w:p w14:paraId="53AD41A4" w14:textId="77777777" w:rsidR="00B67D7C" w:rsidRPr="00DE096C" w:rsidRDefault="00B67D7C" w:rsidP="00D45A46">
            <w:pPr>
              <w:jc w:val="both"/>
              <w:rPr>
                <w:bCs/>
                <w:color w:val="002060"/>
                <w:sz w:val="16"/>
                <w:szCs w:val="16"/>
              </w:rPr>
            </w:pPr>
            <w:r w:rsidRPr="00DE096C">
              <w:rPr>
                <w:bCs/>
                <w:color w:val="002060"/>
                <w:sz w:val="16"/>
                <w:szCs w:val="16"/>
              </w:rPr>
              <w:t xml:space="preserve">11 </w:t>
            </w:r>
          </w:p>
        </w:tc>
      </w:tr>
      <w:tr w:rsidR="00B67D7C" w:rsidRPr="00DE096C" w14:paraId="089820D1" w14:textId="77777777" w:rsidTr="00C2024A">
        <w:tc>
          <w:tcPr>
            <w:tcW w:w="1788" w:type="dxa"/>
          </w:tcPr>
          <w:p w14:paraId="2169D6BA" w14:textId="77777777" w:rsidR="00B67D7C" w:rsidRPr="00DE096C" w:rsidRDefault="00B67D7C" w:rsidP="00D45A46">
            <w:pPr>
              <w:jc w:val="both"/>
              <w:rPr>
                <w:bCs/>
                <w:color w:val="002060"/>
                <w:sz w:val="16"/>
                <w:szCs w:val="16"/>
              </w:rPr>
            </w:pPr>
            <w:r w:rsidRPr="00DE096C">
              <w:rPr>
                <w:bCs/>
                <w:color w:val="002060"/>
                <w:sz w:val="16"/>
                <w:szCs w:val="16"/>
              </w:rPr>
              <w:t>Ноябрь</w:t>
            </w:r>
          </w:p>
        </w:tc>
        <w:tc>
          <w:tcPr>
            <w:tcW w:w="684" w:type="dxa"/>
          </w:tcPr>
          <w:p w14:paraId="745F56F6" w14:textId="77777777" w:rsidR="00B67D7C" w:rsidRPr="00DE096C" w:rsidRDefault="00B67D7C" w:rsidP="00D45A46">
            <w:pPr>
              <w:jc w:val="both"/>
              <w:rPr>
                <w:bCs/>
                <w:color w:val="002060"/>
                <w:sz w:val="16"/>
                <w:szCs w:val="16"/>
              </w:rPr>
            </w:pPr>
            <w:r w:rsidRPr="00DE096C">
              <w:rPr>
                <w:bCs/>
                <w:color w:val="002060"/>
                <w:sz w:val="16"/>
                <w:szCs w:val="16"/>
              </w:rPr>
              <w:t xml:space="preserve">12 </w:t>
            </w:r>
          </w:p>
        </w:tc>
      </w:tr>
      <w:tr w:rsidR="00B67D7C" w:rsidRPr="00DE096C" w14:paraId="3D2A2D89" w14:textId="77777777" w:rsidTr="00C2024A">
        <w:tc>
          <w:tcPr>
            <w:tcW w:w="1788" w:type="dxa"/>
          </w:tcPr>
          <w:p w14:paraId="4F2FB8BB" w14:textId="77777777" w:rsidR="00B67D7C" w:rsidRPr="00DE096C" w:rsidRDefault="00B67D7C" w:rsidP="00D45A46">
            <w:pPr>
              <w:jc w:val="both"/>
              <w:rPr>
                <w:bCs/>
                <w:color w:val="002060"/>
                <w:sz w:val="16"/>
                <w:szCs w:val="16"/>
              </w:rPr>
            </w:pPr>
            <w:r w:rsidRPr="00DE096C">
              <w:rPr>
                <w:bCs/>
                <w:color w:val="002060"/>
                <w:sz w:val="16"/>
                <w:szCs w:val="16"/>
              </w:rPr>
              <w:t>Декабрь</w:t>
            </w:r>
          </w:p>
        </w:tc>
        <w:tc>
          <w:tcPr>
            <w:tcW w:w="684" w:type="dxa"/>
          </w:tcPr>
          <w:p w14:paraId="74CED0B9" w14:textId="77777777" w:rsidR="00B67D7C" w:rsidRPr="00DE096C" w:rsidRDefault="00B67D7C" w:rsidP="00D45A46">
            <w:pPr>
              <w:jc w:val="both"/>
              <w:rPr>
                <w:bCs/>
                <w:color w:val="002060"/>
                <w:sz w:val="16"/>
                <w:szCs w:val="16"/>
              </w:rPr>
            </w:pPr>
            <w:r w:rsidRPr="00DE096C">
              <w:rPr>
                <w:bCs/>
                <w:color w:val="002060"/>
                <w:sz w:val="16"/>
                <w:szCs w:val="16"/>
              </w:rPr>
              <w:t xml:space="preserve">14 </w:t>
            </w:r>
          </w:p>
        </w:tc>
      </w:tr>
      <w:tr w:rsidR="00B67D7C" w:rsidRPr="00DE096C" w14:paraId="2247911D" w14:textId="77777777" w:rsidTr="00C2024A">
        <w:tc>
          <w:tcPr>
            <w:tcW w:w="1788" w:type="dxa"/>
          </w:tcPr>
          <w:p w14:paraId="1621C301" w14:textId="77777777" w:rsidR="00B67D7C" w:rsidRPr="00DE096C" w:rsidRDefault="00B67D7C" w:rsidP="00D45A46">
            <w:pPr>
              <w:jc w:val="both"/>
              <w:rPr>
                <w:bCs/>
                <w:color w:val="002060"/>
                <w:sz w:val="16"/>
                <w:szCs w:val="16"/>
              </w:rPr>
            </w:pPr>
            <w:r w:rsidRPr="00DE096C">
              <w:rPr>
                <w:bCs/>
                <w:color w:val="002060"/>
                <w:sz w:val="16"/>
                <w:szCs w:val="16"/>
              </w:rPr>
              <w:t xml:space="preserve">1917 г.: </w:t>
            </w:r>
          </w:p>
        </w:tc>
        <w:tc>
          <w:tcPr>
            <w:tcW w:w="684" w:type="dxa"/>
          </w:tcPr>
          <w:p w14:paraId="2842B5DC" w14:textId="77777777" w:rsidR="00B67D7C" w:rsidRPr="00DE096C" w:rsidRDefault="00B67D7C" w:rsidP="00D45A46">
            <w:pPr>
              <w:jc w:val="both"/>
              <w:rPr>
                <w:bCs/>
                <w:color w:val="002060"/>
                <w:sz w:val="16"/>
                <w:szCs w:val="16"/>
              </w:rPr>
            </w:pPr>
            <w:r w:rsidRPr="00DE096C">
              <w:rPr>
                <w:bCs/>
                <w:color w:val="002060"/>
                <w:sz w:val="16"/>
                <w:szCs w:val="16"/>
              </w:rPr>
              <w:t> </w:t>
            </w:r>
          </w:p>
        </w:tc>
      </w:tr>
      <w:tr w:rsidR="00B67D7C" w:rsidRPr="00DE096C" w14:paraId="3E658CF3" w14:textId="77777777" w:rsidTr="00C2024A">
        <w:tc>
          <w:tcPr>
            <w:tcW w:w="1788" w:type="dxa"/>
          </w:tcPr>
          <w:p w14:paraId="2E96D75C" w14:textId="77777777" w:rsidR="00B67D7C" w:rsidRPr="00DE096C" w:rsidRDefault="00B67D7C" w:rsidP="00D45A46">
            <w:pPr>
              <w:jc w:val="both"/>
              <w:rPr>
                <w:bCs/>
                <w:color w:val="002060"/>
                <w:sz w:val="16"/>
                <w:szCs w:val="16"/>
              </w:rPr>
            </w:pPr>
            <w:r w:rsidRPr="00DE096C">
              <w:rPr>
                <w:bCs/>
                <w:color w:val="002060"/>
                <w:sz w:val="16"/>
                <w:szCs w:val="16"/>
              </w:rPr>
              <w:t>Январь</w:t>
            </w:r>
          </w:p>
        </w:tc>
        <w:tc>
          <w:tcPr>
            <w:tcW w:w="684" w:type="dxa"/>
          </w:tcPr>
          <w:p w14:paraId="6BD0A562" w14:textId="77777777" w:rsidR="00B67D7C" w:rsidRPr="00DE096C" w:rsidRDefault="00B67D7C" w:rsidP="00D45A46">
            <w:pPr>
              <w:jc w:val="both"/>
              <w:rPr>
                <w:bCs/>
                <w:color w:val="002060"/>
                <w:sz w:val="16"/>
                <w:szCs w:val="16"/>
              </w:rPr>
            </w:pPr>
            <w:r w:rsidRPr="00DE096C">
              <w:rPr>
                <w:bCs/>
                <w:color w:val="002060"/>
                <w:sz w:val="16"/>
                <w:szCs w:val="16"/>
              </w:rPr>
              <w:t xml:space="preserve">15 </w:t>
            </w:r>
          </w:p>
        </w:tc>
      </w:tr>
    </w:tbl>
    <w:p w14:paraId="58DD12EE" w14:textId="77777777" w:rsidR="00B67D7C" w:rsidRPr="00DE096C" w:rsidRDefault="00B67D7C" w:rsidP="00D45A46">
      <w:pPr>
        <w:jc w:val="both"/>
        <w:rPr>
          <w:bCs/>
          <w:color w:val="002060"/>
          <w:sz w:val="16"/>
          <w:szCs w:val="16"/>
        </w:rPr>
      </w:pPr>
      <w:r w:rsidRPr="00DE096C">
        <w:rPr>
          <w:bCs/>
          <w:color w:val="002060"/>
          <w:sz w:val="16"/>
          <w:szCs w:val="16"/>
        </w:rPr>
        <w:t xml:space="preserve">Добывание бензола, толуола и др. побочных продуктов коксования каменного угля явилось совершенно новой у нас отраслью промышленности. До войны этим путем добывались исключительно сернокислый аммоний, нашатырный спирт, каменноугольная смола и др. Более ценные продукты — бензол, толуол, антрацен и др. получались лишь в весьма незначительном количестве на трех заводах: в Енакиеве, Байраке и Щербинском. </w:t>
      </w:r>
    </w:p>
    <w:p w14:paraId="342C0755" w14:textId="77777777" w:rsidR="00B67D7C" w:rsidRPr="00DE096C" w:rsidRDefault="00B67D7C" w:rsidP="00D45A46">
      <w:pPr>
        <w:jc w:val="both"/>
        <w:rPr>
          <w:bCs/>
          <w:color w:val="002060"/>
          <w:sz w:val="16"/>
          <w:szCs w:val="16"/>
        </w:rPr>
      </w:pPr>
      <w:r w:rsidRPr="00DE096C">
        <w:rPr>
          <w:bCs/>
          <w:color w:val="002060"/>
          <w:sz w:val="16"/>
          <w:szCs w:val="16"/>
        </w:rPr>
        <w:t>Бензоловые заводы представляют подлинную здоровую базу для питания необходимыми материалами важнейшей отрасли военной промышленности, вырабатывающей взрывчатые вещества. В то же время эти заводы нужны были и мирной промышленности для красящих веществ, фармацевтических средств, медицинских препаратов и т.д. Эти последние отрасли ранее черпали всегда сырье из Германии, и широкое развитие коксобензольной промышленности освободило бы всю нашу химическую промышленность, как военную, так и гражданскую, от иностранной зависимости.</w:t>
      </w:r>
    </w:p>
    <w:p w14:paraId="18221DAD" w14:textId="77777777" w:rsidR="00B67D7C" w:rsidRPr="00DE096C" w:rsidRDefault="00B67D7C" w:rsidP="00D45A46">
      <w:pPr>
        <w:jc w:val="both"/>
        <w:rPr>
          <w:bCs/>
          <w:color w:val="002060"/>
          <w:sz w:val="16"/>
          <w:szCs w:val="16"/>
        </w:rPr>
      </w:pPr>
      <w:r w:rsidRPr="00DE096C">
        <w:rPr>
          <w:bCs/>
          <w:color w:val="002060"/>
          <w:sz w:val="16"/>
          <w:szCs w:val="16"/>
        </w:rPr>
        <w:t xml:space="preserve">В 1914 г. в Донецком бассейне существовало 6150 коксовальных печей. Из них только 1268, при 13 коксовых заводах, были приспособлены к частичному улавливанию побочных продуктов коксования: 10 заводов (910 печей) улавливали дешевые и тяжелые продукты, и только упомянутые выше три завода — Енакиевский, Байракский и Щербиновский (358 печей) улавливали сырой бензол. </w:t>
      </w:r>
    </w:p>
    <w:p w14:paraId="6FD9287F" w14:textId="77777777" w:rsidR="00B67D7C" w:rsidRPr="00DE096C" w:rsidRDefault="00B67D7C" w:rsidP="00D45A46">
      <w:pPr>
        <w:jc w:val="both"/>
        <w:rPr>
          <w:bCs/>
          <w:color w:val="002060"/>
          <w:sz w:val="16"/>
          <w:szCs w:val="16"/>
        </w:rPr>
      </w:pPr>
      <w:r w:rsidRPr="00DE096C">
        <w:rPr>
          <w:bCs/>
          <w:color w:val="002060"/>
          <w:sz w:val="16"/>
          <w:szCs w:val="16"/>
        </w:rPr>
        <w:t xml:space="preserve">В первую очередь комиссия Ипатьева занялась постройкой бензоловых заводов при указанных 13 предприятиях. Затем в 1915 и 1916 гг. была предпринята постройка еще 13 заводов с расчетом на обслуживание 1200 печей, из которых часть печей возводилась заново. Намечен был, таким образом, план создать 26 бензольных заводов с 2400 печами. Осуществить постройку всех 26 заводов не удалось по разным причинам — расстройство транспорта, недостаток материалов и пр. Из строившихся 20 заводов часть была пущена в ход в 1915 и 1916 гг., часть была в 1917 г. еще не достроена. </w:t>
      </w:r>
    </w:p>
    <w:p w14:paraId="78F3883E" w14:textId="77777777" w:rsidR="00B67D7C" w:rsidRPr="00DE096C" w:rsidRDefault="00B67D7C" w:rsidP="00D45A46">
      <w:pPr>
        <w:jc w:val="both"/>
        <w:rPr>
          <w:bCs/>
          <w:color w:val="002060"/>
          <w:sz w:val="16"/>
          <w:szCs w:val="16"/>
        </w:rPr>
      </w:pPr>
      <w:r w:rsidRPr="00DE096C">
        <w:rPr>
          <w:bCs/>
          <w:color w:val="002060"/>
          <w:sz w:val="16"/>
          <w:szCs w:val="16"/>
        </w:rPr>
        <w:t xml:space="preserve">Производство сырого бензола в 1915 и 1916 гг. по отдельным заводам показано в следующей таблице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268"/>
        <w:gridCol w:w="792"/>
        <w:gridCol w:w="684"/>
      </w:tblGrid>
      <w:tr w:rsidR="00B67D7C" w:rsidRPr="00DE096C" w14:paraId="6258051D" w14:textId="77777777" w:rsidTr="00C2024A">
        <w:tc>
          <w:tcPr>
            <w:tcW w:w="2268" w:type="dxa"/>
          </w:tcPr>
          <w:p w14:paraId="31BEB952" w14:textId="77777777" w:rsidR="00B67D7C" w:rsidRPr="00DE096C" w:rsidRDefault="00B67D7C" w:rsidP="00D45A46">
            <w:pPr>
              <w:jc w:val="both"/>
              <w:rPr>
                <w:bCs/>
                <w:color w:val="002060"/>
                <w:sz w:val="16"/>
                <w:szCs w:val="16"/>
              </w:rPr>
            </w:pPr>
            <w:r w:rsidRPr="00DE096C">
              <w:rPr>
                <w:bCs/>
                <w:color w:val="002060"/>
                <w:sz w:val="16"/>
                <w:szCs w:val="16"/>
              </w:rPr>
              <w:t>Заводы</w:t>
            </w:r>
          </w:p>
        </w:tc>
        <w:tc>
          <w:tcPr>
            <w:tcW w:w="792" w:type="dxa"/>
          </w:tcPr>
          <w:p w14:paraId="7CD84FEF" w14:textId="77777777" w:rsidR="00B67D7C" w:rsidRPr="00DE096C" w:rsidRDefault="00B67D7C" w:rsidP="00D45A46">
            <w:pPr>
              <w:jc w:val="both"/>
              <w:rPr>
                <w:bCs/>
                <w:color w:val="002060"/>
                <w:sz w:val="16"/>
                <w:szCs w:val="16"/>
              </w:rPr>
            </w:pPr>
            <w:r w:rsidRPr="00DE096C">
              <w:rPr>
                <w:bCs/>
                <w:color w:val="002060"/>
                <w:sz w:val="16"/>
                <w:szCs w:val="16"/>
              </w:rPr>
              <w:t>1915 г.</w:t>
            </w:r>
          </w:p>
        </w:tc>
        <w:tc>
          <w:tcPr>
            <w:tcW w:w="684" w:type="dxa"/>
          </w:tcPr>
          <w:p w14:paraId="117F792A" w14:textId="77777777" w:rsidR="00B67D7C" w:rsidRPr="00DE096C" w:rsidRDefault="00B67D7C" w:rsidP="00D45A46">
            <w:pPr>
              <w:jc w:val="both"/>
              <w:rPr>
                <w:bCs/>
                <w:color w:val="002060"/>
                <w:sz w:val="16"/>
                <w:szCs w:val="16"/>
              </w:rPr>
            </w:pPr>
            <w:r w:rsidRPr="00DE096C">
              <w:rPr>
                <w:bCs/>
                <w:color w:val="002060"/>
                <w:sz w:val="16"/>
                <w:szCs w:val="16"/>
              </w:rPr>
              <w:t>1916 г.</w:t>
            </w:r>
          </w:p>
        </w:tc>
      </w:tr>
      <w:tr w:rsidR="00B67D7C" w:rsidRPr="00DE096C" w14:paraId="44761CCA" w14:textId="77777777" w:rsidTr="00C2024A">
        <w:tc>
          <w:tcPr>
            <w:tcW w:w="2268" w:type="dxa"/>
          </w:tcPr>
          <w:p w14:paraId="65C926F7" w14:textId="77777777" w:rsidR="00B67D7C" w:rsidRPr="00DE096C" w:rsidRDefault="00B67D7C" w:rsidP="00D45A46">
            <w:pPr>
              <w:jc w:val="both"/>
              <w:rPr>
                <w:bCs/>
                <w:color w:val="002060"/>
                <w:sz w:val="16"/>
                <w:szCs w:val="16"/>
              </w:rPr>
            </w:pPr>
            <w:r w:rsidRPr="00DE096C">
              <w:rPr>
                <w:bCs/>
                <w:color w:val="002060"/>
                <w:sz w:val="16"/>
                <w:szCs w:val="16"/>
              </w:rPr>
              <w:t>Э. Коппе, ст. Енакиево</w:t>
            </w:r>
          </w:p>
        </w:tc>
        <w:tc>
          <w:tcPr>
            <w:tcW w:w="792" w:type="dxa"/>
          </w:tcPr>
          <w:p w14:paraId="70E8AE1D" w14:textId="77777777" w:rsidR="00B67D7C" w:rsidRPr="00DE096C" w:rsidRDefault="00B67D7C" w:rsidP="00D45A46">
            <w:pPr>
              <w:jc w:val="both"/>
              <w:rPr>
                <w:bCs/>
                <w:color w:val="002060"/>
                <w:sz w:val="16"/>
                <w:szCs w:val="16"/>
              </w:rPr>
            </w:pPr>
            <w:r w:rsidRPr="00DE096C">
              <w:rPr>
                <w:bCs/>
                <w:color w:val="002060"/>
                <w:sz w:val="16"/>
                <w:szCs w:val="16"/>
              </w:rPr>
              <w:t>117,9</w:t>
            </w:r>
          </w:p>
        </w:tc>
        <w:tc>
          <w:tcPr>
            <w:tcW w:w="684" w:type="dxa"/>
          </w:tcPr>
          <w:p w14:paraId="296C8D51" w14:textId="77777777" w:rsidR="00B67D7C" w:rsidRPr="00DE096C" w:rsidRDefault="00B67D7C" w:rsidP="00D45A46">
            <w:pPr>
              <w:jc w:val="both"/>
              <w:rPr>
                <w:bCs/>
                <w:color w:val="002060"/>
                <w:sz w:val="16"/>
                <w:szCs w:val="16"/>
              </w:rPr>
            </w:pPr>
            <w:r w:rsidRPr="00DE096C">
              <w:rPr>
                <w:bCs/>
                <w:color w:val="002060"/>
                <w:sz w:val="16"/>
                <w:szCs w:val="16"/>
              </w:rPr>
              <w:t>131,1</w:t>
            </w:r>
          </w:p>
        </w:tc>
      </w:tr>
      <w:tr w:rsidR="00B67D7C" w:rsidRPr="00DE096C" w14:paraId="118E05C3" w14:textId="77777777" w:rsidTr="00C2024A">
        <w:tc>
          <w:tcPr>
            <w:tcW w:w="2268" w:type="dxa"/>
          </w:tcPr>
          <w:p w14:paraId="023B4C5A" w14:textId="77777777" w:rsidR="00B67D7C" w:rsidRPr="00DE096C" w:rsidRDefault="00B67D7C" w:rsidP="00D45A46">
            <w:pPr>
              <w:jc w:val="both"/>
              <w:rPr>
                <w:bCs/>
                <w:color w:val="002060"/>
                <w:sz w:val="16"/>
                <w:szCs w:val="16"/>
              </w:rPr>
            </w:pPr>
            <w:r w:rsidRPr="00DE096C">
              <w:rPr>
                <w:bCs/>
                <w:color w:val="002060"/>
                <w:sz w:val="16"/>
                <w:szCs w:val="16"/>
              </w:rPr>
              <w:t>Э. Коппк, ст. Юзовка</w:t>
            </w:r>
          </w:p>
        </w:tc>
        <w:tc>
          <w:tcPr>
            <w:tcW w:w="792" w:type="dxa"/>
          </w:tcPr>
          <w:p w14:paraId="37ECB971" w14:textId="77777777" w:rsidR="00B67D7C" w:rsidRPr="00DE096C" w:rsidRDefault="00B67D7C" w:rsidP="00D45A46">
            <w:pPr>
              <w:jc w:val="both"/>
              <w:rPr>
                <w:bCs/>
                <w:color w:val="002060"/>
                <w:sz w:val="16"/>
                <w:szCs w:val="16"/>
              </w:rPr>
            </w:pPr>
            <w:r w:rsidRPr="00DE096C">
              <w:rPr>
                <w:bCs/>
                <w:color w:val="002060"/>
                <w:sz w:val="16"/>
                <w:szCs w:val="16"/>
              </w:rPr>
              <w:t>46,6</w:t>
            </w:r>
          </w:p>
        </w:tc>
        <w:tc>
          <w:tcPr>
            <w:tcW w:w="684" w:type="dxa"/>
          </w:tcPr>
          <w:p w14:paraId="0F92E5FE" w14:textId="77777777" w:rsidR="00B67D7C" w:rsidRPr="00DE096C" w:rsidRDefault="00B67D7C" w:rsidP="00D45A46">
            <w:pPr>
              <w:jc w:val="both"/>
              <w:rPr>
                <w:bCs/>
                <w:color w:val="002060"/>
                <w:sz w:val="16"/>
                <w:szCs w:val="16"/>
              </w:rPr>
            </w:pPr>
            <w:r w:rsidRPr="00DE096C">
              <w:rPr>
                <w:bCs/>
                <w:color w:val="002060"/>
                <w:sz w:val="16"/>
                <w:szCs w:val="16"/>
              </w:rPr>
              <w:t>90,1</w:t>
            </w:r>
          </w:p>
        </w:tc>
      </w:tr>
      <w:tr w:rsidR="00B67D7C" w:rsidRPr="00DE096C" w14:paraId="6B515835" w14:textId="77777777" w:rsidTr="00C2024A">
        <w:tc>
          <w:tcPr>
            <w:tcW w:w="2268" w:type="dxa"/>
          </w:tcPr>
          <w:p w14:paraId="107FBE11" w14:textId="77777777" w:rsidR="00B67D7C" w:rsidRPr="00DE096C" w:rsidRDefault="00B67D7C" w:rsidP="00D45A46">
            <w:pPr>
              <w:jc w:val="both"/>
              <w:rPr>
                <w:bCs/>
                <w:color w:val="002060"/>
                <w:sz w:val="16"/>
                <w:szCs w:val="16"/>
              </w:rPr>
            </w:pPr>
            <w:r w:rsidRPr="00DE096C">
              <w:rPr>
                <w:bCs/>
                <w:color w:val="002060"/>
                <w:sz w:val="16"/>
                <w:szCs w:val="16"/>
              </w:rPr>
              <w:t>Э. Коппе, ст. Байрак</w:t>
            </w:r>
          </w:p>
        </w:tc>
        <w:tc>
          <w:tcPr>
            <w:tcW w:w="792" w:type="dxa"/>
          </w:tcPr>
          <w:p w14:paraId="0FAB5CCF" w14:textId="77777777" w:rsidR="00B67D7C" w:rsidRPr="00DE096C" w:rsidRDefault="00B67D7C" w:rsidP="00D45A46">
            <w:pPr>
              <w:jc w:val="both"/>
              <w:rPr>
                <w:bCs/>
                <w:color w:val="002060"/>
                <w:sz w:val="16"/>
                <w:szCs w:val="16"/>
              </w:rPr>
            </w:pPr>
            <w:r w:rsidRPr="00DE096C">
              <w:rPr>
                <w:bCs/>
                <w:color w:val="002060"/>
                <w:sz w:val="16"/>
                <w:szCs w:val="16"/>
              </w:rPr>
              <w:t>31,2</w:t>
            </w:r>
          </w:p>
        </w:tc>
        <w:tc>
          <w:tcPr>
            <w:tcW w:w="684" w:type="dxa"/>
          </w:tcPr>
          <w:p w14:paraId="3C142161" w14:textId="77777777" w:rsidR="00B67D7C" w:rsidRPr="00DE096C" w:rsidRDefault="00B67D7C" w:rsidP="00D45A46">
            <w:pPr>
              <w:jc w:val="both"/>
              <w:rPr>
                <w:bCs/>
                <w:color w:val="002060"/>
                <w:sz w:val="16"/>
                <w:szCs w:val="16"/>
              </w:rPr>
            </w:pPr>
            <w:r w:rsidRPr="00DE096C">
              <w:rPr>
                <w:bCs/>
                <w:color w:val="002060"/>
                <w:sz w:val="16"/>
                <w:szCs w:val="16"/>
              </w:rPr>
              <w:t>26,9</w:t>
            </w:r>
          </w:p>
        </w:tc>
      </w:tr>
      <w:tr w:rsidR="00B67D7C" w:rsidRPr="00DE096C" w14:paraId="1E39DF2D" w14:textId="77777777" w:rsidTr="00C2024A">
        <w:tc>
          <w:tcPr>
            <w:tcW w:w="2268" w:type="dxa"/>
          </w:tcPr>
          <w:p w14:paraId="2AB1DE85" w14:textId="77777777" w:rsidR="00B67D7C" w:rsidRPr="00DE096C" w:rsidRDefault="00B67D7C" w:rsidP="00D45A46">
            <w:pPr>
              <w:jc w:val="both"/>
              <w:rPr>
                <w:bCs/>
                <w:color w:val="002060"/>
                <w:sz w:val="16"/>
                <w:szCs w:val="16"/>
              </w:rPr>
            </w:pPr>
            <w:r w:rsidRPr="00DE096C">
              <w:rPr>
                <w:bCs/>
                <w:color w:val="002060"/>
                <w:sz w:val="16"/>
                <w:szCs w:val="16"/>
              </w:rPr>
              <w:t>Э. Коппе, ст. Веровка</w:t>
            </w:r>
          </w:p>
        </w:tc>
        <w:tc>
          <w:tcPr>
            <w:tcW w:w="792" w:type="dxa"/>
          </w:tcPr>
          <w:p w14:paraId="04B25223" w14:textId="77777777" w:rsidR="00B67D7C" w:rsidRPr="00DE096C" w:rsidRDefault="00B67D7C" w:rsidP="00D45A46">
            <w:pPr>
              <w:jc w:val="both"/>
              <w:rPr>
                <w:bCs/>
                <w:color w:val="002060"/>
                <w:sz w:val="16"/>
                <w:szCs w:val="16"/>
              </w:rPr>
            </w:pPr>
            <w:r w:rsidRPr="00DE096C">
              <w:rPr>
                <w:bCs/>
                <w:color w:val="002060"/>
                <w:sz w:val="16"/>
                <w:szCs w:val="16"/>
              </w:rPr>
              <w:t>11,5</w:t>
            </w:r>
          </w:p>
        </w:tc>
        <w:tc>
          <w:tcPr>
            <w:tcW w:w="684" w:type="dxa"/>
          </w:tcPr>
          <w:p w14:paraId="4805B692" w14:textId="77777777" w:rsidR="00B67D7C" w:rsidRPr="00DE096C" w:rsidRDefault="00B67D7C" w:rsidP="00D45A46">
            <w:pPr>
              <w:jc w:val="both"/>
              <w:rPr>
                <w:bCs/>
                <w:color w:val="002060"/>
                <w:sz w:val="16"/>
                <w:szCs w:val="16"/>
              </w:rPr>
            </w:pPr>
            <w:r w:rsidRPr="00DE096C">
              <w:rPr>
                <w:bCs/>
                <w:color w:val="002060"/>
                <w:sz w:val="16"/>
                <w:szCs w:val="16"/>
              </w:rPr>
              <w:t>19,3</w:t>
            </w:r>
          </w:p>
        </w:tc>
      </w:tr>
      <w:tr w:rsidR="00B67D7C" w:rsidRPr="00DE096C" w14:paraId="65379062" w14:textId="77777777" w:rsidTr="00C2024A">
        <w:tc>
          <w:tcPr>
            <w:tcW w:w="2268" w:type="dxa"/>
          </w:tcPr>
          <w:p w14:paraId="2D33768C" w14:textId="77777777" w:rsidR="00B67D7C" w:rsidRPr="00DE096C" w:rsidRDefault="00B67D7C" w:rsidP="00D45A46">
            <w:pPr>
              <w:jc w:val="both"/>
              <w:rPr>
                <w:bCs/>
                <w:color w:val="002060"/>
                <w:sz w:val="16"/>
                <w:szCs w:val="16"/>
              </w:rPr>
            </w:pPr>
            <w:r w:rsidRPr="00DE096C">
              <w:rPr>
                <w:bCs/>
                <w:color w:val="002060"/>
                <w:sz w:val="16"/>
                <w:szCs w:val="16"/>
              </w:rPr>
              <w:t>Э. Коппе, ст. Сартана</w:t>
            </w:r>
          </w:p>
        </w:tc>
        <w:tc>
          <w:tcPr>
            <w:tcW w:w="792" w:type="dxa"/>
          </w:tcPr>
          <w:p w14:paraId="2A57B15A" w14:textId="77777777" w:rsidR="00B67D7C" w:rsidRPr="00DE096C" w:rsidRDefault="00B67D7C" w:rsidP="00D45A46">
            <w:pPr>
              <w:jc w:val="both"/>
              <w:rPr>
                <w:bCs/>
                <w:color w:val="002060"/>
                <w:sz w:val="16"/>
                <w:szCs w:val="16"/>
              </w:rPr>
            </w:pPr>
            <w:r w:rsidRPr="00DE096C">
              <w:rPr>
                <w:bCs/>
                <w:color w:val="002060"/>
                <w:sz w:val="16"/>
                <w:szCs w:val="16"/>
              </w:rPr>
              <w:t>2.5</w:t>
            </w:r>
          </w:p>
        </w:tc>
        <w:tc>
          <w:tcPr>
            <w:tcW w:w="684" w:type="dxa"/>
          </w:tcPr>
          <w:p w14:paraId="013B9108" w14:textId="77777777" w:rsidR="00B67D7C" w:rsidRPr="00DE096C" w:rsidRDefault="00B67D7C" w:rsidP="00D45A46">
            <w:pPr>
              <w:jc w:val="both"/>
              <w:rPr>
                <w:bCs/>
                <w:color w:val="002060"/>
                <w:sz w:val="16"/>
                <w:szCs w:val="16"/>
              </w:rPr>
            </w:pPr>
            <w:r w:rsidRPr="00DE096C">
              <w:rPr>
                <w:bCs/>
                <w:color w:val="002060"/>
                <w:sz w:val="16"/>
                <w:szCs w:val="16"/>
              </w:rPr>
              <w:t>15,7</w:t>
            </w:r>
          </w:p>
        </w:tc>
      </w:tr>
      <w:tr w:rsidR="00B67D7C" w:rsidRPr="00DE096C" w14:paraId="4B33B24B" w14:textId="77777777" w:rsidTr="00C2024A">
        <w:tc>
          <w:tcPr>
            <w:tcW w:w="2268" w:type="dxa"/>
          </w:tcPr>
          <w:p w14:paraId="1FAAED73" w14:textId="77777777" w:rsidR="00B67D7C" w:rsidRPr="00DE096C" w:rsidRDefault="00B67D7C" w:rsidP="00D45A46">
            <w:pPr>
              <w:jc w:val="both"/>
              <w:rPr>
                <w:bCs/>
                <w:color w:val="002060"/>
                <w:sz w:val="16"/>
                <w:szCs w:val="16"/>
              </w:rPr>
            </w:pPr>
            <w:r w:rsidRPr="00DE096C">
              <w:rPr>
                <w:bCs/>
                <w:color w:val="002060"/>
                <w:sz w:val="16"/>
                <w:szCs w:val="16"/>
              </w:rPr>
              <w:t>О. Пьетт, ст. Макеевка</w:t>
            </w:r>
          </w:p>
        </w:tc>
        <w:tc>
          <w:tcPr>
            <w:tcW w:w="792" w:type="dxa"/>
          </w:tcPr>
          <w:p w14:paraId="7B641EA7" w14:textId="77777777" w:rsidR="00B67D7C" w:rsidRPr="00DE096C" w:rsidRDefault="00B67D7C" w:rsidP="00D45A46">
            <w:pPr>
              <w:jc w:val="both"/>
              <w:rPr>
                <w:bCs/>
                <w:color w:val="002060"/>
                <w:sz w:val="16"/>
                <w:szCs w:val="16"/>
              </w:rPr>
            </w:pPr>
            <w:r w:rsidRPr="00DE096C">
              <w:rPr>
                <w:bCs/>
                <w:color w:val="002060"/>
                <w:sz w:val="16"/>
                <w:szCs w:val="16"/>
              </w:rPr>
              <w:t>62,6</w:t>
            </w:r>
          </w:p>
        </w:tc>
        <w:tc>
          <w:tcPr>
            <w:tcW w:w="684" w:type="dxa"/>
          </w:tcPr>
          <w:p w14:paraId="4AF8F09E" w14:textId="77777777" w:rsidR="00B67D7C" w:rsidRPr="00DE096C" w:rsidRDefault="00B67D7C" w:rsidP="00D45A46">
            <w:pPr>
              <w:jc w:val="both"/>
              <w:rPr>
                <w:bCs/>
                <w:color w:val="002060"/>
                <w:sz w:val="16"/>
                <w:szCs w:val="16"/>
              </w:rPr>
            </w:pPr>
            <w:r w:rsidRPr="00DE096C">
              <w:rPr>
                <w:bCs/>
                <w:color w:val="002060"/>
                <w:sz w:val="16"/>
                <w:szCs w:val="16"/>
              </w:rPr>
              <w:t>125,9</w:t>
            </w:r>
          </w:p>
        </w:tc>
      </w:tr>
      <w:tr w:rsidR="00B67D7C" w:rsidRPr="00DE096C" w14:paraId="5CEEEC25" w14:textId="77777777" w:rsidTr="00C2024A">
        <w:tc>
          <w:tcPr>
            <w:tcW w:w="2268" w:type="dxa"/>
          </w:tcPr>
          <w:p w14:paraId="194BB95F" w14:textId="77777777" w:rsidR="00B67D7C" w:rsidRPr="00DE096C" w:rsidRDefault="00B67D7C" w:rsidP="00D45A46">
            <w:pPr>
              <w:jc w:val="both"/>
              <w:rPr>
                <w:bCs/>
                <w:color w:val="002060"/>
                <w:sz w:val="16"/>
                <w:szCs w:val="16"/>
              </w:rPr>
            </w:pPr>
            <w:r w:rsidRPr="00DE096C">
              <w:rPr>
                <w:bCs/>
                <w:color w:val="002060"/>
                <w:sz w:val="16"/>
                <w:szCs w:val="16"/>
              </w:rPr>
              <w:t>Кадиевский казенный завод</w:t>
            </w:r>
          </w:p>
        </w:tc>
        <w:tc>
          <w:tcPr>
            <w:tcW w:w="792" w:type="dxa"/>
          </w:tcPr>
          <w:p w14:paraId="091327FD" w14:textId="77777777" w:rsidR="00B67D7C" w:rsidRPr="00DE096C" w:rsidRDefault="00B67D7C" w:rsidP="00D45A46">
            <w:pPr>
              <w:jc w:val="both"/>
              <w:rPr>
                <w:bCs/>
                <w:color w:val="002060"/>
                <w:sz w:val="16"/>
                <w:szCs w:val="16"/>
              </w:rPr>
            </w:pPr>
            <w:r w:rsidRPr="00DE096C">
              <w:rPr>
                <w:bCs/>
                <w:color w:val="002060"/>
                <w:sz w:val="16"/>
                <w:szCs w:val="16"/>
              </w:rPr>
              <w:t>62,3</w:t>
            </w:r>
          </w:p>
        </w:tc>
        <w:tc>
          <w:tcPr>
            <w:tcW w:w="684" w:type="dxa"/>
          </w:tcPr>
          <w:p w14:paraId="3EF1CA69" w14:textId="77777777" w:rsidR="00B67D7C" w:rsidRPr="00DE096C" w:rsidRDefault="00B67D7C" w:rsidP="00D45A46">
            <w:pPr>
              <w:jc w:val="both"/>
              <w:rPr>
                <w:bCs/>
                <w:color w:val="002060"/>
                <w:sz w:val="16"/>
                <w:szCs w:val="16"/>
              </w:rPr>
            </w:pPr>
            <w:r w:rsidRPr="00DE096C">
              <w:rPr>
                <w:bCs/>
                <w:color w:val="002060"/>
                <w:sz w:val="16"/>
                <w:szCs w:val="16"/>
              </w:rPr>
              <w:t>167,1</w:t>
            </w:r>
          </w:p>
        </w:tc>
      </w:tr>
      <w:tr w:rsidR="00B67D7C" w:rsidRPr="00DE096C" w14:paraId="2B6E3B22" w14:textId="77777777" w:rsidTr="00C2024A">
        <w:tc>
          <w:tcPr>
            <w:tcW w:w="2268" w:type="dxa"/>
          </w:tcPr>
          <w:p w14:paraId="54E624A7" w14:textId="77777777" w:rsidR="00B67D7C" w:rsidRPr="00DE096C" w:rsidRDefault="00B67D7C" w:rsidP="00D45A46">
            <w:pPr>
              <w:jc w:val="both"/>
              <w:rPr>
                <w:bCs/>
                <w:color w:val="002060"/>
                <w:sz w:val="16"/>
                <w:szCs w:val="16"/>
              </w:rPr>
            </w:pPr>
            <w:r w:rsidRPr="00DE096C">
              <w:rPr>
                <w:bCs/>
                <w:color w:val="002060"/>
                <w:sz w:val="16"/>
                <w:szCs w:val="16"/>
              </w:rPr>
              <w:t>Щербиновский завод</w:t>
            </w:r>
          </w:p>
        </w:tc>
        <w:tc>
          <w:tcPr>
            <w:tcW w:w="792" w:type="dxa"/>
          </w:tcPr>
          <w:p w14:paraId="1C18F303" w14:textId="77777777" w:rsidR="00B67D7C" w:rsidRPr="00DE096C" w:rsidRDefault="00B67D7C" w:rsidP="00D45A46">
            <w:pPr>
              <w:jc w:val="both"/>
              <w:rPr>
                <w:bCs/>
                <w:color w:val="002060"/>
                <w:sz w:val="16"/>
                <w:szCs w:val="16"/>
              </w:rPr>
            </w:pPr>
            <w:r w:rsidRPr="00DE096C">
              <w:rPr>
                <w:bCs/>
                <w:color w:val="002060"/>
                <w:sz w:val="16"/>
                <w:szCs w:val="16"/>
              </w:rPr>
              <w:t>29,7</w:t>
            </w:r>
          </w:p>
        </w:tc>
        <w:tc>
          <w:tcPr>
            <w:tcW w:w="684" w:type="dxa"/>
          </w:tcPr>
          <w:p w14:paraId="042F737D" w14:textId="77777777" w:rsidR="00B67D7C" w:rsidRPr="00DE096C" w:rsidRDefault="00B67D7C" w:rsidP="00D45A46">
            <w:pPr>
              <w:jc w:val="both"/>
              <w:rPr>
                <w:bCs/>
                <w:color w:val="002060"/>
                <w:sz w:val="16"/>
                <w:szCs w:val="16"/>
              </w:rPr>
            </w:pPr>
            <w:r w:rsidRPr="00DE096C">
              <w:rPr>
                <w:bCs/>
                <w:color w:val="002060"/>
                <w:sz w:val="16"/>
                <w:szCs w:val="16"/>
              </w:rPr>
              <w:t>36,9</w:t>
            </w:r>
          </w:p>
        </w:tc>
      </w:tr>
      <w:tr w:rsidR="00B67D7C" w:rsidRPr="00DE096C" w14:paraId="32D785DA" w14:textId="77777777" w:rsidTr="00C2024A">
        <w:tc>
          <w:tcPr>
            <w:tcW w:w="2268" w:type="dxa"/>
          </w:tcPr>
          <w:p w14:paraId="3EDF4E16" w14:textId="77777777" w:rsidR="00B67D7C" w:rsidRPr="00DE096C" w:rsidRDefault="00B67D7C" w:rsidP="00D45A46">
            <w:pPr>
              <w:jc w:val="both"/>
              <w:rPr>
                <w:bCs/>
                <w:color w:val="002060"/>
                <w:sz w:val="16"/>
                <w:szCs w:val="16"/>
              </w:rPr>
            </w:pPr>
            <w:r w:rsidRPr="00DE096C">
              <w:rPr>
                <w:bCs/>
                <w:color w:val="002060"/>
                <w:sz w:val="16"/>
                <w:szCs w:val="16"/>
              </w:rPr>
              <w:lastRenderedPageBreak/>
              <w:t>Общество Карбонизоми (Горловка)</w:t>
            </w:r>
          </w:p>
        </w:tc>
        <w:tc>
          <w:tcPr>
            <w:tcW w:w="792" w:type="dxa"/>
          </w:tcPr>
          <w:p w14:paraId="17C36774" w14:textId="77777777" w:rsidR="00B67D7C" w:rsidRPr="00DE096C" w:rsidRDefault="00B67D7C" w:rsidP="00D45A46">
            <w:pPr>
              <w:jc w:val="both"/>
              <w:rPr>
                <w:bCs/>
                <w:color w:val="002060"/>
                <w:sz w:val="16"/>
                <w:szCs w:val="16"/>
              </w:rPr>
            </w:pPr>
            <w:r w:rsidRPr="00DE096C">
              <w:rPr>
                <w:bCs/>
                <w:color w:val="002060"/>
                <w:sz w:val="16"/>
                <w:szCs w:val="16"/>
              </w:rPr>
              <w:t>—</w:t>
            </w:r>
          </w:p>
        </w:tc>
        <w:tc>
          <w:tcPr>
            <w:tcW w:w="684" w:type="dxa"/>
          </w:tcPr>
          <w:p w14:paraId="3E648F3A" w14:textId="77777777" w:rsidR="00B67D7C" w:rsidRPr="00DE096C" w:rsidRDefault="00B67D7C" w:rsidP="00D45A46">
            <w:pPr>
              <w:jc w:val="both"/>
              <w:rPr>
                <w:bCs/>
                <w:color w:val="002060"/>
                <w:sz w:val="16"/>
                <w:szCs w:val="16"/>
              </w:rPr>
            </w:pPr>
            <w:r w:rsidRPr="00DE096C">
              <w:rPr>
                <w:bCs/>
                <w:color w:val="002060"/>
                <w:sz w:val="16"/>
                <w:szCs w:val="16"/>
              </w:rPr>
              <w:t>12,4</w:t>
            </w:r>
          </w:p>
        </w:tc>
      </w:tr>
      <w:tr w:rsidR="00B67D7C" w:rsidRPr="00DE096C" w14:paraId="1E240630" w14:textId="77777777" w:rsidTr="00C2024A">
        <w:tc>
          <w:tcPr>
            <w:tcW w:w="2268" w:type="dxa"/>
          </w:tcPr>
          <w:p w14:paraId="1136D79C" w14:textId="77777777" w:rsidR="00B67D7C" w:rsidRPr="00DE096C" w:rsidRDefault="00B67D7C" w:rsidP="00D45A46">
            <w:pPr>
              <w:jc w:val="both"/>
              <w:rPr>
                <w:bCs/>
                <w:color w:val="002060"/>
                <w:sz w:val="16"/>
                <w:szCs w:val="16"/>
              </w:rPr>
            </w:pPr>
            <w:r w:rsidRPr="00DE096C">
              <w:rPr>
                <w:bCs/>
                <w:color w:val="002060"/>
                <w:sz w:val="16"/>
                <w:szCs w:val="16"/>
              </w:rPr>
              <w:t>О. Пьетт (Дружковка)</w:t>
            </w:r>
          </w:p>
        </w:tc>
        <w:tc>
          <w:tcPr>
            <w:tcW w:w="792" w:type="dxa"/>
          </w:tcPr>
          <w:p w14:paraId="7FFA4639" w14:textId="77777777" w:rsidR="00B67D7C" w:rsidRPr="00DE096C" w:rsidRDefault="00B67D7C" w:rsidP="00D45A46">
            <w:pPr>
              <w:jc w:val="both"/>
              <w:rPr>
                <w:bCs/>
                <w:color w:val="002060"/>
                <w:sz w:val="16"/>
                <w:szCs w:val="16"/>
              </w:rPr>
            </w:pPr>
            <w:r w:rsidRPr="00DE096C">
              <w:rPr>
                <w:bCs/>
                <w:color w:val="002060"/>
                <w:sz w:val="16"/>
                <w:szCs w:val="16"/>
              </w:rPr>
              <w:t>—</w:t>
            </w:r>
          </w:p>
        </w:tc>
        <w:tc>
          <w:tcPr>
            <w:tcW w:w="684" w:type="dxa"/>
          </w:tcPr>
          <w:p w14:paraId="3F64EEA5" w14:textId="77777777" w:rsidR="00B67D7C" w:rsidRPr="00DE096C" w:rsidRDefault="00B67D7C" w:rsidP="00D45A46">
            <w:pPr>
              <w:jc w:val="both"/>
              <w:rPr>
                <w:bCs/>
                <w:color w:val="002060"/>
                <w:sz w:val="16"/>
                <w:szCs w:val="16"/>
              </w:rPr>
            </w:pPr>
            <w:r w:rsidRPr="00DE096C">
              <w:rPr>
                <w:bCs/>
                <w:color w:val="002060"/>
                <w:sz w:val="16"/>
                <w:szCs w:val="16"/>
              </w:rPr>
              <w:t>23,1</w:t>
            </w:r>
          </w:p>
        </w:tc>
      </w:tr>
      <w:tr w:rsidR="00B67D7C" w:rsidRPr="00DE096C" w14:paraId="5A876144" w14:textId="77777777" w:rsidTr="00C2024A">
        <w:tc>
          <w:tcPr>
            <w:tcW w:w="2268" w:type="dxa"/>
          </w:tcPr>
          <w:p w14:paraId="670E1589" w14:textId="77777777" w:rsidR="00B67D7C" w:rsidRPr="00DE096C" w:rsidRDefault="00B67D7C" w:rsidP="00D45A46">
            <w:pPr>
              <w:jc w:val="both"/>
              <w:rPr>
                <w:bCs/>
                <w:color w:val="002060"/>
                <w:sz w:val="16"/>
                <w:szCs w:val="16"/>
              </w:rPr>
            </w:pPr>
            <w:r w:rsidRPr="00DE096C">
              <w:rPr>
                <w:bCs/>
                <w:color w:val="002060"/>
                <w:sz w:val="16"/>
                <w:szCs w:val="16"/>
              </w:rPr>
              <w:t>Э. Коппе (Константиновка)</w:t>
            </w:r>
          </w:p>
        </w:tc>
        <w:tc>
          <w:tcPr>
            <w:tcW w:w="792" w:type="dxa"/>
          </w:tcPr>
          <w:p w14:paraId="225D0828" w14:textId="77777777" w:rsidR="00B67D7C" w:rsidRPr="00DE096C" w:rsidRDefault="00B67D7C" w:rsidP="00D45A46">
            <w:pPr>
              <w:jc w:val="both"/>
              <w:rPr>
                <w:bCs/>
                <w:color w:val="002060"/>
                <w:sz w:val="16"/>
                <w:szCs w:val="16"/>
              </w:rPr>
            </w:pPr>
            <w:r w:rsidRPr="00DE096C">
              <w:rPr>
                <w:bCs/>
                <w:color w:val="002060"/>
                <w:sz w:val="16"/>
                <w:szCs w:val="16"/>
              </w:rPr>
              <w:t>—</w:t>
            </w:r>
          </w:p>
        </w:tc>
        <w:tc>
          <w:tcPr>
            <w:tcW w:w="684" w:type="dxa"/>
          </w:tcPr>
          <w:p w14:paraId="660EA2C6" w14:textId="77777777" w:rsidR="00B67D7C" w:rsidRPr="00DE096C" w:rsidRDefault="00B67D7C" w:rsidP="00D45A46">
            <w:pPr>
              <w:jc w:val="both"/>
              <w:rPr>
                <w:bCs/>
                <w:color w:val="002060"/>
                <w:sz w:val="16"/>
                <w:szCs w:val="16"/>
              </w:rPr>
            </w:pPr>
            <w:r w:rsidRPr="00DE096C">
              <w:rPr>
                <w:bCs/>
                <w:color w:val="002060"/>
                <w:sz w:val="16"/>
                <w:szCs w:val="16"/>
              </w:rPr>
              <w:t>8,2</w:t>
            </w:r>
          </w:p>
        </w:tc>
      </w:tr>
      <w:tr w:rsidR="00B67D7C" w:rsidRPr="00DE096C" w14:paraId="581294E9" w14:textId="77777777" w:rsidTr="00C2024A">
        <w:tc>
          <w:tcPr>
            <w:tcW w:w="2268" w:type="dxa"/>
          </w:tcPr>
          <w:p w14:paraId="16AB57A8" w14:textId="77777777" w:rsidR="00B67D7C" w:rsidRPr="00DE096C" w:rsidRDefault="00B67D7C" w:rsidP="00D45A46">
            <w:pPr>
              <w:jc w:val="both"/>
              <w:rPr>
                <w:bCs/>
                <w:color w:val="002060"/>
                <w:sz w:val="16"/>
                <w:szCs w:val="16"/>
              </w:rPr>
            </w:pPr>
            <w:r w:rsidRPr="00DE096C">
              <w:rPr>
                <w:bCs/>
                <w:color w:val="002060"/>
                <w:sz w:val="16"/>
                <w:szCs w:val="16"/>
              </w:rPr>
              <w:t>Всего</w:t>
            </w:r>
          </w:p>
        </w:tc>
        <w:tc>
          <w:tcPr>
            <w:tcW w:w="792" w:type="dxa"/>
          </w:tcPr>
          <w:p w14:paraId="464E755D" w14:textId="77777777" w:rsidR="00B67D7C" w:rsidRPr="00DE096C" w:rsidRDefault="00B67D7C" w:rsidP="00D45A46">
            <w:pPr>
              <w:jc w:val="both"/>
              <w:rPr>
                <w:bCs/>
                <w:color w:val="002060"/>
                <w:sz w:val="16"/>
                <w:szCs w:val="16"/>
              </w:rPr>
            </w:pPr>
            <w:r w:rsidRPr="00DE096C">
              <w:rPr>
                <w:bCs/>
                <w:color w:val="002060"/>
                <w:sz w:val="16"/>
                <w:szCs w:val="16"/>
              </w:rPr>
              <w:t>364,3</w:t>
            </w:r>
          </w:p>
        </w:tc>
        <w:tc>
          <w:tcPr>
            <w:tcW w:w="684" w:type="dxa"/>
          </w:tcPr>
          <w:p w14:paraId="4AF94681" w14:textId="77777777" w:rsidR="00B67D7C" w:rsidRPr="00DE096C" w:rsidRDefault="00B67D7C" w:rsidP="00D45A46">
            <w:pPr>
              <w:jc w:val="both"/>
              <w:rPr>
                <w:bCs/>
                <w:color w:val="002060"/>
                <w:sz w:val="16"/>
                <w:szCs w:val="16"/>
              </w:rPr>
            </w:pPr>
            <w:r w:rsidRPr="00DE096C">
              <w:rPr>
                <w:bCs/>
                <w:color w:val="002060"/>
                <w:sz w:val="16"/>
                <w:szCs w:val="16"/>
              </w:rPr>
              <w:t>656,7</w:t>
            </w:r>
          </w:p>
        </w:tc>
      </w:tr>
    </w:tbl>
    <w:p w14:paraId="5BE78483" w14:textId="77777777" w:rsidR="00B67D7C" w:rsidRPr="00DE096C" w:rsidRDefault="00B67D7C" w:rsidP="00D45A46">
      <w:pPr>
        <w:jc w:val="both"/>
        <w:rPr>
          <w:bCs/>
          <w:color w:val="002060"/>
          <w:sz w:val="16"/>
          <w:szCs w:val="16"/>
        </w:rPr>
      </w:pPr>
      <w:r w:rsidRPr="00DE096C">
        <w:rPr>
          <w:bCs/>
          <w:color w:val="002060"/>
          <w:sz w:val="16"/>
          <w:szCs w:val="16"/>
        </w:rPr>
        <w:t xml:space="preserve">Надо отметить, что заводы не всегда могли работать на полную свою мощность, так как сплошь и рядом каменный уголь для коксования доставлялся не по адресу, а именно: на печи без улавливания продуктов коксования, а печи с улавливанием месяцами стояли, не имея что коксовать. </w:t>
      </w:r>
    </w:p>
    <w:p w14:paraId="5BD37592" w14:textId="77777777" w:rsidR="00B67D7C" w:rsidRPr="00DE096C" w:rsidRDefault="00B67D7C" w:rsidP="00D45A46">
      <w:pPr>
        <w:jc w:val="both"/>
        <w:rPr>
          <w:bCs/>
          <w:color w:val="002060"/>
          <w:sz w:val="16"/>
          <w:szCs w:val="16"/>
        </w:rPr>
      </w:pPr>
      <w:r w:rsidRPr="00DE096C">
        <w:rPr>
          <w:bCs/>
          <w:color w:val="002060"/>
          <w:sz w:val="16"/>
          <w:szCs w:val="16"/>
        </w:rPr>
        <w:t xml:space="preserve">В итоге мероприятий по развитию коксобензольного дела удалось в 7-8 раз увеличить количество печей, могущих давать полностью все продукты сухой перегонки каменного угля. </w:t>
      </w:r>
    </w:p>
    <w:p w14:paraId="5A525607" w14:textId="77777777" w:rsidR="00B67D7C" w:rsidRPr="00DE096C" w:rsidRDefault="00B67D7C" w:rsidP="00D45A46">
      <w:pPr>
        <w:jc w:val="both"/>
        <w:rPr>
          <w:bCs/>
          <w:color w:val="002060"/>
          <w:sz w:val="16"/>
          <w:szCs w:val="16"/>
        </w:rPr>
      </w:pPr>
      <w:r w:rsidRPr="00DE096C">
        <w:rPr>
          <w:bCs/>
          <w:color w:val="002060"/>
          <w:sz w:val="16"/>
          <w:szCs w:val="16"/>
        </w:rPr>
        <w:t xml:space="preserve">Затем, Комиссией Ипатьева были произведены крупные работы по организации заводов для ректификации продуктов коксования угля. </w:t>
      </w:r>
    </w:p>
    <w:p w14:paraId="23BB2B47" w14:textId="77777777" w:rsidR="00B67D7C" w:rsidRPr="00DE096C" w:rsidRDefault="00B67D7C" w:rsidP="00D45A46">
      <w:pPr>
        <w:jc w:val="both"/>
        <w:rPr>
          <w:bCs/>
          <w:color w:val="002060"/>
          <w:sz w:val="16"/>
          <w:szCs w:val="16"/>
        </w:rPr>
      </w:pPr>
      <w:r w:rsidRPr="00DE096C">
        <w:rPr>
          <w:bCs/>
          <w:color w:val="002060"/>
          <w:sz w:val="16"/>
          <w:szCs w:val="16"/>
        </w:rPr>
        <w:t xml:space="preserve">До войны, получаемые на Юге небольшие количества сырого бензола фракционировалось на 90%-ный бензол, 50%-ный бензол и сольвентнафта, без выделения чистых продуктов — бензола, толуола и ксилола. Между тем для фабрикации взрывчатых веществ требовались именно эти продукты. </w:t>
      </w:r>
    </w:p>
    <w:p w14:paraId="5E780960" w14:textId="77777777" w:rsidR="00B67D7C" w:rsidRPr="00DE096C" w:rsidRDefault="00B67D7C" w:rsidP="00D45A46">
      <w:pPr>
        <w:jc w:val="both"/>
        <w:rPr>
          <w:bCs/>
          <w:color w:val="002060"/>
          <w:sz w:val="16"/>
          <w:szCs w:val="16"/>
        </w:rPr>
      </w:pPr>
      <w:r w:rsidRPr="00DE096C">
        <w:rPr>
          <w:bCs/>
          <w:color w:val="002060"/>
          <w:sz w:val="16"/>
          <w:szCs w:val="16"/>
        </w:rPr>
        <w:t xml:space="preserve">В начале деятельности Химического комитета сырой бензол, получаемый в Донбассе, направлялся в Петроград для фракционировки на Тентелевском химическом заводе, после чего полученный чистый толуол отправлялся для нитрования в Самарский завод взрывчатых веществ, а чистый бензол — обратно на Юг для выработки пикриновой кислоты, на завод Сольвей. </w:t>
      </w:r>
    </w:p>
    <w:p w14:paraId="3E0C85C3" w14:textId="77777777" w:rsidR="00B67D7C" w:rsidRPr="00DE096C" w:rsidRDefault="00B67D7C" w:rsidP="00D45A46">
      <w:pPr>
        <w:jc w:val="both"/>
        <w:rPr>
          <w:bCs/>
          <w:color w:val="002060"/>
          <w:sz w:val="16"/>
          <w:szCs w:val="16"/>
        </w:rPr>
      </w:pPr>
      <w:r w:rsidRPr="00DE096C">
        <w:rPr>
          <w:bCs/>
          <w:color w:val="002060"/>
          <w:sz w:val="16"/>
          <w:szCs w:val="16"/>
        </w:rPr>
        <w:t xml:space="preserve">Так как Тентелевский завод не справлялся с фракционировкой, за малой производительностью аппаратов, то было произведено переоборудование Гутуевского спиртоочистительного завода для фракционировки бензола. </w:t>
      </w:r>
    </w:p>
    <w:p w14:paraId="0174542C" w14:textId="77777777" w:rsidR="00B67D7C" w:rsidRPr="00DE096C" w:rsidRDefault="00B67D7C" w:rsidP="00D45A46">
      <w:pPr>
        <w:jc w:val="both"/>
        <w:rPr>
          <w:bCs/>
          <w:color w:val="002060"/>
          <w:sz w:val="16"/>
          <w:szCs w:val="16"/>
        </w:rPr>
      </w:pPr>
      <w:r w:rsidRPr="00DE096C">
        <w:rPr>
          <w:bCs/>
          <w:color w:val="002060"/>
          <w:sz w:val="16"/>
          <w:szCs w:val="16"/>
        </w:rPr>
        <w:t xml:space="preserve">Ввиду указанных обстоятельств для фракционирования бензола Комиссией по заготовке взрывчатых веществ была предпринята постройка казенного ректификационного завода в Кадиевке с производительностью 500 000 пудов в год, считая на сырой бензол. </w:t>
      </w:r>
    </w:p>
    <w:p w14:paraId="66CDD6A7" w14:textId="77777777" w:rsidR="00B67D7C" w:rsidRPr="00DE096C" w:rsidRDefault="00B67D7C" w:rsidP="00D45A46">
      <w:pPr>
        <w:jc w:val="both"/>
        <w:rPr>
          <w:bCs/>
          <w:color w:val="002060"/>
          <w:sz w:val="16"/>
          <w:szCs w:val="16"/>
        </w:rPr>
      </w:pPr>
      <w:r w:rsidRPr="00DE096C">
        <w:rPr>
          <w:bCs/>
          <w:color w:val="002060"/>
          <w:sz w:val="16"/>
          <w:szCs w:val="16"/>
        </w:rPr>
        <w:t xml:space="preserve">Независимо от этого, по поручению Комиссии профессора Ипатьева были поставлены ректификационные оборудования частными фирмами — Оливье Пьетт в Макеевке, Эванс Коппе при Новосмоляниновском руднике в Юзовке, Брянским обществом в Орловской губернии и Обществом Коксобензол при ст. Рубежной (начато постройкой). </w:t>
      </w:r>
    </w:p>
    <w:p w14:paraId="01B0A721" w14:textId="77777777" w:rsidR="00B67D7C" w:rsidRPr="00DE096C" w:rsidRDefault="00B67D7C" w:rsidP="00D45A46">
      <w:pPr>
        <w:jc w:val="both"/>
        <w:rPr>
          <w:bCs/>
          <w:color w:val="002060"/>
          <w:sz w:val="16"/>
          <w:szCs w:val="16"/>
        </w:rPr>
      </w:pPr>
      <w:r w:rsidRPr="00DE096C">
        <w:rPr>
          <w:bCs/>
          <w:color w:val="002060"/>
          <w:sz w:val="16"/>
          <w:szCs w:val="16"/>
        </w:rPr>
        <w:t xml:space="preserve">Ввиду того, что производство каменноугольного толуола в Донецком бассейне не могло быстро развернуться в таком масштабе, чтобы покрывать всю потребность войны, Комиссия Ипатьева озаботилась изысканием других источников получения толуола. Было обращено внимание на бензины, содержащие большой процент толуола. </w:t>
      </w:r>
    </w:p>
    <w:p w14:paraId="71084F7D" w14:textId="77777777" w:rsidR="00B67D7C" w:rsidRPr="00DE096C" w:rsidRDefault="00B67D7C" w:rsidP="00D45A46">
      <w:pPr>
        <w:jc w:val="both"/>
        <w:rPr>
          <w:bCs/>
          <w:color w:val="002060"/>
          <w:sz w:val="16"/>
          <w:szCs w:val="16"/>
        </w:rPr>
      </w:pPr>
      <w:r w:rsidRPr="00DE096C">
        <w:rPr>
          <w:bCs/>
          <w:color w:val="002060"/>
          <w:sz w:val="16"/>
          <w:szCs w:val="16"/>
        </w:rPr>
        <w:t xml:space="preserve">Большие и ценные в научном отношении работы по этому вопросу сделаны были химиком Центральной научно-технической лаборатории военного ведомства Н.П. Андреевым. Предположено было первоначально добывать толуол из галицийской нефти, где процент его очень высок. Отступление русских войск из Галиции в 1915 г. не позволило сделать этого. Тогда были произведены исследования бензинов Майкопских и Грозненских месторождений, давшие вполне благоприятные результаты. После этого было решено строить заводы для извлечения толуола из бензинов. Дело было поручено строительной Комиссии под председательством В.Н. Ипатьева. </w:t>
      </w:r>
    </w:p>
    <w:p w14:paraId="66DE5895" w14:textId="77777777" w:rsidR="00B67D7C" w:rsidRPr="00DE096C" w:rsidRDefault="00B67D7C" w:rsidP="00D45A46">
      <w:pPr>
        <w:jc w:val="both"/>
        <w:rPr>
          <w:bCs/>
          <w:color w:val="002060"/>
          <w:sz w:val="16"/>
          <w:szCs w:val="16"/>
        </w:rPr>
      </w:pPr>
      <w:r w:rsidRPr="00DE096C">
        <w:rPr>
          <w:bCs/>
          <w:color w:val="002060"/>
          <w:sz w:val="16"/>
          <w:szCs w:val="16"/>
        </w:rPr>
        <w:t xml:space="preserve">Первый такой завод построен был в Екатеринодаре, около Майкопских нефтеперегонных заводов. В 1916 г. он давал уже до 2000 пудов в месяц монотринитротолуола, получаемого обработкой нитрующей смесью фракции бензина, содержащей 15-20% толуола. Монопродукт отправлялся для донитрования в Самарский завод взрывчатых веществ. </w:t>
      </w:r>
    </w:p>
    <w:p w14:paraId="7AF94BBA" w14:textId="77777777" w:rsidR="00B67D7C" w:rsidRPr="00DE096C" w:rsidRDefault="00B67D7C" w:rsidP="00D45A46">
      <w:pPr>
        <w:jc w:val="both"/>
        <w:rPr>
          <w:bCs/>
          <w:color w:val="002060"/>
          <w:sz w:val="16"/>
          <w:szCs w:val="16"/>
        </w:rPr>
      </w:pPr>
      <w:r w:rsidRPr="00DE096C">
        <w:rPr>
          <w:bCs/>
          <w:color w:val="002060"/>
          <w:sz w:val="16"/>
          <w:szCs w:val="16"/>
        </w:rPr>
        <w:t xml:space="preserve">В Грозном на заводах "Русский Стандарт" и Ахвердова были сделаны крупные ректификационные установки для получения толуола из лигроина, с производительностью до 4000 пудов в месяц. Производство было начато в начале 1917 года. </w:t>
      </w:r>
    </w:p>
    <w:p w14:paraId="48DB2B96" w14:textId="77777777" w:rsidR="00B67D7C" w:rsidRPr="00DE096C" w:rsidRDefault="00B67D7C" w:rsidP="00D45A46">
      <w:pPr>
        <w:jc w:val="both"/>
        <w:rPr>
          <w:bCs/>
          <w:color w:val="002060"/>
          <w:sz w:val="16"/>
          <w:szCs w:val="16"/>
        </w:rPr>
      </w:pPr>
      <w:r w:rsidRPr="00DE096C">
        <w:rPr>
          <w:bCs/>
          <w:color w:val="002060"/>
          <w:sz w:val="16"/>
          <w:szCs w:val="16"/>
        </w:rPr>
        <w:t xml:space="preserve">Независимо от получения толуола указанным путем, с начала 1915 г. велись деятельные опыты над разложением нефти при высоких температурах по методам, предложенным химиком Никифоровым. Опыты велись проф. Тихвинским, Зелинским и Лебедевым, а также в Научно-технической лаборатории военного ведомства. К концу 1915 г. имелось уже достаточно материалов, чтобы ставить заводское производство. Первые заводские опыты были поставлены Комиссией Ипатьева на газовом заводе казанской городской управы и там же было поставлено первое валовое производство ароматических углеводородов на небольшую производительность — около 1000 пудов в месяц. </w:t>
      </w:r>
    </w:p>
    <w:p w14:paraId="1B23EDA4" w14:textId="77777777" w:rsidR="00B67D7C" w:rsidRPr="00DE096C" w:rsidRDefault="00B67D7C" w:rsidP="00D45A46">
      <w:pPr>
        <w:jc w:val="both"/>
        <w:rPr>
          <w:bCs/>
          <w:color w:val="002060"/>
          <w:sz w:val="16"/>
          <w:szCs w:val="16"/>
        </w:rPr>
      </w:pPr>
      <w:r w:rsidRPr="00DE096C">
        <w:rPr>
          <w:bCs/>
          <w:color w:val="002060"/>
          <w:sz w:val="16"/>
          <w:szCs w:val="16"/>
        </w:rPr>
        <w:t xml:space="preserve">Вопросом получения толуола из нефти пирогенетическим путем занимался деятельно и Военно-промышленный комитет. Бакинский ВПК взял на себя постройку для этой цели завода в Баку. Предварительный проект был составлен проф. П. Кошицем, Смоленским и Громаном. Завод был рассчитан на производство 4000 пудов и к осени 1916 г. был пущен уже в ход. </w:t>
      </w:r>
    </w:p>
    <w:p w14:paraId="4C605F61" w14:textId="77777777" w:rsidR="00B67D7C" w:rsidRPr="00DE096C" w:rsidRDefault="00B67D7C" w:rsidP="00D45A46">
      <w:pPr>
        <w:jc w:val="both"/>
        <w:rPr>
          <w:bCs/>
          <w:color w:val="002060"/>
          <w:sz w:val="16"/>
          <w:szCs w:val="16"/>
        </w:rPr>
      </w:pPr>
      <w:r w:rsidRPr="00DE096C">
        <w:rPr>
          <w:bCs/>
          <w:color w:val="002060"/>
          <w:sz w:val="16"/>
          <w:szCs w:val="16"/>
        </w:rPr>
        <w:t xml:space="preserve">Одновременно с бакинским ВПК была начата постройка трех заводов для получения ароматических углеводородов из нефти фирмами: Бр. Нобель, Бенкендорф и Нефтегаз. Из них только первая выполнила задачу вовремя. Другие две закончили постройку к самому концу войны. </w:t>
      </w:r>
    </w:p>
    <w:p w14:paraId="2837EBEC" w14:textId="77777777" w:rsidR="00B67D7C" w:rsidRPr="00DE096C" w:rsidRDefault="00B67D7C" w:rsidP="00D45A46">
      <w:pPr>
        <w:jc w:val="both"/>
        <w:rPr>
          <w:bCs/>
          <w:color w:val="002060"/>
          <w:sz w:val="16"/>
          <w:szCs w:val="16"/>
        </w:rPr>
      </w:pPr>
      <w:r w:rsidRPr="00DE096C">
        <w:rPr>
          <w:bCs/>
          <w:color w:val="002060"/>
          <w:sz w:val="16"/>
          <w:szCs w:val="16"/>
        </w:rPr>
        <w:t xml:space="preserve">В итоге за время войны было изготовлено пирогенетического толуола до 150 000 пудов и была создана таким образом новая отрасль химической промышленности. </w:t>
      </w:r>
    </w:p>
    <w:p w14:paraId="046294DB" w14:textId="77777777" w:rsidR="00B67D7C" w:rsidRPr="00DE096C" w:rsidRDefault="00B67D7C" w:rsidP="00D45A46">
      <w:pPr>
        <w:jc w:val="both"/>
        <w:rPr>
          <w:bCs/>
          <w:color w:val="002060"/>
          <w:sz w:val="16"/>
          <w:szCs w:val="16"/>
        </w:rPr>
      </w:pPr>
      <w:r w:rsidRPr="00DE096C">
        <w:rPr>
          <w:bCs/>
          <w:color w:val="002060"/>
          <w:sz w:val="16"/>
          <w:szCs w:val="16"/>
        </w:rPr>
        <w:t xml:space="preserve">Суммарное получение чистого бензола и [чистого] толуола всеми перечисленными методами (каменноугольного и нефтяного) выражается в следующих цифрах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837"/>
        <w:gridCol w:w="636"/>
        <w:gridCol w:w="641"/>
        <w:gridCol w:w="636"/>
        <w:gridCol w:w="641"/>
      </w:tblGrid>
      <w:tr w:rsidR="00B67D7C" w:rsidRPr="00DE096C" w14:paraId="2AD30839" w14:textId="77777777" w:rsidTr="00C2024A">
        <w:tc>
          <w:tcPr>
            <w:tcW w:w="837" w:type="dxa"/>
          </w:tcPr>
          <w:p w14:paraId="54F53A0C" w14:textId="77777777" w:rsidR="00B67D7C" w:rsidRPr="00DE096C" w:rsidRDefault="00B67D7C" w:rsidP="00D45A46">
            <w:pPr>
              <w:jc w:val="both"/>
              <w:rPr>
                <w:bCs/>
                <w:color w:val="002060"/>
                <w:sz w:val="16"/>
                <w:szCs w:val="16"/>
              </w:rPr>
            </w:pPr>
            <w:r w:rsidRPr="00DE096C">
              <w:rPr>
                <w:bCs/>
                <w:color w:val="002060"/>
                <w:sz w:val="16"/>
                <w:szCs w:val="16"/>
              </w:rPr>
              <w:t> </w:t>
            </w:r>
          </w:p>
        </w:tc>
        <w:tc>
          <w:tcPr>
            <w:tcW w:w="1277" w:type="dxa"/>
            <w:gridSpan w:val="2"/>
          </w:tcPr>
          <w:p w14:paraId="5EC0C9CE" w14:textId="77777777" w:rsidR="00B67D7C" w:rsidRPr="00DE096C" w:rsidRDefault="00B67D7C" w:rsidP="00D45A46">
            <w:pPr>
              <w:jc w:val="both"/>
              <w:rPr>
                <w:bCs/>
                <w:color w:val="002060"/>
                <w:sz w:val="16"/>
                <w:szCs w:val="16"/>
              </w:rPr>
            </w:pPr>
            <w:r w:rsidRPr="00DE096C">
              <w:rPr>
                <w:bCs/>
                <w:color w:val="002060"/>
                <w:sz w:val="16"/>
                <w:szCs w:val="16"/>
              </w:rPr>
              <w:t>1916 год</w:t>
            </w:r>
          </w:p>
        </w:tc>
        <w:tc>
          <w:tcPr>
            <w:tcW w:w="1277" w:type="dxa"/>
            <w:gridSpan w:val="2"/>
          </w:tcPr>
          <w:p w14:paraId="250ACFCF" w14:textId="77777777" w:rsidR="00B67D7C" w:rsidRPr="00DE096C" w:rsidRDefault="00B67D7C" w:rsidP="00D45A46">
            <w:pPr>
              <w:jc w:val="both"/>
              <w:rPr>
                <w:bCs/>
                <w:color w:val="002060"/>
                <w:sz w:val="16"/>
                <w:szCs w:val="16"/>
              </w:rPr>
            </w:pPr>
            <w:r w:rsidRPr="00DE096C">
              <w:rPr>
                <w:bCs/>
                <w:color w:val="002060"/>
                <w:sz w:val="16"/>
                <w:szCs w:val="16"/>
              </w:rPr>
              <w:t>1917 год</w:t>
            </w:r>
          </w:p>
        </w:tc>
      </w:tr>
      <w:tr w:rsidR="00B67D7C" w:rsidRPr="00DE096C" w14:paraId="3EB6AFB1" w14:textId="77777777" w:rsidTr="00C2024A">
        <w:tc>
          <w:tcPr>
            <w:tcW w:w="837" w:type="dxa"/>
          </w:tcPr>
          <w:p w14:paraId="7CEF4C3E" w14:textId="77777777" w:rsidR="00B67D7C" w:rsidRPr="00DE096C" w:rsidRDefault="00B67D7C" w:rsidP="00D45A46">
            <w:pPr>
              <w:jc w:val="both"/>
              <w:rPr>
                <w:bCs/>
                <w:color w:val="002060"/>
                <w:sz w:val="16"/>
                <w:szCs w:val="16"/>
              </w:rPr>
            </w:pPr>
            <w:r w:rsidRPr="00DE096C">
              <w:rPr>
                <w:bCs/>
                <w:color w:val="002060"/>
                <w:sz w:val="16"/>
                <w:szCs w:val="16"/>
              </w:rPr>
              <w:t>Месяцы</w:t>
            </w:r>
          </w:p>
        </w:tc>
        <w:tc>
          <w:tcPr>
            <w:tcW w:w="636" w:type="dxa"/>
          </w:tcPr>
          <w:p w14:paraId="034CE90D" w14:textId="77777777" w:rsidR="00B67D7C" w:rsidRPr="00DE096C" w:rsidRDefault="00B67D7C" w:rsidP="00D45A46">
            <w:pPr>
              <w:jc w:val="both"/>
              <w:rPr>
                <w:bCs/>
                <w:color w:val="002060"/>
                <w:sz w:val="16"/>
                <w:szCs w:val="16"/>
              </w:rPr>
            </w:pPr>
            <w:r w:rsidRPr="00DE096C">
              <w:rPr>
                <w:bCs/>
                <w:color w:val="002060"/>
                <w:sz w:val="16"/>
                <w:szCs w:val="16"/>
              </w:rPr>
              <w:t>Бензол</w:t>
            </w:r>
          </w:p>
        </w:tc>
        <w:tc>
          <w:tcPr>
            <w:tcW w:w="641" w:type="dxa"/>
          </w:tcPr>
          <w:p w14:paraId="38955B62" w14:textId="77777777" w:rsidR="00B67D7C" w:rsidRPr="00DE096C" w:rsidRDefault="00B67D7C" w:rsidP="00D45A46">
            <w:pPr>
              <w:jc w:val="both"/>
              <w:rPr>
                <w:bCs/>
                <w:color w:val="002060"/>
                <w:sz w:val="16"/>
                <w:szCs w:val="16"/>
              </w:rPr>
            </w:pPr>
            <w:r w:rsidRPr="00DE096C">
              <w:rPr>
                <w:bCs/>
                <w:color w:val="002060"/>
                <w:sz w:val="16"/>
                <w:szCs w:val="16"/>
              </w:rPr>
              <w:t>Толуол</w:t>
            </w:r>
          </w:p>
        </w:tc>
        <w:tc>
          <w:tcPr>
            <w:tcW w:w="636" w:type="dxa"/>
          </w:tcPr>
          <w:p w14:paraId="54DF9944" w14:textId="77777777" w:rsidR="00B67D7C" w:rsidRPr="00DE096C" w:rsidRDefault="00B67D7C" w:rsidP="00D45A46">
            <w:pPr>
              <w:jc w:val="both"/>
              <w:rPr>
                <w:bCs/>
                <w:color w:val="002060"/>
                <w:sz w:val="16"/>
                <w:szCs w:val="16"/>
              </w:rPr>
            </w:pPr>
            <w:r w:rsidRPr="00DE096C">
              <w:rPr>
                <w:bCs/>
                <w:color w:val="002060"/>
                <w:sz w:val="16"/>
                <w:szCs w:val="16"/>
              </w:rPr>
              <w:t xml:space="preserve">Бензол </w:t>
            </w:r>
          </w:p>
        </w:tc>
        <w:tc>
          <w:tcPr>
            <w:tcW w:w="641" w:type="dxa"/>
          </w:tcPr>
          <w:p w14:paraId="2107AE4E" w14:textId="77777777" w:rsidR="00B67D7C" w:rsidRPr="00DE096C" w:rsidRDefault="00B67D7C" w:rsidP="00D45A46">
            <w:pPr>
              <w:jc w:val="both"/>
              <w:rPr>
                <w:bCs/>
                <w:color w:val="002060"/>
                <w:sz w:val="16"/>
                <w:szCs w:val="16"/>
              </w:rPr>
            </w:pPr>
            <w:r w:rsidRPr="00DE096C">
              <w:rPr>
                <w:bCs/>
                <w:color w:val="002060"/>
                <w:sz w:val="16"/>
                <w:szCs w:val="16"/>
              </w:rPr>
              <w:t>Толуол</w:t>
            </w:r>
          </w:p>
        </w:tc>
      </w:tr>
      <w:tr w:rsidR="00B67D7C" w:rsidRPr="00DE096C" w14:paraId="0BB7F95D" w14:textId="77777777" w:rsidTr="00C2024A">
        <w:tc>
          <w:tcPr>
            <w:tcW w:w="837" w:type="dxa"/>
          </w:tcPr>
          <w:p w14:paraId="017EEC7A" w14:textId="77777777" w:rsidR="00B67D7C" w:rsidRPr="00DE096C" w:rsidRDefault="00B67D7C" w:rsidP="00D45A46">
            <w:pPr>
              <w:jc w:val="both"/>
              <w:rPr>
                <w:bCs/>
                <w:color w:val="002060"/>
                <w:sz w:val="16"/>
                <w:szCs w:val="16"/>
              </w:rPr>
            </w:pPr>
            <w:r w:rsidRPr="00DE096C">
              <w:rPr>
                <w:bCs/>
                <w:color w:val="002060"/>
                <w:sz w:val="16"/>
                <w:szCs w:val="16"/>
              </w:rPr>
              <w:t>Январь</w:t>
            </w:r>
          </w:p>
        </w:tc>
        <w:tc>
          <w:tcPr>
            <w:tcW w:w="636" w:type="dxa"/>
          </w:tcPr>
          <w:p w14:paraId="7D42A942" w14:textId="77777777" w:rsidR="00B67D7C" w:rsidRPr="00DE096C" w:rsidRDefault="00B67D7C" w:rsidP="00D45A46">
            <w:pPr>
              <w:jc w:val="both"/>
              <w:rPr>
                <w:bCs/>
                <w:color w:val="002060"/>
                <w:sz w:val="16"/>
                <w:szCs w:val="16"/>
              </w:rPr>
            </w:pPr>
            <w:r w:rsidRPr="00DE096C">
              <w:rPr>
                <w:bCs/>
                <w:color w:val="002060"/>
                <w:sz w:val="16"/>
                <w:szCs w:val="16"/>
              </w:rPr>
              <w:t>13,6</w:t>
            </w:r>
          </w:p>
        </w:tc>
        <w:tc>
          <w:tcPr>
            <w:tcW w:w="641" w:type="dxa"/>
          </w:tcPr>
          <w:p w14:paraId="016437E0" w14:textId="77777777" w:rsidR="00B67D7C" w:rsidRPr="00DE096C" w:rsidRDefault="00B67D7C" w:rsidP="00D45A46">
            <w:pPr>
              <w:jc w:val="both"/>
              <w:rPr>
                <w:bCs/>
                <w:color w:val="002060"/>
                <w:sz w:val="16"/>
                <w:szCs w:val="16"/>
              </w:rPr>
            </w:pPr>
            <w:r w:rsidRPr="00DE096C">
              <w:rPr>
                <w:bCs/>
                <w:color w:val="002060"/>
                <w:sz w:val="16"/>
                <w:szCs w:val="16"/>
              </w:rPr>
              <w:t>10,9</w:t>
            </w:r>
          </w:p>
        </w:tc>
        <w:tc>
          <w:tcPr>
            <w:tcW w:w="636" w:type="dxa"/>
          </w:tcPr>
          <w:p w14:paraId="7CC044CB" w14:textId="77777777" w:rsidR="00B67D7C" w:rsidRPr="00DE096C" w:rsidRDefault="00B67D7C" w:rsidP="00D45A46">
            <w:pPr>
              <w:jc w:val="both"/>
              <w:rPr>
                <w:bCs/>
                <w:color w:val="002060"/>
                <w:sz w:val="16"/>
                <w:szCs w:val="16"/>
              </w:rPr>
            </w:pPr>
            <w:r w:rsidRPr="00DE096C">
              <w:rPr>
                <w:bCs/>
                <w:color w:val="002060"/>
                <w:sz w:val="16"/>
                <w:szCs w:val="16"/>
              </w:rPr>
              <w:t xml:space="preserve">20,0 </w:t>
            </w:r>
          </w:p>
        </w:tc>
        <w:tc>
          <w:tcPr>
            <w:tcW w:w="641" w:type="dxa"/>
          </w:tcPr>
          <w:p w14:paraId="771C1754" w14:textId="77777777" w:rsidR="00B67D7C" w:rsidRPr="00DE096C" w:rsidRDefault="00B67D7C" w:rsidP="00D45A46">
            <w:pPr>
              <w:jc w:val="both"/>
              <w:rPr>
                <w:bCs/>
                <w:color w:val="002060"/>
                <w:sz w:val="16"/>
                <w:szCs w:val="16"/>
              </w:rPr>
            </w:pPr>
            <w:r w:rsidRPr="00DE096C">
              <w:rPr>
                <w:bCs/>
                <w:color w:val="002060"/>
                <w:sz w:val="16"/>
                <w:szCs w:val="16"/>
              </w:rPr>
              <w:t>16,8</w:t>
            </w:r>
          </w:p>
        </w:tc>
      </w:tr>
      <w:tr w:rsidR="00B67D7C" w:rsidRPr="00DE096C" w14:paraId="4C71F5E0" w14:textId="77777777" w:rsidTr="00C2024A">
        <w:tc>
          <w:tcPr>
            <w:tcW w:w="837" w:type="dxa"/>
          </w:tcPr>
          <w:p w14:paraId="2BE62467" w14:textId="77777777" w:rsidR="00B67D7C" w:rsidRPr="00DE096C" w:rsidRDefault="00B67D7C" w:rsidP="00D45A46">
            <w:pPr>
              <w:jc w:val="both"/>
              <w:rPr>
                <w:bCs/>
                <w:color w:val="002060"/>
                <w:sz w:val="16"/>
                <w:szCs w:val="16"/>
              </w:rPr>
            </w:pPr>
            <w:r w:rsidRPr="00DE096C">
              <w:rPr>
                <w:bCs/>
                <w:color w:val="002060"/>
                <w:sz w:val="16"/>
                <w:szCs w:val="16"/>
              </w:rPr>
              <w:t>Февраль</w:t>
            </w:r>
          </w:p>
        </w:tc>
        <w:tc>
          <w:tcPr>
            <w:tcW w:w="636" w:type="dxa"/>
          </w:tcPr>
          <w:p w14:paraId="370F3F10" w14:textId="77777777" w:rsidR="00B67D7C" w:rsidRPr="00DE096C" w:rsidRDefault="00B67D7C" w:rsidP="00D45A46">
            <w:pPr>
              <w:jc w:val="both"/>
              <w:rPr>
                <w:bCs/>
                <w:color w:val="002060"/>
                <w:sz w:val="16"/>
                <w:szCs w:val="16"/>
              </w:rPr>
            </w:pPr>
            <w:r w:rsidRPr="00DE096C">
              <w:rPr>
                <w:bCs/>
                <w:color w:val="002060"/>
                <w:sz w:val="16"/>
                <w:szCs w:val="16"/>
              </w:rPr>
              <w:t>13,3</w:t>
            </w:r>
          </w:p>
        </w:tc>
        <w:tc>
          <w:tcPr>
            <w:tcW w:w="641" w:type="dxa"/>
          </w:tcPr>
          <w:p w14:paraId="5EF312C4" w14:textId="77777777" w:rsidR="00B67D7C" w:rsidRPr="00DE096C" w:rsidRDefault="00B67D7C" w:rsidP="00D45A46">
            <w:pPr>
              <w:jc w:val="both"/>
              <w:rPr>
                <w:bCs/>
                <w:color w:val="002060"/>
                <w:sz w:val="16"/>
                <w:szCs w:val="16"/>
              </w:rPr>
            </w:pPr>
            <w:r w:rsidRPr="00DE096C">
              <w:rPr>
                <w:bCs/>
                <w:color w:val="002060"/>
                <w:sz w:val="16"/>
                <w:szCs w:val="16"/>
              </w:rPr>
              <w:t>10,5</w:t>
            </w:r>
          </w:p>
        </w:tc>
        <w:tc>
          <w:tcPr>
            <w:tcW w:w="636" w:type="dxa"/>
          </w:tcPr>
          <w:p w14:paraId="2E23CDC2" w14:textId="77777777" w:rsidR="00B67D7C" w:rsidRPr="00DE096C" w:rsidRDefault="00B67D7C" w:rsidP="00D45A46">
            <w:pPr>
              <w:jc w:val="both"/>
              <w:rPr>
                <w:bCs/>
                <w:color w:val="002060"/>
                <w:sz w:val="16"/>
                <w:szCs w:val="16"/>
              </w:rPr>
            </w:pPr>
            <w:r w:rsidRPr="00DE096C">
              <w:rPr>
                <w:bCs/>
                <w:color w:val="002060"/>
                <w:sz w:val="16"/>
                <w:szCs w:val="16"/>
              </w:rPr>
              <w:t xml:space="preserve">23,5 </w:t>
            </w:r>
          </w:p>
        </w:tc>
        <w:tc>
          <w:tcPr>
            <w:tcW w:w="641" w:type="dxa"/>
          </w:tcPr>
          <w:p w14:paraId="2E995C2D" w14:textId="77777777" w:rsidR="00B67D7C" w:rsidRPr="00DE096C" w:rsidRDefault="00B67D7C" w:rsidP="00D45A46">
            <w:pPr>
              <w:jc w:val="both"/>
              <w:rPr>
                <w:bCs/>
                <w:color w:val="002060"/>
                <w:sz w:val="16"/>
                <w:szCs w:val="16"/>
              </w:rPr>
            </w:pPr>
            <w:r w:rsidRPr="00DE096C">
              <w:rPr>
                <w:bCs/>
                <w:color w:val="002060"/>
                <w:sz w:val="16"/>
                <w:szCs w:val="16"/>
              </w:rPr>
              <w:t>19,1</w:t>
            </w:r>
          </w:p>
        </w:tc>
      </w:tr>
      <w:tr w:rsidR="00B67D7C" w:rsidRPr="00DE096C" w14:paraId="5ED1136E" w14:textId="77777777" w:rsidTr="00C2024A">
        <w:tc>
          <w:tcPr>
            <w:tcW w:w="837" w:type="dxa"/>
          </w:tcPr>
          <w:p w14:paraId="4AF26FCF" w14:textId="77777777" w:rsidR="00B67D7C" w:rsidRPr="00DE096C" w:rsidRDefault="00B67D7C" w:rsidP="00D45A46">
            <w:pPr>
              <w:jc w:val="both"/>
              <w:rPr>
                <w:bCs/>
                <w:color w:val="002060"/>
                <w:sz w:val="16"/>
                <w:szCs w:val="16"/>
              </w:rPr>
            </w:pPr>
            <w:r w:rsidRPr="00DE096C">
              <w:rPr>
                <w:bCs/>
                <w:color w:val="002060"/>
                <w:sz w:val="16"/>
                <w:szCs w:val="16"/>
              </w:rPr>
              <w:t>Март</w:t>
            </w:r>
          </w:p>
        </w:tc>
        <w:tc>
          <w:tcPr>
            <w:tcW w:w="636" w:type="dxa"/>
          </w:tcPr>
          <w:p w14:paraId="51B84572" w14:textId="77777777" w:rsidR="00B67D7C" w:rsidRPr="00DE096C" w:rsidRDefault="00B67D7C" w:rsidP="00D45A46">
            <w:pPr>
              <w:jc w:val="both"/>
              <w:rPr>
                <w:bCs/>
                <w:color w:val="002060"/>
                <w:sz w:val="16"/>
                <w:szCs w:val="16"/>
              </w:rPr>
            </w:pPr>
            <w:r w:rsidRPr="00DE096C">
              <w:rPr>
                <w:bCs/>
                <w:color w:val="002060"/>
                <w:sz w:val="16"/>
                <w:szCs w:val="16"/>
              </w:rPr>
              <w:t>14,2</w:t>
            </w:r>
          </w:p>
        </w:tc>
        <w:tc>
          <w:tcPr>
            <w:tcW w:w="641" w:type="dxa"/>
          </w:tcPr>
          <w:p w14:paraId="254CF9D0" w14:textId="77777777" w:rsidR="00B67D7C" w:rsidRPr="00DE096C" w:rsidRDefault="00B67D7C" w:rsidP="00D45A46">
            <w:pPr>
              <w:jc w:val="both"/>
              <w:rPr>
                <w:bCs/>
                <w:color w:val="002060"/>
                <w:sz w:val="16"/>
                <w:szCs w:val="16"/>
              </w:rPr>
            </w:pPr>
            <w:r w:rsidRPr="00DE096C">
              <w:rPr>
                <w:bCs/>
                <w:color w:val="002060"/>
                <w:sz w:val="16"/>
                <w:szCs w:val="16"/>
              </w:rPr>
              <w:t>11,4</w:t>
            </w:r>
          </w:p>
        </w:tc>
        <w:tc>
          <w:tcPr>
            <w:tcW w:w="636" w:type="dxa"/>
          </w:tcPr>
          <w:p w14:paraId="15185A69" w14:textId="77777777" w:rsidR="00B67D7C" w:rsidRPr="00DE096C" w:rsidRDefault="00B67D7C" w:rsidP="00D45A46">
            <w:pPr>
              <w:jc w:val="both"/>
              <w:rPr>
                <w:bCs/>
                <w:color w:val="002060"/>
                <w:sz w:val="16"/>
                <w:szCs w:val="16"/>
              </w:rPr>
            </w:pPr>
            <w:r w:rsidRPr="00DE096C">
              <w:rPr>
                <w:bCs/>
                <w:color w:val="002060"/>
                <w:sz w:val="16"/>
                <w:szCs w:val="16"/>
              </w:rPr>
              <w:t xml:space="preserve">26,3 </w:t>
            </w:r>
          </w:p>
        </w:tc>
        <w:tc>
          <w:tcPr>
            <w:tcW w:w="641" w:type="dxa"/>
          </w:tcPr>
          <w:p w14:paraId="62512A4F" w14:textId="77777777" w:rsidR="00B67D7C" w:rsidRPr="00DE096C" w:rsidRDefault="00B67D7C" w:rsidP="00D45A46">
            <w:pPr>
              <w:jc w:val="both"/>
              <w:rPr>
                <w:bCs/>
                <w:color w:val="002060"/>
                <w:sz w:val="16"/>
                <w:szCs w:val="16"/>
              </w:rPr>
            </w:pPr>
            <w:r w:rsidRPr="00DE096C">
              <w:rPr>
                <w:bCs/>
                <w:color w:val="002060"/>
                <w:sz w:val="16"/>
                <w:szCs w:val="16"/>
              </w:rPr>
              <w:t>21,6</w:t>
            </w:r>
          </w:p>
        </w:tc>
      </w:tr>
      <w:tr w:rsidR="00B67D7C" w:rsidRPr="00DE096C" w14:paraId="3D981B58" w14:textId="77777777" w:rsidTr="00C2024A">
        <w:tc>
          <w:tcPr>
            <w:tcW w:w="837" w:type="dxa"/>
          </w:tcPr>
          <w:p w14:paraId="15E35109" w14:textId="77777777" w:rsidR="00B67D7C" w:rsidRPr="00DE096C" w:rsidRDefault="00B67D7C" w:rsidP="00D45A46">
            <w:pPr>
              <w:jc w:val="both"/>
              <w:rPr>
                <w:bCs/>
                <w:color w:val="002060"/>
                <w:sz w:val="16"/>
                <w:szCs w:val="16"/>
              </w:rPr>
            </w:pPr>
            <w:r w:rsidRPr="00DE096C">
              <w:rPr>
                <w:bCs/>
                <w:color w:val="002060"/>
                <w:sz w:val="16"/>
                <w:szCs w:val="16"/>
              </w:rPr>
              <w:t>Апрель</w:t>
            </w:r>
          </w:p>
        </w:tc>
        <w:tc>
          <w:tcPr>
            <w:tcW w:w="636" w:type="dxa"/>
          </w:tcPr>
          <w:p w14:paraId="4CA8733A" w14:textId="77777777" w:rsidR="00B67D7C" w:rsidRPr="00DE096C" w:rsidRDefault="00B67D7C" w:rsidP="00D45A46">
            <w:pPr>
              <w:jc w:val="both"/>
              <w:rPr>
                <w:bCs/>
                <w:color w:val="002060"/>
                <w:sz w:val="16"/>
                <w:szCs w:val="16"/>
              </w:rPr>
            </w:pPr>
            <w:r w:rsidRPr="00DE096C">
              <w:rPr>
                <w:bCs/>
                <w:color w:val="002060"/>
                <w:sz w:val="16"/>
                <w:szCs w:val="16"/>
              </w:rPr>
              <w:t>13.5</w:t>
            </w:r>
          </w:p>
        </w:tc>
        <w:tc>
          <w:tcPr>
            <w:tcW w:w="641" w:type="dxa"/>
          </w:tcPr>
          <w:p w14:paraId="7559514F" w14:textId="77777777" w:rsidR="00B67D7C" w:rsidRPr="00DE096C" w:rsidRDefault="00B67D7C" w:rsidP="00D45A46">
            <w:pPr>
              <w:jc w:val="both"/>
              <w:rPr>
                <w:bCs/>
                <w:color w:val="002060"/>
                <w:sz w:val="16"/>
                <w:szCs w:val="16"/>
              </w:rPr>
            </w:pPr>
            <w:r w:rsidRPr="00DE096C">
              <w:rPr>
                <w:bCs/>
                <w:color w:val="002060"/>
                <w:sz w:val="16"/>
                <w:szCs w:val="16"/>
              </w:rPr>
              <w:t>9,5</w:t>
            </w:r>
          </w:p>
        </w:tc>
        <w:tc>
          <w:tcPr>
            <w:tcW w:w="636" w:type="dxa"/>
          </w:tcPr>
          <w:p w14:paraId="7E912A59" w14:textId="77777777" w:rsidR="00B67D7C" w:rsidRPr="00DE096C" w:rsidRDefault="00B67D7C" w:rsidP="00D45A46">
            <w:pPr>
              <w:jc w:val="both"/>
              <w:rPr>
                <w:bCs/>
                <w:color w:val="002060"/>
                <w:sz w:val="16"/>
                <w:szCs w:val="16"/>
              </w:rPr>
            </w:pPr>
            <w:r w:rsidRPr="00DE096C">
              <w:rPr>
                <w:bCs/>
                <w:color w:val="002060"/>
                <w:sz w:val="16"/>
                <w:szCs w:val="16"/>
              </w:rPr>
              <w:t>31,5</w:t>
            </w:r>
          </w:p>
        </w:tc>
        <w:tc>
          <w:tcPr>
            <w:tcW w:w="641" w:type="dxa"/>
          </w:tcPr>
          <w:p w14:paraId="221292D8" w14:textId="77777777" w:rsidR="00B67D7C" w:rsidRPr="00DE096C" w:rsidRDefault="00B67D7C" w:rsidP="00D45A46">
            <w:pPr>
              <w:jc w:val="both"/>
              <w:rPr>
                <w:bCs/>
                <w:color w:val="002060"/>
                <w:sz w:val="16"/>
                <w:szCs w:val="16"/>
              </w:rPr>
            </w:pPr>
            <w:r w:rsidRPr="00DE096C">
              <w:rPr>
                <w:bCs/>
                <w:color w:val="002060"/>
                <w:sz w:val="16"/>
                <w:szCs w:val="16"/>
              </w:rPr>
              <w:t>26,3</w:t>
            </w:r>
          </w:p>
        </w:tc>
      </w:tr>
      <w:tr w:rsidR="00B67D7C" w:rsidRPr="00DE096C" w14:paraId="4A7661A4" w14:textId="77777777" w:rsidTr="00C2024A">
        <w:tc>
          <w:tcPr>
            <w:tcW w:w="837" w:type="dxa"/>
          </w:tcPr>
          <w:p w14:paraId="0F5DE5A0" w14:textId="77777777" w:rsidR="00B67D7C" w:rsidRPr="00DE096C" w:rsidRDefault="00B67D7C" w:rsidP="00D45A46">
            <w:pPr>
              <w:jc w:val="both"/>
              <w:rPr>
                <w:bCs/>
                <w:color w:val="002060"/>
                <w:sz w:val="16"/>
                <w:szCs w:val="16"/>
              </w:rPr>
            </w:pPr>
            <w:r w:rsidRPr="00DE096C">
              <w:rPr>
                <w:bCs/>
                <w:color w:val="002060"/>
                <w:sz w:val="16"/>
                <w:szCs w:val="16"/>
              </w:rPr>
              <w:t>Май</w:t>
            </w:r>
          </w:p>
        </w:tc>
        <w:tc>
          <w:tcPr>
            <w:tcW w:w="636" w:type="dxa"/>
          </w:tcPr>
          <w:p w14:paraId="203ED8C2" w14:textId="77777777" w:rsidR="00B67D7C" w:rsidRPr="00DE096C" w:rsidRDefault="00B67D7C" w:rsidP="00D45A46">
            <w:pPr>
              <w:jc w:val="both"/>
              <w:rPr>
                <w:bCs/>
                <w:color w:val="002060"/>
                <w:sz w:val="16"/>
                <w:szCs w:val="16"/>
              </w:rPr>
            </w:pPr>
            <w:r w:rsidRPr="00DE096C">
              <w:rPr>
                <w:bCs/>
                <w:color w:val="002060"/>
                <w:sz w:val="16"/>
                <w:szCs w:val="16"/>
              </w:rPr>
              <w:t>14,5</w:t>
            </w:r>
          </w:p>
        </w:tc>
        <w:tc>
          <w:tcPr>
            <w:tcW w:w="641" w:type="dxa"/>
          </w:tcPr>
          <w:p w14:paraId="260E55B5" w14:textId="77777777" w:rsidR="00B67D7C" w:rsidRPr="00DE096C" w:rsidRDefault="00B67D7C" w:rsidP="00D45A46">
            <w:pPr>
              <w:jc w:val="both"/>
              <w:rPr>
                <w:bCs/>
                <w:color w:val="002060"/>
                <w:sz w:val="16"/>
                <w:szCs w:val="16"/>
              </w:rPr>
            </w:pPr>
            <w:r w:rsidRPr="00DE096C">
              <w:rPr>
                <w:bCs/>
                <w:color w:val="002060"/>
                <w:sz w:val="16"/>
                <w:szCs w:val="16"/>
              </w:rPr>
              <w:t>9,5</w:t>
            </w:r>
          </w:p>
        </w:tc>
        <w:tc>
          <w:tcPr>
            <w:tcW w:w="636" w:type="dxa"/>
          </w:tcPr>
          <w:p w14:paraId="0EFAC252" w14:textId="77777777" w:rsidR="00B67D7C" w:rsidRPr="00DE096C" w:rsidRDefault="00B67D7C" w:rsidP="00D45A46">
            <w:pPr>
              <w:jc w:val="both"/>
              <w:rPr>
                <w:bCs/>
                <w:color w:val="002060"/>
                <w:sz w:val="16"/>
                <w:szCs w:val="16"/>
              </w:rPr>
            </w:pPr>
            <w:r w:rsidRPr="00DE096C">
              <w:rPr>
                <w:bCs/>
                <w:color w:val="002060"/>
                <w:sz w:val="16"/>
                <w:szCs w:val="16"/>
              </w:rPr>
              <w:t xml:space="preserve">33,7 </w:t>
            </w:r>
          </w:p>
        </w:tc>
        <w:tc>
          <w:tcPr>
            <w:tcW w:w="641" w:type="dxa"/>
          </w:tcPr>
          <w:p w14:paraId="44FD74CB" w14:textId="77777777" w:rsidR="00B67D7C" w:rsidRPr="00DE096C" w:rsidRDefault="00B67D7C" w:rsidP="00D45A46">
            <w:pPr>
              <w:jc w:val="both"/>
              <w:rPr>
                <w:bCs/>
                <w:color w:val="002060"/>
                <w:sz w:val="16"/>
                <w:szCs w:val="16"/>
              </w:rPr>
            </w:pPr>
            <w:r w:rsidRPr="00DE096C">
              <w:rPr>
                <w:bCs/>
                <w:color w:val="002060"/>
                <w:sz w:val="16"/>
                <w:szCs w:val="16"/>
              </w:rPr>
              <w:t>28,0</w:t>
            </w:r>
          </w:p>
        </w:tc>
      </w:tr>
      <w:tr w:rsidR="00B67D7C" w:rsidRPr="00DE096C" w14:paraId="13868765" w14:textId="77777777" w:rsidTr="00C2024A">
        <w:tc>
          <w:tcPr>
            <w:tcW w:w="837" w:type="dxa"/>
          </w:tcPr>
          <w:p w14:paraId="3A8CBEE0" w14:textId="77777777" w:rsidR="00B67D7C" w:rsidRPr="00DE096C" w:rsidRDefault="00B67D7C" w:rsidP="00D45A46">
            <w:pPr>
              <w:jc w:val="both"/>
              <w:rPr>
                <w:bCs/>
                <w:color w:val="002060"/>
                <w:sz w:val="16"/>
                <w:szCs w:val="16"/>
              </w:rPr>
            </w:pPr>
            <w:r w:rsidRPr="00DE096C">
              <w:rPr>
                <w:bCs/>
                <w:color w:val="002060"/>
                <w:sz w:val="16"/>
                <w:szCs w:val="16"/>
              </w:rPr>
              <w:t>Июнь</w:t>
            </w:r>
          </w:p>
        </w:tc>
        <w:tc>
          <w:tcPr>
            <w:tcW w:w="636" w:type="dxa"/>
          </w:tcPr>
          <w:p w14:paraId="4483593D" w14:textId="77777777" w:rsidR="00B67D7C" w:rsidRPr="00DE096C" w:rsidRDefault="00B67D7C" w:rsidP="00D45A46">
            <w:pPr>
              <w:jc w:val="both"/>
              <w:rPr>
                <w:bCs/>
                <w:color w:val="002060"/>
                <w:sz w:val="16"/>
                <w:szCs w:val="16"/>
              </w:rPr>
            </w:pPr>
            <w:r w:rsidRPr="00DE096C">
              <w:rPr>
                <w:bCs/>
                <w:color w:val="002060"/>
                <w:sz w:val="16"/>
                <w:szCs w:val="16"/>
              </w:rPr>
              <w:t>116,5</w:t>
            </w:r>
          </w:p>
        </w:tc>
        <w:tc>
          <w:tcPr>
            <w:tcW w:w="641" w:type="dxa"/>
          </w:tcPr>
          <w:p w14:paraId="7E034608" w14:textId="77777777" w:rsidR="00B67D7C" w:rsidRPr="00DE096C" w:rsidRDefault="00B67D7C" w:rsidP="00D45A46">
            <w:pPr>
              <w:jc w:val="both"/>
              <w:rPr>
                <w:bCs/>
                <w:color w:val="002060"/>
                <w:sz w:val="16"/>
                <w:szCs w:val="16"/>
              </w:rPr>
            </w:pPr>
            <w:r w:rsidRPr="00DE096C">
              <w:rPr>
                <w:bCs/>
                <w:color w:val="002060"/>
                <w:sz w:val="16"/>
                <w:szCs w:val="16"/>
              </w:rPr>
              <w:t>12,8</w:t>
            </w:r>
          </w:p>
        </w:tc>
        <w:tc>
          <w:tcPr>
            <w:tcW w:w="636" w:type="dxa"/>
          </w:tcPr>
          <w:p w14:paraId="5EA2AF0B" w14:textId="77777777" w:rsidR="00B67D7C" w:rsidRPr="00DE096C" w:rsidRDefault="00B67D7C" w:rsidP="00D45A46">
            <w:pPr>
              <w:jc w:val="both"/>
              <w:rPr>
                <w:bCs/>
                <w:color w:val="002060"/>
                <w:sz w:val="16"/>
                <w:szCs w:val="16"/>
              </w:rPr>
            </w:pPr>
            <w:r w:rsidRPr="00DE096C">
              <w:rPr>
                <w:bCs/>
                <w:color w:val="002060"/>
                <w:sz w:val="16"/>
                <w:szCs w:val="16"/>
              </w:rPr>
              <w:t xml:space="preserve">33,7 </w:t>
            </w:r>
          </w:p>
        </w:tc>
        <w:tc>
          <w:tcPr>
            <w:tcW w:w="641" w:type="dxa"/>
          </w:tcPr>
          <w:p w14:paraId="222228DE" w14:textId="77777777" w:rsidR="00B67D7C" w:rsidRPr="00DE096C" w:rsidRDefault="00B67D7C" w:rsidP="00D45A46">
            <w:pPr>
              <w:jc w:val="both"/>
              <w:rPr>
                <w:bCs/>
                <w:color w:val="002060"/>
                <w:sz w:val="16"/>
                <w:szCs w:val="16"/>
              </w:rPr>
            </w:pPr>
            <w:r w:rsidRPr="00DE096C">
              <w:rPr>
                <w:bCs/>
                <w:color w:val="002060"/>
                <w:sz w:val="16"/>
                <w:szCs w:val="16"/>
              </w:rPr>
              <w:t>28,0</w:t>
            </w:r>
          </w:p>
        </w:tc>
      </w:tr>
      <w:tr w:rsidR="00B67D7C" w:rsidRPr="00DE096C" w14:paraId="7DD2C43D" w14:textId="77777777" w:rsidTr="00C2024A">
        <w:tc>
          <w:tcPr>
            <w:tcW w:w="837" w:type="dxa"/>
          </w:tcPr>
          <w:p w14:paraId="2B04F0C1" w14:textId="77777777" w:rsidR="00B67D7C" w:rsidRPr="00DE096C" w:rsidRDefault="00B67D7C" w:rsidP="00D45A46">
            <w:pPr>
              <w:jc w:val="both"/>
              <w:rPr>
                <w:bCs/>
                <w:color w:val="002060"/>
                <w:sz w:val="16"/>
                <w:szCs w:val="16"/>
              </w:rPr>
            </w:pPr>
            <w:r w:rsidRPr="00DE096C">
              <w:rPr>
                <w:bCs/>
                <w:color w:val="002060"/>
                <w:sz w:val="16"/>
                <w:szCs w:val="16"/>
              </w:rPr>
              <w:t>Июль</w:t>
            </w:r>
          </w:p>
        </w:tc>
        <w:tc>
          <w:tcPr>
            <w:tcW w:w="636" w:type="dxa"/>
          </w:tcPr>
          <w:p w14:paraId="7794E564" w14:textId="77777777" w:rsidR="00B67D7C" w:rsidRPr="00DE096C" w:rsidRDefault="00B67D7C" w:rsidP="00D45A46">
            <w:pPr>
              <w:jc w:val="both"/>
              <w:rPr>
                <w:bCs/>
                <w:color w:val="002060"/>
                <w:sz w:val="16"/>
                <w:szCs w:val="16"/>
              </w:rPr>
            </w:pPr>
            <w:r w:rsidRPr="00DE096C">
              <w:rPr>
                <w:bCs/>
                <w:color w:val="002060"/>
                <w:sz w:val="16"/>
                <w:szCs w:val="16"/>
              </w:rPr>
              <w:t>126,7</w:t>
            </w:r>
          </w:p>
        </w:tc>
        <w:tc>
          <w:tcPr>
            <w:tcW w:w="641" w:type="dxa"/>
          </w:tcPr>
          <w:p w14:paraId="26311FE5" w14:textId="77777777" w:rsidR="00B67D7C" w:rsidRPr="00DE096C" w:rsidRDefault="00B67D7C" w:rsidP="00D45A46">
            <w:pPr>
              <w:jc w:val="both"/>
              <w:rPr>
                <w:bCs/>
                <w:color w:val="002060"/>
                <w:sz w:val="16"/>
                <w:szCs w:val="16"/>
              </w:rPr>
            </w:pPr>
            <w:r w:rsidRPr="00DE096C">
              <w:rPr>
                <w:bCs/>
                <w:color w:val="002060"/>
                <w:sz w:val="16"/>
                <w:szCs w:val="16"/>
              </w:rPr>
              <w:t>12,5</w:t>
            </w:r>
          </w:p>
        </w:tc>
        <w:tc>
          <w:tcPr>
            <w:tcW w:w="636" w:type="dxa"/>
          </w:tcPr>
          <w:p w14:paraId="45A163B1" w14:textId="77777777" w:rsidR="00B67D7C" w:rsidRPr="00DE096C" w:rsidRDefault="00B67D7C" w:rsidP="00D45A46">
            <w:pPr>
              <w:jc w:val="both"/>
              <w:rPr>
                <w:bCs/>
                <w:color w:val="002060"/>
                <w:sz w:val="16"/>
                <w:szCs w:val="16"/>
              </w:rPr>
            </w:pPr>
            <w:r w:rsidRPr="00DE096C">
              <w:rPr>
                <w:bCs/>
                <w:color w:val="002060"/>
                <w:sz w:val="16"/>
                <w:szCs w:val="16"/>
              </w:rPr>
              <w:t xml:space="preserve">— </w:t>
            </w:r>
          </w:p>
        </w:tc>
        <w:tc>
          <w:tcPr>
            <w:tcW w:w="641" w:type="dxa"/>
          </w:tcPr>
          <w:p w14:paraId="5B7A4C6C" w14:textId="77777777" w:rsidR="00B67D7C" w:rsidRPr="00DE096C" w:rsidRDefault="00B67D7C" w:rsidP="00D45A46">
            <w:pPr>
              <w:jc w:val="both"/>
              <w:rPr>
                <w:bCs/>
                <w:color w:val="002060"/>
                <w:sz w:val="16"/>
                <w:szCs w:val="16"/>
              </w:rPr>
            </w:pPr>
            <w:r w:rsidRPr="00DE096C">
              <w:rPr>
                <w:bCs/>
                <w:color w:val="002060"/>
                <w:sz w:val="16"/>
                <w:szCs w:val="16"/>
              </w:rPr>
              <w:t>—</w:t>
            </w:r>
          </w:p>
        </w:tc>
      </w:tr>
      <w:tr w:rsidR="00B67D7C" w:rsidRPr="00DE096C" w14:paraId="115D8619" w14:textId="77777777" w:rsidTr="00C2024A">
        <w:tc>
          <w:tcPr>
            <w:tcW w:w="837" w:type="dxa"/>
          </w:tcPr>
          <w:p w14:paraId="19BF65C7" w14:textId="77777777" w:rsidR="00B67D7C" w:rsidRPr="00DE096C" w:rsidRDefault="00B67D7C" w:rsidP="00D45A46">
            <w:pPr>
              <w:jc w:val="both"/>
              <w:rPr>
                <w:bCs/>
                <w:color w:val="002060"/>
                <w:sz w:val="16"/>
                <w:szCs w:val="16"/>
              </w:rPr>
            </w:pPr>
            <w:r w:rsidRPr="00DE096C">
              <w:rPr>
                <w:bCs/>
                <w:color w:val="002060"/>
                <w:sz w:val="16"/>
                <w:szCs w:val="16"/>
              </w:rPr>
              <w:t>Август</w:t>
            </w:r>
          </w:p>
        </w:tc>
        <w:tc>
          <w:tcPr>
            <w:tcW w:w="636" w:type="dxa"/>
          </w:tcPr>
          <w:p w14:paraId="5EB04275" w14:textId="77777777" w:rsidR="00B67D7C" w:rsidRPr="00DE096C" w:rsidRDefault="00B67D7C" w:rsidP="00D45A46">
            <w:pPr>
              <w:jc w:val="both"/>
              <w:rPr>
                <w:bCs/>
                <w:color w:val="002060"/>
                <w:sz w:val="16"/>
                <w:szCs w:val="16"/>
              </w:rPr>
            </w:pPr>
            <w:r w:rsidRPr="00DE096C">
              <w:rPr>
                <w:bCs/>
                <w:color w:val="002060"/>
                <w:sz w:val="16"/>
                <w:szCs w:val="16"/>
              </w:rPr>
              <w:t>15,1</w:t>
            </w:r>
          </w:p>
        </w:tc>
        <w:tc>
          <w:tcPr>
            <w:tcW w:w="641" w:type="dxa"/>
          </w:tcPr>
          <w:p w14:paraId="2AF26111" w14:textId="77777777" w:rsidR="00B67D7C" w:rsidRPr="00DE096C" w:rsidRDefault="00B67D7C" w:rsidP="00D45A46">
            <w:pPr>
              <w:jc w:val="both"/>
              <w:rPr>
                <w:bCs/>
                <w:color w:val="002060"/>
                <w:sz w:val="16"/>
                <w:szCs w:val="16"/>
              </w:rPr>
            </w:pPr>
            <w:r w:rsidRPr="00DE096C">
              <w:rPr>
                <w:bCs/>
                <w:color w:val="002060"/>
                <w:sz w:val="16"/>
                <w:szCs w:val="16"/>
              </w:rPr>
              <w:t>12,4</w:t>
            </w:r>
          </w:p>
        </w:tc>
        <w:tc>
          <w:tcPr>
            <w:tcW w:w="636" w:type="dxa"/>
          </w:tcPr>
          <w:p w14:paraId="2F82857F" w14:textId="77777777" w:rsidR="00B67D7C" w:rsidRPr="00DE096C" w:rsidRDefault="00B67D7C" w:rsidP="00D45A46">
            <w:pPr>
              <w:jc w:val="both"/>
              <w:rPr>
                <w:bCs/>
                <w:color w:val="002060"/>
                <w:sz w:val="16"/>
                <w:szCs w:val="16"/>
              </w:rPr>
            </w:pPr>
            <w:r w:rsidRPr="00DE096C">
              <w:rPr>
                <w:bCs/>
                <w:color w:val="002060"/>
                <w:sz w:val="16"/>
                <w:szCs w:val="16"/>
              </w:rPr>
              <w:t xml:space="preserve">— </w:t>
            </w:r>
          </w:p>
        </w:tc>
        <w:tc>
          <w:tcPr>
            <w:tcW w:w="641" w:type="dxa"/>
          </w:tcPr>
          <w:p w14:paraId="3D481514" w14:textId="77777777" w:rsidR="00B67D7C" w:rsidRPr="00DE096C" w:rsidRDefault="00B67D7C" w:rsidP="00D45A46">
            <w:pPr>
              <w:jc w:val="both"/>
              <w:rPr>
                <w:bCs/>
                <w:color w:val="002060"/>
                <w:sz w:val="16"/>
                <w:szCs w:val="16"/>
              </w:rPr>
            </w:pPr>
            <w:r w:rsidRPr="00DE096C">
              <w:rPr>
                <w:bCs/>
                <w:color w:val="002060"/>
                <w:sz w:val="16"/>
                <w:szCs w:val="16"/>
              </w:rPr>
              <w:t>—</w:t>
            </w:r>
          </w:p>
        </w:tc>
      </w:tr>
      <w:tr w:rsidR="00B67D7C" w:rsidRPr="00DE096C" w14:paraId="3228FD99" w14:textId="77777777" w:rsidTr="00C2024A">
        <w:tc>
          <w:tcPr>
            <w:tcW w:w="837" w:type="dxa"/>
          </w:tcPr>
          <w:p w14:paraId="4BEE1ACA" w14:textId="77777777" w:rsidR="00B67D7C" w:rsidRPr="00DE096C" w:rsidRDefault="00B67D7C" w:rsidP="00D45A46">
            <w:pPr>
              <w:jc w:val="both"/>
              <w:rPr>
                <w:bCs/>
                <w:color w:val="002060"/>
                <w:sz w:val="16"/>
                <w:szCs w:val="16"/>
              </w:rPr>
            </w:pPr>
            <w:r w:rsidRPr="00DE096C">
              <w:rPr>
                <w:bCs/>
                <w:color w:val="002060"/>
                <w:sz w:val="16"/>
                <w:szCs w:val="16"/>
              </w:rPr>
              <w:t>Сентябрь</w:t>
            </w:r>
          </w:p>
        </w:tc>
        <w:tc>
          <w:tcPr>
            <w:tcW w:w="636" w:type="dxa"/>
          </w:tcPr>
          <w:p w14:paraId="08868995" w14:textId="77777777" w:rsidR="00B67D7C" w:rsidRPr="00DE096C" w:rsidRDefault="00B67D7C" w:rsidP="00D45A46">
            <w:pPr>
              <w:jc w:val="both"/>
              <w:rPr>
                <w:bCs/>
                <w:color w:val="002060"/>
                <w:sz w:val="16"/>
                <w:szCs w:val="16"/>
              </w:rPr>
            </w:pPr>
            <w:r w:rsidRPr="00DE096C">
              <w:rPr>
                <w:bCs/>
                <w:color w:val="002060"/>
                <w:sz w:val="16"/>
                <w:szCs w:val="16"/>
              </w:rPr>
              <w:t>18,3</w:t>
            </w:r>
          </w:p>
        </w:tc>
        <w:tc>
          <w:tcPr>
            <w:tcW w:w="641" w:type="dxa"/>
          </w:tcPr>
          <w:p w14:paraId="2C58D692" w14:textId="77777777" w:rsidR="00B67D7C" w:rsidRPr="00DE096C" w:rsidRDefault="00B67D7C" w:rsidP="00D45A46">
            <w:pPr>
              <w:jc w:val="both"/>
              <w:rPr>
                <w:bCs/>
                <w:color w:val="002060"/>
                <w:sz w:val="16"/>
                <w:szCs w:val="16"/>
              </w:rPr>
            </w:pPr>
            <w:r w:rsidRPr="00DE096C">
              <w:rPr>
                <w:bCs/>
                <w:color w:val="002060"/>
                <w:sz w:val="16"/>
                <w:szCs w:val="16"/>
              </w:rPr>
              <w:t>14,3</w:t>
            </w:r>
          </w:p>
        </w:tc>
        <w:tc>
          <w:tcPr>
            <w:tcW w:w="636" w:type="dxa"/>
          </w:tcPr>
          <w:p w14:paraId="672C76C7" w14:textId="77777777" w:rsidR="00B67D7C" w:rsidRPr="00DE096C" w:rsidRDefault="00B67D7C" w:rsidP="00D45A46">
            <w:pPr>
              <w:jc w:val="both"/>
              <w:rPr>
                <w:bCs/>
                <w:color w:val="002060"/>
                <w:sz w:val="16"/>
                <w:szCs w:val="16"/>
              </w:rPr>
            </w:pPr>
            <w:r w:rsidRPr="00DE096C">
              <w:rPr>
                <w:bCs/>
                <w:color w:val="002060"/>
                <w:sz w:val="16"/>
                <w:szCs w:val="16"/>
              </w:rPr>
              <w:t xml:space="preserve">— </w:t>
            </w:r>
          </w:p>
        </w:tc>
        <w:tc>
          <w:tcPr>
            <w:tcW w:w="641" w:type="dxa"/>
          </w:tcPr>
          <w:p w14:paraId="2FD5A508" w14:textId="77777777" w:rsidR="00B67D7C" w:rsidRPr="00DE096C" w:rsidRDefault="00B67D7C" w:rsidP="00D45A46">
            <w:pPr>
              <w:jc w:val="both"/>
              <w:rPr>
                <w:bCs/>
                <w:color w:val="002060"/>
                <w:sz w:val="16"/>
                <w:szCs w:val="16"/>
              </w:rPr>
            </w:pPr>
            <w:r w:rsidRPr="00DE096C">
              <w:rPr>
                <w:bCs/>
                <w:color w:val="002060"/>
                <w:sz w:val="16"/>
                <w:szCs w:val="16"/>
              </w:rPr>
              <w:t>—</w:t>
            </w:r>
          </w:p>
        </w:tc>
      </w:tr>
      <w:tr w:rsidR="00B67D7C" w:rsidRPr="00DE096C" w14:paraId="72107F96" w14:textId="77777777" w:rsidTr="00C2024A">
        <w:tc>
          <w:tcPr>
            <w:tcW w:w="837" w:type="dxa"/>
          </w:tcPr>
          <w:p w14:paraId="69959A51" w14:textId="77777777" w:rsidR="00B67D7C" w:rsidRPr="00DE096C" w:rsidRDefault="00B67D7C" w:rsidP="00D45A46">
            <w:pPr>
              <w:jc w:val="both"/>
              <w:rPr>
                <w:bCs/>
                <w:color w:val="002060"/>
                <w:sz w:val="16"/>
                <w:szCs w:val="16"/>
              </w:rPr>
            </w:pPr>
            <w:r w:rsidRPr="00DE096C">
              <w:rPr>
                <w:bCs/>
                <w:color w:val="002060"/>
                <w:sz w:val="16"/>
                <w:szCs w:val="16"/>
              </w:rPr>
              <w:t>Октябрь</w:t>
            </w:r>
          </w:p>
        </w:tc>
        <w:tc>
          <w:tcPr>
            <w:tcW w:w="636" w:type="dxa"/>
          </w:tcPr>
          <w:p w14:paraId="2B4DF70F" w14:textId="77777777" w:rsidR="00B67D7C" w:rsidRPr="00DE096C" w:rsidRDefault="00B67D7C" w:rsidP="00D45A46">
            <w:pPr>
              <w:jc w:val="both"/>
              <w:rPr>
                <w:bCs/>
                <w:color w:val="002060"/>
                <w:sz w:val="16"/>
                <w:szCs w:val="16"/>
              </w:rPr>
            </w:pPr>
            <w:r w:rsidRPr="00DE096C">
              <w:rPr>
                <w:bCs/>
                <w:color w:val="002060"/>
                <w:sz w:val="16"/>
                <w:szCs w:val="16"/>
              </w:rPr>
              <w:t>22,3</w:t>
            </w:r>
          </w:p>
        </w:tc>
        <w:tc>
          <w:tcPr>
            <w:tcW w:w="641" w:type="dxa"/>
          </w:tcPr>
          <w:p w14:paraId="690BC7EC" w14:textId="77777777" w:rsidR="00B67D7C" w:rsidRPr="00DE096C" w:rsidRDefault="00B67D7C" w:rsidP="00D45A46">
            <w:pPr>
              <w:jc w:val="both"/>
              <w:rPr>
                <w:bCs/>
                <w:color w:val="002060"/>
                <w:sz w:val="16"/>
                <w:szCs w:val="16"/>
              </w:rPr>
            </w:pPr>
            <w:r w:rsidRPr="00DE096C">
              <w:rPr>
                <w:bCs/>
                <w:color w:val="002060"/>
                <w:sz w:val="16"/>
                <w:szCs w:val="16"/>
              </w:rPr>
              <w:t>16,7</w:t>
            </w:r>
          </w:p>
        </w:tc>
        <w:tc>
          <w:tcPr>
            <w:tcW w:w="636" w:type="dxa"/>
          </w:tcPr>
          <w:p w14:paraId="0401A1E6" w14:textId="77777777" w:rsidR="00B67D7C" w:rsidRPr="00DE096C" w:rsidRDefault="00B67D7C" w:rsidP="00D45A46">
            <w:pPr>
              <w:jc w:val="both"/>
              <w:rPr>
                <w:bCs/>
                <w:color w:val="002060"/>
                <w:sz w:val="16"/>
                <w:szCs w:val="16"/>
              </w:rPr>
            </w:pPr>
            <w:r w:rsidRPr="00DE096C">
              <w:rPr>
                <w:bCs/>
                <w:color w:val="002060"/>
                <w:sz w:val="16"/>
                <w:szCs w:val="16"/>
              </w:rPr>
              <w:t xml:space="preserve">— </w:t>
            </w:r>
          </w:p>
        </w:tc>
        <w:tc>
          <w:tcPr>
            <w:tcW w:w="641" w:type="dxa"/>
          </w:tcPr>
          <w:p w14:paraId="4DAC9D04" w14:textId="77777777" w:rsidR="00B67D7C" w:rsidRPr="00DE096C" w:rsidRDefault="00B67D7C" w:rsidP="00D45A46">
            <w:pPr>
              <w:jc w:val="both"/>
              <w:rPr>
                <w:bCs/>
                <w:color w:val="002060"/>
                <w:sz w:val="16"/>
                <w:szCs w:val="16"/>
              </w:rPr>
            </w:pPr>
            <w:r w:rsidRPr="00DE096C">
              <w:rPr>
                <w:bCs/>
                <w:color w:val="002060"/>
                <w:sz w:val="16"/>
                <w:szCs w:val="16"/>
              </w:rPr>
              <w:t>—</w:t>
            </w:r>
          </w:p>
        </w:tc>
      </w:tr>
      <w:tr w:rsidR="00B67D7C" w:rsidRPr="00DE096C" w14:paraId="4387E10C" w14:textId="77777777" w:rsidTr="00C2024A">
        <w:tc>
          <w:tcPr>
            <w:tcW w:w="837" w:type="dxa"/>
          </w:tcPr>
          <w:p w14:paraId="7DFB9539" w14:textId="77777777" w:rsidR="00B67D7C" w:rsidRPr="00DE096C" w:rsidRDefault="00B67D7C" w:rsidP="00D45A46">
            <w:pPr>
              <w:jc w:val="both"/>
              <w:rPr>
                <w:bCs/>
                <w:color w:val="002060"/>
                <w:sz w:val="16"/>
                <w:szCs w:val="16"/>
              </w:rPr>
            </w:pPr>
            <w:r w:rsidRPr="00DE096C">
              <w:rPr>
                <w:bCs/>
                <w:color w:val="002060"/>
                <w:sz w:val="16"/>
                <w:szCs w:val="16"/>
              </w:rPr>
              <w:t>Ноябрь</w:t>
            </w:r>
          </w:p>
        </w:tc>
        <w:tc>
          <w:tcPr>
            <w:tcW w:w="636" w:type="dxa"/>
          </w:tcPr>
          <w:p w14:paraId="3798B61A" w14:textId="77777777" w:rsidR="00B67D7C" w:rsidRPr="00DE096C" w:rsidRDefault="00B67D7C" w:rsidP="00D45A46">
            <w:pPr>
              <w:jc w:val="both"/>
              <w:rPr>
                <w:bCs/>
                <w:color w:val="002060"/>
                <w:sz w:val="16"/>
                <w:szCs w:val="16"/>
              </w:rPr>
            </w:pPr>
            <w:r w:rsidRPr="00DE096C">
              <w:rPr>
                <w:bCs/>
                <w:color w:val="002060"/>
                <w:sz w:val="16"/>
                <w:szCs w:val="16"/>
              </w:rPr>
              <w:t>19,7</w:t>
            </w:r>
          </w:p>
        </w:tc>
        <w:tc>
          <w:tcPr>
            <w:tcW w:w="641" w:type="dxa"/>
          </w:tcPr>
          <w:p w14:paraId="788EC9CD" w14:textId="77777777" w:rsidR="00B67D7C" w:rsidRPr="00DE096C" w:rsidRDefault="00B67D7C" w:rsidP="00D45A46">
            <w:pPr>
              <w:jc w:val="both"/>
              <w:rPr>
                <w:bCs/>
                <w:color w:val="002060"/>
                <w:sz w:val="16"/>
                <w:szCs w:val="16"/>
              </w:rPr>
            </w:pPr>
            <w:r w:rsidRPr="00DE096C">
              <w:rPr>
                <w:bCs/>
                <w:color w:val="002060"/>
                <w:sz w:val="16"/>
                <w:szCs w:val="16"/>
              </w:rPr>
              <w:t>15,4</w:t>
            </w:r>
          </w:p>
        </w:tc>
        <w:tc>
          <w:tcPr>
            <w:tcW w:w="636" w:type="dxa"/>
          </w:tcPr>
          <w:p w14:paraId="18E0ACD2" w14:textId="77777777" w:rsidR="00B67D7C" w:rsidRPr="00DE096C" w:rsidRDefault="00B67D7C" w:rsidP="00D45A46">
            <w:pPr>
              <w:jc w:val="both"/>
              <w:rPr>
                <w:bCs/>
                <w:color w:val="002060"/>
                <w:sz w:val="16"/>
                <w:szCs w:val="16"/>
              </w:rPr>
            </w:pPr>
            <w:r w:rsidRPr="00DE096C">
              <w:rPr>
                <w:bCs/>
                <w:color w:val="002060"/>
                <w:sz w:val="16"/>
                <w:szCs w:val="16"/>
              </w:rPr>
              <w:t xml:space="preserve">— </w:t>
            </w:r>
          </w:p>
        </w:tc>
        <w:tc>
          <w:tcPr>
            <w:tcW w:w="641" w:type="dxa"/>
          </w:tcPr>
          <w:p w14:paraId="7E52A4C4" w14:textId="77777777" w:rsidR="00B67D7C" w:rsidRPr="00DE096C" w:rsidRDefault="00B67D7C" w:rsidP="00D45A46">
            <w:pPr>
              <w:jc w:val="both"/>
              <w:rPr>
                <w:bCs/>
                <w:color w:val="002060"/>
                <w:sz w:val="16"/>
                <w:szCs w:val="16"/>
              </w:rPr>
            </w:pPr>
            <w:r w:rsidRPr="00DE096C">
              <w:rPr>
                <w:bCs/>
                <w:color w:val="002060"/>
                <w:sz w:val="16"/>
                <w:szCs w:val="16"/>
              </w:rPr>
              <w:t>—</w:t>
            </w:r>
          </w:p>
        </w:tc>
      </w:tr>
      <w:tr w:rsidR="00B67D7C" w:rsidRPr="00DE096C" w14:paraId="54D6ED5F" w14:textId="77777777" w:rsidTr="00C2024A">
        <w:tc>
          <w:tcPr>
            <w:tcW w:w="837" w:type="dxa"/>
          </w:tcPr>
          <w:p w14:paraId="4ED16E4A" w14:textId="77777777" w:rsidR="00B67D7C" w:rsidRPr="00DE096C" w:rsidRDefault="00B67D7C" w:rsidP="00D45A46">
            <w:pPr>
              <w:jc w:val="both"/>
              <w:rPr>
                <w:bCs/>
                <w:color w:val="002060"/>
                <w:sz w:val="16"/>
                <w:szCs w:val="16"/>
              </w:rPr>
            </w:pPr>
            <w:r w:rsidRPr="00DE096C">
              <w:rPr>
                <w:bCs/>
                <w:color w:val="002060"/>
                <w:sz w:val="16"/>
                <w:szCs w:val="16"/>
              </w:rPr>
              <w:t>Декабрь</w:t>
            </w:r>
          </w:p>
        </w:tc>
        <w:tc>
          <w:tcPr>
            <w:tcW w:w="636" w:type="dxa"/>
          </w:tcPr>
          <w:p w14:paraId="5380DA0F" w14:textId="77777777" w:rsidR="00B67D7C" w:rsidRPr="00DE096C" w:rsidRDefault="00B67D7C" w:rsidP="00D45A46">
            <w:pPr>
              <w:jc w:val="both"/>
              <w:rPr>
                <w:bCs/>
                <w:color w:val="002060"/>
                <w:sz w:val="16"/>
                <w:szCs w:val="16"/>
              </w:rPr>
            </w:pPr>
            <w:r w:rsidRPr="00DE096C">
              <w:rPr>
                <w:bCs/>
                <w:color w:val="002060"/>
                <w:sz w:val="16"/>
                <w:szCs w:val="16"/>
              </w:rPr>
              <w:t>26,7</w:t>
            </w:r>
          </w:p>
        </w:tc>
        <w:tc>
          <w:tcPr>
            <w:tcW w:w="641" w:type="dxa"/>
          </w:tcPr>
          <w:p w14:paraId="113A4EBD" w14:textId="77777777" w:rsidR="00B67D7C" w:rsidRPr="00DE096C" w:rsidRDefault="00B67D7C" w:rsidP="00D45A46">
            <w:pPr>
              <w:jc w:val="both"/>
              <w:rPr>
                <w:bCs/>
                <w:color w:val="002060"/>
                <w:sz w:val="16"/>
                <w:szCs w:val="16"/>
              </w:rPr>
            </w:pPr>
            <w:r w:rsidRPr="00DE096C">
              <w:rPr>
                <w:bCs/>
                <w:color w:val="002060"/>
                <w:sz w:val="16"/>
                <w:szCs w:val="16"/>
              </w:rPr>
              <w:t>18,7</w:t>
            </w:r>
          </w:p>
        </w:tc>
        <w:tc>
          <w:tcPr>
            <w:tcW w:w="636" w:type="dxa"/>
          </w:tcPr>
          <w:p w14:paraId="04EB619C" w14:textId="77777777" w:rsidR="00B67D7C" w:rsidRPr="00DE096C" w:rsidRDefault="00B67D7C" w:rsidP="00D45A46">
            <w:pPr>
              <w:jc w:val="both"/>
              <w:rPr>
                <w:bCs/>
                <w:color w:val="002060"/>
                <w:sz w:val="16"/>
                <w:szCs w:val="16"/>
              </w:rPr>
            </w:pPr>
            <w:r w:rsidRPr="00DE096C">
              <w:rPr>
                <w:bCs/>
                <w:color w:val="002060"/>
                <w:sz w:val="16"/>
                <w:szCs w:val="16"/>
              </w:rPr>
              <w:t xml:space="preserve">— </w:t>
            </w:r>
          </w:p>
        </w:tc>
        <w:tc>
          <w:tcPr>
            <w:tcW w:w="641" w:type="dxa"/>
          </w:tcPr>
          <w:p w14:paraId="550C52F2" w14:textId="77777777" w:rsidR="00B67D7C" w:rsidRPr="00DE096C" w:rsidRDefault="00B67D7C" w:rsidP="00D45A46">
            <w:pPr>
              <w:jc w:val="both"/>
              <w:rPr>
                <w:bCs/>
                <w:color w:val="002060"/>
                <w:sz w:val="16"/>
                <w:szCs w:val="16"/>
              </w:rPr>
            </w:pPr>
            <w:r w:rsidRPr="00DE096C">
              <w:rPr>
                <w:bCs/>
                <w:color w:val="002060"/>
                <w:sz w:val="16"/>
                <w:szCs w:val="16"/>
              </w:rPr>
              <w:t>—</w:t>
            </w:r>
          </w:p>
        </w:tc>
      </w:tr>
      <w:tr w:rsidR="00B67D7C" w:rsidRPr="00DE096C" w14:paraId="537B856B" w14:textId="77777777" w:rsidTr="00C2024A">
        <w:tc>
          <w:tcPr>
            <w:tcW w:w="837" w:type="dxa"/>
          </w:tcPr>
          <w:p w14:paraId="545D3F16" w14:textId="77777777" w:rsidR="00B67D7C" w:rsidRPr="00DE096C" w:rsidRDefault="00B67D7C" w:rsidP="00D45A46">
            <w:pPr>
              <w:jc w:val="both"/>
              <w:rPr>
                <w:bCs/>
                <w:color w:val="002060"/>
                <w:sz w:val="16"/>
                <w:szCs w:val="16"/>
              </w:rPr>
            </w:pPr>
            <w:r w:rsidRPr="00DE096C">
              <w:rPr>
                <w:bCs/>
                <w:color w:val="002060"/>
                <w:sz w:val="16"/>
                <w:szCs w:val="16"/>
              </w:rPr>
              <w:t>[Всего]</w:t>
            </w:r>
          </w:p>
        </w:tc>
        <w:tc>
          <w:tcPr>
            <w:tcW w:w="636" w:type="dxa"/>
          </w:tcPr>
          <w:p w14:paraId="184A0636" w14:textId="77777777" w:rsidR="00B67D7C" w:rsidRPr="00DE096C" w:rsidRDefault="00B67D7C" w:rsidP="00D45A46">
            <w:pPr>
              <w:jc w:val="both"/>
              <w:rPr>
                <w:bCs/>
                <w:color w:val="002060"/>
                <w:sz w:val="16"/>
                <w:szCs w:val="16"/>
              </w:rPr>
            </w:pPr>
            <w:r w:rsidRPr="00DE096C">
              <w:rPr>
                <w:bCs/>
                <w:color w:val="002060"/>
                <w:sz w:val="16"/>
                <w:szCs w:val="16"/>
              </w:rPr>
              <w:t>414,4</w:t>
            </w:r>
          </w:p>
        </w:tc>
        <w:tc>
          <w:tcPr>
            <w:tcW w:w="641" w:type="dxa"/>
          </w:tcPr>
          <w:p w14:paraId="6ADD0993" w14:textId="77777777" w:rsidR="00B67D7C" w:rsidRPr="00DE096C" w:rsidRDefault="00B67D7C" w:rsidP="00D45A46">
            <w:pPr>
              <w:jc w:val="both"/>
              <w:rPr>
                <w:bCs/>
                <w:color w:val="002060"/>
                <w:sz w:val="16"/>
                <w:szCs w:val="16"/>
              </w:rPr>
            </w:pPr>
            <w:r w:rsidRPr="00DE096C">
              <w:rPr>
                <w:bCs/>
                <w:color w:val="002060"/>
                <w:sz w:val="16"/>
                <w:szCs w:val="16"/>
              </w:rPr>
              <w:t>154,6</w:t>
            </w:r>
          </w:p>
        </w:tc>
        <w:tc>
          <w:tcPr>
            <w:tcW w:w="636" w:type="dxa"/>
          </w:tcPr>
          <w:p w14:paraId="3CC542F0" w14:textId="77777777" w:rsidR="00B67D7C" w:rsidRPr="00DE096C" w:rsidRDefault="00B67D7C" w:rsidP="00D45A46">
            <w:pPr>
              <w:jc w:val="both"/>
              <w:rPr>
                <w:bCs/>
                <w:color w:val="002060"/>
                <w:sz w:val="16"/>
                <w:szCs w:val="16"/>
              </w:rPr>
            </w:pPr>
            <w:r w:rsidRPr="00DE096C">
              <w:rPr>
                <w:bCs/>
                <w:color w:val="002060"/>
                <w:sz w:val="16"/>
                <w:szCs w:val="16"/>
              </w:rPr>
              <w:t>168,7</w:t>
            </w:r>
          </w:p>
        </w:tc>
        <w:tc>
          <w:tcPr>
            <w:tcW w:w="641" w:type="dxa"/>
          </w:tcPr>
          <w:p w14:paraId="76A5D8CF" w14:textId="77777777" w:rsidR="00B67D7C" w:rsidRPr="00DE096C" w:rsidRDefault="00B67D7C" w:rsidP="00D45A46">
            <w:pPr>
              <w:jc w:val="both"/>
              <w:rPr>
                <w:bCs/>
                <w:color w:val="002060"/>
                <w:sz w:val="16"/>
                <w:szCs w:val="16"/>
              </w:rPr>
            </w:pPr>
            <w:r w:rsidRPr="00DE096C">
              <w:rPr>
                <w:bCs/>
                <w:color w:val="002060"/>
                <w:sz w:val="16"/>
                <w:szCs w:val="16"/>
              </w:rPr>
              <w:t>139,8</w:t>
            </w:r>
          </w:p>
        </w:tc>
      </w:tr>
    </w:tbl>
    <w:p w14:paraId="44BA3C67" w14:textId="77777777" w:rsidR="00B67D7C" w:rsidRPr="00DE096C" w:rsidRDefault="00B67D7C" w:rsidP="00D45A46">
      <w:pPr>
        <w:jc w:val="both"/>
        <w:rPr>
          <w:bCs/>
          <w:color w:val="002060"/>
          <w:sz w:val="16"/>
          <w:szCs w:val="16"/>
        </w:rPr>
      </w:pPr>
      <w:r w:rsidRPr="00DE096C">
        <w:rPr>
          <w:bCs/>
          <w:color w:val="002060"/>
          <w:sz w:val="16"/>
          <w:szCs w:val="16"/>
        </w:rPr>
        <w:t xml:space="preserve">Цифры 1916 года показывают фактический выход продуктов. Для 1917 г. показан выход, предполагавшийся соответственно мощности заводов. Цифры выражают суммарный выход бензола и толуола, как нефтяного, так и каменноугольного. </w:t>
      </w:r>
    </w:p>
    <w:p w14:paraId="37AC0FCA" w14:textId="77777777" w:rsidR="00B67D7C" w:rsidRPr="00DE096C" w:rsidRDefault="00B67D7C" w:rsidP="00D45A46">
      <w:pPr>
        <w:jc w:val="both"/>
        <w:rPr>
          <w:bCs/>
          <w:color w:val="002060"/>
          <w:sz w:val="16"/>
          <w:szCs w:val="16"/>
        </w:rPr>
      </w:pPr>
      <w:r w:rsidRPr="00DE096C">
        <w:rPr>
          <w:bCs/>
          <w:color w:val="002060"/>
          <w:sz w:val="16"/>
          <w:szCs w:val="16"/>
        </w:rPr>
        <w:t xml:space="preserve">Количество каменноугольного продукта составляет от общего количества следующий процент: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896"/>
        <w:gridCol w:w="792"/>
      </w:tblGrid>
      <w:tr w:rsidR="00B67D7C" w:rsidRPr="00DE096C" w14:paraId="09C85717" w14:textId="77777777" w:rsidTr="00C2024A">
        <w:tc>
          <w:tcPr>
            <w:tcW w:w="1896" w:type="dxa"/>
          </w:tcPr>
          <w:p w14:paraId="5EE68016" w14:textId="77777777" w:rsidR="00B67D7C" w:rsidRPr="00DE096C" w:rsidRDefault="00B67D7C" w:rsidP="00D45A46">
            <w:pPr>
              <w:jc w:val="both"/>
              <w:rPr>
                <w:bCs/>
                <w:color w:val="002060"/>
                <w:sz w:val="16"/>
                <w:szCs w:val="16"/>
              </w:rPr>
            </w:pPr>
            <w:r w:rsidRPr="00DE096C">
              <w:rPr>
                <w:bCs/>
                <w:color w:val="002060"/>
                <w:sz w:val="16"/>
                <w:szCs w:val="16"/>
              </w:rPr>
              <w:t>В январе 1916 г.</w:t>
            </w:r>
          </w:p>
        </w:tc>
        <w:tc>
          <w:tcPr>
            <w:tcW w:w="792" w:type="dxa"/>
          </w:tcPr>
          <w:p w14:paraId="4BCCC5AD" w14:textId="77777777" w:rsidR="00B67D7C" w:rsidRPr="00DE096C" w:rsidRDefault="00B67D7C" w:rsidP="00D45A46">
            <w:pPr>
              <w:jc w:val="both"/>
              <w:rPr>
                <w:bCs/>
                <w:color w:val="002060"/>
                <w:sz w:val="16"/>
                <w:szCs w:val="16"/>
              </w:rPr>
            </w:pPr>
            <w:r w:rsidRPr="00DE096C">
              <w:rPr>
                <w:bCs/>
                <w:color w:val="002060"/>
                <w:sz w:val="16"/>
                <w:szCs w:val="16"/>
              </w:rPr>
              <w:t xml:space="preserve">100% </w:t>
            </w:r>
          </w:p>
        </w:tc>
      </w:tr>
      <w:tr w:rsidR="00B67D7C" w:rsidRPr="00DE096C" w14:paraId="7745F06A" w14:textId="77777777" w:rsidTr="00C2024A">
        <w:tc>
          <w:tcPr>
            <w:tcW w:w="1896" w:type="dxa"/>
          </w:tcPr>
          <w:p w14:paraId="65C1CDA4" w14:textId="77777777" w:rsidR="00B67D7C" w:rsidRPr="00DE096C" w:rsidRDefault="00B67D7C" w:rsidP="00D45A46">
            <w:pPr>
              <w:jc w:val="both"/>
              <w:rPr>
                <w:bCs/>
                <w:color w:val="002060"/>
                <w:sz w:val="16"/>
                <w:szCs w:val="16"/>
              </w:rPr>
            </w:pPr>
            <w:r w:rsidRPr="00DE096C">
              <w:rPr>
                <w:bCs/>
                <w:color w:val="002060"/>
                <w:sz w:val="16"/>
                <w:szCs w:val="16"/>
              </w:rPr>
              <w:t>В январе 1917 г.</w:t>
            </w:r>
          </w:p>
        </w:tc>
        <w:tc>
          <w:tcPr>
            <w:tcW w:w="792" w:type="dxa"/>
          </w:tcPr>
          <w:p w14:paraId="56FB06EF" w14:textId="77777777" w:rsidR="00B67D7C" w:rsidRPr="00DE096C" w:rsidRDefault="00B67D7C" w:rsidP="00D45A46">
            <w:pPr>
              <w:jc w:val="both"/>
              <w:rPr>
                <w:bCs/>
                <w:color w:val="002060"/>
                <w:sz w:val="16"/>
                <w:szCs w:val="16"/>
              </w:rPr>
            </w:pPr>
            <w:r w:rsidRPr="00DE096C">
              <w:rPr>
                <w:bCs/>
                <w:color w:val="002060"/>
                <w:sz w:val="16"/>
                <w:szCs w:val="16"/>
              </w:rPr>
              <w:t xml:space="preserve">70% </w:t>
            </w:r>
          </w:p>
        </w:tc>
      </w:tr>
    </w:tbl>
    <w:p w14:paraId="5124FA6F" w14:textId="77777777" w:rsidR="00B67D7C" w:rsidRPr="00DE096C" w:rsidRDefault="00B67D7C" w:rsidP="00D45A46">
      <w:pPr>
        <w:jc w:val="both"/>
        <w:rPr>
          <w:bCs/>
          <w:color w:val="002060"/>
          <w:sz w:val="16"/>
          <w:szCs w:val="16"/>
        </w:rPr>
      </w:pPr>
      <w:r w:rsidRPr="00DE096C">
        <w:rPr>
          <w:bCs/>
          <w:color w:val="002060"/>
          <w:sz w:val="16"/>
          <w:szCs w:val="16"/>
        </w:rPr>
        <w:t xml:space="preserve">С 1909 г. для снаряжения фугасных снарядов был принят в армии и флоте тротил. Однако заводы взрывчатых веществ, изготовлявшие тротил, Самарский казенный и Шлиссельбургский частный, по состоянию их мощности на 1917 г. далеко не могли покрыть той потребности во взрывчатых веществах для снарядов, которая была заявлена военным ведомством уже в первый, а в особенности во второй год войны. </w:t>
      </w:r>
    </w:p>
    <w:p w14:paraId="12A84BC5" w14:textId="77777777" w:rsidR="00B67D7C" w:rsidRPr="00DE096C" w:rsidRDefault="00B67D7C" w:rsidP="00D45A46">
      <w:pPr>
        <w:jc w:val="both"/>
        <w:rPr>
          <w:bCs/>
          <w:color w:val="002060"/>
          <w:sz w:val="16"/>
          <w:szCs w:val="16"/>
        </w:rPr>
      </w:pPr>
      <w:r w:rsidRPr="00DE096C">
        <w:rPr>
          <w:bCs/>
          <w:color w:val="002060"/>
          <w:sz w:val="16"/>
          <w:szCs w:val="16"/>
        </w:rPr>
        <w:t xml:space="preserve">Поэтому Комиссия Ипатьева наряду с другими задачами поставила себе целью развивать производство как тротила, так и других взрывчатых веществ, пригодных для военных целей. Среди них главное место занимала пикриновая кислота, которая до тротила около 15 лет применялась в русской армии как вещество для снаряжения фугасных и бризантных снарядов и была хорошо изучена. </w:t>
      </w:r>
    </w:p>
    <w:p w14:paraId="5D6F7711" w14:textId="77777777" w:rsidR="00B67D7C" w:rsidRPr="00DE096C" w:rsidRDefault="00B67D7C" w:rsidP="00D45A46">
      <w:pPr>
        <w:jc w:val="both"/>
        <w:rPr>
          <w:bCs/>
          <w:color w:val="002060"/>
          <w:sz w:val="16"/>
          <w:szCs w:val="16"/>
        </w:rPr>
      </w:pPr>
      <w:r w:rsidRPr="00DE096C">
        <w:rPr>
          <w:bCs/>
          <w:color w:val="002060"/>
          <w:sz w:val="16"/>
          <w:szCs w:val="16"/>
        </w:rPr>
        <w:t xml:space="preserve">Натуральный фенол, получаемый из каменноугольной смолы, из которого ранее фабриковалась пикриновая кислота, в России почти не вырабатывался. Поэтому проф. Ипатьев озаботился прежде всего поставить производство синтетического фенола через сульфацию бензола и получение из него пикриновой кислоты. Ранее других это производство было организовано на заводе Фарбверке в Москве. Начав производство в мае 1915 г., завод в декабре мог давать уже до 6000 пудов в месяц. Затем были устроены заводы синтетического фенола: у ст. Рубежной, при заводе "Русско-Краска", и у ст. Шахтной Донецкой области при заводе Парамонова. </w:t>
      </w:r>
    </w:p>
    <w:p w14:paraId="1837B15A" w14:textId="77777777" w:rsidR="00B67D7C" w:rsidRPr="00DE096C" w:rsidRDefault="00B67D7C" w:rsidP="00D45A46">
      <w:pPr>
        <w:jc w:val="both"/>
        <w:rPr>
          <w:bCs/>
          <w:color w:val="002060"/>
          <w:sz w:val="16"/>
          <w:szCs w:val="16"/>
        </w:rPr>
      </w:pPr>
      <w:r w:rsidRPr="00DE096C">
        <w:rPr>
          <w:bCs/>
          <w:color w:val="002060"/>
          <w:sz w:val="16"/>
          <w:szCs w:val="16"/>
        </w:rPr>
        <w:t xml:space="preserve">Так как производство синтетического фенола в нормальных условиях спроса не может выдерживать конкуренцию с фенолом натуральным, то Химический комитет, заботясь о нормальном развитии химической промышленности в дальнейшем, когда кончится война, организовал также получение карболовой кислоты и крезолов из тяжелой каменноугольной смолы и очистку этих продуктов. С этой целью был Львовым построен завод при ст. Железной Екатеринославской железной дороги. </w:t>
      </w:r>
    </w:p>
    <w:p w14:paraId="2B9B8BEF" w14:textId="77777777" w:rsidR="00B67D7C" w:rsidRPr="00DE096C" w:rsidRDefault="00B67D7C" w:rsidP="00D45A46">
      <w:pPr>
        <w:jc w:val="both"/>
        <w:rPr>
          <w:bCs/>
          <w:color w:val="002060"/>
          <w:sz w:val="16"/>
          <w:szCs w:val="16"/>
        </w:rPr>
      </w:pPr>
      <w:r w:rsidRPr="00DE096C">
        <w:rPr>
          <w:bCs/>
          <w:color w:val="002060"/>
          <w:sz w:val="16"/>
          <w:szCs w:val="16"/>
        </w:rPr>
        <w:t xml:space="preserve">Выработка синтетического фенола в 1916 г. выражается в следующих цифрах (тыс. пудов):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808"/>
        <w:gridCol w:w="792"/>
      </w:tblGrid>
      <w:tr w:rsidR="00B67D7C" w:rsidRPr="00DE096C" w14:paraId="6EFEC567" w14:textId="77777777" w:rsidTr="00C2024A">
        <w:tc>
          <w:tcPr>
            <w:tcW w:w="2808" w:type="dxa"/>
          </w:tcPr>
          <w:p w14:paraId="0954192F" w14:textId="77777777" w:rsidR="00B67D7C" w:rsidRPr="00DE096C" w:rsidRDefault="00B67D7C" w:rsidP="00D45A46">
            <w:pPr>
              <w:jc w:val="both"/>
              <w:rPr>
                <w:bCs/>
                <w:color w:val="002060"/>
                <w:sz w:val="16"/>
                <w:szCs w:val="16"/>
              </w:rPr>
            </w:pPr>
            <w:r w:rsidRPr="00DE096C">
              <w:rPr>
                <w:bCs/>
                <w:color w:val="002060"/>
                <w:sz w:val="16"/>
                <w:szCs w:val="16"/>
              </w:rPr>
              <w:lastRenderedPageBreak/>
              <w:t>Первое полугодие 1916 г.</w:t>
            </w:r>
          </w:p>
        </w:tc>
        <w:tc>
          <w:tcPr>
            <w:tcW w:w="792" w:type="dxa"/>
          </w:tcPr>
          <w:p w14:paraId="7A56CCE1" w14:textId="77777777" w:rsidR="00B67D7C" w:rsidRPr="00DE096C" w:rsidRDefault="00B67D7C" w:rsidP="00D45A46">
            <w:pPr>
              <w:jc w:val="both"/>
              <w:rPr>
                <w:bCs/>
                <w:color w:val="002060"/>
                <w:sz w:val="16"/>
                <w:szCs w:val="16"/>
              </w:rPr>
            </w:pPr>
            <w:r w:rsidRPr="00DE096C">
              <w:rPr>
                <w:bCs/>
                <w:color w:val="002060"/>
                <w:sz w:val="16"/>
                <w:szCs w:val="16"/>
              </w:rPr>
              <w:t xml:space="preserve">51.8 </w:t>
            </w:r>
          </w:p>
        </w:tc>
      </w:tr>
      <w:tr w:rsidR="00B67D7C" w:rsidRPr="00DE096C" w14:paraId="00D329BC" w14:textId="77777777" w:rsidTr="00C2024A">
        <w:tc>
          <w:tcPr>
            <w:tcW w:w="2808" w:type="dxa"/>
          </w:tcPr>
          <w:p w14:paraId="3EE7EF63" w14:textId="77777777" w:rsidR="00B67D7C" w:rsidRPr="00DE096C" w:rsidRDefault="00B67D7C" w:rsidP="00D45A46">
            <w:pPr>
              <w:jc w:val="both"/>
              <w:rPr>
                <w:bCs/>
                <w:color w:val="002060"/>
                <w:sz w:val="16"/>
                <w:szCs w:val="16"/>
              </w:rPr>
            </w:pPr>
            <w:r w:rsidRPr="00DE096C">
              <w:rPr>
                <w:bCs/>
                <w:color w:val="002060"/>
                <w:sz w:val="16"/>
                <w:szCs w:val="16"/>
              </w:rPr>
              <w:t>Второе полугодие 1916 г.</w:t>
            </w:r>
          </w:p>
        </w:tc>
        <w:tc>
          <w:tcPr>
            <w:tcW w:w="792" w:type="dxa"/>
          </w:tcPr>
          <w:p w14:paraId="62D78340" w14:textId="77777777" w:rsidR="00B67D7C" w:rsidRPr="00DE096C" w:rsidRDefault="00B67D7C" w:rsidP="00D45A46">
            <w:pPr>
              <w:jc w:val="both"/>
              <w:rPr>
                <w:bCs/>
                <w:color w:val="002060"/>
                <w:sz w:val="16"/>
                <w:szCs w:val="16"/>
              </w:rPr>
            </w:pPr>
            <w:r w:rsidRPr="00DE096C">
              <w:rPr>
                <w:bCs/>
                <w:color w:val="002060"/>
                <w:sz w:val="16"/>
                <w:szCs w:val="16"/>
              </w:rPr>
              <w:t xml:space="preserve">73.1 </w:t>
            </w:r>
          </w:p>
        </w:tc>
      </w:tr>
      <w:tr w:rsidR="00B67D7C" w:rsidRPr="00DE096C" w14:paraId="406C128E" w14:textId="77777777" w:rsidTr="00C2024A">
        <w:tc>
          <w:tcPr>
            <w:tcW w:w="2808" w:type="dxa"/>
          </w:tcPr>
          <w:p w14:paraId="3FF4D1F6" w14:textId="77777777" w:rsidR="00B67D7C" w:rsidRPr="00DE096C" w:rsidRDefault="00B67D7C" w:rsidP="00D45A46">
            <w:pPr>
              <w:jc w:val="both"/>
              <w:rPr>
                <w:bCs/>
                <w:color w:val="002060"/>
                <w:sz w:val="16"/>
                <w:szCs w:val="16"/>
              </w:rPr>
            </w:pPr>
            <w:r w:rsidRPr="00DE096C">
              <w:rPr>
                <w:bCs/>
                <w:color w:val="002060"/>
                <w:sz w:val="16"/>
                <w:szCs w:val="16"/>
              </w:rPr>
              <w:t>Всего за 1916 г.</w:t>
            </w:r>
          </w:p>
        </w:tc>
        <w:tc>
          <w:tcPr>
            <w:tcW w:w="792" w:type="dxa"/>
          </w:tcPr>
          <w:p w14:paraId="2E279AD8" w14:textId="77777777" w:rsidR="00B67D7C" w:rsidRPr="00DE096C" w:rsidRDefault="00B67D7C" w:rsidP="00D45A46">
            <w:pPr>
              <w:jc w:val="both"/>
              <w:rPr>
                <w:bCs/>
                <w:color w:val="002060"/>
                <w:sz w:val="16"/>
                <w:szCs w:val="16"/>
              </w:rPr>
            </w:pPr>
            <w:r w:rsidRPr="00DE096C">
              <w:rPr>
                <w:bCs/>
                <w:color w:val="002060"/>
                <w:sz w:val="16"/>
                <w:szCs w:val="16"/>
              </w:rPr>
              <w:t>124.9.</w:t>
            </w:r>
          </w:p>
        </w:tc>
      </w:tr>
    </w:tbl>
    <w:p w14:paraId="0D10B35F" w14:textId="77777777" w:rsidR="00B67D7C" w:rsidRPr="00DE096C" w:rsidRDefault="00B67D7C" w:rsidP="00D45A46">
      <w:pPr>
        <w:jc w:val="both"/>
        <w:rPr>
          <w:bCs/>
          <w:color w:val="002060"/>
          <w:sz w:val="16"/>
          <w:szCs w:val="16"/>
        </w:rPr>
      </w:pPr>
      <w:r w:rsidRPr="00DE096C">
        <w:rPr>
          <w:bCs/>
          <w:color w:val="002060"/>
          <w:sz w:val="16"/>
          <w:szCs w:val="16"/>
        </w:rPr>
        <w:t xml:space="preserve">До войны серная кислота вырабатывалась в России в количестве до 1,25 млн пудов в месяц. Колчедан, необходимый для этой цели, в четверть добывался на Урале, остальные же три четверти привозились из-за границы. </w:t>
      </w:r>
    </w:p>
    <w:p w14:paraId="54BDF88F" w14:textId="77777777" w:rsidR="00B67D7C" w:rsidRPr="00DE096C" w:rsidRDefault="00B67D7C" w:rsidP="00D45A46">
      <w:pPr>
        <w:jc w:val="both"/>
        <w:rPr>
          <w:bCs/>
          <w:color w:val="002060"/>
          <w:sz w:val="16"/>
          <w:szCs w:val="16"/>
        </w:rPr>
      </w:pPr>
      <w:r w:rsidRPr="00DE096C">
        <w:rPr>
          <w:bCs/>
          <w:color w:val="002060"/>
          <w:sz w:val="16"/>
          <w:szCs w:val="16"/>
        </w:rPr>
        <w:t xml:space="preserve">В связи с военными операциями на Западном фронте сернокислотные заводы Прибалтики и Царства Польского прекратили работы, благодаря чему с общего счета нужно было скинуть 0,5 млн пудов месячной производительности. </w:t>
      </w:r>
    </w:p>
    <w:p w14:paraId="16F576DE" w14:textId="77777777" w:rsidR="00B67D7C" w:rsidRPr="00DE096C" w:rsidRDefault="00B67D7C" w:rsidP="00D45A46">
      <w:pPr>
        <w:jc w:val="both"/>
        <w:rPr>
          <w:bCs/>
          <w:color w:val="002060"/>
          <w:sz w:val="16"/>
          <w:szCs w:val="16"/>
        </w:rPr>
      </w:pPr>
      <w:r w:rsidRPr="00DE096C">
        <w:rPr>
          <w:bCs/>
          <w:color w:val="002060"/>
          <w:sz w:val="16"/>
          <w:szCs w:val="16"/>
        </w:rPr>
        <w:t xml:space="preserve">Такое положение с серной кислотой являлось угрозой делу производства порохов и взрывчатых веществ, которые вместе с ростом производства основных материалов — толуола, бензола и пр. — должны были и дальше сильно расти, соответственно с заданиями высшего командования. Поэтому требовались энергичные мероприятия со стороны Комиссии Ипатьева по восстановлению и развитию сернокислотного дела и исходных материалов для него. </w:t>
      </w:r>
    </w:p>
    <w:p w14:paraId="61DDF238" w14:textId="77777777" w:rsidR="00B67D7C" w:rsidRPr="00DE096C" w:rsidRDefault="00B67D7C" w:rsidP="00D45A46">
      <w:pPr>
        <w:jc w:val="both"/>
        <w:rPr>
          <w:bCs/>
          <w:color w:val="002060"/>
          <w:sz w:val="16"/>
          <w:szCs w:val="16"/>
        </w:rPr>
      </w:pPr>
      <w:r w:rsidRPr="00DE096C">
        <w:rPr>
          <w:bCs/>
          <w:color w:val="002060"/>
          <w:sz w:val="16"/>
          <w:szCs w:val="16"/>
        </w:rPr>
        <w:t xml:space="preserve">С целью выяснить вопрос о возможности постройки новых сернокислотных заводов и развития старых, а также усиления добычи колчедана, в июне 1915 г. был собран съезд кислотозаводчиков и представителей серноколчеданных рудников. На съезде была выработала детальная программа развития сернокислотного и колчеданного дела, и, по утверждении ее Особым совещанием по обороне, с лета 1915 г. было приступлено к осуществлению ее. </w:t>
      </w:r>
    </w:p>
    <w:p w14:paraId="1AA24ACD" w14:textId="77777777" w:rsidR="00B67D7C" w:rsidRPr="00DE096C" w:rsidRDefault="00B67D7C" w:rsidP="00D45A46">
      <w:pPr>
        <w:jc w:val="both"/>
        <w:rPr>
          <w:bCs/>
          <w:color w:val="002060"/>
          <w:sz w:val="16"/>
          <w:szCs w:val="16"/>
        </w:rPr>
      </w:pPr>
      <w:r w:rsidRPr="00DE096C">
        <w:rPr>
          <w:bCs/>
          <w:color w:val="002060"/>
          <w:sz w:val="16"/>
          <w:szCs w:val="16"/>
        </w:rPr>
        <w:t xml:space="preserve">Согласно программы, намечена была постройка с лета 1915 г. до 20 заводов серной кислоты, которые должны были увеличить вдвое выработку кислоты. Часть этих заводов предположена была к оборудованию контактными системами. </w:t>
      </w:r>
    </w:p>
    <w:p w14:paraId="5F1C68FF" w14:textId="77777777" w:rsidR="00B67D7C" w:rsidRPr="00DE096C" w:rsidRDefault="00B67D7C" w:rsidP="00D45A46">
      <w:pPr>
        <w:jc w:val="both"/>
        <w:rPr>
          <w:bCs/>
          <w:color w:val="002060"/>
          <w:sz w:val="16"/>
          <w:szCs w:val="16"/>
        </w:rPr>
      </w:pPr>
      <w:r w:rsidRPr="00DE096C">
        <w:rPr>
          <w:bCs/>
          <w:color w:val="002060"/>
          <w:sz w:val="16"/>
          <w:szCs w:val="16"/>
        </w:rPr>
        <w:t xml:space="preserve">Для наблюдения на местах за производством кислоты и правильного распределения ее между заводами военной и частной промышленности, а также для наблюдения за строительством, Комиссией по заготовлению взрывчатых веществ были организованы районные бюро. Районов было установлено шесть: Петроградский, Московский, Верхневолжский, Казанский, Уральский, Южный и Кавказский. </w:t>
      </w:r>
    </w:p>
    <w:p w14:paraId="5FF4E643" w14:textId="77777777" w:rsidR="00B67D7C" w:rsidRPr="00DE096C" w:rsidRDefault="00B67D7C" w:rsidP="00D45A46">
      <w:pPr>
        <w:jc w:val="both"/>
        <w:rPr>
          <w:bCs/>
          <w:color w:val="002060"/>
          <w:sz w:val="16"/>
          <w:szCs w:val="16"/>
        </w:rPr>
      </w:pPr>
      <w:r w:rsidRPr="00DE096C">
        <w:rPr>
          <w:bCs/>
          <w:color w:val="002060"/>
          <w:sz w:val="16"/>
          <w:szCs w:val="16"/>
        </w:rPr>
        <w:t xml:space="preserve">Весьма серьезным вопросом являлось правильное распределение кислоты между потребителями частной промышленности, так как в связи с кислотным кризисом на рынке началась спекуляция и искусственное вздутие цен на этот материал. </w:t>
      </w:r>
    </w:p>
    <w:p w14:paraId="51327A32" w14:textId="77777777" w:rsidR="00B67D7C" w:rsidRPr="00DE096C" w:rsidRDefault="00B67D7C" w:rsidP="00D45A46">
      <w:pPr>
        <w:jc w:val="both"/>
        <w:rPr>
          <w:bCs/>
          <w:color w:val="002060"/>
          <w:sz w:val="16"/>
          <w:szCs w:val="16"/>
        </w:rPr>
      </w:pPr>
      <w:r w:rsidRPr="00DE096C">
        <w:rPr>
          <w:bCs/>
          <w:color w:val="002060"/>
          <w:sz w:val="16"/>
          <w:szCs w:val="16"/>
        </w:rPr>
        <w:t xml:space="preserve">Ниже приводится таблица, в которой по месяцам указаны: 1) программа работы по производству серной кислоты заводов, существовавших к осени 1915 г., 2) число вновь организованных заводов, вступивших в работу, 3) программа, работы последних и 4) суммарный выпуск серной кислоты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248"/>
        <w:gridCol w:w="1503"/>
        <w:gridCol w:w="1092"/>
        <w:gridCol w:w="1792"/>
        <w:gridCol w:w="972"/>
      </w:tblGrid>
      <w:tr w:rsidR="00B67D7C" w:rsidRPr="00DE096C" w14:paraId="058D3770" w14:textId="77777777" w:rsidTr="00C2024A">
        <w:tc>
          <w:tcPr>
            <w:tcW w:w="1248" w:type="dxa"/>
          </w:tcPr>
          <w:p w14:paraId="1886B28C" w14:textId="77777777" w:rsidR="00B67D7C" w:rsidRPr="00DE096C" w:rsidRDefault="00B67D7C" w:rsidP="00D45A46">
            <w:pPr>
              <w:jc w:val="both"/>
              <w:rPr>
                <w:bCs/>
                <w:color w:val="002060"/>
                <w:sz w:val="16"/>
                <w:szCs w:val="16"/>
              </w:rPr>
            </w:pPr>
            <w:r w:rsidRPr="00DE096C">
              <w:rPr>
                <w:bCs/>
                <w:color w:val="002060"/>
                <w:sz w:val="16"/>
                <w:szCs w:val="16"/>
              </w:rPr>
              <w:t> </w:t>
            </w:r>
          </w:p>
        </w:tc>
        <w:tc>
          <w:tcPr>
            <w:tcW w:w="1503" w:type="dxa"/>
          </w:tcPr>
          <w:p w14:paraId="027C6B4C" w14:textId="77777777" w:rsidR="00B67D7C" w:rsidRPr="00DE096C" w:rsidRDefault="00B67D7C" w:rsidP="00D45A46">
            <w:pPr>
              <w:jc w:val="both"/>
              <w:rPr>
                <w:bCs/>
                <w:color w:val="002060"/>
                <w:sz w:val="16"/>
                <w:szCs w:val="16"/>
              </w:rPr>
            </w:pPr>
            <w:r w:rsidRPr="00DE096C">
              <w:rPr>
                <w:bCs/>
                <w:color w:val="002060"/>
                <w:sz w:val="16"/>
                <w:szCs w:val="16"/>
              </w:rPr>
              <w:t>Существовавшие к осени 1915 г. заводы</w:t>
            </w:r>
          </w:p>
        </w:tc>
        <w:tc>
          <w:tcPr>
            <w:tcW w:w="1092" w:type="dxa"/>
          </w:tcPr>
          <w:p w14:paraId="7A2CEC31" w14:textId="77777777" w:rsidR="00B67D7C" w:rsidRPr="00DE096C" w:rsidRDefault="00B67D7C" w:rsidP="00D45A46">
            <w:pPr>
              <w:jc w:val="both"/>
              <w:rPr>
                <w:bCs/>
                <w:color w:val="002060"/>
                <w:sz w:val="16"/>
                <w:szCs w:val="16"/>
              </w:rPr>
            </w:pPr>
            <w:r w:rsidRPr="00DE096C">
              <w:rPr>
                <w:bCs/>
                <w:color w:val="002060"/>
                <w:sz w:val="16"/>
                <w:szCs w:val="16"/>
              </w:rPr>
              <w:t>Число новых заводов</w:t>
            </w:r>
          </w:p>
        </w:tc>
        <w:tc>
          <w:tcPr>
            <w:tcW w:w="1792" w:type="dxa"/>
          </w:tcPr>
          <w:p w14:paraId="286E0CBD" w14:textId="77777777" w:rsidR="00B67D7C" w:rsidRPr="00DE096C" w:rsidRDefault="00B67D7C" w:rsidP="00D45A46">
            <w:pPr>
              <w:jc w:val="both"/>
              <w:rPr>
                <w:bCs/>
                <w:color w:val="002060"/>
                <w:sz w:val="16"/>
                <w:szCs w:val="16"/>
              </w:rPr>
            </w:pPr>
            <w:r w:rsidRPr="00DE096C">
              <w:rPr>
                <w:bCs/>
                <w:color w:val="002060"/>
                <w:sz w:val="16"/>
                <w:szCs w:val="16"/>
              </w:rPr>
              <w:t>Производительность новых заводов</w:t>
            </w:r>
          </w:p>
        </w:tc>
        <w:tc>
          <w:tcPr>
            <w:tcW w:w="972" w:type="dxa"/>
          </w:tcPr>
          <w:p w14:paraId="20EB7FA9" w14:textId="77777777" w:rsidR="00B67D7C" w:rsidRPr="00DE096C" w:rsidRDefault="00B67D7C" w:rsidP="00D45A46">
            <w:pPr>
              <w:jc w:val="both"/>
              <w:rPr>
                <w:bCs/>
                <w:color w:val="002060"/>
                <w:sz w:val="16"/>
                <w:szCs w:val="16"/>
              </w:rPr>
            </w:pPr>
            <w:r w:rsidRPr="00DE096C">
              <w:rPr>
                <w:bCs/>
                <w:color w:val="002060"/>
                <w:sz w:val="16"/>
                <w:szCs w:val="16"/>
              </w:rPr>
              <w:t xml:space="preserve">Итого старые и новые </w:t>
            </w:r>
          </w:p>
        </w:tc>
      </w:tr>
      <w:tr w:rsidR="00B67D7C" w:rsidRPr="00DE096C" w14:paraId="37847C9F" w14:textId="77777777" w:rsidTr="00C2024A">
        <w:tc>
          <w:tcPr>
            <w:tcW w:w="1248" w:type="dxa"/>
          </w:tcPr>
          <w:p w14:paraId="15946A47" w14:textId="77777777" w:rsidR="00B67D7C" w:rsidRPr="00DE096C" w:rsidRDefault="00B67D7C" w:rsidP="00D45A46">
            <w:pPr>
              <w:jc w:val="both"/>
              <w:rPr>
                <w:bCs/>
                <w:color w:val="002060"/>
                <w:sz w:val="16"/>
                <w:szCs w:val="16"/>
              </w:rPr>
            </w:pPr>
            <w:r w:rsidRPr="00DE096C">
              <w:rPr>
                <w:bCs/>
                <w:color w:val="002060"/>
                <w:sz w:val="16"/>
                <w:szCs w:val="16"/>
              </w:rPr>
              <w:t> </w:t>
            </w:r>
          </w:p>
        </w:tc>
        <w:tc>
          <w:tcPr>
            <w:tcW w:w="4387" w:type="dxa"/>
            <w:gridSpan w:val="3"/>
          </w:tcPr>
          <w:p w14:paraId="79BDEE2C" w14:textId="77777777" w:rsidR="00B67D7C" w:rsidRPr="00DE096C" w:rsidRDefault="00B67D7C" w:rsidP="00D45A46">
            <w:pPr>
              <w:jc w:val="both"/>
              <w:rPr>
                <w:bCs/>
                <w:color w:val="002060"/>
                <w:sz w:val="16"/>
                <w:szCs w:val="16"/>
              </w:rPr>
            </w:pPr>
            <w:r w:rsidRPr="00DE096C">
              <w:rPr>
                <w:bCs/>
                <w:color w:val="002060"/>
                <w:sz w:val="16"/>
                <w:szCs w:val="16"/>
              </w:rPr>
              <w:t>Программа</w:t>
            </w:r>
          </w:p>
        </w:tc>
        <w:tc>
          <w:tcPr>
            <w:tcW w:w="972" w:type="dxa"/>
          </w:tcPr>
          <w:p w14:paraId="0666F9A9" w14:textId="77777777" w:rsidR="00B67D7C" w:rsidRPr="00DE096C" w:rsidRDefault="00B67D7C" w:rsidP="00D45A46">
            <w:pPr>
              <w:jc w:val="both"/>
              <w:rPr>
                <w:bCs/>
                <w:color w:val="002060"/>
                <w:sz w:val="16"/>
                <w:szCs w:val="16"/>
              </w:rPr>
            </w:pPr>
            <w:r w:rsidRPr="00DE096C">
              <w:rPr>
                <w:bCs/>
                <w:color w:val="002060"/>
                <w:sz w:val="16"/>
                <w:szCs w:val="16"/>
              </w:rPr>
              <w:t> </w:t>
            </w:r>
          </w:p>
        </w:tc>
      </w:tr>
      <w:tr w:rsidR="00B67D7C" w:rsidRPr="00DE096C" w14:paraId="1D5F22C6" w14:textId="77777777" w:rsidTr="00C2024A">
        <w:tc>
          <w:tcPr>
            <w:tcW w:w="1248" w:type="dxa"/>
          </w:tcPr>
          <w:p w14:paraId="70ADAA63" w14:textId="77777777" w:rsidR="00B67D7C" w:rsidRPr="00DE096C" w:rsidRDefault="00B67D7C" w:rsidP="00D45A46">
            <w:pPr>
              <w:jc w:val="both"/>
              <w:rPr>
                <w:bCs/>
                <w:color w:val="002060"/>
                <w:sz w:val="16"/>
                <w:szCs w:val="16"/>
              </w:rPr>
            </w:pPr>
            <w:r w:rsidRPr="00DE096C">
              <w:rPr>
                <w:bCs/>
                <w:color w:val="002060"/>
                <w:sz w:val="16"/>
                <w:szCs w:val="16"/>
              </w:rPr>
              <w:t>Декабрь 1915 г.</w:t>
            </w:r>
          </w:p>
        </w:tc>
        <w:tc>
          <w:tcPr>
            <w:tcW w:w="1503" w:type="dxa"/>
          </w:tcPr>
          <w:p w14:paraId="516E94DF" w14:textId="77777777" w:rsidR="00B67D7C" w:rsidRPr="00DE096C" w:rsidRDefault="00B67D7C" w:rsidP="00D45A46">
            <w:pPr>
              <w:jc w:val="both"/>
              <w:rPr>
                <w:bCs/>
                <w:color w:val="002060"/>
                <w:sz w:val="16"/>
                <w:szCs w:val="16"/>
              </w:rPr>
            </w:pPr>
            <w:r w:rsidRPr="00DE096C">
              <w:rPr>
                <w:bCs/>
                <w:color w:val="002060"/>
                <w:sz w:val="16"/>
                <w:szCs w:val="16"/>
              </w:rPr>
              <w:t>800</w:t>
            </w:r>
          </w:p>
        </w:tc>
        <w:tc>
          <w:tcPr>
            <w:tcW w:w="1092" w:type="dxa"/>
          </w:tcPr>
          <w:p w14:paraId="1A520110" w14:textId="77777777" w:rsidR="00B67D7C" w:rsidRPr="00DE096C" w:rsidRDefault="00B67D7C" w:rsidP="00D45A46">
            <w:pPr>
              <w:jc w:val="both"/>
              <w:rPr>
                <w:bCs/>
                <w:color w:val="002060"/>
                <w:sz w:val="16"/>
                <w:szCs w:val="16"/>
              </w:rPr>
            </w:pPr>
            <w:r w:rsidRPr="00DE096C">
              <w:rPr>
                <w:bCs/>
                <w:color w:val="002060"/>
                <w:sz w:val="16"/>
                <w:szCs w:val="16"/>
              </w:rPr>
              <w:t>2</w:t>
            </w:r>
          </w:p>
        </w:tc>
        <w:tc>
          <w:tcPr>
            <w:tcW w:w="1792" w:type="dxa"/>
          </w:tcPr>
          <w:p w14:paraId="56FF7251" w14:textId="77777777" w:rsidR="00B67D7C" w:rsidRPr="00DE096C" w:rsidRDefault="00B67D7C" w:rsidP="00D45A46">
            <w:pPr>
              <w:jc w:val="both"/>
              <w:rPr>
                <w:bCs/>
                <w:color w:val="002060"/>
                <w:sz w:val="16"/>
                <w:szCs w:val="16"/>
              </w:rPr>
            </w:pPr>
            <w:r w:rsidRPr="00DE096C">
              <w:rPr>
                <w:bCs/>
                <w:color w:val="002060"/>
                <w:sz w:val="16"/>
                <w:szCs w:val="16"/>
              </w:rPr>
              <w:t>75</w:t>
            </w:r>
          </w:p>
        </w:tc>
        <w:tc>
          <w:tcPr>
            <w:tcW w:w="972" w:type="dxa"/>
          </w:tcPr>
          <w:p w14:paraId="20D16D69" w14:textId="77777777" w:rsidR="00B67D7C" w:rsidRPr="00DE096C" w:rsidRDefault="00B67D7C" w:rsidP="00D45A46">
            <w:pPr>
              <w:jc w:val="both"/>
              <w:rPr>
                <w:bCs/>
                <w:color w:val="002060"/>
                <w:sz w:val="16"/>
                <w:szCs w:val="16"/>
              </w:rPr>
            </w:pPr>
            <w:r w:rsidRPr="00DE096C">
              <w:rPr>
                <w:bCs/>
                <w:color w:val="002060"/>
                <w:sz w:val="16"/>
                <w:szCs w:val="16"/>
              </w:rPr>
              <w:t>875</w:t>
            </w:r>
          </w:p>
        </w:tc>
      </w:tr>
      <w:tr w:rsidR="00B67D7C" w:rsidRPr="00DE096C" w14:paraId="29476F92" w14:textId="77777777" w:rsidTr="00C2024A">
        <w:tc>
          <w:tcPr>
            <w:tcW w:w="1248" w:type="dxa"/>
          </w:tcPr>
          <w:p w14:paraId="65C5C04C" w14:textId="77777777" w:rsidR="00B67D7C" w:rsidRPr="00DE096C" w:rsidRDefault="00B67D7C" w:rsidP="00D45A46">
            <w:pPr>
              <w:jc w:val="both"/>
              <w:rPr>
                <w:bCs/>
                <w:color w:val="002060"/>
                <w:sz w:val="16"/>
                <w:szCs w:val="16"/>
              </w:rPr>
            </w:pPr>
            <w:r w:rsidRPr="00DE096C">
              <w:rPr>
                <w:bCs/>
                <w:color w:val="002060"/>
                <w:sz w:val="16"/>
                <w:szCs w:val="16"/>
              </w:rPr>
              <w:t>Январь 1916 г.</w:t>
            </w:r>
          </w:p>
        </w:tc>
        <w:tc>
          <w:tcPr>
            <w:tcW w:w="1503" w:type="dxa"/>
          </w:tcPr>
          <w:p w14:paraId="6E6F108D" w14:textId="77777777" w:rsidR="00B67D7C" w:rsidRPr="00DE096C" w:rsidRDefault="00B67D7C" w:rsidP="00D45A46">
            <w:pPr>
              <w:jc w:val="both"/>
              <w:rPr>
                <w:bCs/>
                <w:color w:val="002060"/>
                <w:sz w:val="16"/>
                <w:szCs w:val="16"/>
              </w:rPr>
            </w:pPr>
            <w:r w:rsidRPr="00DE096C">
              <w:rPr>
                <w:bCs/>
                <w:color w:val="002060"/>
                <w:sz w:val="16"/>
                <w:szCs w:val="16"/>
              </w:rPr>
              <w:t>800</w:t>
            </w:r>
          </w:p>
        </w:tc>
        <w:tc>
          <w:tcPr>
            <w:tcW w:w="1092" w:type="dxa"/>
          </w:tcPr>
          <w:p w14:paraId="35DAF579" w14:textId="77777777" w:rsidR="00B67D7C" w:rsidRPr="00DE096C" w:rsidRDefault="00B67D7C" w:rsidP="00D45A46">
            <w:pPr>
              <w:jc w:val="both"/>
              <w:rPr>
                <w:bCs/>
                <w:color w:val="002060"/>
                <w:sz w:val="16"/>
                <w:szCs w:val="16"/>
              </w:rPr>
            </w:pPr>
            <w:r w:rsidRPr="00DE096C">
              <w:rPr>
                <w:bCs/>
                <w:color w:val="002060"/>
                <w:sz w:val="16"/>
                <w:szCs w:val="16"/>
              </w:rPr>
              <w:t>6</w:t>
            </w:r>
          </w:p>
        </w:tc>
        <w:tc>
          <w:tcPr>
            <w:tcW w:w="1792" w:type="dxa"/>
          </w:tcPr>
          <w:p w14:paraId="2C07ED5D" w14:textId="77777777" w:rsidR="00B67D7C" w:rsidRPr="00DE096C" w:rsidRDefault="00B67D7C" w:rsidP="00D45A46">
            <w:pPr>
              <w:jc w:val="both"/>
              <w:rPr>
                <w:bCs/>
                <w:color w:val="002060"/>
                <w:sz w:val="16"/>
                <w:szCs w:val="16"/>
              </w:rPr>
            </w:pPr>
            <w:r w:rsidRPr="00DE096C">
              <w:rPr>
                <w:bCs/>
                <w:color w:val="002060"/>
                <w:sz w:val="16"/>
                <w:szCs w:val="16"/>
              </w:rPr>
              <w:t>249,1</w:t>
            </w:r>
          </w:p>
        </w:tc>
        <w:tc>
          <w:tcPr>
            <w:tcW w:w="972" w:type="dxa"/>
          </w:tcPr>
          <w:p w14:paraId="4729CA6C" w14:textId="77777777" w:rsidR="00B67D7C" w:rsidRPr="00DE096C" w:rsidRDefault="00B67D7C" w:rsidP="00D45A46">
            <w:pPr>
              <w:jc w:val="both"/>
              <w:rPr>
                <w:bCs/>
                <w:color w:val="002060"/>
                <w:sz w:val="16"/>
                <w:szCs w:val="16"/>
              </w:rPr>
            </w:pPr>
            <w:r w:rsidRPr="00DE096C">
              <w:rPr>
                <w:bCs/>
                <w:color w:val="002060"/>
                <w:sz w:val="16"/>
                <w:szCs w:val="16"/>
              </w:rPr>
              <w:t>1.049,1</w:t>
            </w:r>
          </w:p>
        </w:tc>
      </w:tr>
      <w:tr w:rsidR="00B67D7C" w:rsidRPr="00DE096C" w14:paraId="5887F65E" w14:textId="77777777" w:rsidTr="00C2024A">
        <w:tc>
          <w:tcPr>
            <w:tcW w:w="1248" w:type="dxa"/>
          </w:tcPr>
          <w:p w14:paraId="349001D1" w14:textId="77777777" w:rsidR="00B67D7C" w:rsidRPr="00DE096C" w:rsidRDefault="00B67D7C" w:rsidP="00D45A46">
            <w:pPr>
              <w:jc w:val="both"/>
              <w:rPr>
                <w:bCs/>
                <w:color w:val="002060"/>
                <w:sz w:val="16"/>
                <w:szCs w:val="16"/>
              </w:rPr>
            </w:pPr>
            <w:r w:rsidRPr="00DE096C">
              <w:rPr>
                <w:bCs/>
                <w:color w:val="002060"/>
                <w:sz w:val="16"/>
                <w:szCs w:val="16"/>
              </w:rPr>
              <w:t>Февраль</w:t>
            </w:r>
          </w:p>
        </w:tc>
        <w:tc>
          <w:tcPr>
            <w:tcW w:w="1503" w:type="dxa"/>
          </w:tcPr>
          <w:p w14:paraId="13A2773C" w14:textId="77777777" w:rsidR="00B67D7C" w:rsidRPr="00DE096C" w:rsidRDefault="00B67D7C" w:rsidP="00D45A46">
            <w:pPr>
              <w:jc w:val="both"/>
              <w:rPr>
                <w:bCs/>
                <w:color w:val="002060"/>
                <w:sz w:val="16"/>
                <w:szCs w:val="16"/>
              </w:rPr>
            </w:pPr>
            <w:r w:rsidRPr="00DE096C">
              <w:rPr>
                <w:bCs/>
                <w:color w:val="002060"/>
                <w:sz w:val="16"/>
                <w:szCs w:val="16"/>
              </w:rPr>
              <w:t>800</w:t>
            </w:r>
          </w:p>
        </w:tc>
        <w:tc>
          <w:tcPr>
            <w:tcW w:w="1092" w:type="dxa"/>
          </w:tcPr>
          <w:p w14:paraId="5AC4F723" w14:textId="77777777" w:rsidR="00B67D7C" w:rsidRPr="00DE096C" w:rsidRDefault="00B67D7C" w:rsidP="00D45A46">
            <w:pPr>
              <w:jc w:val="both"/>
              <w:rPr>
                <w:bCs/>
                <w:color w:val="002060"/>
                <w:sz w:val="16"/>
                <w:szCs w:val="16"/>
              </w:rPr>
            </w:pPr>
            <w:r w:rsidRPr="00DE096C">
              <w:rPr>
                <w:bCs/>
                <w:color w:val="002060"/>
                <w:sz w:val="16"/>
                <w:szCs w:val="16"/>
              </w:rPr>
              <w:t>8</w:t>
            </w:r>
          </w:p>
        </w:tc>
        <w:tc>
          <w:tcPr>
            <w:tcW w:w="1792" w:type="dxa"/>
          </w:tcPr>
          <w:p w14:paraId="5149D859" w14:textId="77777777" w:rsidR="00B67D7C" w:rsidRPr="00DE096C" w:rsidRDefault="00B67D7C" w:rsidP="00D45A46">
            <w:pPr>
              <w:jc w:val="both"/>
              <w:rPr>
                <w:bCs/>
                <w:color w:val="002060"/>
                <w:sz w:val="16"/>
                <w:szCs w:val="16"/>
              </w:rPr>
            </w:pPr>
            <w:r w:rsidRPr="00DE096C">
              <w:rPr>
                <w:bCs/>
                <w:color w:val="002060"/>
                <w:sz w:val="16"/>
                <w:szCs w:val="16"/>
              </w:rPr>
              <w:t>342,6</w:t>
            </w:r>
          </w:p>
        </w:tc>
        <w:tc>
          <w:tcPr>
            <w:tcW w:w="972" w:type="dxa"/>
          </w:tcPr>
          <w:p w14:paraId="18FDB7FC" w14:textId="77777777" w:rsidR="00B67D7C" w:rsidRPr="00DE096C" w:rsidRDefault="00B67D7C" w:rsidP="00D45A46">
            <w:pPr>
              <w:jc w:val="both"/>
              <w:rPr>
                <w:bCs/>
                <w:color w:val="002060"/>
                <w:sz w:val="16"/>
                <w:szCs w:val="16"/>
              </w:rPr>
            </w:pPr>
            <w:r w:rsidRPr="00DE096C">
              <w:rPr>
                <w:bCs/>
                <w:color w:val="002060"/>
                <w:sz w:val="16"/>
                <w:szCs w:val="16"/>
              </w:rPr>
              <w:t>1.142,6</w:t>
            </w:r>
          </w:p>
        </w:tc>
      </w:tr>
      <w:tr w:rsidR="00B67D7C" w:rsidRPr="00DE096C" w14:paraId="30DC6412" w14:textId="77777777" w:rsidTr="00C2024A">
        <w:tc>
          <w:tcPr>
            <w:tcW w:w="1248" w:type="dxa"/>
          </w:tcPr>
          <w:p w14:paraId="73035A59" w14:textId="77777777" w:rsidR="00B67D7C" w:rsidRPr="00DE096C" w:rsidRDefault="00B67D7C" w:rsidP="00D45A46">
            <w:pPr>
              <w:jc w:val="both"/>
              <w:rPr>
                <w:bCs/>
                <w:color w:val="002060"/>
                <w:sz w:val="16"/>
                <w:szCs w:val="16"/>
              </w:rPr>
            </w:pPr>
            <w:r w:rsidRPr="00DE096C">
              <w:rPr>
                <w:bCs/>
                <w:color w:val="002060"/>
                <w:sz w:val="16"/>
                <w:szCs w:val="16"/>
              </w:rPr>
              <w:t>М«рт</w:t>
            </w:r>
          </w:p>
        </w:tc>
        <w:tc>
          <w:tcPr>
            <w:tcW w:w="1503" w:type="dxa"/>
          </w:tcPr>
          <w:p w14:paraId="62ADFF3E" w14:textId="77777777" w:rsidR="00B67D7C" w:rsidRPr="00DE096C" w:rsidRDefault="00B67D7C" w:rsidP="00D45A46">
            <w:pPr>
              <w:jc w:val="both"/>
              <w:rPr>
                <w:bCs/>
                <w:color w:val="002060"/>
                <w:sz w:val="16"/>
                <w:szCs w:val="16"/>
              </w:rPr>
            </w:pPr>
            <w:r w:rsidRPr="00DE096C">
              <w:rPr>
                <w:bCs/>
                <w:color w:val="002060"/>
                <w:sz w:val="16"/>
                <w:szCs w:val="16"/>
              </w:rPr>
              <w:t>800</w:t>
            </w:r>
          </w:p>
        </w:tc>
        <w:tc>
          <w:tcPr>
            <w:tcW w:w="1092" w:type="dxa"/>
          </w:tcPr>
          <w:p w14:paraId="4825D18D" w14:textId="77777777" w:rsidR="00B67D7C" w:rsidRPr="00DE096C" w:rsidRDefault="00B67D7C" w:rsidP="00D45A46">
            <w:pPr>
              <w:jc w:val="both"/>
              <w:rPr>
                <w:bCs/>
                <w:color w:val="002060"/>
                <w:sz w:val="16"/>
                <w:szCs w:val="16"/>
              </w:rPr>
            </w:pPr>
            <w:r w:rsidRPr="00DE096C">
              <w:rPr>
                <w:bCs/>
                <w:color w:val="002060"/>
                <w:sz w:val="16"/>
                <w:szCs w:val="16"/>
              </w:rPr>
              <w:t>11</w:t>
            </w:r>
          </w:p>
        </w:tc>
        <w:tc>
          <w:tcPr>
            <w:tcW w:w="1792" w:type="dxa"/>
          </w:tcPr>
          <w:p w14:paraId="6DE4FADE" w14:textId="77777777" w:rsidR="00B67D7C" w:rsidRPr="00DE096C" w:rsidRDefault="00B67D7C" w:rsidP="00D45A46">
            <w:pPr>
              <w:jc w:val="both"/>
              <w:rPr>
                <w:bCs/>
                <w:color w:val="002060"/>
                <w:sz w:val="16"/>
                <w:szCs w:val="16"/>
              </w:rPr>
            </w:pPr>
            <w:r w:rsidRPr="00DE096C">
              <w:rPr>
                <w:bCs/>
                <w:color w:val="002060"/>
                <w:sz w:val="16"/>
                <w:szCs w:val="16"/>
              </w:rPr>
              <w:t>479,9</w:t>
            </w:r>
          </w:p>
        </w:tc>
        <w:tc>
          <w:tcPr>
            <w:tcW w:w="972" w:type="dxa"/>
          </w:tcPr>
          <w:p w14:paraId="0478FF07" w14:textId="77777777" w:rsidR="00B67D7C" w:rsidRPr="00DE096C" w:rsidRDefault="00B67D7C" w:rsidP="00D45A46">
            <w:pPr>
              <w:jc w:val="both"/>
              <w:rPr>
                <w:bCs/>
                <w:color w:val="002060"/>
                <w:sz w:val="16"/>
                <w:szCs w:val="16"/>
              </w:rPr>
            </w:pPr>
            <w:r w:rsidRPr="00DE096C">
              <w:rPr>
                <w:bCs/>
                <w:color w:val="002060"/>
                <w:sz w:val="16"/>
                <w:szCs w:val="16"/>
              </w:rPr>
              <w:t>1.279,9</w:t>
            </w:r>
          </w:p>
        </w:tc>
      </w:tr>
      <w:tr w:rsidR="00B67D7C" w:rsidRPr="00DE096C" w14:paraId="2A8B25C5" w14:textId="77777777" w:rsidTr="00C2024A">
        <w:tc>
          <w:tcPr>
            <w:tcW w:w="1248" w:type="dxa"/>
          </w:tcPr>
          <w:p w14:paraId="11F7C6AE" w14:textId="77777777" w:rsidR="00B67D7C" w:rsidRPr="00DE096C" w:rsidRDefault="00B67D7C" w:rsidP="00D45A46">
            <w:pPr>
              <w:jc w:val="both"/>
              <w:rPr>
                <w:bCs/>
                <w:color w:val="002060"/>
                <w:sz w:val="16"/>
                <w:szCs w:val="16"/>
              </w:rPr>
            </w:pPr>
            <w:r w:rsidRPr="00DE096C">
              <w:rPr>
                <w:bCs/>
                <w:color w:val="002060"/>
                <w:sz w:val="16"/>
                <w:szCs w:val="16"/>
              </w:rPr>
              <w:t>Апрель</w:t>
            </w:r>
          </w:p>
        </w:tc>
        <w:tc>
          <w:tcPr>
            <w:tcW w:w="1503" w:type="dxa"/>
          </w:tcPr>
          <w:p w14:paraId="698DC744" w14:textId="77777777" w:rsidR="00B67D7C" w:rsidRPr="00DE096C" w:rsidRDefault="00B67D7C" w:rsidP="00D45A46">
            <w:pPr>
              <w:jc w:val="both"/>
              <w:rPr>
                <w:bCs/>
                <w:color w:val="002060"/>
                <w:sz w:val="16"/>
                <w:szCs w:val="16"/>
              </w:rPr>
            </w:pPr>
            <w:r w:rsidRPr="00DE096C">
              <w:rPr>
                <w:bCs/>
                <w:color w:val="002060"/>
                <w:sz w:val="16"/>
                <w:szCs w:val="16"/>
              </w:rPr>
              <w:t>800</w:t>
            </w:r>
          </w:p>
        </w:tc>
        <w:tc>
          <w:tcPr>
            <w:tcW w:w="1092" w:type="dxa"/>
          </w:tcPr>
          <w:p w14:paraId="7F227588" w14:textId="77777777" w:rsidR="00B67D7C" w:rsidRPr="00DE096C" w:rsidRDefault="00B67D7C" w:rsidP="00D45A46">
            <w:pPr>
              <w:jc w:val="both"/>
              <w:rPr>
                <w:bCs/>
                <w:color w:val="002060"/>
                <w:sz w:val="16"/>
                <w:szCs w:val="16"/>
              </w:rPr>
            </w:pPr>
            <w:r w:rsidRPr="00DE096C">
              <w:rPr>
                <w:bCs/>
                <w:color w:val="002060"/>
                <w:sz w:val="16"/>
                <w:szCs w:val="16"/>
              </w:rPr>
              <w:t>15</w:t>
            </w:r>
          </w:p>
        </w:tc>
        <w:tc>
          <w:tcPr>
            <w:tcW w:w="1792" w:type="dxa"/>
          </w:tcPr>
          <w:p w14:paraId="6803EFF2" w14:textId="77777777" w:rsidR="00B67D7C" w:rsidRPr="00DE096C" w:rsidRDefault="00B67D7C" w:rsidP="00D45A46">
            <w:pPr>
              <w:jc w:val="both"/>
              <w:rPr>
                <w:bCs/>
                <w:color w:val="002060"/>
                <w:sz w:val="16"/>
                <w:szCs w:val="16"/>
              </w:rPr>
            </w:pPr>
            <w:r w:rsidRPr="00DE096C">
              <w:rPr>
                <w:bCs/>
                <w:color w:val="002060"/>
                <w:sz w:val="16"/>
                <w:szCs w:val="16"/>
              </w:rPr>
              <w:t>632,1</w:t>
            </w:r>
          </w:p>
        </w:tc>
        <w:tc>
          <w:tcPr>
            <w:tcW w:w="972" w:type="dxa"/>
          </w:tcPr>
          <w:p w14:paraId="7A18F565" w14:textId="77777777" w:rsidR="00B67D7C" w:rsidRPr="00DE096C" w:rsidRDefault="00B67D7C" w:rsidP="00D45A46">
            <w:pPr>
              <w:jc w:val="both"/>
              <w:rPr>
                <w:bCs/>
                <w:color w:val="002060"/>
                <w:sz w:val="16"/>
                <w:szCs w:val="16"/>
              </w:rPr>
            </w:pPr>
            <w:r w:rsidRPr="00DE096C">
              <w:rPr>
                <w:bCs/>
                <w:color w:val="002060"/>
                <w:sz w:val="16"/>
                <w:szCs w:val="16"/>
              </w:rPr>
              <w:t>1.432,1</w:t>
            </w:r>
          </w:p>
        </w:tc>
      </w:tr>
      <w:tr w:rsidR="00B67D7C" w:rsidRPr="00DE096C" w14:paraId="75D9DE5C" w14:textId="77777777" w:rsidTr="00C2024A">
        <w:tc>
          <w:tcPr>
            <w:tcW w:w="1248" w:type="dxa"/>
          </w:tcPr>
          <w:p w14:paraId="3734B6A2" w14:textId="77777777" w:rsidR="00B67D7C" w:rsidRPr="00DE096C" w:rsidRDefault="00B67D7C" w:rsidP="00D45A46">
            <w:pPr>
              <w:jc w:val="both"/>
              <w:rPr>
                <w:bCs/>
                <w:color w:val="002060"/>
                <w:sz w:val="16"/>
                <w:szCs w:val="16"/>
              </w:rPr>
            </w:pPr>
            <w:r w:rsidRPr="00DE096C">
              <w:rPr>
                <w:bCs/>
                <w:color w:val="002060"/>
                <w:sz w:val="16"/>
                <w:szCs w:val="16"/>
              </w:rPr>
              <w:t>Май</w:t>
            </w:r>
          </w:p>
        </w:tc>
        <w:tc>
          <w:tcPr>
            <w:tcW w:w="1503" w:type="dxa"/>
          </w:tcPr>
          <w:p w14:paraId="7C4F23F0" w14:textId="77777777" w:rsidR="00B67D7C" w:rsidRPr="00DE096C" w:rsidRDefault="00B67D7C" w:rsidP="00D45A46">
            <w:pPr>
              <w:jc w:val="both"/>
              <w:rPr>
                <w:bCs/>
                <w:color w:val="002060"/>
                <w:sz w:val="16"/>
                <w:szCs w:val="16"/>
              </w:rPr>
            </w:pPr>
            <w:r w:rsidRPr="00DE096C">
              <w:rPr>
                <w:bCs/>
                <w:color w:val="002060"/>
                <w:sz w:val="16"/>
                <w:szCs w:val="16"/>
              </w:rPr>
              <w:t>800</w:t>
            </w:r>
          </w:p>
        </w:tc>
        <w:tc>
          <w:tcPr>
            <w:tcW w:w="1092" w:type="dxa"/>
          </w:tcPr>
          <w:p w14:paraId="0322AC25" w14:textId="77777777" w:rsidR="00B67D7C" w:rsidRPr="00DE096C" w:rsidRDefault="00B67D7C" w:rsidP="00D45A46">
            <w:pPr>
              <w:jc w:val="both"/>
              <w:rPr>
                <w:bCs/>
                <w:color w:val="002060"/>
                <w:sz w:val="16"/>
                <w:szCs w:val="16"/>
              </w:rPr>
            </w:pPr>
            <w:r w:rsidRPr="00DE096C">
              <w:rPr>
                <w:bCs/>
                <w:color w:val="002060"/>
                <w:sz w:val="16"/>
                <w:szCs w:val="16"/>
              </w:rPr>
              <w:t>18</w:t>
            </w:r>
          </w:p>
        </w:tc>
        <w:tc>
          <w:tcPr>
            <w:tcW w:w="1792" w:type="dxa"/>
          </w:tcPr>
          <w:p w14:paraId="6432C7F4" w14:textId="77777777" w:rsidR="00B67D7C" w:rsidRPr="00DE096C" w:rsidRDefault="00B67D7C" w:rsidP="00D45A46">
            <w:pPr>
              <w:jc w:val="both"/>
              <w:rPr>
                <w:bCs/>
                <w:color w:val="002060"/>
                <w:sz w:val="16"/>
                <w:szCs w:val="16"/>
              </w:rPr>
            </w:pPr>
            <w:r w:rsidRPr="00DE096C">
              <w:rPr>
                <w:bCs/>
                <w:color w:val="002060"/>
                <w:sz w:val="16"/>
                <w:szCs w:val="16"/>
              </w:rPr>
              <w:t>739,8</w:t>
            </w:r>
          </w:p>
        </w:tc>
        <w:tc>
          <w:tcPr>
            <w:tcW w:w="972" w:type="dxa"/>
          </w:tcPr>
          <w:p w14:paraId="0B2DC48C" w14:textId="77777777" w:rsidR="00B67D7C" w:rsidRPr="00DE096C" w:rsidRDefault="00B67D7C" w:rsidP="00D45A46">
            <w:pPr>
              <w:jc w:val="both"/>
              <w:rPr>
                <w:bCs/>
                <w:color w:val="002060"/>
                <w:sz w:val="16"/>
                <w:szCs w:val="16"/>
              </w:rPr>
            </w:pPr>
            <w:r w:rsidRPr="00DE096C">
              <w:rPr>
                <w:bCs/>
                <w:color w:val="002060"/>
                <w:sz w:val="16"/>
                <w:szCs w:val="16"/>
              </w:rPr>
              <w:t>1.539,8</w:t>
            </w:r>
          </w:p>
        </w:tc>
      </w:tr>
      <w:tr w:rsidR="00B67D7C" w:rsidRPr="00DE096C" w14:paraId="600311D3" w14:textId="77777777" w:rsidTr="00C2024A">
        <w:tc>
          <w:tcPr>
            <w:tcW w:w="1248" w:type="dxa"/>
          </w:tcPr>
          <w:p w14:paraId="423475C5" w14:textId="77777777" w:rsidR="00B67D7C" w:rsidRPr="00DE096C" w:rsidRDefault="00B67D7C" w:rsidP="00D45A46">
            <w:pPr>
              <w:jc w:val="both"/>
              <w:rPr>
                <w:bCs/>
                <w:color w:val="002060"/>
                <w:sz w:val="16"/>
                <w:szCs w:val="16"/>
              </w:rPr>
            </w:pPr>
            <w:r w:rsidRPr="00DE096C">
              <w:rPr>
                <w:bCs/>
                <w:color w:val="002060"/>
                <w:sz w:val="16"/>
                <w:szCs w:val="16"/>
              </w:rPr>
              <w:t>Июнь</w:t>
            </w:r>
          </w:p>
        </w:tc>
        <w:tc>
          <w:tcPr>
            <w:tcW w:w="1503" w:type="dxa"/>
          </w:tcPr>
          <w:p w14:paraId="7196D444" w14:textId="77777777" w:rsidR="00B67D7C" w:rsidRPr="00DE096C" w:rsidRDefault="00B67D7C" w:rsidP="00D45A46">
            <w:pPr>
              <w:jc w:val="both"/>
              <w:rPr>
                <w:bCs/>
                <w:color w:val="002060"/>
                <w:sz w:val="16"/>
                <w:szCs w:val="16"/>
              </w:rPr>
            </w:pPr>
            <w:r w:rsidRPr="00DE096C">
              <w:rPr>
                <w:bCs/>
                <w:color w:val="002060"/>
                <w:sz w:val="16"/>
                <w:szCs w:val="16"/>
              </w:rPr>
              <w:t>800</w:t>
            </w:r>
          </w:p>
        </w:tc>
        <w:tc>
          <w:tcPr>
            <w:tcW w:w="1092" w:type="dxa"/>
          </w:tcPr>
          <w:p w14:paraId="425A1C67" w14:textId="77777777" w:rsidR="00B67D7C" w:rsidRPr="00DE096C" w:rsidRDefault="00B67D7C" w:rsidP="00D45A46">
            <w:pPr>
              <w:jc w:val="both"/>
              <w:rPr>
                <w:bCs/>
                <w:color w:val="002060"/>
                <w:sz w:val="16"/>
                <w:szCs w:val="16"/>
              </w:rPr>
            </w:pPr>
            <w:r w:rsidRPr="00DE096C">
              <w:rPr>
                <w:bCs/>
                <w:color w:val="002060"/>
                <w:sz w:val="16"/>
                <w:szCs w:val="16"/>
              </w:rPr>
              <w:t>18</w:t>
            </w:r>
          </w:p>
        </w:tc>
        <w:tc>
          <w:tcPr>
            <w:tcW w:w="1792" w:type="dxa"/>
          </w:tcPr>
          <w:p w14:paraId="1600843F" w14:textId="77777777" w:rsidR="00B67D7C" w:rsidRPr="00DE096C" w:rsidRDefault="00B67D7C" w:rsidP="00D45A46">
            <w:pPr>
              <w:jc w:val="both"/>
              <w:rPr>
                <w:bCs/>
                <w:color w:val="002060"/>
                <w:sz w:val="16"/>
                <w:szCs w:val="16"/>
              </w:rPr>
            </w:pPr>
            <w:r w:rsidRPr="00DE096C">
              <w:rPr>
                <w:bCs/>
                <w:color w:val="002060"/>
                <w:sz w:val="16"/>
                <w:szCs w:val="16"/>
              </w:rPr>
              <w:t>739,8</w:t>
            </w:r>
          </w:p>
        </w:tc>
        <w:tc>
          <w:tcPr>
            <w:tcW w:w="972" w:type="dxa"/>
          </w:tcPr>
          <w:p w14:paraId="2CDE1CC9" w14:textId="77777777" w:rsidR="00B67D7C" w:rsidRPr="00DE096C" w:rsidRDefault="00B67D7C" w:rsidP="00D45A46">
            <w:pPr>
              <w:jc w:val="both"/>
              <w:rPr>
                <w:bCs/>
                <w:color w:val="002060"/>
                <w:sz w:val="16"/>
                <w:szCs w:val="16"/>
              </w:rPr>
            </w:pPr>
            <w:r w:rsidRPr="00DE096C">
              <w:rPr>
                <w:bCs/>
                <w:color w:val="002060"/>
                <w:sz w:val="16"/>
                <w:szCs w:val="16"/>
              </w:rPr>
              <w:t>1.539,8</w:t>
            </w:r>
          </w:p>
        </w:tc>
      </w:tr>
      <w:tr w:rsidR="00B67D7C" w:rsidRPr="00DE096C" w14:paraId="635C7497" w14:textId="77777777" w:rsidTr="00C2024A">
        <w:tc>
          <w:tcPr>
            <w:tcW w:w="1248" w:type="dxa"/>
          </w:tcPr>
          <w:p w14:paraId="70CFBE71" w14:textId="77777777" w:rsidR="00B67D7C" w:rsidRPr="00DE096C" w:rsidRDefault="00B67D7C" w:rsidP="00D45A46">
            <w:pPr>
              <w:jc w:val="both"/>
              <w:rPr>
                <w:bCs/>
                <w:color w:val="002060"/>
                <w:sz w:val="16"/>
                <w:szCs w:val="16"/>
              </w:rPr>
            </w:pPr>
            <w:r w:rsidRPr="00DE096C">
              <w:rPr>
                <w:bCs/>
                <w:color w:val="002060"/>
                <w:sz w:val="16"/>
                <w:szCs w:val="16"/>
              </w:rPr>
              <w:t>Июль</w:t>
            </w:r>
          </w:p>
        </w:tc>
        <w:tc>
          <w:tcPr>
            <w:tcW w:w="1503" w:type="dxa"/>
          </w:tcPr>
          <w:p w14:paraId="6CC9D961" w14:textId="77777777" w:rsidR="00B67D7C" w:rsidRPr="00DE096C" w:rsidRDefault="00B67D7C" w:rsidP="00D45A46">
            <w:pPr>
              <w:jc w:val="both"/>
              <w:rPr>
                <w:bCs/>
                <w:color w:val="002060"/>
                <w:sz w:val="16"/>
                <w:szCs w:val="16"/>
              </w:rPr>
            </w:pPr>
            <w:r w:rsidRPr="00DE096C">
              <w:rPr>
                <w:bCs/>
                <w:color w:val="002060"/>
                <w:sz w:val="16"/>
                <w:szCs w:val="16"/>
              </w:rPr>
              <w:t>800</w:t>
            </w:r>
          </w:p>
        </w:tc>
        <w:tc>
          <w:tcPr>
            <w:tcW w:w="1092" w:type="dxa"/>
          </w:tcPr>
          <w:p w14:paraId="16A54079" w14:textId="77777777" w:rsidR="00B67D7C" w:rsidRPr="00DE096C" w:rsidRDefault="00B67D7C" w:rsidP="00D45A46">
            <w:pPr>
              <w:jc w:val="both"/>
              <w:rPr>
                <w:bCs/>
                <w:color w:val="002060"/>
                <w:sz w:val="16"/>
                <w:szCs w:val="16"/>
              </w:rPr>
            </w:pPr>
            <w:r w:rsidRPr="00DE096C">
              <w:rPr>
                <w:bCs/>
                <w:color w:val="002060"/>
                <w:sz w:val="16"/>
                <w:szCs w:val="16"/>
              </w:rPr>
              <w:t>23</w:t>
            </w:r>
          </w:p>
        </w:tc>
        <w:tc>
          <w:tcPr>
            <w:tcW w:w="1792" w:type="dxa"/>
          </w:tcPr>
          <w:p w14:paraId="5CA71A87" w14:textId="77777777" w:rsidR="00B67D7C" w:rsidRPr="00DE096C" w:rsidRDefault="00B67D7C" w:rsidP="00D45A46">
            <w:pPr>
              <w:jc w:val="both"/>
              <w:rPr>
                <w:bCs/>
                <w:color w:val="002060"/>
                <w:sz w:val="16"/>
                <w:szCs w:val="16"/>
              </w:rPr>
            </w:pPr>
            <w:r w:rsidRPr="00DE096C">
              <w:rPr>
                <w:bCs/>
                <w:color w:val="002060"/>
                <w:sz w:val="16"/>
                <w:szCs w:val="16"/>
              </w:rPr>
              <w:t>932,4</w:t>
            </w:r>
          </w:p>
        </w:tc>
        <w:tc>
          <w:tcPr>
            <w:tcW w:w="972" w:type="dxa"/>
          </w:tcPr>
          <w:p w14:paraId="11B18C34" w14:textId="77777777" w:rsidR="00B67D7C" w:rsidRPr="00DE096C" w:rsidRDefault="00B67D7C" w:rsidP="00D45A46">
            <w:pPr>
              <w:jc w:val="both"/>
              <w:rPr>
                <w:bCs/>
                <w:color w:val="002060"/>
                <w:sz w:val="16"/>
                <w:szCs w:val="16"/>
              </w:rPr>
            </w:pPr>
            <w:r w:rsidRPr="00DE096C">
              <w:rPr>
                <w:bCs/>
                <w:color w:val="002060"/>
                <w:sz w:val="16"/>
                <w:szCs w:val="16"/>
              </w:rPr>
              <w:t>1.732,4</w:t>
            </w:r>
          </w:p>
        </w:tc>
      </w:tr>
      <w:tr w:rsidR="00B67D7C" w:rsidRPr="00DE096C" w14:paraId="0DC541B1" w14:textId="77777777" w:rsidTr="00C2024A">
        <w:tc>
          <w:tcPr>
            <w:tcW w:w="1248" w:type="dxa"/>
          </w:tcPr>
          <w:p w14:paraId="6CF1AC8E" w14:textId="77777777" w:rsidR="00B67D7C" w:rsidRPr="00DE096C" w:rsidRDefault="00B67D7C" w:rsidP="00D45A46">
            <w:pPr>
              <w:jc w:val="both"/>
              <w:rPr>
                <w:bCs/>
                <w:color w:val="002060"/>
                <w:sz w:val="16"/>
                <w:szCs w:val="16"/>
              </w:rPr>
            </w:pPr>
            <w:r w:rsidRPr="00DE096C">
              <w:rPr>
                <w:bCs/>
                <w:color w:val="002060"/>
                <w:sz w:val="16"/>
                <w:szCs w:val="16"/>
              </w:rPr>
              <w:t>Август</w:t>
            </w:r>
          </w:p>
        </w:tc>
        <w:tc>
          <w:tcPr>
            <w:tcW w:w="1503" w:type="dxa"/>
          </w:tcPr>
          <w:p w14:paraId="0E75AC6A" w14:textId="77777777" w:rsidR="00B67D7C" w:rsidRPr="00DE096C" w:rsidRDefault="00B67D7C" w:rsidP="00D45A46">
            <w:pPr>
              <w:jc w:val="both"/>
              <w:rPr>
                <w:bCs/>
                <w:color w:val="002060"/>
                <w:sz w:val="16"/>
                <w:szCs w:val="16"/>
              </w:rPr>
            </w:pPr>
            <w:r w:rsidRPr="00DE096C">
              <w:rPr>
                <w:bCs/>
                <w:color w:val="002060"/>
                <w:sz w:val="16"/>
                <w:szCs w:val="16"/>
              </w:rPr>
              <w:t>800</w:t>
            </w:r>
          </w:p>
        </w:tc>
        <w:tc>
          <w:tcPr>
            <w:tcW w:w="1092" w:type="dxa"/>
          </w:tcPr>
          <w:p w14:paraId="5364167A" w14:textId="77777777" w:rsidR="00B67D7C" w:rsidRPr="00DE096C" w:rsidRDefault="00B67D7C" w:rsidP="00D45A46">
            <w:pPr>
              <w:jc w:val="both"/>
              <w:rPr>
                <w:bCs/>
                <w:color w:val="002060"/>
                <w:sz w:val="16"/>
                <w:szCs w:val="16"/>
              </w:rPr>
            </w:pPr>
            <w:r w:rsidRPr="00DE096C">
              <w:rPr>
                <w:bCs/>
                <w:color w:val="002060"/>
                <w:sz w:val="16"/>
                <w:szCs w:val="16"/>
              </w:rPr>
              <w:t>23</w:t>
            </w:r>
          </w:p>
        </w:tc>
        <w:tc>
          <w:tcPr>
            <w:tcW w:w="1792" w:type="dxa"/>
          </w:tcPr>
          <w:p w14:paraId="41BF3A76" w14:textId="77777777" w:rsidR="00B67D7C" w:rsidRPr="00DE096C" w:rsidRDefault="00B67D7C" w:rsidP="00D45A46">
            <w:pPr>
              <w:jc w:val="both"/>
              <w:rPr>
                <w:bCs/>
                <w:color w:val="002060"/>
                <w:sz w:val="16"/>
                <w:szCs w:val="16"/>
              </w:rPr>
            </w:pPr>
            <w:r w:rsidRPr="00DE096C">
              <w:rPr>
                <w:bCs/>
                <w:color w:val="002060"/>
                <w:sz w:val="16"/>
                <w:szCs w:val="16"/>
              </w:rPr>
              <w:t>932,4</w:t>
            </w:r>
          </w:p>
        </w:tc>
        <w:tc>
          <w:tcPr>
            <w:tcW w:w="972" w:type="dxa"/>
          </w:tcPr>
          <w:p w14:paraId="6032892C" w14:textId="77777777" w:rsidR="00B67D7C" w:rsidRPr="00DE096C" w:rsidRDefault="00B67D7C" w:rsidP="00D45A46">
            <w:pPr>
              <w:jc w:val="both"/>
              <w:rPr>
                <w:bCs/>
                <w:color w:val="002060"/>
                <w:sz w:val="16"/>
                <w:szCs w:val="16"/>
              </w:rPr>
            </w:pPr>
            <w:r w:rsidRPr="00DE096C">
              <w:rPr>
                <w:bCs/>
                <w:color w:val="002060"/>
                <w:sz w:val="16"/>
                <w:szCs w:val="16"/>
              </w:rPr>
              <w:t>1.732,4</w:t>
            </w:r>
          </w:p>
        </w:tc>
      </w:tr>
      <w:tr w:rsidR="00B67D7C" w:rsidRPr="00DE096C" w14:paraId="1700A940" w14:textId="77777777" w:rsidTr="00C2024A">
        <w:tc>
          <w:tcPr>
            <w:tcW w:w="1248" w:type="dxa"/>
          </w:tcPr>
          <w:p w14:paraId="6375DB92" w14:textId="77777777" w:rsidR="00B67D7C" w:rsidRPr="00DE096C" w:rsidRDefault="00B67D7C" w:rsidP="00D45A46">
            <w:pPr>
              <w:jc w:val="both"/>
              <w:rPr>
                <w:bCs/>
                <w:color w:val="002060"/>
                <w:sz w:val="16"/>
                <w:szCs w:val="16"/>
              </w:rPr>
            </w:pPr>
            <w:r w:rsidRPr="00DE096C">
              <w:rPr>
                <w:bCs/>
                <w:color w:val="002060"/>
                <w:sz w:val="16"/>
                <w:szCs w:val="16"/>
              </w:rPr>
              <w:t>Сентябрь</w:t>
            </w:r>
          </w:p>
        </w:tc>
        <w:tc>
          <w:tcPr>
            <w:tcW w:w="1503" w:type="dxa"/>
          </w:tcPr>
          <w:p w14:paraId="3B7559B0" w14:textId="77777777" w:rsidR="00B67D7C" w:rsidRPr="00DE096C" w:rsidRDefault="00B67D7C" w:rsidP="00D45A46">
            <w:pPr>
              <w:jc w:val="both"/>
              <w:rPr>
                <w:bCs/>
                <w:color w:val="002060"/>
                <w:sz w:val="16"/>
                <w:szCs w:val="16"/>
              </w:rPr>
            </w:pPr>
            <w:r w:rsidRPr="00DE096C">
              <w:rPr>
                <w:bCs/>
                <w:color w:val="002060"/>
                <w:sz w:val="16"/>
                <w:szCs w:val="16"/>
              </w:rPr>
              <w:t>800</w:t>
            </w:r>
          </w:p>
        </w:tc>
        <w:tc>
          <w:tcPr>
            <w:tcW w:w="1092" w:type="dxa"/>
          </w:tcPr>
          <w:p w14:paraId="1FFE9320" w14:textId="77777777" w:rsidR="00B67D7C" w:rsidRPr="00DE096C" w:rsidRDefault="00B67D7C" w:rsidP="00D45A46">
            <w:pPr>
              <w:jc w:val="both"/>
              <w:rPr>
                <w:bCs/>
                <w:color w:val="002060"/>
                <w:sz w:val="16"/>
                <w:szCs w:val="16"/>
              </w:rPr>
            </w:pPr>
            <w:r w:rsidRPr="00DE096C">
              <w:rPr>
                <w:bCs/>
                <w:color w:val="002060"/>
                <w:sz w:val="16"/>
                <w:szCs w:val="16"/>
              </w:rPr>
              <w:t>28</w:t>
            </w:r>
          </w:p>
        </w:tc>
        <w:tc>
          <w:tcPr>
            <w:tcW w:w="1792" w:type="dxa"/>
          </w:tcPr>
          <w:p w14:paraId="045EF278" w14:textId="77777777" w:rsidR="00B67D7C" w:rsidRPr="00DE096C" w:rsidRDefault="00B67D7C" w:rsidP="00D45A46">
            <w:pPr>
              <w:jc w:val="both"/>
              <w:rPr>
                <w:bCs/>
                <w:color w:val="002060"/>
                <w:sz w:val="16"/>
                <w:szCs w:val="16"/>
              </w:rPr>
            </w:pPr>
            <w:r w:rsidRPr="00DE096C">
              <w:rPr>
                <w:bCs/>
                <w:color w:val="002060"/>
                <w:sz w:val="16"/>
                <w:szCs w:val="16"/>
              </w:rPr>
              <w:t>1.064,7</w:t>
            </w:r>
          </w:p>
        </w:tc>
        <w:tc>
          <w:tcPr>
            <w:tcW w:w="972" w:type="dxa"/>
          </w:tcPr>
          <w:p w14:paraId="49888FC7" w14:textId="77777777" w:rsidR="00B67D7C" w:rsidRPr="00DE096C" w:rsidRDefault="00B67D7C" w:rsidP="00D45A46">
            <w:pPr>
              <w:jc w:val="both"/>
              <w:rPr>
                <w:bCs/>
                <w:color w:val="002060"/>
                <w:sz w:val="16"/>
                <w:szCs w:val="16"/>
              </w:rPr>
            </w:pPr>
            <w:r w:rsidRPr="00DE096C">
              <w:rPr>
                <w:bCs/>
                <w:color w:val="002060"/>
                <w:sz w:val="16"/>
                <w:szCs w:val="16"/>
              </w:rPr>
              <w:t>1.864,7</w:t>
            </w:r>
          </w:p>
        </w:tc>
      </w:tr>
      <w:tr w:rsidR="00B67D7C" w:rsidRPr="00DE096C" w14:paraId="18C9876C" w14:textId="77777777" w:rsidTr="00C2024A">
        <w:tc>
          <w:tcPr>
            <w:tcW w:w="1248" w:type="dxa"/>
          </w:tcPr>
          <w:p w14:paraId="0F69BB91" w14:textId="77777777" w:rsidR="00B67D7C" w:rsidRPr="00DE096C" w:rsidRDefault="00B67D7C" w:rsidP="00D45A46">
            <w:pPr>
              <w:jc w:val="both"/>
              <w:rPr>
                <w:bCs/>
                <w:color w:val="002060"/>
                <w:sz w:val="16"/>
                <w:szCs w:val="16"/>
              </w:rPr>
            </w:pPr>
            <w:r w:rsidRPr="00DE096C">
              <w:rPr>
                <w:bCs/>
                <w:color w:val="002060"/>
                <w:sz w:val="16"/>
                <w:szCs w:val="16"/>
              </w:rPr>
              <w:t>Октябрь</w:t>
            </w:r>
          </w:p>
        </w:tc>
        <w:tc>
          <w:tcPr>
            <w:tcW w:w="1503" w:type="dxa"/>
          </w:tcPr>
          <w:p w14:paraId="664D6FCF" w14:textId="77777777" w:rsidR="00B67D7C" w:rsidRPr="00DE096C" w:rsidRDefault="00B67D7C" w:rsidP="00D45A46">
            <w:pPr>
              <w:jc w:val="both"/>
              <w:rPr>
                <w:bCs/>
                <w:color w:val="002060"/>
                <w:sz w:val="16"/>
                <w:szCs w:val="16"/>
              </w:rPr>
            </w:pPr>
            <w:r w:rsidRPr="00DE096C">
              <w:rPr>
                <w:bCs/>
                <w:color w:val="002060"/>
                <w:sz w:val="16"/>
                <w:szCs w:val="16"/>
              </w:rPr>
              <w:t>800</w:t>
            </w:r>
          </w:p>
        </w:tc>
        <w:tc>
          <w:tcPr>
            <w:tcW w:w="1092" w:type="dxa"/>
          </w:tcPr>
          <w:p w14:paraId="43C732A3" w14:textId="77777777" w:rsidR="00B67D7C" w:rsidRPr="00DE096C" w:rsidRDefault="00B67D7C" w:rsidP="00D45A46">
            <w:pPr>
              <w:jc w:val="both"/>
              <w:rPr>
                <w:bCs/>
                <w:color w:val="002060"/>
                <w:sz w:val="16"/>
                <w:szCs w:val="16"/>
              </w:rPr>
            </w:pPr>
            <w:r w:rsidRPr="00DE096C">
              <w:rPr>
                <w:bCs/>
                <w:color w:val="002060"/>
                <w:sz w:val="16"/>
                <w:szCs w:val="16"/>
              </w:rPr>
              <w:t>28</w:t>
            </w:r>
          </w:p>
        </w:tc>
        <w:tc>
          <w:tcPr>
            <w:tcW w:w="1792" w:type="dxa"/>
          </w:tcPr>
          <w:p w14:paraId="4BEE7A45" w14:textId="77777777" w:rsidR="00B67D7C" w:rsidRPr="00DE096C" w:rsidRDefault="00B67D7C" w:rsidP="00D45A46">
            <w:pPr>
              <w:jc w:val="both"/>
              <w:rPr>
                <w:bCs/>
                <w:color w:val="002060"/>
                <w:sz w:val="16"/>
                <w:szCs w:val="16"/>
              </w:rPr>
            </w:pPr>
            <w:r w:rsidRPr="00DE096C">
              <w:rPr>
                <w:bCs/>
                <w:color w:val="002060"/>
                <w:sz w:val="16"/>
                <w:szCs w:val="16"/>
              </w:rPr>
              <w:t>1.064,7</w:t>
            </w:r>
          </w:p>
        </w:tc>
        <w:tc>
          <w:tcPr>
            <w:tcW w:w="972" w:type="dxa"/>
          </w:tcPr>
          <w:p w14:paraId="16D587DB" w14:textId="77777777" w:rsidR="00B67D7C" w:rsidRPr="00DE096C" w:rsidRDefault="00B67D7C" w:rsidP="00D45A46">
            <w:pPr>
              <w:jc w:val="both"/>
              <w:rPr>
                <w:bCs/>
                <w:color w:val="002060"/>
                <w:sz w:val="16"/>
                <w:szCs w:val="16"/>
              </w:rPr>
            </w:pPr>
            <w:r w:rsidRPr="00DE096C">
              <w:rPr>
                <w:bCs/>
                <w:color w:val="002060"/>
                <w:sz w:val="16"/>
                <w:szCs w:val="16"/>
              </w:rPr>
              <w:t>1.864,7</w:t>
            </w:r>
          </w:p>
        </w:tc>
      </w:tr>
      <w:tr w:rsidR="00B67D7C" w:rsidRPr="00DE096C" w14:paraId="12E4175D" w14:textId="77777777" w:rsidTr="00C2024A">
        <w:tc>
          <w:tcPr>
            <w:tcW w:w="1248" w:type="dxa"/>
          </w:tcPr>
          <w:p w14:paraId="065CE9D1" w14:textId="77777777" w:rsidR="00B67D7C" w:rsidRPr="00DE096C" w:rsidRDefault="00B67D7C" w:rsidP="00D45A46">
            <w:pPr>
              <w:jc w:val="both"/>
              <w:rPr>
                <w:bCs/>
                <w:color w:val="002060"/>
                <w:sz w:val="16"/>
                <w:szCs w:val="16"/>
              </w:rPr>
            </w:pPr>
            <w:r w:rsidRPr="00DE096C">
              <w:rPr>
                <w:bCs/>
                <w:color w:val="002060"/>
                <w:sz w:val="16"/>
                <w:szCs w:val="16"/>
              </w:rPr>
              <w:t>Ноябрь</w:t>
            </w:r>
          </w:p>
        </w:tc>
        <w:tc>
          <w:tcPr>
            <w:tcW w:w="1503" w:type="dxa"/>
          </w:tcPr>
          <w:p w14:paraId="3582B784" w14:textId="77777777" w:rsidR="00B67D7C" w:rsidRPr="00DE096C" w:rsidRDefault="00B67D7C" w:rsidP="00D45A46">
            <w:pPr>
              <w:jc w:val="both"/>
              <w:rPr>
                <w:bCs/>
                <w:color w:val="002060"/>
                <w:sz w:val="16"/>
                <w:szCs w:val="16"/>
              </w:rPr>
            </w:pPr>
            <w:r w:rsidRPr="00DE096C">
              <w:rPr>
                <w:bCs/>
                <w:color w:val="002060"/>
                <w:sz w:val="16"/>
                <w:szCs w:val="16"/>
              </w:rPr>
              <w:t>800</w:t>
            </w:r>
          </w:p>
        </w:tc>
        <w:tc>
          <w:tcPr>
            <w:tcW w:w="1092" w:type="dxa"/>
          </w:tcPr>
          <w:p w14:paraId="72C70C74" w14:textId="77777777" w:rsidR="00B67D7C" w:rsidRPr="00DE096C" w:rsidRDefault="00B67D7C" w:rsidP="00D45A46">
            <w:pPr>
              <w:jc w:val="both"/>
              <w:rPr>
                <w:bCs/>
                <w:color w:val="002060"/>
                <w:sz w:val="16"/>
                <w:szCs w:val="16"/>
              </w:rPr>
            </w:pPr>
            <w:r w:rsidRPr="00DE096C">
              <w:rPr>
                <w:bCs/>
                <w:color w:val="002060"/>
                <w:sz w:val="16"/>
                <w:szCs w:val="16"/>
              </w:rPr>
              <w:t>28</w:t>
            </w:r>
          </w:p>
        </w:tc>
        <w:tc>
          <w:tcPr>
            <w:tcW w:w="1792" w:type="dxa"/>
          </w:tcPr>
          <w:p w14:paraId="5935C59C" w14:textId="77777777" w:rsidR="00B67D7C" w:rsidRPr="00DE096C" w:rsidRDefault="00B67D7C" w:rsidP="00D45A46">
            <w:pPr>
              <w:jc w:val="both"/>
              <w:rPr>
                <w:bCs/>
                <w:color w:val="002060"/>
                <w:sz w:val="16"/>
                <w:szCs w:val="16"/>
              </w:rPr>
            </w:pPr>
            <w:r w:rsidRPr="00DE096C">
              <w:rPr>
                <w:bCs/>
                <w:color w:val="002060"/>
                <w:sz w:val="16"/>
                <w:szCs w:val="16"/>
              </w:rPr>
              <w:t>1.064,7</w:t>
            </w:r>
          </w:p>
        </w:tc>
        <w:tc>
          <w:tcPr>
            <w:tcW w:w="972" w:type="dxa"/>
          </w:tcPr>
          <w:p w14:paraId="7EEADB18" w14:textId="77777777" w:rsidR="00B67D7C" w:rsidRPr="00DE096C" w:rsidRDefault="00B67D7C" w:rsidP="00D45A46">
            <w:pPr>
              <w:jc w:val="both"/>
              <w:rPr>
                <w:bCs/>
                <w:color w:val="002060"/>
                <w:sz w:val="16"/>
                <w:szCs w:val="16"/>
              </w:rPr>
            </w:pPr>
            <w:r w:rsidRPr="00DE096C">
              <w:rPr>
                <w:bCs/>
                <w:color w:val="002060"/>
                <w:sz w:val="16"/>
                <w:szCs w:val="16"/>
              </w:rPr>
              <w:t>1.864,7</w:t>
            </w:r>
          </w:p>
        </w:tc>
      </w:tr>
      <w:tr w:rsidR="00B67D7C" w:rsidRPr="00DE096C" w14:paraId="020951F9" w14:textId="77777777" w:rsidTr="00C2024A">
        <w:tc>
          <w:tcPr>
            <w:tcW w:w="1248" w:type="dxa"/>
          </w:tcPr>
          <w:p w14:paraId="53611723" w14:textId="77777777" w:rsidR="00B67D7C" w:rsidRPr="00DE096C" w:rsidRDefault="00B67D7C" w:rsidP="00D45A46">
            <w:pPr>
              <w:jc w:val="both"/>
              <w:rPr>
                <w:bCs/>
                <w:color w:val="002060"/>
                <w:sz w:val="16"/>
                <w:szCs w:val="16"/>
              </w:rPr>
            </w:pPr>
            <w:r w:rsidRPr="00DE096C">
              <w:rPr>
                <w:bCs/>
                <w:color w:val="002060"/>
                <w:sz w:val="16"/>
                <w:szCs w:val="16"/>
              </w:rPr>
              <w:t>Декабрь</w:t>
            </w:r>
          </w:p>
        </w:tc>
        <w:tc>
          <w:tcPr>
            <w:tcW w:w="1503" w:type="dxa"/>
          </w:tcPr>
          <w:p w14:paraId="4EC17713" w14:textId="77777777" w:rsidR="00B67D7C" w:rsidRPr="00DE096C" w:rsidRDefault="00B67D7C" w:rsidP="00D45A46">
            <w:pPr>
              <w:jc w:val="both"/>
              <w:rPr>
                <w:bCs/>
                <w:color w:val="002060"/>
                <w:sz w:val="16"/>
                <w:szCs w:val="16"/>
              </w:rPr>
            </w:pPr>
            <w:r w:rsidRPr="00DE096C">
              <w:rPr>
                <w:bCs/>
                <w:color w:val="002060"/>
                <w:sz w:val="16"/>
                <w:szCs w:val="16"/>
              </w:rPr>
              <w:t>800</w:t>
            </w:r>
          </w:p>
        </w:tc>
        <w:tc>
          <w:tcPr>
            <w:tcW w:w="1092" w:type="dxa"/>
          </w:tcPr>
          <w:p w14:paraId="6F01FA2D" w14:textId="77777777" w:rsidR="00B67D7C" w:rsidRPr="00DE096C" w:rsidRDefault="00B67D7C" w:rsidP="00D45A46">
            <w:pPr>
              <w:jc w:val="both"/>
              <w:rPr>
                <w:bCs/>
                <w:color w:val="002060"/>
                <w:sz w:val="16"/>
                <w:szCs w:val="16"/>
              </w:rPr>
            </w:pPr>
            <w:r w:rsidRPr="00DE096C">
              <w:rPr>
                <w:bCs/>
                <w:color w:val="002060"/>
                <w:sz w:val="16"/>
                <w:szCs w:val="16"/>
              </w:rPr>
              <w:t>28</w:t>
            </w:r>
          </w:p>
        </w:tc>
        <w:tc>
          <w:tcPr>
            <w:tcW w:w="1792" w:type="dxa"/>
          </w:tcPr>
          <w:p w14:paraId="39E78E3A" w14:textId="77777777" w:rsidR="00B67D7C" w:rsidRPr="00DE096C" w:rsidRDefault="00B67D7C" w:rsidP="00D45A46">
            <w:pPr>
              <w:jc w:val="both"/>
              <w:rPr>
                <w:bCs/>
                <w:color w:val="002060"/>
                <w:sz w:val="16"/>
                <w:szCs w:val="16"/>
              </w:rPr>
            </w:pPr>
            <w:r w:rsidRPr="00DE096C">
              <w:rPr>
                <w:bCs/>
                <w:color w:val="002060"/>
                <w:sz w:val="16"/>
                <w:szCs w:val="16"/>
              </w:rPr>
              <w:t>1.064,7</w:t>
            </w:r>
          </w:p>
        </w:tc>
        <w:tc>
          <w:tcPr>
            <w:tcW w:w="972" w:type="dxa"/>
          </w:tcPr>
          <w:p w14:paraId="034826E8" w14:textId="77777777" w:rsidR="00B67D7C" w:rsidRPr="00DE096C" w:rsidRDefault="00B67D7C" w:rsidP="00D45A46">
            <w:pPr>
              <w:jc w:val="both"/>
              <w:rPr>
                <w:bCs/>
                <w:color w:val="002060"/>
                <w:sz w:val="16"/>
                <w:szCs w:val="16"/>
              </w:rPr>
            </w:pPr>
            <w:r w:rsidRPr="00DE096C">
              <w:rPr>
                <w:bCs/>
                <w:color w:val="002060"/>
                <w:sz w:val="16"/>
                <w:szCs w:val="16"/>
              </w:rPr>
              <w:t>1.864,7</w:t>
            </w:r>
          </w:p>
        </w:tc>
      </w:tr>
    </w:tbl>
    <w:p w14:paraId="3A9A8012" w14:textId="77777777" w:rsidR="00B67D7C" w:rsidRPr="00DE096C" w:rsidRDefault="00B67D7C" w:rsidP="00D45A46">
      <w:pPr>
        <w:jc w:val="both"/>
        <w:rPr>
          <w:bCs/>
          <w:color w:val="002060"/>
          <w:sz w:val="16"/>
          <w:szCs w:val="16"/>
        </w:rPr>
      </w:pPr>
      <w:r w:rsidRPr="00DE096C">
        <w:rPr>
          <w:bCs/>
          <w:color w:val="002060"/>
          <w:sz w:val="16"/>
          <w:szCs w:val="16"/>
        </w:rPr>
        <w:t>Фактически эта программа выполнялась на 80%.</w:t>
      </w:r>
    </w:p>
    <w:p w14:paraId="54300F5F" w14:textId="77777777" w:rsidR="00B67D7C" w:rsidRPr="00DE096C" w:rsidRDefault="00B67D7C" w:rsidP="00D45A46">
      <w:pPr>
        <w:jc w:val="both"/>
        <w:rPr>
          <w:bCs/>
          <w:color w:val="002060"/>
          <w:sz w:val="16"/>
          <w:szCs w:val="16"/>
        </w:rPr>
      </w:pPr>
      <w:r w:rsidRPr="00DE096C">
        <w:rPr>
          <w:bCs/>
          <w:color w:val="002060"/>
          <w:sz w:val="16"/>
          <w:szCs w:val="16"/>
        </w:rPr>
        <w:t xml:space="preserve"> Что касается добычи колчедана, то в связи с программой сернокислотных заводов программа по колчедану была намечена следующая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652"/>
        <w:gridCol w:w="612"/>
        <w:gridCol w:w="650"/>
        <w:gridCol w:w="636"/>
        <w:gridCol w:w="728"/>
      </w:tblGrid>
      <w:tr w:rsidR="00B67D7C" w:rsidRPr="00DE096C" w14:paraId="3EF19B58" w14:textId="77777777" w:rsidTr="00C2024A">
        <w:tc>
          <w:tcPr>
            <w:tcW w:w="2652" w:type="dxa"/>
          </w:tcPr>
          <w:p w14:paraId="52CA83BB" w14:textId="77777777" w:rsidR="00B67D7C" w:rsidRPr="00DE096C" w:rsidRDefault="00B67D7C" w:rsidP="00D45A46">
            <w:pPr>
              <w:jc w:val="both"/>
              <w:rPr>
                <w:bCs/>
                <w:color w:val="002060"/>
                <w:sz w:val="16"/>
                <w:szCs w:val="16"/>
              </w:rPr>
            </w:pPr>
            <w:r w:rsidRPr="00DE096C">
              <w:rPr>
                <w:bCs/>
                <w:color w:val="002060"/>
                <w:sz w:val="16"/>
                <w:szCs w:val="16"/>
              </w:rPr>
              <w:t> </w:t>
            </w:r>
          </w:p>
        </w:tc>
        <w:tc>
          <w:tcPr>
            <w:tcW w:w="612" w:type="dxa"/>
          </w:tcPr>
          <w:p w14:paraId="3E2C7D11" w14:textId="77777777" w:rsidR="00B67D7C" w:rsidRPr="00DE096C" w:rsidRDefault="00B67D7C" w:rsidP="00D45A46">
            <w:pPr>
              <w:jc w:val="both"/>
              <w:rPr>
                <w:bCs/>
                <w:color w:val="002060"/>
                <w:sz w:val="16"/>
                <w:szCs w:val="16"/>
              </w:rPr>
            </w:pPr>
            <w:r w:rsidRPr="00DE096C">
              <w:rPr>
                <w:bCs/>
                <w:color w:val="002060"/>
                <w:sz w:val="16"/>
                <w:szCs w:val="16"/>
              </w:rPr>
              <w:t>Август 1915 г.</w:t>
            </w:r>
          </w:p>
        </w:tc>
        <w:tc>
          <w:tcPr>
            <w:tcW w:w="650" w:type="dxa"/>
          </w:tcPr>
          <w:p w14:paraId="4BC6D0BD" w14:textId="77777777" w:rsidR="00B67D7C" w:rsidRPr="00DE096C" w:rsidRDefault="00B67D7C" w:rsidP="00D45A46">
            <w:pPr>
              <w:jc w:val="both"/>
              <w:rPr>
                <w:bCs/>
                <w:color w:val="002060"/>
                <w:sz w:val="16"/>
                <w:szCs w:val="16"/>
              </w:rPr>
            </w:pPr>
            <w:r w:rsidRPr="00DE096C">
              <w:rPr>
                <w:bCs/>
                <w:color w:val="002060"/>
                <w:sz w:val="16"/>
                <w:szCs w:val="16"/>
              </w:rPr>
              <w:t>Январь 1916 г.</w:t>
            </w:r>
          </w:p>
        </w:tc>
        <w:tc>
          <w:tcPr>
            <w:tcW w:w="636" w:type="dxa"/>
          </w:tcPr>
          <w:p w14:paraId="2542BB27" w14:textId="77777777" w:rsidR="00B67D7C" w:rsidRPr="00DE096C" w:rsidRDefault="00B67D7C" w:rsidP="00D45A46">
            <w:pPr>
              <w:jc w:val="both"/>
              <w:rPr>
                <w:bCs/>
                <w:color w:val="002060"/>
                <w:sz w:val="16"/>
                <w:szCs w:val="16"/>
              </w:rPr>
            </w:pPr>
            <w:r w:rsidRPr="00DE096C">
              <w:rPr>
                <w:bCs/>
                <w:color w:val="002060"/>
                <w:sz w:val="16"/>
                <w:szCs w:val="16"/>
              </w:rPr>
              <w:t>Июнь 1916 г.</w:t>
            </w:r>
          </w:p>
        </w:tc>
        <w:tc>
          <w:tcPr>
            <w:tcW w:w="728" w:type="dxa"/>
          </w:tcPr>
          <w:p w14:paraId="0C128E81" w14:textId="77777777" w:rsidR="00B67D7C" w:rsidRPr="00DE096C" w:rsidRDefault="00B67D7C" w:rsidP="00D45A46">
            <w:pPr>
              <w:jc w:val="both"/>
              <w:rPr>
                <w:bCs/>
                <w:color w:val="002060"/>
                <w:sz w:val="16"/>
                <w:szCs w:val="16"/>
              </w:rPr>
            </w:pPr>
            <w:r w:rsidRPr="00DE096C">
              <w:rPr>
                <w:bCs/>
                <w:color w:val="002060"/>
                <w:sz w:val="16"/>
                <w:szCs w:val="16"/>
              </w:rPr>
              <w:t>Декабрь 1916 г.</w:t>
            </w:r>
          </w:p>
        </w:tc>
      </w:tr>
      <w:tr w:rsidR="00B67D7C" w:rsidRPr="00DE096C" w14:paraId="7E07288F" w14:textId="77777777" w:rsidTr="00C2024A">
        <w:tc>
          <w:tcPr>
            <w:tcW w:w="2652" w:type="dxa"/>
          </w:tcPr>
          <w:p w14:paraId="55E14673" w14:textId="77777777" w:rsidR="00B67D7C" w:rsidRPr="00DE096C" w:rsidRDefault="00B67D7C" w:rsidP="00D45A46">
            <w:pPr>
              <w:jc w:val="both"/>
              <w:rPr>
                <w:bCs/>
                <w:color w:val="002060"/>
                <w:sz w:val="16"/>
                <w:szCs w:val="16"/>
              </w:rPr>
            </w:pPr>
            <w:r w:rsidRPr="00DE096C">
              <w:rPr>
                <w:bCs/>
                <w:color w:val="002060"/>
                <w:sz w:val="16"/>
                <w:szCs w:val="16"/>
              </w:rPr>
              <w:t>Кыштымский горный округ</w:t>
            </w:r>
          </w:p>
        </w:tc>
        <w:tc>
          <w:tcPr>
            <w:tcW w:w="612" w:type="dxa"/>
          </w:tcPr>
          <w:p w14:paraId="3E588E8E" w14:textId="77777777" w:rsidR="00B67D7C" w:rsidRPr="00DE096C" w:rsidRDefault="00B67D7C" w:rsidP="00D45A46">
            <w:pPr>
              <w:jc w:val="both"/>
              <w:rPr>
                <w:bCs/>
                <w:color w:val="002060"/>
                <w:sz w:val="16"/>
                <w:szCs w:val="16"/>
              </w:rPr>
            </w:pPr>
            <w:r w:rsidRPr="00DE096C">
              <w:rPr>
                <w:bCs/>
                <w:color w:val="002060"/>
                <w:sz w:val="16"/>
                <w:szCs w:val="16"/>
              </w:rPr>
              <w:t>225</w:t>
            </w:r>
          </w:p>
        </w:tc>
        <w:tc>
          <w:tcPr>
            <w:tcW w:w="650" w:type="dxa"/>
          </w:tcPr>
          <w:p w14:paraId="6661C330" w14:textId="77777777" w:rsidR="00B67D7C" w:rsidRPr="00DE096C" w:rsidRDefault="00B67D7C" w:rsidP="00D45A46">
            <w:pPr>
              <w:jc w:val="both"/>
              <w:rPr>
                <w:bCs/>
                <w:color w:val="002060"/>
                <w:sz w:val="16"/>
                <w:szCs w:val="16"/>
              </w:rPr>
            </w:pPr>
            <w:r w:rsidRPr="00DE096C">
              <w:rPr>
                <w:bCs/>
                <w:color w:val="002060"/>
                <w:sz w:val="16"/>
                <w:szCs w:val="16"/>
              </w:rPr>
              <w:t>800</w:t>
            </w:r>
          </w:p>
        </w:tc>
        <w:tc>
          <w:tcPr>
            <w:tcW w:w="636" w:type="dxa"/>
          </w:tcPr>
          <w:p w14:paraId="4F89EDF7" w14:textId="77777777" w:rsidR="00B67D7C" w:rsidRPr="00DE096C" w:rsidRDefault="00B67D7C" w:rsidP="00D45A46">
            <w:pPr>
              <w:jc w:val="both"/>
              <w:rPr>
                <w:bCs/>
                <w:color w:val="002060"/>
                <w:sz w:val="16"/>
                <w:szCs w:val="16"/>
              </w:rPr>
            </w:pPr>
            <w:r w:rsidRPr="00DE096C">
              <w:rPr>
                <w:bCs/>
                <w:color w:val="002060"/>
                <w:sz w:val="16"/>
                <w:szCs w:val="16"/>
              </w:rPr>
              <w:t>800</w:t>
            </w:r>
          </w:p>
        </w:tc>
        <w:tc>
          <w:tcPr>
            <w:tcW w:w="728" w:type="dxa"/>
          </w:tcPr>
          <w:p w14:paraId="797AFB49" w14:textId="77777777" w:rsidR="00B67D7C" w:rsidRPr="00DE096C" w:rsidRDefault="00B67D7C" w:rsidP="00D45A46">
            <w:pPr>
              <w:jc w:val="both"/>
              <w:rPr>
                <w:bCs/>
                <w:color w:val="002060"/>
                <w:sz w:val="16"/>
                <w:szCs w:val="16"/>
              </w:rPr>
            </w:pPr>
            <w:r w:rsidRPr="00DE096C">
              <w:rPr>
                <w:bCs/>
                <w:color w:val="002060"/>
                <w:sz w:val="16"/>
                <w:szCs w:val="16"/>
              </w:rPr>
              <w:t>800</w:t>
            </w:r>
          </w:p>
        </w:tc>
      </w:tr>
      <w:tr w:rsidR="00B67D7C" w:rsidRPr="00DE096C" w14:paraId="394C6E04" w14:textId="77777777" w:rsidTr="00C2024A">
        <w:tc>
          <w:tcPr>
            <w:tcW w:w="2652" w:type="dxa"/>
          </w:tcPr>
          <w:p w14:paraId="73ABFEB1" w14:textId="77777777" w:rsidR="00B67D7C" w:rsidRPr="00DE096C" w:rsidRDefault="00B67D7C" w:rsidP="00D45A46">
            <w:pPr>
              <w:jc w:val="both"/>
              <w:rPr>
                <w:bCs/>
                <w:color w:val="002060"/>
                <w:sz w:val="16"/>
                <w:szCs w:val="16"/>
              </w:rPr>
            </w:pPr>
            <w:r w:rsidRPr="00DE096C">
              <w:rPr>
                <w:bCs/>
                <w:color w:val="002060"/>
                <w:sz w:val="16"/>
                <w:szCs w:val="16"/>
              </w:rPr>
              <w:t>Верх-Исетский горный округ</w:t>
            </w:r>
          </w:p>
        </w:tc>
        <w:tc>
          <w:tcPr>
            <w:tcW w:w="612" w:type="dxa"/>
          </w:tcPr>
          <w:p w14:paraId="2856B92C" w14:textId="77777777" w:rsidR="00B67D7C" w:rsidRPr="00DE096C" w:rsidRDefault="00B67D7C" w:rsidP="00D45A46">
            <w:pPr>
              <w:jc w:val="both"/>
              <w:rPr>
                <w:bCs/>
                <w:color w:val="002060"/>
                <w:sz w:val="16"/>
                <w:szCs w:val="16"/>
              </w:rPr>
            </w:pPr>
            <w:r w:rsidRPr="00DE096C">
              <w:rPr>
                <w:bCs/>
                <w:color w:val="002060"/>
                <w:sz w:val="16"/>
                <w:szCs w:val="16"/>
              </w:rPr>
              <w:t>325</w:t>
            </w:r>
          </w:p>
        </w:tc>
        <w:tc>
          <w:tcPr>
            <w:tcW w:w="650" w:type="dxa"/>
          </w:tcPr>
          <w:p w14:paraId="220AA3FA" w14:textId="77777777" w:rsidR="00B67D7C" w:rsidRPr="00DE096C" w:rsidRDefault="00B67D7C" w:rsidP="00D45A46">
            <w:pPr>
              <w:jc w:val="both"/>
              <w:rPr>
                <w:bCs/>
                <w:color w:val="002060"/>
                <w:sz w:val="16"/>
                <w:szCs w:val="16"/>
              </w:rPr>
            </w:pPr>
            <w:r w:rsidRPr="00DE096C">
              <w:rPr>
                <w:bCs/>
                <w:color w:val="002060"/>
                <w:sz w:val="16"/>
                <w:szCs w:val="16"/>
              </w:rPr>
              <w:t>325</w:t>
            </w:r>
          </w:p>
        </w:tc>
        <w:tc>
          <w:tcPr>
            <w:tcW w:w="636" w:type="dxa"/>
          </w:tcPr>
          <w:p w14:paraId="0D41833E" w14:textId="77777777" w:rsidR="00B67D7C" w:rsidRPr="00DE096C" w:rsidRDefault="00B67D7C" w:rsidP="00D45A46">
            <w:pPr>
              <w:jc w:val="both"/>
              <w:rPr>
                <w:bCs/>
                <w:color w:val="002060"/>
                <w:sz w:val="16"/>
                <w:szCs w:val="16"/>
              </w:rPr>
            </w:pPr>
            <w:r w:rsidRPr="00DE096C">
              <w:rPr>
                <w:bCs/>
                <w:color w:val="002060"/>
                <w:sz w:val="16"/>
                <w:szCs w:val="16"/>
              </w:rPr>
              <w:t>325</w:t>
            </w:r>
          </w:p>
        </w:tc>
        <w:tc>
          <w:tcPr>
            <w:tcW w:w="728" w:type="dxa"/>
          </w:tcPr>
          <w:p w14:paraId="255497B3" w14:textId="77777777" w:rsidR="00B67D7C" w:rsidRPr="00DE096C" w:rsidRDefault="00B67D7C" w:rsidP="00D45A46">
            <w:pPr>
              <w:jc w:val="both"/>
              <w:rPr>
                <w:bCs/>
                <w:color w:val="002060"/>
                <w:sz w:val="16"/>
                <w:szCs w:val="16"/>
              </w:rPr>
            </w:pPr>
            <w:r w:rsidRPr="00DE096C">
              <w:rPr>
                <w:bCs/>
                <w:color w:val="002060"/>
                <w:sz w:val="16"/>
                <w:szCs w:val="16"/>
              </w:rPr>
              <w:t>325</w:t>
            </w:r>
          </w:p>
        </w:tc>
      </w:tr>
      <w:tr w:rsidR="00B67D7C" w:rsidRPr="00DE096C" w14:paraId="005621AF" w14:textId="77777777" w:rsidTr="00C2024A">
        <w:tc>
          <w:tcPr>
            <w:tcW w:w="2652" w:type="dxa"/>
          </w:tcPr>
          <w:p w14:paraId="44256DF0" w14:textId="77777777" w:rsidR="00B67D7C" w:rsidRPr="00DE096C" w:rsidRDefault="00B67D7C" w:rsidP="00D45A46">
            <w:pPr>
              <w:jc w:val="both"/>
              <w:rPr>
                <w:bCs/>
                <w:color w:val="002060"/>
                <w:sz w:val="16"/>
                <w:szCs w:val="16"/>
              </w:rPr>
            </w:pPr>
            <w:r w:rsidRPr="00DE096C">
              <w:rPr>
                <w:bCs/>
                <w:color w:val="002060"/>
                <w:sz w:val="16"/>
                <w:szCs w:val="16"/>
              </w:rPr>
              <w:t>Сысертский горный округ</w:t>
            </w:r>
          </w:p>
        </w:tc>
        <w:tc>
          <w:tcPr>
            <w:tcW w:w="612" w:type="dxa"/>
          </w:tcPr>
          <w:p w14:paraId="6AF76BE6" w14:textId="77777777" w:rsidR="00B67D7C" w:rsidRPr="00DE096C" w:rsidRDefault="00B67D7C" w:rsidP="00D45A46">
            <w:pPr>
              <w:jc w:val="both"/>
              <w:rPr>
                <w:bCs/>
                <w:color w:val="002060"/>
                <w:sz w:val="16"/>
                <w:szCs w:val="16"/>
              </w:rPr>
            </w:pPr>
            <w:r w:rsidRPr="00DE096C">
              <w:rPr>
                <w:bCs/>
                <w:color w:val="002060"/>
                <w:sz w:val="16"/>
                <w:szCs w:val="16"/>
              </w:rPr>
              <w:t>—</w:t>
            </w:r>
          </w:p>
        </w:tc>
        <w:tc>
          <w:tcPr>
            <w:tcW w:w="650" w:type="dxa"/>
          </w:tcPr>
          <w:p w14:paraId="30F33CFC" w14:textId="77777777" w:rsidR="00B67D7C" w:rsidRPr="00DE096C" w:rsidRDefault="00B67D7C" w:rsidP="00D45A46">
            <w:pPr>
              <w:jc w:val="both"/>
              <w:rPr>
                <w:bCs/>
                <w:color w:val="002060"/>
                <w:sz w:val="16"/>
                <w:szCs w:val="16"/>
              </w:rPr>
            </w:pPr>
            <w:r w:rsidRPr="00DE096C">
              <w:rPr>
                <w:bCs/>
                <w:color w:val="002060"/>
                <w:sz w:val="16"/>
                <w:szCs w:val="16"/>
              </w:rPr>
              <w:t>100</w:t>
            </w:r>
          </w:p>
        </w:tc>
        <w:tc>
          <w:tcPr>
            <w:tcW w:w="636" w:type="dxa"/>
          </w:tcPr>
          <w:p w14:paraId="7E774EB5" w14:textId="77777777" w:rsidR="00B67D7C" w:rsidRPr="00DE096C" w:rsidRDefault="00B67D7C" w:rsidP="00D45A46">
            <w:pPr>
              <w:jc w:val="both"/>
              <w:rPr>
                <w:bCs/>
                <w:color w:val="002060"/>
                <w:sz w:val="16"/>
                <w:szCs w:val="16"/>
              </w:rPr>
            </w:pPr>
            <w:r w:rsidRPr="00DE096C">
              <w:rPr>
                <w:bCs/>
                <w:color w:val="002060"/>
                <w:sz w:val="16"/>
                <w:szCs w:val="16"/>
              </w:rPr>
              <w:t>100</w:t>
            </w:r>
          </w:p>
        </w:tc>
        <w:tc>
          <w:tcPr>
            <w:tcW w:w="728" w:type="dxa"/>
          </w:tcPr>
          <w:p w14:paraId="42137AAD" w14:textId="77777777" w:rsidR="00B67D7C" w:rsidRPr="00DE096C" w:rsidRDefault="00B67D7C" w:rsidP="00D45A46">
            <w:pPr>
              <w:jc w:val="both"/>
              <w:rPr>
                <w:bCs/>
                <w:color w:val="002060"/>
                <w:sz w:val="16"/>
                <w:szCs w:val="16"/>
              </w:rPr>
            </w:pPr>
            <w:r w:rsidRPr="00DE096C">
              <w:rPr>
                <w:bCs/>
                <w:color w:val="002060"/>
                <w:sz w:val="16"/>
                <w:szCs w:val="16"/>
              </w:rPr>
              <w:t>100</w:t>
            </w:r>
          </w:p>
        </w:tc>
      </w:tr>
      <w:tr w:rsidR="00B67D7C" w:rsidRPr="00DE096C" w14:paraId="5E512A30" w14:textId="77777777" w:rsidTr="00C2024A">
        <w:tc>
          <w:tcPr>
            <w:tcW w:w="2652" w:type="dxa"/>
          </w:tcPr>
          <w:p w14:paraId="0356DA18" w14:textId="77777777" w:rsidR="00B67D7C" w:rsidRPr="00DE096C" w:rsidRDefault="00B67D7C" w:rsidP="00D45A46">
            <w:pPr>
              <w:jc w:val="both"/>
              <w:rPr>
                <w:bCs/>
                <w:color w:val="002060"/>
                <w:sz w:val="16"/>
                <w:szCs w:val="16"/>
              </w:rPr>
            </w:pPr>
            <w:r w:rsidRPr="00DE096C">
              <w:rPr>
                <w:bCs/>
                <w:color w:val="002060"/>
                <w:sz w:val="16"/>
                <w:szCs w:val="16"/>
              </w:rPr>
              <w:t>Ревдинский горный округ</w:t>
            </w:r>
          </w:p>
        </w:tc>
        <w:tc>
          <w:tcPr>
            <w:tcW w:w="612" w:type="dxa"/>
          </w:tcPr>
          <w:p w14:paraId="35F981F1" w14:textId="77777777" w:rsidR="00B67D7C" w:rsidRPr="00DE096C" w:rsidRDefault="00B67D7C" w:rsidP="00D45A46">
            <w:pPr>
              <w:jc w:val="both"/>
              <w:rPr>
                <w:bCs/>
                <w:color w:val="002060"/>
                <w:sz w:val="16"/>
                <w:szCs w:val="16"/>
              </w:rPr>
            </w:pPr>
            <w:r w:rsidRPr="00DE096C">
              <w:rPr>
                <w:bCs/>
                <w:color w:val="002060"/>
                <w:sz w:val="16"/>
                <w:szCs w:val="16"/>
              </w:rPr>
              <w:t>—</w:t>
            </w:r>
          </w:p>
        </w:tc>
        <w:tc>
          <w:tcPr>
            <w:tcW w:w="650" w:type="dxa"/>
          </w:tcPr>
          <w:p w14:paraId="3FFADDBE" w14:textId="77777777" w:rsidR="00B67D7C" w:rsidRPr="00DE096C" w:rsidRDefault="00B67D7C" w:rsidP="00D45A46">
            <w:pPr>
              <w:jc w:val="both"/>
              <w:rPr>
                <w:bCs/>
                <w:color w:val="002060"/>
                <w:sz w:val="16"/>
                <w:szCs w:val="16"/>
              </w:rPr>
            </w:pPr>
            <w:r w:rsidRPr="00DE096C">
              <w:rPr>
                <w:bCs/>
                <w:color w:val="002060"/>
                <w:sz w:val="16"/>
                <w:szCs w:val="16"/>
              </w:rPr>
              <w:t>150</w:t>
            </w:r>
          </w:p>
        </w:tc>
        <w:tc>
          <w:tcPr>
            <w:tcW w:w="636" w:type="dxa"/>
          </w:tcPr>
          <w:p w14:paraId="161997E5" w14:textId="77777777" w:rsidR="00B67D7C" w:rsidRPr="00DE096C" w:rsidRDefault="00B67D7C" w:rsidP="00D45A46">
            <w:pPr>
              <w:jc w:val="both"/>
              <w:rPr>
                <w:bCs/>
                <w:color w:val="002060"/>
                <w:sz w:val="16"/>
                <w:szCs w:val="16"/>
              </w:rPr>
            </w:pPr>
            <w:r w:rsidRPr="00DE096C">
              <w:rPr>
                <w:bCs/>
                <w:color w:val="002060"/>
                <w:sz w:val="16"/>
                <w:szCs w:val="16"/>
              </w:rPr>
              <w:t>150</w:t>
            </w:r>
          </w:p>
        </w:tc>
        <w:tc>
          <w:tcPr>
            <w:tcW w:w="728" w:type="dxa"/>
          </w:tcPr>
          <w:p w14:paraId="6EE4E5CF" w14:textId="77777777" w:rsidR="00B67D7C" w:rsidRPr="00DE096C" w:rsidRDefault="00B67D7C" w:rsidP="00D45A46">
            <w:pPr>
              <w:jc w:val="both"/>
              <w:rPr>
                <w:bCs/>
                <w:color w:val="002060"/>
                <w:sz w:val="16"/>
                <w:szCs w:val="16"/>
              </w:rPr>
            </w:pPr>
            <w:r w:rsidRPr="00DE096C">
              <w:rPr>
                <w:bCs/>
                <w:color w:val="002060"/>
                <w:sz w:val="16"/>
                <w:szCs w:val="16"/>
              </w:rPr>
              <w:t>150</w:t>
            </w:r>
          </w:p>
        </w:tc>
      </w:tr>
      <w:tr w:rsidR="00B67D7C" w:rsidRPr="00DE096C" w14:paraId="5DDA4F88" w14:textId="77777777" w:rsidTr="00C2024A">
        <w:tc>
          <w:tcPr>
            <w:tcW w:w="2652" w:type="dxa"/>
          </w:tcPr>
          <w:p w14:paraId="6ACC542B" w14:textId="77777777" w:rsidR="00B67D7C" w:rsidRPr="00DE096C" w:rsidRDefault="00B67D7C" w:rsidP="00D45A46">
            <w:pPr>
              <w:jc w:val="both"/>
              <w:rPr>
                <w:bCs/>
                <w:color w:val="002060"/>
                <w:sz w:val="16"/>
                <w:szCs w:val="16"/>
              </w:rPr>
            </w:pPr>
            <w:r w:rsidRPr="00DE096C">
              <w:rPr>
                <w:bCs/>
                <w:color w:val="002060"/>
                <w:sz w:val="16"/>
                <w:szCs w:val="16"/>
              </w:rPr>
              <w:t>Рудники Ушакова</w:t>
            </w:r>
          </w:p>
        </w:tc>
        <w:tc>
          <w:tcPr>
            <w:tcW w:w="612" w:type="dxa"/>
          </w:tcPr>
          <w:p w14:paraId="3BC5E291" w14:textId="77777777" w:rsidR="00B67D7C" w:rsidRPr="00DE096C" w:rsidRDefault="00B67D7C" w:rsidP="00D45A46">
            <w:pPr>
              <w:jc w:val="both"/>
              <w:rPr>
                <w:bCs/>
                <w:color w:val="002060"/>
                <w:sz w:val="16"/>
                <w:szCs w:val="16"/>
              </w:rPr>
            </w:pPr>
            <w:r w:rsidRPr="00DE096C">
              <w:rPr>
                <w:bCs/>
                <w:color w:val="002060"/>
                <w:sz w:val="16"/>
                <w:szCs w:val="16"/>
              </w:rPr>
              <w:t>—</w:t>
            </w:r>
          </w:p>
        </w:tc>
        <w:tc>
          <w:tcPr>
            <w:tcW w:w="650" w:type="dxa"/>
          </w:tcPr>
          <w:p w14:paraId="3191B2B6" w14:textId="77777777" w:rsidR="00B67D7C" w:rsidRPr="00DE096C" w:rsidRDefault="00B67D7C" w:rsidP="00D45A46">
            <w:pPr>
              <w:jc w:val="both"/>
              <w:rPr>
                <w:bCs/>
                <w:color w:val="002060"/>
                <w:sz w:val="16"/>
                <w:szCs w:val="16"/>
              </w:rPr>
            </w:pPr>
            <w:r w:rsidRPr="00DE096C">
              <w:rPr>
                <w:bCs/>
                <w:color w:val="002060"/>
                <w:sz w:val="16"/>
                <w:szCs w:val="16"/>
              </w:rPr>
              <w:t>100</w:t>
            </w:r>
          </w:p>
        </w:tc>
        <w:tc>
          <w:tcPr>
            <w:tcW w:w="636" w:type="dxa"/>
          </w:tcPr>
          <w:p w14:paraId="3D81C862" w14:textId="77777777" w:rsidR="00B67D7C" w:rsidRPr="00DE096C" w:rsidRDefault="00B67D7C" w:rsidP="00D45A46">
            <w:pPr>
              <w:jc w:val="both"/>
              <w:rPr>
                <w:bCs/>
                <w:color w:val="002060"/>
                <w:sz w:val="16"/>
                <w:szCs w:val="16"/>
              </w:rPr>
            </w:pPr>
            <w:r w:rsidRPr="00DE096C">
              <w:rPr>
                <w:bCs/>
                <w:color w:val="002060"/>
                <w:sz w:val="16"/>
                <w:szCs w:val="16"/>
              </w:rPr>
              <w:t>100</w:t>
            </w:r>
          </w:p>
        </w:tc>
        <w:tc>
          <w:tcPr>
            <w:tcW w:w="728" w:type="dxa"/>
          </w:tcPr>
          <w:p w14:paraId="36F13064" w14:textId="77777777" w:rsidR="00B67D7C" w:rsidRPr="00DE096C" w:rsidRDefault="00B67D7C" w:rsidP="00D45A46">
            <w:pPr>
              <w:jc w:val="both"/>
              <w:rPr>
                <w:bCs/>
                <w:color w:val="002060"/>
                <w:sz w:val="16"/>
                <w:szCs w:val="16"/>
              </w:rPr>
            </w:pPr>
            <w:r w:rsidRPr="00DE096C">
              <w:rPr>
                <w:bCs/>
                <w:color w:val="002060"/>
                <w:sz w:val="16"/>
                <w:szCs w:val="16"/>
              </w:rPr>
              <w:t>100</w:t>
            </w:r>
          </w:p>
        </w:tc>
      </w:tr>
      <w:tr w:rsidR="00B67D7C" w:rsidRPr="00DE096C" w14:paraId="07A6A354" w14:textId="77777777" w:rsidTr="00C2024A">
        <w:tc>
          <w:tcPr>
            <w:tcW w:w="2652" w:type="dxa"/>
          </w:tcPr>
          <w:p w14:paraId="1B2A0121" w14:textId="77777777" w:rsidR="00B67D7C" w:rsidRPr="00DE096C" w:rsidRDefault="00B67D7C" w:rsidP="00D45A46">
            <w:pPr>
              <w:jc w:val="both"/>
              <w:rPr>
                <w:bCs/>
                <w:color w:val="002060"/>
                <w:sz w:val="16"/>
                <w:szCs w:val="16"/>
              </w:rPr>
            </w:pPr>
            <w:r w:rsidRPr="00DE096C">
              <w:rPr>
                <w:bCs/>
                <w:color w:val="002060"/>
                <w:sz w:val="16"/>
                <w:szCs w:val="16"/>
              </w:rPr>
              <w:t xml:space="preserve">Прочие мелкие добычи </w:t>
            </w:r>
          </w:p>
          <w:p w14:paraId="357A17F8" w14:textId="77777777" w:rsidR="00B67D7C" w:rsidRPr="00DE096C" w:rsidRDefault="00B67D7C" w:rsidP="00D45A46">
            <w:pPr>
              <w:jc w:val="both"/>
              <w:rPr>
                <w:bCs/>
                <w:color w:val="002060"/>
                <w:sz w:val="16"/>
                <w:szCs w:val="16"/>
              </w:rPr>
            </w:pPr>
            <w:r w:rsidRPr="00DE096C">
              <w:rPr>
                <w:bCs/>
                <w:color w:val="002060"/>
                <w:sz w:val="16"/>
                <w:szCs w:val="16"/>
              </w:rPr>
              <w:t>(Кавказские, Донецкие, Подмосковные)</w:t>
            </w:r>
          </w:p>
        </w:tc>
        <w:tc>
          <w:tcPr>
            <w:tcW w:w="612" w:type="dxa"/>
          </w:tcPr>
          <w:p w14:paraId="27F65BCA" w14:textId="77777777" w:rsidR="00B67D7C" w:rsidRPr="00DE096C" w:rsidRDefault="00B67D7C" w:rsidP="00D45A46">
            <w:pPr>
              <w:jc w:val="both"/>
              <w:rPr>
                <w:bCs/>
                <w:color w:val="002060"/>
                <w:sz w:val="16"/>
                <w:szCs w:val="16"/>
              </w:rPr>
            </w:pPr>
            <w:r w:rsidRPr="00DE096C">
              <w:rPr>
                <w:bCs/>
                <w:color w:val="002060"/>
                <w:sz w:val="16"/>
                <w:szCs w:val="16"/>
              </w:rPr>
              <w:t>105</w:t>
            </w:r>
          </w:p>
        </w:tc>
        <w:tc>
          <w:tcPr>
            <w:tcW w:w="650" w:type="dxa"/>
          </w:tcPr>
          <w:p w14:paraId="312C0DEE" w14:textId="77777777" w:rsidR="00B67D7C" w:rsidRPr="00DE096C" w:rsidRDefault="00B67D7C" w:rsidP="00D45A46">
            <w:pPr>
              <w:jc w:val="both"/>
              <w:rPr>
                <w:bCs/>
                <w:color w:val="002060"/>
                <w:sz w:val="16"/>
                <w:szCs w:val="16"/>
              </w:rPr>
            </w:pPr>
            <w:r w:rsidRPr="00DE096C">
              <w:rPr>
                <w:bCs/>
                <w:color w:val="002060"/>
                <w:sz w:val="16"/>
                <w:szCs w:val="16"/>
              </w:rPr>
              <w:t>110</w:t>
            </w:r>
          </w:p>
        </w:tc>
        <w:tc>
          <w:tcPr>
            <w:tcW w:w="636" w:type="dxa"/>
          </w:tcPr>
          <w:p w14:paraId="021F2A1F" w14:textId="77777777" w:rsidR="00B67D7C" w:rsidRPr="00DE096C" w:rsidRDefault="00B67D7C" w:rsidP="00D45A46">
            <w:pPr>
              <w:jc w:val="both"/>
              <w:rPr>
                <w:bCs/>
                <w:color w:val="002060"/>
                <w:sz w:val="16"/>
                <w:szCs w:val="16"/>
              </w:rPr>
            </w:pPr>
            <w:r w:rsidRPr="00DE096C">
              <w:rPr>
                <w:bCs/>
                <w:color w:val="002060"/>
                <w:sz w:val="16"/>
                <w:szCs w:val="16"/>
              </w:rPr>
              <w:t>140</w:t>
            </w:r>
          </w:p>
        </w:tc>
        <w:tc>
          <w:tcPr>
            <w:tcW w:w="728" w:type="dxa"/>
          </w:tcPr>
          <w:p w14:paraId="009FA5C2" w14:textId="77777777" w:rsidR="00B67D7C" w:rsidRPr="00DE096C" w:rsidRDefault="00B67D7C" w:rsidP="00D45A46">
            <w:pPr>
              <w:jc w:val="both"/>
              <w:rPr>
                <w:bCs/>
                <w:color w:val="002060"/>
                <w:sz w:val="16"/>
                <w:szCs w:val="16"/>
              </w:rPr>
            </w:pPr>
            <w:r w:rsidRPr="00DE096C">
              <w:rPr>
                <w:bCs/>
                <w:color w:val="002060"/>
                <w:sz w:val="16"/>
                <w:szCs w:val="16"/>
              </w:rPr>
              <w:t>150</w:t>
            </w:r>
          </w:p>
        </w:tc>
      </w:tr>
    </w:tbl>
    <w:p w14:paraId="1ED47932" w14:textId="77777777" w:rsidR="00B67D7C" w:rsidRPr="00DE096C" w:rsidRDefault="00B67D7C" w:rsidP="00D45A46">
      <w:pPr>
        <w:jc w:val="both"/>
        <w:rPr>
          <w:bCs/>
          <w:color w:val="002060"/>
          <w:sz w:val="16"/>
          <w:szCs w:val="16"/>
        </w:rPr>
      </w:pPr>
      <w:r w:rsidRPr="00DE096C">
        <w:rPr>
          <w:bCs/>
          <w:color w:val="002060"/>
          <w:sz w:val="16"/>
          <w:szCs w:val="16"/>
        </w:rPr>
        <w:t xml:space="preserve">Не менее забот представлял вопрос с азотной кислотой. Для изготовления ее ежегодно в Россию необходимо было ввозить до 6 млн пудов чилийской селитры. Комиссия Ипатьева, а впоследствии Химический комитет взял на себя надзор за провозом и распределением ее. </w:t>
      </w:r>
    </w:p>
    <w:p w14:paraId="583A35E8" w14:textId="77777777" w:rsidR="00B67D7C" w:rsidRPr="00DE096C" w:rsidRDefault="00B67D7C" w:rsidP="00D45A46">
      <w:pPr>
        <w:jc w:val="both"/>
        <w:rPr>
          <w:bCs/>
          <w:color w:val="002060"/>
          <w:sz w:val="16"/>
          <w:szCs w:val="16"/>
        </w:rPr>
      </w:pPr>
      <w:r w:rsidRPr="00DE096C">
        <w:rPr>
          <w:bCs/>
          <w:color w:val="002060"/>
          <w:sz w:val="16"/>
          <w:szCs w:val="16"/>
        </w:rPr>
        <w:t xml:space="preserve">Комитет занялся также исследованием залежей отечественной селитры, но эти месторождения оказались неблагонадежными. </w:t>
      </w:r>
    </w:p>
    <w:p w14:paraId="4C32E0EB" w14:textId="77777777" w:rsidR="00B67D7C" w:rsidRPr="00DE096C" w:rsidRDefault="00B67D7C" w:rsidP="00D45A46">
      <w:pPr>
        <w:jc w:val="both"/>
        <w:rPr>
          <w:bCs/>
          <w:color w:val="002060"/>
          <w:sz w:val="16"/>
          <w:szCs w:val="16"/>
        </w:rPr>
      </w:pPr>
      <w:r w:rsidRPr="00DE096C">
        <w:rPr>
          <w:bCs/>
          <w:color w:val="002060"/>
          <w:sz w:val="16"/>
          <w:szCs w:val="16"/>
        </w:rPr>
        <w:t xml:space="preserve">Имея в виду в будущем освободиться от иностранной зависимости, Химический комитет приступил к разработке вопроса о наилучшем для России методе получения азотной кислоты. </w:t>
      </w:r>
    </w:p>
    <w:p w14:paraId="56EB76D4" w14:textId="77777777" w:rsidR="00B67D7C" w:rsidRPr="00DE096C" w:rsidRDefault="00B67D7C" w:rsidP="00D45A46">
      <w:pPr>
        <w:jc w:val="both"/>
        <w:rPr>
          <w:bCs/>
          <w:color w:val="002060"/>
          <w:sz w:val="16"/>
          <w:szCs w:val="16"/>
        </w:rPr>
      </w:pPr>
      <w:r w:rsidRPr="00DE096C">
        <w:rPr>
          <w:bCs/>
          <w:color w:val="002060"/>
          <w:sz w:val="16"/>
          <w:szCs w:val="16"/>
        </w:rPr>
        <w:t xml:space="preserve">В связи с установлением улавливания побочных продуктов коксования угля начала быстро расти выработка аммиачных вод. Были привлечены крупные научные силы к разработке практического метода превращения аммиака в азотную кислоту. Лабораторные изыскания и опытная заводская работа дали благоприятные результаты. После этого Химический комитет построил первый казенный завод в Юзовке для получения азотной кислоты переработкой аммиачных вод, производительностью на 50 тыс. пудов селитры в месяц. Этот завод должен был послужить образцом для постройки в дальнейшем таких же заводов. </w:t>
      </w:r>
    </w:p>
    <w:p w14:paraId="223A8C97" w14:textId="77777777" w:rsidR="00B67D7C" w:rsidRPr="00DE096C" w:rsidRDefault="00B67D7C" w:rsidP="00D45A46">
      <w:pPr>
        <w:jc w:val="both"/>
        <w:rPr>
          <w:bCs/>
          <w:color w:val="002060"/>
          <w:sz w:val="16"/>
          <w:szCs w:val="16"/>
        </w:rPr>
      </w:pPr>
      <w:r w:rsidRPr="00DE096C">
        <w:rPr>
          <w:bCs/>
          <w:color w:val="002060"/>
          <w:sz w:val="16"/>
          <w:szCs w:val="16"/>
        </w:rPr>
        <w:t xml:space="preserve">В целях разрешения полностью вопроса о связанном азоте Химическим комитетом был осенью 1916 г. разработан проект завода цианамида кальция производительностью на 2 000 000 пудов в год, который предположено было строить на Кавказе, в Грозном. </w:t>
      </w:r>
    </w:p>
    <w:p w14:paraId="3B305413" w14:textId="77777777" w:rsidR="00B67D7C" w:rsidRPr="00DE096C" w:rsidRDefault="00B67D7C" w:rsidP="00D45A46">
      <w:pPr>
        <w:jc w:val="both"/>
        <w:rPr>
          <w:bCs/>
          <w:color w:val="002060"/>
          <w:sz w:val="16"/>
          <w:szCs w:val="16"/>
        </w:rPr>
      </w:pPr>
      <w:r w:rsidRPr="00DE096C">
        <w:rPr>
          <w:bCs/>
          <w:color w:val="002060"/>
          <w:sz w:val="16"/>
          <w:szCs w:val="16"/>
        </w:rPr>
        <w:t xml:space="preserve">Таким образом, Комиссия Ипатьева, а в дальнейшем Химический комитет, как видно из приведенного очерка, несли на себе все заботы о снабжении казенных и частных заводов пороха и взрывчатых веществ основными материалами для производства. </w:t>
      </w:r>
    </w:p>
    <w:p w14:paraId="481620DD" w14:textId="77777777" w:rsidR="00B67D7C" w:rsidRPr="00DE096C" w:rsidRDefault="00B67D7C" w:rsidP="00D45A46">
      <w:pPr>
        <w:jc w:val="both"/>
        <w:rPr>
          <w:bCs/>
          <w:color w:val="002060"/>
          <w:sz w:val="16"/>
          <w:szCs w:val="16"/>
        </w:rPr>
      </w:pPr>
      <w:r w:rsidRPr="00DE096C">
        <w:rPr>
          <w:bCs/>
          <w:color w:val="002060"/>
          <w:sz w:val="16"/>
          <w:szCs w:val="16"/>
        </w:rPr>
        <w:t xml:space="preserve">Независимо от этого на Химическом комитете лежала обязанность привлечь частную промышленность к изготовлению самых взрывчатых веществ в дополнение к тем, которые изготовлялись казенными заводами. </w:t>
      </w:r>
    </w:p>
    <w:p w14:paraId="13F78E76" w14:textId="77777777" w:rsidR="00B67D7C" w:rsidRPr="00DE096C" w:rsidRDefault="00B67D7C" w:rsidP="00D45A46">
      <w:pPr>
        <w:jc w:val="both"/>
        <w:rPr>
          <w:bCs/>
          <w:color w:val="002060"/>
          <w:sz w:val="16"/>
          <w:szCs w:val="16"/>
        </w:rPr>
      </w:pPr>
      <w:r w:rsidRPr="00DE096C">
        <w:rPr>
          <w:bCs/>
          <w:color w:val="002060"/>
          <w:sz w:val="16"/>
          <w:szCs w:val="16"/>
        </w:rPr>
        <w:t xml:space="preserve">Во время войны производство тротила было установлено на нескольких существовавших частных химических заводах (отдельные цеха) и построены новые тротиловые заводы. Общее число частных заводов, готовивших тротил во время войны, достигло восьми. </w:t>
      </w:r>
    </w:p>
    <w:p w14:paraId="1B2105FC" w14:textId="77777777" w:rsidR="00B67D7C" w:rsidRPr="00DE096C" w:rsidRDefault="00B67D7C" w:rsidP="00D45A46">
      <w:pPr>
        <w:jc w:val="both"/>
        <w:rPr>
          <w:bCs/>
          <w:color w:val="002060"/>
          <w:sz w:val="16"/>
          <w:szCs w:val="16"/>
        </w:rPr>
      </w:pPr>
      <w:r w:rsidRPr="00DE096C">
        <w:rPr>
          <w:bCs/>
          <w:color w:val="002060"/>
          <w:sz w:val="16"/>
          <w:szCs w:val="16"/>
        </w:rPr>
        <w:t xml:space="preserve">Пикриновая кислота во время войны готовилась только на частных заводах: на пяти — нитрацией фенола и на двух — синтетическим путем из бензола. До войны ее готовили только два завода по первому способу. Синтетический способ был разработан в России уже во время войны в Центральной научно-технической лаборатории военного ведомства и представляет большой научный интерес. </w:t>
      </w:r>
    </w:p>
    <w:p w14:paraId="5CEF421A" w14:textId="77777777" w:rsidR="00B67D7C" w:rsidRPr="00DE096C" w:rsidRDefault="00B67D7C" w:rsidP="00D45A46">
      <w:pPr>
        <w:jc w:val="both"/>
        <w:rPr>
          <w:bCs/>
          <w:color w:val="002060"/>
          <w:sz w:val="16"/>
          <w:szCs w:val="16"/>
        </w:rPr>
      </w:pPr>
      <w:r w:rsidRPr="00DE096C">
        <w:rPr>
          <w:bCs/>
          <w:color w:val="002060"/>
          <w:sz w:val="16"/>
          <w:szCs w:val="16"/>
        </w:rPr>
        <w:t xml:space="preserve">Было установлено Химическим комитетом также производство тринитроксилола и динитронафталина, каждый на двух заводах. </w:t>
      </w:r>
    </w:p>
    <w:p w14:paraId="61C7CA11" w14:textId="77777777" w:rsidR="00B67D7C" w:rsidRPr="00DE096C" w:rsidRDefault="00B67D7C" w:rsidP="00D45A46">
      <w:pPr>
        <w:jc w:val="both"/>
        <w:rPr>
          <w:bCs/>
          <w:color w:val="002060"/>
          <w:sz w:val="16"/>
          <w:szCs w:val="16"/>
        </w:rPr>
      </w:pPr>
      <w:r w:rsidRPr="00DE096C">
        <w:rPr>
          <w:bCs/>
          <w:color w:val="002060"/>
          <w:sz w:val="16"/>
          <w:szCs w:val="16"/>
        </w:rPr>
        <w:t xml:space="preserve">Изготовление аммиачной селитры, кроме упомянутого выше Юзовского казенного завода, было организовано Комиссией еще на двух заводах в Донецком бассейне. </w:t>
      </w:r>
    </w:p>
    <w:p w14:paraId="489FDA39" w14:textId="77777777" w:rsidR="00B67D7C" w:rsidRPr="00DE096C" w:rsidRDefault="00B67D7C" w:rsidP="00D45A46">
      <w:pPr>
        <w:jc w:val="both"/>
        <w:rPr>
          <w:bCs/>
          <w:color w:val="002060"/>
          <w:sz w:val="16"/>
          <w:szCs w:val="16"/>
        </w:rPr>
      </w:pPr>
      <w:r w:rsidRPr="00DE096C">
        <w:rPr>
          <w:bCs/>
          <w:color w:val="002060"/>
          <w:sz w:val="16"/>
          <w:szCs w:val="16"/>
        </w:rPr>
        <w:t xml:space="preserve">Фабрикация взрывчатых смесей на основе аммиачной селитры была организована Химическим комитетом в нескольких мастерских и заводах. </w:t>
      </w:r>
    </w:p>
    <w:p w14:paraId="378393B3" w14:textId="77777777" w:rsidR="00B67D7C" w:rsidRPr="00DE096C" w:rsidRDefault="00B67D7C" w:rsidP="00D45A46">
      <w:pPr>
        <w:jc w:val="both"/>
        <w:rPr>
          <w:bCs/>
          <w:color w:val="002060"/>
          <w:sz w:val="16"/>
          <w:szCs w:val="16"/>
        </w:rPr>
      </w:pPr>
      <w:r w:rsidRPr="00DE096C">
        <w:rPr>
          <w:bCs/>
          <w:color w:val="002060"/>
          <w:sz w:val="16"/>
          <w:szCs w:val="16"/>
        </w:rPr>
        <w:t xml:space="preserve">Общее количество заводов, изготовлявших взрывчатые вещества, возросло с февраля 1915 г. по январь 1917 г. с 4 до 28. Общая мощность их по оборудованию в 1917 г. возросла до 218 000 пудов в месяц. Из них (пудов):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88"/>
        <w:gridCol w:w="936"/>
      </w:tblGrid>
      <w:tr w:rsidR="00B67D7C" w:rsidRPr="00DE096C" w14:paraId="616CA4A1" w14:textId="77777777" w:rsidTr="00C2024A">
        <w:tc>
          <w:tcPr>
            <w:tcW w:w="1788" w:type="dxa"/>
          </w:tcPr>
          <w:p w14:paraId="4DC60F72" w14:textId="77777777" w:rsidR="00B67D7C" w:rsidRPr="00DE096C" w:rsidRDefault="00B67D7C" w:rsidP="00D45A46">
            <w:pPr>
              <w:jc w:val="both"/>
              <w:rPr>
                <w:bCs/>
                <w:color w:val="002060"/>
                <w:sz w:val="16"/>
                <w:szCs w:val="16"/>
              </w:rPr>
            </w:pPr>
            <w:r w:rsidRPr="00DE096C">
              <w:rPr>
                <w:bCs/>
                <w:color w:val="002060"/>
                <w:sz w:val="16"/>
                <w:szCs w:val="16"/>
              </w:rPr>
              <w:t>Тротила</w:t>
            </w:r>
          </w:p>
        </w:tc>
        <w:tc>
          <w:tcPr>
            <w:tcW w:w="936" w:type="dxa"/>
          </w:tcPr>
          <w:p w14:paraId="424B64F3" w14:textId="77777777" w:rsidR="00B67D7C" w:rsidRPr="00DE096C" w:rsidRDefault="00B67D7C" w:rsidP="00D45A46">
            <w:pPr>
              <w:jc w:val="both"/>
              <w:rPr>
                <w:bCs/>
                <w:color w:val="002060"/>
                <w:sz w:val="16"/>
                <w:szCs w:val="16"/>
              </w:rPr>
            </w:pPr>
            <w:r w:rsidRPr="00DE096C">
              <w:rPr>
                <w:bCs/>
                <w:color w:val="002060"/>
                <w:sz w:val="16"/>
                <w:szCs w:val="16"/>
              </w:rPr>
              <w:t xml:space="preserve">52.000 </w:t>
            </w:r>
          </w:p>
        </w:tc>
      </w:tr>
      <w:tr w:rsidR="00B67D7C" w:rsidRPr="00DE096C" w14:paraId="03A5F60D" w14:textId="77777777" w:rsidTr="00C2024A">
        <w:tc>
          <w:tcPr>
            <w:tcW w:w="1788" w:type="dxa"/>
          </w:tcPr>
          <w:p w14:paraId="1FF492FA" w14:textId="77777777" w:rsidR="00B67D7C" w:rsidRPr="00DE096C" w:rsidRDefault="00B67D7C" w:rsidP="00D45A46">
            <w:pPr>
              <w:jc w:val="both"/>
              <w:rPr>
                <w:bCs/>
                <w:color w:val="002060"/>
                <w:sz w:val="16"/>
                <w:szCs w:val="16"/>
              </w:rPr>
            </w:pPr>
            <w:r w:rsidRPr="00DE096C">
              <w:rPr>
                <w:bCs/>
                <w:color w:val="002060"/>
                <w:sz w:val="16"/>
                <w:szCs w:val="16"/>
              </w:rPr>
              <w:t>Пикриновой кислоты</w:t>
            </w:r>
          </w:p>
        </w:tc>
        <w:tc>
          <w:tcPr>
            <w:tcW w:w="936" w:type="dxa"/>
          </w:tcPr>
          <w:p w14:paraId="04B7362C" w14:textId="77777777" w:rsidR="00B67D7C" w:rsidRPr="00DE096C" w:rsidRDefault="00B67D7C" w:rsidP="00D45A46">
            <w:pPr>
              <w:jc w:val="both"/>
              <w:rPr>
                <w:bCs/>
                <w:color w:val="002060"/>
                <w:sz w:val="16"/>
                <w:szCs w:val="16"/>
              </w:rPr>
            </w:pPr>
            <w:r w:rsidRPr="00DE096C">
              <w:rPr>
                <w:bCs/>
                <w:color w:val="002060"/>
                <w:sz w:val="16"/>
                <w:szCs w:val="16"/>
              </w:rPr>
              <w:t xml:space="preserve">50.000 </w:t>
            </w:r>
          </w:p>
        </w:tc>
      </w:tr>
      <w:tr w:rsidR="00B67D7C" w:rsidRPr="00DE096C" w14:paraId="25259CF9" w14:textId="77777777" w:rsidTr="00C2024A">
        <w:tc>
          <w:tcPr>
            <w:tcW w:w="1788" w:type="dxa"/>
          </w:tcPr>
          <w:p w14:paraId="10DD0FD1" w14:textId="77777777" w:rsidR="00B67D7C" w:rsidRPr="00DE096C" w:rsidRDefault="00B67D7C" w:rsidP="00D45A46">
            <w:pPr>
              <w:jc w:val="both"/>
              <w:rPr>
                <w:bCs/>
                <w:color w:val="002060"/>
                <w:sz w:val="16"/>
                <w:szCs w:val="16"/>
              </w:rPr>
            </w:pPr>
            <w:r w:rsidRPr="00DE096C">
              <w:rPr>
                <w:bCs/>
                <w:color w:val="002060"/>
                <w:sz w:val="16"/>
                <w:szCs w:val="16"/>
              </w:rPr>
              <w:t>Аммиачной селитры</w:t>
            </w:r>
          </w:p>
        </w:tc>
        <w:tc>
          <w:tcPr>
            <w:tcW w:w="936" w:type="dxa"/>
          </w:tcPr>
          <w:p w14:paraId="0BB47628" w14:textId="77777777" w:rsidR="00B67D7C" w:rsidRPr="00DE096C" w:rsidRDefault="00B67D7C" w:rsidP="00D45A46">
            <w:pPr>
              <w:jc w:val="both"/>
              <w:rPr>
                <w:bCs/>
                <w:color w:val="002060"/>
                <w:sz w:val="16"/>
                <w:szCs w:val="16"/>
              </w:rPr>
            </w:pPr>
            <w:r w:rsidRPr="00DE096C">
              <w:rPr>
                <w:bCs/>
                <w:color w:val="002060"/>
                <w:sz w:val="16"/>
                <w:szCs w:val="16"/>
              </w:rPr>
              <w:t xml:space="preserve">60.000 </w:t>
            </w:r>
          </w:p>
        </w:tc>
      </w:tr>
      <w:tr w:rsidR="00B67D7C" w:rsidRPr="00DE096C" w14:paraId="6CA2CEB7" w14:textId="77777777" w:rsidTr="00C2024A">
        <w:tc>
          <w:tcPr>
            <w:tcW w:w="1788" w:type="dxa"/>
          </w:tcPr>
          <w:p w14:paraId="2F03B807" w14:textId="77777777" w:rsidR="00B67D7C" w:rsidRPr="00DE096C" w:rsidRDefault="00B67D7C" w:rsidP="00D45A46">
            <w:pPr>
              <w:jc w:val="both"/>
              <w:rPr>
                <w:bCs/>
                <w:color w:val="002060"/>
                <w:sz w:val="16"/>
                <w:szCs w:val="16"/>
              </w:rPr>
            </w:pPr>
            <w:r w:rsidRPr="00DE096C">
              <w:rPr>
                <w:bCs/>
                <w:color w:val="002060"/>
                <w:sz w:val="16"/>
                <w:szCs w:val="16"/>
              </w:rPr>
              <w:t>Ксилола</w:t>
            </w:r>
          </w:p>
        </w:tc>
        <w:tc>
          <w:tcPr>
            <w:tcW w:w="936" w:type="dxa"/>
          </w:tcPr>
          <w:p w14:paraId="3CB7A788" w14:textId="77777777" w:rsidR="00B67D7C" w:rsidRPr="00DE096C" w:rsidRDefault="00B67D7C" w:rsidP="00D45A46">
            <w:pPr>
              <w:jc w:val="both"/>
              <w:rPr>
                <w:bCs/>
                <w:color w:val="002060"/>
                <w:sz w:val="16"/>
                <w:szCs w:val="16"/>
              </w:rPr>
            </w:pPr>
            <w:r w:rsidRPr="00DE096C">
              <w:rPr>
                <w:bCs/>
                <w:color w:val="002060"/>
                <w:sz w:val="16"/>
                <w:szCs w:val="16"/>
              </w:rPr>
              <w:t xml:space="preserve">9.000 </w:t>
            </w:r>
          </w:p>
        </w:tc>
      </w:tr>
      <w:tr w:rsidR="00B67D7C" w:rsidRPr="00DE096C" w14:paraId="678F9329" w14:textId="77777777" w:rsidTr="00C2024A">
        <w:tc>
          <w:tcPr>
            <w:tcW w:w="1788" w:type="dxa"/>
          </w:tcPr>
          <w:p w14:paraId="3CE1392B" w14:textId="77777777" w:rsidR="00B67D7C" w:rsidRPr="00DE096C" w:rsidRDefault="00B67D7C" w:rsidP="00D45A46">
            <w:pPr>
              <w:jc w:val="both"/>
              <w:rPr>
                <w:bCs/>
                <w:color w:val="002060"/>
                <w:sz w:val="16"/>
                <w:szCs w:val="16"/>
              </w:rPr>
            </w:pPr>
            <w:r w:rsidRPr="00DE096C">
              <w:rPr>
                <w:bCs/>
                <w:color w:val="002060"/>
                <w:sz w:val="16"/>
                <w:szCs w:val="16"/>
              </w:rPr>
              <w:t>Динитронафталина</w:t>
            </w:r>
          </w:p>
        </w:tc>
        <w:tc>
          <w:tcPr>
            <w:tcW w:w="936" w:type="dxa"/>
          </w:tcPr>
          <w:p w14:paraId="275AF5AC" w14:textId="77777777" w:rsidR="00B67D7C" w:rsidRPr="00DE096C" w:rsidRDefault="00B67D7C" w:rsidP="00D45A46">
            <w:pPr>
              <w:jc w:val="both"/>
              <w:rPr>
                <w:bCs/>
                <w:color w:val="002060"/>
                <w:sz w:val="16"/>
                <w:szCs w:val="16"/>
              </w:rPr>
            </w:pPr>
            <w:r w:rsidRPr="00DE096C">
              <w:rPr>
                <w:bCs/>
                <w:color w:val="002060"/>
                <w:sz w:val="16"/>
                <w:szCs w:val="16"/>
              </w:rPr>
              <w:t xml:space="preserve">12.000 </w:t>
            </w:r>
          </w:p>
        </w:tc>
      </w:tr>
    </w:tbl>
    <w:p w14:paraId="0A0D7745" w14:textId="77777777" w:rsidR="00B67D7C" w:rsidRPr="00DE096C" w:rsidRDefault="00B67D7C" w:rsidP="00D45A46">
      <w:pPr>
        <w:jc w:val="both"/>
        <w:rPr>
          <w:bCs/>
          <w:color w:val="002060"/>
          <w:sz w:val="16"/>
          <w:szCs w:val="16"/>
        </w:rPr>
      </w:pPr>
      <w:r w:rsidRPr="00DE096C">
        <w:rPr>
          <w:bCs/>
          <w:color w:val="002060"/>
          <w:sz w:val="16"/>
          <w:szCs w:val="16"/>
        </w:rPr>
        <w:t xml:space="preserve">Фактически эта мощность не была использована полностью. </w:t>
      </w:r>
    </w:p>
    <w:p w14:paraId="41A550B5" w14:textId="77777777" w:rsidR="00B67D7C" w:rsidRPr="00DE096C" w:rsidRDefault="00B67D7C" w:rsidP="00D45A46">
      <w:pPr>
        <w:jc w:val="both"/>
        <w:rPr>
          <w:bCs/>
          <w:color w:val="002060"/>
          <w:sz w:val="16"/>
          <w:szCs w:val="16"/>
        </w:rPr>
      </w:pPr>
      <w:r w:rsidRPr="00DE096C">
        <w:rPr>
          <w:bCs/>
          <w:color w:val="002060"/>
          <w:sz w:val="16"/>
          <w:szCs w:val="16"/>
        </w:rPr>
        <w:lastRenderedPageBreak/>
        <w:t xml:space="preserve">Летом 1915 г. определенно выяснилась необходимость организовать производство целого ряда химических продуктов для газовой борьбы с противником. </w:t>
      </w:r>
    </w:p>
    <w:p w14:paraId="7E1603E5" w14:textId="77777777" w:rsidR="00B67D7C" w:rsidRPr="00DE096C" w:rsidRDefault="00B67D7C" w:rsidP="00D45A46">
      <w:pPr>
        <w:jc w:val="both"/>
        <w:rPr>
          <w:bCs/>
          <w:color w:val="002060"/>
          <w:sz w:val="16"/>
          <w:szCs w:val="16"/>
        </w:rPr>
      </w:pPr>
      <w:r w:rsidRPr="00DE096C">
        <w:rPr>
          <w:bCs/>
          <w:color w:val="002060"/>
          <w:sz w:val="16"/>
          <w:szCs w:val="16"/>
        </w:rPr>
        <w:t xml:space="preserve">Это дело проводилось с большой энергией и успехом, сначала специально для этой цели организованной Комиссией у[душающих] с[редств], а после Химическим комитетом, куда вошла Комиссия УС. Организации заводского производства предшествовал ряд научных изысканий. </w:t>
      </w:r>
    </w:p>
    <w:p w14:paraId="2DA067B9" w14:textId="77777777" w:rsidR="00B67D7C" w:rsidRPr="00DE096C" w:rsidRDefault="00B67D7C" w:rsidP="00D45A46">
      <w:pPr>
        <w:jc w:val="both"/>
        <w:rPr>
          <w:bCs/>
          <w:color w:val="002060"/>
          <w:sz w:val="16"/>
          <w:szCs w:val="16"/>
        </w:rPr>
      </w:pPr>
      <w:r w:rsidRPr="00DE096C">
        <w:rPr>
          <w:bCs/>
          <w:color w:val="002060"/>
          <w:sz w:val="16"/>
          <w:szCs w:val="16"/>
        </w:rPr>
        <w:t xml:space="preserve">Для выпуска из баллонов принят был сжиженный хлор. Производство было быстро организовано на двух заводах Донецкого бассейна и в период с осени 1915 г. к осени 1916 г. достигло 500-600 пудов в сутки, что вполне покрывало потребность фронта. </w:t>
      </w:r>
    </w:p>
    <w:p w14:paraId="7DB7DDAC" w14:textId="77777777" w:rsidR="00B67D7C" w:rsidRPr="00DE096C" w:rsidRDefault="00B67D7C" w:rsidP="00D45A46">
      <w:pPr>
        <w:jc w:val="both"/>
        <w:rPr>
          <w:bCs/>
          <w:color w:val="002060"/>
          <w:sz w:val="16"/>
          <w:szCs w:val="16"/>
        </w:rPr>
      </w:pPr>
      <w:r w:rsidRPr="00DE096C">
        <w:rPr>
          <w:bCs/>
          <w:color w:val="002060"/>
          <w:sz w:val="16"/>
          <w:szCs w:val="16"/>
        </w:rPr>
        <w:t xml:space="preserve">Второе вещество, необходимое для баллоновой газовой борьбы, фосген, в России ранее вовсе не вырабатывалось. </w:t>
      </w:r>
    </w:p>
    <w:p w14:paraId="11C01BE7" w14:textId="77777777" w:rsidR="00B67D7C" w:rsidRPr="00DE096C" w:rsidRDefault="00B67D7C" w:rsidP="00D45A46">
      <w:pPr>
        <w:jc w:val="both"/>
        <w:rPr>
          <w:bCs/>
          <w:color w:val="002060"/>
          <w:sz w:val="16"/>
          <w:szCs w:val="16"/>
        </w:rPr>
      </w:pPr>
      <w:r w:rsidRPr="00DE096C">
        <w:rPr>
          <w:bCs/>
          <w:color w:val="002060"/>
          <w:sz w:val="16"/>
          <w:szCs w:val="16"/>
        </w:rPr>
        <w:t xml:space="preserve">На это производство оборудовалось пять заводов, из коих один казенный. Из пяти только два своевременно справились с делом. С января по октябрь 1916 г. производство фосгена достигло 600 пудов в месяц. Установка его представляла большие технические трудности. </w:t>
      </w:r>
    </w:p>
    <w:p w14:paraId="11FB2FAF" w14:textId="77777777" w:rsidR="00B67D7C" w:rsidRPr="00DE096C" w:rsidRDefault="00B67D7C" w:rsidP="00D45A46">
      <w:pPr>
        <w:jc w:val="both"/>
        <w:rPr>
          <w:bCs/>
          <w:color w:val="002060"/>
          <w:sz w:val="16"/>
          <w:szCs w:val="16"/>
        </w:rPr>
      </w:pPr>
      <w:r w:rsidRPr="00DE096C">
        <w:rPr>
          <w:bCs/>
          <w:color w:val="002060"/>
          <w:sz w:val="16"/>
          <w:szCs w:val="16"/>
        </w:rPr>
        <w:t xml:space="preserve">Что касается других удушающих веществ, то Химический комитет поставил следующие производства: </w:t>
      </w:r>
    </w:p>
    <w:p w14:paraId="6C60F9FA" w14:textId="77777777" w:rsidR="00B67D7C" w:rsidRPr="00DE096C" w:rsidRDefault="00B67D7C" w:rsidP="00D45A46">
      <w:pPr>
        <w:jc w:val="both"/>
        <w:rPr>
          <w:bCs/>
          <w:color w:val="002060"/>
          <w:sz w:val="16"/>
          <w:szCs w:val="16"/>
        </w:rPr>
      </w:pPr>
      <w:r w:rsidRPr="00DE096C">
        <w:rPr>
          <w:bCs/>
          <w:color w:val="002060"/>
          <w:sz w:val="16"/>
          <w:szCs w:val="16"/>
        </w:rPr>
        <w:t xml:space="preserve">Хлорпикрин — производство было поставлено на семи заводах. Из них один казенный (Глобинский). По 1 октября 1916 г. изготовлено 21 000 пудов. </w:t>
      </w:r>
    </w:p>
    <w:p w14:paraId="5F62EEDE" w14:textId="77777777" w:rsidR="00B67D7C" w:rsidRPr="00DE096C" w:rsidRDefault="00B67D7C" w:rsidP="00D45A46">
      <w:pPr>
        <w:jc w:val="both"/>
        <w:rPr>
          <w:bCs/>
          <w:color w:val="002060"/>
          <w:sz w:val="16"/>
          <w:szCs w:val="16"/>
        </w:rPr>
      </w:pPr>
      <w:r w:rsidRPr="00DE096C">
        <w:rPr>
          <w:bCs/>
          <w:color w:val="002060"/>
          <w:sz w:val="16"/>
          <w:szCs w:val="16"/>
        </w:rPr>
        <w:t xml:space="preserve">Хлористый сульфурин и хлористый ангидрид — на одном заводе, до 1 октября 1916 г. выработано: первого 14 000 пудов, а второго 18 000 пудов. </w:t>
      </w:r>
    </w:p>
    <w:p w14:paraId="7172AF02" w14:textId="77777777" w:rsidR="00B67D7C" w:rsidRPr="00DE096C" w:rsidRDefault="00B67D7C" w:rsidP="00D45A46">
      <w:pPr>
        <w:jc w:val="both"/>
        <w:rPr>
          <w:bCs/>
          <w:color w:val="002060"/>
          <w:sz w:val="16"/>
          <w:szCs w:val="16"/>
        </w:rPr>
      </w:pPr>
      <w:r w:rsidRPr="00DE096C">
        <w:rPr>
          <w:bCs/>
          <w:color w:val="002060"/>
          <w:sz w:val="16"/>
          <w:szCs w:val="16"/>
        </w:rPr>
        <w:t xml:space="preserve">Хлорное олово — на одном заводе, до 1 октября 1916 г. выработано 14 000 пудов. </w:t>
      </w:r>
    </w:p>
    <w:p w14:paraId="57B0E34D" w14:textId="77777777" w:rsidR="00B67D7C" w:rsidRPr="00DE096C" w:rsidRDefault="00B67D7C" w:rsidP="00D45A46">
      <w:pPr>
        <w:jc w:val="both"/>
        <w:rPr>
          <w:bCs/>
          <w:color w:val="002060"/>
          <w:sz w:val="16"/>
          <w:szCs w:val="16"/>
        </w:rPr>
      </w:pPr>
      <w:r w:rsidRPr="00DE096C">
        <w:rPr>
          <w:bCs/>
          <w:color w:val="002060"/>
          <w:sz w:val="16"/>
          <w:szCs w:val="16"/>
        </w:rPr>
        <w:t xml:space="preserve">Цианистый калий — на одном заводе, за 1916 г. выработано 100 пудов. </w:t>
      </w:r>
    </w:p>
    <w:p w14:paraId="380CD950" w14:textId="77777777" w:rsidR="00B67D7C" w:rsidRPr="00DE096C" w:rsidRDefault="00B67D7C" w:rsidP="00D45A46">
      <w:pPr>
        <w:jc w:val="both"/>
        <w:rPr>
          <w:bCs/>
          <w:color w:val="002060"/>
          <w:sz w:val="16"/>
          <w:szCs w:val="16"/>
        </w:rPr>
      </w:pPr>
      <w:r w:rsidRPr="00DE096C">
        <w:rPr>
          <w:bCs/>
          <w:color w:val="002060"/>
          <w:sz w:val="16"/>
          <w:szCs w:val="16"/>
        </w:rPr>
        <w:t xml:space="preserve">Хлороформ — на одном заводе, до 1 октября 1916 г. — 300 пудов. </w:t>
      </w:r>
    </w:p>
    <w:p w14:paraId="5FF9B1D2" w14:textId="77777777" w:rsidR="00B67D7C" w:rsidRPr="00DE096C" w:rsidRDefault="00B67D7C" w:rsidP="00D45A46">
      <w:pPr>
        <w:jc w:val="both"/>
        <w:rPr>
          <w:bCs/>
          <w:color w:val="002060"/>
          <w:sz w:val="16"/>
          <w:szCs w:val="16"/>
        </w:rPr>
      </w:pPr>
      <w:r w:rsidRPr="00DE096C">
        <w:rPr>
          <w:bCs/>
          <w:color w:val="002060"/>
          <w:sz w:val="16"/>
          <w:szCs w:val="16"/>
        </w:rPr>
        <w:t xml:space="preserve">Хлористый мышьяк — на одном заводе, до 1 октября 1916 г. — 2000 пудов. </w:t>
      </w:r>
    </w:p>
    <w:p w14:paraId="0927A460" w14:textId="77777777" w:rsidR="00B67D7C" w:rsidRPr="00DE096C" w:rsidRDefault="00B67D7C" w:rsidP="00D45A46">
      <w:pPr>
        <w:jc w:val="both"/>
        <w:rPr>
          <w:bCs/>
          <w:color w:val="002060"/>
          <w:sz w:val="16"/>
          <w:szCs w:val="16"/>
        </w:rPr>
      </w:pPr>
      <w:r w:rsidRPr="00DE096C">
        <w:rPr>
          <w:bCs/>
          <w:color w:val="002060"/>
          <w:sz w:val="16"/>
          <w:szCs w:val="16"/>
        </w:rPr>
        <w:t xml:space="preserve">Для производства бромбензола было установлено, впервые в России, производство брома. </w:t>
      </w:r>
    </w:p>
    <w:p w14:paraId="50D9BD9B" w14:textId="77777777" w:rsidR="00B67D7C" w:rsidRPr="00DE096C" w:rsidRDefault="00B67D7C" w:rsidP="00D45A46">
      <w:pPr>
        <w:jc w:val="both"/>
        <w:rPr>
          <w:bCs/>
          <w:color w:val="002060"/>
          <w:sz w:val="16"/>
          <w:szCs w:val="16"/>
        </w:rPr>
      </w:pPr>
      <w:r w:rsidRPr="00DE096C">
        <w:rPr>
          <w:bCs/>
          <w:color w:val="002060"/>
          <w:sz w:val="16"/>
          <w:szCs w:val="16"/>
        </w:rPr>
        <w:t xml:space="preserve">Помимо указанного, Химический комитет поставил ряд производств основных материалов — для изготовления зажигательных препаратов, фармацевтических и др. Так, постановлено производство азотнокислого бария (около 2000 пудов) и желтого фосфора. Затем, организован завод для ректификации кустарного метилового спирта и получения химически чистого. Далее, были предприняты постройки нескольких заводов для сухой перегонки дерева с получением метилового спирта. </w:t>
      </w:r>
    </w:p>
    <w:p w14:paraId="4C4BCF21" w14:textId="77777777" w:rsidR="00B67D7C" w:rsidRPr="00DE096C" w:rsidRDefault="00B67D7C" w:rsidP="00D45A46">
      <w:pPr>
        <w:jc w:val="both"/>
        <w:rPr>
          <w:bCs/>
          <w:color w:val="002060"/>
          <w:sz w:val="16"/>
          <w:szCs w:val="16"/>
        </w:rPr>
      </w:pPr>
      <w:r w:rsidRPr="00DE096C">
        <w:rPr>
          <w:bCs/>
          <w:color w:val="002060"/>
          <w:sz w:val="16"/>
          <w:szCs w:val="16"/>
        </w:rPr>
        <w:t xml:space="preserve">Химический комитет, энергично работая в направлении мобилизации мирной промышленности на военные производства, в то же время не упускал чрезвычайно существенного в этом деле вопроса: как быть по окончании войны со всеми предприятиями, которые с мирной работы были переоборудованы и переведены на военную, а в особенности с теми, кои были специально для военных нужд построены и оборудованы заново. </w:t>
      </w:r>
    </w:p>
    <w:p w14:paraId="13560D71" w14:textId="77777777" w:rsidR="00B67D7C" w:rsidRPr="00DE096C" w:rsidRDefault="00B67D7C" w:rsidP="00D45A46">
      <w:pPr>
        <w:jc w:val="both"/>
        <w:rPr>
          <w:bCs/>
          <w:color w:val="002060"/>
          <w:sz w:val="16"/>
          <w:szCs w:val="16"/>
        </w:rPr>
      </w:pPr>
      <w:r w:rsidRPr="00DE096C">
        <w:rPr>
          <w:bCs/>
          <w:color w:val="002060"/>
          <w:sz w:val="16"/>
          <w:szCs w:val="16"/>
        </w:rPr>
        <w:t xml:space="preserve">Война дала громадный толчок к развитию отечественной химической промышленности. Вслед за развитием производства специально военных продуктов (взрывчатых веществ и пороха) естественно росли, развивались и насаждались вновь производства длинного ряда исходных для них продуктов, которые сами по себе носили уже вполне мирный характер (кислоты, ароматические углеводороды и пр.), а было бы преступным не использовать полученный химической промышленностью импульс, вложенные в нее силы и средства для дальнейшего ее развития по линии мирного рынка. </w:t>
      </w:r>
    </w:p>
    <w:p w14:paraId="674E6378" w14:textId="77777777" w:rsidR="00B67D7C" w:rsidRPr="00DE096C" w:rsidRDefault="00B67D7C" w:rsidP="00D45A46">
      <w:pPr>
        <w:jc w:val="both"/>
        <w:rPr>
          <w:bCs/>
          <w:color w:val="002060"/>
          <w:sz w:val="16"/>
          <w:szCs w:val="16"/>
        </w:rPr>
      </w:pPr>
      <w:r w:rsidRPr="00DE096C">
        <w:rPr>
          <w:bCs/>
          <w:color w:val="002060"/>
          <w:sz w:val="16"/>
          <w:szCs w:val="16"/>
        </w:rPr>
        <w:t xml:space="preserve">Разрешение этой задачи представляло громадные трудности и с технической стороны и, в особенности, со стороны экономики. Предстояло разрешить вопросы: а) чем располагает химическая промышленность в смысле производственных возможностей, б) в чем нуждается Россия, в смысле химических продуктов, в) какие производства необходимо и возможно организовать вновь, г) как использовать заводы специально военного назначения на мирный рынок с тем, чтобы в то же время сохранить их мобилизационную готовность к военной работе. </w:t>
      </w:r>
    </w:p>
    <w:p w14:paraId="454ACE02" w14:textId="77777777" w:rsidR="00B67D7C" w:rsidRPr="00DE096C" w:rsidRDefault="00B67D7C" w:rsidP="00D45A46">
      <w:pPr>
        <w:jc w:val="both"/>
        <w:rPr>
          <w:bCs/>
          <w:color w:val="002060"/>
          <w:sz w:val="16"/>
          <w:szCs w:val="16"/>
        </w:rPr>
      </w:pPr>
      <w:r w:rsidRPr="00DE096C">
        <w:rPr>
          <w:bCs/>
          <w:color w:val="002060"/>
          <w:sz w:val="16"/>
          <w:szCs w:val="16"/>
        </w:rPr>
        <w:t xml:space="preserve">Разрешение этих вопросов естественно связывалось с вопросами заграничной конкуренции, таможенных пошлин, железнодорожных тарифов и пр. Одним словом, необходимо было поставить во всем объеме задачу о дальнейших путях интенсивного развития отечественной химической промышленности и полного освобождения государства в этой области от иностранной зависимости. </w:t>
      </w:r>
    </w:p>
    <w:p w14:paraId="61CDED47" w14:textId="77777777" w:rsidR="00B67D7C" w:rsidRPr="00DE096C" w:rsidRDefault="00B67D7C" w:rsidP="00D45A46">
      <w:pPr>
        <w:jc w:val="both"/>
        <w:rPr>
          <w:bCs/>
          <w:color w:val="002060"/>
          <w:sz w:val="16"/>
          <w:szCs w:val="16"/>
        </w:rPr>
      </w:pPr>
      <w:r w:rsidRPr="00DE096C">
        <w:rPr>
          <w:bCs/>
          <w:color w:val="002060"/>
          <w:sz w:val="16"/>
          <w:szCs w:val="16"/>
        </w:rPr>
        <w:t xml:space="preserve">Химический комитет, поставив так широко задачу, надлежащим образом и приступил к ее разрешению. Он призвал к этому делу все крупные общественные организации, научные силы и представителей промышленности. Все весьма охотно откликнулись на призыв. Общими силами приступлено было к собиранию и разработке статистического материала по химическим производствам. Под наблюдением Комитета находилось до 200 заводов химической промышленности. </w:t>
      </w:r>
    </w:p>
    <w:p w14:paraId="3414B2BB" w14:textId="77777777" w:rsidR="00B67D7C" w:rsidRPr="00DE096C" w:rsidRDefault="00B67D7C" w:rsidP="00D45A46">
      <w:pPr>
        <w:jc w:val="both"/>
        <w:rPr>
          <w:bCs/>
          <w:color w:val="002060"/>
          <w:sz w:val="16"/>
          <w:szCs w:val="16"/>
        </w:rPr>
      </w:pPr>
      <w:r w:rsidRPr="00DE096C">
        <w:rPr>
          <w:bCs/>
          <w:color w:val="002060"/>
          <w:sz w:val="16"/>
          <w:szCs w:val="16"/>
        </w:rPr>
        <w:t>Осенью 1916 г. при Московском и Южном бюро Химического комитета были образованы подготовительные комиссии для сосредоточения и разработки статистического материала. Были намечены к обследованию следующие отрасли промышленности: 1) кислотная и связанные с ней заводы получения солей и других минеральных продуктов, 2) фармацевтическая, 3) красочная, 4) органических препаратов (нефтяная, сухой перегонки дерева, продуктов коксования угля, сахарная, паточная, обработка жиров и др.).</w:t>
      </w:r>
    </w:p>
    <w:p w14:paraId="19198607" w14:textId="77777777" w:rsidR="00B67D7C" w:rsidRPr="00DE096C" w:rsidRDefault="00B67D7C" w:rsidP="00D45A46">
      <w:pPr>
        <w:jc w:val="both"/>
        <w:rPr>
          <w:bCs/>
          <w:color w:val="002060"/>
          <w:sz w:val="16"/>
          <w:szCs w:val="16"/>
        </w:rPr>
      </w:pPr>
      <w:r w:rsidRPr="00DE096C">
        <w:rPr>
          <w:bCs/>
          <w:color w:val="002060"/>
          <w:sz w:val="16"/>
          <w:szCs w:val="16"/>
        </w:rPr>
        <w:t xml:space="preserve">Для объединения работ подготовительных комиссий, подходивших к концу, в начале 1917 г. в Москве был образован Центральный орган. В состав его вошли представители заинтересованных министерств, научных, ученых и общественных организаций. Предстояла сводка материала, составление выводов и заключений, а затем разработка плана демобилизации промышленности и насаждение новых ее отраслей. События октября 1917 г. прервали эту работу. </w:t>
      </w:r>
    </w:p>
    <w:p w14:paraId="03378912" w14:textId="77777777" w:rsidR="00B67D7C" w:rsidRPr="00DE096C" w:rsidRDefault="00B67D7C" w:rsidP="00D45A46">
      <w:pPr>
        <w:jc w:val="both"/>
        <w:rPr>
          <w:bCs/>
          <w:color w:val="002060"/>
          <w:sz w:val="16"/>
          <w:szCs w:val="16"/>
        </w:rPr>
      </w:pPr>
      <w:r w:rsidRPr="00DE096C">
        <w:rPr>
          <w:bCs/>
          <w:color w:val="002060"/>
          <w:sz w:val="16"/>
          <w:szCs w:val="16"/>
        </w:rPr>
        <w:t xml:space="preserve">История работы Химического комитета дает весьма поучительный материал, позволяющий, с одной стороны, поставить верный диагноз недугам нашего военного снабжения в прошлую войну, и. с другой стороны, найти твердые и надежные методы их излечения. Первые же месяцы войны вскрыли исключительную беспечность военного ведомства в вопросах обеспечения армии взрывчатыми веществами. Достаточно лишь указать, что единственное взрывчатое вещество, принятое для снаряжения снарядов всех калибров, мин, ручных гранат и т.д., — тротил — ни в малейшей мере не было обеспечено основным сырьем — толуолом, который с 1909 г. и до объявления войны полностью получался из той самой Германии, с которой во всякий момент могла возникнуть война. </w:t>
      </w:r>
    </w:p>
    <w:p w14:paraId="049238CE" w14:textId="77777777" w:rsidR="00B67D7C" w:rsidRPr="00DE096C" w:rsidRDefault="00B67D7C" w:rsidP="00D45A46">
      <w:pPr>
        <w:jc w:val="both"/>
        <w:rPr>
          <w:bCs/>
          <w:color w:val="002060"/>
          <w:sz w:val="16"/>
          <w:szCs w:val="16"/>
        </w:rPr>
      </w:pPr>
      <w:r w:rsidRPr="00DE096C">
        <w:rPr>
          <w:bCs/>
          <w:color w:val="002060"/>
          <w:sz w:val="16"/>
          <w:szCs w:val="16"/>
        </w:rPr>
        <w:t xml:space="preserve">Сравнительно кратковременная работа Комитета, предпринятая без всякой предварительной подготовки и протекавшая в условиях военного времени, дала громадные результаты. В короткий срок русскими учеными разрешен целый ряд химических задач, имеющих большое военное значение и в то же время не меньшее значение научное. Русскими инженерами в короткий срок был построен ряд новых химических заводов и поставлено много совершенно новых для России производств, причем во многих случаях методы этих производств, совершенно оригинальные, были разработаны своими силами. И все эти работы, несмотря на кратковременность их, успели дать крупнейшие практические результаты для дела обороны государства. </w:t>
      </w:r>
    </w:p>
    <w:p w14:paraId="7899F254" w14:textId="77777777" w:rsidR="00B67D7C" w:rsidRPr="00DE096C" w:rsidRDefault="00B67D7C" w:rsidP="00D45A46">
      <w:pPr>
        <w:jc w:val="both"/>
        <w:rPr>
          <w:bCs/>
          <w:color w:val="002060"/>
          <w:sz w:val="16"/>
          <w:szCs w:val="16"/>
        </w:rPr>
      </w:pPr>
      <w:r w:rsidRPr="00DE096C">
        <w:rPr>
          <w:bCs/>
          <w:color w:val="002060"/>
          <w:sz w:val="16"/>
          <w:szCs w:val="16"/>
        </w:rPr>
        <w:t>Если мобилизация химической промышленности, произведенная без всякой решительно предварительной подготовки, в порядке чистейшей импровизации, могла принести такую громадную помощь армии, то естественно рождается вопрос, каковы были бы результаты, если бы эта мобилизация была предусмотрена и подготовлена заблаговременно, еще в мирное время, и с началом войны химическая промышленность развернула бы свою работу по строго определенному плану, спокойно, без толчков, перейдя с мирной программы на военную. Естественные богатства России и способность русской инженерной мысли к продуктивному творчеству открывали широкие возможности развития химической промышленности в том направлении, как этого требуют интересы обороны (11329).</w:t>
      </w:r>
    </w:p>
    <w:p w14:paraId="44F279E4" w14:textId="77777777" w:rsidR="00B67D7C" w:rsidRPr="00DE096C" w:rsidRDefault="00B67D7C" w:rsidP="00D45A46">
      <w:pPr>
        <w:jc w:val="both"/>
        <w:rPr>
          <w:bCs/>
          <w:i/>
          <w:color w:val="002060"/>
          <w:sz w:val="16"/>
          <w:szCs w:val="16"/>
        </w:rPr>
      </w:pPr>
    </w:p>
    <w:p w14:paraId="253AF46D" w14:textId="3C2B089E" w:rsidR="00B67D7C" w:rsidRPr="00DE096C" w:rsidRDefault="002E7CBF" w:rsidP="00D45A46">
      <w:pPr>
        <w:shd w:val="clear" w:color="auto" w:fill="FFFFFF"/>
        <w:jc w:val="both"/>
        <w:rPr>
          <w:bCs/>
          <w:color w:val="002060"/>
          <w:sz w:val="16"/>
          <w:szCs w:val="16"/>
        </w:rPr>
      </w:pPr>
      <w:r w:rsidRPr="00DE096C">
        <w:rPr>
          <w:bCs/>
          <w:color w:val="002060"/>
          <w:sz w:val="16"/>
          <w:szCs w:val="16"/>
        </w:rPr>
        <w:t>В</w:t>
      </w:r>
      <w:r w:rsidR="00B67D7C" w:rsidRPr="00DE096C">
        <w:rPr>
          <w:bCs/>
          <w:color w:val="002060"/>
          <w:sz w:val="16"/>
          <w:szCs w:val="16"/>
        </w:rPr>
        <w:t xml:space="preserve"> августе 1914 г.</w:t>
      </w:r>
      <w:r w:rsidRPr="00DE096C">
        <w:rPr>
          <w:bCs/>
          <w:color w:val="002060"/>
          <w:sz w:val="16"/>
          <w:szCs w:val="16"/>
        </w:rPr>
        <w:t xml:space="preserve"> Путиловский завод, получивший крупный заказ</w:t>
      </w:r>
      <w:r w:rsidR="00B67D7C" w:rsidRPr="00DE096C">
        <w:rPr>
          <w:bCs/>
          <w:color w:val="002060"/>
          <w:sz w:val="16"/>
          <w:szCs w:val="16"/>
        </w:rPr>
        <w:t>, смог дать первую партию корпусов снарядов (26 711 шт.) только в ноябре 1914 г., Петроградский механический завод изготовил в де</w:t>
      </w:r>
      <w:r w:rsidR="00B67D7C" w:rsidRPr="00DE096C">
        <w:rPr>
          <w:bCs/>
          <w:color w:val="002060"/>
          <w:sz w:val="16"/>
          <w:szCs w:val="16"/>
        </w:rPr>
        <w:softHyphen/>
        <w:t>кабре 1914 г. всего 1009 корпусов. Балтийский, Николаевский и не</w:t>
      </w:r>
      <w:r w:rsidR="00B67D7C" w:rsidRPr="00DE096C">
        <w:rPr>
          <w:bCs/>
          <w:color w:val="002060"/>
          <w:sz w:val="16"/>
          <w:szCs w:val="16"/>
        </w:rPr>
        <w:softHyphen/>
        <w:t>которые другие заводы выдали первые партии снарядов лишь в янва</w:t>
      </w:r>
      <w:r w:rsidR="00B67D7C" w:rsidRPr="00DE096C">
        <w:rPr>
          <w:bCs/>
          <w:color w:val="002060"/>
          <w:sz w:val="16"/>
          <w:szCs w:val="16"/>
        </w:rPr>
        <w:softHyphen/>
        <w:t>ре—феврале 1915 г. (5484).</w:t>
      </w:r>
    </w:p>
    <w:p w14:paraId="61BFAFD8" w14:textId="77777777" w:rsidR="00B67D7C" w:rsidRPr="00DE096C" w:rsidRDefault="00B67D7C" w:rsidP="00D45A46">
      <w:pPr>
        <w:shd w:val="clear" w:color="auto" w:fill="FFFFFF"/>
        <w:jc w:val="both"/>
        <w:rPr>
          <w:bCs/>
          <w:color w:val="002060"/>
          <w:sz w:val="16"/>
          <w:szCs w:val="16"/>
        </w:rPr>
      </w:pPr>
    </w:p>
    <w:p w14:paraId="02D30C7A" w14:textId="5FD1226F" w:rsidR="00B67D7C" w:rsidRPr="00DE096C" w:rsidRDefault="002E7CBF"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С</w:t>
      </w:r>
      <w:r w:rsidR="00B67D7C" w:rsidRPr="00DE096C">
        <w:rPr>
          <w:bCs/>
          <w:i w:val="0"/>
          <w:color w:val="002060"/>
          <w:spacing w:val="0"/>
          <w:kern w:val="0"/>
          <w:position w:val="0"/>
          <w:sz w:val="16"/>
          <w:szCs w:val="16"/>
        </w:rPr>
        <w:t xml:space="preserve"> августа 1914 г. </w:t>
      </w:r>
      <w:r w:rsidRPr="00DE096C">
        <w:rPr>
          <w:bCs/>
          <w:i w:val="0"/>
          <w:color w:val="002060"/>
          <w:spacing w:val="0"/>
          <w:kern w:val="0"/>
          <w:position w:val="0"/>
          <w:sz w:val="16"/>
          <w:szCs w:val="16"/>
        </w:rPr>
        <w:t xml:space="preserve">по просьбе ГАУ, бывший царский фарфоровый завод </w:t>
      </w:r>
      <w:r w:rsidR="00B67D7C" w:rsidRPr="00DE096C">
        <w:rPr>
          <w:bCs/>
          <w:i w:val="0"/>
          <w:color w:val="002060"/>
          <w:spacing w:val="0"/>
          <w:kern w:val="0"/>
          <w:position w:val="0"/>
          <w:sz w:val="16"/>
          <w:szCs w:val="16"/>
        </w:rPr>
        <w:t xml:space="preserve">начал производить опыты варки оптического стекла и только по прошествии двух лет, при техническом содействии английского завода братья Чанс и К°, мог приступить к валовому изготовлению оптического стекла. </w:t>
      </w:r>
    </w:p>
    <w:p w14:paraId="759260DC"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Фарфоровый завод работая исключительно на привозных материалах (песок, глина и пр.), так как их не было в окрестностях завода. Вследствие этого всегда возможны были перерывы в работах завода по изготовлению оптического стекла. </w:t>
      </w:r>
    </w:p>
    <w:p w14:paraId="0B9ACF23"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 целях надежности обеспечения нашей военной промышленности оптическим стеклом признана была необходимой постройка нового казенного завода для варки этого стекла. </w:t>
      </w:r>
    </w:p>
    <w:p w14:paraId="4D093BD2"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Завод оптического стекла строился в промышленном районе юга России, где имелись все необходимые материалы: </w:t>
      </w:r>
    </w:p>
    <w:p w14:paraId="7648B36A"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каменный уголь, глина, песок и пр., а также подходящие рабочие. </w:t>
      </w:r>
    </w:p>
    <w:p w14:paraId="5E17D853"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Предвиделся брак стекла до 90% и выход годного стекла только около 10%, вследствие чего оптическое стекло обходилось бы дорого - около 8 рублей за фунт. Приблизительно по такой же цене возможно было приобретать, хотя с трудом, оптическое стекло во Франции, но в эту цену не входила стоимость доставки из Парижа в Россию, ложившаяся крупным накладным расходом. Таким образом, свой завод оптического стекла был не только необходим для обеспечения потребности в этом стекле, но был выгоден и в экономическом отношении. Тем более, что после того, как получился бы некоторый опыт и наладилась работа, процент брака уменьшился бы и стоимость стекла понизилась бы раза в два. </w:t>
      </w:r>
    </w:p>
    <w:p w14:paraId="53D2DADE"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2. Оптические приборы крайне необходимы в военном деле. Без панорамного прицела или оптического угломера (гониометра) невозможно вполне использовать баллистические качества современных дальнобойных орудий. Наблюдение за противником и за результатами своей стрельбы ведется при помощи специальных стереотруб, сильных биноклей, перископов. Оптические дальномеры необходимы для артиллерии, для пулеметных команд и разведчиков; без этих дальномеров почти невозможна стрельба по аэропланам и дирижаблям. </w:t>
      </w:r>
    </w:p>
    <w:p w14:paraId="5B235402"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 конце 1916 г. ежегодная потребность в оптических приборах для русской армии определялась: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 w:type="dxa"/>
          <w:right w:w="7" w:type="dxa"/>
        </w:tblCellMar>
        <w:tblLook w:val="0000" w:firstRow="0" w:lastRow="0" w:firstColumn="0" w:lastColumn="0" w:noHBand="0" w:noVBand="0"/>
      </w:tblPr>
      <w:tblGrid>
        <w:gridCol w:w="5485"/>
        <w:gridCol w:w="2294"/>
      </w:tblGrid>
      <w:tr w:rsidR="00B67D7C" w:rsidRPr="00DE096C" w14:paraId="02C92F93" w14:textId="77777777" w:rsidTr="00C2024A">
        <w:trPr>
          <w:jc w:val="center"/>
        </w:trPr>
        <w:tc>
          <w:tcPr>
            <w:tcW w:w="5485" w:type="dxa"/>
          </w:tcPr>
          <w:p w14:paraId="755AB700"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Панорам </w:t>
            </w:r>
          </w:p>
        </w:tc>
        <w:tc>
          <w:tcPr>
            <w:tcW w:w="2294" w:type="dxa"/>
          </w:tcPr>
          <w:p w14:paraId="342B78E1"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4 927 </w:t>
            </w:r>
          </w:p>
        </w:tc>
      </w:tr>
      <w:tr w:rsidR="00B67D7C" w:rsidRPr="00DE096C" w14:paraId="496BD2B7" w14:textId="77777777" w:rsidTr="00C2024A">
        <w:trPr>
          <w:jc w:val="center"/>
        </w:trPr>
        <w:tc>
          <w:tcPr>
            <w:tcW w:w="5485" w:type="dxa"/>
          </w:tcPr>
          <w:p w14:paraId="7B32DA17"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Биноклей </w:t>
            </w:r>
          </w:p>
        </w:tc>
        <w:tc>
          <w:tcPr>
            <w:tcW w:w="2294" w:type="dxa"/>
          </w:tcPr>
          <w:p w14:paraId="68E58D55"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27 796 </w:t>
            </w:r>
          </w:p>
        </w:tc>
      </w:tr>
      <w:tr w:rsidR="00B67D7C" w:rsidRPr="00DE096C" w14:paraId="5824924E" w14:textId="77777777" w:rsidTr="00C2024A">
        <w:trPr>
          <w:jc w:val="center"/>
        </w:trPr>
        <w:tc>
          <w:tcPr>
            <w:tcW w:w="5485" w:type="dxa"/>
          </w:tcPr>
          <w:p w14:paraId="487F9258"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Стереотруб больших </w:t>
            </w:r>
          </w:p>
        </w:tc>
        <w:tc>
          <w:tcPr>
            <w:tcW w:w="2294" w:type="dxa"/>
          </w:tcPr>
          <w:p w14:paraId="611E07F8"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674 </w:t>
            </w:r>
          </w:p>
        </w:tc>
      </w:tr>
      <w:tr w:rsidR="00B67D7C" w:rsidRPr="00DE096C" w14:paraId="35F5D765" w14:textId="77777777" w:rsidTr="00C2024A">
        <w:trPr>
          <w:jc w:val="center"/>
        </w:trPr>
        <w:tc>
          <w:tcPr>
            <w:tcW w:w="5485" w:type="dxa"/>
          </w:tcPr>
          <w:p w14:paraId="0E0D92AE"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lastRenderedPageBreak/>
              <w:t xml:space="preserve">Стереотруб малых </w:t>
            </w:r>
          </w:p>
        </w:tc>
        <w:tc>
          <w:tcPr>
            <w:tcW w:w="2294" w:type="dxa"/>
          </w:tcPr>
          <w:p w14:paraId="39C0D69B"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1 349 </w:t>
            </w:r>
          </w:p>
        </w:tc>
      </w:tr>
      <w:tr w:rsidR="00B67D7C" w:rsidRPr="00DE096C" w14:paraId="5457F489" w14:textId="77777777" w:rsidTr="00C2024A">
        <w:trPr>
          <w:jc w:val="center"/>
        </w:trPr>
        <w:tc>
          <w:tcPr>
            <w:tcW w:w="5485" w:type="dxa"/>
          </w:tcPr>
          <w:p w14:paraId="3355046D"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Дальномеров </w:t>
            </w:r>
          </w:p>
        </w:tc>
        <w:tc>
          <w:tcPr>
            <w:tcW w:w="2294" w:type="dxa"/>
          </w:tcPr>
          <w:p w14:paraId="5F978F0E"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2 672 </w:t>
            </w:r>
          </w:p>
        </w:tc>
      </w:tr>
    </w:tbl>
    <w:p w14:paraId="4D4D0D8D"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Существовавшим в России производством оптических приборов, даже при максимальной производительности заводов, указанная потребность удовлетворялась не в полной мере и совсем не была обеспечена потребность в оптических дальномерах. </w:t>
      </w:r>
    </w:p>
    <w:p w14:paraId="200DB5A3"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Опыт мировой войны показал, что заготовление в короткий срок большого количества оптических приборов за границей совершенно невозможно. Это объяснялось тем обстоятельством, что в довоенное время почти единственным поставщиком оптического стекла и оптических приборов для всего мира была Германия (всемирно известные фирмы Цейса, Герца и Шотта), с которой не могли конкурировать в этой области другие страны. В России пионером этого дела была фирма "Фосс и К°" в Варшаве, которая не могла выдержать конкуренции с германскими фирмами и, просуществовав весьма недолго, в 1911 г. прекратила свою деятельность. </w:t>
      </w:r>
    </w:p>
    <w:p w14:paraId="48FDF8C5"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Приведенные соображения понудили ГАУ озаботиться созданием своего нового завода для изготовления оптических приборов. Завод решено было строить в непосредственной близости с заводом оптического стекла, являющегося главным сырым материалом для изготовления оптических приборов. В Германии оптическое дело сильно развилось именно благодаря смежности заводов Шотта - по изготовлению оптического стекла и Цейса - по изготовлению оптических приборов. </w:t>
      </w:r>
    </w:p>
    <w:p w14:paraId="523D6D24"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Расход на постройку нового завода оптических приборов исчислялся в 4.800.000 рублей, в счет которых испрашивались на 1917 г. 1.800.000 рублей. </w:t>
      </w:r>
    </w:p>
    <w:p w14:paraId="1990D42C"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Оптическое производство являлось совершенно новым делом в России; одним из главнейших затруднений было полное отсутствие в России подготовленных рабочих по оптике, особенно мастеров-специалистов, от которых требовались чрезвычайная аккуратность и чистоплотность при работе, присущие немцам. Этим объяснялось, между прочим, и то обстоятельство, что только в конце 1916 г. артиллерийскому ведомству удалось отказаться от услуг германских и австрийских подданных, работавших на первом казенном оптическом заводе, образованном из реквизированных мастерских бывш. Цейса и Герца в Риге. </w:t>
      </w:r>
    </w:p>
    <w:p w14:paraId="64286A82"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От удачного разрешения вопроса о подготовке специалистов по оптическому делу зависел успех этого дела. Поэтому ГАУ полагало необходимым организовать одновременно с разрешением вопроса о постройке нового завода подготовку для него мастеровых и мастеров. Обучение мастеровых предполагалось организовать при том же первом казенном оптическом заводе (бывш. Цейса и Герца), оборудование которого признавалось образцовым, а постановка работ на большой высоте. Управляющему этим оптическим заводом, известному специалисту военному инженеру полковнику Лойко поручено было составить соображения о возможности подготовки кадров работах и мастеров для будущего завода при условии, чтобы она не вызывала никаких нарушений в правильности работы управляемого им завода. </w:t>
      </w:r>
    </w:p>
    <w:p w14:paraId="7D8AE4D9"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По поводу установления на новом заводе производства дальномеров системы известной английской фирмы Барра и Струда ГАУ снеслось с этой фирмой через существовавший, в то время в Лондоне русский заготовительный комитет. </w:t>
      </w:r>
    </w:p>
    <w:p w14:paraId="547A610D"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Строительство оптических заводов закончено не было (11483).</w:t>
      </w:r>
    </w:p>
    <w:p w14:paraId="75EA1240" w14:textId="77777777" w:rsidR="00B67D7C" w:rsidRPr="00DE096C" w:rsidRDefault="00B67D7C" w:rsidP="00D45A46">
      <w:pPr>
        <w:pStyle w:val="a3"/>
        <w:jc w:val="both"/>
        <w:rPr>
          <w:bCs/>
          <w:i w:val="0"/>
          <w:color w:val="002060"/>
          <w:spacing w:val="0"/>
          <w:kern w:val="0"/>
          <w:position w:val="0"/>
          <w:sz w:val="16"/>
          <w:szCs w:val="16"/>
        </w:rPr>
      </w:pPr>
    </w:p>
    <w:p w14:paraId="2FCB1BFC" w14:textId="4871815F" w:rsidR="00B67D7C" w:rsidRPr="00DE096C" w:rsidRDefault="002E7CBF"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августе 1914 г. заместитель председателя Отдела воздушного флота Особого комитета по усилению военного флота на добровольные пожертвования ознакомился с предложением постройки БМ авиатора А. Пороховщикова. Т.е. сразу после начала войны и примерно на три месяца раньше, чем эту же тему стал будировать Свинтон. </w:t>
      </w:r>
    </w:p>
    <w:p w14:paraId="1DFD5A68" w14:textId="77777777" w:rsidR="00B67D7C" w:rsidRPr="00DE096C" w:rsidRDefault="00B67D7C" w:rsidP="00D45A46">
      <w:pPr>
        <w:jc w:val="both"/>
        <w:rPr>
          <w:bCs/>
          <w:color w:val="002060"/>
          <w:sz w:val="16"/>
          <w:szCs w:val="16"/>
        </w:rPr>
      </w:pPr>
      <w:r w:rsidRPr="00DE096C">
        <w:rPr>
          <w:bCs/>
          <w:color w:val="002060"/>
          <w:sz w:val="16"/>
          <w:szCs w:val="16"/>
        </w:rPr>
        <w:t>Предусматривалось два варианта реализации машины в части гусеничного движителя: одна широкая резиновая лента или две разнесенные по сторонам. Идея встретила понимание, заявителю предложили перейти к выполнению проекта по первому варианту.</w:t>
      </w:r>
    </w:p>
    <w:p w14:paraId="1B8202AD" w14:textId="77777777" w:rsidR="00B67D7C" w:rsidRPr="00DE096C" w:rsidRDefault="00B67D7C" w:rsidP="00D45A46">
      <w:pPr>
        <w:jc w:val="both"/>
        <w:rPr>
          <w:bCs/>
          <w:color w:val="002060"/>
          <w:sz w:val="16"/>
          <w:szCs w:val="16"/>
        </w:rPr>
      </w:pPr>
      <w:r w:rsidRPr="00DE096C">
        <w:rPr>
          <w:bCs/>
          <w:color w:val="002060"/>
          <w:sz w:val="16"/>
          <w:szCs w:val="16"/>
        </w:rPr>
        <w:t xml:space="preserve">Проект разработан в течение 4 месяцев. Докладная записка, чертежи и смета расходов, направленные в ГВТУ, одобрения не получили. Резолюция Милеанта: «Для чего он нам?». </w:t>
      </w:r>
    </w:p>
    <w:p w14:paraId="65AD77D8" w14:textId="77777777" w:rsidR="00B67D7C" w:rsidRPr="00DE096C" w:rsidRDefault="00B67D7C" w:rsidP="00D45A46">
      <w:pPr>
        <w:jc w:val="both"/>
        <w:rPr>
          <w:bCs/>
          <w:color w:val="002060"/>
          <w:sz w:val="16"/>
          <w:szCs w:val="16"/>
        </w:rPr>
      </w:pPr>
      <w:r w:rsidRPr="00DE096C">
        <w:rPr>
          <w:bCs/>
          <w:color w:val="002060"/>
          <w:sz w:val="16"/>
          <w:szCs w:val="16"/>
        </w:rPr>
        <w:t xml:space="preserve">Изобретатель вышел на Ставку Верховного Главнокомандующего. Здесь нашли, что «сие изобретение внушает доверие». Заметим, что если «злодея» Милеанта не упомянул только ленивый, то лицо, вынесшее позитивную оценку, не было названо в публикациях ни разу (в порядке справки: до 23.08.1915 Главковерхом являлся Великий князь Николай Николаевич). </w:t>
      </w:r>
    </w:p>
    <w:p w14:paraId="4ADB80DF" w14:textId="77777777" w:rsidR="00B67D7C" w:rsidRPr="00DE096C" w:rsidRDefault="00B67D7C" w:rsidP="00D45A46">
      <w:pPr>
        <w:jc w:val="both"/>
        <w:rPr>
          <w:bCs/>
          <w:color w:val="002060"/>
          <w:sz w:val="16"/>
          <w:szCs w:val="16"/>
        </w:rPr>
      </w:pPr>
      <w:r w:rsidRPr="00DE096C">
        <w:rPr>
          <w:bCs/>
          <w:color w:val="002060"/>
          <w:sz w:val="16"/>
          <w:szCs w:val="16"/>
        </w:rPr>
        <w:t xml:space="preserve">21.12.1914 отношением Ставки за №6686 на имя начальника инженерных снабжений армий СЗФ было поручено проект осуществить. </w:t>
      </w:r>
    </w:p>
    <w:p w14:paraId="61EBB7F6" w14:textId="77777777" w:rsidR="00B67D7C" w:rsidRPr="00DE096C" w:rsidRDefault="00B67D7C" w:rsidP="00D45A46">
      <w:pPr>
        <w:jc w:val="both"/>
        <w:rPr>
          <w:bCs/>
          <w:color w:val="002060"/>
          <w:sz w:val="16"/>
          <w:szCs w:val="16"/>
        </w:rPr>
      </w:pPr>
      <w:r w:rsidRPr="00DE096C">
        <w:rPr>
          <w:bCs/>
          <w:color w:val="002060"/>
          <w:sz w:val="16"/>
          <w:szCs w:val="16"/>
        </w:rPr>
        <w:t>24.12.1914 начальник инженерных снабжений армий СЗФ ознакомился с решением ставки.</w:t>
      </w:r>
    </w:p>
    <w:p w14:paraId="2AFD471D" w14:textId="77777777" w:rsidR="00B67D7C" w:rsidRPr="00DE096C" w:rsidRDefault="00B67D7C" w:rsidP="00D45A46">
      <w:pPr>
        <w:jc w:val="both"/>
        <w:rPr>
          <w:bCs/>
          <w:color w:val="002060"/>
          <w:sz w:val="16"/>
          <w:szCs w:val="16"/>
        </w:rPr>
      </w:pPr>
      <w:r w:rsidRPr="00DE096C">
        <w:rPr>
          <w:bCs/>
          <w:color w:val="002060"/>
          <w:sz w:val="16"/>
          <w:szCs w:val="16"/>
        </w:rPr>
        <w:t>09.01.1915 Пороховщиков направил на его имя докладную записку, чертежи и смету расходов в сумме 9660 руб. 72 коп. Материалы были изучены в течение трех дней, целесообразность постройки машины, именуемой «Вездеход», обоснована — оперативность, плохо сочетающаяся с рассуждениями о тотальной косности русской монархии</w:t>
      </w:r>
    </w:p>
    <w:p w14:paraId="519DE8D8" w14:textId="77777777" w:rsidR="00B67D7C" w:rsidRPr="00DE096C" w:rsidRDefault="00B67D7C" w:rsidP="00D45A46">
      <w:pPr>
        <w:jc w:val="both"/>
        <w:rPr>
          <w:bCs/>
          <w:color w:val="002060"/>
          <w:sz w:val="16"/>
          <w:szCs w:val="16"/>
        </w:rPr>
      </w:pPr>
      <w:r w:rsidRPr="00DE096C">
        <w:rPr>
          <w:bCs/>
          <w:color w:val="002060"/>
          <w:sz w:val="16"/>
          <w:szCs w:val="16"/>
        </w:rPr>
        <w:t>13.01.1915 средства затребованные «на постройку испытательного экземпляра усовершенствованного автомобиля» ассигнованы. Особо отметим — испытательного экземпляра(!)</w:t>
      </w:r>
    </w:p>
    <w:p w14:paraId="31FA80FC" w14:textId="77777777" w:rsidR="00B67D7C" w:rsidRPr="00DE096C" w:rsidRDefault="00B67D7C" w:rsidP="00D45A46">
      <w:pPr>
        <w:jc w:val="both"/>
        <w:rPr>
          <w:bCs/>
          <w:color w:val="002060"/>
          <w:sz w:val="16"/>
          <w:szCs w:val="16"/>
        </w:rPr>
      </w:pPr>
      <w:r w:rsidRPr="00DE096C">
        <w:rPr>
          <w:bCs/>
          <w:color w:val="002060"/>
          <w:sz w:val="16"/>
          <w:szCs w:val="16"/>
        </w:rPr>
        <w:t>Отсутствие информации о боевом предназначении, бронировании и вооружении «Вездехода» в распоряжении начальника снабжений СЗФ за № 8101 от 13.01.1915 о финансировании фронтом создания амфибийного вездехода способного превосходить обычные автомобили при передвижении по песку, полям, снегу, конечно можно рассматривать, в качестве косвенного подтверждения точки зрения на «Вездеход», как на вездеход не определенного назначения, а не боевую машину. Однако: 1) текст распоряжения не опубликован, а его объем, структура и стилистика могут дать пищу для размышлений; 2) первично решение Ставки, распоряжение начальника снабжений СЗФ не только вторично, но и не должно информировать нижестоящий аппарат об истинных суждениях и намерениях Ставки; 3) нормы подготовки распорядительных документов предполагают достаточное обоснование принятого решения — достаточное, не значит полное и всестороннее; 4) механизм перечисления средств не предполагает знания на всех уровнях истинных целей ассигнований. 5) и т.д.</w:t>
      </w:r>
    </w:p>
    <w:p w14:paraId="72330734" w14:textId="77777777" w:rsidR="00B67D7C" w:rsidRPr="00DE096C" w:rsidRDefault="00B67D7C" w:rsidP="00D45A46">
      <w:pPr>
        <w:jc w:val="both"/>
        <w:rPr>
          <w:bCs/>
          <w:color w:val="002060"/>
          <w:sz w:val="16"/>
          <w:szCs w:val="16"/>
        </w:rPr>
      </w:pPr>
      <w:r w:rsidRPr="00DE096C">
        <w:rPr>
          <w:bCs/>
          <w:color w:val="002060"/>
          <w:sz w:val="16"/>
          <w:szCs w:val="16"/>
        </w:rPr>
        <w:t>Тем не менее, канцелярия начальника снабжений СЗФ умудрилась сказать лишнее, способное вызвать интерес неприятельской агентуры — «Вездеход» должен был преодолевать канавы не менее 1 м шириной. В распоряжении, судя по всему, не указывается, насколько канавы не менее 1 м шириной были актуальны для тылового хозяйства СЗФ, но вообще канава шириной не менее 1 м — это траншея (12111).</w:t>
      </w:r>
    </w:p>
    <w:p w14:paraId="2AA856EB" w14:textId="77777777" w:rsidR="00D448B4" w:rsidRPr="00DE096C" w:rsidRDefault="00D448B4" w:rsidP="00D45A46">
      <w:pPr>
        <w:jc w:val="both"/>
        <w:rPr>
          <w:bCs/>
          <w:color w:val="002060"/>
          <w:sz w:val="16"/>
          <w:szCs w:val="16"/>
        </w:rPr>
      </w:pPr>
    </w:p>
    <w:p w14:paraId="5608AF3B" w14:textId="7FB3F63B" w:rsidR="00B67D7C" w:rsidRPr="00DE096C" w:rsidRDefault="00B67D7C" w:rsidP="00D45A46">
      <w:pPr>
        <w:jc w:val="both"/>
        <w:rPr>
          <w:bCs/>
          <w:color w:val="002060"/>
          <w:sz w:val="16"/>
          <w:szCs w:val="16"/>
        </w:rPr>
      </w:pPr>
      <w:r w:rsidRPr="00DE096C">
        <w:rPr>
          <w:bCs/>
          <w:color w:val="002060"/>
          <w:sz w:val="16"/>
          <w:szCs w:val="16"/>
        </w:rPr>
        <w:t>В августе 1914 г. Пороховщиков</w:t>
      </w:r>
      <w:r w:rsidR="002E7CBF" w:rsidRPr="00DE096C">
        <w:rPr>
          <w:bCs/>
          <w:color w:val="002060"/>
          <w:sz w:val="16"/>
          <w:szCs w:val="16"/>
        </w:rPr>
        <w:t xml:space="preserve"> </w:t>
      </w:r>
      <w:r w:rsidRPr="00DE096C">
        <w:rPr>
          <w:bCs/>
          <w:color w:val="002060"/>
          <w:sz w:val="16"/>
          <w:szCs w:val="16"/>
        </w:rPr>
        <w:t xml:space="preserve">представил Главному начальнику снабжений армий Северо-Западного фронта чертежи и смету постройки «Вездехода». Кроме высокой проходимости Пороховщиков обещал и плавучесть машины. </w:t>
      </w:r>
    </w:p>
    <w:p w14:paraId="26375BA7" w14:textId="77777777" w:rsidR="00B67D7C" w:rsidRPr="00DE096C" w:rsidRDefault="00B67D7C" w:rsidP="00D45A46">
      <w:pPr>
        <w:jc w:val="both"/>
        <w:rPr>
          <w:bCs/>
          <w:color w:val="002060"/>
          <w:sz w:val="16"/>
          <w:szCs w:val="16"/>
        </w:rPr>
      </w:pPr>
      <w:r w:rsidRPr="00DE096C">
        <w:rPr>
          <w:bCs/>
          <w:color w:val="002060"/>
          <w:sz w:val="16"/>
          <w:szCs w:val="16"/>
        </w:rPr>
        <w:t xml:space="preserve">Машина снабжалась обтекаемым корпусом с нишей воздухозаборника впереди. По хорошей дороге «Вездеход» должен был двигаться на заднем барабане и колесах, а на рыхлом грунте ложиться на гусеницу. </w:t>
      </w:r>
    </w:p>
    <w:p w14:paraId="34C3DAC1" w14:textId="77777777" w:rsidR="00B67D7C" w:rsidRPr="00DE096C" w:rsidRDefault="00B67D7C" w:rsidP="00D45A46">
      <w:pPr>
        <w:jc w:val="both"/>
        <w:rPr>
          <w:bCs/>
          <w:color w:val="002060"/>
          <w:sz w:val="16"/>
          <w:szCs w:val="16"/>
        </w:rPr>
      </w:pPr>
      <w:r w:rsidRPr="00DE096C">
        <w:rPr>
          <w:bCs/>
          <w:color w:val="002060"/>
          <w:sz w:val="16"/>
          <w:szCs w:val="16"/>
        </w:rPr>
        <w:t xml:space="preserve">Весной 1915 года (т.е. во время испытаний «Вездехода») Пороховщиков предложил броню собственной разработки: «Броня представляет собою комбинацию из упругих и жестких слоев металла и особых вязких и упругих прокладок». Котельное железо отжигалось «по способу, составляющему секрет изобретателя», а в качестве прокладки «после громадного числа опытов» он выбрал сушеную и прессованную морскую траву. Особо подчеркивал автор дешевизну «железной брони», возможность гнуть и варить ее. </w:t>
      </w:r>
    </w:p>
    <w:p w14:paraId="58ABE3B8" w14:textId="77777777" w:rsidR="00B67D7C" w:rsidRPr="00DE096C" w:rsidRDefault="00B67D7C" w:rsidP="00D45A46">
      <w:pPr>
        <w:jc w:val="both"/>
        <w:rPr>
          <w:bCs/>
          <w:color w:val="002060"/>
          <w:sz w:val="16"/>
          <w:szCs w:val="16"/>
        </w:rPr>
      </w:pPr>
      <w:r w:rsidRPr="00DE096C">
        <w:rPr>
          <w:bCs/>
          <w:color w:val="002060"/>
          <w:sz w:val="16"/>
          <w:szCs w:val="16"/>
        </w:rPr>
        <w:t xml:space="preserve">Для демонстрации Пороховщиков забронировал в Риге автомобиль «Форд». Бронекорпус имел форму вытянутого пятиугольника с «откидным забралом» и обращенной назад вершиной. Броня прикрывала экипаж из шофера, наблюдателя и сидящего сзади пулеметчика, а также двигатель, коробку передач и тяги управления. 14 июня 1915г. этот бронеавтомобиль был представлен комиссии во главе с полковником Поклевским-Козелло и обстрелян с расстояния 50 м из германской и австрийской винтовок, револьвера «Наган» и пистолета «Браунинг». Комиссия отметила отсутствие сквозного пробития и то, что при бронировании не пришлось усиливать рессоры автомобиля. 31 января 1916 г. Пороховщиков представляет «Железную Броню» Автомобильно-авиационному отделу Центрального Военно-промышленного Комитета для «бронировки автомобилей и поездов». Он предлагает немедленно заказать его мастерской бронировку нескольких автомобилей, дабы они «могли принять участие в предстоящей весенней кампании». </w:t>
      </w:r>
    </w:p>
    <w:p w14:paraId="554C003B" w14:textId="77777777" w:rsidR="00B67D7C" w:rsidRPr="00DE096C" w:rsidRDefault="00B67D7C" w:rsidP="00D45A46">
      <w:pPr>
        <w:jc w:val="both"/>
        <w:rPr>
          <w:bCs/>
          <w:color w:val="002060"/>
          <w:sz w:val="16"/>
          <w:szCs w:val="16"/>
        </w:rPr>
      </w:pPr>
      <w:r w:rsidRPr="00DE096C">
        <w:rPr>
          <w:bCs/>
          <w:color w:val="002060"/>
          <w:sz w:val="16"/>
          <w:szCs w:val="16"/>
        </w:rPr>
        <w:t>На сообщения о первых успехах английских танков Пороховщиков отреагировал и практически — 19 января 1917 г. он представил в ГВТУ проект и модель «Вездехода №2». Это уже действительно было нечто подобное танку с экипажем в 4 человека и «броневой рубкой». Последняя состояла из трех независимо вращающихся поясов с пулеметом «Максим» в каждом. Еще один «Максим» крепился в лобовом листе корпуса. Идея движителя осталась прежней, добавились только колеса на концах заднего барабана (11745).</w:t>
      </w:r>
    </w:p>
    <w:p w14:paraId="5FB1B0F9" w14:textId="77777777" w:rsidR="00B67D7C" w:rsidRPr="00DE096C" w:rsidRDefault="00B67D7C" w:rsidP="00D45A46">
      <w:pPr>
        <w:jc w:val="both"/>
        <w:rPr>
          <w:bCs/>
          <w:color w:val="002060"/>
          <w:sz w:val="16"/>
          <w:szCs w:val="16"/>
        </w:rPr>
      </w:pPr>
    </w:p>
    <w:p w14:paraId="3EDF1C9F" w14:textId="77777777" w:rsidR="00B67D7C" w:rsidRPr="00DE096C" w:rsidRDefault="00B67D7C" w:rsidP="00D45A46">
      <w:pPr>
        <w:jc w:val="both"/>
        <w:rPr>
          <w:bCs/>
          <w:color w:val="002060"/>
          <w:sz w:val="16"/>
          <w:szCs w:val="16"/>
        </w:rPr>
      </w:pPr>
      <w:r w:rsidRPr="00DE096C">
        <w:rPr>
          <w:bCs/>
          <w:color w:val="002060"/>
          <w:sz w:val="16"/>
          <w:szCs w:val="16"/>
        </w:rPr>
        <w:t>В августе 1914 года в Ставку Верховного Главнокомандующего обратился изобретатель А. А. Пороховщиков с проектом бронированной машины — «Вездеход». Предложение рассматривалось в Особом комитете генералом А. В.Кауль-барсом. При его поддержке Пороховщиков попал на прием к Верховному Главнокомандующему, которого убедили объяснения изобретателя. В принятом решении было определено, что «Вездеход» должен быть изготовлен силами начальника инженерных снабжений армий Северо-Западного фронта.</w:t>
      </w:r>
    </w:p>
    <w:p w14:paraId="1059C346" w14:textId="77777777" w:rsidR="00B67D7C" w:rsidRPr="00DE096C" w:rsidRDefault="00B67D7C" w:rsidP="00D45A46">
      <w:pPr>
        <w:jc w:val="both"/>
        <w:rPr>
          <w:bCs/>
          <w:color w:val="002060"/>
          <w:sz w:val="16"/>
          <w:szCs w:val="16"/>
        </w:rPr>
      </w:pPr>
      <w:r w:rsidRPr="00DE096C">
        <w:rPr>
          <w:bCs/>
          <w:color w:val="002060"/>
          <w:sz w:val="16"/>
          <w:szCs w:val="16"/>
        </w:rPr>
        <w:t>В Главном военно-техническом управлении необходимые чертежи, докладная записка и смета расходов на постройку «Вездехода» не были одобрены. 24 декабря 1914 года эти материалы поступили к начальнику инженерных снабжений армий Северо-Западного фронта, который, изучив проект, составил специальный доклад главному начальнику снабжения армий того же фронта. В докладе обосновывалась необходимость постройки «Вездехода» как машины, полезной в военном деле. 13 января 1915 года постройка опытного образца «Вездехода» с одной широкой гусеницей была санкционирована. На его изготовление ассигновали 9960 рублей, а местом работы определили казармы ушедшего на фронт Нижегородского полка.</w:t>
      </w:r>
    </w:p>
    <w:p w14:paraId="5EA52128" w14:textId="77777777" w:rsidR="00B67D7C" w:rsidRPr="00DE096C" w:rsidRDefault="00B67D7C" w:rsidP="00D45A46">
      <w:pPr>
        <w:jc w:val="both"/>
        <w:rPr>
          <w:bCs/>
          <w:color w:val="002060"/>
          <w:sz w:val="16"/>
          <w:szCs w:val="16"/>
        </w:rPr>
      </w:pPr>
      <w:r w:rsidRPr="00DE096C">
        <w:rPr>
          <w:bCs/>
          <w:color w:val="002060"/>
          <w:sz w:val="16"/>
          <w:szCs w:val="16"/>
        </w:rPr>
        <w:t>1 февраля в Риге в казармах Нижегородского пехотного полка завершилась организация мастерских: 25 солдат-мастеровых и столько же наемных квалифицированных рабочих приступили к изготовлению «Вездехода».</w:t>
      </w:r>
    </w:p>
    <w:p w14:paraId="7FF5D55E" w14:textId="77777777" w:rsidR="00B67D7C" w:rsidRPr="00DE096C" w:rsidRDefault="00B67D7C" w:rsidP="00D45A46">
      <w:pPr>
        <w:jc w:val="both"/>
        <w:rPr>
          <w:bCs/>
          <w:color w:val="002060"/>
          <w:sz w:val="16"/>
          <w:szCs w:val="16"/>
        </w:rPr>
      </w:pPr>
      <w:r w:rsidRPr="00DE096C">
        <w:rPr>
          <w:bCs/>
          <w:color w:val="002060"/>
          <w:sz w:val="16"/>
          <w:szCs w:val="16"/>
        </w:rPr>
        <w:lastRenderedPageBreak/>
        <w:t>15 мая 1915 года постройка опытного образца завершилась. На нем смонтировали деревянный макет корпуса, а для компенсации массы в машину уложили балластные мешки. Спустя три дня провели пробный пробег.</w:t>
      </w:r>
    </w:p>
    <w:p w14:paraId="15076F30" w14:textId="77777777" w:rsidR="00B67D7C" w:rsidRPr="00DE096C" w:rsidRDefault="00B67D7C" w:rsidP="00D45A46">
      <w:pPr>
        <w:jc w:val="both"/>
        <w:rPr>
          <w:bCs/>
          <w:color w:val="002060"/>
          <w:sz w:val="16"/>
          <w:szCs w:val="16"/>
        </w:rPr>
      </w:pPr>
      <w:r w:rsidRPr="00DE096C">
        <w:rPr>
          <w:bCs/>
          <w:color w:val="002060"/>
          <w:sz w:val="16"/>
          <w:szCs w:val="16"/>
        </w:rPr>
        <w:t>Выяснилось, что при движении соскакивает гусеница. На опреде ление причины ушел месяц. После чего на внешней поверхности барабанов, первоначально гладкой, сделали по три кольцевых направляющих желоба, а на внутренней поверхности гусеницы — соответственно три центрирующих выступа.</w:t>
      </w:r>
    </w:p>
    <w:p w14:paraId="5941379D" w14:textId="77777777" w:rsidR="00B67D7C" w:rsidRPr="00DE096C" w:rsidRDefault="00B67D7C" w:rsidP="00D45A46">
      <w:pPr>
        <w:jc w:val="both"/>
        <w:rPr>
          <w:bCs/>
          <w:color w:val="002060"/>
          <w:sz w:val="16"/>
          <w:szCs w:val="16"/>
        </w:rPr>
      </w:pPr>
      <w:r w:rsidRPr="00DE096C">
        <w:rPr>
          <w:bCs/>
          <w:color w:val="002060"/>
          <w:sz w:val="16"/>
          <w:szCs w:val="16"/>
        </w:rPr>
        <w:t>20 июня 1915 года на официальных испытаниях комиссия отметила хорошую проходимость машины, ее маневренность, высокие разгонные качества и скорость около 25 верст/час и в соответствующем акте № 4563 зафиксировала:</w:t>
      </w:r>
    </w:p>
    <w:p w14:paraId="35FF5E33" w14:textId="77777777" w:rsidR="00B67D7C" w:rsidRPr="00DE096C" w:rsidRDefault="00B67D7C" w:rsidP="00D45A46">
      <w:pPr>
        <w:jc w:val="both"/>
        <w:rPr>
          <w:bCs/>
          <w:color w:val="002060"/>
          <w:sz w:val="16"/>
          <w:szCs w:val="16"/>
        </w:rPr>
      </w:pPr>
      <w:r w:rsidRPr="00DE096C">
        <w:rPr>
          <w:bCs/>
          <w:color w:val="002060"/>
          <w:sz w:val="16"/>
          <w:szCs w:val="16"/>
        </w:rPr>
        <w:t>«...Оказалось, что означенный «Вездеход» легко идет по довольно глубокому песку со скоростью около двадцати пяти верст в час; в дальнейшем «Вездеход» перешел на среднем ходу канаву с пологими откосами шириной по верху 3 метра и глубиной около 1 аршина... Все значительные выбоины и значительные неровности поверхности «полкового двора», где производились испытания,</w:t>
      </w:r>
    </w:p>
    <w:p w14:paraId="20CD8E0A" w14:textId="77777777" w:rsidR="00B67D7C" w:rsidRPr="00DE096C" w:rsidRDefault="00B67D7C" w:rsidP="00D45A46">
      <w:pPr>
        <w:jc w:val="both"/>
        <w:rPr>
          <w:bCs/>
          <w:color w:val="002060"/>
          <w:sz w:val="16"/>
          <w:szCs w:val="16"/>
        </w:rPr>
      </w:pPr>
      <w:r w:rsidRPr="00DE096C">
        <w:rPr>
          <w:bCs/>
          <w:color w:val="002060"/>
          <w:sz w:val="16"/>
          <w:szCs w:val="16"/>
        </w:rPr>
        <w:t>«Вездеход» брал легко на полном ходу. Поворотливость вполне удовлетворительная; в общем «Вездеход» прошел по грунту и местности, непроходимым для обыкновенных автомобилей».</w:t>
      </w:r>
    </w:p>
    <w:p w14:paraId="08CEE25D" w14:textId="77777777" w:rsidR="00B67D7C" w:rsidRPr="00DE096C" w:rsidRDefault="00B67D7C" w:rsidP="00D45A46">
      <w:pPr>
        <w:jc w:val="both"/>
        <w:rPr>
          <w:bCs/>
          <w:color w:val="002060"/>
          <w:sz w:val="16"/>
          <w:szCs w:val="16"/>
        </w:rPr>
      </w:pPr>
      <w:r w:rsidRPr="00DE096C">
        <w:rPr>
          <w:bCs/>
          <w:color w:val="002060"/>
          <w:sz w:val="16"/>
          <w:szCs w:val="16"/>
        </w:rPr>
        <w:t>Доводка «Вездехода» производилась в Петрограде. 29 декабря была достигнута скорость порядка 40 верст/час. К этому времени было израсходовано 18000 руб. Дело сулило успех, но... военные прекратили финансирование работ. В этой связи нередко ссылаются на преступное равнодушие и бюрократизм. Однако шел 1916 год, в самом разгаре была первая мировая война, и боевые действия приобрели затяжной позиционный характер.</w:t>
      </w:r>
    </w:p>
    <w:p w14:paraId="03CEBD44" w14:textId="77777777" w:rsidR="00B67D7C" w:rsidRPr="00DE096C" w:rsidRDefault="00B67D7C" w:rsidP="00D45A46">
      <w:pPr>
        <w:jc w:val="both"/>
        <w:rPr>
          <w:bCs/>
          <w:color w:val="002060"/>
          <w:sz w:val="16"/>
          <w:szCs w:val="16"/>
        </w:rPr>
      </w:pPr>
      <w:r w:rsidRPr="00DE096C">
        <w:rPr>
          <w:bCs/>
          <w:color w:val="002060"/>
          <w:sz w:val="16"/>
          <w:szCs w:val="16"/>
        </w:rPr>
        <w:t>Объективно «Вездеход», обогнавший свое время, оказался «не кстати». Ожидать от скоростной, высокоманевренной машины эффективной работы на многорядных проволочных заграждениях не приходилось. Для этих целей она явно не годилась. Требовался специальный танк — позиционный. И достаточно было Н.</w:t>
      </w:r>
    </w:p>
    <w:p w14:paraId="2D3F8503" w14:textId="77777777" w:rsidR="00B67D7C" w:rsidRPr="00DE096C" w:rsidRDefault="00B67D7C" w:rsidP="00D45A46">
      <w:pPr>
        <w:jc w:val="both"/>
        <w:rPr>
          <w:bCs/>
          <w:color w:val="002060"/>
          <w:sz w:val="16"/>
          <w:szCs w:val="16"/>
        </w:rPr>
      </w:pPr>
      <w:r w:rsidRPr="00DE096C">
        <w:rPr>
          <w:bCs/>
          <w:color w:val="002060"/>
          <w:sz w:val="16"/>
          <w:szCs w:val="16"/>
        </w:rPr>
        <w:t>Лебеденко подать заявку на колесную боевую машину прорыва, как с высочайшего благоволения императора</w:t>
      </w:r>
    </w:p>
    <w:p w14:paraId="78DE9D7A" w14:textId="77777777" w:rsidR="00B67D7C" w:rsidRPr="00DE096C" w:rsidRDefault="00B67D7C" w:rsidP="00D45A46">
      <w:pPr>
        <w:jc w:val="both"/>
        <w:rPr>
          <w:bCs/>
          <w:color w:val="002060"/>
          <w:sz w:val="16"/>
          <w:szCs w:val="16"/>
        </w:rPr>
      </w:pPr>
      <w:r w:rsidRPr="00DE096C">
        <w:rPr>
          <w:bCs/>
          <w:color w:val="002060"/>
          <w:sz w:val="16"/>
          <w:szCs w:val="16"/>
        </w:rPr>
        <w:t>Николая II он получил необходимые силы и средства для осуществления своего проекта.</w:t>
      </w:r>
    </w:p>
    <w:p w14:paraId="0F4C45E9" w14:textId="77777777" w:rsidR="00B67D7C" w:rsidRPr="00DE096C" w:rsidRDefault="00B67D7C" w:rsidP="00D45A46">
      <w:pPr>
        <w:jc w:val="both"/>
        <w:rPr>
          <w:bCs/>
          <w:color w:val="002060"/>
          <w:sz w:val="16"/>
          <w:szCs w:val="16"/>
        </w:rPr>
      </w:pPr>
      <w:r w:rsidRPr="00DE096C">
        <w:rPr>
          <w:bCs/>
          <w:color w:val="002060"/>
          <w:sz w:val="16"/>
          <w:szCs w:val="16"/>
        </w:rPr>
        <w:t>Итак, несмотря на положительные результаты испытаний, работы по усовершенствованию опытного образца «Вездехода» были прекращены. Главное военно-техническое управление приняло все меры по срыву успешного завершения опытных работ и организации промышленного производства танков в России. На различные предложения о дальнейшей судьбе «Вездехода» начальник</w:t>
      </w:r>
    </w:p>
    <w:p w14:paraId="7C22C765" w14:textId="77777777" w:rsidR="00B67D7C" w:rsidRPr="00DE096C" w:rsidRDefault="00B67D7C" w:rsidP="00D45A46">
      <w:pPr>
        <w:jc w:val="both"/>
        <w:rPr>
          <w:bCs/>
          <w:color w:val="002060"/>
          <w:sz w:val="16"/>
          <w:szCs w:val="16"/>
        </w:rPr>
      </w:pPr>
      <w:r w:rsidRPr="00DE096C">
        <w:rPr>
          <w:bCs/>
          <w:color w:val="002060"/>
          <w:sz w:val="16"/>
          <w:szCs w:val="16"/>
        </w:rPr>
        <w:t>Главного военно-технического управления отвечал следующими характерными резолюциями: «Почему мы вмешались в это дело?», «Для чего он нам?» (на предложение о передаче «Вездехода» в Главное военно-техническое управление). С декабря 1915 и по октябрь 1916 года шла бюрократическая переписка, были заторможены все работы над «Вездеходом».</w:t>
      </w:r>
    </w:p>
    <w:p w14:paraId="5D486008" w14:textId="77777777" w:rsidR="00B67D7C" w:rsidRPr="00DE096C" w:rsidRDefault="00B67D7C" w:rsidP="00D45A46">
      <w:pPr>
        <w:jc w:val="both"/>
        <w:rPr>
          <w:bCs/>
          <w:color w:val="002060"/>
          <w:sz w:val="16"/>
          <w:szCs w:val="16"/>
        </w:rPr>
      </w:pPr>
      <w:r w:rsidRPr="00DE096C">
        <w:rPr>
          <w:bCs/>
          <w:color w:val="002060"/>
          <w:sz w:val="16"/>
          <w:szCs w:val="16"/>
        </w:rPr>
        <w:t>19 октября 1917 года Автомобильный комитет ГВТУ, куда поступил на рассмотрение проект «Вездехода-2», признал конструкцию «недостаточно разработанной, а посему затраты казны по выполнению проекта в настоящем его виде излишними».</w:t>
      </w:r>
    </w:p>
    <w:p w14:paraId="3C98F3F0" w14:textId="77777777" w:rsidR="00B67D7C" w:rsidRPr="00DE096C" w:rsidRDefault="00B67D7C" w:rsidP="00D45A46">
      <w:pPr>
        <w:jc w:val="both"/>
        <w:rPr>
          <w:bCs/>
          <w:color w:val="002060"/>
          <w:sz w:val="16"/>
          <w:szCs w:val="16"/>
        </w:rPr>
      </w:pPr>
      <w:r w:rsidRPr="00DE096C">
        <w:rPr>
          <w:bCs/>
          <w:color w:val="002060"/>
          <w:sz w:val="16"/>
          <w:szCs w:val="16"/>
        </w:rPr>
        <w:t>28 сентября (11 октября) 1916 года Генеральный штаб русской армии получил телеграмму от своего военного агента в Англии с описанием тактико- технических характеристик британских танков. Эта по существу первая попавшая в Россию конкретная информация о зарубежных работах по созданию танков поступила в Главное военно-техническое управление 20 ноября. На документе стоит историческая резолюция генерал-лейтенанта Милеанта: «21</w:t>
      </w:r>
    </w:p>
    <w:p w14:paraId="52D320A4" w14:textId="77777777" w:rsidR="00B67D7C" w:rsidRPr="00DE096C" w:rsidRDefault="00B67D7C" w:rsidP="00D45A46">
      <w:pPr>
        <w:jc w:val="both"/>
        <w:rPr>
          <w:bCs/>
          <w:color w:val="002060"/>
          <w:sz w:val="16"/>
          <w:szCs w:val="16"/>
        </w:rPr>
      </w:pPr>
      <w:r w:rsidRPr="00DE096C">
        <w:rPr>
          <w:bCs/>
          <w:color w:val="002060"/>
          <w:sz w:val="16"/>
          <w:szCs w:val="16"/>
        </w:rPr>
        <w:t>.XI. Таких чудовищ мы делать не будем, так как у нас есть свое подобное».</w:t>
      </w:r>
    </w:p>
    <w:p w14:paraId="08982759" w14:textId="77777777" w:rsidR="00B67D7C" w:rsidRPr="00DE096C" w:rsidRDefault="00B67D7C" w:rsidP="00D45A46">
      <w:pPr>
        <w:jc w:val="both"/>
        <w:rPr>
          <w:bCs/>
          <w:color w:val="002060"/>
          <w:sz w:val="16"/>
          <w:szCs w:val="16"/>
        </w:rPr>
      </w:pPr>
      <w:r w:rsidRPr="00DE096C">
        <w:rPr>
          <w:bCs/>
          <w:color w:val="002060"/>
          <w:sz w:val="16"/>
          <w:szCs w:val="16"/>
        </w:rPr>
        <w:t>Что имел в виду начальник ГВТУ? Из всех известных ныне конструкций того периода такому определению соответствует только колесная боевая машина Н. Лебеденко. Однако следует заметить, что большая часть фондов Военно-исторического архива до сих пор не введена в оборот. Возможно, будущих исследователей ждут интересные открытия. Ведь буквально все известные проекты разработаны частными лицами, и не исключено, что афиширо-вание этих конструкций служило прикрытием глубоко засекреченных работ. Некоторые документы наводят на мысль, что работы по созданию танков в России носили более широкий характер, чем принято считать. Необходимо, по крайней мере, объяснить, почему эксперты ГВТУ так квалифицированно, с очевидным знанием дела, уничтожающе критиковали проекты авторов-одиночек.</w:t>
      </w:r>
    </w:p>
    <w:p w14:paraId="502A26CC" w14:textId="77777777" w:rsidR="00B67D7C" w:rsidRPr="00DE096C" w:rsidRDefault="00B67D7C" w:rsidP="00D45A46">
      <w:pPr>
        <w:jc w:val="both"/>
        <w:rPr>
          <w:bCs/>
          <w:color w:val="002060"/>
          <w:sz w:val="16"/>
          <w:szCs w:val="16"/>
        </w:rPr>
      </w:pPr>
      <w:r w:rsidRPr="00DE096C">
        <w:rPr>
          <w:bCs/>
          <w:color w:val="002060"/>
          <w:sz w:val="16"/>
          <w:szCs w:val="16"/>
        </w:rPr>
        <w:t>Приватная лаборатория по военным изобретениям инженера Н. Лебеденко</w:t>
      </w:r>
    </w:p>
    <w:p w14:paraId="7C1F330D" w14:textId="77777777" w:rsidR="00B67D7C" w:rsidRPr="00DE096C" w:rsidRDefault="00B67D7C" w:rsidP="00D45A46">
      <w:pPr>
        <w:jc w:val="both"/>
        <w:rPr>
          <w:bCs/>
          <w:color w:val="002060"/>
          <w:sz w:val="16"/>
          <w:szCs w:val="16"/>
        </w:rPr>
      </w:pPr>
      <w:r w:rsidRPr="00DE096C">
        <w:rPr>
          <w:bCs/>
          <w:color w:val="002060"/>
          <w:sz w:val="16"/>
          <w:szCs w:val="16"/>
        </w:rPr>
        <w:t>(впоследствии Опытная лаборатория военного министерства, руководимая капитаном Лебеденко) находилась в Москве в двухэтажном особняке князя</w:t>
      </w:r>
    </w:p>
    <w:p w14:paraId="53F67CD9" w14:textId="77777777" w:rsidR="00B67D7C" w:rsidRPr="00DE096C" w:rsidRDefault="00B67D7C" w:rsidP="00D45A46">
      <w:pPr>
        <w:jc w:val="both"/>
        <w:rPr>
          <w:bCs/>
          <w:color w:val="002060"/>
          <w:sz w:val="16"/>
          <w:szCs w:val="16"/>
        </w:rPr>
      </w:pPr>
      <w:r w:rsidRPr="00DE096C">
        <w:rPr>
          <w:bCs/>
          <w:color w:val="002060"/>
          <w:sz w:val="16"/>
          <w:szCs w:val="16"/>
        </w:rPr>
        <w:t>Щербакова на Садово-Кудринской улице. В 1914 году, взявшись организовать по заказу военного ведомства разработку бомбосбрасывающего прибора для самолетов «Илья Муромец», Лебеденко, имея при себе рекомендательное письмо председателя Земского союза князя Львова, обратился к Н. Жуковскому с просьбой рекомендовать специалиста, способного выполнить необходимые расчеты. Жуковский указал на своего племянника — студента МВТУ Б. Стеч-кина</w:t>
      </w:r>
    </w:p>
    <w:p w14:paraId="322065E0" w14:textId="77777777" w:rsidR="00B67D7C" w:rsidRPr="00DE096C" w:rsidRDefault="00B67D7C" w:rsidP="00D45A46">
      <w:pPr>
        <w:jc w:val="both"/>
        <w:rPr>
          <w:bCs/>
          <w:color w:val="002060"/>
          <w:sz w:val="16"/>
          <w:szCs w:val="16"/>
        </w:rPr>
      </w:pPr>
      <w:r w:rsidRPr="00DE096C">
        <w:rPr>
          <w:bCs/>
          <w:color w:val="002060"/>
          <w:sz w:val="16"/>
          <w:szCs w:val="16"/>
        </w:rPr>
        <w:t>(будущий академик, видный ученый в области гидроаэромеханики и теплотехники), который с декабря начал работать на Лебеденко. Вскоре понадобился конструктор, и к работе привлекается еще один племянник</w:t>
      </w:r>
    </w:p>
    <w:p w14:paraId="1FF1226F" w14:textId="77777777" w:rsidR="00B67D7C" w:rsidRPr="00DE096C" w:rsidRDefault="00B67D7C" w:rsidP="00D45A46">
      <w:pPr>
        <w:jc w:val="both"/>
        <w:rPr>
          <w:bCs/>
          <w:color w:val="002060"/>
          <w:sz w:val="16"/>
          <w:szCs w:val="16"/>
        </w:rPr>
      </w:pPr>
      <w:r w:rsidRPr="00DE096C">
        <w:rPr>
          <w:bCs/>
          <w:color w:val="002060"/>
          <w:sz w:val="16"/>
          <w:szCs w:val="16"/>
        </w:rPr>
        <w:t>Жуковского, тоже студент МВТУ — А. Микулин (будущий академик, выдающийся конструктор авиационных двигателей).</w:t>
      </w:r>
    </w:p>
    <w:p w14:paraId="00C2D0EC" w14:textId="77777777" w:rsidR="00B67D7C" w:rsidRPr="00DE096C" w:rsidRDefault="00B67D7C" w:rsidP="00D45A46">
      <w:pPr>
        <w:jc w:val="both"/>
        <w:rPr>
          <w:bCs/>
          <w:color w:val="002060"/>
          <w:sz w:val="16"/>
          <w:szCs w:val="16"/>
        </w:rPr>
      </w:pPr>
      <w:r w:rsidRPr="00DE096C">
        <w:rPr>
          <w:bCs/>
          <w:color w:val="002060"/>
          <w:sz w:val="16"/>
          <w:szCs w:val="16"/>
        </w:rPr>
        <w:t>Таким образом Лебеденко сформировал «мозговой центр» лаборатории.</w:t>
      </w:r>
    </w:p>
    <w:p w14:paraId="4CD5A3FB" w14:textId="77777777" w:rsidR="00B67D7C" w:rsidRPr="00DE096C" w:rsidRDefault="00B67D7C" w:rsidP="00D45A46">
      <w:pPr>
        <w:jc w:val="both"/>
        <w:rPr>
          <w:bCs/>
          <w:color w:val="002060"/>
          <w:sz w:val="16"/>
          <w:szCs w:val="16"/>
        </w:rPr>
      </w:pPr>
      <w:r w:rsidRPr="00DE096C">
        <w:rPr>
          <w:bCs/>
          <w:color w:val="002060"/>
          <w:sz w:val="16"/>
          <w:szCs w:val="16"/>
        </w:rPr>
        <w:t>Была изготовлена масштабная деревянная копия машины с 30-см никелированными колесами и приводом от граммофонной пружины. Модель, помещенную в шикарный красного дерева ларец с золочеными застежками, представили князю Львову, затем военному министру. В итоге Лебеденко добился высочайшей аудиенции. Модель сия возымела на Государя потрясающее действие. Более получаса самодержец всея Руси и изобретатель ползали по коврам «аки дети малые», умиляясь прыткости игрушки, борзо перекатывавшейся через разбросанные по полу толстые тома «Свода законов Российской империи», извлеченные тут же из кабинетного книжного шкафа. В конечном счете Николай</w:t>
      </w:r>
    </w:p>
    <w:p w14:paraId="3B00C181" w14:textId="77777777" w:rsidR="00B67D7C" w:rsidRPr="00DE096C" w:rsidRDefault="00B67D7C" w:rsidP="00D45A46">
      <w:pPr>
        <w:jc w:val="both"/>
        <w:rPr>
          <w:bCs/>
          <w:color w:val="002060"/>
          <w:sz w:val="16"/>
          <w:szCs w:val="16"/>
        </w:rPr>
      </w:pPr>
      <w:r w:rsidRPr="00DE096C">
        <w:rPr>
          <w:bCs/>
          <w:color w:val="002060"/>
          <w:sz w:val="16"/>
          <w:szCs w:val="16"/>
        </w:rPr>
        <w:t>II попросил оставить ему модель и повелел открыть счет на финансирование проекта.</w:t>
      </w:r>
    </w:p>
    <w:p w14:paraId="270C57B1" w14:textId="77777777" w:rsidR="00B67D7C" w:rsidRPr="00DE096C" w:rsidRDefault="00B67D7C" w:rsidP="00D45A46">
      <w:pPr>
        <w:jc w:val="both"/>
        <w:rPr>
          <w:bCs/>
          <w:color w:val="002060"/>
          <w:sz w:val="16"/>
          <w:szCs w:val="16"/>
        </w:rPr>
      </w:pPr>
      <w:r w:rsidRPr="00DE096C">
        <w:rPr>
          <w:bCs/>
          <w:color w:val="002060"/>
          <w:sz w:val="16"/>
          <w:szCs w:val="16"/>
        </w:rPr>
        <w:t>Лебеденко создал акционерное общество и приступил к постройке машины.</w:t>
      </w:r>
    </w:p>
    <w:p w14:paraId="1F8CF55F" w14:textId="77777777" w:rsidR="00B67D7C" w:rsidRPr="00DE096C" w:rsidRDefault="00B67D7C" w:rsidP="00D45A46">
      <w:pPr>
        <w:jc w:val="both"/>
        <w:rPr>
          <w:bCs/>
          <w:color w:val="002060"/>
          <w:sz w:val="16"/>
          <w:szCs w:val="16"/>
        </w:rPr>
      </w:pPr>
      <w:r w:rsidRPr="00DE096C">
        <w:rPr>
          <w:bCs/>
          <w:color w:val="002060"/>
          <w:sz w:val="16"/>
          <w:szCs w:val="16"/>
        </w:rPr>
        <w:t>Общая сумма затрат составила 210000 руб. Основное бремя расходов несли</w:t>
      </w:r>
    </w:p>
    <w:p w14:paraId="7DAE0FB4" w14:textId="77777777" w:rsidR="00B67D7C" w:rsidRPr="00DE096C" w:rsidRDefault="00B67D7C" w:rsidP="00D45A46">
      <w:pPr>
        <w:jc w:val="both"/>
        <w:rPr>
          <w:bCs/>
          <w:color w:val="002060"/>
          <w:sz w:val="16"/>
          <w:szCs w:val="16"/>
        </w:rPr>
      </w:pPr>
      <w:r w:rsidRPr="00DE096C">
        <w:rPr>
          <w:bCs/>
          <w:color w:val="002060"/>
          <w:sz w:val="16"/>
          <w:szCs w:val="16"/>
        </w:rPr>
        <w:t>«Союз городов» и ГВТУ. Сборка деталей корпуса «Мастодонта» (бытовало и такое название) осуществлялась в манеже у Хамовнических казарм, а изготовление ходовых колес — недалеко от</w:t>
      </w:r>
    </w:p>
    <w:p w14:paraId="199D7690" w14:textId="77777777" w:rsidR="00B67D7C" w:rsidRPr="00DE096C" w:rsidRDefault="00B67D7C" w:rsidP="00D45A46">
      <w:pPr>
        <w:jc w:val="both"/>
        <w:rPr>
          <w:bCs/>
          <w:color w:val="002060"/>
          <w:sz w:val="16"/>
          <w:szCs w:val="16"/>
        </w:rPr>
      </w:pPr>
      <w:r w:rsidRPr="00DE096C">
        <w:rPr>
          <w:bCs/>
          <w:color w:val="002060"/>
          <w:sz w:val="16"/>
          <w:szCs w:val="16"/>
        </w:rPr>
        <w:t>Дмитрова. Работы велись в режиме строгой секретности.</w:t>
      </w:r>
    </w:p>
    <w:p w14:paraId="48DA23B1" w14:textId="77777777" w:rsidR="00B67D7C" w:rsidRPr="00DE096C" w:rsidRDefault="00B67D7C" w:rsidP="00D45A46">
      <w:pPr>
        <w:jc w:val="both"/>
        <w:rPr>
          <w:bCs/>
          <w:color w:val="002060"/>
          <w:sz w:val="16"/>
          <w:szCs w:val="16"/>
        </w:rPr>
      </w:pPr>
      <w:r w:rsidRPr="00DE096C">
        <w:rPr>
          <w:bCs/>
          <w:color w:val="002060"/>
          <w:sz w:val="16"/>
          <w:szCs w:val="16"/>
        </w:rPr>
        <w:t>Сборка машины началась в конце июля 1915 года под руководством Мику-лина и выполнялась посекционно подобно тому, как это предполагалось делать на фронте. В августе, в присутствии представителей армии, приступили к ее испытанию. Микулин поднялся по трапу и занял место водителя, Стечкин запустил моторы.</w:t>
      </w:r>
    </w:p>
    <w:p w14:paraId="73980BAC" w14:textId="77777777" w:rsidR="00B67D7C" w:rsidRPr="00DE096C" w:rsidRDefault="00B67D7C" w:rsidP="00D45A46">
      <w:pPr>
        <w:jc w:val="both"/>
        <w:rPr>
          <w:bCs/>
          <w:color w:val="002060"/>
          <w:sz w:val="16"/>
          <w:szCs w:val="16"/>
        </w:rPr>
      </w:pPr>
      <w:r w:rsidRPr="00DE096C">
        <w:rPr>
          <w:bCs/>
          <w:color w:val="002060"/>
          <w:sz w:val="16"/>
          <w:szCs w:val="16"/>
        </w:rPr>
        <w:t>Гигантские колеса начали медленно поворачиваться. Машина пошла, сломав, как спичку, близстоящую березу. Сквозь амбразуру Микулин хорошо видел, как все собравшиеся зааплодировали, солдаты дружно закричали «ура!!!". Пока двигались по гати, а это метров десять, все шло нормально, но только вышли на мягкую почву, задняя тележка попала в канаву и «Мастодонт» встал как вкопанный. Двигатели натужно ревели, колеса проворачивались, но мощности, чтобы «сняться с якоря», не хватало. На том, собственно, все и закончилось. Было ясно, что необходимо увеличить диаметр катков направляющей тележки и иметь минимум</w:t>
      </w:r>
    </w:p>
    <w:p w14:paraId="2B04C58A" w14:textId="77777777" w:rsidR="00B67D7C" w:rsidRPr="00DE096C" w:rsidRDefault="00B67D7C" w:rsidP="00D45A46">
      <w:pPr>
        <w:jc w:val="both"/>
        <w:rPr>
          <w:bCs/>
          <w:color w:val="002060"/>
          <w:sz w:val="16"/>
          <w:szCs w:val="16"/>
        </w:rPr>
      </w:pPr>
      <w:r w:rsidRPr="00DE096C">
        <w:rPr>
          <w:bCs/>
          <w:color w:val="002060"/>
          <w:sz w:val="16"/>
          <w:szCs w:val="16"/>
        </w:rPr>
        <w:t>300-сильные моторы.</w:t>
      </w:r>
    </w:p>
    <w:p w14:paraId="711B02F1" w14:textId="77777777" w:rsidR="00B67D7C" w:rsidRPr="00DE096C" w:rsidRDefault="00B67D7C" w:rsidP="00D45A46">
      <w:pPr>
        <w:jc w:val="both"/>
        <w:rPr>
          <w:bCs/>
          <w:color w:val="002060"/>
          <w:sz w:val="16"/>
          <w:szCs w:val="16"/>
        </w:rPr>
      </w:pPr>
      <w:r w:rsidRPr="00DE096C">
        <w:rPr>
          <w:bCs/>
          <w:color w:val="002060"/>
          <w:sz w:val="16"/>
          <w:szCs w:val="16"/>
        </w:rPr>
        <w:t>Разработку такого двухтактного двигателя под индексом АМБС Микулин и</w:t>
      </w:r>
    </w:p>
    <w:p w14:paraId="344CC027" w14:textId="77777777" w:rsidR="00B67D7C" w:rsidRPr="00DE096C" w:rsidRDefault="00B67D7C" w:rsidP="00D45A46">
      <w:pPr>
        <w:jc w:val="both"/>
        <w:rPr>
          <w:bCs/>
          <w:color w:val="002060"/>
          <w:sz w:val="16"/>
          <w:szCs w:val="16"/>
        </w:rPr>
      </w:pPr>
      <w:r w:rsidRPr="00DE096C">
        <w:rPr>
          <w:bCs/>
          <w:color w:val="002060"/>
          <w:sz w:val="16"/>
          <w:szCs w:val="16"/>
        </w:rPr>
        <w:t>Стечкин проводили в 1916 году на средства военного ведомства. Опытный образец готовила фирма «От и Везер» в Замоскворечье. Сборку производили в</w:t>
      </w:r>
    </w:p>
    <w:p w14:paraId="7F746185" w14:textId="77777777" w:rsidR="00B67D7C" w:rsidRPr="00DE096C" w:rsidRDefault="00B67D7C" w:rsidP="00D45A46">
      <w:pPr>
        <w:jc w:val="both"/>
        <w:rPr>
          <w:bCs/>
          <w:color w:val="002060"/>
          <w:sz w:val="16"/>
          <w:szCs w:val="16"/>
        </w:rPr>
      </w:pPr>
      <w:r w:rsidRPr="00DE096C">
        <w:rPr>
          <w:bCs/>
          <w:color w:val="002060"/>
          <w:sz w:val="16"/>
          <w:szCs w:val="16"/>
        </w:rPr>
        <w:t>МВТУ. Время работы при первом запуске составляло 1—1,5 минуты, после чего двигатель вышел из строя — гнулись шатуны, деформировался корпус.</w:t>
      </w:r>
    </w:p>
    <w:p w14:paraId="2ECE24DA" w14:textId="77777777" w:rsidR="00B67D7C" w:rsidRPr="00DE096C" w:rsidRDefault="00B67D7C" w:rsidP="00D45A46">
      <w:pPr>
        <w:jc w:val="both"/>
        <w:rPr>
          <w:bCs/>
          <w:color w:val="002060"/>
          <w:sz w:val="16"/>
          <w:szCs w:val="16"/>
        </w:rPr>
      </w:pPr>
      <w:r w:rsidRPr="00DE096C">
        <w:rPr>
          <w:bCs/>
          <w:color w:val="002060"/>
          <w:sz w:val="16"/>
          <w:szCs w:val="16"/>
        </w:rPr>
        <w:t>Вскоре по решению технической комиссии, наблюдавшей за постройкой машины, прекратилось выделение средств, обещанных на доводку конструкции: во- первых, двигатель АМБС требовал очень длительной доводки; во-вторых, своевременно оценили чрезвычайную уязвимость машины на поле боя. «Царь- танк» (существовало и такое название по аналогии с «Царь-пушкой») по сей день является самой крупногабаритной боевой машиной из когда-либо сооруженных в практике мирового танкостроения. Не нужно обладать богатой фантазией, чтобы представить последствия картечного залпа по ступицам ходовых колес или сосредоточенного шрапнельного обстрела.</w:t>
      </w:r>
    </w:p>
    <w:p w14:paraId="35688AA6" w14:textId="77777777" w:rsidR="00B67D7C" w:rsidRPr="00DE096C" w:rsidRDefault="00B67D7C" w:rsidP="00D45A46">
      <w:pPr>
        <w:jc w:val="both"/>
        <w:rPr>
          <w:bCs/>
          <w:color w:val="002060"/>
          <w:sz w:val="16"/>
          <w:szCs w:val="16"/>
        </w:rPr>
      </w:pPr>
    </w:p>
    <w:p w14:paraId="069BD8C7" w14:textId="77777777" w:rsidR="00B67D7C" w:rsidRPr="00DE096C" w:rsidRDefault="00B67D7C" w:rsidP="00D45A46">
      <w:pPr>
        <w:jc w:val="both"/>
        <w:rPr>
          <w:bCs/>
          <w:color w:val="002060"/>
          <w:sz w:val="16"/>
          <w:szCs w:val="16"/>
        </w:rPr>
      </w:pPr>
      <w:r w:rsidRPr="00DE096C">
        <w:rPr>
          <w:bCs/>
          <w:color w:val="002060"/>
          <w:sz w:val="16"/>
          <w:szCs w:val="16"/>
        </w:rPr>
        <w:t>В августе 1914 года, почти одновременно с первыми залпами великой войны, в мастерских 9-го железнодорожного батальона русской армии завершилось строительство первого бронепоезда в составе бронепаровоза и четырех бронеплощадок. Вооружен он был восемью пулеметами и четырьмя горными 76,2-мм пушками. Орудие было выбрано в качестве основного вооружения за свои небольшие размеры и массу, позволявшие разместить ее на поворотной установке. В начале 1915 года бронепоезд отправился на фронт, где ситуация складывалась для русской армии не самым лучшим образом (11149).</w:t>
      </w:r>
    </w:p>
    <w:p w14:paraId="23D7EEEF" w14:textId="77777777" w:rsidR="00B67D7C" w:rsidRPr="00DE096C" w:rsidRDefault="00B67D7C" w:rsidP="00D45A46">
      <w:pPr>
        <w:jc w:val="both"/>
        <w:rPr>
          <w:bCs/>
          <w:color w:val="002060"/>
          <w:sz w:val="16"/>
          <w:szCs w:val="16"/>
        </w:rPr>
      </w:pPr>
    </w:p>
    <w:p w14:paraId="2DF619D9" w14:textId="77777777" w:rsidR="00B67D7C" w:rsidRPr="00DE096C" w:rsidRDefault="00B67D7C" w:rsidP="00D45A46">
      <w:pPr>
        <w:jc w:val="both"/>
        <w:rPr>
          <w:bCs/>
          <w:color w:val="002060"/>
          <w:sz w:val="16"/>
          <w:szCs w:val="16"/>
        </w:rPr>
      </w:pPr>
      <w:r w:rsidRPr="00DE096C">
        <w:rPr>
          <w:bCs/>
          <w:color w:val="002060"/>
          <w:sz w:val="16"/>
          <w:szCs w:val="16"/>
        </w:rPr>
        <w:t>В августе 1914 года, почти одновременно с первыми залпами великой войны, в мастерских 9-го железнодорожного батальона русской армии завершилось строительство первого бронепоезда в составе бронепаровоза и четырех бронеплощадок. Вооружен он был восемью пулеметами и четырьмя горными 76,2-мм пушками. Орудие было выбрано в качестве основного вооружения за свои небольшие размеры и массу, позволявшие разместить ее на поворотной установке. В начале 1915 года бронепоезд отправился на фронт, где ситуация складывалась для русской армии не самым лучшим образом.</w:t>
      </w:r>
    </w:p>
    <w:p w14:paraId="554A5733" w14:textId="77777777" w:rsidR="00B67D7C" w:rsidRPr="00DE096C" w:rsidRDefault="00B67D7C" w:rsidP="00D45A46">
      <w:pPr>
        <w:jc w:val="both"/>
        <w:rPr>
          <w:bCs/>
          <w:color w:val="002060"/>
          <w:sz w:val="16"/>
          <w:szCs w:val="16"/>
        </w:rPr>
      </w:pPr>
      <w:r w:rsidRPr="00DE096C">
        <w:rPr>
          <w:bCs/>
          <w:color w:val="002060"/>
          <w:sz w:val="16"/>
          <w:szCs w:val="16"/>
        </w:rPr>
        <w:t>Еще четыре аналогичных бронепоезда вступили в строй до конца 1915 года. В российской армии бронепоезда организационно входили в состав железнодорожных войск, что облегчало их строительство, техническое обслуживание и ремонт в полевых условиях. После постройки первых бронепоездов было развернуто их производство в Киеве, в мастерских Юго-Западной железной дороги, и в Одессе в мастерских Русского общества пароходства и торговли.</w:t>
      </w:r>
    </w:p>
    <w:p w14:paraId="2000104D" w14:textId="77777777" w:rsidR="00B67D7C" w:rsidRPr="00DE096C" w:rsidRDefault="00B67D7C" w:rsidP="00D45A46">
      <w:pPr>
        <w:jc w:val="both"/>
        <w:rPr>
          <w:bCs/>
          <w:color w:val="002060"/>
          <w:sz w:val="16"/>
          <w:szCs w:val="16"/>
        </w:rPr>
      </w:pPr>
      <w:r w:rsidRPr="00DE096C">
        <w:rPr>
          <w:bCs/>
          <w:color w:val="002060"/>
          <w:sz w:val="16"/>
          <w:szCs w:val="16"/>
        </w:rPr>
        <w:lastRenderedPageBreak/>
        <w:t>Распространение в этот период получила типовая конструкция полевого бронепоезда русской армии образца 1915 года конструкции инженера Балля, включавшая бронепаровоз и две бронеплощадки. На каждой площадке имелось двенадцать станковых пулеметов "Максим" (по шесть на каждый борт), а в концевом каземате была установлена трехдюймовая горная пушка образца 1904 года.</w:t>
      </w:r>
    </w:p>
    <w:p w14:paraId="3D7E2C78" w14:textId="77777777" w:rsidR="00B67D7C" w:rsidRPr="00DE096C" w:rsidRDefault="00B67D7C" w:rsidP="00D45A46">
      <w:pPr>
        <w:jc w:val="both"/>
        <w:rPr>
          <w:bCs/>
          <w:color w:val="002060"/>
          <w:sz w:val="16"/>
          <w:szCs w:val="16"/>
        </w:rPr>
      </w:pPr>
      <w:r w:rsidRPr="00DE096C">
        <w:rPr>
          <w:bCs/>
          <w:color w:val="002060"/>
          <w:sz w:val="16"/>
          <w:szCs w:val="16"/>
        </w:rPr>
        <w:t>Как правило, бронепоезд приводился в движение паровозом серии О - наиболее массовым на российских железных дорогах в то время. Кстати, буква О означала "основной". К этому типу с 1892 г. относили паровозы с формулой 0-4-0 (четырехосные, все колесные пары ведущие), с паровыми машинами типа компаунд (то есть с двумя цилиндрами с каждой стороны паровоза). На первых паровозах серии О цилиндры имели диаметр 500 и 710 мм, ход поршня составлял 650 мм, давление пара в котле составляло 11 кгс/см2. Для разновидности паровоза с парораспределительным механизмом Вальсхарта было принято обозначения ОВ, а среди железнодорожников такие локомотивы получили известность под именем "овечка". Масса паровоза составляла 51…52,5 т, их максимальная скорость не превышала 50…60 км/ч. Всего было построено свыше 4,5 тысяч паровозов серии О. В небольших количествах их строили вплоть до конца двадцатых годов прошлого века. Неудивительно, что именно этот паровоз, доказавший свою надежность и неприхотливость, стал главной "тягловой силой" российских бронепоездов.</w:t>
      </w:r>
    </w:p>
    <w:p w14:paraId="2C7CD0E9" w14:textId="77777777" w:rsidR="00B67D7C" w:rsidRPr="00DE096C" w:rsidRDefault="00B67D7C" w:rsidP="00D45A46">
      <w:pPr>
        <w:jc w:val="both"/>
        <w:rPr>
          <w:bCs/>
          <w:color w:val="002060"/>
          <w:sz w:val="16"/>
          <w:szCs w:val="16"/>
        </w:rPr>
      </w:pPr>
      <w:r w:rsidRPr="00DE096C">
        <w:rPr>
          <w:bCs/>
          <w:color w:val="002060"/>
          <w:sz w:val="16"/>
          <w:szCs w:val="16"/>
        </w:rPr>
        <w:t>К концу 1915 года на Восточном фронте действовало уже 15 бронепоездов - по одному на Северном и Западном, восемь на Юго-Западном, четыре на Кавказском фронте и один в Финляндии (использовался для береговой обороны и охраны побережья). Строились они на знаменитом Путиловском заводе в Петрограде. Сложные условия боевого применения и, в частности, все более широкое распространение скорострельных пушек, создавали большие проблемы (11406).</w:t>
      </w:r>
    </w:p>
    <w:p w14:paraId="4B6741E7" w14:textId="77777777" w:rsidR="00B67D7C" w:rsidRPr="00DE096C" w:rsidRDefault="00B67D7C" w:rsidP="00D45A46">
      <w:pPr>
        <w:jc w:val="both"/>
        <w:rPr>
          <w:bCs/>
          <w:color w:val="002060"/>
          <w:sz w:val="16"/>
          <w:szCs w:val="16"/>
        </w:rPr>
      </w:pPr>
    </w:p>
    <w:p w14:paraId="79DBD812" w14:textId="77777777" w:rsidR="00917FE7" w:rsidRPr="00DE096C" w:rsidRDefault="00917FE7" w:rsidP="00D45A46">
      <w:pPr>
        <w:shd w:val="clear" w:color="auto" w:fill="FFFFFF"/>
        <w:jc w:val="both"/>
        <w:rPr>
          <w:bCs/>
          <w:color w:val="002060"/>
          <w:sz w:val="16"/>
          <w:szCs w:val="16"/>
        </w:rPr>
      </w:pPr>
      <w:r w:rsidRPr="00DE096C">
        <w:rPr>
          <w:bCs/>
          <w:color w:val="002060"/>
          <w:sz w:val="16"/>
          <w:szCs w:val="16"/>
        </w:rPr>
        <w:t>С августа 1914 г. с началом Первой мировой войны Киев превратился в мощную тыловую базу армии. Свою посильную лепту в обеспечение потреб</w:t>
      </w:r>
      <w:r w:rsidRPr="00DE096C">
        <w:rPr>
          <w:bCs/>
          <w:color w:val="002060"/>
          <w:sz w:val="16"/>
          <w:szCs w:val="16"/>
        </w:rPr>
        <w:softHyphen/>
        <w:t>ностей фронта вносил и Киевский политехни</w:t>
      </w:r>
      <w:r w:rsidRPr="00DE096C">
        <w:rPr>
          <w:bCs/>
          <w:color w:val="002060"/>
          <w:sz w:val="16"/>
          <w:szCs w:val="16"/>
        </w:rPr>
        <w:softHyphen/>
        <w:t>ческий институт. Усилиями преподавателей и студентов здесь стали выполнять весьма ши</w:t>
      </w:r>
      <w:r w:rsidRPr="00DE096C">
        <w:rPr>
          <w:bCs/>
          <w:color w:val="002060"/>
          <w:sz w:val="16"/>
          <w:szCs w:val="16"/>
        </w:rPr>
        <w:softHyphen/>
        <w:t>рокий спектр работ: изготавливать железные кровати для лазаретов, костыли, «приборы для рентгена», проводить анализ различных сортов бензина и технических масел. Война приобретала все более затяжной характер. На 1915 г. противостоящие Антанте государства Четверного союза основной своей стратегической задачей определили выведение России из войны, для чего моби</w:t>
      </w:r>
      <w:r w:rsidRPr="00DE096C">
        <w:rPr>
          <w:bCs/>
          <w:color w:val="002060"/>
          <w:sz w:val="16"/>
          <w:szCs w:val="16"/>
        </w:rPr>
        <w:softHyphen/>
        <w:t>лизовали значительные силы. Российским войскам пришлось покинуть Галичину. Тяже</w:t>
      </w:r>
      <w:r w:rsidRPr="00DE096C">
        <w:rPr>
          <w:bCs/>
          <w:color w:val="002060"/>
          <w:sz w:val="16"/>
          <w:szCs w:val="16"/>
        </w:rPr>
        <w:softHyphen/>
        <w:t>лое положение на фронте вынудило прави</w:t>
      </w:r>
      <w:r w:rsidRPr="00DE096C">
        <w:rPr>
          <w:bCs/>
          <w:color w:val="002060"/>
          <w:sz w:val="16"/>
          <w:szCs w:val="16"/>
        </w:rPr>
        <w:softHyphen/>
        <w:t>тельство империи увеличить объемы произ</w:t>
      </w:r>
      <w:r w:rsidRPr="00DE096C">
        <w:rPr>
          <w:bCs/>
          <w:color w:val="002060"/>
          <w:sz w:val="16"/>
          <w:szCs w:val="16"/>
        </w:rPr>
        <w:softHyphen/>
        <w:t>водства для нужд армии и перевести жизнь всей страны на военное положение (11285).</w:t>
      </w:r>
    </w:p>
    <w:p w14:paraId="01FD15EA" w14:textId="77777777" w:rsidR="00917FE7" w:rsidRPr="00DE096C" w:rsidRDefault="00917FE7" w:rsidP="00D45A46">
      <w:pPr>
        <w:shd w:val="clear" w:color="auto" w:fill="FFFFFF"/>
        <w:jc w:val="both"/>
        <w:rPr>
          <w:bCs/>
          <w:color w:val="002060"/>
          <w:sz w:val="16"/>
          <w:szCs w:val="16"/>
        </w:rPr>
      </w:pPr>
    </w:p>
    <w:p w14:paraId="653E70B9" w14:textId="77777777" w:rsidR="00917FE7" w:rsidRPr="00DE096C" w:rsidRDefault="00917FE7" w:rsidP="00D45A46">
      <w:pPr>
        <w:jc w:val="both"/>
        <w:rPr>
          <w:bCs/>
          <w:color w:val="002060"/>
          <w:sz w:val="16"/>
          <w:szCs w:val="16"/>
        </w:rPr>
      </w:pPr>
      <w:r w:rsidRPr="00DE096C">
        <w:rPr>
          <w:bCs/>
          <w:color w:val="002060"/>
          <w:sz w:val="16"/>
          <w:szCs w:val="16"/>
        </w:rPr>
        <w:t>С августа 1914 г. в начале войны 1914 г. русская армия выходит уже с типовыми образцами военно-полевых телефонных аппаратов и коммутаторов. Собственно, все телефонное производство страны в довоенный период было со</w:t>
      </w:r>
      <w:r w:rsidRPr="00DE096C">
        <w:rPr>
          <w:bCs/>
          <w:color w:val="002060"/>
          <w:sz w:val="16"/>
          <w:szCs w:val="16"/>
        </w:rPr>
        <w:softHyphen/>
        <w:t>средоточено на петербургских заводах фирм «Эриксона», «Гейслера», «Сименса и Гальске».</w:t>
      </w:r>
    </w:p>
    <w:p w14:paraId="27774453" w14:textId="77777777" w:rsidR="00917FE7" w:rsidRPr="00DE096C" w:rsidRDefault="00917FE7" w:rsidP="00D45A46">
      <w:pPr>
        <w:jc w:val="both"/>
        <w:rPr>
          <w:bCs/>
          <w:color w:val="002060"/>
          <w:sz w:val="16"/>
          <w:szCs w:val="16"/>
        </w:rPr>
      </w:pPr>
      <w:r w:rsidRPr="00DE096C">
        <w:rPr>
          <w:bCs/>
          <w:color w:val="002060"/>
          <w:sz w:val="16"/>
          <w:szCs w:val="16"/>
        </w:rPr>
        <w:t>Первая мировая война вызвала колоссальный рост потребности действую</w:t>
      </w:r>
      <w:r w:rsidRPr="00DE096C">
        <w:rPr>
          <w:bCs/>
          <w:color w:val="002060"/>
          <w:sz w:val="16"/>
          <w:szCs w:val="16"/>
        </w:rPr>
        <w:softHyphen/>
        <w:t>щей армии в технике проводной связи. Так накануне войны в войсках находи</w:t>
      </w:r>
      <w:r w:rsidRPr="00DE096C">
        <w:rPr>
          <w:bCs/>
          <w:color w:val="002060"/>
          <w:sz w:val="16"/>
          <w:szCs w:val="16"/>
        </w:rPr>
        <w:softHyphen/>
        <w:t>лось всего 10279 телефонных аппаратов, и еще 5854 были сосредоточены на складах ГВИУ. А на 1915 г. ГВИУ только внутри страны заказало более 120000 телефонных аппаратов, на 1916 г. заказ превысил 186000 аппаратов (19098).</w:t>
      </w:r>
    </w:p>
    <w:p w14:paraId="2584E9D6" w14:textId="77777777" w:rsidR="00917FE7" w:rsidRPr="00DE096C" w:rsidRDefault="00917FE7" w:rsidP="00D45A46">
      <w:pPr>
        <w:jc w:val="both"/>
        <w:rPr>
          <w:bCs/>
          <w:color w:val="002060"/>
          <w:sz w:val="16"/>
          <w:szCs w:val="16"/>
        </w:rPr>
      </w:pPr>
    </w:p>
    <w:p w14:paraId="770B8DBB" w14:textId="77777777" w:rsidR="00917FE7" w:rsidRPr="00DE096C" w:rsidRDefault="00917FE7" w:rsidP="00D45A46">
      <w:pPr>
        <w:pStyle w:val="a3"/>
        <w:jc w:val="both"/>
        <w:rPr>
          <w:bCs/>
          <w:i w:val="0"/>
          <w:color w:val="002060"/>
          <w:spacing w:val="0"/>
          <w:kern w:val="0"/>
          <w:position w:val="0"/>
          <w:sz w:val="16"/>
          <w:szCs w:val="16"/>
        </w:rPr>
      </w:pPr>
      <w:r w:rsidRPr="00DE096C">
        <w:rPr>
          <w:bCs/>
          <w:i w:val="0"/>
          <w:iCs/>
          <w:color w:val="002060"/>
          <w:sz w:val="16"/>
          <w:szCs w:val="16"/>
        </w:rPr>
        <w:t>С августа 1914 г.</w:t>
      </w:r>
      <w:r w:rsidRPr="00DE096C">
        <w:rPr>
          <w:bCs/>
          <w:color w:val="002060"/>
          <w:sz w:val="16"/>
          <w:szCs w:val="16"/>
        </w:rPr>
        <w:t xml:space="preserve"> </w:t>
      </w:r>
      <w:r w:rsidRPr="00DE096C">
        <w:rPr>
          <w:bCs/>
          <w:i w:val="0"/>
          <w:color w:val="002060"/>
          <w:spacing w:val="0"/>
          <w:kern w:val="0"/>
          <w:position w:val="0"/>
          <w:sz w:val="16"/>
          <w:szCs w:val="16"/>
        </w:rPr>
        <w:t>в первые дни войны 1914 г. на вопрос военного министра о принятых мерах к усиленной производительности заводов начальник ГАУ ему ответил, что "в общем никакие новые требования теперь не могут быть предъявлены заводам, но они исправно сдадут, свою работу, на которую были подготовлены заблаговременными расчетами", и что "для артиллерий-ского ведомства, как и для всех, настало время не подготовки, а экзамена". Военный министр на это заметил: "И экзамен этот мы сдаем, повидимому, хорошо". - "На успех работы артиллерийского ведомства я надеюсь", - ответил ген. Кузьмин-Караваев.</w:t>
      </w:r>
    </w:p>
    <w:p w14:paraId="11493AB8" w14:textId="77777777" w:rsidR="00917FE7" w:rsidRPr="00DE096C" w:rsidRDefault="00917FE7"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Не предвидя грандиозного масштаба войны, уверенные, что запасов боевого снабжения хватит во всяком случае на полгода, если не на целый год большой войны, тогда как такая война не может продолжаться более 4-6 месяцев,-военный министр и начальник ГАУ чувствовали себя в то время достаточно удовлетворенными в "исполненном долге". </w:t>
      </w:r>
    </w:p>
    <w:p w14:paraId="415E5B04" w14:textId="77777777" w:rsidR="00917FE7" w:rsidRPr="00DE096C" w:rsidRDefault="00917FE7"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Они тогда не предполагали, что вскоре война потребует чрезвычайного напряжения всех сил и средств государства и в частности чрезмерно увеличит и осложнит работу ГАУ. Скорее даже, наоборот, тогда существовало предположение, что для ГАУ, по окончании заготовления положенных запасов и по отправке нх в армию, наступит некоторое затишье в работе. </w:t>
      </w:r>
    </w:p>
    <w:p w14:paraId="5BD68ECE" w14:textId="77777777" w:rsidR="00917FE7" w:rsidRPr="00DE096C" w:rsidRDefault="00917FE7"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Ген. Кузьмин-Караваев "впервые" узнал во время совещаний, связанных с начавшейся в 1914 г. общей мобилизацией армии, что от ГАУ во время войны потребуется "не только полное обеспечение войск ружейными и пушечными патро-нами в количестве установленных запасов, но и незамедлительное снабжение армии таковыми же патронами сверх суще-ствующих норм". Это обстоятельство заставило подумать о неизбежности мобилизации частных заводов и о заказах за границей, а также о неизбежности увеличения работы ГАУ (11483).</w:t>
      </w:r>
    </w:p>
    <w:p w14:paraId="51315352" w14:textId="77777777" w:rsidR="00917FE7" w:rsidRPr="00DE096C" w:rsidRDefault="00917FE7" w:rsidP="00D45A46">
      <w:pPr>
        <w:pStyle w:val="a3"/>
        <w:jc w:val="both"/>
        <w:rPr>
          <w:bCs/>
          <w:i w:val="0"/>
          <w:color w:val="002060"/>
          <w:spacing w:val="0"/>
          <w:kern w:val="0"/>
          <w:position w:val="0"/>
          <w:sz w:val="16"/>
          <w:szCs w:val="16"/>
        </w:rPr>
      </w:pPr>
    </w:p>
    <w:p w14:paraId="6C564C80" w14:textId="77777777" w:rsidR="00917FE7" w:rsidRPr="00DE096C" w:rsidRDefault="00917FE7" w:rsidP="00D45A46">
      <w:pPr>
        <w:pStyle w:val="p1"/>
        <w:spacing w:before="0" w:beforeAutospacing="0" w:after="0" w:afterAutospacing="0"/>
        <w:jc w:val="both"/>
        <w:rPr>
          <w:bCs/>
          <w:color w:val="002060"/>
          <w:sz w:val="16"/>
          <w:szCs w:val="16"/>
        </w:rPr>
      </w:pPr>
      <w:r w:rsidRPr="00DE096C">
        <w:rPr>
          <w:bCs/>
          <w:color w:val="002060"/>
          <w:sz w:val="16"/>
          <w:szCs w:val="16"/>
        </w:rPr>
        <w:t>В августе 1914 г. в начале войны данные о производительности патронных заводов расходятся. По сведениям 1923 г., три завода якобы обладали мощностью — «по их оборудованию» — в 900 млн. патронов в год (75 млн. в месяц). Иные цифры назвал Михайлов: за 1914 г. заводы выпустили около 760 млн. патронов (417,9 млн. за январь — июль и 341,4 за август — декабрь, в среднем 63 млн. в месяц). На запрос Николая II ему доложили, что «ко времени начала войны на трех патронных заводах… изготовлялось ежемесячно около 55 млн. штук». В «Своде» Следственной комиссии по пороховому производству потребность в порохе для ружейных патронов выведена на основании хода «операции по пополнению комплектов, производившейся уже в течение нескольких лет в размере полной производительности всех патронных заводов», и соответствовала 550 млн. патронов в год (Залюбовский: 600 млн.). При таком темпе заготовления патронов собрать полные комплекты предполагалось в 1916 г., а к началу войны недостаток достигал 16% — если считать «по бумажному подсчету. В действительности же, если принять во внимание, что все запасы к концу мобилизации сразу ушли на вооружение армии», то не хватало все-таки именно 44% (2 млрд. шт.) патронов.</w:t>
      </w:r>
    </w:p>
    <w:p w14:paraId="45C1B0ED" w14:textId="77777777" w:rsidR="00917FE7" w:rsidRPr="00DE096C" w:rsidRDefault="00917FE7" w:rsidP="00D45A46">
      <w:pPr>
        <w:pStyle w:val="p1"/>
        <w:spacing w:before="0" w:beforeAutospacing="0" w:after="0" w:afterAutospacing="0"/>
        <w:jc w:val="both"/>
        <w:rPr>
          <w:bCs/>
          <w:color w:val="002060"/>
          <w:sz w:val="16"/>
          <w:szCs w:val="16"/>
        </w:rPr>
      </w:pPr>
      <w:r w:rsidRPr="00DE096C">
        <w:rPr>
          <w:bCs/>
          <w:color w:val="002060"/>
          <w:sz w:val="16"/>
          <w:szCs w:val="16"/>
        </w:rPr>
        <w:t>В другом «Своде», однако, Верховная следственная комиссия (составитель И.Я. Голубев) привела данные о выпуске патронов каждым из заводов по годам с 1911 по 1915 г. В 1914 г. они изготовили 673 млн. патронов (в 1912–430 млн., в 1913 г. — 544 млн.). При полной загруженности трех заводов «недостаток ружейных патронов предполагалось пополнить лишь в 1915 г.», — разъяснял эти цифры Кузьмин-Караваев. Но остается при этом неясным, сколько в этих комплектах еще числилось старых патронов и сколько — нового образца, то есть остроконечных. При достигнутой к началу войны мощности заводов полностью перейти к стрельбе остроконечными патронами пехота могла лишь в 1918 г.</w:t>
      </w:r>
    </w:p>
    <w:p w14:paraId="32AD59A0" w14:textId="77777777" w:rsidR="00917FE7" w:rsidRPr="00DE096C" w:rsidRDefault="00917FE7" w:rsidP="00D45A46">
      <w:pPr>
        <w:pStyle w:val="p1"/>
        <w:spacing w:before="0" w:beforeAutospacing="0" w:after="0" w:afterAutospacing="0"/>
        <w:jc w:val="both"/>
        <w:rPr>
          <w:bCs/>
          <w:color w:val="002060"/>
          <w:sz w:val="16"/>
          <w:szCs w:val="16"/>
        </w:rPr>
      </w:pPr>
      <w:r w:rsidRPr="00DE096C">
        <w:rPr>
          <w:bCs/>
          <w:color w:val="002060"/>
          <w:sz w:val="16"/>
          <w:szCs w:val="16"/>
        </w:rPr>
        <w:t>Предложение заказать недостающее за границей встретило возражения. Начальник 1-го отдела ГАУ В.А. Лехович и поддержавший его обер-квартирмейстер Генерального штаба Н.А. Обручев, ссылаясь на опыт войны с Японией, считали такой путь нежелательным: в 1905 г. иностранные заводы обязались поставлять патроны уже через месяц после заключения договора, «но в действительности затянули выполнение его на два года». Представители ГУГШ на это ответили, что имеются более надежные, чем Австрия и Германия, поставщики — Франция, Англия и Америка, но спорный вопрос окончательно не был разрешен (18409).</w:t>
      </w:r>
    </w:p>
    <w:p w14:paraId="3F542DAF" w14:textId="77777777" w:rsidR="00917FE7" w:rsidRPr="00DE096C" w:rsidRDefault="00917FE7" w:rsidP="00D45A46">
      <w:pPr>
        <w:pStyle w:val="p1"/>
        <w:spacing w:before="0" w:beforeAutospacing="0" w:after="0" w:afterAutospacing="0"/>
        <w:jc w:val="both"/>
        <w:rPr>
          <w:bCs/>
          <w:color w:val="002060"/>
          <w:sz w:val="16"/>
          <w:szCs w:val="16"/>
        </w:rPr>
      </w:pPr>
    </w:p>
    <w:p w14:paraId="53580ACA"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w:t>
      </w:r>
    </w:p>
    <w:p w14:paraId="73A2D959" w14:textId="77777777" w:rsidR="00B67D7C" w:rsidRPr="00DE096C" w:rsidRDefault="00B67D7C" w:rsidP="00D45A46">
      <w:pPr>
        <w:shd w:val="clear" w:color="auto" w:fill="FFFFFF"/>
        <w:jc w:val="both"/>
        <w:rPr>
          <w:bCs/>
          <w:i/>
          <w:color w:val="002060"/>
          <w:sz w:val="16"/>
          <w:szCs w:val="16"/>
        </w:rPr>
      </w:pPr>
    </w:p>
    <w:p w14:paraId="54546502" w14:textId="77777777" w:rsidR="00917FE7" w:rsidRPr="00DE096C" w:rsidRDefault="00917FE7" w:rsidP="00D45A46">
      <w:pPr>
        <w:jc w:val="both"/>
        <w:rPr>
          <w:bCs/>
          <w:color w:val="002060"/>
          <w:sz w:val="16"/>
          <w:szCs w:val="16"/>
        </w:rPr>
      </w:pPr>
      <w:r w:rsidRPr="00DE096C">
        <w:rPr>
          <w:bCs/>
          <w:color w:val="002060"/>
          <w:sz w:val="16"/>
          <w:szCs w:val="16"/>
        </w:rPr>
        <w:t xml:space="preserve">В августе 1914 г. кампания открылась на русском театре военных действий Восточно-Прусской операцией. Здесь представляет интерес рассмотреть работу авиации 2-й армии генерала Самсонова. В состав армии входили пять корпусных авиаотрядов, из которых 1-й, 13-й, 15-й и 23-й были распределены по армейским корпусам, а 21-й обслуживал штаб армии. Боевую работу авиаторы начали уже в период развертывания войск, и с 1 августа их донесения стали использоваться штабом армии при составлении "Сводок сведений о противнике". Особенно успешно действовал 1 -и авиаотряд, который обследовал район Млава-Зольдау-Лаутенберг. Во время наступления летчики ежедневно вели разведку, вскрывая пути отхода и места сосредоточения войск противника. Так, 9 и 10 августа удалось обнаружить движение на железных и шоссейных дорогах, большие скопления войск противника на левом фланге 2-й армии в районах Доич-Эйлау, Гильденбург и Алленштейн. Однако эти очень своевременные сведения воздушной разведки были поставлены под сомнение командованием, за что вскоре пришлось поплатиться поспешным отступлением. Всего за август авиаотряды 2-й армии совершили более 80 боевых вылетов. С самого начала войны русские летчики применяли аэрофотосъемку как эффективный способ воздушной разведки. Так, например, в донесении начальника Осовецкого крепостного авиаотряда от 18 сентября сообщается, что "...рядовой Алексей Литвин-Литвиненко, несмотря на попадание в аэроплан 16 пуль, продолжил фотографирование и этим способствовал выяснению обстановки на фронте Иоганисбург-Бяла-Щучин". Аэрофотосъемка неприятельских позиций для контроля и повышения эффективности артиллерийского огня применялась во время осады крепости Перемышль осенью 1914 г. Об этом докладывал заведующий организацией авиационного дела в армиях Юго-западного фронта Великий князь Александр Михайлович в своем донесении Верховному Главнокомандующему от 28.11.14: "... определенные специальными фотографическими снимками снежного покрова места попадания наших снарядов... выяснили некоторые дефекты в определении целей и расстояний". В осаде Перемышля задействовались объединенные в группу 24-й корпусной и Брест-Литовский авиаотряды во главе с одним из опытнейших военных летчиков поручиком Е. Рудневым. В задачу группы, кроме разведки, входила и бомбардировка крепости. За время осады было сброшено около 50 различных бомб массой от 6 фунтов до 2 пудов 30 фунтов (2,7-46,4 кг). "Особенно энергичная деятельность была развита 18-го ноября... За этот день было совершено 13 полетов, сделано 14 фотоснимков крепости и ее фортов, сброшено 27 бомб общим весом взрывчатки 21 пуд 20 фунтов (353 кг). Бомбы были сброшены с высоты 1700-2200 м..., причем по результатам взрывов во многих местах начались пожары. Все летавшие были отстреляны шрапнелью противника..." С помощью воздушной разведки русское командование следило за всеми действиями осажденного гарнизона, который сдался 5 марта 1915 г. Примером успешного применения авиации может служить работа авиаотрядов 3-й и 8-й армий Юго-западного фронта в Галицийской операции. Ограниченный радиус действия самолетов вынуждал использовать авиацию в основном для решения тактических задач. Однако правильная организация работы авиаотрядов давала материалы и оперативных масштабов: штабы армий обменивались данными воздушной разведки и регулярно информировали штаб фронта о всех важнейших сведениях, собранных летчиками. Когда началось наступление 8-й армии, авиаторы привозили из разведвылетов важные сведения о группировках противника и путях </w:t>
      </w:r>
      <w:r w:rsidRPr="00DE096C">
        <w:rPr>
          <w:bCs/>
          <w:color w:val="002060"/>
          <w:sz w:val="16"/>
          <w:szCs w:val="16"/>
        </w:rPr>
        <w:lastRenderedPageBreak/>
        <w:t>его отхода. Эти данные были подтверждены дальнейшим ходом событий - войска 8-й армии продвигались вперед, не встречая серьезного сопротивления. Не менее успешно действовали авиаотряды 3-й армии, наступавшей на Львов. За период Галицийской битвы с 6 августа по 13 сентября 9-й и 11-й корпусные авиаотряды (КАО) 3-й армии совершили свыше 70 боевых вылетов, а четыре отряда 8-й армии (7-й, 8-й и 12-й корпусные, 3-й полевой) - свыше 100. В этот период хуже обстояли дела у летчики 4-й и 5-й армий. Полетов было мало, а плохая организация воздушной разведки привела к неприятным неожиданностям во время боевых действий. В целом в кампании 1914 г. наиболее высокий уровень работы авиации оказался на Юго-западном фронте. Здесь авиаторы успешно справлялись с поставленными перед ними задачами, и их деятельность часто получала высокую оценку наземного командования. Об этом свидетельствует приказ Главнокомандующего фронтом генерала Н. И. Иванова от 11.01.1915: "Летчики-офицеры и нижние чины, не считаясь с трудностями обстановки, не взирая ни на какую погоду, с честью выполнили свой долг и своими мужественными разведками приносили надлежащую пользу своим корпусам и армиям". Иначе обстояли дела на Северо-Западном фронте. В сентябре здесь решением главкома авиаотряды были изъяты из состава корпусов и сведены в авиационные группы, подчиненные начальникам штабов армий. Однако эта реорганизация оказалась малоэффективной, так как не были созданы органы управления авиагруппами, а ограниченный радиус действия самолетов затруднял их применение в интересах армейского командования. К тому же такая структура не учитывала сложные географические (болотистая и лесная местность) и погодные условия, существовавшие на северо-западе. Собранные на одном аэродроме самолеты каждой группы при плохих метеоусловиях были обречены на бездействие, тогда как в случае рассредоточения по площадкам авиаотрядов имелись бы шансы использовать кратковременные местные улучшения погоды. Исследование динамики убыли и поступления самолетов в целом по Русской армии показывает, что потери аэропланов были значительными и составляли не менее 45,8% за 2 месяца. Большая часть (иногда 90%) этой убыли была вызвана выходом из строя изношенных аэропланов и моторов. Мощностей русских авиазаводов не хватало для восполнения этих потерь - с начала войны до 1 января 1915 г. они отправили в действующую армию 157 самолетов. Причем часто эти машины имели дефекты и забраковывались при сборке в отрядах и ротах. Особые нарекания вызывали самолеты завода Щетинина. Так, монопланы "Ньюпор" имели отрицательный угол установки крыла, что повлекло ряд аварий. Французские самолеты, сделанные на русских авиазаводах, отличались большей массой и низким качеством изготовления по сравнению с импортными "собратьями". Первые месяцы войны выявили и тот факт, что часто высшие военные начальники проявляли полное незнание свойств и возможностей аэропланов. Отсюда - либо отсутствие постановки задач и бездействие авиации, либо постановка перед летчиками нереальных боевых задач. Чтобы избежать таких недоразумений, были изданы подробные указания по использованию нового рода войск. Особую заботу о летчиках проявил главнокомандующий Юго-Западным фронтом, который издал приказ №6 от 12 августа 1914 г.: "Придавая большое значение работе аэропланов и признавая весь риск и трудности выполнения задач летчиками и наблюдателями, приказываю...". Далее шли указания летать не больше одного раза в день на дальность не более 200-230 верст, полеты совершать в утренние часы. Штабному начальству предписывалось не посылать летчиков по мелочам, не злоупотреблять частым направлением аппаратов к линии фронта, давать задачи на поиск крупных соединений противника, не поручать летчикам и наблюдателям разбрасывать прокламации, ибо в случае пленения они не приравниваются к военнопленным и могут быть расстреляны, и т.д. Бичом русской авиации в первые месяцы войны стал безудержный обстрел аппаратов своими войсками, что стало причиной гибели нескольких авиаторов. Например, 13 августа при перелете линии фронта был убит своими войсками военный летчик 25-го КАО поручик Гудим, 27 августа такая же участь постигла при посадке военного летчика 11-го КАО поручика Лемешко и т.д. Другие случаи имели менее трагические последствия. Так, "30 июля 1914г. начальник 7-го корпусного авиаотряда штабс-капитан Степанов вылетел для производства воздушной разведки, пролетая над местечком Ярмолинцы, подвергся обстрелу залпами... получил пробоины в стабилизатор и крыло. Расследование показало... стреляли роты 60-го пехотного Замоского полка". В тот же день летчик того же отряда поручик Сабельников попал в такую же ситуацию. Результат - 4 пробоины. Подобных примеров было много, и это вынудило командование издать приказы, запрещавшие "стрелять по своим и планирующим аппаратам, стрельбу вести только по приказу офицера или при бросании бомб противником". Господам офицерам было приказано изучить знаки своих и неприятельских аэропланов, знать их силуэты. Начальный период войны выявил плохую организацию в снабжении авиационных отрядов и рот бензином, касторовым маслом, запчастями, палатками и другим авиационным имуществом. Самолеты и моторы быстро выходили из строя в суровых полевых условиях, особенно с наступлением ненастной осенней погоды, когда остро сказались нехватка палаток и переносных ангаров, использование для аэродромов малопригодных площадок. Уже после первых месяцев войны многие авиаотряды пришлось отвести в тыл для снабжения аэропланами новых систем и для переучивания летчиков на них. Так, пилоты, летавшие на "Ньюпорах", освоили "Мораны". Широко использовалась для вооружения отрядов отремонтированная трофейная авиатехника. Поставки самолетов и назначения личного состава целиком зависели от штаба авиации, возглавлявшегося Великим князем Александром Михайловичем. Он часто назначал командирами рот и начальниками отрядов офицеров, хорошо писавших отчеты, но мало летавших. В этой ситуации протежируемые отряды снабжались самолетами вне очереди , тогда как части, несшие ответственную и тяжелую работу, оставались без аэропланов. Снабжение самолетами оставалось большой проблемой, которая часто решалась на самом высоком уровне. Так, 31 августа 1914 г. командующий 8-й армией генерал Брусилов бьет челом Великому князю: "Настоящее время лишился совершенно воздушных аппаратов, столь драгоценных для разведок, что ставит управление войсками в крайне трудное положение. ...Покорно прошу Ваше императорское высочество оказать армии величайшую помощь "Фарманами" и "Ньюпорами". Деятельность летчиков в разведке незаменима." Просьба Брусилова была удовлетворена, и армия получила 4 самолета из состава Брест-Литовского крепостного авиаотряда. Однако таких просьб было множество, а дефицит самолетов и моторов стал хронической болезнью русской авиации до конца войны. К началу боевых действий в составе воздушного флота России насчитывался 221 летчик: 170 офицеров, 35 нижних чинов и 16 вольноопределяющихся (добровольцев). На 1 января 1915 г. потери летчиков составили 33 человека или 14,9% от общего состава. Из них 6 погибли от действий неприятеля, 5 - в авариях, 22 попали в плен и пропали без вести. Среди погибших: штабс-капитаны Грузинов, Нестеров, поручики Лемешко, Гудим, старший унтер-офицер Доброшинский и др. Пропали без вести: поручики Николаевский, Шамин, Машерек и др. Ранены или разбились при падении: капитан Витковский, гвардии штабс-капитан Мельницкий, штабс-капитан Мучник, поручики Городецкий, Корнидов, Павлов, доброволец Шпицберг. Некоторые из них, например, летчик-доброволец 16-го КАО Шпицберг, впоследствии скончались в госпитале. В скорбный список боевых потерь одним из первых попал военный летчик начальник 14-го КАО Ефграф Ефграфович Грузинов, смертельно раненный шрапнелью в воздухе во время выполнения боевого задания. 17 августа он вылетел на разведку района Кщонов-Пиляш-Ковице-Быхов-Люблин и обратно не вернулся. Самолет упал на вражеской территории, которую вскоре заняли русские войска. У села Быхово близ Янова были найдены свежая могила и разбитый "Ньюпор". В могиле обнаружили тело Грузинова, вопрос местных жителей и пленных австрийцев дал представление об обстоятельствах его гибели. Выяснилось, что самолет пролетал над австрийскими позициями на высоте 1000-1200 м и был обстрелян сначала пехотой, потом артиллерийской батареей, которая дала три залпа. Два первых цели не достигли. После третьего аппарат дрогнул, перевернулся и, сделав крутой вираж, врезался в землю с работающим мотором. Посмертно высочайшим приказом штабс-капитан Грузинов был награжден орденом Святого Георгия 4-й степени. Состоялись и первые воздушные бои. Таран и героическая гибель 26 августа военного летчика начальника 11-го КАО Петра Николаевича Нестерова открыли новую эпоху борьбы в воздухе. Из вооружения у русских авиаторов имелись только пистолеты "Маузер" и карабины. Хроника тех лет описывает несколько случаев воздушных боев. Так, 28 октября в окрестностях Петроково (под Варшавой) "появился неприятельский аэроплан. Через несколько минут поднялись два наших летчика и после воздушного боя сбросили "Таубе" на землю. Немецкие авиаторы разбились. Неприятельский аэроплан исковеркан". К сожалению, подтверждения этому газетному сообщению не нашлось. А вот воздушный бой и совместные действия с артиллерией, принесшие успех военному летчику Гродненского крепостного авиаотряда поручику Семенову, были подтверждены несколькими донесениями, хранящимися в Военно-историческом архиве. 27 августа Семенов с наблюдателем корнетом Николаевым при перелете через озеро Мейер, что в Восточной Пруссии, заметил неприятельский аэроплан, летевший к Летцену. Обойдя противника с правой стороны, Семенов атаковал его, заставил спуститься ниже и изменить направление полета в район русских позиций, где тот был обстрелян и около озера упал (11237).</w:t>
      </w:r>
    </w:p>
    <w:p w14:paraId="44B3DA57" w14:textId="77777777" w:rsidR="00917FE7" w:rsidRPr="00DE096C" w:rsidRDefault="00917FE7" w:rsidP="00D45A46">
      <w:pPr>
        <w:jc w:val="both"/>
        <w:rPr>
          <w:bCs/>
          <w:i/>
          <w:color w:val="002060"/>
          <w:sz w:val="16"/>
          <w:szCs w:val="16"/>
        </w:rPr>
      </w:pPr>
    </w:p>
    <w:p w14:paraId="49790FB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августе 1914 русские войска (армия генерала Самсонова) потерпели ильное поражение в Восточной Пруссии. В нем повинна и авиация, командиры армий Северо-Западного фронта имели в своем распоряжении девять авиаотрядов, но не использовали их надлежащим образом. В то время как немецкая авиация неослабно освещала положение на фронте, наша авиация плохо использовалась даже в самом ответственном месте. Борьба с воздушным противником не велась, армейская разведка отсутствовала. В результате армия Самсонова была окружена немцами и разбита (</w:t>
      </w:r>
      <w:r w:rsidRPr="00DE096C">
        <w:rPr>
          <w:bCs/>
          <w:color w:val="002060"/>
          <w:sz w:val="16"/>
          <w:szCs w:val="16"/>
          <w:vertAlign w:val="superscript"/>
        </w:rPr>
        <w:t>!</w:t>
      </w:r>
      <w:r w:rsidRPr="00DE096C">
        <w:rPr>
          <w:bCs/>
          <w:color w:val="002060"/>
          <w:sz w:val="16"/>
          <w:szCs w:val="16"/>
        </w:rPr>
        <w:t>ВВФ, 1924, № 12, статья Чехутова; материалы В.М.Ткачева).</w:t>
      </w:r>
    </w:p>
    <w:p w14:paraId="445D886C" w14:textId="77777777" w:rsidR="00B67D7C" w:rsidRPr="00DE096C" w:rsidRDefault="00B67D7C" w:rsidP="00D45A46">
      <w:pPr>
        <w:shd w:val="clear" w:color="auto" w:fill="FFFFFF"/>
        <w:jc w:val="both"/>
        <w:rPr>
          <w:bCs/>
          <w:color w:val="002060"/>
          <w:sz w:val="16"/>
          <w:szCs w:val="16"/>
        </w:rPr>
      </w:pPr>
    </w:p>
    <w:p w14:paraId="248D3092" w14:textId="77777777" w:rsidR="00B54189" w:rsidRPr="00DE096C" w:rsidRDefault="00B54189" w:rsidP="00D45A46">
      <w:pPr>
        <w:jc w:val="both"/>
        <w:rPr>
          <w:bCs/>
          <w:color w:val="002060"/>
          <w:sz w:val="16"/>
          <w:szCs w:val="16"/>
        </w:rPr>
      </w:pPr>
      <w:r w:rsidRPr="00DE096C">
        <w:rPr>
          <w:bCs/>
          <w:color w:val="002060"/>
          <w:sz w:val="16"/>
          <w:szCs w:val="16"/>
        </w:rPr>
        <w:t>В августе 1914 г. наши войска /армия ген. Самсонова/ потерпели сильное поражение в Восточной Пруссии. В нем повинна и наша авиация. Командиры армий Сев-Западного фронта имели в своем распоряжении девять авиаотрядов, но не могли их использовать надлежащим образом. В то время, как немецкая авиация неослабно освещала положение на фронте, наша авиация плохо использовалась даже в самом, ответственном месте. Борьба с воздушным противником не велась, армей</w:t>
      </w:r>
      <w:r w:rsidRPr="00DE096C">
        <w:rPr>
          <w:bCs/>
          <w:color w:val="002060"/>
          <w:sz w:val="16"/>
          <w:szCs w:val="16"/>
        </w:rPr>
        <w:softHyphen/>
        <w:t>ская разведка отсутствовала. В результате армия Самсонова была окружена немцами и разбита.</w:t>
      </w:r>
    </w:p>
    <w:p w14:paraId="578D0CD5" w14:textId="77777777" w:rsidR="00B54189" w:rsidRPr="00DE096C" w:rsidRDefault="00B54189" w:rsidP="00D45A46">
      <w:pPr>
        <w:jc w:val="both"/>
        <w:rPr>
          <w:bCs/>
          <w:color w:val="002060"/>
          <w:sz w:val="16"/>
          <w:szCs w:val="16"/>
        </w:rPr>
      </w:pPr>
      <w:r w:rsidRPr="00DE096C">
        <w:rPr>
          <w:bCs/>
          <w:color w:val="002060"/>
          <w:sz w:val="16"/>
          <w:szCs w:val="16"/>
        </w:rPr>
        <w:t>/ВВФ, 1934 № 12,статья Чехутова; материалы В.М.Ткачева/ (23320).</w:t>
      </w:r>
    </w:p>
    <w:p w14:paraId="59321F45" w14:textId="77777777" w:rsidR="00B54189" w:rsidRPr="00DE096C" w:rsidRDefault="00B54189" w:rsidP="00D45A46">
      <w:pPr>
        <w:jc w:val="both"/>
        <w:rPr>
          <w:bCs/>
          <w:color w:val="002060"/>
          <w:sz w:val="16"/>
          <w:szCs w:val="16"/>
        </w:rPr>
      </w:pPr>
    </w:p>
    <w:p w14:paraId="74434098" w14:textId="77777777" w:rsidR="004A22EB" w:rsidRPr="00B52707" w:rsidRDefault="004A22EB" w:rsidP="004A22EB">
      <w:pPr>
        <w:jc w:val="both"/>
        <w:rPr>
          <w:color w:val="0070C0"/>
          <w:sz w:val="16"/>
          <w:szCs w:val="16"/>
        </w:rPr>
      </w:pPr>
      <w:r w:rsidRPr="00B52707">
        <w:rPr>
          <w:color w:val="0070C0"/>
          <w:sz w:val="16"/>
          <w:szCs w:val="16"/>
        </w:rPr>
        <w:t>В августе 1914 г. началось формирование новых авиаотрядов. Например, сформированный од</w:t>
      </w:r>
      <w:r w:rsidRPr="00B52707">
        <w:rPr>
          <w:color w:val="0070C0"/>
          <w:sz w:val="16"/>
          <w:szCs w:val="16"/>
        </w:rPr>
        <w:softHyphen/>
        <w:t>ним из первых, 1-й полевой авиаотряд, сразу же был направлен в действующую армию. За время существования авиаци</w:t>
      </w:r>
      <w:r w:rsidRPr="00B52707">
        <w:rPr>
          <w:color w:val="0070C0"/>
          <w:sz w:val="16"/>
          <w:szCs w:val="16"/>
        </w:rPr>
        <w:softHyphen/>
        <w:t>онные отряды неоднократно переимено</w:t>
      </w:r>
      <w:r w:rsidRPr="00B52707">
        <w:rPr>
          <w:color w:val="0070C0"/>
          <w:sz w:val="16"/>
          <w:szCs w:val="16"/>
        </w:rPr>
        <w:softHyphen/>
        <w:t>вывались. Большинство авиационных от</w:t>
      </w:r>
      <w:r w:rsidRPr="00B52707">
        <w:rPr>
          <w:color w:val="0070C0"/>
          <w:sz w:val="16"/>
          <w:szCs w:val="16"/>
        </w:rPr>
        <w:softHyphen/>
        <w:t>рядов позже были сведены в дивизионы и приданы армиям (24962).</w:t>
      </w:r>
    </w:p>
    <w:p w14:paraId="5312009A" w14:textId="77777777" w:rsidR="004A22EB" w:rsidRPr="00B52707" w:rsidRDefault="004A22EB" w:rsidP="004A22EB">
      <w:pPr>
        <w:jc w:val="both"/>
        <w:rPr>
          <w:color w:val="0070C0"/>
          <w:sz w:val="16"/>
          <w:szCs w:val="16"/>
        </w:rPr>
      </w:pPr>
    </w:p>
    <w:p w14:paraId="74ADF7AC" w14:textId="77777777" w:rsidR="004A22EB" w:rsidRPr="00B52707" w:rsidRDefault="004A22EB" w:rsidP="004A22EB">
      <w:pPr>
        <w:jc w:val="both"/>
        <w:rPr>
          <w:color w:val="0070C0"/>
          <w:sz w:val="16"/>
          <w:szCs w:val="16"/>
        </w:rPr>
      </w:pPr>
      <w:r w:rsidRPr="00B52707">
        <w:rPr>
          <w:color w:val="0070C0"/>
          <w:sz w:val="16"/>
          <w:szCs w:val="16"/>
        </w:rPr>
        <w:t>В августе 1914 г. в результате проведенной заместителем полковника С.А. Ульянинв, который непосредственную работу по подбору и подготовке кадров Г.Г. Горшковым, работы удалось укомплектовать первые семь экипажей ИМ. К середине августа 1914 г. были намечены комплекты экипажей семи кораблей «Илья Муромец», утвержденные приказом Главного управления авиацией.</w:t>
      </w:r>
    </w:p>
    <w:p w14:paraId="5103789F" w14:textId="77777777" w:rsidR="004A22EB" w:rsidRPr="00B52707" w:rsidRDefault="004A22EB" w:rsidP="004A22EB">
      <w:pPr>
        <w:jc w:val="both"/>
        <w:rPr>
          <w:color w:val="0070C0"/>
          <w:sz w:val="16"/>
          <w:szCs w:val="16"/>
        </w:rPr>
      </w:pPr>
      <w:r w:rsidRPr="00B52707">
        <w:rPr>
          <w:color w:val="0070C0"/>
          <w:sz w:val="16"/>
          <w:szCs w:val="16"/>
        </w:rPr>
        <w:lastRenderedPageBreak/>
        <w:t>«Илья Муромец» - 1. Командир экипажа - штабс-капитан Руднев Евгений Владимирович, помощник командира корабля - штабс- капитан Ильинский Павел Николаевич, артиллерийский офицер - Гайковский и Попов, механик - вольнонаемный Шидловский М.Ф.</w:t>
      </w:r>
    </w:p>
    <w:p w14:paraId="0D373E69" w14:textId="77777777" w:rsidR="004A22EB" w:rsidRPr="00B52707" w:rsidRDefault="004A22EB" w:rsidP="004A22EB">
      <w:pPr>
        <w:jc w:val="both"/>
        <w:rPr>
          <w:color w:val="0070C0"/>
          <w:sz w:val="16"/>
          <w:szCs w:val="16"/>
        </w:rPr>
      </w:pPr>
      <w:r w:rsidRPr="00B52707">
        <w:rPr>
          <w:color w:val="0070C0"/>
          <w:sz w:val="16"/>
          <w:szCs w:val="16"/>
        </w:rPr>
        <w:t>«Илья Муромец» - 2. Командир экипажа - поручик Панкратьев Алексей Васильевич, помощник командира корабля - штабс-капитан гвардии Никольский Сергей Николаевич, Лейб-гвардии 3-го стрелкового Его Величества полка, артиллерийские офицеры - поручик гвардии Звонников Николай Алексеевич, поручик гвардии Колянковский Арсений Михайлович, механик - вольнонаемный Кулешов и старший моторист Ушаков.</w:t>
      </w:r>
    </w:p>
    <w:p w14:paraId="1B620309" w14:textId="77777777" w:rsidR="004A22EB" w:rsidRPr="00B52707" w:rsidRDefault="004A22EB" w:rsidP="004A22EB">
      <w:pPr>
        <w:jc w:val="both"/>
        <w:rPr>
          <w:color w:val="0070C0"/>
          <w:sz w:val="16"/>
          <w:szCs w:val="16"/>
        </w:rPr>
      </w:pPr>
      <w:r w:rsidRPr="00B52707">
        <w:rPr>
          <w:color w:val="0070C0"/>
          <w:sz w:val="16"/>
          <w:szCs w:val="16"/>
        </w:rPr>
        <w:t>«Илья Муромец» - 3. Командир экипажа - командир 2-й воздухоплавательной роты штабс-капитан Бродович Сергей Михайлович, вернулся в школу 18 июля 1915 г. Вместо него командиром корабля был назначен инструктор школы поручик Озерский Дмитрий Алексеевич, помощник командира корабля - штабс-капитан Спасов Михаил Порфирьевич, артиллерийские офицеры - поручики Лукинский Викентий Викентьевич и Гагуа Петр Афанасьевич, старший моторист Эдмунд-Георгий Фогт, механик - вольнонаемный Чеканский.</w:t>
      </w:r>
    </w:p>
    <w:p w14:paraId="1A1B2F49" w14:textId="77777777" w:rsidR="004A22EB" w:rsidRPr="00B52707" w:rsidRDefault="004A22EB" w:rsidP="004A22EB">
      <w:pPr>
        <w:jc w:val="both"/>
        <w:rPr>
          <w:color w:val="0070C0"/>
          <w:sz w:val="16"/>
          <w:szCs w:val="16"/>
        </w:rPr>
      </w:pPr>
      <w:r w:rsidRPr="00B52707">
        <w:rPr>
          <w:color w:val="0070C0"/>
          <w:sz w:val="16"/>
          <w:szCs w:val="16"/>
        </w:rPr>
        <w:t>«Илья Муромец» - 4: Командир экипажа - поручик Модрах Сергей Карлович, помощник командира корабля - поручик Политковский Ростислав Михайлович, артофицер - штабс-капитан Барбович, второй пилот - поручик Шаров Яков Никандрович (с июня 1915 г. - командир корабля). В разное время командирами были инструкторы Гатчинской школы штабс-капитан Фирсов Борис Нилович и штабс-капитан Дацкевич Леонид Андреевич, в числе помощников командира и членов экипажа были поручик Бойе Георгий Георгиевич, артиллерийский офицер - поручик Гагуа Петр Афанасьевич, второй пилот, военный летчик поручик Смирнов Михаил Владимирович, второй пилот, артиллерийский офицер - поручик Лутц Александр Юльевич.</w:t>
      </w:r>
    </w:p>
    <w:p w14:paraId="1FF1D425" w14:textId="77777777" w:rsidR="004A22EB" w:rsidRPr="00B52707" w:rsidRDefault="004A22EB" w:rsidP="004A22EB">
      <w:pPr>
        <w:jc w:val="both"/>
        <w:rPr>
          <w:color w:val="0070C0"/>
          <w:sz w:val="16"/>
          <w:szCs w:val="16"/>
        </w:rPr>
      </w:pPr>
      <w:r w:rsidRPr="00B52707">
        <w:rPr>
          <w:color w:val="0070C0"/>
          <w:sz w:val="16"/>
          <w:szCs w:val="16"/>
        </w:rPr>
        <w:t>«Илья Муромец» - 5: Командир - поручик из запаса артиллерии Алехнович Глеб Васильевич, помощник командира корабля поручик Костенчик Авенир Маркович, который убыл в действующую армию 10 декабря 1914 г., артиллерийский офицер - штабс-капитан Журавченко Александр Николаевич, вольнонаемный механик Кисель.</w:t>
      </w:r>
    </w:p>
    <w:p w14:paraId="1B645401" w14:textId="77777777" w:rsidR="004A22EB" w:rsidRPr="00B52707" w:rsidRDefault="004A22EB" w:rsidP="004A22EB">
      <w:pPr>
        <w:jc w:val="both"/>
        <w:rPr>
          <w:color w:val="0070C0"/>
          <w:sz w:val="16"/>
          <w:szCs w:val="16"/>
        </w:rPr>
      </w:pPr>
      <w:r w:rsidRPr="00B52707">
        <w:rPr>
          <w:color w:val="0070C0"/>
          <w:sz w:val="16"/>
          <w:szCs w:val="16"/>
        </w:rPr>
        <w:t>«Илья Муромец» - 6: Командир - штабс-капитан Головин Сергей Николаевич, помощник командира корабля - поручик Смирнов Михаил Владимирович, артиллерийский офицер - штабс-капитан Иванов Виктор Апполонович.</w:t>
      </w:r>
    </w:p>
    <w:p w14:paraId="72F7658E" w14:textId="77777777" w:rsidR="004A22EB" w:rsidRPr="00B52707" w:rsidRDefault="004A22EB" w:rsidP="004A22EB">
      <w:pPr>
        <w:jc w:val="both"/>
        <w:rPr>
          <w:color w:val="0070C0"/>
          <w:sz w:val="16"/>
          <w:szCs w:val="16"/>
        </w:rPr>
      </w:pPr>
      <w:r w:rsidRPr="00B52707">
        <w:rPr>
          <w:color w:val="0070C0"/>
          <w:sz w:val="16"/>
          <w:szCs w:val="16"/>
        </w:rPr>
        <w:t>«Илья Муромец» - 7: Командир - штабс-капитан Горшков Георгий Георгиевич, помощник командира корабля - поручик Башко Иосиф Станиславович (с 28 мая 1915 г. - командир корабля), артиллерийский офицер - штабс-капитан Наумов Александр Александрович, механик - вольноопределяющийся, младший унтер-офицер Лавров Александр Михайлович.</w:t>
      </w:r>
    </w:p>
    <w:p w14:paraId="17FFE576" w14:textId="77777777" w:rsidR="004A22EB" w:rsidRPr="00B52707" w:rsidRDefault="004A22EB" w:rsidP="004A22EB">
      <w:pPr>
        <w:jc w:val="both"/>
        <w:rPr>
          <w:color w:val="0070C0"/>
          <w:sz w:val="16"/>
          <w:szCs w:val="16"/>
        </w:rPr>
      </w:pPr>
      <w:r w:rsidRPr="00B52707">
        <w:rPr>
          <w:color w:val="0070C0"/>
          <w:sz w:val="16"/>
          <w:szCs w:val="16"/>
        </w:rPr>
        <w:t>Их состав был утвержден приказом по Главному управлению Генерального штаба.</w:t>
      </w:r>
    </w:p>
    <w:p w14:paraId="4F12907F" w14:textId="77777777" w:rsidR="004A22EB" w:rsidRPr="00B52707" w:rsidRDefault="004A22EB" w:rsidP="004A22EB">
      <w:pPr>
        <w:jc w:val="both"/>
        <w:rPr>
          <w:color w:val="0070C0"/>
          <w:sz w:val="16"/>
          <w:szCs w:val="16"/>
        </w:rPr>
      </w:pPr>
      <w:r w:rsidRPr="00B52707">
        <w:rPr>
          <w:color w:val="0070C0"/>
          <w:sz w:val="16"/>
          <w:szCs w:val="16"/>
        </w:rPr>
        <w:t>Последний экипаж назывался «Киевским», так как получил в свое распоряжение самолет, на котором Сикорский И.И. осуществил перелет в Киев и обратно. В память исторического перелета в дальнейшем на фронте рядом с номерными «муромцами» всегда рядом находился корабль, носивший вместо номера название «Киевский». Он считался флагманом эскадры воздушных гигантов. Как только этот корабль отрабатывал свой ресурс или выходил из строя в боевых условиях, на его место вставал новый «Киевский». Сначала экипаж флагмана возглавлялся ведущим летчиком эскадры Г.Г. Горшковым, а впоследствии - выдающимся военным летчиком И.С. Башко (24965).</w:t>
      </w:r>
    </w:p>
    <w:p w14:paraId="163E2D8F" w14:textId="77777777" w:rsidR="004A22EB" w:rsidRPr="00B52707" w:rsidRDefault="004A22EB" w:rsidP="004A22EB">
      <w:pPr>
        <w:jc w:val="both"/>
        <w:rPr>
          <w:color w:val="0070C0"/>
          <w:sz w:val="16"/>
          <w:szCs w:val="16"/>
        </w:rPr>
      </w:pPr>
    </w:p>
    <w:p w14:paraId="53476B01" w14:textId="1E59563E" w:rsidR="00B67D7C" w:rsidRPr="00DE096C" w:rsidRDefault="00B54189" w:rsidP="00D45A46">
      <w:pPr>
        <w:shd w:val="clear" w:color="auto" w:fill="FFFFFF"/>
        <w:jc w:val="both"/>
        <w:rPr>
          <w:bCs/>
          <w:color w:val="002060"/>
          <w:sz w:val="16"/>
          <w:szCs w:val="16"/>
        </w:rPr>
      </w:pPr>
      <w:r w:rsidRPr="00DE096C">
        <w:rPr>
          <w:bCs/>
          <w:color w:val="002060"/>
          <w:sz w:val="16"/>
          <w:szCs w:val="16"/>
        </w:rPr>
        <w:t>В</w:t>
      </w:r>
      <w:r w:rsidR="00B67D7C" w:rsidRPr="00DE096C">
        <w:rPr>
          <w:bCs/>
          <w:color w:val="002060"/>
          <w:sz w:val="16"/>
          <w:szCs w:val="16"/>
        </w:rPr>
        <w:t xml:space="preserve"> августе 1914 года Крутень выполнил на самолете «Фарман-16» две петли Нестерова и, выключив двигатель, благополучно при</w:t>
      </w:r>
      <w:r w:rsidR="00B67D7C" w:rsidRPr="00DE096C">
        <w:rPr>
          <w:bCs/>
          <w:color w:val="002060"/>
          <w:sz w:val="16"/>
          <w:szCs w:val="16"/>
        </w:rPr>
        <w:softHyphen/>
        <w:t>землился (553).</w:t>
      </w:r>
    </w:p>
    <w:p w14:paraId="75E0E20C" w14:textId="77777777" w:rsidR="00B67D7C" w:rsidRPr="00DE096C" w:rsidRDefault="00B67D7C" w:rsidP="00D45A46">
      <w:pPr>
        <w:shd w:val="clear" w:color="auto" w:fill="FFFFFF"/>
        <w:jc w:val="both"/>
        <w:rPr>
          <w:bCs/>
          <w:color w:val="002060"/>
          <w:sz w:val="16"/>
          <w:szCs w:val="16"/>
        </w:rPr>
      </w:pPr>
    </w:p>
    <w:p w14:paraId="4F4CDAA6" w14:textId="77777777" w:rsidR="00B67D7C" w:rsidRPr="00DE096C" w:rsidRDefault="00B67D7C" w:rsidP="00D45A46">
      <w:pPr>
        <w:jc w:val="both"/>
        <w:rPr>
          <w:bCs/>
          <w:color w:val="002060"/>
          <w:sz w:val="16"/>
          <w:szCs w:val="16"/>
        </w:rPr>
      </w:pPr>
      <w:r w:rsidRPr="00DE096C">
        <w:rPr>
          <w:bCs/>
          <w:color w:val="002060"/>
          <w:sz w:val="16"/>
          <w:szCs w:val="16"/>
        </w:rPr>
        <w:t xml:space="preserve">Всего за август 1914 авиаотряды 2-й армии совершили более 80 боевых вылетов. С самого начала войны русские летчики применяли аэрофотосъемку как эффективный способ воздушной разведки. Так, например, в донесении начальника Осовецкого крепостного авиаотряда от 18 сентября сообщается, что "...рядовой Алексей Литвин-Литвиненко, несмотря на попадание в аэроплан 16 пуль, продолжил фотографирование и этим способствовал выяснению обстановки на фронте Иоганисбург-Бяла-Щучин". Аэрофотосъемка неприятельских позиций для контроля и повышения эффективности артиллерийского огня применялась во время осады крепости Перемышль осенью 1914 г. Об этом докладывал заведующий организацией авиационного дела в армиях Юго-западного фронта Великий князь Александр Михайлович в своем донесении Верховному Главнокомандующему от 28.11.14: "... определенные специальными фотографическими снимками снежного покрова места попадания наших снарядов... выяснили некоторые дефекты в определении целей и расстояний". В осаде Перемышля задействовались объединенные в группу 24-й корпусной и Брест-Литовский авиаотряды во главе с одним из опытнейших военных летчиков поручиком Е. Рудневым. В задачу группы, кроме разведки, входила и бомбардировка крепости. За время осады было сброшено около 50 различных бомб массой от 6 фунтов до 2 пудов 30 фунтов (2,7-46,4 кг). "Особенно энергичная деятельность была развита 18-го ноября... За этот день было совершено 13 полетов, сделано 14 фотоснимков крепости и ее фортов, сброшено 27 бомб общим весом взрывчатки 21 пуд 20 фунтов (353 кг). Бомбы были сброшены с высоты 1700-2200 м..., причем по результатам взрывов во многих местах начались пожары. Все летавшие были отстреляны шрапнелью противника..." С помощью воздушной разведки русское командование следило за всеми действиями осажденного гарнизона, который сдался 5 марта 1915 г. Примером успешного применения авиации может служить работа авиаотрядов 3-й и 8-й армий Юго-западного фронта в Галицийской операции. Ограниченный радиус действия самолетов вынуждал использовать авиацию в основном для решения тактических задач. Однако правильная организация работы авиаотрядов давала материалы и оперативных масштабов: штабы армий обменивались данными воздушной разведки и регулярно информировали штаб фронта о всех важнейших сведениях, собранных летчиками. Когда началось наступление 8-й армии, авиаторы привозили из разведвылетов важные сведения о группировках противника и путях его отхода. Эти данные были подтверждены дальнейшим ходом событий - войска 8-й армии продвигались вперед, не встречая серьезного сопротивления. Не менее успешно действовали авиаотряды 3-й армии, наступавшей на Львов. За период Галицийской битвы с 6 августа по 13 сентября 9-й и 11-й корпусные авиаотряды (КАО) 3-й армии совершили свыше 70 боевых вылетов, а четыре отряда 8-й армии (7-й, 8-й и 12-й корпусные, 3-й полевой) - свыше 100. В этот период хуже обстояли дела у летчики 4-й и 5-й армий. Полетов было мало, а плохая организация воздушной разведки привела к неприятным неожиданностям во время боевых действий. В целом в кампании 1914 г. наиболее высокий уровень работы авиации оказался на Юго-западном фронте. Здесь авиаторы успешно справлялись с поставленными перед ними задачами, и их деятельность часто получала высокую оценку наземного командования. Об этом свидетельствует приказ Главнокомандующего фронтом генерала Н. И. Иванова от 11.01.1915: "Летчики-офицеры и нижние чины, не считаясь с трудностями обстановки, не взирая ни на какую погоду, с честью выполнили свой долг и своими мужественными разведками приносили надлежащую пользу своим корпусам и армиям". Иначе обстояли дела на Северо-Западном фронте. В сентябре здесь решением главкома авиаотряды были изъяты из состава корпусов и сведены в авиационные группы, подчиненные начальникам штабов армий. Однако эта реорганизация оказалась малоэффективной, так как не были созданы органы управления авиагруппами, а ограниченный радиус действия самолетов затруднял их применение в интересах армейского командования. К тому же такая структура не учитывала сложные географические (болотистая и лесная местность) и погодные условия, существовавшие на северо-западе. Собранные на одном аэродроме самолеты каждой группы при плохих метеоусловиях были обречены на бездействие, тогда как в случае рассредоточения по площадкам авиаотрядов имелись бы шансы использовать кратковременные местные улучшения погоды. Исследование динамики убыли и поступления самолетов в целом по Русской армии показывает, что потери аэропланов были значительными и составляли не менее 45,8% за 2 месяца. Большая часть (иногда 90%) этой убыли была вызвана выходом из строя изношенных аэропланов и моторов. Мощностей русских авиазаводов не хватало для восполнения этих потерь - с начала войны до 1 января 1915 г. они отправили в действующую армию 157 самолетов. Причем часто эти машины имели дефекты и забраковывались при сборке в отрядах и ротах. Особые нарекания вызывали самолеты завода Щетинина. Так, монопланы "Ньюпор" имели отрицательный угол установки крыла, что повлекло ряд аварий. Французские самолеты, сделанные на русских авиазаводах, отличались большей массой и низким качеством изготовления по сравнению с импортными "собратьями". Первые месяцы войны выявили и тот факт, что часто высшие военные начальники проявляли полное незнание свойств и возможностей аэропланов. Отсюда - либо отсутствие постановки задач и бездействие авиации, либо постановка перед летчиками нереальных боевых задач. Чтобы избежать таких недоразумений, были изданы подробные указания по использованию нового рода войск. Особую заботу о летчиках проявил главнокомандующий Юго-Западным фронтом, который издал приказ №6 от 12 августа 1914 г.: "Придавая большое значение работе аэропланов и признавая весь риск и трудности выполнения задач летчиками и наблюдателями, приказываю...". Далее шли указания летать не больше одного раза в день на дальность не более 200-230 верст, полеты совершать в утренние часы. Штабному начальству предписывалось не посылать летчиков по мелочам, не злоупотреблять частым направлением аппаратов к линии фронта, давать задачи на поиск крупных соединений противника, не поручать летчикам и наблюдателям разбрасывать прокламации, ибо в случае пленения они не приравниваются к военнопленным и могут быть расстреляны, и т.д. Бичом русской авиации в первые месяцы войны стал безудержный обстрел аппаратов своими войсками, что стало причиной гибели нескольких авиаторов. Например, 13 августа при перелете линии фронта был убит своими войсками военный летчик 25-го КАО поручик Гудим, 27 августа такая же участь постигла при посадке военного летчика 11-го КАО поручика Лемешко и т.д. Другие случаи имели менее трагические последствия. Так, "30 июля 1914г. начальник 7-го корпусного авиаотряда штабс-капитан Степанов вылетел для производства воздушной разведки, пролетая над местечком Ярмолинцы, подвергся обстрелу залпами... получил пробоины в стабилизатор и крыло. Расследование показало... стреляли роты 60-го пехотного Замоского полка". В тот же день летчик того же отряда поручик Сабельников попал в такую же ситуацию. Результат - 4 пробоины. Подобных примеров было много, и это вынудило командование издать приказы, запрещавшие "стрелять по своим и планирующим аппаратам, стрельбу вести только по приказу офицера или при бросании бомб противником". Господам офицерам было приказано изучить знаки своих и неприятельских аэропланов, знать их силуэты. Начальный период войны выявил плохую организацию в снабжении авиационных отрядов и рот бензином, касторовым маслом, запчастями, палатками и другим авиационным имуществом. Самолеты и моторы быстро выходили из строя в суровых полевых условиях, особенно с наступлением ненастной осенней погоды, когда остро сказались нехватка палаток и переносных ангаров, использование для аэродромов малопригодных площадок. Уже после первых месяцев войны многие авиаотряды пришлось отвести в тыл для снабжения аэропланами новых систем и для переучивания летчиков на них. Так, пилоты, летавшие на "Ньюпорах", освоили "Мораны". Широко использовалась для вооружения отрядов отремонтированная трофейная авиатехника. Поставки самолетов и назначения личного состава целиком зависели от штаба авиации, </w:t>
      </w:r>
      <w:r w:rsidRPr="00DE096C">
        <w:rPr>
          <w:bCs/>
          <w:color w:val="002060"/>
          <w:sz w:val="16"/>
          <w:szCs w:val="16"/>
        </w:rPr>
        <w:lastRenderedPageBreak/>
        <w:t>возглавлявшегося Великим князем Александром Михайловичем. Он часто назначал командирами рот и начальниками отрядов офицеров, хорошо писавших отчеты, но мало летавших. В этой ситуации протежируемые отряды снабжались самолетами вне очереди , тогда как части, несшие ответственную и тяжелую работу, оставались без аэропланов. Снабжение самолетами оставалось большой проблемой, которая часто решалась на самом высоком уровне. Так, 31 августа 1914 г. командующий 8-й армией генерал Брусилов бьет челом Великому князю: "Настоящее время лишился совершенно воздушных аппаратов, столь драгоценных для разведок, что ставит управление войсками в крайне трудное положение. ...Покорно прошу Ваше императорское высочество оказать армии величайшую помощь "Фарманами" и "Ньюпорами". Деятельность летчиков в разведке незаменима." Просьба Брусилова была удовлетворена, и армия получила 4 самолета из состава Брест-Литовского крепостного авиаотряда. Однако таких просьб было множество, а дефицит самолетов и моторов стал хронической болезнью русской авиации до конца войны. К началу боевых действий в составе воздушного флота России насчитывался 221 летчик: 170 офицеров, 35 нижних чинов и 16 вольноопределяющихся (добровольцев). На 1 января 1915 г. потери летчиков составили 33 человека или 14,9% от общего состава. Из них 6 погибли от действий неприятеля, 5 - в авариях, 22 попали в плен и пропали без вести. Среди погибших: штабс-капитаны Грузинов, Нестеров, поручики Лемешко, Гудим, старший унтер-офицер Доброшинский и др. Пропали без вести: поручики Николаевский, Шамин, Машерек и др. Ранены или разбились при падении: капитан Витковский, гвардии штабс-капитан Мельницкий, штабс-капитан Мучник, поручики Городецкий, Корнидов, Павлов, доброволец Шпицберг. Некоторые из них, например, летчик-доброволец 16-го КАО Шпицберг, впоследствии скончались в госпитале. В скорбный список боевых потерь одним из первых попал военный летчик начальник 14-го КАО Ефграф Ефграфович Грузинов, смертельно раненный шрапнелью в воздухе во время выполнения боевого задания. 17 августа он вылетел на разведку района Кщонов-Пиляш-Ковице-Быхов-Люблин и обратно не вернулся. Самолет упал на вражеской территории, которую вскоре заняли русские войска. У села Быхово близ Янова были найдены свежая могила и разбитый "Ньюпор". В могиле обнаружили тело Грузинова, вопрос местных жителей и пленных австрийцев дал представление об обстоятельствах его гибели. Выяснилось, что самолет пролетал над австрийскими позициями на высоте 1000-1200 м и был обстрелян сначала пехотой, потом артиллерийской батареей, которая дала три залпа. Два первых цели не достигли. После третьего аппарат дрогнул, перевернулся и, сделав крутой вираж, врезался в землю с работающим мотором. Посмертно высочайшим приказом штабс-капитан Грузинов был награжден орденом Святого Георгия 4-й степени. Состоялись и первые воздушные бои. Таран и героическая гибель 26 августа военного летчика начальника 11-го КАО Петра Николаевича Нестерова открыли новую эпоху борьбы в воздухе. Из вооружения у русских авиаторов имелись только пистолеты "Маузер" и карабины. Хроника тех лет описывает несколько случаев воздушных боев. Так, 28 октября в окрестностях Петроково (под Варшавой) "появился неприятельский аэроплан. Через несколько минут поднялись два наших летчика и после воздушного боя сбросили "Таубе" на землю. Немецкие авиаторы разбились. Неприятельский аэроплан исковеркан". К сожалению, подтверждения этому газетному сообщению не нашлось. А вот воздушный бой и совместные действия с артиллерией, принесшие успех военному летчику Гродненского крепостного авиаотряда поручику Семенову, были подтверждены несколькими донесениями, хранящимися в Военно-историческом архиве. 27 августа Семенов с наблюдателем корнетом Николаевым при перелете через озеро Мейер, что в Восточной Пруссии, заметил неприятельский аэроплан, летевший к Летцену. Обойдя противника с правой стороны, Семенов атаковал его, заставил спуститься ниже и изменить направление полета в район русских позиций, где тот был обстрелян и около озера упал (11237).</w:t>
      </w:r>
    </w:p>
    <w:p w14:paraId="2F4A2903" w14:textId="77777777" w:rsidR="0039630F" w:rsidRPr="00DE096C" w:rsidRDefault="0039630F" w:rsidP="00D45A46">
      <w:pPr>
        <w:jc w:val="both"/>
        <w:rPr>
          <w:bCs/>
          <w:color w:val="002060"/>
          <w:sz w:val="16"/>
          <w:szCs w:val="16"/>
        </w:rPr>
      </w:pPr>
    </w:p>
    <w:p w14:paraId="37221F52" w14:textId="69639C88" w:rsidR="00B67D7C" w:rsidRPr="00DE096C" w:rsidRDefault="0039630F"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августе 1914 года </w:t>
      </w:r>
      <w:r w:rsidRPr="00DE096C">
        <w:rPr>
          <w:bCs/>
          <w:color w:val="002060"/>
          <w:sz w:val="16"/>
          <w:szCs w:val="16"/>
        </w:rPr>
        <w:t xml:space="preserve">с началом Первой мировой войны Яцук </w:t>
      </w:r>
      <w:r w:rsidR="00B67D7C" w:rsidRPr="00DE096C">
        <w:rPr>
          <w:bCs/>
          <w:color w:val="002060"/>
          <w:sz w:val="16"/>
          <w:szCs w:val="16"/>
        </w:rPr>
        <w:t>сформировал из лётно-технического состава школы аэроклуба Особый Добровольческий авиационный отряд (с мая 1915 года - 34 КАО), вместе с которым убыл на фронт. Воюя в составе 10-й армии, он получил возможность на практиве проверить свои взгляды на применение аэропланов в военных действиях. Лётчик и командир Яцук пользовался большим авторитетом, а своим демократическим отношением к солдатам снискал их любовь и уважение. Во время Февральской революции отряд в полном составе перешёл на сторону большевиков.</w:t>
      </w:r>
    </w:p>
    <w:p w14:paraId="33186C2D" w14:textId="77777777" w:rsidR="00B67D7C" w:rsidRPr="00DE096C" w:rsidRDefault="00B67D7C" w:rsidP="00D45A46">
      <w:pPr>
        <w:jc w:val="both"/>
        <w:rPr>
          <w:bCs/>
          <w:color w:val="002060"/>
          <w:sz w:val="16"/>
          <w:szCs w:val="16"/>
        </w:rPr>
      </w:pPr>
      <w:r w:rsidRPr="00DE096C">
        <w:rPr>
          <w:bCs/>
          <w:color w:val="002060"/>
          <w:sz w:val="16"/>
          <w:szCs w:val="16"/>
        </w:rPr>
        <w:t>После Октябрьской революции Яцук был откомандирован в Петроград и назначен начальником отдела применения авиации Всероссийской коллегии по воздухоплаванию. Свою работу он начал с разработки таких вопросов, как организация международного сообщения между Петроградом и Стокгольмом, проведения аэрофотосъёмки для размежевания земель по районам, исправления карт и планов, изучения водных фарватеров и побережий.</w:t>
      </w:r>
    </w:p>
    <w:p w14:paraId="4AFAB697" w14:textId="77777777" w:rsidR="00B67D7C" w:rsidRPr="00DE096C" w:rsidRDefault="00B67D7C" w:rsidP="00D45A46">
      <w:pPr>
        <w:jc w:val="both"/>
        <w:rPr>
          <w:bCs/>
          <w:color w:val="002060"/>
          <w:sz w:val="16"/>
          <w:szCs w:val="16"/>
        </w:rPr>
      </w:pPr>
      <w:r w:rsidRPr="00DE096C">
        <w:rPr>
          <w:bCs/>
          <w:color w:val="002060"/>
          <w:sz w:val="16"/>
          <w:szCs w:val="16"/>
        </w:rPr>
        <w:t>Когда 21 мая 1918 года в Москве был организован первый профсоюз лётчиков, Н.А.Яцук стал его председателем (профсоюз просуществовал недолго, так как все его члены вскоре стали военными). В том же году он организовал первую в стране школу военной маскировки. Эту школу посещали и высшие руководители Красной Армии: С.С.Каменев, М.Н.Тухачевский, М.В.Фрунзе и др. По полигону и опытным мастерским их сопровождал начальник отдела научных изысканий профессор Яцук.</w:t>
      </w:r>
    </w:p>
    <w:p w14:paraId="0F3B9A32" w14:textId="77777777" w:rsidR="00B67D7C" w:rsidRPr="00DE096C" w:rsidRDefault="00B67D7C" w:rsidP="00D45A46">
      <w:pPr>
        <w:jc w:val="both"/>
        <w:rPr>
          <w:bCs/>
          <w:color w:val="002060"/>
          <w:sz w:val="16"/>
          <w:szCs w:val="16"/>
        </w:rPr>
      </w:pPr>
      <w:r w:rsidRPr="00DE096C">
        <w:rPr>
          <w:bCs/>
          <w:color w:val="002060"/>
          <w:sz w:val="16"/>
          <w:szCs w:val="16"/>
        </w:rPr>
        <w:t>После Гражданской войны Яцук перешёл на преподавательскую работу в Институт инженеров Красного Воздушного Флота (позже ВВИА имени Н.Е.Жуковского). В это время он написал труд "Авиация и её культурное значение", в котором он предусмотрел исследование северного побережья страны при помощи самолётов, поиск с воздуха полезных ископаемый, управление погодой. Этот труд стал на долгие годы своеобразной программой развития гражданского воздушного флота. В 1924 году был опубликован труд по тактике военной авиации.</w:t>
      </w:r>
    </w:p>
    <w:p w14:paraId="7C9733BF" w14:textId="77777777" w:rsidR="00B67D7C" w:rsidRPr="00DE096C" w:rsidRDefault="00B67D7C" w:rsidP="00D45A46">
      <w:pPr>
        <w:jc w:val="both"/>
        <w:rPr>
          <w:bCs/>
          <w:color w:val="002060"/>
          <w:sz w:val="16"/>
          <w:szCs w:val="16"/>
        </w:rPr>
      </w:pPr>
      <w:r w:rsidRPr="00DE096C">
        <w:rPr>
          <w:bCs/>
          <w:color w:val="002060"/>
          <w:sz w:val="16"/>
          <w:szCs w:val="16"/>
        </w:rPr>
        <w:t>Николай Александрович умер 8 апреля 1930 года после тяжёлой болезни.</w:t>
      </w:r>
    </w:p>
    <w:p w14:paraId="4FA92072" w14:textId="77777777" w:rsidR="00B67D7C" w:rsidRPr="00DE096C" w:rsidRDefault="00B67D7C" w:rsidP="00D45A46">
      <w:pPr>
        <w:jc w:val="both"/>
        <w:rPr>
          <w:bCs/>
          <w:i/>
          <w:color w:val="002060"/>
          <w:sz w:val="16"/>
          <w:szCs w:val="16"/>
        </w:rPr>
      </w:pPr>
    </w:p>
    <w:p w14:paraId="00ED319B" w14:textId="77777777" w:rsidR="0039630F" w:rsidRPr="00DE096C" w:rsidRDefault="0039630F" w:rsidP="00D45A46">
      <w:pPr>
        <w:jc w:val="both"/>
        <w:rPr>
          <w:bCs/>
          <w:color w:val="002060"/>
          <w:sz w:val="16"/>
          <w:szCs w:val="16"/>
        </w:rPr>
      </w:pPr>
      <w:r w:rsidRPr="00DE096C">
        <w:rPr>
          <w:bCs/>
          <w:color w:val="002060"/>
          <w:sz w:val="16"/>
          <w:szCs w:val="16"/>
        </w:rPr>
        <w:t>В августе 1914 в наличии были:</w:t>
      </w:r>
    </w:p>
    <w:p w14:paraId="2E3F4945" w14:textId="77777777" w:rsidR="00B67D7C" w:rsidRPr="00DE096C" w:rsidRDefault="00B67D7C" w:rsidP="00D45A46">
      <w:pPr>
        <w:jc w:val="both"/>
        <w:rPr>
          <w:bCs/>
          <w:color w:val="002060"/>
          <w:sz w:val="16"/>
          <w:szCs w:val="16"/>
        </w:rPr>
      </w:pPr>
      <w:r w:rsidRPr="00DE096C">
        <w:rPr>
          <w:bCs/>
          <w:color w:val="002060"/>
          <w:sz w:val="16"/>
          <w:szCs w:val="16"/>
        </w:rPr>
        <w:t xml:space="preserve">Або (ныне Турку; Финляндия). Школа авиамехаников (предположительно флотская), 1917 </w:t>
      </w:r>
    </w:p>
    <w:p w14:paraId="4CEAADD0" w14:textId="77777777" w:rsidR="00B67D7C" w:rsidRPr="00DE096C" w:rsidRDefault="00B67D7C" w:rsidP="00D45A46">
      <w:pPr>
        <w:jc w:val="both"/>
        <w:rPr>
          <w:bCs/>
          <w:color w:val="002060"/>
          <w:sz w:val="16"/>
          <w:szCs w:val="16"/>
        </w:rPr>
      </w:pPr>
      <w:r w:rsidRPr="00DE096C">
        <w:rPr>
          <w:bCs/>
          <w:color w:val="002060"/>
          <w:sz w:val="16"/>
          <w:szCs w:val="16"/>
        </w:rPr>
        <w:t xml:space="preserve">Брянск. Школа авиамотористов, 1915 </w:t>
      </w:r>
    </w:p>
    <w:p w14:paraId="621AE4EB" w14:textId="77777777" w:rsidR="00B67D7C" w:rsidRPr="00DE096C" w:rsidRDefault="00B67D7C" w:rsidP="00D45A46">
      <w:pPr>
        <w:jc w:val="both"/>
        <w:rPr>
          <w:bCs/>
          <w:color w:val="002060"/>
          <w:sz w:val="16"/>
          <w:szCs w:val="16"/>
        </w:rPr>
      </w:pPr>
      <w:r w:rsidRPr="00DE096C">
        <w:rPr>
          <w:bCs/>
          <w:color w:val="002060"/>
          <w:sz w:val="16"/>
          <w:szCs w:val="16"/>
        </w:rPr>
        <w:t xml:space="preserve">Витебск. Курсы авиамотористов при 4-м авиапарке, 1915 </w:t>
      </w:r>
    </w:p>
    <w:p w14:paraId="3CCCFBD7" w14:textId="77777777" w:rsidR="00B67D7C" w:rsidRPr="00DE096C" w:rsidRDefault="00B67D7C" w:rsidP="00D45A46">
      <w:pPr>
        <w:jc w:val="both"/>
        <w:rPr>
          <w:bCs/>
          <w:color w:val="002060"/>
          <w:sz w:val="16"/>
          <w:szCs w:val="16"/>
        </w:rPr>
      </w:pPr>
      <w:r w:rsidRPr="00DE096C">
        <w:rPr>
          <w:bCs/>
          <w:color w:val="002060"/>
          <w:sz w:val="16"/>
          <w:szCs w:val="16"/>
        </w:rPr>
        <w:t xml:space="preserve">Гатчина. При авиационном отделе Офицерской воздухоплавательной школы начата подготовка механиков и мотористов, 1910. Солдатский класс по подготовке механиков и мотористов, осень 1912. Запасной авиационный батальон двухротного состава. Школа авиамехаников и мотористов, 1915 </w:t>
      </w:r>
    </w:p>
    <w:p w14:paraId="1EE6333C" w14:textId="77777777" w:rsidR="00B67D7C" w:rsidRPr="00DE096C" w:rsidRDefault="00B67D7C" w:rsidP="00D45A46">
      <w:pPr>
        <w:jc w:val="both"/>
        <w:rPr>
          <w:bCs/>
          <w:color w:val="002060"/>
          <w:sz w:val="16"/>
          <w:szCs w:val="16"/>
        </w:rPr>
      </w:pPr>
      <w:r w:rsidRPr="00DE096C">
        <w:rPr>
          <w:bCs/>
          <w:color w:val="002060"/>
          <w:sz w:val="16"/>
          <w:szCs w:val="16"/>
        </w:rPr>
        <w:t xml:space="preserve">Гапсала (ныне Хаапсалу, Эстония). Школа авиационных унтер-офицеров (наземных младших специалистов) в Императорском Военном флоте, начало 1917 </w:t>
      </w:r>
    </w:p>
    <w:p w14:paraId="00484D42" w14:textId="77777777" w:rsidR="00B67D7C" w:rsidRPr="00DE096C" w:rsidRDefault="00B67D7C" w:rsidP="00D45A46">
      <w:pPr>
        <w:jc w:val="both"/>
        <w:rPr>
          <w:bCs/>
          <w:color w:val="002060"/>
          <w:sz w:val="16"/>
          <w:szCs w:val="16"/>
        </w:rPr>
      </w:pPr>
      <w:r w:rsidRPr="00DE096C">
        <w:rPr>
          <w:bCs/>
          <w:color w:val="002060"/>
          <w:sz w:val="16"/>
          <w:szCs w:val="16"/>
        </w:rPr>
        <w:t xml:space="preserve">Кронштадт. Машинная школа Балтийского флота (подготовка авиамехаников), 1912-1915. Школа мотористов, 1915 </w:t>
      </w:r>
    </w:p>
    <w:p w14:paraId="70C882E3" w14:textId="77777777" w:rsidR="00B67D7C" w:rsidRPr="00DE096C" w:rsidRDefault="00B67D7C" w:rsidP="00D45A46">
      <w:pPr>
        <w:jc w:val="both"/>
        <w:rPr>
          <w:bCs/>
          <w:color w:val="002060"/>
          <w:sz w:val="16"/>
          <w:szCs w:val="16"/>
        </w:rPr>
      </w:pPr>
      <w:r w:rsidRPr="00DE096C">
        <w:rPr>
          <w:bCs/>
          <w:color w:val="002060"/>
          <w:sz w:val="16"/>
          <w:szCs w:val="16"/>
        </w:rPr>
        <w:t xml:space="preserve">Николаев Николаевская школа авиационных мотористов (непроверенные данные), 1915 </w:t>
      </w:r>
    </w:p>
    <w:p w14:paraId="57523B39" w14:textId="77777777" w:rsidR="00B67D7C" w:rsidRPr="00DE096C" w:rsidRDefault="00B67D7C" w:rsidP="00D45A46">
      <w:pPr>
        <w:jc w:val="both"/>
        <w:rPr>
          <w:bCs/>
          <w:color w:val="002060"/>
          <w:sz w:val="16"/>
          <w:szCs w:val="16"/>
        </w:rPr>
      </w:pPr>
      <w:r w:rsidRPr="00DE096C">
        <w:rPr>
          <w:bCs/>
          <w:color w:val="002060"/>
          <w:sz w:val="16"/>
          <w:szCs w:val="16"/>
        </w:rPr>
        <w:t xml:space="preserve">Петербург Учебный воздухоплавательный парк, Класс мотористов 1909. Солдатский класс, 1912 </w:t>
      </w:r>
    </w:p>
    <w:p w14:paraId="08B6CC35" w14:textId="77777777" w:rsidR="00B67D7C" w:rsidRPr="00DE096C" w:rsidRDefault="00B67D7C" w:rsidP="00D45A46">
      <w:pPr>
        <w:jc w:val="both"/>
        <w:rPr>
          <w:bCs/>
          <w:color w:val="002060"/>
          <w:sz w:val="16"/>
          <w:szCs w:val="16"/>
        </w:rPr>
      </w:pPr>
      <w:r w:rsidRPr="00DE096C">
        <w:rPr>
          <w:bCs/>
          <w:color w:val="002060"/>
          <w:sz w:val="16"/>
          <w:szCs w:val="16"/>
        </w:rPr>
        <w:t xml:space="preserve">Петроград. Курсы авиамехаников и авиамотористов (моторный класс) при Политехническом Институте, 1915 </w:t>
      </w:r>
    </w:p>
    <w:p w14:paraId="67C4C034" w14:textId="77777777" w:rsidR="00B67D7C" w:rsidRPr="00DE096C" w:rsidRDefault="00B67D7C" w:rsidP="00D45A46">
      <w:pPr>
        <w:jc w:val="both"/>
        <w:rPr>
          <w:bCs/>
          <w:color w:val="002060"/>
          <w:sz w:val="16"/>
          <w:szCs w:val="16"/>
        </w:rPr>
      </w:pPr>
      <w:r w:rsidRPr="00DE096C">
        <w:rPr>
          <w:bCs/>
          <w:color w:val="002060"/>
          <w:sz w:val="16"/>
          <w:szCs w:val="16"/>
        </w:rPr>
        <w:t xml:space="preserve">Севастополь. Курсы мотористов при Севастопольской авиашколе, 1910-1912 </w:t>
      </w:r>
    </w:p>
    <w:p w14:paraId="020E7884" w14:textId="77777777" w:rsidR="00B67D7C" w:rsidRPr="00DE096C" w:rsidRDefault="00B67D7C" w:rsidP="00D45A46">
      <w:pPr>
        <w:jc w:val="both"/>
        <w:rPr>
          <w:bCs/>
          <w:color w:val="002060"/>
          <w:sz w:val="16"/>
          <w:szCs w:val="16"/>
        </w:rPr>
      </w:pPr>
      <w:r w:rsidRPr="00DE096C">
        <w:rPr>
          <w:bCs/>
          <w:color w:val="002060"/>
          <w:sz w:val="16"/>
          <w:szCs w:val="16"/>
        </w:rPr>
        <w:t xml:space="preserve">Чита (Забайкальский край), на базе 4-й Сибирской воздухоплавательной роты Школа по подготовке мотористов-механиков, 1910, первый выпуск 1911 </w:t>
      </w:r>
    </w:p>
    <w:p w14:paraId="00320978" w14:textId="77777777" w:rsidR="00B67D7C" w:rsidRPr="00DE096C" w:rsidRDefault="00B67D7C" w:rsidP="00D45A46">
      <w:pPr>
        <w:jc w:val="both"/>
        <w:rPr>
          <w:bCs/>
          <w:color w:val="002060"/>
          <w:sz w:val="16"/>
          <w:szCs w:val="16"/>
        </w:rPr>
      </w:pPr>
      <w:r w:rsidRPr="00DE096C">
        <w:rPr>
          <w:bCs/>
          <w:color w:val="002060"/>
          <w:sz w:val="16"/>
          <w:szCs w:val="16"/>
        </w:rPr>
        <w:t xml:space="preserve">1.«Первый авиационный отряд </w:t>
      </w:r>
    </w:p>
    <w:p w14:paraId="1AA1E5D7" w14:textId="77777777" w:rsidR="00B67D7C" w:rsidRPr="00DE096C" w:rsidRDefault="00B67D7C" w:rsidP="00D45A46">
      <w:pPr>
        <w:jc w:val="both"/>
        <w:rPr>
          <w:bCs/>
          <w:color w:val="002060"/>
          <w:sz w:val="16"/>
          <w:szCs w:val="16"/>
        </w:rPr>
      </w:pPr>
      <w:r w:rsidRPr="00DE096C">
        <w:rPr>
          <w:bCs/>
          <w:color w:val="002060"/>
          <w:sz w:val="16"/>
          <w:szCs w:val="16"/>
        </w:rPr>
        <w:t xml:space="preserve">1-й АВИАЦИОННЫЙ ОТРЯД. В сент. 1911 Военное министерство России приняло решение о создании 6 авиационных отрядов. Первый из них был сформирован в Заб. при 4-й воздухоплавательной роте, расквартированной в Чите. Об этом 14(28).11.1911 штаб Иркутского ВО доложил в центр. Формирование отряда стало точкой отсчета в истории военной авиации не только Заб., но и всей страны. Летом 1912 в отряд поступили 6 самолетов фр. производства «Фарман». До авг. 1914 в отряде проводилось интенсивное обучение летного и техн. состава, освоение авиационной техники и тактики ее применения. С нач. 1-й мировой войны авиаотряд переименован в 6-ю авиационную роту. </w:t>
      </w:r>
    </w:p>
    <w:p w14:paraId="4FFB17C8" w14:textId="77777777" w:rsidR="00B67D7C" w:rsidRPr="00DE096C" w:rsidRDefault="00B67D7C" w:rsidP="00D45A46">
      <w:pPr>
        <w:jc w:val="both"/>
        <w:rPr>
          <w:bCs/>
          <w:color w:val="002060"/>
          <w:sz w:val="16"/>
          <w:szCs w:val="16"/>
        </w:rPr>
      </w:pPr>
      <w:r w:rsidRPr="00DE096C">
        <w:rPr>
          <w:bCs/>
          <w:color w:val="002060"/>
          <w:sz w:val="16"/>
          <w:szCs w:val="16"/>
        </w:rPr>
        <w:t>Лит.: Родиков Б. Г. Крылатый век Заб. – Чита, 2003.» (11701)</w:t>
      </w:r>
    </w:p>
    <w:p w14:paraId="6ECC2374" w14:textId="77777777" w:rsidR="00B67D7C" w:rsidRPr="00DE096C" w:rsidRDefault="00B67D7C" w:rsidP="00D45A46">
      <w:pPr>
        <w:jc w:val="both"/>
        <w:rPr>
          <w:bCs/>
          <w:color w:val="002060"/>
          <w:sz w:val="16"/>
          <w:szCs w:val="16"/>
        </w:rPr>
      </w:pPr>
    </w:p>
    <w:p w14:paraId="73FE277A" w14:textId="77777777" w:rsidR="00BC0E9B" w:rsidRPr="00DE096C" w:rsidRDefault="00BC0E9B" w:rsidP="00D45A46">
      <w:pPr>
        <w:jc w:val="both"/>
        <w:rPr>
          <w:bCs/>
          <w:color w:val="002060"/>
          <w:sz w:val="16"/>
          <w:szCs w:val="16"/>
        </w:rPr>
      </w:pPr>
      <w:r w:rsidRPr="00DE096C">
        <w:rPr>
          <w:bCs/>
          <w:color w:val="002060"/>
          <w:sz w:val="16"/>
          <w:szCs w:val="16"/>
        </w:rPr>
        <w:t>В августе 1914 г. газета «Русское слово» дала такую информацию: «Получено интересное сообщение о воздушной борьбе между русским и германским летчиками. Над линией русских войск появился неожиданно неприятельский аэроплан. Наш летчик выразил желание заставить немца спуститься. Он быстро взлетел, приблизился к противнику и рядом виражей принудил его к посадке. Германский летчик арестован». В дальнейшем такой прием применялся неоднократно (фамилии летчиков и типы аэропланов русские газеты по соображениям секретности во время войны не указывали) (23405).</w:t>
      </w:r>
    </w:p>
    <w:p w14:paraId="783D6E0D" w14:textId="77777777" w:rsidR="00BC0E9B" w:rsidRPr="00DE096C" w:rsidRDefault="00BC0E9B" w:rsidP="00D45A46">
      <w:pPr>
        <w:jc w:val="both"/>
        <w:rPr>
          <w:bCs/>
          <w:color w:val="002060"/>
          <w:sz w:val="16"/>
          <w:szCs w:val="16"/>
        </w:rPr>
      </w:pPr>
    </w:p>
    <w:p w14:paraId="5BB6C97C" w14:textId="77777777" w:rsidR="00F42635" w:rsidRPr="00B52707" w:rsidRDefault="00F42635" w:rsidP="00F42635">
      <w:pPr>
        <w:jc w:val="both"/>
        <w:rPr>
          <w:color w:val="0070C0"/>
          <w:sz w:val="16"/>
          <w:szCs w:val="16"/>
        </w:rPr>
      </w:pPr>
      <w:r w:rsidRPr="00B52707">
        <w:rPr>
          <w:color w:val="0070C0"/>
          <w:sz w:val="16"/>
          <w:szCs w:val="16"/>
        </w:rPr>
        <w:t>В августе 1914 г. газета «Русское слово» дала такую информацию: «Получено интересное сообщение о воздушной борьбе между русским и германским летчиками. Над линией русских войск появился неожиданно неприятельский аэроплан. Наш летчик выразил желание заставить немца спуститься. Он быстро взлетел, приблизился к противнику и рядом виражей принудил его к посадке. Германский летчик арестован». В дальнейшем такой прием применялся неоднократно (фамилии летчиков и типы аэропланов русские газеты по соображениям секретности во время войны не указывали) (25135).</w:t>
      </w:r>
    </w:p>
    <w:p w14:paraId="0E5C7BC2" w14:textId="77777777" w:rsidR="00F42635" w:rsidRPr="00B52707" w:rsidRDefault="00F42635" w:rsidP="00F42635">
      <w:pPr>
        <w:jc w:val="both"/>
        <w:rPr>
          <w:color w:val="0070C0"/>
          <w:sz w:val="16"/>
          <w:szCs w:val="16"/>
        </w:rPr>
      </w:pPr>
    </w:p>
    <w:p w14:paraId="0D046F90" w14:textId="77777777" w:rsidR="00F42635" w:rsidRPr="00B52707" w:rsidRDefault="00F42635" w:rsidP="00F42635">
      <w:pPr>
        <w:jc w:val="both"/>
        <w:rPr>
          <w:color w:val="0070C0"/>
          <w:sz w:val="16"/>
          <w:szCs w:val="16"/>
        </w:rPr>
      </w:pPr>
      <w:r w:rsidRPr="00B52707">
        <w:rPr>
          <w:color w:val="0070C0"/>
          <w:sz w:val="16"/>
          <w:szCs w:val="16"/>
        </w:rPr>
        <w:t>В августе 1914 г., как показал первый месяц войны, германское командование для организации ведения воздушной разведки в зоне ответственности 1-й и 2-й русских армий использовало так называемый «тандем». Вначале в ближнем тылу наших войск появлялся неприятельский аэроплан, а затем – цеппелин, осуществлявший бомбардировочные действия заранее выбранных целей. Основной зенитный огонь велся по аэроплану, который, отвлекая его на себя, позднее скрывался за линией фронта (25135).</w:t>
      </w:r>
    </w:p>
    <w:p w14:paraId="7E388F9F" w14:textId="77777777" w:rsidR="00F42635" w:rsidRPr="00B52707" w:rsidRDefault="00F42635" w:rsidP="00F42635">
      <w:pPr>
        <w:jc w:val="both"/>
        <w:rPr>
          <w:color w:val="0070C0"/>
          <w:sz w:val="16"/>
          <w:szCs w:val="16"/>
        </w:rPr>
      </w:pPr>
    </w:p>
    <w:p w14:paraId="28790424" w14:textId="77777777" w:rsidR="00B67D7C" w:rsidRPr="00DE096C" w:rsidRDefault="00B67D7C" w:rsidP="00D45A46">
      <w:pPr>
        <w:jc w:val="both"/>
        <w:rPr>
          <w:bCs/>
          <w:i/>
          <w:color w:val="002060"/>
          <w:sz w:val="16"/>
          <w:szCs w:val="16"/>
        </w:rPr>
      </w:pPr>
      <w:r w:rsidRPr="00DE096C">
        <w:rPr>
          <w:bCs/>
          <w:i/>
          <w:color w:val="002060"/>
          <w:sz w:val="16"/>
          <w:szCs w:val="16"/>
        </w:rPr>
        <w:t>Морская авиация:</w:t>
      </w:r>
    </w:p>
    <w:p w14:paraId="45A09B3D" w14:textId="77777777" w:rsidR="00B67D7C" w:rsidRPr="00DE096C" w:rsidRDefault="00B67D7C" w:rsidP="00D45A46">
      <w:pPr>
        <w:jc w:val="both"/>
        <w:rPr>
          <w:bCs/>
          <w:i/>
          <w:color w:val="002060"/>
          <w:sz w:val="16"/>
          <w:szCs w:val="16"/>
        </w:rPr>
      </w:pPr>
    </w:p>
    <w:p w14:paraId="3D705BE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lastRenderedPageBreak/>
        <w:t>В августе 1914 г. морская авиация официально во</w:t>
      </w:r>
      <w:r w:rsidRPr="00DE096C">
        <w:rPr>
          <w:bCs/>
          <w:color w:val="002060"/>
          <w:sz w:val="16"/>
          <w:szCs w:val="16"/>
        </w:rPr>
        <w:softHyphen/>
        <w:t>шла в состав Российского Императорского флота, остава</w:t>
      </w:r>
      <w:r w:rsidRPr="00DE096C">
        <w:rPr>
          <w:bCs/>
          <w:color w:val="002060"/>
          <w:sz w:val="16"/>
          <w:szCs w:val="16"/>
        </w:rPr>
        <w:softHyphen/>
        <w:t>ясь приписанной при этом к Службе связи. Общее руко</w:t>
      </w:r>
      <w:r w:rsidRPr="00DE096C">
        <w:rPr>
          <w:bCs/>
          <w:color w:val="002060"/>
          <w:sz w:val="16"/>
          <w:szCs w:val="16"/>
        </w:rPr>
        <w:softHyphen/>
        <w:t>водство возлагалось на Морской генеральный штаб, зада</w:t>
      </w:r>
      <w:r w:rsidRPr="00DE096C">
        <w:rPr>
          <w:bCs/>
          <w:color w:val="002060"/>
          <w:sz w:val="16"/>
          <w:szCs w:val="16"/>
        </w:rPr>
        <w:softHyphen/>
        <w:t>чами авиации флота при этом являлись наблюдение за морем вне зон видимости с береговых постов, ведение разведывательной и сторожевой службы, борьба с воз</w:t>
      </w:r>
      <w:r w:rsidRPr="00DE096C">
        <w:rPr>
          <w:bCs/>
          <w:color w:val="002060"/>
          <w:sz w:val="16"/>
          <w:szCs w:val="16"/>
        </w:rPr>
        <w:softHyphen/>
        <w:t>душной разведкой противника и другие активно-боевые действия (11107).</w:t>
      </w:r>
    </w:p>
    <w:p w14:paraId="1A82D0F0" w14:textId="77777777" w:rsidR="00B67D7C" w:rsidRPr="00DE096C" w:rsidRDefault="00B67D7C" w:rsidP="00D45A46">
      <w:pPr>
        <w:shd w:val="clear" w:color="auto" w:fill="FFFFFF"/>
        <w:jc w:val="both"/>
        <w:rPr>
          <w:bCs/>
          <w:color w:val="002060"/>
          <w:sz w:val="16"/>
          <w:szCs w:val="16"/>
        </w:rPr>
      </w:pPr>
    </w:p>
    <w:p w14:paraId="2796521E" w14:textId="77777777" w:rsidR="00B67D7C" w:rsidRPr="00DE096C" w:rsidRDefault="00B67D7C" w:rsidP="00D45A46">
      <w:pPr>
        <w:jc w:val="both"/>
        <w:rPr>
          <w:bCs/>
          <w:color w:val="002060"/>
          <w:sz w:val="16"/>
          <w:szCs w:val="16"/>
        </w:rPr>
      </w:pPr>
      <w:r w:rsidRPr="00DE096C">
        <w:rPr>
          <w:bCs/>
          <w:color w:val="002060"/>
          <w:sz w:val="16"/>
          <w:szCs w:val="16"/>
        </w:rPr>
        <w:t>В августе в Аренсбурге открылась новая станция. Обозначились и первые результаты: 24 августа старшему лейтенанту Щербачёву удалось обнаружить отряд из девяти кораблей, в тот же день за двухтрубным крейсером, который вёл огонь, наблюдал лейтенантом Кульнев, он же обнаружил отдельные суда.</w:t>
      </w:r>
    </w:p>
    <w:p w14:paraId="4CD914F3" w14:textId="77777777" w:rsidR="00B67D7C" w:rsidRPr="00DE096C" w:rsidRDefault="00B67D7C" w:rsidP="00D45A46">
      <w:pPr>
        <w:jc w:val="both"/>
        <w:rPr>
          <w:bCs/>
          <w:color w:val="002060"/>
          <w:sz w:val="16"/>
          <w:szCs w:val="16"/>
        </w:rPr>
      </w:pPr>
      <w:r w:rsidRPr="00DE096C">
        <w:rPr>
          <w:bCs/>
          <w:color w:val="002060"/>
          <w:sz w:val="16"/>
          <w:szCs w:val="16"/>
        </w:rPr>
        <w:t>Командующий флотом Балтийского моря адмирал Н. Эссен в докладе морскому министру по итогам 1914 г. по достоинству оценил достижения морской азиации: "Воздухоплавательные аппараты в настоящее время хотя и не являются грозным оружием в морской войне, но следует иметь в виду, что на днях англичане на лёгких крейсерах подвели к Куксгафену семь гидроаэроп- ланов/ которые и атаковали германские суда. Таким образом, для противника воздухоплавательные аппараты могут явиться средством активной борьбы с нами. Для нас воздухоплавательные аппараты пока только одно из средств разведки судов, подходящих к берегу и, быть может, средство воздушной контратаки..."</w:t>
      </w:r>
    </w:p>
    <w:p w14:paraId="3F059621" w14:textId="77777777" w:rsidR="00B67D7C" w:rsidRPr="00DE096C" w:rsidRDefault="00B67D7C" w:rsidP="00D45A46">
      <w:pPr>
        <w:jc w:val="both"/>
        <w:rPr>
          <w:bCs/>
          <w:color w:val="002060"/>
          <w:sz w:val="16"/>
          <w:szCs w:val="16"/>
        </w:rPr>
      </w:pPr>
      <w:r w:rsidRPr="00DE096C">
        <w:rPr>
          <w:bCs/>
          <w:color w:val="002060"/>
          <w:sz w:val="16"/>
          <w:szCs w:val="16"/>
        </w:rPr>
        <w:t>К этому времени немцы закончили переоборудование в авиатранспорт судна, получившего название "Глиндер", подорвавшегося на мине 4 июня 1915 г. (11927).</w:t>
      </w:r>
    </w:p>
    <w:p w14:paraId="545D4063" w14:textId="77777777" w:rsidR="00B67D7C" w:rsidRPr="00DE096C" w:rsidRDefault="00B67D7C" w:rsidP="00D45A46">
      <w:pPr>
        <w:jc w:val="both"/>
        <w:rPr>
          <w:bCs/>
          <w:color w:val="002060"/>
          <w:sz w:val="16"/>
          <w:szCs w:val="16"/>
        </w:rPr>
      </w:pPr>
    </w:p>
    <w:p w14:paraId="3914E180" w14:textId="77777777" w:rsidR="004E5920" w:rsidRPr="00DE096C" w:rsidRDefault="004E5920" w:rsidP="00D45A46">
      <w:pPr>
        <w:jc w:val="both"/>
        <w:rPr>
          <w:bCs/>
          <w:color w:val="002060"/>
          <w:sz w:val="16"/>
          <w:szCs w:val="16"/>
          <w:lang w:bidi="en-US"/>
        </w:rPr>
      </w:pPr>
      <w:bookmarkStart w:id="150" w:name="_Hlk56168054"/>
      <w:r w:rsidRPr="00DE096C">
        <w:rPr>
          <w:bCs/>
          <w:color w:val="002060"/>
          <w:sz w:val="16"/>
          <w:szCs w:val="16"/>
          <w:lang w:bidi="en-US"/>
        </w:rPr>
        <w:t>В августе 1914 г. Балтийский флот приказал разместить в Ревеле 3-ю военно-морскую авиабазу. Командирами были капитан 2-го ранга Б. М. Миллер с августа 1914 по июнь 1915; лейтенант П. Е. фон Липгарт с июля - ноября 1915 г.; Капитан 1-го ранга Д. В. Александров с ноября 1915 г. по апрель 1916 г. Летом 1915 г. станция Ревель была переведена в устье реки Бригитовки (23525).</w:t>
      </w:r>
    </w:p>
    <w:p w14:paraId="711BB693" w14:textId="77777777" w:rsidR="004E5920" w:rsidRPr="00DE096C" w:rsidRDefault="004E5920" w:rsidP="00D45A46">
      <w:pPr>
        <w:jc w:val="both"/>
        <w:rPr>
          <w:bCs/>
          <w:color w:val="002060"/>
          <w:sz w:val="16"/>
          <w:szCs w:val="16"/>
        </w:rPr>
      </w:pPr>
    </w:p>
    <w:p w14:paraId="4F3825C1" w14:textId="77777777" w:rsidR="004E5920" w:rsidRPr="00DE096C" w:rsidRDefault="004E5920" w:rsidP="00D45A46">
      <w:pPr>
        <w:jc w:val="both"/>
        <w:rPr>
          <w:bCs/>
          <w:color w:val="002060"/>
          <w:sz w:val="16"/>
          <w:szCs w:val="16"/>
        </w:rPr>
      </w:pPr>
      <w:r w:rsidRPr="00DE096C">
        <w:rPr>
          <w:bCs/>
          <w:color w:val="002060"/>
          <w:sz w:val="16"/>
          <w:szCs w:val="16"/>
          <w:lang w:bidi="en-US"/>
        </w:rPr>
        <w:t xml:space="preserve">В августе 1914 г. Главное гидрографическое управление приказало провести поиски в Белом море следов экспедиции лейтенанта Г.Я. Седова, отправленного в августе 1912 года на пароходе в попытке достичь Северного полюса. В поисковую миссию входил морской летчик адмиралтейства лейтенант Л.И. Нагурский и механик Е.В. Кузнецов, совершившие около пяти полетов на гидросамолете </w:t>
      </w:r>
      <w:r w:rsidRPr="00DE096C">
        <w:rPr>
          <w:bCs/>
          <w:color w:val="002060"/>
          <w:sz w:val="16"/>
          <w:szCs w:val="16"/>
          <w:lang w:val="en-US" w:bidi="en-US"/>
        </w:rPr>
        <w:t>Maurice</w:t>
      </w:r>
      <w:r w:rsidRPr="00DE096C">
        <w:rPr>
          <w:bCs/>
          <w:color w:val="002060"/>
          <w:sz w:val="16"/>
          <w:szCs w:val="16"/>
          <w:lang w:bidi="en-US"/>
        </w:rPr>
        <w:t xml:space="preserve"> </w:t>
      </w:r>
      <w:r w:rsidRPr="00DE096C">
        <w:rPr>
          <w:bCs/>
          <w:color w:val="002060"/>
          <w:sz w:val="16"/>
          <w:szCs w:val="16"/>
          <w:lang w:val="en-US" w:bidi="en-US"/>
        </w:rPr>
        <w:t>Farman</w:t>
      </w:r>
      <w:r w:rsidRPr="00DE096C">
        <w:rPr>
          <w:bCs/>
          <w:color w:val="002060"/>
          <w:sz w:val="16"/>
          <w:szCs w:val="16"/>
          <w:lang w:bidi="en-US"/>
        </w:rPr>
        <w:t xml:space="preserve"> </w:t>
      </w:r>
      <w:r w:rsidRPr="00DE096C">
        <w:rPr>
          <w:bCs/>
          <w:color w:val="002060"/>
          <w:sz w:val="16"/>
          <w:szCs w:val="16"/>
          <w:lang w:val="en-US" w:bidi="en-US"/>
        </w:rPr>
        <w:t>MF</w:t>
      </w:r>
      <w:r w:rsidRPr="00DE096C">
        <w:rPr>
          <w:bCs/>
          <w:color w:val="002060"/>
          <w:sz w:val="16"/>
          <w:szCs w:val="16"/>
          <w:lang w:bidi="en-US"/>
        </w:rPr>
        <w:t>-11. Пионерские усилия Нагурского в арктическом регионе были предвестниками многих полярных исследовательских полетов, позже осуществленных советским режимом (23525).</w:t>
      </w:r>
    </w:p>
    <w:p w14:paraId="380D3CCC" w14:textId="77777777" w:rsidR="004E5920" w:rsidRPr="00DE096C" w:rsidRDefault="004E5920" w:rsidP="00D45A46">
      <w:pPr>
        <w:jc w:val="both"/>
        <w:rPr>
          <w:bCs/>
          <w:color w:val="002060"/>
          <w:sz w:val="16"/>
          <w:szCs w:val="16"/>
        </w:rPr>
      </w:pPr>
    </w:p>
    <w:p w14:paraId="601D8E10" w14:textId="24D1C73A" w:rsidR="0056062A" w:rsidRPr="00DE096C" w:rsidRDefault="0056062A" w:rsidP="00D45A46">
      <w:pPr>
        <w:shd w:val="clear" w:color="auto" w:fill="FFFFFF"/>
        <w:jc w:val="both"/>
        <w:rPr>
          <w:bCs/>
          <w:i/>
          <w:color w:val="002060"/>
          <w:sz w:val="16"/>
          <w:szCs w:val="16"/>
        </w:rPr>
      </w:pPr>
      <w:r w:rsidRPr="00DE096C">
        <w:rPr>
          <w:bCs/>
          <w:i/>
          <w:color w:val="002060"/>
          <w:sz w:val="16"/>
          <w:szCs w:val="16"/>
        </w:rPr>
        <w:t>Воздухоплавание:</w:t>
      </w:r>
    </w:p>
    <w:p w14:paraId="68DFF2F2" w14:textId="77777777" w:rsidR="0056062A" w:rsidRPr="00DE096C" w:rsidRDefault="0056062A" w:rsidP="00D45A46">
      <w:pPr>
        <w:shd w:val="clear" w:color="auto" w:fill="FFFFFF"/>
        <w:jc w:val="both"/>
        <w:rPr>
          <w:bCs/>
          <w:i/>
          <w:color w:val="002060"/>
          <w:sz w:val="16"/>
          <w:szCs w:val="16"/>
        </w:rPr>
      </w:pPr>
    </w:p>
    <w:p w14:paraId="024BD541" w14:textId="77777777" w:rsidR="0056062A" w:rsidRPr="00DE096C" w:rsidRDefault="0056062A" w:rsidP="00D45A46">
      <w:pPr>
        <w:jc w:val="both"/>
        <w:rPr>
          <w:bCs/>
          <w:color w:val="002060"/>
          <w:sz w:val="16"/>
          <w:szCs w:val="16"/>
          <w:shd w:val="clear" w:color="auto" w:fill="FFFFFF"/>
        </w:rPr>
      </w:pPr>
      <w:r w:rsidRPr="00DE096C">
        <w:rPr>
          <w:bCs/>
          <w:color w:val="002060"/>
          <w:sz w:val="16"/>
          <w:szCs w:val="16"/>
          <w:shd w:val="clear" w:color="auto" w:fill="FFFFFF"/>
        </w:rPr>
        <w:t>В августе 1914г. – вскоре после начала войны - Пороховщиков обратился впервые с предложением оригинальной вездеходной машины в Особый комитет по усилению военного флота (куда представлял и проект самолета) (20250).</w:t>
      </w:r>
    </w:p>
    <w:p w14:paraId="3240BE29" w14:textId="77777777" w:rsidR="0056062A" w:rsidRPr="00DE096C" w:rsidRDefault="0056062A" w:rsidP="00D45A46">
      <w:pPr>
        <w:jc w:val="both"/>
        <w:rPr>
          <w:bCs/>
          <w:color w:val="002060"/>
          <w:sz w:val="16"/>
          <w:szCs w:val="16"/>
          <w:shd w:val="clear" w:color="auto" w:fill="FFFFFF"/>
        </w:rPr>
      </w:pPr>
    </w:p>
    <w:bookmarkEnd w:id="150"/>
    <w:p w14:paraId="78CBF06D" w14:textId="77777777" w:rsidR="0056062A" w:rsidRPr="00DE096C" w:rsidRDefault="0056062A" w:rsidP="00D45A46">
      <w:pPr>
        <w:jc w:val="both"/>
        <w:rPr>
          <w:bCs/>
          <w:color w:val="002060"/>
          <w:sz w:val="16"/>
          <w:szCs w:val="16"/>
        </w:rPr>
      </w:pPr>
      <w:r w:rsidRPr="00DE096C">
        <w:rPr>
          <w:rFonts w:eastAsia="Franklin Gothic Book"/>
          <w:bCs/>
          <w:color w:val="002060"/>
          <w:sz w:val="16"/>
          <w:szCs w:val="16"/>
        </w:rPr>
        <w:t>В августе 1914 г. «Альбатрос» из д. Сализи</w:t>
      </w:r>
      <w:r w:rsidRPr="00DE096C">
        <w:rPr>
          <w:bCs/>
          <w:color w:val="002060"/>
          <w:sz w:val="16"/>
          <w:szCs w:val="16"/>
        </w:rPr>
        <w:t xml:space="preserve"> </w:t>
      </w:r>
      <w:r w:rsidRPr="00DE096C">
        <w:rPr>
          <w:rFonts w:eastAsia="Franklin Gothic Book"/>
          <w:bCs/>
          <w:color w:val="002060"/>
          <w:sz w:val="16"/>
          <w:szCs w:val="16"/>
        </w:rPr>
        <w:t>перелетел в г. Лиду и вошёл в состав 3-й воздухоплавательной роты. «Ястреб» использовался для испытания парашютов, бомб и подготовки пилотов дирижаблей. В течение зимы 1914-1915 гг. ОВШ выпустила пять пило- тов-дирижаблистов (20120).</w:t>
      </w:r>
    </w:p>
    <w:p w14:paraId="42D38C05" w14:textId="77777777" w:rsidR="0056062A" w:rsidRPr="00DE096C" w:rsidRDefault="0056062A" w:rsidP="00D45A46">
      <w:pPr>
        <w:jc w:val="both"/>
        <w:rPr>
          <w:bCs/>
          <w:color w:val="002060"/>
          <w:sz w:val="16"/>
          <w:szCs w:val="16"/>
        </w:rPr>
      </w:pPr>
      <w:r w:rsidRPr="00DE096C">
        <w:rPr>
          <w:bCs/>
          <w:color w:val="002060"/>
          <w:sz w:val="16"/>
          <w:szCs w:val="16"/>
        </w:rPr>
        <w:t>В августе 1914 немецкий дирижабль летел над британским флотом. Контр - адмирал Поль Behncke, начальник морского штаба ВМС Германской империи ВМС заявляет, что дирижабли начинают атаки на Лондоне, утверждая , что атаку Цеппелиннов «можно ожидать в Лондоне или окрестностях Лондона, чтобы вызвать панику среди население, которое может поставить под сомнение возможность продолжения войны " (20337).</w:t>
      </w:r>
    </w:p>
    <w:p w14:paraId="48AF708F" w14:textId="77777777" w:rsidR="0056062A" w:rsidRPr="00DE096C" w:rsidRDefault="0056062A" w:rsidP="00D45A46">
      <w:pPr>
        <w:jc w:val="both"/>
        <w:rPr>
          <w:bCs/>
          <w:color w:val="002060"/>
          <w:sz w:val="16"/>
          <w:szCs w:val="16"/>
        </w:rPr>
      </w:pPr>
    </w:p>
    <w:p w14:paraId="187BEBFC"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Армия:</w:t>
      </w:r>
    </w:p>
    <w:p w14:paraId="6518EA1A" w14:textId="77777777" w:rsidR="00B67D7C" w:rsidRPr="00DE096C" w:rsidRDefault="00B67D7C" w:rsidP="00D45A46">
      <w:pPr>
        <w:shd w:val="clear" w:color="auto" w:fill="FFFFFF"/>
        <w:jc w:val="both"/>
        <w:rPr>
          <w:bCs/>
          <w:i/>
          <w:color w:val="002060"/>
          <w:sz w:val="16"/>
          <w:szCs w:val="16"/>
        </w:rPr>
      </w:pPr>
    </w:p>
    <w:p w14:paraId="2E420742" w14:textId="77777777" w:rsidR="00F42635" w:rsidRPr="00B52707" w:rsidRDefault="00F42635" w:rsidP="00F42635">
      <w:pPr>
        <w:jc w:val="both"/>
        <w:rPr>
          <w:color w:val="0070C0"/>
          <w:sz w:val="16"/>
          <w:szCs w:val="16"/>
        </w:rPr>
      </w:pPr>
      <w:r w:rsidRPr="00B52707">
        <w:rPr>
          <w:color w:val="0070C0"/>
          <w:sz w:val="16"/>
          <w:szCs w:val="16"/>
        </w:rPr>
        <w:t>В августе 1914 года Императорское Рос</w:t>
      </w:r>
      <w:r w:rsidRPr="00B52707">
        <w:rPr>
          <w:color w:val="0070C0"/>
          <w:sz w:val="16"/>
          <w:szCs w:val="16"/>
        </w:rPr>
        <w:softHyphen/>
        <w:t>сийское автомобильное общество стало фор</w:t>
      </w:r>
      <w:r w:rsidRPr="00B52707">
        <w:rPr>
          <w:color w:val="0070C0"/>
          <w:sz w:val="16"/>
          <w:szCs w:val="16"/>
        </w:rPr>
        <w:softHyphen/>
        <w:t>мировать санитарные колонны для работы на фронте. Инициативу поддержал импера</w:t>
      </w:r>
      <w:r w:rsidRPr="00B52707">
        <w:rPr>
          <w:color w:val="0070C0"/>
          <w:sz w:val="16"/>
          <w:szCs w:val="16"/>
        </w:rPr>
        <w:softHyphen/>
        <w:t>тор Николай II, и отряды получили право называться именами членов императорской фамилии.</w:t>
      </w:r>
    </w:p>
    <w:p w14:paraId="361D4692" w14:textId="77777777" w:rsidR="00F42635" w:rsidRPr="00B52707" w:rsidRDefault="00F42635" w:rsidP="00F42635">
      <w:pPr>
        <w:jc w:val="both"/>
        <w:rPr>
          <w:color w:val="0070C0"/>
          <w:sz w:val="16"/>
          <w:szCs w:val="16"/>
        </w:rPr>
      </w:pPr>
      <w:r w:rsidRPr="00B52707">
        <w:rPr>
          <w:color w:val="0070C0"/>
          <w:sz w:val="16"/>
          <w:szCs w:val="16"/>
        </w:rPr>
        <w:t>Комплектование колонн велось на сред</w:t>
      </w:r>
      <w:r w:rsidRPr="00B52707">
        <w:rPr>
          <w:color w:val="0070C0"/>
          <w:sz w:val="16"/>
          <w:szCs w:val="16"/>
        </w:rPr>
        <w:softHyphen/>
        <w:t>ства ИРАО и его членов, последние предо</w:t>
      </w:r>
      <w:r w:rsidRPr="00B52707">
        <w:rPr>
          <w:color w:val="0070C0"/>
          <w:sz w:val="16"/>
          <w:szCs w:val="16"/>
        </w:rPr>
        <w:softHyphen/>
        <w:t>ставляли для этого и свои личные автомо</w:t>
      </w:r>
      <w:r w:rsidRPr="00B52707">
        <w:rPr>
          <w:color w:val="0070C0"/>
          <w:sz w:val="16"/>
          <w:szCs w:val="16"/>
        </w:rPr>
        <w:softHyphen/>
        <w:t>били. Первая санитарная колонна - имени Наследника Цесаревича ИРАО при поез</w:t>
      </w:r>
      <w:r w:rsidRPr="00B52707">
        <w:rPr>
          <w:color w:val="0070C0"/>
          <w:sz w:val="16"/>
          <w:szCs w:val="16"/>
        </w:rPr>
        <w:softHyphen/>
        <w:t>де Его Императорского Высочества, имев</w:t>
      </w:r>
      <w:r w:rsidRPr="00B52707">
        <w:rPr>
          <w:color w:val="0070C0"/>
          <w:sz w:val="16"/>
          <w:szCs w:val="16"/>
        </w:rPr>
        <w:softHyphen/>
        <w:t>шая пять санитарных машин и один легко</w:t>
      </w:r>
      <w:r w:rsidRPr="00B52707">
        <w:rPr>
          <w:color w:val="0070C0"/>
          <w:sz w:val="16"/>
          <w:szCs w:val="16"/>
        </w:rPr>
        <w:softHyphen/>
        <w:t>вой автомобиль, убыла на фронт 5 сентября 1914 года (25998).</w:t>
      </w:r>
    </w:p>
    <w:p w14:paraId="1C290F7B" w14:textId="77777777" w:rsidR="00F42635" w:rsidRPr="00B52707" w:rsidRDefault="00F42635" w:rsidP="00F42635">
      <w:pPr>
        <w:jc w:val="both"/>
        <w:rPr>
          <w:color w:val="0070C0"/>
          <w:sz w:val="16"/>
          <w:szCs w:val="16"/>
        </w:rPr>
      </w:pPr>
    </w:p>
    <w:p w14:paraId="07D9D332" w14:textId="77777777" w:rsidR="008B7B07" w:rsidRPr="00DE096C" w:rsidRDefault="008B7B07" w:rsidP="00D45A46">
      <w:pPr>
        <w:jc w:val="both"/>
        <w:rPr>
          <w:bCs/>
          <w:color w:val="002060"/>
          <w:sz w:val="16"/>
          <w:szCs w:val="16"/>
        </w:rPr>
      </w:pPr>
      <w:r w:rsidRPr="00DE096C">
        <w:rPr>
          <w:bCs/>
          <w:color w:val="002060"/>
          <w:sz w:val="16"/>
          <w:szCs w:val="16"/>
        </w:rPr>
        <w:t>В августе 1914 началось формирование мотоциклетных частей в Российской армии, и для их укомплектования на основании закона о военно-автомобильной повинности для военных нужд была реквизирована значительная часть находящихся у населения мотоциклов. К 12 сентября военные учли 983 реквизированных мотоцикла. В августе 1914 г. параллельно с началом формирования мотоциклетных частей председатель особой комиссии и начальник ВАШ, полковник П. И. Секретов подготовил представление, согласно которого следовало срочно приобрести 3000 мотоциклов и 455 боковых колясок к ним. Это представление 30 августа было одобрено Военным Советом. Позднее заказ существенно увеличили. Заказ на первую партию в 3000 мотоциклов поручили четырем английским и двум американским фирмам. В дальнейшем мотоциклы самых разных марок стали приобретаться и в других странах, например в Италии и Франции. Помимо реквизиций у гражданского населения и закупки за рубежом, в период с июля 1915 г. по июнь 1916 г. у подданных стран, находившихся в войне с Россией, конфисковали 1802 мотоцикла. Из общего числа мотоциклов, поступивших военным, наибольшее число поставила фирма «Индиан» — 2300 шт. Фирмы «Харлей-Дэвидсон» и «Рудж-Мульт» направили военным 680 и 650 шт. мотоциклов соответственно. Поставки мотоциклов большинства остальных (более чем пятидесяти фирм) исчислялись преимущественно десятками или даже единицами. Хотя Indian лидировала в поставках мотоциклов в годы Первой мировой войны, в последующие годы она уступила пальму первенства Harley-Davidson (19776).</w:t>
      </w:r>
    </w:p>
    <w:p w14:paraId="4A87E048" w14:textId="77777777" w:rsidR="008B7B07" w:rsidRPr="00DE096C" w:rsidRDefault="008B7B07" w:rsidP="00D45A46">
      <w:pPr>
        <w:jc w:val="both"/>
        <w:rPr>
          <w:bCs/>
          <w:color w:val="002060"/>
          <w:sz w:val="16"/>
          <w:szCs w:val="16"/>
        </w:rPr>
      </w:pPr>
    </w:p>
    <w:p w14:paraId="59B4100F" w14:textId="1BD7C4A5" w:rsidR="00B67D7C" w:rsidRPr="00DE096C" w:rsidRDefault="00207D1C" w:rsidP="00D45A46">
      <w:pPr>
        <w:shd w:val="clear" w:color="auto" w:fill="FFFFFF"/>
        <w:jc w:val="both"/>
        <w:rPr>
          <w:bCs/>
          <w:color w:val="002060"/>
          <w:sz w:val="16"/>
          <w:szCs w:val="16"/>
        </w:rPr>
      </w:pPr>
      <w:r w:rsidRPr="00DE096C">
        <w:rPr>
          <w:bCs/>
          <w:color w:val="002060"/>
          <w:sz w:val="16"/>
          <w:szCs w:val="16"/>
        </w:rPr>
        <w:t>В</w:t>
      </w:r>
      <w:r w:rsidR="00B67D7C" w:rsidRPr="00DE096C">
        <w:rPr>
          <w:bCs/>
          <w:color w:val="002060"/>
          <w:sz w:val="16"/>
          <w:szCs w:val="16"/>
        </w:rPr>
        <w:t xml:space="preserve"> августе 1914 г. </w:t>
      </w:r>
      <w:r w:rsidRPr="00DE096C">
        <w:rPr>
          <w:bCs/>
          <w:color w:val="002060"/>
          <w:sz w:val="16"/>
          <w:szCs w:val="16"/>
        </w:rPr>
        <w:t>сформировали первую мотоциклетную роту</w:t>
      </w:r>
      <w:r w:rsidR="00B67D7C" w:rsidRPr="00DE096C">
        <w:rPr>
          <w:bCs/>
          <w:color w:val="002060"/>
          <w:sz w:val="16"/>
          <w:szCs w:val="16"/>
        </w:rPr>
        <w:t>. Одновременно готовили сразу четыре таких подразделе</w:t>
      </w:r>
      <w:r w:rsidR="00B67D7C" w:rsidRPr="00DE096C">
        <w:rPr>
          <w:bCs/>
          <w:color w:val="002060"/>
          <w:sz w:val="16"/>
          <w:szCs w:val="16"/>
        </w:rPr>
        <w:softHyphen/>
        <w:t>ния, но лишь два смогли укомплектовать полностью и отправить на фронт в августе и сентябре. В ноябре 1914 г. Государь утвер</w:t>
      </w:r>
      <w:r w:rsidR="00B67D7C" w:rsidRPr="00DE096C">
        <w:rPr>
          <w:bCs/>
          <w:color w:val="002060"/>
          <w:sz w:val="16"/>
          <w:szCs w:val="16"/>
        </w:rPr>
        <w:softHyphen/>
        <w:t>дил Положение о формировании ещё 16 мотоциклетных отделе</w:t>
      </w:r>
      <w:r w:rsidR="00B67D7C" w:rsidRPr="00DE096C">
        <w:rPr>
          <w:bCs/>
          <w:color w:val="002060"/>
          <w:sz w:val="16"/>
          <w:szCs w:val="16"/>
        </w:rPr>
        <w:softHyphen/>
        <w:t>ний (номера с 5 по 20), причём, в каждом из них по табельному расписанию числилось 41 мотоцикл, один легковой автомобиль для командира и два грузовика (для транспортировки топлива и передвижная мастерская). Мотоциклетные отделения сформиро</w:t>
      </w:r>
      <w:r w:rsidR="00B67D7C" w:rsidRPr="00DE096C">
        <w:rPr>
          <w:bCs/>
          <w:color w:val="002060"/>
          <w:sz w:val="16"/>
          <w:szCs w:val="16"/>
        </w:rPr>
        <w:softHyphen/>
        <w:t>вала, обучила и укомплектовала Военная автомобильная школа (ВАШ), созданная на базе Учебной автомобильной роты, и рас</w:t>
      </w:r>
      <w:r w:rsidR="00B67D7C" w:rsidRPr="00DE096C">
        <w:rPr>
          <w:bCs/>
          <w:color w:val="002060"/>
          <w:sz w:val="16"/>
          <w:szCs w:val="16"/>
        </w:rPr>
        <w:softHyphen/>
        <w:t>квартированная в Петрограде. В апреле эти воинские части от</w:t>
      </w:r>
      <w:r w:rsidR="00B67D7C" w:rsidRPr="00DE096C">
        <w:rPr>
          <w:bCs/>
          <w:color w:val="002060"/>
          <w:sz w:val="16"/>
          <w:szCs w:val="16"/>
        </w:rPr>
        <w:softHyphen/>
        <w:t>правили на фронт, а в мае Главное управление Генерального штаба (ГУГШ) решило сформировать еще 25 мотоциклетных от</w:t>
      </w:r>
      <w:r w:rsidR="00B67D7C" w:rsidRPr="00DE096C">
        <w:rPr>
          <w:bCs/>
          <w:color w:val="002060"/>
          <w:sz w:val="16"/>
          <w:szCs w:val="16"/>
        </w:rPr>
        <w:softHyphen/>
        <w:t>делений (номера с 21 по 45). Мотоциклами снабжали и другие во</w:t>
      </w:r>
      <w:r w:rsidR="00B67D7C" w:rsidRPr="00DE096C">
        <w:rPr>
          <w:bCs/>
          <w:color w:val="002060"/>
          <w:sz w:val="16"/>
          <w:szCs w:val="16"/>
        </w:rPr>
        <w:softHyphen/>
        <w:t>инские подразделения. Например, автомобильным частям - по пять единиц каждой. Весной 1915 г. Верховный Главнокоманду</w:t>
      </w:r>
      <w:r w:rsidR="00B67D7C" w:rsidRPr="00DE096C">
        <w:rPr>
          <w:bCs/>
          <w:color w:val="002060"/>
          <w:sz w:val="16"/>
          <w:szCs w:val="16"/>
        </w:rPr>
        <w:softHyphen/>
        <w:t>ющий утвердил формирование армейских мотоциклетных ко</w:t>
      </w:r>
      <w:r w:rsidR="00B67D7C" w:rsidRPr="00DE096C">
        <w:rPr>
          <w:bCs/>
          <w:color w:val="002060"/>
          <w:sz w:val="16"/>
          <w:szCs w:val="16"/>
        </w:rPr>
        <w:softHyphen/>
        <w:t>манд по 60 мотоциклистов и 64 мотоцикла. Тогда же утвердили табель снабжения мотоциклами штабов. И если к Генштабу при</w:t>
      </w:r>
      <w:r w:rsidR="00B67D7C" w:rsidRPr="00DE096C">
        <w:rPr>
          <w:bCs/>
          <w:color w:val="002060"/>
          <w:sz w:val="16"/>
          <w:szCs w:val="16"/>
        </w:rPr>
        <w:softHyphen/>
        <w:t>писали 10 мотоциклов, то штабу пехотного или стрелкового пол</w:t>
      </w:r>
      <w:r w:rsidR="00B67D7C" w:rsidRPr="00DE096C">
        <w:rPr>
          <w:bCs/>
          <w:color w:val="002060"/>
          <w:sz w:val="16"/>
          <w:szCs w:val="16"/>
        </w:rPr>
        <w:softHyphen/>
        <w:t>ка - всего два. Мотоциклами оснастили все 10 русских крепостей: Ковно, Гродно, Иван-город, Перемышль - по 10, Осовец, Крон</w:t>
      </w:r>
      <w:r w:rsidR="00B67D7C" w:rsidRPr="00DE096C">
        <w:rPr>
          <w:bCs/>
          <w:color w:val="002060"/>
          <w:sz w:val="16"/>
          <w:szCs w:val="16"/>
        </w:rPr>
        <w:softHyphen/>
        <w:t>штадт, Севастополь, Каре - по 8, Выборг и Свеаборг - по 4. ГВТУ усиленно хлопотало об оснащении мотоциклами всех во</w:t>
      </w:r>
      <w:r w:rsidR="00B67D7C" w:rsidRPr="00DE096C">
        <w:rPr>
          <w:bCs/>
          <w:color w:val="002060"/>
          <w:sz w:val="16"/>
          <w:szCs w:val="16"/>
        </w:rPr>
        <w:softHyphen/>
        <w:t>инских подразделений, в особенности новых мотоциклетных от</w:t>
      </w:r>
      <w:r w:rsidR="00B67D7C" w:rsidRPr="00DE096C">
        <w:rPr>
          <w:bCs/>
          <w:color w:val="002060"/>
          <w:sz w:val="16"/>
          <w:szCs w:val="16"/>
        </w:rPr>
        <w:softHyphen/>
        <w:t>делений [2.28].</w:t>
      </w:r>
    </w:p>
    <w:p w14:paraId="6BD8EA7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Приобретение мотоциклов для Русской Армии началось в ав</w:t>
      </w:r>
      <w:r w:rsidRPr="00DE096C">
        <w:rPr>
          <w:bCs/>
          <w:color w:val="002060"/>
          <w:sz w:val="16"/>
          <w:szCs w:val="16"/>
        </w:rPr>
        <w:softHyphen/>
        <w:t>густе 1914 г. Председатель особой комиссии и начальник ВАШ, полковник П.И. Секретов, дал оценку объёма первой партии мо</w:t>
      </w:r>
      <w:r w:rsidRPr="00DE096C">
        <w:rPr>
          <w:bCs/>
          <w:color w:val="002060"/>
          <w:sz w:val="16"/>
          <w:szCs w:val="16"/>
        </w:rPr>
        <w:softHyphen/>
        <w:t>тоциклов: следовало срочно приобрести 3 тыс. мотоциклов и 455 боковых колясок к ним. ГВТУ составило смету на приобретение этой техники [2.29]. 30 августа 1914 г. Военный Совет разрешил её приобретение. На том же заседании решили развернуть 12 ма</w:t>
      </w:r>
      <w:r w:rsidRPr="00DE096C">
        <w:rPr>
          <w:bCs/>
          <w:color w:val="002060"/>
          <w:sz w:val="16"/>
          <w:szCs w:val="16"/>
        </w:rPr>
        <w:softHyphen/>
        <w:t>стерских для ремонта мотоциклов [2.30].</w:t>
      </w:r>
    </w:p>
    <w:p w14:paraId="7BA88B7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Заказ на первую партию - 3 тыс. мотоциклов - разделили по</w:t>
      </w:r>
      <w:r w:rsidRPr="00DE096C">
        <w:rPr>
          <w:bCs/>
          <w:color w:val="002060"/>
          <w:sz w:val="16"/>
          <w:szCs w:val="16"/>
        </w:rPr>
        <w:softHyphen/>
        <w:t>ровну между США и Великобританией и поручили шести фирмам, из них четырем английским [2.31]. В дальнейшем приобретение мотоциклов значительно расширили. О желании участвовать в этой деятельности заявили многие фирмы, посредники и частные лица, но первым выразил готовность представитель американ</w:t>
      </w:r>
      <w:r w:rsidRPr="00DE096C">
        <w:rPr>
          <w:bCs/>
          <w:color w:val="002060"/>
          <w:sz w:val="16"/>
          <w:szCs w:val="16"/>
        </w:rPr>
        <w:softHyphen/>
        <w:t>ской фирмы «Харлей-Дэвидсон», причём, на вполне приемлемых условиях: 100 шт. - немедленно, а через две недели - по 100 шт. еженедельно [2.32]. К тому времени выяснилось, что наиболее подходящим для русского театра военных действий оказался са</w:t>
      </w:r>
      <w:r w:rsidRPr="00DE096C">
        <w:rPr>
          <w:bCs/>
          <w:color w:val="002060"/>
          <w:sz w:val="16"/>
          <w:szCs w:val="16"/>
        </w:rPr>
        <w:softHyphen/>
        <w:t>мый мощный из серийно выпускавшихся в тот период мотоцик</w:t>
      </w:r>
      <w:r w:rsidRPr="00DE096C">
        <w:rPr>
          <w:bCs/>
          <w:color w:val="002060"/>
          <w:sz w:val="16"/>
          <w:szCs w:val="16"/>
        </w:rPr>
        <w:softHyphen/>
        <w:t>лов - фирмы «Индиан». То были машины заводских марок С-1, С-2, С-3, причём, каждая - с У-образным двухцилиндровым дви</w:t>
      </w:r>
      <w:r w:rsidRPr="00DE096C">
        <w:rPr>
          <w:bCs/>
          <w:color w:val="002060"/>
          <w:sz w:val="16"/>
          <w:szCs w:val="16"/>
        </w:rPr>
        <w:softHyphen/>
        <w:t>гателем мощностью 7 л.с. [2.31]. Этого следовало ожидать, ведь именно такие машины оказались лучшими в первом испытатель</w:t>
      </w:r>
      <w:r w:rsidRPr="00DE096C">
        <w:rPr>
          <w:bCs/>
          <w:color w:val="002060"/>
          <w:sz w:val="16"/>
          <w:szCs w:val="16"/>
        </w:rPr>
        <w:softHyphen/>
        <w:t>ном мотопробеге, организованном ГВТУ в 1914 г. [2.23, 2.24].</w:t>
      </w:r>
    </w:p>
    <w:p w14:paraId="0BFBF86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Технический комитет Военного ведомства сформулировал технические требования (ТТ), предъявляемые к импортным мо</w:t>
      </w:r>
      <w:r w:rsidRPr="00DE096C">
        <w:rPr>
          <w:bCs/>
          <w:color w:val="002060"/>
          <w:sz w:val="16"/>
          <w:szCs w:val="16"/>
        </w:rPr>
        <w:softHyphen/>
        <w:t>тоциклам и запретил установку на коляску мотоцикла пулемёта и стрельбу из него во время движения. На мотоциклах разрешалась только раздельная транспортировка пулемётов либо до 5 тыс. пу</w:t>
      </w:r>
      <w:r w:rsidRPr="00DE096C">
        <w:rPr>
          <w:bCs/>
          <w:color w:val="002060"/>
          <w:sz w:val="16"/>
          <w:szCs w:val="16"/>
        </w:rPr>
        <w:softHyphen/>
        <w:t>лемётных патронов [2.33]. Этот запрет задерживал прогресс веде</w:t>
      </w:r>
      <w:r w:rsidRPr="00DE096C">
        <w:rPr>
          <w:bCs/>
          <w:color w:val="002060"/>
          <w:sz w:val="16"/>
          <w:szCs w:val="16"/>
        </w:rPr>
        <w:softHyphen/>
        <w:t>ния боя в русской армии и нередко нарушался, чему способство</w:t>
      </w:r>
      <w:r w:rsidRPr="00DE096C">
        <w:rPr>
          <w:bCs/>
          <w:color w:val="002060"/>
          <w:sz w:val="16"/>
          <w:szCs w:val="16"/>
        </w:rPr>
        <w:softHyphen/>
        <w:t>вали примеры как противника, так и союзников. Германские под</w:t>
      </w:r>
      <w:r w:rsidRPr="00DE096C">
        <w:rPr>
          <w:bCs/>
          <w:color w:val="002060"/>
          <w:sz w:val="16"/>
          <w:szCs w:val="16"/>
        </w:rPr>
        <w:softHyphen/>
        <w:t>разделения нередко наступали при огневой поддержке мотоцик</w:t>
      </w:r>
      <w:r w:rsidRPr="00DE096C">
        <w:rPr>
          <w:bCs/>
          <w:color w:val="002060"/>
          <w:sz w:val="16"/>
          <w:szCs w:val="16"/>
        </w:rPr>
        <w:softHyphen/>
        <w:t>лов «N511 8 Р5» с боковым прицепом, оснащённым станковым пу</w:t>
      </w:r>
      <w:r w:rsidRPr="00DE096C">
        <w:rPr>
          <w:bCs/>
          <w:color w:val="002060"/>
          <w:sz w:val="16"/>
          <w:szCs w:val="16"/>
        </w:rPr>
        <w:softHyphen/>
        <w:t>лемётом, а союзные - с французскими мотоциклами «С1етеп1 М11е1агу» и английскими - «С1упо МПеШгу», с установленными в коляске пулемётами типа «Максим», приспособленными для стрельбы на ходу и защитными бронелистами [2.5]. Сведений об использовании подобных мотоциклов в русской армии не об</w:t>
      </w:r>
      <w:r w:rsidRPr="00DE096C">
        <w:rPr>
          <w:bCs/>
          <w:color w:val="002060"/>
          <w:sz w:val="16"/>
          <w:szCs w:val="16"/>
        </w:rPr>
        <w:softHyphen/>
        <w:t>наружено (11429).</w:t>
      </w:r>
    </w:p>
    <w:p w14:paraId="5C745D1B" w14:textId="77777777" w:rsidR="00B67D7C" w:rsidRPr="00DE096C" w:rsidRDefault="00B67D7C" w:rsidP="00D45A46">
      <w:pPr>
        <w:shd w:val="clear" w:color="auto" w:fill="FFFFFF"/>
        <w:jc w:val="both"/>
        <w:rPr>
          <w:bCs/>
          <w:color w:val="002060"/>
          <w:sz w:val="16"/>
          <w:szCs w:val="16"/>
        </w:rPr>
      </w:pPr>
    </w:p>
    <w:p w14:paraId="567EADC8" w14:textId="77777777" w:rsidR="00917FE7" w:rsidRPr="00DE096C" w:rsidRDefault="00917FE7" w:rsidP="00D45A46">
      <w:pPr>
        <w:jc w:val="both"/>
        <w:rPr>
          <w:bCs/>
          <w:color w:val="002060"/>
          <w:sz w:val="16"/>
          <w:szCs w:val="16"/>
        </w:rPr>
      </w:pPr>
      <w:r w:rsidRPr="00DE096C">
        <w:rPr>
          <w:bCs/>
          <w:color w:val="002060"/>
          <w:sz w:val="16"/>
          <w:szCs w:val="16"/>
        </w:rPr>
        <w:t xml:space="preserve">В августе 1914 война с первых же дней вызвала громадное увеличение расходов. Численность российской армии возросла с 1,36 млн. человек (контингент мирного времени) до 6,6 млн. человек на 1 января 1915 года, 8 млн. — на 1 января 1916 года и 10,8 млн. на 1 января 1917 года. Одно лишь проведение мобилизации и затраты на первичную переброску армий потребовали значительных средств. В дальнейшем военные расходы нарастали из месяца в месяц. Они увеличились с 826 млн. руб. </w:t>
      </w:r>
      <w:r w:rsidRPr="00DE096C">
        <w:rPr>
          <w:bCs/>
          <w:color w:val="002060"/>
          <w:sz w:val="16"/>
          <w:szCs w:val="16"/>
        </w:rPr>
        <w:lastRenderedPageBreak/>
        <w:t>в 1913 году до 2,2 млрд. руб. в 1914-м; в 1915 году они составили 8,8 млрд., в 1916-м уже 14,5 млрд. руб., а в первой половине 1917 года превысили 10 млрд. руб. (Дьяченко В.П. Советские финансы в первой фазе развития социалистического государства. Ч. 1. - 1917—1925. М.: Госфиниздат, 1947. С. 29.).</w:t>
      </w:r>
    </w:p>
    <w:p w14:paraId="54DDAB1F" w14:textId="77777777" w:rsidR="00917FE7" w:rsidRPr="00DE096C" w:rsidRDefault="00917FE7" w:rsidP="00D45A46">
      <w:pPr>
        <w:jc w:val="both"/>
        <w:rPr>
          <w:bCs/>
          <w:color w:val="002060"/>
          <w:sz w:val="16"/>
          <w:szCs w:val="16"/>
        </w:rPr>
      </w:pPr>
      <w:r w:rsidRPr="00DE096C">
        <w:rPr>
          <w:bCs/>
          <w:color w:val="002060"/>
          <w:sz w:val="16"/>
          <w:szCs w:val="16"/>
        </w:rPr>
        <w:t xml:space="preserve">Между тем налоговая база существенно сократилась. </w:t>
      </w:r>
    </w:p>
    <w:p w14:paraId="56FA9974" w14:textId="77777777" w:rsidR="00917FE7" w:rsidRPr="00DE096C" w:rsidRDefault="00917FE7" w:rsidP="00D45A46">
      <w:pPr>
        <w:jc w:val="both"/>
        <w:rPr>
          <w:bCs/>
          <w:color w:val="002060"/>
          <w:sz w:val="16"/>
          <w:szCs w:val="16"/>
        </w:rPr>
      </w:pPr>
      <w:r w:rsidRPr="00DE096C">
        <w:rPr>
          <w:bCs/>
          <w:color w:val="002060"/>
          <w:sz w:val="16"/>
          <w:szCs w:val="16"/>
        </w:rPr>
        <w:t>В июле 1914 года вместе с объявлением войны императорским указом была запрещена продажа водки. Сначала эта мера рассматривалась как временная на период мобилизации, однако по массовым ходатайствам с мест запрет был сохранен на все время войны. Образовавшуюся огромную брешь в бюджете попытались закрыть увеличением налогов. Уже осенью 1914 года выросли почти все налоги и почтово-телеграфные тарифы. В дополнение к существующим были установлены новые налоги: за право пользования телефоном, на перевозимые по железным дорогам грузы, налог со зрелищ, дополнительный акциз на чай и другие косвенные налоги. Долго не удавалось решить проблему налогообложения богатых.</w:t>
      </w:r>
    </w:p>
    <w:p w14:paraId="66DDE522" w14:textId="77777777" w:rsidR="00917FE7" w:rsidRPr="00DE096C" w:rsidRDefault="00917FE7" w:rsidP="00D45A46">
      <w:pPr>
        <w:jc w:val="both"/>
        <w:rPr>
          <w:bCs/>
          <w:color w:val="002060"/>
          <w:sz w:val="16"/>
          <w:szCs w:val="16"/>
        </w:rPr>
      </w:pPr>
    </w:p>
    <w:p w14:paraId="7724B3AA" w14:textId="77777777" w:rsidR="00B67D7C" w:rsidRPr="00DE096C" w:rsidRDefault="00B67D7C" w:rsidP="00D45A46">
      <w:pPr>
        <w:jc w:val="both"/>
        <w:rPr>
          <w:bCs/>
          <w:i/>
          <w:color w:val="002060"/>
          <w:sz w:val="16"/>
          <w:szCs w:val="16"/>
        </w:rPr>
      </w:pPr>
      <w:r w:rsidRPr="00DE096C">
        <w:rPr>
          <w:bCs/>
          <w:i/>
          <w:color w:val="002060"/>
          <w:sz w:val="16"/>
          <w:szCs w:val="16"/>
        </w:rPr>
        <w:t>Жизнь и внутреняя политика:</w:t>
      </w:r>
    </w:p>
    <w:p w14:paraId="0291CD30" w14:textId="77777777" w:rsidR="00207D1C" w:rsidRPr="00DE096C" w:rsidRDefault="00207D1C" w:rsidP="00D45A46">
      <w:pPr>
        <w:pStyle w:val="a3"/>
        <w:jc w:val="both"/>
        <w:rPr>
          <w:bCs/>
          <w:i w:val="0"/>
          <w:color w:val="002060"/>
          <w:spacing w:val="0"/>
          <w:kern w:val="0"/>
          <w:position w:val="0"/>
          <w:sz w:val="16"/>
          <w:szCs w:val="16"/>
        </w:rPr>
      </w:pPr>
    </w:p>
    <w:p w14:paraId="5ED9F1F5" w14:textId="007F3BAF" w:rsidR="00B67D7C" w:rsidRPr="00DE096C" w:rsidRDefault="00207D1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 августе 1914 г. </w:t>
      </w:r>
      <w:r w:rsidR="00B67D7C" w:rsidRPr="00DE096C">
        <w:rPr>
          <w:bCs/>
          <w:i w:val="0"/>
          <w:color w:val="002060"/>
          <w:spacing w:val="0"/>
          <w:kern w:val="0"/>
          <w:position w:val="0"/>
          <w:sz w:val="16"/>
          <w:szCs w:val="16"/>
        </w:rPr>
        <w:t>Лениным были разработаны основные идеи о войне, положенные в основу Манифеста ЦК РСДРП(б) «Война и Российская социал-демократия». В нем были сформулированы следующие важнейшие положения: начавшаяся война — война империалистическая, грабительская, направленная на захват чужих земель и покорение чужих наций. Необходимо разоблачать буржуазную ложь «о патриотизме», об «освободительном характере данной войны». Поведение вождей социалистических партий главнейших европейских стран, голосование за военные кредиты, вхождение в буржуазные правительства, политика «гражданского мира» и т.п. являются изменой социализму, рабочему классу. II Интернационал перестал существовать, оппортунизм перерос в социал-шовинизм. Для того чтобы добиться революционного выхода из империалистической войны, манифест выдвинул тактические лозунги партии большевиков:</w:t>
      </w:r>
    </w:p>
    <w:p w14:paraId="6A24324C"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1) Превращение империалистической войны в войну гражданскую, что означало: отказ от гражданского мира; отказ голосовать за военные кредиты; выход социалистов из реакционных буржуазных правительств; создание нелегальных организаций на предприятиях, в воинских частях.</w:t>
      </w:r>
    </w:p>
    <w:p w14:paraId="09AA75D7"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2) Поражение своего правительства. Этот лозунг должны были проводить социалисты всех стран в борьбе против общего врага — буржуазии.</w:t>
      </w:r>
    </w:p>
    <w:p w14:paraId="6B775F9E"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3) Создание нового, свободного от оппортунизма III Интернационала.</w:t>
      </w:r>
    </w:p>
    <w:p w14:paraId="5D9C182C"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С осени 1914 г. в ленинской антивоенной платформе появился лозунг о создании Соединенных Штатов Европы (СШЕ), образованию которых должно предшествовать революционное свержение монархии в России, Германии и Австро-Венгрии. </w:t>
      </w:r>
    </w:p>
    <w:p w14:paraId="48583FDA"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Важным этапом консолидации левых сил социалистических партий воюющих стран вокруг РСДРП(б) стала международная социалистическая конференция (5—8 сентября 1915 г.) в Циммервальде (Швейцария) и создание на ней так называемой </w:t>
      </w:r>
      <w:r w:rsidRPr="00DE096C">
        <w:rPr>
          <w:bCs/>
          <w:color w:val="002060"/>
          <w:spacing w:val="0"/>
          <w:kern w:val="0"/>
          <w:position w:val="0"/>
          <w:sz w:val="16"/>
          <w:szCs w:val="16"/>
        </w:rPr>
        <w:t>Циммервальдской левой</w:t>
      </w:r>
      <w:r w:rsidRPr="00DE096C">
        <w:rPr>
          <w:bCs/>
          <w:i w:val="0"/>
          <w:color w:val="002060"/>
          <w:spacing w:val="0"/>
          <w:kern w:val="0"/>
          <w:position w:val="0"/>
          <w:sz w:val="16"/>
          <w:szCs w:val="16"/>
        </w:rPr>
        <w:t>, а также проведение второй социалистической конференции (апрель 1916 г.) в Кинтале (Швейцария). Конференция в Кинтале продолжила работу Циммервальдской левой по дальнейшему размежеванию с оппортунистами и центристами, сплочению левых интернационалистических элементов.</w:t>
      </w:r>
    </w:p>
    <w:p w14:paraId="7C966F4D"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Политика РСДРП(б), проводимая в тылу и на фронте, усугубила размежевание масс, породила сомнения в конечном успехе в войне. Главным настроением на фронте и в тылу становится стремление к миру — к окончанию чуждой народу, длительной и кровопролитной войны. Это стремление у солдат проявилось в различных формах. Широкий размах приобрели братание, а также дезертирство. Всюду в воинских частях, в офицерских собраниях в присутствии командиров, в штабах и т.д. — говорилось о негодности правительства. В тылу формой недовольства правительством стал рост забастовочного движения.</w:t>
      </w:r>
    </w:p>
    <w:p w14:paraId="3238C666"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Свою лепту в раскол общества внес буржуазный лагерь, представленный несколькими партиями и группами. Деятельность буржуазных общественных организаций, подобных Центральному военно-промышленному комитету (ЦВПК) и Всероссийскому земскому и городскому союзам (Земгору), по консолидации власти в руках буржуазии привела к росту оппозиционных настроений в обществе. Раскол усугубило создание в августе 1915 г. буржуазно-помещичьей фракции в Государственной думе — Прогрессивного блока, разработавшего программу, основой которой стало допущение буржуазии к власти и осуществление таких задач, как предотвращение революции, доведение войны до победного конца при сохранении монархии. В качестве средства к достижению этих целей Прогрессивный блок требовал от царя создания «объединенного правительства» из лиц, пользующихся доверием страны, т.е. такого министерства, которому доверяла бы буржуазия. Осенью 1916 г. эти требования буржуазии конкретизировались в лозунге создания «ответственного министерства», которое было бы подконтрольно в своей деятельности Думе. Однако царь отверг эти требования, а затем поставил вопрос о роспуске самой Думы до конца войны (11270).</w:t>
      </w:r>
    </w:p>
    <w:p w14:paraId="47200069" w14:textId="77777777" w:rsidR="00B67D7C" w:rsidRPr="00DE096C" w:rsidRDefault="00B67D7C" w:rsidP="00D45A46">
      <w:pPr>
        <w:jc w:val="both"/>
        <w:rPr>
          <w:bCs/>
          <w:color w:val="002060"/>
          <w:sz w:val="16"/>
          <w:szCs w:val="16"/>
        </w:rPr>
      </w:pPr>
    </w:p>
    <w:p w14:paraId="5C7D4A61" w14:textId="77777777" w:rsidR="00917FE7" w:rsidRPr="00DE096C" w:rsidRDefault="00917FE7"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 августе 1914 г. с объявлением мобилизации и на все время войны царская Россия как бы разделялась на две обособленные, само-стоятельно управляемые части: театр военных действий с действующей армией, временно управляемый верховным глав-нокомандующим, и внутренние области империи со всеми учреждениями и организациями, не подчиненными верховно-му главнокомандующему, управляемые правительственными учреждениями на основании постоянно действующих зако-нов мир-ного времени. </w:t>
      </w:r>
    </w:p>
    <w:p w14:paraId="4D9B5B2E" w14:textId="24BAEDE2" w:rsidR="00917FE7" w:rsidRPr="00DE096C" w:rsidRDefault="00917FE7"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Вне театра военных действий главным органом боевого снабжения во время войны являлось ГАУ, на обязанности которого лежало полное обеспечение потребностей государства предметами вооружения и огнеприпасами. </w:t>
      </w:r>
    </w:p>
    <w:p w14:paraId="5C05DBC9" w14:textId="77777777" w:rsidR="00917FE7" w:rsidRPr="00DE096C" w:rsidRDefault="00917FE7"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ГАУ, как исполнительный орган военного министерства по боевому снабжению, руководствуясь едиными для него законами как на мирное, так и военное время, считало себя обязанным содержать запасы артиллерийского снабжения по установленным нормам, а в случае войны быть готовым их восстанавливать в годичный срок. </w:t>
      </w:r>
    </w:p>
    <w:p w14:paraId="67CD9352" w14:textId="77777777" w:rsidR="00917FE7" w:rsidRPr="00DE096C" w:rsidRDefault="00917FE7"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С открытием военных действий в 1914 г. вся работа ГАУ сосредоточилась на скорейшем обеспечении армии главнейшими предметами боевого снабжения, положенными как на ее вооружение, так и на содержание в запасах военного времени. Казенные артиллерийские заводы работали при полном напряжении и получили указание к дальнейшему усилению производительности, поскольку форсированная работа могла быть допущена существовавшим оборудованием (11483). </w:t>
      </w:r>
    </w:p>
    <w:p w14:paraId="5499A0CE" w14:textId="77777777" w:rsidR="00917FE7" w:rsidRPr="00DE096C" w:rsidRDefault="00917FE7" w:rsidP="00D45A46">
      <w:pPr>
        <w:pStyle w:val="a3"/>
        <w:jc w:val="both"/>
        <w:rPr>
          <w:bCs/>
          <w:i w:val="0"/>
          <w:color w:val="002060"/>
          <w:spacing w:val="0"/>
          <w:kern w:val="0"/>
          <w:position w:val="0"/>
          <w:sz w:val="16"/>
          <w:szCs w:val="16"/>
        </w:rPr>
      </w:pPr>
    </w:p>
    <w:p w14:paraId="16CCB361" w14:textId="59B253FC" w:rsidR="00973711" w:rsidRPr="00DE096C" w:rsidRDefault="00973711" w:rsidP="00973711">
      <w:pPr>
        <w:jc w:val="both"/>
        <w:rPr>
          <w:bCs/>
          <w:i/>
          <w:color w:val="002060"/>
          <w:sz w:val="16"/>
          <w:szCs w:val="16"/>
        </w:rPr>
      </w:pPr>
      <w:r>
        <w:rPr>
          <w:bCs/>
          <w:i/>
          <w:color w:val="002060"/>
          <w:sz w:val="16"/>
          <w:szCs w:val="16"/>
        </w:rPr>
        <w:t>Внешняя политика</w:t>
      </w:r>
      <w:r w:rsidRPr="00DE096C">
        <w:rPr>
          <w:bCs/>
          <w:i/>
          <w:color w:val="002060"/>
          <w:sz w:val="16"/>
          <w:szCs w:val="16"/>
        </w:rPr>
        <w:t>:</w:t>
      </w:r>
    </w:p>
    <w:p w14:paraId="460A3E3F" w14:textId="77777777" w:rsidR="00973711" w:rsidRPr="00DE096C" w:rsidRDefault="00973711" w:rsidP="00973711">
      <w:pPr>
        <w:jc w:val="both"/>
        <w:rPr>
          <w:bCs/>
          <w:i/>
          <w:color w:val="002060"/>
          <w:sz w:val="16"/>
          <w:szCs w:val="16"/>
        </w:rPr>
      </w:pPr>
    </w:p>
    <w:p w14:paraId="193615B3" w14:textId="77777777" w:rsidR="00973711" w:rsidRPr="00B52707" w:rsidRDefault="00973711" w:rsidP="00973711">
      <w:pPr>
        <w:jc w:val="both"/>
        <w:rPr>
          <w:color w:val="0070C0"/>
          <w:sz w:val="16"/>
          <w:szCs w:val="16"/>
        </w:rPr>
      </w:pPr>
      <w:r w:rsidRPr="00B52707">
        <w:rPr>
          <w:color w:val="0070C0"/>
          <w:sz w:val="16"/>
          <w:szCs w:val="16"/>
        </w:rPr>
        <w:t>В августе 1914 года министр иностранных дел Великобритании Э. Грей предложил рус</w:t>
      </w:r>
      <w:r w:rsidRPr="00B52707">
        <w:rPr>
          <w:color w:val="0070C0"/>
          <w:sz w:val="16"/>
          <w:szCs w:val="16"/>
        </w:rPr>
        <w:softHyphen/>
        <w:t>скому послу в Лондоне А. К. Бенкендорфу создать смешанную англо-русскую комис</w:t>
      </w:r>
      <w:r w:rsidRPr="00B52707">
        <w:rPr>
          <w:color w:val="0070C0"/>
          <w:sz w:val="16"/>
          <w:szCs w:val="16"/>
        </w:rPr>
        <w:softHyphen/>
        <w:t>сию, которая бы занималась урегулирова</w:t>
      </w:r>
      <w:r w:rsidRPr="00B52707">
        <w:rPr>
          <w:color w:val="0070C0"/>
          <w:sz w:val="16"/>
          <w:szCs w:val="16"/>
        </w:rPr>
        <w:softHyphen/>
        <w:t>нием закупок в Англии вооружения и воен</w:t>
      </w:r>
      <w:r w:rsidRPr="00B52707">
        <w:rPr>
          <w:color w:val="0070C0"/>
          <w:sz w:val="16"/>
          <w:szCs w:val="16"/>
        </w:rPr>
        <w:softHyphen/>
        <w:t>ного имущества. Предложение Грея нашло поддержку в России, и вскоре была соз</w:t>
      </w:r>
      <w:r w:rsidRPr="00B52707">
        <w:rPr>
          <w:color w:val="0070C0"/>
          <w:sz w:val="16"/>
          <w:szCs w:val="16"/>
        </w:rPr>
        <w:softHyphen/>
        <w:t>дана Англо-русская комиссия по снабже</w:t>
      </w:r>
      <w:r w:rsidRPr="00B52707">
        <w:rPr>
          <w:color w:val="0070C0"/>
          <w:sz w:val="16"/>
          <w:szCs w:val="16"/>
        </w:rPr>
        <w:softHyphen/>
        <w:t>нию, которую возглавил представитель ми</w:t>
      </w:r>
      <w:r w:rsidRPr="00B52707">
        <w:rPr>
          <w:color w:val="0070C0"/>
          <w:sz w:val="16"/>
          <w:szCs w:val="16"/>
        </w:rPr>
        <w:softHyphen/>
        <w:t>нистерства по торговле и промышленности в Лондоне М.В. Рутковский. Также в состав комиссии вошли русские военный и военно</w:t>
      </w:r>
      <w:r w:rsidRPr="00B52707">
        <w:rPr>
          <w:color w:val="0070C0"/>
          <w:sz w:val="16"/>
          <w:szCs w:val="16"/>
        </w:rPr>
        <w:softHyphen/>
        <w:t>морской агенты (так тогда называли воен</w:t>
      </w:r>
      <w:r w:rsidRPr="00B52707">
        <w:rPr>
          <w:color w:val="0070C0"/>
          <w:sz w:val="16"/>
          <w:szCs w:val="16"/>
        </w:rPr>
        <w:softHyphen/>
        <w:t>ных атташе) и ряд других специалистов. Чуть позже комиссию переименовали в комитет, и включили в его состав генералов Э.К. Гермониуса и Г.И. Тимченко-Рубана. Англичан в составе комитета не было. Он являлся го</w:t>
      </w:r>
      <w:r w:rsidRPr="00B52707">
        <w:rPr>
          <w:color w:val="0070C0"/>
          <w:sz w:val="16"/>
          <w:szCs w:val="16"/>
        </w:rPr>
        <w:softHyphen/>
        <w:t>сударственной организацией, и координи</w:t>
      </w:r>
      <w:r w:rsidRPr="00B52707">
        <w:rPr>
          <w:color w:val="0070C0"/>
          <w:sz w:val="16"/>
          <w:szCs w:val="16"/>
        </w:rPr>
        <w:softHyphen/>
        <w:t>ровал правительственные организации Рос</w:t>
      </w:r>
      <w:r w:rsidRPr="00B52707">
        <w:rPr>
          <w:color w:val="0070C0"/>
          <w:sz w:val="16"/>
          <w:szCs w:val="16"/>
        </w:rPr>
        <w:softHyphen/>
        <w:t>сии в деле размещения и контроля за выпол</w:t>
      </w:r>
      <w:r w:rsidRPr="00B52707">
        <w:rPr>
          <w:color w:val="0070C0"/>
          <w:sz w:val="16"/>
          <w:szCs w:val="16"/>
        </w:rPr>
        <w:softHyphen/>
        <w:t>нением военных заказов за границей (25008).</w:t>
      </w:r>
    </w:p>
    <w:p w14:paraId="4AEB3956" w14:textId="77777777" w:rsidR="00973711" w:rsidRPr="00B52707" w:rsidRDefault="00973711" w:rsidP="00973711">
      <w:pPr>
        <w:jc w:val="both"/>
        <w:rPr>
          <w:color w:val="0070C0"/>
          <w:sz w:val="16"/>
          <w:szCs w:val="16"/>
        </w:rPr>
      </w:pPr>
    </w:p>
    <w:p w14:paraId="31BC8F51" w14:textId="77777777" w:rsidR="00B67D7C" w:rsidRPr="00DE096C" w:rsidRDefault="00B67D7C" w:rsidP="00D45A46">
      <w:pPr>
        <w:jc w:val="both"/>
        <w:rPr>
          <w:bCs/>
          <w:i/>
          <w:color w:val="002060"/>
          <w:sz w:val="16"/>
          <w:szCs w:val="16"/>
        </w:rPr>
      </w:pPr>
      <w:r w:rsidRPr="00DE096C">
        <w:rPr>
          <w:bCs/>
          <w:i/>
          <w:color w:val="002060"/>
          <w:sz w:val="16"/>
          <w:szCs w:val="16"/>
        </w:rPr>
        <w:t>Авиация и воздухоплавание Германии:</w:t>
      </w:r>
    </w:p>
    <w:p w14:paraId="29D2E1BB" w14:textId="77777777" w:rsidR="00B67D7C" w:rsidRPr="00DE096C" w:rsidRDefault="00B67D7C" w:rsidP="00D45A46">
      <w:pPr>
        <w:jc w:val="both"/>
        <w:rPr>
          <w:bCs/>
          <w:i/>
          <w:color w:val="002060"/>
          <w:sz w:val="16"/>
          <w:szCs w:val="16"/>
        </w:rPr>
      </w:pPr>
    </w:p>
    <w:p w14:paraId="1A2A8B78" w14:textId="77777777" w:rsidR="00B67D7C" w:rsidRPr="00DE096C" w:rsidRDefault="00B67D7C" w:rsidP="00D45A46">
      <w:pPr>
        <w:jc w:val="both"/>
        <w:rPr>
          <w:bCs/>
          <w:color w:val="002060"/>
          <w:sz w:val="16"/>
          <w:szCs w:val="16"/>
        </w:rPr>
      </w:pPr>
      <w:r w:rsidRPr="00DE096C">
        <w:rPr>
          <w:bCs/>
          <w:color w:val="002060"/>
          <w:sz w:val="16"/>
          <w:szCs w:val="16"/>
        </w:rPr>
        <w:t>В августе 1914 успехам германских летчиков способствовала установившаяся хорошая погода на западном фронте. Так, например, авиаотряд 3-го армейского корпуса присылал ежедневно с 15 августа по 9 сентября 1914 года, за исключением двух дождливых дней, ценные сведения, несмотря на то, что за это время он переменил 18 стоянок (11282).</w:t>
      </w:r>
    </w:p>
    <w:p w14:paraId="6D352779" w14:textId="77777777" w:rsidR="00B67D7C" w:rsidRPr="00DE096C" w:rsidRDefault="00B67D7C" w:rsidP="00D45A46">
      <w:pPr>
        <w:jc w:val="both"/>
        <w:rPr>
          <w:bCs/>
          <w:color w:val="002060"/>
          <w:sz w:val="16"/>
          <w:szCs w:val="16"/>
        </w:rPr>
      </w:pPr>
    </w:p>
    <w:p w14:paraId="2B384598" w14:textId="77777777" w:rsidR="00B67D7C" w:rsidRPr="00DE096C" w:rsidRDefault="00B67D7C" w:rsidP="00D45A46">
      <w:pPr>
        <w:jc w:val="both"/>
        <w:rPr>
          <w:bCs/>
          <w:color w:val="002060"/>
          <w:sz w:val="16"/>
          <w:szCs w:val="16"/>
        </w:rPr>
      </w:pPr>
      <w:r w:rsidRPr="00DE096C">
        <w:rPr>
          <w:bCs/>
          <w:color w:val="002060"/>
          <w:sz w:val="16"/>
          <w:szCs w:val="16"/>
        </w:rPr>
        <w:t>В августе 1914 года Инспекцией авиации было внесено предложение об учреждении при каждом штабе армии должности ответственного за авиацию штаб-офицера не получило одобрения тогдашнего немецкого главного командования. Насколько насущной была потребность в такого рода инстанции, указывает то обстоятельство, что отдельные штабы армий, например 5-й, уже в октябре 1914 года возлагали обязанности ответственного за авиацию штаб-офицера на одного из командиров авиационных отрядов (11282).</w:t>
      </w:r>
    </w:p>
    <w:p w14:paraId="28D29CC8" w14:textId="77777777" w:rsidR="00B67D7C" w:rsidRPr="00DE096C" w:rsidRDefault="00B67D7C" w:rsidP="00D45A46">
      <w:pPr>
        <w:jc w:val="both"/>
        <w:rPr>
          <w:bCs/>
          <w:color w:val="002060"/>
          <w:sz w:val="16"/>
          <w:szCs w:val="16"/>
        </w:rPr>
      </w:pPr>
    </w:p>
    <w:p w14:paraId="32D55FDA" w14:textId="15CFB66C" w:rsidR="00B67D7C" w:rsidRPr="00DE096C" w:rsidRDefault="00207D1C"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августе 1914 года в распоряжение австрийского главного командования был передан Познанский крепостной авиаотряд. К началу 1915 года Австрии было передано 70 самолетов и в дальнейшем должно было передаваться по 10 самолетов в месяц. Таким образом, и в воздухе главная тяжесть войны лежала на нас. Там, где германским летчикам приходилось работать вместе с австрийскими, между ними поддерживались хорошие товарищеские отношения. Те и другие соперничали между собою лишь в успешности полетов. Для прорыва на участке Горлица — Тарное в мае 1915 года каждому германскому корпусу был придан один авиаотряд. Штабу 11-й армии непосредственно была подчинена боевая эскадра, переброшенная в Краков из Восточной Пруссии; она применялась главным образом для разведки и часть ее была выделена в распоряжение 6-го австрийского корпуса. Удалось сделать непрерывную аэрофотосъемку неприятельских позиций, не привлекая внимания русских к пункту прорыва. Донесения летчиков были положены в основу распоряжений об атаке. Удавшийся прорыв повлек за собою передвижение всего восточного фронта. О работе авиации во время последовавших военных действий начальник штаба одного из участвовавших в них корпусов сказал следующее: </w:t>
      </w:r>
      <w:r w:rsidR="00B67D7C" w:rsidRPr="00DE096C">
        <w:rPr>
          <w:rFonts w:eastAsia="Times-Roman"/>
          <w:bCs/>
          <w:color w:val="002060"/>
          <w:sz w:val="16"/>
          <w:szCs w:val="16"/>
        </w:rPr>
        <w:t>«àðìèÿ</w:t>
      </w:r>
      <w:r w:rsidR="00B67D7C" w:rsidRPr="00DE096C">
        <w:rPr>
          <w:bCs/>
          <w:color w:val="002060"/>
          <w:sz w:val="16"/>
          <w:szCs w:val="16"/>
        </w:rPr>
        <w:t xml:space="preserve"> оказывалась совершенно бессильной, как только наталкивалась на сопротивление. В течение этого времени нам помогали почти исключительно летчики, снабжая нас точными разведывательными сведениями, на основании которых мы принимали все решения. Большинство этих отважных людей погибло</w:t>
      </w:r>
      <w:r w:rsidR="00B67D7C" w:rsidRPr="00DE096C">
        <w:rPr>
          <w:rFonts w:eastAsia="Times-Roman"/>
          <w:bCs/>
          <w:color w:val="002060"/>
          <w:sz w:val="16"/>
          <w:szCs w:val="16"/>
        </w:rPr>
        <w:t>ｻ</w:t>
      </w:r>
      <w:r w:rsidR="00B67D7C" w:rsidRPr="00DE096C">
        <w:rPr>
          <w:rFonts w:eastAsia="Times-Roman"/>
          <w:bCs/>
          <w:color w:val="002060"/>
          <w:sz w:val="16"/>
          <w:szCs w:val="16"/>
        </w:rPr>
        <w:t xml:space="preserve"> (11282)</w:t>
      </w:r>
      <w:r w:rsidR="00B67D7C" w:rsidRPr="00DE096C">
        <w:rPr>
          <w:bCs/>
          <w:color w:val="002060"/>
          <w:sz w:val="16"/>
          <w:szCs w:val="16"/>
        </w:rPr>
        <w:t>.</w:t>
      </w:r>
    </w:p>
    <w:p w14:paraId="3ECAF4B4" w14:textId="77777777" w:rsidR="00B67D7C" w:rsidRPr="00DE096C" w:rsidRDefault="00B67D7C" w:rsidP="00D45A46">
      <w:pPr>
        <w:jc w:val="both"/>
        <w:rPr>
          <w:bCs/>
          <w:color w:val="002060"/>
          <w:sz w:val="16"/>
          <w:szCs w:val="16"/>
        </w:rPr>
      </w:pPr>
    </w:p>
    <w:p w14:paraId="240ECE31" w14:textId="77777777" w:rsidR="00207D1C" w:rsidRPr="00DE096C" w:rsidRDefault="00207D1C" w:rsidP="00D45A46">
      <w:pPr>
        <w:shd w:val="clear" w:color="auto" w:fill="FFFFFF"/>
        <w:jc w:val="both"/>
        <w:rPr>
          <w:bCs/>
          <w:color w:val="002060"/>
          <w:sz w:val="16"/>
          <w:szCs w:val="16"/>
        </w:rPr>
      </w:pPr>
      <w:r w:rsidRPr="00DE096C">
        <w:rPr>
          <w:bCs/>
          <w:color w:val="002060"/>
          <w:sz w:val="16"/>
          <w:szCs w:val="16"/>
        </w:rPr>
        <w:lastRenderedPageBreak/>
        <w:t>В августе 1914 г., как писал Зигерт: «При первых боевых полетах нам вручались автоматические пистолеты с удлиненным прикладом. Те</w:t>
      </w:r>
      <w:r w:rsidRPr="00DE096C">
        <w:rPr>
          <w:bCs/>
          <w:color w:val="002060"/>
          <w:sz w:val="16"/>
          <w:szCs w:val="16"/>
        </w:rPr>
        <w:softHyphen/>
        <w:t>перь покажется диким, если сказать, что я лично во время полета над Бельфором имел единствен</w:t>
      </w:r>
      <w:r w:rsidRPr="00DE096C">
        <w:rPr>
          <w:bCs/>
          <w:color w:val="002060"/>
          <w:sz w:val="16"/>
          <w:szCs w:val="16"/>
        </w:rPr>
        <w:softHyphen/>
        <w:t>ным оружием карабин, на ствол которого мною был надет граммофонный рупор, чтобы при встрече с неприятелем застращать его хотя бы этим видом. Позднее стали приме</w:t>
      </w:r>
      <w:r w:rsidRPr="00DE096C">
        <w:rPr>
          <w:bCs/>
          <w:color w:val="002060"/>
          <w:sz w:val="16"/>
          <w:szCs w:val="16"/>
        </w:rPr>
        <w:softHyphen/>
        <w:t>няться датские Мадзен-мускеты и 25-ти зарядные маузеры.</w:t>
      </w:r>
    </w:p>
    <w:p w14:paraId="6708FDF9" w14:textId="77777777" w:rsidR="00207D1C" w:rsidRPr="00DE096C" w:rsidRDefault="00207D1C" w:rsidP="00D45A46">
      <w:pPr>
        <w:shd w:val="clear" w:color="auto" w:fill="FFFFFF"/>
        <w:jc w:val="both"/>
        <w:rPr>
          <w:bCs/>
          <w:color w:val="002060"/>
          <w:sz w:val="16"/>
          <w:szCs w:val="16"/>
        </w:rPr>
      </w:pPr>
      <w:r w:rsidRPr="00DE096C">
        <w:rPr>
          <w:bCs/>
          <w:color w:val="002060"/>
          <w:sz w:val="16"/>
          <w:szCs w:val="16"/>
        </w:rPr>
        <w:t>Однако «маузер» при стрельбе в сторону, противопо</w:t>
      </w:r>
      <w:r w:rsidRPr="00DE096C">
        <w:rPr>
          <w:bCs/>
          <w:color w:val="002060"/>
          <w:sz w:val="16"/>
          <w:szCs w:val="16"/>
        </w:rPr>
        <w:softHyphen/>
        <w:t>ложную движению аэроплана, плохо выбрасывал гильзы из-за ветра сзади, и его часто заклинивало. «Виккерс» при</w:t>
      </w:r>
      <w:r w:rsidRPr="00DE096C">
        <w:rPr>
          <w:bCs/>
          <w:color w:val="002060"/>
          <w:sz w:val="16"/>
          <w:szCs w:val="16"/>
        </w:rPr>
        <w:softHyphen/>
        <w:t>ходилось приспосабливать таким образом, чтобы водяное охлаждение заменить воздушным.</w:t>
      </w:r>
    </w:p>
    <w:p w14:paraId="5F042C6F" w14:textId="77777777" w:rsidR="00207D1C" w:rsidRPr="00DE096C" w:rsidRDefault="00207D1C" w:rsidP="00D45A46">
      <w:pPr>
        <w:shd w:val="clear" w:color="auto" w:fill="FFFFFF"/>
        <w:jc w:val="both"/>
        <w:rPr>
          <w:bCs/>
          <w:color w:val="002060"/>
          <w:sz w:val="16"/>
          <w:szCs w:val="16"/>
        </w:rPr>
      </w:pPr>
      <w:r w:rsidRPr="00DE096C">
        <w:rPr>
          <w:bCs/>
          <w:color w:val="002060"/>
          <w:sz w:val="16"/>
          <w:szCs w:val="16"/>
        </w:rPr>
        <w:t>Даже облегченный пулемет «Льюис», который с нача</w:t>
      </w:r>
      <w:r w:rsidRPr="00DE096C">
        <w:rPr>
          <w:bCs/>
          <w:color w:val="002060"/>
          <w:sz w:val="16"/>
          <w:szCs w:val="16"/>
        </w:rPr>
        <w:softHyphen/>
        <w:t>ла сентября стали устанавливать в британских ВВС, дале</w:t>
      </w:r>
      <w:r w:rsidRPr="00DE096C">
        <w:rPr>
          <w:bCs/>
          <w:color w:val="002060"/>
          <w:sz w:val="16"/>
          <w:szCs w:val="16"/>
        </w:rPr>
        <w:softHyphen/>
        <w:t>ко не снимал проблем. Стрелять приходилось поверх винтов (11060).</w:t>
      </w:r>
    </w:p>
    <w:p w14:paraId="3E2980EE" w14:textId="77777777" w:rsidR="00207D1C" w:rsidRPr="00DE096C" w:rsidRDefault="00207D1C" w:rsidP="00D45A46">
      <w:pPr>
        <w:shd w:val="clear" w:color="auto" w:fill="FFFFFF"/>
        <w:jc w:val="both"/>
        <w:rPr>
          <w:bCs/>
          <w:color w:val="002060"/>
          <w:sz w:val="16"/>
          <w:szCs w:val="16"/>
        </w:rPr>
      </w:pPr>
    </w:p>
    <w:p w14:paraId="61479379" w14:textId="61903EBA" w:rsidR="00B67D7C" w:rsidRPr="00DE096C" w:rsidRDefault="00207D1C" w:rsidP="00D45A46">
      <w:pPr>
        <w:jc w:val="both"/>
        <w:rPr>
          <w:bCs/>
          <w:color w:val="002060"/>
          <w:sz w:val="16"/>
          <w:szCs w:val="16"/>
        </w:rPr>
      </w:pPr>
      <w:r w:rsidRPr="00DE096C">
        <w:rPr>
          <w:bCs/>
          <w:color w:val="002060"/>
          <w:sz w:val="16"/>
          <w:szCs w:val="16"/>
        </w:rPr>
        <w:t xml:space="preserve">В августе 1914 г. </w:t>
      </w:r>
      <w:r w:rsidR="00B67D7C" w:rsidRPr="00DE096C">
        <w:rPr>
          <w:bCs/>
          <w:color w:val="002060"/>
          <w:sz w:val="16"/>
          <w:szCs w:val="16"/>
        </w:rPr>
        <w:t>из 8 действовавших воздушных судов (5 на западном фронте, 3 на восточном) в первые же недели войны было потеряно 4. И теперь, начиная с сентября 1914 г., дирижабли посылаются только ночью. Несмотря на все это Цеппелин-концерн продолжает выпуск воздушных судов. Их технические характеристики все более совершенствуются, но гигантские сигары по-прежнему остаются относительно легкой добычей наземной защиты.</w:t>
      </w:r>
    </w:p>
    <w:p w14:paraId="11F17947" w14:textId="77777777" w:rsidR="00B67D7C" w:rsidRPr="00DE096C" w:rsidRDefault="00B67D7C" w:rsidP="00D45A46">
      <w:pPr>
        <w:jc w:val="both"/>
        <w:rPr>
          <w:bCs/>
          <w:color w:val="002060"/>
          <w:sz w:val="16"/>
          <w:szCs w:val="16"/>
        </w:rPr>
      </w:pPr>
      <w:r w:rsidRPr="00DE096C">
        <w:rPr>
          <w:bCs/>
          <w:color w:val="002060"/>
          <w:sz w:val="16"/>
          <w:szCs w:val="16"/>
        </w:rPr>
        <w:t>А аэропланы становятся все более и более боеспособными. В этом месяце на аэропланы британских воздушных сил начали устанавливать первые облегченные пулеметы "Виккерс" и "Лыоис".</w:t>
      </w:r>
    </w:p>
    <w:p w14:paraId="77C656FB" w14:textId="77777777" w:rsidR="00B67D7C" w:rsidRPr="00DE096C" w:rsidRDefault="00B67D7C" w:rsidP="00D45A46">
      <w:pPr>
        <w:jc w:val="both"/>
        <w:rPr>
          <w:bCs/>
          <w:color w:val="002060"/>
          <w:sz w:val="16"/>
          <w:szCs w:val="16"/>
        </w:rPr>
      </w:pPr>
      <w:r w:rsidRPr="00DE096C">
        <w:rPr>
          <w:bCs/>
          <w:color w:val="002060"/>
          <w:sz w:val="16"/>
          <w:szCs w:val="16"/>
        </w:rPr>
        <w:t>Несмотря на не столь блестящее, как ожидалось, применение дирижаблей и цеппелинов в первый месяц войны, Англия срочно налаживает их производство. Но, в отличие от Германии, предназначает эти воздушные машины целиком для нужд морского ведомства, и прежде всего для охраны морей от германских подводных лодок. Было замечено, что летательный аппарат в деле обнаружения подводных лйдок имеет неоспоримое преимущество; он позволяет заметить перископ на значительно большем расстоянии, чем это возможно с корабля. Кроме того, выяснилось, что с воздуха в спокойную погоду хорошо видны подводные лодки на глубине от 10 до 30 м, в зависимости от состояния воды. Поэтому обе воюющие стороны уже в этом месяце организовали береговые воздушные отряды, вооруженные гидросамолетами. Однако деятельность их в первые годы войны была малоэффективной и в основном ограничивалась разведкой.</w:t>
      </w:r>
    </w:p>
    <w:p w14:paraId="0F03D23F" w14:textId="77777777" w:rsidR="00B67D7C" w:rsidRPr="00DE096C" w:rsidRDefault="00B67D7C" w:rsidP="00D45A46">
      <w:pPr>
        <w:jc w:val="both"/>
        <w:rPr>
          <w:bCs/>
          <w:color w:val="002060"/>
          <w:sz w:val="16"/>
          <w:szCs w:val="16"/>
        </w:rPr>
      </w:pPr>
      <w:r w:rsidRPr="00DE096C">
        <w:rPr>
          <w:bCs/>
          <w:color w:val="002060"/>
          <w:sz w:val="16"/>
          <w:szCs w:val="16"/>
        </w:rPr>
        <w:t>Германия на главном театре военных действий в проливе Ла-Манш и на Северном море имела только один отряд на Гельголандском острове из шести гидросамолетов, способных вести разведку лишь в прибрежных районах (11999).</w:t>
      </w:r>
    </w:p>
    <w:p w14:paraId="20A5867E" w14:textId="77777777" w:rsidR="00B67D7C" w:rsidRPr="00DE096C" w:rsidRDefault="00B67D7C" w:rsidP="00D45A46">
      <w:pPr>
        <w:jc w:val="both"/>
        <w:rPr>
          <w:bCs/>
          <w:color w:val="002060"/>
          <w:sz w:val="16"/>
          <w:szCs w:val="16"/>
        </w:rPr>
      </w:pPr>
    </w:p>
    <w:p w14:paraId="09254DD1" w14:textId="77777777" w:rsidR="00B67D7C" w:rsidRPr="00DE096C" w:rsidRDefault="00B67D7C" w:rsidP="00D45A46">
      <w:pPr>
        <w:jc w:val="both"/>
        <w:rPr>
          <w:bCs/>
          <w:color w:val="002060"/>
          <w:sz w:val="16"/>
          <w:szCs w:val="16"/>
        </w:rPr>
      </w:pPr>
      <w:r w:rsidRPr="00DE096C">
        <w:rPr>
          <w:bCs/>
          <w:color w:val="002060"/>
          <w:sz w:val="16"/>
          <w:szCs w:val="16"/>
        </w:rPr>
        <w:t>В августе 1914 в Германии мобилизация 2—5 воздухоплавательных батальонов прошла вполне успешно. Были сформированы воздухоплавательные команды, включавшие в свой состав экипажей и дирижаблей технический персонал. Были созданы также запасные отряды. Небольшая команда с учебным дирижаблем находилась в Иоганнистале. После приемки дирижаблей от Германского воздухоплавательного общества и передачи дирижабля и полужесткого аэростата морскому флоту в распоряжении главного командования оказались следующие воздухоплавательные аппараты.</w:t>
      </w:r>
    </w:p>
    <w:p w14:paraId="77270DAF" w14:textId="77777777" w:rsidR="00B67D7C" w:rsidRPr="00DE096C" w:rsidRDefault="00B67D7C" w:rsidP="00D45A46">
      <w:pPr>
        <w:jc w:val="both"/>
        <w:rPr>
          <w:bCs/>
          <w:color w:val="002060"/>
          <w:sz w:val="16"/>
          <w:szCs w:val="16"/>
        </w:rPr>
      </w:pPr>
      <w:r w:rsidRPr="00DE096C">
        <w:rPr>
          <w:bCs/>
          <w:color w:val="002060"/>
          <w:sz w:val="16"/>
          <w:szCs w:val="16"/>
        </w:rPr>
        <w:t xml:space="preserve">На западном фронте: </w:t>
      </w:r>
      <w:r w:rsidRPr="00DE096C">
        <w:rPr>
          <w:rFonts w:eastAsia="Times-Roman"/>
          <w:bCs/>
          <w:color w:val="002060"/>
          <w:sz w:val="16"/>
          <w:szCs w:val="16"/>
        </w:rPr>
        <w:t>ｫ</w:t>
      </w:r>
      <w:r w:rsidRPr="00DE096C">
        <w:rPr>
          <w:rFonts w:eastAsia="Times-Roman"/>
          <w:bCs/>
          <w:color w:val="002060"/>
          <w:sz w:val="16"/>
          <w:szCs w:val="16"/>
        </w:rPr>
        <w:t>L</w:t>
      </w:r>
      <w:r w:rsidRPr="00DE096C">
        <w:rPr>
          <w:bCs/>
          <w:color w:val="002060"/>
          <w:sz w:val="16"/>
          <w:szCs w:val="16"/>
        </w:rPr>
        <w:t>Z-6</w:t>
      </w:r>
      <w:r w:rsidRPr="00DE096C">
        <w:rPr>
          <w:rFonts w:eastAsia="Times-Roman"/>
          <w:bCs/>
          <w:color w:val="002060"/>
          <w:sz w:val="16"/>
          <w:szCs w:val="16"/>
        </w:rPr>
        <w:t>ｻ</w:t>
      </w:r>
      <w:r w:rsidRPr="00DE096C">
        <w:rPr>
          <w:bCs/>
          <w:color w:val="002060"/>
          <w:sz w:val="16"/>
          <w:szCs w:val="16"/>
        </w:rPr>
        <w:t xml:space="preserve"> — в Кельне; </w:t>
      </w:r>
      <w:r w:rsidRPr="00DE096C">
        <w:rPr>
          <w:rFonts w:eastAsia="Times-Roman"/>
          <w:bCs/>
          <w:color w:val="002060"/>
          <w:sz w:val="16"/>
          <w:szCs w:val="16"/>
        </w:rPr>
        <w:t>ｫ</w:t>
      </w:r>
      <w:r w:rsidRPr="00DE096C">
        <w:rPr>
          <w:rFonts w:eastAsia="Times-Roman"/>
          <w:bCs/>
          <w:color w:val="002060"/>
          <w:sz w:val="16"/>
          <w:szCs w:val="16"/>
        </w:rPr>
        <w:t>L</w:t>
      </w:r>
      <w:r w:rsidRPr="00DE096C">
        <w:rPr>
          <w:bCs/>
          <w:color w:val="002060"/>
          <w:sz w:val="16"/>
          <w:szCs w:val="16"/>
        </w:rPr>
        <w:t>Z-7</w:t>
      </w:r>
      <w:r w:rsidRPr="00DE096C">
        <w:rPr>
          <w:rFonts w:eastAsia="Times-Roman"/>
          <w:bCs/>
          <w:color w:val="002060"/>
          <w:sz w:val="16"/>
          <w:szCs w:val="16"/>
        </w:rPr>
        <w:t>ｻ</w:t>
      </w:r>
      <w:r w:rsidRPr="00DE096C">
        <w:rPr>
          <w:bCs/>
          <w:color w:val="002060"/>
          <w:sz w:val="16"/>
          <w:szCs w:val="16"/>
        </w:rPr>
        <w:t xml:space="preserve"> — в Бадене; </w:t>
      </w:r>
      <w:r w:rsidRPr="00DE096C">
        <w:rPr>
          <w:rFonts w:eastAsia="Times-Roman"/>
          <w:bCs/>
          <w:color w:val="002060"/>
          <w:sz w:val="16"/>
          <w:szCs w:val="16"/>
        </w:rPr>
        <w:t>ｫ</w:t>
      </w:r>
      <w:r w:rsidRPr="00DE096C">
        <w:rPr>
          <w:rFonts w:eastAsia="Times-Roman"/>
          <w:bCs/>
          <w:color w:val="002060"/>
          <w:sz w:val="16"/>
          <w:szCs w:val="16"/>
        </w:rPr>
        <w:t>L</w:t>
      </w:r>
      <w:r w:rsidRPr="00DE096C">
        <w:rPr>
          <w:bCs/>
          <w:color w:val="002060"/>
          <w:sz w:val="16"/>
          <w:szCs w:val="16"/>
        </w:rPr>
        <w:t>Z-8</w:t>
      </w:r>
      <w:r w:rsidRPr="00DE096C">
        <w:rPr>
          <w:rFonts w:eastAsia="Times-Roman"/>
          <w:bCs/>
          <w:color w:val="002060"/>
          <w:sz w:val="16"/>
          <w:szCs w:val="16"/>
        </w:rPr>
        <w:t>ｻ</w:t>
      </w:r>
      <w:r w:rsidRPr="00DE096C">
        <w:rPr>
          <w:bCs/>
          <w:color w:val="002060"/>
          <w:sz w:val="16"/>
          <w:szCs w:val="16"/>
        </w:rPr>
        <w:t xml:space="preserve"> — в Трире; </w:t>
      </w:r>
      <w:r w:rsidRPr="00DE096C">
        <w:rPr>
          <w:rFonts w:eastAsia="Times-Roman"/>
          <w:bCs/>
          <w:color w:val="002060"/>
          <w:sz w:val="16"/>
          <w:szCs w:val="16"/>
        </w:rPr>
        <w:t>ｫ</w:t>
      </w:r>
      <w:r w:rsidRPr="00DE096C">
        <w:rPr>
          <w:rFonts w:eastAsia="Times-Roman"/>
          <w:bCs/>
          <w:color w:val="002060"/>
          <w:sz w:val="16"/>
          <w:szCs w:val="16"/>
        </w:rPr>
        <w:t>L</w:t>
      </w:r>
      <w:r w:rsidRPr="00DE096C">
        <w:rPr>
          <w:bCs/>
          <w:color w:val="002060"/>
          <w:sz w:val="16"/>
          <w:szCs w:val="16"/>
        </w:rPr>
        <w:t>Z-9</w:t>
      </w:r>
      <w:r w:rsidRPr="00DE096C">
        <w:rPr>
          <w:rFonts w:eastAsia="Times-Roman"/>
          <w:bCs/>
          <w:color w:val="002060"/>
          <w:sz w:val="16"/>
          <w:szCs w:val="16"/>
        </w:rPr>
        <w:t>ｻ</w:t>
      </w:r>
      <w:r w:rsidRPr="00DE096C">
        <w:rPr>
          <w:bCs/>
          <w:color w:val="002060"/>
          <w:sz w:val="16"/>
          <w:szCs w:val="16"/>
        </w:rPr>
        <w:t xml:space="preserve"> — в Дюссельдорфе; </w:t>
      </w:r>
      <w:r w:rsidRPr="00DE096C">
        <w:rPr>
          <w:rFonts w:eastAsia="Times-Roman"/>
          <w:bCs/>
          <w:color w:val="002060"/>
          <w:sz w:val="16"/>
          <w:szCs w:val="16"/>
        </w:rPr>
        <w:t>ｫ</w:t>
      </w:r>
      <w:r w:rsidRPr="00DE096C">
        <w:rPr>
          <w:rFonts w:eastAsia="Times-Roman"/>
          <w:bCs/>
          <w:color w:val="002060"/>
          <w:sz w:val="16"/>
          <w:szCs w:val="16"/>
        </w:rPr>
        <w:t>L</w:t>
      </w:r>
      <w:r w:rsidRPr="00DE096C">
        <w:rPr>
          <w:bCs/>
          <w:color w:val="002060"/>
          <w:sz w:val="16"/>
          <w:szCs w:val="16"/>
        </w:rPr>
        <w:t>Z-Саксония</w:t>
      </w:r>
      <w:r w:rsidRPr="00DE096C">
        <w:rPr>
          <w:rFonts w:eastAsia="Times-Roman"/>
          <w:bCs/>
          <w:color w:val="002060"/>
          <w:sz w:val="16"/>
          <w:szCs w:val="16"/>
        </w:rPr>
        <w:t>ｻ</w:t>
      </w:r>
      <w:r w:rsidRPr="00DE096C">
        <w:rPr>
          <w:bCs/>
          <w:color w:val="002060"/>
          <w:sz w:val="16"/>
          <w:szCs w:val="16"/>
        </w:rPr>
        <w:t xml:space="preserve"> — во Франкфурте-на-Майне.</w:t>
      </w:r>
    </w:p>
    <w:p w14:paraId="3044ECB5" w14:textId="77777777" w:rsidR="00B67D7C" w:rsidRPr="00DE096C" w:rsidRDefault="00B67D7C" w:rsidP="00D45A46">
      <w:pPr>
        <w:jc w:val="both"/>
        <w:rPr>
          <w:bCs/>
          <w:color w:val="002060"/>
          <w:sz w:val="16"/>
          <w:szCs w:val="16"/>
        </w:rPr>
      </w:pPr>
      <w:r w:rsidRPr="00DE096C">
        <w:rPr>
          <w:bCs/>
          <w:color w:val="002060"/>
          <w:sz w:val="16"/>
          <w:szCs w:val="16"/>
        </w:rPr>
        <w:t xml:space="preserve">На восточном фронте: </w:t>
      </w:r>
      <w:r w:rsidRPr="00DE096C">
        <w:rPr>
          <w:rFonts w:eastAsia="Times-Roman"/>
          <w:bCs/>
          <w:color w:val="002060"/>
          <w:sz w:val="16"/>
          <w:szCs w:val="16"/>
        </w:rPr>
        <w:t>ｫ</w:t>
      </w:r>
      <w:r w:rsidRPr="00DE096C">
        <w:rPr>
          <w:rFonts w:eastAsia="Times-Roman"/>
          <w:bCs/>
          <w:color w:val="002060"/>
          <w:sz w:val="16"/>
          <w:szCs w:val="16"/>
        </w:rPr>
        <w:t>L</w:t>
      </w:r>
      <w:r w:rsidRPr="00DE096C">
        <w:rPr>
          <w:bCs/>
          <w:color w:val="002060"/>
          <w:sz w:val="16"/>
          <w:szCs w:val="16"/>
        </w:rPr>
        <w:t>Z-4</w:t>
      </w:r>
      <w:r w:rsidRPr="00DE096C">
        <w:rPr>
          <w:rFonts w:eastAsia="Times-Roman"/>
          <w:bCs/>
          <w:color w:val="002060"/>
          <w:sz w:val="16"/>
          <w:szCs w:val="16"/>
        </w:rPr>
        <w:t>ｻ</w:t>
      </w:r>
      <w:r w:rsidRPr="00DE096C">
        <w:rPr>
          <w:bCs/>
          <w:color w:val="002060"/>
          <w:sz w:val="16"/>
          <w:szCs w:val="16"/>
        </w:rPr>
        <w:t xml:space="preserve"> — в Кенигсберге; </w:t>
      </w:r>
      <w:r w:rsidRPr="00DE096C">
        <w:rPr>
          <w:rFonts w:eastAsia="Times-Roman"/>
          <w:bCs/>
          <w:color w:val="002060"/>
          <w:sz w:val="16"/>
          <w:szCs w:val="16"/>
        </w:rPr>
        <w:t>ｫ</w:t>
      </w:r>
      <w:r w:rsidRPr="00DE096C">
        <w:rPr>
          <w:rFonts w:eastAsia="Times-Roman"/>
          <w:bCs/>
          <w:color w:val="002060"/>
          <w:sz w:val="16"/>
          <w:szCs w:val="16"/>
        </w:rPr>
        <w:t>L</w:t>
      </w:r>
      <w:r w:rsidRPr="00DE096C">
        <w:rPr>
          <w:bCs/>
          <w:color w:val="002060"/>
          <w:sz w:val="16"/>
          <w:szCs w:val="16"/>
        </w:rPr>
        <w:t>Z-5</w:t>
      </w:r>
      <w:r w:rsidRPr="00DE096C">
        <w:rPr>
          <w:rFonts w:eastAsia="Times-Roman"/>
          <w:bCs/>
          <w:color w:val="002060"/>
          <w:sz w:val="16"/>
          <w:szCs w:val="16"/>
        </w:rPr>
        <w:t>ｻ</w:t>
      </w:r>
      <w:r w:rsidRPr="00DE096C">
        <w:rPr>
          <w:bCs/>
          <w:color w:val="002060"/>
          <w:sz w:val="16"/>
          <w:szCs w:val="16"/>
        </w:rPr>
        <w:t xml:space="preserve"> — в Познани; </w:t>
      </w:r>
      <w:r w:rsidRPr="00DE096C">
        <w:rPr>
          <w:rFonts w:eastAsia="Times-Roman"/>
          <w:bCs/>
          <w:color w:val="002060"/>
          <w:sz w:val="16"/>
          <w:szCs w:val="16"/>
        </w:rPr>
        <w:t>ｫ</w:t>
      </w:r>
      <w:r w:rsidRPr="00DE096C">
        <w:rPr>
          <w:rFonts w:eastAsia="Times-Roman"/>
          <w:bCs/>
          <w:color w:val="002060"/>
          <w:sz w:val="16"/>
          <w:szCs w:val="16"/>
        </w:rPr>
        <w:t>L-</w:t>
      </w:r>
      <w:r w:rsidRPr="00DE096C">
        <w:rPr>
          <w:bCs/>
          <w:color w:val="002060"/>
          <w:sz w:val="16"/>
          <w:szCs w:val="16"/>
        </w:rPr>
        <w:t>Ланц SL-2</w:t>
      </w:r>
      <w:r w:rsidRPr="00DE096C">
        <w:rPr>
          <w:rFonts w:eastAsia="Times-Roman"/>
          <w:bCs/>
          <w:color w:val="002060"/>
          <w:sz w:val="16"/>
          <w:szCs w:val="16"/>
        </w:rPr>
        <w:t>ｻ</w:t>
      </w:r>
      <w:r w:rsidRPr="00DE096C">
        <w:rPr>
          <w:bCs/>
          <w:color w:val="002060"/>
          <w:sz w:val="16"/>
          <w:szCs w:val="16"/>
        </w:rPr>
        <w:t xml:space="preserve"> — в Лигнице.</w:t>
      </w:r>
    </w:p>
    <w:p w14:paraId="5F39B897" w14:textId="77777777" w:rsidR="00B67D7C" w:rsidRPr="00DE096C" w:rsidRDefault="00B67D7C" w:rsidP="00D45A46">
      <w:pPr>
        <w:jc w:val="both"/>
        <w:rPr>
          <w:bCs/>
          <w:color w:val="002060"/>
          <w:sz w:val="16"/>
          <w:szCs w:val="16"/>
        </w:rPr>
      </w:pPr>
      <w:r w:rsidRPr="00DE096C">
        <w:rPr>
          <w:bCs/>
          <w:color w:val="002060"/>
          <w:sz w:val="16"/>
          <w:szCs w:val="16"/>
        </w:rPr>
        <w:t xml:space="preserve">Кроме этих, имелся ряд военных и гражданских эллингов для дирижаблей жесткого типа в Меце, Дрездене, Алленштейне, Гота, Иоганнистале и Лейпциге. Кроме того, находились в постройке эллинги близ Дюссельдорфа Бонна, Дармштадта, Мангейма, Фридрихсгафена, Ган новера, Шнейдемюля и Ютербога. Часть из этих эллин гов имела газовые заводы. Ввиду того, что взлет и при наливание дирижаблей, особенно больших, при боковой ветре со скоростью более 6 м/с были небезопасными требовались поворотные мачты, которыми можно былс бы пользоваться при любом направлении ветра; была начата постройка 7-ми новых эллингов с таким приспособлением. Однако поскольку работы по их сооружению не могли быть завершены за короткое время, их пришлось приостановить. Дирижаблям ставилась задача производства дневных и ночных полетов на дальние рас стояния с ведением разведки и бомбардировкой распо ложенных глубоко в тылу противника важных военных целей. Военные дирижабли находились в непосредственном подчинении у главного командования; иногда они придавались фронтам или армиям. В начале войны дирижабли выполняли боевые задания под руководством командируемых на дирижабли офицеров Генерального штаба; в таком случае командиру дирижабля оставалось лишь руководство собственно полетом. Так как такое положение дел не сулило успеха, вскоре такие командировки офицеров Генерального штаба прекратились. 5 августа </w:t>
      </w:r>
      <w:r w:rsidRPr="00DE096C">
        <w:rPr>
          <w:rFonts w:eastAsia="Times-Roman"/>
          <w:bCs/>
          <w:color w:val="002060"/>
          <w:sz w:val="16"/>
          <w:szCs w:val="16"/>
        </w:rPr>
        <w:t>ｫ</w:t>
      </w:r>
      <w:r w:rsidRPr="00DE096C">
        <w:rPr>
          <w:rFonts w:eastAsia="Times-Roman"/>
          <w:bCs/>
          <w:color w:val="002060"/>
          <w:sz w:val="16"/>
          <w:szCs w:val="16"/>
        </w:rPr>
        <w:t>L</w:t>
      </w:r>
      <w:r w:rsidRPr="00DE096C">
        <w:rPr>
          <w:bCs/>
          <w:color w:val="002060"/>
          <w:sz w:val="16"/>
          <w:szCs w:val="16"/>
        </w:rPr>
        <w:t>Z-6</w:t>
      </w:r>
      <w:r w:rsidRPr="00DE096C">
        <w:rPr>
          <w:rFonts w:eastAsia="Times-Roman"/>
          <w:bCs/>
          <w:color w:val="002060"/>
          <w:sz w:val="16"/>
          <w:szCs w:val="16"/>
        </w:rPr>
        <w:t>ｻ</w:t>
      </w:r>
      <w:r w:rsidRPr="00DE096C">
        <w:rPr>
          <w:bCs/>
          <w:color w:val="002060"/>
          <w:sz w:val="16"/>
          <w:szCs w:val="16"/>
        </w:rPr>
        <w:t xml:space="preserve"> нанес бомбовый удар по крепости Льежа. Вслед за этим были бомбардированы крепости Антверпена, склады Остенде, Кале и работавшие на оборону заводы Нанси. На востоке были нанесены бомбовые удары по лагерям противника близ Гумбинена, Норденбурга, Инстербурга, Белостока, Лыка, а также Мульдзена, Варшавской крепости и Млавы.</w:t>
      </w:r>
    </w:p>
    <w:p w14:paraId="446B54B8" w14:textId="77777777" w:rsidR="00B67D7C" w:rsidRPr="00DE096C" w:rsidRDefault="00B67D7C" w:rsidP="00D45A46">
      <w:pPr>
        <w:jc w:val="both"/>
        <w:rPr>
          <w:bCs/>
          <w:color w:val="002060"/>
          <w:sz w:val="16"/>
          <w:szCs w:val="16"/>
        </w:rPr>
      </w:pPr>
      <w:r w:rsidRPr="00DE096C">
        <w:rPr>
          <w:bCs/>
          <w:color w:val="002060"/>
          <w:sz w:val="16"/>
          <w:szCs w:val="16"/>
        </w:rPr>
        <w:t>Совместные действия нескольких дирижаблей были затруднены удаленностью их баз друг от друга. Тем не менее, противник опасался боевой деятельности наших дирижаблей, как показывает его налет на эллинги в Дюссельдорфе и на верфи в Фридрихсгафене (11282).</w:t>
      </w:r>
    </w:p>
    <w:p w14:paraId="649DE4D8" w14:textId="77777777" w:rsidR="00B67D7C" w:rsidRPr="00DE096C" w:rsidRDefault="00B67D7C" w:rsidP="00D45A46">
      <w:pPr>
        <w:jc w:val="both"/>
        <w:rPr>
          <w:bCs/>
          <w:color w:val="002060"/>
          <w:sz w:val="16"/>
          <w:szCs w:val="16"/>
        </w:rPr>
      </w:pPr>
      <w:r w:rsidRPr="00DE096C">
        <w:rPr>
          <w:bCs/>
          <w:color w:val="002060"/>
          <w:sz w:val="16"/>
          <w:szCs w:val="16"/>
        </w:rPr>
        <w:t>Вскоре после начала войны дирижабли были оснащены двумя пулеметами, установленными в гондоле, и одним или двумя пулеметами, установленными на верхней части корабля; кроме того, они оснащались специальными бомбами весом 58,100,150 и позднее — 300 кг.</w:t>
      </w:r>
    </w:p>
    <w:p w14:paraId="18610FAF" w14:textId="77777777" w:rsidR="00B67D7C" w:rsidRPr="00DE096C" w:rsidRDefault="00B67D7C" w:rsidP="00D45A46">
      <w:pPr>
        <w:jc w:val="both"/>
        <w:rPr>
          <w:bCs/>
          <w:color w:val="002060"/>
          <w:sz w:val="16"/>
          <w:szCs w:val="16"/>
        </w:rPr>
      </w:pPr>
      <w:r w:rsidRPr="00DE096C">
        <w:rPr>
          <w:bCs/>
          <w:color w:val="002060"/>
          <w:sz w:val="16"/>
          <w:szCs w:val="16"/>
        </w:rPr>
        <w:t xml:space="preserve">Отряды, оснащенные привязными аэростатами, назывались </w:t>
      </w:r>
      <w:r w:rsidRPr="00DE096C">
        <w:rPr>
          <w:rFonts w:eastAsia="Times-Roman"/>
          <w:bCs/>
          <w:color w:val="002060"/>
          <w:sz w:val="16"/>
          <w:szCs w:val="16"/>
        </w:rPr>
        <w:t>ｫ</w:t>
      </w:r>
      <w:r w:rsidRPr="00DE096C">
        <w:rPr>
          <w:bCs/>
          <w:color w:val="002060"/>
          <w:sz w:val="16"/>
          <w:szCs w:val="16"/>
        </w:rPr>
        <w:t>воздухоплавательными отрядами</w:t>
      </w:r>
      <w:r w:rsidRPr="00DE096C">
        <w:rPr>
          <w:rFonts w:eastAsia="Times-Roman"/>
          <w:bCs/>
          <w:color w:val="002060"/>
          <w:sz w:val="16"/>
          <w:szCs w:val="16"/>
        </w:rPr>
        <w:t>ｻ</w:t>
      </w:r>
      <w:r w:rsidRPr="00DE096C">
        <w:rPr>
          <w:bCs/>
          <w:color w:val="002060"/>
          <w:sz w:val="16"/>
          <w:szCs w:val="16"/>
        </w:rPr>
        <w:t>.</w:t>
      </w:r>
    </w:p>
    <w:p w14:paraId="5EA35E8D" w14:textId="77777777" w:rsidR="00B67D7C" w:rsidRPr="00DE096C" w:rsidRDefault="00B67D7C" w:rsidP="00D45A46">
      <w:pPr>
        <w:jc w:val="both"/>
        <w:rPr>
          <w:bCs/>
          <w:color w:val="002060"/>
          <w:sz w:val="16"/>
          <w:szCs w:val="16"/>
        </w:rPr>
      </w:pPr>
      <w:r w:rsidRPr="00DE096C">
        <w:rPr>
          <w:bCs/>
          <w:color w:val="002060"/>
          <w:sz w:val="16"/>
          <w:szCs w:val="16"/>
        </w:rPr>
        <w:t>Мобилизационные планы не предусматривали их развертывания, так как от их участия в маневренной войне не ждали никакой пользы. Однако начальник штаба действующей армии на этот счет был другого мнения. Было сформировано 8 полевых воздухоплавательных отрядов, т е только по одному на армию, и 17 крепостных стании.Полевые воздухоплавательные отряды были снабжены повозочным обозом и обладали подвижностью тяжелой батареи; они располагали вначале одним, а в период позиционной войны двумя аэростатами. Первый воздухоплавательный и Баварский батальоны играли роль баз для полевых воздухоплавательных частей. У наших противников дела в этомотношении обстоя ли следующим образом. Франция в начале войны была вооружена малоустойчивыми при ветре привязным сферическими аэростатами. Россия имела змейковые аэростаты объемом 600 м3, малая подвижность которых заставляла держать их далеко позади фронта.</w:t>
      </w:r>
    </w:p>
    <w:p w14:paraId="3C6F26FB" w14:textId="77777777" w:rsidR="00B67D7C" w:rsidRPr="00DE096C" w:rsidRDefault="00B67D7C" w:rsidP="00D45A46">
      <w:pPr>
        <w:jc w:val="both"/>
        <w:rPr>
          <w:bCs/>
          <w:color w:val="002060"/>
          <w:sz w:val="16"/>
          <w:szCs w:val="16"/>
        </w:rPr>
      </w:pPr>
      <w:r w:rsidRPr="00DE096C">
        <w:rPr>
          <w:bCs/>
          <w:color w:val="002060"/>
          <w:sz w:val="16"/>
          <w:szCs w:val="16"/>
        </w:rPr>
        <w:t>Привязные аэростаты хорошо показали себя в ходе маневренной войны там, где были применены в нужное время и в нужном месте. При этом успешной работе воздушных наблюдателей мешало то, что некоторые войсковые начальники опасались применять аэростаты заблаговременно, чтобы не обнаружить готовящейся атаки (11282).</w:t>
      </w:r>
    </w:p>
    <w:p w14:paraId="0F374A45" w14:textId="77777777" w:rsidR="00B67D7C" w:rsidRPr="00DE096C" w:rsidRDefault="00B67D7C" w:rsidP="00D45A46">
      <w:pPr>
        <w:jc w:val="both"/>
        <w:rPr>
          <w:bCs/>
          <w:color w:val="002060"/>
          <w:sz w:val="16"/>
          <w:szCs w:val="16"/>
        </w:rPr>
      </w:pPr>
    </w:p>
    <w:p w14:paraId="5728FFCC" w14:textId="1A0A0D66" w:rsidR="00B67D7C" w:rsidRPr="00DE096C" w:rsidRDefault="00B67D7C" w:rsidP="00D45A46">
      <w:pPr>
        <w:jc w:val="both"/>
        <w:rPr>
          <w:bCs/>
          <w:color w:val="002060"/>
          <w:sz w:val="16"/>
          <w:szCs w:val="16"/>
        </w:rPr>
      </w:pPr>
      <w:r w:rsidRPr="00DE096C">
        <w:rPr>
          <w:bCs/>
          <w:color w:val="002060"/>
          <w:sz w:val="16"/>
          <w:szCs w:val="16"/>
        </w:rPr>
        <w:t xml:space="preserve">За </w:t>
      </w:r>
      <w:r w:rsidR="00207D1C" w:rsidRPr="00DE096C">
        <w:rPr>
          <w:bCs/>
          <w:color w:val="002060"/>
          <w:sz w:val="16"/>
          <w:szCs w:val="16"/>
        </w:rPr>
        <w:t xml:space="preserve">август 1914 г., </w:t>
      </w:r>
      <w:r w:rsidRPr="00DE096C">
        <w:rPr>
          <w:bCs/>
          <w:color w:val="002060"/>
          <w:sz w:val="16"/>
          <w:szCs w:val="16"/>
        </w:rPr>
        <w:t xml:space="preserve">первый месяц войны Германия лишилась трех своих цеппелинов. Противник, как показал его налет на эллинги в Дюссельдорфе и на верфи в Фридрихсхафене, высоко оценивал боевую деятельность немецких дирижаблей. </w:t>
      </w:r>
    </w:p>
    <w:p w14:paraId="5AEA20EE" w14:textId="77777777" w:rsidR="00B67D7C" w:rsidRPr="00DE096C" w:rsidRDefault="00B67D7C" w:rsidP="00D45A46">
      <w:pPr>
        <w:jc w:val="both"/>
        <w:rPr>
          <w:bCs/>
          <w:color w:val="002060"/>
          <w:sz w:val="16"/>
          <w:szCs w:val="16"/>
        </w:rPr>
      </w:pPr>
      <w:r w:rsidRPr="00DE096C">
        <w:rPr>
          <w:bCs/>
          <w:color w:val="002060"/>
          <w:sz w:val="16"/>
          <w:szCs w:val="16"/>
        </w:rPr>
        <w:t xml:space="preserve">С быстрым продвижением германских войск расстояние от баз до целей увеличилось, в связи с чем постановка боевых задач дирижаблям и возможность их успешного выполнения были затруднены. Для решения этой проблемы была начата модернизация и достройка эллингов, имевшихся в Брюссель-Эттербеке и Мобеже, а также вновь возведены в 1914 году строения в Брюссель-Агате, Брюссель-Эвере и Гонтроде близ Гента. Одновременно началась постройка газодобывающих заводов в Брюсселе, Льеже и Мобеже. </w:t>
      </w:r>
    </w:p>
    <w:p w14:paraId="62FE32E9" w14:textId="77777777" w:rsidR="00B67D7C" w:rsidRPr="00DE096C" w:rsidRDefault="00B67D7C" w:rsidP="00D45A46">
      <w:pPr>
        <w:jc w:val="both"/>
        <w:rPr>
          <w:bCs/>
          <w:color w:val="002060"/>
          <w:sz w:val="16"/>
          <w:szCs w:val="16"/>
        </w:rPr>
      </w:pPr>
      <w:r w:rsidRPr="00DE096C">
        <w:rPr>
          <w:bCs/>
          <w:color w:val="002060"/>
          <w:sz w:val="16"/>
          <w:szCs w:val="16"/>
        </w:rPr>
        <w:t>Потеря трех воздушных кораблей указывала на то, что дирижабли из-за низкой высотности были непригодны для дневных полетов над занятой противником территорией и что их применение ночью обещало больше успеха. Если в начале войны воздушные корабли и не оправдали возложенных на них надежд, то их командиры и экипажи заслуживали глубокого уважения. Не зная той участи, какая их ожидает, часто под мощным обстрелом, на своих мало испытанных кораблях они геройски исполняли свой долг (11324).</w:t>
      </w:r>
    </w:p>
    <w:p w14:paraId="4CF3F66D" w14:textId="77777777" w:rsidR="00B67D7C" w:rsidRPr="00DE096C" w:rsidRDefault="00B67D7C" w:rsidP="00D45A46">
      <w:pPr>
        <w:jc w:val="both"/>
        <w:rPr>
          <w:bCs/>
          <w:i/>
          <w:color w:val="002060"/>
          <w:sz w:val="16"/>
          <w:szCs w:val="16"/>
        </w:rPr>
      </w:pPr>
    </w:p>
    <w:p w14:paraId="46418F03" w14:textId="77777777" w:rsidR="00B67D7C" w:rsidRPr="00DE096C" w:rsidRDefault="00B67D7C" w:rsidP="00D45A46">
      <w:pPr>
        <w:jc w:val="both"/>
        <w:rPr>
          <w:bCs/>
          <w:i/>
          <w:color w:val="002060"/>
          <w:sz w:val="16"/>
          <w:szCs w:val="16"/>
        </w:rPr>
      </w:pPr>
      <w:r w:rsidRPr="00DE096C">
        <w:rPr>
          <w:bCs/>
          <w:i/>
          <w:color w:val="002060"/>
          <w:sz w:val="16"/>
          <w:szCs w:val="16"/>
        </w:rPr>
        <w:t>Авиация и воздухоплавание Англии</w:t>
      </w:r>
    </w:p>
    <w:p w14:paraId="5C1830A4" w14:textId="77777777" w:rsidR="00B67D7C" w:rsidRPr="00DE096C" w:rsidRDefault="00B67D7C" w:rsidP="00D45A46">
      <w:pPr>
        <w:jc w:val="both"/>
        <w:rPr>
          <w:bCs/>
          <w:i/>
          <w:color w:val="002060"/>
          <w:sz w:val="16"/>
          <w:szCs w:val="16"/>
        </w:rPr>
      </w:pPr>
    </w:p>
    <w:p w14:paraId="270EF984" w14:textId="49648E28" w:rsidR="00B67D7C" w:rsidRPr="00DE096C" w:rsidRDefault="00207D1C"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августе 1914 г. английская газета «Телеграф» писала: «...бой самолетов между собой глупая и бесполезная игра, которая может встретиться лишь чисто случайным образом» (318).</w:t>
      </w:r>
    </w:p>
    <w:p w14:paraId="0487130D" w14:textId="77777777" w:rsidR="00B67D7C" w:rsidRPr="00DE096C" w:rsidRDefault="00B67D7C" w:rsidP="00D45A46">
      <w:pPr>
        <w:jc w:val="both"/>
        <w:rPr>
          <w:bCs/>
          <w:color w:val="002060"/>
          <w:sz w:val="16"/>
          <w:szCs w:val="16"/>
        </w:rPr>
      </w:pPr>
    </w:p>
    <w:p w14:paraId="0E6DA2BB" w14:textId="1D45A65D" w:rsidR="00B67D7C" w:rsidRPr="00DE096C" w:rsidRDefault="001F4D16"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августе 1914 года </w:t>
      </w:r>
      <w:r w:rsidRPr="00DE096C">
        <w:rPr>
          <w:bCs/>
          <w:color w:val="002060"/>
          <w:sz w:val="16"/>
          <w:szCs w:val="16"/>
        </w:rPr>
        <w:t xml:space="preserve">на затонувшем </w:t>
      </w:r>
      <w:r w:rsidR="00B67D7C" w:rsidRPr="00DE096C">
        <w:rPr>
          <w:bCs/>
          <w:color w:val="002060"/>
          <w:sz w:val="16"/>
          <w:szCs w:val="16"/>
        </w:rPr>
        <w:t>германском крейсере «Магдебург»</w:t>
      </w:r>
      <w:r w:rsidRPr="00DE096C">
        <w:rPr>
          <w:bCs/>
          <w:color w:val="002060"/>
          <w:sz w:val="16"/>
          <w:szCs w:val="16"/>
        </w:rPr>
        <w:t xml:space="preserve"> русскими моряками была найдена секретная сигнальная книга германского флота, которая</w:t>
      </w:r>
      <w:r w:rsidR="00B67D7C" w:rsidRPr="00DE096C">
        <w:rPr>
          <w:bCs/>
          <w:color w:val="002060"/>
          <w:sz w:val="16"/>
          <w:szCs w:val="16"/>
        </w:rPr>
        <w:t xml:space="preserve"> была передана англичанам, вследствие чего союзники получили возможность расшифровать все радиограммы немцев. </w:t>
      </w:r>
    </w:p>
    <w:p w14:paraId="1F089B6E" w14:textId="77777777" w:rsidR="00B67D7C" w:rsidRPr="00DE096C" w:rsidRDefault="00B67D7C" w:rsidP="00D45A46">
      <w:pPr>
        <w:jc w:val="both"/>
        <w:rPr>
          <w:bCs/>
          <w:color w:val="002060"/>
          <w:sz w:val="16"/>
          <w:szCs w:val="16"/>
        </w:rPr>
      </w:pPr>
      <w:r w:rsidRPr="00DE096C">
        <w:rPr>
          <w:bCs/>
          <w:color w:val="002060"/>
          <w:sz w:val="16"/>
          <w:szCs w:val="16"/>
        </w:rPr>
        <w:t xml:space="preserve">Второй случай — неудачное ведение разведки цеппелином L-5, приданным в том бою германским крейсерам, и третий — совершенно случайное попадание английского снаряда в самое уязвимое место германского крейсера «Блюхер». Мы остановимся на втором эпизоде, который близок нам по теме, и сразу оговоримся, что видим в нем только отсутствие опыта совместных действий флота и дирижаблей и недостаточную предварительную проработку боевой задачи. Германской крейсерской эскадре были приданы 3 дирижабля, стоявшие в своих эллингах в готовности для вылета. Адмирал Хиппер воспользовался [105] только одним, перед которым к тому же была поставлена недостаточно ясная задача. Таким образом, во время боя над судами германского флота находился один цеппелин вместо трех. Вместо того чтобы осматривать районы вблизи сражения, и сообщать о передвижениях морских сил противника, он занялся бомбометанием по английским кораблям, окружившим подбитый германский крейсер «Блюхер». Для оказания помощи гибнущему кораблю Хипперу нужны были сведения о противнике и дальних подступах к месту боя, но L-5 самозабвенно швырял бомбы, которые ложились вдали от кораблей противника, совершенно не обращавшего внимания на цеппелин. </w:t>
      </w:r>
    </w:p>
    <w:p w14:paraId="283F86FB" w14:textId="77777777" w:rsidR="00B67D7C" w:rsidRPr="00DE096C" w:rsidRDefault="00B67D7C" w:rsidP="00D45A46">
      <w:pPr>
        <w:jc w:val="both"/>
        <w:rPr>
          <w:bCs/>
          <w:color w:val="002060"/>
          <w:sz w:val="16"/>
          <w:szCs w:val="16"/>
        </w:rPr>
      </w:pPr>
      <w:r w:rsidRPr="00DE096C">
        <w:rPr>
          <w:bCs/>
          <w:color w:val="002060"/>
          <w:sz w:val="16"/>
          <w:szCs w:val="16"/>
        </w:rPr>
        <w:t xml:space="preserve">Не зная точной обстановки, адмирал отказался от первоначального намерения напасть всеми своими силами на англичан и тем облегчить положение «Блюхера», так как опасался быть связанным боем при появлении новых судов противника. Одновременно Хиппер запросил L-5, не замечает ли он уменьшения скорости неприятельских судов, и получил отрицательный ответ. Из-за этого он отменил намеченную на вечер того же дня атаку немецких миноносцев на те корабли англичан, </w:t>
      </w:r>
      <w:r w:rsidRPr="00DE096C">
        <w:rPr>
          <w:bCs/>
          <w:color w:val="002060"/>
          <w:sz w:val="16"/>
          <w:szCs w:val="16"/>
        </w:rPr>
        <w:lastRenderedPageBreak/>
        <w:t>скорость которых из-за повреждений в бою упала. В действительности, в момент сражения 6 английских линейных кораблей, шедших на помощь адмиралу Битти, были еще далеко от района боя и приблизились к нему лишь через три часа; английский крейсер «Лайон» получил в бою повреждения, вышел из строя и малым ходом удалялся из района боевых действий к английским берегам. Таким образом, Хиппер имел возможность спасти крейсер и отправить миноносцы в атаку, но 2 цеппелина, так необходимые в ходе сражения, «прохлаждались» на базе, а командир L-5 проявил тактическую неграмотность (11324).</w:t>
      </w:r>
    </w:p>
    <w:p w14:paraId="282A119E" w14:textId="77777777" w:rsidR="00B67D7C" w:rsidRPr="00DE096C" w:rsidRDefault="00B67D7C" w:rsidP="00D45A46">
      <w:pPr>
        <w:pStyle w:val="a3"/>
        <w:jc w:val="both"/>
        <w:rPr>
          <w:bCs/>
          <w:color w:val="002060"/>
          <w:spacing w:val="0"/>
          <w:kern w:val="0"/>
          <w:position w:val="0"/>
          <w:sz w:val="16"/>
          <w:szCs w:val="16"/>
        </w:rPr>
      </w:pPr>
    </w:p>
    <w:p w14:paraId="06DDCA27" w14:textId="77777777" w:rsidR="00904C62" w:rsidRPr="00B52707" w:rsidRDefault="00904C62" w:rsidP="00904C62">
      <w:pPr>
        <w:jc w:val="both"/>
        <w:rPr>
          <w:color w:val="0070C0"/>
          <w:sz w:val="16"/>
          <w:szCs w:val="16"/>
        </w:rPr>
      </w:pPr>
      <w:r w:rsidRPr="00B52707">
        <w:rPr>
          <w:color w:val="0070C0"/>
          <w:sz w:val="16"/>
          <w:szCs w:val="16"/>
        </w:rPr>
        <w:t>В августе 1914 г., когда с началом Империалистической войны фирма «Моран-Солнье» производство самолетов Тип G а Англии начала сворачивать, чтобы сосредоточится на более перспективном, по мнению ее руководства, Типе L («Парасоль»), поступил заказ от Военного министерства Великобритании на поставку самолетов Тип GA для RFC. Их следовало комплектовать двигателями Рон 9С мощностью 80 л.с. или 9J (110 л.с.), однако второй в то время существовал пока лишь в проекте, а стендовые испытания опытных образцов начнутся только в 1916 г. и все построенные по этому заказу самолеты получили двигатели Рон 9С. При этом двигатели на часть из них поставили английские фирмы «Аллен, сын и компания» (Allen, Son &amp; Co) из Бедфорда (Bedford, Южная Англия) (25442).</w:t>
      </w:r>
    </w:p>
    <w:p w14:paraId="05A0F07F" w14:textId="77777777" w:rsidR="00904C62" w:rsidRPr="00B52707" w:rsidRDefault="00904C62" w:rsidP="00904C62">
      <w:pPr>
        <w:jc w:val="both"/>
        <w:rPr>
          <w:color w:val="0070C0"/>
          <w:sz w:val="16"/>
          <w:szCs w:val="16"/>
        </w:rPr>
      </w:pPr>
    </w:p>
    <w:p w14:paraId="70F2AA58"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 и воздухоплавание Франции:</w:t>
      </w:r>
    </w:p>
    <w:p w14:paraId="287DEAE8" w14:textId="77777777" w:rsidR="00B67D7C" w:rsidRPr="00DE096C" w:rsidRDefault="00B67D7C" w:rsidP="00D45A46">
      <w:pPr>
        <w:shd w:val="clear" w:color="auto" w:fill="FFFFFF"/>
        <w:jc w:val="both"/>
        <w:rPr>
          <w:bCs/>
          <w:i/>
          <w:color w:val="002060"/>
          <w:sz w:val="16"/>
          <w:szCs w:val="16"/>
        </w:rPr>
      </w:pPr>
    </w:p>
    <w:p w14:paraId="01A9805B" w14:textId="77777777" w:rsidR="008B7B07" w:rsidRPr="00DE096C" w:rsidRDefault="008B7B07" w:rsidP="00D45A46">
      <w:pPr>
        <w:pStyle w:val="ae"/>
        <w:shd w:val="clear" w:color="auto" w:fill="FFFFFF"/>
        <w:spacing w:before="0" w:beforeAutospacing="0" w:after="0" w:afterAutospacing="0"/>
        <w:jc w:val="both"/>
        <w:textAlignment w:val="baseline"/>
        <w:rPr>
          <w:bCs/>
          <w:color w:val="002060"/>
          <w:sz w:val="16"/>
          <w:szCs w:val="16"/>
        </w:rPr>
      </w:pPr>
      <w:r w:rsidRPr="00DE096C">
        <w:rPr>
          <w:bCs/>
          <w:color w:val="002060"/>
          <w:sz w:val="16"/>
          <w:szCs w:val="16"/>
        </w:rPr>
        <w:t>По август 1914 с января 1912 г французская авиапромышленность произвела около 7000 самолётов, 1730 из которых приобрели военные. Но к началу войны в Армии насчитывалось только 23 эскадрильи с 138 самолетами первой линии (в учебных подразделениях было ещё около 100 аппаратов). Эскадрильи нумеровались по мере создания, перед номером ставилась аббревиатура компании-производителя: эскадрильи MF №2, 5, 8, 16, 20 имели на вооружении самолёты М. Фармана с двигателем «Рено»; MF №1, 7,13, 19 с самолетами А. Фармана (двигатель «Гном»); V №14, 21 — «Вуазен»; BL №3, 9, 10, 18 — «Блерио»; D №4, 6 — «Депердюссен»; С11 — с самолетами «Кодрон»; R15 — с самолетами REP; N12 — c «Ньюпорами»; Вr17 — «Бреге»; «кавалерийские» BL С №2, 5 с самолетами «Блерио». Пилотские свидетельства имелись у 220 человек (19791).</w:t>
      </w:r>
    </w:p>
    <w:p w14:paraId="5EADCDC4" w14:textId="77777777" w:rsidR="008B7B07" w:rsidRPr="00DE096C" w:rsidRDefault="008B7B07" w:rsidP="00D45A46">
      <w:pPr>
        <w:pStyle w:val="ae"/>
        <w:shd w:val="clear" w:color="auto" w:fill="FFFFFF"/>
        <w:spacing w:before="0" w:beforeAutospacing="0" w:after="0" w:afterAutospacing="0"/>
        <w:jc w:val="both"/>
        <w:textAlignment w:val="baseline"/>
        <w:rPr>
          <w:bCs/>
          <w:color w:val="002060"/>
          <w:sz w:val="16"/>
          <w:szCs w:val="16"/>
        </w:rPr>
      </w:pPr>
    </w:p>
    <w:p w14:paraId="4CBBC693" w14:textId="47E06519" w:rsidR="00B67D7C" w:rsidRPr="00DE096C" w:rsidRDefault="001F4D16"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августе 1914 г.</w:t>
      </w:r>
      <w:r w:rsidRPr="00DE096C">
        <w:rPr>
          <w:bCs/>
          <w:color w:val="002060"/>
          <w:sz w:val="16"/>
          <w:szCs w:val="16"/>
        </w:rPr>
        <w:t xml:space="preserve"> производительность французской авиапромышленности поначалу даже снизилась в среднем с 96 самолетов в месяц в 1913 г. до 50 в 1914 г</w:t>
      </w:r>
      <w:r w:rsidR="00B67D7C" w:rsidRPr="00DE096C">
        <w:rPr>
          <w:bCs/>
          <w:color w:val="002060"/>
          <w:sz w:val="16"/>
          <w:szCs w:val="16"/>
        </w:rPr>
        <w:t>, и лишь затем стала вновь возрастать - в сентябре было произведено уже 62, а в октябре - 100 самолетов.</w:t>
      </w:r>
    </w:p>
    <w:p w14:paraId="3E481F81" w14:textId="77777777" w:rsidR="001F4D16" w:rsidRPr="00DE096C" w:rsidRDefault="001F4D16" w:rsidP="00D45A46">
      <w:pPr>
        <w:jc w:val="both"/>
        <w:rPr>
          <w:bCs/>
          <w:color w:val="002060"/>
          <w:sz w:val="16"/>
          <w:szCs w:val="16"/>
        </w:rPr>
      </w:pPr>
      <w:r w:rsidRPr="00DE096C">
        <w:rPr>
          <w:bCs/>
          <w:color w:val="002060"/>
          <w:sz w:val="16"/>
          <w:szCs w:val="16"/>
        </w:rPr>
        <w:t xml:space="preserve">Авиапромышленность Франции с начала войны, благодаря заказам Великобритании, России и Италии, нуждавшихся во множестве аэропланов и прежде всего моторов к ним, а также насущной необходимости восполнять быстро растущую нужду собственных военно-воздушных сил, наращивала темпы производства гораздо значительнее, чем в Германии. Но и французская авиапромышленность страдала от так называемого военного удара. Скоро стало недостаточно шарикоподшипников, стальных труб и кабелей, а также и квалифицированных рабочих. </w:t>
      </w:r>
    </w:p>
    <w:p w14:paraId="5ABDC9B2" w14:textId="2A775016" w:rsidR="00B67D7C" w:rsidRPr="00DE096C" w:rsidRDefault="00B67D7C" w:rsidP="00D45A46">
      <w:pPr>
        <w:jc w:val="both"/>
        <w:rPr>
          <w:bCs/>
          <w:color w:val="002060"/>
          <w:sz w:val="16"/>
          <w:szCs w:val="16"/>
        </w:rPr>
      </w:pPr>
      <w:r w:rsidRPr="00DE096C">
        <w:rPr>
          <w:bCs/>
          <w:color w:val="002060"/>
          <w:sz w:val="16"/>
          <w:szCs w:val="16"/>
        </w:rPr>
        <w:t>Требования мировой войны принуждали производителей всех стран, изменить подход к мобилизации и использованию военно-научных потенциалов. Это было особенно актуально для такого молодого производства как авиапромышленность. Спрос на авиационную продукцию неимоверно возрос благодаря новому характеру сбыта (боевым действиям).</w:t>
      </w:r>
    </w:p>
    <w:p w14:paraId="3DEF98C4" w14:textId="77777777" w:rsidR="00B67D7C" w:rsidRPr="00DE096C" w:rsidRDefault="00B67D7C" w:rsidP="00D45A46">
      <w:pPr>
        <w:jc w:val="both"/>
        <w:rPr>
          <w:bCs/>
          <w:color w:val="002060"/>
          <w:sz w:val="16"/>
          <w:szCs w:val="16"/>
        </w:rPr>
      </w:pPr>
      <w:r w:rsidRPr="00DE096C">
        <w:rPr>
          <w:bCs/>
          <w:color w:val="002060"/>
          <w:sz w:val="16"/>
          <w:szCs w:val="16"/>
        </w:rPr>
        <w:t>Более того, теперь, по исходу первых месяцев боевых действий, всем стало ясно, что вместо блицкрига все должны приготовиться к длительной затяжной войне. Из подвижной война превращалась в статичную, что предъявляло отчасти и совершенно новые требования к вооруженным силам и к вооружению.</w:t>
      </w:r>
    </w:p>
    <w:p w14:paraId="2BC46EA5" w14:textId="77777777" w:rsidR="00B67D7C" w:rsidRPr="00DE096C" w:rsidRDefault="00B67D7C" w:rsidP="00D45A46">
      <w:pPr>
        <w:jc w:val="both"/>
        <w:rPr>
          <w:bCs/>
          <w:color w:val="002060"/>
          <w:sz w:val="16"/>
          <w:szCs w:val="16"/>
        </w:rPr>
      </w:pPr>
      <w:r w:rsidRPr="00DE096C">
        <w:rPr>
          <w:bCs/>
          <w:color w:val="002060"/>
          <w:sz w:val="16"/>
          <w:szCs w:val="16"/>
        </w:rPr>
        <w:t>Что касается конкретного применения аэропланов в боевых действиях, то уже в этом году обозначились едва ли не все возможные виды их использования.</w:t>
      </w:r>
    </w:p>
    <w:p w14:paraId="29D588CF" w14:textId="3D147A75" w:rsidR="00B67D7C" w:rsidRPr="00DE096C" w:rsidRDefault="00B67D7C" w:rsidP="00D45A46">
      <w:pPr>
        <w:jc w:val="both"/>
        <w:rPr>
          <w:bCs/>
          <w:color w:val="002060"/>
          <w:sz w:val="16"/>
          <w:szCs w:val="16"/>
        </w:rPr>
      </w:pPr>
      <w:r w:rsidRPr="00DE096C">
        <w:rPr>
          <w:bCs/>
          <w:color w:val="002060"/>
          <w:sz w:val="16"/>
          <w:szCs w:val="16"/>
        </w:rPr>
        <w:t>Все шире стали применять аэропланы для корректирования артиллерийской стрельбы.</w:t>
      </w:r>
      <w:r w:rsidR="0006581C">
        <w:rPr>
          <w:bCs/>
          <w:color w:val="002060"/>
          <w:sz w:val="16"/>
          <w:szCs w:val="16"/>
        </w:rPr>
        <w:t xml:space="preserve"> </w:t>
      </w:r>
      <w:r w:rsidRPr="00DE096C">
        <w:rPr>
          <w:bCs/>
          <w:color w:val="002060"/>
          <w:sz w:val="16"/>
          <w:szCs w:val="16"/>
        </w:rPr>
        <w:t>Как действенное средство сигнализации стали рассматривать в 1914 г. ракетницу. Во Франции применялись, как правило, следующие уведомления: артиллерия сначала стреляла на далекое расстояние, а артнаблюдатель красной ракетой корректировал дальнюю, а зеленой - ближнюю стрельбу. Затем устанавливалась успешность стрельбы по сторонам. Вместо ракет можно было также направлять стрельбу благодаря правому или левому наклону крыльев. Такой способ корректировки оказался не только весьма трудоемким и медленным, но еще и способствовал множеству ошибок. Часто один сигнал принимали за другой, особенно с тех пор как артиллерия стала применяться массированно, и работали многочисленные батареи одновременно. Техническое решение было найдено благодаря развитию беспроволочного телеграфа (11999).</w:t>
      </w:r>
    </w:p>
    <w:p w14:paraId="7FEE3101" w14:textId="77777777" w:rsidR="00B67D7C" w:rsidRPr="00DE096C" w:rsidRDefault="00B67D7C" w:rsidP="00D45A46">
      <w:pPr>
        <w:jc w:val="both"/>
        <w:rPr>
          <w:bCs/>
          <w:color w:val="002060"/>
          <w:sz w:val="16"/>
          <w:szCs w:val="16"/>
        </w:rPr>
      </w:pPr>
    </w:p>
    <w:p w14:paraId="6FDB0253" w14:textId="2DE31125" w:rsidR="00B67D7C" w:rsidRPr="00DE096C" w:rsidRDefault="001F4D16"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августе 1914 года </w:t>
      </w:r>
      <w:r w:rsidRPr="00DE096C">
        <w:rPr>
          <w:bCs/>
          <w:color w:val="002060"/>
          <w:sz w:val="16"/>
          <w:szCs w:val="16"/>
        </w:rPr>
        <w:t xml:space="preserve">начало войны </w:t>
      </w:r>
      <w:r w:rsidR="00B67D7C" w:rsidRPr="00DE096C">
        <w:rPr>
          <w:bCs/>
          <w:color w:val="002060"/>
          <w:sz w:val="16"/>
          <w:szCs w:val="16"/>
        </w:rPr>
        <w:t>застигло французское воздухоплавание в состоянии почти абсолютной неподготовленности к ведению боевых действий. И это несмотря на то, что воздухоплаванием во Франции занимались уже давно и на эти [321] цели были израсходованы большие деньги. Весь парк управляемых аэростатов мягкого типа, которые находились в распоряжении сухопутной армии, устарел. До войны жесткие дирижабли во Франции не получили развития (11324).</w:t>
      </w:r>
    </w:p>
    <w:p w14:paraId="3FF519DF" w14:textId="77777777" w:rsidR="00B67D7C" w:rsidRPr="00DE096C" w:rsidRDefault="00B67D7C" w:rsidP="00D45A46">
      <w:pPr>
        <w:pStyle w:val="a3"/>
        <w:jc w:val="both"/>
        <w:rPr>
          <w:bCs/>
          <w:i w:val="0"/>
          <w:color w:val="002060"/>
          <w:spacing w:val="0"/>
          <w:kern w:val="0"/>
          <w:position w:val="0"/>
          <w:sz w:val="16"/>
          <w:szCs w:val="16"/>
        </w:rPr>
      </w:pPr>
    </w:p>
    <w:p w14:paraId="38EE5342" w14:textId="77777777" w:rsidR="00B67D7C" w:rsidRPr="00DE096C" w:rsidRDefault="00B67D7C" w:rsidP="00D45A46">
      <w:pPr>
        <w:jc w:val="both"/>
        <w:rPr>
          <w:bCs/>
          <w:color w:val="002060"/>
          <w:sz w:val="16"/>
          <w:szCs w:val="16"/>
        </w:rPr>
      </w:pPr>
      <w:r w:rsidRPr="00DE096C">
        <w:rPr>
          <w:bCs/>
          <w:color w:val="002060"/>
          <w:sz w:val="16"/>
          <w:szCs w:val="16"/>
        </w:rPr>
        <w:t xml:space="preserve">В августе 1914 года в исправном состоянии находились следующие дирижабли: </w:t>
      </w:r>
    </w:p>
    <w:p w14:paraId="29FCDD40" w14:textId="77777777" w:rsidR="00B67D7C" w:rsidRPr="00DE096C" w:rsidRDefault="00B67D7C" w:rsidP="00D45A46">
      <w:pPr>
        <w:jc w:val="both"/>
        <w:rPr>
          <w:bCs/>
          <w:color w:val="002060"/>
          <w:sz w:val="16"/>
          <w:szCs w:val="16"/>
        </w:rPr>
      </w:pPr>
      <w:r w:rsidRPr="00DE096C">
        <w:rPr>
          <w:bCs/>
          <w:color w:val="002060"/>
          <w:sz w:val="16"/>
          <w:szCs w:val="16"/>
        </w:rPr>
        <w:t xml:space="preserve">завода «Клеман-Байяр» — «Адъютант Венсено», «Дюпюи де Лом» и «Монгольфье»; </w:t>
      </w:r>
    </w:p>
    <w:p w14:paraId="64C0A4A8" w14:textId="77777777" w:rsidR="00B67D7C" w:rsidRPr="00DE096C" w:rsidRDefault="00B67D7C" w:rsidP="00D45A46">
      <w:pPr>
        <w:jc w:val="both"/>
        <w:rPr>
          <w:bCs/>
          <w:color w:val="002060"/>
          <w:sz w:val="16"/>
          <w:szCs w:val="16"/>
        </w:rPr>
      </w:pPr>
      <w:r w:rsidRPr="00DE096C">
        <w:rPr>
          <w:bCs/>
          <w:color w:val="002060"/>
          <w:sz w:val="16"/>
          <w:szCs w:val="16"/>
        </w:rPr>
        <w:t xml:space="preserve">завода «Астра» — «Контэ» и «Лейтенант Шорэ»; </w:t>
      </w:r>
    </w:p>
    <w:p w14:paraId="4D79BB04" w14:textId="77777777" w:rsidR="00B67D7C" w:rsidRPr="00DE096C" w:rsidRDefault="00B67D7C" w:rsidP="00D45A46">
      <w:pPr>
        <w:jc w:val="both"/>
        <w:rPr>
          <w:bCs/>
          <w:color w:val="002060"/>
          <w:sz w:val="16"/>
          <w:szCs w:val="16"/>
        </w:rPr>
      </w:pPr>
      <w:r w:rsidRPr="00DE096C">
        <w:rPr>
          <w:bCs/>
          <w:color w:val="002060"/>
          <w:sz w:val="16"/>
          <w:szCs w:val="16"/>
        </w:rPr>
        <w:t xml:space="preserve">завода «Зодиак» — «Капитан Фербер» и «Флерю». </w:t>
      </w:r>
    </w:p>
    <w:p w14:paraId="52085734" w14:textId="77777777" w:rsidR="00B67D7C" w:rsidRPr="00DE096C" w:rsidRDefault="00B67D7C" w:rsidP="00D45A46">
      <w:pPr>
        <w:jc w:val="both"/>
        <w:rPr>
          <w:bCs/>
          <w:color w:val="002060"/>
          <w:sz w:val="16"/>
          <w:szCs w:val="16"/>
        </w:rPr>
      </w:pPr>
      <w:r w:rsidRPr="00DE096C">
        <w:rPr>
          <w:bCs/>
          <w:color w:val="002060"/>
          <w:sz w:val="16"/>
          <w:szCs w:val="16"/>
        </w:rPr>
        <w:t xml:space="preserve">Эти дирижабли базировались в городах Мобеж, Верден, Туль, Эпиналь, Бельфор. Позднее были построены разборные эллинги в городе Гревекер департамента Уаза. </w:t>
      </w:r>
    </w:p>
    <w:p w14:paraId="25063C0F" w14:textId="77777777" w:rsidR="00B67D7C" w:rsidRPr="00DE096C" w:rsidRDefault="00B67D7C" w:rsidP="00D45A46">
      <w:pPr>
        <w:jc w:val="both"/>
        <w:rPr>
          <w:bCs/>
          <w:color w:val="002060"/>
          <w:sz w:val="16"/>
          <w:szCs w:val="16"/>
        </w:rPr>
      </w:pPr>
      <w:r w:rsidRPr="00DE096C">
        <w:rPr>
          <w:bCs/>
          <w:color w:val="002060"/>
          <w:sz w:val="16"/>
          <w:szCs w:val="16"/>
        </w:rPr>
        <w:t>Из крепостных воздухоплавательных подразделений и их воздушных кораблей к боевым действиям были готовы только «Флерю», «Монгольфье», «Адъютант Венсено», «Дюпюи де Лом» и «Контэ». Остальные из-за своего низкого потолка и неудовлетворительного технического состояния не представляли собой какой бы то ни было боевой ценности. Подготовленных кадров воздухоплавателей почти не было, и французам пришлось наспех сколачивать воздухоплавательные части с управляемыми аэростатами. С таким слабым парком французское воздухоплавание вступило в войну (11324).</w:t>
      </w:r>
    </w:p>
    <w:p w14:paraId="7B3AE0F0" w14:textId="77777777" w:rsidR="00B67D7C" w:rsidRPr="00DE096C" w:rsidRDefault="00B67D7C" w:rsidP="00D45A46">
      <w:pPr>
        <w:jc w:val="both"/>
        <w:rPr>
          <w:bCs/>
          <w:i/>
          <w:color w:val="002060"/>
          <w:sz w:val="16"/>
          <w:szCs w:val="16"/>
        </w:rPr>
      </w:pPr>
    </w:p>
    <w:p w14:paraId="4B2B818F" w14:textId="77777777" w:rsidR="004E5920" w:rsidRPr="00DE096C" w:rsidRDefault="004E5920" w:rsidP="00D45A46">
      <w:pPr>
        <w:jc w:val="both"/>
        <w:rPr>
          <w:bCs/>
          <w:color w:val="002060"/>
          <w:sz w:val="16"/>
          <w:szCs w:val="16"/>
        </w:rPr>
      </w:pPr>
      <w:r w:rsidRPr="00DE096C">
        <w:rPr>
          <w:bCs/>
          <w:color w:val="002060"/>
          <w:sz w:val="16"/>
          <w:szCs w:val="16"/>
        </w:rPr>
        <w:t>В августе 1914 г., по воспоминаниям военного министра Франции А. Мессими, он пригласив представителей фирм, по</w:t>
      </w:r>
      <w:r w:rsidRPr="00DE096C">
        <w:rPr>
          <w:bCs/>
          <w:color w:val="002060"/>
          <w:sz w:val="16"/>
          <w:szCs w:val="16"/>
        </w:rPr>
        <w:softHyphen/>
        <w:t>требовал подчиняться его указаниям, открыто и прямо при</w:t>
      </w:r>
      <w:r w:rsidRPr="00DE096C">
        <w:rPr>
          <w:bCs/>
          <w:color w:val="002060"/>
          <w:sz w:val="16"/>
          <w:szCs w:val="16"/>
        </w:rPr>
        <w:softHyphen/>
        <w:t>грозив взять их заводы в казенное управление. В таком случае предприниматели могли, конечно, во имя интересов нации временно лишиться святого — своих прибылей (</w:t>
      </w:r>
      <w:r w:rsidRPr="00DE096C">
        <w:rPr>
          <w:bCs/>
          <w:color w:val="002060"/>
          <w:sz w:val="16"/>
          <w:szCs w:val="16"/>
          <w:lang w:val="en-US" w:bidi="en-US"/>
        </w:rPr>
        <w:t>Messimy</w:t>
      </w:r>
      <w:r w:rsidRPr="00DE096C">
        <w:rPr>
          <w:bCs/>
          <w:color w:val="002060"/>
          <w:sz w:val="16"/>
          <w:szCs w:val="16"/>
          <w:lang w:bidi="en-US"/>
        </w:rPr>
        <w:t xml:space="preserve">, </w:t>
      </w:r>
      <w:r w:rsidRPr="00DE096C">
        <w:rPr>
          <w:bCs/>
          <w:color w:val="002060"/>
          <w:sz w:val="16"/>
          <w:szCs w:val="16"/>
        </w:rPr>
        <w:t xml:space="preserve">%ёпёга1. </w:t>
      </w:r>
      <w:r w:rsidRPr="00DE096C">
        <w:rPr>
          <w:bCs/>
          <w:color w:val="002060"/>
          <w:sz w:val="16"/>
          <w:szCs w:val="16"/>
          <w:lang w:val="en-US" w:bidi="en-US"/>
        </w:rPr>
        <w:t>Mes</w:t>
      </w:r>
      <w:r w:rsidRPr="00DE096C">
        <w:rPr>
          <w:bCs/>
          <w:color w:val="002060"/>
          <w:sz w:val="16"/>
          <w:szCs w:val="16"/>
          <w:lang w:bidi="en-US"/>
        </w:rPr>
        <w:t xml:space="preserve"> </w:t>
      </w:r>
      <w:r w:rsidRPr="00DE096C">
        <w:rPr>
          <w:bCs/>
          <w:color w:val="002060"/>
          <w:sz w:val="16"/>
          <w:szCs w:val="16"/>
          <w:lang w:val="en-US" w:bidi="en-US"/>
        </w:rPr>
        <w:t>souvenirs</w:t>
      </w:r>
      <w:r w:rsidRPr="00DE096C">
        <w:rPr>
          <w:bCs/>
          <w:color w:val="002060"/>
          <w:sz w:val="16"/>
          <w:szCs w:val="16"/>
          <w:lang w:bidi="en-US"/>
        </w:rPr>
        <w:t xml:space="preserve">. </w:t>
      </w:r>
      <w:r w:rsidRPr="00DE096C">
        <w:rPr>
          <w:bCs/>
          <w:color w:val="002060"/>
          <w:sz w:val="16"/>
          <w:szCs w:val="16"/>
          <w:lang w:val="en-US" w:bidi="en-US"/>
        </w:rPr>
        <w:t>Paris</w:t>
      </w:r>
      <w:r w:rsidRPr="00DE096C">
        <w:rPr>
          <w:bCs/>
          <w:color w:val="002060"/>
          <w:sz w:val="16"/>
          <w:szCs w:val="16"/>
          <w:lang w:bidi="en-US"/>
        </w:rPr>
        <w:t xml:space="preserve">, </w:t>
      </w:r>
      <w:r w:rsidRPr="00DE096C">
        <w:rPr>
          <w:bCs/>
          <w:color w:val="002060"/>
          <w:sz w:val="16"/>
          <w:szCs w:val="16"/>
        </w:rPr>
        <w:t>1937. Р. 326), но и только. Подобная буржуазная ограниченность не шла в сравнение с «глубиной русской государственной мысли» (А.И. Солженицын), неторопливо и тщательно готовившей правовую базу для «отобрания» предприятия за бесценок (23452).</w:t>
      </w:r>
    </w:p>
    <w:p w14:paraId="5F162E9A" w14:textId="77777777" w:rsidR="004E5920" w:rsidRPr="00DE096C" w:rsidRDefault="004E5920" w:rsidP="00D45A46">
      <w:pPr>
        <w:jc w:val="both"/>
        <w:rPr>
          <w:bCs/>
          <w:color w:val="002060"/>
          <w:sz w:val="16"/>
          <w:szCs w:val="16"/>
        </w:rPr>
      </w:pPr>
    </w:p>
    <w:p w14:paraId="00505829" w14:textId="77777777" w:rsidR="00062977" w:rsidRPr="00DE096C" w:rsidRDefault="00062977" w:rsidP="00062977">
      <w:pPr>
        <w:jc w:val="both"/>
        <w:rPr>
          <w:bCs/>
          <w:i/>
          <w:color w:val="002060"/>
          <w:sz w:val="16"/>
          <w:szCs w:val="16"/>
        </w:rPr>
      </w:pPr>
      <w:r w:rsidRPr="00DE096C">
        <w:rPr>
          <w:bCs/>
          <w:i/>
          <w:color w:val="002060"/>
          <w:sz w:val="16"/>
          <w:szCs w:val="16"/>
        </w:rPr>
        <w:t>Авиация и воздухоплавание Германии:</w:t>
      </w:r>
    </w:p>
    <w:p w14:paraId="2552C9EE" w14:textId="77777777" w:rsidR="00062977" w:rsidRPr="00DE096C" w:rsidRDefault="00062977" w:rsidP="00062977">
      <w:pPr>
        <w:jc w:val="both"/>
        <w:rPr>
          <w:bCs/>
          <w:i/>
          <w:color w:val="002060"/>
          <w:sz w:val="16"/>
          <w:szCs w:val="16"/>
        </w:rPr>
      </w:pPr>
    </w:p>
    <w:p w14:paraId="7419694E" w14:textId="77777777" w:rsidR="00062977" w:rsidRPr="00DE096C" w:rsidRDefault="00062977" w:rsidP="00062977">
      <w:pPr>
        <w:jc w:val="both"/>
        <w:rPr>
          <w:bCs/>
          <w:color w:val="002060"/>
          <w:sz w:val="16"/>
          <w:szCs w:val="16"/>
        </w:rPr>
      </w:pPr>
      <w:r w:rsidRPr="00DE096C">
        <w:rPr>
          <w:bCs/>
          <w:color w:val="002060"/>
          <w:sz w:val="16"/>
          <w:szCs w:val="16"/>
        </w:rPr>
        <w:t xml:space="preserve">С августа 1914 г. в начале войны морское воздухоплавание не проявляло особой активности. Дивизион воздушных кораблей в этот момент завершал освоение цеппелина L-3, вскоре начавшего патрулирование Северного моря с базы в Фульсбиттеле. Он усердно старался летать в любую погоду и настойчиво стремился охватить зону патрулирования до норвежских берегов. На фоне армейских воздухоплавательных частей, которые насчитывали 6 боевых цеппелинов, флот выглядел бледно, однако баланс довольно быстро восстановился после того, как погибли армейские корабли Z-VI, Z-VII и Z-VIII, выполнявшие разведывательные полеты над Бельгией и Францией. В отличие от армейского воздухоплавания, которое было несколько деморализовано первыми тяжелыми потерями, моряки постоянно повышали выучку экипажей и играли ведущую роль в боевом использовании цеппелинов. </w:t>
      </w:r>
    </w:p>
    <w:p w14:paraId="0DE9C642" w14:textId="77777777" w:rsidR="00062977" w:rsidRPr="00DE096C" w:rsidRDefault="00062977" w:rsidP="00062977">
      <w:pPr>
        <w:jc w:val="both"/>
        <w:rPr>
          <w:bCs/>
          <w:color w:val="002060"/>
          <w:sz w:val="16"/>
          <w:szCs w:val="16"/>
        </w:rPr>
      </w:pPr>
      <w:r w:rsidRPr="00DE096C">
        <w:rPr>
          <w:bCs/>
          <w:color w:val="002060"/>
          <w:sz w:val="16"/>
          <w:szCs w:val="16"/>
        </w:rPr>
        <w:t xml:space="preserve">«Когда, наконец, армия поймет, что дирижабли не предназначены для ведения разведки и рекогносцировки?» — возмущался Штрассер. Он не стеснялся высказывать свое возмущение и высокому военному начальству, ратовавшему за отказ от использования цеппелинов в военных целях. «Разведка [97] над линией фронта и в тылу — дело самолетов, маленьких, легких, быстроходных. Они мало уязвимы от огня с земли. Стихия дирижаблей — полеты ночью, в плохую погоду и обязательно на большой высоте. Их задача — подкрасться незаметно и обрушить на голову врага груз фугасных и зажигательных бомб». </w:t>
      </w:r>
    </w:p>
    <w:p w14:paraId="5C677B43" w14:textId="77777777" w:rsidR="00062977" w:rsidRPr="00DE096C" w:rsidRDefault="00062977" w:rsidP="00062977">
      <w:pPr>
        <w:jc w:val="both"/>
        <w:rPr>
          <w:bCs/>
          <w:color w:val="002060"/>
          <w:sz w:val="16"/>
          <w:szCs w:val="16"/>
        </w:rPr>
      </w:pPr>
      <w:r w:rsidRPr="00DE096C">
        <w:rPr>
          <w:bCs/>
          <w:color w:val="002060"/>
          <w:sz w:val="16"/>
          <w:szCs w:val="16"/>
        </w:rPr>
        <w:t xml:space="preserve">Главные задачи морских дирижаблей в общем были сходны с задачами дирижаблей сухопутной армии, но естественно, что здесь играли роль еще и большие расстояния. В рамках ведения морской войны, наряду с бомбардировочными налетами, немаловажное значение имела дальняя разведка и воздушная охрана прибрежных районов. Сравнивая работу самолетов и дирижаблей за время войны, адмирал Шеер писал: «Для большего радиуса разведки они (дирижабли) сохранили свое значение и преимущество перед самолетами, потому что они могут гораздо дольше держаться в воздухе и не зависят от вспомогательных судов». </w:t>
      </w:r>
    </w:p>
    <w:p w14:paraId="08F09668" w14:textId="77777777" w:rsidR="00062977" w:rsidRPr="00DE096C" w:rsidRDefault="00062977" w:rsidP="00062977">
      <w:pPr>
        <w:jc w:val="both"/>
        <w:rPr>
          <w:bCs/>
          <w:color w:val="002060"/>
          <w:sz w:val="16"/>
          <w:szCs w:val="16"/>
        </w:rPr>
      </w:pPr>
      <w:r w:rsidRPr="00DE096C">
        <w:rPr>
          <w:bCs/>
          <w:color w:val="002060"/>
          <w:sz w:val="16"/>
          <w:szCs w:val="16"/>
        </w:rPr>
        <w:t xml:space="preserve">Уместно привести и менее одобрительный по этому поводу отзыв адмирала фон Тирпица. В его воспоминаниях имеется такое место: «Я, как морской офицер, который знаком с силой и коварством ветра еще по парусному флоту, никогда не ожидал очень многого от дирижаблей, и война доказала, что я был прав». Однако тот же Тирпиц говорил и совсем другое: «Я лично убежден в том, что аэропланы необыкновенно пригодны для морской боевой службы, но цеппелины превосходят их в этом случае». </w:t>
      </w:r>
    </w:p>
    <w:p w14:paraId="10C6B7D3" w14:textId="77777777" w:rsidR="00062977" w:rsidRPr="00DE096C" w:rsidRDefault="00062977" w:rsidP="00062977">
      <w:pPr>
        <w:jc w:val="both"/>
        <w:rPr>
          <w:bCs/>
          <w:color w:val="002060"/>
          <w:sz w:val="16"/>
          <w:szCs w:val="16"/>
        </w:rPr>
      </w:pPr>
      <w:r w:rsidRPr="00DE096C">
        <w:rPr>
          <w:bCs/>
          <w:color w:val="002060"/>
          <w:sz w:val="16"/>
          <w:szCs w:val="16"/>
        </w:rPr>
        <w:t xml:space="preserve">«Даже в самые тяжелые для Дивизиона воздушных кораблей дни, его командир ни на секунду не терял веру в большое военное будущее дирижаблей, — вспоминал фон Буттлар. — В начале войны Штрассер постоянно был занят тем, что пытался доказать эту аксиому флотскому начальству». </w:t>
      </w:r>
    </w:p>
    <w:p w14:paraId="3286DB4A" w14:textId="77777777" w:rsidR="00062977" w:rsidRPr="00DE096C" w:rsidRDefault="00062977" w:rsidP="00062977">
      <w:pPr>
        <w:jc w:val="both"/>
        <w:rPr>
          <w:bCs/>
          <w:color w:val="002060"/>
          <w:sz w:val="16"/>
          <w:szCs w:val="16"/>
        </w:rPr>
      </w:pPr>
      <w:r w:rsidRPr="00DE096C">
        <w:rPr>
          <w:bCs/>
          <w:color w:val="002060"/>
          <w:sz w:val="16"/>
          <w:szCs w:val="16"/>
        </w:rPr>
        <w:t xml:space="preserve">А вот что писал по этому поводу еще один офицер дивизиона Ганс фон Шиллер: «Его тактика была проста. Сначала Штрассер брал начальство в осаду своими бесконечными рапортами, предложениями, запросами, иногда не совсем реальными. Затем, когда оборона противника начинала давать слабину, он вводил в действие «главный калибр» — кого-нибудь из виднейших авторитетов воздухоплавания, включая Хуго Эккнера и самого графа Цеппелина. И в конце концов добивался своего». </w:t>
      </w:r>
    </w:p>
    <w:p w14:paraId="7A978437" w14:textId="77777777" w:rsidR="00062977" w:rsidRPr="00DE096C" w:rsidRDefault="00062977" w:rsidP="00062977">
      <w:pPr>
        <w:jc w:val="both"/>
        <w:rPr>
          <w:bCs/>
          <w:color w:val="002060"/>
          <w:sz w:val="16"/>
          <w:szCs w:val="16"/>
        </w:rPr>
      </w:pPr>
      <w:r w:rsidRPr="00DE096C">
        <w:rPr>
          <w:bCs/>
          <w:color w:val="002060"/>
          <w:sz w:val="16"/>
          <w:szCs w:val="16"/>
        </w:rPr>
        <w:t xml:space="preserve">Удивительной чертой Петера Штрассера было полное отсутствие чувства страха пред начальством. Иногда казалось, что собственная карьера его нисколько не волнует. В то время как все военное руководство Германии во главе с кайзером ополчилось против дирижаблей, лейтенант Штрассер позволял себе спорить с </w:t>
      </w:r>
      <w:r w:rsidRPr="00DE096C">
        <w:rPr>
          <w:bCs/>
          <w:color w:val="002060"/>
          <w:sz w:val="16"/>
          <w:szCs w:val="16"/>
        </w:rPr>
        <w:lastRenderedPageBreak/>
        <w:t xml:space="preserve">адмиралами, отстаивая необходимость постройки сети воздухоплавательных баз на побережье Северного моря, в непосредственной близости от берегов Великобритании. И, самое удивительное, добился своего — уже до конца 1914 года дирижабли флота могли базироваться в Тондерне, Седдене и Нордхольце. Причем для крупнейшей базы дивизиона в Нордхольце Штрассер лично спроектировал громадный [98] эллинг, в котором могли поместиться сразу 4 цеппелина. Ко всему прочему, это чудо техники поворачивалось вокруг своей оси, что позволяло осуществлять вывод дирижаблей прямо против ветра. </w:t>
      </w:r>
    </w:p>
    <w:p w14:paraId="21B8261F" w14:textId="77777777" w:rsidR="00062977" w:rsidRPr="00DE096C" w:rsidRDefault="00062977" w:rsidP="00062977">
      <w:pPr>
        <w:jc w:val="both"/>
        <w:rPr>
          <w:bCs/>
          <w:color w:val="002060"/>
          <w:sz w:val="16"/>
          <w:szCs w:val="16"/>
        </w:rPr>
      </w:pPr>
      <w:r w:rsidRPr="00DE096C">
        <w:rPr>
          <w:bCs/>
          <w:color w:val="002060"/>
          <w:sz w:val="16"/>
          <w:szCs w:val="16"/>
        </w:rPr>
        <w:t xml:space="preserve">Об эллингах необходимо сказать особо. В опубликованных архивах германского морского штаба за 1914-1918 годы имеется очень интересная информация о том, что во время одного из сражений понадобилось в срочном порядке провести дирижаблями L-11 и L-17, базирующимися в Нордхольце, разведку тылов противника. Эту задачу они не выполнили. В документах лаконично было сказано, что наземная команда не смогла вывести цеппелины из эллинга по причине сильного бокового ветра. Возникшую проблему удалось разрешить только с помощью L-21 и L-23, которые содержались в эллинге, способном разворачиваться в нужную сторону по ветру и тем самым сводить к минимуму вредные воздействия воздушных завихрений. </w:t>
      </w:r>
    </w:p>
    <w:p w14:paraId="309B3BB8" w14:textId="77777777" w:rsidR="00062977" w:rsidRPr="00DE096C" w:rsidRDefault="00062977" w:rsidP="00062977">
      <w:pPr>
        <w:jc w:val="both"/>
        <w:rPr>
          <w:bCs/>
          <w:color w:val="002060"/>
          <w:sz w:val="16"/>
          <w:szCs w:val="16"/>
        </w:rPr>
      </w:pPr>
      <w:r w:rsidRPr="00DE096C">
        <w:rPr>
          <w:bCs/>
          <w:color w:val="002060"/>
          <w:sz w:val="16"/>
          <w:szCs w:val="16"/>
        </w:rPr>
        <w:t xml:space="preserve">Над вопросами аэродинамики эллингов стали задумываться еще до войны, но до конца решить эту задачу из-за ее сложности для техники тех лет так и не смогли. Самым ответственным моментом при парковке дирижабля в эллинг является подход аппарата к его воротам. Здесь завихрения воздушных потоков наиболее сильны и очень опасны для гигантских воздушных кораблей. Когда нос дирижабля вошел в ворота, эта опасность устраняется, но не для всех эллингов. Так эллинг Лейкхерста, вмещавший 2 дирижабля, создавал вредные завихрения и после ввода носовой части корабля в ворота. Гигантские размеры строения и особенно его высота образовывали ниспадающий поток воздуха, который давил на дирижабль, пытаясь прижать его к земле. Эти завихрения при открытых воротах преследовали дирижабль и внутри эллинга. Несмотря на широкие ворота, ввести и вывести воздушный корабль из неподвижного эллинга Лейкхерста при перпендикулярных воздушных потоках всегда представляло проблему. </w:t>
      </w:r>
    </w:p>
    <w:p w14:paraId="4E4ECE1F" w14:textId="77777777" w:rsidR="00062977" w:rsidRPr="00DE096C" w:rsidRDefault="00062977" w:rsidP="00062977">
      <w:pPr>
        <w:jc w:val="both"/>
        <w:rPr>
          <w:bCs/>
          <w:color w:val="002060"/>
          <w:sz w:val="16"/>
          <w:szCs w:val="16"/>
        </w:rPr>
      </w:pPr>
      <w:r w:rsidRPr="00DE096C">
        <w:rPr>
          <w:bCs/>
          <w:color w:val="002060"/>
          <w:sz w:val="16"/>
          <w:szCs w:val="16"/>
        </w:rPr>
        <w:t xml:space="preserve">Остроту ситуации удалось ослабить, когда были созданы причальные мачты, которые резко упростили маневры при швартовке воздушного корабля и стали единственно приемлемым и дешевым средством временного хранения дирижаблей на промежуточных стоянках. К причальным мачтам предъявлялись определенные требования: высота ее должна была составлять 60-90 м для того, чтобы устранить возможность столкновения дирижабля с землей; следовало обеспечить полную свободу в горизонтальном перемещении (принцип флюгера), чтобы ликвидировать последствия боковых ударов ветра; мачта должна была быть достаточно жесткой, чтобы не допустить резонансных явлений. </w:t>
      </w:r>
    </w:p>
    <w:p w14:paraId="404651A8" w14:textId="77777777" w:rsidR="00062977" w:rsidRPr="00DE096C" w:rsidRDefault="00062977" w:rsidP="00062977">
      <w:pPr>
        <w:jc w:val="both"/>
        <w:rPr>
          <w:bCs/>
          <w:color w:val="002060"/>
          <w:sz w:val="16"/>
          <w:szCs w:val="16"/>
        </w:rPr>
      </w:pPr>
      <w:r w:rsidRPr="00DE096C">
        <w:rPr>
          <w:bCs/>
          <w:color w:val="002060"/>
          <w:sz w:val="16"/>
          <w:szCs w:val="16"/>
        </w:rPr>
        <w:t xml:space="preserve">Германия, начиная войну, рассчитывала, что Великобритания останется нейтральной. Когда же та все-таки выступила на стороне Франции, в Германии поднялась волна истерической ненависти к «коварному Альбиону». Местью должно было стать уничтожение [99] военно-морской мощи на пока еще недоступных островах при помощи цеппелинов. Император Вильгельм II долгое время запрещал использование дирижаблей для бомбардировки городов и решительно определил вначале список целей и запретных областей, однако реальность отличалась от замыслов. Отсутствие средств точной ориентации в ночное время привело к тому, что командиры цеппелинов сбрасывали свои бомбы чаще на мирных жителей, чем на военные объекты. </w:t>
      </w:r>
    </w:p>
    <w:p w14:paraId="64B75E10" w14:textId="77777777" w:rsidR="00062977" w:rsidRPr="00DE096C" w:rsidRDefault="00062977" w:rsidP="00062977">
      <w:pPr>
        <w:jc w:val="both"/>
        <w:rPr>
          <w:bCs/>
          <w:color w:val="002060"/>
          <w:sz w:val="16"/>
          <w:szCs w:val="16"/>
        </w:rPr>
      </w:pPr>
      <w:r w:rsidRPr="00DE096C">
        <w:rPr>
          <w:bCs/>
          <w:color w:val="002060"/>
          <w:sz w:val="16"/>
          <w:szCs w:val="16"/>
        </w:rPr>
        <w:t xml:space="preserve">Но прежде чем приступить к серьезным бомбардировочным операциям, необходимо было увеличить число действующих дирижаблей и подготовить достаточное количество новых экипажей для них. «Люфтшиффбау Цеппелин» и в меньшей степени «Шютте-Ланц» начали работать на полную мощь. Заводы Цеппелина разворачивались, пришло много рабочих и специалистов. Его заводы постепенно превратились в огромные военные предприятия. Вместо того чтобы спокойно доживать свой век дома, в своем имении, он большей частью жил в гостинице рядом с Фридрихсхафеном, часто посещая заводы, где собирали его дирижабли. Фердинанд фон Цеппелин к этому времени стал скорее символом дирежаблестроения, чем действующим лицом. В глазах общественности граф по-прежнему возглавлял созданное им дело, хотя реально уже не участвовал в управлении компанией. Тем не менее он доставлял немало хлопот многим влиятельным людям страны, когда в начале войны с неожиданной для его возраста активностью пытался ускорить темпы строительства воздушных кораблей. </w:t>
      </w:r>
    </w:p>
    <w:p w14:paraId="69A08951" w14:textId="77777777" w:rsidR="00062977" w:rsidRPr="00DE096C" w:rsidRDefault="00062977" w:rsidP="00062977">
      <w:pPr>
        <w:jc w:val="both"/>
        <w:rPr>
          <w:bCs/>
          <w:color w:val="002060"/>
          <w:sz w:val="16"/>
          <w:szCs w:val="16"/>
        </w:rPr>
      </w:pPr>
      <w:r w:rsidRPr="00DE096C">
        <w:rPr>
          <w:bCs/>
          <w:color w:val="002060"/>
          <w:sz w:val="16"/>
          <w:szCs w:val="16"/>
        </w:rPr>
        <w:t xml:space="preserve">Несмотря на то что ему в 1914 году исполнилось 76 лет, он со всей своей неуемной энергией и страстью занимался новым проектом — созданием больших самолетов. Активный изобретатель дирижаблей, фон Цеппелин не остался фанатичным приверженцем только этой идеи, он ясно осознавал и огромный военный потенциал аэропланов. Вскоре после начала войны Цеппелин организовал компанию по изготовлению бомбардировщика, способного нести 1000-кг бомбу. Учитывая громадный опыт и энергию графа, можно было не сомневаться в успехе. Фактически уже первый такой бомбардировщик «Гота» показал неплохие результаты, и военные, которые вначале достаточно не серьезно отнеслись к этой инициативе Цеппелина, активно заинтересовались проектом. Были построены большие четырех — и даже пятимоторные бомбардировщики. Но старый граф не дожил до той поры, когда его творение получило боевое крещение. </w:t>
      </w:r>
    </w:p>
    <w:p w14:paraId="4EC0CBC8" w14:textId="77777777" w:rsidR="00062977" w:rsidRPr="00DE096C" w:rsidRDefault="00062977" w:rsidP="00062977">
      <w:pPr>
        <w:jc w:val="both"/>
        <w:rPr>
          <w:bCs/>
          <w:color w:val="002060"/>
          <w:sz w:val="16"/>
          <w:szCs w:val="16"/>
        </w:rPr>
      </w:pPr>
      <w:r w:rsidRPr="00DE096C">
        <w:rPr>
          <w:bCs/>
          <w:color w:val="002060"/>
          <w:sz w:val="16"/>
          <w:szCs w:val="16"/>
        </w:rPr>
        <w:t xml:space="preserve">Эрнст Хейнкель вспоминал: «Что же касается моей работы в области создания многомоторных самолетов, то она имеет свою историю. Начавшаяся война разлучила меня с Гельмутом Хиртом. До меня доходили слухи, что этот известный летчик служит в армии, а его авиационное соединение базируется в местечке Менц. В конце лета 1915 года, находясь в Бранденбурге, я получил довольно длинную телеграмму от отца Гельмута. В ней мне предлагалось прибыть [100] 1 сентября в Штутгарт в дом Клейна, директора одного из заводов, принадлежавших промышленнику Бошу. </w:t>
      </w:r>
    </w:p>
    <w:p w14:paraId="55568BF3" w14:textId="77777777" w:rsidR="00062977" w:rsidRPr="00DE096C" w:rsidRDefault="00062977" w:rsidP="00062977">
      <w:pPr>
        <w:jc w:val="both"/>
        <w:rPr>
          <w:bCs/>
          <w:color w:val="002060"/>
          <w:sz w:val="16"/>
          <w:szCs w:val="16"/>
        </w:rPr>
      </w:pPr>
      <w:r w:rsidRPr="00DE096C">
        <w:rPr>
          <w:bCs/>
          <w:color w:val="002060"/>
          <w:sz w:val="16"/>
          <w:szCs w:val="16"/>
        </w:rPr>
        <w:t xml:space="preserve">Клейна я знал лично и познакомился с ним, когда он приобретал в собственное пользование один из самолетов компании «Альбатрос». Он имел в Штутгарте дом, но жил в нем мало. Основным местом его жительства было небольшое поместье на берегу озера Бодензее. Мы с Гельмутом Хиртом доставили купленный им за 15 000 марок самолет в его загородный дом. Клейн встретил нас в рабочей одежде с инструментом в руках. Он собственноручно чинил крышу большого сарая, куда хотел поставить доставленный нами самолет. Директор, который сам чинит крышу, произвел на меня сильное впечатление, и я проникся к нему уважением. Увидев в телеграмме его фамилию, я тотчас же решил выехать в Штутгарт. </w:t>
      </w:r>
    </w:p>
    <w:p w14:paraId="7443D060" w14:textId="77777777" w:rsidR="00062977" w:rsidRPr="00DE096C" w:rsidRDefault="00062977" w:rsidP="00062977">
      <w:pPr>
        <w:jc w:val="both"/>
        <w:rPr>
          <w:bCs/>
          <w:color w:val="002060"/>
          <w:sz w:val="16"/>
          <w:szCs w:val="16"/>
        </w:rPr>
      </w:pPr>
      <w:r w:rsidRPr="00DE096C">
        <w:rPr>
          <w:bCs/>
          <w:color w:val="002060"/>
          <w:sz w:val="16"/>
          <w:szCs w:val="16"/>
        </w:rPr>
        <w:t xml:space="preserve">В Штутгарте я оказался под вечер и поехал домой к Клейну. У него собралось довольно интересное общество, которое, откровенно говоря, привело меня в некоторое смущение. Первое, что бросилось мне в глаза, это круглая голова и большие белые усы графа Цеппелина. Передо мной был человек, которому я благодарен за то, что он своим подвигом привел меня в авиацию. Кроме того, я увидел окладистую бороду Роберта Боша, одного из крупных промышленников Германии. Здесь был и отец Гельмута Хирта, который мне слегка поклонился. Клейн представил меня собравшимся и сообщил все, что знал обо мне. Меня коротко ввели в курс дела. </w:t>
      </w:r>
    </w:p>
    <w:p w14:paraId="689DF0AD" w14:textId="77777777" w:rsidR="00062977" w:rsidRPr="00DE096C" w:rsidRDefault="00062977" w:rsidP="00062977">
      <w:pPr>
        <w:jc w:val="both"/>
        <w:rPr>
          <w:bCs/>
          <w:color w:val="002060"/>
          <w:sz w:val="16"/>
          <w:szCs w:val="16"/>
        </w:rPr>
      </w:pPr>
      <w:r w:rsidRPr="00DE096C">
        <w:rPr>
          <w:bCs/>
          <w:color w:val="002060"/>
          <w:sz w:val="16"/>
          <w:szCs w:val="16"/>
        </w:rPr>
        <w:t xml:space="preserve">Старый граф Цеппелин, осознавший, что его военные дирижабли к тому времени стали прекрасной мишенью для самолетов Антанты, прибыл сюда с единственным желанием создать большой самолет или дирижабль, который мог бы сбросить огромную бомбу на лондонскую гавань. Он полагал, что волна от такого взрыва потопит там все суда. Участники совещания пытались доказать ему, что взрыв от большой бомбы поднимет воду вверх и не создаст достаточно мощной волны, а поэтому его идея ошибочна. Цеппелин не был согласен с выдвинутыми доводами, но спорить прекратил. </w:t>
      </w:r>
    </w:p>
    <w:p w14:paraId="0E271C27" w14:textId="77777777" w:rsidR="00062977" w:rsidRPr="00DE096C" w:rsidRDefault="00062977" w:rsidP="00062977">
      <w:pPr>
        <w:jc w:val="both"/>
        <w:rPr>
          <w:bCs/>
          <w:color w:val="002060"/>
          <w:sz w:val="16"/>
          <w:szCs w:val="16"/>
        </w:rPr>
      </w:pPr>
      <w:r w:rsidRPr="00DE096C">
        <w:rPr>
          <w:bCs/>
          <w:color w:val="002060"/>
          <w:sz w:val="16"/>
          <w:szCs w:val="16"/>
        </w:rPr>
        <w:t xml:space="preserve">Выступавший в качестве консультанта профессор Солман доказывал, что ни дирижаблестроение, ни самолетостроение не в состоянии на нынешнем этапе создать конструкцию летательного аппарата, способного произвести такую бомбардировку. В заключение своего выступления, ссылаясь на Роберта Боша, он сказал, что у того имеется план создания большого бомбардировщика, который вполне можно реализовать. Взявший слово Бош заявил, что он готов представить собравшимся план и попытался вкратце изложить его суть. Из его доклада выяснилось, что идея большого бомбардировщика возникла у Гельмута Хирта, о чем он и сообщил своему отцу. Сам Бош узнал о ней от старого Хирта. В своем письме Гельмут Хирт также сообщал отцу, что без моей помощи такой самолет невозможно будет построить. Поэтому меня пригласили в дом Клейна для важного разговора. [101] </w:t>
      </w:r>
    </w:p>
    <w:p w14:paraId="0D6FCEF3" w14:textId="77777777" w:rsidR="00062977" w:rsidRPr="00DE096C" w:rsidRDefault="00062977" w:rsidP="00062977">
      <w:pPr>
        <w:jc w:val="both"/>
        <w:rPr>
          <w:bCs/>
          <w:color w:val="002060"/>
          <w:sz w:val="16"/>
          <w:szCs w:val="16"/>
        </w:rPr>
      </w:pPr>
      <w:r w:rsidRPr="00DE096C">
        <w:rPr>
          <w:bCs/>
          <w:color w:val="002060"/>
          <w:sz w:val="16"/>
          <w:szCs w:val="16"/>
        </w:rPr>
        <w:t xml:space="preserve">Мы долго обсуждали возможную конструкцию аэроплана, способного производить бомбардировку по Лондону. В конце совещания я заявил, что смогу спроектировать такой самолет, но для теоретических расчетов и деталировки его мне нужна помощь. В теоретическом плане я просил привлечь к работе своего бывшего преподавателя профессора Баумана. Собравшиеся согласились. Граф Цеппелин, посмотрев на меня маленькими живыми глазами, на прощание сказал: «Я полагаю, что завтра мы совместно с господином Хейнкелём и господином Гельмутом Хиртом подведем окончательные итоги нашего совещания». </w:t>
      </w:r>
    </w:p>
    <w:p w14:paraId="1562FE65" w14:textId="77777777" w:rsidR="00062977" w:rsidRPr="00DE096C" w:rsidRDefault="00062977" w:rsidP="00062977">
      <w:pPr>
        <w:jc w:val="both"/>
        <w:rPr>
          <w:bCs/>
          <w:color w:val="002060"/>
          <w:sz w:val="16"/>
          <w:szCs w:val="16"/>
        </w:rPr>
      </w:pPr>
      <w:r w:rsidRPr="00DE096C">
        <w:rPr>
          <w:bCs/>
          <w:color w:val="002060"/>
          <w:sz w:val="16"/>
          <w:szCs w:val="16"/>
        </w:rPr>
        <w:t xml:space="preserve">На другой день, довольно рано, на двух автомобилях мы выехали в Менц. В первом находился граф Цеппелин, одетый в генеральскую форму со всеми регалиями. В деревнях, через которые мы следовали, все узнавали графа Цеппелина и приветствовали его громкими криками «Ура!». Во втором автомобиле ехал я с профессором Бауманом, которого пригласили принять участие в нашей работе. Вместо восторга и оваций нам доставалась дорожная пыль от первой машины. Она попадала в глаза, уши и рот. Перед обедом мы были в Менце — Гельмут Хирт нас уже ждал. Вместе с ним был Клаудиус Дорнье, работавший у Цеппелина. Я впервые видел Дорнье. Он показался мне замкнутым человеком. Эта замкнутость мне вначале показалась наигранной. Но позже я убедился, что таким он был всегда. </w:t>
      </w:r>
    </w:p>
    <w:p w14:paraId="11C6326D" w14:textId="77777777" w:rsidR="00062977" w:rsidRPr="00DE096C" w:rsidRDefault="00062977" w:rsidP="00062977">
      <w:pPr>
        <w:jc w:val="both"/>
        <w:rPr>
          <w:bCs/>
          <w:color w:val="002060"/>
          <w:sz w:val="16"/>
          <w:szCs w:val="16"/>
        </w:rPr>
      </w:pPr>
      <w:r w:rsidRPr="00DE096C">
        <w:rPr>
          <w:bCs/>
          <w:color w:val="002060"/>
          <w:sz w:val="16"/>
          <w:szCs w:val="16"/>
        </w:rPr>
        <w:t xml:space="preserve">Перед обедом началось совещание. В конце его мы приняли решение создать рабочую группу в составе профессора Баумана и меня. По моей просьбе группа должна была работать в Бранденбурге. Я был загружен работой на Бранденбургском авиационном заводе и проектированию бомбардировщика мог отводить только свое свободное время. Наше сообщество из трех человек было названо «Бюро по опытному строительству трехмоторного самолета». Мы начали энергично работать. Спустя некоторое время выяснилось, что основная работа запущена. Пришлось деятельность в этом конструкторском бюро отодвинуть на второй план. Когда проект трехмоторного самолета в основном был закончен, «Бюро по опытному строительству трехмоторного самолета» перебралось в один из цехов Готского вагоностроительного завода. Сделанный там трехмоторный бомбардировщик стал называться «Гота». Таким образом, благодаря графу Цеппелину, я приобрел опыт в создании многомоторных самолетов». Несмотря на возраст — в июле 1916 года ему исполнилось 78 лет — фон Цеппелин выглядел прекрасно. Эрнест Леман, который весной 1916 года по служебным делам встретился с фон Цеппелином, нашел его столь же энергичным, как и обычно. В феврале 1917 года, во время посещения аэровоздушной выставки, проходившей в Берлине, у графа неожиданно воспалился кишечник. Была произведена успешная операция, но, как говорится, беда не приходит одна. В больнице Цеппелин заболел пневмонией, и уже 8 марта его не стало. [102] </w:t>
      </w:r>
    </w:p>
    <w:p w14:paraId="7B8928E1" w14:textId="77777777" w:rsidR="00062977" w:rsidRPr="00DE096C" w:rsidRDefault="00062977" w:rsidP="00062977">
      <w:pPr>
        <w:jc w:val="both"/>
        <w:rPr>
          <w:bCs/>
          <w:color w:val="002060"/>
          <w:sz w:val="16"/>
          <w:szCs w:val="16"/>
        </w:rPr>
      </w:pPr>
      <w:r w:rsidRPr="00DE096C">
        <w:rPr>
          <w:bCs/>
          <w:color w:val="002060"/>
          <w:sz w:val="16"/>
          <w:szCs w:val="16"/>
        </w:rPr>
        <w:t>Во время похорон над Вюртембергом, под торжественный перезвон колоколов, летали два цеппелина, драпированные в траурные черные цвета (11324).</w:t>
      </w:r>
    </w:p>
    <w:p w14:paraId="57F24329" w14:textId="77777777" w:rsidR="00062977" w:rsidRPr="00DE096C" w:rsidRDefault="00062977" w:rsidP="00062977">
      <w:pPr>
        <w:shd w:val="clear" w:color="auto" w:fill="FFFFFF"/>
        <w:jc w:val="both"/>
        <w:rPr>
          <w:bCs/>
          <w:i/>
          <w:color w:val="002060"/>
          <w:sz w:val="16"/>
          <w:szCs w:val="16"/>
        </w:rPr>
      </w:pPr>
    </w:p>
    <w:p w14:paraId="1CD4610F" w14:textId="77777777" w:rsidR="00D448B4" w:rsidRPr="00DE096C" w:rsidRDefault="00D448B4" w:rsidP="00D45A46">
      <w:pPr>
        <w:jc w:val="both"/>
        <w:rPr>
          <w:bCs/>
          <w:i/>
          <w:color w:val="002060"/>
          <w:sz w:val="16"/>
          <w:szCs w:val="16"/>
        </w:rPr>
      </w:pPr>
      <w:r w:rsidRPr="00DE096C">
        <w:rPr>
          <w:bCs/>
          <w:i/>
          <w:color w:val="002060"/>
          <w:sz w:val="16"/>
          <w:szCs w:val="16"/>
        </w:rPr>
        <w:t>За рубежом:</w:t>
      </w:r>
    </w:p>
    <w:p w14:paraId="1A9C3852" w14:textId="77777777" w:rsidR="00D448B4" w:rsidRPr="00DE096C" w:rsidRDefault="00D448B4" w:rsidP="00D45A46">
      <w:pPr>
        <w:jc w:val="both"/>
        <w:rPr>
          <w:bCs/>
          <w:color w:val="002060"/>
          <w:sz w:val="16"/>
          <w:szCs w:val="16"/>
        </w:rPr>
      </w:pPr>
    </w:p>
    <w:p w14:paraId="42E61E1F" w14:textId="77777777" w:rsidR="0056062A" w:rsidRPr="00DE096C" w:rsidRDefault="0056062A" w:rsidP="00D45A46">
      <w:pPr>
        <w:jc w:val="both"/>
        <w:rPr>
          <w:bCs/>
          <w:color w:val="002060"/>
          <w:sz w:val="16"/>
          <w:szCs w:val="16"/>
        </w:rPr>
      </w:pPr>
      <w:r w:rsidRPr="00DE096C">
        <w:rPr>
          <w:bCs/>
          <w:color w:val="002060"/>
          <w:sz w:val="16"/>
          <w:szCs w:val="16"/>
        </w:rPr>
        <w:lastRenderedPageBreak/>
        <w:t>В августе 1914 г. правительство Италии не стало вступать в мировую войну на стороне Австро-Венгрии и Германии, как того требовал подписанный им Тройственный пакт. Стараясь использовать данную политиками оттяжку с наибольшей пользой, итальянские промышленники пытались спешно наладить производство военных аэропланов и авиамоторов (22832).</w:t>
      </w:r>
    </w:p>
    <w:p w14:paraId="111E706B" w14:textId="77777777" w:rsidR="0056062A" w:rsidRPr="00DE096C" w:rsidRDefault="0056062A" w:rsidP="00D45A46">
      <w:pPr>
        <w:jc w:val="both"/>
        <w:rPr>
          <w:bCs/>
          <w:color w:val="002060"/>
          <w:sz w:val="16"/>
          <w:szCs w:val="16"/>
        </w:rPr>
      </w:pPr>
    </w:p>
    <w:p w14:paraId="57CB7496" w14:textId="38167394" w:rsidR="0056062A" w:rsidRPr="00DE096C" w:rsidRDefault="001F4D16" w:rsidP="00D45A46">
      <w:pPr>
        <w:jc w:val="both"/>
        <w:rPr>
          <w:rFonts w:eastAsia="Times-Roman"/>
          <w:bCs/>
          <w:color w:val="002060"/>
          <w:sz w:val="16"/>
          <w:szCs w:val="16"/>
        </w:rPr>
      </w:pPr>
      <w:r w:rsidRPr="00DE096C">
        <w:rPr>
          <w:rFonts w:eastAsia="TimesNewRoman"/>
          <w:bCs/>
          <w:color w:val="002060"/>
          <w:sz w:val="16"/>
          <w:szCs w:val="16"/>
        </w:rPr>
        <w:t xml:space="preserve">В </w:t>
      </w:r>
      <w:r w:rsidR="0056062A" w:rsidRPr="00DE096C">
        <w:rPr>
          <w:rFonts w:eastAsia="TimesNewRoman"/>
          <w:bCs/>
          <w:color w:val="002060"/>
          <w:sz w:val="16"/>
          <w:szCs w:val="16"/>
        </w:rPr>
        <w:t xml:space="preserve">августе </w:t>
      </w:r>
      <w:r w:rsidR="0056062A" w:rsidRPr="00DE096C">
        <w:rPr>
          <w:rFonts w:eastAsia="Times-Roman"/>
          <w:bCs/>
          <w:color w:val="002060"/>
          <w:sz w:val="16"/>
          <w:szCs w:val="16"/>
        </w:rPr>
        <w:t xml:space="preserve">1914 </w:t>
      </w:r>
      <w:r w:rsidR="0056062A" w:rsidRPr="00DE096C">
        <w:rPr>
          <w:rFonts w:eastAsia="TimesNewRoman"/>
          <w:bCs/>
          <w:color w:val="002060"/>
          <w:sz w:val="16"/>
          <w:szCs w:val="16"/>
        </w:rPr>
        <w:t>года французы</w:t>
      </w:r>
      <w:r w:rsidRPr="00DE096C">
        <w:rPr>
          <w:rFonts w:eastAsia="TimesNewRoman"/>
          <w:bCs/>
          <w:color w:val="002060"/>
          <w:sz w:val="16"/>
          <w:szCs w:val="16"/>
        </w:rPr>
        <w:t xml:space="preserve"> первыми применили ОВ</w:t>
      </w:r>
      <w:r w:rsidR="0056062A" w:rsidRPr="00DE096C">
        <w:rPr>
          <w:rFonts w:eastAsia="Times-Roman"/>
          <w:bCs/>
          <w:color w:val="002060"/>
          <w:sz w:val="16"/>
          <w:szCs w:val="16"/>
        </w:rPr>
        <w:t xml:space="preserve">: </w:t>
      </w:r>
      <w:r w:rsidR="0056062A" w:rsidRPr="00DE096C">
        <w:rPr>
          <w:rFonts w:eastAsia="TimesNewRoman"/>
          <w:bCs/>
          <w:color w:val="002060"/>
          <w:sz w:val="16"/>
          <w:szCs w:val="16"/>
        </w:rPr>
        <w:t xml:space="preserve">это были </w:t>
      </w:r>
      <w:r w:rsidR="0056062A" w:rsidRPr="00DE096C">
        <w:rPr>
          <w:rFonts w:eastAsia="Times-Roman"/>
          <w:bCs/>
          <w:color w:val="002060"/>
          <w:sz w:val="16"/>
          <w:szCs w:val="16"/>
        </w:rPr>
        <w:t>26-</w:t>
      </w:r>
      <w:r w:rsidR="0056062A" w:rsidRPr="00DE096C">
        <w:rPr>
          <w:rFonts w:eastAsia="TimesNewRoman"/>
          <w:bCs/>
          <w:color w:val="002060"/>
          <w:sz w:val="16"/>
          <w:szCs w:val="16"/>
        </w:rPr>
        <w:t>мм гранаты</w:t>
      </w:r>
      <w:r w:rsidR="0056062A" w:rsidRPr="00DE096C">
        <w:rPr>
          <w:rFonts w:eastAsia="Times-Roman"/>
          <w:bCs/>
          <w:color w:val="002060"/>
          <w:sz w:val="16"/>
          <w:szCs w:val="16"/>
        </w:rPr>
        <w:t xml:space="preserve">, </w:t>
      </w:r>
      <w:r w:rsidR="0056062A" w:rsidRPr="00DE096C">
        <w:rPr>
          <w:rFonts w:eastAsia="TimesNewRoman"/>
          <w:bCs/>
          <w:color w:val="002060"/>
          <w:sz w:val="16"/>
          <w:szCs w:val="16"/>
        </w:rPr>
        <w:t xml:space="preserve">наполненные слезоточивым газом </w:t>
      </w:r>
      <w:r w:rsidR="0056062A" w:rsidRPr="00DE096C">
        <w:rPr>
          <w:rFonts w:eastAsia="Times-Roman"/>
          <w:bCs/>
          <w:color w:val="002060"/>
          <w:sz w:val="16"/>
          <w:szCs w:val="16"/>
        </w:rPr>
        <w:t>(</w:t>
      </w:r>
      <w:r w:rsidR="0056062A" w:rsidRPr="00DE096C">
        <w:rPr>
          <w:rFonts w:eastAsia="TimesNewRoman"/>
          <w:bCs/>
          <w:color w:val="002060"/>
          <w:sz w:val="16"/>
          <w:szCs w:val="16"/>
        </w:rPr>
        <w:t>бромэтилацетатом</w:t>
      </w:r>
      <w:r w:rsidR="0056062A" w:rsidRPr="00DE096C">
        <w:rPr>
          <w:rFonts w:eastAsia="Times-Roman"/>
          <w:bCs/>
          <w:color w:val="002060"/>
          <w:sz w:val="16"/>
          <w:szCs w:val="16"/>
        </w:rPr>
        <w:t xml:space="preserve">). </w:t>
      </w:r>
      <w:r w:rsidR="0056062A" w:rsidRPr="00DE096C">
        <w:rPr>
          <w:rFonts w:eastAsia="TimesNewRoman"/>
          <w:bCs/>
          <w:color w:val="002060"/>
          <w:sz w:val="16"/>
          <w:szCs w:val="16"/>
        </w:rPr>
        <w:t>Но запасы этилбромацетата у союзников быстро подошли к концу</w:t>
      </w:r>
      <w:r w:rsidR="0056062A" w:rsidRPr="00DE096C">
        <w:rPr>
          <w:rFonts w:eastAsia="Times-Roman"/>
          <w:bCs/>
          <w:color w:val="002060"/>
          <w:sz w:val="16"/>
          <w:szCs w:val="16"/>
        </w:rPr>
        <w:t xml:space="preserve">, </w:t>
      </w:r>
      <w:r w:rsidR="0056062A" w:rsidRPr="00DE096C">
        <w:rPr>
          <w:rFonts w:eastAsia="TimesNewRoman"/>
          <w:bCs/>
          <w:color w:val="002060"/>
          <w:sz w:val="16"/>
          <w:szCs w:val="16"/>
        </w:rPr>
        <w:t xml:space="preserve">и французская администрация заменила его другим веществом </w:t>
      </w:r>
      <w:r w:rsidR="0056062A" w:rsidRPr="00DE096C">
        <w:rPr>
          <w:rFonts w:eastAsia="Times-Roman"/>
          <w:bCs/>
          <w:color w:val="002060"/>
          <w:sz w:val="16"/>
          <w:szCs w:val="16"/>
        </w:rPr>
        <w:t xml:space="preserve">— </w:t>
      </w:r>
      <w:r w:rsidR="0056062A" w:rsidRPr="00DE096C">
        <w:rPr>
          <w:rFonts w:eastAsia="TimesNewRoman"/>
          <w:bCs/>
          <w:color w:val="002060"/>
          <w:sz w:val="16"/>
          <w:szCs w:val="16"/>
        </w:rPr>
        <w:t>хлорацетоном (20240)</w:t>
      </w:r>
      <w:r w:rsidR="0056062A" w:rsidRPr="00DE096C">
        <w:rPr>
          <w:rFonts w:eastAsia="Times-Roman"/>
          <w:bCs/>
          <w:color w:val="002060"/>
          <w:sz w:val="16"/>
          <w:szCs w:val="16"/>
        </w:rPr>
        <w:t>.</w:t>
      </w:r>
    </w:p>
    <w:p w14:paraId="334495C7" w14:textId="77777777" w:rsidR="0056062A" w:rsidRPr="00DE096C" w:rsidRDefault="0056062A" w:rsidP="00D45A46">
      <w:pPr>
        <w:jc w:val="both"/>
        <w:rPr>
          <w:rFonts w:eastAsia="Times-Roman"/>
          <w:bCs/>
          <w:color w:val="002060"/>
          <w:sz w:val="16"/>
          <w:szCs w:val="16"/>
        </w:rPr>
      </w:pPr>
    </w:p>
    <w:p w14:paraId="76295A48" w14:textId="77777777" w:rsidR="00D448B4" w:rsidRPr="00DE096C" w:rsidRDefault="00D448B4" w:rsidP="00D45A46">
      <w:pPr>
        <w:pStyle w:val="ae"/>
        <w:spacing w:before="0" w:beforeAutospacing="0" w:after="0" w:afterAutospacing="0"/>
        <w:jc w:val="both"/>
        <w:rPr>
          <w:bCs/>
          <w:color w:val="002060"/>
          <w:sz w:val="16"/>
          <w:szCs w:val="16"/>
        </w:rPr>
      </w:pPr>
      <w:r w:rsidRPr="00DE096C">
        <w:rPr>
          <w:bCs/>
          <w:color w:val="002060"/>
          <w:sz w:val="16"/>
          <w:szCs w:val="16"/>
        </w:rPr>
        <w:t>С августа 1914 с первых дней боев французы начали активно использовать бронирование автомобиля Peugeot-103 (карбюраторный 4-цилиндровый 4-тактный двигатель мощностью 24 л. с., с жидкостным охлаждением, емкость бака 45 литров, запас хода примерно 150 км). Самые первые французские бронеавтомобили имели только бортовую бронировку и открытый верх. Пулемет устанавливался на треноге в кузове. Немного позже появился вариант с измененной передней частью корпуса, лобовой лист которого устанавливался под большим углом наклона, а пулемет обзавелся бронещитом. Третий, менее массовый вариант с 37-миллиметровой пушкой уже имел небольшую башню. Четвертый — пушку и два пулемета.</w:t>
      </w:r>
    </w:p>
    <w:p w14:paraId="2B797AB6" w14:textId="77777777" w:rsidR="00D448B4" w:rsidRPr="00DE096C" w:rsidRDefault="00D448B4" w:rsidP="00D45A46">
      <w:pPr>
        <w:pStyle w:val="ae"/>
        <w:spacing w:before="0" w:beforeAutospacing="0" w:after="0" w:afterAutospacing="0"/>
        <w:jc w:val="both"/>
        <w:rPr>
          <w:bCs/>
          <w:color w:val="002060"/>
          <w:sz w:val="16"/>
          <w:szCs w:val="16"/>
        </w:rPr>
      </w:pPr>
      <w:r w:rsidRPr="00DE096C">
        <w:rPr>
          <w:bCs/>
          <w:color w:val="002060"/>
          <w:sz w:val="16"/>
          <w:szCs w:val="16"/>
        </w:rPr>
        <w:t>Англичане извращались на базе автомобиля Rolls-Royce. Ну, у богатых, как известно, свои причуды. Чистая правда — английские броневики появились на базе автомобиля премиум-класса «Серебряный призрак» (Rolls-Royce 40/50НР Silver Ghost) — самого надежного и массового автомобиля той эпохи.</w:t>
      </w:r>
    </w:p>
    <w:p w14:paraId="6E656A03" w14:textId="77777777" w:rsidR="00D448B4" w:rsidRPr="00DE096C" w:rsidRDefault="00D448B4" w:rsidP="00D45A46">
      <w:pPr>
        <w:pStyle w:val="ae"/>
        <w:spacing w:before="0" w:beforeAutospacing="0" w:after="0" w:afterAutospacing="0"/>
        <w:jc w:val="both"/>
        <w:rPr>
          <w:bCs/>
          <w:color w:val="002060"/>
          <w:sz w:val="16"/>
          <w:szCs w:val="16"/>
        </w:rPr>
      </w:pPr>
      <w:r w:rsidRPr="00DE096C">
        <w:rPr>
          <w:bCs/>
          <w:color w:val="002060"/>
          <w:sz w:val="16"/>
          <w:szCs w:val="16"/>
        </w:rPr>
        <w:t>На шасси Rolls-Royce Silver Ghost установили клепаный корпус с толщиной брони 9 мм, в кормовой части разместили боевое отделение с открытой сверху цилиндрической башней кругового вращения, разместили там 7,7 — миллиметровый тяжелый пулемет Vickers — и машина готова к бою.</w:t>
      </w:r>
    </w:p>
    <w:p w14:paraId="43A0E362" w14:textId="77777777" w:rsidR="00D448B4" w:rsidRPr="00DE096C" w:rsidRDefault="00D448B4" w:rsidP="00D45A46">
      <w:pPr>
        <w:pStyle w:val="ae"/>
        <w:spacing w:before="0" w:beforeAutospacing="0" w:after="0" w:afterAutospacing="0"/>
        <w:jc w:val="both"/>
        <w:rPr>
          <w:bCs/>
          <w:color w:val="002060"/>
          <w:sz w:val="16"/>
          <w:szCs w:val="16"/>
        </w:rPr>
      </w:pPr>
      <w:r w:rsidRPr="00DE096C">
        <w:rPr>
          <w:bCs/>
          <w:color w:val="002060"/>
          <w:sz w:val="16"/>
          <w:szCs w:val="16"/>
        </w:rPr>
        <w:t>Бельгийцы создали бронеавтомобиль Minerva. Сейчас эта торговая марка практически неизвестна, поскольку прекратила свое существование в 1956 году. А 1928—1929 годах автомобили Minerva называли бельгийским Rolls-Royce. Злые языки утверждают, что один из роскошных автомобилей приобрел в свое время знаменитый Генри Форд. Хотя почему нет? Не на «форде» же ездить легендарному миллионеру... Свою наиболее дорогую и роскошную машину фирма Minerva представила в конце 1929 года. Она сразу получила огромную популярность за счет очень качественных швейцарских блоков цилиндров и прочных корпусов, собираемых в Берхеме (город чуть южнее Антверпена).</w:t>
      </w:r>
    </w:p>
    <w:p w14:paraId="0E400ED5" w14:textId="77777777" w:rsidR="00D448B4" w:rsidRPr="00DE096C" w:rsidRDefault="00D448B4" w:rsidP="00D45A46">
      <w:pPr>
        <w:pStyle w:val="ae"/>
        <w:spacing w:before="0" w:beforeAutospacing="0" w:after="0" w:afterAutospacing="0"/>
        <w:jc w:val="both"/>
        <w:rPr>
          <w:bCs/>
          <w:color w:val="002060"/>
          <w:sz w:val="16"/>
          <w:szCs w:val="16"/>
        </w:rPr>
      </w:pPr>
      <w:r w:rsidRPr="00DE096C">
        <w:rPr>
          <w:bCs/>
          <w:color w:val="002060"/>
          <w:sz w:val="16"/>
          <w:szCs w:val="16"/>
        </w:rPr>
        <w:t>Легенда утверждает, что инициатива бронирования автомобиля в Бельгии принадлежала офицеру для особых поручений Генерального штаба лейтенанту Шарлю Анкару (Charles Henkart). Чтобы минимизировать риски, он поставил броню на свой личный лимузин. И эта идея пришлась по вкусу его командованию. А еще говорят, что от штабных нет никакой пользы... Так или иначе, но бронированные автомобили появились в бельгийской армии (без дверей, с открытой крышей и 8-миллиметровым пулеметом Hotchkiss) и неплохо себя зарекомендовали. Особенно в боях против конницы. К сожалению, много машин бельгийцы выпустить не успели (примерно 25 штук), в октябре 1914 года Антверпен заняли немцы (18519).</w:t>
      </w:r>
    </w:p>
    <w:p w14:paraId="4A85A7E4" w14:textId="77777777" w:rsidR="00D448B4" w:rsidRPr="00DE096C" w:rsidRDefault="00D448B4" w:rsidP="00D45A46">
      <w:pPr>
        <w:pStyle w:val="ae"/>
        <w:spacing w:before="0" w:beforeAutospacing="0" w:after="0" w:afterAutospacing="0"/>
        <w:jc w:val="both"/>
        <w:rPr>
          <w:bCs/>
          <w:color w:val="002060"/>
          <w:sz w:val="16"/>
          <w:szCs w:val="16"/>
        </w:rPr>
      </w:pPr>
    </w:p>
    <w:p w14:paraId="0486BD9C" w14:textId="77777777" w:rsidR="00B67D7C" w:rsidRPr="00DE096C" w:rsidRDefault="00B67D7C" w:rsidP="00D45A46">
      <w:pPr>
        <w:jc w:val="both"/>
        <w:rPr>
          <w:bCs/>
          <w:i/>
          <w:color w:val="002060"/>
          <w:sz w:val="16"/>
          <w:szCs w:val="16"/>
        </w:rPr>
      </w:pPr>
      <w:r w:rsidRPr="00DE096C">
        <w:rPr>
          <w:bCs/>
          <w:i/>
          <w:color w:val="002060"/>
          <w:sz w:val="16"/>
          <w:szCs w:val="16"/>
        </w:rPr>
        <w:t>Самолетостроение:</w:t>
      </w:r>
    </w:p>
    <w:p w14:paraId="4024ACBD" w14:textId="77777777" w:rsidR="00B67D7C" w:rsidRPr="00DE096C" w:rsidRDefault="00B67D7C" w:rsidP="00D45A46">
      <w:pPr>
        <w:jc w:val="both"/>
        <w:rPr>
          <w:bCs/>
          <w:i/>
          <w:color w:val="002060"/>
          <w:sz w:val="16"/>
          <w:szCs w:val="16"/>
        </w:rPr>
      </w:pPr>
    </w:p>
    <w:p w14:paraId="5A03A8C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августа-сентябре 1914 с началом войны, после еще одной безуспешной попыт</w:t>
      </w:r>
      <w:r w:rsidRPr="00DE096C">
        <w:rPr>
          <w:bCs/>
          <w:color w:val="002060"/>
          <w:sz w:val="16"/>
          <w:szCs w:val="16"/>
        </w:rPr>
        <w:softHyphen/>
        <w:t>ки продать военному министерству части своего первого самолета, предлагая построить из них уменьшенный аналог "Кеннеди" № 2 для проверки его конструктивных идей /ЦГВИА, ф. 802, оп. 4, д. 2223, л. 195/, Ч.М.Кеннеди с началом 1-й мировой войны уезжает обратно в Англию, увозя с собой аэродинамический расчет В.А.Слесарева, являвшийся собст</w:t>
      </w:r>
      <w:r w:rsidRPr="00DE096C">
        <w:rPr>
          <w:bCs/>
          <w:color w:val="002060"/>
          <w:sz w:val="16"/>
          <w:szCs w:val="16"/>
        </w:rPr>
        <w:softHyphen/>
        <w:t>венностью автора. В Англии Кеннеди начал строить свой самолет. Слесарев же летом 1914 г. при участии своего брата Ивана Адриа</w:t>
      </w:r>
      <w:r w:rsidRPr="00DE096C">
        <w:rPr>
          <w:bCs/>
          <w:color w:val="002060"/>
          <w:sz w:val="16"/>
          <w:szCs w:val="16"/>
        </w:rPr>
        <w:softHyphen/>
        <w:t>новича, тоже окончившего ИТУ, разрабатывает проект своего тяже</w:t>
      </w:r>
      <w:r w:rsidRPr="00DE096C">
        <w:rPr>
          <w:bCs/>
          <w:color w:val="002060"/>
          <w:sz w:val="16"/>
          <w:szCs w:val="16"/>
        </w:rPr>
        <w:softHyphen/>
        <w:t>лого самолета, оставляя в нем пользовавшуюся в то время попу</w:t>
      </w:r>
      <w:r w:rsidRPr="00DE096C">
        <w:rPr>
          <w:bCs/>
          <w:color w:val="002060"/>
          <w:sz w:val="16"/>
          <w:szCs w:val="16"/>
        </w:rPr>
        <w:softHyphen/>
        <w:t>лярностью идею медленно вращающихся винтов большого диаметра. Во всем остальном Василий Адрианович, принимавший участие в раз</w:t>
      </w:r>
      <w:r w:rsidRPr="00DE096C">
        <w:rPr>
          <w:bCs/>
          <w:color w:val="002060"/>
          <w:sz w:val="16"/>
          <w:szCs w:val="16"/>
        </w:rPr>
        <w:softHyphen/>
        <w:t>работке тяжелых самолетов И.И.Сикорского, сумел создать по срав</w:t>
      </w:r>
      <w:r w:rsidRPr="00DE096C">
        <w:rPr>
          <w:bCs/>
          <w:color w:val="002060"/>
          <w:sz w:val="16"/>
          <w:szCs w:val="16"/>
        </w:rPr>
        <w:softHyphen/>
        <w:t>нению с "Кеннеди" № 2 гораздо более рациональную, аэродинамичес</w:t>
      </w:r>
      <w:r w:rsidRPr="00DE096C">
        <w:rPr>
          <w:bCs/>
          <w:color w:val="002060"/>
          <w:sz w:val="16"/>
          <w:szCs w:val="16"/>
        </w:rPr>
        <w:softHyphen/>
        <w:t>ки более совершенную конструкцию. 30 сентября он представил свой проект в Отдел воздушного флота (ОВФ) при Особом комитете по усилению флота на добровольные пожертвования /ЦГВИА, ф. 802, оп. 4, д. 2223, л. 193/. (Этот Комитет, образованный после разгрома русского флота при Цусиме, оказал существенную материальную помощь в строительстве новых кораблей, а затем, с образованием в 1910 г. ОВФ, и в развитии авиации). В своем заявлении в ОВФ В.А.Слесарев указывал, что подробный аэродинамический расчет такого же большого самолета, выполненный им для Ч.М.Кеннеди, весной был рассмотрен специаль</w:t>
      </w:r>
      <w:r w:rsidRPr="00DE096C">
        <w:rPr>
          <w:bCs/>
          <w:color w:val="002060"/>
          <w:sz w:val="16"/>
          <w:szCs w:val="16"/>
        </w:rPr>
        <w:softHyphen/>
        <w:t>ной комиссией и одобрен ГВТУ и Военным Советом (11069).</w:t>
      </w:r>
    </w:p>
    <w:p w14:paraId="596F87A7" w14:textId="77777777" w:rsidR="00B67D7C" w:rsidRPr="00DE096C" w:rsidRDefault="00B67D7C" w:rsidP="00D45A46">
      <w:pPr>
        <w:shd w:val="clear" w:color="auto" w:fill="FFFFFF"/>
        <w:jc w:val="both"/>
        <w:rPr>
          <w:bCs/>
          <w:color w:val="002060"/>
          <w:sz w:val="16"/>
          <w:szCs w:val="16"/>
        </w:rPr>
      </w:pPr>
    </w:p>
    <w:p w14:paraId="1E69894D" w14:textId="77777777" w:rsidR="001E7CD8" w:rsidRPr="00DE096C" w:rsidRDefault="001E7CD8" w:rsidP="00D45A46">
      <w:pPr>
        <w:jc w:val="both"/>
        <w:rPr>
          <w:bCs/>
          <w:color w:val="002060"/>
          <w:sz w:val="16"/>
          <w:szCs w:val="16"/>
        </w:rPr>
      </w:pPr>
      <w:r w:rsidRPr="00DE096C">
        <w:rPr>
          <w:bCs/>
          <w:color w:val="002060"/>
          <w:sz w:val="16"/>
          <w:szCs w:val="16"/>
        </w:rPr>
        <w:t>С августа по сентябрь 1914 г. первые пять серийных самолетов ИМ типа Б были сданы, один разбит на ПСИ (предположительно, ИМ-Б № 138, борт № IV), последний самолет сдан заводом в октябре-ноябре 1914 г., вскоре перед запретом дальнейшей их приемки, но на базе формируемой Эскадры воздушных кораблей она продолжалась и в декабре этого года – вопреки запрету.</w:t>
      </w:r>
    </w:p>
    <w:p w14:paraId="51C50BF7" w14:textId="77777777" w:rsidR="001E7CD8" w:rsidRPr="00DE096C" w:rsidRDefault="001E7CD8" w:rsidP="00D45A46">
      <w:pPr>
        <w:jc w:val="both"/>
        <w:rPr>
          <w:bCs/>
          <w:color w:val="002060"/>
          <w:sz w:val="16"/>
          <w:szCs w:val="16"/>
        </w:rPr>
      </w:pPr>
      <w:r w:rsidRPr="00DE096C">
        <w:rPr>
          <w:bCs/>
          <w:color w:val="002060"/>
          <w:sz w:val="16"/>
          <w:szCs w:val="16"/>
        </w:rPr>
        <w:t>Всего построено 9 самолетов серии Б (головной № 107, № 128 и серийные с Б-1 по Б-7) (23569).</w:t>
      </w:r>
    </w:p>
    <w:p w14:paraId="0F68D707" w14:textId="77777777" w:rsidR="001E7CD8" w:rsidRPr="00DE096C" w:rsidRDefault="001E7CD8" w:rsidP="00D45A46">
      <w:pPr>
        <w:jc w:val="both"/>
        <w:rPr>
          <w:bCs/>
          <w:color w:val="002060"/>
          <w:sz w:val="16"/>
          <w:szCs w:val="16"/>
        </w:rPr>
      </w:pPr>
    </w:p>
    <w:p w14:paraId="440DE848" w14:textId="77777777" w:rsidR="001E7CD8" w:rsidRPr="00DE096C" w:rsidRDefault="001E7CD8" w:rsidP="00D45A46">
      <w:pPr>
        <w:jc w:val="both"/>
        <w:rPr>
          <w:bCs/>
          <w:color w:val="002060"/>
          <w:sz w:val="16"/>
          <w:szCs w:val="16"/>
        </w:rPr>
      </w:pPr>
      <w:r w:rsidRPr="00DE096C">
        <w:rPr>
          <w:bCs/>
          <w:color w:val="002060"/>
          <w:sz w:val="16"/>
          <w:szCs w:val="16"/>
        </w:rPr>
        <w:t>В августе – сентябре 1914 года Слесарев представил свою работу в отдел воздушного флота, существовав</w:t>
      </w:r>
      <w:r w:rsidRPr="00DE096C">
        <w:rPr>
          <w:bCs/>
          <w:color w:val="002060"/>
          <w:sz w:val="16"/>
          <w:szCs w:val="16"/>
        </w:rPr>
        <w:softHyphen/>
        <w:t>ший при Особом комитете по усилению флота на добровольные пожертвования под председательством Великого князя Александра Михайловича. Эскизный проект был составил всего за три летних месяца 1914 года и по некоторым данным, само</w:t>
      </w:r>
      <w:r w:rsidRPr="00DE096C">
        <w:rPr>
          <w:bCs/>
          <w:color w:val="002060"/>
          <w:sz w:val="16"/>
          <w:szCs w:val="16"/>
        </w:rPr>
        <w:softHyphen/>
        <w:t>лет Слесарева задумывался как пасса</w:t>
      </w:r>
      <w:r w:rsidRPr="00DE096C">
        <w:rPr>
          <w:bCs/>
          <w:color w:val="002060"/>
          <w:sz w:val="16"/>
          <w:szCs w:val="16"/>
        </w:rPr>
        <w:softHyphen/>
        <w:t>жирский для линии Петербург - Влади</w:t>
      </w:r>
      <w:r w:rsidRPr="00DE096C">
        <w:rPr>
          <w:bCs/>
          <w:color w:val="002060"/>
          <w:sz w:val="16"/>
          <w:szCs w:val="16"/>
        </w:rPr>
        <w:softHyphen/>
        <w:t>восток. Проект был одобрен, но финансировать его комитет отказался, обещая приобрести аппарат, если он окажется удачным. В этой ситуа</w:t>
      </w:r>
      <w:r w:rsidRPr="00DE096C">
        <w:rPr>
          <w:bCs/>
          <w:color w:val="002060"/>
          <w:sz w:val="16"/>
          <w:szCs w:val="16"/>
        </w:rPr>
        <w:softHyphen/>
        <w:t>ции Слесарев проявил настоящий пред</w:t>
      </w:r>
      <w:r w:rsidRPr="00DE096C">
        <w:rPr>
          <w:bCs/>
          <w:color w:val="002060"/>
          <w:sz w:val="16"/>
          <w:szCs w:val="16"/>
        </w:rPr>
        <w:softHyphen/>
        <w:t>принимательский талант, найдя частный источник финансирования. Постройку самолета взялся оплатить богатый во</w:t>
      </w:r>
      <w:r w:rsidRPr="00DE096C">
        <w:rPr>
          <w:bCs/>
          <w:color w:val="002060"/>
          <w:sz w:val="16"/>
          <w:szCs w:val="16"/>
        </w:rPr>
        <w:softHyphen/>
        <w:t>лынский помещик, член Всероссийского аэроклуба, М.Э. Малынский, выделив на это 100 тыс. руб. Были заключены дого</w:t>
      </w:r>
      <w:r w:rsidRPr="00DE096C">
        <w:rPr>
          <w:bCs/>
          <w:color w:val="002060"/>
          <w:sz w:val="16"/>
          <w:szCs w:val="16"/>
        </w:rPr>
        <w:softHyphen/>
        <w:t>воры Малынского со Слесаревым, как с подрядчиком, и с заводом В.А. Лебедева, как изготовителем аэроплана.</w:t>
      </w:r>
    </w:p>
    <w:p w14:paraId="6494E998" w14:textId="77777777" w:rsidR="001E7CD8" w:rsidRPr="00DE096C" w:rsidRDefault="001E7CD8" w:rsidP="00D45A46">
      <w:pPr>
        <w:jc w:val="both"/>
        <w:rPr>
          <w:bCs/>
          <w:color w:val="002060"/>
          <w:sz w:val="16"/>
          <w:szCs w:val="16"/>
        </w:rPr>
      </w:pPr>
      <w:r w:rsidRPr="00DE096C">
        <w:rPr>
          <w:bCs/>
          <w:color w:val="002060"/>
          <w:sz w:val="16"/>
          <w:szCs w:val="16"/>
        </w:rPr>
        <w:t>Малынский предложил и заманчивый вариант использования самолета для челночных бомбардировок Германии по маршруту Варшава - Париж и обратно. Для этого в договоре были прописаны следующие технические требования к аппарату: взлетный вес - 6500 кг; полез</w:t>
      </w:r>
      <w:r w:rsidRPr="00DE096C">
        <w:rPr>
          <w:bCs/>
          <w:color w:val="002060"/>
          <w:sz w:val="16"/>
          <w:szCs w:val="16"/>
        </w:rPr>
        <w:softHyphen/>
        <w:t>ная нагрузка - 3000 кг (то есть весовая отдача должна была составлять 46%); дальность полета - не менее 1300 км; скорость - 100 км/ч; продолжительность полета - до 30 часов; потолок - 2500 м. Ничего подобного в мире тогда не было. Дальность полета «Ильи Муромца» в 1914 году, например, составляла пример</w:t>
      </w:r>
      <w:r w:rsidRPr="00DE096C">
        <w:rPr>
          <w:bCs/>
          <w:color w:val="002060"/>
          <w:sz w:val="16"/>
          <w:szCs w:val="16"/>
        </w:rPr>
        <w:softHyphen/>
        <w:t>но всего 500 км, а весовая отдача - 33%. Как же Слесарев собирался обеспечить такие высокие характеристики?</w:t>
      </w:r>
    </w:p>
    <w:p w14:paraId="3FD26B73" w14:textId="77777777" w:rsidR="001E7CD8" w:rsidRPr="00DE096C" w:rsidRDefault="001E7CD8" w:rsidP="00D45A46">
      <w:pPr>
        <w:jc w:val="both"/>
        <w:rPr>
          <w:bCs/>
          <w:color w:val="002060"/>
          <w:sz w:val="16"/>
          <w:szCs w:val="16"/>
        </w:rPr>
      </w:pPr>
      <w:r w:rsidRPr="00DE096C">
        <w:rPr>
          <w:bCs/>
          <w:color w:val="002060"/>
          <w:sz w:val="16"/>
          <w:szCs w:val="16"/>
        </w:rPr>
        <w:t>Во-первых, за счет аэродинамического совершенства аппарата. «Святогор», в отличие от «Муромца», имел классиче</w:t>
      </w:r>
      <w:r w:rsidRPr="00DE096C">
        <w:rPr>
          <w:bCs/>
          <w:color w:val="002060"/>
          <w:sz w:val="16"/>
          <w:szCs w:val="16"/>
        </w:rPr>
        <w:softHyphen/>
        <w:t>скую аэродинамическую схему с цен</w:t>
      </w:r>
      <w:r w:rsidRPr="00DE096C">
        <w:rPr>
          <w:bCs/>
          <w:color w:val="002060"/>
          <w:sz w:val="16"/>
          <w:szCs w:val="16"/>
        </w:rPr>
        <w:softHyphen/>
        <w:t>тровкой самолета на 30-35% средней аэродинамической хорды крыла. Был применен более толстый профиль крыль</w:t>
      </w:r>
      <w:r w:rsidRPr="00DE096C">
        <w:rPr>
          <w:bCs/>
          <w:color w:val="002060"/>
          <w:sz w:val="16"/>
          <w:szCs w:val="16"/>
        </w:rPr>
        <w:softHyphen/>
        <w:t>ев с повышенным аэродинамическим качеством. Аналогичный профиль, но перевернутый, использовался и в ста</w:t>
      </w:r>
      <w:r w:rsidRPr="00DE096C">
        <w:rPr>
          <w:bCs/>
          <w:color w:val="002060"/>
          <w:sz w:val="16"/>
          <w:szCs w:val="16"/>
        </w:rPr>
        <w:softHyphen/>
        <w:t>билизаторе хвостового оперения. Кроме того, Слесарев уделил много внимания продувкам и, следовательно, обтекаемо</w:t>
      </w:r>
      <w:r w:rsidRPr="00DE096C">
        <w:rPr>
          <w:bCs/>
          <w:color w:val="002060"/>
          <w:sz w:val="16"/>
          <w:szCs w:val="16"/>
        </w:rPr>
        <w:softHyphen/>
        <w:t>сти отдельных деталей, таких как стойки, подкосы и растяжки бипланной коробки крыльев и шасси. По оценкам самого Слесарева, основанных на эксперимен</w:t>
      </w:r>
      <w:r w:rsidRPr="00DE096C">
        <w:rPr>
          <w:bCs/>
          <w:color w:val="002060"/>
          <w:sz w:val="16"/>
          <w:szCs w:val="16"/>
        </w:rPr>
        <w:softHyphen/>
        <w:t>тах в его лаборатории, аэродинамическое качество «Святогора» должно было пре</w:t>
      </w:r>
      <w:r w:rsidRPr="00DE096C">
        <w:rPr>
          <w:bCs/>
          <w:color w:val="002060"/>
          <w:sz w:val="16"/>
          <w:szCs w:val="16"/>
        </w:rPr>
        <w:softHyphen/>
        <w:t>вышать 9 единиц, в то время как у «Ильи Муромца» - не более 5,6.</w:t>
      </w:r>
    </w:p>
    <w:p w14:paraId="0670DE97" w14:textId="77777777" w:rsidR="001E7CD8" w:rsidRPr="00DE096C" w:rsidRDefault="001E7CD8" w:rsidP="00D45A46">
      <w:pPr>
        <w:jc w:val="both"/>
        <w:rPr>
          <w:bCs/>
          <w:color w:val="002060"/>
          <w:sz w:val="16"/>
          <w:szCs w:val="16"/>
        </w:rPr>
      </w:pPr>
      <w:r w:rsidRPr="00DE096C">
        <w:rPr>
          <w:bCs/>
          <w:color w:val="002060"/>
          <w:sz w:val="16"/>
          <w:szCs w:val="16"/>
        </w:rPr>
        <w:t>Во-вторых, Слесарев стремился к весовому совершенству конструкции. По свидетельству В.Б. Шаврова, «конструк</w:t>
      </w:r>
      <w:r w:rsidRPr="00DE096C">
        <w:rPr>
          <w:bCs/>
          <w:color w:val="002060"/>
          <w:sz w:val="16"/>
          <w:szCs w:val="16"/>
        </w:rPr>
        <w:softHyphen/>
        <w:t>ция «Святогора», по отзывам всех, ее видевших, была исключительно проду</w:t>
      </w:r>
      <w:r w:rsidRPr="00DE096C">
        <w:rPr>
          <w:bCs/>
          <w:color w:val="002060"/>
          <w:sz w:val="16"/>
          <w:szCs w:val="16"/>
        </w:rPr>
        <w:softHyphen/>
        <w:t>манной. Особенно большое впечатление производили узлы, поражавшие своей легкостью». В 1920-е годы, уже после разборки «Святогора», отдельные его элементы были переданы в Военно-воз</w:t>
      </w:r>
      <w:r w:rsidRPr="00DE096C">
        <w:rPr>
          <w:bCs/>
          <w:color w:val="002060"/>
          <w:sz w:val="16"/>
          <w:szCs w:val="16"/>
        </w:rPr>
        <w:softHyphen/>
        <w:t>душную академию в Москве как образцы рациональной деревянной конструкции.</w:t>
      </w:r>
    </w:p>
    <w:p w14:paraId="33180918" w14:textId="77777777" w:rsidR="001E7CD8" w:rsidRPr="00DE096C" w:rsidRDefault="001E7CD8" w:rsidP="00D45A46">
      <w:pPr>
        <w:jc w:val="both"/>
        <w:rPr>
          <w:bCs/>
          <w:color w:val="002060"/>
          <w:sz w:val="16"/>
          <w:szCs w:val="16"/>
        </w:rPr>
      </w:pPr>
      <w:r w:rsidRPr="00DE096C">
        <w:rPr>
          <w:bCs/>
          <w:color w:val="002060"/>
          <w:sz w:val="16"/>
          <w:szCs w:val="16"/>
        </w:rPr>
        <w:t>В любом летательном аппарате, по</w:t>
      </w:r>
      <w:r w:rsidRPr="00DE096C">
        <w:rPr>
          <w:bCs/>
          <w:color w:val="002060"/>
          <w:sz w:val="16"/>
          <w:szCs w:val="16"/>
        </w:rPr>
        <w:softHyphen/>
        <w:t>мимо аэродинамического и весового совершенства конструкции, очень важны силовые установки. Здесь Слесарев тоже пошел нетрадиционным путем. Предпола</w:t>
      </w:r>
      <w:r w:rsidRPr="00DE096C">
        <w:rPr>
          <w:bCs/>
          <w:color w:val="002060"/>
          <w:sz w:val="16"/>
          <w:szCs w:val="16"/>
        </w:rPr>
        <w:softHyphen/>
        <w:t>галось установить два двигателя мощно</w:t>
      </w:r>
      <w:r w:rsidRPr="00DE096C">
        <w:rPr>
          <w:bCs/>
          <w:color w:val="002060"/>
          <w:sz w:val="16"/>
          <w:szCs w:val="16"/>
        </w:rPr>
        <w:softHyphen/>
        <w:t>стью по 300 л.с. в машинном отделении фюзеляжа. При помощи трансмиссии с понижающей передачей они должны были приводить в движение два гигант</w:t>
      </w:r>
      <w:r w:rsidRPr="00DE096C">
        <w:rPr>
          <w:bCs/>
          <w:color w:val="002060"/>
          <w:sz w:val="16"/>
          <w:szCs w:val="16"/>
        </w:rPr>
        <w:softHyphen/>
        <w:t>ских толкающих винта диаметром 6 м. С точки зрения аэродинамики это совер</w:t>
      </w:r>
      <w:r w:rsidRPr="00DE096C">
        <w:rPr>
          <w:bCs/>
          <w:color w:val="002060"/>
          <w:sz w:val="16"/>
          <w:szCs w:val="16"/>
        </w:rPr>
        <w:softHyphen/>
        <w:t>шенно правильное решение, так как при постоянной мощности тяга воздушного винта приблизительно пропорциональна его диаметру. Но огромные винты выну</w:t>
      </w:r>
      <w:r w:rsidRPr="00DE096C">
        <w:rPr>
          <w:bCs/>
          <w:color w:val="002060"/>
          <w:sz w:val="16"/>
          <w:szCs w:val="16"/>
        </w:rPr>
        <w:softHyphen/>
        <w:t>дили использовать такое же громоздкое шасси с колесами выше человеческого роста. Центральное расположение дви</w:t>
      </w:r>
      <w:r w:rsidRPr="00DE096C">
        <w:rPr>
          <w:bCs/>
          <w:color w:val="002060"/>
          <w:sz w:val="16"/>
          <w:szCs w:val="16"/>
        </w:rPr>
        <w:softHyphen/>
        <w:t>гателей обеспечивало свободный доступ к ним в полете, чему в то время прида</w:t>
      </w:r>
      <w:r w:rsidRPr="00DE096C">
        <w:rPr>
          <w:bCs/>
          <w:color w:val="002060"/>
          <w:sz w:val="16"/>
          <w:szCs w:val="16"/>
        </w:rPr>
        <w:softHyphen/>
        <w:t>валось очень большое значение. Кроме того, двигатели в фюзеляже не создают аэродинамического сопротивления, а в случае отказа одного из них отсутствует асимметрия тяги, так как трансмиссия предполагалась общей (23486).</w:t>
      </w:r>
    </w:p>
    <w:p w14:paraId="3C21A713" w14:textId="77777777" w:rsidR="001E7CD8" w:rsidRPr="00DE096C" w:rsidRDefault="001E7CD8" w:rsidP="00D45A46">
      <w:pPr>
        <w:jc w:val="both"/>
        <w:rPr>
          <w:bCs/>
          <w:color w:val="002060"/>
          <w:sz w:val="16"/>
          <w:szCs w:val="16"/>
        </w:rPr>
      </w:pPr>
    </w:p>
    <w:p w14:paraId="72135712" w14:textId="77777777" w:rsidR="001E7CD8" w:rsidRPr="00DE096C" w:rsidRDefault="001E7CD8" w:rsidP="00D45A46">
      <w:pPr>
        <w:jc w:val="both"/>
        <w:rPr>
          <w:bCs/>
          <w:color w:val="002060"/>
          <w:sz w:val="16"/>
          <w:szCs w:val="16"/>
        </w:rPr>
      </w:pPr>
      <w:r w:rsidRPr="00DE096C">
        <w:rPr>
          <w:bCs/>
          <w:color w:val="002060"/>
          <w:sz w:val="16"/>
          <w:szCs w:val="16"/>
        </w:rPr>
        <w:t>С ав</w:t>
      </w:r>
      <w:r w:rsidRPr="00DE096C">
        <w:rPr>
          <w:bCs/>
          <w:color w:val="002060"/>
          <w:sz w:val="16"/>
          <w:szCs w:val="16"/>
        </w:rPr>
        <w:softHyphen/>
        <w:t>густа по декабрь 1914 года было изго</w:t>
      </w:r>
      <w:r w:rsidRPr="00DE096C">
        <w:rPr>
          <w:bCs/>
          <w:color w:val="002060"/>
          <w:sz w:val="16"/>
          <w:szCs w:val="16"/>
        </w:rPr>
        <w:softHyphen/>
        <w:t>товлено 235 трехдюймовых пушек, в 1915 году - 1368, в 1916 году - 6612 и в 1917 году - 4289 пушек. В целом же выпуск 76-мм полевых пушек обр. 1902 г. в годы Первой мировой войны составил 12 504 штуки. На 15 июня 1917 года в действующей армии имелось 7621 исправная пушка обр. 1902 г. Кроме того, на тыловых складах находилось не менее 500 таких орудий (23385).</w:t>
      </w:r>
    </w:p>
    <w:p w14:paraId="6B003F34" w14:textId="77777777" w:rsidR="001E7CD8" w:rsidRPr="00DE096C" w:rsidRDefault="001E7CD8" w:rsidP="00D45A46">
      <w:pPr>
        <w:jc w:val="both"/>
        <w:rPr>
          <w:bCs/>
          <w:color w:val="002060"/>
          <w:sz w:val="16"/>
          <w:szCs w:val="16"/>
        </w:rPr>
      </w:pPr>
    </w:p>
    <w:p w14:paraId="0D2AFE2B" w14:textId="44F93C08" w:rsidR="000F5F6C" w:rsidRPr="00DE096C" w:rsidRDefault="000F5F6C" w:rsidP="00D45A46">
      <w:pPr>
        <w:shd w:val="clear" w:color="auto" w:fill="FFFFFF"/>
        <w:jc w:val="both"/>
        <w:rPr>
          <w:bCs/>
          <w:i/>
          <w:color w:val="002060"/>
          <w:sz w:val="16"/>
          <w:szCs w:val="16"/>
        </w:rPr>
      </w:pPr>
      <w:r w:rsidRPr="00DE096C">
        <w:rPr>
          <w:bCs/>
          <w:i/>
          <w:color w:val="002060"/>
          <w:sz w:val="16"/>
          <w:szCs w:val="16"/>
        </w:rPr>
        <w:t>Другие оборонные отрасли:</w:t>
      </w:r>
    </w:p>
    <w:p w14:paraId="5F238BBE" w14:textId="77777777" w:rsidR="000F5F6C" w:rsidRPr="00DE096C" w:rsidRDefault="000F5F6C" w:rsidP="00D45A46">
      <w:pPr>
        <w:shd w:val="clear" w:color="auto" w:fill="FFFFFF"/>
        <w:jc w:val="both"/>
        <w:rPr>
          <w:bCs/>
          <w:i/>
          <w:color w:val="002060"/>
          <w:sz w:val="16"/>
          <w:szCs w:val="16"/>
        </w:rPr>
      </w:pPr>
    </w:p>
    <w:p w14:paraId="2880D5FA" w14:textId="77777777" w:rsidR="000F5F6C" w:rsidRPr="00DE096C" w:rsidRDefault="000F5F6C" w:rsidP="00D45A46">
      <w:pPr>
        <w:jc w:val="both"/>
        <w:rPr>
          <w:bCs/>
          <w:color w:val="002060"/>
          <w:sz w:val="16"/>
          <w:szCs w:val="16"/>
        </w:rPr>
      </w:pPr>
      <w:r w:rsidRPr="00DE096C">
        <w:rPr>
          <w:bCs/>
          <w:color w:val="002060"/>
          <w:sz w:val="16"/>
          <w:szCs w:val="16"/>
        </w:rPr>
        <w:t>В августе—октябрь 1914 г. выпуск патронов интенсивно увеличивается, а затем быстро падает ниже исходной цифры. Причина — острый недостаток винтовочного пороха. Запасов его не было вовсе. Пороховые же заводы, которым приказано было форсировать работу, не могли сразу выручить из беды, так как перед началом войны они шли на весьма пониженной программе и для того, чтобы развернуться до максимума, им требовалось несколько месяцев ввиду длительности технологических процессов в пороходелии. Притом максимум производительности по винтовочному пороху был невелик — всего на 70 млн патронов в месяц.</w:t>
      </w:r>
    </w:p>
    <w:p w14:paraId="719D8DD7" w14:textId="77777777" w:rsidR="000F5F6C" w:rsidRPr="00DE096C" w:rsidRDefault="000F5F6C" w:rsidP="00D45A46">
      <w:pPr>
        <w:jc w:val="both"/>
        <w:rPr>
          <w:bCs/>
          <w:color w:val="002060"/>
          <w:sz w:val="16"/>
          <w:szCs w:val="16"/>
        </w:rPr>
      </w:pPr>
      <w:r w:rsidRPr="00DE096C">
        <w:rPr>
          <w:bCs/>
          <w:color w:val="002060"/>
          <w:sz w:val="16"/>
          <w:szCs w:val="16"/>
        </w:rPr>
        <w:lastRenderedPageBreak/>
        <w:t xml:space="preserve">Ввиду таких трудных обстоятельств уже 6 августа 1914 г. были командированы в Америку и Японию русские инженеры-пороховщики для размещения крупных заказов на ружейный порох. Но и эта мера могла дать свои результаты также только через несколько месяцев. Только счастливый случай помог ликвидировать кризис: в Америке нашим инженерам удалось найти и закупить партию готового пороха, который по своим качествам подходил к русской винтовке. По прибытии его в Россию выпуск патронов начал сравнительно быстро увеличиваться, благо за время задержки в снаряжении патронов накопился запас винтовочных гильз. </w:t>
      </w:r>
    </w:p>
    <w:p w14:paraId="44576FE2" w14:textId="77777777" w:rsidR="000F5F6C" w:rsidRPr="00DE096C" w:rsidRDefault="000F5F6C" w:rsidP="00D45A46">
      <w:pPr>
        <w:jc w:val="both"/>
        <w:rPr>
          <w:bCs/>
          <w:color w:val="002060"/>
          <w:sz w:val="16"/>
          <w:szCs w:val="16"/>
        </w:rPr>
      </w:pPr>
      <w:r w:rsidRPr="00DE096C">
        <w:rPr>
          <w:bCs/>
          <w:color w:val="002060"/>
          <w:sz w:val="16"/>
          <w:szCs w:val="16"/>
        </w:rPr>
        <w:t xml:space="preserve">Работа патронных заводов в первую половину 1915 г. значительно усилила темп. Форсировка велась главным образом за счет увеличения числа рабочих дней и часов. Заводы работали непрерывно 22 часа в сутки и 29 дней в месяц. Форсировать сами технологические процессы, как это делалось в оружейном производстве, было нельзя ввиду особенностей патронного производства. </w:t>
      </w:r>
    </w:p>
    <w:p w14:paraId="696C17D3" w14:textId="77777777" w:rsidR="000F5F6C" w:rsidRPr="00DE096C" w:rsidRDefault="000F5F6C" w:rsidP="00D45A46">
      <w:pPr>
        <w:jc w:val="both"/>
        <w:rPr>
          <w:bCs/>
          <w:color w:val="002060"/>
          <w:sz w:val="16"/>
          <w:szCs w:val="16"/>
        </w:rPr>
      </w:pPr>
      <w:r w:rsidRPr="00DE096C">
        <w:rPr>
          <w:bCs/>
          <w:color w:val="002060"/>
          <w:sz w:val="16"/>
          <w:szCs w:val="16"/>
        </w:rPr>
        <w:t xml:space="preserve">В то же время на всех патронных заводах с началом 1915 г. были предприняты меры к максимальному увеличению пропускной способности заводов путем постановки дополнительного оборудования, которое спешно заказывалось в России и за границей. Новое оборудование начало вступать в работу примерно с середины 1915 года. Таким образом, на протяжении 1915 г. заводы при максимальнейшем напряжении могли усилить выпуск патронов только примерно в два раза (с 49,9 млн до 107,9), причем частью за счет форсировки работы, частью за счет увеличения оборудования. </w:t>
      </w:r>
    </w:p>
    <w:p w14:paraId="72DAFAFA" w14:textId="77777777" w:rsidR="000F5F6C" w:rsidRPr="00DE096C" w:rsidRDefault="000F5F6C" w:rsidP="00D45A46">
      <w:pPr>
        <w:jc w:val="both"/>
        <w:rPr>
          <w:bCs/>
          <w:color w:val="002060"/>
          <w:sz w:val="16"/>
          <w:szCs w:val="16"/>
        </w:rPr>
      </w:pPr>
      <w:r w:rsidRPr="00DE096C">
        <w:rPr>
          <w:bCs/>
          <w:color w:val="002060"/>
          <w:sz w:val="16"/>
          <w:szCs w:val="16"/>
        </w:rPr>
        <w:t>За 1916 г. эффект годового нарастания выпуска получился ниже, только 1,5 (с 109,3 до 150,7), и главным образом за счет постановки дополнительного оборудования, которое, начав поступать в заводы с 1915 г., все время продолжало прибывать и в 1916 году.</w:t>
      </w:r>
    </w:p>
    <w:p w14:paraId="55DB364A" w14:textId="77777777" w:rsidR="000F5F6C" w:rsidRPr="00DE096C" w:rsidRDefault="000F5F6C" w:rsidP="00D45A46">
      <w:pPr>
        <w:jc w:val="both"/>
        <w:rPr>
          <w:bCs/>
          <w:color w:val="002060"/>
          <w:sz w:val="16"/>
          <w:szCs w:val="16"/>
        </w:rPr>
      </w:pPr>
      <w:r w:rsidRPr="00DE096C">
        <w:rPr>
          <w:bCs/>
          <w:color w:val="002060"/>
          <w:sz w:val="16"/>
          <w:szCs w:val="16"/>
        </w:rPr>
        <w:t xml:space="preserve">Дальнейший рост производительности заводов был невозможен, так как они были насыщены станками и свободных площадей для дальнейшего развития станочных парков уже не было. </w:t>
      </w:r>
    </w:p>
    <w:p w14:paraId="55BE9D42" w14:textId="77777777" w:rsidR="000F5F6C" w:rsidRPr="00DE096C" w:rsidRDefault="000F5F6C" w:rsidP="00D45A46">
      <w:pPr>
        <w:jc w:val="both"/>
        <w:rPr>
          <w:bCs/>
          <w:color w:val="002060"/>
          <w:sz w:val="16"/>
          <w:szCs w:val="16"/>
        </w:rPr>
      </w:pPr>
      <w:r w:rsidRPr="00DE096C">
        <w:rPr>
          <w:bCs/>
          <w:color w:val="002060"/>
          <w:sz w:val="16"/>
          <w:szCs w:val="16"/>
        </w:rPr>
        <w:t xml:space="preserve">Таким образом, война застала патронные заводы при средней месячной производительности около 50 млн патронов. При предельной форсировке работы и насыщении заводов до отказа оборудованием удалось на протяжении 2,5 лет поднять месячный выпуск до 150 миллионов. Эту цифру заводы давали с крайним напряжением, и ее нужно признать "вымученной" (11329). </w:t>
      </w:r>
    </w:p>
    <w:p w14:paraId="0CA3C7CB" w14:textId="77777777" w:rsidR="000F5F6C" w:rsidRPr="00DE096C" w:rsidRDefault="000F5F6C" w:rsidP="00D45A46">
      <w:pPr>
        <w:jc w:val="both"/>
        <w:rPr>
          <w:bCs/>
          <w:color w:val="002060"/>
          <w:sz w:val="16"/>
          <w:szCs w:val="16"/>
        </w:rPr>
      </w:pPr>
    </w:p>
    <w:p w14:paraId="3F996507" w14:textId="45656D6B" w:rsidR="00D50668" w:rsidRPr="00DE096C" w:rsidRDefault="00D50668" w:rsidP="00D45A46">
      <w:pPr>
        <w:shd w:val="clear" w:color="auto" w:fill="FFFFFF"/>
        <w:jc w:val="both"/>
        <w:rPr>
          <w:bCs/>
          <w:i/>
          <w:color w:val="002060"/>
          <w:sz w:val="16"/>
          <w:szCs w:val="16"/>
        </w:rPr>
      </w:pPr>
      <w:r w:rsidRPr="00DE096C">
        <w:rPr>
          <w:bCs/>
          <w:i/>
          <w:color w:val="002060"/>
          <w:sz w:val="16"/>
          <w:szCs w:val="16"/>
        </w:rPr>
        <w:t>Самолетостроение:</w:t>
      </w:r>
    </w:p>
    <w:p w14:paraId="7AC58DA3" w14:textId="77777777" w:rsidR="00D50668" w:rsidRPr="00DE096C" w:rsidRDefault="00D50668" w:rsidP="00D45A46">
      <w:pPr>
        <w:shd w:val="clear" w:color="auto" w:fill="FFFFFF"/>
        <w:jc w:val="both"/>
        <w:rPr>
          <w:bCs/>
          <w:i/>
          <w:color w:val="002060"/>
          <w:sz w:val="16"/>
          <w:szCs w:val="16"/>
        </w:rPr>
      </w:pPr>
    </w:p>
    <w:p w14:paraId="07D7AD17" w14:textId="77777777" w:rsidR="00D50668" w:rsidRPr="00DE096C" w:rsidRDefault="00D50668" w:rsidP="00D45A46">
      <w:pPr>
        <w:shd w:val="clear" w:color="auto" w:fill="FFFFFF"/>
        <w:jc w:val="both"/>
        <w:rPr>
          <w:bCs/>
          <w:color w:val="002060"/>
          <w:sz w:val="16"/>
          <w:szCs w:val="16"/>
        </w:rPr>
      </w:pPr>
      <w:r w:rsidRPr="00DE096C">
        <w:rPr>
          <w:bCs/>
          <w:color w:val="002060"/>
          <w:sz w:val="16"/>
          <w:szCs w:val="16"/>
        </w:rPr>
        <w:t>В августе-октябре 1914 г. в самом начале войны 1914—1918 гг. при Московском высшем техническом училище было создано под руководством Жуковского расчетно-испытательное бюро для обслуживания военно-воздушных сил (11042,180).</w:t>
      </w:r>
    </w:p>
    <w:p w14:paraId="7817FD08" w14:textId="77777777" w:rsidR="00D50668" w:rsidRPr="00DE096C" w:rsidRDefault="00D50668" w:rsidP="00D45A46">
      <w:pPr>
        <w:shd w:val="clear" w:color="auto" w:fill="FFFFFF"/>
        <w:jc w:val="both"/>
        <w:rPr>
          <w:bCs/>
          <w:color w:val="002060"/>
          <w:sz w:val="16"/>
          <w:szCs w:val="16"/>
        </w:rPr>
      </w:pPr>
    </w:p>
    <w:p w14:paraId="4B530627" w14:textId="77777777" w:rsidR="00D50668" w:rsidRPr="00DE096C" w:rsidRDefault="00D50668" w:rsidP="00D45A46">
      <w:pPr>
        <w:shd w:val="clear" w:color="auto" w:fill="FFFFFF"/>
        <w:jc w:val="both"/>
        <w:rPr>
          <w:bCs/>
          <w:color w:val="002060"/>
          <w:sz w:val="16"/>
          <w:szCs w:val="16"/>
        </w:rPr>
      </w:pPr>
      <w:r w:rsidRPr="00DE096C">
        <w:rPr>
          <w:bCs/>
          <w:color w:val="002060"/>
          <w:sz w:val="16"/>
          <w:szCs w:val="16"/>
        </w:rPr>
        <w:t>В августе-октябре 1914 г. в начале войны в России стрелковым оружием были вооружены толь</w:t>
      </w:r>
      <w:r w:rsidRPr="00DE096C">
        <w:rPr>
          <w:bCs/>
          <w:color w:val="002060"/>
          <w:sz w:val="16"/>
          <w:szCs w:val="16"/>
        </w:rPr>
        <w:softHyphen/>
        <w:t>ко тяжелые четырехмоторные самолеты типа «Илья Муромец». На них ус</w:t>
      </w:r>
      <w:r w:rsidRPr="00DE096C">
        <w:rPr>
          <w:bCs/>
          <w:color w:val="002060"/>
          <w:sz w:val="16"/>
          <w:szCs w:val="16"/>
        </w:rPr>
        <w:softHyphen/>
        <w:t>танавливались вначале пулеметы типа «Максим», затем «Люис» калибра 7,62 мм, имевшие скорострельность около 400 выстрелов в минуту. На</w:t>
      </w:r>
      <w:r w:rsidRPr="00DE096C">
        <w:rPr>
          <w:bCs/>
          <w:color w:val="002060"/>
          <w:sz w:val="16"/>
          <w:szCs w:val="16"/>
        </w:rPr>
        <w:softHyphen/>
        <w:t>верху фюзеляжа между плоскостями располагались два пулемета для стрельбы вперед, в боковых окнах по одному пулемету, которые стреляли в стороны под углами 60° один пулемет помещался в нижнем люке стрел</w:t>
      </w:r>
      <w:r w:rsidRPr="00DE096C">
        <w:rPr>
          <w:bCs/>
          <w:color w:val="002060"/>
          <w:sz w:val="16"/>
          <w:szCs w:val="16"/>
        </w:rPr>
        <w:softHyphen/>
        <w:t>ка, а на хвосте самолета устанавливалась задняя пулеметная точка, кото</w:t>
      </w:r>
      <w:r w:rsidRPr="00DE096C">
        <w:rPr>
          <w:bCs/>
          <w:color w:val="002060"/>
          <w:sz w:val="16"/>
          <w:szCs w:val="16"/>
        </w:rPr>
        <w:softHyphen/>
        <w:t>рую летчики называли «вороньим гнездом». Стрелковое вооружение самолетов типа «Илья Муромец» во время войны непрерывно совершенствовалось. Эффективность стрелкового вооружения в борьбе с истребителями противника существенно возрас</w:t>
      </w:r>
      <w:r w:rsidRPr="00DE096C">
        <w:rPr>
          <w:bCs/>
          <w:color w:val="002060"/>
          <w:sz w:val="16"/>
          <w:szCs w:val="16"/>
        </w:rPr>
        <w:softHyphen/>
        <w:t>тала при групповых полетах этих самолетов. В этих случаях применялся так называемый «уступный строй», обеспечивавший при нападении вра</w:t>
      </w:r>
      <w:r w:rsidRPr="00DE096C">
        <w:rPr>
          <w:bCs/>
          <w:color w:val="002060"/>
          <w:sz w:val="16"/>
          <w:szCs w:val="16"/>
        </w:rPr>
        <w:softHyphen/>
        <w:t>жеских истребителей взаимную огневую защиту (11425). В целях усиления вооружения самолета «Илья Муромец» на него в качестве опыта поставили морскую 37мм пушку системы П.А. Гельвиха. Это была первая в истории авиации попытка применения пушки на самолете.</w:t>
      </w:r>
    </w:p>
    <w:p w14:paraId="4B1FF5E3" w14:textId="77777777" w:rsidR="00D50668" w:rsidRPr="00DE096C" w:rsidRDefault="00D50668" w:rsidP="00D45A46">
      <w:pPr>
        <w:shd w:val="clear" w:color="auto" w:fill="FFFFFF"/>
        <w:jc w:val="both"/>
        <w:rPr>
          <w:bCs/>
          <w:color w:val="002060"/>
          <w:sz w:val="16"/>
          <w:szCs w:val="16"/>
        </w:rPr>
      </w:pPr>
    </w:p>
    <w:p w14:paraId="2428D8A3" w14:textId="77777777" w:rsidR="00D50668" w:rsidRPr="00DE096C" w:rsidRDefault="00D50668" w:rsidP="00D45A46">
      <w:pPr>
        <w:jc w:val="both"/>
        <w:rPr>
          <w:bCs/>
          <w:color w:val="002060"/>
          <w:sz w:val="16"/>
          <w:szCs w:val="16"/>
        </w:rPr>
      </w:pPr>
      <w:r w:rsidRPr="00DE096C">
        <w:rPr>
          <w:bCs/>
          <w:color w:val="002060"/>
          <w:sz w:val="16"/>
          <w:szCs w:val="16"/>
        </w:rPr>
        <w:t>В августе-октябре 1914 г. в первые месяцы войны были приняты меры для расширения завода «Гном» в Москве; сооружения на новом месте эвакуированного из Риги в Москву завода «Мотор»; был устроен новый завод «Сальмсон»; заключено соглашение с акционерным обществом «Русский Рено» о постройке нового моторного завода; к работе по изготовлению запасных частей были привлечены еще 16 заводов и мастерских [РГВИА. Там же. Оп. 1. Д. 168. Л. 7.].</w:t>
      </w:r>
    </w:p>
    <w:p w14:paraId="4E0BB084" w14:textId="77777777" w:rsidR="00D50668" w:rsidRPr="00DE096C" w:rsidRDefault="00D50668" w:rsidP="00D45A46">
      <w:pPr>
        <w:jc w:val="both"/>
        <w:rPr>
          <w:bCs/>
          <w:color w:val="002060"/>
          <w:sz w:val="16"/>
          <w:szCs w:val="16"/>
        </w:rPr>
      </w:pPr>
      <w:r w:rsidRPr="00DE096C">
        <w:rPr>
          <w:bCs/>
          <w:color w:val="002060"/>
          <w:sz w:val="16"/>
          <w:szCs w:val="16"/>
        </w:rPr>
        <w:t>В мае 1915 г. была завершена выработка плана снабжения армии авиаимуществом на срок с 1 июня 1915 г. до 1 июня 1916 г. Заложенные в плане показатели обеспечения авиационных фронтовых отрядов различными типами самолетов и моторов к ним, а также возмещение их убыли предполагали распределение большей части заказов в России [Там же. Оп. 2. Д. 12. Л. 207-208об; Там же. Оп. 21. Д. 12. Л. 42.]. Регулярно проводимые учреждениями военного ведомства совещания по вопросам снабжения армии авиаимуществом стали важным фактором развития авиационной промышленности [См.: Материалы ноябрьского совещания 1915 г. (РГВИА. Ф. 493. Оп. 4. Д. 52. Л. 93-94об.); апрельского и майского совещаний 1916 г. (РГВИА, Ф. 493. Оп. 4. Д. 83. Л. 113-114, 229-232об.) и др.]. Принятые на них программы, или их корректировки на заключительном этапе обязательно рассматривались Особым совещанием по обороне.</w:t>
      </w:r>
    </w:p>
    <w:p w14:paraId="317FA6D9" w14:textId="77777777" w:rsidR="00D50668" w:rsidRPr="00DE096C" w:rsidRDefault="00D50668" w:rsidP="00D45A46">
      <w:pPr>
        <w:jc w:val="both"/>
        <w:rPr>
          <w:bCs/>
          <w:color w:val="002060"/>
          <w:sz w:val="16"/>
          <w:szCs w:val="16"/>
        </w:rPr>
      </w:pPr>
      <w:r w:rsidRPr="00DE096C">
        <w:rPr>
          <w:bCs/>
          <w:color w:val="002060"/>
          <w:sz w:val="16"/>
          <w:szCs w:val="16"/>
        </w:rPr>
        <w:t>На основе этих планов в течение 1915 - 1916 гг. Особое совещание вело широкую выдачу заказов различным авиационным предприятиям с одновременным предоставлением авансов и ссуд. В июле 1915 г. было привлечено к исполнению заказов всего два моторных и шесть самолетостроительных завода. Тогда как только в сентябре - декабре 1915 г. в подготовительной комиссии по общим вопросам Особого совещания было обсуждено более десятка дел, связанных с выдачей заказов, ссуд, авансов, пособий авиационным заводам [РГВИА. Ф. 369. Оп. 8. Д. 73. Л. 3-6об. Перечень по воздухоплавательно-авиационным вопросам, обсуждавшимся в Подготовительной комиссии по общим вопросам.]. И число рассматриваемых дел, и объемы, выдаваемых заказов, в 1916 г. значительно возросли.</w:t>
      </w:r>
    </w:p>
    <w:p w14:paraId="0930A615" w14:textId="77777777" w:rsidR="00D50668" w:rsidRPr="00DE096C" w:rsidRDefault="00D50668" w:rsidP="00D45A46">
      <w:pPr>
        <w:jc w:val="both"/>
        <w:rPr>
          <w:bCs/>
          <w:color w:val="002060"/>
          <w:sz w:val="16"/>
          <w:szCs w:val="16"/>
        </w:rPr>
      </w:pPr>
      <w:r w:rsidRPr="00DE096C">
        <w:rPr>
          <w:bCs/>
          <w:color w:val="002060"/>
          <w:sz w:val="16"/>
          <w:szCs w:val="16"/>
        </w:rPr>
        <w:t>Уже с конца 1915 г. решения Особого совещания по обороне о выдаче заказов на авиационное имущество подразумевали, а часто прямо указывали на необходимость постройки нового завода или расширения старого. Недаром в отчете УВВФ за 1916 г. указывалось: «Принимавшиеся в 1916 г. меры к обеспечению авиации и воздухоплавания аэропланами, моторами и материалами шли, главным образом, по пути насаждения соответствующей отечественной промышленности, дабы в возможно большей степени освободиться от необходимости прибегать к услугам заграничной промышленности» [РГВИА. Ф. 493. Оп. 4. Д. 337. Л. 4.].</w:t>
      </w:r>
    </w:p>
    <w:p w14:paraId="2A601F8A" w14:textId="77777777" w:rsidR="00D50668" w:rsidRPr="00DE096C" w:rsidRDefault="00D50668" w:rsidP="00D45A46">
      <w:pPr>
        <w:jc w:val="both"/>
        <w:rPr>
          <w:bCs/>
          <w:color w:val="002060"/>
          <w:sz w:val="16"/>
          <w:szCs w:val="16"/>
        </w:rPr>
      </w:pPr>
      <w:r w:rsidRPr="00DE096C">
        <w:rPr>
          <w:bCs/>
          <w:color w:val="002060"/>
          <w:sz w:val="16"/>
          <w:szCs w:val="16"/>
        </w:rPr>
        <w:t>Особую роль в расширении и налаживании работы отечественных авиационных предприятий сыграла созданная в июле 1916 г. подготовительная комиссия по авиационным вопросам Особого совещания по обороне, возглавлявшаяся И.В. Гурко. Комиссия занялась, прежде всего, выработкой программы отечественного авиастроения, включая развитие самолето- и моторостроительных заводов. До этого развитие авиационной промышленности шло в значительной мере стихийно, и организующим элементом были только программы снабжения армии авиаимуществом, которые определяли сумму заказов русским авиационным заводам. Программа развития авиационного дела в России обсуждалась на нескольких заседаниях подготовительной комиссии по авиационным вопросам в течение сентября - октября 1916 г. [РГВИА. Ф. 369. Оп. 8. Д. 74. Л. 1-17 об. Журнал авиационной комиссии от 8 и 19 сентября, 6, 12, 13, 19 и 24 октября 1916 г.] Комиссия, оценивая план снабжения армии авиаимуществом на 1917 -1918 гг., выработанный в штабе авиации и согласованный с союзниками, отметила утопичность данного документа. Он совершенно не учитывал резкого отставания русской авиации от немецкой и союзнической. Комиссия старалась исходить из реальных задач, которые также требовали значительных усилий. В числе мер, которые предлагались авиационной комиссией, были: создать возможности предприятиям использовать все имеющееся оборудование; увеличить оборудование действующих заводов; соорудить новые предприятия [Там же. Л. 8об.]. Решение первой задачи было сопряжено с установлением определенного типа аппарата и невозможностью изменять его при выполнении контракта. Такая жесткая стандартизация продукции предприятий была обязательным элементов политики военного ведомства и всех организаций, занимающихся мобилизацией промышленности на оборону, что должно было способствовать внедрению индустриальных начал в отечественное производство. Для усиления планомерности заводской деятельности комиссия предлагала ввести специализацию заводов и поощрять это стремление предпринимателей выдачей соответствующих премий. Вопрос о сооружении новых предприятий был поставлен в программе применительно к отдельным частным, уже приступившим к реконструкции, и особенно был конкретизирован в отношении казенных заведений - предлагалось построить казенные аэроплановый и моторный заводы. Кроме того, в программе обращалось внимание на улучшение подготовки летных кадров и создание научного авиационного центра (так называемый Главный аэродром) [Там же. Л. 11об., 12-13.]. На заседании Особого совещания по обороне от 29 октября 1916 г. эта программа в целом была одобрена [Журналы Особого совещания по обороне государства. 1916 год. М., 1977. Вып. IV. С. 631-639.].</w:t>
      </w:r>
    </w:p>
    <w:p w14:paraId="44A6B58B" w14:textId="77777777" w:rsidR="00D50668" w:rsidRPr="00DE096C" w:rsidRDefault="00D50668" w:rsidP="00D45A46">
      <w:pPr>
        <w:jc w:val="both"/>
        <w:rPr>
          <w:bCs/>
          <w:color w:val="002060"/>
          <w:sz w:val="16"/>
          <w:szCs w:val="16"/>
        </w:rPr>
      </w:pPr>
      <w:r w:rsidRPr="00DE096C">
        <w:rPr>
          <w:bCs/>
          <w:color w:val="002060"/>
          <w:sz w:val="16"/>
          <w:szCs w:val="16"/>
        </w:rPr>
        <w:t>Выдача казенных заказов и специальные меры поддержки отечественной промышленности, безусловно, стимулировали развитие производства и заводское строительство в области авиации. Если перед войной было всего 11 авиационных заводов и мастерских, то на начало 1917 г. в России насчитывалось 14 самолетостроительных предприятий, на которых было занято около 12 тыс. рабочих; производство авиационных двигателей было налажено на 7 заводах, насчитывающих около 3,5 тыс. рабочих. Таким образом, всего на 21 русском авиационном предприятии трудилось 15,5 тыс. рабочих [В число заводов не входят недостроенные предприятия. Количество заводов и численность рабочих установлены на основе подсчетов данных заводских совещаний и сведений УВВФ. РГВИА. Ф. 369. Оп. 1. Д. 471, 568; Там же. Оп. 8. Д. 43, 51; Там же. Оп. 21. Д. 145; Там же. Ф. 493. Оп. 9. Д. 493.]. Суммарная средняя производительность аэроплановых заводов в месяц в конце 1916 г. составляла 200 аппаратов (довоенная - 40), а моторных - около 100 двигателей (против 10-15 до войны) [РГВИА. Ф. 369. Оп. 8. Д. 74. Л. 18-18об.]. Попытаемся раскрыть эти обобщенные данные на материалах отдельных предприятий и истории их развития в 1915 - 1917 гг.</w:t>
      </w:r>
    </w:p>
    <w:p w14:paraId="4A8F691E" w14:textId="77777777" w:rsidR="00D50668" w:rsidRPr="00DE096C" w:rsidRDefault="00D50668" w:rsidP="00D45A46">
      <w:pPr>
        <w:jc w:val="both"/>
        <w:rPr>
          <w:bCs/>
          <w:color w:val="002060"/>
          <w:sz w:val="16"/>
          <w:szCs w:val="16"/>
        </w:rPr>
      </w:pPr>
      <w:r w:rsidRPr="00DE096C">
        <w:rPr>
          <w:bCs/>
          <w:color w:val="002060"/>
          <w:sz w:val="16"/>
          <w:szCs w:val="16"/>
        </w:rPr>
        <w:t xml:space="preserve">В годы войны значительно расширились, используя прямую финансовую поддержку казны, предприятия акционерного общества воздухоплавания «В. А. Лебедев», учрежденного в 1913 г. одним из первых авиаторов России. Обществу первоначально принадлежало два завода в Петербурге - самолетостроительный и завод по производству воздушных винтов «Интеграл». Для выполнения оборонных заказов было осуществлено сооружение новых построек и их оборудование станками, специальными приспособлениями на общую сумму 2,5 млн. руб. [Там же. Ф. 493. Оп. 9. Д. 56. Л. 200.] В 1916 г. на самолетостроительном заводе имелись деревообделочный, механический, слесарный, сварочный, сборочный, малярный, сушильный цеха, столярная мастерская. В них трудилось около 1500 рабочих. Хотя на заводе имелось собственное конструкторское бюро, предприятие В.А. Лебедева строило по заказам военного ведомства в основном летательные аппараты иностранных марок (Вуазен, Моран-Солье, Депердюссен) с применением двигателя «Сальмсон». Производительность завода к середине 1917 г. достигла 40-50 аппаратов в месяц (против 10 до войны) [Там же. Ф. 369. Оп. 8. Д. 74. Л. 18.], однако и при этом общество имело задолженность по выполнению контрактов. </w:t>
      </w:r>
    </w:p>
    <w:p w14:paraId="7AC072A5" w14:textId="77777777" w:rsidR="00D50668" w:rsidRPr="00DE096C" w:rsidRDefault="00D50668" w:rsidP="00D45A46">
      <w:pPr>
        <w:jc w:val="both"/>
        <w:rPr>
          <w:bCs/>
          <w:color w:val="002060"/>
          <w:sz w:val="16"/>
          <w:szCs w:val="16"/>
        </w:rPr>
      </w:pPr>
      <w:r w:rsidRPr="00DE096C">
        <w:rPr>
          <w:bCs/>
          <w:color w:val="002060"/>
          <w:sz w:val="16"/>
          <w:szCs w:val="16"/>
        </w:rPr>
        <w:lastRenderedPageBreak/>
        <w:t>Еще в 1915 г. встал вопрос о более существенном расширении предприятия, но имеющаяся территория в Петрограде этого не позволяла. Осенью того же года по решению Особого совещания по обороне о-ву «В. А. Лебедев» была выдана на льготных основаниях ссуда и безвозвратное пособие с целью устройства филиалов. Вскоре началось сооружение отделений в Таганроге и Пензе. Казенные суммы составили 35 % всех расходов по строительству. Таганрогский завод возводился с учетом требований конвейерного производства по системе Тейлора, был задуман, как отмечали технические инспектора УВВФ, осуществлявшие контроль за строительством весьма широко и практично. К октябрю 1917 г. главный корпус нового завода находился почти в законченном виде, были готовы сборочная и моторная, но в них не было оборудования. В механическом цехе было установлено 16 револьверных и токарных станков, а в деревообделочном – часть станков уже работала, поскольку предприятие приступило к ремонту поплавков. Большой оригинальностью отличалась постройка сборочного цеха, рассчитанного на параллельную сборку в двух потоках сухопутных и морских аэропланов [Там же. Ф. 493. Оп. 9. Д. 56.]. Уже в ноябре 1916 г. было завершено сооружение первых отделов Пензенского завода, в которых началось производство винтов. Вскоре для сборки самолетов был построен цех площадью свыше 2 тыс. м2. Экономический кризис 1917 г. не позволил полностью закончить строительство и особенно оборудование новых филиалов. Наиболее законченный из них, Таганрогский стал впоследствии основой крупнейшего авиационного завода им. Димитрова.</w:t>
      </w:r>
    </w:p>
    <w:p w14:paraId="43FB2079" w14:textId="77777777" w:rsidR="00D50668" w:rsidRPr="00DE096C" w:rsidRDefault="00D50668" w:rsidP="00D45A46">
      <w:pPr>
        <w:jc w:val="both"/>
        <w:rPr>
          <w:bCs/>
          <w:color w:val="002060"/>
          <w:sz w:val="16"/>
          <w:szCs w:val="16"/>
        </w:rPr>
      </w:pPr>
      <w:r w:rsidRPr="00DE096C">
        <w:rPr>
          <w:bCs/>
          <w:color w:val="002060"/>
          <w:sz w:val="16"/>
          <w:szCs w:val="16"/>
        </w:rPr>
        <w:t>К числу первых самолетостроительных предприятий в России относился завод акционерного общества «Дукс», учрежденного в 1900 г. по инициативе Ю.А. Меллера. Еще в 1912 г. завод получил казенные заказы, что способствовало развитию производства и переходу к систематическому выпуску самолетов, в основном зарубежных моделей. Хотя в 1914 г. на предприятии было занято около 500 рабочих, производительность была невелика (10-12 аппаратов в месяц). Причиной этого были малые размеры производственных помещений, их временный характер (легкие сараи), отсутствие необходимого оборудования, материалов, недостаток квалифицированных кадров. В годы Первой мировой войны «Дукс» из небольшого предприятия превратился в один из крупнейших российских авиазаводов и оставался им на протяжении десятилетий. Основой расширения предприятия стали щедро оплачиваемые военные заказы. Еще в начале войны началось утепление временных помещений, строительство новых деревообделочного, столярного, трубоволочильного и сборочного цехов. Впоследствии расширились и частично перестроились инструментальный, механический, литейный и медницкий цеха; на Ходынском аэродроме были сооружены ангары. Как отмечала авиационная комиссия Особого совещания по обороне, завод «Дукс» отличался исправностью выполнения заказов и даже перевыполнял поставки, не получая специальных субсидий [Там же. Ф. 369. Оп. 8. Д. 75. Л. 48-50.].</w:t>
      </w:r>
    </w:p>
    <w:p w14:paraId="1419979A" w14:textId="77777777" w:rsidR="00D50668" w:rsidRPr="00DE096C" w:rsidRDefault="00D50668" w:rsidP="00D45A46">
      <w:pPr>
        <w:jc w:val="both"/>
        <w:rPr>
          <w:bCs/>
          <w:color w:val="002060"/>
          <w:sz w:val="16"/>
          <w:szCs w:val="16"/>
        </w:rPr>
      </w:pPr>
      <w:r w:rsidRPr="00DE096C">
        <w:rPr>
          <w:bCs/>
          <w:color w:val="002060"/>
          <w:sz w:val="16"/>
          <w:szCs w:val="16"/>
        </w:rPr>
        <w:t>Контракты, заключенные заводом в 1916 г., потребовали его дальнейшего расширения. К концу года на предприятии было занято уже свыше 2500 рабочих, в том числе 2150 номерных; выпускалось по 100 аппаратов в месяц. Правление Общества «Дукс» наметило специальную программу развития завода. При содействии Особого совещания по обороне были приобретены земельные участки за 145 тыс. руб., на которых была начата постройка двух производственных корпусов (3-этажного и 2-этажного), нового склада аэропланов, теплого ангара, котельного здания и деревообделочной мастерской, проводилось дополнительное оборудование механической мастерской. Большинство построек к декабрю 1916 г. были близки к завершению. На основании ходатайства правления «Дукса», поддержанного авиационной комиссией, Особое совещание решением от 28 января 1917 г. выдало заводу ссуду в 550 тыс. руб. из расчета 5 % годовых (все планируемые затраты по расширению предприятия исчислялись в 1063,1 тыс. руб.) [Там же. Д. 43. Л. 4; Там же. Д. 75. Л. 96об.]. В договорах о новых заказах прямо указывалось: «Акционерное общество “Дукс” Ю.А. Меллер обязуется расширить существующий в городе Москве аэроплановый завод и увеличить его оборудование к 1-му июня 1917 г. до размеров, достаточных для выпуска аэропланов в срок» [Там же. Ф. 493. Оп. 4. Д. 295. Л. 22.]. В течение 1917 г. завод «Дукс» по заключенным контрактам получил аванс свыше 1,3 млн. руб. и беспроцентную ссуду в 2758 тыс. руб. На предприятии в это время было занято около 3 тыс. рабочих; осуществлялось производство велосипедов, мотоциклов, дирижаблей, самолетов, аэросаней, дрезин. Впоследствии это было одно из ведущих авиационных предприятий СССР («Знамя труда»).</w:t>
      </w:r>
    </w:p>
    <w:p w14:paraId="34D9BA06" w14:textId="77777777" w:rsidR="00D50668" w:rsidRPr="00DE096C" w:rsidRDefault="00D50668" w:rsidP="00D45A46">
      <w:pPr>
        <w:jc w:val="both"/>
        <w:rPr>
          <w:bCs/>
          <w:color w:val="002060"/>
          <w:sz w:val="16"/>
          <w:szCs w:val="16"/>
        </w:rPr>
      </w:pPr>
      <w:r w:rsidRPr="00DE096C">
        <w:rPr>
          <w:bCs/>
          <w:color w:val="002060"/>
          <w:sz w:val="16"/>
          <w:szCs w:val="16"/>
        </w:rPr>
        <w:t>К расширению производства, в том числе и через новое строительство, стремились и другие российские самолетостроительные заводы. Известный своими достижениями в области гидроавиации Петроградский завод Товарищества С.С. Щетинина на основании решения Особого совещания по обороне (ноябрь 1915 г.) начинает строительство большого авиационного предприятия в Ярославле. На его сооружение и оборудование казной были выделены ссуда в 338,7 тыс. руб. и безвозвратное пособие - около 300 тыс. руб. К концу 1916 г. было выстроено два больших корпуса. Хотя новое предприятие в 1917 г. получило заказ военного ведомства на поставку 180 «Спадов», его выполнение не началось, так как не прибыло оборудование, заказанное в США [Там же. Ф. 493. Оп. 4. Д. 51. Л. 3; Там же. Оп. 9. Д. 41. Л. 14об., 16об.].</w:t>
      </w:r>
    </w:p>
    <w:p w14:paraId="1FC2522C" w14:textId="77777777" w:rsidR="00D50668" w:rsidRPr="00DE096C" w:rsidRDefault="00D50668" w:rsidP="00D45A46">
      <w:pPr>
        <w:jc w:val="both"/>
        <w:rPr>
          <w:bCs/>
          <w:color w:val="002060"/>
          <w:sz w:val="16"/>
          <w:szCs w:val="16"/>
        </w:rPr>
      </w:pPr>
      <w:r w:rsidRPr="00DE096C">
        <w:rPr>
          <w:bCs/>
          <w:color w:val="002060"/>
          <w:sz w:val="16"/>
          <w:szCs w:val="16"/>
        </w:rPr>
        <w:t>Ведущим в группе южно-российских предприятий был авиационный завод банкира А.А. Анатра в Одессе. В годы войны на заводе были сделаны новые постройки, установлено дополнительно 200 станков. Одесский завод целиком работал на фронт. Расширение предприятия происходило в соответствии с казенными заказами и при материальной поддержке со стороны военного ведомства. С целью получения более значительных новых заказов А.А. Анатра осуществил постройку нового завода в Симферополе с аэропланным и моторным отделениями. Сооружение предприятия началось в феврале 1916 г. В выстроенных механическом, деревообделочном и сборочном цехах было установлено 150 станков. В 1917 г. самолетостроительное отделение было пущено в ход. На предприятии было занято около тысячи рабочих, однако недостаточность оборудования не позволила выйти на проектную производительность [Там же. Ф. 493. Оп. 9. Л. 89; Там же. Д. 56. Л. 200.].</w:t>
      </w:r>
    </w:p>
    <w:p w14:paraId="7CD71B3A" w14:textId="77777777" w:rsidR="00D50668" w:rsidRPr="00DE096C" w:rsidRDefault="00D50668" w:rsidP="00D45A46">
      <w:pPr>
        <w:jc w:val="both"/>
        <w:rPr>
          <w:bCs/>
          <w:color w:val="002060"/>
          <w:sz w:val="16"/>
          <w:szCs w:val="16"/>
        </w:rPr>
      </w:pPr>
      <w:r w:rsidRPr="00DE096C">
        <w:rPr>
          <w:bCs/>
          <w:color w:val="002060"/>
          <w:sz w:val="16"/>
          <w:szCs w:val="16"/>
        </w:rPr>
        <w:t>Благодаря регулярному получению правительственных заказов на изготовление учебных аппаратов, сопровождавшихся, как правило, выдачей 30- процентного аванса, в заводское предприятие превратилась авиационная мастерская В.В. Слюсаренко. В 1916 г. было учреждено акционерное общество Петроградского аэропланостроительного завода В.В. Слюсаренко, численность занятых рабочих на котором составляла около 300 человек. Была построена новая механическая мастерская, но оборудование предприятия оставалось незначительным [Там же. Оп. 4. Д. 84. Л. 1-8; Там же. Оп. 9. Д. 56. Л. 200.].</w:t>
      </w:r>
    </w:p>
    <w:p w14:paraId="633C7794" w14:textId="77777777" w:rsidR="00D50668" w:rsidRPr="00DE096C" w:rsidRDefault="00D50668" w:rsidP="00D45A46">
      <w:pPr>
        <w:jc w:val="both"/>
        <w:rPr>
          <w:bCs/>
          <w:color w:val="002060"/>
          <w:sz w:val="16"/>
          <w:szCs w:val="16"/>
        </w:rPr>
      </w:pPr>
      <w:r w:rsidRPr="00DE096C">
        <w:rPr>
          <w:bCs/>
          <w:color w:val="002060"/>
          <w:sz w:val="16"/>
          <w:szCs w:val="16"/>
        </w:rPr>
        <w:t>В годы войны открылся ряд новых самолетостроительных предприятий, получавших заказы на изготовление аппаратов: московские мастерские летчика-спортсмена, проектировщика, итальянца Ф. Моска, А.А. Пороховщикова, торгового дома Безобразова, технической конторы «И.И. Стеглау», товарищества Липецких аэропланостроительных мастерских [РГВИА. Ф. 493. Оп. 9. Д. 56. Л. 200; Там же. Ф. 369. Оп. 8. Д. 74. Л. 18; Там же. Ф. 493. Оп. 4. Д. 384; Там же. Д. 56. Л. 200; Там же. Ф. 369. Оп. 8. Д. 74. Л. 18.] (11863).</w:t>
      </w:r>
    </w:p>
    <w:p w14:paraId="21C45E2E" w14:textId="77777777" w:rsidR="00D50668" w:rsidRPr="00DE096C" w:rsidRDefault="00D50668" w:rsidP="00D45A46">
      <w:pPr>
        <w:jc w:val="both"/>
        <w:rPr>
          <w:bCs/>
          <w:color w:val="002060"/>
          <w:sz w:val="16"/>
          <w:szCs w:val="16"/>
        </w:rPr>
      </w:pPr>
    </w:p>
    <w:p w14:paraId="055DD664" w14:textId="77777777" w:rsidR="00D50668" w:rsidRPr="00DE096C" w:rsidRDefault="00D50668" w:rsidP="00D45A46">
      <w:pPr>
        <w:shd w:val="clear" w:color="auto" w:fill="FFFFFF"/>
        <w:jc w:val="both"/>
        <w:rPr>
          <w:bCs/>
          <w:i/>
          <w:color w:val="002060"/>
          <w:sz w:val="16"/>
          <w:szCs w:val="16"/>
        </w:rPr>
      </w:pPr>
      <w:r w:rsidRPr="00DE096C">
        <w:rPr>
          <w:bCs/>
          <w:i/>
          <w:color w:val="002060"/>
          <w:sz w:val="16"/>
          <w:szCs w:val="16"/>
        </w:rPr>
        <w:t>Другие оборонные отрасли:</w:t>
      </w:r>
    </w:p>
    <w:p w14:paraId="7BF67F55" w14:textId="77777777" w:rsidR="00D50668" w:rsidRPr="00DE096C" w:rsidRDefault="00D50668" w:rsidP="00D45A46">
      <w:pPr>
        <w:shd w:val="clear" w:color="auto" w:fill="FFFFFF"/>
        <w:jc w:val="both"/>
        <w:rPr>
          <w:bCs/>
          <w:i/>
          <w:color w:val="002060"/>
          <w:sz w:val="16"/>
          <w:szCs w:val="16"/>
        </w:rPr>
      </w:pPr>
    </w:p>
    <w:p w14:paraId="3A7FEB3F" w14:textId="77777777" w:rsidR="00D50668" w:rsidRPr="00DE096C" w:rsidRDefault="00D50668" w:rsidP="00D45A46">
      <w:pPr>
        <w:pStyle w:val="a3"/>
        <w:jc w:val="both"/>
        <w:rPr>
          <w:bCs/>
          <w:i w:val="0"/>
          <w:color w:val="002060"/>
          <w:spacing w:val="0"/>
          <w:kern w:val="0"/>
          <w:position w:val="0"/>
          <w:sz w:val="16"/>
          <w:szCs w:val="16"/>
        </w:rPr>
      </w:pPr>
      <w:r w:rsidRPr="00DE096C">
        <w:rPr>
          <w:bCs/>
          <w:i w:val="0"/>
          <w:iCs/>
          <w:color w:val="002060"/>
          <w:sz w:val="16"/>
          <w:szCs w:val="16"/>
        </w:rPr>
        <w:t>В августе-октябре 1914 г.</w:t>
      </w:r>
      <w:r w:rsidRPr="00DE096C">
        <w:rPr>
          <w:bCs/>
          <w:color w:val="002060"/>
          <w:sz w:val="16"/>
          <w:szCs w:val="16"/>
        </w:rPr>
        <w:t xml:space="preserve"> </w:t>
      </w:r>
      <w:r w:rsidRPr="00DE096C">
        <w:rPr>
          <w:bCs/>
          <w:i w:val="0"/>
          <w:color w:val="002060"/>
          <w:spacing w:val="0"/>
          <w:kern w:val="0"/>
          <w:position w:val="0"/>
          <w:sz w:val="16"/>
          <w:szCs w:val="16"/>
        </w:rPr>
        <w:t xml:space="preserve">в самом начале войны выяснился большой недостаток предметов боевого снабжения (особенно винтовок с патронами и выстрелов к 3-дм. пушкам) и полная невозможность быстро получить все это на внутреннем рынке, было решено прибегнуть к рынкам заграничным, сперва союзников - Франции, Англии и Японии, а затем Америки. Прежде всего речь зашла о винтовках. На просьбы уступить из наличных запасов готовые винтовки все ответили категорическим отказом, и лишь после больших усилии удалось купить в Японии небольшую партию в 300.000 винтовок. Тогда мы обратились с просьбою разместить заказы на винтовки на возможно короткие сроки. Франция, Англия и Япония решительно отказались ввиду невозможности уделить хотя часть производительности своих оружейных заводов; приспособлять же для этой цели какие-либо другие заводы, а тем более возводить новые, там считали делом явно безнадежным, о чем так прямо и заявили. Тогда все надежды были устремлены на рынок Америки, о гигантском развитии промышленности которой, особенно за последнее время, у нас рассказывали положительно чудеса. При содействии Англии нам удалось в самом начале заказать первоклассным и всемирно известным заводам Америки - Ремингтону и Вестингаузу - 3 млн. винтовок, а не менее известным и исключительно мощным заводам "Канадской компании" - 12 млн. патронов к 76-мм пушкам. И вот результаты работ этих выдающихся представителей препрославленной американской промышленности: ни один из них с этими заказами не справился, и пришлось для налаживания дела командировать туда под видом "приемщиков" русских инженеров и техников, специалистов по данным отраслям военной промышленности, и только под их ближайшим руководством удалось, наконец, направить как следует исполнение заказов. Причина неудач и здесь была совершенно та же, что и в России, - эти заводы, хотя и привыкшие к массовому производству более или менее точных изделий, раньше вовсе не вырабатывали предметов военного снаряжения, производство которых имеет массу своеобразных особенностей, практическое ознакомление с которыми требует даже от солидного предприятия большого промежутка времени. </w:t>
      </w:r>
    </w:p>
    <w:p w14:paraId="5870A408" w14:textId="77777777" w:rsidR="00D50668" w:rsidRPr="00DE096C" w:rsidRDefault="00D50668"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Наконец, прямо поразительный пример: всемирно известный завод Шнейдера еще дольше, чем американцы, не мог справиться с изготовлением наших 22-сек. трубок, хотя он же их готовил 12 лет назад (в японскую войну). </w:t>
      </w:r>
    </w:p>
    <w:p w14:paraId="7451A011" w14:textId="77777777" w:rsidR="00D50668" w:rsidRPr="00DE096C" w:rsidRDefault="00D50668"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И если в неуспехах американских заводов нельзя отрицать известной доли немецкого влияния, то завод Шнейдера заподозрить в этом уж трудно. В конце концов дело наладилось лишь после того, как его инструктировал по части наших 22-сек. трубок, согласно просьбе самого французского министерства снабжений, находившийся в то время в Лондоне председатель заготовительного комитета г.-л. Гермониус (бывший начальник трубочного завода) и был командирован туда русский специалист по трубкам полковник Плазовский. Этот пример в высшей степени характерен, и его следует твердо запомнить: он указывает, как легко забывается и расстраивается даже хорошо налаженное производство мощного завода, работающего к тому же все время на военный рынок, и как любое производство может быть сведено почти на нет, если оно было прекращено без оставления хотя бы небольших кадровых мастерских, где производство продолжалось бы все время даже в малом размере. Поэтому было бы грубой ошибкой считать, что налаженное с такими великими трудностями производство военных припасов в промышленности будет сохранено и для более или менее отдаленного будущего, если ей не давать заказов и в мирное время, предоставив ее самой себе. </w:t>
      </w:r>
    </w:p>
    <w:p w14:paraId="7A76B238" w14:textId="77777777" w:rsidR="00D50668" w:rsidRPr="00DE096C" w:rsidRDefault="00D50668"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С полной уверенностью можно утверждать, что в этом случае ее постигнет участь Шнейдера с тою лишь разницей, что у нее производство забудется гораздо скорее и восстанавливать его придется с еще большими трудностями, т. е. что называется с "азов". </w:t>
      </w:r>
    </w:p>
    <w:p w14:paraId="36A00CE6" w14:textId="77777777" w:rsidR="00D50668" w:rsidRPr="00DE096C" w:rsidRDefault="00D50668"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Но так как всю мобилизованную во время войны промышленность, даже сколько-нибудь значительную часть ее, нельзя будет питать казенными заказами и в мирное время, то ей предстоит по окончании войны неизбежная "демобилизация" и возвращение к обычным производствам мирного времени. Поэтому, чтобы не пропали </w:t>
      </w:r>
      <w:r w:rsidRPr="00DE096C">
        <w:rPr>
          <w:bCs/>
          <w:i w:val="0"/>
          <w:color w:val="002060"/>
          <w:spacing w:val="0"/>
          <w:kern w:val="0"/>
          <w:position w:val="0"/>
          <w:sz w:val="16"/>
          <w:szCs w:val="16"/>
        </w:rPr>
        <w:lastRenderedPageBreak/>
        <w:t xml:space="preserve">столь трудно давшиеся наука и опыт войны, на соответствующих заводах должны быть сохранены "ячейки" военных производств под непосредственным наблюдением и контролем того управления, на обязанности которого лежит боевое снабжение армии. </w:t>
      </w:r>
    </w:p>
    <w:p w14:paraId="351BA574" w14:textId="77777777" w:rsidR="00D50668" w:rsidRPr="00DE096C" w:rsidRDefault="00D50668"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Из приведенного ясно, как необходимо было заранее составить строго обдуманный план мобилизации всей промыш-ленности для военных целей, положив в основу этой мобилизации твердый костяк казенных заводов, на котором можно было бы впоследствии развить какую угодно мускулатуру частной промышленности; при таких условиях можно было бы рассчитывать на быструю и продуктивную мобилизацию всей промышленности. И если бы такой план был выработан и осуществлен своевременно, то, конечно, не пришлось бы переживать самых тяжелых дней мировой войны. </w:t>
      </w:r>
    </w:p>
    <w:p w14:paraId="00A71B13" w14:textId="77777777" w:rsidR="00D50668" w:rsidRPr="00DE096C" w:rsidRDefault="00D50668"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Но этого сделано не было. Напротив, в последнее перед мировой войной десятилетие и даже в начале ее делалось многое не в пользу, а во вред подготовке к войне русской промышленности вообще, и в частности военной, не исключая даже специальных военных казенных заводов. </w:t>
      </w:r>
    </w:p>
    <w:p w14:paraId="25C669C4" w14:textId="77777777" w:rsidR="00D50668" w:rsidRPr="00DE096C" w:rsidRDefault="00D50668"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1. Ничтожными нарядами последних перед войной лет было почти совсем заглушено с большим трудом развившееся производство на многих военных заводах, особенно на оружейных: разбрелись и распылились не только люди, но и станки, инструмент, лекала и самое главное - навыки... </w:t>
      </w:r>
    </w:p>
    <w:p w14:paraId="47D45115" w14:textId="77777777" w:rsidR="00D50668" w:rsidRPr="00DE096C" w:rsidRDefault="00D50668"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 900-х годах, по окончании перевооружения армии 3-лин. вийтовками и 3-дм. скорострельными пушками, некоторые казенные артиллерийские заводы, особенно оружейные, и отчасти даже арсеналы, испытали тяжелое время безработицы. Приходилось распускать рабочих и прекращать производство. </w:t>
      </w:r>
    </w:p>
    <w:p w14:paraId="37375F8B" w14:textId="77777777" w:rsidR="00D50668" w:rsidRPr="00DE096C" w:rsidRDefault="00D50668"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Все доводы ГАУ о необходимости поддерживать установленное специальное производство разбивалось о несогласие министерства финансов на отпуск требуемых денежных средств. Директор департамента государственного казначейства неизменно заявлял, что, изыскивая средства для доведения боевых запасов до установленных норм, министерство финансов решительно протестует против проповедуемого артиллерийским ведомством принципа питания завода работой для охранения его готовности к широкой производительности или для поддержания призванного на время минувшей войны с Японией значительного числа рабочих. </w:t>
      </w:r>
    </w:p>
    <w:p w14:paraId="62592F9C" w14:textId="77777777" w:rsidR="00D50668" w:rsidRPr="00DE096C" w:rsidRDefault="00D50668"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2. Мобилизационная готовность казенных заводов, а также частных, работавших на оборону, по отношению к людскому составу была совершенно не охранена. </w:t>
      </w:r>
    </w:p>
    <w:p w14:paraId="128464E4" w14:textId="77777777" w:rsidR="00D50668" w:rsidRPr="00DE096C" w:rsidRDefault="00D50668"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Вследствие прекращения или сокращения некоторых производств и роспуска рабочих сильно оскудел рынок рабочих-специалистов, особенно после того, как целым рядом мобилизаций забирались в запасные батальоны, а отттуда на фронт не только заурядные рабочие-оружейники, но и квалифицированные специалисты. Все протесты ГАУ оставались без внимания. Между тем производство военных изделий настолько сложно и тонко, что успешное его ведение под силу только особым специалистам, вырабатывающимся не скоро. Например, на лучших оружейных заводах это ремесло обращается в наследственное, преемственно передающееся из поколения в поколение. Так именно было в Туле, в Ижевске и в Сестрорецке - этих гнездах настоящих оружейников, на которых лежало и совершенствовалось наше ружейное дело. И когда значительная часть их без разбора была взята в войска, - на заводах настал кризис, справиться с которым было трудно, так как освобождение от строевой службы специалистов-рабочих, служащих в рядах войск в качестве нижних чинов, вызывало на практике большие осложнения, ибо в этом вопросе сталкивались различные государственные интересы. </w:t>
      </w:r>
    </w:p>
    <w:p w14:paraId="7C1F43E9" w14:textId="77777777" w:rsidR="00D50668" w:rsidRPr="00DE096C" w:rsidRDefault="00D50668"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С одной стороны, не могло быть никакого сомнения в том, что все рабочие-специалисты, служащие в рядах войск или могущие быть призванными, были безусловно необходимы заводам, особенно при увеличении ими производства, С другой стороны, освобождение всех без исключения рабочих-специалистов признавалось невозможным по причинам якобы столь же чрезвычайного государственного характера.</w:t>
      </w:r>
    </w:p>
    <w:p w14:paraId="567D2D9D" w14:textId="77777777" w:rsidR="00D50668" w:rsidRPr="00DE096C" w:rsidRDefault="00D50668"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Как видно из доклада начальника Генерального штаба ген. Беляева от 22 февраля (7 марта) 1915 г., военное ведомство решительно не допускало возвращения на заводы и фабрики тех рабочих, нижних чинов, которые уже попали в регулярные части войск. Мотивом к этому выставлялось якобы то "удручающее моральное впечатление, которое производило такое возвращение на товарищей этих нижних чинов, остающихся в строю". </w:t>
      </w:r>
    </w:p>
    <w:p w14:paraId="1B4BD680" w14:textId="77777777" w:rsidR="00D50668" w:rsidRPr="00DE096C" w:rsidRDefault="00D50668"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И лишь в чрезвычайных случаях было решено делать исключения из этого правила, но тогда заводы, ходатайствующие о возвращении им рабочего, нижнего чина, должны были сами указать ту войсковую часть, в которой он служит. На практике же заводы большею частью сообщали только о том, куда направил воинский начальник данного рабочего, и не могли указать, в какой войсковой части служит лицо, о котором они ходатайствуют. Поэтому удовлетворение таких ходатайств, естественно, являлось редким исключением. </w:t>
      </w:r>
    </w:p>
    <w:p w14:paraId="4770A6A5" w14:textId="77777777" w:rsidR="00D50668" w:rsidRPr="00DE096C" w:rsidRDefault="00D50668"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Другой категорией военнообязанных рабочих, освобождение которых oт военной службы вызвало осложнение, - были новобранцы. Как видно из письма начальника Главного штаба начальнику ГАУ от 18 февраля (3 марта) 1915 г., Главный штаб считал освобождение новобранцев недопустимым потому, что молодые люди являлись в высшей степени желательным элементом для пополнения рядов войск и вряд ли могли обладать значительным опытом и быть незаменимыми специалистами па заводах. </w:t>
      </w:r>
    </w:p>
    <w:p w14:paraId="47B5DFFB" w14:textId="77777777" w:rsidR="00D50668" w:rsidRPr="00DE096C" w:rsidRDefault="00D50668"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Начальник ГАУ не мог, однако, согласиться с этим мнением, так как именно молодые люди, поступая на заводы задолго до призывного возраста, приобретали все необходимые навыки и являлись ко времени их призыва вполне опытными рабочими, подыскать же взамен их новый контингент рабочих, при настоящем положении вещей чрезвычайно трудно. Поэтому начальник ГАУ предполагал дать всем рабочим, занятым выполнением заказов военного ведомства, отсрочку хотя до 1 октября 1915 г., на что последовало согласие военного министра. В дальнейшем таких отсрочек уже больше не давалось. </w:t>
      </w:r>
    </w:p>
    <w:p w14:paraId="275E8A6F" w14:textId="77777777" w:rsidR="00D50668" w:rsidRPr="00DE096C" w:rsidRDefault="00D50668"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Что касается усиления администрации заводов, то по мере надобности удавалось, хотя и очень не легко, вызывать из строевых частей войск через ГУГШ прапорщиков из лиц, получивших высшее техническое образование, и прикомандировывать их к различным заводам. </w:t>
      </w:r>
    </w:p>
    <w:p w14:paraId="70F18D87" w14:textId="77777777" w:rsidR="00D50668" w:rsidRPr="00DE096C" w:rsidRDefault="00D50668"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3. Но кроме рабочих-специалистов, т. е. квалифицированных, заводам в горячее военное время нехватало даже простых рабочих, особенно в некоторые периоды, например летом, когда из-за отлива рабочих на полевые работы приходилось умышленно сокращать производство. </w:t>
      </w:r>
    </w:p>
    <w:p w14:paraId="7DCF5FA3" w14:textId="77777777" w:rsidR="00D50668" w:rsidRPr="00DE096C" w:rsidRDefault="00D50668"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Вскоре после начала войны ГАУ внесло в Совет министров проект приведения казенных заводов на особое положение, считая их как бы мобилизованными. Проект этот рассматривал работу на заводах, изготовляющих предметы государственной обороны, как особую форму отбывания воинской повинности, предусматривал прикрепление рабочих к их заводам (во избежание крайне вредного факта сманивания рабочих другими заводами и оставления ими работ по политическим причинам и для полевых работ) и устанавливал повышенную наказуемость за правонарушения промышленной жизни как в отношении рабочих, так и заводской администрации. </w:t>
      </w:r>
    </w:p>
    <w:p w14:paraId="1794EA20" w14:textId="77777777" w:rsidR="00D50668" w:rsidRPr="00DE096C" w:rsidRDefault="00D50668"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Совет министров признал этот проект несвоевременным. </w:t>
      </w:r>
    </w:p>
    <w:p w14:paraId="46E6957B" w14:textId="77777777" w:rsidR="00D50668" w:rsidRPr="00DE096C" w:rsidRDefault="00D50668"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Между тем были неоднократные случаи внезапного ухода рабочих с казенных заводов. </w:t>
      </w:r>
    </w:p>
    <w:p w14:paraId="170170F1" w14:textId="77777777" w:rsidR="00D50668" w:rsidRPr="00DE096C" w:rsidRDefault="00D50668"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22 февраля (7 марта) 1915 г. Совет министров, как видно из письма председателя Совета министров к военному министру от 19 февраля (4 марта), "считаясь с вполне лойяльным и в общем спокойным настроением фабрично-заводского населения и опасаясь дать повод к нежелательным толкам и волнениям", окончательно отклонил это предложение.</w:t>
      </w:r>
    </w:p>
    <w:p w14:paraId="2D569E8D" w14:textId="77777777" w:rsidR="00D50668" w:rsidRPr="00DE096C" w:rsidRDefault="00D50668"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Попрежнему оставались такие факты, как, например, уход сразу 3.000 человек (в летнее время) с одного из оружейных заводов, единственного в России, изготовляющего ствольные и коробочные болванки (для всех оружейных заводов), 1.000 человек - с Сормовского завода, 700 человек - с завода Посселя и т. д. </w:t>
      </w:r>
    </w:p>
    <w:p w14:paraId="6F0D4842" w14:textId="77777777" w:rsidR="00D50668" w:rsidRPr="00DE096C" w:rsidRDefault="00D50668"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4. Мобилизационная готовность заводов не была охранена и в техническом отношении. В то время, как в течение целого десятилетия перед войной морили заводы мизерными нарядами, как бы умышленно ограничивая их возможность к дальнейшему усовершенствованию и вытравляя из них все навыки их трудной специальности, - в это же время из-за неразумно понимаемой экономии загромождали эти заводы производствами, для которых следовало иметь самостоятельные заводы: станки механические (особый отдел); пулеметы, станки для них; револьверы, шрапнели, пружины накатника для полевых орудий, взрыватели, патронные обоймы, вьючные приспособления, пики для кавале-рии и т. п. Все эти предметы с началом войны оказались также в самом срочном спросе и притом в максимальном количестве, поэтому выбросить их прямо с заводов оказалось невозможным, ибо для производства их нигде не было заготовлено самостоятельных мастерских, и их пришлось оставить на оружейных заводах в явный ущерб прямому делу. </w:t>
      </w:r>
    </w:p>
    <w:p w14:paraId="6B99FF4A" w14:textId="77777777" w:rsidR="00D50668" w:rsidRPr="00DE096C" w:rsidRDefault="00D50668"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Вот неизбежное и логическое последствие той мудрой "экономической" политики, по которой, например, оружейные заводы получали, чтобы не даром шли деньги на их содержание, всякие наряды, кроме тех, для которых они специально назначены... Здесь интересно отметить факт, что начальство и технический персонал заводов не только не противились такому "изнасилованию" их, а напротив, сами шли навстречу этому - лишь бы завод хотя таким способом получил какую-нибудь работу. </w:t>
      </w:r>
    </w:p>
    <w:p w14:paraId="0DE3A8B5" w14:textId="77777777" w:rsidR="00D50668" w:rsidRPr="00DE096C" w:rsidRDefault="00D50668"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Сокращая в мирное время производство казенных военных заводов, царское правительство своевременно не обеспечило заводы ни соответствующим оборудованием, ни даже запасами необходимых материалов и топлива на случай войны и закрытия границ (11483).</w:t>
      </w:r>
    </w:p>
    <w:p w14:paraId="71CBCDBD" w14:textId="77777777" w:rsidR="00D50668" w:rsidRPr="00DE096C" w:rsidRDefault="00D50668" w:rsidP="00D45A46">
      <w:pPr>
        <w:pStyle w:val="a3"/>
        <w:jc w:val="both"/>
        <w:rPr>
          <w:bCs/>
          <w:i w:val="0"/>
          <w:color w:val="002060"/>
          <w:spacing w:val="0"/>
          <w:kern w:val="0"/>
          <w:position w:val="0"/>
          <w:sz w:val="16"/>
          <w:szCs w:val="16"/>
        </w:rPr>
      </w:pPr>
    </w:p>
    <w:p w14:paraId="32A0CF63" w14:textId="77777777" w:rsidR="00D50668" w:rsidRPr="00DE096C" w:rsidRDefault="00D50668" w:rsidP="00D45A46">
      <w:pPr>
        <w:jc w:val="both"/>
        <w:rPr>
          <w:bCs/>
          <w:color w:val="002060"/>
          <w:sz w:val="16"/>
          <w:szCs w:val="16"/>
        </w:rPr>
      </w:pPr>
      <w:r w:rsidRPr="00DE096C">
        <w:rPr>
          <w:bCs/>
          <w:color w:val="002060"/>
          <w:sz w:val="16"/>
          <w:szCs w:val="16"/>
        </w:rPr>
        <w:t>В августе-октябре 1914 г. с первых месяцев войны ГАУ начало настойчиво форсировать работу трубочного завода. В 1914 г., перед войной, производство держалось на уровне суточного выпуска 500-800 шт. 22-сек. дистанционных трубок.</w:t>
      </w:r>
    </w:p>
    <w:p w14:paraId="5E40C907" w14:textId="77777777" w:rsidR="00D50668" w:rsidRPr="00DE096C" w:rsidRDefault="00D50668" w:rsidP="00D45A46">
      <w:pPr>
        <w:jc w:val="both"/>
        <w:rPr>
          <w:bCs/>
          <w:color w:val="002060"/>
          <w:sz w:val="16"/>
          <w:szCs w:val="16"/>
        </w:rPr>
      </w:pPr>
      <w:r w:rsidRPr="00DE096C">
        <w:rPr>
          <w:bCs/>
          <w:color w:val="002060"/>
          <w:sz w:val="16"/>
          <w:szCs w:val="16"/>
        </w:rPr>
        <w:t xml:space="preserve">В середине августа 1914 г. последовало распоряжение ГАУ в кратчайший срок довести суточный выпуск трубок до 4000 штук. </w:t>
      </w:r>
    </w:p>
    <w:p w14:paraId="766CF6FE" w14:textId="77777777" w:rsidR="00D50668" w:rsidRPr="00DE096C" w:rsidRDefault="00D50668" w:rsidP="00D45A46">
      <w:pPr>
        <w:jc w:val="both"/>
        <w:rPr>
          <w:bCs/>
          <w:color w:val="002060"/>
          <w:sz w:val="16"/>
          <w:szCs w:val="16"/>
        </w:rPr>
      </w:pPr>
      <w:r w:rsidRPr="00DE096C">
        <w:rPr>
          <w:bCs/>
          <w:color w:val="002060"/>
          <w:sz w:val="16"/>
          <w:szCs w:val="16"/>
        </w:rPr>
        <w:t>В середине сентября 1914 г. Артиллерийское управление дало следующую программу разворачивания выпуска трубок (шт. в сутки):</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700"/>
        <w:gridCol w:w="912"/>
      </w:tblGrid>
      <w:tr w:rsidR="00D50668" w:rsidRPr="00DE096C" w14:paraId="572FD3D0" w14:textId="77777777" w:rsidTr="00D34AC1">
        <w:tc>
          <w:tcPr>
            <w:tcW w:w="2700" w:type="dxa"/>
          </w:tcPr>
          <w:p w14:paraId="4D4C6C3A" w14:textId="77777777" w:rsidR="00D50668" w:rsidRPr="00DE096C" w:rsidRDefault="00D50668" w:rsidP="00D45A46">
            <w:pPr>
              <w:jc w:val="both"/>
              <w:rPr>
                <w:bCs/>
                <w:color w:val="002060"/>
                <w:sz w:val="16"/>
                <w:szCs w:val="16"/>
              </w:rPr>
            </w:pPr>
            <w:r w:rsidRPr="00DE096C">
              <w:rPr>
                <w:bCs/>
                <w:color w:val="002060"/>
                <w:sz w:val="16"/>
                <w:szCs w:val="16"/>
              </w:rPr>
              <w:t>1) 22-сек. с 1 ноября 1914 г.</w:t>
            </w:r>
          </w:p>
        </w:tc>
        <w:tc>
          <w:tcPr>
            <w:tcW w:w="912" w:type="dxa"/>
          </w:tcPr>
          <w:p w14:paraId="07E0D3F3" w14:textId="77777777" w:rsidR="00D50668" w:rsidRPr="00DE096C" w:rsidRDefault="00D50668" w:rsidP="00D45A46">
            <w:pPr>
              <w:jc w:val="both"/>
              <w:rPr>
                <w:bCs/>
                <w:color w:val="002060"/>
                <w:sz w:val="16"/>
                <w:szCs w:val="16"/>
              </w:rPr>
            </w:pPr>
            <w:r w:rsidRPr="00DE096C">
              <w:rPr>
                <w:bCs/>
                <w:color w:val="002060"/>
                <w:sz w:val="16"/>
                <w:szCs w:val="16"/>
              </w:rPr>
              <w:t>5500</w:t>
            </w:r>
          </w:p>
        </w:tc>
      </w:tr>
      <w:tr w:rsidR="00D50668" w:rsidRPr="00DE096C" w14:paraId="29D0D421" w14:textId="77777777" w:rsidTr="00D34AC1">
        <w:tc>
          <w:tcPr>
            <w:tcW w:w="2700" w:type="dxa"/>
          </w:tcPr>
          <w:p w14:paraId="60DDB7CA" w14:textId="77777777" w:rsidR="00D50668" w:rsidRPr="00DE096C" w:rsidRDefault="00D50668" w:rsidP="00D45A46">
            <w:pPr>
              <w:jc w:val="both"/>
              <w:rPr>
                <w:bCs/>
                <w:color w:val="002060"/>
                <w:sz w:val="16"/>
                <w:szCs w:val="16"/>
              </w:rPr>
            </w:pPr>
            <w:r w:rsidRPr="00DE096C">
              <w:rPr>
                <w:bCs/>
                <w:color w:val="002060"/>
                <w:sz w:val="16"/>
                <w:szCs w:val="16"/>
              </w:rPr>
              <w:t xml:space="preserve"> с 1 января 1915 г.</w:t>
            </w:r>
          </w:p>
        </w:tc>
        <w:tc>
          <w:tcPr>
            <w:tcW w:w="912" w:type="dxa"/>
          </w:tcPr>
          <w:p w14:paraId="34E0A96F" w14:textId="77777777" w:rsidR="00D50668" w:rsidRPr="00DE096C" w:rsidRDefault="00D50668" w:rsidP="00D45A46">
            <w:pPr>
              <w:jc w:val="both"/>
              <w:rPr>
                <w:bCs/>
                <w:color w:val="002060"/>
                <w:sz w:val="16"/>
                <w:szCs w:val="16"/>
              </w:rPr>
            </w:pPr>
            <w:r w:rsidRPr="00DE096C">
              <w:rPr>
                <w:bCs/>
                <w:color w:val="002060"/>
                <w:sz w:val="16"/>
                <w:szCs w:val="16"/>
              </w:rPr>
              <w:t>6000</w:t>
            </w:r>
          </w:p>
        </w:tc>
      </w:tr>
      <w:tr w:rsidR="00D50668" w:rsidRPr="00DE096C" w14:paraId="26E9EE24" w14:textId="77777777" w:rsidTr="00D34AC1">
        <w:tc>
          <w:tcPr>
            <w:tcW w:w="2700" w:type="dxa"/>
          </w:tcPr>
          <w:p w14:paraId="4B66B06F" w14:textId="77777777" w:rsidR="00D50668" w:rsidRPr="00DE096C" w:rsidRDefault="00D50668" w:rsidP="00D45A46">
            <w:pPr>
              <w:jc w:val="both"/>
              <w:rPr>
                <w:bCs/>
                <w:color w:val="002060"/>
                <w:sz w:val="16"/>
                <w:szCs w:val="16"/>
              </w:rPr>
            </w:pPr>
            <w:r w:rsidRPr="00DE096C">
              <w:rPr>
                <w:bCs/>
                <w:color w:val="002060"/>
                <w:sz w:val="16"/>
                <w:szCs w:val="16"/>
              </w:rPr>
              <w:t xml:space="preserve"> с 15 января 1915 г.</w:t>
            </w:r>
          </w:p>
        </w:tc>
        <w:tc>
          <w:tcPr>
            <w:tcW w:w="912" w:type="dxa"/>
          </w:tcPr>
          <w:p w14:paraId="3D8B5FE0" w14:textId="77777777" w:rsidR="00D50668" w:rsidRPr="00DE096C" w:rsidRDefault="00D50668" w:rsidP="00D45A46">
            <w:pPr>
              <w:jc w:val="both"/>
              <w:rPr>
                <w:bCs/>
                <w:color w:val="002060"/>
                <w:sz w:val="16"/>
                <w:szCs w:val="16"/>
              </w:rPr>
            </w:pPr>
            <w:r w:rsidRPr="00DE096C">
              <w:rPr>
                <w:bCs/>
                <w:color w:val="002060"/>
                <w:sz w:val="16"/>
                <w:szCs w:val="16"/>
              </w:rPr>
              <w:t>7000</w:t>
            </w:r>
          </w:p>
        </w:tc>
      </w:tr>
      <w:tr w:rsidR="00D50668" w:rsidRPr="00DE096C" w14:paraId="42E28A79" w14:textId="77777777" w:rsidTr="00D34AC1">
        <w:tc>
          <w:tcPr>
            <w:tcW w:w="2700" w:type="dxa"/>
          </w:tcPr>
          <w:p w14:paraId="7761A5C7" w14:textId="77777777" w:rsidR="00D50668" w:rsidRPr="00DE096C" w:rsidRDefault="00D50668" w:rsidP="00D45A46">
            <w:pPr>
              <w:jc w:val="both"/>
              <w:rPr>
                <w:bCs/>
                <w:color w:val="002060"/>
                <w:sz w:val="16"/>
                <w:szCs w:val="16"/>
              </w:rPr>
            </w:pPr>
            <w:r w:rsidRPr="00DE096C">
              <w:rPr>
                <w:bCs/>
                <w:color w:val="002060"/>
                <w:sz w:val="16"/>
                <w:szCs w:val="16"/>
              </w:rPr>
              <w:t xml:space="preserve"> к апрелю 1915 г.</w:t>
            </w:r>
          </w:p>
        </w:tc>
        <w:tc>
          <w:tcPr>
            <w:tcW w:w="912" w:type="dxa"/>
          </w:tcPr>
          <w:p w14:paraId="7821C72A" w14:textId="77777777" w:rsidR="00D50668" w:rsidRPr="00DE096C" w:rsidRDefault="00D50668" w:rsidP="00D45A46">
            <w:pPr>
              <w:jc w:val="both"/>
              <w:rPr>
                <w:bCs/>
                <w:color w:val="002060"/>
                <w:sz w:val="16"/>
                <w:szCs w:val="16"/>
              </w:rPr>
            </w:pPr>
            <w:r w:rsidRPr="00DE096C">
              <w:rPr>
                <w:bCs/>
                <w:color w:val="002060"/>
                <w:sz w:val="16"/>
                <w:szCs w:val="16"/>
              </w:rPr>
              <w:t>9000</w:t>
            </w:r>
          </w:p>
        </w:tc>
      </w:tr>
      <w:tr w:rsidR="00D50668" w:rsidRPr="00DE096C" w14:paraId="13FCA55B" w14:textId="77777777" w:rsidTr="00D34AC1">
        <w:tc>
          <w:tcPr>
            <w:tcW w:w="2700" w:type="dxa"/>
          </w:tcPr>
          <w:p w14:paraId="07E7134F" w14:textId="77777777" w:rsidR="00D50668" w:rsidRPr="00DE096C" w:rsidRDefault="00D50668" w:rsidP="00D45A46">
            <w:pPr>
              <w:jc w:val="both"/>
              <w:rPr>
                <w:bCs/>
                <w:color w:val="002060"/>
                <w:sz w:val="16"/>
                <w:szCs w:val="16"/>
              </w:rPr>
            </w:pPr>
            <w:r w:rsidRPr="00DE096C">
              <w:rPr>
                <w:bCs/>
                <w:color w:val="002060"/>
                <w:sz w:val="16"/>
                <w:szCs w:val="16"/>
              </w:rPr>
              <w:t>2) 45-сек. с ноября 1914 г.</w:t>
            </w:r>
          </w:p>
        </w:tc>
        <w:tc>
          <w:tcPr>
            <w:tcW w:w="912" w:type="dxa"/>
          </w:tcPr>
          <w:p w14:paraId="46DC7EE3" w14:textId="77777777" w:rsidR="00D50668" w:rsidRPr="00DE096C" w:rsidRDefault="00D50668" w:rsidP="00D45A46">
            <w:pPr>
              <w:jc w:val="both"/>
              <w:rPr>
                <w:bCs/>
                <w:color w:val="002060"/>
                <w:sz w:val="16"/>
                <w:szCs w:val="16"/>
              </w:rPr>
            </w:pPr>
            <w:r w:rsidRPr="00DE096C">
              <w:rPr>
                <w:bCs/>
                <w:color w:val="002060"/>
                <w:sz w:val="16"/>
                <w:szCs w:val="16"/>
              </w:rPr>
              <w:t>1500</w:t>
            </w:r>
          </w:p>
        </w:tc>
      </w:tr>
    </w:tbl>
    <w:p w14:paraId="5E605432" w14:textId="77777777" w:rsidR="00D50668" w:rsidRPr="00DE096C" w:rsidRDefault="00D50668" w:rsidP="00D45A46">
      <w:pPr>
        <w:jc w:val="both"/>
        <w:rPr>
          <w:bCs/>
          <w:color w:val="002060"/>
          <w:sz w:val="16"/>
          <w:szCs w:val="16"/>
        </w:rPr>
      </w:pPr>
      <w:r w:rsidRPr="00DE096C">
        <w:rPr>
          <w:bCs/>
          <w:color w:val="002060"/>
          <w:sz w:val="16"/>
          <w:szCs w:val="16"/>
        </w:rPr>
        <w:t xml:space="preserve">Работа переведена была на трехсменную. Работали все праздники. Ремонт и чистка станков, механизмов и котлов сократились до минимума и производились не более одного раза в месяц. </w:t>
      </w:r>
    </w:p>
    <w:p w14:paraId="308AEE96" w14:textId="77777777" w:rsidR="00D50668" w:rsidRPr="00DE096C" w:rsidRDefault="00D50668" w:rsidP="00D45A46">
      <w:pPr>
        <w:jc w:val="both"/>
        <w:rPr>
          <w:bCs/>
          <w:color w:val="002060"/>
          <w:sz w:val="16"/>
          <w:szCs w:val="16"/>
        </w:rPr>
      </w:pPr>
      <w:r w:rsidRPr="00DE096C">
        <w:rPr>
          <w:bCs/>
          <w:color w:val="002060"/>
          <w:sz w:val="16"/>
          <w:szCs w:val="16"/>
        </w:rPr>
        <w:t>В связи с усилением работ теснота помещения достигла крайних пределов. Под производство заняты были военное собрание, канцелярия и другие помещения служебного характера (11329).</w:t>
      </w:r>
    </w:p>
    <w:p w14:paraId="5CEFC3F6" w14:textId="77777777" w:rsidR="00D50668" w:rsidRPr="00DE096C" w:rsidRDefault="00D50668" w:rsidP="00D45A46">
      <w:pPr>
        <w:jc w:val="both"/>
        <w:rPr>
          <w:bCs/>
          <w:i/>
          <w:color w:val="002060"/>
          <w:sz w:val="16"/>
          <w:szCs w:val="16"/>
        </w:rPr>
      </w:pPr>
    </w:p>
    <w:p w14:paraId="753D9B8A" w14:textId="77777777" w:rsidR="00D50668" w:rsidRPr="00DE096C" w:rsidRDefault="00D50668" w:rsidP="00D45A46">
      <w:pPr>
        <w:shd w:val="clear" w:color="auto" w:fill="FFFFFF"/>
        <w:jc w:val="both"/>
        <w:rPr>
          <w:bCs/>
          <w:color w:val="002060"/>
          <w:sz w:val="16"/>
          <w:szCs w:val="16"/>
        </w:rPr>
      </w:pPr>
      <w:r w:rsidRPr="00DE096C">
        <w:rPr>
          <w:bCs/>
          <w:color w:val="002060"/>
          <w:sz w:val="16"/>
          <w:szCs w:val="16"/>
        </w:rPr>
        <w:t>В августе-октябре 1914 г. с началом войны поставки скандинавского и испанского колчедана из-за блокирования балтийских портов прекратились.</w:t>
      </w:r>
    </w:p>
    <w:p w14:paraId="578501E8" w14:textId="77777777" w:rsidR="00D50668" w:rsidRPr="00DE096C" w:rsidRDefault="00D50668" w:rsidP="00D45A46">
      <w:pPr>
        <w:shd w:val="clear" w:color="auto" w:fill="FFFFFF"/>
        <w:jc w:val="both"/>
        <w:rPr>
          <w:bCs/>
          <w:color w:val="002060"/>
          <w:sz w:val="16"/>
          <w:szCs w:val="16"/>
        </w:rPr>
      </w:pPr>
      <w:r w:rsidRPr="00DE096C">
        <w:rPr>
          <w:bCs/>
          <w:color w:val="002060"/>
          <w:sz w:val="16"/>
          <w:szCs w:val="16"/>
        </w:rPr>
        <w:t>Примерно пятая часть промышленных предприятий России, скон</w:t>
      </w:r>
      <w:r w:rsidRPr="00DE096C">
        <w:rPr>
          <w:bCs/>
          <w:color w:val="002060"/>
          <w:sz w:val="16"/>
          <w:szCs w:val="16"/>
        </w:rPr>
        <w:softHyphen/>
        <w:t>центрированных в западных губерниях, оказалась в полосе военных действий. В этих районах размещались химические, в том числе сер</w:t>
      </w:r>
      <w:r w:rsidRPr="00DE096C">
        <w:rPr>
          <w:bCs/>
          <w:color w:val="002060"/>
          <w:sz w:val="16"/>
          <w:szCs w:val="16"/>
        </w:rPr>
        <w:softHyphen/>
        <w:t>нокислотные заводы, вырабатывавшие до 40 % всей кислоты в стра</w:t>
      </w:r>
      <w:r w:rsidRPr="00DE096C">
        <w:rPr>
          <w:bCs/>
          <w:color w:val="002060"/>
          <w:sz w:val="16"/>
          <w:szCs w:val="16"/>
        </w:rPr>
        <w:softHyphen/>
        <w:t>не.</w:t>
      </w:r>
    </w:p>
    <w:p w14:paraId="24A6F607" w14:textId="77777777" w:rsidR="00D50668" w:rsidRPr="00DE096C" w:rsidRDefault="00D50668" w:rsidP="00D45A46">
      <w:pPr>
        <w:shd w:val="clear" w:color="auto" w:fill="FFFFFF"/>
        <w:jc w:val="both"/>
        <w:rPr>
          <w:bCs/>
          <w:color w:val="002060"/>
          <w:sz w:val="16"/>
          <w:szCs w:val="16"/>
        </w:rPr>
      </w:pPr>
      <w:r w:rsidRPr="00DE096C">
        <w:rPr>
          <w:bCs/>
          <w:color w:val="002060"/>
          <w:sz w:val="16"/>
          <w:szCs w:val="16"/>
        </w:rPr>
        <w:t>Для обеспечения кислотой ГАУ привлекло 6 частных фирм и один казенный завод. При этом объем оговоренных поставок не покрывал потребности, к тому же цены были завышены почти в 2 раза. В связи с этим в программу А. А. Маниковского было включено строительст</w:t>
      </w:r>
      <w:r w:rsidRPr="00DE096C">
        <w:rPr>
          <w:bCs/>
          <w:color w:val="002060"/>
          <w:sz w:val="16"/>
          <w:szCs w:val="16"/>
        </w:rPr>
        <w:softHyphen/>
        <w:t>во опытного Онежского завода «для добывания азотной кислоты из воздуха». На заводе намечено было осуществить процесс окисления атмосферного азота с последующим поглощением его окислов водой. Для получения электроэнергии на водопаде реки Суна намечалось построить гидростанцию. Строительство опытного завода и гидро</w:t>
      </w:r>
      <w:r w:rsidRPr="00DE096C">
        <w:rPr>
          <w:bCs/>
          <w:color w:val="002060"/>
          <w:sz w:val="16"/>
          <w:szCs w:val="16"/>
        </w:rPr>
        <w:softHyphen/>
        <w:t>станции предполагалось закончить к концу 1917 г.</w:t>
      </w:r>
    </w:p>
    <w:p w14:paraId="34392EBB" w14:textId="77777777" w:rsidR="00D50668" w:rsidRPr="00DE096C" w:rsidRDefault="00D50668" w:rsidP="00D45A46">
      <w:pPr>
        <w:shd w:val="clear" w:color="auto" w:fill="FFFFFF"/>
        <w:jc w:val="both"/>
        <w:rPr>
          <w:bCs/>
          <w:color w:val="002060"/>
          <w:sz w:val="16"/>
          <w:szCs w:val="16"/>
        </w:rPr>
      </w:pPr>
      <w:r w:rsidRPr="00DE096C">
        <w:rPr>
          <w:bCs/>
          <w:color w:val="002060"/>
          <w:sz w:val="16"/>
          <w:szCs w:val="16"/>
        </w:rPr>
        <w:t>В программу было включено также строительство в г. Юзовке (теперь г. Донецк) завода по производству аммиачной селитры и азотной кислоты и Нижегородского завода по производству азот</w:t>
      </w:r>
      <w:r w:rsidRPr="00DE096C">
        <w:rPr>
          <w:bCs/>
          <w:color w:val="002060"/>
          <w:sz w:val="16"/>
          <w:szCs w:val="16"/>
        </w:rPr>
        <w:softHyphen/>
        <w:t>ной и серной кислот.</w:t>
      </w:r>
    </w:p>
    <w:p w14:paraId="10C27AA7" w14:textId="77777777" w:rsidR="00D50668" w:rsidRPr="00DE096C" w:rsidRDefault="00D50668" w:rsidP="00D45A46">
      <w:pPr>
        <w:shd w:val="clear" w:color="auto" w:fill="FFFFFF"/>
        <w:jc w:val="both"/>
        <w:rPr>
          <w:bCs/>
          <w:color w:val="002060"/>
          <w:sz w:val="16"/>
          <w:szCs w:val="16"/>
        </w:rPr>
      </w:pPr>
      <w:r w:rsidRPr="00DE096C">
        <w:rPr>
          <w:bCs/>
          <w:color w:val="002060"/>
          <w:sz w:val="16"/>
          <w:szCs w:val="16"/>
        </w:rPr>
        <w:t>Привлечение частных заводов к поставкам пороха и пироксили</w:t>
      </w:r>
      <w:r w:rsidRPr="00DE096C">
        <w:rPr>
          <w:bCs/>
          <w:color w:val="002060"/>
          <w:sz w:val="16"/>
          <w:szCs w:val="16"/>
        </w:rPr>
        <w:softHyphen/>
        <w:t>на. Трехкратное увеличение производства пороха на старых заводах, а также строительство двух новых заводов не решали задачу обеспе</w:t>
      </w:r>
      <w:r w:rsidRPr="00DE096C">
        <w:rPr>
          <w:bCs/>
          <w:color w:val="002060"/>
          <w:sz w:val="16"/>
          <w:szCs w:val="16"/>
        </w:rPr>
        <w:softHyphen/>
        <w:t>чения армии порохом. Решено было закупить порох у частных пред</w:t>
      </w:r>
      <w:r w:rsidRPr="00DE096C">
        <w:rPr>
          <w:bCs/>
          <w:color w:val="002060"/>
          <w:sz w:val="16"/>
          <w:szCs w:val="16"/>
        </w:rPr>
        <w:softHyphen/>
        <w:t>принимателей.</w:t>
      </w:r>
    </w:p>
    <w:p w14:paraId="0FE80D6C" w14:textId="77777777" w:rsidR="00D50668" w:rsidRPr="00DE096C" w:rsidRDefault="00D50668" w:rsidP="00D45A46">
      <w:pPr>
        <w:jc w:val="both"/>
        <w:rPr>
          <w:bCs/>
          <w:color w:val="002060"/>
          <w:sz w:val="16"/>
          <w:szCs w:val="16"/>
        </w:rPr>
      </w:pPr>
      <w:r w:rsidRPr="00DE096C">
        <w:rPr>
          <w:bCs/>
          <w:color w:val="002060"/>
          <w:sz w:val="16"/>
          <w:szCs w:val="16"/>
        </w:rPr>
        <w:t>Среди частных пороховых заводов большую роль в снабжении армии и флота порохом и взрывчатыми веществами играл Шлиссельбургский завод Русского общества для выделки и продажи пороха, который начал выполнять военные заказы России с 1883 г. Технологию производства порохов на заводе держали в строгом сек</w:t>
      </w:r>
      <w:r w:rsidRPr="00DE096C">
        <w:rPr>
          <w:bCs/>
          <w:color w:val="002060"/>
          <w:sz w:val="16"/>
          <w:szCs w:val="16"/>
        </w:rPr>
        <w:softHyphen/>
        <w:t>рете от русских военных инженеров [5, с. 212]. За годы войны у Шлиссельбургского завода было приобретено 730 тыс. пудов без</w:t>
      </w:r>
      <w:r w:rsidRPr="00DE096C">
        <w:rPr>
          <w:bCs/>
          <w:color w:val="002060"/>
          <w:sz w:val="16"/>
          <w:szCs w:val="16"/>
        </w:rPr>
        <w:softHyphen/>
        <w:t>дымного пороха и 276 тыс. пудов дымного пороха [5, с. 213; 7, с. 127]</w:t>
      </w:r>
    </w:p>
    <w:p w14:paraId="545796EA" w14:textId="77777777" w:rsidR="00D50668" w:rsidRPr="00DE096C" w:rsidRDefault="00D50668" w:rsidP="00D45A46">
      <w:pPr>
        <w:jc w:val="both"/>
        <w:rPr>
          <w:bCs/>
          <w:color w:val="002060"/>
          <w:sz w:val="16"/>
          <w:szCs w:val="16"/>
        </w:rPr>
      </w:pPr>
      <w:r w:rsidRPr="00DE096C">
        <w:rPr>
          <w:bCs/>
          <w:color w:val="002060"/>
          <w:sz w:val="16"/>
          <w:szCs w:val="16"/>
        </w:rPr>
        <w:t>Остальные частные пороховые заводы не играли большой роли в снабжении армии и поставили за время войны приблизительно 38 тыс. пудов бездымного пороха (5484).</w:t>
      </w:r>
    </w:p>
    <w:p w14:paraId="3F456F11" w14:textId="77777777" w:rsidR="00D50668" w:rsidRPr="00DE096C" w:rsidRDefault="00D50668" w:rsidP="00D45A46">
      <w:pPr>
        <w:jc w:val="both"/>
        <w:rPr>
          <w:bCs/>
          <w:color w:val="002060"/>
          <w:sz w:val="16"/>
          <w:szCs w:val="16"/>
        </w:rPr>
      </w:pPr>
    </w:p>
    <w:p w14:paraId="65C2B3C5" w14:textId="77777777" w:rsidR="00D50668" w:rsidRPr="00DE096C" w:rsidRDefault="00D50668" w:rsidP="00D45A46">
      <w:pPr>
        <w:jc w:val="both"/>
        <w:rPr>
          <w:bCs/>
          <w:color w:val="002060"/>
          <w:sz w:val="16"/>
          <w:szCs w:val="16"/>
        </w:rPr>
      </w:pPr>
      <w:r w:rsidRPr="00DE096C">
        <w:rPr>
          <w:bCs/>
          <w:color w:val="002060"/>
          <w:sz w:val="16"/>
          <w:szCs w:val="16"/>
        </w:rPr>
        <w:t xml:space="preserve">В августе-октябре 1914 г. с объявлением войны немедленно возникли самые серьезные затруднения в снабжении военных заводов исходными химикатами для производства взрывчатых веществ. </w:t>
      </w:r>
    </w:p>
    <w:p w14:paraId="7977692D" w14:textId="77777777" w:rsidR="00D50668" w:rsidRPr="00DE096C" w:rsidRDefault="00D50668" w:rsidP="00D45A46">
      <w:pPr>
        <w:jc w:val="both"/>
        <w:rPr>
          <w:bCs/>
          <w:color w:val="002060"/>
          <w:sz w:val="16"/>
          <w:szCs w:val="16"/>
        </w:rPr>
      </w:pPr>
      <w:r w:rsidRPr="00DE096C">
        <w:rPr>
          <w:bCs/>
          <w:color w:val="002060"/>
          <w:sz w:val="16"/>
          <w:szCs w:val="16"/>
        </w:rPr>
        <w:t xml:space="preserve">Первым по времени создался кризис с толуолом, который является основным материалом для изготовления тротила, идущего на снаряжение фугасных снарядов всех калибров сухопутной и морской артиллерии. </w:t>
      </w:r>
    </w:p>
    <w:p w14:paraId="750AD0AA" w14:textId="77777777" w:rsidR="00D50668" w:rsidRPr="00DE096C" w:rsidRDefault="00D50668" w:rsidP="00D45A46">
      <w:pPr>
        <w:jc w:val="both"/>
        <w:rPr>
          <w:bCs/>
          <w:color w:val="002060"/>
          <w:sz w:val="16"/>
          <w:szCs w:val="16"/>
        </w:rPr>
      </w:pPr>
      <w:r w:rsidRPr="00DE096C">
        <w:rPr>
          <w:bCs/>
          <w:color w:val="002060"/>
          <w:sz w:val="16"/>
          <w:szCs w:val="16"/>
        </w:rPr>
        <w:t xml:space="preserve">Производство тротила было установлено в России в 1908 г. в опытном масштабе и в 1910 г. — в валовом. Что же касается толуола, то, несмотря на неоднократные предупреждения, которые делались ГАУ со стороны тротилового завода, и несмотря на богатые возможности получения коксового толуола в России — с установкой производства этого последнего не спешили, а пользовались толуолом немецкого происхождения. Из Германии выписывали сырой бензол и в Риге из него путем фракционирования получали чистый толуол. При этом никаких мобилизационных запасов толуола не делалось, заготовляли его лишь на текущее производство. </w:t>
      </w:r>
    </w:p>
    <w:p w14:paraId="3AF40A8F" w14:textId="77777777" w:rsidR="00D50668" w:rsidRPr="00DE096C" w:rsidRDefault="00D50668" w:rsidP="00D45A46">
      <w:pPr>
        <w:jc w:val="both"/>
        <w:rPr>
          <w:bCs/>
          <w:color w:val="002060"/>
          <w:sz w:val="16"/>
          <w:szCs w:val="16"/>
        </w:rPr>
      </w:pPr>
      <w:r w:rsidRPr="00DE096C">
        <w:rPr>
          <w:bCs/>
          <w:color w:val="002060"/>
          <w:sz w:val="16"/>
          <w:szCs w:val="16"/>
        </w:rPr>
        <w:t xml:space="preserve">В результате такой непредусмотрительности, с объявлением войны в России оказались запасы толуола всего лишь на 4-5 месяцев. По израсходовании их пришлось бы остановить производство фугасных снарядов и работа артиллерии на фронте была бы совершенно парализована. </w:t>
      </w:r>
    </w:p>
    <w:p w14:paraId="3F45F314" w14:textId="77777777" w:rsidR="00D50668" w:rsidRPr="00DE096C" w:rsidRDefault="00D50668" w:rsidP="00D45A46">
      <w:pPr>
        <w:jc w:val="both"/>
        <w:rPr>
          <w:bCs/>
          <w:color w:val="002060"/>
          <w:sz w:val="16"/>
          <w:szCs w:val="16"/>
        </w:rPr>
      </w:pPr>
      <w:r w:rsidRPr="00DE096C">
        <w:rPr>
          <w:bCs/>
          <w:color w:val="002060"/>
          <w:sz w:val="16"/>
          <w:szCs w:val="16"/>
        </w:rPr>
        <w:t xml:space="preserve">Такое положение дел заставило срочно сделать заказы тротила и толуола за границей, а затем побудило принять самые энергичные меры к установлению производства толуола и бензола в России. </w:t>
      </w:r>
    </w:p>
    <w:p w14:paraId="798B2C04" w14:textId="77777777" w:rsidR="00D50668" w:rsidRPr="00DE096C" w:rsidRDefault="00D50668" w:rsidP="00D45A46">
      <w:pPr>
        <w:jc w:val="both"/>
        <w:rPr>
          <w:bCs/>
          <w:color w:val="002060"/>
          <w:sz w:val="16"/>
          <w:szCs w:val="16"/>
        </w:rPr>
      </w:pPr>
      <w:r w:rsidRPr="00DE096C">
        <w:rPr>
          <w:bCs/>
          <w:color w:val="002060"/>
          <w:sz w:val="16"/>
          <w:szCs w:val="16"/>
        </w:rPr>
        <w:t xml:space="preserve">В июле 1914 г. в Донецкий бассейн была командирована комиссия для обследования вопроса о возможности получения названных продуктов при процессах коксования каменного угля, ведшегося в широких размерах в том районе, но обычно без улавливания побочных продуктов коксования. </w:t>
      </w:r>
    </w:p>
    <w:p w14:paraId="6B2488EA" w14:textId="77777777" w:rsidR="00D50668" w:rsidRPr="00DE096C" w:rsidRDefault="00D50668" w:rsidP="00D45A46">
      <w:pPr>
        <w:jc w:val="both"/>
        <w:rPr>
          <w:bCs/>
          <w:color w:val="002060"/>
          <w:sz w:val="16"/>
          <w:szCs w:val="16"/>
        </w:rPr>
      </w:pPr>
      <w:r w:rsidRPr="00DE096C">
        <w:rPr>
          <w:bCs/>
          <w:color w:val="002060"/>
          <w:sz w:val="16"/>
          <w:szCs w:val="16"/>
        </w:rPr>
        <w:t xml:space="preserve">Объехав Донецкий бассейн, комиссия в августе 1914 г. сделала в ГАУ доклад, в коем определенно указала, что установка добычи толуола и бензола в сколько-нибудь короткий срок представляется совершенно невозможной, и признала, что единственный выход — немедля заготовлять толуол и бензол в Америке. </w:t>
      </w:r>
    </w:p>
    <w:p w14:paraId="73A575C3" w14:textId="77777777" w:rsidR="00D50668" w:rsidRPr="00DE096C" w:rsidRDefault="00D50668" w:rsidP="00D45A46">
      <w:pPr>
        <w:jc w:val="both"/>
        <w:rPr>
          <w:bCs/>
          <w:color w:val="002060"/>
          <w:sz w:val="16"/>
          <w:szCs w:val="16"/>
        </w:rPr>
      </w:pPr>
      <w:r w:rsidRPr="00DE096C">
        <w:rPr>
          <w:bCs/>
          <w:color w:val="002060"/>
          <w:sz w:val="16"/>
          <w:szCs w:val="16"/>
        </w:rPr>
        <w:t xml:space="preserve">С целью выяснения возможности и условий такого заказа был командирован в Америку проф. Сапожников. Командировка эта выяснила, однако, что на Америку особенно рассчитывать нельзя, так как существовавшая там коксобензольная промышленность лишь в небольшой мере может удовлетворить громадный спрос на ароматические углеводороды, возникший со стороны России и ее союзников, и что для этого Америке придется строить новые заводы. Действительно, впоследствии выяснилось, что за 1915 и 1916 гг. войны там было выстроено 40 бензольных заводов с производительностью на 8 000 000 пудов сырого бензола в год. </w:t>
      </w:r>
    </w:p>
    <w:p w14:paraId="2DA3A450" w14:textId="77777777" w:rsidR="00D50668" w:rsidRPr="00DE096C" w:rsidRDefault="00D50668" w:rsidP="00D45A46">
      <w:pPr>
        <w:jc w:val="both"/>
        <w:rPr>
          <w:bCs/>
          <w:color w:val="002060"/>
          <w:sz w:val="16"/>
          <w:szCs w:val="16"/>
        </w:rPr>
      </w:pPr>
      <w:r w:rsidRPr="00DE096C">
        <w:rPr>
          <w:bCs/>
          <w:color w:val="002060"/>
          <w:sz w:val="16"/>
          <w:szCs w:val="16"/>
        </w:rPr>
        <w:t xml:space="preserve">Ввиду такого положения решено было вновь пересмотреть вопрос об организации производства бензола и толуола внутри страны. </w:t>
      </w:r>
    </w:p>
    <w:p w14:paraId="79E36F3F" w14:textId="77777777" w:rsidR="00D50668" w:rsidRPr="00DE096C" w:rsidRDefault="00D50668" w:rsidP="00D45A46">
      <w:pPr>
        <w:jc w:val="both"/>
        <w:rPr>
          <w:bCs/>
          <w:color w:val="002060"/>
          <w:sz w:val="16"/>
          <w:szCs w:val="16"/>
        </w:rPr>
      </w:pPr>
      <w:r w:rsidRPr="00DE096C">
        <w:rPr>
          <w:bCs/>
          <w:color w:val="002060"/>
          <w:sz w:val="16"/>
          <w:szCs w:val="16"/>
        </w:rPr>
        <w:t xml:space="preserve">В ноябре 1914 г. в Донецкий бассейн выехала вторая комиссия, под председательством проф. В.Н. Ипатьева. В течение месяца ею были обследованы все коксовые фабрики Донецкого бассейна. </w:t>
      </w:r>
    </w:p>
    <w:p w14:paraId="252FAA17" w14:textId="77777777" w:rsidR="00D50668" w:rsidRPr="00DE096C" w:rsidRDefault="00D50668" w:rsidP="00D45A46">
      <w:pPr>
        <w:jc w:val="both"/>
        <w:rPr>
          <w:bCs/>
          <w:color w:val="002060"/>
          <w:sz w:val="16"/>
          <w:szCs w:val="16"/>
        </w:rPr>
      </w:pPr>
      <w:r w:rsidRPr="00DE096C">
        <w:rPr>
          <w:bCs/>
          <w:color w:val="002060"/>
          <w:sz w:val="16"/>
          <w:szCs w:val="16"/>
        </w:rPr>
        <w:t xml:space="preserve">Комиссия Ипатьева пришла к иным заключениям, чем предшествующая. Работы ее изложены в печатной брошюре: "Отчет Комиссии, командированной в Донецкий бассейн по вопросу о расширении выработки толуола и бензола в России". Комиссия проф. Ипатьева, излагая результаты обследования, дала категорическое заключение о полной возможности в короткий срок организовать производство названных продуктов: во-первых, путем устройства дополнительных сооружений при существующих коксовальных фабриках, имеющих печи рекуперационного типа, но без полного оборудования сооружений, улавливающих продукты коксования, а во-вторых, путем постройки новых бензоловых заводов. Комиссией был разработан план организации этого дела, в коем помимо бензола и толуола намечено было получение ряда других исходных продуктов для выработки различных взрывчатых веществ, на случай если тротила не хватит. </w:t>
      </w:r>
    </w:p>
    <w:p w14:paraId="309D04E8" w14:textId="77777777" w:rsidR="00D50668" w:rsidRPr="00DE096C" w:rsidRDefault="00D50668" w:rsidP="00D45A46">
      <w:pPr>
        <w:jc w:val="both"/>
        <w:rPr>
          <w:bCs/>
          <w:color w:val="002060"/>
          <w:sz w:val="16"/>
          <w:szCs w:val="16"/>
        </w:rPr>
      </w:pPr>
      <w:r w:rsidRPr="00DE096C">
        <w:rPr>
          <w:bCs/>
          <w:color w:val="002060"/>
          <w:sz w:val="16"/>
          <w:szCs w:val="16"/>
        </w:rPr>
        <w:t xml:space="preserve">Однако Военное министерство не отнеслось с должной серьезностью к работам и проектам комиссии и колебалось принять какие-либо решительные меры. После долгих переговоров им было дано, наконец, разрешение образовать по этому делу специальную постоянную комиссию при ГАУ. Полтора месяца шла переписка между ГАУ и Военным министерством относительно положения об этой комиссии и ее правах, и только к 6 февраля 1915 г. было утверждено положение, причем она получила название "Комиссия по заготовке взрывчатых веществ". </w:t>
      </w:r>
    </w:p>
    <w:p w14:paraId="12D1F5E0" w14:textId="77777777" w:rsidR="00D50668" w:rsidRPr="00DE096C" w:rsidRDefault="00D50668" w:rsidP="00D45A46">
      <w:pPr>
        <w:jc w:val="both"/>
        <w:rPr>
          <w:bCs/>
          <w:color w:val="002060"/>
          <w:sz w:val="16"/>
          <w:szCs w:val="16"/>
        </w:rPr>
      </w:pPr>
      <w:r w:rsidRPr="00DE096C">
        <w:rPr>
          <w:bCs/>
          <w:color w:val="002060"/>
          <w:sz w:val="16"/>
          <w:szCs w:val="16"/>
        </w:rPr>
        <w:t xml:space="preserve">Таким образом, с августа 1914 г. было потеряно пять драгоценных месяцев, пока серьезно занялись делом первоочередной важности. </w:t>
      </w:r>
    </w:p>
    <w:p w14:paraId="1BD251B1" w14:textId="77777777" w:rsidR="00D50668" w:rsidRPr="00DE096C" w:rsidRDefault="00D50668" w:rsidP="00D45A46">
      <w:pPr>
        <w:jc w:val="both"/>
        <w:rPr>
          <w:bCs/>
          <w:color w:val="002060"/>
          <w:sz w:val="16"/>
          <w:szCs w:val="16"/>
        </w:rPr>
      </w:pPr>
      <w:r w:rsidRPr="00DE096C">
        <w:rPr>
          <w:bCs/>
          <w:color w:val="002060"/>
          <w:sz w:val="16"/>
          <w:szCs w:val="16"/>
        </w:rPr>
        <w:t xml:space="preserve">Председателем комиссии был назначен проф. Ипатьев и его ближайшим сотрудником был проф. Фокин. </w:t>
      </w:r>
    </w:p>
    <w:p w14:paraId="6E94B96E" w14:textId="77777777" w:rsidR="00D50668" w:rsidRPr="00DE096C" w:rsidRDefault="00D50668" w:rsidP="00D45A46">
      <w:pPr>
        <w:jc w:val="both"/>
        <w:rPr>
          <w:bCs/>
          <w:color w:val="002060"/>
          <w:sz w:val="16"/>
          <w:szCs w:val="16"/>
        </w:rPr>
      </w:pPr>
      <w:r w:rsidRPr="00DE096C">
        <w:rPr>
          <w:bCs/>
          <w:color w:val="002060"/>
          <w:sz w:val="16"/>
          <w:szCs w:val="16"/>
        </w:rPr>
        <w:t xml:space="preserve">Эти обстоятельства не лишили работников комиссии энергии, и она, не дожидаясь утверждения положения, а в дальнейшем и не считаясь с ним, за свой риск и страх приступила к осуществлению программы, намеченной после поездки в Донецкий бассейн. </w:t>
      </w:r>
    </w:p>
    <w:p w14:paraId="5A9AB1C3" w14:textId="77777777" w:rsidR="00D50668" w:rsidRPr="00DE096C" w:rsidRDefault="00D50668" w:rsidP="00D45A46">
      <w:pPr>
        <w:jc w:val="both"/>
        <w:rPr>
          <w:bCs/>
          <w:color w:val="002060"/>
          <w:sz w:val="16"/>
          <w:szCs w:val="16"/>
        </w:rPr>
      </w:pPr>
      <w:r w:rsidRPr="00DE096C">
        <w:rPr>
          <w:bCs/>
          <w:color w:val="002060"/>
          <w:sz w:val="16"/>
          <w:szCs w:val="16"/>
        </w:rPr>
        <w:t xml:space="preserve">На первых шагах в работе встретились большие затруднения. Представители частновладельческой коксовой промышленности неохотно шли навстречу начинаниям комиссии. С одной стороны, они боялись нарушить права германских концессионеров, которым принадлежала часть имевшихся на юге устройств для улавливания побочных продуктов коксования. С другой стороны — боялись перепроизводства бензола, толуола и нафталина и др., так как не рассчитывали, что параллельно с этими производствами могут в дальнейшем развиться те отрасли промышленности, которые, помимо военного ведомства, явятся потребителями названных продуктов, как, например, производство красителей. </w:t>
      </w:r>
    </w:p>
    <w:p w14:paraId="7BA268F7" w14:textId="77777777" w:rsidR="00D50668" w:rsidRPr="00DE096C" w:rsidRDefault="00D50668" w:rsidP="00D45A46">
      <w:pPr>
        <w:jc w:val="both"/>
        <w:rPr>
          <w:bCs/>
          <w:color w:val="002060"/>
          <w:sz w:val="16"/>
          <w:szCs w:val="16"/>
        </w:rPr>
      </w:pPr>
      <w:r w:rsidRPr="00DE096C">
        <w:rPr>
          <w:bCs/>
          <w:color w:val="002060"/>
          <w:sz w:val="16"/>
          <w:szCs w:val="16"/>
        </w:rPr>
        <w:t xml:space="preserve">Первая фирма, с которой удалось договориться, была фирма Оливье Пьетт (бельгийская, в Макеевке). В течение января 1915 г. Комиссия разработала договор, согласно коего Пьетт должен соорудить у себя на заводе установку для улавливания сырого бензола, а также ректификационный завод для фракционирования бензола, как своего, так и того, который будет доставляться с других заводов. Контрактный срок начала поставки был выполнен Пьеттом с незначительным опозданием (август 1915 г. вместо июля). Фирма начала постройки в феврале 1915 г., еще до утверждения договора с ней. Цена на ректификацию бензола была калькулирована 50 коп. за пуд вместо 9 руб., которые платили в мирное время за то же Тентелевскому заводу. </w:t>
      </w:r>
    </w:p>
    <w:p w14:paraId="20A1D7D9" w14:textId="77777777" w:rsidR="00D50668" w:rsidRPr="00DE096C" w:rsidRDefault="00D50668" w:rsidP="00D45A46">
      <w:pPr>
        <w:jc w:val="both"/>
        <w:rPr>
          <w:bCs/>
          <w:color w:val="002060"/>
          <w:sz w:val="16"/>
          <w:szCs w:val="16"/>
        </w:rPr>
      </w:pPr>
      <w:r w:rsidRPr="00DE096C">
        <w:rPr>
          <w:bCs/>
          <w:color w:val="002060"/>
          <w:sz w:val="16"/>
          <w:szCs w:val="16"/>
        </w:rPr>
        <w:t xml:space="preserve">Вслед за этим Комиссия вступила в переговоры с Южно-Днепровским обществом в Кадиевке о постройке установок для улавливания сырого бензола. Но Общество отказалось взять на себя постройку, так как было связано с одной германской фирмой десятилетним контрактом, согласно коего этой фирме принадлежало право использования всех продуктов коксования кадиевских печей. </w:t>
      </w:r>
    </w:p>
    <w:p w14:paraId="7BE26D14" w14:textId="77777777" w:rsidR="00D50668" w:rsidRPr="00DE096C" w:rsidRDefault="00D50668" w:rsidP="00D45A46">
      <w:pPr>
        <w:jc w:val="both"/>
        <w:rPr>
          <w:bCs/>
          <w:color w:val="002060"/>
          <w:sz w:val="16"/>
          <w:szCs w:val="16"/>
        </w:rPr>
      </w:pPr>
      <w:r w:rsidRPr="00DE096C">
        <w:rPr>
          <w:bCs/>
          <w:color w:val="002060"/>
          <w:sz w:val="16"/>
          <w:szCs w:val="16"/>
        </w:rPr>
        <w:t xml:space="preserve">Ввиду этого ГАУ признало необходимым самостоятельно предпринять постройку казенного бензолового завода при кадиевских коксовых печах, из продукции которых можно было бы получать до 200 тыс. [пудов в год] сырого бензола. После долгих колебаний Военное министерство дало, наконец, в феврале 1915 г. согласие на постройку завода. </w:t>
      </w:r>
    </w:p>
    <w:p w14:paraId="387FA2E2" w14:textId="77777777" w:rsidR="00D50668" w:rsidRPr="00DE096C" w:rsidRDefault="00D50668" w:rsidP="00D45A46">
      <w:pPr>
        <w:jc w:val="both"/>
        <w:rPr>
          <w:bCs/>
          <w:color w:val="002060"/>
          <w:sz w:val="16"/>
          <w:szCs w:val="16"/>
        </w:rPr>
      </w:pPr>
      <w:r w:rsidRPr="00DE096C">
        <w:rPr>
          <w:bCs/>
          <w:color w:val="002060"/>
          <w:sz w:val="16"/>
          <w:szCs w:val="16"/>
        </w:rPr>
        <w:t xml:space="preserve">Постройка велась строительной комиссией под председательством В.Н. Ипатьева. Южно-Днепровское Общество оказывало работе Комиссии деятельную помощь. Завод был готов 20 августа 1915 г., на полтора месяца ранее назначенного срока. Завод тотчас был пущен в ход и давал бензол по ценам, которые не превосходили цен мирного времени на германских бензоловых заводах, и, таким образом, расходы на сооружение завода должны были быстро окупиться. </w:t>
      </w:r>
    </w:p>
    <w:p w14:paraId="13989371" w14:textId="77777777" w:rsidR="00D50668" w:rsidRPr="00DE096C" w:rsidRDefault="00D50668" w:rsidP="00D45A46">
      <w:pPr>
        <w:jc w:val="both"/>
        <w:rPr>
          <w:bCs/>
          <w:color w:val="002060"/>
          <w:sz w:val="16"/>
          <w:szCs w:val="16"/>
        </w:rPr>
      </w:pPr>
      <w:r w:rsidRPr="00DE096C">
        <w:rPr>
          <w:bCs/>
          <w:color w:val="002060"/>
          <w:sz w:val="16"/>
          <w:szCs w:val="16"/>
        </w:rPr>
        <w:t xml:space="preserve">Постройка Макеевского и в особенности Кадиевского казенного завода сыграла огромную роль в деле насаждения на Юге коксобензольной промышленности. Как только выяснилось, что постройка этих заводов идет успешно, частные предприниматели нашли в себе, наконец, решимость взяться за дело, и в ГАУ стали поступать от них предложения на поставку бензола и толуола, при условии выдачи авансов на постройку заводов. </w:t>
      </w:r>
    </w:p>
    <w:p w14:paraId="5F5D19A2" w14:textId="77777777" w:rsidR="00D50668" w:rsidRPr="00DE096C" w:rsidRDefault="00D50668" w:rsidP="00D45A46">
      <w:pPr>
        <w:jc w:val="both"/>
        <w:rPr>
          <w:bCs/>
          <w:color w:val="002060"/>
          <w:sz w:val="16"/>
          <w:szCs w:val="16"/>
        </w:rPr>
      </w:pPr>
      <w:r w:rsidRPr="00DE096C">
        <w:rPr>
          <w:bCs/>
          <w:color w:val="002060"/>
          <w:sz w:val="16"/>
          <w:szCs w:val="16"/>
        </w:rPr>
        <w:t xml:space="preserve">В дальнейшем таким порядком предпринята была постройка до 20 бензольных заводов не только в Донецком бассейне, но и в Сибири, в Кузнецком бассейне. </w:t>
      </w:r>
    </w:p>
    <w:p w14:paraId="11AD55EA" w14:textId="77777777" w:rsidR="00D50668" w:rsidRPr="00DE096C" w:rsidRDefault="00D50668" w:rsidP="00D45A46">
      <w:pPr>
        <w:jc w:val="both"/>
        <w:rPr>
          <w:bCs/>
          <w:color w:val="002060"/>
          <w:sz w:val="16"/>
          <w:szCs w:val="16"/>
        </w:rPr>
      </w:pPr>
      <w:r w:rsidRPr="00DE096C">
        <w:rPr>
          <w:bCs/>
          <w:color w:val="002060"/>
          <w:sz w:val="16"/>
          <w:szCs w:val="16"/>
        </w:rPr>
        <w:t xml:space="preserve">Фактический рост за время войны бензольных заводов в Донецком бассейне виден из следующей таблицы, где цифры указывают общее наличие заводов к означенным датам: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88"/>
        <w:gridCol w:w="684"/>
      </w:tblGrid>
      <w:tr w:rsidR="00D50668" w:rsidRPr="00DE096C" w14:paraId="17934740" w14:textId="77777777" w:rsidTr="00D34AC1">
        <w:tc>
          <w:tcPr>
            <w:tcW w:w="1788" w:type="dxa"/>
          </w:tcPr>
          <w:p w14:paraId="41C5A15D" w14:textId="77777777" w:rsidR="00D50668" w:rsidRPr="00DE096C" w:rsidRDefault="00D50668" w:rsidP="00D45A46">
            <w:pPr>
              <w:jc w:val="both"/>
              <w:rPr>
                <w:bCs/>
                <w:color w:val="002060"/>
                <w:sz w:val="16"/>
                <w:szCs w:val="16"/>
              </w:rPr>
            </w:pPr>
            <w:r w:rsidRPr="00DE096C">
              <w:rPr>
                <w:bCs/>
                <w:color w:val="002060"/>
                <w:sz w:val="16"/>
                <w:szCs w:val="16"/>
              </w:rPr>
              <w:t xml:space="preserve">1915 г.: </w:t>
            </w:r>
          </w:p>
        </w:tc>
        <w:tc>
          <w:tcPr>
            <w:tcW w:w="684" w:type="dxa"/>
          </w:tcPr>
          <w:p w14:paraId="55CC3ED5" w14:textId="77777777" w:rsidR="00D50668" w:rsidRPr="00DE096C" w:rsidRDefault="00D50668" w:rsidP="00D45A46">
            <w:pPr>
              <w:jc w:val="both"/>
              <w:rPr>
                <w:bCs/>
                <w:color w:val="002060"/>
                <w:sz w:val="16"/>
                <w:szCs w:val="16"/>
              </w:rPr>
            </w:pPr>
            <w:r w:rsidRPr="00DE096C">
              <w:rPr>
                <w:bCs/>
                <w:color w:val="002060"/>
                <w:sz w:val="16"/>
                <w:szCs w:val="16"/>
              </w:rPr>
              <w:t> </w:t>
            </w:r>
          </w:p>
        </w:tc>
      </w:tr>
      <w:tr w:rsidR="00D50668" w:rsidRPr="00DE096C" w14:paraId="4F2CD8F2" w14:textId="77777777" w:rsidTr="00D34AC1">
        <w:tc>
          <w:tcPr>
            <w:tcW w:w="1788" w:type="dxa"/>
          </w:tcPr>
          <w:p w14:paraId="08211BE0" w14:textId="77777777" w:rsidR="00D50668" w:rsidRPr="00DE096C" w:rsidRDefault="00D50668" w:rsidP="00D45A46">
            <w:pPr>
              <w:jc w:val="both"/>
              <w:rPr>
                <w:bCs/>
                <w:color w:val="002060"/>
                <w:sz w:val="16"/>
                <w:szCs w:val="16"/>
              </w:rPr>
            </w:pPr>
            <w:r w:rsidRPr="00DE096C">
              <w:rPr>
                <w:bCs/>
                <w:color w:val="002060"/>
                <w:sz w:val="16"/>
                <w:szCs w:val="16"/>
              </w:rPr>
              <w:t>Февраль</w:t>
            </w:r>
          </w:p>
        </w:tc>
        <w:tc>
          <w:tcPr>
            <w:tcW w:w="684" w:type="dxa"/>
          </w:tcPr>
          <w:p w14:paraId="793707A2" w14:textId="77777777" w:rsidR="00D50668" w:rsidRPr="00DE096C" w:rsidRDefault="00D50668" w:rsidP="00D45A46">
            <w:pPr>
              <w:jc w:val="both"/>
              <w:rPr>
                <w:bCs/>
                <w:color w:val="002060"/>
                <w:sz w:val="16"/>
                <w:szCs w:val="16"/>
              </w:rPr>
            </w:pPr>
            <w:r w:rsidRPr="00DE096C">
              <w:rPr>
                <w:bCs/>
                <w:color w:val="002060"/>
                <w:sz w:val="16"/>
                <w:szCs w:val="16"/>
              </w:rPr>
              <w:t xml:space="preserve">3 </w:t>
            </w:r>
          </w:p>
        </w:tc>
      </w:tr>
      <w:tr w:rsidR="00D50668" w:rsidRPr="00DE096C" w14:paraId="4D65826B" w14:textId="77777777" w:rsidTr="00D34AC1">
        <w:tc>
          <w:tcPr>
            <w:tcW w:w="1788" w:type="dxa"/>
          </w:tcPr>
          <w:p w14:paraId="068BA8F0" w14:textId="77777777" w:rsidR="00D50668" w:rsidRPr="00DE096C" w:rsidRDefault="00D50668" w:rsidP="00D45A46">
            <w:pPr>
              <w:jc w:val="both"/>
              <w:rPr>
                <w:bCs/>
                <w:color w:val="002060"/>
                <w:sz w:val="16"/>
                <w:szCs w:val="16"/>
              </w:rPr>
            </w:pPr>
            <w:r w:rsidRPr="00DE096C">
              <w:rPr>
                <w:bCs/>
                <w:color w:val="002060"/>
                <w:sz w:val="16"/>
                <w:szCs w:val="16"/>
              </w:rPr>
              <w:lastRenderedPageBreak/>
              <w:t>Июнь</w:t>
            </w:r>
          </w:p>
        </w:tc>
        <w:tc>
          <w:tcPr>
            <w:tcW w:w="684" w:type="dxa"/>
          </w:tcPr>
          <w:p w14:paraId="36DCBDAE" w14:textId="77777777" w:rsidR="00D50668" w:rsidRPr="00DE096C" w:rsidRDefault="00D50668" w:rsidP="00D45A46">
            <w:pPr>
              <w:jc w:val="both"/>
              <w:rPr>
                <w:bCs/>
                <w:color w:val="002060"/>
                <w:sz w:val="16"/>
                <w:szCs w:val="16"/>
              </w:rPr>
            </w:pPr>
            <w:r w:rsidRPr="00DE096C">
              <w:rPr>
                <w:bCs/>
                <w:color w:val="002060"/>
                <w:sz w:val="16"/>
                <w:szCs w:val="16"/>
              </w:rPr>
              <w:t xml:space="preserve">4 </w:t>
            </w:r>
          </w:p>
        </w:tc>
      </w:tr>
      <w:tr w:rsidR="00D50668" w:rsidRPr="00DE096C" w14:paraId="1F003CBB" w14:textId="77777777" w:rsidTr="00D34AC1">
        <w:tc>
          <w:tcPr>
            <w:tcW w:w="1788" w:type="dxa"/>
          </w:tcPr>
          <w:p w14:paraId="4A492447" w14:textId="77777777" w:rsidR="00D50668" w:rsidRPr="00DE096C" w:rsidRDefault="00D50668" w:rsidP="00D45A46">
            <w:pPr>
              <w:jc w:val="both"/>
              <w:rPr>
                <w:bCs/>
                <w:color w:val="002060"/>
                <w:sz w:val="16"/>
                <w:szCs w:val="16"/>
              </w:rPr>
            </w:pPr>
            <w:r w:rsidRPr="00DE096C">
              <w:rPr>
                <w:bCs/>
                <w:color w:val="002060"/>
                <w:sz w:val="16"/>
                <w:szCs w:val="16"/>
              </w:rPr>
              <w:t>Июль</w:t>
            </w:r>
          </w:p>
        </w:tc>
        <w:tc>
          <w:tcPr>
            <w:tcW w:w="684" w:type="dxa"/>
          </w:tcPr>
          <w:p w14:paraId="730196B9" w14:textId="77777777" w:rsidR="00D50668" w:rsidRPr="00DE096C" w:rsidRDefault="00D50668" w:rsidP="00D45A46">
            <w:pPr>
              <w:jc w:val="both"/>
              <w:rPr>
                <w:bCs/>
                <w:color w:val="002060"/>
                <w:sz w:val="16"/>
                <w:szCs w:val="16"/>
              </w:rPr>
            </w:pPr>
            <w:r w:rsidRPr="00DE096C">
              <w:rPr>
                <w:bCs/>
                <w:color w:val="002060"/>
                <w:sz w:val="16"/>
                <w:szCs w:val="16"/>
              </w:rPr>
              <w:t xml:space="preserve">5 </w:t>
            </w:r>
          </w:p>
        </w:tc>
      </w:tr>
      <w:tr w:rsidR="00D50668" w:rsidRPr="00DE096C" w14:paraId="7ABA6AD3" w14:textId="77777777" w:rsidTr="00D34AC1">
        <w:tc>
          <w:tcPr>
            <w:tcW w:w="1788" w:type="dxa"/>
          </w:tcPr>
          <w:p w14:paraId="67269FC8" w14:textId="77777777" w:rsidR="00D50668" w:rsidRPr="00DE096C" w:rsidRDefault="00D50668" w:rsidP="00D45A46">
            <w:pPr>
              <w:jc w:val="both"/>
              <w:rPr>
                <w:bCs/>
                <w:color w:val="002060"/>
                <w:sz w:val="16"/>
                <w:szCs w:val="16"/>
              </w:rPr>
            </w:pPr>
            <w:r w:rsidRPr="00DE096C">
              <w:rPr>
                <w:bCs/>
                <w:color w:val="002060"/>
                <w:sz w:val="16"/>
                <w:szCs w:val="16"/>
              </w:rPr>
              <w:t>Сентябрь</w:t>
            </w:r>
          </w:p>
        </w:tc>
        <w:tc>
          <w:tcPr>
            <w:tcW w:w="684" w:type="dxa"/>
          </w:tcPr>
          <w:p w14:paraId="4FCCB14B" w14:textId="77777777" w:rsidR="00D50668" w:rsidRPr="00DE096C" w:rsidRDefault="00D50668" w:rsidP="00D45A46">
            <w:pPr>
              <w:jc w:val="both"/>
              <w:rPr>
                <w:bCs/>
                <w:color w:val="002060"/>
                <w:sz w:val="16"/>
                <w:szCs w:val="16"/>
              </w:rPr>
            </w:pPr>
            <w:r w:rsidRPr="00DE096C">
              <w:rPr>
                <w:bCs/>
                <w:color w:val="002060"/>
                <w:sz w:val="16"/>
                <w:szCs w:val="16"/>
              </w:rPr>
              <w:t xml:space="preserve">7 </w:t>
            </w:r>
          </w:p>
        </w:tc>
      </w:tr>
      <w:tr w:rsidR="00D50668" w:rsidRPr="00DE096C" w14:paraId="08F89248" w14:textId="77777777" w:rsidTr="00D34AC1">
        <w:tc>
          <w:tcPr>
            <w:tcW w:w="1788" w:type="dxa"/>
          </w:tcPr>
          <w:p w14:paraId="5CA12606" w14:textId="77777777" w:rsidR="00D50668" w:rsidRPr="00DE096C" w:rsidRDefault="00D50668" w:rsidP="00D45A46">
            <w:pPr>
              <w:jc w:val="both"/>
              <w:rPr>
                <w:bCs/>
                <w:color w:val="002060"/>
                <w:sz w:val="16"/>
                <w:szCs w:val="16"/>
              </w:rPr>
            </w:pPr>
            <w:r w:rsidRPr="00DE096C">
              <w:rPr>
                <w:bCs/>
                <w:color w:val="002060"/>
                <w:sz w:val="16"/>
                <w:szCs w:val="16"/>
              </w:rPr>
              <w:t>Ноябрь</w:t>
            </w:r>
          </w:p>
        </w:tc>
        <w:tc>
          <w:tcPr>
            <w:tcW w:w="684" w:type="dxa"/>
          </w:tcPr>
          <w:p w14:paraId="2D3C9A4F" w14:textId="77777777" w:rsidR="00D50668" w:rsidRPr="00DE096C" w:rsidRDefault="00D50668" w:rsidP="00D45A46">
            <w:pPr>
              <w:jc w:val="both"/>
              <w:rPr>
                <w:bCs/>
                <w:color w:val="002060"/>
                <w:sz w:val="16"/>
                <w:szCs w:val="16"/>
              </w:rPr>
            </w:pPr>
            <w:r w:rsidRPr="00DE096C">
              <w:rPr>
                <w:bCs/>
                <w:color w:val="002060"/>
                <w:sz w:val="16"/>
                <w:szCs w:val="16"/>
              </w:rPr>
              <w:t xml:space="preserve">8 </w:t>
            </w:r>
          </w:p>
        </w:tc>
      </w:tr>
      <w:tr w:rsidR="00D50668" w:rsidRPr="00DE096C" w14:paraId="66123C4B" w14:textId="77777777" w:rsidTr="00D34AC1">
        <w:tc>
          <w:tcPr>
            <w:tcW w:w="1788" w:type="dxa"/>
          </w:tcPr>
          <w:p w14:paraId="431095DE" w14:textId="77777777" w:rsidR="00D50668" w:rsidRPr="00DE096C" w:rsidRDefault="00D50668" w:rsidP="00D45A46">
            <w:pPr>
              <w:jc w:val="both"/>
              <w:rPr>
                <w:bCs/>
                <w:color w:val="002060"/>
                <w:sz w:val="16"/>
                <w:szCs w:val="16"/>
              </w:rPr>
            </w:pPr>
            <w:r w:rsidRPr="00DE096C">
              <w:rPr>
                <w:bCs/>
                <w:color w:val="002060"/>
                <w:sz w:val="16"/>
                <w:szCs w:val="16"/>
              </w:rPr>
              <w:t xml:space="preserve">1916 г.: </w:t>
            </w:r>
          </w:p>
        </w:tc>
        <w:tc>
          <w:tcPr>
            <w:tcW w:w="684" w:type="dxa"/>
          </w:tcPr>
          <w:p w14:paraId="6E524AF3" w14:textId="77777777" w:rsidR="00D50668" w:rsidRPr="00DE096C" w:rsidRDefault="00D50668" w:rsidP="00D45A46">
            <w:pPr>
              <w:jc w:val="both"/>
              <w:rPr>
                <w:bCs/>
                <w:color w:val="002060"/>
                <w:sz w:val="16"/>
                <w:szCs w:val="16"/>
              </w:rPr>
            </w:pPr>
            <w:r w:rsidRPr="00DE096C">
              <w:rPr>
                <w:bCs/>
                <w:color w:val="002060"/>
                <w:sz w:val="16"/>
                <w:szCs w:val="16"/>
              </w:rPr>
              <w:t> </w:t>
            </w:r>
          </w:p>
        </w:tc>
      </w:tr>
      <w:tr w:rsidR="00D50668" w:rsidRPr="00DE096C" w14:paraId="138C9019" w14:textId="77777777" w:rsidTr="00D34AC1">
        <w:tc>
          <w:tcPr>
            <w:tcW w:w="1788" w:type="dxa"/>
          </w:tcPr>
          <w:p w14:paraId="649FF85D" w14:textId="77777777" w:rsidR="00D50668" w:rsidRPr="00DE096C" w:rsidRDefault="00D50668" w:rsidP="00D45A46">
            <w:pPr>
              <w:jc w:val="both"/>
              <w:rPr>
                <w:bCs/>
                <w:color w:val="002060"/>
                <w:sz w:val="16"/>
                <w:szCs w:val="16"/>
              </w:rPr>
            </w:pPr>
            <w:r w:rsidRPr="00DE096C">
              <w:rPr>
                <w:bCs/>
                <w:color w:val="002060"/>
                <w:sz w:val="16"/>
                <w:szCs w:val="16"/>
              </w:rPr>
              <w:t>Август</w:t>
            </w:r>
          </w:p>
        </w:tc>
        <w:tc>
          <w:tcPr>
            <w:tcW w:w="684" w:type="dxa"/>
          </w:tcPr>
          <w:p w14:paraId="6807EFEF" w14:textId="77777777" w:rsidR="00D50668" w:rsidRPr="00DE096C" w:rsidRDefault="00D50668" w:rsidP="00D45A46">
            <w:pPr>
              <w:jc w:val="both"/>
              <w:rPr>
                <w:bCs/>
                <w:color w:val="002060"/>
                <w:sz w:val="16"/>
                <w:szCs w:val="16"/>
              </w:rPr>
            </w:pPr>
            <w:r w:rsidRPr="00DE096C">
              <w:rPr>
                <w:bCs/>
                <w:color w:val="002060"/>
                <w:sz w:val="16"/>
                <w:szCs w:val="16"/>
              </w:rPr>
              <w:t xml:space="preserve">10 </w:t>
            </w:r>
          </w:p>
        </w:tc>
      </w:tr>
      <w:tr w:rsidR="00D50668" w:rsidRPr="00DE096C" w14:paraId="308B91CD" w14:textId="77777777" w:rsidTr="00D34AC1">
        <w:tc>
          <w:tcPr>
            <w:tcW w:w="1788" w:type="dxa"/>
          </w:tcPr>
          <w:p w14:paraId="1280D49E" w14:textId="77777777" w:rsidR="00D50668" w:rsidRPr="00DE096C" w:rsidRDefault="00D50668" w:rsidP="00D45A46">
            <w:pPr>
              <w:jc w:val="both"/>
              <w:rPr>
                <w:bCs/>
                <w:color w:val="002060"/>
                <w:sz w:val="16"/>
                <w:szCs w:val="16"/>
              </w:rPr>
            </w:pPr>
            <w:r w:rsidRPr="00DE096C">
              <w:rPr>
                <w:bCs/>
                <w:color w:val="002060"/>
                <w:sz w:val="16"/>
                <w:szCs w:val="16"/>
              </w:rPr>
              <w:t>Сентябрь</w:t>
            </w:r>
          </w:p>
        </w:tc>
        <w:tc>
          <w:tcPr>
            <w:tcW w:w="684" w:type="dxa"/>
          </w:tcPr>
          <w:p w14:paraId="73697A73" w14:textId="77777777" w:rsidR="00D50668" w:rsidRPr="00DE096C" w:rsidRDefault="00D50668" w:rsidP="00D45A46">
            <w:pPr>
              <w:jc w:val="both"/>
              <w:rPr>
                <w:bCs/>
                <w:color w:val="002060"/>
                <w:sz w:val="16"/>
                <w:szCs w:val="16"/>
              </w:rPr>
            </w:pPr>
            <w:r w:rsidRPr="00DE096C">
              <w:rPr>
                <w:bCs/>
                <w:color w:val="002060"/>
                <w:sz w:val="16"/>
                <w:szCs w:val="16"/>
              </w:rPr>
              <w:t xml:space="preserve">11 </w:t>
            </w:r>
          </w:p>
        </w:tc>
      </w:tr>
      <w:tr w:rsidR="00D50668" w:rsidRPr="00DE096C" w14:paraId="1E74E7C7" w14:textId="77777777" w:rsidTr="00D34AC1">
        <w:tc>
          <w:tcPr>
            <w:tcW w:w="1788" w:type="dxa"/>
          </w:tcPr>
          <w:p w14:paraId="75654168" w14:textId="77777777" w:rsidR="00D50668" w:rsidRPr="00DE096C" w:rsidRDefault="00D50668" w:rsidP="00D45A46">
            <w:pPr>
              <w:jc w:val="both"/>
              <w:rPr>
                <w:bCs/>
                <w:color w:val="002060"/>
                <w:sz w:val="16"/>
                <w:szCs w:val="16"/>
              </w:rPr>
            </w:pPr>
            <w:r w:rsidRPr="00DE096C">
              <w:rPr>
                <w:bCs/>
                <w:color w:val="002060"/>
                <w:sz w:val="16"/>
                <w:szCs w:val="16"/>
              </w:rPr>
              <w:t>Ноябрь</w:t>
            </w:r>
          </w:p>
        </w:tc>
        <w:tc>
          <w:tcPr>
            <w:tcW w:w="684" w:type="dxa"/>
          </w:tcPr>
          <w:p w14:paraId="488B2E1D" w14:textId="77777777" w:rsidR="00D50668" w:rsidRPr="00DE096C" w:rsidRDefault="00D50668" w:rsidP="00D45A46">
            <w:pPr>
              <w:jc w:val="both"/>
              <w:rPr>
                <w:bCs/>
                <w:color w:val="002060"/>
                <w:sz w:val="16"/>
                <w:szCs w:val="16"/>
              </w:rPr>
            </w:pPr>
            <w:r w:rsidRPr="00DE096C">
              <w:rPr>
                <w:bCs/>
                <w:color w:val="002060"/>
                <w:sz w:val="16"/>
                <w:szCs w:val="16"/>
              </w:rPr>
              <w:t xml:space="preserve">12 </w:t>
            </w:r>
          </w:p>
        </w:tc>
      </w:tr>
      <w:tr w:rsidR="00D50668" w:rsidRPr="00DE096C" w14:paraId="30BE43DB" w14:textId="77777777" w:rsidTr="00D34AC1">
        <w:tc>
          <w:tcPr>
            <w:tcW w:w="1788" w:type="dxa"/>
          </w:tcPr>
          <w:p w14:paraId="05EC7D96" w14:textId="77777777" w:rsidR="00D50668" w:rsidRPr="00DE096C" w:rsidRDefault="00D50668" w:rsidP="00D45A46">
            <w:pPr>
              <w:jc w:val="both"/>
              <w:rPr>
                <w:bCs/>
                <w:color w:val="002060"/>
                <w:sz w:val="16"/>
                <w:szCs w:val="16"/>
              </w:rPr>
            </w:pPr>
            <w:r w:rsidRPr="00DE096C">
              <w:rPr>
                <w:bCs/>
                <w:color w:val="002060"/>
                <w:sz w:val="16"/>
                <w:szCs w:val="16"/>
              </w:rPr>
              <w:t>Декабрь</w:t>
            </w:r>
          </w:p>
        </w:tc>
        <w:tc>
          <w:tcPr>
            <w:tcW w:w="684" w:type="dxa"/>
          </w:tcPr>
          <w:p w14:paraId="5C9A911F" w14:textId="77777777" w:rsidR="00D50668" w:rsidRPr="00DE096C" w:rsidRDefault="00D50668" w:rsidP="00D45A46">
            <w:pPr>
              <w:jc w:val="both"/>
              <w:rPr>
                <w:bCs/>
                <w:color w:val="002060"/>
                <w:sz w:val="16"/>
                <w:szCs w:val="16"/>
              </w:rPr>
            </w:pPr>
            <w:r w:rsidRPr="00DE096C">
              <w:rPr>
                <w:bCs/>
                <w:color w:val="002060"/>
                <w:sz w:val="16"/>
                <w:szCs w:val="16"/>
              </w:rPr>
              <w:t xml:space="preserve">14 </w:t>
            </w:r>
          </w:p>
        </w:tc>
      </w:tr>
      <w:tr w:rsidR="00D50668" w:rsidRPr="00DE096C" w14:paraId="0345B864" w14:textId="77777777" w:rsidTr="00D34AC1">
        <w:tc>
          <w:tcPr>
            <w:tcW w:w="1788" w:type="dxa"/>
          </w:tcPr>
          <w:p w14:paraId="0E3DEA20" w14:textId="77777777" w:rsidR="00D50668" w:rsidRPr="00DE096C" w:rsidRDefault="00D50668" w:rsidP="00D45A46">
            <w:pPr>
              <w:jc w:val="both"/>
              <w:rPr>
                <w:bCs/>
                <w:color w:val="002060"/>
                <w:sz w:val="16"/>
                <w:szCs w:val="16"/>
              </w:rPr>
            </w:pPr>
            <w:r w:rsidRPr="00DE096C">
              <w:rPr>
                <w:bCs/>
                <w:color w:val="002060"/>
                <w:sz w:val="16"/>
                <w:szCs w:val="16"/>
              </w:rPr>
              <w:t xml:space="preserve">1917 г.: </w:t>
            </w:r>
          </w:p>
        </w:tc>
        <w:tc>
          <w:tcPr>
            <w:tcW w:w="684" w:type="dxa"/>
          </w:tcPr>
          <w:p w14:paraId="784B7EA0" w14:textId="77777777" w:rsidR="00D50668" w:rsidRPr="00DE096C" w:rsidRDefault="00D50668" w:rsidP="00D45A46">
            <w:pPr>
              <w:jc w:val="both"/>
              <w:rPr>
                <w:bCs/>
                <w:color w:val="002060"/>
                <w:sz w:val="16"/>
                <w:szCs w:val="16"/>
              </w:rPr>
            </w:pPr>
            <w:r w:rsidRPr="00DE096C">
              <w:rPr>
                <w:bCs/>
                <w:color w:val="002060"/>
                <w:sz w:val="16"/>
                <w:szCs w:val="16"/>
              </w:rPr>
              <w:t> </w:t>
            </w:r>
          </w:p>
        </w:tc>
      </w:tr>
      <w:tr w:rsidR="00D50668" w:rsidRPr="00DE096C" w14:paraId="6AB4E8A4" w14:textId="77777777" w:rsidTr="00D34AC1">
        <w:tc>
          <w:tcPr>
            <w:tcW w:w="1788" w:type="dxa"/>
          </w:tcPr>
          <w:p w14:paraId="24BF75F9" w14:textId="77777777" w:rsidR="00D50668" w:rsidRPr="00DE096C" w:rsidRDefault="00D50668" w:rsidP="00D45A46">
            <w:pPr>
              <w:jc w:val="both"/>
              <w:rPr>
                <w:bCs/>
                <w:color w:val="002060"/>
                <w:sz w:val="16"/>
                <w:szCs w:val="16"/>
              </w:rPr>
            </w:pPr>
            <w:r w:rsidRPr="00DE096C">
              <w:rPr>
                <w:bCs/>
                <w:color w:val="002060"/>
                <w:sz w:val="16"/>
                <w:szCs w:val="16"/>
              </w:rPr>
              <w:t>Январь</w:t>
            </w:r>
          </w:p>
        </w:tc>
        <w:tc>
          <w:tcPr>
            <w:tcW w:w="684" w:type="dxa"/>
          </w:tcPr>
          <w:p w14:paraId="601D9A4A" w14:textId="77777777" w:rsidR="00D50668" w:rsidRPr="00DE096C" w:rsidRDefault="00D50668" w:rsidP="00D45A46">
            <w:pPr>
              <w:jc w:val="both"/>
              <w:rPr>
                <w:bCs/>
                <w:color w:val="002060"/>
                <w:sz w:val="16"/>
                <w:szCs w:val="16"/>
              </w:rPr>
            </w:pPr>
            <w:r w:rsidRPr="00DE096C">
              <w:rPr>
                <w:bCs/>
                <w:color w:val="002060"/>
                <w:sz w:val="16"/>
                <w:szCs w:val="16"/>
              </w:rPr>
              <w:t xml:space="preserve">15 </w:t>
            </w:r>
          </w:p>
        </w:tc>
      </w:tr>
    </w:tbl>
    <w:p w14:paraId="394DBAAA" w14:textId="77777777" w:rsidR="00D50668" w:rsidRPr="00DE096C" w:rsidRDefault="00D50668" w:rsidP="00D45A46">
      <w:pPr>
        <w:jc w:val="both"/>
        <w:rPr>
          <w:bCs/>
          <w:color w:val="002060"/>
          <w:sz w:val="16"/>
          <w:szCs w:val="16"/>
        </w:rPr>
      </w:pPr>
      <w:r w:rsidRPr="00DE096C">
        <w:rPr>
          <w:bCs/>
          <w:color w:val="002060"/>
          <w:sz w:val="16"/>
          <w:szCs w:val="16"/>
        </w:rPr>
        <w:t xml:space="preserve">Добывание бензола, толуола и др. побочных продуктов коксования каменного угля явилось совершенно новой у нас отраслью промышленности. До войны этим путем добывались исключительно сернокислый аммоний, нашатырный спирт, каменноугольная смола и др. Более ценные продукты — бензол, толуол, антрацен и др. получались лишь в весьма незначительном количестве на трех заводах: в Енакиеве, Байраке и Щербинском. </w:t>
      </w:r>
    </w:p>
    <w:p w14:paraId="75FED27D" w14:textId="77777777" w:rsidR="00D50668" w:rsidRPr="00DE096C" w:rsidRDefault="00D50668" w:rsidP="00D45A46">
      <w:pPr>
        <w:jc w:val="both"/>
        <w:rPr>
          <w:bCs/>
          <w:color w:val="002060"/>
          <w:sz w:val="16"/>
          <w:szCs w:val="16"/>
        </w:rPr>
      </w:pPr>
      <w:r w:rsidRPr="00DE096C">
        <w:rPr>
          <w:bCs/>
          <w:color w:val="002060"/>
          <w:sz w:val="16"/>
          <w:szCs w:val="16"/>
        </w:rPr>
        <w:t>Бензоловые заводы представляют подлинную здоровую базу для питания необходимыми материалами важнейшей отрасли военной промышленности, вырабатывающей взрывчатые вещества. В то же время эти заводы нужны были и мирной промышленности для красящих веществ, фармацевтических средств, медицинских препаратов и т.д. Эти последние отрасли ранее черпали всегда сырье из Германии, и широкое развитие коксобензольной промышленности освободило бы всю нашу химическую промышленность, как военную, так и гражданскую, от иностранной зависимости.</w:t>
      </w:r>
    </w:p>
    <w:p w14:paraId="4BDDF13B" w14:textId="77777777" w:rsidR="00D50668" w:rsidRPr="00DE096C" w:rsidRDefault="00D50668" w:rsidP="00D45A46">
      <w:pPr>
        <w:jc w:val="both"/>
        <w:rPr>
          <w:bCs/>
          <w:color w:val="002060"/>
          <w:sz w:val="16"/>
          <w:szCs w:val="16"/>
        </w:rPr>
      </w:pPr>
      <w:r w:rsidRPr="00DE096C">
        <w:rPr>
          <w:bCs/>
          <w:color w:val="002060"/>
          <w:sz w:val="16"/>
          <w:szCs w:val="16"/>
        </w:rPr>
        <w:t xml:space="preserve">В 1914 г. в Донецком бассейне существовало 6150 коксовальных печей. Из них только 1268, при 13 коксовых заводах, были приспособлены к частичному улавливанию побочных продуктов коксования: 10 заводов (910 печей) улавливали дешевые и тяжелые продукты, и только упомянутые выше три завода — Енакиевский, Байракский и Щербиновский (358 печей) улавливали сырой бензол. </w:t>
      </w:r>
    </w:p>
    <w:p w14:paraId="1C7C4CF6" w14:textId="77777777" w:rsidR="00D50668" w:rsidRPr="00DE096C" w:rsidRDefault="00D50668" w:rsidP="00D45A46">
      <w:pPr>
        <w:jc w:val="both"/>
        <w:rPr>
          <w:bCs/>
          <w:color w:val="002060"/>
          <w:sz w:val="16"/>
          <w:szCs w:val="16"/>
        </w:rPr>
      </w:pPr>
      <w:r w:rsidRPr="00DE096C">
        <w:rPr>
          <w:bCs/>
          <w:color w:val="002060"/>
          <w:sz w:val="16"/>
          <w:szCs w:val="16"/>
        </w:rPr>
        <w:t xml:space="preserve">В первую очередь комиссия Ипатьева занялась постройкой бензоловых заводов при указанных 13 предприятиях. Затем в 1915 и 1916 гг. была предпринята постройка еще 13 заводов с расчетом на обслуживание 1200 печей, из которых часть печей возводилась заново. Намечен был, таким образом, план создать 26 бензольных заводов с 2400 печами. Осуществить постройку всех 26 заводов не удалось по разным причинам — расстройство транспорта, недостаток материалов и пр. Из строившихся 20 заводов часть была пущена в ход в 1915 и 1916 гг., часть была в 1917 г. еще не достроена. </w:t>
      </w:r>
    </w:p>
    <w:p w14:paraId="67A13BC0" w14:textId="77777777" w:rsidR="00D50668" w:rsidRPr="00DE096C" w:rsidRDefault="00D50668" w:rsidP="00D45A46">
      <w:pPr>
        <w:jc w:val="both"/>
        <w:rPr>
          <w:bCs/>
          <w:color w:val="002060"/>
          <w:sz w:val="16"/>
          <w:szCs w:val="16"/>
        </w:rPr>
      </w:pPr>
      <w:r w:rsidRPr="00DE096C">
        <w:rPr>
          <w:bCs/>
          <w:color w:val="002060"/>
          <w:sz w:val="16"/>
          <w:szCs w:val="16"/>
        </w:rPr>
        <w:t xml:space="preserve">Производство сырого бензола в 1915 и 1916 гг. по отдельным заводам показано в следующей таблице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268"/>
        <w:gridCol w:w="792"/>
        <w:gridCol w:w="684"/>
      </w:tblGrid>
      <w:tr w:rsidR="00D50668" w:rsidRPr="00DE096C" w14:paraId="01FC3D7A" w14:textId="77777777" w:rsidTr="00D34AC1">
        <w:tc>
          <w:tcPr>
            <w:tcW w:w="2268" w:type="dxa"/>
          </w:tcPr>
          <w:p w14:paraId="2F7E3268" w14:textId="77777777" w:rsidR="00D50668" w:rsidRPr="00DE096C" w:rsidRDefault="00D50668" w:rsidP="00D45A46">
            <w:pPr>
              <w:jc w:val="both"/>
              <w:rPr>
                <w:bCs/>
                <w:color w:val="002060"/>
                <w:sz w:val="16"/>
                <w:szCs w:val="16"/>
              </w:rPr>
            </w:pPr>
            <w:r w:rsidRPr="00DE096C">
              <w:rPr>
                <w:bCs/>
                <w:color w:val="002060"/>
                <w:sz w:val="16"/>
                <w:szCs w:val="16"/>
              </w:rPr>
              <w:t>Заводы</w:t>
            </w:r>
          </w:p>
        </w:tc>
        <w:tc>
          <w:tcPr>
            <w:tcW w:w="792" w:type="dxa"/>
          </w:tcPr>
          <w:p w14:paraId="17608AB6" w14:textId="77777777" w:rsidR="00D50668" w:rsidRPr="00DE096C" w:rsidRDefault="00D50668" w:rsidP="00D45A46">
            <w:pPr>
              <w:jc w:val="both"/>
              <w:rPr>
                <w:bCs/>
                <w:color w:val="002060"/>
                <w:sz w:val="16"/>
                <w:szCs w:val="16"/>
              </w:rPr>
            </w:pPr>
            <w:r w:rsidRPr="00DE096C">
              <w:rPr>
                <w:bCs/>
                <w:color w:val="002060"/>
                <w:sz w:val="16"/>
                <w:szCs w:val="16"/>
              </w:rPr>
              <w:t>1915 г.</w:t>
            </w:r>
          </w:p>
        </w:tc>
        <w:tc>
          <w:tcPr>
            <w:tcW w:w="684" w:type="dxa"/>
          </w:tcPr>
          <w:p w14:paraId="6DB6342B" w14:textId="77777777" w:rsidR="00D50668" w:rsidRPr="00DE096C" w:rsidRDefault="00D50668" w:rsidP="00D45A46">
            <w:pPr>
              <w:jc w:val="both"/>
              <w:rPr>
                <w:bCs/>
                <w:color w:val="002060"/>
                <w:sz w:val="16"/>
                <w:szCs w:val="16"/>
              </w:rPr>
            </w:pPr>
            <w:r w:rsidRPr="00DE096C">
              <w:rPr>
                <w:bCs/>
                <w:color w:val="002060"/>
                <w:sz w:val="16"/>
                <w:szCs w:val="16"/>
              </w:rPr>
              <w:t>1916 г.</w:t>
            </w:r>
          </w:p>
        </w:tc>
      </w:tr>
      <w:tr w:rsidR="00D50668" w:rsidRPr="00DE096C" w14:paraId="5197F2BD" w14:textId="77777777" w:rsidTr="00D34AC1">
        <w:tc>
          <w:tcPr>
            <w:tcW w:w="2268" w:type="dxa"/>
          </w:tcPr>
          <w:p w14:paraId="44CF1B81" w14:textId="77777777" w:rsidR="00D50668" w:rsidRPr="00DE096C" w:rsidRDefault="00D50668" w:rsidP="00D45A46">
            <w:pPr>
              <w:jc w:val="both"/>
              <w:rPr>
                <w:bCs/>
                <w:color w:val="002060"/>
                <w:sz w:val="16"/>
                <w:szCs w:val="16"/>
              </w:rPr>
            </w:pPr>
            <w:r w:rsidRPr="00DE096C">
              <w:rPr>
                <w:bCs/>
                <w:color w:val="002060"/>
                <w:sz w:val="16"/>
                <w:szCs w:val="16"/>
              </w:rPr>
              <w:t>Э. Коппе, ст. Енакиево</w:t>
            </w:r>
          </w:p>
        </w:tc>
        <w:tc>
          <w:tcPr>
            <w:tcW w:w="792" w:type="dxa"/>
          </w:tcPr>
          <w:p w14:paraId="585F07D2" w14:textId="77777777" w:rsidR="00D50668" w:rsidRPr="00DE096C" w:rsidRDefault="00D50668" w:rsidP="00D45A46">
            <w:pPr>
              <w:jc w:val="both"/>
              <w:rPr>
                <w:bCs/>
                <w:color w:val="002060"/>
                <w:sz w:val="16"/>
                <w:szCs w:val="16"/>
              </w:rPr>
            </w:pPr>
            <w:r w:rsidRPr="00DE096C">
              <w:rPr>
                <w:bCs/>
                <w:color w:val="002060"/>
                <w:sz w:val="16"/>
                <w:szCs w:val="16"/>
              </w:rPr>
              <w:t>117,9</w:t>
            </w:r>
          </w:p>
        </w:tc>
        <w:tc>
          <w:tcPr>
            <w:tcW w:w="684" w:type="dxa"/>
          </w:tcPr>
          <w:p w14:paraId="50BBD99B" w14:textId="77777777" w:rsidR="00D50668" w:rsidRPr="00DE096C" w:rsidRDefault="00D50668" w:rsidP="00D45A46">
            <w:pPr>
              <w:jc w:val="both"/>
              <w:rPr>
                <w:bCs/>
                <w:color w:val="002060"/>
                <w:sz w:val="16"/>
                <w:szCs w:val="16"/>
              </w:rPr>
            </w:pPr>
            <w:r w:rsidRPr="00DE096C">
              <w:rPr>
                <w:bCs/>
                <w:color w:val="002060"/>
                <w:sz w:val="16"/>
                <w:szCs w:val="16"/>
              </w:rPr>
              <w:t>131,1</w:t>
            </w:r>
          </w:p>
        </w:tc>
      </w:tr>
      <w:tr w:rsidR="00D50668" w:rsidRPr="00DE096C" w14:paraId="74539FF3" w14:textId="77777777" w:rsidTr="00D34AC1">
        <w:tc>
          <w:tcPr>
            <w:tcW w:w="2268" w:type="dxa"/>
          </w:tcPr>
          <w:p w14:paraId="4D4817EC" w14:textId="77777777" w:rsidR="00D50668" w:rsidRPr="00DE096C" w:rsidRDefault="00D50668" w:rsidP="00D45A46">
            <w:pPr>
              <w:jc w:val="both"/>
              <w:rPr>
                <w:bCs/>
                <w:color w:val="002060"/>
                <w:sz w:val="16"/>
                <w:szCs w:val="16"/>
              </w:rPr>
            </w:pPr>
            <w:r w:rsidRPr="00DE096C">
              <w:rPr>
                <w:bCs/>
                <w:color w:val="002060"/>
                <w:sz w:val="16"/>
                <w:szCs w:val="16"/>
              </w:rPr>
              <w:t>Э. Коппк, ст. Юзовка</w:t>
            </w:r>
          </w:p>
        </w:tc>
        <w:tc>
          <w:tcPr>
            <w:tcW w:w="792" w:type="dxa"/>
          </w:tcPr>
          <w:p w14:paraId="61CA9BB7" w14:textId="77777777" w:rsidR="00D50668" w:rsidRPr="00DE096C" w:rsidRDefault="00D50668" w:rsidP="00D45A46">
            <w:pPr>
              <w:jc w:val="both"/>
              <w:rPr>
                <w:bCs/>
                <w:color w:val="002060"/>
                <w:sz w:val="16"/>
                <w:szCs w:val="16"/>
              </w:rPr>
            </w:pPr>
            <w:r w:rsidRPr="00DE096C">
              <w:rPr>
                <w:bCs/>
                <w:color w:val="002060"/>
                <w:sz w:val="16"/>
                <w:szCs w:val="16"/>
              </w:rPr>
              <w:t>46,6</w:t>
            </w:r>
          </w:p>
        </w:tc>
        <w:tc>
          <w:tcPr>
            <w:tcW w:w="684" w:type="dxa"/>
          </w:tcPr>
          <w:p w14:paraId="34C4934C" w14:textId="77777777" w:rsidR="00D50668" w:rsidRPr="00DE096C" w:rsidRDefault="00D50668" w:rsidP="00D45A46">
            <w:pPr>
              <w:jc w:val="both"/>
              <w:rPr>
                <w:bCs/>
                <w:color w:val="002060"/>
                <w:sz w:val="16"/>
                <w:szCs w:val="16"/>
              </w:rPr>
            </w:pPr>
            <w:r w:rsidRPr="00DE096C">
              <w:rPr>
                <w:bCs/>
                <w:color w:val="002060"/>
                <w:sz w:val="16"/>
                <w:szCs w:val="16"/>
              </w:rPr>
              <w:t>90,1</w:t>
            </w:r>
          </w:p>
        </w:tc>
      </w:tr>
      <w:tr w:rsidR="00D50668" w:rsidRPr="00DE096C" w14:paraId="1E822F3A" w14:textId="77777777" w:rsidTr="00D34AC1">
        <w:tc>
          <w:tcPr>
            <w:tcW w:w="2268" w:type="dxa"/>
          </w:tcPr>
          <w:p w14:paraId="472C2935" w14:textId="77777777" w:rsidR="00D50668" w:rsidRPr="00DE096C" w:rsidRDefault="00D50668" w:rsidP="00D45A46">
            <w:pPr>
              <w:jc w:val="both"/>
              <w:rPr>
                <w:bCs/>
                <w:color w:val="002060"/>
                <w:sz w:val="16"/>
                <w:szCs w:val="16"/>
              </w:rPr>
            </w:pPr>
            <w:r w:rsidRPr="00DE096C">
              <w:rPr>
                <w:bCs/>
                <w:color w:val="002060"/>
                <w:sz w:val="16"/>
                <w:szCs w:val="16"/>
              </w:rPr>
              <w:t>Э. Коппе, ст. Байрак</w:t>
            </w:r>
          </w:p>
        </w:tc>
        <w:tc>
          <w:tcPr>
            <w:tcW w:w="792" w:type="dxa"/>
          </w:tcPr>
          <w:p w14:paraId="0435C0E1" w14:textId="77777777" w:rsidR="00D50668" w:rsidRPr="00DE096C" w:rsidRDefault="00D50668" w:rsidP="00D45A46">
            <w:pPr>
              <w:jc w:val="both"/>
              <w:rPr>
                <w:bCs/>
                <w:color w:val="002060"/>
                <w:sz w:val="16"/>
                <w:szCs w:val="16"/>
              </w:rPr>
            </w:pPr>
            <w:r w:rsidRPr="00DE096C">
              <w:rPr>
                <w:bCs/>
                <w:color w:val="002060"/>
                <w:sz w:val="16"/>
                <w:szCs w:val="16"/>
              </w:rPr>
              <w:t>31,2</w:t>
            </w:r>
          </w:p>
        </w:tc>
        <w:tc>
          <w:tcPr>
            <w:tcW w:w="684" w:type="dxa"/>
          </w:tcPr>
          <w:p w14:paraId="1D353D6D" w14:textId="77777777" w:rsidR="00D50668" w:rsidRPr="00DE096C" w:rsidRDefault="00D50668" w:rsidP="00D45A46">
            <w:pPr>
              <w:jc w:val="both"/>
              <w:rPr>
                <w:bCs/>
                <w:color w:val="002060"/>
                <w:sz w:val="16"/>
                <w:szCs w:val="16"/>
              </w:rPr>
            </w:pPr>
            <w:r w:rsidRPr="00DE096C">
              <w:rPr>
                <w:bCs/>
                <w:color w:val="002060"/>
                <w:sz w:val="16"/>
                <w:szCs w:val="16"/>
              </w:rPr>
              <w:t>26,9</w:t>
            </w:r>
          </w:p>
        </w:tc>
      </w:tr>
      <w:tr w:rsidR="00D50668" w:rsidRPr="00DE096C" w14:paraId="02C4DD31" w14:textId="77777777" w:rsidTr="00D34AC1">
        <w:tc>
          <w:tcPr>
            <w:tcW w:w="2268" w:type="dxa"/>
          </w:tcPr>
          <w:p w14:paraId="035A997E" w14:textId="77777777" w:rsidR="00D50668" w:rsidRPr="00DE096C" w:rsidRDefault="00D50668" w:rsidP="00D45A46">
            <w:pPr>
              <w:jc w:val="both"/>
              <w:rPr>
                <w:bCs/>
                <w:color w:val="002060"/>
                <w:sz w:val="16"/>
                <w:szCs w:val="16"/>
              </w:rPr>
            </w:pPr>
            <w:r w:rsidRPr="00DE096C">
              <w:rPr>
                <w:bCs/>
                <w:color w:val="002060"/>
                <w:sz w:val="16"/>
                <w:szCs w:val="16"/>
              </w:rPr>
              <w:t>Э. Коппе, ст. Веровка</w:t>
            </w:r>
          </w:p>
        </w:tc>
        <w:tc>
          <w:tcPr>
            <w:tcW w:w="792" w:type="dxa"/>
          </w:tcPr>
          <w:p w14:paraId="45BF2CF2" w14:textId="77777777" w:rsidR="00D50668" w:rsidRPr="00DE096C" w:rsidRDefault="00D50668" w:rsidP="00D45A46">
            <w:pPr>
              <w:jc w:val="both"/>
              <w:rPr>
                <w:bCs/>
                <w:color w:val="002060"/>
                <w:sz w:val="16"/>
                <w:szCs w:val="16"/>
              </w:rPr>
            </w:pPr>
            <w:r w:rsidRPr="00DE096C">
              <w:rPr>
                <w:bCs/>
                <w:color w:val="002060"/>
                <w:sz w:val="16"/>
                <w:szCs w:val="16"/>
              </w:rPr>
              <w:t>11,5</w:t>
            </w:r>
          </w:p>
        </w:tc>
        <w:tc>
          <w:tcPr>
            <w:tcW w:w="684" w:type="dxa"/>
          </w:tcPr>
          <w:p w14:paraId="522C2644" w14:textId="77777777" w:rsidR="00D50668" w:rsidRPr="00DE096C" w:rsidRDefault="00D50668" w:rsidP="00D45A46">
            <w:pPr>
              <w:jc w:val="both"/>
              <w:rPr>
                <w:bCs/>
                <w:color w:val="002060"/>
                <w:sz w:val="16"/>
                <w:szCs w:val="16"/>
              </w:rPr>
            </w:pPr>
            <w:r w:rsidRPr="00DE096C">
              <w:rPr>
                <w:bCs/>
                <w:color w:val="002060"/>
                <w:sz w:val="16"/>
                <w:szCs w:val="16"/>
              </w:rPr>
              <w:t>19,3</w:t>
            </w:r>
          </w:p>
        </w:tc>
      </w:tr>
      <w:tr w:rsidR="00D50668" w:rsidRPr="00DE096C" w14:paraId="136FA65B" w14:textId="77777777" w:rsidTr="00D34AC1">
        <w:tc>
          <w:tcPr>
            <w:tcW w:w="2268" w:type="dxa"/>
          </w:tcPr>
          <w:p w14:paraId="55665626" w14:textId="77777777" w:rsidR="00D50668" w:rsidRPr="00DE096C" w:rsidRDefault="00D50668" w:rsidP="00D45A46">
            <w:pPr>
              <w:jc w:val="both"/>
              <w:rPr>
                <w:bCs/>
                <w:color w:val="002060"/>
                <w:sz w:val="16"/>
                <w:szCs w:val="16"/>
              </w:rPr>
            </w:pPr>
            <w:r w:rsidRPr="00DE096C">
              <w:rPr>
                <w:bCs/>
                <w:color w:val="002060"/>
                <w:sz w:val="16"/>
                <w:szCs w:val="16"/>
              </w:rPr>
              <w:t>Э. Коппе, ст. Сартана</w:t>
            </w:r>
          </w:p>
        </w:tc>
        <w:tc>
          <w:tcPr>
            <w:tcW w:w="792" w:type="dxa"/>
          </w:tcPr>
          <w:p w14:paraId="5203D63C" w14:textId="77777777" w:rsidR="00D50668" w:rsidRPr="00DE096C" w:rsidRDefault="00D50668" w:rsidP="00D45A46">
            <w:pPr>
              <w:jc w:val="both"/>
              <w:rPr>
                <w:bCs/>
                <w:color w:val="002060"/>
                <w:sz w:val="16"/>
                <w:szCs w:val="16"/>
              </w:rPr>
            </w:pPr>
            <w:r w:rsidRPr="00DE096C">
              <w:rPr>
                <w:bCs/>
                <w:color w:val="002060"/>
                <w:sz w:val="16"/>
                <w:szCs w:val="16"/>
              </w:rPr>
              <w:t>2.5</w:t>
            </w:r>
          </w:p>
        </w:tc>
        <w:tc>
          <w:tcPr>
            <w:tcW w:w="684" w:type="dxa"/>
          </w:tcPr>
          <w:p w14:paraId="783E91E3" w14:textId="77777777" w:rsidR="00D50668" w:rsidRPr="00DE096C" w:rsidRDefault="00D50668" w:rsidP="00D45A46">
            <w:pPr>
              <w:jc w:val="both"/>
              <w:rPr>
                <w:bCs/>
                <w:color w:val="002060"/>
                <w:sz w:val="16"/>
                <w:szCs w:val="16"/>
              </w:rPr>
            </w:pPr>
            <w:r w:rsidRPr="00DE096C">
              <w:rPr>
                <w:bCs/>
                <w:color w:val="002060"/>
                <w:sz w:val="16"/>
                <w:szCs w:val="16"/>
              </w:rPr>
              <w:t>15,7</w:t>
            </w:r>
          </w:p>
        </w:tc>
      </w:tr>
      <w:tr w:rsidR="00D50668" w:rsidRPr="00DE096C" w14:paraId="19011F96" w14:textId="77777777" w:rsidTr="00D34AC1">
        <w:tc>
          <w:tcPr>
            <w:tcW w:w="2268" w:type="dxa"/>
          </w:tcPr>
          <w:p w14:paraId="3D4DB252" w14:textId="77777777" w:rsidR="00D50668" w:rsidRPr="00DE096C" w:rsidRDefault="00D50668" w:rsidP="00D45A46">
            <w:pPr>
              <w:jc w:val="both"/>
              <w:rPr>
                <w:bCs/>
                <w:color w:val="002060"/>
                <w:sz w:val="16"/>
                <w:szCs w:val="16"/>
              </w:rPr>
            </w:pPr>
            <w:r w:rsidRPr="00DE096C">
              <w:rPr>
                <w:bCs/>
                <w:color w:val="002060"/>
                <w:sz w:val="16"/>
                <w:szCs w:val="16"/>
              </w:rPr>
              <w:t>О. Пьетт, ст. Макеевка</w:t>
            </w:r>
          </w:p>
        </w:tc>
        <w:tc>
          <w:tcPr>
            <w:tcW w:w="792" w:type="dxa"/>
          </w:tcPr>
          <w:p w14:paraId="68BED5A5" w14:textId="77777777" w:rsidR="00D50668" w:rsidRPr="00DE096C" w:rsidRDefault="00D50668" w:rsidP="00D45A46">
            <w:pPr>
              <w:jc w:val="both"/>
              <w:rPr>
                <w:bCs/>
                <w:color w:val="002060"/>
                <w:sz w:val="16"/>
                <w:szCs w:val="16"/>
              </w:rPr>
            </w:pPr>
            <w:r w:rsidRPr="00DE096C">
              <w:rPr>
                <w:bCs/>
                <w:color w:val="002060"/>
                <w:sz w:val="16"/>
                <w:szCs w:val="16"/>
              </w:rPr>
              <w:t>62,6</w:t>
            </w:r>
          </w:p>
        </w:tc>
        <w:tc>
          <w:tcPr>
            <w:tcW w:w="684" w:type="dxa"/>
          </w:tcPr>
          <w:p w14:paraId="7C16FD52" w14:textId="77777777" w:rsidR="00D50668" w:rsidRPr="00DE096C" w:rsidRDefault="00D50668" w:rsidP="00D45A46">
            <w:pPr>
              <w:jc w:val="both"/>
              <w:rPr>
                <w:bCs/>
                <w:color w:val="002060"/>
                <w:sz w:val="16"/>
                <w:szCs w:val="16"/>
              </w:rPr>
            </w:pPr>
            <w:r w:rsidRPr="00DE096C">
              <w:rPr>
                <w:bCs/>
                <w:color w:val="002060"/>
                <w:sz w:val="16"/>
                <w:szCs w:val="16"/>
              </w:rPr>
              <w:t>125,9</w:t>
            </w:r>
          </w:p>
        </w:tc>
      </w:tr>
      <w:tr w:rsidR="00D50668" w:rsidRPr="00DE096C" w14:paraId="7FD93D7E" w14:textId="77777777" w:rsidTr="00D34AC1">
        <w:tc>
          <w:tcPr>
            <w:tcW w:w="2268" w:type="dxa"/>
          </w:tcPr>
          <w:p w14:paraId="5B258D70" w14:textId="77777777" w:rsidR="00D50668" w:rsidRPr="00DE096C" w:rsidRDefault="00D50668" w:rsidP="00D45A46">
            <w:pPr>
              <w:jc w:val="both"/>
              <w:rPr>
                <w:bCs/>
                <w:color w:val="002060"/>
                <w:sz w:val="16"/>
                <w:szCs w:val="16"/>
              </w:rPr>
            </w:pPr>
            <w:r w:rsidRPr="00DE096C">
              <w:rPr>
                <w:bCs/>
                <w:color w:val="002060"/>
                <w:sz w:val="16"/>
                <w:szCs w:val="16"/>
              </w:rPr>
              <w:t>Кадиевский казенный завод</w:t>
            </w:r>
          </w:p>
        </w:tc>
        <w:tc>
          <w:tcPr>
            <w:tcW w:w="792" w:type="dxa"/>
          </w:tcPr>
          <w:p w14:paraId="4AAFFA9F" w14:textId="77777777" w:rsidR="00D50668" w:rsidRPr="00DE096C" w:rsidRDefault="00D50668" w:rsidP="00D45A46">
            <w:pPr>
              <w:jc w:val="both"/>
              <w:rPr>
                <w:bCs/>
                <w:color w:val="002060"/>
                <w:sz w:val="16"/>
                <w:szCs w:val="16"/>
              </w:rPr>
            </w:pPr>
            <w:r w:rsidRPr="00DE096C">
              <w:rPr>
                <w:bCs/>
                <w:color w:val="002060"/>
                <w:sz w:val="16"/>
                <w:szCs w:val="16"/>
              </w:rPr>
              <w:t>62,3</w:t>
            </w:r>
          </w:p>
        </w:tc>
        <w:tc>
          <w:tcPr>
            <w:tcW w:w="684" w:type="dxa"/>
          </w:tcPr>
          <w:p w14:paraId="5C2E860B" w14:textId="77777777" w:rsidR="00D50668" w:rsidRPr="00DE096C" w:rsidRDefault="00D50668" w:rsidP="00D45A46">
            <w:pPr>
              <w:jc w:val="both"/>
              <w:rPr>
                <w:bCs/>
                <w:color w:val="002060"/>
                <w:sz w:val="16"/>
                <w:szCs w:val="16"/>
              </w:rPr>
            </w:pPr>
            <w:r w:rsidRPr="00DE096C">
              <w:rPr>
                <w:bCs/>
                <w:color w:val="002060"/>
                <w:sz w:val="16"/>
                <w:szCs w:val="16"/>
              </w:rPr>
              <w:t>167,1</w:t>
            </w:r>
          </w:p>
        </w:tc>
      </w:tr>
      <w:tr w:rsidR="00D50668" w:rsidRPr="00DE096C" w14:paraId="6F6A1291" w14:textId="77777777" w:rsidTr="00D34AC1">
        <w:tc>
          <w:tcPr>
            <w:tcW w:w="2268" w:type="dxa"/>
          </w:tcPr>
          <w:p w14:paraId="4C190162" w14:textId="77777777" w:rsidR="00D50668" w:rsidRPr="00DE096C" w:rsidRDefault="00D50668" w:rsidP="00D45A46">
            <w:pPr>
              <w:jc w:val="both"/>
              <w:rPr>
                <w:bCs/>
                <w:color w:val="002060"/>
                <w:sz w:val="16"/>
                <w:szCs w:val="16"/>
              </w:rPr>
            </w:pPr>
            <w:r w:rsidRPr="00DE096C">
              <w:rPr>
                <w:bCs/>
                <w:color w:val="002060"/>
                <w:sz w:val="16"/>
                <w:szCs w:val="16"/>
              </w:rPr>
              <w:t>Щербиновский завод</w:t>
            </w:r>
          </w:p>
        </w:tc>
        <w:tc>
          <w:tcPr>
            <w:tcW w:w="792" w:type="dxa"/>
          </w:tcPr>
          <w:p w14:paraId="7656FB1E" w14:textId="77777777" w:rsidR="00D50668" w:rsidRPr="00DE096C" w:rsidRDefault="00D50668" w:rsidP="00D45A46">
            <w:pPr>
              <w:jc w:val="both"/>
              <w:rPr>
                <w:bCs/>
                <w:color w:val="002060"/>
                <w:sz w:val="16"/>
                <w:szCs w:val="16"/>
              </w:rPr>
            </w:pPr>
            <w:r w:rsidRPr="00DE096C">
              <w:rPr>
                <w:bCs/>
                <w:color w:val="002060"/>
                <w:sz w:val="16"/>
                <w:szCs w:val="16"/>
              </w:rPr>
              <w:t>29,7</w:t>
            </w:r>
          </w:p>
        </w:tc>
        <w:tc>
          <w:tcPr>
            <w:tcW w:w="684" w:type="dxa"/>
          </w:tcPr>
          <w:p w14:paraId="01ECAB08" w14:textId="77777777" w:rsidR="00D50668" w:rsidRPr="00DE096C" w:rsidRDefault="00D50668" w:rsidP="00D45A46">
            <w:pPr>
              <w:jc w:val="both"/>
              <w:rPr>
                <w:bCs/>
                <w:color w:val="002060"/>
                <w:sz w:val="16"/>
                <w:szCs w:val="16"/>
              </w:rPr>
            </w:pPr>
            <w:r w:rsidRPr="00DE096C">
              <w:rPr>
                <w:bCs/>
                <w:color w:val="002060"/>
                <w:sz w:val="16"/>
                <w:szCs w:val="16"/>
              </w:rPr>
              <w:t>36,9</w:t>
            </w:r>
          </w:p>
        </w:tc>
      </w:tr>
      <w:tr w:rsidR="00D50668" w:rsidRPr="00DE096C" w14:paraId="069898FA" w14:textId="77777777" w:rsidTr="00D34AC1">
        <w:tc>
          <w:tcPr>
            <w:tcW w:w="2268" w:type="dxa"/>
          </w:tcPr>
          <w:p w14:paraId="53573B83" w14:textId="77777777" w:rsidR="00D50668" w:rsidRPr="00DE096C" w:rsidRDefault="00D50668" w:rsidP="00D45A46">
            <w:pPr>
              <w:jc w:val="both"/>
              <w:rPr>
                <w:bCs/>
                <w:color w:val="002060"/>
                <w:sz w:val="16"/>
                <w:szCs w:val="16"/>
              </w:rPr>
            </w:pPr>
            <w:r w:rsidRPr="00DE096C">
              <w:rPr>
                <w:bCs/>
                <w:color w:val="002060"/>
                <w:sz w:val="16"/>
                <w:szCs w:val="16"/>
              </w:rPr>
              <w:t>Общество Карбонизоми (Горловка)</w:t>
            </w:r>
          </w:p>
        </w:tc>
        <w:tc>
          <w:tcPr>
            <w:tcW w:w="792" w:type="dxa"/>
          </w:tcPr>
          <w:p w14:paraId="549304A7" w14:textId="77777777" w:rsidR="00D50668" w:rsidRPr="00DE096C" w:rsidRDefault="00D50668" w:rsidP="00D45A46">
            <w:pPr>
              <w:jc w:val="both"/>
              <w:rPr>
                <w:bCs/>
                <w:color w:val="002060"/>
                <w:sz w:val="16"/>
                <w:szCs w:val="16"/>
              </w:rPr>
            </w:pPr>
            <w:r w:rsidRPr="00DE096C">
              <w:rPr>
                <w:bCs/>
                <w:color w:val="002060"/>
                <w:sz w:val="16"/>
                <w:szCs w:val="16"/>
              </w:rPr>
              <w:t>—</w:t>
            </w:r>
          </w:p>
        </w:tc>
        <w:tc>
          <w:tcPr>
            <w:tcW w:w="684" w:type="dxa"/>
          </w:tcPr>
          <w:p w14:paraId="2726625F" w14:textId="77777777" w:rsidR="00D50668" w:rsidRPr="00DE096C" w:rsidRDefault="00D50668" w:rsidP="00D45A46">
            <w:pPr>
              <w:jc w:val="both"/>
              <w:rPr>
                <w:bCs/>
                <w:color w:val="002060"/>
                <w:sz w:val="16"/>
                <w:szCs w:val="16"/>
              </w:rPr>
            </w:pPr>
            <w:r w:rsidRPr="00DE096C">
              <w:rPr>
                <w:bCs/>
                <w:color w:val="002060"/>
                <w:sz w:val="16"/>
                <w:szCs w:val="16"/>
              </w:rPr>
              <w:t>12,4</w:t>
            </w:r>
          </w:p>
        </w:tc>
      </w:tr>
      <w:tr w:rsidR="00D50668" w:rsidRPr="00DE096C" w14:paraId="062A030D" w14:textId="77777777" w:rsidTr="00D34AC1">
        <w:tc>
          <w:tcPr>
            <w:tcW w:w="2268" w:type="dxa"/>
          </w:tcPr>
          <w:p w14:paraId="273166B8" w14:textId="77777777" w:rsidR="00D50668" w:rsidRPr="00DE096C" w:rsidRDefault="00D50668" w:rsidP="00D45A46">
            <w:pPr>
              <w:jc w:val="both"/>
              <w:rPr>
                <w:bCs/>
                <w:color w:val="002060"/>
                <w:sz w:val="16"/>
                <w:szCs w:val="16"/>
              </w:rPr>
            </w:pPr>
            <w:r w:rsidRPr="00DE096C">
              <w:rPr>
                <w:bCs/>
                <w:color w:val="002060"/>
                <w:sz w:val="16"/>
                <w:szCs w:val="16"/>
              </w:rPr>
              <w:t>О. Пьетт (Дружковка)</w:t>
            </w:r>
          </w:p>
        </w:tc>
        <w:tc>
          <w:tcPr>
            <w:tcW w:w="792" w:type="dxa"/>
          </w:tcPr>
          <w:p w14:paraId="2D3E67A7" w14:textId="77777777" w:rsidR="00D50668" w:rsidRPr="00DE096C" w:rsidRDefault="00D50668" w:rsidP="00D45A46">
            <w:pPr>
              <w:jc w:val="both"/>
              <w:rPr>
                <w:bCs/>
                <w:color w:val="002060"/>
                <w:sz w:val="16"/>
                <w:szCs w:val="16"/>
              </w:rPr>
            </w:pPr>
            <w:r w:rsidRPr="00DE096C">
              <w:rPr>
                <w:bCs/>
                <w:color w:val="002060"/>
                <w:sz w:val="16"/>
                <w:szCs w:val="16"/>
              </w:rPr>
              <w:t>—</w:t>
            </w:r>
          </w:p>
        </w:tc>
        <w:tc>
          <w:tcPr>
            <w:tcW w:w="684" w:type="dxa"/>
          </w:tcPr>
          <w:p w14:paraId="4E1B3E18" w14:textId="77777777" w:rsidR="00D50668" w:rsidRPr="00DE096C" w:rsidRDefault="00D50668" w:rsidP="00D45A46">
            <w:pPr>
              <w:jc w:val="both"/>
              <w:rPr>
                <w:bCs/>
                <w:color w:val="002060"/>
                <w:sz w:val="16"/>
                <w:szCs w:val="16"/>
              </w:rPr>
            </w:pPr>
            <w:r w:rsidRPr="00DE096C">
              <w:rPr>
                <w:bCs/>
                <w:color w:val="002060"/>
                <w:sz w:val="16"/>
                <w:szCs w:val="16"/>
              </w:rPr>
              <w:t>23,1</w:t>
            </w:r>
          </w:p>
        </w:tc>
      </w:tr>
      <w:tr w:rsidR="00D50668" w:rsidRPr="00DE096C" w14:paraId="6CEF8C1A" w14:textId="77777777" w:rsidTr="00D34AC1">
        <w:tc>
          <w:tcPr>
            <w:tcW w:w="2268" w:type="dxa"/>
          </w:tcPr>
          <w:p w14:paraId="14C3C585" w14:textId="77777777" w:rsidR="00D50668" w:rsidRPr="00DE096C" w:rsidRDefault="00D50668" w:rsidP="00D45A46">
            <w:pPr>
              <w:jc w:val="both"/>
              <w:rPr>
                <w:bCs/>
                <w:color w:val="002060"/>
                <w:sz w:val="16"/>
                <w:szCs w:val="16"/>
              </w:rPr>
            </w:pPr>
            <w:r w:rsidRPr="00DE096C">
              <w:rPr>
                <w:bCs/>
                <w:color w:val="002060"/>
                <w:sz w:val="16"/>
                <w:szCs w:val="16"/>
              </w:rPr>
              <w:t>Э. Коппе (Константиновка)</w:t>
            </w:r>
          </w:p>
        </w:tc>
        <w:tc>
          <w:tcPr>
            <w:tcW w:w="792" w:type="dxa"/>
          </w:tcPr>
          <w:p w14:paraId="357D30D8" w14:textId="77777777" w:rsidR="00D50668" w:rsidRPr="00DE096C" w:rsidRDefault="00D50668" w:rsidP="00D45A46">
            <w:pPr>
              <w:jc w:val="both"/>
              <w:rPr>
                <w:bCs/>
                <w:color w:val="002060"/>
                <w:sz w:val="16"/>
                <w:szCs w:val="16"/>
              </w:rPr>
            </w:pPr>
            <w:r w:rsidRPr="00DE096C">
              <w:rPr>
                <w:bCs/>
                <w:color w:val="002060"/>
                <w:sz w:val="16"/>
                <w:szCs w:val="16"/>
              </w:rPr>
              <w:t>—</w:t>
            </w:r>
          </w:p>
        </w:tc>
        <w:tc>
          <w:tcPr>
            <w:tcW w:w="684" w:type="dxa"/>
          </w:tcPr>
          <w:p w14:paraId="1EC7AAC8" w14:textId="77777777" w:rsidR="00D50668" w:rsidRPr="00DE096C" w:rsidRDefault="00D50668" w:rsidP="00D45A46">
            <w:pPr>
              <w:jc w:val="both"/>
              <w:rPr>
                <w:bCs/>
                <w:color w:val="002060"/>
                <w:sz w:val="16"/>
                <w:szCs w:val="16"/>
              </w:rPr>
            </w:pPr>
            <w:r w:rsidRPr="00DE096C">
              <w:rPr>
                <w:bCs/>
                <w:color w:val="002060"/>
                <w:sz w:val="16"/>
                <w:szCs w:val="16"/>
              </w:rPr>
              <w:t>8,2</w:t>
            </w:r>
          </w:p>
        </w:tc>
      </w:tr>
      <w:tr w:rsidR="00D50668" w:rsidRPr="00DE096C" w14:paraId="223A3DD6" w14:textId="77777777" w:rsidTr="00D34AC1">
        <w:tc>
          <w:tcPr>
            <w:tcW w:w="2268" w:type="dxa"/>
          </w:tcPr>
          <w:p w14:paraId="3CDEAC4B" w14:textId="77777777" w:rsidR="00D50668" w:rsidRPr="00DE096C" w:rsidRDefault="00D50668" w:rsidP="00D45A46">
            <w:pPr>
              <w:jc w:val="both"/>
              <w:rPr>
                <w:bCs/>
                <w:color w:val="002060"/>
                <w:sz w:val="16"/>
                <w:szCs w:val="16"/>
              </w:rPr>
            </w:pPr>
            <w:r w:rsidRPr="00DE096C">
              <w:rPr>
                <w:bCs/>
                <w:color w:val="002060"/>
                <w:sz w:val="16"/>
                <w:szCs w:val="16"/>
              </w:rPr>
              <w:t>Всего</w:t>
            </w:r>
          </w:p>
        </w:tc>
        <w:tc>
          <w:tcPr>
            <w:tcW w:w="792" w:type="dxa"/>
          </w:tcPr>
          <w:p w14:paraId="458493FC" w14:textId="77777777" w:rsidR="00D50668" w:rsidRPr="00DE096C" w:rsidRDefault="00D50668" w:rsidP="00D45A46">
            <w:pPr>
              <w:jc w:val="both"/>
              <w:rPr>
                <w:bCs/>
                <w:color w:val="002060"/>
                <w:sz w:val="16"/>
                <w:szCs w:val="16"/>
              </w:rPr>
            </w:pPr>
            <w:r w:rsidRPr="00DE096C">
              <w:rPr>
                <w:bCs/>
                <w:color w:val="002060"/>
                <w:sz w:val="16"/>
                <w:szCs w:val="16"/>
              </w:rPr>
              <w:t>364,3</w:t>
            </w:r>
          </w:p>
        </w:tc>
        <w:tc>
          <w:tcPr>
            <w:tcW w:w="684" w:type="dxa"/>
          </w:tcPr>
          <w:p w14:paraId="0A2E031E" w14:textId="77777777" w:rsidR="00D50668" w:rsidRPr="00DE096C" w:rsidRDefault="00D50668" w:rsidP="00D45A46">
            <w:pPr>
              <w:jc w:val="both"/>
              <w:rPr>
                <w:bCs/>
                <w:color w:val="002060"/>
                <w:sz w:val="16"/>
                <w:szCs w:val="16"/>
              </w:rPr>
            </w:pPr>
            <w:r w:rsidRPr="00DE096C">
              <w:rPr>
                <w:bCs/>
                <w:color w:val="002060"/>
                <w:sz w:val="16"/>
                <w:szCs w:val="16"/>
              </w:rPr>
              <w:t>656,7</w:t>
            </w:r>
          </w:p>
        </w:tc>
      </w:tr>
    </w:tbl>
    <w:p w14:paraId="2F630D77" w14:textId="77777777" w:rsidR="00D50668" w:rsidRPr="00DE096C" w:rsidRDefault="00D50668" w:rsidP="00D45A46">
      <w:pPr>
        <w:jc w:val="both"/>
        <w:rPr>
          <w:bCs/>
          <w:color w:val="002060"/>
          <w:sz w:val="16"/>
          <w:szCs w:val="16"/>
        </w:rPr>
      </w:pPr>
      <w:r w:rsidRPr="00DE096C">
        <w:rPr>
          <w:bCs/>
          <w:color w:val="002060"/>
          <w:sz w:val="16"/>
          <w:szCs w:val="16"/>
        </w:rPr>
        <w:t xml:space="preserve">Надо отметить, что заводы не всегда могли работать на полную свою мощность, так как сплошь и рядом каменный уголь для коксования доставлялся не по адресу, а именно: на печи без улавливания продуктов коксования, а печи с улавливанием месяцами стояли, не имея что коксовать. </w:t>
      </w:r>
    </w:p>
    <w:p w14:paraId="06085617" w14:textId="77777777" w:rsidR="00D50668" w:rsidRPr="00DE096C" w:rsidRDefault="00D50668" w:rsidP="00D45A46">
      <w:pPr>
        <w:jc w:val="both"/>
        <w:rPr>
          <w:bCs/>
          <w:color w:val="002060"/>
          <w:sz w:val="16"/>
          <w:szCs w:val="16"/>
        </w:rPr>
      </w:pPr>
      <w:r w:rsidRPr="00DE096C">
        <w:rPr>
          <w:bCs/>
          <w:color w:val="002060"/>
          <w:sz w:val="16"/>
          <w:szCs w:val="16"/>
        </w:rPr>
        <w:t xml:space="preserve">В итоге мероприятий по развитию коксобензольного дела удалось в 7-8 раз увеличить количество печей, могущих давать полностью все продукты сухой перегонки каменного угля. </w:t>
      </w:r>
    </w:p>
    <w:p w14:paraId="08DB6B41" w14:textId="77777777" w:rsidR="00D50668" w:rsidRPr="00DE096C" w:rsidRDefault="00D50668" w:rsidP="00D45A46">
      <w:pPr>
        <w:jc w:val="both"/>
        <w:rPr>
          <w:bCs/>
          <w:color w:val="002060"/>
          <w:sz w:val="16"/>
          <w:szCs w:val="16"/>
        </w:rPr>
      </w:pPr>
      <w:r w:rsidRPr="00DE096C">
        <w:rPr>
          <w:bCs/>
          <w:color w:val="002060"/>
          <w:sz w:val="16"/>
          <w:szCs w:val="16"/>
        </w:rPr>
        <w:t xml:space="preserve">Затем, Комиссией Ипатьева были произведены крупные работы по организации заводов для ректификации продуктов коксования угля. </w:t>
      </w:r>
    </w:p>
    <w:p w14:paraId="64AE473F" w14:textId="77777777" w:rsidR="00D50668" w:rsidRPr="00DE096C" w:rsidRDefault="00D50668" w:rsidP="00D45A46">
      <w:pPr>
        <w:jc w:val="both"/>
        <w:rPr>
          <w:bCs/>
          <w:color w:val="002060"/>
          <w:sz w:val="16"/>
          <w:szCs w:val="16"/>
        </w:rPr>
      </w:pPr>
      <w:r w:rsidRPr="00DE096C">
        <w:rPr>
          <w:bCs/>
          <w:color w:val="002060"/>
          <w:sz w:val="16"/>
          <w:szCs w:val="16"/>
        </w:rPr>
        <w:t xml:space="preserve">До войны, получаемые на Юге небольшие количества сырого бензола фракционировалось на 90%-ный бензол, 50%-ный бензол и сольвентнафта, без выделения чистых продуктов — бензола, толуола и ксилола. Между тем для фабрикации взрывчатых веществ требовались именно эти продукты. </w:t>
      </w:r>
    </w:p>
    <w:p w14:paraId="0CF0234B" w14:textId="77777777" w:rsidR="00D50668" w:rsidRPr="00DE096C" w:rsidRDefault="00D50668" w:rsidP="00D45A46">
      <w:pPr>
        <w:jc w:val="both"/>
        <w:rPr>
          <w:bCs/>
          <w:color w:val="002060"/>
          <w:sz w:val="16"/>
          <w:szCs w:val="16"/>
        </w:rPr>
      </w:pPr>
      <w:r w:rsidRPr="00DE096C">
        <w:rPr>
          <w:bCs/>
          <w:color w:val="002060"/>
          <w:sz w:val="16"/>
          <w:szCs w:val="16"/>
        </w:rPr>
        <w:t xml:space="preserve">В начале деятельности Химического комитета сырой бензол, получаемый в Донбассе, направлялся в Петроград для фракционировки на Тентелевском химическом заводе, после чего полученный чистый толуол отправлялся для нитрования в Самарский завод взрывчатых веществ, а чистый бензол — обратно на Юг для выработки пикриновой кислоты, на завод Сольвей. </w:t>
      </w:r>
    </w:p>
    <w:p w14:paraId="73869AD5" w14:textId="77777777" w:rsidR="00D50668" w:rsidRPr="00DE096C" w:rsidRDefault="00D50668" w:rsidP="00D45A46">
      <w:pPr>
        <w:jc w:val="both"/>
        <w:rPr>
          <w:bCs/>
          <w:color w:val="002060"/>
          <w:sz w:val="16"/>
          <w:szCs w:val="16"/>
        </w:rPr>
      </w:pPr>
      <w:r w:rsidRPr="00DE096C">
        <w:rPr>
          <w:bCs/>
          <w:color w:val="002060"/>
          <w:sz w:val="16"/>
          <w:szCs w:val="16"/>
        </w:rPr>
        <w:t xml:space="preserve">Так как Тентелевский завод не справлялся с фракционировкой, за малой производительностью аппаратов, то было произведено переоборудование Гутуевского спиртоочистительного завода для фракционировки бензола. </w:t>
      </w:r>
    </w:p>
    <w:p w14:paraId="0DEECC20" w14:textId="77777777" w:rsidR="00D50668" w:rsidRPr="00DE096C" w:rsidRDefault="00D50668" w:rsidP="00D45A46">
      <w:pPr>
        <w:jc w:val="both"/>
        <w:rPr>
          <w:bCs/>
          <w:color w:val="002060"/>
          <w:sz w:val="16"/>
          <w:szCs w:val="16"/>
        </w:rPr>
      </w:pPr>
      <w:r w:rsidRPr="00DE096C">
        <w:rPr>
          <w:bCs/>
          <w:color w:val="002060"/>
          <w:sz w:val="16"/>
          <w:szCs w:val="16"/>
        </w:rPr>
        <w:t xml:space="preserve">Ввиду указанных обстоятельств для фракционирования бензола Комиссией по заготовке взрывчатых веществ была предпринята постройка казенного ректификационного завода в Кадиевке с производительностью 500 000 пудов в год, считая на сырой бензол. </w:t>
      </w:r>
    </w:p>
    <w:p w14:paraId="1D19AD16" w14:textId="77777777" w:rsidR="00D50668" w:rsidRPr="00DE096C" w:rsidRDefault="00D50668" w:rsidP="00D45A46">
      <w:pPr>
        <w:jc w:val="both"/>
        <w:rPr>
          <w:bCs/>
          <w:color w:val="002060"/>
          <w:sz w:val="16"/>
          <w:szCs w:val="16"/>
        </w:rPr>
      </w:pPr>
      <w:r w:rsidRPr="00DE096C">
        <w:rPr>
          <w:bCs/>
          <w:color w:val="002060"/>
          <w:sz w:val="16"/>
          <w:szCs w:val="16"/>
        </w:rPr>
        <w:t xml:space="preserve">Независимо от этого, по поручению Комиссии профессора Ипатьева были поставлены ректификационные оборудования частными фирмами — Оливье Пьетт в Макеевке, Эванс Коппе при Новосмоляниновском руднике в Юзовке, Брянским обществом в Орловской губернии и Обществом Коксобензол при ст. Рубежной (начато постройкой). </w:t>
      </w:r>
    </w:p>
    <w:p w14:paraId="7D11E713" w14:textId="77777777" w:rsidR="00D50668" w:rsidRPr="00DE096C" w:rsidRDefault="00D50668" w:rsidP="00D45A46">
      <w:pPr>
        <w:jc w:val="both"/>
        <w:rPr>
          <w:bCs/>
          <w:color w:val="002060"/>
          <w:sz w:val="16"/>
          <w:szCs w:val="16"/>
        </w:rPr>
      </w:pPr>
      <w:r w:rsidRPr="00DE096C">
        <w:rPr>
          <w:bCs/>
          <w:color w:val="002060"/>
          <w:sz w:val="16"/>
          <w:szCs w:val="16"/>
        </w:rPr>
        <w:t xml:space="preserve">Ввиду того, что производство каменноугольного толуола в Донецком бассейне не могло быстро развернуться в таком масштабе, чтобы покрывать всю потребность войны, Комиссия Ипатьева озаботилась изысканием других источников получения толуола. Было обращено внимание на бензины, содержащие большой процент толуола. </w:t>
      </w:r>
    </w:p>
    <w:p w14:paraId="32DACC0C" w14:textId="77777777" w:rsidR="00D50668" w:rsidRPr="00DE096C" w:rsidRDefault="00D50668" w:rsidP="00D45A46">
      <w:pPr>
        <w:jc w:val="both"/>
        <w:rPr>
          <w:bCs/>
          <w:color w:val="002060"/>
          <w:sz w:val="16"/>
          <w:szCs w:val="16"/>
        </w:rPr>
      </w:pPr>
      <w:r w:rsidRPr="00DE096C">
        <w:rPr>
          <w:bCs/>
          <w:color w:val="002060"/>
          <w:sz w:val="16"/>
          <w:szCs w:val="16"/>
        </w:rPr>
        <w:t xml:space="preserve">Большие и ценные в научном отношении работы по этому вопросу сделаны были химиком Центральной научно-технической лаборатории военного ведомства Н.П. Андреевым. Предположено было первоначально добывать толуол из галицийской нефти, где процент его очень высок. Отступление русских войск из Галиции в 1915 г. не позволило сделать этого. Тогда были произведены исследования бензинов Майкопских и Грозненских месторождений, давшие вполне благоприятные результаты. После этого было решено строить заводы для извлечения толуола из бензинов. Дело было поручено строительной Комиссии под председательством В.Н. Ипатьева. </w:t>
      </w:r>
    </w:p>
    <w:p w14:paraId="0ED2C3DA" w14:textId="77777777" w:rsidR="00D50668" w:rsidRPr="00DE096C" w:rsidRDefault="00D50668" w:rsidP="00D45A46">
      <w:pPr>
        <w:jc w:val="both"/>
        <w:rPr>
          <w:bCs/>
          <w:color w:val="002060"/>
          <w:sz w:val="16"/>
          <w:szCs w:val="16"/>
        </w:rPr>
      </w:pPr>
      <w:r w:rsidRPr="00DE096C">
        <w:rPr>
          <w:bCs/>
          <w:color w:val="002060"/>
          <w:sz w:val="16"/>
          <w:szCs w:val="16"/>
        </w:rPr>
        <w:t xml:space="preserve">Первый такой завод построен был в Екатеринодаре, около Майкопских нефтеперегонных заводов. В 1916 г. он давал уже до 2000 пудов в месяц монотринитротолуола, получаемого обработкой нитрующей смесью фракции бензина, содержащей 15-20% толуола. Монопродукт отправлялся для донитрования в Самарский завод взрывчатых веществ. </w:t>
      </w:r>
    </w:p>
    <w:p w14:paraId="46B02D5B" w14:textId="77777777" w:rsidR="00D50668" w:rsidRPr="00DE096C" w:rsidRDefault="00D50668" w:rsidP="00D45A46">
      <w:pPr>
        <w:jc w:val="both"/>
        <w:rPr>
          <w:bCs/>
          <w:color w:val="002060"/>
          <w:sz w:val="16"/>
          <w:szCs w:val="16"/>
        </w:rPr>
      </w:pPr>
      <w:r w:rsidRPr="00DE096C">
        <w:rPr>
          <w:bCs/>
          <w:color w:val="002060"/>
          <w:sz w:val="16"/>
          <w:szCs w:val="16"/>
        </w:rPr>
        <w:t xml:space="preserve">В Грозном на заводах "Русский Стандарт" и Ахвердова были сделаны крупные ректификационные установки для получения толуола из лигроина, с производительностью до 4000 пудов в месяц. Производство было начато в начале 1917 года. </w:t>
      </w:r>
    </w:p>
    <w:p w14:paraId="6FC8C782" w14:textId="77777777" w:rsidR="00D50668" w:rsidRPr="00DE096C" w:rsidRDefault="00D50668" w:rsidP="00D45A46">
      <w:pPr>
        <w:jc w:val="both"/>
        <w:rPr>
          <w:bCs/>
          <w:color w:val="002060"/>
          <w:sz w:val="16"/>
          <w:szCs w:val="16"/>
        </w:rPr>
      </w:pPr>
      <w:r w:rsidRPr="00DE096C">
        <w:rPr>
          <w:bCs/>
          <w:color w:val="002060"/>
          <w:sz w:val="16"/>
          <w:szCs w:val="16"/>
        </w:rPr>
        <w:t xml:space="preserve">Независимо от получения толуола указанным путем, с начала 1915 г. велись деятельные опыты над разложением нефти при высоких температурах по методам, предложенным химиком Никифоровым. Опыты велись проф. Тихвинским, Зелинским и Лебедевым, а также в Научно-технической лаборатории военного ведомства. К концу 1915 г. имелось уже достаточно материалов, чтобы ставить заводское производство. Первые заводские опыты были поставлены Комиссией Ипатьева на газовом заводе казанской городской управы и там же было поставлено первое валовое производство ароматических углеводородов на небольшую производительность — около 1000 пудов в месяц. </w:t>
      </w:r>
    </w:p>
    <w:p w14:paraId="049AC310" w14:textId="77777777" w:rsidR="00D50668" w:rsidRPr="00DE096C" w:rsidRDefault="00D50668" w:rsidP="00D45A46">
      <w:pPr>
        <w:jc w:val="both"/>
        <w:rPr>
          <w:bCs/>
          <w:color w:val="002060"/>
          <w:sz w:val="16"/>
          <w:szCs w:val="16"/>
        </w:rPr>
      </w:pPr>
      <w:r w:rsidRPr="00DE096C">
        <w:rPr>
          <w:bCs/>
          <w:color w:val="002060"/>
          <w:sz w:val="16"/>
          <w:szCs w:val="16"/>
        </w:rPr>
        <w:t xml:space="preserve">Вопросом получения толуола из нефти пирогенетическим путем занимался деятельно и Военно-промышленный комитет. Бакинский ВПК взял на себя постройку для этой цели завода в Баку. Предварительный проект был составлен проф. П. Кошицем, Смоленским и Громаном. Завод был рассчитан на производство 4000 пудов и к осени 1916 г. был пущен уже в ход. </w:t>
      </w:r>
    </w:p>
    <w:p w14:paraId="4039E19A" w14:textId="77777777" w:rsidR="00D50668" w:rsidRPr="00DE096C" w:rsidRDefault="00D50668" w:rsidP="00D45A46">
      <w:pPr>
        <w:jc w:val="both"/>
        <w:rPr>
          <w:bCs/>
          <w:color w:val="002060"/>
          <w:sz w:val="16"/>
          <w:szCs w:val="16"/>
        </w:rPr>
      </w:pPr>
      <w:r w:rsidRPr="00DE096C">
        <w:rPr>
          <w:bCs/>
          <w:color w:val="002060"/>
          <w:sz w:val="16"/>
          <w:szCs w:val="16"/>
        </w:rPr>
        <w:t xml:space="preserve">Одновременно с бакинским ВПК была начата постройка трех заводов для получения ароматических углеводородов из нефти фирмами: Бр. Нобель, Бенкендорф и Нефтегаз. Из них только первая выполнила задачу вовремя. Другие две закончили постройку к самому концу войны. </w:t>
      </w:r>
    </w:p>
    <w:p w14:paraId="0790B1E8" w14:textId="77777777" w:rsidR="00D50668" w:rsidRPr="00DE096C" w:rsidRDefault="00D50668" w:rsidP="00D45A46">
      <w:pPr>
        <w:jc w:val="both"/>
        <w:rPr>
          <w:bCs/>
          <w:color w:val="002060"/>
          <w:sz w:val="16"/>
          <w:szCs w:val="16"/>
        </w:rPr>
      </w:pPr>
      <w:r w:rsidRPr="00DE096C">
        <w:rPr>
          <w:bCs/>
          <w:color w:val="002060"/>
          <w:sz w:val="16"/>
          <w:szCs w:val="16"/>
        </w:rPr>
        <w:t xml:space="preserve">В итоге за время войны было изготовлено пирогенетического толуола до 150 000 пудов и была создана таким образом новая отрасль химической промышленности. </w:t>
      </w:r>
    </w:p>
    <w:p w14:paraId="5505C668" w14:textId="77777777" w:rsidR="00D50668" w:rsidRPr="00DE096C" w:rsidRDefault="00D50668" w:rsidP="00D45A46">
      <w:pPr>
        <w:jc w:val="both"/>
        <w:rPr>
          <w:bCs/>
          <w:color w:val="002060"/>
          <w:sz w:val="16"/>
          <w:szCs w:val="16"/>
        </w:rPr>
      </w:pPr>
      <w:r w:rsidRPr="00DE096C">
        <w:rPr>
          <w:bCs/>
          <w:color w:val="002060"/>
          <w:sz w:val="16"/>
          <w:szCs w:val="16"/>
        </w:rPr>
        <w:lastRenderedPageBreak/>
        <w:t xml:space="preserve">Суммарное получение чистого бензола и [чистого] толуола всеми перечисленными методами (каменноугольного и нефтяного) выражается в следующих цифрах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837"/>
        <w:gridCol w:w="636"/>
        <w:gridCol w:w="641"/>
        <w:gridCol w:w="636"/>
        <w:gridCol w:w="641"/>
      </w:tblGrid>
      <w:tr w:rsidR="00D50668" w:rsidRPr="00DE096C" w14:paraId="17468134" w14:textId="77777777" w:rsidTr="00D34AC1">
        <w:tc>
          <w:tcPr>
            <w:tcW w:w="837" w:type="dxa"/>
          </w:tcPr>
          <w:p w14:paraId="5999554D" w14:textId="77777777" w:rsidR="00D50668" w:rsidRPr="00DE096C" w:rsidRDefault="00D50668" w:rsidP="00D45A46">
            <w:pPr>
              <w:jc w:val="both"/>
              <w:rPr>
                <w:bCs/>
                <w:color w:val="002060"/>
                <w:sz w:val="16"/>
                <w:szCs w:val="16"/>
              </w:rPr>
            </w:pPr>
            <w:r w:rsidRPr="00DE096C">
              <w:rPr>
                <w:bCs/>
                <w:color w:val="002060"/>
                <w:sz w:val="16"/>
                <w:szCs w:val="16"/>
              </w:rPr>
              <w:t> </w:t>
            </w:r>
          </w:p>
        </w:tc>
        <w:tc>
          <w:tcPr>
            <w:tcW w:w="1277" w:type="dxa"/>
            <w:gridSpan w:val="2"/>
          </w:tcPr>
          <w:p w14:paraId="6A6A5CC9" w14:textId="77777777" w:rsidR="00D50668" w:rsidRPr="00DE096C" w:rsidRDefault="00D50668" w:rsidP="00D45A46">
            <w:pPr>
              <w:jc w:val="both"/>
              <w:rPr>
                <w:bCs/>
                <w:color w:val="002060"/>
                <w:sz w:val="16"/>
                <w:szCs w:val="16"/>
              </w:rPr>
            </w:pPr>
            <w:r w:rsidRPr="00DE096C">
              <w:rPr>
                <w:bCs/>
                <w:color w:val="002060"/>
                <w:sz w:val="16"/>
                <w:szCs w:val="16"/>
              </w:rPr>
              <w:t>1916 год</w:t>
            </w:r>
          </w:p>
        </w:tc>
        <w:tc>
          <w:tcPr>
            <w:tcW w:w="1277" w:type="dxa"/>
            <w:gridSpan w:val="2"/>
          </w:tcPr>
          <w:p w14:paraId="0D7687DA" w14:textId="77777777" w:rsidR="00D50668" w:rsidRPr="00DE096C" w:rsidRDefault="00D50668" w:rsidP="00D45A46">
            <w:pPr>
              <w:jc w:val="both"/>
              <w:rPr>
                <w:bCs/>
                <w:color w:val="002060"/>
                <w:sz w:val="16"/>
                <w:szCs w:val="16"/>
              </w:rPr>
            </w:pPr>
            <w:r w:rsidRPr="00DE096C">
              <w:rPr>
                <w:bCs/>
                <w:color w:val="002060"/>
                <w:sz w:val="16"/>
                <w:szCs w:val="16"/>
              </w:rPr>
              <w:t>1917 год</w:t>
            </w:r>
          </w:p>
        </w:tc>
      </w:tr>
      <w:tr w:rsidR="00D50668" w:rsidRPr="00DE096C" w14:paraId="155ED602" w14:textId="77777777" w:rsidTr="00D34AC1">
        <w:tc>
          <w:tcPr>
            <w:tcW w:w="837" w:type="dxa"/>
          </w:tcPr>
          <w:p w14:paraId="06D7548D" w14:textId="77777777" w:rsidR="00D50668" w:rsidRPr="00DE096C" w:rsidRDefault="00D50668" w:rsidP="00D45A46">
            <w:pPr>
              <w:jc w:val="both"/>
              <w:rPr>
                <w:bCs/>
                <w:color w:val="002060"/>
                <w:sz w:val="16"/>
                <w:szCs w:val="16"/>
              </w:rPr>
            </w:pPr>
            <w:r w:rsidRPr="00DE096C">
              <w:rPr>
                <w:bCs/>
                <w:color w:val="002060"/>
                <w:sz w:val="16"/>
                <w:szCs w:val="16"/>
              </w:rPr>
              <w:t>Месяцы</w:t>
            </w:r>
          </w:p>
        </w:tc>
        <w:tc>
          <w:tcPr>
            <w:tcW w:w="636" w:type="dxa"/>
          </w:tcPr>
          <w:p w14:paraId="0DD36298" w14:textId="77777777" w:rsidR="00D50668" w:rsidRPr="00DE096C" w:rsidRDefault="00D50668" w:rsidP="00D45A46">
            <w:pPr>
              <w:jc w:val="both"/>
              <w:rPr>
                <w:bCs/>
                <w:color w:val="002060"/>
                <w:sz w:val="16"/>
                <w:szCs w:val="16"/>
              </w:rPr>
            </w:pPr>
            <w:r w:rsidRPr="00DE096C">
              <w:rPr>
                <w:bCs/>
                <w:color w:val="002060"/>
                <w:sz w:val="16"/>
                <w:szCs w:val="16"/>
              </w:rPr>
              <w:t>Бензол</w:t>
            </w:r>
          </w:p>
        </w:tc>
        <w:tc>
          <w:tcPr>
            <w:tcW w:w="641" w:type="dxa"/>
          </w:tcPr>
          <w:p w14:paraId="017A0BA2" w14:textId="77777777" w:rsidR="00D50668" w:rsidRPr="00DE096C" w:rsidRDefault="00D50668" w:rsidP="00D45A46">
            <w:pPr>
              <w:jc w:val="both"/>
              <w:rPr>
                <w:bCs/>
                <w:color w:val="002060"/>
                <w:sz w:val="16"/>
                <w:szCs w:val="16"/>
              </w:rPr>
            </w:pPr>
            <w:r w:rsidRPr="00DE096C">
              <w:rPr>
                <w:bCs/>
                <w:color w:val="002060"/>
                <w:sz w:val="16"/>
                <w:szCs w:val="16"/>
              </w:rPr>
              <w:t>Толуол</w:t>
            </w:r>
          </w:p>
        </w:tc>
        <w:tc>
          <w:tcPr>
            <w:tcW w:w="636" w:type="dxa"/>
          </w:tcPr>
          <w:p w14:paraId="421CF1FC" w14:textId="77777777" w:rsidR="00D50668" w:rsidRPr="00DE096C" w:rsidRDefault="00D50668" w:rsidP="00D45A46">
            <w:pPr>
              <w:jc w:val="both"/>
              <w:rPr>
                <w:bCs/>
                <w:color w:val="002060"/>
                <w:sz w:val="16"/>
                <w:szCs w:val="16"/>
              </w:rPr>
            </w:pPr>
            <w:r w:rsidRPr="00DE096C">
              <w:rPr>
                <w:bCs/>
                <w:color w:val="002060"/>
                <w:sz w:val="16"/>
                <w:szCs w:val="16"/>
              </w:rPr>
              <w:t xml:space="preserve">Бензол </w:t>
            </w:r>
          </w:p>
        </w:tc>
        <w:tc>
          <w:tcPr>
            <w:tcW w:w="641" w:type="dxa"/>
          </w:tcPr>
          <w:p w14:paraId="6B7C29DC" w14:textId="77777777" w:rsidR="00D50668" w:rsidRPr="00DE096C" w:rsidRDefault="00D50668" w:rsidP="00D45A46">
            <w:pPr>
              <w:jc w:val="both"/>
              <w:rPr>
                <w:bCs/>
                <w:color w:val="002060"/>
                <w:sz w:val="16"/>
                <w:szCs w:val="16"/>
              </w:rPr>
            </w:pPr>
            <w:r w:rsidRPr="00DE096C">
              <w:rPr>
                <w:bCs/>
                <w:color w:val="002060"/>
                <w:sz w:val="16"/>
                <w:szCs w:val="16"/>
              </w:rPr>
              <w:t>Толуол</w:t>
            </w:r>
          </w:p>
        </w:tc>
      </w:tr>
      <w:tr w:rsidR="00D50668" w:rsidRPr="00DE096C" w14:paraId="1145F22E" w14:textId="77777777" w:rsidTr="00D34AC1">
        <w:tc>
          <w:tcPr>
            <w:tcW w:w="837" w:type="dxa"/>
          </w:tcPr>
          <w:p w14:paraId="7244D294" w14:textId="77777777" w:rsidR="00D50668" w:rsidRPr="00DE096C" w:rsidRDefault="00D50668" w:rsidP="00D45A46">
            <w:pPr>
              <w:jc w:val="both"/>
              <w:rPr>
                <w:bCs/>
                <w:color w:val="002060"/>
                <w:sz w:val="16"/>
                <w:szCs w:val="16"/>
              </w:rPr>
            </w:pPr>
            <w:r w:rsidRPr="00DE096C">
              <w:rPr>
                <w:bCs/>
                <w:color w:val="002060"/>
                <w:sz w:val="16"/>
                <w:szCs w:val="16"/>
              </w:rPr>
              <w:t>Январь</w:t>
            </w:r>
          </w:p>
        </w:tc>
        <w:tc>
          <w:tcPr>
            <w:tcW w:w="636" w:type="dxa"/>
          </w:tcPr>
          <w:p w14:paraId="554F7F63" w14:textId="77777777" w:rsidR="00D50668" w:rsidRPr="00DE096C" w:rsidRDefault="00D50668" w:rsidP="00D45A46">
            <w:pPr>
              <w:jc w:val="both"/>
              <w:rPr>
                <w:bCs/>
                <w:color w:val="002060"/>
                <w:sz w:val="16"/>
                <w:szCs w:val="16"/>
              </w:rPr>
            </w:pPr>
            <w:r w:rsidRPr="00DE096C">
              <w:rPr>
                <w:bCs/>
                <w:color w:val="002060"/>
                <w:sz w:val="16"/>
                <w:szCs w:val="16"/>
              </w:rPr>
              <w:t>13,6</w:t>
            </w:r>
          </w:p>
        </w:tc>
        <w:tc>
          <w:tcPr>
            <w:tcW w:w="641" w:type="dxa"/>
          </w:tcPr>
          <w:p w14:paraId="65D6CA1C" w14:textId="77777777" w:rsidR="00D50668" w:rsidRPr="00DE096C" w:rsidRDefault="00D50668" w:rsidP="00D45A46">
            <w:pPr>
              <w:jc w:val="both"/>
              <w:rPr>
                <w:bCs/>
                <w:color w:val="002060"/>
                <w:sz w:val="16"/>
                <w:szCs w:val="16"/>
              </w:rPr>
            </w:pPr>
            <w:r w:rsidRPr="00DE096C">
              <w:rPr>
                <w:bCs/>
                <w:color w:val="002060"/>
                <w:sz w:val="16"/>
                <w:szCs w:val="16"/>
              </w:rPr>
              <w:t>10,9</w:t>
            </w:r>
          </w:p>
        </w:tc>
        <w:tc>
          <w:tcPr>
            <w:tcW w:w="636" w:type="dxa"/>
          </w:tcPr>
          <w:p w14:paraId="7C148982" w14:textId="77777777" w:rsidR="00D50668" w:rsidRPr="00DE096C" w:rsidRDefault="00D50668" w:rsidP="00D45A46">
            <w:pPr>
              <w:jc w:val="both"/>
              <w:rPr>
                <w:bCs/>
                <w:color w:val="002060"/>
                <w:sz w:val="16"/>
                <w:szCs w:val="16"/>
              </w:rPr>
            </w:pPr>
            <w:r w:rsidRPr="00DE096C">
              <w:rPr>
                <w:bCs/>
                <w:color w:val="002060"/>
                <w:sz w:val="16"/>
                <w:szCs w:val="16"/>
              </w:rPr>
              <w:t xml:space="preserve">20,0 </w:t>
            </w:r>
          </w:p>
        </w:tc>
        <w:tc>
          <w:tcPr>
            <w:tcW w:w="641" w:type="dxa"/>
          </w:tcPr>
          <w:p w14:paraId="3AEC2B4D" w14:textId="77777777" w:rsidR="00D50668" w:rsidRPr="00DE096C" w:rsidRDefault="00D50668" w:rsidP="00D45A46">
            <w:pPr>
              <w:jc w:val="both"/>
              <w:rPr>
                <w:bCs/>
                <w:color w:val="002060"/>
                <w:sz w:val="16"/>
                <w:szCs w:val="16"/>
              </w:rPr>
            </w:pPr>
            <w:r w:rsidRPr="00DE096C">
              <w:rPr>
                <w:bCs/>
                <w:color w:val="002060"/>
                <w:sz w:val="16"/>
                <w:szCs w:val="16"/>
              </w:rPr>
              <w:t>16,8</w:t>
            </w:r>
          </w:p>
        </w:tc>
      </w:tr>
      <w:tr w:rsidR="00D50668" w:rsidRPr="00DE096C" w14:paraId="3803AC45" w14:textId="77777777" w:rsidTr="00D34AC1">
        <w:tc>
          <w:tcPr>
            <w:tcW w:w="837" w:type="dxa"/>
          </w:tcPr>
          <w:p w14:paraId="436893F2" w14:textId="77777777" w:rsidR="00D50668" w:rsidRPr="00DE096C" w:rsidRDefault="00D50668" w:rsidP="00D45A46">
            <w:pPr>
              <w:jc w:val="both"/>
              <w:rPr>
                <w:bCs/>
                <w:color w:val="002060"/>
                <w:sz w:val="16"/>
                <w:szCs w:val="16"/>
              </w:rPr>
            </w:pPr>
            <w:r w:rsidRPr="00DE096C">
              <w:rPr>
                <w:bCs/>
                <w:color w:val="002060"/>
                <w:sz w:val="16"/>
                <w:szCs w:val="16"/>
              </w:rPr>
              <w:t>Февраль</w:t>
            </w:r>
          </w:p>
        </w:tc>
        <w:tc>
          <w:tcPr>
            <w:tcW w:w="636" w:type="dxa"/>
          </w:tcPr>
          <w:p w14:paraId="1E007E76" w14:textId="77777777" w:rsidR="00D50668" w:rsidRPr="00DE096C" w:rsidRDefault="00D50668" w:rsidP="00D45A46">
            <w:pPr>
              <w:jc w:val="both"/>
              <w:rPr>
                <w:bCs/>
                <w:color w:val="002060"/>
                <w:sz w:val="16"/>
                <w:szCs w:val="16"/>
              </w:rPr>
            </w:pPr>
            <w:r w:rsidRPr="00DE096C">
              <w:rPr>
                <w:bCs/>
                <w:color w:val="002060"/>
                <w:sz w:val="16"/>
                <w:szCs w:val="16"/>
              </w:rPr>
              <w:t>13,3</w:t>
            </w:r>
          </w:p>
        </w:tc>
        <w:tc>
          <w:tcPr>
            <w:tcW w:w="641" w:type="dxa"/>
          </w:tcPr>
          <w:p w14:paraId="14003CA7" w14:textId="77777777" w:rsidR="00D50668" w:rsidRPr="00DE096C" w:rsidRDefault="00D50668" w:rsidP="00D45A46">
            <w:pPr>
              <w:jc w:val="both"/>
              <w:rPr>
                <w:bCs/>
                <w:color w:val="002060"/>
                <w:sz w:val="16"/>
                <w:szCs w:val="16"/>
              </w:rPr>
            </w:pPr>
            <w:r w:rsidRPr="00DE096C">
              <w:rPr>
                <w:bCs/>
                <w:color w:val="002060"/>
                <w:sz w:val="16"/>
                <w:szCs w:val="16"/>
              </w:rPr>
              <w:t>10,5</w:t>
            </w:r>
          </w:p>
        </w:tc>
        <w:tc>
          <w:tcPr>
            <w:tcW w:w="636" w:type="dxa"/>
          </w:tcPr>
          <w:p w14:paraId="68238697" w14:textId="77777777" w:rsidR="00D50668" w:rsidRPr="00DE096C" w:rsidRDefault="00D50668" w:rsidP="00D45A46">
            <w:pPr>
              <w:jc w:val="both"/>
              <w:rPr>
                <w:bCs/>
                <w:color w:val="002060"/>
                <w:sz w:val="16"/>
                <w:szCs w:val="16"/>
              </w:rPr>
            </w:pPr>
            <w:r w:rsidRPr="00DE096C">
              <w:rPr>
                <w:bCs/>
                <w:color w:val="002060"/>
                <w:sz w:val="16"/>
                <w:szCs w:val="16"/>
              </w:rPr>
              <w:t xml:space="preserve">23,5 </w:t>
            </w:r>
          </w:p>
        </w:tc>
        <w:tc>
          <w:tcPr>
            <w:tcW w:w="641" w:type="dxa"/>
          </w:tcPr>
          <w:p w14:paraId="35EF4A57" w14:textId="77777777" w:rsidR="00D50668" w:rsidRPr="00DE096C" w:rsidRDefault="00D50668" w:rsidP="00D45A46">
            <w:pPr>
              <w:jc w:val="both"/>
              <w:rPr>
                <w:bCs/>
                <w:color w:val="002060"/>
                <w:sz w:val="16"/>
                <w:szCs w:val="16"/>
              </w:rPr>
            </w:pPr>
            <w:r w:rsidRPr="00DE096C">
              <w:rPr>
                <w:bCs/>
                <w:color w:val="002060"/>
                <w:sz w:val="16"/>
                <w:szCs w:val="16"/>
              </w:rPr>
              <w:t>19,1</w:t>
            </w:r>
          </w:p>
        </w:tc>
      </w:tr>
      <w:tr w:rsidR="00D50668" w:rsidRPr="00DE096C" w14:paraId="18E80CB0" w14:textId="77777777" w:rsidTr="00D34AC1">
        <w:tc>
          <w:tcPr>
            <w:tcW w:w="837" w:type="dxa"/>
          </w:tcPr>
          <w:p w14:paraId="7FF4A389" w14:textId="77777777" w:rsidR="00D50668" w:rsidRPr="00DE096C" w:rsidRDefault="00D50668" w:rsidP="00D45A46">
            <w:pPr>
              <w:jc w:val="both"/>
              <w:rPr>
                <w:bCs/>
                <w:color w:val="002060"/>
                <w:sz w:val="16"/>
                <w:szCs w:val="16"/>
              </w:rPr>
            </w:pPr>
            <w:r w:rsidRPr="00DE096C">
              <w:rPr>
                <w:bCs/>
                <w:color w:val="002060"/>
                <w:sz w:val="16"/>
                <w:szCs w:val="16"/>
              </w:rPr>
              <w:t>Март</w:t>
            </w:r>
          </w:p>
        </w:tc>
        <w:tc>
          <w:tcPr>
            <w:tcW w:w="636" w:type="dxa"/>
          </w:tcPr>
          <w:p w14:paraId="6732C21E" w14:textId="77777777" w:rsidR="00D50668" w:rsidRPr="00DE096C" w:rsidRDefault="00D50668" w:rsidP="00D45A46">
            <w:pPr>
              <w:jc w:val="both"/>
              <w:rPr>
                <w:bCs/>
                <w:color w:val="002060"/>
                <w:sz w:val="16"/>
                <w:szCs w:val="16"/>
              </w:rPr>
            </w:pPr>
            <w:r w:rsidRPr="00DE096C">
              <w:rPr>
                <w:bCs/>
                <w:color w:val="002060"/>
                <w:sz w:val="16"/>
                <w:szCs w:val="16"/>
              </w:rPr>
              <w:t>14,2</w:t>
            </w:r>
          </w:p>
        </w:tc>
        <w:tc>
          <w:tcPr>
            <w:tcW w:w="641" w:type="dxa"/>
          </w:tcPr>
          <w:p w14:paraId="214DE2C6" w14:textId="77777777" w:rsidR="00D50668" w:rsidRPr="00DE096C" w:rsidRDefault="00D50668" w:rsidP="00D45A46">
            <w:pPr>
              <w:jc w:val="both"/>
              <w:rPr>
                <w:bCs/>
                <w:color w:val="002060"/>
                <w:sz w:val="16"/>
                <w:szCs w:val="16"/>
              </w:rPr>
            </w:pPr>
            <w:r w:rsidRPr="00DE096C">
              <w:rPr>
                <w:bCs/>
                <w:color w:val="002060"/>
                <w:sz w:val="16"/>
                <w:szCs w:val="16"/>
              </w:rPr>
              <w:t>11,4</w:t>
            </w:r>
          </w:p>
        </w:tc>
        <w:tc>
          <w:tcPr>
            <w:tcW w:w="636" w:type="dxa"/>
          </w:tcPr>
          <w:p w14:paraId="440192A8" w14:textId="77777777" w:rsidR="00D50668" w:rsidRPr="00DE096C" w:rsidRDefault="00D50668" w:rsidP="00D45A46">
            <w:pPr>
              <w:jc w:val="both"/>
              <w:rPr>
                <w:bCs/>
                <w:color w:val="002060"/>
                <w:sz w:val="16"/>
                <w:szCs w:val="16"/>
              </w:rPr>
            </w:pPr>
            <w:r w:rsidRPr="00DE096C">
              <w:rPr>
                <w:bCs/>
                <w:color w:val="002060"/>
                <w:sz w:val="16"/>
                <w:szCs w:val="16"/>
              </w:rPr>
              <w:t xml:space="preserve">26,3 </w:t>
            </w:r>
          </w:p>
        </w:tc>
        <w:tc>
          <w:tcPr>
            <w:tcW w:w="641" w:type="dxa"/>
          </w:tcPr>
          <w:p w14:paraId="0B6410E0" w14:textId="77777777" w:rsidR="00D50668" w:rsidRPr="00DE096C" w:rsidRDefault="00D50668" w:rsidP="00D45A46">
            <w:pPr>
              <w:jc w:val="both"/>
              <w:rPr>
                <w:bCs/>
                <w:color w:val="002060"/>
                <w:sz w:val="16"/>
                <w:szCs w:val="16"/>
              </w:rPr>
            </w:pPr>
            <w:r w:rsidRPr="00DE096C">
              <w:rPr>
                <w:bCs/>
                <w:color w:val="002060"/>
                <w:sz w:val="16"/>
                <w:szCs w:val="16"/>
              </w:rPr>
              <w:t>21,6</w:t>
            </w:r>
          </w:p>
        </w:tc>
      </w:tr>
      <w:tr w:rsidR="00D50668" w:rsidRPr="00DE096C" w14:paraId="50DA60C6" w14:textId="77777777" w:rsidTr="00D34AC1">
        <w:tc>
          <w:tcPr>
            <w:tcW w:w="837" w:type="dxa"/>
          </w:tcPr>
          <w:p w14:paraId="193B6EF7" w14:textId="77777777" w:rsidR="00D50668" w:rsidRPr="00DE096C" w:rsidRDefault="00D50668" w:rsidP="00D45A46">
            <w:pPr>
              <w:jc w:val="both"/>
              <w:rPr>
                <w:bCs/>
                <w:color w:val="002060"/>
                <w:sz w:val="16"/>
                <w:szCs w:val="16"/>
              </w:rPr>
            </w:pPr>
            <w:r w:rsidRPr="00DE096C">
              <w:rPr>
                <w:bCs/>
                <w:color w:val="002060"/>
                <w:sz w:val="16"/>
                <w:szCs w:val="16"/>
              </w:rPr>
              <w:t>Апрель</w:t>
            </w:r>
          </w:p>
        </w:tc>
        <w:tc>
          <w:tcPr>
            <w:tcW w:w="636" w:type="dxa"/>
          </w:tcPr>
          <w:p w14:paraId="181CC7F5" w14:textId="77777777" w:rsidR="00D50668" w:rsidRPr="00DE096C" w:rsidRDefault="00D50668" w:rsidP="00D45A46">
            <w:pPr>
              <w:jc w:val="both"/>
              <w:rPr>
                <w:bCs/>
                <w:color w:val="002060"/>
                <w:sz w:val="16"/>
                <w:szCs w:val="16"/>
              </w:rPr>
            </w:pPr>
            <w:r w:rsidRPr="00DE096C">
              <w:rPr>
                <w:bCs/>
                <w:color w:val="002060"/>
                <w:sz w:val="16"/>
                <w:szCs w:val="16"/>
              </w:rPr>
              <w:t>13.5</w:t>
            </w:r>
          </w:p>
        </w:tc>
        <w:tc>
          <w:tcPr>
            <w:tcW w:w="641" w:type="dxa"/>
          </w:tcPr>
          <w:p w14:paraId="232FCDC2" w14:textId="77777777" w:rsidR="00D50668" w:rsidRPr="00DE096C" w:rsidRDefault="00D50668" w:rsidP="00D45A46">
            <w:pPr>
              <w:jc w:val="both"/>
              <w:rPr>
                <w:bCs/>
                <w:color w:val="002060"/>
                <w:sz w:val="16"/>
                <w:szCs w:val="16"/>
              </w:rPr>
            </w:pPr>
            <w:r w:rsidRPr="00DE096C">
              <w:rPr>
                <w:bCs/>
                <w:color w:val="002060"/>
                <w:sz w:val="16"/>
                <w:szCs w:val="16"/>
              </w:rPr>
              <w:t>9,5</w:t>
            </w:r>
          </w:p>
        </w:tc>
        <w:tc>
          <w:tcPr>
            <w:tcW w:w="636" w:type="dxa"/>
          </w:tcPr>
          <w:p w14:paraId="7BF55773" w14:textId="77777777" w:rsidR="00D50668" w:rsidRPr="00DE096C" w:rsidRDefault="00D50668" w:rsidP="00D45A46">
            <w:pPr>
              <w:jc w:val="both"/>
              <w:rPr>
                <w:bCs/>
                <w:color w:val="002060"/>
                <w:sz w:val="16"/>
                <w:szCs w:val="16"/>
              </w:rPr>
            </w:pPr>
            <w:r w:rsidRPr="00DE096C">
              <w:rPr>
                <w:bCs/>
                <w:color w:val="002060"/>
                <w:sz w:val="16"/>
                <w:szCs w:val="16"/>
              </w:rPr>
              <w:t>31,5</w:t>
            </w:r>
          </w:p>
        </w:tc>
        <w:tc>
          <w:tcPr>
            <w:tcW w:w="641" w:type="dxa"/>
          </w:tcPr>
          <w:p w14:paraId="0E28DE07" w14:textId="77777777" w:rsidR="00D50668" w:rsidRPr="00DE096C" w:rsidRDefault="00D50668" w:rsidP="00D45A46">
            <w:pPr>
              <w:jc w:val="both"/>
              <w:rPr>
                <w:bCs/>
                <w:color w:val="002060"/>
                <w:sz w:val="16"/>
                <w:szCs w:val="16"/>
              </w:rPr>
            </w:pPr>
            <w:r w:rsidRPr="00DE096C">
              <w:rPr>
                <w:bCs/>
                <w:color w:val="002060"/>
                <w:sz w:val="16"/>
                <w:szCs w:val="16"/>
              </w:rPr>
              <w:t>26,3</w:t>
            </w:r>
          </w:p>
        </w:tc>
      </w:tr>
      <w:tr w:rsidR="00D50668" w:rsidRPr="00DE096C" w14:paraId="58FA63DE" w14:textId="77777777" w:rsidTr="00D34AC1">
        <w:tc>
          <w:tcPr>
            <w:tcW w:w="837" w:type="dxa"/>
          </w:tcPr>
          <w:p w14:paraId="64BF688A" w14:textId="77777777" w:rsidR="00D50668" w:rsidRPr="00DE096C" w:rsidRDefault="00D50668" w:rsidP="00D45A46">
            <w:pPr>
              <w:jc w:val="both"/>
              <w:rPr>
                <w:bCs/>
                <w:color w:val="002060"/>
                <w:sz w:val="16"/>
                <w:szCs w:val="16"/>
              </w:rPr>
            </w:pPr>
            <w:r w:rsidRPr="00DE096C">
              <w:rPr>
                <w:bCs/>
                <w:color w:val="002060"/>
                <w:sz w:val="16"/>
                <w:szCs w:val="16"/>
              </w:rPr>
              <w:t>Май</w:t>
            </w:r>
          </w:p>
        </w:tc>
        <w:tc>
          <w:tcPr>
            <w:tcW w:w="636" w:type="dxa"/>
          </w:tcPr>
          <w:p w14:paraId="1E1A6375" w14:textId="77777777" w:rsidR="00D50668" w:rsidRPr="00DE096C" w:rsidRDefault="00D50668" w:rsidP="00D45A46">
            <w:pPr>
              <w:jc w:val="both"/>
              <w:rPr>
                <w:bCs/>
                <w:color w:val="002060"/>
                <w:sz w:val="16"/>
                <w:szCs w:val="16"/>
              </w:rPr>
            </w:pPr>
            <w:r w:rsidRPr="00DE096C">
              <w:rPr>
                <w:bCs/>
                <w:color w:val="002060"/>
                <w:sz w:val="16"/>
                <w:szCs w:val="16"/>
              </w:rPr>
              <w:t>14,5</w:t>
            </w:r>
          </w:p>
        </w:tc>
        <w:tc>
          <w:tcPr>
            <w:tcW w:w="641" w:type="dxa"/>
          </w:tcPr>
          <w:p w14:paraId="75663380" w14:textId="77777777" w:rsidR="00D50668" w:rsidRPr="00DE096C" w:rsidRDefault="00D50668" w:rsidP="00D45A46">
            <w:pPr>
              <w:jc w:val="both"/>
              <w:rPr>
                <w:bCs/>
                <w:color w:val="002060"/>
                <w:sz w:val="16"/>
                <w:szCs w:val="16"/>
              </w:rPr>
            </w:pPr>
            <w:r w:rsidRPr="00DE096C">
              <w:rPr>
                <w:bCs/>
                <w:color w:val="002060"/>
                <w:sz w:val="16"/>
                <w:szCs w:val="16"/>
              </w:rPr>
              <w:t>9,5</w:t>
            </w:r>
          </w:p>
        </w:tc>
        <w:tc>
          <w:tcPr>
            <w:tcW w:w="636" w:type="dxa"/>
          </w:tcPr>
          <w:p w14:paraId="6CD2B7F3" w14:textId="77777777" w:rsidR="00D50668" w:rsidRPr="00DE096C" w:rsidRDefault="00D50668" w:rsidP="00D45A46">
            <w:pPr>
              <w:jc w:val="both"/>
              <w:rPr>
                <w:bCs/>
                <w:color w:val="002060"/>
                <w:sz w:val="16"/>
                <w:szCs w:val="16"/>
              </w:rPr>
            </w:pPr>
            <w:r w:rsidRPr="00DE096C">
              <w:rPr>
                <w:bCs/>
                <w:color w:val="002060"/>
                <w:sz w:val="16"/>
                <w:szCs w:val="16"/>
              </w:rPr>
              <w:t xml:space="preserve">33,7 </w:t>
            </w:r>
          </w:p>
        </w:tc>
        <w:tc>
          <w:tcPr>
            <w:tcW w:w="641" w:type="dxa"/>
          </w:tcPr>
          <w:p w14:paraId="6AE7C841" w14:textId="77777777" w:rsidR="00D50668" w:rsidRPr="00DE096C" w:rsidRDefault="00D50668" w:rsidP="00D45A46">
            <w:pPr>
              <w:jc w:val="both"/>
              <w:rPr>
                <w:bCs/>
                <w:color w:val="002060"/>
                <w:sz w:val="16"/>
                <w:szCs w:val="16"/>
              </w:rPr>
            </w:pPr>
            <w:r w:rsidRPr="00DE096C">
              <w:rPr>
                <w:bCs/>
                <w:color w:val="002060"/>
                <w:sz w:val="16"/>
                <w:szCs w:val="16"/>
              </w:rPr>
              <w:t>28,0</w:t>
            </w:r>
          </w:p>
        </w:tc>
      </w:tr>
      <w:tr w:rsidR="00D50668" w:rsidRPr="00DE096C" w14:paraId="08E09F8E" w14:textId="77777777" w:rsidTr="00D34AC1">
        <w:tc>
          <w:tcPr>
            <w:tcW w:w="837" w:type="dxa"/>
          </w:tcPr>
          <w:p w14:paraId="18D6180A" w14:textId="77777777" w:rsidR="00D50668" w:rsidRPr="00DE096C" w:rsidRDefault="00D50668" w:rsidP="00D45A46">
            <w:pPr>
              <w:jc w:val="both"/>
              <w:rPr>
                <w:bCs/>
                <w:color w:val="002060"/>
                <w:sz w:val="16"/>
                <w:szCs w:val="16"/>
              </w:rPr>
            </w:pPr>
            <w:r w:rsidRPr="00DE096C">
              <w:rPr>
                <w:bCs/>
                <w:color w:val="002060"/>
                <w:sz w:val="16"/>
                <w:szCs w:val="16"/>
              </w:rPr>
              <w:t>Июнь</w:t>
            </w:r>
          </w:p>
        </w:tc>
        <w:tc>
          <w:tcPr>
            <w:tcW w:w="636" w:type="dxa"/>
          </w:tcPr>
          <w:p w14:paraId="6864E9AF" w14:textId="77777777" w:rsidR="00D50668" w:rsidRPr="00DE096C" w:rsidRDefault="00D50668" w:rsidP="00D45A46">
            <w:pPr>
              <w:jc w:val="both"/>
              <w:rPr>
                <w:bCs/>
                <w:color w:val="002060"/>
                <w:sz w:val="16"/>
                <w:szCs w:val="16"/>
              </w:rPr>
            </w:pPr>
            <w:r w:rsidRPr="00DE096C">
              <w:rPr>
                <w:bCs/>
                <w:color w:val="002060"/>
                <w:sz w:val="16"/>
                <w:szCs w:val="16"/>
              </w:rPr>
              <w:t>116,5</w:t>
            </w:r>
          </w:p>
        </w:tc>
        <w:tc>
          <w:tcPr>
            <w:tcW w:w="641" w:type="dxa"/>
          </w:tcPr>
          <w:p w14:paraId="0265C54E" w14:textId="77777777" w:rsidR="00D50668" w:rsidRPr="00DE096C" w:rsidRDefault="00D50668" w:rsidP="00D45A46">
            <w:pPr>
              <w:jc w:val="both"/>
              <w:rPr>
                <w:bCs/>
                <w:color w:val="002060"/>
                <w:sz w:val="16"/>
                <w:szCs w:val="16"/>
              </w:rPr>
            </w:pPr>
            <w:r w:rsidRPr="00DE096C">
              <w:rPr>
                <w:bCs/>
                <w:color w:val="002060"/>
                <w:sz w:val="16"/>
                <w:szCs w:val="16"/>
              </w:rPr>
              <w:t>12,8</w:t>
            </w:r>
          </w:p>
        </w:tc>
        <w:tc>
          <w:tcPr>
            <w:tcW w:w="636" w:type="dxa"/>
          </w:tcPr>
          <w:p w14:paraId="154EF5F0" w14:textId="77777777" w:rsidR="00D50668" w:rsidRPr="00DE096C" w:rsidRDefault="00D50668" w:rsidP="00D45A46">
            <w:pPr>
              <w:jc w:val="both"/>
              <w:rPr>
                <w:bCs/>
                <w:color w:val="002060"/>
                <w:sz w:val="16"/>
                <w:szCs w:val="16"/>
              </w:rPr>
            </w:pPr>
            <w:r w:rsidRPr="00DE096C">
              <w:rPr>
                <w:bCs/>
                <w:color w:val="002060"/>
                <w:sz w:val="16"/>
                <w:szCs w:val="16"/>
              </w:rPr>
              <w:t xml:space="preserve">33,7 </w:t>
            </w:r>
          </w:p>
        </w:tc>
        <w:tc>
          <w:tcPr>
            <w:tcW w:w="641" w:type="dxa"/>
          </w:tcPr>
          <w:p w14:paraId="113DBF4D" w14:textId="77777777" w:rsidR="00D50668" w:rsidRPr="00DE096C" w:rsidRDefault="00D50668" w:rsidP="00D45A46">
            <w:pPr>
              <w:jc w:val="both"/>
              <w:rPr>
                <w:bCs/>
                <w:color w:val="002060"/>
                <w:sz w:val="16"/>
                <w:szCs w:val="16"/>
              </w:rPr>
            </w:pPr>
            <w:r w:rsidRPr="00DE096C">
              <w:rPr>
                <w:bCs/>
                <w:color w:val="002060"/>
                <w:sz w:val="16"/>
                <w:szCs w:val="16"/>
              </w:rPr>
              <w:t>28,0</w:t>
            </w:r>
          </w:p>
        </w:tc>
      </w:tr>
      <w:tr w:rsidR="00D50668" w:rsidRPr="00DE096C" w14:paraId="46E9017F" w14:textId="77777777" w:rsidTr="00D34AC1">
        <w:tc>
          <w:tcPr>
            <w:tcW w:w="837" w:type="dxa"/>
          </w:tcPr>
          <w:p w14:paraId="2C55AF01" w14:textId="77777777" w:rsidR="00D50668" w:rsidRPr="00DE096C" w:rsidRDefault="00D50668" w:rsidP="00D45A46">
            <w:pPr>
              <w:jc w:val="both"/>
              <w:rPr>
                <w:bCs/>
                <w:color w:val="002060"/>
                <w:sz w:val="16"/>
                <w:szCs w:val="16"/>
              </w:rPr>
            </w:pPr>
            <w:r w:rsidRPr="00DE096C">
              <w:rPr>
                <w:bCs/>
                <w:color w:val="002060"/>
                <w:sz w:val="16"/>
                <w:szCs w:val="16"/>
              </w:rPr>
              <w:t>Июль</w:t>
            </w:r>
          </w:p>
        </w:tc>
        <w:tc>
          <w:tcPr>
            <w:tcW w:w="636" w:type="dxa"/>
          </w:tcPr>
          <w:p w14:paraId="6E27777A" w14:textId="77777777" w:rsidR="00D50668" w:rsidRPr="00DE096C" w:rsidRDefault="00D50668" w:rsidP="00D45A46">
            <w:pPr>
              <w:jc w:val="both"/>
              <w:rPr>
                <w:bCs/>
                <w:color w:val="002060"/>
                <w:sz w:val="16"/>
                <w:szCs w:val="16"/>
              </w:rPr>
            </w:pPr>
            <w:r w:rsidRPr="00DE096C">
              <w:rPr>
                <w:bCs/>
                <w:color w:val="002060"/>
                <w:sz w:val="16"/>
                <w:szCs w:val="16"/>
              </w:rPr>
              <w:t>126,7</w:t>
            </w:r>
          </w:p>
        </w:tc>
        <w:tc>
          <w:tcPr>
            <w:tcW w:w="641" w:type="dxa"/>
          </w:tcPr>
          <w:p w14:paraId="7B1F7369" w14:textId="77777777" w:rsidR="00D50668" w:rsidRPr="00DE096C" w:rsidRDefault="00D50668" w:rsidP="00D45A46">
            <w:pPr>
              <w:jc w:val="both"/>
              <w:rPr>
                <w:bCs/>
                <w:color w:val="002060"/>
                <w:sz w:val="16"/>
                <w:szCs w:val="16"/>
              </w:rPr>
            </w:pPr>
            <w:r w:rsidRPr="00DE096C">
              <w:rPr>
                <w:bCs/>
                <w:color w:val="002060"/>
                <w:sz w:val="16"/>
                <w:szCs w:val="16"/>
              </w:rPr>
              <w:t>12,5</w:t>
            </w:r>
          </w:p>
        </w:tc>
        <w:tc>
          <w:tcPr>
            <w:tcW w:w="636" w:type="dxa"/>
          </w:tcPr>
          <w:p w14:paraId="009B7929" w14:textId="77777777" w:rsidR="00D50668" w:rsidRPr="00DE096C" w:rsidRDefault="00D50668" w:rsidP="00D45A46">
            <w:pPr>
              <w:jc w:val="both"/>
              <w:rPr>
                <w:bCs/>
                <w:color w:val="002060"/>
                <w:sz w:val="16"/>
                <w:szCs w:val="16"/>
              </w:rPr>
            </w:pPr>
            <w:r w:rsidRPr="00DE096C">
              <w:rPr>
                <w:bCs/>
                <w:color w:val="002060"/>
                <w:sz w:val="16"/>
                <w:szCs w:val="16"/>
              </w:rPr>
              <w:t xml:space="preserve">— </w:t>
            </w:r>
          </w:p>
        </w:tc>
        <w:tc>
          <w:tcPr>
            <w:tcW w:w="641" w:type="dxa"/>
          </w:tcPr>
          <w:p w14:paraId="6783D0AA" w14:textId="77777777" w:rsidR="00D50668" w:rsidRPr="00DE096C" w:rsidRDefault="00D50668" w:rsidP="00D45A46">
            <w:pPr>
              <w:jc w:val="both"/>
              <w:rPr>
                <w:bCs/>
                <w:color w:val="002060"/>
                <w:sz w:val="16"/>
                <w:szCs w:val="16"/>
              </w:rPr>
            </w:pPr>
            <w:r w:rsidRPr="00DE096C">
              <w:rPr>
                <w:bCs/>
                <w:color w:val="002060"/>
                <w:sz w:val="16"/>
                <w:szCs w:val="16"/>
              </w:rPr>
              <w:t>—</w:t>
            </w:r>
          </w:p>
        </w:tc>
      </w:tr>
      <w:tr w:rsidR="00D50668" w:rsidRPr="00DE096C" w14:paraId="19BC5CB5" w14:textId="77777777" w:rsidTr="00D34AC1">
        <w:tc>
          <w:tcPr>
            <w:tcW w:w="837" w:type="dxa"/>
          </w:tcPr>
          <w:p w14:paraId="73EB2E1D" w14:textId="77777777" w:rsidR="00D50668" w:rsidRPr="00DE096C" w:rsidRDefault="00D50668" w:rsidP="00D45A46">
            <w:pPr>
              <w:jc w:val="both"/>
              <w:rPr>
                <w:bCs/>
                <w:color w:val="002060"/>
                <w:sz w:val="16"/>
                <w:szCs w:val="16"/>
              </w:rPr>
            </w:pPr>
            <w:r w:rsidRPr="00DE096C">
              <w:rPr>
                <w:bCs/>
                <w:color w:val="002060"/>
                <w:sz w:val="16"/>
                <w:szCs w:val="16"/>
              </w:rPr>
              <w:t>Август</w:t>
            </w:r>
          </w:p>
        </w:tc>
        <w:tc>
          <w:tcPr>
            <w:tcW w:w="636" w:type="dxa"/>
          </w:tcPr>
          <w:p w14:paraId="20550B98" w14:textId="77777777" w:rsidR="00D50668" w:rsidRPr="00DE096C" w:rsidRDefault="00D50668" w:rsidP="00D45A46">
            <w:pPr>
              <w:jc w:val="both"/>
              <w:rPr>
                <w:bCs/>
                <w:color w:val="002060"/>
                <w:sz w:val="16"/>
                <w:szCs w:val="16"/>
              </w:rPr>
            </w:pPr>
            <w:r w:rsidRPr="00DE096C">
              <w:rPr>
                <w:bCs/>
                <w:color w:val="002060"/>
                <w:sz w:val="16"/>
                <w:szCs w:val="16"/>
              </w:rPr>
              <w:t>15,1</w:t>
            </w:r>
          </w:p>
        </w:tc>
        <w:tc>
          <w:tcPr>
            <w:tcW w:w="641" w:type="dxa"/>
          </w:tcPr>
          <w:p w14:paraId="79AA7FD6" w14:textId="77777777" w:rsidR="00D50668" w:rsidRPr="00DE096C" w:rsidRDefault="00D50668" w:rsidP="00D45A46">
            <w:pPr>
              <w:jc w:val="both"/>
              <w:rPr>
                <w:bCs/>
                <w:color w:val="002060"/>
                <w:sz w:val="16"/>
                <w:szCs w:val="16"/>
              </w:rPr>
            </w:pPr>
            <w:r w:rsidRPr="00DE096C">
              <w:rPr>
                <w:bCs/>
                <w:color w:val="002060"/>
                <w:sz w:val="16"/>
                <w:szCs w:val="16"/>
              </w:rPr>
              <w:t>12,4</w:t>
            </w:r>
          </w:p>
        </w:tc>
        <w:tc>
          <w:tcPr>
            <w:tcW w:w="636" w:type="dxa"/>
          </w:tcPr>
          <w:p w14:paraId="1CF728BC" w14:textId="77777777" w:rsidR="00D50668" w:rsidRPr="00DE096C" w:rsidRDefault="00D50668" w:rsidP="00D45A46">
            <w:pPr>
              <w:jc w:val="both"/>
              <w:rPr>
                <w:bCs/>
                <w:color w:val="002060"/>
                <w:sz w:val="16"/>
                <w:szCs w:val="16"/>
              </w:rPr>
            </w:pPr>
            <w:r w:rsidRPr="00DE096C">
              <w:rPr>
                <w:bCs/>
                <w:color w:val="002060"/>
                <w:sz w:val="16"/>
                <w:szCs w:val="16"/>
              </w:rPr>
              <w:t xml:space="preserve">— </w:t>
            </w:r>
          </w:p>
        </w:tc>
        <w:tc>
          <w:tcPr>
            <w:tcW w:w="641" w:type="dxa"/>
          </w:tcPr>
          <w:p w14:paraId="50E26EAA" w14:textId="77777777" w:rsidR="00D50668" w:rsidRPr="00DE096C" w:rsidRDefault="00D50668" w:rsidP="00D45A46">
            <w:pPr>
              <w:jc w:val="both"/>
              <w:rPr>
                <w:bCs/>
                <w:color w:val="002060"/>
                <w:sz w:val="16"/>
                <w:szCs w:val="16"/>
              </w:rPr>
            </w:pPr>
            <w:r w:rsidRPr="00DE096C">
              <w:rPr>
                <w:bCs/>
                <w:color w:val="002060"/>
                <w:sz w:val="16"/>
                <w:szCs w:val="16"/>
              </w:rPr>
              <w:t>—</w:t>
            </w:r>
          </w:p>
        </w:tc>
      </w:tr>
      <w:tr w:rsidR="00D50668" w:rsidRPr="00DE096C" w14:paraId="6D2AEF92" w14:textId="77777777" w:rsidTr="00D34AC1">
        <w:tc>
          <w:tcPr>
            <w:tcW w:w="837" w:type="dxa"/>
          </w:tcPr>
          <w:p w14:paraId="6A3D4346" w14:textId="77777777" w:rsidR="00D50668" w:rsidRPr="00DE096C" w:rsidRDefault="00D50668" w:rsidP="00D45A46">
            <w:pPr>
              <w:jc w:val="both"/>
              <w:rPr>
                <w:bCs/>
                <w:color w:val="002060"/>
                <w:sz w:val="16"/>
                <w:szCs w:val="16"/>
              </w:rPr>
            </w:pPr>
            <w:r w:rsidRPr="00DE096C">
              <w:rPr>
                <w:bCs/>
                <w:color w:val="002060"/>
                <w:sz w:val="16"/>
                <w:szCs w:val="16"/>
              </w:rPr>
              <w:t>Сентябрь</w:t>
            </w:r>
          </w:p>
        </w:tc>
        <w:tc>
          <w:tcPr>
            <w:tcW w:w="636" w:type="dxa"/>
          </w:tcPr>
          <w:p w14:paraId="4B4AC51F" w14:textId="77777777" w:rsidR="00D50668" w:rsidRPr="00DE096C" w:rsidRDefault="00D50668" w:rsidP="00D45A46">
            <w:pPr>
              <w:jc w:val="both"/>
              <w:rPr>
                <w:bCs/>
                <w:color w:val="002060"/>
                <w:sz w:val="16"/>
                <w:szCs w:val="16"/>
              </w:rPr>
            </w:pPr>
            <w:r w:rsidRPr="00DE096C">
              <w:rPr>
                <w:bCs/>
                <w:color w:val="002060"/>
                <w:sz w:val="16"/>
                <w:szCs w:val="16"/>
              </w:rPr>
              <w:t>18,3</w:t>
            </w:r>
          </w:p>
        </w:tc>
        <w:tc>
          <w:tcPr>
            <w:tcW w:w="641" w:type="dxa"/>
          </w:tcPr>
          <w:p w14:paraId="0E79174C" w14:textId="77777777" w:rsidR="00D50668" w:rsidRPr="00DE096C" w:rsidRDefault="00D50668" w:rsidP="00D45A46">
            <w:pPr>
              <w:jc w:val="both"/>
              <w:rPr>
                <w:bCs/>
                <w:color w:val="002060"/>
                <w:sz w:val="16"/>
                <w:szCs w:val="16"/>
              </w:rPr>
            </w:pPr>
            <w:r w:rsidRPr="00DE096C">
              <w:rPr>
                <w:bCs/>
                <w:color w:val="002060"/>
                <w:sz w:val="16"/>
                <w:szCs w:val="16"/>
              </w:rPr>
              <w:t>14,3</w:t>
            </w:r>
          </w:p>
        </w:tc>
        <w:tc>
          <w:tcPr>
            <w:tcW w:w="636" w:type="dxa"/>
          </w:tcPr>
          <w:p w14:paraId="567F7AB3" w14:textId="77777777" w:rsidR="00D50668" w:rsidRPr="00DE096C" w:rsidRDefault="00D50668" w:rsidP="00D45A46">
            <w:pPr>
              <w:jc w:val="both"/>
              <w:rPr>
                <w:bCs/>
                <w:color w:val="002060"/>
                <w:sz w:val="16"/>
                <w:szCs w:val="16"/>
              </w:rPr>
            </w:pPr>
            <w:r w:rsidRPr="00DE096C">
              <w:rPr>
                <w:bCs/>
                <w:color w:val="002060"/>
                <w:sz w:val="16"/>
                <w:szCs w:val="16"/>
              </w:rPr>
              <w:t xml:space="preserve">— </w:t>
            </w:r>
          </w:p>
        </w:tc>
        <w:tc>
          <w:tcPr>
            <w:tcW w:w="641" w:type="dxa"/>
          </w:tcPr>
          <w:p w14:paraId="739318CA" w14:textId="77777777" w:rsidR="00D50668" w:rsidRPr="00DE096C" w:rsidRDefault="00D50668" w:rsidP="00D45A46">
            <w:pPr>
              <w:jc w:val="both"/>
              <w:rPr>
                <w:bCs/>
                <w:color w:val="002060"/>
                <w:sz w:val="16"/>
                <w:szCs w:val="16"/>
              </w:rPr>
            </w:pPr>
            <w:r w:rsidRPr="00DE096C">
              <w:rPr>
                <w:bCs/>
                <w:color w:val="002060"/>
                <w:sz w:val="16"/>
                <w:szCs w:val="16"/>
              </w:rPr>
              <w:t>—</w:t>
            </w:r>
          </w:p>
        </w:tc>
      </w:tr>
      <w:tr w:rsidR="00D50668" w:rsidRPr="00DE096C" w14:paraId="28762662" w14:textId="77777777" w:rsidTr="00D34AC1">
        <w:tc>
          <w:tcPr>
            <w:tcW w:w="837" w:type="dxa"/>
          </w:tcPr>
          <w:p w14:paraId="2335AD5A" w14:textId="77777777" w:rsidR="00D50668" w:rsidRPr="00DE096C" w:rsidRDefault="00D50668" w:rsidP="00D45A46">
            <w:pPr>
              <w:jc w:val="both"/>
              <w:rPr>
                <w:bCs/>
                <w:color w:val="002060"/>
                <w:sz w:val="16"/>
                <w:szCs w:val="16"/>
              </w:rPr>
            </w:pPr>
            <w:r w:rsidRPr="00DE096C">
              <w:rPr>
                <w:bCs/>
                <w:color w:val="002060"/>
                <w:sz w:val="16"/>
                <w:szCs w:val="16"/>
              </w:rPr>
              <w:t>Октябрь</w:t>
            </w:r>
          </w:p>
        </w:tc>
        <w:tc>
          <w:tcPr>
            <w:tcW w:w="636" w:type="dxa"/>
          </w:tcPr>
          <w:p w14:paraId="5D480C2B" w14:textId="77777777" w:rsidR="00D50668" w:rsidRPr="00DE096C" w:rsidRDefault="00D50668" w:rsidP="00D45A46">
            <w:pPr>
              <w:jc w:val="both"/>
              <w:rPr>
                <w:bCs/>
                <w:color w:val="002060"/>
                <w:sz w:val="16"/>
                <w:szCs w:val="16"/>
              </w:rPr>
            </w:pPr>
            <w:r w:rsidRPr="00DE096C">
              <w:rPr>
                <w:bCs/>
                <w:color w:val="002060"/>
                <w:sz w:val="16"/>
                <w:szCs w:val="16"/>
              </w:rPr>
              <w:t>22,3</w:t>
            </w:r>
          </w:p>
        </w:tc>
        <w:tc>
          <w:tcPr>
            <w:tcW w:w="641" w:type="dxa"/>
          </w:tcPr>
          <w:p w14:paraId="3007A97C" w14:textId="77777777" w:rsidR="00D50668" w:rsidRPr="00DE096C" w:rsidRDefault="00D50668" w:rsidP="00D45A46">
            <w:pPr>
              <w:jc w:val="both"/>
              <w:rPr>
                <w:bCs/>
                <w:color w:val="002060"/>
                <w:sz w:val="16"/>
                <w:szCs w:val="16"/>
              </w:rPr>
            </w:pPr>
            <w:r w:rsidRPr="00DE096C">
              <w:rPr>
                <w:bCs/>
                <w:color w:val="002060"/>
                <w:sz w:val="16"/>
                <w:szCs w:val="16"/>
              </w:rPr>
              <w:t>16,7</w:t>
            </w:r>
          </w:p>
        </w:tc>
        <w:tc>
          <w:tcPr>
            <w:tcW w:w="636" w:type="dxa"/>
          </w:tcPr>
          <w:p w14:paraId="30FDC80C" w14:textId="77777777" w:rsidR="00D50668" w:rsidRPr="00DE096C" w:rsidRDefault="00D50668" w:rsidP="00D45A46">
            <w:pPr>
              <w:jc w:val="both"/>
              <w:rPr>
                <w:bCs/>
                <w:color w:val="002060"/>
                <w:sz w:val="16"/>
                <w:szCs w:val="16"/>
              </w:rPr>
            </w:pPr>
            <w:r w:rsidRPr="00DE096C">
              <w:rPr>
                <w:bCs/>
                <w:color w:val="002060"/>
                <w:sz w:val="16"/>
                <w:szCs w:val="16"/>
              </w:rPr>
              <w:t xml:space="preserve">— </w:t>
            </w:r>
          </w:p>
        </w:tc>
        <w:tc>
          <w:tcPr>
            <w:tcW w:w="641" w:type="dxa"/>
          </w:tcPr>
          <w:p w14:paraId="12F05193" w14:textId="77777777" w:rsidR="00D50668" w:rsidRPr="00DE096C" w:rsidRDefault="00D50668" w:rsidP="00D45A46">
            <w:pPr>
              <w:jc w:val="both"/>
              <w:rPr>
                <w:bCs/>
                <w:color w:val="002060"/>
                <w:sz w:val="16"/>
                <w:szCs w:val="16"/>
              </w:rPr>
            </w:pPr>
            <w:r w:rsidRPr="00DE096C">
              <w:rPr>
                <w:bCs/>
                <w:color w:val="002060"/>
                <w:sz w:val="16"/>
                <w:szCs w:val="16"/>
              </w:rPr>
              <w:t>—</w:t>
            </w:r>
          </w:p>
        </w:tc>
      </w:tr>
      <w:tr w:rsidR="00D50668" w:rsidRPr="00DE096C" w14:paraId="0609BA22" w14:textId="77777777" w:rsidTr="00D34AC1">
        <w:tc>
          <w:tcPr>
            <w:tcW w:w="837" w:type="dxa"/>
          </w:tcPr>
          <w:p w14:paraId="57AB36FF" w14:textId="77777777" w:rsidR="00D50668" w:rsidRPr="00DE096C" w:rsidRDefault="00D50668" w:rsidP="00D45A46">
            <w:pPr>
              <w:jc w:val="both"/>
              <w:rPr>
                <w:bCs/>
                <w:color w:val="002060"/>
                <w:sz w:val="16"/>
                <w:szCs w:val="16"/>
              </w:rPr>
            </w:pPr>
            <w:r w:rsidRPr="00DE096C">
              <w:rPr>
                <w:bCs/>
                <w:color w:val="002060"/>
                <w:sz w:val="16"/>
                <w:szCs w:val="16"/>
              </w:rPr>
              <w:t>Ноябрь</w:t>
            </w:r>
          </w:p>
        </w:tc>
        <w:tc>
          <w:tcPr>
            <w:tcW w:w="636" w:type="dxa"/>
          </w:tcPr>
          <w:p w14:paraId="5E69B3B8" w14:textId="77777777" w:rsidR="00D50668" w:rsidRPr="00DE096C" w:rsidRDefault="00D50668" w:rsidP="00D45A46">
            <w:pPr>
              <w:jc w:val="both"/>
              <w:rPr>
                <w:bCs/>
                <w:color w:val="002060"/>
                <w:sz w:val="16"/>
                <w:szCs w:val="16"/>
              </w:rPr>
            </w:pPr>
            <w:r w:rsidRPr="00DE096C">
              <w:rPr>
                <w:bCs/>
                <w:color w:val="002060"/>
                <w:sz w:val="16"/>
                <w:szCs w:val="16"/>
              </w:rPr>
              <w:t>19,7</w:t>
            </w:r>
          </w:p>
        </w:tc>
        <w:tc>
          <w:tcPr>
            <w:tcW w:w="641" w:type="dxa"/>
          </w:tcPr>
          <w:p w14:paraId="182086F1" w14:textId="77777777" w:rsidR="00D50668" w:rsidRPr="00DE096C" w:rsidRDefault="00D50668" w:rsidP="00D45A46">
            <w:pPr>
              <w:jc w:val="both"/>
              <w:rPr>
                <w:bCs/>
                <w:color w:val="002060"/>
                <w:sz w:val="16"/>
                <w:szCs w:val="16"/>
              </w:rPr>
            </w:pPr>
            <w:r w:rsidRPr="00DE096C">
              <w:rPr>
                <w:bCs/>
                <w:color w:val="002060"/>
                <w:sz w:val="16"/>
                <w:szCs w:val="16"/>
              </w:rPr>
              <w:t>15,4</w:t>
            </w:r>
          </w:p>
        </w:tc>
        <w:tc>
          <w:tcPr>
            <w:tcW w:w="636" w:type="dxa"/>
          </w:tcPr>
          <w:p w14:paraId="32E59103" w14:textId="77777777" w:rsidR="00D50668" w:rsidRPr="00DE096C" w:rsidRDefault="00D50668" w:rsidP="00D45A46">
            <w:pPr>
              <w:jc w:val="both"/>
              <w:rPr>
                <w:bCs/>
                <w:color w:val="002060"/>
                <w:sz w:val="16"/>
                <w:szCs w:val="16"/>
              </w:rPr>
            </w:pPr>
            <w:r w:rsidRPr="00DE096C">
              <w:rPr>
                <w:bCs/>
                <w:color w:val="002060"/>
                <w:sz w:val="16"/>
                <w:szCs w:val="16"/>
              </w:rPr>
              <w:t xml:space="preserve">— </w:t>
            </w:r>
          </w:p>
        </w:tc>
        <w:tc>
          <w:tcPr>
            <w:tcW w:w="641" w:type="dxa"/>
          </w:tcPr>
          <w:p w14:paraId="2BF8E22E" w14:textId="77777777" w:rsidR="00D50668" w:rsidRPr="00DE096C" w:rsidRDefault="00D50668" w:rsidP="00D45A46">
            <w:pPr>
              <w:jc w:val="both"/>
              <w:rPr>
                <w:bCs/>
                <w:color w:val="002060"/>
                <w:sz w:val="16"/>
                <w:szCs w:val="16"/>
              </w:rPr>
            </w:pPr>
            <w:r w:rsidRPr="00DE096C">
              <w:rPr>
                <w:bCs/>
                <w:color w:val="002060"/>
                <w:sz w:val="16"/>
                <w:szCs w:val="16"/>
              </w:rPr>
              <w:t>—</w:t>
            </w:r>
          </w:p>
        </w:tc>
      </w:tr>
      <w:tr w:rsidR="00D50668" w:rsidRPr="00DE096C" w14:paraId="6D14164E" w14:textId="77777777" w:rsidTr="00D34AC1">
        <w:tc>
          <w:tcPr>
            <w:tcW w:w="837" w:type="dxa"/>
          </w:tcPr>
          <w:p w14:paraId="3E365F67" w14:textId="77777777" w:rsidR="00D50668" w:rsidRPr="00DE096C" w:rsidRDefault="00D50668" w:rsidP="00D45A46">
            <w:pPr>
              <w:jc w:val="both"/>
              <w:rPr>
                <w:bCs/>
                <w:color w:val="002060"/>
                <w:sz w:val="16"/>
                <w:szCs w:val="16"/>
              </w:rPr>
            </w:pPr>
            <w:r w:rsidRPr="00DE096C">
              <w:rPr>
                <w:bCs/>
                <w:color w:val="002060"/>
                <w:sz w:val="16"/>
                <w:szCs w:val="16"/>
              </w:rPr>
              <w:t>Декабрь</w:t>
            </w:r>
          </w:p>
        </w:tc>
        <w:tc>
          <w:tcPr>
            <w:tcW w:w="636" w:type="dxa"/>
          </w:tcPr>
          <w:p w14:paraId="46F6BCF9" w14:textId="77777777" w:rsidR="00D50668" w:rsidRPr="00DE096C" w:rsidRDefault="00D50668" w:rsidP="00D45A46">
            <w:pPr>
              <w:jc w:val="both"/>
              <w:rPr>
                <w:bCs/>
                <w:color w:val="002060"/>
                <w:sz w:val="16"/>
                <w:szCs w:val="16"/>
              </w:rPr>
            </w:pPr>
            <w:r w:rsidRPr="00DE096C">
              <w:rPr>
                <w:bCs/>
                <w:color w:val="002060"/>
                <w:sz w:val="16"/>
                <w:szCs w:val="16"/>
              </w:rPr>
              <w:t>26,7</w:t>
            </w:r>
          </w:p>
        </w:tc>
        <w:tc>
          <w:tcPr>
            <w:tcW w:w="641" w:type="dxa"/>
          </w:tcPr>
          <w:p w14:paraId="02BC6C09" w14:textId="77777777" w:rsidR="00D50668" w:rsidRPr="00DE096C" w:rsidRDefault="00D50668" w:rsidP="00D45A46">
            <w:pPr>
              <w:jc w:val="both"/>
              <w:rPr>
                <w:bCs/>
                <w:color w:val="002060"/>
                <w:sz w:val="16"/>
                <w:szCs w:val="16"/>
              </w:rPr>
            </w:pPr>
            <w:r w:rsidRPr="00DE096C">
              <w:rPr>
                <w:bCs/>
                <w:color w:val="002060"/>
                <w:sz w:val="16"/>
                <w:szCs w:val="16"/>
              </w:rPr>
              <w:t>18,7</w:t>
            </w:r>
          </w:p>
        </w:tc>
        <w:tc>
          <w:tcPr>
            <w:tcW w:w="636" w:type="dxa"/>
          </w:tcPr>
          <w:p w14:paraId="11894501" w14:textId="77777777" w:rsidR="00D50668" w:rsidRPr="00DE096C" w:rsidRDefault="00D50668" w:rsidP="00D45A46">
            <w:pPr>
              <w:jc w:val="both"/>
              <w:rPr>
                <w:bCs/>
                <w:color w:val="002060"/>
                <w:sz w:val="16"/>
                <w:szCs w:val="16"/>
              </w:rPr>
            </w:pPr>
            <w:r w:rsidRPr="00DE096C">
              <w:rPr>
                <w:bCs/>
                <w:color w:val="002060"/>
                <w:sz w:val="16"/>
                <w:szCs w:val="16"/>
              </w:rPr>
              <w:t xml:space="preserve">— </w:t>
            </w:r>
          </w:p>
        </w:tc>
        <w:tc>
          <w:tcPr>
            <w:tcW w:w="641" w:type="dxa"/>
          </w:tcPr>
          <w:p w14:paraId="5A28DF87" w14:textId="77777777" w:rsidR="00D50668" w:rsidRPr="00DE096C" w:rsidRDefault="00D50668" w:rsidP="00D45A46">
            <w:pPr>
              <w:jc w:val="both"/>
              <w:rPr>
                <w:bCs/>
                <w:color w:val="002060"/>
                <w:sz w:val="16"/>
                <w:szCs w:val="16"/>
              </w:rPr>
            </w:pPr>
            <w:r w:rsidRPr="00DE096C">
              <w:rPr>
                <w:bCs/>
                <w:color w:val="002060"/>
                <w:sz w:val="16"/>
                <w:szCs w:val="16"/>
              </w:rPr>
              <w:t>—</w:t>
            </w:r>
          </w:p>
        </w:tc>
      </w:tr>
      <w:tr w:rsidR="00D50668" w:rsidRPr="00DE096C" w14:paraId="169339E8" w14:textId="77777777" w:rsidTr="00D34AC1">
        <w:tc>
          <w:tcPr>
            <w:tcW w:w="837" w:type="dxa"/>
          </w:tcPr>
          <w:p w14:paraId="36A8AD7D" w14:textId="77777777" w:rsidR="00D50668" w:rsidRPr="00DE096C" w:rsidRDefault="00D50668" w:rsidP="00D45A46">
            <w:pPr>
              <w:jc w:val="both"/>
              <w:rPr>
                <w:bCs/>
                <w:color w:val="002060"/>
                <w:sz w:val="16"/>
                <w:szCs w:val="16"/>
              </w:rPr>
            </w:pPr>
            <w:r w:rsidRPr="00DE096C">
              <w:rPr>
                <w:bCs/>
                <w:color w:val="002060"/>
                <w:sz w:val="16"/>
                <w:szCs w:val="16"/>
              </w:rPr>
              <w:t>[Всего]</w:t>
            </w:r>
          </w:p>
        </w:tc>
        <w:tc>
          <w:tcPr>
            <w:tcW w:w="636" w:type="dxa"/>
          </w:tcPr>
          <w:p w14:paraId="001477B2" w14:textId="77777777" w:rsidR="00D50668" w:rsidRPr="00DE096C" w:rsidRDefault="00D50668" w:rsidP="00D45A46">
            <w:pPr>
              <w:jc w:val="both"/>
              <w:rPr>
                <w:bCs/>
                <w:color w:val="002060"/>
                <w:sz w:val="16"/>
                <w:szCs w:val="16"/>
              </w:rPr>
            </w:pPr>
            <w:r w:rsidRPr="00DE096C">
              <w:rPr>
                <w:bCs/>
                <w:color w:val="002060"/>
                <w:sz w:val="16"/>
                <w:szCs w:val="16"/>
              </w:rPr>
              <w:t>414,4</w:t>
            </w:r>
          </w:p>
        </w:tc>
        <w:tc>
          <w:tcPr>
            <w:tcW w:w="641" w:type="dxa"/>
          </w:tcPr>
          <w:p w14:paraId="2C408EA1" w14:textId="77777777" w:rsidR="00D50668" w:rsidRPr="00DE096C" w:rsidRDefault="00D50668" w:rsidP="00D45A46">
            <w:pPr>
              <w:jc w:val="both"/>
              <w:rPr>
                <w:bCs/>
                <w:color w:val="002060"/>
                <w:sz w:val="16"/>
                <w:szCs w:val="16"/>
              </w:rPr>
            </w:pPr>
            <w:r w:rsidRPr="00DE096C">
              <w:rPr>
                <w:bCs/>
                <w:color w:val="002060"/>
                <w:sz w:val="16"/>
                <w:szCs w:val="16"/>
              </w:rPr>
              <w:t>154,6</w:t>
            </w:r>
          </w:p>
        </w:tc>
        <w:tc>
          <w:tcPr>
            <w:tcW w:w="636" w:type="dxa"/>
          </w:tcPr>
          <w:p w14:paraId="43AC7B59" w14:textId="77777777" w:rsidR="00D50668" w:rsidRPr="00DE096C" w:rsidRDefault="00D50668" w:rsidP="00D45A46">
            <w:pPr>
              <w:jc w:val="both"/>
              <w:rPr>
                <w:bCs/>
                <w:color w:val="002060"/>
                <w:sz w:val="16"/>
                <w:szCs w:val="16"/>
              </w:rPr>
            </w:pPr>
            <w:r w:rsidRPr="00DE096C">
              <w:rPr>
                <w:bCs/>
                <w:color w:val="002060"/>
                <w:sz w:val="16"/>
                <w:szCs w:val="16"/>
              </w:rPr>
              <w:t>168,7</w:t>
            </w:r>
          </w:p>
        </w:tc>
        <w:tc>
          <w:tcPr>
            <w:tcW w:w="641" w:type="dxa"/>
          </w:tcPr>
          <w:p w14:paraId="4B04EA09" w14:textId="77777777" w:rsidR="00D50668" w:rsidRPr="00DE096C" w:rsidRDefault="00D50668" w:rsidP="00D45A46">
            <w:pPr>
              <w:jc w:val="both"/>
              <w:rPr>
                <w:bCs/>
                <w:color w:val="002060"/>
                <w:sz w:val="16"/>
                <w:szCs w:val="16"/>
              </w:rPr>
            </w:pPr>
            <w:r w:rsidRPr="00DE096C">
              <w:rPr>
                <w:bCs/>
                <w:color w:val="002060"/>
                <w:sz w:val="16"/>
                <w:szCs w:val="16"/>
              </w:rPr>
              <w:t>139,8</w:t>
            </w:r>
          </w:p>
        </w:tc>
      </w:tr>
    </w:tbl>
    <w:p w14:paraId="29213C92" w14:textId="77777777" w:rsidR="00D50668" w:rsidRPr="00DE096C" w:rsidRDefault="00D50668" w:rsidP="00D45A46">
      <w:pPr>
        <w:jc w:val="both"/>
        <w:rPr>
          <w:bCs/>
          <w:color w:val="002060"/>
          <w:sz w:val="16"/>
          <w:szCs w:val="16"/>
        </w:rPr>
      </w:pPr>
      <w:r w:rsidRPr="00DE096C">
        <w:rPr>
          <w:bCs/>
          <w:color w:val="002060"/>
          <w:sz w:val="16"/>
          <w:szCs w:val="16"/>
        </w:rPr>
        <w:t xml:space="preserve">Цифры 1916 года показывают фактический выход продуктов. Для 1917 г. показан выход, предполагавшийся соответственно мощности заводов. Цифры выражают суммарный выход бензола и толуола, как нефтяного, так и каменноугольного. </w:t>
      </w:r>
    </w:p>
    <w:p w14:paraId="7B1D64DB" w14:textId="77777777" w:rsidR="00D50668" w:rsidRPr="00DE096C" w:rsidRDefault="00D50668" w:rsidP="00D45A46">
      <w:pPr>
        <w:jc w:val="both"/>
        <w:rPr>
          <w:bCs/>
          <w:color w:val="002060"/>
          <w:sz w:val="16"/>
          <w:szCs w:val="16"/>
        </w:rPr>
      </w:pPr>
      <w:r w:rsidRPr="00DE096C">
        <w:rPr>
          <w:bCs/>
          <w:color w:val="002060"/>
          <w:sz w:val="16"/>
          <w:szCs w:val="16"/>
        </w:rPr>
        <w:t xml:space="preserve">Количество каменноугольного продукта составляет от общего количества следующий процент: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896"/>
        <w:gridCol w:w="792"/>
      </w:tblGrid>
      <w:tr w:rsidR="00D50668" w:rsidRPr="00DE096C" w14:paraId="2D3D69F1" w14:textId="77777777" w:rsidTr="00D34AC1">
        <w:tc>
          <w:tcPr>
            <w:tcW w:w="1896" w:type="dxa"/>
          </w:tcPr>
          <w:p w14:paraId="31B33220" w14:textId="77777777" w:rsidR="00D50668" w:rsidRPr="00DE096C" w:rsidRDefault="00D50668" w:rsidP="00D45A46">
            <w:pPr>
              <w:jc w:val="both"/>
              <w:rPr>
                <w:bCs/>
                <w:color w:val="002060"/>
                <w:sz w:val="16"/>
                <w:szCs w:val="16"/>
              </w:rPr>
            </w:pPr>
            <w:r w:rsidRPr="00DE096C">
              <w:rPr>
                <w:bCs/>
                <w:color w:val="002060"/>
                <w:sz w:val="16"/>
                <w:szCs w:val="16"/>
              </w:rPr>
              <w:t>В январе 1916 г.</w:t>
            </w:r>
          </w:p>
        </w:tc>
        <w:tc>
          <w:tcPr>
            <w:tcW w:w="792" w:type="dxa"/>
          </w:tcPr>
          <w:p w14:paraId="4296C62C" w14:textId="77777777" w:rsidR="00D50668" w:rsidRPr="00DE096C" w:rsidRDefault="00D50668" w:rsidP="00D45A46">
            <w:pPr>
              <w:jc w:val="both"/>
              <w:rPr>
                <w:bCs/>
                <w:color w:val="002060"/>
                <w:sz w:val="16"/>
                <w:szCs w:val="16"/>
              </w:rPr>
            </w:pPr>
            <w:r w:rsidRPr="00DE096C">
              <w:rPr>
                <w:bCs/>
                <w:color w:val="002060"/>
                <w:sz w:val="16"/>
                <w:szCs w:val="16"/>
              </w:rPr>
              <w:t xml:space="preserve">100% </w:t>
            </w:r>
          </w:p>
        </w:tc>
      </w:tr>
      <w:tr w:rsidR="00D50668" w:rsidRPr="00DE096C" w14:paraId="47643E18" w14:textId="77777777" w:rsidTr="00D34AC1">
        <w:tc>
          <w:tcPr>
            <w:tcW w:w="1896" w:type="dxa"/>
          </w:tcPr>
          <w:p w14:paraId="281601DE" w14:textId="77777777" w:rsidR="00D50668" w:rsidRPr="00DE096C" w:rsidRDefault="00D50668" w:rsidP="00D45A46">
            <w:pPr>
              <w:jc w:val="both"/>
              <w:rPr>
                <w:bCs/>
                <w:color w:val="002060"/>
                <w:sz w:val="16"/>
                <w:szCs w:val="16"/>
              </w:rPr>
            </w:pPr>
            <w:r w:rsidRPr="00DE096C">
              <w:rPr>
                <w:bCs/>
                <w:color w:val="002060"/>
                <w:sz w:val="16"/>
                <w:szCs w:val="16"/>
              </w:rPr>
              <w:t>В январе 1917 г.</w:t>
            </w:r>
          </w:p>
        </w:tc>
        <w:tc>
          <w:tcPr>
            <w:tcW w:w="792" w:type="dxa"/>
          </w:tcPr>
          <w:p w14:paraId="6F5267C7" w14:textId="77777777" w:rsidR="00D50668" w:rsidRPr="00DE096C" w:rsidRDefault="00D50668" w:rsidP="00D45A46">
            <w:pPr>
              <w:jc w:val="both"/>
              <w:rPr>
                <w:bCs/>
                <w:color w:val="002060"/>
                <w:sz w:val="16"/>
                <w:szCs w:val="16"/>
              </w:rPr>
            </w:pPr>
            <w:r w:rsidRPr="00DE096C">
              <w:rPr>
                <w:bCs/>
                <w:color w:val="002060"/>
                <w:sz w:val="16"/>
                <w:szCs w:val="16"/>
              </w:rPr>
              <w:t xml:space="preserve">70% </w:t>
            </w:r>
          </w:p>
        </w:tc>
      </w:tr>
    </w:tbl>
    <w:p w14:paraId="6BAF01D9" w14:textId="77777777" w:rsidR="00D50668" w:rsidRPr="00DE096C" w:rsidRDefault="00D50668" w:rsidP="00D45A46">
      <w:pPr>
        <w:jc w:val="both"/>
        <w:rPr>
          <w:bCs/>
          <w:color w:val="002060"/>
          <w:sz w:val="16"/>
          <w:szCs w:val="16"/>
        </w:rPr>
      </w:pPr>
      <w:r w:rsidRPr="00DE096C">
        <w:rPr>
          <w:bCs/>
          <w:color w:val="002060"/>
          <w:sz w:val="16"/>
          <w:szCs w:val="16"/>
        </w:rPr>
        <w:t xml:space="preserve">С 1909 г. для снаряжения фугасных снарядов был принят в армии и флоте тротил. Однако заводы взрывчатых веществ, изготовлявшие тротил, Самарский казенный и Шлиссельбургский частный, по состоянию их мощности на 1917 г. далеко не могли покрыть той потребности во взрывчатых веществах для снарядов, которая была заявлена военным ведомством уже в первый, а в особенности во второй год войны. </w:t>
      </w:r>
    </w:p>
    <w:p w14:paraId="33E6C796" w14:textId="77777777" w:rsidR="00D50668" w:rsidRPr="00DE096C" w:rsidRDefault="00D50668" w:rsidP="00D45A46">
      <w:pPr>
        <w:jc w:val="both"/>
        <w:rPr>
          <w:bCs/>
          <w:color w:val="002060"/>
          <w:sz w:val="16"/>
          <w:szCs w:val="16"/>
        </w:rPr>
      </w:pPr>
      <w:r w:rsidRPr="00DE096C">
        <w:rPr>
          <w:bCs/>
          <w:color w:val="002060"/>
          <w:sz w:val="16"/>
          <w:szCs w:val="16"/>
        </w:rPr>
        <w:t xml:space="preserve">Поэтому Комиссия Ипатьева наряду с другими задачами поставила себе целью развивать производство как тротила, так и других взрывчатых веществ, пригодных для военных целей. Среди них главное место занимала пикриновая кислота, которая до тротила около 15 лет применялась в русской армии как вещество для снаряжения фугасных и бризантных снарядов и была хорошо изучена. </w:t>
      </w:r>
    </w:p>
    <w:p w14:paraId="378392BE" w14:textId="77777777" w:rsidR="00D50668" w:rsidRPr="00DE096C" w:rsidRDefault="00D50668" w:rsidP="00D45A46">
      <w:pPr>
        <w:jc w:val="both"/>
        <w:rPr>
          <w:bCs/>
          <w:color w:val="002060"/>
          <w:sz w:val="16"/>
          <w:szCs w:val="16"/>
        </w:rPr>
      </w:pPr>
      <w:r w:rsidRPr="00DE096C">
        <w:rPr>
          <w:bCs/>
          <w:color w:val="002060"/>
          <w:sz w:val="16"/>
          <w:szCs w:val="16"/>
        </w:rPr>
        <w:t xml:space="preserve">Натуральный фенол, получаемый из каменноугольной смолы, из которого ранее фабриковалась пикриновая кислота, в России почти не вырабатывался. Поэтому проф. Ипатьев озаботился прежде всего поставить производство синтетического фенола через сульфацию бензола и получение из него пикриновой кислоты. Ранее других это производство было организовано на заводе Фарбверке в Москве. Начав производство в мае 1915 г., завод в декабре мог давать уже до 6000 пудов в месяц. Затем были устроены заводы синтетического фенола: у ст. Рубежной, при заводе "Русско-Краска", и у ст. Шахтной Донецкой области при заводе Парамонова. </w:t>
      </w:r>
    </w:p>
    <w:p w14:paraId="4DA16747" w14:textId="77777777" w:rsidR="00D50668" w:rsidRPr="00DE096C" w:rsidRDefault="00D50668" w:rsidP="00D45A46">
      <w:pPr>
        <w:jc w:val="both"/>
        <w:rPr>
          <w:bCs/>
          <w:color w:val="002060"/>
          <w:sz w:val="16"/>
          <w:szCs w:val="16"/>
        </w:rPr>
      </w:pPr>
      <w:r w:rsidRPr="00DE096C">
        <w:rPr>
          <w:bCs/>
          <w:color w:val="002060"/>
          <w:sz w:val="16"/>
          <w:szCs w:val="16"/>
        </w:rPr>
        <w:t xml:space="preserve">Так как производство синтетического фенола в нормальных условиях спроса не может выдерживать конкуренцию с фенолом натуральным, то Химический комитет, заботясь о нормальном развитии химической промышленности в дальнейшем, когда кончится война, организовал также получение карболовой кислоты и крезолов из тяжелой каменноугольной смолы и очистку этих продуктов. С этой целью был Львовым построен завод при ст. Железной Екатеринославской железной дороги. </w:t>
      </w:r>
    </w:p>
    <w:p w14:paraId="4403E9FB" w14:textId="77777777" w:rsidR="00D50668" w:rsidRPr="00DE096C" w:rsidRDefault="00D50668" w:rsidP="00D45A46">
      <w:pPr>
        <w:jc w:val="both"/>
        <w:rPr>
          <w:bCs/>
          <w:color w:val="002060"/>
          <w:sz w:val="16"/>
          <w:szCs w:val="16"/>
        </w:rPr>
      </w:pPr>
      <w:r w:rsidRPr="00DE096C">
        <w:rPr>
          <w:bCs/>
          <w:color w:val="002060"/>
          <w:sz w:val="16"/>
          <w:szCs w:val="16"/>
        </w:rPr>
        <w:t xml:space="preserve">Выработка синтетического фенола в 1916 г. выражается в следующих цифрах (тыс. пудов):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808"/>
        <w:gridCol w:w="792"/>
      </w:tblGrid>
      <w:tr w:rsidR="00D50668" w:rsidRPr="00DE096C" w14:paraId="48E2FA6A" w14:textId="77777777" w:rsidTr="00D34AC1">
        <w:tc>
          <w:tcPr>
            <w:tcW w:w="2808" w:type="dxa"/>
          </w:tcPr>
          <w:p w14:paraId="65341E32" w14:textId="77777777" w:rsidR="00D50668" w:rsidRPr="00DE096C" w:rsidRDefault="00D50668" w:rsidP="00D45A46">
            <w:pPr>
              <w:jc w:val="both"/>
              <w:rPr>
                <w:bCs/>
                <w:color w:val="002060"/>
                <w:sz w:val="16"/>
                <w:szCs w:val="16"/>
              </w:rPr>
            </w:pPr>
            <w:r w:rsidRPr="00DE096C">
              <w:rPr>
                <w:bCs/>
                <w:color w:val="002060"/>
                <w:sz w:val="16"/>
                <w:szCs w:val="16"/>
              </w:rPr>
              <w:t>Первое полугодие 1916 г.</w:t>
            </w:r>
          </w:p>
        </w:tc>
        <w:tc>
          <w:tcPr>
            <w:tcW w:w="792" w:type="dxa"/>
          </w:tcPr>
          <w:p w14:paraId="1B77401B" w14:textId="77777777" w:rsidR="00D50668" w:rsidRPr="00DE096C" w:rsidRDefault="00D50668" w:rsidP="00D45A46">
            <w:pPr>
              <w:jc w:val="both"/>
              <w:rPr>
                <w:bCs/>
                <w:color w:val="002060"/>
                <w:sz w:val="16"/>
                <w:szCs w:val="16"/>
              </w:rPr>
            </w:pPr>
            <w:r w:rsidRPr="00DE096C">
              <w:rPr>
                <w:bCs/>
                <w:color w:val="002060"/>
                <w:sz w:val="16"/>
                <w:szCs w:val="16"/>
              </w:rPr>
              <w:t xml:space="preserve">51.8 </w:t>
            </w:r>
          </w:p>
        </w:tc>
      </w:tr>
      <w:tr w:rsidR="00D50668" w:rsidRPr="00DE096C" w14:paraId="18D7E2D9" w14:textId="77777777" w:rsidTr="00D34AC1">
        <w:tc>
          <w:tcPr>
            <w:tcW w:w="2808" w:type="dxa"/>
          </w:tcPr>
          <w:p w14:paraId="46AD8D99" w14:textId="77777777" w:rsidR="00D50668" w:rsidRPr="00DE096C" w:rsidRDefault="00D50668" w:rsidP="00D45A46">
            <w:pPr>
              <w:jc w:val="both"/>
              <w:rPr>
                <w:bCs/>
                <w:color w:val="002060"/>
                <w:sz w:val="16"/>
                <w:szCs w:val="16"/>
              </w:rPr>
            </w:pPr>
            <w:r w:rsidRPr="00DE096C">
              <w:rPr>
                <w:bCs/>
                <w:color w:val="002060"/>
                <w:sz w:val="16"/>
                <w:szCs w:val="16"/>
              </w:rPr>
              <w:t>Второе полугодие 1916 г.</w:t>
            </w:r>
          </w:p>
        </w:tc>
        <w:tc>
          <w:tcPr>
            <w:tcW w:w="792" w:type="dxa"/>
          </w:tcPr>
          <w:p w14:paraId="0B1DFF4D" w14:textId="77777777" w:rsidR="00D50668" w:rsidRPr="00DE096C" w:rsidRDefault="00D50668" w:rsidP="00D45A46">
            <w:pPr>
              <w:jc w:val="both"/>
              <w:rPr>
                <w:bCs/>
                <w:color w:val="002060"/>
                <w:sz w:val="16"/>
                <w:szCs w:val="16"/>
              </w:rPr>
            </w:pPr>
            <w:r w:rsidRPr="00DE096C">
              <w:rPr>
                <w:bCs/>
                <w:color w:val="002060"/>
                <w:sz w:val="16"/>
                <w:szCs w:val="16"/>
              </w:rPr>
              <w:t xml:space="preserve">73.1 </w:t>
            </w:r>
          </w:p>
        </w:tc>
      </w:tr>
      <w:tr w:rsidR="00D50668" w:rsidRPr="00DE096C" w14:paraId="46117C56" w14:textId="77777777" w:rsidTr="00D34AC1">
        <w:tc>
          <w:tcPr>
            <w:tcW w:w="2808" w:type="dxa"/>
          </w:tcPr>
          <w:p w14:paraId="2D266950" w14:textId="77777777" w:rsidR="00D50668" w:rsidRPr="00DE096C" w:rsidRDefault="00D50668" w:rsidP="00D45A46">
            <w:pPr>
              <w:jc w:val="both"/>
              <w:rPr>
                <w:bCs/>
                <w:color w:val="002060"/>
                <w:sz w:val="16"/>
                <w:szCs w:val="16"/>
              </w:rPr>
            </w:pPr>
            <w:r w:rsidRPr="00DE096C">
              <w:rPr>
                <w:bCs/>
                <w:color w:val="002060"/>
                <w:sz w:val="16"/>
                <w:szCs w:val="16"/>
              </w:rPr>
              <w:t>Всего за 1916 г.</w:t>
            </w:r>
          </w:p>
        </w:tc>
        <w:tc>
          <w:tcPr>
            <w:tcW w:w="792" w:type="dxa"/>
          </w:tcPr>
          <w:p w14:paraId="35A2EAAB" w14:textId="77777777" w:rsidR="00D50668" w:rsidRPr="00DE096C" w:rsidRDefault="00D50668" w:rsidP="00D45A46">
            <w:pPr>
              <w:jc w:val="both"/>
              <w:rPr>
                <w:bCs/>
                <w:color w:val="002060"/>
                <w:sz w:val="16"/>
                <w:szCs w:val="16"/>
              </w:rPr>
            </w:pPr>
            <w:r w:rsidRPr="00DE096C">
              <w:rPr>
                <w:bCs/>
                <w:color w:val="002060"/>
                <w:sz w:val="16"/>
                <w:szCs w:val="16"/>
              </w:rPr>
              <w:t>124.9.</w:t>
            </w:r>
          </w:p>
        </w:tc>
      </w:tr>
    </w:tbl>
    <w:p w14:paraId="27DBBD65" w14:textId="77777777" w:rsidR="00D50668" w:rsidRPr="00DE096C" w:rsidRDefault="00D50668" w:rsidP="00D45A46">
      <w:pPr>
        <w:jc w:val="both"/>
        <w:rPr>
          <w:bCs/>
          <w:color w:val="002060"/>
          <w:sz w:val="16"/>
          <w:szCs w:val="16"/>
        </w:rPr>
      </w:pPr>
      <w:r w:rsidRPr="00DE096C">
        <w:rPr>
          <w:bCs/>
          <w:color w:val="002060"/>
          <w:sz w:val="16"/>
          <w:szCs w:val="16"/>
        </w:rPr>
        <w:t xml:space="preserve">До войны серная кислота вырабатывалась в России в количестве до 1,25 млн пудов в месяц. Колчедан, необходимый для этой цели, в четверть добывался на Урале, остальные же три четверти привозились из-за границы. </w:t>
      </w:r>
    </w:p>
    <w:p w14:paraId="33FD907A" w14:textId="77777777" w:rsidR="00D50668" w:rsidRPr="00DE096C" w:rsidRDefault="00D50668" w:rsidP="00D45A46">
      <w:pPr>
        <w:jc w:val="both"/>
        <w:rPr>
          <w:bCs/>
          <w:color w:val="002060"/>
          <w:sz w:val="16"/>
          <w:szCs w:val="16"/>
        </w:rPr>
      </w:pPr>
      <w:r w:rsidRPr="00DE096C">
        <w:rPr>
          <w:bCs/>
          <w:color w:val="002060"/>
          <w:sz w:val="16"/>
          <w:szCs w:val="16"/>
        </w:rPr>
        <w:t xml:space="preserve">В связи с военными операциями на Западном фронте сернокислотные заводы Прибалтики и Царства Польского прекратили работы, благодаря чему с общего счета нужно было скинуть 0,5 млн пудов месячной производительности. </w:t>
      </w:r>
    </w:p>
    <w:p w14:paraId="219C686C" w14:textId="77777777" w:rsidR="00D50668" w:rsidRPr="00DE096C" w:rsidRDefault="00D50668" w:rsidP="00D45A46">
      <w:pPr>
        <w:jc w:val="both"/>
        <w:rPr>
          <w:bCs/>
          <w:color w:val="002060"/>
          <w:sz w:val="16"/>
          <w:szCs w:val="16"/>
        </w:rPr>
      </w:pPr>
      <w:r w:rsidRPr="00DE096C">
        <w:rPr>
          <w:bCs/>
          <w:color w:val="002060"/>
          <w:sz w:val="16"/>
          <w:szCs w:val="16"/>
        </w:rPr>
        <w:t xml:space="preserve">Такое положение с серной кислотой являлось угрозой делу производства порохов и взрывчатых веществ, которые вместе с ростом производства основных материалов — толуола, бензола и пр. — должны были и дальше сильно расти, соответственно с заданиями высшего командования. Поэтому требовались энергичные мероприятия со стороны Комиссии Ипатьева по восстановлению и развитию сернокислотного дела и исходных материалов для него. </w:t>
      </w:r>
    </w:p>
    <w:p w14:paraId="085EB162" w14:textId="77777777" w:rsidR="00D50668" w:rsidRPr="00DE096C" w:rsidRDefault="00D50668" w:rsidP="00D45A46">
      <w:pPr>
        <w:jc w:val="both"/>
        <w:rPr>
          <w:bCs/>
          <w:color w:val="002060"/>
          <w:sz w:val="16"/>
          <w:szCs w:val="16"/>
        </w:rPr>
      </w:pPr>
      <w:r w:rsidRPr="00DE096C">
        <w:rPr>
          <w:bCs/>
          <w:color w:val="002060"/>
          <w:sz w:val="16"/>
          <w:szCs w:val="16"/>
        </w:rPr>
        <w:t xml:space="preserve">С целью выяснить вопрос о возможности постройки новых сернокислотных заводов и развития старых, а также усиления добычи колчедана, в июне 1915 г. был собран съезд кислотозаводчиков и представителей серноколчеданных рудников. На съезде была выработала детальная программа развития сернокислотного и колчеданного дела, и, по утверждении ее Особым совещанием по обороне, с лета 1915 г. было приступлено к осуществлению ее. </w:t>
      </w:r>
    </w:p>
    <w:p w14:paraId="33C7AE48" w14:textId="77777777" w:rsidR="00D50668" w:rsidRPr="00DE096C" w:rsidRDefault="00D50668" w:rsidP="00D45A46">
      <w:pPr>
        <w:jc w:val="both"/>
        <w:rPr>
          <w:bCs/>
          <w:color w:val="002060"/>
          <w:sz w:val="16"/>
          <w:szCs w:val="16"/>
        </w:rPr>
      </w:pPr>
      <w:r w:rsidRPr="00DE096C">
        <w:rPr>
          <w:bCs/>
          <w:color w:val="002060"/>
          <w:sz w:val="16"/>
          <w:szCs w:val="16"/>
        </w:rPr>
        <w:t xml:space="preserve">Согласно программы, намечена была постройка с лета 1915 г. до 20 заводов серной кислоты, которые должны были увеличить вдвое выработку кислоты. Часть этих заводов предположена была к оборудованию контактными системами. </w:t>
      </w:r>
    </w:p>
    <w:p w14:paraId="0E75C40B" w14:textId="77777777" w:rsidR="00D50668" w:rsidRPr="00DE096C" w:rsidRDefault="00D50668" w:rsidP="00D45A46">
      <w:pPr>
        <w:jc w:val="both"/>
        <w:rPr>
          <w:bCs/>
          <w:color w:val="002060"/>
          <w:sz w:val="16"/>
          <w:szCs w:val="16"/>
        </w:rPr>
      </w:pPr>
      <w:r w:rsidRPr="00DE096C">
        <w:rPr>
          <w:bCs/>
          <w:color w:val="002060"/>
          <w:sz w:val="16"/>
          <w:szCs w:val="16"/>
        </w:rPr>
        <w:t xml:space="preserve">Для наблюдения на местах за производством кислоты и правильного распределения ее между заводами военной и частной промышленности, а также для наблюдения за строительством, Комиссией по заготовлению взрывчатых веществ были организованы районные бюро. Районов было установлено шесть: Петроградский, Московский, Верхневолжский, Казанский, Уральский, Южный и Кавказский. </w:t>
      </w:r>
    </w:p>
    <w:p w14:paraId="56EEA333" w14:textId="77777777" w:rsidR="00D50668" w:rsidRPr="00DE096C" w:rsidRDefault="00D50668" w:rsidP="00D45A46">
      <w:pPr>
        <w:jc w:val="both"/>
        <w:rPr>
          <w:bCs/>
          <w:color w:val="002060"/>
          <w:sz w:val="16"/>
          <w:szCs w:val="16"/>
        </w:rPr>
      </w:pPr>
      <w:r w:rsidRPr="00DE096C">
        <w:rPr>
          <w:bCs/>
          <w:color w:val="002060"/>
          <w:sz w:val="16"/>
          <w:szCs w:val="16"/>
        </w:rPr>
        <w:t xml:space="preserve">Весьма серьезным вопросом являлось правильное распределение кислоты между потребителями частной промышленности, так как в связи с кислотным кризисом на рынке началась спекуляция и искусственное вздутие цен на этот материал. </w:t>
      </w:r>
    </w:p>
    <w:p w14:paraId="1BF7C720" w14:textId="77777777" w:rsidR="00D50668" w:rsidRPr="00DE096C" w:rsidRDefault="00D50668" w:rsidP="00D45A46">
      <w:pPr>
        <w:jc w:val="both"/>
        <w:rPr>
          <w:bCs/>
          <w:color w:val="002060"/>
          <w:sz w:val="16"/>
          <w:szCs w:val="16"/>
        </w:rPr>
      </w:pPr>
      <w:r w:rsidRPr="00DE096C">
        <w:rPr>
          <w:bCs/>
          <w:color w:val="002060"/>
          <w:sz w:val="16"/>
          <w:szCs w:val="16"/>
        </w:rPr>
        <w:t xml:space="preserve">Ниже приводится таблица, в которой по месяцам указаны: 1) программа работы по производству серной кислоты заводов, существовавших к осени 1915 г., 2) число вновь организованных заводов, вступивших в работу, 3) программа, работы последних и 4) суммарный выпуск серной кислоты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248"/>
        <w:gridCol w:w="1503"/>
        <w:gridCol w:w="1092"/>
        <w:gridCol w:w="1792"/>
        <w:gridCol w:w="972"/>
      </w:tblGrid>
      <w:tr w:rsidR="00D50668" w:rsidRPr="00DE096C" w14:paraId="3E6C031B" w14:textId="77777777" w:rsidTr="00D34AC1">
        <w:tc>
          <w:tcPr>
            <w:tcW w:w="1248" w:type="dxa"/>
          </w:tcPr>
          <w:p w14:paraId="0B9EEA2C" w14:textId="77777777" w:rsidR="00D50668" w:rsidRPr="00DE096C" w:rsidRDefault="00D50668" w:rsidP="00D45A46">
            <w:pPr>
              <w:jc w:val="both"/>
              <w:rPr>
                <w:bCs/>
                <w:color w:val="002060"/>
                <w:sz w:val="16"/>
                <w:szCs w:val="16"/>
              </w:rPr>
            </w:pPr>
            <w:r w:rsidRPr="00DE096C">
              <w:rPr>
                <w:bCs/>
                <w:color w:val="002060"/>
                <w:sz w:val="16"/>
                <w:szCs w:val="16"/>
              </w:rPr>
              <w:t> </w:t>
            </w:r>
          </w:p>
        </w:tc>
        <w:tc>
          <w:tcPr>
            <w:tcW w:w="1503" w:type="dxa"/>
          </w:tcPr>
          <w:p w14:paraId="6A8A61C3" w14:textId="77777777" w:rsidR="00D50668" w:rsidRPr="00DE096C" w:rsidRDefault="00D50668" w:rsidP="00D45A46">
            <w:pPr>
              <w:jc w:val="both"/>
              <w:rPr>
                <w:bCs/>
                <w:color w:val="002060"/>
                <w:sz w:val="16"/>
                <w:szCs w:val="16"/>
              </w:rPr>
            </w:pPr>
            <w:r w:rsidRPr="00DE096C">
              <w:rPr>
                <w:bCs/>
                <w:color w:val="002060"/>
                <w:sz w:val="16"/>
                <w:szCs w:val="16"/>
              </w:rPr>
              <w:t>Существовавшие к осени 1915 г. заводы</w:t>
            </w:r>
          </w:p>
        </w:tc>
        <w:tc>
          <w:tcPr>
            <w:tcW w:w="1092" w:type="dxa"/>
          </w:tcPr>
          <w:p w14:paraId="59D5767E" w14:textId="77777777" w:rsidR="00D50668" w:rsidRPr="00DE096C" w:rsidRDefault="00D50668" w:rsidP="00D45A46">
            <w:pPr>
              <w:jc w:val="both"/>
              <w:rPr>
                <w:bCs/>
                <w:color w:val="002060"/>
                <w:sz w:val="16"/>
                <w:szCs w:val="16"/>
              </w:rPr>
            </w:pPr>
            <w:r w:rsidRPr="00DE096C">
              <w:rPr>
                <w:bCs/>
                <w:color w:val="002060"/>
                <w:sz w:val="16"/>
                <w:szCs w:val="16"/>
              </w:rPr>
              <w:t>Число новых заводов</w:t>
            </w:r>
          </w:p>
        </w:tc>
        <w:tc>
          <w:tcPr>
            <w:tcW w:w="1792" w:type="dxa"/>
          </w:tcPr>
          <w:p w14:paraId="6D2F94E4" w14:textId="77777777" w:rsidR="00D50668" w:rsidRPr="00DE096C" w:rsidRDefault="00D50668" w:rsidP="00D45A46">
            <w:pPr>
              <w:jc w:val="both"/>
              <w:rPr>
                <w:bCs/>
                <w:color w:val="002060"/>
                <w:sz w:val="16"/>
                <w:szCs w:val="16"/>
              </w:rPr>
            </w:pPr>
            <w:r w:rsidRPr="00DE096C">
              <w:rPr>
                <w:bCs/>
                <w:color w:val="002060"/>
                <w:sz w:val="16"/>
                <w:szCs w:val="16"/>
              </w:rPr>
              <w:t>Производительность новых заводов</w:t>
            </w:r>
          </w:p>
        </w:tc>
        <w:tc>
          <w:tcPr>
            <w:tcW w:w="972" w:type="dxa"/>
          </w:tcPr>
          <w:p w14:paraId="556FD5DB" w14:textId="77777777" w:rsidR="00D50668" w:rsidRPr="00DE096C" w:rsidRDefault="00D50668" w:rsidP="00D45A46">
            <w:pPr>
              <w:jc w:val="both"/>
              <w:rPr>
                <w:bCs/>
                <w:color w:val="002060"/>
                <w:sz w:val="16"/>
                <w:szCs w:val="16"/>
              </w:rPr>
            </w:pPr>
            <w:r w:rsidRPr="00DE096C">
              <w:rPr>
                <w:bCs/>
                <w:color w:val="002060"/>
                <w:sz w:val="16"/>
                <w:szCs w:val="16"/>
              </w:rPr>
              <w:t xml:space="preserve">Итого старые и новые </w:t>
            </w:r>
          </w:p>
        </w:tc>
      </w:tr>
      <w:tr w:rsidR="00D50668" w:rsidRPr="00DE096C" w14:paraId="295F2638" w14:textId="77777777" w:rsidTr="00D34AC1">
        <w:tc>
          <w:tcPr>
            <w:tcW w:w="1248" w:type="dxa"/>
          </w:tcPr>
          <w:p w14:paraId="50C006C3" w14:textId="77777777" w:rsidR="00D50668" w:rsidRPr="00DE096C" w:rsidRDefault="00D50668" w:rsidP="00D45A46">
            <w:pPr>
              <w:jc w:val="both"/>
              <w:rPr>
                <w:bCs/>
                <w:color w:val="002060"/>
                <w:sz w:val="16"/>
                <w:szCs w:val="16"/>
              </w:rPr>
            </w:pPr>
            <w:r w:rsidRPr="00DE096C">
              <w:rPr>
                <w:bCs/>
                <w:color w:val="002060"/>
                <w:sz w:val="16"/>
                <w:szCs w:val="16"/>
              </w:rPr>
              <w:t> </w:t>
            </w:r>
          </w:p>
        </w:tc>
        <w:tc>
          <w:tcPr>
            <w:tcW w:w="4387" w:type="dxa"/>
            <w:gridSpan w:val="3"/>
          </w:tcPr>
          <w:p w14:paraId="71D04C84" w14:textId="77777777" w:rsidR="00D50668" w:rsidRPr="00DE096C" w:rsidRDefault="00D50668" w:rsidP="00D45A46">
            <w:pPr>
              <w:jc w:val="both"/>
              <w:rPr>
                <w:bCs/>
                <w:color w:val="002060"/>
                <w:sz w:val="16"/>
                <w:szCs w:val="16"/>
              </w:rPr>
            </w:pPr>
            <w:r w:rsidRPr="00DE096C">
              <w:rPr>
                <w:bCs/>
                <w:color w:val="002060"/>
                <w:sz w:val="16"/>
                <w:szCs w:val="16"/>
              </w:rPr>
              <w:t>Программа</w:t>
            </w:r>
          </w:p>
        </w:tc>
        <w:tc>
          <w:tcPr>
            <w:tcW w:w="972" w:type="dxa"/>
          </w:tcPr>
          <w:p w14:paraId="5F145073" w14:textId="77777777" w:rsidR="00D50668" w:rsidRPr="00DE096C" w:rsidRDefault="00D50668" w:rsidP="00D45A46">
            <w:pPr>
              <w:jc w:val="both"/>
              <w:rPr>
                <w:bCs/>
                <w:color w:val="002060"/>
                <w:sz w:val="16"/>
                <w:szCs w:val="16"/>
              </w:rPr>
            </w:pPr>
            <w:r w:rsidRPr="00DE096C">
              <w:rPr>
                <w:bCs/>
                <w:color w:val="002060"/>
                <w:sz w:val="16"/>
                <w:szCs w:val="16"/>
              </w:rPr>
              <w:t> </w:t>
            </w:r>
          </w:p>
        </w:tc>
      </w:tr>
      <w:tr w:rsidR="00D50668" w:rsidRPr="00DE096C" w14:paraId="506CF5C8" w14:textId="77777777" w:rsidTr="00D34AC1">
        <w:tc>
          <w:tcPr>
            <w:tcW w:w="1248" w:type="dxa"/>
          </w:tcPr>
          <w:p w14:paraId="4249EF09" w14:textId="77777777" w:rsidR="00D50668" w:rsidRPr="00DE096C" w:rsidRDefault="00D50668" w:rsidP="00D45A46">
            <w:pPr>
              <w:jc w:val="both"/>
              <w:rPr>
                <w:bCs/>
                <w:color w:val="002060"/>
                <w:sz w:val="16"/>
                <w:szCs w:val="16"/>
              </w:rPr>
            </w:pPr>
            <w:r w:rsidRPr="00DE096C">
              <w:rPr>
                <w:bCs/>
                <w:color w:val="002060"/>
                <w:sz w:val="16"/>
                <w:szCs w:val="16"/>
              </w:rPr>
              <w:t>Декабрь 1915 г.</w:t>
            </w:r>
          </w:p>
        </w:tc>
        <w:tc>
          <w:tcPr>
            <w:tcW w:w="1503" w:type="dxa"/>
          </w:tcPr>
          <w:p w14:paraId="29640B0E" w14:textId="77777777" w:rsidR="00D50668" w:rsidRPr="00DE096C" w:rsidRDefault="00D50668" w:rsidP="00D45A46">
            <w:pPr>
              <w:jc w:val="both"/>
              <w:rPr>
                <w:bCs/>
                <w:color w:val="002060"/>
                <w:sz w:val="16"/>
                <w:szCs w:val="16"/>
              </w:rPr>
            </w:pPr>
            <w:r w:rsidRPr="00DE096C">
              <w:rPr>
                <w:bCs/>
                <w:color w:val="002060"/>
                <w:sz w:val="16"/>
                <w:szCs w:val="16"/>
              </w:rPr>
              <w:t>800</w:t>
            </w:r>
          </w:p>
        </w:tc>
        <w:tc>
          <w:tcPr>
            <w:tcW w:w="1092" w:type="dxa"/>
          </w:tcPr>
          <w:p w14:paraId="7E08E94E" w14:textId="77777777" w:rsidR="00D50668" w:rsidRPr="00DE096C" w:rsidRDefault="00D50668" w:rsidP="00D45A46">
            <w:pPr>
              <w:jc w:val="both"/>
              <w:rPr>
                <w:bCs/>
                <w:color w:val="002060"/>
                <w:sz w:val="16"/>
                <w:szCs w:val="16"/>
              </w:rPr>
            </w:pPr>
            <w:r w:rsidRPr="00DE096C">
              <w:rPr>
                <w:bCs/>
                <w:color w:val="002060"/>
                <w:sz w:val="16"/>
                <w:szCs w:val="16"/>
              </w:rPr>
              <w:t>2</w:t>
            </w:r>
          </w:p>
        </w:tc>
        <w:tc>
          <w:tcPr>
            <w:tcW w:w="1792" w:type="dxa"/>
          </w:tcPr>
          <w:p w14:paraId="36EB51A5" w14:textId="77777777" w:rsidR="00D50668" w:rsidRPr="00DE096C" w:rsidRDefault="00D50668" w:rsidP="00D45A46">
            <w:pPr>
              <w:jc w:val="both"/>
              <w:rPr>
                <w:bCs/>
                <w:color w:val="002060"/>
                <w:sz w:val="16"/>
                <w:szCs w:val="16"/>
              </w:rPr>
            </w:pPr>
            <w:r w:rsidRPr="00DE096C">
              <w:rPr>
                <w:bCs/>
                <w:color w:val="002060"/>
                <w:sz w:val="16"/>
                <w:szCs w:val="16"/>
              </w:rPr>
              <w:t>75</w:t>
            </w:r>
          </w:p>
        </w:tc>
        <w:tc>
          <w:tcPr>
            <w:tcW w:w="972" w:type="dxa"/>
          </w:tcPr>
          <w:p w14:paraId="7CA7E79A" w14:textId="77777777" w:rsidR="00D50668" w:rsidRPr="00DE096C" w:rsidRDefault="00D50668" w:rsidP="00D45A46">
            <w:pPr>
              <w:jc w:val="both"/>
              <w:rPr>
                <w:bCs/>
                <w:color w:val="002060"/>
                <w:sz w:val="16"/>
                <w:szCs w:val="16"/>
              </w:rPr>
            </w:pPr>
            <w:r w:rsidRPr="00DE096C">
              <w:rPr>
                <w:bCs/>
                <w:color w:val="002060"/>
                <w:sz w:val="16"/>
                <w:szCs w:val="16"/>
              </w:rPr>
              <w:t>875</w:t>
            </w:r>
          </w:p>
        </w:tc>
      </w:tr>
      <w:tr w:rsidR="00D50668" w:rsidRPr="00DE096C" w14:paraId="6AC825F1" w14:textId="77777777" w:rsidTr="00D34AC1">
        <w:tc>
          <w:tcPr>
            <w:tcW w:w="1248" w:type="dxa"/>
          </w:tcPr>
          <w:p w14:paraId="7F1DD6CA" w14:textId="77777777" w:rsidR="00D50668" w:rsidRPr="00DE096C" w:rsidRDefault="00D50668" w:rsidP="00D45A46">
            <w:pPr>
              <w:jc w:val="both"/>
              <w:rPr>
                <w:bCs/>
                <w:color w:val="002060"/>
                <w:sz w:val="16"/>
                <w:szCs w:val="16"/>
              </w:rPr>
            </w:pPr>
            <w:r w:rsidRPr="00DE096C">
              <w:rPr>
                <w:bCs/>
                <w:color w:val="002060"/>
                <w:sz w:val="16"/>
                <w:szCs w:val="16"/>
              </w:rPr>
              <w:t>Январь 1916 г.</w:t>
            </w:r>
          </w:p>
        </w:tc>
        <w:tc>
          <w:tcPr>
            <w:tcW w:w="1503" w:type="dxa"/>
          </w:tcPr>
          <w:p w14:paraId="36C5FB1E" w14:textId="77777777" w:rsidR="00D50668" w:rsidRPr="00DE096C" w:rsidRDefault="00D50668" w:rsidP="00D45A46">
            <w:pPr>
              <w:jc w:val="both"/>
              <w:rPr>
                <w:bCs/>
                <w:color w:val="002060"/>
                <w:sz w:val="16"/>
                <w:szCs w:val="16"/>
              </w:rPr>
            </w:pPr>
            <w:r w:rsidRPr="00DE096C">
              <w:rPr>
                <w:bCs/>
                <w:color w:val="002060"/>
                <w:sz w:val="16"/>
                <w:szCs w:val="16"/>
              </w:rPr>
              <w:t>800</w:t>
            </w:r>
          </w:p>
        </w:tc>
        <w:tc>
          <w:tcPr>
            <w:tcW w:w="1092" w:type="dxa"/>
          </w:tcPr>
          <w:p w14:paraId="643F91ED" w14:textId="77777777" w:rsidR="00D50668" w:rsidRPr="00DE096C" w:rsidRDefault="00D50668" w:rsidP="00D45A46">
            <w:pPr>
              <w:jc w:val="both"/>
              <w:rPr>
                <w:bCs/>
                <w:color w:val="002060"/>
                <w:sz w:val="16"/>
                <w:szCs w:val="16"/>
              </w:rPr>
            </w:pPr>
            <w:r w:rsidRPr="00DE096C">
              <w:rPr>
                <w:bCs/>
                <w:color w:val="002060"/>
                <w:sz w:val="16"/>
                <w:szCs w:val="16"/>
              </w:rPr>
              <w:t>6</w:t>
            </w:r>
          </w:p>
        </w:tc>
        <w:tc>
          <w:tcPr>
            <w:tcW w:w="1792" w:type="dxa"/>
          </w:tcPr>
          <w:p w14:paraId="75CE1DBE" w14:textId="77777777" w:rsidR="00D50668" w:rsidRPr="00DE096C" w:rsidRDefault="00D50668" w:rsidP="00D45A46">
            <w:pPr>
              <w:jc w:val="both"/>
              <w:rPr>
                <w:bCs/>
                <w:color w:val="002060"/>
                <w:sz w:val="16"/>
                <w:szCs w:val="16"/>
              </w:rPr>
            </w:pPr>
            <w:r w:rsidRPr="00DE096C">
              <w:rPr>
                <w:bCs/>
                <w:color w:val="002060"/>
                <w:sz w:val="16"/>
                <w:szCs w:val="16"/>
              </w:rPr>
              <w:t>249,1</w:t>
            </w:r>
          </w:p>
        </w:tc>
        <w:tc>
          <w:tcPr>
            <w:tcW w:w="972" w:type="dxa"/>
          </w:tcPr>
          <w:p w14:paraId="7F57EA65" w14:textId="77777777" w:rsidR="00D50668" w:rsidRPr="00DE096C" w:rsidRDefault="00D50668" w:rsidP="00D45A46">
            <w:pPr>
              <w:jc w:val="both"/>
              <w:rPr>
                <w:bCs/>
                <w:color w:val="002060"/>
                <w:sz w:val="16"/>
                <w:szCs w:val="16"/>
              </w:rPr>
            </w:pPr>
            <w:r w:rsidRPr="00DE096C">
              <w:rPr>
                <w:bCs/>
                <w:color w:val="002060"/>
                <w:sz w:val="16"/>
                <w:szCs w:val="16"/>
              </w:rPr>
              <w:t>1.049,1</w:t>
            </w:r>
          </w:p>
        </w:tc>
      </w:tr>
      <w:tr w:rsidR="00D50668" w:rsidRPr="00DE096C" w14:paraId="687B4F0B" w14:textId="77777777" w:rsidTr="00D34AC1">
        <w:tc>
          <w:tcPr>
            <w:tcW w:w="1248" w:type="dxa"/>
          </w:tcPr>
          <w:p w14:paraId="1B647521" w14:textId="77777777" w:rsidR="00D50668" w:rsidRPr="00DE096C" w:rsidRDefault="00D50668" w:rsidP="00D45A46">
            <w:pPr>
              <w:jc w:val="both"/>
              <w:rPr>
                <w:bCs/>
                <w:color w:val="002060"/>
                <w:sz w:val="16"/>
                <w:szCs w:val="16"/>
              </w:rPr>
            </w:pPr>
            <w:r w:rsidRPr="00DE096C">
              <w:rPr>
                <w:bCs/>
                <w:color w:val="002060"/>
                <w:sz w:val="16"/>
                <w:szCs w:val="16"/>
              </w:rPr>
              <w:t>Февраль</w:t>
            </w:r>
          </w:p>
        </w:tc>
        <w:tc>
          <w:tcPr>
            <w:tcW w:w="1503" w:type="dxa"/>
          </w:tcPr>
          <w:p w14:paraId="77EE4016" w14:textId="77777777" w:rsidR="00D50668" w:rsidRPr="00DE096C" w:rsidRDefault="00D50668" w:rsidP="00D45A46">
            <w:pPr>
              <w:jc w:val="both"/>
              <w:rPr>
                <w:bCs/>
                <w:color w:val="002060"/>
                <w:sz w:val="16"/>
                <w:szCs w:val="16"/>
              </w:rPr>
            </w:pPr>
            <w:r w:rsidRPr="00DE096C">
              <w:rPr>
                <w:bCs/>
                <w:color w:val="002060"/>
                <w:sz w:val="16"/>
                <w:szCs w:val="16"/>
              </w:rPr>
              <w:t>800</w:t>
            </w:r>
          </w:p>
        </w:tc>
        <w:tc>
          <w:tcPr>
            <w:tcW w:w="1092" w:type="dxa"/>
          </w:tcPr>
          <w:p w14:paraId="0A1D88AD" w14:textId="77777777" w:rsidR="00D50668" w:rsidRPr="00DE096C" w:rsidRDefault="00D50668" w:rsidP="00D45A46">
            <w:pPr>
              <w:jc w:val="both"/>
              <w:rPr>
                <w:bCs/>
                <w:color w:val="002060"/>
                <w:sz w:val="16"/>
                <w:szCs w:val="16"/>
              </w:rPr>
            </w:pPr>
            <w:r w:rsidRPr="00DE096C">
              <w:rPr>
                <w:bCs/>
                <w:color w:val="002060"/>
                <w:sz w:val="16"/>
                <w:szCs w:val="16"/>
              </w:rPr>
              <w:t>8</w:t>
            </w:r>
          </w:p>
        </w:tc>
        <w:tc>
          <w:tcPr>
            <w:tcW w:w="1792" w:type="dxa"/>
          </w:tcPr>
          <w:p w14:paraId="2A1111EA" w14:textId="77777777" w:rsidR="00D50668" w:rsidRPr="00DE096C" w:rsidRDefault="00D50668" w:rsidP="00D45A46">
            <w:pPr>
              <w:jc w:val="both"/>
              <w:rPr>
                <w:bCs/>
                <w:color w:val="002060"/>
                <w:sz w:val="16"/>
                <w:szCs w:val="16"/>
              </w:rPr>
            </w:pPr>
            <w:r w:rsidRPr="00DE096C">
              <w:rPr>
                <w:bCs/>
                <w:color w:val="002060"/>
                <w:sz w:val="16"/>
                <w:szCs w:val="16"/>
              </w:rPr>
              <w:t>342,6</w:t>
            </w:r>
          </w:p>
        </w:tc>
        <w:tc>
          <w:tcPr>
            <w:tcW w:w="972" w:type="dxa"/>
          </w:tcPr>
          <w:p w14:paraId="6BE91945" w14:textId="77777777" w:rsidR="00D50668" w:rsidRPr="00DE096C" w:rsidRDefault="00D50668" w:rsidP="00D45A46">
            <w:pPr>
              <w:jc w:val="both"/>
              <w:rPr>
                <w:bCs/>
                <w:color w:val="002060"/>
                <w:sz w:val="16"/>
                <w:szCs w:val="16"/>
              </w:rPr>
            </w:pPr>
            <w:r w:rsidRPr="00DE096C">
              <w:rPr>
                <w:bCs/>
                <w:color w:val="002060"/>
                <w:sz w:val="16"/>
                <w:szCs w:val="16"/>
              </w:rPr>
              <w:t>1.142,6</w:t>
            </w:r>
          </w:p>
        </w:tc>
      </w:tr>
      <w:tr w:rsidR="00D50668" w:rsidRPr="00DE096C" w14:paraId="2A7B31A7" w14:textId="77777777" w:rsidTr="00D34AC1">
        <w:tc>
          <w:tcPr>
            <w:tcW w:w="1248" w:type="dxa"/>
          </w:tcPr>
          <w:p w14:paraId="5D945740" w14:textId="77777777" w:rsidR="00D50668" w:rsidRPr="00DE096C" w:rsidRDefault="00D50668" w:rsidP="00D45A46">
            <w:pPr>
              <w:jc w:val="both"/>
              <w:rPr>
                <w:bCs/>
                <w:color w:val="002060"/>
                <w:sz w:val="16"/>
                <w:szCs w:val="16"/>
              </w:rPr>
            </w:pPr>
            <w:r w:rsidRPr="00DE096C">
              <w:rPr>
                <w:bCs/>
                <w:color w:val="002060"/>
                <w:sz w:val="16"/>
                <w:szCs w:val="16"/>
              </w:rPr>
              <w:t>М«рт</w:t>
            </w:r>
          </w:p>
        </w:tc>
        <w:tc>
          <w:tcPr>
            <w:tcW w:w="1503" w:type="dxa"/>
          </w:tcPr>
          <w:p w14:paraId="1EE40E90" w14:textId="77777777" w:rsidR="00D50668" w:rsidRPr="00DE096C" w:rsidRDefault="00D50668" w:rsidP="00D45A46">
            <w:pPr>
              <w:jc w:val="both"/>
              <w:rPr>
                <w:bCs/>
                <w:color w:val="002060"/>
                <w:sz w:val="16"/>
                <w:szCs w:val="16"/>
              </w:rPr>
            </w:pPr>
            <w:r w:rsidRPr="00DE096C">
              <w:rPr>
                <w:bCs/>
                <w:color w:val="002060"/>
                <w:sz w:val="16"/>
                <w:szCs w:val="16"/>
              </w:rPr>
              <w:t>800</w:t>
            </w:r>
          </w:p>
        </w:tc>
        <w:tc>
          <w:tcPr>
            <w:tcW w:w="1092" w:type="dxa"/>
          </w:tcPr>
          <w:p w14:paraId="2E0F7BC3" w14:textId="77777777" w:rsidR="00D50668" w:rsidRPr="00DE096C" w:rsidRDefault="00D50668" w:rsidP="00D45A46">
            <w:pPr>
              <w:jc w:val="both"/>
              <w:rPr>
                <w:bCs/>
                <w:color w:val="002060"/>
                <w:sz w:val="16"/>
                <w:szCs w:val="16"/>
              </w:rPr>
            </w:pPr>
            <w:r w:rsidRPr="00DE096C">
              <w:rPr>
                <w:bCs/>
                <w:color w:val="002060"/>
                <w:sz w:val="16"/>
                <w:szCs w:val="16"/>
              </w:rPr>
              <w:t>11</w:t>
            </w:r>
          </w:p>
        </w:tc>
        <w:tc>
          <w:tcPr>
            <w:tcW w:w="1792" w:type="dxa"/>
          </w:tcPr>
          <w:p w14:paraId="230BAC54" w14:textId="77777777" w:rsidR="00D50668" w:rsidRPr="00DE096C" w:rsidRDefault="00D50668" w:rsidP="00D45A46">
            <w:pPr>
              <w:jc w:val="both"/>
              <w:rPr>
                <w:bCs/>
                <w:color w:val="002060"/>
                <w:sz w:val="16"/>
                <w:szCs w:val="16"/>
              </w:rPr>
            </w:pPr>
            <w:r w:rsidRPr="00DE096C">
              <w:rPr>
                <w:bCs/>
                <w:color w:val="002060"/>
                <w:sz w:val="16"/>
                <w:szCs w:val="16"/>
              </w:rPr>
              <w:t>479,9</w:t>
            </w:r>
          </w:p>
        </w:tc>
        <w:tc>
          <w:tcPr>
            <w:tcW w:w="972" w:type="dxa"/>
          </w:tcPr>
          <w:p w14:paraId="11DEC6BE" w14:textId="77777777" w:rsidR="00D50668" w:rsidRPr="00DE096C" w:rsidRDefault="00D50668" w:rsidP="00D45A46">
            <w:pPr>
              <w:jc w:val="both"/>
              <w:rPr>
                <w:bCs/>
                <w:color w:val="002060"/>
                <w:sz w:val="16"/>
                <w:szCs w:val="16"/>
              </w:rPr>
            </w:pPr>
            <w:r w:rsidRPr="00DE096C">
              <w:rPr>
                <w:bCs/>
                <w:color w:val="002060"/>
                <w:sz w:val="16"/>
                <w:szCs w:val="16"/>
              </w:rPr>
              <w:t>1.279,9</w:t>
            </w:r>
          </w:p>
        </w:tc>
      </w:tr>
      <w:tr w:rsidR="00D50668" w:rsidRPr="00DE096C" w14:paraId="1A32F85E" w14:textId="77777777" w:rsidTr="00D34AC1">
        <w:tc>
          <w:tcPr>
            <w:tcW w:w="1248" w:type="dxa"/>
          </w:tcPr>
          <w:p w14:paraId="532CAA36" w14:textId="77777777" w:rsidR="00D50668" w:rsidRPr="00DE096C" w:rsidRDefault="00D50668" w:rsidP="00D45A46">
            <w:pPr>
              <w:jc w:val="both"/>
              <w:rPr>
                <w:bCs/>
                <w:color w:val="002060"/>
                <w:sz w:val="16"/>
                <w:szCs w:val="16"/>
              </w:rPr>
            </w:pPr>
            <w:r w:rsidRPr="00DE096C">
              <w:rPr>
                <w:bCs/>
                <w:color w:val="002060"/>
                <w:sz w:val="16"/>
                <w:szCs w:val="16"/>
              </w:rPr>
              <w:t>Апрель</w:t>
            </w:r>
          </w:p>
        </w:tc>
        <w:tc>
          <w:tcPr>
            <w:tcW w:w="1503" w:type="dxa"/>
          </w:tcPr>
          <w:p w14:paraId="738AAB96" w14:textId="77777777" w:rsidR="00D50668" w:rsidRPr="00DE096C" w:rsidRDefault="00D50668" w:rsidP="00D45A46">
            <w:pPr>
              <w:jc w:val="both"/>
              <w:rPr>
                <w:bCs/>
                <w:color w:val="002060"/>
                <w:sz w:val="16"/>
                <w:szCs w:val="16"/>
              </w:rPr>
            </w:pPr>
            <w:r w:rsidRPr="00DE096C">
              <w:rPr>
                <w:bCs/>
                <w:color w:val="002060"/>
                <w:sz w:val="16"/>
                <w:szCs w:val="16"/>
              </w:rPr>
              <w:t>800</w:t>
            </w:r>
          </w:p>
        </w:tc>
        <w:tc>
          <w:tcPr>
            <w:tcW w:w="1092" w:type="dxa"/>
          </w:tcPr>
          <w:p w14:paraId="29E58EC2" w14:textId="77777777" w:rsidR="00D50668" w:rsidRPr="00DE096C" w:rsidRDefault="00D50668" w:rsidP="00D45A46">
            <w:pPr>
              <w:jc w:val="both"/>
              <w:rPr>
                <w:bCs/>
                <w:color w:val="002060"/>
                <w:sz w:val="16"/>
                <w:szCs w:val="16"/>
              </w:rPr>
            </w:pPr>
            <w:r w:rsidRPr="00DE096C">
              <w:rPr>
                <w:bCs/>
                <w:color w:val="002060"/>
                <w:sz w:val="16"/>
                <w:szCs w:val="16"/>
              </w:rPr>
              <w:t>15</w:t>
            </w:r>
          </w:p>
        </w:tc>
        <w:tc>
          <w:tcPr>
            <w:tcW w:w="1792" w:type="dxa"/>
          </w:tcPr>
          <w:p w14:paraId="66A2664A" w14:textId="77777777" w:rsidR="00D50668" w:rsidRPr="00DE096C" w:rsidRDefault="00D50668" w:rsidP="00D45A46">
            <w:pPr>
              <w:jc w:val="both"/>
              <w:rPr>
                <w:bCs/>
                <w:color w:val="002060"/>
                <w:sz w:val="16"/>
                <w:szCs w:val="16"/>
              </w:rPr>
            </w:pPr>
            <w:r w:rsidRPr="00DE096C">
              <w:rPr>
                <w:bCs/>
                <w:color w:val="002060"/>
                <w:sz w:val="16"/>
                <w:szCs w:val="16"/>
              </w:rPr>
              <w:t>632,1</w:t>
            </w:r>
          </w:p>
        </w:tc>
        <w:tc>
          <w:tcPr>
            <w:tcW w:w="972" w:type="dxa"/>
          </w:tcPr>
          <w:p w14:paraId="7F3B1F76" w14:textId="77777777" w:rsidR="00D50668" w:rsidRPr="00DE096C" w:rsidRDefault="00D50668" w:rsidP="00D45A46">
            <w:pPr>
              <w:jc w:val="both"/>
              <w:rPr>
                <w:bCs/>
                <w:color w:val="002060"/>
                <w:sz w:val="16"/>
                <w:szCs w:val="16"/>
              </w:rPr>
            </w:pPr>
            <w:r w:rsidRPr="00DE096C">
              <w:rPr>
                <w:bCs/>
                <w:color w:val="002060"/>
                <w:sz w:val="16"/>
                <w:szCs w:val="16"/>
              </w:rPr>
              <w:t>1.432,1</w:t>
            </w:r>
          </w:p>
        </w:tc>
      </w:tr>
      <w:tr w:rsidR="00D50668" w:rsidRPr="00DE096C" w14:paraId="660A9BE2" w14:textId="77777777" w:rsidTr="00D34AC1">
        <w:tc>
          <w:tcPr>
            <w:tcW w:w="1248" w:type="dxa"/>
          </w:tcPr>
          <w:p w14:paraId="306EE36C" w14:textId="77777777" w:rsidR="00D50668" w:rsidRPr="00DE096C" w:rsidRDefault="00D50668" w:rsidP="00D45A46">
            <w:pPr>
              <w:jc w:val="both"/>
              <w:rPr>
                <w:bCs/>
                <w:color w:val="002060"/>
                <w:sz w:val="16"/>
                <w:szCs w:val="16"/>
              </w:rPr>
            </w:pPr>
            <w:r w:rsidRPr="00DE096C">
              <w:rPr>
                <w:bCs/>
                <w:color w:val="002060"/>
                <w:sz w:val="16"/>
                <w:szCs w:val="16"/>
              </w:rPr>
              <w:t>Май</w:t>
            </w:r>
          </w:p>
        </w:tc>
        <w:tc>
          <w:tcPr>
            <w:tcW w:w="1503" w:type="dxa"/>
          </w:tcPr>
          <w:p w14:paraId="291785B2" w14:textId="77777777" w:rsidR="00D50668" w:rsidRPr="00DE096C" w:rsidRDefault="00D50668" w:rsidP="00D45A46">
            <w:pPr>
              <w:jc w:val="both"/>
              <w:rPr>
                <w:bCs/>
                <w:color w:val="002060"/>
                <w:sz w:val="16"/>
                <w:szCs w:val="16"/>
              </w:rPr>
            </w:pPr>
            <w:r w:rsidRPr="00DE096C">
              <w:rPr>
                <w:bCs/>
                <w:color w:val="002060"/>
                <w:sz w:val="16"/>
                <w:szCs w:val="16"/>
              </w:rPr>
              <w:t>800</w:t>
            </w:r>
          </w:p>
        </w:tc>
        <w:tc>
          <w:tcPr>
            <w:tcW w:w="1092" w:type="dxa"/>
          </w:tcPr>
          <w:p w14:paraId="0670C0E1" w14:textId="77777777" w:rsidR="00D50668" w:rsidRPr="00DE096C" w:rsidRDefault="00D50668" w:rsidP="00D45A46">
            <w:pPr>
              <w:jc w:val="both"/>
              <w:rPr>
                <w:bCs/>
                <w:color w:val="002060"/>
                <w:sz w:val="16"/>
                <w:szCs w:val="16"/>
              </w:rPr>
            </w:pPr>
            <w:r w:rsidRPr="00DE096C">
              <w:rPr>
                <w:bCs/>
                <w:color w:val="002060"/>
                <w:sz w:val="16"/>
                <w:szCs w:val="16"/>
              </w:rPr>
              <w:t>18</w:t>
            </w:r>
          </w:p>
        </w:tc>
        <w:tc>
          <w:tcPr>
            <w:tcW w:w="1792" w:type="dxa"/>
          </w:tcPr>
          <w:p w14:paraId="2EA42898" w14:textId="77777777" w:rsidR="00D50668" w:rsidRPr="00DE096C" w:rsidRDefault="00D50668" w:rsidP="00D45A46">
            <w:pPr>
              <w:jc w:val="both"/>
              <w:rPr>
                <w:bCs/>
                <w:color w:val="002060"/>
                <w:sz w:val="16"/>
                <w:szCs w:val="16"/>
              </w:rPr>
            </w:pPr>
            <w:r w:rsidRPr="00DE096C">
              <w:rPr>
                <w:bCs/>
                <w:color w:val="002060"/>
                <w:sz w:val="16"/>
                <w:szCs w:val="16"/>
              </w:rPr>
              <w:t>739,8</w:t>
            </w:r>
          </w:p>
        </w:tc>
        <w:tc>
          <w:tcPr>
            <w:tcW w:w="972" w:type="dxa"/>
          </w:tcPr>
          <w:p w14:paraId="6AB6132D" w14:textId="77777777" w:rsidR="00D50668" w:rsidRPr="00DE096C" w:rsidRDefault="00D50668" w:rsidP="00D45A46">
            <w:pPr>
              <w:jc w:val="both"/>
              <w:rPr>
                <w:bCs/>
                <w:color w:val="002060"/>
                <w:sz w:val="16"/>
                <w:szCs w:val="16"/>
              </w:rPr>
            </w:pPr>
            <w:r w:rsidRPr="00DE096C">
              <w:rPr>
                <w:bCs/>
                <w:color w:val="002060"/>
                <w:sz w:val="16"/>
                <w:szCs w:val="16"/>
              </w:rPr>
              <w:t>1.539,8</w:t>
            </w:r>
          </w:p>
        </w:tc>
      </w:tr>
      <w:tr w:rsidR="00D50668" w:rsidRPr="00DE096C" w14:paraId="222BEF18" w14:textId="77777777" w:rsidTr="00D34AC1">
        <w:tc>
          <w:tcPr>
            <w:tcW w:w="1248" w:type="dxa"/>
          </w:tcPr>
          <w:p w14:paraId="400B1494" w14:textId="77777777" w:rsidR="00D50668" w:rsidRPr="00DE096C" w:rsidRDefault="00D50668" w:rsidP="00D45A46">
            <w:pPr>
              <w:jc w:val="both"/>
              <w:rPr>
                <w:bCs/>
                <w:color w:val="002060"/>
                <w:sz w:val="16"/>
                <w:szCs w:val="16"/>
              </w:rPr>
            </w:pPr>
            <w:r w:rsidRPr="00DE096C">
              <w:rPr>
                <w:bCs/>
                <w:color w:val="002060"/>
                <w:sz w:val="16"/>
                <w:szCs w:val="16"/>
              </w:rPr>
              <w:t>Июнь</w:t>
            </w:r>
          </w:p>
        </w:tc>
        <w:tc>
          <w:tcPr>
            <w:tcW w:w="1503" w:type="dxa"/>
          </w:tcPr>
          <w:p w14:paraId="042145B0" w14:textId="77777777" w:rsidR="00D50668" w:rsidRPr="00DE096C" w:rsidRDefault="00D50668" w:rsidP="00D45A46">
            <w:pPr>
              <w:jc w:val="both"/>
              <w:rPr>
                <w:bCs/>
                <w:color w:val="002060"/>
                <w:sz w:val="16"/>
                <w:szCs w:val="16"/>
              </w:rPr>
            </w:pPr>
            <w:r w:rsidRPr="00DE096C">
              <w:rPr>
                <w:bCs/>
                <w:color w:val="002060"/>
                <w:sz w:val="16"/>
                <w:szCs w:val="16"/>
              </w:rPr>
              <w:t>800</w:t>
            </w:r>
          </w:p>
        </w:tc>
        <w:tc>
          <w:tcPr>
            <w:tcW w:w="1092" w:type="dxa"/>
          </w:tcPr>
          <w:p w14:paraId="0B7B3533" w14:textId="77777777" w:rsidR="00D50668" w:rsidRPr="00DE096C" w:rsidRDefault="00D50668" w:rsidP="00D45A46">
            <w:pPr>
              <w:jc w:val="both"/>
              <w:rPr>
                <w:bCs/>
                <w:color w:val="002060"/>
                <w:sz w:val="16"/>
                <w:szCs w:val="16"/>
              </w:rPr>
            </w:pPr>
            <w:r w:rsidRPr="00DE096C">
              <w:rPr>
                <w:bCs/>
                <w:color w:val="002060"/>
                <w:sz w:val="16"/>
                <w:szCs w:val="16"/>
              </w:rPr>
              <w:t>18</w:t>
            </w:r>
          </w:p>
        </w:tc>
        <w:tc>
          <w:tcPr>
            <w:tcW w:w="1792" w:type="dxa"/>
          </w:tcPr>
          <w:p w14:paraId="10B4AB37" w14:textId="77777777" w:rsidR="00D50668" w:rsidRPr="00DE096C" w:rsidRDefault="00D50668" w:rsidP="00D45A46">
            <w:pPr>
              <w:jc w:val="both"/>
              <w:rPr>
                <w:bCs/>
                <w:color w:val="002060"/>
                <w:sz w:val="16"/>
                <w:szCs w:val="16"/>
              </w:rPr>
            </w:pPr>
            <w:r w:rsidRPr="00DE096C">
              <w:rPr>
                <w:bCs/>
                <w:color w:val="002060"/>
                <w:sz w:val="16"/>
                <w:szCs w:val="16"/>
              </w:rPr>
              <w:t>739,8</w:t>
            </w:r>
          </w:p>
        </w:tc>
        <w:tc>
          <w:tcPr>
            <w:tcW w:w="972" w:type="dxa"/>
          </w:tcPr>
          <w:p w14:paraId="7E190D9B" w14:textId="77777777" w:rsidR="00D50668" w:rsidRPr="00DE096C" w:rsidRDefault="00D50668" w:rsidP="00D45A46">
            <w:pPr>
              <w:jc w:val="both"/>
              <w:rPr>
                <w:bCs/>
                <w:color w:val="002060"/>
                <w:sz w:val="16"/>
                <w:szCs w:val="16"/>
              </w:rPr>
            </w:pPr>
            <w:r w:rsidRPr="00DE096C">
              <w:rPr>
                <w:bCs/>
                <w:color w:val="002060"/>
                <w:sz w:val="16"/>
                <w:szCs w:val="16"/>
              </w:rPr>
              <w:t>1.539,8</w:t>
            </w:r>
          </w:p>
        </w:tc>
      </w:tr>
      <w:tr w:rsidR="00D50668" w:rsidRPr="00DE096C" w14:paraId="2F8840B0" w14:textId="77777777" w:rsidTr="00D34AC1">
        <w:tc>
          <w:tcPr>
            <w:tcW w:w="1248" w:type="dxa"/>
          </w:tcPr>
          <w:p w14:paraId="0A8021E5" w14:textId="77777777" w:rsidR="00D50668" w:rsidRPr="00DE096C" w:rsidRDefault="00D50668" w:rsidP="00D45A46">
            <w:pPr>
              <w:jc w:val="both"/>
              <w:rPr>
                <w:bCs/>
                <w:color w:val="002060"/>
                <w:sz w:val="16"/>
                <w:szCs w:val="16"/>
              </w:rPr>
            </w:pPr>
            <w:r w:rsidRPr="00DE096C">
              <w:rPr>
                <w:bCs/>
                <w:color w:val="002060"/>
                <w:sz w:val="16"/>
                <w:szCs w:val="16"/>
              </w:rPr>
              <w:t>Июль</w:t>
            </w:r>
          </w:p>
        </w:tc>
        <w:tc>
          <w:tcPr>
            <w:tcW w:w="1503" w:type="dxa"/>
          </w:tcPr>
          <w:p w14:paraId="70A10E2D" w14:textId="77777777" w:rsidR="00D50668" w:rsidRPr="00DE096C" w:rsidRDefault="00D50668" w:rsidP="00D45A46">
            <w:pPr>
              <w:jc w:val="both"/>
              <w:rPr>
                <w:bCs/>
                <w:color w:val="002060"/>
                <w:sz w:val="16"/>
                <w:szCs w:val="16"/>
              </w:rPr>
            </w:pPr>
            <w:r w:rsidRPr="00DE096C">
              <w:rPr>
                <w:bCs/>
                <w:color w:val="002060"/>
                <w:sz w:val="16"/>
                <w:szCs w:val="16"/>
              </w:rPr>
              <w:t>800</w:t>
            </w:r>
          </w:p>
        </w:tc>
        <w:tc>
          <w:tcPr>
            <w:tcW w:w="1092" w:type="dxa"/>
          </w:tcPr>
          <w:p w14:paraId="6DA9D931" w14:textId="77777777" w:rsidR="00D50668" w:rsidRPr="00DE096C" w:rsidRDefault="00D50668" w:rsidP="00D45A46">
            <w:pPr>
              <w:jc w:val="both"/>
              <w:rPr>
                <w:bCs/>
                <w:color w:val="002060"/>
                <w:sz w:val="16"/>
                <w:szCs w:val="16"/>
              </w:rPr>
            </w:pPr>
            <w:r w:rsidRPr="00DE096C">
              <w:rPr>
                <w:bCs/>
                <w:color w:val="002060"/>
                <w:sz w:val="16"/>
                <w:szCs w:val="16"/>
              </w:rPr>
              <w:t>23</w:t>
            </w:r>
          </w:p>
        </w:tc>
        <w:tc>
          <w:tcPr>
            <w:tcW w:w="1792" w:type="dxa"/>
          </w:tcPr>
          <w:p w14:paraId="27FE2EF4" w14:textId="77777777" w:rsidR="00D50668" w:rsidRPr="00DE096C" w:rsidRDefault="00D50668" w:rsidP="00D45A46">
            <w:pPr>
              <w:jc w:val="both"/>
              <w:rPr>
                <w:bCs/>
                <w:color w:val="002060"/>
                <w:sz w:val="16"/>
                <w:szCs w:val="16"/>
              </w:rPr>
            </w:pPr>
            <w:r w:rsidRPr="00DE096C">
              <w:rPr>
                <w:bCs/>
                <w:color w:val="002060"/>
                <w:sz w:val="16"/>
                <w:szCs w:val="16"/>
              </w:rPr>
              <w:t>932,4</w:t>
            </w:r>
          </w:p>
        </w:tc>
        <w:tc>
          <w:tcPr>
            <w:tcW w:w="972" w:type="dxa"/>
          </w:tcPr>
          <w:p w14:paraId="5D5C0DBF" w14:textId="77777777" w:rsidR="00D50668" w:rsidRPr="00DE096C" w:rsidRDefault="00D50668" w:rsidP="00D45A46">
            <w:pPr>
              <w:jc w:val="both"/>
              <w:rPr>
                <w:bCs/>
                <w:color w:val="002060"/>
                <w:sz w:val="16"/>
                <w:szCs w:val="16"/>
              </w:rPr>
            </w:pPr>
            <w:r w:rsidRPr="00DE096C">
              <w:rPr>
                <w:bCs/>
                <w:color w:val="002060"/>
                <w:sz w:val="16"/>
                <w:szCs w:val="16"/>
              </w:rPr>
              <w:t>1.732,4</w:t>
            </w:r>
          </w:p>
        </w:tc>
      </w:tr>
      <w:tr w:rsidR="00D50668" w:rsidRPr="00DE096C" w14:paraId="01FC579D" w14:textId="77777777" w:rsidTr="00D34AC1">
        <w:tc>
          <w:tcPr>
            <w:tcW w:w="1248" w:type="dxa"/>
          </w:tcPr>
          <w:p w14:paraId="192673C9" w14:textId="77777777" w:rsidR="00D50668" w:rsidRPr="00DE096C" w:rsidRDefault="00D50668" w:rsidP="00D45A46">
            <w:pPr>
              <w:jc w:val="both"/>
              <w:rPr>
                <w:bCs/>
                <w:color w:val="002060"/>
                <w:sz w:val="16"/>
                <w:szCs w:val="16"/>
              </w:rPr>
            </w:pPr>
            <w:r w:rsidRPr="00DE096C">
              <w:rPr>
                <w:bCs/>
                <w:color w:val="002060"/>
                <w:sz w:val="16"/>
                <w:szCs w:val="16"/>
              </w:rPr>
              <w:t>Август</w:t>
            </w:r>
          </w:p>
        </w:tc>
        <w:tc>
          <w:tcPr>
            <w:tcW w:w="1503" w:type="dxa"/>
          </w:tcPr>
          <w:p w14:paraId="7334A34F" w14:textId="77777777" w:rsidR="00D50668" w:rsidRPr="00DE096C" w:rsidRDefault="00D50668" w:rsidP="00D45A46">
            <w:pPr>
              <w:jc w:val="both"/>
              <w:rPr>
                <w:bCs/>
                <w:color w:val="002060"/>
                <w:sz w:val="16"/>
                <w:szCs w:val="16"/>
              </w:rPr>
            </w:pPr>
            <w:r w:rsidRPr="00DE096C">
              <w:rPr>
                <w:bCs/>
                <w:color w:val="002060"/>
                <w:sz w:val="16"/>
                <w:szCs w:val="16"/>
              </w:rPr>
              <w:t>800</w:t>
            </w:r>
          </w:p>
        </w:tc>
        <w:tc>
          <w:tcPr>
            <w:tcW w:w="1092" w:type="dxa"/>
          </w:tcPr>
          <w:p w14:paraId="4569FDDE" w14:textId="77777777" w:rsidR="00D50668" w:rsidRPr="00DE096C" w:rsidRDefault="00D50668" w:rsidP="00D45A46">
            <w:pPr>
              <w:jc w:val="both"/>
              <w:rPr>
                <w:bCs/>
                <w:color w:val="002060"/>
                <w:sz w:val="16"/>
                <w:szCs w:val="16"/>
              </w:rPr>
            </w:pPr>
            <w:r w:rsidRPr="00DE096C">
              <w:rPr>
                <w:bCs/>
                <w:color w:val="002060"/>
                <w:sz w:val="16"/>
                <w:szCs w:val="16"/>
              </w:rPr>
              <w:t>23</w:t>
            </w:r>
          </w:p>
        </w:tc>
        <w:tc>
          <w:tcPr>
            <w:tcW w:w="1792" w:type="dxa"/>
          </w:tcPr>
          <w:p w14:paraId="0E3D0458" w14:textId="77777777" w:rsidR="00D50668" w:rsidRPr="00DE096C" w:rsidRDefault="00D50668" w:rsidP="00D45A46">
            <w:pPr>
              <w:jc w:val="both"/>
              <w:rPr>
                <w:bCs/>
                <w:color w:val="002060"/>
                <w:sz w:val="16"/>
                <w:szCs w:val="16"/>
              </w:rPr>
            </w:pPr>
            <w:r w:rsidRPr="00DE096C">
              <w:rPr>
                <w:bCs/>
                <w:color w:val="002060"/>
                <w:sz w:val="16"/>
                <w:szCs w:val="16"/>
              </w:rPr>
              <w:t>932,4</w:t>
            </w:r>
          </w:p>
        </w:tc>
        <w:tc>
          <w:tcPr>
            <w:tcW w:w="972" w:type="dxa"/>
          </w:tcPr>
          <w:p w14:paraId="55DC5D83" w14:textId="77777777" w:rsidR="00D50668" w:rsidRPr="00DE096C" w:rsidRDefault="00D50668" w:rsidP="00D45A46">
            <w:pPr>
              <w:jc w:val="both"/>
              <w:rPr>
                <w:bCs/>
                <w:color w:val="002060"/>
                <w:sz w:val="16"/>
                <w:szCs w:val="16"/>
              </w:rPr>
            </w:pPr>
            <w:r w:rsidRPr="00DE096C">
              <w:rPr>
                <w:bCs/>
                <w:color w:val="002060"/>
                <w:sz w:val="16"/>
                <w:szCs w:val="16"/>
              </w:rPr>
              <w:t>1.732,4</w:t>
            </w:r>
          </w:p>
        </w:tc>
      </w:tr>
      <w:tr w:rsidR="00D50668" w:rsidRPr="00DE096C" w14:paraId="13796CDB" w14:textId="77777777" w:rsidTr="00D34AC1">
        <w:tc>
          <w:tcPr>
            <w:tcW w:w="1248" w:type="dxa"/>
          </w:tcPr>
          <w:p w14:paraId="48B9E086" w14:textId="77777777" w:rsidR="00D50668" w:rsidRPr="00DE096C" w:rsidRDefault="00D50668" w:rsidP="00D45A46">
            <w:pPr>
              <w:jc w:val="both"/>
              <w:rPr>
                <w:bCs/>
                <w:color w:val="002060"/>
                <w:sz w:val="16"/>
                <w:szCs w:val="16"/>
              </w:rPr>
            </w:pPr>
            <w:r w:rsidRPr="00DE096C">
              <w:rPr>
                <w:bCs/>
                <w:color w:val="002060"/>
                <w:sz w:val="16"/>
                <w:szCs w:val="16"/>
              </w:rPr>
              <w:t>Сентябрь</w:t>
            </w:r>
          </w:p>
        </w:tc>
        <w:tc>
          <w:tcPr>
            <w:tcW w:w="1503" w:type="dxa"/>
          </w:tcPr>
          <w:p w14:paraId="1DE76141" w14:textId="77777777" w:rsidR="00D50668" w:rsidRPr="00DE096C" w:rsidRDefault="00D50668" w:rsidP="00D45A46">
            <w:pPr>
              <w:jc w:val="both"/>
              <w:rPr>
                <w:bCs/>
                <w:color w:val="002060"/>
                <w:sz w:val="16"/>
                <w:szCs w:val="16"/>
              </w:rPr>
            </w:pPr>
            <w:r w:rsidRPr="00DE096C">
              <w:rPr>
                <w:bCs/>
                <w:color w:val="002060"/>
                <w:sz w:val="16"/>
                <w:szCs w:val="16"/>
              </w:rPr>
              <w:t>800</w:t>
            </w:r>
          </w:p>
        </w:tc>
        <w:tc>
          <w:tcPr>
            <w:tcW w:w="1092" w:type="dxa"/>
          </w:tcPr>
          <w:p w14:paraId="508ACCA9" w14:textId="77777777" w:rsidR="00D50668" w:rsidRPr="00DE096C" w:rsidRDefault="00D50668" w:rsidP="00D45A46">
            <w:pPr>
              <w:jc w:val="both"/>
              <w:rPr>
                <w:bCs/>
                <w:color w:val="002060"/>
                <w:sz w:val="16"/>
                <w:szCs w:val="16"/>
              </w:rPr>
            </w:pPr>
            <w:r w:rsidRPr="00DE096C">
              <w:rPr>
                <w:bCs/>
                <w:color w:val="002060"/>
                <w:sz w:val="16"/>
                <w:szCs w:val="16"/>
              </w:rPr>
              <w:t>28</w:t>
            </w:r>
          </w:p>
        </w:tc>
        <w:tc>
          <w:tcPr>
            <w:tcW w:w="1792" w:type="dxa"/>
          </w:tcPr>
          <w:p w14:paraId="77DA4542" w14:textId="77777777" w:rsidR="00D50668" w:rsidRPr="00DE096C" w:rsidRDefault="00D50668" w:rsidP="00D45A46">
            <w:pPr>
              <w:jc w:val="both"/>
              <w:rPr>
                <w:bCs/>
                <w:color w:val="002060"/>
                <w:sz w:val="16"/>
                <w:szCs w:val="16"/>
              </w:rPr>
            </w:pPr>
            <w:r w:rsidRPr="00DE096C">
              <w:rPr>
                <w:bCs/>
                <w:color w:val="002060"/>
                <w:sz w:val="16"/>
                <w:szCs w:val="16"/>
              </w:rPr>
              <w:t>1.064,7</w:t>
            </w:r>
          </w:p>
        </w:tc>
        <w:tc>
          <w:tcPr>
            <w:tcW w:w="972" w:type="dxa"/>
          </w:tcPr>
          <w:p w14:paraId="0B9FFB54" w14:textId="77777777" w:rsidR="00D50668" w:rsidRPr="00DE096C" w:rsidRDefault="00D50668" w:rsidP="00D45A46">
            <w:pPr>
              <w:jc w:val="both"/>
              <w:rPr>
                <w:bCs/>
                <w:color w:val="002060"/>
                <w:sz w:val="16"/>
                <w:szCs w:val="16"/>
              </w:rPr>
            </w:pPr>
            <w:r w:rsidRPr="00DE096C">
              <w:rPr>
                <w:bCs/>
                <w:color w:val="002060"/>
                <w:sz w:val="16"/>
                <w:szCs w:val="16"/>
              </w:rPr>
              <w:t>1.864,7</w:t>
            </w:r>
          </w:p>
        </w:tc>
      </w:tr>
      <w:tr w:rsidR="00D50668" w:rsidRPr="00DE096C" w14:paraId="25D2A008" w14:textId="77777777" w:rsidTr="00D34AC1">
        <w:tc>
          <w:tcPr>
            <w:tcW w:w="1248" w:type="dxa"/>
          </w:tcPr>
          <w:p w14:paraId="3451CEE6" w14:textId="77777777" w:rsidR="00D50668" w:rsidRPr="00DE096C" w:rsidRDefault="00D50668" w:rsidP="00D45A46">
            <w:pPr>
              <w:jc w:val="both"/>
              <w:rPr>
                <w:bCs/>
                <w:color w:val="002060"/>
                <w:sz w:val="16"/>
                <w:szCs w:val="16"/>
              </w:rPr>
            </w:pPr>
            <w:r w:rsidRPr="00DE096C">
              <w:rPr>
                <w:bCs/>
                <w:color w:val="002060"/>
                <w:sz w:val="16"/>
                <w:szCs w:val="16"/>
              </w:rPr>
              <w:t>Октябрь</w:t>
            </w:r>
          </w:p>
        </w:tc>
        <w:tc>
          <w:tcPr>
            <w:tcW w:w="1503" w:type="dxa"/>
          </w:tcPr>
          <w:p w14:paraId="417B1004" w14:textId="77777777" w:rsidR="00D50668" w:rsidRPr="00DE096C" w:rsidRDefault="00D50668" w:rsidP="00D45A46">
            <w:pPr>
              <w:jc w:val="both"/>
              <w:rPr>
                <w:bCs/>
                <w:color w:val="002060"/>
                <w:sz w:val="16"/>
                <w:szCs w:val="16"/>
              </w:rPr>
            </w:pPr>
            <w:r w:rsidRPr="00DE096C">
              <w:rPr>
                <w:bCs/>
                <w:color w:val="002060"/>
                <w:sz w:val="16"/>
                <w:szCs w:val="16"/>
              </w:rPr>
              <w:t>800</w:t>
            </w:r>
          </w:p>
        </w:tc>
        <w:tc>
          <w:tcPr>
            <w:tcW w:w="1092" w:type="dxa"/>
          </w:tcPr>
          <w:p w14:paraId="292247B7" w14:textId="77777777" w:rsidR="00D50668" w:rsidRPr="00DE096C" w:rsidRDefault="00D50668" w:rsidP="00D45A46">
            <w:pPr>
              <w:jc w:val="both"/>
              <w:rPr>
                <w:bCs/>
                <w:color w:val="002060"/>
                <w:sz w:val="16"/>
                <w:szCs w:val="16"/>
              </w:rPr>
            </w:pPr>
            <w:r w:rsidRPr="00DE096C">
              <w:rPr>
                <w:bCs/>
                <w:color w:val="002060"/>
                <w:sz w:val="16"/>
                <w:szCs w:val="16"/>
              </w:rPr>
              <w:t>28</w:t>
            </w:r>
          </w:p>
        </w:tc>
        <w:tc>
          <w:tcPr>
            <w:tcW w:w="1792" w:type="dxa"/>
          </w:tcPr>
          <w:p w14:paraId="2325FE4A" w14:textId="77777777" w:rsidR="00D50668" w:rsidRPr="00DE096C" w:rsidRDefault="00D50668" w:rsidP="00D45A46">
            <w:pPr>
              <w:jc w:val="both"/>
              <w:rPr>
                <w:bCs/>
                <w:color w:val="002060"/>
                <w:sz w:val="16"/>
                <w:szCs w:val="16"/>
              </w:rPr>
            </w:pPr>
            <w:r w:rsidRPr="00DE096C">
              <w:rPr>
                <w:bCs/>
                <w:color w:val="002060"/>
                <w:sz w:val="16"/>
                <w:szCs w:val="16"/>
              </w:rPr>
              <w:t>1.064,7</w:t>
            </w:r>
          </w:p>
        </w:tc>
        <w:tc>
          <w:tcPr>
            <w:tcW w:w="972" w:type="dxa"/>
          </w:tcPr>
          <w:p w14:paraId="03992950" w14:textId="77777777" w:rsidR="00D50668" w:rsidRPr="00DE096C" w:rsidRDefault="00D50668" w:rsidP="00D45A46">
            <w:pPr>
              <w:jc w:val="both"/>
              <w:rPr>
                <w:bCs/>
                <w:color w:val="002060"/>
                <w:sz w:val="16"/>
                <w:szCs w:val="16"/>
              </w:rPr>
            </w:pPr>
            <w:r w:rsidRPr="00DE096C">
              <w:rPr>
                <w:bCs/>
                <w:color w:val="002060"/>
                <w:sz w:val="16"/>
                <w:szCs w:val="16"/>
              </w:rPr>
              <w:t>1.864,7</w:t>
            </w:r>
          </w:p>
        </w:tc>
      </w:tr>
      <w:tr w:rsidR="00D50668" w:rsidRPr="00DE096C" w14:paraId="6EEED858" w14:textId="77777777" w:rsidTr="00D34AC1">
        <w:tc>
          <w:tcPr>
            <w:tcW w:w="1248" w:type="dxa"/>
          </w:tcPr>
          <w:p w14:paraId="1C520EB4" w14:textId="77777777" w:rsidR="00D50668" w:rsidRPr="00DE096C" w:rsidRDefault="00D50668" w:rsidP="00D45A46">
            <w:pPr>
              <w:jc w:val="both"/>
              <w:rPr>
                <w:bCs/>
                <w:color w:val="002060"/>
                <w:sz w:val="16"/>
                <w:szCs w:val="16"/>
              </w:rPr>
            </w:pPr>
            <w:r w:rsidRPr="00DE096C">
              <w:rPr>
                <w:bCs/>
                <w:color w:val="002060"/>
                <w:sz w:val="16"/>
                <w:szCs w:val="16"/>
              </w:rPr>
              <w:t>Ноябрь</w:t>
            </w:r>
          </w:p>
        </w:tc>
        <w:tc>
          <w:tcPr>
            <w:tcW w:w="1503" w:type="dxa"/>
          </w:tcPr>
          <w:p w14:paraId="130AC0EC" w14:textId="77777777" w:rsidR="00D50668" w:rsidRPr="00DE096C" w:rsidRDefault="00D50668" w:rsidP="00D45A46">
            <w:pPr>
              <w:jc w:val="both"/>
              <w:rPr>
                <w:bCs/>
                <w:color w:val="002060"/>
                <w:sz w:val="16"/>
                <w:szCs w:val="16"/>
              </w:rPr>
            </w:pPr>
            <w:r w:rsidRPr="00DE096C">
              <w:rPr>
                <w:bCs/>
                <w:color w:val="002060"/>
                <w:sz w:val="16"/>
                <w:szCs w:val="16"/>
              </w:rPr>
              <w:t>800</w:t>
            </w:r>
          </w:p>
        </w:tc>
        <w:tc>
          <w:tcPr>
            <w:tcW w:w="1092" w:type="dxa"/>
          </w:tcPr>
          <w:p w14:paraId="1E97D3AF" w14:textId="77777777" w:rsidR="00D50668" w:rsidRPr="00DE096C" w:rsidRDefault="00D50668" w:rsidP="00D45A46">
            <w:pPr>
              <w:jc w:val="both"/>
              <w:rPr>
                <w:bCs/>
                <w:color w:val="002060"/>
                <w:sz w:val="16"/>
                <w:szCs w:val="16"/>
              </w:rPr>
            </w:pPr>
            <w:r w:rsidRPr="00DE096C">
              <w:rPr>
                <w:bCs/>
                <w:color w:val="002060"/>
                <w:sz w:val="16"/>
                <w:szCs w:val="16"/>
              </w:rPr>
              <w:t>28</w:t>
            </w:r>
          </w:p>
        </w:tc>
        <w:tc>
          <w:tcPr>
            <w:tcW w:w="1792" w:type="dxa"/>
          </w:tcPr>
          <w:p w14:paraId="41A0B206" w14:textId="77777777" w:rsidR="00D50668" w:rsidRPr="00DE096C" w:rsidRDefault="00D50668" w:rsidP="00D45A46">
            <w:pPr>
              <w:jc w:val="both"/>
              <w:rPr>
                <w:bCs/>
                <w:color w:val="002060"/>
                <w:sz w:val="16"/>
                <w:szCs w:val="16"/>
              </w:rPr>
            </w:pPr>
            <w:r w:rsidRPr="00DE096C">
              <w:rPr>
                <w:bCs/>
                <w:color w:val="002060"/>
                <w:sz w:val="16"/>
                <w:szCs w:val="16"/>
              </w:rPr>
              <w:t>1.064,7</w:t>
            </w:r>
          </w:p>
        </w:tc>
        <w:tc>
          <w:tcPr>
            <w:tcW w:w="972" w:type="dxa"/>
          </w:tcPr>
          <w:p w14:paraId="4CDA54AA" w14:textId="77777777" w:rsidR="00D50668" w:rsidRPr="00DE096C" w:rsidRDefault="00D50668" w:rsidP="00D45A46">
            <w:pPr>
              <w:jc w:val="both"/>
              <w:rPr>
                <w:bCs/>
                <w:color w:val="002060"/>
                <w:sz w:val="16"/>
                <w:szCs w:val="16"/>
              </w:rPr>
            </w:pPr>
            <w:r w:rsidRPr="00DE096C">
              <w:rPr>
                <w:bCs/>
                <w:color w:val="002060"/>
                <w:sz w:val="16"/>
                <w:szCs w:val="16"/>
              </w:rPr>
              <w:t>1.864,7</w:t>
            </w:r>
          </w:p>
        </w:tc>
      </w:tr>
      <w:tr w:rsidR="00D50668" w:rsidRPr="00DE096C" w14:paraId="2A2BBB84" w14:textId="77777777" w:rsidTr="00D34AC1">
        <w:tc>
          <w:tcPr>
            <w:tcW w:w="1248" w:type="dxa"/>
          </w:tcPr>
          <w:p w14:paraId="5BEE98F6" w14:textId="77777777" w:rsidR="00D50668" w:rsidRPr="00DE096C" w:rsidRDefault="00D50668" w:rsidP="00D45A46">
            <w:pPr>
              <w:jc w:val="both"/>
              <w:rPr>
                <w:bCs/>
                <w:color w:val="002060"/>
                <w:sz w:val="16"/>
                <w:szCs w:val="16"/>
              </w:rPr>
            </w:pPr>
            <w:r w:rsidRPr="00DE096C">
              <w:rPr>
                <w:bCs/>
                <w:color w:val="002060"/>
                <w:sz w:val="16"/>
                <w:szCs w:val="16"/>
              </w:rPr>
              <w:t>Декабрь</w:t>
            </w:r>
          </w:p>
        </w:tc>
        <w:tc>
          <w:tcPr>
            <w:tcW w:w="1503" w:type="dxa"/>
          </w:tcPr>
          <w:p w14:paraId="6B6EEBE8" w14:textId="77777777" w:rsidR="00D50668" w:rsidRPr="00DE096C" w:rsidRDefault="00D50668" w:rsidP="00D45A46">
            <w:pPr>
              <w:jc w:val="both"/>
              <w:rPr>
                <w:bCs/>
                <w:color w:val="002060"/>
                <w:sz w:val="16"/>
                <w:szCs w:val="16"/>
              </w:rPr>
            </w:pPr>
            <w:r w:rsidRPr="00DE096C">
              <w:rPr>
                <w:bCs/>
                <w:color w:val="002060"/>
                <w:sz w:val="16"/>
                <w:szCs w:val="16"/>
              </w:rPr>
              <w:t>800</w:t>
            </w:r>
          </w:p>
        </w:tc>
        <w:tc>
          <w:tcPr>
            <w:tcW w:w="1092" w:type="dxa"/>
          </w:tcPr>
          <w:p w14:paraId="195D1B9E" w14:textId="77777777" w:rsidR="00D50668" w:rsidRPr="00DE096C" w:rsidRDefault="00D50668" w:rsidP="00D45A46">
            <w:pPr>
              <w:jc w:val="both"/>
              <w:rPr>
                <w:bCs/>
                <w:color w:val="002060"/>
                <w:sz w:val="16"/>
                <w:szCs w:val="16"/>
              </w:rPr>
            </w:pPr>
            <w:r w:rsidRPr="00DE096C">
              <w:rPr>
                <w:bCs/>
                <w:color w:val="002060"/>
                <w:sz w:val="16"/>
                <w:szCs w:val="16"/>
              </w:rPr>
              <w:t>28</w:t>
            </w:r>
          </w:p>
        </w:tc>
        <w:tc>
          <w:tcPr>
            <w:tcW w:w="1792" w:type="dxa"/>
          </w:tcPr>
          <w:p w14:paraId="23F94B73" w14:textId="77777777" w:rsidR="00D50668" w:rsidRPr="00DE096C" w:rsidRDefault="00D50668" w:rsidP="00D45A46">
            <w:pPr>
              <w:jc w:val="both"/>
              <w:rPr>
                <w:bCs/>
                <w:color w:val="002060"/>
                <w:sz w:val="16"/>
                <w:szCs w:val="16"/>
              </w:rPr>
            </w:pPr>
            <w:r w:rsidRPr="00DE096C">
              <w:rPr>
                <w:bCs/>
                <w:color w:val="002060"/>
                <w:sz w:val="16"/>
                <w:szCs w:val="16"/>
              </w:rPr>
              <w:t>1.064,7</w:t>
            </w:r>
          </w:p>
        </w:tc>
        <w:tc>
          <w:tcPr>
            <w:tcW w:w="972" w:type="dxa"/>
          </w:tcPr>
          <w:p w14:paraId="2DD04675" w14:textId="77777777" w:rsidR="00D50668" w:rsidRPr="00DE096C" w:rsidRDefault="00D50668" w:rsidP="00D45A46">
            <w:pPr>
              <w:jc w:val="both"/>
              <w:rPr>
                <w:bCs/>
                <w:color w:val="002060"/>
                <w:sz w:val="16"/>
                <w:szCs w:val="16"/>
              </w:rPr>
            </w:pPr>
            <w:r w:rsidRPr="00DE096C">
              <w:rPr>
                <w:bCs/>
                <w:color w:val="002060"/>
                <w:sz w:val="16"/>
                <w:szCs w:val="16"/>
              </w:rPr>
              <w:t>1.864,7</w:t>
            </w:r>
          </w:p>
        </w:tc>
      </w:tr>
    </w:tbl>
    <w:p w14:paraId="6AC57597" w14:textId="77777777" w:rsidR="00D50668" w:rsidRPr="00DE096C" w:rsidRDefault="00D50668" w:rsidP="00D45A46">
      <w:pPr>
        <w:jc w:val="both"/>
        <w:rPr>
          <w:bCs/>
          <w:color w:val="002060"/>
          <w:sz w:val="16"/>
          <w:szCs w:val="16"/>
        </w:rPr>
      </w:pPr>
      <w:r w:rsidRPr="00DE096C">
        <w:rPr>
          <w:bCs/>
          <w:color w:val="002060"/>
          <w:sz w:val="16"/>
          <w:szCs w:val="16"/>
        </w:rPr>
        <w:t>Фактически эта программа выполнялась на 80%.</w:t>
      </w:r>
    </w:p>
    <w:p w14:paraId="343D1C5D" w14:textId="77777777" w:rsidR="00D50668" w:rsidRPr="00DE096C" w:rsidRDefault="00D50668" w:rsidP="00D45A46">
      <w:pPr>
        <w:jc w:val="both"/>
        <w:rPr>
          <w:bCs/>
          <w:color w:val="002060"/>
          <w:sz w:val="16"/>
          <w:szCs w:val="16"/>
        </w:rPr>
      </w:pPr>
      <w:r w:rsidRPr="00DE096C">
        <w:rPr>
          <w:bCs/>
          <w:color w:val="002060"/>
          <w:sz w:val="16"/>
          <w:szCs w:val="16"/>
        </w:rPr>
        <w:t xml:space="preserve"> Что касается добычи колчедана, то в связи с программой сернокислотных заводов программа по колчедану была намечена следующая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652"/>
        <w:gridCol w:w="612"/>
        <w:gridCol w:w="650"/>
        <w:gridCol w:w="636"/>
        <w:gridCol w:w="728"/>
      </w:tblGrid>
      <w:tr w:rsidR="00D50668" w:rsidRPr="00DE096C" w14:paraId="43C62CC5" w14:textId="77777777" w:rsidTr="00D34AC1">
        <w:tc>
          <w:tcPr>
            <w:tcW w:w="2652" w:type="dxa"/>
          </w:tcPr>
          <w:p w14:paraId="2775F507" w14:textId="77777777" w:rsidR="00D50668" w:rsidRPr="00DE096C" w:rsidRDefault="00D50668" w:rsidP="00D45A46">
            <w:pPr>
              <w:jc w:val="both"/>
              <w:rPr>
                <w:bCs/>
                <w:color w:val="002060"/>
                <w:sz w:val="16"/>
                <w:szCs w:val="16"/>
              </w:rPr>
            </w:pPr>
            <w:r w:rsidRPr="00DE096C">
              <w:rPr>
                <w:bCs/>
                <w:color w:val="002060"/>
                <w:sz w:val="16"/>
                <w:szCs w:val="16"/>
              </w:rPr>
              <w:t> </w:t>
            </w:r>
          </w:p>
        </w:tc>
        <w:tc>
          <w:tcPr>
            <w:tcW w:w="612" w:type="dxa"/>
          </w:tcPr>
          <w:p w14:paraId="7345CDD4" w14:textId="77777777" w:rsidR="00D50668" w:rsidRPr="00DE096C" w:rsidRDefault="00D50668" w:rsidP="00D45A46">
            <w:pPr>
              <w:jc w:val="both"/>
              <w:rPr>
                <w:bCs/>
                <w:color w:val="002060"/>
                <w:sz w:val="16"/>
                <w:szCs w:val="16"/>
              </w:rPr>
            </w:pPr>
            <w:r w:rsidRPr="00DE096C">
              <w:rPr>
                <w:bCs/>
                <w:color w:val="002060"/>
                <w:sz w:val="16"/>
                <w:szCs w:val="16"/>
              </w:rPr>
              <w:t>Август 1915 г.</w:t>
            </w:r>
          </w:p>
        </w:tc>
        <w:tc>
          <w:tcPr>
            <w:tcW w:w="650" w:type="dxa"/>
          </w:tcPr>
          <w:p w14:paraId="57F6385F" w14:textId="77777777" w:rsidR="00D50668" w:rsidRPr="00DE096C" w:rsidRDefault="00D50668" w:rsidP="00D45A46">
            <w:pPr>
              <w:jc w:val="both"/>
              <w:rPr>
                <w:bCs/>
                <w:color w:val="002060"/>
                <w:sz w:val="16"/>
                <w:szCs w:val="16"/>
              </w:rPr>
            </w:pPr>
            <w:r w:rsidRPr="00DE096C">
              <w:rPr>
                <w:bCs/>
                <w:color w:val="002060"/>
                <w:sz w:val="16"/>
                <w:szCs w:val="16"/>
              </w:rPr>
              <w:t>Январь 1916 г.</w:t>
            </w:r>
          </w:p>
        </w:tc>
        <w:tc>
          <w:tcPr>
            <w:tcW w:w="636" w:type="dxa"/>
          </w:tcPr>
          <w:p w14:paraId="1BDD862E" w14:textId="77777777" w:rsidR="00D50668" w:rsidRPr="00DE096C" w:rsidRDefault="00D50668" w:rsidP="00D45A46">
            <w:pPr>
              <w:jc w:val="both"/>
              <w:rPr>
                <w:bCs/>
                <w:color w:val="002060"/>
                <w:sz w:val="16"/>
                <w:szCs w:val="16"/>
              </w:rPr>
            </w:pPr>
            <w:r w:rsidRPr="00DE096C">
              <w:rPr>
                <w:bCs/>
                <w:color w:val="002060"/>
                <w:sz w:val="16"/>
                <w:szCs w:val="16"/>
              </w:rPr>
              <w:t>Июнь 1916 г.</w:t>
            </w:r>
          </w:p>
        </w:tc>
        <w:tc>
          <w:tcPr>
            <w:tcW w:w="728" w:type="dxa"/>
          </w:tcPr>
          <w:p w14:paraId="1C715B3E" w14:textId="77777777" w:rsidR="00D50668" w:rsidRPr="00DE096C" w:rsidRDefault="00D50668" w:rsidP="00D45A46">
            <w:pPr>
              <w:jc w:val="both"/>
              <w:rPr>
                <w:bCs/>
                <w:color w:val="002060"/>
                <w:sz w:val="16"/>
                <w:szCs w:val="16"/>
              </w:rPr>
            </w:pPr>
            <w:r w:rsidRPr="00DE096C">
              <w:rPr>
                <w:bCs/>
                <w:color w:val="002060"/>
                <w:sz w:val="16"/>
                <w:szCs w:val="16"/>
              </w:rPr>
              <w:t>Декабрь 1916 г.</w:t>
            </w:r>
          </w:p>
        </w:tc>
      </w:tr>
      <w:tr w:rsidR="00D50668" w:rsidRPr="00DE096C" w14:paraId="50188EBC" w14:textId="77777777" w:rsidTr="00D34AC1">
        <w:tc>
          <w:tcPr>
            <w:tcW w:w="2652" w:type="dxa"/>
          </w:tcPr>
          <w:p w14:paraId="24B053D7" w14:textId="77777777" w:rsidR="00D50668" w:rsidRPr="00DE096C" w:rsidRDefault="00D50668" w:rsidP="00D45A46">
            <w:pPr>
              <w:jc w:val="both"/>
              <w:rPr>
                <w:bCs/>
                <w:color w:val="002060"/>
                <w:sz w:val="16"/>
                <w:szCs w:val="16"/>
              </w:rPr>
            </w:pPr>
            <w:r w:rsidRPr="00DE096C">
              <w:rPr>
                <w:bCs/>
                <w:color w:val="002060"/>
                <w:sz w:val="16"/>
                <w:szCs w:val="16"/>
              </w:rPr>
              <w:t>Кыштымский горный округ</w:t>
            </w:r>
          </w:p>
        </w:tc>
        <w:tc>
          <w:tcPr>
            <w:tcW w:w="612" w:type="dxa"/>
          </w:tcPr>
          <w:p w14:paraId="1B8D2384" w14:textId="77777777" w:rsidR="00D50668" w:rsidRPr="00DE096C" w:rsidRDefault="00D50668" w:rsidP="00D45A46">
            <w:pPr>
              <w:jc w:val="both"/>
              <w:rPr>
                <w:bCs/>
                <w:color w:val="002060"/>
                <w:sz w:val="16"/>
                <w:szCs w:val="16"/>
              </w:rPr>
            </w:pPr>
            <w:r w:rsidRPr="00DE096C">
              <w:rPr>
                <w:bCs/>
                <w:color w:val="002060"/>
                <w:sz w:val="16"/>
                <w:szCs w:val="16"/>
              </w:rPr>
              <w:t>225</w:t>
            </w:r>
          </w:p>
        </w:tc>
        <w:tc>
          <w:tcPr>
            <w:tcW w:w="650" w:type="dxa"/>
          </w:tcPr>
          <w:p w14:paraId="10985294" w14:textId="77777777" w:rsidR="00D50668" w:rsidRPr="00DE096C" w:rsidRDefault="00D50668" w:rsidP="00D45A46">
            <w:pPr>
              <w:jc w:val="both"/>
              <w:rPr>
                <w:bCs/>
                <w:color w:val="002060"/>
                <w:sz w:val="16"/>
                <w:szCs w:val="16"/>
              </w:rPr>
            </w:pPr>
            <w:r w:rsidRPr="00DE096C">
              <w:rPr>
                <w:bCs/>
                <w:color w:val="002060"/>
                <w:sz w:val="16"/>
                <w:szCs w:val="16"/>
              </w:rPr>
              <w:t>800</w:t>
            </w:r>
          </w:p>
        </w:tc>
        <w:tc>
          <w:tcPr>
            <w:tcW w:w="636" w:type="dxa"/>
          </w:tcPr>
          <w:p w14:paraId="3EA4A027" w14:textId="77777777" w:rsidR="00D50668" w:rsidRPr="00DE096C" w:rsidRDefault="00D50668" w:rsidP="00D45A46">
            <w:pPr>
              <w:jc w:val="both"/>
              <w:rPr>
                <w:bCs/>
                <w:color w:val="002060"/>
                <w:sz w:val="16"/>
                <w:szCs w:val="16"/>
              </w:rPr>
            </w:pPr>
            <w:r w:rsidRPr="00DE096C">
              <w:rPr>
                <w:bCs/>
                <w:color w:val="002060"/>
                <w:sz w:val="16"/>
                <w:szCs w:val="16"/>
              </w:rPr>
              <w:t>800</w:t>
            </w:r>
          </w:p>
        </w:tc>
        <w:tc>
          <w:tcPr>
            <w:tcW w:w="728" w:type="dxa"/>
          </w:tcPr>
          <w:p w14:paraId="4CA0CE56" w14:textId="77777777" w:rsidR="00D50668" w:rsidRPr="00DE096C" w:rsidRDefault="00D50668" w:rsidP="00D45A46">
            <w:pPr>
              <w:jc w:val="both"/>
              <w:rPr>
                <w:bCs/>
                <w:color w:val="002060"/>
                <w:sz w:val="16"/>
                <w:szCs w:val="16"/>
              </w:rPr>
            </w:pPr>
            <w:r w:rsidRPr="00DE096C">
              <w:rPr>
                <w:bCs/>
                <w:color w:val="002060"/>
                <w:sz w:val="16"/>
                <w:szCs w:val="16"/>
              </w:rPr>
              <w:t>800</w:t>
            </w:r>
          </w:p>
        </w:tc>
      </w:tr>
      <w:tr w:rsidR="00D50668" w:rsidRPr="00DE096C" w14:paraId="38EFEC57" w14:textId="77777777" w:rsidTr="00D34AC1">
        <w:tc>
          <w:tcPr>
            <w:tcW w:w="2652" w:type="dxa"/>
          </w:tcPr>
          <w:p w14:paraId="5928A5CD" w14:textId="77777777" w:rsidR="00D50668" w:rsidRPr="00DE096C" w:rsidRDefault="00D50668" w:rsidP="00D45A46">
            <w:pPr>
              <w:jc w:val="both"/>
              <w:rPr>
                <w:bCs/>
                <w:color w:val="002060"/>
                <w:sz w:val="16"/>
                <w:szCs w:val="16"/>
              </w:rPr>
            </w:pPr>
            <w:r w:rsidRPr="00DE096C">
              <w:rPr>
                <w:bCs/>
                <w:color w:val="002060"/>
                <w:sz w:val="16"/>
                <w:szCs w:val="16"/>
              </w:rPr>
              <w:t>Верх-Исетский горный округ</w:t>
            </w:r>
          </w:p>
        </w:tc>
        <w:tc>
          <w:tcPr>
            <w:tcW w:w="612" w:type="dxa"/>
          </w:tcPr>
          <w:p w14:paraId="076D8BB5" w14:textId="77777777" w:rsidR="00D50668" w:rsidRPr="00DE096C" w:rsidRDefault="00D50668" w:rsidP="00D45A46">
            <w:pPr>
              <w:jc w:val="both"/>
              <w:rPr>
                <w:bCs/>
                <w:color w:val="002060"/>
                <w:sz w:val="16"/>
                <w:szCs w:val="16"/>
              </w:rPr>
            </w:pPr>
            <w:r w:rsidRPr="00DE096C">
              <w:rPr>
                <w:bCs/>
                <w:color w:val="002060"/>
                <w:sz w:val="16"/>
                <w:szCs w:val="16"/>
              </w:rPr>
              <w:t>325</w:t>
            </w:r>
          </w:p>
        </w:tc>
        <w:tc>
          <w:tcPr>
            <w:tcW w:w="650" w:type="dxa"/>
          </w:tcPr>
          <w:p w14:paraId="10955741" w14:textId="77777777" w:rsidR="00D50668" w:rsidRPr="00DE096C" w:rsidRDefault="00D50668" w:rsidP="00D45A46">
            <w:pPr>
              <w:jc w:val="both"/>
              <w:rPr>
                <w:bCs/>
                <w:color w:val="002060"/>
                <w:sz w:val="16"/>
                <w:szCs w:val="16"/>
              </w:rPr>
            </w:pPr>
            <w:r w:rsidRPr="00DE096C">
              <w:rPr>
                <w:bCs/>
                <w:color w:val="002060"/>
                <w:sz w:val="16"/>
                <w:szCs w:val="16"/>
              </w:rPr>
              <w:t>325</w:t>
            </w:r>
          </w:p>
        </w:tc>
        <w:tc>
          <w:tcPr>
            <w:tcW w:w="636" w:type="dxa"/>
          </w:tcPr>
          <w:p w14:paraId="4C410A71" w14:textId="77777777" w:rsidR="00D50668" w:rsidRPr="00DE096C" w:rsidRDefault="00D50668" w:rsidP="00D45A46">
            <w:pPr>
              <w:jc w:val="both"/>
              <w:rPr>
                <w:bCs/>
                <w:color w:val="002060"/>
                <w:sz w:val="16"/>
                <w:szCs w:val="16"/>
              </w:rPr>
            </w:pPr>
            <w:r w:rsidRPr="00DE096C">
              <w:rPr>
                <w:bCs/>
                <w:color w:val="002060"/>
                <w:sz w:val="16"/>
                <w:szCs w:val="16"/>
              </w:rPr>
              <w:t>325</w:t>
            </w:r>
          </w:p>
        </w:tc>
        <w:tc>
          <w:tcPr>
            <w:tcW w:w="728" w:type="dxa"/>
          </w:tcPr>
          <w:p w14:paraId="763A62DF" w14:textId="77777777" w:rsidR="00D50668" w:rsidRPr="00DE096C" w:rsidRDefault="00D50668" w:rsidP="00D45A46">
            <w:pPr>
              <w:jc w:val="both"/>
              <w:rPr>
                <w:bCs/>
                <w:color w:val="002060"/>
                <w:sz w:val="16"/>
                <w:szCs w:val="16"/>
              </w:rPr>
            </w:pPr>
            <w:r w:rsidRPr="00DE096C">
              <w:rPr>
                <w:bCs/>
                <w:color w:val="002060"/>
                <w:sz w:val="16"/>
                <w:szCs w:val="16"/>
              </w:rPr>
              <w:t>325</w:t>
            </w:r>
          </w:p>
        </w:tc>
      </w:tr>
      <w:tr w:rsidR="00D50668" w:rsidRPr="00DE096C" w14:paraId="72904A3E" w14:textId="77777777" w:rsidTr="00D34AC1">
        <w:tc>
          <w:tcPr>
            <w:tcW w:w="2652" w:type="dxa"/>
          </w:tcPr>
          <w:p w14:paraId="674A8BA9" w14:textId="77777777" w:rsidR="00D50668" w:rsidRPr="00DE096C" w:rsidRDefault="00D50668" w:rsidP="00D45A46">
            <w:pPr>
              <w:jc w:val="both"/>
              <w:rPr>
                <w:bCs/>
                <w:color w:val="002060"/>
                <w:sz w:val="16"/>
                <w:szCs w:val="16"/>
              </w:rPr>
            </w:pPr>
            <w:r w:rsidRPr="00DE096C">
              <w:rPr>
                <w:bCs/>
                <w:color w:val="002060"/>
                <w:sz w:val="16"/>
                <w:szCs w:val="16"/>
              </w:rPr>
              <w:lastRenderedPageBreak/>
              <w:t>Сысертский горный округ</w:t>
            </w:r>
          </w:p>
        </w:tc>
        <w:tc>
          <w:tcPr>
            <w:tcW w:w="612" w:type="dxa"/>
          </w:tcPr>
          <w:p w14:paraId="31DCCC3B" w14:textId="77777777" w:rsidR="00D50668" w:rsidRPr="00DE096C" w:rsidRDefault="00D50668" w:rsidP="00D45A46">
            <w:pPr>
              <w:jc w:val="both"/>
              <w:rPr>
                <w:bCs/>
                <w:color w:val="002060"/>
                <w:sz w:val="16"/>
                <w:szCs w:val="16"/>
              </w:rPr>
            </w:pPr>
            <w:r w:rsidRPr="00DE096C">
              <w:rPr>
                <w:bCs/>
                <w:color w:val="002060"/>
                <w:sz w:val="16"/>
                <w:szCs w:val="16"/>
              </w:rPr>
              <w:t>—</w:t>
            </w:r>
          </w:p>
        </w:tc>
        <w:tc>
          <w:tcPr>
            <w:tcW w:w="650" w:type="dxa"/>
          </w:tcPr>
          <w:p w14:paraId="7E93B43E" w14:textId="77777777" w:rsidR="00D50668" w:rsidRPr="00DE096C" w:rsidRDefault="00D50668" w:rsidP="00D45A46">
            <w:pPr>
              <w:jc w:val="both"/>
              <w:rPr>
                <w:bCs/>
                <w:color w:val="002060"/>
                <w:sz w:val="16"/>
                <w:szCs w:val="16"/>
              </w:rPr>
            </w:pPr>
            <w:r w:rsidRPr="00DE096C">
              <w:rPr>
                <w:bCs/>
                <w:color w:val="002060"/>
                <w:sz w:val="16"/>
                <w:szCs w:val="16"/>
              </w:rPr>
              <w:t>100</w:t>
            </w:r>
          </w:p>
        </w:tc>
        <w:tc>
          <w:tcPr>
            <w:tcW w:w="636" w:type="dxa"/>
          </w:tcPr>
          <w:p w14:paraId="0376B34D" w14:textId="77777777" w:rsidR="00D50668" w:rsidRPr="00DE096C" w:rsidRDefault="00D50668" w:rsidP="00D45A46">
            <w:pPr>
              <w:jc w:val="both"/>
              <w:rPr>
                <w:bCs/>
                <w:color w:val="002060"/>
                <w:sz w:val="16"/>
                <w:szCs w:val="16"/>
              </w:rPr>
            </w:pPr>
            <w:r w:rsidRPr="00DE096C">
              <w:rPr>
                <w:bCs/>
                <w:color w:val="002060"/>
                <w:sz w:val="16"/>
                <w:szCs w:val="16"/>
              </w:rPr>
              <w:t>100</w:t>
            </w:r>
          </w:p>
        </w:tc>
        <w:tc>
          <w:tcPr>
            <w:tcW w:w="728" w:type="dxa"/>
          </w:tcPr>
          <w:p w14:paraId="7BC93F5A" w14:textId="77777777" w:rsidR="00D50668" w:rsidRPr="00DE096C" w:rsidRDefault="00D50668" w:rsidP="00D45A46">
            <w:pPr>
              <w:jc w:val="both"/>
              <w:rPr>
                <w:bCs/>
                <w:color w:val="002060"/>
                <w:sz w:val="16"/>
                <w:szCs w:val="16"/>
              </w:rPr>
            </w:pPr>
            <w:r w:rsidRPr="00DE096C">
              <w:rPr>
                <w:bCs/>
                <w:color w:val="002060"/>
                <w:sz w:val="16"/>
                <w:szCs w:val="16"/>
              </w:rPr>
              <w:t>100</w:t>
            </w:r>
          </w:p>
        </w:tc>
      </w:tr>
      <w:tr w:rsidR="00D50668" w:rsidRPr="00DE096C" w14:paraId="45E28A08" w14:textId="77777777" w:rsidTr="00D34AC1">
        <w:tc>
          <w:tcPr>
            <w:tcW w:w="2652" w:type="dxa"/>
          </w:tcPr>
          <w:p w14:paraId="247D11C1" w14:textId="77777777" w:rsidR="00D50668" w:rsidRPr="00DE096C" w:rsidRDefault="00D50668" w:rsidP="00D45A46">
            <w:pPr>
              <w:jc w:val="both"/>
              <w:rPr>
                <w:bCs/>
                <w:color w:val="002060"/>
                <w:sz w:val="16"/>
                <w:szCs w:val="16"/>
              </w:rPr>
            </w:pPr>
            <w:r w:rsidRPr="00DE096C">
              <w:rPr>
                <w:bCs/>
                <w:color w:val="002060"/>
                <w:sz w:val="16"/>
                <w:szCs w:val="16"/>
              </w:rPr>
              <w:t>Ревдинский горный округ</w:t>
            </w:r>
          </w:p>
        </w:tc>
        <w:tc>
          <w:tcPr>
            <w:tcW w:w="612" w:type="dxa"/>
          </w:tcPr>
          <w:p w14:paraId="6D1EDBDF" w14:textId="77777777" w:rsidR="00D50668" w:rsidRPr="00DE096C" w:rsidRDefault="00D50668" w:rsidP="00D45A46">
            <w:pPr>
              <w:jc w:val="both"/>
              <w:rPr>
                <w:bCs/>
                <w:color w:val="002060"/>
                <w:sz w:val="16"/>
                <w:szCs w:val="16"/>
              </w:rPr>
            </w:pPr>
            <w:r w:rsidRPr="00DE096C">
              <w:rPr>
                <w:bCs/>
                <w:color w:val="002060"/>
                <w:sz w:val="16"/>
                <w:szCs w:val="16"/>
              </w:rPr>
              <w:t>—</w:t>
            </w:r>
          </w:p>
        </w:tc>
        <w:tc>
          <w:tcPr>
            <w:tcW w:w="650" w:type="dxa"/>
          </w:tcPr>
          <w:p w14:paraId="53E5F425" w14:textId="77777777" w:rsidR="00D50668" w:rsidRPr="00DE096C" w:rsidRDefault="00D50668" w:rsidP="00D45A46">
            <w:pPr>
              <w:jc w:val="both"/>
              <w:rPr>
                <w:bCs/>
                <w:color w:val="002060"/>
                <w:sz w:val="16"/>
                <w:szCs w:val="16"/>
              </w:rPr>
            </w:pPr>
            <w:r w:rsidRPr="00DE096C">
              <w:rPr>
                <w:bCs/>
                <w:color w:val="002060"/>
                <w:sz w:val="16"/>
                <w:szCs w:val="16"/>
              </w:rPr>
              <w:t>150</w:t>
            </w:r>
          </w:p>
        </w:tc>
        <w:tc>
          <w:tcPr>
            <w:tcW w:w="636" w:type="dxa"/>
          </w:tcPr>
          <w:p w14:paraId="37D40C47" w14:textId="77777777" w:rsidR="00D50668" w:rsidRPr="00DE096C" w:rsidRDefault="00D50668" w:rsidP="00D45A46">
            <w:pPr>
              <w:jc w:val="both"/>
              <w:rPr>
                <w:bCs/>
                <w:color w:val="002060"/>
                <w:sz w:val="16"/>
                <w:szCs w:val="16"/>
              </w:rPr>
            </w:pPr>
            <w:r w:rsidRPr="00DE096C">
              <w:rPr>
                <w:bCs/>
                <w:color w:val="002060"/>
                <w:sz w:val="16"/>
                <w:szCs w:val="16"/>
              </w:rPr>
              <w:t>150</w:t>
            </w:r>
          </w:p>
        </w:tc>
        <w:tc>
          <w:tcPr>
            <w:tcW w:w="728" w:type="dxa"/>
          </w:tcPr>
          <w:p w14:paraId="5CE7DBA7" w14:textId="77777777" w:rsidR="00D50668" w:rsidRPr="00DE096C" w:rsidRDefault="00D50668" w:rsidP="00D45A46">
            <w:pPr>
              <w:jc w:val="both"/>
              <w:rPr>
                <w:bCs/>
                <w:color w:val="002060"/>
                <w:sz w:val="16"/>
                <w:szCs w:val="16"/>
              </w:rPr>
            </w:pPr>
            <w:r w:rsidRPr="00DE096C">
              <w:rPr>
                <w:bCs/>
                <w:color w:val="002060"/>
                <w:sz w:val="16"/>
                <w:szCs w:val="16"/>
              </w:rPr>
              <w:t>150</w:t>
            </w:r>
          </w:p>
        </w:tc>
      </w:tr>
      <w:tr w:rsidR="00D50668" w:rsidRPr="00DE096C" w14:paraId="32C5429F" w14:textId="77777777" w:rsidTr="00D34AC1">
        <w:tc>
          <w:tcPr>
            <w:tcW w:w="2652" w:type="dxa"/>
          </w:tcPr>
          <w:p w14:paraId="1ED6321F" w14:textId="77777777" w:rsidR="00D50668" w:rsidRPr="00DE096C" w:rsidRDefault="00D50668" w:rsidP="00D45A46">
            <w:pPr>
              <w:jc w:val="both"/>
              <w:rPr>
                <w:bCs/>
                <w:color w:val="002060"/>
                <w:sz w:val="16"/>
                <w:szCs w:val="16"/>
              </w:rPr>
            </w:pPr>
            <w:r w:rsidRPr="00DE096C">
              <w:rPr>
                <w:bCs/>
                <w:color w:val="002060"/>
                <w:sz w:val="16"/>
                <w:szCs w:val="16"/>
              </w:rPr>
              <w:t>Рудники Ушакова</w:t>
            </w:r>
          </w:p>
        </w:tc>
        <w:tc>
          <w:tcPr>
            <w:tcW w:w="612" w:type="dxa"/>
          </w:tcPr>
          <w:p w14:paraId="1A4D813E" w14:textId="77777777" w:rsidR="00D50668" w:rsidRPr="00DE096C" w:rsidRDefault="00D50668" w:rsidP="00D45A46">
            <w:pPr>
              <w:jc w:val="both"/>
              <w:rPr>
                <w:bCs/>
                <w:color w:val="002060"/>
                <w:sz w:val="16"/>
                <w:szCs w:val="16"/>
              </w:rPr>
            </w:pPr>
            <w:r w:rsidRPr="00DE096C">
              <w:rPr>
                <w:bCs/>
                <w:color w:val="002060"/>
                <w:sz w:val="16"/>
                <w:szCs w:val="16"/>
              </w:rPr>
              <w:t>—</w:t>
            </w:r>
          </w:p>
        </w:tc>
        <w:tc>
          <w:tcPr>
            <w:tcW w:w="650" w:type="dxa"/>
          </w:tcPr>
          <w:p w14:paraId="2A63E0EC" w14:textId="77777777" w:rsidR="00D50668" w:rsidRPr="00DE096C" w:rsidRDefault="00D50668" w:rsidP="00D45A46">
            <w:pPr>
              <w:jc w:val="both"/>
              <w:rPr>
                <w:bCs/>
                <w:color w:val="002060"/>
                <w:sz w:val="16"/>
                <w:szCs w:val="16"/>
              </w:rPr>
            </w:pPr>
            <w:r w:rsidRPr="00DE096C">
              <w:rPr>
                <w:bCs/>
                <w:color w:val="002060"/>
                <w:sz w:val="16"/>
                <w:szCs w:val="16"/>
              </w:rPr>
              <w:t>100</w:t>
            </w:r>
          </w:p>
        </w:tc>
        <w:tc>
          <w:tcPr>
            <w:tcW w:w="636" w:type="dxa"/>
          </w:tcPr>
          <w:p w14:paraId="54B87674" w14:textId="77777777" w:rsidR="00D50668" w:rsidRPr="00DE096C" w:rsidRDefault="00D50668" w:rsidP="00D45A46">
            <w:pPr>
              <w:jc w:val="both"/>
              <w:rPr>
                <w:bCs/>
                <w:color w:val="002060"/>
                <w:sz w:val="16"/>
                <w:szCs w:val="16"/>
              </w:rPr>
            </w:pPr>
            <w:r w:rsidRPr="00DE096C">
              <w:rPr>
                <w:bCs/>
                <w:color w:val="002060"/>
                <w:sz w:val="16"/>
                <w:szCs w:val="16"/>
              </w:rPr>
              <w:t>100</w:t>
            </w:r>
          </w:p>
        </w:tc>
        <w:tc>
          <w:tcPr>
            <w:tcW w:w="728" w:type="dxa"/>
          </w:tcPr>
          <w:p w14:paraId="43A52D3C" w14:textId="77777777" w:rsidR="00D50668" w:rsidRPr="00DE096C" w:rsidRDefault="00D50668" w:rsidP="00D45A46">
            <w:pPr>
              <w:jc w:val="both"/>
              <w:rPr>
                <w:bCs/>
                <w:color w:val="002060"/>
                <w:sz w:val="16"/>
                <w:szCs w:val="16"/>
              </w:rPr>
            </w:pPr>
            <w:r w:rsidRPr="00DE096C">
              <w:rPr>
                <w:bCs/>
                <w:color w:val="002060"/>
                <w:sz w:val="16"/>
                <w:szCs w:val="16"/>
              </w:rPr>
              <w:t>100</w:t>
            </w:r>
          </w:p>
        </w:tc>
      </w:tr>
      <w:tr w:rsidR="00D50668" w:rsidRPr="00DE096C" w14:paraId="29519566" w14:textId="77777777" w:rsidTr="00D34AC1">
        <w:tc>
          <w:tcPr>
            <w:tcW w:w="2652" w:type="dxa"/>
          </w:tcPr>
          <w:p w14:paraId="54998FD9" w14:textId="77777777" w:rsidR="00D50668" w:rsidRPr="00DE096C" w:rsidRDefault="00D50668" w:rsidP="00D45A46">
            <w:pPr>
              <w:jc w:val="both"/>
              <w:rPr>
                <w:bCs/>
                <w:color w:val="002060"/>
                <w:sz w:val="16"/>
                <w:szCs w:val="16"/>
              </w:rPr>
            </w:pPr>
            <w:r w:rsidRPr="00DE096C">
              <w:rPr>
                <w:bCs/>
                <w:color w:val="002060"/>
                <w:sz w:val="16"/>
                <w:szCs w:val="16"/>
              </w:rPr>
              <w:t xml:space="preserve">Прочие мелкие добычи </w:t>
            </w:r>
          </w:p>
          <w:p w14:paraId="2230599E" w14:textId="77777777" w:rsidR="00D50668" w:rsidRPr="00DE096C" w:rsidRDefault="00D50668" w:rsidP="00D45A46">
            <w:pPr>
              <w:jc w:val="both"/>
              <w:rPr>
                <w:bCs/>
                <w:color w:val="002060"/>
                <w:sz w:val="16"/>
                <w:szCs w:val="16"/>
              </w:rPr>
            </w:pPr>
            <w:r w:rsidRPr="00DE096C">
              <w:rPr>
                <w:bCs/>
                <w:color w:val="002060"/>
                <w:sz w:val="16"/>
                <w:szCs w:val="16"/>
              </w:rPr>
              <w:t>(Кавказские, Донецкие, Подмосковные)</w:t>
            </w:r>
          </w:p>
        </w:tc>
        <w:tc>
          <w:tcPr>
            <w:tcW w:w="612" w:type="dxa"/>
          </w:tcPr>
          <w:p w14:paraId="33EAB773" w14:textId="77777777" w:rsidR="00D50668" w:rsidRPr="00DE096C" w:rsidRDefault="00D50668" w:rsidP="00D45A46">
            <w:pPr>
              <w:jc w:val="both"/>
              <w:rPr>
                <w:bCs/>
                <w:color w:val="002060"/>
                <w:sz w:val="16"/>
                <w:szCs w:val="16"/>
              </w:rPr>
            </w:pPr>
            <w:r w:rsidRPr="00DE096C">
              <w:rPr>
                <w:bCs/>
                <w:color w:val="002060"/>
                <w:sz w:val="16"/>
                <w:szCs w:val="16"/>
              </w:rPr>
              <w:t>105</w:t>
            </w:r>
          </w:p>
        </w:tc>
        <w:tc>
          <w:tcPr>
            <w:tcW w:w="650" w:type="dxa"/>
          </w:tcPr>
          <w:p w14:paraId="4E8C8155" w14:textId="77777777" w:rsidR="00D50668" w:rsidRPr="00DE096C" w:rsidRDefault="00D50668" w:rsidP="00D45A46">
            <w:pPr>
              <w:jc w:val="both"/>
              <w:rPr>
                <w:bCs/>
                <w:color w:val="002060"/>
                <w:sz w:val="16"/>
                <w:szCs w:val="16"/>
              </w:rPr>
            </w:pPr>
            <w:r w:rsidRPr="00DE096C">
              <w:rPr>
                <w:bCs/>
                <w:color w:val="002060"/>
                <w:sz w:val="16"/>
                <w:szCs w:val="16"/>
              </w:rPr>
              <w:t>110</w:t>
            </w:r>
          </w:p>
        </w:tc>
        <w:tc>
          <w:tcPr>
            <w:tcW w:w="636" w:type="dxa"/>
          </w:tcPr>
          <w:p w14:paraId="7F4A6973" w14:textId="77777777" w:rsidR="00D50668" w:rsidRPr="00DE096C" w:rsidRDefault="00D50668" w:rsidP="00D45A46">
            <w:pPr>
              <w:jc w:val="both"/>
              <w:rPr>
                <w:bCs/>
                <w:color w:val="002060"/>
                <w:sz w:val="16"/>
                <w:szCs w:val="16"/>
              </w:rPr>
            </w:pPr>
            <w:r w:rsidRPr="00DE096C">
              <w:rPr>
                <w:bCs/>
                <w:color w:val="002060"/>
                <w:sz w:val="16"/>
                <w:szCs w:val="16"/>
              </w:rPr>
              <w:t>140</w:t>
            </w:r>
          </w:p>
        </w:tc>
        <w:tc>
          <w:tcPr>
            <w:tcW w:w="728" w:type="dxa"/>
          </w:tcPr>
          <w:p w14:paraId="64BC5D3B" w14:textId="77777777" w:rsidR="00D50668" w:rsidRPr="00DE096C" w:rsidRDefault="00D50668" w:rsidP="00D45A46">
            <w:pPr>
              <w:jc w:val="both"/>
              <w:rPr>
                <w:bCs/>
                <w:color w:val="002060"/>
                <w:sz w:val="16"/>
                <w:szCs w:val="16"/>
              </w:rPr>
            </w:pPr>
            <w:r w:rsidRPr="00DE096C">
              <w:rPr>
                <w:bCs/>
                <w:color w:val="002060"/>
                <w:sz w:val="16"/>
                <w:szCs w:val="16"/>
              </w:rPr>
              <w:t>150</w:t>
            </w:r>
          </w:p>
        </w:tc>
      </w:tr>
    </w:tbl>
    <w:p w14:paraId="39DD3249" w14:textId="77777777" w:rsidR="00D50668" w:rsidRPr="00DE096C" w:rsidRDefault="00D50668" w:rsidP="00D45A46">
      <w:pPr>
        <w:jc w:val="both"/>
        <w:rPr>
          <w:bCs/>
          <w:color w:val="002060"/>
          <w:sz w:val="16"/>
          <w:szCs w:val="16"/>
        </w:rPr>
      </w:pPr>
      <w:r w:rsidRPr="00DE096C">
        <w:rPr>
          <w:bCs/>
          <w:color w:val="002060"/>
          <w:sz w:val="16"/>
          <w:szCs w:val="16"/>
        </w:rPr>
        <w:t xml:space="preserve">Не менее забот представлял вопрос с азотной кислотой. Для изготовления ее ежегодно в Россию необходимо было ввозить до 6 млн пудов чилийской селитры. Комиссия Ипатьева, а впоследствии Химический комитет взял на себя надзор за провозом и распределением ее. </w:t>
      </w:r>
    </w:p>
    <w:p w14:paraId="75DEF840" w14:textId="77777777" w:rsidR="00D50668" w:rsidRPr="00DE096C" w:rsidRDefault="00D50668" w:rsidP="00D45A46">
      <w:pPr>
        <w:jc w:val="both"/>
        <w:rPr>
          <w:bCs/>
          <w:color w:val="002060"/>
          <w:sz w:val="16"/>
          <w:szCs w:val="16"/>
        </w:rPr>
      </w:pPr>
      <w:r w:rsidRPr="00DE096C">
        <w:rPr>
          <w:bCs/>
          <w:color w:val="002060"/>
          <w:sz w:val="16"/>
          <w:szCs w:val="16"/>
        </w:rPr>
        <w:t xml:space="preserve">Комитет занялся также исследованием залежей отечественной селитры, но эти месторождения оказались неблагонадежными. </w:t>
      </w:r>
    </w:p>
    <w:p w14:paraId="05E6B85F" w14:textId="77777777" w:rsidR="00D50668" w:rsidRPr="00DE096C" w:rsidRDefault="00D50668" w:rsidP="00D45A46">
      <w:pPr>
        <w:jc w:val="both"/>
        <w:rPr>
          <w:bCs/>
          <w:color w:val="002060"/>
          <w:sz w:val="16"/>
          <w:szCs w:val="16"/>
        </w:rPr>
      </w:pPr>
      <w:r w:rsidRPr="00DE096C">
        <w:rPr>
          <w:bCs/>
          <w:color w:val="002060"/>
          <w:sz w:val="16"/>
          <w:szCs w:val="16"/>
        </w:rPr>
        <w:t xml:space="preserve">Имея в виду в будущем освободиться от иностранной зависимости, Химический комитет приступил к разработке вопроса о наилучшем для России методе получения азотной кислоты. </w:t>
      </w:r>
    </w:p>
    <w:p w14:paraId="7F3BD792" w14:textId="77777777" w:rsidR="00D50668" w:rsidRPr="00DE096C" w:rsidRDefault="00D50668" w:rsidP="00D45A46">
      <w:pPr>
        <w:jc w:val="both"/>
        <w:rPr>
          <w:bCs/>
          <w:color w:val="002060"/>
          <w:sz w:val="16"/>
          <w:szCs w:val="16"/>
        </w:rPr>
      </w:pPr>
      <w:r w:rsidRPr="00DE096C">
        <w:rPr>
          <w:bCs/>
          <w:color w:val="002060"/>
          <w:sz w:val="16"/>
          <w:szCs w:val="16"/>
        </w:rPr>
        <w:t xml:space="preserve">В связи с установлением улавливания побочных продуктов коксования угля начала быстро расти выработка аммиачных вод. Были привлечены крупные научные силы к разработке практического метода превращения аммиака в азотную кислоту. Лабораторные изыскания и опытная заводская работа дали благоприятные результаты. После этого Химический комитет построил первый казенный завод в Юзовке для получения азотной кислоты переработкой аммиачных вод, производительностью на 50 тыс. пудов селитры в месяц. Этот завод должен был послужить образцом для постройки в дальнейшем таких же заводов. </w:t>
      </w:r>
    </w:p>
    <w:p w14:paraId="35C9EBAF" w14:textId="77777777" w:rsidR="00D50668" w:rsidRPr="00DE096C" w:rsidRDefault="00D50668" w:rsidP="00D45A46">
      <w:pPr>
        <w:jc w:val="both"/>
        <w:rPr>
          <w:bCs/>
          <w:color w:val="002060"/>
          <w:sz w:val="16"/>
          <w:szCs w:val="16"/>
        </w:rPr>
      </w:pPr>
      <w:r w:rsidRPr="00DE096C">
        <w:rPr>
          <w:bCs/>
          <w:color w:val="002060"/>
          <w:sz w:val="16"/>
          <w:szCs w:val="16"/>
        </w:rPr>
        <w:t xml:space="preserve">В целях разрешения полностью вопроса о связанном азоте Химическим комитетом был осенью 1916 г. разработан проект завода цианамида кальция производительностью на 2 000 000 пудов в год, который предположено было строить на Кавказе, в Грозном. </w:t>
      </w:r>
    </w:p>
    <w:p w14:paraId="1E6364EE" w14:textId="77777777" w:rsidR="00D50668" w:rsidRPr="00DE096C" w:rsidRDefault="00D50668" w:rsidP="00D45A46">
      <w:pPr>
        <w:jc w:val="both"/>
        <w:rPr>
          <w:bCs/>
          <w:color w:val="002060"/>
          <w:sz w:val="16"/>
          <w:szCs w:val="16"/>
        </w:rPr>
      </w:pPr>
      <w:r w:rsidRPr="00DE096C">
        <w:rPr>
          <w:bCs/>
          <w:color w:val="002060"/>
          <w:sz w:val="16"/>
          <w:szCs w:val="16"/>
        </w:rPr>
        <w:t xml:space="preserve">Таким образом, Комиссия Ипатьева, а в дальнейшем Химический комитет, как видно из приведенного очерка, несли на себе все заботы о снабжении казенных и частных заводов пороха и взрывчатых веществ основными материалами для производства. </w:t>
      </w:r>
    </w:p>
    <w:p w14:paraId="6623B575" w14:textId="77777777" w:rsidR="00D50668" w:rsidRPr="00DE096C" w:rsidRDefault="00D50668" w:rsidP="00D45A46">
      <w:pPr>
        <w:jc w:val="both"/>
        <w:rPr>
          <w:bCs/>
          <w:color w:val="002060"/>
          <w:sz w:val="16"/>
          <w:szCs w:val="16"/>
        </w:rPr>
      </w:pPr>
      <w:r w:rsidRPr="00DE096C">
        <w:rPr>
          <w:bCs/>
          <w:color w:val="002060"/>
          <w:sz w:val="16"/>
          <w:szCs w:val="16"/>
        </w:rPr>
        <w:t xml:space="preserve">Независимо от этого на Химическом комитете лежала обязанность привлечь частную промышленность к изготовлению самых взрывчатых веществ в дополнение к тем, которые изготовлялись казенными заводами. </w:t>
      </w:r>
    </w:p>
    <w:p w14:paraId="02F52FC9" w14:textId="77777777" w:rsidR="00D50668" w:rsidRPr="00DE096C" w:rsidRDefault="00D50668" w:rsidP="00D45A46">
      <w:pPr>
        <w:jc w:val="both"/>
        <w:rPr>
          <w:bCs/>
          <w:color w:val="002060"/>
          <w:sz w:val="16"/>
          <w:szCs w:val="16"/>
        </w:rPr>
      </w:pPr>
      <w:r w:rsidRPr="00DE096C">
        <w:rPr>
          <w:bCs/>
          <w:color w:val="002060"/>
          <w:sz w:val="16"/>
          <w:szCs w:val="16"/>
        </w:rPr>
        <w:t xml:space="preserve">Во время войны производство тротила было установлено на нескольких существовавших частных химических заводах (отдельные цеха) и построены новые тротиловые заводы. Общее число частных заводов, готовивших тротил во время войны, достигло восьми. </w:t>
      </w:r>
    </w:p>
    <w:p w14:paraId="1336E32D" w14:textId="77777777" w:rsidR="00D50668" w:rsidRPr="00DE096C" w:rsidRDefault="00D50668" w:rsidP="00D45A46">
      <w:pPr>
        <w:jc w:val="both"/>
        <w:rPr>
          <w:bCs/>
          <w:color w:val="002060"/>
          <w:sz w:val="16"/>
          <w:szCs w:val="16"/>
        </w:rPr>
      </w:pPr>
      <w:r w:rsidRPr="00DE096C">
        <w:rPr>
          <w:bCs/>
          <w:color w:val="002060"/>
          <w:sz w:val="16"/>
          <w:szCs w:val="16"/>
        </w:rPr>
        <w:t xml:space="preserve">Пикриновая кислота во время войны готовилась только на частных заводах: на пяти — нитрацией фенола и на двух — синтетическим путем из бензола. До войны ее готовили только два завода по первому способу. Синтетический способ был разработан в России уже во время войны в Центральной научно-технической лаборатории военного ведомства и представляет большой научный интерес. </w:t>
      </w:r>
    </w:p>
    <w:p w14:paraId="3BB5EED2" w14:textId="77777777" w:rsidR="00D50668" w:rsidRPr="00DE096C" w:rsidRDefault="00D50668" w:rsidP="00D45A46">
      <w:pPr>
        <w:jc w:val="both"/>
        <w:rPr>
          <w:bCs/>
          <w:color w:val="002060"/>
          <w:sz w:val="16"/>
          <w:szCs w:val="16"/>
        </w:rPr>
      </w:pPr>
      <w:r w:rsidRPr="00DE096C">
        <w:rPr>
          <w:bCs/>
          <w:color w:val="002060"/>
          <w:sz w:val="16"/>
          <w:szCs w:val="16"/>
        </w:rPr>
        <w:t xml:space="preserve">Было установлено Химическим комитетом также производство тринитроксилола и динитронафталина, каждый на двух заводах. </w:t>
      </w:r>
    </w:p>
    <w:p w14:paraId="4D97C4FB" w14:textId="77777777" w:rsidR="00D50668" w:rsidRPr="00DE096C" w:rsidRDefault="00D50668" w:rsidP="00D45A46">
      <w:pPr>
        <w:jc w:val="both"/>
        <w:rPr>
          <w:bCs/>
          <w:color w:val="002060"/>
          <w:sz w:val="16"/>
          <w:szCs w:val="16"/>
        </w:rPr>
      </w:pPr>
      <w:r w:rsidRPr="00DE096C">
        <w:rPr>
          <w:bCs/>
          <w:color w:val="002060"/>
          <w:sz w:val="16"/>
          <w:szCs w:val="16"/>
        </w:rPr>
        <w:t xml:space="preserve">Изготовление аммиачной селитры, кроме упомянутого выше Юзовского казенного завода, было организовано Комиссией еще на двух заводах в Донецком бассейне. </w:t>
      </w:r>
    </w:p>
    <w:p w14:paraId="526CB117" w14:textId="77777777" w:rsidR="00D50668" w:rsidRPr="00DE096C" w:rsidRDefault="00D50668" w:rsidP="00D45A46">
      <w:pPr>
        <w:jc w:val="both"/>
        <w:rPr>
          <w:bCs/>
          <w:color w:val="002060"/>
          <w:sz w:val="16"/>
          <w:szCs w:val="16"/>
        </w:rPr>
      </w:pPr>
      <w:r w:rsidRPr="00DE096C">
        <w:rPr>
          <w:bCs/>
          <w:color w:val="002060"/>
          <w:sz w:val="16"/>
          <w:szCs w:val="16"/>
        </w:rPr>
        <w:t xml:space="preserve">Фабрикация взрывчатых смесей на основе аммиачной селитры была организована Химическим комитетом в нескольких мастерских и заводах. </w:t>
      </w:r>
    </w:p>
    <w:p w14:paraId="2ED2AC61" w14:textId="77777777" w:rsidR="00D50668" w:rsidRPr="00DE096C" w:rsidRDefault="00D50668" w:rsidP="00D45A46">
      <w:pPr>
        <w:jc w:val="both"/>
        <w:rPr>
          <w:bCs/>
          <w:color w:val="002060"/>
          <w:sz w:val="16"/>
          <w:szCs w:val="16"/>
        </w:rPr>
      </w:pPr>
      <w:r w:rsidRPr="00DE096C">
        <w:rPr>
          <w:bCs/>
          <w:color w:val="002060"/>
          <w:sz w:val="16"/>
          <w:szCs w:val="16"/>
        </w:rPr>
        <w:t xml:space="preserve">Общее количество заводов, изготовлявших взрывчатые вещества, возросло с февраля 1915 г. по январь 1917 г. с 4 до 28. Общая мощность их по оборудованию в 1917 г. возросла до 218 000 пудов в месяц. Из них (пудов):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88"/>
        <w:gridCol w:w="936"/>
      </w:tblGrid>
      <w:tr w:rsidR="00D50668" w:rsidRPr="00DE096C" w14:paraId="307F7D7C" w14:textId="77777777" w:rsidTr="00D34AC1">
        <w:tc>
          <w:tcPr>
            <w:tcW w:w="1788" w:type="dxa"/>
          </w:tcPr>
          <w:p w14:paraId="632BC3BA" w14:textId="77777777" w:rsidR="00D50668" w:rsidRPr="00DE096C" w:rsidRDefault="00D50668" w:rsidP="00D45A46">
            <w:pPr>
              <w:jc w:val="both"/>
              <w:rPr>
                <w:bCs/>
                <w:color w:val="002060"/>
                <w:sz w:val="16"/>
                <w:szCs w:val="16"/>
              </w:rPr>
            </w:pPr>
            <w:r w:rsidRPr="00DE096C">
              <w:rPr>
                <w:bCs/>
                <w:color w:val="002060"/>
                <w:sz w:val="16"/>
                <w:szCs w:val="16"/>
              </w:rPr>
              <w:t>Тротила</w:t>
            </w:r>
          </w:p>
        </w:tc>
        <w:tc>
          <w:tcPr>
            <w:tcW w:w="936" w:type="dxa"/>
          </w:tcPr>
          <w:p w14:paraId="2100A325" w14:textId="77777777" w:rsidR="00D50668" w:rsidRPr="00DE096C" w:rsidRDefault="00D50668" w:rsidP="00D45A46">
            <w:pPr>
              <w:jc w:val="both"/>
              <w:rPr>
                <w:bCs/>
                <w:color w:val="002060"/>
                <w:sz w:val="16"/>
                <w:szCs w:val="16"/>
              </w:rPr>
            </w:pPr>
            <w:r w:rsidRPr="00DE096C">
              <w:rPr>
                <w:bCs/>
                <w:color w:val="002060"/>
                <w:sz w:val="16"/>
                <w:szCs w:val="16"/>
              </w:rPr>
              <w:t xml:space="preserve">52.000 </w:t>
            </w:r>
          </w:p>
        </w:tc>
      </w:tr>
      <w:tr w:rsidR="00D50668" w:rsidRPr="00DE096C" w14:paraId="5E96C5AB" w14:textId="77777777" w:rsidTr="00D34AC1">
        <w:tc>
          <w:tcPr>
            <w:tcW w:w="1788" w:type="dxa"/>
          </w:tcPr>
          <w:p w14:paraId="25FDDCFC" w14:textId="77777777" w:rsidR="00D50668" w:rsidRPr="00DE096C" w:rsidRDefault="00D50668" w:rsidP="00D45A46">
            <w:pPr>
              <w:jc w:val="both"/>
              <w:rPr>
                <w:bCs/>
                <w:color w:val="002060"/>
                <w:sz w:val="16"/>
                <w:szCs w:val="16"/>
              </w:rPr>
            </w:pPr>
            <w:r w:rsidRPr="00DE096C">
              <w:rPr>
                <w:bCs/>
                <w:color w:val="002060"/>
                <w:sz w:val="16"/>
                <w:szCs w:val="16"/>
              </w:rPr>
              <w:t>Пикриновой кислоты</w:t>
            </w:r>
          </w:p>
        </w:tc>
        <w:tc>
          <w:tcPr>
            <w:tcW w:w="936" w:type="dxa"/>
          </w:tcPr>
          <w:p w14:paraId="17136858" w14:textId="77777777" w:rsidR="00D50668" w:rsidRPr="00DE096C" w:rsidRDefault="00D50668" w:rsidP="00D45A46">
            <w:pPr>
              <w:jc w:val="both"/>
              <w:rPr>
                <w:bCs/>
                <w:color w:val="002060"/>
                <w:sz w:val="16"/>
                <w:szCs w:val="16"/>
              </w:rPr>
            </w:pPr>
            <w:r w:rsidRPr="00DE096C">
              <w:rPr>
                <w:bCs/>
                <w:color w:val="002060"/>
                <w:sz w:val="16"/>
                <w:szCs w:val="16"/>
              </w:rPr>
              <w:t xml:space="preserve">50.000 </w:t>
            </w:r>
          </w:p>
        </w:tc>
      </w:tr>
      <w:tr w:rsidR="00D50668" w:rsidRPr="00DE096C" w14:paraId="0E5B4BCC" w14:textId="77777777" w:rsidTr="00D34AC1">
        <w:tc>
          <w:tcPr>
            <w:tcW w:w="1788" w:type="dxa"/>
          </w:tcPr>
          <w:p w14:paraId="592A18D2" w14:textId="77777777" w:rsidR="00D50668" w:rsidRPr="00DE096C" w:rsidRDefault="00D50668" w:rsidP="00D45A46">
            <w:pPr>
              <w:jc w:val="both"/>
              <w:rPr>
                <w:bCs/>
                <w:color w:val="002060"/>
                <w:sz w:val="16"/>
                <w:szCs w:val="16"/>
              </w:rPr>
            </w:pPr>
            <w:r w:rsidRPr="00DE096C">
              <w:rPr>
                <w:bCs/>
                <w:color w:val="002060"/>
                <w:sz w:val="16"/>
                <w:szCs w:val="16"/>
              </w:rPr>
              <w:t>Аммиачной селитры</w:t>
            </w:r>
          </w:p>
        </w:tc>
        <w:tc>
          <w:tcPr>
            <w:tcW w:w="936" w:type="dxa"/>
          </w:tcPr>
          <w:p w14:paraId="3F07191D" w14:textId="77777777" w:rsidR="00D50668" w:rsidRPr="00DE096C" w:rsidRDefault="00D50668" w:rsidP="00D45A46">
            <w:pPr>
              <w:jc w:val="both"/>
              <w:rPr>
                <w:bCs/>
                <w:color w:val="002060"/>
                <w:sz w:val="16"/>
                <w:szCs w:val="16"/>
              </w:rPr>
            </w:pPr>
            <w:r w:rsidRPr="00DE096C">
              <w:rPr>
                <w:bCs/>
                <w:color w:val="002060"/>
                <w:sz w:val="16"/>
                <w:szCs w:val="16"/>
              </w:rPr>
              <w:t xml:space="preserve">60.000 </w:t>
            </w:r>
          </w:p>
        </w:tc>
      </w:tr>
      <w:tr w:rsidR="00D50668" w:rsidRPr="00DE096C" w14:paraId="046F1C71" w14:textId="77777777" w:rsidTr="00D34AC1">
        <w:tc>
          <w:tcPr>
            <w:tcW w:w="1788" w:type="dxa"/>
          </w:tcPr>
          <w:p w14:paraId="5F7797EA" w14:textId="77777777" w:rsidR="00D50668" w:rsidRPr="00DE096C" w:rsidRDefault="00D50668" w:rsidP="00D45A46">
            <w:pPr>
              <w:jc w:val="both"/>
              <w:rPr>
                <w:bCs/>
                <w:color w:val="002060"/>
                <w:sz w:val="16"/>
                <w:szCs w:val="16"/>
              </w:rPr>
            </w:pPr>
            <w:r w:rsidRPr="00DE096C">
              <w:rPr>
                <w:bCs/>
                <w:color w:val="002060"/>
                <w:sz w:val="16"/>
                <w:szCs w:val="16"/>
              </w:rPr>
              <w:t>Ксилола</w:t>
            </w:r>
          </w:p>
        </w:tc>
        <w:tc>
          <w:tcPr>
            <w:tcW w:w="936" w:type="dxa"/>
          </w:tcPr>
          <w:p w14:paraId="0A0BDECD" w14:textId="77777777" w:rsidR="00D50668" w:rsidRPr="00DE096C" w:rsidRDefault="00D50668" w:rsidP="00D45A46">
            <w:pPr>
              <w:jc w:val="both"/>
              <w:rPr>
                <w:bCs/>
                <w:color w:val="002060"/>
                <w:sz w:val="16"/>
                <w:szCs w:val="16"/>
              </w:rPr>
            </w:pPr>
            <w:r w:rsidRPr="00DE096C">
              <w:rPr>
                <w:bCs/>
                <w:color w:val="002060"/>
                <w:sz w:val="16"/>
                <w:szCs w:val="16"/>
              </w:rPr>
              <w:t xml:space="preserve">9.000 </w:t>
            </w:r>
          </w:p>
        </w:tc>
      </w:tr>
      <w:tr w:rsidR="00D50668" w:rsidRPr="00DE096C" w14:paraId="2F6349BC" w14:textId="77777777" w:rsidTr="00D34AC1">
        <w:tc>
          <w:tcPr>
            <w:tcW w:w="1788" w:type="dxa"/>
          </w:tcPr>
          <w:p w14:paraId="35A2D6D8" w14:textId="77777777" w:rsidR="00D50668" w:rsidRPr="00DE096C" w:rsidRDefault="00D50668" w:rsidP="00D45A46">
            <w:pPr>
              <w:jc w:val="both"/>
              <w:rPr>
                <w:bCs/>
                <w:color w:val="002060"/>
                <w:sz w:val="16"/>
                <w:szCs w:val="16"/>
              </w:rPr>
            </w:pPr>
            <w:r w:rsidRPr="00DE096C">
              <w:rPr>
                <w:bCs/>
                <w:color w:val="002060"/>
                <w:sz w:val="16"/>
                <w:szCs w:val="16"/>
              </w:rPr>
              <w:t>Динитронафталина</w:t>
            </w:r>
          </w:p>
        </w:tc>
        <w:tc>
          <w:tcPr>
            <w:tcW w:w="936" w:type="dxa"/>
          </w:tcPr>
          <w:p w14:paraId="4318F45C" w14:textId="77777777" w:rsidR="00D50668" w:rsidRPr="00DE096C" w:rsidRDefault="00D50668" w:rsidP="00D45A46">
            <w:pPr>
              <w:jc w:val="both"/>
              <w:rPr>
                <w:bCs/>
                <w:color w:val="002060"/>
                <w:sz w:val="16"/>
                <w:szCs w:val="16"/>
              </w:rPr>
            </w:pPr>
            <w:r w:rsidRPr="00DE096C">
              <w:rPr>
                <w:bCs/>
                <w:color w:val="002060"/>
                <w:sz w:val="16"/>
                <w:szCs w:val="16"/>
              </w:rPr>
              <w:t xml:space="preserve">12.000 </w:t>
            </w:r>
          </w:p>
        </w:tc>
      </w:tr>
    </w:tbl>
    <w:p w14:paraId="0F1082BF" w14:textId="77777777" w:rsidR="00D50668" w:rsidRPr="00DE096C" w:rsidRDefault="00D50668" w:rsidP="00D45A46">
      <w:pPr>
        <w:jc w:val="both"/>
        <w:rPr>
          <w:bCs/>
          <w:color w:val="002060"/>
          <w:sz w:val="16"/>
          <w:szCs w:val="16"/>
        </w:rPr>
      </w:pPr>
      <w:r w:rsidRPr="00DE096C">
        <w:rPr>
          <w:bCs/>
          <w:color w:val="002060"/>
          <w:sz w:val="16"/>
          <w:szCs w:val="16"/>
        </w:rPr>
        <w:t xml:space="preserve">Фактически эта мощность не была использована полностью. </w:t>
      </w:r>
    </w:p>
    <w:p w14:paraId="07749DE0" w14:textId="77777777" w:rsidR="00D50668" w:rsidRPr="00DE096C" w:rsidRDefault="00D50668" w:rsidP="00D45A46">
      <w:pPr>
        <w:jc w:val="both"/>
        <w:rPr>
          <w:bCs/>
          <w:color w:val="002060"/>
          <w:sz w:val="16"/>
          <w:szCs w:val="16"/>
        </w:rPr>
      </w:pPr>
      <w:r w:rsidRPr="00DE096C">
        <w:rPr>
          <w:bCs/>
          <w:color w:val="002060"/>
          <w:sz w:val="16"/>
          <w:szCs w:val="16"/>
        </w:rPr>
        <w:t xml:space="preserve">Летом 1915 г. определенно выяснилась необходимость организовать производство целого ряда химических продуктов для газовой борьбы с противником. </w:t>
      </w:r>
    </w:p>
    <w:p w14:paraId="1FD94E9A" w14:textId="77777777" w:rsidR="00D50668" w:rsidRPr="00DE096C" w:rsidRDefault="00D50668" w:rsidP="00D45A46">
      <w:pPr>
        <w:jc w:val="both"/>
        <w:rPr>
          <w:bCs/>
          <w:color w:val="002060"/>
          <w:sz w:val="16"/>
          <w:szCs w:val="16"/>
        </w:rPr>
      </w:pPr>
      <w:r w:rsidRPr="00DE096C">
        <w:rPr>
          <w:bCs/>
          <w:color w:val="002060"/>
          <w:sz w:val="16"/>
          <w:szCs w:val="16"/>
        </w:rPr>
        <w:t xml:space="preserve">Это дело проводилось с большой энергией и успехом, сначала специально для этой цели организованной Комиссией у[душающих] с[редств], а после Химическим комитетом, куда вошла Комиссия УС. Организации заводского производства предшествовал ряд научных изысканий. </w:t>
      </w:r>
    </w:p>
    <w:p w14:paraId="6EA93492" w14:textId="77777777" w:rsidR="00D50668" w:rsidRPr="00DE096C" w:rsidRDefault="00D50668" w:rsidP="00D45A46">
      <w:pPr>
        <w:jc w:val="both"/>
        <w:rPr>
          <w:bCs/>
          <w:color w:val="002060"/>
          <w:sz w:val="16"/>
          <w:szCs w:val="16"/>
        </w:rPr>
      </w:pPr>
      <w:r w:rsidRPr="00DE096C">
        <w:rPr>
          <w:bCs/>
          <w:color w:val="002060"/>
          <w:sz w:val="16"/>
          <w:szCs w:val="16"/>
        </w:rPr>
        <w:t xml:space="preserve">Для выпуска из баллонов принят был сжиженный хлор. Производство было быстро организовано на двух заводах Донецкого бассейна и в период с осени 1915 г. к осени 1916 г. достигло 500-600 пудов в сутки, что вполне покрывало потребность фронта. </w:t>
      </w:r>
    </w:p>
    <w:p w14:paraId="6C52C1F1" w14:textId="77777777" w:rsidR="00D50668" w:rsidRPr="00DE096C" w:rsidRDefault="00D50668" w:rsidP="00D45A46">
      <w:pPr>
        <w:jc w:val="both"/>
        <w:rPr>
          <w:bCs/>
          <w:color w:val="002060"/>
          <w:sz w:val="16"/>
          <w:szCs w:val="16"/>
        </w:rPr>
      </w:pPr>
      <w:r w:rsidRPr="00DE096C">
        <w:rPr>
          <w:bCs/>
          <w:color w:val="002060"/>
          <w:sz w:val="16"/>
          <w:szCs w:val="16"/>
        </w:rPr>
        <w:t xml:space="preserve">Второе вещество, необходимое для баллоновой газовой борьбы, фосген, в России ранее вовсе не вырабатывалось. </w:t>
      </w:r>
    </w:p>
    <w:p w14:paraId="3DE732F6" w14:textId="77777777" w:rsidR="00D50668" w:rsidRPr="00DE096C" w:rsidRDefault="00D50668" w:rsidP="00D45A46">
      <w:pPr>
        <w:jc w:val="both"/>
        <w:rPr>
          <w:bCs/>
          <w:color w:val="002060"/>
          <w:sz w:val="16"/>
          <w:szCs w:val="16"/>
        </w:rPr>
      </w:pPr>
      <w:r w:rsidRPr="00DE096C">
        <w:rPr>
          <w:bCs/>
          <w:color w:val="002060"/>
          <w:sz w:val="16"/>
          <w:szCs w:val="16"/>
        </w:rPr>
        <w:t xml:space="preserve">На это производство оборудовалось пять заводов, из коих один казенный. Из пяти только два своевременно справились с делом. С января по октябрь 1916 г. производство фосгена достигло 600 пудов в месяц. Установка его представляла большие технические трудности. </w:t>
      </w:r>
    </w:p>
    <w:p w14:paraId="699ADD4F" w14:textId="77777777" w:rsidR="00D50668" w:rsidRPr="00DE096C" w:rsidRDefault="00D50668" w:rsidP="00D45A46">
      <w:pPr>
        <w:jc w:val="both"/>
        <w:rPr>
          <w:bCs/>
          <w:color w:val="002060"/>
          <w:sz w:val="16"/>
          <w:szCs w:val="16"/>
        </w:rPr>
      </w:pPr>
      <w:r w:rsidRPr="00DE096C">
        <w:rPr>
          <w:bCs/>
          <w:color w:val="002060"/>
          <w:sz w:val="16"/>
          <w:szCs w:val="16"/>
        </w:rPr>
        <w:t xml:space="preserve">Что касается других удушающих веществ, то Химический комитет поставил следующие производства: </w:t>
      </w:r>
    </w:p>
    <w:p w14:paraId="752906A6" w14:textId="77777777" w:rsidR="00D50668" w:rsidRPr="00DE096C" w:rsidRDefault="00D50668" w:rsidP="00D45A46">
      <w:pPr>
        <w:jc w:val="both"/>
        <w:rPr>
          <w:bCs/>
          <w:color w:val="002060"/>
          <w:sz w:val="16"/>
          <w:szCs w:val="16"/>
        </w:rPr>
      </w:pPr>
      <w:r w:rsidRPr="00DE096C">
        <w:rPr>
          <w:bCs/>
          <w:color w:val="002060"/>
          <w:sz w:val="16"/>
          <w:szCs w:val="16"/>
        </w:rPr>
        <w:t xml:space="preserve">Хлорпикрин — производство было поставлено на семи заводах. Из них один казенный (Глобинский). По 1 октября 1916 г. изготовлено 21 000 пудов. </w:t>
      </w:r>
    </w:p>
    <w:p w14:paraId="41F0FE2C" w14:textId="77777777" w:rsidR="00D50668" w:rsidRPr="00DE096C" w:rsidRDefault="00D50668" w:rsidP="00D45A46">
      <w:pPr>
        <w:jc w:val="both"/>
        <w:rPr>
          <w:bCs/>
          <w:color w:val="002060"/>
          <w:sz w:val="16"/>
          <w:szCs w:val="16"/>
        </w:rPr>
      </w:pPr>
      <w:r w:rsidRPr="00DE096C">
        <w:rPr>
          <w:bCs/>
          <w:color w:val="002060"/>
          <w:sz w:val="16"/>
          <w:szCs w:val="16"/>
        </w:rPr>
        <w:t xml:space="preserve">Хлористый сульфурин и хлористый ангидрид — на одном заводе, до 1 октября 1916 г. выработано: первого 14 000 пудов, а второго 18 000 пудов. </w:t>
      </w:r>
    </w:p>
    <w:p w14:paraId="5553BF2A" w14:textId="77777777" w:rsidR="00D50668" w:rsidRPr="00DE096C" w:rsidRDefault="00D50668" w:rsidP="00D45A46">
      <w:pPr>
        <w:jc w:val="both"/>
        <w:rPr>
          <w:bCs/>
          <w:color w:val="002060"/>
          <w:sz w:val="16"/>
          <w:szCs w:val="16"/>
        </w:rPr>
      </w:pPr>
      <w:r w:rsidRPr="00DE096C">
        <w:rPr>
          <w:bCs/>
          <w:color w:val="002060"/>
          <w:sz w:val="16"/>
          <w:szCs w:val="16"/>
        </w:rPr>
        <w:t xml:space="preserve">Хлорное олово — на одном заводе, до 1 октября 1916 г. выработано 14 000 пудов. </w:t>
      </w:r>
    </w:p>
    <w:p w14:paraId="08D99EA7" w14:textId="77777777" w:rsidR="00D50668" w:rsidRPr="00DE096C" w:rsidRDefault="00D50668" w:rsidP="00D45A46">
      <w:pPr>
        <w:jc w:val="both"/>
        <w:rPr>
          <w:bCs/>
          <w:color w:val="002060"/>
          <w:sz w:val="16"/>
          <w:szCs w:val="16"/>
        </w:rPr>
      </w:pPr>
      <w:r w:rsidRPr="00DE096C">
        <w:rPr>
          <w:bCs/>
          <w:color w:val="002060"/>
          <w:sz w:val="16"/>
          <w:szCs w:val="16"/>
        </w:rPr>
        <w:t xml:space="preserve">Цианистый калий — на одном заводе, за 1916 г. выработано 100 пудов. </w:t>
      </w:r>
    </w:p>
    <w:p w14:paraId="1FA831D4" w14:textId="77777777" w:rsidR="00D50668" w:rsidRPr="00DE096C" w:rsidRDefault="00D50668" w:rsidP="00D45A46">
      <w:pPr>
        <w:jc w:val="both"/>
        <w:rPr>
          <w:bCs/>
          <w:color w:val="002060"/>
          <w:sz w:val="16"/>
          <w:szCs w:val="16"/>
        </w:rPr>
      </w:pPr>
      <w:r w:rsidRPr="00DE096C">
        <w:rPr>
          <w:bCs/>
          <w:color w:val="002060"/>
          <w:sz w:val="16"/>
          <w:szCs w:val="16"/>
        </w:rPr>
        <w:t xml:space="preserve">Хлороформ — на одном заводе, до 1 октября 1916 г. — 300 пудов. </w:t>
      </w:r>
    </w:p>
    <w:p w14:paraId="128C5E98" w14:textId="77777777" w:rsidR="00D50668" w:rsidRPr="00DE096C" w:rsidRDefault="00D50668" w:rsidP="00D45A46">
      <w:pPr>
        <w:jc w:val="both"/>
        <w:rPr>
          <w:bCs/>
          <w:color w:val="002060"/>
          <w:sz w:val="16"/>
          <w:szCs w:val="16"/>
        </w:rPr>
      </w:pPr>
      <w:r w:rsidRPr="00DE096C">
        <w:rPr>
          <w:bCs/>
          <w:color w:val="002060"/>
          <w:sz w:val="16"/>
          <w:szCs w:val="16"/>
        </w:rPr>
        <w:t xml:space="preserve">Хлористый мышьяк — на одном заводе, до 1 октября 1916 г. — 2000 пудов. </w:t>
      </w:r>
    </w:p>
    <w:p w14:paraId="2E15B91F" w14:textId="77777777" w:rsidR="00D50668" w:rsidRPr="00DE096C" w:rsidRDefault="00D50668" w:rsidP="00D45A46">
      <w:pPr>
        <w:jc w:val="both"/>
        <w:rPr>
          <w:bCs/>
          <w:color w:val="002060"/>
          <w:sz w:val="16"/>
          <w:szCs w:val="16"/>
        </w:rPr>
      </w:pPr>
      <w:r w:rsidRPr="00DE096C">
        <w:rPr>
          <w:bCs/>
          <w:color w:val="002060"/>
          <w:sz w:val="16"/>
          <w:szCs w:val="16"/>
        </w:rPr>
        <w:t xml:space="preserve">Для производства бромбензола было установлено, впервые в России, производство брома. </w:t>
      </w:r>
    </w:p>
    <w:p w14:paraId="126BB42E" w14:textId="77777777" w:rsidR="00D50668" w:rsidRPr="00DE096C" w:rsidRDefault="00D50668" w:rsidP="00D45A46">
      <w:pPr>
        <w:jc w:val="both"/>
        <w:rPr>
          <w:bCs/>
          <w:color w:val="002060"/>
          <w:sz w:val="16"/>
          <w:szCs w:val="16"/>
        </w:rPr>
      </w:pPr>
      <w:r w:rsidRPr="00DE096C">
        <w:rPr>
          <w:bCs/>
          <w:color w:val="002060"/>
          <w:sz w:val="16"/>
          <w:szCs w:val="16"/>
        </w:rPr>
        <w:t xml:space="preserve">Помимо указанного, Химический комитет поставил ряд производств основных материалов — для изготовления зажигательных препаратов, фармацевтических и др. Так, постановлено производство азотнокислого бария (около 2000 пудов) и желтого фосфора. Затем, организован завод для ректификации кустарного метилового спирта и получения химически чистого. Далее, были предприняты постройки нескольких заводов для сухой перегонки дерева с получением метилового спирта. </w:t>
      </w:r>
    </w:p>
    <w:p w14:paraId="48EBFAFD" w14:textId="77777777" w:rsidR="00D50668" w:rsidRPr="00DE096C" w:rsidRDefault="00D50668" w:rsidP="00D45A46">
      <w:pPr>
        <w:jc w:val="both"/>
        <w:rPr>
          <w:bCs/>
          <w:color w:val="002060"/>
          <w:sz w:val="16"/>
          <w:szCs w:val="16"/>
        </w:rPr>
      </w:pPr>
      <w:r w:rsidRPr="00DE096C">
        <w:rPr>
          <w:bCs/>
          <w:color w:val="002060"/>
          <w:sz w:val="16"/>
          <w:szCs w:val="16"/>
        </w:rPr>
        <w:t xml:space="preserve">Химический комитет, энергично работая в направлении мобилизации мирной промышленности на военные производства, в то же время не упускал чрезвычайно существенного в этом деле вопроса: как быть по окончании войны со всеми предприятиями, которые с мирной работы были переоборудованы и переведены на военную, а в особенности с теми, кои были специально для военных нужд построены и оборудованы заново. </w:t>
      </w:r>
    </w:p>
    <w:p w14:paraId="2008912E" w14:textId="77777777" w:rsidR="00D50668" w:rsidRPr="00DE096C" w:rsidRDefault="00D50668" w:rsidP="00D45A46">
      <w:pPr>
        <w:jc w:val="both"/>
        <w:rPr>
          <w:bCs/>
          <w:color w:val="002060"/>
          <w:sz w:val="16"/>
          <w:szCs w:val="16"/>
        </w:rPr>
      </w:pPr>
      <w:r w:rsidRPr="00DE096C">
        <w:rPr>
          <w:bCs/>
          <w:color w:val="002060"/>
          <w:sz w:val="16"/>
          <w:szCs w:val="16"/>
        </w:rPr>
        <w:t xml:space="preserve">Война дала громадный толчок к развитию отечественной химической промышленности. Вслед за развитием производства специально военных продуктов (взрывчатых веществ и пороха) естественно росли, развивались и насаждались вновь производства длинного ряда исходных для них продуктов, которые сами по себе носили уже вполне мирный характер (кислоты, ароматические углеводороды и пр.), а было бы преступным не использовать полученный химической промышленностью импульс, вложенные в нее силы и средства для дальнейшего ее развития по линии мирного рынка. </w:t>
      </w:r>
    </w:p>
    <w:p w14:paraId="03B66051" w14:textId="77777777" w:rsidR="00D50668" w:rsidRPr="00DE096C" w:rsidRDefault="00D50668" w:rsidP="00D45A46">
      <w:pPr>
        <w:jc w:val="both"/>
        <w:rPr>
          <w:bCs/>
          <w:color w:val="002060"/>
          <w:sz w:val="16"/>
          <w:szCs w:val="16"/>
        </w:rPr>
      </w:pPr>
      <w:r w:rsidRPr="00DE096C">
        <w:rPr>
          <w:bCs/>
          <w:color w:val="002060"/>
          <w:sz w:val="16"/>
          <w:szCs w:val="16"/>
        </w:rPr>
        <w:t xml:space="preserve">Разрешение этой задачи представляло громадные трудности и с технической стороны и, в особенности, со стороны экономики. Предстояло разрешить вопросы: а) чем располагает химическая промышленность в смысле производственных возможностей, б) в чем нуждается Россия, в смысле химических продуктов, в) какие производства необходимо и возможно организовать вновь, г) как использовать заводы специально военного назначения на мирный рынок с тем, чтобы в то же время сохранить их мобилизационную готовность к военной работе. </w:t>
      </w:r>
    </w:p>
    <w:p w14:paraId="0699A54C" w14:textId="77777777" w:rsidR="00D50668" w:rsidRPr="00DE096C" w:rsidRDefault="00D50668" w:rsidP="00D45A46">
      <w:pPr>
        <w:jc w:val="both"/>
        <w:rPr>
          <w:bCs/>
          <w:color w:val="002060"/>
          <w:sz w:val="16"/>
          <w:szCs w:val="16"/>
        </w:rPr>
      </w:pPr>
      <w:r w:rsidRPr="00DE096C">
        <w:rPr>
          <w:bCs/>
          <w:color w:val="002060"/>
          <w:sz w:val="16"/>
          <w:szCs w:val="16"/>
        </w:rPr>
        <w:t xml:space="preserve">Разрешение этих вопросов естественно связывалось с вопросами заграничной конкуренции, таможенных пошлин, железнодорожных тарифов и пр. Одним словом, необходимо было поставить во всем объеме задачу о дальнейших путях интенсивного развития отечественной химической промышленности и полного освобождения государства в этой области от иностранной зависимости. </w:t>
      </w:r>
    </w:p>
    <w:p w14:paraId="4F670BFB" w14:textId="77777777" w:rsidR="00D50668" w:rsidRPr="00DE096C" w:rsidRDefault="00D50668" w:rsidP="00D45A46">
      <w:pPr>
        <w:jc w:val="both"/>
        <w:rPr>
          <w:bCs/>
          <w:color w:val="002060"/>
          <w:sz w:val="16"/>
          <w:szCs w:val="16"/>
        </w:rPr>
      </w:pPr>
      <w:r w:rsidRPr="00DE096C">
        <w:rPr>
          <w:bCs/>
          <w:color w:val="002060"/>
          <w:sz w:val="16"/>
          <w:szCs w:val="16"/>
        </w:rPr>
        <w:t xml:space="preserve">Химический комитет, поставив так широко задачу, надлежащим образом и приступил к ее разрешению. Он призвал к этому делу все крупные общественные организации, научные силы и представителей промышленности. Все весьма охотно откликнулись на призыв. Общими силами приступлено было к собиранию и разработке статистического материала по химическим производствам. Под наблюдением Комитета находилось до 200 заводов химической промышленности. </w:t>
      </w:r>
    </w:p>
    <w:p w14:paraId="3F437EF0" w14:textId="77777777" w:rsidR="00D50668" w:rsidRPr="00DE096C" w:rsidRDefault="00D50668" w:rsidP="00D45A46">
      <w:pPr>
        <w:jc w:val="both"/>
        <w:rPr>
          <w:bCs/>
          <w:color w:val="002060"/>
          <w:sz w:val="16"/>
          <w:szCs w:val="16"/>
        </w:rPr>
      </w:pPr>
      <w:r w:rsidRPr="00DE096C">
        <w:rPr>
          <w:bCs/>
          <w:color w:val="002060"/>
          <w:sz w:val="16"/>
          <w:szCs w:val="16"/>
        </w:rPr>
        <w:t>Осенью 1916 г. при Московском и Южном бюро Химического комитета были образованы подготовительные комиссии для сосредоточения и разработки статистического материала. Были намечены к обследованию следующие отрасли промышленности: 1) кислотная и связанные с ней заводы получения солей и других минеральных продуктов, 2) фармацевтическая, 3) красочная, 4) органических препаратов (нефтяная, сухой перегонки дерева, продуктов коксования угля, сахарная, паточная, обработка жиров и др.).</w:t>
      </w:r>
    </w:p>
    <w:p w14:paraId="1B69A677" w14:textId="77777777" w:rsidR="00D50668" w:rsidRPr="00DE096C" w:rsidRDefault="00D50668" w:rsidP="00D45A46">
      <w:pPr>
        <w:jc w:val="both"/>
        <w:rPr>
          <w:bCs/>
          <w:color w:val="002060"/>
          <w:sz w:val="16"/>
          <w:szCs w:val="16"/>
        </w:rPr>
      </w:pPr>
      <w:r w:rsidRPr="00DE096C">
        <w:rPr>
          <w:bCs/>
          <w:color w:val="002060"/>
          <w:sz w:val="16"/>
          <w:szCs w:val="16"/>
        </w:rPr>
        <w:t xml:space="preserve">Для объединения работ подготовительных комиссий, подходивших к концу, в начале 1917 г. в Москве был образован Центральный орган. В состав его вошли представители заинтересованных министерств, научных, ученых и общественных организаций. Предстояла сводка материала, составление выводов и заключений, а затем разработка плана демобилизации промышленности и насаждение новых ее отраслей. События октября 1917 г. прервали эту работу. </w:t>
      </w:r>
    </w:p>
    <w:p w14:paraId="3F23DE93" w14:textId="77777777" w:rsidR="00D50668" w:rsidRPr="00DE096C" w:rsidRDefault="00D50668" w:rsidP="00D45A46">
      <w:pPr>
        <w:jc w:val="both"/>
        <w:rPr>
          <w:bCs/>
          <w:color w:val="002060"/>
          <w:sz w:val="16"/>
          <w:szCs w:val="16"/>
        </w:rPr>
      </w:pPr>
      <w:r w:rsidRPr="00DE096C">
        <w:rPr>
          <w:bCs/>
          <w:color w:val="002060"/>
          <w:sz w:val="16"/>
          <w:szCs w:val="16"/>
        </w:rPr>
        <w:t xml:space="preserve">История работы Химического комитета дает весьма поучительный материал, позволяющий, с одной стороны, поставить верный диагноз недугам нашего военного снабжения в прошлую войну, и. с другой стороны, найти твердые и надежные методы их излечения. Первые же месяцы войны вскрыли исключительную беспечность военного ведомства в вопросах обеспечения армии взрывчатыми веществами. Достаточно лишь указать, что единственное взрывчатое вещество, принятое для </w:t>
      </w:r>
      <w:r w:rsidRPr="00DE096C">
        <w:rPr>
          <w:bCs/>
          <w:color w:val="002060"/>
          <w:sz w:val="16"/>
          <w:szCs w:val="16"/>
        </w:rPr>
        <w:lastRenderedPageBreak/>
        <w:t xml:space="preserve">снаряжения снарядов всех калибров, мин, ручных гранат и т.д., — тротил — ни в малейшей мере не было обеспечено основным сырьем — толуолом, который с 1909 г. и до объявления войны полностью получался из той самой Германии, с которой во всякий момент могла возникнуть война. </w:t>
      </w:r>
    </w:p>
    <w:p w14:paraId="5E1E81D8" w14:textId="77777777" w:rsidR="00D50668" w:rsidRPr="00DE096C" w:rsidRDefault="00D50668" w:rsidP="00D45A46">
      <w:pPr>
        <w:jc w:val="both"/>
        <w:rPr>
          <w:bCs/>
          <w:color w:val="002060"/>
          <w:sz w:val="16"/>
          <w:szCs w:val="16"/>
        </w:rPr>
      </w:pPr>
      <w:r w:rsidRPr="00DE096C">
        <w:rPr>
          <w:bCs/>
          <w:color w:val="002060"/>
          <w:sz w:val="16"/>
          <w:szCs w:val="16"/>
        </w:rPr>
        <w:t xml:space="preserve">Сравнительно кратковременная работа Комитета, предпринятая без всякой предварительной подготовки и протекавшая в условиях военного времени, дала громадные результаты. В короткий срок русскими учеными разрешен целый ряд химических задач, имеющих большое военное значение и в то же время не меньшее значение научное. Русскими инженерами в короткий срок был построен ряд новых химических заводов и поставлено много совершенно новых для России производств, причем во многих случаях методы этих производств, совершенно оригинальные, были разработаны своими силами. И все эти работы, несмотря на кратковременность их, успели дать крупнейшие практические результаты для дела обороны государства. </w:t>
      </w:r>
    </w:p>
    <w:p w14:paraId="53683082" w14:textId="77777777" w:rsidR="00D50668" w:rsidRPr="00DE096C" w:rsidRDefault="00D50668" w:rsidP="00D45A46">
      <w:pPr>
        <w:jc w:val="both"/>
        <w:rPr>
          <w:bCs/>
          <w:color w:val="002060"/>
          <w:sz w:val="16"/>
          <w:szCs w:val="16"/>
        </w:rPr>
      </w:pPr>
      <w:r w:rsidRPr="00DE096C">
        <w:rPr>
          <w:bCs/>
          <w:color w:val="002060"/>
          <w:sz w:val="16"/>
          <w:szCs w:val="16"/>
        </w:rPr>
        <w:t>Если мобилизация химической промышленности, произведенная без всякой решительно предварительной подготовки, в порядке чистейшей импровизации, могла принести такую громадную помощь армии, то естественно рождается вопрос, каковы были бы результаты, если бы эта мобилизация была предусмотрена и подготовлена заблаговременно, еще в мирное время, и с началом войны химическая промышленность развернула бы свою работу по строго определенному плану, спокойно, без толчков, перейдя с мирной программы на военную. Естественные богатства России и способность русской инженерной мысли к продуктивному творчеству открывали широкие возможности развития химической промышленности в том направлении, как этого требуют интересы обороны (11329).</w:t>
      </w:r>
    </w:p>
    <w:p w14:paraId="5F19BA6D" w14:textId="77777777" w:rsidR="00D50668" w:rsidRPr="00DE096C" w:rsidRDefault="00D50668" w:rsidP="00D45A46">
      <w:pPr>
        <w:jc w:val="both"/>
        <w:rPr>
          <w:bCs/>
          <w:i/>
          <w:color w:val="002060"/>
          <w:sz w:val="16"/>
          <w:szCs w:val="16"/>
        </w:rPr>
      </w:pPr>
    </w:p>
    <w:p w14:paraId="7911C135" w14:textId="77777777" w:rsidR="00D50668" w:rsidRPr="00DE096C" w:rsidRDefault="00D50668" w:rsidP="00D45A46">
      <w:pPr>
        <w:jc w:val="both"/>
        <w:rPr>
          <w:bCs/>
          <w:color w:val="002060"/>
          <w:sz w:val="16"/>
          <w:szCs w:val="16"/>
        </w:rPr>
      </w:pPr>
      <w:r w:rsidRPr="00DE096C">
        <w:rPr>
          <w:bCs/>
          <w:color w:val="002060"/>
          <w:sz w:val="16"/>
          <w:szCs w:val="16"/>
        </w:rPr>
        <w:t xml:space="preserve">С августа-октября 1914 г. с первых месяцев войны в связи с тем, что промышленность союзников была загружены собственными военными заказами и могла оказать сравнительно малую помощь. Поэтому взоры России, равно как и всех ее союзников, естественно обратились к Америке. В США и вплоть до окончательного выбытия России из круга воюющих держав, размещались крупнейшие заказы всех военных и гражданских ведомств. Общая стоимость всех заказов за весь период войны выражается следующими цифрами (тыс. долларов):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968"/>
        <w:gridCol w:w="1164"/>
      </w:tblGrid>
      <w:tr w:rsidR="00D50668" w:rsidRPr="00DE096C" w14:paraId="3813720D" w14:textId="77777777" w:rsidTr="00D34AC1">
        <w:tc>
          <w:tcPr>
            <w:tcW w:w="4968" w:type="dxa"/>
          </w:tcPr>
          <w:p w14:paraId="392E17C0" w14:textId="77777777" w:rsidR="00D50668" w:rsidRPr="00DE096C" w:rsidRDefault="00D50668" w:rsidP="00D45A46">
            <w:pPr>
              <w:jc w:val="both"/>
              <w:rPr>
                <w:bCs/>
                <w:color w:val="002060"/>
                <w:sz w:val="16"/>
                <w:szCs w:val="16"/>
              </w:rPr>
            </w:pPr>
            <w:r w:rsidRPr="00DE096C">
              <w:rPr>
                <w:bCs/>
                <w:color w:val="002060"/>
                <w:sz w:val="16"/>
                <w:szCs w:val="16"/>
              </w:rPr>
              <w:t>По ведомству артиллерийскому</w:t>
            </w:r>
          </w:p>
        </w:tc>
        <w:tc>
          <w:tcPr>
            <w:tcW w:w="1164" w:type="dxa"/>
          </w:tcPr>
          <w:p w14:paraId="3851E037" w14:textId="77777777" w:rsidR="00D50668" w:rsidRPr="00DE096C" w:rsidRDefault="00D50668" w:rsidP="00D45A46">
            <w:pPr>
              <w:jc w:val="both"/>
              <w:rPr>
                <w:bCs/>
                <w:color w:val="002060"/>
                <w:sz w:val="16"/>
                <w:szCs w:val="16"/>
              </w:rPr>
            </w:pPr>
            <w:r w:rsidRPr="00DE096C">
              <w:rPr>
                <w:bCs/>
                <w:color w:val="002060"/>
                <w:sz w:val="16"/>
                <w:szCs w:val="16"/>
              </w:rPr>
              <w:t xml:space="preserve">869.725 </w:t>
            </w:r>
          </w:p>
        </w:tc>
      </w:tr>
      <w:tr w:rsidR="00D50668" w:rsidRPr="00DE096C" w14:paraId="404C8317" w14:textId="77777777" w:rsidTr="00D34AC1">
        <w:tc>
          <w:tcPr>
            <w:tcW w:w="4968" w:type="dxa"/>
          </w:tcPr>
          <w:p w14:paraId="5D0B2EEB" w14:textId="77777777" w:rsidR="00D50668" w:rsidRPr="00DE096C" w:rsidRDefault="00D50668" w:rsidP="00D45A46">
            <w:pPr>
              <w:jc w:val="both"/>
              <w:rPr>
                <w:bCs/>
                <w:color w:val="002060"/>
                <w:sz w:val="16"/>
                <w:szCs w:val="16"/>
              </w:rPr>
            </w:pPr>
            <w:r w:rsidRPr="00DE096C">
              <w:rPr>
                <w:bCs/>
                <w:color w:val="002060"/>
                <w:sz w:val="16"/>
                <w:szCs w:val="16"/>
              </w:rPr>
              <w:t>По ведомству путей сообщения</w:t>
            </w:r>
          </w:p>
        </w:tc>
        <w:tc>
          <w:tcPr>
            <w:tcW w:w="1164" w:type="dxa"/>
          </w:tcPr>
          <w:p w14:paraId="1113D12E" w14:textId="77777777" w:rsidR="00D50668" w:rsidRPr="00DE096C" w:rsidRDefault="00D50668" w:rsidP="00D45A46">
            <w:pPr>
              <w:jc w:val="both"/>
              <w:rPr>
                <w:bCs/>
                <w:color w:val="002060"/>
                <w:sz w:val="16"/>
                <w:szCs w:val="16"/>
              </w:rPr>
            </w:pPr>
            <w:r w:rsidRPr="00DE096C">
              <w:rPr>
                <w:bCs/>
                <w:color w:val="002060"/>
                <w:sz w:val="16"/>
                <w:szCs w:val="16"/>
              </w:rPr>
              <w:t xml:space="preserve">173.232 </w:t>
            </w:r>
          </w:p>
        </w:tc>
      </w:tr>
      <w:tr w:rsidR="00D50668" w:rsidRPr="00DE096C" w14:paraId="09F08FDD" w14:textId="77777777" w:rsidTr="00D34AC1">
        <w:tc>
          <w:tcPr>
            <w:tcW w:w="4968" w:type="dxa"/>
          </w:tcPr>
          <w:p w14:paraId="524DD7BB" w14:textId="77777777" w:rsidR="00D50668" w:rsidRPr="00DE096C" w:rsidRDefault="00D50668" w:rsidP="00D45A46">
            <w:pPr>
              <w:jc w:val="both"/>
              <w:rPr>
                <w:bCs/>
                <w:color w:val="002060"/>
                <w:sz w:val="16"/>
                <w:szCs w:val="16"/>
              </w:rPr>
            </w:pPr>
            <w:r w:rsidRPr="00DE096C">
              <w:rPr>
                <w:bCs/>
                <w:color w:val="002060"/>
                <w:sz w:val="16"/>
                <w:szCs w:val="16"/>
              </w:rPr>
              <w:t>По военно-инспекторскому (надо: инженерному. — Ред.) ведомству</w:t>
            </w:r>
          </w:p>
        </w:tc>
        <w:tc>
          <w:tcPr>
            <w:tcW w:w="1164" w:type="dxa"/>
          </w:tcPr>
          <w:p w14:paraId="0F59FAA0" w14:textId="77777777" w:rsidR="00D50668" w:rsidRPr="00DE096C" w:rsidRDefault="00D50668" w:rsidP="00D45A46">
            <w:pPr>
              <w:jc w:val="both"/>
              <w:rPr>
                <w:bCs/>
                <w:color w:val="002060"/>
                <w:sz w:val="16"/>
                <w:szCs w:val="16"/>
              </w:rPr>
            </w:pPr>
            <w:r w:rsidRPr="00DE096C">
              <w:rPr>
                <w:bCs/>
                <w:color w:val="002060"/>
                <w:sz w:val="16"/>
                <w:szCs w:val="16"/>
              </w:rPr>
              <w:t xml:space="preserve">97.473 </w:t>
            </w:r>
          </w:p>
        </w:tc>
      </w:tr>
      <w:tr w:rsidR="00D50668" w:rsidRPr="00DE096C" w14:paraId="1B2E05C3" w14:textId="77777777" w:rsidTr="00D34AC1">
        <w:tc>
          <w:tcPr>
            <w:tcW w:w="4968" w:type="dxa"/>
          </w:tcPr>
          <w:p w14:paraId="6CCBCC8D" w14:textId="77777777" w:rsidR="00D50668" w:rsidRPr="00DE096C" w:rsidRDefault="00D50668" w:rsidP="00D45A46">
            <w:pPr>
              <w:jc w:val="both"/>
              <w:rPr>
                <w:bCs/>
                <w:color w:val="002060"/>
                <w:sz w:val="16"/>
                <w:szCs w:val="16"/>
              </w:rPr>
            </w:pPr>
            <w:r w:rsidRPr="00DE096C">
              <w:rPr>
                <w:bCs/>
                <w:color w:val="002060"/>
                <w:sz w:val="16"/>
                <w:szCs w:val="16"/>
              </w:rPr>
              <w:t>По интендантскому ведомству</w:t>
            </w:r>
          </w:p>
        </w:tc>
        <w:tc>
          <w:tcPr>
            <w:tcW w:w="1164" w:type="dxa"/>
          </w:tcPr>
          <w:p w14:paraId="6173310F" w14:textId="77777777" w:rsidR="00D50668" w:rsidRPr="00DE096C" w:rsidRDefault="00D50668" w:rsidP="00D45A46">
            <w:pPr>
              <w:jc w:val="both"/>
              <w:rPr>
                <w:bCs/>
                <w:color w:val="002060"/>
                <w:sz w:val="16"/>
                <w:szCs w:val="16"/>
              </w:rPr>
            </w:pPr>
            <w:r w:rsidRPr="00DE096C">
              <w:rPr>
                <w:bCs/>
                <w:color w:val="002060"/>
                <w:sz w:val="16"/>
                <w:szCs w:val="16"/>
              </w:rPr>
              <w:t xml:space="preserve">73.369 </w:t>
            </w:r>
          </w:p>
        </w:tc>
      </w:tr>
      <w:tr w:rsidR="00D50668" w:rsidRPr="00DE096C" w14:paraId="6A2E2035" w14:textId="77777777" w:rsidTr="00D34AC1">
        <w:tc>
          <w:tcPr>
            <w:tcW w:w="4968" w:type="dxa"/>
          </w:tcPr>
          <w:p w14:paraId="4F9FC03D" w14:textId="77777777" w:rsidR="00D50668" w:rsidRPr="00DE096C" w:rsidRDefault="00D50668" w:rsidP="00D45A46">
            <w:pPr>
              <w:jc w:val="both"/>
              <w:rPr>
                <w:bCs/>
                <w:color w:val="002060"/>
                <w:sz w:val="16"/>
                <w:szCs w:val="16"/>
              </w:rPr>
            </w:pPr>
            <w:r w:rsidRPr="00DE096C">
              <w:rPr>
                <w:bCs/>
                <w:color w:val="002060"/>
                <w:sz w:val="16"/>
                <w:szCs w:val="16"/>
              </w:rPr>
              <w:t>По морскому ведомству</w:t>
            </w:r>
          </w:p>
        </w:tc>
        <w:tc>
          <w:tcPr>
            <w:tcW w:w="1164" w:type="dxa"/>
          </w:tcPr>
          <w:p w14:paraId="3E9EB90E" w14:textId="77777777" w:rsidR="00D50668" w:rsidRPr="00DE096C" w:rsidRDefault="00D50668" w:rsidP="00D45A46">
            <w:pPr>
              <w:jc w:val="both"/>
              <w:rPr>
                <w:bCs/>
                <w:color w:val="002060"/>
                <w:sz w:val="16"/>
                <w:szCs w:val="16"/>
              </w:rPr>
            </w:pPr>
            <w:r w:rsidRPr="00DE096C">
              <w:rPr>
                <w:bCs/>
                <w:color w:val="002060"/>
                <w:sz w:val="16"/>
                <w:szCs w:val="16"/>
              </w:rPr>
              <w:t xml:space="preserve">39.871 </w:t>
            </w:r>
          </w:p>
        </w:tc>
      </w:tr>
      <w:tr w:rsidR="00D50668" w:rsidRPr="00DE096C" w14:paraId="28E7E659" w14:textId="77777777" w:rsidTr="00D34AC1">
        <w:tc>
          <w:tcPr>
            <w:tcW w:w="4968" w:type="dxa"/>
          </w:tcPr>
          <w:p w14:paraId="06966E18" w14:textId="77777777" w:rsidR="00D50668" w:rsidRPr="00DE096C" w:rsidRDefault="00D50668" w:rsidP="00D45A46">
            <w:pPr>
              <w:jc w:val="both"/>
              <w:rPr>
                <w:bCs/>
                <w:color w:val="002060"/>
                <w:sz w:val="16"/>
                <w:szCs w:val="16"/>
              </w:rPr>
            </w:pPr>
            <w:r w:rsidRPr="00DE096C">
              <w:rPr>
                <w:bCs/>
                <w:color w:val="002060"/>
                <w:sz w:val="16"/>
                <w:szCs w:val="16"/>
              </w:rPr>
              <w:t>По продовольствию</w:t>
            </w:r>
          </w:p>
        </w:tc>
        <w:tc>
          <w:tcPr>
            <w:tcW w:w="1164" w:type="dxa"/>
          </w:tcPr>
          <w:p w14:paraId="540A4437" w14:textId="77777777" w:rsidR="00D50668" w:rsidRPr="00DE096C" w:rsidRDefault="00D50668" w:rsidP="00D45A46">
            <w:pPr>
              <w:jc w:val="both"/>
              <w:rPr>
                <w:bCs/>
                <w:color w:val="002060"/>
                <w:sz w:val="16"/>
                <w:szCs w:val="16"/>
              </w:rPr>
            </w:pPr>
            <w:r w:rsidRPr="00DE096C">
              <w:rPr>
                <w:bCs/>
                <w:color w:val="002060"/>
                <w:sz w:val="16"/>
                <w:szCs w:val="16"/>
              </w:rPr>
              <w:t xml:space="preserve">12.257 </w:t>
            </w:r>
          </w:p>
        </w:tc>
      </w:tr>
      <w:tr w:rsidR="00D50668" w:rsidRPr="00DE096C" w14:paraId="1F8D2E7C" w14:textId="77777777" w:rsidTr="00D34AC1">
        <w:tc>
          <w:tcPr>
            <w:tcW w:w="4968" w:type="dxa"/>
          </w:tcPr>
          <w:p w14:paraId="637C9B2D" w14:textId="77777777" w:rsidR="00D50668" w:rsidRPr="00DE096C" w:rsidRDefault="00D50668" w:rsidP="00D45A46">
            <w:pPr>
              <w:jc w:val="both"/>
              <w:rPr>
                <w:bCs/>
                <w:color w:val="002060"/>
                <w:sz w:val="16"/>
                <w:szCs w:val="16"/>
              </w:rPr>
            </w:pPr>
            <w:r w:rsidRPr="00DE096C">
              <w:rPr>
                <w:bCs/>
                <w:color w:val="002060"/>
                <w:sz w:val="16"/>
                <w:szCs w:val="16"/>
              </w:rPr>
              <w:t>По ведомству земледелия</w:t>
            </w:r>
          </w:p>
        </w:tc>
        <w:tc>
          <w:tcPr>
            <w:tcW w:w="1164" w:type="dxa"/>
          </w:tcPr>
          <w:p w14:paraId="3E5A0C0D" w14:textId="77777777" w:rsidR="00D50668" w:rsidRPr="00DE096C" w:rsidRDefault="00D50668" w:rsidP="00D45A46">
            <w:pPr>
              <w:jc w:val="both"/>
              <w:rPr>
                <w:bCs/>
                <w:color w:val="002060"/>
                <w:sz w:val="16"/>
                <w:szCs w:val="16"/>
              </w:rPr>
            </w:pPr>
            <w:r w:rsidRPr="00DE096C">
              <w:rPr>
                <w:bCs/>
                <w:color w:val="002060"/>
                <w:sz w:val="16"/>
                <w:szCs w:val="16"/>
              </w:rPr>
              <w:t xml:space="preserve">10.990 </w:t>
            </w:r>
          </w:p>
        </w:tc>
      </w:tr>
      <w:tr w:rsidR="00D50668" w:rsidRPr="00DE096C" w14:paraId="6EDC466E" w14:textId="77777777" w:rsidTr="00D34AC1">
        <w:tc>
          <w:tcPr>
            <w:tcW w:w="4968" w:type="dxa"/>
          </w:tcPr>
          <w:p w14:paraId="063D03C5" w14:textId="77777777" w:rsidR="00D50668" w:rsidRPr="00DE096C" w:rsidRDefault="00D50668" w:rsidP="00D45A46">
            <w:pPr>
              <w:jc w:val="both"/>
              <w:rPr>
                <w:bCs/>
                <w:color w:val="002060"/>
                <w:sz w:val="16"/>
                <w:szCs w:val="16"/>
              </w:rPr>
            </w:pPr>
            <w:r w:rsidRPr="00DE096C">
              <w:rPr>
                <w:bCs/>
                <w:color w:val="002060"/>
                <w:sz w:val="16"/>
                <w:szCs w:val="16"/>
              </w:rPr>
              <w:t>По ведомству торговли и промышленности</w:t>
            </w:r>
          </w:p>
        </w:tc>
        <w:tc>
          <w:tcPr>
            <w:tcW w:w="1164" w:type="dxa"/>
          </w:tcPr>
          <w:p w14:paraId="6DC6634C" w14:textId="77777777" w:rsidR="00D50668" w:rsidRPr="00DE096C" w:rsidRDefault="00D50668" w:rsidP="00D45A46">
            <w:pPr>
              <w:jc w:val="both"/>
              <w:rPr>
                <w:bCs/>
                <w:color w:val="002060"/>
                <w:sz w:val="16"/>
                <w:szCs w:val="16"/>
              </w:rPr>
            </w:pPr>
            <w:r w:rsidRPr="00DE096C">
              <w:rPr>
                <w:bCs/>
                <w:color w:val="002060"/>
                <w:sz w:val="16"/>
                <w:szCs w:val="16"/>
              </w:rPr>
              <w:t xml:space="preserve">1.222 </w:t>
            </w:r>
          </w:p>
        </w:tc>
      </w:tr>
      <w:tr w:rsidR="00D50668" w:rsidRPr="00DE096C" w14:paraId="2E119446" w14:textId="77777777" w:rsidTr="00D34AC1">
        <w:tc>
          <w:tcPr>
            <w:tcW w:w="4968" w:type="dxa"/>
          </w:tcPr>
          <w:p w14:paraId="1386D27D" w14:textId="77777777" w:rsidR="00D50668" w:rsidRPr="00DE096C" w:rsidRDefault="00D50668" w:rsidP="00D45A46">
            <w:pPr>
              <w:jc w:val="both"/>
              <w:rPr>
                <w:bCs/>
                <w:color w:val="002060"/>
                <w:sz w:val="16"/>
                <w:szCs w:val="16"/>
              </w:rPr>
            </w:pPr>
            <w:r w:rsidRPr="00DE096C">
              <w:rPr>
                <w:bCs/>
                <w:color w:val="002060"/>
                <w:sz w:val="16"/>
                <w:szCs w:val="16"/>
              </w:rPr>
              <w:t>От общественных организаций (Союз земских городов и деревень) (так в тексте. — Ред.)</w:t>
            </w:r>
          </w:p>
        </w:tc>
        <w:tc>
          <w:tcPr>
            <w:tcW w:w="1164" w:type="dxa"/>
          </w:tcPr>
          <w:p w14:paraId="3645C7DF" w14:textId="77777777" w:rsidR="00D50668" w:rsidRPr="00DE096C" w:rsidRDefault="00D50668" w:rsidP="00D45A46">
            <w:pPr>
              <w:jc w:val="both"/>
              <w:rPr>
                <w:bCs/>
                <w:color w:val="002060"/>
                <w:sz w:val="16"/>
                <w:szCs w:val="16"/>
              </w:rPr>
            </w:pPr>
            <w:r w:rsidRPr="00DE096C">
              <w:rPr>
                <w:bCs/>
                <w:color w:val="002060"/>
                <w:sz w:val="16"/>
                <w:szCs w:val="16"/>
              </w:rPr>
              <w:t xml:space="preserve">8.948 </w:t>
            </w:r>
          </w:p>
        </w:tc>
      </w:tr>
      <w:tr w:rsidR="00D50668" w:rsidRPr="00DE096C" w14:paraId="002BD6D3" w14:textId="77777777" w:rsidTr="00D34AC1">
        <w:tc>
          <w:tcPr>
            <w:tcW w:w="4968" w:type="dxa"/>
          </w:tcPr>
          <w:p w14:paraId="7372083C" w14:textId="77777777" w:rsidR="00D50668" w:rsidRPr="00DE096C" w:rsidRDefault="00D50668" w:rsidP="00D45A46">
            <w:pPr>
              <w:jc w:val="both"/>
              <w:rPr>
                <w:bCs/>
                <w:color w:val="002060"/>
                <w:sz w:val="16"/>
                <w:szCs w:val="16"/>
              </w:rPr>
            </w:pPr>
            <w:r w:rsidRPr="00DE096C">
              <w:rPr>
                <w:bCs/>
                <w:color w:val="002060"/>
                <w:sz w:val="16"/>
                <w:szCs w:val="16"/>
              </w:rPr>
              <w:t xml:space="preserve">Всего американских заказов было выдано на сумму </w:t>
            </w:r>
          </w:p>
        </w:tc>
        <w:tc>
          <w:tcPr>
            <w:tcW w:w="1164" w:type="dxa"/>
          </w:tcPr>
          <w:p w14:paraId="78B2D895" w14:textId="77777777" w:rsidR="00D50668" w:rsidRPr="00DE096C" w:rsidRDefault="00D50668" w:rsidP="00D45A46">
            <w:pPr>
              <w:jc w:val="both"/>
              <w:rPr>
                <w:bCs/>
                <w:color w:val="002060"/>
                <w:sz w:val="16"/>
                <w:szCs w:val="16"/>
              </w:rPr>
            </w:pPr>
            <w:r w:rsidRPr="00DE096C">
              <w:rPr>
                <w:bCs/>
                <w:color w:val="002060"/>
                <w:sz w:val="16"/>
                <w:szCs w:val="16"/>
              </w:rPr>
              <w:t>1.286.621</w:t>
            </w:r>
          </w:p>
        </w:tc>
      </w:tr>
    </w:tbl>
    <w:p w14:paraId="2CDD1886" w14:textId="77777777" w:rsidR="00D50668" w:rsidRPr="00DE096C" w:rsidRDefault="00D50668" w:rsidP="00D45A46">
      <w:pPr>
        <w:jc w:val="both"/>
        <w:rPr>
          <w:bCs/>
          <w:color w:val="002060"/>
          <w:sz w:val="16"/>
          <w:szCs w:val="16"/>
        </w:rPr>
      </w:pPr>
      <w:r w:rsidRPr="00DE096C">
        <w:rPr>
          <w:bCs/>
          <w:color w:val="002060"/>
          <w:sz w:val="16"/>
          <w:szCs w:val="16"/>
        </w:rPr>
        <w:t xml:space="preserve">Как видно из приведенных цифр, главную массу, до 70%, составляли артиллерийские заказы. </w:t>
      </w:r>
    </w:p>
    <w:p w14:paraId="3902852E" w14:textId="77777777" w:rsidR="00D50668" w:rsidRPr="00DE096C" w:rsidRDefault="00D50668" w:rsidP="00D45A46">
      <w:pPr>
        <w:jc w:val="both"/>
        <w:rPr>
          <w:bCs/>
          <w:color w:val="002060"/>
          <w:sz w:val="16"/>
          <w:szCs w:val="16"/>
        </w:rPr>
      </w:pPr>
      <w:r w:rsidRPr="00DE096C">
        <w:rPr>
          <w:bCs/>
          <w:color w:val="002060"/>
          <w:sz w:val="16"/>
          <w:szCs w:val="16"/>
        </w:rPr>
        <w:t xml:space="preserve">Дальше будут даны отдельные очерки по нескольким главным артиллерийским заказам, представляющим наибольший интерес. </w:t>
      </w:r>
    </w:p>
    <w:p w14:paraId="30BBF5ED" w14:textId="77777777" w:rsidR="00D50668" w:rsidRPr="00DE096C" w:rsidRDefault="00D50668" w:rsidP="00D45A46">
      <w:pPr>
        <w:jc w:val="both"/>
        <w:rPr>
          <w:bCs/>
          <w:color w:val="002060"/>
          <w:sz w:val="16"/>
          <w:szCs w:val="16"/>
        </w:rPr>
      </w:pPr>
      <w:r w:rsidRPr="00DE096C">
        <w:rPr>
          <w:bCs/>
          <w:color w:val="002060"/>
          <w:sz w:val="16"/>
          <w:szCs w:val="16"/>
        </w:rPr>
        <w:t xml:space="preserve">Пока же интересно остановиться на одном моменте, который сыграл крупную роль как в истории возникновения американских военных заказов, так и дальнейшего прохождения их. </w:t>
      </w:r>
    </w:p>
    <w:p w14:paraId="35D65220" w14:textId="77777777" w:rsidR="00D50668" w:rsidRPr="00DE096C" w:rsidRDefault="00D50668" w:rsidP="00D45A46">
      <w:pPr>
        <w:jc w:val="both"/>
        <w:rPr>
          <w:bCs/>
          <w:color w:val="002060"/>
          <w:sz w:val="16"/>
          <w:szCs w:val="16"/>
        </w:rPr>
      </w:pPr>
      <w:r w:rsidRPr="00DE096C">
        <w:rPr>
          <w:bCs/>
          <w:color w:val="002060"/>
          <w:sz w:val="16"/>
          <w:szCs w:val="16"/>
        </w:rPr>
        <w:t xml:space="preserve">Необходимо констатировать, что русское военное ведомство, размещая военные заказы в Америке, питало твердую уверенность в том что американская промышленность быстро и технически успешно справится с постановкой таких сложных и тонких производств, как ружейное, трубочное и др., и в короткое время развернет их в громадном масштабе. Эта уверенность была более или менее общей. Лишь в среде техников некоторые отдельные лица не разделяли ее, а предостерегали от слишком больших надежд на Америку. </w:t>
      </w:r>
    </w:p>
    <w:p w14:paraId="7A1964F9" w14:textId="77777777" w:rsidR="00D50668" w:rsidRPr="00DE096C" w:rsidRDefault="00D50668" w:rsidP="00D45A46">
      <w:pPr>
        <w:jc w:val="both"/>
        <w:rPr>
          <w:bCs/>
          <w:color w:val="002060"/>
          <w:sz w:val="16"/>
          <w:szCs w:val="16"/>
        </w:rPr>
      </w:pPr>
      <w:r w:rsidRPr="00DE096C">
        <w:rPr>
          <w:bCs/>
          <w:color w:val="002060"/>
          <w:sz w:val="16"/>
          <w:szCs w:val="16"/>
        </w:rPr>
        <w:t xml:space="preserve">Трудно сейчас восстановить, на чем покоилась такая твердая вера в успех военных заказов в Америке. До мировой войны в Америке военной промышленности, собственно говоря, почти и не было — она ограничивалась несколькими арсеналами и небольшим числом частных заводов, которые и обслуживали потребности небольшой американской армии. Следовательно, на военную промышленность рассчитывать было нельзя. Что касается до гражданской промышленности Соединенных Штатов, то военное ведомство совершенно не знало ее. Однако было твердо известно, что опыта в военных производствах она не имела, так как ни одно из европейских государств в Америке военных заказов ранее, до войны 1914—1917 гг. не помещало. Таким образом, не имелось никаких реальных предпосылок, на которые могло бы твердо опираться военное ведомство в своих расчетах на Америку. Оставалось, единственно, традиционное обаяние "американской техники" и исходящая отсюда вера в ее чудеса. </w:t>
      </w:r>
    </w:p>
    <w:p w14:paraId="3B438C02" w14:textId="77777777" w:rsidR="00D50668" w:rsidRPr="00DE096C" w:rsidRDefault="00D50668" w:rsidP="00D45A46">
      <w:pPr>
        <w:jc w:val="both"/>
        <w:rPr>
          <w:bCs/>
          <w:color w:val="002060"/>
          <w:sz w:val="16"/>
          <w:szCs w:val="16"/>
        </w:rPr>
      </w:pPr>
      <w:r w:rsidRPr="00DE096C">
        <w:rPr>
          <w:bCs/>
          <w:color w:val="002060"/>
          <w:sz w:val="16"/>
          <w:szCs w:val="16"/>
        </w:rPr>
        <w:t xml:space="preserve">Так или иначе, но русские заказы с первых месяцев войны широкой рекой потекли на американский рынок. </w:t>
      </w:r>
    </w:p>
    <w:p w14:paraId="295F03C4" w14:textId="77777777" w:rsidR="00D50668" w:rsidRPr="00DE096C" w:rsidRDefault="00D50668" w:rsidP="00D45A46">
      <w:pPr>
        <w:jc w:val="both"/>
        <w:rPr>
          <w:bCs/>
          <w:color w:val="002060"/>
          <w:sz w:val="16"/>
          <w:szCs w:val="16"/>
        </w:rPr>
      </w:pPr>
      <w:r w:rsidRPr="00DE096C">
        <w:rPr>
          <w:bCs/>
          <w:color w:val="002060"/>
          <w:sz w:val="16"/>
          <w:szCs w:val="16"/>
        </w:rPr>
        <w:t xml:space="preserve">В начальный период войны русская заготовительная деятельность в САСШ носила совершенно неорганизованный характер. Заказы выдавались довольствующими учреждениями военного ведомства из Петрограда через всякого рода посредников и представителей американских фирм, либо через наших военных и морских агентов в САСШ, либо, наконец, через британское правительство. </w:t>
      </w:r>
    </w:p>
    <w:p w14:paraId="3D204447" w14:textId="77777777" w:rsidR="00D50668" w:rsidRPr="00DE096C" w:rsidRDefault="00D50668" w:rsidP="00D45A46">
      <w:pPr>
        <w:jc w:val="both"/>
        <w:rPr>
          <w:bCs/>
          <w:color w:val="002060"/>
          <w:sz w:val="16"/>
          <w:szCs w:val="16"/>
        </w:rPr>
      </w:pPr>
      <w:r w:rsidRPr="00DE096C">
        <w:rPr>
          <w:bCs/>
          <w:color w:val="002060"/>
          <w:sz w:val="16"/>
          <w:szCs w:val="16"/>
        </w:rPr>
        <w:t xml:space="preserve">Однако уже к зиме 1914 г. при русском посольстве в Вашингтоне была организована "Комиссия содействия исполнению русских заказов", которая являлась органом, объединяющим всю заготовительную деятельность: во-первых, в целях успешного проведения заказов, а затем, в целях борьбы со спекуляцией. </w:t>
      </w:r>
    </w:p>
    <w:p w14:paraId="19E83BFA" w14:textId="77777777" w:rsidR="00D50668" w:rsidRPr="00DE096C" w:rsidRDefault="00D50668" w:rsidP="00D45A46">
      <w:pPr>
        <w:jc w:val="both"/>
        <w:rPr>
          <w:bCs/>
          <w:color w:val="002060"/>
          <w:sz w:val="16"/>
          <w:szCs w:val="16"/>
        </w:rPr>
      </w:pPr>
      <w:r w:rsidRPr="00DE096C">
        <w:rPr>
          <w:bCs/>
          <w:color w:val="002060"/>
          <w:sz w:val="16"/>
          <w:szCs w:val="16"/>
        </w:rPr>
        <w:t xml:space="preserve">Надо сказать, что с первых же дней, когда для американской промышленности более или менее ясно определилась перспектива громадных военных заказов, а следовательно и барышей, тотчас же появилась на сцену целая армия комиссионеров, маклеров и предпринимателей всякого рода. Эти, в большинстве темные, дельцы внесли в дело военных заказов крайне нездоровую атмосферу ажиотажа, спекуляции и весьма часто подлинного мошенничества и шантажа. В книге А.А. Маниковского "Боевое снабжение русской армии 1914—1918 гг." приведен целый ряд очень интересных эпизодов на эту тему. И русское правительство, и американские промышленники неоднократно становились жертвой самого грубого обмана. Для примера, достаточно указать, что один из авантюристов подобного порядка заключил с крупной американской фирмой от имени русского правительства контракт на 3 миллиарда винтовочных патронов. Об этом контракте русское правительство узнало случайно через несколько месяцев после его заключения. И это было уже в 1916 г., а не в первый период американских заказов. </w:t>
      </w:r>
    </w:p>
    <w:p w14:paraId="7D5193AC" w14:textId="77777777" w:rsidR="00D50668" w:rsidRPr="00DE096C" w:rsidRDefault="00D50668" w:rsidP="00D45A46">
      <w:pPr>
        <w:jc w:val="both"/>
        <w:rPr>
          <w:bCs/>
          <w:color w:val="002060"/>
          <w:sz w:val="16"/>
          <w:szCs w:val="16"/>
        </w:rPr>
      </w:pPr>
      <w:r w:rsidRPr="00DE096C">
        <w:rPr>
          <w:bCs/>
          <w:color w:val="002060"/>
          <w:sz w:val="16"/>
          <w:szCs w:val="16"/>
        </w:rPr>
        <w:t xml:space="preserve">Так как артиллерийские заказы среди всех других занимали доминирующее положение, то уже в 1914 г. в Америку начали прибывать отдельные русские артиллерийские приемщики. В первые месяцы 1915 г. число их, ввиду умножения заказов, значительно возросло. Для объединения их деятельности в мае 1915 г. распоряжением военного ведомства была учреждена Особая артиллерийская комиссия по приему заказов в САСШ, которая немедленно открыла свои действия. </w:t>
      </w:r>
    </w:p>
    <w:p w14:paraId="3D9B33FB" w14:textId="77777777" w:rsidR="00D50668" w:rsidRPr="00DE096C" w:rsidRDefault="00D50668" w:rsidP="00D45A46">
      <w:pPr>
        <w:jc w:val="both"/>
        <w:rPr>
          <w:bCs/>
          <w:color w:val="002060"/>
          <w:sz w:val="16"/>
          <w:szCs w:val="16"/>
        </w:rPr>
      </w:pPr>
      <w:r w:rsidRPr="00DE096C">
        <w:rPr>
          <w:bCs/>
          <w:color w:val="002060"/>
          <w:sz w:val="16"/>
          <w:szCs w:val="16"/>
        </w:rPr>
        <w:t xml:space="preserve">Вслед за Артиллерийской комиссией по образцу ее и для подобных задач была учреждена Комиссия военно-технического управления. Далее последовали такие же комиссии по другим ведомствам. Что касается морского ведомства, то его заготовительная деятельность была сосредоточена у русского морского агента в Америке, в помощь которому были командированы из России соответствующие специалисты. </w:t>
      </w:r>
    </w:p>
    <w:p w14:paraId="0625FFD3" w14:textId="77777777" w:rsidR="00D50668" w:rsidRPr="00DE096C" w:rsidRDefault="00D50668" w:rsidP="00D45A46">
      <w:pPr>
        <w:jc w:val="both"/>
        <w:rPr>
          <w:bCs/>
          <w:color w:val="002060"/>
          <w:sz w:val="16"/>
          <w:szCs w:val="16"/>
        </w:rPr>
      </w:pPr>
      <w:r w:rsidRPr="00DE096C">
        <w:rPr>
          <w:bCs/>
          <w:color w:val="002060"/>
          <w:sz w:val="16"/>
          <w:szCs w:val="16"/>
        </w:rPr>
        <w:t xml:space="preserve">В скором времени отчетливо возникла потребность объединить и координировать деятельность всех перечисленных комиссий, так как в своей заготовительной работе они, имея дело с одними и теми же американскими фирмами, невольно конкурировали между собой, повышая, таким образом, цены на изделия. Затем, комиссии эти во многих случаях вели параллельную работу, заготовляя на одних и тех же рынках часто одни и те же материалы и предметы. Кроме координации всех ведомственных комиссий в указанном выше отношении, представилось необходимым объединить их работу и со стороны финансовой с тем, чтобы облегчить производство на месте всех необходимых финансовых операций, а затем установить единый контроль над расходуемой заготовительными органами валютой. </w:t>
      </w:r>
    </w:p>
    <w:p w14:paraId="7AD3FABF" w14:textId="77777777" w:rsidR="00D50668" w:rsidRPr="00DE096C" w:rsidRDefault="00D50668" w:rsidP="00D45A46">
      <w:pPr>
        <w:jc w:val="both"/>
        <w:rPr>
          <w:bCs/>
          <w:color w:val="002060"/>
          <w:sz w:val="16"/>
          <w:szCs w:val="16"/>
        </w:rPr>
      </w:pPr>
      <w:r w:rsidRPr="00DE096C">
        <w:rPr>
          <w:bCs/>
          <w:color w:val="002060"/>
          <w:sz w:val="16"/>
          <w:szCs w:val="16"/>
        </w:rPr>
        <w:t xml:space="preserve">После долгих трений, имевших место в Петрограде, был, наконец, учрежден 15 сентября 1915 г. "Комитет по заготовке в Америке предметов боевого и материального снабжения армии и флота". Положение о Комитете приняло силу закона 6 ноября 1915 года. Это положение определяло круг деятельности Комитета следующими основными задачами: </w:t>
      </w:r>
    </w:p>
    <w:p w14:paraId="31475AF6" w14:textId="77777777" w:rsidR="00D50668" w:rsidRPr="00DE096C" w:rsidRDefault="00D50668" w:rsidP="00D45A46">
      <w:pPr>
        <w:jc w:val="both"/>
        <w:rPr>
          <w:bCs/>
          <w:color w:val="002060"/>
          <w:sz w:val="16"/>
          <w:szCs w:val="16"/>
        </w:rPr>
      </w:pPr>
      <w:r w:rsidRPr="00DE096C">
        <w:rPr>
          <w:bCs/>
          <w:color w:val="002060"/>
          <w:sz w:val="16"/>
          <w:szCs w:val="16"/>
        </w:rPr>
        <w:t xml:space="preserve">1. Выяснение предметов боевого и материального снабжения, которые могли бы быть приобретены или заготовлены в Америке, выяснение для них цен, сроков и условий поставки. </w:t>
      </w:r>
    </w:p>
    <w:p w14:paraId="197966A9" w14:textId="77777777" w:rsidR="00D50668" w:rsidRPr="00DE096C" w:rsidRDefault="00D50668" w:rsidP="00D45A46">
      <w:pPr>
        <w:jc w:val="both"/>
        <w:rPr>
          <w:bCs/>
          <w:color w:val="002060"/>
          <w:sz w:val="16"/>
          <w:szCs w:val="16"/>
        </w:rPr>
      </w:pPr>
      <w:r w:rsidRPr="00DE096C">
        <w:rPr>
          <w:bCs/>
          <w:color w:val="002060"/>
          <w:sz w:val="16"/>
          <w:szCs w:val="16"/>
        </w:rPr>
        <w:t xml:space="preserve">2. Заключение сделок на поставку предметов снабжения и доставление их в Россию в тех случаях, когда сделки эти должны совершаться в Америке. Избранные для них фирмы и условия заказов должны быть одобрены в Петрограде, а также Русским правительственным комитетом в Лондоне. </w:t>
      </w:r>
    </w:p>
    <w:p w14:paraId="61642C52" w14:textId="77777777" w:rsidR="00D50668" w:rsidRPr="00DE096C" w:rsidRDefault="00D50668" w:rsidP="00D45A46">
      <w:pPr>
        <w:jc w:val="both"/>
        <w:rPr>
          <w:bCs/>
          <w:color w:val="002060"/>
          <w:sz w:val="16"/>
          <w:szCs w:val="16"/>
        </w:rPr>
      </w:pPr>
      <w:r w:rsidRPr="00DE096C">
        <w:rPr>
          <w:bCs/>
          <w:color w:val="002060"/>
          <w:sz w:val="16"/>
          <w:szCs w:val="16"/>
        </w:rPr>
        <w:t xml:space="preserve">3. Надзор за всеми заготовками для нужд обороны, выполняемыми в Америке, выяснение и устранение причин задержки в работе и организация приемки заказанных предметов. </w:t>
      </w:r>
    </w:p>
    <w:p w14:paraId="5B053834" w14:textId="77777777" w:rsidR="00D50668" w:rsidRPr="00DE096C" w:rsidRDefault="00D50668" w:rsidP="00D45A46">
      <w:pPr>
        <w:jc w:val="both"/>
        <w:rPr>
          <w:bCs/>
          <w:color w:val="002060"/>
          <w:sz w:val="16"/>
          <w:szCs w:val="16"/>
        </w:rPr>
      </w:pPr>
      <w:r w:rsidRPr="00DE096C">
        <w:rPr>
          <w:bCs/>
          <w:color w:val="002060"/>
          <w:sz w:val="16"/>
          <w:szCs w:val="16"/>
        </w:rPr>
        <w:t xml:space="preserve">4. Выполнение поручений Особого совещания по обороне. </w:t>
      </w:r>
    </w:p>
    <w:p w14:paraId="724A0ABD" w14:textId="77777777" w:rsidR="00D50668" w:rsidRPr="00DE096C" w:rsidRDefault="00D50668" w:rsidP="00D45A46">
      <w:pPr>
        <w:jc w:val="both"/>
        <w:rPr>
          <w:bCs/>
          <w:color w:val="002060"/>
          <w:sz w:val="16"/>
          <w:szCs w:val="16"/>
        </w:rPr>
      </w:pPr>
      <w:r w:rsidRPr="00DE096C">
        <w:rPr>
          <w:bCs/>
          <w:color w:val="002060"/>
          <w:sz w:val="16"/>
          <w:szCs w:val="16"/>
        </w:rPr>
        <w:t xml:space="preserve">Заготовительный комитет в Америке, имея, таким образом, весьма широкий круг деятельности, все-таки был под фактическим контролем Лондонского правительственного комитета. </w:t>
      </w:r>
    </w:p>
    <w:p w14:paraId="1D8AEB6D" w14:textId="77777777" w:rsidR="00D50668" w:rsidRPr="00DE096C" w:rsidRDefault="00D50668" w:rsidP="00D45A46">
      <w:pPr>
        <w:jc w:val="both"/>
        <w:rPr>
          <w:bCs/>
          <w:color w:val="002060"/>
          <w:sz w:val="16"/>
          <w:szCs w:val="16"/>
        </w:rPr>
      </w:pPr>
      <w:r w:rsidRPr="00DE096C">
        <w:rPr>
          <w:bCs/>
          <w:color w:val="002060"/>
          <w:sz w:val="16"/>
          <w:szCs w:val="16"/>
        </w:rPr>
        <w:t xml:space="preserve">18 марта 1916 г. утверждено было новое Положение о Заготовительном комитете, которое в основных чертах не разнилось от первого; коренным различием было лишь введение в состав Комитета представителя британского правительства. </w:t>
      </w:r>
    </w:p>
    <w:p w14:paraId="75766453" w14:textId="77777777" w:rsidR="00D50668" w:rsidRPr="00DE096C" w:rsidRDefault="00D50668" w:rsidP="00D45A46">
      <w:pPr>
        <w:jc w:val="both"/>
        <w:rPr>
          <w:bCs/>
          <w:color w:val="002060"/>
          <w:sz w:val="16"/>
          <w:szCs w:val="16"/>
        </w:rPr>
      </w:pPr>
      <w:r w:rsidRPr="00DE096C">
        <w:rPr>
          <w:bCs/>
          <w:color w:val="002060"/>
          <w:sz w:val="16"/>
          <w:szCs w:val="16"/>
        </w:rPr>
        <w:t xml:space="preserve">Для выполнения отдельных задач, вмененных в обязанности Комитета, в составе его были организованы комиссии: финансовая, перевозок, организационная и наблюдения за заказами. </w:t>
      </w:r>
    </w:p>
    <w:p w14:paraId="59F3B90A" w14:textId="77777777" w:rsidR="00D50668" w:rsidRPr="00DE096C" w:rsidRDefault="00D50668" w:rsidP="00D45A46">
      <w:pPr>
        <w:jc w:val="both"/>
        <w:rPr>
          <w:bCs/>
          <w:color w:val="002060"/>
          <w:sz w:val="16"/>
          <w:szCs w:val="16"/>
        </w:rPr>
      </w:pPr>
      <w:r w:rsidRPr="00DE096C">
        <w:rPr>
          <w:bCs/>
          <w:color w:val="002060"/>
          <w:sz w:val="16"/>
          <w:szCs w:val="16"/>
        </w:rPr>
        <w:lastRenderedPageBreak/>
        <w:t xml:space="preserve">Говоря о Заготовительном комитете, надлежит упомянуть об образовании при нем англо-русской Согласительной комиссии, которая в течение известного периода имела большое влияние на работу Комитета. История ее возникновения заключается в следующем. С самого начала размещения военных заказов в Америке неизбежно возникла конкуренция в этой области между Россией и Англией, вредно отзывавшаяся на успехе заготовок и бывшая вполне понятной причиной повышения цен. При таких условиях естественно потребовалась координация в заготовительной работе по английским и русским заказам. В равной мере требовалась согласованная работа и в области финансовой. Дело в том, что русское правительство было не в состоянии путем самостоятельных операций реализовать долларовый фонд в том масштабе, в каком это требовалось для заготовительных операций, и вынуждено было обращаться к содействию Англии. С другой стороны, Англия была готова идти в этом деле навстречу России, так как была ближайшим образом заинтересована в поддержке боевой мощи русской армии. Но, оказывая широкую материальную поддержку России и предоставляя ей денежные ресурсы, Англия, конечно, не могла не потребовать права ближайшего контроля над расходованием этих средств Русским заготовительным комитетом. </w:t>
      </w:r>
    </w:p>
    <w:p w14:paraId="760E9C41" w14:textId="77777777" w:rsidR="00D50668" w:rsidRPr="00DE096C" w:rsidRDefault="00D50668" w:rsidP="00D45A46">
      <w:pPr>
        <w:jc w:val="both"/>
        <w:rPr>
          <w:bCs/>
          <w:color w:val="002060"/>
          <w:sz w:val="16"/>
          <w:szCs w:val="16"/>
        </w:rPr>
      </w:pPr>
      <w:r w:rsidRPr="00DE096C">
        <w:rPr>
          <w:bCs/>
          <w:color w:val="002060"/>
          <w:sz w:val="16"/>
          <w:szCs w:val="16"/>
        </w:rPr>
        <w:t xml:space="preserve">Ввиду этого в октябре 1915 г. между Англией и русским министром финансов состоялось соглашение, основы которого сводились к следующему: </w:t>
      </w:r>
    </w:p>
    <w:p w14:paraId="298D71D6" w14:textId="77777777" w:rsidR="00D50668" w:rsidRPr="00DE096C" w:rsidRDefault="00D50668" w:rsidP="00D45A46">
      <w:pPr>
        <w:jc w:val="both"/>
        <w:rPr>
          <w:bCs/>
          <w:color w:val="002060"/>
          <w:sz w:val="16"/>
          <w:szCs w:val="16"/>
        </w:rPr>
      </w:pPr>
      <w:r w:rsidRPr="00DE096C">
        <w:rPr>
          <w:bCs/>
          <w:color w:val="002060"/>
          <w:sz w:val="16"/>
          <w:szCs w:val="16"/>
        </w:rPr>
        <w:t xml:space="preserve">1. Все предложения относительно поставок для России, подлежащие производству в Великобритании или Америке, должны рассматриваться в Англии. </w:t>
      </w:r>
    </w:p>
    <w:p w14:paraId="3254DAE9" w14:textId="77777777" w:rsidR="00D50668" w:rsidRPr="00DE096C" w:rsidRDefault="00D50668" w:rsidP="00D45A46">
      <w:pPr>
        <w:jc w:val="both"/>
        <w:rPr>
          <w:bCs/>
          <w:color w:val="002060"/>
          <w:sz w:val="16"/>
          <w:szCs w:val="16"/>
        </w:rPr>
      </w:pPr>
      <w:r w:rsidRPr="00DE096C">
        <w:rPr>
          <w:bCs/>
          <w:color w:val="002060"/>
          <w:sz w:val="16"/>
          <w:szCs w:val="16"/>
        </w:rPr>
        <w:t xml:space="preserve">2. Все контракты в Англии и Америке могут быть заключены русским правительством только с ведома специальных в Лондоне представителей обеих держав и по возможность с их подписями. </w:t>
      </w:r>
    </w:p>
    <w:p w14:paraId="7C5EF103" w14:textId="77777777" w:rsidR="00D50668" w:rsidRPr="00DE096C" w:rsidRDefault="00D50668" w:rsidP="00D45A46">
      <w:pPr>
        <w:jc w:val="both"/>
        <w:rPr>
          <w:bCs/>
          <w:color w:val="002060"/>
          <w:sz w:val="16"/>
          <w:szCs w:val="16"/>
        </w:rPr>
      </w:pPr>
      <w:r w:rsidRPr="00DE096C">
        <w:rPr>
          <w:bCs/>
          <w:color w:val="002060"/>
          <w:sz w:val="16"/>
          <w:szCs w:val="16"/>
        </w:rPr>
        <w:t xml:space="preserve">3. Ни одна поставка для России, платежи по которой должны быть произведены из кредитов, предоставленных английским правительством, не должна делаться без ведома представителей обеих держав. </w:t>
      </w:r>
    </w:p>
    <w:p w14:paraId="6150EE28" w14:textId="77777777" w:rsidR="00D50668" w:rsidRPr="00DE096C" w:rsidRDefault="00D50668" w:rsidP="00D45A46">
      <w:pPr>
        <w:jc w:val="both"/>
        <w:rPr>
          <w:bCs/>
          <w:color w:val="002060"/>
          <w:sz w:val="16"/>
          <w:szCs w:val="16"/>
        </w:rPr>
      </w:pPr>
      <w:r w:rsidRPr="00DE096C">
        <w:rPr>
          <w:bCs/>
          <w:color w:val="002060"/>
          <w:sz w:val="16"/>
          <w:szCs w:val="16"/>
        </w:rPr>
        <w:t xml:space="preserve">Однако это соглашение не давало еще полного координирования заготовительной работы Англии и русского правительства, так как некоторые русские заказы проходили помимо Русского заготовительного комитета и велись через Лондон, откуда британское правительство передавало их для исполнения Америке через банкирский дом Морган. </w:t>
      </w:r>
    </w:p>
    <w:p w14:paraId="78CD6E49" w14:textId="77777777" w:rsidR="00D50668" w:rsidRPr="00DE096C" w:rsidRDefault="00D50668" w:rsidP="00D45A46">
      <w:pPr>
        <w:jc w:val="both"/>
        <w:rPr>
          <w:bCs/>
          <w:color w:val="002060"/>
          <w:sz w:val="16"/>
          <w:szCs w:val="16"/>
        </w:rPr>
      </w:pPr>
      <w:r w:rsidRPr="00DE096C">
        <w:rPr>
          <w:bCs/>
          <w:color w:val="002060"/>
          <w:sz w:val="16"/>
          <w:szCs w:val="16"/>
        </w:rPr>
        <w:t>При этих условиях опять-таки возникала конкуренция в заготовках, проводимых Комитетом и Морганом, так как последний действовал совершенно независимо от Комитета. Был случай, что одна из заготовительных ведомостей из Петрограда была отправлена по двум адресам — в Комитет и Лондон, и по этой ведомости была произведена двойная заготовка, одна — Комитетом, другая — Морганом.</w:t>
      </w:r>
    </w:p>
    <w:p w14:paraId="7C0CED16" w14:textId="77777777" w:rsidR="00D50668" w:rsidRPr="00DE096C" w:rsidRDefault="00D50668" w:rsidP="00D45A46">
      <w:pPr>
        <w:jc w:val="both"/>
        <w:rPr>
          <w:bCs/>
          <w:color w:val="002060"/>
          <w:sz w:val="16"/>
          <w:szCs w:val="16"/>
        </w:rPr>
      </w:pPr>
      <w:r w:rsidRPr="00DE096C">
        <w:rPr>
          <w:bCs/>
          <w:color w:val="002060"/>
          <w:sz w:val="16"/>
          <w:szCs w:val="16"/>
        </w:rPr>
        <w:t xml:space="preserve">Для окончательного согласования заготовительных действий Комитетом был выдвинут вопрос об образовании Русско-английской согласительной комиссии, куда должны были войти, с одной стороны, представители Русского заготовительного комитета, а с другой — представители британского правительства. Образование Комиссии значительно упрощало прохождение заказов, так как этой Комиссии предоставлено было право обсуждать все основные заказы и разрешать многие важные вопросы, избегая, таким образом, тормозящей дело переписки с Лондоном. Затем, этой Комиссии было предоставлено право наблюдать за заказами, проводимыми через Моргана, и согласовывать их с заказами Комитета. </w:t>
      </w:r>
    </w:p>
    <w:p w14:paraId="16F06DE4" w14:textId="77777777" w:rsidR="00D50668" w:rsidRPr="00DE096C" w:rsidRDefault="00D50668" w:rsidP="00D45A46">
      <w:pPr>
        <w:jc w:val="both"/>
        <w:rPr>
          <w:bCs/>
          <w:color w:val="002060"/>
          <w:sz w:val="16"/>
          <w:szCs w:val="16"/>
        </w:rPr>
      </w:pPr>
      <w:r w:rsidRPr="00DE096C">
        <w:rPr>
          <w:bCs/>
          <w:color w:val="002060"/>
          <w:sz w:val="16"/>
          <w:szCs w:val="16"/>
        </w:rPr>
        <w:t xml:space="preserve">Комиссия начала свою деятельность в январе 1916 г. и продолжала до середины этого года. Своей работой она оказала громадную помощь Комитету. В середине года, с отъездом состоявшего в составе Комиссии представителя британского правительства, центр тяжести разрешения всех вопросов по заготовительной деятельности вновь автоматически перенесся в Лондон. </w:t>
      </w:r>
    </w:p>
    <w:p w14:paraId="20B471E9" w14:textId="77777777" w:rsidR="00D50668" w:rsidRPr="00DE096C" w:rsidRDefault="00D50668" w:rsidP="00D45A46">
      <w:pPr>
        <w:jc w:val="both"/>
        <w:rPr>
          <w:bCs/>
          <w:color w:val="002060"/>
          <w:sz w:val="16"/>
          <w:szCs w:val="16"/>
        </w:rPr>
      </w:pPr>
      <w:r w:rsidRPr="00DE096C">
        <w:rPr>
          <w:bCs/>
          <w:color w:val="002060"/>
          <w:sz w:val="16"/>
          <w:szCs w:val="16"/>
        </w:rPr>
        <w:t>Такова была в основных чертах организация дела русских военных заказов. В дальнейшем изложении истории отдельных крупных артиллерийских заказов попутно придется касаться организационной стороны (11329).</w:t>
      </w:r>
    </w:p>
    <w:p w14:paraId="4582C652" w14:textId="77777777" w:rsidR="00D50668" w:rsidRPr="00DE096C" w:rsidRDefault="00D50668" w:rsidP="00D45A46">
      <w:pPr>
        <w:jc w:val="both"/>
        <w:rPr>
          <w:bCs/>
          <w:i/>
          <w:color w:val="002060"/>
          <w:sz w:val="16"/>
          <w:szCs w:val="16"/>
        </w:rPr>
      </w:pPr>
    </w:p>
    <w:p w14:paraId="44FF06FD" w14:textId="77777777" w:rsidR="00D50668" w:rsidRPr="00DE096C" w:rsidRDefault="00D50668" w:rsidP="00D45A46">
      <w:pPr>
        <w:shd w:val="clear" w:color="auto" w:fill="FFFFFF"/>
        <w:jc w:val="both"/>
        <w:rPr>
          <w:bCs/>
          <w:color w:val="002060"/>
          <w:sz w:val="16"/>
          <w:szCs w:val="16"/>
        </w:rPr>
      </w:pPr>
      <w:r w:rsidRPr="00DE096C">
        <w:rPr>
          <w:bCs/>
          <w:color w:val="002060"/>
          <w:sz w:val="16"/>
          <w:szCs w:val="16"/>
        </w:rPr>
        <w:t>В августе-октябре 1914 г. в начале первой мировой войны Грозненская и Екатеринодарская нитрационные мастерские. по инициативе Химического комитета ГАУ, возглавляемого проф. В. Н. Ипатьевым, на Кавказе в гг. Гроз</w:t>
      </w:r>
      <w:r w:rsidRPr="00DE096C">
        <w:rPr>
          <w:bCs/>
          <w:color w:val="002060"/>
          <w:sz w:val="16"/>
          <w:szCs w:val="16"/>
        </w:rPr>
        <w:softHyphen/>
        <w:t>ном и Екатеринодаре на частных нефтеперегонных заводах было организовано извлечение толуола из бензинов Грозненских и Май</w:t>
      </w:r>
      <w:r w:rsidRPr="00DE096C">
        <w:rPr>
          <w:bCs/>
          <w:color w:val="002060"/>
          <w:sz w:val="16"/>
          <w:szCs w:val="16"/>
        </w:rPr>
        <w:softHyphen/>
        <w:t>копских нефтяных месторождений. Технологический процесс был разработан заведующим отделом неорганической химии Централь</w:t>
      </w:r>
      <w:r w:rsidRPr="00DE096C">
        <w:rPr>
          <w:bCs/>
          <w:color w:val="002060"/>
          <w:sz w:val="16"/>
          <w:szCs w:val="16"/>
        </w:rPr>
        <w:softHyphen/>
        <w:t>ной научно-технической лаборатории Военного ведомства, талант</w:t>
      </w:r>
      <w:r w:rsidRPr="00DE096C">
        <w:rPr>
          <w:bCs/>
          <w:color w:val="002060"/>
          <w:sz w:val="16"/>
          <w:szCs w:val="16"/>
        </w:rPr>
        <w:softHyphen/>
        <w:t>ливым инженером И. И. Андреевым (1880—1919). Бензины, со</w:t>
      </w:r>
      <w:r w:rsidRPr="00DE096C">
        <w:rPr>
          <w:bCs/>
          <w:color w:val="002060"/>
          <w:sz w:val="16"/>
          <w:szCs w:val="16"/>
        </w:rPr>
        <w:softHyphen/>
        <w:t>держащие 15—20 % толуола, нитровали и получали мононитротолу</w:t>
      </w:r>
      <w:r w:rsidRPr="00DE096C">
        <w:rPr>
          <w:bCs/>
          <w:color w:val="002060"/>
          <w:sz w:val="16"/>
          <w:szCs w:val="16"/>
        </w:rPr>
        <w:softHyphen/>
        <w:t>ол, который выделяли и отправляли на Самарский завод ВВ для до-нитровывания в тринитротолуол (тротил).</w:t>
      </w:r>
    </w:p>
    <w:p w14:paraId="06BBF187" w14:textId="77777777" w:rsidR="00D50668" w:rsidRPr="00DE096C" w:rsidRDefault="00D50668" w:rsidP="00D45A46">
      <w:pPr>
        <w:shd w:val="clear" w:color="auto" w:fill="FFFFFF"/>
        <w:jc w:val="both"/>
        <w:rPr>
          <w:bCs/>
          <w:color w:val="002060"/>
          <w:sz w:val="16"/>
          <w:szCs w:val="16"/>
        </w:rPr>
      </w:pPr>
      <w:r w:rsidRPr="00DE096C">
        <w:rPr>
          <w:bCs/>
          <w:color w:val="002060"/>
          <w:sz w:val="16"/>
          <w:szCs w:val="16"/>
        </w:rPr>
        <w:t>Так как нефтепромышленники были совершенно незнакомы с процессами нитрации, ГАУ решило построить на территории нефте</w:t>
      </w:r>
      <w:r w:rsidRPr="00DE096C">
        <w:rPr>
          <w:bCs/>
          <w:color w:val="002060"/>
          <w:sz w:val="16"/>
          <w:szCs w:val="16"/>
        </w:rPr>
        <w:softHyphen/>
        <w:t>перегонных заводов казенные нитрационные мастерские. Хозяйст</w:t>
      </w:r>
      <w:r w:rsidRPr="00DE096C">
        <w:rPr>
          <w:bCs/>
          <w:color w:val="002060"/>
          <w:sz w:val="16"/>
          <w:szCs w:val="16"/>
        </w:rPr>
        <w:softHyphen/>
        <w:t>венно-строительную комиссию возглавил председатель Химического комитета ГАУ проф. В. Н. Ипатьев. Руководил строительством обе</w:t>
      </w:r>
      <w:r w:rsidRPr="00DE096C">
        <w:rPr>
          <w:bCs/>
          <w:color w:val="002060"/>
          <w:sz w:val="16"/>
          <w:szCs w:val="16"/>
        </w:rPr>
        <w:softHyphen/>
        <w:t>их мастерских проф. Н. И. Аккерман.</w:t>
      </w:r>
    </w:p>
    <w:p w14:paraId="732D84CF" w14:textId="77777777" w:rsidR="00D50668" w:rsidRPr="00DE096C" w:rsidRDefault="00D50668" w:rsidP="00D45A46">
      <w:pPr>
        <w:shd w:val="clear" w:color="auto" w:fill="FFFFFF"/>
        <w:jc w:val="both"/>
        <w:rPr>
          <w:bCs/>
          <w:color w:val="002060"/>
          <w:sz w:val="16"/>
          <w:szCs w:val="16"/>
        </w:rPr>
      </w:pPr>
      <w:r w:rsidRPr="00DE096C">
        <w:rPr>
          <w:bCs/>
          <w:color w:val="002060"/>
          <w:sz w:val="16"/>
          <w:szCs w:val="16"/>
        </w:rPr>
        <w:t>Грозненская мастерская была запроектирована на выпуск 72 тыс. пудов мононитротолуола в год. При мастерской были обору</w:t>
      </w:r>
      <w:r w:rsidRPr="00DE096C">
        <w:rPr>
          <w:bCs/>
          <w:color w:val="002060"/>
          <w:sz w:val="16"/>
          <w:szCs w:val="16"/>
        </w:rPr>
        <w:softHyphen/>
        <w:t>дованы цехи азотной кислоты и тротиловый. Мастерскую ввели в эксплуатацию к концу 1916 г. (5484).</w:t>
      </w:r>
    </w:p>
    <w:p w14:paraId="344CDEF4" w14:textId="77777777" w:rsidR="00D50668" w:rsidRPr="00DE096C" w:rsidRDefault="00D50668" w:rsidP="00D45A46">
      <w:pPr>
        <w:shd w:val="clear" w:color="auto" w:fill="FFFFFF"/>
        <w:jc w:val="both"/>
        <w:rPr>
          <w:bCs/>
          <w:color w:val="002060"/>
          <w:sz w:val="16"/>
          <w:szCs w:val="16"/>
        </w:rPr>
      </w:pPr>
    </w:p>
    <w:p w14:paraId="041203E5" w14:textId="77777777" w:rsidR="00D50668" w:rsidRPr="00DE096C" w:rsidRDefault="00D50668" w:rsidP="00D45A46">
      <w:pPr>
        <w:jc w:val="both"/>
        <w:rPr>
          <w:bCs/>
          <w:color w:val="002060"/>
          <w:sz w:val="16"/>
          <w:szCs w:val="16"/>
        </w:rPr>
      </w:pPr>
      <w:r w:rsidRPr="00DE096C">
        <w:rPr>
          <w:bCs/>
          <w:color w:val="002060"/>
          <w:sz w:val="16"/>
          <w:szCs w:val="16"/>
        </w:rPr>
        <w:t>В августе-октябре 1914 г. в начале войны 1914 г. русская армия выходит уже с типовыми образцами военно-полевых телефонных аппаратов и коммутаторов.</w:t>
      </w:r>
    </w:p>
    <w:p w14:paraId="422C2615" w14:textId="77777777" w:rsidR="00D50668" w:rsidRPr="00DE096C" w:rsidRDefault="00D50668" w:rsidP="00D45A46">
      <w:pPr>
        <w:jc w:val="both"/>
        <w:rPr>
          <w:bCs/>
          <w:color w:val="002060"/>
          <w:sz w:val="16"/>
          <w:szCs w:val="16"/>
        </w:rPr>
      </w:pPr>
      <w:r w:rsidRPr="00DE096C">
        <w:rPr>
          <w:bCs/>
          <w:color w:val="002060"/>
          <w:sz w:val="16"/>
          <w:szCs w:val="16"/>
        </w:rPr>
        <w:t>Собственно, все телефонное производство страны в довоенный период было со средоточено на петербургских заводах фирм «Эриксона», «Гейслера», «Сименса и Гальске».</w:t>
      </w:r>
    </w:p>
    <w:p w14:paraId="32BDCED1" w14:textId="77777777" w:rsidR="00D50668" w:rsidRPr="00DE096C" w:rsidRDefault="00D50668" w:rsidP="00D45A46">
      <w:pPr>
        <w:jc w:val="both"/>
        <w:rPr>
          <w:bCs/>
          <w:color w:val="002060"/>
          <w:sz w:val="16"/>
          <w:szCs w:val="16"/>
        </w:rPr>
      </w:pPr>
      <w:r w:rsidRPr="00DE096C">
        <w:rPr>
          <w:bCs/>
          <w:color w:val="002060"/>
          <w:sz w:val="16"/>
          <w:szCs w:val="16"/>
        </w:rPr>
        <w:t>Первая мировая война вызвала колоссальный рост потребности действую щей армии в технике проводной связи. Так накануне войны в войсках находи лось всего 10279 телефонных аппаратов, и еще 5854 были сосредоточены на складах ГВИУ (Халепский И.А. Техника и война. - М.: Военный вестник, 1926. С. 15.). А на 1915 г. ГВИУ только внутри страны заказало более 120000 телефонных аппаратов, на 1916 г. заказ превысил 186000 аппаратов (Архив ВИМАИВиВС, ф. 60р, оп. 1, д. 18, л. 68.).</w:t>
      </w:r>
    </w:p>
    <w:p w14:paraId="36B403F0" w14:textId="77777777" w:rsidR="00D50668" w:rsidRPr="00DE096C" w:rsidRDefault="00D50668" w:rsidP="00D45A46">
      <w:pPr>
        <w:jc w:val="both"/>
        <w:rPr>
          <w:bCs/>
          <w:color w:val="002060"/>
          <w:sz w:val="16"/>
          <w:szCs w:val="16"/>
        </w:rPr>
      </w:pPr>
      <w:r w:rsidRPr="00DE096C">
        <w:rPr>
          <w:bCs/>
          <w:color w:val="002060"/>
          <w:sz w:val="16"/>
          <w:szCs w:val="16"/>
        </w:rPr>
        <w:t>Такие потребности армии привели к существенному росту промышленной базы телефонной аппаратуры. Производством этой продукции стали заниматься завод Петроградского арматурно-электрического акционерного общества в Мо скве, Телеграфно-телефонный завод ГВИУ в Москве, Телефонная фабрика в Юрьеве и мастерские ОЭШ в Петрограде, которой в начале войны был передан завод, ранее принадлежавший немецкой фирме Лоренц (Архив ВИМАИВиВС, ф. 60р, оп. 1, д. 27, л. 75.). Кроме того, в поставках имущества связи для армии принимали участие различные предприятия, объеди нявшиеся Центральным военно-промышленным комитетом и Всероссийским земским и городским союзами (Земгор) (Архив ВИМАИВиВС, ф. 60р, оп. 1, д. 18, л. 69.). Фирма «Сименс и Гальске» еще перед войной начала строить в Нижнем Новгороде телефонный завод, но война поме шала строительству. Лишь после окончания Гражданской войны завод был достроен, и на этом заводе им. Ленина параллельно телефонному заводу «Эриксо на» стала выпускаться военная телефонная аппаратура (Архив ВИМАИВиВС, ф. 10р, оп. 1, д. 107, л. 164.).</w:t>
      </w:r>
    </w:p>
    <w:p w14:paraId="3307EA20" w14:textId="77777777" w:rsidR="00D50668" w:rsidRPr="00DE096C" w:rsidRDefault="00D50668" w:rsidP="00D45A46">
      <w:pPr>
        <w:jc w:val="both"/>
        <w:rPr>
          <w:bCs/>
          <w:color w:val="002060"/>
          <w:sz w:val="16"/>
          <w:szCs w:val="16"/>
        </w:rPr>
      </w:pPr>
      <w:r w:rsidRPr="00DE096C">
        <w:rPr>
          <w:bCs/>
          <w:color w:val="002060"/>
          <w:sz w:val="16"/>
          <w:szCs w:val="16"/>
        </w:rPr>
        <w:t>Но даже открытие новых предприятий не смогло удовлетворить всех по требностей войск. Тогда очень широко стали использоваться поставки телефон ной аппаратуры иностранных фирм, основными из которых были американские «Вестерн Электрик» и «Дженерал Электрик», японская фирма «Окура и Со» и Министерство путей сообщения Японии (Архив ВИМАИВиВС, ф. 60р, оп. 1, д. 27, л. 76.).</w:t>
      </w:r>
    </w:p>
    <w:p w14:paraId="51ADA298" w14:textId="77777777" w:rsidR="00D50668" w:rsidRPr="00DE096C" w:rsidRDefault="00D50668" w:rsidP="00D45A46">
      <w:pPr>
        <w:jc w:val="both"/>
        <w:rPr>
          <w:bCs/>
          <w:color w:val="002060"/>
          <w:sz w:val="16"/>
          <w:szCs w:val="16"/>
        </w:rPr>
      </w:pPr>
      <w:r w:rsidRPr="00DE096C">
        <w:rPr>
          <w:bCs/>
          <w:color w:val="002060"/>
          <w:sz w:val="16"/>
          <w:szCs w:val="16"/>
        </w:rPr>
        <w:t>В 1916 г. все предприятия, производившие телефонную технику, выпусти ли 220000 телефонных аппаратов всех систем (Архив ВИМАИВиВС, ф. 61р, оп. 2, д. 1, л. 18.). Несмотря на значительный рост числа производителей телефонии, ведущее место по-прежнему принадлежало петроградским предприятиям «Эриксона», «Гейслера» и «Сименса», которые за няли передовые позиции еще перед войной. Совокупный выпуск, например, те лефонных аппаратов на этих заводах в 1916 г. составил более 176 тыс. единиц или около 80% от всего объема их производства (Русская электротехническая промышленность к началу 1921 г. - М.:, 1921. С. 31-36.). Изменения, произошедшие в структуре производства телефонных аппаратов на петроградских заводах за годы Первой мировой войны, демонстрирует таблица 3.</w:t>
      </w:r>
    </w:p>
    <w:p w14:paraId="0D437A50" w14:textId="77777777" w:rsidR="00D50668" w:rsidRPr="00DE096C" w:rsidRDefault="00D50668" w:rsidP="00D45A46">
      <w:pPr>
        <w:jc w:val="both"/>
        <w:rPr>
          <w:bCs/>
          <w:color w:val="002060"/>
          <w:sz w:val="16"/>
          <w:szCs w:val="16"/>
        </w:rPr>
      </w:pPr>
      <w:r w:rsidRPr="00DE096C">
        <w:rPr>
          <w:bCs/>
          <w:color w:val="002060"/>
          <w:sz w:val="16"/>
          <w:szCs w:val="16"/>
        </w:rPr>
        <w:t xml:space="preserve">Таблица 3 Доля предприятия в выпуске теле фонных аппаратов в совокупном вы пуске трех петроградских предпри ятий, в %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D50668" w:rsidRPr="00DE096C" w14:paraId="40ADB2B8" w14:textId="77777777" w:rsidTr="00D34AC1">
        <w:tc>
          <w:tcPr>
            <w:tcW w:w="2802" w:type="dxa"/>
          </w:tcPr>
          <w:p w14:paraId="70B80169" w14:textId="77777777" w:rsidR="00D50668" w:rsidRPr="00DE096C" w:rsidRDefault="00D50668" w:rsidP="00D45A46">
            <w:pPr>
              <w:jc w:val="both"/>
              <w:rPr>
                <w:bCs/>
                <w:color w:val="002060"/>
                <w:sz w:val="16"/>
                <w:szCs w:val="16"/>
              </w:rPr>
            </w:pPr>
            <w:r w:rsidRPr="00DE096C">
              <w:rPr>
                <w:bCs/>
                <w:color w:val="002060"/>
                <w:sz w:val="16"/>
                <w:szCs w:val="16"/>
              </w:rPr>
              <w:t>Предприятие</w:t>
            </w:r>
          </w:p>
        </w:tc>
        <w:tc>
          <w:tcPr>
            <w:tcW w:w="2802" w:type="dxa"/>
          </w:tcPr>
          <w:p w14:paraId="5E1B1BBE" w14:textId="77777777" w:rsidR="00D50668" w:rsidRPr="00DE096C" w:rsidRDefault="00D50668" w:rsidP="00D45A46">
            <w:pPr>
              <w:jc w:val="both"/>
              <w:rPr>
                <w:bCs/>
                <w:color w:val="002060"/>
                <w:sz w:val="16"/>
                <w:szCs w:val="16"/>
              </w:rPr>
            </w:pPr>
            <w:r w:rsidRPr="00DE096C">
              <w:rPr>
                <w:bCs/>
                <w:color w:val="002060"/>
                <w:sz w:val="16"/>
                <w:szCs w:val="16"/>
              </w:rPr>
              <w:t>Рост производства телефонных аппаратов в 1916 г. по сравнению с 1914 г.</w:t>
            </w:r>
          </w:p>
        </w:tc>
        <w:tc>
          <w:tcPr>
            <w:tcW w:w="2802" w:type="dxa"/>
          </w:tcPr>
          <w:p w14:paraId="510438F1" w14:textId="77777777" w:rsidR="00D50668" w:rsidRPr="00DE096C" w:rsidRDefault="00D50668" w:rsidP="00D45A46">
            <w:pPr>
              <w:jc w:val="both"/>
              <w:rPr>
                <w:bCs/>
                <w:color w:val="002060"/>
                <w:sz w:val="16"/>
                <w:szCs w:val="16"/>
              </w:rPr>
            </w:pPr>
            <w:r w:rsidRPr="00DE096C">
              <w:rPr>
                <w:bCs/>
                <w:color w:val="002060"/>
                <w:sz w:val="16"/>
                <w:szCs w:val="16"/>
              </w:rPr>
              <w:t>1914 г.</w:t>
            </w:r>
          </w:p>
        </w:tc>
        <w:tc>
          <w:tcPr>
            <w:tcW w:w="2802" w:type="dxa"/>
          </w:tcPr>
          <w:p w14:paraId="2A094520" w14:textId="77777777" w:rsidR="00D50668" w:rsidRPr="00DE096C" w:rsidRDefault="00D50668" w:rsidP="00D45A46">
            <w:pPr>
              <w:jc w:val="both"/>
              <w:rPr>
                <w:bCs/>
                <w:color w:val="002060"/>
                <w:sz w:val="16"/>
                <w:szCs w:val="16"/>
              </w:rPr>
            </w:pPr>
            <w:r w:rsidRPr="00DE096C">
              <w:rPr>
                <w:bCs/>
                <w:color w:val="002060"/>
                <w:sz w:val="16"/>
                <w:szCs w:val="16"/>
              </w:rPr>
              <w:t>1916 г.</w:t>
            </w:r>
          </w:p>
        </w:tc>
      </w:tr>
      <w:tr w:rsidR="00D50668" w:rsidRPr="00DE096C" w14:paraId="681633D9" w14:textId="77777777" w:rsidTr="00D34AC1">
        <w:tc>
          <w:tcPr>
            <w:tcW w:w="2802" w:type="dxa"/>
          </w:tcPr>
          <w:p w14:paraId="62AE0B5E" w14:textId="77777777" w:rsidR="00D50668" w:rsidRPr="00DE096C" w:rsidRDefault="00D50668" w:rsidP="00D45A46">
            <w:pPr>
              <w:jc w:val="both"/>
              <w:rPr>
                <w:bCs/>
                <w:color w:val="002060"/>
                <w:sz w:val="16"/>
                <w:szCs w:val="16"/>
              </w:rPr>
            </w:pPr>
            <w:r w:rsidRPr="00DE096C">
              <w:rPr>
                <w:bCs/>
                <w:color w:val="002060"/>
                <w:sz w:val="16"/>
                <w:szCs w:val="16"/>
              </w:rPr>
              <w:t>Эриксон</w:t>
            </w:r>
          </w:p>
        </w:tc>
        <w:tc>
          <w:tcPr>
            <w:tcW w:w="2802" w:type="dxa"/>
          </w:tcPr>
          <w:p w14:paraId="49F6FCC6" w14:textId="77777777" w:rsidR="00D50668" w:rsidRPr="00DE096C" w:rsidRDefault="00D50668" w:rsidP="00D45A46">
            <w:pPr>
              <w:jc w:val="both"/>
              <w:rPr>
                <w:bCs/>
                <w:color w:val="002060"/>
                <w:sz w:val="16"/>
                <w:szCs w:val="16"/>
              </w:rPr>
            </w:pPr>
            <w:r w:rsidRPr="00DE096C">
              <w:rPr>
                <w:bCs/>
                <w:color w:val="002060"/>
                <w:sz w:val="16"/>
                <w:szCs w:val="16"/>
              </w:rPr>
              <w:t>7,6 раза</w:t>
            </w:r>
          </w:p>
        </w:tc>
        <w:tc>
          <w:tcPr>
            <w:tcW w:w="2802" w:type="dxa"/>
          </w:tcPr>
          <w:p w14:paraId="234C19CA" w14:textId="77777777" w:rsidR="00D50668" w:rsidRPr="00DE096C" w:rsidRDefault="00D50668" w:rsidP="00D45A46">
            <w:pPr>
              <w:jc w:val="both"/>
              <w:rPr>
                <w:bCs/>
                <w:color w:val="002060"/>
                <w:sz w:val="16"/>
                <w:szCs w:val="16"/>
              </w:rPr>
            </w:pPr>
            <w:r w:rsidRPr="00DE096C">
              <w:rPr>
                <w:bCs/>
                <w:color w:val="002060"/>
                <w:sz w:val="16"/>
                <w:szCs w:val="16"/>
              </w:rPr>
              <w:t>36,5</w:t>
            </w:r>
          </w:p>
        </w:tc>
        <w:tc>
          <w:tcPr>
            <w:tcW w:w="2802" w:type="dxa"/>
          </w:tcPr>
          <w:p w14:paraId="39861667" w14:textId="77777777" w:rsidR="00D50668" w:rsidRPr="00DE096C" w:rsidRDefault="00D50668" w:rsidP="00D45A46">
            <w:pPr>
              <w:jc w:val="both"/>
              <w:rPr>
                <w:bCs/>
                <w:color w:val="002060"/>
                <w:sz w:val="16"/>
                <w:szCs w:val="16"/>
              </w:rPr>
            </w:pPr>
            <w:r w:rsidRPr="00DE096C">
              <w:rPr>
                <w:bCs/>
                <w:color w:val="002060"/>
                <w:sz w:val="16"/>
                <w:szCs w:val="16"/>
              </w:rPr>
              <w:t>63,8</w:t>
            </w:r>
          </w:p>
        </w:tc>
      </w:tr>
      <w:tr w:rsidR="00D50668" w:rsidRPr="00DE096C" w14:paraId="07B6B458" w14:textId="77777777" w:rsidTr="00D34AC1">
        <w:tc>
          <w:tcPr>
            <w:tcW w:w="2802" w:type="dxa"/>
          </w:tcPr>
          <w:p w14:paraId="36D00225" w14:textId="77777777" w:rsidR="00D50668" w:rsidRPr="00DE096C" w:rsidRDefault="00D50668" w:rsidP="00D45A46">
            <w:pPr>
              <w:jc w:val="both"/>
              <w:rPr>
                <w:bCs/>
                <w:color w:val="002060"/>
                <w:sz w:val="16"/>
                <w:szCs w:val="16"/>
              </w:rPr>
            </w:pPr>
            <w:r w:rsidRPr="00DE096C">
              <w:rPr>
                <w:bCs/>
                <w:color w:val="002060"/>
                <w:sz w:val="16"/>
                <w:szCs w:val="16"/>
              </w:rPr>
              <w:t>Гейслер</w:t>
            </w:r>
          </w:p>
        </w:tc>
        <w:tc>
          <w:tcPr>
            <w:tcW w:w="2802" w:type="dxa"/>
          </w:tcPr>
          <w:p w14:paraId="64EF1803" w14:textId="77777777" w:rsidR="00D50668" w:rsidRPr="00DE096C" w:rsidRDefault="00D50668" w:rsidP="00D45A46">
            <w:pPr>
              <w:jc w:val="both"/>
              <w:rPr>
                <w:bCs/>
                <w:color w:val="002060"/>
                <w:sz w:val="16"/>
                <w:szCs w:val="16"/>
              </w:rPr>
            </w:pPr>
            <w:r w:rsidRPr="00DE096C">
              <w:rPr>
                <w:bCs/>
                <w:color w:val="002060"/>
                <w:sz w:val="16"/>
                <w:szCs w:val="16"/>
              </w:rPr>
              <w:t>84%</w:t>
            </w:r>
          </w:p>
        </w:tc>
        <w:tc>
          <w:tcPr>
            <w:tcW w:w="2802" w:type="dxa"/>
          </w:tcPr>
          <w:p w14:paraId="43790B5F" w14:textId="77777777" w:rsidR="00D50668" w:rsidRPr="00DE096C" w:rsidRDefault="00D50668" w:rsidP="00D45A46">
            <w:pPr>
              <w:jc w:val="both"/>
              <w:rPr>
                <w:bCs/>
                <w:color w:val="002060"/>
                <w:sz w:val="16"/>
                <w:szCs w:val="16"/>
              </w:rPr>
            </w:pPr>
            <w:r w:rsidRPr="00DE096C">
              <w:rPr>
                <w:bCs/>
                <w:color w:val="002060"/>
                <w:sz w:val="16"/>
                <w:szCs w:val="16"/>
              </w:rPr>
              <w:t>56</w:t>
            </w:r>
          </w:p>
        </w:tc>
        <w:tc>
          <w:tcPr>
            <w:tcW w:w="2802" w:type="dxa"/>
          </w:tcPr>
          <w:p w14:paraId="15B62503" w14:textId="77777777" w:rsidR="00D50668" w:rsidRPr="00DE096C" w:rsidRDefault="00D50668" w:rsidP="00D45A46">
            <w:pPr>
              <w:jc w:val="both"/>
              <w:rPr>
                <w:bCs/>
                <w:color w:val="002060"/>
                <w:sz w:val="16"/>
                <w:szCs w:val="16"/>
              </w:rPr>
            </w:pPr>
            <w:r w:rsidRPr="00DE096C">
              <w:rPr>
                <w:bCs/>
                <w:color w:val="002060"/>
                <w:sz w:val="16"/>
                <w:szCs w:val="16"/>
              </w:rPr>
              <w:t xml:space="preserve">24,8 </w:t>
            </w:r>
          </w:p>
        </w:tc>
      </w:tr>
      <w:tr w:rsidR="00D50668" w:rsidRPr="00DE096C" w14:paraId="07A71E52" w14:textId="77777777" w:rsidTr="00D34AC1">
        <w:tc>
          <w:tcPr>
            <w:tcW w:w="2802" w:type="dxa"/>
          </w:tcPr>
          <w:p w14:paraId="073135B1" w14:textId="77777777" w:rsidR="00D50668" w:rsidRPr="00DE096C" w:rsidRDefault="00D50668" w:rsidP="00D45A46">
            <w:pPr>
              <w:jc w:val="both"/>
              <w:rPr>
                <w:bCs/>
                <w:color w:val="002060"/>
                <w:sz w:val="16"/>
                <w:szCs w:val="16"/>
              </w:rPr>
            </w:pPr>
            <w:r w:rsidRPr="00DE096C">
              <w:rPr>
                <w:bCs/>
                <w:color w:val="002060"/>
                <w:sz w:val="16"/>
                <w:szCs w:val="16"/>
              </w:rPr>
              <w:t>Сименс</w:t>
            </w:r>
          </w:p>
        </w:tc>
        <w:tc>
          <w:tcPr>
            <w:tcW w:w="2802" w:type="dxa"/>
          </w:tcPr>
          <w:p w14:paraId="05E570BD" w14:textId="77777777" w:rsidR="00D50668" w:rsidRPr="00DE096C" w:rsidRDefault="00D50668" w:rsidP="00D45A46">
            <w:pPr>
              <w:jc w:val="both"/>
              <w:rPr>
                <w:bCs/>
                <w:color w:val="002060"/>
                <w:sz w:val="16"/>
                <w:szCs w:val="16"/>
              </w:rPr>
            </w:pPr>
            <w:r w:rsidRPr="00DE096C">
              <w:rPr>
                <w:bCs/>
                <w:color w:val="002060"/>
                <w:sz w:val="16"/>
                <w:szCs w:val="16"/>
              </w:rPr>
              <w:t>6,4 раза</w:t>
            </w:r>
          </w:p>
        </w:tc>
        <w:tc>
          <w:tcPr>
            <w:tcW w:w="2802" w:type="dxa"/>
          </w:tcPr>
          <w:p w14:paraId="4E22C74B" w14:textId="77777777" w:rsidR="00D50668" w:rsidRPr="00DE096C" w:rsidRDefault="00D50668" w:rsidP="00D45A46">
            <w:pPr>
              <w:jc w:val="both"/>
              <w:rPr>
                <w:bCs/>
                <w:color w:val="002060"/>
                <w:sz w:val="16"/>
                <w:szCs w:val="16"/>
              </w:rPr>
            </w:pPr>
            <w:r w:rsidRPr="00DE096C">
              <w:rPr>
                <w:bCs/>
                <w:color w:val="002060"/>
                <w:sz w:val="16"/>
                <w:szCs w:val="16"/>
              </w:rPr>
              <w:t>7,5</w:t>
            </w:r>
          </w:p>
        </w:tc>
        <w:tc>
          <w:tcPr>
            <w:tcW w:w="2802" w:type="dxa"/>
          </w:tcPr>
          <w:p w14:paraId="274470C6" w14:textId="77777777" w:rsidR="00D50668" w:rsidRPr="00DE096C" w:rsidRDefault="00D50668" w:rsidP="00D45A46">
            <w:pPr>
              <w:jc w:val="both"/>
              <w:rPr>
                <w:bCs/>
                <w:color w:val="002060"/>
                <w:sz w:val="16"/>
                <w:szCs w:val="16"/>
              </w:rPr>
            </w:pPr>
            <w:r w:rsidRPr="00DE096C">
              <w:rPr>
                <w:bCs/>
                <w:color w:val="002060"/>
                <w:sz w:val="16"/>
                <w:szCs w:val="16"/>
              </w:rPr>
              <w:t>11,6</w:t>
            </w:r>
          </w:p>
        </w:tc>
      </w:tr>
    </w:tbl>
    <w:p w14:paraId="3142E0B8" w14:textId="77777777" w:rsidR="00D50668" w:rsidRPr="00DE096C" w:rsidRDefault="00D50668" w:rsidP="00D45A46">
      <w:pPr>
        <w:jc w:val="both"/>
        <w:rPr>
          <w:bCs/>
          <w:color w:val="002060"/>
          <w:sz w:val="16"/>
          <w:szCs w:val="16"/>
        </w:rPr>
      </w:pPr>
      <w:r w:rsidRPr="00DE096C">
        <w:rPr>
          <w:bCs/>
          <w:color w:val="002060"/>
          <w:sz w:val="16"/>
          <w:szCs w:val="16"/>
        </w:rPr>
        <w:t>Таким образом, в ходе войны определился лидер телефонной отрасли, ко торым стало предприятие фирмы «Эриксона». Такое положение сохранилось и в последующие годы. Так, только на первое полугодие 1917 г. фирме «Эриксона» Военным ведомством было заказано 50000 телефонных аппаратов, 2850 комму таторов, 80000 микротелефонных капсюлей, 9000 зуммеров, запчасти к аппара туре и другое имущество (Архив ВИМАИВиВС, ф. 60р, оп. 1, д. 18, л. 69.).</w:t>
      </w:r>
    </w:p>
    <w:p w14:paraId="6DB3BDC5" w14:textId="77777777" w:rsidR="00D50668" w:rsidRPr="00DE096C" w:rsidRDefault="00D50668" w:rsidP="00D45A46">
      <w:pPr>
        <w:jc w:val="both"/>
        <w:rPr>
          <w:bCs/>
          <w:color w:val="002060"/>
          <w:sz w:val="16"/>
          <w:szCs w:val="16"/>
        </w:rPr>
      </w:pPr>
      <w:r w:rsidRPr="00DE096C">
        <w:rPr>
          <w:bCs/>
          <w:color w:val="002060"/>
          <w:sz w:val="16"/>
          <w:szCs w:val="16"/>
        </w:rPr>
        <w:t>В годы Гражданской войны производство телефонной продукции резко сократилось. В 1918 г. производство телефонных аппаратов на предприятиях Петрограда составило 11,5% от уровня 1916 г.</w:t>
      </w:r>
    </w:p>
    <w:p w14:paraId="238420FC" w14:textId="77777777" w:rsidR="00D50668" w:rsidRPr="00DE096C" w:rsidRDefault="00D50668" w:rsidP="00D45A46">
      <w:pPr>
        <w:jc w:val="both"/>
        <w:rPr>
          <w:bCs/>
          <w:color w:val="002060"/>
          <w:sz w:val="16"/>
          <w:szCs w:val="16"/>
        </w:rPr>
      </w:pPr>
      <w:r w:rsidRPr="00DE096C">
        <w:rPr>
          <w:bCs/>
          <w:color w:val="002060"/>
          <w:sz w:val="16"/>
          <w:szCs w:val="16"/>
        </w:rPr>
        <w:t>Завод «Эриксона» весной 1918 г. из-за отсутствия топлива и нехватки сы рья совсем остановился. Однако 2 ноября 1918 г. на заседании СНК РСФСР было принято постановление, в котором предлагалось ВСНХ принять срочные меры по возобновлению производственной деятельности заводов, изготовляющих те леграфные и телефонные аппараты. Благодаря принятым мерам через два месяца на «Эриксоне» удалось наладить работу на некоторых участках. Численность ра бочих в 1919 г. составила 168 человек, и за год удалось выпустить 1966 аппара тов (Хабло Е. П. "Красная Заря": История ленинградского научно-производственного объедине ния "Красная Заря". - Л.: Лениздат, 1983. С. 61.).</w:t>
      </w:r>
    </w:p>
    <w:p w14:paraId="1EF2251D" w14:textId="77777777" w:rsidR="00D50668" w:rsidRPr="00DE096C" w:rsidRDefault="00D50668" w:rsidP="00D45A46">
      <w:pPr>
        <w:jc w:val="both"/>
        <w:rPr>
          <w:bCs/>
          <w:color w:val="002060"/>
          <w:sz w:val="16"/>
          <w:szCs w:val="16"/>
        </w:rPr>
      </w:pPr>
      <w:r w:rsidRPr="00DE096C">
        <w:rPr>
          <w:bCs/>
          <w:color w:val="002060"/>
          <w:sz w:val="16"/>
          <w:szCs w:val="16"/>
        </w:rPr>
        <w:lastRenderedPageBreak/>
        <w:t>Создание секции «Электросвязь» в марте 1920 г., в состав которой вошли все электрослаботочные предприятия Петрограда, положил начало процессу их специализации на выработке отдельных видов продукции. Петроградский теле фонный завод, как стал именоваться бывший завод «Эриксона» после национа лизации в 1919 г., вошел в состав секции как основной телефонный завод (Русская электротехническая промышленность к началу 1921 г. - М.:, 1921. С. 32) (11870).</w:t>
      </w:r>
    </w:p>
    <w:p w14:paraId="4A867A8A" w14:textId="77777777" w:rsidR="00D50668" w:rsidRPr="00DE096C" w:rsidRDefault="00D50668" w:rsidP="00D45A46">
      <w:pPr>
        <w:jc w:val="both"/>
        <w:rPr>
          <w:bCs/>
          <w:color w:val="002060"/>
          <w:sz w:val="16"/>
          <w:szCs w:val="16"/>
        </w:rPr>
      </w:pPr>
    </w:p>
    <w:p w14:paraId="0FB91A3F" w14:textId="77777777" w:rsidR="00277C70" w:rsidRPr="00DE096C" w:rsidRDefault="00277C70" w:rsidP="00D45A46">
      <w:pPr>
        <w:pStyle w:val="p1"/>
        <w:spacing w:before="0" w:beforeAutospacing="0" w:after="0" w:afterAutospacing="0"/>
        <w:jc w:val="both"/>
        <w:rPr>
          <w:bCs/>
          <w:color w:val="002060"/>
          <w:sz w:val="16"/>
          <w:szCs w:val="16"/>
        </w:rPr>
      </w:pPr>
      <w:r w:rsidRPr="00DE096C">
        <w:rPr>
          <w:bCs/>
          <w:color w:val="002060"/>
          <w:sz w:val="16"/>
          <w:szCs w:val="16"/>
        </w:rPr>
        <w:t>В августе — октябре 1914 г. Сестрорецкий завод приводил в порядок установку всех разработок частей винтовки и пропускал изделия, наполняя ими все переходы между последовательными операциями, а с 1 ноября началась подача и сборка винтовок; за август — декабрь завод дал 6 тысяч винтовок и в январе довел сборку до 150 в день (3500–4000 в месяц). Дальнейшее развитие производства на Сестрорецком заводе требовало наращивания силы двигателей, запаса инструментов и поковок, добавления станков и увеличения площадей. В течение 1915 г. были возведены здания замочной мастерской, переделано под мастерскую здание магазина, надстроен второй этаж над зданием ложевой и магазинной мастерских, проложены ветка Приморской железной дороги и ветка от Белоострова к заводу. Если за 1913 г. СОЗ выпустил 4530 винтовок, за 1914 г. — 7584, то за 1915 г. — 74 483, за 1916 г. — 147 534 (18409).</w:t>
      </w:r>
    </w:p>
    <w:p w14:paraId="4B3093E4" w14:textId="77777777" w:rsidR="00277C70" w:rsidRPr="00DE096C" w:rsidRDefault="00277C70" w:rsidP="00D45A46">
      <w:pPr>
        <w:pStyle w:val="p1"/>
        <w:spacing w:before="0" w:beforeAutospacing="0" w:after="0" w:afterAutospacing="0"/>
        <w:jc w:val="both"/>
        <w:rPr>
          <w:bCs/>
          <w:color w:val="002060"/>
          <w:sz w:val="16"/>
          <w:szCs w:val="16"/>
        </w:rPr>
      </w:pPr>
    </w:p>
    <w:p w14:paraId="21A663BA" w14:textId="77777777" w:rsidR="00277C70" w:rsidRPr="00DE096C" w:rsidRDefault="00277C70" w:rsidP="00D45A46">
      <w:pPr>
        <w:pStyle w:val="p1"/>
        <w:spacing w:before="0" w:beforeAutospacing="0" w:after="0" w:afterAutospacing="0"/>
        <w:jc w:val="both"/>
        <w:rPr>
          <w:bCs/>
          <w:color w:val="002060"/>
          <w:sz w:val="16"/>
          <w:szCs w:val="16"/>
        </w:rPr>
      </w:pPr>
      <w:r w:rsidRPr="00DE096C">
        <w:rPr>
          <w:bCs/>
          <w:color w:val="002060"/>
          <w:sz w:val="16"/>
          <w:szCs w:val="16"/>
        </w:rPr>
        <w:t>За август — декабрь 1914 г. ТОЗ изготовил 45 848 винтовок. В 1915 г. завод перешел к круглосуточной работе при двух нерабочих днях в месяц (длительность рабочей смены достигала 11–12 часов, со сверхурочными часами — 14), к увеличенной скорости резания, к ручной подаче у станка, к облегченным условиям приемки; допускалось ухудшение качества продукции. Удалось закупить более 1000 станков за границей, а некоторые изготовлялись в собственном станкостроительном отделе. Начальник ТОЗ в самом начале войны уведомил ГАУ, что «усилить выход ружей теперь же можно только одним способом» — отказавшись от использования вольфрамистой стали; стволы из мартеновской стали «менее прочны, но все же вполне пригодны», такая сталь «легче обрабатывается» и требует меньшего расхода рабочего инструмента. Поставщик ствольных болванок, Ижевский завод, получит возможность высвободить тигли для изготовления инструментальной стали. К середине 1915 г. суточный выпуск был доведен до 925 винтовок, к осени — до 1500, в декабре — превысил 1700. Рос также и выпуск взрывателей (18409).</w:t>
      </w:r>
    </w:p>
    <w:p w14:paraId="074C9E81" w14:textId="77777777" w:rsidR="00277C70" w:rsidRPr="00DE096C" w:rsidRDefault="00277C70" w:rsidP="00D45A46">
      <w:pPr>
        <w:pStyle w:val="p1"/>
        <w:spacing w:before="0" w:beforeAutospacing="0" w:after="0" w:afterAutospacing="0"/>
        <w:jc w:val="both"/>
        <w:rPr>
          <w:bCs/>
          <w:color w:val="002060"/>
          <w:sz w:val="16"/>
          <w:szCs w:val="16"/>
        </w:rPr>
      </w:pPr>
    </w:p>
    <w:p w14:paraId="5AC3F8FF" w14:textId="77777777" w:rsidR="00676038" w:rsidRPr="00DE096C" w:rsidRDefault="00676038" w:rsidP="00D45A46">
      <w:pPr>
        <w:jc w:val="both"/>
        <w:rPr>
          <w:bCs/>
          <w:color w:val="002060"/>
          <w:sz w:val="16"/>
          <w:szCs w:val="16"/>
        </w:rPr>
      </w:pPr>
      <w:r w:rsidRPr="00DE096C">
        <w:rPr>
          <w:bCs/>
          <w:color w:val="002060"/>
          <w:sz w:val="16"/>
          <w:szCs w:val="16"/>
        </w:rPr>
        <w:t>В августе—декабре 1914 года Бакинская нефть подешевела с 26 до 13 рублей за тонну, но затем цены стали быстро расти, что вызвало тревогу как у потребителей, так и у правительства. Рост цен стали связывать с продажей нефти за рубеж (11178).</w:t>
      </w:r>
    </w:p>
    <w:p w14:paraId="2B344360" w14:textId="77777777" w:rsidR="00676038" w:rsidRPr="00DE096C" w:rsidRDefault="00676038" w:rsidP="00D45A46">
      <w:pPr>
        <w:jc w:val="both"/>
        <w:rPr>
          <w:bCs/>
          <w:color w:val="002060"/>
          <w:sz w:val="16"/>
          <w:szCs w:val="16"/>
        </w:rPr>
      </w:pPr>
      <w:r w:rsidRPr="00DE096C">
        <w:rPr>
          <w:bCs/>
          <w:color w:val="002060"/>
          <w:sz w:val="16"/>
          <w:szCs w:val="16"/>
        </w:rPr>
        <w:t xml:space="preserve">Поэтому </w:t>
      </w:r>
    </w:p>
    <w:p w14:paraId="0F099391" w14:textId="77777777" w:rsidR="00676038" w:rsidRPr="00DE096C" w:rsidRDefault="00676038" w:rsidP="00D45A46">
      <w:pPr>
        <w:jc w:val="both"/>
        <w:rPr>
          <w:bCs/>
          <w:color w:val="002060"/>
          <w:sz w:val="16"/>
          <w:szCs w:val="16"/>
        </w:rPr>
      </w:pPr>
    </w:p>
    <w:p w14:paraId="2417D208" w14:textId="77777777" w:rsidR="00D50668" w:rsidRPr="00DE096C" w:rsidRDefault="00D50668" w:rsidP="00D45A46">
      <w:pPr>
        <w:jc w:val="both"/>
        <w:rPr>
          <w:bCs/>
          <w:i/>
          <w:color w:val="002060"/>
          <w:sz w:val="16"/>
          <w:szCs w:val="16"/>
        </w:rPr>
      </w:pPr>
      <w:r w:rsidRPr="00DE096C">
        <w:rPr>
          <w:bCs/>
          <w:i/>
          <w:color w:val="002060"/>
          <w:sz w:val="16"/>
          <w:szCs w:val="16"/>
        </w:rPr>
        <w:t>Авиация:</w:t>
      </w:r>
    </w:p>
    <w:p w14:paraId="40E144D6" w14:textId="77777777" w:rsidR="00D50668" w:rsidRPr="00DE096C" w:rsidRDefault="00D50668" w:rsidP="00D45A46">
      <w:pPr>
        <w:jc w:val="both"/>
        <w:rPr>
          <w:bCs/>
          <w:i/>
          <w:color w:val="002060"/>
          <w:sz w:val="16"/>
          <w:szCs w:val="16"/>
        </w:rPr>
      </w:pPr>
    </w:p>
    <w:p w14:paraId="1D1AADF8" w14:textId="77777777" w:rsidR="00D50668" w:rsidRPr="00DE096C" w:rsidRDefault="00D50668" w:rsidP="00D45A46">
      <w:pPr>
        <w:pStyle w:val="a3"/>
        <w:jc w:val="both"/>
        <w:rPr>
          <w:bCs/>
          <w:i w:val="0"/>
          <w:color w:val="002060"/>
          <w:spacing w:val="0"/>
          <w:kern w:val="0"/>
          <w:position w:val="0"/>
          <w:sz w:val="16"/>
          <w:szCs w:val="16"/>
        </w:rPr>
      </w:pPr>
      <w:r w:rsidRPr="00DE096C">
        <w:rPr>
          <w:bCs/>
          <w:i w:val="0"/>
          <w:iCs/>
          <w:color w:val="002060"/>
          <w:sz w:val="16"/>
          <w:szCs w:val="16"/>
        </w:rPr>
        <w:t>Август-октябрь 1914 г.</w:t>
      </w:r>
      <w:r w:rsidRPr="00DE096C">
        <w:rPr>
          <w:bCs/>
          <w:color w:val="002060"/>
          <w:sz w:val="16"/>
          <w:szCs w:val="16"/>
        </w:rPr>
        <w:t xml:space="preserve"> - </w:t>
      </w:r>
      <w:r w:rsidRPr="00DE096C">
        <w:rPr>
          <w:bCs/>
          <w:i w:val="0"/>
          <w:color w:val="002060"/>
          <w:spacing w:val="0"/>
          <w:kern w:val="0"/>
          <w:position w:val="0"/>
          <w:sz w:val="16"/>
          <w:szCs w:val="16"/>
        </w:rPr>
        <w:t>начальный период войны - выявил плохую организацию в снабжении авиационных отрядов и рот бензином, касторовым маслом, запчастями, палатками и другим авиационным имуществом. Самолеты и моторы быстро выходили из строя в суровых полевых условиях, особенно с наступлением ненастной осенней погоды, когда остро сказались нехватка палаток и переносных ангаров, использование для аэродромов малопригодных площадок. Уже после первых месяцев войны многие авиаотряды пришлось отвести в тыл для снабжения аэропланами новых систем и для переучивания летчиков на них. Так, пилоты, летавшие на "Ньюпорах", освоили "Мораны". Широко использовалась для вооружения отрядов отремонтированная трофейная авиатехника. Поставки самолетов и назначения личного состава целиком зависели от штаба авиации, возглавлявшегося Великим князем Александром Михайловичем. Он часто назначал командирами рот и начальниками отрядов офицеров, хорошо писавших отчеты, но мало летавших. В этой ситуации протежируемые отряды снабжались самолетами вне очереди , тогда как части, несшие ответственную и тяжелую работу, оставались без аэропланов. Снабжение самолетами оставалось большой проблемой, которая часто решалась на самом высоком уровне. Так, 31 августа 1914 г. командующий 8-й армией генерал Брусилов бьет челом Великому князю: "Настоящее время лишился совершенно воздушных аппаратов, столь драгоценных для разведок, что ставит управление войсками в крайне трудное положение. ...Покорно прошу Ваше императорское высочество оказать армии величайшую помощь "Фарманами" и "Ньюпорами". Деятельность летчиков в разведке незаменима." Просьба Брусилова была удовлетворена, и армия получила 4 самолета из состава Брест-Литовского крепостного авиаотряда. Однако таких просьб было множество, а дефицит самолетов и моторов стал хронической болезнью русской авиации до конца войны (11278).</w:t>
      </w:r>
    </w:p>
    <w:p w14:paraId="2390CFF9" w14:textId="77777777" w:rsidR="00D50668" w:rsidRPr="00DE096C" w:rsidRDefault="00D50668" w:rsidP="00D45A46">
      <w:pPr>
        <w:pStyle w:val="a3"/>
        <w:jc w:val="both"/>
        <w:rPr>
          <w:bCs/>
          <w:i w:val="0"/>
          <w:color w:val="002060"/>
          <w:spacing w:val="0"/>
          <w:kern w:val="0"/>
          <w:position w:val="0"/>
          <w:sz w:val="16"/>
          <w:szCs w:val="16"/>
        </w:rPr>
      </w:pPr>
    </w:p>
    <w:p w14:paraId="058744E0" w14:textId="77777777" w:rsidR="00D50668" w:rsidRPr="00DE096C" w:rsidRDefault="00D50668" w:rsidP="00D45A46">
      <w:pPr>
        <w:jc w:val="both"/>
        <w:rPr>
          <w:bCs/>
          <w:color w:val="002060"/>
          <w:sz w:val="16"/>
          <w:szCs w:val="16"/>
        </w:rPr>
      </w:pPr>
      <w:r w:rsidRPr="00DE096C">
        <w:rPr>
          <w:bCs/>
          <w:color w:val="002060"/>
          <w:sz w:val="16"/>
          <w:szCs w:val="16"/>
        </w:rPr>
        <w:t xml:space="preserve">В августе-октябре 1914 г. на начальном этапе боевых русская авиация понесла большие потери. Только на Юго-Западном фронте за первые три месяца боев из 99 самолетов был потерян, в основном, из-за поломок, 91 аэроплан). Быстро восполнить потери на самом напряженном, маневренном этапе войны, не удалось - сказалось отсутсвие необходимой производстве обусловленнное общим отставанием российской промышленности от промышленности Германии (к началу войны Россия имела всего семь авиационных заводов с месячной производительностью 30-40 самолетов, тогда как Германия располагала 50 предприятиями, способными с а и чиновников, не сумевших своевренно организовать необходимые мобилизационные мероприятия, а также отсутствие запасов авиационной техники (в то же время Франция и Великобритания имели, соответственно, 200 и 100 самолетов резерва, что позволило им быстро восстановить потери первого этапа боевых действий, когда авиапромышленость еще не перешла на "военные рельсы"). Отсутствовали необходимые запасы топлива и других материалов, нехватало обученных летчиков. Руководство вооруженых сил полагало, что война с Германией будет носить скоротечный, маневренный характер и завершится в ходе одной кампании, через шесть-восемь месяцев. Такие оценки повлияли не только на з материальной части для воздушных сил, но сказались и на снабжении всей армии: уже к концу 1914 года в войсках стал ощущаться острый недостаток вооружения и боеприпасов, что, в конечном итоге, и привело к тяжелым поражениям лета 1915 года. </w:t>
      </w:r>
    </w:p>
    <w:p w14:paraId="3169E871" w14:textId="77777777" w:rsidR="00D50668" w:rsidRPr="00DE096C" w:rsidRDefault="00D50668" w:rsidP="00D45A46">
      <w:pPr>
        <w:shd w:val="clear" w:color="auto" w:fill="FFFFFF"/>
        <w:jc w:val="both"/>
        <w:rPr>
          <w:bCs/>
          <w:color w:val="002060"/>
          <w:sz w:val="16"/>
          <w:szCs w:val="16"/>
        </w:rPr>
      </w:pPr>
    </w:p>
    <w:p w14:paraId="47071130" w14:textId="77777777" w:rsidR="00D50668" w:rsidRPr="00DE096C" w:rsidRDefault="00D50668" w:rsidP="00D45A46">
      <w:pPr>
        <w:shd w:val="clear" w:color="auto" w:fill="FFFFFF"/>
        <w:jc w:val="both"/>
        <w:rPr>
          <w:bCs/>
          <w:color w:val="002060"/>
          <w:sz w:val="16"/>
          <w:szCs w:val="16"/>
        </w:rPr>
      </w:pPr>
      <w:r w:rsidRPr="00DE096C">
        <w:rPr>
          <w:bCs/>
          <w:color w:val="002060"/>
          <w:sz w:val="16"/>
          <w:szCs w:val="16"/>
        </w:rPr>
        <w:t>В августе-октябре 1914 г. в первые три месяца войны воздушные силы России потеряли, главным образом в результате аварий, значительную часть со</w:t>
      </w:r>
      <w:r w:rsidRPr="00DE096C">
        <w:rPr>
          <w:bCs/>
          <w:color w:val="002060"/>
          <w:sz w:val="16"/>
          <w:szCs w:val="16"/>
        </w:rPr>
        <w:softHyphen/>
        <w:t>стоявших на вооружении самолетов. Основными причинами ава</w:t>
      </w:r>
      <w:r w:rsidRPr="00DE096C">
        <w:rPr>
          <w:bCs/>
          <w:color w:val="002060"/>
          <w:sz w:val="16"/>
          <w:szCs w:val="16"/>
        </w:rPr>
        <w:softHyphen/>
        <w:t>рий были несовершенство материальной части и неопытность лет</w:t>
      </w:r>
      <w:r w:rsidRPr="00DE096C">
        <w:rPr>
          <w:bCs/>
          <w:color w:val="002060"/>
          <w:sz w:val="16"/>
          <w:szCs w:val="16"/>
        </w:rPr>
        <w:softHyphen/>
        <w:t>ного состава (9705,102).</w:t>
      </w:r>
    </w:p>
    <w:p w14:paraId="752B4BFB" w14:textId="77777777" w:rsidR="00D50668" w:rsidRPr="00DE096C" w:rsidRDefault="00D50668" w:rsidP="00D45A46">
      <w:pPr>
        <w:shd w:val="clear" w:color="auto" w:fill="FFFFFF"/>
        <w:jc w:val="both"/>
        <w:rPr>
          <w:bCs/>
          <w:color w:val="002060"/>
          <w:sz w:val="16"/>
          <w:szCs w:val="16"/>
        </w:rPr>
      </w:pPr>
      <w:r w:rsidRPr="00DE096C">
        <w:rPr>
          <w:bCs/>
          <w:color w:val="002060"/>
          <w:sz w:val="16"/>
          <w:szCs w:val="16"/>
        </w:rPr>
        <w:t>Для сохранения боеспособности авиаотрядов ГВТУ сделало крупные заказы авиационным заводам. Однако типы самолетов не были установлены. По словам А. Ф. Половцева, «...брались первые попавшиеся типы летательных машин, большей частью отживших французских типов, бросались от моноплана к бипла</w:t>
      </w:r>
      <w:r w:rsidRPr="00DE096C">
        <w:rPr>
          <w:bCs/>
          <w:color w:val="002060"/>
          <w:sz w:val="16"/>
          <w:szCs w:val="16"/>
        </w:rPr>
        <w:softHyphen/>
        <w:t>нам, учили, переучивали и постепенно отставали в деле авиа</w:t>
      </w:r>
      <w:r w:rsidRPr="00DE096C">
        <w:rPr>
          <w:bCs/>
          <w:color w:val="002060"/>
          <w:sz w:val="16"/>
          <w:szCs w:val="16"/>
        </w:rPr>
        <w:softHyphen/>
        <w:t>ции» * (9705,103).</w:t>
      </w:r>
    </w:p>
    <w:p w14:paraId="190ECB74" w14:textId="77777777" w:rsidR="00D50668" w:rsidRPr="00DE096C" w:rsidRDefault="00D50668" w:rsidP="00D45A46">
      <w:pPr>
        <w:shd w:val="clear" w:color="auto" w:fill="FFFFFF"/>
        <w:jc w:val="both"/>
        <w:rPr>
          <w:bCs/>
          <w:color w:val="002060"/>
          <w:sz w:val="16"/>
          <w:szCs w:val="16"/>
        </w:rPr>
      </w:pPr>
      <w:r w:rsidRPr="00DE096C">
        <w:rPr>
          <w:bCs/>
          <w:color w:val="002060"/>
          <w:sz w:val="16"/>
          <w:szCs w:val="16"/>
        </w:rPr>
        <w:t>Русским заводам были заказаны самолеты типа «Вуазен» с двигателями «Сальмсон» мощностью 130 л. с., а затем 140— 150 л. с. и типа «Моран» с двигателями «Рон» мощностью 80 л. с. Такого же типа самолеты военное ведомство заказало и фран</w:t>
      </w:r>
      <w:r w:rsidRPr="00DE096C">
        <w:rPr>
          <w:bCs/>
          <w:color w:val="002060"/>
          <w:sz w:val="16"/>
          <w:szCs w:val="16"/>
        </w:rPr>
        <w:softHyphen/>
        <w:t>цузским фирмам. Но освоение производства этих самолетов затя</w:t>
      </w:r>
      <w:r w:rsidRPr="00DE096C">
        <w:rPr>
          <w:bCs/>
          <w:color w:val="002060"/>
          <w:sz w:val="16"/>
          <w:szCs w:val="16"/>
        </w:rPr>
        <w:softHyphen/>
        <w:t>нулось, и к началу войны в русской авиации насчитывалось только несколько таких машин (9705,103).</w:t>
      </w:r>
    </w:p>
    <w:p w14:paraId="679FF0F0" w14:textId="77777777" w:rsidR="00D50668" w:rsidRPr="00DE096C" w:rsidRDefault="00D50668" w:rsidP="00D45A46">
      <w:pPr>
        <w:shd w:val="clear" w:color="auto" w:fill="FFFFFF"/>
        <w:jc w:val="both"/>
        <w:rPr>
          <w:bCs/>
          <w:color w:val="002060"/>
          <w:sz w:val="16"/>
          <w:szCs w:val="16"/>
        </w:rPr>
      </w:pPr>
      <w:r w:rsidRPr="00DE096C">
        <w:rPr>
          <w:bCs/>
          <w:color w:val="002060"/>
          <w:sz w:val="16"/>
          <w:szCs w:val="16"/>
        </w:rPr>
        <w:t>Между тем требования фронта к самолетам непрерывно росли. В результате этого прежние типы самолетов в течение первого года войны были заменены новыми, более совершенными.</w:t>
      </w:r>
    </w:p>
    <w:p w14:paraId="7DEB122F" w14:textId="77777777" w:rsidR="00D50668" w:rsidRPr="00DE096C" w:rsidRDefault="00D50668" w:rsidP="00D45A46">
      <w:pPr>
        <w:shd w:val="clear" w:color="auto" w:fill="FFFFFF"/>
        <w:jc w:val="both"/>
        <w:rPr>
          <w:bCs/>
          <w:color w:val="002060"/>
          <w:sz w:val="16"/>
          <w:szCs w:val="16"/>
        </w:rPr>
      </w:pPr>
      <w:r w:rsidRPr="00DE096C">
        <w:rPr>
          <w:bCs/>
          <w:color w:val="002060"/>
          <w:sz w:val="16"/>
          <w:szCs w:val="16"/>
        </w:rPr>
        <w:t>Только один «Моран», имевший площадь крыльев 14 м</w:t>
      </w:r>
      <w:r w:rsidRPr="00DE096C">
        <w:rPr>
          <w:bCs/>
          <w:color w:val="002060"/>
          <w:sz w:val="16"/>
          <w:szCs w:val="16"/>
          <w:vertAlign w:val="superscript"/>
        </w:rPr>
        <w:t>2</w:t>
      </w:r>
      <w:r w:rsidRPr="00DE096C">
        <w:rPr>
          <w:bCs/>
          <w:color w:val="002060"/>
          <w:sz w:val="16"/>
          <w:szCs w:val="16"/>
        </w:rPr>
        <w:t>, был одноместным. Все осталь</w:t>
      </w:r>
      <w:r w:rsidRPr="00DE096C">
        <w:rPr>
          <w:bCs/>
          <w:color w:val="002060"/>
          <w:sz w:val="16"/>
          <w:szCs w:val="16"/>
        </w:rPr>
        <w:softHyphen/>
        <w:t>ные машины были двухместными. Самолеты «Моран» имели слож</w:t>
      </w:r>
      <w:r w:rsidRPr="00DE096C">
        <w:rPr>
          <w:bCs/>
          <w:color w:val="002060"/>
          <w:sz w:val="16"/>
          <w:szCs w:val="16"/>
        </w:rPr>
        <w:softHyphen/>
        <w:t>ное управление, киль у них отсутствовал, что сказывалось на устойчивости пути, аэродинамика машины оставляла желать лучшего. «Моран» был монопланом с тонким профилем крыла, расчаленным сверху и снизу проволокой, что сильно сказывалось на скорости машины. Несмотря на то, что эти самолеты по своим летным качествам стояли несравненно выше самолетов образца 1914 г., уже к концу 1915 г. они перестали соответствовать дости</w:t>
      </w:r>
      <w:r w:rsidRPr="00DE096C">
        <w:rPr>
          <w:bCs/>
          <w:color w:val="002060"/>
          <w:sz w:val="16"/>
          <w:szCs w:val="16"/>
        </w:rPr>
        <w:softHyphen/>
        <w:t>жениям авиационной техники. За границей стали переходить от самолетов с толкающими винтами к одноместным бипланам с тя</w:t>
      </w:r>
      <w:r w:rsidRPr="00DE096C">
        <w:rPr>
          <w:bCs/>
          <w:color w:val="002060"/>
          <w:sz w:val="16"/>
          <w:szCs w:val="16"/>
        </w:rPr>
        <w:softHyphen/>
        <w:t>нущим винтом. Это диктовалось появлением истребителей. Пол</w:t>
      </w:r>
      <w:r w:rsidRPr="00DE096C">
        <w:rPr>
          <w:bCs/>
          <w:color w:val="002060"/>
          <w:sz w:val="16"/>
          <w:szCs w:val="16"/>
        </w:rPr>
        <w:softHyphen/>
        <w:t>ное признание получил самолет с двигателем впереди и тянущим винтом (9705,104).</w:t>
      </w:r>
    </w:p>
    <w:p w14:paraId="3E257D9A" w14:textId="77777777" w:rsidR="00D50668" w:rsidRPr="00DE096C" w:rsidRDefault="00D50668" w:rsidP="00D45A46">
      <w:pPr>
        <w:shd w:val="clear" w:color="auto" w:fill="FFFFFF"/>
        <w:jc w:val="both"/>
        <w:rPr>
          <w:bCs/>
          <w:color w:val="002060"/>
          <w:sz w:val="16"/>
          <w:szCs w:val="16"/>
        </w:rPr>
      </w:pPr>
      <w:r w:rsidRPr="00DE096C">
        <w:rPr>
          <w:bCs/>
          <w:color w:val="002060"/>
          <w:sz w:val="16"/>
          <w:szCs w:val="16"/>
        </w:rPr>
        <w:t>Конструкторы одноместных истребителей почти повсеместно перешли от системы моноплана к биплану. Биплан при равной несущей поверхности и грузоподъемности имел лучшую маневрен</w:t>
      </w:r>
      <w:r w:rsidRPr="00DE096C">
        <w:rPr>
          <w:bCs/>
          <w:color w:val="002060"/>
          <w:sz w:val="16"/>
          <w:szCs w:val="16"/>
        </w:rPr>
        <w:softHyphen/>
        <w:t>ность и обладал большей прочностью (9705,104).</w:t>
      </w:r>
    </w:p>
    <w:p w14:paraId="3F503F68" w14:textId="77777777" w:rsidR="00D50668" w:rsidRPr="00DE096C" w:rsidRDefault="00D50668" w:rsidP="00D45A46">
      <w:pPr>
        <w:shd w:val="clear" w:color="auto" w:fill="FFFFFF"/>
        <w:jc w:val="both"/>
        <w:rPr>
          <w:bCs/>
          <w:color w:val="002060"/>
          <w:sz w:val="16"/>
          <w:szCs w:val="16"/>
        </w:rPr>
      </w:pPr>
      <w:r w:rsidRPr="00DE096C">
        <w:rPr>
          <w:bCs/>
          <w:color w:val="002060"/>
          <w:sz w:val="16"/>
          <w:szCs w:val="16"/>
        </w:rPr>
        <w:t>Французу Деляжу удалось создать полутораплан «Ньюпор» с оригинальными крыльями небольшого размаха — узкое нижнее и широкое верхнее крылья скреплялись одной У-образной стой</w:t>
      </w:r>
      <w:r w:rsidRPr="00DE096C">
        <w:rPr>
          <w:bCs/>
          <w:color w:val="002060"/>
          <w:sz w:val="16"/>
          <w:szCs w:val="16"/>
        </w:rPr>
        <w:softHyphen/>
        <w:t>кой. Получалась машина с хорошим обзором и сравнительно небольшим сопротивлением (9705,104).</w:t>
      </w:r>
    </w:p>
    <w:p w14:paraId="049D570C" w14:textId="77777777" w:rsidR="00D50668" w:rsidRPr="00DE096C" w:rsidRDefault="00D50668" w:rsidP="00D45A46">
      <w:pPr>
        <w:shd w:val="clear" w:color="auto" w:fill="FFFFFF"/>
        <w:jc w:val="both"/>
        <w:rPr>
          <w:bCs/>
          <w:color w:val="002060"/>
          <w:sz w:val="16"/>
          <w:szCs w:val="16"/>
        </w:rPr>
      </w:pPr>
      <w:r w:rsidRPr="00DE096C">
        <w:rPr>
          <w:bCs/>
          <w:color w:val="002060"/>
          <w:sz w:val="16"/>
          <w:szCs w:val="16"/>
        </w:rPr>
        <w:t>«Ньюпор-11» и «-17», с несущей поверхностью 16 м</w:t>
      </w:r>
      <w:r w:rsidRPr="00DE096C">
        <w:rPr>
          <w:bCs/>
          <w:color w:val="002060"/>
          <w:sz w:val="16"/>
          <w:szCs w:val="16"/>
          <w:vertAlign w:val="superscript"/>
        </w:rPr>
        <w:t>г</w:t>
      </w:r>
      <w:r w:rsidRPr="00DE096C">
        <w:rPr>
          <w:bCs/>
          <w:color w:val="002060"/>
          <w:sz w:val="16"/>
          <w:szCs w:val="16"/>
        </w:rPr>
        <w:t xml:space="preserve"> и двига</w:t>
      </w:r>
      <w:r w:rsidRPr="00DE096C">
        <w:rPr>
          <w:bCs/>
          <w:color w:val="002060"/>
          <w:sz w:val="16"/>
          <w:szCs w:val="16"/>
        </w:rPr>
        <w:softHyphen/>
        <w:t>телем «Рон» мощностью ПО л. с. стали особенно популярными на фронте в качестве одноместного истребителя. На вооружение французской авиации были также приняты истребители моно-планного типа. Самолет «Моран-Сольнье» с двигателем «Рон» мощностью ПО л. с., имея полезную нагрузку 160 кг, показал ско</w:t>
      </w:r>
      <w:r w:rsidRPr="00DE096C">
        <w:rPr>
          <w:bCs/>
          <w:color w:val="002060"/>
          <w:sz w:val="16"/>
          <w:szCs w:val="16"/>
        </w:rPr>
        <w:softHyphen/>
        <w:t>рость полета 170 км/ч. Кроме этих машин, союзники распола</w:t>
      </w:r>
      <w:r w:rsidRPr="00DE096C">
        <w:rPr>
          <w:bCs/>
          <w:color w:val="002060"/>
          <w:sz w:val="16"/>
          <w:szCs w:val="16"/>
        </w:rPr>
        <w:softHyphen/>
        <w:t>гали неплохими боевыми самолетами «Фарман-40», «Спад» с дви</w:t>
      </w:r>
      <w:r w:rsidRPr="00DE096C">
        <w:rPr>
          <w:bCs/>
          <w:color w:val="002060"/>
          <w:sz w:val="16"/>
          <w:szCs w:val="16"/>
        </w:rPr>
        <w:softHyphen/>
        <w:t>гателями «Рено», «Сопвич» с двигателем «Клерже» мощностью 130 л. с., «Кодрон» и др.'Эти самолеты развивали скорость гори</w:t>
      </w:r>
      <w:r w:rsidRPr="00DE096C">
        <w:rPr>
          <w:bCs/>
          <w:color w:val="002060"/>
          <w:sz w:val="16"/>
          <w:szCs w:val="16"/>
        </w:rPr>
        <w:softHyphen/>
        <w:t>зонтального полета до 170 км/ч (9705,104).</w:t>
      </w:r>
    </w:p>
    <w:p w14:paraId="232107CE" w14:textId="77777777" w:rsidR="00D50668" w:rsidRPr="00DE096C" w:rsidRDefault="00D50668" w:rsidP="00D45A46">
      <w:pPr>
        <w:shd w:val="clear" w:color="auto" w:fill="FFFFFF"/>
        <w:jc w:val="both"/>
        <w:rPr>
          <w:bCs/>
          <w:color w:val="002060"/>
          <w:sz w:val="16"/>
          <w:szCs w:val="16"/>
        </w:rPr>
      </w:pPr>
    </w:p>
    <w:p w14:paraId="45353643" w14:textId="77777777" w:rsidR="00D50668" w:rsidRPr="00DE096C" w:rsidRDefault="00D50668" w:rsidP="00D45A46">
      <w:pPr>
        <w:shd w:val="clear" w:color="auto" w:fill="FFFFFF"/>
        <w:jc w:val="both"/>
        <w:rPr>
          <w:bCs/>
          <w:color w:val="002060"/>
          <w:sz w:val="16"/>
          <w:szCs w:val="16"/>
        </w:rPr>
      </w:pPr>
      <w:r w:rsidRPr="00DE096C">
        <w:rPr>
          <w:bCs/>
          <w:color w:val="002060"/>
          <w:sz w:val="16"/>
          <w:szCs w:val="16"/>
        </w:rPr>
        <w:t>В августе-октябре 1914 г. было осознано, что успех боевой работы в значительной степени зависит от снабже</w:t>
      </w:r>
      <w:r w:rsidRPr="00DE096C">
        <w:rPr>
          <w:bCs/>
          <w:color w:val="002060"/>
          <w:sz w:val="16"/>
          <w:szCs w:val="16"/>
        </w:rPr>
        <w:softHyphen/>
        <w:t>ния авиационных отрядов материальной частью (9705,79).</w:t>
      </w:r>
    </w:p>
    <w:p w14:paraId="256F8CAC" w14:textId="77777777" w:rsidR="00D50668" w:rsidRPr="00DE096C" w:rsidRDefault="00D50668" w:rsidP="00D45A46">
      <w:pPr>
        <w:shd w:val="clear" w:color="auto" w:fill="FFFFFF"/>
        <w:jc w:val="both"/>
        <w:rPr>
          <w:bCs/>
          <w:color w:val="002060"/>
          <w:sz w:val="16"/>
          <w:szCs w:val="16"/>
        </w:rPr>
      </w:pPr>
      <w:r w:rsidRPr="00DE096C">
        <w:rPr>
          <w:bCs/>
          <w:color w:val="002060"/>
          <w:sz w:val="16"/>
          <w:szCs w:val="16"/>
        </w:rPr>
        <w:t>Качество мате</w:t>
      </w:r>
      <w:r w:rsidRPr="00DE096C">
        <w:rPr>
          <w:bCs/>
          <w:color w:val="002060"/>
          <w:sz w:val="16"/>
          <w:szCs w:val="16"/>
        </w:rPr>
        <w:softHyphen/>
        <w:t>риальной части определяется степенью совершенства поступа</w:t>
      </w:r>
      <w:r w:rsidRPr="00DE096C">
        <w:rPr>
          <w:bCs/>
          <w:color w:val="002060"/>
          <w:sz w:val="16"/>
          <w:szCs w:val="16"/>
        </w:rPr>
        <w:softHyphen/>
        <w:t>ющих на вооружение самолетов, их обеспеченностью запасными частями, умением организовывать эксплуатацию и ремонт тех</w:t>
      </w:r>
      <w:r w:rsidRPr="00DE096C">
        <w:rPr>
          <w:bCs/>
          <w:color w:val="002060"/>
          <w:sz w:val="16"/>
          <w:szCs w:val="16"/>
        </w:rPr>
        <w:softHyphen/>
        <w:t>ники в условиях фронта (9705,79).</w:t>
      </w:r>
    </w:p>
    <w:p w14:paraId="43745E47" w14:textId="77777777" w:rsidR="00D50668" w:rsidRPr="00DE096C" w:rsidRDefault="00D50668" w:rsidP="00D45A46">
      <w:pPr>
        <w:shd w:val="clear" w:color="auto" w:fill="FFFFFF"/>
        <w:jc w:val="both"/>
        <w:rPr>
          <w:bCs/>
          <w:color w:val="002060"/>
          <w:sz w:val="16"/>
          <w:szCs w:val="16"/>
        </w:rPr>
      </w:pPr>
      <w:r w:rsidRPr="00DE096C">
        <w:rPr>
          <w:bCs/>
          <w:color w:val="002060"/>
          <w:sz w:val="16"/>
          <w:szCs w:val="16"/>
        </w:rPr>
        <w:t>Важнейшее значение имеет и количество имеющихся в наличии самолетов, так как при их нехватке нельзя правильно организовать их использование и ремонт (9705,79).</w:t>
      </w:r>
    </w:p>
    <w:p w14:paraId="6251A1AF" w14:textId="77777777" w:rsidR="00D50668" w:rsidRPr="00DE096C" w:rsidRDefault="00D50668" w:rsidP="00D45A46">
      <w:pPr>
        <w:shd w:val="clear" w:color="auto" w:fill="FFFFFF"/>
        <w:jc w:val="both"/>
        <w:rPr>
          <w:bCs/>
          <w:color w:val="002060"/>
          <w:sz w:val="16"/>
          <w:szCs w:val="16"/>
        </w:rPr>
      </w:pPr>
    </w:p>
    <w:p w14:paraId="70B492E2" w14:textId="77777777" w:rsidR="00D50668" w:rsidRPr="00DE096C" w:rsidRDefault="00D50668" w:rsidP="00D45A46">
      <w:pPr>
        <w:shd w:val="clear" w:color="auto" w:fill="FFFFFF"/>
        <w:jc w:val="both"/>
        <w:rPr>
          <w:bCs/>
          <w:color w:val="002060"/>
          <w:sz w:val="16"/>
          <w:szCs w:val="16"/>
        </w:rPr>
      </w:pPr>
      <w:r w:rsidRPr="00DE096C">
        <w:rPr>
          <w:bCs/>
          <w:color w:val="002060"/>
          <w:sz w:val="16"/>
          <w:szCs w:val="16"/>
        </w:rPr>
        <w:t>С августа октября 1914 г. в начале войны все авиационные от</w:t>
      </w:r>
      <w:r w:rsidRPr="00DE096C">
        <w:rPr>
          <w:bCs/>
          <w:color w:val="002060"/>
          <w:sz w:val="16"/>
          <w:szCs w:val="16"/>
        </w:rPr>
        <w:softHyphen/>
        <w:t>ряды были приданы корпусам и армиям и каждый отряд в от</w:t>
      </w:r>
      <w:r w:rsidRPr="00DE096C">
        <w:rPr>
          <w:bCs/>
          <w:color w:val="002060"/>
          <w:sz w:val="16"/>
          <w:szCs w:val="16"/>
        </w:rPr>
        <w:softHyphen/>
        <w:t>дельности подчинялся генерал-квартирмейстеру штаба того соеди</w:t>
      </w:r>
      <w:r w:rsidRPr="00DE096C">
        <w:rPr>
          <w:bCs/>
          <w:color w:val="002060"/>
          <w:sz w:val="16"/>
          <w:szCs w:val="16"/>
        </w:rPr>
        <w:softHyphen/>
        <w:t>нения, которому он был придан. Никаких специальных органов по управлению авиацией в масштабе корпус — армия — фронт не су</w:t>
      </w:r>
      <w:r w:rsidRPr="00DE096C">
        <w:rPr>
          <w:bCs/>
          <w:color w:val="002060"/>
          <w:sz w:val="16"/>
          <w:szCs w:val="16"/>
        </w:rPr>
        <w:softHyphen/>
        <w:t>ществовало.</w:t>
      </w:r>
    </w:p>
    <w:p w14:paraId="5A73DFE9" w14:textId="77777777" w:rsidR="00D50668" w:rsidRPr="00DE096C" w:rsidRDefault="00D50668" w:rsidP="00D45A46">
      <w:pPr>
        <w:shd w:val="clear" w:color="auto" w:fill="FFFFFF"/>
        <w:jc w:val="both"/>
        <w:rPr>
          <w:bCs/>
          <w:color w:val="002060"/>
          <w:sz w:val="16"/>
          <w:szCs w:val="16"/>
        </w:rPr>
      </w:pPr>
      <w:r w:rsidRPr="00DE096C">
        <w:rPr>
          <w:bCs/>
          <w:color w:val="002060"/>
          <w:sz w:val="16"/>
          <w:szCs w:val="16"/>
        </w:rPr>
        <w:lastRenderedPageBreak/>
        <w:t>Для общего руководства авиацией и воздухоплаванием в рус</w:t>
      </w:r>
      <w:r w:rsidRPr="00DE096C">
        <w:rPr>
          <w:bCs/>
          <w:color w:val="002060"/>
          <w:sz w:val="16"/>
          <w:szCs w:val="16"/>
        </w:rPr>
        <w:softHyphen/>
        <w:t>ской армии была учреждена должность заведующего авиацией и воздухоплаванием с отдельным управлением при нем. Назначен</w:t>
      </w:r>
      <w:r w:rsidRPr="00DE096C">
        <w:rPr>
          <w:bCs/>
          <w:color w:val="002060"/>
          <w:sz w:val="16"/>
          <w:szCs w:val="16"/>
        </w:rPr>
        <w:softHyphen/>
        <w:t>ный на эту должность один из членов царской фамилии зани</w:t>
      </w:r>
      <w:r w:rsidRPr="00DE096C">
        <w:rPr>
          <w:bCs/>
          <w:color w:val="002060"/>
          <w:sz w:val="16"/>
          <w:szCs w:val="16"/>
        </w:rPr>
        <w:softHyphen/>
        <w:t>мался главным образом вопросами обеспечения авиационных от</w:t>
      </w:r>
      <w:r w:rsidRPr="00DE096C">
        <w:rPr>
          <w:bCs/>
          <w:color w:val="002060"/>
          <w:sz w:val="16"/>
          <w:szCs w:val="16"/>
        </w:rPr>
        <w:softHyphen/>
        <w:t>рядов материальной частью и кадрами, организационными вопро</w:t>
      </w:r>
      <w:r w:rsidRPr="00DE096C">
        <w:rPr>
          <w:bCs/>
          <w:color w:val="002060"/>
          <w:sz w:val="16"/>
          <w:szCs w:val="16"/>
        </w:rPr>
        <w:softHyphen/>
        <w:t>сами, учетом боевой деятельности авиации и т. п.</w:t>
      </w:r>
    </w:p>
    <w:p w14:paraId="2A61D892" w14:textId="77777777" w:rsidR="00D50668" w:rsidRPr="00DE096C" w:rsidRDefault="00D50668" w:rsidP="00D45A46">
      <w:pPr>
        <w:shd w:val="clear" w:color="auto" w:fill="FFFFFF"/>
        <w:jc w:val="both"/>
        <w:rPr>
          <w:bCs/>
          <w:color w:val="002060"/>
          <w:sz w:val="16"/>
          <w:szCs w:val="16"/>
        </w:rPr>
      </w:pPr>
      <w:r w:rsidRPr="00DE096C">
        <w:rPr>
          <w:bCs/>
          <w:color w:val="002060"/>
          <w:sz w:val="16"/>
          <w:szCs w:val="16"/>
        </w:rPr>
        <w:t>Первый боевой опыт показал, что система подчинения авиа</w:t>
      </w:r>
      <w:r w:rsidRPr="00DE096C">
        <w:rPr>
          <w:bCs/>
          <w:color w:val="002060"/>
          <w:sz w:val="16"/>
          <w:szCs w:val="16"/>
        </w:rPr>
        <w:softHyphen/>
        <w:t>ционных отрядов штабам корпусов и армий не оправдала себя. Нужны были специальные органы управления, которые пла</w:t>
      </w:r>
      <w:r w:rsidRPr="00DE096C">
        <w:rPr>
          <w:bCs/>
          <w:color w:val="002060"/>
          <w:sz w:val="16"/>
          <w:szCs w:val="16"/>
        </w:rPr>
        <w:softHyphen/>
        <w:t>нировали бы боевые действия авиации в масштабах армии, на</w:t>
      </w:r>
      <w:r w:rsidRPr="00DE096C">
        <w:rPr>
          <w:bCs/>
          <w:color w:val="002060"/>
          <w:sz w:val="16"/>
          <w:szCs w:val="16"/>
        </w:rPr>
        <w:softHyphen/>
        <w:t>правляя все авиационные отряды на выполнение наиболее важ</w:t>
      </w:r>
      <w:r w:rsidRPr="00DE096C">
        <w:rPr>
          <w:bCs/>
          <w:color w:val="002060"/>
          <w:sz w:val="16"/>
          <w:szCs w:val="16"/>
        </w:rPr>
        <w:softHyphen/>
        <w:t>ных задач. Кроме того, распыленность авиационных отрядов за</w:t>
      </w:r>
      <w:r w:rsidRPr="00DE096C">
        <w:rPr>
          <w:bCs/>
          <w:color w:val="002060"/>
          <w:sz w:val="16"/>
          <w:szCs w:val="16"/>
        </w:rPr>
        <w:softHyphen/>
        <w:t>трудняла организацию их материально-технического обеспечения (278).</w:t>
      </w:r>
    </w:p>
    <w:p w14:paraId="06BE143C" w14:textId="77777777" w:rsidR="00D50668" w:rsidRPr="00DE096C" w:rsidRDefault="00D50668" w:rsidP="00D45A46">
      <w:pPr>
        <w:shd w:val="clear" w:color="auto" w:fill="FFFFFF"/>
        <w:jc w:val="both"/>
        <w:rPr>
          <w:bCs/>
          <w:color w:val="002060"/>
          <w:sz w:val="16"/>
          <w:szCs w:val="16"/>
        </w:rPr>
      </w:pPr>
    </w:p>
    <w:p w14:paraId="451B084E" w14:textId="77777777" w:rsidR="00D50668" w:rsidRPr="00DE096C" w:rsidRDefault="00D50668" w:rsidP="00D45A46">
      <w:pPr>
        <w:jc w:val="both"/>
        <w:rPr>
          <w:bCs/>
          <w:color w:val="002060"/>
          <w:sz w:val="16"/>
          <w:szCs w:val="16"/>
        </w:rPr>
      </w:pPr>
      <w:r w:rsidRPr="00DE096C">
        <w:rPr>
          <w:bCs/>
          <w:color w:val="002060"/>
          <w:sz w:val="16"/>
          <w:szCs w:val="16"/>
        </w:rPr>
        <w:t xml:space="preserve">С августа октября 1914 г. руководство действиями воздушных сил на уровне фронтового звена осуществляли заведующие авиацией и воздухоплаванием фронтов. Им подчинялись командиры авиадивизионов, истребительных групп и отдельных отрядов. При ставке Верховного Главнокомандующего авиацию Действующей армии курировал великий князь Александр Михайлович, стоящий во главе Авиационной канцелярии ("Авиаканц"). </w:t>
      </w:r>
    </w:p>
    <w:p w14:paraId="391A6F41" w14:textId="77777777" w:rsidR="00D50668" w:rsidRPr="00DE096C" w:rsidRDefault="00D50668" w:rsidP="00D45A46">
      <w:pPr>
        <w:shd w:val="clear" w:color="auto" w:fill="FFFFFF"/>
        <w:jc w:val="both"/>
        <w:rPr>
          <w:bCs/>
          <w:color w:val="002060"/>
          <w:sz w:val="16"/>
          <w:szCs w:val="16"/>
        </w:rPr>
      </w:pPr>
      <w:r w:rsidRPr="00DE096C">
        <w:rPr>
          <w:bCs/>
          <w:color w:val="002060"/>
          <w:sz w:val="16"/>
          <w:szCs w:val="16"/>
        </w:rPr>
        <w:t xml:space="preserve">Расплачиваться за все ошибки и промахи командования, за всю гниль царизма пришлось на фронте русским летчикам. </w:t>
      </w:r>
    </w:p>
    <w:p w14:paraId="462ADF10" w14:textId="77777777" w:rsidR="00D50668" w:rsidRPr="00DE096C" w:rsidRDefault="00D50668" w:rsidP="00D45A46">
      <w:pPr>
        <w:shd w:val="clear" w:color="auto" w:fill="FFFFFF"/>
        <w:jc w:val="both"/>
        <w:rPr>
          <w:bCs/>
          <w:color w:val="002060"/>
          <w:sz w:val="16"/>
          <w:szCs w:val="16"/>
        </w:rPr>
      </w:pPr>
    </w:p>
    <w:p w14:paraId="7D49505C" w14:textId="77777777" w:rsidR="00074460" w:rsidRPr="00B52707" w:rsidRDefault="00074460" w:rsidP="00074460">
      <w:pPr>
        <w:jc w:val="both"/>
        <w:rPr>
          <w:color w:val="0070C0"/>
          <w:sz w:val="16"/>
          <w:szCs w:val="16"/>
        </w:rPr>
      </w:pPr>
      <w:r w:rsidRPr="00B52707">
        <w:rPr>
          <w:color w:val="0070C0"/>
          <w:sz w:val="16"/>
          <w:szCs w:val="16"/>
        </w:rPr>
        <w:t>В августе-сентябре 1914 г. в боях за Львов командир русского XI корпусного авиаотряда штабс-капитан Петр Николаевич Нестеров так удачно бомбил укрепления, что австрияки назначили денежную награду тому, кто его собьет (25758).</w:t>
      </w:r>
    </w:p>
    <w:p w14:paraId="009CD9DA" w14:textId="77777777" w:rsidR="00074460" w:rsidRPr="00B52707" w:rsidRDefault="00074460" w:rsidP="00074460">
      <w:pPr>
        <w:jc w:val="both"/>
        <w:rPr>
          <w:color w:val="0070C0"/>
          <w:sz w:val="16"/>
          <w:szCs w:val="16"/>
        </w:rPr>
      </w:pPr>
    </w:p>
    <w:p w14:paraId="75BC4978" w14:textId="77777777" w:rsidR="00D50668" w:rsidRPr="00DE096C" w:rsidRDefault="00D50668" w:rsidP="00D45A46">
      <w:pPr>
        <w:shd w:val="clear" w:color="auto" w:fill="FFFFFF"/>
        <w:jc w:val="both"/>
        <w:rPr>
          <w:bCs/>
          <w:i/>
          <w:color w:val="002060"/>
          <w:sz w:val="16"/>
          <w:szCs w:val="16"/>
        </w:rPr>
      </w:pPr>
      <w:r w:rsidRPr="00DE096C">
        <w:rPr>
          <w:bCs/>
          <w:i/>
          <w:color w:val="002060"/>
          <w:sz w:val="16"/>
          <w:szCs w:val="16"/>
        </w:rPr>
        <w:t>Морская авиация:</w:t>
      </w:r>
    </w:p>
    <w:p w14:paraId="535B6692" w14:textId="77777777" w:rsidR="00D50668" w:rsidRPr="00DE096C" w:rsidRDefault="00D50668" w:rsidP="00D45A46">
      <w:pPr>
        <w:shd w:val="clear" w:color="auto" w:fill="FFFFFF"/>
        <w:jc w:val="both"/>
        <w:rPr>
          <w:bCs/>
          <w:i/>
          <w:color w:val="002060"/>
          <w:sz w:val="16"/>
          <w:szCs w:val="16"/>
        </w:rPr>
      </w:pPr>
    </w:p>
    <w:p w14:paraId="747AD11E" w14:textId="77777777" w:rsidR="00D50668" w:rsidRPr="00DE096C" w:rsidRDefault="00D50668" w:rsidP="00D45A46">
      <w:pPr>
        <w:shd w:val="clear" w:color="auto" w:fill="FFFFFF"/>
        <w:jc w:val="both"/>
        <w:rPr>
          <w:bCs/>
          <w:color w:val="002060"/>
          <w:sz w:val="16"/>
          <w:szCs w:val="16"/>
        </w:rPr>
      </w:pPr>
      <w:r w:rsidRPr="00DE096C">
        <w:rPr>
          <w:bCs/>
          <w:color w:val="002060"/>
          <w:sz w:val="16"/>
          <w:szCs w:val="16"/>
        </w:rPr>
        <w:t>В августе октябре 1914 г. еще в начале войны командующий Черноморским флотом А. Эбергард обратился к морскому министру И. Григоровичу с настоятельной просьбой о быстром увеличении сил авиации в главной базе. В частности, предложил создать на побережье между Константиновским и Михайловском фортами воздуш</w:t>
      </w:r>
      <w:r w:rsidRPr="00DE096C">
        <w:rPr>
          <w:bCs/>
          <w:color w:val="002060"/>
          <w:sz w:val="16"/>
          <w:szCs w:val="16"/>
        </w:rPr>
        <w:softHyphen/>
        <w:t>ную станцию «Бухта Нахимова» для обслуживания гидроаэ</w:t>
      </w:r>
      <w:r w:rsidRPr="00DE096C">
        <w:rPr>
          <w:bCs/>
          <w:color w:val="002060"/>
          <w:sz w:val="16"/>
          <w:szCs w:val="16"/>
        </w:rPr>
        <w:softHyphen/>
        <w:t>ропланов судовых авиаотрядов. В результате было разрешено использовать для этого кредит в сумме 116,7 тыс. руб., отпу</w:t>
      </w:r>
      <w:r w:rsidRPr="00DE096C">
        <w:rPr>
          <w:bCs/>
          <w:color w:val="002060"/>
          <w:sz w:val="16"/>
          <w:szCs w:val="16"/>
        </w:rPr>
        <w:softHyphen/>
        <w:t>щенный ранее на Керченскую станцию (11283).</w:t>
      </w:r>
    </w:p>
    <w:p w14:paraId="26B56330" w14:textId="77777777" w:rsidR="00D50668" w:rsidRPr="00DE096C" w:rsidRDefault="00D50668" w:rsidP="00D45A46">
      <w:pPr>
        <w:shd w:val="clear" w:color="auto" w:fill="FFFFFF"/>
        <w:jc w:val="both"/>
        <w:rPr>
          <w:bCs/>
          <w:color w:val="002060"/>
          <w:sz w:val="16"/>
          <w:szCs w:val="16"/>
        </w:rPr>
      </w:pPr>
    </w:p>
    <w:p w14:paraId="4192DFEF" w14:textId="77777777" w:rsidR="00904C62" w:rsidRPr="00B52707" w:rsidRDefault="00904C62" w:rsidP="00904C62">
      <w:pPr>
        <w:jc w:val="both"/>
        <w:rPr>
          <w:color w:val="0070C0"/>
          <w:sz w:val="16"/>
          <w:szCs w:val="16"/>
        </w:rPr>
      </w:pPr>
      <w:r w:rsidRPr="00B52707">
        <w:rPr>
          <w:rStyle w:val="ab"/>
          <w:rFonts w:ascii="Times New Roman" w:hAnsi="Times New Roman"/>
          <w:color w:val="0070C0"/>
          <w:spacing w:val="0"/>
          <w:sz w:val="16"/>
          <w:szCs w:val="16"/>
        </w:rPr>
        <w:t>В течение августа-сентября 1914 г. Я.II. Нагурский со</w:t>
      </w:r>
      <w:r w:rsidRPr="00B52707">
        <w:rPr>
          <w:rStyle w:val="ab"/>
          <w:rFonts w:ascii="Times New Roman" w:hAnsi="Times New Roman"/>
          <w:color w:val="0070C0"/>
          <w:spacing w:val="0"/>
          <w:sz w:val="16"/>
          <w:szCs w:val="16"/>
        </w:rPr>
        <w:softHyphen/>
        <w:t>вершил у западных берегов Новой Земли 10 полётов, налетав в общей сложности 11 часов 30 минут, во время которых он достигал на севере мыса Литке. А один из вылетов был сделан на северо-запад даже в открытое море, примерно на 100 километров от берегов Новой Земли. Вместе с ним, помимо Е.В. Кузнецова, поднимались в воздух капитан судна «Андромеда» Г.Н. Поспелов и несколько матросов. Всего Я.И.Нагурский преодолел на «Фармане» около 1100 километров па высотах от 800 до 1200 метров. Он не ставил никаких рекордов, а просто добросовестнейшим образом выполнял порученное ему ответственное и неординарное задание и в короткий срок сумел «акклиматизироваться» в непривычных арктических условиях.</w:t>
      </w:r>
    </w:p>
    <w:p w14:paraId="3AA5A892" w14:textId="77777777" w:rsidR="00904C62" w:rsidRPr="00B52707" w:rsidRDefault="00904C62" w:rsidP="00904C62">
      <w:pPr>
        <w:jc w:val="both"/>
        <w:rPr>
          <w:color w:val="0070C0"/>
          <w:sz w:val="16"/>
          <w:szCs w:val="16"/>
        </w:rPr>
      </w:pPr>
      <w:r w:rsidRPr="00B52707">
        <w:rPr>
          <w:rStyle w:val="ab"/>
          <w:rFonts w:ascii="Times New Roman" w:hAnsi="Times New Roman"/>
          <w:color w:val="0070C0"/>
          <w:spacing w:val="0"/>
          <w:sz w:val="16"/>
          <w:szCs w:val="16"/>
        </w:rPr>
        <w:t>В ходе полётов отважному первооткрывателю высоких воздушных широт удалось обнаружить на одной из стоянок металлическую трубу, составленную из пустых консервных банок, в которой оказался рапорт Г.Я. Седова в Морское министерство. В нём мужественный руководитель поляр</w:t>
      </w:r>
      <w:r w:rsidRPr="00B52707">
        <w:rPr>
          <w:rStyle w:val="ab"/>
          <w:rFonts w:ascii="Times New Roman" w:hAnsi="Times New Roman"/>
          <w:color w:val="0070C0"/>
          <w:spacing w:val="0"/>
          <w:sz w:val="16"/>
          <w:szCs w:val="16"/>
        </w:rPr>
        <w:softHyphen/>
        <w:t>ной экспедиции сообщал, что из-за сложнейших ледовых условий он не смог на своем судне подобраться к Земле Франца-Иосифа и, оставив его в 15 километрах к югу от острова Панкратьева, с частью экипажа перешел в избушку па зимовку, приказав остальным следить за сохранностью «Фоки». К рапорту прилагался и дневник экспедиции (25653).</w:t>
      </w:r>
    </w:p>
    <w:p w14:paraId="0040AD3A" w14:textId="77777777" w:rsidR="00904C62" w:rsidRPr="00B52707" w:rsidRDefault="00904C62" w:rsidP="00904C62">
      <w:pPr>
        <w:jc w:val="both"/>
        <w:rPr>
          <w:color w:val="0070C0"/>
          <w:sz w:val="16"/>
          <w:szCs w:val="16"/>
        </w:rPr>
      </w:pPr>
    </w:p>
    <w:p w14:paraId="17AAE282" w14:textId="77777777" w:rsidR="00D50668" w:rsidRPr="00DE096C" w:rsidRDefault="00D50668" w:rsidP="00D45A46">
      <w:pPr>
        <w:shd w:val="clear" w:color="auto" w:fill="FFFFFF"/>
        <w:jc w:val="both"/>
        <w:rPr>
          <w:bCs/>
          <w:i/>
          <w:color w:val="002060"/>
          <w:sz w:val="16"/>
          <w:szCs w:val="16"/>
        </w:rPr>
      </w:pPr>
      <w:r w:rsidRPr="00DE096C">
        <w:rPr>
          <w:bCs/>
          <w:i/>
          <w:color w:val="002060"/>
          <w:sz w:val="16"/>
          <w:szCs w:val="16"/>
        </w:rPr>
        <w:t>Военное воздухоплавание:</w:t>
      </w:r>
    </w:p>
    <w:p w14:paraId="11C0664D" w14:textId="77777777" w:rsidR="00D50668" w:rsidRPr="00DE096C" w:rsidRDefault="00D50668" w:rsidP="00D45A46">
      <w:pPr>
        <w:shd w:val="clear" w:color="auto" w:fill="FFFFFF"/>
        <w:jc w:val="both"/>
        <w:rPr>
          <w:bCs/>
          <w:i/>
          <w:color w:val="002060"/>
          <w:sz w:val="16"/>
          <w:szCs w:val="16"/>
        </w:rPr>
      </w:pPr>
    </w:p>
    <w:p w14:paraId="1D215FFB" w14:textId="77777777" w:rsidR="00D50668" w:rsidRPr="00DE096C" w:rsidRDefault="00D50668" w:rsidP="00D45A46">
      <w:pPr>
        <w:jc w:val="both"/>
        <w:rPr>
          <w:bCs/>
          <w:color w:val="002060"/>
          <w:sz w:val="16"/>
          <w:szCs w:val="16"/>
        </w:rPr>
      </w:pPr>
      <w:r w:rsidRPr="00DE096C">
        <w:rPr>
          <w:bCs/>
          <w:color w:val="002060"/>
          <w:sz w:val="16"/>
          <w:szCs w:val="16"/>
        </w:rPr>
        <w:t xml:space="preserve">С августа октября 1914 г. с началом Первой мировой войны перспективный план развития управляемого воздухоплавания осуществлен не был; малопригодные для ведения боевых действий (по существу, учебные) управляемые аэростаты (дирижабли), в основном находившиеся в крепостях, действовали только в первый год войны. Однако и на этих дирижаблях отважные русские военные воздухоплаватели, проявляя [45] героизм, добывали важные сведения о противнике, а также производили налеты на его тыловые объекты и сбрасывали бомбы. </w:t>
      </w:r>
    </w:p>
    <w:p w14:paraId="246BE904" w14:textId="77777777" w:rsidR="00D50668" w:rsidRPr="00DE096C" w:rsidRDefault="00D50668" w:rsidP="00D45A46">
      <w:pPr>
        <w:jc w:val="both"/>
        <w:rPr>
          <w:bCs/>
          <w:color w:val="002060"/>
          <w:sz w:val="16"/>
          <w:szCs w:val="16"/>
        </w:rPr>
      </w:pPr>
      <w:r w:rsidRPr="00DE096C">
        <w:rPr>
          <w:bCs/>
          <w:color w:val="002060"/>
          <w:sz w:val="16"/>
          <w:szCs w:val="16"/>
        </w:rPr>
        <w:t xml:space="preserve">Падение в первый год Первой мировой войны русских крепостей с базами, обеспечивавшими боевые действия дирижаблей, и отсутствие второй линии баз свели в дальнейшем боевую деятельность военных воздухоплавателей только к работе на привязных змейковых аэростатах, приспособленных к условиям маневренной войны. </w:t>
      </w:r>
    </w:p>
    <w:p w14:paraId="5AD70735" w14:textId="77777777" w:rsidR="00D50668" w:rsidRPr="00DE096C" w:rsidRDefault="00D50668" w:rsidP="00D45A46">
      <w:pPr>
        <w:jc w:val="both"/>
        <w:rPr>
          <w:bCs/>
          <w:color w:val="002060"/>
          <w:sz w:val="16"/>
          <w:szCs w:val="16"/>
        </w:rPr>
      </w:pPr>
      <w:r w:rsidRPr="00DE096C">
        <w:rPr>
          <w:bCs/>
          <w:color w:val="002060"/>
          <w:sz w:val="16"/>
          <w:szCs w:val="16"/>
        </w:rPr>
        <w:t>Причиной этого было также и то, что на фронте для целей воздушной разведки уже применялись самолеты, и доказанная на опыте Русско-японской войны польза привязных аэростатов при ведении разведки противника и при корректировании стрельбы артиллерии военными руководителями в начале войны 1914 года снова была поставлена под сомнение (11334).</w:t>
      </w:r>
    </w:p>
    <w:p w14:paraId="063C6468" w14:textId="77777777" w:rsidR="00D50668" w:rsidRPr="00DE096C" w:rsidRDefault="00D50668" w:rsidP="00D45A46">
      <w:pPr>
        <w:shd w:val="clear" w:color="auto" w:fill="FFFFFF"/>
        <w:jc w:val="both"/>
        <w:rPr>
          <w:bCs/>
          <w:i/>
          <w:color w:val="002060"/>
          <w:sz w:val="16"/>
          <w:szCs w:val="16"/>
        </w:rPr>
      </w:pPr>
    </w:p>
    <w:p w14:paraId="55E4AFB0" w14:textId="77777777" w:rsidR="00D50668" w:rsidRPr="00DE096C" w:rsidRDefault="00D50668" w:rsidP="00D45A46">
      <w:pPr>
        <w:shd w:val="clear" w:color="auto" w:fill="FFFFFF"/>
        <w:jc w:val="both"/>
        <w:rPr>
          <w:bCs/>
          <w:color w:val="002060"/>
          <w:sz w:val="16"/>
          <w:szCs w:val="16"/>
        </w:rPr>
      </w:pPr>
      <w:r w:rsidRPr="00DE096C">
        <w:rPr>
          <w:bCs/>
          <w:color w:val="002060"/>
          <w:sz w:val="16"/>
          <w:szCs w:val="16"/>
        </w:rPr>
        <w:t>С августа октября 1914 г. с началом первой мировой войны боевая дея</w:t>
      </w:r>
      <w:r w:rsidRPr="00DE096C">
        <w:rPr>
          <w:bCs/>
          <w:color w:val="002060"/>
          <w:sz w:val="16"/>
          <w:szCs w:val="16"/>
        </w:rPr>
        <w:softHyphen/>
        <w:t>тельность военных воздухоплавателей развернулась в двух направлениях: ведение разведки в прифронто</w:t>
      </w:r>
      <w:r w:rsidRPr="00DE096C">
        <w:rPr>
          <w:bCs/>
          <w:color w:val="002060"/>
          <w:sz w:val="16"/>
          <w:szCs w:val="16"/>
        </w:rPr>
        <w:softHyphen/>
        <w:t>вой полосе и корректировка артиллерийского огня с привязных аэростатов.</w:t>
      </w:r>
    </w:p>
    <w:p w14:paraId="4134DED6" w14:textId="77777777" w:rsidR="00D50668" w:rsidRPr="00DE096C" w:rsidRDefault="00D50668" w:rsidP="00D45A46">
      <w:pPr>
        <w:shd w:val="clear" w:color="auto" w:fill="FFFFFF"/>
        <w:jc w:val="both"/>
        <w:rPr>
          <w:bCs/>
          <w:color w:val="002060"/>
          <w:sz w:val="16"/>
          <w:szCs w:val="16"/>
        </w:rPr>
      </w:pPr>
      <w:r w:rsidRPr="00DE096C">
        <w:rPr>
          <w:bCs/>
          <w:color w:val="002060"/>
          <w:sz w:val="16"/>
          <w:szCs w:val="16"/>
        </w:rPr>
        <w:t>Русские воздухоплавательные части имели на во</w:t>
      </w:r>
      <w:r w:rsidRPr="00DE096C">
        <w:rPr>
          <w:bCs/>
          <w:color w:val="002060"/>
          <w:sz w:val="16"/>
          <w:szCs w:val="16"/>
        </w:rPr>
        <w:softHyphen/>
        <w:t>оружении 14 управляемых аэростатов, которые в ос</w:t>
      </w:r>
      <w:r w:rsidRPr="00DE096C">
        <w:rPr>
          <w:bCs/>
          <w:color w:val="002060"/>
          <w:sz w:val="16"/>
          <w:szCs w:val="16"/>
        </w:rPr>
        <w:softHyphen/>
        <w:t>новном дислоцировались на территории Украины в Луцке, Бердичеве, Ковно и Севастополе.</w:t>
      </w:r>
    </w:p>
    <w:p w14:paraId="245580CD" w14:textId="77777777" w:rsidR="00D50668" w:rsidRPr="00DE096C" w:rsidRDefault="00D50668" w:rsidP="00D45A46">
      <w:pPr>
        <w:shd w:val="clear" w:color="auto" w:fill="FFFFFF"/>
        <w:jc w:val="both"/>
        <w:rPr>
          <w:bCs/>
          <w:color w:val="002060"/>
          <w:sz w:val="16"/>
          <w:szCs w:val="16"/>
        </w:rPr>
      </w:pPr>
      <w:r w:rsidRPr="00DE096C">
        <w:rPr>
          <w:bCs/>
          <w:color w:val="002060"/>
          <w:sz w:val="16"/>
          <w:szCs w:val="16"/>
        </w:rPr>
        <w:t>Первоначально военному воздухоплаванию в ходе боевых действий придавалось большое значение. Од</w:t>
      </w:r>
      <w:r w:rsidRPr="00DE096C">
        <w:rPr>
          <w:bCs/>
          <w:color w:val="002060"/>
          <w:sz w:val="16"/>
          <w:szCs w:val="16"/>
        </w:rPr>
        <w:softHyphen/>
        <w:t>нако с середины 1915 года активность воздухоплава</w:t>
      </w:r>
      <w:r w:rsidRPr="00DE096C">
        <w:rPr>
          <w:bCs/>
          <w:color w:val="002060"/>
          <w:sz w:val="16"/>
          <w:szCs w:val="16"/>
        </w:rPr>
        <w:softHyphen/>
        <w:t>тельных частей стала снижаться. В первую очередь это объяснялось появлением у противника самоле</w:t>
      </w:r>
      <w:r w:rsidRPr="00DE096C">
        <w:rPr>
          <w:bCs/>
          <w:color w:val="002060"/>
          <w:sz w:val="16"/>
          <w:szCs w:val="16"/>
        </w:rPr>
        <w:softHyphen/>
        <w:t>тов-истребителей. Оснащенные пулеметами, стреляв</w:t>
      </w:r>
      <w:r w:rsidRPr="00DE096C">
        <w:rPr>
          <w:bCs/>
          <w:color w:val="002060"/>
          <w:sz w:val="16"/>
          <w:szCs w:val="16"/>
        </w:rPr>
        <w:softHyphen/>
        <w:t>шими зажигательными пулями, они легко поражали шары и дирижабли. Большая часть русских баз аэро</w:t>
      </w:r>
      <w:r w:rsidRPr="00DE096C">
        <w:rPr>
          <w:bCs/>
          <w:color w:val="002060"/>
          <w:sz w:val="16"/>
          <w:szCs w:val="16"/>
        </w:rPr>
        <w:softHyphen/>
        <w:t>статов находилась вблизи границы, и в ходе боевых действий они были уничтожены или захвачены не</w:t>
      </w:r>
      <w:r w:rsidRPr="00DE096C">
        <w:rPr>
          <w:bCs/>
          <w:color w:val="002060"/>
          <w:sz w:val="16"/>
          <w:szCs w:val="16"/>
        </w:rPr>
        <w:softHyphen/>
        <w:t>мецкими войсками. Новых же поступлений аэроста</w:t>
      </w:r>
      <w:r w:rsidRPr="00DE096C">
        <w:rPr>
          <w:bCs/>
          <w:color w:val="002060"/>
          <w:sz w:val="16"/>
          <w:szCs w:val="16"/>
        </w:rPr>
        <w:softHyphen/>
        <w:t>тов в армию не было.</w:t>
      </w:r>
    </w:p>
    <w:p w14:paraId="7F3AEFC4" w14:textId="77777777" w:rsidR="00D50668" w:rsidRPr="00DE096C" w:rsidRDefault="00D50668" w:rsidP="00D45A46">
      <w:pPr>
        <w:shd w:val="clear" w:color="auto" w:fill="FFFFFF"/>
        <w:jc w:val="both"/>
        <w:rPr>
          <w:bCs/>
          <w:color w:val="002060"/>
          <w:sz w:val="16"/>
          <w:szCs w:val="16"/>
        </w:rPr>
      </w:pPr>
      <w:r w:rsidRPr="00DE096C">
        <w:rPr>
          <w:bCs/>
          <w:color w:val="002060"/>
          <w:sz w:val="16"/>
          <w:szCs w:val="16"/>
        </w:rPr>
        <w:t>После взятия противником Сосновицкого трубо</w:t>
      </w:r>
      <w:r w:rsidRPr="00DE096C">
        <w:rPr>
          <w:bCs/>
          <w:color w:val="002060"/>
          <w:sz w:val="16"/>
          <w:szCs w:val="16"/>
        </w:rPr>
        <w:softHyphen/>
        <w:t>прокатного завода, где размещалось производство по заправке водородом металлических баллонов, снаб</w:t>
      </w:r>
      <w:r w:rsidRPr="00DE096C">
        <w:rPr>
          <w:bCs/>
          <w:color w:val="002060"/>
          <w:sz w:val="16"/>
          <w:szCs w:val="16"/>
        </w:rPr>
        <w:softHyphen/>
        <w:t>жение воздухоплавательных частей газом значитель</w:t>
      </w:r>
      <w:r w:rsidRPr="00DE096C">
        <w:rPr>
          <w:bCs/>
          <w:color w:val="002060"/>
          <w:sz w:val="16"/>
          <w:szCs w:val="16"/>
        </w:rPr>
        <w:softHyphen/>
        <w:t>но ухудшилось. Сказывалась также нехватка химичес</w:t>
      </w:r>
      <w:r w:rsidRPr="00DE096C">
        <w:rPr>
          <w:bCs/>
          <w:color w:val="002060"/>
          <w:sz w:val="16"/>
          <w:szCs w:val="16"/>
        </w:rPr>
        <w:softHyphen/>
        <w:t>ких компонентов для производства водорода, кото</w:t>
      </w:r>
      <w:r w:rsidRPr="00DE096C">
        <w:rPr>
          <w:bCs/>
          <w:color w:val="002060"/>
          <w:sz w:val="16"/>
          <w:szCs w:val="16"/>
        </w:rPr>
        <w:softHyphen/>
        <w:t>рые поставлялись в основном из-за границы. Не последнюю роль в процессе вытеснения воздухопла</w:t>
      </w:r>
      <w:r w:rsidRPr="00DE096C">
        <w:rPr>
          <w:bCs/>
          <w:color w:val="002060"/>
          <w:sz w:val="16"/>
          <w:szCs w:val="16"/>
        </w:rPr>
        <w:softHyphen/>
        <w:t>вательной техники с армейской службы сыграла бы</w:t>
      </w:r>
      <w:r w:rsidRPr="00DE096C">
        <w:rPr>
          <w:bCs/>
          <w:color w:val="002060"/>
          <w:sz w:val="16"/>
          <w:szCs w:val="16"/>
        </w:rPr>
        <w:softHyphen/>
        <w:t>стро прогрессирующая авиация, которой военное ру</w:t>
      </w:r>
      <w:r w:rsidRPr="00DE096C">
        <w:rPr>
          <w:bCs/>
          <w:color w:val="002060"/>
          <w:sz w:val="16"/>
          <w:szCs w:val="16"/>
        </w:rPr>
        <w:softHyphen/>
        <w:t>ководство отдавало все большее предпочтение (553).</w:t>
      </w:r>
    </w:p>
    <w:p w14:paraId="130D345B" w14:textId="77777777" w:rsidR="00D50668" w:rsidRPr="00DE096C" w:rsidRDefault="00D50668" w:rsidP="00D45A46">
      <w:pPr>
        <w:shd w:val="clear" w:color="auto" w:fill="FFFFFF"/>
        <w:jc w:val="both"/>
        <w:rPr>
          <w:bCs/>
          <w:color w:val="002060"/>
          <w:sz w:val="16"/>
          <w:szCs w:val="16"/>
        </w:rPr>
      </w:pPr>
    </w:p>
    <w:p w14:paraId="7C9E4E2A" w14:textId="77777777" w:rsidR="00D50668" w:rsidRPr="00DE096C" w:rsidRDefault="00D50668" w:rsidP="00D45A46">
      <w:pPr>
        <w:jc w:val="both"/>
        <w:rPr>
          <w:bCs/>
          <w:color w:val="002060"/>
          <w:sz w:val="16"/>
          <w:szCs w:val="16"/>
        </w:rPr>
      </w:pPr>
      <w:r w:rsidRPr="00DE096C">
        <w:rPr>
          <w:bCs/>
          <w:color w:val="002060"/>
          <w:sz w:val="16"/>
          <w:szCs w:val="16"/>
        </w:rPr>
        <w:t xml:space="preserve">С августа октября 1914 г. в штабе Верховного главнокомандующего русскими армиями в начале войны дирижабли считали основным средством стратегической разведки. Как только армия и флот были переведены на военное положение, началась перестройка воздухоплавательных частей в соответствии с требованиями военного времени. </w:t>
      </w:r>
    </w:p>
    <w:p w14:paraId="6029898E" w14:textId="77777777" w:rsidR="00D50668" w:rsidRPr="00DE096C" w:rsidRDefault="00D50668" w:rsidP="00D45A46">
      <w:pPr>
        <w:jc w:val="both"/>
        <w:rPr>
          <w:bCs/>
          <w:color w:val="002060"/>
          <w:sz w:val="16"/>
          <w:szCs w:val="16"/>
        </w:rPr>
      </w:pPr>
      <w:r w:rsidRPr="00DE096C">
        <w:rPr>
          <w:bCs/>
          <w:color w:val="002060"/>
          <w:sz w:val="16"/>
          <w:szCs w:val="16"/>
        </w:rPr>
        <w:t xml:space="preserve">Батальон Офицерской воздухоплавательной школы был расформирован, его личный состав направлен на укомплектование запасного воздухоплавательного батальона, 12, 13 и 14-й воздухоплавательных рот. Остальные воздухоплавательные роты были пополнены личным составом в соответствии со штатами военного времени. Роты с управляемыми аэростатами дислоцировались в Луцке, Бердичеве, Белостоке, Лиде, Сализи, Брест-Литовске, Ковно, Гродно и других пунктах. Для обслуживания дирижаблей здесь были построены 14 эллингов, располагались базы снабжения и питания дирижаблей газом. Для сравнения: в Германии имелось 39 оборудованных стоянок для дирижаблей [383] с 53 эллингами (из них 39 больших). Материальная часть была проверена и приведена в боевую готовность. </w:t>
      </w:r>
    </w:p>
    <w:p w14:paraId="348F06CC" w14:textId="77777777" w:rsidR="00D50668" w:rsidRPr="00DE096C" w:rsidRDefault="00D50668" w:rsidP="00D45A46">
      <w:pPr>
        <w:jc w:val="both"/>
        <w:rPr>
          <w:bCs/>
          <w:color w:val="002060"/>
          <w:sz w:val="16"/>
          <w:szCs w:val="16"/>
        </w:rPr>
      </w:pPr>
      <w:r w:rsidRPr="00DE096C">
        <w:rPr>
          <w:bCs/>
          <w:color w:val="002060"/>
          <w:sz w:val="16"/>
          <w:szCs w:val="16"/>
        </w:rPr>
        <w:t xml:space="preserve">По базам дирижабли распределялись следующим образом: «Кондор» придавался 2-й воздухоплавательной роте в Брест-Литовске; «Астра» находилась на вооружении 3-й воздухоплавательной роты в Лиде; «Буревестник» придавался 4-й воздухоплавательной роте в Бердичеве; «Альбатрос» находился при 12-й воздухоплавательной роте в Сализи. Все четыре дирижабля были вооружены пулеметами, имели приспособления для сбрасывания бомб и обладали продолжительностью полета до двадцати часов. </w:t>
      </w:r>
    </w:p>
    <w:p w14:paraId="6E047D66" w14:textId="77777777" w:rsidR="00D50668" w:rsidRPr="00DE096C" w:rsidRDefault="00D50668" w:rsidP="00D45A46">
      <w:pPr>
        <w:jc w:val="both"/>
        <w:rPr>
          <w:bCs/>
          <w:color w:val="002060"/>
          <w:sz w:val="16"/>
          <w:szCs w:val="16"/>
        </w:rPr>
      </w:pPr>
      <w:r w:rsidRPr="00DE096C">
        <w:rPr>
          <w:bCs/>
          <w:color w:val="002060"/>
          <w:sz w:val="16"/>
          <w:szCs w:val="16"/>
        </w:rPr>
        <w:t xml:space="preserve">Три дирижабля малой кубатуры, предназначавшиеся ранее для ближней разведки, были также приданы воздухоплавательным ротам. Дирижабль «Голубь» поступил на вооружение 3-й воздухоплавательной роты. Он был сильно потрепан в эксплуатации, разоружался, но после капитального ремонта вновь вернулся в строй. Дирижабль «Беркут» придавался 2-й воздухоплавательной роте. Этот дирижабль, наиболее изношенный, также прошел капитальный ремонт. Дирижабль «Ястреб» находился в 12-й воздухоплавательной роте. Эти корабли имели вооружение, но были устаревшими. Их потолок и скорость не отвечали требованиям, предъявляемым к военным дирижаблям. </w:t>
      </w:r>
    </w:p>
    <w:p w14:paraId="3D4BA239" w14:textId="77777777" w:rsidR="00D50668" w:rsidRPr="00DE096C" w:rsidRDefault="00D50668" w:rsidP="00D45A46">
      <w:pPr>
        <w:jc w:val="both"/>
        <w:rPr>
          <w:bCs/>
          <w:color w:val="002060"/>
          <w:sz w:val="16"/>
          <w:szCs w:val="16"/>
        </w:rPr>
      </w:pPr>
      <w:r w:rsidRPr="00DE096C">
        <w:rPr>
          <w:bCs/>
          <w:color w:val="002060"/>
          <w:sz w:val="16"/>
          <w:szCs w:val="16"/>
        </w:rPr>
        <w:t xml:space="preserve">Реальную пользу русской армии могли принести только дирижабли большой кубатуры, но из-за своей технической отсталости они имели малую скорость и высоту полета, поэтому не могли эффективно использоваться на фронте. О дневных полетах нечего было и думать — оставались только ночные бомбардировки. Малые корабли предназначались в основном для учебных целей. </w:t>
      </w:r>
    </w:p>
    <w:p w14:paraId="199B3B67" w14:textId="77777777" w:rsidR="00D50668" w:rsidRPr="00DE096C" w:rsidRDefault="00D50668" w:rsidP="00D45A46">
      <w:pPr>
        <w:jc w:val="both"/>
        <w:rPr>
          <w:bCs/>
          <w:color w:val="002060"/>
          <w:sz w:val="16"/>
          <w:szCs w:val="16"/>
        </w:rPr>
      </w:pPr>
      <w:r w:rsidRPr="00DE096C">
        <w:rPr>
          <w:bCs/>
          <w:color w:val="002060"/>
          <w:sz w:val="16"/>
          <w:szCs w:val="16"/>
        </w:rPr>
        <w:t xml:space="preserve">Для выполнения боевых вылетов в Брест-Литовске был наполнен газом «Кондор», но вскоре его перевели во Львов, где для него выстроили специальный эллинг. Задачей этого воздушного корабля была бомбардировка крепости Перемышль, однако из-за низких летных данных «Кондор» в боевых действиях участия так и не принял. Он имел радиус действия 200 км и высоту подъема 2000 м, мог брать на борт 160 кг бомб, экипаж состоял из 6 человек. </w:t>
      </w:r>
    </w:p>
    <w:p w14:paraId="734297F6" w14:textId="77777777" w:rsidR="00D50668" w:rsidRPr="00DE096C" w:rsidRDefault="00D50668" w:rsidP="00D45A46">
      <w:pPr>
        <w:jc w:val="both"/>
        <w:rPr>
          <w:bCs/>
          <w:color w:val="002060"/>
          <w:sz w:val="16"/>
          <w:szCs w:val="16"/>
        </w:rPr>
      </w:pPr>
      <w:r w:rsidRPr="00DE096C">
        <w:rPr>
          <w:bCs/>
          <w:color w:val="002060"/>
          <w:sz w:val="16"/>
          <w:szCs w:val="16"/>
        </w:rPr>
        <w:t xml:space="preserve">«Астру», базировавшуюся в Лиде и также имевшую очень низкие летные качества, было решено заменить «Альбатросом». Из-за отдаленности от линии фронта в Бердичеве дирижабли вообще не были наполнены газом. </w:t>
      </w:r>
    </w:p>
    <w:p w14:paraId="5CCCA563" w14:textId="77777777" w:rsidR="00D50668" w:rsidRPr="00DE096C" w:rsidRDefault="00D50668" w:rsidP="00D45A46">
      <w:pPr>
        <w:jc w:val="both"/>
        <w:rPr>
          <w:bCs/>
          <w:color w:val="002060"/>
          <w:sz w:val="16"/>
          <w:szCs w:val="16"/>
        </w:rPr>
      </w:pPr>
      <w:r w:rsidRPr="00DE096C">
        <w:rPr>
          <w:bCs/>
          <w:color w:val="002060"/>
          <w:sz w:val="16"/>
          <w:szCs w:val="16"/>
        </w:rPr>
        <w:t>Наконец, дирижабль «Парсеваль», наполненный в Белостоке в первой половине ноября 1914 года, сделал всего несколько учебных полетов, и в марте 1915 года, как не отвечающий требованиям и условиям работы в боевой обстановке, был разоружен (11324).</w:t>
      </w:r>
    </w:p>
    <w:p w14:paraId="31F1ABE5" w14:textId="77777777" w:rsidR="00D50668" w:rsidRPr="00DE096C" w:rsidRDefault="00D50668" w:rsidP="00D45A46">
      <w:pPr>
        <w:shd w:val="clear" w:color="auto" w:fill="FFFFFF"/>
        <w:jc w:val="both"/>
        <w:rPr>
          <w:bCs/>
          <w:i/>
          <w:color w:val="002060"/>
          <w:sz w:val="16"/>
          <w:szCs w:val="16"/>
        </w:rPr>
      </w:pPr>
    </w:p>
    <w:p w14:paraId="1F5C3D5F" w14:textId="77777777" w:rsidR="00D50668" w:rsidRPr="00DE096C" w:rsidRDefault="00D50668" w:rsidP="00D45A46">
      <w:pPr>
        <w:shd w:val="clear" w:color="auto" w:fill="FFFFFF"/>
        <w:jc w:val="both"/>
        <w:rPr>
          <w:bCs/>
          <w:i/>
          <w:color w:val="002060"/>
          <w:sz w:val="16"/>
          <w:szCs w:val="16"/>
        </w:rPr>
      </w:pPr>
      <w:r w:rsidRPr="00DE096C">
        <w:rPr>
          <w:bCs/>
          <w:i/>
          <w:color w:val="002060"/>
          <w:sz w:val="16"/>
          <w:szCs w:val="16"/>
        </w:rPr>
        <w:lastRenderedPageBreak/>
        <w:t>Авиация и воздухоплавание Германии:</w:t>
      </w:r>
    </w:p>
    <w:p w14:paraId="30AB1C6F" w14:textId="77777777" w:rsidR="00D50668" w:rsidRPr="00DE096C" w:rsidRDefault="00D50668" w:rsidP="00D45A46">
      <w:pPr>
        <w:shd w:val="clear" w:color="auto" w:fill="FFFFFF"/>
        <w:jc w:val="both"/>
        <w:rPr>
          <w:bCs/>
          <w:i/>
          <w:color w:val="002060"/>
          <w:sz w:val="16"/>
          <w:szCs w:val="16"/>
        </w:rPr>
      </w:pPr>
    </w:p>
    <w:p w14:paraId="2F6EADA2" w14:textId="77777777" w:rsidR="00D50668" w:rsidRPr="00DE096C" w:rsidRDefault="00D50668" w:rsidP="00D45A46">
      <w:pPr>
        <w:jc w:val="both"/>
        <w:rPr>
          <w:bCs/>
          <w:color w:val="002060"/>
          <w:sz w:val="16"/>
          <w:szCs w:val="16"/>
        </w:rPr>
      </w:pPr>
      <w:r w:rsidRPr="00DE096C">
        <w:rPr>
          <w:bCs/>
          <w:color w:val="002060"/>
          <w:sz w:val="16"/>
          <w:szCs w:val="16"/>
        </w:rPr>
        <w:t>В августе-октябре 1914 г. с началом первой мировой войны военное ведомство мобилизовало построенные М.5-е и передало их в наблюдательные группы. М.5-е были одноместные, однако, их просторная кабина позволяла удлинить сидение и посадить сзади пилота наблюдателя. Первая секция крыла по обе стороны фюзеляжа была без обшивки (этакая прямоугольная дырка в крыле), что облегчало наблюдение за землей. В дальнейшем, для улучшения обзора вниз предусматривалось отверстие в дне фюзеляжа, которое было снабжено гофрированной (аккордеонного типа) шторкой. Позже в Е серии были стандартные наблюдательные окна в крыле и в фюзеляже, имевшие металлические крышки. В дальнейшем они были и подобием бомболюков для поражения противника с воздуха. Разведчики Фоккера были очень популярны у немецких пилотов. Вспоминают слова Освальда Бельке - впоследствии одного из асов Германии, получившего Фоккер в декабре 1914 г.: "</w:t>
      </w:r>
      <w:r w:rsidRPr="00DE096C">
        <w:rPr>
          <w:bCs/>
          <w:i/>
          <w:color w:val="002060"/>
          <w:sz w:val="16"/>
          <w:szCs w:val="16"/>
        </w:rPr>
        <w:t>Фоккер был великолепным Рождественским подарком, который я принял с поистине ребячьей радостью</w:t>
      </w:r>
      <w:r w:rsidRPr="00DE096C">
        <w:rPr>
          <w:bCs/>
          <w:color w:val="002060"/>
          <w:sz w:val="16"/>
          <w:szCs w:val="16"/>
        </w:rPr>
        <w:t>".</w:t>
      </w:r>
    </w:p>
    <w:p w14:paraId="4407FB7D" w14:textId="77777777" w:rsidR="00D50668" w:rsidRPr="00DE096C" w:rsidRDefault="00D50668" w:rsidP="00D45A46">
      <w:pPr>
        <w:jc w:val="both"/>
        <w:rPr>
          <w:bCs/>
          <w:color w:val="002060"/>
          <w:sz w:val="16"/>
          <w:szCs w:val="16"/>
        </w:rPr>
      </w:pPr>
    </w:p>
    <w:p w14:paraId="0147C9DF" w14:textId="77777777" w:rsidR="00D50668" w:rsidRPr="00DE096C" w:rsidRDefault="00D50668" w:rsidP="00D45A46">
      <w:pPr>
        <w:jc w:val="both"/>
        <w:rPr>
          <w:bCs/>
          <w:color w:val="002060"/>
          <w:sz w:val="16"/>
          <w:szCs w:val="16"/>
        </w:rPr>
      </w:pPr>
      <w:r w:rsidRPr="00DE096C">
        <w:rPr>
          <w:bCs/>
          <w:color w:val="002060"/>
          <w:sz w:val="16"/>
          <w:szCs w:val="16"/>
        </w:rPr>
        <w:t>В августе-октябре 1914 г. в начале боевых действий бомбы сбрасывали вручную, выдергивая специальные чеки в системе подвески. Для выполнения бомбардировочных операций и борьбы с подводными лодками дирижабли оборудовались бомбодержателями и бомбосбрасывателями. Их конструкция мало отличалась от тех устройств, которые нашли широкое применение в авиации. Большая грузоподъемность дирижаблей и возможность брать на борт корабля бомбы больших калибров выдвигали соответсвующие требования к бомбодержателям, которые должны были надежно удерживать тяжелый груз. Бомбы размещались по обеим сторонам килевого коридора над специальными люками.</w:t>
      </w:r>
    </w:p>
    <w:p w14:paraId="3A183339" w14:textId="77777777" w:rsidR="00D50668" w:rsidRPr="00DE096C" w:rsidRDefault="00D50668" w:rsidP="00D45A46">
      <w:pPr>
        <w:jc w:val="both"/>
        <w:rPr>
          <w:bCs/>
          <w:color w:val="002060"/>
          <w:sz w:val="16"/>
          <w:szCs w:val="16"/>
        </w:rPr>
      </w:pPr>
      <w:r w:rsidRPr="00DE096C">
        <w:rPr>
          <w:bCs/>
          <w:color w:val="002060"/>
          <w:sz w:val="16"/>
          <w:szCs w:val="16"/>
        </w:rPr>
        <w:t xml:space="preserve">В дальнейшем этот процесс был механизирован и освобождение замков бомбосбрасывателя производил вахтенный офицер, нажимая соответствующие кнопки. Электрическая система управления бомбосбрасыванием впервые была применена на дирижабле SL-2. Затем эти устройства внедрили на дирижаблях Цеппелина, а так же с успехом применяли в авиации. Весьма совершенная система сброса бомб существовала на дирижабле SL-22. Она была сосредоточена в командирской рубке и могла обеспечивать одиночное и серийное бомбометание. В аварийных ситуациях один поворот рукоятки специального переключателя освобождал все бомбы. Контроль за сбросом конкретной бомбы велся так: на центральном пульте зажигалась соответствующая лампочка — зеленая для 300-килограммовой бомбы, синяя для 100-килограммовой и красная для 50-килограммовой. </w:t>
      </w:r>
    </w:p>
    <w:p w14:paraId="4D71E8ED" w14:textId="77777777" w:rsidR="00D50668" w:rsidRPr="00DE096C" w:rsidRDefault="00D50668" w:rsidP="00D45A46">
      <w:pPr>
        <w:jc w:val="both"/>
        <w:rPr>
          <w:bCs/>
          <w:color w:val="002060"/>
          <w:sz w:val="16"/>
          <w:szCs w:val="16"/>
        </w:rPr>
      </w:pPr>
      <w:r w:rsidRPr="00DE096C">
        <w:rPr>
          <w:bCs/>
          <w:color w:val="002060"/>
          <w:sz w:val="16"/>
          <w:szCs w:val="16"/>
        </w:rPr>
        <w:t xml:space="preserve">При одновременном сбросе большого количества бомб важно было обеспечить правильную балансировку корабля. Эту проблему [150] решала автоматика. Огромные размеры корабля позволяли после сброса навешивать в полете на бомбодержатели очередную серию бомб. Стандартные бомбодержатели имели по 24 специальных гнезда для подвески бомб различного калибра. Конструкция бомбодержателей была весьма массивной, а вес ее составлял около 600 кг. </w:t>
      </w:r>
    </w:p>
    <w:p w14:paraId="26019B86" w14:textId="77777777" w:rsidR="00D50668" w:rsidRPr="00DE096C" w:rsidRDefault="00D50668" w:rsidP="00D45A46">
      <w:pPr>
        <w:jc w:val="both"/>
        <w:rPr>
          <w:bCs/>
          <w:color w:val="002060"/>
          <w:sz w:val="16"/>
          <w:szCs w:val="16"/>
        </w:rPr>
      </w:pPr>
      <w:r w:rsidRPr="00DE096C">
        <w:rPr>
          <w:bCs/>
          <w:color w:val="002060"/>
          <w:sz w:val="16"/>
          <w:szCs w:val="16"/>
        </w:rPr>
        <w:t>Что касается типов бомб, применявшихся немецкими дирижаблями, то в начале войны на борту размещались 3 фугасные бомбы по 50 кг и 20 зажигательных бомб по 5,2 кг. Использовались также бомбы весом 10 кг и 15- и 21-сантиметровые гранаты. В дальнейшем последовательно были приняты на вооружение и применялись бомбы весом 100, 150 и 300 кг, причем 150-килограммовые использовались достаточно редко и не являлись стандартными. Фугасные бомбы имели тупую, полусферическую переднюю часть, небольшой хвостовой конус и оснащались стабилизаторами. Бомбы подвешивались внутри оболочки по обеим сторонам киля. Прицеливание осуществлялось посредством бомбардировочного прицела фирмы «Цейс», достаточно надежного, но сложного в применении и обслуживании. Обычно максимальная бомбовая нагрузка цеппелина объемом 32 000 куб. м составляла 2000 кг. Она уменьшалась в зависимости от дальности полета: так, при его дальности 1440 км можно было взять с собой 1600 кг бомб, при полете на 1700 км бомбовая нагрузка уменьшалась до 1460 кг (11234).</w:t>
      </w:r>
    </w:p>
    <w:p w14:paraId="26B82BD6" w14:textId="77777777" w:rsidR="00D50668" w:rsidRPr="00DE096C" w:rsidRDefault="00D50668" w:rsidP="00D45A46">
      <w:pPr>
        <w:pStyle w:val="a3"/>
        <w:jc w:val="both"/>
        <w:rPr>
          <w:bCs/>
          <w:vanish/>
          <w:color w:val="002060"/>
          <w:spacing w:val="0"/>
          <w:kern w:val="0"/>
          <w:position w:val="0"/>
          <w:sz w:val="16"/>
          <w:szCs w:val="16"/>
        </w:rPr>
      </w:pPr>
    </w:p>
    <w:p w14:paraId="02768783" w14:textId="77777777" w:rsidR="00D50668" w:rsidRPr="00DE096C" w:rsidRDefault="00D50668" w:rsidP="00D45A46">
      <w:pPr>
        <w:jc w:val="both"/>
        <w:rPr>
          <w:bCs/>
          <w:color w:val="002060"/>
          <w:sz w:val="16"/>
          <w:szCs w:val="16"/>
        </w:rPr>
      </w:pPr>
      <w:r w:rsidRPr="00DE096C">
        <w:rPr>
          <w:bCs/>
          <w:color w:val="002060"/>
          <w:sz w:val="16"/>
          <w:szCs w:val="16"/>
        </w:rPr>
        <w:t xml:space="preserve">В августе-октябре 1914 г. в начале войны низкие летно-технические характеристики самолетов позволяли дирижаблям легко уходить от нападения, набирая высоту, то уже к середине войны ситуация для воздушных кораблей значительно усложнилась, так как и самолеты получили возможность при благоприятных обстоятельствах атаковать сверху. С этого времени практически все дирижабли стали оснащать верхними стрелковыми установками. С этой целью на верхней части корпуса монтировалась платформа с размещенным на ней пулеметом, которая соединялась с килевым коридором специальной лестничной шахтой. Первые верхние платформы устанавливались на ниспадающих частях носового конуса из-за опасения повреждения газовых баллонов при малых углах обстрела. Это приводило к тому, что с верхних носовых платформ дирижаблей «Шютте-Ланц» невозможно было вести огонь назад. Вскоре опыт воздушных боев показал, что сверхдавление, которое существует в газовом баллоне, закрывает входные и выходные отверстия от пуль. На последующих дирижаблях, как, например, на SL-22, верхние пулеметные платформы уже отнесены назад. </w:t>
      </w:r>
    </w:p>
    <w:p w14:paraId="18396D1B" w14:textId="77777777" w:rsidR="00D50668" w:rsidRPr="00DE096C" w:rsidRDefault="00D50668" w:rsidP="00D45A46">
      <w:pPr>
        <w:jc w:val="both"/>
        <w:rPr>
          <w:bCs/>
          <w:color w:val="002060"/>
          <w:sz w:val="16"/>
          <w:szCs w:val="16"/>
        </w:rPr>
      </w:pPr>
      <w:r w:rsidRPr="00DE096C">
        <w:rPr>
          <w:bCs/>
          <w:color w:val="002060"/>
          <w:sz w:val="16"/>
          <w:szCs w:val="16"/>
        </w:rPr>
        <w:t xml:space="preserve">Такая же система установки пулеметов сверху несущего корпуса была принята и на цеппелинах. На L-31 сверху находились два крупнокалиберных пулемета: один на [152] платформе в носовой части корпуса, а другой — в кормовой. Кроме того, этот дирижабль был вооружен еще шестью пулеметами «максим». Армейский LZ-77 был оснащен шестью пулеметами; вверху по два — в передней и кормовой гондолах. L-57 и L-59 имели 4 крупнокалиберных пулемета на верхних платформах и 6 пулеметов «максим» в гондолах. Исходя из воздушной обстановки в зоне ведения боевых действий, командиры воздушных кораблей сами могли решать, какое количество оборонительного вооружения они могли взять на борт. Например, SL-10, который в 1916 году действовал в районе Черного моря, имел всего 2 оборонительных пулемета, так как противовоздушная оборона в зоне его полетов практически отсутствовала. </w:t>
      </w:r>
    </w:p>
    <w:p w14:paraId="6E1B6758" w14:textId="77777777" w:rsidR="00D50668" w:rsidRPr="00DE096C" w:rsidRDefault="00D50668" w:rsidP="00D45A46">
      <w:pPr>
        <w:jc w:val="both"/>
        <w:rPr>
          <w:bCs/>
          <w:color w:val="002060"/>
          <w:sz w:val="16"/>
          <w:szCs w:val="16"/>
        </w:rPr>
      </w:pPr>
      <w:r w:rsidRPr="00DE096C">
        <w:rPr>
          <w:bCs/>
          <w:color w:val="002060"/>
          <w:sz w:val="16"/>
          <w:szCs w:val="16"/>
        </w:rPr>
        <w:t xml:space="preserve">Трудноразрешимой проблемой, которую приходилось постоянно решать создателям боевых дирижаблей, являлось обеспечение равномерного кругового обстрела и исключение «мертвых» секторов. Наиболее уязвимой от нападения самолетов противника была нижняя часть корабля, так как расположенные в гондолах пулеметы не имели возможности вести огонь под большими углами вниз. Впервые эту проблему решили на L-42, когда были сконструированы выдвижные стрелковые точки. Они располагались внутри килевого прохода и при угрозе нападения снизу выдвигались (опускались) наружу. Кстати, это конструктивное решение с успехом стало применяться и в авиации будущего. Небольшие «мертвые» секторы, образованные хвостовым оперением, не несли особой опасности и на дальних дистанциях легко простреливались из задней мотогондолы. </w:t>
      </w:r>
    </w:p>
    <w:p w14:paraId="2C589734" w14:textId="77777777" w:rsidR="00D50668" w:rsidRPr="00DE096C" w:rsidRDefault="00D50668" w:rsidP="00D45A46">
      <w:pPr>
        <w:jc w:val="both"/>
        <w:rPr>
          <w:bCs/>
          <w:color w:val="002060"/>
          <w:sz w:val="16"/>
          <w:szCs w:val="16"/>
        </w:rPr>
      </w:pPr>
      <w:r w:rsidRPr="00DE096C">
        <w:rPr>
          <w:bCs/>
          <w:color w:val="002060"/>
          <w:sz w:val="16"/>
          <w:szCs w:val="16"/>
        </w:rPr>
        <w:t xml:space="preserve">Ручные пулеметы не имели узлов крепления и при необходимости перебрасывались личным подвахтенным составом экипажа в сторону открытия огня. Пулеметы «максим» устанавливались в специальных гнездах, которые располагались в пилотской и мотогондолах. В пилотской гондоле имелись как стационарные пулеметные установки, размещенные по бокам между рубкой управления и двигательным отсеком, так и переносные, из которых подвахтенный состав экипажа мог стрелять из окон, перебрасывая пулеметы в сторону приближающегося противника. Все члены экипажа были вооружены автоматическими карабинами [153] и револьверами и могли вести самостоятельный огонь по противнику из окон и люков. </w:t>
      </w:r>
    </w:p>
    <w:p w14:paraId="5DAD5FA9" w14:textId="77777777" w:rsidR="00D50668" w:rsidRPr="00DE096C" w:rsidRDefault="00D50668" w:rsidP="00D45A46">
      <w:pPr>
        <w:jc w:val="both"/>
        <w:rPr>
          <w:bCs/>
          <w:color w:val="002060"/>
          <w:sz w:val="16"/>
          <w:szCs w:val="16"/>
        </w:rPr>
      </w:pPr>
      <w:r w:rsidRPr="00DE096C">
        <w:rPr>
          <w:bCs/>
          <w:color w:val="002060"/>
          <w:sz w:val="16"/>
          <w:szCs w:val="16"/>
        </w:rPr>
        <w:t xml:space="preserve">От нападения сзади защищала огневая точка; ее стали устанавливать с середины войны в оконечности хвостовой части корабля. В килевом коридоре, в его кормовой части, имелись специальные люки, через которые можно было вести огонь с помощью переносных пулеметов в направлении самолетов противника, приближающегося снизу сзади. Если самолет заходил в лоб, по нему можно было стрелять только из передних окон рубки управления, передней верхней платформы и выдвижных установок. Применялись пулеметы образца 1908 года, а иногда парабеллумы 1914 года, при этом приходилось принимать меры против замерзания охлаждающей жидкости. Для облегчения пристрелки к обычным патронам добавлялись трассирующие и с дымовыми разрывами. </w:t>
      </w:r>
    </w:p>
    <w:p w14:paraId="5F3BB1F5" w14:textId="77777777" w:rsidR="00D50668" w:rsidRPr="00DE096C" w:rsidRDefault="00D50668" w:rsidP="00D45A46">
      <w:pPr>
        <w:jc w:val="both"/>
        <w:rPr>
          <w:bCs/>
          <w:color w:val="002060"/>
          <w:sz w:val="16"/>
          <w:szCs w:val="16"/>
        </w:rPr>
      </w:pPr>
      <w:r w:rsidRPr="00DE096C">
        <w:rPr>
          <w:bCs/>
          <w:color w:val="002060"/>
          <w:sz w:val="16"/>
          <w:szCs w:val="16"/>
        </w:rPr>
        <w:t xml:space="preserve">Значительная грузоподъемность дирижаблей позволяла без особых проблем размещать на них оборонительное артиллерийское вооружение. Установка такого вооружения требует высокой эффективности его использования, а так как вес снаряда и его стоимость достаточно велики, то вести, например, заградительный огонь из такой установки было просто нецелесообразно, поэтому стрелять следовало весьма экономно и с максимальной отдачей. В связи с этим большое внимание уделялось выбору места расположения пушки. Уже первые опыты показали, что установка ее в мотогондоле вместо пулемета — это неудачное решение: сектор обстрела из этого места был весьма ограничен. Наиболее подходящей оказалась верхняя платформа, которая обеспечивала практически круговой сектор обстрела. После проведения многочисленных экспериментов к середине 1918 года на заводах были готовы к установке 20-мм автоматические пушки системы Беккера с разрывными снарядами, но в боевой обстановке применить их не успели. Вес пушки составлял 33,6 кг (позднее — 30 кг), вес боевой части снаряда — 140 г, боезапас мог варьироваться до нескольких сотен снарядов, дальность выстрела — 2500 м, питание пушки — от обоймы по 10-15 снарядов. </w:t>
      </w:r>
    </w:p>
    <w:p w14:paraId="1026DC7F" w14:textId="77777777" w:rsidR="00D50668" w:rsidRPr="00DE096C" w:rsidRDefault="00D50668" w:rsidP="00D45A46">
      <w:pPr>
        <w:jc w:val="both"/>
        <w:rPr>
          <w:bCs/>
          <w:color w:val="002060"/>
          <w:sz w:val="16"/>
          <w:szCs w:val="16"/>
        </w:rPr>
      </w:pPr>
      <w:r w:rsidRPr="00DE096C">
        <w:rPr>
          <w:bCs/>
          <w:color w:val="002060"/>
          <w:sz w:val="16"/>
          <w:szCs w:val="16"/>
        </w:rPr>
        <w:t>Применение наступательного стрелкового оружия для ведения огня по наземным или морским целям на немецких дирижаблях не предусматривалось. На практике такие случаи хотя и редко, но бывали. Во время одного из патрульных полетов немецкий дирижабль своим пулеметным огнем подавил сопротивление команды английского минного заградителя (11234).</w:t>
      </w:r>
    </w:p>
    <w:p w14:paraId="3DE5BB78" w14:textId="77777777" w:rsidR="00D50668" w:rsidRPr="00DE096C" w:rsidRDefault="00D50668" w:rsidP="00D45A46">
      <w:pPr>
        <w:pStyle w:val="a3"/>
        <w:jc w:val="both"/>
        <w:rPr>
          <w:bCs/>
          <w:vanish/>
          <w:color w:val="002060"/>
          <w:spacing w:val="0"/>
          <w:kern w:val="0"/>
          <w:position w:val="0"/>
          <w:sz w:val="16"/>
          <w:szCs w:val="16"/>
        </w:rPr>
      </w:pPr>
    </w:p>
    <w:p w14:paraId="3155C170" w14:textId="77777777" w:rsidR="00D50668" w:rsidRPr="00DE096C" w:rsidRDefault="00D50668" w:rsidP="00D45A46">
      <w:pPr>
        <w:jc w:val="both"/>
        <w:rPr>
          <w:bCs/>
          <w:color w:val="002060"/>
          <w:sz w:val="16"/>
          <w:szCs w:val="16"/>
        </w:rPr>
      </w:pPr>
      <w:r w:rsidRPr="00DE096C">
        <w:rPr>
          <w:bCs/>
          <w:color w:val="002060"/>
          <w:sz w:val="16"/>
          <w:szCs w:val="16"/>
        </w:rPr>
        <w:t xml:space="preserve">В августе-октябре 1914 г. армейские воздухоплаватели, проанализировав итоги боевой работы первых месяцев войны, поняли, что применение дирижаблей в дневное время суток на небольшой высоте в условиях активного [106] противодействия зенитных средств противника приводит к слишком большим и, главное, неоправданным потерям. Активность цеппелинов перенесли на ночное время, по возможности безлунное — а таких полетных ночей было лишь около четырнадцати в месяц. Объекты для атак выбирались очень тщательно с учетом стратегических интересов. Рейды в глубокий тыл противника с целью уничтожения важных опорных пунктов или крупных промышленных предприятий планировались только после тщательной разведки, изучения аэрофотоснимков и других надежных данных. Роль Парижа и Лондона как сильно укрепленных пунктов и центров военной промышленности оценивалась немецким командованием чрезвычайно высоко. При нападении на эти города участникам рейда указывались точные координаты целей — железнодорожные станции, военные заводы, арсеналы, портовые сооружения, казармы и т. д. Проводя принцип концентрации боевых сил на одной цели, немецкое командование по возможности избегало дробления этих сил второстепенными операциями. </w:t>
      </w:r>
    </w:p>
    <w:p w14:paraId="41EAAD2B" w14:textId="77777777" w:rsidR="00D50668" w:rsidRPr="00DE096C" w:rsidRDefault="00D50668" w:rsidP="00D45A46">
      <w:pPr>
        <w:jc w:val="both"/>
        <w:rPr>
          <w:bCs/>
          <w:color w:val="002060"/>
          <w:sz w:val="16"/>
          <w:szCs w:val="16"/>
        </w:rPr>
      </w:pPr>
      <w:r w:rsidRPr="00DE096C">
        <w:rPr>
          <w:bCs/>
          <w:color w:val="002060"/>
          <w:sz w:val="16"/>
          <w:szCs w:val="16"/>
        </w:rPr>
        <w:t xml:space="preserve">Неизбежность гибели большого числа мирных жителей при проведении воздушных бомбардировок густонаселенных центров прекрасно осознавали обе стороны, но ненасытное жерло войны требовало своих жертв. Политики рассчитывали ходы, военные, не задумываясь, справно бросали в дело все новые и новые дивизии, а мирным жителям приходилось только уповать на милость Бога. </w:t>
      </w:r>
    </w:p>
    <w:p w14:paraId="63022F66" w14:textId="77777777" w:rsidR="00D50668" w:rsidRPr="00DE096C" w:rsidRDefault="00D50668" w:rsidP="00D45A46">
      <w:pPr>
        <w:jc w:val="both"/>
        <w:rPr>
          <w:bCs/>
          <w:color w:val="002060"/>
          <w:sz w:val="16"/>
          <w:szCs w:val="16"/>
        </w:rPr>
      </w:pPr>
      <w:r w:rsidRPr="00DE096C">
        <w:rPr>
          <w:bCs/>
          <w:color w:val="002060"/>
          <w:sz w:val="16"/>
          <w:szCs w:val="16"/>
        </w:rPr>
        <w:lastRenderedPageBreak/>
        <w:t>Авиация Антанты часто наведывалась на территорию Германии и бомбила практически незащищенные города, поэтому немцы никак не могли оставить эти рейды без ответа (11324).</w:t>
      </w:r>
    </w:p>
    <w:p w14:paraId="65E141A8" w14:textId="77777777" w:rsidR="00D50668" w:rsidRPr="00DE096C" w:rsidRDefault="00D50668" w:rsidP="00D45A46">
      <w:pPr>
        <w:shd w:val="clear" w:color="auto" w:fill="FFFFFF"/>
        <w:jc w:val="both"/>
        <w:rPr>
          <w:bCs/>
          <w:i/>
          <w:color w:val="002060"/>
          <w:sz w:val="16"/>
          <w:szCs w:val="16"/>
        </w:rPr>
      </w:pPr>
    </w:p>
    <w:p w14:paraId="0DA0AF90" w14:textId="77777777" w:rsidR="00D50668" w:rsidRPr="00DE096C" w:rsidRDefault="00D50668" w:rsidP="00D45A46">
      <w:pPr>
        <w:jc w:val="both"/>
        <w:rPr>
          <w:bCs/>
          <w:color w:val="002060"/>
          <w:sz w:val="16"/>
          <w:szCs w:val="16"/>
        </w:rPr>
      </w:pPr>
      <w:r w:rsidRPr="00DE096C">
        <w:rPr>
          <w:bCs/>
          <w:color w:val="002060"/>
          <w:sz w:val="16"/>
          <w:szCs w:val="16"/>
        </w:rPr>
        <w:t xml:space="preserve">В августе-октябре 1914 г. в начале войны флот Германии действительно переживал не лучшие времена, и главный штаб ВМФ настойчиво искал способы нанесения врагу как можно более чувствительных ударов. Поскольку традиционные методы ведения войны на море себя не оправдывали, в ход пошли довольно экзотические для того времени новинки техники, такие как подводные лодки, авиация и дирижабли. Секретный меморандум главного штаба недвусмысленно указывал: «Мы не должны отвергать ни один из способов поставить Англию на колени, каким бы фантастическим он не выглядел». </w:t>
      </w:r>
    </w:p>
    <w:p w14:paraId="687BDF82" w14:textId="77777777" w:rsidR="00D50668" w:rsidRPr="00DE096C" w:rsidRDefault="00D50668" w:rsidP="00D45A46">
      <w:pPr>
        <w:jc w:val="both"/>
        <w:rPr>
          <w:bCs/>
          <w:color w:val="002060"/>
          <w:sz w:val="16"/>
          <w:szCs w:val="16"/>
        </w:rPr>
      </w:pPr>
      <w:r w:rsidRPr="00DE096C">
        <w:rPr>
          <w:bCs/>
          <w:color w:val="002060"/>
          <w:sz w:val="16"/>
          <w:szCs w:val="16"/>
        </w:rPr>
        <w:t>К подобного рода мероприятиям относились и бомбардировки английских городов цеппелинами флота. Это была «идея фикс» Петера Штрассера с самого первого дня войны. Однако ее реализация наталкивалась на довольно серьезное сопротивление верхушки военного командования Германии. Кайзер Вильгельм II состоял в кровном родстве с британской королевской фамилией. Война, в которой солдаты убивали солдат противника, считалась делом вполне пристойным и даже благородным. Но стать изгоем в собственной семье из-за того, что бомбами, сброшенными с дирижаблей, будут убиты английские женщины и дети... Пойти на это кайзер отказывался. [109] (11324).</w:t>
      </w:r>
    </w:p>
    <w:p w14:paraId="733A60E8" w14:textId="77777777" w:rsidR="00D50668" w:rsidRPr="00DE096C" w:rsidRDefault="00D50668" w:rsidP="00D45A46">
      <w:pPr>
        <w:shd w:val="clear" w:color="auto" w:fill="FFFFFF"/>
        <w:jc w:val="both"/>
        <w:rPr>
          <w:bCs/>
          <w:i/>
          <w:color w:val="002060"/>
          <w:sz w:val="16"/>
          <w:szCs w:val="16"/>
        </w:rPr>
      </w:pPr>
    </w:p>
    <w:p w14:paraId="21A48697" w14:textId="77777777" w:rsidR="00D50668" w:rsidRPr="00DE096C" w:rsidRDefault="00D50668" w:rsidP="00D45A46">
      <w:pPr>
        <w:pStyle w:val="a3"/>
        <w:jc w:val="both"/>
        <w:rPr>
          <w:bCs/>
          <w:i w:val="0"/>
          <w:color w:val="002060"/>
          <w:spacing w:val="0"/>
          <w:kern w:val="0"/>
          <w:position w:val="0"/>
          <w:sz w:val="16"/>
          <w:szCs w:val="16"/>
        </w:rPr>
      </w:pPr>
      <w:r w:rsidRPr="00DE096C">
        <w:rPr>
          <w:bCs/>
          <w:i w:val="0"/>
          <w:iCs/>
          <w:color w:val="002060"/>
          <w:sz w:val="16"/>
          <w:szCs w:val="16"/>
        </w:rPr>
        <w:t>В августе-октябре 1914 г.</w:t>
      </w:r>
      <w:r w:rsidRPr="00DE096C">
        <w:rPr>
          <w:bCs/>
          <w:color w:val="002060"/>
          <w:sz w:val="16"/>
          <w:szCs w:val="16"/>
        </w:rPr>
        <w:t xml:space="preserve"> </w:t>
      </w:r>
      <w:r w:rsidRPr="00DE096C">
        <w:rPr>
          <w:bCs/>
          <w:i w:val="0"/>
          <w:color w:val="002060"/>
          <w:spacing w:val="0"/>
          <w:kern w:val="0"/>
          <w:position w:val="0"/>
          <w:sz w:val="16"/>
          <w:szCs w:val="16"/>
        </w:rPr>
        <w:t>ход военных действий в воздухе развивался по сложному сценарию. В начале войны превосходство захватили германцы, которые располагали более совершенными самолетами и синхронизаторами пулеметов. Но в середине 1916 года французы получили самолеты "Ньюпор", которые преобладали над немецкими "Фоккерами". Теперь немцам приходилось нагонять. Было решено попросту скопировать французский самолет. Копирование поручили фирме "Ойлер", где построили немецкий "Ньюпор 11" с двигателем "Оберрусель" UO мощностью 60 кВт. Уже осенью 1916 года самолет полетел. Было заказано 50 экземпляров, но небольшая фирма растянула выполнение заказа до конца 1917 года. К тому времени самолет уже устарел, и его применяли лишь в летных школах. Другую копию "Ньюпора II" создала фирма "СШВ". Самолет SSW D.I отличался от "Ньюпора" лишь двигателем Siemens Sh мощностью 81 кВт и характерным капотом. В ноябре 1916 года было заказано 150 машин SSW D.I. До июля 1917 года удалось построить 100 самолетов. Их использовали в основном на Восточном фронте, поскольку самолет все равно успел устареть. Другие фирмы, хотя им также предлагали создать копию "Ньюпора", решили создать собственные конструкции, воспользовавшись лишь общей схемой полутораплана. Что получилось в итоге, описано в соответствующих разделах книги. Как оказалось, простое копирование было проигрышным шагом, поскольку в Германии было немало своих талантливых конструкторов. Аргумент, что "так будет быстрее", в данном случае тоже не сработал (11262).</w:t>
      </w:r>
    </w:p>
    <w:p w14:paraId="3FCC0E52" w14:textId="77777777" w:rsidR="00D50668" w:rsidRPr="00DE096C" w:rsidRDefault="00D50668" w:rsidP="00D45A46">
      <w:pPr>
        <w:pStyle w:val="a3"/>
        <w:jc w:val="both"/>
        <w:rPr>
          <w:bCs/>
          <w:i w:val="0"/>
          <w:color w:val="002060"/>
          <w:spacing w:val="0"/>
          <w:kern w:val="0"/>
          <w:position w:val="0"/>
          <w:sz w:val="16"/>
          <w:szCs w:val="16"/>
        </w:rPr>
      </w:pPr>
    </w:p>
    <w:p w14:paraId="124E33DD" w14:textId="77777777" w:rsidR="00D50668" w:rsidRPr="00DE096C" w:rsidRDefault="00D50668" w:rsidP="00D45A46">
      <w:pPr>
        <w:jc w:val="both"/>
        <w:rPr>
          <w:bCs/>
          <w:color w:val="002060"/>
          <w:sz w:val="16"/>
          <w:szCs w:val="16"/>
        </w:rPr>
      </w:pPr>
      <w:r w:rsidRPr="00DE096C">
        <w:rPr>
          <w:bCs/>
          <w:color w:val="002060"/>
          <w:sz w:val="16"/>
          <w:szCs w:val="16"/>
        </w:rPr>
        <w:t>В августе-октябре 1914 г. начало войны застало немецкую военную авиацию на I первой стадии ее планомерного развития, которое было рассчитано на несколько лет и потому не закончилось к этому моменту. Известны полеты лейтенанта Макентуна, Ферстера, фон Тюна, в 1910—1911 годах в Деберипе был осуществлен перелет имени принца Генриха. Условия этого перелета для того времени были чрезвычайно тяжелыми; они принесли, однако, ту пользу, что с самого начала содействовали подготовке волевых и сильных духом кадров авиационных специалистов.</w:t>
      </w:r>
    </w:p>
    <w:p w14:paraId="5D28511E" w14:textId="77777777" w:rsidR="00D50668" w:rsidRPr="00DE096C" w:rsidRDefault="00D50668" w:rsidP="00D45A46">
      <w:pPr>
        <w:jc w:val="both"/>
        <w:rPr>
          <w:bCs/>
          <w:color w:val="002060"/>
          <w:sz w:val="16"/>
          <w:szCs w:val="16"/>
        </w:rPr>
      </w:pPr>
    </w:p>
    <w:p w14:paraId="6EBCCFB3" w14:textId="77777777" w:rsidR="00D50668" w:rsidRPr="00DE096C" w:rsidRDefault="00D50668" w:rsidP="00D45A46">
      <w:pPr>
        <w:jc w:val="both"/>
        <w:rPr>
          <w:bCs/>
          <w:color w:val="002060"/>
          <w:sz w:val="16"/>
          <w:szCs w:val="16"/>
        </w:rPr>
      </w:pPr>
      <w:r w:rsidRPr="00DE096C">
        <w:rPr>
          <w:bCs/>
          <w:color w:val="002060"/>
          <w:sz w:val="16"/>
          <w:szCs w:val="16"/>
        </w:rPr>
        <w:t xml:space="preserve">В августе-октябре 1914 г., учитывая специфику деятельности нового рода войск, следовало ожидать, что в первые же дни мобилизации авиации потребуются дополнительные летательные аппараты, а также соответствующие комплектующие и запасные части. Всем этим должна была снабжать авиацию германская промышленность, которая оказалась к этому совершенно не готовой. Предъявлявшиеся военным ведомством технические требования к военным самолетам и их моторам в мирное время были очень скромными, заказы на них небольшими, поэтому станочное и аппаратное оборудование наших самолетов и моторостроительных заводов оставляло желать лучшего. Мобилизационные планы не предусматривали увеличения их производительности. Поставки производились в объемах мирного времени, если даже не меньших в связи с тем, что инженеры и квалифицированные рабочие, необходимые для работы на производстве, ушли по призыву в армию. Реквизиции гражданских самолетов произведено не было. Материальным снабжением авиационных частей на фронте должны были заниматься авиационные парки, но они, располагали лишь несколькими ящиками запасных частей для моторов и несколькими запасными плоскостями, никоим образом не могли удовлетворить насущных потребностей. Необходимые отрядам самолетные детали приходилось выписывать из резервных авиационных отрядов, на что тратились недели, поэтому вскоре отряды связались напрямик с заводами; </w:t>
      </w:r>
      <w:r w:rsidRPr="00DE096C">
        <w:rPr>
          <w:rFonts w:eastAsia="Times-Roman"/>
          <w:bCs/>
          <w:color w:val="002060"/>
          <w:sz w:val="16"/>
          <w:szCs w:val="16"/>
        </w:rPr>
        <w:t>òàêîé-òî</w:t>
      </w:r>
      <w:r w:rsidRPr="00DE096C">
        <w:rPr>
          <w:bCs/>
          <w:color w:val="002060"/>
          <w:sz w:val="16"/>
          <w:szCs w:val="16"/>
        </w:rPr>
        <w:t xml:space="preserve"> отправился на автомобиле в Германию за запасными частями - такими записями пестрят страницы журналов военных действий начала войны. Такой способ самоснабжения авиационных отрядов был, разумеется, крайне нерациональным. Мер к планомерному материальному снабжению авиационных отрядов со стороны остававшейся в Берлине Инспекции авиации предпринято не было, так как учесть технические потребности почти 40-а отрядов она была не в состоянии. Промежуточных снабженческих органов при штабах армий не имелось (11282).</w:t>
      </w:r>
    </w:p>
    <w:p w14:paraId="5C790421" w14:textId="77777777" w:rsidR="00D50668" w:rsidRPr="00DE096C" w:rsidRDefault="00D50668" w:rsidP="00D45A46">
      <w:pPr>
        <w:jc w:val="both"/>
        <w:rPr>
          <w:bCs/>
          <w:color w:val="002060"/>
          <w:sz w:val="16"/>
          <w:szCs w:val="16"/>
        </w:rPr>
      </w:pPr>
    </w:p>
    <w:p w14:paraId="29A05ACE" w14:textId="77777777" w:rsidR="00D50668" w:rsidRPr="00DE096C" w:rsidRDefault="00D50668" w:rsidP="00D45A46">
      <w:pPr>
        <w:jc w:val="both"/>
        <w:rPr>
          <w:bCs/>
          <w:color w:val="002060"/>
          <w:sz w:val="16"/>
          <w:szCs w:val="16"/>
        </w:rPr>
      </w:pPr>
      <w:r w:rsidRPr="00DE096C">
        <w:rPr>
          <w:bCs/>
          <w:color w:val="002060"/>
          <w:sz w:val="16"/>
          <w:szCs w:val="16"/>
        </w:rPr>
        <w:t>В августе-октябре 1914 г. вскоре после начала войны, выяснилось, что дирижабли не могут совершать полеты над неприятельским расположением днем, а в 1915 году военный опыт сверх того показал, что дирижабли, даже на восточном фронте, из-за усилившейся противовоздушной обороны могут летать только в безлунные ночи. Таких полетных ночей было лишь около 14-ти в месяц (11282).</w:t>
      </w:r>
    </w:p>
    <w:p w14:paraId="07C84B22" w14:textId="77777777" w:rsidR="00D50668" w:rsidRPr="00DE096C" w:rsidRDefault="00D50668" w:rsidP="00D45A46">
      <w:pPr>
        <w:jc w:val="both"/>
        <w:rPr>
          <w:bCs/>
          <w:color w:val="002060"/>
          <w:sz w:val="16"/>
          <w:szCs w:val="16"/>
        </w:rPr>
      </w:pPr>
    </w:p>
    <w:p w14:paraId="0A5D7E51" w14:textId="77777777" w:rsidR="00C818AD" w:rsidRPr="00DE096C" w:rsidRDefault="00C818AD" w:rsidP="00D45A46">
      <w:pPr>
        <w:jc w:val="both"/>
        <w:rPr>
          <w:bCs/>
          <w:color w:val="002060"/>
          <w:sz w:val="16"/>
          <w:szCs w:val="16"/>
        </w:rPr>
      </w:pPr>
      <w:r w:rsidRPr="00DE096C">
        <w:rPr>
          <w:bCs/>
          <w:color w:val="002060"/>
          <w:sz w:val="16"/>
          <w:szCs w:val="16"/>
        </w:rPr>
        <w:t>С августа по октябрь 1914 г. «</w:t>
      </w:r>
      <w:r w:rsidRPr="00DE096C">
        <w:rPr>
          <w:rFonts w:eastAsia="Times-Roman"/>
          <w:bCs/>
          <w:color w:val="002060"/>
          <w:sz w:val="16"/>
          <w:szCs w:val="16"/>
        </w:rPr>
        <w:t>L</w:t>
      </w:r>
      <w:r w:rsidRPr="00DE096C">
        <w:rPr>
          <w:bCs/>
          <w:color w:val="002060"/>
          <w:sz w:val="16"/>
          <w:szCs w:val="16"/>
        </w:rPr>
        <w:t>Z-4», вылетая из Кенигсберга, большое количество ночных разведывательных полетов в районе Осовца и Шауляя, добывая при этом всякий раз, так же, как и «</w:t>
      </w:r>
      <w:r w:rsidRPr="00DE096C">
        <w:rPr>
          <w:rFonts w:eastAsia="Times-Roman"/>
          <w:bCs/>
          <w:color w:val="002060"/>
          <w:sz w:val="16"/>
          <w:szCs w:val="16"/>
        </w:rPr>
        <w:t>L</w:t>
      </w:r>
      <w:r w:rsidRPr="00DE096C">
        <w:rPr>
          <w:bCs/>
          <w:color w:val="002060"/>
          <w:sz w:val="16"/>
          <w:szCs w:val="16"/>
        </w:rPr>
        <w:t>Z-5», который летал из Познани, ряд ценных сведений о противнике (11282).</w:t>
      </w:r>
    </w:p>
    <w:p w14:paraId="3FC395EF" w14:textId="77777777" w:rsidR="00C818AD" w:rsidRPr="00DE096C" w:rsidRDefault="00C818AD" w:rsidP="00D45A46">
      <w:pPr>
        <w:jc w:val="both"/>
        <w:rPr>
          <w:bCs/>
          <w:color w:val="002060"/>
          <w:sz w:val="16"/>
          <w:szCs w:val="16"/>
        </w:rPr>
      </w:pPr>
    </w:p>
    <w:p w14:paraId="4B78D889" w14:textId="3DE7850B" w:rsidR="00074460" w:rsidRPr="00DE096C" w:rsidRDefault="00074460" w:rsidP="00074460">
      <w:pPr>
        <w:shd w:val="clear" w:color="auto" w:fill="FFFFFF"/>
        <w:jc w:val="both"/>
        <w:rPr>
          <w:bCs/>
          <w:i/>
          <w:color w:val="002060"/>
          <w:sz w:val="16"/>
          <w:szCs w:val="16"/>
        </w:rPr>
      </w:pPr>
      <w:r w:rsidRPr="00DE096C">
        <w:rPr>
          <w:bCs/>
          <w:i/>
          <w:color w:val="002060"/>
          <w:sz w:val="16"/>
          <w:szCs w:val="16"/>
        </w:rPr>
        <w:t xml:space="preserve">Авиация и воздухоплавание </w:t>
      </w:r>
      <w:r>
        <w:rPr>
          <w:bCs/>
          <w:i/>
          <w:color w:val="002060"/>
          <w:sz w:val="16"/>
          <w:szCs w:val="16"/>
        </w:rPr>
        <w:t>Франции</w:t>
      </w:r>
      <w:r w:rsidRPr="00DE096C">
        <w:rPr>
          <w:bCs/>
          <w:i/>
          <w:color w:val="002060"/>
          <w:sz w:val="16"/>
          <w:szCs w:val="16"/>
        </w:rPr>
        <w:t>:</w:t>
      </w:r>
    </w:p>
    <w:p w14:paraId="7617E093" w14:textId="77777777" w:rsidR="00074460" w:rsidRPr="00DE096C" w:rsidRDefault="00074460" w:rsidP="00074460">
      <w:pPr>
        <w:shd w:val="clear" w:color="auto" w:fill="FFFFFF"/>
        <w:jc w:val="both"/>
        <w:rPr>
          <w:bCs/>
          <w:i/>
          <w:color w:val="002060"/>
          <w:sz w:val="16"/>
          <w:szCs w:val="16"/>
        </w:rPr>
      </w:pPr>
    </w:p>
    <w:p w14:paraId="55A0364F" w14:textId="77777777" w:rsidR="00074460" w:rsidRPr="00B52707" w:rsidRDefault="00074460" w:rsidP="00074460">
      <w:pPr>
        <w:jc w:val="both"/>
        <w:rPr>
          <w:color w:val="0070C0"/>
          <w:sz w:val="16"/>
          <w:szCs w:val="16"/>
        </w:rPr>
      </w:pPr>
      <w:r w:rsidRPr="00B52707">
        <w:rPr>
          <w:color w:val="0070C0"/>
          <w:sz w:val="16"/>
          <w:szCs w:val="16"/>
        </w:rPr>
        <w:t>С августа по ноябрь 1914 г., в первый, «маневренный» период Империалистической войны через части Военной авиации Франции прошло не менее трехсот самолетов Моран-Солнье Тип G и Н и по летным данным они в то время оставались на хорошем уровне при нормальной эксплуатационной пригодности, но должным образом командование не смогло их использовать. С другой стороны с 1913 г. оно имело уже самолеты следующей модели Тип L «Парасоль» с лучшим обзором вниз (что важно для наблюдения за полем боя и для разведки, облегчая и посадку) при несколько более высоких летных данных. Именно это объясняет то пренебрежение, с которым командиры ВА Франции относились к самолетам Тип G и Н – они применялись на Западном фронте еще до конца 1915 г., но в основном как резерв, а далее стали переводиться в тыловые части и в летные школы, где оставались, по меньшей мере, до конца 1917 г. (25704).</w:t>
      </w:r>
    </w:p>
    <w:p w14:paraId="7E5054AE" w14:textId="77777777" w:rsidR="00074460" w:rsidRPr="00B52707" w:rsidRDefault="00074460" w:rsidP="00074460">
      <w:pPr>
        <w:jc w:val="both"/>
        <w:rPr>
          <w:color w:val="0070C0"/>
          <w:sz w:val="16"/>
          <w:szCs w:val="16"/>
        </w:rPr>
      </w:pPr>
    </w:p>
    <w:p w14:paraId="29F716F8" w14:textId="77777777" w:rsidR="00D50668" w:rsidRPr="00DE096C" w:rsidRDefault="00D50668" w:rsidP="00D45A46">
      <w:pPr>
        <w:shd w:val="clear" w:color="auto" w:fill="FFFFFF"/>
        <w:jc w:val="both"/>
        <w:rPr>
          <w:bCs/>
          <w:i/>
          <w:color w:val="002060"/>
          <w:sz w:val="16"/>
          <w:szCs w:val="16"/>
        </w:rPr>
      </w:pPr>
      <w:r w:rsidRPr="00DE096C">
        <w:rPr>
          <w:bCs/>
          <w:i/>
          <w:color w:val="002060"/>
          <w:sz w:val="16"/>
          <w:szCs w:val="16"/>
        </w:rPr>
        <w:t>Авиация и воздухоплавание за рубежом:</w:t>
      </w:r>
    </w:p>
    <w:p w14:paraId="0738E3BE" w14:textId="77777777" w:rsidR="00D50668" w:rsidRPr="00DE096C" w:rsidRDefault="00D50668" w:rsidP="00D45A46">
      <w:pPr>
        <w:shd w:val="clear" w:color="auto" w:fill="FFFFFF"/>
        <w:jc w:val="both"/>
        <w:rPr>
          <w:bCs/>
          <w:i/>
          <w:color w:val="002060"/>
          <w:sz w:val="16"/>
          <w:szCs w:val="16"/>
        </w:rPr>
      </w:pPr>
    </w:p>
    <w:p w14:paraId="2C85939E" w14:textId="77777777" w:rsidR="00D50668" w:rsidRPr="00DE096C" w:rsidRDefault="00D50668" w:rsidP="00D45A46">
      <w:pPr>
        <w:pStyle w:val="a3"/>
        <w:jc w:val="both"/>
        <w:rPr>
          <w:bCs/>
          <w:i w:val="0"/>
          <w:color w:val="002060"/>
          <w:spacing w:val="0"/>
          <w:kern w:val="0"/>
          <w:position w:val="0"/>
          <w:sz w:val="16"/>
          <w:szCs w:val="16"/>
        </w:rPr>
      </w:pPr>
      <w:r w:rsidRPr="00DE096C">
        <w:rPr>
          <w:bCs/>
          <w:i w:val="0"/>
          <w:iCs/>
          <w:color w:val="002060"/>
          <w:sz w:val="16"/>
          <w:szCs w:val="16"/>
        </w:rPr>
        <w:t xml:space="preserve">В августе-октябре 1914 г. </w:t>
      </w:r>
      <w:r w:rsidRPr="00DE096C">
        <w:rPr>
          <w:bCs/>
          <w:i w:val="0"/>
          <w:color w:val="002060"/>
          <w:spacing w:val="0"/>
          <w:kern w:val="0"/>
          <w:position w:val="0"/>
          <w:sz w:val="16"/>
          <w:szCs w:val="16"/>
        </w:rPr>
        <w:t>в первые месяцы войны все воюющие стороны активно применяли аэростаты и дирижабли. Но с развитием зенитной обороны дирижабли начали нести все более и более тяжелые потери. В 1915-1916 годах появились специальные средства борьбы с дирижаблями. Самолеты сыпали сверху на дирижабль стальные стрелы, которые до того применялись для борьбы с пехотой и конницей. Стрелы пробивали обшивку, из которой выходил газ. Но таким способом удалось сбить только один дирижабль. Для борьбы с дирижаблями применялись и обычные авиабомбы. Так был сбит первый немецкий цеппелин LZ 37 в июне 1915 года над Бельгией. Но наиболее эффективным средством борьбы с дирижаблями оказался обычный пулемет, стреляющий зажигательными патронами. В результате дирижабли стали применять только по ночам, поэтому пришлось создать ночные истребители. Самолеты получили дополнительное оснащение: прицелы с подсветкой, осветительные ракеты системы Гольта, позиционные огни. Пилоты ночных истребителей проходили дополнительный курс подготовки, оборудовались ночные аэродромы. Вокруг Лондона организовали сеть аэродромов системы ПВО. Самолеты использовались не самые современные, но после доработки, они вполне справлялись с задачами, ставящимися перед ночными истребителями. Выяснилось, что самолеты В.Е. 2с, которые считались неудачными, отлично подошли на роль ночного истребителя. Самолеты переоборудовали, сделав одноместными, а в вырезе правого крыла установили пулемет, направленный вправо и вверх. Первый успех ночной истребитель одержал 3 сентября 1916 года, когда лейтенант У.Л. Робинсон на самолете В.Е. 2с (№ 2092) сбил дирижабль "Шютте-Лянц" SL 11. Следующий дирижабль (L.32) сбил 24 сентября лейтенант Ф. Сори, также летавший на В.Е. 2с. Всего истребители В.Е. 2с сбили пять цеппелинов.. Для борьбы с дирижаблями применялись и другие самолеты. Хорошо показал себя в роли ночного истребителя легкий бомбардировщик DH. 4, который вместо бомб нес пять пулеметов. 5 августа 1917 года налет на Великобританию совершило несколько цеппелинов, в том числе новейший L.70. Англичане своевременно обнаружили немцев. На перехват вылетело 13 английских самолетов, в том числе DH. 4 № А.8032 с экипажем Э. Кедбери и Р. Лек. Самолет набрал высоту 5000 м и оказался под цеппелином, шедшим на 200 м выше. Залп пяти пулеметов оказался достаточным. Зажигательные пули инициировали на цеппелине пожар и взрыв, после чего дирижабль рухнул в море. Весь экипаж цеппелина погиб, в том числе находившийся на его борту Петер Штрессер, командующий флотом немецких цеппелинов и организатор налетов на Великобританию. Вскоре немцы прекратили использовать цеппелины для налетов на Великобританию, заменив их бомбардировщиками "Гота" G. IV и G. V, а также гигантами серии "R". Для борьбы с цеппелинами пытались использовать специальные самолеты "Сопвич" LRTTr. имевшие большой размах крыла и значительную дальность полета. Стрелок на LRTTr располагался на уровне верхнего крыла, имея круговой сектор обстрела (11262).</w:t>
      </w:r>
    </w:p>
    <w:p w14:paraId="1B7CD297" w14:textId="77777777" w:rsidR="00D50668" w:rsidRPr="00DE096C" w:rsidRDefault="00D50668" w:rsidP="00D45A46">
      <w:pPr>
        <w:pStyle w:val="a3"/>
        <w:jc w:val="both"/>
        <w:rPr>
          <w:bCs/>
          <w:i w:val="0"/>
          <w:color w:val="002060"/>
          <w:spacing w:val="0"/>
          <w:kern w:val="0"/>
          <w:position w:val="0"/>
          <w:sz w:val="16"/>
          <w:szCs w:val="16"/>
        </w:rPr>
      </w:pPr>
    </w:p>
    <w:p w14:paraId="1818B632" w14:textId="02DC9047" w:rsidR="00B67D7C" w:rsidRPr="00DE096C" w:rsidRDefault="00B67D7C" w:rsidP="00D45A46">
      <w:pPr>
        <w:jc w:val="both"/>
        <w:rPr>
          <w:bCs/>
          <w:color w:val="002060"/>
          <w:sz w:val="16"/>
          <w:szCs w:val="16"/>
        </w:rPr>
      </w:pPr>
      <w:r w:rsidRPr="00DE096C">
        <w:rPr>
          <w:bCs/>
          <w:color w:val="002060"/>
          <w:sz w:val="16"/>
          <w:szCs w:val="16"/>
        </w:rPr>
        <w:t xml:space="preserve">В августе — сентябре </w:t>
      </w:r>
      <w:r w:rsidR="00207D1C" w:rsidRPr="00DE096C">
        <w:rPr>
          <w:bCs/>
          <w:color w:val="002060"/>
          <w:sz w:val="16"/>
          <w:szCs w:val="16"/>
        </w:rPr>
        <w:t xml:space="preserve">1914 г. при отсутствии воинских прикрытий командир авиабазы в районе Дюнкерка Чарльз Сэмсон, известный авиатор-пионер, и его брат Феликс, лейтенант флота, в кустарном порядке предприняли бронировку котельным железом автомобилей, включая личный «Мерседес» Феликса, и разместили на </w:t>
      </w:r>
      <w:r w:rsidR="00207D1C" w:rsidRPr="00DE096C">
        <w:rPr>
          <w:bCs/>
          <w:color w:val="002060"/>
          <w:sz w:val="16"/>
          <w:szCs w:val="16"/>
        </w:rPr>
        <w:lastRenderedPageBreak/>
        <w:t xml:space="preserve">них пулемёты. </w:t>
      </w:r>
      <w:r w:rsidRPr="00DE096C">
        <w:rPr>
          <w:bCs/>
          <w:color w:val="002060"/>
          <w:sz w:val="16"/>
          <w:szCs w:val="16"/>
        </w:rPr>
        <w:t xml:space="preserve">импровизированные броневики Сэмсонов провели ряд лихих боёв с кавалерией противника, курсируя вдоль бельгийской границы. К делу подключился Суэтер. Успех бронеавтомобилей дал Адмиралтейству основания начать проектирование капитальных броневиков, а в октябре приступить к формированию бронедивизиона R.N.A.S. под командованием Э.Л. Бузди в составе 15-ти бронеэскадронов по 3 взвода в каждом (4 БА во взводе). Меж тем на фронтах возлюбили лопату и усиленно рыли окопы, возможности для операций на открытой местности иссякали, бронеэскадроны убывали в Африку, на Ближний Восток, в Индию, иным грозило расформирование. Но энтузиазм всех чинов бронеавтомо-бильной службы R.N.A.S. был неукротим. Пионеры авиации открыли целую область войны, рождённые летать теперь желали ползать. Только на чём? В начале февраля 1915 года в Мюррей Клубе (Murray's Club) беседовали майор R.N.A.S. Хезерингтон, лейтенант R.N.A.S. Стерн, гоночный моторист Джеймс Редли. Двух первых из этой компании, рассуждавшей о том, как преодолеть Рейн, охарактеризуем особо Томас Дж. Хезерингтон — 28 лет, вместо университета работал три года в качестве ученика на механических заводах Модсли, служил в 18-м гусарском полку, представлял Великобританию на конных скачках в Сан-Себастьяне, Брюсселе, Нью-Йорке, Чикаго, летал с 1911 года, имел сертификат авиатора за № 25, один из основателей авиабатальона Королевского инженерного корпуса, в 1912 году получил сертификат пилота-воздухоплавателя. </w:t>
      </w:r>
    </w:p>
    <w:p w14:paraId="071249E0" w14:textId="77777777" w:rsidR="00B67D7C" w:rsidRPr="00DE096C" w:rsidRDefault="00B67D7C" w:rsidP="00D45A46">
      <w:pPr>
        <w:jc w:val="both"/>
        <w:rPr>
          <w:bCs/>
          <w:color w:val="002060"/>
          <w:sz w:val="16"/>
          <w:szCs w:val="16"/>
        </w:rPr>
      </w:pPr>
      <w:r w:rsidRPr="00DE096C">
        <w:rPr>
          <w:bCs/>
          <w:color w:val="002060"/>
          <w:sz w:val="16"/>
          <w:szCs w:val="16"/>
        </w:rPr>
        <w:t>Альберт Джеральд Стерн. Секретарь «Комитета сухопутных кораблей» (L.S.C.). Человек колоссальных пробивных способностей. Сын Джеймса Стерна, основавшего в 1807 году во Франкфурте банкирский дом «Братья Стерн» (подобно Ротшильдам, три независимых отделения во Франкфурте, Париже, Лондоне), после Оксфорда изучал банковское дело во Франкфурте и Нью-Йорке, в 25 лет был принят в партнёры.</w:t>
      </w:r>
    </w:p>
    <w:p w14:paraId="63A8C235" w14:textId="77777777" w:rsidR="00B67D7C" w:rsidRPr="00DE096C" w:rsidRDefault="00B67D7C" w:rsidP="00D45A46">
      <w:pPr>
        <w:jc w:val="both"/>
        <w:rPr>
          <w:bCs/>
          <w:color w:val="002060"/>
          <w:sz w:val="16"/>
          <w:szCs w:val="16"/>
        </w:rPr>
      </w:pPr>
      <w:r w:rsidRPr="00DE096C">
        <w:rPr>
          <w:bCs/>
          <w:color w:val="002060"/>
          <w:sz w:val="16"/>
          <w:szCs w:val="16"/>
        </w:rPr>
        <w:t xml:space="preserve">В тот день Хезерингтон был в ударе, много говорил и в основном о хорошо известном аттракционе «Большое колесо». Его сознание преломляло эту штуку в громадный трёхколёсный «сухопутный линкор». Идея впечатляла. Герцог Вэстминстерский — 35-летний офицер R.N.A.S. (в марте 2-му бронедивизиону под его командой предстояло направиться во Францию) согласился устроить званый обед с участием Черчилля. Он состоялся 17 февраля. От R.N.A.S. присутствовали Суэтер, Хезерингтон, Стерн, Бригс. Абсурдность видений Хезерингтона, демонстрировавшего богатейшее воображение, не смутила Первого лорда даже при последующем обсуждении с адмиралом Джоном Фишером, не оставившем от них камня на камне. Вскоре будет ясно сколь здраво поступил Черчилль. Никто не понимал всю широту задачи так, как он, ибо волей судьбы владел всей полнотой информации, а именно: </w:t>
      </w:r>
    </w:p>
    <w:p w14:paraId="5C2F4F0F" w14:textId="77777777" w:rsidR="00B67D7C" w:rsidRPr="00DE096C" w:rsidRDefault="00B67D7C" w:rsidP="00D45A46">
      <w:pPr>
        <w:jc w:val="both"/>
        <w:rPr>
          <w:bCs/>
          <w:color w:val="002060"/>
          <w:sz w:val="16"/>
          <w:szCs w:val="16"/>
        </w:rPr>
      </w:pPr>
      <w:r w:rsidRPr="00DE096C">
        <w:rPr>
          <w:bCs/>
          <w:color w:val="002060"/>
          <w:sz w:val="16"/>
          <w:szCs w:val="16"/>
        </w:rPr>
        <w:t xml:space="preserve">I. Успехи автобронеслужбы R.N.A.S. для Первого лорда Адмиралтейства не секрет, как не секрет, что траншеи для бронеавтомобилей непреодолимы. Однако ещё в ноябре 1914 года капитан Туллок, управлявший Пороховой компанией в Чильворте, сообщил свои мысли Морису Хэнки на счёт создания бронированного «сухопутного крейсера», способного добраться до неприятельских пушечных и гаубичных позиций, а позже довёл их и до Черчилля. </w:t>
      </w:r>
    </w:p>
    <w:p w14:paraId="1DF8CA31" w14:textId="77777777" w:rsidR="00B67D7C" w:rsidRPr="00DE096C" w:rsidRDefault="00B67D7C" w:rsidP="00D45A46">
      <w:pPr>
        <w:jc w:val="both"/>
        <w:rPr>
          <w:bCs/>
          <w:color w:val="002060"/>
          <w:sz w:val="16"/>
          <w:szCs w:val="16"/>
        </w:rPr>
      </w:pPr>
      <w:r w:rsidRPr="00DE096C">
        <w:rPr>
          <w:bCs/>
          <w:color w:val="002060"/>
          <w:sz w:val="16"/>
          <w:szCs w:val="16"/>
        </w:rPr>
        <w:t xml:space="preserve">II. Только что Свинтона постигла неудача — армия вынесла отрицательный вердикт по «Holt». Содержание меморандума Хэнки Черчиллю было хорошо известно, в январе 1915 он сам направил развёрнутое письмо в его поддержку на имя Премьера Асквита. В данном случае всего днём раньше, 16. 02. 1915 года на параде Конной Гвардии он лично встал между оглоблями одногусеничной (вспомним «Вездеход») прицепки «Pedrail» и выяснил, что может без труда буксировать 2 тонны. Инженер Брахам Диплок, владелец «Diplock» Caterpillar Tractor Company из Фулхэма заявил о существовании этой коммерческой тележки на конной тяге 14. 11. 1914 года, рекомендовал использовать для перевозки тяжёлых орудий и снаряжения по тяжёлым грунтам. Лорд Китченер ничего дельного в ней не нашёл, Черчилль решил осмотреть. Организация осмотра, кстати, не обошлась без участия Суэте-ра и Хезерингтона. </w:t>
      </w:r>
    </w:p>
    <w:p w14:paraId="6C71882C" w14:textId="77777777" w:rsidR="00B67D7C" w:rsidRPr="00DE096C" w:rsidRDefault="00B67D7C" w:rsidP="00D45A46">
      <w:pPr>
        <w:jc w:val="both"/>
        <w:rPr>
          <w:bCs/>
          <w:color w:val="002060"/>
          <w:sz w:val="16"/>
          <w:szCs w:val="16"/>
        </w:rPr>
      </w:pPr>
      <w:r w:rsidRPr="00DE096C">
        <w:rPr>
          <w:bCs/>
          <w:color w:val="002060"/>
          <w:sz w:val="16"/>
          <w:szCs w:val="16"/>
        </w:rPr>
        <w:t>III. 13.02.1915 года Черчилль выдал заказ на 30 тракторов тягачей «Daimler-Foster» R.M.A. (Royal Marine Artillery — Королевская Морская Артиллерия) — средство буксировки 15-дм гаубиц адмирала Бэкона (Артзаводы Ковентри). Приобретение орудий планировалось при условии комплектации подходящими тягачами. По заказу Бэкона тягач спроектировал Уильям Триттон, исполнительный директор «Lincolnengineers William Foster &amp; ОД». 01.11.1914 года первый образец вышел на испытания. Его большие ведущие колёса имели в диаметре 8 футов (какой ни есть, а Хезерингтону бальзам на душу) (12111).</w:t>
      </w:r>
    </w:p>
    <w:p w14:paraId="5A820009" w14:textId="77777777" w:rsidR="00B67D7C" w:rsidRPr="00DE096C" w:rsidRDefault="00B67D7C" w:rsidP="00D45A46">
      <w:pPr>
        <w:jc w:val="both"/>
        <w:rPr>
          <w:bCs/>
          <w:color w:val="002060"/>
          <w:sz w:val="16"/>
          <w:szCs w:val="16"/>
        </w:rPr>
      </w:pPr>
    </w:p>
    <w:p w14:paraId="48484371"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w:t>
      </w:r>
    </w:p>
    <w:p w14:paraId="17502EA7" w14:textId="77777777" w:rsidR="00B67D7C" w:rsidRPr="00DE096C" w:rsidRDefault="00B67D7C" w:rsidP="00D45A46">
      <w:pPr>
        <w:shd w:val="clear" w:color="auto" w:fill="FFFFFF"/>
        <w:jc w:val="both"/>
        <w:rPr>
          <w:bCs/>
          <w:i/>
          <w:color w:val="002060"/>
          <w:sz w:val="16"/>
          <w:szCs w:val="16"/>
        </w:rPr>
      </w:pPr>
    </w:p>
    <w:p w14:paraId="7A1A8605" w14:textId="77777777" w:rsidR="00B67D7C" w:rsidRPr="00DE096C" w:rsidRDefault="00B67D7C" w:rsidP="00D45A46">
      <w:pPr>
        <w:jc w:val="both"/>
        <w:rPr>
          <w:bCs/>
          <w:color w:val="002060"/>
          <w:sz w:val="16"/>
          <w:szCs w:val="16"/>
        </w:rPr>
      </w:pPr>
      <w:r w:rsidRPr="00DE096C">
        <w:rPr>
          <w:bCs/>
          <w:color w:val="002060"/>
          <w:sz w:val="16"/>
          <w:szCs w:val="16"/>
        </w:rPr>
        <w:t>К сентябрю 1914 первый месяц войны закончился. Наиболее значительными событиями месяца были гибель русской армии Самсонова и бомбардировка Антверпена.</w:t>
      </w:r>
    </w:p>
    <w:p w14:paraId="66946759" w14:textId="77777777" w:rsidR="00B67D7C" w:rsidRPr="00DE096C" w:rsidRDefault="00B67D7C" w:rsidP="00D45A46">
      <w:pPr>
        <w:jc w:val="both"/>
        <w:rPr>
          <w:bCs/>
          <w:color w:val="002060"/>
          <w:sz w:val="16"/>
          <w:szCs w:val="16"/>
        </w:rPr>
      </w:pPr>
      <w:r w:rsidRPr="00DE096C">
        <w:rPr>
          <w:bCs/>
          <w:color w:val="002060"/>
          <w:sz w:val="16"/>
          <w:szCs w:val="16"/>
        </w:rPr>
        <w:t>Окончательно утвердилась за авиацией ее важнейшая задача - оперативная разведка. Ранее командование фронтов и армий основные задания по разведке глубокого тыла противника возлагало на конницу, проникавшую иногда на сотни километров в глубь территории противника, а авиацию рассматривало лишь как средство ближней разведки и связи в радиусе 100-120 км. Однако после первых же разведывательных полетов выяснилось, что авиация способна гораздо быстрее, точнее и документированнее, чем конница, доставлять все необходимые сведения командованию.</w:t>
      </w:r>
    </w:p>
    <w:p w14:paraId="664DB325" w14:textId="77777777" w:rsidR="00B67D7C" w:rsidRPr="00DE096C" w:rsidRDefault="00B67D7C" w:rsidP="00D45A46">
      <w:pPr>
        <w:jc w:val="both"/>
        <w:rPr>
          <w:bCs/>
          <w:color w:val="002060"/>
          <w:sz w:val="16"/>
          <w:szCs w:val="16"/>
        </w:rPr>
      </w:pPr>
      <w:r w:rsidRPr="00DE096C">
        <w:rPr>
          <w:bCs/>
          <w:color w:val="002060"/>
          <w:sz w:val="16"/>
          <w:szCs w:val="16"/>
        </w:rPr>
        <w:t>Гёпнер: "Несмотря на величайшее самопожертвование, - баварская кавалерийская дивизия потеряла уже в августе 1400 коней и лучших начальников патрулей, - кавалерии не удавалось проникнуть более чем на 15 км в расположение противника... На левом фланге командование принимало решения, основанные почти исключительно на донесениях летчиков... Донесения летчиков позволили 6-й армии в Лотарингии выйти из-под удара превосходящих сил противника и тотчас же остановиться, как только приостановилось наступление противника. Донесения летчиков сыграли также значительную роль в принятии решения начать сражение в Лотарингии..."</w:t>
      </w:r>
    </w:p>
    <w:p w14:paraId="4DDE8F45" w14:textId="77777777" w:rsidR="00B67D7C" w:rsidRPr="00DE096C" w:rsidRDefault="00B67D7C" w:rsidP="00D45A46">
      <w:pPr>
        <w:jc w:val="both"/>
        <w:rPr>
          <w:bCs/>
          <w:color w:val="002060"/>
          <w:sz w:val="16"/>
          <w:szCs w:val="16"/>
        </w:rPr>
      </w:pPr>
      <w:r w:rsidRPr="00DE096C">
        <w:rPr>
          <w:bCs/>
          <w:color w:val="002060"/>
          <w:sz w:val="16"/>
          <w:szCs w:val="16"/>
        </w:rPr>
        <w:t>Поражение 2-й русской армии генерала Самсонова в большой мере явилось следствием пренебрежения русского командования к данным авиаразведки, своевременно вскрывшей движение корпуса Макензена в обход правого фланга армии и предупредившей о сосредоточении противника на флангах русской армии.</w:t>
      </w:r>
    </w:p>
    <w:p w14:paraId="6E2B3B6E" w14:textId="77777777" w:rsidR="00B67D7C" w:rsidRPr="00DE096C" w:rsidRDefault="00B67D7C" w:rsidP="00D45A46">
      <w:pPr>
        <w:jc w:val="both"/>
        <w:rPr>
          <w:bCs/>
          <w:color w:val="002060"/>
          <w:sz w:val="16"/>
          <w:szCs w:val="16"/>
        </w:rPr>
      </w:pPr>
      <w:r w:rsidRPr="00DE096C">
        <w:rPr>
          <w:bCs/>
          <w:color w:val="002060"/>
          <w:sz w:val="16"/>
          <w:szCs w:val="16"/>
        </w:rPr>
        <w:t>Также французская авиационная разведка вскрыла концентрацию германских войск у бельгийской границы, что позволяло своевременно раскрыть замысел германского генерального штаба - нанесение удара через Бельгию. Однако французское военное командование скептически отнеслось к этим данным авиаразведки, посчитав, что летчики преувеличивают, и половина германской армии не может быть сосредоточена у Бельгии.</w:t>
      </w:r>
    </w:p>
    <w:p w14:paraId="0B93E459" w14:textId="77777777" w:rsidR="00B67D7C" w:rsidRPr="00DE096C" w:rsidRDefault="00B67D7C" w:rsidP="00D45A46">
      <w:pPr>
        <w:jc w:val="both"/>
        <w:rPr>
          <w:bCs/>
          <w:color w:val="002060"/>
          <w:sz w:val="16"/>
          <w:szCs w:val="16"/>
        </w:rPr>
      </w:pPr>
      <w:r w:rsidRPr="00DE096C">
        <w:rPr>
          <w:bCs/>
          <w:color w:val="002060"/>
          <w:sz w:val="16"/>
          <w:szCs w:val="16"/>
        </w:rPr>
        <w:t>Авиация в военной массе продолжала еще восприниматься весьма скептически, и только наиболее передовые военные уже по результатам этого месяца поняли все превосходство авиационной разведки над всеми прочими видами.</w:t>
      </w:r>
    </w:p>
    <w:p w14:paraId="43ABE7B3" w14:textId="77777777" w:rsidR="00B67D7C" w:rsidRPr="00DE096C" w:rsidRDefault="00B67D7C" w:rsidP="00D45A46">
      <w:pPr>
        <w:jc w:val="both"/>
        <w:rPr>
          <w:bCs/>
          <w:color w:val="002060"/>
          <w:sz w:val="16"/>
          <w:szCs w:val="16"/>
        </w:rPr>
      </w:pPr>
      <w:r w:rsidRPr="00DE096C">
        <w:rPr>
          <w:bCs/>
          <w:color w:val="002060"/>
          <w:sz w:val="16"/>
          <w:szCs w:val="16"/>
        </w:rPr>
        <w:t>Вот что писал генерал Брусилов о первых днях войны: "Воздушная разведка вследствие недостатка и плохого качества самолетов была довольно слабая, но, тем не менее, то, что мы знали, получалось главным образом через ее посредство: агентов шпионажа у нас мало и те, которых мы наскоро набрали, были плохи. Кавалерийская разведка проникнуть глубоко не могла, так как пограничная река Збруч была сплошь и густо занята неприятельскими пехотными заставами..."</w:t>
      </w:r>
    </w:p>
    <w:p w14:paraId="34E48ECD" w14:textId="77777777" w:rsidR="00B67D7C" w:rsidRPr="00DE096C" w:rsidRDefault="00B67D7C" w:rsidP="00D45A46">
      <w:pPr>
        <w:jc w:val="both"/>
        <w:rPr>
          <w:bCs/>
          <w:color w:val="002060"/>
          <w:sz w:val="16"/>
          <w:szCs w:val="16"/>
        </w:rPr>
      </w:pPr>
      <w:r w:rsidRPr="00DE096C">
        <w:rPr>
          <w:bCs/>
          <w:color w:val="002060"/>
          <w:sz w:val="16"/>
          <w:szCs w:val="16"/>
        </w:rPr>
        <w:t>Конечно же, конница и агентурная разведка продолжали свою работу. Но авиация теперь уже начала выполнять задачи не только тактической разведки фронта и прифронтовой полосы, но и глубокой разведки тыла, проникая на 300-400 км в глубь территории противника.</w:t>
      </w:r>
      <w:r w:rsidRPr="00DE096C">
        <w:rPr>
          <w:bCs/>
          <w:color w:val="002060"/>
          <w:sz w:val="16"/>
          <w:szCs w:val="16"/>
        </w:rPr>
        <w:cr/>
        <w:t>Поначалу разведка носила визуальный характер. На первом этапе войны при средних условиях видимости и почти полном отсутствии маскировки можно было наблюдать невооруженным глазом с высоты до 600 м отдельных людей, с высоты 1200-1500 м - группы людей, с высоты 2500-3000 м - колонны войск. Особо срочные результаты визуальной разведки передавались наземным частям с помощью вымпела, сбрасываемого летчиком в расположении своих войск. В отдельных случаях уже начинали применяться и фотокамеры (Нестеров, Мачавариани и др.) Даже при таких примитивных способах организации дела штабы армии получали от корпусных и армейских авиаотрядов ценнейшие сведения о противнике.</w:t>
      </w:r>
    </w:p>
    <w:p w14:paraId="3F4720F8" w14:textId="77777777" w:rsidR="00B67D7C" w:rsidRPr="00DE096C" w:rsidRDefault="00B67D7C" w:rsidP="00D45A46">
      <w:pPr>
        <w:jc w:val="both"/>
        <w:rPr>
          <w:bCs/>
          <w:color w:val="002060"/>
          <w:sz w:val="16"/>
          <w:szCs w:val="16"/>
        </w:rPr>
      </w:pPr>
      <w:r w:rsidRPr="00DE096C">
        <w:rPr>
          <w:bCs/>
          <w:color w:val="002060"/>
          <w:sz w:val="16"/>
          <w:szCs w:val="16"/>
        </w:rPr>
        <w:t>Но в первый же месяц войны авиация успела проявить себя в качестве не только эффективного разведывательного средства, но также бомбардировочного, корректировочного и истребительного, хотя и в значительно меньшей степени. В первые дни войны провел бомбардировку железнодорожного узла в Меце французский военный летчик Сен-Бри. Также французский военный летчик Адольф Пегу, испытывая новый аппарат, попутно разбомбил железнодорожное депо на германской территории и аэростат-корректировщик, использовав в общей сложности 10 небольших бомб.</w:t>
      </w:r>
    </w:p>
    <w:p w14:paraId="26C8A369" w14:textId="77777777" w:rsidR="00B67D7C" w:rsidRPr="00DE096C" w:rsidRDefault="00B67D7C" w:rsidP="00D45A46">
      <w:pPr>
        <w:jc w:val="both"/>
        <w:rPr>
          <w:bCs/>
          <w:color w:val="002060"/>
          <w:sz w:val="16"/>
          <w:szCs w:val="16"/>
        </w:rPr>
      </w:pPr>
      <w:r w:rsidRPr="00DE096C">
        <w:rPr>
          <w:bCs/>
          <w:color w:val="002060"/>
          <w:sz w:val="16"/>
          <w:szCs w:val="16"/>
        </w:rPr>
        <w:t>В этот первый месяц войны уже произошло два воздушных столкновения, каждое из которых было по-своему замечательным. Первое из них в небе над Парижем, а второе очень похоже еще на одну легенду. В небе над Лондоном британскому пилоту удалось застрелить германского летчика. Последний мертвой хваткой сжал рукоятку управления, в результате чего его аэроплан благополучно спланировал и достался британцам в абсолютно исправном виде.</w:t>
      </w:r>
    </w:p>
    <w:p w14:paraId="7A31BA66" w14:textId="77777777" w:rsidR="00B67D7C" w:rsidRPr="00DE096C" w:rsidRDefault="00B67D7C" w:rsidP="00D45A46">
      <w:pPr>
        <w:jc w:val="both"/>
        <w:rPr>
          <w:bCs/>
          <w:color w:val="002060"/>
          <w:sz w:val="16"/>
          <w:szCs w:val="16"/>
        </w:rPr>
      </w:pPr>
      <w:r w:rsidRPr="00DE096C">
        <w:rPr>
          <w:bCs/>
          <w:color w:val="002060"/>
          <w:sz w:val="16"/>
          <w:szCs w:val="16"/>
        </w:rPr>
        <w:t>Также в этом месяце германские и британские авиаторы успели обменяться налетами на штаб-квартиры. Британские летчики разбомбили полевую резиденцию кайзера Вильгельма, однако по счастливой для германцев случайности кайзер всего за 20 минут до этого выехал на другую квартиру. Бомбы разнесли в клочья автомобиль и замешкавшихся адъютантов. Вскоре после этого, после тщательной разведки с помощью тайных агентов, германские авиаторы совершили налет на загородную виллу бельгийского короля Альберта, но все бомбы угодили в сад.</w:t>
      </w:r>
    </w:p>
    <w:p w14:paraId="60C8D14A" w14:textId="77777777" w:rsidR="00B67D7C" w:rsidRPr="00DE096C" w:rsidRDefault="00B67D7C" w:rsidP="00D45A46">
      <w:pPr>
        <w:jc w:val="both"/>
        <w:rPr>
          <w:bCs/>
          <w:color w:val="002060"/>
          <w:sz w:val="16"/>
          <w:szCs w:val="16"/>
        </w:rPr>
      </w:pPr>
      <w:r w:rsidRPr="00DE096C">
        <w:rPr>
          <w:bCs/>
          <w:color w:val="002060"/>
          <w:sz w:val="16"/>
          <w:szCs w:val="16"/>
        </w:rPr>
        <w:t>Однако все эти бомбардировки с аэропланов имели пока что лишь моральное значение, гораздо больше ущерба принесли бомбардировки с дирижаблей, но и они практически не оказывали серьезного влияния на ход боевых действий.</w:t>
      </w:r>
    </w:p>
    <w:p w14:paraId="1311F600" w14:textId="77777777" w:rsidR="00B67D7C" w:rsidRPr="00DE096C" w:rsidRDefault="00B67D7C" w:rsidP="00D45A46">
      <w:pPr>
        <w:jc w:val="both"/>
        <w:rPr>
          <w:bCs/>
          <w:color w:val="002060"/>
          <w:sz w:val="16"/>
          <w:szCs w:val="16"/>
        </w:rPr>
      </w:pPr>
      <w:r w:rsidRPr="00DE096C">
        <w:rPr>
          <w:bCs/>
          <w:color w:val="002060"/>
          <w:sz w:val="16"/>
          <w:szCs w:val="16"/>
        </w:rPr>
        <w:t>Летчики продолжали искать средства для воздушной борьбы. Нестеров еще накануне войны оснастил свой аэроплан якорем, подвешенным на конце 20-метрового троса. Идея заключалась в следующем: подлететь к неприятелю сзади и сверху, зацепить якорем крыло или хвостовое оперение и вывести его машину из равновесия. Кроме того, Нестеров считал, что, получив превосходство в воздухе по высоте, можно, искусно маневрируя, прижать противника к земле и принудить его опуститься в расположении русских. Для борьбы с дирижаблями и аэростатами Нестеров укрепил на хвосте своего аэроплана пилу; он предполагал вспарывать ею оболочки воздушных кораблей. Затем он прицепил под самолетом на длинном стальном тросе грузик, выпуская который в нужный момент, рассчитывал опутать тросом винт вражеской машины и заставить ее приземлиться. Другой способ, более опасный, но также выполнимый, состоял, по мнению Нестерова, в прямом нападении на противника - достаточно "чиркнуть" колесами своей машины по центроплану или крылу противника, чтобы сбить его. Нестерову указывали на опасность подобного маневра, но он считал, что при умелом исполнении здесь нет большого риска. Пытался Нестеров добиться и установки на своем аэроплане пулемета для стрельбы поверх винта. Но получить пулемет ему не удалось: "военным летчикам пулемет по штату не положен".</w:t>
      </w:r>
    </w:p>
    <w:p w14:paraId="331729FA" w14:textId="77777777" w:rsidR="00B67D7C" w:rsidRPr="00DE096C" w:rsidRDefault="00B67D7C" w:rsidP="00D45A46">
      <w:pPr>
        <w:jc w:val="both"/>
        <w:rPr>
          <w:bCs/>
          <w:color w:val="002060"/>
          <w:sz w:val="16"/>
          <w:szCs w:val="16"/>
        </w:rPr>
      </w:pPr>
      <w:r w:rsidRPr="00DE096C">
        <w:rPr>
          <w:bCs/>
          <w:color w:val="002060"/>
          <w:sz w:val="16"/>
          <w:szCs w:val="16"/>
        </w:rPr>
        <w:lastRenderedPageBreak/>
        <w:t>ГВТУ (Главное военно-техническое управление) русской армии представило Генеральному штабу в августе месяце следующие соображения относительно военного применения авиации: "На первом месте должна стоять задача разведки, если эта задача будет заслонена погоней за превращением аппаратов в средства воздушного боя, то может случиться... что ни та, ни другая задача не будет достигнута". С начала войны верховное командование русской армии не придавало никакого значения воздушному бою. И даже уже в ходе войны, когда ГВТУ представило в Генеральный штаб соображения о возможных видах боевого применения самолетов, мысль о воздушном бое не встретила поддержки в высших военных кругах. Руководители Генерального штаба особенно подчеркивали в своем заключении, что "мысль о том, что во время войны придется раньше всего сразиться, чтобы овладеть воздухом, едва ли верна, это значило бы поставить на карту воздухоплавательные средства и при том без надобности". Поэтому никаких мероприятий по вооружению самолетов в России не проводилось.</w:t>
      </w:r>
    </w:p>
    <w:p w14:paraId="1AB23CB5" w14:textId="77777777" w:rsidR="00B67D7C" w:rsidRPr="00DE096C" w:rsidRDefault="00B67D7C" w:rsidP="00D45A46">
      <w:pPr>
        <w:jc w:val="both"/>
        <w:rPr>
          <w:bCs/>
          <w:color w:val="002060"/>
          <w:sz w:val="16"/>
          <w:szCs w:val="16"/>
        </w:rPr>
      </w:pPr>
      <w:r w:rsidRPr="00DE096C">
        <w:rPr>
          <w:bCs/>
          <w:color w:val="002060"/>
          <w:sz w:val="16"/>
          <w:szCs w:val="16"/>
        </w:rPr>
        <w:t>Но столкновения и смертельная борьба между крылатыми людьми неизбежно должны были возникнуть. И, помимо создания зенитной артиллерии, лучшим средством борьбы с авиацией противника могла стать только хорошо организованная собственная авиация.</w:t>
      </w:r>
    </w:p>
    <w:p w14:paraId="42CF99E9" w14:textId="77777777" w:rsidR="00B67D7C" w:rsidRPr="00DE096C" w:rsidRDefault="00B67D7C" w:rsidP="00D45A46">
      <w:pPr>
        <w:jc w:val="both"/>
        <w:rPr>
          <w:bCs/>
          <w:color w:val="002060"/>
          <w:sz w:val="16"/>
          <w:szCs w:val="16"/>
        </w:rPr>
      </w:pPr>
      <w:r w:rsidRPr="00DE096C">
        <w:rPr>
          <w:bCs/>
          <w:color w:val="002060"/>
          <w:sz w:val="16"/>
          <w:szCs w:val="16"/>
        </w:rPr>
        <w:t>Отдельные летчики и конструкторы, предвидя возможность воздушного боя, еще накануне войны различным образом готовились к таким столкновениям. Затем при встрече с противником уже во время военных действий отдельные летчики пытались стрелять из пистолетов, но при скорости полета 100-115 км/час такая стрельба оказалась совершенно безрезультатной.</w:t>
      </w:r>
    </w:p>
    <w:p w14:paraId="3150554A" w14:textId="77777777" w:rsidR="00B67D7C" w:rsidRPr="00DE096C" w:rsidRDefault="00B67D7C" w:rsidP="00D45A46">
      <w:pPr>
        <w:jc w:val="both"/>
        <w:rPr>
          <w:bCs/>
          <w:color w:val="002060"/>
          <w:sz w:val="16"/>
          <w:szCs w:val="16"/>
        </w:rPr>
      </w:pPr>
      <w:r w:rsidRPr="00DE096C">
        <w:rPr>
          <w:bCs/>
          <w:color w:val="002060"/>
          <w:sz w:val="16"/>
          <w:szCs w:val="16"/>
        </w:rPr>
        <w:t>Просьбы русских авиаотрядов дать им хотя бы немного пулеметов отклонялись под предлогом, что это оружие не положено по штату летным подразделениям. Экипажам предлагалось брать в полет крупнокалиберные пистолеты. И это несмотря на то, что еще в феврале 1911 г. по представлению Шишкевича начальник русского Генштаба Я. Г. Жилинский испрашивал у военного министра Сухомлинова разрешения передать первые 30 легких пулеметов "Вик- керс" в авиаотряды. Сухомлинов ответил согласием и первые 6 пулеметов были установлены 18 июля 1911 г. в 8-й авиационной роте на "Фарманах-15" (11999).</w:t>
      </w:r>
    </w:p>
    <w:p w14:paraId="71E4C2F5" w14:textId="77777777" w:rsidR="00B67D7C" w:rsidRPr="00DE096C" w:rsidRDefault="00B67D7C" w:rsidP="00D45A46">
      <w:pPr>
        <w:jc w:val="both"/>
        <w:rPr>
          <w:bCs/>
          <w:color w:val="002060"/>
          <w:sz w:val="16"/>
          <w:szCs w:val="16"/>
        </w:rPr>
      </w:pPr>
    </w:p>
    <w:p w14:paraId="7018315A"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Морская авиация:</w:t>
      </w:r>
    </w:p>
    <w:p w14:paraId="6B2A4FBD" w14:textId="77777777" w:rsidR="00B67D7C" w:rsidRPr="00DE096C" w:rsidRDefault="00B67D7C" w:rsidP="00D45A46">
      <w:pPr>
        <w:pStyle w:val="a3"/>
        <w:jc w:val="both"/>
        <w:rPr>
          <w:bCs/>
          <w:color w:val="002060"/>
          <w:spacing w:val="0"/>
          <w:kern w:val="0"/>
          <w:position w:val="0"/>
          <w:sz w:val="16"/>
          <w:szCs w:val="16"/>
        </w:rPr>
      </w:pPr>
    </w:p>
    <w:p w14:paraId="51420437" w14:textId="77777777" w:rsidR="00B67D7C" w:rsidRPr="00DE096C" w:rsidRDefault="00B67D7C" w:rsidP="00D45A46">
      <w:pPr>
        <w:jc w:val="both"/>
        <w:rPr>
          <w:bCs/>
          <w:color w:val="002060"/>
          <w:sz w:val="16"/>
          <w:szCs w:val="16"/>
        </w:rPr>
      </w:pPr>
      <w:r w:rsidRPr="00DE096C">
        <w:rPr>
          <w:bCs/>
          <w:color w:val="002060"/>
          <w:sz w:val="16"/>
          <w:szCs w:val="16"/>
        </w:rPr>
        <w:t>Как перед войной, так и в ходе кампании 1914 года большое внимание на Черноморском флоте с учетом географических особенностей данного морского театра военных действий уделялось корабельной авиации и авианесущим кораблям (АВК). Первоначально черноморцы предлагали оснастить гидроаэропланами крейсера «Кагул», «Память Меркурия» и «Алмаз». Положительный опыт по подъему и спуску с палубы «Кагула» двух гидропланов к сентябрю 1914 года уже имелся. Благодаря активному вмешательству адмирала А.А. Эбергарда черноморцы уже в декабре 1914 года закончили переоборудование посыльных судов «Император Александр I» и «Император Николай I» в авианесущие корабли (См.: Он же. Авианесущие корабли русского военного флота // Воен.-истор. журнал. 2004. № 2. С. 25.). В начале 1915 года оба корабля были включены в боевой состав флота и вскоре получили боевое крещение в составе отрядов боевых кораблей (ОБК) Черноморского флота. Чуть позже для выполнения наиболее важных заданий в состав корабельных групп стали включаться сразу два авианесущих корабля (11177).</w:t>
      </w:r>
    </w:p>
    <w:p w14:paraId="6CA883E0" w14:textId="605E9633" w:rsidR="00B67D7C" w:rsidRPr="00DE096C" w:rsidRDefault="00B67D7C" w:rsidP="00D45A46">
      <w:pPr>
        <w:jc w:val="both"/>
        <w:rPr>
          <w:bCs/>
          <w:color w:val="002060"/>
          <w:sz w:val="16"/>
          <w:szCs w:val="16"/>
        </w:rPr>
      </w:pPr>
    </w:p>
    <w:p w14:paraId="27B510E6" w14:textId="671B62A5" w:rsidR="002F474A" w:rsidRPr="00DE096C" w:rsidRDefault="002F474A" w:rsidP="00D45A46">
      <w:pPr>
        <w:jc w:val="both"/>
        <w:rPr>
          <w:bCs/>
          <w:i/>
          <w:iCs/>
          <w:color w:val="002060"/>
          <w:sz w:val="16"/>
          <w:szCs w:val="16"/>
        </w:rPr>
      </w:pPr>
      <w:r w:rsidRPr="00DE096C">
        <w:rPr>
          <w:bCs/>
          <w:i/>
          <w:iCs/>
          <w:color w:val="002060"/>
          <w:sz w:val="16"/>
          <w:szCs w:val="16"/>
        </w:rPr>
        <w:t>Другие оборонные отрасли:</w:t>
      </w:r>
    </w:p>
    <w:p w14:paraId="48BF6EB8" w14:textId="77777777" w:rsidR="002F474A" w:rsidRPr="00DE096C" w:rsidRDefault="002F474A" w:rsidP="00D45A46">
      <w:pPr>
        <w:jc w:val="both"/>
        <w:rPr>
          <w:bCs/>
          <w:i/>
          <w:iCs/>
          <w:color w:val="002060"/>
          <w:sz w:val="16"/>
          <w:szCs w:val="16"/>
        </w:rPr>
      </w:pPr>
    </w:p>
    <w:p w14:paraId="1218FB5F" w14:textId="77777777" w:rsidR="002F474A" w:rsidRPr="00DE096C" w:rsidRDefault="002F474A" w:rsidP="00D45A46">
      <w:pPr>
        <w:shd w:val="clear" w:color="auto" w:fill="FFFFFF"/>
        <w:jc w:val="both"/>
        <w:rPr>
          <w:bCs/>
          <w:color w:val="002060"/>
          <w:sz w:val="16"/>
          <w:szCs w:val="16"/>
        </w:rPr>
      </w:pPr>
      <w:r w:rsidRPr="00DE096C">
        <w:rPr>
          <w:bCs/>
          <w:color w:val="002060"/>
          <w:sz w:val="16"/>
          <w:szCs w:val="16"/>
        </w:rPr>
        <w:t>К осени 1914 г. Генеральный штаб считал, что имеющихся возможностей будет достаточно для того, чтобы противостоять Германии. Конеч</w:t>
      </w:r>
      <w:r w:rsidRPr="00DE096C">
        <w:rPr>
          <w:bCs/>
          <w:color w:val="002060"/>
          <w:sz w:val="16"/>
          <w:szCs w:val="16"/>
        </w:rPr>
        <w:softHyphen/>
        <w:t>но, в расчетах уповали на помощь Франции и Англии. Но Франция сама к началу войны имела 156 военных самолетов, а Англия — всего лишь 56 и, конечно, с началом военных действий оба эти со</w:t>
      </w:r>
      <w:r w:rsidRPr="00DE096C">
        <w:rPr>
          <w:bCs/>
          <w:color w:val="002060"/>
          <w:sz w:val="16"/>
          <w:szCs w:val="16"/>
        </w:rPr>
        <w:softHyphen/>
        <w:t>юзника России постарались всю производственную мощь своих авиационных заводов использовать для форсированного развития собственной авиации (11042,242).</w:t>
      </w:r>
    </w:p>
    <w:p w14:paraId="63702594" w14:textId="77777777" w:rsidR="002F474A" w:rsidRPr="00DE096C" w:rsidRDefault="002F474A" w:rsidP="00D45A46">
      <w:pPr>
        <w:shd w:val="clear" w:color="auto" w:fill="FFFFFF"/>
        <w:jc w:val="both"/>
        <w:rPr>
          <w:bCs/>
          <w:color w:val="002060"/>
          <w:sz w:val="16"/>
          <w:szCs w:val="16"/>
        </w:rPr>
      </w:pPr>
    </w:p>
    <w:p w14:paraId="17D816AC" w14:textId="77777777" w:rsidR="00A2491B" w:rsidRPr="00DE096C" w:rsidRDefault="00A2491B" w:rsidP="00D45A46">
      <w:pPr>
        <w:shd w:val="clear" w:color="auto" w:fill="FFFFFF"/>
        <w:jc w:val="both"/>
        <w:rPr>
          <w:bCs/>
          <w:i/>
          <w:color w:val="002060"/>
          <w:sz w:val="16"/>
          <w:szCs w:val="16"/>
        </w:rPr>
      </w:pPr>
      <w:r w:rsidRPr="00DE096C">
        <w:rPr>
          <w:bCs/>
          <w:i/>
          <w:color w:val="002060"/>
          <w:sz w:val="16"/>
          <w:szCs w:val="16"/>
        </w:rPr>
        <w:t>Авиация:</w:t>
      </w:r>
    </w:p>
    <w:p w14:paraId="57EA8658" w14:textId="77777777" w:rsidR="00A2491B" w:rsidRPr="00DE096C" w:rsidRDefault="00A2491B" w:rsidP="00D45A46">
      <w:pPr>
        <w:shd w:val="clear" w:color="auto" w:fill="FFFFFF"/>
        <w:jc w:val="both"/>
        <w:rPr>
          <w:bCs/>
          <w:i/>
          <w:color w:val="002060"/>
          <w:sz w:val="16"/>
          <w:szCs w:val="16"/>
        </w:rPr>
      </w:pPr>
    </w:p>
    <w:p w14:paraId="5B30D135" w14:textId="77777777" w:rsidR="00A2491B" w:rsidRPr="00DE096C" w:rsidRDefault="00A2491B" w:rsidP="00D45A46">
      <w:pPr>
        <w:jc w:val="both"/>
        <w:rPr>
          <w:bCs/>
          <w:color w:val="002060"/>
          <w:sz w:val="16"/>
          <w:szCs w:val="16"/>
        </w:rPr>
      </w:pPr>
      <w:r w:rsidRPr="00DE096C">
        <w:rPr>
          <w:bCs/>
          <w:color w:val="002060"/>
          <w:sz w:val="16"/>
          <w:szCs w:val="16"/>
        </w:rPr>
        <w:t>К осени 1914 г. во фронтовых и армейских звеньях руководство авиацией было представлено заведующими авиацией фронтов и в определенной степени – командирами сводных армейских авиационных групп. Кроме того, в Ставке в сентябре 1914 г. была введена должность штаб-офицера для делопроизводства и поручений по авиации, которую стал исполнять начальник воздухоплавательного отделения ГВТУ подполковник С.А. Немченко (19566).</w:t>
      </w:r>
    </w:p>
    <w:p w14:paraId="7AD6C607" w14:textId="77777777" w:rsidR="00A2491B" w:rsidRPr="00DE096C" w:rsidRDefault="00A2491B" w:rsidP="00D45A46">
      <w:pPr>
        <w:jc w:val="both"/>
        <w:rPr>
          <w:bCs/>
          <w:color w:val="002060"/>
          <w:sz w:val="16"/>
          <w:szCs w:val="16"/>
        </w:rPr>
      </w:pPr>
    </w:p>
    <w:p w14:paraId="5562D6F6" w14:textId="77777777" w:rsidR="001C7B60" w:rsidRPr="00DE096C" w:rsidRDefault="001C7B60" w:rsidP="00D45A46">
      <w:pPr>
        <w:jc w:val="both"/>
        <w:rPr>
          <w:bCs/>
          <w:i/>
          <w:color w:val="002060"/>
          <w:sz w:val="16"/>
          <w:szCs w:val="16"/>
        </w:rPr>
      </w:pPr>
      <w:r w:rsidRPr="00DE096C">
        <w:rPr>
          <w:bCs/>
          <w:i/>
          <w:color w:val="002060"/>
          <w:sz w:val="16"/>
          <w:szCs w:val="16"/>
        </w:rPr>
        <w:t>Авиация и воздухоплавание Германии:</w:t>
      </w:r>
    </w:p>
    <w:p w14:paraId="4BDD87CA" w14:textId="77777777" w:rsidR="001C7B60" w:rsidRPr="00DE096C" w:rsidRDefault="001C7B60" w:rsidP="00D45A46">
      <w:pPr>
        <w:jc w:val="both"/>
        <w:rPr>
          <w:bCs/>
          <w:i/>
          <w:color w:val="002060"/>
          <w:sz w:val="16"/>
          <w:szCs w:val="16"/>
        </w:rPr>
      </w:pPr>
    </w:p>
    <w:p w14:paraId="76EF3F33" w14:textId="77777777" w:rsidR="00325BE1" w:rsidRPr="00DE096C" w:rsidRDefault="00325BE1" w:rsidP="00D45A46">
      <w:pPr>
        <w:jc w:val="both"/>
        <w:rPr>
          <w:bCs/>
          <w:color w:val="002060"/>
          <w:sz w:val="16"/>
          <w:szCs w:val="16"/>
        </w:rPr>
      </w:pPr>
      <w:r w:rsidRPr="00DE096C">
        <w:rPr>
          <w:bCs/>
          <w:color w:val="002060"/>
          <w:sz w:val="16"/>
          <w:szCs w:val="16"/>
        </w:rPr>
        <w:t>К осени 1914 года заводом «Шютте-Ланц» был построен дирижабль (SL-3, 32 410 куб. м). Занимавшийся теоретическими [86] изысканиями в области строительства кораблей на верфях Данцига (ныне Гданьск) доктор Иоганн Шютте разработал проект дирижабля, коренным образом отличающийся как аэродинамически, так и технологически от конструкций графа Цеппелина (11324).</w:t>
      </w:r>
    </w:p>
    <w:p w14:paraId="53588661" w14:textId="77777777" w:rsidR="00325BE1" w:rsidRPr="00DE096C" w:rsidRDefault="00325BE1" w:rsidP="00D45A46">
      <w:pPr>
        <w:jc w:val="both"/>
        <w:rPr>
          <w:bCs/>
          <w:i/>
          <w:color w:val="002060"/>
          <w:sz w:val="16"/>
          <w:szCs w:val="16"/>
        </w:rPr>
      </w:pPr>
    </w:p>
    <w:p w14:paraId="1C77EA57" w14:textId="77777777" w:rsidR="00B67D7C" w:rsidRPr="00DE096C" w:rsidRDefault="00B67D7C" w:rsidP="00D45A46">
      <w:pPr>
        <w:jc w:val="both"/>
        <w:rPr>
          <w:bCs/>
          <w:i/>
          <w:color w:val="002060"/>
          <w:sz w:val="16"/>
          <w:szCs w:val="16"/>
        </w:rPr>
      </w:pPr>
      <w:r w:rsidRPr="00DE096C">
        <w:rPr>
          <w:bCs/>
          <w:i/>
          <w:color w:val="002060"/>
          <w:sz w:val="16"/>
          <w:szCs w:val="16"/>
        </w:rPr>
        <w:t>Самолетостроение:</w:t>
      </w:r>
    </w:p>
    <w:p w14:paraId="3F65BF62" w14:textId="22C066C1" w:rsidR="00B67D7C" w:rsidRPr="00DE096C" w:rsidRDefault="00B67D7C" w:rsidP="00D45A46">
      <w:pPr>
        <w:jc w:val="both"/>
        <w:rPr>
          <w:bCs/>
          <w:i/>
          <w:color w:val="002060"/>
          <w:sz w:val="16"/>
          <w:szCs w:val="16"/>
        </w:rPr>
      </w:pPr>
    </w:p>
    <w:p w14:paraId="78DA3866" w14:textId="4438FDBA" w:rsidR="00345651" w:rsidRPr="00DE096C" w:rsidRDefault="00345651" w:rsidP="00D45A46">
      <w:pPr>
        <w:jc w:val="both"/>
        <w:rPr>
          <w:bCs/>
          <w:iCs/>
          <w:color w:val="002060"/>
          <w:sz w:val="16"/>
          <w:szCs w:val="16"/>
        </w:rPr>
      </w:pPr>
      <w:r w:rsidRPr="00DE096C">
        <w:rPr>
          <w:bCs/>
          <w:iCs/>
          <w:color w:val="002060"/>
          <w:sz w:val="16"/>
          <w:szCs w:val="16"/>
        </w:rPr>
        <w:t>На 1 (14) сентября 1914 г.</w:t>
      </w:r>
    </w:p>
    <w:p w14:paraId="3D6BD9C9" w14:textId="30FD19F9" w:rsidR="00B67D7C" w:rsidRPr="00DE096C" w:rsidRDefault="00B67D7C" w:rsidP="00D45A46">
      <w:pPr>
        <w:jc w:val="both"/>
        <w:rPr>
          <w:bCs/>
          <w:color w:val="002060"/>
          <w:sz w:val="16"/>
          <w:szCs w:val="16"/>
        </w:rPr>
      </w:pPr>
      <w:r w:rsidRPr="00DE096C">
        <w:rPr>
          <w:bCs/>
          <w:color w:val="002060"/>
          <w:sz w:val="16"/>
          <w:szCs w:val="16"/>
        </w:rPr>
        <w:t>Состояние самолетного парка русской действующей армии во второй половине 1914 г. характеризуется следующими дан</w:t>
      </w:r>
      <w:r w:rsidRPr="00DE096C">
        <w:rPr>
          <w:bCs/>
          <w:color w:val="002060"/>
          <w:sz w:val="16"/>
          <w:szCs w:val="16"/>
        </w:rPr>
        <w:softHyphen/>
        <w:t>ными (табл. 1) (ЦГВИА, ф. 2008, оп. 2, д. 616, л. .137).</w:t>
      </w:r>
    </w:p>
    <w:p w14:paraId="6D8EBCE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Таблица 1</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26"/>
        <w:gridCol w:w="1776"/>
        <w:gridCol w:w="797"/>
        <w:gridCol w:w="806"/>
        <w:gridCol w:w="653"/>
      </w:tblGrid>
      <w:tr w:rsidR="00B67D7C" w:rsidRPr="00DE096C" w14:paraId="1DC05313" w14:textId="77777777" w:rsidTr="00C2024A">
        <w:trPr>
          <w:trHeight w:val="403"/>
        </w:trPr>
        <w:tc>
          <w:tcPr>
            <w:tcW w:w="2102" w:type="dxa"/>
            <w:gridSpan w:val="2"/>
          </w:tcPr>
          <w:p w14:paraId="17F29FD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Дата</w:t>
            </w:r>
          </w:p>
        </w:tc>
        <w:tc>
          <w:tcPr>
            <w:tcW w:w="2256" w:type="dxa"/>
            <w:gridSpan w:val="3"/>
          </w:tcPr>
          <w:p w14:paraId="51EA1F5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Количество самолетов</w:t>
            </w:r>
          </w:p>
        </w:tc>
      </w:tr>
      <w:tr w:rsidR="00B67D7C" w:rsidRPr="00DE096C" w14:paraId="0604FD7B" w14:textId="77777777" w:rsidTr="00C2024A">
        <w:trPr>
          <w:trHeight w:val="432"/>
        </w:trPr>
        <w:tc>
          <w:tcPr>
            <w:tcW w:w="2102" w:type="dxa"/>
            <w:gridSpan w:val="2"/>
          </w:tcPr>
          <w:p w14:paraId="763FC1E9" w14:textId="77777777" w:rsidR="00B67D7C" w:rsidRPr="00DE096C" w:rsidRDefault="00B67D7C" w:rsidP="00D45A46">
            <w:pPr>
              <w:jc w:val="both"/>
              <w:rPr>
                <w:bCs/>
                <w:color w:val="002060"/>
                <w:sz w:val="16"/>
                <w:szCs w:val="16"/>
              </w:rPr>
            </w:pPr>
          </w:p>
        </w:tc>
        <w:tc>
          <w:tcPr>
            <w:tcW w:w="797" w:type="dxa"/>
          </w:tcPr>
          <w:p w14:paraId="06FF08D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исправных</w:t>
            </w:r>
          </w:p>
        </w:tc>
        <w:tc>
          <w:tcPr>
            <w:tcW w:w="806" w:type="dxa"/>
          </w:tcPr>
          <w:p w14:paraId="01023FD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ремонте</w:t>
            </w:r>
          </w:p>
        </w:tc>
        <w:tc>
          <w:tcPr>
            <w:tcW w:w="653" w:type="dxa"/>
          </w:tcPr>
          <w:p w14:paraId="4E574BD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всего</w:t>
            </w:r>
          </w:p>
        </w:tc>
      </w:tr>
      <w:tr w:rsidR="00B67D7C" w:rsidRPr="00DE096C" w14:paraId="26A86080" w14:textId="77777777" w:rsidTr="00C2024A">
        <w:trPr>
          <w:trHeight w:val="442"/>
        </w:trPr>
        <w:tc>
          <w:tcPr>
            <w:tcW w:w="326" w:type="dxa"/>
          </w:tcPr>
          <w:p w14:paraId="087D011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На</w:t>
            </w:r>
          </w:p>
        </w:tc>
        <w:tc>
          <w:tcPr>
            <w:tcW w:w="1776" w:type="dxa"/>
          </w:tcPr>
          <w:p w14:paraId="3EA0C6E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 (14) сентября 1914 г.</w:t>
            </w:r>
          </w:p>
        </w:tc>
        <w:tc>
          <w:tcPr>
            <w:tcW w:w="797" w:type="dxa"/>
          </w:tcPr>
          <w:p w14:paraId="38FB27B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145</w:t>
            </w:r>
          </w:p>
        </w:tc>
        <w:tc>
          <w:tcPr>
            <w:tcW w:w="806" w:type="dxa"/>
          </w:tcPr>
          <w:p w14:paraId="162F803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17</w:t>
            </w:r>
          </w:p>
        </w:tc>
        <w:tc>
          <w:tcPr>
            <w:tcW w:w="653" w:type="dxa"/>
          </w:tcPr>
          <w:p w14:paraId="37572EB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162</w:t>
            </w:r>
          </w:p>
        </w:tc>
      </w:tr>
      <w:tr w:rsidR="00B67D7C" w:rsidRPr="00DE096C" w14:paraId="1B7D44A8" w14:textId="77777777" w:rsidTr="00C2024A">
        <w:trPr>
          <w:trHeight w:val="173"/>
        </w:trPr>
        <w:tc>
          <w:tcPr>
            <w:tcW w:w="326" w:type="dxa"/>
          </w:tcPr>
          <w:p w14:paraId="248ADA8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На</w:t>
            </w:r>
          </w:p>
        </w:tc>
        <w:tc>
          <w:tcPr>
            <w:tcW w:w="1776" w:type="dxa"/>
          </w:tcPr>
          <w:p w14:paraId="7DEF3B1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 октября 1914 г.</w:t>
            </w:r>
          </w:p>
        </w:tc>
        <w:tc>
          <w:tcPr>
            <w:tcW w:w="797" w:type="dxa"/>
          </w:tcPr>
          <w:p w14:paraId="5DBA184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150</w:t>
            </w:r>
          </w:p>
        </w:tc>
        <w:tc>
          <w:tcPr>
            <w:tcW w:w="806" w:type="dxa"/>
          </w:tcPr>
          <w:p w14:paraId="4743181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20</w:t>
            </w:r>
          </w:p>
        </w:tc>
        <w:tc>
          <w:tcPr>
            <w:tcW w:w="653" w:type="dxa"/>
          </w:tcPr>
          <w:p w14:paraId="73FF12B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170</w:t>
            </w:r>
          </w:p>
        </w:tc>
      </w:tr>
      <w:tr w:rsidR="00B67D7C" w:rsidRPr="00DE096C" w14:paraId="40482341" w14:textId="77777777" w:rsidTr="00C2024A">
        <w:trPr>
          <w:trHeight w:val="163"/>
        </w:trPr>
        <w:tc>
          <w:tcPr>
            <w:tcW w:w="326" w:type="dxa"/>
          </w:tcPr>
          <w:p w14:paraId="2FBF9C9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На</w:t>
            </w:r>
          </w:p>
        </w:tc>
        <w:tc>
          <w:tcPr>
            <w:tcW w:w="1776" w:type="dxa"/>
          </w:tcPr>
          <w:p w14:paraId="64E782E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 ноября 1914 г.</w:t>
            </w:r>
          </w:p>
        </w:tc>
        <w:tc>
          <w:tcPr>
            <w:tcW w:w="797" w:type="dxa"/>
          </w:tcPr>
          <w:p w14:paraId="2096CD2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160</w:t>
            </w:r>
          </w:p>
        </w:tc>
        <w:tc>
          <w:tcPr>
            <w:tcW w:w="806" w:type="dxa"/>
          </w:tcPr>
          <w:p w14:paraId="5448880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42</w:t>
            </w:r>
          </w:p>
        </w:tc>
        <w:tc>
          <w:tcPr>
            <w:tcW w:w="653" w:type="dxa"/>
          </w:tcPr>
          <w:p w14:paraId="7D97B6A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202</w:t>
            </w:r>
          </w:p>
        </w:tc>
      </w:tr>
      <w:tr w:rsidR="00B67D7C" w:rsidRPr="00DE096C" w14:paraId="7192A437" w14:textId="77777777" w:rsidTr="00C2024A">
        <w:trPr>
          <w:trHeight w:val="173"/>
        </w:trPr>
        <w:tc>
          <w:tcPr>
            <w:tcW w:w="326" w:type="dxa"/>
          </w:tcPr>
          <w:p w14:paraId="2A7D39C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На</w:t>
            </w:r>
          </w:p>
        </w:tc>
        <w:tc>
          <w:tcPr>
            <w:tcW w:w="1776" w:type="dxa"/>
          </w:tcPr>
          <w:p w14:paraId="211E2D8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 декабря 1014 г.</w:t>
            </w:r>
          </w:p>
        </w:tc>
        <w:tc>
          <w:tcPr>
            <w:tcW w:w="797" w:type="dxa"/>
          </w:tcPr>
          <w:p w14:paraId="1DC4A02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162</w:t>
            </w:r>
          </w:p>
        </w:tc>
        <w:tc>
          <w:tcPr>
            <w:tcW w:w="806" w:type="dxa"/>
          </w:tcPr>
          <w:p w14:paraId="1B3FEBE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37</w:t>
            </w:r>
          </w:p>
        </w:tc>
        <w:tc>
          <w:tcPr>
            <w:tcW w:w="653" w:type="dxa"/>
          </w:tcPr>
          <w:p w14:paraId="7E49D58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199</w:t>
            </w:r>
          </w:p>
        </w:tc>
      </w:tr>
      <w:tr w:rsidR="00B67D7C" w:rsidRPr="00DE096C" w14:paraId="58B737BB" w14:textId="77777777" w:rsidTr="00C2024A">
        <w:trPr>
          <w:trHeight w:val="346"/>
        </w:trPr>
        <w:tc>
          <w:tcPr>
            <w:tcW w:w="326" w:type="dxa"/>
          </w:tcPr>
          <w:p w14:paraId="21B2C71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На</w:t>
            </w:r>
          </w:p>
        </w:tc>
        <w:tc>
          <w:tcPr>
            <w:tcW w:w="1776" w:type="dxa"/>
          </w:tcPr>
          <w:p w14:paraId="628CB9F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 января 1915 г.</w:t>
            </w:r>
          </w:p>
        </w:tc>
        <w:tc>
          <w:tcPr>
            <w:tcW w:w="797" w:type="dxa"/>
          </w:tcPr>
          <w:p w14:paraId="4BC6EED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209</w:t>
            </w:r>
          </w:p>
        </w:tc>
        <w:tc>
          <w:tcPr>
            <w:tcW w:w="806" w:type="dxa"/>
          </w:tcPr>
          <w:p w14:paraId="29C51A6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62</w:t>
            </w:r>
          </w:p>
        </w:tc>
        <w:tc>
          <w:tcPr>
            <w:tcW w:w="653" w:type="dxa"/>
          </w:tcPr>
          <w:p w14:paraId="09929DA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271</w:t>
            </w:r>
          </w:p>
        </w:tc>
      </w:tr>
    </w:tbl>
    <w:p w14:paraId="07E1EAE3" w14:textId="77777777" w:rsidR="00B67D7C" w:rsidRPr="00DE096C" w:rsidRDefault="00B67D7C" w:rsidP="00D45A46">
      <w:pPr>
        <w:jc w:val="both"/>
        <w:rPr>
          <w:bCs/>
          <w:color w:val="002060"/>
          <w:sz w:val="16"/>
          <w:szCs w:val="16"/>
        </w:rPr>
      </w:pPr>
    </w:p>
    <w:p w14:paraId="00FCB3CD" w14:textId="2776C0B5" w:rsidR="00A8507B" w:rsidRPr="00DE096C" w:rsidRDefault="00A8507B" w:rsidP="00D45A46">
      <w:pPr>
        <w:pStyle w:val="2"/>
        <w:spacing w:before="0" w:after="0"/>
        <w:jc w:val="both"/>
        <w:rPr>
          <w:b w:val="0"/>
          <w:bCs/>
          <w:color w:val="002060"/>
          <w:sz w:val="16"/>
          <w:szCs w:val="16"/>
        </w:rPr>
      </w:pPr>
      <w:r w:rsidRPr="00DE096C">
        <w:rPr>
          <w:b w:val="0"/>
          <w:bCs/>
          <w:color w:val="002060"/>
          <w:sz w:val="16"/>
          <w:szCs w:val="16"/>
        </w:rPr>
        <w:t xml:space="preserve">На 1 </w:t>
      </w:r>
      <w:r w:rsidR="00345651" w:rsidRPr="00DE096C">
        <w:rPr>
          <w:b w:val="0"/>
          <w:bCs/>
          <w:color w:val="002060"/>
          <w:sz w:val="16"/>
          <w:szCs w:val="16"/>
        </w:rPr>
        <w:t xml:space="preserve">(14) </w:t>
      </w:r>
      <w:r w:rsidRPr="00DE096C">
        <w:rPr>
          <w:b w:val="0"/>
          <w:bCs/>
          <w:color w:val="002060"/>
          <w:sz w:val="16"/>
          <w:szCs w:val="16"/>
        </w:rPr>
        <w:t>сентября 1914 г. во фронтовых частях насчитывалось 145 исправных самолетов. В последующие месяцы их количество неуклонно росло, но со скоростью улитки: 1 октября — 150, 1 ноября — 160, 1 декабря — 162, 1 января 1915 г. — 209.2 Увы, этот рост был обусловлен не поступлением новых самолетов с заводов, а уменьшением потерь — как боевых, так и небоевых, в первую очередь, из-за снижения интенсивности полетов по погодным условиям в зимние месяцы. В целом по русской армии потери аэропланов были значительными и составляли не менее 45% за два месяца, причем львиная доля, иногда доходившая до 90%, обуславливалась изношенностью самолетов и моторов. Мощностей заводов не хватало для восполнения потерь, до конца 1914 г. в армию отправили 157 самолетов. Но качество оставляло желать лучшего, при сборке в отрядах и авиационных ротах обнаруживались многочисленные дефекты. Особые нарекания вызывали самолеты завода Щетинина. Запчасти обычно не подходили к самолетам других заводов, отрицательный угол установки крыла привел к ряду аварий, погибли семь летчиков. В военное время заметно ухудшилось и качество продукции «Дукса» (15464).</w:t>
      </w:r>
    </w:p>
    <w:p w14:paraId="798A6ED3" w14:textId="77777777" w:rsidR="00A8507B" w:rsidRPr="00DE096C" w:rsidRDefault="00A8507B" w:rsidP="00D45A46">
      <w:pPr>
        <w:pStyle w:val="p1"/>
        <w:spacing w:before="0" w:beforeAutospacing="0" w:after="0" w:afterAutospacing="0"/>
        <w:jc w:val="both"/>
        <w:rPr>
          <w:bCs/>
          <w:color w:val="002060"/>
          <w:sz w:val="16"/>
          <w:szCs w:val="16"/>
        </w:rPr>
      </w:pPr>
    </w:p>
    <w:p w14:paraId="4ECA8D10" w14:textId="77777777" w:rsidR="00B67D7C" w:rsidRPr="00DE096C" w:rsidRDefault="00B67D7C" w:rsidP="00D45A46">
      <w:pPr>
        <w:jc w:val="both"/>
        <w:rPr>
          <w:bCs/>
          <w:color w:val="002060"/>
          <w:sz w:val="16"/>
          <w:szCs w:val="16"/>
        </w:rPr>
      </w:pPr>
      <w:r w:rsidRPr="00DE096C">
        <w:rPr>
          <w:bCs/>
          <w:color w:val="002060"/>
          <w:sz w:val="16"/>
          <w:szCs w:val="16"/>
        </w:rPr>
        <w:t xml:space="preserve">1 (14) сентября 1914 г. морское ведомство заключило контракт с АО РБВЗ на постройку легкого учебного поплавкового биплана «Малютка» конструкции И. И. Сикорского. Ранее морская авиация в качестве учебного использовала маленький поплавковый самолет С-5А (11178). Для подготовки же сухопутных летчиков И. И. Сикорский построил биплан С-8 «Малютка» . Оба самолета были идентичны в основном по конструкции, отличаясь только расположением кресел пилотов. На С-5А они размещались одно за другим, а на С-8 были установлены рядом. По образцу этих, хорошо зарекомендовавших себя, самолетов и предполагалось строить как пять «учебных бипланов» , заказанных ГВУ, так и учебную «Малютку» для флота. Однако оба прототипа были построены еще в 1912 г. и уже успели морально устареть. Требовалась разработка принципиально нового одно-двухместного скоростного учебно-тренировочного пробного биплана. Правление АО РБВЗ, в первую очередь его председатель -- выдающийся организатор отечественного машиностроения Михаил Владимирович Шидловский, приняло решение поручить И. И. Сикорскому разработку легкого самолета, соответствующего новым требованиям. Так как главный конструктор был в основном занят созданием тяжелых многомоторных гигантов, наблюдение за постройкой и испытаниями легких самолетов обычно доверяли кому-нибудь из его ближайших соратников, т.е., по современной терминологии, назначали ведущих конструкторов, которые одновременно были и летчиками-испытателями подопечных машин. Таким «крестным отцом» С-16 стал </w:t>
      </w:r>
      <w:r w:rsidRPr="00DE096C">
        <w:rPr>
          <w:bCs/>
          <w:color w:val="002060"/>
          <w:sz w:val="16"/>
          <w:szCs w:val="16"/>
        </w:rPr>
        <w:lastRenderedPageBreak/>
        <w:t>лейтенант Императорского Российского Военно-Морского Флота Георгий Иванович Лавров, друг детства и верный соратник И. И. Сикорского. Опытный и отважный летчик, он был и талантливым изобретателем, хорошо разбиравшимся в авиационной технике. Главным помощником И. И. Сикорского в проектировании самолетов был его соратник по киевскому обществу воздухоплавания Анатолий Анатольевич Серебренников. Он заведовал техническим бюро Воздухоплавательного отделения АО РБВЗ, Сикорский готовил только эскизы общего вида, компоновку, весовой расчет и эскизы некоторых основных частей нового аппарата, в соответствии с которыми сотрудники, как правило чертежники со средним техническим образованием, делали подробную конструкторскую проработку этих частей и деталей. Исследования по аэродинамике новой машины проводились самим И. И. Сикорским в небольшой опытной лаборатории завода, так и по его заказам под руководством Василия Адриановича Слесарева в крупнейшей в России аэродинамической лаборатории Петербургского политехнического института (11188).</w:t>
      </w:r>
    </w:p>
    <w:p w14:paraId="4B92804B" w14:textId="77777777" w:rsidR="00B67D7C" w:rsidRPr="00DE096C" w:rsidRDefault="00B67D7C" w:rsidP="00D45A46">
      <w:pPr>
        <w:jc w:val="both"/>
        <w:rPr>
          <w:bCs/>
          <w:color w:val="002060"/>
          <w:sz w:val="16"/>
          <w:szCs w:val="16"/>
        </w:rPr>
      </w:pPr>
    </w:p>
    <w:p w14:paraId="4E50A326" w14:textId="77777777" w:rsidR="00A8507B" w:rsidRPr="00DE096C" w:rsidRDefault="00A8507B" w:rsidP="00D45A46">
      <w:pPr>
        <w:jc w:val="both"/>
        <w:rPr>
          <w:bCs/>
          <w:i/>
          <w:color w:val="002060"/>
          <w:sz w:val="16"/>
          <w:szCs w:val="16"/>
        </w:rPr>
      </w:pPr>
      <w:r w:rsidRPr="00DE096C">
        <w:rPr>
          <w:bCs/>
          <w:i/>
          <w:color w:val="002060"/>
          <w:sz w:val="16"/>
          <w:szCs w:val="16"/>
        </w:rPr>
        <w:t>Другие оборонные отрасли:</w:t>
      </w:r>
    </w:p>
    <w:p w14:paraId="068FC3D9" w14:textId="77777777" w:rsidR="00A8507B" w:rsidRPr="00DE096C" w:rsidRDefault="00A8507B" w:rsidP="00D45A46">
      <w:pPr>
        <w:jc w:val="both"/>
        <w:rPr>
          <w:bCs/>
          <w:i/>
          <w:color w:val="002060"/>
          <w:sz w:val="16"/>
          <w:szCs w:val="16"/>
        </w:rPr>
      </w:pPr>
    </w:p>
    <w:p w14:paraId="5459038B" w14:textId="0E58181D" w:rsidR="00A8507B" w:rsidRPr="00DE096C" w:rsidRDefault="00A8507B" w:rsidP="00D45A46">
      <w:pPr>
        <w:pStyle w:val="p1"/>
        <w:spacing w:before="0" w:beforeAutospacing="0" w:after="0" w:afterAutospacing="0"/>
        <w:jc w:val="both"/>
        <w:rPr>
          <w:bCs/>
          <w:color w:val="002060"/>
          <w:sz w:val="16"/>
          <w:szCs w:val="16"/>
        </w:rPr>
      </w:pPr>
      <w:r w:rsidRPr="00DE096C">
        <w:rPr>
          <w:bCs/>
          <w:color w:val="002060"/>
          <w:sz w:val="16"/>
          <w:szCs w:val="16"/>
        </w:rPr>
        <w:t xml:space="preserve">К 1 </w:t>
      </w:r>
      <w:r w:rsidR="00345651" w:rsidRPr="00DE096C">
        <w:rPr>
          <w:bCs/>
          <w:color w:val="002060"/>
          <w:sz w:val="16"/>
          <w:szCs w:val="16"/>
        </w:rPr>
        <w:t xml:space="preserve">(14) </w:t>
      </w:r>
      <w:r w:rsidRPr="00DE096C">
        <w:rPr>
          <w:bCs/>
          <w:color w:val="002060"/>
          <w:sz w:val="16"/>
          <w:szCs w:val="16"/>
        </w:rPr>
        <w:t>сентября 1914 г. Юго-Западный фронт в первые же бои, «издержал» «весь запас», всю норму в 1000 патронов на орудие. А к 1 декабря артиллерия на фронтах получила все остававшиеся запасы выстрелов.</w:t>
      </w:r>
    </w:p>
    <w:p w14:paraId="75E9CFAC" w14:textId="77777777" w:rsidR="00A8507B" w:rsidRPr="00DE096C" w:rsidRDefault="00A8507B" w:rsidP="00D45A46">
      <w:pPr>
        <w:pStyle w:val="p1"/>
        <w:spacing w:before="0" w:beforeAutospacing="0" w:after="0" w:afterAutospacing="0"/>
        <w:jc w:val="both"/>
        <w:rPr>
          <w:bCs/>
          <w:color w:val="002060"/>
          <w:sz w:val="16"/>
          <w:szCs w:val="16"/>
        </w:rPr>
      </w:pPr>
      <w:r w:rsidRPr="00DE096C">
        <w:rPr>
          <w:bCs/>
          <w:color w:val="002060"/>
          <w:sz w:val="16"/>
          <w:szCs w:val="16"/>
        </w:rPr>
        <w:t>По утверждению Н. Стоуна, Военный совет, высшая в системе снабжения инстанция, проявил свою косность и непонимание обстоятельств момента: в сентябре 1914 г. по-скопидомски сократил заявку ГАУ и вместо 2 млн. снарядов разрешил заказать лишь 800 тысяч. В целом сделанные «за этот период» заказы не достигали даже посильной для русской промышленности нормы выпуска — 5 млн. орудийных патронов в год. Источник этих странных сведений не указан — и едва ли случайно, но, при всех искажениях, узнаваем.</w:t>
      </w:r>
    </w:p>
    <w:p w14:paraId="25D0F412" w14:textId="77777777" w:rsidR="00A8507B" w:rsidRPr="00DE096C" w:rsidRDefault="00A8507B" w:rsidP="00D45A46">
      <w:pPr>
        <w:pStyle w:val="p1"/>
        <w:spacing w:before="0" w:beforeAutospacing="0" w:after="0" w:afterAutospacing="0"/>
        <w:jc w:val="both"/>
        <w:rPr>
          <w:bCs/>
          <w:color w:val="002060"/>
          <w:sz w:val="16"/>
          <w:szCs w:val="16"/>
        </w:rPr>
      </w:pPr>
      <w:r w:rsidRPr="00DE096C">
        <w:rPr>
          <w:bCs/>
          <w:color w:val="002060"/>
          <w:sz w:val="16"/>
          <w:szCs w:val="16"/>
        </w:rPr>
        <w:t>Здесь все перепутано — хотя и в определенном порядке, чтобы подкрепить идею автора: в кризисе снабжения фронта проявилась не экономическая слабость страны, а неспособность административного аппарата к организационной деятельности.</w:t>
      </w:r>
    </w:p>
    <w:p w14:paraId="5C30104F" w14:textId="77777777" w:rsidR="00A8507B" w:rsidRPr="00DE096C" w:rsidRDefault="00A8507B" w:rsidP="00D45A46">
      <w:pPr>
        <w:pStyle w:val="p1"/>
        <w:spacing w:before="0" w:beforeAutospacing="0" w:after="0" w:afterAutospacing="0"/>
        <w:jc w:val="both"/>
        <w:rPr>
          <w:bCs/>
          <w:color w:val="002060"/>
          <w:sz w:val="16"/>
          <w:szCs w:val="16"/>
        </w:rPr>
      </w:pPr>
      <w:r w:rsidRPr="00DE096C">
        <w:rPr>
          <w:bCs/>
          <w:color w:val="002060"/>
          <w:sz w:val="16"/>
          <w:szCs w:val="16"/>
        </w:rPr>
        <w:t>Во-первых, Маниковский (у него, очевидно, позаимствовал исходные сведения Стоун) объяснял сокращение заказа не скупердяйством членов Военного совета, а тем, что «удалось в этот раз разместить» заказов меньше, чем следовало, то есть дело уперлось именно в отсутствие поставщиков. К схеме Стоуна подобное объяснение не подходит, а раз так, лучше обойтись без ссылки на Маниковского. Во-вторых, рассматриваемый эпизод относится не к сентябрю, а к августу 1914 г., когда провал снабжения еще не осознавался Ставкой, и она только начинала беспокоиться. «Уже около двух недель ощущается недостаток артиллерийских снарядов…» — телеграфировал царю Верховный главнокомандующий 8 (21) сентября. Неправильное решение Военного совета, которое подразумевает Стоун, состоялось 14 (27) августа, то есть ранее, чем появилось неприятное ощущение в Ставке. 14 августа прошло «общее заседание» Военного совета, окончательное, оно согласилось с заявкой ГАУ. В-третьих, на состоявшемся перед тем предварительном «частном заседании» члены Военного совета, еще не имея повода тревожиться, думали отклонить заявку ГАУ в целом, а не сократили, вопреки утверждению Стоуна. В-четвертых, еще до поступления панических сигналов из Ставки ГАУ (Смысловский) убедило Военный совет все-таки дать заказы, и при этом не на 2 млн. снарядов, а на 2 784 000 трехдюймовых (постановлениями от 14 августа, 6 и 10 сентября 1914 г.), не считая 48-линейных. В-пятых, в течение сентября 1914 г. частных контрактов было заключено даже не на 5 млн. снарядов (как считал бы правильным Стоун), а на 6 941 000 (казенные заводы к августу и так уже были загружены до предела) (18409).</w:t>
      </w:r>
    </w:p>
    <w:p w14:paraId="3AEE8243" w14:textId="77777777" w:rsidR="00A8507B" w:rsidRPr="00DE096C" w:rsidRDefault="00A8507B" w:rsidP="00D45A46">
      <w:pPr>
        <w:jc w:val="both"/>
        <w:rPr>
          <w:rStyle w:val="ucoz-forum-post"/>
          <w:rFonts w:eastAsiaTheme="majorEastAsia"/>
          <w:bCs/>
          <w:color w:val="002060"/>
          <w:sz w:val="16"/>
          <w:szCs w:val="16"/>
        </w:rPr>
      </w:pPr>
    </w:p>
    <w:p w14:paraId="03ABD6EB" w14:textId="31A4237D" w:rsidR="003F7087" w:rsidRPr="00DE096C" w:rsidRDefault="003F7087" w:rsidP="00D45A46">
      <w:pPr>
        <w:jc w:val="both"/>
        <w:rPr>
          <w:bCs/>
          <w:color w:val="002060"/>
          <w:sz w:val="16"/>
          <w:szCs w:val="16"/>
        </w:rPr>
      </w:pPr>
      <w:r w:rsidRPr="00DE096C">
        <w:rPr>
          <w:bCs/>
          <w:color w:val="002060"/>
          <w:sz w:val="16"/>
          <w:szCs w:val="16"/>
        </w:rPr>
        <w:t>К 1 (14) сентября 1914 г. Юго-Западный фронт в первые же бои «издержал» «весь запас», всю норму в 1000 патронов на орудие. А к 1 декабря артиллерия на фронтах получила все остававшиеся запасы выстрелов (ВПР. С. 718, 748).</w:t>
      </w:r>
    </w:p>
    <w:p w14:paraId="726096B6" w14:textId="77777777" w:rsidR="003F7087" w:rsidRPr="00DE096C" w:rsidRDefault="003F7087" w:rsidP="00D45A46">
      <w:pPr>
        <w:jc w:val="both"/>
        <w:rPr>
          <w:bCs/>
          <w:color w:val="002060"/>
          <w:sz w:val="16"/>
          <w:szCs w:val="16"/>
        </w:rPr>
      </w:pPr>
      <w:r w:rsidRPr="00DE096C">
        <w:rPr>
          <w:bCs/>
          <w:color w:val="002060"/>
          <w:sz w:val="16"/>
          <w:szCs w:val="16"/>
        </w:rPr>
        <w:t>По утверждению Н. Стоуна, Военный совет, высшая в системе снабжения инстанция, проявил свою косность и непонимание обстоятельств момента: в сентябре 1914 г. по- скопидомски сократил заявку ГАУ и вместо 2 млн снарядов разрешил заказать лишь 800 тысяч. В целом сделанные «за этот период» заказы не достигали даже посильной для рус</w:t>
      </w:r>
      <w:r w:rsidRPr="00DE096C">
        <w:rPr>
          <w:bCs/>
          <w:color w:val="002060"/>
          <w:sz w:val="16"/>
          <w:szCs w:val="16"/>
        </w:rPr>
        <w:softHyphen/>
        <w:t>ской промышленности нормы выпуска — 5 млн орудийных патронов в год. Источник этих странных сведений не ука</w:t>
      </w:r>
      <w:r w:rsidRPr="00DE096C">
        <w:rPr>
          <w:bCs/>
          <w:color w:val="002060"/>
          <w:sz w:val="16"/>
          <w:szCs w:val="16"/>
        </w:rPr>
        <w:softHyphen/>
        <w:t>зан — и едва ли случайно, но, при всех искажениях, узна</w:t>
      </w:r>
      <w:r w:rsidRPr="00DE096C">
        <w:rPr>
          <w:bCs/>
          <w:color w:val="002060"/>
          <w:sz w:val="16"/>
          <w:szCs w:val="16"/>
        </w:rPr>
        <w:softHyphen/>
        <w:t>ваем (23452).</w:t>
      </w:r>
    </w:p>
    <w:p w14:paraId="7E82BDCC" w14:textId="77777777" w:rsidR="003F7087" w:rsidRPr="00DE096C" w:rsidRDefault="003F7087" w:rsidP="00D45A46">
      <w:pPr>
        <w:jc w:val="both"/>
        <w:rPr>
          <w:bCs/>
          <w:color w:val="002060"/>
          <w:sz w:val="16"/>
          <w:szCs w:val="16"/>
        </w:rPr>
      </w:pPr>
    </w:p>
    <w:p w14:paraId="6B081CD4" w14:textId="77777777" w:rsidR="00B67D7C" w:rsidRPr="00DE096C" w:rsidRDefault="00B67D7C" w:rsidP="00D45A46">
      <w:pPr>
        <w:jc w:val="both"/>
        <w:rPr>
          <w:bCs/>
          <w:i/>
          <w:color w:val="002060"/>
          <w:sz w:val="16"/>
          <w:szCs w:val="16"/>
        </w:rPr>
      </w:pPr>
      <w:r w:rsidRPr="00DE096C">
        <w:rPr>
          <w:bCs/>
          <w:i/>
          <w:color w:val="002060"/>
          <w:sz w:val="16"/>
          <w:szCs w:val="16"/>
        </w:rPr>
        <w:t>Авиация:</w:t>
      </w:r>
    </w:p>
    <w:p w14:paraId="3146DEB6" w14:textId="77777777" w:rsidR="00B67D7C" w:rsidRPr="00DE096C" w:rsidRDefault="00B67D7C" w:rsidP="00D45A46">
      <w:pPr>
        <w:jc w:val="both"/>
        <w:rPr>
          <w:bCs/>
          <w:i/>
          <w:color w:val="002060"/>
          <w:sz w:val="16"/>
          <w:szCs w:val="16"/>
        </w:rPr>
      </w:pPr>
    </w:p>
    <w:p w14:paraId="06DAC2F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 (14) сентября 1914 первый месяц боевой деятельности авиации окончился со следующими итогами; на всех участках фронта летало 129 летчиков, было совершено 1162 боевых полета общей продолжительностыо 1151 час. Только в августе было произведено 550 полетов на воздушную разведку, причем в сводках штаба верхновного главнокомандующего несколько раз отмечалось проникновение самолетов вглубь неприятельского расположения и сбор ими весьма иных сведений о противнике. Свыше 200 раз самолеты пролетали над неприятельской территорией до 300 верст и более, что в каждом отдельном случае было подвигом при тогдашнем состоянии двигателей самолетов. Большинство полетов происходило под обстрелом. Отмечено несколько случаев преследования неприятельских самолетов, причеы в одном случае впервые был применен таран (Нестеров). Кроме того, наземными войсками было сбито два дирижабля и семь самолетов противника. Экипажи их в количестве 70 человек были взяты в плен (По отчетам канцелярии Заведующего авиацией и воздухо</w:t>
      </w:r>
      <w:r w:rsidRPr="00DE096C">
        <w:rPr>
          <w:bCs/>
          <w:color w:val="002060"/>
          <w:sz w:val="16"/>
          <w:szCs w:val="16"/>
        </w:rPr>
        <w:softHyphen/>
        <w:t>плаванием действующей армии).</w:t>
      </w:r>
    </w:p>
    <w:p w14:paraId="11761EDA" w14:textId="77777777" w:rsidR="00B67D7C" w:rsidRPr="00DE096C" w:rsidRDefault="00B67D7C" w:rsidP="00D45A46">
      <w:pPr>
        <w:shd w:val="clear" w:color="auto" w:fill="FFFFFF"/>
        <w:jc w:val="both"/>
        <w:rPr>
          <w:bCs/>
          <w:color w:val="002060"/>
          <w:sz w:val="16"/>
          <w:szCs w:val="16"/>
        </w:rPr>
      </w:pPr>
    </w:p>
    <w:p w14:paraId="578BEB03" w14:textId="77777777" w:rsidR="00345651" w:rsidRPr="00DE096C" w:rsidRDefault="00345651" w:rsidP="00D45A46">
      <w:pPr>
        <w:jc w:val="both"/>
        <w:rPr>
          <w:bCs/>
          <w:color w:val="002060"/>
          <w:sz w:val="16"/>
          <w:szCs w:val="16"/>
        </w:rPr>
      </w:pPr>
      <w:r w:rsidRPr="00DE096C">
        <w:rPr>
          <w:bCs/>
          <w:color w:val="002060"/>
          <w:sz w:val="16"/>
          <w:szCs w:val="16"/>
        </w:rPr>
        <w:t>1 (14) сентября 1914 г. первый месяц боевой деятельности авиации окончился со следующими итогами. На всех участках фронта летало 129 летчи</w:t>
      </w:r>
      <w:r w:rsidRPr="00DE096C">
        <w:rPr>
          <w:bCs/>
          <w:color w:val="002060"/>
          <w:sz w:val="16"/>
          <w:szCs w:val="16"/>
        </w:rPr>
        <w:softHyphen/>
        <w:t>ков, было совершено 1162 боевых полета общей продолжительностью 1151 час.Только в августе было произведено 550 самолето-вылетов на воздушную разведку, причем в сводках штаба верховного главноко</w:t>
      </w:r>
      <w:r w:rsidRPr="00DE096C">
        <w:rPr>
          <w:bCs/>
          <w:color w:val="002060"/>
          <w:sz w:val="16"/>
          <w:szCs w:val="16"/>
        </w:rPr>
        <w:softHyphen/>
        <w:t>мандующего несколько раз отмечалось проникновение самолетов вглубь неприятельского расположения и добыча ими весьма ценных сведений о противнике. Свыше 200 раз самолеты пролетали над неприятельской территорией до 300 верст и более, что в каждом отдельном случае было геройским подвигом при тогдашнем состоянии самолетов и мото</w:t>
      </w:r>
      <w:r w:rsidRPr="00DE096C">
        <w:rPr>
          <w:bCs/>
          <w:color w:val="002060"/>
          <w:sz w:val="16"/>
          <w:szCs w:val="16"/>
        </w:rPr>
        <w:softHyphen/>
        <w:t>ров, в августе было проведено девять бомбардировок, четыре корректировки артиллерийской стрельбы, трижды фотографировались неприятельские позиции, было выполнено 63 полета для связи и пр. Вольшинство полетов происходило под обстрелом неприятельских войск. Отмечено несколько случаев проследования неприятельских самолетов, при этом в одном случае впервые был применен таран /Нестеров/. Кроме того, наземными войсками было обито два дирижабля и семь самолетов противника, экипажи их в количестве 70 человек были взяты в плен.</w:t>
      </w:r>
    </w:p>
    <w:p w14:paraId="2DC3A88F" w14:textId="77777777" w:rsidR="00345651" w:rsidRPr="00DE096C" w:rsidRDefault="00345651" w:rsidP="00D45A46">
      <w:pPr>
        <w:jc w:val="both"/>
        <w:rPr>
          <w:bCs/>
          <w:color w:val="002060"/>
          <w:sz w:val="16"/>
          <w:szCs w:val="16"/>
        </w:rPr>
      </w:pPr>
      <w:r w:rsidRPr="00DE096C">
        <w:rPr>
          <w:bCs/>
          <w:color w:val="002060"/>
          <w:sz w:val="16"/>
          <w:szCs w:val="16"/>
        </w:rPr>
        <w:t>/По отчетам канцелярии Заведующего авиацией и воздухоплавания действующей армии/ (23320).</w:t>
      </w:r>
    </w:p>
    <w:p w14:paraId="462640F4" w14:textId="77777777" w:rsidR="00345651" w:rsidRPr="00DE096C" w:rsidRDefault="00345651" w:rsidP="00D45A46">
      <w:pPr>
        <w:jc w:val="both"/>
        <w:rPr>
          <w:bCs/>
          <w:color w:val="002060"/>
          <w:sz w:val="16"/>
          <w:szCs w:val="16"/>
        </w:rPr>
      </w:pPr>
    </w:p>
    <w:p w14:paraId="457401CF" w14:textId="57B246C8" w:rsidR="003F7087" w:rsidRPr="00DE096C" w:rsidRDefault="003F7087" w:rsidP="00D45A46">
      <w:pPr>
        <w:jc w:val="both"/>
        <w:rPr>
          <w:bCs/>
          <w:color w:val="002060"/>
          <w:sz w:val="16"/>
          <w:szCs w:val="16"/>
        </w:rPr>
      </w:pPr>
      <w:r w:rsidRPr="00DE096C">
        <w:rPr>
          <w:bCs/>
          <w:color w:val="002060"/>
          <w:sz w:val="16"/>
          <w:szCs w:val="16"/>
        </w:rPr>
        <w:t>1 (14) сентября 1914 г. в полосе русского Юго-Западного фронта австрийский военный дирижабль «Шютте-Ланц» SL-II выполнил успешную разведку в районе Лодзь - Петраков (Пётркув-Трыбунальски). Позднее воздушный корабль был переброшен на Западноевропейский театр войны.</w:t>
      </w:r>
    </w:p>
    <w:p w14:paraId="0E762A22" w14:textId="77777777" w:rsidR="003F7087" w:rsidRPr="00DE096C" w:rsidRDefault="003F7087" w:rsidP="00D45A46">
      <w:pPr>
        <w:jc w:val="both"/>
        <w:rPr>
          <w:bCs/>
          <w:color w:val="002060"/>
          <w:sz w:val="16"/>
          <w:szCs w:val="16"/>
        </w:rPr>
      </w:pPr>
      <w:r w:rsidRPr="00DE096C">
        <w:rPr>
          <w:bCs/>
          <w:color w:val="002060"/>
          <w:sz w:val="16"/>
          <w:szCs w:val="16"/>
        </w:rPr>
        <w:t>Как показал первый месяц войны, германское командование для организации ведения воздушной разведки в зоне ответственности 1-й и 2-й русских армий использовало так называемый «тандем». Вначале в ближнем тылу наших войск появлялся неприятельский аэроплан, а затем - цеппелин, осуществлявший бомбардировочные действия заранее выбранных целей. Основной зенитный огонь велся по аэроплану, который, отвлекая его на себя, позднее скрывался за линией фронта (23405).</w:t>
      </w:r>
    </w:p>
    <w:p w14:paraId="663B1C36" w14:textId="77777777" w:rsidR="003F7087" w:rsidRPr="00DE096C" w:rsidRDefault="003F7087" w:rsidP="00D45A46">
      <w:pPr>
        <w:jc w:val="both"/>
        <w:rPr>
          <w:bCs/>
          <w:color w:val="002060"/>
          <w:sz w:val="16"/>
          <w:szCs w:val="16"/>
        </w:rPr>
      </w:pPr>
    </w:p>
    <w:p w14:paraId="540A4FE7" w14:textId="77777777" w:rsidR="004D62EB" w:rsidRPr="00B52707" w:rsidRDefault="004D62EB" w:rsidP="004D62EB">
      <w:pPr>
        <w:jc w:val="both"/>
        <w:rPr>
          <w:color w:val="0070C0"/>
          <w:sz w:val="16"/>
          <w:szCs w:val="16"/>
        </w:rPr>
      </w:pPr>
      <w:r w:rsidRPr="00B52707">
        <w:rPr>
          <w:color w:val="0070C0"/>
          <w:sz w:val="16"/>
          <w:szCs w:val="16"/>
        </w:rPr>
        <w:t>С 1 (14) сентября 1914 г. при Петербургском поли</w:t>
      </w:r>
      <w:r w:rsidRPr="00B52707">
        <w:rPr>
          <w:color w:val="0070C0"/>
          <w:sz w:val="16"/>
          <w:szCs w:val="16"/>
        </w:rPr>
        <w:softHyphen/>
        <w:t>техническом институте (ППИ) начали работу курсы авиационных мотористов, где среди уча</w:t>
      </w:r>
      <w:r w:rsidRPr="00B52707">
        <w:rPr>
          <w:color w:val="0070C0"/>
          <w:sz w:val="16"/>
          <w:szCs w:val="16"/>
        </w:rPr>
        <w:softHyphen/>
        <w:t>щихся были инженеры, техники, рабочие. С 1 сен</w:t>
      </w:r>
      <w:r w:rsidRPr="00B52707">
        <w:rPr>
          <w:color w:val="0070C0"/>
          <w:sz w:val="16"/>
          <w:szCs w:val="16"/>
        </w:rPr>
        <w:softHyphen/>
        <w:t>тября 1914 г. по октябрь 1916 г. было выпущено 314 авиационных мотористов. Так, в ППИ готови</w:t>
      </w:r>
      <w:r w:rsidRPr="00B52707">
        <w:rPr>
          <w:color w:val="0070C0"/>
          <w:sz w:val="16"/>
          <w:szCs w:val="16"/>
        </w:rPr>
        <w:softHyphen/>
        <w:t>лись высшие и средние авиационно-технические кадры для армии и промышленности (24966).</w:t>
      </w:r>
    </w:p>
    <w:p w14:paraId="2AA82CDB" w14:textId="77777777" w:rsidR="004D62EB" w:rsidRPr="00B52707" w:rsidRDefault="004D62EB" w:rsidP="004D62EB">
      <w:pPr>
        <w:jc w:val="both"/>
        <w:rPr>
          <w:color w:val="0070C0"/>
          <w:sz w:val="16"/>
          <w:szCs w:val="16"/>
        </w:rPr>
      </w:pPr>
    </w:p>
    <w:p w14:paraId="7B8A4F9B" w14:textId="77777777" w:rsidR="00B67D7C" w:rsidRPr="00DE096C" w:rsidRDefault="00B67D7C" w:rsidP="00D45A46">
      <w:pPr>
        <w:jc w:val="both"/>
        <w:rPr>
          <w:bCs/>
          <w:i/>
          <w:color w:val="002060"/>
          <w:sz w:val="16"/>
          <w:szCs w:val="16"/>
        </w:rPr>
      </w:pPr>
      <w:r w:rsidRPr="00DE096C">
        <w:rPr>
          <w:bCs/>
          <w:i/>
          <w:color w:val="002060"/>
          <w:sz w:val="16"/>
          <w:szCs w:val="16"/>
        </w:rPr>
        <w:t>Авиация и воздухоплавание Германии:</w:t>
      </w:r>
    </w:p>
    <w:p w14:paraId="041CF947" w14:textId="77777777" w:rsidR="00B67D7C" w:rsidRPr="00DE096C" w:rsidRDefault="00B67D7C" w:rsidP="00D45A46">
      <w:pPr>
        <w:jc w:val="both"/>
        <w:rPr>
          <w:bCs/>
          <w:i/>
          <w:color w:val="002060"/>
          <w:sz w:val="16"/>
          <w:szCs w:val="16"/>
        </w:rPr>
      </w:pPr>
    </w:p>
    <w:p w14:paraId="6693D7F5" w14:textId="6E9C263E" w:rsidR="00B67D7C" w:rsidRPr="00DE096C" w:rsidRDefault="00B67D7C" w:rsidP="00D45A46">
      <w:pPr>
        <w:jc w:val="both"/>
        <w:rPr>
          <w:bCs/>
          <w:color w:val="002060"/>
          <w:sz w:val="16"/>
          <w:szCs w:val="16"/>
        </w:rPr>
      </w:pPr>
      <w:r w:rsidRPr="00DE096C">
        <w:rPr>
          <w:bCs/>
          <w:color w:val="002060"/>
          <w:sz w:val="16"/>
          <w:szCs w:val="16"/>
        </w:rPr>
        <w:t xml:space="preserve">1 (14) сентября </w:t>
      </w:r>
      <w:r w:rsidR="00345651" w:rsidRPr="00DE096C">
        <w:rPr>
          <w:bCs/>
          <w:color w:val="002060"/>
          <w:sz w:val="16"/>
          <w:szCs w:val="16"/>
        </w:rPr>
        <w:t>были б</w:t>
      </w:r>
      <w:r w:rsidRPr="00DE096C">
        <w:rPr>
          <w:bCs/>
          <w:color w:val="002060"/>
          <w:sz w:val="16"/>
          <w:szCs w:val="16"/>
        </w:rPr>
        <w:t>ои на высотах Шмен-де-Дам. Последнее распоряжение генерала Мольтке: отвод 1-й германской армии к Ла-Феру (не выполнено). Сражение на Краонском плато: XVIII корпус захватывает высоты Шмен-де-Дам. Подход XV германского корпуса и стабилизация положения.</w:t>
      </w:r>
    </w:p>
    <w:p w14:paraId="50D0B090" w14:textId="77777777" w:rsidR="00B67D7C" w:rsidRPr="00DE096C" w:rsidRDefault="00B67D7C" w:rsidP="00D45A46">
      <w:pPr>
        <w:jc w:val="both"/>
        <w:rPr>
          <w:bCs/>
          <w:color w:val="002060"/>
          <w:sz w:val="16"/>
          <w:szCs w:val="16"/>
        </w:rPr>
      </w:pPr>
      <w:r w:rsidRPr="00DE096C">
        <w:rPr>
          <w:bCs/>
          <w:color w:val="002060"/>
          <w:sz w:val="16"/>
          <w:szCs w:val="16"/>
        </w:rPr>
        <w:t>Мольтке отстранен от должности и заменен Фалькенхайном .</w:t>
      </w:r>
    </w:p>
    <w:p w14:paraId="711266FE" w14:textId="77777777" w:rsidR="00B67D7C" w:rsidRPr="00DE096C" w:rsidRDefault="00B67D7C" w:rsidP="00D45A46">
      <w:pPr>
        <w:jc w:val="both"/>
        <w:rPr>
          <w:bCs/>
          <w:color w:val="002060"/>
          <w:sz w:val="16"/>
          <w:szCs w:val="16"/>
        </w:rPr>
      </w:pPr>
      <w:r w:rsidRPr="00DE096C">
        <w:rPr>
          <w:bCs/>
          <w:color w:val="002060"/>
          <w:sz w:val="16"/>
          <w:szCs w:val="16"/>
        </w:rPr>
        <w:t>Удет: "Временами мы встречали противника. Но мы, пилоты аэропланов-разведчиков, не могли причинить друг другу никакого вреда. У нас на борту почти не было никакого оружия и обе стороны это знали. Поэтому мы расходились как корабли на море. С началом осени война в воздухе становилась все более жестокой. Поначалу с аэропланов на войска внизу стали метать стальные стрелы. Сейчас начали изготавливать бомбы, воздействие которых было почти равно эффекту от разрыва снарядов. Для того, чтобы поразить противника возможностями этого нового изобретения, 14 сентября был предпринят воздушный налет на Бельфор, в котором участвовали все имеющиеся в наличии аэропланы" (11999).</w:t>
      </w:r>
    </w:p>
    <w:p w14:paraId="6A060094" w14:textId="77777777" w:rsidR="00B67D7C" w:rsidRPr="00DE096C" w:rsidRDefault="00B67D7C" w:rsidP="00D45A46">
      <w:pPr>
        <w:jc w:val="both"/>
        <w:rPr>
          <w:bCs/>
          <w:i/>
          <w:color w:val="002060"/>
          <w:sz w:val="16"/>
          <w:szCs w:val="16"/>
        </w:rPr>
      </w:pPr>
    </w:p>
    <w:p w14:paraId="03511399" w14:textId="77777777" w:rsidR="00B017D1" w:rsidRPr="00DE096C" w:rsidRDefault="00B017D1" w:rsidP="00D45A46">
      <w:pPr>
        <w:jc w:val="both"/>
        <w:rPr>
          <w:bCs/>
          <w:i/>
          <w:color w:val="002060"/>
          <w:sz w:val="16"/>
          <w:szCs w:val="16"/>
        </w:rPr>
      </w:pPr>
      <w:r w:rsidRPr="00DE096C">
        <w:rPr>
          <w:bCs/>
          <w:i/>
          <w:color w:val="002060"/>
          <w:sz w:val="16"/>
          <w:szCs w:val="16"/>
        </w:rPr>
        <w:t>За рубежом:</w:t>
      </w:r>
    </w:p>
    <w:p w14:paraId="5869824A" w14:textId="77777777" w:rsidR="00B017D1" w:rsidRPr="00DE096C" w:rsidRDefault="00B017D1" w:rsidP="00D45A46">
      <w:pPr>
        <w:jc w:val="both"/>
        <w:rPr>
          <w:bCs/>
          <w:color w:val="002060"/>
          <w:sz w:val="16"/>
          <w:szCs w:val="16"/>
        </w:rPr>
      </w:pPr>
    </w:p>
    <w:p w14:paraId="62B82314" w14:textId="77777777" w:rsidR="00B017D1" w:rsidRPr="00DE096C" w:rsidRDefault="00B017D1" w:rsidP="00D45A46">
      <w:pPr>
        <w:jc w:val="both"/>
        <w:rPr>
          <w:bCs/>
          <w:color w:val="002060"/>
          <w:sz w:val="16"/>
          <w:szCs w:val="16"/>
        </w:rPr>
      </w:pPr>
      <w:r w:rsidRPr="00DE096C">
        <w:rPr>
          <w:rStyle w:val="ucoz-forum-post"/>
          <w:rFonts w:eastAsiaTheme="majorEastAsia"/>
          <w:bCs/>
          <w:color w:val="002060"/>
          <w:sz w:val="16"/>
          <w:szCs w:val="16"/>
        </w:rPr>
        <w:t xml:space="preserve">1 (14) сентября </w:t>
      </w:r>
      <w:r w:rsidRPr="00DE096C">
        <w:rPr>
          <w:bCs/>
          <w:color w:val="002060"/>
          <w:sz w:val="16"/>
          <w:szCs w:val="16"/>
        </w:rPr>
        <w:t>в 1914 году союзники освобождают Реймс (14769).</w:t>
      </w:r>
    </w:p>
    <w:p w14:paraId="4D26B113" w14:textId="77777777" w:rsidR="00B017D1" w:rsidRPr="00DE096C" w:rsidRDefault="00B017D1" w:rsidP="00D45A46">
      <w:pPr>
        <w:jc w:val="both"/>
        <w:rPr>
          <w:bCs/>
          <w:color w:val="002060"/>
          <w:sz w:val="16"/>
          <w:szCs w:val="16"/>
        </w:rPr>
      </w:pPr>
    </w:p>
    <w:p w14:paraId="6063F493" w14:textId="77777777" w:rsidR="00B017D1" w:rsidRPr="00DE096C" w:rsidRDefault="00B017D1" w:rsidP="00D45A46">
      <w:pPr>
        <w:jc w:val="both"/>
        <w:rPr>
          <w:bCs/>
          <w:color w:val="002060"/>
          <w:sz w:val="16"/>
          <w:szCs w:val="16"/>
        </w:rPr>
      </w:pPr>
      <w:r w:rsidRPr="00DE096C">
        <w:rPr>
          <w:rStyle w:val="ucoz-forum-post"/>
          <w:rFonts w:eastAsiaTheme="majorEastAsia"/>
          <w:bCs/>
          <w:color w:val="002060"/>
          <w:sz w:val="16"/>
          <w:szCs w:val="16"/>
        </w:rPr>
        <w:t xml:space="preserve">1 (14) сентября </w:t>
      </w:r>
      <w:r w:rsidRPr="00DE096C">
        <w:rPr>
          <w:bCs/>
          <w:color w:val="002060"/>
          <w:sz w:val="16"/>
          <w:szCs w:val="16"/>
        </w:rPr>
        <w:t>в 1914 году Эрих фон Фалькенхайн сменил Гельмута фон Мольтке на посту главнокомандующего германской армией (14769).</w:t>
      </w:r>
    </w:p>
    <w:p w14:paraId="75AAA0F6" w14:textId="77777777" w:rsidR="00B017D1" w:rsidRPr="00DE096C" w:rsidRDefault="00B017D1" w:rsidP="00D45A46">
      <w:pPr>
        <w:jc w:val="both"/>
        <w:rPr>
          <w:bCs/>
          <w:color w:val="002060"/>
          <w:sz w:val="16"/>
          <w:szCs w:val="16"/>
        </w:rPr>
      </w:pPr>
    </w:p>
    <w:p w14:paraId="3AF02473" w14:textId="3405862D" w:rsidR="00B017D1" w:rsidRPr="00DE096C" w:rsidRDefault="00FC77D6" w:rsidP="00D45A46">
      <w:pPr>
        <w:jc w:val="both"/>
        <w:rPr>
          <w:bCs/>
          <w:i/>
          <w:iCs/>
          <w:color w:val="002060"/>
          <w:sz w:val="16"/>
          <w:szCs w:val="16"/>
        </w:rPr>
      </w:pPr>
      <w:r w:rsidRPr="00DE096C">
        <w:rPr>
          <w:bCs/>
          <w:i/>
          <w:iCs/>
          <w:color w:val="002060"/>
          <w:sz w:val="16"/>
          <w:szCs w:val="16"/>
        </w:rPr>
        <w:lastRenderedPageBreak/>
        <w:t>Самолетостроение:</w:t>
      </w:r>
    </w:p>
    <w:p w14:paraId="457771D5" w14:textId="77777777" w:rsidR="00FC77D6" w:rsidRPr="00DE096C" w:rsidRDefault="00FC77D6" w:rsidP="00D45A46">
      <w:pPr>
        <w:jc w:val="both"/>
        <w:rPr>
          <w:bCs/>
          <w:i/>
          <w:iCs/>
          <w:color w:val="002060"/>
          <w:sz w:val="16"/>
          <w:szCs w:val="16"/>
        </w:rPr>
      </w:pPr>
    </w:p>
    <w:p w14:paraId="53B25752" w14:textId="77777777" w:rsidR="00FC77D6" w:rsidRPr="00DE096C" w:rsidRDefault="00FC77D6" w:rsidP="00D45A46">
      <w:pPr>
        <w:jc w:val="both"/>
        <w:rPr>
          <w:bCs/>
          <w:color w:val="002060"/>
          <w:sz w:val="16"/>
          <w:szCs w:val="16"/>
        </w:rPr>
      </w:pPr>
      <w:r w:rsidRPr="00DE096C">
        <w:rPr>
          <w:bCs/>
          <w:color w:val="002060"/>
          <w:sz w:val="16"/>
          <w:szCs w:val="16"/>
        </w:rPr>
        <w:t>2 (15) сентября 1914 г. новгородский дворянин М.А.Малинин в докладной записке на имя верховного главнокомандующего предложил "пускать ч аэропланов ракеты, взрывать вражеские аэростаты", на что получил ответ полковника С.А.Немченко: "Взрывать ракету с аэроплана на ходу опасно из-за пучка пламени, получающегося при вылете, почему, глав</w:t>
      </w:r>
      <w:r w:rsidRPr="00DE096C">
        <w:rPr>
          <w:bCs/>
          <w:color w:val="002060"/>
          <w:sz w:val="16"/>
          <w:szCs w:val="16"/>
        </w:rPr>
        <w:softHyphen/>
        <w:t>ам образом, от этого способа пришлось отказаться" , это предложение было внесено раныше предложения француза Ле-Приера, ракеты которо</w:t>
      </w:r>
      <w:r w:rsidRPr="00DE096C">
        <w:rPr>
          <w:bCs/>
          <w:color w:val="002060"/>
          <w:sz w:val="16"/>
          <w:szCs w:val="16"/>
        </w:rPr>
        <w:softHyphen/>
        <w:t>го устанавливались на самолетах в 1915 году и позже.</w:t>
      </w:r>
    </w:p>
    <w:p w14:paraId="7BCCD82D" w14:textId="77777777" w:rsidR="00FC77D6" w:rsidRPr="00DE096C" w:rsidRDefault="00FC77D6" w:rsidP="00D45A46">
      <w:pPr>
        <w:jc w:val="both"/>
        <w:rPr>
          <w:bCs/>
          <w:color w:val="002060"/>
          <w:sz w:val="16"/>
          <w:szCs w:val="16"/>
        </w:rPr>
      </w:pPr>
      <w:r w:rsidRPr="00DE096C">
        <w:rPr>
          <w:bCs/>
          <w:color w:val="002060"/>
          <w:sz w:val="16"/>
          <w:szCs w:val="16"/>
        </w:rPr>
        <w:t>/ЦГВИА, ф. 2003, оп. 2, д. 510, л. 294, 296/ (23320).</w:t>
      </w:r>
    </w:p>
    <w:p w14:paraId="7C8E2C0E" w14:textId="77777777" w:rsidR="00FC77D6" w:rsidRPr="00DE096C" w:rsidRDefault="00FC77D6" w:rsidP="00D45A46">
      <w:pPr>
        <w:jc w:val="both"/>
        <w:rPr>
          <w:bCs/>
          <w:color w:val="002060"/>
          <w:sz w:val="16"/>
          <w:szCs w:val="16"/>
        </w:rPr>
      </w:pPr>
    </w:p>
    <w:p w14:paraId="4E87C067" w14:textId="6CD9439A" w:rsidR="007E2668" w:rsidRPr="00DE096C" w:rsidRDefault="007E2668" w:rsidP="00D45A46">
      <w:pPr>
        <w:jc w:val="both"/>
        <w:rPr>
          <w:bCs/>
          <w:i/>
          <w:color w:val="002060"/>
          <w:sz w:val="16"/>
          <w:szCs w:val="16"/>
        </w:rPr>
      </w:pPr>
      <w:r w:rsidRPr="00DE096C">
        <w:rPr>
          <w:bCs/>
          <w:i/>
          <w:color w:val="002060"/>
          <w:sz w:val="16"/>
          <w:szCs w:val="16"/>
        </w:rPr>
        <w:t>Автация:</w:t>
      </w:r>
    </w:p>
    <w:p w14:paraId="4A88A3A1" w14:textId="77777777" w:rsidR="007E2668" w:rsidRPr="00DE096C" w:rsidRDefault="007E2668" w:rsidP="00D45A46">
      <w:pPr>
        <w:jc w:val="both"/>
        <w:rPr>
          <w:bCs/>
          <w:i/>
          <w:color w:val="002060"/>
          <w:sz w:val="16"/>
          <w:szCs w:val="16"/>
        </w:rPr>
      </w:pPr>
    </w:p>
    <w:p w14:paraId="76FA2C3B" w14:textId="59FB5641" w:rsidR="007E2668" w:rsidRPr="00DE096C" w:rsidRDefault="007E2668" w:rsidP="00D45A46">
      <w:pPr>
        <w:jc w:val="both"/>
        <w:rPr>
          <w:bCs/>
          <w:color w:val="002060"/>
          <w:sz w:val="16"/>
          <w:szCs w:val="16"/>
        </w:rPr>
      </w:pPr>
      <w:r w:rsidRPr="00DE096C">
        <w:rPr>
          <w:bCs/>
          <w:color w:val="002060"/>
          <w:sz w:val="16"/>
          <w:szCs w:val="16"/>
          <w:lang w:bidi="en-US"/>
        </w:rPr>
        <w:t>2 (15) сентября 1914 г. на Северо-Западном фронте немцы разгромили 1-ю русскую армию в битве у Мазурских озер. Русские были вынуждены уйти из Восточной Пруссии и к 25-му стабилизировали свои позиции. При отступлении была предпринята попытка вылета летчика АО «Ковенская крепость» Штабс Капитан А.К. Перепечина с пассажиром генералом А.В. Каульбарсом в качестве наблюдателя для определения позиций русских войск и восстановления связи между ними (23525).</w:t>
      </w:r>
    </w:p>
    <w:p w14:paraId="767FBDFB" w14:textId="77777777" w:rsidR="007E2668" w:rsidRPr="00DE096C" w:rsidRDefault="007E2668" w:rsidP="00D45A46">
      <w:pPr>
        <w:jc w:val="both"/>
        <w:rPr>
          <w:bCs/>
          <w:color w:val="002060"/>
          <w:sz w:val="16"/>
          <w:szCs w:val="16"/>
        </w:rPr>
      </w:pPr>
    </w:p>
    <w:p w14:paraId="1DA82B6A" w14:textId="61588340" w:rsidR="007E2668" w:rsidRPr="00DE096C" w:rsidRDefault="007E2668" w:rsidP="00D45A46">
      <w:pPr>
        <w:jc w:val="both"/>
        <w:rPr>
          <w:bCs/>
          <w:color w:val="002060"/>
          <w:sz w:val="16"/>
          <w:szCs w:val="16"/>
          <w:lang w:bidi="en-US"/>
        </w:rPr>
      </w:pPr>
      <w:r w:rsidRPr="00DE096C">
        <w:rPr>
          <w:bCs/>
          <w:color w:val="002060"/>
          <w:sz w:val="16"/>
          <w:szCs w:val="16"/>
          <w:lang w:bidi="en-US"/>
        </w:rPr>
        <w:t>2 (15) сентября 1914 г. Фарман-22 разбился и перевернулся при взлете из-за дождя, низкой облачности и грязного поля в Пильвишках под Ковно. Генерал Каульбарс получил сильные ушибы и сломал несколько ребер. Инцидент подтвердил тогдашнее мнение Ставки о том, что стоимость самолетов невелика (23525).</w:t>
      </w:r>
    </w:p>
    <w:p w14:paraId="57964445" w14:textId="77777777" w:rsidR="007E2668" w:rsidRPr="00DE096C" w:rsidRDefault="007E2668" w:rsidP="00D45A46">
      <w:pPr>
        <w:jc w:val="both"/>
        <w:rPr>
          <w:bCs/>
          <w:color w:val="002060"/>
          <w:sz w:val="16"/>
          <w:szCs w:val="16"/>
        </w:rPr>
      </w:pPr>
    </w:p>
    <w:p w14:paraId="0A542DC6" w14:textId="77777777" w:rsidR="004D62EB" w:rsidRPr="00B52707" w:rsidRDefault="004D62EB" w:rsidP="004D62EB">
      <w:pPr>
        <w:jc w:val="both"/>
        <w:rPr>
          <w:color w:val="0070C0"/>
          <w:sz w:val="16"/>
          <w:szCs w:val="16"/>
        </w:rPr>
      </w:pPr>
      <w:r w:rsidRPr="00B52707">
        <w:rPr>
          <w:rStyle w:val="ab"/>
          <w:rFonts w:ascii="Times New Roman" w:hAnsi="Times New Roman"/>
          <w:color w:val="0070C0"/>
          <w:spacing w:val="0"/>
          <w:sz w:val="16"/>
          <w:szCs w:val="16"/>
        </w:rPr>
        <w:t>В ночь с 2 (15) на 3 (16) сентября 1914 г. отмечено следующее появление немецкого аэроплана над столицей Лифляндской губернии г. Рига. Он долго кружил над центральной товарной станцией и ретировался после открытия по нему зенитного огня (25166).</w:t>
      </w:r>
    </w:p>
    <w:p w14:paraId="5A6CBDE0" w14:textId="77777777" w:rsidR="004D62EB" w:rsidRPr="00B52707" w:rsidRDefault="004D62EB" w:rsidP="004D62EB">
      <w:pPr>
        <w:jc w:val="both"/>
        <w:rPr>
          <w:color w:val="0070C0"/>
          <w:sz w:val="16"/>
          <w:szCs w:val="16"/>
        </w:rPr>
      </w:pPr>
    </w:p>
    <w:p w14:paraId="384DE0E9" w14:textId="48ED1698" w:rsidR="00FC77D6" w:rsidRPr="00DE096C" w:rsidRDefault="00FC77D6" w:rsidP="00D45A46">
      <w:pPr>
        <w:jc w:val="both"/>
        <w:rPr>
          <w:bCs/>
          <w:i/>
          <w:color w:val="002060"/>
          <w:sz w:val="16"/>
          <w:szCs w:val="16"/>
        </w:rPr>
      </w:pPr>
      <w:r w:rsidRPr="00DE096C">
        <w:rPr>
          <w:bCs/>
          <w:i/>
          <w:color w:val="002060"/>
          <w:sz w:val="16"/>
          <w:szCs w:val="16"/>
        </w:rPr>
        <w:t>За рубежом:</w:t>
      </w:r>
    </w:p>
    <w:p w14:paraId="1EBA222A" w14:textId="77777777" w:rsidR="00FC77D6" w:rsidRPr="00DE096C" w:rsidRDefault="00FC77D6" w:rsidP="00D45A46">
      <w:pPr>
        <w:jc w:val="both"/>
        <w:rPr>
          <w:bCs/>
          <w:color w:val="002060"/>
          <w:sz w:val="16"/>
          <w:szCs w:val="16"/>
        </w:rPr>
      </w:pPr>
    </w:p>
    <w:p w14:paraId="65BD5EBA" w14:textId="77777777" w:rsidR="00FC77D6" w:rsidRPr="00DE096C" w:rsidRDefault="00FC77D6" w:rsidP="00D45A46">
      <w:pPr>
        <w:jc w:val="both"/>
        <w:rPr>
          <w:bCs/>
          <w:color w:val="002060"/>
          <w:sz w:val="16"/>
          <w:szCs w:val="16"/>
        </w:rPr>
      </w:pPr>
      <w:r w:rsidRPr="00DE096C">
        <w:rPr>
          <w:bCs/>
          <w:color w:val="002060"/>
          <w:sz w:val="16"/>
          <w:szCs w:val="16"/>
        </w:rPr>
        <w:t>2 (15) сентября в 1914 году сражение на Эне (до 18 сентября). Союзники атакуют германские позиции. Пехота начинает рыть окопы (14770).</w:t>
      </w:r>
    </w:p>
    <w:p w14:paraId="2CE7EBA0" w14:textId="77777777" w:rsidR="00FC77D6" w:rsidRPr="00DE096C" w:rsidRDefault="00FC77D6" w:rsidP="00D45A46">
      <w:pPr>
        <w:jc w:val="both"/>
        <w:rPr>
          <w:bCs/>
          <w:color w:val="002060"/>
          <w:sz w:val="16"/>
          <w:szCs w:val="16"/>
        </w:rPr>
      </w:pPr>
    </w:p>
    <w:p w14:paraId="58471BBC" w14:textId="77777777" w:rsidR="00FC77D6" w:rsidRPr="00DE096C" w:rsidRDefault="00FC77D6" w:rsidP="00D45A46">
      <w:pPr>
        <w:jc w:val="both"/>
        <w:rPr>
          <w:bCs/>
          <w:color w:val="002060"/>
          <w:sz w:val="16"/>
          <w:szCs w:val="16"/>
        </w:rPr>
      </w:pPr>
      <w:r w:rsidRPr="00DE096C">
        <w:rPr>
          <w:bCs/>
          <w:color w:val="002060"/>
          <w:sz w:val="16"/>
          <w:szCs w:val="16"/>
        </w:rPr>
        <w:t>2 (15) сентября в 1914 году в Тихоокеанском регионе, в германской Новой Гвинее, немецкие части сдаются британским войскам (14770).</w:t>
      </w:r>
    </w:p>
    <w:p w14:paraId="0660B1B5" w14:textId="77777777" w:rsidR="00FC77D6" w:rsidRPr="00DE096C" w:rsidRDefault="00FC77D6" w:rsidP="00D45A46">
      <w:pPr>
        <w:jc w:val="both"/>
        <w:rPr>
          <w:bCs/>
          <w:i/>
          <w:color w:val="002060"/>
          <w:sz w:val="16"/>
          <w:szCs w:val="16"/>
        </w:rPr>
      </w:pPr>
    </w:p>
    <w:p w14:paraId="28C50305" w14:textId="3048C8C4" w:rsidR="00D144BD" w:rsidRPr="00DE096C" w:rsidRDefault="00D144BD" w:rsidP="00D45A46">
      <w:pPr>
        <w:jc w:val="both"/>
        <w:rPr>
          <w:bCs/>
          <w:i/>
          <w:color w:val="002060"/>
          <w:sz w:val="16"/>
          <w:szCs w:val="16"/>
        </w:rPr>
      </w:pPr>
      <w:r w:rsidRPr="00DE096C">
        <w:rPr>
          <w:bCs/>
          <w:i/>
          <w:color w:val="002060"/>
          <w:sz w:val="16"/>
          <w:szCs w:val="16"/>
        </w:rPr>
        <w:t>Армия:</w:t>
      </w:r>
    </w:p>
    <w:p w14:paraId="25823C6A" w14:textId="77777777" w:rsidR="00D144BD" w:rsidRPr="00DE096C" w:rsidRDefault="00D144BD" w:rsidP="00D45A46">
      <w:pPr>
        <w:jc w:val="both"/>
        <w:rPr>
          <w:bCs/>
          <w:i/>
          <w:color w:val="002060"/>
          <w:sz w:val="16"/>
          <w:szCs w:val="16"/>
        </w:rPr>
      </w:pPr>
    </w:p>
    <w:p w14:paraId="1054705F" w14:textId="5B592E97" w:rsidR="00D144BD" w:rsidRPr="00DE096C" w:rsidRDefault="00D144BD" w:rsidP="00D45A46">
      <w:pPr>
        <w:jc w:val="both"/>
        <w:rPr>
          <w:bCs/>
          <w:color w:val="002060"/>
          <w:sz w:val="16"/>
          <w:szCs w:val="16"/>
          <w:lang w:bidi="en-US"/>
        </w:rPr>
      </w:pPr>
      <w:r w:rsidRPr="00DE096C">
        <w:rPr>
          <w:bCs/>
          <w:color w:val="002060"/>
          <w:sz w:val="16"/>
          <w:szCs w:val="16"/>
          <w:lang w:bidi="en-US"/>
        </w:rPr>
        <w:t>3 (16) сентября 1914 г. 3-я русская армия окружила австро-венгерскую крепость Перемышль в Галиции. Русские 24-я и 26-я КАО выполнили множество разведывательных, фото- и огневых задач во время осады, которая продолжалась до 14 октября, когда она была взята русскими. Крепость была взята австро-германцами 3 июня 1915 года (23525).</w:t>
      </w:r>
    </w:p>
    <w:p w14:paraId="1267B964" w14:textId="77777777" w:rsidR="00D144BD" w:rsidRPr="00DE096C" w:rsidRDefault="00D144BD" w:rsidP="00D45A46">
      <w:pPr>
        <w:jc w:val="both"/>
        <w:rPr>
          <w:bCs/>
          <w:color w:val="002060"/>
          <w:sz w:val="16"/>
          <w:szCs w:val="16"/>
        </w:rPr>
      </w:pPr>
    </w:p>
    <w:p w14:paraId="29B32B1E" w14:textId="2911A8B7" w:rsidR="00B67D7C" w:rsidRPr="00DE096C" w:rsidRDefault="00B67D7C" w:rsidP="00D45A46">
      <w:pPr>
        <w:jc w:val="both"/>
        <w:rPr>
          <w:bCs/>
          <w:i/>
          <w:color w:val="002060"/>
          <w:sz w:val="16"/>
          <w:szCs w:val="16"/>
        </w:rPr>
      </w:pPr>
      <w:r w:rsidRPr="00DE096C">
        <w:rPr>
          <w:bCs/>
          <w:i/>
          <w:color w:val="002060"/>
          <w:sz w:val="16"/>
          <w:szCs w:val="16"/>
        </w:rPr>
        <w:t>Авиация:</w:t>
      </w:r>
    </w:p>
    <w:p w14:paraId="5989E17C" w14:textId="77777777" w:rsidR="00B67D7C" w:rsidRPr="00DE096C" w:rsidRDefault="00B67D7C" w:rsidP="00D45A46">
      <w:pPr>
        <w:jc w:val="both"/>
        <w:rPr>
          <w:bCs/>
          <w:i/>
          <w:color w:val="002060"/>
          <w:sz w:val="16"/>
          <w:szCs w:val="16"/>
        </w:rPr>
      </w:pPr>
    </w:p>
    <w:p w14:paraId="199C25BF" w14:textId="01697EFB" w:rsidR="00B67D7C" w:rsidRPr="00DE096C" w:rsidRDefault="00B67D7C" w:rsidP="00D45A46">
      <w:pPr>
        <w:jc w:val="both"/>
        <w:rPr>
          <w:bCs/>
          <w:color w:val="002060"/>
          <w:sz w:val="16"/>
          <w:szCs w:val="16"/>
        </w:rPr>
      </w:pPr>
      <w:r w:rsidRPr="00DE096C">
        <w:rPr>
          <w:bCs/>
          <w:color w:val="002060"/>
          <w:sz w:val="16"/>
          <w:szCs w:val="16"/>
        </w:rPr>
        <w:t>3 (1</w:t>
      </w:r>
      <w:r w:rsidR="00345651" w:rsidRPr="00DE096C">
        <w:rPr>
          <w:bCs/>
          <w:color w:val="002060"/>
          <w:sz w:val="16"/>
          <w:szCs w:val="16"/>
        </w:rPr>
        <w:t>6</w:t>
      </w:r>
      <w:r w:rsidRPr="00DE096C">
        <w:rPr>
          <w:bCs/>
          <w:color w:val="002060"/>
          <w:sz w:val="16"/>
          <w:szCs w:val="16"/>
        </w:rPr>
        <w:t xml:space="preserve">) сентября </w:t>
      </w:r>
      <w:r w:rsidR="00345651" w:rsidRPr="00DE096C">
        <w:rPr>
          <w:bCs/>
          <w:color w:val="002060"/>
          <w:sz w:val="16"/>
          <w:szCs w:val="16"/>
        </w:rPr>
        <w:t xml:space="preserve">1914 г. </w:t>
      </w:r>
      <w:r w:rsidRPr="00DE096C">
        <w:rPr>
          <w:bCs/>
          <w:color w:val="002060"/>
          <w:sz w:val="16"/>
          <w:szCs w:val="16"/>
        </w:rPr>
        <w:t>между 4 и 5 часами дня над Кишозером рижане впервые наблюдали вражеский цеппелин.</w:t>
      </w:r>
    </w:p>
    <w:p w14:paraId="1660BFBF" w14:textId="77777777" w:rsidR="00B67D7C" w:rsidRPr="00DE096C" w:rsidRDefault="00B67D7C" w:rsidP="00D45A46">
      <w:pPr>
        <w:jc w:val="both"/>
        <w:rPr>
          <w:bCs/>
          <w:color w:val="002060"/>
          <w:sz w:val="16"/>
          <w:szCs w:val="16"/>
        </w:rPr>
      </w:pPr>
      <w:r w:rsidRPr="00DE096C">
        <w:rPr>
          <w:bCs/>
          <w:color w:val="002060"/>
          <w:sz w:val="16"/>
          <w:szCs w:val="16"/>
        </w:rPr>
        <w:t>Он находился на значительной высоте и невооруженному взгляду представил­ся легким облачком, однако даже театральные бинокли позволяли рижанам убедиться, что это нечто более грозное. Цеппелины — дирижабли жесткой конструкции с металлическим каркасом, обтянутым тканью, названные по имени своего создателя — генерала Ф. Цеппелина — в те времена действительно казались грозным оружием. Поднимаясь на высоту 2,5-3 километра и двигаясь со скоростью 80-90 км/ час, они имели на вооружении пулеметы, артиллерийские орудия и бомбы. Жизнь пестрит странными совпадениями. История создания каркасных дирижаблей — цеппелинов — одно из них. В свое время граф Цеппелин, будучи уже в отставке, гостил в Прибалтике в Яунлайцане. Здесь он познакомился с падчерицей местного помещика — баронессой фон Вольф и женился на ней. Жена оказалась владелицей нескольких крупных имений в Прибалтике, одно из которых — Вецгулбенское было заложено супругами за 600 000 рублей. Эти деньги и были потрачены на постройку первого "Цеппелина". Это было в 1900 году. Второй был построен в 1905 г. Им заинтересовалось военное ведомство. В 1906 г. по его заказу была создана еще одна конструкция. К началу войны Германия имела в строю 11 "Цеппелинов".</w:t>
      </w:r>
    </w:p>
    <w:p w14:paraId="18A8AE13" w14:textId="77777777" w:rsidR="00B67D7C" w:rsidRPr="00DE096C" w:rsidRDefault="00B67D7C" w:rsidP="00D45A46">
      <w:pPr>
        <w:jc w:val="both"/>
        <w:rPr>
          <w:bCs/>
          <w:color w:val="002060"/>
          <w:sz w:val="16"/>
          <w:szCs w:val="16"/>
        </w:rPr>
      </w:pPr>
      <w:r w:rsidRPr="00DE096C">
        <w:rPr>
          <w:bCs/>
          <w:color w:val="002060"/>
          <w:sz w:val="16"/>
          <w:szCs w:val="16"/>
        </w:rPr>
        <w:t>Появление одного из них над Ригой вызвало последствия самые неожиданные: в городе стали раздаваться голоса о необходимости закрытия находящегося на Мариинской улице кинотеатра, принадлежавшего немецкому владельцу и имевшему несчастье называться "Цеппелин". Впрочем, потом "цеппелины" больше не появлялись, и об этом требовании быстро забыли. Зато германские аэропланы оказались достаточно частыми гостями. Два аэроплана кружили над лесом у Кишозера в то же время, что и "цеппелины", находясь, правда, значитель­но ниже.</w:t>
      </w:r>
    </w:p>
    <w:p w14:paraId="1A2ABE69" w14:textId="77777777" w:rsidR="00B67D7C" w:rsidRPr="00DE096C" w:rsidRDefault="00B67D7C" w:rsidP="00D45A46">
      <w:pPr>
        <w:jc w:val="both"/>
        <w:rPr>
          <w:bCs/>
          <w:i/>
          <w:color w:val="002060"/>
          <w:sz w:val="16"/>
          <w:szCs w:val="16"/>
        </w:rPr>
      </w:pPr>
    </w:p>
    <w:p w14:paraId="74D77BC3" w14:textId="77777777" w:rsidR="00B017D1" w:rsidRPr="00DE096C" w:rsidRDefault="00B017D1" w:rsidP="00D45A46">
      <w:pPr>
        <w:jc w:val="both"/>
        <w:rPr>
          <w:bCs/>
          <w:i/>
          <w:color w:val="002060"/>
          <w:sz w:val="16"/>
          <w:szCs w:val="16"/>
        </w:rPr>
      </w:pPr>
      <w:r w:rsidRPr="00DE096C">
        <w:rPr>
          <w:bCs/>
          <w:i/>
          <w:color w:val="002060"/>
          <w:sz w:val="16"/>
          <w:szCs w:val="16"/>
        </w:rPr>
        <w:t>Армия:</w:t>
      </w:r>
    </w:p>
    <w:p w14:paraId="09B3DBD5" w14:textId="77777777" w:rsidR="00B017D1" w:rsidRPr="00DE096C" w:rsidRDefault="00B017D1" w:rsidP="00D45A46">
      <w:pPr>
        <w:jc w:val="both"/>
        <w:rPr>
          <w:bCs/>
          <w:i/>
          <w:color w:val="002060"/>
          <w:sz w:val="16"/>
          <w:szCs w:val="16"/>
        </w:rPr>
      </w:pPr>
    </w:p>
    <w:p w14:paraId="540534BF" w14:textId="3499BA18" w:rsidR="00B017D1" w:rsidRPr="00DE096C" w:rsidRDefault="00B017D1" w:rsidP="00D45A46">
      <w:pPr>
        <w:jc w:val="both"/>
        <w:rPr>
          <w:bCs/>
          <w:color w:val="002060"/>
          <w:sz w:val="16"/>
          <w:szCs w:val="16"/>
        </w:rPr>
      </w:pPr>
      <w:r w:rsidRPr="00DE096C">
        <w:rPr>
          <w:rStyle w:val="ucoz-forum-post"/>
          <w:rFonts w:eastAsiaTheme="majorEastAsia"/>
          <w:bCs/>
          <w:color w:val="002060"/>
          <w:sz w:val="16"/>
          <w:szCs w:val="16"/>
        </w:rPr>
        <w:t xml:space="preserve">3 </w:t>
      </w:r>
      <w:r w:rsidR="00345651" w:rsidRPr="00DE096C">
        <w:rPr>
          <w:rStyle w:val="ucoz-forum-post"/>
          <w:rFonts w:eastAsiaTheme="majorEastAsia"/>
          <w:bCs/>
          <w:color w:val="002060"/>
          <w:sz w:val="16"/>
          <w:szCs w:val="16"/>
        </w:rPr>
        <w:t xml:space="preserve">(16) </w:t>
      </w:r>
      <w:r w:rsidRPr="00DE096C">
        <w:rPr>
          <w:rStyle w:val="ucoz-forum-post"/>
          <w:rFonts w:eastAsiaTheme="majorEastAsia"/>
          <w:bCs/>
          <w:color w:val="002060"/>
          <w:sz w:val="16"/>
          <w:szCs w:val="16"/>
        </w:rPr>
        <w:t xml:space="preserve">сентября </w:t>
      </w:r>
      <w:r w:rsidRPr="00DE096C">
        <w:rPr>
          <w:bCs/>
          <w:color w:val="002060"/>
          <w:sz w:val="16"/>
          <w:szCs w:val="16"/>
        </w:rPr>
        <w:t>в 1914 году во время Первой мировой войны русские войска Юго-Западного фронта (генерал от инфантерии Н.И.Иванов) в ходе Галицийской битвы взяли город Львов (14758).</w:t>
      </w:r>
    </w:p>
    <w:p w14:paraId="66C57055" w14:textId="77777777" w:rsidR="00B017D1" w:rsidRPr="00DE096C" w:rsidRDefault="00B017D1" w:rsidP="00D45A46">
      <w:pPr>
        <w:jc w:val="both"/>
        <w:rPr>
          <w:bCs/>
          <w:color w:val="002060"/>
          <w:sz w:val="16"/>
          <w:szCs w:val="16"/>
        </w:rPr>
      </w:pPr>
    </w:p>
    <w:p w14:paraId="62E5F1B8" w14:textId="181DD934" w:rsidR="008E6C8D" w:rsidRPr="00DE096C" w:rsidRDefault="008E6C8D" w:rsidP="00D45A46">
      <w:pPr>
        <w:jc w:val="both"/>
        <w:rPr>
          <w:bCs/>
          <w:i/>
          <w:color w:val="002060"/>
          <w:sz w:val="16"/>
          <w:szCs w:val="16"/>
        </w:rPr>
      </w:pPr>
      <w:r w:rsidRPr="00DE096C">
        <w:rPr>
          <w:bCs/>
          <w:i/>
          <w:color w:val="002060"/>
          <w:sz w:val="16"/>
          <w:szCs w:val="16"/>
        </w:rPr>
        <w:t>Авиация и воздухоплавание за рубежом:</w:t>
      </w:r>
    </w:p>
    <w:p w14:paraId="2A770F44" w14:textId="77777777" w:rsidR="008E6C8D" w:rsidRPr="00DE096C" w:rsidRDefault="008E6C8D" w:rsidP="00D45A46">
      <w:pPr>
        <w:jc w:val="both"/>
        <w:rPr>
          <w:bCs/>
          <w:color w:val="002060"/>
          <w:sz w:val="16"/>
          <w:szCs w:val="16"/>
        </w:rPr>
      </w:pPr>
    </w:p>
    <w:p w14:paraId="39F35977" w14:textId="77777777" w:rsidR="008E6C8D" w:rsidRPr="00DE096C" w:rsidRDefault="008E6C8D" w:rsidP="00D45A46">
      <w:pPr>
        <w:jc w:val="both"/>
        <w:rPr>
          <w:bCs/>
          <w:color w:val="002060"/>
          <w:sz w:val="16"/>
          <w:szCs w:val="16"/>
        </w:rPr>
      </w:pPr>
      <w:r w:rsidRPr="00DE096C">
        <w:rPr>
          <w:bCs/>
          <w:color w:val="002060"/>
          <w:sz w:val="16"/>
          <w:szCs w:val="16"/>
        </w:rPr>
        <w:t>3 (16) сентября 1914 формируется Канадский авиационный корпус (20337).</w:t>
      </w:r>
    </w:p>
    <w:p w14:paraId="47BBF2FC" w14:textId="77777777" w:rsidR="008E6C8D" w:rsidRPr="00DE096C" w:rsidRDefault="008E6C8D" w:rsidP="00D45A46">
      <w:pPr>
        <w:jc w:val="both"/>
        <w:rPr>
          <w:bCs/>
          <w:color w:val="002060"/>
          <w:sz w:val="16"/>
          <w:szCs w:val="16"/>
        </w:rPr>
      </w:pPr>
    </w:p>
    <w:p w14:paraId="3F734AC4" w14:textId="77777777" w:rsidR="00B017D1" w:rsidRPr="00DE096C" w:rsidRDefault="00B017D1" w:rsidP="00D45A46">
      <w:pPr>
        <w:jc w:val="both"/>
        <w:rPr>
          <w:bCs/>
          <w:i/>
          <w:color w:val="002060"/>
          <w:sz w:val="16"/>
          <w:szCs w:val="16"/>
        </w:rPr>
      </w:pPr>
      <w:r w:rsidRPr="00DE096C">
        <w:rPr>
          <w:bCs/>
          <w:i/>
          <w:color w:val="002060"/>
          <w:sz w:val="16"/>
          <w:szCs w:val="16"/>
        </w:rPr>
        <w:t>За рубежом:</w:t>
      </w:r>
    </w:p>
    <w:p w14:paraId="45080B88" w14:textId="77777777" w:rsidR="00B017D1" w:rsidRPr="00DE096C" w:rsidRDefault="00B017D1" w:rsidP="00D45A46">
      <w:pPr>
        <w:jc w:val="both"/>
        <w:rPr>
          <w:bCs/>
          <w:color w:val="002060"/>
          <w:sz w:val="16"/>
          <w:szCs w:val="16"/>
        </w:rPr>
      </w:pPr>
    </w:p>
    <w:p w14:paraId="60AF4170" w14:textId="77777777" w:rsidR="00B017D1" w:rsidRPr="00DE096C" w:rsidRDefault="00B017D1" w:rsidP="00D45A46">
      <w:pPr>
        <w:jc w:val="both"/>
        <w:rPr>
          <w:bCs/>
          <w:color w:val="002060"/>
          <w:sz w:val="16"/>
          <w:szCs w:val="16"/>
        </w:rPr>
      </w:pPr>
      <w:r w:rsidRPr="00DE096C">
        <w:rPr>
          <w:rStyle w:val="ucoz-forum-post"/>
          <w:rFonts w:eastAsiaTheme="majorEastAsia"/>
          <w:bCs/>
          <w:color w:val="002060"/>
          <w:sz w:val="16"/>
          <w:szCs w:val="16"/>
        </w:rPr>
        <w:t xml:space="preserve">3 (16) сентября </w:t>
      </w:r>
      <w:r w:rsidRPr="00DE096C">
        <w:rPr>
          <w:bCs/>
          <w:color w:val="002060"/>
          <w:sz w:val="16"/>
          <w:szCs w:val="16"/>
        </w:rPr>
        <w:t>в 1914 году первые украинские сечевые стрельцы в составе австрийской армии присягнули на верность борьбе за освобождение Украины (14771).</w:t>
      </w:r>
    </w:p>
    <w:p w14:paraId="3E6E4825" w14:textId="77777777" w:rsidR="00B017D1" w:rsidRPr="00DE096C" w:rsidRDefault="00B017D1" w:rsidP="00D45A46">
      <w:pPr>
        <w:jc w:val="both"/>
        <w:rPr>
          <w:bCs/>
          <w:color w:val="002060"/>
          <w:sz w:val="16"/>
          <w:szCs w:val="16"/>
        </w:rPr>
      </w:pPr>
    </w:p>
    <w:p w14:paraId="27D280D8" w14:textId="77777777" w:rsidR="00B017D1" w:rsidRPr="00DE096C" w:rsidRDefault="00B017D1" w:rsidP="00D45A46">
      <w:pPr>
        <w:jc w:val="both"/>
        <w:rPr>
          <w:bCs/>
          <w:color w:val="002060"/>
          <w:sz w:val="16"/>
          <w:szCs w:val="16"/>
        </w:rPr>
      </w:pPr>
      <w:r w:rsidRPr="00DE096C">
        <w:rPr>
          <w:rStyle w:val="ucoz-forum-post"/>
          <w:rFonts w:eastAsiaTheme="majorEastAsia"/>
          <w:bCs/>
          <w:color w:val="002060"/>
          <w:sz w:val="16"/>
          <w:szCs w:val="16"/>
        </w:rPr>
        <w:t xml:space="preserve">3 (16) сентября </w:t>
      </w:r>
      <w:r w:rsidRPr="00DE096C">
        <w:rPr>
          <w:bCs/>
          <w:color w:val="002060"/>
          <w:sz w:val="16"/>
          <w:szCs w:val="16"/>
        </w:rPr>
        <w:t>в 1914 году начался так называемый "бег к морю" - операции англо-французских и германских войск за открытые фланги (14771).</w:t>
      </w:r>
    </w:p>
    <w:p w14:paraId="51A5AA4C" w14:textId="77777777" w:rsidR="00B017D1" w:rsidRPr="00DE096C" w:rsidRDefault="00B017D1" w:rsidP="00D45A46">
      <w:pPr>
        <w:jc w:val="both"/>
        <w:rPr>
          <w:bCs/>
          <w:color w:val="002060"/>
          <w:sz w:val="16"/>
          <w:szCs w:val="16"/>
        </w:rPr>
      </w:pPr>
    </w:p>
    <w:p w14:paraId="5B82F88E" w14:textId="77777777" w:rsidR="00B017D1" w:rsidRPr="00DE096C" w:rsidRDefault="00B017D1" w:rsidP="00D45A46">
      <w:pPr>
        <w:jc w:val="both"/>
        <w:rPr>
          <w:bCs/>
          <w:i/>
          <w:color w:val="002060"/>
          <w:sz w:val="16"/>
          <w:szCs w:val="16"/>
        </w:rPr>
      </w:pPr>
      <w:r w:rsidRPr="00DE096C">
        <w:rPr>
          <w:bCs/>
          <w:i/>
          <w:color w:val="002060"/>
          <w:sz w:val="16"/>
          <w:szCs w:val="16"/>
        </w:rPr>
        <w:t>Другие оборонные отрасли:</w:t>
      </w:r>
    </w:p>
    <w:p w14:paraId="4A863C59" w14:textId="77777777" w:rsidR="00B017D1" w:rsidRPr="00DE096C" w:rsidRDefault="00B017D1" w:rsidP="00D45A46">
      <w:pPr>
        <w:jc w:val="both"/>
        <w:rPr>
          <w:bCs/>
          <w:i/>
          <w:color w:val="002060"/>
          <w:sz w:val="16"/>
          <w:szCs w:val="16"/>
        </w:rPr>
      </w:pPr>
    </w:p>
    <w:p w14:paraId="1AC5F73A" w14:textId="054D25EB" w:rsidR="00B017D1" w:rsidRPr="00DE096C" w:rsidRDefault="00B017D1" w:rsidP="00D45A46">
      <w:pPr>
        <w:jc w:val="both"/>
        <w:rPr>
          <w:bCs/>
          <w:color w:val="002060"/>
          <w:sz w:val="16"/>
          <w:szCs w:val="16"/>
        </w:rPr>
      </w:pPr>
      <w:r w:rsidRPr="00DE096C">
        <w:rPr>
          <w:bCs/>
          <w:color w:val="002060"/>
          <w:sz w:val="16"/>
          <w:szCs w:val="16"/>
        </w:rPr>
        <w:t xml:space="preserve">4 </w:t>
      </w:r>
      <w:r w:rsidR="00345651" w:rsidRPr="00DE096C">
        <w:rPr>
          <w:bCs/>
          <w:color w:val="002060"/>
          <w:sz w:val="16"/>
          <w:szCs w:val="16"/>
        </w:rPr>
        <w:t xml:space="preserve">(17) </w:t>
      </w:r>
      <w:r w:rsidRPr="00DE096C">
        <w:rPr>
          <w:bCs/>
          <w:color w:val="002060"/>
          <w:sz w:val="16"/>
          <w:szCs w:val="16"/>
        </w:rPr>
        <w:t xml:space="preserve">сентября и 17 </w:t>
      </w:r>
      <w:r w:rsidR="00345651" w:rsidRPr="00DE096C">
        <w:rPr>
          <w:bCs/>
          <w:color w:val="002060"/>
          <w:sz w:val="16"/>
          <w:szCs w:val="16"/>
        </w:rPr>
        <w:t xml:space="preserve">(30) </w:t>
      </w:r>
      <w:r w:rsidRPr="00DE096C">
        <w:rPr>
          <w:bCs/>
          <w:color w:val="002060"/>
          <w:sz w:val="16"/>
          <w:szCs w:val="16"/>
        </w:rPr>
        <w:t>октября 1914 г. Советом министров и императором Николаем II были утвержденные положения, в соответствии с которыми устанавливался порядок первоочередного исполнения предприятиями заказов Военного и Морского ведомств (18297).</w:t>
      </w:r>
    </w:p>
    <w:p w14:paraId="37AA3E31" w14:textId="77777777" w:rsidR="00B017D1" w:rsidRPr="00DE096C" w:rsidRDefault="00B017D1" w:rsidP="00D45A46">
      <w:pPr>
        <w:jc w:val="both"/>
        <w:rPr>
          <w:bCs/>
          <w:color w:val="002060"/>
          <w:sz w:val="16"/>
          <w:szCs w:val="16"/>
        </w:rPr>
      </w:pPr>
    </w:p>
    <w:p w14:paraId="075D48FA" w14:textId="76BFBB1D" w:rsidR="00D144BD" w:rsidRPr="00DE096C" w:rsidRDefault="00D144BD" w:rsidP="00D45A46">
      <w:pPr>
        <w:jc w:val="both"/>
        <w:rPr>
          <w:bCs/>
          <w:color w:val="002060"/>
          <w:sz w:val="16"/>
          <w:szCs w:val="16"/>
          <w:lang w:bidi="en-US"/>
        </w:rPr>
      </w:pPr>
      <w:r w:rsidRPr="00DE096C">
        <w:rPr>
          <w:bCs/>
          <w:color w:val="002060"/>
          <w:sz w:val="16"/>
          <w:szCs w:val="16"/>
          <w:lang w:bidi="en-US"/>
        </w:rPr>
        <w:t xml:space="preserve">4 (17) сентября 1914 г. царь Николай </w:t>
      </w:r>
      <w:r w:rsidRPr="00DE096C">
        <w:rPr>
          <w:bCs/>
          <w:color w:val="002060"/>
          <w:sz w:val="16"/>
          <w:szCs w:val="16"/>
          <w:lang w:val="en-US" w:bidi="en-US"/>
        </w:rPr>
        <w:t>II</w:t>
      </w:r>
      <w:r w:rsidRPr="00DE096C">
        <w:rPr>
          <w:bCs/>
          <w:color w:val="002060"/>
          <w:sz w:val="16"/>
          <w:szCs w:val="16"/>
          <w:lang w:bidi="en-US"/>
        </w:rPr>
        <w:t xml:space="preserve"> издал Высочайший Указт, утвердив постановление Совета Министров об изготовлении в военное время предметов и материалов, необходимых армии и флоту, обязывающее производителей удовлетворять все военные потребности (23525).</w:t>
      </w:r>
    </w:p>
    <w:p w14:paraId="20C54470" w14:textId="77777777" w:rsidR="00D144BD" w:rsidRPr="00DE096C" w:rsidRDefault="00D144BD" w:rsidP="00D45A46">
      <w:pPr>
        <w:jc w:val="both"/>
        <w:rPr>
          <w:bCs/>
          <w:color w:val="002060"/>
          <w:sz w:val="16"/>
          <w:szCs w:val="16"/>
        </w:rPr>
      </w:pPr>
    </w:p>
    <w:p w14:paraId="59383199" w14:textId="77777777" w:rsidR="009B1447" w:rsidRPr="00DE096C" w:rsidRDefault="009B1447" w:rsidP="00D45A46">
      <w:pPr>
        <w:jc w:val="both"/>
        <w:rPr>
          <w:bCs/>
          <w:color w:val="002060"/>
          <w:sz w:val="16"/>
          <w:szCs w:val="16"/>
        </w:rPr>
      </w:pPr>
      <w:r w:rsidRPr="00DE096C">
        <w:rPr>
          <w:bCs/>
          <w:color w:val="002060"/>
          <w:sz w:val="16"/>
          <w:szCs w:val="16"/>
        </w:rPr>
        <w:t>4 (17) сентября 1914 г. на Императорском фарфоровым заводе в Петербурге (Обуховской обороны, д. 151), находившийся в подчинении Министерства двора, состоялась первая варка оптического стекла под руководством профессора Тищенко, пытавшегося, по сведениям, собранным в открытой печати, воссоздать технологию его производства. Первой выявленной проблемой стало отсутствие подходящих печей. Фарфорообжигательный горн, в котором проводились первые варки, не обеспечивал равномерного распределения температуры в расплавленной массе и, как позже выяснилось, имел недостаточный размер. Новая нефтяная печь конструкции профессора В. Е. ГрумГржимайло для варки горшков объемом до 5 пудов (35–40 л) была закончена к 26 июля 1915 г.</w:t>
      </w:r>
    </w:p>
    <w:p w14:paraId="5BD3A01C" w14:textId="77777777" w:rsidR="009B1447" w:rsidRPr="00DE096C" w:rsidRDefault="009B1447" w:rsidP="00D45A46">
      <w:pPr>
        <w:jc w:val="both"/>
        <w:rPr>
          <w:bCs/>
          <w:color w:val="002060"/>
          <w:sz w:val="16"/>
          <w:szCs w:val="16"/>
        </w:rPr>
      </w:pPr>
      <w:r w:rsidRPr="00DE096C">
        <w:rPr>
          <w:bCs/>
          <w:color w:val="002060"/>
          <w:sz w:val="16"/>
          <w:szCs w:val="16"/>
        </w:rPr>
        <w:t>За семь месяцев — с сентября 1914 г. по март 1915 г. — было проведено 13 варок, из них около девяти с относительно удовлетворительным результатом (22777).</w:t>
      </w:r>
    </w:p>
    <w:p w14:paraId="60B230BB" w14:textId="77777777" w:rsidR="009B1447" w:rsidRPr="00DE096C" w:rsidRDefault="009B1447" w:rsidP="00D45A46">
      <w:pPr>
        <w:jc w:val="both"/>
        <w:rPr>
          <w:bCs/>
          <w:color w:val="002060"/>
          <w:sz w:val="16"/>
          <w:szCs w:val="16"/>
        </w:rPr>
      </w:pPr>
    </w:p>
    <w:p w14:paraId="1920BAA4" w14:textId="77777777" w:rsidR="00B67D7C" w:rsidRPr="00DE096C" w:rsidRDefault="00B67D7C" w:rsidP="00D45A46">
      <w:pPr>
        <w:jc w:val="both"/>
        <w:rPr>
          <w:bCs/>
          <w:i/>
          <w:color w:val="002060"/>
          <w:sz w:val="16"/>
          <w:szCs w:val="16"/>
        </w:rPr>
      </w:pPr>
      <w:r w:rsidRPr="00DE096C">
        <w:rPr>
          <w:bCs/>
          <w:i/>
          <w:color w:val="002060"/>
          <w:sz w:val="16"/>
          <w:szCs w:val="16"/>
        </w:rPr>
        <w:t>Авиация:</w:t>
      </w:r>
    </w:p>
    <w:p w14:paraId="17A4DB14" w14:textId="77777777" w:rsidR="00B67D7C" w:rsidRPr="00DE096C" w:rsidRDefault="00B67D7C" w:rsidP="00D45A46">
      <w:pPr>
        <w:jc w:val="both"/>
        <w:rPr>
          <w:bCs/>
          <w:i/>
          <w:color w:val="002060"/>
          <w:sz w:val="16"/>
          <w:szCs w:val="16"/>
        </w:rPr>
      </w:pPr>
    </w:p>
    <w:p w14:paraId="2A755C45" w14:textId="200343D3" w:rsidR="00B017D1" w:rsidRPr="00DE096C" w:rsidRDefault="00B017D1" w:rsidP="00D45A46">
      <w:pPr>
        <w:jc w:val="both"/>
        <w:rPr>
          <w:bCs/>
          <w:color w:val="002060"/>
          <w:sz w:val="16"/>
          <w:szCs w:val="16"/>
        </w:rPr>
      </w:pPr>
      <w:r w:rsidRPr="00DE096C">
        <w:rPr>
          <w:rStyle w:val="ucoz-forum-post"/>
          <w:rFonts w:eastAsiaTheme="majorEastAsia"/>
          <w:bCs/>
          <w:color w:val="002060"/>
          <w:sz w:val="16"/>
          <w:szCs w:val="16"/>
        </w:rPr>
        <w:t xml:space="preserve">4 </w:t>
      </w:r>
      <w:r w:rsidR="00345651" w:rsidRPr="00DE096C">
        <w:rPr>
          <w:rStyle w:val="ucoz-forum-post"/>
          <w:rFonts w:eastAsiaTheme="majorEastAsia"/>
          <w:bCs/>
          <w:color w:val="002060"/>
          <w:sz w:val="16"/>
          <w:szCs w:val="16"/>
        </w:rPr>
        <w:t xml:space="preserve">(17) </w:t>
      </w:r>
      <w:r w:rsidRPr="00DE096C">
        <w:rPr>
          <w:rStyle w:val="ucoz-forum-post"/>
          <w:rFonts w:eastAsiaTheme="majorEastAsia"/>
          <w:bCs/>
          <w:color w:val="002060"/>
          <w:sz w:val="16"/>
          <w:szCs w:val="16"/>
        </w:rPr>
        <w:t xml:space="preserve">сентября </w:t>
      </w:r>
      <w:r w:rsidRPr="00DE096C">
        <w:rPr>
          <w:bCs/>
          <w:color w:val="002060"/>
          <w:sz w:val="16"/>
          <w:szCs w:val="16"/>
        </w:rPr>
        <w:t>в 1914 году в соответствии с приказом Верховного Главнокомандующего из гражданского летно-технического состава школы Всероссийского аэроклуба был сформирован Особый авиационный отряд под командованием организатора школы морского летчика старшего лейтенанта Н.А.Яцука. Отряд был направлен на Северо-Западный фронт (город Варшава) для обеспечения воздушного прикрытия города от налетов германской авиации и борьбы с нею. 15 мая 1915 г. он был переименован в 34-й корпусной авиационный отряд. Это был первый в России официальный авиационный истребительный отряд (14759).</w:t>
      </w:r>
    </w:p>
    <w:p w14:paraId="736179E9" w14:textId="77777777" w:rsidR="00B017D1" w:rsidRPr="00DE096C" w:rsidRDefault="00B017D1" w:rsidP="00D45A46">
      <w:pPr>
        <w:jc w:val="both"/>
        <w:rPr>
          <w:bCs/>
          <w:color w:val="002060"/>
          <w:sz w:val="16"/>
          <w:szCs w:val="16"/>
        </w:rPr>
      </w:pPr>
    </w:p>
    <w:p w14:paraId="7D8EDE5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lastRenderedPageBreak/>
        <w:t>4 (17) сентября 1914 началось формирование еще 3 отрядов на Муромцах (1137).</w:t>
      </w:r>
    </w:p>
    <w:p w14:paraId="6CF4DC2A" w14:textId="77777777" w:rsidR="00B67D7C" w:rsidRPr="00DE096C" w:rsidRDefault="00B67D7C" w:rsidP="00D45A46">
      <w:pPr>
        <w:jc w:val="both"/>
        <w:rPr>
          <w:bCs/>
          <w:color w:val="002060"/>
          <w:sz w:val="16"/>
          <w:szCs w:val="16"/>
        </w:rPr>
      </w:pPr>
    </w:p>
    <w:p w14:paraId="08AF1D64" w14:textId="6E105010"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4 (17) сентября 1911 началось формирование еще 3 отрядов </w:t>
      </w:r>
      <w:r w:rsidR="00345651" w:rsidRPr="00DE096C">
        <w:rPr>
          <w:bCs/>
          <w:color w:val="002060"/>
          <w:sz w:val="16"/>
          <w:szCs w:val="16"/>
        </w:rPr>
        <w:t xml:space="preserve">на ИМ </w:t>
      </w:r>
      <w:r w:rsidRPr="00DE096C">
        <w:rPr>
          <w:bCs/>
          <w:color w:val="002060"/>
          <w:sz w:val="16"/>
          <w:szCs w:val="16"/>
        </w:rPr>
        <w:t>(11425).</w:t>
      </w:r>
    </w:p>
    <w:p w14:paraId="4107289F" w14:textId="77777777" w:rsidR="00B67D7C" w:rsidRPr="00DE096C" w:rsidRDefault="00B67D7C" w:rsidP="00D45A46">
      <w:pPr>
        <w:shd w:val="clear" w:color="auto" w:fill="FFFFFF"/>
        <w:jc w:val="both"/>
        <w:rPr>
          <w:bCs/>
          <w:color w:val="002060"/>
          <w:sz w:val="16"/>
          <w:szCs w:val="16"/>
        </w:rPr>
      </w:pPr>
    </w:p>
    <w:p w14:paraId="4AAE2471" w14:textId="77777777" w:rsidR="00B67D7C" w:rsidRPr="00DE096C" w:rsidRDefault="00B67D7C" w:rsidP="00D45A46">
      <w:pPr>
        <w:shd w:val="clear" w:color="auto" w:fill="FFFFFF"/>
        <w:jc w:val="both"/>
        <w:rPr>
          <w:bCs/>
          <w:i/>
          <w:color w:val="002060"/>
          <w:sz w:val="16"/>
          <w:szCs w:val="16"/>
        </w:rPr>
      </w:pPr>
      <w:r w:rsidRPr="00DE096C">
        <w:rPr>
          <w:bCs/>
          <w:color w:val="002060"/>
          <w:sz w:val="16"/>
          <w:szCs w:val="16"/>
        </w:rPr>
        <w:t>4 (17) сентября 1914 Военный Совет постановил сформировать еще три команды аэропланов "Илья Муромец</w:t>
      </w:r>
      <w:r w:rsidRPr="00DE096C">
        <w:rPr>
          <w:bCs/>
          <w:color w:val="002060"/>
          <w:sz w:val="16"/>
          <w:szCs w:val="16"/>
          <w:vertAlign w:val="superscript"/>
        </w:rPr>
        <w:t>1</w:t>
      </w:r>
      <w:r w:rsidRPr="00DE096C">
        <w:rPr>
          <w:bCs/>
          <w:color w:val="002060"/>
          <w:sz w:val="16"/>
          <w:szCs w:val="16"/>
        </w:rPr>
        <w:t xml:space="preserve">'. Первые четыре команды были формированы постановлением того же Совета от 7 августа 1914 </w:t>
      </w:r>
      <w:r w:rsidRPr="00DE096C">
        <w:rPr>
          <w:bCs/>
          <w:i/>
          <w:color w:val="002060"/>
          <w:sz w:val="16"/>
          <w:szCs w:val="16"/>
        </w:rPr>
        <w:t>года. (ЦГВИА. ф.493, оп.2, дЛ, л.264).</w:t>
      </w:r>
    </w:p>
    <w:p w14:paraId="15B8E43C" w14:textId="77777777" w:rsidR="00B67D7C" w:rsidRPr="00DE096C" w:rsidRDefault="00B67D7C" w:rsidP="00D45A46">
      <w:pPr>
        <w:shd w:val="clear" w:color="auto" w:fill="FFFFFF"/>
        <w:jc w:val="both"/>
        <w:rPr>
          <w:bCs/>
          <w:i/>
          <w:color w:val="002060"/>
          <w:sz w:val="16"/>
          <w:szCs w:val="16"/>
        </w:rPr>
      </w:pPr>
    </w:p>
    <w:p w14:paraId="471E37CD" w14:textId="77777777" w:rsidR="00FC77D6" w:rsidRPr="00DE096C" w:rsidRDefault="00FC77D6" w:rsidP="00D45A46">
      <w:pPr>
        <w:jc w:val="both"/>
        <w:rPr>
          <w:bCs/>
          <w:color w:val="002060"/>
          <w:sz w:val="16"/>
          <w:szCs w:val="16"/>
        </w:rPr>
      </w:pPr>
      <w:r w:rsidRPr="00DE096C">
        <w:rPr>
          <w:bCs/>
          <w:color w:val="002060"/>
          <w:sz w:val="16"/>
          <w:szCs w:val="16"/>
        </w:rPr>
        <w:t>4 (17) сентября 1914 г. Военный совет постановил сформировать еще три коман</w:t>
      </w:r>
      <w:r w:rsidRPr="00DE096C">
        <w:rPr>
          <w:bCs/>
          <w:color w:val="002060"/>
          <w:sz w:val="16"/>
          <w:szCs w:val="16"/>
        </w:rPr>
        <w:softHyphen/>
        <w:t>ды аэропланов «Илья Муромец». Первые четыре команды были сформиро</w:t>
      </w:r>
      <w:r w:rsidRPr="00DE096C">
        <w:rPr>
          <w:bCs/>
          <w:color w:val="002060"/>
          <w:sz w:val="16"/>
          <w:szCs w:val="16"/>
        </w:rPr>
        <w:softHyphen/>
        <w:t>ваны постановлением того же совета от 7-го августа 1914 г.</w:t>
      </w:r>
    </w:p>
    <w:p w14:paraId="6D4F970D" w14:textId="77777777" w:rsidR="00FC77D6" w:rsidRPr="00DE096C" w:rsidRDefault="00FC77D6" w:rsidP="00D45A46">
      <w:pPr>
        <w:jc w:val="both"/>
        <w:rPr>
          <w:bCs/>
          <w:color w:val="002060"/>
          <w:sz w:val="16"/>
          <w:szCs w:val="16"/>
        </w:rPr>
      </w:pPr>
      <w:r w:rsidRPr="00DE096C">
        <w:rPr>
          <w:bCs/>
          <w:color w:val="002060"/>
          <w:sz w:val="16"/>
          <w:szCs w:val="16"/>
        </w:rPr>
        <w:t>/ЦГВИА, ф. 493, оп. 2, Д. 4, Л. 264/ (23320).</w:t>
      </w:r>
    </w:p>
    <w:p w14:paraId="2162B6ED" w14:textId="77777777" w:rsidR="00FC77D6" w:rsidRPr="00DE096C" w:rsidRDefault="00FC77D6" w:rsidP="00D45A46">
      <w:pPr>
        <w:jc w:val="both"/>
        <w:rPr>
          <w:bCs/>
          <w:color w:val="002060"/>
          <w:sz w:val="16"/>
          <w:szCs w:val="16"/>
        </w:rPr>
      </w:pPr>
    </w:p>
    <w:p w14:paraId="71189BD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4 (17) сентября 1914 в Галиции разбился один из первых летчиков - спортсменов, прапорщик 16-го авиаотряда Евгений Ростиславович Шпицберг (родился в 1887 г.). Шпицберг полетам обучался во Франции, затем летал в Риге, Варшаве, Харькове, Петербурге. В след за Нестеровым он одним из первых начал делать мертвые петли. В начале войны добровольцем ушел на фронт, взяв с собой свой самолет "Моран-Ж” и своего механика француза Жоржа Приеста, также добровольно поступившего на службу в армию. При полете на разведку в сильный ветер Шпицберг перевернулся в воздухе и 'упал» получив смертельные ранения, от которых вскоре умер, а его механик получил тяжелые переломы. Шпицберг посмертно был награжден орденом Георгия 4- ст. и произведен в подпоручики (ЦГВИА. ф.2003, оп.2, д.782; "Утро России". 1915 г., 15 мая).</w:t>
      </w:r>
    </w:p>
    <w:p w14:paraId="581ED92C" w14:textId="77777777" w:rsidR="00B67D7C" w:rsidRPr="00DE096C" w:rsidRDefault="00B67D7C" w:rsidP="00D45A46">
      <w:pPr>
        <w:shd w:val="clear" w:color="auto" w:fill="FFFFFF"/>
        <w:jc w:val="both"/>
        <w:rPr>
          <w:bCs/>
          <w:color w:val="002060"/>
          <w:sz w:val="16"/>
          <w:szCs w:val="16"/>
        </w:rPr>
      </w:pPr>
    </w:p>
    <w:p w14:paraId="327E6000" w14:textId="77777777" w:rsidR="00B67D7C" w:rsidRPr="00DE096C" w:rsidRDefault="00B67D7C" w:rsidP="00D45A46">
      <w:pPr>
        <w:jc w:val="both"/>
        <w:rPr>
          <w:bCs/>
          <w:color w:val="002060"/>
          <w:sz w:val="16"/>
          <w:szCs w:val="16"/>
        </w:rPr>
      </w:pPr>
      <w:r w:rsidRPr="00DE096C">
        <w:rPr>
          <w:bCs/>
          <w:color w:val="002060"/>
          <w:sz w:val="16"/>
          <w:szCs w:val="16"/>
        </w:rPr>
        <w:t>4 (17) сентября около 8 часов вечера был замечен вражеский аэро­план, летевший от Болдераи в сторону Елгавы. 6 сентября около часа ночи неизвестный аэроплан был зафиксирован над Москов­ским форштадтом. 11 сентября в 9 вечера два германских аэроплана пролетали над лугами Спилве и Усть-Двинском, освещая местность сбрасываемыми яркими ракетами. В ночь с 15 на 16 сентября германский аэроплан долго кружил над центральной товарной станцией и улетел только после того, как по нему была открыта стрельба.</w:t>
      </w:r>
    </w:p>
    <w:p w14:paraId="3535B2DF" w14:textId="77777777" w:rsidR="00B67D7C" w:rsidRPr="00DE096C" w:rsidRDefault="00B67D7C" w:rsidP="00D45A46">
      <w:pPr>
        <w:jc w:val="both"/>
        <w:rPr>
          <w:bCs/>
          <w:i/>
          <w:color w:val="002060"/>
          <w:sz w:val="16"/>
          <w:szCs w:val="16"/>
        </w:rPr>
      </w:pPr>
    </w:p>
    <w:p w14:paraId="681BEACD" w14:textId="77777777" w:rsidR="00635CE4" w:rsidRPr="00DE096C" w:rsidRDefault="00635CE4" w:rsidP="00D45A46">
      <w:pPr>
        <w:jc w:val="both"/>
        <w:rPr>
          <w:bCs/>
          <w:i/>
          <w:color w:val="002060"/>
          <w:sz w:val="16"/>
          <w:szCs w:val="16"/>
        </w:rPr>
      </w:pPr>
      <w:r w:rsidRPr="00DE096C">
        <w:rPr>
          <w:bCs/>
          <w:i/>
          <w:color w:val="002060"/>
          <w:sz w:val="16"/>
          <w:szCs w:val="16"/>
        </w:rPr>
        <w:t>Жизнь и внутренняя политика:</w:t>
      </w:r>
    </w:p>
    <w:p w14:paraId="120BB9DB" w14:textId="77777777" w:rsidR="00635CE4" w:rsidRPr="00DE096C" w:rsidRDefault="00635CE4" w:rsidP="00D45A46">
      <w:pPr>
        <w:jc w:val="both"/>
        <w:rPr>
          <w:bCs/>
          <w:i/>
          <w:color w:val="002060"/>
          <w:sz w:val="16"/>
          <w:szCs w:val="16"/>
        </w:rPr>
      </w:pPr>
    </w:p>
    <w:p w14:paraId="66E5B1F1" w14:textId="39A84BFA" w:rsidR="00635CE4" w:rsidRPr="00DE096C" w:rsidRDefault="00635CE4" w:rsidP="00D45A46">
      <w:pPr>
        <w:jc w:val="both"/>
        <w:rPr>
          <w:bCs/>
          <w:color w:val="002060"/>
          <w:sz w:val="16"/>
          <w:szCs w:val="16"/>
        </w:rPr>
      </w:pPr>
      <w:r w:rsidRPr="00DE096C">
        <w:rPr>
          <w:rStyle w:val="ucoz-forum-post"/>
          <w:rFonts w:eastAsiaTheme="majorEastAsia"/>
          <w:bCs/>
          <w:color w:val="002060"/>
          <w:sz w:val="16"/>
          <w:szCs w:val="16"/>
        </w:rPr>
        <w:t xml:space="preserve">4 </w:t>
      </w:r>
      <w:r w:rsidR="004A2CF4" w:rsidRPr="00DE096C">
        <w:rPr>
          <w:rStyle w:val="ucoz-forum-post"/>
          <w:rFonts w:eastAsiaTheme="majorEastAsia"/>
          <w:bCs/>
          <w:color w:val="002060"/>
          <w:sz w:val="16"/>
          <w:szCs w:val="16"/>
        </w:rPr>
        <w:t xml:space="preserve">(17) </w:t>
      </w:r>
      <w:r w:rsidRPr="00DE096C">
        <w:rPr>
          <w:rStyle w:val="ucoz-forum-post"/>
          <w:rFonts w:eastAsiaTheme="majorEastAsia"/>
          <w:bCs/>
          <w:color w:val="002060"/>
          <w:sz w:val="16"/>
          <w:szCs w:val="16"/>
        </w:rPr>
        <w:t xml:space="preserve">сентября </w:t>
      </w:r>
      <w:r w:rsidRPr="00DE096C">
        <w:rPr>
          <w:bCs/>
          <w:color w:val="002060"/>
          <w:sz w:val="16"/>
          <w:szCs w:val="16"/>
        </w:rPr>
        <w:t>в 1914 году через месяц после начала Первой мировой войны) Большой театр в Москве поставил оперу Глинки "Жизнь за царя". Сцена убийства Ивана Сусанина была исключена. Сцена эта появилась опять через двадцать с лишним лет, когда опера была поставлена полностью - хотя и под другим названием "Иван Сусанин" (14759).</w:t>
      </w:r>
    </w:p>
    <w:p w14:paraId="14E84AE9" w14:textId="77777777" w:rsidR="00635CE4" w:rsidRPr="00DE096C" w:rsidRDefault="00635CE4" w:rsidP="00D45A46">
      <w:pPr>
        <w:jc w:val="both"/>
        <w:rPr>
          <w:bCs/>
          <w:color w:val="002060"/>
          <w:sz w:val="16"/>
          <w:szCs w:val="16"/>
        </w:rPr>
      </w:pPr>
    </w:p>
    <w:p w14:paraId="2E8E96C0" w14:textId="36A711FF" w:rsidR="00562E95" w:rsidRPr="00DE096C" w:rsidRDefault="004A2CF4" w:rsidP="00D45A46">
      <w:pPr>
        <w:jc w:val="both"/>
        <w:rPr>
          <w:bCs/>
          <w:color w:val="002060"/>
          <w:sz w:val="16"/>
          <w:szCs w:val="16"/>
        </w:rPr>
      </w:pPr>
      <w:r w:rsidRPr="00DE096C">
        <w:rPr>
          <w:rStyle w:val="ucoz-forum-post"/>
          <w:rFonts w:eastAsiaTheme="majorEastAsia"/>
          <w:bCs/>
          <w:color w:val="002060"/>
          <w:sz w:val="16"/>
          <w:szCs w:val="16"/>
        </w:rPr>
        <w:t>4 (</w:t>
      </w:r>
      <w:r w:rsidR="00562E95" w:rsidRPr="00DE096C">
        <w:rPr>
          <w:rStyle w:val="ucoz-forum-post"/>
          <w:rFonts w:eastAsiaTheme="majorEastAsia"/>
          <w:bCs/>
          <w:color w:val="002060"/>
          <w:sz w:val="16"/>
          <w:szCs w:val="16"/>
        </w:rPr>
        <w:t>17</w:t>
      </w:r>
      <w:r w:rsidRPr="00DE096C">
        <w:rPr>
          <w:rStyle w:val="ucoz-forum-post"/>
          <w:rFonts w:eastAsiaTheme="majorEastAsia"/>
          <w:bCs/>
          <w:color w:val="002060"/>
          <w:sz w:val="16"/>
          <w:szCs w:val="16"/>
        </w:rPr>
        <w:t>)</w:t>
      </w:r>
      <w:r w:rsidR="00562E95" w:rsidRPr="00DE096C">
        <w:rPr>
          <w:rStyle w:val="ucoz-forum-post"/>
          <w:rFonts w:eastAsiaTheme="majorEastAsia"/>
          <w:bCs/>
          <w:color w:val="002060"/>
          <w:sz w:val="16"/>
          <w:szCs w:val="16"/>
        </w:rPr>
        <w:t xml:space="preserve"> сентября </w:t>
      </w:r>
      <w:r w:rsidR="00562E95" w:rsidRPr="00DE096C">
        <w:rPr>
          <w:bCs/>
          <w:color w:val="002060"/>
          <w:sz w:val="16"/>
          <w:szCs w:val="16"/>
        </w:rPr>
        <w:t>в 1914 году постановка оперы Глинки "Жизнь за царя" в Большом театре. Ввиду установившихся прекрасных отношений с поляками сцена убийства Сусанина изъята, слова антипольской направленности в ариях изменены (14772).</w:t>
      </w:r>
    </w:p>
    <w:p w14:paraId="2F3A0FE1" w14:textId="77777777" w:rsidR="00562E95" w:rsidRPr="00DE096C" w:rsidRDefault="00562E95" w:rsidP="00D45A46">
      <w:pPr>
        <w:jc w:val="both"/>
        <w:rPr>
          <w:bCs/>
          <w:color w:val="002060"/>
          <w:sz w:val="16"/>
          <w:szCs w:val="16"/>
        </w:rPr>
      </w:pPr>
    </w:p>
    <w:p w14:paraId="617FF331" w14:textId="77777777" w:rsidR="00054B99" w:rsidRPr="00DE096C" w:rsidRDefault="00054B99" w:rsidP="00D45A46">
      <w:pPr>
        <w:jc w:val="both"/>
        <w:rPr>
          <w:bCs/>
          <w:i/>
          <w:color w:val="002060"/>
          <w:sz w:val="16"/>
          <w:szCs w:val="16"/>
        </w:rPr>
      </w:pPr>
      <w:r w:rsidRPr="00DE096C">
        <w:rPr>
          <w:bCs/>
          <w:i/>
          <w:color w:val="002060"/>
          <w:sz w:val="16"/>
          <w:szCs w:val="16"/>
        </w:rPr>
        <w:t>За рубежом:</w:t>
      </w:r>
    </w:p>
    <w:p w14:paraId="04A19172" w14:textId="77777777" w:rsidR="00054B99" w:rsidRPr="00DE096C" w:rsidRDefault="00054B99" w:rsidP="00D45A46">
      <w:pPr>
        <w:jc w:val="both"/>
        <w:rPr>
          <w:bCs/>
          <w:color w:val="002060"/>
          <w:sz w:val="16"/>
          <w:szCs w:val="16"/>
        </w:rPr>
      </w:pPr>
    </w:p>
    <w:p w14:paraId="45557271" w14:textId="77777777" w:rsidR="00054B99" w:rsidRPr="00DE096C" w:rsidRDefault="00054B99" w:rsidP="00D45A46">
      <w:pPr>
        <w:jc w:val="both"/>
        <w:rPr>
          <w:bCs/>
          <w:color w:val="002060"/>
          <w:sz w:val="16"/>
          <w:szCs w:val="16"/>
        </w:rPr>
      </w:pPr>
      <w:r w:rsidRPr="00DE096C">
        <w:rPr>
          <w:rStyle w:val="ucoz-forum-post"/>
          <w:rFonts w:eastAsiaTheme="majorEastAsia"/>
          <w:bCs/>
          <w:color w:val="002060"/>
          <w:sz w:val="16"/>
          <w:szCs w:val="16"/>
        </w:rPr>
        <w:t xml:space="preserve">4 (17) сентября </w:t>
      </w:r>
      <w:r w:rsidRPr="00DE096C">
        <w:rPr>
          <w:bCs/>
          <w:color w:val="002060"/>
          <w:sz w:val="16"/>
          <w:szCs w:val="16"/>
        </w:rPr>
        <w:t>в 1914 году "Гонкой к морю" называют операцию, когда союзнические и германские войска пытаются обойти друг друга с фланга (до 18 октября). В результате Западный фронт протягивается от Северного моря через Бельгию и Францию до Швейцарии (14772).</w:t>
      </w:r>
    </w:p>
    <w:p w14:paraId="7A144372" w14:textId="77777777" w:rsidR="00054B99" w:rsidRPr="00DE096C" w:rsidRDefault="00054B99" w:rsidP="00D45A46">
      <w:pPr>
        <w:jc w:val="both"/>
        <w:rPr>
          <w:bCs/>
          <w:color w:val="002060"/>
          <w:sz w:val="16"/>
          <w:szCs w:val="16"/>
        </w:rPr>
      </w:pPr>
    </w:p>
    <w:p w14:paraId="766C69EA" w14:textId="77777777" w:rsidR="00B67D7C" w:rsidRPr="00DE096C" w:rsidRDefault="00B67D7C" w:rsidP="00D45A46">
      <w:pPr>
        <w:jc w:val="both"/>
        <w:rPr>
          <w:bCs/>
          <w:i/>
          <w:color w:val="002060"/>
          <w:sz w:val="16"/>
          <w:szCs w:val="16"/>
        </w:rPr>
      </w:pPr>
      <w:r w:rsidRPr="00DE096C">
        <w:rPr>
          <w:bCs/>
          <w:i/>
          <w:color w:val="002060"/>
          <w:sz w:val="16"/>
          <w:szCs w:val="16"/>
        </w:rPr>
        <w:t>Самолетостроение:</w:t>
      </w:r>
    </w:p>
    <w:p w14:paraId="38283FCD" w14:textId="77777777" w:rsidR="00B67D7C" w:rsidRPr="00DE096C" w:rsidRDefault="00B67D7C" w:rsidP="00D45A46">
      <w:pPr>
        <w:jc w:val="both"/>
        <w:rPr>
          <w:bCs/>
          <w:i/>
          <w:color w:val="002060"/>
          <w:sz w:val="16"/>
          <w:szCs w:val="16"/>
        </w:rPr>
      </w:pPr>
    </w:p>
    <w:p w14:paraId="7B2476CF" w14:textId="777F7EF8" w:rsidR="00B67D7C" w:rsidRPr="00DE096C" w:rsidRDefault="00FC77D6" w:rsidP="00D45A46">
      <w:pPr>
        <w:jc w:val="both"/>
        <w:rPr>
          <w:bCs/>
          <w:color w:val="002060"/>
          <w:sz w:val="16"/>
          <w:szCs w:val="16"/>
        </w:rPr>
      </w:pPr>
      <w:r w:rsidRPr="00DE096C">
        <w:rPr>
          <w:bCs/>
          <w:color w:val="002060"/>
          <w:sz w:val="16"/>
          <w:szCs w:val="16"/>
        </w:rPr>
        <w:t xml:space="preserve">С </w:t>
      </w:r>
      <w:r w:rsidR="00B67D7C" w:rsidRPr="00DE096C">
        <w:rPr>
          <w:bCs/>
          <w:color w:val="002060"/>
          <w:sz w:val="16"/>
          <w:szCs w:val="16"/>
        </w:rPr>
        <w:t xml:space="preserve">15 </w:t>
      </w:r>
      <w:r w:rsidRPr="00DE096C">
        <w:rPr>
          <w:bCs/>
          <w:color w:val="002060"/>
          <w:sz w:val="16"/>
          <w:szCs w:val="16"/>
        </w:rPr>
        <w:t xml:space="preserve">(28) </w:t>
      </w:r>
      <w:r w:rsidR="00B67D7C" w:rsidRPr="00DE096C">
        <w:rPr>
          <w:bCs/>
          <w:color w:val="002060"/>
          <w:sz w:val="16"/>
          <w:szCs w:val="16"/>
        </w:rPr>
        <w:t xml:space="preserve">августа — 5 (18) сентября 1914 г. </w:t>
      </w:r>
      <w:r w:rsidRPr="00DE096C">
        <w:rPr>
          <w:bCs/>
          <w:color w:val="002060"/>
          <w:sz w:val="16"/>
          <w:szCs w:val="16"/>
        </w:rPr>
        <w:t xml:space="preserve">на Комендантском аэродроме производились первые испытания двухфюзеляжного самолета «Би-Кок» Пороховщикова, построенного конструктором лично на его квартире на шестом этаже. </w:t>
      </w:r>
      <w:r w:rsidR="00B67D7C" w:rsidRPr="00DE096C">
        <w:rPr>
          <w:bCs/>
          <w:color w:val="002060"/>
          <w:sz w:val="16"/>
          <w:szCs w:val="16"/>
        </w:rPr>
        <w:t>Летал М. Л. Григорашвили, инженер путей сообщения, автор воздушных винтов. Самолет показал хорошие качества: скорость 99 км/ч, полная нагрузка при этом составляла 256 кг., т. е. была равна массе пустого. Для самолета с двигателем в 50 л. с. это были рекордные данные. Военное ведомство обратило внимание на этот самолет, ф. Ф. Терещенко было предложено принять заказ на постройку нескольких самолетов “Би-Кок”. Были начаты переговоры с А. А. Пороховщиковым, но тот письмом от 8 января 1915 г. ответил, что хочет строить аппараты сам и при том в количестве не менее, как на целый авиационный отряд. Заказ оформлен не был, и этот оригинальный и интересный самолет развития не получил. В 1915 г. на втором экземпляре “Би-Кока” было гусеничное шасси — брезентовая лента на семи установленных в ряд деревянных барабанах — двух крайних диаметром 20 см и пяти малых промежуточных в общей раме. Эти гусеницы ставились взамен колес — возможно, впервые в мире — были испытаны, но применения не нашли (Шавров История воздухоплавания и авиации в СССР, с. 470—475).</w:t>
      </w:r>
    </w:p>
    <w:p w14:paraId="40EECD26" w14:textId="77777777" w:rsidR="00B67D7C" w:rsidRPr="00DE096C" w:rsidRDefault="00B67D7C" w:rsidP="00D45A46">
      <w:pPr>
        <w:jc w:val="both"/>
        <w:rPr>
          <w:bCs/>
          <w:color w:val="002060"/>
          <w:sz w:val="16"/>
          <w:szCs w:val="16"/>
        </w:rPr>
      </w:pPr>
    </w:p>
    <w:p w14:paraId="2440FEA7" w14:textId="7ACAA028" w:rsidR="00054B99" w:rsidRPr="00DE096C" w:rsidRDefault="00054B99" w:rsidP="00D45A46">
      <w:pPr>
        <w:pStyle w:val="23"/>
        <w:shd w:val="clear" w:color="auto" w:fill="auto"/>
        <w:spacing w:line="240" w:lineRule="auto"/>
        <w:ind w:firstLine="0"/>
        <w:jc w:val="both"/>
        <w:rPr>
          <w:bCs/>
          <w:color w:val="002060"/>
          <w:sz w:val="16"/>
          <w:szCs w:val="16"/>
        </w:rPr>
      </w:pPr>
      <w:r w:rsidRPr="00DE096C">
        <w:rPr>
          <w:bCs/>
          <w:color w:val="002060"/>
          <w:sz w:val="16"/>
          <w:szCs w:val="16"/>
        </w:rPr>
        <w:t xml:space="preserve">5 </w:t>
      </w:r>
      <w:r w:rsidR="00FC77D6" w:rsidRPr="00DE096C">
        <w:rPr>
          <w:bCs/>
          <w:color w:val="002060"/>
          <w:sz w:val="16"/>
          <w:szCs w:val="16"/>
        </w:rPr>
        <w:t xml:space="preserve">(18) </w:t>
      </w:r>
      <w:r w:rsidRPr="00DE096C">
        <w:rPr>
          <w:bCs/>
          <w:color w:val="002060"/>
          <w:sz w:val="16"/>
          <w:szCs w:val="16"/>
        </w:rPr>
        <w:t>сентября 1914 г. Григорашвили согласился прокатить супругу Пороховщикова на «Би-Коке». Летчик, совершив красивый облет аэро</w:t>
      </w:r>
      <w:r w:rsidRPr="00DE096C">
        <w:rPr>
          <w:bCs/>
          <w:color w:val="002060"/>
          <w:sz w:val="16"/>
          <w:szCs w:val="16"/>
        </w:rPr>
        <w:softHyphen/>
        <w:t>дрома, пошел на посадку, и тут случилось непредвиденное. Авиатор, как писали газеты того времени, «...неправильным поворотом руля накренил аппарат слиш</w:t>
      </w:r>
      <w:r w:rsidRPr="00DE096C">
        <w:rPr>
          <w:bCs/>
          <w:color w:val="002060"/>
          <w:sz w:val="16"/>
          <w:szCs w:val="16"/>
        </w:rPr>
        <w:softHyphen/>
        <w:t>ком сильно и тот упал боком на землю. При падении Григорашвили получил порезы лица и рук и повредил ногу. Госпожа Пороховщикова отделалась силь</w:t>
      </w:r>
      <w:r w:rsidRPr="00DE096C">
        <w:rPr>
          <w:bCs/>
          <w:color w:val="002060"/>
          <w:sz w:val="16"/>
          <w:szCs w:val="16"/>
        </w:rPr>
        <w:softHyphen/>
        <w:t>ным испугом»</w:t>
      </w:r>
      <w:r w:rsidRPr="00DE096C">
        <w:rPr>
          <w:bCs/>
          <w:color w:val="002060"/>
          <w:sz w:val="16"/>
          <w:szCs w:val="16"/>
          <w:vertAlign w:val="superscript"/>
        </w:rPr>
        <w:t>69</w:t>
      </w:r>
      <w:r w:rsidRPr="00DE096C">
        <w:rPr>
          <w:bCs/>
          <w:color w:val="002060"/>
          <w:sz w:val="16"/>
          <w:szCs w:val="16"/>
        </w:rPr>
        <w:t>. Желание кавказца блеснуть перед женой приятеля высшим пилотажем закончилось поломкой перспективной машины, нервным расстройством для красавицы, крушением планов и больницей для самого виновника происшествия. Отношения с Пороховщиковым, естественно, испортились (15740).</w:t>
      </w:r>
    </w:p>
    <w:p w14:paraId="6C7609F5" w14:textId="77777777" w:rsidR="00054B99" w:rsidRPr="00DE096C" w:rsidRDefault="00054B99" w:rsidP="00D45A46">
      <w:pPr>
        <w:pStyle w:val="23"/>
        <w:shd w:val="clear" w:color="auto" w:fill="auto"/>
        <w:spacing w:line="240" w:lineRule="auto"/>
        <w:ind w:firstLine="0"/>
        <w:jc w:val="both"/>
        <w:rPr>
          <w:bCs/>
          <w:color w:val="002060"/>
          <w:sz w:val="16"/>
          <w:szCs w:val="16"/>
        </w:rPr>
      </w:pPr>
    </w:p>
    <w:p w14:paraId="0768EC2D" w14:textId="0EBBDDD4" w:rsidR="00054B99" w:rsidRPr="00DE096C" w:rsidRDefault="00054B99" w:rsidP="00D45A46">
      <w:pPr>
        <w:jc w:val="both"/>
        <w:rPr>
          <w:bCs/>
          <w:color w:val="002060"/>
          <w:sz w:val="16"/>
          <w:szCs w:val="16"/>
        </w:rPr>
      </w:pPr>
      <w:r w:rsidRPr="00DE096C">
        <w:rPr>
          <w:bCs/>
          <w:color w:val="002060"/>
          <w:sz w:val="16"/>
          <w:szCs w:val="16"/>
        </w:rPr>
        <w:t xml:space="preserve">5 </w:t>
      </w:r>
      <w:r w:rsidR="00FC77D6" w:rsidRPr="00DE096C">
        <w:rPr>
          <w:bCs/>
          <w:color w:val="002060"/>
          <w:sz w:val="16"/>
          <w:szCs w:val="16"/>
        </w:rPr>
        <w:t xml:space="preserve">(18) </w:t>
      </w:r>
      <w:r w:rsidRPr="00DE096C">
        <w:rPr>
          <w:bCs/>
          <w:color w:val="002060"/>
          <w:sz w:val="16"/>
          <w:szCs w:val="16"/>
        </w:rPr>
        <w:t xml:space="preserve">сентября (с 15 августа) 1914 года </w:t>
      </w:r>
      <w:r w:rsidR="00FC77D6" w:rsidRPr="00DE096C">
        <w:rPr>
          <w:bCs/>
          <w:color w:val="002060"/>
          <w:sz w:val="16"/>
          <w:szCs w:val="16"/>
        </w:rPr>
        <w:t>у</w:t>
      </w:r>
      <w:r w:rsidRPr="00DE096C">
        <w:rPr>
          <w:bCs/>
          <w:color w:val="002060"/>
          <w:sz w:val="16"/>
          <w:szCs w:val="16"/>
        </w:rPr>
        <w:t>спешно прошел испытания самолет Пороховщикова"Би-Кок".</w:t>
      </w:r>
      <w:r w:rsidR="0006581C">
        <w:rPr>
          <w:bCs/>
          <w:color w:val="002060"/>
          <w:sz w:val="16"/>
          <w:szCs w:val="16"/>
        </w:rPr>
        <w:t xml:space="preserve"> </w:t>
      </w:r>
      <w:r w:rsidRPr="00DE096C">
        <w:rPr>
          <w:bCs/>
          <w:color w:val="002060"/>
          <w:sz w:val="16"/>
          <w:szCs w:val="16"/>
        </w:rPr>
        <w:t>С полной нагрузкой 256 кг, равной весу пустого самолета, летчику М.Л. Григорашвили удалось достичь максимальной скорости около 100 км/час. Для самолета с двигателем 50 л.с. такие данные считались весьма высокими (14760).</w:t>
      </w:r>
    </w:p>
    <w:p w14:paraId="5F392AAD" w14:textId="77777777" w:rsidR="00054B99" w:rsidRPr="00DE096C" w:rsidRDefault="00054B99" w:rsidP="00D45A46">
      <w:pPr>
        <w:jc w:val="both"/>
        <w:rPr>
          <w:bCs/>
          <w:color w:val="002060"/>
          <w:sz w:val="16"/>
          <w:szCs w:val="16"/>
        </w:rPr>
      </w:pPr>
    </w:p>
    <w:p w14:paraId="65B3B848" w14:textId="2B4151C8" w:rsidR="003F7087" w:rsidRPr="00DE096C" w:rsidRDefault="003F7087" w:rsidP="00D45A46">
      <w:pPr>
        <w:jc w:val="both"/>
        <w:rPr>
          <w:bCs/>
          <w:color w:val="002060"/>
          <w:sz w:val="16"/>
          <w:szCs w:val="16"/>
          <w:lang w:bidi="ru-RU"/>
        </w:rPr>
      </w:pPr>
      <w:r w:rsidRPr="00DE096C">
        <w:rPr>
          <w:bCs/>
          <w:color w:val="002060"/>
          <w:sz w:val="16"/>
          <w:szCs w:val="16"/>
          <w:lang w:bidi="ru-RU"/>
        </w:rPr>
        <w:t xml:space="preserve">5 (18) сентября 1914 г. «Би-Кок» Александра Александровича Пороховщикова (1892-1943 гг.) успешно прошел испытания, которые шли с 15 августа. </w:t>
      </w:r>
    </w:p>
    <w:p w14:paraId="3AB188A9" w14:textId="77777777" w:rsidR="003F7087" w:rsidRPr="00DE096C" w:rsidRDefault="003F7087" w:rsidP="00D45A46">
      <w:pPr>
        <w:jc w:val="both"/>
        <w:rPr>
          <w:bCs/>
          <w:color w:val="002060"/>
          <w:sz w:val="16"/>
          <w:szCs w:val="16"/>
        </w:rPr>
      </w:pPr>
      <w:r w:rsidRPr="00DE096C">
        <w:rPr>
          <w:bCs/>
          <w:color w:val="002060"/>
          <w:sz w:val="16"/>
          <w:szCs w:val="16"/>
          <w:lang w:bidi="ru-RU"/>
        </w:rPr>
        <w:t>По схеме «Би-Кок» представлял собой ярко выраженный полу</w:t>
      </w:r>
      <w:r w:rsidRPr="00DE096C">
        <w:rPr>
          <w:bCs/>
          <w:color w:val="002060"/>
          <w:sz w:val="16"/>
          <w:szCs w:val="16"/>
          <w:lang w:bidi="ru-RU"/>
        </w:rPr>
        <w:softHyphen/>
        <w:t>тораплан с двухместной кабиной и двой</w:t>
      </w:r>
      <w:r w:rsidRPr="00DE096C">
        <w:rPr>
          <w:bCs/>
          <w:color w:val="002060"/>
          <w:sz w:val="16"/>
          <w:szCs w:val="16"/>
          <w:lang w:bidi="ru-RU"/>
        </w:rPr>
        <w:softHyphen/>
        <w:t>ным управлением, был оборудован двига</w:t>
      </w:r>
      <w:r w:rsidRPr="00DE096C">
        <w:rPr>
          <w:bCs/>
          <w:color w:val="002060"/>
          <w:sz w:val="16"/>
          <w:szCs w:val="16"/>
          <w:lang w:bidi="ru-RU"/>
        </w:rPr>
        <w:softHyphen/>
        <w:t>телем «Гном» 50 л.с. Хвостовые балки за</w:t>
      </w:r>
      <w:r w:rsidRPr="00DE096C">
        <w:rPr>
          <w:bCs/>
          <w:color w:val="002060"/>
          <w:sz w:val="16"/>
          <w:szCs w:val="16"/>
          <w:lang w:bidi="ru-RU"/>
        </w:rPr>
        <w:softHyphen/>
        <w:t>канчивались цельноповоротными рулями направления, в верхней части соединялись неподвижным стабилизатором, в нижней части — цельноповоротным рулем высоты.</w:t>
      </w:r>
    </w:p>
    <w:p w14:paraId="47D48174" w14:textId="77777777" w:rsidR="003F7087" w:rsidRPr="00DE096C" w:rsidRDefault="003F7087" w:rsidP="00D45A46">
      <w:pPr>
        <w:jc w:val="both"/>
        <w:rPr>
          <w:bCs/>
          <w:color w:val="002060"/>
          <w:sz w:val="16"/>
          <w:szCs w:val="16"/>
          <w:lang w:bidi="ru-RU"/>
        </w:rPr>
      </w:pPr>
      <w:r w:rsidRPr="00DE096C">
        <w:rPr>
          <w:bCs/>
          <w:color w:val="002060"/>
          <w:sz w:val="16"/>
          <w:szCs w:val="16"/>
          <w:lang w:bidi="ru-RU"/>
        </w:rPr>
        <w:t>Самолет предназначался для военного использования, поэтому предполагалась установка бронирования и вооружения. Кроме того, конструкция легко разбира</w:t>
      </w:r>
      <w:r w:rsidRPr="00DE096C">
        <w:rPr>
          <w:bCs/>
          <w:color w:val="002060"/>
          <w:sz w:val="16"/>
          <w:szCs w:val="16"/>
          <w:lang w:bidi="ru-RU"/>
        </w:rPr>
        <w:softHyphen/>
        <w:t>лась в течение 5 минут, в разобранном виде «Би-Кок» помещался в транспортный контейнер размерами 3,7 х 1,8 х 1,7 м. Между тем основной причиной появления «разборного» самолета стало его строи</w:t>
      </w:r>
      <w:r w:rsidRPr="00DE096C">
        <w:rPr>
          <w:bCs/>
          <w:color w:val="002060"/>
          <w:sz w:val="16"/>
          <w:szCs w:val="16"/>
          <w:lang w:bidi="ru-RU"/>
        </w:rPr>
        <w:softHyphen/>
        <w:t>тельство на личной квартире конструктора, размещенной на 6-м этаже жилого дома.</w:t>
      </w:r>
    </w:p>
    <w:p w14:paraId="3E77129C" w14:textId="77777777" w:rsidR="003F7087" w:rsidRPr="00DE096C" w:rsidRDefault="003F7087" w:rsidP="00D45A46">
      <w:pPr>
        <w:jc w:val="both"/>
        <w:rPr>
          <w:bCs/>
          <w:color w:val="002060"/>
          <w:sz w:val="16"/>
          <w:szCs w:val="16"/>
        </w:rPr>
      </w:pPr>
      <w:r w:rsidRPr="00DE096C">
        <w:rPr>
          <w:bCs/>
          <w:color w:val="002060"/>
          <w:sz w:val="16"/>
          <w:szCs w:val="16"/>
          <w:lang w:bidi="ru-RU"/>
        </w:rPr>
        <w:t>С полной нагрузкой 256 кг, равной весу пу</w:t>
      </w:r>
      <w:r w:rsidRPr="00DE096C">
        <w:rPr>
          <w:bCs/>
          <w:color w:val="002060"/>
          <w:sz w:val="16"/>
          <w:szCs w:val="16"/>
          <w:lang w:bidi="ru-RU"/>
        </w:rPr>
        <w:softHyphen/>
        <w:t>стого самолета, летчику М.Л. Григорашвили удалось достичь максимальной скоро</w:t>
      </w:r>
      <w:r w:rsidRPr="00DE096C">
        <w:rPr>
          <w:bCs/>
          <w:color w:val="002060"/>
          <w:sz w:val="16"/>
          <w:szCs w:val="16"/>
          <w:lang w:bidi="ru-RU"/>
        </w:rPr>
        <w:softHyphen/>
        <w:t>сти около 100 км/ч. Для самолета с двига</w:t>
      </w:r>
      <w:r w:rsidRPr="00DE096C">
        <w:rPr>
          <w:bCs/>
          <w:color w:val="002060"/>
          <w:sz w:val="16"/>
          <w:szCs w:val="16"/>
          <w:lang w:bidi="ru-RU"/>
        </w:rPr>
        <w:softHyphen/>
        <w:t>телем 50 л.с. такие данные считались весьма высокими. До конца года велись переговоры с Военным ведомством об из</w:t>
      </w:r>
      <w:r w:rsidRPr="00DE096C">
        <w:rPr>
          <w:bCs/>
          <w:color w:val="002060"/>
          <w:sz w:val="16"/>
          <w:szCs w:val="16"/>
          <w:lang w:bidi="ru-RU"/>
        </w:rPr>
        <w:softHyphen/>
        <w:t>готовлении небольшой серии «Би-Кок» на заводе Ф.Ф. Терещенко. Однако Порохов</w:t>
      </w:r>
      <w:r w:rsidRPr="00DE096C">
        <w:rPr>
          <w:bCs/>
          <w:color w:val="002060"/>
          <w:sz w:val="16"/>
          <w:szCs w:val="16"/>
          <w:lang w:bidi="ru-RU"/>
        </w:rPr>
        <w:softHyphen/>
        <w:t>щиков желал строить свой самолет лично, в количестве, достаточном для вооружения одного авиаотряда, о чем уведомил в сво</w:t>
      </w:r>
      <w:r w:rsidRPr="00DE096C">
        <w:rPr>
          <w:bCs/>
          <w:color w:val="002060"/>
          <w:sz w:val="16"/>
          <w:szCs w:val="16"/>
          <w:lang w:bidi="ru-RU"/>
        </w:rPr>
        <w:softHyphen/>
        <w:t>ем письме от 8 января 1915 г. Дальнейшие переговоры зашли в тупик и постройка во</w:t>
      </w:r>
      <w:r w:rsidRPr="00DE096C">
        <w:rPr>
          <w:bCs/>
          <w:color w:val="002060"/>
          <w:sz w:val="16"/>
          <w:szCs w:val="16"/>
          <w:lang w:bidi="ru-RU"/>
        </w:rPr>
        <w:softHyphen/>
        <w:t>енных «Двухвосток» Пороховщикова не со</w:t>
      </w:r>
      <w:r w:rsidRPr="00DE096C">
        <w:rPr>
          <w:bCs/>
          <w:color w:val="002060"/>
          <w:sz w:val="16"/>
          <w:szCs w:val="16"/>
          <w:lang w:bidi="ru-RU"/>
        </w:rPr>
        <w:softHyphen/>
        <w:t>стоялась.</w:t>
      </w:r>
    </w:p>
    <w:p w14:paraId="7911D1D8" w14:textId="77777777" w:rsidR="003F7087" w:rsidRPr="00DE096C" w:rsidRDefault="003F7087" w:rsidP="00D45A46">
      <w:pPr>
        <w:jc w:val="both"/>
        <w:rPr>
          <w:bCs/>
          <w:color w:val="002060"/>
          <w:sz w:val="16"/>
          <w:szCs w:val="16"/>
        </w:rPr>
      </w:pPr>
      <w:r w:rsidRPr="00DE096C">
        <w:rPr>
          <w:bCs/>
          <w:color w:val="002060"/>
          <w:sz w:val="16"/>
          <w:szCs w:val="16"/>
          <w:lang w:bidi="ru-RU"/>
        </w:rPr>
        <w:t>В 1915 г. построили второй экземпляр «Би-Кок» с оригинальным гусеничным шас</w:t>
      </w:r>
      <w:r w:rsidRPr="00DE096C">
        <w:rPr>
          <w:bCs/>
          <w:color w:val="002060"/>
          <w:sz w:val="16"/>
          <w:szCs w:val="16"/>
          <w:lang w:bidi="ru-RU"/>
        </w:rPr>
        <w:softHyphen/>
        <w:t>си, которое можно было устанавливать вместо колес. Гусеничное шасси представ</w:t>
      </w:r>
      <w:r w:rsidRPr="00DE096C">
        <w:rPr>
          <w:bCs/>
          <w:color w:val="002060"/>
          <w:sz w:val="16"/>
          <w:szCs w:val="16"/>
          <w:lang w:bidi="ru-RU"/>
        </w:rPr>
        <w:softHyphen/>
        <w:t>ляло собой брезентовую ленту, двигающу</w:t>
      </w:r>
      <w:r w:rsidRPr="00DE096C">
        <w:rPr>
          <w:bCs/>
          <w:color w:val="002060"/>
          <w:sz w:val="16"/>
          <w:szCs w:val="16"/>
          <w:lang w:bidi="ru-RU"/>
        </w:rPr>
        <w:softHyphen/>
        <w:t>юся на деревянных барабанах. Проведен</w:t>
      </w:r>
      <w:r w:rsidRPr="00DE096C">
        <w:rPr>
          <w:bCs/>
          <w:color w:val="002060"/>
          <w:sz w:val="16"/>
          <w:szCs w:val="16"/>
          <w:lang w:bidi="ru-RU"/>
        </w:rPr>
        <w:softHyphen/>
        <w:t>ные испытания подтвердили работоспо</w:t>
      </w:r>
      <w:r w:rsidRPr="00DE096C">
        <w:rPr>
          <w:bCs/>
          <w:color w:val="002060"/>
          <w:sz w:val="16"/>
          <w:szCs w:val="16"/>
          <w:lang w:bidi="ru-RU"/>
        </w:rPr>
        <w:softHyphen/>
        <w:t>собность оригинального устройства, однако дальнейшего развития изобретения не произошло.</w:t>
      </w:r>
    </w:p>
    <w:p w14:paraId="3BAC503E" w14:textId="77777777" w:rsidR="003F7087" w:rsidRPr="00DE096C" w:rsidRDefault="003F7087" w:rsidP="00D45A46">
      <w:pPr>
        <w:jc w:val="both"/>
        <w:rPr>
          <w:bCs/>
          <w:color w:val="002060"/>
          <w:sz w:val="16"/>
          <w:szCs w:val="16"/>
          <w:lang w:bidi="ru-RU"/>
        </w:rPr>
      </w:pPr>
    </w:p>
    <w:p w14:paraId="25B42C1D" w14:textId="132864BD" w:rsidR="003F7087" w:rsidRPr="00DE096C" w:rsidRDefault="003F7087" w:rsidP="00D45A46">
      <w:pPr>
        <w:jc w:val="both"/>
        <w:rPr>
          <w:bCs/>
          <w:i/>
          <w:color w:val="002060"/>
          <w:sz w:val="16"/>
          <w:szCs w:val="16"/>
        </w:rPr>
      </w:pPr>
      <w:r w:rsidRPr="00DE096C">
        <w:rPr>
          <w:bCs/>
          <w:i/>
          <w:color w:val="002060"/>
          <w:sz w:val="16"/>
          <w:szCs w:val="16"/>
        </w:rPr>
        <w:t>Автация:</w:t>
      </w:r>
    </w:p>
    <w:p w14:paraId="6D23F3CD" w14:textId="77777777" w:rsidR="003F7087" w:rsidRPr="00DE096C" w:rsidRDefault="003F7087" w:rsidP="00D45A46">
      <w:pPr>
        <w:jc w:val="both"/>
        <w:rPr>
          <w:bCs/>
          <w:i/>
          <w:color w:val="002060"/>
          <w:sz w:val="16"/>
          <w:szCs w:val="16"/>
        </w:rPr>
      </w:pPr>
    </w:p>
    <w:p w14:paraId="174CE321" w14:textId="77777777" w:rsidR="003F7087" w:rsidRPr="00DE096C" w:rsidRDefault="003F7087" w:rsidP="00D45A46">
      <w:pPr>
        <w:jc w:val="both"/>
        <w:rPr>
          <w:bCs/>
          <w:color w:val="002060"/>
          <w:sz w:val="16"/>
          <w:szCs w:val="16"/>
        </w:rPr>
      </w:pPr>
      <w:bookmarkStart w:id="151" w:name="bookmark38"/>
      <w:r w:rsidRPr="00DE096C">
        <w:rPr>
          <w:bCs/>
          <w:color w:val="002060"/>
          <w:sz w:val="16"/>
          <w:szCs w:val="16"/>
        </w:rPr>
        <w:t>Примерно 5 (18) сентября 1914 г. ВВФ Германии потерял на востоке второй свой военный дирижабль. Проводя разведку между г. Калиш и Лодзь, он оказался в зоне зенитного огня нашей артиллерии и опустился в районе г. Серадзем (царство Польское). Немецкие аэронавты в ходе боя пытались подвергнуть бомбардировке русские позиции, сбросив на них несколько бомб. Одна из них случайно угодила в стадо коров и лошадей, убив несколько животных. При спуске на землю в гондолах дирижабля было обнаружено много боеприпасов (бомб), взрывчатых веществ, планов местности и фотографий. Часть имущества воздушного корабля при падении была уничтожена. Экипаж (4 офицера, классный механик, одно частное лицо и 24 нижних чина) был взят в плен.</w:t>
      </w:r>
      <w:bookmarkEnd w:id="151"/>
    </w:p>
    <w:p w14:paraId="7BB232F0" w14:textId="77777777" w:rsidR="003F7087" w:rsidRPr="00DE096C" w:rsidRDefault="003F7087" w:rsidP="00D45A46">
      <w:pPr>
        <w:jc w:val="both"/>
        <w:rPr>
          <w:bCs/>
          <w:color w:val="002060"/>
          <w:sz w:val="16"/>
          <w:szCs w:val="16"/>
        </w:rPr>
      </w:pPr>
      <w:r w:rsidRPr="00DE096C">
        <w:rPr>
          <w:bCs/>
          <w:color w:val="002060"/>
          <w:sz w:val="16"/>
          <w:szCs w:val="16"/>
        </w:rPr>
        <w:t xml:space="preserve">Позднее к боевой работе приступил цеппелин Z-IV (база - г. Кёнигсберг). Он выполнил ряд дерзких налетов из Познани на скопления русских войск и осуществил боевые рейды на города </w:t>
      </w:r>
      <w:bookmarkStart w:id="152" w:name="bookmark39"/>
      <w:bookmarkStart w:id="153" w:name="bookmark40"/>
      <w:r w:rsidRPr="00DE096C">
        <w:rPr>
          <w:bCs/>
          <w:color w:val="002060"/>
          <w:sz w:val="16"/>
          <w:szCs w:val="16"/>
        </w:rPr>
        <w:t xml:space="preserve">Инстербург, Гумбинен (Гусев) и Тильзит (Советск). Он неоднократно попадал под ружейный обстрел: в одном из полетов в результате зенитного огня получил до 300 пробоин, но смог благополучно вернуться на свою базу. Позднее дирижабль периодически привлекался для решения боевых задач по </w:t>
      </w:r>
      <w:r w:rsidRPr="00DE096C">
        <w:rPr>
          <w:bCs/>
          <w:color w:val="002060"/>
          <w:sz w:val="16"/>
          <w:szCs w:val="16"/>
        </w:rPr>
        <w:lastRenderedPageBreak/>
        <w:t>ведению стратегической разведки и бомбардировки русских военных и административных объектов. Однако в начале 1917 г. он был переведен в разряд учебных воздушных судов из-за крайне малого потолка высоты полета.</w:t>
      </w:r>
      <w:bookmarkEnd w:id="152"/>
      <w:bookmarkEnd w:id="153"/>
    </w:p>
    <w:p w14:paraId="7E592C1A" w14:textId="77777777" w:rsidR="003F7087" w:rsidRPr="00DE096C" w:rsidRDefault="003F7087" w:rsidP="00D45A46">
      <w:pPr>
        <w:jc w:val="both"/>
        <w:rPr>
          <w:bCs/>
          <w:color w:val="002060"/>
          <w:sz w:val="16"/>
          <w:szCs w:val="16"/>
        </w:rPr>
      </w:pPr>
      <w:r w:rsidRPr="00DE096C">
        <w:rPr>
          <w:bCs/>
          <w:color w:val="002060"/>
          <w:sz w:val="16"/>
          <w:szCs w:val="16"/>
        </w:rPr>
        <w:t>Имели место попытки использовать в военных целях управляемый аэростат P-IV, находившийся в г. Торн (Торунь). Проведенные пробные полеты воздушного корабля в феврале 1915 г. наглядно показали слабость конструкции летательного аппарата, и от затеи его боевого применения пришлось отказаться (23405).</w:t>
      </w:r>
    </w:p>
    <w:p w14:paraId="3DFDD8A8" w14:textId="77777777" w:rsidR="003F7087" w:rsidRPr="00DE096C" w:rsidRDefault="003F7087" w:rsidP="00D45A46">
      <w:pPr>
        <w:jc w:val="both"/>
        <w:rPr>
          <w:bCs/>
          <w:color w:val="002060"/>
          <w:sz w:val="16"/>
          <w:szCs w:val="16"/>
        </w:rPr>
      </w:pPr>
    </w:p>
    <w:p w14:paraId="2F270EC2" w14:textId="0C0D167A" w:rsidR="00054B99" w:rsidRPr="00DE096C" w:rsidRDefault="00054B99" w:rsidP="00D45A46">
      <w:pPr>
        <w:jc w:val="both"/>
        <w:rPr>
          <w:bCs/>
          <w:i/>
          <w:color w:val="002060"/>
          <w:sz w:val="16"/>
          <w:szCs w:val="16"/>
        </w:rPr>
      </w:pPr>
      <w:r w:rsidRPr="00DE096C">
        <w:rPr>
          <w:bCs/>
          <w:i/>
          <w:color w:val="002060"/>
          <w:sz w:val="16"/>
          <w:szCs w:val="16"/>
        </w:rPr>
        <w:t>За рубежом:</w:t>
      </w:r>
    </w:p>
    <w:p w14:paraId="086DEF23" w14:textId="77777777" w:rsidR="00054B99" w:rsidRPr="00DE096C" w:rsidRDefault="00054B99" w:rsidP="00D45A46">
      <w:pPr>
        <w:jc w:val="both"/>
        <w:rPr>
          <w:bCs/>
          <w:color w:val="002060"/>
          <w:sz w:val="16"/>
          <w:szCs w:val="16"/>
        </w:rPr>
      </w:pPr>
    </w:p>
    <w:p w14:paraId="7C7BD034" w14:textId="77777777" w:rsidR="00054B99" w:rsidRPr="00DE096C" w:rsidRDefault="00054B99" w:rsidP="00D45A46">
      <w:pPr>
        <w:jc w:val="both"/>
        <w:rPr>
          <w:bCs/>
          <w:color w:val="002060"/>
          <w:sz w:val="16"/>
          <w:szCs w:val="16"/>
        </w:rPr>
      </w:pPr>
      <w:r w:rsidRPr="00DE096C">
        <w:rPr>
          <w:rStyle w:val="ucoz-forum-post"/>
          <w:rFonts w:eastAsiaTheme="majorEastAsia"/>
          <w:bCs/>
          <w:color w:val="002060"/>
          <w:sz w:val="16"/>
          <w:szCs w:val="16"/>
        </w:rPr>
        <w:t xml:space="preserve">5 (18) сентября </w:t>
      </w:r>
      <w:r w:rsidRPr="00DE096C">
        <w:rPr>
          <w:bCs/>
          <w:color w:val="002060"/>
          <w:sz w:val="16"/>
          <w:szCs w:val="16"/>
        </w:rPr>
        <w:t xml:space="preserve">в 1914 году Пауль фон Гинденбург был назначен командующим всеми германскими войсками на Восточном фронте </w:t>
      </w:r>
    </w:p>
    <w:p w14:paraId="34EF4776" w14:textId="77777777" w:rsidR="00054B99" w:rsidRPr="00DE096C" w:rsidRDefault="00054B99" w:rsidP="00D45A46">
      <w:pPr>
        <w:jc w:val="both"/>
        <w:rPr>
          <w:bCs/>
          <w:color w:val="002060"/>
          <w:sz w:val="16"/>
          <w:szCs w:val="16"/>
        </w:rPr>
      </w:pPr>
    </w:p>
    <w:p w14:paraId="5A955B59" w14:textId="77777777" w:rsidR="00054B99" w:rsidRPr="00DE096C" w:rsidRDefault="00054B99" w:rsidP="00D45A46">
      <w:pPr>
        <w:jc w:val="both"/>
        <w:rPr>
          <w:bCs/>
          <w:color w:val="002060"/>
          <w:sz w:val="16"/>
          <w:szCs w:val="16"/>
        </w:rPr>
      </w:pPr>
      <w:r w:rsidRPr="00DE096C">
        <w:rPr>
          <w:rStyle w:val="ucoz-forum-post"/>
          <w:rFonts w:eastAsiaTheme="majorEastAsia"/>
          <w:bCs/>
          <w:color w:val="002060"/>
          <w:sz w:val="16"/>
          <w:szCs w:val="16"/>
        </w:rPr>
        <w:t xml:space="preserve">5 (18) сентября </w:t>
      </w:r>
      <w:r w:rsidRPr="00DE096C">
        <w:rPr>
          <w:bCs/>
          <w:color w:val="002060"/>
          <w:sz w:val="16"/>
          <w:szCs w:val="16"/>
        </w:rPr>
        <w:t>в 1914 году окончание сражения на Эне (14773).</w:t>
      </w:r>
    </w:p>
    <w:p w14:paraId="2EDE4B3C" w14:textId="77777777" w:rsidR="00054B99" w:rsidRPr="00DE096C" w:rsidRDefault="00054B99" w:rsidP="00D45A46">
      <w:pPr>
        <w:jc w:val="both"/>
        <w:rPr>
          <w:bCs/>
          <w:color w:val="002060"/>
          <w:sz w:val="16"/>
          <w:szCs w:val="16"/>
        </w:rPr>
      </w:pPr>
    </w:p>
    <w:p w14:paraId="20F917D6" w14:textId="77777777" w:rsidR="00F35313" w:rsidRPr="00DE096C" w:rsidRDefault="00F35313" w:rsidP="00D45A46">
      <w:pPr>
        <w:jc w:val="both"/>
        <w:rPr>
          <w:bCs/>
          <w:i/>
          <w:color w:val="002060"/>
          <w:sz w:val="16"/>
          <w:szCs w:val="16"/>
        </w:rPr>
      </w:pPr>
      <w:r w:rsidRPr="00DE096C">
        <w:rPr>
          <w:bCs/>
          <w:i/>
          <w:color w:val="002060"/>
          <w:sz w:val="16"/>
          <w:szCs w:val="16"/>
        </w:rPr>
        <w:t>Армия:</w:t>
      </w:r>
    </w:p>
    <w:p w14:paraId="0F143AD2" w14:textId="77777777" w:rsidR="00F35313" w:rsidRPr="00DE096C" w:rsidRDefault="00F35313" w:rsidP="00D45A46">
      <w:pPr>
        <w:jc w:val="both"/>
        <w:rPr>
          <w:bCs/>
          <w:i/>
          <w:color w:val="002060"/>
          <w:sz w:val="16"/>
          <w:szCs w:val="16"/>
        </w:rPr>
      </w:pPr>
    </w:p>
    <w:p w14:paraId="1621481C" w14:textId="7340BB47" w:rsidR="00F35313" w:rsidRPr="00DE096C" w:rsidRDefault="00F35313" w:rsidP="00D45A46">
      <w:pPr>
        <w:jc w:val="both"/>
        <w:rPr>
          <w:bCs/>
          <w:color w:val="002060"/>
          <w:sz w:val="16"/>
          <w:szCs w:val="16"/>
        </w:rPr>
      </w:pPr>
      <w:r w:rsidRPr="00DE096C">
        <w:rPr>
          <w:bCs/>
          <w:color w:val="002060"/>
          <w:sz w:val="16"/>
          <w:szCs w:val="16"/>
        </w:rPr>
        <w:t xml:space="preserve">6 </w:t>
      </w:r>
      <w:r w:rsidR="00FC77D6" w:rsidRPr="00DE096C">
        <w:rPr>
          <w:bCs/>
          <w:color w:val="002060"/>
          <w:sz w:val="16"/>
          <w:szCs w:val="16"/>
        </w:rPr>
        <w:t xml:space="preserve">(19) </w:t>
      </w:r>
      <w:r w:rsidRPr="00DE096C">
        <w:rPr>
          <w:bCs/>
          <w:color w:val="002060"/>
          <w:sz w:val="16"/>
          <w:szCs w:val="16"/>
        </w:rPr>
        <w:t>сентября в 1914 году сражение в Мазурских болотах, Восточная Пруссия (до I5 сентября). Германские части отбросили русские войска (14761).</w:t>
      </w:r>
    </w:p>
    <w:p w14:paraId="15D80808" w14:textId="77777777" w:rsidR="00F35313" w:rsidRPr="00DE096C" w:rsidRDefault="00F35313" w:rsidP="00D45A46">
      <w:pPr>
        <w:jc w:val="both"/>
        <w:rPr>
          <w:bCs/>
          <w:color w:val="002060"/>
          <w:sz w:val="16"/>
          <w:szCs w:val="16"/>
        </w:rPr>
      </w:pPr>
    </w:p>
    <w:p w14:paraId="7BCF233D"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Другие оборонные отрасли:</w:t>
      </w:r>
    </w:p>
    <w:p w14:paraId="5487D4C5" w14:textId="77777777" w:rsidR="00B67D7C" w:rsidRPr="00DE096C" w:rsidRDefault="00B67D7C" w:rsidP="00D45A46">
      <w:pPr>
        <w:pStyle w:val="a3"/>
        <w:jc w:val="both"/>
        <w:rPr>
          <w:bCs/>
          <w:color w:val="002060"/>
          <w:spacing w:val="0"/>
          <w:kern w:val="0"/>
          <w:position w:val="0"/>
          <w:sz w:val="16"/>
          <w:szCs w:val="16"/>
        </w:rPr>
      </w:pPr>
    </w:p>
    <w:p w14:paraId="79FA5BE9" w14:textId="3EBB04C8"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7 (20) сентября 1914 г. </w:t>
      </w:r>
      <w:r w:rsidR="00046EB1" w:rsidRPr="00DE096C">
        <w:rPr>
          <w:bCs/>
          <w:i w:val="0"/>
          <w:color w:val="002060"/>
          <w:spacing w:val="0"/>
          <w:kern w:val="0"/>
          <w:position w:val="0"/>
          <w:sz w:val="16"/>
          <w:szCs w:val="16"/>
        </w:rPr>
        <w:t xml:space="preserve">был утвержден проект новой организации и Положения л ГАУ </w:t>
      </w:r>
      <w:r w:rsidRPr="00DE096C">
        <w:rPr>
          <w:bCs/>
          <w:i w:val="0"/>
          <w:color w:val="002060"/>
          <w:spacing w:val="0"/>
          <w:kern w:val="0"/>
          <w:position w:val="0"/>
          <w:sz w:val="16"/>
          <w:szCs w:val="16"/>
        </w:rPr>
        <w:t xml:space="preserve">и постепенно </w:t>
      </w:r>
      <w:r w:rsidR="00046EB1" w:rsidRPr="00DE096C">
        <w:rPr>
          <w:bCs/>
          <w:i w:val="0"/>
          <w:color w:val="002060"/>
          <w:spacing w:val="0"/>
          <w:kern w:val="0"/>
          <w:position w:val="0"/>
          <w:sz w:val="16"/>
          <w:szCs w:val="16"/>
        </w:rPr>
        <w:t xml:space="preserve">были </w:t>
      </w:r>
      <w:r w:rsidRPr="00DE096C">
        <w:rPr>
          <w:bCs/>
          <w:i w:val="0"/>
          <w:color w:val="002060"/>
          <w:spacing w:val="0"/>
          <w:kern w:val="0"/>
          <w:position w:val="0"/>
          <w:sz w:val="16"/>
          <w:szCs w:val="16"/>
        </w:rPr>
        <w:t>проведен</w:t>
      </w:r>
      <w:r w:rsidR="00046EB1" w:rsidRPr="00DE096C">
        <w:rPr>
          <w:bCs/>
          <w:i w:val="0"/>
          <w:color w:val="002060"/>
          <w:spacing w:val="0"/>
          <w:kern w:val="0"/>
          <w:position w:val="0"/>
          <w:sz w:val="16"/>
          <w:szCs w:val="16"/>
        </w:rPr>
        <w:t>ы</w:t>
      </w:r>
      <w:r w:rsidRPr="00DE096C">
        <w:rPr>
          <w:bCs/>
          <w:i w:val="0"/>
          <w:color w:val="002060"/>
          <w:spacing w:val="0"/>
          <w:kern w:val="0"/>
          <w:position w:val="0"/>
          <w:sz w:val="16"/>
          <w:szCs w:val="16"/>
        </w:rPr>
        <w:t xml:space="preserve"> в жизнь почти в полной мере. </w:t>
      </w:r>
    </w:p>
    <w:p w14:paraId="14A4EB63"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Организация ГАУ к февралю 1915 г. показана на схеме 1 (см. приложение 1). </w:t>
      </w:r>
    </w:p>
    <w:p w14:paraId="15E7049E"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По новому Положению общие обязанности ГАУ почти не отличались от регламентированных прежним Положением. Новым Положением, как и прежним, не предусматривалось никаких особых обязанностей ГАУ во время войны. Сущест-венное различие заключалось в добавлении в состав ГАУ III отдела технических артиллерийских заведений и распоряди-тельного делопроизводства по заготовлениям и снабжению, в организации на новых началах технической части (взамен бывшего Артиллерийского комитета) и в некотором изменении предметов занятий различных отделений делопроизводства и частей ГАУ. </w:t>
      </w:r>
    </w:p>
    <w:p w14:paraId="5AA8D818"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 III отделе ГАУ было сосредоточено управление техническими артиллерийскими заведениями в хозяйственном и техническом отношении, обеспечение их всем необходимым, дача им нарядов и вся исполнительная часть по нарядам; этот отдел не ведал снабжением войск и не занимался рассылкой по назначению предметов, изготовленных техническими артиллерийскими заведениями. </w:t>
      </w:r>
    </w:p>
    <w:p w14:paraId="1A77017D"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Во II хозяйственном отделе ГАУ сосредоточивались вся распорядительная часть и все исполнительные функции по заготовлениям на частных заводах и на казенных заводах не артиллерийского ведомства, а также по снабжению армии всеми предметами артиллерийского довольствия и рассылка по назначению тех же предметов - как изготовленных указанными заводами, так и техническими артиллерийскими заведениями (находящимися в ведении III. отдела). </w:t>
      </w:r>
    </w:p>
    <w:p w14:paraId="6280DA0C"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На делопроизводстве по заготовлениям и снабжению лежали весьма ответственные и многосложные обязанности: определение потребности в артиллерийских предметах для снабжения армии; все вопросы, связанные с новым вооружением или усовершенствованием существующего; составление ведомостей и табелей вновь вводимому артиллерийскому иму-ществу; исчисление расходов, вызываемых новыми формированиями; указание соответственным хозяйственным отделениям и отделу технических артиллерийских заведений о подлежащих выполнению заготовлениях; планы годовых снабжений; обеспечение всех заготовлений кредитами; установление сроков возможного выполнения заказов; указание отделениям хозяйственного отдела о порядке рассылки готовых предметов (установление единства снабжения). Наконец, распорядительное делопроизводство являлось для начальника ГАУ, так сказать, контролирующим органом, наблюдающим за своевременным выполнением заказов и за ходом снабжения; с этой целью на делопроизводстве лежал сбор сведений о ходе заготовительных операций и о ходе снабжения (повседневная статистика). </w:t>
      </w:r>
    </w:p>
    <w:p w14:paraId="0439DCB3"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На практике распорядительное делопроизводство не могло выполнять в полной мере всех обязанностей, возложенных на него по Положению, утвержденному 7 (20) сентября 1914 г., но оно принесло несомненно большую пользу, как стати-стико-распорядительный объединяющий орган, значительно облегчивший труд начальника ГАУ по наблюдению за подведомственным ему заготовлением и боевым снабжением. </w:t>
      </w:r>
    </w:p>
    <w:p w14:paraId="3AD46671"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Техническая часть ГАУ по новому о ней Положению состояла из канцелярии и артиллерийского комитета с главным артиллерийским полигоном, лабораториями и чертежной. </w:t>
      </w:r>
    </w:p>
    <w:p w14:paraId="016AC55C"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На техническую часть возлагались, как и по прежнему Положению: </w:t>
      </w:r>
    </w:p>
    <w:p w14:paraId="782218C2"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"1. Разработка и обслуживание вопросов и предположений, касающихся теории, техники и практики артиллерии, а также и предметов вооружения армии, и руководство исследованиями и опытами по всем вопросам. </w:t>
      </w:r>
    </w:p>
    <w:p w14:paraId="4F1CCF7A"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2. Рассмотрение новых изобретений и разных предположений, до усовершенствования техники артиллерийского дела касающихся. </w:t>
      </w:r>
    </w:p>
    <w:p w14:paraId="1F504A39"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3. Разработка и обсуждение различных специально артиллерийских уставов, руководств и постановлений, а также инструкций и программ. </w:t>
      </w:r>
    </w:p>
    <w:p w14:paraId="663C2A72"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4. Разработка и обсуждение вопросов, касающихся артиллерийского образования. </w:t>
      </w:r>
    </w:p>
    <w:p w14:paraId="2D354B08"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5. Распространение научных сведений между офицерами, артиллерии". </w:t>
      </w:r>
    </w:p>
    <w:p w14:paraId="708C2FCB"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Артком, как видно из схемы 1 (см. приложение 1), разделялся на 5 отделов с комиссией по применению взрывчатых веществ при II отделе и с частью по изданию уставов, руководств и наставлений при III отделе. </w:t>
      </w:r>
    </w:p>
    <w:p w14:paraId="4D12804C"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Обращает на себя внимание организация III отдела боевой подготовки и организации. Отдел этот состоял из трех частей: </w:t>
      </w:r>
    </w:p>
    <w:p w14:paraId="59D0BFB2"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1. Полевой и тяжелой артиллерии - для разработки всех вопросов, связанных с боевой подготовкой полевой артиллерии. </w:t>
      </w:r>
    </w:p>
    <w:p w14:paraId="3856F292"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2. Крепостной артиллерии - для разработки всех вопросов,, связанных с боевой подготовкой крепостной артиллерии. </w:t>
      </w:r>
    </w:p>
    <w:p w14:paraId="7AA49BE2"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3. Организационной - по вопросам, касающимся организации и вооружения всякого рода артиллерии. </w:t>
      </w:r>
    </w:p>
    <w:p w14:paraId="17FD2CEF"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Артком в целом являлся по существу чисто научно-техническим артиллерийским учреждением, для которого вопросы боевой подготовки и организации строевых частей артиллерии были в значительной мере чуждыми. В числе членов Арткома, по крайней мере в 1915 г., вовсе не было лиц, сведущих в этих вопросах. Сам начальник III отдела ген. Шмидт-фон-дер-Лауниц был специалистом по разного рода механическим, электротехническим и оптическим вспомогательным приборам для стрельбы береговой (крепостной) артиллерии; он получил известность изобретенными им дальномерами для береговой артиллерии. Постоянные члены III отдела ген. С. Т. Беляев и В. А. Микеладзе, единственные среди членов Арткома причастные к делу боевой подготовки артиллерии, находились на командных должностях в действующей армии. </w:t>
      </w:r>
    </w:p>
    <w:p w14:paraId="66B17BCD"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Наличие III отдела при Арткоме ничем не оправдывалось п являлось каким-то недоразумением; круг его обязанностей даже не соответствовал основному положению о технической части ГАУ, по которому разработка вопросов боевой подготовки и организации артиллерии на техническую часть ГАУ не возлагалась. </w:t>
      </w:r>
    </w:p>
    <w:p w14:paraId="41E76367"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Порядок направления и решения дед в Арткоме, установленный по новому Положению, в общем был согласован с проектом преобразования Арткома, составленным в ГАУ еще в 1912 г. Согласно Положению отделы арткома должны были приблизиться к живому производственному делу техники на заводах и к соответственным отделениям ГАУ и работать в непосредственном общении с теми и другими, разрешая большинства дел без обсуждения в общих собраниях - быстро, с проявлением инициативы и не плодя излишней переписки. Эти мысли законодательства не получили должного осуществления на практике, и в Арткоме оставались рутина и канцелярская волокита. </w:t>
      </w:r>
    </w:p>
    <w:p w14:paraId="64DD50E4"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Права и обязанности начальника и прочих чинов ГАУ, установленные новым Положением, почти ничем не отличались от прежних. </w:t>
      </w:r>
    </w:p>
    <w:p w14:paraId="197518F1"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Несколько расширены были только обязанности начальников отделов, которые по Положению являлись "ближайшими помощниками начальника ГАУ по развитию и усовершенствованию всех отраслей артиллерийского дела, составляющих предмет ведения ГАУ". С особою подробностью регламентированы были в Положении обязанности начальника отдела технических артиллерийских заведений. </w:t>
      </w:r>
    </w:p>
    <w:p w14:paraId="3C4A8E6C"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Порядок делопроизводства в ГАУ оставлен был прежний, т. е. рутинно-канцелярский. </w:t>
      </w:r>
    </w:p>
    <w:p w14:paraId="134699E8"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Между прочим, в новом положении о ГАУ сохранена была старая статья, вменяющая в обязанность начальника отделения и равных ему по правам должностных лиц "доносить военному министру, не скрепляя бумаг и докладов", о тех случаях, когда "начальником ГАУ или начальниками отделов и частей даны будут разрешения по делам, несогласные с законом и наставлениями военного министра или отменяющие их"... </w:t>
      </w:r>
    </w:p>
    <w:p w14:paraId="168B1680"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Таким образом, эта статья предоставляла начальникам отделений право доклада по всем сколько-нибудь серьезным или сомнительным вопросам и получения указании от начальника ГАУ. </w:t>
      </w:r>
    </w:p>
    <w:p w14:paraId="70EAEF55"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Вследствие этого начальник ГАУ имел не только 10 разных докладчиков, показанных на схеме 1 (приложение 1), но и всех начальников отделений и делопроизводств ГАУ; кроме того, начальнику ГАУ периодически докладывали непосредственно ему подчиненные начальники артиллерийской академии и училищ, офицерской артиллерийской школы, технических артиллерийских заведений и школ. </w:t>
      </w:r>
    </w:p>
    <w:p w14:paraId="7FEC90FA"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Достаточно взглянуть на ту же схему, чтобы убедиться в невозможности для начальника ГАУ целесообразного управления подчиненным ему сложным аппаратом при свыше 30 непосредственных ему докладчиках. </w:t>
      </w:r>
    </w:p>
    <w:p w14:paraId="3182C5D3"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 целях усиления производительности заводов артиллерийского ведомства, и ускорения получения предметов, заказанных другим заводам, ГАУ понижало требования технических условий на прием различных предметов; работа заводов производилась в три смены не прерываемая ни праздниками, ни ремонтом механизмов и пр. </w:t>
      </w:r>
    </w:p>
    <w:p w14:paraId="00EC0500"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lastRenderedPageBreak/>
        <w:t xml:space="preserve">ГАУ заказало множество предметов боевого снабжения, в особенности огнеприпасов, не только русским казенным и частным заводам, но и заграничным. ГАУ, конечно, не могло исправить такие ошибки в подготовке обороны государства, как отсутствие плана мобилизации промышленности, который должен быть выработан еще в мирное время, или отсутствие правил, обеспечивающих казенные заводы от опасности перерыва их деятельности в военное время, и пр. </w:t>
      </w:r>
    </w:p>
    <w:p w14:paraId="79888034"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Результаты мероприятий ГАУ могли сказаться лишь через несколько месяцев. Между тем вследствие наступившего снарядного голода продолжалось беспрестанное давление с фронта, крайне возбуждавшее общественное мнение, требовавшее подачи снарядов в армию и усиления заказов без всяких рассуждений. </w:t>
      </w:r>
    </w:p>
    <w:p w14:paraId="04AB355E"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Все это в связи с действительно ничтожной производительностью снарядной промышленности и почти полным отсутствием понимания этого дела у лиц, возглавлявших военное ведомство, приводило к тому, что ГАУ оказывалось единственно виновным в необеспеченности армии снарядами, а руководители ГАУ неспособными пополнить недочеты боевого снабжения (11483).</w:t>
      </w:r>
    </w:p>
    <w:p w14:paraId="372B1A83" w14:textId="77777777" w:rsidR="00B67D7C" w:rsidRPr="00DE096C" w:rsidRDefault="00B67D7C" w:rsidP="00D45A46">
      <w:pPr>
        <w:pStyle w:val="a3"/>
        <w:jc w:val="both"/>
        <w:rPr>
          <w:bCs/>
          <w:i w:val="0"/>
          <w:color w:val="002060"/>
          <w:spacing w:val="0"/>
          <w:kern w:val="0"/>
          <w:position w:val="0"/>
          <w:sz w:val="16"/>
          <w:szCs w:val="16"/>
        </w:rPr>
      </w:pPr>
    </w:p>
    <w:p w14:paraId="3B239BA2" w14:textId="77777777" w:rsidR="00046EB1" w:rsidRPr="00DE096C" w:rsidRDefault="00046EB1" w:rsidP="00D45A46">
      <w:pPr>
        <w:jc w:val="both"/>
        <w:rPr>
          <w:bCs/>
          <w:i/>
          <w:color w:val="002060"/>
          <w:sz w:val="16"/>
          <w:szCs w:val="16"/>
        </w:rPr>
      </w:pPr>
      <w:r w:rsidRPr="00DE096C">
        <w:rPr>
          <w:bCs/>
          <w:i/>
          <w:color w:val="002060"/>
          <w:sz w:val="16"/>
          <w:szCs w:val="16"/>
        </w:rPr>
        <w:t>Другие оборонные отрасли:</w:t>
      </w:r>
    </w:p>
    <w:p w14:paraId="60165BAF" w14:textId="77777777" w:rsidR="00046EB1" w:rsidRPr="00DE096C" w:rsidRDefault="00046EB1" w:rsidP="00D45A46">
      <w:pPr>
        <w:jc w:val="both"/>
        <w:rPr>
          <w:bCs/>
          <w:i/>
          <w:color w:val="002060"/>
          <w:sz w:val="16"/>
          <w:szCs w:val="16"/>
        </w:rPr>
      </w:pPr>
    </w:p>
    <w:p w14:paraId="54C82D80" w14:textId="77777777" w:rsidR="00046EB1" w:rsidRPr="00DE096C" w:rsidRDefault="00046EB1"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 конце августа и в начале сентября 1914 г., выяснили колоссальную потребность в 76-мм пушечных патронах, далеко превзошедшую самые осторожные расчеты. Произведенное батареями Юго-западного фронта расходование до 1.000 патронов на пушку и требование высылки по 1,5 млн. пушечных патронов в месяц свиде-тельствовали, что ни Штаб верховного главнокомандующего, ни высшие войсковые начальники не знали о размере су-ществовавшего запаса на время большой войны по расчетам ГУГШ, ни о возможном успехе работы заводов по восста-новлению запасов. </w:t>
      </w:r>
    </w:p>
    <w:p w14:paraId="1E867B0B" w14:textId="77777777" w:rsidR="00046EB1" w:rsidRPr="00DE096C" w:rsidRDefault="00046EB1"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Для начальника ГАУ "ясно обрисовалось беспомощное состояние армий Юго-западного фронта, имеющих полевую артиллерию, обреченную на бездействие в продолжение многих месяцев", и необходимость принятия всех мер к немед-ленному заказу пушечных патронов в частной промышленности в России и за границей.</w:t>
      </w:r>
    </w:p>
    <w:p w14:paraId="282B0BEC" w14:textId="77777777" w:rsidR="00046EB1" w:rsidRPr="00DE096C" w:rsidRDefault="00046EB1"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Одновременно потребовалась усиленная работа ГАУ для вооружения новых непредвиденных формирований строевых частей на замену погибших в сражениях или взятых в плен, на усиление действующей армии тяжелой и осадной артиллерией и пр. (11483).</w:t>
      </w:r>
    </w:p>
    <w:p w14:paraId="167515AF" w14:textId="77777777" w:rsidR="00046EB1" w:rsidRPr="00DE096C" w:rsidRDefault="00046EB1" w:rsidP="00D45A46">
      <w:pPr>
        <w:pStyle w:val="a3"/>
        <w:jc w:val="both"/>
        <w:rPr>
          <w:bCs/>
          <w:i w:val="0"/>
          <w:color w:val="002060"/>
          <w:spacing w:val="0"/>
          <w:kern w:val="0"/>
          <w:position w:val="0"/>
          <w:sz w:val="16"/>
          <w:szCs w:val="16"/>
        </w:rPr>
      </w:pPr>
    </w:p>
    <w:p w14:paraId="24CD8FDA" w14:textId="77777777" w:rsidR="00046EB1" w:rsidRPr="00DE096C" w:rsidRDefault="00046EB1" w:rsidP="00D45A46">
      <w:pPr>
        <w:pStyle w:val="ae"/>
        <w:spacing w:before="0" w:beforeAutospacing="0" w:after="0" w:afterAutospacing="0"/>
        <w:jc w:val="both"/>
        <w:rPr>
          <w:bCs/>
          <w:color w:val="002060"/>
          <w:sz w:val="16"/>
          <w:szCs w:val="16"/>
        </w:rPr>
      </w:pPr>
      <w:r w:rsidRPr="00DE096C">
        <w:rPr>
          <w:bCs/>
          <w:color w:val="002060"/>
          <w:sz w:val="16"/>
          <w:szCs w:val="16"/>
        </w:rPr>
        <w:t>В начале сентября 1914 г. ожидаемые поступления вооружения, пушек, пулеметов, винтовок, снарядов и патронов были менее заявленного Ставкой количества в 3—5 раз. Косный, бюрократический аппарат Военного министерства работал довоенными темпами, никем не направляемый (18524).</w:t>
      </w:r>
    </w:p>
    <w:p w14:paraId="7D14574A" w14:textId="77777777" w:rsidR="00046EB1" w:rsidRPr="00DE096C" w:rsidRDefault="00046EB1" w:rsidP="00D45A46">
      <w:pPr>
        <w:pStyle w:val="ae"/>
        <w:spacing w:before="0" w:beforeAutospacing="0" w:after="0" w:afterAutospacing="0"/>
        <w:jc w:val="both"/>
        <w:rPr>
          <w:bCs/>
          <w:color w:val="002060"/>
          <w:sz w:val="16"/>
          <w:szCs w:val="16"/>
        </w:rPr>
      </w:pPr>
    </w:p>
    <w:p w14:paraId="5C800C3B" w14:textId="16867E57" w:rsidR="003F7087" w:rsidRPr="00DE096C" w:rsidRDefault="003F7087" w:rsidP="00D45A46">
      <w:pPr>
        <w:jc w:val="both"/>
        <w:rPr>
          <w:bCs/>
          <w:i/>
          <w:color w:val="002060"/>
          <w:sz w:val="16"/>
          <w:szCs w:val="16"/>
        </w:rPr>
      </w:pPr>
      <w:r w:rsidRPr="00DE096C">
        <w:rPr>
          <w:bCs/>
          <w:i/>
          <w:color w:val="002060"/>
          <w:sz w:val="16"/>
          <w:szCs w:val="16"/>
        </w:rPr>
        <w:t>Авиация:</w:t>
      </w:r>
    </w:p>
    <w:p w14:paraId="4BFF55EC" w14:textId="77777777" w:rsidR="003F7087" w:rsidRPr="00DE096C" w:rsidRDefault="003F7087" w:rsidP="00D45A46">
      <w:pPr>
        <w:jc w:val="both"/>
        <w:rPr>
          <w:bCs/>
          <w:i/>
          <w:color w:val="002060"/>
          <w:sz w:val="16"/>
          <w:szCs w:val="16"/>
        </w:rPr>
      </w:pPr>
    </w:p>
    <w:p w14:paraId="1D90246A" w14:textId="77777777" w:rsidR="003F7087" w:rsidRPr="00DE096C" w:rsidRDefault="003F7087" w:rsidP="00D45A46">
      <w:pPr>
        <w:jc w:val="both"/>
        <w:rPr>
          <w:bCs/>
          <w:color w:val="002060"/>
          <w:sz w:val="16"/>
          <w:szCs w:val="16"/>
          <w:lang w:bidi="en-US"/>
        </w:rPr>
      </w:pPr>
      <w:bookmarkStart w:id="154" w:name="bookmark44"/>
      <w:r w:rsidRPr="00DE096C">
        <w:rPr>
          <w:bCs/>
          <w:color w:val="002060"/>
          <w:sz w:val="16"/>
          <w:szCs w:val="16"/>
          <w:lang w:bidi="en-US"/>
        </w:rPr>
        <w:t>В начале сентября 1914 г. у немцев теперь было семь летных отделений (ЛПП), которым противостояли девять русских КАО на Северо-Западном фронте. У австро-венгров было семь авиаотрядов (фликсов), с которыми столкнулись пять русских КАО на Юго-Западном фронте (23525).</w:t>
      </w:r>
    </w:p>
    <w:p w14:paraId="3DD1BCA4" w14:textId="77777777" w:rsidR="003F7087" w:rsidRPr="00DE096C" w:rsidRDefault="003F7087" w:rsidP="00D45A46">
      <w:pPr>
        <w:jc w:val="both"/>
        <w:rPr>
          <w:bCs/>
          <w:color w:val="002060"/>
          <w:sz w:val="16"/>
          <w:szCs w:val="16"/>
        </w:rPr>
      </w:pPr>
    </w:p>
    <w:p w14:paraId="323EBA05" w14:textId="77777777" w:rsidR="003F7087" w:rsidRPr="00DE096C" w:rsidRDefault="003F7087" w:rsidP="00D45A46">
      <w:pPr>
        <w:jc w:val="both"/>
        <w:rPr>
          <w:bCs/>
          <w:color w:val="002060"/>
          <w:sz w:val="16"/>
          <w:szCs w:val="16"/>
        </w:rPr>
      </w:pPr>
      <w:r w:rsidRPr="00DE096C">
        <w:rPr>
          <w:bCs/>
          <w:color w:val="002060"/>
          <w:sz w:val="16"/>
          <w:szCs w:val="16"/>
        </w:rPr>
        <w:t xml:space="preserve">В начале сентября 1914 г. в районе г. Зволен (Галиция) наши зенитчики подбили германский аэроплан. При приземлении вражеские летчики были взяты в плен. Имелись случаи, когда неприятельские пилоты оказывались в плену вследствие хорошо продуманных комбинаций русского командования и даже отдельных военнослужащих. В журнале «Великая война» приводился один из таких эпизодов. Осенью 1914 г. при конвоировании большой группы пленных австро-венгерских солдат (численностью до батальона) наши солдаты заметили вражеский аэроплан, появившийся над колонной. С большой высоты </w:t>
      </w:r>
      <w:bookmarkStart w:id="155" w:name="bookmark45"/>
      <w:bookmarkEnd w:id="154"/>
      <w:r w:rsidRPr="00DE096C">
        <w:rPr>
          <w:bCs/>
          <w:color w:val="002060"/>
          <w:sz w:val="16"/>
          <w:szCs w:val="16"/>
        </w:rPr>
        <w:t>летчик принял ее за обычное воинское подразделение, выдвигавшееся маршем на новые позиции. Сомнений не было. Форма одежды и порядок построения - все говорило о том, что внизу австро-венгерские войска. Летчик принял решение совершить посадку рядом с колонной. Заметив этот маневр, русские конвоиры, «приказав пленным не двигаться и не делать попыток к бегству, под страхом расстрела» оставаться на дороге, спрятались в близлежащем лесу. Опустившись на предельно малую высоту, летчик обнаружил, что все солдаты в колонне без оружия. Но на исправление своей ошибки у него уже не было времени. Плотный ружейный огонь, открытый русским солдатами, заставил австрийского летчика приземлиться, где он и был взят в плен (23405).</w:t>
      </w:r>
      <w:bookmarkEnd w:id="155"/>
    </w:p>
    <w:p w14:paraId="2B730E83" w14:textId="77777777" w:rsidR="003F7087" w:rsidRPr="00DE096C" w:rsidRDefault="003F7087" w:rsidP="00D45A46">
      <w:pPr>
        <w:jc w:val="both"/>
        <w:rPr>
          <w:bCs/>
          <w:color w:val="002060"/>
          <w:sz w:val="16"/>
          <w:szCs w:val="16"/>
        </w:rPr>
      </w:pPr>
    </w:p>
    <w:p w14:paraId="3C762AA2" w14:textId="77777777" w:rsidR="004D62EB" w:rsidRPr="00B52707" w:rsidRDefault="004D62EB" w:rsidP="004D62EB">
      <w:pPr>
        <w:jc w:val="both"/>
        <w:rPr>
          <w:color w:val="0070C0"/>
          <w:sz w:val="16"/>
          <w:szCs w:val="16"/>
        </w:rPr>
      </w:pPr>
      <w:r w:rsidRPr="00B52707">
        <w:rPr>
          <w:color w:val="0070C0"/>
          <w:sz w:val="16"/>
          <w:szCs w:val="16"/>
        </w:rPr>
        <w:t>В начале сентября 1914 в районе г. Зволен (Галиция) наши зенитчики подбили германский аэроплан. При приземлении вражеские летчики были взяты в плен (25135).</w:t>
      </w:r>
    </w:p>
    <w:p w14:paraId="1C4E67CA" w14:textId="77777777" w:rsidR="004D62EB" w:rsidRPr="00B52707" w:rsidRDefault="004D62EB" w:rsidP="004D62EB">
      <w:pPr>
        <w:jc w:val="both"/>
        <w:rPr>
          <w:color w:val="0070C0"/>
          <w:sz w:val="16"/>
          <w:szCs w:val="16"/>
        </w:rPr>
      </w:pPr>
    </w:p>
    <w:p w14:paraId="10659B76" w14:textId="37622A58" w:rsidR="00046EB1" w:rsidRPr="00DE096C" w:rsidRDefault="00046EB1" w:rsidP="00D45A46">
      <w:pPr>
        <w:jc w:val="both"/>
        <w:rPr>
          <w:bCs/>
          <w:i/>
          <w:color w:val="002060"/>
          <w:sz w:val="16"/>
          <w:szCs w:val="16"/>
        </w:rPr>
      </w:pPr>
      <w:r w:rsidRPr="00DE096C">
        <w:rPr>
          <w:bCs/>
          <w:i/>
          <w:color w:val="002060"/>
          <w:sz w:val="16"/>
          <w:szCs w:val="16"/>
        </w:rPr>
        <w:t>Жизнь и внутреняя политика:</w:t>
      </w:r>
    </w:p>
    <w:p w14:paraId="2509AECC" w14:textId="77777777" w:rsidR="00046EB1" w:rsidRPr="00DE096C" w:rsidRDefault="00046EB1" w:rsidP="00D45A46">
      <w:pPr>
        <w:jc w:val="both"/>
        <w:rPr>
          <w:bCs/>
          <w:i/>
          <w:color w:val="002060"/>
          <w:sz w:val="16"/>
          <w:szCs w:val="16"/>
        </w:rPr>
      </w:pPr>
    </w:p>
    <w:p w14:paraId="7F839309" w14:textId="77777777" w:rsidR="00046EB1" w:rsidRPr="00DE096C" w:rsidRDefault="00046EB1"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В начале сентября 1914 г. Земгор предложил командующему Юго-Западного фронтом Брусилову отправить в его распоряжение 2 перевязочно-питательных отряда. Развернув свою деятельность, 1-й отряд в конце 1914 г. принял 1112 человек раненых и больных и транспортировал 344 человека в госпитали. А в ноябре—декабре 1915 г. только на Северном фронте функционировало уже 37 учреждений, обслуживающих беженцев, в том числе и 20 питательных пунктов и 5 амбулаторий и больниц для них. Всего же за 1915—1916 гг. в 5-ти армиях ими было устроено 27 бань, 4 прачечных, 4 летучих дезинфекционных камеры и 16 колодцев. Число санитарно-гигиенических учреждений для армии постоянно благодаря им росло и увеличивалось. С допуском союза на театр военных действий всё больше стали преобладать функции эвакуации раненых. В этих целях в октябре 1914 г. в Москве было создано эвакуационное бюро обоих союзов. К началу 1916 г. через них прошли 1 млн 260 тыс. человек. Одновременно стали создаваться и первые санитарные поезда. За годы войны эта деятельность Земского союза была развита и приобрела колоссальные масштабы: было оборудовано 52 поезда, а городскими союзами — 12.</w:t>
      </w:r>
    </w:p>
    <w:p w14:paraId="75ACB2AF" w14:textId="77777777" w:rsidR="00046EB1" w:rsidRPr="00DE096C" w:rsidRDefault="00046EB1"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Приступив к делу помощи больным и раненым воинам на фронтах и перевалочных пунктах, в санитарных поездах, союзы с первых же дней занялись заготовкой в крупных размерах белья и верхней одежды, медицинского и хозяйственного оборудования. В октябре 1914 г. Земский союз получил заказ на изготовление 7 млн 500 тыс. комплектов белья, в феврале 1915 г. — 17 млн 380 тыс. комплектов. Из них было с 1 ноября 1914 по 1 января 1916 г. по заказу интендантства заготовлено более 10 млн, а всего закуплено и заготовлено на 3 млн рублей комплектов белья. Кроме этого через Союз было куплено обуви на 4 млн 700 тыс. рублей. Для хранения и распределения амуниции были созданы склады в Москве, Минске, Бресте, Львове, Петрограде, Тифлисе и других городах.</w:t>
      </w:r>
    </w:p>
    <w:p w14:paraId="7D4FCB7F" w14:textId="77777777" w:rsidR="00046EB1" w:rsidRPr="00DE096C" w:rsidRDefault="00046EB1"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Кроме этого, Союзом городов сначала на Северо-Западном и Северном фронтах в декабре и январе 1914—1915 гг., а затем и на других фронтах направлялись уполномоченные для посещения военно-питательных отрядов Союза, работающих на этих фронтах. В результате таких поездок выяснялся круг необходимых мероприятий, который в основном сводился к следующему:</w:t>
      </w:r>
    </w:p>
    <w:p w14:paraId="793EC4F0" w14:textId="77777777" w:rsidR="00046EB1" w:rsidRPr="00DE096C" w:rsidRDefault="00046EB1"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1) устройство на фронтах бань с обменным бельем, прачечных для стирки белья, получаемого из бань, а также белья собственных врачебных учреждений и по возможности войсковых частей; установка дезинфекционных камер для войсковых частей и организация чайных и питательных пунктов;</w:t>
      </w:r>
    </w:p>
    <w:p w14:paraId="78162A7D" w14:textId="77777777" w:rsidR="00046EB1" w:rsidRPr="00DE096C" w:rsidRDefault="00046EB1"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2) организация предохранительных прививок против тифа, холеры и оспы и устройство химико-бактериологических лабораторий;</w:t>
      </w:r>
    </w:p>
    <w:p w14:paraId="0568EEA1" w14:textId="77777777" w:rsidR="00046EB1" w:rsidRPr="00DE096C" w:rsidRDefault="00046EB1"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3) организация стационарных и подвижных зубоврачебных кабинетов;</w:t>
      </w:r>
    </w:p>
    <w:p w14:paraId="25975BA6" w14:textId="77777777" w:rsidR="00046EB1" w:rsidRPr="00DE096C" w:rsidRDefault="00046EB1"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4) непосредственная помощь больным и раненым воинам путем перевозок, эвакуации и размещения их в лазаретах и приемниках;</w:t>
      </w:r>
    </w:p>
    <w:p w14:paraId="3AA3BBE2" w14:textId="77777777" w:rsidR="00046EB1" w:rsidRPr="00DE096C" w:rsidRDefault="00046EB1"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5) устройство больниц, лабораторий и фельдшерских пунктов в прифронтовой полосе для борьбы с эпидемиями.</w:t>
      </w:r>
    </w:p>
    <w:p w14:paraId="366B9901" w14:textId="77777777" w:rsidR="00046EB1" w:rsidRPr="00DE096C" w:rsidRDefault="00046EB1"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Одновременно для обслуживания раненых общественными организациями к 1 декабря 1914 г. стало приобретаться медицинское оборудование: сначала на сумму 1 млн 245 тыс. 780 рублей; к декабрю 1915 г. — на сумму 1 млн 665 тыс. рублей; к 1 января 1916 г. — на 7 млн рублей. Общая стоимость медикаментов, отпущенных со складов Земского союза, составила 3 млн 500 тыс. рублей. Военно-промышленными комитетами для решения этих задач было налажено производство термометров, а санитарному отделу удалось организовать отечественное производство шприцев «Рекорд» и игл к ним. К маю 1917 г. оно было доведено до 100 шприцев в день, причем цены были не выше заграничных.</w:t>
      </w:r>
    </w:p>
    <w:p w14:paraId="58D99547" w14:textId="77777777" w:rsidR="00046EB1" w:rsidRPr="00DE096C" w:rsidRDefault="00046EB1"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Но уже скоро основное направление деятельности Главного комитета по снабжению армии определилось. К своим обязанностям он приступил в июле 1915 г., когда военное ведомство предложило взять заказы «на предметы вооружения, шанцевые предметы и на предметы конского и обозного снаряжения». Все заказы, получаемые Земгором от военного ведомства, можно разделить на три основных направления:</w:t>
      </w:r>
    </w:p>
    <w:p w14:paraId="2E409D6F" w14:textId="77777777" w:rsidR="00046EB1" w:rsidRPr="00DE096C" w:rsidRDefault="00046EB1"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1) предметы обозного довольствия (повозки, двуколки, кухни, седла, упряжь);</w:t>
      </w:r>
    </w:p>
    <w:p w14:paraId="7FE48097" w14:textId="77777777" w:rsidR="00046EB1" w:rsidRPr="00DE096C" w:rsidRDefault="00046EB1"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2) предметы окопно-строительного снабжения (топоры, кирки, лопаты, ножницы); </w:t>
      </w:r>
    </w:p>
    <w:p w14:paraId="7C2615D1" w14:textId="77777777" w:rsidR="00046EB1" w:rsidRPr="00DE096C" w:rsidRDefault="00046EB1"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3) предметы артиллерийского снабжения (гранаты, снаряды, бомбы).</w:t>
      </w:r>
    </w:p>
    <w:p w14:paraId="5C1FE198" w14:textId="77777777" w:rsidR="00046EB1" w:rsidRPr="00DE096C" w:rsidRDefault="00046EB1"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Так, в середине 1916 г. заказ на артиллерийское снабжение исполнялся 28 предприятиями, 20 из которых были построены Земгором. Из 1 млн 100 тыс. заказанных ему гранат 1 млн изготавливался его средней и мелкой промышленностью. Всего с 1 марта по 1 июля 1916 г. Земгору удалось выполнить 46% принятых им заказов. А с мая 1916 г. заказы Земгора, как и заказы ЦВПК, стали официально считаться «подлежащими исполнению наравне с заказами других ведомств» (11270).</w:t>
      </w:r>
    </w:p>
    <w:p w14:paraId="4E1E68FF" w14:textId="77777777" w:rsidR="00046EB1" w:rsidRPr="00DE096C" w:rsidRDefault="00046EB1" w:rsidP="00D45A46">
      <w:pPr>
        <w:pStyle w:val="a3"/>
        <w:jc w:val="both"/>
        <w:rPr>
          <w:bCs/>
          <w:i w:val="0"/>
          <w:color w:val="002060"/>
          <w:spacing w:val="0"/>
          <w:kern w:val="0"/>
          <w:position w:val="0"/>
          <w:sz w:val="16"/>
          <w:szCs w:val="16"/>
        </w:rPr>
      </w:pPr>
    </w:p>
    <w:p w14:paraId="7FAEE43C" w14:textId="77777777" w:rsidR="00046EB1" w:rsidRPr="00DE096C" w:rsidRDefault="00046EB1" w:rsidP="00D45A46">
      <w:pPr>
        <w:pStyle w:val="a3"/>
        <w:jc w:val="both"/>
        <w:rPr>
          <w:bCs/>
          <w:color w:val="002060"/>
          <w:spacing w:val="0"/>
          <w:kern w:val="0"/>
          <w:position w:val="0"/>
          <w:sz w:val="16"/>
          <w:szCs w:val="16"/>
        </w:rPr>
      </w:pPr>
      <w:r w:rsidRPr="00DE096C">
        <w:rPr>
          <w:bCs/>
          <w:color w:val="002060"/>
          <w:spacing w:val="0"/>
          <w:kern w:val="0"/>
          <w:position w:val="0"/>
          <w:sz w:val="16"/>
          <w:szCs w:val="16"/>
        </w:rPr>
        <w:t>Авиация и воздухоплавание Англии:</w:t>
      </w:r>
    </w:p>
    <w:p w14:paraId="7376DDAF" w14:textId="77777777" w:rsidR="00046EB1" w:rsidRPr="00DE096C" w:rsidRDefault="00046EB1" w:rsidP="00D45A46">
      <w:pPr>
        <w:pStyle w:val="a3"/>
        <w:jc w:val="both"/>
        <w:rPr>
          <w:bCs/>
          <w:color w:val="002060"/>
          <w:spacing w:val="0"/>
          <w:kern w:val="0"/>
          <w:position w:val="0"/>
          <w:sz w:val="16"/>
          <w:szCs w:val="16"/>
        </w:rPr>
      </w:pPr>
    </w:p>
    <w:p w14:paraId="32238793" w14:textId="77777777" w:rsidR="00046EB1" w:rsidRPr="00DE096C" w:rsidRDefault="00046EB1" w:rsidP="00D45A46">
      <w:pPr>
        <w:jc w:val="both"/>
        <w:rPr>
          <w:bCs/>
          <w:color w:val="002060"/>
          <w:sz w:val="16"/>
          <w:szCs w:val="16"/>
        </w:rPr>
      </w:pPr>
      <w:r w:rsidRPr="00DE096C">
        <w:rPr>
          <w:bCs/>
          <w:color w:val="002060"/>
          <w:sz w:val="16"/>
          <w:szCs w:val="16"/>
        </w:rPr>
        <w:t>В начале сентября 1914 года, согласно плану нападения на ближайшие базы германских воздушных кораблей в Дюссельдорфе и Кельне, разработанному штабными офицеров и переданными на согласование Черчиллю и Суетеру, 3-я эскадрилья морской авиации, базирующаяся в Истчерче, перебазировалась в район Дюнкерка. Атака была назначена на 22 сентября (11324).</w:t>
      </w:r>
    </w:p>
    <w:p w14:paraId="1814D5C4" w14:textId="77777777" w:rsidR="00046EB1" w:rsidRPr="00DE096C" w:rsidRDefault="00046EB1" w:rsidP="00D45A46">
      <w:pPr>
        <w:pStyle w:val="a3"/>
        <w:jc w:val="both"/>
        <w:rPr>
          <w:bCs/>
          <w:color w:val="002060"/>
          <w:spacing w:val="0"/>
          <w:kern w:val="0"/>
          <w:position w:val="0"/>
          <w:sz w:val="16"/>
          <w:szCs w:val="16"/>
        </w:rPr>
      </w:pPr>
    </w:p>
    <w:p w14:paraId="72597EFE" w14:textId="77777777" w:rsidR="00046EB1" w:rsidRPr="00DE096C" w:rsidRDefault="00046EB1" w:rsidP="00D45A46">
      <w:pPr>
        <w:jc w:val="both"/>
        <w:rPr>
          <w:bCs/>
          <w:color w:val="002060"/>
          <w:sz w:val="16"/>
          <w:szCs w:val="16"/>
        </w:rPr>
      </w:pPr>
      <w:r w:rsidRPr="00DE096C">
        <w:rPr>
          <w:bCs/>
          <w:color w:val="002060"/>
          <w:sz w:val="16"/>
          <w:szCs w:val="16"/>
        </w:rPr>
        <w:lastRenderedPageBreak/>
        <w:t>В начале сентября 1914 первый лорд Адмиралтейства Уинстон Черчилль в меморандуме определяет политику противовоздушной обороны Соединенного Королевства. Он призывает к использованию зенитной артиллерии и прожекторов вокруг вероятных целей; развертывание авиации в Европе для атаки всех Цеппелинов и других вражеских авиабаз в пределах досягаемости; перехват вражеских самолетов между Дувром и Лондоном британской авиацией при координации по телефону и телеграфу; размещение самолетов в Хендоне специально для обороны Лондона с экипажами, специально подготовленными и оснащенными для ночных боев, а их действия также должны координироваться по телефону; затемнение в крупных городах; и предупреждение общественности об опасностях воздушного нападения, мерах предосторожности против него и о том, как укрыться от воздушного нападения (20337).</w:t>
      </w:r>
    </w:p>
    <w:p w14:paraId="6E69B85A" w14:textId="77777777" w:rsidR="00046EB1" w:rsidRPr="00DE096C" w:rsidRDefault="00046EB1" w:rsidP="00D45A46">
      <w:pPr>
        <w:jc w:val="both"/>
        <w:rPr>
          <w:bCs/>
          <w:color w:val="002060"/>
          <w:sz w:val="16"/>
          <w:szCs w:val="16"/>
        </w:rPr>
      </w:pPr>
    </w:p>
    <w:p w14:paraId="0BA4D262"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Самолетостроение:</w:t>
      </w:r>
    </w:p>
    <w:p w14:paraId="4D27B552" w14:textId="77777777" w:rsidR="00B67D7C" w:rsidRPr="00DE096C" w:rsidRDefault="00B67D7C" w:rsidP="00D45A46">
      <w:pPr>
        <w:pStyle w:val="a3"/>
        <w:jc w:val="both"/>
        <w:rPr>
          <w:bCs/>
          <w:color w:val="002060"/>
          <w:spacing w:val="0"/>
          <w:kern w:val="0"/>
          <w:position w:val="0"/>
          <w:sz w:val="16"/>
          <w:szCs w:val="16"/>
        </w:rPr>
      </w:pPr>
    </w:p>
    <w:p w14:paraId="0763DBB7" w14:textId="7482787C" w:rsidR="00B67D7C" w:rsidRPr="00DE096C" w:rsidRDefault="00B67D7C" w:rsidP="00D45A46">
      <w:pPr>
        <w:jc w:val="both"/>
        <w:rPr>
          <w:bCs/>
          <w:color w:val="002060"/>
          <w:sz w:val="16"/>
          <w:szCs w:val="16"/>
        </w:rPr>
      </w:pPr>
      <w:r w:rsidRPr="00DE096C">
        <w:rPr>
          <w:bCs/>
          <w:color w:val="002060"/>
          <w:sz w:val="16"/>
          <w:szCs w:val="16"/>
        </w:rPr>
        <w:t>К 8 (21) сен</w:t>
      </w:r>
      <w:r w:rsidRPr="00DE096C">
        <w:rPr>
          <w:bCs/>
          <w:color w:val="002060"/>
          <w:sz w:val="16"/>
          <w:szCs w:val="16"/>
        </w:rPr>
        <w:softHyphen/>
        <w:t xml:space="preserve">тября 1914 "Малютка" </w:t>
      </w:r>
      <w:r w:rsidR="00046EB1" w:rsidRPr="00DE096C">
        <w:rPr>
          <w:bCs/>
          <w:color w:val="002060"/>
          <w:sz w:val="16"/>
          <w:szCs w:val="16"/>
        </w:rPr>
        <w:t xml:space="preserve">Сикорского </w:t>
      </w:r>
      <w:r w:rsidRPr="00DE096C">
        <w:rPr>
          <w:bCs/>
          <w:color w:val="002060"/>
          <w:sz w:val="16"/>
          <w:szCs w:val="16"/>
        </w:rPr>
        <w:t>с мотором "Клерже" 80 л.с. находилась в Петрограде, будучи вскоре пе</w:t>
      </w:r>
      <w:r w:rsidRPr="00DE096C">
        <w:rPr>
          <w:bCs/>
          <w:color w:val="002060"/>
          <w:sz w:val="16"/>
          <w:szCs w:val="16"/>
        </w:rPr>
        <w:softHyphen/>
        <w:t>ревезенной к месту опытов, подробности коих неизвестны, несмотря на то, что гидроаэроп</w:t>
      </w:r>
      <w:r w:rsidRPr="00DE096C">
        <w:rPr>
          <w:bCs/>
          <w:color w:val="002060"/>
          <w:sz w:val="16"/>
          <w:szCs w:val="16"/>
        </w:rPr>
        <w:softHyphen/>
        <w:t>лан был благополучно принят в казну и получил флотский номер С-7. Он прослужил не</w:t>
      </w:r>
      <w:r w:rsidRPr="00DE096C">
        <w:rPr>
          <w:bCs/>
          <w:color w:val="002060"/>
          <w:sz w:val="16"/>
          <w:szCs w:val="16"/>
        </w:rPr>
        <w:softHyphen/>
        <w:t>долго, т.к. уже 24 октября упал в воду из-за неисправности рулевых тяг и разбился. Его экипаж отправился в госпиталь, а обломки прибуксировали к берегу и извлекли из воды на следующий день. В ноябре их отправили в столицу, где они и сгинули (2843).</w:t>
      </w:r>
    </w:p>
    <w:p w14:paraId="1CF0B58D" w14:textId="77777777" w:rsidR="00B67D7C" w:rsidRPr="00DE096C" w:rsidRDefault="00B67D7C" w:rsidP="00D45A46">
      <w:pPr>
        <w:jc w:val="both"/>
        <w:rPr>
          <w:bCs/>
          <w:color w:val="002060"/>
          <w:sz w:val="16"/>
          <w:szCs w:val="16"/>
        </w:rPr>
      </w:pPr>
    </w:p>
    <w:p w14:paraId="2088FD98" w14:textId="77777777" w:rsidR="003F7087" w:rsidRPr="00DE096C" w:rsidRDefault="003F7087" w:rsidP="00D45A46">
      <w:pPr>
        <w:jc w:val="both"/>
        <w:rPr>
          <w:bCs/>
          <w:i/>
          <w:color w:val="002060"/>
          <w:sz w:val="16"/>
          <w:szCs w:val="16"/>
        </w:rPr>
      </w:pPr>
      <w:r w:rsidRPr="00DE096C">
        <w:rPr>
          <w:bCs/>
          <w:i/>
          <w:color w:val="002060"/>
          <w:sz w:val="16"/>
          <w:szCs w:val="16"/>
        </w:rPr>
        <w:t>Другие оборонные отрасли:</w:t>
      </w:r>
    </w:p>
    <w:p w14:paraId="4275803E" w14:textId="77777777" w:rsidR="003F7087" w:rsidRPr="00DE096C" w:rsidRDefault="003F7087" w:rsidP="00D45A46">
      <w:pPr>
        <w:jc w:val="both"/>
        <w:rPr>
          <w:bCs/>
          <w:i/>
          <w:color w:val="002060"/>
          <w:sz w:val="16"/>
          <w:szCs w:val="16"/>
        </w:rPr>
      </w:pPr>
    </w:p>
    <w:p w14:paraId="64662909" w14:textId="77777777" w:rsidR="003F7087" w:rsidRPr="00DE096C" w:rsidRDefault="003F7087" w:rsidP="00D45A46">
      <w:pPr>
        <w:pStyle w:val="af7"/>
        <w:spacing w:line="240" w:lineRule="auto"/>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8 (21) сентября 1914 г. Верхов</w:t>
      </w:r>
      <w:r w:rsidRPr="00DE096C">
        <w:rPr>
          <w:rFonts w:ascii="Times New Roman" w:hAnsi="Times New Roman" w:cs="Times New Roman"/>
          <w:bCs/>
          <w:color w:val="002060"/>
          <w:sz w:val="16"/>
          <w:szCs w:val="16"/>
        </w:rPr>
        <w:softHyphen/>
        <w:t>ный главнокомандующий телеграфировал царю «Уже около двух недель ощущается недостаток ар</w:t>
      </w:r>
      <w:r w:rsidRPr="00DE096C">
        <w:rPr>
          <w:rFonts w:ascii="Times New Roman" w:hAnsi="Times New Roman" w:cs="Times New Roman"/>
          <w:bCs/>
          <w:color w:val="002060"/>
          <w:sz w:val="16"/>
          <w:szCs w:val="16"/>
        </w:rPr>
        <w:softHyphen/>
        <w:t>тиллерийских снарядов...» —. Неправильное решение Военного совета, которое подразумевает Стоун, состоялось 14 (27) августа, то есть ранее, чем появилось не</w:t>
      </w:r>
      <w:r w:rsidRPr="00DE096C">
        <w:rPr>
          <w:rFonts w:ascii="Times New Roman" w:hAnsi="Times New Roman" w:cs="Times New Roman"/>
          <w:bCs/>
          <w:color w:val="002060"/>
          <w:sz w:val="16"/>
          <w:szCs w:val="16"/>
        </w:rPr>
        <w:softHyphen/>
        <w:t>приятное ощущение в Ставке. 14 августа прошло «общее заседание» Военного совета, окончательное, оно согласи</w:t>
      </w:r>
      <w:r w:rsidRPr="00DE096C">
        <w:rPr>
          <w:rFonts w:ascii="Times New Roman" w:hAnsi="Times New Roman" w:cs="Times New Roman"/>
          <w:bCs/>
          <w:color w:val="002060"/>
          <w:sz w:val="16"/>
          <w:szCs w:val="16"/>
        </w:rPr>
        <w:softHyphen/>
        <w:t>лось с заявкой ГАУ. В-третьих, на состоявшемся перед тем предварительном «частном заседании» члены Военного со</w:t>
      </w:r>
      <w:r w:rsidRPr="00DE096C">
        <w:rPr>
          <w:rFonts w:ascii="Times New Roman" w:hAnsi="Times New Roman" w:cs="Times New Roman"/>
          <w:bCs/>
          <w:color w:val="002060"/>
          <w:sz w:val="16"/>
          <w:szCs w:val="16"/>
        </w:rPr>
        <w:softHyphen/>
        <w:t>вета, еще не имея повода тревожиться, думали отклонить заявку ГАУ в целом, а не сократили, вопреки утверждению Стоуна. В-четвертых, еще до поступления панических сиг</w:t>
      </w:r>
      <w:r w:rsidRPr="00DE096C">
        <w:rPr>
          <w:rFonts w:ascii="Times New Roman" w:hAnsi="Times New Roman" w:cs="Times New Roman"/>
          <w:bCs/>
          <w:color w:val="002060"/>
          <w:sz w:val="16"/>
          <w:szCs w:val="16"/>
        </w:rPr>
        <w:softHyphen/>
        <w:t>налов из Ставки ГАУ (Смысловский) убедило Военный со</w:t>
      </w:r>
      <w:r w:rsidRPr="00DE096C">
        <w:rPr>
          <w:rFonts w:ascii="Times New Roman" w:hAnsi="Times New Roman" w:cs="Times New Roman"/>
          <w:bCs/>
          <w:color w:val="002060"/>
          <w:sz w:val="16"/>
          <w:szCs w:val="16"/>
        </w:rPr>
        <w:softHyphen/>
        <w:t>вет все-таки дать заказы, и при этом не на 2 млн снарядов, а на 2 784 000 трехдюймовых (постановлениями от 14 авгу</w:t>
      </w:r>
      <w:r w:rsidRPr="00DE096C">
        <w:rPr>
          <w:rFonts w:ascii="Times New Roman" w:hAnsi="Times New Roman" w:cs="Times New Roman"/>
          <w:bCs/>
          <w:color w:val="002060"/>
          <w:sz w:val="16"/>
          <w:szCs w:val="16"/>
        </w:rPr>
        <w:softHyphen/>
        <w:t>ста, 6 и 10 сентября 1914 г.), не считая 48-линейных. В-пя</w:t>
      </w:r>
      <w:r w:rsidRPr="00DE096C">
        <w:rPr>
          <w:rFonts w:ascii="Times New Roman" w:hAnsi="Times New Roman" w:cs="Times New Roman"/>
          <w:bCs/>
          <w:color w:val="002060"/>
          <w:sz w:val="16"/>
          <w:szCs w:val="16"/>
        </w:rPr>
        <w:softHyphen/>
        <w:t>тых, в течение сентября 1914 г. частных контрактов было заключено даже не на 5 млн снарядов (как считал бы пра</w:t>
      </w:r>
      <w:r w:rsidRPr="00DE096C">
        <w:rPr>
          <w:rFonts w:ascii="Times New Roman" w:hAnsi="Times New Roman" w:cs="Times New Roman"/>
          <w:bCs/>
          <w:color w:val="002060"/>
          <w:sz w:val="16"/>
          <w:szCs w:val="16"/>
        </w:rPr>
        <w:softHyphen/>
        <w:t>вильным Стоун), а на 6 941 000 (казенные заводы к августу и так уже были загружены до предела) (Маниковский А.А. Указ. соч. 4. 3. С. 150—151; РГВИА. Ф. 29. Оп. 3. Д. 860. В этом деле подшиты подлинные материалы ГАУ и Военного совета по заказам августа—сентября. Стоун не без юмора пишет, и Джо</w:t>
      </w:r>
      <w:r w:rsidRPr="00DE096C">
        <w:rPr>
          <w:rFonts w:ascii="Times New Roman" w:hAnsi="Times New Roman" w:cs="Times New Roman"/>
          <w:bCs/>
          <w:color w:val="002060"/>
          <w:sz w:val="16"/>
          <w:szCs w:val="16"/>
        </w:rPr>
        <w:softHyphen/>
        <w:t>унс повторяет, что переубедить этих крохоборов в Военном совете уда</w:t>
      </w:r>
      <w:r w:rsidRPr="00DE096C">
        <w:rPr>
          <w:rFonts w:ascii="Times New Roman" w:hAnsi="Times New Roman" w:cs="Times New Roman"/>
          <w:bCs/>
          <w:color w:val="002060"/>
          <w:sz w:val="16"/>
          <w:szCs w:val="16"/>
        </w:rPr>
        <w:softHyphen/>
        <w:t>лось только тем аргументом, что грохот канонады «полезен для поддер</w:t>
      </w:r>
      <w:r w:rsidRPr="00DE096C">
        <w:rPr>
          <w:rFonts w:ascii="Times New Roman" w:hAnsi="Times New Roman" w:cs="Times New Roman"/>
          <w:bCs/>
          <w:color w:val="002060"/>
          <w:sz w:val="16"/>
          <w:szCs w:val="16"/>
        </w:rPr>
        <w:softHyphen/>
        <w:t>жания духа войск». Смысловский, однако, давал обоснование несколько иное: во-первых, хотя «запасы состоят в должном числе», нужно зака</w:t>
      </w:r>
      <w:r w:rsidRPr="00DE096C">
        <w:rPr>
          <w:rFonts w:ascii="Times New Roman" w:hAnsi="Times New Roman" w:cs="Times New Roman"/>
          <w:bCs/>
          <w:color w:val="002060"/>
          <w:sz w:val="16"/>
          <w:szCs w:val="16"/>
        </w:rPr>
        <w:softHyphen/>
        <w:t>зать еще, чтобы армия чувствовала себя уверенно, когда наступят ре</w:t>
      </w:r>
      <w:r w:rsidRPr="00DE096C">
        <w:rPr>
          <w:rFonts w:ascii="Times New Roman" w:hAnsi="Times New Roman" w:cs="Times New Roman"/>
          <w:bCs/>
          <w:color w:val="002060"/>
          <w:sz w:val="16"/>
          <w:szCs w:val="16"/>
        </w:rPr>
        <w:softHyphen/>
        <w:t>шающие бои, а во-вторых, «к моменту “дележа” после кампании не</w:t>
      </w:r>
      <w:r w:rsidRPr="00DE096C">
        <w:rPr>
          <w:rFonts w:ascii="Times New Roman" w:hAnsi="Times New Roman" w:cs="Times New Roman"/>
          <w:bCs/>
          <w:color w:val="002060"/>
          <w:sz w:val="16"/>
          <w:szCs w:val="16"/>
        </w:rPr>
        <w:softHyphen/>
        <w:t>обходимо быть сильнее, чем при ее начале» (Там же. Ф. 962. Оп. 2. Д. 137. Смысловский Е.К. «Записка о довольствии действующей армии в текущую войну боеприпасами», 18.1.1917), и эти его суждения верно переданы Маниковским; Там же. Ф. 29. Оп. 3. Д. 855. Л. 37 об.—38; Ф. 962. Оп. 2. Д. 6. Л. 44 об.—45. Сведения о ходе предполагаемой поставки 3-дм шрапне</w:t>
      </w:r>
      <w:r w:rsidRPr="00DE096C">
        <w:rPr>
          <w:rFonts w:ascii="Times New Roman" w:hAnsi="Times New Roman" w:cs="Times New Roman"/>
          <w:bCs/>
          <w:color w:val="002060"/>
          <w:sz w:val="16"/>
          <w:szCs w:val="16"/>
        </w:rPr>
        <w:softHyphen/>
        <w:t>лей и гранат) (23452).</w:t>
      </w:r>
    </w:p>
    <w:p w14:paraId="3E413D93" w14:textId="77777777" w:rsidR="003F7087" w:rsidRPr="00DE096C" w:rsidRDefault="003F7087" w:rsidP="00D45A46">
      <w:pPr>
        <w:jc w:val="both"/>
        <w:rPr>
          <w:bCs/>
          <w:color w:val="002060"/>
          <w:sz w:val="16"/>
          <w:szCs w:val="16"/>
        </w:rPr>
      </w:pPr>
    </w:p>
    <w:p w14:paraId="5971B34B" w14:textId="77777777" w:rsidR="00562E95" w:rsidRPr="00DE096C" w:rsidRDefault="00562E95" w:rsidP="00D45A46">
      <w:pPr>
        <w:jc w:val="both"/>
        <w:rPr>
          <w:bCs/>
          <w:i/>
          <w:color w:val="002060"/>
          <w:sz w:val="16"/>
          <w:szCs w:val="16"/>
        </w:rPr>
      </w:pPr>
      <w:r w:rsidRPr="00DE096C">
        <w:rPr>
          <w:bCs/>
          <w:i/>
          <w:color w:val="002060"/>
          <w:sz w:val="16"/>
          <w:szCs w:val="16"/>
        </w:rPr>
        <w:t>Армия:</w:t>
      </w:r>
    </w:p>
    <w:p w14:paraId="79F8329D" w14:textId="77777777" w:rsidR="00562E95" w:rsidRPr="00DE096C" w:rsidRDefault="00562E95" w:rsidP="00D45A46">
      <w:pPr>
        <w:jc w:val="both"/>
        <w:rPr>
          <w:bCs/>
          <w:i/>
          <w:color w:val="002060"/>
          <w:sz w:val="16"/>
          <w:szCs w:val="16"/>
        </w:rPr>
      </w:pPr>
    </w:p>
    <w:p w14:paraId="41BAA03B" w14:textId="21D3F629" w:rsidR="00562E95" w:rsidRPr="00DE096C" w:rsidRDefault="00562E95" w:rsidP="00D45A46">
      <w:pPr>
        <w:jc w:val="both"/>
        <w:rPr>
          <w:bCs/>
          <w:color w:val="002060"/>
          <w:sz w:val="16"/>
          <w:szCs w:val="16"/>
        </w:rPr>
      </w:pPr>
      <w:r w:rsidRPr="00DE096C">
        <w:rPr>
          <w:bCs/>
          <w:color w:val="002060"/>
          <w:sz w:val="16"/>
          <w:szCs w:val="16"/>
        </w:rPr>
        <w:t xml:space="preserve">8 </w:t>
      </w:r>
      <w:r w:rsidR="00046EB1" w:rsidRPr="00DE096C">
        <w:rPr>
          <w:bCs/>
          <w:color w:val="002060"/>
          <w:sz w:val="16"/>
          <w:szCs w:val="16"/>
        </w:rPr>
        <w:t xml:space="preserve">(21) </w:t>
      </w:r>
      <w:r w:rsidRPr="00DE096C">
        <w:rPr>
          <w:bCs/>
          <w:color w:val="002060"/>
          <w:sz w:val="16"/>
          <w:szCs w:val="16"/>
        </w:rPr>
        <w:t>сентября в 1914 году во время Первой мировой войны силами 8-й армии (генерал А.А.Брусилов) Юго-Западного фронта началось Городокское сражение с австро-венгерскими войсками, в ходе которого 12 сентября русские войска овладели Городокскими укрепленными позициями (14763).</w:t>
      </w:r>
    </w:p>
    <w:p w14:paraId="2FA1C031" w14:textId="77777777" w:rsidR="00562E95" w:rsidRPr="00DE096C" w:rsidRDefault="00562E95" w:rsidP="00D45A46">
      <w:pPr>
        <w:jc w:val="both"/>
        <w:rPr>
          <w:bCs/>
          <w:color w:val="002060"/>
          <w:sz w:val="16"/>
          <w:szCs w:val="16"/>
        </w:rPr>
      </w:pPr>
    </w:p>
    <w:p w14:paraId="6B56D996" w14:textId="15896A21" w:rsidR="00562E95" w:rsidRPr="00DE096C" w:rsidRDefault="00562E95" w:rsidP="00D45A46">
      <w:pPr>
        <w:jc w:val="both"/>
        <w:rPr>
          <w:bCs/>
          <w:color w:val="002060"/>
          <w:sz w:val="16"/>
          <w:szCs w:val="16"/>
        </w:rPr>
      </w:pPr>
      <w:r w:rsidRPr="00DE096C">
        <w:rPr>
          <w:bCs/>
          <w:color w:val="002060"/>
          <w:sz w:val="16"/>
          <w:szCs w:val="16"/>
        </w:rPr>
        <w:t xml:space="preserve">8 </w:t>
      </w:r>
      <w:r w:rsidR="00046EB1" w:rsidRPr="00DE096C">
        <w:rPr>
          <w:bCs/>
          <w:color w:val="002060"/>
          <w:sz w:val="16"/>
          <w:szCs w:val="16"/>
        </w:rPr>
        <w:t xml:space="preserve">(21) </w:t>
      </w:r>
      <w:r w:rsidRPr="00DE096C">
        <w:rPr>
          <w:bCs/>
          <w:color w:val="002060"/>
          <w:sz w:val="16"/>
          <w:szCs w:val="16"/>
        </w:rPr>
        <w:t>сентября в 1914 году львовское сражение (до 12 сентября). Русские войска занимают Львов, четвертый по величине город Австро-Венгрии (14763).</w:t>
      </w:r>
    </w:p>
    <w:p w14:paraId="7DE63BC3" w14:textId="77777777" w:rsidR="00562E95" w:rsidRPr="00DE096C" w:rsidRDefault="00562E95" w:rsidP="00D45A46">
      <w:pPr>
        <w:jc w:val="both"/>
        <w:rPr>
          <w:bCs/>
          <w:color w:val="002060"/>
          <w:sz w:val="16"/>
          <w:szCs w:val="16"/>
        </w:rPr>
      </w:pPr>
    </w:p>
    <w:p w14:paraId="52FF6EEF" w14:textId="5B242B06" w:rsidR="00883B40" w:rsidRPr="00DE096C" w:rsidRDefault="00883B40" w:rsidP="00D45A46">
      <w:pPr>
        <w:jc w:val="both"/>
        <w:rPr>
          <w:bCs/>
          <w:color w:val="002060"/>
          <w:sz w:val="16"/>
          <w:szCs w:val="16"/>
        </w:rPr>
      </w:pPr>
      <w:r w:rsidRPr="00DE096C">
        <w:rPr>
          <w:bCs/>
          <w:color w:val="002060"/>
          <w:sz w:val="16"/>
          <w:szCs w:val="16"/>
        </w:rPr>
        <w:t>8 (21) сентября 1914 г. в районе Замостья (Замосцья) нашими передовыми частями был сбит германский аэроплан. В плен попали два неприятельских пилота (один из них раненый) (23405).</w:t>
      </w:r>
    </w:p>
    <w:p w14:paraId="2C4F9E44" w14:textId="77777777" w:rsidR="00883B40" w:rsidRPr="00DE096C" w:rsidRDefault="00883B40" w:rsidP="00D45A46">
      <w:pPr>
        <w:jc w:val="both"/>
        <w:rPr>
          <w:bCs/>
          <w:color w:val="002060"/>
          <w:sz w:val="16"/>
          <w:szCs w:val="16"/>
        </w:rPr>
      </w:pPr>
    </w:p>
    <w:p w14:paraId="048F93D1" w14:textId="77777777" w:rsidR="00B67D7C" w:rsidRPr="00DE096C" w:rsidRDefault="00B67D7C" w:rsidP="00D45A46">
      <w:pPr>
        <w:jc w:val="both"/>
        <w:rPr>
          <w:bCs/>
          <w:i/>
          <w:color w:val="002060"/>
          <w:sz w:val="16"/>
          <w:szCs w:val="16"/>
        </w:rPr>
      </w:pPr>
      <w:r w:rsidRPr="00DE096C">
        <w:rPr>
          <w:bCs/>
          <w:i/>
          <w:color w:val="002060"/>
          <w:sz w:val="16"/>
          <w:szCs w:val="16"/>
        </w:rPr>
        <w:t>Другие оборонные отрасли:</w:t>
      </w:r>
    </w:p>
    <w:p w14:paraId="132662AA" w14:textId="77777777" w:rsidR="00B67D7C" w:rsidRPr="00DE096C" w:rsidRDefault="00B67D7C" w:rsidP="00D45A46">
      <w:pPr>
        <w:jc w:val="both"/>
        <w:rPr>
          <w:bCs/>
          <w:i/>
          <w:color w:val="002060"/>
          <w:sz w:val="16"/>
          <w:szCs w:val="16"/>
        </w:rPr>
      </w:pPr>
    </w:p>
    <w:p w14:paraId="3AC21741" w14:textId="53B92B82"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9 (22) сентября (1914 г.) по приказанию ген. Сухомлинова у него на квартире были собраны представители тех заводов, которые могли бы изготовлять снаряды. Собрание это было довольно случайного характера, так как, получив накануне приказание о вызове представителей, я мог только наскоро по телефону приказать пригласить их из числа тех, которые имели уже заказы. На собрании присутствовал министр торговли и промышленности. Собрание и совещание имело довольно поверхностный характер, причем ген. Сухомлинов предложил для более детального обсуждения вопроса собраться через день у помощника военного министра. Однако, во всяком случае на этом собрании из обращения ген. Сухомлинова к заводчикам, да и самого необычного факта подобного совещания, для заводчиков стало ясно, что государство очень нуждается в снарядах. Тут же, насколько помню, было отмечено, что вопрос о цене имеет второстепенное значение. </w:t>
      </w:r>
    </w:p>
    <w:p w14:paraId="4302E1D2"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11 (24) сентября подобное же совещание состоялось на квартире у ген. Вернандера. На него заводчики явились в большем числе, причем присутствовал и небезызвестный: Шпан, впоследствии высланный в Сибирь. В течение целого вечера велось обсуждение вопроса и подсчет возможного выхода снарядов в месяц, который, насколько припомню, определялся при полном развитии производительности до 500.000 в месяц (вместо требовавшихся уже в то время 1.500.000). </w:t>
      </w:r>
    </w:p>
    <w:p w14:paraId="609DFA85"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К концу вечера на совещание прибыл и. д. начальника Генерального штаба ген. Беляев с последнею телеграммою о требованиях на снаряды, полученной недавно из Ставки, и ознакомившись с результатами подсчетов, стал чуть ли не кричать с пафосом и негодованием на мизерность предполагаемых поставок по сравнению с требованием армии и заявил о критической необходимости получать снарядов втрое больше, какою угодно ценою. </w:t>
      </w:r>
    </w:p>
    <w:p w14:paraId="27A0BA3A"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На меня, да, полагаю, и на всех представителей военного министерства, присутствовавших на заседании, это выступление ген. Беляева произвело удручающее впечатление. Я понимал прекрасно к тому же, что, несмотря на всю неутешительность определенного на заседании предварительного числа ежемесячной поставки, есть полная надежда ее дальнейшего увеличения, так как было ясно, что в такой короткий срок всех средств исчерпать и выяснить было нельзя. Это мое мнение и нашло себе подтверждение в дальнейшем. Полное раскрытие тайны ген. Беляева только ухудшило дело, так как окончательно поставило поставщиков в положение хозяев, диктующих условия и цены, не говоря уже о колоссальном значении раскрытия истины о недостатке снарядов в стратегическом отношении. </w:t>
      </w:r>
    </w:p>
    <w:p w14:paraId="5C150ADA"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Вряд ли самый искусный шпион в то время мог оказать такую громадную услугу нашим противникам, обнаружив им истинное положение вещей, как это сделало выступление начальника русского Генерального штаба... </w:t>
      </w:r>
    </w:p>
    <w:p w14:paraId="2E4E277C"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На другой день после заседания явился ко мне директор Петроградского металлического завода К. П. Федоров, бледный и взволнованный (к слову сказать, по всем моим впечатлениям один, если только не единственный, из наиболее честных директоров, с которыми мне только приходилось иметь дело)... </w:t>
      </w:r>
    </w:p>
    <w:p w14:paraId="074D952B"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"Ведь поймите, - сказал Федоров, - что ведь немедленно после заседания во все концы мира полетели телеграммы о том, что Россия так нуждается в снарядах. Ведь теперь цены на все немедленно возрастут, и мы даже вовсе, может быть, не купим тех станков и прессов за границей, о покупке которых вчера толковали, так как они будут перекуплены". </w:t>
      </w:r>
    </w:p>
    <w:p w14:paraId="46605349"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Указанные два совещания и дача заказов по несообразно высоким ценам послужили как бы сигналом для повышения цен вообще, а вместе с тем к целому потоку различных предпринимателей, наводнявших ГАУ, с многочисленными предложениями на поставку всевозможных предметов, в особенности же на поставку снарядов; но при ближайшем ознакомлении со всеми этими предложениями в огромном большинстве случаев определенно выяснилось прежде всего явное стремление к легкой и скорой наживе, получению значительных авансов, но никак но желание помочь государству. Неоднократно начальник управления рекомендовал мне прекратить вовсе прием всех этих поставщиков, но я понимал, что этим я только вызвал бы протест, жалобы, давления свыше и тому подобные меры, почему в огромном числе случаев имел терпение выслушивать каждого посетителя и затем разъяснить ему несостоятельность или непригодность его предложения; в уважительных же случаях принимал предложения". </w:t>
      </w:r>
    </w:p>
    <w:p w14:paraId="7867E7FD"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Военное ведомство само сыпало в ненасытную и бездонную утробу промышленников и спекулянтов сотни миллионов народного достояния, получая от них за это лишь ничтожную помощь в деле обороны... </w:t>
      </w:r>
    </w:p>
    <w:p w14:paraId="453BD842"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При незнакомстве с делом заготовления предметов артснабжения и при отсутствии организаторских способностей у лиц, возглавлявших военное ведомство, проистекала полная беспомощность этого ведомства настоять на действительно целесообразном решении, хотя и непонятном для тех широких кругов общества, которые, не зная всех сложных технических сторон производства, склонны были видеть залог успеха лишь в выдаче как можно больше заманчивых с виду заказов. </w:t>
      </w:r>
    </w:p>
    <w:p w14:paraId="23E445DA"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Неудивительно поэтому, что при таких министрах, какими были в то время военный и торговли и промышленности, трудно было делу изготовления предметов боевого снабжения попасть сразу на верный путь. Чуть ли не всякий проходимец мог тогда своим наглым, явно безграмотным предложением, рассчитанным именно на невежество и царившую панику, сбить с толку главу ведомства и заставить его оказать давление на управление, выдающее заказы. </w:t>
      </w:r>
    </w:p>
    <w:p w14:paraId="075888ED"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Подобные дела не прекратились и с образованием Особого совещания по обороне государства. </w:t>
      </w:r>
    </w:p>
    <w:p w14:paraId="6A899F92"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После создания этого совещания ГАУ оказалось еще более бессильным бороться с нахрапом тех алчных предпринимателей, которые организовали крестовый поход на казенный сундук под видом спасительных для армии предложений на поставку 76-мм снарядов, так как получившие отказ знали, куда теперь апеллировать: они </w:t>
      </w:r>
      <w:r w:rsidRPr="00DE096C">
        <w:rPr>
          <w:bCs/>
          <w:i w:val="0"/>
          <w:color w:val="002060"/>
          <w:spacing w:val="0"/>
          <w:kern w:val="0"/>
          <w:position w:val="0"/>
          <w:sz w:val="16"/>
          <w:szCs w:val="16"/>
        </w:rPr>
        <w:lastRenderedPageBreak/>
        <w:t xml:space="preserve">являлись к Родзянко (или к Гучкову, или еще к кому-либо из членов Особого совещания), проливали несколько "гражданских" слез и заявляли жалобу на ГАУ. В ближайшее же заседание Особого совещания Родзянко или Гучков разражались филиппикой против ГАУ, громили рутину, косность и предательство чинов его и требовали немедленной выдачи заказа, хотя и по несообразно высокой цепе и с выдачей крупного аванса, хотя и без надежных гарантий со стороны подрядчика. </w:t>
      </w:r>
    </w:p>
    <w:p w14:paraId="3CBB9C13"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Правда, скоро Особое совещание ввело для обеспечения интересов казны такой корректив: впредь выдавать аванс (до 65% от суммы заказа - это вместо-то залога, который должен был вносить сам подрядчик по законам, действовавшим до войны) подрядчикам, не имевшим законного обеспечения, только под гарантию банка. Вот откуда началось полное закабаление промышленности банками, которые, выдавая свои гарантии, конечно, не за маленькие проценты, преследовали исключительно свои ростовщические цели, нисколько не считаясь ни с состоянием попавших к ним в сети заводов, ни с интересами обороны. При таких условиях ни одно промышленное предприятие не могло развиваться сколько-нибудь нормально, так как заботы о предстоящем платеже в банк висели над ним дамокловым мечом и при этом, конечно, было уже не до правильной постановки и усовершенство вания производства, всегда требующих лишней затраты, а, напротив, приходилось выжимать все, что только можно было выжать, хотя бы ценой понижения качества работы и явно вредной для дела перегрузки производства. </w:t>
      </w:r>
    </w:p>
    <w:p w14:paraId="045F5E4C"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Выгодна была такая система только для дутых предприятий, которые заранее знали, на что шли, и которые так изощрялись в подстраивании разных "форс-мажоров" (которых, по правде сказать, было и без того более чем достаточно почти с самого начала войны), что стали по этой части положительно виртуозами, состязаться с которыми было явно не по силам казенным юрисконсультам. Поэтому только в редких сравнительно случаях удавалось поймать этих ловких аферистов, и тогда страдал, конечно, банк, который, однако, в накладе не оставался, ибо математически учитывал вероятность подобных неприятностей соответственной надбавкой процентов на все выдаваемые им "гарантийные письма" и с лихвой компенсировал изредка получавшиеся убытки. </w:t>
      </w:r>
    </w:p>
    <w:p w14:paraId="59B13178"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Но кто всегда оставался в накладе от этих афер - это армия, не получавшая снарядов, несмотря ни на безумные цены на них ни на всякие авансы и прочие льготы для бесстыдных подрядчиков. </w:t>
      </w:r>
    </w:p>
    <w:p w14:paraId="7DC3BAB5"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Конкретными примерами этих отвратительных вакханалий, особенно с 76-мм снарядами, полны дела как ГАУ, так и наблюдательной и артиллерийской подготовительной комиссий Особого совещания по обороне; буквально не было ни одного заседания этого совещания без того, чтобы не докладывалось о целом ряде неисправных поставщиков, из коих большинству место было, конечно, на скамье подсудимых. В ГАУ им велся специальный список. </w:t>
      </w:r>
    </w:p>
    <w:p w14:paraId="58DEA418"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Руководить внутри страны весьма трудным д сложным делом снабжения действующей армии должны были министры - военный и торговли и промышленности. Но раз они этого не в состоянии были сделать, то помочь делу можно было не созданием десятков многолюдных совещаний и комиссий, а введением всеобщей промышленной повинности и решительным разрывом с прежним мертвящим бюрократизмом и формализмом д путем надлежащего расширения прав начальников главных снабжающих управлений. Конечно, выбор этих начальников должен был быть сделан в соответствия с возлагавшейся на них задачей, но затем уж им должна была быть предоставлена значительная свобода действий при каком угодно контроле со стороны и прямого начальства, и поверяющих ведомств, и еще кого угодно. </w:t>
      </w:r>
    </w:p>
    <w:p w14:paraId="704A0DC0"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Сделали же как раз наоборот: посадили над начальниками каждого главного управления подготовительную комиссию, междуведомственное совещание, наблюдательную комиссию, особое совещание; все эти инстанции стремились разыгрывать роль не только опекунов, но и настоящих хозяев положения и вершить все дела, оставляя на долю начальников главных управлений только одну ответственность. </w:t>
      </w:r>
    </w:p>
    <w:p w14:paraId="63FE6134"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 конечном результате начальники главных довольствующих управлений перестали быть хозяевами вверенного им дела и являлись лишь приказчиками Особого совещания но обороне. И если тем не менее в некоторых областях этого снабжения результаты получались не очень плохие, то надо отметить, что это случилось не "благодаря Особому совещанию", а "несмотря на Особое совещание". </w:t>
      </w:r>
    </w:p>
    <w:p w14:paraId="30E3FBCE"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Правда, 76-мм снарядов получили много (хотя и не очень скоро), в то время как по части тяжелых снарядов недостаток, и притом острый, ощущался до самого конца войны. И все это произошло оттого, что само дело снабжения в корне было поставлено неправильно: вместо того чтобы сосредоточить его всецело в руках одного ответственного хозяина - министра снабжения, обеспечив его при этом диктаторскими правами и полномочиями, его обратили в какого-то полномочного только на бумаге председателя Особого совещания по обороне, оказавшегося всецело в руках политических и финансовых дельцов, равнодушных к вопросам обороны. При такой постановке дела начальники главных снабжающих управлений, в частности и артиллерийского, оказались связанными по рукам и ногам. О расширении их прав против положенных по законам мирного времени и думать было нельзя, ибо Особое совещание считало это не только ненужным, но даже вредным. А каковы были эти "права мирного времени"? У начальника ГАУ хозяйственных прав было меньше, чем у г.-м. Ванкова, чем у председателя какой-либо строительной комиссии, чем у любого начальника завода... Он за всякой мелочью должен был лазить в Военный совет, а потом в Особое совещание по обороне, притом через подготовительную комиссию. </w:t>
      </w:r>
    </w:p>
    <w:p w14:paraId="353FE79A"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Все права по заготовлениям предметов для снабжения действующих армий и флота надо было дать единому министру снабжения (как это и было у союзников), а он уже распределял бы их по ведомствам и главным управлениям сообразно с общим планом снабжения армии и флота. Вместо этого создали ряд политиканствовавших говорилен, в действительности никем не объединенных, олицетворявших собою прежнюю "ведомственность" со всеми отвратительными грехами старого режима: разного рода трениями, бюрократической рутиной и разногласицей, и ни в коей мере не выполнивших роли того "объединяющего и руководящего" органа, который имелся в виду при создании этих совещаний и который действительно был так необходим (11483).</w:t>
      </w:r>
    </w:p>
    <w:p w14:paraId="6FA4C9A5" w14:textId="77777777" w:rsidR="00B67D7C" w:rsidRPr="00DE096C" w:rsidRDefault="00B67D7C" w:rsidP="00D45A46">
      <w:pPr>
        <w:pStyle w:val="a3"/>
        <w:jc w:val="both"/>
        <w:rPr>
          <w:bCs/>
          <w:i w:val="0"/>
          <w:color w:val="002060"/>
          <w:spacing w:val="0"/>
          <w:kern w:val="0"/>
          <w:position w:val="0"/>
          <w:sz w:val="16"/>
          <w:szCs w:val="16"/>
        </w:rPr>
      </w:pPr>
    </w:p>
    <w:p w14:paraId="33D83942" w14:textId="50D9A8E9" w:rsidR="00562E95" w:rsidRPr="00DE096C" w:rsidRDefault="00562E95" w:rsidP="00D45A46">
      <w:pPr>
        <w:pStyle w:val="ae"/>
        <w:spacing w:before="0" w:beforeAutospacing="0" w:after="0" w:afterAutospacing="0"/>
        <w:jc w:val="both"/>
        <w:rPr>
          <w:bCs/>
          <w:color w:val="002060"/>
          <w:sz w:val="16"/>
          <w:szCs w:val="16"/>
        </w:rPr>
      </w:pPr>
      <w:r w:rsidRPr="00DE096C">
        <w:rPr>
          <w:bCs/>
          <w:color w:val="002060"/>
          <w:sz w:val="16"/>
          <w:szCs w:val="16"/>
        </w:rPr>
        <w:t xml:space="preserve">9 </w:t>
      </w:r>
      <w:r w:rsidR="00046EB1" w:rsidRPr="00DE096C">
        <w:rPr>
          <w:bCs/>
          <w:color w:val="002060"/>
          <w:sz w:val="16"/>
          <w:szCs w:val="16"/>
        </w:rPr>
        <w:t xml:space="preserve">(22) </w:t>
      </w:r>
      <w:r w:rsidRPr="00DE096C">
        <w:rPr>
          <w:bCs/>
          <w:color w:val="002060"/>
          <w:sz w:val="16"/>
          <w:szCs w:val="16"/>
        </w:rPr>
        <w:t>сентября 1914 в дневнике у В. А. Сухомлинова записано:</w:t>
      </w:r>
    </w:p>
    <w:p w14:paraId="091977FD" w14:textId="77777777" w:rsidR="00562E95" w:rsidRPr="00DE096C" w:rsidRDefault="00562E95" w:rsidP="00D45A46">
      <w:pPr>
        <w:pStyle w:val="ae"/>
        <w:spacing w:before="0" w:beforeAutospacing="0" w:after="0" w:afterAutospacing="0"/>
        <w:jc w:val="both"/>
        <w:rPr>
          <w:bCs/>
          <w:color w:val="002060"/>
          <w:sz w:val="16"/>
          <w:szCs w:val="16"/>
        </w:rPr>
      </w:pPr>
      <w:r w:rsidRPr="00DE096C">
        <w:rPr>
          <w:bCs/>
          <w:color w:val="002060"/>
          <w:sz w:val="16"/>
          <w:szCs w:val="16"/>
        </w:rPr>
        <w:t xml:space="preserve"> «9 сентября, вторник. Заседание представителей заводов и банков об изготовлении снарядов»</w:t>
      </w:r>
      <w:bookmarkStart w:id="156" w:name="63r"/>
      <w:bookmarkEnd w:id="156"/>
      <w:r w:rsidR="009D3CAD" w:rsidRPr="00DE096C">
        <w:rPr>
          <w:bCs/>
          <w:color w:val="002060"/>
          <w:sz w:val="16"/>
          <w:szCs w:val="16"/>
          <w:vertAlign w:val="superscript"/>
        </w:rPr>
        <w:fldChar w:fldCharType="begin"/>
      </w:r>
      <w:r w:rsidRPr="00DE096C">
        <w:rPr>
          <w:bCs/>
          <w:color w:val="002060"/>
          <w:sz w:val="16"/>
          <w:szCs w:val="16"/>
          <w:vertAlign w:val="superscript"/>
        </w:rPr>
        <w:instrText xml:space="preserve"> HYPERLINK "http://sergeyhry.narod.ru/txt/sidorov_a_l/econom_rus_ww1_002.htm" \l "63p" </w:instrText>
      </w:r>
      <w:r w:rsidR="009D3CAD" w:rsidRPr="00DE096C">
        <w:rPr>
          <w:bCs/>
          <w:color w:val="002060"/>
          <w:sz w:val="16"/>
          <w:szCs w:val="16"/>
          <w:vertAlign w:val="superscript"/>
        </w:rPr>
      </w:r>
      <w:r w:rsidR="009D3CAD" w:rsidRPr="00DE096C">
        <w:rPr>
          <w:bCs/>
          <w:color w:val="002060"/>
          <w:sz w:val="16"/>
          <w:szCs w:val="16"/>
          <w:vertAlign w:val="superscript"/>
        </w:rPr>
        <w:fldChar w:fldCharType="separate"/>
      </w:r>
      <w:r w:rsidRPr="00DE096C">
        <w:rPr>
          <w:rStyle w:val="af0"/>
          <w:bCs/>
          <w:color w:val="002060"/>
          <w:sz w:val="16"/>
          <w:szCs w:val="16"/>
          <w:vertAlign w:val="superscript"/>
        </w:rPr>
        <w:t>63</w:t>
      </w:r>
      <w:r w:rsidR="009D3CAD" w:rsidRPr="00DE096C">
        <w:rPr>
          <w:bCs/>
          <w:color w:val="002060"/>
          <w:sz w:val="16"/>
          <w:szCs w:val="16"/>
          <w:vertAlign w:val="superscript"/>
        </w:rPr>
        <w:fldChar w:fldCharType="end"/>
      </w:r>
      <w:r w:rsidRPr="00DE096C">
        <w:rPr>
          <w:bCs/>
          <w:color w:val="002060"/>
          <w:sz w:val="16"/>
          <w:szCs w:val="16"/>
        </w:rPr>
        <w:t>. Лаконичная запись В. А. Сухомлинова ничего не дает для суждения о характере намеченных на совещании мер. Об этом мы узнаем из других источников — показаний помощников В. А. Сухомлинова — генералов Е. К. Смысловского и А. П. Вернандера.</w:t>
      </w:r>
    </w:p>
    <w:p w14:paraId="311CE4AD" w14:textId="77777777" w:rsidR="00562E95" w:rsidRPr="00DE096C" w:rsidRDefault="00562E95" w:rsidP="00D45A46">
      <w:pPr>
        <w:pStyle w:val="ae"/>
        <w:spacing w:before="0" w:beforeAutospacing="0" w:after="0" w:afterAutospacing="0"/>
        <w:jc w:val="both"/>
        <w:rPr>
          <w:bCs/>
          <w:color w:val="002060"/>
          <w:sz w:val="16"/>
          <w:szCs w:val="16"/>
        </w:rPr>
      </w:pPr>
      <w:r w:rsidRPr="00DE096C">
        <w:rPr>
          <w:bCs/>
          <w:color w:val="002060"/>
          <w:sz w:val="16"/>
          <w:szCs w:val="16"/>
        </w:rPr>
        <w:t>«Практическая» работа военного министра, от которого требовали принять исключительные меры, ограничилась созывом совещания промышленников в сентябре на квартире у В. А. Сухомлинова, да и это мероприятие, кажется, было подсказано министром торговли и промышленности. Совещание носило общий характер, так как не было достаточно подготовлено. Начатое дело В. А. Сухомлинов не довел до конца, поручив своему помощнику А. П. Вернандеру собрать заводчиков еще раз для более детального и делового обсуждения вопросов.</w:t>
      </w:r>
    </w:p>
    <w:p w14:paraId="3C7D8A6E" w14:textId="77777777" w:rsidR="00562E95" w:rsidRPr="00DE096C" w:rsidRDefault="00562E95" w:rsidP="00D45A46">
      <w:pPr>
        <w:pStyle w:val="ae"/>
        <w:spacing w:before="0" w:beforeAutospacing="0" w:after="0" w:afterAutospacing="0"/>
        <w:jc w:val="both"/>
        <w:rPr>
          <w:bCs/>
          <w:color w:val="002060"/>
          <w:sz w:val="16"/>
          <w:szCs w:val="16"/>
        </w:rPr>
      </w:pPr>
      <w:r w:rsidRPr="00DE096C">
        <w:rPr>
          <w:bCs/>
          <w:color w:val="002060"/>
          <w:sz w:val="16"/>
          <w:szCs w:val="16"/>
        </w:rPr>
        <w:t>По словам Е. К. Смысловского, собрание, на котором присутствовал министр торговли и промышленности, «было довольно случайного характера»; присутствовали лишь представители фирм, уже имевших заказы</w:t>
      </w:r>
      <w:bookmarkStart w:id="157" w:name="64r"/>
      <w:bookmarkEnd w:id="157"/>
      <w:r w:rsidR="009D3CAD" w:rsidRPr="00DE096C">
        <w:rPr>
          <w:bCs/>
          <w:color w:val="002060"/>
          <w:sz w:val="16"/>
          <w:szCs w:val="16"/>
          <w:vertAlign w:val="superscript"/>
        </w:rPr>
        <w:fldChar w:fldCharType="begin"/>
      </w:r>
      <w:r w:rsidRPr="00DE096C">
        <w:rPr>
          <w:bCs/>
          <w:color w:val="002060"/>
          <w:sz w:val="16"/>
          <w:szCs w:val="16"/>
          <w:vertAlign w:val="superscript"/>
        </w:rPr>
        <w:instrText xml:space="preserve"> HYPERLINK "http://sergeyhry.narod.ru/txt/sidorov_a_l/econom_rus_ww1_002.htm" \l "64p" </w:instrText>
      </w:r>
      <w:r w:rsidR="009D3CAD" w:rsidRPr="00DE096C">
        <w:rPr>
          <w:bCs/>
          <w:color w:val="002060"/>
          <w:sz w:val="16"/>
          <w:szCs w:val="16"/>
          <w:vertAlign w:val="superscript"/>
        </w:rPr>
      </w:r>
      <w:r w:rsidR="009D3CAD" w:rsidRPr="00DE096C">
        <w:rPr>
          <w:bCs/>
          <w:color w:val="002060"/>
          <w:sz w:val="16"/>
          <w:szCs w:val="16"/>
          <w:vertAlign w:val="superscript"/>
        </w:rPr>
        <w:fldChar w:fldCharType="separate"/>
      </w:r>
      <w:r w:rsidRPr="00DE096C">
        <w:rPr>
          <w:rStyle w:val="af0"/>
          <w:bCs/>
          <w:color w:val="002060"/>
          <w:sz w:val="16"/>
          <w:szCs w:val="16"/>
          <w:vertAlign w:val="superscript"/>
        </w:rPr>
        <w:t>64</w:t>
      </w:r>
      <w:r w:rsidR="009D3CAD" w:rsidRPr="00DE096C">
        <w:rPr>
          <w:bCs/>
          <w:color w:val="002060"/>
          <w:sz w:val="16"/>
          <w:szCs w:val="16"/>
          <w:vertAlign w:val="superscript"/>
        </w:rPr>
        <w:fldChar w:fldCharType="end"/>
      </w:r>
      <w:r w:rsidRPr="00DE096C">
        <w:rPr>
          <w:bCs/>
          <w:color w:val="002060"/>
          <w:sz w:val="16"/>
          <w:szCs w:val="16"/>
        </w:rPr>
        <w:t>. Заводчики были здесь осведомлены о громадной нужде государства в снарядах и о том, что при заготовке их «вопрос о цене имеет второстепенное значение». Никаких решений принято не было. Совещание было продолжено на квартире у помощника военного министра А. П. Вернандера. «На него заводчики явились в большом числе, причем присутствовал и небезызвестный Шнап, впоследствии высланный в Сибирь. В течение целого вечера велось обсуждение вопроса и подсчет возможного выхода снарядов в месяц, который, насколько припомню, определялся при полной производительности до 500 тыс. в месяц (вместо требовавшихся уже в то время 1,5 млн.). К концу вечера на совещание прибыл и. д. начальника Генерального штаба М. А. Беляев с последней телеграммой о требованиях на снаряды, полученной недавно из Ставки, и, ознакомившись с результатами подсчетов, стал чуть ли не кричать с пафосом и негодованием на мизерность предполагаемых поставок по сравнению с требованиями армии и заявил о критической необходимости получать снарядов втрое больше, какой угодной ценой. Полное раскрытие тайны генералом Беляевым только ухудшило дело, так как окончательно поставило поставщиков в положение хозяев, диктующих условия и цены, не говоря уже о колоссальном значении раскрытия истины о недостатке снарядов в стратегическом отношении. Вряд ли самый искусный шпион в то время мог оказать такую громадную услугу нашим противникам, обнаружив им истинное положение вещей, как это сделало выступление начальника русского Генерального штаба»</w:t>
      </w:r>
      <w:bookmarkStart w:id="158" w:name="65r"/>
      <w:bookmarkEnd w:id="158"/>
      <w:r w:rsidR="009D3CAD" w:rsidRPr="00DE096C">
        <w:rPr>
          <w:bCs/>
          <w:color w:val="002060"/>
          <w:sz w:val="16"/>
          <w:szCs w:val="16"/>
          <w:vertAlign w:val="superscript"/>
        </w:rPr>
        <w:fldChar w:fldCharType="begin"/>
      </w:r>
      <w:r w:rsidRPr="00DE096C">
        <w:rPr>
          <w:bCs/>
          <w:color w:val="002060"/>
          <w:sz w:val="16"/>
          <w:szCs w:val="16"/>
          <w:vertAlign w:val="superscript"/>
        </w:rPr>
        <w:instrText xml:space="preserve"> HYPERLINK "http://sergeyhry.narod.ru/txt/sidorov_a_l/econom_rus_ww1_002.htm" \l "65p" </w:instrText>
      </w:r>
      <w:r w:rsidR="009D3CAD" w:rsidRPr="00DE096C">
        <w:rPr>
          <w:bCs/>
          <w:color w:val="002060"/>
          <w:sz w:val="16"/>
          <w:szCs w:val="16"/>
          <w:vertAlign w:val="superscript"/>
        </w:rPr>
      </w:r>
      <w:r w:rsidR="009D3CAD" w:rsidRPr="00DE096C">
        <w:rPr>
          <w:bCs/>
          <w:color w:val="002060"/>
          <w:sz w:val="16"/>
          <w:szCs w:val="16"/>
          <w:vertAlign w:val="superscript"/>
        </w:rPr>
        <w:fldChar w:fldCharType="separate"/>
      </w:r>
      <w:r w:rsidRPr="00DE096C">
        <w:rPr>
          <w:rStyle w:val="af0"/>
          <w:bCs/>
          <w:color w:val="002060"/>
          <w:sz w:val="16"/>
          <w:szCs w:val="16"/>
          <w:vertAlign w:val="superscript"/>
        </w:rPr>
        <w:t>65</w:t>
      </w:r>
      <w:r w:rsidR="009D3CAD" w:rsidRPr="00DE096C">
        <w:rPr>
          <w:bCs/>
          <w:color w:val="002060"/>
          <w:sz w:val="16"/>
          <w:szCs w:val="16"/>
          <w:vertAlign w:val="superscript"/>
        </w:rPr>
        <w:fldChar w:fldCharType="end"/>
      </w:r>
      <w:r w:rsidRPr="00DE096C">
        <w:rPr>
          <w:bCs/>
          <w:color w:val="002060"/>
          <w:sz w:val="16"/>
          <w:szCs w:val="16"/>
        </w:rPr>
        <w:t>.</w:t>
      </w:r>
    </w:p>
    <w:p w14:paraId="37345FAD" w14:textId="77777777" w:rsidR="00562E95" w:rsidRPr="00DE096C" w:rsidRDefault="00562E95" w:rsidP="00D45A46">
      <w:pPr>
        <w:pStyle w:val="ae"/>
        <w:spacing w:before="0" w:beforeAutospacing="0" w:after="0" w:afterAutospacing="0"/>
        <w:jc w:val="both"/>
        <w:rPr>
          <w:bCs/>
          <w:color w:val="002060"/>
          <w:sz w:val="16"/>
          <w:szCs w:val="16"/>
        </w:rPr>
      </w:pPr>
      <w:r w:rsidRPr="00DE096C">
        <w:rPr>
          <w:bCs/>
          <w:color w:val="002060"/>
          <w:sz w:val="16"/>
          <w:szCs w:val="16"/>
        </w:rPr>
        <w:t>На совещании назывались две цифры — 500 тыс. снарядов как максимальная производительность заводов, представленных в совещании, которые далеко не исчерпывали всей промышленности, и 1,5 млн. снарядов — цифра ежемесячной потребности</w:t>
      </w:r>
    </w:p>
    <w:p w14:paraId="6F472EC9" w14:textId="77777777" w:rsidR="00562E95" w:rsidRPr="00DE096C" w:rsidRDefault="00562E95" w:rsidP="00D45A46">
      <w:pPr>
        <w:pStyle w:val="ae"/>
        <w:spacing w:before="0" w:beforeAutospacing="0" w:after="0" w:afterAutospacing="0"/>
        <w:jc w:val="both"/>
        <w:rPr>
          <w:bCs/>
          <w:color w:val="002060"/>
          <w:sz w:val="16"/>
          <w:szCs w:val="16"/>
        </w:rPr>
      </w:pPr>
      <w:r w:rsidRPr="00DE096C">
        <w:rPr>
          <w:bCs/>
          <w:color w:val="002060"/>
          <w:sz w:val="16"/>
          <w:szCs w:val="16"/>
        </w:rPr>
        <w:t>Объяснение А П. Вернандера председателю Верховной комиссии содержит интересные детали и дополнения, которые показывают, в какие трудности упиралось развитие производства снарядов в России. Совещание было собрано только для организации производства корпусов снарядов, а кроме них требовались еще дистанционные трубки и взрывчатые вещества, изготовлявшиеся на специальных заводах. Вопрос об их изготовлении на совещании не затрагивался. Здесь выяснилась необходимость многим заводам произвести постройку новых заводских корпусов, на что требовалось несколько месяцев времени. Другие заводы должны были установить новое оборудование. Так как эти станки и прессы в России не делали или делали в небольшом количестве, то их надо было выписать из Англии, Швеции или Америки, на что потребовалось довольно неопределенное время. «Представители заводов не могли обещать, что разовьют дело по заготовке тел снарядов скоро и в очень большом размере. Затем выяснилось, что не все заводы могут взять на себя изготовление всего снаряда; некоторые из них, имея прессы, могут изготовлять стаканы, другие могут изготовлять, например, диафрагмы, третьи, наконец, могут успешно обтачивать стаканы. Заводчики решили войти в соглашение между собой с тем, чтобы заводы помогали друг другу изделиями, которые у них успешнее всего производятся, так, например, завод, изготовляющий стаканы, будет отдавать их для обточки на другой завод, обладающий необходимыми для обточки станками и т. п.»</w:t>
      </w:r>
      <w:bookmarkStart w:id="159" w:name="66r"/>
      <w:bookmarkEnd w:id="159"/>
      <w:r w:rsidR="009D3CAD" w:rsidRPr="00DE096C">
        <w:rPr>
          <w:bCs/>
          <w:color w:val="002060"/>
          <w:sz w:val="16"/>
          <w:szCs w:val="16"/>
          <w:vertAlign w:val="superscript"/>
        </w:rPr>
        <w:fldChar w:fldCharType="begin"/>
      </w:r>
      <w:r w:rsidRPr="00DE096C">
        <w:rPr>
          <w:bCs/>
          <w:color w:val="002060"/>
          <w:sz w:val="16"/>
          <w:szCs w:val="16"/>
          <w:vertAlign w:val="superscript"/>
        </w:rPr>
        <w:instrText xml:space="preserve"> HYPERLINK "http://sergeyhry.narod.ru/txt/sidorov_a_l/econom_rus_ww1_002.htm" \l "66p" </w:instrText>
      </w:r>
      <w:r w:rsidR="009D3CAD" w:rsidRPr="00DE096C">
        <w:rPr>
          <w:bCs/>
          <w:color w:val="002060"/>
          <w:sz w:val="16"/>
          <w:szCs w:val="16"/>
          <w:vertAlign w:val="superscript"/>
        </w:rPr>
      </w:r>
      <w:r w:rsidR="009D3CAD" w:rsidRPr="00DE096C">
        <w:rPr>
          <w:bCs/>
          <w:color w:val="002060"/>
          <w:sz w:val="16"/>
          <w:szCs w:val="16"/>
          <w:vertAlign w:val="superscript"/>
        </w:rPr>
        <w:fldChar w:fldCharType="separate"/>
      </w:r>
      <w:r w:rsidRPr="00DE096C">
        <w:rPr>
          <w:rStyle w:val="af0"/>
          <w:bCs/>
          <w:color w:val="002060"/>
          <w:sz w:val="16"/>
          <w:szCs w:val="16"/>
          <w:vertAlign w:val="superscript"/>
        </w:rPr>
        <w:t>66</w:t>
      </w:r>
      <w:r w:rsidR="009D3CAD" w:rsidRPr="00DE096C">
        <w:rPr>
          <w:bCs/>
          <w:color w:val="002060"/>
          <w:sz w:val="16"/>
          <w:szCs w:val="16"/>
          <w:vertAlign w:val="superscript"/>
        </w:rPr>
        <w:fldChar w:fldCharType="end"/>
      </w:r>
      <w:r w:rsidRPr="00DE096C">
        <w:rPr>
          <w:bCs/>
          <w:color w:val="002060"/>
          <w:sz w:val="16"/>
          <w:szCs w:val="16"/>
        </w:rPr>
        <w:t>. Так рисовал Вернандер ход совещания и принятые на нем решения.</w:t>
      </w:r>
    </w:p>
    <w:p w14:paraId="18DAC50A" w14:textId="77777777" w:rsidR="00562E95" w:rsidRPr="00DE096C" w:rsidRDefault="00562E95" w:rsidP="00D45A46">
      <w:pPr>
        <w:pStyle w:val="ae"/>
        <w:spacing w:before="0" w:beforeAutospacing="0" w:after="0" w:afterAutospacing="0"/>
        <w:jc w:val="both"/>
        <w:rPr>
          <w:bCs/>
          <w:color w:val="002060"/>
          <w:sz w:val="16"/>
          <w:szCs w:val="16"/>
        </w:rPr>
      </w:pPr>
      <w:r w:rsidRPr="00DE096C">
        <w:rPr>
          <w:bCs/>
          <w:color w:val="002060"/>
          <w:sz w:val="16"/>
          <w:szCs w:val="16"/>
        </w:rPr>
        <w:t xml:space="preserve">Другой вопрос, обсуждавшийся на совещании, касался условий финансирования предприятий и снабжения их денежными средствами. Промышленники руководствовались не патриотическими чувствами, а желанием как можно больше нажиться за счет казны и военного фонда. Помимо высоких цен за снаряды промышленники настаивали на получении от казны бесплатных субсидий и авансов, необходимых им для развития дела, закупок станков и материалов, производства строительных работ. Представители военного ведомства признали принципиально возможной выдачу субсидий и авансов, и этот вопрос скоро был решен Военным советом «в благоприятном для заводчиков смысле». Кроме безвозвратной субсидии на оборудование заводчики имели право получить аванс-задаток до 65% от стоимости заказов, что уже представляло огромные средства только от первых заказов на снаряды. В результате совещания заводчиками были заключены контракты на поставку корпусов снарядов. До января 1915 г. было заказано, «сколько помнится, 7 млн. штук, а кроме того, было заказано за границей еще 4 млн. штук, всего, </w:t>
      </w:r>
      <w:r w:rsidRPr="00DE096C">
        <w:rPr>
          <w:bCs/>
          <w:color w:val="002060"/>
          <w:sz w:val="16"/>
          <w:szCs w:val="16"/>
        </w:rPr>
        <w:lastRenderedPageBreak/>
        <w:t>следовательно, 11 млн. штук. В основание всех заключенных контрактов были положены новые, утвержденные Артиллерийским комитетом облегченные условия приемки изделий»</w:t>
      </w:r>
      <w:bookmarkStart w:id="160" w:name="67r"/>
      <w:bookmarkEnd w:id="160"/>
      <w:r w:rsidR="009D3CAD" w:rsidRPr="00DE096C">
        <w:rPr>
          <w:bCs/>
          <w:color w:val="002060"/>
          <w:sz w:val="16"/>
          <w:szCs w:val="16"/>
          <w:vertAlign w:val="superscript"/>
        </w:rPr>
        <w:fldChar w:fldCharType="begin"/>
      </w:r>
      <w:r w:rsidRPr="00DE096C">
        <w:rPr>
          <w:bCs/>
          <w:color w:val="002060"/>
          <w:sz w:val="16"/>
          <w:szCs w:val="16"/>
          <w:vertAlign w:val="superscript"/>
        </w:rPr>
        <w:instrText xml:space="preserve"> HYPERLINK "http://sergeyhry.narod.ru/txt/sidorov_a_l/econom_rus_ww1_002.htm" \l "67p" </w:instrText>
      </w:r>
      <w:r w:rsidR="009D3CAD" w:rsidRPr="00DE096C">
        <w:rPr>
          <w:bCs/>
          <w:color w:val="002060"/>
          <w:sz w:val="16"/>
          <w:szCs w:val="16"/>
          <w:vertAlign w:val="superscript"/>
        </w:rPr>
      </w:r>
      <w:r w:rsidR="009D3CAD" w:rsidRPr="00DE096C">
        <w:rPr>
          <w:bCs/>
          <w:color w:val="002060"/>
          <w:sz w:val="16"/>
          <w:szCs w:val="16"/>
          <w:vertAlign w:val="superscript"/>
        </w:rPr>
        <w:fldChar w:fldCharType="separate"/>
      </w:r>
      <w:r w:rsidRPr="00DE096C">
        <w:rPr>
          <w:rStyle w:val="af0"/>
          <w:bCs/>
          <w:color w:val="002060"/>
          <w:sz w:val="16"/>
          <w:szCs w:val="16"/>
          <w:vertAlign w:val="superscript"/>
        </w:rPr>
        <w:t>67</w:t>
      </w:r>
      <w:r w:rsidR="009D3CAD" w:rsidRPr="00DE096C">
        <w:rPr>
          <w:bCs/>
          <w:color w:val="002060"/>
          <w:sz w:val="16"/>
          <w:szCs w:val="16"/>
          <w:vertAlign w:val="superscript"/>
        </w:rPr>
        <w:fldChar w:fldCharType="end"/>
      </w:r>
      <w:r w:rsidRPr="00DE096C">
        <w:rPr>
          <w:bCs/>
          <w:color w:val="002060"/>
          <w:sz w:val="16"/>
          <w:szCs w:val="16"/>
        </w:rPr>
        <w:t>.</w:t>
      </w:r>
    </w:p>
    <w:p w14:paraId="1BC5D964" w14:textId="77777777" w:rsidR="00562E95" w:rsidRPr="00DE096C" w:rsidRDefault="00562E95" w:rsidP="00D45A46">
      <w:pPr>
        <w:pStyle w:val="ae"/>
        <w:spacing w:before="0" w:beforeAutospacing="0" w:after="0" w:afterAutospacing="0"/>
        <w:jc w:val="both"/>
        <w:rPr>
          <w:bCs/>
          <w:color w:val="002060"/>
          <w:sz w:val="16"/>
          <w:szCs w:val="16"/>
        </w:rPr>
      </w:pPr>
      <w:r w:rsidRPr="00DE096C">
        <w:rPr>
          <w:bCs/>
          <w:color w:val="002060"/>
          <w:sz w:val="16"/>
          <w:szCs w:val="16"/>
        </w:rPr>
        <w:t>Поставки снарядов начинались уже с января 1915 г. в количестве 300 тыс. в месяц и, увеличиваясь постепенно, доходили в сентябре 1915 г. до 1 млн. штук. «Изменить такой порядок поставки, — утверждает А. П. Вернандер, — возможным не представлялось; как мне было доложено, переговоры по этому вопросу к положительным результатам не привели и, по-видимому, сила производительности наших заводов в то время была использована вполне»</w:t>
      </w:r>
      <w:bookmarkStart w:id="161" w:name="68r"/>
      <w:bookmarkEnd w:id="161"/>
      <w:r w:rsidR="009D3CAD" w:rsidRPr="00DE096C">
        <w:rPr>
          <w:bCs/>
          <w:color w:val="002060"/>
          <w:sz w:val="16"/>
          <w:szCs w:val="16"/>
          <w:vertAlign w:val="superscript"/>
        </w:rPr>
        <w:fldChar w:fldCharType="begin"/>
      </w:r>
      <w:r w:rsidRPr="00DE096C">
        <w:rPr>
          <w:bCs/>
          <w:color w:val="002060"/>
          <w:sz w:val="16"/>
          <w:szCs w:val="16"/>
          <w:vertAlign w:val="superscript"/>
        </w:rPr>
        <w:instrText xml:space="preserve"> HYPERLINK "http://sergeyhry.narod.ru/txt/sidorov_a_l/econom_rus_ww1_002.htm" \l "68p" </w:instrText>
      </w:r>
      <w:r w:rsidR="009D3CAD" w:rsidRPr="00DE096C">
        <w:rPr>
          <w:bCs/>
          <w:color w:val="002060"/>
          <w:sz w:val="16"/>
          <w:szCs w:val="16"/>
          <w:vertAlign w:val="superscript"/>
        </w:rPr>
      </w:r>
      <w:r w:rsidR="009D3CAD" w:rsidRPr="00DE096C">
        <w:rPr>
          <w:bCs/>
          <w:color w:val="002060"/>
          <w:sz w:val="16"/>
          <w:szCs w:val="16"/>
          <w:vertAlign w:val="superscript"/>
        </w:rPr>
        <w:fldChar w:fldCharType="separate"/>
      </w:r>
      <w:r w:rsidRPr="00DE096C">
        <w:rPr>
          <w:rStyle w:val="af0"/>
          <w:bCs/>
          <w:color w:val="002060"/>
          <w:sz w:val="16"/>
          <w:szCs w:val="16"/>
          <w:vertAlign w:val="superscript"/>
        </w:rPr>
        <w:t>68</w:t>
      </w:r>
      <w:r w:rsidR="009D3CAD" w:rsidRPr="00DE096C">
        <w:rPr>
          <w:bCs/>
          <w:color w:val="002060"/>
          <w:sz w:val="16"/>
          <w:szCs w:val="16"/>
          <w:vertAlign w:val="superscript"/>
        </w:rPr>
        <w:fldChar w:fldCharType="end"/>
      </w:r>
      <w:r w:rsidRPr="00DE096C">
        <w:rPr>
          <w:bCs/>
          <w:color w:val="002060"/>
          <w:sz w:val="16"/>
          <w:szCs w:val="16"/>
        </w:rPr>
        <w:t>.</w:t>
      </w:r>
    </w:p>
    <w:p w14:paraId="1031931E" w14:textId="77777777" w:rsidR="00562E95" w:rsidRPr="00DE096C" w:rsidRDefault="00562E95" w:rsidP="00D45A46">
      <w:pPr>
        <w:pStyle w:val="ae"/>
        <w:spacing w:before="0" w:beforeAutospacing="0" w:after="0" w:afterAutospacing="0"/>
        <w:jc w:val="both"/>
        <w:rPr>
          <w:bCs/>
          <w:color w:val="002060"/>
          <w:sz w:val="16"/>
          <w:szCs w:val="16"/>
        </w:rPr>
      </w:pPr>
      <w:r w:rsidRPr="00DE096C">
        <w:rPr>
          <w:bCs/>
          <w:color w:val="002060"/>
          <w:sz w:val="16"/>
          <w:szCs w:val="16"/>
        </w:rPr>
        <w:t>Это утверждение А. П. Вернандера совершенно неправильно, оно продиктовано стремлением оправдаться перед Верховной комиссией и «доказать», что уже осенью 1914 г., еще до предложения начальника штаба Ставки, были приняты все меры к увеличению производства снарядов. Вернандеру «представлялось сомнительным» дальнейшее увеличение числа заводов, способных изготовлять снаряды. В действительности же Военное министерство лишь сделало первый робкий шаг, не отдавая себе отчета в том, что к организации снабжения армий артиллерийскими снарядами надо привлекать не десятки, а многие сотни, если не тысячи предприятий страны.</w:t>
      </w:r>
    </w:p>
    <w:p w14:paraId="58E5ABCE" w14:textId="77777777" w:rsidR="00562E95" w:rsidRPr="00DE096C" w:rsidRDefault="00562E95" w:rsidP="00D45A46">
      <w:pPr>
        <w:pStyle w:val="ae"/>
        <w:spacing w:before="0" w:beforeAutospacing="0" w:after="0" w:afterAutospacing="0"/>
        <w:jc w:val="both"/>
        <w:rPr>
          <w:bCs/>
          <w:color w:val="002060"/>
          <w:sz w:val="16"/>
          <w:szCs w:val="16"/>
        </w:rPr>
      </w:pPr>
      <w:r w:rsidRPr="00DE096C">
        <w:rPr>
          <w:bCs/>
          <w:color w:val="002060"/>
          <w:sz w:val="16"/>
          <w:szCs w:val="16"/>
        </w:rPr>
        <w:t>Военное министерство пыталось разрешить проблему снарядов, действуя по двум направлениям. Заказы размещались за границей и внутри страны, среди крупнейших предприятий русской промышленности, так или иначе связанных с артиллерийским ведомством еще до войны. Уже с первых шагов большая половина заказов была размещена за границей. Никакого «широкого» привлечения русской промышленности к работе на оборону не производилось, заказы на снаряды были выданы узкой верхушке крупнейших заводов. Из справки, представленной начальником ГАУ Д. Д. Кузьминым-Караваевым для Военного министерства 20 октября 1914 г., видно, какие заводы приняли заказы, в каком количестве и на каких условиях. Срок поставки был ограничен октябрем 1915 г. На больший срок выдавать заказы боялись (18524).</w:t>
      </w:r>
    </w:p>
    <w:p w14:paraId="7DFCE9BB" w14:textId="77777777" w:rsidR="00562E95" w:rsidRPr="00DE096C" w:rsidRDefault="00562E95" w:rsidP="00D45A46">
      <w:pPr>
        <w:pStyle w:val="ae"/>
        <w:spacing w:before="0" w:beforeAutospacing="0" w:after="0" w:afterAutospacing="0"/>
        <w:jc w:val="both"/>
        <w:rPr>
          <w:bCs/>
          <w:color w:val="002060"/>
          <w:sz w:val="16"/>
          <w:szCs w:val="16"/>
        </w:rPr>
      </w:pPr>
    </w:p>
    <w:p w14:paraId="2817559F" w14:textId="2397A863" w:rsidR="003F7087" w:rsidRPr="00DE096C" w:rsidRDefault="003F7087" w:rsidP="00D45A46">
      <w:pPr>
        <w:jc w:val="both"/>
        <w:rPr>
          <w:bCs/>
          <w:color w:val="002060"/>
          <w:sz w:val="16"/>
          <w:szCs w:val="16"/>
        </w:rPr>
      </w:pPr>
      <w:r w:rsidRPr="00DE096C">
        <w:rPr>
          <w:bCs/>
          <w:color w:val="002060"/>
          <w:sz w:val="16"/>
          <w:szCs w:val="16"/>
          <w:lang w:bidi="en-US"/>
        </w:rPr>
        <w:t>9 (22) сентября 1914 г. военный министр Сухомлинов созвал совещание финансистов и промышленников, прося их помощи в ускорении снабжения армии. Было размещено несколько нерешительных предварительных заказов, но большинство промышленников заявили, что им придется сложить много нового оборудования и переоборудовать свои заводы, требуя больших денежных авансов (23525).</w:t>
      </w:r>
    </w:p>
    <w:p w14:paraId="223C89F5" w14:textId="77777777" w:rsidR="003F7087" w:rsidRPr="00DE096C" w:rsidRDefault="003F7087" w:rsidP="00D45A46">
      <w:pPr>
        <w:jc w:val="both"/>
        <w:rPr>
          <w:bCs/>
          <w:color w:val="002060"/>
          <w:sz w:val="16"/>
          <w:szCs w:val="16"/>
        </w:rPr>
      </w:pPr>
    </w:p>
    <w:p w14:paraId="6A9F9A5A" w14:textId="0ED05E0D" w:rsidR="00562E95" w:rsidRPr="00DE096C" w:rsidRDefault="00562E95" w:rsidP="00D45A46">
      <w:pPr>
        <w:jc w:val="both"/>
        <w:rPr>
          <w:bCs/>
          <w:color w:val="002060"/>
          <w:sz w:val="16"/>
          <w:szCs w:val="16"/>
        </w:rPr>
      </w:pPr>
      <w:r w:rsidRPr="00DE096C">
        <w:rPr>
          <w:bCs/>
          <w:color w:val="002060"/>
          <w:sz w:val="16"/>
          <w:szCs w:val="16"/>
        </w:rPr>
        <w:t xml:space="preserve">9 </w:t>
      </w:r>
      <w:r w:rsidR="00046EB1" w:rsidRPr="00DE096C">
        <w:rPr>
          <w:bCs/>
          <w:color w:val="002060"/>
          <w:sz w:val="16"/>
          <w:szCs w:val="16"/>
        </w:rPr>
        <w:t xml:space="preserve">(22) </w:t>
      </w:r>
      <w:r w:rsidRPr="00DE096C">
        <w:rPr>
          <w:bCs/>
          <w:color w:val="002060"/>
          <w:sz w:val="16"/>
          <w:szCs w:val="16"/>
        </w:rPr>
        <w:t>сентября 1914 Военный министр вызвал к себе представителей фирм, и они тут только узнали, какова действительная нужда в снарядах и что в создавшихся обстоятельствах для правительства «вопрос о цене имеет второстепенное значение». Прибывший на это совещание и.д. начальника Генерального штаба «с последней телеграммой о требованиях на снаряды, полученной недавно из Ставки… стал чуть ли не кричать с пафосом и негодованием на мизерность предполагаемых поставок по сравнению с требованиями армии и заявил о критической необходимости получать снарядов втрое больше, какой угодно ценой» [Сидоров 1973: 24–26] (18408).</w:t>
      </w:r>
    </w:p>
    <w:p w14:paraId="07F14C6F" w14:textId="77777777" w:rsidR="00562E95" w:rsidRPr="00DE096C" w:rsidRDefault="00562E95" w:rsidP="00D45A46">
      <w:pPr>
        <w:jc w:val="both"/>
        <w:rPr>
          <w:bCs/>
          <w:color w:val="002060"/>
          <w:sz w:val="16"/>
          <w:szCs w:val="16"/>
        </w:rPr>
      </w:pPr>
    </w:p>
    <w:p w14:paraId="127B6A9E" w14:textId="77777777" w:rsidR="00046EB1" w:rsidRPr="00DE096C" w:rsidRDefault="00046EB1" w:rsidP="00D45A46">
      <w:pPr>
        <w:autoSpaceDE/>
        <w:autoSpaceDN/>
        <w:adjustRightInd/>
        <w:jc w:val="both"/>
        <w:rPr>
          <w:bCs/>
          <w:color w:val="002060"/>
          <w:sz w:val="16"/>
          <w:szCs w:val="16"/>
        </w:rPr>
      </w:pPr>
      <w:r w:rsidRPr="00DE096C">
        <w:rPr>
          <w:bCs/>
          <w:color w:val="002060"/>
          <w:sz w:val="16"/>
          <w:szCs w:val="16"/>
        </w:rPr>
        <w:t>9 (22) сентября 1914 г. был заключен сонтракт с Путиловским заводом на на 32 гаубицы Шнейдера. Общая стоимость гаубиц составила 2352 тыс. рублей.</w:t>
      </w:r>
    </w:p>
    <w:p w14:paraId="23B5DA1C" w14:textId="77777777" w:rsidR="00046EB1" w:rsidRPr="00DE096C" w:rsidRDefault="00046EB1" w:rsidP="00D45A46">
      <w:pPr>
        <w:autoSpaceDE/>
        <w:autoSpaceDN/>
        <w:adjustRightInd/>
        <w:jc w:val="both"/>
        <w:rPr>
          <w:bCs/>
          <w:color w:val="002060"/>
          <w:sz w:val="16"/>
          <w:szCs w:val="16"/>
        </w:rPr>
      </w:pPr>
      <w:r w:rsidRPr="00DE096C">
        <w:rPr>
          <w:bCs/>
          <w:color w:val="002060"/>
          <w:sz w:val="16"/>
          <w:szCs w:val="16"/>
        </w:rPr>
        <w:t>После первых недель маневренной войны войска враждующих сторон укрылись в окопах, и началась позиционная война. Русская армия не имела орудий калибра более 152 мм. Русские военные агенты рыскали по свету и хватали за огромные деньги все, что попадалось под руку от вполне приемлемых 203-мм гаубиц Виккерса до абсолютно негодных 203-мм японских гаубиц обр. 1912 г. А Путиловский завод набрал столько заказов, что не мог выполнить и половину их. Национализация завода в 1915 г. ситуацию не изменила. В результате к 1 января 1918 г. было изготовлено лишь несколько полуфабрикатов, из которых нельзя было собрать даже одну 203-мм гаубицу (12705)</w:t>
      </w:r>
    </w:p>
    <w:p w14:paraId="127D2C2E" w14:textId="77777777" w:rsidR="00046EB1" w:rsidRPr="00DE096C" w:rsidRDefault="00046EB1" w:rsidP="00D45A46">
      <w:pPr>
        <w:autoSpaceDE/>
        <w:autoSpaceDN/>
        <w:adjustRightInd/>
        <w:jc w:val="both"/>
        <w:rPr>
          <w:bCs/>
          <w:color w:val="002060"/>
          <w:sz w:val="16"/>
          <w:szCs w:val="16"/>
        </w:rPr>
      </w:pPr>
    </w:p>
    <w:p w14:paraId="3EBED0A9" w14:textId="33AC746C" w:rsidR="00883B40" w:rsidRPr="00DE096C" w:rsidRDefault="00883B40" w:rsidP="00D45A46">
      <w:pPr>
        <w:jc w:val="both"/>
        <w:rPr>
          <w:bCs/>
          <w:i/>
          <w:color w:val="002060"/>
          <w:sz w:val="16"/>
          <w:szCs w:val="16"/>
        </w:rPr>
      </w:pPr>
      <w:r w:rsidRPr="00DE096C">
        <w:rPr>
          <w:bCs/>
          <w:i/>
          <w:color w:val="002060"/>
          <w:sz w:val="16"/>
          <w:szCs w:val="16"/>
        </w:rPr>
        <w:t>Авиация:</w:t>
      </w:r>
    </w:p>
    <w:p w14:paraId="73519781" w14:textId="77777777" w:rsidR="00883B40" w:rsidRPr="00DE096C" w:rsidRDefault="00883B40" w:rsidP="00D45A46">
      <w:pPr>
        <w:jc w:val="both"/>
        <w:rPr>
          <w:bCs/>
          <w:i/>
          <w:color w:val="002060"/>
          <w:sz w:val="16"/>
          <w:szCs w:val="16"/>
        </w:rPr>
      </w:pPr>
    </w:p>
    <w:p w14:paraId="1C2E273A" w14:textId="0306A559" w:rsidR="00883B40" w:rsidRPr="00DE096C" w:rsidRDefault="00883B40" w:rsidP="00D45A46">
      <w:pPr>
        <w:jc w:val="both"/>
        <w:rPr>
          <w:bCs/>
          <w:color w:val="002060"/>
          <w:sz w:val="16"/>
          <w:szCs w:val="16"/>
        </w:rPr>
      </w:pPr>
      <w:r w:rsidRPr="00DE096C">
        <w:rPr>
          <w:bCs/>
          <w:color w:val="002060"/>
          <w:sz w:val="16"/>
          <w:szCs w:val="16"/>
        </w:rPr>
        <w:t xml:space="preserve">9 </w:t>
      </w:r>
      <w:r w:rsidR="00A22FBF" w:rsidRPr="00DE096C">
        <w:rPr>
          <w:bCs/>
          <w:color w:val="002060"/>
          <w:sz w:val="16"/>
          <w:szCs w:val="16"/>
        </w:rPr>
        <w:t xml:space="preserve">(22) </w:t>
      </w:r>
      <w:r w:rsidRPr="00DE096C">
        <w:rPr>
          <w:bCs/>
          <w:color w:val="002060"/>
          <w:sz w:val="16"/>
          <w:szCs w:val="16"/>
        </w:rPr>
        <w:t xml:space="preserve">сентября 1914 г. при выполнении </w:t>
      </w:r>
      <w:bookmarkStart w:id="162" w:name="bookmark10"/>
      <w:r w:rsidRPr="00DE096C">
        <w:rPr>
          <w:bCs/>
          <w:color w:val="002060"/>
          <w:sz w:val="16"/>
          <w:szCs w:val="16"/>
        </w:rPr>
        <w:t>разведывательного полета в районе оз. Мейер (Восточная Пруссия) в зоне действия Северо-Западного фронта (СЗФ) военный летчик 28-го корпусного авиационного отряда (КАО) поручик А.И. Семенов (с наблюдателем корнетом Николаевым) обнаружил неприятельский аппарат. Маневрируя в опасной близи от противника, Семенов вынудил его пойти на снижение и изменить направление полета в район русских позиций. Там немецкий аэроплан был обстрелян нашей пехотой и упал возле озера (23405).</w:t>
      </w:r>
      <w:bookmarkEnd w:id="162"/>
    </w:p>
    <w:p w14:paraId="76ED8EFE" w14:textId="3957AB40" w:rsidR="00AD22A8" w:rsidRPr="00DE096C" w:rsidRDefault="00AD22A8" w:rsidP="00D45A46">
      <w:pPr>
        <w:jc w:val="both"/>
        <w:rPr>
          <w:bCs/>
          <w:i/>
          <w:color w:val="002060"/>
          <w:sz w:val="16"/>
          <w:szCs w:val="16"/>
        </w:rPr>
      </w:pPr>
      <w:r w:rsidRPr="00DE096C">
        <w:rPr>
          <w:bCs/>
          <w:i/>
          <w:color w:val="002060"/>
          <w:sz w:val="16"/>
          <w:szCs w:val="16"/>
        </w:rPr>
        <w:t>Воздухоплавание:</w:t>
      </w:r>
    </w:p>
    <w:p w14:paraId="1293ADD2" w14:textId="77777777" w:rsidR="00AD22A8" w:rsidRPr="00DE096C" w:rsidRDefault="00AD22A8" w:rsidP="00D45A46">
      <w:pPr>
        <w:jc w:val="both"/>
        <w:rPr>
          <w:bCs/>
          <w:color w:val="002060"/>
          <w:sz w:val="16"/>
          <w:szCs w:val="16"/>
        </w:rPr>
      </w:pPr>
    </w:p>
    <w:p w14:paraId="7AFF3584" w14:textId="00CEA86F" w:rsidR="00AD22A8" w:rsidRPr="00DE096C" w:rsidRDefault="00AD22A8" w:rsidP="00D45A46">
      <w:pPr>
        <w:jc w:val="both"/>
        <w:rPr>
          <w:bCs/>
          <w:color w:val="002060"/>
          <w:sz w:val="16"/>
          <w:szCs w:val="16"/>
        </w:rPr>
      </w:pPr>
      <w:r w:rsidRPr="00DE096C">
        <w:rPr>
          <w:rStyle w:val="43"/>
          <w:rFonts w:ascii="Times New Roman" w:hAnsi="Times New Roman" w:cs="Times New Roman"/>
          <w:bCs/>
          <w:color w:val="002060"/>
          <w:w w:val="100"/>
          <w:sz w:val="16"/>
          <w:szCs w:val="16"/>
        </w:rPr>
        <w:t xml:space="preserve">9 (22) сентября 1914 </w:t>
      </w:r>
      <w:r w:rsidR="00046EB1" w:rsidRPr="00DE096C">
        <w:rPr>
          <w:rStyle w:val="43"/>
          <w:rFonts w:ascii="Times New Roman" w:hAnsi="Times New Roman" w:cs="Times New Roman"/>
          <w:bCs/>
          <w:color w:val="002060"/>
          <w:w w:val="100"/>
          <w:sz w:val="16"/>
          <w:szCs w:val="16"/>
        </w:rPr>
        <w:t xml:space="preserve">г. </w:t>
      </w:r>
      <w:r w:rsidRPr="00DE096C">
        <w:rPr>
          <w:rStyle w:val="43"/>
          <w:rFonts w:ascii="Times New Roman" w:hAnsi="Times New Roman" w:cs="Times New Roman"/>
          <w:bCs/>
          <w:color w:val="002060"/>
          <w:w w:val="100"/>
          <w:sz w:val="16"/>
          <w:szCs w:val="16"/>
        </w:rPr>
        <w:t>Альбатрос перелетел в Брест-Литовск на ремонт и вернулся в Белосток 28 сентября.</w:t>
      </w:r>
    </w:p>
    <w:p w14:paraId="2BB5081C" w14:textId="77777777" w:rsidR="00AD22A8" w:rsidRPr="00DE096C" w:rsidRDefault="00AD22A8" w:rsidP="00D45A46">
      <w:pPr>
        <w:jc w:val="both"/>
        <w:rPr>
          <w:bCs/>
          <w:color w:val="002060"/>
          <w:sz w:val="16"/>
          <w:szCs w:val="16"/>
        </w:rPr>
      </w:pPr>
      <w:r w:rsidRPr="00DE096C">
        <w:rPr>
          <w:rStyle w:val="43"/>
          <w:rFonts w:ascii="Times New Roman" w:hAnsi="Times New Roman" w:cs="Times New Roman"/>
          <w:bCs/>
          <w:color w:val="002060"/>
          <w:w w:val="100"/>
          <w:sz w:val="16"/>
          <w:szCs w:val="16"/>
        </w:rPr>
        <w:t>В конце сентября подполковник Б.В. Голубов убыл в 3-ю воздухоплавательную роту для под</w:t>
      </w:r>
      <w:r w:rsidRPr="00DE096C">
        <w:rPr>
          <w:rStyle w:val="43"/>
          <w:rFonts w:ascii="Times New Roman" w:hAnsi="Times New Roman" w:cs="Times New Roman"/>
          <w:bCs/>
          <w:color w:val="002060"/>
          <w:w w:val="100"/>
          <w:sz w:val="16"/>
          <w:szCs w:val="16"/>
        </w:rPr>
        <w:softHyphen/>
        <w:t>готовки «Буревестника» и «Астры» к боевым действиям. Командиром «Альбатроса» назна</w:t>
      </w:r>
      <w:r w:rsidRPr="00DE096C">
        <w:rPr>
          <w:rStyle w:val="43"/>
          <w:rFonts w:ascii="Times New Roman" w:hAnsi="Times New Roman" w:cs="Times New Roman"/>
          <w:bCs/>
          <w:color w:val="002060"/>
          <w:w w:val="100"/>
          <w:sz w:val="16"/>
          <w:szCs w:val="16"/>
        </w:rPr>
        <w:softHyphen/>
        <w:t>чили штабс-капитана А.И. Шабского. 2, 3 и 6 октября он пытался повести дирижабль на Лет- цен. Четыре раза дирижаблю помешала плохая погода, один раз он заблудился и один раз его обстреляли свои войска.</w:t>
      </w:r>
    </w:p>
    <w:p w14:paraId="5B04D716" w14:textId="77777777" w:rsidR="00AD22A8" w:rsidRPr="00DE096C" w:rsidRDefault="00AD22A8" w:rsidP="00D45A46">
      <w:pPr>
        <w:jc w:val="both"/>
        <w:rPr>
          <w:rStyle w:val="43"/>
          <w:rFonts w:ascii="Times New Roman" w:hAnsi="Times New Roman" w:cs="Times New Roman"/>
          <w:bCs/>
          <w:color w:val="002060"/>
          <w:w w:val="100"/>
          <w:sz w:val="16"/>
          <w:szCs w:val="16"/>
        </w:rPr>
      </w:pPr>
      <w:r w:rsidRPr="00DE096C">
        <w:rPr>
          <w:rStyle w:val="43"/>
          <w:rFonts w:ascii="Times New Roman" w:hAnsi="Times New Roman" w:cs="Times New Roman"/>
          <w:bCs/>
          <w:color w:val="002060"/>
          <w:w w:val="100"/>
          <w:sz w:val="16"/>
          <w:szCs w:val="16"/>
        </w:rPr>
        <w:t>В ночь на 13 октября дирижабль вновь вы</w:t>
      </w:r>
      <w:r w:rsidRPr="00DE096C">
        <w:rPr>
          <w:rStyle w:val="43"/>
          <w:rFonts w:ascii="Times New Roman" w:hAnsi="Times New Roman" w:cs="Times New Roman"/>
          <w:bCs/>
          <w:color w:val="002060"/>
          <w:w w:val="100"/>
          <w:sz w:val="16"/>
          <w:szCs w:val="16"/>
        </w:rPr>
        <w:softHyphen/>
        <w:t>летел на Летцен. Попав в сильный туман уже на взлёте, А.И. Шабский потерял ориентиров</w:t>
      </w:r>
      <w:r w:rsidRPr="00DE096C">
        <w:rPr>
          <w:rStyle w:val="43"/>
          <w:rFonts w:ascii="Times New Roman" w:hAnsi="Times New Roman" w:cs="Times New Roman"/>
          <w:bCs/>
          <w:color w:val="002060"/>
          <w:w w:val="100"/>
          <w:sz w:val="16"/>
          <w:szCs w:val="16"/>
        </w:rPr>
        <w:softHyphen/>
        <w:t>ку. Проблуждав в тумане около пяти часов, он, опасаясь попасть к противнику, был вынужден опуститься на поле. При посадке «Альбатрос» на</w:t>
      </w:r>
      <w:r w:rsidRPr="00DE096C">
        <w:rPr>
          <w:rStyle w:val="43"/>
          <w:rFonts w:ascii="Times New Roman" w:hAnsi="Times New Roman" w:cs="Times New Roman"/>
          <w:bCs/>
          <w:color w:val="002060"/>
          <w:w w:val="100"/>
          <w:sz w:val="16"/>
          <w:szCs w:val="16"/>
        </w:rPr>
        <w:softHyphen/>
        <w:t>летел на деревья, порвал оболочку и разбил гон</w:t>
      </w:r>
      <w:r w:rsidRPr="00DE096C">
        <w:rPr>
          <w:rStyle w:val="43"/>
          <w:rFonts w:ascii="Times New Roman" w:hAnsi="Times New Roman" w:cs="Times New Roman"/>
          <w:bCs/>
          <w:color w:val="002060"/>
          <w:w w:val="100"/>
          <w:sz w:val="16"/>
          <w:szCs w:val="16"/>
        </w:rPr>
        <w:softHyphen/>
        <w:t>долу при тренаже. Экипаж отделался ушибами. Авария произошла в 30 км от немецких позиций близ местечка Гоннондзь. Восстанавливать «Аль</w:t>
      </w:r>
      <w:r w:rsidRPr="00DE096C">
        <w:rPr>
          <w:rStyle w:val="43"/>
          <w:rFonts w:ascii="Times New Roman" w:hAnsi="Times New Roman" w:cs="Times New Roman"/>
          <w:bCs/>
          <w:color w:val="002060"/>
          <w:w w:val="100"/>
          <w:sz w:val="16"/>
          <w:szCs w:val="16"/>
        </w:rPr>
        <w:softHyphen/>
        <w:t>батрос» не стали, так как от него уцелели лишь моторы (20120).</w:t>
      </w:r>
    </w:p>
    <w:p w14:paraId="63BC5AAE" w14:textId="77777777" w:rsidR="00AD22A8" w:rsidRPr="00DE096C" w:rsidRDefault="00AD22A8" w:rsidP="00D45A46">
      <w:pPr>
        <w:jc w:val="both"/>
        <w:rPr>
          <w:bCs/>
          <w:color w:val="002060"/>
          <w:sz w:val="16"/>
          <w:szCs w:val="16"/>
        </w:rPr>
      </w:pPr>
    </w:p>
    <w:p w14:paraId="4BEFB06F" w14:textId="1D67C4C7" w:rsidR="00AD22A8" w:rsidRPr="00DE096C" w:rsidRDefault="00AD22A8" w:rsidP="00D45A46">
      <w:pPr>
        <w:jc w:val="both"/>
        <w:rPr>
          <w:bCs/>
          <w:color w:val="002060"/>
          <w:sz w:val="16"/>
          <w:szCs w:val="16"/>
        </w:rPr>
      </w:pPr>
      <w:r w:rsidRPr="00DE096C">
        <w:rPr>
          <w:rStyle w:val="43"/>
          <w:rFonts w:ascii="Times New Roman" w:hAnsi="Times New Roman" w:cs="Times New Roman"/>
          <w:bCs/>
          <w:color w:val="002060"/>
          <w:w w:val="100"/>
          <w:sz w:val="16"/>
          <w:szCs w:val="16"/>
        </w:rPr>
        <w:t xml:space="preserve">9 (22) сентября 1914 </w:t>
      </w:r>
      <w:r w:rsidR="00046EB1" w:rsidRPr="00DE096C">
        <w:rPr>
          <w:rStyle w:val="43"/>
          <w:rFonts w:ascii="Times New Roman" w:hAnsi="Times New Roman" w:cs="Times New Roman"/>
          <w:bCs/>
          <w:color w:val="002060"/>
          <w:w w:val="100"/>
          <w:sz w:val="16"/>
          <w:szCs w:val="16"/>
        </w:rPr>
        <w:t xml:space="preserve">г. </w:t>
      </w:r>
      <w:r w:rsidRPr="00DE096C">
        <w:rPr>
          <w:rStyle w:val="43"/>
          <w:rFonts w:ascii="Times New Roman" w:hAnsi="Times New Roman" w:cs="Times New Roman"/>
          <w:bCs/>
          <w:color w:val="002060"/>
          <w:w w:val="100"/>
          <w:sz w:val="16"/>
          <w:szCs w:val="16"/>
        </w:rPr>
        <w:t>Альбатрос перелетел в Брест-Литовск на ремонт и вернулся в Белосток 28 сентября.</w:t>
      </w:r>
    </w:p>
    <w:p w14:paraId="45506964" w14:textId="77777777" w:rsidR="00AD22A8" w:rsidRPr="00DE096C" w:rsidRDefault="00AD22A8" w:rsidP="00D45A46">
      <w:pPr>
        <w:jc w:val="both"/>
        <w:rPr>
          <w:bCs/>
          <w:color w:val="002060"/>
          <w:sz w:val="16"/>
          <w:szCs w:val="16"/>
        </w:rPr>
      </w:pPr>
      <w:r w:rsidRPr="00DE096C">
        <w:rPr>
          <w:rStyle w:val="43"/>
          <w:rFonts w:ascii="Times New Roman" w:hAnsi="Times New Roman" w:cs="Times New Roman"/>
          <w:bCs/>
          <w:color w:val="002060"/>
          <w:w w:val="100"/>
          <w:sz w:val="16"/>
          <w:szCs w:val="16"/>
        </w:rPr>
        <w:t>В конце сентября подполковник Б.В. Голубов убыл в 3-ю воздухоплавательную роту для под</w:t>
      </w:r>
      <w:r w:rsidRPr="00DE096C">
        <w:rPr>
          <w:rStyle w:val="43"/>
          <w:rFonts w:ascii="Times New Roman" w:hAnsi="Times New Roman" w:cs="Times New Roman"/>
          <w:bCs/>
          <w:color w:val="002060"/>
          <w:w w:val="100"/>
          <w:sz w:val="16"/>
          <w:szCs w:val="16"/>
        </w:rPr>
        <w:softHyphen/>
        <w:t>готовки «Буревестника» и «Астры» к боевым действиям. Командиром «Альбатроса» назна</w:t>
      </w:r>
      <w:r w:rsidRPr="00DE096C">
        <w:rPr>
          <w:rStyle w:val="43"/>
          <w:rFonts w:ascii="Times New Roman" w:hAnsi="Times New Roman" w:cs="Times New Roman"/>
          <w:bCs/>
          <w:color w:val="002060"/>
          <w:w w:val="100"/>
          <w:sz w:val="16"/>
          <w:szCs w:val="16"/>
        </w:rPr>
        <w:softHyphen/>
        <w:t>чили штабс-капитана А.И. Шабского. 2, 3 и 6 октября он пытался повести дирижабль на Лет- цен. Четыре раза дирижаблю помешала плохая погода, один раз он заблудился и один раз его обстреляли свои войска (20120).</w:t>
      </w:r>
    </w:p>
    <w:p w14:paraId="38E7FDB7" w14:textId="77777777" w:rsidR="00AD22A8" w:rsidRPr="00DE096C" w:rsidRDefault="00AD22A8" w:rsidP="00D45A46">
      <w:pPr>
        <w:jc w:val="both"/>
        <w:rPr>
          <w:bCs/>
          <w:color w:val="002060"/>
          <w:sz w:val="16"/>
          <w:szCs w:val="16"/>
        </w:rPr>
      </w:pPr>
    </w:p>
    <w:p w14:paraId="2C11818B" w14:textId="59C36F01" w:rsidR="00C90B5D" w:rsidRPr="00DE096C" w:rsidRDefault="00C90B5D" w:rsidP="00D45A46">
      <w:pPr>
        <w:jc w:val="both"/>
        <w:rPr>
          <w:bCs/>
          <w:i/>
          <w:color w:val="002060"/>
          <w:sz w:val="16"/>
          <w:szCs w:val="16"/>
        </w:rPr>
      </w:pPr>
      <w:r w:rsidRPr="00DE096C">
        <w:rPr>
          <w:bCs/>
          <w:i/>
          <w:color w:val="002060"/>
          <w:sz w:val="16"/>
          <w:szCs w:val="16"/>
        </w:rPr>
        <w:t>Авиация и воздухоплавание Англии:</w:t>
      </w:r>
    </w:p>
    <w:p w14:paraId="36A38CB0" w14:textId="77777777" w:rsidR="00C90B5D" w:rsidRPr="00DE096C" w:rsidRDefault="00C90B5D" w:rsidP="00D45A46">
      <w:pPr>
        <w:jc w:val="both"/>
        <w:rPr>
          <w:bCs/>
          <w:color w:val="002060"/>
          <w:sz w:val="16"/>
          <w:szCs w:val="16"/>
        </w:rPr>
      </w:pPr>
    </w:p>
    <w:p w14:paraId="65F4C91C" w14:textId="2C66A074" w:rsidR="00C90B5D" w:rsidRPr="00DE096C" w:rsidRDefault="00C90B5D" w:rsidP="00D45A46">
      <w:pPr>
        <w:jc w:val="both"/>
        <w:rPr>
          <w:bCs/>
          <w:color w:val="002060"/>
          <w:sz w:val="16"/>
          <w:szCs w:val="16"/>
        </w:rPr>
      </w:pPr>
      <w:r w:rsidRPr="00DE096C">
        <w:rPr>
          <w:bCs/>
          <w:color w:val="002060"/>
          <w:sz w:val="16"/>
          <w:szCs w:val="16"/>
        </w:rPr>
        <w:t xml:space="preserve">9 (22) сентября 1914 </w:t>
      </w:r>
      <w:r w:rsidR="00046EB1" w:rsidRPr="00DE096C">
        <w:rPr>
          <w:bCs/>
          <w:color w:val="002060"/>
          <w:sz w:val="16"/>
          <w:szCs w:val="16"/>
        </w:rPr>
        <w:t xml:space="preserve">г. </w:t>
      </w:r>
      <w:r w:rsidRPr="00DE096C">
        <w:rPr>
          <w:bCs/>
          <w:color w:val="002060"/>
          <w:sz w:val="16"/>
          <w:szCs w:val="16"/>
        </w:rPr>
        <w:t>в ходе первого в истории налета британской авиации на Германию самолеты Royal Naval Air Service BE.2 из 3-й эскадрильи, базирующейся в Антверпене , Бельгия атакуют ангары немецких дирижаблей в Кельне и Дюссельдорфе, Германия , но не могут нанести ущерб из-за плохой погоде и отказы от взрыва бомб (20337).</w:t>
      </w:r>
    </w:p>
    <w:p w14:paraId="7AD41A4C" w14:textId="77777777" w:rsidR="00C90B5D" w:rsidRPr="00DE096C" w:rsidRDefault="00C90B5D" w:rsidP="00D45A46">
      <w:pPr>
        <w:jc w:val="both"/>
        <w:rPr>
          <w:bCs/>
          <w:color w:val="002060"/>
          <w:sz w:val="16"/>
          <w:szCs w:val="16"/>
        </w:rPr>
      </w:pPr>
    </w:p>
    <w:p w14:paraId="0660765F" w14:textId="39824EF8" w:rsidR="00C411D7" w:rsidRPr="00DE096C" w:rsidRDefault="00C411D7" w:rsidP="00D45A46">
      <w:pPr>
        <w:jc w:val="both"/>
        <w:rPr>
          <w:bCs/>
          <w:color w:val="002060"/>
          <w:sz w:val="16"/>
          <w:szCs w:val="16"/>
        </w:rPr>
      </w:pPr>
      <w:r w:rsidRPr="00DE096C">
        <w:rPr>
          <w:bCs/>
          <w:color w:val="002060"/>
          <w:sz w:val="16"/>
          <w:szCs w:val="16"/>
        </w:rPr>
        <w:t>9 (22) сентября 1914 ранним утром 4 самолета «Сопвич-Таблоид» стартовали на выполнение задания, целью которого выступала бомбардировка ангаров цеппелинов. Вскоре после старта самолеты разделились на пары, одна из которых направилась в сторону Дюссельдорфа, а вторая — в Кельн. Каждая машина несла по несколько 20-фунтовых бомб, которые были стандартными на вооружении морской авиации. Густой туман простирался на всем пути следования обеих групп самолетов, сводя к минимуму надежду на благополучный исход операции. И действительно, только одному пилоту удалось обнаружить в районе Кельна цель и сбросить бомбы на один из эллингов, которые нанесли ему незначительные повреждения. Цеппелин уцелел (11324).</w:t>
      </w:r>
    </w:p>
    <w:p w14:paraId="3DA9BE2E" w14:textId="77777777" w:rsidR="00C411D7" w:rsidRPr="00DE096C" w:rsidRDefault="00C411D7" w:rsidP="00D45A46">
      <w:pPr>
        <w:jc w:val="both"/>
        <w:rPr>
          <w:bCs/>
          <w:i/>
          <w:color w:val="002060"/>
          <w:sz w:val="16"/>
          <w:szCs w:val="16"/>
        </w:rPr>
      </w:pPr>
    </w:p>
    <w:p w14:paraId="3ACB98E6" w14:textId="77777777" w:rsidR="00C411D7" w:rsidRPr="00DE096C" w:rsidRDefault="00C411D7" w:rsidP="00D45A46">
      <w:pPr>
        <w:jc w:val="both"/>
        <w:rPr>
          <w:bCs/>
          <w:i/>
          <w:color w:val="002060"/>
          <w:sz w:val="16"/>
          <w:szCs w:val="16"/>
        </w:rPr>
      </w:pPr>
      <w:r w:rsidRPr="00DE096C">
        <w:rPr>
          <w:bCs/>
          <w:i/>
          <w:color w:val="002060"/>
          <w:sz w:val="16"/>
          <w:szCs w:val="16"/>
        </w:rPr>
        <w:t>За рубежом:</w:t>
      </w:r>
    </w:p>
    <w:p w14:paraId="2FB59250" w14:textId="77777777" w:rsidR="00C411D7" w:rsidRPr="00DE096C" w:rsidRDefault="00C411D7" w:rsidP="00D45A46">
      <w:pPr>
        <w:jc w:val="both"/>
        <w:rPr>
          <w:bCs/>
          <w:i/>
          <w:color w:val="002060"/>
          <w:sz w:val="16"/>
          <w:szCs w:val="16"/>
        </w:rPr>
      </w:pPr>
    </w:p>
    <w:p w14:paraId="5EF9F8D1" w14:textId="77777777" w:rsidR="00562E95" w:rsidRPr="00DE096C" w:rsidRDefault="00562E95" w:rsidP="00D45A46">
      <w:pPr>
        <w:jc w:val="both"/>
        <w:rPr>
          <w:bCs/>
          <w:color w:val="002060"/>
          <w:sz w:val="16"/>
          <w:szCs w:val="16"/>
        </w:rPr>
      </w:pPr>
      <w:r w:rsidRPr="00DE096C">
        <w:rPr>
          <w:bCs/>
          <w:color w:val="002060"/>
          <w:sz w:val="16"/>
          <w:szCs w:val="16"/>
        </w:rPr>
        <w:t>9 (22) сентября в 1914 году три британских крейсера, «Aboukir», «Hogue» и «Cressy» торпедируются и затопляются германской подводной лодкой «U-9» под командованием Отто Веддигена в течение одного часа у берегов Голландии. 1 459 погибших (14777).</w:t>
      </w:r>
    </w:p>
    <w:p w14:paraId="36CB64BC" w14:textId="77777777" w:rsidR="00562E95" w:rsidRPr="00DE096C" w:rsidRDefault="00562E95" w:rsidP="00D45A46">
      <w:pPr>
        <w:jc w:val="both"/>
        <w:rPr>
          <w:bCs/>
          <w:color w:val="002060"/>
          <w:sz w:val="16"/>
          <w:szCs w:val="16"/>
        </w:rPr>
      </w:pPr>
    </w:p>
    <w:p w14:paraId="10878E1D" w14:textId="5D416F06" w:rsidR="00DC2C74" w:rsidRPr="00DE096C" w:rsidRDefault="00DC2C74" w:rsidP="00DC2C74">
      <w:pPr>
        <w:jc w:val="both"/>
        <w:rPr>
          <w:bCs/>
          <w:i/>
          <w:color w:val="002060"/>
          <w:sz w:val="16"/>
          <w:szCs w:val="16"/>
        </w:rPr>
      </w:pPr>
      <w:r>
        <w:rPr>
          <w:bCs/>
          <w:i/>
          <w:color w:val="002060"/>
          <w:sz w:val="16"/>
          <w:szCs w:val="16"/>
        </w:rPr>
        <w:t>Самолетостроение</w:t>
      </w:r>
      <w:r w:rsidRPr="00DE096C">
        <w:rPr>
          <w:bCs/>
          <w:i/>
          <w:color w:val="002060"/>
          <w:sz w:val="16"/>
          <w:szCs w:val="16"/>
        </w:rPr>
        <w:t>:</w:t>
      </w:r>
    </w:p>
    <w:p w14:paraId="3B63A8E8" w14:textId="77777777" w:rsidR="00DC2C74" w:rsidRPr="00DE096C" w:rsidRDefault="00DC2C74" w:rsidP="00DC2C74">
      <w:pPr>
        <w:jc w:val="both"/>
        <w:rPr>
          <w:bCs/>
          <w:i/>
          <w:color w:val="002060"/>
          <w:sz w:val="16"/>
          <w:szCs w:val="16"/>
        </w:rPr>
      </w:pPr>
    </w:p>
    <w:p w14:paraId="269CB894" w14:textId="77777777" w:rsidR="00DC2C74" w:rsidRPr="00B52707" w:rsidRDefault="00DC2C74" w:rsidP="00DC2C74">
      <w:pPr>
        <w:jc w:val="both"/>
        <w:rPr>
          <w:color w:val="0070C0"/>
          <w:sz w:val="16"/>
          <w:szCs w:val="16"/>
        </w:rPr>
      </w:pPr>
      <w:r w:rsidRPr="00B52707">
        <w:rPr>
          <w:color w:val="0070C0"/>
          <w:sz w:val="16"/>
          <w:szCs w:val="16"/>
        </w:rPr>
        <w:t>10 (23) сентября 1914 г., Верховный главнокомандующий потребовал, не считаясь с расходами, довести выпуск пулеметов до 180-202 в месяц. И это была только минимальная потребность действующей армии. Тульский оружейный завод в 1913 г. выпускал в среднем 61 пулемет в месяц (25601).</w:t>
      </w:r>
    </w:p>
    <w:p w14:paraId="6561C860" w14:textId="77777777" w:rsidR="00DC2C74" w:rsidRPr="00B52707" w:rsidRDefault="00DC2C74" w:rsidP="00DC2C74">
      <w:pPr>
        <w:jc w:val="both"/>
        <w:rPr>
          <w:color w:val="0070C0"/>
          <w:sz w:val="16"/>
          <w:szCs w:val="16"/>
        </w:rPr>
      </w:pPr>
    </w:p>
    <w:p w14:paraId="164BB6F6" w14:textId="55506E19" w:rsidR="00DC2C74" w:rsidRPr="00DE096C" w:rsidRDefault="00DC2C74" w:rsidP="00DC2C74">
      <w:pPr>
        <w:jc w:val="both"/>
        <w:rPr>
          <w:bCs/>
          <w:i/>
          <w:color w:val="002060"/>
          <w:sz w:val="16"/>
          <w:szCs w:val="16"/>
        </w:rPr>
      </w:pPr>
      <w:r>
        <w:rPr>
          <w:bCs/>
          <w:i/>
          <w:color w:val="002060"/>
          <w:sz w:val="16"/>
          <w:szCs w:val="16"/>
        </w:rPr>
        <w:t>Авиация</w:t>
      </w:r>
      <w:r w:rsidRPr="00DE096C">
        <w:rPr>
          <w:bCs/>
          <w:i/>
          <w:color w:val="002060"/>
          <w:sz w:val="16"/>
          <w:szCs w:val="16"/>
        </w:rPr>
        <w:t>:</w:t>
      </w:r>
    </w:p>
    <w:p w14:paraId="71B6ADB5" w14:textId="77777777" w:rsidR="00DC2C74" w:rsidRPr="00DE096C" w:rsidRDefault="00DC2C74" w:rsidP="00DC2C74">
      <w:pPr>
        <w:jc w:val="both"/>
        <w:rPr>
          <w:bCs/>
          <w:i/>
          <w:color w:val="002060"/>
          <w:sz w:val="16"/>
          <w:szCs w:val="16"/>
        </w:rPr>
      </w:pPr>
    </w:p>
    <w:p w14:paraId="33D11114" w14:textId="77777777" w:rsidR="00DC2C74" w:rsidRPr="00B52707" w:rsidRDefault="00DC2C74" w:rsidP="00DC2C74">
      <w:pPr>
        <w:jc w:val="both"/>
        <w:rPr>
          <w:color w:val="0070C0"/>
          <w:sz w:val="16"/>
          <w:szCs w:val="16"/>
        </w:rPr>
      </w:pPr>
      <w:r w:rsidRPr="00B52707">
        <w:rPr>
          <w:color w:val="0070C0"/>
          <w:sz w:val="16"/>
          <w:szCs w:val="16"/>
        </w:rPr>
        <w:t>10-12 (23-25) сентября 1914 года (че</w:t>
      </w:r>
      <w:r w:rsidRPr="00B52707">
        <w:rPr>
          <w:color w:val="0070C0"/>
          <w:sz w:val="16"/>
          <w:szCs w:val="16"/>
        </w:rPr>
        <w:softHyphen/>
        <w:t>рез месяц после начала войны!) во время штурма форта Камн-де-Ромен солдаты 16-го сапер</w:t>
      </w:r>
      <w:r w:rsidRPr="00B52707">
        <w:rPr>
          <w:color w:val="0070C0"/>
          <w:sz w:val="16"/>
          <w:szCs w:val="16"/>
        </w:rPr>
        <w:softHyphen/>
        <w:t>ного батальона проводили полевые (фактически — фронтовые) испытания огнеметов — применяли их для стрельбы по амбразурам форта. Германские вой</w:t>
      </w:r>
      <w:r w:rsidRPr="00B52707">
        <w:rPr>
          <w:color w:val="0070C0"/>
          <w:sz w:val="16"/>
          <w:szCs w:val="16"/>
        </w:rPr>
        <w:softHyphen/>
        <w:t>ска также применили огнемет на поле боя в ходе Аргоннского сражения в октябре 1914 года, но эти фак</w:t>
      </w:r>
      <w:r w:rsidRPr="00B52707">
        <w:rPr>
          <w:color w:val="0070C0"/>
          <w:sz w:val="16"/>
          <w:szCs w:val="16"/>
        </w:rPr>
        <w:softHyphen/>
        <w:t>ты остались тогда практически незамеченными вою</w:t>
      </w:r>
      <w:r w:rsidRPr="00B52707">
        <w:rPr>
          <w:color w:val="0070C0"/>
          <w:sz w:val="16"/>
          <w:szCs w:val="16"/>
        </w:rPr>
        <w:softHyphen/>
        <w:t>ющими сторонами (25021).</w:t>
      </w:r>
    </w:p>
    <w:p w14:paraId="7688F6AB" w14:textId="77777777" w:rsidR="00DC2C74" w:rsidRPr="00B52707" w:rsidRDefault="00DC2C74" w:rsidP="00DC2C74">
      <w:pPr>
        <w:jc w:val="both"/>
        <w:rPr>
          <w:color w:val="0070C0"/>
          <w:sz w:val="16"/>
          <w:szCs w:val="16"/>
        </w:rPr>
      </w:pPr>
    </w:p>
    <w:p w14:paraId="10C94E84" w14:textId="6E7CA271" w:rsidR="00DC2C74" w:rsidRPr="00DE096C" w:rsidRDefault="00DC2C74" w:rsidP="00DC2C74">
      <w:pPr>
        <w:jc w:val="both"/>
        <w:rPr>
          <w:bCs/>
          <w:i/>
          <w:color w:val="002060"/>
          <w:sz w:val="16"/>
          <w:szCs w:val="16"/>
        </w:rPr>
      </w:pPr>
      <w:r>
        <w:rPr>
          <w:bCs/>
          <w:i/>
          <w:color w:val="002060"/>
          <w:sz w:val="16"/>
          <w:szCs w:val="16"/>
        </w:rPr>
        <w:t>Морская авиация</w:t>
      </w:r>
      <w:r w:rsidRPr="00DE096C">
        <w:rPr>
          <w:bCs/>
          <w:i/>
          <w:color w:val="002060"/>
          <w:sz w:val="16"/>
          <w:szCs w:val="16"/>
        </w:rPr>
        <w:t>:</w:t>
      </w:r>
    </w:p>
    <w:p w14:paraId="15D5CF09" w14:textId="77777777" w:rsidR="00DC2C74" w:rsidRPr="00DE096C" w:rsidRDefault="00DC2C74" w:rsidP="00DC2C74">
      <w:pPr>
        <w:jc w:val="both"/>
        <w:rPr>
          <w:bCs/>
          <w:i/>
          <w:color w:val="002060"/>
          <w:sz w:val="16"/>
          <w:szCs w:val="16"/>
        </w:rPr>
      </w:pPr>
    </w:p>
    <w:p w14:paraId="45FAE51B" w14:textId="77777777" w:rsidR="00DC2C74" w:rsidRPr="00B52707" w:rsidRDefault="00DC2C74" w:rsidP="00DC2C74">
      <w:pPr>
        <w:jc w:val="both"/>
        <w:rPr>
          <w:color w:val="0070C0"/>
          <w:sz w:val="16"/>
          <w:szCs w:val="16"/>
        </w:rPr>
      </w:pPr>
      <w:r w:rsidRPr="00B52707">
        <w:rPr>
          <w:rStyle w:val="ab"/>
          <w:rFonts w:ascii="Times New Roman" w:hAnsi="Times New Roman"/>
          <w:color w:val="0070C0"/>
          <w:spacing w:val="0"/>
          <w:sz w:val="16"/>
          <w:szCs w:val="16"/>
        </w:rPr>
        <w:lastRenderedPageBreak/>
        <w:t xml:space="preserve">10 (23) сентября 1914 г. Я.И. Нагурский и Е.В. Кузнецов возвратились на «Печоре» в Архангельск. Оттуда Ян Иосифович отправился в Санкт-Петербург, в Главное гидрографическое управление, чтобы отчитаться о проделанной работе </w:t>
      </w:r>
      <w:r w:rsidRPr="00B52707">
        <w:rPr>
          <w:rStyle w:val="ab"/>
          <w:rFonts w:ascii="Times New Roman" w:hAnsi="Times New Roman"/>
          <w:color w:val="0070C0"/>
          <w:spacing w:val="0"/>
          <w:sz w:val="16"/>
          <w:szCs w:val="16"/>
          <w:lang w:val="en-US"/>
        </w:rPr>
        <w:t>ii</w:t>
      </w:r>
      <w:r w:rsidRPr="00B52707">
        <w:rPr>
          <w:rStyle w:val="ab"/>
          <w:rFonts w:ascii="Times New Roman" w:hAnsi="Times New Roman"/>
          <w:color w:val="0070C0"/>
          <w:spacing w:val="0"/>
          <w:sz w:val="16"/>
          <w:szCs w:val="16"/>
        </w:rPr>
        <w:t xml:space="preserve"> </w:t>
      </w:r>
      <w:r w:rsidRPr="00B52707">
        <w:rPr>
          <w:rStyle w:val="ab"/>
          <w:rFonts w:ascii="Times New Roman" w:hAnsi="Times New Roman"/>
          <w:color w:val="0070C0"/>
          <w:spacing w:val="0"/>
          <w:sz w:val="16"/>
          <w:szCs w:val="16"/>
          <w:lang w:val="en-US"/>
        </w:rPr>
        <w:t>coca</w:t>
      </w:r>
      <w:r w:rsidRPr="00B52707">
        <w:rPr>
          <w:rStyle w:val="ab"/>
          <w:rFonts w:ascii="Times New Roman" w:hAnsi="Times New Roman"/>
          <w:color w:val="0070C0"/>
          <w:spacing w:val="0"/>
          <w:sz w:val="16"/>
          <w:szCs w:val="16"/>
        </w:rPr>
        <w:t xml:space="preserve"> вить рапорт. В 1915 1916 гг. в журналах «Воздухоплавание» и «Записки по гидрографии» появились публикации с подробным описанием полётов Я.И. Нагурского и анализом возможностей применения авиации в полярных исследованиях. Объёмистую брошюру издал и начальник ГГУ М.Е. Жданко - одни из убеждён</w:t>
      </w:r>
      <w:r w:rsidRPr="00B52707">
        <w:rPr>
          <w:rStyle w:val="ab"/>
          <w:rFonts w:ascii="Times New Roman" w:hAnsi="Times New Roman"/>
          <w:color w:val="0070C0"/>
          <w:spacing w:val="0"/>
          <w:sz w:val="16"/>
          <w:szCs w:val="16"/>
        </w:rPr>
        <w:softHyphen/>
        <w:t>ных сторонников развития полярного воздухоплавания (25653).</w:t>
      </w:r>
    </w:p>
    <w:p w14:paraId="453412E7" w14:textId="77777777" w:rsidR="00DC2C74" w:rsidRPr="00B52707" w:rsidRDefault="00DC2C74" w:rsidP="00DC2C74">
      <w:pPr>
        <w:jc w:val="both"/>
        <w:rPr>
          <w:color w:val="0070C0"/>
          <w:sz w:val="16"/>
          <w:szCs w:val="16"/>
        </w:rPr>
      </w:pPr>
    </w:p>
    <w:p w14:paraId="18DE6DD7" w14:textId="01CBF0E0" w:rsidR="00811FF4" w:rsidRPr="00DE096C" w:rsidRDefault="00811FF4" w:rsidP="00D45A46">
      <w:pPr>
        <w:jc w:val="both"/>
        <w:rPr>
          <w:bCs/>
          <w:i/>
          <w:color w:val="002060"/>
          <w:sz w:val="16"/>
          <w:szCs w:val="16"/>
        </w:rPr>
      </w:pPr>
      <w:r w:rsidRPr="00DE096C">
        <w:rPr>
          <w:bCs/>
          <w:i/>
          <w:color w:val="002060"/>
          <w:sz w:val="16"/>
          <w:szCs w:val="16"/>
        </w:rPr>
        <w:t>За рубежом:</w:t>
      </w:r>
    </w:p>
    <w:p w14:paraId="28289E95" w14:textId="77777777" w:rsidR="00811FF4" w:rsidRPr="00DE096C" w:rsidRDefault="00811FF4" w:rsidP="00D45A46">
      <w:pPr>
        <w:jc w:val="both"/>
        <w:rPr>
          <w:bCs/>
          <w:i/>
          <w:color w:val="002060"/>
          <w:sz w:val="16"/>
          <w:szCs w:val="16"/>
        </w:rPr>
      </w:pPr>
    </w:p>
    <w:p w14:paraId="39588CED" w14:textId="760A9762" w:rsidR="00811FF4" w:rsidRPr="00DE096C" w:rsidRDefault="00811FF4" w:rsidP="00D45A46">
      <w:pPr>
        <w:jc w:val="both"/>
        <w:rPr>
          <w:bCs/>
          <w:color w:val="002060"/>
          <w:sz w:val="16"/>
          <w:szCs w:val="16"/>
        </w:rPr>
      </w:pPr>
      <w:r w:rsidRPr="00DE096C">
        <w:rPr>
          <w:bCs/>
          <w:color w:val="002060"/>
          <w:sz w:val="16"/>
          <w:szCs w:val="16"/>
        </w:rPr>
        <w:t>10 (23) сентября 1914 г. во Франции британская зенитная артиллерия № 2 Королевского гарнизона в III корпусе под командованием лейтенанта OFJ Хогга стала первой зенитной единицей, сбившей самолет, выпустив 75 выстрелов из QF 1 pdr Mark II. ("пом пом") (20337).</w:t>
      </w:r>
    </w:p>
    <w:p w14:paraId="15232EED" w14:textId="77777777" w:rsidR="00811FF4" w:rsidRPr="00DE096C" w:rsidRDefault="00811FF4" w:rsidP="00D45A46">
      <w:pPr>
        <w:jc w:val="both"/>
        <w:rPr>
          <w:bCs/>
          <w:color w:val="002060"/>
          <w:sz w:val="16"/>
          <w:szCs w:val="16"/>
        </w:rPr>
      </w:pPr>
    </w:p>
    <w:p w14:paraId="33E44EF9"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Другие оборонные отрасли:</w:t>
      </w:r>
    </w:p>
    <w:p w14:paraId="58B675A8" w14:textId="77777777" w:rsidR="00B67D7C" w:rsidRPr="00DE096C" w:rsidRDefault="00B67D7C" w:rsidP="00D45A46">
      <w:pPr>
        <w:pStyle w:val="a3"/>
        <w:jc w:val="both"/>
        <w:rPr>
          <w:bCs/>
          <w:color w:val="002060"/>
          <w:spacing w:val="0"/>
          <w:kern w:val="0"/>
          <w:position w:val="0"/>
          <w:sz w:val="16"/>
          <w:szCs w:val="16"/>
        </w:rPr>
      </w:pPr>
    </w:p>
    <w:p w14:paraId="1D3D0A38" w14:textId="64DC5780"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11 (24) сентября </w:t>
      </w:r>
      <w:r w:rsidR="00811FF4" w:rsidRPr="00DE096C">
        <w:rPr>
          <w:bCs/>
          <w:i w:val="0"/>
          <w:color w:val="002060"/>
          <w:spacing w:val="0"/>
          <w:kern w:val="0"/>
          <w:position w:val="0"/>
          <w:sz w:val="16"/>
          <w:szCs w:val="16"/>
        </w:rPr>
        <w:t xml:space="preserve">1914 г. </w:t>
      </w:r>
      <w:r w:rsidRPr="00DE096C">
        <w:rPr>
          <w:bCs/>
          <w:i w:val="0"/>
          <w:color w:val="002060"/>
          <w:spacing w:val="0"/>
          <w:kern w:val="0"/>
          <w:position w:val="0"/>
          <w:sz w:val="16"/>
          <w:szCs w:val="16"/>
        </w:rPr>
        <w:t>совещание</w:t>
      </w:r>
      <w:r w:rsidR="00811FF4" w:rsidRPr="00DE096C">
        <w:rPr>
          <w:bCs/>
          <w:i w:val="0"/>
          <w:color w:val="002060"/>
          <w:spacing w:val="0"/>
          <w:kern w:val="0"/>
          <w:position w:val="0"/>
          <w:sz w:val="16"/>
          <w:szCs w:val="16"/>
        </w:rPr>
        <w:t xml:space="preserve">, подобное встрече 9 (22) сентября (1914 г.) к ген. Сухомлинова, </w:t>
      </w:r>
      <w:r w:rsidRPr="00DE096C">
        <w:rPr>
          <w:bCs/>
          <w:i w:val="0"/>
          <w:color w:val="002060"/>
          <w:spacing w:val="0"/>
          <w:kern w:val="0"/>
          <w:position w:val="0"/>
          <w:sz w:val="16"/>
          <w:szCs w:val="16"/>
        </w:rPr>
        <w:t xml:space="preserve">состоялось на квартире у ген. Вернандера. На него заводчики явились в большем числе, причем присутствовал и небезызвестный: Шпан, впоследствии высланный в Сибирь. В течение целого вечера велось обсуждение вопроса и подсчет возможного выхода снарядов в месяц, который, насколько припомню, определялся при полном развитии производительности до 500.000 в месяц (вместо требовавшихся уже в то время 1.500.000). </w:t>
      </w:r>
    </w:p>
    <w:p w14:paraId="49BDD88A"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К концу вечера на совещание прибыл и. д. начальника Генерального штаба ген. Беляев с последнею телеграммою о требованиях на снаряды, полученной недавно из Ставки, и ознакомившись с результатами подсчетов, стал чуть ли не кричать с пафосом и негодованием на мизерность предполагаемых поставок по сравнению с требованием армии и заявил о критической необходимости получать снарядов втрое больше, какою угодно ценою. </w:t>
      </w:r>
    </w:p>
    <w:p w14:paraId="132909F1"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На меня, да, полагаю, и на всех представителей военного министерства, присутствовавших на заседании, это выступление ген. Беляева произвело удручающее впечатление. Я понимал прекрасно к тому же, что, несмотря на всю неутешительность определенного на заседании предварительного числа ежемесячной поставки, есть полная надежда ее дальнейшего увеличения, так как было ясно, что в такой короткий срок всех средств исчерпать и выяснить было нельзя. Это мое мнение и нашло себе подтверждение в дальнейшем. Полное раскрытие тайны ген. Беляева только ухудшило дело, так как окончательно поставило поставщиков в положение хозяев, диктующих условия и цены, не говоря уже о колоссальном значении раскрытия истины о недостатке снарядов в стратегическом отношении. </w:t>
      </w:r>
    </w:p>
    <w:p w14:paraId="286F13EE"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Вряд ли самый искусный шпион в то время мог оказать такую громадную услугу нашим противникам, обнаружив им истинное положение вещей, как это сделало выступление начальника русского Генерального штаба... </w:t>
      </w:r>
    </w:p>
    <w:p w14:paraId="485C5FD6"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На другой день после заседания явился ко мне директор Петроградского металлического завода К. П. Федоров, бледный и взволнованный (к слову сказать, по всем моим впечатлениям один, если только не единственный, из наиболее честных директоров, с которыми мне только приходилось иметь дело)... </w:t>
      </w:r>
    </w:p>
    <w:p w14:paraId="1AD56E6F"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"Ведь поймите, - сказал Федоров, - что ведь немедленно после заседания во все концы мира полетели телеграммы о том, что Россия так нуждается в снарядах. Ведь теперь цены на все немедленно возрастут, и мы даже вовсе, может быть, не купим тех станков и прессов за границей, о покупке которых вчера толковали, так как они будут перекуплены". </w:t>
      </w:r>
    </w:p>
    <w:p w14:paraId="08FA5C10"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Указанные два совещания и дача заказов по несообразно высоким ценам послужили как бы сигналом для повышения цен вообще, а вместе с тем к целому потоку различных предпринимателей, наводнявших ГАУ, с многочисленными предложениями на поставку всевозможных предметов, в особенности же на поставку снарядов; но при ближайшем ознакомлении со всеми этими предложениями в огромном большинстве случаев определенно выяснилось прежде всего явное стремление к легкой и скорой наживе, получению значительных авансов, но никак но желание помочь государству. Неоднократно начальник управления рекомендовал мне прекратить вовсе прием всех этих поставщиков, но я понимал, что этим я только вызвал бы протест, жалобы, давления свыше и тому подобные меры, почему в огромном числе случаев имел терпение выслушивать каждого посетителя и затем разъяснить ему несостоятельность или непригодность его предложения; в уважительных же случаях принимал предложения". </w:t>
      </w:r>
    </w:p>
    <w:p w14:paraId="07AA8D16"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Военное ведомство само сыпало в ненасытную и бездонную утробу промышленников и спекулянтов сотни миллионов народного достояния, получая от них за это лишь ничтожную помощь в деле обороны... </w:t>
      </w:r>
    </w:p>
    <w:p w14:paraId="34F32C1B"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При незнакомстве с делом заготовления предметов артснабжения и при отсутствии организаторских способностей у лиц, возглавлявших военное ведомство, проистекала полная беспомощность этого ведомства настоять на действительно целесообразном решении, хотя и непонятном для тех широких кругов общества, которые, не зная всех сложных технических сторон производства, склонны были видеть залог успеха лишь в выдаче как можно больше заманчивых с виду заказов. </w:t>
      </w:r>
    </w:p>
    <w:p w14:paraId="6FEFDA9A"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Неудивительно поэтому, что при таких министрах, какими были в то время военный и торговли и промышленности, трудно было делу изготовления предметов боевого снабжения попасть сразу на верный путь. Чуть ли не всякий проходимец мог тогда своим наглым, явно безграмотным предложением, рассчитанным именно на невежество и царившую панику, сбить с толку главу ведомства и заставить его оказать давление на управление, выдающее заказы. </w:t>
      </w:r>
    </w:p>
    <w:p w14:paraId="5FA23B22"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Подобные дела не прекратились и с образованием Особого совещания по обороне государства. </w:t>
      </w:r>
    </w:p>
    <w:p w14:paraId="6DC3647C"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После создания этого совещания ГАУ оказалось еще более бессильным бороться с нахрапом тех алчных предпринимателей, которые организовали крестовый поход на казенный сундук под видом спасительных для армии предложений на поставку 76-мм снарядов, так как получившие отказ знали, куда теперь апеллировать: они являлись к Родзянко (или к Гучкову, или еще к кому-либо из членов Особого совещания), проливали несколько "гражданских" слез и заявляли жалобу на ГАУ. В ближайшее же заседание Особого совещания Родзянко или Гучков разражались филиппикой против ГАУ, громили рутину, косность и предательство чинов его и требовали немедленной выдачи заказа, хотя и по несообразно высокой цепе и с выдачей крупного аванса, хотя и без надежных гарантий со стороны подрядчика. </w:t>
      </w:r>
    </w:p>
    <w:p w14:paraId="7BF2E0C7"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Правда, скоро Особое совещание ввело для обеспечения интересов казны такой корректив: впредь выдавать аванс (до 65% от суммы заказа - это вместо-то залога, который должен был вносить сам подрядчик по законам, действовавшим до войны) подрядчикам, не имевшим законного обеспечения, только под гарантию банка. Вот откуда началось полное закабаление промышленности банками, которые, выдавая свои гарантии, конечно, не за маленькие проценты, преследовали исключительно свои ростовщические цели, нисколько не считаясь ни с состоянием попавших к ним в сети заводов, ни с интересами обороны. При таких условиях ни одно промышленное предприятие не могло развиваться сколько-нибудь нормально, так как заботы о предстоящем платеже в банк висели над ним дамокловым мечом и при этом, конечно, было уже не до правильной постановки и усовершенство вания производства, всегда требующих лишней затраты, а, напротив, приходилось выжимать все, что только можно было выжать, хотя бы ценой понижения качества работы и явно вредной для дела перегрузки производства. </w:t>
      </w:r>
    </w:p>
    <w:p w14:paraId="2FA63CB0"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Выгодна была такая система только для дутых предприятий, которые заранее знали, на что шли, и которые так изощрялись в подстраивании разных "форс-мажоров" (которых, по правде сказать, было и без того более чем достаточно почти с самого начала войны), что стали по этой части положительно виртуозами, состязаться с которыми было явно не по силам казенным юрисконсультам. Поэтому только в редких сравнительно случаях удавалось поймать этих ловких аферистов, и тогда страдал, конечно, банк, который, однако, в накладе не оставался, ибо математически учитывал вероятность подобных неприятностей соответственной надбавкой процентов на все выдаваемые им "гарантийные письма" и с лихвой компенсировал изредка получавшиеся убытки. </w:t>
      </w:r>
    </w:p>
    <w:p w14:paraId="1772F24C"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Но кто всегда оставался в накладе от этих афер - это армия, не получавшая снарядов, несмотря ни на безумные цены на них ни на всякие авансы и прочие льготы для бесстыдных подрядчиков. </w:t>
      </w:r>
    </w:p>
    <w:p w14:paraId="2FC61697"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Конкретными примерами этих отвратительных вакханалий, особенно с 76-мм снарядами, полны дела как ГАУ, так и наблюдательной и артиллерийской подготовительной комиссий Особого совещания по обороне; буквально не было ни одного заседания этого совещания без того, чтобы не докладывалось о целом ряде неисправных поставщиков, из коих большинству место было, конечно, на скамье подсудимых. В ГАУ им велся специальный список. </w:t>
      </w:r>
    </w:p>
    <w:p w14:paraId="5D5D758C"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Руководить внутри страны весьма трудным д сложным делом снабжения действующей армии должны были министры - военный и торговли и промышленности. Но раз они этого не в состоянии были сделать, то помочь делу можно было не созданием десятков многолюдных совещаний и комиссий, а введением всеобщей промышленной повинности и решительным разрывом с прежним мертвящим бюрократизмом и формализмом д путем надлежащего расширения прав начальников главных снабжающих управлений. Конечно, выбор этих начальников должен был быть сделан в соответствия с возлагавшейся на них задачей, но затем уж им должна была быть предоставлена значительная свобода действий при каком угодно контроле со стороны и прямого начальства, и поверяющих ведомств, и еще кого угодно. </w:t>
      </w:r>
    </w:p>
    <w:p w14:paraId="65735BC4"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Сделали же как раз наоборот: посадили над начальниками каждого главного управления подготовительную комиссию, междуведомственное совещание, наблюдательную комиссию, особое совещание; все эти инстанции стремились разыгрывать роль не только опекунов, но и настоящих хозяев положения и вершить все дела, оставляя на долю начальников главных управлений только одну ответственность. </w:t>
      </w:r>
    </w:p>
    <w:p w14:paraId="15945B3A"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 конечном результате начальники главных довольствующих управлений перестали быть хозяевами вверенного им дела и являлись лишь приказчиками Особого совещания но обороне. И если тем не менее в некоторых областях этого снабжения результаты получались не очень плохие, то надо отметить, что это случилось не "благодаря Особому совещанию", а "несмотря на Особое совещание". </w:t>
      </w:r>
    </w:p>
    <w:p w14:paraId="777C7E8F"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Правда, 76-мм снарядов получили много (хотя и не очень скоро), в то время как по части тяжелых снарядов недостаток, и притом острый, ощущался до самого конца войны. И все это произошло оттого, что само дело снабжения в корне было поставлено неправильно: вместо того чтобы сосредоточить его всецело в руках одного ответственного хозяина - министра снабжения, обеспечив его при этом диктаторскими правами и полномочиями, его обратили в какого-то полномочного только на бумаге председателя Особого совещания по обороне, оказавшегося всецело в руках политических и финансовых дельцов, равнодушных к вопросам обороны. При такой постановке дела начальники главных снабжающих управлений, в частности и артиллерийского, оказались связанными по рукам и ногам. О расширении их прав </w:t>
      </w:r>
      <w:r w:rsidRPr="00DE096C">
        <w:rPr>
          <w:bCs/>
          <w:i w:val="0"/>
          <w:color w:val="002060"/>
          <w:spacing w:val="0"/>
          <w:kern w:val="0"/>
          <w:position w:val="0"/>
          <w:sz w:val="16"/>
          <w:szCs w:val="16"/>
        </w:rPr>
        <w:lastRenderedPageBreak/>
        <w:t xml:space="preserve">против положенных по законам мирного времени и думать было нельзя, ибо Особое совещание считало это не только ненужным, но даже вредным. А каковы были эти "права мирного времени"? У начальника ГАУ хозяйственных прав было меньше, чем у г.-м. Ванкова, чем у председателя какой-либо строительной комиссии, чем у любого начальника завода... Он за всякой мелочью должен был лазить в Военный совет, а потом в Особое совещание по обороне, притом через подготовительную комиссию. </w:t>
      </w:r>
    </w:p>
    <w:p w14:paraId="7E102084"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Все права по заготовлениям предметов для снабжения действующих армий и флота надо было дать единому министру снабжения (как это и было у союзников), а он уже распределял бы их по ведомствам и главным управлениям сообразно с общим планом снабжения армии и флота. Вместо этого создали ряд политиканствовавших говорилен, в действительности никем не объединенных, олицетворявших собою прежнюю "ведомственность" со всеми отвратительными грехами старого режима: разного рода трениями, бюрократической рутиной и разногласицей, и ни в коей мере не выполнивших роли того "объединяющего и руководящего" органа, который имелся в виду при создании этих совещаний и который действительно был так необходим (11483).</w:t>
      </w:r>
    </w:p>
    <w:p w14:paraId="4BBC6FCC" w14:textId="77777777" w:rsidR="00B67D7C" w:rsidRPr="00DE096C" w:rsidRDefault="00B67D7C" w:rsidP="00D45A46">
      <w:pPr>
        <w:pStyle w:val="a3"/>
        <w:jc w:val="both"/>
        <w:rPr>
          <w:bCs/>
          <w:i w:val="0"/>
          <w:color w:val="002060"/>
          <w:spacing w:val="0"/>
          <w:kern w:val="0"/>
          <w:position w:val="0"/>
          <w:sz w:val="16"/>
          <w:szCs w:val="16"/>
        </w:rPr>
      </w:pPr>
    </w:p>
    <w:p w14:paraId="1719CB17" w14:textId="77777777" w:rsidR="00B67D7C" w:rsidRPr="00DE096C" w:rsidRDefault="00B67D7C" w:rsidP="00D45A46">
      <w:pPr>
        <w:jc w:val="both"/>
        <w:rPr>
          <w:bCs/>
          <w:i/>
          <w:color w:val="002060"/>
          <w:sz w:val="16"/>
          <w:szCs w:val="16"/>
        </w:rPr>
      </w:pPr>
      <w:r w:rsidRPr="00DE096C">
        <w:rPr>
          <w:bCs/>
          <w:i/>
          <w:color w:val="002060"/>
          <w:sz w:val="16"/>
          <w:szCs w:val="16"/>
        </w:rPr>
        <w:t>Авиация:</w:t>
      </w:r>
    </w:p>
    <w:p w14:paraId="5390ECFF" w14:textId="77777777" w:rsidR="00B67D7C" w:rsidRPr="00DE096C" w:rsidRDefault="00B67D7C" w:rsidP="00D45A46">
      <w:pPr>
        <w:jc w:val="both"/>
        <w:rPr>
          <w:bCs/>
          <w:i/>
          <w:color w:val="002060"/>
          <w:sz w:val="16"/>
          <w:szCs w:val="16"/>
        </w:rPr>
      </w:pPr>
    </w:p>
    <w:p w14:paraId="79E0E2F3" w14:textId="42837889" w:rsidR="00562E95" w:rsidRPr="00DE096C" w:rsidRDefault="00562E95" w:rsidP="00D45A46">
      <w:pPr>
        <w:jc w:val="both"/>
        <w:rPr>
          <w:bCs/>
          <w:color w:val="002060"/>
          <w:sz w:val="16"/>
          <w:szCs w:val="16"/>
        </w:rPr>
      </w:pPr>
      <w:r w:rsidRPr="00DE096C">
        <w:rPr>
          <w:bCs/>
          <w:color w:val="002060"/>
          <w:sz w:val="16"/>
          <w:szCs w:val="16"/>
        </w:rPr>
        <w:t xml:space="preserve">11 </w:t>
      </w:r>
      <w:r w:rsidR="00811FF4" w:rsidRPr="00DE096C">
        <w:rPr>
          <w:bCs/>
          <w:color w:val="002060"/>
          <w:sz w:val="16"/>
          <w:szCs w:val="16"/>
        </w:rPr>
        <w:t xml:space="preserve">(24) </w:t>
      </w:r>
      <w:r w:rsidRPr="00DE096C">
        <w:rPr>
          <w:bCs/>
          <w:color w:val="002060"/>
          <w:sz w:val="16"/>
          <w:szCs w:val="16"/>
        </w:rPr>
        <w:t>сентября 1914 г. вышел приказ Главнокомандующего армиями СЗФ № 41 об объединении авиаотрядов. На ЮЗФ этот процесс шел стихийно (19566).</w:t>
      </w:r>
    </w:p>
    <w:p w14:paraId="436F8F32" w14:textId="77777777" w:rsidR="00562E95" w:rsidRPr="00DE096C" w:rsidRDefault="00562E95" w:rsidP="00D45A46">
      <w:pPr>
        <w:jc w:val="both"/>
        <w:rPr>
          <w:bCs/>
          <w:color w:val="002060"/>
          <w:sz w:val="16"/>
          <w:szCs w:val="16"/>
        </w:rPr>
      </w:pPr>
    </w:p>
    <w:p w14:paraId="29D54203" w14:textId="422A6692" w:rsidR="00B67D7C" w:rsidRPr="00DE096C" w:rsidRDefault="00B67D7C" w:rsidP="00D45A46">
      <w:pPr>
        <w:jc w:val="both"/>
        <w:rPr>
          <w:bCs/>
          <w:color w:val="002060"/>
          <w:sz w:val="16"/>
          <w:szCs w:val="16"/>
        </w:rPr>
      </w:pPr>
      <w:r w:rsidRPr="00DE096C">
        <w:rPr>
          <w:bCs/>
          <w:color w:val="002060"/>
          <w:sz w:val="16"/>
          <w:szCs w:val="16"/>
        </w:rPr>
        <w:t xml:space="preserve">11 </w:t>
      </w:r>
      <w:r w:rsidR="00811FF4" w:rsidRPr="00DE096C">
        <w:rPr>
          <w:bCs/>
          <w:color w:val="002060"/>
          <w:sz w:val="16"/>
          <w:szCs w:val="16"/>
        </w:rPr>
        <w:t xml:space="preserve">(24) </w:t>
      </w:r>
      <w:r w:rsidRPr="00DE096C">
        <w:rPr>
          <w:bCs/>
          <w:color w:val="002060"/>
          <w:sz w:val="16"/>
          <w:szCs w:val="16"/>
        </w:rPr>
        <w:t xml:space="preserve">сентября </w:t>
      </w:r>
      <w:r w:rsidR="00811FF4" w:rsidRPr="00DE096C">
        <w:rPr>
          <w:bCs/>
          <w:color w:val="002060"/>
          <w:sz w:val="16"/>
          <w:szCs w:val="16"/>
        </w:rPr>
        <w:t xml:space="preserve">1914 г. ИМ, который из-за сильного ветра в 12 м/с, преодолев всего 177 верст, совершил вынужденную посадку возле станции Плюсса и получил небольшие повреждения, был отремонтирован вызванным из Петрограда механиком РБВЗ, </w:t>
      </w:r>
      <w:r w:rsidRPr="00DE096C">
        <w:rPr>
          <w:bCs/>
          <w:color w:val="002060"/>
          <w:sz w:val="16"/>
          <w:szCs w:val="16"/>
        </w:rPr>
        <w:t>благополучно приземлился в Двинске, а 23 сентября добрался до Белостока. Несмотря на то, что полетное время составило 14 часов, корабль добрался до места назначения за неполный месяц. Совершив в октябре 1914 г. несколько пробных полетов, штабс-капитан Руднев остался недоволен летными качествами "Муромца", нашел и другие недостатки. Появилась его докладная записка "О непригодности аппаратов типа "Илья Муромец" для военных целей", а за ней уведомление Штаба Верховного Главнокомандующего в ГВТУ "о приостановлении снабжения аэропланами типа "Илья Муромец" впредь до устранения недостатков этих аппаратов. Доблестный же командир 1-го корабля, не совершивший ни одного боевого полета, по прилете 25 ноября во Львов подал рапорт о переводе в легкую авиацию. В январе 1915 г. корабль был доставлен в Яблонну, где после мелкого ремонта был испытан в полете. Сикорский лично взял на нем высоту в 2200 метров, тогда как Руднев не мог подняться выше 1375 м. А снятые с корабля ненадежные по мнению Руднева "Аргусы" были в марте переставлены на корабль Ш-й №151, который впоследствии совершал 5-ти часовые полеты вглубь территории противника.</w:t>
      </w:r>
    </w:p>
    <w:p w14:paraId="53A13FF4" w14:textId="77777777" w:rsidR="00811FF4" w:rsidRPr="00DE096C" w:rsidRDefault="00811FF4" w:rsidP="00D45A46">
      <w:pPr>
        <w:jc w:val="both"/>
        <w:rPr>
          <w:bCs/>
          <w:color w:val="002060"/>
          <w:sz w:val="16"/>
          <w:szCs w:val="16"/>
        </w:rPr>
      </w:pPr>
    </w:p>
    <w:p w14:paraId="55512011" w14:textId="21C4FDB8" w:rsidR="00B67D7C" w:rsidRPr="00DE096C" w:rsidRDefault="00B67D7C" w:rsidP="00D45A46">
      <w:pPr>
        <w:jc w:val="both"/>
        <w:rPr>
          <w:bCs/>
          <w:color w:val="002060"/>
          <w:sz w:val="16"/>
          <w:szCs w:val="16"/>
        </w:rPr>
      </w:pPr>
      <w:r w:rsidRPr="00DE096C">
        <w:rPr>
          <w:bCs/>
          <w:color w:val="002060"/>
          <w:sz w:val="16"/>
          <w:szCs w:val="16"/>
        </w:rPr>
        <w:t xml:space="preserve">11 </w:t>
      </w:r>
      <w:r w:rsidR="00811FF4" w:rsidRPr="00DE096C">
        <w:rPr>
          <w:bCs/>
          <w:color w:val="002060"/>
          <w:sz w:val="16"/>
          <w:szCs w:val="16"/>
        </w:rPr>
        <w:t xml:space="preserve">(24) </w:t>
      </w:r>
      <w:r w:rsidRPr="00DE096C">
        <w:rPr>
          <w:bCs/>
          <w:color w:val="002060"/>
          <w:sz w:val="16"/>
          <w:szCs w:val="16"/>
        </w:rPr>
        <w:t xml:space="preserve">сентября </w:t>
      </w:r>
      <w:r w:rsidR="00811FF4" w:rsidRPr="00DE096C">
        <w:rPr>
          <w:bCs/>
          <w:color w:val="002060"/>
          <w:sz w:val="16"/>
          <w:szCs w:val="16"/>
        </w:rPr>
        <w:t xml:space="preserve">1914 г. отремонтированный "Муромец" </w:t>
      </w:r>
      <w:r w:rsidRPr="00DE096C">
        <w:rPr>
          <w:bCs/>
          <w:color w:val="002060"/>
          <w:sz w:val="16"/>
          <w:szCs w:val="16"/>
        </w:rPr>
        <w:t>благополучно совершил посадку в Двинске. В Белосток же Руднев прилетел только... 23 сентября, затратив на путь до места назначения 14 лётных часов и... 24 дня (12041).</w:t>
      </w:r>
    </w:p>
    <w:p w14:paraId="244805CB" w14:textId="77777777" w:rsidR="00B67D7C" w:rsidRPr="00DE096C" w:rsidRDefault="00B67D7C" w:rsidP="00D45A46">
      <w:pPr>
        <w:jc w:val="both"/>
        <w:rPr>
          <w:bCs/>
          <w:color w:val="002060"/>
          <w:sz w:val="16"/>
          <w:szCs w:val="16"/>
        </w:rPr>
      </w:pPr>
    </w:p>
    <w:p w14:paraId="6710AE2A" w14:textId="77777777" w:rsidR="00DC2C74" w:rsidRPr="00B52707" w:rsidRDefault="00DC2C74" w:rsidP="00DC2C74">
      <w:pPr>
        <w:jc w:val="both"/>
        <w:rPr>
          <w:color w:val="0070C0"/>
          <w:sz w:val="16"/>
          <w:szCs w:val="16"/>
        </w:rPr>
      </w:pPr>
      <w:r w:rsidRPr="00B52707">
        <w:rPr>
          <w:color w:val="0070C0"/>
          <w:sz w:val="16"/>
          <w:szCs w:val="16"/>
        </w:rPr>
        <w:t>11 (24) сентября 1914 г. поручик Панкратьев А.В. вылетел на ИМ на фронт, но вскоре повредил самолет при вынужденной посадке. В Брест корабль ему пришлось доставлять по железной дороге в разобранном виде (24965).</w:t>
      </w:r>
    </w:p>
    <w:p w14:paraId="05F674BA" w14:textId="77777777" w:rsidR="00DC2C74" w:rsidRPr="00B52707" w:rsidRDefault="00DC2C74" w:rsidP="00DC2C74">
      <w:pPr>
        <w:jc w:val="both"/>
        <w:rPr>
          <w:color w:val="0070C0"/>
          <w:sz w:val="16"/>
          <w:szCs w:val="16"/>
        </w:rPr>
      </w:pPr>
    </w:p>
    <w:p w14:paraId="2DD3CB87" w14:textId="7F77673B" w:rsidR="003F7087" w:rsidRPr="00DE096C" w:rsidRDefault="003F7087" w:rsidP="00D45A46">
      <w:pPr>
        <w:jc w:val="both"/>
        <w:rPr>
          <w:bCs/>
          <w:color w:val="002060"/>
          <w:sz w:val="16"/>
          <w:szCs w:val="16"/>
        </w:rPr>
      </w:pPr>
      <w:r w:rsidRPr="00DE096C">
        <w:rPr>
          <w:bCs/>
          <w:color w:val="002060"/>
          <w:sz w:val="16"/>
          <w:szCs w:val="16"/>
          <w:lang w:bidi="en-US"/>
        </w:rPr>
        <w:t xml:space="preserve">11 (24) сентября 1914 г дирижабль немецкой армии </w:t>
      </w:r>
      <w:r w:rsidRPr="00DE096C">
        <w:rPr>
          <w:bCs/>
          <w:color w:val="002060"/>
          <w:sz w:val="16"/>
          <w:szCs w:val="16"/>
          <w:lang w:val="en-US" w:bidi="en-US"/>
        </w:rPr>
        <w:t>Z</w:t>
      </w:r>
      <w:r w:rsidRPr="00DE096C">
        <w:rPr>
          <w:bCs/>
          <w:color w:val="002060"/>
          <w:sz w:val="16"/>
          <w:szCs w:val="16"/>
          <w:lang w:bidi="en-US"/>
        </w:rPr>
        <w:t>.</w:t>
      </w:r>
      <w:r w:rsidRPr="00DE096C">
        <w:rPr>
          <w:bCs/>
          <w:color w:val="002060"/>
          <w:sz w:val="16"/>
          <w:szCs w:val="16"/>
          <w:lang w:val="en-US" w:bidi="en-US"/>
        </w:rPr>
        <w:t>IV</w:t>
      </w:r>
      <w:r w:rsidRPr="00DE096C">
        <w:rPr>
          <w:bCs/>
          <w:color w:val="002060"/>
          <w:sz w:val="16"/>
          <w:szCs w:val="16"/>
          <w:lang w:bidi="en-US"/>
        </w:rPr>
        <w:t>, базирующийся в Кенигсберге, нанес бомбовые удары по военным объектам в районе Варшавы.</w:t>
      </w:r>
    </w:p>
    <w:p w14:paraId="3133CDF7" w14:textId="77777777" w:rsidR="003F7087" w:rsidRPr="00DE096C" w:rsidRDefault="003F7087" w:rsidP="00D45A46">
      <w:pPr>
        <w:jc w:val="both"/>
        <w:rPr>
          <w:bCs/>
          <w:color w:val="002060"/>
          <w:sz w:val="16"/>
          <w:szCs w:val="16"/>
        </w:rPr>
      </w:pPr>
      <w:r w:rsidRPr="00DE096C">
        <w:rPr>
          <w:bCs/>
          <w:color w:val="002060"/>
          <w:sz w:val="16"/>
          <w:szCs w:val="16"/>
          <w:lang w:bidi="en-US"/>
        </w:rPr>
        <w:t>28 сентября на Северо-Западном фронте единственная немецкая зенитная часть (Баллон-Абвер-Канонен) (БАК) на Русском фронте была потеряна в наземных боях у города Копциово в районе Гумбиннена. Орудия стояли на конных повозках и не могли достаточно быстро отступить (23525).</w:t>
      </w:r>
    </w:p>
    <w:p w14:paraId="2B7140FE" w14:textId="77777777" w:rsidR="003F7087" w:rsidRPr="00DE096C" w:rsidRDefault="003F7087" w:rsidP="00D45A46">
      <w:pPr>
        <w:jc w:val="both"/>
        <w:rPr>
          <w:bCs/>
          <w:color w:val="002060"/>
          <w:sz w:val="16"/>
          <w:szCs w:val="16"/>
          <w:lang w:bidi="en-US"/>
        </w:rPr>
      </w:pPr>
    </w:p>
    <w:p w14:paraId="029B6668" w14:textId="0F5506DD" w:rsidR="008560E4" w:rsidRPr="00DE096C" w:rsidRDefault="008560E4" w:rsidP="00D45A46">
      <w:pPr>
        <w:jc w:val="both"/>
        <w:rPr>
          <w:bCs/>
          <w:i/>
          <w:iCs/>
          <w:color w:val="002060"/>
          <w:sz w:val="16"/>
          <w:szCs w:val="16"/>
        </w:rPr>
      </w:pPr>
      <w:r w:rsidRPr="00DE096C">
        <w:rPr>
          <w:bCs/>
          <w:i/>
          <w:iCs/>
          <w:color w:val="002060"/>
          <w:sz w:val="16"/>
          <w:szCs w:val="16"/>
        </w:rPr>
        <w:t>Армия:</w:t>
      </w:r>
    </w:p>
    <w:p w14:paraId="0581C7CE" w14:textId="77777777" w:rsidR="008560E4" w:rsidRPr="00DE096C" w:rsidRDefault="008560E4" w:rsidP="00D45A46">
      <w:pPr>
        <w:jc w:val="both"/>
        <w:rPr>
          <w:bCs/>
          <w:i/>
          <w:iCs/>
          <w:color w:val="002060"/>
          <w:sz w:val="16"/>
          <w:szCs w:val="16"/>
        </w:rPr>
      </w:pPr>
    </w:p>
    <w:p w14:paraId="7A74CA74" w14:textId="4BEF7D01" w:rsidR="008560E4" w:rsidRPr="00DE096C" w:rsidRDefault="008560E4" w:rsidP="00D45A46">
      <w:pPr>
        <w:jc w:val="both"/>
        <w:rPr>
          <w:bCs/>
          <w:color w:val="002060"/>
          <w:sz w:val="16"/>
          <w:szCs w:val="16"/>
        </w:rPr>
      </w:pPr>
      <w:r w:rsidRPr="00DE096C">
        <w:rPr>
          <w:bCs/>
          <w:color w:val="002060"/>
          <w:sz w:val="16"/>
          <w:szCs w:val="16"/>
        </w:rPr>
        <w:t xml:space="preserve">11-14 (24-27) сентября 1914 </w:t>
      </w:r>
      <w:r w:rsidR="00C411D7" w:rsidRPr="00DE096C">
        <w:rPr>
          <w:bCs/>
          <w:color w:val="002060"/>
          <w:sz w:val="16"/>
          <w:szCs w:val="16"/>
        </w:rPr>
        <w:t xml:space="preserve">г. </w:t>
      </w:r>
      <w:r w:rsidRPr="00DE096C">
        <w:rPr>
          <w:bCs/>
          <w:color w:val="002060"/>
          <w:sz w:val="16"/>
          <w:szCs w:val="16"/>
        </w:rPr>
        <w:t>состоялись два двусторонних манёвра. В первом из них Мстиславскому пол</w:t>
      </w:r>
      <w:r w:rsidRPr="00DE096C">
        <w:rPr>
          <w:bCs/>
          <w:color w:val="002060"/>
          <w:sz w:val="16"/>
          <w:szCs w:val="16"/>
        </w:rPr>
        <w:softHyphen/>
        <w:t>ку с двумя лёгкими батареями ставилась задача овладеть крепостью внезапной атакой участка от Вислы до д. Славчин. Атакующий при этом не только определял слабые участки оборони</w:t>
      </w:r>
      <w:r w:rsidRPr="00DE096C">
        <w:rPr>
          <w:bCs/>
          <w:color w:val="002060"/>
          <w:sz w:val="16"/>
          <w:szCs w:val="16"/>
        </w:rPr>
        <w:softHyphen/>
        <w:t>тельной линии, но и отмечал на картах те места, где он находил хорошее укрытие при движении. Участок оборонял Солигалический полк (с Юрье- вецким полком в резерве), располагавший аэро</w:t>
      </w:r>
      <w:r w:rsidRPr="00DE096C">
        <w:rPr>
          <w:bCs/>
          <w:color w:val="002060"/>
          <w:sz w:val="16"/>
          <w:szCs w:val="16"/>
        </w:rPr>
        <w:softHyphen/>
        <w:t>статом и наблюдательным пунктом в д. Голомб. Манёвр выявил возможность скрытого прибли</w:t>
      </w:r>
      <w:r w:rsidRPr="00DE096C">
        <w:rPr>
          <w:bCs/>
          <w:color w:val="002060"/>
          <w:sz w:val="16"/>
          <w:szCs w:val="16"/>
        </w:rPr>
        <w:softHyphen/>
        <w:t>жения противника почти к линии сторожево</w:t>
      </w:r>
      <w:r w:rsidRPr="00DE096C">
        <w:rPr>
          <w:bCs/>
          <w:color w:val="002060"/>
          <w:sz w:val="16"/>
          <w:szCs w:val="16"/>
        </w:rPr>
        <w:softHyphen/>
        <w:t>го охранения у д. Олексово, поэтому оборону в этом месте вынесли вперёд, а кусты и деревья вдоль берега Вислы вырубили. Во втором, ноч</w:t>
      </w:r>
      <w:r w:rsidRPr="00DE096C">
        <w:rPr>
          <w:bCs/>
          <w:color w:val="002060"/>
          <w:sz w:val="16"/>
          <w:szCs w:val="16"/>
        </w:rPr>
        <w:softHyphen/>
        <w:t>ном, манёвре, предпринятом для ознакомления пехоты с действиями прожекторов и ракет и со стрельбой противоштурмовых орудий, брига</w:t>
      </w:r>
      <w:r w:rsidRPr="00DE096C">
        <w:rPr>
          <w:bCs/>
          <w:color w:val="002060"/>
          <w:sz w:val="16"/>
          <w:szCs w:val="16"/>
        </w:rPr>
        <w:softHyphen/>
        <w:t>да 81-й дивизии атаковала Сецехов со стороны д. Словике-Нове.</w:t>
      </w:r>
    </w:p>
    <w:p w14:paraId="6D87AE3D" w14:textId="77777777" w:rsidR="008560E4" w:rsidRPr="00DE096C" w:rsidRDefault="008560E4" w:rsidP="00D45A46">
      <w:pPr>
        <w:jc w:val="both"/>
        <w:rPr>
          <w:bCs/>
          <w:color w:val="002060"/>
          <w:sz w:val="16"/>
          <w:szCs w:val="16"/>
        </w:rPr>
      </w:pPr>
      <w:r w:rsidRPr="00DE096C">
        <w:rPr>
          <w:bCs/>
          <w:color w:val="002060"/>
          <w:sz w:val="16"/>
          <w:szCs w:val="16"/>
        </w:rPr>
        <w:t>Согласно разработанной Шварцем схеме ве</w:t>
      </w:r>
      <w:r w:rsidRPr="00DE096C">
        <w:rPr>
          <w:bCs/>
          <w:color w:val="002060"/>
          <w:sz w:val="16"/>
          <w:szCs w:val="16"/>
        </w:rPr>
        <w:softHyphen/>
        <w:t>дения огня артиллерия впервые открывала огонь только по его личному распоряжению. Все ука</w:t>
      </w:r>
      <w:r w:rsidRPr="00DE096C">
        <w:rPr>
          <w:bCs/>
          <w:color w:val="002060"/>
          <w:sz w:val="16"/>
          <w:szCs w:val="16"/>
        </w:rPr>
        <w:softHyphen/>
        <w:t>зания он давал командиру крепостной артилле</w:t>
      </w:r>
      <w:r w:rsidRPr="00DE096C">
        <w:rPr>
          <w:bCs/>
          <w:color w:val="002060"/>
          <w:sz w:val="16"/>
          <w:szCs w:val="16"/>
        </w:rPr>
        <w:softHyphen/>
        <w:t>рии полковнику Рябинину, который передавал их начальникам трёх артиллерийских групп (Го- ломбской, центральной и Стенжицкой). Началь</w:t>
      </w:r>
      <w:r w:rsidRPr="00DE096C">
        <w:rPr>
          <w:bCs/>
          <w:color w:val="002060"/>
          <w:sz w:val="16"/>
          <w:szCs w:val="16"/>
        </w:rPr>
        <w:softHyphen/>
        <w:t>ник каждой группы имел свой наблюдательный пункт и телефонную связь с командиром кре</w:t>
      </w:r>
      <w:r w:rsidRPr="00DE096C">
        <w:rPr>
          <w:bCs/>
          <w:color w:val="002060"/>
          <w:sz w:val="16"/>
          <w:szCs w:val="16"/>
        </w:rPr>
        <w:softHyphen/>
        <w:t>постной артиллерии и с командирами своих ба</w:t>
      </w:r>
      <w:r w:rsidRPr="00DE096C">
        <w:rPr>
          <w:bCs/>
          <w:color w:val="002060"/>
          <w:sz w:val="16"/>
          <w:szCs w:val="16"/>
        </w:rPr>
        <w:softHyphen/>
        <w:t>тарей. А.В. Шварц так описал управление артил</w:t>
      </w:r>
      <w:r w:rsidRPr="00DE096C">
        <w:rPr>
          <w:bCs/>
          <w:color w:val="002060"/>
          <w:sz w:val="16"/>
          <w:szCs w:val="16"/>
        </w:rPr>
        <w:softHyphen/>
        <w:t>лерией в бою:</w:t>
      </w:r>
    </w:p>
    <w:p w14:paraId="09343BCC" w14:textId="77777777" w:rsidR="008560E4" w:rsidRPr="00DE096C" w:rsidRDefault="008560E4" w:rsidP="00D45A46">
      <w:pPr>
        <w:pStyle w:val="61"/>
        <w:shd w:val="clear" w:color="auto" w:fill="auto"/>
        <w:spacing w:before="0" w:line="240" w:lineRule="auto"/>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Командир крепостной артиллерии помещался в центральном пункте по управлению огнём артил</w:t>
      </w:r>
      <w:r w:rsidRPr="00DE096C">
        <w:rPr>
          <w:rFonts w:ascii="Times New Roman" w:hAnsi="Times New Roman" w:cs="Times New Roman"/>
          <w:bCs/>
          <w:color w:val="002060"/>
          <w:sz w:val="16"/>
          <w:szCs w:val="16"/>
        </w:rPr>
        <w:softHyphen/>
        <w:t>лерии, помещавшемся в опорожненном бетонном пороховом погребе в цитадели. Здесь находился план крепости и окружающей местности, изображённый в крупном масштабе. На план были нанесены все бата</w:t>
      </w:r>
      <w:r w:rsidRPr="00DE096C">
        <w:rPr>
          <w:rFonts w:ascii="Times New Roman" w:hAnsi="Times New Roman" w:cs="Times New Roman"/>
          <w:bCs/>
          <w:color w:val="002060"/>
          <w:sz w:val="16"/>
          <w:szCs w:val="16"/>
        </w:rPr>
        <w:softHyphen/>
        <w:t>реи, а окружающая местность, где должен был распо</w:t>
      </w:r>
      <w:r w:rsidRPr="00DE096C">
        <w:rPr>
          <w:rFonts w:ascii="Times New Roman" w:hAnsi="Times New Roman" w:cs="Times New Roman"/>
          <w:bCs/>
          <w:color w:val="002060"/>
          <w:sz w:val="16"/>
          <w:szCs w:val="16"/>
        </w:rPr>
        <w:softHyphen/>
        <w:t>лагаться противник, была разбита на клетки (квадраты в 1 дм. в стороне). Каждый такой квадрат имел свой номер и содержал в себе 25 маленьких квадратиков, обозначенных буквой и имеющих по 100 сажен в сто</w:t>
      </w:r>
      <w:r w:rsidRPr="00DE096C">
        <w:rPr>
          <w:rFonts w:ascii="Times New Roman" w:hAnsi="Times New Roman" w:cs="Times New Roman"/>
          <w:bCs/>
          <w:color w:val="002060"/>
          <w:sz w:val="16"/>
          <w:szCs w:val="16"/>
        </w:rPr>
        <w:softHyphen/>
        <w:t>роне. Наблюдательные пункты на привязных шарах 14-й воздухоплавательной роты обслуживали цен</w:t>
      </w:r>
      <w:r w:rsidRPr="00DE096C">
        <w:rPr>
          <w:rFonts w:ascii="Times New Roman" w:hAnsi="Times New Roman" w:cs="Times New Roman"/>
          <w:bCs/>
          <w:color w:val="002060"/>
          <w:sz w:val="16"/>
          <w:szCs w:val="16"/>
        </w:rPr>
        <w:softHyphen/>
        <w:t>тральную и Стенжицкую группы, а шар 5-й роты — Голомбскую. Шары были соединены телефоном с на</w:t>
      </w:r>
      <w:r w:rsidRPr="00DE096C">
        <w:rPr>
          <w:rFonts w:ascii="Times New Roman" w:hAnsi="Times New Roman" w:cs="Times New Roman"/>
          <w:bCs/>
          <w:color w:val="002060"/>
          <w:sz w:val="16"/>
          <w:szCs w:val="16"/>
        </w:rPr>
        <w:softHyphen/>
        <w:t>чальниками групп и со мною, и офицер-наблюдатель имел с собой уменьшенный план квадратов. Как толь</w:t>
      </w:r>
      <w:r w:rsidRPr="00DE096C">
        <w:rPr>
          <w:rFonts w:ascii="Times New Roman" w:hAnsi="Times New Roman" w:cs="Times New Roman"/>
          <w:bCs/>
          <w:color w:val="002060"/>
          <w:sz w:val="16"/>
          <w:szCs w:val="16"/>
        </w:rPr>
        <w:softHyphen/>
        <w:t>ко он замечал в площади, занятой противником, цель, как-то батарею, группу людей, движение обоза и т.п., он прежде всего был обязан сообщить об этом началь</w:t>
      </w:r>
      <w:r w:rsidRPr="00DE096C">
        <w:rPr>
          <w:rFonts w:ascii="Times New Roman" w:hAnsi="Times New Roman" w:cs="Times New Roman"/>
          <w:bCs/>
          <w:color w:val="002060"/>
          <w:sz w:val="16"/>
          <w:szCs w:val="16"/>
        </w:rPr>
        <w:softHyphen/>
        <w:t>нику соответствующей группы наших батарей. Когда наблюдатель замечал что-либо особо важное, напри</w:t>
      </w:r>
      <w:r w:rsidRPr="00DE096C">
        <w:rPr>
          <w:rFonts w:ascii="Times New Roman" w:hAnsi="Times New Roman" w:cs="Times New Roman"/>
          <w:bCs/>
          <w:color w:val="002060"/>
          <w:sz w:val="16"/>
          <w:szCs w:val="16"/>
        </w:rPr>
        <w:softHyphen/>
        <w:t>мер передвижение больших групп и целей, внезапное появление противника в новом месте, он сейчас же давал знать лично мне. В таком случае я принимал ре</w:t>
      </w:r>
      <w:r w:rsidRPr="00DE096C">
        <w:rPr>
          <w:rFonts w:ascii="Times New Roman" w:hAnsi="Times New Roman" w:cs="Times New Roman"/>
          <w:bCs/>
          <w:color w:val="002060"/>
          <w:sz w:val="16"/>
          <w:szCs w:val="16"/>
        </w:rPr>
        <w:softHyphen/>
        <w:t>шение и сообщал его в виде приказания начальнику крепостной артиллерии, который сообщал начальни</w:t>
      </w:r>
      <w:r w:rsidRPr="00DE096C">
        <w:rPr>
          <w:rFonts w:ascii="Times New Roman" w:hAnsi="Times New Roman" w:cs="Times New Roman"/>
          <w:bCs/>
          <w:color w:val="002060"/>
          <w:sz w:val="16"/>
          <w:szCs w:val="16"/>
        </w:rPr>
        <w:softHyphen/>
        <w:t>кам групп и т. д. &lt;.. .&gt; Во всех остальных случаях ини</w:t>
      </w:r>
      <w:r w:rsidRPr="00DE096C">
        <w:rPr>
          <w:rFonts w:ascii="Times New Roman" w:hAnsi="Times New Roman" w:cs="Times New Roman"/>
          <w:bCs/>
          <w:color w:val="002060"/>
          <w:sz w:val="16"/>
          <w:szCs w:val="16"/>
        </w:rPr>
        <w:softHyphen/>
        <w:t>циатива открытия огня предоставлялась начальникам групп, чём выигрывалось время (19120).</w:t>
      </w:r>
    </w:p>
    <w:p w14:paraId="33E6A84C" w14:textId="77777777" w:rsidR="008560E4" w:rsidRPr="00DE096C" w:rsidRDefault="008560E4" w:rsidP="00D45A46">
      <w:pPr>
        <w:pStyle w:val="61"/>
        <w:shd w:val="clear" w:color="auto" w:fill="auto"/>
        <w:spacing w:before="0" w:line="240" w:lineRule="auto"/>
        <w:jc w:val="both"/>
        <w:rPr>
          <w:rFonts w:ascii="Times New Roman" w:hAnsi="Times New Roman" w:cs="Times New Roman"/>
          <w:bCs/>
          <w:color w:val="002060"/>
          <w:sz w:val="16"/>
          <w:szCs w:val="16"/>
        </w:rPr>
      </w:pPr>
    </w:p>
    <w:p w14:paraId="4C9B1F7B" w14:textId="14C16DF8" w:rsidR="00811FF4" w:rsidRPr="00DE096C" w:rsidRDefault="00811FF4" w:rsidP="00D45A46">
      <w:pPr>
        <w:pStyle w:val="a3"/>
        <w:jc w:val="both"/>
        <w:rPr>
          <w:bCs/>
          <w:color w:val="002060"/>
          <w:spacing w:val="0"/>
          <w:kern w:val="0"/>
          <w:position w:val="0"/>
          <w:sz w:val="16"/>
          <w:szCs w:val="16"/>
        </w:rPr>
      </w:pPr>
      <w:r w:rsidRPr="00DE096C">
        <w:rPr>
          <w:bCs/>
          <w:color w:val="002060"/>
          <w:spacing w:val="0"/>
          <w:kern w:val="0"/>
          <w:position w:val="0"/>
          <w:sz w:val="16"/>
          <w:szCs w:val="16"/>
        </w:rPr>
        <w:t>Авиация и воздухоплавание Германии:</w:t>
      </w:r>
    </w:p>
    <w:p w14:paraId="76138FDE" w14:textId="77777777" w:rsidR="00811FF4" w:rsidRPr="00DE096C" w:rsidRDefault="00811FF4" w:rsidP="00D45A46">
      <w:pPr>
        <w:pStyle w:val="a3"/>
        <w:jc w:val="both"/>
        <w:rPr>
          <w:bCs/>
          <w:color w:val="002060"/>
          <w:spacing w:val="0"/>
          <w:kern w:val="0"/>
          <w:position w:val="0"/>
          <w:sz w:val="16"/>
          <w:szCs w:val="16"/>
        </w:rPr>
      </w:pPr>
    </w:p>
    <w:p w14:paraId="7064E16E" w14:textId="77777777" w:rsidR="00811FF4" w:rsidRPr="00DE096C" w:rsidRDefault="00811FF4" w:rsidP="00D45A46">
      <w:pPr>
        <w:jc w:val="both"/>
        <w:rPr>
          <w:bCs/>
          <w:color w:val="002060"/>
          <w:sz w:val="16"/>
          <w:szCs w:val="16"/>
        </w:rPr>
      </w:pPr>
      <w:r w:rsidRPr="00DE096C">
        <w:rPr>
          <w:bCs/>
          <w:color w:val="002060"/>
          <w:sz w:val="16"/>
          <w:szCs w:val="16"/>
        </w:rPr>
        <w:t>11 - 12 (24-25) сентября 1914 года к боевой работе на русском фронте подключился Z-IV, который, вылетев из Кенигсберга, выполнил налет на Варшаву, а позднее — на Лык, где получил множество пробоин. Результаты первых боевых полетов дирижаблей были вполне успешными, однако командование требовало поставки в район боевых [181] действий более совершенных воздушных кораблей (11324).</w:t>
      </w:r>
    </w:p>
    <w:p w14:paraId="69293664" w14:textId="77777777" w:rsidR="00811FF4" w:rsidRPr="00DE096C" w:rsidRDefault="00811FF4" w:rsidP="00D45A46">
      <w:pPr>
        <w:jc w:val="both"/>
        <w:rPr>
          <w:bCs/>
          <w:color w:val="002060"/>
          <w:sz w:val="16"/>
          <w:szCs w:val="16"/>
        </w:rPr>
      </w:pPr>
    </w:p>
    <w:p w14:paraId="20415606" w14:textId="597C7EAE" w:rsidR="00DC2C74" w:rsidRPr="00DE096C" w:rsidRDefault="00DC2C74" w:rsidP="00DC2C74">
      <w:pPr>
        <w:pStyle w:val="a3"/>
        <w:jc w:val="both"/>
        <w:rPr>
          <w:bCs/>
          <w:color w:val="002060"/>
          <w:spacing w:val="0"/>
          <w:kern w:val="0"/>
          <w:position w:val="0"/>
          <w:sz w:val="16"/>
          <w:szCs w:val="16"/>
        </w:rPr>
      </w:pPr>
      <w:r w:rsidRPr="00DE096C">
        <w:rPr>
          <w:bCs/>
          <w:color w:val="002060"/>
          <w:spacing w:val="0"/>
          <w:kern w:val="0"/>
          <w:position w:val="0"/>
          <w:sz w:val="16"/>
          <w:szCs w:val="16"/>
        </w:rPr>
        <w:t xml:space="preserve">Авиация и воздухоплавание </w:t>
      </w:r>
      <w:r>
        <w:rPr>
          <w:bCs/>
          <w:color w:val="002060"/>
          <w:spacing w:val="0"/>
          <w:kern w:val="0"/>
          <w:position w:val="0"/>
          <w:sz w:val="16"/>
          <w:szCs w:val="16"/>
        </w:rPr>
        <w:t>Франции</w:t>
      </w:r>
      <w:r w:rsidRPr="00DE096C">
        <w:rPr>
          <w:bCs/>
          <w:color w:val="002060"/>
          <w:spacing w:val="0"/>
          <w:kern w:val="0"/>
          <w:position w:val="0"/>
          <w:sz w:val="16"/>
          <w:szCs w:val="16"/>
        </w:rPr>
        <w:t>:</w:t>
      </w:r>
    </w:p>
    <w:p w14:paraId="058DF0AF" w14:textId="77777777" w:rsidR="00DC2C74" w:rsidRPr="00DE096C" w:rsidRDefault="00DC2C74" w:rsidP="00DC2C74">
      <w:pPr>
        <w:pStyle w:val="a3"/>
        <w:jc w:val="both"/>
        <w:rPr>
          <w:bCs/>
          <w:color w:val="002060"/>
          <w:spacing w:val="0"/>
          <w:kern w:val="0"/>
          <w:position w:val="0"/>
          <w:sz w:val="16"/>
          <w:szCs w:val="16"/>
        </w:rPr>
      </w:pPr>
    </w:p>
    <w:p w14:paraId="718AA011" w14:textId="77777777" w:rsidR="00DC2C74" w:rsidRPr="00B52707" w:rsidRDefault="00DC2C74" w:rsidP="00DC2C74">
      <w:pPr>
        <w:jc w:val="both"/>
        <w:rPr>
          <w:color w:val="0070C0"/>
          <w:sz w:val="16"/>
          <w:szCs w:val="16"/>
        </w:rPr>
      </w:pPr>
      <w:r w:rsidRPr="00B52707">
        <w:rPr>
          <w:color w:val="0070C0"/>
          <w:sz w:val="16"/>
          <w:szCs w:val="16"/>
        </w:rPr>
        <w:t>11 (24) сентября 1914 г. (по др. данным – 25.09.14 г.) во Франции на аэродроме Дижон-Лонгви (Dijon-Longvic, центральная часть Франции на стратегическом шоссе Париж – Бордо) сформирована эскадрилья MS 31. Она вооружена самолетами Моран-Солнье Тип H (3 штуки). Командиром АЭ назначен капитан Раймон Йенс (Cne. Raymond Yence).</w:t>
      </w:r>
    </w:p>
    <w:p w14:paraId="6E2B9380" w14:textId="77777777" w:rsidR="00DC2C74" w:rsidRPr="00B52707" w:rsidRDefault="00DC2C74" w:rsidP="00DC2C74">
      <w:pPr>
        <w:jc w:val="both"/>
        <w:rPr>
          <w:color w:val="0070C0"/>
          <w:sz w:val="16"/>
          <w:szCs w:val="16"/>
        </w:rPr>
      </w:pPr>
      <w:r w:rsidRPr="00B52707">
        <w:rPr>
          <w:color w:val="0070C0"/>
          <w:sz w:val="16"/>
          <w:szCs w:val="16"/>
        </w:rPr>
        <w:t>26 сентября 1914 г. эскадрилья MS 31 (три самолета Тип Н) получила приказ убыть на полевой аэродром Туль (Toul, Мёрт и Мозель, Лотарингия граница с Бельгией).</w:t>
      </w:r>
    </w:p>
    <w:p w14:paraId="18C681ED" w14:textId="77777777" w:rsidR="00DC2C74" w:rsidRPr="00B52707" w:rsidRDefault="00DC2C74" w:rsidP="00DC2C74">
      <w:pPr>
        <w:jc w:val="both"/>
        <w:rPr>
          <w:color w:val="0070C0"/>
          <w:sz w:val="16"/>
          <w:szCs w:val="16"/>
        </w:rPr>
      </w:pPr>
      <w:r w:rsidRPr="00B52707">
        <w:rPr>
          <w:color w:val="0070C0"/>
          <w:sz w:val="16"/>
          <w:szCs w:val="16"/>
        </w:rPr>
        <w:t>5 октября 1914 г. эскадрилья MS 31 (три самолета Тип Н) прибыла на полевой аэродром Туль на границе с Бельгией и поступила в подчинение штабу 73-й пехотной дивизии 8-го армейского корпуса 1-1 Армии (73ПД 8АК 1А). Она получила задачу ведения разведки с целью оперативного вскрытия передвижений немецких войск, но выполняла ее неудовлетворительно. Причиной тому были нехватка и плохое техническое состояние самолетов, и недостатки организационного плана, и слабая подготовка летчиков, но главное – отсутствие боевого опыта.</w:t>
      </w:r>
    </w:p>
    <w:p w14:paraId="12730E48" w14:textId="77777777" w:rsidR="00DC2C74" w:rsidRPr="00B52707" w:rsidRDefault="00DC2C74" w:rsidP="00DC2C74">
      <w:pPr>
        <w:jc w:val="both"/>
        <w:rPr>
          <w:color w:val="0070C0"/>
          <w:sz w:val="16"/>
          <w:szCs w:val="16"/>
        </w:rPr>
      </w:pPr>
      <w:r w:rsidRPr="00B52707">
        <w:rPr>
          <w:color w:val="0070C0"/>
          <w:sz w:val="16"/>
          <w:szCs w:val="16"/>
        </w:rPr>
        <w:t>25 октября 1914 г. новым командиром эскадрильи MS 31 назначен лейтенант Робер Шлюмбергер (Ltt. Robert Schlumberger).</w:t>
      </w:r>
    </w:p>
    <w:p w14:paraId="62F7A7F0" w14:textId="77777777" w:rsidR="00DC2C74" w:rsidRPr="00B52707" w:rsidRDefault="00DC2C74" w:rsidP="00DC2C74">
      <w:pPr>
        <w:jc w:val="both"/>
        <w:rPr>
          <w:color w:val="0070C0"/>
          <w:sz w:val="16"/>
          <w:szCs w:val="16"/>
        </w:rPr>
      </w:pPr>
      <w:r w:rsidRPr="00B52707">
        <w:rPr>
          <w:color w:val="0070C0"/>
          <w:sz w:val="16"/>
          <w:szCs w:val="16"/>
        </w:rPr>
        <w:t>В ноябре 1914 г. эскадрильи MS 31 начала получать самолеты Morane Type L Parasol и к концу месяца получила 6 машин этого типа, а самолеты Тип Н эксплуатировать прекратила (25704).</w:t>
      </w:r>
    </w:p>
    <w:p w14:paraId="51F27C7A" w14:textId="77777777" w:rsidR="00DC2C74" w:rsidRPr="00B52707" w:rsidRDefault="00DC2C74" w:rsidP="00DC2C74">
      <w:pPr>
        <w:jc w:val="both"/>
        <w:rPr>
          <w:color w:val="0070C0"/>
          <w:sz w:val="16"/>
          <w:szCs w:val="16"/>
        </w:rPr>
      </w:pPr>
    </w:p>
    <w:p w14:paraId="3C5363A2" w14:textId="77777777" w:rsidR="00B67D7C" w:rsidRPr="00DE096C" w:rsidRDefault="00B67D7C" w:rsidP="00D45A46">
      <w:pPr>
        <w:jc w:val="both"/>
        <w:rPr>
          <w:bCs/>
          <w:i/>
          <w:color w:val="002060"/>
          <w:sz w:val="16"/>
          <w:szCs w:val="16"/>
        </w:rPr>
      </w:pPr>
      <w:r w:rsidRPr="00DE096C">
        <w:rPr>
          <w:bCs/>
          <w:i/>
          <w:color w:val="002060"/>
          <w:sz w:val="16"/>
          <w:szCs w:val="16"/>
        </w:rPr>
        <w:t>Самолетостроение:</w:t>
      </w:r>
    </w:p>
    <w:p w14:paraId="66222181" w14:textId="77777777" w:rsidR="00B67D7C" w:rsidRPr="00DE096C" w:rsidRDefault="00B67D7C" w:rsidP="00D45A46">
      <w:pPr>
        <w:jc w:val="both"/>
        <w:rPr>
          <w:bCs/>
          <w:i/>
          <w:color w:val="002060"/>
          <w:sz w:val="16"/>
          <w:szCs w:val="16"/>
        </w:rPr>
      </w:pPr>
    </w:p>
    <w:p w14:paraId="42C0E2EB" w14:textId="68ADC6CD" w:rsidR="00D631B8" w:rsidRPr="00DE096C" w:rsidRDefault="00D631B8" w:rsidP="00D45A46">
      <w:pPr>
        <w:jc w:val="both"/>
        <w:rPr>
          <w:bCs/>
          <w:color w:val="002060"/>
          <w:sz w:val="16"/>
          <w:szCs w:val="16"/>
        </w:rPr>
      </w:pPr>
      <w:r w:rsidRPr="00DE096C">
        <w:rPr>
          <w:bCs/>
          <w:color w:val="002060"/>
          <w:sz w:val="16"/>
          <w:szCs w:val="16"/>
        </w:rPr>
        <w:t>12 (25) сентября 1914 на Балтийский завод отправили письмо, выражавшее желательность начала по</w:t>
      </w:r>
      <w:r w:rsidRPr="00DE096C">
        <w:rPr>
          <w:bCs/>
          <w:color w:val="002060"/>
          <w:sz w:val="16"/>
          <w:szCs w:val="16"/>
        </w:rPr>
        <w:softHyphen/>
        <w:t>стройки прототипа (самолета-амфибии Гаккеля), но при ведении всех работ за счет изготовителя и при условии их за</w:t>
      </w:r>
      <w:r w:rsidRPr="00DE096C">
        <w:rPr>
          <w:bCs/>
          <w:color w:val="002060"/>
          <w:sz w:val="16"/>
          <w:szCs w:val="16"/>
        </w:rPr>
        <w:softHyphen/>
        <w:t>вершения к 15 апреля 1915 г. Технические требования предусматривали наличие экипажа из 5 человек и дополнительного груза в 150 кг, достижение скорости около 100 км/ч (но не менее 90 км/ч), скороподъёмности 1000 м за 25 минут и, наконец, 10-часовой про</w:t>
      </w:r>
      <w:r w:rsidRPr="00DE096C">
        <w:rPr>
          <w:bCs/>
          <w:color w:val="002060"/>
          <w:sz w:val="16"/>
          <w:szCs w:val="16"/>
        </w:rPr>
        <w:softHyphen/>
        <w:t>должительности полёта. В случае необходимости аппарат должен был нести радиостан</w:t>
      </w:r>
      <w:r w:rsidRPr="00DE096C">
        <w:rPr>
          <w:bCs/>
          <w:color w:val="002060"/>
          <w:sz w:val="16"/>
          <w:szCs w:val="16"/>
        </w:rPr>
        <w:softHyphen/>
        <w:t xml:space="preserve">цию, приборы бомбометания, пулемёт или легкое орудие. Во время сдаточных испытаний от него требовалось, во-первых, выполнить двухчасовой полёт, в ходе которого пилоты сменяли бы один другого, затем спланировать с 500 м и сесть с </w:t>
      </w:r>
      <w:r w:rsidRPr="00DE096C">
        <w:rPr>
          <w:bCs/>
          <w:color w:val="002060"/>
          <w:sz w:val="16"/>
          <w:szCs w:val="16"/>
        </w:rPr>
        <w:lastRenderedPageBreak/>
        <w:t>выключенными мотора</w:t>
      </w:r>
      <w:r w:rsidRPr="00DE096C">
        <w:rPr>
          <w:bCs/>
          <w:color w:val="002060"/>
          <w:sz w:val="16"/>
          <w:szCs w:val="16"/>
        </w:rPr>
        <w:softHyphen/>
        <w:t>ми и, в-третьих, самостоятельно взлететь, набрать высоту 300 м, остановить один из двигателей и держаться на втором не менее 6 минут. В соответствии с общей практи</w:t>
      </w:r>
      <w:r w:rsidRPr="00DE096C">
        <w:rPr>
          <w:bCs/>
          <w:color w:val="002060"/>
          <w:sz w:val="16"/>
          <w:szCs w:val="16"/>
        </w:rPr>
        <w:softHyphen/>
        <w:t>кой, Морское ведомство назначало офицера, наблюдавшего за ходом сборки (15782).</w:t>
      </w:r>
    </w:p>
    <w:p w14:paraId="7CCE28F5" w14:textId="77777777" w:rsidR="00D631B8" w:rsidRPr="00DE096C" w:rsidRDefault="00D631B8" w:rsidP="00D45A46">
      <w:pPr>
        <w:jc w:val="both"/>
        <w:rPr>
          <w:bCs/>
          <w:color w:val="002060"/>
          <w:sz w:val="16"/>
          <w:szCs w:val="16"/>
        </w:rPr>
      </w:pPr>
    </w:p>
    <w:p w14:paraId="466C4208" w14:textId="1E874786" w:rsidR="00B67D7C" w:rsidRPr="00DE096C" w:rsidRDefault="00B67D7C" w:rsidP="00D45A46">
      <w:pPr>
        <w:jc w:val="both"/>
        <w:rPr>
          <w:bCs/>
          <w:color w:val="002060"/>
          <w:sz w:val="16"/>
          <w:szCs w:val="16"/>
        </w:rPr>
      </w:pPr>
      <w:r w:rsidRPr="00DE096C">
        <w:rPr>
          <w:bCs/>
          <w:color w:val="002060"/>
          <w:sz w:val="16"/>
          <w:szCs w:val="16"/>
        </w:rPr>
        <w:t xml:space="preserve">12 (25) сентября 1914 </w:t>
      </w:r>
      <w:r w:rsidR="00D631B8" w:rsidRPr="00DE096C">
        <w:rPr>
          <w:bCs/>
          <w:color w:val="002060"/>
          <w:sz w:val="16"/>
          <w:szCs w:val="16"/>
        </w:rPr>
        <w:t xml:space="preserve">на Балтийский завод </w:t>
      </w:r>
      <w:r w:rsidRPr="00DE096C">
        <w:rPr>
          <w:bCs/>
          <w:color w:val="002060"/>
          <w:sz w:val="16"/>
          <w:szCs w:val="16"/>
        </w:rPr>
        <w:t>отправили письмо, выражав</w:t>
      </w:r>
      <w:r w:rsidRPr="00DE096C">
        <w:rPr>
          <w:bCs/>
          <w:color w:val="002060"/>
          <w:sz w:val="16"/>
          <w:szCs w:val="16"/>
        </w:rPr>
        <w:softHyphen/>
        <w:t>шее желательность начала постройки прототипа, но при ведении всех работ за счет изготовителя и при ус</w:t>
      </w:r>
      <w:r w:rsidRPr="00DE096C">
        <w:rPr>
          <w:bCs/>
          <w:color w:val="002060"/>
          <w:sz w:val="16"/>
          <w:szCs w:val="16"/>
        </w:rPr>
        <w:softHyphen/>
        <w:t>ловии их завершения к 15 апреля 1915 г. Технические требования предусматривали наличие экипажа из 5 че</w:t>
      </w:r>
      <w:r w:rsidRPr="00DE096C">
        <w:rPr>
          <w:bCs/>
          <w:color w:val="002060"/>
          <w:sz w:val="16"/>
          <w:szCs w:val="16"/>
        </w:rPr>
        <w:softHyphen/>
        <w:t>ловек и дополнительного груза в 150 кг, достижение скорости около 100 км/ч (но не менее 90 км/ч), скороподъсмности 1000 м за 25 минут и, наконец, 10-часовой продолжительности полета. В случае необходимости аппарат должен был нести ра</w:t>
      </w:r>
      <w:r w:rsidRPr="00DE096C">
        <w:rPr>
          <w:bCs/>
          <w:color w:val="002060"/>
          <w:sz w:val="16"/>
          <w:szCs w:val="16"/>
        </w:rPr>
        <w:softHyphen/>
        <w:t>диостанцию, приборы бомбометания, пулемет или легкое орудие. Во время сдаточных ис</w:t>
      </w:r>
      <w:r w:rsidRPr="00DE096C">
        <w:rPr>
          <w:bCs/>
          <w:color w:val="002060"/>
          <w:sz w:val="16"/>
          <w:szCs w:val="16"/>
        </w:rPr>
        <w:softHyphen/>
        <w:t>пытаний от него требовалось, во-первых, выполнить двухчасовой полет, в ходе которого пилоты сменяли бы один другого, затем спланировать с 500 м и сесть с выключенными моторами и, в-третьих, самостоятельно взлететь, набрать высоту 300 м, остановить один из двигателей и держаться на втором не менее 6 минут. В соответствии с общей практикой, Морское ведомство назначало офицера, наблюдавшего за ходом сборки (2843).</w:t>
      </w:r>
    </w:p>
    <w:p w14:paraId="422E0386" w14:textId="77777777" w:rsidR="00B67D7C" w:rsidRPr="00DE096C" w:rsidRDefault="00B67D7C" w:rsidP="00D45A46">
      <w:pPr>
        <w:jc w:val="both"/>
        <w:rPr>
          <w:bCs/>
          <w:color w:val="002060"/>
          <w:sz w:val="16"/>
          <w:szCs w:val="16"/>
        </w:rPr>
      </w:pPr>
    </w:p>
    <w:p w14:paraId="07C0D4C5" w14:textId="4E2F7C2D" w:rsidR="00B67D7C" w:rsidRPr="00DE096C" w:rsidRDefault="00B67D7C" w:rsidP="00D45A46">
      <w:pPr>
        <w:jc w:val="both"/>
        <w:rPr>
          <w:bCs/>
          <w:color w:val="002060"/>
          <w:sz w:val="16"/>
          <w:szCs w:val="16"/>
        </w:rPr>
      </w:pPr>
      <w:bookmarkStart w:id="163" w:name="_Hlk117324231"/>
      <w:r w:rsidRPr="00DE096C">
        <w:rPr>
          <w:bCs/>
          <w:color w:val="002060"/>
          <w:sz w:val="16"/>
          <w:szCs w:val="16"/>
        </w:rPr>
        <w:t xml:space="preserve">12 </w:t>
      </w:r>
      <w:r w:rsidR="009E7F89" w:rsidRPr="00DE096C">
        <w:rPr>
          <w:bCs/>
          <w:color w:val="002060"/>
          <w:sz w:val="16"/>
          <w:szCs w:val="16"/>
        </w:rPr>
        <w:t xml:space="preserve">(25) </w:t>
      </w:r>
      <w:r w:rsidRPr="00DE096C">
        <w:rPr>
          <w:bCs/>
          <w:color w:val="002060"/>
          <w:sz w:val="16"/>
          <w:szCs w:val="16"/>
        </w:rPr>
        <w:t xml:space="preserve">сентября 1914 г. </w:t>
      </w:r>
      <w:r w:rsidR="009E7F89" w:rsidRPr="00DE096C">
        <w:rPr>
          <w:bCs/>
          <w:color w:val="002060"/>
          <w:sz w:val="16"/>
          <w:szCs w:val="16"/>
        </w:rPr>
        <w:t xml:space="preserve">во Франции было заказано шесть летающих лодок ФБА (Ргапсо-ВпТ1сЬ-Ау|'а1юп - франко-британская фирма, строившая летающие лодки с 1912 г.). </w:t>
      </w:r>
      <w:r w:rsidRPr="00DE096C">
        <w:rPr>
          <w:bCs/>
          <w:color w:val="002060"/>
          <w:sz w:val="16"/>
          <w:szCs w:val="16"/>
        </w:rPr>
        <w:t>На тот момент это были наиболее доведенные машины, как по конструкции, так и по летным и эксплуатационным характеристикам. Сравнение двух типов аппаратов было явно не в пользу М-2, поэтому представители флота заняли более жесткую позицию в отношении приемки лодок Григоровича. К первому января 1915 г. ни одна из них еще не прошла сдаточных испытаний (12083).</w:t>
      </w:r>
    </w:p>
    <w:p w14:paraId="0BAF4A15" w14:textId="77777777" w:rsidR="00B67D7C" w:rsidRPr="00DE096C" w:rsidRDefault="00B67D7C" w:rsidP="00D45A46">
      <w:pPr>
        <w:jc w:val="both"/>
        <w:rPr>
          <w:bCs/>
          <w:color w:val="002060"/>
          <w:sz w:val="16"/>
          <w:szCs w:val="16"/>
        </w:rPr>
      </w:pPr>
    </w:p>
    <w:bookmarkEnd w:id="163"/>
    <w:p w14:paraId="5EB9CA2A" w14:textId="77777777" w:rsidR="00562E95" w:rsidRPr="00DE096C" w:rsidRDefault="00562E95" w:rsidP="00D45A46">
      <w:pPr>
        <w:jc w:val="both"/>
        <w:rPr>
          <w:bCs/>
          <w:i/>
          <w:color w:val="002060"/>
          <w:sz w:val="16"/>
          <w:szCs w:val="16"/>
        </w:rPr>
      </w:pPr>
      <w:r w:rsidRPr="00DE096C">
        <w:rPr>
          <w:bCs/>
          <w:i/>
          <w:color w:val="002060"/>
          <w:sz w:val="16"/>
          <w:szCs w:val="16"/>
        </w:rPr>
        <w:t>Другие оборонные отрасли:</w:t>
      </w:r>
    </w:p>
    <w:p w14:paraId="188D927D" w14:textId="77777777" w:rsidR="00562E95" w:rsidRPr="00DE096C" w:rsidRDefault="00562E95" w:rsidP="00D45A46">
      <w:pPr>
        <w:jc w:val="both"/>
        <w:rPr>
          <w:bCs/>
          <w:i/>
          <w:color w:val="002060"/>
          <w:sz w:val="16"/>
          <w:szCs w:val="16"/>
        </w:rPr>
      </w:pPr>
    </w:p>
    <w:p w14:paraId="0A39881A" w14:textId="6839AE1E" w:rsidR="00562E95" w:rsidRPr="00DE096C" w:rsidRDefault="00562E95" w:rsidP="00D45A46">
      <w:pPr>
        <w:pStyle w:val="a5"/>
        <w:rPr>
          <w:bCs/>
          <w:color w:val="002060"/>
          <w:sz w:val="16"/>
          <w:szCs w:val="16"/>
          <w:lang w:val="ru-RU"/>
        </w:rPr>
      </w:pPr>
      <w:r w:rsidRPr="00DE096C">
        <w:rPr>
          <w:bCs/>
          <w:color w:val="002060"/>
          <w:sz w:val="16"/>
          <w:szCs w:val="16"/>
          <w:lang w:val="ru-RU"/>
        </w:rPr>
        <w:t xml:space="preserve">К 12 </w:t>
      </w:r>
      <w:r w:rsidR="00D631B8" w:rsidRPr="00DE096C">
        <w:rPr>
          <w:bCs/>
          <w:color w:val="002060"/>
          <w:sz w:val="16"/>
          <w:szCs w:val="16"/>
          <w:lang w:val="ru-RU"/>
        </w:rPr>
        <w:t xml:space="preserve">(25) </w:t>
      </w:r>
      <w:r w:rsidRPr="00DE096C">
        <w:rPr>
          <w:bCs/>
          <w:color w:val="002060"/>
          <w:sz w:val="16"/>
          <w:szCs w:val="16"/>
          <w:lang w:val="ru-RU"/>
        </w:rPr>
        <w:t>сентября 1914 г. на основании закона о военно-автомобильной повинности у населения реквизировали 983 мотоцикла. Предполагалось, что мотоциклы поступят на оснащение четырех вновь организуемых мотоциклетных рот, или отделений, однако фак</w:t>
      </w:r>
      <w:r w:rsidRPr="00DE096C">
        <w:rPr>
          <w:bCs/>
          <w:color w:val="002060"/>
          <w:sz w:val="16"/>
          <w:szCs w:val="16"/>
          <w:lang w:val="ru-RU"/>
        </w:rPr>
        <w:softHyphen/>
        <w:t xml:space="preserve">тически было сформировано лишь две, убывшие на фронт в августе </w:t>
      </w:r>
      <w:r w:rsidRPr="00DE096C">
        <w:rPr>
          <w:rStyle w:val="49"/>
          <w:rFonts w:ascii="Times New Roman" w:hAnsi="Times New Roman" w:cs="Times New Roman"/>
          <w:b w:val="0"/>
          <w:color w:val="002060"/>
          <w:sz w:val="16"/>
          <w:szCs w:val="16"/>
          <w:lang w:val="ru-RU"/>
        </w:rPr>
        <w:t>и</w:t>
      </w:r>
      <w:r w:rsidRPr="00DE096C">
        <w:rPr>
          <w:bCs/>
          <w:color w:val="002060"/>
          <w:sz w:val="16"/>
          <w:szCs w:val="16"/>
          <w:lang w:val="ru-RU"/>
        </w:rPr>
        <w:t xml:space="preserve"> сентябре соответственно. В ноябре 1914 г. утвердили положение о формировании еще 16 мотоциклетных отделений, получивших номера с 5 по 20. Согласно табелю, каждое отделение должно было насчиты</w:t>
      </w:r>
      <w:r w:rsidRPr="00DE096C">
        <w:rPr>
          <w:bCs/>
          <w:color w:val="002060"/>
          <w:sz w:val="16"/>
          <w:szCs w:val="16"/>
          <w:lang w:val="ru-RU"/>
        </w:rPr>
        <w:softHyphen/>
        <w:t>вать 41 мотоцикл, один легковой и два грузовых автомобиля (15741).</w:t>
      </w:r>
    </w:p>
    <w:p w14:paraId="5C26F3E2" w14:textId="77777777" w:rsidR="00562E95" w:rsidRPr="00DE096C" w:rsidRDefault="00562E95" w:rsidP="00D45A46">
      <w:pPr>
        <w:pStyle w:val="a5"/>
        <w:rPr>
          <w:bCs/>
          <w:color w:val="002060"/>
          <w:sz w:val="16"/>
          <w:szCs w:val="16"/>
          <w:lang w:val="ru-RU"/>
        </w:rPr>
      </w:pPr>
    </w:p>
    <w:p w14:paraId="5D6705E8" w14:textId="55112508" w:rsidR="003B2F98" w:rsidRPr="00DE096C" w:rsidRDefault="003B2F98" w:rsidP="00D45A46">
      <w:pPr>
        <w:jc w:val="both"/>
        <w:rPr>
          <w:bCs/>
          <w:color w:val="002060"/>
          <w:sz w:val="16"/>
          <w:szCs w:val="16"/>
        </w:rPr>
      </w:pPr>
      <w:r w:rsidRPr="00DE096C">
        <w:rPr>
          <w:bCs/>
          <w:color w:val="002060"/>
          <w:sz w:val="16"/>
          <w:szCs w:val="16"/>
        </w:rPr>
        <w:t xml:space="preserve">12 </w:t>
      </w:r>
      <w:r w:rsidR="00D631B8" w:rsidRPr="00DE096C">
        <w:rPr>
          <w:bCs/>
          <w:color w:val="002060"/>
          <w:sz w:val="16"/>
          <w:szCs w:val="16"/>
        </w:rPr>
        <w:t xml:space="preserve">(25) </w:t>
      </w:r>
      <w:r w:rsidRPr="00DE096C">
        <w:rPr>
          <w:bCs/>
          <w:color w:val="002060"/>
          <w:sz w:val="16"/>
          <w:szCs w:val="16"/>
        </w:rPr>
        <w:t>сентября 1914 г. на основании закона о военно-автомобильной повинности к у населения было реквизировано 983 мотоцикла. Предполагалось, что мотоциклы поступят на оснащение четырех вновь организуемых мотоциклетных рот или отделений, однако фактически было сформировано лишь две, убывших на фронт в августе и сентябре соответственно. В ноябре 1914 г. было утверждено положение о формировании ещё 16 мотоциклетных отделений, получивших номера с 5 по 20. Согласно табелю в каждом отделении должны были состоять 41 мотоцикл, один легковой и два грузовых автомобиля (19776).</w:t>
      </w:r>
    </w:p>
    <w:p w14:paraId="545A8932" w14:textId="77777777" w:rsidR="003B2F98" w:rsidRPr="00DE096C" w:rsidRDefault="003B2F98" w:rsidP="00D45A46">
      <w:pPr>
        <w:jc w:val="both"/>
        <w:rPr>
          <w:bCs/>
          <w:color w:val="002060"/>
          <w:sz w:val="16"/>
          <w:szCs w:val="16"/>
        </w:rPr>
      </w:pPr>
    </w:p>
    <w:p w14:paraId="304E1CEE" w14:textId="182497CD" w:rsidR="003B2F98" w:rsidRPr="00DE096C" w:rsidRDefault="003B2F98" w:rsidP="00D45A46">
      <w:pPr>
        <w:jc w:val="both"/>
        <w:rPr>
          <w:bCs/>
          <w:color w:val="002060"/>
          <w:sz w:val="16"/>
          <w:szCs w:val="16"/>
        </w:rPr>
      </w:pPr>
      <w:r w:rsidRPr="00DE096C">
        <w:rPr>
          <w:bCs/>
          <w:color w:val="002060"/>
          <w:sz w:val="16"/>
          <w:szCs w:val="16"/>
        </w:rPr>
        <w:t xml:space="preserve">К 12 </w:t>
      </w:r>
      <w:r w:rsidR="00D631B8" w:rsidRPr="00DE096C">
        <w:rPr>
          <w:bCs/>
          <w:color w:val="002060"/>
          <w:sz w:val="16"/>
          <w:szCs w:val="16"/>
        </w:rPr>
        <w:t xml:space="preserve">(25) </w:t>
      </w:r>
      <w:r w:rsidRPr="00DE096C">
        <w:rPr>
          <w:bCs/>
          <w:color w:val="002060"/>
          <w:sz w:val="16"/>
          <w:szCs w:val="16"/>
        </w:rPr>
        <w:t>сентября 1914 военные учли 983 реквизированных мотоцикла. В августе 1914 г. параллельно с началом формирования мотоциклетных частей председатель особой комиссии и начальник ВАШ, полковник П. И. Секретов подготовил представление, согласно которого следовало срочно приобрести 3000 мотоциклов и 455 боковых колясок к ним. Это представление 30 августа было одобрено Военным Советом. Позднее заказ существенно увеличили. Заказ на первую партию в 3000 мотоциклов поручили четырем английским и двум американским фирмам. В дальнейшем мотоциклы самых разных марок стали приобретаться и в других странах, например в Италии и Франции. Помимо реквизиций у гражданского населения и закупки за рубежом, в период с июля 1915 г. по июнь 1916 г. у подданных стран, находившихся в войне с Россией, конфисковали 1802 мотоцикла. Из общего числа мотоциклов, поступивших военным, наибольшее число поставила фирма «Индиан» — 2300 шт. Фирмы «Харлей-Дэвидсон» и «Рудж-Мульт» направили военным 680 и 650 шт. мотоциклов соответственно. Поставки мотоциклов большинства остальных (более чем пятидесяти фирм) исчислялись преимущественно десятками или даже единицами. Хотя Indian лидировала в поставках мотоциклов в годы Первой мировой войны, в последующие годы она уступила пальму первенства Harley-Davidson (19776).</w:t>
      </w:r>
    </w:p>
    <w:p w14:paraId="3FB8A12A" w14:textId="77777777" w:rsidR="003B2F98" w:rsidRPr="00DE096C" w:rsidRDefault="003B2F98" w:rsidP="00D45A46">
      <w:pPr>
        <w:jc w:val="both"/>
        <w:rPr>
          <w:bCs/>
          <w:color w:val="002060"/>
          <w:sz w:val="16"/>
          <w:szCs w:val="16"/>
        </w:rPr>
      </w:pPr>
    </w:p>
    <w:p w14:paraId="617A516B" w14:textId="77777777" w:rsidR="00D631B8" w:rsidRPr="00DE096C" w:rsidRDefault="00D631B8" w:rsidP="00D45A46">
      <w:pPr>
        <w:shd w:val="clear" w:color="auto" w:fill="FFFFFF"/>
        <w:jc w:val="both"/>
        <w:rPr>
          <w:bCs/>
          <w:color w:val="002060"/>
          <w:sz w:val="16"/>
          <w:szCs w:val="16"/>
        </w:rPr>
      </w:pPr>
      <w:r w:rsidRPr="00DE096C">
        <w:rPr>
          <w:bCs/>
          <w:color w:val="002060"/>
          <w:sz w:val="16"/>
          <w:szCs w:val="16"/>
        </w:rPr>
        <w:t>К 12 (25) сентября 1914 г. Госдума приняла закон о военно-автомобильной повинности, по которому у населения изъяли 983 мотоцикла [2.26] (11429).</w:t>
      </w:r>
    </w:p>
    <w:p w14:paraId="2C925269" w14:textId="77777777" w:rsidR="00D631B8" w:rsidRPr="00DE096C" w:rsidRDefault="00D631B8" w:rsidP="00D45A46">
      <w:pPr>
        <w:shd w:val="clear" w:color="auto" w:fill="FFFFFF"/>
        <w:jc w:val="both"/>
        <w:rPr>
          <w:bCs/>
          <w:color w:val="002060"/>
          <w:sz w:val="16"/>
          <w:szCs w:val="16"/>
        </w:rPr>
      </w:pPr>
    </w:p>
    <w:p w14:paraId="2FC48C26" w14:textId="77777777" w:rsidR="00B67D7C" w:rsidRPr="00DE096C" w:rsidRDefault="00B67D7C" w:rsidP="00D45A46">
      <w:pPr>
        <w:jc w:val="both"/>
        <w:rPr>
          <w:bCs/>
          <w:i/>
          <w:color w:val="002060"/>
          <w:sz w:val="16"/>
          <w:szCs w:val="16"/>
        </w:rPr>
      </w:pPr>
      <w:r w:rsidRPr="00DE096C">
        <w:rPr>
          <w:bCs/>
          <w:i/>
          <w:color w:val="002060"/>
          <w:sz w:val="16"/>
          <w:szCs w:val="16"/>
        </w:rPr>
        <w:t>Авиация:</w:t>
      </w:r>
    </w:p>
    <w:p w14:paraId="40587D7C" w14:textId="77777777" w:rsidR="00D631B8" w:rsidRPr="00DE096C" w:rsidRDefault="00D631B8" w:rsidP="00D45A46">
      <w:pPr>
        <w:jc w:val="both"/>
        <w:rPr>
          <w:bCs/>
          <w:color w:val="002060"/>
          <w:sz w:val="16"/>
          <w:szCs w:val="16"/>
        </w:rPr>
      </w:pPr>
    </w:p>
    <w:p w14:paraId="3D74ED30" w14:textId="3CBE5B49" w:rsidR="00B67D7C" w:rsidRPr="00DE096C" w:rsidRDefault="00B67D7C" w:rsidP="00D45A46">
      <w:pPr>
        <w:jc w:val="both"/>
        <w:rPr>
          <w:bCs/>
          <w:color w:val="002060"/>
          <w:sz w:val="16"/>
          <w:szCs w:val="16"/>
        </w:rPr>
      </w:pPr>
      <w:r w:rsidRPr="00DE096C">
        <w:rPr>
          <w:bCs/>
          <w:color w:val="002060"/>
          <w:sz w:val="16"/>
          <w:szCs w:val="16"/>
        </w:rPr>
        <w:t xml:space="preserve">12 (25) сентября </w:t>
      </w:r>
      <w:r w:rsidR="00D631B8" w:rsidRPr="00DE096C">
        <w:rPr>
          <w:bCs/>
          <w:color w:val="002060"/>
          <w:sz w:val="16"/>
          <w:szCs w:val="16"/>
        </w:rPr>
        <w:t xml:space="preserve">1014 г. комендант Александровской цитадели, узнав </w:t>
      </w:r>
      <w:r w:rsidRPr="00DE096C">
        <w:rPr>
          <w:bCs/>
          <w:color w:val="002060"/>
          <w:sz w:val="16"/>
          <w:szCs w:val="16"/>
        </w:rPr>
        <w:t>о полете на Варшаву дирижабля со стороны Калиша, приказал подготовиться к возможному бою.</w:t>
      </w:r>
    </w:p>
    <w:p w14:paraId="49BC3091" w14:textId="77777777" w:rsidR="00B67D7C" w:rsidRPr="00DE096C" w:rsidRDefault="00B67D7C" w:rsidP="00D45A46">
      <w:pPr>
        <w:jc w:val="both"/>
        <w:rPr>
          <w:bCs/>
          <w:color w:val="002060"/>
          <w:sz w:val="16"/>
          <w:szCs w:val="16"/>
        </w:rPr>
      </w:pPr>
      <w:r w:rsidRPr="00DE096C">
        <w:rPr>
          <w:bCs/>
          <w:color w:val="002060"/>
          <w:sz w:val="16"/>
          <w:szCs w:val="16"/>
        </w:rPr>
        <w:t>Спереди и справа от форта № 6 уступом были установлены четыре 3-дм скорострельных орудия батареи подпоручика М.А. Буковского, при орудиях были усилены расчеты, позиция подготовлена к ведению огня при крайнем угле возвышения, в колонии Опачь оставлен наблюдательный пункт, связанный с батареей телефоном; подготовка материальной части велась в соответствии с «Краткими указаниями о стрельбе по воздушным целям» штаба армий Северо-Западного фронта: огонь надлежало открывать с дистанции в пять верст, когда угол цели еще невелик, а эффективность по высоте определялась в 1500 метров. Для увеличения угла возвышения орудия под хоботом лафета делались ровики глубиной до 2 футов (примерно 60 см).</w:t>
      </w:r>
    </w:p>
    <w:p w14:paraId="2E2B9D90" w14:textId="77777777" w:rsidR="00D631B8" w:rsidRPr="00DE096C" w:rsidRDefault="00D631B8" w:rsidP="00D45A46">
      <w:pPr>
        <w:jc w:val="both"/>
        <w:rPr>
          <w:bCs/>
          <w:color w:val="002060"/>
          <w:sz w:val="16"/>
          <w:szCs w:val="16"/>
        </w:rPr>
      </w:pPr>
      <w:r w:rsidRPr="00DE096C">
        <w:rPr>
          <w:bCs/>
          <w:color w:val="002060"/>
          <w:sz w:val="16"/>
          <w:szCs w:val="16"/>
        </w:rPr>
        <w:t xml:space="preserve">Подготовка крепостной артиллерии к военным действиям началась с вечера 14 (27) июля 1914 года, после получения высочайшего указа о мобилизации. Однако мало кто предполагал, что ударам с воздуха будут подвергаться гражданские объекты. А залпового огня пехоты считалось вполне достаточно для уничтожения вражеских летательных аппаратов. Но с приближением противника к Варшаве вопрос обострился. Город находился в центре четырех эллингов противника - Кенигсберге, Торне (ныне Торунь), Позене (Познань) и Бреслау (Вроцлав). Если аэропланы не обладали еще достаточными дальностью полета и бомбовой нагрузкой, то дирижабли, особенно жесткой конструкции «Цеппелин», могли наносить бомбовые удары в значительной глубине тылового района. Поэтому </w:t>
      </w:r>
    </w:p>
    <w:p w14:paraId="539FF441" w14:textId="77777777" w:rsidR="00B67D7C" w:rsidRPr="00DE096C" w:rsidRDefault="00B67D7C" w:rsidP="00D45A46">
      <w:pPr>
        <w:jc w:val="both"/>
        <w:rPr>
          <w:bCs/>
          <w:i/>
          <w:color w:val="002060"/>
          <w:sz w:val="16"/>
          <w:szCs w:val="16"/>
        </w:rPr>
      </w:pPr>
    </w:p>
    <w:p w14:paraId="2D1E0C24" w14:textId="661E3FF8" w:rsidR="00A22FBF" w:rsidRPr="00DE096C" w:rsidRDefault="00A22FBF" w:rsidP="00D45A46">
      <w:pPr>
        <w:jc w:val="both"/>
        <w:rPr>
          <w:bCs/>
          <w:color w:val="002060"/>
          <w:sz w:val="16"/>
          <w:szCs w:val="16"/>
        </w:rPr>
      </w:pPr>
      <w:r w:rsidRPr="00DE096C">
        <w:rPr>
          <w:bCs/>
          <w:color w:val="002060"/>
          <w:sz w:val="16"/>
          <w:szCs w:val="16"/>
        </w:rPr>
        <w:t>12 (25) сентября 1914 г. в присутствии вы</w:t>
      </w:r>
      <w:r w:rsidRPr="00DE096C">
        <w:rPr>
          <w:bCs/>
          <w:color w:val="002060"/>
          <w:sz w:val="16"/>
          <w:szCs w:val="16"/>
        </w:rPr>
        <w:softHyphen/>
        <w:t>соких чинов и после того, как сам митрополит отслужил молебен в бла</w:t>
      </w:r>
      <w:r w:rsidRPr="00DE096C">
        <w:rPr>
          <w:bCs/>
          <w:color w:val="002060"/>
          <w:sz w:val="16"/>
          <w:szCs w:val="16"/>
        </w:rPr>
        <w:softHyphen/>
        <w:t>гословение и во славу русского воинства, Руднев первым вылетел на фронт на ИМ. К месту назначения, од</w:t>
      </w:r>
      <w:r w:rsidRPr="00DE096C">
        <w:rPr>
          <w:bCs/>
          <w:color w:val="002060"/>
          <w:sz w:val="16"/>
          <w:szCs w:val="16"/>
        </w:rPr>
        <w:softHyphen/>
        <w:t>нако, он по разным причинам смог добраться только в октябре (24177).</w:t>
      </w:r>
    </w:p>
    <w:p w14:paraId="74C47CDE" w14:textId="77777777" w:rsidR="00A22FBF" w:rsidRPr="00DE096C" w:rsidRDefault="00A22FBF" w:rsidP="00D45A46">
      <w:pPr>
        <w:jc w:val="both"/>
        <w:rPr>
          <w:bCs/>
          <w:color w:val="002060"/>
          <w:sz w:val="16"/>
          <w:szCs w:val="16"/>
          <w:lang w:bidi="en-US"/>
        </w:rPr>
      </w:pPr>
    </w:p>
    <w:p w14:paraId="3A6A49B0" w14:textId="77777777" w:rsidR="00B67D7C" w:rsidRPr="00DE096C" w:rsidRDefault="00B67D7C" w:rsidP="00D45A46">
      <w:pPr>
        <w:jc w:val="both"/>
        <w:rPr>
          <w:bCs/>
          <w:i/>
          <w:color w:val="002060"/>
          <w:sz w:val="16"/>
          <w:szCs w:val="16"/>
        </w:rPr>
      </w:pPr>
      <w:r w:rsidRPr="00DE096C">
        <w:rPr>
          <w:bCs/>
          <w:i/>
          <w:color w:val="002060"/>
          <w:sz w:val="16"/>
          <w:szCs w:val="16"/>
        </w:rPr>
        <w:t>Армия:</w:t>
      </w:r>
    </w:p>
    <w:p w14:paraId="1A99CA3E" w14:textId="77777777" w:rsidR="00B67D7C" w:rsidRPr="00DE096C" w:rsidRDefault="00B67D7C" w:rsidP="00D45A46">
      <w:pPr>
        <w:jc w:val="both"/>
        <w:rPr>
          <w:bCs/>
          <w:i/>
          <w:color w:val="002060"/>
          <w:sz w:val="16"/>
          <w:szCs w:val="16"/>
        </w:rPr>
      </w:pPr>
    </w:p>
    <w:p w14:paraId="02DA5C84" w14:textId="256ED121" w:rsidR="00562E95" w:rsidRPr="00DE096C" w:rsidRDefault="00562E95" w:rsidP="00D45A46">
      <w:pPr>
        <w:jc w:val="both"/>
        <w:rPr>
          <w:bCs/>
          <w:color w:val="002060"/>
          <w:sz w:val="16"/>
          <w:szCs w:val="16"/>
        </w:rPr>
      </w:pPr>
      <w:r w:rsidRPr="00DE096C">
        <w:rPr>
          <w:bCs/>
          <w:color w:val="002060"/>
          <w:sz w:val="16"/>
          <w:szCs w:val="16"/>
        </w:rPr>
        <w:t xml:space="preserve">12 </w:t>
      </w:r>
      <w:r w:rsidR="00D631B8" w:rsidRPr="00DE096C">
        <w:rPr>
          <w:bCs/>
          <w:color w:val="002060"/>
          <w:sz w:val="16"/>
          <w:szCs w:val="16"/>
        </w:rPr>
        <w:t xml:space="preserve">(25) </w:t>
      </w:r>
      <w:r w:rsidRPr="00DE096C">
        <w:rPr>
          <w:bCs/>
          <w:color w:val="002060"/>
          <w:sz w:val="16"/>
          <w:szCs w:val="16"/>
        </w:rPr>
        <w:t>сентября в 1914 году русская 8-я армия Юго-Западного фронта овладела Городокскими укрепленными позициями (14767).</w:t>
      </w:r>
    </w:p>
    <w:p w14:paraId="0E1BD79F" w14:textId="77777777" w:rsidR="00562E95" w:rsidRPr="00DE096C" w:rsidRDefault="00562E95" w:rsidP="00D45A46">
      <w:pPr>
        <w:jc w:val="both"/>
        <w:rPr>
          <w:bCs/>
          <w:color w:val="002060"/>
          <w:sz w:val="16"/>
          <w:szCs w:val="16"/>
        </w:rPr>
      </w:pPr>
    </w:p>
    <w:p w14:paraId="5D2BB3EC" w14:textId="77777777" w:rsidR="00B67D7C" w:rsidRPr="00DE096C" w:rsidRDefault="00B67D7C" w:rsidP="00D45A46">
      <w:pPr>
        <w:jc w:val="both"/>
        <w:rPr>
          <w:bCs/>
          <w:i/>
          <w:color w:val="002060"/>
          <w:sz w:val="16"/>
          <w:szCs w:val="16"/>
        </w:rPr>
      </w:pPr>
      <w:r w:rsidRPr="00DE096C">
        <w:rPr>
          <w:bCs/>
          <w:i/>
          <w:color w:val="002060"/>
          <w:sz w:val="16"/>
          <w:szCs w:val="16"/>
        </w:rPr>
        <w:t>Авиация:</w:t>
      </w:r>
    </w:p>
    <w:p w14:paraId="70A24850" w14:textId="77777777" w:rsidR="00B67D7C" w:rsidRPr="00DE096C" w:rsidRDefault="00B67D7C" w:rsidP="00D45A46">
      <w:pPr>
        <w:jc w:val="both"/>
        <w:rPr>
          <w:bCs/>
          <w:i/>
          <w:color w:val="002060"/>
          <w:sz w:val="16"/>
          <w:szCs w:val="16"/>
        </w:rPr>
      </w:pPr>
    </w:p>
    <w:p w14:paraId="1CBD0E44" w14:textId="6DD74490" w:rsidR="00B67D7C" w:rsidRPr="00DE096C" w:rsidRDefault="00B67D7C" w:rsidP="00D45A46">
      <w:pPr>
        <w:jc w:val="both"/>
        <w:rPr>
          <w:bCs/>
          <w:color w:val="002060"/>
          <w:sz w:val="16"/>
          <w:szCs w:val="16"/>
        </w:rPr>
      </w:pPr>
      <w:r w:rsidRPr="00DE096C">
        <w:rPr>
          <w:bCs/>
          <w:color w:val="002060"/>
          <w:sz w:val="16"/>
          <w:szCs w:val="16"/>
        </w:rPr>
        <w:t xml:space="preserve">13 (26) сентября </w:t>
      </w:r>
      <w:r w:rsidR="00D631B8" w:rsidRPr="00DE096C">
        <w:rPr>
          <w:bCs/>
          <w:color w:val="002060"/>
          <w:sz w:val="16"/>
          <w:szCs w:val="16"/>
        </w:rPr>
        <w:t>1914 г. н</w:t>
      </w:r>
      <w:r w:rsidRPr="00DE096C">
        <w:rPr>
          <w:bCs/>
          <w:color w:val="002060"/>
          <w:sz w:val="16"/>
          <w:szCs w:val="16"/>
        </w:rPr>
        <w:t>а Восточноевропейском театре завершилась Галицийская операция.</w:t>
      </w:r>
    </w:p>
    <w:p w14:paraId="1BD8FB15" w14:textId="77777777" w:rsidR="00B67D7C" w:rsidRPr="00DE096C" w:rsidRDefault="00B67D7C" w:rsidP="00D45A46">
      <w:pPr>
        <w:jc w:val="both"/>
        <w:rPr>
          <w:bCs/>
          <w:color w:val="002060"/>
          <w:sz w:val="16"/>
          <w:szCs w:val="16"/>
        </w:rPr>
      </w:pPr>
      <w:r w:rsidRPr="00DE096C">
        <w:rPr>
          <w:bCs/>
          <w:color w:val="002060"/>
          <w:sz w:val="16"/>
          <w:szCs w:val="16"/>
        </w:rPr>
        <w:t>Австро-венгерские армии потерпели тяжелое поражение в развернувшейся на фронте свыше 400 км операции, начавшейся еще 18 августа. Русские войска заняли Галицию и блокировали австрийскую крепость Перемышль, имеющую 120-тысячный гарнизон.</w:t>
      </w:r>
    </w:p>
    <w:p w14:paraId="6E2506D4" w14:textId="77777777" w:rsidR="00B67D7C" w:rsidRPr="00DE096C" w:rsidRDefault="00B67D7C" w:rsidP="00D45A46">
      <w:pPr>
        <w:jc w:val="both"/>
        <w:rPr>
          <w:bCs/>
          <w:color w:val="002060"/>
          <w:sz w:val="16"/>
          <w:szCs w:val="16"/>
        </w:rPr>
      </w:pPr>
      <w:r w:rsidRPr="00DE096C">
        <w:rPr>
          <w:bCs/>
          <w:color w:val="002060"/>
          <w:sz w:val="16"/>
          <w:szCs w:val="16"/>
        </w:rPr>
        <w:t>При этом очень важную роль сыграла русская авиация.</w:t>
      </w:r>
    </w:p>
    <w:p w14:paraId="1D83E7AE" w14:textId="77777777" w:rsidR="00B67D7C" w:rsidRPr="00DE096C" w:rsidRDefault="00B67D7C" w:rsidP="00D45A46">
      <w:pPr>
        <w:jc w:val="both"/>
        <w:rPr>
          <w:bCs/>
          <w:color w:val="002060"/>
          <w:sz w:val="16"/>
          <w:szCs w:val="16"/>
        </w:rPr>
      </w:pPr>
      <w:r w:rsidRPr="00DE096C">
        <w:rPr>
          <w:bCs/>
          <w:color w:val="002060"/>
          <w:sz w:val="16"/>
          <w:szCs w:val="16"/>
        </w:rPr>
        <w:t>В 3-й и 8-й русских армиях, наступавших на Львовском направлении, воздушной разведкой последовательно освещалась обстановка на фронте, систематически доставлялись командованию сведения о направлениях отхода и пунктах сосредоточения войск противника, о подготавливаемых ими оборонительных рубежах и контрударах.</w:t>
      </w:r>
    </w:p>
    <w:p w14:paraId="685BD101" w14:textId="77777777" w:rsidR="00B67D7C" w:rsidRPr="00DE096C" w:rsidRDefault="00B67D7C" w:rsidP="00D45A46">
      <w:pPr>
        <w:jc w:val="both"/>
        <w:rPr>
          <w:bCs/>
          <w:color w:val="002060"/>
          <w:sz w:val="16"/>
          <w:szCs w:val="16"/>
        </w:rPr>
      </w:pPr>
      <w:r w:rsidRPr="00DE096C">
        <w:rPr>
          <w:bCs/>
          <w:color w:val="002060"/>
          <w:sz w:val="16"/>
          <w:szCs w:val="16"/>
        </w:rPr>
        <w:t>Авиация все более и более начинает доказывать собственную значимость в военных действиях (11999).</w:t>
      </w:r>
    </w:p>
    <w:p w14:paraId="256E088E" w14:textId="2D6B6473" w:rsidR="00B67D7C" w:rsidRPr="00DE096C" w:rsidRDefault="00B67D7C" w:rsidP="00D45A46">
      <w:pPr>
        <w:jc w:val="both"/>
        <w:rPr>
          <w:bCs/>
          <w:color w:val="002060"/>
          <w:sz w:val="16"/>
          <w:szCs w:val="16"/>
        </w:rPr>
      </w:pPr>
    </w:p>
    <w:p w14:paraId="6D152959" w14:textId="4DEBD8B7" w:rsidR="00665CB6" w:rsidRPr="00DE096C" w:rsidRDefault="00665CB6" w:rsidP="00D45A46">
      <w:pPr>
        <w:jc w:val="both"/>
        <w:rPr>
          <w:bCs/>
          <w:color w:val="002060"/>
          <w:sz w:val="16"/>
          <w:szCs w:val="16"/>
        </w:rPr>
      </w:pPr>
      <w:r w:rsidRPr="00DE096C">
        <w:rPr>
          <w:bCs/>
          <w:color w:val="002060"/>
          <w:sz w:val="16"/>
          <w:szCs w:val="16"/>
        </w:rPr>
        <w:t>13 (26) августа 1914 г. «в 12 верстах к западу от Симно [район оз. Амальва, Сувалкская губерния] нами сбит немецкий аэроплан; 4 летчика, офицеры, при падении убиты» (по другим данным - отдельные получили ранения). В руки русскому командованию попал один из секретных документов ВВФ Германии. На следующий день в том же районе (м. Олита /Алитус) был подбит еще один германский ЛА.</w:t>
      </w:r>
    </w:p>
    <w:p w14:paraId="5FE033D1" w14:textId="77777777" w:rsidR="00665CB6" w:rsidRPr="00DE096C" w:rsidRDefault="00665CB6" w:rsidP="00D45A46">
      <w:pPr>
        <w:jc w:val="both"/>
        <w:rPr>
          <w:bCs/>
          <w:color w:val="002060"/>
          <w:sz w:val="16"/>
          <w:szCs w:val="16"/>
        </w:rPr>
      </w:pPr>
      <w:r w:rsidRPr="00DE096C">
        <w:rPr>
          <w:bCs/>
          <w:color w:val="002060"/>
          <w:sz w:val="16"/>
          <w:szCs w:val="16"/>
        </w:rPr>
        <w:t>По данным Штаба ВГК, «в Сувалкской и Ковненской губерниях нашими войсками ведется борьба с воздушной разведкой противника</w:t>
      </w:r>
      <w:hyperlink w:anchor="bookmark1092" w:tooltip="Current Document">
        <w:r w:rsidRPr="00DE096C">
          <w:rPr>
            <w:rStyle w:val="af0"/>
            <w:bCs/>
            <w:color w:val="002060"/>
            <w:sz w:val="16"/>
            <w:szCs w:val="16"/>
          </w:rPr>
          <w:t>»</w:t>
        </w:r>
      </w:hyperlink>
      <w:r w:rsidRPr="00DE096C">
        <w:rPr>
          <w:bCs/>
          <w:color w:val="002060"/>
          <w:sz w:val="16"/>
          <w:szCs w:val="16"/>
        </w:rPr>
        <w:t>. Подтверждая их, над г. Ковно (Каунас) под артиллерийский огонь с фортов крепости попал очередной германский летательный аппарат, «подстреленный летчик упал с аэропланом» (23405).</w:t>
      </w:r>
    </w:p>
    <w:p w14:paraId="3730B5C3" w14:textId="77777777" w:rsidR="00665CB6" w:rsidRPr="00DE096C" w:rsidRDefault="00665CB6" w:rsidP="00D45A46">
      <w:pPr>
        <w:jc w:val="both"/>
        <w:rPr>
          <w:bCs/>
          <w:color w:val="002060"/>
          <w:sz w:val="16"/>
          <w:szCs w:val="16"/>
          <w:lang w:bidi="ru-RU"/>
        </w:rPr>
      </w:pPr>
    </w:p>
    <w:p w14:paraId="0BF95324" w14:textId="3884A3F2" w:rsidR="00E06F14" w:rsidRPr="00DE096C" w:rsidRDefault="00E06F14" w:rsidP="00D45A46">
      <w:pPr>
        <w:jc w:val="both"/>
        <w:rPr>
          <w:bCs/>
          <w:i/>
          <w:iCs/>
          <w:color w:val="002060"/>
          <w:sz w:val="16"/>
          <w:szCs w:val="16"/>
        </w:rPr>
      </w:pPr>
      <w:r w:rsidRPr="00DE096C">
        <w:rPr>
          <w:bCs/>
          <w:i/>
          <w:iCs/>
          <w:color w:val="002060"/>
          <w:sz w:val="16"/>
          <w:szCs w:val="16"/>
        </w:rPr>
        <w:t>Воздухоплавание:</w:t>
      </w:r>
    </w:p>
    <w:p w14:paraId="080008BC" w14:textId="77777777" w:rsidR="00E06F14" w:rsidRPr="00DE096C" w:rsidRDefault="00E06F14" w:rsidP="00D45A46">
      <w:pPr>
        <w:jc w:val="both"/>
        <w:rPr>
          <w:bCs/>
          <w:i/>
          <w:iCs/>
          <w:color w:val="002060"/>
          <w:sz w:val="16"/>
          <w:szCs w:val="16"/>
        </w:rPr>
      </w:pPr>
    </w:p>
    <w:p w14:paraId="094AE65D" w14:textId="7CD00514" w:rsidR="00B67D7C" w:rsidRPr="00DE096C" w:rsidRDefault="00B67D7C" w:rsidP="00D45A46">
      <w:pPr>
        <w:jc w:val="both"/>
        <w:rPr>
          <w:bCs/>
          <w:color w:val="002060"/>
          <w:sz w:val="16"/>
          <w:szCs w:val="16"/>
        </w:rPr>
      </w:pPr>
      <w:r w:rsidRPr="00DE096C">
        <w:rPr>
          <w:bCs/>
          <w:color w:val="002060"/>
          <w:sz w:val="16"/>
          <w:szCs w:val="16"/>
        </w:rPr>
        <w:t xml:space="preserve">13 (26) сентября 1914 года </w:t>
      </w:r>
      <w:r w:rsidR="00D631B8" w:rsidRPr="00DE096C">
        <w:rPr>
          <w:bCs/>
          <w:color w:val="002060"/>
          <w:sz w:val="16"/>
          <w:szCs w:val="16"/>
        </w:rPr>
        <w:t xml:space="preserve">около 5 часов утра </w:t>
      </w:r>
      <w:r w:rsidRPr="00DE096C">
        <w:rPr>
          <w:bCs/>
          <w:color w:val="002060"/>
          <w:sz w:val="16"/>
          <w:szCs w:val="16"/>
        </w:rPr>
        <w:t>со стороны Радомского шоссе показался дирижабль противника (скорее всего, «Шютте-Лянц SL.2», а не «Цеппелин Z.4»), замеченный полевым караулом и расчетом батареи, принявшей первый в истории бой с воздушным агрессором.</w:t>
      </w:r>
    </w:p>
    <w:p w14:paraId="197428CC" w14:textId="77777777" w:rsidR="00B67D7C" w:rsidRPr="00DE096C" w:rsidRDefault="00B67D7C" w:rsidP="00D45A46">
      <w:pPr>
        <w:jc w:val="both"/>
        <w:rPr>
          <w:bCs/>
          <w:color w:val="002060"/>
          <w:sz w:val="16"/>
          <w:szCs w:val="16"/>
        </w:rPr>
      </w:pPr>
      <w:r w:rsidRPr="00DE096C">
        <w:rPr>
          <w:bCs/>
          <w:color w:val="002060"/>
          <w:sz w:val="16"/>
          <w:szCs w:val="16"/>
        </w:rPr>
        <w:t xml:space="preserve">Первые выстрелы демаскировали батарею: дирижабль замедлил ход и сбросил четыре бомбы, а затем быстро пошел на город в направлении Иерусалимской заставы. Разрывами было убито и ранено пять солдат расчета, контужен командир батареи подпоручик Буковский. Но он успел собрать оставшихся пятерых артиллеристов, </w:t>
      </w:r>
      <w:r w:rsidRPr="00DE096C">
        <w:rPr>
          <w:bCs/>
          <w:color w:val="002060"/>
          <w:sz w:val="16"/>
          <w:szCs w:val="16"/>
        </w:rPr>
        <w:lastRenderedPageBreak/>
        <w:t>развернуть второй взвод орудий и продолжить стрельбу. Дирижабль прибавил ход, попав под первый залп, и стал уходить из зоны поражения на запад, в сторону Воли. Вскоре по нему открыли огонь батарея 6-дм гаубиц капитана Д.Ф. Мертенгрена и 3-дм батарея подпоручика П.Л. Школышкова. Таким образом, налет был сорван. У врага уже не оставалось бомб для разрушения моста между Калишской и Варшавско-Венской железными дорогами в черте города. Неточно сброшенные две бомбы (одна из них не взорвалась) уничтожили только будку и телеграфный столб. Действия Михаила Буковского были отмечены 27 ноября (10 декабря) 1914 года орденом Св. Станислава 4-й степени.</w:t>
      </w:r>
    </w:p>
    <w:p w14:paraId="184DD7A1" w14:textId="77777777" w:rsidR="00B67D7C" w:rsidRPr="00DE096C" w:rsidRDefault="00B67D7C" w:rsidP="00D45A46">
      <w:pPr>
        <w:jc w:val="both"/>
        <w:rPr>
          <w:bCs/>
          <w:i/>
          <w:color w:val="002060"/>
          <w:sz w:val="16"/>
          <w:szCs w:val="16"/>
        </w:rPr>
      </w:pPr>
    </w:p>
    <w:p w14:paraId="36F776B8" w14:textId="77777777" w:rsidR="00E06F14" w:rsidRPr="00DE096C" w:rsidRDefault="00E06F14" w:rsidP="00D45A46">
      <w:pPr>
        <w:jc w:val="both"/>
        <w:rPr>
          <w:bCs/>
          <w:color w:val="002060"/>
          <w:sz w:val="16"/>
          <w:szCs w:val="16"/>
        </w:rPr>
      </w:pPr>
      <w:r w:rsidRPr="00DE096C">
        <w:rPr>
          <w:bCs/>
          <w:color w:val="002060"/>
          <w:sz w:val="16"/>
          <w:szCs w:val="16"/>
        </w:rPr>
        <w:t>13 (26) сентября 1914 г. германский дирижабль, сбросивший на Варшаву несколь</w:t>
      </w:r>
      <w:r w:rsidRPr="00DE096C">
        <w:rPr>
          <w:bCs/>
          <w:color w:val="002060"/>
          <w:sz w:val="16"/>
          <w:szCs w:val="16"/>
        </w:rPr>
        <w:softHyphen/>
        <w:t>ко бомб, был отогнан артиллерийским огнем наших войск на север, где вновь подвергся обстрелу из Ново-Георгиевска, В результате получен</w:t>
      </w:r>
      <w:r w:rsidRPr="00DE096C">
        <w:rPr>
          <w:bCs/>
          <w:color w:val="002060"/>
          <w:sz w:val="16"/>
          <w:szCs w:val="16"/>
        </w:rPr>
        <w:softHyphen/>
        <w:t>ных повреждений дирижабль вынужденно приземлился, едва перелетев линию фронта у Цеханова,</w:t>
      </w:r>
    </w:p>
    <w:p w14:paraId="4E924882" w14:textId="77777777" w:rsidR="00E06F14" w:rsidRPr="00DE096C" w:rsidRDefault="00E06F14" w:rsidP="00D45A46">
      <w:pPr>
        <w:jc w:val="both"/>
        <w:rPr>
          <w:bCs/>
          <w:color w:val="002060"/>
          <w:sz w:val="16"/>
          <w:szCs w:val="16"/>
        </w:rPr>
      </w:pPr>
      <w:r w:rsidRPr="00DE096C">
        <w:rPr>
          <w:bCs/>
          <w:color w:val="002060"/>
          <w:sz w:val="16"/>
          <w:szCs w:val="16"/>
        </w:rPr>
        <w:t>/Воздушный справочник, 1915,стр.10/ (23320).</w:t>
      </w:r>
    </w:p>
    <w:p w14:paraId="5CF490FF" w14:textId="77777777" w:rsidR="00E06F14" w:rsidRPr="00DE096C" w:rsidRDefault="00E06F14" w:rsidP="00D45A46">
      <w:pPr>
        <w:jc w:val="both"/>
        <w:rPr>
          <w:bCs/>
          <w:color w:val="002060"/>
          <w:sz w:val="16"/>
          <w:szCs w:val="16"/>
        </w:rPr>
      </w:pPr>
    </w:p>
    <w:p w14:paraId="248E91B3" w14:textId="7C9D79D0" w:rsidR="00721B8F" w:rsidRPr="00DE096C" w:rsidRDefault="00721B8F" w:rsidP="00D45A46">
      <w:pPr>
        <w:jc w:val="both"/>
        <w:rPr>
          <w:bCs/>
          <w:i/>
          <w:color w:val="002060"/>
          <w:sz w:val="16"/>
          <w:szCs w:val="16"/>
        </w:rPr>
      </w:pPr>
      <w:r w:rsidRPr="00DE096C">
        <w:rPr>
          <w:bCs/>
          <w:i/>
          <w:color w:val="002060"/>
          <w:sz w:val="16"/>
          <w:szCs w:val="16"/>
        </w:rPr>
        <w:t>Другие оборонные отрасли:</w:t>
      </w:r>
    </w:p>
    <w:p w14:paraId="7DE904AA" w14:textId="77777777" w:rsidR="00721B8F" w:rsidRPr="00DE096C" w:rsidRDefault="00721B8F" w:rsidP="00D45A46">
      <w:pPr>
        <w:jc w:val="both"/>
        <w:rPr>
          <w:bCs/>
          <w:i/>
          <w:color w:val="002060"/>
          <w:sz w:val="16"/>
          <w:szCs w:val="16"/>
        </w:rPr>
      </w:pPr>
    </w:p>
    <w:p w14:paraId="6F64EF9B" w14:textId="77777777" w:rsidR="00721B8F" w:rsidRPr="00DE096C" w:rsidRDefault="00721B8F" w:rsidP="00D45A46">
      <w:pPr>
        <w:jc w:val="both"/>
        <w:rPr>
          <w:bCs/>
          <w:color w:val="002060"/>
          <w:sz w:val="16"/>
          <w:szCs w:val="16"/>
        </w:rPr>
      </w:pPr>
      <w:r w:rsidRPr="00DE096C">
        <w:rPr>
          <w:bCs/>
          <w:color w:val="002060"/>
          <w:sz w:val="16"/>
          <w:szCs w:val="16"/>
        </w:rPr>
        <w:t>14 (27) августа 1914 г. прошло «общее заседание» Военного совета, окончательное, оно согласи</w:t>
      </w:r>
      <w:r w:rsidRPr="00DE096C">
        <w:rPr>
          <w:bCs/>
          <w:color w:val="002060"/>
          <w:sz w:val="16"/>
          <w:szCs w:val="16"/>
        </w:rPr>
        <w:softHyphen/>
        <w:t>лось с заявкой ГАУ. На состоявшемся перед тем предварительном «частном заседании» члены Военного со</w:t>
      </w:r>
      <w:r w:rsidRPr="00DE096C">
        <w:rPr>
          <w:bCs/>
          <w:color w:val="002060"/>
          <w:sz w:val="16"/>
          <w:szCs w:val="16"/>
        </w:rPr>
        <w:softHyphen/>
        <w:t>вета, еще не имея повода тревожиться, думали отклонить заявку ГАУ в целом, а не сократить (23452).</w:t>
      </w:r>
    </w:p>
    <w:p w14:paraId="0E490546" w14:textId="77777777" w:rsidR="00721B8F" w:rsidRPr="00DE096C" w:rsidRDefault="00721B8F" w:rsidP="00D45A46">
      <w:pPr>
        <w:jc w:val="both"/>
        <w:rPr>
          <w:bCs/>
          <w:color w:val="002060"/>
          <w:sz w:val="16"/>
          <w:szCs w:val="16"/>
        </w:rPr>
      </w:pPr>
    </w:p>
    <w:p w14:paraId="225BFA91" w14:textId="77777777" w:rsidR="00721B8F" w:rsidRPr="00DE096C" w:rsidRDefault="00721B8F" w:rsidP="00D45A46">
      <w:pPr>
        <w:jc w:val="both"/>
        <w:rPr>
          <w:bCs/>
          <w:color w:val="002060"/>
          <w:sz w:val="16"/>
          <w:szCs w:val="16"/>
        </w:rPr>
      </w:pPr>
      <w:r w:rsidRPr="00DE096C">
        <w:rPr>
          <w:bCs/>
          <w:color w:val="002060"/>
          <w:sz w:val="16"/>
          <w:szCs w:val="16"/>
        </w:rPr>
        <w:t>14 (27) авгу</w:t>
      </w:r>
      <w:r w:rsidRPr="00DE096C">
        <w:rPr>
          <w:bCs/>
          <w:color w:val="002060"/>
          <w:sz w:val="16"/>
          <w:szCs w:val="16"/>
        </w:rPr>
        <w:softHyphen/>
        <w:t>ста, 6 и 10 сентября 1914 г., еще до поступления панических сиг</w:t>
      </w:r>
      <w:r w:rsidRPr="00DE096C">
        <w:rPr>
          <w:bCs/>
          <w:color w:val="002060"/>
          <w:sz w:val="16"/>
          <w:szCs w:val="16"/>
        </w:rPr>
        <w:softHyphen/>
        <w:t>налов из Ставки о нехватке снарядов, ГАУ (Смысловский) убедило Военный со</w:t>
      </w:r>
      <w:r w:rsidRPr="00DE096C">
        <w:rPr>
          <w:bCs/>
          <w:color w:val="002060"/>
          <w:sz w:val="16"/>
          <w:szCs w:val="16"/>
        </w:rPr>
        <w:softHyphen/>
        <w:t>вет все-таки дать заказы, и при этом не на 2 млн снарядов, а на 2 784 000 трехдюймовых не считая 48-линейных. В течение сентября 1914 г. частных контрактов было заключено даже не на 5 млн снарядов (как считал бы пра</w:t>
      </w:r>
      <w:r w:rsidRPr="00DE096C">
        <w:rPr>
          <w:bCs/>
          <w:color w:val="002060"/>
          <w:sz w:val="16"/>
          <w:szCs w:val="16"/>
        </w:rPr>
        <w:softHyphen/>
        <w:t>вильным Стоун), а на 6 941 000 (казенные заводы к августу и так уже были загружены до предела) (Маниковский А.А. Указ. соч. 4. 3. С. 150—151; РГВИА. Ф. 29. Оп. 3. Д. 860. В этом деле подшиты подлинные материалы ГАУ и Военного совета по заказам августа—сентября. Стоун не без юмора пишет, и Джо</w:t>
      </w:r>
      <w:r w:rsidRPr="00DE096C">
        <w:rPr>
          <w:bCs/>
          <w:color w:val="002060"/>
          <w:sz w:val="16"/>
          <w:szCs w:val="16"/>
        </w:rPr>
        <w:softHyphen/>
        <w:t>унс повторяет, что переубедить этих крохоборов в Военном совете уда</w:t>
      </w:r>
      <w:r w:rsidRPr="00DE096C">
        <w:rPr>
          <w:bCs/>
          <w:color w:val="002060"/>
          <w:sz w:val="16"/>
          <w:szCs w:val="16"/>
        </w:rPr>
        <w:softHyphen/>
        <w:t>лось только тем аргументом, что грохот канонады «полезен для поддер</w:t>
      </w:r>
      <w:r w:rsidRPr="00DE096C">
        <w:rPr>
          <w:bCs/>
          <w:color w:val="002060"/>
          <w:sz w:val="16"/>
          <w:szCs w:val="16"/>
        </w:rPr>
        <w:softHyphen/>
        <w:t>жания духа войск». Смысловский, однако, давал обоснование несколько иное: во-первых, хотя «запасы состоят в должном числе», нужно зака</w:t>
      </w:r>
      <w:r w:rsidRPr="00DE096C">
        <w:rPr>
          <w:bCs/>
          <w:color w:val="002060"/>
          <w:sz w:val="16"/>
          <w:szCs w:val="16"/>
        </w:rPr>
        <w:softHyphen/>
        <w:t>зать еще, чтобы армия чувствовала себя уверенно, когда наступят ре</w:t>
      </w:r>
      <w:r w:rsidRPr="00DE096C">
        <w:rPr>
          <w:bCs/>
          <w:color w:val="002060"/>
          <w:sz w:val="16"/>
          <w:szCs w:val="16"/>
        </w:rPr>
        <w:softHyphen/>
        <w:t>шающие бои, а во-вторых, «к моменту “дележа” после кампании не</w:t>
      </w:r>
      <w:r w:rsidRPr="00DE096C">
        <w:rPr>
          <w:bCs/>
          <w:color w:val="002060"/>
          <w:sz w:val="16"/>
          <w:szCs w:val="16"/>
        </w:rPr>
        <w:softHyphen/>
        <w:t>обходимо быть сильнее, чем при ее начале» (Там же. Ф. 962. Оп. 2. Д. 137. Смысловский Е.К. «Записка о довольствии действующей армии в текущую войну боеприпасами», 18.1.1917), и эти его суждения верно переданы Маниковским; Там же. Ф. 29. Оп. 3. Д. 855. Л. 37 об.—38; Ф. 962. Оп. 2. Д. 6. Л. 44 об.—45. Сведения о ходе предполагаемой поставки 3-дм шрапне</w:t>
      </w:r>
      <w:r w:rsidRPr="00DE096C">
        <w:rPr>
          <w:bCs/>
          <w:color w:val="002060"/>
          <w:sz w:val="16"/>
          <w:szCs w:val="16"/>
        </w:rPr>
        <w:softHyphen/>
        <w:t>лей (23452).</w:t>
      </w:r>
    </w:p>
    <w:p w14:paraId="3DA83FA1" w14:textId="77777777" w:rsidR="00721B8F" w:rsidRPr="00DE096C" w:rsidRDefault="00721B8F" w:rsidP="00D45A46">
      <w:pPr>
        <w:jc w:val="both"/>
        <w:rPr>
          <w:bCs/>
          <w:color w:val="002060"/>
          <w:sz w:val="16"/>
          <w:szCs w:val="16"/>
        </w:rPr>
      </w:pPr>
    </w:p>
    <w:p w14:paraId="7D55F3D5" w14:textId="0C784B2F" w:rsidR="00562E95" w:rsidRPr="00DE096C" w:rsidRDefault="00562E95" w:rsidP="00D45A46">
      <w:pPr>
        <w:jc w:val="both"/>
        <w:rPr>
          <w:bCs/>
          <w:i/>
          <w:color w:val="002060"/>
          <w:sz w:val="16"/>
          <w:szCs w:val="16"/>
        </w:rPr>
      </w:pPr>
      <w:r w:rsidRPr="00DE096C">
        <w:rPr>
          <w:bCs/>
          <w:i/>
          <w:color w:val="002060"/>
          <w:sz w:val="16"/>
          <w:szCs w:val="16"/>
        </w:rPr>
        <w:t>Авиация:</w:t>
      </w:r>
    </w:p>
    <w:p w14:paraId="657822FF" w14:textId="77777777" w:rsidR="00562E95" w:rsidRPr="00DE096C" w:rsidRDefault="00562E95" w:rsidP="00D45A46">
      <w:pPr>
        <w:jc w:val="both"/>
        <w:rPr>
          <w:bCs/>
          <w:i/>
          <w:color w:val="002060"/>
          <w:sz w:val="16"/>
          <w:szCs w:val="16"/>
        </w:rPr>
      </w:pPr>
    </w:p>
    <w:p w14:paraId="4CE36AC6" w14:textId="0DB0205C" w:rsidR="00562E95" w:rsidRPr="00DE096C" w:rsidRDefault="00562E95" w:rsidP="00D45A46">
      <w:pPr>
        <w:jc w:val="both"/>
        <w:rPr>
          <w:bCs/>
          <w:color w:val="002060"/>
          <w:sz w:val="16"/>
          <w:szCs w:val="16"/>
        </w:rPr>
      </w:pPr>
      <w:r w:rsidRPr="00DE096C">
        <w:rPr>
          <w:bCs/>
          <w:color w:val="002060"/>
          <w:sz w:val="16"/>
          <w:szCs w:val="16"/>
        </w:rPr>
        <w:t xml:space="preserve">14 </w:t>
      </w:r>
      <w:r w:rsidR="00D631B8" w:rsidRPr="00DE096C">
        <w:rPr>
          <w:bCs/>
          <w:color w:val="002060"/>
          <w:sz w:val="16"/>
          <w:szCs w:val="16"/>
        </w:rPr>
        <w:t xml:space="preserve">(27) </w:t>
      </w:r>
      <w:r w:rsidRPr="00DE096C">
        <w:rPr>
          <w:bCs/>
          <w:color w:val="002060"/>
          <w:sz w:val="16"/>
          <w:szCs w:val="16"/>
        </w:rPr>
        <w:t>сентября 1914 г. Александр Михайлович обратился к ВГК с докладом, в котором изложил свой план построения системы обеспечения авиачастей. Ставка одобрила предложения Заведующего авиацией по увеличению штата авиарот и выделению от них подвижных передовых баз. Это изменение было внесено в организационную структуру авиарот приказом ВГК от 28 сентября 1914 г. № 7815. Вскоре было утверждено Положение о деятельности авиарот. В нем, в частности, говорилось: «Авиационные роты предназначаются для обслуживания технических нужд авиаотрядов, входящих в состав армии, снабжение которых инженерным и артиллерийским довольствием возложено на роту». Далее было указано, что рота организует в месте расположения тыловую базу с мастерскими. При каждой армии открываются промежуточные и передовые базы-склады. Особенно остро стоял вопрос об обеспечении исправности авиатехники в первые месяцы войны. Например, в 3, 4, 5, 8 и 11-й армиях ЮЗФ из 99 самолетов, имевшихся на начало войны, был потерян к 5 октября 1914 г. 91 аппарат по причине аварий и поломок. Практика использования авиации на войне показала, что процесс полета оказался большим препятствием для выполнения задания, чем огонь противника. Представитель по авиации и воздухоплаванию в Ставке подполковник С.А. Немченко подсчитал, что свыше 50% потерь материальной части происходило по причине слабой квалификации технического персонала (19566).</w:t>
      </w:r>
    </w:p>
    <w:p w14:paraId="4B841B79" w14:textId="77777777" w:rsidR="00562E95" w:rsidRPr="00DE096C" w:rsidRDefault="00562E95" w:rsidP="00D45A46">
      <w:pPr>
        <w:jc w:val="both"/>
        <w:rPr>
          <w:bCs/>
          <w:color w:val="002060"/>
          <w:sz w:val="16"/>
          <w:szCs w:val="16"/>
        </w:rPr>
      </w:pPr>
    </w:p>
    <w:p w14:paraId="0168D310" w14:textId="77777777" w:rsidR="00180600" w:rsidRPr="00B52707" w:rsidRDefault="00180600" w:rsidP="00180600">
      <w:pPr>
        <w:jc w:val="both"/>
        <w:rPr>
          <w:color w:val="0070C0"/>
          <w:sz w:val="16"/>
          <w:szCs w:val="16"/>
        </w:rPr>
      </w:pPr>
      <w:r w:rsidRPr="00B52707">
        <w:rPr>
          <w:color w:val="0070C0"/>
          <w:sz w:val="16"/>
          <w:szCs w:val="16"/>
        </w:rPr>
        <w:t>14 (27) сентября 1914 года приказом вер</w:t>
      </w:r>
      <w:r w:rsidRPr="00B52707">
        <w:rPr>
          <w:color w:val="0070C0"/>
          <w:sz w:val="16"/>
          <w:szCs w:val="16"/>
        </w:rPr>
        <w:softHyphen/>
        <w:t>ховного глав-щего за № 78, было определено иметь в каждом отряде по 4 офицера-наблю</w:t>
      </w:r>
      <w:r w:rsidRPr="00B52707">
        <w:rPr>
          <w:color w:val="0070C0"/>
          <w:sz w:val="16"/>
          <w:szCs w:val="16"/>
        </w:rPr>
        <w:softHyphen/>
        <w:t>дателя (24923).</w:t>
      </w:r>
    </w:p>
    <w:p w14:paraId="2D75B401" w14:textId="77777777" w:rsidR="00180600" w:rsidRPr="00B52707" w:rsidRDefault="00180600" w:rsidP="00180600">
      <w:pPr>
        <w:jc w:val="both"/>
        <w:rPr>
          <w:color w:val="0070C0"/>
          <w:sz w:val="16"/>
          <w:szCs w:val="16"/>
        </w:rPr>
      </w:pPr>
    </w:p>
    <w:p w14:paraId="17874C24" w14:textId="77777777" w:rsidR="00180600" w:rsidRPr="00B52707" w:rsidRDefault="00180600" w:rsidP="00180600">
      <w:pPr>
        <w:jc w:val="both"/>
        <w:rPr>
          <w:color w:val="0070C0"/>
          <w:sz w:val="16"/>
          <w:szCs w:val="16"/>
        </w:rPr>
      </w:pPr>
      <w:r w:rsidRPr="00B52707">
        <w:rPr>
          <w:color w:val="0070C0"/>
          <w:sz w:val="16"/>
          <w:szCs w:val="16"/>
        </w:rPr>
        <w:t>14 (27) сен</w:t>
      </w:r>
      <w:r w:rsidRPr="00B52707">
        <w:rPr>
          <w:color w:val="0070C0"/>
          <w:sz w:val="16"/>
          <w:szCs w:val="16"/>
        </w:rPr>
        <w:softHyphen/>
        <w:t>тября 1914 г. В связи с тем, что во время войны выяснилось, что существую</w:t>
      </w:r>
      <w:r w:rsidRPr="00B52707">
        <w:rPr>
          <w:color w:val="0070C0"/>
          <w:sz w:val="16"/>
          <w:szCs w:val="16"/>
        </w:rPr>
        <w:softHyphen/>
        <w:t>щие штаты авиационных рот не отвечают задачам, возла</w:t>
      </w:r>
      <w:r w:rsidRPr="00B52707">
        <w:rPr>
          <w:color w:val="0070C0"/>
          <w:sz w:val="16"/>
          <w:szCs w:val="16"/>
        </w:rPr>
        <w:softHyphen/>
        <w:t>гаемым на эти роты во время войны в качестве баз для технического снабжения отрядов и ремонта аппаратов, приказом верховного глав-щего от штаты рот были изменены и усилены, в целях возможности выставления каждою ротою двух передовых технических баз в районах расположения авиационных отрядов, питаемых ротой (24923).</w:t>
      </w:r>
    </w:p>
    <w:p w14:paraId="3C80BB99" w14:textId="77777777" w:rsidR="00180600" w:rsidRPr="00B52707" w:rsidRDefault="00180600" w:rsidP="00180600">
      <w:pPr>
        <w:jc w:val="both"/>
        <w:rPr>
          <w:color w:val="0070C0"/>
          <w:sz w:val="16"/>
          <w:szCs w:val="16"/>
        </w:rPr>
      </w:pPr>
      <w:bookmarkStart w:id="164" w:name="bookmark87"/>
      <w:bookmarkEnd w:id="164"/>
    </w:p>
    <w:p w14:paraId="5C52F2F0" w14:textId="19F9E3A5" w:rsidR="0090548F" w:rsidRPr="00DE096C" w:rsidRDefault="0090548F" w:rsidP="00D45A46">
      <w:pPr>
        <w:jc w:val="both"/>
        <w:rPr>
          <w:bCs/>
          <w:i/>
          <w:color w:val="002060"/>
          <w:sz w:val="16"/>
          <w:szCs w:val="16"/>
        </w:rPr>
      </w:pPr>
      <w:r w:rsidRPr="00DE096C">
        <w:rPr>
          <w:bCs/>
          <w:i/>
          <w:color w:val="002060"/>
          <w:sz w:val="16"/>
          <w:szCs w:val="16"/>
        </w:rPr>
        <w:t>Авиация и воздухоплавание Франции:</w:t>
      </w:r>
    </w:p>
    <w:p w14:paraId="753ECD88" w14:textId="77777777" w:rsidR="0090548F" w:rsidRPr="00DE096C" w:rsidRDefault="0090548F" w:rsidP="00D45A46">
      <w:pPr>
        <w:jc w:val="both"/>
        <w:rPr>
          <w:bCs/>
          <w:i/>
          <w:color w:val="002060"/>
          <w:sz w:val="16"/>
          <w:szCs w:val="16"/>
        </w:rPr>
      </w:pPr>
    </w:p>
    <w:p w14:paraId="546A4769" w14:textId="77777777" w:rsidR="0090548F" w:rsidRPr="00DE096C" w:rsidRDefault="0090548F" w:rsidP="00D45A46">
      <w:pPr>
        <w:jc w:val="both"/>
        <w:rPr>
          <w:bCs/>
          <w:color w:val="002060"/>
          <w:sz w:val="16"/>
          <w:szCs w:val="16"/>
        </w:rPr>
      </w:pPr>
      <w:r w:rsidRPr="00DE096C">
        <w:rPr>
          <w:bCs/>
          <w:color w:val="002060"/>
          <w:sz w:val="16"/>
          <w:szCs w:val="16"/>
        </w:rPr>
        <w:t>14 (27) сентября 1914 сформирована первая французская бомбардировочная группа (20337).</w:t>
      </w:r>
    </w:p>
    <w:p w14:paraId="0C426DA6" w14:textId="77777777" w:rsidR="0090548F" w:rsidRPr="00DE096C" w:rsidRDefault="0090548F" w:rsidP="00D45A46">
      <w:pPr>
        <w:jc w:val="both"/>
        <w:rPr>
          <w:bCs/>
          <w:color w:val="002060"/>
          <w:sz w:val="16"/>
          <w:szCs w:val="16"/>
        </w:rPr>
      </w:pPr>
    </w:p>
    <w:p w14:paraId="261EE03A" w14:textId="77777777" w:rsidR="00B67D7C" w:rsidRPr="00DE096C" w:rsidRDefault="00B67D7C" w:rsidP="00D45A46">
      <w:pPr>
        <w:jc w:val="both"/>
        <w:rPr>
          <w:bCs/>
          <w:i/>
          <w:color w:val="002060"/>
          <w:sz w:val="16"/>
          <w:szCs w:val="16"/>
        </w:rPr>
      </w:pPr>
      <w:r w:rsidRPr="00DE096C">
        <w:rPr>
          <w:bCs/>
          <w:i/>
          <w:color w:val="002060"/>
          <w:sz w:val="16"/>
          <w:szCs w:val="16"/>
        </w:rPr>
        <w:t>Авиация:</w:t>
      </w:r>
    </w:p>
    <w:p w14:paraId="098CE0CC" w14:textId="77777777" w:rsidR="00B67D7C" w:rsidRPr="00DE096C" w:rsidRDefault="00B67D7C" w:rsidP="00D45A46">
      <w:pPr>
        <w:jc w:val="both"/>
        <w:rPr>
          <w:bCs/>
          <w:i/>
          <w:color w:val="002060"/>
          <w:sz w:val="16"/>
          <w:szCs w:val="16"/>
        </w:rPr>
      </w:pPr>
    </w:p>
    <w:p w14:paraId="576EB92E" w14:textId="77777777" w:rsidR="00180600" w:rsidRPr="00B52707" w:rsidRDefault="00180600" w:rsidP="00180600">
      <w:pPr>
        <w:jc w:val="both"/>
        <w:rPr>
          <w:color w:val="0070C0"/>
          <w:sz w:val="16"/>
          <w:szCs w:val="16"/>
        </w:rPr>
      </w:pPr>
      <w:r w:rsidRPr="00B52707">
        <w:rPr>
          <w:color w:val="0070C0"/>
          <w:sz w:val="16"/>
          <w:szCs w:val="16"/>
        </w:rPr>
        <w:t>По состоянию на 15 (28) сентября 1914 г. авиачасти в действующей армии рас</w:t>
      </w:r>
      <w:r w:rsidRPr="00B52707">
        <w:rPr>
          <w:color w:val="0070C0"/>
          <w:sz w:val="16"/>
          <w:szCs w:val="16"/>
        </w:rPr>
        <w:softHyphen/>
        <w:t>пределялись следующим образом (РГВИА. Фонд 2003 опись 2 дело 612):</w:t>
      </w:r>
    </w:p>
    <w:p w14:paraId="4DC30A54" w14:textId="77777777" w:rsidR="00180600" w:rsidRPr="00B52707" w:rsidRDefault="00180600" w:rsidP="00180600">
      <w:pPr>
        <w:jc w:val="both"/>
        <w:rPr>
          <w:color w:val="0070C0"/>
          <w:sz w:val="16"/>
          <w:szCs w:val="16"/>
        </w:rPr>
      </w:pPr>
      <w:bookmarkStart w:id="165" w:name="bookmark142"/>
      <w:bookmarkEnd w:id="165"/>
      <w:r w:rsidRPr="00B52707">
        <w:rPr>
          <w:color w:val="0070C0"/>
          <w:sz w:val="16"/>
          <w:szCs w:val="16"/>
        </w:rPr>
        <w:t>Воздухоплавательная часть при Главном Управлении Гене</w:t>
      </w:r>
      <w:r w:rsidRPr="00B52707">
        <w:rPr>
          <w:color w:val="0070C0"/>
          <w:sz w:val="16"/>
          <w:szCs w:val="16"/>
        </w:rPr>
        <w:softHyphen/>
        <w:t>рального штаба (общий орган управления).</w:t>
      </w:r>
    </w:p>
    <w:p w14:paraId="4E702995" w14:textId="77777777" w:rsidR="00180600" w:rsidRPr="00B52707" w:rsidRDefault="00180600" w:rsidP="00180600">
      <w:pPr>
        <w:jc w:val="both"/>
        <w:rPr>
          <w:color w:val="0070C0"/>
          <w:sz w:val="16"/>
          <w:szCs w:val="16"/>
        </w:rPr>
      </w:pPr>
      <w:r w:rsidRPr="00B52707">
        <w:rPr>
          <w:color w:val="0070C0"/>
          <w:sz w:val="16"/>
          <w:szCs w:val="16"/>
        </w:rPr>
        <w:t>Заведующему организацией авиаци</w:t>
      </w:r>
      <w:r w:rsidRPr="00B52707">
        <w:rPr>
          <w:color w:val="0070C0"/>
          <w:sz w:val="16"/>
          <w:szCs w:val="16"/>
        </w:rPr>
        <w:softHyphen/>
        <w:t>онного дела в армиях Северо-Западного фронта, подчинялись 1-я, 4-я и 5-я авиа</w:t>
      </w:r>
      <w:r w:rsidRPr="00B52707">
        <w:rPr>
          <w:color w:val="0070C0"/>
          <w:sz w:val="16"/>
          <w:szCs w:val="16"/>
        </w:rPr>
        <w:softHyphen/>
        <w:t>ционные роты, а также, авиаотряды в сле</w:t>
      </w:r>
      <w:r w:rsidRPr="00B52707">
        <w:rPr>
          <w:color w:val="0070C0"/>
          <w:sz w:val="16"/>
          <w:szCs w:val="16"/>
        </w:rPr>
        <w:softHyphen/>
        <w:t>дующих армиях:</w:t>
      </w:r>
    </w:p>
    <w:p w14:paraId="3FF816A4" w14:textId="77777777" w:rsidR="00180600" w:rsidRPr="00B52707" w:rsidRDefault="00180600" w:rsidP="00180600">
      <w:pPr>
        <w:jc w:val="both"/>
        <w:rPr>
          <w:color w:val="0070C0"/>
          <w:sz w:val="16"/>
          <w:szCs w:val="16"/>
        </w:rPr>
      </w:pPr>
      <w:bookmarkStart w:id="166" w:name="bookmark143"/>
      <w:bookmarkEnd w:id="166"/>
      <w:r w:rsidRPr="00B52707">
        <w:rPr>
          <w:color w:val="0070C0"/>
          <w:sz w:val="16"/>
          <w:szCs w:val="16"/>
        </w:rPr>
        <w:t>- 1-й армии (1-й полевой, 2-й, 3-й, 4-й, 5-й, 10-й корпусные, Ковенский, Гродненский крепостные авиацион</w:t>
      </w:r>
      <w:r w:rsidRPr="00B52707">
        <w:rPr>
          <w:color w:val="0070C0"/>
          <w:sz w:val="16"/>
          <w:szCs w:val="16"/>
        </w:rPr>
        <w:softHyphen/>
        <w:t>ные отряды);</w:t>
      </w:r>
    </w:p>
    <w:p w14:paraId="2B895F6E" w14:textId="77777777" w:rsidR="00180600" w:rsidRPr="00B52707" w:rsidRDefault="00180600" w:rsidP="00180600">
      <w:pPr>
        <w:jc w:val="both"/>
        <w:rPr>
          <w:color w:val="0070C0"/>
          <w:sz w:val="16"/>
          <w:szCs w:val="16"/>
        </w:rPr>
      </w:pPr>
      <w:bookmarkStart w:id="167" w:name="bookmark144"/>
      <w:bookmarkEnd w:id="167"/>
      <w:r w:rsidRPr="00B52707">
        <w:rPr>
          <w:color w:val="0070C0"/>
          <w:sz w:val="16"/>
          <w:szCs w:val="16"/>
        </w:rPr>
        <w:t>- 2-й армии (1-й, 13-й, 15-й, 21-й, 23-й корпусные, Новогеоргиевский крепостной авиационные отряды);</w:t>
      </w:r>
    </w:p>
    <w:p w14:paraId="501ECE3C" w14:textId="77777777" w:rsidR="00180600" w:rsidRPr="00B52707" w:rsidRDefault="00180600" w:rsidP="00180600">
      <w:pPr>
        <w:jc w:val="both"/>
        <w:rPr>
          <w:color w:val="0070C0"/>
          <w:sz w:val="16"/>
          <w:szCs w:val="16"/>
        </w:rPr>
      </w:pPr>
      <w:bookmarkStart w:id="168" w:name="bookmark145"/>
      <w:bookmarkEnd w:id="168"/>
      <w:r w:rsidRPr="00B52707">
        <w:rPr>
          <w:color w:val="0070C0"/>
          <w:sz w:val="16"/>
          <w:szCs w:val="16"/>
        </w:rPr>
        <w:t>- 10-й армии (Особый, 22-й корпус</w:t>
      </w:r>
      <w:r w:rsidRPr="00B52707">
        <w:rPr>
          <w:color w:val="0070C0"/>
          <w:sz w:val="16"/>
          <w:szCs w:val="16"/>
        </w:rPr>
        <w:softHyphen/>
        <w:t>ной, Осовецкий крепостной ави</w:t>
      </w:r>
      <w:r w:rsidRPr="00B52707">
        <w:rPr>
          <w:color w:val="0070C0"/>
          <w:sz w:val="16"/>
          <w:szCs w:val="16"/>
        </w:rPr>
        <w:softHyphen/>
        <w:t>ационные отряды,Авиационное отделение).</w:t>
      </w:r>
    </w:p>
    <w:p w14:paraId="48DAB461" w14:textId="77777777" w:rsidR="00180600" w:rsidRPr="00B52707" w:rsidRDefault="00180600" w:rsidP="00180600">
      <w:pPr>
        <w:jc w:val="both"/>
        <w:rPr>
          <w:color w:val="0070C0"/>
          <w:sz w:val="16"/>
          <w:szCs w:val="16"/>
        </w:rPr>
      </w:pPr>
      <w:r w:rsidRPr="00B52707">
        <w:rPr>
          <w:color w:val="0070C0"/>
          <w:sz w:val="16"/>
          <w:szCs w:val="16"/>
        </w:rPr>
        <w:t>Заведующему организацией авиа</w:t>
      </w:r>
      <w:r w:rsidRPr="00B52707">
        <w:rPr>
          <w:color w:val="0070C0"/>
          <w:sz w:val="16"/>
          <w:szCs w:val="16"/>
        </w:rPr>
        <w:softHyphen/>
        <w:t>ционного дела в армиях Юго-Западного фронта, подчинялись 2-я, 3-я и 5-я авиа</w:t>
      </w:r>
      <w:r w:rsidRPr="00B52707">
        <w:rPr>
          <w:color w:val="0070C0"/>
          <w:sz w:val="16"/>
          <w:szCs w:val="16"/>
        </w:rPr>
        <w:softHyphen/>
        <w:t>ционные роты, а также, авиаотряды в сле</w:t>
      </w:r>
      <w:r w:rsidRPr="00B52707">
        <w:rPr>
          <w:color w:val="0070C0"/>
          <w:sz w:val="16"/>
          <w:szCs w:val="16"/>
        </w:rPr>
        <w:softHyphen/>
        <w:t>дующих армиях:</w:t>
      </w:r>
    </w:p>
    <w:p w14:paraId="0946CC40" w14:textId="77777777" w:rsidR="00180600" w:rsidRPr="00B52707" w:rsidRDefault="00180600" w:rsidP="00180600">
      <w:pPr>
        <w:jc w:val="both"/>
        <w:rPr>
          <w:color w:val="0070C0"/>
          <w:sz w:val="16"/>
          <w:szCs w:val="16"/>
        </w:rPr>
      </w:pPr>
      <w:bookmarkStart w:id="169" w:name="bookmark146"/>
      <w:bookmarkEnd w:id="169"/>
      <w:r w:rsidRPr="00B52707">
        <w:rPr>
          <w:color w:val="0070C0"/>
          <w:sz w:val="16"/>
          <w:szCs w:val="16"/>
        </w:rPr>
        <w:t>- 3-й армии (9-й, 11-й, 12-й корпус</w:t>
      </w:r>
      <w:r w:rsidRPr="00B52707">
        <w:rPr>
          <w:color w:val="0070C0"/>
          <w:sz w:val="16"/>
          <w:szCs w:val="16"/>
        </w:rPr>
        <w:softHyphen/>
        <w:t>ные авиационные отряды);</w:t>
      </w:r>
    </w:p>
    <w:p w14:paraId="7C167303" w14:textId="77777777" w:rsidR="00180600" w:rsidRPr="00B52707" w:rsidRDefault="00180600" w:rsidP="00180600">
      <w:pPr>
        <w:jc w:val="both"/>
        <w:rPr>
          <w:color w:val="0070C0"/>
          <w:sz w:val="16"/>
          <w:szCs w:val="16"/>
        </w:rPr>
      </w:pPr>
      <w:bookmarkStart w:id="170" w:name="bookmark147"/>
      <w:bookmarkEnd w:id="170"/>
      <w:r w:rsidRPr="00B52707">
        <w:rPr>
          <w:color w:val="0070C0"/>
          <w:sz w:val="16"/>
          <w:szCs w:val="16"/>
        </w:rPr>
        <w:t>- 4-й армии (Гренадёрский, 6-й, 20-й корпусные авиационные отряды);</w:t>
      </w:r>
    </w:p>
    <w:p w14:paraId="04472A09" w14:textId="77777777" w:rsidR="00180600" w:rsidRPr="00B52707" w:rsidRDefault="00180600" w:rsidP="00180600">
      <w:pPr>
        <w:jc w:val="both"/>
        <w:rPr>
          <w:color w:val="0070C0"/>
          <w:sz w:val="16"/>
          <w:szCs w:val="16"/>
        </w:rPr>
      </w:pPr>
      <w:bookmarkStart w:id="171" w:name="bookmark148"/>
      <w:bookmarkEnd w:id="171"/>
      <w:r w:rsidRPr="00B52707">
        <w:rPr>
          <w:color w:val="0070C0"/>
          <w:sz w:val="16"/>
          <w:szCs w:val="16"/>
        </w:rPr>
        <w:t>- 5-й армии (17-й, 19-й, 25-й корпус</w:t>
      </w:r>
      <w:r w:rsidRPr="00B52707">
        <w:rPr>
          <w:color w:val="0070C0"/>
          <w:sz w:val="16"/>
          <w:szCs w:val="16"/>
        </w:rPr>
        <w:softHyphen/>
        <w:t>ные, Брест-Литовский крепостной авиационные отряды);</w:t>
      </w:r>
    </w:p>
    <w:p w14:paraId="39245D22" w14:textId="77777777" w:rsidR="00180600" w:rsidRPr="00B52707" w:rsidRDefault="00180600" w:rsidP="00180600">
      <w:pPr>
        <w:jc w:val="both"/>
        <w:rPr>
          <w:color w:val="0070C0"/>
          <w:sz w:val="16"/>
          <w:szCs w:val="16"/>
        </w:rPr>
      </w:pPr>
      <w:bookmarkStart w:id="172" w:name="bookmark149"/>
      <w:bookmarkEnd w:id="172"/>
      <w:r w:rsidRPr="00B52707">
        <w:rPr>
          <w:color w:val="0070C0"/>
          <w:sz w:val="16"/>
          <w:szCs w:val="16"/>
        </w:rPr>
        <w:t>- 7-й армии (24-й корпусной авиаци</w:t>
      </w:r>
      <w:r w:rsidRPr="00B52707">
        <w:rPr>
          <w:color w:val="0070C0"/>
          <w:sz w:val="16"/>
          <w:szCs w:val="16"/>
        </w:rPr>
        <w:softHyphen/>
        <w:t>онный отряд);</w:t>
      </w:r>
    </w:p>
    <w:p w14:paraId="4315AE3A" w14:textId="77777777" w:rsidR="00180600" w:rsidRPr="00B52707" w:rsidRDefault="00180600" w:rsidP="00180600">
      <w:pPr>
        <w:jc w:val="both"/>
        <w:rPr>
          <w:color w:val="0070C0"/>
          <w:sz w:val="16"/>
          <w:szCs w:val="16"/>
        </w:rPr>
      </w:pPr>
      <w:r w:rsidRPr="00B52707">
        <w:rPr>
          <w:color w:val="0070C0"/>
          <w:sz w:val="16"/>
          <w:szCs w:val="16"/>
        </w:rPr>
        <w:t>- 8-й армии (3-й полевой, 7-й, 8-й корпусные авиационные отряды);</w:t>
      </w:r>
    </w:p>
    <w:p w14:paraId="31C9CED9" w14:textId="77777777" w:rsidR="00180600" w:rsidRPr="00B52707" w:rsidRDefault="00180600" w:rsidP="00180600">
      <w:pPr>
        <w:jc w:val="both"/>
        <w:rPr>
          <w:color w:val="0070C0"/>
          <w:sz w:val="16"/>
          <w:szCs w:val="16"/>
        </w:rPr>
      </w:pPr>
      <w:bookmarkStart w:id="173" w:name="bookmark151"/>
      <w:bookmarkEnd w:id="173"/>
      <w:r w:rsidRPr="00B52707">
        <w:rPr>
          <w:color w:val="0070C0"/>
          <w:sz w:val="16"/>
          <w:szCs w:val="16"/>
        </w:rPr>
        <w:t>- 9-й армии (Гвардейский, 14-й, 16-й, 18-й корпусные авиационные отряды).</w:t>
      </w:r>
    </w:p>
    <w:p w14:paraId="26112443" w14:textId="77777777" w:rsidR="00180600" w:rsidRPr="00B52707" w:rsidRDefault="00180600" w:rsidP="00180600">
      <w:pPr>
        <w:jc w:val="both"/>
        <w:rPr>
          <w:color w:val="0070C0"/>
          <w:sz w:val="16"/>
          <w:szCs w:val="16"/>
        </w:rPr>
      </w:pPr>
      <w:r w:rsidRPr="00B52707">
        <w:rPr>
          <w:color w:val="0070C0"/>
          <w:sz w:val="16"/>
          <w:szCs w:val="16"/>
        </w:rPr>
        <w:t>Так же, в тыловых военных округах, имелись следующие авиаотряды:</w:t>
      </w:r>
    </w:p>
    <w:p w14:paraId="7AA8F87A" w14:textId="77777777" w:rsidR="00180600" w:rsidRPr="00B52707" w:rsidRDefault="00180600" w:rsidP="00180600">
      <w:pPr>
        <w:jc w:val="both"/>
        <w:rPr>
          <w:color w:val="0070C0"/>
          <w:sz w:val="16"/>
          <w:szCs w:val="16"/>
        </w:rPr>
      </w:pPr>
      <w:bookmarkStart w:id="174" w:name="bookmark152"/>
      <w:bookmarkEnd w:id="174"/>
      <w:r w:rsidRPr="00B52707">
        <w:rPr>
          <w:color w:val="0070C0"/>
          <w:sz w:val="16"/>
          <w:szCs w:val="16"/>
        </w:rPr>
        <w:t>- 1-й, 4-й, 5-й Сибирские корпусные авиационные отряды;</w:t>
      </w:r>
    </w:p>
    <w:p w14:paraId="3F514DDE" w14:textId="77777777" w:rsidR="00180600" w:rsidRPr="00B52707" w:rsidRDefault="00180600" w:rsidP="00180600">
      <w:pPr>
        <w:jc w:val="both"/>
        <w:rPr>
          <w:color w:val="0070C0"/>
          <w:sz w:val="16"/>
          <w:szCs w:val="16"/>
        </w:rPr>
      </w:pPr>
      <w:bookmarkStart w:id="175" w:name="bookmark153"/>
      <w:bookmarkEnd w:id="175"/>
      <w:r w:rsidRPr="00B52707">
        <w:rPr>
          <w:color w:val="0070C0"/>
          <w:sz w:val="16"/>
          <w:szCs w:val="16"/>
        </w:rPr>
        <w:t>- Владивостокский, Карский, Севасто</w:t>
      </w:r>
      <w:r w:rsidRPr="00B52707">
        <w:rPr>
          <w:color w:val="0070C0"/>
          <w:sz w:val="16"/>
          <w:szCs w:val="16"/>
        </w:rPr>
        <w:softHyphen/>
        <w:t>польский крепостные авиационные отряды.</w:t>
      </w:r>
    </w:p>
    <w:p w14:paraId="2D2506B4" w14:textId="77777777" w:rsidR="00180600" w:rsidRPr="00B52707" w:rsidRDefault="00180600" w:rsidP="00180600">
      <w:pPr>
        <w:jc w:val="both"/>
        <w:rPr>
          <w:color w:val="0070C0"/>
          <w:sz w:val="16"/>
          <w:szCs w:val="16"/>
        </w:rPr>
      </w:pPr>
      <w:r w:rsidRPr="00B52707">
        <w:rPr>
          <w:color w:val="0070C0"/>
          <w:sz w:val="16"/>
          <w:szCs w:val="16"/>
        </w:rPr>
        <w:t>Но и они, вскоре были направлены на фронт.</w:t>
      </w:r>
    </w:p>
    <w:p w14:paraId="007F050E" w14:textId="77777777" w:rsidR="00180600" w:rsidRPr="00B52707" w:rsidRDefault="00180600" w:rsidP="00180600">
      <w:pPr>
        <w:jc w:val="both"/>
        <w:rPr>
          <w:color w:val="0070C0"/>
          <w:sz w:val="16"/>
          <w:szCs w:val="16"/>
        </w:rPr>
      </w:pPr>
      <w:r w:rsidRPr="00B52707">
        <w:rPr>
          <w:color w:val="0070C0"/>
          <w:sz w:val="16"/>
          <w:szCs w:val="16"/>
        </w:rPr>
        <w:t>Для подготовки, переподготовки и об</w:t>
      </w:r>
      <w:r w:rsidRPr="00B52707">
        <w:rPr>
          <w:color w:val="0070C0"/>
          <w:sz w:val="16"/>
          <w:szCs w:val="16"/>
        </w:rPr>
        <w:softHyphen/>
        <w:t>учения лётчиков по-прежнему имелись только военные авиационные школы:</w:t>
      </w:r>
    </w:p>
    <w:p w14:paraId="23F19F83" w14:textId="77777777" w:rsidR="00180600" w:rsidRPr="00B52707" w:rsidRDefault="00180600" w:rsidP="00180600">
      <w:pPr>
        <w:jc w:val="both"/>
        <w:rPr>
          <w:color w:val="0070C0"/>
          <w:sz w:val="16"/>
          <w:szCs w:val="16"/>
        </w:rPr>
      </w:pPr>
      <w:bookmarkStart w:id="176" w:name="bookmark154"/>
      <w:bookmarkEnd w:id="176"/>
      <w:r w:rsidRPr="00B52707">
        <w:rPr>
          <w:color w:val="0070C0"/>
          <w:sz w:val="16"/>
          <w:szCs w:val="16"/>
        </w:rPr>
        <w:t>- Военная авиационная школа (г. Гатчина);</w:t>
      </w:r>
    </w:p>
    <w:p w14:paraId="07812BA0" w14:textId="77777777" w:rsidR="00180600" w:rsidRPr="00B52707" w:rsidRDefault="00180600" w:rsidP="00180600">
      <w:pPr>
        <w:jc w:val="both"/>
        <w:rPr>
          <w:color w:val="0070C0"/>
          <w:sz w:val="16"/>
          <w:szCs w:val="16"/>
        </w:rPr>
      </w:pPr>
      <w:bookmarkStart w:id="177" w:name="bookmark155"/>
      <w:bookmarkEnd w:id="177"/>
      <w:r w:rsidRPr="00B52707">
        <w:rPr>
          <w:color w:val="0070C0"/>
          <w:sz w:val="16"/>
          <w:szCs w:val="16"/>
        </w:rPr>
        <w:t>- Севастопольская Его Величества Ве</w:t>
      </w:r>
      <w:r w:rsidRPr="00B52707">
        <w:rPr>
          <w:color w:val="0070C0"/>
          <w:sz w:val="16"/>
          <w:szCs w:val="16"/>
        </w:rPr>
        <w:softHyphen/>
        <w:t>ликого Князя Александра Михайло</w:t>
      </w:r>
      <w:r w:rsidRPr="00B52707">
        <w:rPr>
          <w:color w:val="0070C0"/>
          <w:sz w:val="16"/>
          <w:szCs w:val="16"/>
        </w:rPr>
        <w:softHyphen/>
        <w:t>вича военная авиационная школа (п. Кача, под г. Севастополем).</w:t>
      </w:r>
    </w:p>
    <w:p w14:paraId="01735F99" w14:textId="77777777" w:rsidR="00180600" w:rsidRPr="00B52707" w:rsidRDefault="00180600" w:rsidP="00180600">
      <w:pPr>
        <w:jc w:val="both"/>
        <w:rPr>
          <w:color w:val="0070C0"/>
          <w:sz w:val="16"/>
          <w:szCs w:val="16"/>
        </w:rPr>
      </w:pPr>
      <w:r w:rsidRPr="00B52707">
        <w:rPr>
          <w:color w:val="0070C0"/>
          <w:sz w:val="16"/>
          <w:szCs w:val="16"/>
        </w:rPr>
        <w:t>Комплектование так называемым лёт</w:t>
      </w:r>
      <w:r w:rsidRPr="00B52707">
        <w:rPr>
          <w:color w:val="0070C0"/>
          <w:sz w:val="16"/>
          <w:szCs w:val="16"/>
        </w:rPr>
        <w:softHyphen/>
        <w:t>но-подъемным составом производилось путем отбора добровольцев из состава сухопутных войск - для армейских воз</w:t>
      </w:r>
      <w:r w:rsidRPr="00B52707">
        <w:rPr>
          <w:color w:val="0070C0"/>
          <w:sz w:val="16"/>
          <w:szCs w:val="16"/>
        </w:rPr>
        <w:softHyphen/>
        <w:t>душных сил и ВМФ - для морских. Все</w:t>
      </w:r>
      <w:r w:rsidRPr="00B52707">
        <w:rPr>
          <w:color w:val="0070C0"/>
          <w:sz w:val="16"/>
          <w:szCs w:val="16"/>
        </w:rPr>
        <w:softHyphen/>
        <w:t>го в стране на начало 1915 г. имелось 900 подготовленных летчиков, из которых 500 военных.</w:t>
      </w:r>
    </w:p>
    <w:p w14:paraId="422730D5" w14:textId="77777777" w:rsidR="00180600" w:rsidRPr="00B52707" w:rsidRDefault="00180600" w:rsidP="00180600">
      <w:pPr>
        <w:jc w:val="both"/>
        <w:rPr>
          <w:color w:val="0070C0"/>
          <w:sz w:val="16"/>
          <w:szCs w:val="16"/>
        </w:rPr>
      </w:pPr>
      <w:r w:rsidRPr="00B52707">
        <w:rPr>
          <w:color w:val="0070C0"/>
          <w:sz w:val="16"/>
          <w:szCs w:val="16"/>
        </w:rPr>
        <w:t>Подготовка лётно-подъемного соста</w:t>
      </w:r>
      <w:r w:rsidRPr="00B52707">
        <w:rPr>
          <w:color w:val="0070C0"/>
          <w:sz w:val="16"/>
          <w:szCs w:val="16"/>
        </w:rPr>
        <w:softHyphen/>
        <w:t>ва производилось в офицерской воздухо</w:t>
      </w:r>
      <w:r w:rsidRPr="00B52707">
        <w:rPr>
          <w:color w:val="0070C0"/>
          <w:sz w:val="16"/>
          <w:szCs w:val="16"/>
        </w:rPr>
        <w:softHyphen/>
        <w:t>плавательной школе в г. Гатчине, имевшей отделения воздухоплавания (отделы: при</w:t>
      </w:r>
      <w:r w:rsidRPr="00B52707">
        <w:rPr>
          <w:color w:val="0070C0"/>
          <w:sz w:val="16"/>
          <w:szCs w:val="16"/>
        </w:rPr>
        <w:softHyphen/>
        <w:t>вязных аэростатов, дирижаблей) и авиа</w:t>
      </w:r>
      <w:r w:rsidRPr="00B52707">
        <w:rPr>
          <w:color w:val="0070C0"/>
          <w:sz w:val="16"/>
          <w:szCs w:val="16"/>
        </w:rPr>
        <w:softHyphen/>
        <w:t>ционное. С начала Первой мировой вой</w:t>
      </w:r>
      <w:r w:rsidRPr="00B52707">
        <w:rPr>
          <w:color w:val="0070C0"/>
          <w:sz w:val="16"/>
          <w:szCs w:val="16"/>
        </w:rPr>
        <w:softHyphen/>
        <w:t>ны увеличилось количество авиационных школ, где обучали не только лётчиков, но также летчиков-наблюдателей, специа</w:t>
      </w:r>
      <w:r w:rsidRPr="00B52707">
        <w:rPr>
          <w:color w:val="0070C0"/>
          <w:sz w:val="16"/>
          <w:szCs w:val="16"/>
        </w:rPr>
        <w:softHyphen/>
        <w:t>листов по ремонту авиационной технике. Кроме Гатчинской школы, открытой еще в 1911 г., были открыты офицерская шко</w:t>
      </w:r>
      <w:r w:rsidRPr="00B52707">
        <w:rPr>
          <w:color w:val="0070C0"/>
          <w:sz w:val="16"/>
          <w:szCs w:val="16"/>
        </w:rPr>
        <w:softHyphen/>
        <w:t>ла авиации в Каче (под Севастополем) и офицерская школа авиации при Мос</w:t>
      </w:r>
      <w:r w:rsidRPr="00B52707">
        <w:rPr>
          <w:color w:val="0070C0"/>
          <w:sz w:val="16"/>
          <w:szCs w:val="16"/>
        </w:rPr>
        <w:softHyphen/>
        <w:t>ковском обществе воздухоплавания.</w:t>
      </w:r>
    </w:p>
    <w:p w14:paraId="74893F12" w14:textId="77777777" w:rsidR="00180600" w:rsidRPr="00B52707" w:rsidRDefault="00180600" w:rsidP="00180600">
      <w:pPr>
        <w:jc w:val="both"/>
        <w:rPr>
          <w:color w:val="0070C0"/>
          <w:sz w:val="16"/>
          <w:szCs w:val="16"/>
        </w:rPr>
      </w:pPr>
      <w:r w:rsidRPr="00B52707">
        <w:rPr>
          <w:color w:val="0070C0"/>
          <w:sz w:val="16"/>
          <w:szCs w:val="16"/>
        </w:rPr>
        <w:t>Кроме того, подготовка лётчиков, в т.ч. и офицеров, проводилась в частном по</w:t>
      </w:r>
      <w:r w:rsidRPr="00B52707">
        <w:rPr>
          <w:color w:val="0070C0"/>
          <w:sz w:val="16"/>
          <w:szCs w:val="16"/>
        </w:rPr>
        <w:softHyphen/>
        <w:t>рядке на курсах при Московском обще</w:t>
      </w:r>
      <w:r w:rsidRPr="00B52707">
        <w:rPr>
          <w:color w:val="0070C0"/>
          <w:sz w:val="16"/>
          <w:szCs w:val="16"/>
        </w:rPr>
        <w:softHyphen/>
        <w:t>стве воздухоплавания, Санкт-Петербург</w:t>
      </w:r>
      <w:r w:rsidRPr="00B52707">
        <w:rPr>
          <w:color w:val="0070C0"/>
          <w:sz w:val="16"/>
          <w:szCs w:val="16"/>
        </w:rPr>
        <w:softHyphen/>
        <w:t>ском политехническом институте, а так</w:t>
      </w:r>
      <w:r w:rsidRPr="00B52707">
        <w:rPr>
          <w:color w:val="0070C0"/>
          <w:sz w:val="16"/>
          <w:szCs w:val="16"/>
        </w:rPr>
        <w:softHyphen/>
        <w:t>же во Всероссийском (г. Санкт-Петербург), Одесском, Киевском, Рижском, Харьков</w:t>
      </w:r>
      <w:r w:rsidRPr="00B52707">
        <w:rPr>
          <w:color w:val="0070C0"/>
          <w:sz w:val="16"/>
          <w:szCs w:val="16"/>
        </w:rPr>
        <w:softHyphen/>
        <w:t>ском и других аэроклубах и за грани</w:t>
      </w:r>
      <w:r w:rsidRPr="00B52707">
        <w:rPr>
          <w:color w:val="0070C0"/>
          <w:sz w:val="16"/>
          <w:szCs w:val="16"/>
        </w:rPr>
        <w:softHyphen/>
        <w:t>цей, во Франции. Летчики-наблюдатели, как правило, готовились из офицеров Ге</w:t>
      </w:r>
      <w:r w:rsidRPr="00B52707">
        <w:rPr>
          <w:color w:val="0070C0"/>
          <w:sz w:val="16"/>
          <w:szCs w:val="16"/>
        </w:rPr>
        <w:softHyphen/>
        <w:t>нерального штаба.</w:t>
      </w:r>
    </w:p>
    <w:p w14:paraId="50458183" w14:textId="77777777" w:rsidR="00180600" w:rsidRPr="00B52707" w:rsidRDefault="00180600" w:rsidP="00180600">
      <w:pPr>
        <w:jc w:val="both"/>
        <w:rPr>
          <w:color w:val="0070C0"/>
          <w:sz w:val="16"/>
          <w:szCs w:val="16"/>
        </w:rPr>
      </w:pPr>
      <w:r w:rsidRPr="00B52707">
        <w:rPr>
          <w:color w:val="0070C0"/>
          <w:sz w:val="16"/>
          <w:szCs w:val="16"/>
        </w:rPr>
        <w:t>Наземный обслуживающий и тыловой персонал комплектовался на основе все</w:t>
      </w:r>
      <w:r w:rsidRPr="00B52707">
        <w:rPr>
          <w:color w:val="0070C0"/>
          <w:sz w:val="16"/>
          <w:szCs w:val="16"/>
        </w:rPr>
        <w:softHyphen/>
        <w:t>общей повинности, но в первую очередь отбирались призывники, имевшие не</w:t>
      </w:r>
      <w:r w:rsidRPr="00B52707">
        <w:rPr>
          <w:color w:val="0070C0"/>
          <w:sz w:val="16"/>
          <w:szCs w:val="16"/>
        </w:rPr>
        <w:softHyphen/>
        <w:t>обходимые гражданские специальности (механики, мастеровые и т. п.).</w:t>
      </w:r>
    </w:p>
    <w:p w14:paraId="15864EB1" w14:textId="77777777" w:rsidR="00180600" w:rsidRPr="00B52707" w:rsidRDefault="00180600" w:rsidP="00180600">
      <w:pPr>
        <w:jc w:val="both"/>
        <w:rPr>
          <w:color w:val="0070C0"/>
          <w:sz w:val="16"/>
          <w:szCs w:val="16"/>
        </w:rPr>
      </w:pPr>
      <w:r w:rsidRPr="00B52707">
        <w:rPr>
          <w:color w:val="0070C0"/>
          <w:sz w:val="16"/>
          <w:szCs w:val="16"/>
        </w:rPr>
        <w:lastRenderedPageBreak/>
        <w:t>С началом войны на фронте появи</w:t>
      </w:r>
      <w:r w:rsidRPr="00B52707">
        <w:rPr>
          <w:color w:val="0070C0"/>
          <w:sz w:val="16"/>
          <w:szCs w:val="16"/>
        </w:rPr>
        <w:softHyphen/>
        <w:t>лись как отдельные самолеты с добро</w:t>
      </w:r>
      <w:r w:rsidRPr="00B52707">
        <w:rPr>
          <w:color w:val="0070C0"/>
          <w:sz w:val="16"/>
          <w:szCs w:val="16"/>
        </w:rPr>
        <w:softHyphen/>
        <w:t>вольцами, которые приобрели аэропла</w:t>
      </w:r>
      <w:r w:rsidRPr="00B52707">
        <w:rPr>
          <w:color w:val="0070C0"/>
          <w:sz w:val="16"/>
          <w:szCs w:val="16"/>
        </w:rPr>
        <w:softHyphen/>
        <w:t>ны за свой счёт, но и так же доброволь</w:t>
      </w:r>
      <w:r w:rsidRPr="00B52707">
        <w:rPr>
          <w:color w:val="0070C0"/>
          <w:sz w:val="16"/>
          <w:szCs w:val="16"/>
        </w:rPr>
        <w:softHyphen/>
        <w:t>ческие авиационные отряды. Например, на базе Всероссийского аэроклуба был создан и отправлен на фронт Особый До</w:t>
      </w:r>
      <w:r w:rsidRPr="00B52707">
        <w:rPr>
          <w:color w:val="0070C0"/>
          <w:sz w:val="16"/>
          <w:szCs w:val="16"/>
        </w:rPr>
        <w:softHyphen/>
        <w:t>бровольческий авиационный отряд (ко</w:t>
      </w:r>
      <w:r w:rsidRPr="00B52707">
        <w:rPr>
          <w:color w:val="0070C0"/>
          <w:sz w:val="16"/>
          <w:szCs w:val="16"/>
        </w:rPr>
        <w:softHyphen/>
        <w:t>мандир Н.А. Яцук) (24962).</w:t>
      </w:r>
    </w:p>
    <w:p w14:paraId="5C859672" w14:textId="77777777" w:rsidR="00180600" w:rsidRPr="00B52707" w:rsidRDefault="00180600" w:rsidP="00180600">
      <w:pPr>
        <w:jc w:val="both"/>
        <w:rPr>
          <w:color w:val="0070C0"/>
          <w:sz w:val="16"/>
          <w:szCs w:val="16"/>
        </w:rPr>
      </w:pPr>
    </w:p>
    <w:p w14:paraId="7C98AFC6" w14:textId="77777777" w:rsidR="00B67D7C" w:rsidRPr="00DE096C" w:rsidRDefault="00B67D7C" w:rsidP="00D45A46">
      <w:pPr>
        <w:jc w:val="both"/>
        <w:rPr>
          <w:bCs/>
          <w:color w:val="002060"/>
          <w:sz w:val="16"/>
          <w:szCs w:val="16"/>
        </w:rPr>
      </w:pPr>
      <w:r w:rsidRPr="00DE096C">
        <w:rPr>
          <w:bCs/>
          <w:color w:val="002060"/>
          <w:sz w:val="16"/>
          <w:szCs w:val="16"/>
        </w:rPr>
        <w:t>15 (28) сентября 1914 - из газеты: "...в субботу, около 2 часов дня над Варшавой стал кружить большой германский аэроплан. Первоначально он держался большой, недосягаемой для выстрелов, высоты, затем опустился гораздо ниже, так что простым глазом можно было рассмотреть его конструкции. Воспользовавшись этим случаем, военные стали с двух сторон обстреливать его. Все население города высыпало на улицы и с жгучим интересом начало следить за разыгравшейся в воздухе редкой, небывалой картиной. Канонада продолжалась около получаса. Оглушительные выстрелы раскатывались по всей Варшаве. С балконов, из окон, с площадок трамваев, с мостовых - отовсюду жадно следили за отчаянным, дерзким авиатором. У всех было только одно желание вполне понятное при настоящих тревожных временах: чтобы выстрелы достигли, наконец, своей цели. Авиатор сделал попытку взлететь выше, но аэроплан, по-видимому, уже плохо повиновался ему. Аппарат стало заметно кренить. Еще несколько выстрелов, и аэроплан планирующим спуском начал идти вниз, по направлению к Мокотовскому полю.</w:t>
      </w:r>
    </w:p>
    <w:p w14:paraId="089C2B94" w14:textId="77777777" w:rsidR="00B67D7C" w:rsidRPr="00DE096C" w:rsidRDefault="00B67D7C" w:rsidP="00D45A46">
      <w:pPr>
        <w:jc w:val="both"/>
        <w:rPr>
          <w:bCs/>
          <w:color w:val="002060"/>
          <w:sz w:val="16"/>
          <w:szCs w:val="16"/>
        </w:rPr>
      </w:pPr>
      <w:r w:rsidRPr="00DE096C">
        <w:rPr>
          <w:bCs/>
          <w:color w:val="002060"/>
          <w:sz w:val="16"/>
          <w:szCs w:val="16"/>
        </w:rPr>
        <w:t>- Подбит! Подбит! - радостно загудела толпа народа.</w:t>
      </w:r>
    </w:p>
    <w:p w14:paraId="6A408EED" w14:textId="77777777" w:rsidR="00B67D7C" w:rsidRPr="00DE096C" w:rsidRDefault="00B67D7C" w:rsidP="00D45A46">
      <w:pPr>
        <w:jc w:val="both"/>
        <w:rPr>
          <w:bCs/>
          <w:color w:val="002060"/>
          <w:sz w:val="16"/>
          <w:szCs w:val="16"/>
        </w:rPr>
      </w:pPr>
      <w:r w:rsidRPr="00DE096C">
        <w:rPr>
          <w:bCs/>
          <w:color w:val="002060"/>
          <w:sz w:val="16"/>
          <w:szCs w:val="16"/>
        </w:rPr>
        <w:t>Все облегченно вздохнули: одним, очень опасным врагом стало меньше. Большинство публики на трамваях, на извозчиках и просто пешком поспешили по направлению опускавшегося германца..." (11999).</w:t>
      </w:r>
    </w:p>
    <w:p w14:paraId="49B802D9" w14:textId="77777777" w:rsidR="00B67D7C" w:rsidRPr="00DE096C" w:rsidRDefault="00B67D7C" w:rsidP="00D45A46">
      <w:pPr>
        <w:jc w:val="both"/>
        <w:rPr>
          <w:bCs/>
          <w:color w:val="002060"/>
          <w:sz w:val="16"/>
          <w:szCs w:val="16"/>
        </w:rPr>
      </w:pPr>
    </w:p>
    <w:p w14:paraId="33521620" w14:textId="77777777" w:rsidR="00B67D7C" w:rsidRPr="00DE096C" w:rsidRDefault="00B67D7C" w:rsidP="00D45A46">
      <w:pPr>
        <w:jc w:val="both"/>
        <w:rPr>
          <w:bCs/>
          <w:i/>
          <w:color w:val="002060"/>
          <w:sz w:val="16"/>
          <w:szCs w:val="16"/>
        </w:rPr>
      </w:pPr>
      <w:r w:rsidRPr="00DE096C">
        <w:rPr>
          <w:bCs/>
          <w:i/>
          <w:color w:val="002060"/>
          <w:sz w:val="16"/>
          <w:szCs w:val="16"/>
        </w:rPr>
        <w:t>Военное воздухоплавание:</w:t>
      </w:r>
    </w:p>
    <w:p w14:paraId="6F27948D" w14:textId="77777777" w:rsidR="00B67D7C" w:rsidRPr="00DE096C" w:rsidRDefault="00B67D7C" w:rsidP="00D45A46">
      <w:pPr>
        <w:jc w:val="both"/>
        <w:rPr>
          <w:bCs/>
          <w:i/>
          <w:color w:val="002060"/>
          <w:sz w:val="16"/>
          <w:szCs w:val="16"/>
        </w:rPr>
      </w:pPr>
    </w:p>
    <w:p w14:paraId="5C7AD7A3" w14:textId="53809888" w:rsidR="00B67D7C" w:rsidRPr="00DE096C" w:rsidRDefault="00B67D7C" w:rsidP="00D45A46">
      <w:pPr>
        <w:jc w:val="both"/>
        <w:rPr>
          <w:bCs/>
          <w:color w:val="002060"/>
          <w:sz w:val="16"/>
          <w:szCs w:val="16"/>
        </w:rPr>
      </w:pPr>
      <w:r w:rsidRPr="00DE096C">
        <w:rPr>
          <w:bCs/>
          <w:color w:val="002060"/>
          <w:sz w:val="16"/>
          <w:szCs w:val="16"/>
        </w:rPr>
        <w:t>С 15 по 23 сентября</w:t>
      </w:r>
      <w:r w:rsidR="00D631B8" w:rsidRPr="00DE096C">
        <w:rPr>
          <w:bCs/>
          <w:color w:val="002060"/>
          <w:sz w:val="16"/>
          <w:szCs w:val="16"/>
        </w:rPr>
        <w:t xml:space="preserve"> (28 сентября </w:t>
      </w:r>
      <w:r w:rsidR="00510ED1" w:rsidRPr="00DE096C">
        <w:rPr>
          <w:bCs/>
          <w:color w:val="002060"/>
          <w:sz w:val="16"/>
          <w:szCs w:val="16"/>
        </w:rPr>
        <w:t>–</w:t>
      </w:r>
      <w:r w:rsidR="00D631B8" w:rsidRPr="00DE096C">
        <w:rPr>
          <w:bCs/>
          <w:color w:val="002060"/>
          <w:sz w:val="16"/>
          <w:szCs w:val="16"/>
        </w:rPr>
        <w:t xml:space="preserve"> </w:t>
      </w:r>
      <w:r w:rsidR="00510ED1" w:rsidRPr="00DE096C">
        <w:rPr>
          <w:bCs/>
          <w:color w:val="002060"/>
          <w:sz w:val="16"/>
          <w:szCs w:val="16"/>
        </w:rPr>
        <w:t>6 октября) 1914 г.</w:t>
      </w:r>
      <w:r w:rsidRPr="00DE096C">
        <w:rPr>
          <w:bCs/>
          <w:color w:val="002060"/>
          <w:sz w:val="16"/>
          <w:szCs w:val="16"/>
        </w:rPr>
        <w:t xml:space="preserve"> несмотря на очень сильный ветер, аэростат почти все время находился в воздухе, и воздухоплаватели проверяли маскировку русских укреплений и вели разведку приближавшегося к крепости противника</w:t>
      </w:r>
      <w:r w:rsidR="00510ED1" w:rsidRPr="00DE096C">
        <w:rPr>
          <w:bCs/>
          <w:color w:val="002060"/>
          <w:sz w:val="16"/>
          <w:szCs w:val="16"/>
        </w:rPr>
        <w:t>. С началом мобилизации сформированная в воздухоплавательной школе 14-я воздухоплавательная рота была срочно направлена в крепость Ивангород, где она немедленно приступила к ведению разведки</w:t>
      </w:r>
      <w:r w:rsidRPr="00DE096C">
        <w:rPr>
          <w:bCs/>
          <w:color w:val="002060"/>
          <w:sz w:val="16"/>
          <w:szCs w:val="16"/>
        </w:rPr>
        <w:t xml:space="preserve"> (11334).</w:t>
      </w:r>
    </w:p>
    <w:p w14:paraId="6FAF7023" w14:textId="77777777" w:rsidR="00B67D7C" w:rsidRPr="00DE096C" w:rsidRDefault="00B67D7C" w:rsidP="00D45A46">
      <w:pPr>
        <w:shd w:val="clear" w:color="auto" w:fill="FFFFFF"/>
        <w:jc w:val="both"/>
        <w:rPr>
          <w:bCs/>
          <w:i/>
          <w:color w:val="002060"/>
          <w:sz w:val="16"/>
          <w:szCs w:val="16"/>
        </w:rPr>
      </w:pPr>
    </w:p>
    <w:p w14:paraId="6C14A375" w14:textId="08A6796F" w:rsidR="00B67D7C" w:rsidRPr="00DE096C" w:rsidRDefault="00510ED1" w:rsidP="00D45A46">
      <w:pPr>
        <w:jc w:val="both"/>
        <w:rPr>
          <w:bCs/>
          <w:color w:val="002060"/>
          <w:sz w:val="16"/>
          <w:szCs w:val="16"/>
        </w:rPr>
      </w:pPr>
      <w:r w:rsidRPr="00DE096C">
        <w:rPr>
          <w:bCs/>
          <w:color w:val="002060"/>
          <w:sz w:val="16"/>
          <w:szCs w:val="16"/>
        </w:rPr>
        <w:t>С</w:t>
      </w:r>
      <w:r w:rsidR="00B67D7C" w:rsidRPr="00DE096C">
        <w:rPr>
          <w:bCs/>
          <w:color w:val="002060"/>
          <w:sz w:val="16"/>
          <w:szCs w:val="16"/>
        </w:rPr>
        <w:t xml:space="preserve"> 15 по 23 сентября</w:t>
      </w:r>
      <w:r w:rsidRPr="00DE096C">
        <w:rPr>
          <w:bCs/>
          <w:color w:val="002060"/>
          <w:sz w:val="16"/>
          <w:szCs w:val="16"/>
        </w:rPr>
        <w:t xml:space="preserve"> (28 сентября – 6 октября</w:t>
      </w:r>
      <w:r w:rsidR="00B67D7C" w:rsidRPr="00DE096C">
        <w:rPr>
          <w:bCs/>
          <w:color w:val="002060"/>
          <w:sz w:val="16"/>
          <w:szCs w:val="16"/>
        </w:rPr>
        <w:t xml:space="preserve">) </w:t>
      </w:r>
      <w:r w:rsidRPr="00DE096C">
        <w:rPr>
          <w:bCs/>
          <w:color w:val="002060"/>
          <w:sz w:val="16"/>
          <w:szCs w:val="16"/>
        </w:rPr>
        <w:t xml:space="preserve">1914 г. </w:t>
      </w:r>
      <w:r w:rsidR="00B67D7C" w:rsidRPr="00DE096C">
        <w:rPr>
          <w:bCs/>
          <w:color w:val="002060"/>
          <w:sz w:val="16"/>
          <w:szCs w:val="16"/>
        </w:rPr>
        <w:t xml:space="preserve">на </w:t>
      </w:r>
      <w:r w:rsidRPr="00DE096C">
        <w:rPr>
          <w:bCs/>
          <w:color w:val="002060"/>
          <w:sz w:val="16"/>
          <w:szCs w:val="16"/>
        </w:rPr>
        <w:t>14-ю воздухоплавательную ротау, которая была срочно направлена в крепость Ивангород,</w:t>
      </w:r>
      <w:r w:rsidR="00B67D7C" w:rsidRPr="00DE096C">
        <w:rPr>
          <w:bCs/>
          <w:color w:val="002060"/>
          <w:sz w:val="16"/>
          <w:szCs w:val="16"/>
        </w:rPr>
        <w:t xml:space="preserve"> были возложены обязанности следить за приближающимся к крепости противником и наблюдать за небом днем и ночью, чтобы своевременно обнаруживать самолеты врага. В эти дни аэростат работал непрерывно, несмотря на то, что скорость ветра достигала 18-26 м/с.</w:t>
      </w:r>
    </w:p>
    <w:p w14:paraId="6ECFBBBC" w14:textId="77777777" w:rsidR="00B67D7C" w:rsidRPr="00DE096C" w:rsidRDefault="00B67D7C" w:rsidP="00D45A46">
      <w:pPr>
        <w:jc w:val="both"/>
        <w:rPr>
          <w:bCs/>
          <w:color w:val="002060"/>
          <w:sz w:val="16"/>
          <w:szCs w:val="16"/>
        </w:rPr>
      </w:pPr>
      <w:r w:rsidRPr="00DE096C">
        <w:rPr>
          <w:bCs/>
          <w:color w:val="002060"/>
          <w:sz w:val="16"/>
          <w:szCs w:val="16"/>
        </w:rPr>
        <w:t>Переместившись (27 сентября) к деревне Борова, чтобы улучшить условия наблюдения... наблюдатель обнаружил с аэростата присутствие немцев в лесу у деревни Бонковец. Аэростат был обстрелян сильным шрапнельным огнем. Благодаря маневрированию с лебедкой и изменению высоты подъема удалось избежать попаданий в аэростат..." (11999).</w:t>
      </w:r>
    </w:p>
    <w:p w14:paraId="3261FB6E" w14:textId="77777777" w:rsidR="00B67D7C" w:rsidRPr="00DE096C" w:rsidRDefault="00B67D7C" w:rsidP="00D45A46">
      <w:pPr>
        <w:jc w:val="both"/>
        <w:rPr>
          <w:bCs/>
          <w:color w:val="002060"/>
          <w:sz w:val="16"/>
          <w:szCs w:val="16"/>
        </w:rPr>
      </w:pPr>
    </w:p>
    <w:p w14:paraId="2E1CFC50" w14:textId="77777777" w:rsidR="00AA6E39" w:rsidRPr="00DE096C" w:rsidRDefault="00AA6E39" w:rsidP="00D45A46">
      <w:pPr>
        <w:jc w:val="both"/>
        <w:rPr>
          <w:bCs/>
          <w:color w:val="002060"/>
          <w:sz w:val="16"/>
          <w:szCs w:val="16"/>
        </w:rPr>
      </w:pPr>
      <w:r w:rsidRPr="00DE096C">
        <w:rPr>
          <w:bCs/>
          <w:color w:val="002060"/>
          <w:sz w:val="16"/>
          <w:szCs w:val="16"/>
        </w:rPr>
        <w:t>15 (28) сентября — 26 октября (8 ноября) 1914 г. в ходе Варшавско-Ивангородской опера</w:t>
      </w:r>
      <w:r w:rsidRPr="00DE096C">
        <w:rPr>
          <w:bCs/>
          <w:color w:val="002060"/>
          <w:sz w:val="16"/>
          <w:szCs w:val="16"/>
        </w:rPr>
        <w:softHyphen/>
        <w:t>ции, приведшей к срыву плана Гинденбурга нанести фланговый удар по русским войскам, на</w:t>
      </w:r>
      <w:r w:rsidRPr="00DE096C">
        <w:rPr>
          <w:bCs/>
          <w:color w:val="002060"/>
          <w:sz w:val="16"/>
          <w:szCs w:val="16"/>
        </w:rPr>
        <w:softHyphen/>
        <w:t>ступавшим в Галиции воздухоплаватели полу</w:t>
      </w:r>
      <w:r w:rsidRPr="00DE096C">
        <w:rPr>
          <w:bCs/>
          <w:color w:val="002060"/>
          <w:sz w:val="16"/>
          <w:szCs w:val="16"/>
        </w:rPr>
        <w:softHyphen/>
        <w:t>чили боевое крещение.</w:t>
      </w:r>
    </w:p>
    <w:p w14:paraId="29085138" w14:textId="77777777" w:rsidR="00AA6E39" w:rsidRPr="00DE096C" w:rsidRDefault="00AA6E39" w:rsidP="00D45A46">
      <w:pPr>
        <w:jc w:val="both"/>
        <w:rPr>
          <w:bCs/>
          <w:color w:val="002060"/>
          <w:sz w:val="16"/>
          <w:szCs w:val="16"/>
        </w:rPr>
      </w:pPr>
      <w:r w:rsidRPr="00DE096C">
        <w:rPr>
          <w:bCs/>
          <w:color w:val="002060"/>
          <w:sz w:val="16"/>
          <w:szCs w:val="16"/>
        </w:rPr>
        <w:t>15-23 сентября 14-я воздухоплавательная рота следила за приближающимся к крепости про</w:t>
      </w:r>
      <w:r w:rsidRPr="00DE096C">
        <w:rPr>
          <w:bCs/>
          <w:color w:val="002060"/>
          <w:sz w:val="16"/>
          <w:szCs w:val="16"/>
        </w:rPr>
        <w:softHyphen/>
        <w:t>тивником и непрерывно наблюдала за небом для своевременного обнаружения его самолётов. Подъёмы производились даже при скорости ве</w:t>
      </w:r>
      <w:r w:rsidRPr="00DE096C">
        <w:rPr>
          <w:bCs/>
          <w:color w:val="002060"/>
          <w:sz w:val="16"/>
          <w:szCs w:val="16"/>
        </w:rPr>
        <w:softHyphen/>
        <w:t>тра 18-26 м/с. С 22 сентября аэростат занимал бо</w:t>
      </w:r>
      <w:r w:rsidRPr="00DE096C">
        <w:rPr>
          <w:bCs/>
          <w:color w:val="002060"/>
          <w:sz w:val="16"/>
          <w:szCs w:val="16"/>
        </w:rPr>
        <w:softHyphen/>
        <w:t>евую позицию в лесу у полустанка Голомб, где вёл разведку и корректировал учебные стрельбы рус</w:t>
      </w:r>
      <w:r w:rsidRPr="00DE096C">
        <w:rPr>
          <w:bCs/>
          <w:color w:val="002060"/>
          <w:sz w:val="16"/>
          <w:szCs w:val="16"/>
        </w:rPr>
        <w:softHyphen/>
        <w:t>ских батарей. Он также поддерживал связь между частями гренадерского корпуса, расположенного в районе г. Новая Александрия, и крепостью.</w:t>
      </w:r>
    </w:p>
    <w:p w14:paraId="3F20A81C" w14:textId="77777777" w:rsidR="00AA6E39" w:rsidRPr="00DE096C" w:rsidRDefault="00AA6E39" w:rsidP="00D45A46">
      <w:pPr>
        <w:jc w:val="both"/>
        <w:rPr>
          <w:bCs/>
          <w:color w:val="002060"/>
          <w:sz w:val="16"/>
          <w:szCs w:val="16"/>
        </w:rPr>
      </w:pPr>
      <w:r w:rsidRPr="00DE096C">
        <w:rPr>
          <w:bCs/>
          <w:color w:val="002060"/>
          <w:sz w:val="16"/>
          <w:szCs w:val="16"/>
        </w:rPr>
        <w:t>26 сентября (8 октября) германские войска подошли к крепости вплотную. Выдвинувшись 27 сентября (9 октября) к д. Борова для улучше</w:t>
      </w:r>
      <w:r w:rsidRPr="00DE096C">
        <w:rPr>
          <w:bCs/>
          <w:color w:val="002060"/>
          <w:sz w:val="16"/>
          <w:szCs w:val="16"/>
        </w:rPr>
        <w:softHyphen/>
        <w:t>ния условий наблюдения (ветер в 20-25 м/с силь</w:t>
      </w:r>
      <w:r w:rsidRPr="00DE096C">
        <w:rPr>
          <w:bCs/>
          <w:color w:val="002060"/>
          <w:sz w:val="16"/>
          <w:szCs w:val="16"/>
        </w:rPr>
        <w:softHyphen/>
        <w:t>но мешал разведке), наблюдатель аэростата обна</w:t>
      </w:r>
      <w:r w:rsidRPr="00DE096C">
        <w:rPr>
          <w:bCs/>
          <w:color w:val="002060"/>
          <w:sz w:val="16"/>
          <w:szCs w:val="16"/>
        </w:rPr>
        <w:softHyphen/>
        <w:t>ружил присутствие немцев в лесу у д. Бонковец. Аэростат обстреляли сильным шрапнельным огнём, но маневрирование с лебёдкой и измене</w:t>
      </w:r>
      <w:r w:rsidRPr="00DE096C">
        <w:rPr>
          <w:bCs/>
          <w:color w:val="002060"/>
          <w:sz w:val="16"/>
          <w:szCs w:val="16"/>
        </w:rPr>
        <w:softHyphen/>
        <w:t>ние высоты подъёма позволило избежать попа</w:t>
      </w:r>
      <w:r w:rsidRPr="00DE096C">
        <w:rPr>
          <w:bCs/>
          <w:color w:val="002060"/>
          <w:sz w:val="16"/>
          <w:szCs w:val="16"/>
        </w:rPr>
        <w:softHyphen/>
        <w:t>даний.</w:t>
      </w:r>
    </w:p>
    <w:p w14:paraId="62DE210C" w14:textId="77777777" w:rsidR="00AA6E39" w:rsidRPr="00DE096C" w:rsidRDefault="00AA6E39" w:rsidP="00D45A46">
      <w:pPr>
        <w:jc w:val="both"/>
        <w:rPr>
          <w:bCs/>
          <w:color w:val="002060"/>
          <w:sz w:val="16"/>
          <w:szCs w:val="16"/>
        </w:rPr>
      </w:pPr>
      <w:r w:rsidRPr="00DE096C">
        <w:rPr>
          <w:bCs/>
          <w:color w:val="002060"/>
          <w:sz w:val="16"/>
          <w:szCs w:val="16"/>
        </w:rPr>
        <w:t>28 сентября - 13 октября подъёмы аэроста</w:t>
      </w:r>
      <w:r w:rsidRPr="00DE096C">
        <w:rPr>
          <w:bCs/>
          <w:color w:val="002060"/>
          <w:sz w:val="16"/>
          <w:szCs w:val="16"/>
        </w:rPr>
        <w:softHyphen/>
        <w:t>та вновь производились в районе у полустан</w:t>
      </w:r>
      <w:r w:rsidRPr="00DE096C">
        <w:rPr>
          <w:bCs/>
          <w:color w:val="002060"/>
          <w:sz w:val="16"/>
          <w:szCs w:val="16"/>
        </w:rPr>
        <w:softHyphen/>
        <w:t>ка Голомб. Разведка с аэростата обнаружила множество батарей противника и его биваки, и к 5 октября А.В. Шварцу представили отчётную карточку с нанесённой на ней линией неприя</w:t>
      </w:r>
      <w:r w:rsidRPr="00DE096C">
        <w:rPr>
          <w:bCs/>
          <w:color w:val="002060"/>
          <w:sz w:val="16"/>
          <w:szCs w:val="16"/>
        </w:rPr>
        <w:softHyphen/>
        <w:t>тельских осадных работ и батарей, замеченных с аэростата по насыпям окопов, блеску от вы</w:t>
      </w:r>
      <w:r w:rsidRPr="00DE096C">
        <w:rPr>
          <w:bCs/>
          <w:color w:val="002060"/>
          <w:sz w:val="16"/>
          <w:szCs w:val="16"/>
        </w:rPr>
        <w:softHyphen/>
        <w:t>стрелов, движению людей, дыму от костров на биваках. О местах замеченных батарей немедлен</w:t>
      </w:r>
      <w:r w:rsidRPr="00DE096C">
        <w:rPr>
          <w:bCs/>
          <w:color w:val="002060"/>
          <w:sz w:val="16"/>
          <w:szCs w:val="16"/>
        </w:rPr>
        <w:softHyphen/>
        <w:t>но доносили по телефону коменданту крепости и начальнику группы батарей у разъезда Голомб. Открываемый по указываемому месту артил</w:t>
      </w:r>
      <w:r w:rsidRPr="00DE096C">
        <w:rPr>
          <w:bCs/>
          <w:color w:val="002060"/>
          <w:sz w:val="16"/>
          <w:szCs w:val="16"/>
        </w:rPr>
        <w:softHyphen/>
        <w:t>лерийский огонь корректировался с аэростата. 2 октября, благодаря корректированию стрельбы крепостной артиллерии по осадной батарее про</w:t>
      </w:r>
      <w:r w:rsidRPr="00DE096C">
        <w:rPr>
          <w:bCs/>
          <w:color w:val="002060"/>
          <w:sz w:val="16"/>
          <w:szCs w:val="16"/>
        </w:rPr>
        <w:softHyphen/>
        <w:t>тивника, громившей железнодорожный мост че</w:t>
      </w:r>
      <w:r w:rsidRPr="00DE096C">
        <w:rPr>
          <w:bCs/>
          <w:color w:val="002060"/>
          <w:sz w:val="16"/>
          <w:szCs w:val="16"/>
        </w:rPr>
        <w:softHyphen/>
        <w:t>рез Вислу, удалось сохранить единственную в то время надёжную переправу через реку. 6 октября с аэростата обнаружили оставление немцами по</w:t>
      </w:r>
      <w:r w:rsidRPr="00DE096C">
        <w:rPr>
          <w:bCs/>
          <w:color w:val="002060"/>
          <w:sz w:val="16"/>
          <w:szCs w:val="16"/>
        </w:rPr>
        <w:softHyphen/>
        <w:t>зиций под крепостью.</w:t>
      </w:r>
    </w:p>
    <w:p w14:paraId="7EA6B241" w14:textId="77777777" w:rsidR="00AA6E39" w:rsidRPr="00DE096C" w:rsidRDefault="00AA6E39" w:rsidP="00D45A46">
      <w:pPr>
        <w:jc w:val="both"/>
        <w:rPr>
          <w:bCs/>
          <w:color w:val="002060"/>
          <w:sz w:val="16"/>
          <w:szCs w:val="16"/>
        </w:rPr>
      </w:pPr>
      <w:r w:rsidRPr="00DE096C">
        <w:rPr>
          <w:bCs/>
          <w:color w:val="002060"/>
          <w:sz w:val="16"/>
          <w:szCs w:val="16"/>
        </w:rPr>
        <w:t>9 (22) — 13 (26) октября, когда к крепости по</w:t>
      </w:r>
      <w:r w:rsidRPr="00DE096C">
        <w:rPr>
          <w:bCs/>
          <w:color w:val="002060"/>
          <w:sz w:val="16"/>
          <w:szCs w:val="16"/>
        </w:rPr>
        <w:softHyphen/>
        <w:t>дошли австрийские корпуса, начавшие штурм, аэростат перевели на левый берег Вислы в Казе- нецкий лес. Здесь с аэростата разведали позицию противника на линии Полячно — Грудек—Берд- зежа, а на северной опушке леса около д. Берд- зежа обнаружили неприятельские окопы. Огонь артиллерии, корректировавшийся с аэростата, разрушил неприятельские позиции. Противник бежал из окопов, не приняв атаки пехоты. Это решило судьбу боя под крепостью.</w:t>
      </w:r>
    </w:p>
    <w:p w14:paraId="5C117334" w14:textId="77777777" w:rsidR="00AA6E39" w:rsidRPr="00DE096C" w:rsidRDefault="00AA6E39" w:rsidP="00D45A46">
      <w:pPr>
        <w:jc w:val="both"/>
        <w:rPr>
          <w:bCs/>
          <w:color w:val="002060"/>
          <w:sz w:val="16"/>
          <w:szCs w:val="16"/>
        </w:rPr>
      </w:pPr>
      <w:r w:rsidRPr="00DE096C">
        <w:rPr>
          <w:bCs/>
          <w:color w:val="002060"/>
          <w:sz w:val="16"/>
          <w:szCs w:val="16"/>
        </w:rPr>
        <w:t>Атмосферные условия были чрезвычайно не</w:t>
      </w:r>
      <w:r w:rsidRPr="00DE096C">
        <w:rPr>
          <w:bCs/>
          <w:color w:val="002060"/>
          <w:sz w:val="16"/>
          <w:szCs w:val="16"/>
        </w:rPr>
        <w:softHyphen/>
        <w:t>благоприятны: облака шли на небольшой высоте, а по земле расстилался туман с дымом от пожа</w:t>
      </w:r>
      <w:r w:rsidRPr="00DE096C">
        <w:rPr>
          <w:bCs/>
          <w:color w:val="002060"/>
          <w:sz w:val="16"/>
          <w:szCs w:val="16"/>
        </w:rPr>
        <w:softHyphen/>
        <w:t>ров, затрудняя наблюдения. Аэростат распола</w:t>
      </w:r>
      <w:r w:rsidRPr="00DE096C">
        <w:rPr>
          <w:bCs/>
          <w:color w:val="002060"/>
          <w:sz w:val="16"/>
          <w:szCs w:val="16"/>
        </w:rPr>
        <w:softHyphen/>
        <w:t>гался очень близко к неприятельским позициям, постоянно рискуя попасть под огонь противни</w:t>
      </w:r>
      <w:r w:rsidRPr="00DE096C">
        <w:rPr>
          <w:bCs/>
          <w:color w:val="002060"/>
          <w:sz w:val="16"/>
          <w:szCs w:val="16"/>
        </w:rPr>
        <w:softHyphen/>
        <w:t>ка, поэтому в резерве всегда находился второй, готовый сменить его.</w:t>
      </w:r>
    </w:p>
    <w:p w14:paraId="247D7B04" w14:textId="77777777" w:rsidR="00AA6E39" w:rsidRPr="00DE096C" w:rsidRDefault="00AA6E39" w:rsidP="00D45A46">
      <w:pPr>
        <w:jc w:val="both"/>
        <w:rPr>
          <w:bCs/>
          <w:color w:val="002060"/>
          <w:sz w:val="16"/>
          <w:szCs w:val="16"/>
        </w:rPr>
      </w:pPr>
      <w:r w:rsidRPr="00DE096C">
        <w:rPr>
          <w:bCs/>
          <w:color w:val="002060"/>
          <w:sz w:val="16"/>
          <w:szCs w:val="16"/>
        </w:rPr>
        <w:t>Противник сначала обстреливал аэростат, «но удачные маневрирования по высоте и переме</w:t>
      </w:r>
      <w:r w:rsidRPr="00DE096C">
        <w:rPr>
          <w:bCs/>
          <w:color w:val="002060"/>
          <w:sz w:val="16"/>
          <w:szCs w:val="16"/>
        </w:rPr>
        <w:softHyphen/>
        <w:t>щения лебёдки с места на место, а при необхо</w:t>
      </w:r>
      <w:r w:rsidRPr="00DE096C">
        <w:rPr>
          <w:bCs/>
          <w:color w:val="002060"/>
          <w:sz w:val="16"/>
          <w:szCs w:val="16"/>
        </w:rPr>
        <w:softHyphen/>
        <w:t>димости оставаться на месте — укрытие лебёдки и команды в складках местности и в специально вырытых окопах и траншеях повели к тому, что в личном составе роты потерь не было, порча же имущества была вовсе несущественна и ни разу не остановила работы аэростата». Затем бата</w:t>
      </w:r>
      <w:r w:rsidRPr="00DE096C">
        <w:rPr>
          <w:bCs/>
          <w:color w:val="002060"/>
          <w:sz w:val="16"/>
          <w:szCs w:val="16"/>
        </w:rPr>
        <w:softHyphen/>
        <w:t>реи противника стали прекращать стрельбу при подъёме аэростата, возобновляя её при спуске его для смены наблюдателей или для других целей. «Работа привязного аэростата под Ивангоро- дом &lt;...&gt; была особо отмечена в приказе комен</w:t>
      </w:r>
      <w:r w:rsidRPr="00DE096C">
        <w:rPr>
          <w:bCs/>
          <w:color w:val="002060"/>
          <w:sz w:val="16"/>
          <w:szCs w:val="16"/>
        </w:rPr>
        <w:softHyphen/>
        <w:t>данта крепости, который назвал её «молодецкой и полезной»» (20120).</w:t>
      </w:r>
    </w:p>
    <w:p w14:paraId="7CE51C38" w14:textId="77777777" w:rsidR="00AA6E39" w:rsidRPr="00DE096C" w:rsidRDefault="00AA6E39" w:rsidP="00D45A46">
      <w:pPr>
        <w:jc w:val="both"/>
        <w:rPr>
          <w:bCs/>
          <w:color w:val="002060"/>
          <w:sz w:val="16"/>
          <w:szCs w:val="16"/>
        </w:rPr>
      </w:pPr>
    </w:p>
    <w:p w14:paraId="73F78698" w14:textId="77777777" w:rsidR="00562E95" w:rsidRPr="00DE096C" w:rsidRDefault="00562E95" w:rsidP="00D45A46">
      <w:pPr>
        <w:jc w:val="both"/>
        <w:rPr>
          <w:bCs/>
          <w:i/>
          <w:color w:val="002060"/>
          <w:sz w:val="16"/>
          <w:szCs w:val="16"/>
        </w:rPr>
      </w:pPr>
      <w:r w:rsidRPr="00DE096C">
        <w:rPr>
          <w:bCs/>
          <w:i/>
          <w:color w:val="002060"/>
          <w:sz w:val="16"/>
          <w:szCs w:val="16"/>
        </w:rPr>
        <w:t>Армия:</w:t>
      </w:r>
    </w:p>
    <w:p w14:paraId="79F37B0A" w14:textId="77777777" w:rsidR="00562E95" w:rsidRPr="00DE096C" w:rsidRDefault="00562E95" w:rsidP="00D45A46">
      <w:pPr>
        <w:jc w:val="both"/>
        <w:rPr>
          <w:bCs/>
          <w:i/>
          <w:color w:val="002060"/>
          <w:sz w:val="16"/>
          <w:szCs w:val="16"/>
        </w:rPr>
      </w:pPr>
    </w:p>
    <w:p w14:paraId="0CC4185C" w14:textId="77777777" w:rsidR="0091409A" w:rsidRPr="00DE096C" w:rsidRDefault="0091409A" w:rsidP="00D45A46">
      <w:pPr>
        <w:jc w:val="both"/>
        <w:rPr>
          <w:bCs/>
          <w:color w:val="002060"/>
          <w:sz w:val="16"/>
          <w:szCs w:val="16"/>
        </w:rPr>
      </w:pPr>
      <w:r w:rsidRPr="00DE096C">
        <w:rPr>
          <w:rStyle w:val="ucoz-forum-post"/>
          <w:rFonts w:eastAsiaTheme="majorEastAsia"/>
          <w:bCs/>
          <w:color w:val="002060"/>
          <w:sz w:val="16"/>
          <w:szCs w:val="16"/>
        </w:rPr>
        <w:t xml:space="preserve">15 (28) сентября </w:t>
      </w:r>
      <w:r w:rsidRPr="00DE096C">
        <w:rPr>
          <w:bCs/>
          <w:color w:val="002060"/>
          <w:sz w:val="16"/>
          <w:szCs w:val="16"/>
        </w:rPr>
        <w:t>в 1914 году в ходе Первой мировой войны началась Варшавско-Ивангородская операция русских войск Северо-Западного (генерал от кавалерии Я.Г.Жилинский) и Юго-Западного (генерал от артиллерии Н.И.Иванов) фронтов против германской и австрийской армий. Операция проводилась на фронте до 300 км и на глубину до 140 км, с обеих сторон в ней участвовало до 900 тыс. человек. Отразив наступление противника, русские войска контратаковали и отбросили его на исходные позиции. Германо-австрийские войска потеряли убитыми, ранеными и пленными около половины личного состава Операция завершилась 8 ноября (14783).</w:t>
      </w:r>
    </w:p>
    <w:p w14:paraId="59E74049" w14:textId="77777777" w:rsidR="0091409A" w:rsidRPr="00DE096C" w:rsidRDefault="0091409A" w:rsidP="00D45A46">
      <w:pPr>
        <w:jc w:val="both"/>
        <w:rPr>
          <w:bCs/>
          <w:color w:val="002060"/>
          <w:sz w:val="16"/>
          <w:szCs w:val="16"/>
        </w:rPr>
      </w:pPr>
    </w:p>
    <w:p w14:paraId="179A1992" w14:textId="741E8318" w:rsidR="00562E95" w:rsidRPr="00DE096C" w:rsidRDefault="00562E95" w:rsidP="00D45A46">
      <w:pPr>
        <w:jc w:val="both"/>
        <w:rPr>
          <w:bCs/>
          <w:color w:val="002060"/>
          <w:sz w:val="16"/>
          <w:szCs w:val="16"/>
        </w:rPr>
      </w:pPr>
      <w:r w:rsidRPr="00DE096C">
        <w:rPr>
          <w:bCs/>
          <w:color w:val="002060"/>
          <w:sz w:val="16"/>
          <w:szCs w:val="16"/>
        </w:rPr>
        <w:t xml:space="preserve">15 </w:t>
      </w:r>
      <w:r w:rsidR="00DC6A70" w:rsidRPr="00DE096C">
        <w:rPr>
          <w:bCs/>
          <w:color w:val="002060"/>
          <w:sz w:val="16"/>
          <w:szCs w:val="16"/>
        </w:rPr>
        <w:t xml:space="preserve">(28) </w:t>
      </w:r>
      <w:r w:rsidRPr="00DE096C">
        <w:rPr>
          <w:bCs/>
          <w:color w:val="002060"/>
          <w:sz w:val="16"/>
          <w:szCs w:val="16"/>
        </w:rPr>
        <w:t>сентября в 1914 году русские войска начали Варшавско-Ивангородскую наступательную операцию (14770).</w:t>
      </w:r>
    </w:p>
    <w:p w14:paraId="0DD3C2D8" w14:textId="77777777" w:rsidR="00562E95" w:rsidRPr="00DE096C" w:rsidRDefault="00562E95" w:rsidP="00D45A46">
      <w:pPr>
        <w:jc w:val="both"/>
        <w:rPr>
          <w:bCs/>
          <w:color w:val="002060"/>
          <w:sz w:val="16"/>
          <w:szCs w:val="16"/>
        </w:rPr>
      </w:pPr>
    </w:p>
    <w:p w14:paraId="0FE692EB" w14:textId="1EF71371" w:rsidR="00562E95" w:rsidRPr="00DE096C" w:rsidRDefault="00562E95" w:rsidP="00D45A46">
      <w:pPr>
        <w:jc w:val="both"/>
        <w:rPr>
          <w:bCs/>
          <w:color w:val="002060"/>
          <w:sz w:val="16"/>
          <w:szCs w:val="16"/>
        </w:rPr>
      </w:pPr>
      <w:r w:rsidRPr="00DE096C">
        <w:rPr>
          <w:bCs/>
          <w:color w:val="002060"/>
          <w:sz w:val="16"/>
          <w:szCs w:val="16"/>
        </w:rPr>
        <w:t xml:space="preserve">15 </w:t>
      </w:r>
      <w:r w:rsidR="00DC6A70" w:rsidRPr="00DE096C">
        <w:rPr>
          <w:bCs/>
          <w:color w:val="002060"/>
          <w:sz w:val="16"/>
          <w:szCs w:val="16"/>
        </w:rPr>
        <w:t xml:space="preserve">(28) </w:t>
      </w:r>
      <w:r w:rsidRPr="00DE096C">
        <w:rPr>
          <w:bCs/>
          <w:color w:val="002060"/>
          <w:sz w:val="16"/>
          <w:szCs w:val="16"/>
        </w:rPr>
        <w:t xml:space="preserve">сентября в 1914 году </w:t>
      </w:r>
      <w:r w:rsidR="00DC6A70" w:rsidRPr="00DE096C">
        <w:rPr>
          <w:bCs/>
          <w:color w:val="002060"/>
          <w:sz w:val="16"/>
          <w:szCs w:val="16"/>
        </w:rPr>
        <w:t xml:space="preserve">состоялось </w:t>
      </w:r>
      <w:r w:rsidRPr="00DE096C">
        <w:rPr>
          <w:bCs/>
          <w:color w:val="002060"/>
          <w:sz w:val="16"/>
          <w:szCs w:val="16"/>
        </w:rPr>
        <w:t>завершение Восточно-Прусской операции (14770).</w:t>
      </w:r>
    </w:p>
    <w:p w14:paraId="1B9EE890" w14:textId="77777777" w:rsidR="00562E95" w:rsidRPr="00DE096C" w:rsidRDefault="00562E95" w:rsidP="00D45A46">
      <w:pPr>
        <w:jc w:val="both"/>
        <w:rPr>
          <w:bCs/>
          <w:color w:val="002060"/>
          <w:sz w:val="16"/>
          <w:szCs w:val="16"/>
        </w:rPr>
      </w:pPr>
    </w:p>
    <w:p w14:paraId="504360C4" w14:textId="6908D5DB" w:rsidR="001F1476" w:rsidRPr="00DE096C" w:rsidRDefault="001F1476" w:rsidP="00D45A46">
      <w:pPr>
        <w:shd w:val="clear" w:color="auto" w:fill="FFFFFF"/>
        <w:jc w:val="both"/>
        <w:rPr>
          <w:bCs/>
          <w:i/>
          <w:color w:val="002060"/>
          <w:sz w:val="16"/>
          <w:szCs w:val="16"/>
        </w:rPr>
      </w:pPr>
      <w:r w:rsidRPr="00DE096C">
        <w:rPr>
          <w:bCs/>
          <w:i/>
          <w:color w:val="002060"/>
          <w:sz w:val="16"/>
          <w:szCs w:val="16"/>
        </w:rPr>
        <w:t>Авиация и воздухоплавание Англии:</w:t>
      </w:r>
    </w:p>
    <w:p w14:paraId="43E4131F" w14:textId="77777777" w:rsidR="001F1476" w:rsidRPr="00DE096C" w:rsidRDefault="001F1476" w:rsidP="00D45A46">
      <w:pPr>
        <w:shd w:val="clear" w:color="auto" w:fill="FFFFFF"/>
        <w:jc w:val="both"/>
        <w:rPr>
          <w:bCs/>
          <w:i/>
          <w:color w:val="002060"/>
          <w:sz w:val="16"/>
          <w:szCs w:val="16"/>
        </w:rPr>
      </w:pPr>
    </w:p>
    <w:p w14:paraId="05E28611" w14:textId="77777777" w:rsidR="001F1476" w:rsidRPr="00DE096C" w:rsidRDefault="001F1476" w:rsidP="00D45A46">
      <w:pPr>
        <w:jc w:val="both"/>
        <w:rPr>
          <w:bCs/>
          <w:color w:val="002060"/>
          <w:sz w:val="16"/>
          <w:szCs w:val="16"/>
        </w:rPr>
      </w:pPr>
      <w:r w:rsidRPr="00DE096C">
        <w:rPr>
          <w:bCs/>
          <w:color w:val="002060"/>
          <w:sz w:val="16"/>
          <w:szCs w:val="16"/>
        </w:rPr>
        <w:t>15 (28) сентября 1914 первое сообщение британских наблюдателей о немецкой военной авиации, использующей первоначальной национальную маркировку Eisernes Kreuz военного времени (20337).</w:t>
      </w:r>
    </w:p>
    <w:p w14:paraId="5E3DEB07" w14:textId="77777777" w:rsidR="001F1476" w:rsidRPr="00DE096C" w:rsidRDefault="001F1476" w:rsidP="00D45A46">
      <w:pPr>
        <w:jc w:val="both"/>
        <w:rPr>
          <w:bCs/>
          <w:color w:val="002060"/>
          <w:sz w:val="16"/>
          <w:szCs w:val="16"/>
        </w:rPr>
      </w:pPr>
    </w:p>
    <w:p w14:paraId="3A4C8FB7"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Другие оборонные отрасли:</w:t>
      </w:r>
    </w:p>
    <w:p w14:paraId="26322A30" w14:textId="26FE573A" w:rsidR="00B67D7C" w:rsidRPr="00DE096C" w:rsidRDefault="00B67D7C" w:rsidP="00D45A46">
      <w:pPr>
        <w:shd w:val="clear" w:color="auto" w:fill="FFFFFF"/>
        <w:jc w:val="both"/>
        <w:rPr>
          <w:bCs/>
          <w:i/>
          <w:color w:val="002060"/>
          <w:sz w:val="16"/>
          <w:szCs w:val="16"/>
        </w:rPr>
      </w:pPr>
    </w:p>
    <w:p w14:paraId="066505C5" w14:textId="5AC30AD7" w:rsidR="00E06F14" w:rsidRPr="00DE096C" w:rsidRDefault="00E06F14" w:rsidP="00D45A46">
      <w:pPr>
        <w:shd w:val="clear" w:color="auto" w:fill="FFFFFF"/>
        <w:jc w:val="both"/>
        <w:rPr>
          <w:bCs/>
          <w:iCs/>
          <w:color w:val="002060"/>
          <w:sz w:val="16"/>
          <w:szCs w:val="16"/>
        </w:rPr>
      </w:pPr>
      <w:r w:rsidRPr="00DE096C">
        <w:rPr>
          <w:bCs/>
          <w:iCs/>
          <w:color w:val="002060"/>
          <w:sz w:val="16"/>
          <w:szCs w:val="16"/>
        </w:rPr>
        <w:t>В середине сентября 1914 г.</w:t>
      </w:r>
    </w:p>
    <w:p w14:paraId="6D892A95" w14:textId="77777777" w:rsidR="00B67D7C" w:rsidRPr="00DE096C" w:rsidRDefault="00B67D7C" w:rsidP="00D45A46">
      <w:pPr>
        <w:jc w:val="both"/>
        <w:rPr>
          <w:bCs/>
          <w:color w:val="002060"/>
          <w:sz w:val="16"/>
          <w:szCs w:val="16"/>
        </w:rPr>
      </w:pPr>
      <w:r w:rsidRPr="00DE096C">
        <w:rPr>
          <w:bCs/>
          <w:color w:val="002060"/>
          <w:sz w:val="16"/>
          <w:szCs w:val="16"/>
        </w:rPr>
        <w:t>С первых месяцев войны ГАУ начало настойчиво форсировать работу трубочного завода. В 1914 г., перед войной, производство держалось на уровне суточного выпуска 500-800 шт. 22-сек. дистанционных трубок.</w:t>
      </w:r>
    </w:p>
    <w:p w14:paraId="42338A58" w14:textId="77777777" w:rsidR="00B67D7C" w:rsidRPr="00DE096C" w:rsidRDefault="00B67D7C" w:rsidP="00D45A46">
      <w:pPr>
        <w:jc w:val="both"/>
        <w:rPr>
          <w:bCs/>
          <w:color w:val="002060"/>
          <w:sz w:val="16"/>
          <w:szCs w:val="16"/>
        </w:rPr>
      </w:pPr>
      <w:r w:rsidRPr="00DE096C">
        <w:rPr>
          <w:bCs/>
          <w:color w:val="002060"/>
          <w:sz w:val="16"/>
          <w:szCs w:val="16"/>
        </w:rPr>
        <w:t xml:space="preserve">В середине августа 1914 г. последовало распоряжение ГАУ в кратчайший срок довести суточный выпуск трубок до 4000 штук. </w:t>
      </w:r>
    </w:p>
    <w:p w14:paraId="4E4F2151" w14:textId="77777777" w:rsidR="00B67D7C" w:rsidRPr="00DE096C" w:rsidRDefault="00B67D7C" w:rsidP="00D45A46">
      <w:pPr>
        <w:jc w:val="both"/>
        <w:rPr>
          <w:bCs/>
          <w:color w:val="002060"/>
          <w:sz w:val="16"/>
          <w:szCs w:val="16"/>
        </w:rPr>
      </w:pPr>
      <w:r w:rsidRPr="00DE096C">
        <w:rPr>
          <w:bCs/>
          <w:color w:val="002060"/>
          <w:sz w:val="16"/>
          <w:szCs w:val="16"/>
        </w:rPr>
        <w:t>В середине сентября 1914 г. Артиллерийское управление дало следующую программу разворачивания выпуска трубок (шт. в сутки):</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700"/>
        <w:gridCol w:w="912"/>
      </w:tblGrid>
      <w:tr w:rsidR="00B67D7C" w:rsidRPr="00DE096C" w14:paraId="39D3F242" w14:textId="77777777" w:rsidTr="00C2024A">
        <w:tc>
          <w:tcPr>
            <w:tcW w:w="2700" w:type="dxa"/>
          </w:tcPr>
          <w:p w14:paraId="4CBE07FA" w14:textId="77777777" w:rsidR="00B67D7C" w:rsidRPr="00DE096C" w:rsidRDefault="00B67D7C" w:rsidP="00D45A46">
            <w:pPr>
              <w:jc w:val="both"/>
              <w:rPr>
                <w:bCs/>
                <w:color w:val="002060"/>
                <w:sz w:val="16"/>
                <w:szCs w:val="16"/>
              </w:rPr>
            </w:pPr>
            <w:r w:rsidRPr="00DE096C">
              <w:rPr>
                <w:bCs/>
                <w:color w:val="002060"/>
                <w:sz w:val="16"/>
                <w:szCs w:val="16"/>
              </w:rPr>
              <w:t>1) 22-сек. с 1 ноября 1914 г.</w:t>
            </w:r>
          </w:p>
        </w:tc>
        <w:tc>
          <w:tcPr>
            <w:tcW w:w="912" w:type="dxa"/>
          </w:tcPr>
          <w:p w14:paraId="3144DCB6" w14:textId="77777777" w:rsidR="00B67D7C" w:rsidRPr="00DE096C" w:rsidRDefault="00B67D7C" w:rsidP="00D45A46">
            <w:pPr>
              <w:jc w:val="both"/>
              <w:rPr>
                <w:bCs/>
                <w:color w:val="002060"/>
                <w:sz w:val="16"/>
                <w:szCs w:val="16"/>
              </w:rPr>
            </w:pPr>
            <w:r w:rsidRPr="00DE096C">
              <w:rPr>
                <w:bCs/>
                <w:color w:val="002060"/>
                <w:sz w:val="16"/>
                <w:szCs w:val="16"/>
              </w:rPr>
              <w:t>5500</w:t>
            </w:r>
          </w:p>
        </w:tc>
      </w:tr>
      <w:tr w:rsidR="00B67D7C" w:rsidRPr="00DE096C" w14:paraId="0C5869D7" w14:textId="77777777" w:rsidTr="00C2024A">
        <w:tc>
          <w:tcPr>
            <w:tcW w:w="2700" w:type="dxa"/>
          </w:tcPr>
          <w:p w14:paraId="1301940A" w14:textId="77777777" w:rsidR="00B67D7C" w:rsidRPr="00DE096C" w:rsidRDefault="00B67D7C" w:rsidP="00D45A46">
            <w:pPr>
              <w:jc w:val="both"/>
              <w:rPr>
                <w:bCs/>
                <w:color w:val="002060"/>
                <w:sz w:val="16"/>
                <w:szCs w:val="16"/>
              </w:rPr>
            </w:pPr>
            <w:r w:rsidRPr="00DE096C">
              <w:rPr>
                <w:bCs/>
                <w:color w:val="002060"/>
                <w:sz w:val="16"/>
                <w:szCs w:val="16"/>
              </w:rPr>
              <w:t xml:space="preserve"> с 1 января 1915 г.</w:t>
            </w:r>
          </w:p>
        </w:tc>
        <w:tc>
          <w:tcPr>
            <w:tcW w:w="912" w:type="dxa"/>
          </w:tcPr>
          <w:p w14:paraId="3E98F0BD" w14:textId="77777777" w:rsidR="00B67D7C" w:rsidRPr="00DE096C" w:rsidRDefault="00B67D7C" w:rsidP="00D45A46">
            <w:pPr>
              <w:jc w:val="both"/>
              <w:rPr>
                <w:bCs/>
                <w:color w:val="002060"/>
                <w:sz w:val="16"/>
                <w:szCs w:val="16"/>
              </w:rPr>
            </w:pPr>
            <w:r w:rsidRPr="00DE096C">
              <w:rPr>
                <w:bCs/>
                <w:color w:val="002060"/>
                <w:sz w:val="16"/>
                <w:szCs w:val="16"/>
              </w:rPr>
              <w:t>6000</w:t>
            </w:r>
          </w:p>
        </w:tc>
      </w:tr>
      <w:tr w:rsidR="00B67D7C" w:rsidRPr="00DE096C" w14:paraId="24BACE32" w14:textId="77777777" w:rsidTr="00C2024A">
        <w:tc>
          <w:tcPr>
            <w:tcW w:w="2700" w:type="dxa"/>
          </w:tcPr>
          <w:p w14:paraId="36E11527" w14:textId="77777777" w:rsidR="00B67D7C" w:rsidRPr="00DE096C" w:rsidRDefault="00B67D7C" w:rsidP="00D45A46">
            <w:pPr>
              <w:jc w:val="both"/>
              <w:rPr>
                <w:bCs/>
                <w:color w:val="002060"/>
                <w:sz w:val="16"/>
                <w:szCs w:val="16"/>
              </w:rPr>
            </w:pPr>
            <w:r w:rsidRPr="00DE096C">
              <w:rPr>
                <w:bCs/>
                <w:color w:val="002060"/>
                <w:sz w:val="16"/>
                <w:szCs w:val="16"/>
              </w:rPr>
              <w:t xml:space="preserve"> с 15 января 1915 г.</w:t>
            </w:r>
          </w:p>
        </w:tc>
        <w:tc>
          <w:tcPr>
            <w:tcW w:w="912" w:type="dxa"/>
          </w:tcPr>
          <w:p w14:paraId="73F54DE9" w14:textId="77777777" w:rsidR="00B67D7C" w:rsidRPr="00DE096C" w:rsidRDefault="00B67D7C" w:rsidP="00D45A46">
            <w:pPr>
              <w:jc w:val="both"/>
              <w:rPr>
                <w:bCs/>
                <w:color w:val="002060"/>
                <w:sz w:val="16"/>
                <w:szCs w:val="16"/>
              </w:rPr>
            </w:pPr>
            <w:r w:rsidRPr="00DE096C">
              <w:rPr>
                <w:bCs/>
                <w:color w:val="002060"/>
                <w:sz w:val="16"/>
                <w:szCs w:val="16"/>
              </w:rPr>
              <w:t>7000</w:t>
            </w:r>
          </w:p>
        </w:tc>
      </w:tr>
      <w:tr w:rsidR="00B67D7C" w:rsidRPr="00DE096C" w14:paraId="2B168006" w14:textId="77777777" w:rsidTr="00C2024A">
        <w:tc>
          <w:tcPr>
            <w:tcW w:w="2700" w:type="dxa"/>
          </w:tcPr>
          <w:p w14:paraId="2D851308" w14:textId="77777777" w:rsidR="00B67D7C" w:rsidRPr="00DE096C" w:rsidRDefault="00B67D7C" w:rsidP="00D45A46">
            <w:pPr>
              <w:jc w:val="both"/>
              <w:rPr>
                <w:bCs/>
                <w:color w:val="002060"/>
                <w:sz w:val="16"/>
                <w:szCs w:val="16"/>
              </w:rPr>
            </w:pPr>
            <w:r w:rsidRPr="00DE096C">
              <w:rPr>
                <w:bCs/>
                <w:color w:val="002060"/>
                <w:sz w:val="16"/>
                <w:szCs w:val="16"/>
              </w:rPr>
              <w:t xml:space="preserve"> к апрелю 1915 г.</w:t>
            </w:r>
          </w:p>
        </w:tc>
        <w:tc>
          <w:tcPr>
            <w:tcW w:w="912" w:type="dxa"/>
          </w:tcPr>
          <w:p w14:paraId="6537DC97" w14:textId="77777777" w:rsidR="00B67D7C" w:rsidRPr="00DE096C" w:rsidRDefault="00B67D7C" w:rsidP="00D45A46">
            <w:pPr>
              <w:jc w:val="both"/>
              <w:rPr>
                <w:bCs/>
                <w:color w:val="002060"/>
                <w:sz w:val="16"/>
                <w:szCs w:val="16"/>
              </w:rPr>
            </w:pPr>
            <w:r w:rsidRPr="00DE096C">
              <w:rPr>
                <w:bCs/>
                <w:color w:val="002060"/>
                <w:sz w:val="16"/>
                <w:szCs w:val="16"/>
              </w:rPr>
              <w:t>9000</w:t>
            </w:r>
          </w:p>
        </w:tc>
      </w:tr>
      <w:tr w:rsidR="00B67D7C" w:rsidRPr="00DE096C" w14:paraId="0550319E" w14:textId="77777777" w:rsidTr="00C2024A">
        <w:tc>
          <w:tcPr>
            <w:tcW w:w="2700" w:type="dxa"/>
          </w:tcPr>
          <w:p w14:paraId="193A20A0" w14:textId="77777777" w:rsidR="00B67D7C" w:rsidRPr="00DE096C" w:rsidRDefault="00B67D7C" w:rsidP="00D45A46">
            <w:pPr>
              <w:jc w:val="both"/>
              <w:rPr>
                <w:bCs/>
                <w:color w:val="002060"/>
                <w:sz w:val="16"/>
                <w:szCs w:val="16"/>
              </w:rPr>
            </w:pPr>
            <w:r w:rsidRPr="00DE096C">
              <w:rPr>
                <w:bCs/>
                <w:color w:val="002060"/>
                <w:sz w:val="16"/>
                <w:szCs w:val="16"/>
              </w:rPr>
              <w:lastRenderedPageBreak/>
              <w:t>2) 45-сек. с ноября 1914 г.</w:t>
            </w:r>
          </w:p>
        </w:tc>
        <w:tc>
          <w:tcPr>
            <w:tcW w:w="912" w:type="dxa"/>
          </w:tcPr>
          <w:p w14:paraId="660267AC" w14:textId="77777777" w:rsidR="00B67D7C" w:rsidRPr="00DE096C" w:rsidRDefault="00B67D7C" w:rsidP="00D45A46">
            <w:pPr>
              <w:jc w:val="both"/>
              <w:rPr>
                <w:bCs/>
                <w:color w:val="002060"/>
                <w:sz w:val="16"/>
                <w:szCs w:val="16"/>
              </w:rPr>
            </w:pPr>
            <w:r w:rsidRPr="00DE096C">
              <w:rPr>
                <w:bCs/>
                <w:color w:val="002060"/>
                <w:sz w:val="16"/>
                <w:szCs w:val="16"/>
              </w:rPr>
              <w:t>1500</w:t>
            </w:r>
          </w:p>
        </w:tc>
      </w:tr>
    </w:tbl>
    <w:p w14:paraId="708C1EBC" w14:textId="77777777" w:rsidR="00B67D7C" w:rsidRPr="00DE096C" w:rsidRDefault="00B67D7C" w:rsidP="00D45A46">
      <w:pPr>
        <w:jc w:val="both"/>
        <w:rPr>
          <w:bCs/>
          <w:color w:val="002060"/>
          <w:sz w:val="16"/>
          <w:szCs w:val="16"/>
        </w:rPr>
      </w:pPr>
      <w:r w:rsidRPr="00DE096C">
        <w:rPr>
          <w:bCs/>
          <w:color w:val="002060"/>
          <w:sz w:val="16"/>
          <w:szCs w:val="16"/>
        </w:rPr>
        <w:t xml:space="preserve">Работа переведена была на трехсменную. Работали все праздники. Ремонт и чистка станков, механизмов и котлов сократились до минимума и производились не более одного раза в месяц. </w:t>
      </w:r>
    </w:p>
    <w:p w14:paraId="4A84162C" w14:textId="77777777" w:rsidR="00B67D7C" w:rsidRPr="00DE096C" w:rsidRDefault="00B67D7C" w:rsidP="00D45A46">
      <w:pPr>
        <w:jc w:val="both"/>
        <w:rPr>
          <w:bCs/>
          <w:color w:val="002060"/>
          <w:sz w:val="16"/>
          <w:szCs w:val="16"/>
        </w:rPr>
      </w:pPr>
      <w:r w:rsidRPr="00DE096C">
        <w:rPr>
          <w:bCs/>
          <w:color w:val="002060"/>
          <w:sz w:val="16"/>
          <w:szCs w:val="16"/>
        </w:rPr>
        <w:t>В связи с усилением работ теснота помещения достигла крайних пределов. Под производство заняты были военное собрание, канцелярия и другие помещения служебного характера (11329).</w:t>
      </w:r>
    </w:p>
    <w:p w14:paraId="485363D6" w14:textId="77777777" w:rsidR="00B67D7C" w:rsidRPr="00DE096C" w:rsidRDefault="00B67D7C" w:rsidP="00D45A46">
      <w:pPr>
        <w:jc w:val="both"/>
        <w:rPr>
          <w:bCs/>
          <w:i/>
          <w:color w:val="002060"/>
          <w:sz w:val="16"/>
          <w:szCs w:val="16"/>
        </w:rPr>
      </w:pPr>
    </w:p>
    <w:p w14:paraId="4229D804"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Военное воздухоплавание:</w:t>
      </w:r>
    </w:p>
    <w:p w14:paraId="5A50F209" w14:textId="77777777" w:rsidR="00B67D7C" w:rsidRPr="00DE096C" w:rsidRDefault="00B67D7C" w:rsidP="00D45A46">
      <w:pPr>
        <w:shd w:val="clear" w:color="auto" w:fill="FFFFFF"/>
        <w:jc w:val="both"/>
        <w:rPr>
          <w:bCs/>
          <w:i/>
          <w:color w:val="002060"/>
          <w:sz w:val="16"/>
          <w:szCs w:val="16"/>
        </w:rPr>
      </w:pPr>
    </w:p>
    <w:p w14:paraId="6E622247" w14:textId="687FF86A" w:rsidR="00B67D7C" w:rsidRPr="00DE096C" w:rsidRDefault="0091756B"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середине сентября </w:t>
      </w:r>
      <w:r w:rsidRPr="00DE096C">
        <w:rPr>
          <w:bCs/>
          <w:color w:val="002060"/>
          <w:sz w:val="16"/>
          <w:szCs w:val="16"/>
        </w:rPr>
        <w:t xml:space="preserve">1914 г. дирижабль «Астра» </w:t>
      </w:r>
      <w:r w:rsidR="00B67D7C" w:rsidRPr="00DE096C">
        <w:rPr>
          <w:bCs/>
          <w:color w:val="002060"/>
          <w:sz w:val="16"/>
          <w:szCs w:val="16"/>
        </w:rPr>
        <w:t xml:space="preserve">вернулся в Белосток. Погода стала портиться — начались туманы, дожди, задули сильные ветры. Но особенно мешали полетам туманы. В конце сентября Б. Голубов был назначен командиром 3-й воздухоплавательной роты и выехал в Лиду на приемку переданных под его начало дирижаблей «Гриф» и «Астра XIII». Временно командиром «Альбатроса» стал А. Шабский. Он выполнил несколько ознакомительных полетов, а затем предпринял ряд безуспешных ночных боевых вылетов в район Осовца на позиции противника — погода явно не благоприятствовала выполнению заданий (11324). </w:t>
      </w:r>
    </w:p>
    <w:p w14:paraId="45C9E3EC" w14:textId="77777777" w:rsidR="00B67D7C" w:rsidRPr="00DE096C" w:rsidRDefault="00B67D7C" w:rsidP="00D45A46">
      <w:pPr>
        <w:shd w:val="clear" w:color="auto" w:fill="FFFFFF"/>
        <w:jc w:val="both"/>
        <w:rPr>
          <w:bCs/>
          <w:i/>
          <w:color w:val="002060"/>
          <w:sz w:val="16"/>
          <w:szCs w:val="16"/>
        </w:rPr>
      </w:pPr>
    </w:p>
    <w:p w14:paraId="56AD1EF7" w14:textId="77777777" w:rsidR="00B67856" w:rsidRPr="00DE096C" w:rsidRDefault="00B67856" w:rsidP="00D45A46">
      <w:pPr>
        <w:jc w:val="both"/>
        <w:rPr>
          <w:bCs/>
          <w:color w:val="002060"/>
          <w:sz w:val="16"/>
          <w:szCs w:val="16"/>
        </w:rPr>
      </w:pPr>
      <w:r w:rsidRPr="00DE096C">
        <w:rPr>
          <w:bCs/>
          <w:color w:val="002060"/>
          <w:sz w:val="16"/>
          <w:szCs w:val="16"/>
        </w:rPr>
        <w:t>В середине сентября 1914 гарнизон крепости Ивангород усилила 5-я воздухоплавательная рота штабс-капитана Дукшт-Дукшинского.</w:t>
      </w:r>
    </w:p>
    <w:p w14:paraId="4A89D028" w14:textId="77777777" w:rsidR="00B67856" w:rsidRPr="00DE096C" w:rsidRDefault="00B67856" w:rsidP="00D45A46">
      <w:pPr>
        <w:jc w:val="both"/>
        <w:rPr>
          <w:bCs/>
          <w:color w:val="002060"/>
          <w:sz w:val="16"/>
          <w:szCs w:val="16"/>
        </w:rPr>
      </w:pPr>
      <w:r w:rsidRPr="00DE096C">
        <w:rPr>
          <w:bCs/>
          <w:color w:val="002060"/>
          <w:sz w:val="16"/>
          <w:szCs w:val="16"/>
        </w:rPr>
        <w:t>По прибытии 14-й воздухоплавательной роты в крепость Ивангород одновременно с устрой</w:t>
      </w:r>
      <w:r w:rsidRPr="00DE096C">
        <w:rPr>
          <w:bCs/>
          <w:color w:val="002060"/>
          <w:sz w:val="16"/>
          <w:szCs w:val="16"/>
        </w:rPr>
        <w:softHyphen/>
        <w:t>ством базы и тылового склада и обучением лич</w:t>
      </w:r>
      <w:r w:rsidRPr="00DE096C">
        <w:rPr>
          <w:bCs/>
          <w:color w:val="002060"/>
          <w:sz w:val="16"/>
          <w:szCs w:val="16"/>
        </w:rPr>
        <w:softHyphen/>
        <w:t>ного состава роты службе воздухоплавателей на войне производились подъёмы на аэростате для изучения крепостного района, вероятных позиций противника под крепостью, разведки видимости крепостных сооружений со стороны противника днём и ночью, а также обучение ко</w:t>
      </w:r>
      <w:r w:rsidRPr="00DE096C">
        <w:rPr>
          <w:bCs/>
          <w:color w:val="002060"/>
          <w:sz w:val="16"/>
          <w:szCs w:val="16"/>
        </w:rPr>
        <w:softHyphen/>
        <w:t>мандующего состава роты приёмам воздушной разведки и подготовки наблюдателей-артилле</w:t>
      </w:r>
      <w:r w:rsidRPr="00DE096C">
        <w:rPr>
          <w:bCs/>
          <w:color w:val="002060"/>
          <w:sz w:val="16"/>
          <w:szCs w:val="16"/>
        </w:rPr>
        <w:softHyphen/>
        <w:t>ристов (20120).</w:t>
      </w:r>
    </w:p>
    <w:p w14:paraId="240373FC" w14:textId="77777777" w:rsidR="00B67856" w:rsidRPr="00DE096C" w:rsidRDefault="00B67856" w:rsidP="00D45A46">
      <w:pPr>
        <w:jc w:val="both"/>
        <w:rPr>
          <w:bCs/>
          <w:color w:val="002060"/>
          <w:sz w:val="16"/>
          <w:szCs w:val="16"/>
        </w:rPr>
      </w:pPr>
    </w:p>
    <w:p w14:paraId="33856224" w14:textId="77777777" w:rsidR="00B67856" w:rsidRPr="00DE096C" w:rsidRDefault="00B67856" w:rsidP="00D45A46">
      <w:pPr>
        <w:jc w:val="both"/>
        <w:rPr>
          <w:bCs/>
          <w:color w:val="002060"/>
          <w:sz w:val="16"/>
          <w:szCs w:val="16"/>
        </w:rPr>
      </w:pPr>
      <w:r w:rsidRPr="00DE096C">
        <w:rPr>
          <w:bCs/>
          <w:color w:val="002060"/>
          <w:sz w:val="16"/>
          <w:szCs w:val="16"/>
        </w:rPr>
        <w:t>В середине сентября 1914 г. по завершении ремонтных работ дирижабль Альбатрос вернулся в Белосток, прослужил он недолго: 13 октября, в один из вылетов в качестве разведчика, в 40 километрах от линии фронта плохие погодные условия спровоцировали аварийную ситуацию. Исправление повреждений в полевых условиях оказалось невозможным, аппарат пришлось разобрать, но благодаря техническим характеристикам он занял достойное место в эпохе российского дирижаблестроения (22673).</w:t>
      </w:r>
    </w:p>
    <w:p w14:paraId="1F12BF85" w14:textId="77777777" w:rsidR="00B67856" w:rsidRPr="00DE096C" w:rsidRDefault="00B67856" w:rsidP="00D45A46">
      <w:pPr>
        <w:jc w:val="both"/>
        <w:rPr>
          <w:bCs/>
          <w:color w:val="002060"/>
          <w:sz w:val="16"/>
          <w:szCs w:val="16"/>
        </w:rPr>
      </w:pPr>
    </w:p>
    <w:p w14:paraId="6D399E63" w14:textId="77777777" w:rsidR="00B67D7C" w:rsidRPr="00DE096C" w:rsidRDefault="00B67D7C" w:rsidP="00D45A46">
      <w:pPr>
        <w:jc w:val="both"/>
        <w:rPr>
          <w:bCs/>
          <w:i/>
          <w:color w:val="002060"/>
          <w:sz w:val="16"/>
          <w:szCs w:val="16"/>
        </w:rPr>
      </w:pPr>
      <w:r w:rsidRPr="00DE096C">
        <w:rPr>
          <w:bCs/>
          <w:i/>
          <w:color w:val="002060"/>
          <w:sz w:val="16"/>
          <w:szCs w:val="16"/>
        </w:rPr>
        <w:t>Авиация:</w:t>
      </w:r>
    </w:p>
    <w:p w14:paraId="567E2B02" w14:textId="77777777" w:rsidR="00B67D7C" w:rsidRPr="00DE096C" w:rsidRDefault="00B67D7C" w:rsidP="00D45A46">
      <w:pPr>
        <w:jc w:val="both"/>
        <w:rPr>
          <w:bCs/>
          <w:i/>
          <w:color w:val="002060"/>
          <w:sz w:val="16"/>
          <w:szCs w:val="16"/>
        </w:rPr>
      </w:pPr>
    </w:p>
    <w:p w14:paraId="4144CD0F" w14:textId="77777777" w:rsidR="00B67D7C" w:rsidRPr="00DE096C" w:rsidRDefault="00B67D7C" w:rsidP="00D45A46">
      <w:pPr>
        <w:jc w:val="both"/>
        <w:rPr>
          <w:bCs/>
          <w:color w:val="002060"/>
          <w:sz w:val="16"/>
          <w:szCs w:val="16"/>
        </w:rPr>
      </w:pPr>
      <w:r w:rsidRPr="00DE096C">
        <w:rPr>
          <w:bCs/>
          <w:color w:val="002060"/>
          <w:sz w:val="16"/>
          <w:szCs w:val="16"/>
        </w:rPr>
        <w:t>17 (30) сентября 1914 г. вышел приказ по 1-й армии Ренненкампфом:</w:t>
      </w:r>
    </w:p>
    <w:p w14:paraId="077B906B" w14:textId="77777777" w:rsidR="00B67D7C" w:rsidRPr="00DE096C" w:rsidRDefault="00B67D7C" w:rsidP="00D45A46">
      <w:pPr>
        <w:jc w:val="both"/>
        <w:rPr>
          <w:bCs/>
          <w:color w:val="002060"/>
          <w:sz w:val="16"/>
          <w:szCs w:val="16"/>
        </w:rPr>
      </w:pPr>
      <w:r w:rsidRPr="00DE096C">
        <w:rPr>
          <w:bCs/>
          <w:color w:val="002060"/>
          <w:sz w:val="16"/>
          <w:szCs w:val="16"/>
        </w:rPr>
        <w:t>«В армию прибыли новые быстроходные аэропланы, по фигуре весьма похожие на немецкие, без всяких отличительных знаков. Принимая во внимание, что при таких условиях отличить наш аэроплан от немецкого невозможно, строжайше воспрещаю, под страхом немедленного расстрела, какую бы то ни было стрельбу по аэропланам. Всех виновных в стрельбе по аэропланам, прикажу расстреливать на месте преступления, не обращая внимания на его звание; при невозможности же выяснить, кто первый открыл огонь, — расстрелять всю команду. Приказ этот прочесть и объявить буквально всем чинам. В целях собственного скрытия от взоров с неприятельских аэропланов следует при появлении аэроплана прижиматься к лесу, прятаться в дома, при движении — останавливаться, ложиться на землю; при необходимости ставить палатки — располагать таковые во дворах, в садах, в лесу; орудия, пулеметы, зарядные ящики, повозки маскировать, закрывая их сверху ветвями» (11289).</w:t>
      </w:r>
    </w:p>
    <w:p w14:paraId="2A6015CA" w14:textId="77777777" w:rsidR="00B67D7C" w:rsidRPr="00DE096C" w:rsidRDefault="00B67D7C" w:rsidP="00D45A46">
      <w:pPr>
        <w:jc w:val="both"/>
        <w:rPr>
          <w:bCs/>
          <w:color w:val="002060"/>
          <w:sz w:val="16"/>
          <w:szCs w:val="16"/>
        </w:rPr>
      </w:pPr>
    </w:p>
    <w:p w14:paraId="70089F59" w14:textId="77777777" w:rsidR="00180600" w:rsidRPr="00B52707" w:rsidRDefault="00180600" w:rsidP="00180600">
      <w:pPr>
        <w:jc w:val="both"/>
        <w:rPr>
          <w:color w:val="0070C0"/>
          <w:sz w:val="16"/>
          <w:szCs w:val="16"/>
        </w:rPr>
      </w:pPr>
      <w:r w:rsidRPr="00B52707">
        <w:rPr>
          <w:color w:val="0070C0"/>
          <w:sz w:val="16"/>
          <w:szCs w:val="16"/>
        </w:rPr>
        <w:t>В первой половине сентября 1914 г. немцы предприняли попытку обойти и разгромить правый фланг Западного фронта. Воздушная разведка, выполнявшаяся, в основном, силами 34-го КАО, который обслуживал штаб 10-й армии, вовремя вскрыла подготовку противника к Свенцянскому прорыву, обнаружив в районе Ковно-Янов-Вилькомир крупные скопления его войск (25150).</w:t>
      </w:r>
    </w:p>
    <w:p w14:paraId="15D5F9B1" w14:textId="77777777" w:rsidR="00180600" w:rsidRPr="00B52707" w:rsidRDefault="00180600" w:rsidP="00180600">
      <w:pPr>
        <w:jc w:val="both"/>
        <w:rPr>
          <w:color w:val="0070C0"/>
          <w:sz w:val="16"/>
          <w:szCs w:val="16"/>
        </w:rPr>
      </w:pPr>
    </w:p>
    <w:p w14:paraId="4CD8C58E" w14:textId="77777777" w:rsidR="00180600" w:rsidRPr="00B52707" w:rsidRDefault="00180600" w:rsidP="00180600">
      <w:pPr>
        <w:jc w:val="both"/>
        <w:rPr>
          <w:color w:val="0070C0"/>
          <w:sz w:val="16"/>
          <w:szCs w:val="16"/>
        </w:rPr>
      </w:pPr>
      <w:r w:rsidRPr="00B52707">
        <w:rPr>
          <w:color w:val="0070C0"/>
          <w:sz w:val="16"/>
          <w:szCs w:val="16"/>
        </w:rPr>
        <w:t>В середине сентября 1914 г. над территорией Финляндии были замечены германские дирижабли, что потребовало от русского венного командования срочно создавать воздушную оборону Петрограда (25152).</w:t>
      </w:r>
    </w:p>
    <w:p w14:paraId="331FB2A7" w14:textId="77777777" w:rsidR="00180600" w:rsidRPr="00B52707" w:rsidRDefault="00180600" w:rsidP="00180600">
      <w:pPr>
        <w:jc w:val="both"/>
        <w:rPr>
          <w:color w:val="0070C0"/>
          <w:sz w:val="16"/>
          <w:szCs w:val="16"/>
        </w:rPr>
      </w:pPr>
    </w:p>
    <w:p w14:paraId="50CC3C99" w14:textId="3516B70F" w:rsidR="00180600" w:rsidRPr="00DE096C" w:rsidRDefault="00180600" w:rsidP="00180600">
      <w:pPr>
        <w:jc w:val="both"/>
        <w:rPr>
          <w:bCs/>
          <w:i/>
          <w:color w:val="002060"/>
          <w:sz w:val="16"/>
          <w:szCs w:val="16"/>
        </w:rPr>
      </w:pPr>
      <w:bookmarkStart w:id="178" w:name="_Hlk181608221"/>
      <w:r>
        <w:rPr>
          <w:bCs/>
          <w:i/>
          <w:color w:val="002060"/>
          <w:sz w:val="16"/>
          <w:szCs w:val="16"/>
        </w:rPr>
        <w:t>Другие оборонные отрасли</w:t>
      </w:r>
      <w:r w:rsidRPr="00DE096C">
        <w:rPr>
          <w:bCs/>
          <w:i/>
          <w:color w:val="002060"/>
          <w:sz w:val="16"/>
          <w:szCs w:val="16"/>
        </w:rPr>
        <w:t>:</w:t>
      </w:r>
    </w:p>
    <w:p w14:paraId="463D8722" w14:textId="77777777" w:rsidR="00180600" w:rsidRPr="00DE096C" w:rsidRDefault="00180600" w:rsidP="00180600">
      <w:pPr>
        <w:jc w:val="both"/>
        <w:rPr>
          <w:bCs/>
          <w:i/>
          <w:color w:val="002060"/>
          <w:sz w:val="16"/>
          <w:szCs w:val="16"/>
        </w:rPr>
      </w:pPr>
    </w:p>
    <w:p w14:paraId="13A97FB5" w14:textId="77777777" w:rsidR="00180600" w:rsidRPr="00B52707" w:rsidRDefault="00180600" w:rsidP="00180600">
      <w:pPr>
        <w:jc w:val="both"/>
        <w:rPr>
          <w:color w:val="0070C0"/>
          <w:sz w:val="16"/>
          <w:szCs w:val="16"/>
        </w:rPr>
      </w:pPr>
      <w:r w:rsidRPr="00B52707">
        <w:rPr>
          <w:color w:val="0070C0"/>
          <w:sz w:val="16"/>
          <w:szCs w:val="16"/>
        </w:rPr>
        <w:t>16 (29) сентября 1914 года Секрётев заклю</w:t>
      </w:r>
      <w:r w:rsidRPr="00B52707">
        <w:rPr>
          <w:color w:val="0070C0"/>
          <w:sz w:val="16"/>
          <w:szCs w:val="16"/>
        </w:rPr>
        <w:softHyphen/>
        <w:t>чил контракт с фирмой «Остин» на постав</w:t>
      </w:r>
      <w:r w:rsidRPr="00B52707">
        <w:rPr>
          <w:color w:val="0070C0"/>
          <w:sz w:val="16"/>
          <w:szCs w:val="16"/>
        </w:rPr>
        <w:softHyphen/>
        <w:t>ку в Россию 48 бронеавтомобилей (под</w:t>
      </w:r>
      <w:r w:rsidRPr="00B52707">
        <w:rPr>
          <w:color w:val="0070C0"/>
          <w:sz w:val="16"/>
          <w:szCs w:val="16"/>
        </w:rPr>
        <w:softHyphen/>
        <w:t>робнее о них ниже) и 282 разных машины: 18 автомастерских, 16 автоцистерн с двигате</w:t>
      </w:r>
      <w:r w:rsidRPr="00B52707">
        <w:rPr>
          <w:color w:val="0070C0"/>
          <w:sz w:val="16"/>
          <w:szCs w:val="16"/>
        </w:rPr>
        <w:softHyphen/>
        <w:t>лями мощностью 20 л.с., 8 автомобилей-де</w:t>
      </w:r>
      <w:r w:rsidRPr="00B52707">
        <w:rPr>
          <w:color w:val="0070C0"/>
          <w:sz w:val="16"/>
          <w:szCs w:val="16"/>
        </w:rPr>
        <w:softHyphen/>
        <w:t>по (фактически это передвижной склад ав</w:t>
      </w:r>
      <w:r w:rsidRPr="00B52707">
        <w:rPr>
          <w:color w:val="0070C0"/>
          <w:sz w:val="16"/>
          <w:szCs w:val="16"/>
        </w:rPr>
        <w:softHyphen/>
        <w:t>тозапчастей), 140 санитарных машин (кузова для перевозки носилок с ранеными предпо</w:t>
      </w:r>
      <w:r w:rsidRPr="00B52707">
        <w:rPr>
          <w:color w:val="0070C0"/>
          <w:sz w:val="16"/>
          <w:szCs w:val="16"/>
        </w:rPr>
        <w:softHyphen/>
        <w:t>лагалось изготовить и установить в России) и 100 2-3-тонных грузовиков (с двигателем 20 л.с.). Следует сказать, что автомастерские и депо изготавливались на 2-3-тонных гру</w:t>
      </w:r>
      <w:r w:rsidRPr="00B52707">
        <w:rPr>
          <w:color w:val="0070C0"/>
          <w:sz w:val="16"/>
          <w:szCs w:val="16"/>
        </w:rPr>
        <w:softHyphen/>
        <w:t xml:space="preserve">зовиках, а </w:t>
      </w:r>
      <w:bookmarkEnd w:id="178"/>
      <w:r w:rsidRPr="00B52707">
        <w:rPr>
          <w:color w:val="0070C0"/>
          <w:sz w:val="16"/>
          <w:szCs w:val="16"/>
        </w:rPr>
        <w:t>остальные - на легковых шасси. Заказ был выполнен в течение трех месяцев, и в ноябре-декабре 1914 года все заказанные автомобили прибыли в Россию.</w:t>
      </w:r>
    </w:p>
    <w:p w14:paraId="68951120" w14:textId="77777777" w:rsidR="00180600" w:rsidRPr="00B52707" w:rsidRDefault="00180600" w:rsidP="00180600">
      <w:pPr>
        <w:jc w:val="both"/>
        <w:rPr>
          <w:color w:val="0070C0"/>
          <w:sz w:val="16"/>
          <w:szCs w:val="16"/>
        </w:rPr>
      </w:pPr>
      <w:r w:rsidRPr="00B52707">
        <w:rPr>
          <w:color w:val="0070C0"/>
          <w:sz w:val="16"/>
          <w:szCs w:val="16"/>
        </w:rPr>
        <w:t>Этот заказ фактически составлял четверть всех автомобилей, закупленных комиссией полковника Секрётева. Компания «Остин» получила от русского правительства весьма «кругленькую» сумму в полмиллиона фунтов стерлингов. Кроме того, было заказано за</w:t>
      </w:r>
      <w:r w:rsidRPr="00B52707">
        <w:rPr>
          <w:color w:val="0070C0"/>
          <w:sz w:val="16"/>
          <w:szCs w:val="16"/>
        </w:rPr>
        <w:softHyphen/>
        <w:t>пасных частей к автомобилям на 50000 фун</w:t>
      </w:r>
      <w:r w:rsidRPr="00B52707">
        <w:rPr>
          <w:color w:val="0070C0"/>
          <w:sz w:val="16"/>
          <w:szCs w:val="16"/>
        </w:rPr>
        <w:softHyphen/>
        <w:t>тов. В английском издании The commercial motor от 31 декабря 1914 года была помещена статья «Большой контракт «Остина» для Рос</w:t>
      </w:r>
      <w:r w:rsidRPr="00B52707">
        <w:rPr>
          <w:color w:val="0070C0"/>
          <w:sz w:val="16"/>
          <w:szCs w:val="16"/>
        </w:rPr>
        <w:softHyphen/>
        <w:t>сии», в котором сообщалось о заключении «одного из самых крупных, если не самого крупного» заказа на автомобили для русско</w:t>
      </w:r>
      <w:r w:rsidRPr="00B52707">
        <w:rPr>
          <w:color w:val="0070C0"/>
          <w:sz w:val="16"/>
          <w:szCs w:val="16"/>
        </w:rPr>
        <w:softHyphen/>
        <w:t>го правительства. Также в материале приво</w:t>
      </w:r>
      <w:r w:rsidRPr="00B52707">
        <w:rPr>
          <w:color w:val="0070C0"/>
          <w:sz w:val="16"/>
          <w:szCs w:val="16"/>
        </w:rPr>
        <w:softHyphen/>
        <w:t>дились кое-какие подробности о закуплен</w:t>
      </w:r>
      <w:r w:rsidRPr="00B52707">
        <w:rPr>
          <w:color w:val="0070C0"/>
          <w:sz w:val="16"/>
          <w:szCs w:val="16"/>
        </w:rPr>
        <w:softHyphen/>
        <w:t>ных автомобилях. Например, сообщалось, что бак автоцистерны изнутри делился пере</w:t>
      </w:r>
      <w:r w:rsidRPr="00B52707">
        <w:rPr>
          <w:color w:val="0070C0"/>
          <w:sz w:val="16"/>
          <w:szCs w:val="16"/>
        </w:rPr>
        <w:softHyphen/>
        <w:t>городками на три отсека (для бензина, масла и смазки), а автомастерская оснащалась ге</w:t>
      </w:r>
      <w:r w:rsidRPr="00B52707">
        <w:rPr>
          <w:color w:val="0070C0"/>
          <w:sz w:val="16"/>
          <w:szCs w:val="16"/>
        </w:rPr>
        <w:softHyphen/>
        <w:t>нератором (с приводом от одноцилиндрово</w:t>
      </w:r>
      <w:r w:rsidRPr="00B52707">
        <w:rPr>
          <w:color w:val="0070C0"/>
          <w:sz w:val="16"/>
          <w:szCs w:val="16"/>
        </w:rPr>
        <w:softHyphen/>
        <w:t>го двигателя «Остин»), токарным и сверлиль</w:t>
      </w:r>
      <w:r w:rsidRPr="00B52707">
        <w:rPr>
          <w:color w:val="0070C0"/>
          <w:sz w:val="16"/>
          <w:szCs w:val="16"/>
        </w:rPr>
        <w:softHyphen/>
        <w:t>ным станками с электроприводом, точилом, деревообрабатывающим станком, наковаль</w:t>
      </w:r>
      <w:r w:rsidRPr="00B52707">
        <w:rPr>
          <w:color w:val="0070C0"/>
          <w:sz w:val="16"/>
          <w:szCs w:val="16"/>
        </w:rPr>
        <w:softHyphen/>
        <w:t>ней с горном и комплектом инструментов. Мастерская имела электрическое освеще</w:t>
      </w:r>
      <w:r w:rsidRPr="00B52707">
        <w:rPr>
          <w:color w:val="0070C0"/>
          <w:sz w:val="16"/>
          <w:szCs w:val="16"/>
        </w:rPr>
        <w:softHyphen/>
        <w:t>ние. Особо подчеркивалось, что кузов сделан полностью закрытым и имеет только дверь и окна для вентиляции - это было «сделано по специальной договоренности в связи с су</w:t>
      </w:r>
      <w:r w:rsidRPr="00B52707">
        <w:rPr>
          <w:color w:val="0070C0"/>
          <w:sz w:val="16"/>
          <w:szCs w:val="16"/>
        </w:rPr>
        <w:softHyphen/>
        <w:t>ровым климатом, в условиях которого будут работать эти автомобили».</w:t>
      </w:r>
    </w:p>
    <w:p w14:paraId="39BEF8AE" w14:textId="77777777" w:rsidR="00180600" w:rsidRPr="00B52707" w:rsidRDefault="00180600" w:rsidP="00180600">
      <w:pPr>
        <w:jc w:val="both"/>
        <w:rPr>
          <w:color w:val="0070C0"/>
          <w:sz w:val="16"/>
          <w:szCs w:val="16"/>
        </w:rPr>
      </w:pPr>
      <w:r w:rsidRPr="00B52707">
        <w:rPr>
          <w:color w:val="0070C0"/>
          <w:sz w:val="16"/>
          <w:szCs w:val="16"/>
        </w:rPr>
        <w:t>В заключение статьи говорилось:</w:t>
      </w:r>
    </w:p>
    <w:p w14:paraId="6E56EEF2" w14:textId="77777777" w:rsidR="00180600" w:rsidRPr="00B52707" w:rsidRDefault="00180600" w:rsidP="00180600">
      <w:pPr>
        <w:jc w:val="both"/>
        <w:rPr>
          <w:color w:val="0070C0"/>
          <w:sz w:val="16"/>
          <w:szCs w:val="16"/>
        </w:rPr>
      </w:pPr>
      <w:r w:rsidRPr="00B52707">
        <w:rPr>
          <w:color w:val="0070C0"/>
          <w:sz w:val="16"/>
          <w:szCs w:val="16"/>
        </w:rPr>
        <w:t>«Как свидетельство великолепной органи</w:t>
      </w:r>
      <w:r w:rsidRPr="00B52707">
        <w:rPr>
          <w:color w:val="0070C0"/>
          <w:sz w:val="16"/>
          <w:szCs w:val="16"/>
        </w:rPr>
        <w:softHyphen/>
        <w:t>зации, распространенной на заводе «Остин», следует отметить, что все из перечисленных выше автомобилей уже отправлены, и время, затраченное на выполнение заказа, составля</w:t>
      </w:r>
      <w:r w:rsidRPr="00B52707">
        <w:rPr>
          <w:color w:val="0070C0"/>
          <w:sz w:val="16"/>
          <w:szCs w:val="16"/>
        </w:rPr>
        <w:softHyphen/>
        <w:t>ет всего около трех месяцев.</w:t>
      </w:r>
    </w:p>
    <w:p w14:paraId="18199B8C" w14:textId="77777777" w:rsidR="00180600" w:rsidRPr="00B52707" w:rsidRDefault="00180600" w:rsidP="00180600">
      <w:pPr>
        <w:jc w:val="both"/>
        <w:rPr>
          <w:color w:val="0070C0"/>
          <w:sz w:val="16"/>
          <w:szCs w:val="16"/>
        </w:rPr>
      </w:pPr>
      <w:r w:rsidRPr="00B52707">
        <w:rPr>
          <w:color w:val="0070C0"/>
          <w:sz w:val="16"/>
          <w:szCs w:val="16"/>
        </w:rPr>
        <w:t>Стоит также отметить, что сейчас эта ком</w:t>
      </w:r>
      <w:r w:rsidRPr="00B52707">
        <w:rPr>
          <w:color w:val="0070C0"/>
          <w:sz w:val="16"/>
          <w:szCs w:val="16"/>
        </w:rPr>
        <w:softHyphen/>
        <w:t>пания занята контрактом на изготовление са</w:t>
      </w:r>
      <w:r w:rsidRPr="00B52707">
        <w:rPr>
          <w:color w:val="0070C0"/>
          <w:sz w:val="16"/>
          <w:szCs w:val="16"/>
        </w:rPr>
        <w:softHyphen/>
        <w:t>нитарных автомобилей с двигателем в 20 л.с., аналогичным уже построенным, для исполь</w:t>
      </w:r>
      <w:r w:rsidRPr="00B52707">
        <w:rPr>
          <w:color w:val="0070C0"/>
          <w:sz w:val="16"/>
          <w:szCs w:val="16"/>
        </w:rPr>
        <w:softHyphen/>
        <w:t>зования их в Британской армии» (25008).</w:t>
      </w:r>
    </w:p>
    <w:p w14:paraId="29711769" w14:textId="77777777" w:rsidR="00180600" w:rsidRPr="00B52707" w:rsidRDefault="00180600" w:rsidP="00180600">
      <w:pPr>
        <w:jc w:val="both"/>
        <w:rPr>
          <w:color w:val="0070C0"/>
          <w:sz w:val="16"/>
          <w:szCs w:val="16"/>
        </w:rPr>
      </w:pPr>
    </w:p>
    <w:p w14:paraId="729BF0E8" w14:textId="77777777" w:rsidR="00180600" w:rsidRPr="00B52707" w:rsidRDefault="00180600" w:rsidP="00180600">
      <w:pPr>
        <w:jc w:val="both"/>
        <w:rPr>
          <w:color w:val="0070C0"/>
          <w:sz w:val="16"/>
          <w:szCs w:val="16"/>
        </w:rPr>
      </w:pPr>
      <w:r w:rsidRPr="00B52707">
        <w:rPr>
          <w:color w:val="0070C0"/>
          <w:sz w:val="16"/>
          <w:szCs w:val="16"/>
        </w:rPr>
        <w:t>16 (29) сентября 1914 года русская закупочная комиссия заключила с фирмой «Остин» контракт на поставку различных ма</w:t>
      </w:r>
      <w:r w:rsidRPr="00B52707">
        <w:rPr>
          <w:color w:val="0070C0"/>
          <w:sz w:val="16"/>
          <w:szCs w:val="16"/>
        </w:rPr>
        <w:softHyphen/>
        <w:t>шин, в том числе и 48 бронированных авто</w:t>
      </w:r>
      <w:r w:rsidRPr="00B52707">
        <w:rPr>
          <w:color w:val="0070C0"/>
          <w:sz w:val="16"/>
          <w:szCs w:val="16"/>
        </w:rPr>
        <w:softHyphen/>
        <w:t>мобилей «по русской схеме». Надо сказать, что фирма «Остин» сработала очень опера</w:t>
      </w:r>
      <w:r w:rsidRPr="00B52707">
        <w:rPr>
          <w:color w:val="0070C0"/>
          <w:sz w:val="16"/>
          <w:szCs w:val="16"/>
        </w:rPr>
        <w:softHyphen/>
        <w:t>тивно - уже к середине октября была гото</w:t>
      </w:r>
      <w:r w:rsidRPr="00B52707">
        <w:rPr>
          <w:color w:val="0070C0"/>
          <w:sz w:val="16"/>
          <w:szCs w:val="16"/>
        </w:rPr>
        <w:softHyphen/>
        <w:t>вы первые броневики, а к концу месяца - все 48 бронемашин. Они были доставлены в Рос</w:t>
      </w:r>
      <w:r w:rsidRPr="00B52707">
        <w:rPr>
          <w:color w:val="0070C0"/>
          <w:sz w:val="16"/>
          <w:szCs w:val="16"/>
        </w:rPr>
        <w:softHyphen/>
        <w:t>сию двумя группами - 35 штук к 16 ноября и 13 - к 20 ноября 1914 года (25008).</w:t>
      </w:r>
    </w:p>
    <w:p w14:paraId="6375E559" w14:textId="77777777" w:rsidR="00180600" w:rsidRPr="00B52707" w:rsidRDefault="00180600" w:rsidP="00180600">
      <w:pPr>
        <w:jc w:val="both"/>
        <w:rPr>
          <w:color w:val="0070C0"/>
          <w:sz w:val="16"/>
          <w:szCs w:val="16"/>
        </w:rPr>
      </w:pPr>
    </w:p>
    <w:p w14:paraId="6F5B444C" w14:textId="15082B35" w:rsidR="00180600" w:rsidRPr="00DE096C" w:rsidRDefault="00180600" w:rsidP="00180600">
      <w:pPr>
        <w:jc w:val="both"/>
        <w:rPr>
          <w:bCs/>
          <w:i/>
          <w:color w:val="002060"/>
          <w:sz w:val="16"/>
          <w:szCs w:val="16"/>
        </w:rPr>
      </w:pPr>
      <w:r w:rsidRPr="00DE096C">
        <w:rPr>
          <w:bCs/>
          <w:i/>
          <w:color w:val="002060"/>
          <w:sz w:val="16"/>
          <w:szCs w:val="16"/>
        </w:rPr>
        <w:t>А</w:t>
      </w:r>
      <w:r>
        <w:rPr>
          <w:bCs/>
          <w:i/>
          <w:color w:val="002060"/>
          <w:sz w:val="16"/>
          <w:szCs w:val="16"/>
        </w:rPr>
        <w:t>виация</w:t>
      </w:r>
      <w:r w:rsidRPr="00DE096C">
        <w:rPr>
          <w:bCs/>
          <w:i/>
          <w:color w:val="002060"/>
          <w:sz w:val="16"/>
          <w:szCs w:val="16"/>
        </w:rPr>
        <w:t>:</w:t>
      </w:r>
    </w:p>
    <w:p w14:paraId="1B57FECA" w14:textId="77777777" w:rsidR="00180600" w:rsidRPr="00DE096C" w:rsidRDefault="00180600" w:rsidP="00180600">
      <w:pPr>
        <w:jc w:val="both"/>
        <w:rPr>
          <w:bCs/>
          <w:i/>
          <w:color w:val="002060"/>
          <w:sz w:val="16"/>
          <w:szCs w:val="16"/>
        </w:rPr>
      </w:pPr>
    </w:p>
    <w:p w14:paraId="5DD18925" w14:textId="77777777" w:rsidR="00180600" w:rsidRPr="00B52707" w:rsidRDefault="00180600" w:rsidP="00180600">
      <w:pPr>
        <w:jc w:val="both"/>
        <w:rPr>
          <w:color w:val="0070C0"/>
          <w:sz w:val="16"/>
          <w:szCs w:val="16"/>
        </w:rPr>
      </w:pPr>
      <w:r w:rsidRPr="00B52707">
        <w:rPr>
          <w:color w:val="0070C0"/>
          <w:sz w:val="16"/>
          <w:szCs w:val="16"/>
        </w:rPr>
        <w:t>16-го (29) сентября 1914г. во время воздушной разведки лейтенант Маркович, «исправляя во время полета пробитый пулей бензиновый бак, был убит, геройской смертью запечатлев содеянный им подвиг». Умер от ран, полученных при падении во время воздушной разведки, начальник 2-го Сибирского КАО штабс-капитан И.И.Александрович…(25150).</w:t>
      </w:r>
    </w:p>
    <w:p w14:paraId="4A872735" w14:textId="77777777" w:rsidR="00180600" w:rsidRPr="00B52707" w:rsidRDefault="00180600" w:rsidP="00180600">
      <w:pPr>
        <w:jc w:val="both"/>
        <w:rPr>
          <w:color w:val="0070C0"/>
          <w:sz w:val="16"/>
          <w:szCs w:val="16"/>
        </w:rPr>
      </w:pPr>
    </w:p>
    <w:p w14:paraId="4330B3B5" w14:textId="77777777" w:rsidR="00562E95" w:rsidRPr="00DE096C" w:rsidRDefault="00562E95" w:rsidP="00D45A46">
      <w:pPr>
        <w:jc w:val="both"/>
        <w:rPr>
          <w:bCs/>
          <w:i/>
          <w:color w:val="002060"/>
          <w:sz w:val="16"/>
          <w:szCs w:val="16"/>
        </w:rPr>
      </w:pPr>
      <w:r w:rsidRPr="00DE096C">
        <w:rPr>
          <w:bCs/>
          <w:i/>
          <w:color w:val="002060"/>
          <w:sz w:val="16"/>
          <w:szCs w:val="16"/>
        </w:rPr>
        <w:t>Армия:</w:t>
      </w:r>
    </w:p>
    <w:p w14:paraId="3E6B11FA" w14:textId="77777777" w:rsidR="00562E95" w:rsidRPr="00DE096C" w:rsidRDefault="00562E95" w:rsidP="00D45A46">
      <w:pPr>
        <w:jc w:val="both"/>
        <w:rPr>
          <w:bCs/>
          <w:i/>
          <w:color w:val="002060"/>
          <w:sz w:val="16"/>
          <w:szCs w:val="16"/>
        </w:rPr>
      </w:pPr>
    </w:p>
    <w:p w14:paraId="2C9D7AE3" w14:textId="02B897C4" w:rsidR="00562E95" w:rsidRPr="00DE096C" w:rsidRDefault="00562E95" w:rsidP="00D45A46">
      <w:pPr>
        <w:jc w:val="both"/>
        <w:rPr>
          <w:bCs/>
          <w:color w:val="002060"/>
          <w:sz w:val="16"/>
          <w:szCs w:val="16"/>
        </w:rPr>
      </w:pPr>
      <w:r w:rsidRPr="00DE096C">
        <w:rPr>
          <w:rStyle w:val="ucoz-forum-post"/>
          <w:rFonts w:eastAsiaTheme="majorEastAsia"/>
          <w:bCs/>
          <w:color w:val="002060"/>
          <w:sz w:val="16"/>
          <w:szCs w:val="16"/>
        </w:rPr>
        <w:t xml:space="preserve">17 </w:t>
      </w:r>
      <w:r w:rsidR="0091756B" w:rsidRPr="00DE096C">
        <w:rPr>
          <w:rStyle w:val="ucoz-forum-post"/>
          <w:rFonts w:eastAsiaTheme="majorEastAsia"/>
          <w:bCs/>
          <w:color w:val="002060"/>
          <w:sz w:val="16"/>
          <w:szCs w:val="16"/>
        </w:rPr>
        <w:t xml:space="preserve">(30) </w:t>
      </w:r>
      <w:r w:rsidRPr="00DE096C">
        <w:rPr>
          <w:rStyle w:val="ucoz-forum-post"/>
          <w:rFonts w:eastAsiaTheme="majorEastAsia"/>
          <w:bCs/>
          <w:color w:val="002060"/>
          <w:sz w:val="16"/>
          <w:szCs w:val="16"/>
        </w:rPr>
        <w:t xml:space="preserve">сентября </w:t>
      </w:r>
      <w:r w:rsidRPr="00DE096C">
        <w:rPr>
          <w:bCs/>
          <w:color w:val="002060"/>
          <w:sz w:val="16"/>
          <w:szCs w:val="16"/>
        </w:rPr>
        <w:t>в 1914 году русские войска осадили австрийскую крепость Перемышль (14772).</w:t>
      </w:r>
    </w:p>
    <w:p w14:paraId="308032DA" w14:textId="77777777" w:rsidR="00562E95" w:rsidRPr="00DE096C" w:rsidRDefault="00562E95" w:rsidP="00D45A46">
      <w:pPr>
        <w:jc w:val="both"/>
        <w:rPr>
          <w:bCs/>
          <w:color w:val="002060"/>
          <w:sz w:val="16"/>
          <w:szCs w:val="16"/>
        </w:rPr>
      </w:pPr>
    </w:p>
    <w:p w14:paraId="4828FE38" w14:textId="77777777" w:rsidR="000B7C49" w:rsidRPr="00DE096C" w:rsidRDefault="000B7C49" w:rsidP="00D45A46">
      <w:pPr>
        <w:shd w:val="clear" w:color="auto" w:fill="FFFFFF"/>
        <w:jc w:val="both"/>
        <w:rPr>
          <w:bCs/>
          <w:i/>
          <w:color w:val="002060"/>
          <w:sz w:val="16"/>
          <w:szCs w:val="16"/>
        </w:rPr>
      </w:pPr>
      <w:r w:rsidRPr="00DE096C">
        <w:rPr>
          <w:bCs/>
          <w:i/>
          <w:color w:val="002060"/>
          <w:sz w:val="16"/>
          <w:szCs w:val="16"/>
        </w:rPr>
        <w:t>Внешняя политика:</w:t>
      </w:r>
    </w:p>
    <w:p w14:paraId="67AD902B" w14:textId="77777777" w:rsidR="000B7C49" w:rsidRPr="00DE096C" w:rsidRDefault="000B7C49" w:rsidP="00D45A46">
      <w:pPr>
        <w:shd w:val="clear" w:color="auto" w:fill="FFFFFF"/>
        <w:jc w:val="both"/>
        <w:rPr>
          <w:bCs/>
          <w:i/>
          <w:color w:val="002060"/>
          <w:sz w:val="16"/>
          <w:szCs w:val="16"/>
        </w:rPr>
      </w:pPr>
    </w:p>
    <w:p w14:paraId="0880BC0F" w14:textId="31D0E642" w:rsidR="000B7C49" w:rsidRPr="00DE096C" w:rsidRDefault="000B7C49" w:rsidP="00D45A46">
      <w:pPr>
        <w:jc w:val="both"/>
        <w:rPr>
          <w:bCs/>
          <w:color w:val="002060"/>
          <w:sz w:val="16"/>
          <w:szCs w:val="16"/>
        </w:rPr>
      </w:pPr>
      <w:r w:rsidRPr="00DE096C">
        <w:rPr>
          <w:rStyle w:val="ucoz-forum-post"/>
          <w:rFonts w:eastAsiaTheme="majorEastAsia"/>
          <w:bCs/>
          <w:color w:val="002060"/>
          <w:sz w:val="16"/>
          <w:szCs w:val="16"/>
        </w:rPr>
        <w:t xml:space="preserve">17 (30) сентября </w:t>
      </w:r>
      <w:r w:rsidRPr="00DE096C">
        <w:rPr>
          <w:bCs/>
          <w:color w:val="002060"/>
          <w:sz w:val="16"/>
          <w:szCs w:val="16"/>
        </w:rPr>
        <w:t xml:space="preserve">в 1914 году </w:t>
      </w:r>
      <w:r w:rsidR="00ED548D" w:rsidRPr="00DE096C">
        <w:rPr>
          <w:bCs/>
          <w:color w:val="002060"/>
          <w:sz w:val="16"/>
          <w:szCs w:val="16"/>
        </w:rPr>
        <w:t xml:space="preserve">состоялось </w:t>
      </w:r>
      <w:r w:rsidRPr="00DE096C">
        <w:rPr>
          <w:bCs/>
          <w:color w:val="002060"/>
          <w:sz w:val="16"/>
          <w:szCs w:val="16"/>
        </w:rPr>
        <w:t>оформление дружественного нейтралитета Румынии в отношении России (14785).</w:t>
      </w:r>
    </w:p>
    <w:p w14:paraId="4DBB3748" w14:textId="77777777" w:rsidR="000B7C49" w:rsidRPr="00DE096C" w:rsidRDefault="000B7C49" w:rsidP="00D45A46">
      <w:pPr>
        <w:jc w:val="both"/>
        <w:rPr>
          <w:bCs/>
          <w:color w:val="002060"/>
          <w:sz w:val="16"/>
          <w:szCs w:val="16"/>
        </w:rPr>
      </w:pPr>
    </w:p>
    <w:p w14:paraId="11B79F78" w14:textId="77777777" w:rsidR="0091756B" w:rsidRPr="00DE096C" w:rsidRDefault="0091756B" w:rsidP="00D45A46">
      <w:pPr>
        <w:jc w:val="both"/>
        <w:rPr>
          <w:bCs/>
          <w:i/>
          <w:iCs/>
          <w:color w:val="002060"/>
          <w:sz w:val="16"/>
          <w:szCs w:val="16"/>
        </w:rPr>
      </w:pPr>
      <w:r w:rsidRPr="00DE096C">
        <w:rPr>
          <w:bCs/>
          <w:i/>
          <w:iCs/>
          <w:color w:val="002060"/>
          <w:sz w:val="16"/>
          <w:szCs w:val="16"/>
        </w:rPr>
        <w:t>Авиация и воздухоплавание за рубежом:</w:t>
      </w:r>
    </w:p>
    <w:p w14:paraId="4C6D7DE8" w14:textId="77777777" w:rsidR="0091756B" w:rsidRPr="00DE096C" w:rsidRDefault="0091756B" w:rsidP="00D45A46">
      <w:pPr>
        <w:jc w:val="both"/>
        <w:rPr>
          <w:bCs/>
          <w:i/>
          <w:iCs/>
          <w:color w:val="002060"/>
          <w:sz w:val="16"/>
          <w:szCs w:val="16"/>
        </w:rPr>
      </w:pPr>
    </w:p>
    <w:p w14:paraId="1F8419C8" w14:textId="77777777" w:rsidR="0091756B" w:rsidRPr="00DE096C" w:rsidRDefault="0091756B" w:rsidP="00D45A46">
      <w:pPr>
        <w:jc w:val="both"/>
        <w:rPr>
          <w:bCs/>
          <w:color w:val="002060"/>
          <w:sz w:val="16"/>
          <w:szCs w:val="16"/>
        </w:rPr>
      </w:pPr>
      <w:r w:rsidRPr="00DE096C">
        <w:rPr>
          <w:bCs/>
          <w:color w:val="002060"/>
          <w:sz w:val="16"/>
          <w:szCs w:val="16"/>
        </w:rPr>
        <w:lastRenderedPageBreak/>
        <w:t>17 (30) сентября 1914 «Вакамия» поврежден морской миной и вынужден отступить после осады Циндао, завершив первое боевое развертывание авиационного корабля в истории (20337).</w:t>
      </w:r>
    </w:p>
    <w:p w14:paraId="29DDC1BC" w14:textId="77777777" w:rsidR="0091756B" w:rsidRPr="00DE096C" w:rsidRDefault="0091756B" w:rsidP="00D45A46">
      <w:pPr>
        <w:jc w:val="both"/>
        <w:rPr>
          <w:bCs/>
          <w:color w:val="002060"/>
          <w:sz w:val="16"/>
          <w:szCs w:val="16"/>
        </w:rPr>
      </w:pPr>
    </w:p>
    <w:p w14:paraId="03F5419A" w14:textId="77777777" w:rsidR="00C66CE5" w:rsidRPr="00DE096C" w:rsidRDefault="00C66CE5" w:rsidP="00D45A46">
      <w:pPr>
        <w:jc w:val="both"/>
        <w:rPr>
          <w:bCs/>
          <w:i/>
          <w:color w:val="002060"/>
          <w:sz w:val="16"/>
          <w:szCs w:val="16"/>
        </w:rPr>
      </w:pPr>
      <w:r w:rsidRPr="00DE096C">
        <w:rPr>
          <w:bCs/>
          <w:i/>
          <w:color w:val="002060"/>
          <w:sz w:val="16"/>
          <w:szCs w:val="16"/>
        </w:rPr>
        <w:t>Другие оборонные отрасли:</w:t>
      </w:r>
    </w:p>
    <w:p w14:paraId="72E25FC6" w14:textId="77777777" w:rsidR="00C66CE5" w:rsidRPr="00DE096C" w:rsidRDefault="00C66CE5" w:rsidP="00D45A46">
      <w:pPr>
        <w:jc w:val="both"/>
        <w:rPr>
          <w:bCs/>
          <w:i/>
          <w:color w:val="002060"/>
          <w:sz w:val="16"/>
          <w:szCs w:val="16"/>
        </w:rPr>
      </w:pPr>
    </w:p>
    <w:p w14:paraId="71811CEC" w14:textId="42A80081" w:rsidR="00C66CE5" w:rsidRPr="00DE096C" w:rsidRDefault="00C66CE5" w:rsidP="00D45A46">
      <w:pPr>
        <w:jc w:val="both"/>
        <w:rPr>
          <w:bCs/>
          <w:color w:val="002060"/>
          <w:sz w:val="16"/>
          <w:szCs w:val="16"/>
        </w:rPr>
      </w:pPr>
      <w:r w:rsidRPr="00DE096C">
        <w:rPr>
          <w:bCs/>
          <w:color w:val="002060"/>
          <w:sz w:val="16"/>
          <w:szCs w:val="16"/>
        </w:rPr>
        <w:t xml:space="preserve">18 сентября </w:t>
      </w:r>
      <w:r w:rsidR="0091756B" w:rsidRPr="00DE096C">
        <w:rPr>
          <w:bCs/>
          <w:color w:val="002060"/>
          <w:sz w:val="16"/>
          <w:szCs w:val="16"/>
        </w:rPr>
        <w:t xml:space="preserve">(1 октября) </w:t>
      </w:r>
      <w:r w:rsidRPr="00DE096C">
        <w:rPr>
          <w:bCs/>
          <w:color w:val="002060"/>
          <w:sz w:val="16"/>
          <w:szCs w:val="16"/>
        </w:rPr>
        <w:t>1914 г. верховный главнокомандующий потребовал от военного министра дать максимальный «срочный заказ русским металлургическим заводам», привлечь частные заводы «хотя бы реквизиционным порядком, к выделке снарядов» (18408).</w:t>
      </w:r>
    </w:p>
    <w:p w14:paraId="013F7C74" w14:textId="77777777" w:rsidR="00C66CE5" w:rsidRPr="00DE096C" w:rsidRDefault="00C66CE5" w:rsidP="00D45A46">
      <w:pPr>
        <w:jc w:val="both"/>
        <w:rPr>
          <w:bCs/>
          <w:color w:val="002060"/>
          <w:sz w:val="16"/>
          <w:szCs w:val="16"/>
        </w:rPr>
      </w:pPr>
    </w:p>
    <w:p w14:paraId="7B962536" w14:textId="7A8E8012" w:rsidR="00C66CE5" w:rsidRPr="00DE096C" w:rsidRDefault="00C66CE5" w:rsidP="00D45A46">
      <w:pPr>
        <w:pStyle w:val="ae"/>
        <w:spacing w:before="0" w:beforeAutospacing="0" w:after="0" w:afterAutospacing="0"/>
        <w:jc w:val="both"/>
        <w:rPr>
          <w:bCs/>
          <w:color w:val="002060"/>
          <w:sz w:val="16"/>
          <w:szCs w:val="16"/>
        </w:rPr>
      </w:pPr>
      <w:r w:rsidRPr="00DE096C">
        <w:rPr>
          <w:bCs/>
          <w:color w:val="002060"/>
          <w:sz w:val="16"/>
          <w:szCs w:val="16"/>
        </w:rPr>
        <w:t xml:space="preserve">18 сентября </w:t>
      </w:r>
      <w:r w:rsidR="0091756B" w:rsidRPr="00DE096C">
        <w:rPr>
          <w:bCs/>
          <w:color w:val="002060"/>
          <w:sz w:val="16"/>
          <w:szCs w:val="16"/>
        </w:rPr>
        <w:t xml:space="preserve">(1 октября) </w:t>
      </w:r>
      <w:r w:rsidRPr="00DE096C">
        <w:rPr>
          <w:bCs/>
          <w:color w:val="002060"/>
          <w:sz w:val="16"/>
          <w:szCs w:val="16"/>
        </w:rPr>
        <w:t xml:space="preserve">1914 </w:t>
      </w:r>
      <w:r w:rsidR="0091756B" w:rsidRPr="00DE096C">
        <w:rPr>
          <w:bCs/>
          <w:color w:val="002060"/>
          <w:sz w:val="16"/>
          <w:szCs w:val="16"/>
        </w:rPr>
        <w:t xml:space="preserve">г. </w:t>
      </w:r>
      <w:r w:rsidRPr="00DE096C">
        <w:rPr>
          <w:bCs/>
          <w:color w:val="002060"/>
          <w:sz w:val="16"/>
          <w:szCs w:val="16"/>
        </w:rPr>
        <w:t>верховный главнокомандующий обратился по телеграфу к военному министру. Указав на слабую производительность казенных заводов, он просил его «обсудить возможность срочного заказа русским металлургическим заводам возможно большего количества станков для выделки орудийных снарядов и привлечения частных заводов, хотя бы реквизиционным порядком, к выделке снарядов на изготовляющихся станках»</w:t>
      </w:r>
      <w:bookmarkStart w:id="179" w:name="60r"/>
      <w:bookmarkEnd w:id="179"/>
      <w:r w:rsidRPr="00DE096C">
        <w:rPr>
          <w:bCs/>
          <w:color w:val="002060"/>
          <w:sz w:val="16"/>
          <w:szCs w:val="16"/>
        </w:rPr>
        <w:t>. Подавляющее количество станков заказывалось за границей, а не в России. В нашем распоряжении имеются сведения по трем оружейным заводам: Ижевскому, Сестрорецкому и Тульскому. По всем трем заводам было заказано станков (до 1 ноября 1915 г.) в России — 402 и за границей — 2481. К 1 ноября 1915 г. получено было 1334 станка, т. е. менее половины заказанных, в том числе 231 изготовлен на Тульском заводе и 127 получено от Московского артсклада</w:t>
      </w:r>
      <w:bookmarkStart w:id="180" w:name="61r"/>
      <w:bookmarkEnd w:id="180"/>
      <w:r w:rsidRPr="00DE096C">
        <w:rPr>
          <w:bCs/>
          <w:color w:val="002060"/>
          <w:sz w:val="16"/>
          <w:szCs w:val="16"/>
        </w:rPr>
        <w:t>. Значительное количество станков стало поступать с июля 1915 г. Это указание Ставки сыграло известную роль в усилении производительности казенных заводов уже во второй половине 1915 г. Что же касается привлечения частной промышленности к производству артиллерийских снарядов, то дело ограничилось лишь указанным ниже совещанием и дальше этого не пошло (18524).</w:t>
      </w:r>
    </w:p>
    <w:p w14:paraId="4A1E75DD" w14:textId="77777777" w:rsidR="00C66CE5" w:rsidRPr="00DE096C" w:rsidRDefault="00C66CE5" w:rsidP="00D45A46">
      <w:pPr>
        <w:pStyle w:val="ae"/>
        <w:spacing w:before="0" w:beforeAutospacing="0" w:after="0" w:afterAutospacing="0"/>
        <w:jc w:val="both"/>
        <w:rPr>
          <w:bCs/>
          <w:color w:val="002060"/>
          <w:sz w:val="16"/>
          <w:szCs w:val="16"/>
        </w:rPr>
      </w:pPr>
    </w:p>
    <w:p w14:paraId="0D9C7E39" w14:textId="77777777" w:rsidR="00B67D7C" w:rsidRPr="00DE096C" w:rsidRDefault="00B67D7C" w:rsidP="00D45A46">
      <w:pPr>
        <w:jc w:val="both"/>
        <w:rPr>
          <w:bCs/>
          <w:i/>
          <w:color w:val="002060"/>
          <w:sz w:val="16"/>
          <w:szCs w:val="16"/>
        </w:rPr>
      </w:pPr>
      <w:r w:rsidRPr="00DE096C">
        <w:rPr>
          <w:bCs/>
          <w:i/>
          <w:color w:val="002060"/>
          <w:sz w:val="16"/>
          <w:szCs w:val="16"/>
        </w:rPr>
        <w:t>Авиация:</w:t>
      </w:r>
    </w:p>
    <w:p w14:paraId="47A30981" w14:textId="77777777" w:rsidR="00B67D7C" w:rsidRPr="00DE096C" w:rsidRDefault="00B67D7C" w:rsidP="00D45A46">
      <w:pPr>
        <w:jc w:val="both"/>
        <w:rPr>
          <w:bCs/>
          <w:i/>
          <w:color w:val="002060"/>
          <w:sz w:val="16"/>
          <w:szCs w:val="16"/>
        </w:rPr>
      </w:pPr>
    </w:p>
    <w:p w14:paraId="54B06790" w14:textId="7FCCA579" w:rsidR="00B67D7C" w:rsidRPr="00DE096C" w:rsidRDefault="00B67D7C" w:rsidP="00D45A46">
      <w:pPr>
        <w:jc w:val="both"/>
        <w:rPr>
          <w:bCs/>
          <w:color w:val="002060"/>
          <w:sz w:val="16"/>
          <w:szCs w:val="16"/>
        </w:rPr>
      </w:pPr>
      <w:r w:rsidRPr="00DE096C">
        <w:rPr>
          <w:bCs/>
          <w:color w:val="002060"/>
          <w:sz w:val="16"/>
          <w:szCs w:val="16"/>
        </w:rPr>
        <w:t xml:space="preserve">18 сентября </w:t>
      </w:r>
      <w:r w:rsidR="006B1820" w:rsidRPr="00DE096C">
        <w:rPr>
          <w:bCs/>
          <w:color w:val="002060"/>
          <w:sz w:val="16"/>
          <w:szCs w:val="16"/>
        </w:rPr>
        <w:t>(1 октября)</w:t>
      </w:r>
      <w:r w:rsidR="006B1820" w:rsidRPr="00DE096C">
        <w:rPr>
          <w:bCs/>
          <w:i/>
          <w:iCs/>
          <w:color w:val="002060"/>
          <w:sz w:val="16"/>
          <w:szCs w:val="16"/>
        </w:rPr>
        <w:t xml:space="preserve"> </w:t>
      </w:r>
      <w:r w:rsidRPr="00DE096C">
        <w:rPr>
          <w:bCs/>
          <w:color w:val="002060"/>
          <w:sz w:val="16"/>
          <w:szCs w:val="16"/>
        </w:rPr>
        <w:t xml:space="preserve">1918 </w:t>
      </w:r>
      <w:r w:rsidR="0091756B" w:rsidRPr="00DE096C">
        <w:rPr>
          <w:bCs/>
          <w:color w:val="002060"/>
          <w:sz w:val="16"/>
          <w:szCs w:val="16"/>
        </w:rPr>
        <w:t xml:space="preserve">г. в донесении начальника Осовецкого крепостного авиаотряда от </w:t>
      </w:r>
      <w:r w:rsidRPr="00DE096C">
        <w:rPr>
          <w:bCs/>
          <w:color w:val="002060"/>
          <w:sz w:val="16"/>
          <w:szCs w:val="16"/>
        </w:rPr>
        <w:t xml:space="preserve">сообщается, что "...рядовой Алексей Литвин-Литвиненко, несмотря на попадание в аэроплан 16 пуль, продолжил фотографирование и этим способствовал выяснению обстановки на фронте Иоганисбург-Бяла-Щучин". Аэрофотосъемка неприятельских позиций для контроля и повышения эффективности артиллерийского огня применялась во время осады крепости Перемышль осенью 1914 г. Об этом докладывал заведующий организацией авиационного дела в армиях Юго-западного фронта Великий князь Александр Михайлович в своем донесении Верховному Главнокомандующему от 28.11.14: "... определенные специальными фотографическими снимками снежного покрова места попадания наших снарядов... выяснили некоторые дефекты в определении целей и расстояний". В осаде Перемышля задействовались объединенные в группу 24-й корпусной и Брест-Литовский авиаотряды во главе с одним из опытнейших военных летчиков поручиком Е. Рудневым. В задачу группы, кроме разведки, входила и бомбардировка крепости. За время осады было сброшено около 50 различных бомб массой от 6 фунтов до 2 пудов 30 фунтов (2,7-46,4 кг). "Особенно энергичная деятельность была развита 18-го ноября... За этот день было совершено 13 полетов, сделано 14 фотоснимков крепости и ее фортов, сброшено 27 бомб общим весом взрывчатки 21 пуд 20 фунтов (353 кг). Бомбы были сброшены с высоты 1700-2200 м..., причем по результатам взрывов во многих местах начались пожары. Все летавшие были отстреляны шрапнелью противника..." С помощью воздушной разведки русское командование следило за всеми действиями осажденного гарнизона, который сдался 5 марта 1915 г. Примером успешного применения авиации может служить работа авиаотрядов 3-й и 8-й армий Юго-западного фронта в Галицийской операции. Ограниченный радиус действия самолетов вынуждал использовать авиацию в основном для решения тактических задач. Однако правильная организация работы авиаотрядов давала материалы и оперативных масштабов: штабы армий обменивались данными воздушной разведки и регулярно информировали штаб фронта о всех важнейших сведениях, собранных летчиками. Когда началось наступление 8-й армии, авиаторы привозили из разведвылетов важные сведения о группировках противника и путях его отхода. Эти данные были подтверждены дальнейшим ходом событий - войска 8-й армии продвигались вперед, не встречая серьезного сопротивления. Не менее успешно действовали авиаотряды 3-й армии, наступавшей на Львов. За период Галицийской битвы с 6 августа по 13 сентября 9-й и 11-й корпусные авиаотряды (КАО) 3-й армии совершили свыше 70 боевых вылетов, а четыре отряда 8-й армии (7-й, 8-й и 12-й корпусные, 3-й полевой) - свыше 100. В этот период хуже обстояли дела у летчики 4-й и 5-й армий. Полетов было мало, а плохая организация воздушной разведки привела к неприятным неожиданностям во время боевых действий. В целом в кампании 1914 г. наиболее высокий уровень работы авиации оказался на Юго-западном фронте. Здесь авиаторы успешно справлялись с поставленными перед ними задачами, и их деятельность часто получала высокую оценку наземного командования. Об этом свидетельствует приказ Главнокомандующего фронтом генерала Н. И. Иванова от 11.01.1915: "Летчики-офицеры и нижние чины, не считаясь с трудностями обстановки, не взирая ни на какую погоду, с честью выполнили свой долг и своими мужественными разведками приносили надлежащую пользу своим корпусам и армиям". Иначе обстояли дела на Северо-Западном фронте. В сентябре здесь решением главкома авиаотряды были изъяты из состава корпусов и сведены в авиационные группы, подчиненные начальникам штабов армий. Однако эта реорганизация оказалась малоэффективной, так как не были созданы органы управления авиагруппами, а ограниченный радиус действия самолетов затруднял их применение в интересах армейского командования. К тому же такая структура не учитывала сложные географические (болотистая и лесная местность) и погодные условия, существовавшие на северо-западе. Собранные на одном аэродроме самолеты каждой группы при плохих метеоусловиях были обречены на бездействие, тогда как в случае рассредоточения по площадкам авиаотрядов имелись бы шансы использовать кратковременные местные улучшения погоды. Исследование динамики убыли и поступления самолетов в целом по Русской армии показывает, что потери аэропланов были значительными и составляли не менее 45,8% за 2 месяца. Большая часть (иногда 90%) этой убыли была вызвана выходом из строя изношенных аэропланов и моторов. Мощностей русских авиазаводов не хватало для восполнения этих потерь - с начала войны до 1 января 1915 г. они отправили в действующую армию 157 самолетов. Причем часто эти машины имели дефекты и забраковывались при сборке в отрядах и ротах. Особые нарекания вызывали самолеты завода Щетинина. Так, монопланы "Ньюпор" имели отрицательный угол установки крыла, что повлекло ряд аварий. Французские самолеты, сделанные на русских авиазаводах, отличались большей массой и низким качеством изготовления по сравнению с импортными "собратьями". Первые месяцы войны выявили и тот факт, что часто высшие военные начальники проявляли полное незнание свойств и возможностей аэропланов. Отсюда - либо отсутствие постановки задач и бездействие авиации, либо постановка перед летчиками нереальных боевых задач. Чтобы избежать таких недоразумений, были изданы подробные указания по использованию нового рода войск. Особую заботу о летчиках проявил главнокомандующий Юго-Западным фронтом, который издал приказ №6 от 12 августа 1914 г.: "Придавая большое значение работе аэропланов и признавая весь риск и трудности выполнения задач летчиками и наблюдателями, приказываю...". Далее шли указания летать не больше одного раза в день на дальность не более 200-230 верст, полеты совершать в утренние часы. Штабному начальству предписывалось не посылать летчиков по мелочам, не злоупотреблять частым направлением аппаратов к линии фронта, давать задачи на поиск крупных соединений противника, не поручать летчикам и наблюдателям разбрасывать прокламации, ибо в случае пленения они не приравниваются к военнопленным и могут быть расстреляны, и т.д. Бичом русской авиации в первые месяцы войны стал безудержный обстрел аппаратов своими войсками, что стало причиной гибели нескольких авиаторов. Например, 13 августа при перелете линии фронта был убит своими войсками военный летчик 25-го КАО поручик Гудим, 27 августа такая же участь постигла при посадке военного летчика 11-го КАО поручика Лемешко и т.д. Другие случаи имели менее трагические последствия. Так, "30 июля 1914г. начальник 7-го корпусного авиаотряда штабс-капитан Степанов вылетел для производства воздушной разведки, пролетая над местечком Ярмолинцы, подвергся обстрелу залпами... получил пробоины в стабилизатор и крыло. Расследование показало... стреляли роты 60-го пехотного Замоского полка". В тот же день летчик того же отряда поручик Сабельников попал в такую же ситуацию. Результат - 4 пробоины. Подобных примеров было много, и это вынудило командование издать приказы, запрещавшие "стрелять по своим и планирующим аппаратам, стрельбу вести только по приказу офицера или при бросании бомб противником". Господам офицерам было приказано изучить знаки своих и неприятельских аэропланов, знать их силуэты. Начальный период войны выявил плохую организацию в снабжении авиационных отрядов и рот бензином, касторовым маслом, запчастями, палатками и другим авиационным имуществом. Самолеты и моторы быстро выходили из строя в суровых полевых условиях, особенно с наступлением ненастной осенней погоды, когда остро сказались нехватка палаток и переносных ангаров, использование для аэродромов малопригодных площадок. Уже после первых месяцев войны многие авиаотряды пришлось отвести в тыл для снабжения аэропланами новых систем и для переучивания летчиков на них. Так, пилоты, летавшие на "Ньюпорах", освоили "Мораны". Широко использовалась для вооружения отрядов отремонтированная трофейная авиатехника. Поставки самолетов и назначения личного состава целиком зависели от штаба авиации, возглавлявшегося Великим князем Александром Михайловичем. Он часто назначал командирами рот и начальниками отрядов офицеров, хорошо писавших отчеты, но мало летавших. В этой ситуации протежируемые отряды снабжались самолетами вне очереди , тогда как части, несшие ответственную и тяжелую работу, оставались без аэропланов. Снабжение самолетами оставалось большой проблемой, которая часто решалась на самом высоком уровне. Так, 31 августа 1914 г. командующий 8-й армией генерал Брусилов бьет челом Великому князю: "Настоящее время лишился совершенно воздушных аппаратов, столь драгоценных для разведок, что ставит управление войсками в крайне трудное положение. ...Покорно прошу Ваше императорское высочество оказать армии величайшую помощь "Фарманами" и "Ньюпорами". Деятельность летчиков в разведке незаменима." Просьба Брусилова была удовлетворена, и армия получила 4 самолета из состава Брест-Литовского крепостного авиаотряда. Однако таких просьб было множество, а дефицит самолетов и моторов стал хронической болезнью русской авиации до конца войны. К началу боевых действий в составе воздушного флота России насчитывался 221 летчик: 170 офицеров, 35 нижних чинов и 16 вольноопределяющихся (добровольцев). На 1 января 1915 г. потери летчиков составили 33 человека или 14,9% от общего состава. Из них 6 погибли от действий неприятеля, 5 - в авариях, 22 попали в плен и пропали без вести. Среди погибших: штабс-капитаны Грузинов, Нестеров, поручики Лемешко, Гудим, старший унтер-офицер Доброшинский и др. Пропали без вести: поручики Николаевский, Шамин, Машерек и др. Ранены или разбились при падении: капитан Витковский, гвардии штабс-капитан Мельницкий, штабс-капитан Мучник, поручики Городецкий, Корнидов, Павлов, доброволец Шпицберг. Некоторые из них, например, летчик-доброволец 16-го КАО Шпицберг, впоследствии скончались в госпитале. В скорбный список боевых потерь одним из первых попал военный летчик начальник 14-го КАО Ефграф Ефграфович Грузинов, </w:t>
      </w:r>
      <w:r w:rsidRPr="00DE096C">
        <w:rPr>
          <w:bCs/>
          <w:color w:val="002060"/>
          <w:sz w:val="16"/>
          <w:szCs w:val="16"/>
        </w:rPr>
        <w:lastRenderedPageBreak/>
        <w:t>смертельно раненный шрапнелью в воздухе во время выполнения боевого задания. 17 августа он вылетел на разведку района Кщонов-Пиляш-Ковице-Быхов-Люблин и обратно не вернулся. Самолет упал на вражеской территории, которую вскоре заняли русские войска. У села Быхово близ Янова были найдены свежая могила и разбитый "Ньюпор". В могиле обнаружили тело Грузинова, вопрос местных жителей и пленных австрийцев дал представление об обстоятельствах его гибели. Выяснилось, что самолет пролетал над австрийскими позициями на высоте 1000-1200 м и был обстрелян сначала пехотой, потом артиллерийской батареей, которая дала три залпа. Два первых цели не достигли. После третьего аппарат дрогнул, перевернулся и, сделав крутой вираж, врезался в землю с работающим мотором. Посмертно высочайшим приказом штабс-капитан Грузинов был награжден орденом Святого Георгия 4-й степени. Состоялись и первые воздушные бои. Таран и героическая гибель 26 августа военного летчика начальника 11-го КАО Петра Николаевича Нестерова открыли новую эпоху борьбы в воздухе. Из вооружения у русских авиаторов имелись только пистолеты "Маузер" и карабины. Хроника тех лет описывает несколько случаев воздушных боев. Так, 28 октября в окрестностях Петроково (под Варшавой) "появился неприятельский аэроплан. Через несколько минут поднялись два наших летчика и после воздушного боя сбросили "Таубе" на землю. Немецкие авиаторы разбились. Неприятельский аэроплан исковеркан". К сожалению, подтверждения этому газетному сообщению не нашлось. А вот воздушный бой и совместные действия с артиллерией, принесшие успех военному летчику Гродненского крепостного авиаотряда поручику Семенову, были подтверждены несколькими донесениями, хранящимися в Военно-историческом архиве. 27 августа Семенов с наблюдателем корнетом Николаевым при перелете через озеро Мейер, что в Восточной Пруссии, заметил неприятельский аэроплан, летевший к Летцену. Обойдя противника с правой стороны, Семенов атаковал его, заставил спуститься ниже и изменить направление полета в район русских позиций, где тот был обстрелян и около озера упал (11237).</w:t>
      </w:r>
    </w:p>
    <w:p w14:paraId="0E81E704" w14:textId="77777777" w:rsidR="00B67D7C" w:rsidRPr="00DE096C" w:rsidRDefault="00B67D7C" w:rsidP="00D45A46">
      <w:pPr>
        <w:jc w:val="both"/>
        <w:rPr>
          <w:bCs/>
          <w:i/>
          <w:color w:val="002060"/>
          <w:sz w:val="16"/>
          <w:szCs w:val="16"/>
        </w:rPr>
      </w:pPr>
    </w:p>
    <w:p w14:paraId="288846EB" w14:textId="7B6B3A08"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18 сентября </w:t>
      </w:r>
      <w:r w:rsidR="006B1820" w:rsidRPr="00DE096C">
        <w:rPr>
          <w:bCs/>
          <w:i w:val="0"/>
          <w:iCs/>
          <w:color w:val="002060"/>
          <w:sz w:val="16"/>
          <w:szCs w:val="16"/>
        </w:rPr>
        <w:t xml:space="preserve">(1 октября) </w:t>
      </w:r>
      <w:r w:rsidRPr="00DE096C">
        <w:rPr>
          <w:bCs/>
          <w:i w:val="0"/>
          <w:color w:val="002060"/>
          <w:spacing w:val="0"/>
          <w:kern w:val="0"/>
          <w:position w:val="0"/>
          <w:sz w:val="16"/>
          <w:szCs w:val="16"/>
        </w:rPr>
        <w:t xml:space="preserve">1914 </w:t>
      </w:r>
      <w:r w:rsidR="0091756B" w:rsidRPr="00DE096C">
        <w:rPr>
          <w:bCs/>
          <w:i w:val="0"/>
          <w:color w:val="002060"/>
          <w:spacing w:val="0"/>
          <w:kern w:val="0"/>
          <w:position w:val="0"/>
          <w:sz w:val="16"/>
          <w:szCs w:val="16"/>
        </w:rPr>
        <w:t xml:space="preserve">г. в донесении начальника Осовецкого крепостного авиаотряда </w:t>
      </w:r>
      <w:r w:rsidRPr="00DE096C">
        <w:rPr>
          <w:bCs/>
          <w:i w:val="0"/>
          <w:color w:val="002060"/>
          <w:spacing w:val="0"/>
          <w:kern w:val="0"/>
          <w:position w:val="0"/>
          <w:sz w:val="16"/>
          <w:szCs w:val="16"/>
        </w:rPr>
        <w:t>сообщается, что "...рядовой Алексей Литвин-Литвиненко, несмотря на попадание в аэроплан 16 пуль, продолжил фотографирование и этим способствовал выяснению обстановки на фронте Иоганисбург-Бяла-Щучин". Аэрофотосъемка неприятельских позиций для контроля и повышения эффективности артиллерийского огня применялась во время осады крепости Перемышль осенью 1914 г. Об этом докладывал заведующий организацией авиационного дела в армиях Юго-западного фронта Великий князь Александр Михайлович в своем донесении Верховному Главнокомандующему от 28.11.14: "... определенные специальными фотографическими снимками снежного покрова места попадания наших снарядов... выяснили некоторые дефекты в определении целей и расстояний" (11278).</w:t>
      </w:r>
    </w:p>
    <w:p w14:paraId="0F155D45" w14:textId="77777777" w:rsidR="00B67D7C" w:rsidRPr="00DE096C" w:rsidRDefault="00B67D7C" w:rsidP="00D45A46">
      <w:pPr>
        <w:pStyle w:val="a3"/>
        <w:jc w:val="both"/>
        <w:rPr>
          <w:bCs/>
          <w:i w:val="0"/>
          <w:color w:val="002060"/>
          <w:spacing w:val="0"/>
          <w:kern w:val="0"/>
          <w:position w:val="0"/>
          <w:sz w:val="16"/>
          <w:szCs w:val="16"/>
        </w:rPr>
      </w:pPr>
    </w:p>
    <w:p w14:paraId="7E69297F" w14:textId="77777777" w:rsidR="0091756B" w:rsidRPr="00DE096C" w:rsidRDefault="0091756B" w:rsidP="00D45A46">
      <w:pPr>
        <w:jc w:val="both"/>
        <w:rPr>
          <w:bCs/>
          <w:i/>
          <w:color w:val="002060"/>
          <w:sz w:val="16"/>
          <w:szCs w:val="16"/>
        </w:rPr>
      </w:pPr>
      <w:r w:rsidRPr="00DE096C">
        <w:rPr>
          <w:bCs/>
          <w:i/>
          <w:color w:val="002060"/>
          <w:sz w:val="16"/>
          <w:szCs w:val="16"/>
        </w:rPr>
        <w:t>Внешняя политика:</w:t>
      </w:r>
    </w:p>
    <w:p w14:paraId="2369EDDE" w14:textId="77777777" w:rsidR="0091756B" w:rsidRPr="00DE096C" w:rsidRDefault="0091756B" w:rsidP="00D45A46">
      <w:pPr>
        <w:jc w:val="both"/>
        <w:rPr>
          <w:bCs/>
          <w:i/>
          <w:color w:val="002060"/>
          <w:sz w:val="16"/>
          <w:szCs w:val="16"/>
        </w:rPr>
      </w:pPr>
    </w:p>
    <w:p w14:paraId="31D71386" w14:textId="77777777" w:rsidR="0091756B" w:rsidRPr="00DE096C" w:rsidRDefault="0091756B" w:rsidP="00D45A46">
      <w:pPr>
        <w:jc w:val="both"/>
        <w:rPr>
          <w:bCs/>
          <w:color w:val="002060"/>
          <w:sz w:val="16"/>
          <w:szCs w:val="16"/>
        </w:rPr>
      </w:pPr>
      <w:r w:rsidRPr="00DE096C">
        <w:rPr>
          <w:bCs/>
          <w:color w:val="002060"/>
          <w:sz w:val="16"/>
          <w:szCs w:val="16"/>
        </w:rPr>
        <w:t>18 сентября (1 октября) в 1914 году в Петрограде Россия и Румыния заключили соглашение о нейтралитете Румынии (14786).</w:t>
      </w:r>
    </w:p>
    <w:p w14:paraId="2314C629" w14:textId="77777777" w:rsidR="0091756B" w:rsidRPr="00DE096C" w:rsidRDefault="0091756B" w:rsidP="00D45A46">
      <w:pPr>
        <w:jc w:val="both"/>
        <w:rPr>
          <w:bCs/>
          <w:color w:val="002060"/>
          <w:sz w:val="16"/>
          <w:szCs w:val="16"/>
        </w:rPr>
      </w:pPr>
    </w:p>
    <w:p w14:paraId="224B521C" w14:textId="352FA3B8" w:rsidR="006B1820" w:rsidRPr="00DE096C" w:rsidRDefault="006B1820" w:rsidP="00D45A46">
      <w:pPr>
        <w:jc w:val="both"/>
        <w:rPr>
          <w:bCs/>
          <w:color w:val="002060"/>
          <w:sz w:val="16"/>
          <w:szCs w:val="16"/>
          <w:lang w:bidi="ru-RU"/>
        </w:rPr>
      </w:pPr>
      <w:r w:rsidRPr="00DE096C">
        <w:rPr>
          <w:bCs/>
          <w:color w:val="002060"/>
          <w:sz w:val="16"/>
          <w:szCs w:val="16"/>
        </w:rPr>
        <w:t>18 сентября (</w:t>
      </w:r>
      <w:r w:rsidRPr="00DE096C">
        <w:rPr>
          <w:bCs/>
          <w:color w:val="002060"/>
          <w:sz w:val="16"/>
          <w:szCs w:val="16"/>
          <w:lang w:bidi="en-US"/>
        </w:rPr>
        <w:t>1 октября) 1914 г. Турция закрыла проливы Дарданеллы и Босфор для всех судов, что отрезало возможность доставки помощи союзников в Россию через Черное море. Тем не менее, тонкая струйка поставок союзников все еще могла достигать России через Салоники в Греции, Ниш в Сербии и через Румынию через реку Дунай. Этот маршрут прекратится в октябре 1915 года, когда силы Центральных держав продвинутся в Сербию (23525).</w:t>
      </w:r>
    </w:p>
    <w:p w14:paraId="3E99C1B5" w14:textId="77777777" w:rsidR="006B1820" w:rsidRPr="00DE096C" w:rsidRDefault="006B1820" w:rsidP="00D45A46">
      <w:pPr>
        <w:jc w:val="both"/>
        <w:rPr>
          <w:bCs/>
          <w:color w:val="002060"/>
          <w:sz w:val="16"/>
          <w:szCs w:val="16"/>
          <w:lang w:bidi="ru-RU"/>
        </w:rPr>
      </w:pPr>
    </w:p>
    <w:p w14:paraId="6F02DB7F" w14:textId="77777777" w:rsidR="0091756B" w:rsidRPr="00DE096C" w:rsidRDefault="0091756B" w:rsidP="00D45A46">
      <w:pPr>
        <w:jc w:val="both"/>
        <w:rPr>
          <w:bCs/>
          <w:i/>
          <w:color w:val="002060"/>
          <w:sz w:val="16"/>
          <w:szCs w:val="16"/>
        </w:rPr>
      </w:pPr>
      <w:r w:rsidRPr="00DE096C">
        <w:rPr>
          <w:bCs/>
          <w:i/>
          <w:color w:val="002060"/>
          <w:sz w:val="16"/>
          <w:szCs w:val="16"/>
        </w:rPr>
        <w:t>За рубежом:</w:t>
      </w:r>
    </w:p>
    <w:p w14:paraId="5BAB97B6" w14:textId="77777777" w:rsidR="0091756B" w:rsidRPr="00DE096C" w:rsidRDefault="0091756B" w:rsidP="00D45A46">
      <w:pPr>
        <w:jc w:val="both"/>
        <w:rPr>
          <w:bCs/>
          <w:color w:val="002060"/>
          <w:sz w:val="16"/>
          <w:szCs w:val="16"/>
        </w:rPr>
      </w:pPr>
    </w:p>
    <w:p w14:paraId="60E815A1" w14:textId="77777777" w:rsidR="0091756B" w:rsidRPr="00DE096C" w:rsidRDefault="0091756B" w:rsidP="00D45A46">
      <w:pPr>
        <w:jc w:val="both"/>
        <w:rPr>
          <w:bCs/>
          <w:color w:val="002060"/>
          <w:sz w:val="16"/>
          <w:szCs w:val="16"/>
        </w:rPr>
      </w:pPr>
      <w:r w:rsidRPr="00DE096C">
        <w:rPr>
          <w:bCs/>
          <w:color w:val="002060"/>
          <w:sz w:val="16"/>
          <w:szCs w:val="16"/>
        </w:rPr>
        <w:t>18 сентября (1 октября) в 1914 году немецкий генерал Пауль фон Гинденбург назначен командующим немецкими силами на Восточном фронте (14786).</w:t>
      </w:r>
    </w:p>
    <w:p w14:paraId="4292ACA3" w14:textId="77777777" w:rsidR="0091756B" w:rsidRPr="00DE096C" w:rsidRDefault="0091756B" w:rsidP="00D45A46">
      <w:pPr>
        <w:jc w:val="both"/>
        <w:rPr>
          <w:bCs/>
          <w:color w:val="002060"/>
          <w:sz w:val="16"/>
          <w:szCs w:val="16"/>
        </w:rPr>
      </w:pPr>
    </w:p>
    <w:p w14:paraId="0FF5B951" w14:textId="77777777" w:rsidR="0091756B" w:rsidRPr="00DE096C" w:rsidRDefault="0091756B" w:rsidP="00D45A46">
      <w:pPr>
        <w:jc w:val="both"/>
        <w:rPr>
          <w:bCs/>
          <w:color w:val="002060"/>
          <w:sz w:val="16"/>
          <w:szCs w:val="16"/>
        </w:rPr>
      </w:pPr>
      <w:r w:rsidRPr="00DE096C">
        <w:rPr>
          <w:bCs/>
          <w:color w:val="002060"/>
          <w:sz w:val="16"/>
          <w:szCs w:val="16"/>
        </w:rPr>
        <w:t>18 сентября (1 октября) в 1914 году Турция закрыла Босфор и Дарданеллы для прохода иностранных судов (14786).</w:t>
      </w:r>
    </w:p>
    <w:p w14:paraId="60D31292" w14:textId="77777777" w:rsidR="0091756B" w:rsidRPr="00DE096C" w:rsidRDefault="0091756B" w:rsidP="00D45A46">
      <w:pPr>
        <w:jc w:val="both"/>
        <w:rPr>
          <w:bCs/>
          <w:color w:val="002060"/>
          <w:sz w:val="16"/>
          <w:szCs w:val="16"/>
        </w:rPr>
      </w:pPr>
    </w:p>
    <w:p w14:paraId="41A7E6E0"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Самолетостроение:</w:t>
      </w:r>
    </w:p>
    <w:p w14:paraId="6150EBCD" w14:textId="77777777" w:rsidR="00B67D7C" w:rsidRPr="00DE096C" w:rsidRDefault="00B67D7C" w:rsidP="00D45A46">
      <w:pPr>
        <w:pStyle w:val="a3"/>
        <w:jc w:val="both"/>
        <w:rPr>
          <w:bCs/>
          <w:color w:val="002060"/>
          <w:spacing w:val="0"/>
          <w:kern w:val="0"/>
          <w:position w:val="0"/>
          <w:sz w:val="16"/>
          <w:szCs w:val="16"/>
        </w:rPr>
      </w:pPr>
    </w:p>
    <w:p w14:paraId="5E3D4BB1" w14:textId="77777777" w:rsidR="00180600" w:rsidRPr="00B52707" w:rsidRDefault="00180600" w:rsidP="00180600">
      <w:pPr>
        <w:jc w:val="both"/>
        <w:rPr>
          <w:color w:val="0070C0"/>
          <w:sz w:val="16"/>
          <w:szCs w:val="16"/>
        </w:rPr>
      </w:pPr>
      <w:r w:rsidRPr="00B52707">
        <w:rPr>
          <w:color w:val="0070C0"/>
          <w:sz w:val="16"/>
          <w:szCs w:val="16"/>
        </w:rPr>
        <w:t>19 сентября (2 октября) 1914 г. после непродолжительных уточнений Шидловский подписал контракт на еще 32 ИМ. Таким образом, к весне 1915 г. русская армия должна была обладать армадой из 42 воздушных кораблей. 10 «муромцев» предлагалось распределить по крепостям - по два на крепостной отряд. Каждый полевой авиаотряд предполагалось оснастить четырьмя «муромцами». Помимо уже формируемых в Лиде, Варшаве и Киеве, Генштаб планировал создать три отряда в Бресте, по одному в Петрограде и Одессе, и еще по одному - в Киеве и Лиде. Для их укомплектования В.А. Сухомлинов распорядился дозаказать еще 32 «муромца» (24965).</w:t>
      </w:r>
    </w:p>
    <w:p w14:paraId="708DB88A" w14:textId="77777777" w:rsidR="00180600" w:rsidRPr="00B52707" w:rsidRDefault="00180600" w:rsidP="00180600">
      <w:pPr>
        <w:jc w:val="both"/>
        <w:rPr>
          <w:color w:val="0070C0"/>
          <w:sz w:val="16"/>
          <w:szCs w:val="16"/>
        </w:rPr>
      </w:pPr>
    </w:p>
    <w:p w14:paraId="65FFA440" w14:textId="77777777" w:rsidR="00857CB4" w:rsidRPr="00DE096C" w:rsidRDefault="00B67D7C" w:rsidP="00D45A46">
      <w:pPr>
        <w:jc w:val="both"/>
        <w:rPr>
          <w:bCs/>
          <w:color w:val="002060"/>
          <w:sz w:val="16"/>
          <w:szCs w:val="16"/>
        </w:rPr>
      </w:pPr>
      <w:r w:rsidRPr="00DE096C">
        <w:rPr>
          <w:bCs/>
          <w:color w:val="002060"/>
          <w:sz w:val="16"/>
          <w:szCs w:val="16"/>
        </w:rPr>
        <w:t>19 сентября (2 октября) 1914</w:t>
      </w:r>
      <w:r w:rsidR="00857CB4" w:rsidRPr="00DE096C">
        <w:rPr>
          <w:bCs/>
          <w:color w:val="002060"/>
          <w:sz w:val="16"/>
          <w:szCs w:val="16"/>
        </w:rPr>
        <w:t xml:space="preserve"> </w:t>
      </w:r>
      <w:r w:rsidRPr="00DE096C">
        <w:rPr>
          <w:bCs/>
          <w:color w:val="002060"/>
          <w:sz w:val="16"/>
          <w:szCs w:val="16"/>
        </w:rPr>
        <w:t xml:space="preserve">г. </w:t>
      </w:r>
      <w:r w:rsidR="00857CB4" w:rsidRPr="00DE096C">
        <w:rPr>
          <w:bCs/>
          <w:color w:val="002060"/>
          <w:sz w:val="16"/>
          <w:szCs w:val="16"/>
        </w:rPr>
        <w:t>согласно предписанию Губернатора, Свиты Его Величества Генерал - Майора за № 22812 на аэроплан с принадлежностями, принадлежащими Александру Александровичу Фальц-Фейну в Симферополе были наложены печати, а предписание по канцеляриии МВД Таврич. Губ. Днепровскому исправнику снять эти печати</w:t>
      </w:r>
      <w:r w:rsidRPr="00DE096C">
        <w:rPr>
          <w:bCs/>
          <w:color w:val="002060"/>
          <w:sz w:val="16"/>
          <w:szCs w:val="16"/>
        </w:rPr>
        <w:t>, чтобы этот аппарат им был продан в мастерские, изготовляющие аэропланы для русских надобностей</w:t>
      </w:r>
      <w:r w:rsidR="00857CB4" w:rsidRPr="00DE096C">
        <w:rPr>
          <w:bCs/>
          <w:color w:val="002060"/>
          <w:sz w:val="16"/>
          <w:szCs w:val="16"/>
        </w:rPr>
        <w:t xml:space="preserve"> вышел только 4 августа 1916 г.</w:t>
      </w:r>
    </w:p>
    <w:p w14:paraId="519A6D5D" w14:textId="77777777" w:rsidR="00B67D7C" w:rsidRPr="00DE096C" w:rsidRDefault="00B67D7C" w:rsidP="00D45A46">
      <w:pPr>
        <w:jc w:val="both"/>
        <w:rPr>
          <w:bCs/>
          <w:i/>
          <w:color w:val="002060"/>
          <w:sz w:val="16"/>
          <w:szCs w:val="16"/>
        </w:rPr>
      </w:pPr>
    </w:p>
    <w:p w14:paraId="2C626B2B"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Авиация:</w:t>
      </w:r>
    </w:p>
    <w:p w14:paraId="56B6170D" w14:textId="77777777" w:rsidR="00B67D7C" w:rsidRPr="00DE096C" w:rsidRDefault="00B67D7C" w:rsidP="00D45A46">
      <w:pPr>
        <w:pStyle w:val="a3"/>
        <w:jc w:val="both"/>
        <w:rPr>
          <w:bCs/>
          <w:color w:val="002060"/>
          <w:spacing w:val="0"/>
          <w:kern w:val="0"/>
          <w:position w:val="0"/>
          <w:sz w:val="16"/>
          <w:szCs w:val="16"/>
        </w:rPr>
      </w:pPr>
    </w:p>
    <w:p w14:paraId="229F4409" w14:textId="622B3262" w:rsidR="00B67D7C" w:rsidRPr="00DE096C" w:rsidRDefault="00B67D7C" w:rsidP="00D45A46">
      <w:pPr>
        <w:jc w:val="both"/>
        <w:rPr>
          <w:bCs/>
          <w:color w:val="002060"/>
          <w:sz w:val="16"/>
          <w:szCs w:val="16"/>
        </w:rPr>
      </w:pPr>
      <w:r w:rsidRPr="00DE096C">
        <w:rPr>
          <w:bCs/>
          <w:color w:val="002060"/>
          <w:sz w:val="16"/>
          <w:szCs w:val="16"/>
        </w:rPr>
        <w:t>19 сентября (</w:t>
      </w:r>
      <w:r w:rsidR="00857CB4" w:rsidRPr="00DE096C">
        <w:rPr>
          <w:bCs/>
          <w:color w:val="002060"/>
          <w:sz w:val="16"/>
          <w:szCs w:val="16"/>
        </w:rPr>
        <w:t>2</w:t>
      </w:r>
      <w:r w:rsidRPr="00DE096C">
        <w:rPr>
          <w:bCs/>
          <w:color w:val="002060"/>
          <w:sz w:val="16"/>
          <w:szCs w:val="16"/>
        </w:rPr>
        <w:t xml:space="preserve"> октября) 1914 г. в Гатчинскую школу прибыло 130 молодых солдат для обучения наземным авиационным специальностям, поскольку в авиационных отрядах и ротах, выполнявших боевую деятельность, стало не до обучения младших авиационных специалистов. Прибывшие были разбиты на 5 рот, и, получив необходимые знания, в том же году отправились на фронт в авиационные части. В конце войны для более целенаправленной и качественной подготовки младших авиационных специалистов для воздушного флота России и разгрузки военной авиационной школы сформировался запасной авиационный батальон двухротного состава, процесс обучения в котором составил полный цикл подготовки младшего авиационного специалиста, начиная от отбора из числа призывников подготовленных кандидатов, их обучения, стажировки и отправки по местам службы (11182).</w:t>
      </w:r>
    </w:p>
    <w:p w14:paraId="5301DFD7" w14:textId="77777777" w:rsidR="00B67D7C" w:rsidRPr="00DE096C" w:rsidRDefault="00B67D7C" w:rsidP="00D45A46">
      <w:pPr>
        <w:jc w:val="both"/>
        <w:rPr>
          <w:bCs/>
          <w:color w:val="002060"/>
          <w:sz w:val="16"/>
          <w:szCs w:val="16"/>
        </w:rPr>
      </w:pPr>
    </w:p>
    <w:p w14:paraId="238E5B12" w14:textId="6E34C2B5" w:rsidR="00264C1D" w:rsidRPr="00DE096C" w:rsidRDefault="00264C1D" w:rsidP="00D45A46">
      <w:pPr>
        <w:jc w:val="both"/>
        <w:rPr>
          <w:bCs/>
          <w:color w:val="002060"/>
          <w:sz w:val="16"/>
          <w:szCs w:val="16"/>
        </w:rPr>
      </w:pPr>
      <w:r w:rsidRPr="00DE096C">
        <w:rPr>
          <w:bCs/>
          <w:color w:val="002060"/>
          <w:sz w:val="16"/>
          <w:szCs w:val="16"/>
        </w:rPr>
        <w:t>19 сентября (2 октября) 1914 г. в Гатчинскую авиашколу прибыло 130 молодых солдат для обучения их авиационным специальностям для всех авиачастей. Прибившие были разбиты на 5 рот.</w:t>
      </w:r>
    </w:p>
    <w:p w14:paraId="2748844D" w14:textId="77777777" w:rsidR="00264C1D" w:rsidRPr="00DE096C" w:rsidRDefault="00264C1D" w:rsidP="00D45A46">
      <w:pPr>
        <w:jc w:val="both"/>
        <w:rPr>
          <w:bCs/>
          <w:color w:val="002060"/>
          <w:sz w:val="16"/>
          <w:szCs w:val="16"/>
        </w:rPr>
      </w:pPr>
      <w:r w:rsidRPr="00DE096C">
        <w:rPr>
          <w:bCs/>
          <w:color w:val="002060"/>
          <w:sz w:val="16"/>
          <w:szCs w:val="16"/>
        </w:rPr>
        <w:t>/ЦГВИА, ф. 2008, д. 568, сведения о деятельности Военной авиашколы/ (23320).</w:t>
      </w:r>
    </w:p>
    <w:p w14:paraId="240851BF" w14:textId="77777777" w:rsidR="00264C1D" w:rsidRPr="00DE096C" w:rsidRDefault="00264C1D" w:rsidP="00D45A46">
      <w:pPr>
        <w:jc w:val="both"/>
        <w:rPr>
          <w:bCs/>
          <w:color w:val="002060"/>
          <w:sz w:val="16"/>
          <w:szCs w:val="16"/>
        </w:rPr>
      </w:pPr>
    </w:p>
    <w:p w14:paraId="427FC339" w14:textId="0F37E16A" w:rsidR="00D4687B" w:rsidRPr="00DE096C" w:rsidRDefault="00D4687B" w:rsidP="00D45A46">
      <w:pPr>
        <w:jc w:val="both"/>
        <w:rPr>
          <w:bCs/>
          <w:color w:val="002060"/>
          <w:sz w:val="16"/>
          <w:szCs w:val="16"/>
        </w:rPr>
      </w:pPr>
      <w:r w:rsidRPr="00DE096C">
        <w:rPr>
          <w:bCs/>
          <w:color w:val="002060"/>
          <w:sz w:val="16"/>
          <w:szCs w:val="16"/>
        </w:rPr>
        <w:t>19 сентября (2 октября) 1914 г. из Одессы выехала на фронт 6-я авиационная рота в составе 5 офицеров,5 военных чиновников и 181 солдата, Обосновавшись в г Львове и оборудовав там авиамастерские, рота приняла на обслуживание все авиаотряды Юго-западного фронта от линии Перемышль- Краков до границы Румынии.</w:t>
      </w:r>
    </w:p>
    <w:p w14:paraId="3A713793" w14:textId="77777777" w:rsidR="00D4687B" w:rsidRPr="00DE096C" w:rsidRDefault="00D4687B" w:rsidP="00D45A46">
      <w:pPr>
        <w:jc w:val="both"/>
        <w:rPr>
          <w:bCs/>
          <w:color w:val="002060"/>
          <w:sz w:val="16"/>
          <w:szCs w:val="16"/>
        </w:rPr>
      </w:pPr>
      <w:r w:rsidRPr="00DE096C">
        <w:rPr>
          <w:bCs/>
          <w:color w:val="002060"/>
          <w:sz w:val="16"/>
          <w:szCs w:val="16"/>
        </w:rPr>
        <w:t>/Рапорт командира роты от 30 октября 1914 г., № 3247/ (23320).</w:t>
      </w:r>
    </w:p>
    <w:p w14:paraId="246DE263" w14:textId="77777777" w:rsidR="00D4687B" w:rsidRPr="00DE096C" w:rsidRDefault="00D4687B" w:rsidP="00D45A46">
      <w:pPr>
        <w:jc w:val="both"/>
        <w:rPr>
          <w:bCs/>
          <w:color w:val="002060"/>
          <w:sz w:val="16"/>
          <w:szCs w:val="16"/>
        </w:rPr>
      </w:pPr>
    </w:p>
    <w:p w14:paraId="396935AE" w14:textId="3891F1B1" w:rsidR="00264C1D" w:rsidRPr="00DE096C" w:rsidRDefault="00264C1D" w:rsidP="00D45A46">
      <w:pPr>
        <w:jc w:val="both"/>
        <w:rPr>
          <w:bCs/>
          <w:color w:val="002060"/>
          <w:sz w:val="16"/>
          <w:szCs w:val="16"/>
        </w:rPr>
      </w:pPr>
      <w:r w:rsidRPr="00DE096C">
        <w:rPr>
          <w:bCs/>
          <w:color w:val="002060"/>
          <w:sz w:val="16"/>
          <w:szCs w:val="16"/>
        </w:rPr>
        <w:t>19 сентября (2 октябоя) 1914 г. в Галиции разбился один из первых летчиков -спортсменов, пра</w:t>
      </w:r>
      <w:r w:rsidRPr="00DE096C">
        <w:rPr>
          <w:bCs/>
          <w:color w:val="002060"/>
          <w:sz w:val="16"/>
          <w:szCs w:val="16"/>
        </w:rPr>
        <w:softHyphen/>
        <w:t>порщик 16-го авиаотряда Евгений Ростиславович Шпицберг /род, 1887/. Шпицберг полетам обучался во Франции,-затем летал в Риге, Варшаве, Харькове, Петербурге. Вслед за Нестеровым он одним из первых начал делать мертвые петли. В начале войны добровольцем убыл на фронт, взяв о собой свой самолет Моран-Ж и своего механика француза Жоржа Приеста, также добровольно поступившего на службу в армию. При поле</w:t>
      </w:r>
      <w:r w:rsidRPr="00DE096C">
        <w:rPr>
          <w:bCs/>
          <w:color w:val="002060"/>
          <w:sz w:val="16"/>
          <w:szCs w:val="16"/>
        </w:rPr>
        <w:softHyphen/>
        <w:t>те на разведку в сильный ветер Шпицберг перевернулся в воздухе и упал, получив смертельные ранения, от которых вскоре умер, а его механик получил тяжелые переломы. Шшицберг посмертно был награждая орденом св. Георгия 4 ст. и произведен в иоднорудчики.</w:t>
      </w:r>
    </w:p>
    <w:p w14:paraId="143D38D8" w14:textId="77777777" w:rsidR="00264C1D" w:rsidRPr="00DE096C" w:rsidRDefault="00264C1D" w:rsidP="00D45A46">
      <w:pPr>
        <w:jc w:val="both"/>
        <w:rPr>
          <w:bCs/>
          <w:color w:val="002060"/>
          <w:sz w:val="16"/>
          <w:szCs w:val="16"/>
        </w:rPr>
      </w:pPr>
      <w:r w:rsidRPr="00DE096C">
        <w:rPr>
          <w:bCs/>
          <w:color w:val="002060"/>
          <w:sz w:val="16"/>
          <w:szCs w:val="16"/>
        </w:rPr>
        <w:t>/ЦГВИА, ф. 2003, оп. 2, д. 782; Утро России за 15 мая 1915/ (23320).</w:t>
      </w:r>
    </w:p>
    <w:p w14:paraId="0BBA67C6" w14:textId="77777777" w:rsidR="00264C1D" w:rsidRPr="00DE096C" w:rsidRDefault="00264C1D" w:rsidP="00D45A46">
      <w:pPr>
        <w:jc w:val="both"/>
        <w:rPr>
          <w:bCs/>
          <w:color w:val="002060"/>
          <w:sz w:val="16"/>
          <w:szCs w:val="16"/>
        </w:rPr>
      </w:pPr>
    </w:p>
    <w:p w14:paraId="185CF2A8" w14:textId="77777777" w:rsidR="00857CB4" w:rsidRPr="00DE096C" w:rsidRDefault="00857CB4" w:rsidP="00D45A46">
      <w:pPr>
        <w:pStyle w:val="a3"/>
        <w:jc w:val="both"/>
        <w:rPr>
          <w:bCs/>
          <w:color w:val="002060"/>
          <w:spacing w:val="0"/>
          <w:kern w:val="0"/>
          <w:position w:val="0"/>
          <w:sz w:val="16"/>
          <w:szCs w:val="16"/>
        </w:rPr>
      </w:pPr>
      <w:r w:rsidRPr="00DE096C">
        <w:rPr>
          <w:bCs/>
          <w:color w:val="002060"/>
          <w:spacing w:val="0"/>
          <w:kern w:val="0"/>
          <w:position w:val="0"/>
          <w:sz w:val="16"/>
          <w:szCs w:val="16"/>
        </w:rPr>
        <w:t>Самолетостроение:</w:t>
      </w:r>
    </w:p>
    <w:p w14:paraId="40D5CF74" w14:textId="77777777" w:rsidR="00857CB4" w:rsidRPr="00DE096C" w:rsidRDefault="00857CB4" w:rsidP="00D45A46">
      <w:pPr>
        <w:pStyle w:val="a3"/>
        <w:jc w:val="both"/>
        <w:rPr>
          <w:bCs/>
          <w:color w:val="002060"/>
          <w:spacing w:val="0"/>
          <w:kern w:val="0"/>
          <w:position w:val="0"/>
          <w:sz w:val="16"/>
          <w:szCs w:val="16"/>
        </w:rPr>
      </w:pPr>
    </w:p>
    <w:p w14:paraId="340E5C91" w14:textId="1C259F76" w:rsidR="00857CB4" w:rsidRPr="00DE096C" w:rsidRDefault="00B83E23" w:rsidP="00D45A46">
      <w:pPr>
        <w:shd w:val="clear" w:color="auto" w:fill="FFFFFF"/>
        <w:jc w:val="both"/>
        <w:rPr>
          <w:bCs/>
          <w:color w:val="002060"/>
          <w:sz w:val="16"/>
          <w:szCs w:val="16"/>
        </w:rPr>
      </w:pPr>
      <w:r w:rsidRPr="00DE096C">
        <w:rPr>
          <w:bCs/>
          <w:color w:val="002060"/>
          <w:sz w:val="16"/>
          <w:szCs w:val="16"/>
        </w:rPr>
        <w:t>20 сентября (3 октября) 1914 г. в</w:t>
      </w:r>
      <w:r w:rsidR="00857CB4" w:rsidRPr="00DE096C">
        <w:rPr>
          <w:bCs/>
          <w:color w:val="002060"/>
          <w:sz w:val="16"/>
          <w:szCs w:val="16"/>
        </w:rPr>
        <w:t>ладелец авиационной фабрики В. В. Слюсаренко обратился в Главное военно-тех</w:t>
      </w:r>
      <w:r w:rsidR="00857CB4" w:rsidRPr="00DE096C">
        <w:rPr>
          <w:bCs/>
          <w:color w:val="002060"/>
          <w:sz w:val="16"/>
          <w:szCs w:val="16"/>
        </w:rPr>
        <w:softHyphen/>
        <w:t>ническое управление с ходатайством о продлении на один месяц срока контракта, зак</w:t>
      </w:r>
      <w:r w:rsidR="00857CB4" w:rsidRPr="00DE096C">
        <w:rPr>
          <w:bCs/>
          <w:color w:val="002060"/>
          <w:sz w:val="16"/>
          <w:szCs w:val="16"/>
        </w:rPr>
        <w:softHyphen/>
        <w:t>люченного им, Слюсаренко, с Управлением 21 марта 1914 г. за № 6703 на поставку аэро</w:t>
      </w:r>
      <w:r w:rsidR="00857CB4" w:rsidRPr="00DE096C">
        <w:rPr>
          <w:bCs/>
          <w:color w:val="002060"/>
          <w:sz w:val="16"/>
          <w:szCs w:val="16"/>
        </w:rPr>
        <w:softHyphen/>
        <w:t>планов и запасных частей к ним. При этом проситель указывает, что задержка в изготов</w:t>
      </w:r>
      <w:r w:rsidR="00857CB4" w:rsidRPr="00DE096C">
        <w:rPr>
          <w:bCs/>
          <w:color w:val="002060"/>
          <w:sz w:val="16"/>
          <w:szCs w:val="16"/>
        </w:rPr>
        <w:softHyphen/>
        <w:t>лении упомянутых предметов произошла вследствие переезда фабрики из г. Риги в г. Петроград, вызванного обстоятельствами военного времени.</w:t>
      </w:r>
    </w:p>
    <w:p w14:paraId="6AC2B738" w14:textId="77777777" w:rsidR="00B83E23" w:rsidRPr="00DE096C" w:rsidRDefault="00B83E23" w:rsidP="00D45A46">
      <w:pPr>
        <w:shd w:val="clear" w:color="auto" w:fill="FFFFFF"/>
        <w:jc w:val="both"/>
        <w:rPr>
          <w:bCs/>
          <w:color w:val="002060"/>
          <w:sz w:val="16"/>
          <w:szCs w:val="16"/>
        </w:rPr>
      </w:pPr>
      <w:r w:rsidRPr="00DE096C">
        <w:rPr>
          <w:bCs/>
          <w:color w:val="002060"/>
          <w:sz w:val="16"/>
          <w:szCs w:val="16"/>
        </w:rPr>
        <w:t>2 октября 1914 г. был подготовлен Доклад ГВТУ Военному совету об отсрочке заводу В. В. Слюсаренко поставки аэропланов № 1488/3565</w:t>
      </w:r>
    </w:p>
    <w:p w14:paraId="4AFBDFC5" w14:textId="77777777" w:rsidR="00B83E23" w:rsidRPr="00DE096C" w:rsidRDefault="00B83E23" w:rsidP="00D45A46">
      <w:pPr>
        <w:shd w:val="clear" w:color="auto" w:fill="FFFFFF"/>
        <w:jc w:val="both"/>
        <w:rPr>
          <w:bCs/>
          <w:color w:val="002060"/>
          <w:sz w:val="16"/>
          <w:szCs w:val="16"/>
        </w:rPr>
      </w:pPr>
      <w:r w:rsidRPr="00DE096C">
        <w:rPr>
          <w:bCs/>
          <w:color w:val="002060"/>
          <w:sz w:val="16"/>
          <w:szCs w:val="16"/>
        </w:rPr>
        <w:t>Секретно</w:t>
      </w:r>
    </w:p>
    <w:p w14:paraId="26020516" w14:textId="77777777" w:rsidR="00857CB4" w:rsidRPr="00DE096C" w:rsidRDefault="00857CB4" w:rsidP="00D45A46">
      <w:pPr>
        <w:shd w:val="clear" w:color="auto" w:fill="FFFFFF"/>
        <w:jc w:val="both"/>
        <w:rPr>
          <w:bCs/>
          <w:color w:val="002060"/>
          <w:sz w:val="16"/>
          <w:szCs w:val="16"/>
        </w:rPr>
      </w:pPr>
      <w:r w:rsidRPr="00DE096C">
        <w:rPr>
          <w:bCs/>
          <w:color w:val="002060"/>
          <w:sz w:val="16"/>
          <w:szCs w:val="16"/>
        </w:rPr>
        <w:t>Из имеющихся в Главном военно-техническом управлении сведений видно, что вла</w:t>
      </w:r>
      <w:r w:rsidRPr="00DE096C">
        <w:rPr>
          <w:bCs/>
          <w:color w:val="002060"/>
          <w:sz w:val="16"/>
          <w:szCs w:val="16"/>
        </w:rPr>
        <w:softHyphen/>
        <w:t>дельцу авиационной фабрики в г. Риге В. В. Слюсаренко по означенному выше контрак</w:t>
      </w:r>
      <w:r w:rsidRPr="00DE096C">
        <w:rPr>
          <w:bCs/>
          <w:color w:val="002060"/>
          <w:sz w:val="16"/>
          <w:szCs w:val="16"/>
        </w:rPr>
        <w:softHyphen/>
        <w:t>ту, заключенному на основании положения Военного совета от 31 декабря 1913 г., было заказано на срок 21 сентября текущего года 14 аэропланов системы Фармана и 10 комп</w:t>
      </w:r>
      <w:r w:rsidRPr="00DE096C">
        <w:rPr>
          <w:bCs/>
          <w:color w:val="002060"/>
          <w:sz w:val="16"/>
          <w:szCs w:val="16"/>
        </w:rPr>
        <w:softHyphen/>
        <w:t>лектов запасных частей к ним. Работы по выполнению этой поставки производились на фабрике Слюсаренко под наблюдением особо командированного офицера и шли впол</w:t>
      </w:r>
      <w:r w:rsidRPr="00DE096C">
        <w:rPr>
          <w:bCs/>
          <w:color w:val="002060"/>
          <w:sz w:val="16"/>
          <w:szCs w:val="16"/>
        </w:rPr>
        <w:softHyphen/>
        <w:t>не успешно, так что уже к первым числам июня был сдан 1 аэроплан и произведено испытание 8 двигателей. С открытием военных действий против Германии фабрика дол</w:t>
      </w:r>
      <w:r w:rsidRPr="00DE096C">
        <w:rPr>
          <w:bCs/>
          <w:color w:val="002060"/>
          <w:sz w:val="16"/>
          <w:szCs w:val="16"/>
        </w:rPr>
        <w:softHyphen/>
        <w:t>жна была временно приостановить свою деятельность, так как из соображений безопас</w:t>
      </w:r>
      <w:r w:rsidRPr="00DE096C">
        <w:rPr>
          <w:bCs/>
          <w:color w:val="002060"/>
          <w:sz w:val="16"/>
          <w:szCs w:val="16"/>
        </w:rPr>
        <w:softHyphen/>
        <w:t xml:space="preserve">ности дальнейшее оставление ее в г. Риге было признано нежелательным, и фабрика была перевезена в г. Петроград, причем были приняты все меры к скорейшему переносу завода. Хотя эта </w:t>
      </w:r>
      <w:r w:rsidRPr="00DE096C">
        <w:rPr>
          <w:bCs/>
          <w:color w:val="002060"/>
          <w:sz w:val="16"/>
          <w:szCs w:val="16"/>
        </w:rPr>
        <w:lastRenderedPageBreak/>
        <w:t>перевозка и устройство фабрики на новом месте и вызвали, помимо расходов, большие затруднения, тем не менее ныне на ней уже полностью установлено производство работ, и В. В. Слюсаренко 20 сентября подано заявление о готовности четырех заказанных по настоящему контракту аэропланов.</w:t>
      </w:r>
    </w:p>
    <w:p w14:paraId="3689F1BD" w14:textId="77777777" w:rsidR="00857CB4" w:rsidRPr="00DE096C" w:rsidRDefault="00857CB4" w:rsidP="00D45A46">
      <w:pPr>
        <w:shd w:val="clear" w:color="auto" w:fill="FFFFFF"/>
        <w:jc w:val="both"/>
        <w:rPr>
          <w:bCs/>
          <w:color w:val="002060"/>
          <w:sz w:val="16"/>
          <w:szCs w:val="16"/>
        </w:rPr>
      </w:pPr>
      <w:r w:rsidRPr="00DE096C">
        <w:rPr>
          <w:bCs/>
          <w:color w:val="002060"/>
          <w:sz w:val="16"/>
          <w:szCs w:val="16"/>
        </w:rPr>
        <w:t>Представляя изложенное на благоусмотрение Военного совета, я, со своей стороны, нахожу, что при наличии указанных выше обстоятельств невыполнение В. В. Слюсарен</w:t>
      </w:r>
      <w:r w:rsidRPr="00DE096C">
        <w:rPr>
          <w:bCs/>
          <w:color w:val="002060"/>
          <w:sz w:val="16"/>
          <w:szCs w:val="16"/>
        </w:rPr>
        <w:softHyphen/>
        <w:t>ко поставки к контрактному сроку не может быть вменено ему в вину и ходатайство его об отсрочке заслуживает удовлетворения.</w:t>
      </w:r>
    </w:p>
    <w:p w14:paraId="650BA3D8" w14:textId="77777777" w:rsidR="00857CB4" w:rsidRPr="00DE096C" w:rsidRDefault="00857CB4" w:rsidP="00D45A46">
      <w:pPr>
        <w:shd w:val="clear" w:color="auto" w:fill="FFFFFF"/>
        <w:jc w:val="both"/>
        <w:rPr>
          <w:bCs/>
          <w:color w:val="002060"/>
          <w:sz w:val="16"/>
          <w:szCs w:val="16"/>
        </w:rPr>
      </w:pPr>
      <w:r w:rsidRPr="00DE096C">
        <w:rPr>
          <w:bCs/>
          <w:color w:val="002060"/>
          <w:sz w:val="16"/>
          <w:szCs w:val="16"/>
        </w:rPr>
        <w:t>Ввиду сего я полагал бы:</w:t>
      </w:r>
    </w:p>
    <w:p w14:paraId="0A997A8D" w14:textId="77777777" w:rsidR="00857CB4" w:rsidRPr="00DE096C" w:rsidRDefault="00857CB4" w:rsidP="00D45A46">
      <w:pPr>
        <w:shd w:val="clear" w:color="auto" w:fill="FFFFFF"/>
        <w:jc w:val="both"/>
        <w:rPr>
          <w:bCs/>
          <w:color w:val="002060"/>
          <w:sz w:val="16"/>
          <w:szCs w:val="16"/>
        </w:rPr>
      </w:pPr>
      <w:r w:rsidRPr="00DE096C">
        <w:rPr>
          <w:bCs/>
          <w:color w:val="002060"/>
          <w:sz w:val="16"/>
          <w:szCs w:val="16"/>
        </w:rPr>
        <w:t>МНЕНИЕ: Предоставить В. В. Слюсаренко по контракту от 21 марта 1914 г. за № 6703 просимую им отсрочку на один месяц, т. е. до 21 октября 1914 года.</w:t>
      </w:r>
    </w:p>
    <w:p w14:paraId="3CFF27F9" w14:textId="07CE5F0C" w:rsidR="00857CB4" w:rsidRPr="00DE096C" w:rsidRDefault="00857CB4" w:rsidP="00D45A46">
      <w:pPr>
        <w:shd w:val="clear" w:color="auto" w:fill="FFFFFF"/>
        <w:jc w:val="both"/>
        <w:rPr>
          <w:bCs/>
          <w:color w:val="002060"/>
          <w:sz w:val="16"/>
          <w:szCs w:val="16"/>
        </w:rPr>
      </w:pPr>
      <w:r w:rsidRPr="00DE096C">
        <w:rPr>
          <w:bCs/>
          <w:color w:val="002060"/>
          <w:sz w:val="16"/>
          <w:szCs w:val="16"/>
        </w:rPr>
        <w:t xml:space="preserve">Приложение: заявление Слюсаренко от </w:t>
      </w:r>
    </w:p>
    <w:p w14:paraId="23AD5081" w14:textId="77777777" w:rsidR="00857CB4" w:rsidRPr="00DE096C" w:rsidRDefault="00857CB4" w:rsidP="00D45A46">
      <w:pPr>
        <w:shd w:val="clear" w:color="auto" w:fill="FFFFFF"/>
        <w:jc w:val="both"/>
        <w:rPr>
          <w:bCs/>
          <w:color w:val="002060"/>
          <w:sz w:val="16"/>
          <w:szCs w:val="16"/>
        </w:rPr>
      </w:pPr>
      <w:r w:rsidRPr="00DE096C">
        <w:rPr>
          <w:bCs/>
          <w:color w:val="002060"/>
          <w:sz w:val="16"/>
          <w:szCs w:val="16"/>
        </w:rPr>
        <w:t>Начальник управления генерал-лейтенант барон Ропп За начальника технического отдела полковник Семковский</w:t>
      </w:r>
    </w:p>
    <w:p w14:paraId="4AF61E8F" w14:textId="77777777" w:rsidR="00857CB4" w:rsidRPr="00DE096C" w:rsidRDefault="00857CB4" w:rsidP="00D45A46">
      <w:pPr>
        <w:shd w:val="clear" w:color="auto" w:fill="FFFFFF"/>
        <w:jc w:val="both"/>
        <w:rPr>
          <w:bCs/>
          <w:color w:val="002060"/>
          <w:sz w:val="16"/>
          <w:szCs w:val="16"/>
        </w:rPr>
      </w:pPr>
      <w:r w:rsidRPr="00DE096C">
        <w:rPr>
          <w:bCs/>
          <w:color w:val="002060"/>
          <w:sz w:val="16"/>
          <w:szCs w:val="16"/>
        </w:rPr>
        <w:t>Помета: «Доложено Военному совету 4 октября 1914 г. Утверждено».</w:t>
      </w:r>
    </w:p>
    <w:p w14:paraId="5EFF288B" w14:textId="77777777" w:rsidR="00857CB4" w:rsidRPr="00DE096C" w:rsidRDefault="00857CB4" w:rsidP="00D45A46">
      <w:pPr>
        <w:shd w:val="clear" w:color="auto" w:fill="FFFFFF"/>
        <w:jc w:val="both"/>
        <w:rPr>
          <w:bCs/>
          <w:color w:val="002060"/>
          <w:sz w:val="16"/>
          <w:szCs w:val="16"/>
        </w:rPr>
      </w:pPr>
      <w:r w:rsidRPr="00DE096C">
        <w:rPr>
          <w:bCs/>
          <w:color w:val="002060"/>
          <w:sz w:val="16"/>
          <w:szCs w:val="16"/>
        </w:rPr>
        <w:t>РГВИА. Ф. 29. Оп. 3. Д. 861. Л. 71-71 об. Подлинник (10707).</w:t>
      </w:r>
    </w:p>
    <w:p w14:paraId="7DC3391B" w14:textId="77777777" w:rsidR="00857CB4" w:rsidRPr="00DE096C" w:rsidRDefault="00857CB4" w:rsidP="00D45A46">
      <w:pPr>
        <w:shd w:val="clear" w:color="auto" w:fill="FFFFFF"/>
        <w:jc w:val="both"/>
        <w:rPr>
          <w:bCs/>
          <w:color w:val="002060"/>
          <w:sz w:val="16"/>
          <w:szCs w:val="16"/>
        </w:rPr>
      </w:pPr>
    </w:p>
    <w:p w14:paraId="26AB0008" w14:textId="77777777" w:rsidR="00B67D7C" w:rsidRPr="00DE096C" w:rsidRDefault="00B67D7C" w:rsidP="00D45A46">
      <w:pPr>
        <w:jc w:val="both"/>
        <w:rPr>
          <w:bCs/>
          <w:i/>
          <w:color w:val="002060"/>
          <w:sz w:val="16"/>
          <w:szCs w:val="16"/>
        </w:rPr>
      </w:pPr>
      <w:r w:rsidRPr="00DE096C">
        <w:rPr>
          <w:bCs/>
          <w:i/>
          <w:color w:val="002060"/>
          <w:sz w:val="16"/>
          <w:szCs w:val="16"/>
        </w:rPr>
        <w:t>Другие оборонные отрасли:</w:t>
      </w:r>
    </w:p>
    <w:p w14:paraId="092CF54C" w14:textId="77777777" w:rsidR="00B67D7C" w:rsidRPr="00DE096C" w:rsidRDefault="00B67D7C" w:rsidP="00D45A46">
      <w:pPr>
        <w:jc w:val="both"/>
        <w:rPr>
          <w:bCs/>
          <w:i/>
          <w:color w:val="002060"/>
          <w:sz w:val="16"/>
          <w:szCs w:val="16"/>
        </w:rPr>
      </w:pPr>
    </w:p>
    <w:p w14:paraId="0270868F" w14:textId="59960C00" w:rsidR="00B67D7C" w:rsidRPr="00DE096C" w:rsidRDefault="00B67D7C" w:rsidP="00D45A46">
      <w:pPr>
        <w:shd w:val="clear" w:color="auto" w:fill="FFFFFF"/>
        <w:jc w:val="both"/>
        <w:rPr>
          <w:bCs/>
          <w:color w:val="002060"/>
          <w:sz w:val="16"/>
          <w:szCs w:val="16"/>
        </w:rPr>
      </w:pPr>
      <w:r w:rsidRPr="00DE096C">
        <w:rPr>
          <w:bCs/>
          <w:color w:val="002060"/>
          <w:sz w:val="16"/>
          <w:szCs w:val="16"/>
        </w:rPr>
        <w:t>20 сентября (3 октября) 1914 г.</w:t>
      </w:r>
      <w:r w:rsidR="00061A49" w:rsidRPr="00DE096C">
        <w:rPr>
          <w:bCs/>
          <w:color w:val="002060"/>
          <w:sz w:val="16"/>
          <w:szCs w:val="16"/>
        </w:rPr>
        <w:t xml:space="preserve"> был отверждено новое положение о ГАУ</w:t>
      </w:r>
      <w:r w:rsidRPr="00DE096C">
        <w:rPr>
          <w:bCs/>
          <w:color w:val="002060"/>
          <w:sz w:val="16"/>
          <w:szCs w:val="16"/>
        </w:rPr>
        <w:t xml:space="preserve">, </w:t>
      </w:r>
      <w:r w:rsidR="00061A49" w:rsidRPr="00DE096C">
        <w:rPr>
          <w:bCs/>
          <w:color w:val="002060"/>
          <w:sz w:val="16"/>
          <w:szCs w:val="16"/>
        </w:rPr>
        <w:t xml:space="preserve">согласно которому </w:t>
      </w:r>
      <w:r w:rsidRPr="00DE096C">
        <w:rPr>
          <w:bCs/>
          <w:color w:val="002060"/>
          <w:sz w:val="16"/>
          <w:szCs w:val="16"/>
        </w:rPr>
        <w:t xml:space="preserve">на службе в ГАУ без вольнонаемных писарей и солдат </w:t>
      </w:r>
      <w:r w:rsidR="00061A49" w:rsidRPr="00DE096C">
        <w:rPr>
          <w:bCs/>
          <w:color w:val="002060"/>
          <w:sz w:val="16"/>
          <w:szCs w:val="16"/>
        </w:rPr>
        <w:t xml:space="preserve">в середине 1915 </w:t>
      </w:r>
      <w:r w:rsidRPr="00DE096C">
        <w:rPr>
          <w:bCs/>
          <w:color w:val="002060"/>
          <w:sz w:val="16"/>
          <w:szCs w:val="16"/>
        </w:rPr>
        <w:t>числилось 980 офицеров и чиновников [4, с. 20, 24]</w:t>
      </w:r>
      <w:r w:rsidR="00061A49" w:rsidRPr="00DE096C">
        <w:rPr>
          <w:bCs/>
          <w:color w:val="002060"/>
          <w:sz w:val="16"/>
          <w:szCs w:val="16"/>
        </w:rPr>
        <w:t xml:space="preserve"> по сравнению с 290 офицеров и чиновников, не считая воль</w:t>
      </w:r>
      <w:r w:rsidR="00061A49" w:rsidRPr="00DE096C">
        <w:rPr>
          <w:bCs/>
          <w:color w:val="002060"/>
          <w:sz w:val="16"/>
          <w:szCs w:val="16"/>
        </w:rPr>
        <w:softHyphen/>
        <w:t>нонаемных писарей и солдат в феврале 1915 г.</w:t>
      </w:r>
    </w:p>
    <w:p w14:paraId="31E6D42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Артиллерийском комитете, ведавшем разработкой систем воору</w:t>
      </w:r>
      <w:r w:rsidRPr="00DE096C">
        <w:rPr>
          <w:bCs/>
          <w:color w:val="002060"/>
          <w:sz w:val="16"/>
          <w:szCs w:val="16"/>
        </w:rPr>
        <w:softHyphen/>
        <w:t>жения и боеприпасов, было создано 7 отделов, в том числе 2-й отдел боеприпасов, 6-й отдел — пороховой, лаборатории и ракетный.</w:t>
      </w:r>
    </w:p>
    <w:p w14:paraId="7F65721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Кроме технической инспекции, появились три отдела техниче</w:t>
      </w:r>
      <w:r w:rsidRPr="00DE096C">
        <w:rPr>
          <w:bCs/>
          <w:color w:val="002060"/>
          <w:sz w:val="16"/>
          <w:szCs w:val="16"/>
        </w:rPr>
        <w:softHyphen/>
        <w:t>ских артиллерийских заведений: 1-й отдел, ведавший оружейными, сталелитейными, патронными, трубочными, машиностроительными заводами, 2-й отдел, ведавший заводами, связанными с производст</w:t>
      </w:r>
      <w:r w:rsidRPr="00DE096C">
        <w:rPr>
          <w:bCs/>
          <w:color w:val="002060"/>
          <w:sz w:val="16"/>
          <w:szCs w:val="16"/>
        </w:rPr>
        <w:softHyphen/>
        <w:t>вом пороха и взрывчатых веществ, и снаряжательными, 3-й отдел — заводами, изготовлявшими материальную часть артиллерии и корпу</w:t>
      </w:r>
      <w:r w:rsidRPr="00DE096C">
        <w:rPr>
          <w:bCs/>
          <w:color w:val="002060"/>
          <w:sz w:val="16"/>
          <w:szCs w:val="16"/>
        </w:rPr>
        <w:softHyphen/>
        <w:t>са снарядов.</w:t>
      </w:r>
    </w:p>
    <w:p w14:paraId="71D8089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При 2-м отделе Арткома продолжала работать Комиссия по при</w:t>
      </w:r>
      <w:r w:rsidRPr="00DE096C">
        <w:rPr>
          <w:bCs/>
          <w:color w:val="002060"/>
          <w:sz w:val="16"/>
          <w:szCs w:val="16"/>
        </w:rPr>
        <w:softHyphen/>
        <w:t>менению взрывчатых веществ.</w:t>
      </w:r>
    </w:p>
    <w:p w14:paraId="07CDA5E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Химический комитет (временный) был подчинен непосредствен</w:t>
      </w:r>
      <w:r w:rsidRPr="00DE096C">
        <w:rPr>
          <w:bCs/>
          <w:color w:val="002060"/>
          <w:sz w:val="16"/>
          <w:szCs w:val="16"/>
        </w:rPr>
        <w:softHyphen/>
        <w:t>но начальнику ГАУ и значительно расширен. В его составе действо</w:t>
      </w:r>
      <w:r w:rsidRPr="00DE096C">
        <w:rPr>
          <w:bCs/>
          <w:color w:val="002060"/>
          <w:sz w:val="16"/>
          <w:szCs w:val="16"/>
        </w:rPr>
        <w:softHyphen/>
        <w:t>вали отделы: 1-й — взрывчатых веществ, 2-й — удушающих средств, 3-й — зажигательных снарядов, 4-й — борьбы с удушающими сред</w:t>
      </w:r>
      <w:r w:rsidRPr="00DE096C">
        <w:rPr>
          <w:bCs/>
          <w:color w:val="002060"/>
          <w:sz w:val="16"/>
          <w:szCs w:val="16"/>
        </w:rPr>
        <w:softHyphen/>
        <w:t>ствами и 5-й — кислотный [4, с. 24].</w:t>
      </w:r>
    </w:p>
    <w:p w14:paraId="77615E4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Когда на фронте начался снарядный «голод», при ГАУ была со</w:t>
      </w:r>
      <w:r w:rsidRPr="00DE096C">
        <w:rPr>
          <w:bCs/>
          <w:color w:val="002060"/>
          <w:sz w:val="16"/>
          <w:szCs w:val="16"/>
        </w:rPr>
        <w:softHyphen/>
        <w:t>здана специальная организация по производству снарядов по фран</w:t>
      </w:r>
      <w:r w:rsidRPr="00DE096C">
        <w:rPr>
          <w:bCs/>
          <w:color w:val="002060"/>
          <w:sz w:val="16"/>
          <w:szCs w:val="16"/>
        </w:rPr>
        <w:softHyphen/>
        <w:t>цузскому образцу под руководством уполномоченного ГАУ генерал-майора С. Н. Ванкова. Работа этой организации подробнее описана ниже. В заключение отметим, что в целом ГАУ было громоздким уп</w:t>
      </w:r>
      <w:r w:rsidRPr="00DE096C">
        <w:rPr>
          <w:bCs/>
          <w:color w:val="002060"/>
          <w:sz w:val="16"/>
          <w:szCs w:val="16"/>
        </w:rPr>
        <w:softHyphen/>
        <w:t>равлением, руководить которым было крайне трудно (5484).</w:t>
      </w:r>
    </w:p>
    <w:p w14:paraId="6D6BF807" w14:textId="77777777" w:rsidR="00B67D7C" w:rsidRPr="00DE096C" w:rsidRDefault="00B67D7C" w:rsidP="00D45A46">
      <w:pPr>
        <w:jc w:val="both"/>
        <w:rPr>
          <w:bCs/>
          <w:color w:val="002060"/>
          <w:sz w:val="16"/>
          <w:szCs w:val="16"/>
        </w:rPr>
      </w:pPr>
    </w:p>
    <w:p w14:paraId="416C518A" w14:textId="77777777" w:rsidR="006B1820" w:rsidRPr="00DE096C" w:rsidRDefault="006B1820" w:rsidP="00D45A46">
      <w:pPr>
        <w:jc w:val="both"/>
        <w:rPr>
          <w:bCs/>
          <w:i/>
          <w:color w:val="002060"/>
          <w:sz w:val="16"/>
          <w:szCs w:val="16"/>
        </w:rPr>
      </w:pPr>
      <w:r w:rsidRPr="00DE096C">
        <w:rPr>
          <w:bCs/>
          <w:i/>
          <w:color w:val="002060"/>
          <w:sz w:val="16"/>
          <w:szCs w:val="16"/>
        </w:rPr>
        <w:t>Армия:</w:t>
      </w:r>
    </w:p>
    <w:p w14:paraId="7380EB87" w14:textId="77777777" w:rsidR="006B1820" w:rsidRPr="00DE096C" w:rsidRDefault="006B1820" w:rsidP="00D45A46">
      <w:pPr>
        <w:jc w:val="both"/>
        <w:rPr>
          <w:bCs/>
          <w:i/>
          <w:color w:val="002060"/>
          <w:sz w:val="16"/>
          <w:szCs w:val="16"/>
        </w:rPr>
      </w:pPr>
    </w:p>
    <w:p w14:paraId="7ED07DD4" w14:textId="18D445AF" w:rsidR="006B1820" w:rsidRPr="00DE096C" w:rsidRDefault="006B1820" w:rsidP="00D45A46">
      <w:pPr>
        <w:jc w:val="both"/>
        <w:rPr>
          <w:bCs/>
          <w:color w:val="002060"/>
          <w:sz w:val="16"/>
          <w:szCs w:val="16"/>
          <w:lang w:bidi="en-US"/>
        </w:rPr>
      </w:pPr>
      <w:r w:rsidRPr="00DE096C">
        <w:rPr>
          <w:bCs/>
          <w:color w:val="002060"/>
          <w:sz w:val="16"/>
          <w:szCs w:val="16"/>
          <w:lang w:bidi="en-US"/>
        </w:rPr>
        <w:t>20 сентября (3 октября) 1914 Г. немецкая 9-я армия и австро-венгерская 1-я армия начали наступление на юго-запад Польши, ставя своей целью Ивангород и Варшаву. К 26-му они были отброшены русскими на линию позади Лодзи и Кельце (23525).</w:t>
      </w:r>
    </w:p>
    <w:p w14:paraId="1F783484" w14:textId="77777777" w:rsidR="006B1820" w:rsidRPr="00DE096C" w:rsidRDefault="006B1820" w:rsidP="00D45A46">
      <w:pPr>
        <w:jc w:val="both"/>
        <w:rPr>
          <w:bCs/>
          <w:color w:val="002060"/>
          <w:sz w:val="16"/>
          <w:szCs w:val="16"/>
        </w:rPr>
      </w:pPr>
    </w:p>
    <w:p w14:paraId="62172425" w14:textId="77777777" w:rsidR="0049776B" w:rsidRPr="00DE096C" w:rsidRDefault="0049776B" w:rsidP="00D45A46">
      <w:pPr>
        <w:jc w:val="both"/>
        <w:rPr>
          <w:bCs/>
          <w:i/>
          <w:color w:val="002060"/>
          <w:sz w:val="16"/>
          <w:szCs w:val="16"/>
        </w:rPr>
      </w:pPr>
      <w:r w:rsidRPr="00DE096C">
        <w:rPr>
          <w:bCs/>
          <w:i/>
          <w:color w:val="002060"/>
          <w:sz w:val="16"/>
          <w:szCs w:val="16"/>
        </w:rPr>
        <w:t>Армия:</w:t>
      </w:r>
    </w:p>
    <w:p w14:paraId="2CD2862B" w14:textId="77777777" w:rsidR="0049776B" w:rsidRPr="00DE096C" w:rsidRDefault="0049776B" w:rsidP="00D45A46">
      <w:pPr>
        <w:jc w:val="both"/>
        <w:rPr>
          <w:bCs/>
          <w:i/>
          <w:color w:val="002060"/>
          <w:sz w:val="16"/>
          <w:szCs w:val="16"/>
        </w:rPr>
      </w:pPr>
    </w:p>
    <w:p w14:paraId="2371FA96" w14:textId="7F1BAFD7" w:rsidR="0049776B" w:rsidRPr="00DE096C" w:rsidRDefault="0049776B" w:rsidP="00D45A46">
      <w:pPr>
        <w:jc w:val="both"/>
        <w:rPr>
          <w:bCs/>
          <w:color w:val="002060"/>
          <w:sz w:val="16"/>
          <w:szCs w:val="16"/>
        </w:rPr>
      </w:pPr>
      <w:r w:rsidRPr="00DE096C">
        <w:rPr>
          <w:bCs/>
          <w:color w:val="002060"/>
          <w:sz w:val="16"/>
          <w:szCs w:val="16"/>
        </w:rPr>
        <w:t xml:space="preserve">21 сентября </w:t>
      </w:r>
      <w:r w:rsidR="00061A49" w:rsidRPr="00DE096C">
        <w:rPr>
          <w:bCs/>
          <w:color w:val="002060"/>
          <w:sz w:val="16"/>
          <w:szCs w:val="16"/>
        </w:rPr>
        <w:t xml:space="preserve">(4 октября) </w:t>
      </w:r>
      <w:r w:rsidRPr="00DE096C">
        <w:rPr>
          <w:bCs/>
          <w:color w:val="002060"/>
          <w:sz w:val="16"/>
          <w:szCs w:val="16"/>
        </w:rPr>
        <w:t>в 1914 году завершается продолжавшаяся месяц Галицийская битва. Войска русского юго-западного фпрнта наносят поражение австро-венгерской армии и овладевают столицей Галиции Львовом. Австрийцы потеряли до 400 тысяч человек, в том числе около 100 тысяч пленными, русские - до 230 тыс. человек, в том числе около 40 тысяч пленными (14776).</w:t>
      </w:r>
    </w:p>
    <w:p w14:paraId="66A71399" w14:textId="77777777" w:rsidR="0049776B" w:rsidRPr="00DE096C" w:rsidRDefault="0049776B" w:rsidP="00D45A46">
      <w:pPr>
        <w:jc w:val="both"/>
        <w:rPr>
          <w:bCs/>
          <w:color w:val="002060"/>
          <w:sz w:val="16"/>
          <w:szCs w:val="16"/>
        </w:rPr>
      </w:pPr>
    </w:p>
    <w:p w14:paraId="32A7BCE2" w14:textId="77777777" w:rsidR="00B67D7C" w:rsidRPr="00DE096C" w:rsidRDefault="00B67D7C" w:rsidP="00D45A46">
      <w:pPr>
        <w:jc w:val="both"/>
        <w:rPr>
          <w:bCs/>
          <w:i/>
          <w:color w:val="002060"/>
          <w:sz w:val="16"/>
          <w:szCs w:val="16"/>
        </w:rPr>
      </w:pPr>
      <w:r w:rsidRPr="00DE096C">
        <w:rPr>
          <w:bCs/>
          <w:i/>
          <w:color w:val="002060"/>
          <w:sz w:val="16"/>
          <w:szCs w:val="16"/>
        </w:rPr>
        <w:t>Самолетостроение:</w:t>
      </w:r>
    </w:p>
    <w:p w14:paraId="6805FDF2" w14:textId="77777777" w:rsidR="00B67D7C" w:rsidRPr="00DE096C" w:rsidRDefault="00B67D7C" w:rsidP="00D45A46">
      <w:pPr>
        <w:jc w:val="both"/>
        <w:rPr>
          <w:bCs/>
          <w:i/>
          <w:color w:val="002060"/>
          <w:sz w:val="16"/>
          <w:szCs w:val="16"/>
        </w:rPr>
      </w:pPr>
    </w:p>
    <w:p w14:paraId="48EC1092" w14:textId="6A75C4BD" w:rsidR="00B67D7C" w:rsidRPr="00DE096C" w:rsidRDefault="00B67D7C" w:rsidP="00D45A46">
      <w:pPr>
        <w:shd w:val="clear" w:color="auto" w:fill="FFFFFF"/>
        <w:jc w:val="both"/>
        <w:rPr>
          <w:bCs/>
          <w:color w:val="002060"/>
          <w:sz w:val="16"/>
          <w:szCs w:val="16"/>
        </w:rPr>
      </w:pPr>
      <w:r w:rsidRPr="00DE096C">
        <w:rPr>
          <w:bCs/>
          <w:color w:val="002060"/>
          <w:sz w:val="16"/>
          <w:szCs w:val="16"/>
        </w:rPr>
        <w:t>22 сентября (5 октября) 1914</w:t>
      </w:r>
      <w:r w:rsidR="00061A49" w:rsidRPr="00DE096C">
        <w:rPr>
          <w:bCs/>
          <w:color w:val="002060"/>
          <w:sz w:val="16"/>
          <w:szCs w:val="16"/>
        </w:rPr>
        <w:t xml:space="preserve"> г. последовал второй контракт на 2 С-10 со 100-сильными "Аргусами"</w:t>
      </w:r>
      <w:r w:rsidRPr="00DE096C">
        <w:rPr>
          <w:bCs/>
          <w:color w:val="002060"/>
          <w:sz w:val="16"/>
          <w:szCs w:val="16"/>
        </w:rPr>
        <w:t>; третий, и последний договор на поставку гидроаэроплана С-10 с двигателем "Аргус" 115 л.с. состоялся 25 февраля 1915 г. Из этих пяти только две машины были в конце концов приняты Морским ведомством, а от прочих отказа</w:t>
      </w:r>
      <w:r w:rsidRPr="00DE096C">
        <w:rPr>
          <w:bCs/>
          <w:color w:val="002060"/>
          <w:sz w:val="16"/>
          <w:szCs w:val="16"/>
        </w:rPr>
        <w:softHyphen/>
        <w:t>лись из-за срыва сроков поставки и невыполнения технических условий (2843).</w:t>
      </w:r>
    </w:p>
    <w:p w14:paraId="23447AD8" w14:textId="2C677546" w:rsidR="00B67D7C" w:rsidRPr="00DE096C" w:rsidRDefault="00B67D7C" w:rsidP="00D45A46">
      <w:pPr>
        <w:shd w:val="clear" w:color="auto" w:fill="FFFFFF"/>
        <w:jc w:val="both"/>
        <w:rPr>
          <w:bCs/>
          <w:color w:val="002060"/>
          <w:sz w:val="16"/>
          <w:szCs w:val="16"/>
        </w:rPr>
      </w:pPr>
    </w:p>
    <w:p w14:paraId="180AC8B0" w14:textId="3B3F8CC7" w:rsidR="00602169" w:rsidRPr="00DE096C" w:rsidRDefault="00602169" w:rsidP="00D45A46">
      <w:pPr>
        <w:shd w:val="clear" w:color="auto" w:fill="FFFFFF"/>
        <w:jc w:val="both"/>
        <w:rPr>
          <w:bCs/>
          <w:i/>
          <w:iCs/>
          <w:color w:val="002060"/>
          <w:sz w:val="16"/>
          <w:szCs w:val="16"/>
        </w:rPr>
      </w:pPr>
      <w:r w:rsidRPr="00DE096C">
        <w:rPr>
          <w:bCs/>
          <w:i/>
          <w:iCs/>
          <w:color w:val="002060"/>
          <w:sz w:val="16"/>
          <w:szCs w:val="16"/>
        </w:rPr>
        <w:t>Армия:</w:t>
      </w:r>
    </w:p>
    <w:p w14:paraId="534842CA" w14:textId="77777777" w:rsidR="00602169" w:rsidRPr="00DE096C" w:rsidRDefault="00602169" w:rsidP="00D45A46">
      <w:pPr>
        <w:shd w:val="clear" w:color="auto" w:fill="FFFFFF"/>
        <w:jc w:val="both"/>
        <w:rPr>
          <w:bCs/>
          <w:i/>
          <w:iCs/>
          <w:color w:val="002060"/>
          <w:sz w:val="16"/>
          <w:szCs w:val="16"/>
        </w:rPr>
      </w:pPr>
    </w:p>
    <w:p w14:paraId="3216471B" w14:textId="316D96BC" w:rsidR="00602169" w:rsidRPr="00DE096C" w:rsidRDefault="00602169" w:rsidP="00D45A46">
      <w:pPr>
        <w:jc w:val="both"/>
        <w:rPr>
          <w:bCs/>
          <w:color w:val="002060"/>
          <w:sz w:val="16"/>
          <w:szCs w:val="16"/>
        </w:rPr>
      </w:pPr>
      <w:r w:rsidRPr="00DE096C">
        <w:rPr>
          <w:bCs/>
          <w:color w:val="002060"/>
          <w:sz w:val="16"/>
          <w:szCs w:val="16"/>
        </w:rPr>
        <w:t>22 сентября (5 октября) 1914 г. Добржанский был назначен командиром 1-й пулеметной автомобильной роты. Формирование роты прошло всего за полтора месяца, и его обеспечила Учебная авторота полковника Секретева. 19 октября 1914 г., после напутствен-ного молебна на Семеновском плацу, рота отправилась на фронт и вошла в оперативное подчинение штаба 2-й армии. 9—10 (21-24) ноября 1914 г. в составе Ловичского отряда генерал-лейтенанта В.А. Слюсаренко в боях под Лодзью первая бронеавтомобильная войсковая часть - 1-я пулеметная автомобильная рота под командой Добржанского приняла боевое крещение рота</w:t>
      </w:r>
    </w:p>
    <w:p w14:paraId="1BB2B31F" w14:textId="543C67D0" w:rsidR="00602169" w:rsidRPr="00DE096C" w:rsidRDefault="00602169" w:rsidP="00D45A46">
      <w:pPr>
        <w:jc w:val="both"/>
        <w:rPr>
          <w:bCs/>
          <w:color w:val="002060"/>
          <w:sz w:val="16"/>
          <w:szCs w:val="16"/>
        </w:rPr>
      </w:pPr>
    </w:p>
    <w:p w14:paraId="15298717"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 и воздухоплавание Франции:</w:t>
      </w:r>
    </w:p>
    <w:p w14:paraId="75302FEE" w14:textId="77777777" w:rsidR="00B67D7C" w:rsidRPr="00DE096C" w:rsidRDefault="00B67D7C" w:rsidP="00D45A46">
      <w:pPr>
        <w:shd w:val="clear" w:color="auto" w:fill="FFFFFF"/>
        <w:jc w:val="both"/>
        <w:rPr>
          <w:bCs/>
          <w:i/>
          <w:color w:val="002060"/>
          <w:sz w:val="16"/>
          <w:szCs w:val="16"/>
        </w:rPr>
      </w:pPr>
    </w:p>
    <w:p w14:paraId="54ABAE9A" w14:textId="3FA4904F" w:rsidR="00B67D7C" w:rsidRPr="00DE096C" w:rsidRDefault="00B67D7C" w:rsidP="00D45A46">
      <w:pPr>
        <w:jc w:val="both"/>
        <w:rPr>
          <w:bCs/>
          <w:color w:val="002060"/>
          <w:sz w:val="16"/>
          <w:szCs w:val="16"/>
        </w:rPr>
      </w:pPr>
      <w:r w:rsidRPr="00DE096C">
        <w:rPr>
          <w:bCs/>
          <w:color w:val="002060"/>
          <w:sz w:val="16"/>
          <w:szCs w:val="16"/>
        </w:rPr>
        <w:t xml:space="preserve">22 сентября (5 октября) 1914 г. </w:t>
      </w:r>
      <w:r w:rsidR="009E4DEF" w:rsidRPr="00DE096C">
        <w:rPr>
          <w:bCs/>
          <w:color w:val="002060"/>
          <w:sz w:val="16"/>
          <w:szCs w:val="16"/>
        </w:rPr>
        <w:t>состоялась п</w:t>
      </w:r>
      <w:r w:rsidRPr="00DE096C">
        <w:rPr>
          <w:bCs/>
          <w:color w:val="002060"/>
          <w:sz w:val="16"/>
          <w:szCs w:val="16"/>
        </w:rPr>
        <w:t>ервая военная победа в воздухе с использованием стрелкового оружия в Первой мировой войне: французский двуместный “Вуазен-3” с пилотом Ж.Францем и наблюдателем Л.Кено сбили германский самолёт “Авиатик”.</w:t>
      </w:r>
    </w:p>
    <w:p w14:paraId="59562E93" w14:textId="77777777" w:rsidR="00B67D7C" w:rsidRPr="00DE096C" w:rsidRDefault="00B67D7C" w:rsidP="00D45A46">
      <w:pPr>
        <w:jc w:val="both"/>
        <w:rPr>
          <w:bCs/>
          <w:color w:val="002060"/>
          <w:sz w:val="16"/>
          <w:szCs w:val="16"/>
        </w:rPr>
      </w:pPr>
    </w:p>
    <w:p w14:paraId="5A459511" w14:textId="489BD1AB" w:rsidR="00B67D7C" w:rsidRPr="00DE096C" w:rsidRDefault="00B67D7C" w:rsidP="00D45A46">
      <w:pPr>
        <w:jc w:val="both"/>
        <w:rPr>
          <w:bCs/>
          <w:color w:val="002060"/>
          <w:sz w:val="16"/>
          <w:szCs w:val="16"/>
        </w:rPr>
      </w:pPr>
      <w:r w:rsidRPr="00DE096C">
        <w:rPr>
          <w:bCs/>
          <w:color w:val="002060"/>
          <w:sz w:val="16"/>
          <w:szCs w:val="16"/>
        </w:rPr>
        <w:t xml:space="preserve">22 сентября (5 октября) 1914 </w:t>
      </w:r>
      <w:r w:rsidR="009E4DEF" w:rsidRPr="00DE096C">
        <w:rPr>
          <w:bCs/>
          <w:color w:val="002060"/>
          <w:sz w:val="16"/>
          <w:szCs w:val="16"/>
        </w:rPr>
        <w:t>г. ф</w:t>
      </w:r>
      <w:r w:rsidRPr="00DE096C">
        <w:rPr>
          <w:bCs/>
          <w:color w:val="002060"/>
          <w:sz w:val="16"/>
          <w:szCs w:val="16"/>
        </w:rPr>
        <w:t>ранцузскому пилоту Йозефу Францу и наблюдателю Луису Кено на "Вуазене-3" тип LA удалось впервые в воздушном бою сбить выстрелами из пулемета Гочкисс германский "Авиатик". Хотя пулемет и заклинило, но первыми же выстрелами наблюдатель попал в пилота. Германский самолет упал на землю. Это был первый зарегистрированный случай, когда самолет противника был сбит в воздушном бою из пулемета (11999).</w:t>
      </w:r>
    </w:p>
    <w:p w14:paraId="3A749AF2" w14:textId="77777777" w:rsidR="00B67D7C" w:rsidRPr="00DE096C" w:rsidRDefault="00B67D7C" w:rsidP="00D45A46">
      <w:pPr>
        <w:jc w:val="both"/>
        <w:rPr>
          <w:bCs/>
          <w:color w:val="002060"/>
          <w:sz w:val="16"/>
          <w:szCs w:val="16"/>
        </w:rPr>
      </w:pPr>
    </w:p>
    <w:p w14:paraId="266913BA" w14:textId="77777777" w:rsidR="0049776B" w:rsidRPr="00DE096C" w:rsidRDefault="0049776B" w:rsidP="00D45A46">
      <w:pPr>
        <w:jc w:val="both"/>
        <w:rPr>
          <w:bCs/>
          <w:color w:val="002060"/>
          <w:sz w:val="16"/>
          <w:szCs w:val="16"/>
        </w:rPr>
      </w:pPr>
      <w:r w:rsidRPr="00DE096C">
        <w:rPr>
          <w:bCs/>
          <w:color w:val="002060"/>
          <w:sz w:val="16"/>
          <w:szCs w:val="16"/>
        </w:rPr>
        <w:t>22 сентября (5 октября) в 1914 году во время 1-й мировой войны произошел первый в мире воздушный бой между германским и французским самолетами. Рано утром французский пилот сержант Жозеф Франц и его механик капрал Кено, летавшие на биплане "Вуазен" в эскадрилье VB-24, заметили летевший на высоте примерно 3,5 тысячи футов германский "Авиатик". Французы тут же бросились в погоню и Кено открыл огонь из пулемета "Гочкис", который они предусмотрительно прихватили с собой в полет. "Авиатик" немедленно сошел с линии огня и попытался скрыться, но это только раззадорило Франца. Немецкий пилот закладывал виражи за виражами, пытаясь отвязаться от настырного врага, но тщетно - Франц считался одним из лучших пилотов эскадрильи. Наконец усилия капрала Кено увенчались успехом - "Авиатик" получил несколько прямых попаданий, потерял управление и упал на небольшую рощицу. Позже французские летчики вспоминали, что когда они приземлились рядом с первым в истории сбитым самолетом, взглядам им предстала следующая картина: "Мотор от удара об землю взорвался, фюзеляж неведомая сила скрутила спиралью, крылья разлетелись на тысячи кусков. Пилот был уже мертв, а механик был еще жив, но его почти раздавило мотором, одежда на нем тлела. Он только взглянул в нашу сторону и умер на наших глазах". Так было положено начало войне в воздухе (14790).</w:t>
      </w:r>
    </w:p>
    <w:p w14:paraId="282689EF" w14:textId="77777777" w:rsidR="0049776B" w:rsidRPr="00DE096C" w:rsidRDefault="0049776B" w:rsidP="00D45A46">
      <w:pPr>
        <w:jc w:val="both"/>
        <w:rPr>
          <w:bCs/>
          <w:color w:val="002060"/>
          <w:sz w:val="16"/>
          <w:szCs w:val="16"/>
        </w:rPr>
      </w:pPr>
    </w:p>
    <w:p w14:paraId="6986549D" w14:textId="55B3933E" w:rsidR="0049776B" w:rsidRPr="00DE096C" w:rsidRDefault="009E4DEF" w:rsidP="00D45A46">
      <w:pPr>
        <w:jc w:val="both"/>
        <w:rPr>
          <w:bCs/>
          <w:color w:val="002060"/>
          <w:sz w:val="16"/>
          <w:szCs w:val="16"/>
        </w:rPr>
      </w:pPr>
      <w:r w:rsidRPr="00DE096C">
        <w:rPr>
          <w:bCs/>
          <w:color w:val="002060"/>
          <w:sz w:val="16"/>
          <w:szCs w:val="16"/>
        </w:rPr>
        <w:t xml:space="preserve">22 сентября </w:t>
      </w:r>
      <w:r w:rsidRPr="00DE096C">
        <w:rPr>
          <w:rStyle w:val="ucoz-forum-post"/>
          <w:rFonts w:eastAsiaTheme="majorEastAsia"/>
          <w:bCs/>
          <w:color w:val="002060"/>
          <w:sz w:val="16"/>
          <w:szCs w:val="16"/>
        </w:rPr>
        <w:t xml:space="preserve">(5 октября) </w:t>
      </w:r>
      <w:r w:rsidR="0049776B" w:rsidRPr="00DE096C">
        <w:rPr>
          <w:rStyle w:val="ucoz-forum-post"/>
          <w:rFonts w:eastAsiaTheme="majorEastAsia"/>
          <w:bCs/>
          <w:color w:val="002060"/>
          <w:sz w:val="16"/>
          <w:szCs w:val="16"/>
        </w:rPr>
        <w:t xml:space="preserve">1914 года </w:t>
      </w:r>
      <w:r w:rsidRPr="00DE096C">
        <w:rPr>
          <w:rStyle w:val="ucoz-forum-post"/>
          <w:rFonts w:eastAsiaTheme="majorEastAsia"/>
          <w:bCs/>
          <w:color w:val="002060"/>
          <w:sz w:val="16"/>
          <w:szCs w:val="16"/>
        </w:rPr>
        <w:t>состоялся п</w:t>
      </w:r>
      <w:r w:rsidR="0049776B" w:rsidRPr="00DE096C">
        <w:rPr>
          <w:rStyle w:val="ucoz-forum-post"/>
          <w:rFonts w:eastAsiaTheme="majorEastAsia"/>
          <w:bCs/>
          <w:color w:val="002060"/>
          <w:sz w:val="16"/>
          <w:szCs w:val="16"/>
        </w:rPr>
        <w:t xml:space="preserve">ервый в мире воздушный бой между французским и немецким самолетами </w:t>
      </w:r>
    </w:p>
    <w:p w14:paraId="6168ED1D" w14:textId="77777777" w:rsidR="0049776B" w:rsidRPr="00DE096C" w:rsidRDefault="0049776B" w:rsidP="00D45A46">
      <w:pPr>
        <w:jc w:val="both"/>
        <w:rPr>
          <w:rStyle w:val="ucoz-forum-post"/>
          <w:rFonts w:eastAsiaTheme="majorEastAsia"/>
          <w:bCs/>
          <w:color w:val="002060"/>
          <w:sz w:val="16"/>
          <w:szCs w:val="16"/>
        </w:rPr>
      </w:pPr>
      <w:r w:rsidRPr="00DE096C">
        <w:rPr>
          <w:rStyle w:val="ucoz-forum-post"/>
          <w:rFonts w:eastAsiaTheme="majorEastAsia"/>
          <w:bCs/>
          <w:color w:val="002060"/>
          <w:sz w:val="16"/>
          <w:szCs w:val="16"/>
        </w:rPr>
        <w:t>Рано утром французский пилот сержант Жозеф Франц и его механик капрал Кено, летавшие на биплане "Вуазен" (тип «L» или «LA») в эскадрилье VB-24, заметили летевший на высоте примерно 3,5 тысячи футов германский "Авиатик" www.airwar.ru/image/idop/other1/aviatikb1/aviatikb1-1.jpg.</w:t>
      </w:r>
    </w:p>
    <w:p w14:paraId="115D68D3" w14:textId="77777777" w:rsidR="0049776B" w:rsidRPr="00DE096C" w:rsidRDefault="0049776B" w:rsidP="00D45A46">
      <w:pPr>
        <w:jc w:val="both"/>
        <w:rPr>
          <w:rStyle w:val="ucoz-forum-post"/>
          <w:rFonts w:eastAsiaTheme="majorEastAsia"/>
          <w:bCs/>
          <w:color w:val="002060"/>
          <w:sz w:val="16"/>
          <w:szCs w:val="16"/>
        </w:rPr>
      </w:pPr>
      <w:r w:rsidRPr="00DE096C">
        <w:rPr>
          <w:rStyle w:val="ucoz-forum-post"/>
          <w:rFonts w:eastAsiaTheme="majorEastAsia"/>
          <w:bCs/>
          <w:color w:val="002060"/>
          <w:sz w:val="16"/>
          <w:szCs w:val="16"/>
        </w:rPr>
        <w:t>Французы тут же бросились в погоню и Кено открыл огонь из пулемета "Гочкис", который они предусмотрительно прихватили с собой в полет. "Авиатик" немедленно сошел с линии огня и попытался скрыться, но это только раззадорило Франца. Немецкий пилот закладывал виражи за виражами, пытаясь отвязаться от настырного врага, но тщетно - Франц считался одним из лучших пилотов эскадрильи. Наконец усилия капрала Кено увенчались успехом - "Авиатик" получил несколько прямых попаданий, потерял управление и упал на небольшую рощицу. Позже французские летчики вспоминали, что когда они приземлились рядом с первым в истории сбитым самолетом, взглядам им предстала следующая картина: "Мотор от удара об землю взорвался, фюзеляж неведомая сила скрутила спиралью, крылья разлетелись на тысячи кусков. Пилот был уже мертв, а механик был еще жив, но его почти раздавило мотором, одежда на нем тлела. Он только взглянул в нашу сторону и умер на наших глазах". Так было положено начало войне в воздухе.</w:t>
      </w:r>
    </w:p>
    <w:p w14:paraId="478B20B9" w14:textId="77777777" w:rsidR="0049776B" w:rsidRPr="00DE096C" w:rsidRDefault="0049776B" w:rsidP="00D45A46">
      <w:pPr>
        <w:jc w:val="both"/>
        <w:rPr>
          <w:rStyle w:val="ucoz-forum-post"/>
          <w:rFonts w:eastAsiaTheme="majorEastAsia"/>
          <w:bCs/>
          <w:color w:val="002060"/>
          <w:sz w:val="16"/>
          <w:szCs w:val="16"/>
        </w:rPr>
      </w:pPr>
      <w:r w:rsidRPr="00DE096C">
        <w:rPr>
          <w:rStyle w:val="ucoz-forum-post"/>
          <w:rFonts w:eastAsiaTheme="majorEastAsia"/>
          <w:bCs/>
          <w:color w:val="002060"/>
          <w:sz w:val="16"/>
          <w:szCs w:val="16"/>
        </w:rPr>
        <w:t>В России были следующие типы самолетов «Вуазен»: тип 1909 г., «Вуазен-Канар» (гидро), разведчики L, LA, LAS, LBS и два пушечных разведчика.</w:t>
      </w:r>
    </w:p>
    <w:p w14:paraId="3F732A48" w14:textId="77777777" w:rsidR="0049776B" w:rsidRPr="00DE096C" w:rsidRDefault="0049776B" w:rsidP="00D45A46">
      <w:pPr>
        <w:jc w:val="both"/>
        <w:rPr>
          <w:rStyle w:val="ucoz-forum-post"/>
          <w:rFonts w:eastAsiaTheme="majorEastAsia"/>
          <w:bCs/>
          <w:color w:val="002060"/>
          <w:sz w:val="16"/>
          <w:szCs w:val="16"/>
        </w:rPr>
      </w:pPr>
      <w:r w:rsidRPr="00DE096C">
        <w:rPr>
          <w:rStyle w:val="ucoz-forum-post"/>
          <w:rFonts w:eastAsiaTheme="majorEastAsia"/>
          <w:bCs/>
          <w:color w:val="002060"/>
          <w:sz w:val="16"/>
          <w:szCs w:val="16"/>
        </w:rPr>
        <w:t>Первая модификация самолетов "Voisin L" и оснащенная ротативным мотором, была построена знаменитыми французскими авиаконструкторами братьями Вуазен в начале 1914 года. В апреле того же года впервые поднялся в воздух "Voisin LA" со звездообразным двигателем водяного охлаждения "Сальмсон" и увеличенным размахом верхнего крыла.</w:t>
      </w:r>
    </w:p>
    <w:p w14:paraId="4029D42A" w14:textId="77777777" w:rsidR="0049776B" w:rsidRPr="00DE096C" w:rsidRDefault="0049776B" w:rsidP="00D45A46">
      <w:pPr>
        <w:jc w:val="both"/>
        <w:rPr>
          <w:rStyle w:val="ucoz-forum-post"/>
          <w:rFonts w:eastAsiaTheme="majorEastAsia"/>
          <w:bCs/>
          <w:color w:val="002060"/>
          <w:sz w:val="16"/>
          <w:szCs w:val="16"/>
        </w:rPr>
      </w:pPr>
      <w:r w:rsidRPr="00DE096C">
        <w:rPr>
          <w:rStyle w:val="ucoz-forum-post"/>
          <w:rFonts w:eastAsiaTheme="majorEastAsia"/>
          <w:bCs/>
          <w:color w:val="002060"/>
          <w:sz w:val="16"/>
          <w:szCs w:val="16"/>
        </w:rPr>
        <w:lastRenderedPageBreak/>
        <w:t>Типы L, LA, LAS и LBS строились на заводах «Дукс», Лебедева, Щетинина и Анатра общим количеством около 400 самолетов и, кроме того, в 1915—1917 гг. их покупали во Франции. Все они, а также оба пушечных варианта были почти одинаковой конструкции. Все основные элементы их крыльев и ферм изготовлялись из стальных труб. Трубы применялись тонкостенные, тянутые, углеродистые, мягкие, с пределом прочности 40 кгс/мм2. Дерево и фанера употреблялись только при изготовлении гондолы и нервюр. Обтяжка — льняное полотно. В целом получалась очень простая, стойкая к атмосферным влияниям и долговечная конструкция, легко ремонтируемая (14790).</w:t>
      </w:r>
    </w:p>
    <w:p w14:paraId="1FBD1817" w14:textId="77777777" w:rsidR="0049776B" w:rsidRPr="00DE096C" w:rsidRDefault="0049776B" w:rsidP="00D45A46">
      <w:pPr>
        <w:jc w:val="both"/>
        <w:rPr>
          <w:rStyle w:val="ucoz-forum-post"/>
          <w:rFonts w:eastAsiaTheme="majorEastAsia"/>
          <w:bCs/>
          <w:color w:val="002060"/>
          <w:sz w:val="16"/>
          <w:szCs w:val="16"/>
        </w:rPr>
      </w:pPr>
    </w:p>
    <w:p w14:paraId="05B91FEC" w14:textId="1F765989" w:rsidR="00DC6A70" w:rsidRPr="00DE096C" w:rsidRDefault="00DC6A70" w:rsidP="00D45A46">
      <w:pPr>
        <w:jc w:val="both"/>
        <w:rPr>
          <w:bCs/>
          <w:color w:val="002060"/>
          <w:sz w:val="16"/>
          <w:szCs w:val="16"/>
        </w:rPr>
      </w:pPr>
      <w:r w:rsidRPr="00DE096C">
        <w:rPr>
          <w:bCs/>
          <w:color w:val="002060"/>
          <w:sz w:val="16"/>
          <w:szCs w:val="16"/>
        </w:rPr>
        <w:t>22 сентября (5 октября) 1914 г. сержант Джозеф Франтц и капрал Луи Quenault французского Escadrille VB24 на Вуазен III стали первыми авиаторами в истории, сбившими другой самолет с пулеметным огнем - немецкий Aviatik b.ii над Jonchery, Реймсс (29337).</w:t>
      </w:r>
    </w:p>
    <w:p w14:paraId="2A0A4A8C" w14:textId="77777777" w:rsidR="00DC6A70" w:rsidRPr="00DE096C" w:rsidRDefault="00DC6A70" w:rsidP="00D45A46">
      <w:pPr>
        <w:jc w:val="both"/>
        <w:rPr>
          <w:bCs/>
          <w:color w:val="002060"/>
          <w:sz w:val="16"/>
          <w:szCs w:val="16"/>
        </w:rPr>
      </w:pPr>
    </w:p>
    <w:p w14:paraId="67DA9DF8" w14:textId="64739395" w:rsidR="00DC6A70" w:rsidRPr="00DE096C" w:rsidRDefault="00DC6A70" w:rsidP="00D45A46">
      <w:pPr>
        <w:jc w:val="both"/>
        <w:rPr>
          <w:bCs/>
          <w:color w:val="002060"/>
          <w:sz w:val="16"/>
          <w:szCs w:val="16"/>
        </w:rPr>
      </w:pPr>
      <w:r w:rsidRPr="00DE096C">
        <w:rPr>
          <w:bCs/>
          <w:color w:val="002060"/>
          <w:sz w:val="16"/>
          <w:szCs w:val="16"/>
        </w:rPr>
        <w:t>22 сентября (5 октября) 1914 г. состоялся первый в мире воздушный бой между французским и немецким самолётами.Рано утром французский пилот сержант Жозеф Франц и его механик капрал Кено, летавшие на биплане "Вуазен" (тип «L» или «LA») в эскадрилье VB-24, заметили летевший на высоте примерно 3,5 тысячи футов германский "Авиатик". Французы тут же бросились в погоню и Кено открыл огонь из пулемёта "Гочкис", который они предусмотрительно прихватили с собой в полёт. "Авиатик" немедленно сошёл с линии огня и попытался скрыться, но это только раззадорило Франца. Немецкий пилот закладывал виражи за виражами, пытаясь отвязаться от настырного врага, но тщетно - Франц считался одним из лучших пилотов эскадрильи. Наконец усилия капрала Кено увенчались успехом - "Авиатик" получил несколько прямых попаданий, потерял управление и упал на небольшую рощицу. Позже французские лётчики вспоминали, что когда они приземлились рядом с первым в истории сбитым самолётом, взглядам им предстала следующая картина: "Мотор от удара об землю взорвался, фюзеляж неведомая сила скрутила спиралью, крылья разлетелись на тысячи кусков. Пилот был уже мертв, а механик был ещё жив, но его почти раздавило мотором, одежда на нём тлела. Он только взглянул в нашу сторону и умер на наших глазах". Так было положено начало войне в воздухе (22346).</w:t>
      </w:r>
    </w:p>
    <w:p w14:paraId="48EB2D60" w14:textId="77777777" w:rsidR="00DC6A70" w:rsidRPr="00DE096C" w:rsidRDefault="00DC6A70" w:rsidP="00D45A46">
      <w:pPr>
        <w:jc w:val="both"/>
        <w:rPr>
          <w:bCs/>
          <w:color w:val="002060"/>
          <w:sz w:val="16"/>
          <w:szCs w:val="16"/>
        </w:rPr>
      </w:pPr>
    </w:p>
    <w:p w14:paraId="3D798BB9" w14:textId="77777777" w:rsidR="00180600" w:rsidRPr="00B52707" w:rsidRDefault="00180600" w:rsidP="00180600">
      <w:pPr>
        <w:jc w:val="both"/>
        <w:rPr>
          <w:color w:val="0070C0"/>
          <w:sz w:val="16"/>
          <w:szCs w:val="16"/>
        </w:rPr>
      </w:pPr>
      <w:r w:rsidRPr="00B52707">
        <w:rPr>
          <w:color w:val="0070C0"/>
          <w:sz w:val="16"/>
          <w:szCs w:val="16"/>
        </w:rPr>
        <w:t>22 сентября (5 октября) 1914 года в районе Реймса самолет Voisin L № 89 из состава эскадрильи V 24, с экипажем из летчика сержанта Жозефа Франца и механика Луи Кено (Louis Quenault) в качестве стрелка-наблюдателя пересек маршрут биплана Aviatik B (n°B 14/114) из состава 18-го полевого авиаотряда (Feld Flieger Abteilung 18; FFA 18) с экипажем из пилота унтер-офицера Вильгельма Шлихтинга (Wilhelm Schlichting) и наблюдателя обер-лейтенанта Фрица фон Цангена (Fritz von Zangen).</w:t>
      </w:r>
    </w:p>
    <w:p w14:paraId="7AF1FD96" w14:textId="77777777" w:rsidR="00180600" w:rsidRPr="00B52707" w:rsidRDefault="00180600" w:rsidP="00180600">
      <w:pPr>
        <w:jc w:val="both"/>
        <w:rPr>
          <w:color w:val="0070C0"/>
          <w:sz w:val="16"/>
          <w:szCs w:val="16"/>
        </w:rPr>
      </w:pPr>
      <w:r w:rsidRPr="00B52707">
        <w:rPr>
          <w:color w:val="0070C0"/>
          <w:sz w:val="16"/>
          <w:szCs w:val="16"/>
        </w:rPr>
        <w:t>Французский самолет был оснащен пулеметом Hotchkiss, установленным на треноге по инициативе командира эскадрильи, капитана Андре Фора (André Faure), который был недоволен тем, что несколько самолетов его подразделения были подбиты немецким огнем во время предыдущих разведывательных вылетов, и капитан Фор решил соответствующим образом вооружить своих людей. Он пользовался благосклонным покровительством авиастроителя Габриэля Вуазена, который подделал заказ на закупку шести пулеметов Hotchkiss у производящей эти пулеметы компании. Затем по приказу Андре Фора были изготовлены специальные треноги; на каждом из самолетов тренога была установлена над сиденьем пилота, размещенного впереди, а на саму треногу был установлен пулеметы, управлял которым наблюдатель, сидевший в кабине сзади. Капитану Фору пришлось бороться со своим начальством, чтобы защитить эту установку, которая была полностью его собственной инициативой. Подполковник Гантер (Ganter), командующий авиацией 5-й французской армии, к которой была прикреплена эскадрилья V-24, возразил, что один самолет никогда не собьет другой в воздушном бою, и что идея капитана Фора – это «Жюль Верн в чистом виде».</w:t>
      </w:r>
    </w:p>
    <w:p w14:paraId="309A6B57" w14:textId="77777777" w:rsidR="00180600" w:rsidRPr="00B52707" w:rsidRDefault="00180600" w:rsidP="00180600">
      <w:pPr>
        <w:jc w:val="both"/>
        <w:rPr>
          <w:color w:val="0070C0"/>
          <w:sz w:val="16"/>
          <w:szCs w:val="16"/>
        </w:rPr>
      </w:pPr>
      <w:r w:rsidRPr="00B52707">
        <w:rPr>
          <w:color w:val="0070C0"/>
          <w:sz w:val="16"/>
          <w:szCs w:val="16"/>
        </w:rPr>
        <w:t>Французский экипаж, который 5 октября который находится в более выгодном положении по сравнению с немецким самолетом, придерживался иного мнения. Франц немедленно атаковал противника, и с очень близкого расстояния Кено смог выпустить два магазина из своего пулемета Hotchkiss, прежде чем пулемет заклинило на 47-м патроне. Поврежденный Aviatik резко взмыл ввысь, и Франц едва избежал столкновения: вражеский самолет рухнул и разбился, его экипаж погиб в коммуне Жоншери-Сюр-Вель к западу от Реймса, на французской стороне примерно в двадцати километрах от линии фронта.</w:t>
      </w:r>
    </w:p>
    <w:p w14:paraId="2F14A839" w14:textId="77777777" w:rsidR="00180600" w:rsidRPr="00B52707" w:rsidRDefault="00180600" w:rsidP="00180600">
      <w:pPr>
        <w:jc w:val="both"/>
        <w:rPr>
          <w:color w:val="0070C0"/>
          <w:sz w:val="16"/>
          <w:szCs w:val="16"/>
        </w:rPr>
      </w:pPr>
      <w:r w:rsidRPr="00B52707">
        <w:rPr>
          <w:color w:val="0070C0"/>
          <w:sz w:val="16"/>
          <w:szCs w:val="16"/>
        </w:rPr>
        <w:t>Сражение происходило на глазах у сотен французских солдат, находившихся в тылу, и даже на глазах командующего 5-й французской армии генерала Луи Франше д’Эспере (Franchet d’Esperey). Генерал вместе со своим штабом поспешил на место происшествия, чтобы поздравить экипаж, который приземлился рядом со своей добычей и уже был окружен толпой гражданских и военных, присутствовавших на месте происшествия.</w:t>
      </w:r>
    </w:p>
    <w:p w14:paraId="46864E5A" w14:textId="77777777" w:rsidR="00180600" w:rsidRPr="00B52707" w:rsidRDefault="00180600" w:rsidP="00180600">
      <w:pPr>
        <w:jc w:val="both"/>
        <w:rPr>
          <w:color w:val="0070C0"/>
          <w:sz w:val="16"/>
          <w:szCs w:val="16"/>
        </w:rPr>
      </w:pPr>
      <w:r w:rsidRPr="00B52707">
        <w:rPr>
          <w:color w:val="0070C0"/>
          <w:sz w:val="16"/>
          <w:szCs w:val="16"/>
        </w:rPr>
        <w:t>Воздушная победа была неоспорима и официально признана за Францем и Кено, которые за свой подвиг были награждены орденом Почетного легиона и Военной медалью соответственно. Через несколько дней после боя французская пресса рассказала об этом событии, представленном как эпическое воздушное сражение. Таким образом, два французских летчика вошли в историю как первые победители в воздушном бою, положив начало истребительной авиации – специальности, которая зародилась благодаря импровизации.</w:t>
      </w:r>
    </w:p>
    <w:p w14:paraId="29789CA7" w14:textId="77777777" w:rsidR="00180600" w:rsidRPr="00B52707" w:rsidRDefault="00180600" w:rsidP="00180600">
      <w:pPr>
        <w:jc w:val="both"/>
        <w:rPr>
          <w:color w:val="0070C0"/>
          <w:sz w:val="16"/>
          <w:szCs w:val="16"/>
        </w:rPr>
      </w:pPr>
      <w:r w:rsidRPr="00B52707">
        <w:rPr>
          <w:color w:val="0070C0"/>
          <w:sz w:val="16"/>
          <w:szCs w:val="16"/>
        </w:rPr>
        <w:t>Согласно общепринятой исторической точке зрения, первая официальная воздушная победа (25741).</w:t>
      </w:r>
    </w:p>
    <w:p w14:paraId="131E70DD" w14:textId="77777777" w:rsidR="00180600" w:rsidRPr="00B52707" w:rsidRDefault="00180600" w:rsidP="00180600">
      <w:pPr>
        <w:jc w:val="both"/>
        <w:rPr>
          <w:color w:val="0070C0"/>
          <w:sz w:val="16"/>
          <w:szCs w:val="16"/>
        </w:rPr>
      </w:pPr>
    </w:p>
    <w:p w14:paraId="3451F31D" w14:textId="77777777" w:rsidR="00B67D7C" w:rsidRPr="00DE096C" w:rsidRDefault="00B67D7C" w:rsidP="00D45A46">
      <w:pPr>
        <w:jc w:val="both"/>
        <w:rPr>
          <w:bCs/>
          <w:i/>
          <w:color w:val="002060"/>
          <w:sz w:val="16"/>
          <w:szCs w:val="16"/>
        </w:rPr>
      </w:pPr>
      <w:r w:rsidRPr="00DE096C">
        <w:rPr>
          <w:bCs/>
          <w:i/>
          <w:color w:val="002060"/>
          <w:sz w:val="16"/>
          <w:szCs w:val="16"/>
        </w:rPr>
        <w:t>Самолетостроение:</w:t>
      </w:r>
    </w:p>
    <w:p w14:paraId="46E86152" w14:textId="77777777" w:rsidR="00B67D7C" w:rsidRPr="00DE096C" w:rsidRDefault="00B67D7C" w:rsidP="00D45A46">
      <w:pPr>
        <w:jc w:val="both"/>
        <w:rPr>
          <w:bCs/>
          <w:i/>
          <w:color w:val="002060"/>
          <w:sz w:val="16"/>
          <w:szCs w:val="16"/>
        </w:rPr>
      </w:pPr>
    </w:p>
    <w:p w14:paraId="5BEA730F" w14:textId="5D05B329"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23 сентября (6 октября) 1914 г. </w:t>
      </w:r>
      <w:r w:rsidR="00D91602" w:rsidRPr="00DE096C">
        <w:rPr>
          <w:bCs/>
          <w:color w:val="002060"/>
          <w:sz w:val="16"/>
          <w:szCs w:val="16"/>
        </w:rPr>
        <w:t xml:space="preserve">Балтийский </w:t>
      </w:r>
      <w:r w:rsidRPr="00DE096C">
        <w:rPr>
          <w:bCs/>
          <w:color w:val="002060"/>
          <w:sz w:val="16"/>
          <w:szCs w:val="16"/>
        </w:rPr>
        <w:t>завод высказал согласие строить аппарат Гаккеля на условиях, при</w:t>
      </w:r>
      <w:r w:rsidRPr="00DE096C">
        <w:rPr>
          <w:bCs/>
          <w:color w:val="002060"/>
          <w:sz w:val="16"/>
          <w:szCs w:val="16"/>
        </w:rPr>
        <w:softHyphen/>
        <w:t>нятых при постройке судов для флота, т. е. не беря на себя риск всех проектных и опытных работ. Это послужило началом довольно долгих переговоров, которые к первым числам но</w:t>
      </w:r>
      <w:r w:rsidRPr="00DE096C">
        <w:rPr>
          <w:bCs/>
          <w:color w:val="002060"/>
          <w:sz w:val="16"/>
          <w:szCs w:val="16"/>
        </w:rPr>
        <w:softHyphen/>
        <w:t>ября деградировали до уровня порочного замкнутого круга, когда производитель брался со</w:t>
      </w:r>
      <w:r w:rsidRPr="00DE096C">
        <w:rPr>
          <w:bCs/>
          <w:color w:val="002060"/>
          <w:sz w:val="16"/>
          <w:szCs w:val="16"/>
        </w:rPr>
        <w:softHyphen/>
        <w:t>бирать гидроплан лишь при наличии детальных чертежей, конструктор мог сделать черте</w:t>
      </w:r>
      <w:r w:rsidRPr="00DE096C">
        <w:rPr>
          <w:bCs/>
          <w:color w:val="002060"/>
          <w:sz w:val="16"/>
          <w:szCs w:val="16"/>
        </w:rPr>
        <w:softHyphen/>
        <w:t>жи, лишь получив наряд, а заказчик ставил подписание контракта в зависимость от готов</w:t>
      </w:r>
      <w:r w:rsidRPr="00DE096C">
        <w:rPr>
          <w:bCs/>
          <w:color w:val="002060"/>
          <w:sz w:val="16"/>
          <w:szCs w:val="16"/>
        </w:rPr>
        <w:softHyphen/>
        <w:t>ности тех же самых чертежей. Никто не пошел на уступки и выход из тупика так и не был найден; возможно, этот проект Гаккеля оказался последним из всех, разрабатывавших</w:t>
      </w:r>
      <w:r w:rsidRPr="00DE096C">
        <w:rPr>
          <w:bCs/>
          <w:color w:val="002060"/>
          <w:sz w:val="16"/>
          <w:szCs w:val="16"/>
        </w:rPr>
        <w:softHyphen/>
        <w:t>ся Воздухоплавательным отделом Балтийского завода (2843).</w:t>
      </w:r>
    </w:p>
    <w:p w14:paraId="4C4CF258" w14:textId="77777777" w:rsidR="00B67D7C" w:rsidRPr="00DE096C" w:rsidRDefault="00B67D7C" w:rsidP="00D45A46">
      <w:pPr>
        <w:shd w:val="clear" w:color="auto" w:fill="FFFFFF"/>
        <w:jc w:val="both"/>
        <w:rPr>
          <w:bCs/>
          <w:color w:val="002060"/>
          <w:sz w:val="16"/>
          <w:szCs w:val="16"/>
        </w:rPr>
      </w:pPr>
    </w:p>
    <w:p w14:paraId="3EFA0963" w14:textId="091050DC" w:rsidR="00FF58FD" w:rsidRPr="00DE096C" w:rsidRDefault="00FF58FD" w:rsidP="00D45A46">
      <w:pPr>
        <w:jc w:val="both"/>
        <w:rPr>
          <w:bCs/>
          <w:color w:val="002060"/>
          <w:sz w:val="16"/>
          <w:szCs w:val="16"/>
        </w:rPr>
      </w:pPr>
      <w:r w:rsidRPr="00DE096C">
        <w:rPr>
          <w:bCs/>
          <w:color w:val="002060"/>
          <w:sz w:val="16"/>
          <w:szCs w:val="16"/>
        </w:rPr>
        <w:t xml:space="preserve">23 сентября </w:t>
      </w:r>
      <w:r w:rsidR="00D91602" w:rsidRPr="00DE096C">
        <w:rPr>
          <w:bCs/>
          <w:color w:val="002060"/>
          <w:sz w:val="16"/>
          <w:szCs w:val="16"/>
        </w:rPr>
        <w:t xml:space="preserve">(6 октября) </w:t>
      </w:r>
      <w:r w:rsidRPr="00DE096C">
        <w:rPr>
          <w:bCs/>
          <w:color w:val="002060"/>
          <w:sz w:val="16"/>
          <w:szCs w:val="16"/>
        </w:rPr>
        <w:t>1914 г. Балтийский завод высказал согласие строить аппарат Гаккеля на условиях, принятых при постройке судов для флота, т. е. не беря на себя риск всех проектных и опытных работ. Это послужило началом довольно долгих переговоров, которые к первым числам ноября деградировали до уровня порочного замкнутого круга, когда производи</w:t>
      </w:r>
      <w:r w:rsidRPr="00DE096C">
        <w:rPr>
          <w:bCs/>
          <w:color w:val="002060"/>
          <w:sz w:val="16"/>
          <w:szCs w:val="16"/>
        </w:rPr>
        <w:softHyphen/>
        <w:t>тель брался собирать гидроплан лишь при наличии детальных чертежей, конструктор мог сделать чертежи, лишь получив наряд, а заказчик ставил подписание контракта в зави</w:t>
      </w:r>
      <w:r w:rsidRPr="00DE096C">
        <w:rPr>
          <w:bCs/>
          <w:color w:val="002060"/>
          <w:sz w:val="16"/>
          <w:szCs w:val="16"/>
        </w:rPr>
        <w:softHyphen/>
        <w:t>симость от готовности тех же самых чертежей. Никто не пошел на уступки и выход из ту</w:t>
      </w:r>
      <w:r w:rsidRPr="00DE096C">
        <w:rPr>
          <w:bCs/>
          <w:color w:val="002060"/>
          <w:sz w:val="16"/>
          <w:szCs w:val="16"/>
        </w:rPr>
        <w:softHyphen/>
        <w:t>пика так и не был найден; возможно, этот проект Гаккеля оказался последним из всех, разрабатывавшихся Воздухоплавательным отделом Балтийского завода» (15782).</w:t>
      </w:r>
    </w:p>
    <w:tbl>
      <w:tblPr>
        <w:tblW w:w="0" w:type="auto"/>
        <w:tblLayout w:type="fixed"/>
        <w:tblCellMar>
          <w:left w:w="10" w:type="dxa"/>
          <w:right w:w="10" w:type="dxa"/>
        </w:tblCellMar>
        <w:tblLook w:val="04A0" w:firstRow="1" w:lastRow="0" w:firstColumn="1" w:lastColumn="0" w:noHBand="0" w:noVBand="1"/>
      </w:tblPr>
      <w:tblGrid>
        <w:gridCol w:w="3312"/>
        <w:gridCol w:w="4718"/>
      </w:tblGrid>
      <w:tr w:rsidR="00FF58FD" w:rsidRPr="00DE096C" w14:paraId="52BCEDE9" w14:textId="77777777" w:rsidTr="00FA616C">
        <w:trPr>
          <w:trHeight w:val="302"/>
        </w:trPr>
        <w:tc>
          <w:tcPr>
            <w:tcW w:w="8030" w:type="dxa"/>
            <w:gridSpan w:val="2"/>
            <w:tcBorders>
              <w:top w:val="single" w:sz="4" w:space="0" w:color="auto"/>
              <w:left w:val="single" w:sz="4" w:space="0" w:color="auto"/>
              <w:bottom w:val="single" w:sz="4" w:space="0" w:color="auto"/>
              <w:right w:val="single" w:sz="4" w:space="0" w:color="auto"/>
            </w:tcBorders>
            <w:shd w:val="clear" w:color="auto" w:fill="FFFFFF"/>
          </w:tcPr>
          <w:p w14:paraId="1946F8A1" w14:textId="77777777" w:rsidR="00FF58FD" w:rsidRPr="00DE096C" w:rsidRDefault="00FF58FD" w:rsidP="00D45A46">
            <w:pPr>
              <w:pStyle w:val="33"/>
              <w:shd w:val="clear" w:color="auto" w:fill="auto"/>
              <w:spacing w:line="240" w:lineRule="auto"/>
              <w:jc w:val="both"/>
              <w:rPr>
                <w:bCs/>
                <w:color w:val="002060"/>
                <w:sz w:val="16"/>
                <w:szCs w:val="16"/>
              </w:rPr>
            </w:pPr>
            <w:r w:rsidRPr="00DE096C">
              <w:rPr>
                <w:bCs/>
                <w:color w:val="002060"/>
                <w:sz w:val="16"/>
                <w:szCs w:val="16"/>
              </w:rPr>
              <w:t>ХАРАКТЕРИСТИКИ ЛЕТАЮЩЕЙ ЛОДКИ Я.М. ГАККЕЛЯ</w:t>
            </w:r>
          </w:p>
        </w:tc>
      </w:tr>
      <w:tr w:rsidR="00FF58FD" w:rsidRPr="00DE096C" w14:paraId="728BF4B2" w14:textId="77777777" w:rsidTr="00FA616C">
        <w:trPr>
          <w:trHeight w:val="288"/>
        </w:trPr>
        <w:tc>
          <w:tcPr>
            <w:tcW w:w="3312" w:type="dxa"/>
            <w:tcBorders>
              <w:top w:val="single" w:sz="4" w:space="0" w:color="auto"/>
              <w:left w:val="single" w:sz="4" w:space="0" w:color="auto"/>
              <w:bottom w:val="single" w:sz="4" w:space="0" w:color="auto"/>
              <w:right w:val="single" w:sz="4" w:space="0" w:color="auto"/>
            </w:tcBorders>
            <w:shd w:val="clear" w:color="auto" w:fill="FFFFFF"/>
          </w:tcPr>
          <w:p w14:paraId="34FFF10A" w14:textId="77777777" w:rsidR="00FF58FD" w:rsidRPr="00DE096C" w:rsidRDefault="00FF58FD" w:rsidP="00D45A46">
            <w:pPr>
              <w:jc w:val="both"/>
              <w:rPr>
                <w:bCs/>
                <w:color w:val="002060"/>
                <w:sz w:val="16"/>
                <w:szCs w:val="16"/>
              </w:rPr>
            </w:pPr>
            <w:r w:rsidRPr="00DE096C">
              <w:rPr>
                <w:bCs/>
                <w:color w:val="002060"/>
                <w:sz w:val="16"/>
                <w:szCs w:val="16"/>
              </w:rPr>
              <w:t>Площадь крыльев, кв.м</w:t>
            </w:r>
          </w:p>
        </w:tc>
        <w:tc>
          <w:tcPr>
            <w:tcW w:w="4718" w:type="dxa"/>
            <w:tcBorders>
              <w:top w:val="single" w:sz="4" w:space="0" w:color="auto"/>
              <w:left w:val="single" w:sz="4" w:space="0" w:color="auto"/>
              <w:bottom w:val="single" w:sz="4" w:space="0" w:color="auto"/>
              <w:right w:val="single" w:sz="4" w:space="0" w:color="auto"/>
            </w:tcBorders>
            <w:shd w:val="clear" w:color="auto" w:fill="FFFFFF"/>
          </w:tcPr>
          <w:p w14:paraId="59CEEDF7" w14:textId="77777777" w:rsidR="00FF58FD" w:rsidRPr="00DE096C" w:rsidRDefault="00FF58FD" w:rsidP="00D45A46">
            <w:pPr>
              <w:jc w:val="both"/>
              <w:rPr>
                <w:bCs/>
                <w:color w:val="002060"/>
                <w:sz w:val="16"/>
                <w:szCs w:val="16"/>
              </w:rPr>
            </w:pPr>
            <w:r w:rsidRPr="00DE096C">
              <w:rPr>
                <w:bCs/>
                <w:color w:val="002060"/>
                <w:sz w:val="16"/>
                <w:szCs w:val="16"/>
              </w:rPr>
              <w:t>98,00</w:t>
            </w:r>
          </w:p>
        </w:tc>
      </w:tr>
      <w:tr w:rsidR="00FF58FD" w:rsidRPr="00DE096C" w14:paraId="2B702754" w14:textId="77777777" w:rsidTr="00FA616C">
        <w:trPr>
          <w:trHeight w:val="216"/>
        </w:trPr>
        <w:tc>
          <w:tcPr>
            <w:tcW w:w="3312" w:type="dxa"/>
            <w:tcBorders>
              <w:top w:val="single" w:sz="4" w:space="0" w:color="auto"/>
              <w:left w:val="single" w:sz="4" w:space="0" w:color="auto"/>
              <w:bottom w:val="single" w:sz="4" w:space="0" w:color="auto"/>
              <w:right w:val="single" w:sz="4" w:space="0" w:color="auto"/>
            </w:tcBorders>
            <w:shd w:val="clear" w:color="auto" w:fill="FFFFFF"/>
          </w:tcPr>
          <w:p w14:paraId="7E3733F1" w14:textId="77777777" w:rsidR="00FF58FD" w:rsidRPr="00DE096C" w:rsidRDefault="00FF58FD" w:rsidP="00D45A46">
            <w:pPr>
              <w:jc w:val="both"/>
              <w:rPr>
                <w:bCs/>
                <w:color w:val="002060"/>
                <w:sz w:val="16"/>
                <w:szCs w:val="16"/>
              </w:rPr>
            </w:pPr>
            <w:r w:rsidRPr="00DE096C">
              <w:rPr>
                <w:bCs/>
                <w:color w:val="002060"/>
                <w:sz w:val="16"/>
                <w:szCs w:val="16"/>
              </w:rPr>
              <w:t>Вес пустой, кг</w:t>
            </w:r>
          </w:p>
        </w:tc>
        <w:tc>
          <w:tcPr>
            <w:tcW w:w="4718" w:type="dxa"/>
            <w:tcBorders>
              <w:top w:val="single" w:sz="4" w:space="0" w:color="auto"/>
              <w:left w:val="single" w:sz="4" w:space="0" w:color="auto"/>
              <w:bottom w:val="single" w:sz="4" w:space="0" w:color="auto"/>
              <w:right w:val="single" w:sz="4" w:space="0" w:color="auto"/>
            </w:tcBorders>
            <w:shd w:val="clear" w:color="auto" w:fill="FFFFFF"/>
          </w:tcPr>
          <w:p w14:paraId="26D09851" w14:textId="77777777" w:rsidR="00FF58FD" w:rsidRPr="00DE096C" w:rsidRDefault="00FF58FD" w:rsidP="00D45A46">
            <w:pPr>
              <w:jc w:val="both"/>
              <w:rPr>
                <w:bCs/>
                <w:color w:val="002060"/>
                <w:sz w:val="16"/>
                <w:szCs w:val="16"/>
              </w:rPr>
            </w:pPr>
            <w:r w:rsidRPr="00DE096C">
              <w:rPr>
                <w:bCs/>
                <w:color w:val="002060"/>
                <w:sz w:val="16"/>
                <w:szCs w:val="16"/>
              </w:rPr>
              <w:t>2880 (вероятно с учетом веса бензина и масла)</w:t>
            </w:r>
          </w:p>
        </w:tc>
      </w:tr>
      <w:tr w:rsidR="00FF58FD" w:rsidRPr="00DE096C" w14:paraId="0A952038" w14:textId="77777777" w:rsidTr="00FA616C">
        <w:trPr>
          <w:trHeight w:val="221"/>
        </w:trPr>
        <w:tc>
          <w:tcPr>
            <w:tcW w:w="3312" w:type="dxa"/>
            <w:tcBorders>
              <w:top w:val="single" w:sz="4" w:space="0" w:color="auto"/>
              <w:left w:val="single" w:sz="4" w:space="0" w:color="auto"/>
              <w:bottom w:val="single" w:sz="4" w:space="0" w:color="auto"/>
              <w:right w:val="single" w:sz="4" w:space="0" w:color="auto"/>
            </w:tcBorders>
            <w:shd w:val="clear" w:color="auto" w:fill="FFFFFF"/>
          </w:tcPr>
          <w:p w14:paraId="08A19B6F" w14:textId="77777777" w:rsidR="00FF58FD" w:rsidRPr="00DE096C" w:rsidRDefault="00FF58FD" w:rsidP="00D45A46">
            <w:pPr>
              <w:jc w:val="both"/>
              <w:rPr>
                <w:bCs/>
                <w:color w:val="002060"/>
                <w:sz w:val="16"/>
                <w:szCs w:val="16"/>
              </w:rPr>
            </w:pPr>
            <w:r w:rsidRPr="00DE096C">
              <w:rPr>
                <w:bCs/>
                <w:color w:val="002060"/>
                <w:sz w:val="16"/>
                <w:szCs w:val="16"/>
              </w:rPr>
              <w:t>Полезная нагрузка, кг</w:t>
            </w:r>
          </w:p>
        </w:tc>
        <w:tc>
          <w:tcPr>
            <w:tcW w:w="4718" w:type="dxa"/>
            <w:tcBorders>
              <w:top w:val="single" w:sz="4" w:space="0" w:color="auto"/>
              <w:left w:val="single" w:sz="4" w:space="0" w:color="auto"/>
              <w:bottom w:val="single" w:sz="4" w:space="0" w:color="auto"/>
              <w:right w:val="single" w:sz="4" w:space="0" w:color="auto"/>
            </w:tcBorders>
            <w:shd w:val="clear" w:color="auto" w:fill="FFFFFF"/>
          </w:tcPr>
          <w:p w14:paraId="3AD4A39A" w14:textId="77777777" w:rsidR="00FF58FD" w:rsidRPr="00DE096C" w:rsidRDefault="00FF58FD" w:rsidP="00D45A46">
            <w:pPr>
              <w:jc w:val="both"/>
              <w:rPr>
                <w:bCs/>
                <w:color w:val="002060"/>
                <w:sz w:val="16"/>
                <w:szCs w:val="16"/>
              </w:rPr>
            </w:pPr>
            <w:r w:rsidRPr="00DE096C">
              <w:rPr>
                <w:bCs/>
                <w:color w:val="002060"/>
                <w:sz w:val="16"/>
                <w:szCs w:val="16"/>
              </w:rPr>
              <w:t>500 (экипаж — 350 кг; дополнит, груз — 150 кг)</w:t>
            </w:r>
          </w:p>
        </w:tc>
      </w:tr>
      <w:tr w:rsidR="00FF58FD" w:rsidRPr="00DE096C" w14:paraId="044FDF29" w14:textId="77777777" w:rsidTr="00FA616C">
        <w:trPr>
          <w:trHeight w:val="216"/>
        </w:trPr>
        <w:tc>
          <w:tcPr>
            <w:tcW w:w="3312" w:type="dxa"/>
            <w:tcBorders>
              <w:top w:val="single" w:sz="4" w:space="0" w:color="auto"/>
              <w:left w:val="single" w:sz="4" w:space="0" w:color="auto"/>
              <w:bottom w:val="single" w:sz="4" w:space="0" w:color="auto"/>
              <w:right w:val="single" w:sz="4" w:space="0" w:color="auto"/>
            </w:tcBorders>
            <w:shd w:val="clear" w:color="auto" w:fill="FFFFFF"/>
          </w:tcPr>
          <w:p w14:paraId="1601AC95" w14:textId="77777777" w:rsidR="00FF58FD" w:rsidRPr="00DE096C" w:rsidRDefault="00FF58FD" w:rsidP="00D45A46">
            <w:pPr>
              <w:jc w:val="both"/>
              <w:rPr>
                <w:bCs/>
                <w:color w:val="002060"/>
                <w:sz w:val="16"/>
                <w:szCs w:val="16"/>
              </w:rPr>
            </w:pPr>
            <w:r w:rsidRPr="00DE096C">
              <w:rPr>
                <w:bCs/>
                <w:color w:val="002060"/>
                <w:sz w:val="16"/>
                <w:szCs w:val="16"/>
              </w:rPr>
              <w:t>Двигатели</w:t>
            </w:r>
          </w:p>
        </w:tc>
        <w:tc>
          <w:tcPr>
            <w:tcW w:w="4718" w:type="dxa"/>
            <w:tcBorders>
              <w:top w:val="single" w:sz="4" w:space="0" w:color="auto"/>
              <w:left w:val="single" w:sz="4" w:space="0" w:color="auto"/>
              <w:bottom w:val="single" w:sz="4" w:space="0" w:color="auto"/>
              <w:right w:val="single" w:sz="4" w:space="0" w:color="auto"/>
            </w:tcBorders>
            <w:shd w:val="clear" w:color="auto" w:fill="FFFFFF"/>
          </w:tcPr>
          <w:p w14:paraId="5946985C" w14:textId="77777777" w:rsidR="00FF58FD" w:rsidRPr="00DE096C" w:rsidRDefault="00FF58FD" w:rsidP="00D45A46">
            <w:pPr>
              <w:jc w:val="both"/>
              <w:rPr>
                <w:bCs/>
                <w:color w:val="002060"/>
                <w:sz w:val="16"/>
                <w:szCs w:val="16"/>
              </w:rPr>
            </w:pPr>
            <w:r w:rsidRPr="00DE096C">
              <w:rPr>
                <w:bCs/>
                <w:color w:val="002060"/>
                <w:sz w:val="16"/>
                <w:szCs w:val="16"/>
              </w:rPr>
              <w:t>2 мотора х 150-175 л.с.</w:t>
            </w:r>
          </w:p>
        </w:tc>
      </w:tr>
      <w:tr w:rsidR="00FF58FD" w:rsidRPr="00DE096C" w14:paraId="56C22674" w14:textId="77777777" w:rsidTr="00FA616C">
        <w:trPr>
          <w:trHeight w:val="221"/>
        </w:trPr>
        <w:tc>
          <w:tcPr>
            <w:tcW w:w="3312" w:type="dxa"/>
            <w:tcBorders>
              <w:top w:val="single" w:sz="4" w:space="0" w:color="auto"/>
              <w:left w:val="single" w:sz="4" w:space="0" w:color="auto"/>
              <w:bottom w:val="single" w:sz="4" w:space="0" w:color="auto"/>
              <w:right w:val="single" w:sz="4" w:space="0" w:color="auto"/>
            </w:tcBorders>
            <w:shd w:val="clear" w:color="auto" w:fill="FFFFFF"/>
          </w:tcPr>
          <w:p w14:paraId="0730E44A" w14:textId="77777777" w:rsidR="00FF58FD" w:rsidRPr="00DE096C" w:rsidRDefault="00FF58FD" w:rsidP="00D45A46">
            <w:pPr>
              <w:jc w:val="both"/>
              <w:rPr>
                <w:bCs/>
                <w:color w:val="002060"/>
                <w:sz w:val="16"/>
                <w:szCs w:val="16"/>
              </w:rPr>
            </w:pPr>
            <w:r w:rsidRPr="00DE096C">
              <w:rPr>
                <w:bCs/>
                <w:color w:val="002060"/>
                <w:sz w:val="16"/>
                <w:szCs w:val="16"/>
              </w:rPr>
              <w:t>Скорость, км/ч</w:t>
            </w:r>
          </w:p>
        </w:tc>
        <w:tc>
          <w:tcPr>
            <w:tcW w:w="4718" w:type="dxa"/>
            <w:tcBorders>
              <w:top w:val="single" w:sz="4" w:space="0" w:color="auto"/>
              <w:left w:val="single" w:sz="4" w:space="0" w:color="auto"/>
              <w:bottom w:val="single" w:sz="4" w:space="0" w:color="auto"/>
              <w:right w:val="single" w:sz="4" w:space="0" w:color="auto"/>
            </w:tcBorders>
            <w:shd w:val="clear" w:color="auto" w:fill="FFFFFF"/>
          </w:tcPr>
          <w:p w14:paraId="79B2ADCA" w14:textId="77777777" w:rsidR="00FF58FD" w:rsidRPr="00DE096C" w:rsidRDefault="00FF58FD" w:rsidP="00D45A46">
            <w:pPr>
              <w:jc w:val="both"/>
              <w:rPr>
                <w:bCs/>
                <w:color w:val="002060"/>
                <w:sz w:val="16"/>
                <w:szCs w:val="16"/>
              </w:rPr>
            </w:pPr>
            <w:r w:rsidRPr="00DE096C">
              <w:rPr>
                <w:bCs/>
                <w:color w:val="002060"/>
                <w:sz w:val="16"/>
                <w:szCs w:val="16"/>
              </w:rPr>
              <w:t>90-100</w:t>
            </w:r>
          </w:p>
        </w:tc>
      </w:tr>
      <w:tr w:rsidR="00FF58FD" w:rsidRPr="00DE096C" w14:paraId="47CBE9F8" w14:textId="77777777" w:rsidTr="00FA616C">
        <w:trPr>
          <w:trHeight w:val="226"/>
        </w:trPr>
        <w:tc>
          <w:tcPr>
            <w:tcW w:w="3312" w:type="dxa"/>
            <w:tcBorders>
              <w:top w:val="single" w:sz="4" w:space="0" w:color="auto"/>
              <w:left w:val="single" w:sz="4" w:space="0" w:color="auto"/>
              <w:bottom w:val="single" w:sz="4" w:space="0" w:color="auto"/>
              <w:right w:val="single" w:sz="4" w:space="0" w:color="auto"/>
            </w:tcBorders>
            <w:shd w:val="clear" w:color="auto" w:fill="FFFFFF"/>
          </w:tcPr>
          <w:p w14:paraId="714A0495" w14:textId="77777777" w:rsidR="00FF58FD" w:rsidRPr="00DE096C" w:rsidRDefault="00FF58FD" w:rsidP="00D45A46">
            <w:pPr>
              <w:jc w:val="both"/>
              <w:rPr>
                <w:bCs/>
                <w:color w:val="002060"/>
                <w:sz w:val="16"/>
                <w:szCs w:val="16"/>
              </w:rPr>
            </w:pPr>
            <w:r w:rsidRPr="00DE096C">
              <w:rPr>
                <w:bCs/>
                <w:color w:val="002060"/>
                <w:sz w:val="16"/>
                <w:szCs w:val="16"/>
              </w:rPr>
              <w:t>Скороподъемность, м/мин</w:t>
            </w:r>
          </w:p>
        </w:tc>
        <w:tc>
          <w:tcPr>
            <w:tcW w:w="4718" w:type="dxa"/>
            <w:tcBorders>
              <w:top w:val="single" w:sz="4" w:space="0" w:color="auto"/>
              <w:left w:val="single" w:sz="4" w:space="0" w:color="auto"/>
              <w:bottom w:val="single" w:sz="4" w:space="0" w:color="auto"/>
              <w:right w:val="single" w:sz="4" w:space="0" w:color="auto"/>
            </w:tcBorders>
            <w:shd w:val="clear" w:color="auto" w:fill="FFFFFF"/>
          </w:tcPr>
          <w:p w14:paraId="3F9EBD2B" w14:textId="77777777" w:rsidR="00FF58FD" w:rsidRPr="00DE096C" w:rsidRDefault="00FF58FD" w:rsidP="00D45A46">
            <w:pPr>
              <w:jc w:val="both"/>
              <w:rPr>
                <w:bCs/>
                <w:color w:val="002060"/>
                <w:sz w:val="16"/>
                <w:szCs w:val="16"/>
              </w:rPr>
            </w:pPr>
            <w:r w:rsidRPr="00DE096C">
              <w:rPr>
                <w:bCs/>
                <w:color w:val="002060"/>
                <w:sz w:val="16"/>
                <w:szCs w:val="16"/>
              </w:rPr>
              <w:t>1000/25</w:t>
            </w:r>
          </w:p>
        </w:tc>
      </w:tr>
      <w:tr w:rsidR="00FF58FD" w:rsidRPr="00DE096C" w14:paraId="4BAB5598" w14:textId="77777777" w:rsidTr="00FA616C">
        <w:trPr>
          <w:trHeight w:val="245"/>
        </w:trPr>
        <w:tc>
          <w:tcPr>
            <w:tcW w:w="3312" w:type="dxa"/>
            <w:tcBorders>
              <w:top w:val="single" w:sz="4" w:space="0" w:color="auto"/>
              <w:left w:val="single" w:sz="4" w:space="0" w:color="auto"/>
              <w:bottom w:val="single" w:sz="4" w:space="0" w:color="auto"/>
              <w:right w:val="single" w:sz="4" w:space="0" w:color="auto"/>
            </w:tcBorders>
            <w:shd w:val="clear" w:color="auto" w:fill="FFFFFF"/>
          </w:tcPr>
          <w:p w14:paraId="74DBB6A4" w14:textId="77777777" w:rsidR="00FF58FD" w:rsidRPr="00DE096C" w:rsidRDefault="00FF58FD" w:rsidP="00D45A46">
            <w:pPr>
              <w:jc w:val="both"/>
              <w:rPr>
                <w:bCs/>
                <w:color w:val="002060"/>
                <w:sz w:val="16"/>
                <w:szCs w:val="16"/>
              </w:rPr>
            </w:pPr>
            <w:r w:rsidRPr="00DE096C">
              <w:rPr>
                <w:bCs/>
                <w:color w:val="002060"/>
                <w:sz w:val="16"/>
                <w:szCs w:val="16"/>
              </w:rPr>
              <w:t>Продолжительность полета, час</w:t>
            </w:r>
          </w:p>
        </w:tc>
        <w:tc>
          <w:tcPr>
            <w:tcW w:w="4718" w:type="dxa"/>
            <w:tcBorders>
              <w:top w:val="single" w:sz="4" w:space="0" w:color="auto"/>
              <w:left w:val="single" w:sz="4" w:space="0" w:color="auto"/>
              <w:bottom w:val="single" w:sz="4" w:space="0" w:color="auto"/>
              <w:right w:val="single" w:sz="4" w:space="0" w:color="auto"/>
            </w:tcBorders>
            <w:shd w:val="clear" w:color="auto" w:fill="FFFFFF"/>
          </w:tcPr>
          <w:p w14:paraId="2BFAB2D5" w14:textId="77777777" w:rsidR="00FF58FD" w:rsidRPr="00DE096C" w:rsidRDefault="00FF58FD" w:rsidP="00D45A46">
            <w:pPr>
              <w:jc w:val="both"/>
              <w:rPr>
                <w:bCs/>
                <w:color w:val="002060"/>
                <w:sz w:val="16"/>
                <w:szCs w:val="16"/>
              </w:rPr>
            </w:pPr>
            <w:r w:rsidRPr="00DE096C">
              <w:rPr>
                <w:bCs/>
                <w:color w:val="002060"/>
                <w:sz w:val="16"/>
                <w:szCs w:val="16"/>
              </w:rPr>
              <w:t>10</w:t>
            </w:r>
          </w:p>
        </w:tc>
      </w:tr>
    </w:tbl>
    <w:p w14:paraId="06FF7540" w14:textId="77777777" w:rsidR="00FF58FD" w:rsidRPr="00DE096C" w:rsidRDefault="00FF58FD" w:rsidP="00D45A46">
      <w:pPr>
        <w:jc w:val="both"/>
        <w:rPr>
          <w:bCs/>
          <w:color w:val="002060"/>
          <w:sz w:val="16"/>
          <w:szCs w:val="16"/>
        </w:rPr>
      </w:pPr>
      <w:r w:rsidRPr="00DE096C">
        <w:rPr>
          <w:bCs/>
          <w:color w:val="002060"/>
          <w:sz w:val="16"/>
          <w:szCs w:val="16"/>
        </w:rPr>
        <w:t>В пояснительной записке Я.М. Гаккель писал: «Предлагаемый тип самолёта — биплан, разработан после рассмотрения ряда вариантов. Мы остановились на нем вследствие выяснившихся преимуществ перед другими. Основу самолёта составляет рыбовидное тело (фюзеляж) с закрытой кабиной для 15-ти пассажиров. Перед пассажирской каби</w:t>
      </w:r>
      <w:r w:rsidRPr="00DE096C">
        <w:rPr>
          <w:bCs/>
          <w:color w:val="002060"/>
          <w:sz w:val="16"/>
          <w:szCs w:val="16"/>
        </w:rPr>
        <w:softHyphen/>
        <w:t>ной расположено помещение пилота и механика... В носовой части самолёта установлен центральный мотор. Два других подвешены симметрично по обеим сторонам, на высо</w:t>
      </w:r>
      <w:r w:rsidRPr="00DE096C">
        <w:rPr>
          <w:bCs/>
          <w:color w:val="002060"/>
          <w:sz w:val="16"/>
          <w:szCs w:val="16"/>
        </w:rPr>
        <w:softHyphen/>
        <w:t>те центрального мотора, между крыльями, расстояние между осями боковых моторов составляет 5 м, они снабжены толкающими пропеллерами».</w:t>
      </w:r>
    </w:p>
    <w:p w14:paraId="1141C13D" w14:textId="77777777" w:rsidR="00FF58FD" w:rsidRPr="00DE096C" w:rsidRDefault="00FF58FD" w:rsidP="00D45A46">
      <w:pPr>
        <w:jc w:val="both"/>
        <w:rPr>
          <w:bCs/>
          <w:color w:val="002060"/>
          <w:sz w:val="16"/>
          <w:szCs w:val="16"/>
        </w:rPr>
      </w:pPr>
      <w:r w:rsidRPr="00DE096C">
        <w:rPr>
          <w:bCs/>
          <w:color w:val="002060"/>
          <w:sz w:val="16"/>
          <w:szCs w:val="16"/>
        </w:rPr>
        <w:t>Далее следовало обоснование первого несомненного, по мнению Гаккеля, преимуще</w:t>
      </w:r>
      <w:r w:rsidRPr="00DE096C">
        <w:rPr>
          <w:bCs/>
          <w:color w:val="002060"/>
          <w:sz w:val="16"/>
          <w:szCs w:val="16"/>
        </w:rPr>
        <w:softHyphen/>
        <w:t>ства нового самолёта: оно заключалось в том, что конструктор сумел превратить боко</w:t>
      </w:r>
      <w:r w:rsidRPr="00DE096C">
        <w:rPr>
          <w:bCs/>
          <w:color w:val="002060"/>
          <w:sz w:val="16"/>
          <w:szCs w:val="16"/>
        </w:rPr>
        <w:softHyphen/>
        <w:t>вые двигатели в силовые стойки, поддерживающие крылья. Он писал: «Конструкция, поддерживающая боковые моторы, является вместе с тем связью между крыльями би</w:t>
      </w:r>
      <w:r w:rsidRPr="00DE096C">
        <w:rPr>
          <w:bCs/>
          <w:color w:val="002060"/>
          <w:sz w:val="16"/>
          <w:szCs w:val="16"/>
        </w:rPr>
        <w:softHyphen/>
        <w:t>плана. Таким образом свободнонесущие крылья начинаются лишь от моторов и при раз</w:t>
      </w:r>
      <w:r w:rsidRPr="00DE096C">
        <w:rPr>
          <w:bCs/>
          <w:color w:val="002060"/>
          <w:sz w:val="16"/>
          <w:szCs w:val="16"/>
        </w:rPr>
        <w:softHyphen/>
        <w:t>мерах крыльев в 22 м, свободные крылья получились бы длиною по 8,5 м».</w:t>
      </w:r>
    </w:p>
    <w:p w14:paraId="229F025A" w14:textId="77777777" w:rsidR="00FF58FD" w:rsidRPr="00DE096C" w:rsidRDefault="00FF58FD" w:rsidP="00D45A46">
      <w:pPr>
        <w:jc w:val="both"/>
        <w:rPr>
          <w:bCs/>
          <w:color w:val="002060"/>
          <w:sz w:val="16"/>
          <w:szCs w:val="16"/>
        </w:rPr>
      </w:pPr>
      <w:r w:rsidRPr="00DE096C">
        <w:rPr>
          <w:bCs/>
          <w:color w:val="002060"/>
          <w:sz w:val="16"/>
          <w:szCs w:val="16"/>
        </w:rPr>
        <w:t>Гаккель пояснял, что эта конструктивная находка позволила уменьшить поперечное сечение крыльев, увеличить их жесткость, уменьшить вибрацию крыльев в полете</w:t>
      </w:r>
      <w:r w:rsidRPr="00DE096C">
        <w:rPr>
          <w:bCs/>
          <w:color w:val="002060"/>
          <w:sz w:val="16"/>
          <w:szCs w:val="16"/>
          <w:vertAlign w:val="superscript"/>
        </w:rPr>
        <w:t>26</w:t>
      </w:r>
      <w:r w:rsidRPr="00DE096C">
        <w:rPr>
          <w:bCs/>
          <w:color w:val="002060"/>
          <w:sz w:val="16"/>
          <w:szCs w:val="16"/>
        </w:rPr>
        <w:t>, менять установочный угол крыльев и противодействовать короблению крыльев.</w:t>
      </w:r>
    </w:p>
    <w:p w14:paraId="4929EB38" w14:textId="77777777" w:rsidR="00FF58FD" w:rsidRPr="00DE096C" w:rsidRDefault="00FF58FD" w:rsidP="00D45A46">
      <w:pPr>
        <w:jc w:val="both"/>
        <w:rPr>
          <w:bCs/>
          <w:color w:val="002060"/>
          <w:sz w:val="16"/>
          <w:szCs w:val="16"/>
        </w:rPr>
      </w:pPr>
      <w:r w:rsidRPr="00DE096C">
        <w:rPr>
          <w:bCs/>
          <w:color w:val="002060"/>
          <w:sz w:val="16"/>
          <w:szCs w:val="16"/>
        </w:rPr>
        <w:t>«Это соединение является новой, оригинальной конструкцией, которую мы называ</w:t>
      </w:r>
      <w:r w:rsidRPr="00DE096C">
        <w:rPr>
          <w:bCs/>
          <w:color w:val="002060"/>
          <w:sz w:val="16"/>
          <w:szCs w:val="16"/>
        </w:rPr>
        <w:softHyphen/>
        <w:t>ем «двойной кронштейн...» — писал Гаккель. Далее на двух страницах он приводит рас</w:t>
      </w:r>
      <w:r w:rsidRPr="00DE096C">
        <w:rPr>
          <w:bCs/>
          <w:color w:val="002060"/>
          <w:sz w:val="16"/>
          <w:szCs w:val="16"/>
        </w:rPr>
        <w:softHyphen/>
        <w:t>четы и схемы, подтверждающие преимущества «двойного кронштейна»...</w:t>
      </w:r>
    </w:p>
    <w:p w14:paraId="6831A9D8" w14:textId="77777777" w:rsidR="00FF58FD" w:rsidRPr="00DE096C" w:rsidRDefault="00FF58FD" w:rsidP="00D45A46">
      <w:pPr>
        <w:jc w:val="both"/>
        <w:rPr>
          <w:bCs/>
          <w:color w:val="002060"/>
          <w:sz w:val="16"/>
          <w:szCs w:val="16"/>
        </w:rPr>
      </w:pPr>
      <w:r w:rsidRPr="00DE096C">
        <w:rPr>
          <w:bCs/>
          <w:color w:val="002060"/>
          <w:sz w:val="16"/>
          <w:szCs w:val="16"/>
        </w:rPr>
        <w:t>На следующей сохранившейся странице излагались размеры главных частей машины:...</w:t>
      </w:r>
    </w:p>
    <w:p w14:paraId="544DAFE4" w14:textId="77777777" w:rsidR="00FF58FD" w:rsidRPr="00DE096C" w:rsidRDefault="00FF58FD" w:rsidP="00D45A46">
      <w:pPr>
        <w:jc w:val="both"/>
        <w:rPr>
          <w:bCs/>
          <w:color w:val="002060"/>
          <w:sz w:val="16"/>
          <w:szCs w:val="16"/>
        </w:rPr>
      </w:pPr>
      <w:r w:rsidRPr="00DE096C">
        <w:rPr>
          <w:bCs/>
          <w:color w:val="002060"/>
          <w:sz w:val="16"/>
          <w:szCs w:val="16"/>
        </w:rPr>
        <w:t>«По литературным данным, касающимся новейших больших аппаратов, мы с уверен</w:t>
      </w:r>
      <w:r w:rsidRPr="00DE096C">
        <w:rPr>
          <w:bCs/>
          <w:color w:val="002060"/>
          <w:sz w:val="16"/>
          <w:szCs w:val="16"/>
        </w:rPr>
        <w:softHyphen/>
        <w:t>ностью можем считать, что при 5-кратном запасе прочности во всех частях, настоя</w:t>
      </w:r>
      <w:r w:rsidRPr="00DE096C">
        <w:rPr>
          <w:bCs/>
          <w:color w:val="002060"/>
          <w:sz w:val="16"/>
          <w:szCs w:val="16"/>
        </w:rPr>
        <w:softHyphen/>
        <w:t>щая конструкция самолета без моторов будет весить не более 20 кг на 1 кв.м.</w:t>
      </w:r>
    </w:p>
    <w:p w14:paraId="4361914C" w14:textId="77777777" w:rsidR="00FF58FD" w:rsidRPr="00DE096C" w:rsidRDefault="00FF58FD" w:rsidP="00D45A46">
      <w:pPr>
        <w:jc w:val="both"/>
        <w:rPr>
          <w:bCs/>
          <w:color w:val="002060"/>
          <w:sz w:val="16"/>
          <w:szCs w:val="16"/>
        </w:rPr>
      </w:pPr>
      <w:r w:rsidRPr="00DE096C">
        <w:rPr>
          <w:bCs/>
          <w:color w:val="002060"/>
          <w:sz w:val="16"/>
          <w:szCs w:val="16"/>
        </w:rPr>
        <w:t>Как выяснилось из аэродинамического подсчета — для выполнения задания 8-ми часового полета со скоростью 160 км в час, при 6-ти человек команды или при 4-х ча</w:t>
      </w:r>
      <w:r w:rsidRPr="00DE096C">
        <w:rPr>
          <w:bCs/>
          <w:color w:val="002060"/>
          <w:sz w:val="16"/>
          <w:szCs w:val="16"/>
        </w:rPr>
        <w:softHyphen/>
        <w:t>совом полете при 14-человек /2 лётчика и 12 пассажиров/ потребуется мощность всех моторов всего в 650 л.с.</w:t>
      </w:r>
    </w:p>
    <w:p w14:paraId="110FF7CA" w14:textId="77777777" w:rsidR="00FF58FD" w:rsidRPr="00DE096C" w:rsidRDefault="00FF58FD" w:rsidP="00D45A46">
      <w:pPr>
        <w:jc w:val="both"/>
        <w:rPr>
          <w:bCs/>
          <w:color w:val="002060"/>
          <w:sz w:val="16"/>
          <w:szCs w:val="16"/>
        </w:rPr>
      </w:pPr>
      <w:r w:rsidRPr="00DE096C">
        <w:rPr>
          <w:bCs/>
          <w:color w:val="002060"/>
          <w:sz w:val="16"/>
          <w:szCs w:val="16"/>
        </w:rPr>
        <w:lastRenderedPageBreak/>
        <w:t>Крылья Гаккель намеревался обшить 5-мм ольховой фанерой, все другие части — фа</w:t>
      </w:r>
      <w:r w:rsidRPr="00DE096C">
        <w:rPr>
          <w:bCs/>
          <w:color w:val="002060"/>
          <w:sz w:val="16"/>
          <w:szCs w:val="16"/>
        </w:rPr>
        <w:softHyphen/>
        <w:t>нерой толщиной 3 мм. Интересно, что для уменьшения вредного сопротивления он под</w:t>
      </w:r>
      <w:r w:rsidRPr="00DE096C">
        <w:rPr>
          <w:bCs/>
          <w:color w:val="002060"/>
          <w:sz w:val="16"/>
          <w:szCs w:val="16"/>
        </w:rPr>
        <w:softHyphen/>
        <w:t>робно описал технологию обработки обшивки: фанера полируется, покрывается вареной олифой, после высыхания крепится латунными шурупами, шпатлюется, зачищаются сты</w:t>
      </w:r>
      <w:r w:rsidRPr="00DE096C">
        <w:rPr>
          <w:bCs/>
          <w:color w:val="002060"/>
          <w:sz w:val="16"/>
          <w:szCs w:val="16"/>
        </w:rPr>
        <w:softHyphen/>
        <w:t>ки, затем самолёт окрашивается два раза масляной краской и, наконец, покрывается ма</w:t>
      </w:r>
      <w:r w:rsidRPr="00DE096C">
        <w:rPr>
          <w:bCs/>
          <w:color w:val="002060"/>
          <w:sz w:val="16"/>
          <w:szCs w:val="16"/>
        </w:rPr>
        <w:softHyphen/>
        <w:t>сляным лаком.</w:t>
      </w:r>
    </w:p>
    <w:p w14:paraId="2CA1B86E" w14:textId="77777777" w:rsidR="00FF58FD" w:rsidRPr="00DE096C" w:rsidRDefault="00FF58FD" w:rsidP="00D45A46">
      <w:pPr>
        <w:jc w:val="both"/>
        <w:rPr>
          <w:bCs/>
          <w:color w:val="002060"/>
          <w:sz w:val="16"/>
          <w:szCs w:val="16"/>
        </w:rPr>
      </w:pPr>
      <w:r w:rsidRPr="00DE096C">
        <w:rPr>
          <w:bCs/>
          <w:color w:val="002060"/>
          <w:sz w:val="16"/>
          <w:szCs w:val="16"/>
        </w:rPr>
        <w:t>Под полом кабины пилота и механика Гаккель предполагал поместить бензиновые баки емкостью 1360 л и масляные баки. Обзор из кабины пилота был хороший во все стороны. Все три мотора должны были запускаться от электростартера. После запус</w:t>
      </w:r>
      <w:r w:rsidRPr="00DE096C">
        <w:rPr>
          <w:bCs/>
          <w:color w:val="002060"/>
          <w:sz w:val="16"/>
          <w:szCs w:val="16"/>
        </w:rPr>
        <w:softHyphen/>
        <w:t>ка двигателей все электростартеры автоматически переходили в режим генераторов, обеспечивая работу бортового оборудования: радиотелеграфного передатчика, водя</w:t>
      </w:r>
      <w:r w:rsidRPr="00DE096C">
        <w:rPr>
          <w:bCs/>
          <w:color w:val="002060"/>
          <w:sz w:val="16"/>
          <w:szCs w:val="16"/>
        </w:rPr>
        <w:softHyphen/>
        <w:t>ного насоса, прожектора типа Эдисона /с низковольтовой калильной лампой/, освеще</w:t>
      </w:r>
      <w:r w:rsidRPr="00DE096C">
        <w:rPr>
          <w:bCs/>
          <w:color w:val="002060"/>
          <w:sz w:val="16"/>
          <w:szCs w:val="16"/>
        </w:rPr>
        <w:softHyphen/>
        <w:t>ния пассажирского салона и кабины пилота, а также питания для переносных ламп для осмотра самолёта ночью.</w:t>
      </w:r>
    </w:p>
    <w:p w14:paraId="532D28B4" w14:textId="77777777" w:rsidR="00FF58FD" w:rsidRPr="00DE096C" w:rsidRDefault="00FF58FD" w:rsidP="00D45A46">
      <w:pPr>
        <w:jc w:val="both"/>
        <w:rPr>
          <w:bCs/>
          <w:color w:val="002060"/>
          <w:sz w:val="16"/>
          <w:szCs w:val="16"/>
        </w:rPr>
      </w:pPr>
      <w:r w:rsidRPr="00DE096C">
        <w:rPr>
          <w:bCs/>
          <w:color w:val="002060"/>
          <w:sz w:val="16"/>
          <w:szCs w:val="16"/>
        </w:rPr>
        <w:t>Далее Гаккель писал, что хотя труды профессора Н.Е. Жуковского, А.Г. Эйфеля и Г.А. Ботезата дают возможность определить расчетную максимальную скорость его самолё</w:t>
      </w:r>
      <w:r w:rsidRPr="00DE096C">
        <w:rPr>
          <w:bCs/>
          <w:color w:val="002060"/>
          <w:sz w:val="16"/>
          <w:szCs w:val="16"/>
        </w:rPr>
        <w:softHyphen/>
        <w:t>та в 160 км/час, он, тем не менее, путем сравнения характеристик с самолётами Фокке- ра, Юнкерса, Дорнье и Кертисса вычисляет наиболее вероятную максимальную скорость Гаккеля-Х, равную 203 км/час.</w:t>
      </w:r>
    </w:p>
    <w:p w14:paraId="067F6BF1" w14:textId="77777777" w:rsidR="00FF58FD" w:rsidRPr="00DE096C" w:rsidRDefault="00FF58FD" w:rsidP="00D45A46">
      <w:pPr>
        <w:jc w:val="both"/>
        <w:rPr>
          <w:bCs/>
          <w:color w:val="002060"/>
          <w:sz w:val="16"/>
          <w:szCs w:val="16"/>
        </w:rPr>
      </w:pPr>
      <w:r w:rsidRPr="00DE096C">
        <w:rPr>
          <w:bCs/>
          <w:color w:val="002060"/>
          <w:sz w:val="16"/>
          <w:szCs w:val="16"/>
        </w:rPr>
        <w:t>«Отсюда видим, — писал в заключении Гаккель, — что расчет сделан нами не толь</w:t>
      </w:r>
      <w:r w:rsidRPr="00DE096C">
        <w:rPr>
          <w:bCs/>
          <w:color w:val="002060"/>
          <w:sz w:val="16"/>
          <w:szCs w:val="16"/>
        </w:rPr>
        <w:softHyphen/>
        <w:t>ко осторожно, но с таким запасом, что можно ожидать от проектируемого нами са</w:t>
      </w:r>
      <w:r w:rsidRPr="00DE096C">
        <w:rPr>
          <w:bCs/>
          <w:color w:val="002060"/>
          <w:sz w:val="16"/>
          <w:szCs w:val="16"/>
        </w:rPr>
        <w:softHyphen/>
        <w:t>молёта выполнения более тяжелых заданий, чем поставленные нами себе в начале. Проф. Я. Гаккель. 15/УИ 22 г.» (15782).</w:t>
      </w:r>
    </w:p>
    <w:p w14:paraId="615CBB44" w14:textId="77777777" w:rsidR="00FF58FD" w:rsidRPr="00DE096C" w:rsidRDefault="00FF58FD" w:rsidP="00D45A46">
      <w:pPr>
        <w:jc w:val="both"/>
        <w:rPr>
          <w:bCs/>
          <w:color w:val="002060"/>
          <w:sz w:val="16"/>
          <w:szCs w:val="16"/>
        </w:rPr>
      </w:pPr>
    </w:p>
    <w:p w14:paraId="3D88FAD1" w14:textId="43B0524A" w:rsidR="00B67D7C" w:rsidRPr="00DE096C" w:rsidRDefault="00B67D7C" w:rsidP="00D45A46">
      <w:pPr>
        <w:jc w:val="both"/>
        <w:rPr>
          <w:bCs/>
          <w:color w:val="002060"/>
          <w:sz w:val="16"/>
          <w:szCs w:val="16"/>
        </w:rPr>
      </w:pPr>
      <w:r w:rsidRPr="00DE096C">
        <w:rPr>
          <w:bCs/>
          <w:color w:val="002060"/>
          <w:sz w:val="16"/>
          <w:szCs w:val="16"/>
        </w:rPr>
        <w:t xml:space="preserve">23 сентября </w:t>
      </w:r>
      <w:r w:rsidR="00D91602" w:rsidRPr="00DE096C">
        <w:rPr>
          <w:bCs/>
          <w:color w:val="002060"/>
          <w:sz w:val="16"/>
          <w:szCs w:val="16"/>
        </w:rPr>
        <w:t>(</w:t>
      </w:r>
      <w:r w:rsidR="00DC6A70" w:rsidRPr="00DE096C">
        <w:rPr>
          <w:bCs/>
          <w:color w:val="002060"/>
          <w:sz w:val="16"/>
          <w:szCs w:val="16"/>
        </w:rPr>
        <w:t>6</w:t>
      </w:r>
      <w:r w:rsidR="00D91602" w:rsidRPr="00DE096C">
        <w:rPr>
          <w:bCs/>
          <w:color w:val="002060"/>
          <w:sz w:val="16"/>
          <w:szCs w:val="16"/>
        </w:rPr>
        <w:t xml:space="preserve"> октября) 1914 г. ИМ Руднева </w:t>
      </w:r>
      <w:r w:rsidRPr="00DE096C">
        <w:rPr>
          <w:bCs/>
          <w:color w:val="002060"/>
          <w:sz w:val="16"/>
          <w:szCs w:val="16"/>
        </w:rPr>
        <w:t>добрался до Белостока. Несмотря на то, что полетное время составило 14 часов, корабль добрался до места назначения за неполный месяц. Совершив в октябре 1914 г. несколько пробных полетов, штабс-капитан Руднев остался недоволен летными качествами "Муромца", нашел и другие недостатки. Появилась его докладная записка "О непригодности аппаратов типа "Илья Муромец" для военных целей", а за ней уведомление Штаба Верховного Главнокомандующего в ГВТУ "о приостановлении снабжения аэропланами типа "Илья Муромец" впредь до устранения недостатков этих аппаратов. Доблестный же командир 1-го корабля, не совершивший ни одного боевого полета, по прилете 25 ноября во Львов подал рапорт о переводе в легкую авиацию. В январе 1915 г. корабль был доставлен в Яблонну, где после мелкого ремонта был испытан в полете. Сикорский лично взял на нем высоту в 2200 метров, тогда как Руднев не мог подняться выше 1375 м. А снятые с корабля ненадежные по мнению Руднева "Аргусы" были в марте переставлены на корабль Ш-й №151, который впоследствии совершал 5-ти часовые полеты вглубь территории противника.</w:t>
      </w:r>
    </w:p>
    <w:p w14:paraId="4B0AF8F8" w14:textId="77777777" w:rsidR="00B67D7C" w:rsidRPr="00DE096C" w:rsidRDefault="00B67D7C" w:rsidP="00D45A46">
      <w:pPr>
        <w:jc w:val="both"/>
        <w:rPr>
          <w:bCs/>
          <w:color w:val="002060"/>
          <w:sz w:val="16"/>
          <w:szCs w:val="16"/>
        </w:rPr>
      </w:pPr>
    </w:p>
    <w:p w14:paraId="130643C7" w14:textId="578AED66" w:rsidR="00B67D7C" w:rsidRPr="00DE096C" w:rsidRDefault="00B67D7C" w:rsidP="00D45A46">
      <w:pPr>
        <w:jc w:val="both"/>
        <w:rPr>
          <w:bCs/>
          <w:color w:val="002060"/>
          <w:sz w:val="16"/>
          <w:szCs w:val="16"/>
        </w:rPr>
      </w:pPr>
      <w:bookmarkStart w:id="181" w:name="_Hlk117326800"/>
      <w:r w:rsidRPr="00DE096C">
        <w:rPr>
          <w:bCs/>
          <w:color w:val="002060"/>
          <w:sz w:val="16"/>
          <w:szCs w:val="16"/>
        </w:rPr>
        <w:t>23 сентября</w:t>
      </w:r>
      <w:r w:rsidR="00D91602" w:rsidRPr="00DE096C">
        <w:rPr>
          <w:bCs/>
          <w:color w:val="002060"/>
          <w:sz w:val="16"/>
          <w:szCs w:val="16"/>
        </w:rPr>
        <w:t xml:space="preserve"> (</w:t>
      </w:r>
      <w:r w:rsidR="00DC6A70" w:rsidRPr="00DE096C">
        <w:rPr>
          <w:bCs/>
          <w:color w:val="002060"/>
          <w:sz w:val="16"/>
          <w:szCs w:val="16"/>
        </w:rPr>
        <w:t>6</w:t>
      </w:r>
      <w:r w:rsidR="00D91602" w:rsidRPr="00DE096C">
        <w:rPr>
          <w:bCs/>
          <w:color w:val="002060"/>
          <w:sz w:val="16"/>
          <w:szCs w:val="16"/>
        </w:rPr>
        <w:t xml:space="preserve"> октября) 1912 г.</w:t>
      </w:r>
      <w:r w:rsidRPr="00DE096C">
        <w:rPr>
          <w:bCs/>
          <w:color w:val="002060"/>
          <w:sz w:val="16"/>
          <w:szCs w:val="16"/>
        </w:rPr>
        <w:t xml:space="preserve">, затратив на путь до места назначения 14 лётных часов и... 24 дня </w:t>
      </w:r>
      <w:r w:rsidR="00D91602" w:rsidRPr="00DE096C">
        <w:rPr>
          <w:bCs/>
          <w:color w:val="002060"/>
          <w:sz w:val="16"/>
          <w:szCs w:val="16"/>
        </w:rPr>
        <w:t xml:space="preserve">Руднев прилетел в Белосток. 31 августа 1914 года Руднева утром после молебна и водосвятия улетел на Севе- ро-Западный фронт, направляясь в Белосток. Маршрут аппарата пролегал вдоль линии железной дороги с промежуточной посадкой в Двинске. Полёт должен был выполняться на максимально возможной высоте. Из-за сильного встречного ветра в 12 м/с, после 177 вёрст пути, Рудневу пришлось вынужденно сесть у станции Плюсса, при этом аэроплан получил незначительные повреждения. Механик РБВЗ, вызванный из Петрограда, смог отремонтировать "Муромец" и он 11 сентября благополучно совершил посадку в Двинске </w:t>
      </w:r>
      <w:r w:rsidRPr="00DE096C">
        <w:rPr>
          <w:bCs/>
          <w:color w:val="002060"/>
          <w:sz w:val="16"/>
          <w:szCs w:val="16"/>
        </w:rPr>
        <w:t>(12041).</w:t>
      </w:r>
    </w:p>
    <w:p w14:paraId="7262EC0D" w14:textId="77777777" w:rsidR="00B67D7C" w:rsidRPr="00DE096C" w:rsidRDefault="00B67D7C" w:rsidP="00D45A46">
      <w:pPr>
        <w:jc w:val="both"/>
        <w:rPr>
          <w:bCs/>
          <w:color w:val="002060"/>
          <w:sz w:val="16"/>
          <w:szCs w:val="16"/>
        </w:rPr>
      </w:pPr>
    </w:p>
    <w:bookmarkEnd w:id="181"/>
    <w:p w14:paraId="5806A8DB" w14:textId="77777777" w:rsidR="00FF58FD" w:rsidRPr="00DE096C" w:rsidRDefault="00FF58FD" w:rsidP="00D45A46">
      <w:pPr>
        <w:shd w:val="clear" w:color="auto" w:fill="FFFFFF"/>
        <w:jc w:val="both"/>
        <w:rPr>
          <w:bCs/>
          <w:i/>
          <w:color w:val="002060"/>
          <w:sz w:val="16"/>
          <w:szCs w:val="16"/>
        </w:rPr>
      </w:pPr>
      <w:r w:rsidRPr="00DE096C">
        <w:rPr>
          <w:bCs/>
          <w:i/>
          <w:color w:val="002060"/>
          <w:sz w:val="16"/>
          <w:szCs w:val="16"/>
        </w:rPr>
        <w:t>Авиация:</w:t>
      </w:r>
    </w:p>
    <w:p w14:paraId="1288B666" w14:textId="77777777" w:rsidR="00FF58FD" w:rsidRPr="00DE096C" w:rsidRDefault="00FF58FD" w:rsidP="00D45A46">
      <w:pPr>
        <w:shd w:val="clear" w:color="auto" w:fill="FFFFFF"/>
        <w:jc w:val="both"/>
        <w:rPr>
          <w:bCs/>
          <w:i/>
          <w:color w:val="002060"/>
          <w:sz w:val="16"/>
          <w:szCs w:val="16"/>
        </w:rPr>
      </w:pPr>
    </w:p>
    <w:p w14:paraId="21CA1C8E" w14:textId="77777777" w:rsidR="00B67D7C" w:rsidRPr="00DE096C" w:rsidRDefault="00B67D7C" w:rsidP="00D45A46">
      <w:pPr>
        <w:jc w:val="both"/>
        <w:rPr>
          <w:bCs/>
          <w:color w:val="002060"/>
          <w:sz w:val="16"/>
          <w:szCs w:val="16"/>
        </w:rPr>
      </w:pPr>
      <w:r w:rsidRPr="00DE096C">
        <w:rPr>
          <w:bCs/>
          <w:color w:val="002060"/>
          <w:sz w:val="16"/>
          <w:szCs w:val="16"/>
        </w:rPr>
        <w:t>23 сентября (6 октября) 1914 г. вышел приказ по Сев.-Зап. фронту: «Из наблюдений за работой немецких аэропланов и время боев в Вост. Пруссии выяснилось, что немцы широко пользуются ими при определении дистанций для артиллерийского огня и корректирования его»... (11289).</w:t>
      </w:r>
    </w:p>
    <w:p w14:paraId="61B64196" w14:textId="77777777" w:rsidR="00B67D7C" w:rsidRPr="00DE096C" w:rsidRDefault="00B67D7C" w:rsidP="00D45A46">
      <w:pPr>
        <w:jc w:val="both"/>
        <w:rPr>
          <w:bCs/>
          <w:color w:val="002060"/>
          <w:sz w:val="16"/>
          <w:szCs w:val="16"/>
        </w:rPr>
      </w:pPr>
    </w:p>
    <w:p w14:paraId="27FEF4B4" w14:textId="77777777" w:rsidR="00FF58FD" w:rsidRPr="00DE096C" w:rsidRDefault="00FF58FD" w:rsidP="00D45A46">
      <w:pPr>
        <w:jc w:val="both"/>
        <w:rPr>
          <w:bCs/>
          <w:i/>
          <w:color w:val="002060"/>
          <w:sz w:val="16"/>
          <w:szCs w:val="16"/>
        </w:rPr>
      </w:pPr>
      <w:r w:rsidRPr="00DE096C">
        <w:rPr>
          <w:bCs/>
          <w:i/>
          <w:color w:val="002060"/>
          <w:sz w:val="16"/>
          <w:szCs w:val="16"/>
        </w:rPr>
        <w:t>За рубежом:</w:t>
      </w:r>
    </w:p>
    <w:p w14:paraId="7AFE75BA" w14:textId="77777777" w:rsidR="00FF58FD" w:rsidRPr="00DE096C" w:rsidRDefault="00FF58FD" w:rsidP="00D45A46">
      <w:pPr>
        <w:jc w:val="both"/>
        <w:rPr>
          <w:bCs/>
          <w:color w:val="002060"/>
          <w:sz w:val="16"/>
          <w:szCs w:val="16"/>
        </w:rPr>
      </w:pPr>
    </w:p>
    <w:p w14:paraId="0EF766B2" w14:textId="77777777" w:rsidR="007C4D43" w:rsidRPr="00DE096C" w:rsidRDefault="007C4D43" w:rsidP="00D45A46">
      <w:pPr>
        <w:jc w:val="both"/>
        <w:rPr>
          <w:bCs/>
          <w:color w:val="002060"/>
          <w:sz w:val="16"/>
          <w:szCs w:val="16"/>
        </w:rPr>
      </w:pPr>
      <w:r w:rsidRPr="00DE096C">
        <w:rPr>
          <w:rStyle w:val="ucoz-forum-post"/>
          <w:rFonts w:eastAsiaTheme="majorEastAsia"/>
          <w:bCs/>
          <w:color w:val="002060"/>
          <w:sz w:val="16"/>
          <w:szCs w:val="16"/>
        </w:rPr>
        <w:t xml:space="preserve">23 сентября </w:t>
      </w:r>
      <w:r w:rsidRPr="00DE096C">
        <w:rPr>
          <w:bCs/>
          <w:color w:val="002060"/>
          <w:sz w:val="16"/>
          <w:szCs w:val="16"/>
        </w:rPr>
        <w:t>в 1914 году немецкое командование собрало 14 линкоров в районе Виндавы для высадки десанта на побережье Курляндии (Россия) (14778).</w:t>
      </w:r>
    </w:p>
    <w:p w14:paraId="442B7389" w14:textId="77777777" w:rsidR="007C4D43" w:rsidRPr="00DE096C" w:rsidRDefault="007C4D43" w:rsidP="00D45A46">
      <w:pPr>
        <w:jc w:val="both"/>
        <w:rPr>
          <w:bCs/>
          <w:color w:val="002060"/>
          <w:sz w:val="16"/>
          <w:szCs w:val="16"/>
        </w:rPr>
      </w:pPr>
    </w:p>
    <w:p w14:paraId="51FC2370"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50E86344" w14:textId="77777777" w:rsidR="00B67D7C" w:rsidRPr="00DE096C" w:rsidRDefault="00B67D7C" w:rsidP="00D45A46">
      <w:pPr>
        <w:shd w:val="clear" w:color="auto" w:fill="FFFFFF"/>
        <w:jc w:val="both"/>
        <w:rPr>
          <w:bCs/>
          <w:i/>
          <w:color w:val="002060"/>
          <w:sz w:val="16"/>
          <w:szCs w:val="16"/>
        </w:rPr>
      </w:pPr>
    </w:p>
    <w:p w14:paraId="7E3510E6" w14:textId="05841E4E"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24 сентября (7 октября) 1914 </w:t>
      </w:r>
      <w:r w:rsidR="00DC6A70" w:rsidRPr="00DE096C">
        <w:rPr>
          <w:bCs/>
          <w:i w:val="0"/>
          <w:color w:val="002060"/>
          <w:spacing w:val="0"/>
          <w:kern w:val="0"/>
          <w:position w:val="0"/>
          <w:sz w:val="16"/>
          <w:szCs w:val="16"/>
        </w:rPr>
        <w:t xml:space="preserve">г. </w:t>
      </w:r>
      <w:r w:rsidRPr="00DE096C">
        <w:rPr>
          <w:bCs/>
          <w:i w:val="0"/>
          <w:color w:val="002060"/>
          <w:spacing w:val="0"/>
          <w:kern w:val="0"/>
          <w:position w:val="0"/>
          <w:sz w:val="16"/>
          <w:szCs w:val="16"/>
        </w:rPr>
        <w:t>на фронт отправился "Илья Муромец II" поручика А.В.Панкратьева. Председатель Правления А/О РБВЗ Шидловский написал докладную записку военному министру Сухомлинову и просил, чтобы ему на деле дали возможность доказать пригодность "Муромцев" для военных целей. В ней указывалось неправильное использование этих машин на фронте и предлагалось сформировать из разрозненных отрядов "Муромцев" боевое соединение по типу эскадры морских боевых кораблей. Верховный Главнокомандующий Великий князь Николай Николаевич и сам император также ознакомились с докладом и одобрили этот проект. В начале декабря 1914г. был издан приказ согласно которого вся авиация делилась на тяжелую и легкую. Было сформировано Управление Эскадры Воздушных Кораблей (УЭВК), подчиненное Верховному Главнокомандующему. М.В.Шидловскому присвоили звание генерал-майора, что соответствовало его чину действительного статского советника, и назначили Начальником УЭВК. По штату Эскадре полагалось 10 боевых и 2 учебных корабля. Аэродром УЭВК находился у деревни Старая Яблонна (под Варшавой), куда в декабре 1914 г прибыли 111-й, V-й, VI-й и VII-й корабли. Два последних "Муромца" были нового типа В ("облегченного"), с острым носом (первый учебный с 2 "Сальмсонами", второй боевой). Еще в сентябре 1914 г. при формировании трех до­полнительных отрядов (V-го поручика Г.В.Алехновича, VI-го штабс-капитана Б.Н.Фирсова и VII-го штабс-капитана Г.Г.Горшкова). Для отряда "Киевский" ( VII-го по порядку) предназ­начался "Киевский" №128, находившийся в Гатчинской школе. Но школа просила оставить корабль для подготовки летчиков. Тогда Горшкову выделили новый аэроплан за №150 типа И, который получил название "Киевский" по имени отряда. Бесценные моторы "Аргус" были сняты с гатчинца и поставлены на новый корабль, который в декабре убыл по ж/д на фронт вместе с УЭВК (11277).</w:t>
      </w:r>
    </w:p>
    <w:p w14:paraId="44CF799C" w14:textId="77777777" w:rsidR="002B27D3" w:rsidRPr="00DE096C" w:rsidRDefault="002B27D3" w:rsidP="00D45A46">
      <w:pPr>
        <w:jc w:val="both"/>
        <w:rPr>
          <w:bCs/>
          <w:color w:val="002060"/>
          <w:sz w:val="16"/>
          <w:szCs w:val="16"/>
        </w:rPr>
      </w:pPr>
    </w:p>
    <w:p w14:paraId="61912BD8" w14:textId="408B8DE6" w:rsidR="00DC6A70" w:rsidRPr="00DE096C" w:rsidRDefault="00DC6A70" w:rsidP="00D45A46">
      <w:pPr>
        <w:jc w:val="both"/>
        <w:rPr>
          <w:bCs/>
          <w:color w:val="002060"/>
          <w:sz w:val="16"/>
          <w:szCs w:val="16"/>
        </w:rPr>
      </w:pPr>
      <w:r w:rsidRPr="00DE096C">
        <w:rPr>
          <w:bCs/>
          <w:color w:val="002060"/>
          <w:sz w:val="16"/>
          <w:szCs w:val="16"/>
        </w:rPr>
        <w:t>24 сентября (7 октября) 1914 г. на фронт отправился "Илья Муромец И" поручика А.В.Панкратьева. Возле ст.Режица корабль был обстрелян чинами охраны Виндаво-Рыбинской железной дороги, вследствие чего должен был произвести вынужденный спуск, повлекший за собой значительную поломку аппарата. Вследствие аварии необходимо было заменить: переднюю часть фюзеляжа, все нижние поверхности в четырех коробках крыльев, мотор "Сальмсон" 200 л.с., у которого был погнут вал. На РБВЗ заказали новый мотор и пока его ждали, отремонтировали за месяц корабль. Не дождавшись "Сальмсона", в конце ноября (!) эскипаж с кораблем переехал по ж/д в Брест- Литовск. Оказалось, что на РБВЗ уронили и повредили долгожданный мотор. 200-сильный двигатель догадались испытывать на станке, предназначенном для 80-сильного "Гнома" - результат налицо. Вскоре бездействующий отряд "Ильи Муромца II" вызвали в дер.Старая Яблонна, где собиралась вся Эскадра (12038).</w:t>
      </w:r>
    </w:p>
    <w:p w14:paraId="194BDD61" w14:textId="77777777" w:rsidR="00DC6A70" w:rsidRPr="00DE096C" w:rsidRDefault="00DC6A70" w:rsidP="00D45A46">
      <w:pPr>
        <w:jc w:val="both"/>
        <w:rPr>
          <w:bCs/>
          <w:color w:val="002060"/>
          <w:sz w:val="16"/>
          <w:szCs w:val="16"/>
        </w:rPr>
      </w:pPr>
    </w:p>
    <w:p w14:paraId="28C1F53A" w14:textId="2E1A62FB" w:rsidR="002B27D3" w:rsidRPr="00DE096C" w:rsidRDefault="002B27D3" w:rsidP="00D45A46">
      <w:pPr>
        <w:jc w:val="both"/>
        <w:rPr>
          <w:bCs/>
          <w:color w:val="002060"/>
          <w:sz w:val="16"/>
          <w:szCs w:val="16"/>
        </w:rPr>
      </w:pPr>
      <w:r w:rsidRPr="00DE096C">
        <w:rPr>
          <w:bCs/>
          <w:color w:val="002060"/>
          <w:sz w:val="16"/>
          <w:szCs w:val="16"/>
        </w:rPr>
        <w:t>24 сентября (7 октября) I914 года "Муромец II" (заводской номер 136) убыл но назначению в Белосток. Сперва спустились в Пскове, а через два дня - в Острове. Во второй половине дня 27 сентября полетели в Режицу. Начало темнеть и пилот решил садиться. При посадке на незнакомой местности у Режипы аппарат был серьёзно поломан. Кроме того, при спуске "Муромец" ешё был обстрелян ратниками из охраны Винда- во-Рыбинской железной дороги. К счастью, выстрелы из берданок не достигли цели. А вот при посадке аэроплан пострадал серьёзно: снесло переднюю площадку, был сломан фюзеляж за пилотской каютой, в четырёх секциях крыльевых коробок были поломаны нижние плоскости, повреждён вал у одного из 200-сильных "Сальмсонов".</w:t>
      </w:r>
    </w:p>
    <w:p w14:paraId="33E9780E" w14:textId="77777777" w:rsidR="002B27D3" w:rsidRPr="00DE096C" w:rsidRDefault="002B27D3" w:rsidP="00D45A46">
      <w:pPr>
        <w:jc w:val="both"/>
        <w:rPr>
          <w:bCs/>
          <w:color w:val="002060"/>
          <w:sz w:val="16"/>
          <w:szCs w:val="16"/>
        </w:rPr>
      </w:pPr>
      <w:r w:rsidRPr="00DE096C">
        <w:rPr>
          <w:bCs/>
          <w:color w:val="002060"/>
          <w:sz w:val="16"/>
          <w:szCs w:val="16"/>
        </w:rPr>
        <w:t>Аэроплан был разобран и команда отряда, установив палатку, в спешном порядке приступила к ремонту. К началу ноября, благодаря упорству и настойчивости командира Панкратьева (к тому времени уже штабс-капитана), "Илья Муромец II" был отремонтирован. Но починить согнутый вал 200-сильного мотора "Сальмсон" в полевых условиях не представлялось возможным. Двигатель в сопровождении моториста Ушакова направили для ремонта на завод в Петроград. Отряд "Муромца II" бездействовал в ожидании злополучного "Сальмсона".</w:t>
      </w:r>
    </w:p>
    <w:p w14:paraId="1EAF7D97" w14:textId="77777777" w:rsidR="002B27D3" w:rsidRPr="00DE096C" w:rsidRDefault="002B27D3" w:rsidP="00D45A46">
      <w:pPr>
        <w:jc w:val="both"/>
        <w:rPr>
          <w:bCs/>
          <w:color w:val="002060"/>
          <w:sz w:val="16"/>
          <w:szCs w:val="16"/>
        </w:rPr>
      </w:pPr>
      <w:r w:rsidRPr="00DE096C">
        <w:rPr>
          <w:bCs/>
          <w:color w:val="002060"/>
          <w:sz w:val="16"/>
          <w:szCs w:val="16"/>
        </w:rPr>
        <w:t>Но злоключения продолжались. После ремонта Ушаков был готов забрать двигатель немедленно, но заводское начальство настояло на пробном запуске. Двигатель поставили на станок для 80-сильного "Гнома". При опробовании мотора на полном газу, станок, естественно, опрокинулся, превратив отремонтированный двигатель в груду обломков.</w:t>
      </w:r>
    </w:p>
    <w:p w14:paraId="4D71CECA" w14:textId="77777777" w:rsidR="002B27D3" w:rsidRPr="00DE096C" w:rsidRDefault="002B27D3" w:rsidP="00D45A46">
      <w:pPr>
        <w:jc w:val="both"/>
        <w:rPr>
          <w:bCs/>
          <w:color w:val="002060"/>
          <w:sz w:val="16"/>
          <w:szCs w:val="16"/>
        </w:rPr>
      </w:pPr>
      <w:r w:rsidRPr="00DE096C">
        <w:rPr>
          <w:bCs/>
          <w:color w:val="002060"/>
          <w:sz w:val="16"/>
          <w:szCs w:val="16"/>
        </w:rPr>
        <w:t>Во время ремонта в конструкцию II аэроплана были внесены некоторые изменения, положительно сказавшиеся на характеристиках аппарата. Радиаторы были подняты выше, что улучшило условия охлаждения моторов. Была доработана и улучшена система питания моторов бензином из запасных баков. Два наружных топливных бака были заменены одним, перенесённым внутрь фюзеляжа. При сохранении обшей схемы бензинопроводов была обеспечена возможность каждому мотору работать от трёх баков: своего, запасного и бака соседнего мотора. Общий вес аэроплана был уменьшен удалением излишних перегородок, кровати, лестницы, перил верхней площадки и спиливанием концов болтов.</w:t>
      </w:r>
    </w:p>
    <w:p w14:paraId="2216F96C" w14:textId="77777777" w:rsidR="002B27D3" w:rsidRPr="00DE096C" w:rsidRDefault="002B27D3" w:rsidP="00D45A46">
      <w:pPr>
        <w:jc w:val="both"/>
        <w:rPr>
          <w:bCs/>
          <w:color w:val="002060"/>
          <w:sz w:val="16"/>
          <w:szCs w:val="16"/>
        </w:rPr>
      </w:pPr>
      <w:r w:rsidRPr="00DE096C">
        <w:rPr>
          <w:bCs/>
          <w:color w:val="002060"/>
          <w:sz w:val="16"/>
          <w:szCs w:val="16"/>
        </w:rPr>
        <w:t>Демонтаж баков внешних двигателей позволил уменьшить также и общее сопротивление самолёта. Тщательная переборка трёх оставшихся моторов и отладка карбюраторов дали хорошие результаты: теперь они запускались быстрее, давали на земле до 1650 оборотов и не захлебывались при переходе от малого газа на большой. В картере оставшегося 200-сильного мотора была обнаружена пригоршня гаек, болтов и шплинтов, которые были вынуты с помощью магнита. Естественно, что в адрес союзников при этом было сказано немало крепких слов. Панкратьев сильно переживал, что из-за отсутствия несчастного мотора, отряд не может приступить к боевой работе (12041).</w:t>
      </w:r>
    </w:p>
    <w:p w14:paraId="666B5622" w14:textId="77777777" w:rsidR="002B27D3" w:rsidRPr="00DE096C" w:rsidRDefault="002B27D3" w:rsidP="00D45A46">
      <w:pPr>
        <w:jc w:val="both"/>
        <w:rPr>
          <w:bCs/>
          <w:color w:val="002060"/>
          <w:sz w:val="16"/>
          <w:szCs w:val="16"/>
        </w:rPr>
      </w:pPr>
    </w:p>
    <w:p w14:paraId="4CF7A29B" w14:textId="77777777" w:rsidR="00A22FBF" w:rsidRPr="00DE096C" w:rsidRDefault="00A22FBF" w:rsidP="00D45A46">
      <w:pPr>
        <w:jc w:val="both"/>
        <w:rPr>
          <w:bCs/>
          <w:color w:val="002060"/>
          <w:sz w:val="16"/>
          <w:szCs w:val="16"/>
        </w:rPr>
      </w:pPr>
      <w:r w:rsidRPr="00DE096C">
        <w:rPr>
          <w:bCs/>
          <w:color w:val="002060"/>
          <w:sz w:val="16"/>
          <w:szCs w:val="16"/>
        </w:rPr>
        <w:lastRenderedPageBreak/>
        <w:t>24 сентября (7 октября) 1914 г. корабль «Илья Муромец» Б-4 (ИМ-Б зав. № 136, борт № II) экз. № 4, стратегический разведчик, по сути – учебный самолет вылетел по месту назначения, следуя на малой высоте вдоль линии ж/д Рыбинск – Виндава (ныне Вентспилс, Латвия), используя ее как ориентир. Охрана ж/д о полете уведомлена не была и у ст. Режица обстреляла корабль, который при вынужденной посадке получил значительные повреждения.</w:t>
      </w:r>
    </w:p>
    <w:p w14:paraId="5325FF28" w14:textId="77777777" w:rsidR="00A22FBF" w:rsidRPr="00DE096C" w:rsidRDefault="00A22FBF" w:rsidP="00D45A46">
      <w:pPr>
        <w:jc w:val="both"/>
        <w:rPr>
          <w:bCs/>
          <w:color w:val="002060"/>
          <w:sz w:val="16"/>
          <w:szCs w:val="16"/>
        </w:rPr>
      </w:pPr>
      <w:r w:rsidRPr="00DE096C">
        <w:rPr>
          <w:bCs/>
          <w:color w:val="002060"/>
          <w:sz w:val="16"/>
          <w:szCs w:val="16"/>
        </w:rPr>
        <w:t>Был сдан РБВЗ в начале осени 1914 г.</w:t>
      </w:r>
    </w:p>
    <w:p w14:paraId="73BA7C1E" w14:textId="77777777" w:rsidR="00A22FBF" w:rsidRPr="00DE096C" w:rsidRDefault="00A22FBF" w:rsidP="00D45A46">
      <w:pPr>
        <w:jc w:val="both"/>
        <w:rPr>
          <w:bCs/>
          <w:color w:val="002060"/>
          <w:sz w:val="16"/>
          <w:szCs w:val="16"/>
        </w:rPr>
      </w:pPr>
      <w:r w:rsidRPr="00DE096C">
        <w:rPr>
          <w:bCs/>
          <w:color w:val="002060"/>
          <w:sz w:val="16"/>
          <w:szCs w:val="16"/>
        </w:rPr>
        <w:t>Самолет построен с отличиями от предыдущего:</w:t>
      </w:r>
    </w:p>
    <w:p w14:paraId="54387BE4" w14:textId="77777777" w:rsidR="00A22FBF" w:rsidRPr="00DE096C" w:rsidRDefault="00A22FBF" w:rsidP="00D45A46">
      <w:pPr>
        <w:jc w:val="both"/>
        <w:rPr>
          <w:bCs/>
          <w:color w:val="002060"/>
          <w:sz w:val="16"/>
          <w:szCs w:val="16"/>
        </w:rPr>
      </w:pPr>
      <w:r w:rsidRPr="00DE096C">
        <w:rPr>
          <w:bCs/>
          <w:color w:val="002060"/>
          <w:sz w:val="16"/>
          <w:szCs w:val="16"/>
        </w:rPr>
        <w:t>- установлены средние 14-цилиндровые двухрядные звездообразные моторы водяного охлаждения Сальмсон 2М7 (по 200 л.с.);</w:t>
      </w:r>
    </w:p>
    <w:p w14:paraId="15F5B060" w14:textId="77777777" w:rsidR="00A22FBF" w:rsidRPr="00DE096C" w:rsidRDefault="00A22FBF" w:rsidP="00D45A46">
      <w:pPr>
        <w:jc w:val="both"/>
        <w:rPr>
          <w:bCs/>
          <w:color w:val="002060"/>
          <w:sz w:val="16"/>
          <w:szCs w:val="16"/>
        </w:rPr>
      </w:pPr>
      <w:r w:rsidRPr="00DE096C">
        <w:rPr>
          <w:bCs/>
          <w:color w:val="002060"/>
          <w:sz w:val="16"/>
          <w:szCs w:val="16"/>
        </w:rPr>
        <w:t>- установлены внешние 9-цилиндровые двухрядные звездообразные моторы водяного охлаждения Сальмсон В9 (по 135 л.с. по данным В.Б. Шаврова и 130 л.с. по М. Хайрулину);</w:t>
      </w:r>
    </w:p>
    <w:p w14:paraId="0D7BFE7D" w14:textId="77777777" w:rsidR="00A22FBF" w:rsidRPr="00DE096C" w:rsidRDefault="00A22FBF" w:rsidP="00D45A46">
      <w:pPr>
        <w:jc w:val="both"/>
        <w:rPr>
          <w:bCs/>
          <w:color w:val="002060"/>
          <w:sz w:val="16"/>
          <w:szCs w:val="16"/>
        </w:rPr>
      </w:pPr>
      <w:r w:rsidRPr="00DE096C">
        <w:rPr>
          <w:bCs/>
          <w:color w:val="002060"/>
          <w:sz w:val="16"/>
          <w:szCs w:val="16"/>
        </w:rPr>
        <w:t>- топливная система – с пятью баками (по одному над каждым мотором и один под центропланом верхнего крыла справа от ПСС);</w:t>
      </w:r>
    </w:p>
    <w:p w14:paraId="68DEA9F2" w14:textId="77777777" w:rsidR="00A22FBF" w:rsidRPr="00DE096C" w:rsidRDefault="00A22FBF" w:rsidP="00D45A46">
      <w:pPr>
        <w:jc w:val="both"/>
        <w:rPr>
          <w:bCs/>
          <w:color w:val="002060"/>
          <w:sz w:val="16"/>
          <w:szCs w:val="16"/>
        </w:rPr>
      </w:pPr>
      <w:r w:rsidRPr="00DE096C">
        <w:rPr>
          <w:bCs/>
          <w:color w:val="002060"/>
          <w:sz w:val="16"/>
          <w:szCs w:val="16"/>
        </w:rPr>
        <w:t>- установлены новые радиаторы.</w:t>
      </w:r>
    </w:p>
    <w:p w14:paraId="412A8D05" w14:textId="77777777" w:rsidR="00A22FBF" w:rsidRPr="00DE096C" w:rsidRDefault="00A22FBF" w:rsidP="00D45A46">
      <w:pPr>
        <w:jc w:val="both"/>
        <w:rPr>
          <w:bCs/>
          <w:color w:val="002060"/>
          <w:sz w:val="16"/>
          <w:szCs w:val="16"/>
        </w:rPr>
      </w:pPr>
      <w:r w:rsidRPr="00DE096C">
        <w:rPr>
          <w:bCs/>
          <w:color w:val="002060"/>
          <w:sz w:val="16"/>
          <w:szCs w:val="16"/>
        </w:rPr>
        <w:t>Из вооружения достоверно известно об установке пулемета «Максим» на верхней площадке.</w:t>
      </w:r>
    </w:p>
    <w:p w14:paraId="1870C612" w14:textId="77777777" w:rsidR="00A22FBF" w:rsidRPr="00DE096C" w:rsidRDefault="00A22FBF" w:rsidP="00D45A46">
      <w:pPr>
        <w:jc w:val="both"/>
        <w:rPr>
          <w:bCs/>
          <w:color w:val="002060"/>
          <w:sz w:val="16"/>
          <w:szCs w:val="16"/>
        </w:rPr>
      </w:pPr>
      <w:r w:rsidRPr="00DE096C">
        <w:rPr>
          <w:bCs/>
          <w:color w:val="002060"/>
          <w:sz w:val="16"/>
          <w:szCs w:val="16"/>
        </w:rPr>
        <w:t>По сравнению с головным кораблем серии Б № 128 вес конструкции был больше на 560 кг, а взлетный – на 150 кг, лобовое сопротивление выросло и все летные данные ухудшились.</w:t>
      </w:r>
    </w:p>
    <w:p w14:paraId="396B5E6E" w14:textId="77777777" w:rsidR="00A22FBF" w:rsidRPr="00DE096C" w:rsidRDefault="00A22FBF" w:rsidP="00D45A46">
      <w:pPr>
        <w:jc w:val="both"/>
        <w:rPr>
          <w:bCs/>
          <w:color w:val="002060"/>
          <w:sz w:val="16"/>
          <w:szCs w:val="16"/>
        </w:rPr>
      </w:pPr>
      <w:r w:rsidRPr="00DE096C">
        <w:rPr>
          <w:bCs/>
          <w:color w:val="002060"/>
          <w:sz w:val="16"/>
          <w:szCs w:val="16"/>
        </w:rPr>
        <w:t>Командиром корабля был назначен поручик А.В. Панкратьев.</w:t>
      </w:r>
    </w:p>
    <w:p w14:paraId="67127D26" w14:textId="77777777" w:rsidR="00A22FBF" w:rsidRPr="00DE096C" w:rsidRDefault="00A22FBF" w:rsidP="00D45A46">
      <w:pPr>
        <w:jc w:val="both"/>
        <w:rPr>
          <w:bCs/>
          <w:color w:val="002060"/>
          <w:sz w:val="16"/>
          <w:szCs w:val="16"/>
        </w:rPr>
      </w:pPr>
      <w:r w:rsidRPr="00DE096C">
        <w:rPr>
          <w:bCs/>
          <w:color w:val="002060"/>
          <w:sz w:val="16"/>
          <w:szCs w:val="16"/>
        </w:rPr>
        <w:t>При полевом ремонте требовалось восстановить или заменить:</w:t>
      </w:r>
    </w:p>
    <w:p w14:paraId="4B57F6D1" w14:textId="77777777" w:rsidR="00A22FBF" w:rsidRPr="00DE096C" w:rsidRDefault="00A22FBF" w:rsidP="00D45A46">
      <w:pPr>
        <w:jc w:val="both"/>
        <w:rPr>
          <w:bCs/>
          <w:color w:val="002060"/>
          <w:sz w:val="16"/>
          <w:szCs w:val="16"/>
        </w:rPr>
      </w:pPr>
      <w:r w:rsidRPr="00DE096C">
        <w:rPr>
          <w:bCs/>
          <w:color w:val="002060"/>
          <w:sz w:val="16"/>
          <w:szCs w:val="16"/>
        </w:rPr>
        <w:t>- носовую часть фюзеляжа (была смята);</w:t>
      </w:r>
    </w:p>
    <w:p w14:paraId="08A48BDE" w14:textId="77777777" w:rsidR="00A22FBF" w:rsidRPr="00DE096C" w:rsidRDefault="00A22FBF" w:rsidP="00D45A46">
      <w:pPr>
        <w:jc w:val="both"/>
        <w:rPr>
          <w:bCs/>
          <w:color w:val="002060"/>
          <w:sz w:val="16"/>
          <w:szCs w:val="16"/>
        </w:rPr>
      </w:pPr>
      <w:r w:rsidRPr="00DE096C">
        <w:rPr>
          <w:bCs/>
          <w:color w:val="002060"/>
          <w:sz w:val="16"/>
          <w:szCs w:val="16"/>
        </w:rPr>
        <w:t>- все нижнее крыло;</w:t>
      </w:r>
    </w:p>
    <w:p w14:paraId="2B967241" w14:textId="77777777" w:rsidR="00A22FBF" w:rsidRPr="00DE096C" w:rsidRDefault="00A22FBF" w:rsidP="00D45A46">
      <w:pPr>
        <w:jc w:val="both"/>
        <w:rPr>
          <w:bCs/>
          <w:color w:val="002060"/>
          <w:sz w:val="16"/>
          <w:szCs w:val="16"/>
        </w:rPr>
      </w:pPr>
      <w:r w:rsidRPr="00DE096C">
        <w:rPr>
          <w:bCs/>
          <w:color w:val="002060"/>
          <w:sz w:val="16"/>
          <w:szCs w:val="16"/>
        </w:rPr>
        <w:t>- один мотор.</w:t>
      </w:r>
    </w:p>
    <w:p w14:paraId="45AA00B4" w14:textId="77777777" w:rsidR="00A22FBF" w:rsidRPr="00DE096C" w:rsidRDefault="00A22FBF" w:rsidP="00D45A46">
      <w:pPr>
        <w:jc w:val="both"/>
        <w:rPr>
          <w:bCs/>
          <w:color w:val="002060"/>
          <w:sz w:val="16"/>
          <w:szCs w:val="16"/>
        </w:rPr>
      </w:pPr>
      <w:r w:rsidRPr="00DE096C">
        <w:rPr>
          <w:bCs/>
          <w:color w:val="002060"/>
          <w:sz w:val="16"/>
          <w:szCs w:val="16"/>
        </w:rPr>
        <w:t>Ремонт планера выполнили примерно за месяц, но гонку мотора, заказанного на замену, на РБВЗ выполнили на станке для ротативных моторов мощностью до 80 л.с. и вывели его из строя.</w:t>
      </w:r>
    </w:p>
    <w:p w14:paraId="25E9D21C" w14:textId="77777777" w:rsidR="00A22FBF" w:rsidRPr="00DE096C" w:rsidRDefault="00A22FBF" w:rsidP="00D45A46">
      <w:pPr>
        <w:jc w:val="both"/>
        <w:rPr>
          <w:bCs/>
          <w:color w:val="002060"/>
          <w:sz w:val="16"/>
          <w:szCs w:val="16"/>
        </w:rPr>
      </w:pPr>
      <w:r w:rsidRPr="00DE096C">
        <w:rPr>
          <w:bCs/>
          <w:color w:val="002060"/>
          <w:sz w:val="16"/>
          <w:szCs w:val="16"/>
        </w:rPr>
        <w:t>В конце ноября (начале декабря по н.ст.) 1914 г. корабль в разобранном виде и команду по ж/д доставили в Брест-Литовск (ныне Брест, Белоруссия).</w:t>
      </w:r>
    </w:p>
    <w:p w14:paraId="162E320C" w14:textId="77777777" w:rsidR="00A22FBF" w:rsidRPr="00DE096C" w:rsidRDefault="00A22FBF" w:rsidP="00D45A46">
      <w:pPr>
        <w:jc w:val="both"/>
        <w:rPr>
          <w:bCs/>
          <w:color w:val="002060"/>
          <w:sz w:val="16"/>
          <w:szCs w:val="16"/>
        </w:rPr>
      </w:pPr>
      <w:r w:rsidRPr="00DE096C">
        <w:rPr>
          <w:bCs/>
          <w:color w:val="002060"/>
          <w:sz w:val="16"/>
          <w:szCs w:val="16"/>
        </w:rPr>
        <w:t>16 мая 1916 г. на а/д Яблонна самолет был осмотрен Великим князем Кириллом Владимировичем (Романовым) со свитой.</w:t>
      </w:r>
    </w:p>
    <w:p w14:paraId="0542C0D8" w14:textId="77777777" w:rsidR="00A22FBF" w:rsidRPr="00DE096C" w:rsidRDefault="00A22FBF" w:rsidP="00D45A46">
      <w:pPr>
        <w:jc w:val="both"/>
        <w:rPr>
          <w:bCs/>
          <w:color w:val="002060"/>
          <w:sz w:val="16"/>
          <w:szCs w:val="16"/>
        </w:rPr>
      </w:pPr>
      <w:r w:rsidRPr="00DE096C">
        <w:rPr>
          <w:bCs/>
          <w:color w:val="002060"/>
          <w:sz w:val="16"/>
          <w:szCs w:val="16"/>
        </w:rPr>
        <w:t>Списан во 2-й половине мая 1915 г. в Яблонне (23569).</w:t>
      </w:r>
    </w:p>
    <w:p w14:paraId="6CECC0B5" w14:textId="77777777" w:rsidR="00A22FBF" w:rsidRPr="00DE096C" w:rsidRDefault="00A22FBF" w:rsidP="00D45A46">
      <w:pPr>
        <w:jc w:val="both"/>
        <w:rPr>
          <w:bCs/>
          <w:color w:val="002060"/>
          <w:sz w:val="16"/>
          <w:szCs w:val="16"/>
        </w:rPr>
      </w:pPr>
    </w:p>
    <w:p w14:paraId="51A9E055" w14:textId="47471F85" w:rsidR="00A22FBF" w:rsidRPr="00DE096C" w:rsidRDefault="00A22FBF" w:rsidP="00D45A46">
      <w:pPr>
        <w:jc w:val="both"/>
        <w:rPr>
          <w:bCs/>
          <w:color w:val="002060"/>
          <w:sz w:val="16"/>
          <w:szCs w:val="16"/>
        </w:rPr>
      </w:pPr>
      <w:r w:rsidRPr="00DE096C">
        <w:rPr>
          <w:bCs/>
          <w:color w:val="002060"/>
          <w:sz w:val="16"/>
          <w:szCs w:val="16"/>
        </w:rPr>
        <w:t>24 сентября (7 октября) 1914 г. Панкратьев вылетел на фронт на «Муромце» (№ 136). Но и ему не повезло. При посадке на одном из промежуточных пунктов маршрута надло</w:t>
      </w:r>
      <w:r w:rsidRPr="00DE096C">
        <w:rPr>
          <w:bCs/>
          <w:color w:val="002060"/>
          <w:sz w:val="16"/>
          <w:szCs w:val="16"/>
        </w:rPr>
        <w:softHyphen/>
        <w:t>милось шасси (наезд на препятствие), винты правой группы моторов задели за землю и погнули носки ко</w:t>
      </w:r>
      <w:r w:rsidRPr="00DE096C">
        <w:rPr>
          <w:bCs/>
          <w:color w:val="002060"/>
          <w:sz w:val="16"/>
          <w:szCs w:val="16"/>
        </w:rPr>
        <w:softHyphen/>
        <w:t>ленчатых валов. Требовался ремонт, который в полевых условиях при отсутствии ремонтной материальной базы проводить было непросто. Таким образом, информация о возможностях боевого применения «Муромцев» шла только от Руднева (24177).</w:t>
      </w:r>
    </w:p>
    <w:p w14:paraId="0E5571F2" w14:textId="77777777" w:rsidR="00A22FBF" w:rsidRPr="00DE096C" w:rsidRDefault="00A22FBF" w:rsidP="00D45A46">
      <w:pPr>
        <w:jc w:val="both"/>
        <w:rPr>
          <w:bCs/>
          <w:i/>
          <w:color w:val="002060"/>
          <w:sz w:val="16"/>
          <w:szCs w:val="16"/>
        </w:rPr>
      </w:pPr>
    </w:p>
    <w:p w14:paraId="3BAE2DAC" w14:textId="6565D2D0" w:rsidR="007C4D43" w:rsidRPr="00DE096C" w:rsidRDefault="007C4D43" w:rsidP="00D45A46">
      <w:pPr>
        <w:jc w:val="both"/>
        <w:rPr>
          <w:bCs/>
          <w:i/>
          <w:color w:val="002060"/>
          <w:sz w:val="16"/>
          <w:szCs w:val="16"/>
        </w:rPr>
      </w:pPr>
      <w:r w:rsidRPr="00DE096C">
        <w:rPr>
          <w:bCs/>
          <w:i/>
          <w:color w:val="002060"/>
          <w:sz w:val="16"/>
          <w:szCs w:val="16"/>
        </w:rPr>
        <w:t>Другие оборонные отрасли:</w:t>
      </w:r>
    </w:p>
    <w:p w14:paraId="241AF4C1" w14:textId="77777777" w:rsidR="007C4D43" w:rsidRPr="00DE096C" w:rsidRDefault="007C4D43" w:rsidP="00D45A46">
      <w:pPr>
        <w:jc w:val="both"/>
        <w:rPr>
          <w:bCs/>
          <w:i/>
          <w:color w:val="002060"/>
          <w:sz w:val="16"/>
          <w:szCs w:val="16"/>
        </w:rPr>
      </w:pPr>
    </w:p>
    <w:p w14:paraId="392C5EB7" w14:textId="69CEFFC3" w:rsidR="007C4D43" w:rsidRPr="00DE096C" w:rsidRDefault="007C4D43" w:rsidP="00D45A46">
      <w:pPr>
        <w:jc w:val="both"/>
        <w:rPr>
          <w:rStyle w:val="ucoz-forum-post"/>
          <w:rFonts w:eastAsiaTheme="majorEastAsia"/>
          <w:bCs/>
          <w:color w:val="002060"/>
          <w:sz w:val="16"/>
          <w:szCs w:val="16"/>
        </w:rPr>
      </w:pPr>
      <w:r w:rsidRPr="00DE096C">
        <w:rPr>
          <w:rStyle w:val="ucoz-forum-post"/>
          <w:rFonts w:eastAsiaTheme="majorEastAsia"/>
          <w:bCs/>
          <w:color w:val="002060"/>
          <w:sz w:val="16"/>
          <w:szCs w:val="16"/>
        </w:rPr>
        <w:t xml:space="preserve">24 сентября </w:t>
      </w:r>
      <w:r w:rsidR="00DC6A70" w:rsidRPr="00DE096C">
        <w:rPr>
          <w:rStyle w:val="ucoz-forum-post"/>
          <w:rFonts w:eastAsiaTheme="majorEastAsia"/>
          <w:bCs/>
          <w:color w:val="002060"/>
          <w:sz w:val="16"/>
          <w:szCs w:val="16"/>
        </w:rPr>
        <w:t xml:space="preserve">(7 октября) </w:t>
      </w:r>
      <w:r w:rsidRPr="00DE096C">
        <w:rPr>
          <w:rStyle w:val="ucoz-forum-post"/>
          <w:rFonts w:eastAsiaTheme="majorEastAsia"/>
          <w:bCs/>
          <w:color w:val="002060"/>
          <w:sz w:val="16"/>
          <w:szCs w:val="16"/>
        </w:rPr>
        <w:t xml:space="preserve">1914 года </w:t>
      </w:r>
      <w:r w:rsidR="00DC6A70" w:rsidRPr="00DE096C">
        <w:rPr>
          <w:rStyle w:val="ucoz-forum-post"/>
          <w:rFonts w:eastAsiaTheme="majorEastAsia"/>
          <w:bCs/>
          <w:color w:val="002060"/>
          <w:sz w:val="16"/>
          <w:szCs w:val="16"/>
        </w:rPr>
        <w:t>был о</w:t>
      </w:r>
      <w:r w:rsidRPr="00DE096C">
        <w:rPr>
          <w:rStyle w:val="ucoz-forum-post"/>
          <w:rFonts w:eastAsiaTheme="majorEastAsia"/>
          <w:bCs/>
          <w:color w:val="002060"/>
          <w:sz w:val="16"/>
          <w:szCs w:val="16"/>
        </w:rPr>
        <w:t>бразован ОАО "Научно-исследовательский проектно-конструкторский и технологический аккумуляторный институт "Источник". В годы Великой Отечественной войны и блокады Ленинграда, не прерывал работы по снабжению фронта автомобильными, танковыми и авиационными аккумуляторами. В настоящее время ОАО «НИАИ «Источник» является одним из крупнейших российских научно-исследовательских, проектных и технологических центров по разработке и производству как традиционных, так и новых перспективных типов аккумуляторов и батарей. Приоритетными направлениями в научно-технической деятельности института являются разработка и модернизация герметичных никель-кадмиевых, никель-водородных, никель-металлгидридных, литий-ионных, свинцово-кислотных аккумуляторов и батарей, а также водоактивируемых источников тока (14779).</w:t>
      </w:r>
    </w:p>
    <w:p w14:paraId="763A5AB5" w14:textId="77777777" w:rsidR="007C4D43" w:rsidRPr="00DE096C" w:rsidRDefault="007C4D43" w:rsidP="00D45A46">
      <w:pPr>
        <w:jc w:val="both"/>
        <w:rPr>
          <w:rStyle w:val="ucoz-forum-post"/>
          <w:rFonts w:eastAsiaTheme="majorEastAsia"/>
          <w:bCs/>
          <w:color w:val="002060"/>
          <w:sz w:val="16"/>
          <w:szCs w:val="16"/>
        </w:rPr>
      </w:pPr>
    </w:p>
    <w:p w14:paraId="37B6D5DA" w14:textId="4D99FAEC" w:rsidR="007C4D43" w:rsidRPr="00DE096C" w:rsidRDefault="007C4D43" w:rsidP="00D45A46">
      <w:pPr>
        <w:jc w:val="both"/>
        <w:rPr>
          <w:bCs/>
          <w:color w:val="002060"/>
          <w:sz w:val="16"/>
          <w:szCs w:val="16"/>
        </w:rPr>
      </w:pPr>
      <w:r w:rsidRPr="00DE096C">
        <w:rPr>
          <w:rStyle w:val="ucoz-forum-post"/>
          <w:rFonts w:eastAsiaTheme="majorEastAsia"/>
          <w:bCs/>
          <w:color w:val="002060"/>
          <w:sz w:val="16"/>
          <w:szCs w:val="16"/>
        </w:rPr>
        <w:t xml:space="preserve">24 сентября </w:t>
      </w:r>
      <w:r w:rsidR="00DC6A70" w:rsidRPr="00DE096C">
        <w:rPr>
          <w:rStyle w:val="ucoz-forum-post"/>
          <w:rFonts w:eastAsiaTheme="majorEastAsia"/>
          <w:bCs/>
          <w:color w:val="002060"/>
          <w:sz w:val="16"/>
          <w:szCs w:val="16"/>
        </w:rPr>
        <w:t xml:space="preserve">(7 октября) </w:t>
      </w:r>
      <w:r w:rsidRPr="00DE096C">
        <w:rPr>
          <w:bCs/>
          <w:color w:val="002060"/>
          <w:sz w:val="16"/>
          <w:szCs w:val="16"/>
        </w:rPr>
        <w:t xml:space="preserve">в 1914 году </w:t>
      </w:r>
      <w:r w:rsidR="00DC6A70" w:rsidRPr="00DE096C">
        <w:rPr>
          <w:bCs/>
          <w:color w:val="002060"/>
          <w:sz w:val="16"/>
          <w:szCs w:val="16"/>
        </w:rPr>
        <w:t xml:space="preserve">был образован </w:t>
      </w:r>
      <w:r w:rsidRPr="00DE096C">
        <w:rPr>
          <w:bCs/>
          <w:color w:val="002060"/>
          <w:sz w:val="16"/>
          <w:szCs w:val="16"/>
        </w:rPr>
        <w:t>ОАО "Научно-исследовательский проектно-конструкторский и технологический аккумуляторный институт "Источник". История существования ОАО «НИАИ «Источник» начинается с декабря 1924 года, когда, приказом Главэнергопрома на территории завода «Ленинская Искра» (до Октябрьской революции 1917 г. носивший название аккумуляторный завод «Тюдор») была создана Центральная аккумуляторная лаборатория (ЦАЛ). В то время задачи лаборатории были также сравнительно скромными и сводились к обслуживанию производства заводов «Ленинская Искра» и завода имени Лейтенанта Шмидта (бывший «ТЭМ»), выпускавших тогда свинцовые стационарные аккумуляторы и радиоаккумуляторы. Попутно исследовались отечественные электродные материалы (свинец, сурик и глет) и оценивалась возможность их применения в производстве свинцовых аккумуляторов. Новый этап становления ЦАЛ связан с началом разработок в области щелочных аккумуляторов (никель-кадмиевых и никель-железных), которые обладают более высокими энергетическими и эксплуатационными свойствами по сравнению со свинцовыми. Работы в этом направлении были начаты в 1928 году и уже к лету 1931 года завершились разработкой технологии, проектированием и строительством аккумуляторного завода в Саратове. В 1934 году были получены первые 10 опытных образцов никель-железных аккумуляторов, а в дальнейшем аккумуляторы этой системы выпускались на Саратовском заводе. К 1940 году аккумуляторная промышленность СССР сложилась в самостоятельную отрасль производства, объединяющую несколько заводов и располагавшую большой армией квалифицированных кадров электрохимиков. Научным центром этой отрасли и автором большинства разработок являлась Центральная аккумуляторная лаборатория, которая к тому времени представляла собой сформировавшуюся научно-исследовательскую организацию. В годы Великой Отечественной войны и блокады Ленинграда часть cотрудников лаборатории ушла на фронт и в народное ополчение, другие участвовали в организации производства аккумуляторов на заводах, эвакуированных вглубь страны. Значительная часть сотрудников осталась в блокадном Ленинграде и трудилась на заводе «Ленинская Искра», который не прерывал работы по снабжению фронта автомобильными, танковыми и авиационными аккумуляторами. После войны основные ведущие кадры довоенных работников вернулись в лабораторию. Война значительно расширила область применения химических источников тока. Потребовались иные масштабы производства, более высокие удельные электрические характеристики, как весовые, так и объемные. Возникла необходимость и в более совершенной организации научно-исследовательских и проектно-конструкторских работ. Учитывая это, руководство ЦАЛ выступило с инициативой о преобразования Центральной аккумуляторной лаборатории в Научно-исследовательский аккумуляторный институт. Приказ о создании НИАИ датируется 26 мая 1946 года. К моменту своего образования НИАИ состоял из 15 лабораторий, конструкторского бюро и ряда функциональных служб. В 1947 году было организовано опытное производство. Институт стал головным в отрасли, он занимался проектированием не только различных источников тока, но и заводов по их производству. В 1959 году Научно-исследовательский аккумуляторный институт был передан в ведение Госкомитета СМ СССР по автоматизации и машиностроению и был определен головным по отрасли. В эти годы происходит значительное увеличение объема научно-исследовательских и опытно-конструкторских работ. Были разработаны новые свинцовые аккумуляторы больших типов, малогабаритные герметичные никель-кадмиевые цилиндрические аккумуляторы для электрочасов, биоэлектрических протезов, электрокардиостимуляторов, слуховых аппаратов и малогабаритной транзисторной аппаратуры, новые гальванические системы, герметичные батареи для различных отраслей техники. В середине шестидесятых годов активно проводились работы по созданию химических источников тока на основе легких металлов и их сплавов с использованием в качестве электролита растворов хлоридов (в частности, морской воды). Начаты работы по созданию топливных элементов (электрохимических генераторов) и разработке теории электродных процессов. Были испытаны первые образцы никель-цинковых аккумуляторов в качестве тяговых батарей для электромобилей. Начались исследования по никель-водородной и никель-металлгидридной системам, на основе которых к началу семидесятых годов были созданы оригинальные конструкции аккумуляторов, работоспособных в экстремальных условиях и нашедших впоследствии применение в космической, геологоразведочной и горной технике. Была разработана новая конструкция тяговых никель-железных аккумуляторов комбинированного типа ТНЖК. В конце восьмидесятых - начале девяностых годов были начаты работы по созданию перспективных источников тока – литиевых и никель-металлгидридных аккумуляторов. Наряду с разработкой и производством новых источников тока продолжались работы по проектированию и совершенствованию традиционных аккумуляторов и батарей – свинцово-кислотных, никель-кадмиевых, никель-железных, серебряно-цинковых, серебряно-кадмиевых. Среди разработок в области свинцово-кислотных аккумуляторов следует упомянуть стационарные аккумуляторы емкостью со сроком службы 10 лет для телефонных станций, а также качестве резервных батарей для промышленных и сельскохозяйственных комплексов; аккумуляторы для запуска дизелей тепловозов и освещения вагонов; погружные аккумуляторы, работоспособные на глубине до 6000 м; малогабаритные герметизированные свинцово-кислотные батареи емкостью для автономного питания портативной радио-, теле-, видеотехники, электроинструментов, переносных приборов. Был создан также целый ряд батарей для катеров, гусеничных машин, электромобилей и мотоциклов. В настоящее время ОАО «НИАИ «Источник» является одним из крупнейших российских научно-исследовательских, проектных и технологических центров по разработке и производству как традиционных, так и новых перспективных типов аккумуляторов и батарей на основе различных электрохимических систем с широким диапазоном параметров и назначений. Разработки института внедрены и применяются на многих российских и зарубежных предприятиях. Приоритетными направлениями в научно-технической деятельности института являются разработка и модернизация герметичных никель-кадмиевых, никель-водородных, никель-металлгидридных, литий-ионных, свинцово-кислотных аккумуляторов и батарей, а также водоактивируемых источников тока (14779).</w:t>
      </w:r>
    </w:p>
    <w:p w14:paraId="7C36EF06" w14:textId="77777777" w:rsidR="007C4D43" w:rsidRPr="00DE096C" w:rsidRDefault="007C4D43" w:rsidP="00D45A46">
      <w:pPr>
        <w:jc w:val="both"/>
        <w:rPr>
          <w:bCs/>
          <w:color w:val="002060"/>
          <w:sz w:val="16"/>
          <w:szCs w:val="16"/>
        </w:rPr>
      </w:pPr>
    </w:p>
    <w:p w14:paraId="627CA96C"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Авиация:</w:t>
      </w:r>
    </w:p>
    <w:p w14:paraId="637C71F8" w14:textId="77777777" w:rsidR="00B67D7C" w:rsidRPr="00DE096C" w:rsidRDefault="00B67D7C" w:rsidP="00D45A46">
      <w:pPr>
        <w:pStyle w:val="a3"/>
        <w:jc w:val="both"/>
        <w:rPr>
          <w:bCs/>
          <w:color w:val="002060"/>
          <w:spacing w:val="0"/>
          <w:kern w:val="0"/>
          <w:position w:val="0"/>
          <w:sz w:val="16"/>
          <w:szCs w:val="16"/>
        </w:rPr>
      </w:pPr>
    </w:p>
    <w:p w14:paraId="4DF88535" w14:textId="4CAF55DE" w:rsidR="007C4D43" w:rsidRPr="00DE096C" w:rsidRDefault="007C4D43" w:rsidP="00D45A46">
      <w:pPr>
        <w:jc w:val="both"/>
        <w:rPr>
          <w:bCs/>
          <w:color w:val="002060"/>
          <w:sz w:val="16"/>
          <w:szCs w:val="16"/>
        </w:rPr>
      </w:pPr>
      <w:r w:rsidRPr="00DE096C">
        <w:rPr>
          <w:bCs/>
          <w:color w:val="002060"/>
          <w:sz w:val="16"/>
          <w:szCs w:val="16"/>
        </w:rPr>
        <w:lastRenderedPageBreak/>
        <w:t xml:space="preserve">24 сентября </w:t>
      </w:r>
      <w:r w:rsidR="002B27D3" w:rsidRPr="00DE096C">
        <w:rPr>
          <w:bCs/>
          <w:color w:val="002060"/>
          <w:sz w:val="16"/>
          <w:szCs w:val="16"/>
        </w:rPr>
        <w:t xml:space="preserve">(7 октября) </w:t>
      </w:r>
      <w:r w:rsidRPr="00DE096C">
        <w:rPr>
          <w:bCs/>
          <w:color w:val="002060"/>
          <w:sz w:val="16"/>
          <w:szCs w:val="16"/>
        </w:rPr>
        <w:t>1914 г. Генеральный штаб в одном из отношений, адресованных ГВТУ, отметил: «В настоящую войну вполне определенно выяснилась необходимость в средствах воздушной разведки», из чего делался вывод, что требуется летно-подъемный состав для управления этими средствами и ведения разведки, то есть в штате нужны были и летчики, и летчики-наблюдатели. Кроме того, война все настойчивее требовала восполнения убыли летного состава. В этих условиях Александр Михайлович поставил перед ГВТУ вопрос о сокращении сроков подготовки летчиков и учета при их обучении опыта боевых действий. Одновременно для улучшения подготовленности летчиков-наблюдателей Заведующий авиацией провел через ГУ ГШ решение о зачислении в авиашколы только офицеров, прослуживших некоторое время в войсках в качестве летчиков-наблюдателей, или знакомых с авиационным делом. Серьезная озабоченность по поводу отсутствия резерва подготовленных летчиков возникла в связи с решением о формировании восьми армейских авиаотрядов (19566).</w:t>
      </w:r>
    </w:p>
    <w:p w14:paraId="521B2B9A" w14:textId="77777777" w:rsidR="007C4D43" w:rsidRPr="00DE096C" w:rsidRDefault="007C4D43" w:rsidP="00D45A46">
      <w:pPr>
        <w:jc w:val="both"/>
        <w:rPr>
          <w:bCs/>
          <w:color w:val="002060"/>
          <w:sz w:val="16"/>
          <w:szCs w:val="16"/>
        </w:rPr>
      </w:pPr>
    </w:p>
    <w:p w14:paraId="77649B9E"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Авиация и воздухоплавание Англии:</w:t>
      </w:r>
    </w:p>
    <w:p w14:paraId="69B2F315" w14:textId="77777777" w:rsidR="00B67D7C" w:rsidRPr="00DE096C" w:rsidRDefault="00B67D7C" w:rsidP="00D45A46">
      <w:pPr>
        <w:pStyle w:val="a3"/>
        <w:jc w:val="both"/>
        <w:rPr>
          <w:bCs/>
          <w:color w:val="002060"/>
          <w:spacing w:val="0"/>
          <w:kern w:val="0"/>
          <w:position w:val="0"/>
          <w:sz w:val="16"/>
          <w:szCs w:val="16"/>
        </w:rPr>
      </w:pPr>
    </w:p>
    <w:p w14:paraId="1124620B" w14:textId="3BFD63AF" w:rsidR="007C4D43" w:rsidRPr="00DE096C" w:rsidRDefault="007C4D43" w:rsidP="00D45A46">
      <w:pPr>
        <w:jc w:val="both"/>
        <w:rPr>
          <w:bCs/>
          <w:color w:val="002060"/>
          <w:sz w:val="16"/>
          <w:szCs w:val="16"/>
        </w:rPr>
      </w:pPr>
      <w:r w:rsidRPr="00DE096C">
        <w:rPr>
          <w:rStyle w:val="ucoz-forum-post"/>
          <w:rFonts w:eastAsiaTheme="majorEastAsia"/>
          <w:bCs/>
          <w:color w:val="002060"/>
          <w:sz w:val="16"/>
          <w:szCs w:val="16"/>
        </w:rPr>
        <w:t xml:space="preserve">25 сентября (8 октября) </w:t>
      </w:r>
      <w:r w:rsidRPr="00DE096C">
        <w:rPr>
          <w:bCs/>
          <w:color w:val="002060"/>
          <w:sz w:val="16"/>
          <w:szCs w:val="16"/>
        </w:rPr>
        <w:t xml:space="preserve">в 1914 году </w:t>
      </w:r>
      <w:r w:rsidR="00AD0CCB" w:rsidRPr="00DE096C">
        <w:rPr>
          <w:bCs/>
          <w:color w:val="002060"/>
          <w:sz w:val="16"/>
          <w:szCs w:val="16"/>
        </w:rPr>
        <w:t xml:space="preserve">состоялось </w:t>
      </w:r>
      <w:r w:rsidRPr="00DE096C">
        <w:rPr>
          <w:bCs/>
          <w:color w:val="002060"/>
          <w:sz w:val="16"/>
          <w:szCs w:val="16"/>
        </w:rPr>
        <w:t>первое применение бомбардировочной авиации. Налет на германские мастерские по производству дирижаблей во Фридрихшафене с бельгийских аэродромов совершили обычные самолеты, имевшиеся на вооружении английских королевских воздушных сил и оснащенные 20-фунтовыми бомбами. Успех превзошел все ожидания, правда, в основном благодаря легковоспламеняемой конструкции цеппелинов. После этого рейда стали создаваться самолеты нового класса — бомбардировщики. В России еще в мае 1913 под руководством Игоря Сикорского был создан самолет «Илья Муромец» — первый четырехмоторный аэроплан. Всего их было построено около 80 экземпляров. Они совершили во время войны 400 налетов, потерян был лишь один самолет (14793).</w:t>
      </w:r>
    </w:p>
    <w:p w14:paraId="3BD20BAD" w14:textId="77777777" w:rsidR="007C4D43" w:rsidRPr="00DE096C" w:rsidRDefault="007C4D43" w:rsidP="00D45A46">
      <w:pPr>
        <w:jc w:val="both"/>
        <w:rPr>
          <w:bCs/>
          <w:color w:val="002060"/>
          <w:sz w:val="16"/>
          <w:szCs w:val="16"/>
        </w:rPr>
      </w:pPr>
    </w:p>
    <w:p w14:paraId="6EA5B1F6" w14:textId="77777777" w:rsidR="004B19E5" w:rsidRPr="00B52707" w:rsidRDefault="004B19E5" w:rsidP="004B19E5">
      <w:pPr>
        <w:jc w:val="both"/>
        <w:rPr>
          <w:color w:val="0070C0"/>
          <w:sz w:val="16"/>
          <w:szCs w:val="16"/>
        </w:rPr>
      </w:pPr>
      <w:r w:rsidRPr="00B52707">
        <w:rPr>
          <w:color w:val="0070C0"/>
          <w:sz w:val="16"/>
          <w:szCs w:val="16"/>
        </w:rPr>
        <w:t>25 сентября (8 октября) 1914 г. два самолета Сопвич «Таблоид» английской морской авиации пошли бомбить базы дирижаблей в Кёльне и Дюссельдорфе. Первый цель не нашел и сбросил бомбы на железнодорожную станцию, но второй с высоты 180 м попал в ангар и сжег Цеппелин Z IX в нем. Теперь самолеты действовали на всех фронтах новой войны – вплоть до самых удаленных (25758).</w:t>
      </w:r>
    </w:p>
    <w:p w14:paraId="65A92360" w14:textId="77777777" w:rsidR="004B19E5" w:rsidRPr="00B52707" w:rsidRDefault="004B19E5" w:rsidP="004B19E5">
      <w:pPr>
        <w:jc w:val="both"/>
        <w:rPr>
          <w:color w:val="0070C0"/>
          <w:sz w:val="16"/>
          <w:szCs w:val="16"/>
        </w:rPr>
      </w:pPr>
    </w:p>
    <w:p w14:paraId="0416B0DC" w14:textId="4AA97E87" w:rsidR="00B67D7C" w:rsidRPr="00DE096C" w:rsidRDefault="00B67D7C" w:rsidP="00D45A46">
      <w:pPr>
        <w:jc w:val="both"/>
        <w:rPr>
          <w:bCs/>
          <w:color w:val="002060"/>
          <w:sz w:val="16"/>
          <w:szCs w:val="16"/>
        </w:rPr>
      </w:pPr>
      <w:r w:rsidRPr="00DE096C">
        <w:rPr>
          <w:bCs/>
          <w:color w:val="002060"/>
          <w:sz w:val="16"/>
          <w:szCs w:val="16"/>
        </w:rPr>
        <w:t xml:space="preserve">25 сентября (8 октября) 1914 </w:t>
      </w:r>
      <w:r w:rsidR="00AD0CCB" w:rsidRPr="00DE096C">
        <w:rPr>
          <w:bCs/>
          <w:color w:val="002060"/>
          <w:sz w:val="16"/>
          <w:szCs w:val="16"/>
        </w:rPr>
        <w:t>а</w:t>
      </w:r>
      <w:r w:rsidRPr="00DE096C">
        <w:rPr>
          <w:bCs/>
          <w:color w:val="002060"/>
          <w:sz w:val="16"/>
          <w:szCs w:val="16"/>
        </w:rPr>
        <w:t>нглийские самолеты впервые в мире совершили авиационную бомбардировку (были уничтожены немецкие мастерские дирижаблей) (1914)</w:t>
      </w:r>
    </w:p>
    <w:p w14:paraId="758BA68F" w14:textId="77777777" w:rsidR="00B67D7C" w:rsidRPr="00DE096C" w:rsidRDefault="00B67D7C" w:rsidP="00D45A46">
      <w:pPr>
        <w:shd w:val="clear" w:color="auto" w:fill="FFFFFF"/>
        <w:jc w:val="both"/>
        <w:rPr>
          <w:bCs/>
          <w:color w:val="002060"/>
          <w:sz w:val="16"/>
          <w:szCs w:val="16"/>
        </w:rPr>
      </w:pPr>
    </w:p>
    <w:p w14:paraId="0981B676" w14:textId="77777777" w:rsidR="00B67D7C" w:rsidRPr="00DE096C" w:rsidRDefault="00B67D7C" w:rsidP="00D45A46">
      <w:pPr>
        <w:jc w:val="both"/>
        <w:rPr>
          <w:bCs/>
          <w:color w:val="002060"/>
          <w:sz w:val="16"/>
          <w:szCs w:val="16"/>
        </w:rPr>
      </w:pPr>
      <w:r w:rsidRPr="00DE096C">
        <w:rPr>
          <w:bCs/>
          <w:color w:val="002060"/>
          <w:sz w:val="16"/>
          <w:szCs w:val="16"/>
        </w:rPr>
        <w:t>25 сентября (8 октября) 1914 атаку повторили, только в этот раз стрелки на карте указывали на Дюссельдорф. Но с погодой опять не повезло, и ситуация повторилась. Экипаж одного из самолетов в составе флайт-лейтенантов Мэнкса и Мерикса после долгих блужданий в тумане совершенно случайно наткнулся на эллинг с новым цеппелином L-25 и сбросил на него две 20-фунтовые бомбы. Результат был впечатляющим: одна из них пробила крышу ангара и взорвалась. Водород, которым была наполнена оболочка дирижабля, воспламенился, и огромный [265] столб огня взметнулся к небесам (11324).</w:t>
      </w:r>
    </w:p>
    <w:p w14:paraId="50417FBE" w14:textId="77777777" w:rsidR="00B67D7C" w:rsidRPr="00DE096C" w:rsidRDefault="00B67D7C" w:rsidP="00D45A46">
      <w:pPr>
        <w:pStyle w:val="a3"/>
        <w:jc w:val="both"/>
        <w:rPr>
          <w:bCs/>
          <w:color w:val="002060"/>
          <w:spacing w:val="0"/>
          <w:kern w:val="0"/>
          <w:position w:val="0"/>
          <w:sz w:val="16"/>
          <w:szCs w:val="16"/>
        </w:rPr>
      </w:pPr>
    </w:p>
    <w:p w14:paraId="7BCE82AC" w14:textId="310C2ABB" w:rsidR="00B67D7C" w:rsidRPr="00DE096C" w:rsidRDefault="00B67D7C" w:rsidP="00D45A46">
      <w:pPr>
        <w:jc w:val="both"/>
        <w:rPr>
          <w:bCs/>
          <w:color w:val="002060"/>
          <w:sz w:val="16"/>
          <w:szCs w:val="16"/>
        </w:rPr>
      </w:pPr>
      <w:r w:rsidRPr="00DE096C">
        <w:rPr>
          <w:bCs/>
          <w:color w:val="002060"/>
          <w:sz w:val="16"/>
          <w:szCs w:val="16"/>
        </w:rPr>
        <w:t xml:space="preserve">25 сентября (8 октября) 1914 </w:t>
      </w:r>
      <w:r w:rsidR="00AD0CCB" w:rsidRPr="00DE096C">
        <w:rPr>
          <w:bCs/>
          <w:color w:val="002060"/>
          <w:sz w:val="16"/>
          <w:szCs w:val="16"/>
        </w:rPr>
        <w:t xml:space="preserve">г. </w:t>
      </w:r>
      <w:r w:rsidRPr="00DE096C">
        <w:rPr>
          <w:bCs/>
          <w:color w:val="002060"/>
          <w:sz w:val="16"/>
          <w:szCs w:val="16"/>
        </w:rPr>
        <w:t>британским аэропланом, бомбившим Дюссельдорф, был уничтожен бомбардировкой с воздуха германский цеппелин Z-XI. За рулем аэроплана сидел лейтенант британского воздушного флота Реджинальд Марикс.</w:t>
      </w:r>
    </w:p>
    <w:p w14:paraId="3C77FAD8" w14:textId="3B30EB67" w:rsidR="00B67D7C" w:rsidRPr="00DE096C" w:rsidRDefault="00B67D7C" w:rsidP="00D45A46">
      <w:pPr>
        <w:jc w:val="both"/>
        <w:rPr>
          <w:bCs/>
          <w:color w:val="002060"/>
          <w:sz w:val="16"/>
          <w:szCs w:val="16"/>
        </w:rPr>
      </w:pPr>
      <w:r w:rsidRPr="00DE096C">
        <w:rPr>
          <w:bCs/>
          <w:color w:val="002060"/>
          <w:sz w:val="16"/>
          <w:szCs w:val="16"/>
        </w:rPr>
        <w:t>Из статьи "Times": "Не может быть двух разных законов для цивилизованного мира и для Германии. Когда лейтенант Колле</w:t>
      </w:r>
      <w:r w:rsidR="0006581C">
        <w:rPr>
          <w:bCs/>
          <w:color w:val="002060"/>
          <w:sz w:val="16"/>
          <w:szCs w:val="16"/>
        </w:rPr>
        <w:t xml:space="preserve"> </w:t>
      </w:r>
      <w:r w:rsidRPr="00DE096C">
        <w:rPr>
          <w:bCs/>
          <w:color w:val="002060"/>
          <w:sz w:val="16"/>
          <w:szCs w:val="16"/>
        </w:rPr>
        <w:t>летал над Дюссельдорфом не было убито ни женщин, ни детей. Все 37 церквей остались нетронутыми, и, хотя Кельнский собор в 20 милях представлял солидную мишень, англичане не запятнали себя позором разрушения храмов или убийства мирных граждан. Поэтому, восторгаясь метанием бомб в Антверпен, пусть немцы помнят, что им будут отвечать тем же в прирейнских провинциях. Дюссельдорфский рейд лейтенанта Колле был предпринят, как предостережение. Пусть Германия решит теперь сама, желает ли она своим городам участи Реймса и Антверпена".</w:t>
      </w:r>
    </w:p>
    <w:p w14:paraId="61DEFBC5" w14:textId="77777777" w:rsidR="00B67D7C" w:rsidRPr="00DE096C" w:rsidRDefault="00B67D7C" w:rsidP="00D45A46">
      <w:pPr>
        <w:jc w:val="both"/>
        <w:rPr>
          <w:bCs/>
          <w:color w:val="002060"/>
          <w:sz w:val="16"/>
          <w:szCs w:val="16"/>
        </w:rPr>
      </w:pPr>
      <w:r w:rsidRPr="00DE096C">
        <w:rPr>
          <w:bCs/>
          <w:color w:val="002060"/>
          <w:sz w:val="16"/>
          <w:szCs w:val="16"/>
        </w:rPr>
        <w:t>Гепнер: "На 2-й мирной конференции в Гааге представитель Франции добился того, что конференция признала возможным бомбардирование с воздушных судов. В начале войны мы стояли на той точке зрения, что бомбардирование, признанное международным соглашением как оружие для ведения сухопутной войны, должно вестись исключительно против крепостей и имеющих важное военное значение пунктов, а также тех районов, где происходят боевые действия. Отступлений от этого мы не допускали. Англия пошла в этом отношении дальше; осенью 1914 г. английские летчики разрушили находившийся в эллинге близ Дюссельдорфа цеппелин Z-XI; произвели налет на Фридрисгафен и на ряд других военных объектов, значительно удаленных от театра военных действий. Но англичане все же щадили при этом мирное население. Другое дело Франция: 4 декабря 1914 г. французские летчики произвели нападение на мирный город Фрейбург, расположенный в 80 км за линией фронта, что привело к значительным человеческим жертвам..."</w:t>
      </w:r>
    </w:p>
    <w:p w14:paraId="426DA376" w14:textId="77777777" w:rsidR="00B67D7C" w:rsidRPr="00DE096C" w:rsidRDefault="00B67D7C" w:rsidP="00D45A46">
      <w:pPr>
        <w:jc w:val="both"/>
        <w:rPr>
          <w:bCs/>
          <w:color w:val="002060"/>
          <w:sz w:val="16"/>
          <w:szCs w:val="16"/>
        </w:rPr>
      </w:pPr>
      <w:r w:rsidRPr="00DE096C">
        <w:rPr>
          <w:bCs/>
          <w:color w:val="002060"/>
          <w:sz w:val="16"/>
          <w:szCs w:val="16"/>
        </w:rPr>
        <w:t>Зигерт: "Иными целями, кроме военных, мы не задавались никогда. Многочисленные слухи о намеренных бомбардировках лазаретов могли возникнуть, как с нашей, так и с неприятельской стороны, только по злому умыслу какого-нибудь теоретика, но никак не на основании ночной летной практики. Различить с аэроплана красные кресты лазаретов нет возможности даже в лунные ночи. С другой стороны надо иметь в виду, что при большом рассеивании бомб легко могут быть попадания в места, лежащие за несколько сотен метров от намеченной цели" (11999).</w:t>
      </w:r>
    </w:p>
    <w:p w14:paraId="0324B91E" w14:textId="77777777" w:rsidR="00B67D7C" w:rsidRPr="00DE096C" w:rsidRDefault="00B67D7C" w:rsidP="00D45A46">
      <w:pPr>
        <w:jc w:val="both"/>
        <w:rPr>
          <w:bCs/>
          <w:color w:val="002060"/>
          <w:sz w:val="16"/>
          <w:szCs w:val="16"/>
        </w:rPr>
      </w:pPr>
    </w:p>
    <w:p w14:paraId="4DDAA986" w14:textId="77777777" w:rsidR="00AD0CCB" w:rsidRPr="00DE096C" w:rsidRDefault="00AD0CCB" w:rsidP="00D45A46">
      <w:pPr>
        <w:jc w:val="both"/>
        <w:rPr>
          <w:bCs/>
          <w:color w:val="002060"/>
          <w:sz w:val="16"/>
          <w:szCs w:val="16"/>
        </w:rPr>
      </w:pPr>
      <w:r w:rsidRPr="00DE096C">
        <w:rPr>
          <w:bCs/>
          <w:color w:val="002060"/>
          <w:sz w:val="16"/>
          <w:szCs w:val="16"/>
        </w:rPr>
        <w:t>25 сентября (8 октября) 1914 в ходе рейда, запланированного командующим авиационным крылом Королевских военно-морских сил Чарльзом Самсоном, два RNAS Sopwith Tabloids отправились в атаку на ангары Zeppelin в Дюссельдорфе. Вместо этого один из самолетов атакует железнодорожную станцию Кельна, но другой, пилотируемый лейтенантом авиации Реджи Мариксом , находит свою цель и разрушает ангар, в котором хранится Цеппелин Z IX (или LZ25) императорской армии Германии, а также сам Z IX . Впервые самолет уничтожает дирижабль (20337).</w:t>
      </w:r>
    </w:p>
    <w:p w14:paraId="58A65AB6" w14:textId="77777777" w:rsidR="00AD0CCB" w:rsidRPr="00DE096C" w:rsidRDefault="00AD0CCB" w:rsidP="00D45A46">
      <w:pPr>
        <w:jc w:val="both"/>
        <w:rPr>
          <w:bCs/>
          <w:color w:val="002060"/>
          <w:sz w:val="16"/>
          <w:szCs w:val="16"/>
        </w:rPr>
      </w:pPr>
    </w:p>
    <w:p w14:paraId="00F2DA94" w14:textId="11F2AAF9" w:rsidR="00AD0CCB" w:rsidRPr="00DE096C" w:rsidRDefault="00AD0CCB" w:rsidP="00D45A46">
      <w:pPr>
        <w:jc w:val="both"/>
        <w:rPr>
          <w:bCs/>
          <w:color w:val="002060"/>
          <w:sz w:val="16"/>
          <w:szCs w:val="16"/>
        </w:rPr>
      </w:pPr>
      <w:r w:rsidRPr="00DE096C">
        <w:rPr>
          <w:bCs/>
          <w:color w:val="002060"/>
          <w:sz w:val="16"/>
          <w:szCs w:val="16"/>
        </w:rPr>
        <w:t>25 сентября (8 октября) 1914</w:t>
      </w:r>
      <w:r w:rsidR="0006581C">
        <w:rPr>
          <w:bCs/>
          <w:color w:val="002060"/>
          <w:sz w:val="16"/>
          <w:szCs w:val="16"/>
        </w:rPr>
        <w:t xml:space="preserve"> </w:t>
      </w:r>
      <w:r w:rsidRPr="00DE096C">
        <w:rPr>
          <w:bCs/>
          <w:color w:val="002060"/>
          <w:sz w:val="16"/>
          <w:szCs w:val="16"/>
        </w:rPr>
        <w:t>состоялосб первое применение бомбардировочной авиации. Налёт на германские мастерские по производству дирижаблей во Фридрихшафене с бельгийских аэродромов совершили обычные самолёты, имевшиеся на вооружении английских королевских воздушных сил и оснащенные 20-фунтовыми бомбами. Успех превзошел все ожидания, правда, в основном благодаря легко воспламеняемой конструкции цеппелинов.</w:t>
      </w:r>
    </w:p>
    <w:p w14:paraId="7FB806CD" w14:textId="77777777" w:rsidR="00AD0CCB" w:rsidRPr="00DE096C" w:rsidRDefault="00AD0CCB" w:rsidP="00D45A46">
      <w:pPr>
        <w:jc w:val="both"/>
        <w:rPr>
          <w:bCs/>
          <w:color w:val="002060"/>
          <w:sz w:val="16"/>
          <w:szCs w:val="16"/>
        </w:rPr>
      </w:pPr>
      <w:r w:rsidRPr="00DE096C">
        <w:rPr>
          <w:bCs/>
          <w:color w:val="002060"/>
          <w:sz w:val="16"/>
          <w:szCs w:val="16"/>
        </w:rPr>
        <w:t>После этого рейда стали создаваться самолёты нового класса — бомбардировщики. В России ещё в октябре 1913 года под руководством Игоря Сикорского был создан четырехмоторный «Илья Муромец». Эти самолетыи совершили во время войны 400 налётов. Потерян был всего лишь один самолёт! (22342).</w:t>
      </w:r>
    </w:p>
    <w:p w14:paraId="51E9D8AA" w14:textId="77777777" w:rsidR="00AD0CCB" w:rsidRPr="00DE096C" w:rsidRDefault="00AD0CCB" w:rsidP="00D45A46">
      <w:pPr>
        <w:jc w:val="both"/>
        <w:rPr>
          <w:bCs/>
          <w:color w:val="002060"/>
          <w:sz w:val="16"/>
          <w:szCs w:val="16"/>
        </w:rPr>
      </w:pPr>
    </w:p>
    <w:p w14:paraId="1329D03F" w14:textId="0E09EE17" w:rsidR="00AD0CCB" w:rsidRPr="00DE096C" w:rsidRDefault="00AD0CCB" w:rsidP="00D45A46">
      <w:pPr>
        <w:jc w:val="both"/>
        <w:rPr>
          <w:bCs/>
          <w:color w:val="002060"/>
          <w:sz w:val="16"/>
          <w:szCs w:val="16"/>
        </w:rPr>
      </w:pPr>
      <w:r w:rsidRPr="00DE096C">
        <w:rPr>
          <w:bCs/>
          <w:color w:val="002060"/>
          <w:sz w:val="16"/>
          <w:szCs w:val="16"/>
        </w:rPr>
        <w:t>25 сентября (8 октября) 1914 авиакрыло ВМС Великобритании под командованием Charles Samson спланировало первый стратегический налёт по целям на территории Германии: два гидросамолёта Sopwith Tabloid должны были атаковать ангары Цеппелинов в Дюссельдорфе; однако на цель вышел только один самолёт лейтенанта Reggie Marix, который уничтожил один из ангаров вместе с находящимся внутри дирижаблем Z.IX (22342).</w:t>
      </w:r>
    </w:p>
    <w:p w14:paraId="4626B63C" w14:textId="77777777" w:rsidR="00AD0CCB" w:rsidRPr="00DE096C" w:rsidRDefault="00AD0CCB" w:rsidP="00D45A46">
      <w:pPr>
        <w:jc w:val="both"/>
        <w:rPr>
          <w:bCs/>
          <w:color w:val="002060"/>
          <w:sz w:val="16"/>
          <w:szCs w:val="16"/>
        </w:rPr>
      </w:pPr>
    </w:p>
    <w:p w14:paraId="32DE5FCF"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Авиация и воздухоплавание Германии:</w:t>
      </w:r>
    </w:p>
    <w:p w14:paraId="180E4C9D" w14:textId="77777777" w:rsidR="00B67D7C" w:rsidRPr="00DE096C" w:rsidRDefault="00B67D7C" w:rsidP="00D45A46">
      <w:pPr>
        <w:pStyle w:val="a3"/>
        <w:jc w:val="both"/>
        <w:rPr>
          <w:bCs/>
          <w:color w:val="002060"/>
          <w:spacing w:val="0"/>
          <w:kern w:val="0"/>
          <w:position w:val="0"/>
          <w:sz w:val="16"/>
          <w:szCs w:val="16"/>
        </w:rPr>
      </w:pPr>
    </w:p>
    <w:p w14:paraId="779DE74B" w14:textId="3AD02452" w:rsidR="00B67D7C" w:rsidRPr="00DE096C" w:rsidRDefault="00B67D7C" w:rsidP="00D45A46">
      <w:pPr>
        <w:jc w:val="both"/>
        <w:rPr>
          <w:bCs/>
          <w:color w:val="002060"/>
          <w:sz w:val="16"/>
          <w:szCs w:val="16"/>
        </w:rPr>
      </w:pPr>
      <w:r w:rsidRPr="00DE096C">
        <w:rPr>
          <w:bCs/>
          <w:color w:val="002060"/>
          <w:sz w:val="16"/>
          <w:szCs w:val="16"/>
        </w:rPr>
        <w:t xml:space="preserve">25 сентября (8 октября) 1914 года английский самолет разрушил в Дюссельдорфе эллинг и уничтожил стоящий в нем цеппелин Z-IX. 21 ноября англичане успешно атаковали верфь в Фридрихсхафене и нанесли повреждения практически построенному новому дирижаблю, а в декабре их гидросамолеты осуществили бомбардировку Куксхафена. В конце концов, под давлением высшего командования рейхсвера Вильгельм был вынужден разрешить бомбардировки Британских островов. В телеграмме, которая поступила в главный штаб ВМФ под новый 1915 год, указывались цели для налетов: доки, военные заводы, учебные лагеря неприятеля, расположенные в нижнем течении Темзы. Экипажам цеппелинов категорически воспрещалось сбрасывать бомбы на жилые кварталы Лондона. </w:t>
      </w:r>
    </w:p>
    <w:p w14:paraId="7FBF144A" w14:textId="77777777" w:rsidR="00B67D7C" w:rsidRPr="00DE096C" w:rsidRDefault="00B67D7C" w:rsidP="00D45A46">
      <w:pPr>
        <w:jc w:val="both"/>
        <w:rPr>
          <w:bCs/>
          <w:color w:val="002060"/>
          <w:sz w:val="16"/>
          <w:szCs w:val="16"/>
        </w:rPr>
      </w:pPr>
      <w:r w:rsidRPr="00DE096C">
        <w:rPr>
          <w:bCs/>
          <w:color w:val="002060"/>
          <w:sz w:val="16"/>
          <w:szCs w:val="16"/>
        </w:rPr>
        <w:t xml:space="preserve">Стоит ли описывать, с каким восторгом Петер Штрассер прочел эту телеграмму. Наконец-то наступил звездный час боевых дирижаблей! То, чего не могли добиться закованные в броню эскадры Флота открытого моря (так немцы называли главные силы ВМФ. — </w:t>
      </w:r>
      <w:r w:rsidRPr="00DE096C">
        <w:rPr>
          <w:bCs/>
          <w:i/>
          <w:color w:val="002060"/>
          <w:sz w:val="16"/>
          <w:szCs w:val="16"/>
        </w:rPr>
        <w:t>Сост.),</w:t>
      </w:r>
      <w:r w:rsidRPr="00DE096C">
        <w:rPr>
          <w:bCs/>
          <w:color w:val="002060"/>
          <w:sz w:val="16"/>
          <w:szCs w:val="16"/>
        </w:rPr>
        <w:t xml:space="preserve"> сделает его дивизион «летающих сарделек». Он, лейтенант Штрассер, как древний галл, принесет войну на берега надменной Англии и заставит противника капитулировать в своем собственном логове. </w:t>
      </w:r>
    </w:p>
    <w:p w14:paraId="607A5863" w14:textId="77777777" w:rsidR="00B67D7C" w:rsidRPr="00DE096C" w:rsidRDefault="00B67D7C" w:rsidP="00D45A46">
      <w:pPr>
        <w:jc w:val="both"/>
        <w:rPr>
          <w:bCs/>
          <w:color w:val="002060"/>
          <w:sz w:val="16"/>
          <w:szCs w:val="16"/>
        </w:rPr>
      </w:pPr>
      <w:r w:rsidRPr="00DE096C">
        <w:rPr>
          <w:bCs/>
          <w:color w:val="002060"/>
          <w:sz w:val="16"/>
          <w:szCs w:val="16"/>
        </w:rPr>
        <w:t xml:space="preserve">Нельзя сказать, что командование военно-морского флота Германии единодушно поддержало порыв «сумасшедшего лейтенанта». Многие адмиралы старой закалки, ревниво относившиеся к успехам новых видов оружия вроде подводных лодок и дирижаблей и слепо верившие в то, что «дредноут» по-прежнему является «царем зверей» среди прочей водоплавающей мелюзги, довольно резко критиковали план Штрассера. Их главными аргументами против рейдов на Англию выступали малая бомбовая нагрузка цеппелинов и их высокая уязвимость от зенитного огня. </w:t>
      </w:r>
    </w:p>
    <w:p w14:paraId="509DB165" w14:textId="77777777" w:rsidR="00B67D7C" w:rsidRPr="00DE096C" w:rsidRDefault="00B67D7C" w:rsidP="00D45A46">
      <w:pPr>
        <w:jc w:val="both"/>
        <w:rPr>
          <w:bCs/>
          <w:color w:val="002060"/>
          <w:sz w:val="16"/>
          <w:szCs w:val="16"/>
        </w:rPr>
      </w:pPr>
      <w:r w:rsidRPr="00DE096C">
        <w:rPr>
          <w:bCs/>
          <w:color w:val="002060"/>
          <w:sz w:val="16"/>
          <w:szCs w:val="16"/>
        </w:rPr>
        <w:t xml:space="preserve">Но Штрассера не так-то просто было сбить с пути, который он считал единственно правильным в сложившейся ситуации. Да, соглашался он, один залп линкора весит в несколько раз больше, чем бомбовая нагрузка самого большого дирижабля. Но линкоры флота заперты англичанами в гаванях и в принципе не могут обстреливать британское побережье. Очевидно, что любой броненосец, прорвавшийся в устье Темзы, способен «переколотить очень много посуды» на «военной кухне» англичан. Только вот добраться туда ему не позволит ни британский флот, ни батареи береговой обороны. А цеппелин под покровом ночи незаметно проскользнет над Северным морем и нанесет спящему Джону Булю удар прямо в спину. Цель бомбардировок Англии, доказывал Штрассер, заключается не в физическом разрушении ее военной промышленности и инфраструктуры, а в подрыве боевого духа противника, создания паники в тылу врага. Когда на беззащитные города обрушатся первые [110] бомбы, англичанам придется срочно перебрасывать с фронта на территорию метрополии зенитные батареи, прожекторные дивизионы и эскадрильи истребителей, так необходимые на Западном фронте. Ночные налеты заставят ввести затемнение городов, гаваней, заводов, арсеналов, что, в свою очередь, самым негативным </w:t>
      </w:r>
      <w:r w:rsidRPr="00DE096C">
        <w:rPr>
          <w:bCs/>
          <w:color w:val="002060"/>
          <w:sz w:val="16"/>
          <w:szCs w:val="16"/>
        </w:rPr>
        <w:lastRenderedPageBreak/>
        <w:t>образом скажется на выпуске военной продукции. А что касается возможных потерь, так ни одно сражение не может быть выиграно без крови и жертв. Он, Петер Штрассер, и его подчиненные являются верными солдатами кайзера и готовы умереть за фатерлянд, если это потребуется. Боевой дух в Дивизионе воздушных кораблей необычайно высок, материальная часть находится в полном порядке, он как автор и командир операции ручается за ее благополучный исход (11324).</w:t>
      </w:r>
    </w:p>
    <w:p w14:paraId="4CAB4AF4" w14:textId="77777777" w:rsidR="00B67D7C" w:rsidRPr="00DE096C" w:rsidRDefault="00B67D7C" w:rsidP="00D45A46">
      <w:pPr>
        <w:shd w:val="clear" w:color="auto" w:fill="FFFFFF"/>
        <w:jc w:val="both"/>
        <w:rPr>
          <w:bCs/>
          <w:i/>
          <w:color w:val="002060"/>
          <w:sz w:val="16"/>
          <w:szCs w:val="16"/>
        </w:rPr>
      </w:pPr>
    </w:p>
    <w:p w14:paraId="6267559E" w14:textId="666271CD" w:rsidR="00B67D7C" w:rsidRPr="00DE096C" w:rsidRDefault="00B67D7C" w:rsidP="00D45A46">
      <w:pPr>
        <w:jc w:val="both"/>
        <w:rPr>
          <w:bCs/>
          <w:color w:val="002060"/>
          <w:sz w:val="16"/>
          <w:szCs w:val="16"/>
        </w:rPr>
      </w:pPr>
      <w:r w:rsidRPr="00DE096C">
        <w:rPr>
          <w:bCs/>
          <w:color w:val="002060"/>
          <w:sz w:val="16"/>
          <w:szCs w:val="16"/>
        </w:rPr>
        <w:t>25 сентября (8 октября) 1914 года</w:t>
      </w:r>
      <w:r w:rsidR="00AD0CCB" w:rsidRPr="00DE096C">
        <w:rPr>
          <w:bCs/>
          <w:color w:val="002060"/>
          <w:sz w:val="16"/>
          <w:szCs w:val="16"/>
        </w:rPr>
        <w:t xml:space="preserve"> датируется первая успешная атака самолета против дирижабля</w:t>
      </w:r>
      <w:r w:rsidRPr="00DE096C">
        <w:rPr>
          <w:bCs/>
          <w:color w:val="002060"/>
          <w:sz w:val="16"/>
          <w:szCs w:val="16"/>
        </w:rPr>
        <w:t xml:space="preserve">. Летчик Королевского летного корпуса (КЛК) Марикс на самолете «Сопвич-Таблоид» атаковал армейский аэродром в Дюссельдорфе. Две девятикилограммовые бомбы попали точно в цель — новенький цеппелин Z-IX был уничтожен. 21 ноября 1914 года, с аэродрома Белфора поднялись 4 самолета «Авро 504С». Они получили задание атаковать заводы в Фридрихсхафене. Три британские машины достигли цели. Сброшенные бомбы, хотя и нанесли повреждения, но уничтожить морской дирижабль L-7 не смогли. Британцы повторили свои атаки против дирижаблей только через полгода. 7 июня 1915 года биплан «Фарман» с военно-морской базы в Дюнкерке уничтожил эллинг вместе с находящимся там LZ-38 на аэродроме в Брюсселе. [156] </w:t>
      </w:r>
    </w:p>
    <w:p w14:paraId="314C8C94" w14:textId="77777777" w:rsidR="00B67D7C" w:rsidRPr="00DE096C" w:rsidRDefault="00B67D7C" w:rsidP="00D45A46">
      <w:pPr>
        <w:jc w:val="both"/>
        <w:rPr>
          <w:bCs/>
          <w:color w:val="002060"/>
          <w:sz w:val="16"/>
          <w:szCs w:val="16"/>
        </w:rPr>
      </w:pPr>
      <w:r w:rsidRPr="00DE096C">
        <w:rPr>
          <w:bCs/>
          <w:color w:val="002060"/>
          <w:sz w:val="16"/>
          <w:szCs w:val="16"/>
        </w:rPr>
        <w:t>В тот же день произошел первый в истории воздушный бой самолета с цеппелином. LZ-37 был атакован младшим лейтенантом Уорнефордом. Британский летчик смог поднять свой «Моран-Солнье LA» над цеппелином и сбросить на воздушный корабль все шесть девятикилограммовых бомб. Объятый пламенем LZ-37 рухнул на землю вблизи бельгийского города Гент. Заслуга летчика была отмечена высшим орденом Британской империи — Крестом победы (11234).</w:t>
      </w:r>
    </w:p>
    <w:p w14:paraId="60B9DF1B" w14:textId="77777777" w:rsidR="00B67D7C" w:rsidRPr="00DE096C" w:rsidRDefault="00B67D7C" w:rsidP="00D45A46">
      <w:pPr>
        <w:shd w:val="clear" w:color="auto" w:fill="FFFFFF"/>
        <w:jc w:val="both"/>
        <w:rPr>
          <w:bCs/>
          <w:i/>
          <w:color w:val="002060"/>
          <w:sz w:val="16"/>
          <w:szCs w:val="16"/>
        </w:rPr>
      </w:pPr>
    </w:p>
    <w:p w14:paraId="55B10ABD" w14:textId="77777777" w:rsidR="007C4D43" w:rsidRPr="00DE096C" w:rsidRDefault="007C4D43" w:rsidP="00D45A46">
      <w:pPr>
        <w:jc w:val="both"/>
        <w:rPr>
          <w:bCs/>
          <w:i/>
          <w:color w:val="002060"/>
          <w:sz w:val="16"/>
          <w:szCs w:val="16"/>
        </w:rPr>
      </w:pPr>
      <w:r w:rsidRPr="00DE096C">
        <w:rPr>
          <w:bCs/>
          <w:i/>
          <w:color w:val="002060"/>
          <w:sz w:val="16"/>
          <w:szCs w:val="16"/>
        </w:rPr>
        <w:t>За рубежом:</w:t>
      </w:r>
    </w:p>
    <w:p w14:paraId="03F5DF23" w14:textId="77777777" w:rsidR="007C4D43" w:rsidRPr="00DE096C" w:rsidRDefault="007C4D43" w:rsidP="00D45A46">
      <w:pPr>
        <w:jc w:val="both"/>
        <w:rPr>
          <w:bCs/>
          <w:color w:val="002060"/>
          <w:sz w:val="16"/>
          <w:szCs w:val="16"/>
        </w:rPr>
      </w:pPr>
    </w:p>
    <w:p w14:paraId="0A7DF977" w14:textId="563E78F6" w:rsidR="007C4D43" w:rsidRPr="00DE096C" w:rsidRDefault="007C4D43" w:rsidP="00D45A46">
      <w:pPr>
        <w:jc w:val="both"/>
        <w:rPr>
          <w:bCs/>
          <w:color w:val="002060"/>
          <w:sz w:val="16"/>
          <w:szCs w:val="16"/>
        </w:rPr>
      </w:pPr>
      <w:r w:rsidRPr="00DE096C">
        <w:rPr>
          <w:rStyle w:val="ucoz-forum-post"/>
          <w:rFonts w:eastAsiaTheme="majorEastAsia"/>
          <w:bCs/>
          <w:color w:val="002060"/>
          <w:sz w:val="16"/>
          <w:szCs w:val="16"/>
        </w:rPr>
        <w:t>2</w:t>
      </w:r>
      <w:r w:rsidR="00AD0CCB" w:rsidRPr="00DE096C">
        <w:rPr>
          <w:rStyle w:val="ucoz-forum-post"/>
          <w:rFonts w:eastAsiaTheme="majorEastAsia"/>
          <w:bCs/>
          <w:color w:val="002060"/>
          <w:sz w:val="16"/>
          <w:szCs w:val="16"/>
        </w:rPr>
        <w:t>6</w:t>
      </w:r>
      <w:r w:rsidRPr="00DE096C">
        <w:rPr>
          <w:rStyle w:val="ucoz-forum-post"/>
          <w:rFonts w:eastAsiaTheme="majorEastAsia"/>
          <w:bCs/>
          <w:color w:val="002060"/>
          <w:sz w:val="16"/>
          <w:szCs w:val="16"/>
        </w:rPr>
        <w:t xml:space="preserve"> сентября (9 октября) </w:t>
      </w:r>
      <w:r w:rsidRPr="00DE096C">
        <w:rPr>
          <w:bCs/>
          <w:color w:val="002060"/>
          <w:sz w:val="16"/>
          <w:szCs w:val="16"/>
        </w:rPr>
        <w:t>в 1914 году Антверпен захвачен германскими войсками (14794).</w:t>
      </w:r>
    </w:p>
    <w:p w14:paraId="1DD8031A" w14:textId="77777777" w:rsidR="007C4D43" w:rsidRPr="00DE096C" w:rsidRDefault="007C4D43" w:rsidP="00D45A46">
      <w:pPr>
        <w:jc w:val="both"/>
        <w:rPr>
          <w:bCs/>
          <w:color w:val="002060"/>
          <w:sz w:val="16"/>
          <w:szCs w:val="16"/>
        </w:rPr>
      </w:pPr>
    </w:p>
    <w:p w14:paraId="02FBD11E"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w:t>
      </w:r>
    </w:p>
    <w:p w14:paraId="1192291E" w14:textId="77777777" w:rsidR="00B67D7C" w:rsidRPr="00DE096C" w:rsidRDefault="00B67D7C" w:rsidP="00D45A46">
      <w:pPr>
        <w:shd w:val="clear" w:color="auto" w:fill="FFFFFF"/>
        <w:jc w:val="both"/>
        <w:rPr>
          <w:bCs/>
          <w:i/>
          <w:color w:val="002060"/>
          <w:sz w:val="16"/>
          <w:szCs w:val="16"/>
        </w:rPr>
      </w:pPr>
    </w:p>
    <w:p w14:paraId="2F4026BD" w14:textId="77777777" w:rsidR="00B67D7C" w:rsidRPr="00DE096C" w:rsidRDefault="00B67D7C" w:rsidP="00D45A46">
      <w:pPr>
        <w:jc w:val="both"/>
        <w:rPr>
          <w:bCs/>
          <w:color w:val="002060"/>
          <w:sz w:val="16"/>
          <w:szCs w:val="16"/>
        </w:rPr>
      </w:pPr>
      <w:r w:rsidRPr="00DE096C">
        <w:rPr>
          <w:bCs/>
          <w:color w:val="002060"/>
          <w:sz w:val="16"/>
          <w:szCs w:val="16"/>
        </w:rPr>
        <w:t>26 сентября (9 октября) 1914 года военный гарнизон Варшавы удачно отразил налет на город германского цеппелина. Для охраны неба столицы Польского княжества были переброшены авиационные подразделения, в числе первых - Особый добровольческий авиационный отряд (командир - старший лейтенант Н.А. Яцук).</w:t>
      </w:r>
    </w:p>
    <w:p w14:paraId="4B1AEC0A" w14:textId="77777777" w:rsidR="00B67D7C" w:rsidRPr="00DE096C" w:rsidRDefault="00B67D7C" w:rsidP="00D45A46">
      <w:pPr>
        <w:jc w:val="both"/>
        <w:rPr>
          <w:bCs/>
          <w:color w:val="002060"/>
          <w:sz w:val="16"/>
          <w:szCs w:val="16"/>
        </w:rPr>
      </w:pPr>
      <w:r w:rsidRPr="00DE096C">
        <w:rPr>
          <w:bCs/>
          <w:color w:val="002060"/>
          <w:sz w:val="16"/>
          <w:szCs w:val="16"/>
        </w:rPr>
        <w:t>Взаимодействие авиации с зенитной артиллерией Варшавской крепости в интересах воздушной обороны города обеспечивала сеть наблюдательных постов, игравших роль раннего оповещения о налете противника (11163).</w:t>
      </w:r>
    </w:p>
    <w:p w14:paraId="62DE0B21" w14:textId="77777777" w:rsidR="00B67D7C" w:rsidRPr="00DE096C" w:rsidRDefault="00B67D7C" w:rsidP="00D45A46">
      <w:pPr>
        <w:jc w:val="both"/>
        <w:rPr>
          <w:bCs/>
          <w:color w:val="002060"/>
          <w:sz w:val="16"/>
          <w:szCs w:val="16"/>
        </w:rPr>
      </w:pPr>
    </w:p>
    <w:p w14:paraId="7B5DE679" w14:textId="5CA7DC4D" w:rsidR="00B67D7C" w:rsidRPr="00DE096C" w:rsidRDefault="00B67D7C" w:rsidP="00D45A46">
      <w:pPr>
        <w:jc w:val="both"/>
        <w:rPr>
          <w:bCs/>
          <w:color w:val="002060"/>
          <w:sz w:val="16"/>
          <w:szCs w:val="16"/>
        </w:rPr>
      </w:pPr>
      <w:r w:rsidRPr="00DE096C">
        <w:rPr>
          <w:bCs/>
          <w:color w:val="002060"/>
          <w:sz w:val="16"/>
          <w:szCs w:val="16"/>
        </w:rPr>
        <w:t xml:space="preserve">26 сентября </w:t>
      </w:r>
      <w:r w:rsidR="00AD0CCB" w:rsidRPr="00DE096C">
        <w:rPr>
          <w:bCs/>
          <w:color w:val="002060"/>
          <w:sz w:val="16"/>
          <w:szCs w:val="16"/>
        </w:rPr>
        <w:t xml:space="preserve">(9 октября) 1914 г. лифляндский губернатор по распоряжению коменданта морской крепости Пегра Великого, которому он был подчинен в военных вопросах, </w:t>
      </w:r>
      <w:r w:rsidRPr="00DE096C">
        <w:rPr>
          <w:bCs/>
          <w:color w:val="002060"/>
          <w:sz w:val="16"/>
          <w:szCs w:val="16"/>
        </w:rPr>
        <w:t>обещает выплатить 1000 рублей тем, кто укажет место приземления германской авиамашины, 50 рублей за такое же сообщение обещал выплачивать и курляндский губернатор Набоков. Сообщений, однако, оказалось так много, что в середине октября губернатор объявил. что впредь за сообщения выплат не будет.</w:t>
      </w:r>
    </w:p>
    <w:p w14:paraId="5C5FA8F7" w14:textId="77777777" w:rsidR="00B67D7C" w:rsidRPr="00DE096C" w:rsidRDefault="00B67D7C" w:rsidP="00D45A46">
      <w:pPr>
        <w:jc w:val="both"/>
        <w:rPr>
          <w:bCs/>
          <w:i/>
          <w:color w:val="002060"/>
          <w:sz w:val="16"/>
          <w:szCs w:val="16"/>
        </w:rPr>
      </w:pPr>
    </w:p>
    <w:p w14:paraId="648E2953" w14:textId="77777777" w:rsidR="007A3B57" w:rsidRPr="00DE096C" w:rsidRDefault="007A3B57" w:rsidP="00D45A46">
      <w:pPr>
        <w:jc w:val="both"/>
        <w:rPr>
          <w:bCs/>
          <w:color w:val="002060"/>
          <w:sz w:val="16"/>
          <w:szCs w:val="16"/>
        </w:rPr>
      </w:pPr>
      <w:r w:rsidRPr="00DE096C">
        <w:rPr>
          <w:bCs/>
          <w:color w:val="002060"/>
          <w:sz w:val="16"/>
          <w:szCs w:val="16"/>
        </w:rPr>
        <w:t>26-27 сентября (9-10 октября) одиночные аэропланы бомбили Брестский и Петроградский вокзалы, но не нанесли значительного ущерба.</w:t>
      </w:r>
    </w:p>
    <w:p w14:paraId="3CD43F8D" w14:textId="77777777" w:rsidR="007A3B57" w:rsidRPr="00DE096C" w:rsidRDefault="007A3B57" w:rsidP="00D45A46">
      <w:pPr>
        <w:shd w:val="clear" w:color="auto" w:fill="FFFFFF"/>
        <w:jc w:val="both"/>
        <w:rPr>
          <w:bCs/>
          <w:i/>
          <w:color w:val="002060"/>
          <w:sz w:val="16"/>
          <w:szCs w:val="16"/>
        </w:rPr>
      </w:pPr>
    </w:p>
    <w:p w14:paraId="5CE1F30E" w14:textId="77777777" w:rsidR="00B67D7C" w:rsidRPr="00DE096C" w:rsidRDefault="00B67D7C" w:rsidP="00D45A46">
      <w:pPr>
        <w:jc w:val="both"/>
        <w:rPr>
          <w:bCs/>
          <w:i/>
          <w:color w:val="002060"/>
          <w:sz w:val="16"/>
          <w:szCs w:val="16"/>
        </w:rPr>
      </w:pPr>
      <w:r w:rsidRPr="00DE096C">
        <w:rPr>
          <w:bCs/>
          <w:i/>
          <w:color w:val="002060"/>
          <w:sz w:val="16"/>
          <w:szCs w:val="16"/>
        </w:rPr>
        <w:t>Самолетостроение:</w:t>
      </w:r>
    </w:p>
    <w:p w14:paraId="63364C6E" w14:textId="77777777" w:rsidR="00B67D7C" w:rsidRPr="00DE096C" w:rsidRDefault="00B67D7C" w:rsidP="00D45A46">
      <w:pPr>
        <w:jc w:val="both"/>
        <w:rPr>
          <w:bCs/>
          <w:i/>
          <w:color w:val="002060"/>
          <w:sz w:val="16"/>
          <w:szCs w:val="16"/>
        </w:rPr>
      </w:pPr>
    </w:p>
    <w:p w14:paraId="351F0AD4" w14:textId="607584C3"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27 сентября (10 октября) 1914 </w:t>
      </w:r>
      <w:r w:rsidR="00AD0CCB" w:rsidRPr="00DE096C">
        <w:rPr>
          <w:bCs/>
          <w:color w:val="002060"/>
          <w:sz w:val="16"/>
          <w:szCs w:val="16"/>
        </w:rPr>
        <w:t xml:space="preserve">г. вышло </w:t>
      </w:r>
      <w:r w:rsidRPr="00DE096C">
        <w:rPr>
          <w:bCs/>
          <w:color w:val="002060"/>
          <w:sz w:val="16"/>
          <w:szCs w:val="16"/>
        </w:rPr>
        <w:t>Постановление Военного Совета о заказе РБВЗ 32 самолетов «Илья Муромец» и 32 комплектов запасных частей к ним (1137).</w:t>
      </w:r>
    </w:p>
    <w:p w14:paraId="02EF2BF4" w14:textId="77777777" w:rsidR="00B67D7C" w:rsidRPr="00DE096C" w:rsidRDefault="00B67D7C" w:rsidP="00D45A46">
      <w:pPr>
        <w:shd w:val="clear" w:color="auto" w:fill="FFFFFF"/>
        <w:jc w:val="both"/>
        <w:rPr>
          <w:bCs/>
          <w:color w:val="002060"/>
          <w:sz w:val="16"/>
          <w:szCs w:val="16"/>
        </w:rPr>
      </w:pPr>
    </w:p>
    <w:p w14:paraId="2C75E750" w14:textId="1D2BAAF2"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27 сентября </w:t>
      </w:r>
      <w:r w:rsidR="00AD0CCB" w:rsidRPr="00DE096C">
        <w:rPr>
          <w:bCs/>
          <w:color w:val="002060"/>
          <w:sz w:val="16"/>
          <w:szCs w:val="16"/>
        </w:rPr>
        <w:t xml:space="preserve">(10 октября) </w:t>
      </w:r>
      <w:r w:rsidRPr="00DE096C">
        <w:rPr>
          <w:bCs/>
          <w:color w:val="002060"/>
          <w:sz w:val="16"/>
          <w:szCs w:val="16"/>
        </w:rPr>
        <w:t>1914</w:t>
      </w:r>
      <w:r w:rsidR="00AD0CCB" w:rsidRPr="00DE096C">
        <w:rPr>
          <w:bCs/>
          <w:color w:val="002060"/>
          <w:sz w:val="16"/>
          <w:szCs w:val="16"/>
        </w:rPr>
        <w:t xml:space="preserve"> </w:t>
      </w:r>
      <w:r w:rsidRPr="00DE096C">
        <w:rPr>
          <w:bCs/>
          <w:color w:val="002060"/>
          <w:sz w:val="16"/>
          <w:szCs w:val="16"/>
        </w:rPr>
        <w:t xml:space="preserve">г. </w:t>
      </w:r>
      <w:r w:rsidR="00AD0CCB" w:rsidRPr="00DE096C">
        <w:rPr>
          <w:bCs/>
          <w:color w:val="002060"/>
          <w:sz w:val="16"/>
          <w:szCs w:val="16"/>
        </w:rPr>
        <w:t xml:space="preserve">вышло </w:t>
      </w:r>
      <w:r w:rsidRPr="00DE096C">
        <w:rPr>
          <w:bCs/>
          <w:color w:val="002060"/>
          <w:sz w:val="16"/>
          <w:szCs w:val="16"/>
        </w:rPr>
        <w:t>Постановление Военного Совета о заказе РБВЗ 32 само</w:t>
      </w:r>
      <w:r w:rsidRPr="00DE096C">
        <w:rPr>
          <w:bCs/>
          <w:color w:val="002060"/>
          <w:sz w:val="16"/>
          <w:szCs w:val="16"/>
        </w:rPr>
        <w:softHyphen/>
        <w:t>лётов «Илья Муромец» и 32 комплектов запасных частей к ним (11425).</w:t>
      </w:r>
    </w:p>
    <w:p w14:paraId="4237C055" w14:textId="77777777" w:rsidR="00B67D7C" w:rsidRPr="00DE096C" w:rsidRDefault="00B67D7C" w:rsidP="00D45A46">
      <w:pPr>
        <w:shd w:val="clear" w:color="auto" w:fill="FFFFFF"/>
        <w:jc w:val="both"/>
        <w:rPr>
          <w:bCs/>
          <w:color w:val="002060"/>
          <w:sz w:val="16"/>
          <w:szCs w:val="16"/>
        </w:rPr>
      </w:pPr>
    </w:p>
    <w:p w14:paraId="6FDA464E" w14:textId="33B464B6" w:rsidR="00B67D7C" w:rsidRPr="00DE096C" w:rsidRDefault="00B67D7C" w:rsidP="00D45A46">
      <w:pPr>
        <w:shd w:val="clear" w:color="auto" w:fill="FFFFFF"/>
        <w:jc w:val="both"/>
        <w:rPr>
          <w:bCs/>
          <w:color w:val="002060"/>
          <w:sz w:val="16"/>
          <w:szCs w:val="16"/>
        </w:rPr>
      </w:pPr>
      <w:r w:rsidRPr="00DE096C">
        <w:rPr>
          <w:bCs/>
          <w:color w:val="002060"/>
          <w:sz w:val="16"/>
          <w:szCs w:val="16"/>
        </w:rPr>
        <w:t>27 сентября (</w:t>
      </w:r>
      <w:r w:rsidR="00AD0CCB" w:rsidRPr="00DE096C">
        <w:rPr>
          <w:bCs/>
          <w:color w:val="002060"/>
          <w:sz w:val="16"/>
          <w:szCs w:val="16"/>
        </w:rPr>
        <w:t>10</w:t>
      </w:r>
      <w:r w:rsidRPr="00DE096C">
        <w:rPr>
          <w:bCs/>
          <w:color w:val="002060"/>
          <w:sz w:val="16"/>
          <w:szCs w:val="16"/>
        </w:rPr>
        <w:t xml:space="preserve"> октября) 1914 Военный Совет разрешил Главному военно-техническому управлению заказ еще на 32 самолета "Илья Муро</w:t>
      </w:r>
      <w:r w:rsidRPr="00DE096C">
        <w:rPr>
          <w:bCs/>
          <w:color w:val="002060"/>
          <w:sz w:val="16"/>
          <w:szCs w:val="16"/>
        </w:rPr>
        <w:softHyphen/>
        <w:t>мец" (сверх 10 уже построенных и находящихся в постройке) с полным вооружением и такое же количество комплектов запасных частей к ним. Самолеты должны были быть сданы в три срока к 1 марта 1915 г. (Постановление Военного Совета и ГВТУ от 29 сентября и 26 ноября 1914 г.).</w:t>
      </w:r>
    </w:p>
    <w:p w14:paraId="23C81ED7" w14:textId="77777777" w:rsidR="00B67D7C" w:rsidRPr="00DE096C" w:rsidRDefault="00B67D7C" w:rsidP="00D45A46">
      <w:pPr>
        <w:shd w:val="clear" w:color="auto" w:fill="FFFFFF"/>
        <w:jc w:val="both"/>
        <w:rPr>
          <w:bCs/>
          <w:color w:val="002060"/>
          <w:sz w:val="16"/>
          <w:szCs w:val="16"/>
        </w:rPr>
      </w:pPr>
    </w:p>
    <w:p w14:paraId="09AB5C70" w14:textId="77777777" w:rsidR="00152EA5" w:rsidRPr="00DE096C" w:rsidRDefault="00152EA5" w:rsidP="00D45A46">
      <w:pPr>
        <w:jc w:val="both"/>
        <w:rPr>
          <w:bCs/>
          <w:color w:val="002060"/>
          <w:sz w:val="16"/>
          <w:szCs w:val="16"/>
        </w:rPr>
      </w:pPr>
      <w:r w:rsidRPr="00DE096C">
        <w:rPr>
          <w:bCs/>
          <w:color w:val="002060"/>
          <w:sz w:val="16"/>
          <w:szCs w:val="16"/>
        </w:rPr>
        <w:t>27 сентября (10 октября) 1914 г. Военный совет разрешил главному военно-техническому управлению заказ еще на 32 самолета «Илья Муромец» /сверх 10 находящихся в постройке/ с полный вооружением и такое же количе</w:t>
      </w:r>
      <w:r w:rsidRPr="00DE096C">
        <w:rPr>
          <w:bCs/>
          <w:color w:val="002060"/>
          <w:sz w:val="16"/>
          <w:szCs w:val="16"/>
        </w:rPr>
        <w:softHyphen/>
        <w:t>ство комплектов запасных частей к ним на общую сумму 7.652 тысячи рублей, из коих 240 тысяч рублей ассигнованы на приобретение за границей моторов, различных материалов и приборов, не изготовляющихся в России. Самолеты должны быть сданы в три срока к 1 марта 1915.</w:t>
      </w:r>
    </w:p>
    <w:p w14:paraId="0E05F73A" w14:textId="77777777" w:rsidR="00152EA5" w:rsidRPr="00DE096C" w:rsidRDefault="00152EA5" w:rsidP="00D45A46">
      <w:pPr>
        <w:jc w:val="both"/>
        <w:rPr>
          <w:bCs/>
          <w:color w:val="002060"/>
          <w:sz w:val="16"/>
          <w:szCs w:val="16"/>
        </w:rPr>
      </w:pPr>
      <w:r w:rsidRPr="00DE096C">
        <w:rPr>
          <w:bCs/>
          <w:color w:val="002060"/>
          <w:sz w:val="16"/>
          <w:szCs w:val="16"/>
        </w:rPr>
        <w:t>/Постановление Военного совета и ГВТУ от 29 сент. и 26 нояб. 1914/ (23320).</w:t>
      </w:r>
    </w:p>
    <w:p w14:paraId="15EA2AF0" w14:textId="77777777" w:rsidR="00152EA5" w:rsidRPr="00DE096C" w:rsidRDefault="00152EA5" w:rsidP="00D45A46">
      <w:pPr>
        <w:jc w:val="both"/>
        <w:rPr>
          <w:bCs/>
          <w:color w:val="002060"/>
          <w:sz w:val="16"/>
          <w:szCs w:val="16"/>
        </w:rPr>
      </w:pPr>
    </w:p>
    <w:p w14:paraId="4F53E55D" w14:textId="16A111BF" w:rsidR="00B67D7C" w:rsidRPr="00DE096C" w:rsidRDefault="00B67D7C" w:rsidP="00D45A46">
      <w:pPr>
        <w:shd w:val="clear" w:color="auto" w:fill="FFFFFF"/>
        <w:jc w:val="both"/>
        <w:rPr>
          <w:bCs/>
          <w:color w:val="002060"/>
          <w:sz w:val="16"/>
          <w:szCs w:val="16"/>
        </w:rPr>
      </w:pPr>
      <w:r w:rsidRPr="00DE096C">
        <w:rPr>
          <w:bCs/>
          <w:color w:val="002060"/>
          <w:sz w:val="16"/>
          <w:szCs w:val="16"/>
        </w:rPr>
        <w:t>27 сентября (</w:t>
      </w:r>
      <w:r w:rsidR="00AD0CCB" w:rsidRPr="00DE096C">
        <w:rPr>
          <w:bCs/>
          <w:color w:val="002060"/>
          <w:sz w:val="16"/>
          <w:szCs w:val="16"/>
        </w:rPr>
        <w:t>10</w:t>
      </w:r>
      <w:r w:rsidRPr="00DE096C">
        <w:rPr>
          <w:bCs/>
          <w:color w:val="002060"/>
          <w:sz w:val="16"/>
          <w:szCs w:val="16"/>
        </w:rPr>
        <w:t xml:space="preserve"> октября) 1914 выехал на фронт "'поезд-мастерские Червонного авиационного завода", организованный на средства владельца этого завода Ф.Ф.Терещенко. Поезд состоял из 6 вагонов, трех платформ и двух классных вагонов. В нем были автомобили-мастерские, запасные части, строительный материал и прочее. Поезд был в Ровно, Люблине и других местах,оказывая всюду солидную.помощь авиаотрядам. Это был первый и единственный случай частной помощи фронту в таком виде. (ЦГВИА. ф.2008, д.334, лл.2, 18, 20).</w:t>
      </w:r>
    </w:p>
    <w:p w14:paraId="6092F0A8" w14:textId="77777777" w:rsidR="00B67D7C" w:rsidRPr="00DE096C" w:rsidRDefault="00B67D7C" w:rsidP="00D45A46">
      <w:pPr>
        <w:shd w:val="clear" w:color="auto" w:fill="FFFFFF"/>
        <w:jc w:val="both"/>
        <w:rPr>
          <w:bCs/>
          <w:color w:val="002060"/>
          <w:sz w:val="16"/>
          <w:szCs w:val="16"/>
        </w:rPr>
      </w:pPr>
    </w:p>
    <w:p w14:paraId="00274F00"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w:t>
      </w:r>
    </w:p>
    <w:p w14:paraId="7F0E7109" w14:textId="77777777" w:rsidR="00B67D7C" w:rsidRPr="00DE096C" w:rsidRDefault="00B67D7C" w:rsidP="00D45A46">
      <w:pPr>
        <w:shd w:val="clear" w:color="auto" w:fill="FFFFFF"/>
        <w:jc w:val="both"/>
        <w:rPr>
          <w:bCs/>
          <w:i/>
          <w:color w:val="002060"/>
          <w:sz w:val="16"/>
          <w:szCs w:val="16"/>
        </w:rPr>
      </w:pPr>
    </w:p>
    <w:p w14:paraId="681375C2" w14:textId="77777777" w:rsidR="00B67D7C" w:rsidRPr="00DE096C" w:rsidRDefault="00B67D7C" w:rsidP="00D45A46">
      <w:pPr>
        <w:jc w:val="both"/>
        <w:rPr>
          <w:bCs/>
          <w:color w:val="002060"/>
          <w:sz w:val="16"/>
          <w:szCs w:val="16"/>
        </w:rPr>
      </w:pPr>
      <w:r w:rsidRPr="00DE096C">
        <w:rPr>
          <w:bCs/>
          <w:color w:val="002060"/>
          <w:sz w:val="16"/>
          <w:szCs w:val="16"/>
        </w:rPr>
        <w:t>27 сентября (10 октября) 1914 года батареям Мертенгрена и Буковского пришлось столкнуться с новым противником - германским аэропланом, пытавшимся бомбить варшавские форты. Сброшенная на форт «Алексей» бомба не нанесла ущерба, а самолет был прогнан залповым ружейным огнем и пятью выстрелами артиллерии (четыре - с батареи Буковского). Опыт двух столкновений с авиацией германцев показал, насколько удачно была выбрана позиция для установки орудий: форты № 6 и М прикрывали юго-западные подступы к Варшаве, куда сходились главные железнодорожные и шоссейные магистрали. Управление батареями располагалось в Александровской цитадели. Противник тоже оценил роль импровизированных зениток: германская тяжелая артиллерия 29 сентября (12 октября) 1914 года провела обстрел батареи Буковского и форта № 6, правда, безрезультатно.</w:t>
      </w:r>
    </w:p>
    <w:p w14:paraId="4D9975B5" w14:textId="77777777" w:rsidR="00B67D7C" w:rsidRPr="00DE096C" w:rsidRDefault="00B67D7C" w:rsidP="00D45A46">
      <w:pPr>
        <w:jc w:val="both"/>
        <w:rPr>
          <w:bCs/>
          <w:color w:val="002060"/>
          <w:sz w:val="16"/>
          <w:szCs w:val="16"/>
        </w:rPr>
      </w:pPr>
      <w:r w:rsidRPr="00DE096C">
        <w:rPr>
          <w:bCs/>
          <w:color w:val="002060"/>
          <w:sz w:val="16"/>
          <w:szCs w:val="16"/>
        </w:rPr>
        <w:t>Однако «воздушное наступление» германцев перешло в новую фазу: не отвлекаясь на подавление наземных огневых средств, летчики сосредоточили усилия на бомбардировке стратегических объектов, прежде всего вокзалов.</w:t>
      </w:r>
    </w:p>
    <w:p w14:paraId="7DC32912" w14:textId="77777777" w:rsidR="007A3B57" w:rsidRPr="00DE096C" w:rsidRDefault="007A3B57" w:rsidP="00D45A46">
      <w:pPr>
        <w:jc w:val="both"/>
        <w:rPr>
          <w:bCs/>
          <w:color w:val="002060"/>
          <w:sz w:val="16"/>
          <w:szCs w:val="16"/>
        </w:rPr>
      </w:pPr>
    </w:p>
    <w:p w14:paraId="6B78EA83" w14:textId="24E2FD4C" w:rsidR="00B67D7C" w:rsidRPr="00DE096C" w:rsidRDefault="00B67D7C" w:rsidP="00D45A46">
      <w:pPr>
        <w:jc w:val="both"/>
        <w:rPr>
          <w:bCs/>
          <w:color w:val="002060"/>
          <w:sz w:val="16"/>
          <w:szCs w:val="16"/>
        </w:rPr>
      </w:pPr>
      <w:r w:rsidRPr="00DE096C">
        <w:rPr>
          <w:bCs/>
          <w:color w:val="002060"/>
          <w:sz w:val="16"/>
          <w:szCs w:val="16"/>
        </w:rPr>
        <w:t xml:space="preserve">27 сентября </w:t>
      </w:r>
      <w:r w:rsidR="007A3B57" w:rsidRPr="00DE096C">
        <w:rPr>
          <w:bCs/>
          <w:color w:val="002060"/>
          <w:sz w:val="16"/>
          <w:szCs w:val="16"/>
        </w:rPr>
        <w:t xml:space="preserve">(10 октября) 1914 г. </w:t>
      </w:r>
      <w:r w:rsidR="00D32F34" w:rsidRPr="00DE096C">
        <w:rPr>
          <w:bCs/>
          <w:color w:val="002060"/>
          <w:sz w:val="16"/>
          <w:szCs w:val="16"/>
        </w:rPr>
        <w:t xml:space="preserve">во второй половине дня "Муромец II" (заводской номер 136) поручика Панкратьева </w:t>
      </w:r>
      <w:r w:rsidRPr="00DE096C">
        <w:rPr>
          <w:bCs/>
          <w:color w:val="002060"/>
          <w:sz w:val="16"/>
          <w:szCs w:val="16"/>
        </w:rPr>
        <w:t>полетели в Режицу. Начало темнеть и пилот решил садиться. При посадке на незнакомой местности у Режипы аппарат был серьёзно поломан. Кроме того, при спуске "Муромец" ешё был обстрелян ратниками из охраны Виндаво-Рыбинской железной дороги. К счастью, выстрелы из берданок не достигли цели. А вот при посадке аэроплан пострадал серьёзно: снесло переднюю площадку, был сломан фюзеляж за пилотской каютой, в четырёх секциях крыльевых коробок были поломаны нижние плоскости, повреждён вал у одного из 200-сильных "Сальмсонов".</w:t>
      </w:r>
    </w:p>
    <w:p w14:paraId="18C99675" w14:textId="77777777" w:rsidR="00B67D7C" w:rsidRPr="00DE096C" w:rsidRDefault="00B67D7C" w:rsidP="00D45A46">
      <w:pPr>
        <w:jc w:val="both"/>
        <w:rPr>
          <w:bCs/>
          <w:color w:val="002060"/>
          <w:sz w:val="16"/>
          <w:szCs w:val="16"/>
        </w:rPr>
      </w:pPr>
      <w:r w:rsidRPr="00DE096C">
        <w:rPr>
          <w:bCs/>
          <w:color w:val="002060"/>
          <w:sz w:val="16"/>
          <w:szCs w:val="16"/>
        </w:rPr>
        <w:t>Аэроплан был разобран и команда отряда, установив палатку, в спешном порядке приступила к ремонту. К началу ноября, благодаря упорству и настойчивости командира Панкратьева (к тому времени уже штабс-капитана), "Илья Муромец II" был отремонтирован. Но починить согнутый вал 200-сильного мотора "Сальмсон" в полевых условиях не представлялось возможным. Двигатель в сопровождении моториста Ушакова направили для ремонта на завод в Петроград. Отряд "Муромца II" бездействовал в ожидании злополучного "Сальмсона".</w:t>
      </w:r>
    </w:p>
    <w:p w14:paraId="089DCB84" w14:textId="77777777" w:rsidR="00B67D7C" w:rsidRPr="00DE096C" w:rsidRDefault="00B67D7C" w:rsidP="00D45A46">
      <w:pPr>
        <w:jc w:val="both"/>
        <w:rPr>
          <w:bCs/>
          <w:color w:val="002060"/>
          <w:sz w:val="16"/>
          <w:szCs w:val="16"/>
        </w:rPr>
      </w:pPr>
      <w:r w:rsidRPr="00DE096C">
        <w:rPr>
          <w:bCs/>
          <w:color w:val="002060"/>
          <w:sz w:val="16"/>
          <w:szCs w:val="16"/>
        </w:rPr>
        <w:t>Но злоключения продолжались. После ремонта Ушаков был готов забрать двигатель немедленно, но заводское начальство настояло на пробном запуске. Двигатель поставили на станок для 80-сильного "Гнома". При опробовании мотора на полном газу, станок, естественно, опрокинулся, превратив отремонтированный двигатель в груду обломков.</w:t>
      </w:r>
    </w:p>
    <w:p w14:paraId="28954598" w14:textId="77777777" w:rsidR="00B67D7C" w:rsidRPr="00DE096C" w:rsidRDefault="00B67D7C" w:rsidP="00D45A46">
      <w:pPr>
        <w:jc w:val="both"/>
        <w:rPr>
          <w:bCs/>
          <w:color w:val="002060"/>
          <w:sz w:val="16"/>
          <w:szCs w:val="16"/>
        </w:rPr>
      </w:pPr>
      <w:r w:rsidRPr="00DE096C">
        <w:rPr>
          <w:bCs/>
          <w:color w:val="002060"/>
          <w:sz w:val="16"/>
          <w:szCs w:val="16"/>
        </w:rPr>
        <w:t>Во время ремонта в конструкцию II аэроплана были внесены некоторые изменения, положительно сказавшиеся на характеристиках аппарата. Радиаторы были подняты выше, что улучшило условия охлаждения моторов. Была доработана и улучшена система питания моторов бензином из запасных баков. Два наружных топливных бака были заменены одним, перенесённым внутрь фюзеляжа. При сохранении обшей схемы бензинопроводов была обеспечена возможность каждому мотору работать от трёх баков: своего, запасного и бака соседнего мотора. Общий вес аэроплана был уменьшен удалением излишних перегородок, кровати, лестницы, перил верхней площадки и спиливанием концов болтов.</w:t>
      </w:r>
    </w:p>
    <w:p w14:paraId="019BAC5E" w14:textId="77777777" w:rsidR="00B67D7C" w:rsidRPr="00DE096C" w:rsidRDefault="00B67D7C" w:rsidP="00D45A46">
      <w:pPr>
        <w:jc w:val="both"/>
        <w:rPr>
          <w:bCs/>
          <w:color w:val="002060"/>
          <w:sz w:val="16"/>
          <w:szCs w:val="16"/>
        </w:rPr>
      </w:pPr>
      <w:r w:rsidRPr="00DE096C">
        <w:rPr>
          <w:bCs/>
          <w:color w:val="002060"/>
          <w:sz w:val="16"/>
          <w:szCs w:val="16"/>
        </w:rPr>
        <w:t>Демонтаж баков внешних двигателей позволил уменьшить также и общее сопротивление самолёта. Тщательная переборка трёх оставшихся моторов и отладка карбюраторов дали хорошие результаты: теперь они запускались быстрее, давали на земле до 1650 оборотов и не захлебывались при переходе от малого газа на большой. В картере оставшегося 200-сильного мотора была обнаружена пригоршня гаек, болтов и шплинтов, которые были вынуты с помощью магнита. Естественно, что в адрес союзников при этом было сказано немало крепких слов. Панкратьев сильно переживал, что из-за отсутствия несчастного мотора, отряд не может приступить к боевой работе (12041).</w:t>
      </w:r>
    </w:p>
    <w:p w14:paraId="4C3044F3" w14:textId="77777777" w:rsidR="00B67D7C" w:rsidRPr="00DE096C" w:rsidRDefault="00B67D7C" w:rsidP="00D45A46">
      <w:pPr>
        <w:jc w:val="both"/>
        <w:rPr>
          <w:bCs/>
          <w:color w:val="002060"/>
          <w:sz w:val="16"/>
          <w:szCs w:val="16"/>
        </w:rPr>
      </w:pPr>
    </w:p>
    <w:p w14:paraId="37E3D240" w14:textId="03DEEE30" w:rsidR="00187E28" w:rsidRPr="00DE096C" w:rsidRDefault="00187E28" w:rsidP="00D45A46">
      <w:pPr>
        <w:jc w:val="both"/>
        <w:rPr>
          <w:bCs/>
          <w:color w:val="002060"/>
          <w:sz w:val="16"/>
          <w:szCs w:val="16"/>
        </w:rPr>
      </w:pPr>
      <w:r w:rsidRPr="00DE096C">
        <w:rPr>
          <w:bCs/>
          <w:color w:val="002060"/>
          <w:sz w:val="16"/>
          <w:szCs w:val="16"/>
        </w:rPr>
        <w:t>27 сентября (10 октября) 1914 г. в ходе войны выявилась необходимость иметь в авиаотрядах постоянных летчиков-наблюдателей. Учитывая это, верховный главногомандующий приказом № 78 предписал добавить в штат каждого отряда по четыре офицера-наблюдателя с присвоением им содержания, положенного летчикам. Летчики-наблюдатели комплектовались из офицеров различных родов войск, выразивших желание служить в авиация. до этого обязанности летнабов выполняли прикомандированные офицеры генерального штаба и разного рода войск, прошедшие предварительную практику в авиаотрядах. Этим же приказом введен новый штат дня авиационных рот, давший возможность создавать при армиях базы для ремонта самолетов и склады запасных частей, боеприпасов и горючего. Приказ этот касался только четырех из шести рот, а именно: 3, 4, 5 и 6-й.</w:t>
      </w:r>
    </w:p>
    <w:p w14:paraId="3A05A031" w14:textId="77777777" w:rsidR="00187E28" w:rsidRPr="00DE096C" w:rsidRDefault="00187E28" w:rsidP="00D45A46">
      <w:pPr>
        <w:jc w:val="both"/>
        <w:rPr>
          <w:bCs/>
          <w:color w:val="002060"/>
          <w:sz w:val="16"/>
          <w:szCs w:val="16"/>
        </w:rPr>
      </w:pPr>
      <w:r w:rsidRPr="00DE096C">
        <w:rPr>
          <w:bCs/>
          <w:color w:val="002060"/>
          <w:sz w:val="16"/>
          <w:szCs w:val="16"/>
        </w:rPr>
        <w:t>/ЦГВИА, ф. 2000, оп. 3, д.301, л. 169/ )23329).</w:t>
      </w:r>
    </w:p>
    <w:p w14:paraId="04DF4176" w14:textId="77777777" w:rsidR="00187E28" w:rsidRPr="00DE096C" w:rsidRDefault="00187E28" w:rsidP="00D45A46">
      <w:pPr>
        <w:jc w:val="both"/>
        <w:rPr>
          <w:bCs/>
          <w:color w:val="002060"/>
          <w:sz w:val="16"/>
          <w:szCs w:val="16"/>
        </w:rPr>
      </w:pPr>
    </w:p>
    <w:p w14:paraId="035F8F23" w14:textId="5560CD09" w:rsidR="006B1820" w:rsidRPr="00DE096C" w:rsidRDefault="006B1820" w:rsidP="00D45A46">
      <w:pPr>
        <w:shd w:val="clear" w:color="auto" w:fill="FFFFFF"/>
        <w:jc w:val="both"/>
        <w:rPr>
          <w:bCs/>
          <w:i/>
          <w:color w:val="002060"/>
          <w:sz w:val="16"/>
          <w:szCs w:val="16"/>
        </w:rPr>
      </w:pPr>
      <w:r w:rsidRPr="00DE096C">
        <w:rPr>
          <w:bCs/>
          <w:i/>
          <w:color w:val="002060"/>
          <w:sz w:val="16"/>
          <w:szCs w:val="16"/>
        </w:rPr>
        <w:t>Авиация:</w:t>
      </w:r>
    </w:p>
    <w:p w14:paraId="7D5EC322" w14:textId="77777777" w:rsidR="006B1820" w:rsidRPr="00DE096C" w:rsidRDefault="006B1820" w:rsidP="00D45A46">
      <w:pPr>
        <w:shd w:val="clear" w:color="auto" w:fill="FFFFFF"/>
        <w:jc w:val="both"/>
        <w:rPr>
          <w:bCs/>
          <w:i/>
          <w:color w:val="002060"/>
          <w:sz w:val="16"/>
          <w:szCs w:val="16"/>
        </w:rPr>
      </w:pPr>
    </w:p>
    <w:p w14:paraId="3770F6AC" w14:textId="2921C29B" w:rsidR="006B1820" w:rsidRPr="00DE096C" w:rsidRDefault="009E1084" w:rsidP="00D45A46">
      <w:pPr>
        <w:jc w:val="both"/>
        <w:rPr>
          <w:bCs/>
          <w:color w:val="002060"/>
          <w:sz w:val="16"/>
          <w:szCs w:val="16"/>
        </w:rPr>
      </w:pPr>
      <w:r w:rsidRPr="00DE096C">
        <w:rPr>
          <w:bCs/>
          <w:color w:val="002060"/>
          <w:sz w:val="16"/>
          <w:szCs w:val="16"/>
        </w:rPr>
        <w:t>27 сентября (10 октября)</w:t>
      </w:r>
      <w:r>
        <w:rPr>
          <w:bCs/>
          <w:color w:val="002060"/>
          <w:sz w:val="16"/>
          <w:szCs w:val="16"/>
        </w:rPr>
        <w:t xml:space="preserve"> 194 г. </w:t>
      </w:r>
      <w:r w:rsidR="006B1820" w:rsidRPr="00DE096C">
        <w:rPr>
          <w:bCs/>
          <w:color w:val="002060"/>
          <w:sz w:val="16"/>
          <w:szCs w:val="16"/>
          <w:lang w:bidi="en-US"/>
        </w:rPr>
        <w:t xml:space="preserve"> великий князь Александр Михайлович направил государю рапорт, в котором сообщал, что с начала войны по разным причинам потеряно 94 самолета и что 65 машин отправляются в части в качестве замены. На фронте находился 171 летчик-офицер. К настоящему времени пять пилотов погибли, десять пропали без вести и пятеро получили ранения в авариях (23525).</w:t>
      </w:r>
    </w:p>
    <w:p w14:paraId="03B40020" w14:textId="77777777" w:rsidR="006B1820" w:rsidRPr="00DE096C" w:rsidRDefault="006B1820" w:rsidP="00D45A46">
      <w:pPr>
        <w:jc w:val="both"/>
        <w:rPr>
          <w:bCs/>
          <w:color w:val="002060"/>
          <w:sz w:val="16"/>
          <w:szCs w:val="16"/>
          <w:lang w:bidi="en-US"/>
        </w:rPr>
      </w:pPr>
    </w:p>
    <w:p w14:paraId="2B7584B9" w14:textId="452F3884" w:rsidR="006B1820" w:rsidRPr="00DE096C" w:rsidRDefault="009E1084" w:rsidP="00D45A46">
      <w:pPr>
        <w:jc w:val="both"/>
        <w:rPr>
          <w:bCs/>
          <w:color w:val="002060"/>
          <w:sz w:val="16"/>
          <w:szCs w:val="16"/>
          <w:lang w:bidi="en-US"/>
        </w:rPr>
      </w:pPr>
      <w:r w:rsidRPr="00DE096C">
        <w:rPr>
          <w:bCs/>
          <w:color w:val="002060"/>
          <w:sz w:val="16"/>
          <w:szCs w:val="16"/>
        </w:rPr>
        <w:t>27 сентября (10 октября)</w:t>
      </w:r>
      <w:r w:rsidR="006B1820" w:rsidRPr="00DE096C">
        <w:rPr>
          <w:bCs/>
          <w:color w:val="002060"/>
          <w:sz w:val="16"/>
          <w:szCs w:val="16"/>
          <w:lang w:bidi="en-US"/>
        </w:rPr>
        <w:t xml:space="preserve"> 1914 г. Ставка приказала, чтобы в каждом КАО теперь было четыре дежурных офицера в качестве наблюдателей. Он также предписал каждой авиационной роте создать две передовые технические базы в районах, где выполняли операции назначенные им КАО, и прикрепить к каждой армии одну авиационную роту или часть роты. Все КАО должны были подчиняться командиру роты, а командиры рот подчиняться непосредственному контролю начальника штаба каждой армии (23525).</w:t>
      </w:r>
    </w:p>
    <w:p w14:paraId="5671706B" w14:textId="77777777" w:rsidR="006B1820" w:rsidRPr="00DE096C" w:rsidRDefault="006B1820" w:rsidP="00D45A46">
      <w:pPr>
        <w:jc w:val="both"/>
        <w:rPr>
          <w:bCs/>
          <w:color w:val="002060"/>
          <w:sz w:val="16"/>
          <w:szCs w:val="16"/>
        </w:rPr>
      </w:pPr>
    </w:p>
    <w:p w14:paraId="72D1FDF6" w14:textId="0402E02D" w:rsidR="00B67D7C" w:rsidRPr="00DE096C" w:rsidRDefault="00B67D7C" w:rsidP="00D45A46">
      <w:pPr>
        <w:shd w:val="clear" w:color="auto" w:fill="FFFFFF"/>
        <w:jc w:val="both"/>
        <w:rPr>
          <w:bCs/>
          <w:i/>
          <w:color w:val="002060"/>
          <w:sz w:val="16"/>
          <w:szCs w:val="16"/>
        </w:rPr>
      </w:pPr>
      <w:r w:rsidRPr="00DE096C">
        <w:rPr>
          <w:bCs/>
          <w:i/>
          <w:color w:val="002060"/>
          <w:sz w:val="16"/>
          <w:szCs w:val="16"/>
        </w:rPr>
        <w:t>Военное воздухоплавание:</w:t>
      </w:r>
    </w:p>
    <w:p w14:paraId="7D08A9F2" w14:textId="77777777" w:rsidR="00B67D7C" w:rsidRPr="00DE096C" w:rsidRDefault="00B67D7C" w:rsidP="00D45A46">
      <w:pPr>
        <w:shd w:val="clear" w:color="auto" w:fill="FFFFFF"/>
        <w:jc w:val="both"/>
        <w:rPr>
          <w:bCs/>
          <w:i/>
          <w:color w:val="002060"/>
          <w:sz w:val="16"/>
          <w:szCs w:val="16"/>
        </w:rPr>
      </w:pPr>
    </w:p>
    <w:p w14:paraId="506C9230" w14:textId="1973122F" w:rsidR="00B67D7C" w:rsidRPr="00DE096C" w:rsidRDefault="00B67D7C" w:rsidP="00D45A46">
      <w:pPr>
        <w:jc w:val="both"/>
        <w:rPr>
          <w:bCs/>
          <w:color w:val="002060"/>
          <w:sz w:val="16"/>
          <w:szCs w:val="16"/>
        </w:rPr>
      </w:pPr>
      <w:r w:rsidRPr="00DE096C">
        <w:rPr>
          <w:bCs/>
          <w:color w:val="002060"/>
          <w:sz w:val="16"/>
          <w:szCs w:val="16"/>
        </w:rPr>
        <w:t>27 сентября (</w:t>
      </w:r>
      <w:r w:rsidR="00D32F34" w:rsidRPr="00DE096C">
        <w:rPr>
          <w:bCs/>
          <w:color w:val="002060"/>
          <w:sz w:val="16"/>
          <w:szCs w:val="16"/>
        </w:rPr>
        <w:t>10</w:t>
      </w:r>
      <w:r w:rsidRPr="00DE096C">
        <w:rPr>
          <w:bCs/>
          <w:color w:val="002060"/>
          <w:sz w:val="16"/>
          <w:szCs w:val="16"/>
        </w:rPr>
        <w:t xml:space="preserve"> октября) 1917 </w:t>
      </w:r>
      <w:r w:rsidR="00D32F34" w:rsidRPr="00DE096C">
        <w:rPr>
          <w:bCs/>
          <w:color w:val="002060"/>
          <w:sz w:val="16"/>
          <w:szCs w:val="16"/>
        </w:rPr>
        <w:t>аэростату</w:t>
      </w:r>
      <w:r w:rsidRPr="00DE096C">
        <w:rPr>
          <w:bCs/>
          <w:color w:val="002060"/>
          <w:sz w:val="16"/>
          <w:szCs w:val="16"/>
        </w:rPr>
        <w:t xml:space="preserve"> удалось обнаружить в лесу у деревни Бонковец немецкие войска, которые обстреляли аэростат шрапнельным огнем. Однако благодаря умелому маневрированию лебедки с поднятым аэростатом потерь не было. </w:t>
      </w:r>
    </w:p>
    <w:p w14:paraId="70311D37" w14:textId="77777777" w:rsidR="00B67D7C" w:rsidRPr="00DE096C" w:rsidRDefault="00B67D7C" w:rsidP="00D45A46">
      <w:pPr>
        <w:jc w:val="both"/>
        <w:rPr>
          <w:bCs/>
          <w:color w:val="002060"/>
          <w:sz w:val="16"/>
          <w:szCs w:val="16"/>
        </w:rPr>
      </w:pPr>
      <w:r w:rsidRPr="00DE096C">
        <w:rPr>
          <w:bCs/>
          <w:color w:val="002060"/>
          <w:sz w:val="16"/>
          <w:szCs w:val="16"/>
        </w:rPr>
        <w:t>За неделю воздухоплавателями было разведано большое количество вражеских батарей и определена линия неприятельских осадных работ (11334).</w:t>
      </w:r>
    </w:p>
    <w:p w14:paraId="273AC8C2" w14:textId="77777777" w:rsidR="00B67D7C" w:rsidRPr="00DE096C" w:rsidRDefault="00B67D7C" w:rsidP="00D45A46">
      <w:pPr>
        <w:shd w:val="clear" w:color="auto" w:fill="FFFFFF"/>
        <w:jc w:val="both"/>
        <w:rPr>
          <w:bCs/>
          <w:i/>
          <w:color w:val="002060"/>
          <w:sz w:val="16"/>
          <w:szCs w:val="16"/>
        </w:rPr>
      </w:pPr>
    </w:p>
    <w:p w14:paraId="15348508" w14:textId="77777777" w:rsidR="00B67D7C" w:rsidRPr="00DE096C" w:rsidRDefault="00B67D7C" w:rsidP="00D45A46">
      <w:pPr>
        <w:jc w:val="both"/>
        <w:rPr>
          <w:bCs/>
          <w:color w:val="002060"/>
          <w:sz w:val="16"/>
          <w:szCs w:val="16"/>
        </w:rPr>
      </w:pPr>
      <w:r w:rsidRPr="00DE096C">
        <w:rPr>
          <w:bCs/>
          <w:color w:val="002060"/>
          <w:sz w:val="16"/>
          <w:szCs w:val="16"/>
        </w:rPr>
        <w:t>Из воспоминаний Шабашева: "По прибытии в крепость Ивангород... производились подъемы на аэростате для изучения крепостного района...</w:t>
      </w:r>
    </w:p>
    <w:p w14:paraId="1AE0537C" w14:textId="77777777" w:rsidR="00B67D7C" w:rsidRPr="00DE096C" w:rsidRDefault="00B67D7C" w:rsidP="00D45A46">
      <w:pPr>
        <w:jc w:val="both"/>
        <w:rPr>
          <w:bCs/>
          <w:color w:val="002060"/>
          <w:sz w:val="16"/>
          <w:szCs w:val="16"/>
        </w:rPr>
      </w:pPr>
      <w:r w:rsidRPr="00DE096C">
        <w:rPr>
          <w:bCs/>
          <w:color w:val="002060"/>
          <w:sz w:val="16"/>
          <w:szCs w:val="16"/>
        </w:rPr>
        <w:t>В период с (15) по (23 сентября) на роту были возложены обязанности следить за приближающимся к крепости противником и наблюдать за небом днем и ночью, чтобы своевременно обнаруживать самолеты врага. В эти дни аэростат работал непрерывно, несмотря на то, что скорость ветра достигала 18-26 м/с.</w:t>
      </w:r>
    </w:p>
    <w:p w14:paraId="2AEF6BC7" w14:textId="77777777" w:rsidR="00B67D7C" w:rsidRPr="00DE096C" w:rsidRDefault="00B67D7C" w:rsidP="00D45A46">
      <w:pPr>
        <w:jc w:val="both"/>
        <w:rPr>
          <w:bCs/>
          <w:color w:val="002060"/>
          <w:sz w:val="16"/>
          <w:szCs w:val="16"/>
        </w:rPr>
      </w:pPr>
      <w:r w:rsidRPr="00DE096C">
        <w:rPr>
          <w:bCs/>
          <w:color w:val="002060"/>
          <w:sz w:val="16"/>
          <w:szCs w:val="16"/>
        </w:rPr>
        <w:t>Переместившись (27 сентября) к деревне Борова, чтобы улучшить условия наблюдения... наблюдатель обнаружил с аэростата присутствие немцев в лесу у деревни Бон- ковец. Аэростат был обстрелян сильным шрапнельным огнем. Благодаря маневрированию с лебедкой и изменению высоты подъема удалось избежать попаданий в аэростат..." (11999).</w:t>
      </w:r>
    </w:p>
    <w:p w14:paraId="3E067FD1" w14:textId="77777777" w:rsidR="00B67D7C" w:rsidRPr="00DE096C" w:rsidRDefault="00B67D7C" w:rsidP="00D45A46">
      <w:pPr>
        <w:jc w:val="both"/>
        <w:rPr>
          <w:bCs/>
          <w:color w:val="002060"/>
          <w:sz w:val="16"/>
          <w:szCs w:val="16"/>
        </w:rPr>
      </w:pPr>
    </w:p>
    <w:p w14:paraId="1A625C8E" w14:textId="77777777" w:rsidR="0091409A" w:rsidRPr="00DE096C" w:rsidRDefault="0091409A" w:rsidP="00D45A46">
      <w:pPr>
        <w:jc w:val="both"/>
        <w:rPr>
          <w:bCs/>
          <w:i/>
          <w:color w:val="002060"/>
          <w:sz w:val="16"/>
          <w:szCs w:val="16"/>
        </w:rPr>
      </w:pPr>
      <w:r w:rsidRPr="00DE096C">
        <w:rPr>
          <w:bCs/>
          <w:i/>
          <w:color w:val="002060"/>
          <w:sz w:val="16"/>
          <w:szCs w:val="16"/>
        </w:rPr>
        <w:t>Армия:</w:t>
      </w:r>
    </w:p>
    <w:p w14:paraId="4A856F14" w14:textId="77777777" w:rsidR="0091409A" w:rsidRPr="00DE096C" w:rsidRDefault="0091409A" w:rsidP="00D45A46">
      <w:pPr>
        <w:jc w:val="both"/>
        <w:rPr>
          <w:bCs/>
          <w:i/>
          <w:color w:val="002060"/>
          <w:sz w:val="16"/>
          <w:szCs w:val="16"/>
        </w:rPr>
      </w:pPr>
    </w:p>
    <w:p w14:paraId="7C0334A5" w14:textId="02255E1C" w:rsidR="0091409A" w:rsidRPr="00DE096C" w:rsidRDefault="0091409A" w:rsidP="00D45A46">
      <w:pPr>
        <w:jc w:val="both"/>
        <w:rPr>
          <w:bCs/>
          <w:color w:val="002060"/>
          <w:sz w:val="16"/>
          <w:szCs w:val="16"/>
        </w:rPr>
      </w:pPr>
      <w:r w:rsidRPr="00DE096C">
        <w:rPr>
          <w:rStyle w:val="ucoz-forum-post"/>
          <w:rFonts w:eastAsiaTheme="majorEastAsia"/>
          <w:bCs/>
          <w:color w:val="002060"/>
          <w:sz w:val="16"/>
          <w:szCs w:val="16"/>
        </w:rPr>
        <w:t xml:space="preserve">27 сентября </w:t>
      </w:r>
      <w:r w:rsidR="00D32F34" w:rsidRPr="00DE096C">
        <w:rPr>
          <w:rStyle w:val="ucoz-forum-post"/>
          <w:rFonts w:eastAsiaTheme="majorEastAsia"/>
          <w:bCs/>
          <w:color w:val="002060"/>
          <w:sz w:val="16"/>
          <w:szCs w:val="16"/>
        </w:rPr>
        <w:t xml:space="preserve">(10 октября) </w:t>
      </w:r>
      <w:r w:rsidRPr="00DE096C">
        <w:rPr>
          <w:bCs/>
          <w:color w:val="002060"/>
          <w:sz w:val="16"/>
          <w:szCs w:val="16"/>
        </w:rPr>
        <w:t>в 1914 году русские войска переходят Карпаты и вторгаются в Венгрию (14782).</w:t>
      </w:r>
    </w:p>
    <w:p w14:paraId="22078ABD" w14:textId="77777777" w:rsidR="0091409A" w:rsidRPr="00DE096C" w:rsidRDefault="0091409A" w:rsidP="00D45A46">
      <w:pPr>
        <w:jc w:val="both"/>
        <w:rPr>
          <w:bCs/>
          <w:color w:val="002060"/>
          <w:sz w:val="16"/>
          <w:szCs w:val="16"/>
        </w:rPr>
      </w:pPr>
    </w:p>
    <w:p w14:paraId="1662449D" w14:textId="77777777" w:rsidR="0091409A" w:rsidRPr="00DE096C" w:rsidRDefault="0091409A" w:rsidP="00D45A46">
      <w:pPr>
        <w:jc w:val="both"/>
        <w:rPr>
          <w:bCs/>
          <w:i/>
          <w:color w:val="002060"/>
          <w:sz w:val="16"/>
          <w:szCs w:val="16"/>
        </w:rPr>
      </w:pPr>
      <w:r w:rsidRPr="00DE096C">
        <w:rPr>
          <w:bCs/>
          <w:i/>
          <w:color w:val="002060"/>
          <w:sz w:val="16"/>
          <w:szCs w:val="16"/>
        </w:rPr>
        <w:t>Жизнь и внутренняя политика:</w:t>
      </w:r>
    </w:p>
    <w:p w14:paraId="52EEE73E" w14:textId="77777777" w:rsidR="0091409A" w:rsidRPr="00DE096C" w:rsidRDefault="0091409A" w:rsidP="00D45A46">
      <w:pPr>
        <w:jc w:val="both"/>
        <w:rPr>
          <w:bCs/>
          <w:i/>
          <w:color w:val="002060"/>
          <w:sz w:val="16"/>
          <w:szCs w:val="16"/>
        </w:rPr>
      </w:pPr>
    </w:p>
    <w:p w14:paraId="322A15CF" w14:textId="620FB3F5" w:rsidR="0091409A" w:rsidRPr="00DE096C" w:rsidRDefault="0091409A" w:rsidP="00D45A46">
      <w:pPr>
        <w:jc w:val="both"/>
        <w:rPr>
          <w:bCs/>
          <w:color w:val="002060"/>
          <w:sz w:val="16"/>
          <w:szCs w:val="16"/>
        </w:rPr>
      </w:pPr>
      <w:r w:rsidRPr="00DE096C">
        <w:rPr>
          <w:rStyle w:val="ucoz-forum-post"/>
          <w:rFonts w:eastAsiaTheme="majorEastAsia"/>
          <w:bCs/>
          <w:color w:val="002060"/>
          <w:sz w:val="16"/>
          <w:szCs w:val="16"/>
        </w:rPr>
        <w:t xml:space="preserve">27 сентября </w:t>
      </w:r>
      <w:r w:rsidR="00D32F34" w:rsidRPr="00DE096C">
        <w:rPr>
          <w:rStyle w:val="ucoz-forum-post"/>
          <w:rFonts w:eastAsiaTheme="majorEastAsia"/>
          <w:bCs/>
          <w:color w:val="002060"/>
          <w:sz w:val="16"/>
          <w:szCs w:val="16"/>
        </w:rPr>
        <w:t xml:space="preserve">(10 оетября) </w:t>
      </w:r>
      <w:r w:rsidRPr="00DE096C">
        <w:rPr>
          <w:bCs/>
          <w:color w:val="002060"/>
          <w:sz w:val="16"/>
          <w:szCs w:val="16"/>
        </w:rPr>
        <w:t>в 1914 году спустя 6 недель после начала войны возникла организация, взявшая на себя заботу об оказавшихся без крова людях, а инициатором ее создания выступила 17-летняя великая княжна Татьяна, дочь Николая II. Организация носила название "Комитет Ея Императорского Высочества Великой княжны Татианы Николаевны для оказания временной помощи пострадавшим от военных бедствий", а в народе она была больше известна как "Татьянинский комитет". Комитет ставил перед собой следующие цели: оказание помощи лицам, впавшим в нужду вследствие военных обстоятельств, в местах их постоянного места жительства или же в местах их временного пребывания; содействие отправлению беженцев на родину или на постоянное место жительства; поиск работы для трудоспособных; содействие в помещении нетрудоспособных в богадельни, приюты; оказание беженцам денежных пособий; создание собственных учреждений для помещения нетрудоспособных; прием пожертвований. В Комитет входили известные в России государственные и общественные деятели, а великая княжна была почетной председательницей и принимала живейшее участие во всех его делах. В "Татьянинском комитете" были утверждены "Правила о дипломах и жетонах...". Дипломы и жетоны жаловались "за оказание Комитету выдающихся заслуг жертвами или устройством сборов, подписок, выставок, концертов, спектаклей, лекций, лотерей и т.п.". Были установлены дипломы двух разрядов (диплом первого разряда печатался золотым шрифтом на веленевой бумаге), жетоны также устанавливались двух разрядов и имели вид синего эмалевого щита с изображением инициалов Августейшей почетной председательницы Комитета под великокняжеской короной. Жетоны первого разряда были серебряные, второго - бронзовые. Дамы их могли носить как брошь, а мужчины - как брелок на часовой цепочке или же в верхней петлице платья. "Мы уверены, что не только члены нашего... комитета; но и те, кому дорога Россия, кто любит ее, кто верит в ее мощь силу, кто верит престолу, отечеству и вере христианской, кто помнит великия слова Минина: "Отдадим все, что имеем, заложим жен и детей наших, а не отдадим на поругание врагу своей великой родины и ее вековых святынь". Придут к нам на помощь и сотни ратных будут иметь приют, уход и ласку после тяжелых боевых трудов" - говорилось в записке об организации Комитета. При Комитете был учрежден Особый отдел по регистрации беженцев. Исполнительным органом Особого отдела стало Центральное всероссийское бюро по регистрации беженцев - во главе с В.И.Комарницким. Согласно данным бюро, на 1 февраля 1917 года количество беженцев со всех фронтов составило 3200512 человек. Основная помощь шла от Особого совещания по устройству беженцев, которое выделило на нужды беженцев 297 млн. рублей (14782).</w:t>
      </w:r>
    </w:p>
    <w:p w14:paraId="13936957" w14:textId="77777777" w:rsidR="0091409A" w:rsidRPr="00DE096C" w:rsidRDefault="0091409A" w:rsidP="00D45A46">
      <w:pPr>
        <w:jc w:val="both"/>
        <w:rPr>
          <w:bCs/>
          <w:color w:val="002060"/>
          <w:sz w:val="16"/>
          <w:szCs w:val="16"/>
        </w:rPr>
      </w:pPr>
    </w:p>
    <w:p w14:paraId="193CD87E" w14:textId="77777777" w:rsidR="0091409A" w:rsidRPr="00DE096C" w:rsidRDefault="0091409A" w:rsidP="00D45A46">
      <w:pPr>
        <w:jc w:val="both"/>
        <w:rPr>
          <w:bCs/>
          <w:i/>
          <w:color w:val="002060"/>
          <w:sz w:val="16"/>
          <w:szCs w:val="16"/>
        </w:rPr>
      </w:pPr>
      <w:r w:rsidRPr="00DE096C">
        <w:rPr>
          <w:bCs/>
          <w:i/>
          <w:color w:val="002060"/>
          <w:sz w:val="16"/>
          <w:szCs w:val="16"/>
        </w:rPr>
        <w:t>За рубежом:</w:t>
      </w:r>
    </w:p>
    <w:p w14:paraId="4E4A21DB" w14:textId="77777777" w:rsidR="0091409A" w:rsidRPr="00DE096C" w:rsidRDefault="0091409A" w:rsidP="00D45A46">
      <w:pPr>
        <w:jc w:val="both"/>
        <w:rPr>
          <w:bCs/>
          <w:color w:val="002060"/>
          <w:sz w:val="16"/>
          <w:szCs w:val="16"/>
        </w:rPr>
      </w:pPr>
    </w:p>
    <w:p w14:paraId="0D019E5C" w14:textId="77777777" w:rsidR="0091409A" w:rsidRPr="00DE096C" w:rsidRDefault="0091409A" w:rsidP="00D45A46">
      <w:pPr>
        <w:jc w:val="both"/>
        <w:rPr>
          <w:bCs/>
          <w:color w:val="002060"/>
          <w:sz w:val="16"/>
          <w:szCs w:val="16"/>
        </w:rPr>
      </w:pPr>
      <w:r w:rsidRPr="00DE096C">
        <w:rPr>
          <w:bCs/>
          <w:color w:val="002060"/>
          <w:sz w:val="16"/>
          <w:szCs w:val="16"/>
        </w:rPr>
        <w:t>27 сентября (10 октября) в 1914 году немецкие войска взяли Антверпен (14795).</w:t>
      </w:r>
    </w:p>
    <w:p w14:paraId="1224F40F" w14:textId="77777777" w:rsidR="0091409A" w:rsidRPr="00DE096C" w:rsidRDefault="0091409A" w:rsidP="00D45A46">
      <w:pPr>
        <w:jc w:val="both"/>
        <w:rPr>
          <w:bCs/>
          <w:color w:val="002060"/>
          <w:sz w:val="16"/>
          <w:szCs w:val="16"/>
        </w:rPr>
      </w:pPr>
    </w:p>
    <w:p w14:paraId="3C79A07B" w14:textId="137D4B17" w:rsidR="004A06BE" w:rsidRPr="00DE096C" w:rsidRDefault="004A06BE" w:rsidP="004A06BE">
      <w:pPr>
        <w:shd w:val="clear" w:color="auto" w:fill="FFFFFF"/>
        <w:jc w:val="both"/>
        <w:rPr>
          <w:bCs/>
          <w:i/>
          <w:color w:val="002060"/>
          <w:sz w:val="16"/>
          <w:szCs w:val="16"/>
        </w:rPr>
      </w:pPr>
      <w:r w:rsidRPr="00DE096C">
        <w:rPr>
          <w:bCs/>
          <w:i/>
          <w:color w:val="002060"/>
          <w:sz w:val="16"/>
          <w:szCs w:val="16"/>
        </w:rPr>
        <w:t>А</w:t>
      </w:r>
      <w:r>
        <w:rPr>
          <w:bCs/>
          <w:i/>
          <w:color w:val="002060"/>
          <w:sz w:val="16"/>
          <w:szCs w:val="16"/>
        </w:rPr>
        <w:t>виация</w:t>
      </w:r>
      <w:r w:rsidRPr="00DE096C">
        <w:rPr>
          <w:bCs/>
          <w:i/>
          <w:color w:val="002060"/>
          <w:sz w:val="16"/>
          <w:szCs w:val="16"/>
        </w:rPr>
        <w:t>:</w:t>
      </w:r>
    </w:p>
    <w:p w14:paraId="210E7497" w14:textId="77777777" w:rsidR="004A06BE" w:rsidRPr="00DE096C" w:rsidRDefault="004A06BE" w:rsidP="004A06BE">
      <w:pPr>
        <w:shd w:val="clear" w:color="auto" w:fill="FFFFFF"/>
        <w:jc w:val="both"/>
        <w:rPr>
          <w:bCs/>
          <w:i/>
          <w:color w:val="002060"/>
          <w:sz w:val="16"/>
          <w:szCs w:val="16"/>
        </w:rPr>
      </w:pPr>
    </w:p>
    <w:p w14:paraId="32EA06BF" w14:textId="77777777" w:rsidR="004A06BE" w:rsidRPr="00B52707" w:rsidRDefault="004A06BE" w:rsidP="004A06BE">
      <w:pPr>
        <w:jc w:val="both"/>
        <w:rPr>
          <w:rStyle w:val="ab"/>
          <w:rFonts w:ascii="Times New Roman" w:hAnsi="Times New Roman"/>
          <w:color w:val="0070C0"/>
          <w:spacing w:val="0"/>
          <w:sz w:val="16"/>
          <w:szCs w:val="16"/>
        </w:rPr>
      </w:pPr>
      <w:r w:rsidRPr="00B52707">
        <w:rPr>
          <w:rStyle w:val="ab"/>
          <w:rFonts w:ascii="Times New Roman" w:hAnsi="Times New Roman"/>
          <w:color w:val="0070C0"/>
          <w:spacing w:val="0"/>
          <w:sz w:val="16"/>
          <w:szCs w:val="16"/>
        </w:rPr>
        <w:t>28 сентября (11 октября) 1914 года по согласованию со штабом армии Петроградский губернатор потребовал от полицейского управления «Установить при содействии местного населения наблюдение за появлением летательных аппаратов, преимущественно с возвышенных мест, колоколен, пожарных вышек и т. д.». В ряде районов Петроградской губернии это распоряжение получило вид натуральной повинности. Позднее оно было опротестовано, а затем отменено решением Государственной Думы.</w:t>
      </w:r>
    </w:p>
    <w:p w14:paraId="5711A175" w14:textId="77777777" w:rsidR="004A06BE" w:rsidRPr="00B52707" w:rsidRDefault="004A06BE" w:rsidP="004A06BE">
      <w:pPr>
        <w:jc w:val="both"/>
        <w:rPr>
          <w:color w:val="0070C0"/>
          <w:sz w:val="16"/>
          <w:szCs w:val="16"/>
        </w:rPr>
      </w:pPr>
      <w:r w:rsidRPr="00B52707">
        <w:rPr>
          <w:rStyle w:val="ab"/>
          <w:rFonts w:ascii="Times New Roman" w:hAnsi="Times New Roman"/>
          <w:color w:val="0070C0"/>
          <w:spacing w:val="0"/>
          <w:sz w:val="16"/>
          <w:szCs w:val="16"/>
        </w:rPr>
        <w:t>Созданные к тому времени штатные слеженные посты 6 А были в состоянии уже в полном объеме решать поставленные перед ними задачи в полосе обороны укрепрайона. Организация воздушного наблюдения на дальних подступах к столице (до 200-300 км) продолжала оставаться в ведении Министерства внутренних дел, имевшего сеть своих постов преимущественно на железнодорожных станциях, оборудованных телеграфной и телефонной видами связи.</w:t>
      </w:r>
    </w:p>
    <w:p w14:paraId="5A6BD7B3" w14:textId="77777777" w:rsidR="004A06BE" w:rsidRPr="00B52707" w:rsidRDefault="004A06BE" w:rsidP="004A06BE">
      <w:pPr>
        <w:jc w:val="both"/>
        <w:rPr>
          <w:color w:val="0070C0"/>
          <w:sz w:val="16"/>
          <w:szCs w:val="16"/>
        </w:rPr>
      </w:pPr>
      <w:r w:rsidRPr="00B52707">
        <w:rPr>
          <w:rStyle w:val="ab"/>
          <w:rFonts w:ascii="Times New Roman" w:hAnsi="Times New Roman"/>
          <w:color w:val="0070C0"/>
          <w:spacing w:val="0"/>
          <w:sz w:val="16"/>
          <w:szCs w:val="16"/>
        </w:rPr>
        <w:t>Для подразделений ВоздО предусматривался режим «постоянного несения боевого дежурства». Наиболее важными объектами, подлежащими защите от воздушного нападения, в тот момент являлись: Дворец Его Величества в Царском Селе, пороховые погреба в Полюстрове, пироксилиновые склады, центральная радиотелеграфная станция (Царское Село), склады бензина, соединительные ветви Финляндской и Николаевской железной дороги, ряд государственных и частных заводов оборонной промышленности и т. д.</w:t>
      </w:r>
    </w:p>
    <w:p w14:paraId="763ED1D4" w14:textId="77777777" w:rsidR="004A06BE" w:rsidRPr="00B52707" w:rsidRDefault="004A06BE" w:rsidP="004A06BE">
      <w:pPr>
        <w:jc w:val="both"/>
        <w:rPr>
          <w:rStyle w:val="ab"/>
          <w:rFonts w:ascii="Times New Roman" w:hAnsi="Times New Roman"/>
          <w:color w:val="0070C0"/>
          <w:spacing w:val="0"/>
          <w:sz w:val="16"/>
          <w:szCs w:val="16"/>
        </w:rPr>
      </w:pPr>
      <w:r w:rsidRPr="00B52707">
        <w:rPr>
          <w:rStyle w:val="ab"/>
          <w:rFonts w:ascii="Times New Roman" w:hAnsi="Times New Roman"/>
          <w:color w:val="0070C0"/>
          <w:spacing w:val="0"/>
          <w:sz w:val="16"/>
          <w:szCs w:val="16"/>
        </w:rPr>
        <w:t>При организации ВоздО в зоне ответственности 6 А бралось во внимание отсутствие каких- либо боевых действий на подконтрольной ей территории.</w:t>
      </w:r>
    </w:p>
    <w:p w14:paraId="6304B01E" w14:textId="77777777" w:rsidR="004A06BE" w:rsidRPr="00B52707" w:rsidRDefault="004A06BE" w:rsidP="004A06BE">
      <w:pPr>
        <w:jc w:val="both"/>
        <w:rPr>
          <w:color w:val="0070C0"/>
          <w:sz w:val="16"/>
          <w:szCs w:val="16"/>
        </w:rPr>
      </w:pPr>
      <w:r w:rsidRPr="00B52707">
        <w:rPr>
          <w:rStyle w:val="ab"/>
          <w:rFonts w:ascii="Times New Roman" w:hAnsi="Times New Roman"/>
          <w:color w:val="0070C0"/>
          <w:spacing w:val="0"/>
          <w:sz w:val="16"/>
          <w:szCs w:val="16"/>
        </w:rPr>
        <w:t>Тем не менее, итоги кампании 1914 года и увеличение численности воздушной группировки противника в районе Балтийского моря требовали дальнейшего совершенствования системы столичной воздушной обороны (25166).</w:t>
      </w:r>
    </w:p>
    <w:p w14:paraId="45E563B6" w14:textId="77777777" w:rsidR="004A06BE" w:rsidRPr="00B52707" w:rsidRDefault="004A06BE" w:rsidP="004A06BE">
      <w:pPr>
        <w:jc w:val="both"/>
        <w:rPr>
          <w:color w:val="0070C0"/>
          <w:sz w:val="16"/>
          <w:szCs w:val="16"/>
        </w:rPr>
      </w:pPr>
    </w:p>
    <w:p w14:paraId="2AB94983" w14:textId="77777777" w:rsidR="004A06BE" w:rsidRPr="00DE096C" w:rsidRDefault="004A06BE" w:rsidP="004A06BE">
      <w:pPr>
        <w:shd w:val="clear" w:color="auto" w:fill="FFFFFF"/>
        <w:jc w:val="both"/>
        <w:rPr>
          <w:bCs/>
          <w:i/>
          <w:color w:val="002060"/>
          <w:sz w:val="16"/>
          <w:szCs w:val="16"/>
        </w:rPr>
      </w:pPr>
      <w:r w:rsidRPr="00DE096C">
        <w:rPr>
          <w:bCs/>
          <w:i/>
          <w:color w:val="002060"/>
          <w:sz w:val="16"/>
          <w:szCs w:val="16"/>
        </w:rPr>
        <w:t>Армия:</w:t>
      </w:r>
    </w:p>
    <w:p w14:paraId="2145EAA0" w14:textId="77777777" w:rsidR="004A06BE" w:rsidRPr="00DE096C" w:rsidRDefault="004A06BE" w:rsidP="004A06BE">
      <w:pPr>
        <w:shd w:val="clear" w:color="auto" w:fill="FFFFFF"/>
        <w:jc w:val="both"/>
        <w:rPr>
          <w:bCs/>
          <w:i/>
          <w:color w:val="002060"/>
          <w:sz w:val="16"/>
          <w:szCs w:val="16"/>
        </w:rPr>
      </w:pPr>
    </w:p>
    <w:p w14:paraId="1246D345" w14:textId="77777777" w:rsidR="004A06BE" w:rsidRPr="00DE096C" w:rsidRDefault="004A06BE" w:rsidP="004A06BE">
      <w:pPr>
        <w:jc w:val="both"/>
        <w:rPr>
          <w:bCs/>
          <w:color w:val="002060"/>
          <w:sz w:val="16"/>
          <w:szCs w:val="16"/>
          <w:lang w:bidi="en-US"/>
        </w:rPr>
      </w:pPr>
      <w:r w:rsidRPr="00B52707">
        <w:rPr>
          <w:rStyle w:val="ab"/>
          <w:rFonts w:ascii="Times New Roman" w:hAnsi="Times New Roman"/>
          <w:color w:val="0070C0"/>
          <w:spacing w:val="0"/>
          <w:sz w:val="16"/>
          <w:szCs w:val="16"/>
        </w:rPr>
        <w:t>28 сентября (11 октября)</w:t>
      </w:r>
      <w:r>
        <w:rPr>
          <w:rStyle w:val="ab"/>
          <w:rFonts w:ascii="Times New Roman" w:hAnsi="Times New Roman"/>
          <w:color w:val="0070C0"/>
          <w:spacing w:val="0"/>
          <w:sz w:val="16"/>
          <w:szCs w:val="16"/>
        </w:rPr>
        <w:t xml:space="preserve"> </w:t>
      </w:r>
      <w:r w:rsidRPr="00DE096C">
        <w:rPr>
          <w:bCs/>
          <w:color w:val="002060"/>
          <w:sz w:val="16"/>
          <w:szCs w:val="16"/>
          <w:lang w:bidi="en-US"/>
        </w:rPr>
        <w:t xml:space="preserve">1914 Г. царь Николай </w:t>
      </w:r>
      <w:r w:rsidRPr="00DE096C">
        <w:rPr>
          <w:bCs/>
          <w:color w:val="002060"/>
          <w:sz w:val="16"/>
          <w:szCs w:val="16"/>
          <w:lang w:val="en-US" w:bidi="en-US"/>
        </w:rPr>
        <w:t>II</w:t>
      </w:r>
      <w:r w:rsidRPr="00DE096C">
        <w:rPr>
          <w:bCs/>
          <w:color w:val="002060"/>
          <w:sz w:val="16"/>
          <w:szCs w:val="16"/>
          <w:lang w:bidi="en-US"/>
        </w:rPr>
        <w:t xml:space="preserve"> посетил крепость Осовец, наградив Георгиевскими крестами и медалями крепостные войска и несколько членов воздухоплавательной роты (23525).</w:t>
      </w:r>
    </w:p>
    <w:p w14:paraId="4223BB0F" w14:textId="77777777" w:rsidR="004A06BE" w:rsidRPr="00DE096C" w:rsidRDefault="004A06BE" w:rsidP="004A06BE">
      <w:pPr>
        <w:jc w:val="both"/>
        <w:rPr>
          <w:bCs/>
          <w:color w:val="002060"/>
          <w:sz w:val="16"/>
          <w:szCs w:val="16"/>
        </w:rPr>
      </w:pPr>
    </w:p>
    <w:p w14:paraId="2EB3A59D" w14:textId="3DA4D5EB"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 и воздухоплавание Германии:</w:t>
      </w:r>
    </w:p>
    <w:p w14:paraId="3CE53A6C" w14:textId="77777777" w:rsidR="00B67D7C" w:rsidRPr="00DE096C" w:rsidRDefault="00B67D7C" w:rsidP="00D45A46">
      <w:pPr>
        <w:shd w:val="clear" w:color="auto" w:fill="FFFFFF"/>
        <w:jc w:val="both"/>
        <w:rPr>
          <w:bCs/>
          <w:i/>
          <w:color w:val="002060"/>
          <w:sz w:val="16"/>
          <w:szCs w:val="16"/>
        </w:rPr>
      </w:pPr>
    </w:p>
    <w:p w14:paraId="21F0C583" w14:textId="385D612B"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28 сентября (11 октября) 1914 </w:t>
      </w:r>
      <w:r w:rsidR="00D32F34" w:rsidRPr="00DE096C">
        <w:rPr>
          <w:bCs/>
          <w:color w:val="002060"/>
          <w:sz w:val="16"/>
          <w:szCs w:val="16"/>
        </w:rPr>
        <w:t>г. н</w:t>
      </w:r>
      <w:r w:rsidRPr="00DE096C">
        <w:rPr>
          <w:bCs/>
          <w:color w:val="002060"/>
          <w:sz w:val="16"/>
          <w:szCs w:val="16"/>
        </w:rPr>
        <w:t>ачалась серьезная бомбардировка гер</w:t>
      </w:r>
      <w:r w:rsidRPr="00DE096C">
        <w:rPr>
          <w:bCs/>
          <w:color w:val="002060"/>
          <w:sz w:val="16"/>
          <w:szCs w:val="16"/>
        </w:rPr>
        <w:softHyphen/>
        <w:t>манскими авиаторами Лилля.</w:t>
      </w:r>
      <w:r w:rsidR="00D32F34" w:rsidRPr="00DE096C">
        <w:rPr>
          <w:bCs/>
          <w:color w:val="002060"/>
          <w:sz w:val="16"/>
          <w:szCs w:val="16"/>
        </w:rPr>
        <w:t xml:space="preserve"> </w:t>
      </w:r>
      <w:r w:rsidRPr="00DE096C">
        <w:rPr>
          <w:bCs/>
          <w:color w:val="002060"/>
          <w:sz w:val="16"/>
          <w:szCs w:val="16"/>
        </w:rPr>
        <w:t>12 октября 1914 В течение двух дней на г. Лилль было сброшено более 5 тыс. бомб и разрушено 800 зданий (11060).</w:t>
      </w:r>
    </w:p>
    <w:p w14:paraId="2CD5F414" w14:textId="77777777" w:rsidR="00B67D7C" w:rsidRPr="00DE096C" w:rsidRDefault="00B67D7C" w:rsidP="00D45A46">
      <w:pPr>
        <w:shd w:val="clear" w:color="auto" w:fill="FFFFFF"/>
        <w:jc w:val="both"/>
        <w:rPr>
          <w:bCs/>
          <w:color w:val="002060"/>
          <w:sz w:val="16"/>
          <w:szCs w:val="16"/>
        </w:rPr>
      </w:pPr>
    </w:p>
    <w:p w14:paraId="270173AA" w14:textId="262FE623" w:rsidR="00B67D7C" w:rsidRPr="00DE096C" w:rsidRDefault="00B67D7C" w:rsidP="00D45A46">
      <w:pPr>
        <w:jc w:val="both"/>
        <w:rPr>
          <w:bCs/>
          <w:color w:val="002060"/>
          <w:sz w:val="16"/>
          <w:szCs w:val="16"/>
        </w:rPr>
      </w:pPr>
      <w:r w:rsidRPr="00DE096C">
        <w:rPr>
          <w:bCs/>
          <w:color w:val="002060"/>
          <w:sz w:val="16"/>
          <w:szCs w:val="16"/>
        </w:rPr>
        <w:t>28 сентября (11 октября)</w:t>
      </w:r>
      <w:r w:rsidR="00D32F34" w:rsidRPr="00DE096C">
        <w:rPr>
          <w:bCs/>
          <w:color w:val="002060"/>
          <w:sz w:val="16"/>
          <w:szCs w:val="16"/>
        </w:rPr>
        <w:t xml:space="preserve"> 1914 г.</w:t>
      </w:r>
      <w:r w:rsidRPr="00DE096C">
        <w:rPr>
          <w:bCs/>
          <w:color w:val="002060"/>
          <w:sz w:val="16"/>
          <w:szCs w:val="16"/>
        </w:rPr>
        <w:t xml:space="preserve"> </w:t>
      </w:r>
      <w:r w:rsidR="00D32F34" w:rsidRPr="00DE096C">
        <w:rPr>
          <w:bCs/>
          <w:color w:val="002060"/>
          <w:sz w:val="16"/>
          <w:szCs w:val="16"/>
        </w:rPr>
        <w:t>н</w:t>
      </w:r>
      <w:r w:rsidRPr="00DE096C">
        <w:rPr>
          <w:bCs/>
          <w:color w:val="002060"/>
          <w:sz w:val="16"/>
          <w:szCs w:val="16"/>
        </w:rPr>
        <w:t>ачалась серьезная бомбардировка германскими авиаторами Лилля (11999).</w:t>
      </w:r>
    </w:p>
    <w:p w14:paraId="7DBF16C6" w14:textId="77777777" w:rsidR="00B67D7C" w:rsidRPr="00DE096C" w:rsidRDefault="00B67D7C" w:rsidP="00D45A46">
      <w:pPr>
        <w:jc w:val="both"/>
        <w:rPr>
          <w:bCs/>
          <w:color w:val="002060"/>
          <w:sz w:val="16"/>
          <w:szCs w:val="16"/>
        </w:rPr>
      </w:pPr>
    </w:p>
    <w:p w14:paraId="0B5D8F21" w14:textId="77777777" w:rsidR="00D32F34" w:rsidRPr="00DE096C" w:rsidRDefault="00D32F34" w:rsidP="00D45A46">
      <w:pPr>
        <w:shd w:val="clear" w:color="auto" w:fill="FFFFFF"/>
        <w:jc w:val="both"/>
        <w:rPr>
          <w:bCs/>
          <w:i/>
          <w:color w:val="002060"/>
          <w:sz w:val="16"/>
          <w:szCs w:val="16"/>
        </w:rPr>
      </w:pPr>
      <w:r w:rsidRPr="00DE096C">
        <w:rPr>
          <w:bCs/>
          <w:i/>
          <w:color w:val="002060"/>
          <w:sz w:val="16"/>
          <w:szCs w:val="16"/>
        </w:rPr>
        <w:t>Авиация:</w:t>
      </w:r>
    </w:p>
    <w:p w14:paraId="1F489C4A" w14:textId="77777777" w:rsidR="00D32F34" w:rsidRPr="00DE096C" w:rsidRDefault="00D32F34" w:rsidP="00D45A46">
      <w:pPr>
        <w:shd w:val="clear" w:color="auto" w:fill="FFFFFF"/>
        <w:jc w:val="both"/>
        <w:rPr>
          <w:bCs/>
          <w:i/>
          <w:color w:val="002060"/>
          <w:sz w:val="16"/>
          <w:szCs w:val="16"/>
        </w:rPr>
      </w:pPr>
    </w:p>
    <w:p w14:paraId="0FFE2845" w14:textId="38AF431E" w:rsidR="00D32F34" w:rsidRPr="00DE096C" w:rsidRDefault="00D32F34" w:rsidP="00D45A46">
      <w:pPr>
        <w:jc w:val="both"/>
        <w:rPr>
          <w:bCs/>
          <w:color w:val="002060"/>
          <w:sz w:val="16"/>
          <w:szCs w:val="16"/>
        </w:rPr>
      </w:pPr>
      <w:r w:rsidRPr="00DE096C">
        <w:rPr>
          <w:bCs/>
          <w:color w:val="002060"/>
          <w:sz w:val="16"/>
          <w:szCs w:val="16"/>
        </w:rPr>
        <w:t>29 сентября (12 октября) 1914 года германская тяжелая артиллерия провела обстрел батареи Буковского и форта № 6, правда, безрезультатно. Однако «воздушное наступление» германцев перешло в новую фазу: не отвлекаясь на подавление наземных огневых средств, летчики сосредоточили усилия на бомбардировке стратегических объектов, прежде всего вокзалов. 26-27 сентября (9-10 октября) одиночные аэропланы бомбили Брестский и Петроградский вокзалы, но не нанесли значительного ущерба.</w:t>
      </w:r>
    </w:p>
    <w:p w14:paraId="245B90AC" w14:textId="77777777" w:rsidR="00D32F34" w:rsidRPr="00DE096C" w:rsidRDefault="00D32F34" w:rsidP="00D45A46">
      <w:pPr>
        <w:shd w:val="clear" w:color="auto" w:fill="FFFFFF"/>
        <w:jc w:val="both"/>
        <w:rPr>
          <w:bCs/>
          <w:i/>
          <w:color w:val="002060"/>
          <w:sz w:val="16"/>
          <w:szCs w:val="16"/>
        </w:rPr>
      </w:pPr>
    </w:p>
    <w:p w14:paraId="459962C9"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 и воздухоплавание Германии:</w:t>
      </w:r>
    </w:p>
    <w:p w14:paraId="286F8F44" w14:textId="77777777" w:rsidR="00B67D7C" w:rsidRPr="00DE096C" w:rsidRDefault="00B67D7C" w:rsidP="00D45A46">
      <w:pPr>
        <w:shd w:val="clear" w:color="auto" w:fill="FFFFFF"/>
        <w:jc w:val="both"/>
        <w:rPr>
          <w:bCs/>
          <w:i/>
          <w:color w:val="002060"/>
          <w:sz w:val="16"/>
          <w:szCs w:val="16"/>
        </w:rPr>
      </w:pPr>
    </w:p>
    <w:p w14:paraId="5AD7D9CD" w14:textId="77777777" w:rsidR="00B67D7C" w:rsidRPr="00DE096C" w:rsidRDefault="00B67D7C" w:rsidP="00D45A46">
      <w:pPr>
        <w:jc w:val="both"/>
        <w:rPr>
          <w:bCs/>
          <w:color w:val="002060"/>
          <w:sz w:val="16"/>
          <w:szCs w:val="16"/>
        </w:rPr>
      </w:pPr>
      <w:r w:rsidRPr="00DE096C">
        <w:rPr>
          <w:bCs/>
          <w:color w:val="002060"/>
          <w:sz w:val="16"/>
          <w:szCs w:val="16"/>
        </w:rPr>
        <w:t>29 сентября (12 октября) - В течение двух дней на г. Лилль было сброшено более 5 тыс. бомб и разрушено 800 зданий.</w:t>
      </w:r>
    </w:p>
    <w:p w14:paraId="25CB6CDC" w14:textId="77777777" w:rsidR="00B67D7C" w:rsidRPr="00DE096C" w:rsidRDefault="00B67D7C" w:rsidP="00D45A46">
      <w:pPr>
        <w:jc w:val="both"/>
        <w:rPr>
          <w:bCs/>
          <w:color w:val="002060"/>
          <w:sz w:val="16"/>
          <w:szCs w:val="16"/>
        </w:rPr>
      </w:pPr>
      <w:r w:rsidRPr="00DE096C">
        <w:rPr>
          <w:bCs/>
          <w:color w:val="002060"/>
          <w:sz w:val="16"/>
          <w:szCs w:val="16"/>
        </w:rPr>
        <w:t>Понедельник, 4 часа дня, корреспондент "Dagens Nyhcter" телеграфирует из Парижа: "Когда я час тому назад проходил по бульвару Bonne Nouvelle, то увидел высоко в воздухе небольшую темную точку... Все движение на улицах, словно по мановению волшебной палочки, вдруг остановилось. Все люди смотрели с тревогой вверх. Вскоре аэроплан очутился как раз над бульваром. Тут среди публики поднялась паника, потому что всем хорошо было известно, как опасно находиться под аэропланом. Многие выпрыгнули из трамвая, кучера хлестали лошадей, а женщины спешили увезти коляски с детьми на соседние улицы. Аэроплан спускался все ниже, однако, до меня не доносилось еще жужжания его мотора, бомб также не было видно. Вдруг авиатор стал быстро подниматься вверх. В следующее мгновение раздался страшный грохот. На бульваре поднялось смятение. Люди, словно обезумев, метались во все стороны, натыкаясь друг на друга, и никого не успокаивало то обстоятельство, что бомба упала на далеком расстоянии от бульвара. Многие бросились на Rue St. Matin. Я последовал за ними. Наконец, мы прибежали к площади перед северным вокзалом. Здесь уже успела собраться громадная толпа, а на самом вокзале стояли полиция и солдаты. Оказалось, что бомба попала в поезд, стоявший у станции. Предполагают, что немецкий авиатор бросил бомбу в пустой поезд по ошибке и что эта бомба предназначалась для уничтожения военного поезда, приготовленного у соседнего вокзала на Place de la Republique..." (11999).</w:t>
      </w:r>
    </w:p>
    <w:p w14:paraId="081BF02B" w14:textId="77777777" w:rsidR="00B67D7C" w:rsidRPr="00DE096C" w:rsidRDefault="00B67D7C" w:rsidP="00D45A46">
      <w:pPr>
        <w:shd w:val="clear" w:color="auto" w:fill="FFFFFF"/>
        <w:jc w:val="both"/>
        <w:rPr>
          <w:bCs/>
          <w:i/>
          <w:color w:val="002060"/>
          <w:sz w:val="16"/>
          <w:szCs w:val="16"/>
        </w:rPr>
      </w:pPr>
    </w:p>
    <w:p w14:paraId="22D2E3A1" w14:textId="77777777" w:rsidR="00B5582D" w:rsidRPr="00DE096C" w:rsidRDefault="00B5582D" w:rsidP="00D45A46">
      <w:pPr>
        <w:jc w:val="both"/>
        <w:rPr>
          <w:bCs/>
          <w:i/>
          <w:color w:val="002060"/>
          <w:sz w:val="16"/>
          <w:szCs w:val="16"/>
        </w:rPr>
      </w:pPr>
      <w:r w:rsidRPr="00DE096C">
        <w:rPr>
          <w:bCs/>
          <w:i/>
          <w:color w:val="002060"/>
          <w:sz w:val="16"/>
          <w:szCs w:val="16"/>
        </w:rPr>
        <w:t>За рубежом:</w:t>
      </w:r>
    </w:p>
    <w:p w14:paraId="0F735B14" w14:textId="77777777" w:rsidR="00B5582D" w:rsidRPr="00DE096C" w:rsidRDefault="00B5582D" w:rsidP="00D45A46">
      <w:pPr>
        <w:jc w:val="both"/>
        <w:rPr>
          <w:bCs/>
          <w:color w:val="002060"/>
          <w:sz w:val="16"/>
          <w:szCs w:val="16"/>
        </w:rPr>
      </w:pPr>
    </w:p>
    <w:p w14:paraId="5779BB99" w14:textId="1DF1FF9F" w:rsidR="00B5582D" w:rsidRPr="00DE096C" w:rsidRDefault="00B5582D" w:rsidP="00D45A46">
      <w:pPr>
        <w:jc w:val="both"/>
        <w:rPr>
          <w:bCs/>
          <w:color w:val="002060"/>
          <w:sz w:val="16"/>
          <w:szCs w:val="16"/>
        </w:rPr>
      </w:pPr>
      <w:r w:rsidRPr="00DE096C">
        <w:rPr>
          <w:rStyle w:val="ucoz-forum-post"/>
          <w:rFonts w:eastAsiaTheme="majorEastAsia"/>
          <w:bCs/>
          <w:color w:val="002060"/>
          <w:sz w:val="16"/>
          <w:szCs w:val="16"/>
        </w:rPr>
        <w:t xml:space="preserve">29 сентября (12 октября) </w:t>
      </w:r>
      <w:r w:rsidRPr="00DE096C">
        <w:rPr>
          <w:bCs/>
          <w:color w:val="002060"/>
          <w:sz w:val="16"/>
          <w:szCs w:val="16"/>
        </w:rPr>
        <w:t>в 1914 году на Западном фронте начинается первое сражение у Ипра, Бельгия, в ходе которого германские части пытаются прорвать оборону союзнических войск (до 11 ноября) (14797).</w:t>
      </w:r>
    </w:p>
    <w:p w14:paraId="741EB24C" w14:textId="77777777" w:rsidR="00B5582D" w:rsidRPr="00DE096C" w:rsidRDefault="00B5582D" w:rsidP="00D45A46">
      <w:pPr>
        <w:jc w:val="both"/>
        <w:rPr>
          <w:bCs/>
          <w:color w:val="002060"/>
          <w:sz w:val="16"/>
          <w:szCs w:val="16"/>
        </w:rPr>
      </w:pPr>
    </w:p>
    <w:p w14:paraId="58AB0605" w14:textId="507138BD" w:rsidR="00B5582D" w:rsidRPr="00DE096C" w:rsidRDefault="00B5582D" w:rsidP="00D45A46">
      <w:pPr>
        <w:jc w:val="both"/>
        <w:rPr>
          <w:bCs/>
          <w:color w:val="002060"/>
          <w:sz w:val="16"/>
          <w:szCs w:val="16"/>
        </w:rPr>
      </w:pPr>
      <w:r w:rsidRPr="00DE096C">
        <w:rPr>
          <w:rStyle w:val="ucoz-forum-post"/>
          <w:rFonts w:eastAsiaTheme="majorEastAsia"/>
          <w:bCs/>
          <w:color w:val="002060"/>
          <w:sz w:val="16"/>
          <w:szCs w:val="16"/>
        </w:rPr>
        <w:t xml:space="preserve">29 сентября (12 октября) </w:t>
      </w:r>
      <w:r w:rsidRPr="00DE096C">
        <w:rPr>
          <w:bCs/>
          <w:color w:val="002060"/>
          <w:sz w:val="16"/>
          <w:szCs w:val="16"/>
        </w:rPr>
        <w:t>в 1914 году началось австрийское наступление в Сербии. Сербы отобьют это наступление, как и два последующих, и к декабрю полностью освободят свою территорию (14797).</w:t>
      </w:r>
    </w:p>
    <w:p w14:paraId="3412C3C3" w14:textId="77777777" w:rsidR="00B5582D" w:rsidRPr="00DE096C" w:rsidRDefault="00B5582D" w:rsidP="00D45A46">
      <w:pPr>
        <w:jc w:val="both"/>
        <w:rPr>
          <w:bCs/>
          <w:color w:val="002060"/>
          <w:sz w:val="16"/>
          <w:szCs w:val="16"/>
        </w:rPr>
      </w:pPr>
    </w:p>
    <w:p w14:paraId="32D95699"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56DBEF2B" w14:textId="77777777" w:rsidR="00B67D7C" w:rsidRPr="00DE096C" w:rsidRDefault="00B67D7C" w:rsidP="00D45A46">
      <w:pPr>
        <w:shd w:val="clear" w:color="auto" w:fill="FFFFFF"/>
        <w:jc w:val="both"/>
        <w:rPr>
          <w:bCs/>
          <w:i/>
          <w:color w:val="002060"/>
          <w:sz w:val="16"/>
          <w:szCs w:val="16"/>
        </w:rPr>
      </w:pPr>
    </w:p>
    <w:p w14:paraId="4E731851" w14:textId="69F6F4D4" w:rsidR="00B67D7C" w:rsidRPr="00DE096C" w:rsidRDefault="00B67D7C" w:rsidP="00D45A46">
      <w:pPr>
        <w:jc w:val="both"/>
        <w:rPr>
          <w:bCs/>
          <w:color w:val="002060"/>
          <w:sz w:val="16"/>
          <w:szCs w:val="16"/>
        </w:rPr>
      </w:pPr>
      <w:r w:rsidRPr="00DE096C">
        <w:rPr>
          <w:bCs/>
          <w:color w:val="002060"/>
          <w:sz w:val="16"/>
          <w:szCs w:val="16"/>
        </w:rPr>
        <w:t xml:space="preserve">30 сентября </w:t>
      </w:r>
      <w:r w:rsidR="00D32F34" w:rsidRPr="00DE096C">
        <w:rPr>
          <w:bCs/>
          <w:color w:val="002060"/>
          <w:sz w:val="16"/>
          <w:szCs w:val="16"/>
        </w:rPr>
        <w:t xml:space="preserve">(13 октября) 1914 г. </w:t>
      </w:r>
      <w:r w:rsidRPr="00DE096C">
        <w:rPr>
          <w:bCs/>
          <w:color w:val="002060"/>
          <w:sz w:val="16"/>
          <w:szCs w:val="16"/>
        </w:rPr>
        <w:t>Сикорским был поднят в небо "Муромец IV" (№ 138), на "Муромце III" (№ 137) были более тщательно отрегулированы моторы</w:t>
      </w:r>
      <w:r w:rsidR="000B7C49" w:rsidRPr="00DE096C">
        <w:rPr>
          <w:bCs/>
          <w:color w:val="002060"/>
          <w:sz w:val="16"/>
          <w:szCs w:val="16"/>
        </w:rPr>
        <w:t>. Поскольку сам Сикорский в силу большой занятости не мог заниматься только подготовкой и переучиванием пилотов, было решено, что он сделает несколько вывозных полётов на 128-м с капитаном Горшковым, как наиболее способным лётчиком. После этого все учебные полёты выполнялись Горшковым. Сикорского привлекали только для сдаточных полётов</w:t>
      </w:r>
      <w:r w:rsidRPr="00DE096C">
        <w:rPr>
          <w:bCs/>
          <w:color w:val="002060"/>
          <w:sz w:val="16"/>
          <w:szCs w:val="16"/>
        </w:rPr>
        <w:t xml:space="preserve"> (12041).</w:t>
      </w:r>
    </w:p>
    <w:p w14:paraId="3078B125" w14:textId="77777777" w:rsidR="00B67D7C" w:rsidRPr="00DE096C" w:rsidRDefault="00B67D7C" w:rsidP="00D45A46">
      <w:pPr>
        <w:jc w:val="both"/>
        <w:rPr>
          <w:bCs/>
          <w:color w:val="002060"/>
          <w:sz w:val="16"/>
          <w:szCs w:val="16"/>
        </w:rPr>
      </w:pPr>
    </w:p>
    <w:p w14:paraId="2130AA7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30 сентября (13 октября) 1914 Слесарев представил свой проект в Отдел воздушного флота (ОВФ) при Особом комитете по усилению флота на добровольные пожертвования /ЦГВИА, ф. 802, оп. 4, д. 2223, л. 193/. (Этот Комитет, образованный после разгрома русского флота при Цусиме, оказал существенную материальную помощь в строительстве новых кораблей, а затем, с образованием в 1910 г. ОВФ, и в развитии авиации). В своем заявлении в ОВФ В.А.Слесарев указывал, что подробный аэродинамический расчет такого же большого самолета, выполненный им для Ч.М.Кеннеди, весной был рассмотрен специаль</w:t>
      </w:r>
      <w:r w:rsidRPr="00DE096C">
        <w:rPr>
          <w:bCs/>
          <w:color w:val="002060"/>
          <w:sz w:val="16"/>
          <w:szCs w:val="16"/>
        </w:rPr>
        <w:softHyphen/>
        <w:t>ной комиссией и одобрен ГВТУ и Военным Советом. Проект Слесарева был отдан на заключение председателю Тех</w:t>
      </w:r>
      <w:r w:rsidRPr="00DE096C">
        <w:rPr>
          <w:bCs/>
          <w:color w:val="002060"/>
          <w:sz w:val="16"/>
          <w:szCs w:val="16"/>
        </w:rPr>
        <w:softHyphen/>
        <w:t>нической комиссии ОВФ профессору К.П.Боклевскому. Декан кораб</w:t>
      </w:r>
      <w:r w:rsidRPr="00DE096C">
        <w:rPr>
          <w:bCs/>
          <w:color w:val="002060"/>
          <w:sz w:val="16"/>
          <w:szCs w:val="16"/>
        </w:rPr>
        <w:softHyphen/>
        <w:t>лестроительного факультета Петроградского политехнического института был инициаторов создания мощной аэродинамической ла</w:t>
      </w:r>
      <w:r w:rsidRPr="00DE096C">
        <w:rPr>
          <w:bCs/>
          <w:color w:val="002060"/>
          <w:sz w:val="16"/>
          <w:szCs w:val="16"/>
        </w:rPr>
        <w:softHyphen/>
        <w:t>боратории при этом институте, одно время - лучшей в Европе. Для оборудования этой лаборатории и руководства ею Боклевский в 1910 г. пригласил одного из учеников Н.Е.Жуковского - В.А.Сле</w:t>
      </w:r>
      <w:r w:rsidRPr="00DE096C">
        <w:rPr>
          <w:bCs/>
          <w:color w:val="002060"/>
          <w:sz w:val="16"/>
          <w:szCs w:val="16"/>
        </w:rPr>
        <w:softHyphen/>
        <w:t>сарева. Именно в этой лаборатории осуществлялись продувки узлов и испытания на прочность деталей самолетов "Русский витязь" и "Илья Муромец", а также проводились и многие другие аэродина</w:t>
      </w:r>
      <w:r w:rsidRPr="00DE096C">
        <w:rPr>
          <w:bCs/>
          <w:color w:val="002060"/>
          <w:sz w:val="16"/>
          <w:szCs w:val="16"/>
        </w:rPr>
        <w:softHyphen/>
        <w:t>мические исследования. Таким образом, Боклевский был хорошо знаком с работами, своего сотрудника Слесарева и можно предполо</w:t>
      </w:r>
      <w:r w:rsidRPr="00DE096C">
        <w:rPr>
          <w:bCs/>
          <w:color w:val="002060"/>
          <w:sz w:val="16"/>
          <w:szCs w:val="16"/>
        </w:rPr>
        <w:softHyphen/>
        <w:t>жить, что именно он и посоветовал ему подать свой проект в ОВФ. В своем заключении от 9 октября Боклевский отмечал: "Про</w:t>
      </w:r>
      <w:r w:rsidRPr="00DE096C">
        <w:rPr>
          <w:bCs/>
          <w:color w:val="002060"/>
          <w:sz w:val="16"/>
          <w:szCs w:val="16"/>
        </w:rPr>
        <w:softHyphen/>
        <w:t>ект свой инж.-мех. В.А.Слесарев разработал исключительно на ос</w:t>
      </w:r>
      <w:r w:rsidRPr="00DE096C">
        <w:rPr>
          <w:bCs/>
          <w:color w:val="002060"/>
          <w:sz w:val="16"/>
          <w:szCs w:val="16"/>
        </w:rPr>
        <w:softHyphen/>
        <w:t>новании практических данных, полученных как при испытании лета</w:t>
      </w:r>
      <w:r w:rsidRPr="00DE096C">
        <w:rPr>
          <w:bCs/>
          <w:color w:val="002060"/>
          <w:sz w:val="16"/>
          <w:szCs w:val="16"/>
        </w:rPr>
        <w:softHyphen/>
        <w:t>тельных аппаратов, так и исследованием их отдельных частей в Аэродинамической лаборатории нашего института" /ЦГВИА, ф. 2008, оп. 1, д. 343, л. 223/. Вместе с заключением Боклевского проект был направлен на рассмотрение председателя Особого комитета, великого князя Алек</w:t>
      </w:r>
      <w:r w:rsidRPr="00DE096C">
        <w:rPr>
          <w:bCs/>
          <w:color w:val="002060"/>
          <w:sz w:val="16"/>
          <w:szCs w:val="16"/>
        </w:rPr>
        <w:softHyphen/>
        <w:t>сандра Михайловича, шефа авиации в царской России. Тот рекомен</w:t>
      </w:r>
      <w:r w:rsidRPr="00DE096C">
        <w:rPr>
          <w:bCs/>
          <w:color w:val="002060"/>
          <w:sz w:val="16"/>
          <w:szCs w:val="16"/>
        </w:rPr>
        <w:softHyphen/>
        <w:t>довал Отделу попытаться заинтересовать Путиловский завод пост</w:t>
      </w:r>
      <w:r w:rsidRPr="00DE096C">
        <w:rPr>
          <w:bCs/>
          <w:color w:val="002060"/>
          <w:sz w:val="16"/>
          <w:szCs w:val="16"/>
        </w:rPr>
        <w:softHyphen/>
        <w:t>ройкой этого самолета "на свой риск с тем, что если самолет окажется удачным, тс Особый комитет его купит" /ЦГВИА, ф. 2008, оп. 1, д. 343, л. 208/. Однако вскоре он же сообщил, что волынский дворянин М.Малынский готов "дать до ста тысяч рублей на постройку большого само</w:t>
      </w:r>
      <w:r w:rsidRPr="00DE096C">
        <w:rPr>
          <w:bCs/>
          <w:color w:val="002060"/>
          <w:sz w:val="16"/>
          <w:szCs w:val="16"/>
        </w:rPr>
        <w:softHyphen/>
        <w:t>лета, который удовлетворял бы определенным заданиям" /ЦГВИА, ф. 2008, оп. 1, д. 343/ (11069).</w:t>
      </w:r>
    </w:p>
    <w:p w14:paraId="63095347" w14:textId="77777777" w:rsidR="00B67D7C" w:rsidRPr="00DE096C" w:rsidRDefault="00B67D7C" w:rsidP="00D45A46">
      <w:pPr>
        <w:shd w:val="clear" w:color="auto" w:fill="FFFFFF"/>
        <w:jc w:val="both"/>
        <w:rPr>
          <w:bCs/>
          <w:color w:val="002060"/>
          <w:sz w:val="16"/>
          <w:szCs w:val="16"/>
        </w:rPr>
      </w:pPr>
    </w:p>
    <w:p w14:paraId="77CCAAC6" w14:textId="77777777" w:rsidR="001A5F85" w:rsidRPr="00DE096C" w:rsidRDefault="001A5F85" w:rsidP="00D45A46">
      <w:pPr>
        <w:jc w:val="both"/>
        <w:rPr>
          <w:bCs/>
          <w:i/>
          <w:color w:val="002060"/>
          <w:sz w:val="16"/>
          <w:szCs w:val="16"/>
        </w:rPr>
      </w:pPr>
      <w:r w:rsidRPr="00DE096C">
        <w:rPr>
          <w:bCs/>
          <w:i/>
          <w:color w:val="002060"/>
          <w:sz w:val="16"/>
          <w:szCs w:val="16"/>
        </w:rPr>
        <w:t>Другие оборонные отрасли:</w:t>
      </w:r>
    </w:p>
    <w:p w14:paraId="01C061EC" w14:textId="77777777" w:rsidR="001A5F85" w:rsidRPr="00DE096C" w:rsidRDefault="001A5F85" w:rsidP="00D45A46">
      <w:pPr>
        <w:jc w:val="both"/>
        <w:rPr>
          <w:bCs/>
          <w:i/>
          <w:color w:val="002060"/>
          <w:sz w:val="16"/>
          <w:szCs w:val="16"/>
        </w:rPr>
      </w:pPr>
    </w:p>
    <w:p w14:paraId="4C79551A" w14:textId="79ADC4AB" w:rsidR="001A5F85" w:rsidRPr="00DE096C" w:rsidRDefault="001A5F85" w:rsidP="00D45A46">
      <w:pPr>
        <w:pStyle w:val="p1"/>
        <w:spacing w:before="0" w:beforeAutospacing="0" w:after="0" w:afterAutospacing="0"/>
        <w:jc w:val="both"/>
        <w:rPr>
          <w:bCs/>
          <w:color w:val="002060"/>
          <w:sz w:val="16"/>
          <w:szCs w:val="16"/>
        </w:rPr>
      </w:pPr>
      <w:r w:rsidRPr="00DE096C">
        <w:rPr>
          <w:bCs/>
          <w:color w:val="002060"/>
          <w:sz w:val="16"/>
          <w:szCs w:val="16"/>
        </w:rPr>
        <w:t xml:space="preserve">На 30 сентября </w:t>
      </w:r>
      <w:r w:rsidR="000B7C49" w:rsidRPr="00DE096C">
        <w:rPr>
          <w:bCs/>
          <w:color w:val="002060"/>
          <w:sz w:val="16"/>
          <w:szCs w:val="16"/>
        </w:rPr>
        <w:t xml:space="preserve">(13 октября) </w:t>
      </w:r>
      <w:r w:rsidRPr="00DE096C">
        <w:rPr>
          <w:bCs/>
          <w:color w:val="002060"/>
          <w:sz w:val="16"/>
          <w:szCs w:val="16"/>
        </w:rPr>
        <w:t>1914 г. Тульскому заводу недоставало станков и лекал для выпуска стволов и замочных частей более 600 шт. в день. Сестрорецкий завод, как и 20 лет назад, питался энергией от водяных колес. Летом 1915 г. недостаток воды в озере не позволял одновременно работать всем мастерским, и только тогда дело подошло «к замене водных турбин, ставятся нефтяные двигатели», — писали рабочие в жалобе на администрацию Сестрорецкого завода (18409).</w:t>
      </w:r>
    </w:p>
    <w:p w14:paraId="65C2B364" w14:textId="77777777" w:rsidR="001A5F85" w:rsidRPr="00DE096C" w:rsidRDefault="001A5F85" w:rsidP="00D45A46">
      <w:pPr>
        <w:pStyle w:val="p1"/>
        <w:spacing w:before="0" w:beforeAutospacing="0" w:after="0" w:afterAutospacing="0"/>
        <w:jc w:val="both"/>
        <w:rPr>
          <w:bCs/>
          <w:color w:val="002060"/>
          <w:sz w:val="16"/>
          <w:szCs w:val="16"/>
        </w:rPr>
      </w:pPr>
    </w:p>
    <w:p w14:paraId="0A44C55E" w14:textId="39AB67F0" w:rsidR="00486B3D" w:rsidRPr="00DE096C" w:rsidRDefault="00486B3D" w:rsidP="00D45A46">
      <w:pPr>
        <w:jc w:val="both"/>
        <w:rPr>
          <w:bCs/>
          <w:i/>
          <w:color w:val="002060"/>
          <w:sz w:val="16"/>
          <w:szCs w:val="16"/>
        </w:rPr>
      </w:pPr>
      <w:r w:rsidRPr="00DE096C">
        <w:rPr>
          <w:bCs/>
          <w:i/>
          <w:color w:val="002060"/>
          <w:sz w:val="16"/>
          <w:szCs w:val="16"/>
        </w:rPr>
        <w:t>Авиация:</w:t>
      </w:r>
    </w:p>
    <w:p w14:paraId="3F956D3E" w14:textId="77777777" w:rsidR="00486B3D" w:rsidRPr="00DE096C" w:rsidRDefault="00486B3D" w:rsidP="00D45A46">
      <w:pPr>
        <w:jc w:val="both"/>
        <w:rPr>
          <w:bCs/>
          <w:i/>
          <w:color w:val="002060"/>
          <w:sz w:val="16"/>
          <w:szCs w:val="16"/>
        </w:rPr>
      </w:pPr>
    </w:p>
    <w:p w14:paraId="7FBF21CC" w14:textId="7F2F83B5" w:rsidR="00486B3D" w:rsidRPr="00DE096C" w:rsidRDefault="00486B3D" w:rsidP="00D45A46">
      <w:pPr>
        <w:jc w:val="both"/>
        <w:rPr>
          <w:bCs/>
          <w:color w:val="002060"/>
          <w:sz w:val="16"/>
          <w:szCs w:val="16"/>
        </w:rPr>
      </w:pPr>
      <w:r w:rsidRPr="00DE096C">
        <w:rPr>
          <w:bCs/>
          <w:color w:val="002060"/>
          <w:sz w:val="16"/>
          <w:szCs w:val="16"/>
        </w:rPr>
        <w:t>30 сентября (13 октября</w:t>
      </w:r>
      <w:r w:rsidR="00CE127F" w:rsidRPr="00DE096C">
        <w:rPr>
          <w:bCs/>
          <w:color w:val="002060"/>
          <w:sz w:val="16"/>
          <w:szCs w:val="16"/>
        </w:rPr>
        <w:t>)</w:t>
      </w:r>
      <w:r w:rsidRPr="00DE096C">
        <w:rPr>
          <w:bCs/>
          <w:color w:val="002060"/>
          <w:sz w:val="16"/>
          <w:szCs w:val="16"/>
        </w:rPr>
        <w:t xml:space="preserve"> 1914 г. приказом верховного главнокомандующего на время ценных действий авиация отделялась от воздухоплавания. Авиационные отряды в техническом и хозяйственном отношениях подчинялись непосредственно командирам авиационных рот, придаваемых армиям, а в отношении выполнения боевых задач - непосредственно одному из начальников отрядов, назначаемых распоряжением штаба армии. Эта ре</w:t>
      </w:r>
      <w:r w:rsidRPr="00DE096C">
        <w:rPr>
          <w:bCs/>
          <w:color w:val="002060"/>
          <w:sz w:val="16"/>
          <w:szCs w:val="16"/>
        </w:rPr>
        <w:softHyphen/>
        <w:t>форма оказалась полезной для авиации, так как оперативные задания теперь стали исходить от своих хе авиационных начальников.</w:t>
      </w:r>
    </w:p>
    <w:p w14:paraId="6280977A" w14:textId="77777777" w:rsidR="00486B3D" w:rsidRPr="00DE096C" w:rsidRDefault="00486B3D" w:rsidP="00D45A46">
      <w:pPr>
        <w:jc w:val="both"/>
        <w:rPr>
          <w:bCs/>
          <w:color w:val="002060"/>
          <w:sz w:val="16"/>
          <w:szCs w:val="16"/>
        </w:rPr>
      </w:pPr>
      <w:r w:rsidRPr="00DE096C">
        <w:rPr>
          <w:bCs/>
          <w:color w:val="002060"/>
          <w:sz w:val="16"/>
          <w:szCs w:val="16"/>
        </w:rPr>
        <w:t>/ЦГВИА, ф. 26, д. 453, л.75/ (23320).</w:t>
      </w:r>
    </w:p>
    <w:p w14:paraId="7A4013A2" w14:textId="77777777" w:rsidR="00486B3D" w:rsidRPr="00DE096C" w:rsidRDefault="00486B3D" w:rsidP="00D45A46">
      <w:pPr>
        <w:jc w:val="both"/>
        <w:rPr>
          <w:bCs/>
          <w:color w:val="002060"/>
          <w:sz w:val="16"/>
          <w:szCs w:val="16"/>
        </w:rPr>
      </w:pPr>
    </w:p>
    <w:p w14:paraId="0DDF8184" w14:textId="77777777" w:rsidR="00CE127F" w:rsidRPr="00DE096C" w:rsidRDefault="00CE127F" w:rsidP="00D45A46">
      <w:pPr>
        <w:jc w:val="both"/>
        <w:rPr>
          <w:bCs/>
          <w:color w:val="002060"/>
          <w:sz w:val="16"/>
          <w:szCs w:val="16"/>
        </w:rPr>
      </w:pPr>
      <w:r w:rsidRPr="00DE096C">
        <w:rPr>
          <w:bCs/>
          <w:color w:val="002060"/>
          <w:sz w:val="16"/>
          <w:szCs w:val="16"/>
        </w:rPr>
        <w:t>30 сентября (13 октября) 1914 г. выехал на фронт «поезд -мастерские Червонного авиационного завода»,организованный на средства владельца этого завода Ф .Ф .Терещенко. Поезд состоял из б крытых вагонов, трех платформ и двух классных вагонов. В нем были автомобили-мастерские, запасные части, строительный материал и даже колеса на случай перехода на узкоко</w:t>
      </w:r>
      <w:r w:rsidRPr="00DE096C">
        <w:rPr>
          <w:bCs/>
          <w:color w:val="002060"/>
          <w:sz w:val="16"/>
          <w:szCs w:val="16"/>
        </w:rPr>
        <w:softHyphen/>
        <w:t>лейку. Содержание личного состава поезда Терещенко взял на себя, он жe выехал на фронт в качестве начальника поезда. Поезд был в Ровно, Люблине и других местах, оказывая всюду солидную помощь авиаотрядам. Это был первый и единственный случай частной помощи фронту в таком виде.</w:t>
      </w:r>
    </w:p>
    <w:p w14:paraId="5278507C" w14:textId="77777777" w:rsidR="00CE127F" w:rsidRPr="00DE096C" w:rsidRDefault="00CE127F" w:rsidP="00D45A46">
      <w:pPr>
        <w:jc w:val="both"/>
        <w:rPr>
          <w:bCs/>
          <w:color w:val="002060"/>
          <w:sz w:val="16"/>
          <w:szCs w:val="16"/>
        </w:rPr>
      </w:pPr>
      <w:r w:rsidRPr="00DE096C">
        <w:rPr>
          <w:bCs/>
          <w:color w:val="002060"/>
          <w:sz w:val="16"/>
          <w:szCs w:val="16"/>
        </w:rPr>
        <w:t>/ЦГВИА, ф. 2008, д. 334, лл. 2, 18, 20/ (23320).</w:t>
      </w:r>
    </w:p>
    <w:p w14:paraId="6CB49357" w14:textId="77777777" w:rsidR="00CE127F" w:rsidRPr="00DE096C" w:rsidRDefault="00CE127F" w:rsidP="00D45A46">
      <w:pPr>
        <w:jc w:val="both"/>
        <w:rPr>
          <w:bCs/>
          <w:color w:val="002060"/>
          <w:sz w:val="16"/>
          <w:szCs w:val="16"/>
        </w:rPr>
      </w:pPr>
    </w:p>
    <w:p w14:paraId="2A466C98" w14:textId="0B546438" w:rsidR="000923AE" w:rsidRPr="00DE096C" w:rsidRDefault="000923AE" w:rsidP="00D45A46">
      <w:pPr>
        <w:jc w:val="both"/>
        <w:rPr>
          <w:bCs/>
          <w:i/>
          <w:color w:val="002060"/>
          <w:sz w:val="16"/>
          <w:szCs w:val="16"/>
        </w:rPr>
      </w:pPr>
      <w:r w:rsidRPr="00DE096C">
        <w:rPr>
          <w:bCs/>
          <w:i/>
          <w:color w:val="002060"/>
          <w:sz w:val="16"/>
          <w:szCs w:val="16"/>
        </w:rPr>
        <w:t>Авиация и воздухоплавание за рубежом:</w:t>
      </w:r>
    </w:p>
    <w:p w14:paraId="6AC0D51D" w14:textId="77777777" w:rsidR="000923AE" w:rsidRPr="00DE096C" w:rsidRDefault="000923AE" w:rsidP="00D45A46">
      <w:pPr>
        <w:jc w:val="both"/>
        <w:rPr>
          <w:bCs/>
          <w:color w:val="002060"/>
          <w:sz w:val="16"/>
          <w:szCs w:val="16"/>
        </w:rPr>
      </w:pPr>
    </w:p>
    <w:p w14:paraId="3D2430DC" w14:textId="77777777" w:rsidR="000923AE" w:rsidRPr="00DE096C" w:rsidRDefault="000923AE" w:rsidP="00D45A46">
      <w:pPr>
        <w:jc w:val="both"/>
        <w:rPr>
          <w:bCs/>
          <w:color w:val="002060"/>
          <w:sz w:val="16"/>
          <w:szCs w:val="16"/>
        </w:rPr>
      </w:pPr>
      <w:r w:rsidRPr="00DE096C">
        <w:rPr>
          <w:bCs/>
          <w:color w:val="002060"/>
          <w:sz w:val="16"/>
          <w:szCs w:val="16"/>
        </w:rPr>
        <w:t>30 сентября (13 октября) 1914 Императорский флот Японии впервые пытается вести бой воздух-воздух, поскольку военно-морской самолет присоединяется к трем самолетам Императорской армии Японии в попытке атаковать немецкий разведывательный самолет во время осады Циндао. Немецкий самолет уходит (20337).</w:t>
      </w:r>
    </w:p>
    <w:p w14:paraId="30733BEB" w14:textId="77777777" w:rsidR="000923AE" w:rsidRPr="00DE096C" w:rsidRDefault="000923AE" w:rsidP="00D45A46">
      <w:pPr>
        <w:jc w:val="both"/>
        <w:rPr>
          <w:bCs/>
          <w:color w:val="002060"/>
          <w:sz w:val="16"/>
          <w:szCs w:val="16"/>
        </w:rPr>
      </w:pPr>
    </w:p>
    <w:p w14:paraId="0E9D306A"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lastRenderedPageBreak/>
        <w:t>Самолетостроение:</w:t>
      </w:r>
    </w:p>
    <w:p w14:paraId="3F56FD84" w14:textId="0BA2490F" w:rsidR="00B67D7C" w:rsidRPr="00DE096C" w:rsidRDefault="00B67D7C" w:rsidP="00D45A46">
      <w:pPr>
        <w:shd w:val="clear" w:color="auto" w:fill="FFFFFF"/>
        <w:jc w:val="both"/>
        <w:rPr>
          <w:bCs/>
          <w:i/>
          <w:color w:val="002060"/>
          <w:sz w:val="16"/>
          <w:szCs w:val="16"/>
        </w:rPr>
      </w:pPr>
    </w:p>
    <w:p w14:paraId="08E6065B" w14:textId="458B7944" w:rsidR="00F812F3" w:rsidRPr="00DE096C" w:rsidRDefault="00F812F3" w:rsidP="00D45A46">
      <w:pPr>
        <w:jc w:val="both"/>
        <w:rPr>
          <w:bCs/>
          <w:color w:val="002060"/>
          <w:sz w:val="16"/>
          <w:szCs w:val="16"/>
        </w:rPr>
      </w:pPr>
      <w:r w:rsidRPr="00DE096C">
        <w:rPr>
          <w:bCs/>
          <w:color w:val="002060"/>
          <w:sz w:val="16"/>
          <w:szCs w:val="16"/>
        </w:rPr>
        <w:t xml:space="preserve">В конце сентября 1914 </w:t>
      </w:r>
      <w:r w:rsidR="00B5582D" w:rsidRPr="00DE096C">
        <w:rPr>
          <w:bCs/>
          <w:color w:val="002060"/>
          <w:sz w:val="16"/>
          <w:szCs w:val="16"/>
        </w:rPr>
        <w:t xml:space="preserve">г. </w:t>
      </w:r>
      <w:r w:rsidRPr="00DE096C">
        <w:rPr>
          <w:bCs/>
          <w:color w:val="002060"/>
          <w:sz w:val="16"/>
          <w:szCs w:val="16"/>
        </w:rPr>
        <w:t>лейтенант Лавров, участник перелета С. -Петербург - Киев, вместе со штурманом Шокальским облетал машину</w:t>
      </w:r>
      <w:r w:rsidR="00EE125C" w:rsidRPr="00DE096C">
        <w:rPr>
          <w:bCs/>
          <w:color w:val="002060"/>
          <w:sz w:val="16"/>
          <w:szCs w:val="16"/>
        </w:rPr>
        <w:t xml:space="preserve"> «Муромец» № 107), который по заказу Военно-морского ведомства превратился в "Гидро"</w:t>
      </w:r>
      <w:r w:rsidRPr="00DE096C">
        <w:rPr>
          <w:bCs/>
          <w:color w:val="002060"/>
          <w:sz w:val="16"/>
          <w:szCs w:val="16"/>
        </w:rPr>
        <w:t>. "Муромец" легко взлетал, но в наборе высоты давал невысокую скороподъемность. Сказывалось значительное аэродинамическое сопротивление поплавков и большой мидель "Сальмсонов". Воздушный корабль предполагалось использовать для разведывательных полетов. Он уже совершил несколько вылетов по вызову береговых постов, обследовал побережье, однако в связи с плохой погодой эти полеты были малорезультативными. 12 октября 1914 г., когда самолет находился в Либаве, к базе подошли немецкие миноносцы. Погодные условия не позволили Лаврову взлететь, и ввиду явной опасности захвата "Муромца" противником командир приказал машину сжечь. Больше "Муромцы" на поплавки не ставились (11230).</w:t>
      </w:r>
    </w:p>
    <w:p w14:paraId="7B8E8043" w14:textId="77777777" w:rsidR="00F812F3" w:rsidRPr="00DE096C" w:rsidRDefault="00F812F3" w:rsidP="00D45A46">
      <w:pPr>
        <w:jc w:val="both"/>
        <w:rPr>
          <w:bCs/>
          <w:color w:val="002060"/>
          <w:sz w:val="16"/>
          <w:szCs w:val="16"/>
        </w:rPr>
      </w:pPr>
    </w:p>
    <w:p w14:paraId="24EA353E" w14:textId="15AFA066" w:rsidR="00F812F3" w:rsidRPr="00DE096C" w:rsidRDefault="00F812F3" w:rsidP="00D45A46">
      <w:pPr>
        <w:pStyle w:val="2"/>
        <w:spacing w:before="0" w:after="0"/>
        <w:jc w:val="both"/>
        <w:rPr>
          <w:b w:val="0"/>
          <w:bCs/>
          <w:i/>
          <w:iCs/>
          <w:color w:val="002060"/>
          <w:sz w:val="16"/>
          <w:szCs w:val="16"/>
        </w:rPr>
      </w:pPr>
      <w:r w:rsidRPr="00DE096C">
        <w:rPr>
          <w:b w:val="0"/>
          <w:bCs/>
          <w:i/>
          <w:iCs/>
          <w:color w:val="002060"/>
          <w:sz w:val="16"/>
          <w:szCs w:val="16"/>
        </w:rPr>
        <w:t>Авиация:</w:t>
      </w:r>
    </w:p>
    <w:p w14:paraId="26582DF3" w14:textId="77777777" w:rsidR="00F812F3" w:rsidRPr="00DE096C" w:rsidRDefault="00F812F3" w:rsidP="00D45A46">
      <w:pPr>
        <w:pStyle w:val="2"/>
        <w:spacing w:before="0" w:after="0"/>
        <w:jc w:val="both"/>
        <w:rPr>
          <w:b w:val="0"/>
          <w:bCs/>
          <w:i/>
          <w:iCs/>
          <w:color w:val="002060"/>
          <w:sz w:val="16"/>
          <w:szCs w:val="16"/>
        </w:rPr>
      </w:pPr>
    </w:p>
    <w:p w14:paraId="14D6D860" w14:textId="77777777" w:rsidR="00F600AC" w:rsidRPr="00DE096C" w:rsidRDefault="00F600AC" w:rsidP="00D45A46">
      <w:pPr>
        <w:jc w:val="both"/>
        <w:rPr>
          <w:bCs/>
          <w:color w:val="002060"/>
          <w:sz w:val="16"/>
          <w:szCs w:val="16"/>
        </w:rPr>
      </w:pPr>
      <w:r w:rsidRPr="00DE096C">
        <w:rPr>
          <w:bCs/>
          <w:color w:val="002060"/>
          <w:sz w:val="16"/>
          <w:szCs w:val="16"/>
        </w:rPr>
        <w:t>В конце сен</w:t>
      </w:r>
      <w:r w:rsidRPr="00DE096C">
        <w:rPr>
          <w:bCs/>
          <w:color w:val="002060"/>
          <w:sz w:val="16"/>
          <w:szCs w:val="16"/>
        </w:rPr>
        <w:softHyphen/>
        <w:t>тября 1914 г. лейтенант Лавров, участник перелета С.-Петер</w:t>
      </w:r>
      <w:r w:rsidRPr="00DE096C">
        <w:rPr>
          <w:bCs/>
          <w:color w:val="002060"/>
          <w:sz w:val="16"/>
          <w:szCs w:val="16"/>
        </w:rPr>
        <w:softHyphen/>
        <w:t>бург — Киев, вместе со штурманом Шокальским обле</w:t>
      </w:r>
      <w:r w:rsidRPr="00DE096C">
        <w:rPr>
          <w:bCs/>
          <w:color w:val="002060"/>
          <w:sz w:val="16"/>
          <w:szCs w:val="16"/>
        </w:rPr>
        <w:softHyphen/>
        <w:t>тал самый первый «Муромец» (за</w:t>
      </w:r>
      <w:r w:rsidRPr="00DE096C">
        <w:rPr>
          <w:bCs/>
          <w:color w:val="002060"/>
          <w:sz w:val="16"/>
          <w:szCs w:val="16"/>
        </w:rPr>
        <w:softHyphen/>
        <w:t>водской № 107), который по заказу Военно-морского ведомства превратился в «Гидро» и в разобранном виде отправили по железной дороге в Ригу. «Муромец» легко взлетал, но в наборе высоты давал невысокую скороподъемность. Сказыва</w:t>
      </w:r>
      <w:r w:rsidRPr="00DE096C">
        <w:rPr>
          <w:bCs/>
          <w:color w:val="002060"/>
          <w:sz w:val="16"/>
          <w:szCs w:val="16"/>
        </w:rPr>
        <w:softHyphen/>
        <w:t>лось значительное аэродинамическое сопротивление поплавков и большой мидель «Сальмсонов». Воздуш</w:t>
      </w:r>
      <w:r w:rsidRPr="00DE096C">
        <w:rPr>
          <w:bCs/>
          <w:color w:val="002060"/>
          <w:sz w:val="16"/>
          <w:szCs w:val="16"/>
        </w:rPr>
        <w:softHyphen/>
        <w:t>ный корабль предполагалось использовать для разве</w:t>
      </w:r>
      <w:r w:rsidRPr="00DE096C">
        <w:rPr>
          <w:bCs/>
          <w:color w:val="002060"/>
          <w:sz w:val="16"/>
          <w:szCs w:val="16"/>
        </w:rPr>
        <w:softHyphen/>
        <w:t>дывательных полетов. Он уже совершил несколько вы</w:t>
      </w:r>
      <w:r w:rsidRPr="00DE096C">
        <w:rPr>
          <w:bCs/>
          <w:color w:val="002060"/>
          <w:sz w:val="16"/>
          <w:szCs w:val="16"/>
        </w:rPr>
        <w:softHyphen/>
        <w:t xml:space="preserve">летов по вызову береговых постов, обследовал побережье, однако в связи с плохой погодой эти полеты были малорезультативными. </w:t>
      </w:r>
      <w:bookmarkStart w:id="182" w:name="_Hlk147065617"/>
      <w:r w:rsidRPr="00DE096C">
        <w:rPr>
          <w:bCs/>
          <w:color w:val="002060"/>
          <w:sz w:val="16"/>
          <w:szCs w:val="16"/>
        </w:rPr>
        <w:t>12 октября 1914 г., когда самолет находился в Либаве, к базе подошли немецкие миноносцы. Погодные условия не позволили Лаврову взлететь, и ввиду явной опасности захвата «Муромца» противником командир приказал машину сжечь. Больше «Муромцы» на поплавки не ставились (24177).</w:t>
      </w:r>
    </w:p>
    <w:bookmarkEnd w:id="182"/>
    <w:p w14:paraId="113791F3" w14:textId="77777777" w:rsidR="00F600AC" w:rsidRPr="00DE096C" w:rsidRDefault="00F600AC" w:rsidP="00D45A46">
      <w:pPr>
        <w:jc w:val="both"/>
        <w:rPr>
          <w:bCs/>
          <w:color w:val="002060"/>
          <w:sz w:val="16"/>
          <w:szCs w:val="16"/>
          <w:lang w:bidi="en-US"/>
        </w:rPr>
      </w:pPr>
    </w:p>
    <w:p w14:paraId="5991D29C" w14:textId="77777777" w:rsidR="002812DC" w:rsidRPr="00DE096C" w:rsidRDefault="002812DC" w:rsidP="00D45A46">
      <w:pPr>
        <w:pStyle w:val="rtejustify"/>
        <w:shd w:val="clear" w:color="auto" w:fill="FFFFFF"/>
        <w:spacing w:before="0" w:beforeAutospacing="0" w:after="0" w:afterAutospacing="0"/>
        <w:jc w:val="both"/>
        <w:rPr>
          <w:bCs/>
          <w:color w:val="002060"/>
          <w:sz w:val="16"/>
          <w:szCs w:val="16"/>
        </w:rPr>
      </w:pPr>
      <w:r w:rsidRPr="00DE096C">
        <w:rPr>
          <w:bCs/>
          <w:color w:val="002060"/>
          <w:sz w:val="16"/>
          <w:szCs w:val="16"/>
        </w:rPr>
        <w:t>В конце сентября 1914 г. великий князь Александр Михайлович обратился к Верховному главнокомандующему (вел. кн. Николаю Николаевичу) с докладом, в котором изложил свой план построения системы обеспечения авиационных частей ВВФ. Ставка одобрила предложения Заведующего организацией авиационного дела в армиях ЮЗФ по увеличению штата авиационных рот называемых уже авиапарками. Это изменение было внесено в организационную структуру авиарот приказом ВГ №78 от 11 октября 1914 года. Вскоре было утверждено соответствующее Положение о деятельности авиационных парков. Согласно этому документу, авиапарк предназначался для обслуживания технических нужд авиаотрядов, входящих в состав армии. Сами авиапарки находились в подчинении начальников инженерных снабжений фронтов.</w:t>
      </w:r>
    </w:p>
    <w:p w14:paraId="4A4984BC" w14:textId="77777777" w:rsidR="002812DC" w:rsidRPr="00DE096C" w:rsidRDefault="002812DC" w:rsidP="00D45A46">
      <w:pPr>
        <w:pStyle w:val="rtejustify"/>
        <w:shd w:val="clear" w:color="auto" w:fill="FFFFFF"/>
        <w:spacing w:before="0" w:beforeAutospacing="0" w:after="0" w:afterAutospacing="0"/>
        <w:jc w:val="both"/>
        <w:rPr>
          <w:bCs/>
          <w:color w:val="002060"/>
          <w:sz w:val="16"/>
          <w:szCs w:val="16"/>
        </w:rPr>
      </w:pPr>
      <w:r w:rsidRPr="00DE096C">
        <w:rPr>
          <w:bCs/>
          <w:color w:val="002060"/>
          <w:sz w:val="16"/>
          <w:szCs w:val="16"/>
        </w:rPr>
        <w:t>Всеми вопросами авиационно-технического обеспечения действующей армии занималось Военно-Техническое Отделение при УваРИ. На последнее возлагались вопросы приемки конечной продукции самолетостроительных предприятий. По указанию нового Верховного главнокомандующего (императора Николая II) «в целях полного согласования дела снабжения авиационных и воздухоплавательных частей с интересами армии» на великого князя Александра Михайловича были возложены снабженческие функции.</w:t>
      </w:r>
    </w:p>
    <w:tbl>
      <w:tblPr>
        <w:tblW w:w="5000" w:type="pct"/>
        <w:tblCellSpacing w:w="15" w:type="dxa"/>
        <w:tblCellMar>
          <w:left w:w="0" w:type="dxa"/>
          <w:right w:w="0" w:type="dxa"/>
        </w:tblCellMar>
        <w:tblLook w:val="04A0" w:firstRow="1" w:lastRow="0" w:firstColumn="1" w:lastColumn="0" w:noHBand="0" w:noVBand="1"/>
      </w:tblPr>
      <w:tblGrid>
        <w:gridCol w:w="1565"/>
        <w:gridCol w:w="1650"/>
        <w:gridCol w:w="1698"/>
        <w:gridCol w:w="1783"/>
        <w:gridCol w:w="4642"/>
      </w:tblGrid>
      <w:tr w:rsidR="002812DC" w:rsidRPr="00DE096C" w14:paraId="753127B7" w14:textId="77777777" w:rsidTr="00FA616C">
        <w:trPr>
          <w:tblCellSpacing w:w="15" w:type="dxa"/>
        </w:trPr>
        <w:tc>
          <w:tcPr>
            <w:tcW w:w="0" w:type="auto"/>
            <w:shd w:val="clear" w:color="auto" w:fill="FFFFFF"/>
            <w:tcMar>
              <w:top w:w="168" w:type="dxa"/>
              <w:left w:w="72" w:type="dxa"/>
              <w:bottom w:w="168" w:type="dxa"/>
              <w:right w:w="72" w:type="dxa"/>
            </w:tcMar>
            <w:vAlign w:val="center"/>
            <w:hideMark/>
          </w:tcPr>
          <w:p w14:paraId="017606E1" w14:textId="77777777" w:rsidR="002812DC" w:rsidRPr="00DE096C" w:rsidRDefault="002812DC" w:rsidP="00D45A46">
            <w:pPr>
              <w:pStyle w:val="ae"/>
              <w:spacing w:before="0" w:beforeAutospacing="0" w:after="0" w:afterAutospacing="0"/>
              <w:jc w:val="both"/>
              <w:rPr>
                <w:bCs/>
                <w:color w:val="002060"/>
                <w:sz w:val="16"/>
                <w:szCs w:val="16"/>
              </w:rPr>
            </w:pPr>
            <w:r w:rsidRPr="00DE096C">
              <w:rPr>
                <w:bCs/>
                <w:color w:val="002060"/>
                <w:sz w:val="16"/>
                <w:szCs w:val="16"/>
              </w:rPr>
              <w:t> </w:t>
            </w:r>
          </w:p>
        </w:tc>
        <w:tc>
          <w:tcPr>
            <w:tcW w:w="0" w:type="auto"/>
            <w:shd w:val="clear" w:color="auto" w:fill="FFFFFF"/>
            <w:tcMar>
              <w:top w:w="168" w:type="dxa"/>
              <w:left w:w="72" w:type="dxa"/>
              <w:bottom w:w="168" w:type="dxa"/>
              <w:right w:w="72" w:type="dxa"/>
            </w:tcMar>
            <w:vAlign w:val="center"/>
            <w:hideMark/>
          </w:tcPr>
          <w:p w14:paraId="27F28C67" w14:textId="77777777" w:rsidR="002812DC" w:rsidRPr="00DE096C" w:rsidRDefault="002812DC" w:rsidP="00D45A46">
            <w:pPr>
              <w:pStyle w:val="ae"/>
              <w:spacing w:before="0" w:beforeAutospacing="0" w:after="0" w:afterAutospacing="0"/>
              <w:jc w:val="both"/>
              <w:rPr>
                <w:bCs/>
                <w:color w:val="002060"/>
                <w:sz w:val="16"/>
                <w:szCs w:val="16"/>
              </w:rPr>
            </w:pPr>
            <w:r w:rsidRPr="00DE096C">
              <w:rPr>
                <w:bCs/>
                <w:color w:val="002060"/>
                <w:sz w:val="16"/>
                <w:szCs w:val="16"/>
              </w:rPr>
              <w:t> </w:t>
            </w:r>
          </w:p>
        </w:tc>
        <w:tc>
          <w:tcPr>
            <w:tcW w:w="0" w:type="auto"/>
            <w:shd w:val="clear" w:color="auto" w:fill="FFFFFF"/>
            <w:tcMar>
              <w:top w:w="168" w:type="dxa"/>
              <w:left w:w="72" w:type="dxa"/>
              <w:bottom w:w="168" w:type="dxa"/>
              <w:right w:w="72" w:type="dxa"/>
            </w:tcMar>
            <w:vAlign w:val="center"/>
            <w:hideMark/>
          </w:tcPr>
          <w:p w14:paraId="1F011AC5" w14:textId="77777777" w:rsidR="002812DC" w:rsidRPr="00DE096C" w:rsidRDefault="002812DC" w:rsidP="00D45A46">
            <w:pPr>
              <w:pStyle w:val="ae"/>
              <w:spacing w:before="0" w:beforeAutospacing="0" w:after="0" w:afterAutospacing="0"/>
              <w:jc w:val="both"/>
              <w:rPr>
                <w:bCs/>
                <w:color w:val="002060"/>
                <w:sz w:val="16"/>
                <w:szCs w:val="16"/>
              </w:rPr>
            </w:pPr>
            <w:r w:rsidRPr="00DE096C">
              <w:rPr>
                <w:bCs/>
                <w:color w:val="002060"/>
                <w:sz w:val="16"/>
                <w:szCs w:val="16"/>
              </w:rPr>
              <w:t> </w:t>
            </w:r>
          </w:p>
        </w:tc>
        <w:tc>
          <w:tcPr>
            <w:tcW w:w="0" w:type="auto"/>
            <w:shd w:val="clear" w:color="auto" w:fill="FFFFFF"/>
            <w:tcMar>
              <w:top w:w="168" w:type="dxa"/>
              <w:left w:w="72" w:type="dxa"/>
              <w:bottom w:w="168" w:type="dxa"/>
              <w:right w:w="72" w:type="dxa"/>
            </w:tcMar>
            <w:vAlign w:val="center"/>
            <w:hideMark/>
          </w:tcPr>
          <w:p w14:paraId="086CC442" w14:textId="77777777" w:rsidR="002812DC" w:rsidRPr="00DE096C" w:rsidRDefault="002812DC" w:rsidP="00D45A46">
            <w:pPr>
              <w:pStyle w:val="ae"/>
              <w:spacing w:before="0" w:beforeAutospacing="0" w:after="0" w:afterAutospacing="0"/>
              <w:jc w:val="both"/>
              <w:rPr>
                <w:bCs/>
                <w:color w:val="002060"/>
                <w:sz w:val="16"/>
                <w:szCs w:val="16"/>
              </w:rPr>
            </w:pPr>
            <w:r w:rsidRPr="00DE096C">
              <w:rPr>
                <w:bCs/>
                <w:color w:val="002060"/>
                <w:sz w:val="16"/>
                <w:szCs w:val="16"/>
              </w:rPr>
              <w:t> </w:t>
            </w:r>
          </w:p>
        </w:tc>
        <w:tc>
          <w:tcPr>
            <w:tcW w:w="0" w:type="auto"/>
            <w:shd w:val="clear" w:color="auto" w:fill="FFFFFF"/>
            <w:tcMar>
              <w:top w:w="168" w:type="dxa"/>
              <w:left w:w="72" w:type="dxa"/>
              <w:bottom w:w="168" w:type="dxa"/>
              <w:right w:w="72" w:type="dxa"/>
            </w:tcMar>
            <w:vAlign w:val="center"/>
            <w:hideMark/>
          </w:tcPr>
          <w:p w14:paraId="4FB1DB26" w14:textId="77777777" w:rsidR="002812DC" w:rsidRPr="00DE096C" w:rsidRDefault="002812DC" w:rsidP="00D45A46">
            <w:pPr>
              <w:pStyle w:val="ae"/>
              <w:spacing w:before="0" w:beforeAutospacing="0" w:after="0" w:afterAutospacing="0"/>
              <w:jc w:val="both"/>
              <w:rPr>
                <w:bCs/>
                <w:color w:val="002060"/>
                <w:sz w:val="16"/>
                <w:szCs w:val="16"/>
              </w:rPr>
            </w:pPr>
            <w:r w:rsidRPr="00DE096C">
              <w:rPr>
                <w:bCs/>
                <w:color w:val="002060"/>
                <w:sz w:val="16"/>
                <w:szCs w:val="16"/>
              </w:rPr>
              <w:t> </w:t>
            </w:r>
          </w:p>
        </w:tc>
      </w:tr>
      <w:tr w:rsidR="002812DC" w:rsidRPr="00DE096C" w14:paraId="29034A8B" w14:textId="77777777" w:rsidTr="002812DC">
        <w:trPr>
          <w:tblHeader/>
          <w:tblCellSpacing w:w="15" w:type="dxa"/>
        </w:trPr>
        <w:tc>
          <w:tcPr>
            <w:tcW w:w="0" w:type="auto"/>
            <w:tcMar>
              <w:top w:w="192" w:type="dxa"/>
              <w:left w:w="240" w:type="dxa"/>
              <w:bottom w:w="192" w:type="dxa"/>
              <w:right w:w="240" w:type="dxa"/>
            </w:tcMar>
            <w:vAlign w:val="center"/>
            <w:hideMark/>
          </w:tcPr>
          <w:p w14:paraId="79CD9701" w14:textId="77777777" w:rsidR="002812DC" w:rsidRPr="00DE096C" w:rsidRDefault="002812DC" w:rsidP="00D45A46">
            <w:pPr>
              <w:pStyle w:val="ae"/>
              <w:spacing w:before="0" w:beforeAutospacing="0" w:after="0" w:afterAutospacing="0"/>
              <w:jc w:val="both"/>
              <w:rPr>
                <w:bCs/>
                <w:color w:val="002060"/>
                <w:sz w:val="16"/>
                <w:szCs w:val="16"/>
              </w:rPr>
            </w:pPr>
            <w:r w:rsidRPr="00DE096C">
              <w:rPr>
                <w:rStyle w:val="af2"/>
                <w:b w:val="0"/>
                <w:color w:val="002060"/>
                <w:sz w:val="16"/>
                <w:szCs w:val="16"/>
              </w:rPr>
              <w:t>Наименование</w:t>
            </w:r>
          </w:p>
        </w:tc>
        <w:tc>
          <w:tcPr>
            <w:tcW w:w="0" w:type="auto"/>
            <w:tcMar>
              <w:top w:w="192" w:type="dxa"/>
              <w:left w:w="240" w:type="dxa"/>
              <w:bottom w:w="192" w:type="dxa"/>
              <w:right w:w="240" w:type="dxa"/>
            </w:tcMar>
            <w:vAlign w:val="center"/>
            <w:hideMark/>
          </w:tcPr>
          <w:p w14:paraId="5F27078F" w14:textId="77777777" w:rsidR="002812DC" w:rsidRPr="00DE096C" w:rsidRDefault="002812DC" w:rsidP="00D45A46">
            <w:pPr>
              <w:pStyle w:val="ae"/>
              <w:spacing w:before="0" w:beforeAutospacing="0" w:after="0" w:afterAutospacing="0"/>
              <w:jc w:val="both"/>
              <w:rPr>
                <w:bCs/>
                <w:color w:val="002060"/>
                <w:sz w:val="16"/>
                <w:szCs w:val="16"/>
              </w:rPr>
            </w:pPr>
            <w:r w:rsidRPr="00DE096C">
              <w:rPr>
                <w:rStyle w:val="af2"/>
                <w:b w:val="0"/>
                <w:color w:val="002060"/>
                <w:sz w:val="16"/>
                <w:szCs w:val="16"/>
              </w:rPr>
              <w:t>Дата формирования</w:t>
            </w:r>
          </w:p>
        </w:tc>
        <w:tc>
          <w:tcPr>
            <w:tcW w:w="0" w:type="auto"/>
            <w:tcMar>
              <w:top w:w="192" w:type="dxa"/>
              <w:left w:w="240" w:type="dxa"/>
              <w:bottom w:w="192" w:type="dxa"/>
              <w:right w:w="240" w:type="dxa"/>
            </w:tcMar>
            <w:vAlign w:val="center"/>
            <w:hideMark/>
          </w:tcPr>
          <w:p w14:paraId="7759DF13" w14:textId="77777777" w:rsidR="002812DC" w:rsidRPr="00DE096C" w:rsidRDefault="002812DC" w:rsidP="00D45A46">
            <w:pPr>
              <w:pStyle w:val="ae"/>
              <w:spacing w:before="0" w:beforeAutospacing="0" w:after="0" w:afterAutospacing="0"/>
              <w:jc w:val="both"/>
              <w:rPr>
                <w:bCs/>
                <w:color w:val="002060"/>
                <w:sz w:val="16"/>
                <w:szCs w:val="16"/>
              </w:rPr>
            </w:pPr>
            <w:r w:rsidRPr="00DE096C">
              <w:rPr>
                <w:rStyle w:val="af2"/>
                <w:b w:val="0"/>
                <w:color w:val="002060"/>
                <w:sz w:val="16"/>
                <w:szCs w:val="16"/>
              </w:rPr>
              <w:t>Дислокация</w:t>
            </w:r>
          </w:p>
        </w:tc>
        <w:tc>
          <w:tcPr>
            <w:tcW w:w="0" w:type="auto"/>
            <w:tcMar>
              <w:top w:w="192" w:type="dxa"/>
              <w:left w:w="240" w:type="dxa"/>
              <w:bottom w:w="192" w:type="dxa"/>
              <w:right w:w="240" w:type="dxa"/>
            </w:tcMar>
            <w:vAlign w:val="center"/>
            <w:hideMark/>
          </w:tcPr>
          <w:p w14:paraId="4DCFCBD8" w14:textId="77777777" w:rsidR="002812DC" w:rsidRPr="00DE096C" w:rsidRDefault="002812DC" w:rsidP="00D45A46">
            <w:pPr>
              <w:pStyle w:val="ae"/>
              <w:spacing w:before="0" w:beforeAutospacing="0" w:after="0" w:afterAutospacing="0"/>
              <w:jc w:val="both"/>
              <w:rPr>
                <w:bCs/>
                <w:color w:val="002060"/>
                <w:sz w:val="16"/>
                <w:szCs w:val="16"/>
              </w:rPr>
            </w:pPr>
            <w:r w:rsidRPr="00DE096C">
              <w:rPr>
                <w:rStyle w:val="af2"/>
                <w:b w:val="0"/>
                <w:color w:val="002060"/>
                <w:sz w:val="16"/>
                <w:szCs w:val="16"/>
              </w:rPr>
              <w:t>Начальники</w:t>
            </w:r>
          </w:p>
        </w:tc>
        <w:tc>
          <w:tcPr>
            <w:tcW w:w="0" w:type="auto"/>
            <w:tcMar>
              <w:top w:w="192" w:type="dxa"/>
              <w:left w:w="240" w:type="dxa"/>
              <w:bottom w:w="192" w:type="dxa"/>
              <w:right w:w="240" w:type="dxa"/>
            </w:tcMar>
            <w:vAlign w:val="center"/>
            <w:hideMark/>
          </w:tcPr>
          <w:p w14:paraId="37CC05B2" w14:textId="77777777" w:rsidR="002812DC" w:rsidRPr="00DE096C" w:rsidRDefault="002812DC" w:rsidP="00D45A46">
            <w:pPr>
              <w:pStyle w:val="ae"/>
              <w:spacing w:before="0" w:beforeAutospacing="0" w:after="0" w:afterAutospacing="0"/>
              <w:jc w:val="both"/>
              <w:rPr>
                <w:bCs/>
                <w:color w:val="002060"/>
                <w:sz w:val="16"/>
                <w:szCs w:val="16"/>
              </w:rPr>
            </w:pPr>
            <w:r w:rsidRPr="00DE096C">
              <w:rPr>
                <w:rStyle w:val="af2"/>
                <w:b w:val="0"/>
                <w:color w:val="002060"/>
                <w:sz w:val="16"/>
                <w:szCs w:val="16"/>
              </w:rPr>
              <w:t>Примечания</w:t>
            </w:r>
          </w:p>
        </w:tc>
      </w:tr>
      <w:tr w:rsidR="002812DC" w:rsidRPr="00DE096C" w14:paraId="793E891E" w14:textId="77777777" w:rsidTr="00FA616C">
        <w:trPr>
          <w:tblCellSpacing w:w="15" w:type="dxa"/>
        </w:trPr>
        <w:tc>
          <w:tcPr>
            <w:tcW w:w="0" w:type="auto"/>
            <w:shd w:val="clear" w:color="auto" w:fill="FFFFFF"/>
            <w:tcMar>
              <w:top w:w="168" w:type="dxa"/>
              <w:left w:w="72" w:type="dxa"/>
              <w:bottom w:w="168" w:type="dxa"/>
              <w:right w:w="72" w:type="dxa"/>
            </w:tcMar>
            <w:vAlign w:val="center"/>
            <w:hideMark/>
          </w:tcPr>
          <w:p w14:paraId="7E4F77E8" w14:textId="77777777" w:rsidR="002812DC" w:rsidRPr="00DE096C" w:rsidRDefault="002812DC" w:rsidP="00D45A46">
            <w:pPr>
              <w:pStyle w:val="ae"/>
              <w:spacing w:before="0" w:beforeAutospacing="0" w:after="0" w:afterAutospacing="0"/>
              <w:jc w:val="both"/>
              <w:rPr>
                <w:bCs/>
                <w:color w:val="002060"/>
                <w:sz w:val="16"/>
                <w:szCs w:val="16"/>
              </w:rPr>
            </w:pPr>
            <w:r w:rsidRPr="00DE096C">
              <w:rPr>
                <w:bCs/>
                <w:color w:val="002060"/>
                <w:sz w:val="16"/>
                <w:szCs w:val="16"/>
              </w:rPr>
              <w:t>1-й авиапарк</w:t>
            </w:r>
          </w:p>
        </w:tc>
        <w:tc>
          <w:tcPr>
            <w:tcW w:w="0" w:type="auto"/>
            <w:shd w:val="clear" w:color="auto" w:fill="FFFFFF"/>
            <w:tcMar>
              <w:top w:w="168" w:type="dxa"/>
              <w:left w:w="72" w:type="dxa"/>
              <w:bottom w:w="168" w:type="dxa"/>
              <w:right w:w="72" w:type="dxa"/>
            </w:tcMar>
            <w:vAlign w:val="center"/>
            <w:hideMark/>
          </w:tcPr>
          <w:p w14:paraId="49B7EF13" w14:textId="77777777" w:rsidR="002812DC" w:rsidRPr="00DE096C" w:rsidRDefault="002812DC" w:rsidP="00D45A46">
            <w:pPr>
              <w:pStyle w:val="ae"/>
              <w:spacing w:before="0" w:beforeAutospacing="0" w:after="0" w:afterAutospacing="0"/>
              <w:jc w:val="both"/>
              <w:rPr>
                <w:bCs/>
                <w:color w:val="002060"/>
                <w:sz w:val="16"/>
                <w:szCs w:val="16"/>
              </w:rPr>
            </w:pPr>
            <w:r w:rsidRPr="00DE096C">
              <w:rPr>
                <w:bCs/>
                <w:color w:val="002060"/>
                <w:sz w:val="16"/>
                <w:szCs w:val="16"/>
              </w:rPr>
              <w:t>27.04.1913 г.</w:t>
            </w:r>
          </w:p>
        </w:tc>
        <w:tc>
          <w:tcPr>
            <w:tcW w:w="0" w:type="auto"/>
            <w:shd w:val="clear" w:color="auto" w:fill="FFFFFF"/>
            <w:tcMar>
              <w:top w:w="168" w:type="dxa"/>
              <w:left w:w="72" w:type="dxa"/>
              <w:bottom w:w="168" w:type="dxa"/>
              <w:right w:w="72" w:type="dxa"/>
            </w:tcMar>
            <w:vAlign w:val="center"/>
            <w:hideMark/>
          </w:tcPr>
          <w:p w14:paraId="305B860B" w14:textId="77777777" w:rsidR="002812DC" w:rsidRPr="00DE096C" w:rsidRDefault="002812DC" w:rsidP="00D45A46">
            <w:pPr>
              <w:pStyle w:val="ae"/>
              <w:spacing w:before="0" w:beforeAutospacing="0" w:after="0" w:afterAutospacing="0"/>
              <w:jc w:val="both"/>
              <w:rPr>
                <w:bCs/>
                <w:color w:val="002060"/>
                <w:sz w:val="16"/>
                <w:szCs w:val="16"/>
              </w:rPr>
            </w:pPr>
            <w:r w:rsidRPr="00DE096C">
              <w:rPr>
                <w:bCs/>
                <w:color w:val="002060"/>
                <w:sz w:val="16"/>
                <w:szCs w:val="16"/>
              </w:rPr>
              <w:t>Петроград (Одесса?)</w:t>
            </w:r>
          </w:p>
        </w:tc>
        <w:tc>
          <w:tcPr>
            <w:tcW w:w="0" w:type="auto"/>
            <w:shd w:val="clear" w:color="auto" w:fill="FFFFFF"/>
            <w:tcMar>
              <w:top w:w="168" w:type="dxa"/>
              <w:left w:w="72" w:type="dxa"/>
              <w:bottom w:w="168" w:type="dxa"/>
              <w:right w:w="72" w:type="dxa"/>
            </w:tcMar>
            <w:vAlign w:val="center"/>
            <w:hideMark/>
          </w:tcPr>
          <w:p w14:paraId="42321B2E" w14:textId="77777777" w:rsidR="002812DC" w:rsidRPr="00DE096C" w:rsidRDefault="002812DC" w:rsidP="00D45A46">
            <w:pPr>
              <w:pStyle w:val="ae"/>
              <w:spacing w:before="0" w:beforeAutospacing="0" w:after="0" w:afterAutospacing="0"/>
              <w:jc w:val="both"/>
              <w:rPr>
                <w:bCs/>
                <w:color w:val="002060"/>
                <w:sz w:val="16"/>
                <w:szCs w:val="16"/>
              </w:rPr>
            </w:pPr>
            <w:r w:rsidRPr="00DE096C">
              <w:rPr>
                <w:bCs/>
                <w:color w:val="002060"/>
                <w:sz w:val="16"/>
                <w:szCs w:val="16"/>
              </w:rPr>
              <w:t>штабс-капитан Крейсон</w:t>
            </w:r>
          </w:p>
        </w:tc>
        <w:tc>
          <w:tcPr>
            <w:tcW w:w="0" w:type="auto"/>
            <w:shd w:val="clear" w:color="auto" w:fill="FFFFFF"/>
            <w:tcMar>
              <w:top w:w="168" w:type="dxa"/>
              <w:left w:w="72" w:type="dxa"/>
              <w:bottom w:w="168" w:type="dxa"/>
              <w:right w:w="72" w:type="dxa"/>
            </w:tcMar>
            <w:vAlign w:val="center"/>
            <w:hideMark/>
          </w:tcPr>
          <w:p w14:paraId="17497C9E" w14:textId="77777777" w:rsidR="002812DC" w:rsidRPr="00DE096C" w:rsidRDefault="002812DC" w:rsidP="00D45A46">
            <w:pPr>
              <w:pStyle w:val="ae"/>
              <w:spacing w:before="0" w:beforeAutospacing="0" w:after="0" w:afterAutospacing="0"/>
              <w:jc w:val="both"/>
              <w:rPr>
                <w:bCs/>
                <w:color w:val="002060"/>
                <w:sz w:val="16"/>
                <w:szCs w:val="16"/>
              </w:rPr>
            </w:pPr>
            <w:r w:rsidRPr="00DE096C">
              <w:rPr>
                <w:bCs/>
                <w:color w:val="002060"/>
                <w:sz w:val="16"/>
                <w:szCs w:val="16"/>
              </w:rPr>
              <w:t>Петербургский военный округ. Корпусной аэродром; Северный фронт</w:t>
            </w:r>
          </w:p>
        </w:tc>
      </w:tr>
      <w:tr w:rsidR="002812DC" w:rsidRPr="00DE096C" w14:paraId="173DCC00" w14:textId="77777777" w:rsidTr="00FA616C">
        <w:trPr>
          <w:tblCellSpacing w:w="15" w:type="dxa"/>
        </w:trPr>
        <w:tc>
          <w:tcPr>
            <w:tcW w:w="0" w:type="auto"/>
            <w:shd w:val="clear" w:color="auto" w:fill="FFFFFF"/>
            <w:tcMar>
              <w:top w:w="168" w:type="dxa"/>
              <w:left w:w="72" w:type="dxa"/>
              <w:bottom w:w="168" w:type="dxa"/>
              <w:right w:w="72" w:type="dxa"/>
            </w:tcMar>
            <w:vAlign w:val="center"/>
            <w:hideMark/>
          </w:tcPr>
          <w:p w14:paraId="6F1F4E4A" w14:textId="77777777" w:rsidR="002812DC" w:rsidRPr="00DE096C" w:rsidRDefault="002812DC" w:rsidP="00D45A46">
            <w:pPr>
              <w:pStyle w:val="ae"/>
              <w:spacing w:before="0" w:beforeAutospacing="0" w:after="0" w:afterAutospacing="0"/>
              <w:jc w:val="both"/>
              <w:rPr>
                <w:bCs/>
                <w:color w:val="002060"/>
                <w:sz w:val="16"/>
                <w:szCs w:val="16"/>
              </w:rPr>
            </w:pPr>
            <w:r w:rsidRPr="00DE096C">
              <w:rPr>
                <w:bCs/>
                <w:color w:val="002060"/>
                <w:sz w:val="16"/>
                <w:szCs w:val="16"/>
              </w:rPr>
              <w:t>2-й авиапарк</w:t>
            </w:r>
          </w:p>
        </w:tc>
        <w:tc>
          <w:tcPr>
            <w:tcW w:w="0" w:type="auto"/>
            <w:shd w:val="clear" w:color="auto" w:fill="FFFFFF"/>
            <w:tcMar>
              <w:top w:w="168" w:type="dxa"/>
              <w:left w:w="72" w:type="dxa"/>
              <w:bottom w:w="168" w:type="dxa"/>
              <w:right w:w="72" w:type="dxa"/>
            </w:tcMar>
            <w:vAlign w:val="center"/>
            <w:hideMark/>
          </w:tcPr>
          <w:p w14:paraId="1F0B599B" w14:textId="77777777" w:rsidR="002812DC" w:rsidRPr="00DE096C" w:rsidRDefault="002812DC" w:rsidP="00D45A46">
            <w:pPr>
              <w:pStyle w:val="ae"/>
              <w:spacing w:before="0" w:beforeAutospacing="0" w:after="0" w:afterAutospacing="0"/>
              <w:jc w:val="both"/>
              <w:rPr>
                <w:bCs/>
                <w:color w:val="002060"/>
                <w:sz w:val="16"/>
                <w:szCs w:val="16"/>
              </w:rPr>
            </w:pPr>
            <w:r w:rsidRPr="00DE096C">
              <w:rPr>
                <w:bCs/>
                <w:color w:val="002060"/>
                <w:sz w:val="16"/>
                <w:szCs w:val="16"/>
              </w:rPr>
              <w:t>25.05.1913 г.</w:t>
            </w:r>
          </w:p>
        </w:tc>
        <w:tc>
          <w:tcPr>
            <w:tcW w:w="0" w:type="auto"/>
            <w:shd w:val="clear" w:color="auto" w:fill="FFFFFF"/>
            <w:tcMar>
              <w:top w:w="168" w:type="dxa"/>
              <w:left w:w="72" w:type="dxa"/>
              <w:bottom w:w="168" w:type="dxa"/>
              <w:right w:w="72" w:type="dxa"/>
            </w:tcMar>
            <w:vAlign w:val="center"/>
            <w:hideMark/>
          </w:tcPr>
          <w:p w14:paraId="1179585E" w14:textId="77777777" w:rsidR="002812DC" w:rsidRPr="00DE096C" w:rsidRDefault="002812DC" w:rsidP="00D45A46">
            <w:pPr>
              <w:pStyle w:val="ae"/>
              <w:spacing w:before="0" w:beforeAutospacing="0" w:after="0" w:afterAutospacing="0"/>
              <w:jc w:val="both"/>
              <w:rPr>
                <w:bCs/>
                <w:color w:val="002060"/>
                <w:sz w:val="16"/>
                <w:szCs w:val="16"/>
              </w:rPr>
            </w:pPr>
            <w:r w:rsidRPr="00DE096C">
              <w:rPr>
                <w:bCs/>
                <w:color w:val="002060"/>
                <w:sz w:val="16"/>
                <w:szCs w:val="16"/>
              </w:rPr>
              <w:t>Севастополь (Смоленск?)</w:t>
            </w:r>
          </w:p>
        </w:tc>
        <w:tc>
          <w:tcPr>
            <w:tcW w:w="0" w:type="auto"/>
            <w:shd w:val="clear" w:color="auto" w:fill="FFFFFF"/>
            <w:tcMar>
              <w:top w:w="168" w:type="dxa"/>
              <w:left w:w="72" w:type="dxa"/>
              <w:bottom w:w="168" w:type="dxa"/>
              <w:right w:w="72" w:type="dxa"/>
            </w:tcMar>
            <w:vAlign w:val="center"/>
            <w:hideMark/>
          </w:tcPr>
          <w:p w14:paraId="773FC571" w14:textId="77777777" w:rsidR="002812DC" w:rsidRPr="00DE096C" w:rsidRDefault="002812DC" w:rsidP="00D45A46">
            <w:pPr>
              <w:pStyle w:val="ae"/>
              <w:spacing w:before="0" w:beforeAutospacing="0" w:after="0" w:afterAutospacing="0"/>
              <w:jc w:val="both"/>
              <w:rPr>
                <w:bCs/>
                <w:color w:val="002060"/>
                <w:sz w:val="16"/>
                <w:szCs w:val="16"/>
              </w:rPr>
            </w:pPr>
            <w:r w:rsidRPr="00DE096C">
              <w:rPr>
                <w:bCs/>
                <w:color w:val="002060"/>
                <w:sz w:val="16"/>
                <w:szCs w:val="16"/>
              </w:rPr>
              <w:t>капитан Воротников А.С.</w:t>
            </w:r>
          </w:p>
        </w:tc>
        <w:tc>
          <w:tcPr>
            <w:tcW w:w="0" w:type="auto"/>
            <w:shd w:val="clear" w:color="auto" w:fill="FFFFFF"/>
            <w:tcMar>
              <w:top w:w="168" w:type="dxa"/>
              <w:left w:w="72" w:type="dxa"/>
              <w:bottom w:w="168" w:type="dxa"/>
              <w:right w:w="72" w:type="dxa"/>
            </w:tcMar>
            <w:vAlign w:val="center"/>
            <w:hideMark/>
          </w:tcPr>
          <w:p w14:paraId="64868233" w14:textId="77777777" w:rsidR="002812DC" w:rsidRPr="00DE096C" w:rsidRDefault="002812DC" w:rsidP="00D45A46">
            <w:pPr>
              <w:pStyle w:val="ae"/>
              <w:spacing w:before="0" w:beforeAutospacing="0" w:after="0" w:afterAutospacing="0"/>
              <w:jc w:val="both"/>
              <w:rPr>
                <w:bCs/>
                <w:color w:val="002060"/>
                <w:sz w:val="16"/>
                <w:szCs w:val="16"/>
              </w:rPr>
            </w:pPr>
            <w:r w:rsidRPr="00DE096C">
              <w:rPr>
                <w:bCs/>
                <w:color w:val="002060"/>
                <w:sz w:val="16"/>
                <w:szCs w:val="16"/>
              </w:rPr>
              <w:t>Одесский военный округ</w:t>
            </w:r>
          </w:p>
        </w:tc>
      </w:tr>
      <w:tr w:rsidR="002812DC" w:rsidRPr="00DE096C" w14:paraId="3EB911E5" w14:textId="77777777" w:rsidTr="00FA616C">
        <w:trPr>
          <w:tblCellSpacing w:w="15" w:type="dxa"/>
        </w:trPr>
        <w:tc>
          <w:tcPr>
            <w:tcW w:w="0" w:type="auto"/>
            <w:shd w:val="clear" w:color="auto" w:fill="FFFFFF"/>
            <w:tcMar>
              <w:top w:w="168" w:type="dxa"/>
              <w:left w:w="72" w:type="dxa"/>
              <w:bottom w:w="168" w:type="dxa"/>
              <w:right w:w="72" w:type="dxa"/>
            </w:tcMar>
            <w:vAlign w:val="center"/>
            <w:hideMark/>
          </w:tcPr>
          <w:p w14:paraId="38C7DDF0" w14:textId="77777777" w:rsidR="002812DC" w:rsidRPr="00DE096C" w:rsidRDefault="002812DC" w:rsidP="00D45A46">
            <w:pPr>
              <w:pStyle w:val="ae"/>
              <w:spacing w:before="0" w:beforeAutospacing="0" w:after="0" w:afterAutospacing="0"/>
              <w:jc w:val="both"/>
              <w:rPr>
                <w:bCs/>
                <w:color w:val="002060"/>
                <w:sz w:val="16"/>
                <w:szCs w:val="16"/>
              </w:rPr>
            </w:pPr>
            <w:r w:rsidRPr="00DE096C">
              <w:rPr>
                <w:bCs/>
                <w:color w:val="002060"/>
                <w:sz w:val="16"/>
                <w:szCs w:val="16"/>
              </w:rPr>
              <w:t>3-й авиапарк</w:t>
            </w:r>
          </w:p>
        </w:tc>
        <w:tc>
          <w:tcPr>
            <w:tcW w:w="0" w:type="auto"/>
            <w:shd w:val="clear" w:color="auto" w:fill="FFFFFF"/>
            <w:tcMar>
              <w:top w:w="168" w:type="dxa"/>
              <w:left w:w="72" w:type="dxa"/>
              <w:bottom w:w="168" w:type="dxa"/>
              <w:right w:w="72" w:type="dxa"/>
            </w:tcMar>
            <w:vAlign w:val="center"/>
            <w:hideMark/>
          </w:tcPr>
          <w:p w14:paraId="669A1408" w14:textId="77777777" w:rsidR="002812DC" w:rsidRPr="00DE096C" w:rsidRDefault="002812DC" w:rsidP="00D45A46">
            <w:pPr>
              <w:pStyle w:val="ae"/>
              <w:spacing w:before="0" w:beforeAutospacing="0" w:after="0" w:afterAutospacing="0"/>
              <w:jc w:val="both"/>
              <w:rPr>
                <w:bCs/>
                <w:color w:val="002060"/>
                <w:sz w:val="16"/>
                <w:szCs w:val="16"/>
              </w:rPr>
            </w:pPr>
            <w:r w:rsidRPr="00DE096C">
              <w:rPr>
                <w:bCs/>
                <w:color w:val="002060"/>
                <w:sz w:val="16"/>
                <w:szCs w:val="16"/>
              </w:rPr>
              <w:t>23.06.1913 г.</w:t>
            </w:r>
          </w:p>
        </w:tc>
        <w:tc>
          <w:tcPr>
            <w:tcW w:w="0" w:type="auto"/>
            <w:shd w:val="clear" w:color="auto" w:fill="FFFFFF"/>
            <w:tcMar>
              <w:top w:w="168" w:type="dxa"/>
              <w:left w:w="72" w:type="dxa"/>
              <w:bottom w:w="168" w:type="dxa"/>
              <w:right w:w="72" w:type="dxa"/>
            </w:tcMar>
            <w:vAlign w:val="center"/>
            <w:hideMark/>
          </w:tcPr>
          <w:p w14:paraId="3FFF5A90" w14:textId="77777777" w:rsidR="002812DC" w:rsidRPr="00DE096C" w:rsidRDefault="002812DC" w:rsidP="00D45A46">
            <w:pPr>
              <w:pStyle w:val="ae"/>
              <w:spacing w:before="0" w:beforeAutospacing="0" w:after="0" w:afterAutospacing="0"/>
              <w:jc w:val="both"/>
              <w:rPr>
                <w:bCs/>
                <w:color w:val="002060"/>
                <w:sz w:val="16"/>
                <w:szCs w:val="16"/>
              </w:rPr>
            </w:pPr>
            <w:r w:rsidRPr="00DE096C">
              <w:rPr>
                <w:bCs/>
                <w:color w:val="002060"/>
                <w:sz w:val="16"/>
                <w:szCs w:val="16"/>
              </w:rPr>
              <w:t>Киев</w:t>
            </w:r>
          </w:p>
        </w:tc>
        <w:tc>
          <w:tcPr>
            <w:tcW w:w="0" w:type="auto"/>
            <w:shd w:val="clear" w:color="auto" w:fill="FFFFFF"/>
            <w:tcMar>
              <w:top w:w="168" w:type="dxa"/>
              <w:left w:w="72" w:type="dxa"/>
              <w:bottom w:w="168" w:type="dxa"/>
              <w:right w:w="72" w:type="dxa"/>
            </w:tcMar>
            <w:vAlign w:val="center"/>
            <w:hideMark/>
          </w:tcPr>
          <w:p w14:paraId="4242101E" w14:textId="77777777" w:rsidR="002812DC" w:rsidRPr="00DE096C" w:rsidRDefault="002812DC" w:rsidP="00D45A46">
            <w:pPr>
              <w:pStyle w:val="ae"/>
              <w:spacing w:before="0" w:beforeAutospacing="0" w:after="0" w:afterAutospacing="0"/>
              <w:jc w:val="both"/>
              <w:rPr>
                <w:bCs/>
                <w:color w:val="002060"/>
                <w:sz w:val="16"/>
                <w:szCs w:val="16"/>
              </w:rPr>
            </w:pPr>
            <w:r w:rsidRPr="00DE096C">
              <w:rPr>
                <w:bCs/>
                <w:color w:val="002060"/>
                <w:sz w:val="16"/>
                <w:szCs w:val="16"/>
              </w:rPr>
              <w:t>подполковник Глубоковский Н.П.</w:t>
            </w:r>
          </w:p>
        </w:tc>
        <w:tc>
          <w:tcPr>
            <w:tcW w:w="0" w:type="auto"/>
            <w:shd w:val="clear" w:color="auto" w:fill="FFFFFF"/>
            <w:tcMar>
              <w:top w:w="168" w:type="dxa"/>
              <w:left w:w="72" w:type="dxa"/>
              <w:bottom w:w="168" w:type="dxa"/>
              <w:right w:w="72" w:type="dxa"/>
            </w:tcMar>
            <w:vAlign w:val="center"/>
            <w:hideMark/>
          </w:tcPr>
          <w:p w14:paraId="7B712583" w14:textId="77777777" w:rsidR="002812DC" w:rsidRPr="00DE096C" w:rsidRDefault="002812DC" w:rsidP="00D45A46">
            <w:pPr>
              <w:pStyle w:val="ae"/>
              <w:spacing w:before="0" w:beforeAutospacing="0" w:after="0" w:afterAutospacing="0"/>
              <w:jc w:val="both"/>
              <w:rPr>
                <w:bCs/>
                <w:color w:val="002060"/>
                <w:sz w:val="16"/>
                <w:szCs w:val="16"/>
              </w:rPr>
            </w:pPr>
            <w:r w:rsidRPr="00DE096C">
              <w:rPr>
                <w:bCs/>
                <w:color w:val="002060"/>
                <w:sz w:val="16"/>
                <w:szCs w:val="16"/>
              </w:rPr>
              <w:t>Киевский военный округ; Юго-Западный фронт</w:t>
            </w:r>
          </w:p>
        </w:tc>
      </w:tr>
      <w:tr w:rsidR="002812DC" w:rsidRPr="00DE096C" w14:paraId="360F0F20" w14:textId="77777777" w:rsidTr="00FA616C">
        <w:trPr>
          <w:tblCellSpacing w:w="15" w:type="dxa"/>
        </w:trPr>
        <w:tc>
          <w:tcPr>
            <w:tcW w:w="0" w:type="auto"/>
            <w:shd w:val="clear" w:color="auto" w:fill="FFFFFF"/>
            <w:tcMar>
              <w:top w:w="168" w:type="dxa"/>
              <w:left w:w="72" w:type="dxa"/>
              <w:bottom w:w="168" w:type="dxa"/>
              <w:right w:w="72" w:type="dxa"/>
            </w:tcMar>
            <w:vAlign w:val="center"/>
            <w:hideMark/>
          </w:tcPr>
          <w:p w14:paraId="5CF0490B" w14:textId="77777777" w:rsidR="002812DC" w:rsidRPr="00DE096C" w:rsidRDefault="002812DC" w:rsidP="00D45A46">
            <w:pPr>
              <w:pStyle w:val="ae"/>
              <w:spacing w:before="0" w:beforeAutospacing="0" w:after="0" w:afterAutospacing="0"/>
              <w:jc w:val="both"/>
              <w:rPr>
                <w:bCs/>
                <w:color w:val="002060"/>
                <w:sz w:val="16"/>
                <w:szCs w:val="16"/>
              </w:rPr>
            </w:pPr>
            <w:r w:rsidRPr="00DE096C">
              <w:rPr>
                <w:bCs/>
                <w:color w:val="002060"/>
                <w:sz w:val="16"/>
                <w:szCs w:val="16"/>
              </w:rPr>
              <w:t>4-й авиапарк</w:t>
            </w:r>
          </w:p>
        </w:tc>
        <w:tc>
          <w:tcPr>
            <w:tcW w:w="0" w:type="auto"/>
            <w:shd w:val="clear" w:color="auto" w:fill="FFFFFF"/>
            <w:tcMar>
              <w:top w:w="168" w:type="dxa"/>
              <w:left w:w="72" w:type="dxa"/>
              <w:bottom w:w="168" w:type="dxa"/>
              <w:right w:w="72" w:type="dxa"/>
            </w:tcMar>
            <w:vAlign w:val="center"/>
            <w:hideMark/>
          </w:tcPr>
          <w:p w14:paraId="092F1672" w14:textId="77777777" w:rsidR="002812DC" w:rsidRPr="00DE096C" w:rsidRDefault="002812DC" w:rsidP="00D45A46">
            <w:pPr>
              <w:pStyle w:val="ae"/>
              <w:spacing w:before="0" w:beforeAutospacing="0" w:after="0" w:afterAutospacing="0"/>
              <w:jc w:val="both"/>
              <w:rPr>
                <w:bCs/>
                <w:color w:val="002060"/>
                <w:sz w:val="16"/>
                <w:szCs w:val="16"/>
              </w:rPr>
            </w:pPr>
            <w:r w:rsidRPr="00DE096C">
              <w:rPr>
                <w:bCs/>
                <w:color w:val="002060"/>
                <w:sz w:val="16"/>
                <w:szCs w:val="16"/>
              </w:rPr>
              <w:t>начало лета 1914</w:t>
            </w:r>
          </w:p>
        </w:tc>
        <w:tc>
          <w:tcPr>
            <w:tcW w:w="0" w:type="auto"/>
            <w:shd w:val="clear" w:color="auto" w:fill="FFFFFF"/>
            <w:tcMar>
              <w:top w:w="168" w:type="dxa"/>
              <w:left w:w="72" w:type="dxa"/>
              <w:bottom w:w="168" w:type="dxa"/>
              <w:right w:w="72" w:type="dxa"/>
            </w:tcMar>
            <w:vAlign w:val="center"/>
            <w:hideMark/>
          </w:tcPr>
          <w:p w14:paraId="6E7CD905" w14:textId="77777777" w:rsidR="002812DC" w:rsidRPr="00DE096C" w:rsidRDefault="002812DC" w:rsidP="00D45A46">
            <w:pPr>
              <w:pStyle w:val="ae"/>
              <w:spacing w:before="0" w:beforeAutospacing="0" w:after="0" w:afterAutospacing="0"/>
              <w:jc w:val="both"/>
              <w:rPr>
                <w:bCs/>
                <w:color w:val="002060"/>
                <w:sz w:val="16"/>
                <w:szCs w:val="16"/>
              </w:rPr>
            </w:pPr>
            <w:r w:rsidRPr="00DE096C">
              <w:rPr>
                <w:bCs/>
                <w:color w:val="002060"/>
                <w:sz w:val="16"/>
                <w:szCs w:val="16"/>
              </w:rPr>
              <w:t>Лида, Винница, Витебск</w:t>
            </w:r>
          </w:p>
        </w:tc>
        <w:tc>
          <w:tcPr>
            <w:tcW w:w="0" w:type="auto"/>
            <w:shd w:val="clear" w:color="auto" w:fill="FFFFFF"/>
            <w:tcMar>
              <w:top w:w="168" w:type="dxa"/>
              <w:left w:w="72" w:type="dxa"/>
              <w:bottom w:w="168" w:type="dxa"/>
              <w:right w:w="72" w:type="dxa"/>
            </w:tcMar>
            <w:vAlign w:val="center"/>
            <w:hideMark/>
          </w:tcPr>
          <w:p w14:paraId="469E8B34" w14:textId="77777777" w:rsidR="002812DC" w:rsidRPr="00DE096C" w:rsidRDefault="002812DC" w:rsidP="00D45A46">
            <w:pPr>
              <w:pStyle w:val="ae"/>
              <w:spacing w:before="0" w:beforeAutospacing="0" w:after="0" w:afterAutospacing="0"/>
              <w:jc w:val="both"/>
              <w:rPr>
                <w:bCs/>
                <w:color w:val="002060"/>
                <w:sz w:val="16"/>
                <w:szCs w:val="16"/>
              </w:rPr>
            </w:pPr>
            <w:r w:rsidRPr="00DE096C">
              <w:rPr>
                <w:bCs/>
                <w:color w:val="002060"/>
                <w:sz w:val="16"/>
                <w:szCs w:val="16"/>
              </w:rPr>
              <w:t>капитан Макаров Д.А.</w:t>
            </w:r>
          </w:p>
        </w:tc>
        <w:tc>
          <w:tcPr>
            <w:tcW w:w="0" w:type="auto"/>
            <w:shd w:val="clear" w:color="auto" w:fill="FFFFFF"/>
            <w:tcMar>
              <w:top w:w="168" w:type="dxa"/>
              <w:left w:w="72" w:type="dxa"/>
              <w:bottom w:w="168" w:type="dxa"/>
              <w:right w:w="72" w:type="dxa"/>
            </w:tcMar>
            <w:vAlign w:val="center"/>
            <w:hideMark/>
          </w:tcPr>
          <w:p w14:paraId="4B4F236E" w14:textId="77777777" w:rsidR="002812DC" w:rsidRPr="00DE096C" w:rsidRDefault="002812DC" w:rsidP="00D45A46">
            <w:pPr>
              <w:pStyle w:val="ae"/>
              <w:spacing w:before="0" w:beforeAutospacing="0" w:after="0" w:afterAutospacing="0"/>
              <w:jc w:val="both"/>
              <w:rPr>
                <w:bCs/>
                <w:color w:val="002060"/>
                <w:sz w:val="16"/>
                <w:szCs w:val="16"/>
              </w:rPr>
            </w:pPr>
            <w:r w:rsidRPr="00DE096C">
              <w:rPr>
                <w:bCs/>
                <w:color w:val="002060"/>
                <w:sz w:val="16"/>
                <w:szCs w:val="16"/>
              </w:rPr>
              <w:t>Виленский военный округ. Западный фронт</w:t>
            </w:r>
          </w:p>
        </w:tc>
      </w:tr>
      <w:tr w:rsidR="002812DC" w:rsidRPr="00DE096C" w14:paraId="17B61D0E" w14:textId="77777777" w:rsidTr="00FA616C">
        <w:trPr>
          <w:tblCellSpacing w:w="15" w:type="dxa"/>
        </w:trPr>
        <w:tc>
          <w:tcPr>
            <w:tcW w:w="0" w:type="auto"/>
            <w:shd w:val="clear" w:color="auto" w:fill="FFFFFF"/>
            <w:tcMar>
              <w:top w:w="168" w:type="dxa"/>
              <w:left w:w="72" w:type="dxa"/>
              <w:bottom w:w="168" w:type="dxa"/>
              <w:right w:w="72" w:type="dxa"/>
            </w:tcMar>
            <w:vAlign w:val="center"/>
            <w:hideMark/>
          </w:tcPr>
          <w:p w14:paraId="7AC40222" w14:textId="77777777" w:rsidR="002812DC" w:rsidRPr="00DE096C" w:rsidRDefault="002812DC" w:rsidP="00D45A46">
            <w:pPr>
              <w:pStyle w:val="ae"/>
              <w:spacing w:before="0" w:beforeAutospacing="0" w:after="0" w:afterAutospacing="0"/>
              <w:jc w:val="both"/>
              <w:rPr>
                <w:bCs/>
                <w:color w:val="002060"/>
                <w:sz w:val="16"/>
                <w:szCs w:val="16"/>
              </w:rPr>
            </w:pPr>
            <w:r w:rsidRPr="00DE096C">
              <w:rPr>
                <w:bCs/>
                <w:color w:val="002060"/>
                <w:sz w:val="16"/>
                <w:szCs w:val="16"/>
              </w:rPr>
              <w:t>5-й авиапарк</w:t>
            </w:r>
          </w:p>
        </w:tc>
        <w:tc>
          <w:tcPr>
            <w:tcW w:w="0" w:type="auto"/>
            <w:shd w:val="clear" w:color="auto" w:fill="FFFFFF"/>
            <w:tcMar>
              <w:top w:w="168" w:type="dxa"/>
              <w:left w:w="72" w:type="dxa"/>
              <w:bottom w:w="168" w:type="dxa"/>
              <w:right w:w="72" w:type="dxa"/>
            </w:tcMar>
            <w:vAlign w:val="center"/>
            <w:hideMark/>
          </w:tcPr>
          <w:p w14:paraId="4C92C571" w14:textId="77777777" w:rsidR="002812DC" w:rsidRPr="00DE096C" w:rsidRDefault="002812DC" w:rsidP="00D45A46">
            <w:pPr>
              <w:pStyle w:val="ae"/>
              <w:spacing w:before="0" w:beforeAutospacing="0" w:after="0" w:afterAutospacing="0"/>
              <w:jc w:val="both"/>
              <w:rPr>
                <w:bCs/>
                <w:color w:val="002060"/>
                <w:sz w:val="16"/>
                <w:szCs w:val="16"/>
              </w:rPr>
            </w:pPr>
            <w:r w:rsidRPr="00DE096C">
              <w:rPr>
                <w:bCs/>
                <w:color w:val="002060"/>
                <w:sz w:val="16"/>
                <w:szCs w:val="16"/>
              </w:rPr>
              <w:t>начало лета 1914</w:t>
            </w:r>
          </w:p>
        </w:tc>
        <w:tc>
          <w:tcPr>
            <w:tcW w:w="0" w:type="auto"/>
            <w:shd w:val="clear" w:color="auto" w:fill="FFFFFF"/>
            <w:tcMar>
              <w:top w:w="168" w:type="dxa"/>
              <w:left w:w="72" w:type="dxa"/>
              <w:bottom w:w="168" w:type="dxa"/>
              <w:right w:w="72" w:type="dxa"/>
            </w:tcMar>
            <w:vAlign w:val="center"/>
            <w:hideMark/>
          </w:tcPr>
          <w:p w14:paraId="35AD59E4" w14:textId="77777777" w:rsidR="002812DC" w:rsidRPr="00DE096C" w:rsidRDefault="002812DC" w:rsidP="00D45A46">
            <w:pPr>
              <w:pStyle w:val="ae"/>
              <w:spacing w:before="0" w:beforeAutospacing="0" w:after="0" w:afterAutospacing="0"/>
              <w:jc w:val="both"/>
              <w:rPr>
                <w:bCs/>
                <w:color w:val="002060"/>
                <w:sz w:val="16"/>
                <w:szCs w:val="16"/>
              </w:rPr>
            </w:pPr>
            <w:r w:rsidRPr="00DE096C">
              <w:rPr>
                <w:bCs/>
                <w:color w:val="002060"/>
                <w:sz w:val="16"/>
                <w:szCs w:val="16"/>
              </w:rPr>
              <w:t>Бронницы, Брянск, (Смоленск)</w:t>
            </w:r>
          </w:p>
        </w:tc>
        <w:tc>
          <w:tcPr>
            <w:tcW w:w="0" w:type="auto"/>
            <w:shd w:val="clear" w:color="auto" w:fill="FFFFFF"/>
            <w:tcMar>
              <w:top w:w="168" w:type="dxa"/>
              <w:left w:w="72" w:type="dxa"/>
              <w:bottom w:w="168" w:type="dxa"/>
              <w:right w:w="72" w:type="dxa"/>
            </w:tcMar>
            <w:vAlign w:val="center"/>
            <w:hideMark/>
          </w:tcPr>
          <w:p w14:paraId="565E5180" w14:textId="77777777" w:rsidR="002812DC" w:rsidRPr="00DE096C" w:rsidRDefault="002812DC" w:rsidP="00D45A46">
            <w:pPr>
              <w:pStyle w:val="ae"/>
              <w:spacing w:before="0" w:beforeAutospacing="0" w:after="0" w:afterAutospacing="0"/>
              <w:jc w:val="both"/>
              <w:rPr>
                <w:bCs/>
                <w:color w:val="002060"/>
                <w:sz w:val="16"/>
                <w:szCs w:val="16"/>
              </w:rPr>
            </w:pPr>
            <w:r w:rsidRPr="00DE096C">
              <w:rPr>
                <w:bCs/>
                <w:color w:val="002060"/>
                <w:sz w:val="16"/>
                <w:szCs w:val="16"/>
              </w:rPr>
              <w:t>подполковник П.В. Голубов</w:t>
            </w:r>
          </w:p>
        </w:tc>
        <w:tc>
          <w:tcPr>
            <w:tcW w:w="0" w:type="auto"/>
            <w:shd w:val="clear" w:color="auto" w:fill="FFFFFF"/>
            <w:tcMar>
              <w:top w:w="168" w:type="dxa"/>
              <w:left w:w="72" w:type="dxa"/>
              <w:bottom w:w="168" w:type="dxa"/>
              <w:right w:w="72" w:type="dxa"/>
            </w:tcMar>
            <w:vAlign w:val="center"/>
            <w:hideMark/>
          </w:tcPr>
          <w:p w14:paraId="7B6974E3" w14:textId="77777777" w:rsidR="002812DC" w:rsidRPr="00DE096C" w:rsidRDefault="002812DC" w:rsidP="00D45A46">
            <w:pPr>
              <w:pStyle w:val="ae"/>
              <w:spacing w:before="0" w:beforeAutospacing="0" w:after="0" w:afterAutospacing="0"/>
              <w:jc w:val="both"/>
              <w:rPr>
                <w:bCs/>
                <w:color w:val="002060"/>
                <w:sz w:val="16"/>
                <w:szCs w:val="16"/>
              </w:rPr>
            </w:pPr>
            <w:r w:rsidRPr="00DE096C">
              <w:rPr>
                <w:bCs/>
                <w:color w:val="002060"/>
                <w:sz w:val="16"/>
                <w:szCs w:val="16"/>
              </w:rPr>
              <w:t>Московский военный округ. Западный фронт</w:t>
            </w:r>
          </w:p>
        </w:tc>
      </w:tr>
      <w:tr w:rsidR="002812DC" w:rsidRPr="00DE096C" w14:paraId="5CEE9901" w14:textId="77777777" w:rsidTr="00FA616C">
        <w:trPr>
          <w:tblCellSpacing w:w="15" w:type="dxa"/>
        </w:trPr>
        <w:tc>
          <w:tcPr>
            <w:tcW w:w="0" w:type="auto"/>
            <w:shd w:val="clear" w:color="auto" w:fill="FFFFFF"/>
            <w:tcMar>
              <w:top w:w="168" w:type="dxa"/>
              <w:left w:w="72" w:type="dxa"/>
              <w:bottom w:w="168" w:type="dxa"/>
              <w:right w:w="72" w:type="dxa"/>
            </w:tcMar>
            <w:vAlign w:val="center"/>
            <w:hideMark/>
          </w:tcPr>
          <w:p w14:paraId="40856DD7" w14:textId="77777777" w:rsidR="002812DC" w:rsidRPr="00DE096C" w:rsidRDefault="002812DC" w:rsidP="00D45A46">
            <w:pPr>
              <w:pStyle w:val="ae"/>
              <w:spacing w:before="0" w:beforeAutospacing="0" w:after="0" w:afterAutospacing="0"/>
              <w:jc w:val="both"/>
              <w:rPr>
                <w:bCs/>
                <w:color w:val="002060"/>
                <w:sz w:val="16"/>
                <w:szCs w:val="16"/>
              </w:rPr>
            </w:pPr>
            <w:r w:rsidRPr="00DE096C">
              <w:rPr>
                <w:bCs/>
                <w:color w:val="002060"/>
                <w:sz w:val="16"/>
                <w:szCs w:val="16"/>
              </w:rPr>
              <w:t>6-й авиапарк</w:t>
            </w:r>
          </w:p>
        </w:tc>
        <w:tc>
          <w:tcPr>
            <w:tcW w:w="0" w:type="auto"/>
            <w:shd w:val="clear" w:color="auto" w:fill="FFFFFF"/>
            <w:tcMar>
              <w:top w:w="168" w:type="dxa"/>
              <w:left w:w="72" w:type="dxa"/>
              <w:bottom w:w="168" w:type="dxa"/>
              <w:right w:w="72" w:type="dxa"/>
            </w:tcMar>
            <w:vAlign w:val="center"/>
            <w:hideMark/>
          </w:tcPr>
          <w:p w14:paraId="59D39D15" w14:textId="77777777" w:rsidR="002812DC" w:rsidRPr="00DE096C" w:rsidRDefault="002812DC" w:rsidP="00D45A46">
            <w:pPr>
              <w:pStyle w:val="ae"/>
              <w:spacing w:before="0" w:beforeAutospacing="0" w:after="0" w:afterAutospacing="0"/>
              <w:jc w:val="both"/>
              <w:rPr>
                <w:bCs/>
                <w:color w:val="002060"/>
                <w:sz w:val="16"/>
                <w:szCs w:val="16"/>
              </w:rPr>
            </w:pPr>
            <w:r w:rsidRPr="00DE096C">
              <w:rPr>
                <w:bCs/>
                <w:color w:val="002060"/>
                <w:sz w:val="16"/>
                <w:szCs w:val="16"/>
              </w:rPr>
              <w:t>начало лета 1914</w:t>
            </w:r>
          </w:p>
        </w:tc>
        <w:tc>
          <w:tcPr>
            <w:tcW w:w="0" w:type="auto"/>
            <w:shd w:val="clear" w:color="auto" w:fill="FFFFFF"/>
            <w:tcMar>
              <w:top w:w="168" w:type="dxa"/>
              <w:left w:w="72" w:type="dxa"/>
              <w:bottom w:w="168" w:type="dxa"/>
              <w:right w:w="72" w:type="dxa"/>
            </w:tcMar>
            <w:vAlign w:val="center"/>
            <w:hideMark/>
          </w:tcPr>
          <w:p w14:paraId="263E0F83" w14:textId="77777777" w:rsidR="002812DC" w:rsidRPr="00DE096C" w:rsidRDefault="002812DC" w:rsidP="00D45A46">
            <w:pPr>
              <w:pStyle w:val="ae"/>
              <w:spacing w:before="0" w:beforeAutospacing="0" w:after="0" w:afterAutospacing="0"/>
              <w:jc w:val="both"/>
              <w:rPr>
                <w:bCs/>
                <w:color w:val="002060"/>
                <w:sz w:val="16"/>
                <w:szCs w:val="16"/>
              </w:rPr>
            </w:pPr>
            <w:r w:rsidRPr="00DE096C">
              <w:rPr>
                <w:bCs/>
                <w:color w:val="002060"/>
                <w:sz w:val="16"/>
                <w:szCs w:val="16"/>
              </w:rPr>
              <w:t>Жмеринка</w:t>
            </w:r>
          </w:p>
        </w:tc>
        <w:tc>
          <w:tcPr>
            <w:tcW w:w="0" w:type="auto"/>
            <w:shd w:val="clear" w:color="auto" w:fill="FFFFFF"/>
            <w:tcMar>
              <w:top w:w="168" w:type="dxa"/>
              <w:left w:w="72" w:type="dxa"/>
              <w:bottom w:w="168" w:type="dxa"/>
              <w:right w:w="72" w:type="dxa"/>
            </w:tcMar>
            <w:vAlign w:val="center"/>
            <w:hideMark/>
          </w:tcPr>
          <w:p w14:paraId="35E5E91C" w14:textId="77777777" w:rsidR="002812DC" w:rsidRPr="00DE096C" w:rsidRDefault="002812DC" w:rsidP="00D45A46">
            <w:pPr>
              <w:pStyle w:val="ae"/>
              <w:spacing w:before="0" w:beforeAutospacing="0" w:after="0" w:afterAutospacing="0"/>
              <w:jc w:val="both"/>
              <w:rPr>
                <w:bCs/>
                <w:color w:val="002060"/>
                <w:sz w:val="16"/>
                <w:szCs w:val="16"/>
              </w:rPr>
            </w:pPr>
            <w:r w:rsidRPr="00DE096C">
              <w:rPr>
                <w:bCs/>
                <w:color w:val="002060"/>
                <w:sz w:val="16"/>
                <w:szCs w:val="16"/>
              </w:rPr>
              <w:t>капитан В.А.</w:t>
            </w:r>
          </w:p>
        </w:tc>
        <w:tc>
          <w:tcPr>
            <w:tcW w:w="0" w:type="auto"/>
            <w:shd w:val="clear" w:color="auto" w:fill="FFFFFF"/>
            <w:tcMar>
              <w:top w:w="168" w:type="dxa"/>
              <w:left w:w="72" w:type="dxa"/>
              <w:bottom w:w="168" w:type="dxa"/>
              <w:right w:w="72" w:type="dxa"/>
            </w:tcMar>
            <w:vAlign w:val="center"/>
            <w:hideMark/>
          </w:tcPr>
          <w:p w14:paraId="502CACD0" w14:textId="77777777" w:rsidR="002812DC" w:rsidRPr="00DE096C" w:rsidRDefault="002812DC" w:rsidP="00D45A46">
            <w:pPr>
              <w:pStyle w:val="ae"/>
              <w:spacing w:before="0" w:beforeAutospacing="0" w:after="0" w:afterAutospacing="0"/>
              <w:jc w:val="both"/>
              <w:rPr>
                <w:bCs/>
                <w:color w:val="002060"/>
                <w:sz w:val="16"/>
                <w:szCs w:val="16"/>
              </w:rPr>
            </w:pPr>
            <w:r w:rsidRPr="00DE096C">
              <w:rPr>
                <w:bCs/>
                <w:color w:val="002060"/>
                <w:sz w:val="16"/>
                <w:szCs w:val="16"/>
              </w:rPr>
              <w:t>Сформирован в Чите, затем в Одессу. Юго-Западный фронт</w:t>
            </w:r>
          </w:p>
        </w:tc>
      </w:tr>
      <w:tr w:rsidR="002812DC" w:rsidRPr="00DE096C" w14:paraId="494CCBF5" w14:textId="77777777" w:rsidTr="00FA616C">
        <w:trPr>
          <w:tblCellSpacing w:w="15" w:type="dxa"/>
        </w:trPr>
        <w:tc>
          <w:tcPr>
            <w:tcW w:w="0" w:type="auto"/>
            <w:shd w:val="clear" w:color="auto" w:fill="FFFFFF"/>
            <w:tcMar>
              <w:top w:w="168" w:type="dxa"/>
              <w:left w:w="72" w:type="dxa"/>
              <w:bottom w:w="168" w:type="dxa"/>
              <w:right w:w="72" w:type="dxa"/>
            </w:tcMar>
            <w:vAlign w:val="center"/>
            <w:hideMark/>
          </w:tcPr>
          <w:p w14:paraId="4870955A" w14:textId="77777777" w:rsidR="002812DC" w:rsidRPr="00DE096C" w:rsidRDefault="002812DC" w:rsidP="00D45A46">
            <w:pPr>
              <w:pStyle w:val="ae"/>
              <w:spacing w:before="0" w:beforeAutospacing="0" w:after="0" w:afterAutospacing="0"/>
              <w:jc w:val="both"/>
              <w:rPr>
                <w:bCs/>
                <w:color w:val="002060"/>
                <w:sz w:val="16"/>
                <w:szCs w:val="16"/>
              </w:rPr>
            </w:pPr>
            <w:r w:rsidRPr="00DE096C">
              <w:rPr>
                <w:bCs/>
                <w:color w:val="002060"/>
                <w:sz w:val="16"/>
                <w:szCs w:val="16"/>
              </w:rPr>
              <w:t>7-й авиапарк</w:t>
            </w:r>
          </w:p>
        </w:tc>
        <w:tc>
          <w:tcPr>
            <w:tcW w:w="0" w:type="auto"/>
            <w:shd w:val="clear" w:color="auto" w:fill="FFFFFF"/>
            <w:tcMar>
              <w:top w:w="168" w:type="dxa"/>
              <w:left w:w="72" w:type="dxa"/>
              <w:bottom w:w="168" w:type="dxa"/>
              <w:right w:w="72" w:type="dxa"/>
            </w:tcMar>
            <w:vAlign w:val="center"/>
            <w:hideMark/>
          </w:tcPr>
          <w:p w14:paraId="221E7D4E" w14:textId="77777777" w:rsidR="002812DC" w:rsidRPr="00DE096C" w:rsidRDefault="002812DC" w:rsidP="00D45A46">
            <w:pPr>
              <w:pStyle w:val="ae"/>
              <w:spacing w:before="0" w:beforeAutospacing="0" w:after="0" w:afterAutospacing="0"/>
              <w:jc w:val="both"/>
              <w:rPr>
                <w:bCs/>
                <w:color w:val="002060"/>
                <w:sz w:val="16"/>
                <w:szCs w:val="16"/>
              </w:rPr>
            </w:pPr>
            <w:r w:rsidRPr="00DE096C">
              <w:rPr>
                <w:bCs/>
                <w:color w:val="002060"/>
                <w:sz w:val="16"/>
                <w:szCs w:val="16"/>
              </w:rPr>
              <w:t>начало лета 1914</w:t>
            </w:r>
          </w:p>
        </w:tc>
        <w:tc>
          <w:tcPr>
            <w:tcW w:w="0" w:type="auto"/>
            <w:shd w:val="clear" w:color="auto" w:fill="FFFFFF"/>
            <w:tcMar>
              <w:top w:w="168" w:type="dxa"/>
              <w:left w:w="72" w:type="dxa"/>
              <w:bottom w:w="168" w:type="dxa"/>
              <w:right w:w="72" w:type="dxa"/>
            </w:tcMar>
            <w:vAlign w:val="center"/>
            <w:hideMark/>
          </w:tcPr>
          <w:p w14:paraId="06B9EA7D" w14:textId="77777777" w:rsidR="002812DC" w:rsidRPr="00DE096C" w:rsidRDefault="002812DC" w:rsidP="00D45A46">
            <w:pPr>
              <w:pStyle w:val="ae"/>
              <w:spacing w:before="0" w:beforeAutospacing="0" w:after="0" w:afterAutospacing="0"/>
              <w:jc w:val="both"/>
              <w:rPr>
                <w:bCs/>
                <w:color w:val="002060"/>
                <w:sz w:val="16"/>
                <w:szCs w:val="16"/>
              </w:rPr>
            </w:pPr>
            <w:r w:rsidRPr="00DE096C">
              <w:rPr>
                <w:bCs/>
                <w:color w:val="002060"/>
                <w:sz w:val="16"/>
                <w:szCs w:val="16"/>
              </w:rPr>
              <w:t>Псков</w:t>
            </w:r>
          </w:p>
        </w:tc>
        <w:tc>
          <w:tcPr>
            <w:tcW w:w="0" w:type="auto"/>
            <w:shd w:val="clear" w:color="auto" w:fill="FFFFFF"/>
            <w:tcMar>
              <w:top w:w="168" w:type="dxa"/>
              <w:left w:w="72" w:type="dxa"/>
              <w:bottom w:w="168" w:type="dxa"/>
              <w:right w:w="72" w:type="dxa"/>
            </w:tcMar>
            <w:vAlign w:val="center"/>
            <w:hideMark/>
          </w:tcPr>
          <w:p w14:paraId="25656606" w14:textId="77777777" w:rsidR="002812DC" w:rsidRPr="00DE096C" w:rsidRDefault="002812DC" w:rsidP="00D45A46">
            <w:pPr>
              <w:pStyle w:val="ae"/>
              <w:spacing w:before="0" w:beforeAutospacing="0" w:after="0" w:afterAutospacing="0"/>
              <w:jc w:val="both"/>
              <w:rPr>
                <w:bCs/>
                <w:color w:val="002060"/>
                <w:sz w:val="16"/>
                <w:szCs w:val="16"/>
              </w:rPr>
            </w:pPr>
            <w:r w:rsidRPr="00DE096C">
              <w:rPr>
                <w:bCs/>
                <w:color w:val="002060"/>
                <w:sz w:val="16"/>
                <w:szCs w:val="16"/>
              </w:rPr>
              <w:t>капитан С.А. Бойно-Родзевич</w:t>
            </w:r>
          </w:p>
        </w:tc>
        <w:tc>
          <w:tcPr>
            <w:tcW w:w="0" w:type="auto"/>
            <w:shd w:val="clear" w:color="auto" w:fill="FFFFFF"/>
            <w:tcMar>
              <w:top w:w="168" w:type="dxa"/>
              <w:left w:w="72" w:type="dxa"/>
              <w:bottom w:w="168" w:type="dxa"/>
              <w:right w:w="72" w:type="dxa"/>
            </w:tcMar>
            <w:vAlign w:val="center"/>
            <w:hideMark/>
          </w:tcPr>
          <w:p w14:paraId="3E07B8E4" w14:textId="77777777" w:rsidR="002812DC" w:rsidRPr="00DE096C" w:rsidRDefault="002812DC" w:rsidP="00D45A46">
            <w:pPr>
              <w:pStyle w:val="ae"/>
              <w:spacing w:before="0" w:beforeAutospacing="0" w:after="0" w:afterAutospacing="0"/>
              <w:jc w:val="both"/>
              <w:rPr>
                <w:bCs/>
                <w:color w:val="002060"/>
                <w:sz w:val="16"/>
                <w:szCs w:val="16"/>
              </w:rPr>
            </w:pPr>
            <w:r w:rsidRPr="00DE096C">
              <w:rPr>
                <w:bCs/>
                <w:color w:val="002060"/>
                <w:sz w:val="16"/>
                <w:szCs w:val="16"/>
              </w:rPr>
              <w:t>Северный фронт, (северо-западный)</w:t>
            </w:r>
          </w:p>
        </w:tc>
      </w:tr>
      <w:tr w:rsidR="002812DC" w:rsidRPr="00DE096C" w14:paraId="7963227F" w14:textId="77777777" w:rsidTr="00FA616C">
        <w:trPr>
          <w:tblCellSpacing w:w="15" w:type="dxa"/>
        </w:trPr>
        <w:tc>
          <w:tcPr>
            <w:tcW w:w="0" w:type="auto"/>
            <w:shd w:val="clear" w:color="auto" w:fill="FFFFFF"/>
            <w:tcMar>
              <w:top w:w="168" w:type="dxa"/>
              <w:left w:w="72" w:type="dxa"/>
              <w:bottom w:w="168" w:type="dxa"/>
              <w:right w:w="72" w:type="dxa"/>
            </w:tcMar>
            <w:vAlign w:val="center"/>
            <w:hideMark/>
          </w:tcPr>
          <w:p w14:paraId="22395AA2" w14:textId="77777777" w:rsidR="002812DC" w:rsidRPr="00DE096C" w:rsidRDefault="002812DC" w:rsidP="00D45A46">
            <w:pPr>
              <w:pStyle w:val="ae"/>
              <w:spacing w:before="0" w:beforeAutospacing="0" w:after="0" w:afterAutospacing="0"/>
              <w:jc w:val="both"/>
              <w:rPr>
                <w:bCs/>
                <w:color w:val="002060"/>
                <w:sz w:val="16"/>
                <w:szCs w:val="16"/>
              </w:rPr>
            </w:pPr>
            <w:r w:rsidRPr="00DE096C">
              <w:rPr>
                <w:bCs/>
                <w:color w:val="002060"/>
                <w:sz w:val="16"/>
                <w:szCs w:val="16"/>
              </w:rPr>
              <w:t>Кавказский авиапарк</w:t>
            </w:r>
          </w:p>
        </w:tc>
        <w:tc>
          <w:tcPr>
            <w:tcW w:w="0" w:type="auto"/>
            <w:shd w:val="clear" w:color="auto" w:fill="FFFFFF"/>
            <w:tcMar>
              <w:top w:w="168" w:type="dxa"/>
              <w:left w:w="72" w:type="dxa"/>
              <w:bottom w:w="168" w:type="dxa"/>
              <w:right w:w="72" w:type="dxa"/>
            </w:tcMar>
            <w:vAlign w:val="center"/>
            <w:hideMark/>
          </w:tcPr>
          <w:p w14:paraId="0D56D085" w14:textId="7E24D000" w:rsidR="002812DC" w:rsidRPr="00DE096C" w:rsidRDefault="0006581C" w:rsidP="00D45A46">
            <w:pPr>
              <w:pStyle w:val="ae"/>
              <w:spacing w:before="0" w:beforeAutospacing="0" w:after="0" w:afterAutospacing="0"/>
              <w:jc w:val="both"/>
              <w:rPr>
                <w:bCs/>
                <w:color w:val="002060"/>
                <w:sz w:val="16"/>
                <w:szCs w:val="16"/>
              </w:rPr>
            </w:pPr>
            <w:bookmarkStart w:id="183" w:name="YANDEX_0"/>
            <w:bookmarkEnd w:id="183"/>
            <w:r>
              <w:rPr>
                <w:bCs/>
                <w:color w:val="002060"/>
                <w:sz w:val="16"/>
                <w:szCs w:val="16"/>
              </w:rPr>
              <w:t xml:space="preserve"> </w:t>
            </w:r>
            <w:r w:rsidR="002812DC" w:rsidRPr="00DE096C">
              <w:rPr>
                <w:rStyle w:val="highlight"/>
                <w:bCs/>
                <w:color w:val="002060"/>
                <w:sz w:val="16"/>
                <w:szCs w:val="16"/>
              </w:rPr>
              <w:t>1916 </w:t>
            </w:r>
          </w:p>
        </w:tc>
        <w:tc>
          <w:tcPr>
            <w:tcW w:w="0" w:type="auto"/>
            <w:shd w:val="clear" w:color="auto" w:fill="FFFFFF"/>
            <w:tcMar>
              <w:top w:w="168" w:type="dxa"/>
              <w:left w:w="72" w:type="dxa"/>
              <w:bottom w:w="168" w:type="dxa"/>
              <w:right w:w="72" w:type="dxa"/>
            </w:tcMar>
            <w:vAlign w:val="center"/>
            <w:hideMark/>
          </w:tcPr>
          <w:p w14:paraId="568A45B9" w14:textId="77777777" w:rsidR="002812DC" w:rsidRPr="00DE096C" w:rsidRDefault="002812DC" w:rsidP="00D45A46">
            <w:pPr>
              <w:pStyle w:val="ae"/>
              <w:spacing w:before="0" w:beforeAutospacing="0" w:after="0" w:afterAutospacing="0"/>
              <w:jc w:val="both"/>
              <w:rPr>
                <w:bCs/>
                <w:color w:val="002060"/>
                <w:sz w:val="16"/>
                <w:szCs w:val="16"/>
              </w:rPr>
            </w:pPr>
            <w:r w:rsidRPr="00DE096C">
              <w:rPr>
                <w:bCs/>
                <w:color w:val="002060"/>
                <w:sz w:val="16"/>
                <w:szCs w:val="16"/>
              </w:rPr>
              <w:t>Тифлис</w:t>
            </w:r>
          </w:p>
        </w:tc>
        <w:tc>
          <w:tcPr>
            <w:tcW w:w="0" w:type="auto"/>
            <w:shd w:val="clear" w:color="auto" w:fill="FFFFFF"/>
            <w:tcMar>
              <w:top w:w="168" w:type="dxa"/>
              <w:left w:w="72" w:type="dxa"/>
              <w:bottom w:w="168" w:type="dxa"/>
              <w:right w:w="72" w:type="dxa"/>
            </w:tcMar>
            <w:vAlign w:val="center"/>
            <w:hideMark/>
          </w:tcPr>
          <w:p w14:paraId="11A1A805" w14:textId="77777777" w:rsidR="002812DC" w:rsidRPr="00DE096C" w:rsidRDefault="002812DC" w:rsidP="00D45A46">
            <w:pPr>
              <w:pStyle w:val="ae"/>
              <w:spacing w:before="0" w:beforeAutospacing="0" w:after="0" w:afterAutospacing="0"/>
              <w:jc w:val="both"/>
              <w:rPr>
                <w:bCs/>
                <w:color w:val="002060"/>
                <w:sz w:val="16"/>
                <w:szCs w:val="16"/>
              </w:rPr>
            </w:pPr>
            <w:r w:rsidRPr="00DE096C">
              <w:rPr>
                <w:bCs/>
                <w:color w:val="002060"/>
                <w:sz w:val="16"/>
                <w:szCs w:val="16"/>
              </w:rPr>
              <w:t>штабс-капитан К.Василевский</w:t>
            </w:r>
          </w:p>
        </w:tc>
        <w:tc>
          <w:tcPr>
            <w:tcW w:w="0" w:type="auto"/>
            <w:shd w:val="clear" w:color="auto" w:fill="FFFFFF"/>
            <w:tcMar>
              <w:top w:w="168" w:type="dxa"/>
              <w:left w:w="72" w:type="dxa"/>
              <w:bottom w:w="168" w:type="dxa"/>
              <w:right w:w="72" w:type="dxa"/>
            </w:tcMar>
            <w:vAlign w:val="center"/>
            <w:hideMark/>
          </w:tcPr>
          <w:p w14:paraId="01B78B2E" w14:textId="45C646BE" w:rsidR="002812DC" w:rsidRPr="00DE096C" w:rsidRDefault="002812DC" w:rsidP="00D45A46">
            <w:pPr>
              <w:pStyle w:val="ae"/>
              <w:spacing w:before="0" w:beforeAutospacing="0" w:after="0" w:afterAutospacing="0"/>
              <w:jc w:val="both"/>
              <w:rPr>
                <w:bCs/>
                <w:color w:val="002060"/>
                <w:sz w:val="16"/>
                <w:szCs w:val="16"/>
              </w:rPr>
            </w:pPr>
            <w:r w:rsidRPr="00DE096C">
              <w:rPr>
                <w:bCs/>
                <w:color w:val="002060"/>
                <w:sz w:val="16"/>
                <w:szCs w:val="16"/>
              </w:rPr>
              <w:t>Южный фронт. Выделена полурота из состава 1-й авиароты. 16.06.</w:t>
            </w:r>
            <w:bookmarkStart w:id="184" w:name="YANDEX_1"/>
            <w:bookmarkEnd w:id="184"/>
            <w:r w:rsidRPr="00DE096C">
              <w:rPr>
                <w:rStyle w:val="highlight"/>
                <w:bCs/>
                <w:color w:val="002060"/>
                <w:sz w:val="16"/>
                <w:szCs w:val="16"/>
              </w:rPr>
              <w:t> 1916</w:t>
            </w:r>
            <w:r w:rsidR="0006581C">
              <w:rPr>
                <w:rStyle w:val="highlight"/>
                <w:bCs/>
                <w:color w:val="002060"/>
                <w:sz w:val="16"/>
                <w:szCs w:val="16"/>
              </w:rPr>
              <w:t xml:space="preserve"> </w:t>
            </w:r>
            <w:r w:rsidRPr="00DE096C">
              <w:rPr>
                <w:bCs/>
                <w:color w:val="002060"/>
                <w:sz w:val="16"/>
                <w:szCs w:val="16"/>
              </w:rPr>
              <w:t>согласно Приказа НШ ВГ №818 преобразован в Кавказский авиапарк</w:t>
            </w:r>
          </w:p>
        </w:tc>
      </w:tr>
    </w:tbl>
    <w:p w14:paraId="1D4DDA04" w14:textId="77777777" w:rsidR="00F812F3" w:rsidRPr="00DE096C" w:rsidRDefault="00F812F3" w:rsidP="00D45A46">
      <w:pPr>
        <w:jc w:val="both"/>
        <w:rPr>
          <w:bCs/>
          <w:color w:val="002060"/>
          <w:sz w:val="16"/>
          <w:szCs w:val="16"/>
        </w:rPr>
      </w:pPr>
      <w:r w:rsidRPr="00DE096C">
        <w:rPr>
          <w:bCs/>
          <w:color w:val="002060"/>
          <w:sz w:val="16"/>
          <w:szCs w:val="16"/>
          <w:shd w:val="clear" w:color="auto" w:fill="FFFFFF"/>
        </w:rPr>
        <w:t>В конце сентября 1914 г. великий князь Александр Михайлович обратился к Верховному главнокомандующему (вел. кн. Николаю Николаевичу) с докладом, в котором изложил свой план построения системы обеспечения авиационных частей ВВФ. Ставка одобрила предложения Заведующего организацией авиационного дела в армиях ЮЗФ по увеличению штата авиационных рот называемых уже авиапарками. Это изменение было внесено в организационную структуру авиарот приказом ВГ №78 от 11 октября 1914 года. Вскоре было утверждено соответствующее Положение о деятельности авиационных парков. Согласно этому документу, авиапарк предназначался для обслуживания технических нужд авиаотрядов, входящих в состав армии. Сами авиапарки находились в подчинении начальников инженерных снабжений фронтов (20200).</w:t>
      </w:r>
    </w:p>
    <w:p w14:paraId="4EB18945" w14:textId="77777777" w:rsidR="00F812F3" w:rsidRPr="00DE096C" w:rsidRDefault="00F812F3" w:rsidP="00D45A46">
      <w:pPr>
        <w:jc w:val="both"/>
        <w:rPr>
          <w:bCs/>
          <w:color w:val="002060"/>
          <w:sz w:val="16"/>
          <w:szCs w:val="16"/>
        </w:rPr>
      </w:pPr>
    </w:p>
    <w:p w14:paraId="0BEBF04A" w14:textId="77777777" w:rsidR="00F812F3" w:rsidRPr="00DE096C" w:rsidRDefault="00F812F3" w:rsidP="00D45A46">
      <w:pPr>
        <w:jc w:val="both"/>
        <w:rPr>
          <w:bCs/>
          <w:color w:val="002060"/>
          <w:sz w:val="16"/>
          <w:szCs w:val="16"/>
        </w:rPr>
      </w:pPr>
      <w:r w:rsidRPr="00DE096C">
        <w:rPr>
          <w:bCs/>
          <w:color w:val="002060"/>
          <w:sz w:val="16"/>
          <w:szCs w:val="16"/>
          <w:shd w:val="clear" w:color="auto" w:fill="FFFFFF"/>
        </w:rPr>
        <w:t>В конце сентября 1914 г. великий князь Александр Михайлович обратился к Верховному главнокомандующему (вел. кн. Николаю Николаевичу) с докладом, в котором изложил свой план построения системы обеспечения авиационных частей ВВФ. Ставка одобрила предложения Заведующего организацией авиационного дела в армиях ЮЗФ по увеличению штата авиационных рот называемых уже авиапарками. Это изменение было внесено в организационную структуру авиарот приказом ВГ №78 от 11 октября 1914 года. Вскоре было утверждено соответствующее Положение о деятельности авиационных парков. Согласно этому документу, авиапарк предназначался для обслуживания технических нужд авиаотрядов, входящих в состав армии. Сами авиапарки находились в подчинении начальников инженерных снабжений фронтов (20200).</w:t>
      </w:r>
    </w:p>
    <w:p w14:paraId="756E00A6" w14:textId="77777777" w:rsidR="00F812F3" w:rsidRPr="00DE096C" w:rsidRDefault="00F812F3" w:rsidP="00D45A46">
      <w:pPr>
        <w:jc w:val="both"/>
        <w:rPr>
          <w:bCs/>
          <w:color w:val="002060"/>
          <w:sz w:val="16"/>
          <w:szCs w:val="16"/>
        </w:rPr>
      </w:pPr>
    </w:p>
    <w:p w14:paraId="181BE23C" w14:textId="479FCA50" w:rsidR="00F812F3" w:rsidRPr="00DE096C" w:rsidRDefault="00B5582D" w:rsidP="00D45A46">
      <w:pPr>
        <w:pStyle w:val="rtejustify"/>
        <w:shd w:val="clear" w:color="auto" w:fill="FFFFFF"/>
        <w:spacing w:before="0" w:beforeAutospacing="0" w:after="0" w:afterAutospacing="0"/>
        <w:jc w:val="both"/>
        <w:textAlignment w:val="baseline"/>
        <w:rPr>
          <w:bCs/>
          <w:color w:val="002060"/>
          <w:sz w:val="16"/>
          <w:szCs w:val="16"/>
        </w:rPr>
      </w:pPr>
      <w:r w:rsidRPr="00DE096C">
        <w:rPr>
          <w:bCs/>
          <w:color w:val="002060"/>
          <w:sz w:val="16"/>
          <w:szCs w:val="16"/>
        </w:rPr>
        <w:t>В конце сентября 1914 г. в</w:t>
      </w:r>
      <w:r w:rsidR="00F812F3" w:rsidRPr="00DE096C">
        <w:rPr>
          <w:bCs/>
          <w:color w:val="002060"/>
          <w:sz w:val="16"/>
          <w:szCs w:val="16"/>
        </w:rPr>
        <w:t xml:space="preserve">семи вопросами авиационно-технического обеспечения действующей армии занималось Военно-Техническое Отделение при УваРИ. На последнее возлагались вопросы приемки конечной продукции самолетостроительных предприятий. По указанию нового Верховного главнокомандующего </w:t>
      </w:r>
      <w:r w:rsidR="00F812F3" w:rsidRPr="00DE096C">
        <w:rPr>
          <w:bCs/>
          <w:color w:val="002060"/>
          <w:sz w:val="16"/>
          <w:szCs w:val="16"/>
        </w:rPr>
        <w:lastRenderedPageBreak/>
        <w:t>(императора Николая II) «в целях полного согласования дела снабжения авиационных и воздухоплавательных частей с интересами армии» на великого князя Александра Михайловича были возложены снабженческие функции (20200).</w:t>
      </w:r>
    </w:p>
    <w:tbl>
      <w:tblPr>
        <w:tblW w:w="9355" w:type="dxa"/>
        <w:tblInd w:w="-5" w:type="dxa"/>
        <w:shd w:val="clear" w:color="auto" w:fill="FFFFFF"/>
        <w:tblCellMar>
          <w:left w:w="0" w:type="dxa"/>
          <w:right w:w="0" w:type="dxa"/>
        </w:tblCellMar>
        <w:tblLook w:val="04A0" w:firstRow="1" w:lastRow="0" w:firstColumn="1" w:lastColumn="0" w:noHBand="0" w:noVBand="1"/>
      </w:tblPr>
      <w:tblGrid>
        <w:gridCol w:w="1220"/>
        <w:gridCol w:w="1142"/>
        <w:gridCol w:w="1325"/>
        <w:gridCol w:w="1506"/>
        <w:gridCol w:w="4162"/>
      </w:tblGrid>
      <w:tr w:rsidR="00F812F3" w:rsidRPr="00DE096C" w14:paraId="703EA793" w14:textId="77777777" w:rsidTr="00920A70">
        <w:trPr>
          <w:tblHeader/>
        </w:trPr>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00C2CA14" w14:textId="77777777" w:rsidR="00F812F3" w:rsidRPr="00DE096C" w:rsidRDefault="00F812F3" w:rsidP="00D45A46">
            <w:pPr>
              <w:pStyle w:val="ae"/>
              <w:spacing w:before="0" w:beforeAutospacing="0" w:after="0" w:afterAutospacing="0"/>
              <w:jc w:val="both"/>
              <w:textAlignment w:val="baseline"/>
              <w:rPr>
                <w:bCs/>
                <w:color w:val="002060"/>
                <w:sz w:val="16"/>
                <w:szCs w:val="16"/>
              </w:rPr>
            </w:pPr>
            <w:r w:rsidRPr="00DE096C">
              <w:rPr>
                <w:rStyle w:val="af2"/>
                <w:b w:val="0"/>
                <w:color w:val="002060"/>
                <w:sz w:val="16"/>
                <w:szCs w:val="16"/>
                <w:bdr w:val="none" w:sz="0" w:space="0" w:color="auto" w:frame="1"/>
              </w:rPr>
              <w:t>Наименование</w:t>
            </w:r>
            <w:hyperlink r:id="rId43" w:anchor="footnote_0_4794" w:tooltip="Приказом Начальника штаба ВГ от 1 апреля 1916 г.* №356 авиароты со 2-й по 7-ю были переименованы в авиационные парки с сохранением прежней нумерации. 1-я авиарота переименована в 1-й авиапарк 29.06.1916 г." w:history="1">
              <w:r w:rsidRPr="00DE096C">
                <w:rPr>
                  <w:rStyle w:val="af0"/>
                  <w:rFonts w:eastAsiaTheme="majorEastAsia"/>
                  <w:bCs/>
                  <w:color w:val="002060"/>
                  <w:sz w:val="16"/>
                  <w:szCs w:val="16"/>
                  <w:bdr w:val="none" w:sz="0" w:space="0" w:color="auto" w:frame="1"/>
                </w:rPr>
                <w:t>1</w:t>
              </w:r>
            </w:hyperlink>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4BCF102C" w14:textId="77777777" w:rsidR="00F812F3" w:rsidRPr="00DE096C" w:rsidRDefault="00F812F3" w:rsidP="00D45A46">
            <w:pPr>
              <w:pStyle w:val="ae"/>
              <w:spacing w:before="0" w:beforeAutospacing="0" w:after="0" w:afterAutospacing="0"/>
              <w:jc w:val="both"/>
              <w:textAlignment w:val="baseline"/>
              <w:rPr>
                <w:bCs/>
                <w:color w:val="002060"/>
                <w:sz w:val="16"/>
                <w:szCs w:val="16"/>
              </w:rPr>
            </w:pPr>
            <w:r w:rsidRPr="00DE096C">
              <w:rPr>
                <w:rStyle w:val="af2"/>
                <w:b w:val="0"/>
                <w:color w:val="002060"/>
                <w:sz w:val="16"/>
                <w:szCs w:val="16"/>
                <w:bdr w:val="none" w:sz="0" w:space="0" w:color="auto" w:frame="1"/>
              </w:rPr>
              <w:t>Дата формирования</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61AC3695" w14:textId="77777777" w:rsidR="00F812F3" w:rsidRPr="00DE096C" w:rsidRDefault="00F812F3" w:rsidP="00D45A46">
            <w:pPr>
              <w:pStyle w:val="ae"/>
              <w:spacing w:before="0" w:beforeAutospacing="0" w:after="0" w:afterAutospacing="0"/>
              <w:jc w:val="both"/>
              <w:textAlignment w:val="baseline"/>
              <w:rPr>
                <w:bCs/>
                <w:color w:val="002060"/>
                <w:sz w:val="16"/>
                <w:szCs w:val="16"/>
              </w:rPr>
            </w:pPr>
            <w:r w:rsidRPr="00DE096C">
              <w:rPr>
                <w:rStyle w:val="af2"/>
                <w:b w:val="0"/>
                <w:color w:val="002060"/>
                <w:sz w:val="16"/>
                <w:szCs w:val="16"/>
                <w:bdr w:val="none" w:sz="0" w:space="0" w:color="auto" w:frame="1"/>
              </w:rPr>
              <w:t>Дислокация</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26B6EC30" w14:textId="77777777" w:rsidR="00F812F3" w:rsidRPr="00DE096C" w:rsidRDefault="00F812F3" w:rsidP="00D45A46">
            <w:pPr>
              <w:pStyle w:val="ae"/>
              <w:spacing w:before="0" w:beforeAutospacing="0" w:after="0" w:afterAutospacing="0"/>
              <w:jc w:val="both"/>
              <w:textAlignment w:val="baseline"/>
              <w:rPr>
                <w:bCs/>
                <w:color w:val="002060"/>
                <w:sz w:val="16"/>
                <w:szCs w:val="16"/>
              </w:rPr>
            </w:pPr>
            <w:r w:rsidRPr="00DE096C">
              <w:rPr>
                <w:rStyle w:val="af2"/>
                <w:b w:val="0"/>
                <w:color w:val="002060"/>
                <w:sz w:val="16"/>
                <w:szCs w:val="16"/>
                <w:bdr w:val="none" w:sz="0" w:space="0" w:color="auto" w:frame="1"/>
              </w:rPr>
              <w:t>Начальники</w:t>
            </w:r>
            <w:hyperlink r:id="rId44" w:anchor="footnote_1_4794" w:tooltip="Чин указан на момент командования авиаротой или авиапарком." w:history="1">
              <w:r w:rsidRPr="00DE096C">
                <w:rPr>
                  <w:rStyle w:val="af0"/>
                  <w:rFonts w:eastAsiaTheme="majorEastAsia"/>
                  <w:bCs/>
                  <w:color w:val="002060"/>
                  <w:sz w:val="16"/>
                  <w:szCs w:val="16"/>
                  <w:bdr w:val="none" w:sz="0" w:space="0" w:color="auto" w:frame="1"/>
                </w:rPr>
                <w:t>2</w:t>
              </w:r>
            </w:hyperlink>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528FC328" w14:textId="77777777" w:rsidR="00F812F3" w:rsidRPr="00DE096C" w:rsidRDefault="00F812F3" w:rsidP="00D45A46">
            <w:pPr>
              <w:pStyle w:val="ae"/>
              <w:spacing w:before="0" w:beforeAutospacing="0" w:after="0" w:afterAutospacing="0"/>
              <w:jc w:val="both"/>
              <w:textAlignment w:val="baseline"/>
              <w:rPr>
                <w:bCs/>
                <w:color w:val="002060"/>
                <w:sz w:val="16"/>
                <w:szCs w:val="16"/>
              </w:rPr>
            </w:pPr>
            <w:r w:rsidRPr="00DE096C">
              <w:rPr>
                <w:rStyle w:val="af2"/>
                <w:b w:val="0"/>
                <w:color w:val="002060"/>
                <w:sz w:val="16"/>
                <w:szCs w:val="16"/>
                <w:bdr w:val="none" w:sz="0" w:space="0" w:color="auto" w:frame="1"/>
              </w:rPr>
              <w:t>Примечания</w:t>
            </w:r>
          </w:p>
        </w:tc>
      </w:tr>
      <w:tr w:rsidR="00F812F3" w:rsidRPr="00DE096C" w14:paraId="6D9DF732" w14:textId="77777777" w:rsidTr="00920A70">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2EAFAEA3" w14:textId="77777777" w:rsidR="00F812F3" w:rsidRPr="00DE096C" w:rsidRDefault="00F812F3" w:rsidP="00D45A46">
            <w:pPr>
              <w:pStyle w:val="ae"/>
              <w:spacing w:before="0" w:beforeAutospacing="0" w:after="0" w:afterAutospacing="0"/>
              <w:jc w:val="both"/>
              <w:textAlignment w:val="baseline"/>
              <w:rPr>
                <w:bCs/>
                <w:color w:val="002060"/>
                <w:sz w:val="16"/>
                <w:szCs w:val="16"/>
              </w:rPr>
            </w:pPr>
            <w:r w:rsidRPr="00DE096C">
              <w:rPr>
                <w:bCs/>
                <w:color w:val="002060"/>
                <w:sz w:val="16"/>
                <w:szCs w:val="16"/>
              </w:rPr>
              <w:t>1-й авиапарк</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24CB5CFD" w14:textId="77777777" w:rsidR="00F812F3" w:rsidRPr="00DE096C" w:rsidRDefault="00F812F3" w:rsidP="00D45A46">
            <w:pPr>
              <w:pStyle w:val="ae"/>
              <w:spacing w:before="0" w:beforeAutospacing="0" w:after="0" w:afterAutospacing="0"/>
              <w:jc w:val="both"/>
              <w:textAlignment w:val="baseline"/>
              <w:rPr>
                <w:bCs/>
                <w:color w:val="002060"/>
                <w:sz w:val="16"/>
                <w:szCs w:val="16"/>
              </w:rPr>
            </w:pPr>
            <w:r w:rsidRPr="00DE096C">
              <w:rPr>
                <w:bCs/>
                <w:color w:val="002060"/>
                <w:sz w:val="16"/>
                <w:szCs w:val="16"/>
              </w:rPr>
              <w:t>27.04.1913 г.</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28BB0B1C" w14:textId="77777777" w:rsidR="00F812F3" w:rsidRPr="00DE096C" w:rsidRDefault="00F812F3" w:rsidP="00D45A46">
            <w:pPr>
              <w:pStyle w:val="ae"/>
              <w:spacing w:before="0" w:beforeAutospacing="0" w:after="0" w:afterAutospacing="0"/>
              <w:jc w:val="both"/>
              <w:textAlignment w:val="baseline"/>
              <w:rPr>
                <w:bCs/>
                <w:color w:val="002060"/>
                <w:sz w:val="16"/>
                <w:szCs w:val="16"/>
              </w:rPr>
            </w:pPr>
            <w:r w:rsidRPr="00DE096C">
              <w:rPr>
                <w:bCs/>
                <w:color w:val="002060"/>
                <w:sz w:val="16"/>
                <w:szCs w:val="16"/>
              </w:rPr>
              <w:t>Петроград (Одесса?)</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2AA609AA" w14:textId="77777777" w:rsidR="00F812F3" w:rsidRPr="00DE096C" w:rsidRDefault="00F812F3" w:rsidP="00D45A46">
            <w:pPr>
              <w:pStyle w:val="ae"/>
              <w:spacing w:before="0" w:beforeAutospacing="0" w:after="0" w:afterAutospacing="0"/>
              <w:jc w:val="both"/>
              <w:textAlignment w:val="baseline"/>
              <w:rPr>
                <w:bCs/>
                <w:color w:val="002060"/>
                <w:sz w:val="16"/>
                <w:szCs w:val="16"/>
              </w:rPr>
            </w:pPr>
            <w:r w:rsidRPr="00DE096C">
              <w:rPr>
                <w:bCs/>
                <w:color w:val="002060"/>
                <w:sz w:val="16"/>
                <w:szCs w:val="16"/>
              </w:rPr>
              <w:t>штабс-капитан Крейсон</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3ECD8617" w14:textId="77777777" w:rsidR="00F812F3" w:rsidRPr="00DE096C" w:rsidRDefault="00F812F3" w:rsidP="00D45A46">
            <w:pPr>
              <w:pStyle w:val="ae"/>
              <w:spacing w:before="0" w:beforeAutospacing="0" w:after="0" w:afterAutospacing="0"/>
              <w:jc w:val="both"/>
              <w:textAlignment w:val="baseline"/>
              <w:rPr>
                <w:bCs/>
                <w:color w:val="002060"/>
                <w:sz w:val="16"/>
                <w:szCs w:val="16"/>
              </w:rPr>
            </w:pPr>
            <w:r w:rsidRPr="00DE096C">
              <w:rPr>
                <w:bCs/>
                <w:color w:val="002060"/>
                <w:sz w:val="16"/>
                <w:szCs w:val="16"/>
              </w:rPr>
              <w:t>Петербургский военный округ. Корпусной аэродром; Северный фронт</w:t>
            </w:r>
          </w:p>
        </w:tc>
      </w:tr>
      <w:tr w:rsidR="00F812F3" w:rsidRPr="00DE096C" w14:paraId="3E167357" w14:textId="77777777" w:rsidTr="00920A70">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60212702" w14:textId="77777777" w:rsidR="00F812F3" w:rsidRPr="00DE096C" w:rsidRDefault="00F812F3" w:rsidP="00D45A46">
            <w:pPr>
              <w:pStyle w:val="ae"/>
              <w:spacing w:before="0" w:beforeAutospacing="0" w:after="0" w:afterAutospacing="0"/>
              <w:jc w:val="both"/>
              <w:textAlignment w:val="baseline"/>
              <w:rPr>
                <w:bCs/>
                <w:color w:val="002060"/>
                <w:sz w:val="16"/>
                <w:szCs w:val="16"/>
              </w:rPr>
            </w:pPr>
            <w:r w:rsidRPr="00DE096C">
              <w:rPr>
                <w:bCs/>
                <w:color w:val="002060"/>
                <w:sz w:val="16"/>
                <w:szCs w:val="16"/>
              </w:rPr>
              <w:t>2-й авиапарк</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72E25CA7" w14:textId="77777777" w:rsidR="00F812F3" w:rsidRPr="00DE096C" w:rsidRDefault="00F812F3" w:rsidP="00D45A46">
            <w:pPr>
              <w:pStyle w:val="ae"/>
              <w:spacing w:before="0" w:beforeAutospacing="0" w:after="0" w:afterAutospacing="0"/>
              <w:jc w:val="both"/>
              <w:textAlignment w:val="baseline"/>
              <w:rPr>
                <w:bCs/>
                <w:color w:val="002060"/>
                <w:sz w:val="16"/>
                <w:szCs w:val="16"/>
              </w:rPr>
            </w:pPr>
            <w:r w:rsidRPr="00DE096C">
              <w:rPr>
                <w:bCs/>
                <w:color w:val="002060"/>
                <w:sz w:val="16"/>
                <w:szCs w:val="16"/>
              </w:rPr>
              <w:t>25.05.1913 г.</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71096634" w14:textId="77777777" w:rsidR="00F812F3" w:rsidRPr="00DE096C" w:rsidRDefault="00F812F3" w:rsidP="00D45A46">
            <w:pPr>
              <w:pStyle w:val="ae"/>
              <w:spacing w:before="0" w:beforeAutospacing="0" w:after="0" w:afterAutospacing="0"/>
              <w:jc w:val="both"/>
              <w:textAlignment w:val="baseline"/>
              <w:rPr>
                <w:bCs/>
                <w:color w:val="002060"/>
                <w:sz w:val="16"/>
                <w:szCs w:val="16"/>
              </w:rPr>
            </w:pPr>
            <w:r w:rsidRPr="00DE096C">
              <w:rPr>
                <w:bCs/>
                <w:color w:val="002060"/>
                <w:sz w:val="16"/>
                <w:szCs w:val="16"/>
              </w:rPr>
              <w:t>Севастополь (Смоленск?)</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10A2DCB1" w14:textId="77777777" w:rsidR="00F812F3" w:rsidRPr="00DE096C" w:rsidRDefault="00F812F3" w:rsidP="00D45A46">
            <w:pPr>
              <w:pStyle w:val="ae"/>
              <w:spacing w:before="0" w:beforeAutospacing="0" w:after="0" w:afterAutospacing="0"/>
              <w:jc w:val="both"/>
              <w:textAlignment w:val="baseline"/>
              <w:rPr>
                <w:bCs/>
                <w:color w:val="002060"/>
                <w:sz w:val="16"/>
                <w:szCs w:val="16"/>
              </w:rPr>
            </w:pPr>
            <w:r w:rsidRPr="00DE096C">
              <w:rPr>
                <w:bCs/>
                <w:color w:val="002060"/>
                <w:sz w:val="16"/>
                <w:szCs w:val="16"/>
              </w:rPr>
              <w:t>капитан Воротников А.С.</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52F93942" w14:textId="77777777" w:rsidR="00F812F3" w:rsidRPr="00DE096C" w:rsidRDefault="00F812F3" w:rsidP="00D45A46">
            <w:pPr>
              <w:pStyle w:val="ae"/>
              <w:spacing w:before="0" w:beforeAutospacing="0" w:after="0" w:afterAutospacing="0"/>
              <w:jc w:val="both"/>
              <w:textAlignment w:val="baseline"/>
              <w:rPr>
                <w:bCs/>
                <w:color w:val="002060"/>
                <w:sz w:val="16"/>
                <w:szCs w:val="16"/>
              </w:rPr>
            </w:pPr>
            <w:r w:rsidRPr="00DE096C">
              <w:rPr>
                <w:bCs/>
                <w:color w:val="002060"/>
                <w:sz w:val="16"/>
                <w:szCs w:val="16"/>
              </w:rPr>
              <w:t>Одесский военный округ</w:t>
            </w:r>
          </w:p>
        </w:tc>
      </w:tr>
      <w:tr w:rsidR="00F812F3" w:rsidRPr="00DE096C" w14:paraId="77BAB9A0" w14:textId="77777777" w:rsidTr="00920A70">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7E53ACB0" w14:textId="77777777" w:rsidR="00F812F3" w:rsidRPr="00DE096C" w:rsidRDefault="00F812F3" w:rsidP="00D45A46">
            <w:pPr>
              <w:pStyle w:val="ae"/>
              <w:spacing w:before="0" w:beforeAutospacing="0" w:after="0" w:afterAutospacing="0"/>
              <w:jc w:val="both"/>
              <w:textAlignment w:val="baseline"/>
              <w:rPr>
                <w:bCs/>
                <w:color w:val="002060"/>
                <w:sz w:val="16"/>
                <w:szCs w:val="16"/>
              </w:rPr>
            </w:pPr>
            <w:r w:rsidRPr="00DE096C">
              <w:rPr>
                <w:bCs/>
                <w:color w:val="002060"/>
                <w:sz w:val="16"/>
                <w:szCs w:val="16"/>
              </w:rPr>
              <w:t>3-й авиапарк</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6B14E534" w14:textId="77777777" w:rsidR="00F812F3" w:rsidRPr="00DE096C" w:rsidRDefault="00F812F3" w:rsidP="00D45A46">
            <w:pPr>
              <w:pStyle w:val="ae"/>
              <w:spacing w:before="0" w:beforeAutospacing="0" w:after="0" w:afterAutospacing="0"/>
              <w:jc w:val="both"/>
              <w:textAlignment w:val="baseline"/>
              <w:rPr>
                <w:bCs/>
                <w:color w:val="002060"/>
                <w:sz w:val="16"/>
                <w:szCs w:val="16"/>
              </w:rPr>
            </w:pPr>
            <w:r w:rsidRPr="00DE096C">
              <w:rPr>
                <w:bCs/>
                <w:color w:val="002060"/>
                <w:sz w:val="16"/>
                <w:szCs w:val="16"/>
              </w:rPr>
              <w:t>23.06.1913 г.</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1BA9F31B" w14:textId="77777777" w:rsidR="00F812F3" w:rsidRPr="00DE096C" w:rsidRDefault="00F812F3" w:rsidP="00D45A46">
            <w:pPr>
              <w:pStyle w:val="ae"/>
              <w:spacing w:before="0" w:beforeAutospacing="0" w:after="0" w:afterAutospacing="0"/>
              <w:jc w:val="both"/>
              <w:textAlignment w:val="baseline"/>
              <w:rPr>
                <w:bCs/>
                <w:color w:val="002060"/>
                <w:sz w:val="16"/>
                <w:szCs w:val="16"/>
              </w:rPr>
            </w:pPr>
            <w:r w:rsidRPr="00DE096C">
              <w:rPr>
                <w:bCs/>
                <w:color w:val="002060"/>
                <w:sz w:val="16"/>
                <w:szCs w:val="16"/>
              </w:rPr>
              <w:t>Киев</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61E005FC" w14:textId="77777777" w:rsidR="00F812F3" w:rsidRPr="00DE096C" w:rsidRDefault="00F812F3" w:rsidP="00D45A46">
            <w:pPr>
              <w:pStyle w:val="ae"/>
              <w:spacing w:before="0" w:beforeAutospacing="0" w:after="0" w:afterAutospacing="0"/>
              <w:jc w:val="both"/>
              <w:textAlignment w:val="baseline"/>
              <w:rPr>
                <w:bCs/>
                <w:color w:val="002060"/>
                <w:sz w:val="16"/>
                <w:szCs w:val="16"/>
              </w:rPr>
            </w:pPr>
            <w:r w:rsidRPr="00DE096C">
              <w:rPr>
                <w:bCs/>
                <w:color w:val="002060"/>
                <w:sz w:val="16"/>
                <w:szCs w:val="16"/>
              </w:rPr>
              <w:t>подполковник Глубоковский Н.П.</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6A5270B5" w14:textId="77777777" w:rsidR="00F812F3" w:rsidRPr="00DE096C" w:rsidRDefault="00F812F3" w:rsidP="00D45A46">
            <w:pPr>
              <w:pStyle w:val="ae"/>
              <w:spacing w:before="0" w:beforeAutospacing="0" w:after="0" w:afterAutospacing="0"/>
              <w:jc w:val="both"/>
              <w:textAlignment w:val="baseline"/>
              <w:rPr>
                <w:bCs/>
                <w:color w:val="002060"/>
                <w:sz w:val="16"/>
                <w:szCs w:val="16"/>
              </w:rPr>
            </w:pPr>
            <w:r w:rsidRPr="00DE096C">
              <w:rPr>
                <w:bCs/>
                <w:color w:val="002060"/>
                <w:sz w:val="16"/>
                <w:szCs w:val="16"/>
              </w:rPr>
              <w:t>Киевский военный округ; Юго-Западный фронт</w:t>
            </w:r>
          </w:p>
        </w:tc>
      </w:tr>
      <w:tr w:rsidR="00F812F3" w:rsidRPr="00DE096C" w14:paraId="2629B925" w14:textId="77777777" w:rsidTr="00920A70">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51702237" w14:textId="77777777" w:rsidR="00F812F3" w:rsidRPr="00DE096C" w:rsidRDefault="00F812F3" w:rsidP="00D45A46">
            <w:pPr>
              <w:pStyle w:val="ae"/>
              <w:spacing w:before="0" w:beforeAutospacing="0" w:after="0" w:afterAutospacing="0"/>
              <w:jc w:val="both"/>
              <w:textAlignment w:val="baseline"/>
              <w:rPr>
                <w:bCs/>
                <w:color w:val="002060"/>
                <w:sz w:val="16"/>
                <w:szCs w:val="16"/>
              </w:rPr>
            </w:pPr>
            <w:r w:rsidRPr="00DE096C">
              <w:rPr>
                <w:bCs/>
                <w:color w:val="002060"/>
                <w:sz w:val="16"/>
                <w:szCs w:val="16"/>
              </w:rPr>
              <w:t>4-й авиапарк</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55DD71D2" w14:textId="77777777" w:rsidR="00F812F3" w:rsidRPr="00DE096C" w:rsidRDefault="00F812F3" w:rsidP="00D45A46">
            <w:pPr>
              <w:pStyle w:val="ae"/>
              <w:spacing w:before="0" w:beforeAutospacing="0" w:after="0" w:afterAutospacing="0"/>
              <w:jc w:val="both"/>
              <w:textAlignment w:val="baseline"/>
              <w:rPr>
                <w:bCs/>
                <w:color w:val="002060"/>
                <w:sz w:val="16"/>
                <w:szCs w:val="16"/>
              </w:rPr>
            </w:pPr>
            <w:r w:rsidRPr="00DE096C">
              <w:rPr>
                <w:bCs/>
                <w:color w:val="002060"/>
                <w:sz w:val="16"/>
                <w:szCs w:val="16"/>
              </w:rPr>
              <w:t>начало лета 1914</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2B6456F6" w14:textId="77777777" w:rsidR="00F812F3" w:rsidRPr="00DE096C" w:rsidRDefault="00F812F3" w:rsidP="00D45A46">
            <w:pPr>
              <w:pStyle w:val="ae"/>
              <w:spacing w:before="0" w:beforeAutospacing="0" w:after="0" w:afterAutospacing="0"/>
              <w:jc w:val="both"/>
              <w:textAlignment w:val="baseline"/>
              <w:rPr>
                <w:bCs/>
                <w:color w:val="002060"/>
                <w:sz w:val="16"/>
                <w:szCs w:val="16"/>
              </w:rPr>
            </w:pPr>
            <w:r w:rsidRPr="00DE096C">
              <w:rPr>
                <w:bCs/>
                <w:color w:val="002060"/>
                <w:sz w:val="16"/>
                <w:szCs w:val="16"/>
              </w:rPr>
              <w:t>Лида, Винница, Витебск</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4368F4C2" w14:textId="77777777" w:rsidR="00F812F3" w:rsidRPr="00DE096C" w:rsidRDefault="00F812F3" w:rsidP="00D45A46">
            <w:pPr>
              <w:pStyle w:val="ae"/>
              <w:spacing w:before="0" w:beforeAutospacing="0" w:after="0" w:afterAutospacing="0"/>
              <w:jc w:val="both"/>
              <w:textAlignment w:val="baseline"/>
              <w:rPr>
                <w:bCs/>
                <w:color w:val="002060"/>
                <w:sz w:val="16"/>
                <w:szCs w:val="16"/>
              </w:rPr>
            </w:pPr>
            <w:r w:rsidRPr="00DE096C">
              <w:rPr>
                <w:bCs/>
                <w:color w:val="002060"/>
                <w:sz w:val="16"/>
                <w:szCs w:val="16"/>
              </w:rPr>
              <w:t>капитан Макаров Д.А.</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2C8284B4" w14:textId="77777777" w:rsidR="00F812F3" w:rsidRPr="00DE096C" w:rsidRDefault="00F812F3" w:rsidP="00D45A46">
            <w:pPr>
              <w:pStyle w:val="ae"/>
              <w:spacing w:before="0" w:beforeAutospacing="0" w:after="0" w:afterAutospacing="0"/>
              <w:jc w:val="both"/>
              <w:textAlignment w:val="baseline"/>
              <w:rPr>
                <w:bCs/>
                <w:color w:val="002060"/>
                <w:sz w:val="16"/>
                <w:szCs w:val="16"/>
              </w:rPr>
            </w:pPr>
            <w:r w:rsidRPr="00DE096C">
              <w:rPr>
                <w:bCs/>
                <w:color w:val="002060"/>
                <w:sz w:val="16"/>
                <w:szCs w:val="16"/>
              </w:rPr>
              <w:t>Виленский военный округ. Западный фронт</w:t>
            </w:r>
          </w:p>
        </w:tc>
      </w:tr>
      <w:tr w:rsidR="00F812F3" w:rsidRPr="00DE096C" w14:paraId="7A314FF7" w14:textId="77777777" w:rsidTr="00920A70">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29B08C6C" w14:textId="77777777" w:rsidR="00F812F3" w:rsidRPr="00DE096C" w:rsidRDefault="00F812F3" w:rsidP="00D45A46">
            <w:pPr>
              <w:pStyle w:val="ae"/>
              <w:spacing w:before="0" w:beforeAutospacing="0" w:after="0" w:afterAutospacing="0"/>
              <w:jc w:val="both"/>
              <w:textAlignment w:val="baseline"/>
              <w:rPr>
                <w:bCs/>
                <w:color w:val="002060"/>
                <w:sz w:val="16"/>
                <w:szCs w:val="16"/>
              </w:rPr>
            </w:pPr>
            <w:r w:rsidRPr="00DE096C">
              <w:rPr>
                <w:bCs/>
                <w:color w:val="002060"/>
                <w:sz w:val="16"/>
                <w:szCs w:val="16"/>
              </w:rPr>
              <w:t>5-й авиапарк</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7507C5C0" w14:textId="77777777" w:rsidR="00F812F3" w:rsidRPr="00DE096C" w:rsidRDefault="00F812F3" w:rsidP="00D45A46">
            <w:pPr>
              <w:pStyle w:val="ae"/>
              <w:spacing w:before="0" w:beforeAutospacing="0" w:after="0" w:afterAutospacing="0"/>
              <w:jc w:val="both"/>
              <w:textAlignment w:val="baseline"/>
              <w:rPr>
                <w:bCs/>
                <w:color w:val="002060"/>
                <w:sz w:val="16"/>
                <w:szCs w:val="16"/>
              </w:rPr>
            </w:pPr>
            <w:r w:rsidRPr="00DE096C">
              <w:rPr>
                <w:bCs/>
                <w:color w:val="002060"/>
                <w:sz w:val="16"/>
                <w:szCs w:val="16"/>
              </w:rPr>
              <w:t>начало лета 1914</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463A51A2" w14:textId="77777777" w:rsidR="00F812F3" w:rsidRPr="00DE096C" w:rsidRDefault="00F812F3" w:rsidP="00D45A46">
            <w:pPr>
              <w:pStyle w:val="ae"/>
              <w:spacing w:before="0" w:beforeAutospacing="0" w:after="0" w:afterAutospacing="0"/>
              <w:jc w:val="both"/>
              <w:textAlignment w:val="baseline"/>
              <w:rPr>
                <w:bCs/>
                <w:color w:val="002060"/>
                <w:sz w:val="16"/>
                <w:szCs w:val="16"/>
              </w:rPr>
            </w:pPr>
            <w:r w:rsidRPr="00DE096C">
              <w:rPr>
                <w:bCs/>
                <w:color w:val="002060"/>
                <w:sz w:val="16"/>
                <w:szCs w:val="16"/>
              </w:rPr>
              <w:t>Бронницы, Брянск, (Смоленск)</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465A897F" w14:textId="77777777" w:rsidR="00F812F3" w:rsidRPr="00DE096C" w:rsidRDefault="00F812F3" w:rsidP="00D45A46">
            <w:pPr>
              <w:pStyle w:val="ae"/>
              <w:spacing w:before="0" w:beforeAutospacing="0" w:after="0" w:afterAutospacing="0"/>
              <w:jc w:val="both"/>
              <w:textAlignment w:val="baseline"/>
              <w:rPr>
                <w:bCs/>
                <w:color w:val="002060"/>
                <w:sz w:val="16"/>
                <w:szCs w:val="16"/>
              </w:rPr>
            </w:pPr>
            <w:r w:rsidRPr="00DE096C">
              <w:rPr>
                <w:bCs/>
                <w:color w:val="002060"/>
                <w:sz w:val="16"/>
                <w:szCs w:val="16"/>
              </w:rPr>
              <w:t>подполковник П.В. Голубов</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1A599838" w14:textId="77777777" w:rsidR="00F812F3" w:rsidRPr="00DE096C" w:rsidRDefault="00F812F3" w:rsidP="00D45A46">
            <w:pPr>
              <w:pStyle w:val="ae"/>
              <w:spacing w:before="0" w:beforeAutospacing="0" w:after="0" w:afterAutospacing="0"/>
              <w:jc w:val="both"/>
              <w:textAlignment w:val="baseline"/>
              <w:rPr>
                <w:bCs/>
                <w:color w:val="002060"/>
                <w:sz w:val="16"/>
                <w:szCs w:val="16"/>
              </w:rPr>
            </w:pPr>
            <w:r w:rsidRPr="00DE096C">
              <w:rPr>
                <w:bCs/>
                <w:color w:val="002060"/>
                <w:sz w:val="16"/>
                <w:szCs w:val="16"/>
              </w:rPr>
              <w:t>Московский военный округ. Западный фронт</w:t>
            </w:r>
          </w:p>
        </w:tc>
      </w:tr>
      <w:tr w:rsidR="00F812F3" w:rsidRPr="00DE096C" w14:paraId="71C1F40F" w14:textId="77777777" w:rsidTr="00920A70">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50D5BCB4" w14:textId="77777777" w:rsidR="00F812F3" w:rsidRPr="00DE096C" w:rsidRDefault="00F812F3" w:rsidP="00D45A46">
            <w:pPr>
              <w:pStyle w:val="ae"/>
              <w:spacing w:before="0" w:beforeAutospacing="0" w:after="0" w:afterAutospacing="0"/>
              <w:jc w:val="both"/>
              <w:textAlignment w:val="baseline"/>
              <w:rPr>
                <w:bCs/>
                <w:color w:val="002060"/>
                <w:sz w:val="16"/>
                <w:szCs w:val="16"/>
              </w:rPr>
            </w:pPr>
            <w:r w:rsidRPr="00DE096C">
              <w:rPr>
                <w:bCs/>
                <w:color w:val="002060"/>
                <w:sz w:val="16"/>
                <w:szCs w:val="16"/>
              </w:rPr>
              <w:t>6-й авиапарк</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32B5168A" w14:textId="77777777" w:rsidR="00F812F3" w:rsidRPr="00DE096C" w:rsidRDefault="00F812F3" w:rsidP="00D45A46">
            <w:pPr>
              <w:pStyle w:val="ae"/>
              <w:spacing w:before="0" w:beforeAutospacing="0" w:after="0" w:afterAutospacing="0"/>
              <w:jc w:val="both"/>
              <w:textAlignment w:val="baseline"/>
              <w:rPr>
                <w:bCs/>
                <w:color w:val="002060"/>
                <w:sz w:val="16"/>
                <w:szCs w:val="16"/>
              </w:rPr>
            </w:pPr>
            <w:r w:rsidRPr="00DE096C">
              <w:rPr>
                <w:bCs/>
                <w:color w:val="002060"/>
                <w:sz w:val="16"/>
                <w:szCs w:val="16"/>
              </w:rPr>
              <w:t>начало лета 1914</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682E7B1B" w14:textId="77777777" w:rsidR="00F812F3" w:rsidRPr="00DE096C" w:rsidRDefault="00F812F3" w:rsidP="00D45A46">
            <w:pPr>
              <w:pStyle w:val="ae"/>
              <w:spacing w:before="0" w:beforeAutospacing="0" w:after="0" w:afterAutospacing="0"/>
              <w:jc w:val="both"/>
              <w:textAlignment w:val="baseline"/>
              <w:rPr>
                <w:bCs/>
                <w:color w:val="002060"/>
                <w:sz w:val="16"/>
                <w:szCs w:val="16"/>
              </w:rPr>
            </w:pPr>
            <w:r w:rsidRPr="00DE096C">
              <w:rPr>
                <w:bCs/>
                <w:color w:val="002060"/>
                <w:sz w:val="16"/>
                <w:szCs w:val="16"/>
              </w:rPr>
              <w:t>Жмеринка</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5A35A5E1" w14:textId="77777777" w:rsidR="00F812F3" w:rsidRPr="00DE096C" w:rsidRDefault="00F812F3" w:rsidP="00D45A46">
            <w:pPr>
              <w:pStyle w:val="ae"/>
              <w:spacing w:before="0" w:beforeAutospacing="0" w:after="0" w:afterAutospacing="0"/>
              <w:jc w:val="both"/>
              <w:textAlignment w:val="baseline"/>
              <w:rPr>
                <w:bCs/>
                <w:color w:val="002060"/>
                <w:sz w:val="16"/>
                <w:szCs w:val="16"/>
              </w:rPr>
            </w:pPr>
            <w:r w:rsidRPr="00DE096C">
              <w:rPr>
                <w:bCs/>
                <w:color w:val="002060"/>
                <w:sz w:val="16"/>
                <w:szCs w:val="16"/>
              </w:rPr>
              <w:t>капитан В.А.</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5729983B" w14:textId="77777777" w:rsidR="00F812F3" w:rsidRPr="00DE096C" w:rsidRDefault="00F812F3" w:rsidP="00D45A46">
            <w:pPr>
              <w:pStyle w:val="ae"/>
              <w:spacing w:before="0" w:beforeAutospacing="0" w:after="0" w:afterAutospacing="0"/>
              <w:jc w:val="both"/>
              <w:textAlignment w:val="baseline"/>
              <w:rPr>
                <w:bCs/>
                <w:color w:val="002060"/>
                <w:sz w:val="16"/>
                <w:szCs w:val="16"/>
              </w:rPr>
            </w:pPr>
            <w:r w:rsidRPr="00DE096C">
              <w:rPr>
                <w:bCs/>
                <w:color w:val="002060"/>
                <w:sz w:val="16"/>
                <w:szCs w:val="16"/>
              </w:rPr>
              <w:t>Сформирован в Чите, затем в Одессу. Юго-Западный фронт</w:t>
            </w:r>
          </w:p>
        </w:tc>
      </w:tr>
      <w:tr w:rsidR="00F812F3" w:rsidRPr="00DE096C" w14:paraId="179A5502" w14:textId="77777777" w:rsidTr="00920A70">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38BCE17B" w14:textId="77777777" w:rsidR="00F812F3" w:rsidRPr="00DE096C" w:rsidRDefault="00F812F3" w:rsidP="00D45A46">
            <w:pPr>
              <w:pStyle w:val="ae"/>
              <w:spacing w:before="0" w:beforeAutospacing="0" w:after="0" w:afterAutospacing="0"/>
              <w:jc w:val="both"/>
              <w:textAlignment w:val="baseline"/>
              <w:rPr>
                <w:bCs/>
                <w:color w:val="002060"/>
                <w:sz w:val="16"/>
                <w:szCs w:val="16"/>
              </w:rPr>
            </w:pPr>
            <w:r w:rsidRPr="00DE096C">
              <w:rPr>
                <w:bCs/>
                <w:color w:val="002060"/>
                <w:sz w:val="16"/>
                <w:szCs w:val="16"/>
              </w:rPr>
              <w:t>7-й авиапарк</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4122F33E" w14:textId="77777777" w:rsidR="00F812F3" w:rsidRPr="00DE096C" w:rsidRDefault="00F812F3" w:rsidP="00D45A46">
            <w:pPr>
              <w:pStyle w:val="ae"/>
              <w:spacing w:before="0" w:beforeAutospacing="0" w:after="0" w:afterAutospacing="0"/>
              <w:jc w:val="both"/>
              <w:textAlignment w:val="baseline"/>
              <w:rPr>
                <w:bCs/>
                <w:color w:val="002060"/>
                <w:sz w:val="16"/>
                <w:szCs w:val="16"/>
              </w:rPr>
            </w:pPr>
            <w:r w:rsidRPr="00DE096C">
              <w:rPr>
                <w:bCs/>
                <w:color w:val="002060"/>
                <w:sz w:val="16"/>
                <w:szCs w:val="16"/>
              </w:rPr>
              <w:t>начало лета 1914</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74DA56E7" w14:textId="77777777" w:rsidR="00F812F3" w:rsidRPr="00DE096C" w:rsidRDefault="00F812F3" w:rsidP="00D45A46">
            <w:pPr>
              <w:pStyle w:val="ae"/>
              <w:spacing w:before="0" w:beforeAutospacing="0" w:after="0" w:afterAutospacing="0"/>
              <w:jc w:val="both"/>
              <w:textAlignment w:val="baseline"/>
              <w:rPr>
                <w:bCs/>
                <w:color w:val="002060"/>
                <w:sz w:val="16"/>
                <w:szCs w:val="16"/>
              </w:rPr>
            </w:pPr>
            <w:r w:rsidRPr="00DE096C">
              <w:rPr>
                <w:bCs/>
                <w:color w:val="002060"/>
                <w:sz w:val="16"/>
                <w:szCs w:val="16"/>
              </w:rPr>
              <w:t>Псков</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7744E3C3" w14:textId="77777777" w:rsidR="00F812F3" w:rsidRPr="00DE096C" w:rsidRDefault="00F812F3" w:rsidP="00D45A46">
            <w:pPr>
              <w:pStyle w:val="ae"/>
              <w:spacing w:before="0" w:beforeAutospacing="0" w:after="0" w:afterAutospacing="0"/>
              <w:jc w:val="both"/>
              <w:textAlignment w:val="baseline"/>
              <w:rPr>
                <w:bCs/>
                <w:color w:val="002060"/>
                <w:sz w:val="16"/>
                <w:szCs w:val="16"/>
              </w:rPr>
            </w:pPr>
            <w:r w:rsidRPr="00DE096C">
              <w:rPr>
                <w:bCs/>
                <w:color w:val="002060"/>
                <w:sz w:val="16"/>
                <w:szCs w:val="16"/>
              </w:rPr>
              <w:t>капитан С.А. Бойно-Родзевич</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28E295D2" w14:textId="77777777" w:rsidR="00F812F3" w:rsidRPr="00DE096C" w:rsidRDefault="00F812F3" w:rsidP="00D45A46">
            <w:pPr>
              <w:pStyle w:val="ae"/>
              <w:spacing w:before="0" w:beforeAutospacing="0" w:after="0" w:afterAutospacing="0"/>
              <w:jc w:val="both"/>
              <w:textAlignment w:val="baseline"/>
              <w:rPr>
                <w:bCs/>
                <w:color w:val="002060"/>
                <w:sz w:val="16"/>
                <w:szCs w:val="16"/>
              </w:rPr>
            </w:pPr>
            <w:r w:rsidRPr="00DE096C">
              <w:rPr>
                <w:bCs/>
                <w:color w:val="002060"/>
                <w:sz w:val="16"/>
                <w:szCs w:val="16"/>
              </w:rPr>
              <w:t>Северный фронт, (северо-западный)</w:t>
            </w:r>
          </w:p>
        </w:tc>
      </w:tr>
      <w:tr w:rsidR="00F812F3" w:rsidRPr="00DE096C" w14:paraId="4D025860" w14:textId="77777777" w:rsidTr="00920A70">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16BBFEA7" w14:textId="77777777" w:rsidR="00F812F3" w:rsidRPr="00DE096C" w:rsidRDefault="00F812F3" w:rsidP="00D45A46">
            <w:pPr>
              <w:pStyle w:val="ae"/>
              <w:spacing w:before="0" w:beforeAutospacing="0" w:after="0" w:afterAutospacing="0"/>
              <w:jc w:val="both"/>
              <w:textAlignment w:val="baseline"/>
              <w:rPr>
                <w:bCs/>
                <w:color w:val="002060"/>
                <w:sz w:val="16"/>
                <w:szCs w:val="16"/>
              </w:rPr>
            </w:pPr>
            <w:r w:rsidRPr="00DE096C">
              <w:rPr>
                <w:bCs/>
                <w:color w:val="002060"/>
                <w:sz w:val="16"/>
                <w:szCs w:val="16"/>
              </w:rPr>
              <w:t>Кавказский авиапарк</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452506BD" w14:textId="77777777" w:rsidR="00F812F3" w:rsidRPr="00DE096C" w:rsidRDefault="00F812F3" w:rsidP="00D45A46">
            <w:pPr>
              <w:pStyle w:val="ae"/>
              <w:spacing w:before="0" w:beforeAutospacing="0" w:after="0" w:afterAutospacing="0"/>
              <w:jc w:val="both"/>
              <w:textAlignment w:val="baseline"/>
              <w:rPr>
                <w:bCs/>
                <w:color w:val="002060"/>
                <w:sz w:val="16"/>
                <w:szCs w:val="16"/>
              </w:rPr>
            </w:pPr>
            <w:r w:rsidRPr="00DE096C">
              <w:rPr>
                <w:bCs/>
                <w:color w:val="002060"/>
                <w:sz w:val="16"/>
                <w:szCs w:val="16"/>
              </w:rPr>
              <w:t>1916</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388051BC" w14:textId="77777777" w:rsidR="00F812F3" w:rsidRPr="00DE096C" w:rsidRDefault="00F812F3" w:rsidP="00D45A46">
            <w:pPr>
              <w:pStyle w:val="ae"/>
              <w:spacing w:before="0" w:beforeAutospacing="0" w:after="0" w:afterAutospacing="0"/>
              <w:jc w:val="both"/>
              <w:textAlignment w:val="baseline"/>
              <w:rPr>
                <w:bCs/>
                <w:color w:val="002060"/>
                <w:sz w:val="16"/>
                <w:szCs w:val="16"/>
              </w:rPr>
            </w:pPr>
            <w:r w:rsidRPr="00DE096C">
              <w:rPr>
                <w:bCs/>
                <w:color w:val="002060"/>
                <w:sz w:val="16"/>
                <w:szCs w:val="16"/>
              </w:rPr>
              <w:t>Тифлис</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2DCC614E" w14:textId="77777777" w:rsidR="00F812F3" w:rsidRPr="00DE096C" w:rsidRDefault="00F812F3" w:rsidP="00D45A46">
            <w:pPr>
              <w:pStyle w:val="ae"/>
              <w:spacing w:before="0" w:beforeAutospacing="0" w:after="0" w:afterAutospacing="0"/>
              <w:jc w:val="both"/>
              <w:textAlignment w:val="baseline"/>
              <w:rPr>
                <w:bCs/>
                <w:color w:val="002060"/>
                <w:sz w:val="16"/>
                <w:szCs w:val="16"/>
              </w:rPr>
            </w:pPr>
            <w:r w:rsidRPr="00DE096C">
              <w:rPr>
                <w:bCs/>
                <w:color w:val="002060"/>
                <w:sz w:val="16"/>
                <w:szCs w:val="16"/>
              </w:rPr>
              <w:t>штабс-капитан К.Василевский</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14BDB62B" w14:textId="77777777" w:rsidR="00F812F3" w:rsidRPr="00DE096C" w:rsidRDefault="00F812F3" w:rsidP="00D45A46">
            <w:pPr>
              <w:pStyle w:val="ae"/>
              <w:spacing w:before="0" w:beforeAutospacing="0" w:after="0" w:afterAutospacing="0"/>
              <w:jc w:val="both"/>
              <w:textAlignment w:val="baseline"/>
              <w:rPr>
                <w:bCs/>
                <w:color w:val="002060"/>
                <w:sz w:val="16"/>
                <w:szCs w:val="16"/>
              </w:rPr>
            </w:pPr>
            <w:r w:rsidRPr="00DE096C">
              <w:rPr>
                <w:bCs/>
                <w:color w:val="002060"/>
                <w:sz w:val="16"/>
                <w:szCs w:val="16"/>
              </w:rPr>
              <w:t>Южный фронт. Выделена полурота из состава 1-й авиароты. 16.06.1916 согласно Приказа НШ ВГ №818 преобразован в Кавказский авиапарк</w:t>
            </w:r>
          </w:p>
        </w:tc>
      </w:tr>
    </w:tbl>
    <w:p w14:paraId="6E054306" w14:textId="77777777" w:rsidR="00F812F3" w:rsidRPr="00DE096C" w:rsidRDefault="00F812F3" w:rsidP="00D45A46">
      <w:pPr>
        <w:jc w:val="both"/>
        <w:rPr>
          <w:bCs/>
          <w:color w:val="002060"/>
          <w:sz w:val="16"/>
          <w:szCs w:val="16"/>
        </w:rPr>
      </w:pPr>
      <w:r w:rsidRPr="00DE096C">
        <w:rPr>
          <w:bCs/>
          <w:color w:val="002060"/>
          <w:sz w:val="16"/>
          <w:szCs w:val="16"/>
          <w:shd w:val="clear" w:color="auto" w:fill="FFFFFF"/>
        </w:rPr>
        <w:t>(20200)</w:t>
      </w:r>
    </w:p>
    <w:p w14:paraId="5AE92973" w14:textId="77777777" w:rsidR="00F812F3" w:rsidRPr="00DE096C" w:rsidRDefault="00F812F3" w:rsidP="00D45A46">
      <w:pPr>
        <w:jc w:val="both"/>
        <w:rPr>
          <w:bCs/>
          <w:color w:val="002060"/>
          <w:sz w:val="16"/>
          <w:szCs w:val="16"/>
        </w:rPr>
      </w:pPr>
    </w:p>
    <w:p w14:paraId="64B8F97B"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Военное воздухоплавание:</w:t>
      </w:r>
    </w:p>
    <w:p w14:paraId="2747CB29" w14:textId="77777777" w:rsidR="00B67D7C" w:rsidRPr="00DE096C" w:rsidRDefault="00B67D7C" w:rsidP="00D45A46">
      <w:pPr>
        <w:shd w:val="clear" w:color="auto" w:fill="FFFFFF"/>
        <w:jc w:val="both"/>
        <w:rPr>
          <w:bCs/>
          <w:i/>
          <w:color w:val="002060"/>
          <w:sz w:val="16"/>
          <w:szCs w:val="16"/>
        </w:rPr>
      </w:pPr>
    </w:p>
    <w:p w14:paraId="0849B7D1" w14:textId="3F781CB9" w:rsidR="00B67D7C" w:rsidRPr="00DE096C" w:rsidRDefault="00B67D7C" w:rsidP="00D45A46">
      <w:pPr>
        <w:jc w:val="both"/>
        <w:rPr>
          <w:bCs/>
          <w:color w:val="002060"/>
          <w:sz w:val="16"/>
          <w:szCs w:val="16"/>
        </w:rPr>
      </w:pPr>
      <w:r w:rsidRPr="00DE096C">
        <w:rPr>
          <w:bCs/>
          <w:color w:val="002060"/>
          <w:sz w:val="16"/>
          <w:szCs w:val="16"/>
        </w:rPr>
        <w:t xml:space="preserve">В конце сентября </w:t>
      </w:r>
      <w:r w:rsidR="00B5582D" w:rsidRPr="00DE096C">
        <w:rPr>
          <w:bCs/>
          <w:color w:val="002060"/>
          <w:sz w:val="16"/>
          <w:szCs w:val="16"/>
        </w:rPr>
        <w:t xml:space="preserve">1014 г. </w:t>
      </w:r>
      <w:r w:rsidRPr="00DE096C">
        <w:rPr>
          <w:bCs/>
          <w:color w:val="002060"/>
          <w:sz w:val="16"/>
          <w:szCs w:val="16"/>
        </w:rPr>
        <w:t xml:space="preserve">Б. Голубов был назначен командиром 3-й воздухоплавательной роты и выехал в Лиду на приемку переданных под его начало дирижаблей «Гриф» и «Астра XIII». Временно командиром «Альбатроса» стал А. Шабский. Он выполнил несколько ознакомительных полетов, а затем предпринял ряд безуспешных ночных боевых вылетов в район Осовца на позиции противника — погода явно не благоприятствовала выполнению заданий (11324). </w:t>
      </w:r>
    </w:p>
    <w:p w14:paraId="0F1D9130" w14:textId="77777777" w:rsidR="00B67D7C" w:rsidRPr="00DE096C" w:rsidRDefault="00B67D7C" w:rsidP="00D45A46">
      <w:pPr>
        <w:shd w:val="clear" w:color="auto" w:fill="FFFFFF"/>
        <w:jc w:val="both"/>
        <w:rPr>
          <w:bCs/>
          <w:i/>
          <w:color w:val="002060"/>
          <w:sz w:val="16"/>
          <w:szCs w:val="16"/>
        </w:rPr>
      </w:pPr>
    </w:p>
    <w:p w14:paraId="2C46AE60" w14:textId="32CBDD0B" w:rsidR="00F812F3" w:rsidRPr="00DE096C" w:rsidRDefault="00F812F3" w:rsidP="00D45A46">
      <w:pPr>
        <w:jc w:val="both"/>
        <w:rPr>
          <w:bCs/>
          <w:color w:val="002060"/>
          <w:sz w:val="16"/>
          <w:szCs w:val="16"/>
        </w:rPr>
      </w:pPr>
      <w:r w:rsidRPr="00DE096C">
        <w:rPr>
          <w:rStyle w:val="43"/>
          <w:rFonts w:ascii="Times New Roman" w:hAnsi="Times New Roman" w:cs="Times New Roman"/>
          <w:bCs/>
          <w:color w:val="002060"/>
          <w:w w:val="100"/>
          <w:sz w:val="16"/>
          <w:szCs w:val="16"/>
        </w:rPr>
        <w:t xml:space="preserve">В конце сентября 1914 </w:t>
      </w:r>
      <w:r w:rsidR="00B5582D" w:rsidRPr="00DE096C">
        <w:rPr>
          <w:rStyle w:val="43"/>
          <w:rFonts w:ascii="Times New Roman" w:hAnsi="Times New Roman" w:cs="Times New Roman"/>
          <w:bCs/>
          <w:color w:val="002060"/>
          <w:w w:val="100"/>
          <w:sz w:val="16"/>
          <w:szCs w:val="16"/>
        </w:rPr>
        <w:t xml:space="preserve">г. </w:t>
      </w:r>
      <w:r w:rsidRPr="00DE096C">
        <w:rPr>
          <w:rStyle w:val="43"/>
          <w:rFonts w:ascii="Times New Roman" w:hAnsi="Times New Roman" w:cs="Times New Roman"/>
          <w:bCs/>
          <w:color w:val="002060"/>
          <w:w w:val="100"/>
          <w:sz w:val="16"/>
          <w:szCs w:val="16"/>
        </w:rPr>
        <w:t>подполковник Б.В. Голубов убыл в 3-ю воздухоплавательную роту для под</w:t>
      </w:r>
      <w:r w:rsidRPr="00DE096C">
        <w:rPr>
          <w:rStyle w:val="43"/>
          <w:rFonts w:ascii="Times New Roman" w:hAnsi="Times New Roman" w:cs="Times New Roman"/>
          <w:bCs/>
          <w:color w:val="002060"/>
          <w:w w:val="100"/>
          <w:sz w:val="16"/>
          <w:szCs w:val="16"/>
        </w:rPr>
        <w:softHyphen/>
        <w:t>готовки «Буревестника» и «Астры» к боевым действиям. Командиром «Альбатроса» назна</w:t>
      </w:r>
      <w:r w:rsidRPr="00DE096C">
        <w:rPr>
          <w:rStyle w:val="43"/>
          <w:rFonts w:ascii="Times New Roman" w:hAnsi="Times New Roman" w:cs="Times New Roman"/>
          <w:bCs/>
          <w:color w:val="002060"/>
          <w:w w:val="100"/>
          <w:sz w:val="16"/>
          <w:szCs w:val="16"/>
        </w:rPr>
        <w:softHyphen/>
        <w:t>чили штабс-капитана А.И. Шабского. 2, 3 и 6 октября он пытался повести дирижабль на Лет- цен. Четыре раза дирижаблю помешала плохая погода, один раз он заблудился и один раз его обстреляли свои войска (20120).</w:t>
      </w:r>
    </w:p>
    <w:p w14:paraId="2E9C5857" w14:textId="77777777" w:rsidR="00F812F3" w:rsidRPr="00DE096C" w:rsidRDefault="00F812F3" w:rsidP="00D45A46">
      <w:pPr>
        <w:jc w:val="both"/>
        <w:rPr>
          <w:bCs/>
          <w:color w:val="002060"/>
          <w:sz w:val="16"/>
          <w:szCs w:val="16"/>
        </w:rPr>
      </w:pPr>
    </w:p>
    <w:p w14:paraId="0E3151E8" w14:textId="77777777" w:rsidR="004A06BE" w:rsidRPr="00DE096C" w:rsidRDefault="004A06BE" w:rsidP="004A06BE">
      <w:pPr>
        <w:shd w:val="clear" w:color="auto" w:fill="FFFFFF"/>
        <w:jc w:val="both"/>
        <w:rPr>
          <w:bCs/>
          <w:i/>
          <w:color w:val="002060"/>
          <w:sz w:val="16"/>
          <w:szCs w:val="16"/>
        </w:rPr>
      </w:pPr>
      <w:r w:rsidRPr="00DE096C">
        <w:rPr>
          <w:bCs/>
          <w:i/>
          <w:color w:val="002060"/>
          <w:sz w:val="16"/>
          <w:szCs w:val="16"/>
        </w:rPr>
        <w:t xml:space="preserve">Авиация и воздухоплавание </w:t>
      </w:r>
      <w:r>
        <w:rPr>
          <w:bCs/>
          <w:i/>
          <w:color w:val="002060"/>
          <w:sz w:val="16"/>
          <w:szCs w:val="16"/>
        </w:rPr>
        <w:t>Франции</w:t>
      </w:r>
      <w:r w:rsidRPr="00DE096C">
        <w:rPr>
          <w:bCs/>
          <w:i/>
          <w:color w:val="002060"/>
          <w:sz w:val="16"/>
          <w:szCs w:val="16"/>
        </w:rPr>
        <w:t>:</w:t>
      </w:r>
    </w:p>
    <w:p w14:paraId="151FF34C" w14:textId="77777777" w:rsidR="004A06BE" w:rsidRPr="00DE096C" w:rsidRDefault="004A06BE" w:rsidP="004A06BE">
      <w:pPr>
        <w:shd w:val="clear" w:color="auto" w:fill="FFFFFF"/>
        <w:jc w:val="both"/>
        <w:rPr>
          <w:bCs/>
          <w:i/>
          <w:color w:val="002060"/>
          <w:sz w:val="16"/>
          <w:szCs w:val="16"/>
        </w:rPr>
      </w:pPr>
    </w:p>
    <w:p w14:paraId="05C57611" w14:textId="77777777" w:rsidR="004A06BE" w:rsidRPr="00B52707" w:rsidRDefault="004A06BE" w:rsidP="004A06BE">
      <w:pPr>
        <w:jc w:val="both"/>
        <w:rPr>
          <w:color w:val="0070C0"/>
          <w:sz w:val="16"/>
          <w:szCs w:val="16"/>
        </w:rPr>
      </w:pPr>
      <w:r w:rsidRPr="00B52707">
        <w:rPr>
          <w:color w:val="0070C0"/>
          <w:sz w:val="16"/>
          <w:szCs w:val="16"/>
        </w:rPr>
        <w:t>Во второй половине сентября 1914 во Франции были сформированы первые в мире бом</w:t>
      </w:r>
      <w:r w:rsidRPr="00B52707">
        <w:rPr>
          <w:color w:val="0070C0"/>
          <w:sz w:val="16"/>
          <w:szCs w:val="16"/>
        </w:rPr>
        <w:softHyphen/>
        <w:t>бардировочные авиачасти — эскадрильи VB 1, 2, 3 и 4. Их вооружили одномоторными «Вуазенами» — бипла</w:t>
      </w:r>
      <w:r w:rsidRPr="00B52707">
        <w:rPr>
          <w:color w:val="0070C0"/>
          <w:sz w:val="16"/>
          <w:szCs w:val="16"/>
        </w:rPr>
        <w:softHyphen/>
        <w:t>нами с толкающими винтами. Именно эти машины, да ещё «Фарманы» и «Бреге-Мишлены» той же схемы составляли основу французской бомбардировочной авиации до 1917 г. (24992).</w:t>
      </w:r>
    </w:p>
    <w:p w14:paraId="034F1A49" w14:textId="77777777" w:rsidR="004A06BE" w:rsidRPr="00B52707" w:rsidRDefault="004A06BE" w:rsidP="004A06BE">
      <w:pPr>
        <w:jc w:val="both"/>
        <w:rPr>
          <w:color w:val="0070C0"/>
          <w:sz w:val="16"/>
          <w:szCs w:val="16"/>
        </w:rPr>
      </w:pPr>
    </w:p>
    <w:p w14:paraId="5A1C2045" w14:textId="43532004" w:rsidR="00F600AC" w:rsidRPr="00DE096C" w:rsidRDefault="00F600AC" w:rsidP="00D45A46">
      <w:pPr>
        <w:shd w:val="clear" w:color="auto" w:fill="FFFFFF"/>
        <w:jc w:val="both"/>
        <w:rPr>
          <w:bCs/>
          <w:i/>
          <w:color w:val="002060"/>
          <w:sz w:val="16"/>
          <w:szCs w:val="16"/>
        </w:rPr>
      </w:pPr>
      <w:r w:rsidRPr="00DE096C">
        <w:rPr>
          <w:bCs/>
          <w:i/>
          <w:color w:val="002060"/>
          <w:sz w:val="16"/>
          <w:szCs w:val="16"/>
        </w:rPr>
        <w:t>Самолетостроение:</w:t>
      </w:r>
    </w:p>
    <w:p w14:paraId="48CA166F" w14:textId="77777777" w:rsidR="00F600AC" w:rsidRPr="00DE096C" w:rsidRDefault="00F600AC" w:rsidP="00D45A46">
      <w:pPr>
        <w:shd w:val="clear" w:color="auto" w:fill="FFFFFF"/>
        <w:jc w:val="both"/>
        <w:rPr>
          <w:bCs/>
          <w:i/>
          <w:color w:val="002060"/>
          <w:sz w:val="16"/>
          <w:szCs w:val="16"/>
        </w:rPr>
      </w:pPr>
    </w:p>
    <w:p w14:paraId="0BCB7DEA" w14:textId="77777777" w:rsidR="00F600AC" w:rsidRPr="00DE096C" w:rsidRDefault="00F600AC" w:rsidP="00D45A46">
      <w:pPr>
        <w:jc w:val="both"/>
        <w:rPr>
          <w:bCs/>
          <w:color w:val="002060"/>
          <w:sz w:val="16"/>
          <w:szCs w:val="16"/>
        </w:rPr>
      </w:pPr>
      <w:r w:rsidRPr="00DE096C">
        <w:rPr>
          <w:bCs/>
          <w:color w:val="002060"/>
          <w:sz w:val="16"/>
          <w:szCs w:val="16"/>
        </w:rPr>
        <w:t>В конце сентября — начале октября 1914 г. С-15 был отправлен в Ревель и опробован там, но не удовлетворил требованиям, предъ</w:t>
      </w:r>
      <w:r w:rsidRPr="00DE096C">
        <w:rPr>
          <w:bCs/>
          <w:color w:val="002060"/>
          <w:sz w:val="16"/>
          <w:szCs w:val="16"/>
        </w:rPr>
        <w:softHyphen/>
        <w:t>являвшимся к нему. В середине октября его послали обратно на завод и более сведений о нем не поступало. По всей вероятности, модель С-15 являлась дальнейшим развитием одной из модифика</w:t>
      </w:r>
      <w:r w:rsidRPr="00DE096C">
        <w:rPr>
          <w:bCs/>
          <w:color w:val="002060"/>
          <w:sz w:val="16"/>
          <w:szCs w:val="16"/>
        </w:rPr>
        <w:softHyphen/>
        <w:t>ций модели С-10. 27 июля 1914 г. МГШ просил командира Петроградского порта о даче Р-БВЗ срочного наряда на приобретение "гидроаэроплана системы Сикорский-15 с 125НР (125 л.с. — А А) мотором Аргус, стоимостью 14,000 руб". Сделка была официально закреп</w:t>
      </w:r>
      <w:r w:rsidRPr="00DE096C">
        <w:rPr>
          <w:bCs/>
          <w:color w:val="002060"/>
          <w:sz w:val="16"/>
          <w:szCs w:val="16"/>
        </w:rPr>
        <w:softHyphen/>
        <w:t>лена только 13 августа, т.к. руководство компании неожиданно увеличило цену до 17,000 руб. Спор длился недолго и 20 августа аппарат С-15 доставили в Гребной порт вместе с двумя С-10, вариант "бис" или "в". Через два дня всех их подготовили к сдаточным испытаниям, которые пришлось отложить из-за плохой погоды. (2843).</w:t>
      </w:r>
    </w:p>
    <w:p w14:paraId="18AA2877" w14:textId="77777777" w:rsidR="00F600AC" w:rsidRPr="00DE096C" w:rsidRDefault="00F600AC" w:rsidP="00D45A46">
      <w:pPr>
        <w:shd w:val="clear" w:color="auto" w:fill="FFFFFF"/>
        <w:jc w:val="both"/>
        <w:rPr>
          <w:bCs/>
          <w:color w:val="002060"/>
          <w:sz w:val="16"/>
          <w:szCs w:val="16"/>
        </w:rPr>
      </w:pPr>
    </w:p>
    <w:p w14:paraId="5AEA4449" w14:textId="77777777" w:rsidR="00F600AC" w:rsidRPr="00DE096C" w:rsidRDefault="00F600A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С июля по сентябрь 1914 г. было изготовлено 5 аппаратов типа Б №№135-138 и 143, получивших соответственно наименования кораблей c I по V. После многочисленных доработок и установки вооружения 2 машины в августе были готовы к отправке на фронт. Утром 31 августа "Илья Муромец 1" Е.В.Руднева вылетел в Белосток на Северо-Западный фронт. 24 сентября на фронт отправился "Илья Муромец II" поручика А.В.Панкратьева. </w:t>
      </w:r>
    </w:p>
    <w:p w14:paraId="684A8972" w14:textId="77777777" w:rsidR="00F600AC" w:rsidRPr="00DE096C" w:rsidRDefault="00F600A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Председатель Правления А/О РБВЗ Шидловский написал докладную записку военному министру Сухомлинову и просил, чтобы ему на деле дали возможность доказать пригодность "Муромцев" для военных целей. В ней указывалось неправильное использование этих машин на фронте и предлагалось сформировать из разрозненных отрядов "Муромцев" боевое соединение по типу эскадры морских боевых кораблей. Верховный Главнокомандующий Великий князь Николай Николаевич и сам император также ознакомились с докладом и одобрили этот проект. В начале декабря 1914г. был издан приказ согласно которого вся авиация делилась на тяжелую и легкую. Было сформировано Управление Эскадры Воздушных Кораблей (УЭВК), подчиненное Верховному Главнокомандующему. М.В.Шидловскому присвоили звание генерал-майора, что соответствовало его чину действительного статского советника, и назначили Начальником УЭВК. По штату Эскадре полагалось 10 боевых и 2 учебных корабля. Аэродром УЭВК находился у деревни Старая Яблонна (под Варшавой), куда в декабре 1914 г прибыли 111-й, V-й, VI-й и VII-й корабли. Два последних "Муромца" были нового типа В ("облегченного"), с острым носом (первый учебный с 2 "Сальмсонами", второй боевой). Еще в сентябре 1914 г. при формировании трех до­полнительных отрядов (V-го поручика Г.В.Алехновича, VI-го штабс-капитана Б.Н.Фирсова и VII-го штабс-капитана Г.Г.Горшкова). Для отряда "Киевский" ( VII-го по порядку) предназ­начался "Киевский" №128, находившийся в Гатчинской школе. Но школа просила оставить корабль для подготовки летчиков. Тогда Горшкову выделили новый аэроплан за №150 типа И, который получил название "Киевский" по имени отряда. Бесценные моторы "Аргус" были сняты с гатчинца и поставлены на новый корабль, который в декабре убыл по ж/д на фронт вместе с УЭВК (11277).</w:t>
      </w:r>
    </w:p>
    <w:p w14:paraId="0E87CDF5" w14:textId="77777777" w:rsidR="00F600AC" w:rsidRPr="00DE096C" w:rsidRDefault="00F600AC" w:rsidP="00D45A46">
      <w:pPr>
        <w:pStyle w:val="a3"/>
        <w:jc w:val="both"/>
        <w:rPr>
          <w:bCs/>
          <w:i w:val="0"/>
          <w:color w:val="002060"/>
          <w:spacing w:val="0"/>
          <w:kern w:val="0"/>
          <w:position w:val="0"/>
          <w:sz w:val="16"/>
          <w:szCs w:val="16"/>
        </w:rPr>
      </w:pPr>
    </w:p>
    <w:p w14:paraId="7C57A41E" w14:textId="040ED9E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 и воздухоплавание Германии:</w:t>
      </w:r>
    </w:p>
    <w:p w14:paraId="49401041" w14:textId="77777777" w:rsidR="00B67D7C" w:rsidRPr="00DE096C" w:rsidRDefault="00B67D7C" w:rsidP="00D45A46">
      <w:pPr>
        <w:shd w:val="clear" w:color="auto" w:fill="FFFFFF"/>
        <w:jc w:val="both"/>
        <w:rPr>
          <w:bCs/>
          <w:i/>
          <w:color w:val="002060"/>
          <w:sz w:val="16"/>
          <w:szCs w:val="16"/>
        </w:rPr>
      </w:pPr>
    </w:p>
    <w:p w14:paraId="39BC631B" w14:textId="77777777" w:rsidR="00B67D7C" w:rsidRPr="00DE096C" w:rsidRDefault="00B67D7C" w:rsidP="00D45A46">
      <w:pPr>
        <w:jc w:val="both"/>
        <w:rPr>
          <w:bCs/>
          <w:color w:val="002060"/>
          <w:sz w:val="16"/>
          <w:szCs w:val="16"/>
        </w:rPr>
      </w:pPr>
      <w:r w:rsidRPr="00DE096C">
        <w:rPr>
          <w:bCs/>
          <w:color w:val="002060"/>
          <w:sz w:val="16"/>
          <w:szCs w:val="16"/>
        </w:rPr>
        <w:t>В конце сентября и в начале октября 1914 года первые воздушные налеты противника были произведены на эллинги в Дюссельдорфе и на газовые заводы в Кельне. Они так же мало повлияли на изменение принятого способа противовоздушной обороны, как и налеты в середине ноября на верфи Цеппелина в Фридрихсгафене. Причина заключалась в том, что не существовало единого центра управления средствами противовоздушной обороны, который мог бы собирать и систематизировать весь соответствующий материал. К тому же считалось, что далеко выдвинутая вперед линия западного фронта оградит тыл от воздушных нападений. Перемена взглядов на защиту от нападений с воздуха произошла лишь после налета на Фрейбург в декабре 1914 года, повлекшего за собой большое количество человеческих жертв. После этого всеми заинтересованными лицами, а в первую очередь руководителями военной промышленности, был поднят вопрос о противовоздушной обороне: предъявлено требование своевременного предупреждения о налетах вражеской авиации, что удовлетворяло потребности армии и населения (11282).</w:t>
      </w:r>
    </w:p>
    <w:p w14:paraId="0B32E651" w14:textId="77777777" w:rsidR="00B67D7C" w:rsidRPr="00DE096C" w:rsidRDefault="00B67D7C" w:rsidP="00D45A46">
      <w:pPr>
        <w:jc w:val="both"/>
        <w:rPr>
          <w:bCs/>
          <w:color w:val="002060"/>
          <w:sz w:val="16"/>
          <w:szCs w:val="16"/>
        </w:rPr>
      </w:pPr>
    </w:p>
    <w:p w14:paraId="47672229" w14:textId="2A4729B1" w:rsidR="004D1A49" w:rsidRPr="00DE096C" w:rsidRDefault="004D1A49" w:rsidP="00D45A46">
      <w:pPr>
        <w:jc w:val="both"/>
        <w:rPr>
          <w:bCs/>
          <w:i/>
          <w:color w:val="002060"/>
          <w:sz w:val="16"/>
          <w:szCs w:val="16"/>
        </w:rPr>
      </w:pPr>
      <w:r w:rsidRPr="00DE096C">
        <w:rPr>
          <w:bCs/>
          <w:i/>
          <w:color w:val="002060"/>
          <w:sz w:val="16"/>
          <w:szCs w:val="16"/>
        </w:rPr>
        <w:t>Самолетостроение:</w:t>
      </w:r>
    </w:p>
    <w:p w14:paraId="54A3384C" w14:textId="77777777" w:rsidR="004D1A49" w:rsidRPr="00DE096C" w:rsidRDefault="004D1A49" w:rsidP="00D45A46">
      <w:pPr>
        <w:jc w:val="both"/>
        <w:rPr>
          <w:bCs/>
          <w:i/>
          <w:color w:val="002060"/>
          <w:sz w:val="16"/>
          <w:szCs w:val="16"/>
        </w:rPr>
      </w:pPr>
    </w:p>
    <w:p w14:paraId="14B39274" w14:textId="77777777" w:rsidR="004D1A49" w:rsidRPr="00DE096C" w:rsidRDefault="004D1A49" w:rsidP="00D45A46">
      <w:pPr>
        <w:jc w:val="both"/>
        <w:rPr>
          <w:bCs/>
          <w:color w:val="002060"/>
          <w:sz w:val="16"/>
          <w:szCs w:val="16"/>
        </w:rPr>
      </w:pPr>
      <w:r w:rsidRPr="00DE096C">
        <w:rPr>
          <w:bCs/>
          <w:color w:val="002060"/>
          <w:sz w:val="16"/>
          <w:szCs w:val="16"/>
        </w:rPr>
        <w:t>В сентябре 1914 на РБВЗ был построен «Илья Муромец» Б (ИМ-Б № 139), стратегический разведчик, по сути – учебный самолет.</w:t>
      </w:r>
    </w:p>
    <w:p w14:paraId="4806339F" w14:textId="77777777" w:rsidR="004D1A49" w:rsidRPr="00DE096C" w:rsidRDefault="004D1A49" w:rsidP="00D45A46">
      <w:pPr>
        <w:jc w:val="both"/>
        <w:rPr>
          <w:bCs/>
          <w:color w:val="002060"/>
          <w:sz w:val="16"/>
          <w:szCs w:val="16"/>
        </w:rPr>
      </w:pPr>
      <w:r w:rsidRPr="00DE096C">
        <w:rPr>
          <w:bCs/>
          <w:color w:val="002060"/>
          <w:sz w:val="16"/>
          <w:szCs w:val="16"/>
        </w:rPr>
        <w:t>По данным В.Б. Шаврова построен по типу самолета № 136 (23569).</w:t>
      </w:r>
    </w:p>
    <w:p w14:paraId="30F73F8B" w14:textId="77777777" w:rsidR="004D1A49" w:rsidRPr="00DE096C" w:rsidRDefault="004D1A49" w:rsidP="00D45A46">
      <w:pPr>
        <w:jc w:val="both"/>
        <w:rPr>
          <w:bCs/>
          <w:color w:val="002060"/>
          <w:sz w:val="16"/>
          <w:szCs w:val="16"/>
        </w:rPr>
      </w:pPr>
    </w:p>
    <w:p w14:paraId="184D76BD" w14:textId="77777777" w:rsidR="004D1A49" w:rsidRPr="00DE096C" w:rsidRDefault="004D1A49" w:rsidP="00D45A46">
      <w:pPr>
        <w:jc w:val="both"/>
        <w:rPr>
          <w:bCs/>
          <w:color w:val="002060"/>
          <w:sz w:val="16"/>
          <w:szCs w:val="16"/>
        </w:rPr>
      </w:pPr>
      <w:r w:rsidRPr="00DE096C">
        <w:rPr>
          <w:bCs/>
          <w:color w:val="002060"/>
          <w:sz w:val="16"/>
          <w:szCs w:val="16"/>
        </w:rPr>
        <w:t>В сентябре 1914 г. РБВЗ сдан заказчику «Илья Муромец» Б-7 (ИМ-Б № 143, борт № V) экз. № 7, стратегический разведчик, по сути – учебный и экспериментальный самолет.</w:t>
      </w:r>
    </w:p>
    <w:p w14:paraId="6ED0EFD2" w14:textId="77777777" w:rsidR="004D1A49" w:rsidRPr="00DE096C" w:rsidRDefault="004D1A49" w:rsidP="00D45A46">
      <w:pPr>
        <w:jc w:val="both"/>
        <w:rPr>
          <w:bCs/>
          <w:color w:val="002060"/>
          <w:sz w:val="16"/>
          <w:szCs w:val="16"/>
        </w:rPr>
      </w:pPr>
      <w:r w:rsidRPr="00DE096C">
        <w:rPr>
          <w:bCs/>
          <w:color w:val="002060"/>
          <w:sz w:val="16"/>
          <w:szCs w:val="16"/>
        </w:rPr>
        <w:t>Построен с моторами и шасси по типу самолета № 136, но с отличиями по остальной конструкции:</w:t>
      </w:r>
    </w:p>
    <w:p w14:paraId="608D5036" w14:textId="77777777" w:rsidR="004D1A49" w:rsidRPr="00DE096C" w:rsidRDefault="004D1A49" w:rsidP="00D45A46">
      <w:pPr>
        <w:jc w:val="both"/>
        <w:rPr>
          <w:bCs/>
          <w:color w:val="002060"/>
          <w:sz w:val="16"/>
          <w:szCs w:val="16"/>
        </w:rPr>
      </w:pPr>
      <w:r w:rsidRPr="00DE096C">
        <w:rPr>
          <w:bCs/>
          <w:color w:val="002060"/>
          <w:sz w:val="16"/>
          <w:szCs w:val="16"/>
        </w:rPr>
        <w:t>- топливная и масляная система с двумя совмещенными баками над внутренними моторами (возможно, были баки и внутри фюзеляжа);</w:t>
      </w:r>
    </w:p>
    <w:p w14:paraId="284B0A73" w14:textId="77777777" w:rsidR="004D1A49" w:rsidRPr="00DE096C" w:rsidRDefault="004D1A49" w:rsidP="00D45A46">
      <w:pPr>
        <w:jc w:val="both"/>
        <w:rPr>
          <w:bCs/>
          <w:color w:val="002060"/>
          <w:sz w:val="16"/>
          <w:szCs w:val="16"/>
        </w:rPr>
      </w:pPr>
      <w:r w:rsidRPr="00DE096C">
        <w:rPr>
          <w:bCs/>
          <w:color w:val="002060"/>
          <w:sz w:val="16"/>
          <w:szCs w:val="16"/>
        </w:rPr>
        <w:t>- установлены радиаторы нового типа;</w:t>
      </w:r>
    </w:p>
    <w:p w14:paraId="61DCA7A8" w14:textId="77777777" w:rsidR="004D1A49" w:rsidRPr="00DE096C" w:rsidRDefault="004D1A49" w:rsidP="00D45A46">
      <w:pPr>
        <w:jc w:val="both"/>
        <w:rPr>
          <w:bCs/>
          <w:color w:val="002060"/>
          <w:sz w:val="16"/>
          <w:szCs w:val="16"/>
        </w:rPr>
      </w:pPr>
      <w:r w:rsidRPr="00DE096C">
        <w:rPr>
          <w:bCs/>
          <w:color w:val="002060"/>
          <w:sz w:val="16"/>
          <w:szCs w:val="16"/>
        </w:rPr>
        <w:lastRenderedPageBreak/>
        <w:t>- в межлонжеронной части центроплана верхнего крыла убраны все нервюры, кроме крайних, под ним на стойках «кабана» укреплена платформа и стойка для пулемета – это, по-видимому, был первый самолет ИМ с пулеметной установкой в центроплане;</w:t>
      </w:r>
    </w:p>
    <w:p w14:paraId="6918B59D" w14:textId="77777777" w:rsidR="004D1A49" w:rsidRPr="00DE096C" w:rsidRDefault="004D1A49" w:rsidP="00D45A46">
      <w:pPr>
        <w:jc w:val="both"/>
        <w:rPr>
          <w:bCs/>
          <w:color w:val="002060"/>
          <w:sz w:val="16"/>
          <w:szCs w:val="16"/>
        </w:rPr>
      </w:pPr>
      <w:r w:rsidRPr="00DE096C">
        <w:rPr>
          <w:bCs/>
          <w:color w:val="002060"/>
          <w:sz w:val="16"/>
          <w:szCs w:val="16"/>
        </w:rPr>
        <w:t>- под лобовым остеклением кабины установлены деревянные барельефы с государственным гербом Российской Империи и надписью «Илья Муромец» славянской вязью.</w:t>
      </w:r>
    </w:p>
    <w:p w14:paraId="73FC4337" w14:textId="77777777" w:rsidR="004D1A49" w:rsidRPr="00DE096C" w:rsidRDefault="004D1A49" w:rsidP="00D45A46">
      <w:pPr>
        <w:jc w:val="both"/>
        <w:rPr>
          <w:bCs/>
          <w:color w:val="002060"/>
          <w:sz w:val="16"/>
          <w:szCs w:val="16"/>
        </w:rPr>
      </w:pPr>
      <w:r w:rsidRPr="00DE096C">
        <w:rPr>
          <w:bCs/>
          <w:color w:val="002060"/>
          <w:sz w:val="16"/>
          <w:szCs w:val="16"/>
        </w:rPr>
        <w:t>Командиром корабля был назначен поручик Г.В. Алехнович.</w:t>
      </w:r>
    </w:p>
    <w:p w14:paraId="2FAB8680" w14:textId="77777777" w:rsidR="004D1A49" w:rsidRPr="00DE096C" w:rsidRDefault="004D1A49" w:rsidP="00D45A46">
      <w:pPr>
        <w:jc w:val="both"/>
        <w:rPr>
          <w:bCs/>
          <w:color w:val="002060"/>
          <w:sz w:val="16"/>
          <w:szCs w:val="16"/>
        </w:rPr>
      </w:pPr>
      <w:r w:rsidRPr="00DE096C">
        <w:rPr>
          <w:bCs/>
          <w:color w:val="002060"/>
          <w:sz w:val="16"/>
          <w:szCs w:val="16"/>
        </w:rPr>
        <w:t>В декабре 1914 г. прибыл на базу ЭВК в Яблонну и там был принят в казну в нарушение указания Военного Совета о запрете приемки самолетов ИМ впредь до устранения их недостатков.</w:t>
      </w:r>
    </w:p>
    <w:p w14:paraId="6253972B" w14:textId="77777777" w:rsidR="004D1A49" w:rsidRPr="00DE096C" w:rsidRDefault="004D1A49" w:rsidP="00D45A46">
      <w:pPr>
        <w:jc w:val="both"/>
        <w:rPr>
          <w:bCs/>
          <w:color w:val="002060"/>
          <w:sz w:val="16"/>
          <w:szCs w:val="16"/>
        </w:rPr>
      </w:pPr>
      <w:r w:rsidRPr="00DE096C">
        <w:rPr>
          <w:bCs/>
          <w:color w:val="002060"/>
          <w:sz w:val="16"/>
          <w:szCs w:val="16"/>
        </w:rPr>
        <w:t>В январе 1915 г. на корабле провели испытания установленной на верхней платформе безоткатной пушки системы Гельвига калибра 76 мм, которые дали отрицательные результаты:</w:t>
      </w:r>
    </w:p>
    <w:p w14:paraId="3BDB2F14" w14:textId="77777777" w:rsidR="004D1A49" w:rsidRPr="00DE096C" w:rsidRDefault="004D1A49" w:rsidP="00D45A46">
      <w:pPr>
        <w:jc w:val="both"/>
        <w:rPr>
          <w:bCs/>
          <w:color w:val="002060"/>
          <w:sz w:val="16"/>
          <w:szCs w:val="16"/>
        </w:rPr>
      </w:pPr>
      <w:r w:rsidRPr="00DE096C">
        <w:rPr>
          <w:bCs/>
          <w:color w:val="002060"/>
          <w:sz w:val="16"/>
          <w:szCs w:val="16"/>
        </w:rPr>
        <w:t>- пушка для самолета слишком тяжелая, наводить ее неудобно;</w:t>
      </w:r>
    </w:p>
    <w:p w14:paraId="62A9DFAA" w14:textId="77777777" w:rsidR="004D1A49" w:rsidRPr="00DE096C" w:rsidRDefault="004D1A49" w:rsidP="00D45A46">
      <w:pPr>
        <w:jc w:val="both"/>
        <w:rPr>
          <w:bCs/>
          <w:color w:val="002060"/>
          <w:sz w:val="16"/>
          <w:szCs w:val="16"/>
        </w:rPr>
      </w:pPr>
      <w:r w:rsidRPr="00DE096C">
        <w:rPr>
          <w:bCs/>
          <w:color w:val="002060"/>
          <w:sz w:val="16"/>
          <w:szCs w:val="16"/>
        </w:rPr>
        <w:t>- темп стрельбы недостаточен;</w:t>
      </w:r>
    </w:p>
    <w:p w14:paraId="29F66EF3" w14:textId="77777777" w:rsidR="004D1A49" w:rsidRPr="00DE096C" w:rsidRDefault="004D1A49" w:rsidP="00D45A46">
      <w:pPr>
        <w:jc w:val="both"/>
        <w:rPr>
          <w:bCs/>
          <w:color w:val="002060"/>
          <w:sz w:val="16"/>
          <w:szCs w:val="16"/>
        </w:rPr>
      </w:pPr>
      <w:r w:rsidRPr="00DE096C">
        <w:rPr>
          <w:bCs/>
          <w:color w:val="002060"/>
          <w:sz w:val="16"/>
          <w:szCs w:val="16"/>
        </w:rPr>
        <w:t>- пыж, вылетающий из обращенного назад ствола, создает опасность для своего самолета;</w:t>
      </w:r>
    </w:p>
    <w:p w14:paraId="6E0B3338" w14:textId="77777777" w:rsidR="004D1A49" w:rsidRPr="00DE096C" w:rsidRDefault="004D1A49" w:rsidP="00D45A46">
      <w:pPr>
        <w:jc w:val="both"/>
        <w:rPr>
          <w:bCs/>
          <w:color w:val="002060"/>
          <w:sz w:val="16"/>
          <w:szCs w:val="16"/>
        </w:rPr>
      </w:pPr>
      <w:r w:rsidRPr="00DE096C">
        <w:rPr>
          <w:bCs/>
          <w:color w:val="002060"/>
          <w:sz w:val="16"/>
          <w:szCs w:val="16"/>
        </w:rPr>
        <w:t>- рассеивание слишком велико.</w:t>
      </w:r>
    </w:p>
    <w:p w14:paraId="3EB8EE78" w14:textId="77777777" w:rsidR="004D1A49" w:rsidRPr="00DE096C" w:rsidRDefault="004D1A49" w:rsidP="00D45A46">
      <w:pPr>
        <w:jc w:val="both"/>
        <w:rPr>
          <w:bCs/>
          <w:color w:val="002060"/>
          <w:sz w:val="16"/>
          <w:szCs w:val="16"/>
        </w:rPr>
      </w:pPr>
      <w:r w:rsidRPr="00DE096C">
        <w:rPr>
          <w:bCs/>
          <w:color w:val="002060"/>
          <w:sz w:val="16"/>
          <w:szCs w:val="16"/>
        </w:rPr>
        <w:t>Был сделан однозначный вывод о предпочтительности для обороны легких пулеметов.</w:t>
      </w:r>
    </w:p>
    <w:p w14:paraId="57A146A3" w14:textId="77777777" w:rsidR="004D1A49" w:rsidRPr="00DE096C" w:rsidRDefault="004D1A49" w:rsidP="00D45A46">
      <w:pPr>
        <w:jc w:val="both"/>
        <w:rPr>
          <w:bCs/>
          <w:color w:val="002060"/>
          <w:sz w:val="16"/>
          <w:szCs w:val="16"/>
        </w:rPr>
      </w:pPr>
      <w:r w:rsidRPr="00DE096C">
        <w:rPr>
          <w:bCs/>
          <w:color w:val="002060"/>
          <w:sz w:val="16"/>
          <w:szCs w:val="16"/>
        </w:rPr>
        <w:t>В начале 1915 г. (предположительно, уже весной) самолет потерпел аварию на а/д Яблонна – были снесены шасси, поломаны все воздушные винты, повреждено нижнее крыло. Самолет пилотировал его штатный командир поручик Г.В. Алехнович.</w:t>
      </w:r>
    </w:p>
    <w:p w14:paraId="611FBB45" w14:textId="77777777" w:rsidR="004D1A49" w:rsidRPr="00DE096C" w:rsidRDefault="004D1A49" w:rsidP="00D45A46">
      <w:pPr>
        <w:jc w:val="both"/>
        <w:rPr>
          <w:bCs/>
          <w:color w:val="002060"/>
          <w:sz w:val="16"/>
          <w:szCs w:val="16"/>
        </w:rPr>
      </w:pPr>
      <w:r w:rsidRPr="00DE096C">
        <w:rPr>
          <w:bCs/>
          <w:color w:val="002060"/>
          <w:sz w:val="16"/>
          <w:szCs w:val="16"/>
        </w:rPr>
        <w:t>Списан в мае 1915 г. в Яблонне.</w:t>
      </w:r>
    </w:p>
    <w:p w14:paraId="19604107" w14:textId="77777777" w:rsidR="004D1A49" w:rsidRPr="00DE096C" w:rsidRDefault="004D1A49" w:rsidP="00D45A46">
      <w:pPr>
        <w:jc w:val="both"/>
        <w:rPr>
          <w:bCs/>
          <w:color w:val="002060"/>
          <w:sz w:val="16"/>
          <w:szCs w:val="16"/>
        </w:rPr>
      </w:pPr>
      <w:r w:rsidRPr="00DE096C">
        <w:rPr>
          <w:bCs/>
          <w:color w:val="002060"/>
          <w:sz w:val="16"/>
          <w:szCs w:val="16"/>
        </w:rPr>
        <w:t>2 (15 по н.ст.) октября 1914 г. ГВТУ выдало РБВЗ дополнительный контракт № 11356/5031 на постройку еще 32 кораблей типа ИМ. Однако после рапорта Руднева о непригодности самолета для военных целей, который поступил примерно в это же время, 20 ноября (3 декабря по н.ст.) 1914 г. он был приостановлен решением Военного Совета СВГК до устранения замечаний (23569).</w:t>
      </w:r>
    </w:p>
    <w:p w14:paraId="230C2485" w14:textId="77777777" w:rsidR="004D1A49" w:rsidRPr="00DE096C" w:rsidRDefault="004D1A49" w:rsidP="00D45A46">
      <w:pPr>
        <w:jc w:val="both"/>
        <w:rPr>
          <w:bCs/>
          <w:i/>
          <w:color w:val="002060"/>
          <w:sz w:val="16"/>
          <w:szCs w:val="16"/>
        </w:rPr>
      </w:pPr>
    </w:p>
    <w:p w14:paraId="56917552" w14:textId="77777777" w:rsidR="004D1A49" w:rsidRPr="00DE096C" w:rsidRDefault="004D1A49" w:rsidP="00D45A46">
      <w:pPr>
        <w:jc w:val="both"/>
        <w:rPr>
          <w:bCs/>
          <w:color w:val="002060"/>
          <w:sz w:val="16"/>
          <w:szCs w:val="16"/>
          <w:lang w:bidi="ru-RU"/>
        </w:rPr>
      </w:pPr>
      <w:r w:rsidRPr="00DE096C">
        <w:rPr>
          <w:bCs/>
          <w:color w:val="002060"/>
          <w:sz w:val="16"/>
          <w:szCs w:val="16"/>
          <w:lang w:bidi="ru-RU"/>
        </w:rPr>
        <w:t>В сен</w:t>
      </w:r>
      <w:r w:rsidRPr="00DE096C">
        <w:rPr>
          <w:bCs/>
          <w:color w:val="002060"/>
          <w:sz w:val="16"/>
          <w:szCs w:val="16"/>
          <w:lang w:bidi="ru-RU"/>
        </w:rPr>
        <w:softHyphen/>
        <w:t>тябре 1914 г. завершил работы по сборке триплана триплана Безобразова. Триплан строился на средства автора, в арендованном по</w:t>
      </w:r>
      <w:r w:rsidRPr="00DE096C">
        <w:rPr>
          <w:bCs/>
          <w:color w:val="002060"/>
          <w:sz w:val="16"/>
          <w:szCs w:val="16"/>
          <w:lang w:bidi="ru-RU"/>
        </w:rPr>
        <w:softHyphen/>
        <w:t>мещении на окраине Ходынского поля в Москве, при деятельнейшем участии и кон</w:t>
      </w:r>
      <w:r w:rsidRPr="00DE096C">
        <w:rPr>
          <w:bCs/>
          <w:color w:val="002060"/>
          <w:sz w:val="16"/>
          <w:szCs w:val="16"/>
          <w:lang w:bidi="ru-RU"/>
        </w:rPr>
        <w:softHyphen/>
        <w:t>структорской поддержке Ф.Э. Моска (на русский манер его называли Франческо Эвджистович Моска). Столярные мастер</w:t>
      </w:r>
      <w:r w:rsidRPr="00DE096C">
        <w:rPr>
          <w:bCs/>
          <w:color w:val="002060"/>
          <w:sz w:val="16"/>
          <w:szCs w:val="16"/>
          <w:lang w:bidi="ru-RU"/>
        </w:rPr>
        <w:softHyphen/>
        <w:t>ские находились на Петербургском шоссе в Москве, старшим столяром был Сергей Петров. Ему помогали столяр Никита и разнорабочий Федор. Механиком в «конто</w:t>
      </w:r>
      <w:r w:rsidRPr="00DE096C">
        <w:rPr>
          <w:bCs/>
          <w:color w:val="002060"/>
          <w:sz w:val="16"/>
          <w:szCs w:val="16"/>
          <w:lang w:bidi="ru-RU"/>
        </w:rPr>
        <w:softHyphen/>
        <w:t>ре» был Загржевский, сварщиком — Ми</w:t>
      </w:r>
      <w:r w:rsidRPr="00DE096C">
        <w:rPr>
          <w:bCs/>
          <w:color w:val="002060"/>
          <w:sz w:val="16"/>
          <w:szCs w:val="16"/>
          <w:lang w:bidi="ru-RU"/>
        </w:rPr>
        <w:softHyphen/>
        <w:t>шСам граф Безобразов как истин</w:t>
      </w:r>
      <w:r w:rsidRPr="00DE096C">
        <w:rPr>
          <w:bCs/>
          <w:color w:val="002060"/>
          <w:sz w:val="16"/>
          <w:szCs w:val="16"/>
          <w:lang w:bidi="ru-RU"/>
        </w:rPr>
        <w:softHyphen/>
        <w:t>ный патриот, в чине прапорщика русской армии с началом войны, летом 1914 г. от</w:t>
      </w:r>
      <w:r w:rsidRPr="00DE096C">
        <w:rPr>
          <w:bCs/>
          <w:color w:val="002060"/>
          <w:sz w:val="16"/>
          <w:szCs w:val="16"/>
          <w:lang w:bidi="ru-RU"/>
        </w:rPr>
        <w:softHyphen/>
        <w:t>правился на фронт.</w:t>
      </w:r>
    </w:p>
    <w:p w14:paraId="254EB2B7" w14:textId="77777777" w:rsidR="004D1A49" w:rsidRPr="00DE096C" w:rsidRDefault="004D1A49" w:rsidP="00D45A46">
      <w:pPr>
        <w:jc w:val="both"/>
        <w:rPr>
          <w:bCs/>
          <w:color w:val="002060"/>
          <w:sz w:val="16"/>
          <w:szCs w:val="16"/>
          <w:lang w:bidi="ru-RU"/>
        </w:rPr>
      </w:pPr>
      <w:r w:rsidRPr="00DE096C">
        <w:rPr>
          <w:bCs/>
          <w:color w:val="002060"/>
          <w:sz w:val="16"/>
          <w:szCs w:val="16"/>
          <w:lang w:bidi="ru-RU"/>
        </w:rPr>
        <w:t>2 октября 1914 г. авиатор Моска лично и вполне благополучно испытал триплан Бе</w:t>
      </w:r>
      <w:r w:rsidRPr="00DE096C">
        <w:rPr>
          <w:bCs/>
          <w:color w:val="002060"/>
          <w:sz w:val="16"/>
          <w:szCs w:val="16"/>
          <w:lang w:bidi="ru-RU"/>
        </w:rPr>
        <w:softHyphen/>
        <w:t>зобразова. Военный приемщик, штабс-ка</w:t>
      </w:r>
      <w:r w:rsidRPr="00DE096C">
        <w:rPr>
          <w:bCs/>
          <w:color w:val="002060"/>
          <w:sz w:val="16"/>
          <w:szCs w:val="16"/>
          <w:lang w:bidi="ru-RU"/>
        </w:rPr>
        <w:softHyphen/>
        <w:t>питан Быстрицкий, присутствующий при испытаниях, докладывал великому князю Александру Михайловичу:</w:t>
      </w:r>
    </w:p>
    <w:p w14:paraId="572AEDD9" w14:textId="77777777" w:rsidR="004D1A49" w:rsidRPr="00DE096C" w:rsidRDefault="004D1A49" w:rsidP="00D45A46">
      <w:pPr>
        <w:jc w:val="both"/>
        <w:rPr>
          <w:bCs/>
          <w:color w:val="002060"/>
          <w:sz w:val="16"/>
          <w:szCs w:val="16"/>
        </w:rPr>
      </w:pPr>
      <w:r w:rsidRPr="00DE096C">
        <w:rPr>
          <w:bCs/>
          <w:color w:val="002060"/>
          <w:sz w:val="16"/>
          <w:szCs w:val="16"/>
          <w:lang w:bidi="ru-RU"/>
        </w:rPr>
        <w:t>«Полет, сделанный в присутствии мос</w:t>
      </w:r>
      <w:r w:rsidRPr="00DE096C">
        <w:rPr>
          <w:bCs/>
          <w:color w:val="002060"/>
          <w:sz w:val="16"/>
          <w:szCs w:val="16"/>
          <w:lang w:bidi="ru-RU"/>
        </w:rPr>
        <w:softHyphen/>
        <w:t>ковского губернатора графа Муравьева, был произведен около недели назад в ча</w:t>
      </w:r>
      <w:r w:rsidRPr="00DE096C">
        <w:rPr>
          <w:bCs/>
          <w:color w:val="002060"/>
          <w:sz w:val="16"/>
          <w:szCs w:val="16"/>
          <w:lang w:bidi="ru-RU"/>
        </w:rPr>
        <w:softHyphen/>
        <w:t>сы занятия школы (Московской школы авиации — М.М.), почему я и многие воен</w:t>
      </w:r>
      <w:r w:rsidRPr="00DE096C">
        <w:rPr>
          <w:bCs/>
          <w:color w:val="002060"/>
          <w:sz w:val="16"/>
          <w:szCs w:val="16"/>
          <w:lang w:bidi="ru-RU"/>
        </w:rPr>
        <w:softHyphen/>
        <w:t>ные летчики наблюдали его.</w:t>
      </w:r>
    </w:p>
    <w:p w14:paraId="24F36FBB" w14:textId="77777777" w:rsidR="004D1A49" w:rsidRPr="00DE096C" w:rsidRDefault="004D1A49" w:rsidP="00D45A46">
      <w:pPr>
        <w:jc w:val="both"/>
        <w:rPr>
          <w:bCs/>
          <w:color w:val="002060"/>
          <w:sz w:val="16"/>
          <w:szCs w:val="16"/>
          <w:lang w:bidi="ru-RU"/>
        </w:rPr>
      </w:pPr>
      <w:r w:rsidRPr="00DE096C">
        <w:rPr>
          <w:bCs/>
          <w:color w:val="002060"/>
          <w:sz w:val="16"/>
          <w:szCs w:val="16"/>
          <w:lang w:bidi="ru-RU"/>
        </w:rPr>
        <w:t>Полет был совершен с общей полезной нагрузкой около 85 кг, продолжался 10 мин., разбег при взлете около 60—70 м. Пробег при спуске — около 70—80 м. Вы</w:t>
      </w:r>
      <w:r w:rsidRPr="00DE096C">
        <w:rPr>
          <w:bCs/>
          <w:color w:val="002060"/>
          <w:sz w:val="16"/>
          <w:szCs w:val="16"/>
          <w:lang w:bidi="ru-RU"/>
        </w:rPr>
        <w:softHyphen/>
        <w:t>сота полета не превосходила 100 м. Ско</w:t>
      </w:r>
      <w:r w:rsidRPr="00DE096C">
        <w:rPr>
          <w:bCs/>
          <w:color w:val="002060"/>
          <w:sz w:val="16"/>
          <w:szCs w:val="16"/>
          <w:lang w:bidi="ru-RU"/>
        </w:rPr>
        <w:softHyphen/>
        <w:t>рость около 100 км/час».</w:t>
      </w:r>
    </w:p>
    <w:p w14:paraId="2A1220DE" w14:textId="77777777" w:rsidR="004D1A49" w:rsidRPr="00DE096C" w:rsidRDefault="004D1A49" w:rsidP="00D45A46">
      <w:pPr>
        <w:pStyle w:val="41"/>
        <w:spacing w:line="240" w:lineRule="auto"/>
        <w:jc w:val="both"/>
        <w:rPr>
          <w:bCs/>
          <w:color w:val="002060"/>
          <w:sz w:val="16"/>
          <w:szCs w:val="16"/>
        </w:rPr>
      </w:pPr>
      <w:r w:rsidRPr="00DE096C">
        <w:rPr>
          <w:bCs/>
          <w:color w:val="002060"/>
          <w:sz w:val="16"/>
          <w:szCs w:val="16"/>
          <w:lang w:eastAsia="ru-RU" w:bidi="ru-RU"/>
        </w:rPr>
        <w:t>Летные и технические характеристики триплана Безобразова</w:t>
      </w:r>
    </w:p>
    <w:tbl>
      <w:tblPr>
        <w:tblOverlap w:val="never"/>
        <w:tblW w:w="0" w:type="auto"/>
        <w:tblLayout w:type="fixed"/>
        <w:tblCellMar>
          <w:left w:w="10" w:type="dxa"/>
          <w:right w:w="10" w:type="dxa"/>
        </w:tblCellMar>
        <w:tblLook w:val="0000" w:firstRow="0" w:lastRow="0" w:firstColumn="0" w:lastColumn="0" w:noHBand="0" w:noVBand="0"/>
      </w:tblPr>
      <w:tblGrid>
        <w:gridCol w:w="3125"/>
        <w:gridCol w:w="2597"/>
      </w:tblGrid>
      <w:tr w:rsidR="004D1A49" w:rsidRPr="00DE096C" w14:paraId="6D260901" w14:textId="77777777" w:rsidTr="00711059">
        <w:trPr>
          <w:trHeight w:val="269"/>
        </w:trPr>
        <w:tc>
          <w:tcPr>
            <w:tcW w:w="3125" w:type="dxa"/>
            <w:tcBorders>
              <w:top w:val="single" w:sz="4" w:space="0" w:color="auto"/>
              <w:left w:val="single" w:sz="4" w:space="0" w:color="auto"/>
            </w:tcBorders>
            <w:vAlign w:val="bottom"/>
          </w:tcPr>
          <w:p w14:paraId="1483A683" w14:textId="77777777" w:rsidR="004D1A49" w:rsidRPr="00DE096C" w:rsidRDefault="004D1A49"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Размах крыльев (м)</w:t>
            </w:r>
          </w:p>
        </w:tc>
        <w:tc>
          <w:tcPr>
            <w:tcW w:w="2597" w:type="dxa"/>
            <w:tcBorders>
              <w:top w:val="single" w:sz="4" w:space="0" w:color="auto"/>
              <w:right w:val="single" w:sz="4" w:space="0" w:color="auto"/>
            </w:tcBorders>
            <w:vAlign w:val="bottom"/>
          </w:tcPr>
          <w:p w14:paraId="1997BC78" w14:textId="77777777" w:rsidR="004D1A49" w:rsidRPr="00DE096C" w:rsidRDefault="004D1A49"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13,30</w:t>
            </w:r>
          </w:p>
        </w:tc>
      </w:tr>
      <w:tr w:rsidR="004D1A49" w:rsidRPr="00DE096C" w14:paraId="515978AA" w14:textId="77777777" w:rsidTr="00711059">
        <w:trPr>
          <w:trHeight w:val="187"/>
        </w:trPr>
        <w:tc>
          <w:tcPr>
            <w:tcW w:w="3125" w:type="dxa"/>
            <w:tcBorders>
              <w:left w:val="single" w:sz="4" w:space="0" w:color="auto"/>
            </w:tcBorders>
            <w:vAlign w:val="bottom"/>
          </w:tcPr>
          <w:p w14:paraId="67345B27" w14:textId="77777777" w:rsidR="004D1A49" w:rsidRPr="00DE096C" w:rsidRDefault="004D1A49"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Длина в линии полета (м)</w:t>
            </w:r>
          </w:p>
        </w:tc>
        <w:tc>
          <w:tcPr>
            <w:tcW w:w="2597" w:type="dxa"/>
            <w:tcBorders>
              <w:right w:val="single" w:sz="4" w:space="0" w:color="auto"/>
            </w:tcBorders>
            <w:vAlign w:val="bottom"/>
          </w:tcPr>
          <w:p w14:paraId="5E99E7AB" w14:textId="77777777" w:rsidR="004D1A49" w:rsidRPr="00DE096C" w:rsidRDefault="004D1A49"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6,9 (8,0*)</w:t>
            </w:r>
          </w:p>
        </w:tc>
      </w:tr>
      <w:tr w:rsidR="004D1A49" w:rsidRPr="00DE096C" w14:paraId="65F4C9BB" w14:textId="77777777" w:rsidTr="00711059">
        <w:trPr>
          <w:trHeight w:val="197"/>
        </w:trPr>
        <w:tc>
          <w:tcPr>
            <w:tcW w:w="3125" w:type="dxa"/>
            <w:tcBorders>
              <w:left w:val="single" w:sz="4" w:space="0" w:color="auto"/>
            </w:tcBorders>
            <w:vAlign w:val="bottom"/>
          </w:tcPr>
          <w:p w14:paraId="70770106" w14:textId="77777777" w:rsidR="004D1A49" w:rsidRPr="00DE096C" w:rsidRDefault="004D1A49"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Площадь крыльев (м</w:t>
            </w:r>
            <w:r w:rsidRPr="00DE096C">
              <w:rPr>
                <w:rFonts w:ascii="Times New Roman" w:hAnsi="Times New Roman" w:cs="Times New Roman"/>
                <w:bCs/>
                <w:color w:val="002060"/>
                <w:sz w:val="16"/>
                <w:szCs w:val="16"/>
                <w:vertAlign w:val="superscript"/>
                <w:lang w:eastAsia="ru-RU" w:bidi="ru-RU"/>
              </w:rPr>
              <w:t>2</w:t>
            </w:r>
            <w:r w:rsidRPr="00DE096C">
              <w:rPr>
                <w:rFonts w:ascii="Times New Roman" w:hAnsi="Times New Roman" w:cs="Times New Roman"/>
                <w:bCs/>
                <w:color w:val="002060"/>
                <w:sz w:val="16"/>
                <w:szCs w:val="16"/>
                <w:lang w:eastAsia="ru-RU" w:bidi="ru-RU"/>
              </w:rPr>
              <w:t>)</w:t>
            </w:r>
          </w:p>
        </w:tc>
        <w:tc>
          <w:tcPr>
            <w:tcW w:w="2597" w:type="dxa"/>
            <w:tcBorders>
              <w:right w:val="single" w:sz="4" w:space="0" w:color="auto"/>
            </w:tcBorders>
            <w:vAlign w:val="bottom"/>
          </w:tcPr>
          <w:p w14:paraId="206F3945" w14:textId="77777777" w:rsidR="004D1A49" w:rsidRPr="00DE096C" w:rsidRDefault="004D1A49"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около 20,0 (17,0*)</w:t>
            </w:r>
          </w:p>
        </w:tc>
      </w:tr>
      <w:tr w:rsidR="004D1A49" w:rsidRPr="00DE096C" w14:paraId="2DB52CF8" w14:textId="77777777" w:rsidTr="00711059">
        <w:trPr>
          <w:trHeight w:val="197"/>
        </w:trPr>
        <w:tc>
          <w:tcPr>
            <w:tcW w:w="3125" w:type="dxa"/>
            <w:tcBorders>
              <w:left w:val="single" w:sz="4" w:space="0" w:color="auto"/>
            </w:tcBorders>
          </w:tcPr>
          <w:p w14:paraId="7AEBF794" w14:textId="77777777" w:rsidR="004D1A49" w:rsidRPr="00DE096C" w:rsidRDefault="004D1A49"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Вес пустого (кг)</w:t>
            </w:r>
          </w:p>
        </w:tc>
        <w:tc>
          <w:tcPr>
            <w:tcW w:w="2597" w:type="dxa"/>
            <w:tcBorders>
              <w:right w:val="single" w:sz="4" w:space="0" w:color="auto"/>
            </w:tcBorders>
          </w:tcPr>
          <w:p w14:paraId="4985D124" w14:textId="77777777" w:rsidR="004D1A49" w:rsidRPr="00DE096C" w:rsidRDefault="004D1A49"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388</w:t>
            </w:r>
          </w:p>
        </w:tc>
      </w:tr>
      <w:tr w:rsidR="004D1A49" w:rsidRPr="00DE096C" w14:paraId="29E41208" w14:textId="77777777" w:rsidTr="00711059">
        <w:trPr>
          <w:trHeight w:val="192"/>
        </w:trPr>
        <w:tc>
          <w:tcPr>
            <w:tcW w:w="3125" w:type="dxa"/>
            <w:tcBorders>
              <w:left w:val="single" w:sz="4" w:space="0" w:color="auto"/>
            </w:tcBorders>
            <w:vAlign w:val="bottom"/>
          </w:tcPr>
          <w:p w14:paraId="1A8AE63C" w14:textId="77777777" w:rsidR="004D1A49" w:rsidRPr="00DE096C" w:rsidRDefault="004D1A49"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Полетный вес (кг)</w:t>
            </w:r>
          </w:p>
        </w:tc>
        <w:tc>
          <w:tcPr>
            <w:tcW w:w="2597" w:type="dxa"/>
            <w:tcBorders>
              <w:right w:val="single" w:sz="4" w:space="0" w:color="auto"/>
            </w:tcBorders>
            <w:vAlign w:val="bottom"/>
          </w:tcPr>
          <w:p w14:paraId="5DAF51DA" w14:textId="77777777" w:rsidR="004D1A49" w:rsidRPr="00DE096C" w:rsidRDefault="004D1A49"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547 (400*)</w:t>
            </w:r>
          </w:p>
        </w:tc>
      </w:tr>
      <w:tr w:rsidR="004D1A49" w:rsidRPr="00DE096C" w14:paraId="266CC45C" w14:textId="77777777" w:rsidTr="00711059">
        <w:trPr>
          <w:trHeight w:val="202"/>
        </w:trPr>
        <w:tc>
          <w:tcPr>
            <w:tcW w:w="3125" w:type="dxa"/>
            <w:tcBorders>
              <w:left w:val="single" w:sz="4" w:space="0" w:color="auto"/>
            </w:tcBorders>
          </w:tcPr>
          <w:p w14:paraId="2D947DB8" w14:textId="77777777" w:rsidR="004D1A49" w:rsidRPr="00DE096C" w:rsidRDefault="004D1A49"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Скорость у земли (км/ч )</w:t>
            </w:r>
          </w:p>
        </w:tc>
        <w:tc>
          <w:tcPr>
            <w:tcW w:w="2597" w:type="dxa"/>
            <w:tcBorders>
              <w:right w:val="single" w:sz="4" w:space="0" w:color="auto"/>
            </w:tcBorders>
          </w:tcPr>
          <w:p w14:paraId="34A7DA41" w14:textId="77777777" w:rsidR="004D1A49" w:rsidRPr="00DE096C" w:rsidRDefault="004D1A49"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100</w:t>
            </w:r>
          </w:p>
        </w:tc>
      </w:tr>
      <w:tr w:rsidR="004D1A49" w:rsidRPr="00DE096C" w14:paraId="2E067D14" w14:textId="77777777" w:rsidTr="00711059">
        <w:trPr>
          <w:trHeight w:val="226"/>
        </w:trPr>
        <w:tc>
          <w:tcPr>
            <w:tcW w:w="3125" w:type="dxa"/>
            <w:tcBorders>
              <w:left w:val="single" w:sz="4" w:space="0" w:color="auto"/>
              <w:bottom w:val="single" w:sz="4" w:space="0" w:color="auto"/>
            </w:tcBorders>
          </w:tcPr>
          <w:p w14:paraId="35B5C19C" w14:textId="77777777" w:rsidR="004D1A49" w:rsidRPr="00DE096C" w:rsidRDefault="004D1A49"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Потолок (м)</w:t>
            </w:r>
          </w:p>
        </w:tc>
        <w:tc>
          <w:tcPr>
            <w:tcW w:w="2597" w:type="dxa"/>
            <w:tcBorders>
              <w:bottom w:val="single" w:sz="4" w:space="0" w:color="auto"/>
              <w:right w:val="single" w:sz="4" w:space="0" w:color="auto"/>
            </w:tcBorders>
          </w:tcPr>
          <w:p w14:paraId="18D13C64" w14:textId="77777777" w:rsidR="004D1A49" w:rsidRPr="00DE096C" w:rsidRDefault="004D1A49" w:rsidP="00D45A46">
            <w:pPr>
              <w:pStyle w:val="afb"/>
              <w:ind w:firstLine="0"/>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lang w:eastAsia="ru-RU" w:bidi="ru-RU"/>
              </w:rPr>
              <w:t>2000</w:t>
            </w:r>
          </w:p>
        </w:tc>
      </w:tr>
    </w:tbl>
    <w:p w14:paraId="49F93D4F" w14:textId="77777777" w:rsidR="004D1A49" w:rsidRPr="00DE096C" w:rsidRDefault="004D1A49" w:rsidP="00D45A46">
      <w:pPr>
        <w:jc w:val="both"/>
        <w:rPr>
          <w:bCs/>
          <w:color w:val="002060"/>
          <w:sz w:val="16"/>
          <w:szCs w:val="16"/>
        </w:rPr>
      </w:pPr>
      <w:r w:rsidRPr="00DE096C">
        <w:rPr>
          <w:bCs/>
          <w:color w:val="002060"/>
          <w:sz w:val="16"/>
          <w:szCs w:val="16"/>
          <w:lang w:bidi="ru-RU"/>
        </w:rPr>
        <w:t>(23374).</w:t>
      </w:r>
    </w:p>
    <w:p w14:paraId="79B1DFC1" w14:textId="77777777" w:rsidR="004D1A49" w:rsidRPr="00DE096C" w:rsidRDefault="004D1A49" w:rsidP="00D45A46">
      <w:pPr>
        <w:jc w:val="both"/>
        <w:rPr>
          <w:bCs/>
          <w:color w:val="002060"/>
          <w:sz w:val="16"/>
          <w:szCs w:val="16"/>
        </w:rPr>
      </w:pPr>
    </w:p>
    <w:p w14:paraId="1957A13F" w14:textId="77777777" w:rsidR="004A06BE" w:rsidRPr="00DE096C" w:rsidRDefault="004A06BE" w:rsidP="004A06BE">
      <w:pPr>
        <w:jc w:val="both"/>
        <w:rPr>
          <w:bCs/>
          <w:color w:val="002060"/>
          <w:sz w:val="16"/>
          <w:szCs w:val="16"/>
        </w:rPr>
      </w:pPr>
      <w:r w:rsidRPr="00DE096C">
        <w:rPr>
          <w:bCs/>
          <w:color w:val="002060"/>
          <w:sz w:val="16"/>
          <w:szCs w:val="16"/>
        </w:rPr>
        <w:t>В сентябре 1914 года на заводе Даймлера в Нижным Новгороде был собран первый же авиамотор "Даймлер" мощностью 120 л.с.. Всего казной до начала 1915 года было принято 5 моторов типа "Даймлер" (18376).</w:t>
      </w:r>
    </w:p>
    <w:p w14:paraId="51D1B033" w14:textId="77777777" w:rsidR="004A06BE" w:rsidRPr="00DE096C" w:rsidRDefault="004A06BE" w:rsidP="004A06BE">
      <w:pPr>
        <w:jc w:val="both"/>
        <w:rPr>
          <w:bCs/>
          <w:color w:val="002060"/>
          <w:sz w:val="16"/>
          <w:szCs w:val="16"/>
        </w:rPr>
      </w:pPr>
    </w:p>
    <w:p w14:paraId="746164D9" w14:textId="77777777" w:rsidR="004A06BE" w:rsidRPr="00DE096C" w:rsidRDefault="004A06BE" w:rsidP="004A06BE">
      <w:pPr>
        <w:jc w:val="both"/>
        <w:rPr>
          <w:bCs/>
          <w:color w:val="002060"/>
          <w:sz w:val="16"/>
          <w:szCs w:val="16"/>
        </w:rPr>
      </w:pPr>
      <w:r w:rsidRPr="00DE096C">
        <w:rPr>
          <w:bCs/>
          <w:color w:val="002060"/>
          <w:sz w:val="16"/>
          <w:szCs w:val="16"/>
        </w:rPr>
        <w:t xml:space="preserve">В сентябре 1914 года, после начала Германской войны, Л. Д. Колпаков обратился в Военное ведомство с предложением о создании боевого аэроплана, предназначенного для выполнения дальней воздушной разведки, бомбардирования войск и военных объектов противника. Руководство ведомства отнеслось к этой идее положительно и, согласовав с авиационным отделом специфические тонкости, сформулировало задание, согласно которому будущий "Летающий крейсер" должен был бы иметь "скорость полета 150-160 км/ч, высоту порядка 4000-5000 м и при бомбовой нагрузке 550-600 кг...". Ответ на предложение инженера-изобретателя пришел только к началу следующего года, и он при поддержке специалистов завода Лебедева разработал проект аэроплана, который был представлен и утвержден заказчиком весной 1915 года. Принятые в проекте основные геометрические параметры и расчетные весовые характеристики оказались в такой степени близкими к реальности, что практически не изменились к окончанию постройки "Лебедя-14". Отклонения были вынужденными и оказались несущественными. Первоначальная ориентация на два мотора мощностью по 150 л.с. (было отмечено в задании) привела к выбору для самолета доступных двигателей "Бенц". Под такую силовую установку был рассчитан рабочий проект, а также выпущен ознакомительный альбом для военных и смотровая (тактическая) модель. После принятия представленных документов, носивших больше рекламный характер, чем практический, выяснилось, что далеко не всегда трофейные моторы (независимо от марки) могут быть доведены до требуемой мощности в связи с отсутствием для них формуляров, инструкций и прочей эксплуатационной документации. Имевшиеся моторы были не совсем и неодинаково исправны, нуждались в ремонте и длительной доводке. Больше, чем по 140 л.с. мощности, они дать не могли. Начавшиеся поставки союзников упростили задачу оснащения крейсера нужной силовой группой. Французская фирма "Сальмсон" предложила стационарные звездообразные моторы воздушного охлаждения нужной мощности. Они и были выбраны для самолета. Прежние двигатели "Бенц" хотели было поставить между парами внутренних стоек бипланной коробки. Для устройства подмоторного крепежа стойки получили бы форму ромба при общих точках опоры на верхнем и нижнем крыльях. Двигатели должны были быть установлены на горизонтальные подмоторные брусья, лежащие посередине высоты стоек. После замены моторов Л.Д.Колпаков принял решение об устройстве двух обтекаемых мотогондол, объединяющих все агрегаты и ситемы винтомоторных групп. Каждая мотогондола собиралась из тянущего двухлопастного винта (6=2,9 м), начинаясь с его кока, собственно двигателя "Сальмсон", размещенного в миделевом сечении гондолы и установленного на У-образных передних стойках бипланной коробки без моторных рам. Далее, в центральном отсеке каждой гондолы был устроен топливный бак на 420 л бензина, отделенный от двига-тел противопожарной перегородкой. Внутри хвостовых стекателей было помещено еще по одному баку, вернее, бачку, на 45 л моторного масла. Хвостовые опоры крепления мотогондол, лежащие в плоскости задних лонжерон-ных крыльев, имели У-образную форму и были составлены из алюминиевых труб каплевидного сечения, аналогично У-образным стойкам, на которых висели двигатели. Для передачи силы тяги ВМГ на конструкцию аэроплана к переднему лонжерону нижнего крыла были прикреплены два подкоса. Передний подкос, работающий на растяжение, шел от первого шпангоута гондолы, по оси которого был заделан люнет для удлиненного вала, передающего обороты на пропеллер. Задний подкос работал на сжатие, он разгружал хвостовое крепление гондолы, т.е. У-образную стойку крыльев, которая при даче газа работала на изгиб. Таким образом, наиболее сложно нагруженными точками конструкции самолета были узлы переднего лонжерона нижнего крыла, к которым подходили и крепились передние стержни стоек шасси (снизу), а внутри крыла была установлена еще и усиленная нервюра. Поэтому, в центральной части нижнего крыла элементы конструкции были усилены, выполнены более мощными (за счет включения стальных накладок, уголков и фитингов), чем в остальных регулярных зонах по размаху. По рекомендации профессора С. П. Тимошенко, центральная клетка бипланной коробки получила дополнительное усиление набором диагональных растяжек. Все пролеты между стойками также были расчалены по диагоналям стальными лентами. Концевые вылеты верхнего крыла были поддержаны подкосами от нижних заделок крайних вертикальных стоек и дополнительно подкреплены контрподкосами. Конструкция крыльев - деревянная, с полотняной обтяжкой. Элероны были только на верхнем крыле. Двухколесное шасси имело опорные стойки, установленные под нижним крылом в плоскости каждой мотогондолы на расстоянии от оси самолета 2,15 м. Между днищем фюзеляжа и полувилками пневматиков были установлены V-образные подкосы, качающиеся вокруг шарниров заделки в корпусе при движении аппарата по неровному грунту. Мощные многовитковые резиновые амортизаторы, стягивающие передние и задние стержни стоек шасси, допускали возможные перемещения колес при осадке в пределах 220-250 м. Ход за счет обжатия пневматиков был незначительным, а поэтому нерасчетным. Колеса (900x120 мм) имели ободы, сделанные из гнутого ясеня и легкие алюминиевые колпаки (6=3 мм), которые закрыли с двух сторон спицы каждого колеса и крепились к ободам на 8-ми винтах. Хвостовое оперение сотояло из киля, стабилизатора и рулей, имевших нарочито округлые формы передних и задних кромок, включая и осевую компенсацию руля поворота. Фюзеляж состоял из двух деревянных монококовых частей (впервые в России для крупных самолетов). Передняя его часть имела наружные обводы двойной кривизны, каркас состоял из семи шпангоутов и набора стрингеров, четыре из которых были усилены и фактиески выполняли функцию лонжеронов. На двух нижних продольных брусьях был постлан пол в кабинах переднего стрелка и летчика. </w:t>
      </w:r>
      <w:r w:rsidRPr="00DE096C">
        <w:rPr>
          <w:bCs/>
          <w:color w:val="002060"/>
          <w:sz w:val="16"/>
          <w:szCs w:val="16"/>
        </w:rPr>
        <w:lastRenderedPageBreak/>
        <w:t xml:space="preserve">В пределах рабочего места аэрофотографа пол был приопущен для удобства воздушной съемки через бортовые иллюминаторы. Задняя часть фюзеляжа имела также монококовую конструкцию и соединялась с головной частью фланцевым стыком. Она была набрана из десяти шпангоутов и комплекта разновеликих стрингеров. У самого стыкового фланца была устроена кабина для заднего стрелка. Все члены экипажа занимали свои места, пользуясь открытыми проемами. У фотографа был еще нижний аварийный люк, который мог применяться как окно для ручного бомбометания. Стрелковое вооружение "Лебедя-Гранда" состояло из трех пулеметов. В одном из проектных вариантов вооружения значилась пушка калибра 37 мм и два пулемета. Управление элеронами и рулевыми поверхностями хвостового оперения -тросовое, с прокладкой силовых коммуникаций внутри обшивки крыльев и фюзеляжа. В целом, конструкция аэроплана была тщательно продумана и добротно выполнена в производстве. "Лебедь-Гранд" обладал хорошей аэродинамикой и полноценным вооружением, будучи ярко выраженным типом дальнего разведчика или среднего бомбардировщика, в зависимости от назначения, вариантов целевого оснащения и боевой нагрузки. </w:t>
      </w:r>
    </w:p>
    <w:p w14:paraId="5766CE3E" w14:textId="77777777" w:rsidR="004A06BE" w:rsidRPr="00DE096C" w:rsidRDefault="004A06BE" w:rsidP="004A06BE">
      <w:pPr>
        <w:jc w:val="both"/>
        <w:rPr>
          <w:bCs/>
          <w:color w:val="002060"/>
          <w:sz w:val="16"/>
          <w:szCs w:val="16"/>
        </w:rPr>
      </w:pPr>
      <w:r w:rsidRPr="00DE096C">
        <w:rPr>
          <w:bCs/>
          <w:color w:val="002060"/>
          <w:sz w:val="16"/>
          <w:szCs w:val="16"/>
        </w:rPr>
        <w:t>Однако, ему не удалось показать себя ни в одном из боевых качеств, предписанных заказчиками и создателями еще на стадии проектирования (11237).</w:t>
      </w:r>
    </w:p>
    <w:p w14:paraId="1E0312A4" w14:textId="77777777" w:rsidR="004A06BE" w:rsidRPr="00DE096C" w:rsidRDefault="004A06BE" w:rsidP="004A06BE">
      <w:pPr>
        <w:jc w:val="both"/>
        <w:rPr>
          <w:bCs/>
          <w:color w:val="002060"/>
          <w:sz w:val="16"/>
          <w:szCs w:val="16"/>
        </w:rPr>
      </w:pPr>
    </w:p>
    <w:p w14:paraId="76EEE98D" w14:textId="77777777" w:rsidR="004A06BE" w:rsidRPr="00DE096C" w:rsidRDefault="004A06BE" w:rsidP="004A06BE">
      <w:pPr>
        <w:jc w:val="both"/>
        <w:rPr>
          <w:bCs/>
          <w:color w:val="002060"/>
          <w:sz w:val="16"/>
          <w:szCs w:val="16"/>
        </w:rPr>
      </w:pPr>
      <w:r w:rsidRPr="00DE096C">
        <w:rPr>
          <w:bCs/>
          <w:color w:val="002060"/>
          <w:sz w:val="16"/>
          <w:szCs w:val="16"/>
        </w:rPr>
        <w:t>В сентябре 1914 года, после начала Германской войны, Л.Д.Колпаков обратился в Военное ведомство с предложением о создании боевого аэроплана, предназначенного для выполнения дальней воздушной разведки, бомбардирования войск и военных объектов противника. Руководство ведомства отнеслось к этой идее положительно и, согласовав с авиационным отделом специфические тонкости, сформулировало задание, согласно которому будущий "Летающий крейсер" должен был бы иметь "скорость полета 150-160 км/ч, высоту порядка 4000-5000 м и при бомбовой нагрузке 550-600 кг...".</w:t>
      </w:r>
    </w:p>
    <w:p w14:paraId="4682CD78" w14:textId="77777777" w:rsidR="004A06BE" w:rsidRPr="00DE096C" w:rsidRDefault="004A06BE" w:rsidP="004A06BE">
      <w:pPr>
        <w:jc w:val="both"/>
        <w:rPr>
          <w:bCs/>
          <w:color w:val="002060"/>
          <w:sz w:val="16"/>
          <w:szCs w:val="16"/>
        </w:rPr>
      </w:pPr>
      <w:r w:rsidRPr="00DE096C">
        <w:rPr>
          <w:bCs/>
          <w:color w:val="002060"/>
          <w:sz w:val="16"/>
          <w:szCs w:val="16"/>
        </w:rPr>
        <w:t>Ответ на предложение инженера-изобретателя пришел только к началу следующего года, и он при поддержке специалистов завода Лебедева разработал проект аэроплана, который был представлен и утвержден заказчиком весной 1915 года. Принятые в проекте основные геометрические параметры и расчетные весовые характеристики оказались в такой степени близкими к реальности, что практически не изменились к окончанию постройки "Лебедя-14". Отклонения были вынужденными и оказались несущественными. Первоначальная ориентация на два мотора мощностью по 150 л.с. (было отмечено в задании) привела к выбору для самолета доступных двигателей "Бенц". Под такую силовую установку был рассчитан рабочий проект, а также выпущен ознакомительный альбом для военных и смотровая (тактическая) модель. После принятия представленных документов, носивших больше рекламный характер, чем практический, выяснилось, что далеко не всегда трофейные моторы (независимо от марки) могут быть доведены до требуемой мощности в связи с отсутствием для них формуляров, инструкций и прочей эксплуатационной документации. Имевшиеся моторы были не совсем и неодинаково исправны, нуждались в ремонте и длительной доводке. Больше, чем по 140 л.с. мощности,они дать не могли. Начавшиеся поставки союзников упростили задачу оснащения крейсера нужной силовой группой. Французская фирма "Сальмсон" предложила стационарные звездообразные моторы воздушного охлаждения нужной мощности. Они и были выбраны для самолета. Прежние двигатели "Бенц" хотели было поставить между парами внутренних стоек бипланной коробки. Для устройства подмоторного крепежа стойки получили бы форму ромба при общих точках опоры на верхнем и нижнем крыльях. Двигатели должны были быть установлены на горизонтальные подмоторные брусья, лежащие посередине высоты стоек. После замены моторов Л.Д.Колпаков принял решение об устройстве двух обтекаемых мотогондол, объединяющих все агрегаты и системы винтомоторных групп. Каждая мотогондола собиралась из тянущего двухлопастного винта (d=2,9 м), начинаясь с его кока, собственно двигателя "Сальмсон", размещенного в миделевом сечении гондолы и установленного на Y-образных передних стойках бипланной коробки без моторных рам. Далее, в центральном отсеке каждой гондолы был устроен топливный бак на 420 л бензина, отделенный от двигателя противопожарной перегородкой. Внутри хвостовых обтекателей было помещено еще по одному баку, вернее -бачку, на 45 л моторного масла. Хвостовые опоры крепления мотогондол, лежащие в плоскости задних лонжеронных крыльев, имели V-образную форму и были составлены из алюминиевых труб каплевидного сечения, аналогично Y-образным стойкам, на которых висели двигатели. Для передачи силы тяги ВМГ на конструкцию аэроплана к переднему лонжерону нижнего крыла были прикреплены два подкоса. Передний подкос, работающий на растяжение, шел от первого шпангоута гондолы, по оси которого был заделан люнет для удлиненного вала, передающего обороты на пропеллер. Задний подкос работал на сжатие, он разгружал хвостовое крепление гондолы, т.е. Y-образную стойку крыльев, которая при даче газа работала на изгиб. Таким образом, наиболее сложно нагруженными точками конструкции самолета были узлы переднего лонжерона нижнего крыла, к которым подходили и крепились передние стержни стоек шасси (снизу), а внутри крыла была установлена еще и усиленная нервюра. Поэтому, в центральной части нижнего крыла элементы конструкции были усилены, выполнены более мощными (за счет включения стальных накладок, уголков и фитингов), чем в остальных регулярных зонах по размаху. По рекомендации профессора С.П.Тимошенко, центральная клетка бипланной коробки получила дополнительное усиление набором диагональных растяжек. Все пролеты между стойками также были расчалены по диагоналям стальными лентами. Концевые вылеты верхнего крыла были поддержаны подкосами от нижних заделок крайних вертикальных стоек и дополнительно подкреплены контрподкосами. Конструкция крыльев - деревянная, с полотняной обтяжкой. Элероны были только на верхнем крыле. Двухколесное шасси имело опорные стойки, установленные под нижним крылом в плоскости каждой мотогондолы на расстоянии от оси самолета 2,15 м. Между днищем фюзеляжа и полувилками пневматиков были установлены Y-образные подкосы, качающиеся вокруг шарниров заделки в корпусе при движении аппарата по неровному грунту. Мощные многовитковые резиновые амортизаторы, стягивающие передние и задние стержни стоек шасси, допускали возможные перемещения колес при осадке в пределах 220-250 мм. Ход за счет обжатия пневматиков был незначительным, а поэтому нерасчетным. Колеса (900x120 мм) имели ободы, сделанные из гнутого ясеня и легкие алюминиевые колпаки (6=3 мм), которые закрыли с двух сторон спицы каждого колеса и крепились к ободам на 8-ми винтах. Хвостовое оперение состояло из киля, стабилизатора и рулей, имевших нарочито округлые формы передних и задних кромок, включая и осевую компенсацию руля поворота.</w:t>
      </w:r>
    </w:p>
    <w:p w14:paraId="23114931" w14:textId="77777777" w:rsidR="004A06BE" w:rsidRPr="00DE096C" w:rsidRDefault="004A06BE" w:rsidP="004A06BE">
      <w:pPr>
        <w:jc w:val="both"/>
        <w:rPr>
          <w:bCs/>
          <w:color w:val="002060"/>
          <w:sz w:val="16"/>
          <w:szCs w:val="16"/>
        </w:rPr>
      </w:pPr>
      <w:r w:rsidRPr="00DE096C">
        <w:rPr>
          <w:bCs/>
          <w:color w:val="002060"/>
          <w:sz w:val="16"/>
          <w:szCs w:val="16"/>
        </w:rPr>
        <w:t>Фюзеляж состоял из двух деревянных монококовых частей (впервые в России для крупных самолетов). Передняя его часть имела наружные обводы двойной кривизны, каркас состоял из семи шпангоутов и набора стрингеров, четыре из которых были усилены и фактически выполняли функцию лонжеронов. На двух нижних продольных брусьях был постлан пол в кабинах переднего стрелка и летчика. В пределах рабочего места аэрофотографа пол был приопущен для удобства воздушной съемки через бортовые иллюминаторы. Задняя часть фюзеляжа имела также монококовую конструкцию и соединялась с головной частью фланцевым стыком. Она была набрана из десяти шпангоутов и комплекта разновеликих стрингеров. У самого стыкового фланца была устроена кабина для заднего стрелка. Все члены экипажа занимали свои места, пользуясь открытыми проемами. У фотографа был еще нижний аварийный люк, который мог применяться как окно для ручного бомбометания. Стрелковое вооружение "Лебедя-Гранда" состояло из трех пулеметов. В одном из проектных вариантов вооружения значилась пушка калибра 37 мм и два пулемета. Управление элеронами и рулевыми поверхностями хвостового оперения -тросовое, с прокладкой силовых коммуникаций внутри обшивки крыльев и фюзеляжа.</w:t>
      </w:r>
    </w:p>
    <w:p w14:paraId="6931930C" w14:textId="77777777" w:rsidR="004A06BE" w:rsidRPr="00DE096C" w:rsidRDefault="004A06BE" w:rsidP="004A06BE">
      <w:pPr>
        <w:jc w:val="both"/>
        <w:rPr>
          <w:bCs/>
          <w:color w:val="002060"/>
          <w:sz w:val="16"/>
          <w:szCs w:val="16"/>
        </w:rPr>
      </w:pPr>
      <w:r w:rsidRPr="00DE096C">
        <w:rPr>
          <w:bCs/>
          <w:color w:val="002060"/>
          <w:sz w:val="16"/>
          <w:szCs w:val="16"/>
        </w:rPr>
        <w:t>В целом, конструкция аэроплана была тщательно продумана и добротно выполнена в производстве. "Лебедь-Гранд" обладал хорошей аэродинамикой и полноценным вооружением, будучи ярко выраженным типом дальнего разведчика или среднего бомбардировщика, в зависимости от назначения, вариантов целевого оснащения и боевой нагрузки.</w:t>
      </w:r>
    </w:p>
    <w:p w14:paraId="2DE320AE" w14:textId="77777777" w:rsidR="004A06BE" w:rsidRPr="00DE096C" w:rsidRDefault="004A06BE" w:rsidP="004A06BE">
      <w:pPr>
        <w:jc w:val="both"/>
        <w:rPr>
          <w:bCs/>
          <w:color w:val="002060"/>
          <w:sz w:val="16"/>
          <w:szCs w:val="16"/>
        </w:rPr>
      </w:pPr>
      <w:r w:rsidRPr="00DE096C">
        <w:rPr>
          <w:bCs/>
          <w:color w:val="002060"/>
          <w:sz w:val="16"/>
          <w:szCs w:val="16"/>
        </w:rPr>
        <w:t>Однако, ему не удалось показать себя ни в одном из боевых качеств, предписанных заказчиками и создателями еще на стадии проектирования.</w:t>
      </w:r>
    </w:p>
    <w:p w14:paraId="7D698D92" w14:textId="77777777" w:rsidR="004A06BE" w:rsidRPr="00DE096C" w:rsidRDefault="004A06BE" w:rsidP="004A06BE">
      <w:pPr>
        <w:jc w:val="both"/>
        <w:rPr>
          <w:bCs/>
          <w:color w:val="002060"/>
          <w:sz w:val="16"/>
          <w:szCs w:val="16"/>
        </w:rPr>
      </w:pPr>
      <w:r w:rsidRPr="00DE096C">
        <w:rPr>
          <w:bCs/>
          <w:color w:val="002060"/>
          <w:sz w:val="16"/>
          <w:szCs w:val="16"/>
        </w:rPr>
        <w:t>Постройка аппарата началась в середине 1916 года и продолжалась до второй половины 1917 года. Начавшиеся летные испытания до конца доведены не были, однако, было выявлено, что центровка машины была неудовлетворительной. На вооружение армии самолет, естественно, принят не был. Имевшиеся в конструкции недостатки можно было устранить, но отрицательное отношение Военного ведомства к машинам большого тоннажа не дало возможности довести "Лебедя-Гранда" до серийного производства. Ко всему прочему, политические события в Петрограде, да и в России в целом, не позволили проводить дальнейшее совершенствование авиационной техники. Обрушившийся на Российскую империю всеобщий крах выбил авиацию "как класс" на полных 6-7 лет, пока в 1923-24 гг. не начали появляться вновь первые низкопробные любительские авиетки и на верные 10-12 лет, пока в стране не появились первые крупносерийные самолеты, достойные всеобщего уважения.</w:t>
      </w:r>
    </w:p>
    <w:p w14:paraId="55691C7D" w14:textId="77777777" w:rsidR="004A06BE" w:rsidRPr="00DE096C" w:rsidRDefault="004A06BE" w:rsidP="004A06BE">
      <w:pPr>
        <w:jc w:val="both"/>
        <w:rPr>
          <w:bCs/>
          <w:color w:val="002060"/>
          <w:sz w:val="16"/>
          <w:szCs w:val="16"/>
        </w:rPr>
      </w:pPr>
      <w:r w:rsidRPr="00DE096C">
        <w:rPr>
          <w:bCs/>
          <w:color w:val="002060"/>
          <w:sz w:val="16"/>
          <w:szCs w:val="16"/>
        </w:rPr>
        <w:t>"Большой истребитель" инженера Л.Д.Колпакова-Мирошниченко стал "Лебединой песней" российской дореволюционной авиации</w:t>
      </w:r>
    </w:p>
    <w:p w14:paraId="3C76CA64" w14:textId="77777777" w:rsidR="004A06BE" w:rsidRPr="00DE096C" w:rsidRDefault="004A06BE" w:rsidP="004A06BE">
      <w:pPr>
        <w:jc w:val="both"/>
        <w:rPr>
          <w:bCs/>
          <w:color w:val="002060"/>
          <w:sz w:val="16"/>
          <w:szCs w:val="16"/>
        </w:rPr>
      </w:pPr>
      <w:r w:rsidRPr="00DE096C">
        <w:rPr>
          <w:bCs/>
          <w:color w:val="002060"/>
          <w:sz w:val="16"/>
          <w:szCs w:val="16"/>
        </w:rPr>
        <w:t>Сам конструктор заявил о себе спустя несколько лет. В 1926 году появился его легкий бомбардировщик ЛБ-2ЛД. Он проходил летные испытания, но дальнейшего развития не получил в связи с появлением ТБ-1 А.Н.Туполева. Самолет во многом напоминал "Лебедь-Гранд".</w:t>
      </w:r>
    </w:p>
    <w:tbl>
      <w:tblPr>
        <w:tblW w:w="0" w:type="auto"/>
        <w:tblLayout w:type="fixed"/>
        <w:tblCellMar>
          <w:left w:w="0" w:type="dxa"/>
          <w:right w:w="0" w:type="dxa"/>
        </w:tblCellMar>
        <w:tblLook w:val="0000" w:firstRow="0" w:lastRow="0" w:firstColumn="0" w:lastColumn="0" w:noHBand="0" w:noVBand="0"/>
      </w:tblPr>
      <w:tblGrid>
        <w:gridCol w:w="5045"/>
        <w:gridCol w:w="4314"/>
      </w:tblGrid>
      <w:tr w:rsidR="004A06BE" w:rsidRPr="00DE096C" w14:paraId="780CFEC8" w14:textId="77777777" w:rsidTr="00BD0BCB">
        <w:tc>
          <w:tcPr>
            <w:tcW w:w="9359" w:type="dxa"/>
            <w:gridSpan w:val="2"/>
          </w:tcPr>
          <w:p w14:paraId="343F3625" w14:textId="77777777" w:rsidR="004A06BE" w:rsidRPr="00DE096C" w:rsidRDefault="004A06BE" w:rsidP="00BD0BCB">
            <w:pPr>
              <w:jc w:val="both"/>
              <w:rPr>
                <w:bCs/>
                <w:color w:val="002060"/>
                <w:sz w:val="16"/>
                <w:szCs w:val="16"/>
              </w:rPr>
            </w:pPr>
            <w:r w:rsidRPr="00DE096C">
              <w:rPr>
                <w:bCs/>
                <w:color w:val="002060"/>
                <w:sz w:val="16"/>
                <w:szCs w:val="16"/>
              </w:rPr>
              <w:t>Основные летно-тактические характеристики самолета "Лебедь-Гранд"</w:t>
            </w:r>
          </w:p>
        </w:tc>
      </w:tr>
      <w:tr w:rsidR="004A06BE" w:rsidRPr="00DE096C" w14:paraId="27797F95" w14:textId="77777777" w:rsidTr="00BD0BCB">
        <w:tc>
          <w:tcPr>
            <w:tcW w:w="5045" w:type="dxa"/>
            <w:tcBorders>
              <w:top w:val="single" w:sz="12" w:space="0" w:color="auto"/>
              <w:left w:val="single" w:sz="12" w:space="0" w:color="auto"/>
              <w:bottom w:val="single" w:sz="6" w:space="0" w:color="auto"/>
              <w:right w:val="single" w:sz="6" w:space="0" w:color="auto"/>
            </w:tcBorders>
          </w:tcPr>
          <w:p w14:paraId="25973A97" w14:textId="77777777" w:rsidR="004A06BE" w:rsidRPr="00DE096C" w:rsidRDefault="004A06BE" w:rsidP="00BD0BCB">
            <w:pPr>
              <w:jc w:val="both"/>
              <w:rPr>
                <w:bCs/>
                <w:color w:val="002060"/>
                <w:sz w:val="16"/>
                <w:szCs w:val="16"/>
              </w:rPr>
            </w:pPr>
            <w:r w:rsidRPr="00DE096C">
              <w:rPr>
                <w:bCs/>
                <w:color w:val="002060"/>
                <w:sz w:val="16"/>
                <w:szCs w:val="16"/>
              </w:rPr>
              <w:t>Самолет</w:t>
            </w:r>
          </w:p>
        </w:tc>
        <w:tc>
          <w:tcPr>
            <w:tcW w:w="4314" w:type="dxa"/>
            <w:tcBorders>
              <w:top w:val="single" w:sz="12" w:space="0" w:color="auto"/>
              <w:left w:val="single" w:sz="6" w:space="0" w:color="auto"/>
              <w:bottom w:val="single" w:sz="6" w:space="0" w:color="auto"/>
              <w:right w:val="single" w:sz="12" w:space="0" w:color="auto"/>
            </w:tcBorders>
          </w:tcPr>
          <w:p w14:paraId="35AF771E" w14:textId="77777777" w:rsidR="004A06BE" w:rsidRPr="00DE096C" w:rsidRDefault="004A06BE" w:rsidP="00BD0BCB">
            <w:pPr>
              <w:jc w:val="both"/>
              <w:rPr>
                <w:bCs/>
                <w:color w:val="002060"/>
                <w:sz w:val="16"/>
                <w:szCs w:val="16"/>
              </w:rPr>
            </w:pPr>
            <w:r w:rsidRPr="00DE096C">
              <w:rPr>
                <w:bCs/>
                <w:color w:val="002060"/>
                <w:sz w:val="16"/>
                <w:szCs w:val="16"/>
              </w:rPr>
              <w:t>"Лебедь-Гранд"</w:t>
            </w:r>
          </w:p>
        </w:tc>
      </w:tr>
      <w:tr w:rsidR="004A06BE" w:rsidRPr="00DE096C" w14:paraId="408F7FBF" w14:textId="77777777" w:rsidTr="00BD0BCB">
        <w:tc>
          <w:tcPr>
            <w:tcW w:w="5045" w:type="dxa"/>
            <w:tcBorders>
              <w:top w:val="single" w:sz="6" w:space="0" w:color="auto"/>
              <w:left w:val="single" w:sz="12" w:space="0" w:color="auto"/>
              <w:bottom w:val="single" w:sz="6" w:space="0" w:color="auto"/>
              <w:right w:val="single" w:sz="6" w:space="0" w:color="auto"/>
            </w:tcBorders>
          </w:tcPr>
          <w:p w14:paraId="7B204E1E" w14:textId="77777777" w:rsidR="004A06BE" w:rsidRPr="00DE096C" w:rsidRDefault="004A06BE" w:rsidP="00BD0BCB">
            <w:pPr>
              <w:jc w:val="both"/>
              <w:rPr>
                <w:bCs/>
                <w:color w:val="002060"/>
                <w:sz w:val="16"/>
                <w:szCs w:val="16"/>
              </w:rPr>
            </w:pPr>
            <w:r w:rsidRPr="00DE096C">
              <w:rPr>
                <w:bCs/>
                <w:color w:val="002060"/>
                <w:sz w:val="16"/>
                <w:szCs w:val="16"/>
              </w:rPr>
              <w:t>Год выпуска</w:t>
            </w:r>
          </w:p>
        </w:tc>
        <w:tc>
          <w:tcPr>
            <w:tcW w:w="4314" w:type="dxa"/>
            <w:tcBorders>
              <w:top w:val="single" w:sz="6" w:space="0" w:color="auto"/>
              <w:left w:val="single" w:sz="6" w:space="0" w:color="auto"/>
              <w:bottom w:val="single" w:sz="6" w:space="0" w:color="auto"/>
              <w:right w:val="single" w:sz="12" w:space="0" w:color="auto"/>
            </w:tcBorders>
          </w:tcPr>
          <w:p w14:paraId="2161D0AF" w14:textId="77777777" w:rsidR="004A06BE" w:rsidRPr="00DE096C" w:rsidRDefault="004A06BE" w:rsidP="00BD0BCB">
            <w:pPr>
              <w:jc w:val="both"/>
              <w:rPr>
                <w:bCs/>
                <w:color w:val="002060"/>
                <w:sz w:val="16"/>
                <w:szCs w:val="16"/>
              </w:rPr>
            </w:pPr>
            <w:r w:rsidRPr="00DE096C">
              <w:rPr>
                <w:bCs/>
                <w:color w:val="002060"/>
                <w:sz w:val="16"/>
                <w:szCs w:val="16"/>
              </w:rPr>
              <w:t>1917</w:t>
            </w:r>
          </w:p>
        </w:tc>
      </w:tr>
      <w:tr w:rsidR="004A06BE" w:rsidRPr="00DE096C" w14:paraId="571F1C27" w14:textId="77777777" w:rsidTr="00BD0BCB">
        <w:tc>
          <w:tcPr>
            <w:tcW w:w="5045" w:type="dxa"/>
            <w:tcBorders>
              <w:top w:val="single" w:sz="6" w:space="0" w:color="auto"/>
              <w:left w:val="single" w:sz="12" w:space="0" w:color="auto"/>
              <w:bottom w:val="single" w:sz="6" w:space="0" w:color="auto"/>
              <w:right w:val="single" w:sz="6" w:space="0" w:color="auto"/>
            </w:tcBorders>
          </w:tcPr>
          <w:p w14:paraId="5C24A8BD" w14:textId="77777777" w:rsidR="004A06BE" w:rsidRPr="00DE096C" w:rsidRDefault="004A06BE" w:rsidP="00BD0BCB">
            <w:pPr>
              <w:jc w:val="both"/>
              <w:rPr>
                <w:bCs/>
                <w:color w:val="002060"/>
                <w:sz w:val="16"/>
                <w:szCs w:val="16"/>
              </w:rPr>
            </w:pPr>
            <w:r w:rsidRPr="00DE096C">
              <w:rPr>
                <w:bCs/>
                <w:color w:val="002060"/>
                <w:sz w:val="16"/>
                <w:szCs w:val="16"/>
              </w:rPr>
              <w:t>Заводское обозначение</w:t>
            </w:r>
          </w:p>
        </w:tc>
        <w:tc>
          <w:tcPr>
            <w:tcW w:w="4314" w:type="dxa"/>
            <w:tcBorders>
              <w:top w:val="single" w:sz="6" w:space="0" w:color="auto"/>
              <w:left w:val="single" w:sz="6" w:space="0" w:color="auto"/>
              <w:bottom w:val="single" w:sz="6" w:space="0" w:color="auto"/>
              <w:right w:val="single" w:sz="12" w:space="0" w:color="auto"/>
            </w:tcBorders>
          </w:tcPr>
          <w:p w14:paraId="056A3926" w14:textId="77777777" w:rsidR="004A06BE" w:rsidRPr="00DE096C" w:rsidRDefault="004A06BE" w:rsidP="00BD0BCB">
            <w:pPr>
              <w:jc w:val="both"/>
              <w:rPr>
                <w:bCs/>
                <w:color w:val="002060"/>
                <w:sz w:val="16"/>
                <w:szCs w:val="16"/>
              </w:rPr>
            </w:pPr>
            <w:r w:rsidRPr="00DE096C">
              <w:rPr>
                <w:bCs/>
                <w:color w:val="002060"/>
                <w:sz w:val="16"/>
                <w:szCs w:val="16"/>
              </w:rPr>
              <w:t>Л-14</w:t>
            </w:r>
          </w:p>
        </w:tc>
      </w:tr>
      <w:tr w:rsidR="004A06BE" w:rsidRPr="00DE096C" w14:paraId="321CD414" w14:textId="77777777" w:rsidTr="00BD0BCB">
        <w:tc>
          <w:tcPr>
            <w:tcW w:w="5045" w:type="dxa"/>
            <w:tcBorders>
              <w:top w:val="single" w:sz="6" w:space="0" w:color="auto"/>
              <w:left w:val="single" w:sz="12" w:space="0" w:color="auto"/>
              <w:bottom w:val="single" w:sz="6" w:space="0" w:color="auto"/>
              <w:right w:val="single" w:sz="6" w:space="0" w:color="auto"/>
            </w:tcBorders>
          </w:tcPr>
          <w:p w14:paraId="5F87EA98" w14:textId="77777777" w:rsidR="004A06BE" w:rsidRPr="00DE096C" w:rsidRDefault="004A06BE" w:rsidP="00BD0BCB">
            <w:pPr>
              <w:jc w:val="both"/>
              <w:rPr>
                <w:bCs/>
                <w:color w:val="002060"/>
                <w:sz w:val="16"/>
                <w:szCs w:val="16"/>
              </w:rPr>
            </w:pPr>
            <w:r w:rsidRPr="00DE096C">
              <w:rPr>
                <w:bCs/>
                <w:color w:val="002060"/>
                <w:sz w:val="16"/>
                <w:szCs w:val="16"/>
              </w:rPr>
              <w:t>Силовая установка</w:t>
            </w:r>
          </w:p>
        </w:tc>
        <w:tc>
          <w:tcPr>
            <w:tcW w:w="4314" w:type="dxa"/>
            <w:tcBorders>
              <w:top w:val="single" w:sz="6" w:space="0" w:color="auto"/>
              <w:left w:val="single" w:sz="6" w:space="0" w:color="auto"/>
              <w:bottom w:val="single" w:sz="6" w:space="0" w:color="auto"/>
              <w:right w:val="single" w:sz="12" w:space="0" w:color="auto"/>
            </w:tcBorders>
          </w:tcPr>
          <w:p w14:paraId="7C3FAEAB" w14:textId="77777777" w:rsidR="004A06BE" w:rsidRPr="00DE096C" w:rsidRDefault="004A06BE" w:rsidP="00BD0BCB">
            <w:pPr>
              <w:jc w:val="both"/>
              <w:rPr>
                <w:bCs/>
                <w:color w:val="002060"/>
                <w:sz w:val="16"/>
                <w:szCs w:val="16"/>
              </w:rPr>
            </w:pPr>
            <w:r w:rsidRPr="00DE096C">
              <w:rPr>
                <w:bCs/>
                <w:color w:val="002060"/>
                <w:sz w:val="16"/>
                <w:szCs w:val="16"/>
              </w:rPr>
              <w:t>2х"Сальмсон"</w:t>
            </w:r>
          </w:p>
        </w:tc>
      </w:tr>
      <w:tr w:rsidR="004A06BE" w:rsidRPr="00DE096C" w14:paraId="6DEC4707" w14:textId="77777777" w:rsidTr="00BD0BCB">
        <w:tc>
          <w:tcPr>
            <w:tcW w:w="5045" w:type="dxa"/>
            <w:tcBorders>
              <w:top w:val="single" w:sz="6" w:space="0" w:color="auto"/>
              <w:left w:val="single" w:sz="12" w:space="0" w:color="auto"/>
              <w:bottom w:val="single" w:sz="6" w:space="0" w:color="auto"/>
              <w:right w:val="single" w:sz="6" w:space="0" w:color="auto"/>
            </w:tcBorders>
          </w:tcPr>
          <w:p w14:paraId="1700C3C8" w14:textId="77777777" w:rsidR="004A06BE" w:rsidRPr="00DE096C" w:rsidRDefault="004A06BE" w:rsidP="00BD0BCB">
            <w:pPr>
              <w:jc w:val="both"/>
              <w:rPr>
                <w:bCs/>
                <w:color w:val="002060"/>
                <w:sz w:val="16"/>
                <w:szCs w:val="16"/>
              </w:rPr>
            </w:pPr>
            <w:r w:rsidRPr="00DE096C">
              <w:rPr>
                <w:bCs/>
                <w:color w:val="002060"/>
                <w:sz w:val="16"/>
                <w:szCs w:val="16"/>
              </w:rPr>
              <w:t>Мощность максимальная, л. с.</w:t>
            </w:r>
          </w:p>
        </w:tc>
        <w:tc>
          <w:tcPr>
            <w:tcW w:w="4314" w:type="dxa"/>
            <w:tcBorders>
              <w:top w:val="single" w:sz="6" w:space="0" w:color="auto"/>
              <w:left w:val="single" w:sz="6" w:space="0" w:color="auto"/>
              <w:bottom w:val="single" w:sz="6" w:space="0" w:color="auto"/>
              <w:right w:val="single" w:sz="12" w:space="0" w:color="auto"/>
            </w:tcBorders>
          </w:tcPr>
          <w:p w14:paraId="13639232" w14:textId="77777777" w:rsidR="004A06BE" w:rsidRPr="00DE096C" w:rsidRDefault="004A06BE" w:rsidP="00BD0BCB">
            <w:pPr>
              <w:jc w:val="both"/>
              <w:rPr>
                <w:bCs/>
                <w:color w:val="002060"/>
                <w:sz w:val="16"/>
                <w:szCs w:val="16"/>
              </w:rPr>
            </w:pPr>
            <w:r w:rsidRPr="00DE096C">
              <w:rPr>
                <w:bCs/>
                <w:color w:val="002060"/>
                <w:sz w:val="16"/>
                <w:szCs w:val="16"/>
              </w:rPr>
              <w:t>2x150</w:t>
            </w:r>
          </w:p>
        </w:tc>
      </w:tr>
      <w:tr w:rsidR="004A06BE" w:rsidRPr="00DE096C" w14:paraId="57E3E45D" w14:textId="77777777" w:rsidTr="00BD0BCB">
        <w:tc>
          <w:tcPr>
            <w:tcW w:w="5045" w:type="dxa"/>
            <w:tcBorders>
              <w:top w:val="single" w:sz="6" w:space="0" w:color="auto"/>
              <w:left w:val="single" w:sz="12" w:space="0" w:color="auto"/>
              <w:bottom w:val="single" w:sz="6" w:space="0" w:color="auto"/>
              <w:right w:val="single" w:sz="6" w:space="0" w:color="auto"/>
            </w:tcBorders>
          </w:tcPr>
          <w:p w14:paraId="1C6DC098" w14:textId="77777777" w:rsidR="004A06BE" w:rsidRPr="00DE096C" w:rsidRDefault="004A06BE" w:rsidP="00BD0BCB">
            <w:pPr>
              <w:jc w:val="both"/>
              <w:rPr>
                <w:bCs/>
                <w:color w:val="002060"/>
                <w:sz w:val="16"/>
                <w:szCs w:val="16"/>
              </w:rPr>
            </w:pPr>
            <w:r w:rsidRPr="00DE096C">
              <w:rPr>
                <w:bCs/>
                <w:color w:val="002060"/>
                <w:sz w:val="16"/>
                <w:szCs w:val="16"/>
              </w:rPr>
              <w:t>Скорость максимальная, км/ч</w:t>
            </w:r>
          </w:p>
        </w:tc>
        <w:tc>
          <w:tcPr>
            <w:tcW w:w="4314" w:type="dxa"/>
            <w:tcBorders>
              <w:top w:val="single" w:sz="6" w:space="0" w:color="auto"/>
              <w:left w:val="single" w:sz="6" w:space="0" w:color="auto"/>
              <w:bottom w:val="single" w:sz="6" w:space="0" w:color="auto"/>
              <w:right w:val="single" w:sz="12" w:space="0" w:color="auto"/>
            </w:tcBorders>
          </w:tcPr>
          <w:p w14:paraId="3982542C" w14:textId="77777777" w:rsidR="004A06BE" w:rsidRPr="00DE096C" w:rsidRDefault="004A06BE" w:rsidP="00BD0BCB">
            <w:pPr>
              <w:jc w:val="both"/>
              <w:rPr>
                <w:bCs/>
                <w:color w:val="002060"/>
                <w:sz w:val="16"/>
                <w:szCs w:val="16"/>
              </w:rPr>
            </w:pPr>
            <w:r w:rsidRPr="00DE096C">
              <w:rPr>
                <w:bCs/>
                <w:color w:val="002060"/>
                <w:sz w:val="16"/>
                <w:szCs w:val="16"/>
              </w:rPr>
              <w:t>140</w:t>
            </w:r>
          </w:p>
        </w:tc>
      </w:tr>
      <w:tr w:rsidR="004A06BE" w:rsidRPr="00DE096C" w14:paraId="2621E17B" w14:textId="77777777" w:rsidTr="00BD0BCB">
        <w:tc>
          <w:tcPr>
            <w:tcW w:w="5045" w:type="dxa"/>
            <w:tcBorders>
              <w:top w:val="single" w:sz="6" w:space="0" w:color="auto"/>
              <w:left w:val="single" w:sz="12" w:space="0" w:color="auto"/>
              <w:bottom w:val="single" w:sz="6" w:space="0" w:color="auto"/>
              <w:right w:val="single" w:sz="6" w:space="0" w:color="auto"/>
            </w:tcBorders>
          </w:tcPr>
          <w:p w14:paraId="5CBCAF75" w14:textId="77777777" w:rsidR="004A06BE" w:rsidRPr="00DE096C" w:rsidRDefault="004A06BE" w:rsidP="00BD0BCB">
            <w:pPr>
              <w:jc w:val="both"/>
              <w:rPr>
                <w:bCs/>
                <w:color w:val="002060"/>
                <w:sz w:val="16"/>
                <w:szCs w:val="16"/>
              </w:rPr>
            </w:pPr>
            <w:r w:rsidRPr="00DE096C">
              <w:rPr>
                <w:bCs/>
                <w:color w:val="002060"/>
                <w:sz w:val="16"/>
                <w:szCs w:val="16"/>
              </w:rPr>
              <w:t>Потолок практический, м</w:t>
            </w:r>
          </w:p>
        </w:tc>
        <w:tc>
          <w:tcPr>
            <w:tcW w:w="4314" w:type="dxa"/>
            <w:tcBorders>
              <w:top w:val="single" w:sz="6" w:space="0" w:color="auto"/>
              <w:left w:val="single" w:sz="6" w:space="0" w:color="auto"/>
              <w:bottom w:val="single" w:sz="6" w:space="0" w:color="auto"/>
              <w:right w:val="single" w:sz="12" w:space="0" w:color="auto"/>
            </w:tcBorders>
          </w:tcPr>
          <w:p w14:paraId="4DA3F604" w14:textId="77777777" w:rsidR="004A06BE" w:rsidRPr="00DE096C" w:rsidRDefault="004A06BE" w:rsidP="00BD0BCB">
            <w:pPr>
              <w:jc w:val="both"/>
              <w:rPr>
                <w:bCs/>
                <w:color w:val="002060"/>
                <w:sz w:val="16"/>
                <w:szCs w:val="16"/>
              </w:rPr>
            </w:pPr>
            <w:r w:rsidRPr="00DE096C">
              <w:rPr>
                <w:bCs/>
                <w:color w:val="002060"/>
                <w:sz w:val="16"/>
                <w:szCs w:val="16"/>
              </w:rPr>
              <w:t>4000</w:t>
            </w:r>
          </w:p>
        </w:tc>
      </w:tr>
      <w:tr w:rsidR="004A06BE" w:rsidRPr="00DE096C" w14:paraId="4D8D95F0" w14:textId="77777777" w:rsidTr="00BD0BCB">
        <w:tc>
          <w:tcPr>
            <w:tcW w:w="5045" w:type="dxa"/>
            <w:tcBorders>
              <w:top w:val="single" w:sz="6" w:space="0" w:color="auto"/>
              <w:left w:val="single" w:sz="12" w:space="0" w:color="auto"/>
              <w:bottom w:val="single" w:sz="6" w:space="0" w:color="auto"/>
              <w:right w:val="single" w:sz="6" w:space="0" w:color="auto"/>
            </w:tcBorders>
          </w:tcPr>
          <w:p w14:paraId="7CD3DFFB" w14:textId="77777777" w:rsidR="004A06BE" w:rsidRPr="00DE096C" w:rsidRDefault="004A06BE" w:rsidP="00BD0BCB">
            <w:pPr>
              <w:jc w:val="both"/>
              <w:rPr>
                <w:bCs/>
                <w:color w:val="002060"/>
                <w:sz w:val="16"/>
                <w:szCs w:val="16"/>
              </w:rPr>
            </w:pPr>
            <w:r w:rsidRPr="00DE096C">
              <w:rPr>
                <w:bCs/>
                <w:color w:val="002060"/>
                <w:sz w:val="16"/>
                <w:szCs w:val="16"/>
              </w:rPr>
              <w:t>Продолжительность полета, ч</w:t>
            </w:r>
          </w:p>
        </w:tc>
        <w:tc>
          <w:tcPr>
            <w:tcW w:w="4314" w:type="dxa"/>
            <w:tcBorders>
              <w:top w:val="single" w:sz="6" w:space="0" w:color="auto"/>
              <w:left w:val="single" w:sz="6" w:space="0" w:color="auto"/>
              <w:bottom w:val="single" w:sz="6" w:space="0" w:color="auto"/>
              <w:right w:val="single" w:sz="12" w:space="0" w:color="auto"/>
            </w:tcBorders>
          </w:tcPr>
          <w:p w14:paraId="67449824" w14:textId="77777777" w:rsidR="004A06BE" w:rsidRPr="00DE096C" w:rsidRDefault="004A06BE" w:rsidP="00BD0BCB">
            <w:pPr>
              <w:jc w:val="both"/>
              <w:rPr>
                <w:bCs/>
                <w:color w:val="002060"/>
                <w:sz w:val="16"/>
                <w:szCs w:val="16"/>
              </w:rPr>
            </w:pPr>
            <w:r w:rsidRPr="00DE096C">
              <w:rPr>
                <w:bCs/>
                <w:color w:val="002060"/>
                <w:sz w:val="16"/>
                <w:szCs w:val="16"/>
              </w:rPr>
              <w:t>4-5</w:t>
            </w:r>
          </w:p>
        </w:tc>
      </w:tr>
      <w:tr w:rsidR="004A06BE" w:rsidRPr="00DE096C" w14:paraId="3BF2DA23" w14:textId="77777777" w:rsidTr="00BD0BCB">
        <w:tc>
          <w:tcPr>
            <w:tcW w:w="5045" w:type="dxa"/>
            <w:tcBorders>
              <w:top w:val="single" w:sz="6" w:space="0" w:color="auto"/>
              <w:left w:val="single" w:sz="12" w:space="0" w:color="auto"/>
              <w:bottom w:val="single" w:sz="6" w:space="0" w:color="auto"/>
              <w:right w:val="single" w:sz="6" w:space="0" w:color="auto"/>
            </w:tcBorders>
          </w:tcPr>
          <w:p w14:paraId="4BBDF180" w14:textId="77777777" w:rsidR="004A06BE" w:rsidRPr="00DE096C" w:rsidRDefault="004A06BE" w:rsidP="00BD0BCB">
            <w:pPr>
              <w:jc w:val="both"/>
              <w:rPr>
                <w:bCs/>
                <w:color w:val="002060"/>
                <w:sz w:val="16"/>
                <w:szCs w:val="16"/>
              </w:rPr>
            </w:pPr>
            <w:r w:rsidRPr="00DE096C">
              <w:rPr>
                <w:bCs/>
                <w:color w:val="002060"/>
                <w:sz w:val="16"/>
                <w:szCs w:val="16"/>
              </w:rPr>
              <w:t>Площадь крыльев, м</w:t>
            </w:r>
            <w:r w:rsidRPr="00DE096C">
              <w:rPr>
                <w:bCs/>
                <w:color w:val="002060"/>
                <w:sz w:val="16"/>
                <w:szCs w:val="16"/>
                <w:vertAlign w:val="superscript"/>
              </w:rPr>
              <w:t>2</w:t>
            </w:r>
          </w:p>
        </w:tc>
        <w:tc>
          <w:tcPr>
            <w:tcW w:w="4314" w:type="dxa"/>
            <w:tcBorders>
              <w:top w:val="single" w:sz="6" w:space="0" w:color="auto"/>
              <w:left w:val="single" w:sz="6" w:space="0" w:color="auto"/>
              <w:bottom w:val="single" w:sz="6" w:space="0" w:color="auto"/>
              <w:right w:val="single" w:sz="12" w:space="0" w:color="auto"/>
            </w:tcBorders>
          </w:tcPr>
          <w:p w14:paraId="50E6A91F" w14:textId="77777777" w:rsidR="004A06BE" w:rsidRPr="00DE096C" w:rsidRDefault="004A06BE" w:rsidP="00BD0BCB">
            <w:pPr>
              <w:jc w:val="both"/>
              <w:rPr>
                <w:bCs/>
                <w:color w:val="002060"/>
                <w:sz w:val="16"/>
                <w:szCs w:val="16"/>
              </w:rPr>
            </w:pPr>
            <w:r w:rsidRPr="00DE096C">
              <w:rPr>
                <w:bCs/>
                <w:color w:val="002060"/>
                <w:sz w:val="16"/>
                <w:szCs w:val="16"/>
              </w:rPr>
              <w:t>91,5</w:t>
            </w:r>
          </w:p>
        </w:tc>
      </w:tr>
      <w:tr w:rsidR="004A06BE" w:rsidRPr="00DE096C" w14:paraId="46E85524" w14:textId="77777777" w:rsidTr="00BD0BCB">
        <w:tc>
          <w:tcPr>
            <w:tcW w:w="5045" w:type="dxa"/>
            <w:tcBorders>
              <w:top w:val="single" w:sz="6" w:space="0" w:color="auto"/>
              <w:left w:val="single" w:sz="12" w:space="0" w:color="auto"/>
              <w:bottom w:val="single" w:sz="6" w:space="0" w:color="auto"/>
              <w:right w:val="single" w:sz="6" w:space="0" w:color="auto"/>
            </w:tcBorders>
          </w:tcPr>
          <w:p w14:paraId="6EA73C51" w14:textId="77777777" w:rsidR="004A06BE" w:rsidRPr="00DE096C" w:rsidRDefault="004A06BE" w:rsidP="00BD0BCB">
            <w:pPr>
              <w:jc w:val="both"/>
              <w:rPr>
                <w:bCs/>
                <w:color w:val="002060"/>
                <w:sz w:val="16"/>
                <w:szCs w:val="16"/>
              </w:rPr>
            </w:pPr>
            <w:r w:rsidRPr="00DE096C">
              <w:rPr>
                <w:bCs/>
                <w:color w:val="002060"/>
                <w:sz w:val="16"/>
                <w:szCs w:val="16"/>
              </w:rPr>
              <w:t>Взлетный вес кг</w:t>
            </w:r>
          </w:p>
        </w:tc>
        <w:tc>
          <w:tcPr>
            <w:tcW w:w="4314" w:type="dxa"/>
            <w:tcBorders>
              <w:top w:val="single" w:sz="6" w:space="0" w:color="auto"/>
              <w:left w:val="single" w:sz="6" w:space="0" w:color="auto"/>
              <w:bottom w:val="single" w:sz="6" w:space="0" w:color="auto"/>
              <w:right w:val="single" w:sz="12" w:space="0" w:color="auto"/>
            </w:tcBorders>
          </w:tcPr>
          <w:p w14:paraId="20C1D3D5" w14:textId="77777777" w:rsidR="004A06BE" w:rsidRPr="00DE096C" w:rsidRDefault="004A06BE" w:rsidP="00BD0BCB">
            <w:pPr>
              <w:jc w:val="both"/>
              <w:rPr>
                <w:bCs/>
                <w:color w:val="002060"/>
                <w:sz w:val="16"/>
                <w:szCs w:val="16"/>
              </w:rPr>
            </w:pPr>
            <w:r w:rsidRPr="00DE096C">
              <w:rPr>
                <w:bCs/>
                <w:color w:val="002060"/>
                <w:sz w:val="16"/>
                <w:szCs w:val="16"/>
              </w:rPr>
              <w:t>3170</w:t>
            </w:r>
          </w:p>
        </w:tc>
      </w:tr>
      <w:tr w:rsidR="004A06BE" w:rsidRPr="00DE096C" w14:paraId="279A9A3E" w14:textId="77777777" w:rsidTr="00BD0BCB">
        <w:tc>
          <w:tcPr>
            <w:tcW w:w="5045" w:type="dxa"/>
            <w:tcBorders>
              <w:top w:val="single" w:sz="6" w:space="0" w:color="auto"/>
              <w:left w:val="single" w:sz="12" w:space="0" w:color="auto"/>
              <w:bottom w:val="single" w:sz="6" w:space="0" w:color="auto"/>
              <w:right w:val="single" w:sz="6" w:space="0" w:color="auto"/>
            </w:tcBorders>
          </w:tcPr>
          <w:p w14:paraId="5A1719D9" w14:textId="77777777" w:rsidR="004A06BE" w:rsidRPr="00DE096C" w:rsidRDefault="004A06BE" w:rsidP="00BD0BCB">
            <w:pPr>
              <w:jc w:val="both"/>
              <w:rPr>
                <w:bCs/>
                <w:color w:val="002060"/>
                <w:sz w:val="16"/>
                <w:szCs w:val="16"/>
              </w:rPr>
            </w:pPr>
            <w:r w:rsidRPr="00DE096C">
              <w:rPr>
                <w:bCs/>
                <w:color w:val="002060"/>
                <w:sz w:val="16"/>
                <w:szCs w:val="16"/>
              </w:rPr>
              <w:t>Вес пустого самолета, кг</w:t>
            </w:r>
          </w:p>
        </w:tc>
        <w:tc>
          <w:tcPr>
            <w:tcW w:w="4314" w:type="dxa"/>
            <w:tcBorders>
              <w:top w:val="single" w:sz="6" w:space="0" w:color="auto"/>
              <w:left w:val="single" w:sz="6" w:space="0" w:color="auto"/>
              <w:bottom w:val="single" w:sz="6" w:space="0" w:color="auto"/>
              <w:right w:val="single" w:sz="12" w:space="0" w:color="auto"/>
            </w:tcBorders>
          </w:tcPr>
          <w:p w14:paraId="43477685" w14:textId="77777777" w:rsidR="004A06BE" w:rsidRPr="00DE096C" w:rsidRDefault="004A06BE" w:rsidP="00BD0BCB">
            <w:pPr>
              <w:jc w:val="both"/>
              <w:rPr>
                <w:bCs/>
                <w:color w:val="002060"/>
                <w:sz w:val="16"/>
                <w:szCs w:val="16"/>
              </w:rPr>
            </w:pPr>
            <w:r w:rsidRPr="00DE096C">
              <w:rPr>
                <w:bCs/>
                <w:color w:val="002060"/>
                <w:sz w:val="16"/>
                <w:szCs w:val="16"/>
              </w:rPr>
              <w:t>2210</w:t>
            </w:r>
          </w:p>
        </w:tc>
      </w:tr>
      <w:tr w:rsidR="004A06BE" w:rsidRPr="00DE096C" w14:paraId="3493EA4B" w14:textId="77777777" w:rsidTr="00BD0BCB">
        <w:tc>
          <w:tcPr>
            <w:tcW w:w="5045" w:type="dxa"/>
            <w:tcBorders>
              <w:top w:val="single" w:sz="6" w:space="0" w:color="auto"/>
              <w:left w:val="single" w:sz="12" w:space="0" w:color="auto"/>
              <w:bottom w:val="single" w:sz="6" w:space="0" w:color="auto"/>
              <w:right w:val="single" w:sz="6" w:space="0" w:color="auto"/>
            </w:tcBorders>
          </w:tcPr>
          <w:p w14:paraId="711C12C3" w14:textId="77777777" w:rsidR="004A06BE" w:rsidRPr="00DE096C" w:rsidRDefault="004A06BE" w:rsidP="00BD0BCB">
            <w:pPr>
              <w:jc w:val="both"/>
              <w:rPr>
                <w:bCs/>
                <w:color w:val="002060"/>
                <w:sz w:val="16"/>
                <w:szCs w:val="16"/>
              </w:rPr>
            </w:pPr>
            <w:r w:rsidRPr="00DE096C">
              <w:rPr>
                <w:bCs/>
                <w:color w:val="002060"/>
                <w:sz w:val="16"/>
                <w:szCs w:val="16"/>
              </w:rPr>
              <w:t>Полезная нагрузка, кг</w:t>
            </w:r>
          </w:p>
        </w:tc>
        <w:tc>
          <w:tcPr>
            <w:tcW w:w="4314" w:type="dxa"/>
            <w:tcBorders>
              <w:top w:val="single" w:sz="6" w:space="0" w:color="auto"/>
              <w:left w:val="single" w:sz="6" w:space="0" w:color="auto"/>
              <w:bottom w:val="single" w:sz="6" w:space="0" w:color="auto"/>
              <w:right w:val="single" w:sz="12" w:space="0" w:color="auto"/>
            </w:tcBorders>
          </w:tcPr>
          <w:p w14:paraId="5D08C5AA" w14:textId="77777777" w:rsidR="004A06BE" w:rsidRPr="00DE096C" w:rsidRDefault="004A06BE" w:rsidP="00BD0BCB">
            <w:pPr>
              <w:jc w:val="both"/>
              <w:rPr>
                <w:bCs/>
                <w:color w:val="002060"/>
                <w:sz w:val="16"/>
                <w:szCs w:val="16"/>
              </w:rPr>
            </w:pPr>
            <w:r w:rsidRPr="00DE096C">
              <w:rPr>
                <w:bCs/>
                <w:color w:val="002060"/>
                <w:sz w:val="16"/>
                <w:szCs w:val="16"/>
              </w:rPr>
              <w:t>960</w:t>
            </w:r>
          </w:p>
        </w:tc>
      </w:tr>
      <w:tr w:rsidR="004A06BE" w:rsidRPr="00DE096C" w14:paraId="786B09FF" w14:textId="77777777" w:rsidTr="00BD0BCB">
        <w:tc>
          <w:tcPr>
            <w:tcW w:w="5045" w:type="dxa"/>
            <w:tcBorders>
              <w:top w:val="single" w:sz="6" w:space="0" w:color="auto"/>
              <w:left w:val="single" w:sz="12" w:space="0" w:color="auto"/>
              <w:bottom w:val="single" w:sz="6" w:space="0" w:color="auto"/>
              <w:right w:val="single" w:sz="6" w:space="0" w:color="auto"/>
            </w:tcBorders>
          </w:tcPr>
          <w:p w14:paraId="2990096D" w14:textId="77777777" w:rsidR="004A06BE" w:rsidRPr="00DE096C" w:rsidRDefault="004A06BE" w:rsidP="00BD0BCB">
            <w:pPr>
              <w:jc w:val="both"/>
              <w:rPr>
                <w:bCs/>
                <w:color w:val="002060"/>
                <w:sz w:val="16"/>
                <w:szCs w:val="16"/>
              </w:rPr>
            </w:pPr>
            <w:r w:rsidRPr="00DE096C">
              <w:rPr>
                <w:bCs/>
                <w:color w:val="002060"/>
                <w:sz w:val="16"/>
                <w:szCs w:val="16"/>
              </w:rPr>
              <w:t>Удельная нагрузка на крыло, кг/м</w:t>
            </w:r>
            <w:r w:rsidRPr="00DE096C">
              <w:rPr>
                <w:bCs/>
                <w:color w:val="002060"/>
                <w:sz w:val="16"/>
                <w:szCs w:val="16"/>
                <w:vertAlign w:val="superscript"/>
              </w:rPr>
              <w:t>2</w:t>
            </w:r>
          </w:p>
        </w:tc>
        <w:tc>
          <w:tcPr>
            <w:tcW w:w="4314" w:type="dxa"/>
            <w:tcBorders>
              <w:top w:val="single" w:sz="6" w:space="0" w:color="auto"/>
              <w:left w:val="single" w:sz="6" w:space="0" w:color="auto"/>
              <w:bottom w:val="single" w:sz="6" w:space="0" w:color="auto"/>
              <w:right w:val="single" w:sz="12" w:space="0" w:color="auto"/>
            </w:tcBorders>
          </w:tcPr>
          <w:p w14:paraId="15C66DB2" w14:textId="77777777" w:rsidR="004A06BE" w:rsidRPr="00DE096C" w:rsidRDefault="004A06BE" w:rsidP="00BD0BCB">
            <w:pPr>
              <w:jc w:val="both"/>
              <w:rPr>
                <w:bCs/>
                <w:color w:val="002060"/>
                <w:sz w:val="16"/>
                <w:szCs w:val="16"/>
              </w:rPr>
            </w:pPr>
            <w:r w:rsidRPr="00DE096C">
              <w:rPr>
                <w:bCs/>
                <w:color w:val="002060"/>
                <w:sz w:val="16"/>
                <w:szCs w:val="16"/>
              </w:rPr>
              <w:t>34,8</w:t>
            </w:r>
          </w:p>
        </w:tc>
      </w:tr>
      <w:tr w:rsidR="004A06BE" w:rsidRPr="00DE096C" w14:paraId="31A996CC" w14:textId="77777777" w:rsidTr="00BD0BCB">
        <w:tc>
          <w:tcPr>
            <w:tcW w:w="5045" w:type="dxa"/>
            <w:tcBorders>
              <w:top w:val="single" w:sz="6" w:space="0" w:color="auto"/>
              <w:left w:val="single" w:sz="12" w:space="0" w:color="auto"/>
              <w:bottom w:val="single" w:sz="6" w:space="0" w:color="auto"/>
              <w:right w:val="single" w:sz="6" w:space="0" w:color="auto"/>
            </w:tcBorders>
          </w:tcPr>
          <w:p w14:paraId="3D6B6EA7" w14:textId="77777777" w:rsidR="004A06BE" w:rsidRPr="00DE096C" w:rsidRDefault="004A06BE" w:rsidP="00BD0BCB">
            <w:pPr>
              <w:jc w:val="both"/>
              <w:rPr>
                <w:bCs/>
                <w:color w:val="002060"/>
                <w:sz w:val="16"/>
                <w:szCs w:val="16"/>
              </w:rPr>
            </w:pPr>
            <w:r w:rsidRPr="00DE096C">
              <w:rPr>
                <w:bCs/>
                <w:color w:val="002060"/>
                <w:sz w:val="16"/>
                <w:szCs w:val="16"/>
              </w:rPr>
              <w:t>Удельная нагрузка на мощность, кг/л.с.</w:t>
            </w:r>
          </w:p>
        </w:tc>
        <w:tc>
          <w:tcPr>
            <w:tcW w:w="4314" w:type="dxa"/>
            <w:tcBorders>
              <w:top w:val="single" w:sz="6" w:space="0" w:color="auto"/>
              <w:left w:val="single" w:sz="6" w:space="0" w:color="auto"/>
              <w:bottom w:val="single" w:sz="6" w:space="0" w:color="auto"/>
              <w:right w:val="single" w:sz="12" w:space="0" w:color="auto"/>
            </w:tcBorders>
          </w:tcPr>
          <w:p w14:paraId="5D80CF9D" w14:textId="77777777" w:rsidR="004A06BE" w:rsidRPr="00DE096C" w:rsidRDefault="004A06BE" w:rsidP="00BD0BCB">
            <w:pPr>
              <w:jc w:val="both"/>
              <w:rPr>
                <w:bCs/>
                <w:color w:val="002060"/>
                <w:sz w:val="16"/>
                <w:szCs w:val="16"/>
              </w:rPr>
            </w:pPr>
            <w:r w:rsidRPr="00DE096C">
              <w:rPr>
                <w:bCs/>
                <w:color w:val="002060"/>
                <w:sz w:val="16"/>
                <w:szCs w:val="16"/>
              </w:rPr>
              <w:t>10,6</w:t>
            </w:r>
          </w:p>
        </w:tc>
      </w:tr>
      <w:tr w:rsidR="004A06BE" w:rsidRPr="00DE096C" w14:paraId="2C4456E2" w14:textId="77777777" w:rsidTr="00BD0BCB">
        <w:tc>
          <w:tcPr>
            <w:tcW w:w="5045" w:type="dxa"/>
            <w:tcBorders>
              <w:top w:val="single" w:sz="6" w:space="0" w:color="auto"/>
              <w:left w:val="single" w:sz="12" w:space="0" w:color="auto"/>
              <w:bottom w:val="single" w:sz="12" w:space="0" w:color="auto"/>
              <w:right w:val="single" w:sz="6" w:space="0" w:color="auto"/>
            </w:tcBorders>
          </w:tcPr>
          <w:p w14:paraId="520AE501" w14:textId="77777777" w:rsidR="004A06BE" w:rsidRPr="00DE096C" w:rsidRDefault="004A06BE" w:rsidP="00BD0BCB">
            <w:pPr>
              <w:jc w:val="both"/>
              <w:rPr>
                <w:bCs/>
                <w:color w:val="002060"/>
                <w:sz w:val="16"/>
                <w:szCs w:val="16"/>
              </w:rPr>
            </w:pPr>
            <w:r w:rsidRPr="00DE096C">
              <w:rPr>
                <w:bCs/>
                <w:color w:val="002060"/>
                <w:sz w:val="16"/>
                <w:szCs w:val="16"/>
              </w:rPr>
              <w:lastRenderedPageBreak/>
              <w:t>Весовая отдача, %</w:t>
            </w:r>
          </w:p>
        </w:tc>
        <w:tc>
          <w:tcPr>
            <w:tcW w:w="4314" w:type="dxa"/>
            <w:tcBorders>
              <w:top w:val="single" w:sz="6" w:space="0" w:color="auto"/>
              <w:left w:val="single" w:sz="6" w:space="0" w:color="auto"/>
              <w:bottom w:val="single" w:sz="12" w:space="0" w:color="auto"/>
              <w:right w:val="single" w:sz="12" w:space="0" w:color="auto"/>
            </w:tcBorders>
          </w:tcPr>
          <w:p w14:paraId="0700297D" w14:textId="77777777" w:rsidR="004A06BE" w:rsidRPr="00DE096C" w:rsidRDefault="004A06BE" w:rsidP="00BD0BCB">
            <w:pPr>
              <w:jc w:val="both"/>
              <w:rPr>
                <w:bCs/>
                <w:color w:val="002060"/>
                <w:sz w:val="16"/>
                <w:szCs w:val="16"/>
              </w:rPr>
            </w:pPr>
            <w:r w:rsidRPr="00DE096C">
              <w:rPr>
                <w:bCs/>
                <w:color w:val="002060"/>
                <w:sz w:val="16"/>
                <w:szCs w:val="16"/>
              </w:rPr>
              <w:t>30,2</w:t>
            </w:r>
          </w:p>
        </w:tc>
      </w:tr>
    </w:tbl>
    <w:p w14:paraId="54C5F7F6" w14:textId="77777777" w:rsidR="004A06BE" w:rsidRPr="00DE096C" w:rsidRDefault="004A06BE" w:rsidP="004A06BE">
      <w:pPr>
        <w:jc w:val="both"/>
        <w:rPr>
          <w:bCs/>
          <w:color w:val="002060"/>
          <w:sz w:val="16"/>
          <w:szCs w:val="16"/>
        </w:rPr>
      </w:pPr>
      <w:r w:rsidRPr="00DE096C">
        <w:rPr>
          <w:bCs/>
          <w:color w:val="002060"/>
          <w:sz w:val="16"/>
          <w:szCs w:val="16"/>
        </w:rPr>
        <w:t>(11918)</w:t>
      </w:r>
    </w:p>
    <w:p w14:paraId="49C68CBB" w14:textId="77777777" w:rsidR="004A06BE" w:rsidRPr="00DE096C" w:rsidRDefault="004A06BE" w:rsidP="004A06BE">
      <w:pPr>
        <w:jc w:val="both"/>
        <w:rPr>
          <w:bCs/>
          <w:color w:val="002060"/>
          <w:sz w:val="16"/>
          <w:szCs w:val="16"/>
        </w:rPr>
      </w:pPr>
    </w:p>
    <w:p w14:paraId="13D43310" w14:textId="77777777" w:rsidR="000C453C" w:rsidRPr="00B52707" w:rsidRDefault="000C453C" w:rsidP="000C453C">
      <w:pPr>
        <w:jc w:val="both"/>
        <w:rPr>
          <w:color w:val="0070C0"/>
          <w:sz w:val="16"/>
          <w:szCs w:val="16"/>
        </w:rPr>
      </w:pPr>
      <w:r w:rsidRPr="00B52707">
        <w:rPr>
          <w:color w:val="0070C0"/>
          <w:sz w:val="16"/>
          <w:szCs w:val="16"/>
        </w:rPr>
        <w:t>В сентябре 1914 года Л.Д. Колпаков обратился в Военное ведомство с предложением о создании боевого аэроплана, предназначенного для выполнения дальней воздушной разведки, бомбардирования войск и военных объектов противника. Руководство ведомства отнеслось к этой идее положительно и, согласовав с авиационным отделом специфические тонкости, сформулировало задание, согласно которому будущий «Летающий крейсер» должен был бы иметь «скорость полета 150-160 км/ч, высоту порядка 4000-5000 м и при бомбовой нагрузке 550-600 кг…»</w:t>
      </w:r>
    </w:p>
    <w:p w14:paraId="4EB7A6CE" w14:textId="77777777" w:rsidR="000C453C" w:rsidRPr="00B52707" w:rsidRDefault="000C453C" w:rsidP="000C453C">
      <w:pPr>
        <w:jc w:val="both"/>
        <w:rPr>
          <w:color w:val="0070C0"/>
          <w:sz w:val="16"/>
          <w:szCs w:val="16"/>
        </w:rPr>
      </w:pPr>
      <w:r w:rsidRPr="00B52707">
        <w:rPr>
          <w:color w:val="0070C0"/>
          <w:sz w:val="16"/>
          <w:szCs w:val="16"/>
        </w:rPr>
        <w:t>Ответ на предложение инженера-изобретателя пришел только к началу следующего года, и он при поддержке специалистов завода Лебедева разработал проект аэроплана, который был представлен и утвержден заказчиком весной 1915 года. Принятые в проекте основные геометрические параметры и расчетные весовые характеристики оказались в такой степени близкими к реальности, что практически не изменились к окончанию постройки аэроплана (25630).</w:t>
      </w:r>
    </w:p>
    <w:p w14:paraId="76871D4D" w14:textId="77777777" w:rsidR="000C453C" w:rsidRPr="00B52707" w:rsidRDefault="000C453C" w:rsidP="000C453C">
      <w:pPr>
        <w:jc w:val="both"/>
        <w:rPr>
          <w:color w:val="0070C0"/>
          <w:sz w:val="16"/>
          <w:szCs w:val="16"/>
        </w:rPr>
      </w:pPr>
    </w:p>
    <w:p w14:paraId="6111BF25" w14:textId="77777777" w:rsidR="004A06BE" w:rsidRPr="00DE096C" w:rsidRDefault="004A06BE" w:rsidP="004A06BE">
      <w:pPr>
        <w:jc w:val="both"/>
        <w:rPr>
          <w:bCs/>
          <w:color w:val="002060"/>
          <w:sz w:val="16"/>
          <w:szCs w:val="16"/>
        </w:rPr>
      </w:pPr>
      <w:r w:rsidRPr="00DE096C">
        <w:rPr>
          <w:bCs/>
          <w:color w:val="002060"/>
          <w:sz w:val="16"/>
          <w:szCs w:val="16"/>
        </w:rPr>
        <w:t>В сентябре 1914 года после доработки второй Ще-2 был сдан флоту. Летал на Черноморском флоте.</w:t>
      </w:r>
    </w:p>
    <w:p w14:paraId="00DEC6C9" w14:textId="77777777" w:rsidR="004A06BE" w:rsidRPr="00DE096C" w:rsidRDefault="004A06BE" w:rsidP="004A06BE">
      <w:pPr>
        <w:jc w:val="both"/>
        <w:rPr>
          <w:bCs/>
          <w:color w:val="002060"/>
          <w:sz w:val="16"/>
          <w:szCs w:val="16"/>
        </w:rPr>
      </w:pPr>
      <w:r w:rsidRPr="00DE096C">
        <w:rPr>
          <w:bCs/>
          <w:color w:val="002060"/>
          <w:sz w:val="16"/>
          <w:szCs w:val="16"/>
        </w:rPr>
        <w:t>Щ-2 (Морской второй) - более крупная, тоже двухместная, с двигателем Калеп в 80 л. с. Размеры и площадь крыльев были значительно увеличены, обводы лодки сильно изменены. Хвостовая часть трехгранного сечения (вершиной вверх) была приподнята на хвосте. Угол продольной килеватости был очень мал, редан вогнут и невысок. Под хвостом была пристроена на шарнирах лыжа. Коробка крыльев, установленная над корпусом лодки, монтировалась на стойках мотоустановки на высоте 100 мм над лодкой. Стабилизатор был сильно увеличен. Впервые в России постройка корпуса лодки Щ-2 производилась на стапеле килем вверх. Построено всего 2 самолета.</w:t>
      </w:r>
    </w:p>
    <w:p w14:paraId="7D7CC669" w14:textId="77777777" w:rsidR="004A06BE" w:rsidRPr="00DE096C" w:rsidRDefault="004A06BE" w:rsidP="004A06BE">
      <w:pPr>
        <w:jc w:val="both"/>
        <w:rPr>
          <w:bCs/>
          <w:color w:val="002060"/>
          <w:sz w:val="16"/>
          <w:szCs w:val="16"/>
        </w:rPr>
      </w:pPr>
      <w:r w:rsidRPr="00DE096C">
        <w:rPr>
          <w:bCs/>
          <w:color w:val="002060"/>
          <w:sz w:val="16"/>
          <w:szCs w:val="16"/>
        </w:rPr>
        <w:t xml:space="preserve">За Щ-2 последовала летающая лодка Щ-3. Это было видоизменение самолета Щ-2 с двигателем Гном-Моносупап в 100 л. с. Корпус лодки оставлен прежний, но еще раз был изменен профиль крыльев. Полеты показали, что улучшений по сравнению с лодкой Щ-2 не получилось. Неудовлетворительной была мореходность. После опытной лодки Щ-3 была выпушена серийная летающая лодка Щ-4. Этот гидросамолет являлся видоизменением Щ-3 с тем же двигателем. Был изменен профиль крыльев и незначительно - корпус лодки. Редан был вогнутый, низкий, угол продольной килеватости очень малый. Стабилизатор был сделан с изменяемым в полете углом установки, для чего служил винтовой подъемник под его передней кромкой. Работы проводились осенью 1914-1915 гг. Все проведенные изменения дали некоторое улучшение и после испытаний, проведенных в Севастополе, летающая лодка Щ-4 была принята морским ведомством в шести экземплярах на Черноморском флоте к февралю 1915 года. </w:t>
      </w:r>
    </w:p>
    <w:p w14:paraId="36D4AF98" w14:textId="77777777" w:rsidR="004A06BE" w:rsidRPr="00DE096C" w:rsidRDefault="004A06BE" w:rsidP="004A06BE">
      <w:pPr>
        <w:jc w:val="both"/>
        <w:rPr>
          <w:bCs/>
          <w:color w:val="002060"/>
          <w:sz w:val="16"/>
          <w:szCs w:val="16"/>
        </w:rPr>
      </w:pPr>
      <w:r w:rsidRPr="00DE096C">
        <w:rPr>
          <w:bCs/>
          <w:color w:val="002060"/>
          <w:sz w:val="16"/>
          <w:szCs w:val="16"/>
        </w:rPr>
        <w:t xml:space="preserve">ЛТХ: Размах крыльев - 13.68 м, длинна 8 м, площадь крыла 33.5 м.кв., масса пустого самолета 420 кг, нормальная взлетная 820 кг, на аппараты ставились моторы Гном мощностью 80 л.с., макс.скорость 90 км/ч, крейсерская скорость 70 км/ч, дальность полета 220-250 км, потолок 2000 м, экипаж 2 человека, вооружение: не предусматривалось, с началом войны ставились пулеметы Максим на импровизированной установке или ружье-пулеметы Мадсены или Федорова обр.1913 года. Пилоты могли брать 15-30 кг бомб в кабину (12284). </w:t>
      </w:r>
    </w:p>
    <w:p w14:paraId="18612C91" w14:textId="77777777" w:rsidR="004A06BE" w:rsidRPr="00DE096C" w:rsidRDefault="004A06BE" w:rsidP="004A06BE">
      <w:pPr>
        <w:jc w:val="both"/>
        <w:rPr>
          <w:bCs/>
          <w:color w:val="002060"/>
          <w:sz w:val="16"/>
          <w:szCs w:val="16"/>
        </w:rPr>
      </w:pPr>
    </w:p>
    <w:p w14:paraId="62F7820D" w14:textId="77777777" w:rsidR="004A06BE" w:rsidRPr="00DE096C" w:rsidRDefault="004A06BE" w:rsidP="004A06BE">
      <w:pPr>
        <w:shd w:val="clear" w:color="auto" w:fill="FFFFFF"/>
        <w:jc w:val="both"/>
        <w:rPr>
          <w:bCs/>
          <w:color w:val="002060"/>
          <w:sz w:val="16"/>
          <w:szCs w:val="16"/>
        </w:rPr>
      </w:pPr>
      <w:r w:rsidRPr="00DE096C">
        <w:rPr>
          <w:bCs/>
          <w:color w:val="002060"/>
          <w:sz w:val="16"/>
          <w:szCs w:val="16"/>
        </w:rPr>
        <w:t>В сентябре 1914 г. был сдан «Терещенко № 5бис» с мото</w:t>
      </w:r>
      <w:r w:rsidRPr="00DE096C">
        <w:rPr>
          <w:bCs/>
          <w:color w:val="002060"/>
          <w:sz w:val="16"/>
          <w:szCs w:val="16"/>
        </w:rPr>
        <w:softHyphen/>
        <w:t>ром «Рон», а его собрат с двигателем «Гном» — в январе 1915 г. Известно, что второй самолет про</w:t>
      </w:r>
      <w:r w:rsidRPr="00DE096C">
        <w:rPr>
          <w:bCs/>
          <w:color w:val="002060"/>
          <w:sz w:val="16"/>
          <w:szCs w:val="16"/>
        </w:rPr>
        <w:softHyphen/>
        <w:t>ходил фронтовые испытания. В своих отче</w:t>
      </w:r>
      <w:r w:rsidRPr="00DE096C">
        <w:rPr>
          <w:bCs/>
          <w:color w:val="002060"/>
          <w:sz w:val="16"/>
          <w:szCs w:val="16"/>
        </w:rPr>
        <w:softHyphen/>
        <w:t xml:space="preserve">тах военные летчики отмечали его сносную управляемость, однако крыло мешало </w:t>
      </w:r>
      <w:r w:rsidRPr="00DE096C">
        <w:rPr>
          <w:bCs/>
          <w:i/>
          <w:color w:val="002060"/>
          <w:sz w:val="16"/>
          <w:szCs w:val="16"/>
        </w:rPr>
        <w:t>об</w:t>
      </w:r>
      <w:r w:rsidRPr="00DE096C">
        <w:rPr>
          <w:bCs/>
          <w:i/>
          <w:color w:val="002060"/>
          <w:sz w:val="16"/>
          <w:szCs w:val="16"/>
        </w:rPr>
        <w:softHyphen/>
        <w:t xml:space="preserve">зору </w:t>
      </w:r>
      <w:r w:rsidRPr="00DE096C">
        <w:rPr>
          <w:bCs/>
          <w:color w:val="002060"/>
          <w:sz w:val="16"/>
          <w:szCs w:val="16"/>
        </w:rPr>
        <w:t>нижней полусферы, что усложняло его использование в качестве разведчика (11217).</w:t>
      </w:r>
    </w:p>
    <w:p w14:paraId="4C452296" w14:textId="77777777" w:rsidR="004A06BE" w:rsidRPr="00DE096C" w:rsidRDefault="004A06BE" w:rsidP="004A06BE">
      <w:pPr>
        <w:shd w:val="clear" w:color="auto" w:fill="FFFFFF"/>
        <w:jc w:val="both"/>
        <w:rPr>
          <w:bCs/>
          <w:color w:val="002060"/>
          <w:sz w:val="16"/>
          <w:szCs w:val="16"/>
        </w:rPr>
      </w:pPr>
    </w:p>
    <w:p w14:paraId="134CA39F" w14:textId="77777777" w:rsidR="004A06BE" w:rsidRPr="00DE096C" w:rsidRDefault="004A06BE" w:rsidP="004A06BE">
      <w:pPr>
        <w:shd w:val="clear" w:color="auto" w:fill="FFFFFF"/>
        <w:jc w:val="both"/>
        <w:rPr>
          <w:bCs/>
          <w:color w:val="002060"/>
          <w:sz w:val="16"/>
          <w:szCs w:val="16"/>
        </w:rPr>
      </w:pPr>
      <w:r w:rsidRPr="00DE096C">
        <w:rPr>
          <w:bCs/>
          <w:color w:val="002060"/>
          <w:sz w:val="16"/>
          <w:szCs w:val="16"/>
        </w:rPr>
        <w:t>В сентябре 1914 был завершен триплан Чернышева-Безобразова. Строился на средства автора в арендованном помещении на окраине Ходынского поля при поддержке Ф.Э.Моска (11972).</w:t>
      </w:r>
    </w:p>
    <w:p w14:paraId="7E2DB70A" w14:textId="77777777" w:rsidR="004A06BE" w:rsidRPr="00DE096C" w:rsidRDefault="004A06BE" w:rsidP="004A06BE">
      <w:pPr>
        <w:shd w:val="clear" w:color="auto" w:fill="FFFFFF"/>
        <w:jc w:val="both"/>
        <w:rPr>
          <w:bCs/>
          <w:color w:val="002060"/>
          <w:sz w:val="16"/>
          <w:szCs w:val="16"/>
        </w:rPr>
      </w:pPr>
    </w:p>
    <w:p w14:paraId="3AD4083F" w14:textId="77777777" w:rsidR="004A06BE" w:rsidRPr="00DE096C" w:rsidRDefault="004A06BE" w:rsidP="004A06BE">
      <w:pPr>
        <w:shd w:val="clear" w:color="auto" w:fill="FFFFFF"/>
        <w:jc w:val="both"/>
        <w:rPr>
          <w:bCs/>
          <w:color w:val="002060"/>
          <w:sz w:val="16"/>
          <w:szCs w:val="16"/>
        </w:rPr>
      </w:pPr>
      <w:r w:rsidRPr="00DE096C">
        <w:rPr>
          <w:bCs/>
          <w:color w:val="002060"/>
          <w:sz w:val="16"/>
          <w:szCs w:val="16"/>
        </w:rPr>
        <w:t>В сентябре 1914 года на Юго-Западный фронт отправили первую передвижную мастерскую. Ф.Ф.Терещен</w:t>
      </w:r>
      <w:r w:rsidRPr="00DE096C">
        <w:rPr>
          <w:bCs/>
          <w:color w:val="002060"/>
          <w:sz w:val="16"/>
          <w:szCs w:val="16"/>
        </w:rPr>
        <w:softHyphen/>
        <w:t>ко принадлежит заслуга в создании «подвижной аэро-планной мастерской для починки аэропланов в дей</w:t>
      </w:r>
      <w:r w:rsidRPr="00DE096C">
        <w:rPr>
          <w:bCs/>
          <w:color w:val="002060"/>
          <w:sz w:val="16"/>
          <w:szCs w:val="16"/>
        </w:rPr>
        <w:softHyphen/>
        <w:t>ствующей армии» (553).</w:t>
      </w:r>
    </w:p>
    <w:p w14:paraId="734D3E69" w14:textId="77777777" w:rsidR="004A06BE" w:rsidRPr="00DE096C" w:rsidRDefault="004A06BE" w:rsidP="004A06BE">
      <w:pPr>
        <w:shd w:val="clear" w:color="auto" w:fill="FFFFFF"/>
        <w:jc w:val="both"/>
        <w:rPr>
          <w:bCs/>
          <w:color w:val="002060"/>
          <w:sz w:val="16"/>
          <w:szCs w:val="16"/>
        </w:rPr>
      </w:pPr>
    </w:p>
    <w:p w14:paraId="6BC9C0E5" w14:textId="07174704" w:rsidR="008931D2" w:rsidRPr="00DE096C" w:rsidRDefault="008931D2" w:rsidP="00D45A46">
      <w:pPr>
        <w:jc w:val="both"/>
        <w:rPr>
          <w:bCs/>
          <w:i/>
          <w:color w:val="002060"/>
          <w:sz w:val="16"/>
          <w:szCs w:val="16"/>
        </w:rPr>
      </w:pPr>
      <w:r w:rsidRPr="00DE096C">
        <w:rPr>
          <w:bCs/>
          <w:i/>
          <w:color w:val="002060"/>
          <w:sz w:val="16"/>
          <w:szCs w:val="16"/>
        </w:rPr>
        <w:t>Другие оборонные отрасли:</w:t>
      </w:r>
    </w:p>
    <w:p w14:paraId="35FA009C" w14:textId="77777777" w:rsidR="008931D2" w:rsidRPr="00DE096C" w:rsidRDefault="008931D2" w:rsidP="00D45A46">
      <w:pPr>
        <w:jc w:val="both"/>
        <w:rPr>
          <w:bCs/>
          <w:i/>
          <w:color w:val="002060"/>
          <w:sz w:val="16"/>
          <w:szCs w:val="16"/>
        </w:rPr>
      </w:pPr>
    </w:p>
    <w:p w14:paraId="52F63E68" w14:textId="77777777" w:rsidR="008931D2" w:rsidRPr="00DE096C" w:rsidRDefault="008931D2" w:rsidP="00D45A46">
      <w:pPr>
        <w:jc w:val="both"/>
        <w:rPr>
          <w:bCs/>
          <w:color w:val="002060"/>
          <w:sz w:val="16"/>
          <w:szCs w:val="16"/>
        </w:rPr>
      </w:pPr>
      <w:r w:rsidRPr="00DE096C">
        <w:rPr>
          <w:bCs/>
          <w:color w:val="002060"/>
          <w:sz w:val="16"/>
          <w:szCs w:val="16"/>
        </w:rPr>
        <w:t>В сентябре 1914 г. правление РОБТиТ известило Минный отдел ГУК о завершении разработки приемника для приема незатухающих колебаний и об установке опытного образца на Ревельской радиостанции Морского ведомства. При этом фирма осваивала и производство важнейшего компонента этих установок – электровакуумных ламп Раунда, ранее поставлявшихся из-за границы. РОБТиТ оказалось единственным предприятием в стране, где было организовано производство данной продукции. В начале октября фирма известила Минный отдел о начале собственного производства ламп Раунда6, и сразу последовало заключение первого контракт на поставку приемников.</w:t>
      </w:r>
    </w:p>
    <w:p w14:paraId="4BC4FE89" w14:textId="77777777" w:rsidR="008931D2" w:rsidRPr="00DE096C" w:rsidRDefault="008931D2" w:rsidP="00D45A46">
      <w:pPr>
        <w:jc w:val="both"/>
        <w:rPr>
          <w:bCs/>
          <w:color w:val="002060"/>
          <w:sz w:val="16"/>
          <w:szCs w:val="16"/>
        </w:rPr>
      </w:pPr>
      <w:r w:rsidRPr="00DE096C">
        <w:rPr>
          <w:bCs/>
          <w:color w:val="002060"/>
          <w:sz w:val="16"/>
          <w:szCs w:val="16"/>
        </w:rPr>
        <w:t>По словам А.А. Реммерта, «… приобретенные после начала военных действий в виде опыта от РОБТиТ приемники незатухающих колебаний дали возможность в Балтийском и Черном морях улавливать неприятельские радиограммы, посылаемые без шифра» (18297).</w:t>
      </w:r>
    </w:p>
    <w:p w14:paraId="5F65B70B" w14:textId="77777777" w:rsidR="008931D2" w:rsidRPr="00DE096C" w:rsidRDefault="008931D2" w:rsidP="00D45A46">
      <w:pPr>
        <w:jc w:val="both"/>
        <w:rPr>
          <w:bCs/>
          <w:color w:val="002060"/>
          <w:sz w:val="16"/>
          <w:szCs w:val="16"/>
        </w:rPr>
      </w:pPr>
    </w:p>
    <w:p w14:paraId="5C2C02B4" w14:textId="77777777" w:rsidR="008931D2" w:rsidRPr="00DE096C" w:rsidRDefault="008931D2" w:rsidP="00D45A46">
      <w:pPr>
        <w:pStyle w:val="ae"/>
        <w:spacing w:before="0" w:beforeAutospacing="0" w:after="0" w:afterAutospacing="0"/>
        <w:jc w:val="both"/>
        <w:textAlignment w:val="top"/>
        <w:rPr>
          <w:bCs/>
          <w:color w:val="002060"/>
          <w:sz w:val="16"/>
          <w:szCs w:val="16"/>
        </w:rPr>
      </w:pPr>
      <w:r w:rsidRPr="00DE096C">
        <w:rPr>
          <w:bCs/>
          <w:color w:val="002060"/>
          <w:sz w:val="16"/>
          <w:szCs w:val="16"/>
        </w:rPr>
        <w:t>С сентября 1914 г. центром распределения заказов за границей был Англо-Русский комитет во главе с представителем министерства Торговли и Промышленности в Лондоне М.В. Рутковским, в октябре 1915 г. его сменил ген.-м. Э.К. Гермониус (заместитель – инженер Тимченко-Рубан Г.И.). Работа комитета была не удачной. Не испытывая доверия к Великобритании, ее производственным возможностям и не желая идти навстречу желанию ее правительства контролировать русские заказы (через Англо-Русский комитет), Ставка поддерживала размещение и значительное расширение заказов в Канаде и Америке, где была развернута Заготовительная комиссия, работа которой также была неудачной (18384).</w:t>
      </w:r>
    </w:p>
    <w:p w14:paraId="1F7087D6" w14:textId="77777777" w:rsidR="008931D2" w:rsidRPr="00DE096C" w:rsidRDefault="008931D2" w:rsidP="00D45A46">
      <w:pPr>
        <w:pStyle w:val="ae"/>
        <w:spacing w:before="0" w:beforeAutospacing="0" w:after="0" w:afterAutospacing="0"/>
        <w:jc w:val="both"/>
        <w:textAlignment w:val="top"/>
        <w:rPr>
          <w:bCs/>
          <w:color w:val="002060"/>
          <w:sz w:val="16"/>
          <w:szCs w:val="16"/>
        </w:rPr>
      </w:pPr>
    </w:p>
    <w:p w14:paraId="3B17EB6B" w14:textId="77777777" w:rsidR="008931D2" w:rsidRPr="00DE096C" w:rsidRDefault="008931D2" w:rsidP="00D45A46">
      <w:pPr>
        <w:pStyle w:val="ae"/>
        <w:spacing w:before="0" w:beforeAutospacing="0" w:after="0" w:afterAutospacing="0"/>
        <w:jc w:val="both"/>
        <w:rPr>
          <w:bCs/>
          <w:color w:val="002060"/>
          <w:sz w:val="16"/>
          <w:szCs w:val="16"/>
        </w:rPr>
      </w:pPr>
      <w:r w:rsidRPr="00DE096C">
        <w:rPr>
          <w:bCs/>
          <w:color w:val="002060"/>
          <w:sz w:val="16"/>
          <w:szCs w:val="16"/>
        </w:rPr>
        <w:t>В сентябре 1914 года после утверждения проекта Austin Motor Co.Ltd. получило заказ от Российской империи на изготовление 48 броневиков. Чтобы увеличить свободное пространство внутри машины, конструкторы вынесли пулеметные башни за пределы корпуса. При толщине брони 4 мм масса автомобиля оказалась чуть больше двух с половиной тонн.</w:t>
      </w:r>
    </w:p>
    <w:p w14:paraId="1FAF3713" w14:textId="77777777" w:rsidR="008931D2" w:rsidRPr="00DE096C" w:rsidRDefault="008931D2" w:rsidP="00D45A46">
      <w:pPr>
        <w:pStyle w:val="ae"/>
        <w:spacing w:before="0" w:beforeAutospacing="0" w:after="0" w:afterAutospacing="0"/>
        <w:jc w:val="both"/>
        <w:rPr>
          <w:bCs/>
          <w:color w:val="002060"/>
          <w:sz w:val="16"/>
          <w:szCs w:val="16"/>
        </w:rPr>
      </w:pPr>
      <w:r w:rsidRPr="00DE096C">
        <w:rPr>
          <w:bCs/>
          <w:color w:val="002060"/>
          <w:sz w:val="16"/>
          <w:szCs w:val="16"/>
        </w:rPr>
        <w:t>После прибытия в Россию оценку новинке дали боевые офицеры, справедливо заметившие, что 4-миллиметровая броня может не выдержать винтовочного выстрела с близкого расстояния. Поэтому броню поменяли на 7-миллиметровую все на том же Ижорском заводе.</w:t>
      </w:r>
    </w:p>
    <w:p w14:paraId="1FE08728" w14:textId="77777777" w:rsidR="008931D2" w:rsidRPr="00DE096C" w:rsidRDefault="008931D2" w:rsidP="00D45A46">
      <w:pPr>
        <w:pStyle w:val="ae"/>
        <w:spacing w:before="0" w:beforeAutospacing="0" w:after="0" w:afterAutospacing="0"/>
        <w:jc w:val="both"/>
        <w:rPr>
          <w:bCs/>
          <w:color w:val="002060"/>
          <w:sz w:val="16"/>
          <w:szCs w:val="16"/>
        </w:rPr>
      </w:pPr>
      <w:r w:rsidRPr="00DE096C">
        <w:rPr>
          <w:bCs/>
          <w:color w:val="002060"/>
          <w:sz w:val="16"/>
          <w:szCs w:val="16"/>
        </w:rPr>
        <w:t>Весной 1915 года Austin Motor получила заказ на производство бронемашин второй серии. Вместо базы легкового автомобиля теперь использовалась база полуторатонного грузовика с усиленной рамой. Толщина брони 7 мм. Конструкцию корпуса изменили, понизив крышу водительского отделения и укоротив длину, демонтировали заднюю аварийную дверь. Машина получилась теснее, а одна (боковая) дверь увеличивала риск гибели экипажа. Зато броневики второй серии получили броневую защиту передних рессор и бронирование фары-прожектора. Кроме того, улучшили вытяжку пороховых газов в боевых отделениях и увеличили сектор стрельбы.</w:t>
      </w:r>
    </w:p>
    <w:p w14:paraId="03ADC64D" w14:textId="77777777" w:rsidR="008931D2" w:rsidRPr="00DE096C" w:rsidRDefault="008931D2" w:rsidP="00D45A46">
      <w:pPr>
        <w:pStyle w:val="ae"/>
        <w:spacing w:before="0" w:beforeAutospacing="0" w:after="0" w:afterAutospacing="0"/>
        <w:jc w:val="both"/>
        <w:rPr>
          <w:bCs/>
          <w:color w:val="002060"/>
          <w:sz w:val="16"/>
          <w:szCs w:val="16"/>
        </w:rPr>
      </w:pPr>
      <w:r w:rsidRPr="00DE096C">
        <w:rPr>
          <w:bCs/>
          <w:color w:val="002060"/>
          <w:sz w:val="16"/>
          <w:szCs w:val="16"/>
        </w:rPr>
        <w:t>Всего в Россию был импортирован 61 броневик этой серии.</w:t>
      </w:r>
    </w:p>
    <w:p w14:paraId="3C9D375D" w14:textId="77777777" w:rsidR="008931D2" w:rsidRPr="00DE096C" w:rsidRDefault="008931D2" w:rsidP="00D45A46">
      <w:pPr>
        <w:pStyle w:val="ae"/>
        <w:spacing w:before="0" w:beforeAutospacing="0" w:after="0" w:afterAutospacing="0"/>
        <w:jc w:val="both"/>
        <w:rPr>
          <w:bCs/>
          <w:color w:val="002060"/>
          <w:sz w:val="16"/>
          <w:szCs w:val="16"/>
        </w:rPr>
      </w:pPr>
      <w:r w:rsidRPr="00DE096C">
        <w:rPr>
          <w:bCs/>
          <w:color w:val="002060"/>
          <w:sz w:val="16"/>
          <w:szCs w:val="16"/>
        </w:rPr>
        <w:t>Летом 1916 года в Austin Motor разместили заказ еще на 60 бронемашин. К этому времени накопился опыт боевого применения, который необходимо было учесть. Например, закрыли пуленепробиваемыми стеклами смотровые щели. В результате различных улучшений вес машины превысил пять тонн. В Россию новые «остины» прибыли летом 1917 года. Потребности армии были выше, но вскоре страну захлестнула волна революций. В Гражданскую «остины» воевали по обе стороны фронта (18519).</w:t>
      </w:r>
    </w:p>
    <w:p w14:paraId="7661B7E2" w14:textId="77777777" w:rsidR="008931D2" w:rsidRPr="00DE096C" w:rsidRDefault="008931D2" w:rsidP="00D45A46">
      <w:pPr>
        <w:pStyle w:val="a3"/>
        <w:jc w:val="both"/>
        <w:rPr>
          <w:bCs/>
          <w:i w:val="0"/>
          <w:color w:val="002060"/>
          <w:spacing w:val="0"/>
          <w:kern w:val="0"/>
          <w:position w:val="0"/>
          <w:sz w:val="16"/>
          <w:szCs w:val="16"/>
        </w:rPr>
      </w:pPr>
    </w:p>
    <w:p w14:paraId="1DD855C9" w14:textId="77777777" w:rsidR="008931D2" w:rsidRPr="00DE096C" w:rsidRDefault="008931D2"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С сентября 1914 г. кроме Земсоюза, Согора, Земгора и ВПК в России в годы войны действовал Комитет военно-технической помощи («Техпомощь»), который был консультативно-вспомогательной организацией ученых и техников. Его целью было установление связи между специалистами различных областей на почве обороны. Ядром Комитета было Русское техническое общество, которое выделило организацию — Комиссию по промышленности. Затем Комиссия превратилась в Комитет путем слияния комиссий военно-технической и санитарно-технической помощи с девятнадцатью другими общественными организациями технического характера. Начав работу 5 (18) июня 1915 г., Комитет военно-технической помощи осуществлял инструкторскую деятельность. Были организованы курсы военно-строительных техников, старших десятников, автомобильных механиков, автомобильных шоферов, авиационно-наблюдательные курсы, курсы фототехников, электротехников, инструкторов по термохимической обработке стали, инструкторов по газовому делу, химиков-браковщиков по пороху (11270).</w:t>
      </w:r>
    </w:p>
    <w:p w14:paraId="0F5FBD17" w14:textId="77777777" w:rsidR="008931D2" w:rsidRPr="00DE096C" w:rsidRDefault="008931D2" w:rsidP="00D45A46">
      <w:pPr>
        <w:pStyle w:val="a3"/>
        <w:jc w:val="both"/>
        <w:rPr>
          <w:bCs/>
          <w:i w:val="0"/>
          <w:color w:val="002060"/>
          <w:spacing w:val="0"/>
          <w:kern w:val="0"/>
          <w:position w:val="0"/>
          <w:sz w:val="16"/>
          <w:szCs w:val="16"/>
        </w:rPr>
      </w:pPr>
    </w:p>
    <w:p w14:paraId="66E5D041"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С сен</w:t>
      </w:r>
      <w:r w:rsidRPr="00DE096C">
        <w:rPr>
          <w:bCs/>
          <w:color w:val="002060"/>
          <w:sz w:val="16"/>
          <w:szCs w:val="16"/>
        </w:rPr>
        <w:softHyphen/>
        <w:t>тября 1914 г. единст</w:t>
      </w:r>
      <w:r w:rsidRPr="00DE096C">
        <w:rPr>
          <w:bCs/>
          <w:color w:val="002060"/>
          <w:sz w:val="16"/>
          <w:szCs w:val="16"/>
        </w:rPr>
        <w:softHyphen/>
        <w:t>венный казенный завод артиллерийского ведомства, имевший сна</w:t>
      </w:r>
      <w:r w:rsidRPr="00DE096C">
        <w:rPr>
          <w:bCs/>
          <w:color w:val="002060"/>
          <w:sz w:val="16"/>
          <w:szCs w:val="16"/>
        </w:rPr>
        <w:softHyphen/>
        <w:t>рядное производство, — Ижевский оружейный и сталелитейный — изготовлял в годы первой мировой войны только корпуса 76-мм шрапнелей и гранат и то в количествах, незначительных по сравне</w:t>
      </w:r>
      <w:r w:rsidRPr="00DE096C">
        <w:rPr>
          <w:bCs/>
          <w:color w:val="002060"/>
          <w:sz w:val="16"/>
          <w:szCs w:val="16"/>
        </w:rPr>
        <w:softHyphen/>
        <w:t>нию с общей потребностью армии в этих снарядах. Данные о выпуске корпусов снарядов (тыс. шт.) во время войны Ижевским заводом приведены ниже [5, с. 195]:</w:t>
      </w:r>
    </w:p>
    <w:p w14:paraId="19733099"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134,6</w:t>
      </w:r>
    </w:p>
    <w:p w14:paraId="731C0F08"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423,7</w:t>
      </w:r>
    </w:p>
    <w:p w14:paraId="1679A19E"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1915</w:t>
      </w:r>
    </w:p>
    <w:p w14:paraId="5339D9AD"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lastRenderedPageBreak/>
        <w:t>15,0</w:t>
      </w:r>
    </w:p>
    <w:p w14:paraId="6D60B349"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10,8</w:t>
      </w:r>
    </w:p>
    <w:p w14:paraId="31CAF7DF"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1916</w:t>
      </w:r>
    </w:p>
    <w:p w14:paraId="529405B2"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18,55</w:t>
      </w:r>
    </w:p>
    <w:p w14:paraId="13AB55C8"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1917</w:t>
      </w:r>
    </w:p>
    <w:p w14:paraId="2F06A483"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488,45</w:t>
      </w:r>
    </w:p>
    <w:p w14:paraId="2CE1FAAD"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Всего за время войны Ижевский завод изготовил 1091,1 тыс. кор</w:t>
      </w:r>
      <w:r w:rsidRPr="00DE096C">
        <w:rPr>
          <w:bCs/>
          <w:color w:val="002060"/>
          <w:sz w:val="16"/>
          <w:szCs w:val="16"/>
        </w:rPr>
        <w:softHyphen/>
        <w:t>пусов 76-мм снарядов (656,6 тыс. шрапнелей и 434,5 тыс. гранат).</w:t>
      </w:r>
    </w:p>
    <w:p w14:paraId="745A8474"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На Обуховском сталелитейном заводе Морского ведомства уже с 1883 г. небольшими партиями изготовляли стальные снаряды. После ряда опытных работ в 1888 г. начали производство крупнокалибер</w:t>
      </w:r>
      <w:r w:rsidRPr="00DE096C">
        <w:rPr>
          <w:bCs/>
          <w:color w:val="002060"/>
          <w:sz w:val="16"/>
          <w:szCs w:val="16"/>
        </w:rPr>
        <w:softHyphen/>
        <w:t>ных 8- и 12-дюймовых снарядов.</w:t>
      </w:r>
    </w:p>
    <w:p w14:paraId="4F984C87"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В 1906 г. была выстроена и оборудована мастерская для термооб</w:t>
      </w:r>
      <w:r w:rsidRPr="00DE096C">
        <w:rPr>
          <w:bCs/>
          <w:color w:val="002060"/>
          <w:sz w:val="16"/>
          <w:szCs w:val="16"/>
        </w:rPr>
        <w:softHyphen/>
        <w:t>работки снарядов. В 1911 г. завод израсходовал значительные сред</w:t>
      </w:r>
      <w:r w:rsidRPr="00DE096C">
        <w:rPr>
          <w:bCs/>
          <w:color w:val="002060"/>
          <w:sz w:val="16"/>
          <w:szCs w:val="16"/>
        </w:rPr>
        <w:softHyphen/>
        <w:t>ства на расширение и оборудование снарядных мастерских. В 1914 г. Обуховский завод мог изготовлять корпуса снарядов всех калибров.</w:t>
      </w:r>
    </w:p>
    <w:p w14:paraId="20BCB096"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Принадлежавший Горному ведомству Пермский орудийный за</w:t>
      </w:r>
      <w:r w:rsidRPr="00DE096C">
        <w:rPr>
          <w:bCs/>
          <w:color w:val="002060"/>
          <w:sz w:val="16"/>
          <w:szCs w:val="16"/>
        </w:rPr>
        <w:softHyphen/>
        <w:t>вод с самого основания занимался производством корпусов артил</w:t>
      </w:r>
      <w:r w:rsidRPr="00DE096C">
        <w:rPr>
          <w:bCs/>
          <w:color w:val="002060"/>
          <w:sz w:val="16"/>
          <w:szCs w:val="16"/>
        </w:rPr>
        <w:softHyphen/>
        <w:t>лерийских снарядов, сначала чугунных, а с середины 80-х годов XIX в. — стальных.</w:t>
      </w:r>
    </w:p>
    <w:p w14:paraId="01CF204B"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С 1901 г. завод начал выпуск 3-дюймовых шрапнелей. С 1906 г. было организовано производство морских фугасных тонкостенных бомб разных калибров — от 75-мм до 305-мм. Позднее завод начал выпускать эти же снаряды с закаленной головной частью для стрель</w:t>
      </w:r>
      <w:r w:rsidRPr="00DE096C">
        <w:rPr>
          <w:bCs/>
          <w:color w:val="002060"/>
          <w:sz w:val="16"/>
          <w:szCs w:val="16"/>
        </w:rPr>
        <w:softHyphen/>
        <w:t>бы по бронированным целям.</w:t>
      </w:r>
    </w:p>
    <w:p w14:paraId="0216A0C3"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Во время первой мировой войны Пермский орудийный завод вы</w:t>
      </w:r>
      <w:r w:rsidRPr="00DE096C">
        <w:rPr>
          <w:bCs/>
          <w:color w:val="002060"/>
          <w:sz w:val="16"/>
          <w:szCs w:val="16"/>
        </w:rPr>
        <w:softHyphen/>
        <w:t>пускал корпуса снарядов всех калибров — от 3-дюймовых до 14-дюймовых.</w:t>
      </w:r>
    </w:p>
    <w:p w14:paraId="3921FF35"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В табл. 1.7 приведены сведения о выпуске корпусов снарядов Пермским заводом в первую мировую войну [5, с. 196]. Данные табл. 1.7 показывают, что Пермский завод, как и Ижевский, изгото</w:t>
      </w:r>
      <w:r w:rsidRPr="00DE096C">
        <w:rPr>
          <w:bCs/>
          <w:color w:val="002060"/>
          <w:sz w:val="16"/>
          <w:szCs w:val="16"/>
        </w:rPr>
        <w:softHyphen/>
        <w:t>вил относительно незначительное количество корпусов снарядов по сравнению с общей потребностью армии. 76</w:t>
      </w:r>
    </w:p>
    <w:p w14:paraId="68485EBA"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1.7. Сведения о выпуске корпусов снарядов на Пермском орудийном заводе в 1914—1917 гг. (в тыс. шт.)</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554"/>
        <w:gridCol w:w="739"/>
        <w:gridCol w:w="758"/>
        <w:gridCol w:w="768"/>
        <w:gridCol w:w="758"/>
        <w:gridCol w:w="845"/>
      </w:tblGrid>
      <w:tr w:rsidR="008931D2" w:rsidRPr="00DE096C" w14:paraId="05CC112B" w14:textId="77777777" w:rsidTr="00711059">
        <w:trPr>
          <w:trHeight w:val="374"/>
        </w:trPr>
        <w:tc>
          <w:tcPr>
            <w:tcW w:w="2554" w:type="dxa"/>
          </w:tcPr>
          <w:p w14:paraId="3B66ECE6"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Корпуса снарядов</w:t>
            </w:r>
          </w:p>
          <w:p w14:paraId="769AF989" w14:textId="77777777" w:rsidR="008931D2" w:rsidRPr="00DE096C" w:rsidRDefault="008931D2" w:rsidP="00D45A46">
            <w:pPr>
              <w:shd w:val="clear" w:color="auto" w:fill="FFFFFF"/>
              <w:jc w:val="both"/>
              <w:rPr>
                <w:bCs/>
                <w:color w:val="002060"/>
                <w:sz w:val="16"/>
                <w:szCs w:val="16"/>
              </w:rPr>
            </w:pPr>
          </w:p>
        </w:tc>
        <w:tc>
          <w:tcPr>
            <w:tcW w:w="739" w:type="dxa"/>
          </w:tcPr>
          <w:p w14:paraId="3263EFA3"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1914</w:t>
            </w:r>
          </w:p>
          <w:p w14:paraId="3EED0539" w14:textId="77777777" w:rsidR="008931D2" w:rsidRPr="00DE096C" w:rsidRDefault="008931D2" w:rsidP="00D45A46">
            <w:pPr>
              <w:shd w:val="clear" w:color="auto" w:fill="FFFFFF"/>
              <w:jc w:val="both"/>
              <w:rPr>
                <w:bCs/>
                <w:color w:val="002060"/>
                <w:sz w:val="16"/>
                <w:szCs w:val="16"/>
              </w:rPr>
            </w:pPr>
          </w:p>
        </w:tc>
        <w:tc>
          <w:tcPr>
            <w:tcW w:w="758" w:type="dxa"/>
          </w:tcPr>
          <w:p w14:paraId="25EE40B6"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1915</w:t>
            </w:r>
          </w:p>
          <w:p w14:paraId="40355A43" w14:textId="77777777" w:rsidR="008931D2" w:rsidRPr="00DE096C" w:rsidRDefault="008931D2" w:rsidP="00D45A46">
            <w:pPr>
              <w:shd w:val="clear" w:color="auto" w:fill="FFFFFF"/>
              <w:jc w:val="both"/>
              <w:rPr>
                <w:bCs/>
                <w:color w:val="002060"/>
                <w:sz w:val="16"/>
                <w:szCs w:val="16"/>
              </w:rPr>
            </w:pPr>
          </w:p>
        </w:tc>
        <w:tc>
          <w:tcPr>
            <w:tcW w:w="768" w:type="dxa"/>
          </w:tcPr>
          <w:p w14:paraId="59D49581"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.1916</w:t>
            </w:r>
          </w:p>
          <w:p w14:paraId="4B78558C" w14:textId="77777777" w:rsidR="008931D2" w:rsidRPr="00DE096C" w:rsidRDefault="008931D2" w:rsidP="00D45A46">
            <w:pPr>
              <w:shd w:val="clear" w:color="auto" w:fill="FFFFFF"/>
              <w:jc w:val="both"/>
              <w:rPr>
                <w:bCs/>
                <w:color w:val="002060"/>
                <w:sz w:val="16"/>
                <w:szCs w:val="16"/>
              </w:rPr>
            </w:pPr>
          </w:p>
        </w:tc>
        <w:tc>
          <w:tcPr>
            <w:tcW w:w="758" w:type="dxa"/>
          </w:tcPr>
          <w:p w14:paraId="6276B3F9"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1917</w:t>
            </w:r>
          </w:p>
          <w:p w14:paraId="7EE348AC" w14:textId="77777777" w:rsidR="008931D2" w:rsidRPr="00DE096C" w:rsidRDefault="008931D2" w:rsidP="00D45A46">
            <w:pPr>
              <w:shd w:val="clear" w:color="auto" w:fill="FFFFFF"/>
              <w:jc w:val="both"/>
              <w:rPr>
                <w:bCs/>
                <w:color w:val="002060"/>
                <w:sz w:val="16"/>
                <w:szCs w:val="16"/>
              </w:rPr>
            </w:pPr>
          </w:p>
        </w:tc>
        <w:tc>
          <w:tcPr>
            <w:tcW w:w="845" w:type="dxa"/>
          </w:tcPr>
          <w:p w14:paraId="7067D9EE"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Всего</w:t>
            </w:r>
          </w:p>
          <w:p w14:paraId="5B206B95" w14:textId="77777777" w:rsidR="008931D2" w:rsidRPr="00DE096C" w:rsidRDefault="008931D2" w:rsidP="00D45A46">
            <w:pPr>
              <w:shd w:val="clear" w:color="auto" w:fill="FFFFFF"/>
              <w:jc w:val="both"/>
              <w:rPr>
                <w:bCs/>
                <w:color w:val="002060"/>
                <w:sz w:val="16"/>
                <w:szCs w:val="16"/>
              </w:rPr>
            </w:pPr>
          </w:p>
        </w:tc>
      </w:tr>
      <w:tr w:rsidR="008931D2" w:rsidRPr="00DE096C" w14:paraId="467610C4" w14:textId="77777777" w:rsidTr="00711059">
        <w:trPr>
          <w:trHeight w:val="221"/>
        </w:trPr>
        <w:tc>
          <w:tcPr>
            <w:tcW w:w="2554" w:type="dxa"/>
          </w:tcPr>
          <w:p w14:paraId="00BB5087"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76-мм гранат</w:t>
            </w:r>
          </w:p>
          <w:p w14:paraId="2D0CFD79" w14:textId="77777777" w:rsidR="008931D2" w:rsidRPr="00DE096C" w:rsidRDefault="008931D2" w:rsidP="00D45A46">
            <w:pPr>
              <w:shd w:val="clear" w:color="auto" w:fill="FFFFFF"/>
              <w:jc w:val="both"/>
              <w:rPr>
                <w:bCs/>
                <w:color w:val="002060"/>
                <w:sz w:val="16"/>
                <w:szCs w:val="16"/>
              </w:rPr>
            </w:pPr>
          </w:p>
        </w:tc>
        <w:tc>
          <w:tcPr>
            <w:tcW w:w="739" w:type="dxa"/>
          </w:tcPr>
          <w:p w14:paraId="6664C7CC"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5378</w:t>
            </w:r>
          </w:p>
          <w:p w14:paraId="4351D555" w14:textId="77777777" w:rsidR="008931D2" w:rsidRPr="00DE096C" w:rsidRDefault="008931D2" w:rsidP="00D45A46">
            <w:pPr>
              <w:shd w:val="clear" w:color="auto" w:fill="FFFFFF"/>
              <w:jc w:val="both"/>
              <w:rPr>
                <w:bCs/>
                <w:color w:val="002060"/>
                <w:sz w:val="16"/>
                <w:szCs w:val="16"/>
              </w:rPr>
            </w:pPr>
          </w:p>
        </w:tc>
        <w:tc>
          <w:tcPr>
            <w:tcW w:w="758" w:type="dxa"/>
          </w:tcPr>
          <w:p w14:paraId="3571F58C"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152,5</w:t>
            </w:r>
          </w:p>
          <w:p w14:paraId="6FE5C343" w14:textId="77777777" w:rsidR="008931D2" w:rsidRPr="00DE096C" w:rsidRDefault="008931D2" w:rsidP="00D45A46">
            <w:pPr>
              <w:shd w:val="clear" w:color="auto" w:fill="FFFFFF"/>
              <w:jc w:val="both"/>
              <w:rPr>
                <w:bCs/>
                <w:color w:val="002060"/>
                <w:sz w:val="16"/>
                <w:szCs w:val="16"/>
              </w:rPr>
            </w:pPr>
          </w:p>
        </w:tc>
        <w:tc>
          <w:tcPr>
            <w:tcW w:w="768" w:type="dxa"/>
          </w:tcPr>
          <w:p w14:paraId="5C80E583"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231,2</w:t>
            </w:r>
          </w:p>
          <w:p w14:paraId="57F1BC50" w14:textId="77777777" w:rsidR="008931D2" w:rsidRPr="00DE096C" w:rsidRDefault="008931D2" w:rsidP="00D45A46">
            <w:pPr>
              <w:shd w:val="clear" w:color="auto" w:fill="FFFFFF"/>
              <w:jc w:val="both"/>
              <w:rPr>
                <w:bCs/>
                <w:color w:val="002060"/>
                <w:sz w:val="16"/>
                <w:szCs w:val="16"/>
              </w:rPr>
            </w:pPr>
          </w:p>
        </w:tc>
        <w:tc>
          <w:tcPr>
            <w:tcW w:w="758" w:type="dxa"/>
          </w:tcPr>
          <w:p w14:paraId="6FD22E37"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138,25</w:t>
            </w:r>
          </w:p>
          <w:p w14:paraId="6D43D60F" w14:textId="77777777" w:rsidR="008931D2" w:rsidRPr="00DE096C" w:rsidRDefault="008931D2" w:rsidP="00D45A46">
            <w:pPr>
              <w:shd w:val="clear" w:color="auto" w:fill="FFFFFF"/>
              <w:jc w:val="both"/>
              <w:rPr>
                <w:bCs/>
                <w:color w:val="002060"/>
                <w:sz w:val="16"/>
                <w:szCs w:val="16"/>
              </w:rPr>
            </w:pPr>
          </w:p>
        </w:tc>
        <w:tc>
          <w:tcPr>
            <w:tcW w:w="845" w:type="dxa"/>
          </w:tcPr>
          <w:p w14:paraId="5E77F4CF"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575,75</w:t>
            </w:r>
          </w:p>
          <w:p w14:paraId="3AF790AD" w14:textId="77777777" w:rsidR="008931D2" w:rsidRPr="00DE096C" w:rsidRDefault="008931D2" w:rsidP="00D45A46">
            <w:pPr>
              <w:shd w:val="clear" w:color="auto" w:fill="FFFFFF"/>
              <w:jc w:val="both"/>
              <w:rPr>
                <w:bCs/>
                <w:color w:val="002060"/>
                <w:sz w:val="16"/>
                <w:szCs w:val="16"/>
              </w:rPr>
            </w:pPr>
          </w:p>
        </w:tc>
      </w:tr>
      <w:tr w:rsidR="008931D2" w:rsidRPr="00DE096C" w14:paraId="5CA9B0A8" w14:textId="77777777" w:rsidTr="00711059">
        <w:trPr>
          <w:trHeight w:val="173"/>
        </w:trPr>
        <w:tc>
          <w:tcPr>
            <w:tcW w:w="2554" w:type="dxa"/>
          </w:tcPr>
          <w:p w14:paraId="3A6E19D4"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100-мм гранат фугасных</w:t>
            </w:r>
          </w:p>
          <w:p w14:paraId="2CE19FB3" w14:textId="77777777" w:rsidR="008931D2" w:rsidRPr="00DE096C" w:rsidRDefault="008931D2" w:rsidP="00D45A46">
            <w:pPr>
              <w:shd w:val="clear" w:color="auto" w:fill="FFFFFF"/>
              <w:jc w:val="both"/>
              <w:rPr>
                <w:bCs/>
                <w:color w:val="002060"/>
                <w:sz w:val="16"/>
                <w:szCs w:val="16"/>
              </w:rPr>
            </w:pPr>
          </w:p>
        </w:tc>
        <w:tc>
          <w:tcPr>
            <w:tcW w:w="739" w:type="dxa"/>
          </w:tcPr>
          <w:p w14:paraId="66B86D04"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w:t>
            </w:r>
          </w:p>
          <w:p w14:paraId="4C3B2E3C" w14:textId="77777777" w:rsidR="008931D2" w:rsidRPr="00DE096C" w:rsidRDefault="008931D2" w:rsidP="00D45A46">
            <w:pPr>
              <w:shd w:val="clear" w:color="auto" w:fill="FFFFFF"/>
              <w:jc w:val="both"/>
              <w:rPr>
                <w:bCs/>
                <w:color w:val="002060"/>
                <w:sz w:val="16"/>
                <w:szCs w:val="16"/>
              </w:rPr>
            </w:pPr>
          </w:p>
        </w:tc>
        <w:tc>
          <w:tcPr>
            <w:tcW w:w="758" w:type="dxa"/>
          </w:tcPr>
          <w:p w14:paraId="15699056"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w:t>
            </w:r>
          </w:p>
          <w:p w14:paraId="0DD2F33C" w14:textId="77777777" w:rsidR="008931D2" w:rsidRPr="00DE096C" w:rsidRDefault="008931D2" w:rsidP="00D45A46">
            <w:pPr>
              <w:shd w:val="clear" w:color="auto" w:fill="FFFFFF"/>
              <w:jc w:val="both"/>
              <w:rPr>
                <w:bCs/>
                <w:color w:val="002060"/>
                <w:sz w:val="16"/>
                <w:szCs w:val="16"/>
              </w:rPr>
            </w:pPr>
          </w:p>
        </w:tc>
        <w:tc>
          <w:tcPr>
            <w:tcW w:w="768" w:type="dxa"/>
          </w:tcPr>
          <w:p w14:paraId="70C9FCEA"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6,1</w:t>
            </w:r>
          </w:p>
          <w:p w14:paraId="0FF89F16" w14:textId="77777777" w:rsidR="008931D2" w:rsidRPr="00DE096C" w:rsidRDefault="008931D2" w:rsidP="00D45A46">
            <w:pPr>
              <w:shd w:val="clear" w:color="auto" w:fill="FFFFFF"/>
              <w:jc w:val="both"/>
              <w:rPr>
                <w:bCs/>
                <w:color w:val="002060"/>
                <w:sz w:val="16"/>
                <w:szCs w:val="16"/>
              </w:rPr>
            </w:pPr>
          </w:p>
        </w:tc>
        <w:tc>
          <w:tcPr>
            <w:tcW w:w="758" w:type="dxa"/>
          </w:tcPr>
          <w:p w14:paraId="4FFBCF0E"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w:t>
            </w:r>
          </w:p>
          <w:p w14:paraId="0A43318B" w14:textId="77777777" w:rsidR="008931D2" w:rsidRPr="00DE096C" w:rsidRDefault="008931D2" w:rsidP="00D45A46">
            <w:pPr>
              <w:shd w:val="clear" w:color="auto" w:fill="FFFFFF"/>
              <w:jc w:val="both"/>
              <w:rPr>
                <w:bCs/>
                <w:color w:val="002060"/>
                <w:sz w:val="16"/>
                <w:szCs w:val="16"/>
              </w:rPr>
            </w:pPr>
          </w:p>
        </w:tc>
        <w:tc>
          <w:tcPr>
            <w:tcW w:w="845" w:type="dxa"/>
          </w:tcPr>
          <w:p w14:paraId="4ED052B9"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6,1</w:t>
            </w:r>
          </w:p>
          <w:p w14:paraId="29026A03" w14:textId="77777777" w:rsidR="008931D2" w:rsidRPr="00DE096C" w:rsidRDefault="008931D2" w:rsidP="00D45A46">
            <w:pPr>
              <w:shd w:val="clear" w:color="auto" w:fill="FFFFFF"/>
              <w:jc w:val="both"/>
              <w:rPr>
                <w:bCs/>
                <w:color w:val="002060"/>
                <w:sz w:val="16"/>
                <w:szCs w:val="16"/>
              </w:rPr>
            </w:pPr>
          </w:p>
        </w:tc>
      </w:tr>
      <w:tr w:rsidR="008931D2" w:rsidRPr="00DE096C" w14:paraId="5A333DB3" w14:textId="77777777" w:rsidTr="00711059">
        <w:trPr>
          <w:trHeight w:val="163"/>
        </w:trPr>
        <w:tc>
          <w:tcPr>
            <w:tcW w:w="2554" w:type="dxa"/>
          </w:tcPr>
          <w:p w14:paraId="74EB0661"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120-мм шрапнелей</w:t>
            </w:r>
          </w:p>
          <w:p w14:paraId="77609FE9" w14:textId="77777777" w:rsidR="008931D2" w:rsidRPr="00DE096C" w:rsidRDefault="008931D2" w:rsidP="00D45A46">
            <w:pPr>
              <w:shd w:val="clear" w:color="auto" w:fill="FFFFFF"/>
              <w:jc w:val="both"/>
              <w:rPr>
                <w:bCs/>
                <w:color w:val="002060"/>
                <w:sz w:val="16"/>
                <w:szCs w:val="16"/>
              </w:rPr>
            </w:pPr>
          </w:p>
        </w:tc>
        <w:tc>
          <w:tcPr>
            <w:tcW w:w="739" w:type="dxa"/>
          </w:tcPr>
          <w:p w14:paraId="50E3A468"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w:t>
            </w:r>
          </w:p>
          <w:p w14:paraId="4826FFE0" w14:textId="77777777" w:rsidR="008931D2" w:rsidRPr="00DE096C" w:rsidRDefault="008931D2" w:rsidP="00D45A46">
            <w:pPr>
              <w:shd w:val="clear" w:color="auto" w:fill="FFFFFF"/>
              <w:jc w:val="both"/>
              <w:rPr>
                <w:bCs/>
                <w:color w:val="002060"/>
                <w:sz w:val="16"/>
                <w:szCs w:val="16"/>
              </w:rPr>
            </w:pPr>
          </w:p>
        </w:tc>
        <w:tc>
          <w:tcPr>
            <w:tcW w:w="758" w:type="dxa"/>
          </w:tcPr>
          <w:p w14:paraId="1B3302E7"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12,8</w:t>
            </w:r>
          </w:p>
          <w:p w14:paraId="0F03192F" w14:textId="77777777" w:rsidR="008931D2" w:rsidRPr="00DE096C" w:rsidRDefault="008931D2" w:rsidP="00D45A46">
            <w:pPr>
              <w:shd w:val="clear" w:color="auto" w:fill="FFFFFF"/>
              <w:jc w:val="both"/>
              <w:rPr>
                <w:bCs/>
                <w:color w:val="002060"/>
                <w:sz w:val="16"/>
                <w:szCs w:val="16"/>
              </w:rPr>
            </w:pPr>
          </w:p>
        </w:tc>
        <w:tc>
          <w:tcPr>
            <w:tcW w:w="768" w:type="dxa"/>
          </w:tcPr>
          <w:p w14:paraId="04E9DB92"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w:t>
            </w:r>
          </w:p>
          <w:p w14:paraId="1A992C0F" w14:textId="77777777" w:rsidR="008931D2" w:rsidRPr="00DE096C" w:rsidRDefault="008931D2" w:rsidP="00D45A46">
            <w:pPr>
              <w:shd w:val="clear" w:color="auto" w:fill="FFFFFF"/>
              <w:jc w:val="both"/>
              <w:rPr>
                <w:bCs/>
                <w:color w:val="002060"/>
                <w:sz w:val="16"/>
                <w:szCs w:val="16"/>
              </w:rPr>
            </w:pPr>
          </w:p>
        </w:tc>
        <w:tc>
          <w:tcPr>
            <w:tcW w:w="758" w:type="dxa"/>
          </w:tcPr>
          <w:p w14:paraId="013C01E3"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w:t>
            </w:r>
          </w:p>
          <w:p w14:paraId="76210B0C" w14:textId="77777777" w:rsidR="008931D2" w:rsidRPr="00DE096C" w:rsidRDefault="008931D2" w:rsidP="00D45A46">
            <w:pPr>
              <w:shd w:val="clear" w:color="auto" w:fill="FFFFFF"/>
              <w:jc w:val="both"/>
              <w:rPr>
                <w:bCs/>
                <w:color w:val="002060"/>
                <w:sz w:val="16"/>
                <w:szCs w:val="16"/>
              </w:rPr>
            </w:pPr>
          </w:p>
        </w:tc>
        <w:tc>
          <w:tcPr>
            <w:tcW w:w="845" w:type="dxa"/>
          </w:tcPr>
          <w:p w14:paraId="6CB1C44B"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12,8</w:t>
            </w:r>
          </w:p>
          <w:p w14:paraId="7AC45D11" w14:textId="77777777" w:rsidR="008931D2" w:rsidRPr="00DE096C" w:rsidRDefault="008931D2" w:rsidP="00D45A46">
            <w:pPr>
              <w:shd w:val="clear" w:color="auto" w:fill="FFFFFF"/>
              <w:jc w:val="both"/>
              <w:rPr>
                <w:bCs/>
                <w:color w:val="002060"/>
                <w:sz w:val="16"/>
                <w:szCs w:val="16"/>
              </w:rPr>
            </w:pPr>
          </w:p>
        </w:tc>
      </w:tr>
      <w:tr w:rsidR="008931D2" w:rsidRPr="00DE096C" w14:paraId="656FC7FA" w14:textId="77777777" w:rsidTr="00711059">
        <w:trPr>
          <w:trHeight w:val="173"/>
        </w:trPr>
        <w:tc>
          <w:tcPr>
            <w:tcW w:w="2554" w:type="dxa"/>
          </w:tcPr>
          <w:p w14:paraId="7AD2E4D9"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122-мм тротиловых бомб</w:t>
            </w:r>
          </w:p>
          <w:p w14:paraId="07A25D75" w14:textId="77777777" w:rsidR="008931D2" w:rsidRPr="00DE096C" w:rsidRDefault="008931D2" w:rsidP="00D45A46">
            <w:pPr>
              <w:shd w:val="clear" w:color="auto" w:fill="FFFFFF"/>
              <w:jc w:val="both"/>
              <w:rPr>
                <w:bCs/>
                <w:color w:val="002060"/>
                <w:sz w:val="16"/>
                <w:szCs w:val="16"/>
              </w:rPr>
            </w:pPr>
          </w:p>
        </w:tc>
        <w:tc>
          <w:tcPr>
            <w:tcW w:w="739" w:type="dxa"/>
          </w:tcPr>
          <w:p w14:paraId="7AE81875"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51,0</w:t>
            </w:r>
          </w:p>
          <w:p w14:paraId="34FF413B" w14:textId="77777777" w:rsidR="008931D2" w:rsidRPr="00DE096C" w:rsidRDefault="008931D2" w:rsidP="00D45A46">
            <w:pPr>
              <w:shd w:val="clear" w:color="auto" w:fill="FFFFFF"/>
              <w:jc w:val="both"/>
              <w:rPr>
                <w:bCs/>
                <w:color w:val="002060"/>
                <w:sz w:val="16"/>
                <w:szCs w:val="16"/>
              </w:rPr>
            </w:pPr>
          </w:p>
        </w:tc>
        <w:tc>
          <w:tcPr>
            <w:tcW w:w="758" w:type="dxa"/>
          </w:tcPr>
          <w:p w14:paraId="3F7650AC"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90,3</w:t>
            </w:r>
          </w:p>
          <w:p w14:paraId="3901A0F7" w14:textId="77777777" w:rsidR="008931D2" w:rsidRPr="00DE096C" w:rsidRDefault="008931D2" w:rsidP="00D45A46">
            <w:pPr>
              <w:shd w:val="clear" w:color="auto" w:fill="FFFFFF"/>
              <w:jc w:val="both"/>
              <w:rPr>
                <w:bCs/>
                <w:color w:val="002060"/>
                <w:sz w:val="16"/>
                <w:szCs w:val="16"/>
              </w:rPr>
            </w:pPr>
          </w:p>
        </w:tc>
        <w:tc>
          <w:tcPr>
            <w:tcW w:w="768" w:type="dxa"/>
          </w:tcPr>
          <w:p w14:paraId="0E88EC57"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243,4</w:t>
            </w:r>
          </w:p>
          <w:p w14:paraId="35DF7975" w14:textId="77777777" w:rsidR="008931D2" w:rsidRPr="00DE096C" w:rsidRDefault="008931D2" w:rsidP="00D45A46">
            <w:pPr>
              <w:shd w:val="clear" w:color="auto" w:fill="FFFFFF"/>
              <w:jc w:val="both"/>
              <w:rPr>
                <w:bCs/>
                <w:color w:val="002060"/>
                <w:sz w:val="16"/>
                <w:szCs w:val="16"/>
              </w:rPr>
            </w:pPr>
          </w:p>
        </w:tc>
        <w:tc>
          <w:tcPr>
            <w:tcW w:w="758" w:type="dxa"/>
          </w:tcPr>
          <w:p w14:paraId="59434BA7"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w:t>
            </w:r>
          </w:p>
          <w:p w14:paraId="05BA30D2" w14:textId="77777777" w:rsidR="008931D2" w:rsidRPr="00DE096C" w:rsidRDefault="008931D2" w:rsidP="00D45A46">
            <w:pPr>
              <w:shd w:val="clear" w:color="auto" w:fill="FFFFFF"/>
              <w:jc w:val="both"/>
              <w:rPr>
                <w:bCs/>
                <w:color w:val="002060"/>
                <w:sz w:val="16"/>
                <w:szCs w:val="16"/>
              </w:rPr>
            </w:pPr>
          </w:p>
        </w:tc>
        <w:tc>
          <w:tcPr>
            <w:tcW w:w="845" w:type="dxa"/>
          </w:tcPr>
          <w:p w14:paraId="52EF9206"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384,7</w:t>
            </w:r>
          </w:p>
          <w:p w14:paraId="4BC1D0B0" w14:textId="77777777" w:rsidR="008931D2" w:rsidRPr="00DE096C" w:rsidRDefault="008931D2" w:rsidP="00D45A46">
            <w:pPr>
              <w:shd w:val="clear" w:color="auto" w:fill="FFFFFF"/>
              <w:jc w:val="both"/>
              <w:rPr>
                <w:bCs/>
                <w:color w:val="002060"/>
                <w:sz w:val="16"/>
                <w:szCs w:val="16"/>
              </w:rPr>
            </w:pPr>
          </w:p>
        </w:tc>
      </w:tr>
      <w:tr w:rsidR="008931D2" w:rsidRPr="00DE096C" w14:paraId="2E950DBC" w14:textId="77777777" w:rsidTr="00711059">
        <w:trPr>
          <w:trHeight w:val="182"/>
        </w:trPr>
        <w:tc>
          <w:tcPr>
            <w:tcW w:w="2554" w:type="dxa"/>
          </w:tcPr>
          <w:p w14:paraId="0C57AC12"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122-мм шрапнелей</w:t>
            </w:r>
          </w:p>
          <w:p w14:paraId="1A70F7BF" w14:textId="77777777" w:rsidR="008931D2" w:rsidRPr="00DE096C" w:rsidRDefault="008931D2" w:rsidP="00D45A46">
            <w:pPr>
              <w:shd w:val="clear" w:color="auto" w:fill="FFFFFF"/>
              <w:jc w:val="both"/>
              <w:rPr>
                <w:bCs/>
                <w:color w:val="002060"/>
                <w:sz w:val="16"/>
                <w:szCs w:val="16"/>
              </w:rPr>
            </w:pPr>
          </w:p>
        </w:tc>
        <w:tc>
          <w:tcPr>
            <w:tcW w:w="739" w:type="dxa"/>
          </w:tcPr>
          <w:p w14:paraId="7ADD1F9E"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21,2</w:t>
            </w:r>
          </w:p>
          <w:p w14:paraId="1012EA4F" w14:textId="77777777" w:rsidR="008931D2" w:rsidRPr="00DE096C" w:rsidRDefault="008931D2" w:rsidP="00D45A46">
            <w:pPr>
              <w:shd w:val="clear" w:color="auto" w:fill="FFFFFF"/>
              <w:jc w:val="both"/>
              <w:rPr>
                <w:bCs/>
                <w:color w:val="002060"/>
                <w:sz w:val="16"/>
                <w:szCs w:val="16"/>
              </w:rPr>
            </w:pPr>
          </w:p>
        </w:tc>
        <w:tc>
          <w:tcPr>
            <w:tcW w:w="758" w:type="dxa"/>
          </w:tcPr>
          <w:p w14:paraId="40B3A08E"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33,7</w:t>
            </w:r>
          </w:p>
          <w:p w14:paraId="462348D8" w14:textId="77777777" w:rsidR="008931D2" w:rsidRPr="00DE096C" w:rsidRDefault="008931D2" w:rsidP="00D45A46">
            <w:pPr>
              <w:shd w:val="clear" w:color="auto" w:fill="FFFFFF"/>
              <w:jc w:val="both"/>
              <w:rPr>
                <w:bCs/>
                <w:color w:val="002060"/>
                <w:sz w:val="16"/>
                <w:szCs w:val="16"/>
              </w:rPr>
            </w:pPr>
          </w:p>
        </w:tc>
        <w:tc>
          <w:tcPr>
            <w:tcW w:w="768" w:type="dxa"/>
          </w:tcPr>
          <w:p w14:paraId="52AE5777"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47,2</w:t>
            </w:r>
          </w:p>
          <w:p w14:paraId="055E57A3" w14:textId="77777777" w:rsidR="008931D2" w:rsidRPr="00DE096C" w:rsidRDefault="008931D2" w:rsidP="00D45A46">
            <w:pPr>
              <w:shd w:val="clear" w:color="auto" w:fill="FFFFFF"/>
              <w:jc w:val="both"/>
              <w:rPr>
                <w:bCs/>
                <w:color w:val="002060"/>
                <w:sz w:val="16"/>
                <w:szCs w:val="16"/>
              </w:rPr>
            </w:pPr>
          </w:p>
        </w:tc>
        <w:tc>
          <w:tcPr>
            <w:tcW w:w="758" w:type="dxa"/>
          </w:tcPr>
          <w:p w14:paraId="0F54AECE"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28,05</w:t>
            </w:r>
          </w:p>
          <w:p w14:paraId="3EC2DD38" w14:textId="77777777" w:rsidR="008931D2" w:rsidRPr="00DE096C" w:rsidRDefault="008931D2" w:rsidP="00D45A46">
            <w:pPr>
              <w:shd w:val="clear" w:color="auto" w:fill="FFFFFF"/>
              <w:jc w:val="both"/>
              <w:rPr>
                <w:bCs/>
                <w:color w:val="002060"/>
                <w:sz w:val="16"/>
                <w:szCs w:val="16"/>
              </w:rPr>
            </w:pPr>
          </w:p>
        </w:tc>
        <w:tc>
          <w:tcPr>
            <w:tcW w:w="845" w:type="dxa"/>
          </w:tcPr>
          <w:p w14:paraId="54AD72A7"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130,15</w:t>
            </w:r>
          </w:p>
          <w:p w14:paraId="1D144B2F" w14:textId="77777777" w:rsidR="008931D2" w:rsidRPr="00DE096C" w:rsidRDefault="008931D2" w:rsidP="00D45A46">
            <w:pPr>
              <w:shd w:val="clear" w:color="auto" w:fill="FFFFFF"/>
              <w:jc w:val="both"/>
              <w:rPr>
                <w:bCs/>
                <w:color w:val="002060"/>
                <w:sz w:val="16"/>
                <w:szCs w:val="16"/>
              </w:rPr>
            </w:pPr>
          </w:p>
        </w:tc>
      </w:tr>
      <w:tr w:rsidR="008931D2" w:rsidRPr="00DE096C" w14:paraId="3D23CB1D" w14:textId="77777777" w:rsidTr="00711059">
        <w:trPr>
          <w:trHeight w:val="202"/>
        </w:trPr>
        <w:tc>
          <w:tcPr>
            <w:tcW w:w="2554" w:type="dxa"/>
          </w:tcPr>
          <w:p w14:paraId="273CBFF6"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120-мм бомб фугасных с нако-</w:t>
            </w:r>
          </w:p>
          <w:p w14:paraId="609D11F6" w14:textId="77777777" w:rsidR="008931D2" w:rsidRPr="00DE096C" w:rsidRDefault="008931D2" w:rsidP="00D45A46">
            <w:pPr>
              <w:shd w:val="clear" w:color="auto" w:fill="FFFFFF"/>
              <w:jc w:val="both"/>
              <w:rPr>
                <w:bCs/>
                <w:color w:val="002060"/>
                <w:sz w:val="16"/>
                <w:szCs w:val="16"/>
              </w:rPr>
            </w:pPr>
          </w:p>
        </w:tc>
        <w:tc>
          <w:tcPr>
            <w:tcW w:w="739" w:type="dxa"/>
          </w:tcPr>
          <w:p w14:paraId="04C70328"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3,1</w:t>
            </w:r>
          </w:p>
          <w:p w14:paraId="61D0C183" w14:textId="77777777" w:rsidR="008931D2" w:rsidRPr="00DE096C" w:rsidRDefault="008931D2" w:rsidP="00D45A46">
            <w:pPr>
              <w:shd w:val="clear" w:color="auto" w:fill="FFFFFF"/>
              <w:jc w:val="both"/>
              <w:rPr>
                <w:bCs/>
                <w:color w:val="002060"/>
                <w:sz w:val="16"/>
                <w:szCs w:val="16"/>
              </w:rPr>
            </w:pPr>
          </w:p>
        </w:tc>
        <w:tc>
          <w:tcPr>
            <w:tcW w:w="758" w:type="dxa"/>
          </w:tcPr>
          <w:p w14:paraId="209CB055"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6,5</w:t>
            </w:r>
          </w:p>
          <w:p w14:paraId="36257C61" w14:textId="77777777" w:rsidR="008931D2" w:rsidRPr="00DE096C" w:rsidRDefault="008931D2" w:rsidP="00D45A46">
            <w:pPr>
              <w:shd w:val="clear" w:color="auto" w:fill="FFFFFF"/>
              <w:jc w:val="both"/>
              <w:rPr>
                <w:bCs/>
                <w:color w:val="002060"/>
                <w:sz w:val="16"/>
                <w:szCs w:val="16"/>
              </w:rPr>
            </w:pPr>
          </w:p>
        </w:tc>
        <w:tc>
          <w:tcPr>
            <w:tcW w:w="768" w:type="dxa"/>
          </w:tcPr>
          <w:p w14:paraId="5721645D"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0,15</w:t>
            </w:r>
          </w:p>
          <w:p w14:paraId="3714166F" w14:textId="77777777" w:rsidR="008931D2" w:rsidRPr="00DE096C" w:rsidRDefault="008931D2" w:rsidP="00D45A46">
            <w:pPr>
              <w:shd w:val="clear" w:color="auto" w:fill="FFFFFF"/>
              <w:jc w:val="both"/>
              <w:rPr>
                <w:bCs/>
                <w:color w:val="002060"/>
                <w:sz w:val="16"/>
                <w:szCs w:val="16"/>
              </w:rPr>
            </w:pPr>
          </w:p>
        </w:tc>
        <w:tc>
          <w:tcPr>
            <w:tcW w:w="758" w:type="dxa"/>
          </w:tcPr>
          <w:p w14:paraId="18AD6137"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w:t>
            </w:r>
          </w:p>
          <w:p w14:paraId="4E7739FF" w14:textId="77777777" w:rsidR="008931D2" w:rsidRPr="00DE096C" w:rsidRDefault="008931D2" w:rsidP="00D45A46">
            <w:pPr>
              <w:shd w:val="clear" w:color="auto" w:fill="FFFFFF"/>
              <w:jc w:val="both"/>
              <w:rPr>
                <w:bCs/>
                <w:color w:val="002060"/>
                <w:sz w:val="16"/>
                <w:szCs w:val="16"/>
              </w:rPr>
            </w:pPr>
          </w:p>
        </w:tc>
        <w:tc>
          <w:tcPr>
            <w:tcW w:w="845" w:type="dxa"/>
          </w:tcPr>
          <w:p w14:paraId="4EF8BC42"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9,75</w:t>
            </w:r>
          </w:p>
          <w:p w14:paraId="375B1AE6" w14:textId="77777777" w:rsidR="008931D2" w:rsidRPr="00DE096C" w:rsidRDefault="008931D2" w:rsidP="00D45A46">
            <w:pPr>
              <w:shd w:val="clear" w:color="auto" w:fill="FFFFFF"/>
              <w:jc w:val="both"/>
              <w:rPr>
                <w:bCs/>
                <w:color w:val="002060"/>
                <w:sz w:val="16"/>
                <w:szCs w:val="16"/>
              </w:rPr>
            </w:pPr>
          </w:p>
        </w:tc>
      </w:tr>
      <w:tr w:rsidR="008931D2" w:rsidRPr="00DE096C" w14:paraId="18C058A6" w14:textId="77777777" w:rsidTr="00711059">
        <w:trPr>
          <w:trHeight w:val="125"/>
        </w:trPr>
        <w:tc>
          <w:tcPr>
            <w:tcW w:w="2554" w:type="dxa"/>
          </w:tcPr>
          <w:p w14:paraId="2133DE0B"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нечниками</w:t>
            </w:r>
          </w:p>
          <w:p w14:paraId="5DDA22E9" w14:textId="77777777" w:rsidR="008931D2" w:rsidRPr="00DE096C" w:rsidRDefault="008931D2" w:rsidP="00D45A46">
            <w:pPr>
              <w:shd w:val="clear" w:color="auto" w:fill="FFFFFF"/>
              <w:jc w:val="both"/>
              <w:rPr>
                <w:bCs/>
                <w:color w:val="002060"/>
                <w:sz w:val="16"/>
                <w:szCs w:val="16"/>
              </w:rPr>
            </w:pPr>
          </w:p>
        </w:tc>
        <w:tc>
          <w:tcPr>
            <w:tcW w:w="739" w:type="dxa"/>
          </w:tcPr>
          <w:p w14:paraId="147A3976" w14:textId="77777777" w:rsidR="008931D2" w:rsidRPr="00DE096C" w:rsidRDefault="008931D2" w:rsidP="00D45A46">
            <w:pPr>
              <w:shd w:val="clear" w:color="auto" w:fill="FFFFFF"/>
              <w:jc w:val="both"/>
              <w:rPr>
                <w:bCs/>
                <w:color w:val="002060"/>
                <w:sz w:val="16"/>
                <w:szCs w:val="16"/>
              </w:rPr>
            </w:pPr>
          </w:p>
          <w:p w14:paraId="2FFB1E2A" w14:textId="77777777" w:rsidR="008931D2" w:rsidRPr="00DE096C" w:rsidRDefault="008931D2" w:rsidP="00D45A46">
            <w:pPr>
              <w:shd w:val="clear" w:color="auto" w:fill="FFFFFF"/>
              <w:jc w:val="both"/>
              <w:rPr>
                <w:bCs/>
                <w:color w:val="002060"/>
                <w:sz w:val="16"/>
                <w:szCs w:val="16"/>
              </w:rPr>
            </w:pPr>
          </w:p>
        </w:tc>
        <w:tc>
          <w:tcPr>
            <w:tcW w:w="758" w:type="dxa"/>
          </w:tcPr>
          <w:p w14:paraId="4FC0F0DF" w14:textId="77777777" w:rsidR="008931D2" w:rsidRPr="00DE096C" w:rsidRDefault="008931D2" w:rsidP="00D45A46">
            <w:pPr>
              <w:shd w:val="clear" w:color="auto" w:fill="FFFFFF"/>
              <w:jc w:val="both"/>
              <w:rPr>
                <w:bCs/>
                <w:color w:val="002060"/>
                <w:sz w:val="16"/>
                <w:szCs w:val="16"/>
              </w:rPr>
            </w:pPr>
          </w:p>
          <w:p w14:paraId="37E57D05" w14:textId="77777777" w:rsidR="008931D2" w:rsidRPr="00DE096C" w:rsidRDefault="008931D2" w:rsidP="00D45A46">
            <w:pPr>
              <w:shd w:val="clear" w:color="auto" w:fill="FFFFFF"/>
              <w:jc w:val="both"/>
              <w:rPr>
                <w:bCs/>
                <w:color w:val="002060"/>
                <w:sz w:val="16"/>
                <w:szCs w:val="16"/>
              </w:rPr>
            </w:pPr>
          </w:p>
        </w:tc>
        <w:tc>
          <w:tcPr>
            <w:tcW w:w="768" w:type="dxa"/>
          </w:tcPr>
          <w:p w14:paraId="79F9F2C4" w14:textId="77777777" w:rsidR="008931D2" w:rsidRPr="00DE096C" w:rsidRDefault="008931D2" w:rsidP="00D45A46">
            <w:pPr>
              <w:shd w:val="clear" w:color="auto" w:fill="FFFFFF"/>
              <w:jc w:val="both"/>
              <w:rPr>
                <w:bCs/>
                <w:color w:val="002060"/>
                <w:sz w:val="16"/>
                <w:szCs w:val="16"/>
              </w:rPr>
            </w:pPr>
          </w:p>
          <w:p w14:paraId="04E35420" w14:textId="77777777" w:rsidR="008931D2" w:rsidRPr="00DE096C" w:rsidRDefault="008931D2" w:rsidP="00D45A46">
            <w:pPr>
              <w:shd w:val="clear" w:color="auto" w:fill="FFFFFF"/>
              <w:jc w:val="both"/>
              <w:rPr>
                <w:bCs/>
                <w:color w:val="002060"/>
                <w:sz w:val="16"/>
                <w:szCs w:val="16"/>
              </w:rPr>
            </w:pPr>
          </w:p>
        </w:tc>
        <w:tc>
          <w:tcPr>
            <w:tcW w:w="758" w:type="dxa"/>
          </w:tcPr>
          <w:p w14:paraId="201EFA1D" w14:textId="77777777" w:rsidR="008931D2" w:rsidRPr="00DE096C" w:rsidRDefault="008931D2" w:rsidP="00D45A46">
            <w:pPr>
              <w:shd w:val="clear" w:color="auto" w:fill="FFFFFF"/>
              <w:jc w:val="both"/>
              <w:rPr>
                <w:bCs/>
                <w:color w:val="002060"/>
                <w:sz w:val="16"/>
                <w:szCs w:val="16"/>
              </w:rPr>
            </w:pPr>
          </w:p>
          <w:p w14:paraId="5F6DDDA2" w14:textId="77777777" w:rsidR="008931D2" w:rsidRPr="00DE096C" w:rsidRDefault="008931D2" w:rsidP="00D45A46">
            <w:pPr>
              <w:shd w:val="clear" w:color="auto" w:fill="FFFFFF"/>
              <w:jc w:val="both"/>
              <w:rPr>
                <w:bCs/>
                <w:color w:val="002060"/>
                <w:sz w:val="16"/>
                <w:szCs w:val="16"/>
              </w:rPr>
            </w:pPr>
          </w:p>
        </w:tc>
        <w:tc>
          <w:tcPr>
            <w:tcW w:w="845" w:type="dxa"/>
          </w:tcPr>
          <w:p w14:paraId="14DC8B69" w14:textId="77777777" w:rsidR="008931D2" w:rsidRPr="00DE096C" w:rsidRDefault="008931D2" w:rsidP="00D45A46">
            <w:pPr>
              <w:shd w:val="clear" w:color="auto" w:fill="FFFFFF"/>
              <w:jc w:val="both"/>
              <w:rPr>
                <w:bCs/>
                <w:color w:val="002060"/>
                <w:sz w:val="16"/>
                <w:szCs w:val="16"/>
              </w:rPr>
            </w:pPr>
          </w:p>
          <w:p w14:paraId="6BDD02C6" w14:textId="77777777" w:rsidR="008931D2" w:rsidRPr="00DE096C" w:rsidRDefault="008931D2" w:rsidP="00D45A46">
            <w:pPr>
              <w:shd w:val="clear" w:color="auto" w:fill="FFFFFF"/>
              <w:jc w:val="both"/>
              <w:rPr>
                <w:bCs/>
                <w:color w:val="002060"/>
                <w:sz w:val="16"/>
                <w:szCs w:val="16"/>
              </w:rPr>
            </w:pPr>
          </w:p>
        </w:tc>
      </w:tr>
      <w:tr w:rsidR="008931D2" w:rsidRPr="00DE096C" w14:paraId="2017B6C2" w14:textId="77777777" w:rsidTr="00711059">
        <w:trPr>
          <w:trHeight w:val="163"/>
        </w:trPr>
        <w:tc>
          <w:tcPr>
            <w:tcW w:w="2554" w:type="dxa"/>
          </w:tcPr>
          <w:p w14:paraId="26158F61"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130-мм бомб</w:t>
            </w:r>
          </w:p>
          <w:p w14:paraId="242A431F" w14:textId="77777777" w:rsidR="008931D2" w:rsidRPr="00DE096C" w:rsidRDefault="008931D2" w:rsidP="00D45A46">
            <w:pPr>
              <w:shd w:val="clear" w:color="auto" w:fill="FFFFFF"/>
              <w:jc w:val="both"/>
              <w:rPr>
                <w:bCs/>
                <w:color w:val="002060"/>
                <w:sz w:val="16"/>
                <w:szCs w:val="16"/>
              </w:rPr>
            </w:pPr>
          </w:p>
        </w:tc>
        <w:tc>
          <w:tcPr>
            <w:tcW w:w="739" w:type="dxa"/>
          </w:tcPr>
          <w:p w14:paraId="045DCFA9"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w:t>
            </w:r>
          </w:p>
          <w:p w14:paraId="1DF4403E" w14:textId="77777777" w:rsidR="008931D2" w:rsidRPr="00DE096C" w:rsidRDefault="008931D2" w:rsidP="00D45A46">
            <w:pPr>
              <w:shd w:val="clear" w:color="auto" w:fill="FFFFFF"/>
              <w:jc w:val="both"/>
              <w:rPr>
                <w:bCs/>
                <w:color w:val="002060"/>
                <w:sz w:val="16"/>
                <w:szCs w:val="16"/>
              </w:rPr>
            </w:pPr>
          </w:p>
        </w:tc>
        <w:tc>
          <w:tcPr>
            <w:tcW w:w="758" w:type="dxa"/>
          </w:tcPr>
          <w:p w14:paraId="3E5146B1"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0,05</w:t>
            </w:r>
          </w:p>
          <w:p w14:paraId="4F11C8AB" w14:textId="77777777" w:rsidR="008931D2" w:rsidRPr="00DE096C" w:rsidRDefault="008931D2" w:rsidP="00D45A46">
            <w:pPr>
              <w:shd w:val="clear" w:color="auto" w:fill="FFFFFF"/>
              <w:jc w:val="both"/>
              <w:rPr>
                <w:bCs/>
                <w:color w:val="002060"/>
                <w:sz w:val="16"/>
                <w:szCs w:val="16"/>
              </w:rPr>
            </w:pPr>
          </w:p>
        </w:tc>
        <w:tc>
          <w:tcPr>
            <w:tcW w:w="768" w:type="dxa"/>
          </w:tcPr>
          <w:p w14:paraId="784C3630"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3,05</w:t>
            </w:r>
          </w:p>
          <w:p w14:paraId="1EC7C920" w14:textId="77777777" w:rsidR="008931D2" w:rsidRPr="00DE096C" w:rsidRDefault="008931D2" w:rsidP="00D45A46">
            <w:pPr>
              <w:shd w:val="clear" w:color="auto" w:fill="FFFFFF"/>
              <w:jc w:val="both"/>
              <w:rPr>
                <w:bCs/>
                <w:color w:val="002060"/>
                <w:sz w:val="16"/>
                <w:szCs w:val="16"/>
              </w:rPr>
            </w:pPr>
          </w:p>
        </w:tc>
        <w:tc>
          <w:tcPr>
            <w:tcW w:w="758" w:type="dxa"/>
          </w:tcPr>
          <w:p w14:paraId="717B8380"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w:t>
            </w:r>
          </w:p>
          <w:p w14:paraId="2A70AC27" w14:textId="77777777" w:rsidR="008931D2" w:rsidRPr="00DE096C" w:rsidRDefault="008931D2" w:rsidP="00D45A46">
            <w:pPr>
              <w:shd w:val="clear" w:color="auto" w:fill="FFFFFF"/>
              <w:jc w:val="both"/>
              <w:rPr>
                <w:bCs/>
                <w:color w:val="002060"/>
                <w:sz w:val="16"/>
                <w:szCs w:val="16"/>
              </w:rPr>
            </w:pPr>
          </w:p>
        </w:tc>
        <w:tc>
          <w:tcPr>
            <w:tcW w:w="845" w:type="dxa"/>
          </w:tcPr>
          <w:p w14:paraId="3F892850"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3,1</w:t>
            </w:r>
          </w:p>
          <w:p w14:paraId="0BDC5E3B" w14:textId="77777777" w:rsidR="008931D2" w:rsidRPr="00DE096C" w:rsidRDefault="008931D2" w:rsidP="00D45A46">
            <w:pPr>
              <w:shd w:val="clear" w:color="auto" w:fill="FFFFFF"/>
              <w:jc w:val="both"/>
              <w:rPr>
                <w:bCs/>
                <w:color w:val="002060"/>
                <w:sz w:val="16"/>
                <w:szCs w:val="16"/>
              </w:rPr>
            </w:pPr>
          </w:p>
        </w:tc>
      </w:tr>
      <w:tr w:rsidR="008931D2" w:rsidRPr="00DE096C" w14:paraId="31B8C1D7" w14:textId="77777777" w:rsidTr="00711059">
        <w:trPr>
          <w:trHeight w:val="182"/>
        </w:trPr>
        <w:tc>
          <w:tcPr>
            <w:tcW w:w="2554" w:type="dxa"/>
          </w:tcPr>
          <w:p w14:paraId="48CAE23B"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152-мм шрапнелей</w:t>
            </w:r>
          </w:p>
          <w:p w14:paraId="2A55BC4A" w14:textId="77777777" w:rsidR="008931D2" w:rsidRPr="00DE096C" w:rsidRDefault="008931D2" w:rsidP="00D45A46">
            <w:pPr>
              <w:shd w:val="clear" w:color="auto" w:fill="FFFFFF"/>
              <w:jc w:val="both"/>
              <w:rPr>
                <w:bCs/>
                <w:color w:val="002060"/>
                <w:sz w:val="16"/>
                <w:szCs w:val="16"/>
              </w:rPr>
            </w:pPr>
          </w:p>
        </w:tc>
        <w:tc>
          <w:tcPr>
            <w:tcW w:w="739" w:type="dxa"/>
          </w:tcPr>
          <w:p w14:paraId="362527F8"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46,4</w:t>
            </w:r>
          </w:p>
          <w:p w14:paraId="4A7B1AB4" w14:textId="77777777" w:rsidR="008931D2" w:rsidRPr="00DE096C" w:rsidRDefault="008931D2" w:rsidP="00D45A46">
            <w:pPr>
              <w:shd w:val="clear" w:color="auto" w:fill="FFFFFF"/>
              <w:jc w:val="both"/>
              <w:rPr>
                <w:bCs/>
                <w:color w:val="002060"/>
                <w:sz w:val="16"/>
                <w:szCs w:val="16"/>
              </w:rPr>
            </w:pPr>
          </w:p>
        </w:tc>
        <w:tc>
          <w:tcPr>
            <w:tcW w:w="758" w:type="dxa"/>
          </w:tcPr>
          <w:p w14:paraId="6FBC3B69"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98,3</w:t>
            </w:r>
          </w:p>
          <w:p w14:paraId="23402B0D" w14:textId="77777777" w:rsidR="008931D2" w:rsidRPr="00DE096C" w:rsidRDefault="008931D2" w:rsidP="00D45A46">
            <w:pPr>
              <w:shd w:val="clear" w:color="auto" w:fill="FFFFFF"/>
              <w:jc w:val="both"/>
              <w:rPr>
                <w:bCs/>
                <w:color w:val="002060"/>
                <w:sz w:val="16"/>
                <w:szCs w:val="16"/>
              </w:rPr>
            </w:pPr>
          </w:p>
        </w:tc>
        <w:tc>
          <w:tcPr>
            <w:tcW w:w="768" w:type="dxa"/>
          </w:tcPr>
          <w:p w14:paraId="6FC04798"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69,0</w:t>
            </w:r>
          </w:p>
          <w:p w14:paraId="3E878310" w14:textId="77777777" w:rsidR="008931D2" w:rsidRPr="00DE096C" w:rsidRDefault="008931D2" w:rsidP="00D45A46">
            <w:pPr>
              <w:shd w:val="clear" w:color="auto" w:fill="FFFFFF"/>
              <w:jc w:val="both"/>
              <w:rPr>
                <w:bCs/>
                <w:color w:val="002060"/>
                <w:sz w:val="16"/>
                <w:szCs w:val="16"/>
              </w:rPr>
            </w:pPr>
          </w:p>
        </w:tc>
        <w:tc>
          <w:tcPr>
            <w:tcW w:w="758" w:type="dxa"/>
          </w:tcPr>
          <w:p w14:paraId="6FBBC591"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__</w:t>
            </w:r>
          </w:p>
          <w:p w14:paraId="119733D4" w14:textId="77777777" w:rsidR="008931D2" w:rsidRPr="00DE096C" w:rsidRDefault="008931D2" w:rsidP="00D45A46">
            <w:pPr>
              <w:shd w:val="clear" w:color="auto" w:fill="FFFFFF"/>
              <w:jc w:val="both"/>
              <w:rPr>
                <w:bCs/>
                <w:color w:val="002060"/>
                <w:sz w:val="16"/>
                <w:szCs w:val="16"/>
              </w:rPr>
            </w:pPr>
          </w:p>
        </w:tc>
        <w:tc>
          <w:tcPr>
            <w:tcW w:w="845" w:type="dxa"/>
          </w:tcPr>
          <w:p w14:paraId="70AC1212"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213,7</w:t>
            </w:r>
          </w:p>
          <w:p w14:paraId="143E3660" w14:textId="77777777" w:rsidR="008931D2" w:rsidRPr="00DE096C" w:rsidRDefault="008931D2" w:rsidP="00D45A46">
            <w:pPr>
              <w:shd w:val="clear" w:color="auto" w:fill="FFFFFF"/>
              <w:jc w:val="both"/>
              <w:rPr>
                <w:bCs/>
                <w:color w:val="002060"/>
                <w:sz w:val="16"/>
                <w:szCs w:val="16"/>
              </w:rPr>
            </w:pPr>
          </w:p>
        </w:tc>
      </w:tr>
      <w:tr w:rsidR="008931D2" w:rsidRPr="00DE096C" w14:paraId="28F24D1B" w14:textId="77777777" w:rsidTr="00711059">
        <w:trPr>
          <w:trHeight w:val="163"/>
        </w:trPr>
        <w:tc>
          <w:tcPr>
            <w:tcW w:w="2554" w:type="dxa"/>
          </w:tcPr>
          <w:p w14:paraId="17F11B17"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152-мм бомб</w:t>
            </w:r>
          </w:p>
          <w:p w14:paraId="17A90DDC" w14:textId="77777777" w:rsidR="008931D2" w:rsidRPr="00DE096C" w:rsidRDefault="008931D2" w:rsidP="00D45A46">
            <w:pPr>
              <w:shd w:val="clear" w:color="auto" w:fill="FFFFFF"/>
              <w:jc w:val="both"/>
              <w:rPr>
                <w:bCs/>
                <w:color w:val="002060"/>
                <w:sz w:val="16"/>
                <w:szCs w:val="16"/>
              </w:rPr>
            </w:pPr>
          </w:p>
        </w:tc>
        <w:tc>
          <w:tcPr>
            <w:tcW w:w="739" w:type="dxa"/>
          </w:tcPr>
          <w:p w14:paraId="4B8575DB"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35, Ф</w:t>
            </w:r>
          </w:p>
          <w:p w14:paraId="5A073098" w14:textId="77777777" w:rsidR="008931D2" w:rsidRPr="00DE096C" w:rsidRDefault="008931D2" w:rsidP="00D45A46">
            <w:pPr>
              <w:shd w:val="clear" w:color="auto" w:fill="FFFFFF"/>
              <w:jc w:val="both"/>
              <w:rPr>
                <w:bCs/>
                <w:color w:val="002060"/>
                <w:sz w:val="16"/>
                <w:szCs w:val="16"/>
              </w:rPr>
            </w:pPr>
          </w:p>
        </w:tc>
        <w:tc>
          <w:tcPr>
            <w:tcW w:w="758" w:type="dxa"/>
          </w:tcPr>
          <w:p w14:paraId="60E00F7C"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40,12</w:t>
            </w:r>
          </w:p>
          <w:p w14:paraId="0EBEE0D7" w14:textId="77777777" w:rsidR="008931D2" w:rsidRPr="00DE096C" w:rsidRDefault="008931D2" w:rsidP="00D45A46">
            <w:pPr>
              <w:shd w:val="clear" w:color="auto" w:fill="FFFFFF"/>
              <w:jc w:val="both"/>
              <w:rPr>
                <w:bCs/>
                <w:color w:val="002060"/>
                <w:sz w:val="16"/>
                <w:szCs w:val="16"/>
              </w:rPr>
            </w:pPr>
          </w:p>
        </w:tc>
        <w:tc>
          <w:tcPr>
            <w:tcW w:w="768" w:type="dxa"/>
          </w:tcPr>
          <w:p w14:paraId="4BC454F2"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54,7</w:t>
            </w:r>
          </w:p>
          <w:p w14:paraId="45FBB4A3" w14:textId="77777777" w:rsidR="008931D2" w:rsidRPr="00DE096C" w:rsidRDefault="008931D2" w:rsidP="00D45A46">
            <w:pPr>
              <w:shd w:val="clear" w:color="auto" w:fill="FFFFFF"/>
              <w:jc w:val="both"/>
              <w:rPr>
                <w:bCs/>
                <w:color w:val="002060"/>
                <w:sz w:val="16"/>
                <w:szCs w:val="16"/>
              </w:rPr>
            </w:pPr>
          </w:p>
        </w:tc>
        <w:tc>
          <w:tcPr>
            <w:tcW w:w="758" w:type="dxa"/>
          </w:tcPr>
          <w:p w14:paraId="644D9A31"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86,85</w:t>
            </w:r>
          </w:p>
          <w:p w14:paraId="102146DC" w14:textId="77777777" w:rsidR="008931D2" w:rsidRPr="00DE096C" w:rsidRDefault="008931D2" w:rsidP="00D45A46">
            <w:pPr>
              <w:shd w:val="clear" w:color="auto" w:fill="FFFFFF"/>
              <w:jc w:val="both"/>
              <w:rPr>
                <w:bCs/>
                <w:color w:val="002060"/>
                <w:sz w:val="16"/>
                <w:szCs w:val="16"/>
              </w:rPr>
            </w:pPr>
          </w:p>
        </w:tc>
        <w:tc>
          <w:tcPr>
            <w:tcW w:w="845" w:type="dxa"/>
          </w:tcPr>
          <w:p w14:paraId="67A81F77"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217,07</w:t>
            </w:r>
          </w:p>
          <w:p w14:paraId="37CC0541" w14:textId="77777777" w:rsidR="008931D2" w:rsidRPr="00DE096C" w:rsidRDefault="008931D2" w:rsidP="00D45A46">
            <w:pPr>
              <w:shd w:val="clear" w:color="auto" w:fill="FFFFFF"/>
              <w:jc w:val="both"/>
              <w:rPr>
                <w:bCs/>
                <w:color w:val="002060"/>
                <w:sz w:val="16"/>
                <w:szCs w:val="16"/>
              </w:rPr>
            </w:pPr>
          </w:p>
        </w:tc>
      </w:tr>
      <w:tr w:rsidR="008931D2" w:rsidRPr="00DE096C" w14:paraId="6F461AC8" w14:textId="77777777" w:rsidTr="00711059">
        <w:trPr>
          <w:trHeight w:val="182"/>
        </w:trPr>
        <w:tc>
          <w:tcPr>
            <w:tcW w:w="2554" w:type="dxa"/>
          </w:tcPr>
          <w:p w14:paraId="7284CB03"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203-мм фугасных бомб</w:t>
            </w:r>
          </w:p>
          <w:p w14:paraId="6B6D39DC" w14:textId="77777777" w:rsidR="008931D2" w:rsidRPr="00DE096C" w:rsidRDefault="008931D2" w:rsidP="00D45A46">
            <w:pPr>
              <w:shd w:val="clear" w:color="auto" w:fill="FFFFFF"/>
              <w:jc w:val="both"/>
              <w:rPr>
                <w:bCs/>
                <w:color w:val="002060"/>
                <w:sz w:val="16"/>
                <w:szCs w:val="16"/>
              </w:rPr>
            </w:pPr>
          </w:p>
        </w:tc>
        <w:tc>
          <w:tcPr>
            <w:tcW w:w="739" w:type="dxa"/>
          </w:tcPr>
          <w:p w14:paraId="58518BDB"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w:t>
            </w:r>
          </w:p>
          <w:p w14:paraId="4B6F2FCB" w14:textId="77777777" w:rsidR="008931D2" w:rsidRPr="00DE096C" w:rsidRDefault="008931D2" w:rsidP="00D45A46">
            <w:pPr>
              <w:shd w:val="clear" w:color="auto" w:fill="FFFFFF"/>
              <w:jc w:val="both"/>
              <w:rPr>
                <w:bCs/>
                <w:color w:val="002060"/>
                <w:sz w:val="16"/>
                <w:szCs w:val="16"/>
              </w:rPr>
            </w:pPr>
          </w:p>
        </w:tc>
        <w:tc>
          <w:tcPr>
            <w:tcW w:w="758" w:type="dxa"/>
          </w:tcPr>
          <w:p w14:paraId="0389536B"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0,15</w:t>
            </w:r>
          </w:p>
          <w:p w14:paraId="4651ED16" w14:textId="77777777" w:rsidR="008931D2" w:rsidRPr="00DE096C" w:rsidRDefault="008931D2" w:rsidP="00D45A46">
            <w:pPr>
              <w:shd w:val="clear" w:color="auto" w:fill="FFFFFF"/>
              <w:jc w:val="both"/>
              <w:rPr>
                <w:bCs/>
                <w:color w:val="002060"/>
                <w:sz w:val="16"/>
                <w:szCs w:val="16"/>
              </w:rPr>
            </w:pPr>
          </w:p>
        </w:tc>
        <w:tc>
          <w:tcPr>
            <w:tcW w:w="768" w:type="dxa"/>
          </w:tcPr>
          <w:p w14:paraId="50014E31"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0,65</w:t>
            </w:r>
          </w:p>
          <w:p w14:paraId="5D21888A" w14:textId="77777777" w:rsidR="008931D2" w:rsidRPr="00DE096C" w:rsidRDefault="008931D2" w:rsidP="00D45A46">
            <w:pPr>
              <w:shd w:val="clear" w:color="auto" w:fill="FFFFFF"/>
              <w:jc w:val="both"/>
              <w:rPr>
                <w:bCs/>
                <w:color w:val="002060"/>
                <w:sz w:val="16"/>
                <w:szCs w:val="16"/>
              </w:rPr>
            </w:pPr>
          </w:p>
        </w:tc>
        <w:tc>
          <w:tcPr>
            <w:tcW w:w="758" w:type="dxa"/>
          </w:tcPr>
          <w:p w14:paraId="6A7FEEB2"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2,29</w:t>
            </w:r>
          </w:p>
          <w:p w14:paraId="48F51754" w14:textId="77777777" w:rsidR="008931D2" w:rsidRPr="00DE096C" w:rsidRDefault="008931D2" w:rsidP="00D45A46">
            <w:pPr>
              <w:shd w:val="clear" w:color="auto" w:fill="FFFFFF"/>
              <w:jc w:val="both"/>
              <w:rPr>
                <w:bCs/>
                <w:color w:val="002060"/>
                <w:sz w:val="16"/>
                <w:szCs w:val="16"/>
              </w:rPr>
            </w:pPr>
          </w:p>
        </w:tc>
        <w:tc>
          <w:tcPr>
            <w:tcW w:w="845" w:type="dxa"/>
          </w:tcPr>
          <w:p w14:paraId="7D8CC43C"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3,09</w:t>
            </w:r>
          </w:p>
          <w:p w14:paraId="1C512005" w14:textId="77777777" w:rsidR="008931D2" w:rsidRPr="00DE096C" w:rsidRDefault="008931D2" w:rsidP="00D45A46">
            <w:pPr>
              <w:shd w:val="clear" w:color="auto" w:fill="FFFFFF"/>
              <w:jc w:val="both"/>
              <w:rPr>
                <w:bCs/>
                <w:color w:val="002060"/>
                <w:sz w:val="16"/>
                <w:szCs w:val="16"/>
              </w:rPr>
            </w:pPr>
          </w:p>
        </w:tc>
      </w:tr>
      <w:tr w:rsidR="008931D2" w:rsidRPr="00DE096C" w14:paraId="31CE50BE" w14:textId="77777777" w:rsidTr="00711059">
        <w:trPr>
          <w:trHeight w:val="173"/>
        </w:trPr>
        <w:tc>
          <w:tcPr>
            <w:tcW w:w="2554" w:type="dxa"/>
          </w:tcPr>
          <w:p w14:paraId="6F7E68FC"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254-мм фугасных бомб</w:t>
            </w:r>
          </w:p>
          <w:p w14:paraId="5F8E6EFA" w14:textId="77777777" w:rsidR="008931D2" w:rsidRPr="00DE096C" w:rsidRDefault="008931D2" w:rsidP="00D45A46">
            <w:pPr>
              <w:shd w:val="clear" w:color="auto" w:fill="FFFFFF"/>
              <w:jc w:val="both"/>
              <w:rPr>
                <w:bCs/>
                <w:color w:val="002060"/>
                <w:sz w:val="16"/>
                <w:szCs w:val="16"/>
              </w:rPr>
            </w:pPr>
          </w:p>
        </w:tc>
        <w:tc>
          <w:tcPr>
            <w:tcW w:w="739" w:type="dxa"/>
          </w:tcPr>
          <w:p w14:paraId="76444828"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0,77</w:t>
            </w:r>
          </w:p>
          <w:p w14:paraId="3491107B" w14:textId="77777777" w:rsidR="008931D2" w:rsidRPr="00DE096C" w:rsidRDefault="008931D2" w:rsidP="00D45A46">
            <w:pPr>
              <w:shd w:val="clear" w:color="auto" w:fill="FFFFFF"/>
              <w:jc w:val="both"/>
              <w:rPr>
                <w:bCs/>
                <w:color w:val="002060"/>
                <w:sz w:val="16"/>
                <w:szCs w:val="16"/>
              </w:rPr>
            </w:pPr>
          </w:p>
        </w:tc>
        <w:tc>
          <w:tcPr>
            <w:tcW w:w="758" w:type="dxa"/>
          </w:tcPr>
          <w:p w14:paraId="3C321287"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0,82</w:t>
            </w:r>
          </w:p>
          <w:p w14:paraId="67FDA8B2" w14:textId="77777777" w:rsidR="008931D2" w:rsidRPr="00DE096C" w:rsidRDefault="008931D2" w:rsidP="00D45A46">
            <w:pPr>
              <w:shd w:val="clear" w:color="auto" w:fill="FFFFFF"/>
              <w:jc w:val="both"/>
              <w:rPr>
                <w:bCs/>
                <w:color w:val="002060"/>
                <w:sz w:val="16"/>
                <w:szCs w:val="16"/>
              </w:rPr>
            </w:pPr>
          </w:p>
        </w:tc>
        <w:tc>
          <w:tcPr>
            <w:tcW w:w="768" w:type="dxa"/>
          </w:tcPr>
          <w:p w14:paraId="093DA4D6"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1,3</w:t>
            </w:r>
          </w:p>
          <w:p w14:paraId="1CE95600" w14:textId="77777777" w:rsidR="008931D2" w:rsidRPr="00DE096C" w:rsidRDefault="008931D2" w:rsidP="00D45A46">
            <w:pPr>
              <w:shd w:val="clear" w:color="auto" w:fill="FFFFFF"/>
              <w:jc w:val="both"/>
              <w:rPr>
                <w:bCs/>
                <w:color w:val="002060"/>
                <w:sz w:val="16"/>
                <w:szCs w:val="16"/>
              </w:rPr>
            </w:pPr>
          </w:p>
        </w:tc>
        <w:tc>
          <w:tcPr>
            <w:tcW w:w="758" w:type="dxa"/>
          </w:tcPr>
          <w:p w14:paraId="3E94F094"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0,27</w:t>
            </w:r>
          </w:p>
          <w:p w14:paraId="72DE288B" w14:textId="77777777" w:rsidR="008931D2" w:rsidRPr="00DE096C" w:rsidRDefault="008931D2" w:rsidP="00D45A46">
            <w:pPr>
              <w:shd w:val="clear" w:color="auto" w:fill="FFFFFF"/>
              <w:jc w:val="both"/>
              <w:rPr>
                <w:bCs/>
                <w:color w:val="002060"/>
                <w:sz w:val="16"/>
                <w:szCs w:val="16"/>
              </w:rPr>
            </w:pPr>
          </w:p>
        </w:tc>
        <w:tc>
          <w:tcPr>
            <w:tcW w:w="845" w:type="dxa"/>
          </w:tcPr>
          <w:p w14:paraId="4FC640F9"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3,16</w:t>
            </w:r>
          </w:p>
          <w:p w14:paraId="03B780A1" w14:textId="77777777" w:rsidR="008931D2" w:rsidRPr="00DE096C" w:rsidRDefault="008931D2" w:rsidP="00D45A46">
            <w:pPr>
              <w:shd w:val="clear" w:color="auto" w:fill="FFFFFF"/>
              <w:jc w:val="both"/>
              <w:rPr>
                <w:bCs/>
                <w:color w:val="002060"/>
                <w:sz w:val="16"/>
                <w:szCs w:val="16"/>
              </w:rPr>
            </w:pPr>
          </w:p>
        </w:tc>
      </w:tr>
      <w:tr w:rsidR="008931D2" w:rsidRPr="00DE096C" w14:paraId="56048A96" w14:textId="77777777" w:rsidTr="00711059">
        <w:trPr>
          <w:trHeight w:val="192"/>
        </w:trPr>
        <w:tc>
          <w:tcPr>
            <w:tcW w:w="2554" w:type="dxa"/>
          </w:tcPr>
          <w:p w14:paraId="52FC61F6"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280-мм фугасных бомб и палу-</w:t>
            </w:r>
          </w:p>
          <w:p w14:paraId="37470B82" w14:textId="77777777" w:rsidR="008931D2" w:rsidRPr="00DE096C" w:rsidRDefault="008931D2" w:rsidP="00D45A46">
            <w:pPr>
              <w:shd w:val="clear" w:color="auto" w:fill="FFFFFF"/>
              <w:jc w:val="both"/>
              <w:rPr>
                <w:bCs/>
                <w:color w:val="002060"/>
                <w:sz w:val="16"/>
                <w:szCs w:val="16"/>
              </w:rPr>
            </w:pPr>
          </w:p>
        </w:tc>
        <w:tc>
          <w:tcPr>
            <w:tcW w:w="739" w:type="dxa"/>
          </w:tcPr>
          <w:p w14:paraId="3B915EB5"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2,37</w:t>
            </w:r>
          </w:p>
          <w:p w14:paraId="52EB0F7C" w14:textId="77777777" w:rsidR="008931D2" w:rsidRPr="00DE096C" w:rsidRDefault="008931D2" w:rsidP="00D45A46">
            <w:pPr>
              <w:shd w:val="clear" w:color="auto" w:fill="FFFFFF"/>
              <w:jc w:val="both"/>
              <w:rPr>
                <w:bCs/>
                <w:color w:val="002060"/>
                <w:sz w:val="16"/>
                <w:szCs w:val="16"/>
              </w:rPr>
            </w:pPr>
          </w:p>
        </w:tc>
        <w:tc>
          <w:tcPr>
            <w:tcW w:w="758" w:type="dxa"/>
          </w:tcPr>
          <w:p w14:paraId="1EBDD7B3"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1,35</w:t>
            </w:r>
          </w:p>
          <w:p w14:paraId="7408A4B9" w14:textId="77777777" w:rsidR="008931D2" w:rsidRPr="00DE096C" w:rsidRDefault="008931D2" w:rsidP="00D45A46">
            <w:pPr>
              <w:shd w:val="clear" w:color="auto" w:fill="FFFFFF"/>
              <w:jc w:val="both"/>
              <w:rPr>
                <w:bCs/>
                <w:color w:val="002060"/>
                <w:sz w:val="16"/>
                <w:szCs w:val="16"/>
              </w:rPr>
            </w:pPr>
          </w:p>
        </w:tc>
        <w:tc>
          <w:tcPr>
            <w:tcW w:w="768" w:type="dxa"/>
          </w:tcPr>
          <w:p w14:paraId="0AA43DFA"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1,35</w:t>
            </w:r>
          </w:p>
          <w:p w14:paraId="59EA6188" w14:textId="77777777" w:rsidR="008931D2" w:rsidRPr="00DE096C" w:rsidRDefault="008931D2" w:rsidP="00D45A46">
            <w:pPr>
              <w:shd w:val="clear" w:color="auto" w:fill="FFFFFF"/>
              <w:jc w:val="both"/>
              <w:rPr>
                <w:bCs/>
                <w:color w:val="002060"/>
                <w:sz w:val="16"/>
                <w:szCs w:val="16"/>
              </w:rPr>
            </w:pPr>
          </w:p>
        </w:tc>
        <w:tc>
          <w:tcPr>
            <w:tcW w:w="758" w:type="dxa"/>
          </w:tcPr>
          <w:p w14:paraId="0FAC83B6"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1,621</w:t>
            </w:r>
          </w:p>
          <w:p w14:paraId="6845A6C5" w14:textId="77777777" w:rsidR="008931D2" w:rsidRPr="00DE096C" w:rsidRDefault="008931D2" w:rsidP="00D45A46">
            <w:pPr>
              <w:shd w:val="clear" w:color="auto" w:fill="FFFFFF"/>
              <w:jc w:val="both"/>
              <w:rPr>
                <w:bCs/>
                <w:color w:val="002060"/>
                <w:sz w:val="16"/>
                <w:szCs w:val="16"/>
              </w:rPr>
            </w:pPr>
          </w:p>
        </w:tc>
        <w:tc>
          <w:tcPr>
            <w:tcW w:w="845" w:type="dxa"/>
          </w:tcPr>
          <w:p w14:paraId="531BC29C"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6,691</w:t>
            </w:r>
          </w:p>
          <w:p w14:paraId="6B05BBDA" w14:textId="77777777" w:rsidR="008931D2" w:rsidRPr="00DE096C" w:rsidRDefault="008931D2" w:rsidP="00D45A46">
            <w:pPr>
              <w:shd w:val="clear" w:color="auto" w:fill="FFFFFF"/>
              <w:jc w:val="both"/>
              <w:rPr>
                <w:bCs/>
                <w:color w:val="002060"/>
                <w:sz w:val="16"/>
                <w:szCs w:val="16"/>
              </w:rPr>
            </w:pPr>
          </w:p>
        </w:tc>
      </w:tr>
      <w:tr w:rsidR="008931D2" w:rsidRPr="00DE096C" w14:paraId="2F33B953" w14:textId="77777777" w:rsidTr="00711059">
        <w:trPr>
          <w:trHeight w:val="144"/>
        </w:trPr>
        <w:tc>
          <w:tcPr>
            <w:tcW w:w="2554" w:type="dxa"/>
          </w:tcPr>
          <w:p w14:paraId="07458805"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бобойных</w:t>
            </w:r>
          </w:p>
          <w:p w14:paraId="117FCE08" w14:textId="77777777" w:rsidR="008931D2" w:rsidRPr="00DE096C" w:rsidRDefault="008931D2" w:rsidP="00D45A46">
            <w:pPr>
              <w:shd w:val="clear" w:color="auto" w:fill="FFFFFF"/>
              <w:jc w:val="both"/>
              <w:rPr>
                <w:bCs/>
                <w:color w:val="002060"/>
                <w:sz w:val="16"/>
                <w:szCs w:val="16"/>
              </w:rPr>
            </w:pPr>
          </w:p>
        </w:tc>
        <w:tc>
          <w:tcPr>
            <w:tcW w:w="739" w:type="dxa"/>
          </w:tcPr>
          <w:p w14:paraId="6F0FD4CE" w14:textId="77777777" w:rsidR="008931D2" w:rsidRPr="00DE096C" w:rsidRDefault="008931D2" w:rsidP="00D45A46">
            <w:pPr>
              <w:shd w:val="clear" w:color="auto" w:fill="FFFFFF"/>
              <w:jc w:val="both"/>
              <w:rPr>
                <w:bCs/>
                <w:color w:val="002060"/>
                <w:sz w:val="16"/>
                <w:szCs w:val="16"/>
              </w:rPr>
            </w:pPr>
          </w:p>
          <w:p w14:paraId="4D63E31D" w14:textId="77777777" w:rsidR="008931D2" w:rsidRPr="00DE096C" w:rsidRDefault="008931D2" w:rsidP="00D45A46">
            <w:pPr>
              <w:shd w:val="clear" w:color="auto" w:fill="FFFFFF"/>
              <w:jc w:val="both"/>
              <w:rPr>
                <w:bCs/>
                <w:color w:val="002060"/>
                <w:sz w:val="16"/>
                <w:szCs w:val="16"/>
              </w:rPr>
            </w:pPr>
          </w:p>
        </w:tc>
        <w:tc>
          <w:tcPr>
            <w:tcW w:w="758" w:type="dxa"/>
          </w:tcPr>
          <w:p w14:paraId="0C0CA82E" w14:textId="77777777" w:rsidR="008931D2" w:rsidRPr="00DE096C" w:rsidRDefault="008931D2" w:rsidP="00D45A46">
            <w:pPr>
              <w:shd w:val="clear" w:color="auto" w:fill="FFFFFF"/>
              <w:jc w:val="both"/>
              <w:rPr>
                <w:bCs/>
                <w:color w:val="002060"/>
                <w:sz w:val="16"/>
                <w:szCs w:val="16"/>
              </w:rPr>
            </w:pPr>
          </w:p>
          <w:p w14:paraId="5C9C9B9D" w14:textId="77777777" w:rsidR="008931D2" w:rsidRPr="00DE096C" w:rsidRDefault="008931D2" w:rsidP="00D45A46">
            <w:pPr>
              <w:shd w:val="clear" w:color="auto" w:fill="FFFFFF"/>
              <w:jc w:val="both"/>
              <w:rPr>
                <w:bCs/>
                <w:color w:val="002060"/>
                <w:sz w:val="16"/>
                <w:szCs w:val="16"/>
              </w:rPr>
            </w:pPr>
          </w:p>
        </w:tc>
        <w:tc>
          <w:tcPr>
            <w:tcW w:w="768" w:type="dxa"/>
          </w:tcPr>
          <w:p w14:paraId="7F0ACAFF" w14:textId="77777777" w:rsidR="008931D2" w:rsidRPr="00DE096C" w:rsidRDefault="008931D2" w:rsidP="00D45A46">
            <w:pPr>
              <w:shd w:val="clear" w:color="auto" w:fill="FFFFFF"/>
              <w:jc w:val="both"/>
              <w:rPr>
                <w:bCs/>
                <w:color w:val="002060"/>
                <w:sz w:val="16"/>
                <w:szCs w:val="16"/>
              </w:rPr>
            </w:pPr>
          </w:p>
          <w:p w14:paraId="5C1A873B" w14:textId="77777777" w:rsidR="008931D2" w:rsidRPr="00DE096C" w:rsidRDefault="008931D2" w:rsidP="00D45A46">
            <w:pPr>
              <w:shd w:val="clear" w:color="auto" w:fill="FFFFFF"/>
              <w:jc w:val="both"/>
              <w:rPr>
                <w:bCs/>
                <w:color w:val="002060"/>
                <w:sz w:val="16"/>
                <w:szCs w:val="16"/>
              </w:rPr>
            </w:pPr>
          </w:p>
        </w:tc>
        <w:tc>
          <w:tcPr>
            <w:tcW w:w="758" w:type="dxa"/>
          </w:tcPr>
          <w:p w14:paraId="00C2C02C" w14:textId="77777777" w:rsidR="008931D2" w:rsidRPr="00DE096C" w:rsidRDefault="008931D2" w:rsidP="00D45A46">
            <w:pPr>
              <w:shd w:val="clear" w:color="auto" w:fill="FFFFFF"/>
              <w:jc w:val="both"/>
              <w:rPr>
                <w:bCs/>
                <w:color w:val="002060"/>
                <w:sz w:val="16"/>
                <w:szCs w:val="16"/>
              </w:rPr>
            </w:pPr>
          </w:p>
          <w:p w14:paraId="4A531460" w14:textId="77777777" w:rsidR="008931D2" w:rsidRPr="00DE096C" w:rsidRDefault="008931D2" w:rsidP="00D45A46">
            <w:pPr>
              <w:shd w:val="clear" w:color="auto" w:fill="FFFFFF"/>
              <w:jc w:val="both"/>
              <w:rPr>
                <w:bCs/>
                <w:color w:val="002060"/>
                <w:sz w:val="16"/>
                <w:szCs w:val="16"/>
              </w:rPr>
            </w:pPr>
          </w:p>
        </w:tc>
        <w:tc>
          <w:tcPr>
            <w:tcW w:w="845" w:type="dxa"/>
          </w:tcPr>
          <w:p w14:paraId="70419026" w14:textId="77777777" w:rsidR="008931D2" w:rsidRPr="00DE096C" w:rsidRDefault="008931D2" w:rsidP="00D45A46">
            <w:pPr>
              <w:shd w:val="clear" w:color="auto" w:fill="FFFFFF"/>
              <w:jc w:val="both"/>
              <w:rPr>
                <w:bCs/>
                <w:color w:val="002060"/>
                <w:sz w:val="16"/>
                <w:szCs w:val="16"/>
              </w:rPr>
            </w:pPr>
          </w:p>
          <w:p w14:paraId="1E43EEFA" w14:textId="77777777" w:rsidR="008931D2" w:rsidRPr="00DE096C" w:rsidRDefault="008931D2" w:rsidP="00D45A46">
            <w:pPr>
              <w:shd w:val="clear" w:color="auto" w:fill="FFFFFF"/>
              <w:jc w:val="both"/>
              <w:rPr>
                <w:bCs/>
                <w:color w:val="002060"/>
                <w:sz w:val="16"/>
                <w:szCs w:val="16"/>
              </w:rPr>
            </w:pPr>
          </w:p>
        </w:tc>
      </w:tr>
      <w:tr w:rsidR="008931D2" w:rsidRPr="00DE096C" w14:paraId="229C2E89" w14:textId="77777777" w:rsidTr="00711059">
        <w:trPr>
          <w:trHeight w:val="202"/>
        </w:trPr>
        <w:tc>
          <w:tcPr>
            <w:tcW w:w="2554" w:type="dxa"/>
          </w:tcPr>
          <w:p w14:paraId="6E596A15"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305-мм фугасных бомб и броне-</w:t>
            </w:r>
          </w:p>
          <w:p w14:paraId="7747AC06" w14:textId="77777777" w:rsidR="008931D2" w:rsidRPr="00DE096C" w:rsidRDefault="008931D2" w:rsidP="00D45A46">
            <w:pPr>
              <w:shd w:val="clear" w:color="auto" w:fill="FFFFFF"/>
              <w:jc w:val="both"/>
              <w:rPr>
                <w:bCs/>
                <w:color w:val="002060"/>
                <w:sz w:val="16"/>
                <w:szCs w:val="16"/>
              </w:rPr>
            </w:pPr>
          </w:p>
        </w:tc>
        <w:tc>
          <w:tcPr>
            <w:tcW w:w="739" w:type="dxa"/>
          </w:tcPr>
          <w:p w14:paraId="139F60E3"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0,53</w:t>
            </w:r>
          </w:p>
          <w:p w14:paraId="64549DEF" w14:textId="77777777" w:rsidR="008931D2" w:rsidRPr="00DE096C" w:rsidRDefault="008931D2" w:rsidP="00D45A46">
            <w:pPr>
              <w:shd w:val="clear" w:color="auto" w:fill="FFFFFF"/>
              <w:jc w:val="both"/>
              <w:rPr>
                <w:bCs/>
                <w:color w:val="002060"/>
                <w:sz w:val="16"/>
                <w:szCs w:val="16"/>
              </w:rPr>
            </w:pPr>
          </w:p>
        </w:tc>
        <w:tc>
          <w:tcPr>
            <w:tcW w:w="758" w:type="dxa"/>
          </w:tcPr>
          <w:p w14:paraId="1D3BBFE1"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0,48</w:t>
            </w:r>
          </w:p>
          <w:p w14:paraId="183CDD5A" w14:textId="77777777" w:rsidR="008931D2" w:rsidRPr="00DE096C" w:rsidRDefault="008931D2" w:rsidP="00D45A46">
            <w:pPr>
              <w:shd w:val="clear" w:color="auto" w:fill="FFFFFF"/>
              <w:jc w:val="both"/>
              <w:rPr>
                <w:bCs/>
                <w:color w:val="002060"/>
                <w:sz w:val="16"/>
                <w:szCs w:val="16"/>
              </w:rPr>
            </w:pPr>
          </w:p>
        </w:tc>
        <w:tc>
          <w:tcPr>
            <w:tcW w:w="768" w:type="dxa"/>
          </w:tcPr>
          <w:p w14:paraId="72048B87"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0,68</w:t>
            </w:r>
          </w:p>
          <w:p w14:paraId="33699EF9" w14:textId="77777777" w:rsidR="008931D2" w:rsidRPr="00DE096C" w:rsidRDefault="008931D2" w:rsidP="00D45A46">
            <w:pPr>
              <w:shd w:val="clear" w:color="auto" w:fill="FFFFFF"/>
              <w:jc w:val="both"/>
              <w:rPr>
                <w:bCs/>
                <w:color w:val="002060"/>
                <w:sz w:val="16"/>
                <w:szCs w:val="16"/>
              </w:rPr>
            </w:pPr>
          </w:p>
        </w:tc>
        <w:tc>
          <w:tcPr>
            <w:tcW w:w="758" w:type="dxa"/>
          </w:tcPr>
          <w:p w14:paraId="760483B5"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1,467</w:t>
            </w:r>
          </w:p>
          <w:p w14:paraId="263D9B03" w14:textId="77777777" w:rsidR="008931D2" w:rsidRPr="00DE096C" w:rsidRDefault="008931D2" w:rsidP="00D45A46">
            <w:pPr>
              <w:shd w:val="clear" w:color="auto" w:fill="FFFFFF"/>
              <w:jc w:val="both"/>
              <w:rPr>
                <w:bCs/>
                <w:color w:val="002060"/>
                <w:sz w:val="16"/>
                <w:szCs w:val="16"/>
              </w:rPr>
            </w:pPr>
          </w:p>
        </w:tc>
        <w:tc>
          <w:tcPr>
            <w:tcW w:w="845" w:type="dxa"/>
          </w:tcPr>
          <w:p w14:paraId="24707711"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3,157</w:t>
            </w:r>
          </w:p>
          <w:p w14:paraId="09948AC4" w14:textId="77777777" w:rsidR="008931D2" w:rsidRPr="00DE096C" w:rsidRDefault="008931D2" w:rsidP="00D45A46">
            <w:pPr>
              <w:shd w:val="clear" w:color="auto" w:fill="FFFFFF"/>
              <w:jc w:val="both"/>
              <w:rPr>
                <w:bCs/>
                <w:color w:val="002060"/>
                <w:sz w:val="16"/>
                <w:szCs w:val="16"/>
              </w:rPr>
            </w:pPr>
          </w:p>
        </w:tc>
      </w:tr>
      <w:tr w:rsidR="008931D2" w:rsidRPr="00DE096C" w14:paraId="76EE3F58" w14:textId="77777777" w:rsidTr="00711059">
        <w:trPr>
          <w:trHeight w:val="134"/>
        </w:trPr>
        <w:tc>
          <w:tcPr>
            <w:tcW w:w="2554" w:type="dxa"/>
          </w:tcPr>
          <w:p w14:paraId="5CB2137C"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бойных</w:t>
            </w:r>
          </w:p>
          <w:p w14:paraId="36A27475" w14:textId="77777777" w:rsidR="008931D2" w:rsidRPr="00DE096C" w:rsidRDefault="008931D2" w:rsidP="00D45A46">
            <w:pPr>
              <w:shd w:val="clear" w:color="auto" w:fill="FFFFFF"/>
              <w:jc w:val="both"/>
              <w:rPr>
                <w:bCs/>
                <w:color w:val="002060"/>
                <w:sz w:val="16"/>
                <w:szCs w:val="16"/>
              </w:rPr>
            </w:pPr>
          </w:p>
        </w:tc>
        <w:tc>
          <w:tcPr>
            <w:tcW w:w="739" w:type="dxa"/>
          </w:tcPr>
          <w:p w14:paraId="115A8260" w14:textId="77777777" w:rsidR="008931D2" w:rsidRPr="00DE096C" w:rsidRDefault="008931D2" w:rsidP="00D45A46">
            <w:pPr>
              <w:shd w:val="clear" w:color="auto" w:fill="FFFFFF"/>
              <w:jc w:val="both"/>
              <w:rPr>
                <w:bCs/>
                <w:color w:val="002060"/>
                <w:sz w:val="16"/>
                <w:szCs w:val="16"/>
              </w:rPr>
            </w:pPr>
          </w:p>
          <w:p w14:paraId="5848567E" w14:textId="77777777" w:rsidR="008931D2" w:rsidRPr="00DE096C" w:rsidRDefault="008931D2" w:rsidP="00D45A46">
            <w:pPr>
              <w:shd w:val="clear" w:color="auto" w:fill="FFFFFF"/>
              <w:jc w:val="both"/>
              <w:rPr>
                <w:bCs/>
                <w:color w:val="002060"/>
                <w:sz w:val="16"/>
                <w:szCs w:val="16"/>
              </w:rPr>
            </w:pPr>
          </w:p>
        </w:tc>
        <w:tc>
          <w:tcPr>
            <w:tcW w:w="758" w:type="dxa"/>
          </w:tcPr>
          <w:p w14:paraId="6A2B13C3" w14:textId="77777777" w:rsidR="008931D2" w:rsidRPr="00DE096C" w:rsidRDefault="008931D2" w:rsidP="00D45A46">
            <w:pPr>
              <w:shd w:val="clear" w:color="auto" w:fill="FFFFFF"/>
              <w:jc w:val="both"/>
              <w:rPr>
                <w:bCs/>
                <w:color w:val="002060"/>
                <w:sz w:val="16"/>
                <w:szCs w:val="16"/>
              </w:rPr>
            </w:pPr>
          </w:p>
          <w:p w14:paraId="11A20093" w14:textId="77777777" w:rsidR="008931D2" w:rsidRPr="00DE096C" w:rsidRDefault="008931D2" w:rsidP="00D45A46">
            <w:pPr>
              <w:shd w:val="clear" w:color="auto" w:fill="FFFFFF"/>
              <w:jc w:val="both"/>
              <w:rPr>
                <w:bCs/>
                <w:color w:val="002060"/>
                <w:sz w:val="16"/>
                <w:szCs w:val="16"/>
              </w:rPr>
            </w:pPr>
          </w:p>
        </w:tc>
        <w:tc>
          <w:tcPr>
            <w:tcW w:w="768" w:type="dxa"/>
          </w:tcPr>
          <w:p w14:paraId="0EFCCDFD" w14:textId="77777777" w:rsidR="008931D2" w:rsidRPr="00DE096C" w:rsidRDefault="008931D2" w:rsidP="00D45A46">
            <w:pPr>
              <w:shd w:val="clear" w:color="auto" w:fill="FFFFFF"/>
              <w:jc w:val="both"/>
              <w:rPr>
                <w:bCs/>
                <w:color w:val="002060"/>
                <w:sz w:val="16"/>
                <w:szCs w:val="16"/>
              </w:rPr>
            </w:pPr>
          </w:p>
          <w:p w14:paraId="13771A6F" w14:textId="77777777" w:rsidR="008931D2" w:rsidRPr="00DE096C" w:rsidRDefault="008931D2" w:rsidP="00D45A46">
            <w:pPr>
              <w:shd w:val="clear" w:color="auto" w:fill="FFFFFF"/>
              <w:jc w:val="both"/>
              <w:rPr>
                <w:bCs/>
                <w:color w:val="002060"/>
                <w:sz w:val="16"/>
                <w:szCs w:val="16"/>
              </w:rPr>
            </w:pPr>
          </w:p>
        </w:tc>
        <w:tc>
          <w:tcPr>
            <w:tcW w:w="758" w:type="dxa"/>
          </w:tcPr>
          <w:p w14:paraId="5B3DDEA7" w14:textId="77777777" w:rsidR="008931D2" w:rsidRPr="00DE096C" w:rsidRDefault="008931D2" w:rsidP="00D45A46">
            <w:pPr>
              <w:shd w:val="clear" w:color="auto" w:fill="FFFFFF"/>
              <w:jc w:val="both"/>
              <w:rPr>
                <w:bCs/>
                <w:color w:val="002060"/>
                <w:sz w:val="16"/>
                <w:szCs w:val="16"/>
              </w:rPr>
            </w:pPr>
          </w:p>
          <w:p w14:paraId="6F938DB3" w14:textId="77777777" w:rsidR="008931D2" w:rsidRPr="00DE096C" w:rsidRDefault="008931D2" w:rsidP="00D45A46">
            <w:pPr>
              <w:shd w:val="clear" w:color="auto" w:fill="FFFFFF"/>
              <w:jc w:val="both"/>
              <w:rPr>
                <w:bCs/>
                <w:color w:val="002060"/>
                <w:sz w:val="16"/>
                <w:szCs w:val="16"/>
              </w:rPr>
            </w:pPr>
          </w:p>
        </w:tc>
        <w:tc>
          <w:tcPr>
            <w:tcW w:w="845" w:type="dxa"/>
          </w:tcPr>
          <w:p w14:paraId="0AAFEE7D" w14:textId="77777777" w:rsidR="008931D2" w:rsidRPr="00DE096C" w:rsidRDefault="008931D2" w:rsidP="00D45A46">
            <w:pPr>
              <w:shd w:val="clear" w:color="auto" w:fill="FFFFFF"/>
              <w:jc w:val="both"/>
              <w:rPr>
                <w:bCs/>
                <w:color w:val="002060"/>
                <w:sz w:val="16"/>
                <w:szCs w:val="16"/>
              </w:rPr>
            </w:pPr>
          </w:p>
          <w:p w14:paraId="1A5CD89A" w14:textId="77777777" w:rsidR="008931D2" w:rsidRPr="00DE096C" w:rsidRDefault="008931D2" w:rsidP="00D45A46">
            <w:pPr>
              <w:shd w:val="clear" w:color="auto" w:fill="FFFFFF"/>
              <w:jc w:val="both"/>
              <w:rPr>
                <w:bCs/>
                <w:color w:val="002060"/>
                <w:sz w:val="16"/>
                <w:szCs w:val="16"/>
              </w:rPr>
            </w:pPr>
          </w:p>
        </w:tc>
      </w:tr>
      <w:tr w:rsidR="008931D2" w:rsidRPr="00DE096C" w14:paraId="71DAB042" w14:textId="77777777" w:rsidTr="00711059">
        <w:trPr>
          <w:trHeight w:val="326"/>
        </w:trPr>
        <w:tc>
          <w:tcPr>
            <w:tcW w:w="2554" w:type="dxa"/>
          </w:tcPr>
          <w:p w14:paraId="2D010409"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355-мм бомб разных</w:t>
            </w:r>
          </w:p>
          <w:p w14:paraId="1B04AADC" w14:textId="77777777" w:rsidR="008931D2" w:rsidRPr="00DE096C" w:rsidRDefault="008931D2" w:rsidP="00D45A46">
            <w:pPr>
              <w:shd w:val="clear" w:color="auto" w:fill="FFFFFF"/>
              <w:jc w:val="both"/>
              <w:rPr>
                <w:bCs/>
                <w:color w:val="002060"/>
                <w:sz w:val="16"/>
                <w:szCs w:val="16"/>
              </w:rPr>
            </w:pPr>
          </w:p>
        </w:tc>
        <w:tc>
          <w:tcPr>
            <w:tcW w:w="739" w:type="dxa"/>
          </w:tcPr>
          <w:p w14:paraId="1D1B6861"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0,012</w:t>
            </w:r>
          </w:p>
          <w:p w14:paraId="3F801C64" w14:textId="77777777" w:rsidR="008931D2" w:rsidRPr="00DE096C" w:rsidRDefault="008931D2" w:rsidP="00D45A46">
            <w:pPr>
              <w:shd w:val="clear" w:color="auto" w:fill="FFFFFF"/>
              <w:jc w:val="both"/>
              <w:rPr>
                <w:bCs/>
                <w:color w:val="002060"/>
                <w:sz w:val="16"/>
                <w:szCs w:val="16"/>
              </w:rPr>
            </w:pPr>
          </w:p>
        </w:tc>
        <w:tc>
          <w:tcPr>
            <w:tcW w:w="758" w:type="dxa"/>
          </w:tcPr>
          <w:p w14:paraId="30CE0949"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0,022</w:t>
            </w:r>
          </w:p>
          <w:p w14:paraId="6B471101" w14:textId="77777777" w:rsidR="008931D2" w:rsidRPr="00DE096C" w:rsidRDefault="008931D2" w:rsidP="00D45A46">
            <w:pPr>
              <w:shd w:val="clear" w:color="auto" w:fill="FFFFFF"/>
              <w:jc w:val="both"/>
              <w:rPr>
                <w:bCs/>
                <w:color w:val="002060"/>
                <w:sz w:val="16"/>
                <w:szCs w:val="16"/>
              </w:rPr>
            </w:pPr>
          </w:p>
        </w:tc>
        <w:tc>
          <w:tcPr>
            <w:tcW w:w="768" w:type="dxa"/>
          </w:tcPr>
          <w:p w14:paraId="20644B40"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w:t>
            </w:r>
          </w:p>
          <w:p w14:paraId="42A7A1B4" w14:textId="77777777" w:rsidR="008931D2" w:rsidRPr="00DE096C" w:rsidRDefault="008931D2" w:rsidP="00D45A46">
            <w:pPr>
              <w:shd w:val="clear" w:color="auto" w:fill="FFFFFF"/>
              <w:jc w:val="both"/>
              <w:rPr>
                <w:bCs/>
                <w:color w:val="002060"/>
                <w:sz w:val="16"/>
                <w:szCs w:val="16"/>
              </w:rPr>
            </w:pPr>
          </w:p>
        </w:tc>
        <w:tc>
          <w:tcPr>
            <w:tcW w:w="758" w:type="dxa"/>
          </w:tcPr>
          <w:p w14:paraId="33F34CDC"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w:t>
            </w:r>
          </w:p>
          <w:p w14:paraId="17D85EEE" w14:textId="77777777" w:rsidR="008931D2" w:rsidRPr="00DE096C" w:rsidRDefault="008931D2" w:rsidP="00D45A46">
            <w:pPr>
              <w:shd w:val="clear" w:color="auto" w:fill="FFFFFF"/>
              <w:jc w:val="both"/>
              <w:rPr>
                <w:bCs/>
                <w:color w:val="002060"/>
                <w:sz w:val="16"/>
                <w:szCs w:val="16"/>
              </w:rPr>
            </w:pPr>
          </w:p>
        </w:tc>
        <w:tc>
          <w:tcPr>
            <w:tcW w:w="845" w:type="dxa"/>
          </w:tcPr>
          <w:p w14:paraId="62BE7D1E"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0,034</w:t>
            </w:r>
          </w:p>
          <w:p w14:paraId="40D2CBA1" w14:textId="77777777" w:rsidR="008931D2" w:rsidRPr="00DE096C" w:rsidRDefault="008931D2" w:rsidP="00D45A46">
            <w:pPr>
              <w:shd w:val="clear" w:color="auto" w:fill="FFFFFF"/>
              <w:jc w:val="both"/>
              <w:rPr>
                <w:bCs/>
                <w:color w:val="002060"/>
                <w:sz w:val="16"/>
                <w:szCs w:val="16"/>
              </w:rPr>
            </w:pPr>
          </w:p>
        </w:tc>
      </w:tr>
      <w:tr w:rsidR="008931D2" w:rsidRPr="00DE096C" w14:paraId="0DCD688B" w14:textId="77777777" w:rsidTr="00711059">
        <w:trPr>
          <w:trHeight w:val="403"/>
        </w:trPr>
        <w:tc>
          <w:tcPr>
            <w:tcW w:w="2554" w:type="dxa"/>
          </w:tcPr>
          <w:p w14:paraId="6DA8CCD5"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Всего</w:t>
            </w:r>
          </w:p>
          <w:p w14:paraId="7FC70721" w14:textId="77777777" w:rsidR="008931D2" w:rsidRPr="00DE096C" w:rsidRDefault="008931D2" w:rsidP="00D45A46">
            <w:pPr>
              <w:shd w:val="clear" w:color="auto" w:fill="FFFFFF"/>
              <w:jc w:val="both"/>
              <w:rPr>
                <w:bCs/>
                <w:color w:val="002060"/>
                <w:sz w:val="16"/>
                <w:szCs w:val="16"/>
              </w:rPr>
            </w:pPr>
          </w:p>
        </w:tc>
        <w:tc>
          <w:tcPr>
            <w:tcW w:w="739" w:type="dxa"/>
          </w:tcPr>
          <w:p w14:paraId="116971A8"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214,582</w:t>
            </w:r>
          </w:p>
          <w:p w14:paraId="1539E677" w14:textId="77777777" w:rsidR="008931D2" w:rsidRPr="00DE096C" w:rsidRDefault="008931D2" w:rsidP="00D45A46">
            <w:pPr>
              <w:shd w:val="clear" w:color="auto" w:fill="FFFFFF"/>
              <w:jc w:val="both"/>
              <w:rPr>
                <w:bCs/>
                <w:color w:val="002060"/>
                <w:sz w:val="16"/>
                <w:szCs w:val="16"/>
              </w:rPr>
            </w:pPr>
          </w:p>
        </w:tc>
        <w:tc>
          <w:tcPr>
            <w:tcW w:w="758" w:type="dxa"/>
          </w:tcPr>
          <w:p w14:paraId="694B320E"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437,092</w:t>
            </w:r>
          </w:p>
          <w:p w14:paraId="04CC203A" w14:textId="77777777" w:rsidR="008931D2" w:rsidRPr="00DE096C" w:rsidRDefault="008931D2" w:rsidP="00D45A46">
            <w:pPr>
              <w:shd w:val="clear" w:color="auto" w:fill="FFFFFF"/>
              <w:jc w:val="both"/>
              <w:rPr>
                <w:bCs/>
                <w:color w:val="002060"/>
                <w:sz w:val="16"/>
                <w:szCs w:val="16"/>
              </w:rPr>
            </w:pPr>
          </w:p>
        </w:tc>
        <w:tc>
          <w:tcPr>
            <w:tcW w:w="768" w:type="dxa"/>
          </w:tcPr>
          <w:p w14:paraId="25FCFC15"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658,780</w:t>
            </w:r>
          </w:p>
          <w:p w14:paraId="755F6F24" w14:textId="77777777" w:rsidR="008931D2" w:rsidRPr="00DE096C" w:rsidRDefault="008931D2" w:rsidP="00D45A46">
            <w:pPr>
              <w:shd w:val="clear" w:color="auto" w:fill="FFFFFF"/>
              <w:jc w:val="both"/>
              <w:rPr>
                <w:bCs/>
                <w:color w:val="002060"/>
                <w:sz w:val="16"/>
                <w:szCs w:val="16"/>
              </w:rPr>
            </w:pPr>
          </w:p>
        </w:tc>
        <w:tc>
          <w:tcPr>
            <w:tcW w:w="758" w:type="dxa"/>
          </w:tcPr>
          <w:p w14:paraId="6937BD26"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258,798</w:t>
            </w:r>
          </w:p>
          <w:p w14:paraId="1A604B6D" w14:textId="77777777" w:rsidR="008931D2" w:rsidRPr="00DE096C" w:rsidRDefault="008931D2" w:rsidP="00D45A46">
            <w:pPr>
              <w:shd w:val="clear" w:color="auto" w:fill="FFFFFF"/>
              <w:jc w:val="both"/>
              <w:rPr>
                <w:bCs/>
                <w:color w:val="002060"/>
                <w:sz w:val="16"/>
                <w:szCs w:val="16"/>
              </w:rPr>
            </w:pPr>
          </w:p>
        </w:tc>
        <w:tc>
          <w:tcPr>
            <w:tcW w:w="845" w:type="dxa"/>
          </w:tcPr>
          <w:p w14:paraId="7B3A484B" w14:textId="77777777" w:rsidR="008931D2" w:rsidRPr="00DE096C" w:rsidRDefault="008931D2" w:rsidP="00D45A46">
            <w:pPr>
              <w:shd w:val="clear" w:color="auto" w:fill="FFFFFF"/>
              <w:jc w:val="both"/>
              <w:rPr>
                <w:bCs/>
                <w:color w:val="002060"/>
                <w:sz w:val="16"/>
                <w:szCs w:val="16"/>
              </w:rPr>
            </w:pPr>
            <w:r w:rsidRPr="00DE096C">
              <w:rPr>
                <w:bCs/>
                <w:color w:val="002060"/>
                <w:sz w:val="16"/>
                <w:szCs w:val="16"/>
              </w:rPr>
              <w:t>15 69,252</w:t>
            </w:r>
          </w:p>
          <w:p w14:paraId="05F47231" w14:textId="77777777" w:rsidR="008931D2" w:rsidRPr="00DE096C" w:rsidRDefault="008931D2" w:rsidP="00D45A46">
            <w:pPr>
              <w:shd w:val="clear" w:color="auto" w:fill="FFFFFF"/>
              <w:jc w:val="both"/>
              <w:rPr>
                <w:bCs/>
                <w:color w:val="002060"/>
                <w:sz w:val="16"/>
                <w:szCs w:val="16"/>
              </w:rPr>
            </w:pPr>
          </w:p>
        </w:tc>
      </w:tr>
    </w:tbl>
    <w:p w14:paraId="1C304C74" w14:textId="77777777" w:rsidR="008931D2" w:rsidRPr="00DE096C" w:rsidRDefault="008931D2" w:rsidP="00D45A46">
      <w:pPr>
        <w:jc w:val="both"/>
        <w:rPr>
          <w:bCs/>
          <w:i/>
          <w:color w:val="002060"/>
          <w:sz w:val="16"/>
          <w:szCs w:val="16"/>
        </w:rPr>
      </w:pPr>
      <w:r w:rsidRPr="00DE096C">
        <w:rPr>
          <w:bCs/>
          <w:i/>
          <w:color w:val="002060"/>
          <w:sz w:val="16"/>
          <w:szCs w:val="16"/>
        </w:rPr>
        <w:t>(5484).</w:t>
      </w:r>
    </w:p>
    <w:p w14:paraId="03F1BB36" w14:textId="77777777" w:rsidR="008931D2" w:rsidRPr="00DE096C" w:rsidRDefault="008931D2" w:rsidP="00D45A46">
      <w:pPr>
        <w:jc w:val="both"/>
        <w:rPr>
          <w:bCs/>
          <w:i/>
          <w:color w:val="002060"/>
          <w:sz w:val="16"/>
          <w:szCs w:val="16"/>
        </w:rPr>
      </w:pPr>
    </w:p>
    <w:p w14:paraId="79DB3B52" w14:textId="77777777" w:rsidR="004D1A49" w:rsidRPr="00DE096C" w:rsidRDefault="004D1A49" w:rsidP="00D45A46">
      <w:pPr>
        <w:jc w:val="both"/>
        <w:rPr>
          <w:bCs/>
          <w:color w:val="002060"/>
          <w:sz w:val="16"/>
          <w:szCs w:val="16"/>
        </w:rPr>
      </w:pPr>
      <w:r w:rsidRPr="00DE096C">
        <w:rPr>
          <w:bCs/>
          <w:color w:val="002060"/>
          <w:sz w:val="16"/>
          <w:szCs w:val="16"/>
        </w:rPr>
        <w:t>В сентябре 1914 г., по утверждению Н. Стоуна, Военный совет, высшая в системе снабжения инстанция, проявил свою косность и непонимание обстоятельств момента и по-скопидомски сократил заявку ГАУ и вместо 2 млн снарядов разрешил заказать лишь 800 тысяч. В целом сделанные «за этот период» заказы не достигали даже посильной для рус</w:t>
      </w:r>
      <w:r w:rsidRPr="00DE096C">
        <w:rPr>
          <w:bCs/>
          <w:color w:val="002060"/>
          <w:sz w:val="16"/>
          <w:szCs w:val="16"/>
        </w:rPr>
        <w:softHyphen/>
        <w:t>ской промышленности нормы выпуска — 5 млн орудийных патронов в год. Источник этих странных сведений не ука</w:t>
      </w:r>
      <w:r w:rsidRPr="00DE096C">
        <w:rPr>
          <w:bCs/>
          <w:color w:val="002060"/>
          <w:sz w:val="16"/>
          <w:szCs w:val="16"/>
        </w:rPr>
        <w:softHyphen/>
        <w:t>зан — и едва ли случайно, но, при всех искажениях, узна</w:t>
      </w:r>
      <w:r w:rsidRPr="00DE096C">
        <w:rPr>
          <w:bCs/>
          <w:color w:val="002060"/>
          <w:sz w:val="16"/>
          <w:szCs w:val="16"/>
        </w:rPr>
        <w:softHyphen/>
        <w:t>ваем.</w:t>
      </w:r>
    </w:p>
    <w:p w14:paraId="6A7FC02F" w14:textId="77777777" w:rsidR="004D1A49" w:rsidRPr="00DE096C" w:rsidRDefault="004D1A49" w:rsidP="00D45A46">
      <w:pPr>
        <w:pStyle w:val="af7"/>
        <w:spacing w:line="240" w:lineRule="auto"/>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Маниковский (у него, очевидно, позаим</w:t>
      </w:r>
      <w:r w:rsidRPr="00DE096C">
        <w:rPr>
          <w:rFonts w:ascii="Times New Roman" w:hAnsi="Times New Roman" w:cs="Times New Roman"/>
          <w:bCs/>
          <w:color w:val="002060"/>
          <w:sz w:val="16"/>
          <w:szCs w:val="16"/>
        </w:rPr>
        <w:softHyphen/>
        <w:t>ствовал исходные сведения Стоун) (</w:t>
      </w:r>
      <w:r w:rsidRPr="00DE096C">
        <w:rPr>
          <w:rFonts w:ascii="Times New Roman" w:hAnsi="Times New Roman" w:cs="Times New Roman"/>
          <w:bCs/>
          <w:color w:val="002060"/>
          <w:sz w:val="16"/>
          <w:szCs w:val="16"/>
          <w:lang w:val="en-US" w:bidi="en-US"/>
        </w:rPr>
        <w:t>Stone</w:t>
      </w:r>
      <w:r w:rsidRPr="00DE096C">
        <w:rPr>
          <w:rFonts w:ascii="Times New Roman" w:hAnsi="Times New Roman" w:cs="Times New Roman"/>
          <w:bCs/>
          <w:color w:val="002060"/>
          <w:sz w:val="16"/>
          <w:szCs w:val="16"/>
          <w:lang w:bidi="en-US"/>
        </w:rPr>
        <w:t xml:space="preserve"> </w:t>
      </w:r>
      <w:r w:rsidRPr="00DE096C">
        <w:rPr>
          <w:rFonts w:ascii="Times New Roman" w:hAnsi="Times New Roman" w:cs="Times New Roman"/>
          <w:bCs/>
          <w:color w:val="002060"/>
          <w:sz w:val="16"/>
          <w:szCs w:val="16"/>
          <w:lang w:val="en-US" w:bidi="en-US"/>
        </w:rPr>
        <w:t>N</w:t>
      </w:r>
      <w:r w:rsidRPr="00DE096C">
        <w:rPr>
          <w:rFonts w:ascii="Times New Roman" w:hAnsi="Times New Roman" w:cs="Times New Roman"/>
          <w:bCs/>
          <w:color w:val="002060"/>
          <w:sz w:val="16"/>
          <w:szCs w:val="16"/>
          <w:lang w:bidi="en-US"/>
        </w:rPr>
        <w:t xml:space="preserve">. </w:t>
      </w:r>
      <w:r w:rsidRPr="00DE096C">
        <w:rPr>
          <w:rFonts w:ascii="Times New Roman" w:hAnsi="Times New Roman" w:cs="Times New Roman"/>
          <w:bCs/>
          <w:color w:val="002060"/>
          <w:sz w:val="16"/>
          <w:szCs w:val="16"/>
          <w:lang w:val="en-US" w:bidi="en-US"/>
        </w:rPr>
        <w:t>The</w:t>
      </w:r>
      <w:r w:rsidRPr="00DE096C">
        <w:rPr>
          <w:rFonts w:ascii="Times New Roman" w:hAnsi="Times New Roman" w:cs="Times New Roman"/>
          <w:bCs/>
          <w:color w:val="002060"/>
          <w:sz w:val="16"/>
          <w:szCs w:val="16"/>
          <w:lang w:bidi="en-US"/>
        </w:rPr>
        <w:t xml:space="preserve"> </w:t>
      </w:r>
      <w:r w:rsidRPr="00DE096C">
        <w:rPr>
          <w:rFonts w:ascii="Times New Roman" w:hAnsi="Times New Roman" w:cs="Times New Roman"/>
          <w:bCs/>
          <w:color w:val="002060"/>
          <w:sz w:val="16"/>
          <w:szCs w:val="16"/>
          <w:lang w:val="en-US" w:bidi="en-US"/>
        </w:rPr>
        <w:t>Eastern</w:t>
      </w:r>
      <w:r w:rsidRPr="00DE096C">
        <w:rPr>
          <w:rFonts w:ascii="Times New Roman" w:hAnsi="Times New Roman" w:cs="Times New Roman"/>
          <w:bCs/>
          <w:color w:val="002060"/>
          <w:sz w:val="16"/>
          <w:szCs w:val="16"/>
          <w:lang w:bidi="en-US"/>
        </w:rPr>
        <w:t xml:space="preserve"> </w:t>
      </w:r>
      <w:r w:rsidRPr="00DE096C">
        <w:rPr>
          <w:rFonts w:ascii="Times New Roman" w:hAnsi="Times New Roman" w:cs="Times New Roman"/>
          <w:bCs/>
          <w:color w:val="002060"/>
          <w:sz w:val="16"/>
          <w:szCs w:val="16"/>
          <w:lang w:val="en-US" w:bidi="en-US"/>
        </w:rPr>
        <w:t>Front</w:t>
      </w:r>
      <w:r w:rsidRPr="00DE096C">
        <w:rPr>
          <w:rFonts w:ascii="Times New Roman" w:hAnsi="Times New Roman" w:cs="Times New Roman"/>
          <w:bCs/>
          <w:color w:val="002060"/>
          <w:sz w:val="16"/>
          <w:szCs w:val="16"/>
          <w:lang w:bidi="en-US"/>
        </w:rPr>
        <w:t xml:space="preserve">. </w:t>
      </w:r>
      <w:r w:rsidRPr="00DE096C">
        <w:rPr>
          <w:rFonts w:ascii="Times New Roman" w:hAnsi="Times New Roman" w:cs="Times New Roman"/>
          <w:bCs/>
          <w:color w:val="002060"/>
          <w:sz w:val="16"/>
          <w:szCs w:val="16"/>
          <w:lang w:val="en-US" w:bidi="en-US"/>
        </w:rPr>
        <w:t>P. 149—150; Jones D.R. Imperial Russia’s Forces at War. P. 268; Strachan H. Op. cit. P</w:t>
      </w:r>
      <w:r w:rsidRPr="00DE096C">
        <w:rPr>
          <w:rFonts w:ascii="Times New Roman" w:hAnsi="Times New Roman" w:cs="Times New Roman"/>
          <w:bCs/>
          <w:color w:val="002060"/>
          <w:sz w:val="16"/>
          <w:szCs w:val="16"/>
          <w:lang w:bidi="en-US"/>
        </w:rPr>
        <w:t xml:space="preserve">. 1096; </w:t>
      </w:r>
      <w:r w:rsidRPr="00DE096C">
        <w:rPr>
          <w:rFonts w:ascii="Times New Roman" w:hAnsi="Times New Roman" w:cs="Times New Roman"/>
          <w:bCs/>
          <w:color w:val="002060"/>
          <w:sz w:val="16"/>
          <w:szCs w:val="16"/>
        </w:rPr>
        <w:t xml:space="preserve">Маниковский </w:t>
      </w:r>
      <w:r w:rsidRPr="00DE096C">
        <w:rPr>
          <w:rFonts w:ascii="Times New Roman" w:hAnsi="Times New Roman" w:cs="Times New Roman"/>
          <w:bCs/>
          <w:color w:val="002060"/>
          <w:sz w:val="16"/>
          <w:szCs w:val="16"/>
          <w:lang w:val="en-US" w:bidi="en-US"/>
        </w:rPr>
        <w:t>A</w:t>
      </w:r>
      <w:r w:rsidRPr="00DE096C">
        <w:rPr>
          <w:rFonts w:ascii="Times New Roman" w:hAnsi="Times New Roman" w:cs="Times New Roman"/>
          <w:bCs/>
          <w:color w:val="002060"/>
          <w:sz w:val="16"/>
          <w:szCs w:val="16"/>
          <w:lang w:bidi="en-US"/>
        </w:rPr>
        <w:t>.</w:t>
      </w:r>
      <w:r w:rsidRPr="00DE096C">
        <w:rPr>
          <w:rFonts w:ascii="Times New Roman" w:hAnsi="Times New Roman" w:cs="Times New Roman"/>
          <w:bCs/>
          <w:color w:val="002060"/>
          <w:sz w:val="16"/>
          <w:szCs w:val="16"/>
          <w:lang w:val="en-US" w:bidi="en-US"/>
        </w:rPr>
        <w:t>A</w:t>
      </w:r>
      <w:r w:rsidRPr="00DE096C">
        <w:rPr>
          <w:rFonts w:ascii="Times New Roman" w:hAnsi="Times New Roman" w:cs="Times New Roman"/>
          <w:bCs/>
          <w:color w:val="002060"/>
          <w:sz w:val="16"/>
          <w:szCs w:val="16"/>
          <w:lang w:bidi="en-US"/>
        </w:rPr>
        <w:t xml:space="preserve">. </w:t>
      </w:r>
      <w:r w:rsidRPr="00DE096C">
        <w:rPr>
          <w:rFonts w:ascii="Times New Roman" w:hAnsi="Times New Roman" w:cs="Times New Roman"/>
          <w:bCs/>
          <w:color w:val="002060"/>
          <w:sz w:val="16"/>
          <w:szCs w:val="16"/>
        </w:rPr>
        <w:t>Боевое снабжение русской армии в 1914—1918 гг. М., 1920. Ч. 3. С. 150-151) объяснял сокращение заказа не скупердяйством членов Военного совета, а тем, что «удалось в этот раз разместить» заказов меньше, чем следовало, то есть дело уперлось именно в отсутствие по</w:t>
      </w:r>
      <w:r w:rsidRPr="00DE096C">
        <w:rPr>
          <w:rFonts w:ascii="Times New Roman" w:hAnsi="Times New Roman" w:cs="Times New Roman"/>
          <w:bCs/>
          <w:color w:val="002060"/>
          <w:sz w:val="16"/>
          <w:szCs w:val="16"/>
        </w:rPr>
        <w:softHyphen/>
        <w:t>ставщиков. К схеме Стоуна подобное объяснение не под</w:t>
      </w:r>
      <w:r w:rsidRPr="00DE096C">
        <w:rPr>
          <w:rFonts w:ascii="Times New Roman" w:hAnsi="Times New Roman" w:cs="Times New Roman"/>
          <w:bCs/>
          <w:color w:val="002060"/>
          <w:sz w:val="16"/>
          <w:szCs w:val="16"/>
        </w:rPr>
        <w:softHyphen/>
        <w:t>ходит, а раз так, лучше обойтись без ссылки на Маниковского. Во-вторых, рассматриваемый эпизод относится не к сентябрю, а к августу 1914 г., когда провал снабжения еще не осознавался Ставкой, и она только начинала беспоко</w:t>
      </w:r>
      <w:r w:rsidRPr="00DE096C">
        <w:rPr>
          <w:rFonts w:ascii="Times New Roman" w:hAnsi="Times New Roman" w:cs="Times New Roman"/>
          <w:bCs/>
          <w:color w:val="002060"/>
          <w:sz w:val="16"/>
          <w:szCs w:val="16"/>
        </w:rPr>
        <w:softHyphen/>
        <w:t>иться. «Уже около двух недель ощущается недостаток ар</w:t>
      </w:r>
      <w:r w:rsidRPr="00DE096C">
        <w:rPr>
          <w:rFonts w:ascii="Times New Roman" w:hAnsi="Times New Roman" w:cs="Times New Roman"/>
          <w:bCs/>
          <w:color w:val="002060"/>
          <w:sz w:val="16"/>
          <w:szCs w:val="16"/>
        </w:rPr>
        <w:softHyphen/>
        <w:t>тиллерийских снарядов...» — телеграфировал царю Верхов</w:t>
      </w:r>
      <w:r w:rsidRPr="00DE096C">
        <w:rPr>
          <w:rFonts w:ascii="Times New Roman" w:hAnsi="Times New Roman" w:cs="Times New Roman"/>
          <w:bCs/>
          <w:color w:val="002060"/>
          <w:sz w:val="16"/>
          <w:szCs w:val="16"/>
        </w:rPr>
        <w:softHyphen/>
        <w:t>ный главнокомандующий 8 (21) сентября. Неправильное решение Военного совета, которое подразумевает Стоун, состоялось 14 (27) августа, то есть ранее, чем появилось не</w:t>
      </w:r>
      <w:r w:rsidRPr="00DE096C">
        <w:rPr>
          <w:rFonts w:ascii="Times New Roman" w:hAnsi="Times New Roman" w:cs="Times New Roman"/>
          <w:bCs/>
          <w:color w:val="002060"/>
          <w:sz w:val="16"/>
          <w:szCs w:val="16"/>
        </w:rPr>
        <w:softHyphen/>
        <w:t>приятное ощущение в Ставке. 14 августа прошло «общее заседание» Военного совета, окончательное, оно согласи</w:t>
      </w:r>
      <w:r w:rsidRPr="00DE096C">
        <w:rPr>
          <w:rFonts w:ascii="Times New Roman" w:hAnsi="Times New Roman" w:cs="Times New Roman"/>
          <w:bCs/>
          <w:color w:val="002060"/>
          <w:sz w:val="16"/>
          <w:szCs w:val="16"/>
        </w:rPr>
        <w:softHyphen/>
        <w:t>лось с заявкой ГАУ. В-третьих, на состоявшемся перед тем предварительном «частном заседании» члены Военного со</w:t>
      </w:r>
      <w:r w:rsidRPr="00DE096C">
        <w:rPr>
          <w:rFonts w:ascii="Times New Roman" w:hAnsi="Times New Roman" w:cs="Times New Roman"/>
          <w:bCs/>
          <w:color w:val="002060"/>
          <w:sz w:val="16"/>
          <w:szCs w:val="16"/>
        </w:rPr>
        <w:softHyphen/>
        <w:t>вета, еще не имея повода тревожиться, думали отклонить заявку ГАУ в целом, а не сократили, вопреки утверждению Стоуна. В-четвертых, еще до поступления панических сиг</w:t>
      </w:r>
      <w:r w:rsidRPr="00DE096C">
        <w:rPr>
          <w:rFonts w:ascii="Times New Roman" w:hAnsi="Times New Roman" w:cs="Times New Roman"/>
          <w:bCs/>
          <w:color w:val="002060"/>
          <w:sz w:val="16"/>
          <w:szCs w:val="16"/>
        </w:rPr>
        <w:softHyphen/>
        <w:t>налов из Ставки ГАУ (Смысловский) убедило Военный со</w:t>
      </w:r>
      <w:r w:rsidRPr="00DE096C">
        <w:rPr>
          <w:rFonts w:ascii="Times New Roman" w:hAnsi="Times New Roman" w:cs="Times New Roman"/>
          <w:bCs/>
          <w:color w:val="002060"/>
          <w:sz w:val="16"/>
          <w:szCs w:val="16"/>
        </w:rPr>
        <w:softHyphen/>
        <w:t>вет все-таки дать заказы, и при этом не на 2 млн снарядов, а на 2 784 000 трехдюймовых (постановлениями от 14 авгу</w:t>
      </w:r>
      <w:r w:rsidRPr="00DE096C">
        <w:rPr>
          <w:rFonts w:ascii="Times New Roman" w:hAnsi="Times New Roman" w:cs="Times New Roman"/>
          <w:bCs/>
          <w:color w:val="002060"/>
          <w:sz w:val="16"/>
          <w:szCs w:val="16"/>
        </w:rPr>
        <w:softHyphen/>
        <w:t>ста, 6 и 10 сентября 1914 г.), не считая 48-линейных. В-пя</w:t>
      </w:r>
      <w:r w:rsidRPr="00DE096C">
        <w:rPr>
          <w:rFonts w:ascii="Times New Roman" w:hAnsi="Times New Roman" w:cs="Times New Roman"/>
          <w:bCs/>
          <w:color w:val="002060"/>
          <w:sz w:val="16"/>
          <w:szCs w:val="16"/>
        </w:rPr>
        <w:softHyphen/>
        <w:t>тых, в течение сентября 1914 г. частных контрактов было заключено даже не на 5 млн снарядов (как считал бы пра</w:t>
      </w:r>
      <w:r w:rsidRPr="00DE096C">
        <w:rPr>
          <w:rFonts w:ascii="Times New Roman" w:hAnsi="Times New Roman" w:cs="Times New Roman"/>
          <w:bCs/>
          <w:color w:val="002060"/>
          <w:sz w:val="16"/>
          <w:szCs w:val="16"/>
        </w:rPr>
        <w:softHyphen/>
        <w:t>вильным Стоун), а на 6 941 000 (казенные заводы к августу и так уже были загружены до предела) (Маниковский А.А. Указ. соч. 4. 3. С. 150—151; РГВИА. Ф. 29. Оп. 3. Д. 860. В этом деле подшиты подлинные материалы ГАУ и Военного совета по заказам августа—сентября. Стоун не без юмора пишет, и Джо</w:t>
      </w:r>
      <w:r w:rsidRPr="00DE096C">
        <w:rPr>
          <w:rFonts w:ascii="Times New Roman" w:hAnsi="Times New Roman" w:cs="Times New Roman"/>
          <w:bCs/>
          <w:color w:val="002060"/>
          <w:sz w:val="16"/>
          <w:szCs w:val="16"/>
        </w:rPr>
        <w:softHyphen/>
        <w:t>унс повторяет, что переубедить этих крохоборов в Военном совете уда</w:t>
      </w:r>
      <w:r w:rsidRPr="00DE096C">
        <w:rPr>
          <w:rFonts w:ascii="Times New Roman" w:hAnsi="Times New Roman" w:cs="Times New Roman"/>
          <w:bCs/>
          <w:color w:val="002060"/>
          <w:sz w:val="16"/>
          <w:szCs w:val="16"/>
        </w:rPr>
        <w:softHyphen/>
        <w:t>лось только тем аргументом, что грохот канонады «полезен для поддер</w:t>
      </w:r>
      <w:r w:rsidRPr="00DE096C">
        <w:rPr>
          <w:rFonts w:ascii="Times New Roman" w:hAnsi="Times New Roman" w:cs="Times New Roman"/>
          <w:bCs/>
          <w:color w:val="002060"/>
          <w:sz w:val="16"/>
          <w:szCs w:val="16"/>
        </w:rPr>
        <w:softHyphen/>
        <w:t>жания духа войск». Смысловский, однако, давал обоснование несколько иное: во-первых, хотя «запасы состоят в должном числе», нужно зака</w:t>
      </w:r>
      <w:r w:rsidRPr="00DE096C">
        <w:rPr>
          <w:rFonts w:ascii="Times New Roman" w:hAnsi="Times New Roman" w:cs="Times New Roman"/>
          <w:bCs/>
          <w:color w:val="002060"/>
          <w:sz w:val="16"/>
          <w:szCs w:val="16"/>
        </w:rPr>
        <w:softHyphen/>
        <w:t>зать еще, чтобы армия чувствовала себя уверенно, когда наступят ре</w:t>
      </w:r>
      <w:r w:rsidRPr="00DE096C">
        <w:rPr>
          <w:rFonts w:ascii="Times New Roman" w:hAnsi="Times New Roman" w:cs="Times New Roman"/>
          <w:bCs/>
          <w:color w:val="002060"/>
          <w:sz w:val="16"/>
          <w:szCs w:val="16"/>
        </w:rPr>
        <w:softHyphen/>
        <w:t>шающие бои, а во-вторых, «к моменту “дележа” после кампании не</w:t>
      </w:r>
      <w:r w:rsidRPr="00DE096C">
        <w:rPr>
          <w:rFonts w:ascii="Times New Roman" w:hAnsi="Times New Roman" w:cs="Times New Roman"/>
          <w:bCs/>
          <w:color w:val="002060"/>
          <w:sz w:val="16"/>
          <w:szCs w:val="16"/>
        </w:rPr>
        <w:softHyphen/>
        <w:t>обходимо быть сильнее, чем при ее начале» (Там же. Ф. 962. Оп. 2. Д. 137. Смысловский Е.К. «Записка о довольствии действующей армии в текущую войну боеприпасами», 18.1.1917), и эти его суждения верно переданы Маниковским; Там же. Ф. 29. Оп. 3. Д. 855. Л. 37 об.—38; Ф. 962. Оп. 2. Д. 6. Л. 44 об.—45. Сведения о ходе предполагаемой поставки 3-дм шрапне</w:t>
      </w:r>
      <w:r w:rsidRPr="00DE096C">
        <w:rPr>
          <w:rFonts w:ascii="Times New Roman" w:hAnsi="Times New Roman" w:cs="Times New Roman"/>
          <w:bCs/>
          <w:color w:val="002060"/>
          <w:sz w:val="16"/>
          <w:szCs w:val="16"/>
        </w:rPr>
        <w:softHyphen/>
        <w:t>лей и гранат) (23452).</w:t>
      </w:r>
    </w:p>
    <w:p w14:paraId="41FCAD9B" w14:textId="77777777" w:rsidR="004D1A49" w:rsidRPr="00DE096C" w:rsidRDefault="004D1A49" w:rsidP="00D45A46">
      <w:pPr>
        <w:jc w:val="both"/>
        <w:rPr>
          <w:bCs/>
          <w:color w:val="002060"/>
          <w:sz w:val="16"/>
          <w:szCs w:val="16"/>
        </w:rPr>
      </w:pPr>
    </w:p>
    <w:p w14:paraId="503D8AB4" w14:textId="77777777" w:rsidR="000C453C" w:rsidRPr="00B52707" w:rsidRDefault="000C453C" w:rsidP="000C453C">
      <w:pPr>
        <w:jc w:val="both"/>
        <w:rPr>
          <w:color w:val="0070C0"/>
          <w:sz w:val="16"/>
          <w:szCs w:val="16"/>
        </w:rPr>
      </w:pPr>
      <w:r w:rsidRPr="00B52707">
        <w:rPr>
          <w:color w:val="0070C0"/>
          <w:sz w:val="16"/>
          <w:szCs w:val="16"/>
        </w:rPr>
        <w:lastRenderedPageBreak/>
        <w:t>В сентябре 1914 года, отправленная в Ан</w:t>
      </w:r>
      <w:r w:rsidRPr="00B52707">
        <w:rPr>
          <w:color w:val="0070C0"/>
          <w:sz w:val="16"/>
          <w:szCs w:val="16"/>
        </w:rPr>
        <w:softHyphen/>
        <w:t>глию, закупочная комиссия полковника П.И. Секретёва, должна была закупить за гра</w:t>
      </w:r>
      <w:r w:rsidRPr="00B52707">
        <w:rPr>
          <w:color w:val="0070C0"/>
          <w:sz w:val="16"/>
          <w:szCs w:val="16"/>
        </w:rPr>
        <w:softHyphen/>
        <w:t>ницей помимо грузовых, легковых и специ</w:t>
      </w:r>
      <w:r w:rsidRPr="00B52707">
        <w:rPr>
          <w:color w:val="0070C0"/>
          <w:sz w:val="16"/>
          <w:szCs w:val="16"/>
        </w:rPr>
        <w:softHyphen/>
        <w:t>альных машин еще и броневики. Перед отъез</w:t>
      </w:r>
      <w:r w:rsidRPr="00B52707">
        <w:rPr>
          <w:color w:val="0070C0"/>
          <w:sz w:val="16"/>
          <w:szCs w:val="16"/>
        </w:rPr>
        <w:softHyphen/>
        <w:t>дом члены комиссии совместно с офицерами Главного военно-технического управления Главного управления Генерального Штаба разработали тактико-технические требова</w:t>
      </w:r>
      <w:r w:rsidRPr="00B52707">
        <w:rPr>
          <w:color w:val="0070C0"/>
          <w:sz w:val="16"/>
          <w:szCs w:val="16"/>
        </w:rPr>
        <w:softHyphen/>
        <w:t>ния к броневым автомобилям. Основными из них являлись наличие полностью бро</w:t>
      </w:r>
      <w:r w:rsidRPr="00B52707">
        <w:rPr>
          <w:color w:val="0070C0"/>
          <w:sz w:val="16"/>
          <w:szCs w:val="16"/>
        </w:rPr>
        <w:softHyphen/>
        <w:t>нированного корпуса, а также двух неза</w:t>
      </w:r>
      <w:r w:rsidRPr="00B52707">
        <w:rPr>
          <w:color w:val="0070C0"/>
          <w:sz w:val="16"/>
          <w:szCs w:val="16"/>
        </w:rPr>
        <w:softHyphen/>
        <w:t>висимых пулеметных башен, обеспечивав</w:t>
      </w:r>
      <w:r w:rsidRPr="00B52707">
        <w:rPr>
          <w:color w:val="0070C0"/>
          <w:sz w:val="16"/>
          <w:szCs w:val="16"/>
        </w:rPr>
        <w:softHyphen/>
        <w:t>ших ведение огня по двум независимым це</w:t>
      </w:r>
      <w:r w:rsidRPr="00B52707">
        <w:rPr>
          <w:color w:val="0070C0"/>
          <w:sz w:val="16"/>
          <w:szCs w:val="16"/>
        </w:rPr>
        <w:softHyphen/>
        <w:t>лям одновременно. Это требование вытекало из того, как виделись командованию в пер</w:t>
      </w:r>
      <w:r w:rsidRPr="00B52707">
        <w:rPr>
          <w:color w:val="0070C0"/>
          <w:sz w:val="16"/>
          <w:szCs w:val="16"/>
        </w:rPr>
        <w:softHyphen/>
        <w:t>вый месяц начавшейся войны предстоящие бои: считалось, что броневик будет врывать</w:t>
      </w:r>
      <w:r w:rsidRPr="00B52707">
        <w:rPr>
          <w:color w:val="0070C0"/>
          <w:sz w:val="16"/>
          <w:szCs w:val="16"/>
        </w:rPr>
        <w:softHyphen/>
        <w:t>ся в цепи наступающего противника, и пуле</w:t>
      </w:r>
      <w:r w:rsidRPr="00B52707">
        <w:rPr>
          <w:color w:val="0070C0"/>
          <w:sz w:val="16"/>
          <w:szCs w:val="16"/>
        </w:rPr>
        <w:softHyphen/>
        <w:t>метным огнем на обе стороны поражать его.</w:t>
      </w:r>
    </w:p>
    <w:p w14:paraId="63FEF96C" w14:textId="77777777" w:rsidR="000C453C" w:rsidRPr="00B52707" w:rsidRDefault="000C453C" w:rsidP="000C453C">
      <w:pPr>
        <w:jc w:val="both"/>
        <w:rPr>
          <w:color w:val="0070C0"/>
          <w:sz w:val="16"/>
          <w:szCs w:val="16"/>
        </w:rPr>
      </w:pPr>
      <w:r w:rsidRPr="00B52707">
        <w:rPr>
          <w:color w:val="0070C0"/>
          <w:sz w:val="16"/>
          <w:szCs w:val="16"/>
        </w:rPr>
        <w:t>К моменту прибытия в Англию комис</w:t>
      </w:r>
      <w:r w:rsidRPr="00B52707">
        <w:rPr>
          <w:color w:val="0070C0"/>
          <w:sz w:val="16"/>
          <w:szCs w:val="16"/>
        </w:rPr>
        <w:softHyphen/>
        <w:t>сия полковника Секретёва не обнаружила ни здесь, ни во Франции броневых машин, отвечающим этим требованиям: в сентябре 1914 года на Западном фронте действовали самые различные броневики, большая часть из которых вообще не имела башен и кры</w:t>
      </w:r>
      <w:r w:rsidRPr="00B52707">
        <w:rPr>
          <w:color w:val="0070C0"/>
          <w:sz w:val="16"/>
          <w:szCs w:val="16"/>
        </w:rPr>
        <w:softHyphen/>
        <w:t>ши, а вооружение размещалось за щитом. А те, которые имели крышу, оснащались все</w:t>
      </w:r>
      <w:r w:rsidRPr="00B52707">
        <w:rPr>
          <w:color w:val="0070C0"/>
          <w:sz w:val="16"/>
          <w:szCs w:val="16"/>
        </w:rPr>
        <w:softHyphen/>
        <w:t>го одной башней. Лишь в ходе переговоров о закупке грузовиков с английской фирмой «Остин» ее руководство согласилось принять заказ на изготовление броневых автомобилей по русским требованиям (25008).</w:t>
      </w:r>
    </w:p>
    <w:p w14:paraId="47B3A2DD" w14:textId="77777777" w:rsidR="000C453C" w:rsidRPr="00B52707" w:rsidRDefault="000C453C" w:rsidP="000C453C">
      <w:pPr>
        <w:jc w:val="both"/>
        <w:rPr>
          <w:color w:val="0070C0"/>
          <w:sz w:val="16"/>
          <w:szCs w:val="16"/>
        </w:rPr>
      </w:pPr>
    </w:p>
    <w:p w14:paraId="517BD113" w14:textId="77777777" w:rsidR="000C453C" w:rsidRPr="00B52707" w:rsidRDefault="000C453C" w:rsidP="000C453C">
      <w:pPr>
        <w:jc w:val="both"/>
        <w:rPr>
          <w:color w:val="0070C0"/>
          <w:sz w:val="16"/>
          <w:szCs w:val="16"/>
        </w:rPr>
      </w:pPr>
      <w:r w:rsidRPr="00B52707">
        <w:rPr>
          <w:color w:val="0070C0"/>
          <w:sz w:val="16"/>
          <w:szCs w:val="16"/>
        </w:rPr>
        <w:t>В сентябре 1914 года инженер и изобретатель Братолюбов получил в свое распоряжение 12 машин из них 4 машины производства Руссо-Балт типа С и 6 машин типа Д. Все шасси были оснащены одинаковыми двигателями 24/40, но шасси Д были подготовлены для грузовых машин, и весили больше чем для легковых. Все шасси были разными по длине, ширине и базе. В общем Братолюбов получил в своё распоряжение настоящий «зоопарк». Но это не помешало ему реализовать свой первый проект, созданный триумвиратом Некрасов-Братолюбов-Дурляхер.</w:t>
      </w:r>
    </w:p>
    <w:p w14:paraId="1610A91C" w14:textId="77777777" w:rsidR="000C453C" w:rsidRPr="00B52707" w:rsidRDefault="000C453C" w:rsidP="000C453C">
      <w:pPr>
        <w:jc w:val="both"/>
        <w:rPr>
          <w:color w:val="0070C0"/>
          <w:sz w:val="16"/>
          <w:szCs w:val="16"/>
        </w:rPr>
      </w:pPr>
      <w:r w:rsidRPr="00B52707">
        <w:rPr>
          <w:color w:val="0070C0"/>
          <w:sz w:val="16"/>
          <w:szCs w:val="16"/>
        </w:rPr>
        <w:t>Бронирование мастерская Братолюбов получала с Обуховского завода, поставки шли долго и нерегулярно, из-за этого сроки все время срывались. Тем не менее, в начале 1915 года все машины были предъявлены на испытания. Испытывались броневики в Офицерской стрелковой школе и выпускные экзамены они не сдали. Машины оказались перетяжелены, особенно на шасси Руссо-Балт модель Д, и были полностью непригодны для боевого применения. Если по ровному шоссе машины еще перемещались хоть как то, то любое бездорожье или хороший уклон становился для них непреодолим. В общем все машины отправились на задворки Офицерской школы. (25491).</w:t>
      </w:r>
    </w:p>
    <w:p w14:paraId="18345D88" w14:textId="77777777" w:rsidR="000C453C" w:rsidRPr="00B52707" w:rsidRDefault="000C453C" w:rsidP="000C453C">
      <w:pPr>
        <w:jc w:val="both"/>
        <w:rPr>
          <w:color w:val="0070C0"/>
          <w:sz w:val="16"/>
          <w:szCs w:val="16"/>
        </w:rPr>
      </w:pPr>
    </w:p>
    <w:p w14:paraId="63C8303C" w14:textId="40102094" w:rsidR="00B67D7C" w:rsidRPr="00DE096C" w:rsidRDefault="00B67D7C" w:rsidP="00D45A46">
      <w:pPr>
        <w:jc w:val="both"/>
        <w:rPr>
          <w:bCs/>
          <w:i/>
          <w:color w:val="002060"/>
          <w:sz w:val="16"/>
          <w:szCs w:val="16"/>
        </w:rPr>
      </w:pPr>
      <w:r w:rsidRPr="00DE096C">
        <w:rPr>
          <w:bCs/>
          <w:i/>
          <w:color w:val="002060"/>
          <w:sz w:val="16"/>
          <w:szCs w:val="16"/>
        </w:rPr>
        <w:t>Авиация:</w:t>
      </w:r>
    </w:p>
    <w:p w14:paraId="11EF60D1" w14:textId="77777777" w:rsidR="00B67D7C" w:rsidRPr="00DE096C" w:rsidRDefault="00B67D7C" w:rsidP="00D45A46">
      <w:pPr>
        <w:jc w:val="both"/>
        <w:rPr>
          <w:bCs/>
          <w:i/>
          <w:color w:val="002060"/>
          <w:sz w:val="16"/>
          <w:szCs w:val="16"/>
        </w:rPr>
      </w:pPr>
    </w:p>
    <w:p w14:paraId="2761DE6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сентябре 1914 в Петрограде при 1-й авиационной роте форми</w:t>
      </w:r>
      <w:r w:rsidRPr="00DE096C">
        <w:rPr>
          <w:bCs/>
          <w:color w:val="002060"/>
          <w:sz w:val="16"/>
          <w:szCs w:val="16"/>
        </w:rPr>
        <w:softHyphen/>
        <w:t>ровалось семь отрядов воздушных кораблей "Илья Муромец".Каждый отряд состоял из одного корабля, штат отряда - из командира корабля, его помощника, артиллерийского офицера, младшего офицера (адъютанта), механика, 40 нижних чинов, двух грузовых и одного легкового автомобилей. Военная авиационная школа подго</w:t>
      </w:r>
      <w:r w:rsidRPr="00DE096C">
        <w:rPr>
          <w:bCs/>
          <w:color w:val="002060"/>
          <w:sz w:val="16"/>
          <w:szCs w:val="16"/>
        </w:rPr>
        <w:softHyphen/>
        <w:t>товила командиров кораблей из лучших своих инструкторов; Горшкова, Руднева, Панкратьева, Бродовича, Модраха и др. (ЦГВИА. ф.298, оп.1, д,9б, рапорт командира 1-й роты от 30 сентября, 1914 г.).</w:t>
      </w:r>
    </w:p>
    <w:p w14:paraId="7D371AE9" w14:textId="77777777" w:rsidR="004F33B7" w:rsidRPr="00DE096C" w:rsidRDefault="004F33B7" w:rsidP="00D45A46">
      <w:pPr>
        <w:pStyle w:val="a3"/>
        <w:jc w:val="both"/>
        <w:rPr>
          <w:bCs/>
          <w:i w:val="0"/>
          <w:color w:val="002060"/>
          <w:spacing w:val="0"/>
          <w:kern w:val="0"/>
          <w:position w:val="0"/>
          <w:sz w:val="16"/>
          <w:szCs w:val="16"/>
        </w:rPr>
      </w:pPr>
    </w:p>
    <w:p w14:paraId="121071BD" w14:textId="77777777" w:rsidR="00521469" w:rsidRPr="00DE096C" w:rsidRDefault="00521469" w:rsidP="00D45A46">
      <w:pPr>
        <w:jc w:val="both"/>
        <w:rPr>
          <w:bCs/>
          <w:color w:val="002060"/>
          <w:sz w:val="16"/>
          <w:szCs w:val="16"/>
        </w:rPr>
      </w:pPr>
      <w:r w:rsidRPr="00DE096C">
        <w:rPr>
          <w:bCs/>
          <w:color w:val="002060"/>
          <w:sz w:val="16"/>
          <w:szCs w:val="16"/>
        </w:rPr>
        <w:t>В сентябре 1914 г в Петрограде при 1-й авиационной роте формировалось семь отрядов воздушных кораблей "Илья Муромец". Каждый отряд состо</w:t>
      </w:r>
      <w:r w:rsidRPr="00DE096C">
        <w:rPr>
          <w:bCs/>
          <w:color w:val="002060"/>
          <w:sz w:val="16"/>
          <w:szCs w:val="16"/>
        </w:rPr>
        <w:softHyphen/>
        <w:t>ял из одного корабля, командира корабля, его помощника, артиллерий</w:t>
      </w:r>
      <w:r w:rsidRPr="00DE096C">
        <w:rPr>
          <w:bCs/>
          <w:color w:val="002060"/>
          <w:sz w:val="16"/>
          <w:szCs w:val="16"/>
        </w:rPr>
        <w:softHyphen/>
        <w:t>ского офицера, младшего офицера /адъютанта/, механика, 40 нижних чи</w:t>
      </w:r>
      <w:r w:rsidRPr="00DE096C">
        <w:rPr>
          <w:bCs/>
          <w:color w:val="002060"/>
          <w:sz w:val="16"/>
          <w:szCs w:val="16"/>
        </w:rPr>
        <w:softHyphen/>
        <w:t>нов, двух грузовых и одного легкового автомобилей. Военная авиаци</w:t>
      </w:r>
      <w:r w:rsidRPr="00DE096C">
        <w:rPr>
          <w:bCs/>
          <w:color w:val="002060"/>
          <w:sz w:val="16"/>
          <w:szCs w:val="16"/>
        </w:rPr>
        <w:softHyphen/>
        <w:t>онная школа подготовила командиров кораблей из лучших своих ин</w:t>
      </w:r>
      <w:r w:rsidRPr="00DE096C">
        <w:rPr>
          <w:bCs/>
          <w:color w:val="002060"/>
          <w:sz w:val="16"/>
          <w:szCs w:val="16"/>
        </w:rPr>
        <w:softHyphen/>
        <w:t>структоров: Горшкова, Руднева, Панкратьева, Бродовича, Иодраха и др. Впоследствии эти отряды были сведены в эскадру воздушных кораблей.</w:t>
      </w:r>
    </w:p>
    <w:p w14:paraId="1BE824BF" w14:textId="77777777" w:rsidR="00521469" w:rsidRPr="00DE096C" w:rsidRDefault="00521469" w:rsidP="00D45A46">
      <w:pPr>
        <w:jc w:val="both"/>
        <w:rPr>
          <w:bCs/>
          <w:color w:val="002060"/>
          <w:sz w:val="16"/>
          <w:szCs w:val="16"/>
        </w:rPr>
      </w:pPr>
      <w:r w:rsidRPr="00DE096C">
        <w:rPr>
          <w:bCs/>
          <w:color w:val="002060"/>
          <w:sz w:val="16"/>
          <w:szCs w:val="16"/>
        </w:rPr>
        <w:t>/ЦГВИА, ф. 298, on. 1, д. 96, рапорт командира 1-й роты от 30.9.1914/ (23320).</w:t>
      </w:r>
    </w:p>
    <w:p w14:paraId="33D6875D" w14:textId="77777777" w:rsidR="00521469" w:rsidRPr="00DE096C" w:rsidRDefault="00521469" w:rsidP="00D45A46">
      <w:pPr>
        <w:jc w:val="both"/>
        <w:rPr>
          <w:bCs/>
          <w:color w:val="002060"/>
          <w:sz w:val="16"/>
          <w:szCs w:val="16"/>
        </w:rPr>
      </w:pPr>
    </w:p>
    <w:p w14:paraId="23533DEA" w14:textId="702CAEB4" w:rsidR="00B67D7C" w:rsidRPr="00DE096C" w:rsidRDefault="004F33B7"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С</w:t>
      </w:r>
      <w:r w:rsidR="00B67D7C" w:rsidRPr="00DE096C">
        <w:rPr>
          <w:bCs/>
          <w:i w:val="0"/>
          <w:color w:val="002060"/>
          <w:spacing w:val="0"/>
          <w:kern w:val="0"/>
          <w:position w:val="0"/>
          <w:sz w:val="16"/>
          <w:szCs w:val="16"/>
        </w:rPr>
        <w:t xml:space="preserve"> сентября1914 </w:t>
      </w:r>
      <w:r w:rsidRPr="00DE096C">
        <w:rPr>
          <w:bCs/>
          <w:i w:val="0"/>
          <w:color w:val="002060"/>
          <w:spacing w:val="0"/>
          <w:kern w:val="0"/>
          <w:position w:val="0"/>
          <w:sz w:val="16"/>
          <w:szCs w:val="16"/>
        </w:rPr>
        <w:t xml:space="preserve">Начальнику авиационного отдела Офицерской Воздухо­плавательной Школы в Гатчине полковнику С.А.Ульянину поручили формирование </w:t>
      </w:r>
      <w:r w:rsidR="00B67D7C" w:rsidRPr="00DE096C">
        <w:rPr>
          <w:bCs/>
          <w:i w:val="0"/>
          <w:color w:val="002060"/>
          <w:spacing w:val="0"/>
          <w:kern w:val="0"/>
          <w:position w:val="0"/>
          <w:sz w:val="16"/>
          <w:szCs w:val="16"/>
        </w:rPr>
        <w:t>еще трех</w:t>
      </w:r>
      <w:r w:rsidRPr="00DE096C">
        <w:rPr>
          <w:bCs/>
          <w:i w:val="0"/>
          <w:color w:val="002060"/>
          <w:spacing w:val="0"/>
          <w:kern w:val="0"/>
          <w:position w:val="0"/>
          <w:sz w:val="16"/>
          <w:szCs w:val="16"/>
        </w:rPr>
        <w:t xml:space="preserve"> комаенд ля муромцев</w:t>
      </w:r>
      <w:r w:rsidR="00B67D7C" w:rsidRPr="00DE096C">
        <w:rPr>
          <w:bCs/>
          <w:i w:val="0"/>
          <w:color w:val="002060"/>
          <w:spacing w:val="0"/>
          <w:kern w:val="0"/>
          <w:position w:val="0"/>
          <w:sz w:val="16"/>
          <w:szCs w:val="16"/>
        </w:rPr>
        <w:t xml:space="preserve">. Командиром 1-го воздушного корабля был назначен штабс-капитан Е.В.Руднев, 11-го поручик А.В.Панкратьев, 111-го штабс-капитан С.М.Бродович и IV-го поручик С.К.Модрах. </w:t>
      </w:r>
    </w:p>
    <w:p w14:paraId="4B7B0BC1"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Еще до отправки на фронт 1-го корабля в августе на нем была испытана 37 мм пушка Гочкиса, которая была установлена на пулеметно-орудийной площадке. По замыслу орудие предназначалось для борьбы с германскими дирижаблями - "Цеппелинами". Испытания были признаны неудовлетворительными: при весе в 6 пудов и скорострельности 10 выстрелов в минуту пушка требовала 2 человек — наводчика и подно­счика снарядов, которых было 15 штук, да и их разлет составлял 200-250 м. Уже в Эскадре в январе 1915 г. пробовали на корабле V-м другую 3-х дюймовую пушку системы полковника Гельвига, которую прислали из 1лавного Артиллерийского Управления. Она была безоткатной, с нали­чием добавочного ствола прямо противоположного главному. При выстреле из главного ствола вылетал боевой снаряд, а из добавочного - пыж, но исключало откат ствола. Но от нее тоже отказались из-за большого веса, малой скорострельности и эффективности стрельбы (11277).</w:t>
      </w:r>
    </w:p>
    <w:p w14:paraId="4A7ECB79" w14:textId="77777777" w:rsidR="00B67D7C" w:rsidRPr="00DE096C" w:rsidRDefault="00B67D7C" w:rsidP="00D45A46">
      <w:pPr>
        <w:pStyle w:val="a3"/>
        <w:jc w:val="both"/>
        <w:rPr>
          <w:bCs/>
          <w:i w:val="0"/>
          <w:color w:val="002060"/>
          <w:spacing w:val="0"/>
          <w:kern w:val="0"/>
          <w:position w:val="0"/>
          <w:sz w:val="16"/>
          <w:szCs w:val="16"/>
        </w:rPr>
      </w:pPr>
    </w:p>
    <w:p w14:paraId="3890F602" w14:textId="1B699790" w:rsidR="00B67D7C" w:rsidRPr="00DE096C" w:rsidRDefault="004F33B7"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В</w:t>
      </w:r>
      <w:r w:rsidR="00B67D7C" w:rsidRPr="00DE096C">
        <w:rPr>
          <w:bCs/>
          <w:i w:val="0"/>
          <w:color w:val="002060"/>
          <w:spacing w:val="0"/>
          <w:kern w:val="0"/>
          <w:position w:val="0"/>
          <w:sz w:val="16"/>
          <w:szCs w:val="16"/>
        </w:rPr>
        <w:t xml:space="preserve"> сентябре 1914 г. </w:t>
      </w:r>
      <w:r w:rsidRPr="00DE096C">
        <w:rPr>
          <w:bCs/>
          <w:i w:val="0"/>
          <w:color w:val="002060"/>
          <w:spacing w:val="0"/>
          <w:kern w:val="0"/>
          <w:position w:val="0"/>
          <w:sz w:val="16"/>
          <w:szCs w:val="16"/>
        </w:rPr>
        <w:t>принято решение о</w:t>
      </w:r>
      <w:r w:rsidR="00B67D7C" w:rsidRPr="00DE096C">
        <w:rPr>
          <w:bCs/>
          <w:i w:val="0"/>
          <w:color w:val="002060"/>
          <w:spacing w:val="0"/>
          <w:kern w:val="0"/>
          <w:position w:val="0"/>
          <w:sz w:val="16"/>
          <w:szCs w:val="16"/>
        </w:rPr>
        <w:t xml:space="preserve"> </w:t>
      </w:r>
      <w:r w:rsidRPr="00DE096C">
        <w:rPr>
          <w:bCs/>
          <w:i w:val="0"/>
          <w:color w:val="002060"/>
          <w:spacing w:val="0"/>
          <w:kern w:val="0"/>
          <w:position w:val="0"/>
          <w:sz w:val="16"/>
          <w:szCs w:val="16"/>
        </w:rPr>
        <w:t>с</w:t>
      </w:r>
      <w:r w:rsidR="00B67D7C" w:rsidRPr="00DE096C">
        <w:rPr>
          <w:bCs/>
          <w:i w:val="0"/>
          <w:color w:val="002060"/>
          <w:spacing w:val="0"/>
          <w:kern w:val="0"/>
          <w:position w:val="0"/>
          <w:sz w:val="16"/>
          <w:szCs w:val="16"/>
        </w:rPr>
        <w:t>формировании трех дополнительных отрядов (V-го поручика Г.В.Алехновича, VI-го штабс-капитана Б.Н.Фирсова и VII-го штабс-капитана Г.Г.Горшкова). Для отряда "Киевский" ( VII-го по порядку) предназ­начался "Киевский" №128, находившийся в Гатчинской школе. Но школа просила оставить корабль для подготовки летчиков. Тогда Горшкову выделили новый аэроплан за №150 типа И, который получил название "Киевский" по имени отряда. Бесценные моторы "Аргус" были сняты с гатчинца и поставлены на новый корабль, который в декабре убыл по ж/д на фронт вместе с УЭВК (11277).</w:t>
      </w:r>
    </w:p>
    <w:p w14:paraId="2C3A7701" w14:textId="77777777" w:rsidR="00B67D7C" w:rsidRPr="00DE096C" w:rsidRDefault="00B67D7C" w:rsidP="00D45A46">
      <w:pPr>
        <w:pStyle w:val="a3"/>
        <w:jc w:val="both"/>
        <w:rPr>
          <w:bCs/>
          <w:i w:val="0"/>
          <w:color w:val="002060"/>
          <w:spacing w:val="0"/>
          <w:kern w:val="0"/>
          <w:position w:val="0"/>
          <w:sz w:val="16"/>
          <w:szCs w:val="16"/>
        </w:rPr>
      </w:pPr>
    </w:p>
    <w:p w14:paraId="2D5AA9F3" w14:textId="77777777" w:rsidR="004F33B7" w:rsidRPr="00DE096C" w:rsidRDefault="004F33B7" w:rsidP="00D45A46">
      <w:pPr>
        <w:jc w:val="both"/>
        <w:rPr>
          <w:bCs/>
          <w:color w:val="002060"/>
          <w:sz w:val="16"/>
          <w:szCs w:val="16"/>
        </w:rPr>
      </w:pPr>
      <w:r w:rsidRPr="00DE096C">
        <w:rPr>
          <w:bCs/>
          <w:color w:val="002060"/>
          <w:sz w:val="16"/>
          <w:szCs w:val="16"/>
        </w:rPr>
        <w:t xml:space="preserve">В сентябре 1914 г. принято решение о формировании трех дополнительных отрядов (V-ro поручика Г.В.Алехновича, VI-го штабс-капитана Б.Н.Фирсова и VII-го штабс-капитана Г.Г.Горшкова). Для отряда "Киевский" (Vll-ro по порядку) предназначался "Киевский" №128, находившийся в Гатчинской школе. Но школа просила оставить корабль для подготовки летчиков. Тогда Горшкову выделили новый аэроплан за №150 типа В, который получил название "Киевский" по имени отряда. Бесценные моторы "Аргус" были сняты с гатчинца и поставлены на новый корабль, который в декабре убыл по ж/д на фронт вместе с УЭВК (12038). </w:t>
      </w:r>
    </w:p>
    <w:p w14:paraId="0A36ADB1" w14:textId="77777777" w:rsidR="004F33B7" w:rsidRPr="00DE096C" w:rsidRDefault="004F33B7" w:rsidP="00D45A46">
      <w:pPr>
        <w:jc w:val="both"/>
        <w:rPr>
          <w:bCs/>
          <w:color w:val="002060"/>
          <w:sz w:val="16"/>
          <w:szCs w:val="16"/>
        </w:rPr>
      </w:pPr>
    </w:p>
    <w:p w14:paraId="59F437C1" w14:textId="02CFC83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 сентябре 1914 </w:t>
      </w:r>
      <w:r w:rsidR="004F33B7" w:rsidRPr="00DE096C">
        <w:rPr>
          <w:bCs/>
          <w:i w:val="0"/>
          <w:color w:val="002060"/>
          <w:spacing w:val="0"/>
          <w:kern w:val="0"/>
          <w:position w:val="0"/>
          <w:sz w:val="16"/>
          <w:szCs w:val="16"/>
        </w:rPr>
        <w:t xml:space="preserve">г. на Северо-Западном фронте. </w:t>
      </w:r>
      <w:r w:rsidRPr="00DE096C">
        <w:rPr>
          <w:bCs/>
          <w:i w:val="0"/>
          <w:color w:val="002060"/>
          <w:spacing w:val="0"/>
          <w:kern w:val="0"/>
          <w:position w:val="0"/>
          <w:sz w:val="16"/>
          <w:szCs w:val="16"/>
        </w:rPr>
        <w:t xml:space="preserve">решением главкома авиаотряды были изъяты из состава корпусов и сведены в авиационные группы, подчиненные начальникам штабов армий. Однако эта реорганизация оказалась малоэффективной, так как не были созданы органы управления авиагруппами, а ограниченный радиус действия самолетов затруднял их применение в интересах армейского командования. К тому же такая структура не учитывала сложные географические (болотистая и лесная местность) и погодные условия, существовавшие на северозападе. Собранные на одном аэродроме самолеты каждой группы при плохих метеоусловиях были обречены на бездействие, тогда как в случае рассредоточения по площадкам авиаотрядов имелись бы шансы использовать кратковременные местные улучшения погоды (11278). </w:t>
      </w:r>
    </w:p>
    <w:p w14:paraId="090BD184" w14:textId="77777777" w:rsidR="00B67D7C" w:rsidRPr="00DE096C" w:rsidRDefault="00B67D7C" w:rsidP="00D45A46">
      <w:pPr>
        <w:pStyle w:val="a3"/>
        <w:jc w:val="both"/>
        <w:rPr>
          <w:bCs/>
          <w:i w:val="0"/>
          <w:color w:val="002060"/>
          <w:spacing w:val="0"/>
          <w:kern w:val="0"/>
          <w:position w:val="0"/>
          <w:sz w:val="16"/>
          <w:szCs w:val="16"/>
        </w:rPr>
      </w:pPr>
    </w:p>
    <w:p w14:paraId="77A3421A" w14:textId="77777777" w:rsidR="000C453C" w:rsidRPr="00B52707" w:rsidRDefault="000C453C" w:rsidP="000C453C">
      <w:pPr>
        <w:jc w:val="both"/>
        <w:rPr>
          <w:color w:val="0070C0"/>
          <w:sz w:val="16"/>
          <w:szCs w:val="16"/>
        </w:rPr>
      </w:pPr>
      <w:r w:rsidRPr="00B52707">
        <w:rPr>
          <w:color w:val="0070C0"/>
          <w:sz w:val="16"/>
          <w:szCs w:val="16"/>
        </w:rPr>
        <w:t>В сентябре 1914 г. на Северо-Западном фронте решением главкома авиаотряды были изъяты из состава корпусов и сведены в авиационные группы, подчиненные начальникам штабов армий. Однако эта реорганизация оказалась малоэффективной, так как не были созданы органы управления авиагруппами. а ограниченный радиус действия самолетов затруднял их применение в интересах армейского командования. К тому же такая структура не учитывала сложные географические (болотистая и лесная местность) и погодные условия, существовавшие на северо- западе. Собранные на одном аэродроме самолеты каждой группы при плохих метеоусловиях были обречены на бездействие, тогда как в случае рассредоточения по площадкам авиаотрядов имелись бы шансы использовать кратковременные местные улучшения погоды (25150).</w:t>
      </w:r>
    </w:p>
    <w:p w14:paraId="4D2BC69F" w14:textId="77777777" w:rsidR="000C453C" w:rsidRPr="00B52707" w:rsidRDefault="000C453C" w:rsidP="000C453C">
      <w:pPr>
        <w:jc w:val="both"/>
        <w:rPr>
          <w:color w:val="0070C0"/>
          <w:sz w:val="16"/>
          <w:szCs w:val="16"/>
        </w:rPr>
      </w:pPr>
    </w:p>
    <w:p w14:paraId="236FA040" w14:textId="77777777" w:rsidR="000C453C" w:rsidRPr="00B52707" w:rsidRDefault="000C453C" w:rsidP="000C453C">
      <w:pPr>
        <w:jc w:val="both"/>
        <w:rPr>
          <w:color w:val="0070C0"/>
          <w:sz w:val="16"/>
          <w:szCs w:val="16"/>
        </w:rPr>
      </w:pPr>
      <w:r w:rsidRPr="00B52707">
        <w:rPr>
          <w:rStyle w:val="ab"/>
          <w:rFonts w:ascii="Times New Roman" w:hAnsi="Times New Roman"/>
          <w:color w:val="0070C0"/>
          <w:spacing w:val="0"/>
          <w:sz w:val="16"/>
          <w:szCs w:val="16"/>
        </w:rPr>
        <w:t>В сентябре 1914 года успешное отражение русскими зенитчиками воздушных налетов на Варшаву побудило Ставку Верховного главнокомандующего приступить к формированию в действующей армии зенитных батарей на штатной основе. В числе первых такую задачу получили комендант м/к Кронштадт генерал-лейтенант А.А. Маниковский и начальник ее артиллерии генерал-лейтенант В.Г. Пащенко. По указанию Ставки в срочном порядке были сформированы три зенитные батареи крепостного типа в интересах ВоздО столицы Царства Польского. Они оснащались французскими 75-мм морскими пушками обр. 1897 года системы Канэ, установленными на станки конструкции генерал-майора А.П. Меллера. В ходе японской кампании (1904- 1905 гт.) эти орудия получили высокую оценку со стороны командования Тихоокеанской эскадры и теперь переориентировались на ведение зенитной стрельбы. Тем временем первичный опыт по формированию противосамолетных батарей позднее пригодился руководству м/к Кронштадт при создании собственной воздушной обороны (25166).</w:t>
      </w:r>
    </w:p>
    <w:p w14:paraId="0C636C9A" w14:textId="77777777" w:rsidR="000C453C" w:rsidRPr="00B52707" w:rsidRDefault="000C453C" w:rsidP="000C453C">
      <w:pPr>
        <w:jc w:val="both"/>
        <w:rPr>
          <w:color w:val="0070C0"/>
          <w:sz w:val="16"/>
          <w:szCs w:val="16"/>
        </w:rPr>
      </w:pPr>
    </w:p>
    <w:p w14:paraId="257165BC" w14:textId="77777777" w:rsidR="00B67D7C" w:rsidRPr="00DE096C" w:rsidRDefault="00B67D7C" w:rsidP="00D45A46">
      <w:pPr>
        <w:jc w:val="both"/>
        <w:rPr>
          <w:bCs/>
          <w:color w:val="002060"/>
          <w:sz w:val="16"/>
          <w:szCs w:val="16"/>
        </w:rPr>
      </w:pPr>
      <w:r w:rsidRPr="00DE096C">
        <w:rPr>
          <w:bCs/>
          <w:color w:val="002060"/>
          <w:sz w:val="16"/>
          <w:szCs w:val="16"/>
        </w:rPr>
        <w:t>В сентябре 1914 закончился второй месяц войны, весьма богатый событиями и принесший новые результаты.</w:t>
      </w:r>
    </w:p>
    <w:p w14:paraId="0A589A4B" w14:textId="77777777" w:rsidR="00B67D7C" w:rsidRPr="00DE096C" w:rsidRDefault="00B67D7C" w:rsidP="00D45A46">
      <w:pPr>
        <w:jc w:val="both"/>
        <w:rPr>
          <w:bCs/>
          <w:color w:val="002060"/>
          <w:sz w:val="16"/>
          <w:szCs w:val="16"/>
        </w:rPr>
      </w:pPr>
      <w:r w:rsidRPr="00DE096C">
        <w:rPr>
          <w:bCs/>
          <w:color w:val="002060"/>
          <w:sz w:val="16"/>
          <w:szCs w:val="16"/>
        </w:rPr>
        <w:t>Главным достижением авиации в этом месяце является успех французских пилотов-разведчиков. Французские авиаторы вскрыли движение германских войск к Марне, а не к Парижу, как предполагало французское главное командование. Это обстоятельство оказало важнейшее влияние на весь дальнейший ход боевых действий.</w:t>
      </w:r>
    </w:p>
    <w:p w14:paraId="0423DD2E" w14:textId="77777777" w:rsidR="00B67D7C" w:rsidRPr="00DE096C" w:rsidRDefault="00B67D7C" w:rsidP="00D45A46">
      <w:pPr>
        <w:jc w:val="both"/>
        <w:rPr>
          <w:bCs/>
          <w:color w:val="002060"/>
          <w:sz w:val="16"/>
          <w:szCs w:val="16"/>
        </w:rPr>
      </w:pPr>
      <w:r w:rsidRPr="00DE096C">
        <w:rPr>
          <w:bCs/>
          <w:color w:val="002060"/>
          <w:sz w:val="16"/>
          <w:szCs w:val="16"/>
        </w:rPr>
        <w:t>Также больших успехов достигла авиаразведка и на Восточном фронте. В этом месяце на Юго-Западном фронте русская авиаразведка помогла вскрыть стратегические планы германского командования в районе гродекской позиции. Генерал Брусилов, в первый же месяц войны оценивший значение воздушной разведки, смог предотвратить катастрофу подобную той, в какую попал генерал Самсонов, весьма скептически относившийся к донесениям русских авиаторов.</w:t>
      </w:r>
    </w:p>
    <w:p w14:paraId="6EE8EE72" w14:textId="77777777" w:rsidR="00B67D7C" w:rsidRPr="00DE096C" w:rsidRDefault="00B67D7C" w:rsidP="00D45A46">
      <w:pPr>
        <w:jc w:val="both"/>
        <w:rPr>
          <w:bCs/>
          <w:color w:val="002060"/>
          <w:sz w:val="16"/>
          <w:szCs w:val="16"/>
        </w:rPr>
      </w:pPr>
      <w:r w:rsidRPr="00DE096C">
        <w:rPr>
          <w:bCs/>
          <w:color w:val="002060"/>
          <w:sz w:val="16"/>
          <w:szCs w:val="16"/>
        </w:rPr>
        <w:lastRenderedPageBreak/>
        <w:t>Однако в этот период войны еще далеко не все русские военачальники разделяли отношение Брусилова к возможностям авиации. Например, командование 3-й армии не обратило должного внимания на донесения своих воздушных разведчиков о скоплении на ее фронте крупных германских сил. В результате ударной группировки Макензена, удалось прорвать русский фронт и вынудить русских отойти из Галиции.</w:t>
      </w:r>
    </w:p>
    <w:p w14:paraId="2BEC5C9A" w14:textId="44870B69" w:rsidR="004F33B7" w:rsidRPr="00DE096C" w:rsidRDefault="00B67D7C" w:rsidP="00D45A46">
      <w:pPr>
        <w:jc w:val="both"/>
        <w:rPr>
          <w:bCs/>
          <w:color w:val="002060"/>
          <w:sz w:val="16"/>
          <w:szCs w:val="16"/>
        </w:rPr>
      </w:pPr>
      <w:r w:rsidRPr="00DE096C">
        <w:rPr>
          <w:bCs/>
          <w:color w:val="002060"/>
          <w:sz w:val="16"/>
          <w:szCs w:val="16"/>
        </w:rPr>
        <w:t xml:space="preserve">Однако, быть может, гораздо более важным итогом этого месяца следует считать тот факт, что военное командование обеих воюющих сторон осознало, наконец, чрезвычайную важность еще одной функции авиации. Во время разведки в тылу противника у авиаторов неизбежно возникало желание, видя скопления неприятельских войск, орудий и эшелонов, бросить хотя бы гранату. В то время как французские и русские авиаторы бросали с аэропланов небольшое количество легких бомб мимоходом, </w:t>
      </w:r>
    </w:p>
    <w:p w14:paraId="680F5D6E" w14:textId="77777777" w:rsidR="004F33B7" w:rsidRPr="00DE096C" w:rsidRDefault="004F33B7" w:rsidP="00D45A46">
      <w:pPr>
        <w:jc w:val="both"/>
        <w:rPr>
          <w:bCs/>
          <w:color w:val="002060"/>
          <w:sz w:val="16"/>
          <w:szCs w:val="16"/>
        </w:rPr>
      </w:pPr>
    </w:p>
    <w:p w14:paraId="671E518D" w14:textId="77777777" w:rsidR="000C453C" w:rsidRPr="00B52707" w:rsidRDefault="000C453C" w:rsidP="000C453C">
      <w:pPr>
        <w:jc w:val="both"/>
        <w:rPr>
          <w:color w:val="0070C0"/>
          <w:sz w:val="16"/>
          <w:szCs w:val="16"/>
        </w:rPr>
      </w:pPr>
      <w:r w:rsidRPr="00B52707">
        <w:rPr>
          <w:color w:val="0070C0"/>
          <w:sz w:val="16"/>
          <w:szCs w:val="16"/>
        </w:rPr>
        <w:t>В сентябре 1914 г. произошло небольшое происшествие. В одном из вывозных полетов с инструктором Горшковым летело 6 человек экипажа. Уже сделали 3 круга (взлет, набор высоты 500 м и посадка) и корабль пошел на четвертый, как вдруг остановились все моторы. Горшков немедленно сменил стажера и попытался включить моторы, но это ему не удалось (кончился бензин), и он стал планировать на аэродром. Ранее считалось (и так думал сам Сикорский), что «муромец» не может планировать. Между тем корабль летел вполне нормально. Для посадки на аэродром надо было пролететь над небольшой березовой рощицей. С обеих сторон находились постройки, и единственное направление посадки было через рощу. Высота убывала быстрее, чем рассчитывал Горшков, и корабль неминуемо тянуло на рощу.</w:t>
      </w:r>
    </w:p>
    <w:p w14:paraId="112B7A59" w14:textId="77777777" w:rsidR="000C453C" w:rsidRPr="00B52707" w:rsidRDefault="000C453C" w:rsidP="000C453C">
      <w:pPr>
        <w:jc w:val="both"/>
        <w:rPr>
          <w:color w:val="0070C0"/>
          <w:sz w:val="16"/>
          <w:szCs w:val="16"/>
        </w:rPr>
      </w:pPr>
      <w:r w:rsidRPr="00B52707">
        <w:rPr>
          <w:color w:val="0070C0"/>
          <w:sz w:val="16"/>
          <w:szCs w:val="16"/>
        </w:rPr>
        <w:t>Вдруг раздался треск ломаемых деревьев, что-то трещало, ломалось, валилось, и все стихло, корабль повис в воздухе, опираясь на поломанные березки. Широкая дорога поломанной зелени вела к кораблю, и на ней лежали срезанные деревья. На проложенной дорожке лежало 18 березок различной толщины (от веток до стволов 1 —12 см). Беглый осмотр корабля не обнаружил серьезных повреждений, люди отделались ушибами и царапинами. К полудню корабль сняли с деревьев, демонтировали моторы, подвели новое шасси, и к вечеру перевели корабль к ангару. В течение недели все повреждения были устранены, и корабль снова полетел (24965).</w:t>
      </w:r>
    </w:p>
    <w:p w14:paraId="4C015FEE" w14:textId="77777777" w:rsidR="000C453C" w:rsidRPr="00B52707" w:rsidRDefault="000C453C" w:rsidP="000C453C">
      <w:pPr>
        <w:jc w:val="both"/>
        <w:rPr>
          <w:color w:val="0070C0"/>
          <w:sz w:val="16"/>
          <w:szCs w:val="16"/>
        </w:rPr>
      </w:pPr>
    </w:p>
    <w:p w14:paraId="0A6D024A" w14:textId="6E0B75D0" w:rsidR="00B67D7C" w:rsidRPr="00DE096C" w:rsidRDefault="004F33B7"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сентябре </w:t>
      </w:r>
      <w:r w:rsidRPr="00DE096C">
        <w:rPr>
          <w:bCs/>
          <w:color w:val="002060"/>
          <w:sz w:val="16"/>
          <w:szCs w:val="16"/>
        </w:rPr>
        <w:t>1914 г. в России т</w:t>
      </w:r>
      <w:r w:rsidR="00B67D7C" w:rsidRPr="00DE096C">
        <w:rPr>
          <w:bCs/>
          <w:color w:val="002060"/>
          <w:sz w:val="16"/>
          <w:szCs w:val="16"/>
        </w:rPr>
        <w:t>акже искали возможности заниматься бомбометанием с аэропланов, имевшей первый в мире тяжелый многомоторный летательный аппарат, наиболее пригодный прежде всего именно для бомбометания в недоступный для артиллерии тыл противника.</w:t>
      </w:r>
    </w:p>
    <w:p w14:paraId="12FD7560" w14:textId="77777777" w:rsidR="00B67D7C" w:rsidRPr="00DE096C" w:rsidRDefault="00B67D7C" w:rsidP="00D45A46">
      <w:pPr>
        <w:jc w:val="both"/>
        <w:rPr>
          <w:bCs/>
          <w:color w:val="002060"/>
          <w:sz w:val="16"/>
          <w:szCs w:val="16"/>
        </w:rPr>
      </w:pPr>
      <w:r w:rsidRPr="00DE096C">
        <w:rPr>
          <w:bCs/>
          <w:color w:val="002060"/>
          <w:sz w:val="16"/>
          <w:szCs w:val="16"/>
        </w:rPr>
        <w:t>Мачавариани: "Мы получили бомбы Гелпара - первые авиационные бомбы. Представьте себе алюминиевую фляжку, только не сплющенную, а грушевидную, в горлышко которой вставлено жало, соединительное приспособление с капсюлем и предохранитель в виде разрезной чеки. Стабилизатором служила суконная лента около полутора метров длиной и двадцати пяти миллиметров шириной. Весила эта бомба около 600 г. и заключала в себе около 300 г. обыкновенного ружейного дымного пороха! На скаковом круге, служившем нам аэродромом, было произведено испытание. Выбрали место подальше от зданий и аэропланов, очертили круг-цель радиусом в 5 м. Долго обсуждали, с какой высоты сбрасывать, чтобы разрывом не повредить аэроплан, и решили - не ниже 300 м.</w:t>
      </w:r>
    </w:p>
    <w:p w14:paraId="208CA8F6" w14:textId="77777777" w:rsidR="00B67D7C" w:rsidRPr="00DE096C" w:rsidRDefault="00B67D7C" w:rsidP="00D45A46">
      <w:pPr>
        <w:jc w:val="both"/>
        <w:rPr>
          <w:bCs/>
          <w:color w:val="002060"/>
          <w:sz w:val="16"/>
          <w:szCs w:val="16"/>
        </w:rPr>
      </w:pPr>
      <w:r w:rsidRPr="00DE096C">
        <w:rPr>
          <w:bCs/>
          <w:color w:val="002060"/>
          <w:sz w:val="16"/>
          <w:szCs w:val="16"/>
        </w:rPr>
        <w:t>Аэроплан взлетел, на борту летчик-испытатель держал картонную коробку с шестью бомбами. Наблюдающие расположились подальше от цели и замерли в ожидании мощного взрыва.</w:t>
      </w:r>
    </w:p>
    <w:p w14:paraId="4F3AAAFA" w14:textId="77777777" w:rsidR="00B67D7C" w:rsidRPr="00DE096C" w:rsidRDefault="00B67D7C" w:rsidP="00D45A46">
      <w:pPr>
        <w:jc w:val="both"/>
        <w:rPr>
          <w:bCs/>
          <w:color w:val="002060"/>
          <w:sz w:val="16"/>
          <w:szCs w:val="16"/>
        </w:rPr>
      </w:pPr>
      <w:r w:rsidRPr="00DE096C">
        <w:rPr>
          <w:bCs/>
          <w:color w:val="002060"/>
          <w:sz w:val="16"/>
          <w:szCs w:val="16"/>
        </w:rPr>
        <w:t>Вот от аэроплана отделилась бомба, несколько раз перекувырнулась, но, направляемая лентой-стабилизатором, выправилась. Ударившись о землю подскочила и разорвалась. Густой дым столбом... Ни взметнувшейся земли, ни сотрясения воздуха, а звук - будто от большой елочной хлопушки!</w:t>
      </w:r>
    </w:p>
    <w:p w14:paraId="18BE08D9" w14:textId="77777777" w:rsidR="00B67D7C" w:rsidRPr="00DE096C" w:rsidRDefault="00B67D7C" w:rsidP="00D45A46">
      <w:pPr>
        <w:jc w:val="both"/>
        <w:rPr>
          <w:bCs/>
          <w:color w:val="002060"/>
          <w:sz w:val="16"/>
          <w:szCs w:val="16"/>
        </w:rPr>
      </w:pPr>
      <w:r w:rsidRPr="00DE096C">
        <w:rPr>
          <w:bCs/>
          <w:color w:val="002060"/>
          <w:sz w:val="16"/>
          <w:szCs w:val="16"/>
        </w:rPr>
        <w:t>Когда "отхлопали" все шесть бомб, мы кинулись к цели. Вокруг валялись почерневшие, сильно раздутые, с лопнувшими стенками оболочки бомб со всеми деталями, включая и суконные ленты. На месте первоначального соприкосновения с землей - неглубокие высеребреные алюминием желобки.</w:t>
      </w:r>
    </w:p>
    <w:p w14:paraId="4D662002" w14:textId="77777777" w:rsidR="00B67D7C" w:rsidRPr="00DE096C" w:rsidRDefault="00B67D7C" w:rsidP="00D45A46">
      <w:pPr>
        <w:jc w:val="both"/>
        <w:rPr>
          <w:bCs/>
          <w:color w:val="002060"/>
          <w:sz w:val="16"/>
          <w:szCs w:val="16"/>
        </w:rPr>
      </w:pPr>
      <w:r w:rsidRPr="00DE096C">
        <w:rPr>
          <w:bCs/>
          <w:color w:val="002060"/>
          <w:sz w:val="16"/>
          <w:szCs w:val="16"/>
        </w:rPr>
        <w:t>Весело посмеялись, но чтобы не доставлять такого же удовольствия немцам, решили эти бомбы на них не сбрасывать...</w:t>
      </w:r>
    </w:p>
    <w:p w14:paraId="61E6C8E3" w14:textId="77777777" w:rsidR="00B67D7C" w:rsidRPr="00DE096C" w:rsidRDefault="00B67D7C" w:rsidP="00D45A46">
      <w:pPr>
        <w:jc w:val="both"/>
        <w:rPr>
          <w:bCs/>
          <w:color w:val="002060"/>
          <w:sz w:val="16"/>
          <w:szCs w:val="16"/>
        </w:rPr>
      </w:pPr>
      <w:r w:rsidRPr="00DE096C">
        <w:rPr>
          <w:bCs/>
          <w:color w:val="002060"/>
          <w:sz w:val="16"/>
          <w:szCs w:val="16"/>
        </w:rPr>
        <w:t>Через день из штаба 3-го корпуса в отряд явился военный инженер поручик Тарасов с бомбами своей конструкции.</w:t>
      </w:r>
    </w:p>
    <w:p w14:paraId="6DB59656" w14:textId="77777777" w:rsidR="00B67D7C" w:rsidRPr="00DE096C" w:rsidRDefault="00B67D7C" w:rsidP="00D45A46">
      <w:pPr>
        <w:jc w:val="both"/>
        <w:rPr>
          <w:bCs/>
          <w:color w:val="002060"/>
          <w:sz w:val="16"/>
          <w:szCs w:val="16"/>
        </w:rPr>
      </w:pPr>
      <w:r w:rsidRPr="00DE096C">
        <w:rPr>
          <w:bCs/>
          <w:color w:val="002060"/>
          <w:sz w:val="16"/>
          <w:szCs w:val="16"/>
        </w:rPr>
        <w:t>Изобретение представляло собой жестяной цилиндр, охватывающий две кавалерийские пироксилиновые шашки, с одним взрывателем и оседающим на него жалом со взводом. Ни стабилизатора, ни предохранителя от случайного спуска жала не было. При деятельном участии летчиков и техников в течение 2-х дней производилось усовершенствование...</w:t>
      </w:r>
    </w:p>
    <w:p w14:paraId="6A555454" w14:textId="77777777" w:rsidR="00B67D7C" w:rsidRPr="00DE096C" w:rsidRDefault="00B67D7C" w:rsidP="00D45A46">
      <w:pPr>
        <w:jc w:val="both"/>
        <w:rPr>
          <w:bCs/>
          <w:color w:val="002060"/>
          <w:sz w:val="16"/>
          <w:szCs w:val="16"/>
        </w:rPr>
      </w:pPr>
      <w:r w:rsidRPr="00DE096C">
        <w:rPr>
          <w:bCs/>
          <w:color w:val="002060"/>
          <w:sz w:val="16"/>
          <w:szCs w:val="16"/>
        </w:rPr>
        <w:t>По единодушному решению сбрасывать бомбы должен был сам изобретатель. Перед вылетом конструктор был предупрежден о необходимости соблюдать осторожность при сбрасывании бомб, дабы не угодить в свой винт или в расчалки хвостовой фермы. Было также обусловлено, что все бомбы должны быть сброшены на немецкой стороне...</w:t>
      </w:r>
    </w:p>
    <w:p w14:paraId="66911AB7" w14:textId="77777777" w:rsidR="00B67D7C" w:rsidRPr="00DE096C" w:rsidRDefault="00B67D7C" w:rsidP="00D45A46">
      <w:pPr>
        <w:jc w:val="both"/>
        <w:rPr>
          <w:bCs/>
          <w:color w:val="002060"/>
          <w:sz w:val="16"/>
          <w:szCs w:val="16"/>
        </w:rPr>
      </w:pPr>
      <w:r w:rsidRPr="00DE096C">
        <w:rPr>
          <w:bCs/>
          <w:color w:val="002060"/>
          <w:sz w:val="16"/>
          <w:szCs w:val="16"/>
        </w:rPr>
        <w:t>Аэроплан взлетел. Одну бомбу Тарасов держал в руках, еще две лежали у него на коленях. Перелетев линию фронта, наметив и указав изобретателю объект, летчик трижды пролетел над ним и поднял руку - сбрасывать. В надежде обнаружить места попаданий бомб после каждого захода летчик кружил над целью, но ничего не обнаружил. После третьего захода, считая, что все бомбы сброшены, летчик полетел обратно...</w:t>
      </w:r>
    </w:p>
    <w:p w14:paraId="67BAD683" w14:textId="77777777" w:rsidR="00B67D7C" w:rsidRPr="00DE096C" w:rsidRDefault="00B67D7C" w:rsidP="00D45A46">
      <w:pPr>
        <w:jc w:val="both"/>
        <w:rPr>
          <w:bCs/>
          <w:color w:val="002060"/>
          <w:sz w:val="16"/>
          <w:szCs w:val="16"/>
        </w:rPr>
      </w:pPr>
      <w:r w:rsidRPr="00DE096C">
        <w:rPr>
          <w:bCs/>
          <w:color w:val="002060"/>
          <w:sz w:val="16"/>
          <w:szCs w:val="16"/>
        </w:rPr>
        <w:t>Однако, подрулив к месту стоянки, он увидел все три бомбы в руках конструктора. Инженер очень подробно объяснял, что чеки на всех бомбах заело, что кое-что нужно доработать, изменить... Мы не спорили... Но от его предложения оставить бомбы у нас отказались. Мы предоставили в распоряжение конструктора легковой автомобиль для возвращения в штаб корпуса, наказав шоферу ехать осторожно и, избави бог, не трясти..."</w:t>
      </w:r>
    </w:p>
    <w:p w14:paraId="05C45F59" w14:textId="77777777" w:rsidR="00B67D7C" w:rsidRPr="00DE096C" w:rsidRDefault="00B67D7C" w:rsidP="00D45A46">
      <w:pPr>
        <w:jc w:val="both"/>
        <w:rPr>
          <w:bCs/>
          <w:color w:val="002060"/>
          <w:sz w:val="16"/>
          <w:szCs w:val="16"/>
        </w:rPr>
      </w:pPr>
      <w:r w:rsidRPr="00DE096C">
        <w:rPr>
          <w:bCs/>
          <w:color w:val="002060"/>
          <w:sz w:val="16"/>
          <w:szCs w:val="16"/>
        </w:rPr>
        <w:t>Около этого времени появились зажигательные бомбы. Вначале они были очень примитивны. Например, одна из первых зажигательных немецких бомб имела жестяную оболочку в виде шара, наполненную бензолом. Внутри шара находился стакан, содержащий термит и запальное устройство. На бомбу надевалась попона из ткани, служившая стабилизатором. Русские летчики того времени в качестве зажигательных бомб также сбрасывали бутылки, заполненные паклей, пропитанной смесью керосина и мазута и снабженные пиротехническим воспламенителем.</w:t>
      </w:r>
    </w:p>
    <w:p w14:paraId="598A8131" w14:textId="77777777" w:rsidR="00B67D7C" w:rsidRPr="00DE096C" w:rsidRDefault="00B67D7C" w:rsidP="00D45A46">
      <w:pPr>
        <w:jc w:val="both"/>
        <w:rPr>
          <w:bCs/>
          <w:color w:val="002060"/>
          <w:sz w:val="16"/>
          <w:szCs w:val="16"/>
        </w:rPr>
      </w:pPr>
      <w:r w:rsidRPr="00DE096C">
        <w:rPr>
          <w:bCs/>
          <w:color w:val="002060"/>
          <w:sz w:val="16"/>
          <w:szCs w:val="16"/>
        </w:rPr>
        <w:t>Сбрасывать бомбы приходилось вручную, перегнувшись через борт аппарата. Такой способ имел два основных недостатка, во-первых, приходилось снижаться, что было опасно, а во-вторых, точность попаданий была весьма относительной. Кроме того, бомбы иногда взрывались прямо в гондоле во время полета, поскольку лежали просто в ногах у летчика (11999).</w:t>
      </w:r>
    </w:p>
    <w:p w14:paraId="318B26EB" w14:textId="77777777" w:rsidR="00B67D7C" w:rsidRPr="00DE096C" w:rsidRDefault="00B67D7C" w:rsidP="00D45A46">
      <w:pPr>
        <w:jc w:val="both"/>
        <w:rPr>
          <w:bCs/>
          <w:color w:val="002060"/>
          <w:sz w:val="16"/>
          <w:szCs w:val="16"/>
        </w:rPr>
      </w:pPr>
    </w:p>
    <w:p w14:paraId="4AD64646" w14:textId="77777777" w:rsidR="007B125D" w:rsidRPr="00DE096C" w:rsidRDefault="007B125D" w:rsidP="00D45A46">
      <w:pPr>
        <w:jc w:val="both"/>
        <w:rPr>
          <w:bCs/>
          <w:color w:val="002060"/>
          <w:sz w:val="16"/>
          <w:szCs w:val="16"/>
        </w:rPr>
      </w:pPr>
      <w:r w:rsidRPr="00DE096C">
        <w:rPr>
          <w:bCs/>
          <w:color w:val="002060"/>
          <w:sz w:val="16"/>
          <w:szCs w:val="16"/>
        </w:rPr>
        <w:t>В сентябре 1914 г. Офицерские теоретические курсы авиации при Петроградском политехническом институте были перепрофилированию в Офицерские теоретические курсы морской авиации при ППИ. В отличие от Московских теоретических курсов, на Петроградских офицерских курсах обучались будущие морские летчики (20006).</w:t>
      </w:r>
    </w:p>
    <w:p w14:paraId="1952BEAD" w14:textId="77777777" w:rsidR="007B125D" w:rsidRPr="00DE096C" w:rsidRDefault="007B125D" w:rsidP="00D45A46">
      <w:pPr>
        <w:jc w:val="both"/>
        <w:rPr>
          <w:rStyle w:val="43"/>
          <w:rFonts w:ascii="Times New Roman" w:hAnsi="Times New Roman" w:cs="Times New Roman"/>
          <w:bCs/>
          <w:color w:val="002060"/>
          <w:sz w:val="16"/>
          <w:szCs w:val="16"/>
        </w:rPr>
      </w:pPr>
    </w:p>
    <w:p w14:paraId="12BDA086"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Морская авиация:</w:t>
      </w:r>
    </w:p>
    <w:p w14:paraId="0FC3E875" w14:textId="77777777" w:rsidR="00B67D7C" w:rsidRPr="00DE096C" w:rsidRDefault="00B67D7C" w:rsidP="00D45A46">
      <w:pPr>
        <w:pStyle w:val="a3"/>
        <w:jc w:val="both"/>
        <w:rPr>
          <w:bCs/>
          <w:color w:val="002060"/>
          <w:spacing w:val="0"/>
          <w:kern w:val="0"/>
          <w:position w:val="0"/>
          <w:sz w:val="16"/>
          <w:szCs w:val="16"/>
        </w:rPr>
      </w:pPr>
    </w:p>
    <w:p w14:paraId="69B997AF" w14:textId="4BD84B89" w:rsidR="00B67D7C" w:rsidRPr="00DE096C" w:rsidRDefault="004F33B7"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сентябре 1914 года, на Черном море приступили к переоборудованию в гидроавиатранспорты пароходов «Император Александр I» и «Император Николай I», каждый из которых мог принимать на борт 6—8 гидросамолетов. </w:t>
      </w:r>
    </w:p>
    <w:p w14:paraId="0FFD03D9" w14:textId="77777777" w:rsidR="00B67D7C" w:rsidRPr="00DE096C" w:rsidRDefault="00B67D7C" w:rsidP="00D45A46">
      <w:pPr>
        <w:jc w:val="both"/>
        <w:rPr>
          <w:bCs/>
          <w:color w:val="002060"/>
          <w:sz w:val="16"/>
          <w:szCs w:val="16"/>
        </w:rPr>
      </w:pPr>
      <w:r w:rsidRPr="00DE096C">
        <w:rPr>
          <w:bCs/>
          <w:color w:val="002060"/>
          <w:sz w:val="16"/>
          <w:szCs w:val="16"/>
        </w:rPr>
        <w:t>К мысли о необходимости подобного корабля пришло и командование МСБМ. Полугодовой опыт военных действий показал, что число береговых авиационных станций Службы связи Балтийского моря, самолеты которой выполняли воздушную разведку, недостаточно. К тому же выявилась острая необходимость в авиаразведке в передовых и шхерных районах (Або-Оландский архипелаг, Гангэ-Лапвик), где нельзя было развернуть береговые авиационные станции (11333).</w:t>
      </w:r>
    </w:p>
    <w:p w14:paraId="78894530" w14:textId="781A3861" w:rsidR="00B67D7C" w:rsidRPr="00DE096C" w:rsidRDefault="00B67D7C" w:rsidP="00D45A46">
      <w:pPr>
        <w:pStyle w:val="a3"/>
        <w:jc w:val="both"/>
        <w:rPr>
          <w:bCs/>
          <w:color w:val="002060"/>
          <w:spacing w:val="0"/>
          <w:kern w:val="0"/>
          <w:position w:val="0"/>
          <w:sz w:val="16"/>
          <w:szCs w:val="16"/>
        </w:rPr>
      </w:pPr>
    </w:p>
    <w:p w14:paraId="5E31633A" w14:textId="77777777" w:rsidR="004D1A49" w:rsidRPr="00DE096C" w:rsidRDefault="004D1A49" w:rsidP="00D45A46">
      <w:pPr>
        <w:jc w:val="both"/>
        <w:rPr>
          <w:bCs/>
          <w:color w:val="002060"/>
          <w:sz w:val="16"/>
          <w:szCs w:val="16"/>
        </w:rPr>
      </w:pPr>
      <w:r w:rsidRPr="00DE096C">
        <w:rPr>
          <w:bCs/>
          <w:color w:val="002060"/>
          <w:sz w:val="16"/>
          <w:szCs w:val="16"/>
          <w:lang w:bidi="en-US"/>
        </w:rPr>
        <w:t xml:space="preserve">В сентябре 1914 года командующий Черноморским флотом выбрал в качестве гидроавианосцев крейсера «Император Александр </w:t>
      </w:r>
      <w:r w:rsidRPr="00DE096C">
        <w:rPr>
          <w:bCs/>
          <w:color w:val="002060"/>
          <w:sz w:val="16"/>
          <w:szCs w:val="16"/>
          <w:lang w:val="en-US" w:bidi="en-US"/>
        </w:rPr>
        <w:t>I</w:t>
      </w:r>
      <w:r w:rsidRPr="00DE096C">
        <w:rPr>
          <w:bCs/>
          <w:color w:val="002060"/>
          <w:sz w:val="16"/>
          <w:szCs w:val="16"/>
          <w:lang w:bidi="en-US"/>
        </w:rPr>
        <w:t xml:space="preserve">» и «Император Николай </w:t>
      </w:r>
      <w:r w:rsidRPr="00DE096C">
        <w:rPr>
          <w:bCs/>
          <w:color w:val="002060"/>
          <w:sz w:val="16"/>
          <w:szCs w:val="16"/>
          <w:lang w:val="en-US" w:bidi="en-US"/>
        </w:rPr>
        <w:t>I</w:t>
      </w:r>
      <w:r w:rsidRPr="00DE096C">
        <w:rPr>
          <w:bCs/>
          <w:color w:val="002060"/>
          <w:sz w:val="16"/>
          <w:szCs w:val="16"/>
          <w:lang w:bidi="en-US"/>
        </w:rPr>
        <w:t>» водоизмещением 9200 тонн каждый. Они были 120 метров в длину и 15,6 метра в ширину, при скорости 14 узлов каждая могла нести от шести до восьми самолетов (23525).</w:t>
      </w:r>
    </w:p>
    <w:p w14:paraId="27B8A1D5" w14:textId="77777777" w:rsidR="004D1A49" w:rsidRPr="00DE096C" w:rsidRDefault="004D1A49" w:rsidP="00D45A46">
      <w:pPr>
        <w:jc w:val="both"/>
        <w:rPr>
          <w:bCs/>
          <w:color w:val="002060"/>
          <w:sz w:val="16"/>
          <w:szCs w:val="16"/>
        </w:rPr>
      </w:pPr>
    </w:p>
    <w:p w14:paraId="20F1CFC2" w14:textId="58AB7DE7" w:rsidR="007B125D" w:rsidRPr="00DE096C" w:rsidRDefault="007B125D" w:rsidP="00D45A46">
      <w:pPr>
        <w:pStyle w:val="a3"/>
        <w:jc w:val="both"/>
        <w:rPr>
          <w:bCs/>
          <w:color w:val="002060"/>
          <w:spacing w:val="0"/>
          <w:kern w:val="0"/>
          <w:position w:val="0"/>
          <w:sz w:val="16"/>
          <w:szCs w:val="16"/>
        </w:rPr>
      </w:pPr>
      <w:r w:rsidRPr="00DE096C">
        <w:rPr>
          <w:bCs/>
          <w:color w:val="002060"/>
          <w:spacing w:val="0"/>
          <w:kern w:val="0"/>
          <w:position w:val="0"/>
          <w:sz w:val="16"/>
          <w:szCs w:val="16"/>
        </w:rPr>
        <w:t>Воздухоплавание:</w:t>
      </w:r>
    </w:p>
    <w:p w14:paraId="06973D46" w14:textId="77777777" w:rsidR="007B125D" w:rsidRPr="00DE096C" w:rsidRDefault="007B125D" w:rsidP="00D45A46">
      <w:pPr>
        <w:pStyle w:val="a3"/>
        <w:jc w:val="both"/>
        <w:rPr>
          <w:bCs/>
          <w:color w:val="002060"/>
          <w:spacing w:val="0"/>
          <w:kern w:val="0"/>
          <w:position w:val="0"/>
          <w:sz w:val="16"/>
          <w:szCs w:val="16"/>
        </w:rPr>
      </w:pPr>
    </w:p>
    <w:p w14:paraId="1B3263AD" w14:textId="77777777" w:rsidR="007B125D" w:rsidRPr="00DE096C" w:rsidRDefault="007B125D" w:rsidP="00D45A46">
      <w:pPr>
        <w:jc w:val="both"/>
        <w:rPr>
          <w:bCs/>
          <w:color w:val="002060"/>
          <w:sz w:val="16"/>
          <w:szCs w:val="16"/>
        </w:rPr>
      </w:pPr>
      <w:r w:rsidRPr="00DE096C">
        <w:rPr>
          <w:bCs/>
          <w:color w:val="002060"/>
          <w:sz w:val="16"/>
          <w:szCs w:val="16"/>
        </w:rPr>
        <w:t>В сентябре 1914 г. «Гриф» передали в 9-ю воздухоплавательную роту в г. Лиду, где использовали для учебных полетов, а весной 1915 г. ра</w:t>
      </w:r>
      <w:r w:rsidRPr="00DE096C">
        <w:rPr>
          <w:bCs/>
          <w:color w:val="002060"/>
          <w:sz w:val="16"/>
          <w:szCs w:val="16"/>
        </w:rPr>
        <w:softHyphen/>
        <w:t>зобрали. В том же году в Бердичеве пролетом был дири</w:t>
      </w:r>
      <w:r w:rsidRPr="00DE096C">
        <w:rPr>
          <w:bCs/>
          <w:color w:val="002060"/>
          <w:sz w:val="16"/>
          <w:szCs w:val="16"/>
        </w:rPr>
        <w:softHyphen/>
        <w:t>жабль «Кондор».</w:t>
      </w:r>
    </w:p>
    <w:p w14:paraId="77269EE3" w14:textId="77777777" w:rsidR="007B125D" w:rsidRPr="00DE096C" w:rsidRDefault="007B125D" w:rsidP="00D45A46">
      <w:pPr>
        <w:jc w:val="both"/>
        <w:rPr>
          <w:bCs/>
          <w:color w:val="002060"/>
          <w:sz w:val="16"/>
          <w:szCs w:val="16"/>
        </w:rPr>
      </w:pPr>
      <w:r w:rsidRPr="00DE096C">
        <w:rPr>
          <w:bCs/>
          <w:color w:val="002060"/>
          <w:sz w:val="16"/>
          <w:szCs w:val="16"/>
        </w:rPr>
        <w:t>В Бердичеве эллинг оказался невостребованным. В 1931 г. его разобрали и перевезли в подмосковный г. Долгопрудный, где он простоял до начала XXI века. В марте 2001 г. от тяжести снега провалилась часть крыши, в результате чего произошло замыкание электропровод</w:t>
      </w:r>
      <w:r w:rsidRPr="00DE096C">
        <w:rPr>
          <w:bCs/>
          <w:color w:val="002060"/>
          <w:sz w:val="16"/>
          <w:szCs w:val="16"/>
        </w:rPr>
        <w:softHyphen/>
        <w:t>ки, и случился пожар (19856).</w:t>
      </w:r>
    </w:p>
    <w:p w14:paraId="1FAA6FC4" w14:textId="77777777" w:rsidR="007B125D" w:rsidRPr="00DE096C" w:rsidRDefault="007B125D" w:rsidP="00D45A46">
      <w:pPr>
        <w:jc w:val="both"/>
        <w:rPr>
          <w:bCs/>
          <w:color w:val="002060"/>
          <w:sz w:val="16"/>
          <w:szCs w:val="16"/>
        </w:rPr>
      </w:pPr>
    </w:p>
    <w:p w14:paraId="4CAB606A" w14:textId="3A79FA1F" w:rsidR="008E7FA3" w:rsidRPr="00DE096C" w:rsidRDefault="008E7FA3" w:rsidP="00D45A46">
      <w:pPr>
        <w:pStyle w:val="a3"/>
        <w:jc w:val="both"/>
        <w:rPr>
          <w:bCs/>
          <w:color w:val="002060"/>
          <w:spacing w:val="0"/>
          <w:kern w:val="0"/>
          <w:position w:val="0"/>
          <w:sz w:val="16"/>
          <w:szCs w:val="16"/>
        </w:rPr>
      </w:pPr>
      <w:r w:rsidRPr="00DE096C">
        <w:rPr>
          <w:bCs/>
          <w:color w:val="002060"/>
          <w:spacing w:val="0"/>
          <w:kern w:val="0"/>
          <w:position w:val="0"/>
          <w:sz w:val="16"/>
          <w:szCs w:val="16"/>
        </w:rPr>
        <w:t>Армия:</w:t>
      </w:r>
    </w:p>
    <w:p w14:paraId="659E94C7" w14:textId="77777777" w:rsidR="008E7FA3" w:rsidRPr="00DE096C" w:rsidRDefault="008E7FA3" w:rsidP="00D45A46">
      <w:pPr>
        <w:pStyle w:val="a3"/>
        <w:jc w:val="both"/>
        <w:rPr>
          <w:bCs/>
          <w:color w:val="002060"/>
          <w:spacing w:val="0"/>
          <w:kern w:val="0"/>
          <w:position w:val="0"/>
          <w:sz w:val="16"/>
          <w:szCs w:val="16"/>
        </w:rPr>
      </w:pPr>
    </w:p>
    <w:p w14:paraId="7C318331" w14:textId="77777777" w:rsidR="008E7FA3" w:rsidRPr="00DE096C" w:rsidRDefault="008E7FA3" w:rsidP="00D45A46">
      <w:pPr>
        <w:jc w:val="both"/>
        <w:rPr>
          <w:bCs/>
          <w:color w:val="002060"/>
          <w:sz w:val="16"/>
          <w:szCs w:val="16"/>
        </w:rPr>
      </w:pPr>
      <w:r w:rsidRPr="00DE096C">
        <w:rPr>
          <w:rStyle w:val="43"/>
          <w:rFonts w:ascii="Times New Roman" w:hAnsi="Times New Roman" w:cs="Times New Roman"/>
          <w:bCs/>
          <w:color w:val="002060"/>
          <w:w w:val="100"/>
          <w:sz w:val="16"/>
          <w:szCs w:val="16"/>
        </w:rPr>
        <w:t>В сентябре 1914 г. русские войска обложили сильную австро-венгерскую крепость Перемыш</w:t>
      </w:r>
      <w:r w:rsidRPr="00DE096C">
        <w:rPr>
          <w:rStyle w:val="43"/>
          <w:rFonts w:ascii="Times New Roman" w:hAnsi="Times New Roman" w:cs="Times New Roman"/>
          <w:bCs/>
          <w:color w:val="002060"/>
          <w:w w:val="100"/>
          <w:sz w:val="16"/>
          <w:szCs w:val="16"/>
        </w:rPr>
        <w:softHyphen/>
        <w:t>ль с многочисленным гарнизоном. Попытка овладеть крепостью 22-24 сентября (5-7 октя</w:t>
      </w:r>
      <w:r w:rsidRPr="00DE096C">
        <w:rPr>
          <w:rStyle w:val="43"/>
          <w:rFonts w:ascii="Times New Roman" w:hAnsi="Times New Roman" w:cs="Times New Roman"/>
          <w:bCs/>
          <w:color w:val="002060"/>
          <w:w w:val="100"/>
          <w:sz w:val="16"/>
          <w:szCs w:val="16"/>
        </w:rPr>
        <w:softHyphen/>
        <w:t>бря) вследствие недостатка тяжёлой артиллерии и плохой организации закончилась неудачей. Войска отвели на восточный берег р. Сан, ча</w:t>
      </w:r>
      <w:r w:rsidRPr="00DE096C">
        <w:rPr>
          <w:rStyle w:val="43"/>
          <w:rFonts w:ascii="Times New Roman" w:hAnsi="Times New Roman" w:cs="Times New Roman"/>
          <w:bCs/>
          <w:color w:val="002060"/>
          <w:w w:val="100"/>
          <w:sz w:val="16"/>
          <w:szCs w:val="16"/>
        </w:rPr>
        <w:softHyphen/>
        <w:t>стично сняв блокаду. 26 октября (8 ноября) осада крепости возобновилась, но из-за отсутствия тя</w:t>
      </w:r>
      <w:r w:rsidRPr="00DE096C">
        <w:rPr>
          <w:rStyle w:val="43"/>
          <w:rFonts w:ascii="Times New Roman" w:hAnsi="Times New Roman" w:cs="Times New Roman"/>
          <w:bCs/>
          <w:color w:val="002060"/>
          <w:w w:val="100"/>
          <w:sz w:val="16"/>
          <w:szCs w:val="16"/>
        </w:rPr>
        <w:softHyphen/>
        <w:t>жёлой артиллерии русские войска ограничились блокадой, сковывавшей у крепости значитель</w:t>
      </w:r>
      <w:r w:rsidRPr="00DE096C">
        <w:rPr>
          <w:rStyle w:val="43"/>
          <w:rFonts w:ascii="Times New Roman" w:hAnsi="Times New Roman" w:cs="Times New Roman"/>
          <w:bCs/>
          <w:color w:val="002060"/>
          <w:w w:val="100"/>
          <w:sz w:val="16"/>
          <w:szCs w:val="16"/>
        </w:rPr>
        <w:softHyphen/>
        <w:t>ные силы, необходимые для ведения наступле</w:t>
      </w:r>
      <w:r w:rsidRPr="00DE096C">
        <w:rPr>
          <w:rStyle w:val="43"/>
          <w:rFonts w:ascii="Times New Roman" w:hAnsi="Times New Roman" w:cs="Times New Roman"/>
          <w:bCs/>
          <w:color w:val="002060"/>
          <w:w w:val="100"/>
          <w:sz w:val="16"/>
          <w:szCs w:val="16"/>
        </w:rPr>
        <w:softHyphen/>
        <w:t>ния в Карпатах. Русская авиация наносила удары по объектам в крепости, но принести противнику существенного ущерба не могла из-за малого ка</w:t>
      </w:r>
      <w:r w:rsidRPr="00DE096C">
        <w:rPr>
          <w:rStyle w:val="43"/>
          <w:rFonts w:ascii="Times New Roman" w:hAnsi="Times New Roman" w:cs="Times New Roman"/>
          <w:bCs/>
          <w:color w:val="002060"/>
          <w:w w:val="100"/>
          <w:sz w:val="16"/>
          <w:szCs w:val="16"/>
        </w:rPr>
        <w:softHyphen/>
        <w:t>либра сбрасываемых бомб (20120).</w:t>
      </w:r>
    </w:p>
    <w:p w14:paraId="1282E364" w14:textId="77777777" w:rsidR="008E7FA3" w:rsidRPr="00DE096C" w:rsidRDefault="008E7FA3" w:rsidP="00D45A46">
      <w:pPr>
        <w:jc w:val="both"/>
        <w:rPr>
          <w:bCs/>
          <w:color w:val="002060"/>
          <w:sz w:val="16"/>
          <w:szCs w:val="16"/>
        </w:rPr>
      </w:pPr>
    </w:p>
    <w:p w14:paraId="04EA05DB" w14:textId="77777777" w:rsidR="000C453C" w:rsidRPr="00DE096C" w:rsidRDefault="000C453C" w:rsidP="000C453C">
      <w:pPr>
        <w:jc w:val="both"/>
        <w:rPr>
          <w:bCs/>
          <w:color w:val="002060"/>
          <w:sz w:val="16"/>
          <w:szCs w:val="16"/>
        </w:rPr>
      </w:pPr>
      <w:r w:rsidRPr="00DE096C">
        <w:rPr>
          <w:bCs/>
          <w:color w:val="002060"/>
          <w:sz w:val="16"/>
          <w:szCs w:val="16"/>
        </w:rPr>
        <w:t>В сентябре 1914 г. в войска поступили «Краткие указания по стрельбе по воздушным целям (аэропланам и дирижаблям)», разработанные Главным артиллерийским управлением (ГАУ), определяющие порядок ведения зенитного огня. Однако большинство командиров полевых и артиллерийских подразделений предпочитали руководствоваться собственным опытом и действовали в боевой обстановке на свое усмотрение.</w:t>
      </w:r>
    </w:p>
    <w:p w14:paraId="20EF43E7" w14:textId="77777777" w:rsidR="000C453C" w:rsidRPr="00DE096C" w:rsidRDefault="000C453C" w:rsidP="000C453C">
      <w:pPr>
        <w:jc w:val="both"/>
        <w:rPr>
          <w:bCs/>
          <w:color w:val="002060"/>
          <w:sz w:val="16"/>
          <w:szCs w:val="16"/>
        </w:rPr>
      </w:pPr>
      <w:r w:rsidRPr="00DE096C">
        <w:rPr>
          <w:bCs/>
          <w:color w:val="002060"/>
          <w:sz w:val="16"/>
          <w:szCs w:val="16"/>
        </w:rPr>
        <w:t>Например, при «стрельбе из ружей» по цели (на высотах не выше 2 км) рекомендовалось создавать на ее пути заградительный огонь: «Цель сама налетит на поток пуль».</w:t>
      </w:r>
    </w:p>
    <w:p w14:paraId="160CC83E" w14:textId="77777777" w:rsidR="000C453C" w:rsidRPr="00DE096C" w:rsidRDefault="000C453C" w:rsidP="000C453C">
      <w:pPr>
        <w:jc w:val="both"/>
        <w:rPr>
          <w:bCs/>
          <w:color w:val="002060"/>
          <w:sz w:val="16"/>
          <w:szCs w:val="16"/>
        </w:rPr>
      </w:pPr>
      <w:bookmarkStart w:id="185" w:name="bookmark17"/>
      <w:r w:rsidRPr="00DE096C">
        <w:rPr>
          <w:bCs/>
          <w:color w:val="002060"/>
          <w:sz w:val="16"/>
          <w:szCs w:val="16"/>
        </w:rPr>
        <w:t>При стрельбе по низколетящим аэропланам широко применялись зенитные пулеметы, установленные на «искусственных приспособлениях</w:t>
      </w:r>
      <w:hyperlink w:anchor="bookmark1086" w:tooltip="Current Document">
        <w:r w:rsidRPr="00DE096C">
          <w:rPr>
            <w:rStyle w:val="af0"/>
            <w:bCs/>
            <w:color w:val="002060"/>
            <w:sz w:val="16"/>
            <w:szCs w:val="16"/>
          </w:rPr>
          <w:t>»</w:t>
        </w:r>
      </w:hyperlink>
      <w:r w:rsidRPr="00DE096C">
        <w:rPr>
          <w:bCs/>
          <w:color w:val="002060"/>
          <w:sz w:val="16"/>
          <w:szCs w:val="16"/>
        </w:rPr>
        <w:t>.</w:t>
      </w:r>
      <w:bookmarkEnd w:id="185"/>
    </w:p>
    <w:p w14:paraId="036AA567" w14:textId="77777777" w:rsidR="000C453C" w:rsidRPr="00DE096C" w:rsidRDefault="000C453C" w:rsidP="000C453C">
      <w:pPr>
        <w:jc w:val="both"/>
        <w:rPr>
          <w:bCs/>
          <w:color w:val="002060"/>
          <w:sz w:val="16"/>
          <w:szCs w:val="16"/>
        </w:rPr>
      </w:pPr>
      <w:r w:rsidRPr="00DE096C">
        <w:rPr>
          <w:bCs/>
          <w:color w:val="002060"/>
          <w:sz w:val="16"/>
          <w:szCs w:val="16"/>
        </w:rPr>
        <w:t>В «Кратких указаниях...» (1914) также рассматривался порядок ведения зенитного огня из полевых орудий. Наиболее приемлемым способом стрельбы считался огонь на поражение цели на высоте до 1,5 км и дальности до 5,33 км (23405).</w:t>
      </w:r>
    </w:p>
    <w:p w14:paraId="2D5820B5" w14:textId="77777777" w:rsidR="000C453C" w:rsidRPr="00DE096C" w:rsidRDefault="000C453C" w:rsidP="000C453C">
      <w:pPr>
        <w:jc w:val="both"/>
        <w:rPr>
          <w:bCs/>
          <w:color w:val="002060"/>
          <w:sz w:val="16"/>
          <w:szCs w:val="16"/>
        </w:rPr>
      </w:pPr>
    </w:p>
    <w:p w14:paraId="28EB93C0" w14:textId="77777777" w:rsidR="000C453C" w:rsidRPr="00B52707" w:rsidRDefault="000C453C" w:rsidP="000C453C">
      <w:pPr>
        <w:jc w:val="both"/>
        <w:rPr>
          <w:color w:val="0070C0"/>
          <w:sz w:val="16"/>
          <w:szCs w:val="16"/>
        </w:rPr>
      </w:pPr>
      <w:r w:rsidRPr="00B52707">
        <w:rPr>
          <w:color w:val="0070C0"/>
          <w:sz w:val="16"/>
          <w:szCs w:val="16"/>
        </w:rPr>
        <w:t>В сентябре 1914 г. в войска поступивши «Краткие указания по стрельбе по воздушным целям (аэропланам и дирижаблям)», разработанные Главным артиллерийским управлением (ГАУ). Однако большинство командиров полевых и артиллерийских подразделений предпочитали руководствоваться собственным опытом и действовали в боевой обстановке на свое усмотрение.</w:t>
      </w:r>
    </w:p>
    <w:p w14:paraId="708FF7FA" w14:textId="77777777" w:rsidR="000C453C" w:rsidRPr="00B52707" w:rsidRDefault="000C453C" w:rsidP="000C453C">
      <w:pPr>
        <w:jc w:val="both"/>
        <w:rPr>
          <w:color w:val="0070C0"/>
          <w:sz w:val="16"/>
          <w:szCs w:val="16"/>
        </w:rPr>
      </w:pPr>
      <w:r w:rsidRPr="00B52707">
        <w:rPr>
          <w:color w:val="0070C0"/>
          <w:sz w:val="16"/>
          <w:szCs w:val="16"/>
        </w:rPr>
        <w:t>Например, при «стрельбе из ружей» по цели (на высотах не выше 2 км) рекомендовалось создавать на ее пути заградительный огонь: «Цель сама налетит на поток пуль».</w:t>
      </w:r>
    </w:p>
    <w:p w14:paraId="5E2919BF" w14:textId="77777777" w:rsidR="000C453C" w:rsidRPr="00B52707" w:rsidRDefault="000C453C" w:rsidP="000C453C">
      <w:pPr>
        <w:jc w:val="both"/>
        <w:rPr>
          <w:color w:val="0070C0"/>
          <w:sz w:val="16"/>
          <w:szCs w:val="16"/>
        </w:rPr>
      </w:pPr>
      <w:r w:rsidRPr="00B52707">
        <w:rPr>
          <w:color w:val="0070C0"/>
          <w:sz w:val="16"/>
          <w:szCs w:val="16"/>
        </w:rPr>
        <w:t>При стрельбе по низколетящим аэропланам широко применялись зенитные пулеметы, установленные на «искусственных приспособлениях».</w:t>
      </w:r>
    </w:p>
    <w:p w14:paraId="69CD8BD3" w14:textId="77777777" w:rsidR="000C453C" w:rsidRPr="00B52707" w:rsidRDefault="000C453C" w:rsidP="000C453C">
      <w:pPr>
        <w:jc w:val="both"/>
        <w:rPr>
          <w:color w:val="0070C0"/>
          <w:sz w:val="16"/>
          <w:szCs w:val="16"/>
        </w:rPr>
      </w:pPr>
      <w:r w:rsidRPr="00B52707">
        <w:rPr>
          <w:color w:val="0070C0"/>
          <w:sz w:val="16"/>
          <w:szCs w:val="16"/>
        </w:rPr>
        <w:t>В «Кратких указаниях…» (1914) также рассматривался порядок ведения зенитного огня из полевых орудий. Наиболее приемлемым способом стрельбы считался огонь на поражение цели на высоте до 1,5 км и дальности до 5,33 км (25135).</w:t>
      </w:r>
    </w:p>
    <w:p w14:paraId="0D7A1CE2" w14:textId="77777777" w:rsidR="000C453C" w:rsidRPr="00B52707" w:rsidRDefault="000C453C" w:rsidP="000C453C">
      <w:pPr>
        <w:jc w:val="both"/>
        <w:rPr>
          <w:color w:val="0070C0"/>
          <w:sz w:val="16"/>
          <w:szCs w:val="16"/>
        </w:rPr>
      </w:pPr>
    </w:p>
    <w:p w14:paraId="45304CD4"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Авиация и воздухоплавание Германии:</w:t>
      </w:r>
    </w:p>
    <w:p w14:paraId="69004DBC" w14:textId="77777777" w:rsidR="00B67D7C" w:rsidRPr="00DE096C" w:rsidRDefault="00B67D7C" w:rsidP="00D45A46">
      <w:pPr>
        <w:pStyle w:val="a3"/>
        <w:jc w:val="both"/>
        <w:rPr>
          <w:bCs/>
          <w:color w:val="002060"/>
          <w:spacing w:val="0"/>
          <w:kern w:val="0"/>
          <w:position w:val="0"/>
          <w:sz w:val="16"/>
          <w:szCs w:val="16"/>
        </w:rPr>
      </w:pPr>
    </w:p>
    <w:p w14:paraId="4BB314A4" w14:textId="27D8FAAB" w:rsidR="00B67D7C" w:rsidRPr="00DE096C" w:rsidRDefault="004F33B7"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сентябре 1914 появилось 7 новых авиационных отрядов; для удовлет ворения потребности в авиационных средствах всех корпусов их, конечно, не хватило. Отряды имели самолеты с моторами одинаковой мощности 100 лошадиных сил Среди них были разных моделей монопланы и бипланы с фюзеляжем. В то время как монопланы вскоре показали, вследствие слабых полетных качеств, свою непригодность к применению их на войне, бипланы полностью удовлетворили требованиям маневренной войны. Экипаж был вооружен револьверами и карабинами. О их непригодности для ведения воздушного боя свидетельствовали еще испытания 1912 года. Имевшиеся в отрядах фотокамеры не нашли в маневренной войне большого применения. Оборудование радиотелеграфом предусмотрено не было. Поражающее действие имевшихся в отрядах на вооружении 5- и 10-килограммовых бомб и стрел было незначительным. Поскольку нагрузка ими значительно снижала полетные качества самолета и дальность полета, летчики брали их с собой на разведку весьма неохотно (11282).</w:t>
      </w:r>
    </w:p>
    <w:p w14:paraId="302BAE45" w14:textId="77777777" w:rsidR="00B67D7C" w:rsidRPr="00DE096C" w:rsidRDefault="00B67D7C" w:rsidP="00D45A46">
      <w:pPr>
        <w:jc w:val="both"/>
        <w:rPr>
          <w:bCs/>
          <w:color w:val="002060"/>
          <w:sz w:val="16"/>
          <w:szCs w:val="16"/>
        </w:rPr>
      </w:pPr>
    </w:p>
    <w:p w14:paraId="16C96CFA" w14:textId="42BA2F8D" w:rsidR="00B67D7C" w:rsidRPr="00DE096C" w:rsidRDefault="004F33B7" w:rsidP="00D45A46">
      <w:pPr>
        <w:jc w:val="both"/>
        <w:rPr>
          <w:bCs/>
          <w:color w:val="002060"/>
          <w:sz w:val="16"/>
          <w:szCs w:val="16"/>
        </w:rPr>
      </w:pPr>
      <w:r w:rsidRPr="00DE096C">
        <w:rPr>
          <w:bCs/>
          <w:color w:val="002060"/>
          <w:sz w:val="16"/>
          <w:szCs w:val="16"/>
        </w:rPr>
        <w:t>С</w:t>
      </w:r>
      <w:r w:rsidR="00B67D7C" w:rsidRPr="00DE096C">
        <w:rPr>
          <w:bCs/>
          <w:color w:val="002060"/>
          <w:sz w:val="16"/>
          <w:szCs w:val="16"/>
        </w:rPr>
        <w:t xml:space="preserve"> сентября 1914 г., дирижабли посылаются только ночью. Несмотря на все это Цеппелин-концерн продолжает выпуск воздушных судов. Их технические характеристики все более совершенствуются, но гигантские сигары по-прежнему остаются относительно легкой добычей наземной защиты.</w:t>
      </w:r>
    </w:p>
    <w:p w14:paraId="4866797A" w14:textId="77777777" w:rsidR="00B67D7C" w:rsidRPr="00DE096C" w:rsidRDefault="00B67D7C" w:rsidP="00D45A46">
      <w:pPr>
        <w:jc w:val="both"/>
        <w:rPr>
          <w:bCs/>
          <w:color w:val="002060"/>
          <w:sz w:val="16"/>
          <w:szCs w:val="16"/>
        </w:rPr>
      </w:pPr>
      <w:r w:rsidRPr="00DE096C">
        <w:rPr>
          <w:bCs/>
          <w:color w:val="002060"/>
          <w:sz w:val="16"/>
          <w:szCs w:val="16"/>
        </w:rPr>
        <w:t>А аэропланы становятся все более и более боеспособными. В этом месяце на аэропланы британских воздушных сил начали устанавливать первые облегченные пулеметы "Виккерс" и "Лыоис".</w:t>
      </w:r>
    </w:p>
    <w:p w14:paraId="1E4F222D" w14:textId="77777777" w:rsidR="00B67D7C" w:rsidRPr="00DE096C" w:rsidRDefault="00B67D7C" w:rsidP="00D45A46">
      <w:pPr>
        <w:jc w:val="both"/>
        <w:rPr>
          <w:bCs/>
          <w:color w:val="002060"/>
          <w:sz w:val="16"/>
          <w:szCs w:val="16"/>
        </w:rPr>
      </w:pPr>
      <w:r w:rsidRPr="00DE096C">
        <w:rPr>
          <w:bCs/>
          <w:color w:val="002060"/>
          <w:sz w:val="16"/>
          <w:szCs w:val="16"/>
        </w:rPr>
        <w:t>Несмотря на не столь блестящее, как ожидалось, применение дирижаблей и цеппелинов в первый месяц войны, Англия срочно налаживает их производство. Но, в отличие от Германии, предназначает эти воздушные машины целиком для нужд морского ведомства, и прежде всего для охраны морей от германских подводных лодок. Было замечено, что летательный аппарат в деле обнаружения подводных лйдок имеет неоспоримое преимущество; он позволяет заметить перископ на значительно большем расстоянии, чем это возможно с корабля. Кроме того, выяснилось, что с воздуха в спокойную погоду хорошо видны подводные лодки на глубине от 10 до 30 м, в зависимости от состояния воды. Поэтому обе воюющие стороны уже в этом месяце организовали береговые воздушные отряды, вооруженные гидросамолетами. Однако деятельность их в первые годы войны была малоэффективной и в основном ограничивалась разведкой.</w:t>
      </w:r>
    </w:p>
    <w:p w14:paraId="5CDEDE8E" w14:textId="77777777" w:rsidR="00B67D7C" w:rsidRPr="00DE096C" w:rsidRDefault="00B67D7C" w:rsidP="00D45A46">
      <w:pPr>
        <w:jc w:val="both"/>
        <w:rPr>
          <w:bCs/>
          <w:color w:val="002060"/>
          <w:sz w:val="16"/>
          <w:szCs w:val="16"/>
        </w:rPr>
      </w:pPr>
      <w:r w:rsidRPr="00DE096C">
        <w:rPr>
          <w:bCs/>
          <w:color w:val="002060"/>
          <w:sz w:val="16"/>
          <w:szCs w:val="16"/>
        </w:rPr>
        <w:t>Германия на главном театре военных действий в проливе Ла-Манш и на Северном море имела только один отряд на Гельголандском острове из шести гидросамолетов, способных вести разведку лишь в прибрежных районах (11999).</w:t>
      </w:r>
    </w:p>
    <w:p w14:paraId="6D0CCEFE" w14:textId="77777777" w:rsidR="00B67D7C" w:rsidRPr="00DE096C" w:rsidRDefault="00B67D7C" w:rsidP="00D45A46">
      <w:pPr>
        <w:jc w:val="both"/>
        <w:rPr>
          <w:bCs/>
          <w:i/>
          <w:color w:val="002060"/>
          <w:sz w:val="16"/>
          <w:szCs w:val="16"/>
        </w:rPr>
      </w:pPr>
    </w:p>
    <w:p w14:paraId="1F6DC536" w14:textId="1EF2913C" w:rsidR="00B67D7C" w:rsidRPr="00DE096C" w:rsidRDefault="004F33B7" w:rsidP="00D45A46">
      <w:pPr>
        <w:jc w:val="both"/>
        <w:rPr>
          <w:bCs/>
          <w:color w:val="002060"/>
          <w:sz w:val="16"/>
          <w:szCs w:val="16"/>
        </w:rPr>
      </w:pPr>
      <w:r w:rsidRPr="00DE096C">
        <w:rPr>
          <w:bCs/>
          <w:color w:val="002060"/>
          <w:sz w:val="16"/>
          <w:szCs w:val="16"/>
        </w:rPr>
        <w:t xml:space="preserve">В сентябре 1914 г. </w:t>
      </w:r>
      <w:r w:rsidR="00B67D7C" w:rsidRPr="00DE096C">
        <w:rPr>
          <w:bCs/>
          <w:color w:val="002060"/>
          <w:sz w:val="16"/>
          <w:szCs w:val="16"/>
        </w:rPr>
        <w:t>роль авиации обеих сторон в сражении на Марне была весьма значительной. Так, французская авиация своевременно вскрыла движение германских армий восточнее Парижа к Марне. Кстати говоря, это сделали пилоты эскадрильи, в которой служил Гарро, который якобы уже геройски погиб, согласно русской пропаганде. На основании этих данных французское командование организовало контрудар из района Парижа в правый фланг 1-й германской армии, заставив ее отказаться от наступления и перейти к обороне. При этом важно отметить, что авиация 1-й германской армии своевременно доносила о скоплении французских войск в районе Парижа. Однако германское командование не обратило внимания на эти сведения и не приняло надлежащих мер к обеспечению открытого правого фланга, контрудар французов по которому явился для немцев полной неожиданностью. Солидные генералы старого закала еще не прочувствовали к этому моменту в полной мере, что сверху все их маневры ясным днем видны, словно на ладони.</w:t>
      </w:r>
    </w:p>
    <w:p w14:paraId="5133617D" w14:textId="77777777" w:rsidR="00B67D7C" w:rsidRPr="00DE096C" w:rsidRDefault="00B67D7C" w:rsidP="00D45A46">
      <w:pPr>
        <w:jc w:val="both"/>
        <w:rPr>
          <w:bCs/>
          <w:color w:val="002060"/>
          <w:sz w:val="16"/>
          <w:szCs w:val="16"/>
        </w:rPr>
      </w:pPr>
      <w:r w:rsidRPr="00DE096C">
        <w:rPr>
          <w:bCs/>
          <w:color w:val="002060"/>
          <w:sz w:val="16"/>
          <w:szCs w:val="16"/>
        </w:rPr>
        <w:t>Также авиация английской армии своевременно донесла командованию об образовавшемся разрыве между 1-й и 2-й германскими армиями. В результате английское командование предприняло наступление, сковавшее инициативу германской стороны.</w:t>
      </w:r>
    </w:p>
    <w:p w14:paraId="3B2FCD14" w14:textId="77777777" w:rsidR="00B67D7C" w:rsidRPr="00DE096C" w:rsidRDefault="00B67D7C" w:rsidP="00D45A46">
      <w:pPr>
        <w:jc w:val="both"/>
        <w:rPr>
          <w:bCs/>
          <w:color w:val="002060"/>
          <w:sz w:val="16"/>
          <w:szCs w:val="16"/>
        </w:rPr>
      </w:pPr>
      <w:r w:rsidRPr="00DE096C">
        <w:rPr>
          <w:bCs/>
          <w:color w:val="002060"/>
          <w:sz w:val="16"/>
          <w:szCs w:val="16"/>
        </w:rPr>
        <w:t>Однако английское наступление проводилось с чрезмерной осторожностью и развивалось крайне медленно. Воздушная разведка Германии вскрыла намерение англичан, и командование 2-й германской армии своевременно приняло решение на отход.</w:t>
      </w:r>
    </w:p>
    <w:p w14:paraId="33DB5BD9" w14:textId="77777777" w:rsidR="00B67D7C" w:rsidRPr="00DE096C" w:rsidRDefault="00B67D7C" w:rsidP="00D45A46">
      <w:pPr>
        <w:jc w:val="both"/>
        <w:rPr>
          <w:bCs/>
          <w:color w:val="002060"/>
          <w:sz w:val="16"/>
          <w:szCs w:val="16"/>
        </w:rPr>
      </w:pPr>
      <w:r w:rsidRPr="00DE096C">
        <w:rPr>
          <w:bCs/>
          <w:color w:val="002060"/>
          <w:sz w:val="16"/>
          <w:szCs w:val="16"/>
        </w:rPr>
        <w:t>Основным недостатком организации воздушной разведки сторон являлось сосредоточение усилии, главным образом, на поле боя. Вследствие этого германская авиация не вскрыла более глубокой перегруппировки французских войск на Марне, а англо-французская авиация не обнаружила отхода германских войск на рубеж р. Эн (11999).</w:t>
      </w:r>
    </w:p>
    <w:p w14:paraId="015F56AC" w14:textId="77777777" w:rsidR="00B67D7C" w:rsidRPr="00DE096C" w:rsidRDefault="00B67D7C" w:rsidP="00D45A46">
      <w:pPr>
        <w:jc w:val="both"/>
        <w:rPr>
          <w:bCs/>
          <w:color w:val="002060"/>
          <w:sz w:val="16"/>
          <w:szCs w:val="16"/>
        </w:rPr>
      </w:pPr>
    </w:p>
    <w:p w14:paraId="418CB8DC" w14:textId="42CDC688" w:rsidR="00B67D7C" w:rsidRPr="00DE096C" w:rsidRDefault="004F33B7"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сентябре </w:t>
      </w:r>
      <w:r w:rsidRPr="00DE096C">
        <w:rPr>
          <w:bCs/>
          <w:color w:val="002060"/>
          <w:sz w:val="16"/>
          <w:szCs w:val="16"/>
        </w:rPr>
        <w:t xml:space="preserve">1914 г. в Германии </w:t>
      </w:r>
      <w:r w:rsidR="00B67D7C" w:rsidRPr="00DE096C">
        <w:rPr>
          <w:bCs/>
          <w:color w:val="002060"/>
          <w:sz w:val="16"/>
          <w:szCs w:val="16"/>
        </w:rPr>
        <w:t>по приказу Верховного командования создается бомбардировочная эскадра под секретным названием Brieftauben Abteilung Ostende (BAO) - "Отделение голубиной почты. Остенде".</w:t>
      </w:r>
    </w:p>
    <w:p w14:paraId="4E9CA87D" w14:textId="77777777" w:rsidR="00B67D7C" w:rsidRPr="00DE096C" w:rsidRDefault="00B67D7C" w:rsidP="00D45A46">
      <w:pPr>
        <w:jc w:val="both"/>
        <w:rPr>
          <w:bCs/>
          <w:color w:val="002060"/>
          <w:sz w:val="16"/>
          <w:szCs w:val="16"/>
        </w:rPr>
      </w:pPr>
      <w:r w:rsidRPr="00DE096C">
        <w:rPr>
          <w:bCs/>
          <w:color w:val="002060"/>
          <w:sz w:val="16"/>
          <w:szCs w:val="16"/>
        </w:rPr>
        <w:t>Келлер: "Сначала планировалось направить действия отряда бомбардировщиков против Англии. Но такое решение было преждевременным и его не удалось привести в исполнение за недостатком аэропланов и из-за дальности расстояния, отделявшего нас от английского берега. Отряд ВАО состоял из лучших и самых опытных летчиков всех авиачастей. Ему был предоставлен специальный железнодорожный поезд (спальные вагоны) для большей его подвижности, и сначала он был размещен на аэродроме во Фландрии. Отсюда отряд предпринял свои первые полеты на Дюнкирхен и другие цели перед фронтом 4-й армии..." (11999).</w:t>
      </w:r>
    </w:p>
    <w:p w14:paraId="6AF89D2C" w14:textId="77777777" w:rsidR="00B67D7C" w:rsidRPr="00DE096C" w:rsidRDefault="00B67D7C" w:rsidP="00D45A46">
      <w:pPr>
        <w:jc w:val="both"/>
        <w:rPr>
          <w:bCs/>
          <w:color w:val="002060"/>
          <w:sz w:val="16"/>
          <w:szCs w:val="16"/>
        </w:rPr>
      </w:pPr>
    </w:p>
    <w:p w14:paraId="5EB2920D" w14:textId="77777777" w:rsidR="00B67D7C" w:rsidRPr="00DE096C" w:rsidRDefault="00B67D7C" w:rsidP="00D45A46">
      <w:pPr>
        <w:jc w:val="both"/>
        <w:rPr>
          <w:bCs/>
          <w:i/>
          <w:color w:val="002060"/>
          <w:sz w:val="16"/>
          <w:szCs w:val="16"/>
        </w:rPr>
      </w:pPr>
      <w:r w:rsidRPr="00DE096C">
        <w:rPr>
          <w:bCs/>
          <w:i/>
          <w:color w:val="002060"/>
          <w:sz w:val="16"/>
          <w:szCs w:val="16"/>
        </w:rPr>
        <w:t>Авиация и воздкхоплавание Франции:</w:t>
      </w:r>
    </w:p>
    <w:p w14:paraId="0399DA50" w14:textId="77777777" w:rsidR="00B67D7C" w:rsidRPr="00DE096C" w:rsidRDefault="00B67D7C" w:rsidP="00D45A46">
      <w:pPr>
        <w:jc w:val="both"/>
        <w:rPr>
          <w:bCs/>
          <w:i/>
          <w:color w:val="002060"/>
          <w:sz w:val="16"/>
          <w:szCs w:val="16"/>
        </w:rPr>
      </w:pPr>
    </w:p>
    <w:p w14:paraId="4058DD85" w14:textId="36155C07" w:rsidR="00B67D7C" w:rsidRPr="00DE096C" w:rsidRDefault="004F33B7"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сентябре</w:t>
      </w:r>
      <w:r w:rsidRPr="00DE096C">
        <w:rPr>
          <w:bCs/>
          <w:color w:val="002060"/>
          <w:sz w:val="16"/>
          <w:szCs w:val="16"/>
        </w:rPr>
        <w:t xml:space="preserve"> 1914 г.</w:t>
      </w:r>
      <w:r w:rsidR="00B67D7C" w:rsidRPr="00DE096C">
        <w:rPr>
          <w:bCs/>
          <w:color w:val="002060"/>
          <w:sz w:val="16"/>
          <w:szCs w:val="16"/>
        </w:rPr>
        <w:t xml:space="preserve"> было произведено уже 62, а в октябре - 100 самолетов</w:t>
      </w:r>
      <w:r w:rsidRPr="00DE096C">
        <w:rPr>
          <w:bCs/>
          <w:color w:val="002060"/>
          <w:sz w:val="16"/>
          <w:szCs w:val="16"/>
        </w:rPr>
        <w:t xml:space="preserve"> по сравнению с 96 самолетов в месяц в 1913 г. и 50 в августе 1914 г.</w:t>
      </w:r>
    </w:p>
    <w:p w14:paraId="2C370279" w14:textId="77777777" w:rsidR="00B67D7C" w:rsidRPr="00DE096C" w:rsidRDefault="00B67D7C" w:rsidP="00D45A46">
      <w:pPr>
        <w:jc w:val="both"/>
        <w:rPr>
          <w:bCs/>
          <w:color w:val="002060"/>
          <w:sz w:val="16"/>
          <w:szCs w:val="16"/>
        </w:rPr>
      </w:pPr>
      <w:r w:rsidRPr="00DE096C">
        <w:rPr>
          <w:bCs/>
          <w:color w:val="002060"/>
          <w:sz w:val="16"/>
          <w:szCs w:val="16"/>
        </w:rPr>
        <w:t>Требования мировой войны принуждали производителей всех стран, изменить подход к мобилизации и использованию военно-научных потенциалов. Это было особенно актуально для такого молодого производства как авиапромышленность. Спрос на авиационную продукцию неимоверно возрос благодаря новому характеру сбыта (боевым действиям).</w:t>
      </w:r>
    </w:p>
    <w:p w14:paraId="5566968D" w14:textId="77777777" w:rsidR="00B67D7C" w:rsidRPr="00DE096C" w:rsidRDefault="00B67D7C" w:rsidP="00D45A46">
      <w:pPr>
        <w:jc w:val="both"/>
        <w:rPr>
          <w:bCs/>
          <w:color w:val="002060"/>
          <w:sz w:val="16"/>
          <w:szCs w:val="16"/>
        </w:rPr>
      </w:pPr>
      <w:r w:rsidRPr="00DE096C">
        <w:rPr>
          <w:bCs/>
          <w:color w:val="002060"/>
          <w:sz w:val="16"/>
          <w:szCs w:val="16"/>
        </w:rPr>
        <w:t>Более того, теперь, по исходу первых месяцев боевых действий, всем стало ясно, что вместо блицкрига все должны приготовиться к длительной затяжной войне. Из подвижной война превращалась в статичную, что предъявляло отчасти и совершенно новые требования к вооруженным силам и к вооружению.</w:t>
      </w:r>
    </w:p>
    <w:p w14:paraId="5BAA7AB5" w14:textId="77777777" w:rsidR="00B67D7C" w:rsidRPr="00DE096C" w:rsidRDefault="00B67D7C" w:rsidP="00D45A46">
      <w:pPr>
        <w:jc w:val="both"/>
        <w:rPr>
          <w:bCs/>
          <w:color w:val="002060"/>
          <w:sz w:val="16"/>
          <w:szCs w:val="16"/>
        </w:rPr>
      </w:pPr>
      <w:r w:rsidRPr="00DE096C">
        <w:rPr>
          <w:bCs/>
          <w:color w:val="002060"/>
          <w:sz w:val="16"/>
          <w:szCs w:val="16"/>
        </w:rPr>
        <w:t>Что касается конкретного применения аэропланов в боевых действиях, то уже в этом году обозначились едва ли не все возможные виды их использования.</w:t>
      </w:r>
    </w:p>
    <w:p w14:paraId="363269A4" w14:textId="009AC5BF" w:rsidR="00B67D7C" w:rsidRPr="00DE096C" w:rsidRDefault="00B67D7C" w:rsidP="00D45A46">
      <w:pPr>
        <w:jc w:val="both"/>
        <w:rPr>
          <w:bCs/>
          <w:color w:val="002060"/>
          <w:sz w:val="16"/>
          <w:szCs w:val="16"/>
        </w:rPr>
      </w:pPr>
      <w:r w:rsidRPr="00DE096C">
        <w:rPr>
          <w:bCs/>
          <w:color w:val="002060"/>
          <w:sz w:val="16"/>
          <w:szCs w:val="16"/>
        </w:rPr>
        <w:t>Все шире стали применять аэропланы для корректирования артиллерийской стрельбы.</w:t>
      </w:r>
      <w:r w:rsidR="0006581C">
        <w:rPr>
          <w:bCs/>
          <w:color w:val="002060"/>
          <w:sz w:val="16"/>
          <w:szCs w:val="16"/>
        </w:rPr>
        <w:t xml:space="preserve"> </w:t>
      </w:r>
      <w:r w:rsidRPr="00DE096C">
        <w:rPr>
          <w:bCs/>
          <w:color w:val="002060"/>
          <w:sz w:val="16"/>
          <w:szCs w:val="16"/>
        </w:rPr>
        <w:t>Как действенное средство сигнализации стали рассматривать в 1914 г. ракетницу. Во Франции применялись, как правило, следующие уведомления: артиллерия сначала стреляла на далекое расстояние, а артнаблюдатель красной ракетой корректировал дальнюю, а зеленой - ближнюю стрельбу. Затем устанавливалась успешность стрельбы по сторонам. Вместо ракет можно было также направлять стрельбу благодаря правому или левому наклону крыльев. Такой способ корректировки оказался не только весьма трудоемким и медленным, но еще и способствовал множеству ошибок. Часто один сигнал принимали за другой, особенно с тех пор как артиллерия стала применяться массированно, и работали многочисленные батареи одновременно. Техническое решение было найдено благодаря развитию беспроволочного телеграфа (11999).</w:t>
      </w:r>
    </w:p>
    <w:p w14:paraId="470B8408" w14:textId="77777777" w:rsidR="00B67D7C" w:rsidRPr="00DE096C" w:rsidRDefault="00B67D7C" w:rsidP="00D45A46">
      <w:pPr>
        <w:jc w:val="both"/>
        <w:rPr>
          <w:bCs/>
          <w:color w:val="002060"/>
          <w:sz w:val="16"/>
          <w:szCs w:val="16"/>
        </w:rPr>
      </w:pPr>
    </w:p>
    <w:p w14:paraId="490916E1" w14:textId="2144E2DC" w:rsidR="00B67D7C" w:rsidRPr="00DE096C" w:rsidRDefault="000F3915"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сентябре 1914 г. почти все летные подразделения были вооружены тяжелыми пистолетами, карабинами или скорострельным оружием. У французских и позднее у английских воздушных сил с октября на аэропланах с ферменной хвостовой частью и толкающим винтом стали устанавливать в носовой части пулемет (11999).</w:t>
      </w:r>
    </w:p>
    <w:p w14:paraId="7CBF88C1" w14:textId="77777777" w:rsidR="00B67D7C" w:rsidRPr="00DE096C" w:rsidRDefault="00B67D7C" w:rsidP="00D45A46">
      <w:pPr>
        <w:jc w:val="both"/>
        <w:rPr>
          <w:bCs/>
          <w:color w:val="002060"/>
          <w:sz w:val="16"/>
          <w:szCs w:val="16"/>
        </w:rPr>
      </w:pPr>
    </w:p>
    <w:p w14:paraId="6541C8FA" w14:textId="77777777" w:rsidR="009F4438" w:rsidRPr="00B52707" w:rsidRDefault="009F4438" w:rsidP="009F4438">
      <w:pPr>
        <w:jc w:val="both"/>
        <w:rPr>
          <w:color w:val="0070C0"/>
          <w:sz w:val="16"/>
          <w:szCs w:val="16"/>
        </w:rPr>
      </w:pPr>
      <w:r w:rsidRPr="00B52707">
        <w:rPr>
          <w:color w:val="0070C0"/>
          <w:sz w:val="16"/>
          <w:szCs w:val="16"/>
        </w:rPr>
        <w:lastRenderedPageBreak/>
        <w:t>В сентябре 1914 г. в эскадрильи Морской авиации Франции поступили 60 заказанных в начале августа этого года самолетов Моран-Солнье Тип G «Гидро». С учетом хороших результатов, достигнутых на таких машинах в спортивны состязаниях и в дальних перелетах в весьма жестких условиях, самолеты эти, по докладам командиров, летчиков и технического состава, показали недостаточную эксплуатационную пригодность (25704).</w:t>
      </w:r>
    </w:p>
    <w:p w14:paraId="27C8101D" w14:textId="77777777" w:rsidR="009F4438" w:rsidRPr="00B52707" w:rsidRDefault="009F4438" w:rsidP="009F4438">
      <w:pPr>
        <w:jc w:val="both"/>
        <w:rPr>
          <w:color w:val="0070C0"/>
          <w:sz w:val="16"/>
          <w:szCs w:val="16"/>
        </w:rPr>
      </w:pPr>
    </w:p>
    <w:p w14:paraId="37B6B6CE" w14:textId="579FEAE4" w:rsidR="00BF4E37" w:rsidRPr="00DE096C" w:rsidRDefault="00BF4E37" w:rsidP="00D45A46">
      <w:pPr>
        <w:jc w:val="both"/>
        <w:rPr>
          <w:bCs/>
          <w:i/>
          <w:color w:val="002060"/>
          <w:sz w:val="16"/>
          <w:szCs w:val="16"/>
        </w:rPr>
      </w:pPr>
      <w:r w:rsidRPr="00DE096C">
        <w:rPr>
          <w:bCs/>
          <w:i/>
          <w:color w:val="002060"/>
          <w:sz w:val="16"/>
          <w:szCs w:val="16"/>
        </w:rPr>
        <w:t>Авиация и воздкхоплавание за рубежом:</w:t>
      </w:r>
    </w:p>
    <w:p w14:paraId="778FDF24" w14:textId="77777777" w:rsidR="00BF4E37" w:rsidRPr="00DE096C" w:rsidRDefault="00BF4E37" w:rsidP="00D45A46">
      <w:pPr>
        <w:jc w:val="both"/>
        <w:rPr>
          <w:bCs/>
          <w:i/>
          <w:color w:val="002060"/>
          <w:sz w:val="16"/>
          <w:szCs w:val="16"/>
        </w:rPr>
      </w:pPr>
    </w:p>
    <w:p w14:paraId="383C34CE" w14:textId="77777777" w:rsidR="00BF4E37" w:rsidRPr="00DE096C" w:rsidRDefault="00BF4E37" w:rsidP="00D45A46">
      <w:pPr>
        <w:jc w:val="both"/>
        <w:rPr>
          <w:bCs/>
          <w:color w:val="002060"/>
          <w:sz w:val="16"/>
          <w:szCs w:val="16"/>
        </w:rPr>
      </w:pPr>
      <w:r w:rsidRPr="00DE096C">
        <w:rPr>
          <w:bCs/>
          <w:color w:val="002060"/>
          <w:sz w:val="16"/>
          <w:szCs w:val="16"/>
        </w:rPr>
        <w:t xml:space="preserve">В сентябре 1914 два американских самолета, подготовленные для трансатлантического перелета, спонсируемого Daily Mail в августе, отправлены в Соединенное Королевство на борту RMS Mauretania для Королевской военно-морской авиации, став первыми самолетами, которые широко использовались в вооруженных силах во время Первой мировой войны для противолодочных патрульных и спасательных операций на море (20337). </w:t>
      </w:r>
    </w:p>
    <w:p w14:paraId="78C28EE3" w14:textId="77777777" w:rsidR="00BF4E37" w:rsidRPr="00DE096C" w:rsidRDefault="00BF4E37" w:rsidP="00D45A46">
      <w:pPr>
        <w:jc w:val="both"/>
        <w:rPr>
          <w:bCs/>
          <w:color w:val="002060"/>
          <w:sz w:val="16"/>
          <w:szCs w:val="16"/>
        </w:rPr>
      </w:pPr>
    </w:p>
    <w:p w14:paraId="5AF08250" w14:textId="77777777" w:rsidR="00BF4E37" w:rsidRPr="00DE096C" w:rsidRDefault="00BF4E37" w:rsidP="00D45A46">
      <w:pPr>
        <w:jc w:val="both"/>
        <w:rPr>
          <w:bCs/>
          <w:color w:val="002060"/>
          <w:sz w:val="16"/>
          <w:szCs w:val="16"/>
        </w:rPr>
      </w:pPr>
      <w:r w:rsidRPr="00DE096C">
        <w:rPr>
          <w:bCs/>
          <w:color w:val="002060"/>
          <w:sz w:val="16"/>
          <w:szCs w:val="16"/>
        </w:rPr>
        <w:t>В сентябре-октябре 1914 г. транспорт «Вакамия Мару», который переоборудовали в японский гидроавианосец, впервые в мире был успешно применен против германских сухопутных сил в крепости Циндао, а вскоре гидросамолетом с его борта был обнаружен и потоплен немецкий тральщик (22896).</w:t>
      </w:r>
    </w:p>
    <w:p w14:paraId="57C42DF9" w14:textId="600600C0" w:rsidR="00BF4E37" w:rsidRPr="00DE096C" w:rsidRDefault="00BF4E37" w:rsidP="00D45A46">
      <w:pPr>
        <w:jc w:val="both"/>
        <w:rPr>
          <w:bCs/>
          <w:color w:val="002060"/>
          <w:sz w:val="16"/>
          <w:szCs w:val="16"/>
        </w:rPr>
      </w:pPr>
    </w:p>
    <w:p w14:paraId="6157AAAD" w14:textId="01CA1E0A" w:rsidR="000F3915" w:rsidRPr="00DE096C" w:rsidRDefault="000F3915" w:rsidP="00D45A46">
      <w:pPr>
        <w:jc w:val="both"/>
        <w:rPr>
          <w:bCs/>
          <w:i/>
          <w:iCs/>
          <w:color w:val="002060"/>
          <w:sz w:val="16"/>
          <w:szCs w:val="16"/>
        </w:rPr>
      </w:pPr>
      <w:r w:rsidRPr="00DE096C">
        <w:rPr>
          <w:bCs/>
          <w:i/>
          <w:iCs/>
          <w:color w:val="002060"/>
          <w:sz w:val="16"/>
          <w:szCs w:val="16"/>
        </w:rPr>
        <w:t>За рубежом:</w:t>
      </w:r>
    </w:p>
    <w:p w14:paraId="39D18D40" w14:textId="77777777" w:rsidR="000F3915" w:rsidRPr="00DE096C" w:rsidRDefault="000F3915" w:rsidP="00D45A46">
      <w:pPr>
        <w:jc w:val="both"/>
        <w:rPr>
          <w:bCs/>
          <w:i/>
          <w:iCs/>
          <w:color w:val="002060"/>
          <w:sz w:val="16"/>
          <w:szCs w:val="16"/>
        </w:rPr>
      </w:pPr>
    </w:p>
    <w:p w14:paraId="35D69E40" w14:textId="51D0C14A" w:rsidR="000F3915" w:rsidRPr="00DE096C" w:rsidRDefault="000F3915"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 сентябре 1914 г. (после победы на Марне) вся французская промышленность без исключения была поставлена на ноги. И, действительно, каждый станок (в какой бы маленькой мастерской он ни был) и каждый способный к труду человек были привлечены к работе. Довольно быстро была выработана и проведена в жизнь оригинальная система "технической мобилизации", состоявшая в том, что вся кустарная, мелкая и средняя промышленность была разбита территориально на округа и так сказать "приписана" к более крупным и мощным заводам, на которые и были возложены все заботы как по техническому инструктированию, так и по хозяйственному руководству всеми меньшими членами их группы. Такая система оказалась, по крайней мере в условиях Франции, очень целесообразной и продуктивной, и результаты ее сказались все время прогрессировавшим увеличением подачи на фронт предметов боевого снабжения. В 1915 г. для объединения и наилучшего использования в целях обороны всех ресурсов страны было образовано министерство снабжения с почти диктаторскими полномочиями. Этим сразу были убиты те "междуведомственные" трения, которые так тормозили это дело в России и так парализовали все благие начинания. </w:t>
      </w:r>
    </w:p>
    <w:p w14:paraId="0581DA9D" w14:textId="77777777" w:rsidR="000F3915" w:rsidRPr="00DE096C" w:rsidRDefault="000F3915"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Литвинов-Фалинский в своем докладе (см. приложение 4) обращал внимание на полную необеспеченность иностранных заказов как в союзных, так и в нейтральных странах. Огромные недопоставки заказанных боевых припасов (из 4,5 млн. снарядов, заказанных в Англии и Франции, к концу 1915 г. поступило лишь около 0,5 млн.) он объяснял тем, что союзники сами нуждались в снарядах для своих армий и могли давать нам только излишки своего производства. В ней-тральных странах конкурентами в размещении русских заказов являлись их противники; независимо от того заказы в нейтральных странах подвергались случайностям "в зависимости от склонения политических симпатий в ту или иную сторону". </w:t>
      </w:r>
    </w:p>
    <w:p w14:paraId="61AC78F2" w14:textId="77777777" w:rsidR="000F3915" w:rsidRPr="00DE096C" w:rsidRDefault="000F3915"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Выполнение иностранных заказов сопряжено было с целым рядом неудобств, как-то: трудности доставки заказанных предметов, несоответствие их установившимся условиям заграничного производства и пр. </w:t>
      </w:r>
    </w:p>
    <w:p w14:paraId="30A8D9CB" w14:textId="77777777" w:rsidR="000F3915" w:rsidRPr="00DE096C" w:rsidRDefault="000F3915"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Наконец, расплата по иностранным заказам в золотой валюте ставила Россию в чрезвычайно трудное положение и имела пагубные последствия для курса денег, - безразлично, производилась ли расплата путем кредитных операций или же вывозом золота в натуре, как это было в первый, период войны, когда русское золото было в слитках отправлено в Англию. </w:t>
      </w:r>
    </w:p>
    <w:p w14:paraId="58B82094" w14:textId="77777777" w:rsidR="000F3915" w:rsidRPr="00DE096C" w:rsidRDefault="000F3915"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Расплата в золотой валюте поставила Россию в "положение, обязывающее принимать при заключении займов, даже у союзников, условия, не отвечающие ни достоинству, ни независимости страны". </w:t>
      </w:r>
    </w:p>
    <w:p w14:paraId="2AC6B3D2" w14:textId="77777777" w:rsidR="000F3915" w:rsidRPr="00DE096C" w:rsidRDefault="000F3915"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Только внутреннее производство могло, по верной мысли Литвинова-Фалинского, служить "прочной основой боевой способности страны". Между тем мы вместо того, чтобы в довоенное время развивать и подготовлять свое производство к изготовлению предметов снаряжения армии передавали многочисленные заказы за границу, в том числе Германии, чем способствовали укреплению ее боевой мощи (11482).</w:t>
      </w:r>
    </w:p>
    <w:p w14:paraId="23ED41E7" w14:textId="77777777" w:rsidR="000F3915" w:rsidRPr="00DE096C" w:rsidRDefault="000F3915" w:rsidP="00D45A46">
      <w:pPr>
        <w:pStyle w:val="a3"/>
        <w:jc w:val="both"/>
        <w:rPr>
          <w:bCs/>
          <w:i w:val="0"/>
          <w:color w:val="002060"/>
          <w:spacing w:val="0"/>
          <w:kern w:val="0"/>
          <w:position w:val="0"/>
          <w:sz w:val="16"/>
          <w:szCs w:val="16"/>
        </w:rPr>
      </w:pPr>
    </w:p>
    <w:p w14:paraId="622DDC87" w14:textId="7EAD31B9" w:rsidR="000F3915" w:rsidRPr="00DE096C" w:rsidRDefault="000F3915"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В сентябре 1914 г. во Франции, когда после победы на Марне убедились в решающем значении артиллерийского огня и в необходимости чрезмерного увеличения массового производства боевых припасов, к приготовлению снарядов была привлечена вся промышленность, каждый станок должен был работать на армию. В самом начале этой работы выяснились технические неудобства раздробления ее между мелкими заводами и мастерскими, вследствие трудностей руководства и наблюдения за работами, большого процента брака и пр. Препятствия эти были устранены путем соединения небольших заводов и мастерских в более крупные или объединения их около крупных, а также другими соответствующими мерами. Французская промышленность быстро приспособилась к новому производству, количество изготовляемых ею снарядов стало расти изо дня в день (11483).</w:t>
      </w:r>
    </w:p>
    <w:p w14:paraId="1471FEF0" w14:textId="77777777" w:rsidR="000F3915" w:rsidRPr="00DE096C" w:rsidRDefault="000F3915" w:rsidP="00D45A46">
      <w:pPr>
        <w:pStyle w:val="a3"/>
        <w:jc w:val="both"/>
        <w:rPr>
          <w:bCs/>
          <w:i w:val="0"/>
          <w:color w:val="002060"/>
          <w:spacing w:val="0"/>
          <w:kern w:val="0"/>
          <w:position w:val="0"/>
          <w:sz w:val="16"/>
          <w:szCs w:val="16"/>
        </w:rPr>
      </w:pPr>
    </w:p>
    <w:p w14:paraId="33C8A561" w14:textId="77777777" w:rsidR="004D1A49" w:rsidRPr="00DE096C" w:rsidRDefault="004D1A49" w:rsidP="00D45A46">
      <w:pPr>
        <w:jc w:val="both"/>
        <w:rPr>
          <w:bCs/>
          <w:i/>
          <w:color w:val="002060"/>
          <w:sz w:val="16"/>
          <w:szCs w:val="16"/>
        </w:rPr>
      </w:pPr>
      <w:r w:rsidRPr="00DE096C">
        <w:rPr>
          <w:bCs/>
          <w:i/>
          <w:color w:val="002060"/>
          <w:sz w:val="16"/>
          <w:szCs w:val="16"/>
        </w:rPr>
        <w:t>Самолетостроение:</w:t>
      </w:r>
    </w:p>
    <w:p w14:paraId="337D3A9A" w14:textId="77777777" w:rsidR="004D1A49" w:rsidRPr="00DE096C" w:rsidRDefault="004D1A49" w:rsidP="00D45A46">
      <w:pPr>
        <w:jc w:val="both"/>
        <w:rPr>
          <w:bCs/>
          <w:i/>
          <w:color w:val="002060"/>
          <w:sz w:val="16"/>
          <w:szCs w:val="16"/>
        </w:rPr>
      </w:pPr>
    </w:p>
    <w:p w14:paraId="280272C9" w14:textId="77777777" w:rsidR="004D1A49" w:rsidRPr="00DE096C" w:rsidRDefault="004D1A49" w:rsidP="00D45A46">
      <w:pPr>
        <w:jc w:val="both"/>
        <w:rPr>
          <w:bCs/>
          <w:color w:val="002060"/>
          <w:sz w:val="16"/>
          <w:szCs w:val="16"/>
        </w:rPr>
      </w:pPr>
      <w:r w:rsidRPr="00DE096C">
        <w:rPr>
          <w:bCs/>
          <w:color w:val="002060"/>
          <w:sz w:val="16"/>
          <w:szCs w:val="16"/>
        </w:rPr>
        <w:t>В начале осени 1914 г. на воздухо</w:t>
      </w:r>
      <w:r w:rsidRPr="00DE096C">
        <w:rPr>
          <w:bCs/>
          <w:color w:val="002060"/>
          <w:sz w:val="16"/>
          <w:szCs w:val="16"/>
        </w:rPr>
        <w:softHyphen/>
        <w:t>плавательном отделении РБВЗ за</w:t>
      </w:r>
      <w:r w:rsidRPr="00DE096C">
        <w:rPr>
          <w:bCs/>
          <w:color w:val="002060"/>
          <w:sz w:val="16"/>
          <w:szCs w:val="16"/>
        </w:rPr>
        <w:softHyphen/>
        <w:t>ложили три опытных воздушных корабля «Илья Муромец» «тип В». Несмотря на сохранение прежнего названия, эти «Ильи Муромцы» бы</w:t>
      </w:r>
      <w:r w:rsidRPr="00DE096C">
        <w:rPr>
          <w:bCs/>
          <w:color w:val="002060"/>
          <w:sz w:val="16"/>
          <w:szCs w:val="16"/>
        </w:rPr>
        <w:softHyphen/>
        <w:t>ли совершенно новыми машинами. Прежними остались только общая схема и основы компоновки всего самолёта и главных агрегатов. Ос</w:t>
      </w:r>
      <w:r w:rsidRPr="00DE096C">
        <w:rPr>
          <w:bCs/>
          <w:color w:val="002060"/>
          <w:sz w:val="16"/>
          <w:szCs w:val="16"/>
        </w:rPr>
        <w:softHyphen/>
        <w:t>новополагающими концепциями при создании нового «Муромца» были снижение веса и размеров конструкции, дальнейшее совер</w:t>
      </w:r>
      <w:r w:rsidRPr="00DE096C">
        <w:rPr>
          <w:bCs/>
          <w:color w:val="002060"/>
          <w:sz w:val="16"/>
          <w:szCs w:val="16"/>
        </w:rPr>
        <w:softHyphen/>
        <w:t>шенствование большинства частей и деталей, а также всестороннее по</w:t>
      </w:r>
      <w:r w:rsidRPr="00DE096C">
        <w:rPr>
          <w:bCs/>
          <w:color w:val="002060"/>
          <w:sz w:val="16"/>
          <w:szCs w:val="16"/>
        </w:rPr>
        <w:softHyphen/>
        <w:t>вышение аэродинамических харак</w:t>
      </w:r>
      <w:r w:rsidRPr="00DE096C">
        <w:rPr>
          <w:bCs/>
          <w:color w:val="002060"/>
          <w:sz w:val="16"/>
          <w:szCs w:val="16"/>
        </w:rPr>
        <w:softHyphen/>
        <w:t>теристик самолёта. В результате бо</w:t>
      </w:r>
      <w:r w:rsidRPr="00DE096C">
        <w:rPr>
          <w:bCs/>
          <w:color w:val="002060"/>
          <w:sz w:val="16"/>
          <w:szCs w:val="16"/>
        </w:rPr>
        <w:softHyphen/>
        <w:t>лее высокой весовой культуры про</w:t>
      </w:r>
      <w:r w:rsidRPr="00DE096C">
        <w:rPr>
          <w:bCs/>
          <w:color w:val="002060"/>
          <w:sz w:val="16"/>
          <w:szCs w:val="16"/>
        </w:rPr>
        <w:softHyphen/>
        <w:t>ектирования вес пустой машины снизился почти на тонну. Это стало как бы главным признаком самолё</w:t>
      </w:r>
      <w:r w:rsidRPr="00DE096C">
        <w:rPr>
          <w:bCs/>
          <w:color w:val="002060"/>
          <w:sz w:val="16"/>
          <w:szCs w:val="16"/>
        </w:rPr>
        <w:softHyphen/>
        <w:t>та, и он в служебной переписке по</w:t>
      </w:r>
      <w:r w:rsidRPr="00DE096C">
        <w:rPr>
          <w:bCs/>
          <w:color w:val="002060"/>
          <w:sz w:val="16"/>
          <w:szCs w:val="16"/>
        </w:rPr>
        <w:softHyphen/>
        <w:t>лучил также название «облегчен</w:t>
      </w:r>
      <w:r w:rsidRPr="00DE096C">
        <w:rPr>
          <w:bCs/>
          <w:color w:val="002060"/>
          <w:sz w:val="16"/>
          <w:szCs w:val="16"/>
        </w:rPr>
        <w:softHyphen/>
        <w:t>ный боевой».</w:t>
      </w:r>
    </w:p>
    <w:p w14:paraId="00FA4771" w14:textId="77777777" w:rsidR="004D1A49" w:rsidRPr="00DE096C" w:rsidRDefault="004D1A49" w:rsidP="00D45A46">
      <w:pPr>
        <w:jc w:val="both"/>
        <w:rPr>
          <w:bCs/>
          <w:color w:val="002060"/>
          <w:sz w:val="16"/>
          <w:szCs w:val="16"/>
        </w:rPr>
      </w:pPr>
      <w:r w:rsidRPr="00DE096C">
        <w:rPr>
          <w:bCs/>
          <w:color w:val="002060"/>
          <w:sz w:val="16"/>
          <w:szCs w:val="16"/>
        </w:rPr>
        <w:t>Для снижения вредного сопро</w:t>
      </w:r>
      <w:r w:rsidRPr="00DE096C">
        <w:rPr>
          <w:bCs/>
          <w:color w:val="002060"/>
          <w:sz w:val="16"/>
          <w:szCs w:val="16"/>
        </w:rPr>
        <w:softHyphen/>
        <w:t>тивления передняя часть фюзеляжа была сделана более обтекаемой, с характерным острым носом. В по</w:t>
      </w:r>
      <w:r w:rsidRPr="00DE096C">
        <w:rPr>
          <w:bCs/>
          <w:color w:val="002060"/>
          <w:sz w:val="16"/>
          <w:szCs w:val="16"/>
        </w:rPr>
        <w:softHyphen/>
        <w:t>лу салона прорезали прицельно-на</w:t>
      </w:r>
      <w:r w:rsidRPr="00DE096C">
        <w:rPr>
          <w:bCs/>
          <w:color w:val="002060"/>
          <w:sz w:val="16"/>
          <w:szCs w:val="16"/>
        </w:rPr>
        <w:softHyphen/>
        <w:t>блюдательное окошечко и впервые оборудовали бомболюком. Пуле</w:t>
      </w:r>
      <w:r w:rsidRPr="00DE096C">
        <w:rPr>
          <w:bCs/>
          <w:color w:val="002060"/>
          <w:sz w:val="16"/>
          <w:szCs w:val="16"/>
        </w:rPr>
        <w:softHyphen/>
        <w:t>мётная площадка была «утоплена» в центроплане. Стрелок размещал</w:t>
      </w:r>
      <w:r w:rsidRPr="00DE096C">
        <w:rPr>
          <w:bCs/>
          <w:color w:val="002060"/>
          <w:sz w:val="16"/>
          <w:szCs w:val="16"/>
        </w:rPr>
        <w:softHyphen/>
        <w:t>ся между двумя вместительными топливными баками, которые были перенесены в центроплан для уве</w:t>
      </w:r>
      <w:r w:rsidRPr="00DE096C">
        <w:rPr>
          <w:bCs/>
          <w:color w:val="002060"/>
          <w:sz w:val="16"/>
          <w:szCs w:val="16"/>
        </w:rPr>
        <w:softHyphen/>
        <w:t>личения живучести бомбардиров</w:t>
      </w:r>
      <w:r w:rsidRPr="00DE096C">
        <w:rPr>
          <w:bCs/>
          <w:color w:val="002060"/>
          <w:sz w:val="16"/>
          <w:szCs w:val="16"/>
        </w:rPr>
        <w:softHyphen/>
        <w:t>щика в боевых условиях. Площадь крыльев новой машины уменьши</w:t>
      </w:r>
      <w:r w:rsidRPr="00DE096C">
        <w:rPr>
          <w:bCs/>
          <w:color w:val="002060"/>
          <w:sz w:val="16"/>
          <w:szCs w:val="16"/>
        </w:rPr>
        <w:softHyphen/>
        <w:t>лась. Значительно уменьшилось и число находящихся в потоке рас</w:t>
      </w:r>
      <w:r w:rsidRPr="00DE096C">
        <w:rPr>
          <w:bCs/>
          <w:color w:val="002060"/>
          <w:sz w:val="16"/>
          <w:szCs w:val="16"/>
        </w:rPr>
        <w:softHyphen/>
        <w:t>чалок (23469).</w:t>
      </w:r>
    </w:p>
    <w:p w14:paraId="1C9369EF" w14:textId="77777777" w:rsidR="004D1A49" w:rsidRPr="00DE096C" w:rsidRDefault="004D1A49" w:rsidP="00D45A46">
      <w:pPr>
        <w:jc w:val="both"/>
        <w:rPr>
          <w:bCs/>
          <w:color w:val="002060"/>
          <w:sz w:val="16"/>
          <w:szCs w:val="16"/>
          <w:lang w:bidi="ru-RU"/>
        </w:rPr>
      </w:pPr>
    </w:p>
    <w:p w14:paraId="78B32933" w14:textId="77777777" w:rsidR="009F4438" w:rsidRPr="00B52707" w:rsidRDefault="009F4438" w:rsidP="009F4438">
      <w:pPr>
        <w:jc w:val="both"/>
        <w:rPr>
          <w:color w:val="0070C0"/>
          <w:sz w:val="16"/>
          <w:szCs w:val="16"/>
        </w:rPr>
      </w:pPr>
      <w:r w:rsidRPr="00B52707">
        <w:rPr>
          <w:color w:val="0070C0"/>
          <w:sz w:val="16"/>
          <w:szCs w:val="16"/>
        </w:rPr>
        <w:t>В начале осени 1914 г. на воздухоплавательном отделении РБВЗ заложили три опытных воздушных корабля «Илья Муромец» «тип В» с улучшенными боевыми качествами. Несмотря на сохранение прежнего названия, эти «муромцы» были совершенно новыми машинами. Прежними остались только общая схема и основы компоновки всего самолета и главных агрегатов. Для снижения вредного сопротивления передняя часть фюзеляжа была сделана более обтекаемой, с характерным острым носом. В полу салона прорезали прицельно-наблюдательное окошечко и впервые оборудовали бомболюком. Пулеметная площадка была «утоплена» в центроплане. Стрелок размещался между двумя вместительными топливными баками, которые были перенесены в центроплан.</w:t>
      </w:r>
    </w:p>
    <w:p w14:paraId="0C407B92" w14:textId="77777777" w:rsidR="009F4438" w:rsidRPr="00B52707" w:rsidRDefault="009F4438" w:rsidP="009F4438">
      <w:pPr>
        <w:jc w:val="both"/>
        <w:rPr>
          <w:color w:val="0070C0"/>
          <w:sz w:val="16"/>
          <w:szCs w:val="16"/>
        </w:rPr>
      </w:pPr>
      <w:r w:rsidRPr="00B52707">
        <w:rPr>
          <w:color w:val="0070C0"/>
          <w:sz w:val="16"/>
          <w:szCs w:val="16"/>
        </w:rPr>
        <w:t>В ноябре - декабре первые машины были готовы. Испытания показали существенное улучшение летно-технических характеристик по сравнению с предшествующей моделью «муромца». Вслед за первыми тремя планировалось заложить большую серию, но планомерному строительству русской тяжелой авиации в это время едва не был положен конец из-за неудач на фронте первого «муромца» (24965).</w:t>
      </w:r>
    </w:p>
    <w:p w14:paraId="20D15533" w14:textId="77777777" w:rsidR="009F4438" w:rsidRPr="00B52707" w:rsidRDefault="009F4438" w:rsidP="009F4438">
      <w:pPr>
        <w:jc w:val="both"/>
        <w:rPr>
          <w:color w:val="0070C0"/>
          <w:sz w:val="16"/>
          <w:szCs w:val="16"/>
        </w:rPr>
      </w:pPr>
    </w:p>
    <w:p w14:paraId="5E53ABEC" w14:textId="77777777" w:rsidR="004D1A49" w:rsidRPr="00DE096C" w:rsidRDefault="004D1A49" w:rsidP="00D45A46">
      <w:pPr>
        <w:jc w:val="both"/>
        <w:rPr>
          <w:bCs/>
          <w:color w:val="002060"/>
          <w:sz w:val="16"/>
          <w:szCs w:val="16"/>
        </w:rPr>
      </w:pPr>
      <w:r w:rsidRPr="00DE096C">
        <w:rPr>
          <w:bCs/>
          <w:color w:val="002060"/>
          <w:sz w:val="16"/>
          <w:szCs w:val="16"/>
        </w:rPr>
        <w:t>В начале осени 1914 г. РБВЗ был сдан «Илья Муромец» Б-4 (ИМ-Б зав. № 136, борт № II) экз. № 4, стратегический разведчик, по сути – учебный самолет.</w:t>
      </w:r>
    </w:p>
    <w:p w14:paraId="4AF7679F" w14:textId="77777777" w:rsidR="004D1A49" w:rsidRPr="00DE096C" w:rsidRDefault="004D1A49" w:rsidP="00D45A46">
      <w:pPr>
        <w:jc w:val="both"/>
        <w:rPr>
          <w:bCs/>
          <w:color w:val="002060"/>
          <w:sz w:val="16"/>
          <w:szCs w:val="16"/>
        </w:rPr>
      </w:pPr>
      <w:r w:rsidRPr="00DE096C">
        <w:rPr>
          <w:bCs/>
          <w:color w:val="002060"/>
          <w:sz w:val="16"/>
          <w:szCs w:val="16"/>
        </w:rPr>
        <w:t>Самолет построен с отличиями от предыдущего:</w:t>
      </w:r>
    </w:p>
    <w:p w14:paraId="104F09B1" w14:textId="77777777" w:rsidR="004D1A49" w:rsidRPr="00DE096C" w:rsidRDefault="004D1A49" w:rsidP="00D45A46">
      <w:pPr>
        <w:jc w:val="both"/>
        <w:rPr>
          <w:bCs/>
          <w:color w:val="002060"/>
          <w:sz w:val="16"/>
          <w:szCs w:val="16"/>
        </w:rPr>
      </w:pPr>
      <w:r w:rsidRPr="00DE096C">
        <w:rPr>
          <w:bCs/>
          <w:color w:val="002060"/>
          <w:sz w:val="16"/>
          <w:szCs w:val="16"/>
        </w:rPr>
        <w:t>- установлены средние 14-цилиндровые двухрядные звездообразные моторы водяного охлаждения Сальмсон 2М7 (по 200 л.с.);</w:t>
      </w:r>
    </w:p>
    <w:p w14:paraId="4333975A" w14:textId="77777777" w:rsidR="004D1A49" w:rsidRPr="00DE096C" w:rsidRDefault="004D1A49" w:rsidP="00D45A46">
      <w:pPr>
        <w:jc w:val="both"/>
        <w:rPr>
          <w:bCs/>
          <w:color w:val="002060"/>
          <w:sz w:val="16"/>
          <w:szCs w:val="16"/>
        </w:rPr>
      </w:pPr>
      <w:r w:rsidRPr="00DE096C">
        <w:rPr>
          <w:bCs/>
          <w:color w:val="002060"/>
          <w:sz w:val="16"/>
          <w:szCs w:val="16"/>
        </w:rPr>
        <w:t>- установлены внешние 9-цилиндровые двухрядные звездообразные моторы водяного охлаждения Сальмсон В9 (по 135 л.с. по данным В.Б. Шаврова и 130 л.с. по М. Хайрулину);</w:t>
      </w:r>
    </w:p>
    <w:p w14:paraId="2D423F8C" w14:textId="77777777" w:rsidR="004D1A49" w:rsidRPr="00DE096C" w:rsidRDefault="004D1A49" w:rsidP="00D45A46">
      <w:pPr>
        <w:jc w:val="both"/>
        <w:rPr>
          <w:bCs/>
          <w:color w:val="002060"/>
          <w:sz w:val="16"/>
          <w:szCs w:val="16"/>
        </w:rPr>
      </w:pPr>
      <w:r w:rsidRPr="00DE096C">
        <w:rPr>
          <w:bCs/>
          <w:color w:val="002060"/>
          <w:sz w:val="16"/>
          <w:szCs w:val="16"/>
        </w:rPr>
        <w:t>- топливная система – с пятью баками (по одному над каждым мотором и один под центропланом верхнего крыла справа от ПСС);</w:t>
      </w:r>
    </w:p>
    <w:p w14:paraId="618CAE41" w14:textId="77777777" w:rsidR="004D1A49" w:rsidRPr="00DE096C" w:rsidRDefault="004D1A49" w:rsidP="00D45A46">
      <w:pPr>
        <w:jc w:val="both"/>
        <w:rPr>
          <w:bCs/>
          <w:color w:val="002060"/>
          <w:sz w:val="16"/>
          <w:szCs w:val="16"/>
        </w:rPr>
      </w:pPr>
      <w:r w:rsidRPr="00DE096C">
        <w:rPr>
          <w:bCs/>
          <w:color w:val="002060"/>
          <w:sz w:val="16"/>
          <w:szCs w:val="16"/>
        </w:rPr>
        <w:t>- установлены новые радиаторы.</w:t>
      </w:r>
    </w:p>
    <w:p w14:paraId="6D05EFFE" w14:textId="77777777" w:rsidR="004D1A49" w:rsidRPr="00DE096C" w:rsidRDefault="004D1A49" w:rsidP="00D45A46">
      <w:pPr>
        <w:jc w:val="both"/>
        <w:rPr>
          <w:bCs/>
          <w:color w:val="002060"/>
          <w:sz w:val="16"/>
          <w:szCs w:val="16"/>
        </w:rPr>
      </w:pPr>
      <w:r w:rsidRPr="00DE096C">
        <w:rPr>
          <w:bCs/>
          <w:color w:val="002060"/>
          <w:sz w:val="16"/>
          <w:szCs w:val="16"/>
        </w:rPr>
        <w:t>Из вооружения достоверно известно об установке пулемета «Максим» на верхней площадке.</w:t>
      </w:r>
    </w:p>
    <w:p w14:paraId="17D4D132" w14:textId="77777777" w:rsidR="004D1A49" w:rsidRPr="00DE096C" w:rsidRDefault="004D1A49" w:rsidP="00D45A46">
      <w:pPr>
        <w:jc w:val="both"/>
        <w:rPr>
          <w:bCs/>
          <w:color w:val="002060"/>
          <w:sz w:val="16"/>
          <w:szCs w:val="16"/>
        </w:rPr>
      </w:pPr>
      <w:r w:rsidRPr="00DE096C">
        <w:rPr>
          <w:bCs/>
          <w:color w:val="002060"/>
          <w:sz w:val="16"/>
          <w:szCs w:val="16"/>
        </w:rPr>
        <w:t>По сравнению с головным кораблем серии Б № 128 вес конструкции был больше на 560 кг, а взлетный – на 150 кг, лобовое сопротивление выросло и все летные данные ухудшились.</w:t>
      </w:r>
    </w:p>
    <w:p w14:paraId="5A6A309F" w14:textId="77777777" w:rsidR="004D1A49" w:rsidRPr="00DE096C" w:rsidRDefault="004D1A49" w:rsidP="00D45A46">
      <w:pPr>
        <w:jc w:val="both"/>
        <w:rPr>
          <w:bCs/>
          <w:color w:val="002060"/>
          <w:sz w:val="16"/>
          <w:szCs w:val="16"/>
        </w:rPr>
      </w:pPr>
      <w:r w:rsidRPr="00DE096C">
        <w:rPr>
          <w:bCs/>
          <w:color w:val="002060"/>
          <w:sz w:val="16"/>
          <w:szCs w:val="16"/>
        </w:rPr>
        <w:t>Командиром корабля был назначен поручик А.В. Панкратьев.</w:t>
      </w:r>
    </w:p>
    <w:p w14:paraId="36D82C36" w14:textId="77777777" w:rsidR="004D1A49" w:rsidRPr="00DE096C" w:rsidRDefault="004D1A49" w:rsidP="00D45A46">
      <w:pPr>
        <w:jc w:val="both"/>
        <w:rPr>
          <w:bCs/>
          <w:color w:val="002060"/>
          <w:sz w:val="16"/>
          <w:szCs w:val="16"/>
        </w:rPr>
      </w:pPr>
      <w:r w:rsidRPr="00DE096C">
        <w:rPr>
          <w:bCs/>
          <w:color w:val="002060"/>
          <w:sz w:val="16"/>
          <w:szCs w:val="16"/>
        </w:rPr>
        <w:t>24 сентября (7 октября) 1914 г. корабль вылетел по месту назначения, следуя на малой высоте вдоль линии ж/д Рыбинск – Виндава (ныне Вентспилс, Латвия), используя ее как ориентир. Охрана ж/д о полете уведомлена не была и у ст. Режица обстреляла корабль, который при вынужденной посадке получил значительные повреждения.</w:t>
      </w:r>
    </w:p>
    <w:p w14:paraId="1E24F567" w14:textId="77777777" w:rsidR="004D1A49" w:rsidRPr="00DE096C" w:rsidRDefault="004D1A49" w:rsidP="00D45A46">
      <w:pPr>
        <w:jc w:val="both"/>
        <w:rPr>
          <w:bCs/>
          <w:color w:val="002060"/>
          <w:sz w:val="16"/>
          <w:szCs w:val="16"/>
        </w:rPr>
      </w:pPr>
      <w:r w:rsidRPr="00DE096C">
        <w:rPr>
          <w:bCs/>
          <w:color w:val="002060"/>
          <w:sz w:val="16"/>
          <w:szCs w:val="16"/>
        </w:rPr>
        <w:t>При полевом ремонте требовалось восстановить или заменить:</w:t>
      </w:r>
    </w:p>
    <w:p w14:paraId="0AE72579" w14:textId="77777777" w:rsidR="004D1A49" w:rsidRPr="00DE096C" w:rsidRDefault="004D1A49" w:rsidP="00D45A46">
      <w:pPr>
        <w:jc w:val="both"/>
        <w:rPr>
          <w:bCs/>
          <w:color w:val="002060"/>
          <w:sz w:val="16"/>
          <w:szCs w:val="16"/>
        </w:rPr>
      </w:pPr>
      <w:r w:rsidRPr="00DE096C">
        <w:rPr>
          <w:bCs/>
          <w:color w:val="002060"/>
          <w:sz w:val="16"/>
          <w:szCs w:val="16"/>
        </w:rPr>
        <w:t>- носовую часть фюзеляжа (была смята);</w:t>
      </w:r>
    </w:p>
    <w:p w14:paraId="60953725" w14:textId="77777777" w:rsidR="004D1A49" w:rsidRPr="00DE096C" w:rsidRDefault="004D1A49" w:rsidP="00D45A46">
      <w:pPr>
        <w:jc w:val="both"/>
        <w:rPr>
          <w:bCs/>
          <w:color w:val="002060"/>
          <w:sz w:val="16"/>
          <w:szCs w:val="16"/>
        </w:rPr>
      </w:pPr>
      <w:r w:rsidRPr="00DE096C">
        <w:rPr>
          <w:bCs/>
          <w:color w:val="002060"/>
          <w:sz w:val="16"/>
          <w:szCs w:val="16"/>
        </w:rPr>
        <w:t>- все нижнее крыло;</w:t>
      </w:r>
    </w:p>
    <w:p w14:paraId="57717C61" w14:textId="77777777" w:rsidR="004D1A49" w:rsidRPr="00DE096C" w:rsidRDefault="004D1A49" w:rsidP="00D45A46">
      <w:pPr>
        <w:jc w:val="both"/>
        <w:rPr>
          <w:bCs/>
          <w:color w:val="002060"/>
          <w:sz w:val="16"/>
          <w:szCs w:val="16"/>
        </w:rPr>
      </w:pPr>
      <w:r w:rsidRPr="00DE096C">
        <w:rPr>
          <w:bCs/>
          <w:color w:val="002060"/>
          <w:sz w:val="16"/>
          <w:szCs w:val="16"/>
        </w:rPr>
        <w:lastRenderedPageBreak/>
        <w:t>- один мотор.</w:t>
      </w:r>
    </w:p>
    <w:p w14:paraId="37BD6B55" w14:textId="77777777" w:rsidR="004D1A49" w:rsidRPr="00DE096C" w:rsidRDefault="004D1A49" w:rsidP="00D45A46">
      <w:pPr>
        <w:jc w:val="both"/>
        <w:rPr>
          <w:bCs/>
          <w:color w:val="002060"/>
          <w:sz w:val="16"/>
          <w:szCs w:val="16"/>
        </w:rPr>
      </w:pPr>
      <w:r w:rsidRPr="00DE096C">
        <w:rPr>
          <w:bCs/>
          <w:color w:val="002060"/>
          <w:sz w:val="16"/>
          <w:szCs w:val="16"/>
        </w:rPr>
        <w:t>Ремонт планера выполнили примерно за месяц, но гонку мотора, заказанного на замену, на РБВЗ выполнили на станке для ротативных моторов мощностью до 80 л.с. и вывели его из строя.</w:t>
      </w:r>
    </w:p>
    <w:p w14:paraId="78CB6A67" w14:textId="77777777" w:rsidR="004D1A49" w:rsidRPr="00DE096C" w:rsidRDefault="004D1A49" w:rsidP="00D45A46">
      <w:pPr>
        <w:jc w:val="both"/>
        <w:rPr>
          <w:bCs/>
          <w:color w:val="002060"/>
          <w:sz w:val="16"/>
          <w:szCs w:val="16"/>
        </w:rPr>
      </w:pPr>
      <w:r w:rsidRPr="00DE096C">
        <w:rPr>
          <w:bCs/>
          <w:color w:val="002060"/>
          <w:sz w:val="16"/>
          <w:szCs w:val="16"/>
        </w:rPr>
        <w:t>В конце ноября (начале декабря по н.ст.) 1914 г. корабль в разобранном виде и команду по ж/д доставили в Брест-Литовск (ныне Брест, Белоруссия).</w:t>
      </w:r>
    </w:p>
    <w:p w14:paraId="2EBDD90C" w14:textId="77777777" w:rsidR="004D1A49" w:rsidRPr="00DE096C" w:rsidRDefault="004D1A49" w:rsidP="00D45A46">
      <w:pPr>
        <w:jc w:val="both"/>
        <w:rPr>
          <w:bCs/>
          <w:color w:val="002060"/>
          <w:sz w:val="16"/>
          <w:szCs w:val="16"/>
        </w:rPr>
      </w:pPr>
      <w:r w:rsidRPr="00DE096C">
        <w:rPr>
          <w:bCs/>
          <w:color w:val="002060"/>
          <w:sz w:val="16"/>
          <w:szCs w:val="16"/>
        </w:rPr>
        <w:t>16 мая 1916 г. на а/д Яблонна самолет был осмотрен Великим князем Кириллом Владимировичем (Романовым) со свитой.</w:t>
      </w:r>
    </w:p>
    <w:p w14:paraId="443C5CED" w14:textId="77777777" w:rsidR="004D1A49" w:rsidRPr="00DE096C" w:rsidRDefault="004D1A49" w:rsidP="00D45A46">
      <w:pPr>
        <w:jc w:val="both"/>
        <w:rPr>
          <w:bCs/>
          <w:color w:val="002060"/>
          <w:sz w:val="16"/>
          <w:szCs w:val="16"/>
        </w:rPr>
      </w:pPr>
      <w:r w:rsidRPr="00DE096C">
        <w:rPr>
          <w:bCs/>
          <w:color w:val="002060"/>
          <w:sz w:val="16"/>
          <w:szCs w:val="16"/>
        </w:rPr>
        <w:t>Списан во 2-й половине мая 1915 г. в Яблонне (23569).</w:t>
      </w:r>
    </w:p>
    <w:p w14:paraId="5AC5D972" w14:textId="77777777" w:rsidR="004D1A49" w:rsidRPr="00DE096C" w:rsidRDefault="004D1A49" w:rsidP="00D45A46">
      <w:pPr>
        <w:jc w:val="both"/>
        <w:rPr>
          <w:bCs/>
          <w:color w:val="002060"/>
          <w:sz w:val="16"/>
          <w:szCs w:val="16"/>
        </w:rPr>
      </w:pPr>
    </w:p>
    <w:p w14:paraId="08F506EA" w14:textId="77777777" w:rsidR="00B67D7C" w:rsidRPr="00DE096C" w:rsidRDefault="00B67D7C" w:rsidP="00D45A46">
      <w:pPr>
        <w:jc w:val="both"/>
        <w:rPr>
          <w:bCs/>
          <w:i/>
          <w:color w:val="002060"/>
          <w:sz w:val="16"/>
          <w:szCs w:val="16"/>
        </w:rPr>
      </w:pPr>
      <w:r w:rsidRPr="00DE096C">
        <w:rPr>
          <w:bCs/>
          <w:i/>
          <w:color w:val="002060"/>
          <w:sz w:val="16"/>
          <w:szCs w:val="16"/>
        </w:rPr>
        <w:t>Самолетостроение:</w:t>
      </w:r>
    </w:p>
    <w:p w14:paraId="3B16EDD7" w14:textId="77777777" w:rsidR="00B67D7C" w:rsidRPr="00DE096C" w:rsidRDefault="00B67D7C" w:rsidP="00D45A46">
      <w:pPr>
        <w:jc w:val="both"/>
        <w:rPr>
          <w:bCs/>
          <w:i/>
          <w:color w:val="002060"/>
          <w:sz w:val="16"/>
          <w:szCs w:val="16"/>
        </w:rPr>
      </w:pPr>
    </w:p>
    <w:p w14:paraId="79AF18BC" w14:textId="77777777" w:rsidR="00354A55" w:rsidRPr="00DE096C" w:rsidRDefault="00354A55" w:rsidP="00D45A46">
      <w:pPr>
        <w:pStyle w:val="2"/>
        <w:spacing w:before="0" w:after="0"/>
        <w:jc w:val="both"/>
        <w:rPr>
          <w:b w:val="0"/>
          <w:bCs/>
          <w:color w:val="002060"/>
          <w:sz w:val="16"/>
          <w:szCs w:val="16"/>
        </w:rPr>
      </w:pPr>
      <w:r w:rsidRPr="00DE096C">
        <w:rPr>
          <w:b w:val="0"/>
          <w:bCs/>
          <w:color w:val="002060"/>
          <w:sz w:val="16"/>
          <w:szCs w:val="16"/>
        </w:rPr>
        <w:t>Осенью 1914 в начале войны Н.Р.Лобанов, М.Ф.Адамчик и Кузнецов в помещении на Долгоруковской улице основали «Аэротехнический» завод. За годы войны производство существенно расширили, появились еще две территории неподалеку. Завод поставлял деревянные винты и зимние лыжи для самолетов «Дукс» (15436).</w:t>
      </w:r>
    </w:p>
    <w:p w14:paraId="4D54D703" w14:textId="77777777" w:rsidR="00354A55" w:rsidRPr="00DE096C" w:rsidRDefault="00354A55" w:rsidP="00D45A46">
      <w:pPr>
        <w:pStyle w:val="2"/>
        <w:spacing w:before="0" w:after="0"/>
        <w:jc w:val="both"/>
        <w:rPr>
          <w:b w:val="0"/>
          <w:bCs/>
          <w:color w:val="002060"/>
          <w:sz w:val="16"/>
          <w:szCs w:val="16"/>
        </w:rPr>
      </w:pPr>
    </w:p>
    <w:p w14:paraId="4AC96B8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Осенью 1914 в начале войны Анатра получил заказ военного ве</w:t>
      </w:r>
      <w:r w:rsidRPr="00DE096C">
        <w:rPr>
          <w:bCs/>
          <w:color w:val="002060"/>
          <w:sz w:val="16"/>
          <w:szCs w:val="16"/>
        </w:rPr>
        <w:softHyphen/>
        <w:t>домства на небольшую пар тию учебных самолетов «Моран-Ж». Характерной осо</w:t>
      </w:r>
      <w:r w:rsidRPr="00DE096C">
        <w:rPr>
          <w:bCs/>
          <w:color w:val="002060"/>
          <w:sz w:val="16"/>
          <w:szCs w:val="16"/>
        </w:rPr>
        <w:softHyphen/>
        <w:t>бенностью этого моноплана являлся четырехгранный фюзеляж, сходивший к хвосту на острую горизонталь</w:t>
      </w:r>
      <w:r w:rsidRPr="00DE096C">
        <w:rPr>
          <w:bCs/>
          <w:color w:val="002060"/>
          <w:sz w:val="16"/>
          <w:szCs w:val="16"/>
        </w:rPr>
        <w:softHyphen/>
        <w:t>ную грань. Стабилизатора и киля не было. В носовой части фюзеляжа под капотом устанавливался двига</w:t>
      </w:r>
      <w:r w:rsidRPr="00DE096C">
        <w:rPr>
          <w:bCs/>
          <w:color w:val="002060"/>
          <w:sz w:val="16"/>
          <w:szCs w:val="16"/>
        </w:rPr>
        <w:softHyphen/>
        <w:t>тель «Гном» в 80 л.с. Крылья «Морана-Ж» выполня</w:t>
      </w:r>
      <w:r w:rsidRPr="00DE096C">
        <w:rPr>
          <w:bCs/>
          <w:color w:val="002060"/>
          <w:sz w:val="16"/>
          <w:szCs w:val="16"/>
        </w:rPr>
        <w:softHyphen/>
        <w:t>лись в двух взаимозаменяемых вариантах: размахом 9,3 и 10,2 метра, при этом они имели площадь 14 и 16 м</w:t>
      </w:r>
      <w:r w:rsidRPr="00DE096C">
        <w:rPr>
          <w:bCs/>
          <w:color w:val="002060"/>
          <w:sz w:val="16"/>
          <w:szCs w:val="16"/>
          <w:vertAlign w:val="superscript"/>
        </w:rPr>
        <w:t>2</w:t>
      </w:r>
      <w:r w:rsidRPr="00DE096C">
        <w:rPr>
          <w:bCs/>
          <w:color w:val="002060"/>
          <w:sz w:val="16"/>
          <w:szCs w:val="16"/>
        </w:rPr>
        <w:t>. Поэтому самолеты различались по крыльям: «Моран-Ж» 14-метровый и «Моран-Ж» 16-метровый. Самолет являлся одним из лучших в русской авиа</w:t>
      </w:r>
      <w:r w:rsidRPr="00DE096C">
        <w:rPr>
          <w:bCs/>
          <w:color w:val="002060"/>
          <w:sz w:val="16"/>
          <w:szCs w:val="16"/>
        </w:rPr>
        <w:softHyphen/>
        <w:t>ции. Среди французских самолетов, строившихся заво</w:t>
      </w:r>
      <w:r w:rsidRPr="00DE096C">
        <w:rPr>
          <w:bCs/>
          <w:color w:val="002060"/>
          <w:sz w:val="16"/>
          <w:szCs w:val="16"/>
        </w:rPr>
        <w:softHyphen/>
        <w:t>дом Анатра, был самолет-разведчик «Вуазен 1А8» — трехстоечный биплан с передним рулем высоты и бипланным хвостовым оперением. На самолете уста</w:t>
      </w:r>
      <w:r w:rsidRPr="00DE096C">
        <w:rPr>
          <w:bCs/>
          <w:color w:val="002060"/>
          <w:sz w:val="16"/>
          <w:szCs w:val="16"/>
        </w:rPr>
        <w:softHyphen/>
        <w:t>навливался двигатель «Сальмсон» в 150 л.с. Самолет отличался характерными вертикальными переборками по концам коробки крыльев и расположенной пе</w:t>
      </w:r>
      <w:r w:rsidRPr="00DE096C">
        <w:rPr>
          <w:bCs/>
          <w:color w:val="002060"/>
          <w:sz w:val="16"/>
          <w:szCs w:val="16"/>
        </w:rPr>
        <w:softHyphen/>
        <w:t>ред крылом гондолой, напоминающей по форме ути</w:t>
      </w:r>
      <w:r w:rsidRPr="00DE096C">
        <w:rPr>
          <w:bCs/>
          <w:color w:val="002060"/>
          <w:sz w:val="16"/>
          <w:szCs w:val="16"/>
        </w:rPr>
        <w:softHyphen/>
        <w:t>ный нос. Все основные элементы крыльев и ферм из</w:t>
      </w:r>
      <w:r w:rsidRPr="00DE096C">
        <w:rPr>
          <w:bCs/>
          <w:color w:val="002060"/>
          <w:sz w:val="16"/>
          <w:szCs w:val="16"/>
        </w:rPr>
        <w:softHyphen/>
        <w:t>готавливались из тонкостенных стальных труб, гон</w:t>
      </w:r>
      <w:r w:rsidRPr="00DE096C">
        <w:rPr>
          <w:bCs/>
          <w:color w:val="002060"/>
          <w:sz w:val="16"/>
          <w:szCs w:val="16"/>
        </w:rPr>
        <w:softHyphen/>
        <w:t>дола и нервюры — из фанеры и дерева. Обтяжка — льняное полотно. В целом получилась простая, лег</w:t>
      </w:r>
      <w:r w:rsidRPr="00DE096C">
        <w:rPr>
          <w:bCs/>
          <w:color w:val="002060"/>
          <w:sz w:val="16"/>
          <w:szCs w:val="16"/>
        </w:rPr>
        <w:softHyphen/>
        <w:t>кая и долговечная конструкция. В различных документах, посвященных развитию отечественного авиастроения, среди самолетов, соби</w:t>
      </w:r>
      <w:r w:rsidRPr="00DE096C">
        <w:rPr>
          <w:bCs/>
          <w:color w:val="002060"/>
          <w:sz w:val="16"/>
          <w:szCs w:val="16"/>
        </w:rPr>
        <w:softHyphen/>
        <w:t>раемых на заводе Анатра в Одессе, упоминается «Ньюпор-4». По своей схеме — расчалочный среднеплан, одноместный, но с возможностью посадки второго человека непосредственно за спиной летчика «в за</w:t>
      </w:r>
      <w:r w:rsidRPr="00DE096C">
        <w:rPr>
          <w:bCs/>
          <w:color w:val="002060"/>
          <w:sz w:val="16"/>
          <w:szCs w:val="16"/>
        </w:rPr>
        <w:softHyphen/>
        <w:t>тылок». Управление самолетом было своеобразным и более нигде не встречается. Функции элеронов вы</w:t>
      </w:r>
      <w:r w:rsidRPr="00DE096C">
        <w:rPr>
          <w:bCs/>
          <w:color w:val="002060"/>
          <w:sz w:val="16"/>
          <w:szCs w:val="16"/>
        </w:rPr>
        <w:softHyphen/>
        <w:t>полняло перекашивание крыльев, причем управлялись они при помощи ног. А рули поворота и высоты — отклонением одной ручки. Неповторимым самолет делало и его рессорное шас</w:t>
      </w:r>
      <w:r w:rsidRPr="00DE096C">
        <w:rPr>
          <w:bCs/>
          <w:color w:val="002060"/>
          <w:sz w:val="16"/>
          <w:szCs w:val="16"/>
        </w:rPr>
        <w:softHyphen/>
        <w:t>си, снабженное противока-потажной «ложкой». Само</w:t>
      </w:r>
      <w:r w:rsidRPr="00DE096C">
        <w:rPr>
          <w:bCs/>
          <w:color w:val="002060"/>
          <w:sz w:val="16"/>
          <w:szCs w:val="16"/>
        </w:rPr>
        <w:softHyphen/>
        <w:t>лет с двигателем «Гном» в 70 л.с. выпускался небольшой серией в 1915-1916 годах. Кроме того, на заводе было выпущено 50 комплектов усовершенствованных кры</w:t>
      </w:r>
      <w:r w:rsidRPr="00DE096C">
        <w:rPr>
          <w:bCs/>
          <w:color w:val="002060"/>
          <w:sz w:val="16"/>
          <w:szCs w:val="16"/>
        </w:rPr>
        <w:softHyphen/>
        <w:t>льев для этих самолетов. Крылья, в отличие от обыч</w:t>
      </w:r>
      <w:r w:rsidRPr="00DE096C">
        <w:rPr>
          <w:bCs/>
          <w:color w:val="002060"/>
          <w:sz w:val="16"/>
          <w:szCs w:val="16"/>
        </w:rPr>
        <w:softHyphen/>
        <w:t>ных, имели 8-образный про</w:t>
      </w:r>
      <w:r w:rsidRPr="00DE096C">
        <w:rPr>
          <w:bCs/>
          <w:color w:val="002060"/>
          <w:sz w:val="16"/>
          <w:szCs w:val="16"/>
        </w:rPr>
        <w:softHyphen/>
        <w:t>филь и более редкий набор нервюр (на две меньше в каждом крыле) (553).</w:t>
      </w:r>
    </w:p>
    <w:p w14:paraId="2C2EE0ED" w14:textId="77777777" w:rsidR="00B67D7C" w:rsidRPr="00DE096C" w:rsidRDefault="00B67D7C" w:rsidP="00D45A46">
      <w:pPr>
        <w:shd w:val="clear" w:color="auto" w:fill="FFFFFF"/>
        <w:jc w:val="both"/>
        <w:rPr>
          <w:bCs/>
          <w:color w:val="002060"/>
          <w:sz w:val="16"/>
          <w:szCs w:val="16"/>
        </w:rPr>
      </w:pPr>
    </w:p>
    <w:p w14:paraId="1D77B77F" w14:textId="77777777" w:rsidR="00B67D7C" w:rsidRPr="00DE096C" w:rsidRDefault="00B67D7C" w:rsidP="00D45A46">
      <w:pPr>
        <w:jc w:val="both"/>
        <w:rPr>
          <w:bCs/>
          <w:color w:val="002060"/>
          <w:sz w:val="16"/>
          <w:szCs w:val="16"/>
        </w:rPr>
      </w:pPr>
      <w:r w:rsidRPr="00DE096C">
        <w:rPr>
          <w:bCs/>
          <w:color w:val="002060"/>
          <w:sz w:val="16"/>
          <w:szCs w:val="16"/>
        </w:rPr>
        <w:t>Осенью 1914 г. военное министерство и Главное управление генерального штаба вы</w:t>
      </w:r>
      <w:r w:rsidRPr="00DE096C">
        <w:rPr>
          <w:bCs/>
          <w:color w:val="002060"/>
          <w:sz w:val="16"/>
          <w:szCs w:val="16"/>
        </w:rPr>
        <w:softHyphen/>
        <w:t>нуждены были согласиться с предложением Русско-Балтийского вагонного завода: «...сгруппировать аэропланы ИМ в ближайшем к району театра военных действий месте и, в условиях боевой об</w:t>
      </w:r>
      <w:r w:rsidRPr="00DE096C">
        <w:rPr>
          <w:bCs/>
          <w:color w:val="002060"/>
          <w:sz w:val="16"/>
          <w:szCs w:val="16"/>
        </w:rPr>
        <w:softHyphen/>
        <w:t>становки, под руководством и техническим надзором лиц, конструи</w:t>
      </w:r>
      <w:r w:rsidRPr="00DE096C">
        <w:rPr>
          <w:bCs/>
          <w:color w:val="002060"/>
          <w:sz w:val="16"/>
          <w:szCs w:val="16"/>
        </w:rPr>
        <w:softHyphen/>
        <w:t>ровавших этот аппарат, пройти необходимый практический курс...» (ЦГВИА, ф. 2000, оп. 3, д. 2537, л. 89).В декабре 1914 г. поступившие в армию тяжелые самолеты «Илья Муромец» были сведены в «Эскадру воздушных кораблей», которая сначала дислоцировалась на аэродроме Яблонна под Варшавой, а позже на аэродромном узле Пскова. С первых же дней своей боевой деятельности «Эскадра воздушных кораблей» играла роль не только боевого соединения, но и научно-испытатель</w:t>
      </w:r>
      <w:r w:rsidRPr="00DE096C">
        <w:rPr>
          <w:bCs/>
          <w:color w:val="002060"/>
          <w:sz w:val="16"/>
          <w:szCs w:val="16"/>
        </w:rPr>
        <w:softHyphen/>
        <w:t>ной организации. Такая роль определялась, во-первых, необходи</w:t>
      </w:r>
      <w:r w:rsidRPr="00DE096C">
        <w:rPr>
          <w:bCs/>
          <w:color w:val="002060"/>
          <w:sz w:val="16"/>
          <w:szCs w:val="16"/>
        </w:rPr>
        <w:softHyphen/>
        <w:t>мостью дальнейшего усовершенствования самолетов «Илья Муро</w:t>
      </w:r>
      <w:r w:rsidRPr="00DE096C">
        <w:rPr>
          <w:bCs/>
          <w:color w:val="002060"/>
          <w:sz w:val="16"/>
          <w:szCs w:val="16"/>
        </w:rPr>
        <w:softHyphen/>
        <w:t>мец» на основе опыта их боевого применения и, во-вторых, необхо</w:t>
      </w:r>
      <w:r w:rsidRPr="00DE096C">
        <w:rPr>
          <w:bCs/>
          <w:color w:val="002060"/>
          <w:sz w:val="16"/>
          <w:szCs w:val="16"/>
        </w:rPr>
        <w:softHyphen/>
        <w:t>димостью многочисленных доводок и доделок уже сданных военному ведомству самолетов. Инициатива летного и технического состава «Эскадры воздушных кораблей», их боевой опыт и тесная связь с заводом сделали такую организацию в высшей степени жизнеспособной и деятельной (318).</w:t>
      </w:r>
    </w:p>
    <w:p w14:paraId="14C73CFC" w14:textId="77777777" w:rsidR="00B67D7C" w:rsidRPr="00DE096C" w:rsidRDefault="00B67D7C" w:rsidP="00D45A46">
      <w:pPr>
        <w:jc w:val="both"/>
        <w:rPr>
          <w:bCs/>
          <w:color w:val="002060"/>
          <w:sz w:val="16"/>
          <w:szCs w:val="16"/>
        </w:rPr>
      </w:pPr>
    </w:p>
    <w:p w14:paraId="3A7B4BB7" w14:textId="2565EB07" w:rsidR="00B67D7C" w:rsidRPr="00DE096C" w:rsidRDefault="00B67D7C" w:rsidP="00D45A46">
      <w:pPr>
        <w:jc w:val="both"/>
        <w:rPr>
          <w:bCs/>
          <w:color w:val="002060"/>
          <w:sz w:val="16"/>
          <w:szCs w:val="16"/>
        </w:rPr>
      </w:pPr>
      <w:r w:rsidRPr="00DE096C">
        <w:rPr>
          <w:bCs/>
          <w:color w:val="002060"/>
          <w:sz w:val="16"/>
          <w:szCs w:val="16"/>
        </w:rPr>
        <w:t>В осенние месяцы 1914 г., казалось, не было ни часа свободного времени - сплошная рабочая круговерть. Завод работал в три смены, возникала масса вопросов по запущенным в производство первым пяти кораблям. Сикорскому немедленно приходилось принимать ответственные решения. Кроме огромного объема производственных вопросов на Сикорского, как уже упоминалось, была возложена задача готовить армейских летчиков, вести летные испытания и сдачу построенных "Муромцев". Для творческой работы оставалась только ночь. В это время и рождалась новая боевая машина - тяжелый воздушный корабль серии В" (11230).</w:t>
      </w:r>
    </w:p>
    <w:p w14:paraId="27147FDA" w14:textId="77777777" w:rsidR="00B67D7C" w:rsidRPr="00DE096C" w:rsidRDefault="00B67D7C" w:rsidP="00D45A46">
      <w:pPr>
        <w:jc w:val="both"/>
        <w:rPr>
          <w:bCs/>
          <w:color w:val="002060"/>
          <w:sz w:val="16"/>
          <w:szCs w:val="16"/>
        </w:rPr>
      </w:pPr>
      <w:r w:rsidRPr="00DE096C">
        <w:rPr>
          <w:bCs/>
          <w:color w:val="002060"/>
          <w:sz w:val="16"/>
          <w:szCs w:val="16"/>
        </w:rPr>
        <w:t>Наконец самолет спроектирован, проведены некоторые испытания элементов конструкции на прочность, сделаны продувки. В ноябре первая машина была готова. Она и стала родоначальницей "облегченных" С-23. Конструкция, в общем, осталась прежней, только корабль стал меньших размеров и веса, более приспособленный к боевому применению. Скорость, потолок, дальность и грузоподъемность возросли. Дальность, например, увеличилась на 300 км, потолок стал свыше 3 тыс. м, скорость 125 км/ч при той же посадочной 75 км/ч. Полезная нагрузка возросла до полутора тонн. Это был уже существенный шаг вперед. Самолеты этой серии (29 машин с заводскими № 149, 151, 152, 157- 182) впоследствии неоднократно подвергались изменениям в связи с требованиями боевого применения. Первоначально округленный и тупой нос фюзеляжа был сделан острым, потом многогранным, причем площадь остекления непрерывно росла. Была сделана еще дверь по правому борту и прорезан ряд люков. Для увеличения живучести самолета в боевых условиях бензобаки были перенесены на фюзеляж в центроплан. Маслобаки помещены за двигателями. Наружные обводы (носки и задняя кромка крыльев), начиная с этой серии, стали делать из стальных труб, до этого они были деревянными (11230).</w:t>
      </w:r>
    </w:p>
    <w:p w14:paraId="587995E7" w14:textId="77777777" w:rsidR="00B67D7C" w:rsidRPr="00DE096C" w:rsidRDefault="00B67D7C" w:rsidP="00D45A46">
      <w:pPr>
        <w:jc w:val="both"/>
        <w:rPr>
          <w:bCs/>
          <w:color w:val="002060"/>
          <w:sz w:val="16"/>
          <w:szCs w:val="16"/>
        </w:rPr>
      </w:pPr>
    </w:p>
    <w:p w14:paraId="4B78923D" w14:textId="51F6368C" w:rsidR="00B67D7C" w:rsidRPr="00DE096C" w:rsidRDefault="00B67D7C" w:rsidP="00D45A46">
      <w:pPr>
        <w:shd w:val="clear" w:color="auto" w:fill="FFFFFF"/>
        <w:jc w:val="both"/>
        <w:rPr>
          <w:bCs/>
          <w:color w:val="002060"/>
          <w:sz w:val="16"/>
          <w:szCs w:val="16"/>
        </w:rPr>
      </w:pPr>
      <w:r w:rsidRPr="00DE096C">
        <w:rPr>
          <w:bCs/>
          <w:color w:val="002060"/>
          <w:sz w:val="16"/>
          <w:szCs w:val="16"/>
        </w:rPr>
        <w:t>Осе</w:t>
      </w:r>
      <w:r w:rsidRPr="00DE096C">
        <w:rPr>
          <w:bCs/>
          <w:color w:val="002060"/>
          <w:sz w:val="16"/>
          <w:szCs w:val="16"/>
        </w:rPr>
        <w:softHyphen/>
        <w:t>нью 1914 г. председатель правления РБВЗ М.В. Шидловский объявил конкурс на создание отечественного авиамотора, который мог бы заменить «Аргус». В конкурсе участвовали две группы. Одна, руководимая В.В. Киреевым, работала на заводе РБВЗ в Риге, другая, подчинявшаяся непосредственно И.И. Сикорскому, — на Механическом заводе РБВЗ в Петрограде. Мотор Сикорского, названный МРБ-6 («Мотор Русско-Балтийский-6»), ко</w:t>
      </w:r>
      <w:r w:rsidRPr="00DE096C">
        <w:rPr>
          <w:bCs/>
          <w:color w:val="002060"/>
          <w:sz w:val="16"/>
          <w:szCs w:val="16"/>
        </w:rPr>
        <w:softHyphen/>
        <w:t>пировал «Аргус» в 140 л.с. Двигатель РБВЗ-6 Киреева основывался на кон</w:t>
      </w:r>
      <w:r w:rsidRPr="00DE096C">
        <w:rPr>
          <w:bCs/>
          <w:color w:val="002060"/>
          <w:sz w:val="16"/>
          <w:szCs w:val="16"/>
        </w:rPr>
        <w:softHyphen/>
        <w:t>струкции мотора «Бенц» в 150 л.с. Оба они являлись 6-цилиндровыми ряд</w:t>
      </w:r>
      <w:r w:rsidRPr="00DE096C">
        <w:rPr>
          <w:bCs/>
          <w:color w:val="002060"/>
          <w:sz w:val="16"/>
          <w:szCs w:val="16"/>
        </w:rPr>
        <w:softHyphen/>
        <w:t>ными двигателями водяного охлаждения. Но ни МРБ-6, ни РБВЗ-6 не были точными копиями своих прототипов, а приспосабливались к имеющимся в России материалам и оборудованию, а также комплектующим агрегатам. Мотор Киреева признали лучшим и готовили его серийное производ</w:t>
      </w:r>
      <w:r w:rsidRPr="00DE096C">
        <w:rPr>
          <w:bCs/>
          <w:color w:val="002060"/>
          <w:sz w:val="16"/>
          <w:szCs w:val="16"/>
        </w:rPr>
        <w:softHyphen/>
        <w:t>ство в Риге. Там успели построить первые пять экземпляров, фактически опытных. Но сдача Риги немцам в 1915 г. привела к эвакуации завода в Петроград. Часть оборудования при этом бросили на старом месте. Поезда со станками мешали воинским эшелонам, идущим к фронту, и вагоны сбрасывали под откос. Завод фактически перестал существовать. Поэтому двигатель МРБ-6 запустили в производство на Механическом заводе в Петрограде как временный тип до налаживания массового вы</w:t>
      </w:r>
      <w:r w:rsidRPr="00DE096C">
        <w:rPr>
          <w:bCs/>
          <w:color w:val="002060"/>
          <w:sz w:val="16"/>
          <w:szCs w:val="16"/>
        </w:rPr>
        <w:softHyphen/>
        <w:t>пуска РБВЗ-6. Заказали в общей сложности 68 МРБ-6. К августу 1917 г. собрали 34 двигателя. Всего их изготовили около 40 штук. МРБ-6 был немного легче и короче РБВЗ-6, но имел меньшую мощ</w:t>
      </w:r>
      <w:r w:rsidRPr="00DE096C">
        <w:rPr>
          <w:bCs/>
          <w:color w:val="002060"/>
          <w:sz w:val="16"/>
          <w:szCs w:val="16"/>
        </w:rPr>
        <w:softHyphen/>
        <w:t>ность и низкую надежность. Кроме того, Механический завод с трудом укладывался в параметры утвержденных Военным ведомством техниче</w:t>
      </w:r>
      <w:r w:rsidRPr="00DE096C">
        <w:rPr>
          <w:bCs/>
          <w:color w:val="002060"/>
          <w:sz w:val="16"/>
          <w:szCs w:val="16"/>
        </w:rPr>
        <w:softHyphen/>
        <w:t>ских условий по весу и мощности. Для организации производства РБВЗ-6 в Петрограде специально созда</w:t>
      </w:r>
      <w:r w:rsidRPr="00DE096C">
        <w:rPr>
          <w:bCs/>
          <w:color w:val="002060"/>
          <w:sz w:val="16"/>
          <w:szCs w:val="16"/>
        </w:rPr>
        <w:softHyphen/>
        <w:t>ли на арендованной территории бывших винных складов Моторный за</w:t>
      </w:r>
      <w:r w:rsidRPr="00DE096C">
        <w:rPr>
          <w:bCs/>
          <w:color w:val="002060"/>
          <w:sz w:val="16"/>
          <w:szCs w:val="16"/>
        </w:rPr>
        <w:softHyphen/>
        <w:t>вод РБВЗ. Основой его стали люди и оборудование, вывезенное из Риги. В июле 1916 г. на Моторном заводе сделали еще одну пробную партию из пяти двигателей, а затем начали выполнение заказа Управления воз</w:t>
      </w:r>
      <w:r w:rsidRPr="00DE096C">
        <w:rPr>
          <w:bCs/>
          <w:color w:val="002060"/>
          <w:sz w:val="16"/>
          <w:szCs w:val="16"/>
        </w:rPr>
        <w:softHyphen/>
        <w:t>душного флота. В марте 1917 г. было готово 25 штук, в сентябре — 39. Всего в Петрограде изготовили 45 РБВЗ-6. Эти моторы имели хорошую репутацию у механиков Эскадры воздушных кораблей (соединения тяже</w:t>
      </w:r>
      <w:r w:rsidRPr="00DE096C">
        <w:rPr>
          <w:bCs/>
          <w:color w:val="002060"/>
          <w:sz w:val="16"/>
          <w:szCs w:val="16"/>
        </w:rPr>
        <w:softHyphen/>
        <w:t>лых бомбардировщиков «Илья Муромец»), называвших их «Руссобалт» (11852).</w:t>
      </w:r>
    </w:p>
    <w:p w14:paraId="6B8F0766" w14:textId="77777777" w:rsidR="00B67D7C" w:rsidRPr="00DE096C" w:rsidRDefault="00B67D7C" w:rsidP="00D45A46">
      <w:pPr>
        <w:shd w:val="clear" w:color="auto" w:fill="FFFFFF"/>
        <w:jc w:val="both"/>
        <w:rPr>
          <w:bCs/>
          <w:color w:val="002060"/>
          <w:sz w:val="16"/>
          <w:szCs w:val="16"/>
        </w:rPr>
      </w:pPr>
    </w:p>
    <w:p w14:paraId="691BBAB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Осенью 1914 г. на «Дуксе» с объявлением Первой мировой войны инженер Н.Н.Лебеденко изобрел «ап</w:t>
      </w:r>
      <w:r w:rsidRPr="00DE096C">
        <w:rPr>
          <w:bCs/>
          <w:color w:val="002060"/>
          <w:sz w:val="16"/>
          <w:szCs w:val="16"/>
        </w:rPr>
        <w:softHyphen/>
        <w:t>парат прицельного автоматического метания бомб с аэро</w:t>
      </w:r>
      <w:r w:rsidRPr="00DE096C">
        <w:rPr>
          <w:bCs/>
          <w:color w:val="002060"/>
          <w:sz w:val="16"/>
          <w:szCs w:val="16"/>
        </w:rPr>
        <w:softHyphen/>
        <w:t>планов по неподвижным и движущимся целям, основан</w:t>
      </w:r>
      <w:r w:rsidRPr="00DE096C">
        <w:rPr>
          <w:bCs/>
          <w:color w:val="002060"/>
          <w:sz w:val="16"/>
          <w:szCs w:val="16"/>
        </w:rPr>
        <w:softHyphen/>
        <w:t>ный на новом принципе измерения относительной скорости аэроплана и цели». Летчику нужно было, по утверждению Н.Е.Жуковского, «поворачивая трубу руками, постоянно держать предмет на перекрестных нитях». Изменение уг</w:t>
      </w:r>
      <w:r w:rsidRPr="00DE096C">
        <w:rPr>
          <w:bCs/>
          <w:color w:val="002060"/>
          <w:sz w:val="16"/>
          <w:szCs w:val="16"/>
        </w:rPr>
        <w:softHyphen/>
        <w:t>лов в пределах заданного интервала времени, сброс бомбы при нужном угле проводились автоматически при помощи часов и барометра (9651). Прицелы Лебеденко вместе с кассетным бомбосбрасыва</w:t>
      </w:r>
      <w:r w:rsidRPr="00DE096C">
        <w:rPr>
          <w:bCs/>
          <w:color w:val="002060"/>
          <w:sz w:val="16"/>
          <w:szCs w:val="16"/>
        </w:rPr>
        <w:softHyphen/>
        <w:t>телем на два снаряда приняли как опытный на вооружение и устанавливали на «Вуазены», строившиеся на «Дуксе». Заказали 20 приборов, 15 из них в 1915 г. приняли в каз</w:t>
      </w:r>
      <w:r w:rsidRPr="00DE096C">
        <w:rPr>
          <w:bCs/>
          <w:color w:val="002060"/>
          <w:sz w:val="16"/>
          <w:szCs w:val="16"/>
        </w:rPr>
        <w:softHyphen/>
        <w:t>ну и отправили «для дополнительного изучения» в Сева</w:t>
      </w:r>
      <w:r w:rsidRPr="00DE096C">
        <w:rPr>
          <w:bCs/>
          <w:color w:val="002060"/>
          <w:sz w:val="16"/>
          <w:szCs w:val="16"/>
        </w:rPr>
        <w:softHyphen/>
        <w:t>стопольскую и Киевскую авиашколы и фронтовые отряды (9651).</w:t>
      </w:r>
    </w:p>
    <w:p w14:paraId="67D685E5" w14:textId="77777777" w:rsidR="00B67D7C" w:rsidRPr="00DE096C" w:rsidRDefault="00B67D7C" w:rsidP="00D45A46">
      <w:pPr>
        <w:shd w:val="clear" w:color="auto" w:fill="FFFFFF"/>
        <w:jc w:val="both"/>
        <w:rPr>
          <w:bCs/>
          <w:color w:val="002060"/>
          <w:sz w:val="16"/>
          <w:szCs w:val="16"/>
        </w:rPr>
      </w:pPr>
    </w:p>
    <w:p w14:paraId="2BDBA1B9" w14:textId="77777777" w:rsidR="00354A55" w:rsidRPr="00DE096C" w:rsidRDefault="00354A55" w:rsidP="00D45A46">
      <w:pPr>
        <w:jc w:val="both"/>
        <w:rPr>
          <w:bCs/>
          <w:color w:val="002060"/>
          <w:sz w:val="16"/>
          <w:szCs w:val="16"/>
        </w:rPr>
      </w:pPr>
      <w:r w:rsidRPr="00DE096C">
        <w:rPr>
          <w:bCs/>
          <w:color w:val="002060"/>
          <w:sz w:val="16"/>
          <w:szCs w:val="16"/>
        </w:rPr>
        <w:t>Осенью 1914 г. каждый предназначавшийся для армейских авиаотрядов самолет «Вуазен» и двигатель к нему типа «Сальмсон» находились на учете. Кроме того, в отрядах быстро уменьшалось число исправных самолетов, а поставки из-за границы, вследствие блокирования Турцией проливов, почти прекратились. Пытаясь решить проблему с авиамоторами, Александр Михайлович стал требовать от ГВТУ отмены установки двигателей на четырехмоторные самолеты «Илья Муромец» (19566).</w:t>
      </w:r>
    </w:p>
    <w:p w14:paraId="23D7EF87" w14:textId="77777777" w:rsidR="00354A55" w:rsidRPr="00DE096C" w:rsidRDefault="00354A55" w:rsidP="00D45A46">
      <w:pPr>
        <w:jc w:val="both"/>
        <w:rPr>
          <w:bCs/>
          <w:color w:val="002060"/>
          <w:sz w:val="16"/>
          <w:szCs w:val="16"/>
        </w:rPr>
      </w:pPr>
    </w:p>
    <w:p w14:paraId="57BFAE2E" w14:textId="77777777" w:rsidR="00870037" w:rsidRPr="00DE096C" w:rsidRDefault="00870037" w:rsidP="00D45A46">
      <w:pPr>
        <w:jc w:val="both"/>
        <w:rPr>
          <w:bCs/>
          <w:color w:val="002060"/>
          <w:sz w:val="16"/>
          <w:szCs w:val="16"/>
        </w:rPr>
      </w:pPr>
      <w:r w:rsidRPr="00DE096C">
        <w:rPr>
          <w:bCs/>
          <w:color w:val="002060"/>
          <w:sz w:val="16"/>
          <w:szCs w:val="16"/>
        </w:rPr>
        <w:t>Осенью 1914 г. РБВЗ был построен «Илья Муромец» Б-5 (ИМ-Б № 137, борт № III, затем борт № VI) экз. № 5, стратегический разведчик, по сути – учебный самолет по типу самолета № 136, но установлена новая ХОШ с двумя одинаковыми главными лыжами (они были установлены бок о бок и касались земли одновременно).</w:t>
      </w:r>
    </w:p>
    <w:p w14:paraId="6F89FBBE" w14:textId="77777777" w:rsidR="00870037" w:rsidRPr="00DE096C" w:rsidRDefault="00870037" w:rsidP="00D45A46">
      <w:pPr>
        <w:jc w:val="both"/>
        <w:rPr>
          <w:bCs/>
          <w:color w:val="002060"/>
          <w:sz w:val="16"/>
          <w:szCs w:val="16"/>
        </w:rPr>
      </w:pPr>
      <w:r w:rsidRPr="00DE096C">
        <w:rPr>
          <w:bCs/>
          <w:color w:val="002060"/>
          <w:sz w:val="16"/>
          <w:szCs w:val="16"/>
        </w:rPr>
        <w:t>В декабре 1914 г. прибыл на базу ЭВК в Яблонну и там был принят в казну.</w:t>
      </w:r>
    </w:p>
    <w:p w14:paraId="1B8B8A7B" w14:textId="77777777" w:rsidR="00870037" w:rsidRPr="00DE096C" w:rsidRDefault="00870037" w:rsidP="00D45A46">
      <w:pPr>
        <w:jc w:val="both"/>
        <w:rPr>
          <w:bCs/>
          <w:color w:val="002060"/>
          <w:sz w:val="16"/>
          <w:szCs w:val="16"/>
        </w:rPr>
      </w:pPr>
      <w:r w:rsidRPr="00DE096C">
        <w:rPr>
          <w:bCs/>
          <w:color w:val="002060"/>
          <w:sz w:val="16"/>
          <w:szCs w:val="16"/>
        </w:rPr>
        <w:t>Командиром корабля был назначен штабс-капитан В.М. Бродович.</w:t>
      </w:r>
    </w:p>
    <w:p w14:paraId="534C5E3C" w14:textId="77777777" w:rsidR="00870037" w:rsidRPr="00DE096C" w:rsidRDefault="00870037" w:rsidP="00D45A46">
      <w:pPr>
        <w:jc w:val="both"/>
        <w:rPr>
          <w:bCs/>
          <w:color w:val="002060"/>
          <w:sz w:val="16"/>
          <w:szCs w:val="16"/>
        </w:rPr>
      </w:pPr>
      <w:r w:rsidRPr="00DE096C">
        <w:rPr>
          <w:bCs/>
          <w:color w:val="002060"/>
          <w:sz w:val="16"/>
          <w:szCs w:val="16"/>
        </w:rPr>
        <w:t>7 марта 1915 г. получил новый бортовой номер VI.</w:t>
      </w:r>
    </w:p>
    <w:p w14:paraId="33C7FD90" w14:textId="77777777" w:rsidR="00870037" w:rsidRPr="00DE096C" w:rsidRDefault="00870037" w:rsidP="00D45A46">
      <w:pPr>
        <w:jc w:val="both"/>
        <w:rPr>
          <w:bCs/>
          <w:color w:val="002060"/>
          <w:sz w:val="16"/>
          <w:szCs w:val="16"/>
        </w:rPr>
      </w:pPr>
      <w:r w:rsidRPr="00DE096C">
        <w:rPr>
          <w:bCs/>
          <w:color w:val="002060"/>
          <w:sz w:val="16"/>
          <w:szCs w:val="16"/>
        </w:rPr>
        <w:t>30 апреля (13 мая по н.ст.) 1915 г. разбит поручиком Головиным в аварии на а/д Яблонна (23569).</w:t>
      </w:r>
    </w:p>
    <w:p w14:paraId="1A574805" w14:textId="77777777" w:rsidR="00870037" w:rsidRPr="00DE096C" w:rsidRDefault="00870037" w:rsidP="00D45A46">
      <w:pPr>
        <w:jc w:val="both"/>
        <w:rPr>
          <w:bCs/>
          <w:color w:val="002060"/>
          <w:sz w:val="16"/>
          <w:szCs w:val="16"/>
          <w:lang w:bidi="ru-RU"/>
        </w:rPr>
      </w:pPr>
    </w:p>
    <w:p w14:paraId="21729EF7" w14:textId="77777777" w:rsidR="00870037" w:rsidRPr="00DE096C" w:rsidRDefault="00870037" w:rsidP="00D45A46">
      <w:pPr>
        <w:jc w:val="both"/>
        <w:rPr>
          <w:bCs/>
          <w:color w:val="002060"/>
          <w:sz w:val="16"/>
          <w:szCs w:val="16"/>
        </w:rPr>
      </w:pPr>
      <w:r w:rsidRPr="00DE096C">
        <w:rPr>
          <w:bCs/>
          <w:color w:val="002060"/>
          <w:sz w:val="16"/>
          <w:szCs w:val="16"/>
        </w:rPr>
        <w:t>Осенью 1914 г. РБВЗ был построен «Илья Муромец» Б-6 (ИМ-Б № 138, борт № IV) экз. № 6, стратегический разведчик, по сути – учебный самолет по типу самолета № 136.</w:t>
      </w:r>
    </w:p>
    <w:p w14:paraId="45493795" w14:textId="77777777" w:rsidR="00870037" w:rsidRPr="00DE096C" w:rsidRDefault="00870037" w:rsidP="00D45A46">
      <w:pPr>
        <w:jc w:val="both"/>
        <w:rPr>
          <w:bCs/>
          <w:color w:val="002060"/>
          <w:sz w:val="16"/>
          <w:szCs w:val="16"/>
        </w:rPr>
      </w:pPr>
      <w:r w:rsidRPr="00DE096C">
        <w:rPr>
          <w:bCs/>
          <w:color w:val="002060"/>
          <w:sz w:val="16"/>
          <w:szCs w:val="16"/>
        </w:rPr>
        <w:t>Командиром корабля был назначен поручик С.К. Модрах (но он летал на нем только во время учебы в ОВШ в Гатчине).</w:t>
      </w:r>
    </w:p>
    <w:p w14:paraId="24E61E68" w14:textId="77777777" w:rsidR="00870037" w:rsidRPr="00DE096C" w:rsidRDefault="00870037" w:rsidP="00D45A46">
      <w:pPr>
        <w:jc w:val="both"/>
        <w:rPr>
          <w:bCs/>
          <w:color w:val="002060"/>
          <w:sz w:val="16"/>
          <w:szCs w:val="16"/>
        </w:rPr>
      </w:pPr>
      <w:r w:rsidRPr="00DE096C">
        <w:rPr>
          <w:bCs/>
          <w:color w:val="002060"/>
          <w:sz w:val="16"/>
          <w:szCs w:val="16"/>
        </w:rPr>
        <w:t>По данным М. Хайрулина разбит 30 октября (12 ноября по н.ст.) летчиком штабс-капитаном Горшковым на приемо-сдаточном полете в Петрограде, но есть противоречие – по др. данным разбит в этот день был ИМ-Б № 137, и есть данные, что Модрах все же выполнил на нем полет в ОВШ.</w:t>
      </w:r>
    </w:p>
    <w:p w14:paraId="2B293601" w14:textId="77777777" w:rsidR="00870037" w:rsidRPr="00DE096C" w:rsidRDefault="00870037" w:rsidP="00D45A46">
      <w:pPr>
        <w:jc w:val="both"/>
        <w:rPr>
          <w:bCs/>
          <w:color w:val="002060"/>
          <w:sz w:val="16"/>
          <w:szCs w:val="16"/>
        </w:rPr>
      </w:pPr>
    </w:p>
    <w:p w14:paraId="67097D02" w14:textId="77777777" w:rsidR="00870037" w:rsidRPr="00DE096C" w:rsidRDefault="00870037" w:rsidP="00D45A46">
      <w:pPr>
        <w:jc w:val="both"/>
        <w:rPr>
          <w:bCs/>
          <w:color w:val="002060"/>
          <w:sz w:val="16"/>
          <w:szCs w:val="16"/>
        </w:rPr>
      </w:pPr>
      <w:r w:rsidRPr="00DE096C">
        <w:rPr>
          <w:bCs/>
          <w:color w:val="002060"/>
          <w:sz w:val="16"/>
          <w:szCs w:val="16"/>
        </w:rPr>
        <w:t>Осенью 1914 года Анатра получил крупный заказ военного министерства на постройку самолетов типов Voisin и Morane по иностранной лицензии. Анатра должна была войти в пятерку крупнейших авиастроительных фирм России. Его основной объект находился в Одессе. В октябре 1916 г. был открыт филиал в Симферополе, где собирались истребители «Ньюпор» и «Анатра», производились двигатели «Испано-Сюиза».</w:t>
      </w:r>
    </w:p>
    <w:p w14:paraId="720D9BDA" w14:textId="77777777" w:rsidR="00870037" w:rsidRPr="00DE096C" w:rsidRDefault="00870037" w:rsidP="00D45A46">
      <w:pPr>
        <w:jc w:val="both"/>
        <w:rPr>
          <w:bCs/>
          <w:color w:val="002060"/>
          <w:sz w:val="16"/>
          <w:szCs w:val="16"/>
        </w:rPr>
      </w:pPr>
      <w:r w:rsidRPr="00DE096C">
        <w:rPr>
          <w:bCs/>
          <w:color w:val="002060"/>
          <w:sz w:val="16"/>
          <w:szCs w:val="16"/>
        </w:rPr>
        <w:t>К 1917 году Anatra выпускала восемьдесят самолетов в месяц. В июне 1917 г. на заводе работало 1380 рабочих. В Анатре работали французский инженер А. Декан (EA Des Campes) (отсюда и обозначение самолета D) и В.Н. Хиони, который разделял обязанности заводского пилота.</w:t>
      </w:r>
    </w:p>
    <w:p w14:paraId="0F20EA24" w14:textId="77777777" w:rsidR="00870037" w:rsidRPr="00DE096C" w:rsidRDefault="00870037" w:rsidP="00D45A46">
      <w:pPr>
        <w:jc w:val="both"/>
        <w:rPr>
          <w:bCs/>
          <w:color w:val="002060"/>
          <w:sz w:val="16"/>
          <w:szCs w:val="16"/>
        </w:rPr>
      </w:pPr>
      <w:r w:rsidRPr="00DE096C">
        <w:rPr>
          <w:bCs/>
          <w:color w:val="002060"/>
          <w:sz w:val="16"/>
          <w:szCs w:val="16"/>
        </w:rPr>
        <w:t>Anatra D (Anade) (Dekan) был двухместным разведчиком с двигателем Gnome Monosaupe мощностью 100 л.с., вооруженным одним 7,62-мм пулеметом для наблюдателя. Опытный образец прошел испытания в декабре 1915 года. 9 мая 1916 года Анатра получила заказ Главного военно-технического командования (ГВТУ) на восемьдесят самолетов. 28 мая 1916 года был построен первый серийный самолет, который вскоре поступил на фронт. Всего было доставлено 170 Anatra D. На 13 апреля 1917 года на передовой находилось 76 Анатра Д. В октябре 1916 года Военное министерство разместило заказ на 400 Анатра Д, 250 из которых должны были быть построены в Одессе, а остальные 150 - в недавно открытом филиале в Симферополе в Крыму. Считается, что только 200 из них были фактически завершены. Поставки начались только в середине 1917 года, и, наконец, с конвейера сошло 15-20 штук в месяц.</w:t>
      </w:r>
    </w:p>
    <w:p w14:paraId="7CC328F0" w14:textId="77777777" w:rsidR="00870037" w:rsidRPr="00DE096C" w:rsidRDefault="00870037" w:rsidP="00D45A46">
      <w:pPr>
        <w:jc w:val="both"/>
        <w:rPr>
          <w:bCs/>
          <w:color w:val="002060"/>
          <w:sz w:val="16"/>
          <w:szCs w:val="16"/>
        </w:rPr>
      </w:pPr>
      <w:r w:rsidRPr="00DE096C">
        <w:rPr>
          <w:bCs/>
          <w:color w:val="002060"/>
          <w:sz w:val="16"/>
          <w:szCs w:val="16"/>
        </w:rPr>
        <w:t>В июне 1917 г. на 4-м артиллерийском АО шесть вновь поставленных Anatra D разбились при посадке или взлете из-за плохой остойчивости. Этот тип также страдал от плохого охлаждения двигателя. Около двадцати четырех самолетов Anatra D (Anakler или Anakle, что указывает на двигатели Clerget) были построены с двигателями Clerget мощностью 110 и 130 л.с.</w:t>
      </w:r>
    </w:p>
    <w:p w14:paraId="6606726D" w14:textId="77777777" w:rsidR="00870037" w:rsidRPr="00DE096C" w:rsidRDefault="00870037" w:rsidP="00D45A46">
      <w:pPr>
        <w:jc w:val="both"/>
        <w:rPr>
          <w:bCs/>
          <w:color w:val="002060"/>
          <w:sz w:val="16"/>
          <w:szCs w:val="16"/>
        </w:rPr>
      </w:pPr>
      <w:r w:rsidRPr="00DE096C">
        <w:rPr>
          <w:bCs/>
          <w:color w:val="002060"/>
          <w:sz w:val="16"/>
          <w:szCs w:val="16"/>
        </w:rPr>
        <w:t>Известно, что Анатра Анадес служила во 2-м гвардейском КАО; 1, 3, 9, 12, 16, 17. 20-й, 28-й и 36-й КАО; 1-й Туркестанский КАО; 1-й, 2-й, 3-й, 6-й и 7-й Сибирские КАО; и АО 6-й армии и, возможно, другие части.</w:t>
      </w:r>
    </w:p>
    <w:p w14:paraId="2060A787" w14:textId="77777777" w:rsidR="00870037" w:rsidRPr="00DE096C" w:rsidRDefault="00870037" w:rsidP="00D45A46">
      <w:pPr>
        <w:jc w:val="both"/>
        <w:rPr>
          <w:bCs/>
          <w:color w:val="002060"/>
          <w:sz w:val="16"/>
          <w:szCs w:val="16"/>
        </w:rPr>
      </w:pPr>
      <w:r w:rsidRPr="00DE096C">
        <w:rPr>
          <w:bCs/>
          <w:color w:val="002060"/>
          <w:sz w:val="16"/>
          <w:szCs w:val="16"/>
        </w:rPr>
        <w:t>В течение июня-июля 1916 г. конструкторы Anatra построили и испытали три экспериментальные модели: DE, истребитель-бомбардировщик-биплан с фюзеляжем Anatra D, тремя тракторными двигателями Rhone мощностью 80 л. . Они также испытали Анатра Вх (Анадва) (Анатра-Хиони), у которого было два фюзеляжа Анатра Д, установленных на нижнем крыле, с пулеметным кольцом, установленным на гондоле на верхнем крыле. Anatra DM (Anatra Monocoque) (Anamon) — истребитель-моноплан с двигателем Gnome мощностью 100 л.с. Все эти модели были единственными в своем роде и никогда не использовались.</w:t>
      </w:r>
    </w:p>
    <w:p w14:paraId="3707970C" w14:textId="77777777" w:rsidR="00870037" w:rsidRPr="00DE096C" w:rsidRDefault="00870037" w:rsidP="00D45A46">
      <w:pPr>
        <w:jc w:val="both"/>
        <w:rPr>
          <w:bCs/>
          <w:color w:val="002060"/>
          <w:sz w:val="16"/>
          <w:szCs w:val="16"/>
        </w:rPr>
      </w:pPr>
      <w:r w:rsidRPr="00DE096C">
        <w:rPr>
          <w:bCs/>
          <w:color w:val="002060"/>
          <w:sz w:val="16"/>
          <w:szCs w:val="16"/>
        </w:rPr>
        <w:t>Anatra DS (Anasal) был двухместным разведывательным самолетом с радиальным двигателем Salmson (Canton-Unne) мощностью 150 л. DS был запущен в производство с заказом на восемьдесят самолетов 26 апреля 1916 года. Первый испытательный полет состоялся 7 августа. Считается, что 60-70 из них были завершены по ориентировочной стоимости рупий. 12 000 (6 000 долларов США) каждый. Известно, что у DS были проблемы со стабильностью в полете. Он начал свою линию фронта службу летом 1917 года. 8 августа 1917 года Anatra получила заказ на 300 машин Anatra DS с двигателями Hispano-Suiza мощностью 200 л.с. (по 13 500 рублей за самолет), из которых, вероятно, было построено только сорок шесть. Некоторые анасалы служили в АО 4-й, 8-й и 11-й армий.</w:t>
      </w:r>
    </w:p>
    <w:p w14:paraId="393A7942" w14:textId="77777777" w:rsidR="00870037" w:rsidRPr="00DE096C" w:rsidRDefault="00870037" w:rsidP="00D45A46">
      <w:pPr>
        <w:jc w:val="both"/>
        <w:rPr>
          <w:bCs/>
          <w:color w:val="002060"/>
          <w:sz w:val="16"/>
          <w:szCs w:val="16"/>
        </w:rPr>
      </w:pPr>
      <w:r w:rsidRPr="00DE096C">
        <w:rPr>
          <w:bCs/>
          <w:color w:val="002060"/>
          <w:sz w:val="16"/>
          <w:szCs w:val="16"/>
        </w:rPr>
        <w:t>Anatra DS с двигателем Salmson мощностью 160 л.с. В феврале 1917 г. существовал план заказа 400 машин ДСС летом 1917 г., но он остался нереализованным.</w:t>
      </w:r>
    </w:p>
    <w:p w14:paraId="134AA0E9" w14:textId="77777777" w:rsidR="00870037" w:rsidRPr="00DE096C" w:rsidRDefault="00870037" w:rsidP="00D45A46">
      <w:pPr>
        <w:jc w:val="both"/>
        <w:rPr>
          <w:bCs/>
          <w:color w:val="002060"/>
          <w:sz w:val="16"/>
          <w:szCs w:val="16"/>
        </w:rPr>
      </w:pPr>
      <w:r w:rsidRPr="00DE096C">
        <w:rPr>
          <w:bCs/>
          <w:color w:val="002060"/>
          <w:sz w:val="16"/>
          <w:szCs w:val="16"/>
        </w:rPr>
        <w:t>Anadis представлял собой модифицированную Anatra D с фюзеляжем типа «монокок» и двигателем Hispano-Suiza мощностью 150 л.с., который был испытан в ноябре 1916 года. Был построен только один самолет. На нем должен был лететь из Одессы через Румынию, Македонию и Италию во Францию пилот Штабс Капитан Макаров в ноябре 1917 года. На пути к Салоникам он был вынужден из-за неисправности двигателя приземлиться в Яссах в Румынии, и полет был прекращено.</w:t>
      </w:r>
    </w:p>
    <w:p w14:paraId="310BCC82" w14:textId="77777777" w:rsidR="00870037" w:rsidRPr="00DE096C" w:rsidRDefault="00870037" w:rsidP="00D45A46">
      <w:pPr>
        <w:jc w:val="both"/>
        <w:rPr>
          <w:bCs/>
          <w:color w:val="002060"/>
          <w:sz w:val="16"/>
          <w:szCs w:val="16"/>
        </w:rPr>
      </w:pPr>
      <w:r w:rsidRPr="00DE096C">
        <w:rPr>
          <w:bCs/>
          <w:color w:val="002060"/>
          <w:sz w:val="16"/>
          <w:szCs w:val="16"/>
        </w:rPr>
        <w:t>Анатра VI (Вуазен Иванова) разработана военным летчиком Подпоручиком П.Д. Иванов из 26-го КАО, модифицировавший ЛАС Voisin. В январе 1915 г. был получен контракт на поставку 139 самолетов в период с марта 1915 г. по март 1916 г. К концу войны было построено около 100 самолетов. Производство закончилось в середине 1918 года. В армейских отчетах упоминается десять небоевых аварий в 5-м Сибирском КАО в апреле 1917 года. Известно, что у него были серьезные проблемы с боковой устойчивостью и управляемостью.</w:t>
      </w:r>
    </w:p>
    <w:p w14:paraId="2CB1641B" w14:textId="77777777" w:rsidR="00870037" w:rsidRPr="00DE096C" w:rsidRDefault="00870037" w:rsidP="00D45A46">
      <w:pPr>
        <w:jc w:val="both"/>
        <w:rPr>
          <w:bCs/>
          <w:color w:val="002060"/>
          <w:sz w:val="16"/>
          <w:szCs w:val="16"/>
        </w:rPr>
      </w:pPr>
      <w:r w:rsidRPr="00DE096C">
        <w:rPr>
          <w:bCs/>
          <w:color w:val="002060"/>
          <w:sz w:val="16"/>
          <w:szCs w:val="16"/>
        </w:rPr>
        <w:t>Анатра также производила различные французские типы по лицензии, из которых Симферопольский завод поставил в общей сложности пятьдесят самолетов, а Одесский завод построил 433 машины в 1916 году и 623 в 1917 году. Основными французскими типами были Voisin LAS, Farman IV, Farman VII, Farman. XVI, Morane-Saulnier Parasol, Nieuport X, Nieuport XVIIbis типов. В 1917 году французское правительство аннулировало заказ Анатры на Симферопольский завод, из-за чего там производилось небольшое количество машин.</w:t>
      </w:r>
    </w:p>
    <w:p w14:paraId="2C5A2139" w14:textId="77777777" w:rsidR="00870037" w:rsidRPr="00DE096C" w:rsidRDefault="00870037" w:rsidP="00D45A46">
      <w:pPr>
        <w:jc w:val="both"/>
        <w:rPr>
          <w:bCs/>
          <w:color w:val="002060"/>
          <w:sz w:val="16"/>
          <w:szCs w:val="16"/>
        </w:rPr>
      </w:pPr>
      <w:r w:rsidRPr="00DE096C">
        <w:rPr>
          <w:bCs/>
          <w:color w:val="002060"/>
          <w:sz w:val="16"/>
          <w:szCs w:val="16"/>
        </w:rPr>
        <w:t>Примеры заказов Anatra - количество готовых/заказанных; 30 марта 1916 г. - 150 из 150 Anatra D; 9 мая 1916 г. - 65 из 80 Анатра Д; 25 декабря 1916 г. - 10 из 10 Morane G, 15 из 15 Farman 20; 27 декабря 1916 г. - три из 250 Anatra DS; 28 декабря 1916 г. - ни одного из 150 Anatra DS; 12 февраля 1917 г. - ни одного из 100 Nieuport XVII; 4 марта 1917 г. - семь из 80 "Фарман-20"; 23 октября 1917 г. - ни одного из 50 анадв, а трое из 40 кодронов.</w:t>
      </w:r>
    </w:p>
    <w:p w14:paraId="18B95124" w14:textId="77777777" w:rsidR="00870037" w:rsidRPr="00DE096C" w:rsidRDefault="00870037" w:rsidP="00D45A46">
      <w:pPr>
        <w:jc w:val="both"/>
        <w:rPr>
          <w:bCs/>
          <w:color w:val="002060"/>
          <w:sz w:val="16"/>
          <w:szCs w:val="16"/>
        </w:rPr>
      </w:pPr>
      <w:r w:rsidRPr="00DE096C">
        <w:rPr>
          <w:bCs/>
          <w:color w:val="002060"/>
          <w:sz w:val="16"/>
          <w:szCs w:val="16"/>
        </w:rPr>
        <w:t>На Одесском заводе в 1914 г. работало 23 рабочих, в 1915 г. - 70, число рабочих увеличилось до 1100 в 1916 г. и 1450 в 1917 г. На Симферопольском заводе в 1916 г. работало 295 рабочих, а в 1917 г. - 635. С 1910 по 1913 г. Анатра произвела 137 рабочих. самолет. В 1914-1917 годах было построено около 1569 самолетов. В мае 1924 года завод Анатра в Одессе стал государственным ГАЗом. №7.</w:t>
      </w:r>
    </w:p>
    <w:p w14:paraId="186A85DB" w14:textId="77777777" w:rsidR="00870037" w:rsidRPr="00DE096C" w:rsidRDefault="00870037" w:rsidP="00D45A46">
      <w:pPr>
        <w:jc w:val="both"/>
        <w:rPr>
          <w:bCs/>
          <w:color w:val="002060"/>
          <w:sz w:val="16"/>
          <w:szCs w:val="16"/>
        </w:rPr>
      </w:pPr>
      <w:r w:rsidRPr="00DE096C">
        <w:rPr>
          <w:bCs/>
          <w:color w:val="002060"/>
          <w:sz w:val="16"/>
          <w:szCs w:val="16"/>
        </w:rPr>
        <w:t>У «Анатры» также был завод в Симферополе, выпускавший авиадвигатели «Испано-Сюиза». Производственные данные неизвестны. Позже Симферопольский завод стал казенным ГАЗ №15.</w:t>
      </w:r>
    </w:p>
    <w:p w14:paraId="499DE9BD" w14:textId="77777777" w:rsidR="00870037" w:rsidRPr="00DE096C" w:rsidRDefault="00870037" w:rsidP="00D45A46">
      <w:pPr>
        <w:jc w:val="both"/>
        <w:rPr>
          <w:bCs/>
          <w:color w:val="002060"/>
          <w:sz w:val="16"/>
          <w:szCs w:val="16"/>
        </w:rPr>
      </w:pPr>
      <w:r w:rsidRPr="00DE096C">
        <w:rPr>
          <w:bCs/>
          <w:color w:val="002060"/>
          <w:sz w:val="16"/>
          <w:szCs w:val="16"/>
        </w:rPr>
        <w:t>14 марта 1918 г. австро-венгерские и немецкие войска захватили Одессу и заняли завод «Анатра», захватив 242 самолета, в том числе 111 «Анасалов», 63 «Анадеса», 68 «Фарман 30» (Фарсалов) (с двигателями «Сальмсон»). 12 апреля австро-венгры отдали заказ на 200 Anatra Anasals (теперь называемых Anatra C.I), но к октябрю было построено только 66 и отправлено в Fleks 3, 9, 11, 13 и 15 (учебные части).</w:t>
      </w:r>
    </w:p>
    <w:p w14:paraId="4A1CE6EE" w14:textId="77777777" w:rsidR="00870037" w:rsidRPr="00DE096C" w:rsidRDefault="00870037" w:rsidP="00D45A46">
      <w:pPr>
        <w:jc w:val="both"/>
        <w:rPr>
          <w:bCs/>
          <w:color w:val="002060"/>
          <w:sz w:val="16"/>
          <w:szCs w:val="16"/>
        </w:rPr>
      </w:pPr>
      <w:r w:rsidRPr="00DE096C">
        <w:rPr>
          <w:bCs/>
          <w:color w:val="002060"/>
          <w:sz w:val="16"/>
          <w:szCs w:val="16"/>
        </w:rPr>
        <w:t>В ноябре 1918 года у австро-венгров было на хранении шестьдесят два самолета Anatra CI; из них тридцать один достался австрийцам, двадцать три - чехословакам и восемь - Венгрии. Когда они ушли из Одессы, на заводе «Анатра» оставалось 134 «Анасала». В течение января и февраля 1919 г. белые эвакуировали часть анасалов из Одессы в Новороссийск. В марте 1919 года красные захватили Одессу и обнаружили на заводе 40-50 самолетов. В апреле 1919 года красные в Одессе сформировали два АО, в каждом из которых были анасалы. Во время Гражданской войны в России симферопольский филиал Анатра производил и ремонтировал для белых несколько самолетов (23525).</w:t>
      </w:r>
    </w:p>
    <w:p w14:paraId="51D4082F" w14:textId="77777777" w:rsidR="00870037" w:rsidRPr="00DE096C" w:rsidRDefault="00870037" w:rsidP="00D45A46">
      <w:pPr>
        <w:jc w:val="both"/>
        <w:rPr>
          <w:bCs/>
          <w:color w:val="002060"/>
          <w:sz w:val="16"/>
          <w:szCs w:val="16"/>
        </w:rPr>
      </w:pPr>
    </w:p>
    <w:p w14:paraId="4E4AD71A" w14:textId="77777777" w:rsidR="00870037" w:rsidRPr="00DE096C" w:rsidRDefault="00870037" w:rsidP="00D45A46">
      <w:pPr>
        <w:jc w:val="both"/>
        <w:rPr>
          <w:bCs/>
          <w:color w:val="002060"/>
          <w:sz w:val="16"/>
          <w:szCs w:val="16"/>
        </w:rPr>
      </w:pPr>
      <w:r w:rsidRPr="00DE096C">
        <w:rPr>
          <w:bCs/>
          <w:color w:val="002060"/>
          <w:sz w:val="16"/>
          <w:szCs w:val="16"/>
        </w:rPr>
        <w:t>Осенью 1914 года завод FA Moska в Москве получил военный заказ на семьдесят пять «Фарманов». Производство составляло в среднем 2-3 машины в месяц до конца года, но позже достигло пятнадцати самолетов в месяц (23525).</w:t>
      </w:r>
    </w:p>
    <w:p w14:paraId="282AED18" w14:textId="77777777" w:rsidR="00870037" w:rsidRPr="00DE096C" w:rsidRDefault="00870037" w:rsidP="00D45A46">
      <w:pPr>
        <w:jc w:val="both"/>
        <w:rPr>
          <w:bCs/>
          <w:color w:val="002060"/>
          <w:sz w:val="16"/>
          <w:szCs w:val="16"/>
        </w:rPr>
      </w:pPr>
    </w:p>
    <w:p w14:paraId="11D673BC" w14:textId="77777777" w:rsidR="00870037" w:rsidRPr="00DE096C" w:rsidRDefault="00870037" w:rsidP="00D45A46">
      <w:pPr>
        <w:jc w:val="both"/>
        <w:rPr>
          <w:bCs/>
          <w:color w:val="002060"/>
          <w:sz w:val="16"/>
          <w:szCs w:val="16"/>
        </w:rPr>
      </w:pPr>
      <w:bookmarkStart w:id="186" w:name="_Hlk133044711"/>
      <w:bookmarkStart w:id="187" w:name="_Hlk133044356"/>
      <w:r w:rsidRPr="00DE096C">
        <w:rPr>
          <w:bCs/>
          <w:color w:val="002060"/>
          <w:sz w:val="16"/>
          <w:szCs w:val="16"/>
        </w:rPr>
        <w:t>Осенью 1914 Моска получил военный контракт на семьдесят пять самолетов Farman I Vs.</w:t>
      </w:r>
    </w:p>
    <w:p w14:paraId="6B22A7BF" w14:textId="77777777" w:rsidR="00870037" w:rsidRPr="00DE096C" w:rsidRDefault="00870037" w:rsidP="00D45A46">
      <w:pPr>
        <w:jc w:val="both"/>
        <w:rPr>
          <w:bCs/>
          <w:color w:val="002060"/>
          <w:sz w:val="16"/>
          <w:szCs w:val="16"/>
        </w:rPr>
      </w:pPr>
      <w:r w:rsidRPr="00DE096C">
        <w:rPr>
          <w:bCs/>
          <w:color w:val="002060"/>
          <w:sz w:val="16"/>
          <w:szCs w:val="16"/>
        </w:rPr>
        <w:t>Производство до конца года составляло в среднем 2-3 самолета в месяц, но позже увеличилось до пятнадцати самолетов в месяц. Вместе со своим помощником инженера Быстрицким он построил свои собственные проекты: двухместную «Моску МБ» («Б» — Штабс Капитан Быстрицкий, чиновник военного министерства, руководивший закупками) двухместную, которых было построено двенадцать, и «Моску МБ бис». одноместные, из которых пятьдесят были построены в 1916 году. Летные испытания МБ-бис прошли два известных русских летчика Е.Н. Крутен и К.К. Арцеулов. На основании их выводов военное министерство предоставило Моске государственную субсидию в размере 50 000 рублей, что позволило Моске расширить свою мастерскую до фабрики.</w:t>
      </w:r>
    </w:p>
    <w:p w14:paraId="2B8A29EC" w14:textId="77777777" w:rsidR="00870037" w:rsidRPr="00DE096C" w:rsidRDefault="00870037" w:rsidP="00D45A46">
      <w:pPr>
        <w:jc w:val="both"/>
        <w:rPr>
          <w:bCs/>
          <w:color w:val="002060"/>
          <w:sz w:val="16"/>
          <w:szCs w:val="16"/>
        </w:rPr>
      </w:pPr>
      <w:r w:rsidRPr="00DE096C">
        <w:rPr>
          <w:bCs/>
          <w:color w:val="002060"/>
          <w:sz w:val="16"/>
          <w:szCs w:val="16"/>
        </w:rPr>
        <w:t>В 1915 году на его маленьком заводе было всего двадцать два рабочих, число которых выросло до восьмидесяти двух в 1916 году и 260 в 1917 году. 24 октября 1916 года Моска получила заказ на 125 Моска Б, но было изготовлено только двадцать пять. Всего было построено около тридцати восьми Моска МБ-бис. MB bis был вооружен наклонным 7,7-мм пулеметом Lewis, стреляющим по дуге воздушного винта.</w:t>
      </w:r>
    </w:p>
    <w:p w14:paraId="6E770CFC" w14:textId="77777777" w:rsidR="00870037" w:rsidRPr="00DE096C" w:rsidRDefault="00870037" w:rsidP="00D45A46">
      <w:pPr>
        <w:jc w:val="both"/>
        <w:rPr>
          <w:bCs/>
          <w:color w:val="002060"/>
          <w:sz w:val="16"/>
          <w:szCs w:val="16"/>
        </w:rPr>
      </w:pPr>
      <w:r w:rsidRPr="00DE096C">
        <w:rPr>
          <w:bCs/>
          <w:color w:val="002060"/>
          <w:sz w:val="16"/>
          <w:szCs w:val="16"/>
        </w:rPr>
        <w:t>К концу войны «Моска» выпустила 140 самолетов. Менее половины были приняты военными властями. Моска был хорошим летчиком, но больше администратором, чем бизнесменом. После революции вернулся в Италию. Его завод был захвачен красными и обозначен как ГАЗ №25. Однако его мастерские продолжали работать на белых на территории бывшего завода Лебедева в Таганроге в 1919 году (23525).</w:t>
      </w:r>
    </w:p>
    <w:p w14:paraId="683A1FF9" w14:textId="77777777" w:rsidR="00870037" w:rsidRPr="00DE096C" w:rsidRDefault="00870037" w:rsidP="00D45A46">
      <w:pPr>
        <w:jc w:val="both"/>
        <w:rPr>
          <w:bCs/>
          <w:color w:val="002060"/>
          <w:sz w:val="16"/>
          <w:szCs w:val="16"/>
        </w:rPr>
      </w:pPr>
    </w:p>
    <w:p w14:paraId="18E97A30" w14:textId="77777777" w:rsidR="00870037" w:rsidRPr="00DE096C" w:rsidRDefault="00870037" w:rsidP="00D45A46">
      <w:pPr>
        <w:jc w:val="both"/>
        <w:rPr>
          <w:bCs/>
          <w:color w:val="002060"/>
          <w:sz w:val="16"/>
          <w:szCs w:val="16"/>
        </w:rPr>
      </w:pPr>
      <w:r w:rsidRPr="00DE096C">
        <w:rPr>
          <w:bCs/>
          <w:color w:val="002060"/>
          <w:sz w:val="16"/>
          <w:szCs w:val="16"/>
        </w:rPr>
        <w:t>Осенью 1914 года Мельцер, который еще в 1885 г. открыл в Петербурге фабрику по производству мебели, решил построить завод по производству винтов и самолетов. Его главным конструктором был Александр фон Виллиш, возглавлявший авиационный отдел, а конструктором воздушных винтов у Мельцера был Михаил Леонтьевич Григорашвили (эмигрировавший в Америку и взявший фамилию Грегор).</w:t>
      </w:r>
    </w:p>
    <w:p w14:paraId="50013809" w14:textId="77777777" w:rsidR="00870037" w:rsidRPr="00DE096C" w:rsidRDefault="00870037" w:rsidP="00D45A46">
      <w:pPr>
        <w:jc w:val="both"/>
        <w:rPr>
          <w:bCs/>
          <w:color w:val="002060"/>
          <w:sz w:val="16"/>
          <w:szCs w:val="16"/>
        </w:rPr>
      </w:pPr>
      <w:r w:rsidRPr="00DE096C">
        <w:rPr>
          <w:bCs/>
          <w:color w:val="002060"/>
          <w:sz w:val="16"/>
          <w:szCs w:val="16"/>
        </w:rPr>
        <w:t>В конце 1915 и в течение 1916 года Мельцер построил несколько единственных в своем роде летающих лодок, спроектированных фон Виллишем. В 1916 году Евгений Робертович Энгельс изготовил на заводе Мельцера свою летающую лодку «Энгельс-2». Все это были экспериментальные самолеты для ВМФ. Однако производство в основном было сосредоточено на гребных винтах, 2663 из которых были построены к концу войны.</w:t>
      </w:r>
    </w:p>
    <w:p w14:paraId="59CF9EBD" w14:textId="77777777" w:rsidR="00870037" w:rsidRPr="00DE096C" w:rsidRDefault="00870037" w:rsidP="00D45A46">
      <w:pPr>
        <w:jc w:val="both"/>
        <w:rPr>
          <w:bCs/>
          <w:color w:val="002060"/>
          <w:sz w:val="16"/>
          <w:szCs w:val="16"/>
        </w:rPr>
      </w:pPr>
      <w:r w:rsidRPr="00DE096C">
        <w:rPr>
          <w:bCs/>
          <w:color w:val="002060"/>
          <w:sz w:val="16"/>
          <w:szCs w:val="16"/>
        </w:rPr>
        <w:lastRenderedPageBreak/>
        <w:t>В 1916 году Мельцер открыл два новых филиала в Петрограде и планировал построить еще один завод в Бердянске, но он так и не был запущен. В 1914 г. было 242 рабочих, в 1915 г. — около 200, в 1916 г. — около 500, в 1917 г. — 255. В 1918 г., после революции, и Мельцер, и Виллиш уехали в Германию. Позже Мельцер переехал в Америку (23525).</w:t>
      </w:r>
    </w:p>
    <w:bookmarkEnd w:id="186"/>
    <w:p w14:paraId="0D09A0F7" w14:textId="77777777" w:rsidR="00870037" w:rsidRPr="00DE096C" w:rsidRDefault="00870037" w:rsidP="00D45A46">
      <w:pPr>
        <w:jc w:val="both"/>
        <w:rPr>
          <w:bCs/>
          <w:color w:val="002060"/>
          <w:sz w:val="16"/>
          <w:szCs w:val="16"/>
        </w:rPr>
      </w:pPr>
    </w:p>
    <w:bookmarkEnd w:id="187"/>
    <w:p w14:paraId="4570D136" w14:textId="77777777" w:rsidR="00870037" w:rsidRPr="00DE096C" w:rsidRDefault="00870037" w:rsidP="00D45A46">
      <w:pPr>
        <w:jc w:val="both"/>
        <w:rPr>
          <w:bCs/>
          <w:color w:val="002060"/>
          <w:sz w:val="16"/>
          <w:szCs w:val="16"/>
        </w:rPr>
      </w:pPr>
      <w:r w:rsidRPr="00DE096C">
        <w:rPr>
          <w:bCs/>
          <w:color w:val="002060"/>
          <w:sz w:val="16"/>
          <w:szCs w:val="16"/>
          <w:lang w:bidi="ru-RU"/>
        </w:rPr>
        <w:t xml:space="preserve">Осенью 1914 г. в соответствии с заказом Военного ведомства на пять двухместных учебных бипланов, включенных в общее количество строящихся на РБВЗ «легких» аппаратов (45 экземпляров), Сикорский разрабатывал </w:t>
      </w:r>
      <w:bookmarkStart w:id="188" w:name="bookmark134"/>
      <w:r w:rsidRPr="00DE096C">
        <w:rPr>
          <w:bCs/>
          <w:color w:val="002060"/>
          <w:sz w:val="16"/>
          <w:szCs w:val="16"/>
          <w:lang w:bidi="ru-RU"/>
        </w:rPr>
        <w:t xml:space="preserve">С-16 (РБВЗ </w:t>
      </w:r>
      <w:r w:rsidRPr="00DE096C">
        <w:rPr>
          <w:bCs/>
          <w:color w:val="002060"/>
          <w:sz w:val="16"/>
          <w:szCs w:val="16"/>
          <w:lang w:val="en-US" w:bidi="en-US"/>
        </w:rPr>
        <w:t>C</w:t>
      </w:r>
      <w:r w:rsidRPr="00DE096C">
        <w:rPr>
          <w:bCs/>
          <w:color w:val="002060"/>
          <w:sz w:val="16"/>
          <w:szCs w:val="16"/>
          <w:lang w:bidi="en-US"/>
        </w:rPr>
        <w:t>-</w:t>
      </w:r>
      <w:r w:rsidRPr="00DE096C">
        <w:rPr>
          <w:bCs/>
          <w:color w:val="002060"/>
          <w:sz w:val="16"/>
          <w:szCs w:val="16"/>
          <w:lang w:val="en-US" w:bidi="en-US"/>
        </w:rPr>
        <w:t>XVI</w:t>
      </w:r>
      <w:r w:rsidRPr="00DE096C">
        <w:rPr>
          <w:bCs/>
          <w:color w:val="002060"/>
          <w:sz w:val="16"/>
          <w:szCs w:val="16"/>
          <w:lang w:bidi="en-US"/>
        </w:rPr>
        <w:t>)</w:t>
      </w:r>
      <w:bookmarkEnd w:id="188"/>
      <w:r w:rsidRPr="00DE096C">
        <w:rPr>
          <w:bCs/>
          <w:color w:val="002060"/>
          <w:sz w:val="16"/>
          <w:szCs w:val="16"/>
          <w:lang w:bidi="en-US"/>
        </w:rPr>
        <w:t xml:space="preserve">. </w:t>
      </w:r>
      <w:r w:rsidRPr="00DE096C">
        <w:rPr>
          <w:bCs/>
          <w:color w:val="002060"/>
          <w:sz w:val="16"/>
          <w:szCs w:val="16"/>
          <w:lang w:bidi="ru-RU"/>
        </w:rPr>
        <w:t>Самолет, по</w:t>
      </w:r>
      <w:r w:rsidRPr="00DE096C">
        <w:rPr>
          <w:bCs/>
          <w:color w:val="002060"/>
          <w:sz w:val="16"/>
          <w:szCs w:val="16"/>
          <w:lang w:bidi="ru-RU"/>
        </w:rPr>
        <w:softHyphen/>
        <w:t>лучивший обозначение С-16, представлял собой нормальный одностоечный биплан с двигателем «Рон» 80 л.с.</w:t>
      </w:r>
    </w:p>
    <w:p w14:paraId="1416E846" w14:textId="77777777" w:rsidR="00870037" w:rsidRPr="00DE096C" w:rsidRDefault="00870037" w:rsidP="00D45A46">
      <w:pPr>
        <w:jc w:val="both"/>
        <w:rPr>
          <w:bCs/>
          <w:color w:val="002060"/>
          <w:sz w:val="16"/>
          <w:szCs w:val="16"/>
        </w:rPr>
      </w:pPr>
      <w:r w:rsidRPr="00DE096C">
        <w:rPr>
          <w:bCs/>
          <w:color w:val="002060"/>
          <w:sz w:val="16"/>
          <w:szCs w:val="16"/>
          <w:lang w:bidi="ru-RU"/>
        </w:rPr>
        <w:t>Первые три опытных образца были гото</w:t>
      </w:r>
      <w:r w:rsidRPr="00DE096C">
        <w:rPr>
          <w:bCs/>
          <w:color w:val="002060"/>
          <w:sz w:val="16"/>
          <w:szCs w:val="16"/>
          <w:lang w:bidi="ru-RU"/>
        </w:rPr>
        <w:softHyphen/>
        <w:t>вы весной 1915 г. Один — заводской №154 — отличался небольшой стреловидностью крыльев, два других — заводские №155 и №156 — стреловидности не имели, но об</w:t>
      </w:r>
      <w:r w:rsidRPr="00DE096C">
        <w:rPr>
          <w:bCs/>
          <w:color w:val="002060"/>
          <w:sz w:val="16"/>
          <w:szCs w:val="16"/>
          <w:lang w:bidi="ru-RU"/>
        </w:rPr>
        <w:softHyphen/>
        <w:t>ладали увеличенным поперечным V крыль</w:t>
      </w:r>
      <w:r w:rsidRPr="00DE096C">
        <w:rPr>
          <w:bCs/>
          <w:color w:val="002060"/>
          <w:sz w:val="16"/>
          <w:szCs w:val="16"/>
          <w:lang w:bidi="ru-RU"/>
        </w:rPr>
        <w:softHyphen/>
        <w:t>ев. Все три аппарата отличались наличием элеронов на верхнем и нижнем крыле.</w:t>
      </w:r>
    </w:p>
    <w:p w14:paraId="4DD98F3C" w14:textId="77777777" w:rsidR="00870037" w:rsidRPr="00DE096C" w:rsidRDefault="00870037" w:rsidP="00D45A46">
      <w:pPr>
        <w:jc w:val="both"/>
        <w:rPr>
          <w:bCs/>
          <w:color w:val="002060"/>
          <w:sz w:val="16"/>
          <w:szCs w:val="16"/>
        </w:rPr>
      </w:pPr>
      <w:r w:rsidRPr="00DE096C">
        <w:rPr>
          <w:bCs/>
          <w:color w:val="002060"/>
          <w:sz w:val="16"/>
          <w:szCs w:val="16"/>
          <w:lang w:bidi="ru-RU"/>
        </w:rPr>
        <w:t>Эксплуатация, начавшаяся летом 1915 г. в Эскадре воздушных кораблей, выявила их положительные летные данные, поэтому очередной заказ, оформленный в октябре 1915 г. составил 15 С-16 (т.е. весь заказ, вместе с ранее поставленными тремя са</w:t>
      </w:r>
      <w:r w:rsidRPr="00DE096C">
        <w:rPr>
          <w:bCs/>
          <w:color w:val="002060"/>
          <w:sz w:val="16"/>
          <w:szCs w:val="16"/>
          <w:lang w:bidi="ru-RU"/>
        </w:rPr>
        <w:softHyphen/>
        <w:t>молетами, составил 18 экземпляров) (23374).</w:t>
      </w:r>
    </w:p>
    <w:p w14:paraId="2E58C76A" w14:textId="77777777" w:rsidR="00870037" w:rsidRPr="00DE096C" w:rsidRDefault="00870037" w:rsidP="00D45A46">
      <w:pPr>
        <w:jc w:val="both"/>
        <w:rPr>
          <w:bCs/>
          <w:color w:val="002060"/>
          <w:sz w:val="16"/>
          <w:szCs w:val="16"/>
        </w:rPr>
      </w:pPr>
    </w:p>
    <w:p w14:paraId="2E0CE629"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Другие оборонные отрасли:</w:t>
      </w:r>
    </w:p>
    <w:p w14:paraId="3FE67DC0" w14:textId="77777777" w:rsidR="00B67D7C" w:rsidRPr="00DE096C" w:rsidRDefault="00B67D7C" w:rsidP="00D45A46">
      <w:pPr>
        <w:shd w:val="clear" w:color="auto" w:fill="FFFFFF"/>
        <w:jc w:val="both"/>
        <w:rPr>
          <w:bCs/>
          <w:i/>
          <w:color w:val="002060"/>
          <w:sz w:val="16"/>
          <w:szCs w:val="16"/>
        </w:rPr>
      </w:pPr>
    </w:p>
    <w:p w14:paraId="0872F3D6" w14:textId="77777777" w:rsidR="00F66B3D" w:rsidRPr="00DE096C" w:rsidRDefault="00F66B3D" w:rsidP="00D45A46">
      <w:pPr>
        <w:jc w:val="both"/>
        <w:rPr>
          <w:bCs/>
          <w:color w:val="002060"/>
          <w:sz w:val="16"/>
          <w:szCs w:val="16"/>
        </w:rPr>
      </w:pPr>
      <w:r w:rsidRPr="00DE096C">
        <w:rPr>
          <w:bCs/>
          <w:color w:val="002060"/>
          <w:sz w:val="16"/>
          <w:szCs w:val="16"/>
        </w:rPr>
        <w:t>С осени 1914 система управления военной авиации в Первую мировую войну была разделена на две части. Авиация действующей армии управлялась Авиационной канцелярией (Авиаканцем), а авиация тыла, в которую входили система подготовки авиационных кадров, а также наблюдение за производством, снабжение, хранение авиатехники и др., находились сначала в ведении ГВТУ, а с мая 1916 г. – в ведении Управления ВВФ (Увофлота). Между полевым и тыловым органами управления взаимоотношения не были определены.</w:t>
      </w:r>
    </w:p>
    <w:p w14:paraId="3D011E5A" w14:textId="77777777" w:rsidR="00F66B3D" w:rsidRPr="00DE096C" w:rsidRDefault="00F66B3D" w:rsidP="00D45A46">
      <w:pPr>
        <w:jc w:val="both"/>
        <w:rPr>
          <w:bCs/>
          <w:color w:val="002060"/>
          <w:sz w:val="16"/>
          <w:szCs w:val="16"/>
        </w:rPr>
      </w:pPr>
      <w:r w:rsidRPr="00DE096C">
        <w:rPr>
          <w:bCs/>
          <w:color w:val="002060"/>
          <w:sz w:val="16"/>
          <w:szCs w:val="16"/>
        </w:rPr>
        <w:t>«Положение о полевом управлении войск», изданное накануне войны, не содержало какой-либо информации об управлении авиацией на театре военных действий. Маневры же, проведенные до войны с участием авиации, и лекции, прочитанные авиаторами в офицерских собраниях, не успели сформировать устойчивый стереотип в сознании командно-штабного состава о тактике использования авиации в современной войне. Поэтому «для упорядочения авиационного дела» были введены две специальные должности заведующих организацией авиационного дела на Северо-Западном и Юго-Западном фронтах. На СЗФ ее стал исполнять генерал А.В. Каульбарс, а на ЮЗФ – Великий князь Александр Михайлович (при главенстве последнего в масштабе всей авиации действующей армии). Авиаотряды, рассредоточенные по всему фронту, подчинялись в строевом и оперативном отношениях штабам армий, корпусов и крепостей. Поэтому на Заведующих организацией авиационного дела легли вспомогательные управленческие функции. Однако Александр Михайлович, вступив в должность, стал наращивать свои полномочия. Несмотря на волюнтаризм Великого князя, упорядочение авиационного дела на обоих фронтах шло медленно. Во-первых, с началом войны многие корпусные отряды оказались в распоряжении армий. К примеру, 20-й корпусной отряд прибыл на восьмой день войны в г. Люблин, а 20-й корпус выдвинулся в это время на запад в соответствии с новыми планами Ставки, и поэтому авиаотряд распоряжением командующего 4-й армией был придан армейскому штабу (19566).</w:t>
      </w:r>
    </w:p>
    <w:p w14:paraId="6EF632B7" w14:textId="77777777" w:rsidR="00F66B3D" w:rsidRPr="00DE096C" w:rsidRDefault="00F66B3D" w:rsidP="00D45A46">
      <w:pPr>
        <w:jc w:val="both"/>
        <w:rPr>
          <w:bCs/>
          <w:color w:val="002060"/>
          <w:sz w:val="16"/>
          <w:szCs w:val="16"/>
        </w:rPr>
      </w:pPr>
    </w:p>
    <w:p w14:paraId="290A09D7" w14:textId="32159DFF" w:rsidR="00B67D7C" w:rsidRPr="00DE096C" w:rsidRDefault="00FF53B8"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О</w:t>
      </w:r>
      <w:r w:rsidR="00B67D7C" w:rsidRPr="00DE096C">
        <w:rPr>
          <w:bCs/>
          <w:i w:val="0"/>
          <w:color w:val="002060"/>
          <w:spacing w:val="0"/>
          <w:kern w:val="0"/>
          <w:position w:val="0"/>
          <w:sz w:val="16"/>
          <w:szCs w:val="16"/>
        </w:rPr>
        <w:t>сенью 1914 г. в русской действующей армии определилась большая нужда в снарядах, потребовались чрезвычайные меры для спасения от угрожающих последствий снарядного голода. Тогда, по инициативе находившихся во Франции представителей русской армии, французское правительство отправило в Россию особую миссию из французских артиллеристов, инженеров, техников и химиков (всего 14 человек во главе с артиллерийским офицером Пио) (11483).</w:t>
      </w:r>
    </w:p>
    <w:p w14:paraId="012847AA" w14:textId="77777777" w:rsidR="00B67D7C" w:rsidRPr="00DE096C" w:rsidRDefault="00B67D7C" w:rsidP="00D45A46">
      <w:pPr>
        <w:jc w:val="both"/>
        <w:rPr>
          <w:bCs/>
          <w:color w:val="002060"/>
          <w:sz w:val="16"/>
          <w:szCs w:val="16"/>
        </w:rPr>
      </w:pPr>
    </w:p>
    <w:p w14:paraId="0151EDF9" w14:textId="50104128" w:rsidR="00B67D7C" w:rsidRPr="00DE096C" w:rsidRDefault="00FF53B8"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О</w:t>
      </w:r>
      <w:r w:rsidR="00B67D7C" w:rsidRPr="00DE096C">
        <w:rPr>
          <w:bCs/>
          <w:i w:val="0"/>
          <w:color w:val="002060"/>
          <w:spacing w:val="0"/>
          <w:kern w:val="0"/>
          <w:position w:val="0"/>
          <w:sz w:val="16"/>
          <w:szCs w:val="16"/>
        </w:rPr>
        <w:t xml:space="preserve">сенью 1914 г. </w:t>
      </w:r>
      <w:r w:rsidRPr="00DE096C">
        <w:rPr>
          <w:bCs/>
          <w:i w:val="0"/>
          <w:color w:val="002060"/>
          <w:spacing w:val="0"/>
          <w:kern w:val="0"/>
          <w:position w:val="0"/>
          <w:sz w:val="16"/>
          <w:szCs w:val="16"/>
        </w:rPr>
        <w:t xml:space="preserve">Литвинов-Фалинский докладывал, что произведенных нами </w:t>
      </w:r>
      <w:r w:rsidR="00B67D7C" w:rsidRPr="00DE096C">
        <w:rPr>
          <w:bCs/>
          <w:i w:val="0"/>
          <w:color w:val="002060"/>
          <w:spacing w:val="0"/>
          <w:kern w:val="0"/>
          <w:position w:val="0"/>
          <w:sz w:val="16"/>
          <w:szCs w:val="16"/>
        </w:rPr>
        <w:t xml:space="preserve">иностранных заказов "или вовсе не получим, или же получим с большим опозданием". Вследствие этого </w:t>
      </w:r>
      <w:r w:rsidRPr="00DE096C">
        <w:rPr>
          <w:bCs/>
          <w:i w:val="0"/>
          <w:color w:val="002060"/>
          <w:spacing w:val="0"/>
          <w:kern w:val="0"/>
          <w:position w:val="0"/>
          <w:sz w:val="16"/>
          <w:szCs w:val="16"/>
        </w:rPr>
        <w:t>Особое совещание по обороне</w:t>
      </w:r>
      <w:r w:rsidR="00B67D7C" w:rsidRPr="00DE096C">
        <w:rPr>
          <w:bCs/>
          <w:i w:val="0"/>
          <w:color w:val="002060"/>
          <w:spacing w:val="0"/>
          <w:kern w:val="0"/>
          <w:position w:val="0"/>
          <w:sz w:val="16"/>
          <w:szCs w:val="16"/>
        </w:rPr>
        <w:t xml:space="preserve"> обратилось к русской промышленности и "путем выдачи заказов, авансов и иного рода воспособлений" привело ее к тому, что она преодолела целый ряд трудностей и стала работать. </w:t>
      </w:r>
    </w:p>
    <w:p w14:paraId="3F231930"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Литвинов-Фалинский предупреждал, что будет "величайшей ошибкой" допустить вслед за окончанием войны разрушение этой "огромной мощи", какую представит собою русская промышленность к концу войны. </w:t>
      </w:r>
    </w:p>
    <w:p w14:paraId="408A2076"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 результате в целях сохранения в мирное время той способности русской промышленности к производству предметов военного снабжения, какую она проявила во время войны, он предлагал следующие меры: </w:t>
      </w:r>
    </w:p>
    <w:p w14:paraId="0E0C2E2E"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а) обязать работающие на оборону заводы "держать соответственное оборудование в состоянии постоянной готовности к производству военных заказов"; </w:t>
      </w:r>
    </w:p>
    <w:p w14:paraId="04544FFD"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б) подобные же обязательства в отношении готовности производить военные заказы ставить вновь возникающим предприятиям (в особенности тем, которым будут оказаны какие-либо "льготы или воспособления"). </w:t>
      </w:r>
    </w:p>
    <w:p w14:paraId="318D5602"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"Идя таким путем и приводя в известное планомерное соотношение способность наших заводов производить отдельные предметы военных заготовлений", Литвинов-Фалинский предполагал осуществить мобилизацию русской промышленности, т. е. "приведение и поддержание ее в состоянии возможности начать производить без потери времени заранее определенное для каждого завода количество предметов военного снабжения". </w:t>
      </w:r>
    </w:p>
    <w:p w14:paraId="16294DF1"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Кроме того, чтобы исчерпать задачу мобилизации русской промышленности, Литвинов-Фалинский считал необходимым: </w:t>
      </w:r>
    </w:p>
    <w:p w14:paraId="499FC767"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а) приблизить машиностроительную промышленность Петрограда к металлургии путем эвакуации петроградских заводов в район Урала и южной горной промышленности, где имеются металлы и топливо; </w:t>
      </w:r>
    </w:p>
    <w:p w14:paraId="11B1A4BF"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б) разработать план снабжения и обеспечения заводов необходимым сырьем, установив в России добычу и производство свинца, олова, алюминия, цинка и других специальных металлов, "без которых боевая готовность будет всегда находиться в рискованном положении"; </w:t>
      </w:r>
    </w:p>
    <w:p w14:paraId="6709DD32"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 использовать водопад Иматру (в Финляндии) для подачи в Петроград электрической энергии (около 400.000 лошадиных сил), чтобы освободить заводы Петрограда от зависимости от иностранного топлива (в довоенное время Петроград ежегодно выплачивал за английский уголь свыше 30 млн. рублей за границу). </w:t>
      </w:r>
    </w:p>
    <w:p w14:paraId="0077AEA5"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В программе мобилизации промышленности, намеченной Литвиновым-Фалинским, не были затронуты вопросы о создании казенных заводов и многие другие факторы, могущие в той или иной степени влиять на боевую готовность промышленности (11483).</w:t>
      </w:r>
    </w:p>
    <w:p w14:paraId="0A739D80" w14:textId="77777777" w:rsidR="00B67D7C" w:rsidRPr="00DE096C" w:rsidRDefault="00B67D7C" w:rsidP="00D45A46">
      <w:pPr>
        <w:pStyle w:val="a3"/>
        <w:jc w:val="both"/>
        <w:rPr>
          <w:bCs/>
          <w:i w:val="0"/>
          <w:color w:val="002060"/>
          <w:spacing w:val="0"/>
          <w:kern w:val="0"/>
          <w:position w:val="0"/>
          <w:sz w:val="16"/>
          <w:szCs w:val="16"/>
        </w:rPr>
      </w:pPr>
    </w:p>
    <w:p w14:paraId="106DFBC4"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Осенью 1914 г. в Петрограде появилось множество разных "представителей", нередко из весьма подозрительных темных личностей, которыми вскоре была населена чуть ли не вся гостиница "Астория". </w:t>
      </w:r>
    </w:p>
    <w:p w14:paraId="66603906"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 области приобретения предметов боевого снабжения за границей встретились большие затруднения, потребовавшие от ГАУ и от Особой распорядительной комиссии чрезвычайной осторожности и осмотрительности. </w:t>
      </w:r>
    </w:p>
    <w:p w14:paraId="147880D3"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Из-за границы стало поступать множество предложений поставок предметов боевого снабжения, которые или вовсе не существовали, или принадлежали не тем лицам, которые предлагали их продать. Часто на одни и те же поставки поступало несколько предложений от разных лиц и пo разным ценам, причем все эти лица старались обеспечить свои предложения разнообразнейшими документами, ссылками на подставных лиц и т. п. Образовывались, повидимому, целые общества и финансовые группы "с целью продать несуществующие предметы за наличные деньги". </w:t>
      </w:r>
    </w:p>
    <w:p w14:paraId="6DF2CE28"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Русским военным агентам приходилось исполнять несвойственную им сложную коммерческую работу по ориентировке в том, какие из бесчисленных предложений боевых припасов являются заслуживающими внимания и т. д. Пришлось командировать из ГАУ особых специалистов, которые вели дело покупок предметов артснабжения независимо от военных агентов, и без того перегруженных работой. </w:t>
      </w:r>
    </w:p>
    <w:p w14:paraId="16DBB484"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По поводу вакханалий с заграничными заказами снарядов ген. Смысловский показывал Верховной следственной комиссии следующее: </w:t>
      </w:r>
    </w:p>
    <w:p w14:paraId="05A8F9A8"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"Некоторые из этих представителей были рекомендованы ГАУ лицами, занимавшими видное общественное и служебное положение. Так, представитель прославившейся своими мошенническими проделками американской фирмы Чарльз Флинт был рекомендован солистом его величества Н. Н. Фигнером, который сам занимался поставками каменного угля; Животовский, подозревавшийся в одновременной поставке и нам и Германии, посаженный впоследствии за какую-то недобросовестную проделку в тюрьму, бравшийся поставлять все что угодно и откуда угодно, приведен был лично генералом Вогаком, бывшим нашим военным агентом в Китае и директором Русско-азиатского Банка и Путиловских заводов А. И. Путиловым; капитан Мэкки, представитель фирмы Аллисона - великобританским посольством в Петрограде и генералом великобританской службы Вильямсом, состоявшим, в Ставке; петроградский портной Джонс поддерживался бывшим товарищем председателя Государственной Думы А. Д. Протопоповым; бельгийский консул Гейдеман однажды явился в управление с визитной карточкой ген. Сухомлинова; и Кнаап и Цимдин, доверенные капитана Мэкки, рекомендовались Сухомлиновым и, насколько помнится, министром финансов Барком. </w:t>
      </w:r>
    </w:p>
    <w:p w14:paraId="3E7E635F"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Попытка объединения действий по заграничным покупкам, с министерством торговли и промышленности окончилась неудачей. Выяснилось, что для нужд общей промышленности министерство это само с трудом справляется на те средства, которые ему были отпущены, почему даже сырые материалы, необходимые для предметов вооружения, изготовлявшихся из частных заводах в России, артиллерийское ведомство принуждено было приобрести само. К тому же, на-сколько известно, министерство торговли прибегло к посредству чуть ли не того же Животовского, упомянутого выше, цены которого были выше тех, по каким приобретались те же материалы артиллерийским ведомством. </w:t>
      </w:r>
    </w:p>
    <w:p w14:paraId="11B6F5FA"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Политическая обстановка складывалась тоже весьма неблагоприятно: союзные державы caми были в большой нужде; нейтралитет скандинавских государств имел характер неблагоприятный; в отдаленной Америке, промышленность, которой с первых же дней войны была захвачена Англией,. Францией и Германией, шли колебания относительно признания предметов вооружения военной контрабандой, не подлежащей вывозу. </w:t>
      </w:r>
    </w:p>
    <w:p w14:paraId="33072FB8"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lastRenderedPageBreak/>
        <w:t xml:space="preserve">Только одна Япония тотчас же пошла нам навстречу, предложив производить изготовления в Америке через ее посредство, почему в Токио тотчас же была командирована комиссия специалистов род председательством ген. Гермониуса, распространившая там свою деятельность и на Америку. </w:t>
      </w:r>
    </w:p>
    <w:p w14:paraId="35BE6CA7"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Дело военных заказов за границей приходилось создавать, заново". </w:t>
      </w:r>
    </w:p>
    <w:p w14:paraId="655B0F18"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Выходом из положения было обращение к союзным правительствам с просьбою взять дело заказов в свои руки через специальные русские комиссии при их министерствах снабжения. Обойтись же совсем без участия хозяев тех стран, куда русские совались во время разгара войны, было, конечно, немыслимо. Наивно было думать, что мы сможем через каких-то "представителей-аферистов" что-то урвать из-под носа у наших союзников на их же рынке, если они сами не захотят дать что-либо. Да еще у таких союзников, которые сами норовили сорвать с нас что можно, и по этой части, конечно, могли дать нам много очков вперед. </w:t>
      </w:r>
    </w:p>
    <w:p w14:paraId="715EF00C"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Все это мы знали или должны были знать, и все же много раз попадали на удочку к разного рода темным дельцам. Да и как было не попасть, раз сами министры, в том числе и военный, присылали в ГАУ и рекомендовали этих господ, вместо того чтобы сразу стать на путь сношений непосредственно с правительством союзников. И пока познали настоящую цену этих "представителей" и раскусили их, сколько было потрачено дорогого времени и убито энергии, не говоря уже о деньгах. </w:t>
      </w:r>
    </w:p>
    <w:p w14:paraId="622BDE84"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Особенно изобретательны и назойливы были эти господа по части "заграничных предложений", суливших им особенно обильную жатву. Тут они прибегали к мистификации ГАУ посредством телеграмм из-за границы, писанных под диктовку из Петрограда. С большим трудом удавалось разоблачать эти махинации и отмечать авторов их. </w:t>
      </w:r>
    </w:p>
    <w:p w14:paraId="480445FE"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В конце концов, когда пришлось обратиться к правительствам союзников, они, к сожалению, не оказали поддержки в той мере, как на это рассчитывали мы и как это было выгодно и для них самих (11483).</w:t>
      </w:r>
    </w:p>
    <w:p w14:paraId="66FE0B85" w14:textId="77777777" w:rsidR="00B67D7C" w:rsidRPr="00DE096C" w:rsidRDefault="00B67D7C" w:rsidP="00D45A46">
      <w:pPr>
        <w:pStyle w:val="a3"/>
        <w:jc w:val="both"/>
        <w:rPr>
          <w:bCs/>
          <w:i w:val="0"/>
          <w:color w:val="002060"/>
          <w:spacing w:val="0"/>
          <w:kern w:val="0"/>
          <w:position w:val="0"/>
          <w:sz w:val="16"/>
          <w:szCs w:val="16"/>
        </w:rPr>
      </w:pPr>
    </w:p>
    <w:p w14:paraId="7782B5B2" w14:textId="562AA0A1" w:rsidR="00B67D7C" w:rsidRPr="00DE096C" w:rsidRDefault="00DD238E" w:rsidP="00D45A46">
      <w:pPr>
        <w:jc w:val="both"/>
        <w:rPr>
          <w:bCs/>
          <w:color w:val="002060"/>
          <w:sz w:val="16"/>
          <w:szCs w:val="16"/>
        </w:rPr>
      </w:pPr>
      <w:r w:rsidRPr="00DE096C">
        <w:rPr>
          <w:bCs/>
          <w:color w:val="002060"/>
          <w:sz w:val="16"/>
          <w:szCs w:val="16"/>
        </w:rPr>
        <w:t>С</w:t>
      </w:r>
      <w:r w:rsidR="00B67D7C" w:rsidRPr="00DE096C">
        <w:rPr>
          <w:bCs/>
          <w:color w:val="002060"/>
          <w:sz w:val="16"/>
          <w:szCs w:val="16"/>
        </w:rPr>
        <w:t xml:space="preserve"> осени 1914 г. под руководством инж. Качалова</w:t>
      </w:r>
      <w:r w:rsidRPr="00DE096C">
        <w:rPr>
          <w:bCs/>
          <w:color w:val="002060"/>
          <w:sz w:val="16"/>
          <w:szCs w:val="16"/>
        </w:rPr>
        <w:t xml:space="preserve"> начались опыты по изготовления оптического стекла в России. Для этого был выбран б. императорский Фарфоровый завод</w:t>
      </w:r>
      <w:r w:rsidR="00B67D7C" w:rsidRPr="00DE096C">
        <w:rPr>
          <w:bCs/>
          <w:color w:val="002060"/>
          <w:sz w:val="16"/>
          <w:szCs w:val="16"/>
        </w:rPr>
        <w:t xml:space="preserve">. Приходилось самостоятельно разрешить целый ряд технических вопросов — устройство печи, изготовление горшков, массы для них, режим плавки стекла и пр. В 1915 г. завод пригласил для участия в работах профессоров высших учебных заведений — Грум-Гржимайло, Гребенщикова, Рождественского и др. </w:t>
      </w:r>
    </w:p>
    <w:p w14:paraId="6C816792" w14:textId="77777777" w:rsidR="00B67D7C" w:rsidRPr="00DE096C" w:rsidRDefault="00B67D7C" w:rsidP="00D45A46">
      <w:pPr>
        <w:jc w:val="both"/>
        <w:rPr>
          <w:bCs/>
          <w:color w:val="002060"/>
          <w:sz w:val="16"/>
          <w:szCs w:val="16"/>
        </w:rPr>
      </w:pPr>
      <w:r w:rsidRPr="00DE096C">
        <w:rPr>
          <w:bCs/>
          <w:color w:val="002060"/>
          <w:sz w:val="16"/>
          <w:szCs w:val="16"/>
        </w:rPr>
        <w:t xml:space="preserve">В 1915 г. представилось возможным инженерам и мастерам Фарфорового завода получить доступ на английский завод оптического стекла бр. Чанс и ознакомиться там практически с работами по варке стекла, изготовлению горшков и пр. Это обстоятельство оказало большую помощь делу. </w:t>
      </w:r>
    </w:p>
    <w:p w14:paraId="3B6F3A42" w14:textId="77777777" w:rsidR="00B67D7C" w:rsidRPr="00DE096C" w:rsidRDefault="00B67D7C" w:rsidP="00D45A46">
      <w:pPr>
        <w:jc w:val="both"/>
        <w:rPr>
          <w:bCs/>
          <w:color w:val="002060"/>
          <w:sz w:val="16"/>
          <w:szCs w:val="16"/>
        </w:rPr>
      </w:pPr>
      <w:r w:rsidRPr="00DE096C">
        <w:rPr>
          <w:bCs/>
          <w:color w:val="002060"/>
          <w:sz w:val="16"/>
          <w:szCs w:val="16"/>
        </w:rPr>
        <w:t xml:space="preserve">К концу 1916 г. Фарфоровый завод уже мог готовить некоторые сорта оптического стекла, пригодные для изготовления приборов, и снабжал стеклом оптический отдел Обуховского завода. Но Фарфоровый завод нельзя было в будущем сделать базой снабжения оптическим стеклом благодаря неблагоприятному в стратегическом отношении расположению Петрограда. Кроме того, здесь приходилось бы работать на привозных основных материалах (глина, песок). Поэтому ГАУ возбудило перед правительством вопрос о постройке самостоятельного завода оптического стекла производительностью на 1000 пудов (считая на годное) в год. </w:t>
      </w:r>
    </w:p>
    <w:p w14:paraId="351AD74F" w14:textId="77777777" w:rsidR="00B67D7C" w:rsidRPr="00DE096C" w:rsidRDefault="00B67D7C" w:rsidP="00D45A46">
      <w:pPr>
        <w:jc w:val="both"/>
        <w:rPr>
          <w:bCs/>
          <w:color w:val="002060"/>
          <w:sz w:val="16"/>
          <w:szCs w:val="16"/>
        </w:rPr>
      </w:pPr>
      <w:r w:rsidRPr="00DE096C">
        <w:rPr>
          <w:bCs/>
          <w:color w:val="002060"/>
          <w:sz w:val="16"/>
          <w:szCs w:val="16"/>
        </w:rPr>
        <w:t>Постройка в законодательном порядке разрешена летом 1916 года.</w:t>
      </w:r>
    </w:p>
    <w:p w14:paraId="61C2C9AA" w14:textId="77777777" w:rsidR="00B67D7C" w:rsidRPr="00DE096C" w:rsidRDefault="00B67D7C" w:rsidP="00D45A46">
      <w:pPr>
        <w:jc w:val="both"/>
        <w:rPr>
          <w:bCs/>
          <w:color w:val="002060"/>
          <w:sz w:val="16"/>
          <w:szCs w:val="16"/>
        </w:rPr>
      </w:pPr>
      <w:r w:rsidRPr="00DE096C">
        <w:rPr>
          <w:bCs/>
          <w:color w:val="002060"/>
          <w:sz w:val="16"/>
          <w:szCs w:val="16"/>
        </w:rPr>
        <w:t xml:space="preserve">По сметам 1915 г. стоимость постройки оценивалась в 1 500 000 рублей. </w:t>
      </w:r>
    </w:p>
    <w:p w14:paraId="08BF620B" w14:textId="77777777" w:rsidR="00B67D7C" w:rsidRPr="00DE096C" w:rsidRDefault="00B67D7C" w:rsidP="00D45A46">
      <w:pPr>
        <w:jc w:val="both"/>
        <w:rPr>
          <w:bCs/>
          <w:color w:val="002060"/>
          <w:sz w:val="16"/>
          <w:szCs w:val="16"/>
        </w:rPr>
      </w:pPr>
      <w:r w:rsidRPr="00DE096C">
        <w:rPr>
          <w:bCs/>
          <w:color w:val="002060"/>
          <w:sz w:val="16"/>
          <w:szCs w:val="16"/>
        </w:rPr>
        <w:t xml:space="preserve">Местом для постройки был избрав г. Изюм Харьковской губернии. Причина выбора этого района — близость к местонахождению хороших глин и вообще благоприятное с точки зрения промышленной географии расположение. Сам г. Изюм избран потому, что Министерство финансов предложило военному ведомству под завод здания и территорию закрытого спиртоочистительного завода. </w:t>
      </w:r>
    </w:p>
    <w:p w14:paraId="3120E6F6" w14:textId="77777777" w:rsidR="00B67D7C" w:rsidRPr="00DE096C" w:rsidRDefault="00B67D7C" w:rsidP="00D45A46">
      <w:pPr>
        <w:jc w:val="both"/>
        <w:rPr>
          <w:bCs/>
          <w:color w:val="002060"/>
          <w:sz w:val="16"/>
          <w:szCs w:val="16"/>
        </w:rPr>
      </w:pPr>
      <w:r w:rsidRPr="00DE096C">
        <w:rPr>
          <w:bCs/>
          <w:color w:val="002060"/>
          <w:sz w:val="16"/>
          <w:szCs w:val="16"/>
        </w:rPr>
        <w:t xml:space="preserve">Постройка завода начата в 1916 г. под руководством проф. Жуковского. В конце 1917 г. в связи с событиями революции она остановилась и была возобновлена лишь в 1923 году. </w:t>
      </w:r>
    </w:p>
    <w:p w14:paraId="5649303A" w14:textId="77777777" w:rsidR="00B67D7C" w:rsidRPr="00DE096C" w:rsidRDefault="00B67D7C" w:rsidP="00D45A46">
      <w:pPr>
        <w:jc w:val="both"/>
        <w:rPr>
          <w:bCs/>
          <w:color w:val="002060"/>
          <w:sz w:val="16"/>
          <w:szCs w:val="16"/>
        </w:rPr>
      </w:pPr>
      <w:r w:rsidRPr="00DE096C">
        <w:rPr>
          <w:bCs/>
          <w:color w:val="002060"/>
          <w:sz w:val="16"/>
          <w:szCs w:val="16"/>
        </w:rPr>
        <w:t>Что касается отдела оптического стекла на Фарфоровом заводе, то он прекратил свою работу в 1917 году (11329).</w:t>
      </w:r>
    </w:p>
    <w:p w14:paraId="50CBF823" w14:textId="77777777" w:rsidR="00B67D7C" w:rsidRPr="00DE096C" w:rsidRDefault="00B67D7C" w:rsidP="00D45A46">
      <w:pPr>
        <w:jc w:val="both"/>
        <w:rPr>
          <w:bCs/>
          <w:i/>
          <w:color w:val="002060"/>
          <w:sz w:val="16"/>
          <w:szCs w:val="16"/>
        </w:rPr>
      </w:pPr>
    </w:p>
    <w:p w14:paraId="3BFB331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войне с Японией со стороны русских участвовало 1276 полевых 76-мм пушек; было расстреляно и утрачено 918 тыс. орудийных 76-мм патронов, израсходовано около 720 выстрелов на 76-мм пуш</w:t>
      </w:r>
      <w:r w:rsidRPr="00DE096C">
        <w:rPr>
          <w:bCs/>
          <w:color w:val="002060"/>
          <w:sz w:val="16"/>
          <w:szCs w:val="16"/>
        </w:rPr>
        <w:softHyphen/>
        <w:t>ку. На этом основании специальная комиссия Генштаба под предсе</w:t>
      </w:r>
      <w:r w:rsidRPr="00DE096C">
        <w:rPr>
          <w:bCs/>
          <w:color w:val="002060"/>
          <w:sz w:val="16"/>
          <w:szCs w:val="16"/>
        </w:rPr>
        <w:softHyphen/>
        <w:t>дательством помощника военного министра генерала Поливанова установила норму — 1000 выстрелов для 76-мм легкой и конной пушек, для 122-мм легкой гаубицы и 152-мм полевой тяжелой гауби</w:t>
      </w:r>
      <w:r w:rsidRPr="00DE096C">
        <w:rPr>
          <w:bCs/>
          <w:color w:val="002060"/>
          <w:sz w:val="16"/>
          <w:szCs w:val="16"/>
        </w:rPr>
        <w:softHyphen/>
        <w:t>цы и 1200 выстрелов для 76-мм горной пушки и 107-мм полевой тя</w:t>
      </w:r>
      <w:r w:rsidRPr="00DE096C">
        <w:rPr>
          <w:bCs/>
          <w:color w:val="002060"/>
          <w:sz w:val="16"/>
          <w:szCs w:val="16"/>
        </w:rPr>
        <w:softHyphen/>
        <w:t>желой пушки.</w:t>
      </w:r>
    </w:p>
    <w:p w14:paraId="2EE444D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При этом в боевом комплекте для пушек 1/7 часть должны были составлять выстрелы с мелинитовыми гранатами, а остальные — шрапнельные. В боевом комплекте гаубиц — 2/3 гранат, а осталь</w:t>
      </w:r>
      <w:r w:rsidRPr="00DE096C">
        <w:rPr>
          <w:bCs/>
          <w:color w:val="002060"/>
          <w:sz w:val="16"/>
          <w:szCs w:val="16"/>
        </w:rPr>
        <w:softHyphen/>
        <w:t>ные — шрапнели [5, с. 95].</w:t>
      </w:r>
    </w:p>
    <w:p w14:paraId="063292A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соответствии с этими нормами к началу войны было накоплено в запасах 7 004 336 выстрелов (против 6 983 500 по мобилизацион</w:t>
      </w:r>
      <w:r w:rsidRPr="00DE096C">
        <w:rPr>
          <w:bCs/>
          <w:color w:val="002060"/>
          <w:sz w:val="16"/>
          <w:szCs w:val="16"/>
        </w:rPr>
        <w:softHyphen/>
        <w:t>ному плану) [5, с. 96].</w:t>
      </w:r>
    </w:p>
    <w:p w14:paraId="5D30C54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боевых комплектах недоставало 12 % выстрелов к 122-мм лег</w:t>
      </w:r>
      <w:r w:rsidRPr="00DE096C">
        <w:rPr>
          <w:bCs/>
          <w:color w:val="002060"/>
          <w:sz w:val="16"/>
          <w:szCs w:val="16"/>
        </w:rPr>
        <w:softHyphen/>
        <w:t>ким гаубицам и почти 52 % выстрелов к 107-мм пушкам и 152-мм гаубицам.</w:t>
      </w:r>
    </w:p>
    <w:p w14:paraId="330CAF2D" w14:textId="78F0DA64" w:rsidR="00B67D7C" w:rsidRPr="00DE096C" w:rsidRDefault="00B67D7C" w:rsidP="00D45A46">
      <w:pPr>
        <w:shd w:val="clear" w:color="auto" w:fill="FFFFFF"/>
        <w:jc w:val="both"/>
        <w:rPr>
          <w:bCs/>
          <w:color w:val="002060"/>
          <w:sz w:val="16"/>
          <w:szCs w:val="16"/>
        </w:rPr>
      </w:pPr>
    </w:p>
    <w:p w14:paraId="08A9134A" w14:textId="0EFB97BE" w:rsidR="00B67D7C" w:rsidRPr="00DE096C" w:rsidRDefault="00DD238E" w:rsidP="00D45A46">
      <w:pPr>
        <w:shd w:val="clear" w:color="auto" w:fill="FFFFFF"/>
        <w:jc w:val="both"/>
        <w:rPr>
          <w:bCs/>
          <w:color w:val="002060"/>
          <w:sz w:val="16"/>
          <w:szCs w:val="16"/>
        </w:rPr>
      </w:pPr>
      <w:r w:rsidRPr="00DE096C">
        <w:rPr>
          <w:bCs/>
          <w:color w:val="002060"/>
          <w:sz w:val="16"/>
          <w:szCs w:val="16"/>
        </w:rPr>
        <w:t>О</w:t>
      </w:r>
      <w:r w:rsidR="00B67D7C" w:rsidRPr="00DE096C">
        <w:rPr>
          <w:bCs/>
          <w:color w:val="002060"/>
          <w:sz w:val="16"/>
          <w:szCs w:val="16"/>
        </w:rPr>
        <w:t>сенью 1914 г. русская армия стала ощущать недостаток в боеприпасах</w:t>
      </w:r>
      <w:r w:rsidRPr="00DE096C">
        <w:rPr>
          <w:bCs/>
          <w:color w:val="002060"/>
          <w:sz w:val="16"/>
          <w:szCs w:val="16"/>
        </w:rPr>
        <w:t>. Уже в первые месяцы войны обнаружилось, что все упомянутые выше расчеты потребности в вооружении и боеприпасах являются ошибочными. Поданным Е. 3. Барсукова, действительная ежемесяч</w:t>
      </w:r>
      <w:r w:rsidRPr="00DE096C">
        <w:rPr>
          <w:bCs/>
          <w:color w:val="002060"/>
          <w:sz w:val="16"/>
          <w:szCs w:val="16"/>
        </w:rPr>
        <w:softHyphen/>
        <w:t>ная потребность в орудиях и боеприпасах к ним превосходила моби</w:t>
      </w:r>
      <w:r w:rsidRPr="00DE096C">
        <w:rPr>
          <w:bCs/>
          <w:color w:val="002060"/>
          <w:sz w:val="16"/>
          <w:szCs w:val="16"/>
        </w:rPr>
        <w:softHyphen/>
        <w:t>лизационные расчеты 1910 г. в среднем в 6—18 раз [5, с. 103].</w:t>
      </w:r>
      <w:r w:rsidR="00B67D7C" w:rsidRPr="00DE096C">
        <w:rPr>
          <w:bCs/>
          <w:color w:val="002060"/>
          <w:sz w:val="16"/>
          <w:szCs w:val="16"/>
        </w:rPr>
        <w:t xml:space="preserve"> (5484).</w:t>
      </w:r>
    </w:p>
    <w:p w14:paraId="5955AB5D" w14:textId="77777777" w:rsidR="00B67D7C" w:rsidRPr="00DE096C" w:rsidRDefault="00B67D7C" w:rsidP="00D45A46">
      <w:pPr>
        <w:jc w:val="both"/>
        <w:rPr>
          <w:bCs/>
          <w:i/>
          <w:color w:val="002060"/>
          <w:sz w:val="16"/>
          <w:szCs w:val="16"/>
        </w:rPr>
      </w:pPr>
    </w:p>
    <w:p w14:paraId="469BF27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Производство корпусов снарядов организацией уполномоченно</w:t>
      </w:r>
      <w:r w:rsidRPr="00DE096C">
        <w:rPr>
          <w:bCs/>
          <w:color w:val="002060"/>
          <w:sz w:val="16"/>
          <w:szCs w:val="16"/>
        </w:rPr>
        <w:softHyphen/>
        <w:t>го ГАУ С. Н. Ванкова. Наиболее удачным опытом привлечения част</w:t>
      </w:r>
      <w:r w:rsidRPr="00DE096C">
        <w:rPr>
          <w:bCs/>
          <w:color w:val="002060"/>
          <w:sz w:val="16"/>
          <w:szCs w:val="16"/>
        </w:rPr>
        <w:softHyphen/>
        <w:t>ной промышленности к производству боеприпасов в годы первой ми</w:t>
      </w:r>
      <w:r w:rsidRPr="00DE096C">
        <w:rPr>
          <w:bCs/>
          <w:color w:val="002060"/>
          <w:sz w:val="16"/>
          <w:szCs w:val="16"/>
        </w:rPr>
        <w:softHyphen/>
        <w:t>ровой войны оказалась деятельность организации уполномоченно</w:t>
      </w:r>
      <w:r w:rsidRPr="00DE096C">
        <w:rPr>
          <w:bCs/>
          <w:color w:val="002060"/>
          <w:sz w:val="16"/>
          <w:szCs w:val="16"/>
        </w:rPr>
        <w:softHyphen/>
        <w:t>го ГАУ по изготовлению снарядов французского образца, возглав</w:t>
      </w:r>
      <w:r w:rsidRPr="00DE096C">
        <w:rPr>
          <w:bCs/>
          <w:color w:val="002060"/>
          <w:sz w:val="16"/>
          <w:szCs w:val="16"/>
        </w:rPr>
        <w:softHyphen/>
        <w:t>ляемой военным инженером, генералом С. Н. Банковым.</w:t>
      </w:r>
    </w:p>
    <w:p w14:paraId="4278F5F6" w14:textId="77777777" w:rsidR="00DD238E" w:rsidRPr="00DE096C" w:rsidRDefault="00B67D7C" w:rsidP="00D45A46">
      <w:pPr>
        <w:shd w:val="clear" w:color="auto" w:fill="FFFFFF"/>
        <w:jc w:val="both"/>
        <w:rPr>
          <w:bCs/>
          <w:color w:val="002060"/>
          <w:sz w:val="16"/>
          <w:szCs w:val="16"/>
        </w:rPr>
      </w:pPr>
      <w:r w:rsidRPr="00DE096C">
        <w:rPr>
          <w:bCs/>
          <w:color w:val="002060"/>
          <w:sz w:val="16"/>
          <w:szCs w:val="16"/>
        </w:rPr>
        <w:t xml:space="preserve">Коротко история этой организации такова. Когда </w:t>
      </w:r>
    </w:p>
    <w:p w14:paraId="2849C25B" w14:textId="77777777" w:rsidR="00DD238E" w:rsidRPr="00DE096C" w:rsidRDefault="00DD238E" w:rsidP="00D45A46">
      <w:pPr>
        <w:shd w:val="clear" w:color="auto" w:fill="FFFFFF"/>
        <w:jc w:val="both"/>
        <w:rPr>
          <w:bCs/>
          <w:color w:val="002060"/>
          <w:sz w:val="16"/>
          <w:szCs w:val="16"/>
        </w:rPr>
      </w:pPr>
    </w:p>
    <w:p w14:paraId="67B0A2DA" w14:textId="33ECC329" w:rsidR="00B67D7C" w:rsidRPr="00DE096C" w:rsidRDefault="00DD238E" w:rsidP="00D45A46">
      <w:pPr>
        <w:shd w:val="clear" w:color="auto" w:fill="FFFFFF"/>
        <w:jc w:val="both"/>
        <w:rPr>
          <w:bCs/>
          <w:color w:val="002060"/>
          <w:sz w:val="16"/>
          <w:szCs w:val="16"/>
        </w:rPr>
      </w:pPr>
      <w:r w:rsidRPr="00DE096C">
        <w:rPr>
          <w:bCs/>
          <w:color w:val="002060"/>
          <w:sz w:val="16"/>
          <w:szCs w:val="16"/>
        </w:rPr>
        <w:t>О</w:t>
      </w:r>
      <w:r w:rsidR="00B67D7C" w:rsidRPr="00DE096C">
        <w:rPr>
          <w:bCs/>
          <w:color w:val="002060"/>
          <w:sz w:val="16"/>
          <w:szCs w:val="16"/>
        </w:rPr>
        <w:t>сенью 1914 г. потребовались чрезвычайные меры для обеспечения русской армии снарядами, по инициативе находившихся во Франции представите</w:t>
      </w:r>
      <w:r w:rsidR="00B67D7C" w:rsidRPr="00DE096C">
        <w:rPr>
          <w:bCs/>
          <w:color w:val="002060"/>
          <w:sz w:val="16"/>
          <w:szCs w:val="16"/>
        </w:rPr>
        <w:softHyphen/>
        <w:t>лей русской армии французское правительство отправило в Россию миссию из 14 артиллеристов, военных инженеров и химиков. Задача миссии состояла в том, чтобы ознакомить русских артиллеристов и промышленников с накопленным во Франции опытом изготовления 76-мм осколочных снарядов упрощенной конструкции. Гранаты французского образца изготовляли цельнокорпусными, т. е. без от</w:t>
      </w:r>
      <w:r w:rsidR="00B67D7C" w:rsidRPr="00DE096C">
        <w:rPr>
          <w:bCs/>
          <w:color w:val="002060"/>
          <w:sz w:val="16"/>
          <w:szCs w:val="16"/>
        </w:rPr>
        <w:softHyphen/>
        <w:t>дельной привинтной головки, и применяли со взрывателем особого, упрощенного типа. Корпуса гранат изготовляли из обыкновенного или сталистого (высокопрочного) чугуна.</w:t>
      </w:r>
    </w:p>
    <w:p w14:paraId="7E64822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Французские гранаты уступали русским по прочности и безопас</w:t>
      </w:r>
      <w:r w:rsidRPr="00DE096C">
        <w:rPr>
          <w:bCs/>
          <w:color w:val="002060"/>
          <w:sz w:val="16"/>
          <w:szCs w:val="16"/>
        </w:rPr>
        <w:softHyphen/>
        <w:t>ности при стрельбе. Имелись сведения о случаях преждевременных разрывов французских гранат в канале ствола орудия, поэтому в ГАУ отнеслись к этим боеприпасам с недоверием.</w:t>
      </w:r>
    </w:p>
    <w:p w14:paraId="70E2D14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После получения положительных результатов испытаний стрель</w:t>
      </w:r>
      <w:r w:rsidRPr="00DE096C">
        <w:rPr>
          <w:bCs/>
          <w:color w:val="002060"/>
          <w:sz w:val="16"/>
          <w:szCs w:val="16"/>
        </w:rPr>
        <w:softHyphen/>
        <w:t>бой изготовленных в России опытных образцов 76-мм гранат фран</w:t>
      </w:r>
      <w:r w:rsidRPr="00DE096C">
        <w:rPr>
          <w:bCs/>
          <w:color w:val="002060"/>
          <w:sz w:val="16"/>
          <w:szCs w:val="16"/>
        </w:rPr>
        <w:softHyphen/>
        <w:t>цузского образца Артком ГАУ разработал окончательные чертежи и технические условия на изготовление и прием корпусов и снаряжен</w:t>
      </w:r>
      <w:r w:rsidRPr="00DE096C">
        <w:rPr>
          <w:bCs/>
          <w:color w:val="002060"/>
          <w:sz w:val="16"/>
          <w:szCs w:val="16"/>
        </w:rPr>
        <w:softHyphen/>
        <w:t>ных гранат.</w:t>
      </w:r>
    </w:p>
    <w:p w14:paraId="4883CEB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Закончившееся к этому времени обследование металлообраба</w:t>
      </w:r>
      <w:r w:rsidRPr="00DE096C">
        <w:rPr>
          <w:bCs/>
          <w:color w:val="002060"/>
          <w:sz w:val="16"/>
          <w:szCs w:val="16"/>
        </w:rPr>
        <w:softHyphen/>
        <w:t>тывающих заводов Московского и Южного промышленных районов показало, что на большинстве этих заводов может быть организова</w:t>
      </w:r>
      <w:r w:rsidRPr="00DE096C">
        <w:rPr>
          <w:bCs/>
          <w:color w:val="002060"/>
          <w:sz w:val="16"/>
          <w:szCs w:val="16"/>
        </w:rPr>
        <w:softHyphen/>
        <w:t>но производство корпусов таких гранат и других комплектующих де</w:t>
      </w:r>
      <w:r w:rsidRPr="00DE096C">
        <w:rPr>
          <w:bCs/>
          <w:color w:val="002060"/>
          <w:sz w:val="16"/>
          <w:szCs w:val="16"/>
        </w:rPr>
        <w:softHyphen/>
        <w:t>талей.</w:t>
      </w:r>
    </w:p>
    <w:p w14:paraId="039EEDD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К началу апреля 1915 г. был выдан первый заказ на изготовление 1 млн гранат французского образца.</w:t>
      </w:r>
    </w:p>
    <w:p w14:paraId="03165DD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Вслед за первым заказом последовали другие. С июня 1915 г. по март 1917 г. генерал С. Н. Банков получил 23 заказа, всего на 14 млн 540 тыс. гранат и к ним на 17 млн 90 тыс. запальных стаканов и 17 млн 540 тыс. детонаторных трубок. Из этого числа 1 млн корпусов был приспособлен для снаряжения отравляющими веществами.</w:t>
      </w:r>
    </w:p>
    <w:p w14:paraId="0C1BD98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Кроме 76-мм гранат организации С. Н. Ванкова в разное время было поручено изготовить 2 млн 400 тыс. снарядов среднего и круп</w:t>
      </w:r>
      <w:r w:rsidRPr="00DE096C">
        <w:rPr>
          <w:bCs/>
          <w:color w:val="002060"/>
          <w:sz w:val="16"/>
          <w:szCs w:val="16"/>
        </w:rPr>
        <w:softHyphen/>
        <w:t>ного калибров (от 105 до 305 мм).</w:t>
      </w:r>
    </w:p>
    <w:p w14:paraId="2375D02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рамках организации С. Н. Ванкова кооперировалось до 500 предприятий, распределенных по семи районам (Южный, Одесский, Киевский, Тамбовский, Петроградский, Ярославский и Москов</w:t>
      </w:r>
      <w:r w:rsidRPr="00DE096C">
        <w:rPr>
          <w:bCs/>
          <w:color w:val="002060"/>
          <w:sz w:val="16"/>
          <w:szCs w:val="16"/>
        </w:rPr>
        <w:softHyphen/>
        <w:t>ский). В одном Московском районе были объединены около 1000 за</w:t>
      </w:r>
      <w:r w:rsidRPr="00DE096C">
        <w:rPr>
          <w:bCs/>
          <w:color w:val="002060"/>
          <w:sz w:val="16"/>
          <w:szCs w:val="16"/>
        </w:rPr>
        <w:softHyphen/>
        <w:t>водов, мастерских и комитетов.</w:t>
      </w:r>
    </w:p>
    <w:p w14:paraId="79BEBE5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Для лучшей организации производства заводы были подразделе</w:t>
      </w:r>
      <w:r w:rsidRPr="00DE096C">
        <w:rPr>
          <w:bCs/>
          <w:color w:val="002060"/>
          <w:sz w:val="16"/>
          <w:szCs w:val="16"/>
        </w:rPr>
        <w:softHyphen/>
        <w:t>ны на группы по характеру изготовляемых изделий (подготовка ста</w:t>
      </w:r>
      <w:r w:rsidRPr="00DE096C">
        <w:rPr>
          <w:bCs/>
          <w:color w:val="002060"/>
          <w:sz w:val="16"/>
          <w:szCs w:val="16"/>
        </w:rPr>
        <w:softHyphen/>
        <w:t>ли, изготовление корпусов гранат, изготовление запальных стаканов, изготовление детонаторных трубок, снаряжение боеприпасов и пр.). Во главе каждой группы стоял головной завод со штатом техниче</w:t>
      </w:r>
      <w:r w:rsidRPr="00DE096C">
        <w:rPr>
          <w:bCs/>
          <w:color w:val="002060"/>
          <w:sz w:val="16"/>
          <w:szCs w:val="16"/>
        </w:rPr>
        <w:softHyphen/>
        <w:t>ских специалистов для оказания технической и организационной по</w:t>
      </w:r>
      <w:r w:rsidRPr="00DE096C">
        <w:rPr>
          <w:bCs/>
          <w:color w:val="002060"/>
          <w:sz w:val="16"/>
          <w:szCs w:val="16"/>
        </w:rPr>
        <w:softHyphen/>
        <w:t>мощи скооперированным предприятиям.</w:t>
      </w:r>
    </w:p>
    <w:p w14:paraId="25993FA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Производство снарядов создавалось заново. Многие заводы с первых же месяцев войны растеряли значительную часть квалифи</w:t>
      </w:r>
      <w:r w:rsidRPr="00DE096C">
        <w:rPr>
          <w:bCs/>
          <w:color w:val="002060"/>
          <w:sz w:val="16"/>
          <w:szCs w:val="16"/>
        </w:rPr>
        <w:softHyphen/>
        <w:t>цированных рабочих и инженерно-технического персонала, призван</w:t>
      </w:r>
      <w:r w:rsidRPr="00DE096C">
        <w:rPr>
          <w:bCs/>
          <w:color w:val="002060"/>
          <w:sz w:val="16"/>
          <w:szCs w:val="16"/>
        </w:rPr>
        <w:softHyphen/>
        <w:t>ных на фронт.</w:t>
      </w:r>
    </w:p>
    <w:p w14:paraId="032BA75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Заводы, ранее не имевшие дела с военной продукцией, оказались совершенно неподготовленными к быстрому налаживанию произ</w:t>
      </w:r>
      <w:r w:rsidRPr="00DE096C">
        <w:rPr>
          <w:bCs/>
          <w:color w:val="002060"/>
          <w:sz w:val="16"/>
          <w:szCs w:val="16"/>
        </w:rPr>
        <w:softHyphen/>
        <w:t>водства корпусов снарядов. В большинстве случаев не было соответ</w:t>
      </w:r>
      <w:r w:rsidRPr="00DE096C">
        <w:rPr>
          <w:bCs/>
          <w:color w:val="002060"/>
          <w:sz w:val="16"/>
          <w:szCs w:val="16"/>
        </w:rPr>
        <w:softHyphen/>
        <w:t>ствующего оборудования, навыков и приемов массового производст</w:t>
      </w:r>
      <w:r w:rsidRPr="00DE096C">
        <w:rPr>
          <w:bCs/>
          <w:color w:val="002060"/>
          <w:sz w:val="16"/>
          <w:szCs w:val="16"/>
        </w:rPr>
        <w:softHyphen/>
        <w:t>ва, привычки к точным работам со строгими допусками.</w:t>
      </w:r>
    </w:p>
    <w:p w14:paraId="3CBF548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Для снаряжения взрывчатыми веществами снарядов и детонато</w:t>
      </w:r>
      <w:r w:rsidRPr="00DE096C">
        <w:rPr>
          <w:bCs/>
          <w:color w:val="002060"/>
          <w:sz w:val="16"/>
          <w:szCs w:val="16"/>
        </w:rPr>
        <w:softHyphen/>
        <w:t>рных трубок московский промышленник Н. А. Второе оборудовал на бывшей фабрике красителей Байера в Москве завод, рассчитанный на снаряжение 750 тыс. трехдюймовых гранат в месяц. Работы по снаряжению начались в сентябре 1915 г.</w:t>
      </w:r>
    </w:p>
    <w:p w14:paraId="131A810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Затем по договору с ГАУ Н. А. Второе начал строительство в Богородском уезде Московской губернии второго снаряжательного завода.</w:t>
      </w:r>
    </w:p>
    <w:p w14:paraId="7AD5E7E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1.8. Сведения о производстве корпусов снарядов (тыс. шт.) на Путиловском заводе в период 1914—1917 гг.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266"/>
        <w:gridCol w:w="979"/>
        <w:gridCol w:w="1085"/>
        <w:gridCol w:w="960"/>
        <w:gridCol w:w="1037"/>
      </w:tblGrid>
      <w:tr w:rsidR="00B67D7C" w:rsidRPr="00DE096C" w14:paraId="37A5CBE1" w14:textId="77777777" w:rsidTr="00C2024A">
        <w:trPr>
          <w:trHeight w:val="374"/>
        </w:trPr>
        <w:tc>
          <w:tcPr>
            <w:tcW w:w="2266" w:type="dxa"/>
          </w:tcPr>
          <w:p w14:paraId="7B2E5F6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Корпуса снарядов 1914</w:t>
            </w:r>
          </w:p>
          <w:p w14:paraId="3D0E241E" w14:textId="77777777" w:rsidR="00B67D7C" w:rsidRPr="00DE096C" w:rsidRDefault="00B67D7C" w:rsidP="00D45A46">
            <w:pPr>
              <w:shd w:val="clear" w:color="auto" w:fill="FFFFFF"/>
              <w:jc w:val="both"/>
              <w:rPr>
                <w:bCs/>
                <w:color w:val="002060"/>
                <w:sz w:val="16"/>
                <w:szCs w:val="16"/>
              </w:rPr>
            </w:pPr>
          </w:p>
        </w:tc>
        <w:tc>
          <w:tcPr>
            <w:tcW w:w="979" w:type="dxa"/>
          </w:tcPr>
          <w:p w14:paraId="628C73E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1915</w:t>
            </w:r>
          </w:p>
          <w:p w14:paraId="414853EB" w14:textId="77777777" w:rsidR="00B67D7C" w:rsidRPr="00DE096C" w:rsidRDefault="00B67D7C" w:rsidP="00D45A46">
            <w:pPr>
              <w:shd w:val="clear" w:color="auto" w:fill="FFFFFF"/>
              <w:jc w:val="both"/>
              <w:rPr>
                <w:bCs/>
                <w:color w:val="002060"/>
                <w:sz w:val="16"/>
                <w:szCs w:val="16"/>
              </w:rPr>
            </w:pPr>
          </w:p>
        </w:tc>
        <w:tc>
          <w:tcPr>
            <w:tcW w:w="1085" w:type="dxa"/>
          </w:tcPr>
          <w:p w14:paraId="0EC82BC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1916</w:t>
            </w:r>
          </w:p>
          <w:p w14:paraId="304416C2" w14:textId="77777777" w:rsidR="00B67D7C" w:rsidRPr="00DE096C" w:rsidRDefault="00B67D7C" w:rsidP="00D45A46">
            <w:pPr>
              <w:shd w:val="clear" w:color="auto" w:fill="FFFFFF"/>
              <w:jc w:val="both"/>
              <w:rPr>
                <w:bCs/>
                <w:color w:val="002060"/>
                <w:sz w:val="16"/>
                <w:szCs w:val="16"/>
              </w:rPr>
            </w:pPr>
          </w:p>
        </w:tc>
        <w:tc>
          <w:tcPr>
            <w:tcW w:w="960" w:type="dxa"/>
          </w:tcPr>
          <w:p w14:paraId="3F29E36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1917</w:t>
            </w:r>
          </w:p>
          <w:p w14:paraId="450682FF" w14:textId="77777777" w:rsidR="00B67D7C" w:rsidRPr="00DE096C" w:rsidRDefault="00B67D7C" w:rsidP="00D45A46">
            <w:pPr>
              <w:shd w:val="clear" w:color="auto" w:fill="FFFFFF"/>
              <w:jc w:val="both"/>
              <w:rPr>
                <w:bCs/>
                <w:color w:val="002060"/>
                <w:sz w:val="16"/>
                <w:szCs w:val="16"/>
              </w:rPr>
            </w:pPr>
          </w:p>
        </w:tc>
        <w:tc>
          <w:tcPr>
            <w:tcW w:w="1037" w:type="dxa"/>
          </w:tcPr>
          <w:p w14:paraId="25DC458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Всего</w:t>
            </w:r>
          </w:p>
          <w:p w14:paraId="0E644488" w14:textId="77777777" w:rsidR="00B67D7C" w:rsidRPr="00DE096C" w:rsidRDefault="00B67D7C" w:rsidP="00D45A46">
            <w:pPr>
              <w:shd w:val="clear" w:color="auto" w:fill="FFFFFF"/>
              <w:jc w:val="both"/>
              <w:rPr>
                <w:bCs/>
                <w:color w:val="002060"/>
                <w:sz w:val="16"/>
                <w:szCs w:val="16"/>
              </w:rPr>
            </w:pPr>
          </w:p>
        </w:tc>
      </w:tr>
      <w:tr w:rsidR="00B67D7C" w:rsidRPr="00DE096C" w14:paraId="0FD9D3BA" w14:textId="77777777" w:rsidTr="00C2024A">
        <w:trPr>
          <w:trHeight w:val="307"/>
        </w:trPr>
        <w:tc>
          <w:tcPr>
            <w:tcW w:w="2266" w:type="dxa"/>
          </w:tcPr>
          <w:p w14:paraId="6E8B529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76-мм шрапнелей 75,0</w:t>
            </w:r>
          </w:p>
          <w:p w14:paraId="71ECABF1" w14:textId="77777777" w:rsidR="00B67D7C" w:rsidRPr="00DE096C" w:rsidRDefault="00B67D7C" w:rsidP="00D45A46">
            <w:pPr>
              <w:shd w:val="clear" w:color="auto" w:fill="FFFFFF"/>
              <w:jc w:val="both"/>
              <w:rPr>
                <w:bCs/>
                <w:color w:val="002060"/>
                <w:sz w:val="16"/>
                <w:szCs w:val="16"/>
              </w:rPr>
            </w:pPr>
          </w:p>
        </w:tc>
        <w:tc>
          <w:tcPr>
            <w:tcW w:w="979" w:type="dxa"/>
          </w:tcPr>
          <w:p w14:paraId="1F8D403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2659,0</w:t>
            </w:r>
          </w:p>
          <w:p w14:paraId="08E4C3EA" w14:textId="77777777" w:rsidR="00B67D7C" w:rsidRPr="00DE096C" w:rsidRDefault="00B67D7C" w:rsidP="00D45A46">
            <w:pPr>
              <w:shd w:val="clear" w:color="auto" w:fill="FFFFFF"/>
              <w:jc w:val="both"/>
              <w:rPr>
                <w:bCs/>
                <w:color w:val="002060"/>
                <w:sz w:val="16"/>
                <w:szCs w:val="16"/>
              </w:rPr>
            </w:pPr>
          </w:p>
        </w:tc>
        <w:tc>
          <w:tcPr>
            <w:tcW w:w="1085" w:type="dxa"/>
          </w:tcPr>
          <w:p w14:paraId="4B3CA44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3124,5</w:t>
            </w:r>
          </w:p>
          <w:p w14:paraId="70760696" w14:textId="77777777" w:rsidR="00B67D7C" w:rsidRPr="00DE096C" w:rsidRDefault="00B67D7C" w:rsidP="00D45A46">
            <w:pPr>
              <w:shd w:val="clear" w:color="auto" w:fill="FFFFFF"/>
              <w:jc w:val="both"/>
              <w:rPr>
                <w:bCs/>
                <w:color w:val="002060"/>
                <w:sz w:val="16"/>
                <w:szCs w:val="16"/>
              </w:rPr>
            </w:pPr>
          </w:p>
        </w:tc>
        <w:tc>
          <w:tcPr>
            <w:tcW w:w="960" w:type="dxa"/>
          </w:tcPr>
          <w:p w14:paraId="7AE7927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2580,4</w:t>
            </w:r>
          </w:p>
          <w:p w14:paraId="20E9CCE6" w14:textId="77777777" w:rsidR="00B67D7C" w:rsidRPr="00DE096C" w:rsidRDefault="00B67D7C" w:rsidP="00D45A46">
            <w:pPr>
              <w:shd w:val="clear" w:color="auto" w:fill="FFFFFF"/>
              <w:jc w:val="both"/>
              <w:rPr>
                <w:bCs/>
                <w:color w:val="002060"/>
                <w:sz w:val="16"/>
                <w:szCs w:val="16"/>
              </w:rPr>
            </w:pPr>
          </w:p>
        </w:tc>
        <w:tc>
          <w:tcPr>
            <w:tcW w:w="1037" w:type="dxa"/>
          </w:tcPr>
          <w:p w14:paraId="446650E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8438,9</w:t>
            </w:r>
          </w:p>
          <w:p w14:paraId="243B3E82" w14:textId="77777777" w:rsidR="00B67D7C" w:rsidRPr="00DE096C" w:rsidRDefault="00B67D7C" w:rsidP="00D45A46">
            <w:pPr>
              <w:shd w:val="clear" w:color="auto" w:fill="FFFFFF"/>
              <w:jc w:val="both"/>
              <w:rPr>
                <w:bCs/>
                <w:color w:val="002060"/>
                <w:sz w:val="16"/>
                <w:szCs w:val="16"/>
              </w:rPr>
            </w:pPr>
          </w:p>
        </w:tc>
      </w:tr>
      <w:tr w:rsidR="00B67D7C" w:rsidRPr="00DE096C" w14:paraId="60EA1F12" w14:textId="77777777" w:rsidTr="00C2024A">
        <w:trPr>
          <w:trHeight w:val="154"/>
        </w:trPr>
        <w:tc>
          <w:tcPr>
            <w:tcW w:w="2266" w:type="dxa"/>
          </w:tcPr>
          <w:p w14:paraId="329C398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lastRenderedPageBreak/>
              <w:t>76-мм гранат . —</w:t>
            </w:r>
          </w:p>
          <w:p w14:paraId="2E5790F0" w14:textId="77777777" w:rsidR="00B67D7C" w:rsidRPr="00DE096C" w:rsidRDefault="00B67D7C" w:rsidP="00D45A46">
            <w:pPr>
              <w:shd w:val="clear" w:color="auto" w:fill="FFFFFF"/>
              <w:jc w:val="both"/>
              <w:rPr>
                <w:bCs/>
                <w:color w:val="002060"/>
                <w:sz w:val="16"/>
                <w:szCs w:val="16"/>
              </w:rPr>
            </w:pPr>
          </w:p>
        </w:tc>
        <w:tc>
          <w:tcPr>
            <w:tcW w:w="979" w:type="dxa"/>
          </w:tcPr>
          <w:p w14:paraId="7060170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218,6</w:t>
            </w:r>
          </w:p>
          <w:p w14:paraId="31618C6B" w14:textId="77777777" w:rsidR="00B67D7C" w:rsidRPr="00DE096C" w:rsidRDefault="00B67D7C" w:rsidP="00D45A46">
            <w:pPr>
              <w:shd w:val="clear" w:color="auto" w:fill="FFFFFF"/>
              <w:jc w:val="both"/>
              <w:rPr>
                <w:bCs/>
                <w:color w:val="002060"/>
                <w:sz w:val="16"/>
                <w:szCs w:val="16"/>
              </w:rPr>
            </w:pPr>
          </w:p>
        </w:tc>
        <w:tc>
          <w:tcPr>
            <w:tcW w:w="1085" w:type="dxa"/>
          </w:tcPr>
          <w:p w14:paraId="0654A2F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1996,4</w:t>
            </w:r>
          </w:p>
          <w:p w14:paraId="77FD8DA3" w14:textId="77777777" w:rsidR="00B67D7C" w:rsidRPr="00DE096C" w:rsidRDefault="00B67D7C" w:rsidP="00D45A46">
            <w:pPr>
              <w:shd w:val="clear" w:color="auto" w:fill="FFFFFF"/>
              <w:jc w:val="both"/>
              <w:rPr>
                <w:bCs/>
                <w:color w:val="002060"/>
                <w:sz w:val="16"/>
                <w:szCs w:val="16"/>
              </w:rPr>
            </w:pPr>
          </w:p>
        </w:tc>
        <w:tc>
          <w:tcPr>
            <w:tcW w:w="960" w:type="dxa"/>
          </w:tcPr>
          <w:p w14:paraId="552F9C3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798,5</w:t>
            </w:r>
          </w:p>
          <w:p w14:paraId="1E893A35" w14:textId="77777777" w:rsidR="00B67D7C" w:rsidRPr="00DE096C" w:rsidRDefault="00B67D7C" w:rsidP="00D45A46">
            <w:pPr>
              <w:shd w:val="clear" w:color="auto" w:fill="FFFFFF"/>
              <w:jc w:val="both"/>
              <w:rPr>
                <w:bCs/>
                <w:color w:val="002060"/>
                <w:sz w:val="16"/>
                <w:szCs w:val="16"/>
              </w:rPr>
            </w:pPr>
          </w:p>
        </w:tc>
        <w:tc>
          <w:tcPr>
            <w:tcW w:w="1037" w:type="dxa"/>
          </w:tcPr>
          <w:p w14:paraId="118AD4A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3013,5</w:t>
            </w:r>
          </w:p>
          <w:p w14:paraId="160BE202" w14:textId="77777777" w:rsidR="00B67D7C" w:rsidRPr="00DE096C" w:rsidRDefault="00B67D7C" w:rsidP="00D45A46">
            <w:pPr>
              <w:shd w:val="clear" w:color="auto" w:fill="FFFFFF"/>
              <w:jc w:val="both"/>
              <w:rPr>
                <w:bCs/>
                <w:color w:val="002060"/>
                <w:sz w:val="16"/>
                <w:szCs w:val="16"/>
              </w:rPr>
            </w:pPr>
          </w:p>
        </w:tc>
      </w:tr>
      <w:tr w:rsidR="00B67D7C" w:rsidRPr="00DE096C" w14:paraId="440BFE6F" w14:textId="77777777" w:rsidTr="00C2024A">
        <w:trPr>
          <w:trHeight w:val="173"/>
        </w:trPr>
        <w:tc>
          <w:tcPr>
            <w:tcW w:w="2266" w:type="dxa"/>
          </w:tcPr>
          <w:p w14:paraId="10B6E62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107-мм шрапнелей —</w:t>
            </w:r>
          </w:p>
          <w:p w14:paraId="53A86698" w14:textId="77777777" w:rsidR="00B67D7C" w:rsidRPr="00DE096C" w:rsidRDefault="00B67D7C" w:rsidP="00D45A46">
            <w:pPr>
              <w:shd w:val="clear" w:color="auto" w:fill="FFFFFF"/>
              <w:jc w:val="both"/>
              <w:rPr>
                <w:bCs/>
                <w:color w:val="002060"/>
                <w:sz w:val="16"/>
                <w:szCs w:val="16"/>
              </w:rPr>
            </w:pPr>
          </w:p>
        </w:tc>
        <w:tc>
          <w:tcPr>
            <w:tcW w:w="979" w:type="dxa"/>
          </w:tcPr>
          <w:p w14:paraId="7E74BBC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49,43</w:t>
            </w:r>
          </w:p>
          <w:p w14:paraId="5F554E22" w14:textId="77777777" w:rsidR="00B67D7C" w:rsidRPr="00DE096C" w:rsidRDefault="00B67D7C" w:rsidP="00D45A46">
            <w:pPr>
              <w:shd w:val="clear" w:color="auto" w:fill="FFFFFF"/>
              <w:jc w:val="both"/>
              <w:rPr>
                <w:bCs/>
                <w:color w:val="002060"/>
                <w:sz w:val="16"/>
                <w:szCs w:val="16"/>
              </w:rPr>
            </w:pPr>
          </w:p>
        </w:tc>
        <w:tc>
          <w:tcPr>
            <w:tcW w:w="1085" w:type="dxa"/>
          </w:tcPr>
          <w:p w14:paraId="66A3641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107,48</w:t>
            </w:r>
          </w:p>
          <w:p w14:paraId="2542A15E" w14:textId="77777777" w:rsidR="00B67D7C" w:rsidRPr="00DE096C" w:rsidRDefault="00B67D7C" w:rsidP="00D45A46">
            <w:pPr>
              <w:shd w:val="clear" w:color="auto" w:fill="FFFFFF"/>
              <w:jc w:val="both"/>
              <w:rPr>
                <w:bCs/>
                <w:color w:val="002060"/>
                <w:sz w:val="16"/>
                <w:szCs w:val="16"/>
              </w:rPr>
            </w:pPr>
          </w:p>
        </w:tc>
        <w:tc>
          <w:tcPr>
            <w:tcW w:w="960" w:type="dxa"/>
          </w:tcPr>
          <w:p w14:paraId="083547A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62,41</w:t>
            </w:r>
          </w:p>
          <w:p w14:paraId="7F0B77FC" w14:textId="77777777" w:rsidR="00B67D7C" w:rsidRPr="00DE096C" w:rsidRDefault="00B67D7C" w:rsidP="00D45A46">
            <w:pPr>
              <w:shd w:val="clear" w:color="auto" w:fill="FFFFFF"/>
              <w:jc w:val="both"/>
              <w:rPr>
                <w:bCs/>
                <w:color w:val="002060"/>
                <w:sz w:val="16"/>
                <w:szCs w:val="16"/>
              </w:rPr>
            </w:pPr>
          </w:p>
        </w:tc>
        <w:tc>
          <w:tcPr>
            <w:tcW w:w="1037" w:type="dxa"/>
          </w:tcPr>
          <w:p w14:paraId="7606EAF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218,32</w:t>
            </w:r>
          </w:p>
          <w:p w14:paraId="0270FFA5" w14:textId="77777777" w:rsidR="00B67D7C" w:rsidRPr="00DE096C" w:rsidRDefault="00B67D7C" w:rsidP="00D45A46">
            <w:pPr>
              <w:shd w:val="clear" w:color="auto" w:fill="FFFFFF"/>
              <w:jc w:val="both"/>
              <w:rPr>
                <w:bCs/>
                <w:color w:val="002060"/>
                <w:sz w:val="16"/>
                <w:szCs w:val="16"/>
              </w:rPr>
            </w:pPr>
          </w:p>
        </w:tc>
      </w:tr>
      <w:tr w:rsidR="00B67D7C" w:rsidRPr="00DE096C" w14:paraId="684127B7" w14:textId="77777777" w:rsidTr="00C2024A">
        <w:trPr>
          <w:trHeight w:val="163"/>
        </w:trPr>
        <w:tc>
          <w:tcPr>
            <w:tcW w:w="2266" w:type="dxa"/>
          </w:tcPr>
          <w:p w14:paraId="1B2CC99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107-мм бомб —</w:t>
            </w:r>
          </w:p>
          <w:p w14:paraId="203E4122" w14:textId="77777777" w:rsidR="00B67D7C" w:rsidRPr="00DE096C" w:rsidRDefault="00B67D7C" w:rsidP="00D45A46">
            <w:pPr>
              <w:shd w:val="clear" w:color="auto" w:fill="FFFFFF"/>
              <w:jc w:val="both"/>
              <w:rPr>
                <w:bCs/>
                <w:color w:val="002060"/>
                <w:sz w:val="16"/>
                <w:szCs w:val="16"/>
              </w:rPr>
            </w:pPr>
          </w:p>
        </w:tc>
        <w:tc>
          <w:tcPr>
            <w:tcW w:w="979" w:type="dxa"/>
          </w:tcPr>
          <w:p w14:paraId="0F556D5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63,25</w:t>
            </w:r>
          </w:p>
          <w:p w14:paraId="5B4FD6ED" w14:textId="77777777" w:rsidR="00B67D7C" w:rsidRPr="00DE096C" w:rsidRDefault="00B67D7C" w:rsidP="00D45A46">
            <w:pPr>
              <w:shd w:val="clear" w:color="auto" w:fill="FFFFFF"/>
              <w:jc w:val="both"/>
              <w:rPr>
                <w:bCs/>
                <w:color w:val="002060"/>
                <w:sz w:val="16"/>
                <w:szCs w:val="16"/>
              </w:rPr>
            </w:pPr>
          </w:p>
        </w:tc>
        <w:tc>
          <w:tcPr>
            <w:tcW w:w="1085" w:type="dxa"/>
          </w:tcPr>
          <w:p w14:paraId="20F530C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148,1</w:t>
            </w:r>
          </w:p>
          <w:p w14:paraId="795CB3E7" w14:textId="77777777" w:rsidR="00B67D7C" w:rsidRPr="00DE096C" w:rsidRDefault="00B67D7C" w:rsidP="00D45A46">
            <w:pPr>
              <w:shd w:val="clear" w:color="auto" w:fill="FFFFFF"/>
              <w:jc w:val="both"/>
              <w:rPr>
                <w:bCs/>
                <w:color w:val="002060"/>
                <w:sz w:val="16"/>
                <w:szCs w:val="16"/>
              </w:rPr>
            </w:pPr>
          </w:p>
        </w:tc>
        <w:tc>
          <w:tcPr>
            <w:tcW w:w="960" w:type="dxa"/>
          </w:tcPr>
          <w:p w14:paraId="746EA9E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301,38</w:t>
            </w:r>
          </w:p>
          <w:p w14:paraId="54795FBB" w14:textId="77777777" w:rsidR="00B67D7C" w:rsidRPr="00DE096C" w:rsidRDefault="00B67D7C" w:rsidP="00D45A46">
            <w:pPr>
              <w:shd w:val="clear" w:color="auto" w:fill="FFFFFF"/>
              <w:jc w:val="both"/>
              <w:rPr>
                <w:bCs/>
                <w:color w:val="002060"/>
                <w:sz w:val="16"/>
                <w:szCs w:val="16"/>
              </w:rPr>
            </w:pPr>
          </w:p>
        </w:tc>
        <w:tc>
          <w:tcPr>
            <w:tcW w:w="1037" w:type="dxa"/>
          </w:tcPr>
          <w:p w14:paraId="4F5A6E2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512,73</w:t>
            </w:r>
          </w:p>
          <w:p w14:paraId="5B4103F1" w14:textId="77777777" w:rsidR="00B67D7C" w:rsidRPr="00DE096C" w:rsidRDefault="00B67D7C" w:rsidP="00D45A46">
            <w:pPr>
              <w:shd w:val="clear" w:color="auto" w:fill="FFFFFF"/>
              <w:jc w:val="both"/>
              <w:rPr>
                <w:bCs/>
                <w:color w:val="002060"/>
                <w:sz w:val="16"/>
                <w:szCs w:val="16"/>
              </w:rPr>
            </w:pPr>
          </w:p>
        </w:tc>
      </w:tr>
      <w:tr w:rsidR="00B67D7C" w:rsidRPr="00DE096C" w14:paraId="71430F32" w14:textId="77777777" w:rsidTr="00C2024A">
        <w:trPr>
          <w:trHeight w:val="192"/>
        </w:trPr>
        <w:tc>
          <w:tcPr>
            <w:tcW w:w="2266" w:type="dxa"/>
          </w:tcPr>
          <w:p w14:paraId="269D784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122-мм шрапнелей —</w:t>
            </w:r>
          </w:p>
          <w:p w14:paraId="021C7C70" w14:textId="77777777" w:rsidR="00B67D7C" w:rsidRPr="00DE096C" w:rsidRDefault="00B67D7C" w:rsidP="00D45A46">
            <w:pPr>
              <w:shd w:val="clear" w:color="auto" w:fill="FFFFFF"/>
              <w:jc w:val="both"/>
              <w:rPr>
                <w:bCs/>
                <w:color w:val="002060"/>
                <w:sz w:val="16"/>
                <w:szCs w:val="16"/>
              </w:rPr>
            </w:pPr>
          </w:p>
        </w:tc>
        <w:tc>
          <w:tcPr>
            <w:tcW w:w="979" w:type="dxa"/>
          </w:tcPr>
          <w:p w14:paraId="19DE881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16,5</w:t>
            </w:r>
          </w:p>
          <w:p w14:paraId="0917A511" w14:textId="77777777" w:rsidR="00B67D7C" w:rsidRPr="00DE096C" w:rsidRDefault="00B67D7C" w:rsidP="00D45A46">
            <w:pPr>
              <w:shd w:val="clear" w:color="auto" w:fill="FFFFFF"/>
              <w:jc w:val="both"/>
              <w:rPr>
                <w:bCs/>
                <w:color w:val="002060"/>
                <w:sz w:val="16"/>
                <w:szCs w:val="16"/>
              </w:rPr>
            </w:pPr>
          </w:p>
        </w:tc>
        <w:tc>
          <w:tcPr>
            <w:tcW w:w="1085" w:type="dxa"/>
          </w:tcPr>
          <w:p w14:paraId="6B2424F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4,7</w:t>
            </w:r>
          </w:p>
          <w:p w14:paraId="64AADC83" w14:textId="77777777" w:rsidR="00B67D7C" w:rsidRPr="00DE096C" w:rsidRDefault="00B67D7C" w:rsidP="00D45A46">
            <w:pPr>
              <w:shd w:val="clear" w:color="auto" w:fill="FFFFFF"/>
              <w:jc w:val="both"/>
              <w:rPr>
                <w:bCs/>
                <w:color w:val="002060"/>
                <w:sz w:val="16"/>
                <w:szCs w:val="16"/>
              </w:rPr>
            </w:pPr>
          </w:p>
        </w:tc>
        <w:tc>
          <w:tcPr>
            <w:tcW w:w="960" w:type="dxa"/>
          </w:tcPr>
          <w:p w14:paraId="09DA843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w:t>
            </w:r>
          </w:p>
          <w:p w14:paraId="1F0E86F9" w14:textId="77777777" w:rsidR="00B67D7C" w:rsidRPr="00DE096C" w:rsidRDefault="00B67D7C" w:rsidP="00D45A46">
            <w:pPr>
              <w:shd w:val="clear" w:color="auto" w:fill="FFFFFF"/>
              <w:jc w:val="both"/>
              <w:rPr>
                <w:bCs/>
                <w:color w:val="002060"/>
                <w:sz w:val="16"/>
                <w:szCs w:val="16"/>
              </w:rPr>
            </w:pPr>
          </w:p>
        </w:tc>
        <w:tc>
          <w:tcPr>
            <w:tcW w:w="1037" w:type="dxa"/>
          </w:tcPr>
          <w:p w14:paraId="0B5CCE4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21,2</w:t>
            </w:r>
          </w:p>
          <w:p w14:paraId="02617E9D" w14:textId="77777777" w:rsidR="00B67D7C" w:rsidRPr="00DE096C" w:rsidRDefault="00B67D7C" w:rsidP="00D45A46">
            <w:pPr>
              <w:shd w:val="clear" w:color="auto" w:fill="FFFFFF"/>
              <w:jc w:val="both"/>
              <w:rPr>
                <w:bCs/>
                <w:color w:val="002060"/>
                <w:sz w:val="16"/>
                <w:szCs w:val="16"/>
              </w:rPr>
            </w:pPr>
          </w:p>
        </w:tc>
      </w:tr>
      <w:tr w:rsidR="00B67D7C" w:rsidRPr="00DE096C" w14:paraId="7AB002BB" w14:textId="77777777" w:rsidTr="00C2024A">
        <w:trPr>
          <w:trHeight w:val="154"/>
        </w:trPr>
        <w:tc>
          <w:tcPr>
            <w:tcW w:w="2266" w:type="dxa"/>
          </w:tcPr>
          <w:p w14:paraId="34AAD9E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122-мм бомб —</w:t>
            </w:r>
          </w:p>
          <w:p w14:paraId="1976D461" w14:textId="77777777" w:rsidR="00B67D7C" w:rsidRPr="00DE096C" w:rsidRDefault="00B67D7C" w:rsidP="00D45A46">
            <w:pPr>
              <w:shd w:val="clear" w:color="auto" w:fill="FFFFFF"/>
              <w:jc w:val="both"/>
              <w:rPr>
                <w:bCs/>
                <w:color w:val="002060"/>
                <w:sz w:val="16"/>
                <w:szCs w:val="16"/>
              </w:rPr>
            </w:pPr>
          </w:p>
        </w:tc>
        <w:tc>
          <w:tcPr>
            <w:tcW w:w="979" w:type="dxa"/>
          </w:tcPr>
          <w:p w14:paraId="7EBE561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1,07</w:t>
            </w:r>
          </w:p>
          <w:p w14:paraId="66F8B94B" w14:textId="77777777" w:rsidR="00B67D7C" w:rsidRPr="00DE096C" w:rsidRDefault="00B67D7C" w:rsidP="00D45A46">
            <w:pPr>
              <w:shd w:val="clear" w:color="auto" w:fill="FFFFFF"/>
              <w:jc w:val="both"/>
              <w:rPr>
                <w:bCs/>
                <w:color w:val="002060"/>
                <w:sz w:val="16"/>
                <w:szCs w:val="16"/>
              </w:rPr>
            </w:pPr>
          </w:p>
        </w:tc>
        <w:tc>
          <w:tcPr>
            <w:tcW w:w="1085" w:type="dxa"/>
          </w:tcPr>
          <w:p w14:paraId="6EE95A7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274,38</w:t>
            </w:r>
          </w:p>
          <w:p w14:paraId="0940A0D6" w14:textId="77777777" w:rsidR="00B67D7C" w:rsidRPr="00DE096C" w:rsidRDefault="00B67D7C" w:rsidP="00D45A46">
            <w:pPr>
              <w:shd w:val="clear" w:color="auto" w:fill="FFFFFF"/>
              <w:jc w:val="both"/>
              <w:rPr>
                <w:bCs/>
                <w:color w:val="002060"/>
                <w:sz w:val="16"/>
                <w:szCs w:val="16"/>
              </w:rPr>
            </w:pPr>
          </w:p>
        </w:tc>
        <w:tc>
          <w:tcPr>
            <w:tcW w:w="960" w:type="dxa"/>
          </w:tcPr>
          <w:p w14:paraId="0F66F34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324,77</w:t>
            </w:r>
          </w:p>
          <w:p w14:paraId="7B90CEB3" w14:textId="77777777" w:rsidR="00B67D7C" w:rsidRPr="00DE096C" w:rsidRDefault="00B67D7C" w:rsidP="00D45A46">
            <w:pPr>
              <w:shd w:val="clear" w:color="auto" w:fill="FFFFFF"/>
              <w:jc w:val="both"/>
              <w:rPr>
                <w:bCs/>
                <w:color w:val="002060"/>
                <w:sz w:val="16"/>
                <w:szCs w:val="16"/>
              </w:rPr>
            </w:pPr>
          </w:p>
        </w:tc>
        <w:tc>
          <w:tcPr>
            <w:tcW w:w="1037" w:type="dxa"/>
          </w:tcPr>
          <w:p w14:paraId="7D56A14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600,22</w:t>
            </w:r>
          </w:p>
          <w:p w14:paraId="7F765BE3" w14:textId="77777777" w:rsidR="00B67D7C" w:rsidRPr="00DE096C" w:rsidRDefault="00B67D7C" w:rsidP="00D45A46">
            <w:pPr>
              <w:shd w:val="clear" w:color="auto" w:fill="FFFFFF"/>
              <w:jc w:val="both"/>
              <w:rPr>
                <w:bCs/>
                <w:color w:val="002060"/>
                <w:sz w:val="16"/>
                <w:szCs w:val="16"/>
              </w:rPr>
            </w:pPr>
          </w:p>
        </w:tc>
      </w:tr>
      <w:tr w:rsidR="00B67D7C" w:rsidRPr="00DE096C" w14:paraId="57CCD19B" w14:textId="77777777" w:rsidTr="00C2024A">
        <w:trPr>
          <w:trHeight w:val="173"/>
        </w:trPr>
        <w:tc>
          <w:tcPr>
            <w:tcW w:w="2266" w:type="dxa"/>
          </w:tcPr>
          <w:p w14:paraId="4D65B61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152-мм бомб —</w:t>
            </w:r>
          </w:p>
          <w:p w14:paraId="5207A1CA" w14:textId="77777777" w:rsidR="00B67D7C" w:rsidRPr="00DE096C" w:rsidRDefault="00B67D7C" w:rsidP="00D45A46">
            <w:pPr>
              <w:shd w:val="clear" w:color="auto" w:fill="FFFFFF"/>
              <w:jc w:val="both"/>
              <w:rPr>
                <w:bCs/>
                <w:color w:val="002060"/>
                <w:sz w:val="16"/>
                <w:szCs w:val="16"/>
              </w:rPr>
            </w:pPr>
          </w:p>
        </w:tc>
        <w:tc>
          <w:tcPr>
            <w:tcW w:w="979" w:type="dxa"/>
          </w:tcPr>
          <w:p w14:paraId="09D6B1E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6,13</w:t>
            </w:r>
          </w:p>
          <w:p w14:paraId="0C72C302" w14:textId="77777777" w:rsidR="00B67D7C" w:rsidRPr="00DE096C" w:rsidRDefault="00B67D7C" w:rsidP="00D45A46">
            <w:pPr>
              <w:shd w:val="clear" w:color="auto" w:fill="FFFFFF"/>
              <w:jc w:val="both"/>
              <w:rPr>
                <w:bCs/>
                <w:color w:val="002060"/>
                <w:sz w:val="16"/>
                <w:szCs w:val="16"/>
              </w:rPr>
            </w:pPr>
          </w:p>
        </w:tc>
        <w:tc>
          <w:tcPr>
            <w:tcW w:w="1085" w:type="dxa"/>
          </w:tcPr>
          <w:p w14:paraId="29AFD50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369,69</w:t>
            </w:r>
          </w:p>
          <w:p w14:paraId="598C5B50" w14:textId="77777777" w:rsidR="00B67D7C" w:rsidRPr="00DE096C" w:rsidRDefault="00B67D7C" w:rsidP="00D45A46">
            <w:pPr>
              <w:shd w:val="clear" w:color="auto" w:fill="FFFFFF"/>
              <w:jc w:val="both"/>
              <w:rPr>
                <w:bCs/>
                <w:color w:val="002060"/>
                <w:sz w:val="16"/>
                <w:szCs w:val="16"/>
              </w:rPr>
            </w:pPr>
          </w:p>
        </w:tc>
        <w:tc>
          <w:tcPr>
            <w:tcW w:w="960" w:type="dxa"/>
          </w:tcPr>
          <w:p w14:paraId="7897E9D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619,6</w:t>
            </w:r>
          </w:p>
          <w:p w14:paraId="76F3F9BC" w14:textId="77777777" w:rsidR="00B67D7C" w:rsidRPr="00DE096C" w:rsidRDefault="00B67D7C" w:rsidP="00D45A46">
            <w:pPr>
              <w:shd w:val="clear" w:color="auto" w:fill="FFFFFF"/>
              <w:jc w:val="both"/>
              <w:rPr>
                <w:bCs/>
                <w:color w:val="002060"/>
                <w:sz w:val="16"/>
                <w:szCs w:val="16"/>
              </w:rPr>
            </w:pPr>
          </w:p>
        </w:tc>
        <w:tc>
          <w:tcPr>
            <w:tcW w:w="1037" w:type="dxa"/>
          </w:tcPr>
          <w:p w14:paraId="08C0868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995,5</w:t>
            </w:r>
          </w:p>
          <w:p w14:paraId="5CF5ABCD" w14:textId="77777777" w:rsidR="00B67D7C" w:rsidRPr="00DE096C" w:rsidRDefault="00B67D7C" w:rsidP="00D45A46">
            <w:pPr>
              <w:shd w:val="clear" w:color="auto" w:fill="FFFFFF"/>
              <w:jc w:val="both"/>
              <w:rPr>
                <w:bCs/>
                <w:color w:val="002060"/>
                <w:sz w:val="16"/>
                <w:szCs w:val="16"/>
              </w:rPr>
            </w:pPr>
          </w:p>
        </w:tc>
      </w:tr>
      <w:tr w:rsidR="00B67D7C" w:rsidRPr="00DE096C" w14:paraId="18CC0BA9" w14:textId="77777777" w:rsidTr="00C2024A">
        <w:trPr>
          <w:trHeight w:val="173"/>
        </w:trPr>
        <w:tc>
          <w:tcPr>
            <w:tcW w:w="2266" w:type="dxa"/>
          </w:tcPr>
          <w:p w14:paraId="679203F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280-мм бомб —</w:t>
            </w:r>
          </w:p>
          <w:p w14:paraId="67B01B8F" w14:textId="77777777" w:rsidR="00B67D7C" w:rsidRPr="00DE096C" w:rsidRDefault="00B67D7C" w:rsidP="00D45A46">
            <w:pPr>
              <w:shd w:val="clear" w:color="auto" w:fill="FFFFFF"/>
              <w:jc w:val="both"/>
              <w:rPr>
                <w:bCs/>
                <w:color w:val="002060"/>
                <w:sz w:val="16"/>
                <w:szCs w:val="16"/>
              </w:rPr>
            </w:pPr>
          </w:p>
        </w:tc>
        <w:tc>
          <w:tcPr>
            <w:tcW w:w="979" w:type="dxa"/>
          </w:tcPr>
          <w:p w14:paraId="6A1E398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0,818</w:t>
            </w:r>
          </w:p>
          <w:p w14:paraId="2492D90D" w14:textId="77777777" w:rsidR="00B67D7C" w:rsidRPr="00DE096C" w:rsidRDefault="00B67D7C" w:rsidP="00D45A46">
            <w:pPr>
              <w:shd w:val="clear" w:color="auto" w:fill="FFFFFF"/>
              <w:jc w:val="both"/>
              <w:rPr>
                <w:bCs/>
                <w:color w:val="002060"/>
                <w:sz w:val="16"/>
                <w:szCs w:val="16"/>
              </w:rPr>
            </w:pPr>
          </w:p>
        </w:tc>
        <w:tc>
          <w:tcPr>
            <w:tcW w:w="1085" w:type="dxa"/>
          </w:tcPr>
          <w:p w14:paraId="309D80B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2,252</w:t>
            </w:r>
          </w:p>
          <w:p w14:paraId="2560DBA2" w14:textId="77777777" w:rsidR="00B67D7C" w:rsidRPr="00DE096C" w:rsidRDefault="00B67D7C" w:rsidP="00D45A46">
            <w:pPr>
              <w:shd w:val="clear" w:color="auto" w:fill="FFFFFF"/>
              <w:jc w:val="both"/>
              <w:rPr>
                <w:bCs/>
                <w:color w:val="002060"/>
                <w:sz w:val="16"/>
                <w:szCs w:val="16"/>
              </w:rPr>
            </w:pPr>
          </w:p>
        </w:tc>
        <w:tc>
          <w:tcPr>
            <w:tcW w:w="960" w:type="dxa"/>
          </w:tcPr>
          <w:p w14:paraId="0FD68AD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3.074</w:t>
            </w:r>
          </w:p>
          <w:p w14:paraId="3498AA9A" w14:textId="77777777" w:rsidR="00B67D7C" w:rsidRPr="00DE096C" w:rsidRDefault="00B67D7C" w:rsidP="00D45A46">
            <w:pPr>
              <w:shd w:val="clear" w:color="auto" w:fill="FFFFFF"/>
              <w:jc w:val="both"/>
              <w:rPr>
                <w:bCs/>
                <w:color w:val="002060"/>
                <w:sz w:val="16"/>
                <w:szCs w:val="16"/>
              </w:rPr>
            </w:pPr>
          </w:p>
        </w:tc>
        <w:tc>
          <w:tcPr>
            <w:tcW w:w="1037" w:type="dxa"/>
          </w:tcPr>
          <w:p w14:paraId="5FD5A9A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6,144</w:t>
            </w:r>
          </w:p>
          <w:p w14:paraId="22D9CE4C" w14:textId="77777777" w:rsidR="00B67D7C" w:rsidRPr="00DE096C" w:rsidRDefault="00B67D7C" w:rsidP="00D45A46">
            <w:pPr>
              <w:shd w:val="clear" w:color="auto" w:fill="FFFFFF"/>
              <w:jc w:val="both"/>
              <w:rPr>
                <w:bCs/>
                <w:color w:val="002060"/>
                <w:sz w:val="16"/>
                <w:szCs w:val="16"/>
              </w:rPr>
            </w:pPr>
          </w:p>
        </w:tc>
      </w:tr>
      <w:tr w:rsidR="00B67D7C" w:rsidRPr="00DE096C" w14:paraId="1A9931E1" w14:textId="77777777" w:rsidTr="00C2024A">
        <w:trPr>
          <w:trHeight w:val="365"/>
        </w:trPr>
        <w:tc>
          <w:tcPr>
            <w:tcW w:w="2266" w:type="dxa"/>
          </w:tcPr>
          <w:p w14:paraId="66E801E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305-мм бомб —</w:t>
            </w:r>
          </w:p>
          <w:p w14:paraId="6D9DB489" w14:textId="77777777" w:rsidR="00B67D7C" w:rsidRPr="00DE096C" w:rsidRDefault="00B67D7C" w:rsidP="00D45A46">
            <w:pPr>
              <w:shd w:val="clear" w:color="auto" w:fill="FFFFFF"/>
              <w:jc w:val="both"/>
              <w:rPr>
                <w:bCs/>
                <w:color w:val="002060"/>
                <w:sz w:val="16"/>
                <w:szCs w:val="16"/>
              </w:rPr>
            </w:pPr>
          </w:p>
        </w:tc>
        <w:tc>
          <w:tcPr>
            <w:tcW w:w="979" w:type="dxa"/>
          </w:tcPr>
          <w:p w14:paraId="5623DFC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w:t>
            </w:r>
          </w:p>
          <w:p w14:paraId="394BF636" w14:textId="77777777" w:rsidR="00B67D7C" w:rsidRPr="00DE096C" w:rsidRDefault="00B67D7C" w:rsidP="00D45A46">
            <w:pPr>
              <w:shd w:val="clear" w:color="auto" w:fill="FFFFFF"/>
              <w:jc w:val="both"/>
              <w:rPr>
                <w:bCs/>
                <w:color w:val="002060"/>
                <w:sz w:val="16"/>
                <w:szCs w:val="16"/>
              </w:rPr>
            </w:pPr>
          </w:p>
        </w:tc>
        <w:tc>
          <w:tcPr>
            <w:tcW w:w="1085" w:type="dxa"/>
          </w:tcPr>
          <w:p w14:paraId="32313C3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0,506</w:t>
            </w:r>
          </w:p>
          <w:p w14:paraId="25DF4E6A" w14:textId="77777777" w:rsidR="00B67D7C" w:rsidRPr="00DE096C" w:rsidRDefault="00B67D7C" w:rsidP="00D45A46">
            <w:pPr>
              <w:shd w:val="clear" w:color="auto" w:fill="FFFFFF"/>
              <w:jc w:val="both"/>
              <w:rPr>
                <w:bCs/>
                <w:color w:val="002060"/>
                <w:sz w:val="16"/>
                <w:szCs w:val="16"/>
              </w:rPr>
            </w:pPr>
          </w:p>
        </w:tc>
        <w:tc>
          <w:tcPr>
            <w:tcW w:w="960" w:type="dxa"/>
          </w:tcPr>
          <w:p w14:paraId="02D002D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0,298</w:t>
            </w:r>
          </w:p>
          <w:p w14:paraId="0109ACC7" w14:textId="77777777" w:rsidR="00B67D7C" w:rsidRPr="00DE096C" w:rsidRDefault="00B67D7C" w:rsidP="00D45A46">
            <w:pPr>
              <w:shd w:val="clear" w:color="auto" w:fill="FFFFFF"/>
              <w:jc w:val="both"/>
              <w:rPr>
                <w:bCs/>
                <w:color w:val="002060"/>
                <w:sz w:val="16"/>
                <w:szCs w:val="16"/>
              </w:rPr>
            </w:pPr>
          </w:p>
        </w:tc>
        <w:tc>
          <w:tcPr>
            <w:tcW w:w="1037" w:type="dxa"/>
          </w:tcPr>
          <w:p w14:paraId="6B360A6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0,804</w:t>
            </w:r>
          </w:p>
          <w:p w14:paraId="13395C5E" w14:textId="77777777" w:rsidR="00B67D7C" w:rsidRPr="00DE096C" w:rsidRDefault="00B67D7C" w:rsidP="00D45A46">
            <w:pPr>
              <w:shd w:val="clear" w:color="auto" w:fill="FFFFFF"/>
              <w:jc w:val="both"/>
              <w:rPr>
                <w:bCs/>
                <w:color w:val="002060"/>
                <w:sz w:val="16"/>
                <w:szCs w:val="16"/>
              </w:rPr>
            </w:pPr>
          </w:p>
        </w:tc>
      </w:tr>
    </w:tbl>
    <w:p w14:paraId="021B534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Всего на Московском снаряжательном заводе с января 1916 г. по декабрь 1917 г. было изготовлено 4971 тыс. снарядов разных калиб</w:t>
      </w:r>
      <w:r w:rsidRPr="00DE096C">
        <w:rPr>
          <w:bCs/>
          <w:color w:val="002060"/>
          <w:sz w:val="16"/>
          <w:szCs w:val="16"/>
        </w:rPr>
        <w:softHyphen/>
        <w:t>ров.</w:t>
      </w:r>
    </w:p>
    <w:p w14:paraId="6D5618F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С мая 1915 г. по январь 1918 г. генерал С. Н. Банков заключил 442 договора с различными предприятиями, включенными в его ор</w:t>
      </w:r>
      <w:r w:rsidRPr="00DE096C">
        <w:rPr>
          <w:bCs/>
          <w:color w:val="002060"/>
          <w:sz w:val="16"/>
          <w:szCs w:val="16"/>
        </w:rPr>
        <w:softHyphen/>
        <w:t>ганизацию. До конца 1917г. организация С. Н. Ванкова поставила в армию более 14 млн корпусов снарядов, в том числе 13 млн 683 тыс. 76-мм гранат — почти половину всех 76-мм гранат, изготовленных в России за годы войны. Организация С. Н. Ванкова изготовила также около полумиллиона корпусов 152-мм бомб. На фронт было отправ</w:t>
      </w:r>
      <w:r w:rsidRPr="00DE096C">
        <w:rPr>
          <w:bCs/>
          <w:color w:val="002060"/>
          <w:sz w:val="16"/>
          <w:szCs w:val="16"/>
        </w:rPr>
        <w:softHyphen/>
        <w:t>лено 8399236 шт. окончательно снаряженных 76-мм гранат и 225911 шт. 152-мм бомб (табл. 1.9) [5, с. 197].</w:t>
      </w:r>
    </w:p>
    <w:p w14:paraId="1B089D9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1.9. Производство снарядов организацией уполномоченного ГАУ С. Н. Ванкова с сентября 1915 г. по декабрь 1917 г. (в тыс. шт.)</w:t>
      </w:r>
    </w:p>
    <w:tbl>
      <w:tblPr>
        <w:tblW w:w="0" w:type="auto"/>
        <w:tblInd w:w="40" w:type="dxa"/>
        <w:tblLayout w:type="fixed"/>
        <w:tblCellMar>
          <w:left w:w="40" w:type="dxa"/>
          <w:right w:w="40" w:type="dxa"/>
        </w:tblCellMar>
        <w:tblLook w:val="0000" w:firstRow="0" w:lastRow="0" w:firstColumn="0" w:lastColumn="0" w:noHBand="0" w:noVBand="0"/>
      </w:tblPr>
      <w:tblGrid>
        <w:gridCol w:w="3014"/>
        <w:gridCol w:w="1277"/>
        <w:gridCol w:w="998"/>
        <w:gridCol w:w="1114"/>
      </w:tblGrid>
      <w:tr w:rsidR="00B67D7C" w:rsidRPr="00DE096C" w14:paraId="5A9D46EE" w14:textId="77777777" w:rsidTr="00C2024A">
        <w:trPr>
          <w:trHeight w:val="355"/>
        </w:trPr>
        <w:tc>
          <w:tcPr>
            <w:tcW w:w="3014" w:type="dxa"/>
            <w:tcBorders>
              <w:top w:val="single" w:sz="12" w:space="0" w:color="auto"/>
              <w:left w:val="single" w:sz="12" w:space="0" w:color="auto"/>
              <w:bottom w:val="single" w:sz="6" w:space="0" w:color="auto"/>
              <w:right w:val="single" w:sz="6" w:space="0" w:color="auto"/>
            </w:tcBorders>
          </w:tcPr>
          <w:p w14:paraId="34927CF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Название изделий</w:t>
            </w:r>
          </w:p>
          <w:p w14:paraId="72D060F9" w14:textId="77777777" w:rsidR="00B67D7C" w:rsidRPr="00DE096C" w:rsidRDefault="00B67D7C" w:rsidP="00D45A46">
            <w:pPr>
              <w:shd w:val="clear" w:color="auto" w:fill="FFFFFF"/>
              <w:jc w:val="both"/>
              <w:rPr>
                <w:bCs/>
                <w:color w:val="002060"/>
                <w:sz w:val="16"/>
                <w:szCs w:val="16"/>
              </w:rPr>
            </w:pPr>
          </w:p>
        </w:tc>
        <w:tc>
          <w:tcPr>
            <w:tcW w:w="1277" w:type="dxa"/>
            <w:tcBorders>
              <w:top w:val="single" w:sz="12" w:space="0" w:color="auto"/>
              <w:left w:val="single" w:sz="6" w:space="0" w:color="auto"/>
              <w:bottom w:val="single" w:sz="6" w:space="0" w:color="auto"/>
              <w:right w:val="single" w:sz="6" w:space="0" w:color="auto"/>
            </w:tcBorders>
          </w:tcPr>
          <w:p w14:paraId="3F25237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Всего принято</w:t>
            </w:r>
          </w:p>
          <w:p w14:paraId="0ECEABE8" w14:textId="77777777" w:rsidR="00B67D7C" w:rsidRPr="00DE096C" w:rsidRDefault="00B67D7C" w:rsidP="00D45A46">
            <w:pPr>
              <w:shd w:val="clear" w:color="auto" w:fill="FFFFFF"/>
              <w:jc w:val="both"/>
              <w:rPr>
                <w:bCs/>
                <w:color w:val="002060"/>
                <w:sz w:val="16"/>
                <w:szCs w:val="16"/>
              </w:rPr>
            </w:pPr>
          </w:p>
        </w:tc>
        <w:tc>
          <w:tcPr>
            <w:tcW w:w="2112" w:type="dxa"/>
            <w:gridSpan w:val="2"/>
            <w:tcBorders>
              <w:top w:val="single" w:sz="12" w:space="0" w:color="auto"/>
              <w:left w:val="single" w:sz="6" w:space="0" w:color="auto"/>
              <w:bottom w:val="single" w:sz="6" w:space="0" w:color="auto"/>
              <w:right w:val="single" w:sz="12" w:space="0" w:color="auto"/>
            </w:tcBorders>
          </w:tcPr>
          <w:p w14:paraId="29A599A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Из этого числа</w:t>
            </w:r>
          </w:p>
          <w:p w14:paraId="51057D1B" w14:textId="77777777" w:rsidR="00B67D7C" w:rsidRPr="00DE096C" w:rsidRDefault="00B67D7C" w:rsidP="00D45A46">
            <w:pPr>
              <w:shd w:val="clear" w:color="auto" w:fill="FFFFFF"/>
              <w:jc w:val="both"/>
              <w:rPr>
                <w:bCs/>
                <w:color w:val="002060"/>
                <w:sz w:val="16"/>
                <w:szCs w:val="16"/>
              </w:rPr>
            </w:pPr>
          </w:p>
        </w:tc>
      </w:tr>
      <w:tr w:rsidR="00B67D7C" w:rsidRPr="00DE096C" w14:paraId="3D2516B5" w14:textId="77777777" w:rsidTr="00C2024A">
        <w:trPr>
          <w:trHeight w:val="269"/>
        </w:trPr>
        <w:tc>
          <w:tcPr>
            <w:tcW w:w="3014" w:type="dxa"/>
            <w:tcBorders>
              <w:top w:val="single" w:sz="6" w:space="0" w:color="auto"/>
              <w:left w:val="single" w:sz="12" w:space="0" w:color="auto"/>
              <w:bottom w:val="single" w:sz="6" w:space="0" w:color="auto"/>
              <w:right w:val="single" w:sz="6" w:space="0" w:color="auto"/>
            </w:tcBorders>
          </w:tcPr>
          <w:p w14:paraId="5EB6F54C" w14:textId="77777777" w:rsidR="00B67D7C" w:rsidRPr="00DE096C" w:rsidRDefault="00B67D7C" w:rsidP="00D45A46">
            <w:pPr>
              <w:shd w:val="clear" w:color="auto" w:fill="FFFFFF"/>
              <w:jc w:val="both"/>
              <w:rPr>
                <w:bCs/>
                <w:color w:val="002060"/>
                <w:sz w:val="16"/>
                <w:szCs w:val="16"/>
              </w:rPr>
            </w:pPr>
          </w:p>
          <w:p w14:paraId="2BED4079" w14:textId="77777777" w:rsidR="00B67D7C" w:rsidRPr="00DE096C" w:rsidRDefault="00B67D7C" w:rsidP="00D45A46">
            <w:pPr>
              <w:shd w:val="clear" w:color="auto" w:fill="FFFFFF"/>
              <w:jc w:val="both"/>
              <w:rPr>
                <w:bCs/>
                <w:color w:val="002060"/>
                <w:sz w:val="16"/>
                <w:szCs w:val="16"/>
              </w:rPr>
            </w:pPr>
          </w:p>
        </w:tc>
        <w:tc>
          <w:tcPr>
            <w:tcW w:w="1277" w:type="dxa"/>
            <w:tcBorders>
              <w:top w:val="single" w:sz="6" w:space="0" w:color="auto"/>
              <w:left w:val="single" w:sz="6" w:space="0" w:color="auto"/>
              <w:bottom w:val="single" w:sz="6" w:space="0" w:color="auto"/>
              <w:right w:val="single" w:sz="6" w:space="0" w:color="auto"/>
            </w:tcBorders>
          </w:tcPr>
          <w:p w14:paraId="47CF2FF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с заводов до 1 января 1918 г.</w:t>
            </w:r>
          </w:p>
          <w:p w14:paraId="726FA736" w14:textId="77777777" w:rsidR="00B67D7C" w:rsidRPr="00DE096C" w:rsidRDefault="00B67D7C" w:rsidP="00D45A46">
            <w:pPr>
              <w:shd w:val="clear" w:color="auto" w:fill="FFFFFF"/>
              <w:jc w:val="both"/>
              <w:rPr>
                <w:bCs/>
                <w:color w:val="002060"/>
                <w:sz w:val="16"/>
                <w:szCs w:val="16"/>
              </w:rPr>
            </w:pPr>
          </w:p>
        </w:tc>
        <w:tc>
          <w:tcPr>
            <w:tcW w:w="998" w:type="dxa"/>
            <w:tcBorders>
              <w:top w:val="single" w:sz="6" w:space="0" w:color="auto"/>
              <w:left w:val="single" w:sz="6" w:space="0" w:color="auto"/>
              <w:bottom w:val="single" w:sz="6" w:space="0" w:color="auto"/>
              <w:right w:val="single" w:sz="6" w:space="0" w:color="auto"/>
            </w:tcBorders>
          </w:tcPr>
          <w:p w14:paraId="406EC15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сдано окон-</w:t>
            </w:r>
          </w:p>
          <w:p w14:paraId="73FB469F" w14:textId="77777777" w:rsidR="00B67D7C" w:rsidRPr="00DE096C" w:rsidRDefault="00B67D7C" w:rsidP="00D45A46">
            <w:pPr>
              <w:shd w:val="clear" w:color="auto" w:fill="FFFFFF"/>
              <w:jc w:val="both"/>
              <w:rPr>
                <w:bCs/>
                <w:color w:val="002060"/>
                <w:sz w:val="16"/>
                <w:szCs w:val="16"/>
              </w:rPr>
            </w:pPr>
          </w:p>
        </w:tc>
        <w:tc>
          <w:tcPr>
            <w:tcW w:w="1114" w:type="dxa"/>
            <w:tcBorders>
              <w:top w:val="single" w:sz="6" w:space="0" w:color="auto"/>
              <w:left w:val="single" w:sz="6" w:space="0" w:color="auto"/>
              <w:bottom w:val="single" w:sz="6" w:space="0" w:color="auto"/>
              <w:right w:val="single" w:sz="12" w:space="0" w:color="auto"/>
            </w:tcBorders>
          </w:tcPr>
          <w:p w14:paraId="09D127D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выдано для</w:t>
            </w:r>
          </w:p>
          <w:p w14:paraId="37F13FB0" w14:textId="77777777" w:rsidR="00B67D7C" w:rsidRPr="00DE096C" w:rsidRDefault="00B67D7C" w:rsidP="00D45A46">
            <w:pPr>
              <w:shd w:val="clear" w:color="auto" w:fill="FFFFFF"/>
              <w:jc w:val="both"/>
              <w:rPr>
                <w:bCs/>
                <w:color w:val="002060"/>
                <w:sz w:val="16"/>
                <w:szCs w:val="16"/>
              </w:rPr>
            </w:pPr>
          </w:p>
        </w:tc>
      </w:tr>
      <w:tr w:rsidR="00B67D7C" w:rsidRPr="00DE096C" w14:paraId="5A94D756" w14:textId="77777777" w:rsidTr="00C2024A">
        <w:trPr>
          <w:trHeight w:val="154"/>
        </w:trPr>
        <w:tc>
          <w:tcPr>
            <w:tcW w:w="3014" w:type="dxa"/>
            <w:tcBorders>
              <w:top w:val="single" w:sz="6" w:space="0" w:color="auto"/>
              <w:left w:val="single" w:sz="12" w:space="0" w:color="auto"/>
              <w:bottom w:val="single" w:sz="6" w:space="0" w:color="auto"/>
              <w:right w:val="single" w:sz="6" w:space="0" w:color="auto"/>
            </w:tcBorders>
          </w:tcPr>
          <w:p w14:paraId="52E4FA70" w14:textId="77777777" w:rsidR="00B67D7C" w:rsidRPr="00DE096C" w:rsidRDefault="00B67D7C" w:rsidP="00D45A46">
            <w:pPr>
              <w:shd w:val="clear" w:color="auto" w:fill="FFFFFF"/>
              <w:jc w:val="both"/>
              <w:rPr>
                <w:bCs/>
                <w:color w:val="002060"/>
                <w:sz w:val="16"/>
                <w:szCs w:val="16"/>
              </w:rPr>
            </w:pPr>
          </w:p>
          <w:p w14:paraId="35688EFA" w14:textId="77777777" w:rsidR="00B67D7C" w:rsidRPr="00DE096C" w:rsidRDefault="00B67D7C" w:rsidP="00D45A46">
            <w:pPr>
              <w:shd w:val="clear" w:color="auto" w:fill="FFFFFF"/>
              <w:jc w:val="both"/>
              <w:rPr>
                <w:bCs/>
                <w:color w:val="002060"/>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741E311" w14:textId="77777777" w:rsidR="00B67D7C" w:rsidRPr="00DE096C" w:rsidRDefault="00B67D7C" w:rsidP="00D45A46">
            <w:pPr>
              <w:shd w:val="clear" w:color="auto" w:fill="FFFFFF"/>
              <w:jc w:val="both"/>
              <w:rPr>
                <w:bCs/>
                <w:color w:val="002060"/>
                <w:sz w:val="16"/>
                <w:szCs w:val="16"/>
              </w:rPr>
            </w:pPr>
          </w:p>
          <w:p w14:paraId="05B0B947" w14:textId="77777777" w:rsidR="00B67D7C" w:rsidRPr="00DE096C" w:rsidRDefault="00B67D7C" w:rsidP="00D45A46">
            <w:pPr>
              <w:shd w:val="clear" w:color="auto" w:fill="FFFFFF"/>
              <w:jc w:val="both"/>
              <w:rPr>
                <w:bCs/>
                <w:color w:val="002060"/>
                <w:sz w:val="16"/>
                <w:szCs w:val="16"/>
              </w:rPr>
            </w:pPr>
          </w:p>
        </w:tc>
        <w:tc>
          <w:tcPr>
            <w:tcW w:w="998" w:type="dxa"/>
            <w:tcBorders>
              <w:top w:val="single" w:sz="6" w:space="0" w:color="auto"/>
              <w:left w:val="single" w:sz="6" w:space="0" w:color="auto"/>
              <w:bottom w:val="single" w:sz="6" w:space="0" w:color="auto"/>
              <w:right w:val="single" w:sz="6" w:space="0" w:color="auto"/>
            </w:tcBorders>
          </w:tcPr>
          <w:p w14:paraId="67C091D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чательно</w:t>
            </w:r>
          </w:p>
          <w:p w14:paraId="61A6BB2B" w14:textId="77777777" w:rsidR="00B67D7C" w:rsidRPr="00DE096C" w:rsidRDefault="00B67D7C" w:rsidP="00D45A46">
            <w:pPr>
              <w:shd w:val="clear" w:color="auto" w:fill="FFFFFF"/>
              <w:jc w:val="both"/>
              <w:rPr>
                <w:bCs/>
                <w:color w:val="002060"/>
                <w:sz w:val="16"/>
                <w:szCs w:val="16"/>
              </w:rPr>
            </w:pPr>
          </w:p>
        </w:tc>
        <w:tc>
          <w:tcPr>
            <w:tcW w:w="1114" w:type="dxa"/>
            <w:tcBorders>
              <w:top w:val="single" w:sz="6" w:space="0" w:color="auto"/>
              <w:left w:val="single" w:sz="6" w:space="0" w:color="auto"/>
              <w:bottom w:val="single" w:sz="6" w:space="0" w:color="auto"/>
              <w:right w:val="single" w:sz="12" w:space="0" w:color="auto"/>
            </w:tcBorders>
          </w:tcPr>
          <w:p w14:paraId="54673BF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снаряжения</w:t>
            </w:r>
          </w:p>
          <w:p w14:paraId="17740FF5" w14:textId="77777777" w:rsidR="00B67D7C" w:rsidRPr="00DE096C" w:rsidRDefault="00B67D7C" w:rsidP="00D45A46">
            <w:pPr>
              <w:shd w:val="clear" w:color="auto" w:fill="FFFFFF"/>
              <w:jc w:val="both"/>
              <w:rPr>
                <w:bCs/>
                <w:color w:val="002060"/>
                <w:sz w:val="16"/>
                <w:szCs w:val="16"/>
              </w:rPr>
            </w:pPr>
          </w:p>
        </w:tc>
      </w:tr>
      <w:tr w:rsidR="00B67D7C" w:rsidRPr="00DE096C" w14:paraId="537102C0" w14:textId="77777777" w:rsidTr="00C2024A">
        <w:trPr>
          <w:trHeight w:val="202"/>
        </w:trPr>
        <w:tc>
          <w:tcPr>
            <w:tcW w:w="3014" w:type="dxa"/>
            <w:tcBorders>
              <w:top w:val="single" w:sz="6" w:space="0" w:color="auto"/>
              <w:left w:val="single" w:sz="12" w:space="0" w:color="auto"/>
              <w:bottom w:val="single" w:sz="6" w:space="0" w:color="auto"/>
              <w:right w:val="single" w:sz="6" w:space="0" w:color="auto"/>
            </w:tcBorders>
          </w:tcPr>
          <w:p w14:paraId="1B15D3F6" w14:textId="77777777" w:rsidR="00B67D7C" w:rsidRPr="00DE096C" w:rsidRDefault="00B67D7C" w:rsidP="00D45A46">
            <w:pPr>
              <w:shd w:val="clear" w:color="auto" w:fill="FFFFFF"/>
              <w:jc w:val="both"/>
              <w:rPr>
                <w:bCs/>
                <w:color w:val="002060"/>
                <w:sz w:val="16"/>
                <w:szCs w:val="16"/>
              </w:rPr>
            </w:pPr>
          </w:p>
          <w:p w14:paraId="2F71566A" w14:textId="77777777" w:rsidR="00B67D7C" w:rsidRPr="00DE096C" w:rsidRDefault="00B67D7C" w:rsidP="00D45A46">
            <w:pPr>
              <w:shd w:val="clear" w:color="auto" w:fill="FFFFFF"/>
              <w:jc w:val="both"/>
              <w:rPr>
                <w:bCs/>
                <w:color w:val="002060"/>
                <w:sz w:val="16"/>
                <w:szCs w:val="16"/>
              </w:rPr>
            </w:pPr>
          </w:p>
        </w:tc>
        <w:tc>
          <w:tcPr>
            <w:tcW w:w="1277" w:type="dxa"/>
            <w:tcBorders>
              <w:top w:val="single" w:sz="6" w:space="0" w:color="auto"/>
              <w:left w:val="single" w:sz="6" w:space="0" w:color="auto"/>
              <w:bottom w:val="single" w:sz="6" w:space="0" w:color="auto"/>
              <w:right w:val="single" w:sz="6" w:space="0" w:color="auto"/>
            </w:tcBorders>
          </w:tcPr>
          <w:p w14:paraId="2A0CF661" w14:textId="77777777" w:rsidR="00B67D7C" w:rsidRPr="00DE096C" w:rsidRDefault="00B67D7C" w:rsidP="00D45A46">
            <w:pPr>
              <w:shd w:val="clear" w:color="auto" w:fill="FFFFFF"/>
              <w:jc w:val="both"/>
              <w:rPr>
                <w:bCs/>
                <w:color w:val="002060"/>
                <w:sz w:val="16"/>
                <w:szCs w:val="16"/>
              </w:rPr>
            </w:pPr>
          </w:p>
          <w:p w14:paraId="4E54A0DC" w14:textId="77777777" w:rsidR="00B67D7C" w:rsidRPr="00DE096C" w:rsidRDefault="00B67D7C" w:rsidP="00D45A46">
            <w:pPr>
              <w:shd w:val="clear" w:color="auto" w:fill="FFFFFF"/>
              <w:jc w:val="both"/>
              <w:rPr>
                <w:bCs/>
                <w:color w:val="002060"/>
                <w:sz w:val="16"/>
                <w:szCs w:val="16"/>
              </w:rPr>
            </w:pPr>
          </w:p>
        </w:tc>
        <w:tc>
          <w:tcPr>
            <w:tcW w:w="998" w:type="dxa"/>
            <w:tcBorders>
              <w:top w:val="single" w:sz="6" w:space="0" w:color="auto"/>
              <w:left w:val="single" w:sz="6" w:space="0" w:color="auto"/>
              <w:bottom w:val="single" w:sz="6" w:space="0" w:color="auto"/>
              <w:right w:val="single" w:sz="6" w:space="0" w:color="auto"/>
            </w:tcBorders>
          </w:tcPr>
          <w:p w14:paraId="1FABE58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снаряжен-</w:t>
            </w:r>
          </w:p>
          <w:p w14:paraId="20920C98" w14:textId="77777777" w:rsidR="00B67D7C" w:rsidRPr="00DE096C" w:rsidRDefault="00B67D7C" w:rsidP="00D45A46">
            <w:pPr>
              <w:shd w:val="clear" w:color="auto" w:fill="FFFFFF"/>
              <w:jc w:val="both"/>
              <w:rPr>
                <w:bCs/>
                <w:color w:val="002060"/>
                <w:sz w:val="16"/>
                <w:szCs w:val="16"/>
              </w:rPr>
            </w:pPr>
          </w:p>
        </w:tc>
        <w:tc>
          <w:tcPr>
            <w:tcW w:w="1114" w:type="dxa"/>
            <w:tcBorders>
              <w:top w:val="single" w:sz="6" w:space="0" w:color="auto"/>
              <w:left w:val="single" w:sz="6" w:space="0" w:color="auto"/>
              <w:bottom w:val="single" w:sz="6" w:space="0" w:color="auto"/>
              <w:right w:val="single" w:sz="12" w:space="0" w:color="auto"/>
            </w:tcBorders>
          </w:tcPr>
          <w:p w14:paraId="1DF9E9C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ОВ</w:t>
            </w:r>
          </w:p>
          <w:p w14:paraId="178B3B5C" w14:textId="77777777" w:rsidR="00B67D7C" w:rsidRPr="00DE096C" w:rsidRDefault="00B67D7C" w:rsidP="00D45A46">
            <w:pPr>
              <w:shd w:val="clear" w:color="auto" w:fill="FFFFFF"/>
              <w:jc w:val="both"/>
              <w:rPr>
                <w:bCs/>
                <w:color w:val="002060"/>
                <w:sz w:val="16"/>
                <w:szCs w:val="16"/>
              </w:rPr>
            </w:pPr>
          </w:p>
        </w:tc>
      </w:tr>
      <w:tr w:rsidR="00B67D7C" w:rsidRPr="00DE096C" w14:paraId="7692B0FA" w14:textId="77777777" w:rsidTr="00C2024A">
        <w:trPr>
          <w:trHeight w:val="240"/>
        </w:trPr>
        <w:tc>
          <w:tcPr>
            <w:tcW w:w="3014" w:type="dxa"/>
            <w:tcBorders>
              <w:top w:val="single" w:sz="6" w:space="0" w:color="auto"/>
              <w:left w:val="single" w:sz="12" w:space="0" w:color="auto"/>
              <w:right w:val="single" w:sz="6" w:space="0" w:color="auto"/>
            </w:tcBorders>
          </w:tcPr>
          <w:p w14:paraId="318360C9" w14:textId="77777777" w:rsidR="00B67D7C" w:rsidRPr="00DE096C" w:rsidRDefault="00B67D7C" w:rsidP="00D45A46">
            <w:pPr>
              <w:shd w:val="clear" w:color="auto" w:fill="FFFFFF"/>
              <w:jc w:val="both"/>
              <w:rPr>
                <w:bCs/>
                <w:color w:val="002060"/>
                <w:sz w:val="16"/>
                <w:szCs w:val="16"/>
              </w:rPr>
            </w:pPr>
          </w:p>
          <w:p w14:paraId="1824BB1D" w14:textId="77777777" w:rsidR="00B67D7C" w:rsidRPr="00DE096C" w:rsidRDefault="00B67D7C" w:rsidP="00D45A46">
            <w:pPr>
              <w:shd w:val="clear" w:color="auto" w:fill="FFFFFF"/>
              <w:jc w:val="both"/>
              <w:rPr>
                <w:bCs/>
                <w:color w:val="002060"/>
                <w:sz w:val="16"/>
                <w:szCs w:val="16"/>
              </w:rPr>
            </w:pPr>
          </w:p>
        </w:tc>
        <w:tc>
          <w:tcPr>
            <w:tcW w:w="1277" w:type="dxa"/>
            <w:tcBorders>
              <w:top w:val="single" w:sz="6" w:space="0" w:color="auto"/>
              <w:left w:val="single" w:sz="6" w:space="0" w:color="auto"/>
              <w:right w:val="single" w:sz="6" w:space="0" w:color="auto"/>
            </w:tcBorders>
          </w:tcPr>
          <w:p w14:paraId="542B14EF" w14:textId="77777777" w:rsidR="00B67D7C" w:rsidRPr="00DE096C" w:rsidRDefault="00B67D7C" w:rsidP="00D45A46">
            <w:pPr>
              <w:shd w:val="clear" w:color="auto" w:fill="FFFFFF"/>
              <w:jc w:val="both"/>
              <w:rPr>
                <w:bCs/>
                <w:color w:val="002060"/>
                <w:sz w:val="16"/>
                <w:szCs w:val="16"/>
              </w:rPr>
            </w:pPr>
          </w:p>
          <w:p w14:paraId="13CF0705" w14:textId="77777777" w:rsidR="00B67D7C" w:rsidRPr="00DE096C" w:rsidRDefault="00B67D7C" w:rsidP="00D45A46">
            <w:pPr>
              <w:shd w:val="clear" w:color="auto" w:fill="FFFFFF"/>
              <w:jc w:val="both"/>
              <w:rPr>
                <w:bCs/>
                <w:color w:val="002060"/>
                <w:sz w:val="16"/>
                <w:szCs w:val="16"/>
              </w:rPr>
            </w:pPr>
          </w:p>
        </w:tc>
        <w:tc>
          <w:tcPr>
            <w:tcW w:w="998" w:type="dxa"/>
            <w:tcBorders>
              <w:top w:val="single" w:sz="6" w:space="0" w:color="auto"/>
              <w:left w:val="single" w:sz="6" w:space="0" w:color="auto"/>
              <w:right w:val="single" w:sz="6" w:space="0" w:color="auto"/>
            </w:tcBorders>
          </w:tcPr>
          <w:p w14:paraId="084CF76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ных</w:t>
            </w:r>
          </w:p>
          <w:p w14:paraId="0BBBE0D2" w14:textId="77777777" w:rsidR="00B67D7C" w:rsidRPr="00DE096C" w:rsidRDefault="00B67D7C" w:rsidP="00D45A46">
            <w:pPr>
              <w:shd w:val="clear" w:color="auto" w:fill="FFFFFF"/>
              <w:jc w:val="both"/>
              <w:rPr>
                <w:bCs/>
                <w:color w:val="002060"/>
                <w:sz w:val="16"/>
                <w:szCs w:val="16"/>
              </w:rPr>
            </w:pPr>
          </w:p>
        </w:tc>
        <w:tc>
          <w:tcPr>
            <w:tcW w:w="1114" w:type="dxa"/>
            <w:tcBorders>
              <w:top w:val="single" w:sz="6" w:space="0" w:color="auto"/>
              <w:left w:val="single" w:sz="6" w:space="0" w:color="auto"/>
              <w:right w:val="single" w:sz="12" w:space="0" w:color="auto"/>
            </w:tcBorders>
          </w:tcPr>
          <w:p w14:paraId="41AC86D2" w14:textId="77777777" w:rsidR="00B67D7C" w:rsidRPr="00DE096C" w:rsidRDefault="00B67D7C" w:rsidP="00D45A46">
            <w:pPr>
              <w:shd w:val="clear" w:color="auto" w:fill="FFFFFF"/>
              <w:jc w:val="both"/>
              <w:rPr>
                <w:bCs/>
                <w:color w:val="002060"/>
                <w:sz w:val="16"/>
                <w:szCs w:val="16"/>
              </w:rPr>
            </w:pPr>
          </w:p>
          <w:p w14:paraId="12BCF86A" w14:textId="77777777" w:rsidR="00B67D7C" w:rsidRPr="00DE096C" w:rsidRDefault="00B67D7C" w:rsidP="00D45A46">
            <w:pPr>
              <w:shd w:val="clear" w:color="auto" w:fill="FFFFFF"/>
              <w:jc w:val="both"/>
              <w:rPr>
                <w:bCs/>
                <w:color w:val="002060"/>
                <w:sz w:val="16"/>
                <w:szCs w:val="16"/>
              </w:rPr>
            </w:pPr>
          </w:p>
        </w:tc>
      </w:tr>
      <w:tr w:rsidR="00B67D7C" w:rsidRPr="00DE096C" w14:paraId="76AF8458" w14:textId="77777777" w:rsidTr="00C2024A">
        <w:trPr>
          <w:trHeight w:val="259"/>
        </w:trPr>
        <w:tc>
          <w:tcPr>
            <w:tcW w:w="3014" w:type="dxa"/>
            <w:tcBorders>
              <w:top w:val="single" w:sz="12" w:space="0" w:color="auto"/>
              <w:left w:val="single" w:sz="12" w:space="0" w:color="auto"/>
              <w:bottom w:val="single" w:sz="6" w:space="0" w:color="auto"/>
              <w:right w:val="single" w:sz="6" w:space="0" w:color="auto"/>
            </w:tcBorders>
          </w:tcPr>
          <w:p w14:paraId="749C690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Корпуса 76-мм гранат</w:t>
            </w:r>
          </w:p>
          <w:p w14:paraId="2F76BF83" w14:textId="77777777" w:rsidR="00B67D7C" w:rsidRPr="00DE096C" w:rsidRDefault="00B67D7C" w:rsidP="00D45A46">
            <w:pPr>
              <w:shd w:val="clear" w:color="auto" w:fill="FFFFFF"/>
              <w:jc w:val="both"/>
              <w:rPr>
                <w:bCs/>
                <w:color w:val="002060"/>
                <w:sz w:val="16"/>
                <w:szCs w:val="16"/>
              </w:rPr>
            </w:pPr>
          </w:p>
        </w:tc>
        <w:tc>
          <w:tcPr>
            <w:tcW w:w="1277" w:type="dxa"/>
            <w:tcBorders>
              <w:top w:val="single" w:sz="12" w:space="0" w:color="auto"/>
              <w:left w:val="single" w:sz="6" w:space="0" w:color="auto"/>
              <w:bottom w:val="single" w:sz="6" w:space="0" w:color="auto"/>
              <w:right w:val="single" w:sz="6" w:space="0" w:color="auto"/>
            </w:tcBorders>
          </w:tcPr>
          <w:p w14:paraId="799DC97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13 683,334</w:t>
            </w:r>
          </w:p>
          <w:p w14:paraId="354617D8" w14:textId="77777777" w:rsidR="00B67D7C" w:rsidRPr="00DE096C" w:rsidRDefault="00B67D7C" w:rsidP="00D45A46">
            <w:pPr>
              <w:shd w:val="clear" w:color="auto" w:fill="FFFFFF"/>
              <w:jc w:val="both"/>
              <w:rPr>
                <w:bCs/>
                <w:color w:val="002060"/>
                <w:sz w:val="16"/>
                <w:szCs w:val="16"/>
              </w:rPr>
            </w:pPr>
          </w:p>
        </w:tc>
        <w:tc>
          <w:tcPr>
            <w:tcW w:w="998" w:type="dxa"/>
            <w:tcBorders>
              <w:top w:val="single" w:sz="12" w:space="0" w:color="auto"/>
              <w:left w:val="single" w:sz="6" w:space="0" w:color="auto"/>
              <w:bottom w:val="single" w:sz="6" w:space="0" w:color="auto"/>
              <w:right w:val="single" w:sz="6" w:space="0" w:color="auto"/>
            </w:tcBorders>
          </w:tcPr>
          <w:p w14:paraId="5D0D960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8 399,236</w:t>
            </w:r>
          </w:p>
          <w:p w14:paraId="6D408AB6" w14:textId="77777777" w:rsidR="00B67D7C" w:rsidRPr="00DE096C" w:rsidRDefault="00B67D7C" w:rsidP="00D45A46">
            <w:pPr>
              <w:shd w:val="clear" w:color="auto" w:fill="FFFFFF"/>
              <w:jc w:val="both"/>
              <w:rPr>
                <w:bCs/>
                <w:color w:val="002060"/>
                <w:sz w:val="16"/>
                <w:szCs w:val="16"/>
              </w:rPr>
            </w:pPr>
          </w:p>
        </w:tc>
        <w:tc>
          <w:tcPr>
            <w:tcW w:w="1114" w:type="dxa"/>
            <w:tcBorders>
              <w:top w:val="single" w:sz="12" w:space="0" w:color="auto"/>
              <w:left w:val="single" w:sz="6" w:space="0" w:color="auto"/>
              <w:bottom w:val="single" w:sz="6" w:space="0" w:color="auto"/>
              <w:right w:val="single" w:sz="12" w:space="0" w:color="auto"/>
            </w:tcBorders>
          </w:tcPr>
          <w:p w14:paraId="60166CF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2291,969</w:t>
            </w:r>
          </w:p>
          <w:p w14:paraId="575F1B84" w14:textId="77777777" w:rsidR="00B67D7C" w:rsidRPr="00DE096C" w:rsidRDefault="00B67D7C" w:rsidP="00D45A46">
            <w:pPr>
              <w:shd w:val="clear" w:color="auto" w:fill="FFFFFF"/>
              <w:jc w:val="both"/>
              <w:rPr>
                <w:bCs/>
                <w:color w:val="002060"/>
                <w:sz w:val="16"/>
                <w:szCs w:val="16"/>
              </w:rPr>
            </w:pPr>
          </w:p>
        </w:tc>
      </w:tr>
      <w:tr w:rsidR="00B67D7C" w:rsidRPr="00DE096C" w14:paraId="4AE114E0" w14:textId="77777777" w:rsidTr="00C2024A">
        <w:trPr>
          <w:trHeight w:val="163"/>
        </w:trPr>
        <w:tc>
          <w:tcPr>
            <w:tcW w:w="3014" w:type="dxa"/>
            <w:tcBorders>
              <w:top w:val="single" w:sz="6" w:space="0" w:color="auto"/>
              <w:left w:val="single" w:sz="12" w:space="0" w:color="auto"/>
              <w:bottom w:val="single" w:sz="6" w:space="0" w:color="auto"/>
              <w:right w:val="single" w:sz="6" w:space="0" w:color="auto"/>
            </w:tcBorders>
          </w:tcPr>
          <w:p w14:paraId="46752BA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Корпуса 122-мм бомб</w:t>
            </w:r>
          </w:p>
          <w:p w14:paraId="1818F0CD" w14:textId="77777777" w:rsidR="00B67D7C" w:rsidRPr="00DE096C" w:rsidRDefault="00B67D7C" w:rsidP="00D45A46">
            <w:pPr>
              <w:shd w:val="clear" w:color="auto" w:fill="FFFFFF"/>
              <w:jc w:val="both"/>
              <w:rPr>
                <w:bCs/>
                <w:color w:val="002060"/>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FDAAC5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104,956</w:t>
            </w:r>
          </w:p>
          <w:p w14:paraId="53130EA0" w14:textId="77777777" w:rsidR="00B67D7C" w:rsidRPr="00DE096C" w:rsidRDefault="00B67D7C" w:rsidP="00D45A46">
            <w:pPr>
              <w:shd w:val="clear" w:color="auto" w:fill="FFFFFF"/>
              <w:jc w:val="both"/>
              <w:rPr>
                <w:bCs/>
                <w:color w:val="002060"/>
                <w:sz w:val="16"/>
                <w:szCs w:val="16"/>
              </w:rPr>
            </w:pPr>
          </w:p>
        </w:tc>
        <w:tc>
          <w:tcPr>
            <w:tcW w:w="998" w:type="dxa"/>
            <w:tcBorders>
              <w:top w:val="single" w:sz="6" w:space="0" w:color="auto"/>
              <w:left w:val="single" w:sz="6" w:space="0" w:color="auto"/>
              <w:bottom w:val="single" w:sz="6" w:space="0" w:color="auto"/>
              <w:right w:val="single" w:sz="6" w:space="0" w:color="auto"/>
            </w:tcBorders>
          </w:tcPr>
          <w:p w14:paraId="1D24FBB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w:t>
            </w:r>
          </w:p>
          <w:p w14:paraId="2ED9BBC1" w14:textId="77777777" w:rsidR="00B67D7C" w:rsidRPr="00DE096C" w:rsidRDefault="00B67D7C" w:rsidP="00D45A46">
            <w:pPr>
              <w:shd w:val="clear" w:color="auto" w:fill="FFFFFF"/>
              <w:jc w:val="both"/>
              <w:rPr>
                <w:bCs/>
                <w:color w:val="002060"/>
                <w:sz w:val="16"/>
                <w:szCs w:val="16"/>
              </w:rPr>
            </w:pPr>
          </w:p>
        </w:tc>
        <w:tc>
          <w:tcPr>
            <w:tcW w:w="1114" w:type="dxa"/>
            <w:tcBorders>
              <w:top w:val="single" w:sz="6" w:space="0" w:color="auto"/>
              <w:left w:val="single" w:sz="6" w:space="0" w:color="auto"/>
              <w:bottom w:val="single" w:sz="6" w:space="0" w:color="auto"/>
              <w:right w:val="single" w:sz="12" w:space="0" w:color="auto"/>
            </w:tcBorders>
          </w:tcPr>
          <w:p w14:paraId="7204A2E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w:t>
            </w:r>
          </w:p>
          <w:p w14:paraId="36EA057B" w14:textId="77777777" w:rsidR="00B67D7C" w:rsidRPr="00DE096C" w:rsidRDefault="00B67D7C" w:rsidP="00D45A46">
            <w:pPr>
              <w:shd w:val="clear" w:color="auto" w:fill="FFFFFF"/>
              <w:jc w:val="both"/>
              <w:rPr>
                <w:bCs/>
                <w:color w:val="002060"/>
                <w:sz w:val="16"/>
                <w:szCs w:val="16"/>
              </w:rPr>
            </w:pPr>
          </w:p>
        </w:tc>
      </w:tr>
      <w:tr w:rsidR="00B67D7C" w:rsidRPr="00DE096C" w14:paraId="4935D5A2" w14:textId="77777777" w:rsidTr="00C2024A">
        <w:trPr>
          <w:trHeight w:val="182"/>
        </w:trPr>
        <w:tc>
          <w:tcPr>
            <w:tcW w:w="3014" w:type="dxa"/>
            <w:tcBorders>
              <w:top w:val="single" w:sz="6" w:space="0" w:color="auto"/>
              <w:left w:val="single" w:sz="12" w:space="0" w:color="auto"/>
              <w:bottom w:val="single" w:sz="6" w:space="0" w:color="auto"/>
              <w:right w:val="single" w:sz="6" w:space="0" w:color="auto"/>
            </w:tcBorders>
          </w:tcPr>
          <w:p w14:paraId="37EAC35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Корпуса 152-мм бомб</w:t>
            </w:r>
          </w:p>
          <w:p w14:paraId="4455DFDD" w14:textId="77777777" w:rsidR="00B67D7C" w:rsidRPr="00DE096C" w:rsidRDefault="00B67D7C" w:rsidP="00D45A46">
            <w:pPr>
              <w:shd w:val="clear" w:color="auto" w:fill="FFFFFF"/>
              <w:jc w:val="both"/>
              <w:rPr>
                <w:bCs/>
                <w:color w:val="002060"/>
                <w:sz w:val="16"/>
                <w:szCs w:val="16"/>
              </w:rPr>
            </w:pPr>
          </w:p>
        </w:tc>
        <w:tc>
          <w:tcPr>
            <w:tcW w:w="1277" w:type="dxa"/>
            <w:tcBorders>
              <w:top w:val="single" w:sz="6" w:space="0" w:color="auto"/>
              <w:left w:val="single" w:sz="6" w:space="0" w:color="auto"/>
              <w:bottom w:val="single" w:sz="6" w:space="0" w:color="auto"/>
              <w:right w:val="single" w:sz="6" w:space="0" w:color="auto"/>
            </w:tcBorders>
          </w:tcPr>
          <w:p w14:paraId="2D79FEA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488,487</w:t>
            </w:r>
          </w:p>
          <w:p w14:paraId="3C2AE638" w14:textId="77777777" w:rsidR="00B67D7C" w:rsidRPr="00DE096C" w:rsidRDefault="00B67D7C" w:rsidP="00D45A46">
            <w:pPr>
              <w:shd w:val="clear" w:color="auto" w:fill="FFFFFF"/>
              <w:jc w:val="both"/>
              <w:rPr>
                <w:bCs/>
                <w:color w:val="002060"/>
                <w:sz w:val="16"/>
                <w:szCs w:val="16"/>
              </w:rPr>
            </w:pPr>
          </w:p>
        </w:tc>
        <w:tc>
          <w:tcPr>
            <w:tcW w:w="998" w:type="dxa"/>
            <w:tcBorders>
              <w:top w:val="single" w:sz="6" w:space="0" w:color="auto"/>
              <w:left w:val="single" w:sz="6" w:space="0" w:color="auto"/>
              <w:bottom w:val="single" w:sz="6" w:space="0" w:color="auto"/>
              <w:right w:val="single" w:sz="6" w:space="0" w:color="auto"/>
            </w:tcBorders>
          </w:tcPr>
          <w:p w14:paraId="54CEC9D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225,911</w:t>
            </w:r>
          </w:p>
          <w:p w14:paraId="1C22DCC2" w14:textId="77777777" w:rsidR="00B67D7C" w:rsidRPr="00DE096C" w:rsidRDefault="00B67D7C" w:rsidP="00D45A46">
            <w:pPr>
              <w:shd w:val="clear" w:color="auto" w:fill="FFFFFF"/>
              <w:jc w:val="both"/>
              <w:rPr>
                <w:bCs/>
                <w:color w:val="002060"/>
                <w:sz w:val="16"/>
                <w:szCs w:val="16"/>
              </w:rPr>
            </w:pPr>
          </w:p>
        </w:tc>
        <w:tc>
          <w:tcPr>
            <w:tcW w:w="1114" w:type="dxa"/>
            <w:tcBorders>
              <w:top w:val="single" w:sz="6" w:space="0" w:color="auto"/>
              <w:left w:val="single" w:sz="6" w:space="0" w:color="auto"/>
              <w:bottom w:val="single" w:sz="6" w:space="0" w:color="auto"/>
              <w:right w:val="single" w:sz="12" w:space="0" w:color="auto"/>
            </w:tcBorders>
          </w:tcPr>
          <w:p w14:paraId="007BBE2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134,692</w:t>
            </w:r>
          </w:p>
          <w:p w14:paraId="263B3A3C" w14:textId="77777777" w:rsidR="00B67D7C" w:rsidRPr="00DE096C" w:rsidRDefault="00B67D7C" w:rsidP="00D45A46">
            <w:pPr>
              <w:shd w:val="clear" w:color="auto" w:fill="FFFFFF"/>
              <w:jc w:val="both"/>
              <w:rPr>
                <w:bCs/>
                <w:color w:val="002060"/>
                <w:sz w:val="16"/>
                <w:szCs w:val="16"/>
              </w:rPr>
            </w:pPr>
          </w:p>
        </w:tc>
      </w:tr>
      <w:tr w:rsidR="00B67D7C" w:rsidRPr="00DE096C" w14:paraId="1DBA9EB5" w14:textId="77777777" w:rsidTr="00C2024A">
        <w:trPr>
          <w:trHeight w:val="173"/>
        </w:trPr>
        <w:tc>
          <w:tcPr>
            <w:tcW w:w="3014" w:type="dxa"/>
            <w:tcBorders>
              <w:top w:val="single" w:sz="6" w:space="0" w:color="auto"/>
              <w:left w:val="single" w:sz="12" w:space="0" w:color="auto"/>
              <w:bottom w:val="single" w:sz="6" w:space="0" w:color="auto"/>
              <w:right w:val="single" w:sz="6" w:space="0" w:color="auto"/>
            </w:tcBorders>
          </w:tcPr>
          <w:p w14:paraId="315171E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Запальные стаканы 76-мм</w:t>
            </w:r>
          </w:p>
          <w:p w14:paraId="1C8C203C" w14:textId="77777777" w:rsidR="00B67D7C" w:rsidRPr="00DE096C" w:rsidRDefault="00B67D7C" w:rsidP="00D45A46">
            <w:pPr>
              <w:shd w:val="clear" w:color="auto" w:fill="FFFFFF"/>
              <w:jc w:val="both"/>
              <w:rPr>
                <w:bCs/>
                <w:color w:val="002060"/>
                <w:sz w:val="16"/>
                <w:szCs w:val="16"/>
              </w:rPr>
            </w:pPr>
          </w:p>
        </w:tc>
        <w:tc>
          <w:tcPr>
            <w:tcW w:w="1277" w:type="dxa"/>
            <w:tcBorders>
              <w:top w:val="single" w:sz="6" w:space="0" w:color="auto"/>
              <w:left w:val="single" w:sz="6" w:space="0" w:color="auto"/>
              <w:bottom w:val="single" w:sz="6" w:space="0" w:color="auto"/>
              <w:right w:val="single" w:sz="6" w:space="0" w:color="auto"/>
            </w:tcBorders>
          </w:tcPr>
          <w:p w14:paraId="46BD6BC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12 250,863</w:t>
            </w:r>
          </w:p>
          <w:p w14:paraId="6BDD4E51" w14:textId="77777777" w:rsidR="00B67D7C" w:rsidRPr="00DE096C" w:rsidRDefault="00B67D7C" w:rsidP="00D45A46">
            <w:pPr>
              <w:shd w:val="clear" w:color="auto" w:fill="FFFFFF"/>
              <w:jc w:val="both"/>
              <w:rPr>
                <w:bCs/>
                <w:color w:val="002060"/>
                <w:sz w:val="16"/>
                <w:szCs w:val="16"/>
              </w:rPr>
            </w:pPr>
          </w:p>
        </w:tc>
        <w:tc>
          <w:tcPr>
            <w:tcW w:w="998" w:type="dxa"/>
            <w:tcBorders>
              <w:top w:val="single" w:sz="6" w:space="0" w:color="auto"/>
              <w:left w:val="single" w:sz="6" w:space="0" w:color="auto"/>
              <w:bottom w:val="single" w:sz="6" w:space="0" w:color="auto"/>
              <w:right w:val="single" w:sz="6" w:space="0" w:color="auto"/>
            </w:tcBorders>
          </w:tcPr>
          <w:p w14:paraId="2412782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w:t>
            </w:r>
          </w:p>
          <w:p w14:paraId="739769D2" w14:textId="77777777" w:rsidR="00B67D7C" w:rsidRPr="00DE096C" w:rsidRDefault="00B67D7C" w:rsidP="00D45A46">
            <w:pPr>
              <w:shd w:val="clear" w:color="auto" w:fill="FFFFFF"/>
              <w:jc w:val="both"/>
              <w:rPr>
                <w:bCs/>
                <w:color w:val="002060"/>
                <w:sz w:val="16"/>
                <w:szCs w:val="16"/>
              </w:rPr>
            </w:pPr>
          </w:p>
        </w:tc>
        <w:tc>
          <w:tcPr>
            <w:tcW w:w="1114" w:type="dxa"/>
            <w:tcBorders>
              <w:top w:val="single" w:sz="6" w:space="0" w:color="auto"/>
              <w:left w:val="single" w:sz="6" w:space="0" w:color="auto"/>
              <w:bottom w:val="single" w:sz="6" w:space="0" w:color="auto"/>
              <w:right w:val="single" w:sz="12" w:space="0" w:color="auto"/>
            </w:tcBorders>
          </w:tcPr>
          <w:p w14:paraId="12C3835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w:t>
            </w:r>
          </w:p>
          <w:p w14:paraId="719289BA" w14:textId="77777777" w:rsidR="00B67D7C" w:rsidRPr="00DE096C" w:rsidRDefault="00B67D7C" w:rsidP="00D45A46">
            <w:pPr>
              <w:shd w:val="clear" w:color="auto" w:fill="FFFFFF"/>
              <w:jc w:val="both"/>
              <w:rPr>
                <w:bCs/>
                <w:color w:val="002060"/>
                <w:sz w:val="16"/>
                <w:szCs w:val="16"/>
              </w:rPr>
            </w:pPr>
          </w:p>
        </w:tc>
      </w:tr>
      <w:tr w:rsidR="00B67D7C" w:rsidRPr="00DE096C" w14:paraId="1E92C2A6" w14:textId="77777777" w:rsidTr="00C2024A">
        <w:trPr>
          <w:trHeight w:val="154"/>
        </w:trPr>
        <w:tc>
          <w:tcPr>
            <w:tcW w:w="3014" w:type="dxa"/>
            <w:tcBorders>
              <w:top w:val="single" w:sz="6" w:space="0" w:color="auto"/>
              <w:left w:val="single" w:sz="12" w:space="0" w:color="auto"/>
              <w:bottom w:val="single" w:sz="6" w:space="0" w:color="auto"/>
              <w:right w:val="single" w:sz="6" w:space="0" w:color="auto"/>
            </w:tcBorders>
          </w:tcPr>
          <w:p w14:paraId="1B673C3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Запальные стаканы 152-мм</w:t>
            </w:r>
          </w:p>
          <w:p w14:paraId="627E58EE" w14:textId="77777777" w:rsidR="00B67D7C" w:rsidRPr="00DE096C" w:rsidRDefault="00B67D7C" w:rsidP="00D45A46">
            <w:pPr>
              <w:shd w:val="clear" w:color="auto" w:fill="FFFFFF"/>
              <w:jc w:val="both"/>
              <w:rPr>
                <w:bCs/>
                <w:color w:val="002060"/>
                <w:sz w:val="16"/>
                <w:szCs w:val="16"/>
              </w:rPr>
            </w:pPr>
          </w:p>
        </w:tc>
        <w:tc>
          <w:tcPr>
            <w:tcW w:w="1277" w:type="dxa"/>
            <w:tcBorders>
              <w:top w:val="single" w:sz="6" w:space="0" w:color="auto"/>
              <w:left w:val="single" w:sz="6" w:space="0" w:color="auto"/>
              <w:bottom w:val="single" w:sz="6" w:space="0" w:color="auto"/>
              <w:right w:val="single" w:sz="6" w:space="0" w:color="auto"/>
            </w:tcBorders>
          </w:tcPr>
          <w:p w14:paraId="242696D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730,294</w:t>
            </w:r>
          </w:p>
          <w:p w14:paraId="7774F9DC" w14:textId="77777777" w:rsidR="00B67D7C" w:rsidRPr="00DE096C" w:rsidRDefault="00B67D7C" w:rsidP="00D45A46">
            <w:pPr>
              <w:shd w:val="clear" w:color="auto" w:fill="FFFFFF"/>
              <w:jc w:val="both"/>
              <w:rPr>
                <w:bCs/>
                <w:color w:val="002060"/>
                <w:sz w:val="16"/>
                <w:szCs w:val="16"/>
              </w:rPr>
            </w:pPr>
          </w:p>
        </w:tc>
        <w:tc>
          <w:tcPr>
            <w:tcW w:w="998" w:type="dxa"/>
            <w:tcBorders>
              <w:top w:val="single" w:sz="6" w:space="0" w:color="auto"/>
              <w:left w:val="single" w:sz="6" w:space="0" w:color="auto"/>
              <w:bottom w:val="single" w:sz="6" w:space="0" w:color="auto"/>
              <w:right w:val="single" w:sz="6" w:space="0" w:color="auto"/>
            </w:tcBorders>
          </w:tcPr>
          <w:p w14:paraId="5DA26BA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w:t>
            </w:r>
          </w:p>
          <w:p w14:paraId="3B07B8F5" w14:textId="77777777" w:rsidR="00B67D7C" w:rsidRPr="00DE096C" w:rsidRDefault="00B67D7C" w:rsidP="00D45A46">
            <w:pPr>
              <w:shd w:val="clear" w:color="auto" w:fill="FFFFFF"/>
              <w:jc w:val="both"/>
              <w:rPr>
                <w:bCs/>
                <w:color w:val="002060"/>
                <w:sz w:val="16"/>
                <w:szCs w:val="16"/>
              </w:rPr>
            </w:pPr>
          </w:p>
        </w:tc>
        <w:tc>
          <w:tcPr>
            <w:tcW w:w="1114" w:type="dxa"/>
            <w:tcBorders>
              <w:top w:val="single" w:sz="6" w:space="0" w:color="auto"/>
              <w:left w:val="single" w:sz="6" w:space="0" w:color="auto"/>
              <w:bottom w:val="single" w:sz="6" w:space="0" w:color="auto"/>
              <w:right w:val="single" w:sz="12" w:space="0" w:color="auto"/>
            </w:tcBorders>
          </w:tcPr>
          <w:p w14:paraId="324F750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w:t>
            </w:r>
          </w:p>
          <w:p w14:paraId="2D4A8310" w14:textId="77777777" w:rsidR="00B67D7C" w:rsidRPr="00DE096C" w:rsidRDefault="00B67D7C" w:rsidP="00D45A46">
            <w:pPr>
              <w:shd w:val="clear" w:color="auto" w:fill="FFFFFF"/>
              <w:jc w:val="both"/>
              <w:rPr>
                <w:bCs/>
                <w:color w:val="002060"/>
                <w:sz w:val="16"/>
                <w:szCs w:val="16"/>
              </w:rPr>
            </w:pPr>
          </w:p>
        </w:tc>
      </w:tr>
      <w:tr w:rsidR="00B67D7C" w:rsidRPr="00DE096C" w14:paraId="4DDE3855" w14:textId="77777777" w:rsidTr="00C2024A">
        <w:trPr>
          <w:trHeight w:val="173"/>
        </w:trPr>
        <w:tc>
          <w:tcPr>
            <w:tcW w:w="3014" w:type="dxa"/>
            <w:tcBorders>
              <w:top w:val="single" w:sz="6" w:space="0" w:color="auto"/>
              <w:left w:val="single" w:sz="12" w:space="0" w:color="auto"/>
              <w:bottom w:val="single" w:sz="6" w:space="0" w:color="auto"/>
              <w:right w:val="single" w:sz="6" w:space="0" w:color="auto"/>
            </w:tcBorders>
          </w:tcPr>
          <w:p w14:paraId="7F4218D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Запальные стаканы к ОВ</w:t>
            </w:r>
          </w:p>
          <w:p w14:paraId="25C0F031" w14:textId="77777777" w:rsidR="00B67D7C" w:rsidRPr="00DE096C" w:rsidRDefault="00B67D7C" w:rsidP="00D45A46">
            <w:pPr>
              <w:shd w:val="clear" w:color="auto" w:fill="FFFFFF"/>
              <w:jc w:val="both"/>
              <w:rPr>
                <w:bCs/>
                <w:color w:val="002060"/>
                <w:sz w:val="16"/>
                <w:szCs w:val="16"/>
              </w:rPr>
            </w:pPr>
          </w:p>
        </w:tc>
        <w:tc>
          <w:tcPr>
            <w:tcW w:w="1277" w:type="dxa"/>
            <w:tcBorders>
              <w:top w:val="single" w:sz="6" w:space="0" w:color="auto"/>
              <w:left w:val="single" w:sz="6" w:space="0" w:color="auto"/>
              <w:bottom w:val="single" w:sz="6" w:space="0" w:color="auto"/>
              <w:right w:val="single" w:sz="6" w:space="0" w:color="auto"/>
            </w:tcBorders>
          </w:tcPr>
          <w:p w14:paraId="75CB3ED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646,572</w:t>
            </w:r>
          </w:p>
          <w:p w14:paraId="1137DE43" w14:textId="77777777" w:rsidR="00B67D7C" w:rsidRPr="00DE096C" w:rsidRDefault="00B67D7C" w:rsidP="00D45A46">
            <w:pPr>
              <w:shd w:val="clear" w:color="auto" w:fill="FFFFFF"/>
              <w:jc w:val="both"/>
              <w:rPr>
                <w:bCs/>
                <w:color w:val="002060"/>
                <w:sz w:val="16"/>
                <w:szCs w:val="16"/>
              </w:rPr>
            </w:pPr>
          </w:p>
        </w:tc>
        <w:tc>
          <w:tcPr>
            <w:tcW w:w="998" w:type="dxa"/>
            <w:tcBorders>
              <w:top w:val="single" w:sz="6" w:space="0" w:color="auto"/>
              <w:left w:val="single" w:sz="6" w:space="0" w:color="auto"/>
              <w:bottom w:val="single" w:sz="6" w:space="0" w:color="auto"/>
              <w:right w:val="single" w:sz="6" w:space="0" w:color="auto"/>
            </w:tcBorders>
          </w:tcPr>
          <w:p w14:paraId="27565D8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w:t>
            </w:r>
          </w:p>
          <w:p w14:paraId="374EA576" w14:textId="77777777" w:rsidR="00B67D7C" w:rsidRPr="00DE096C" w:rsidRDefault="00B67D7C" w:rsidP="00D45A46">
            <w:pPr>
              <w:shd w:val="clear" w:color="auto" w:fill="FFFFFF"/>
              <w:jc w:val="both"/>
              <w:rPr>
                <w:bCs/>
                <w:color w:val="002060"/>
                <w:sz w:val="16"/>
                <w:szCs w:val="16"/>
              </w:rPr>
            </w:pPr>
          </w:p>
        </w:tc>
        <w:tc>
          <w:tcPr>
            <w:tcW w:w="1114" w:type="dxa"/>
            <w:tcBorders>
              <w:top w:val="single" w:sz="6" w:space="0" w:color="auto"/>
              <w:left w:val="single" w:sz="6" w:space="0" w:color="auto"/>
              <w:bottom w:val="single" w:sz="6" w:space="0" w:color="auto"/>
              <w:right w:val="single" w:sz="12" w:space="0" w:color="auto"/>
            </w:tcBorders>
          </w:tcPr>
          <w:p w14:paraId="5F2E7A2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w:t>
            </w:r>
          </w:p>
          <w:p w14:paraId="151125A7" w14:textId="77777777" w:rsidR="00B67D7C" w:rsidRPr="00DE096C" w:rsidRDefault="00B67D7C" w:rsidP="00D45A46">
            <w:pPr>
              <w:shd w:val="clear" w:color="auto" w:fill="FFFFFF"/>
              <w:jc w:val="both"/>
              <w:rPr>
                <w:bCs/>
                <w:color w:val="002060"/>
                <w:sz w:val="16"/>
                <w:szCs w:val="16"/>
              </w:rPr>
            </w:pPr>
          </w:p>
        </w:tc>
      </w:tr>
      <w:tr w:rsidR="00B67D7C" w:rsidRPr="00DE096C" w14:paraId="3E4BC8C9" w14:textId="77777777" w:rsidTr="00C2024A">
        <w:trPr>
          <w:trHeight w:val="173"/>
        </w:trPr>
        <w:tc>
          <w:tcPr>
            <w:tcW w:w="3014" w:type="dxa"/>
            <w:tcBorders>
              <w:top w:val="single" w:sz="6" w:space="0" w:color="auto"/>
              <w:left w:val="single" w:sz="12" w:space="0" w:color="auto"/>
              <w:bottom w:val="single" w:sz="6" w:space="0" w:color="auto"/>
              <w:right w:val="single" w:sz="6" w:space="0" w:color="auto"/>
            </w:tcBorders>
          </w:tcPr>
          <w:p w14:paraId="6123E55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Детонаторные трубки снаряженные</w:t>
            </w:r>
          </w:p>
          <w:p w14:paraId="39228AAF" w14:textId="77777777" w:rsidR="00B67D7C" w:rsidRPr="00DE096C" w:rsidRDefault="00B67D7C" w:rsidP="00D45A46">
            <w:pPr>
              <w:shd w:val="clear" w:color="auto" w:fill="FFFFFF"/>
              <w:jc w:val="both"/>
              <w:rPr>
                <w:bCs/>
                <w:color w:val="002060"/>
                <w:sz w:val="16"/>
                <w:szCs w:val="16"/>
              </w:rPr>
            </w:pPr>
          </w:p>
        </w:tc>
        <w:tc>
          <w:tcPr>
            <w:tcW w:w="1277" w:type="dxa"/>
            <w:tcBorders>
              <w:top w:val="single" w:sz="6" w:space="0" w:color="auto"/>
              <w:left w:val="single" w:sz="6" w:space="0" w:color="auto"/>
              <w:bottom w:val="single" w:sz="6" w:space="0" w:color="auto"/>
              <w:right w:val="single" w:sz="6" w:space="0" w:color="auto"/>
            </w:tcBorders>
          </w:tcPr>
          <w:p w14:paraId="7D2F1F0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3 521,260</w:t>
            </w:r>
          </w:p>
          <w:p w14:paraId="13C57BDA" w14:textId="77777777" w:rsidR="00B67D7C" w:rsidRPr="00DE096C" w:rsidRDefault="00B67D7C" w:rsidP="00D45A46">
            <w:pPr>
              <w:shd w:val="clear" w:color="auto" w:fill="FFFFFF"/>
              <w:jc w:val="both"/>
              <w:rPr>
                <w:bCs/>
                <w:color w:val="002060"/>
                <w:sz w:val="16"/>
                <w:szCs w:val="16"/>
              </w:rPr>
            </w:pPr>
          </w:p>
        </w:tc>
        <w:tc>
          <w:tcPr>
            <w:tcW w:w="998" w:type="dxa"/>
            <w:tcBorders>
              <w:top w:val="single" w:sz="6" w:space="0" w:color="auto"/>
              <w:left w:val="single" w:sz="6" w:space="0" w:color="auto"/>
              <w:bottom w:val="single" w:sz="6" w:space="0" w:color="auto"/>
              <w:right w:val="single" w:sz="6" w:space="0" w:color="auto"/>
            </w:tcBorders>
          </w:tcPr>
          <w:p w14:paraId="1A2D11D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w:t>
            </w:r>
          </w:p>
          <w:p w14:paraId="4E1349EA" w14:textId="77777777" w:rsidR="00B67D7C" w:rsidRPr="00DE096C" w:rsidRDefault="00B67D7C" w:rsidP="00D45A46">
            <w:pPr>
              <w:shd w:val="clear" w:color="auto" w:fill="FFFFFF"/>
              <w:jc w:val="both"/>
              <w:rPr>
                <w:bCs/>
                <w:color w:val="002060"/>
                <w:sz w:val="16"/>
                <w:szCs w:val="16"/>
              </w:rPr>
            </w:pPr>
          </w:p>
        </w:tc>
        <w:tc>
          <w:tcPr>
            <w:tcW w:w="1114" w:type="dxa"/>
            <w:tcBorders>
              <w:top w:val="single" w:sz="6" w:space="0" w:color="auto"/>
              <w:left w:val="single" w:sz="6" w:space="0" w:color="auto"/>
              <w:bottom w:val="single" w:sz="6" w:space="0" w:color="auto"/>
              <w:right w:val="single" w:sz="12" w:space="0" w:color="auto"/>
            </w:tcBorders>
          </w:tcPr>
          <w:p w14:paraId="55076EC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w:t>
            </w:r>
          </w:p>
          <w:p w14:paraId="19326B51" w14:textId="77777777" w:rsidR="00B67D7C" w:rsidRPr="00DE096C" w:rsidRDefault="00B67D7C" w:rsidP="00D45A46">
            <w:pPr>
              <w:shd w:val="clear" w:color="auto" w:fill="FFFFFF"/>
              <w:jc w:val="both"/>
              <w:rPr>
                <w:bCs/>
                <w:color w:val="002060"/>
                <w:sz w:val="16"/>
                <w:szCs w:val="16"/>
              </w:rPr>
            </w:pPr>
          </w:p>
        </w:tc>
      </w:tr>
      <w:tr w:rsidR="00B67D7C" w:rsidRPr="00DE096C" w14:paraId="4A225913" w14:textId="77777777" w:rsidTr="00C2024A">
        <w:trPr>
          <w:trHeight w:val="365"/>
        </w:trPr>
        <w:tc>
          <w:tcPr>
            <w:tcW w:w="3014" w:type="dxa"/>
            <w:tcBorders>
              <w:top w:val="single" w:sz="6" w:space="0" w:color="auto"/>
              <w:left w:val="single" w:sz="12" w:space="0" w:color="auto"/>
              <w:bottom w:val="single" w:sz="12" w:space="0" w:color="auto"/>
              <w:right w:val="single" w:sz="6" w:space="0" w:color="auto"/>
            </w:tcBorders>
          </w:tcPr>
          <w:p w14:paraId="7C628FF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Детонаторные трубки неснаряженные</w:t>
            </w:r>
          </w:p>
          <w:p w14:paraId="6C3B26B1" w14:textId="77777777" w:rsidR="00B67D7C" w:rsidRPr="00DE096C" w:rsidRDefault="00B67D7C" w:rsidP="00D45A46">
            <w:pPr>
              <w:shd w:val="clear" w:color="auto" w:fill="FFFFFF"/>
              <w:jc w:val="both"/>
              <w:rPr>
                <w:bCs/>
                <w:color w:val="002060"/>
                <w:sz w:val="16"/>
                <w:szCs w:val="16"/>
              </w:rPr>
            </w:pPr>
          </w:p>
        </w:tc>
        <w:tc>
          <w:tcPr>
            <w:tcW w:w="1277" w:type="dxa"/>
            <w:tcBorders>
              <w:top w:val="single" w:sz="6" w:space="0" w:color="auto"/>
              <w:left w:val="single" w:sz="6" w:space="0" w:color="auto"/>
              <w:bottom w:val="single" w:sz="12" w:space="0" w:color="auto"/>
              <w:right w:val="single" w:sz="6" w:space="0" w:color="auto"/>
            </w:tcBorders>
          </w:tcPr>
          <w:p w14:paraId="3448344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4 906,975</w:t>
            </w:r>
          </w:p>
          <w:p w14:paraId="510AA238" w14:textId="77777777" w:rsidR="00B67D7C" w:rsidRPr="00DE096C" w:rsidRDefault="00B67D7C" w:rsidP="00D45A46">
            <w:pPr>
              <w:shd w:val="clear" w:color="auto" w:fill="FFFFFF"/>
              <w:jc w:val="both"/>
              <w:rPr>
                <w:bCs/>
                <w:color w:val="002060"/>
                <w:sz w:val="16"/>
                <w:szCs w:val="16"/>
              </w:rPr>
            </w:pPr>
          </w:p>
        </w:tc>
        <w:tc>
          <w:tcPr>
            <w:tcW w:w="998" w:type="dxa"/>
            <w:tcBorders>
              <w:top w:val="single" w:sz="6" w:space="0" w:color="auto"/>
              <w:left w:val="single" w:sz="6" w:space="0" w:color="auto"/>
              <w:bottom w:val="single" w:sz="12" w:space="0" w:color="auto"/>
              <w:right w:val="single" w:sz="6" w:space="0" w:color="auto"/>
            </w:tcBorders>
          </w:tcPr>
          <w:p w14:paraId="1FFE260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w:t>
            </w:r>
          </w:p>
          <w:p w14:paraId="74065CD1" w14:textId="77777777" w:rsidR="00B67D7C" w:rsidRPr="00DE096C" w:rsidRDefault="00B67D7C" w:rsidP="00D45A46">
            <w:pPr>
              <w:shd w:val="clear" w:color="auto" w:fill="FFFFFF"/>
              <w:jc w:val="both"/>
              <w:rPr>
                <w:bCs/>
                <w:color w:val="002060"/>
                <w:sz w:val="16"/>
                <w:szCs w:val="16"/>
              </w:rPr>
            </w:pPr>
          </w:p>
        </w:tc>
        <w:tc>
          <w:tcPr>
            <w:tcW w:w="1114" w:type="dxa"/>
            <w:tcBorders>
              <w:top w:val="single" w:sz="6" w:space="0" w:color="auto"/>
              <w:left w:val="single" w:sz="6" w:space="0" w:color="auto"/>
              <w:bottom w:val="single" w:sz="12" w:space="0" w:color="auto"/>
              <w:right w:val="single" w:sz="12" w:space="0" w:color="auto"/>
            </w:tcBorders>
          </w:tcPr>
          <w:p w14:paraId="3323C28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w:t>
            </w:r>
          </w:p>
          <w:p w14:paraId="7DEB622D" w14:textId="77777777" w:rsidR="00B67D7C" w:rsidRPr="00DE096C" w:rsidRDefault="00B67D7C" w:rsidP="00D45A46">
            <w:pPr>
              <w:shd w:val="clear" w:color="auto" w:fill="FFFFFF"/>
              <w:jc w:val="both"/>
              <w:rPr>
                <w:bCs/>
                <w:color w:val="002060"/>
                <w:sz w:val="16"/>
                <w:szCs w:val="16"/>
              </w:rPr>
            </w:pPr>
          </w:p>
        </w:tc>
      </w:tr>
    </w:tbl>
    <w:p w14:paraId="22C00A2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Важной заслугой организации С. Н. Ванкова явилось создание производства корпусов 152-мм и 122-мм снарядов из сталистого чугуна [4, с. 310; 9]. Организация разработала и внедрила на 14 заво</w:t>
      </w:r>
      <w:r w:rsidRPr="00DE096C">
        <w:rPr>
          <w:bCs/>
          <w:color w:val="002060"/>
          <w:sz w:val="16"/>
          <w:szCs w:val="16"/>
        </w:rPr>
        <w:softHyphen/>
        <w:t>дах, главным образом южных, новые методы приемки снарядов из сталистого чугуна, отличные от французских.</w:t>
      </w:r>
    </w:p>
    <w:p w14:paraId="3C51D18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Главным в работе организации С. Н. Ванкова, впоследствии вид</w:t>
      </w:r>
      <w:r w:rsidRPr="00DE096C">
        <w:rPr>
          <w:bCs/>
          <w:color w:val="002060"/>
          <w:sz w:val="16"/>
          <w:szCs w:val="16"/>
        </w:rPr>
        <w:softHyphen/>
        <w:t>ного ученого, профессора, начальника Отдела металлов ВСНХ РСФСР, было то, что при всех сложностях военного времени удалось без всякой предварительной подготовки в короткие сроки организо</w:t>
      </w:r>
      <w:r w:rsidRPr="00DE096C">
        <w:rPr>
          <w:bCs/>
          <w:color w:val="002060"/>
          <w:sz w:val="16"/>
          <w:szCs w:val="16"/>
        </w:rPr>
        <w:softHyphen/>
        <w:t>вать согласованную и целенаправленную работу многих сотен пред</w:t>
      </w:r>
      <w:r w:rsidRPr="00DE096C">
        <w:rPr>
          <w:bCs/>
          <w:color w:val="002060"/>
          <w:sz w:val="16"/>
          <w:szCs w:val="16"/>
        </w:rPr>
        <w:softHyphen/>
        <w:t>приятий. Дело было начато в феврале 1915 г. В апреле организации С. Н. Ванкова были даны первые заказы. Производство корпусов на</w:t>
      </w:r>
      <w:r w:rsidRPr="00DE096C">
        <w:rPr>
          <w:bCs/>
          <w:color w:val="002060"/>
          <w:sz w:val="16"/>
          <w:szCs w:val="16"/>
        </w:rPr>
        <w:softHyphen/>
        <w:t>чали через 9 месяцев — в октябре 1915г. Снаряжение началось в ян-</w:t>
      </w:r>
    </w:p>
    <w:p w14:paraId="29E1238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1.10. Итоги работы русских заводов по изготовлению снарядов во время первой мировой войны [5, с. 198|</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498"/>
        <w:gridCol w:w="720"/>
        <w:gridCol w:w="960"/>
        <w:gridCol w:w="1066"/>
        <w:gridCol w:w="1018"/>
        <w:gridCol w:w="1142"/>
      </w:tblGrid>
      <w:tr w:rsidR="00B67D7C" w:rsidRPr="00DE096C" w14:paraId="6F3C1D75" w14:textId="77777777" w:rsidTr="00C2024A">
        <w:trPr>
          <w:trHeight w:val="355"/>
        </w:trPr>
        <w:tc>
          <w:tcPr>
            <w:tcW w:w="1498" w:type="dxa"/>
          </w:tcPr>
          <w:p w14:paraId="3D1DD8C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Название снарядов</w:t>
            </w:r>
          </w:p>
          <w:p w14:paraId="3D12FEA0" w14:textId="77777777" w:rsidR="00B67D7C" w:rsidRPr="00DE096C" w:rsidRDefault="00B67D7C" w:rsidP="00D45A46">
            <w:pPr>
              <w:shd w:val="clear" w:color="auto" w:fill="FFFFFF"/>
              <w:jc w:val="both"/>
              <w:rPr>
                <w:bCs/>
                <w:color w:val="002060"/>
                <w:sz w:val="16"/>
                <w:szCs w:val="16"/>
              </w:rPr>
            </w:pPr>
          </w:p>
        </w:tc>
        <w:tc>
          <w:tcPr>
            <w:tcW w:w="720" w:type="dxa"/>
          </w:tcPr>
          <w:p w14:paraId="1CBF04E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1914</w:t>
            </w:r>
          </w:p>
          <w:p w14:paraId="672C2EBE" w14:textId="77777777" w:rsidR="00B67D7C" w:rsidRPr="00DE096C" w:rsidRDefault="00B67D7C" w:rsidP="00D45A46">
            <w:pPr>
              <w:shd w:val="clear" w:color="auto" w:fill="FFFFFF"/>
              <w:jc w:val="both"/>
              <w:rPr>
                <w:bCs/>
                <w:color w:val="002060"/>
                <w:sz w:val="16"/>
                <w:szCs w:val="16"/>
              </w:rPr>
            </w:pPr>
          </w:p>
        </w:tc>
        <w:tc>
          <w:tcPr>
            <w:tcW w:w="960" w:type="dxa"/>
          </w:tcPr>
          <w:p w14:paraId="250A0F8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1915</w:t>
            </w:r>
          </w:p>
          <w:p w14:paraId="0E02AC73" w14:textId="77777777" w:rsidR="00B67D7C" w:rsidRPr="00DE096C" w:rsidRDefault="00B67D7C" w:rsidP="00D45A46">
            <w:pPr>
              <w:shd w:val="clear" w:color="auto" w:fill="FFFFFF"/>
              <w:jc w:val="both"/>
              <w:rPr>
                <w:bCs/>
                <w:color w:val="002060"/>
                <w:sz w:val="16"/>
                <w:szCs w:val="16"/>
              </w:rPr>
            </w:pPr>
          </w:p>
        </w:tc>
        <w:tc>
          <w:tcPr>
            <w:tcW w:w="1066" w:type="dxa"/>
          </w:tcPr>
          <w:p w14:paraId="179E7BA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1916</w:t>
            </w:r>
          </w:p>
          <w:p w14:paraId="35FAF1F7" w14:textId="77777777" w:rsidR="00B67D7C" w:rsidRPr="00DE096C" w:rsidRDefault="00B67D7C" w:rsidP="00D45A46">
            <w:pPr>
              <w:shd w:val="clear" w:color="auto" w:fill="FFFFFF"/>
              <w:jc w:val="both"/>
              <w:rPr>
                <w:bCs/>
                <w:color w:val="002060"/>
                <w:sz w:val="16"/>
                <w:szCs w:val="16"/>
              </w:rPr>
            </w:pPr>
          </w:p>
        </w:tc>
        <w:tc>
          <w:tcPr>
            <w:tcW w:w="1018" w:type="dxa"/>
          </w:tcPr>
          <w:p w14:paraId="772155F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1917</w:t>
            </w:r>
          </w:p>
          <w:p w14:paraId="54EBB846" w14:textId="77777777" w:rsidR="00B67D7C" w:rsidRPr="00DE096C" w:rsidRDefault="00B67D7C" w:rsidP="00D45A46">
            <w:pPr>
              <w:shd w:val="clear" w:color="auto" w:fill="FFFFFF"/>
              <w:jc w:val="both"/>
              <w:rPr>
                <w:bCs/>
                <w:color w:val="002060"/>
                <w:sz w:val="16"/>
                <w:szCs w:val="16"/>
              </w:rPr>
            </w:pPr>
          </w:p>
        </w:tc>
        <w:tc>
          <w:tcPr>
            <w:tcW w:w="1142" w:type="dxa"/>
          </w:tcPr>
          <w:p w14:paraId="720943A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Всего</w:t>
            </w:r>
          </w:p>
          <w:p w14:paraId="6875188F" w14:textId="77777777" w:rsidR="00B67D7C" w:rsidRPr="00DE096C" w:rsidRDefault="00B67D7C" w:rsidP="00D45A46">
            <w:pPr>
              <w:shd w:val="clear" w:color="auto" w:fill="FFFFFF"/>
              <w:jc w:val="both"/>
              <w:rPr>
                <w:bCs/>
                <w:color w:val="002060"/>
                <w:sz w:val="16"/>
                <w:szCs w:val="16"/>
              </w:rPr>
            </w:pPr>
          </w:p>
        </w:tc>
      </w:tr>
      <w:tr w:rsidR="00B67D7C" w:rsidRPr="00DE096C" w14:paraId="51B925AB" w14:textId="77777777" w:rsidTr="00C2024A">
        <w:trPr>
          <w:trHeight w:val="605"/>
        </w:trPr>
        <w:tc>
          <w:tcPr>
            <w:tcW w:w="1498" w:type="dxa"/>
          </w:tcPr>
          <w:p w14:paraId="704306D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76-мм шрапнели 76-мм гранаты Всего 76-мм</w:t>
            </w:r>
          </w:p>
          <w:p w14:paraId="566A5154" w14:textId="77777777" w:rsidR="00B67D7C" w:rsidRPr="00DE096C" w:rsidRDefault="00B67D7C" w:rsidP="00D45A46">
            <w:pPr>
              <w:shd w:val="clear" w:color="auto" w:fill="FFFFFF"/>
              <w:jc w:val="both"/>
              <w:rPr>
                <w:bCs/>
                <w:color w:val="002060"/>
                <w:sz w:val="16"/>
                <w:szCs w:val="16"/>
              </w:rPr>
            </w:pPr>
          </w:p>
        </w:tc>
        <w:tc>
          <w:tcPr>
            <w:tcW w:w="720" w:type="dxa"/>
          </w:tcPr>
          <w:p w14:paraId="47BEDAA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78 800 78800</w:t>
            </w:r>
          </w:p>
          <w:p w14:paraId="7FD74262" w14:textId="77777777" w:rsidR="00B67D7C" w:rsidRPr="00DE096C" w:rsidRDefault="00B67D7C" w:rsidP="00D45A46">
            <w:pPr>
              <w:shd w:val="clear" w:color="auto" w:fill="FFFFFF"/>
              <w:jc w:val="both"/>
              <w:rPr>
                <w:bCs/>
                <w:color w:val="002060"/>
                <w:sz w:val="16"/>
                <w:szCs w:val="16"/>
              </w:rPr>
            </w:pPr>
          </w:p>
        </w:tc>
        <w:tc>
          <w:tcPr>
            <w:tcW w:w="960" w:type="dxa"/>
          </w:tcPr>
          <w:p w14:paraId="001AA44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6 807 300 2018500 8 825 800</w:t>
            </w:r>
          </w:p>
          <w:p w14:paraId="191C5F28" w14:textId="77777777" w:rsidR="00B67D7C" w:rsidRPr="00DE096C" w:rsidRDefault="00B67D7C" w:rsidP="00D45A46">
            <w:pPr>
              <w:shd w:val="clear" w:color="auto" w:fill="FFFFFF"/>
              <w:jc w:val="both"/>
              <w:rPr>
                <w:bCs/>
                <w:color w:val="002060"/>
                <w:sz w:val="16"/>
                <w:szCs w:val="16"/>
              </w:rPr>
            </w:pPr>
          </w:p>
        </w:tc>
        <w:tc>
          <w:tcPr>
            <w:tcW w:w="1066" w:type="dxa"/>
          </w:tcPr>
          <w:p w14:paraId="707B399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1 1 377 200 15521 800 26 899 000</w:t>
            </w:r>
          </w:p>
          <w:p w14:paraId="425CC5E1" w14:textId="77777777" w:rsidR="00B67D7C" w:rsidRPr="00DE096C" w:rsidRDefault="00B67D7C" w:rsidP="00D45A46">
            <w:pPr>
              <w:shd w:val="clear" w:color="auto" w:fill="FFFFFF"/>
              <w:jc w:val="both"/>
              <w:rPr>
                <w:bCs/>
                <w:color w:val="002060"/>
                <w:sz w:val="16"/>
                <w:szCs w:val="16"/>
              </w:rPr>
            </w:pPr>
          </w:p>
        </w:tc>
        <w:tc>
          <w:tcPr>
            <w:tcW w:w="1018" w:type="dxa"/>
          </w:tcPr>
          <w:p w14:paraId="7C200FF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7 217 500 10 504 300 17 721 800</w:t>
            </w:r>
          </w:p>
          <w:p w14:paraId="75127982" w14:textId="77777777" w:rsidR="00B67D7C" w:rsidRPr="00DE096C" w:rsidRDefault="00B67D7C" w:rsidP="00D45A46">
            <w:pPr>
              <w:shd w:val="clear" w:color="auto" w:fill="FFFFFF"/>
              <w:jc w:val="both"/>
              <w:rPr>
                <w:bCs/>
                <w:color w:val="002060"/>
                <w:sz w:val="16"/>
                <w:szCs w:val="16"/>
              </w:rPr>
            </w:pPr>
          </w:p>
        </w:tc>
        <w:tc>
          <w:tcPr>
            <w:tcW w:w="1142" w:type="dxa"/>
          </w:tcPr>
          <w:p w14:paraId="60CC625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25 480 800 28 044 600 53 525 400</w:t>
            </w:r>
          </w:p>
          <w:p w14:paraId="1BE59606" w14:textId="77777777" w:rsidR="00B67D7C" w:rsidRPr="00DE096C" w:rsidRDefault="00B67D7C" w:rsidP="00D45A46">
            <w:pPr>
              <w:shd w:val="clear" w:color="auto" w:fill="FFFFFF"/>
              <w:jc w:val="both"/>
              <w:rPr>
                <w:bCs/>
                <w:color w:val="002060"/>
                <w:sz w:val="16"/>
                <w:szCs w:val="16"/>
              </w:rPr>
            </w:pPr>
          </w:p>
        </w:tc>
      </w:tr>
      <w:tr w:rsidR="00B67D7C" w:rsidRPr="00DE096C" w14:paraId="318796F4" w14:textId="77777777" w:rsidTr="00C2024A">
        <w:trPr>
          <w:trHeight w:val="355"/>
        </w:trPr>
        <w:tc>
          <w:tcPr>
            <w:tcW w:w="1498" w:type="dxa"/>
          </w:tcPr>
          <w:p w14:paraId="46E6E18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снарядов 122-мм гранаты и</w:t>
            </w:r>
          </w:p>
          <w:p w14:paraId="22668156" w14:textId="77777777" w:rsidR="00B67D7C" w:rsidRPr="00DE096C" w:rsidRDefault="00B67D7C" w:rsidP="00D45A46">
            <w:pPr>
              <w:shd w:val="clear" w:color="auto" w:fill="FFFFFF"/>
              <w:jc w:val="both"/>
              <w:rPr>
                <w:bCs/>
                <w:color w:val="002060"/>
                <w:sz w:val="16"/>
                <w:szCs w:val="16"/>
              </w:rPr>
            </w:pPr>
          </w:p>
        </w:tc>
        <w:tc>
          <w:tcPr>
            <w:tcW w:w="720" w:type="dxa"/>
          </w:tcPr>
          <w:p w14:paraId="517C87C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24000</w:t>
            </w:r>
          </w:p>
          <w:p w14:paraId="317288DC" w14:textId="77777777" w:rsidR="00B67D7C" w:rsidRPr="00DE096C" w:rsidRDefault="00B67D7C" w:rsidP="00D45A46">
            <w:pPr>
              <w:shd w:val="clear" w:color="auto" w:fill="FFFFFF"/>
              <w:jc w:val="both"/>
              <w:rPr>
                <w:bCs/>
                <w:color w:val="002060"/>
                <w:sz w:val="16"/>
                <w:szCs w:val="16"/>
              </w:rPr>
            </w:pPr>
          </w:p>
        </w:tc>
        <w:tc>
          <w:tcPr>
            <w:tcW w:w="960" w:type="dxa"/>
          </w:tcPr>
          <w:p w14:paraId="11F91B0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358 938</w:t>
            </w:r>
          </w:p>
          <w:p w14:paraId="1C8F348A" w14:textId="77777777" w:rsidR="00B67D7C" w:rsidRPr="00DE096C" w:rsidRDefault="00B67D7C" w:rsidP="00D45A46">
            <w:pPr>
              <w:shd w:val="clear" w:color="auto" w:fill="FFFFFF"/>
              <w:jc w:val="both"/>
              <w:rPr>
                <w:bCs/>
                <w:color w:val="002060"/>
                <w:sz w:val="16"/>
                <w:szCs w:val="16"/>
              </w:rPr>
            </w:pPr>
          </w:p>
        </w:tc>
        <w:tc>
          <w:tcPr>
            <w:tcW w:w="1066" w:type="dxa"/>
          </w:tcPr>
          <w:p w14:paraId="3CDF46C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2212512</w:t>
            </w:r>
          </w:p>
          <w:p w14:paraId="5CAC4146" w14:textId="77777777" w:rsidR="00B67D7C" w:rsidRPr="00DE096C" w:rsidRDefault="00B67D7C" w:rsidP="00D45A46">
            <w:pPr>
              <w:shd w:val="clear" w:color="auto" w:fill="FFFFFF"/>
              <w:jc w:val="both"/>
              <w:rPr>
                <w:bCs/>
                <w:color w:val="002060"/>
                <w:sz w:val="16"/>
                <w:szCs w:val="16"/>
              </w:rPr>
            </w:pPr>
          </w:p>
        </w:tc>
        <w:tc>
          <w:tcPr>
            <w:tcW w:w="1018" w:type="dxa"/>
          </w:tcPr>
          <w:p w14:paraId="5750FE9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3 238 404</w:t>
            </w:r>
          </w:p>
          <w:p w14:paraId="59447AE4" w14:textId="77777777" w:rsidR="00B67D7C" w:rsidRPr="00DE096C" w:rsidRDefault="00B67D7C" w:rsidP="00D45A46">
            <w:pPr>
              <w:shd w:val="clear" w:color="auto" w:fill="FFFFFF"/>
              <w:jc w:val="both"/>
              <w:rPr>
                <w:bCs/>
                <w:color w:val="002060"/>
                <w:sz w:val="16"/>
                <w:szCs w:val="16"/>
              </w:rPr>
            </w:pPr>
          </w:p>
        </w:tc>
        <w:tc>
          <w:tcPr>
            <w:tcW w:w="1142" w:type="dxa"/>
          </w:tcPr>
          <w:p w14:paraId="332B5CF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5 833 854</w:t>
            </w:r>
          </w:p>
          <w:p w14:paraId="219A24EF" w14:textId="77777777" w:rsidR="00B67D7C" w:rsidRPr="00DE096C" w:rsidRDefault="00B67D7C" w:rsidP="00D45A46">
            <w:pPr>
              <w:shd w:val="clear" w:color="auto" w:fill="FFFFFF"/>
              <w:jc w:val="both"/>
              <w:rPr>
                <w:bCs/>
                <w:color w:val="002060"/>
                <w:sz w:val="16"/>
                <w:szCs w:val="16"/>
              </w:rPr>
            </w:pPr>
          </w:p>
        </w:tc>
      </w:tr>
      <w:tr w:rsidR="00B67D7C" w:rsidRPr="00DE096C" w14:paraId="1BD36AEE" w14:textId="77777777" w:rsidTr="00C2024A">
        <w:trPr>
          <w:trHeight w:val="346"/>
        </w:trPr>
        <w:tc>
          <w:tcPr>
            <w:tcW w:w="1498" w:type="dxa"/>
          </w:tcPr>
          <w:p w14:paraId="39B6D5F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шрапнели 107-мм гранаты и</w:t>
            </w:r>
          </w:p>
          <w:p w14:paraId="363B884D" w14:textId="77777777" w:rsidR="00B67D7C" w:rsidRPr="00DE096C" w:rsidRDefault="00B67D7C" w:rsidP="00D45A46">
            <w:pPr>
              <w:shd w:val="clear" w:color="auto" w:fill="FFFFFF"/>
              <w:jc w:val="both"/>
              <w:rPr>
                <w:bCs/>
                <w:color w:val="002060"/>
                <w:sz w:val="16"/>
                <w:szCs w:val="16"/>
              </w:rPr>
            </w:pPr>
          </w:p>
        </w:tc>
        <w:tc>
          <w:tcPr>
            <w:tcW w:w="720" w:type="dxa"/>
          </w:tcPr>
          <w:p w14:paraId="24E8B97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_</w:t>
            </w:r>
          </w:p>
          <w:p w14:paraId="0F1F7BEC" w14:textId="77777777" w:rsidR="00B67D7C" w:rsidRPr="00DE096C" w:rsidRDefault="00B67D7C" w:rsidP="00D45A46">
            <w:pPr>
              <w:shd w:val="clear" w:color="auto" w:fill="FFFFFF"/>
              <w:jc w:val="both"/>
              <w:rPr>
                <w:bCs/>
                <w:color w:val="002060"/>
                <w:sz w:val="16"/>
                <w:szCs w:val="16"/>
              </w:rPr>
            </w:pPr>
          </w:p>
        </w:tc>
        <w:tc>
          <w:tcPr>
            <w:tcW w:w="960" w:type="dxa"/>
          </w:tcPr>
          <w:p w14:paraId="45E1CBF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243 589</w:t>
            </w:r>
          </w:p>
          <w:p w14:paraId="025AF4FD" w14:textId="77777777" w:rsidR="00B67D7C" w:rsidRPr="00DE096C" w:rsidRDefault="00B67D7C" w:rsidP="00D45A46">
            <w:pPr>
              <w:shd w:val="clear" w:color="auto" w:fill="FFFFFF"/>
              <w:jc w:val="both"/>
              <w:rPr>
                <w:bCs/>
                <w:color w:val="002060"/>
                <w:sz w:val="16"/>
                <w:szCs w:val="16"/>
              </w:rPr>
            </w:pPr>
          </w:p>
        </w:tc>
        <w:tc>
          <w:tcPr>
            <w:tcW w:w="1066" w:type="dxa"/>
          </w:tcPr>
          <w:p w14:paraId="7675461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720812</w:t>
            </w:r>
          </w:p>
          <w:p w14:paraId="0C0F5C7F" w14:textId="77777777" w:rsidR="00B67D7C" w:rsidRPr="00DE096C" w:rsidRDefault="00B67D7C" w:rsidP="00D45A46">
            <w:pPr>
              <w:shd w:val="clear" w:color="auto" w:fill="FFFFFF"/>
              <w:jc w:val="both"/>
              <w:rPr>
                <w:bCs/>
                <w:color w:val="002060"/>
                <w:sz w:val="16"/>
                <w:szCs w:val="16"/>
              </w:rPr>
            </w:pPr>
          </w:p>
        </w:tc>
        <w:tc>
          <w:tcPr>
            <w:tcW w:w="1018" w:type="dxa"/>
          </w:tcPr>
          <w:p w14:paraId="445C20B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759 487</w:t>
            </w:r>
          </w:p>
          <w:p w14:paraId="1D600F9B" w14:textId="77777777" w:rsidR="00B67D7C" w:rsidRPr="00DE096C" w:rsidRDefault="00B67D7C" w:rsidP="00D45A46">
            <w:pPr>
              <w:shd w:val="clear" w:color="auto" w:fill="FFFFFF"/>
              <w:jc w:val="both"/>
              <w:rPr>
                <w:bCs/>
                <w:color w:val="002060"/>
                <w:sz w:val="16"/>
                <w:szCs w:val="16"/>
              </w:rPr>
            </w:pPr>
          </w:p>
        </w:tc>
        <w:tc>
          <w:tcPr>
            <w:tcW w:w="1142" w:type="dxa"/>
          </w:tcPr>
          <w:p w14:paraId="0943823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1 723 888</w:t>
            </w:r>
          </w:p>
          <w:p w14:paraId="7DE6D702" w14:textId="77777777" w:rsidR="00B67D7C" w:rsidRPr="00DE096C" w:rsidRDefault="00B67D7C" w:rsidP="00D45A46">
            <w:pPr>
              <w:shd w:val="clear" w:color="auto" w:fill="FFFFFF"/>
              <w:jc w:val="both"/>
              <w:rPr>
                <w:bCs/>
                <w:color w:val="002060"/>
                <w:sz w:val="16"/>
                <w:szCs w:val="16"/>
              </w:rPr>
            </w:pPr>
          </w:p>
        </w:tc>
      </w:tr>
      <w:tr w:rsidR="00B67D7C" w:rsidRPr="00DE096C" w14:paraId="6AEB999A" w14:textId="77777777" w:rsidTr="00C2024A">
        <w:trPr>
          <w:trHeight w:val="1190"/>
        </w:trPr>
        <w:tc>
          <w:tcPr>
            <w:tcW w:w="1498" w:type="dxa"/>
          </w:tcPr>
          <w:p w14:paraId="18B9E20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шрапнели 152-мм гранаты 203-мм фанаты 254-мм гранаты 280-мм гранаты 305-мм гранаты</w:t>
            </w:r>
          </w:p>
          <w:p w14:paraId="2E21483D" w14:textId="77777777" w:rsidR="00B67D7C" w:rsidRPr="00DE096C" w:rsidRDefault="00B67D7C" w:rsidP="00D45A46">
            <w:pPr>
              <w:shd w:val="clear" w:color="auto" w:fill="FFFFFF"/>
              <w:jc w:val="both"/>
              <w:rPr>
                <w:bCs/>
                <w:color w:val="002060"/>
                <w:sz w:val="16"/>
                <w:szCs w:val="16"/>
              </w:rPr>
            </w:pPr>
          </w:p>
        </w:tc>
        <w:tc>
          <w:tcPr>
            <w:tcW w:w="720" w:type="dxa"/>
          </w:tcPr>
          <w:p w14:paraId="4DDD254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2100</w:t>
            </w:r>
          </w:p>
          <w:p w14:paraId="37EAE0F7" w14:textId="77777777" w:rsidR="00B67D7C" w:rsidRPr="00DE096C" w:rsidRDefault="00B67D7C" w:rsidP="00D45A46">
            <w:pPr>
              <w:shd w:val="clear" w:color="auto" w:fill="FFFFFF"/>
              <w:jc w:val="both"/>
              <w:rPr>
                <w:bCs/>
                <w:color w:val="002060"/>
                <w:sz w:val="16"/>
                <w:szCs w:val="16"/>
              </w:rPr>
            </w:pPr>
          </w:p>
        </w:tc>
        <w:tc>
          <w:tcPr>
            <w:tcW w:w="960" w:type="dxa"/>
          </w:tcPr>
          <w:p w14:paraId="48C53FF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131 724</w:t>
            </w:r>
          </w:p>
          <w:p w14:paraId="5233D79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0 237 1 600</w:t>
            </w:r>
          </w:p>
          <w:p w14:paraId="29E1EB02" w14:textId="77777777" w:rsidR="00B67D7C" w:rsidRPr="00DE096C" w:rsidRDefault="00B67D7C" w:rsidP="00D45A46">
            <w:pPr>
              <w:shd w:val="clear" w:color="auto" w:fill="FFFFFF"/>
              <w:jc w:val="both"/>
              <w:rPr>
                <w:bCs/>
                <w:color w:val="002060"/>
                <w:sz w:val="16"/>
                <w:szCs w:val="16"/>
              </w:rPr>
            </w:pPr>
          </w:p>
        </w:tc>
        <w:tc>
          <w:tcPr>
            <w:tcW w:w="1066" w:type="dxa"/>
          </w:tcPr>
          <w:p w14:paraId="5B0185F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1 130433</w:t>
            </w:r>
          </w:p>
          <w:p w14:paraId="647C3CB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8590 3 331</w:t>
            </w:r>
          </w:p>
          <w:p w14:paraId="0D318A2E" w14:textId="77777777" w:rsidR="00B67D7C" w:rsidRPr="00DE096C" w:rsidRDefault="00B67D7C" w:rsidP="00D45A46">
            <w:pPr>
              <w:shd w:val="clear" w:color="auto" w:fill="FFFFFF"/>
              <w:jc w:val="both"/>
              <w:rPr>
                <w:bCs/>
                <w:color w:val="002060"/>
                <w:sz w:val="16"/>
                <w:szCs w:val="16"/>
              </w:rPr>
            </w:pPr>
          </w:p>
        </w:tc>
        <w:tc>
          <w:tcPr>
            <w:tcW w:w="1018" w:type="dxa"/>
          </w:tcPr>
          <w:p w14:paraId="408EB07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2676 164 3535 270 6520</w:t>
            </w:r>
          </w:p>
          <w:p w14:paraId="3D13E5E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7372</w:t>
            </w:r>
          </w:p>
          <w:p w14:paraId="3F6866C7" w14:textId="77777777" w:rsidR="00B67D7C" w:rsidRPr="00DE096C" w:rsidRDefault="00B67D7C" w:rsidP="00D45A46">
            <w:pPr>
              <w:shd w:val="clear" w:color="auto" w:fill="FFFFFF"/>
              <w:jc w:val="both"/>
              <w:rPr>
                <w:bCs/>
                <w:color w:val="002060"/>
                <w:sz w:val="16"/>
                <w:szCs w:val="16"/>
              </w:rPr>
            </w:pPr>
          </w:p>
        </w:tc>
        <w:tc>
          <w:tcPr>
            <w:tcW w:w="1142" w:type="dxa"/>
          </w:tcPr>
          <w:p w14:paraId="233BA42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3 938 321 3535 270 23447 12 303</w:t>
            </w:r>
          </w:p>
          <w:p w14:paraId="421641EB" w14:textId="77777777" w:rsidR="00B67D7C" w:rsidRPr="00DE096C" w:rsidRDefault="00B67D7C" w:rsidP="00D45A46">
            <w:pPr>
              <w:shd w:val="clear" w:color="auto" w:fill="FFFFFF"/>
              <w:jc w:val="both"/>
              <w:rPr>
                <w:bCs/>
                <w:color w:val="002060"/>
                <w:sz w:val="16"/>
                <w:szCs w:val="16"/>
              </w:rPr>
            </w:pPr>
          </w:p>
        </w:tc>
      </w:tr>
      <w:tr w:rsidR="00B67D7C" w:rsidRPr="00DE096C" w14:paraId="60C916E0" w14:textId="77777777" w:rsidTr="00C2024A">
        <w:trPr>
          <w:trHeight w:val="442"/>
        </w:trPr>
        <w:tc>
          <w:tcPr>
            <w:tcW w:w="1498" w:type="dxa"/>
          </w:tcPr>
          <w:p w14:paraId="6B70A2D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Всего</w:t>
            </w:r>
          </w:p>
          <w:p w14:paraId="5B24736A" w14:textId="77777777" w:rsidR="00B67D7C" w:rsidRPr="00DE096C" w:rsidRDefault="00B67D7C" w:rsidP="00D45A46">
            <w:pPr>
              <w:shd w:val="clear" w:color="auto" w:fill="FFFFFF"/>
              <w:jc w:val="both"/>
              <w:rPr>
                <w:bCs/>
                <w:color w:val="002060"/>
                <w:sz w:val="16"/>
                <w:szCs w:val="16"/>
              </w:rPr>
            </w:pPr>
          </w:p>
        </w:tc>
        <w:tc>
          <w:tcPr>
            <w:tcW w:w="720" w:type="dxa"/>
          </w:tcPr>
          <w:p w14:paraId="206C8AD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104 900</w:t>
            </w:r>
          </w:p>
          <w:p w14:paraId="7F173211" w14:textId="77777777" w:rsidR="00B67D7C" w:rsidRPr="00DE096C" w:rsidRDefault="00B67D7C" w:rsidP="00D45A46">
            <w:pPr>
              <w:shd w:val="clear" w:color="auto" w:fill="FFFFFF"/>
              <w:jc w:val="both"/>
              <w:rPr>
                <w:bCs/>
                <w:color w:val="002060"/>
                <w:sz w:val="16"/>
                <w:szCs w:val="16"/>
              </w:rPr>
            </w:pPr>
          </w:p>
        </w:tc>
        <w:tc>
          <w:tcPr>
            <w:tcW w:w="960" w:type="dxa"/>
          </w:tcPr>
          <w:p w14:paraId="37E8BFD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9 567 888</w:t>
            </w:r>
          </w:p>
          <w:p w14:paraId="7713A8B0" w14:textId="77777777" w:rsidR="00B67D7C" w:rsidRPr="00DE096C" w:rsidRDefault="00B67D7C" w:rsidP="00D45A46">
            <w:pPr>
              <w:shd w:val="clear" w:color="auto" w:fill="FFFFFF"/>
              <w:jc w:val="both"/>
              <w:rPr>
                <w:bCs/>
                <w:color w:val="002060"/>
                <w:sz w:val="16"/>
                <w:szCs w:val="16"/>
              </w:rPr>
            </w:pPr>
          </w:p>
        </w:tc>
        <w:tc>
          <w:tcPr>
            <w:tcW w:w="1066" w:type="dxa"/>
          </w:tcPr>
          <w:p w14:paraId="483B5A2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30 974 678</w:t>
            </w:r>
          </w:p>
          <w:p w14:paraId="27FD76F0" w14:textId="77777777" w:rsidR="00B67D7C" w:rsidRPr="00DE096C" w:rsidRDefault="00B67D7C" w:rsidP="00D45A46">
            <w:pPr>
              <w:shd w:val="clear" w:color="auto" w:fill="FFFFFF"/>
              <w:jc w:val="both"/>
              <w:rPr>
                <w:bCs/>
                <w:color w:val="002060"/>
                <w:sz w:val="16"/>
                <w:szCs w:val="16"/>
              </w:rPr>
            </w:pPr>
          </w:p>
        </w:tc>
        <w:tc>
          <w:tcPr>
            <w:tcW w:w="1018" w:type="dxa"/>
          </w:tcPr>
          <w:p w14:paraId="41C88B9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24 413 552</w:t>
            </w:r>
          </w:p>
          <w:p w14:paraId="459FCE63" w14:textId="77777777" w:rsidR="00B67D7C" w:rsidRPr="00DE096C" w:rsidRDefault="00B67D7C" w:rsidP="00D45A46">
            <w:pPr>
              <w:shd w:val="clear" w:color="auto" w:fill="FFFFFF"/>
              <w:jc w:val="both"/>
              <w:rPr>
                <w:bCs/>
                <w:color w:val="002060"/>
                <w:sz w:val="16"/>
                <w:szCs w:val="16"/>
              </w:rPr>
            </w:pPr>
          </w:p>
        </w:tc>
        <w:tc>
          <w:tcPr>
            <w:tcW w:w="1142" w:type="dxa"/>
          </w:tcPr>
          <w:p w14:paraId="1EBD7E1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65061 018</w:t>
            </w:r>
          </w:p>
          <w:p w14:paraId="669AEED4" w14:textId="77777777" w:rsidR="00B67D7C" w:rsidRPr="00DE096C" w:rsidRDefault="00B67D7C" w:rsidP="00D45A46">
            <w:pPr>
              <w:shd w:val="clear" w:color="auto" w:fill="FFFFFF"/>
              <w:jc w:val="both"/>
              <w:rPr>
                <w:bCs/>
                <w:color w:val="002060"/>
                <w:sz w:val="16"/>
                <w:szCs w:val="16"/>
              </w:rPr>
            </w:pPr>
          </w:p>
        </w:tc>
      </w:tr>
    </w:tbl>
    <w:p w14:paraId="1D7F83B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варе 1916 г., т. е. через 11 месяцев. Максимальной интенсивности производство достигло в декабре 1916 г.</w:t>
      </w:r>
    </w:p>
    <w:p w14:paraId="3FEDC6D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Организация генерала С. Н. Ванкова сыграла огромную роль в снабжении русской армии боеприпасами в первую мировую войну [5, с. 130, 198].</w:t>
      </w:r>
    </w:p>
    <w:p w14:paraId="1FF3315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Всего казенные и частные заводы изготовили для нужд армии 65061018 снарядов, из них 76-мм — 53 525 400 (табл. 1.10) [5, с. 198] (5484).</w:t>
      </w:r>
    </w:p>
    <w:p w14:paraId="4FB92974" w14:textId="77777777" w:rsidR="00B67D7C" w:rsidRPr="00DE096C" w:rsidRDefault="00B67D7C" w:rsidP="00D45A46">
      <w:pPr>
        <w:jc w:val="both"/>
        <w:rPr>
          <w:bCs/>
          <w:i/>
          <w:color w:val="002060"/>
          <w:sz w:val="16"/>
          <w:szCs w:val="16"/>
        </w:rPr>
      </w:pPr>
    </w:p>
    <w:p w14:paraId="0D78263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lastRenderedPageBreak/>
        <w:t>Производство орудийныхгильз на Тульском патронном заводе было начато перед русско-японской войной 1904—1905 гг. Для пушечно-гильзового производства на Тульском патронном заводе в 1904 г. было построено специальное здание. Производство было обо</w:t>
      </w:r>
      <w:r w:rsidRPr="00DE096C">
        <w:rPr>
          <w:bCs/>
          <w:color w:val="002060"/>
          <w:sz w:val="16"/>
          <w:szCs w:val="16"/>
        </w:rPr>
        <w:softHyphen/>
        <w:t>рудовано на выпуск 3 млн трехдюймовых гильз в год.</w:t>
      </w:r>
    </w:p>
    <w:p w14:paraId="555F45C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1904 г. завод выпустил 1,5 млн гильз, в том числе 0,48 млн 76-мм полевых, 0,205 млн 47-мм морских и 0,815 млн — 37-, 47-, 75-, 152-мм гаубичных, -152-мм морских. В 1905 г. было произведено 0,85 млн гильз, в том числе 0,544 млн 76-мм полевых, а остальные — те же, что и в 1904 г. Выпуск 1906 г. составил 0,94 млн гильз, из них 0,619 млн 76-мм полевых.</w:t>
      </w:r>
    </w:p>
    <w:p w14:paraId="4305B54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После русско-японской войны заказы на пушечные гильзы (как и на винтовочные патроны) были резко сокращены и при годовой мощности заводов 3 млн гильз составили в 1907 и в 1908 гг. по 0,25 млн, а в 1909 г. всего 12,5 тыс. гильз.</w:t>
      </w:r>
    </w:p>
    <w:p w14:paraId="4D08E6B2" w14:textId="77777777" w:rsidR="00B67D7C" w:rsidRPr="00DE096C" w:rsidRDefault="00B67D7C" w:rsidP="00D45A46">
      <w:pPr>
        <w:jc w:val="both"/>
        <w:rPr>
          <w:bCs/>
          <w:color w:val="002060"/>
          <w:sz w:val="16"/>
          <w:szCs w:val="16"/>
        </w:rPr>
      </w:pPr>
      <w:r w:rsidRPr="00DE096C">
        <w:rPr>
          <w:bCs/>
          <w:color w:val="002060"/>
          <w:sz w:val="16"/>
          <w:szCs w:val="16"/>
        </w:rPr>
        <w:t>Данные о выпуске гильз Тульским патронным заводом в годы первой мировой войны приведены в табл. 1.18.</w:t>
      </w:r>
    </w:p>
    <w:p w14:paraId="69871C7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1.18. Данные о выпуске орудийных гильз Тульским патронным заводом в 1914—1917 гг.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210"/>
        <w:gridCol w:w="1565"/>
        <w:gridCol w:w="1594"/>
      </w:tblGrid>
      <w:tr w:rsidR="00B67D7C" w:rsidRPr="00DE096C" w14:paraId="35F71C35" w14:textId="77777777" w:rsidTr="00C2024A">
        <w:trPr>
          <w:trHeight w:val="355"/>
        </w:trPr>
        <w:tc>
          <w:tcPr>
            <w:tcW w:w="1210" w:type="dxa"/>
          </w:tcPr>
          <w:p w14:paraId="7F5B1CD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Год</w:t>
            </w:r>
          </w:p>
          <w:p w14:paraId="656DBB91" w14:textId="77777777" w:rsidR="00B67D7C" w:rsidRPr="00DE096C" w:rsidRDefault="00B67D7C" w:rsidP="00D45A46">
            <w:pPr>
              <w:shd w:val="clear" w:color="auto" w:fill="FFFFFF"/>
              <w:jc w:val="both"/>
              <w:rPr>
                <w:bCs/>
                <w:color w:val="002060"/>
                <w:sz w:val="16"/>
                <w:szCs w:val="16"/>
              </w:rPr>
            </w:pPr>
          </w:p>
        </w:tc>
        <w:tc>
          <w:tcPr>
            <w:tcW w:w="1565" w:type="dxa"/>
          </w:tcPr>
          <w:p w14:paraId="3DC19FB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Произведено (в</w:t>
            </w:r>
          </w:p>
          <w:p w14:paraId="48180000" w14:textId="77777777" w:rsidR="00B67D7C" w:rsidRPr="00DE096C" w:rsidRDefault="00B67D7C" w:rsidP="00D45A46">
            <w:pPr>
              <w:shd w:val="clear" w:color="auto" w:fill="FFFFFF"/>
              <w:jc w:val="both"/>
              <w:rPr>
                <w:bCs/>
                <w:color w:val="002060"/>
                <w:sz w:val="16"/>
                <w:szCs w:val="16"/>
              </w:rPr>
            </w:pPr>
          </w:p>
        </w:tc>
        <w:tc>
          <w:tcPr>
            <w:tcW w:w="1594" w:type="dxa"/>
          </w:tcPr>
          <w:p w14:paraId="5BC4CA6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тыс. шт.)</w:t>
            </w:r>
          </w:p>
          <w:p w14:paraId="2795B96C" w14:textId="77777777" w:rsidR="00B67D7C" w:rsidRPr="00DE096C" w:rsidRDefault="00B67D7C" w:rsidP="00D45A46">
            <w:pPr>
              <w:shd w:val="clear" w:color="auto" w:fill="FFFFFF"/>
              <w:jc w:val="both"/>
              <w:rPr>
                <w:bCs/>
                <w:color w:val="002060"/>
                <w:sz w:val="16"/>
                <w:szCs w:val="16"/>
              </w:rPr>
            </w:pPr>
          </w:p>
        </w:tc>
      </w:tr>
      <w:tr w:rsidR="00B67D7C" w:rsidRPr="00DE096C" w14:paraId="2032D0B9" w14:textId="77777777" w:rsidTr="00C2024A">
        <w:trPr>
          <w:trHeight w:val="509"/>
        </w:trPr>
        <w:tc>
          <w:tcPr>
            <w:tcW w:w="1210" w:type="dxa"/>
          </w:tcPr>
          <w:p w14:paraId="6401EB07" w14:textId="77777777" w:rsidR="00B67D7C" w:rsidRPr="00DE096C" w:rsidRDefault="00B67D7C" w:rsidP="00D45A46">
            <w:pPr>
              <w:jc w:val="both"/>
              <w:rPr>
                <w:bCs/>
                <w:color w:val="002060"/>
                <w:sz w:val="16"/>
                <w:szCs w:val="16"/>
              </w:rPr>
            </w:pPr>
          </w:p>
          <w:p w14:paraId="38A25A36" w14:textId="77777777" w:rsidR="00B67D7C" w:rsidRPr="00DE096C" w:rsidRDefault="00B67D7C" w:rsidP="00D45A46">
            <w:pPr>
              <w:jc w:val="both"/>
              <w:rPr>
                <w:bCs/>
                <w:color w:val="002060"/>
                <w:sz w:val="16"/>
                <w:szCs w:val="16"/>
              </w:rPr>
            </w:pPr>
          </w:p>
        </w:tc>
        <w:tc>
          <w:tcPr>
            <w:tcW w:w="1565" w:type="dxa"/>
          </w:tcPr>
          <w:p w14:paraId="476BAE5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Гильзы разных калибров</w:t>
            </w:r>
          </w:p>
          <w:p w14:paraId="090B5E6D" w14:textId="77777777" w:rsidR="00B67D7C" w:rsidRPr="00DE096C" w:rsidRDefault="00B67D7C" w:rsidP="00D45A46">
            <w:pPr>
              <w:shd w:val="clear" w:color="auto" w:fill="FFFFFF"/>
              <w:jc w:val="both"/>
              <w:rPr>
                <w:bCs/>
                <w:color w:val="002060"/>
                <w:sz w:val="16"/>
                <w:szCs w:val="16"/>
              </w:rPr>
            </w:pPr>
          </w:p>
        </w:tc>
        <w:tc>
          <w:tcPr>
            <w:tcW w:w="1594" w:type="dxa"/>
          </w:tcPr>
          <w:p w14:paraId="14323EE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пересчете на 76-мм</w:t>
            </w:r>
          </w:p>
          <w:p w14:paraId="66A34249" w14:textId="77777777" w:rsidR="00B67D7C" w:rsidRPr="00DE096C" w:rsidRDefault="00B67D7C" w:rsidP="00D45A46">
            <w:pPr>
              <w:shd w:val="clear" w:color="auto" w:fill="FFFFFF"/>
              <w:jc w:val="both"/>
              <w:rPr>
                <w:bCs/>
                <w:color w:val="002060"/>
                <w:sz w:val="16"/>
                <w:szCs w:val="16"/>
              </w:rPr>
            </w:pPr>
          </w:p>
        </w:tc>
      </w:tr>
      <w:tr w:rsidR="00B67D7C" w:rsidRPr="00DE096C" w14:paraId="7719718A" w14:textId="77777777" w:rsidTr="00C2024A">
        <w:trPr>
          <w:trHeight w:val="806"/>
        </w:trPr>
        <w:tc>
          <w:tcPr>
            <w:tcW w:w="1210" w:type="dxa"/>
          </w:tcPr>
          <w:p w14:paraId="587E19C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1914 1915 1916 1917</w:t>
            </w:r>
          </w:p>
          <w:p w14:paraId="78AEE511" w14:textId="77777777" w:rsidR="00B67D7C" w:rsidRPr="00DE096C" w:rsidRDefault="00B67D7C" w:rsidP="00D45A46">
            <w:pPr>
              <w:shd w:val="clear" w:color="auto" w:fill="FFFFFF"/>
              <w:jc w:val="both"/>
              <w:rPr>
                <w:bCs/>
                <w:color w:val="002060"/>
                <w:sz w:val="16"/>
                <w:szCs w:val="16"/>
              </w:rPr>
            </w:pPr>
          </w:p>
        </w:tc>
        <w:tc>
          <w:tcPr>
            <w:tcW w:w="1565" w:type="dxa"/>
          </w:tcPr>
          <w:p w14:paraId="6896A2D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859 3534 5568 3 369</w:t>
            </w:r>
          </w:p>
          <w:p w14:paraId="75F271C3" w14:textId="77777777" w:rsidR="00B67D7C" w:rsidRPr="00DE096C" w:rsidRDefault="00B67D7C" w:rsidP="00D45A46">
            <w:pPr>
              <w:shd w:val="clear" w:color="auto" w:fill="FFFFFF"/>
              <w:jc w:val="both"/>
              <w:rPr>
                <w:bCs/>
                <w:color w:val="002060"/>
                <w:sz w:val="16"/>
                <w:szCs w:val="16"/>
              </w:rPr>
            </w:pPr>
          </w:p>
        </w:tc>
        <w:tc>
          <w:tcPr>
            <w:tcW w:w="1594" w:type="dxa"/>
          </w:tcPr>
          <w:p w14:paraId="71034D9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1 349 3871 6798 4508</w:t>
            </w:r>
          </w:p>
          <w:p w14:paraId="26C5389C" w14:textId="77777777" w:rsidR="00B67D7C" w:rsidRPr="00DE096C" w:rsidRDefault="00B67D7C" w:rsidP="00D45A46">
            <w:pPr>
              <w:shd w:val="clear" w:color="auto" w:fill="FFFFFF"/>
              <w:jc w:val="both"/>
              <w:rPr>
                <w:bCs/>
                <w:color w:val="002060"/>
                <w:sz w:val="16"/>
                <w:szCs w:val="16"/>
              </w:rPr>
            </w:pPr>
          </w:p>
        </w:tc>
      </w:tr>
      <w:tr w:rsidR="00B67D7C" w:rsidRPr="00DE096C" w14:paraId="4D9AEECD" w14:textId="77777777" w:rsidTr="00C2024A">
        <w:trPr>
          <w:trHeight w:val="403"/>
        </w:trPr>
        <w:tc>
          <w:tcPr>
            <w:tcW w:w="1210" w:type="dxa"/>
          </w:tcPr>
          <w:p w14:paraId="2625B62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Всего</w:t>
            </w:r>
          </w:p>
          <w:p w14:paraId="0FCA4CFE" w14:textId="77777777" w:rsidR="00B67D7C" w:rsidRPr="00DE096C" w:rsidRDefault="00B67D7C" w:rsidP="00D45A46">
            <w:pPr>
              <w:shd w:val="clear" w:color="auto" w:fill="FFFFFF"/>
              <w:jc w:val="both"/>
              <w:rPr>
                <w:bCs/>
                <w:color w:val="002060"/>
                <w:sz w:val="16"/>
                <w:szCs w:val="16"/>
              </w:rPr>
            </w:pPr>
          </w:p>
        </w:tc>
        <w:tc>
          <w:tcPr>
            <w:tcW w:w="1565" w:type="dxa"/>
          </w:tcPr>
          <w:p w14:paraId="5EF856A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13330</w:t>
            </w:r>
          </w:p>
          <w:p w14:paraId="78224A11" w14:textId="77777777" w:rsidR="00B67D7C" w:rsidRPr="00DE096C" w:rsidRDefault="00B67D7C" w:rsidP="00D45A46">
            <w:pPr>
              <w:shd w:val="clear" w:color="auto" w:fill="FFFFFF"/>
              <w:jc w:val="both"/>
              <w:rPr>
                <w:bCs/>
                <w:color w:val="002060"/>
                <w:sz w:val="16"/>
                <w:szCs w:val="16"/>
              </w:rPr>
            </w:pPr>
          </w:p>
        </w:tc>
        <w:tc>
          <w:tcPr>
            <w:tcW w:w="1594" w:type="dxa"/>
          </w:tcPr>
          <w:p w14:paraId="56806DD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16526</w:t>
            </w:r>
          </w:p>
          <w:p w14:paraId="180331D1" w14:textId="77777777" w:rsidR="00B67D7C" w:rsidRPr="00DE096C" w:rsidRDefault="00B67D7C" w:rsidP="00D45A46">
            <w:pPr>
              <w:shd w:val="clear" w:color="auto" w:fill="FFFFFF"/>
              <w:jc w:val="both"/>
              <w:rPr>
                <w:bCs/>
                <w:color w:val="002060"/>
                <w:sz w:val="16"/>
                <w:szCs w:val="16"/>
              </w:rPr>
            </w:pPr>
          </w:p>
        </w:tc>
      </w:tr>
    </w:tbl>
    <w:p w14:paraId="4BC7FA1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Всего в первую мировую войну Тульский патронный завод изго</w:t>
      </w:r>
      <w:r w:rsidRPr="00DE096C">
        <w:rPr>
          <w:bCs/>
          <w:color w:val="002060"/>
          <w:sz w:val="16"/>
          <w:szCs w:val="16"/>
        </w:rPr>
        <w:softHyphen/>
        <w:t>товил 13 млн 330 тыс. гильз к орудиям калибров от 37 мм до 152 мм. Число рабочих на заводе увеличилось с 3 230 человек в 1910 г. до 14260 человек в 1917 г.</w:t>
      </w:r>
    </w:p>
    <w:p w14:paraId="51D18F4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Производство орудийных гильз на Ижорском казенном заводе в Колпино близ Петербурга началось в 1894 г. Печи, прокатные ста</w:t>
      </w:r>
      <w:r w:rsidRPr="00DE096C">
        <w:rPr>
          <w:bCs/>
          <w:color w:val="002060"/>
          <w:sz w:val="16"/>
          <w:szCs w:val="16"/>
        </w:rPr>
        <w:softHyphen/>
        <w:t>ны, прессы, разнообразные станки—все оборудование, необходи</w:t>
      </w:r>
      <w:r w:rsidRPr="00DE096C">
        <w:rPr>
          <w:bCs/>
          <w:color w:val="002060"/>
          <w:sz w:val="16"/>
          <w:szCs w:val="16"/>
        </w:rPr>
        <w:softHyphen/>
        <w:t>мое для производства пушечных гильз, было привезено из Англии. Вместе с оборудованием в Колпино прибыли и английские мастера. Англичане установили в гильзовом производстве свое оборудование, однако из-за неполадок заводская комиссия принимала гильзовое производство в течение двух лет [16].</w:t>
      </w:r>
    </w:p>
    <w:p w14:paraId="6F738C7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С осени 1914 г. для русской армии требовалось огромное коли</w:t>
      </w:r>
      <w:r w:rsidRPr="00DE096C">
        <w:rPr>
          <w:bCs/>
          <w:color w:val="002060"/>
          <w:sz w:val="16"/>
          <w:szCs w:val="16"/>
        </w:rPr>
        <w:softHyphen/>
        <w:t>чество артиллерийских снарядов. К их изготовлению в спешном по</w:t>
      </w:r>
      <w:r w:rsidRPr="00DE096C">
        <w:rPr>
          <w:bCs/>
          <w:color w:val="002060"/>
          <w:sz w:val="16"/>
          <w:szCs w:val="16"/>
        </w:rPr>
        <w:softHyphen/>
        <w:t>рядке привлекались все казенные металлообрабатывающие заводы. Была приостановлена постройка двух крейсеров и линейного кораб</w:t>
      </w:r>
      <w:r w:rsidRPr="00DE096C">
        <w:rPr>
          <w:bCs/>
          <w:color w:val="002060"/>
          <w:sz w:val="16"/>
          <w:szCs w:val="16"/>
        </w:rPr>
        <w:softHyphen/>
        <w:t>ля «Император Николай I», с тем чтобы свыше 4 млн пудов металла употребить для изготовления снарядных заготовок, орудийных ство</w:t>
      </w:r>
      <w:r w:rsidRPr="00DE096C">
        <w:rPr>
          <w:bCs/>
          <w:color w:val="002060"/>
          <w:sz w:val="16"/>
          <w:szCs w:val="16"/>
        </w:rPr>
        <w:softHyphen/>
        <w:t>лов и т. п.</w:t>
      </w:r>
    </w:p>
    <w:p w14:paraId="3EE05EA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На Ижорском заводе, приспособленном для производства тяже</w:t>
      </w:r>
      <w:r w:rsidRPr="00DE096C">
        <w:rPr>
          <w:bCs/>
          <w:color w:val="002060"/>
          <w:sz w:val="16"/>
          <w:szCs w:val="16"/>
        </w:rPr>
        <w:softHyphen/>
        <w:t>лой брони, для изготовления снарядов использовали все механиче</w:t>
      </w:r>
      <w:r w:rsidRPr="00DE096C">
        <w:rPr>
          <w:bCs/>
          <w:color w:val="002060"/>
          <w:sz w:val="16"/>
          <w:szCs w:val="16"/>
        </w:rPr>
        <w:softHyphen/>
        <w:t>ские и другие мастерские, в которых устанавливали оборудование, получаемое из Англии и Америки.</w:t>
      </w:r>
    </w:p>
    <w:p w14:paraId="409B700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гильзовой мастерской было изготовлено 70 тыс. корпусов сна</w:t>
      </w:r>
      <w:r w:rsidRPr="00DE096C">
        <w:rPr>
          <w:bCs/>
          <w:color w:val="002060"/>
          <w:sz w:val="16"/>
          <w:szCs w:val="16"/>
        </w:rPr>
        <w:softHyphen/>
        <w:t>рядов. Потребность в гильзах была так велика, что по настоянию Военного ведомства завод значительно расширил гильзовую мастер</w:t>
      </w:r>
      <w:r w:rsidRPr="00DE096C">
        <w:rPr>
          <w:bCs/>
          <w:color w:val="002060"/>
          <w:sz w:val="16"/>
          <w:szCs w:val="16"/>
        </w:rPr>
        <w:softHyphen/>
        <w:t>скую, оборудовав новое отделение с производственной мощностью 600 тыс. трехдюймовых полевых гильз [16].</w:t>
      </w:r>
    </w:p>
    <w:p w14:paraId="26267E9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русской артиллерии не потребовалось во время войны изменять конструкцию орудийных гильз. Однако не хватало меди — основно</w:t>
      </w:r>
      <w:r w:rsidRPr="00DE096C">
        <w:rPr>
          <w:bCs/>
          <w:color w:val="002060"/>
          <w:sz w:val="16"/>
          <w:szCs w:val="16"/>
        </w:rPr>
        <w:softHyphen/>
        <w:t>го компонента латуни, расходуемой в огромных количествах на из</w:t>
      </w:r>
      <w:r w:rsidRPr="00DE096C">
        <w:rPr>
          <w:bCs/>
          <w:color w:val="002060"/>
          <w:sz w:val="16"/>
          <w:szCs w:val="16"/>
        </w:rPr>
        <w:softHyphen/>
        <w:t>готовление гильз. Были сделаны попытки заменить латунь железом, а также картоном, но безуспешно. Железные гильзы не выдержива</w:t>
      </w:r>
      <w:r w:rsidRPr="00DE096C">
        <w:rPr>
          <w:bCs/>
          <w:color w:val="002060"/>
          <w:sz w:val="16"/>
          <w:szCs w:val="16"/>
        </w:rPr>
        <w:softHyphen/>
        <w:t>ли давления пороховых газов, давали трещины, застревали в канале ствола орудия после выстрела и т. п.</w:t>
      </w:r>
    </w:p>
    <w:p w14:paraId="2DD30E7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Еще больше недостатков имели картонные гильзы. Прогар и раз</w:t>
      </w:r>
      <w:r w:rsidRPr="00DE096C">
        <w:rPr>
          <w:bCs/>
          <w:color w:val="002060"/>
          <w:sz w:val="16"/>
          <w:szCs w:val="16"/>
        </w:rPr>
        <w:softHyphen/>
        <w:t>рыв их при выстреле были нередким явлением; соблюсти надлежа</w:t>
      </w:r>
      <w:r w:rsidRPr="00DE096C">
        <w:rPr>
          <w:bCs/>
          <w:color w:val="002060"/>
          <w:sz w:val="16"/>
          <w:szCs w:val="16"/>
        </w:rPr>
        <w:softHyphen/>
        <w:t>щую плотность заряжания было невозможно. Картонные гильзы обходились чуть ли не дороже латунных.</w:t>
      </w:r>
    </w:p>
    <w:p w14:paraId="14DFD4F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нашей стране проблема изготовления и применения орудийных гильз из малоуглеродистой стали была решена для некоторых калиб</w:t>
      </w:r>
      <w:r w:rsidRPr="00DE096C">
        <w:rPr>
          <w:bCs/>
          <w:color w:val="002060"/>
          <w:sz w:val="16"/>
          <w:szCs w:val="16"/>
        </w:rPr>
        <w:softHyphen/>
        <w:t>ров только накануне войны 1941—1945 гг. (5484).</w:t>
      </w:r>
    </w:p>
    <w:p w14:paraId="69FA9FE3" w14:textId="77777777" w:rsidR="00B67D7C" w:rsidRPr="00DE096C" w:rsidRDefault="00B67D7C" w:rsidP="00D45A46">
      <w:pPr>
        <w:shd w:val="clear" w:color="auto" w:fill="FFFFFF"/>
        <w:jc w:val="both"/>
        <w:rPr>
          <w:bCs/>
          <w:color w:val="002060"/>
          <w:sz w:val="16"/>
          <w:szCs w:val="16"/>
        </w:rPr>
      </w:pPr>
    </w:p>
    <w:p w14:paraId="4ED4A73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Осенью 1914 г. по заказу Артуправления на Путилов-ском заводе под управлением инженера Ф. Лендера нача</w:t>
      </w:r>
      <w:r w:rsidRPr="00DE096C">
        <w:rPr>
          <w:bCs/>
          <w:color w:val="002060"/>
          <w:sz w:val="16"/>
          <w:szCs w:val="16"/>
        </w:rPr>
        <w:softHyphen/>
        <w:t>лись работы по приспособлению морского 57-мм орудия Гочкиса для ведения огня под углом до 65 градусов. В июне 1915 г. опытный образец орудия прошел испытания на Ар</w:t>
      </w:r>
      <w:r w:rsidRPr="00DE096C">
        <w:rPr>
          <w:bCs/>
          <w:color w:val="002060"/>
          <w:sz w:val="16"/>
          <w:szCs w:val="16"/>
        </w:rPr>
        <w:softHyphen/>
        <w:t>тиллерийском полигоне стрельбой как с наземной стацио</w:t>
      </w:r>
      <w:r w:rsidRPr="00DE096C">
        <w:rPr>
          <w:bCs/>
          <w:color w:val="002060"/>
          <w:sz w:val="16"/>
          <w:szCs w:val="16"/>
        </w:rPr>
        <w:softHyphen/>
        <w:t>нарной тумбы, так и в кузове 3-тонного грузовика «Остин» с бронированной кабиной. Машина оказалась перегружен</w:t>
      </w:r>
      <w:r w:rsidRPr="00DE096C">
        <w:rPr>
          <w:bCs/>
          <w:color w:val="002060"/>
          <w:sz w:val="16"/>
          <w:szCs w:val="16"/>
        </w:rPr>
        <w:softHyphen/>
        <w:t>ной (при массе машины в 5200 кг она имела двигатель мощностью всего 30 л.с.), но на хорошей дороге могла раз</w:t>
      </w:r>
      <w:r w:rsidRPr="00DE096C">
        <w:rPr>
          <w:bCs/>
          <w:color w:val="002060"/>
          <w:sz w:val="16"/>
          <w:szCs w:val="16"/>
        </w:rPr>
        <w:softHyphen/>
        <w:t>вить скорость в 22 версты в час (около 35 км/ч). Новый вариант зенитной САУ в целом понравился воен</w:t>
      </w:r>
      <w:r w:rsidRPr="00DE096C">
        <w:rPr>
          <w:bCs/>
          <w:color w:val="002060"/>
          <w:sz w:val="16"/>
          <w:szCs w:val="16"/>
        </w:rPr>
        <w:softHyphen/>
        <w:t>ным, и по результатам испытаний было принято решение на</w:t>
      </w:r>
      <w:r w:rsidRPr="00DE096C">
        <w:rPr>
          <w:bCs/>
          <w:color w:val="002060"/>
          <w:sz w:val="16"/>
          <w:szCs w:val="16"/>
        </w:rPr>
        <w:softHyphen/>
        <w:t>чать формирование артиллерийских батарей указанного типа и отправку их на фронт. Но вскоре после этого во время по</w:t>
      </w:r>
      <w:r w:rsidRPr="00DE096C">
        <w:rPr>
          <w:bCs/>
          <w:color w:val="002060"/>
          <w:sz w:val="16"/>
          <w:szCs w:val="16"/>
        </w:rPr>
        <w:softHyphen/>
        <w:t>жара в Брест-Литовске запас указанных орудий был утрачен, и данный тип САУ превратился в неперспективный (11417).</w:t>
      </w:r>
    </w:p>
    <w:p w14:paraId="4F2014CA" w14:textId="77777777" w:rsidR="00B67D7C" w:rsidRPr="00DE096C" w:rsidRDefault="00B67D7C" w:rsidP="00D45A46">
      <w:pPr>
        <w:shd w:val="clear" w:color="auto" w:fill="FFFFFF"/>
        <w:jc w:val="both"/>
        <w:rPr>
          <w:bCs/>
          <w:color w:val="002060"/>
          <w:sz w:val="16"/>
          <w:szCs w:val="16"/>
        </w:rPr>
      </w:pPr>
    </w:p>
    <w:p w14:paraId="1CCA767B"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Осенью 1914 г., когда русская действующая армия стала ощущать недостаток в боевом снабжении, сделалось очевидным, что образованные заблаговременно запасы военного времени должны были служить лишь для начала военных действий и что готовность к войне в отношении снабжения армии должна была определяться не этими запасами, а возможностью заготовления предметов снабжения во время самой войны. </w:t>
      </w:r>
    </w:p>
    <w:p w14:paraId="1E301225"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Пришлось наскоро без какого бы то ни было определенного плана, нередко путем импровизации, мобилизовать всю промышленность, и казенную и частную, работавшую и не работавшую на оборону, а также вызывать к жизни новые предприятия, мало-мальски способные принять участие в изготовлении боевых припасов и других предметов снабжения.</w:t>
      </w:r>
    </w:p>
    <w:p w14:paraId="3534D787"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Это крайне трудное дело, приносящее ощутительные результаты очень не скоро даже в странах с хорошо развитой промышленностью, в России двигалось очень медленно, так как русская промышленность, слабо развитая вообще, оказалась совершенно неподготовленной к войне. </w:t>
      </w:r>
    </w:p>
    <w:p w14:paraId="473D37D3"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Введение "всеобщей промышленной повинности" и другие мероприятия, проектировавшиеся ГАУ, клонившиеся в конечном итоге к мобилизации промышленности, осуществлялись далеко не в полной мере, встречая большие затруднения с разных сторон и даже со стороны Особого совещания по обороне (11483).</w:t>
      </w:r>
    </w:p>
    <w:p w14:paraId="12937511" w14:textId="77777777" w:rsidR="00B67D7C" w:rsidRPr="00DE096C" w:rsidRDefault="00B67D7C" w:rsidP="00D45A46">
      <w:pPr>
        <w:pStyle w:val="a3"/>
        <w:jc w:val="both"/>
        <w:rPr>
          <w:bCs/>
          <w:i w:val="0"/>
          <w:color w:val="002060"/>
          <w:spacing w:val="0"/>
          <w:kern w:val="0"/>
          <w:position w:val="0"/>
          <w:sz w:val="16"/>
          <w:szCs w:val="16"/>
        </w:rPr>
      </w:pPr>
    </w:p>
    <w:p w14:paraId="3DFED7BB" w14:textId="77777777" w:rsidR="00354A55" w:rsidRPr="00DE096C" w:rsidRDefault="00354A55" w:rsidP="00D45A46">
      <w:pPr>
        <w:pStyle w:val="ae"/>
        <w:spacing w:before="0" w:beforeAutospacing="0" w:after="0" w:afterAutospacing="0"/>
        <w:jc w:val="both"/>
        <w:rPr>
          <w:bCs/>
          <w:color w:val="002060"/>
          <w:sz w:val="16"/>
          <w:szCs w:val="16"/>
        </w:rPr>
      </w:pPr>
      <w:r w:rsidRPr="00DE096C">
        <w:rPr>
          <w:bCs/>
          <w:color w:val="002060"/>
          <w:sz w:val="16"/>
          <w:szCs w:val="16"/>
        </w:rPr>
        <w:t>Осенью 1914 года в армию поступили отечественные броневики. Конструкторы отказались от вращающихся башен, три пулемета «максим» (7,62 мм) разместили в корпусе, один в носовой части, один в кормовой, и один, запасной, мог работать в любом, в том числе боковом, направлении. Таким образом, угол обстрела достигал 360 градусов. Немного тонкая (5 мм) броня, но зато боекомплект 9000 патронов и запас топлива почти 100 кг. В общем, приятная получилась машина. Также ижорцы изготовили несколько броневиков на базе грузовых автомобилей, вооружив их 37-миллиметровыми и 47-миллиметровыми орудиями. Идея же промышленного производства бронированных автомобилей принадлежала тогда еще полковнику Александру Николаевичу Добржанскому, будущему командиру первого в России подразделения бронеавтомобилей, будущему генерал-майору (умер в эмиграции в Париже). Идею поддержал военный министр генерал-адъютант Владимир Александрович Сухомлинов (тот самый, обвиненный в государственной измене за неподготовленность России к войне). Добржанский нарисовал эскиз броневика, шасси взяли от «Руссо-Балта С 24/40», а детальную проработку бронирования и постройку поручили бронепрокатной мастерской Ижорского завода (18519).</w:t>
      </w:r>
    </w:p>
    <w:p w14:paraId="74A6F081" w14:textId="77777777" w:rsidR="00354A55" w:rsidRPr="00DE096C" w:rsidRDefault="00354A55" w:rsidP="00D45A46">
      <w:pPr>
        <w:pStyle w:val="ae"/>
        <w:spacing w:before="0" w:beforeAutospacing="0" w:after="0" w:afterAutospacing="0"/>
        <w:jc w:val="both"/>
        <w:rPr>
          <w:bCs/>
          <w:color w:val="002060"/>
          <w:sz w:val="16"/>
          <w:szCs w:val="16"/>
        </w:rPr>
      </w:pPr>
    </w:p>
    <w:p w14:paraId="43658152" w14:textId="77777777" w:rsidR="00354A55" w:rsidRPr="00DE096C" w:rsidRDefault="00354A55" w:rsidP="00D45A46">
      <w:pPr>
        <w:jc w:val="both"/>
        <w:rPr>
          <w:bCs/>
          <w:color w:val="002060"/>
          <w:sz w:val="16"/>
          <w:szCs w:val="16"/>
        </w:rPr>
      </w:pPr>
      <w:r w:rsidRPr="00DE096C">
        <w:rPr>
          <w:bCs/>
          <w:color w:val="002060"/>
          <w:sz w:val="16"/>
          <w:szCs w:val="16"/>
        </w:rPr>
        <w:t>Осенью 1914 года на заводе собрали первый грузовичок "Аксай", изготовленный полностью в России, в том числе и мотор.</w:t>
      </w:r>
    </w:p>
    <w:p w14:paraId="281EF564" w14:textId="507567F0" w:rsidR="00354A55" w:rsidRPr="00DE096C" w:rsidRDefault="00354A55" w:rsidP="00D45A46">
      <w:pPr>
        <w:jc w:val="both"/>
        <w:rPr>
          <w:bCs/>
          <w:color w:val="002060"/>
          <w:sz w:val="16"/>
          <w:szCs w:val="16"/>
        </w:rPr>
      </w:pPr>
      <w:r w:rsidRPr="00DE096C">
        <w:rPr>
          <w:bCs/>
          <w:color w:val="002060"/>
          <w:sz w:val="16"/>
          <w:szCs w:val="16"/>
        </w:rPr>
        <w:t>В начале Великой войны, получив госкредит, "Аксай" начинает перестраивать свой завод, одновременно освоив выпуск "Руссобалтов" модели М. Всего до начала войны было собрано и изготовлено 343 автомобиля.</w:t>
      </w:r>
      <w:r w:rsidR="0006581C">
        <w:rPr>
          <w:bCs/>
          <w:color w:val="002060"/>
          <w:sz w:val="16"/>
          <w:szCs w:val="16"/>
        </w:rPr>
        <w:t xml:space="preserve"> </w:t>
      </w:r>
    </w:p>
    <w:tbl>
      <w:tblPr>
        <w:tblW w:w="0" w:type="auto"/>
        <w:tblCellMar>
          <w:left w:w="0" w:type="dxa"/>
          <w:right w:w="0" w:type="dxa"/>
        </w:tblCellMar>
        <w:tblLook w:val="04A0" w:firstRow="1" w:lastRow="0" w:firstColumn="1" w:lastColumn="0" w:noHBand="0" w:noVBand="1"/>
      </w:tblPr>
      <w:tblGrid>
        <w:gridCol w:w="1631"/>
        <w:gridCol w:w="400"/>
        <w:gridCol w:w="400"/>
        <w:gridCol w:w="400"/>
        <w:gridCol w:w="400"/>
        <w:gridCol w:w="400"/>
        <w:gridCol w:w="400"/>
        <w:gridCol w:w="400"/>
        <w:gridCol w:w="400"/>
        <w:gridCol w:w="475"/>
      </w:tblGrid>
      <w:tr w:rsidR="00354A55" w:rsidRPr="00DE096C" w14:paraId="1891AB18" w14:textId="77777777" w:rsidTr="00FA616C">
        <w:tc>
          <w:tcPr>
            <w:tcW w:w="0" w:type="auto"/>
            <w:tcBorders>
              <w:top w:val="nil"/>
              <w:left w:val="nil"/>
              <w:bottom w:val="nil"/>
              <w:right w:val="nil"/>
            </w:tcBorders>
            <w:vAlign w:val="bottom"/>
            <w:hideMark/>
          </w:tcPr>
          <w:p w14:paraId="46B8C58F" w14:textId="6B313F6C" w:rsidR="00354A55" w:rsidRPr="00DE096C" w:rsidRDefault="0006581C" w:rsidP="00D45A46">
            <w:pPr>
              <w:jc w:val="both"/>
              <w:rPr>
                <w:bCs/>
                <w:color w:val="002060"/>
                <w:sz w:val="16"/>
                <w:szCs w:val="16"/>
              </w:rPr>
            </w:pPr>
            <w:r>
              <w:rPr>
                <w:bCs/>
                <w:color w:val="002060"/>
                <w:sz w:val="16"/>
                <w:szCs w:val="16"/>
              </w:rPr>
              <w:t xml:space="preserve"> </w:t>
            </w:r>
            <w:r w:rsidR="00354A55" w:rsidRPr="00DE096C">
              <w:rPr>
                <w:bCs/>
                <w:color w:val="002060"/>
                <w:sz w:val="16"/>
                <w:szCs w:val="16"/>
              </w:rPr>
              <w:t xml:space="preserve"> Название предприятия</w:t>
            </w:r>
          </w:p>
        </w:tc>
        <w:tc>
          <w:tcPr>
            <w:tcW w:w="0" w:type="auto"/>
            <w:tcBorders>
              <w:top w:val="nil"/>
              <w:left w:val="nil"/>
              <w:bottom w:val="nil"/>
              <w:right w:val="nil"/>
            </w:tcBorders>
            <w:vAlign w:val="bottom"/>
            <w:hideMark/>
          </w:tcPr>
          <w:p w14:paraId="397FDCAF" w14:textId="4D9A7E8F" w:rsidR="00354A55" w:rsidRPr="00DE096C" w:rsidRDefault="0006581C" w:rsidP="00D45A46">
            <w:pPr>
              <w:jc w:val="both"/>
              <w:rPr>
                <w:bCs/>
                <w:color w:val="002060"/>
                <w:sz w:val="16"/>
                <w:szCs w:val="16"/>
              </w:rPr>
            </w:pPr>
            <w:r>
              <w:rPr>
                <w:bCs/>
                <w:color w:val="002060"/>
                <w:sz w:val="16"/>
                <w:szCs w:val="16"/>
              </w:rPr>
              <w:t xml:space="preserve"> </w:t>
            </w:r>
            <w:r w:rsidR="00354A55" w:rsidRPr="00DE096C">
              <w:rPr>
                <w:bCs/>
                <w:color w:val="002060"/>
                <w:sz w:val="16"/>
                <w:szCs w:val="16"/>
              </w:rPr>
              <w:t xml:space="preserve"> 1907</w:t>
            </w:r>
          </w:p>
        </w:tc>
        <w:tc>
          <w:tcPr>
            <w:tcW w:w="0" w:type="auto"/>
            <w:tcBorders>
              <w:top w:val="nil"/>
              <w:left w:val="nil"/>
              <w:bottom w:val="nil"/>
              <w:right w:val="nil"/>
            </w:tcBorders>
            <w:vAlign w:val="bottom"/>
            <w:hideMark/>
          </w:tcPr>
          <w:p w14:paraId="79420854" w14:textId="0BBB38B9" w:rsidR="00354A55" w:rsidRPr="00DE096C" w:rsidRDefault="0006581C" w:rsidP="00D45A46">
            <w:pPr>
              <w:jc w:val="both"/>
              <w:rPr>
                <w:bCs/>
                <w:color w:val="002060"/>
                <w:sz w:val="16"/>
                <w:szCs w:val="16"/>
              </w:rPr>
            </w:pPr>
            <w:r>
              <w:rPr>
                <w:bCs/>
                <w:color w:val="002060"/>
                <w:sz w:val="16"/>
                <w:szCs w:val="16"/>
              </w:rPr>
              <w:t xml:space="preserve"> </w:t>
            </w:r>
            <w:r w:rsidR="00354A55" w:rsidRPr="00DE096C">
              <w:rPr>
                <w:bCs/>
                <w:color w:val="002060"/>
                <w:sz w:val="16"/>
                <w:szCs w:val="16"/>
              </w:rPr>
              <w:t xml:space="preserve"> 1908</w:t>
            </w:r>
          </w:p>
        </w:tc>
        <w:tc>
          <w:tcPr>
            <w:tcW w:w="0" w:type="auto"/>
            <w:tcBorders>
              <w:top w:val="nil"/>
              <w:left w:val="nil"/>
              <w:bottom w:val="nil"/>
              <w:right w:val="nil"/>
            </w:tcBorders>
            <w:vAlign w:val="bottom"/>
            <w:hideMark/>
          </w:tcPr>
          <w:p w14:paraId="754667C9" w14:textId="304652F6" w:rsidR="00354A55" w:rsidRPr="00DE096C" w:rsidRDefault="0006581C" w:rsidP="00D45A46">
            <w:pPr>
              <w:jc w:val="both"/>
              <w:rPr>
                <w:bCs/>
                <w:color w:val="002060"/>
                <w:sz w:val="16"/>
                <w:szCs w:val="16"/>
              </w:rPr>
            </w:pPr>
            <w:r>
              <w:rPr>
                <w:bCs/>
                <w:color w:val="002060"/>
                <w:sz w:val="16"/>
                <w:szCs w:val="16"/>
              </w:rPr>
              <w:t xml:space="preserve"> </w:t>
            </w:r>
            <w:r w:rsidR="00354A55" w:rsidRPr="00DE096C">
              <w:rPr>
                <w:bCs/>
                <w:color w:val="002060"/>
                <w:sz w:val="16"/>
                <w:szCs w:val="16"/>
              </w:rPr>
              <w:t xml:space="preserve"> 1909</w:t>
            </w:r>
          </w:p>
        </w:tc>
        <w:tc>
          <w:tcPr>
            <w:tcW w:w="0" w:type="auto"/>
            <w:tcBorders>
              <w:top w:val="nil"/>
              <w:left w:val="nil"/>
              <w:bottom w:val="nil"/>
              <w:right w:val="nil"/>
            </w:tcBorders>
            <w:vAlign w:val="bottom"/>
            <w:hideMark/>
          </w:tcPr>
          <w:p w14:paraId="2908922A" w14:textId="5BCF8E48" w:rsidR="00354A55" w:rsidRPr="00DE096C" w:rsidRDefault="0006581C" w:rsidP="00D45A46">
            <w:pPr>
              <w:jc w:val="both"/>
              <w:rPr>
                <w:bCs/>
                <w:color w:val="002060"/>
                <w:sz w:val="16"/>
                <w:szCs w:val="16"/>
              </w:rPr>
            </w:pPr>
            <w:r>
              <w:rPr>
                <w:bCs/>
                <w:color w:val="002060"/>
                <w:sz w:val="16"/>
                <w:szCs w:val="16"/>
              </w:rPr>
              <w:t xml:space="preserve"> </w:t>
            </w:r>
            <w:r w:rsidR="00354A55" w:rsidRPr="00DE096C">
              <w:rPr>
                <w:bCs/>
                <w:color w:val="002060"/>
                <w:sz w:val="16"/>
                <w:szCs w:val="16"/>
              </w:rPr>
              <w:t xml:space="preserve"> 1910</w:t>
            </w:r>
          </w:p>
        </w:tc>
        <w:tc>
          <w:tcPr>
            <w:tcW w:w="0" w:type="auto"/>
            <w:tcBorders>
              <w:top w:val="nil"/>
              <w:left w:val="nil"/>
              <w:bottom w:val="nil"/>
              <w:right w:val="nil"/>
            </w:tcBorders>
            <w:vAlign w:val="bottom"/>
            <w:hideMark/>
          </w:tcPr>
          <w:p w14:paraId="48DC30BF" w14:textId="38466321" w:rsidR="00354A55" w:rsidRPr="00DE096C" w:rsidRDefault="0006581C" w:rsidP="00D45A46">
            <w:pPr>
              <w:jc w:val="both"/>
              <w:rPr>
                <w:bCs/>
                <w:color w:val="002060"/>
                <w:sz w:val="16"/>
                <w:szCs w:val="16"/>
              </w:rPr>
            </w:pPr>
            <w:r>
              <w:rPr>
                <w:bCs/>
                <w:color w:val="002060"/>
                <w:sz w:val="16"/>
                <w:szCs w:val="16"/>
              </w:rPr>
              <w:t xml:space="preserve"> </w:t>
            </w:r>
            <w:r w:rsidR="00354A55" w:rsidRPr="00DE096C">
              <w:rPr>
                <w:bCs/>
                <w:color w:val="002060"/>
                <w:sz w:val="16"/>
                <w:szCs w:val="16"/>
              </w:rPr>
              <w:t xml:space="preserve"> 1911</w:t>
            </w:r>
          </w:p>
        </w:tc>
        <w:tc>
          <w:tcPr>
            <w:tcW w:w="0" w:type="auto"/>
            <w:tcBorders>
              <w:top w:val="nil"/>
              <w:left w:val="nil"/>
              <w:bottom w:val="nil"/>
              <w:right w:val="nil"/>
            </w:tcBorders>
            <w:vAlign w:val="bottom"/>
            <w:hideMark/>
          </w:tcPr>
          <w:p w14:paraId="4246E0E9" w14:textId="171A7C75" w:rsidR="00354A55" w:rsidRPr="00DE096C" w:rsidRDefault="0006581C" w:rsidP="00D45A46">
            <w:pPr>
              <w:jc w:val="both"/>
              <w:rPr>
                <w:bCs/>
                <w:color w:val="002060"/>
                <w:sz w:val="16"/>
                <w:szCs w:val="16"/>
              </w:rPr>
            </w:pPr>
            <w:r>
              <w:rPr>
                <w:bCs/>
                <w:color w:val="002060"/>
                <w:sz w:val="16"/>
                <w:szCs w:val="16"/>
              </w:rPr>
              <w:t xml:space="preserve"> </w:t>
            </w:r>
            <w:r w:rsidR="00354A55" w:rsidRPr="00DE096C">
              <w:rPr>
                <w:bCs/>
                <w:color w:val="002060"/>
                <w:sz w:val="16"/>
                <w:szCs w:val="16"/>
              </w:rPr>
              <w:t xml:space="preserve"> 1912</w:t>
            </w:r>
          </w:p>
        </w:tc>
        <w:tc>
          <w:tcPr>
            <w:tcW w:w="0" w:type="auto"/>
            <w:tcBorders>
              <w:top w:val="nil"/>
              <w:left w:val="nil"/>
              <w:bottom w:val="nil"/>
              <w:right w:val="nil"/>
            </w:tcBorders>
            <w:vAlign w:val="bottom"/>
            <w:hideMark/>
          </w:tcPr>
          <w:p w14:paraId="342F1619" w14:textId="2BAE0729" w:rsidR="00354A55" w:rsidRPr="00DE096C" w:rsidRDefault="0006581C" w:rsidP="00D45A46">
            <w:pPr>
              <w:jc w:val="both"/>
              <w:rPr>
                <w:bCs/>
                <w:color w:val="002060"/>
                <w:sz w:val="16"/>
                <w:szCs w:val="16"/>
              </w:rPr>
            </w:pPr>
            <w:r>
              <w:rPr>
                <w:bCs/>
                <w:color w:val="002060"/>
                <w:sz w:val="16"/>
                <w:szCs w:val="16"/>
              </w:rPr>
              <w:t xml:space="preserve"> </w:t>
            </w:r>
            <w:r w:rsidR="00354A55" w:rsidRPr="00DE096C">
              <w:rPr>
                <w:bCs/>
                <w:color w:val="002060"/>
                <w:sz w:val="16"/>
                <w:szCs w:val="16"/>
              </w:rPr>
              <w:t xml:space="preserve"> 1913</w:t>
            </w:r>
          </w:p>
        </w:tc>
        <w:tc>
          <w:tcPr>
            <w:tcW w:w="0" w:type="auto"/>
            <w:tcBorders>
              <w:top w:val="nil"/>
              <w:left w:val="nil"/>
              <w:bottom w:val="nil"/>
              <w:right w:val="nil"/>
            </w:tcBorders>
            <w:vAlign w:val="bottom"/>
            <w:hideMark/>
          </w:tcPr>
          <w:p w14:paraId="0D6F938D" w14:textId="41E54ABA" w:rsidR="00354A55" w:rsidRPr="00DE096C" w:rsidRDefault="0006581C" w:rsidP="00D45A46">
            <w:pPr>
              <w:jc w:val="both"/>
              <w:rPr>
                <w:bCs/>
                <w:color w:val="002060"/>
                <w:sz w:val="16"/>
                <w:szCs w:val="16"/>
              </w:rPr>
            </w:pPr>
            <w:r>
              <w:rPr>
                <w:bCs/>
                <w:color w:val="002060"/>
                <w:sz w:val="16"/>
                <w:szCs w:val="16"/>
              </w:rPr>
              <w:t xml:space="preserve"> </w:t>
            </w:r>
            <w:r w:rsidR="00354A55" w:rsidRPr="00DE096C">
              <w:rPr>
                <w:bCs/>
                <w:color w:val="002060"/>
                <w:sz w:val="16"/>
                <w:szCs w:val="16"/>
              </w:rPr>
              <w:t xml:space="preserve"> 1914</w:t>
            </w:r>
          </w:p>
        </w:tc>
        <w:tc>
          <w:tcPr>
            <w:tcW w:w="0" w:type="auto"/>
            <w:tcBorders>
              <w:top w:val="nil"/>
              <w:left w:val="nil"/>
              <w:bottom w:val="nil"/>
              <w:right w:val="nil"/>
            </w:tcBorders>
            <w:vAlign w:val="bottom"/>
            <w:hideMark/>
          </w:tcPr>
          <w:p w14:paraId="0C7C533B" w14:textId="4185001B" w:rsidR="00354A55" w:rsidRPr="00DE096C" w:rsidRDefault="0006581C" w:rsidP="00D45A46">
            <w:pPr>
              <w:jc w:val="both"/>
              <w:rPr>
                <w:bCs/>
                <w:color w:val="002060"/>
                <w:sz w:val="16"/>
                <w:szCs w:val="16"/>
              </w:rPr>
            </w:pPr>
            <w:r>
              <w:rPr>
                <w:bCs/>
                <w:color w:val="002060"/>
                <w:sz w:val="16"/>
                <w:szCs w:val="16"/>
              </w:rPr>
              <w:t xml:space="preserve"> </w:t>
            </w:r>
            <w:r w:rsidR="00354A55" w:rsidRPr="00DE096C">
              <w:rPr>
                <w:bCs/>
                <w:color w:val="002060"/>
                <w:sz w:val="16"/>
                <w:szCs w:val="16"/>
              </w:rPr>
              <w:t xml:space="preserve"> Всего</w:t>
            </w:r>
          </w:p>
        </w:tc>
      </w:tr>
      <w:tr w:rsidR="00354A55" w:rsidRPr="00DE096C" w14:paraId="17E5B76F" w14:textId="77777777" w:rsidTr="00FA616C">
        <w:tc>
          <w:tcPr>
            <w:tcW w:w="0" w:type="auto"/>
            <w:tcBorders>
              <w:top w:val="nil"/>
              <w:left w:val="nil"/>
              <w:bottom w:val="nil"/>
              <w:right w:val="nil"/>
            </w:tcBorders>
            <w:vAlign w:val="bottom"/>
            <w:hideMark/>
          </w:tcPr>
          <w:p w14:paraId="275D7516" w14:textId="1582D9AB" w:rsidR="00354A55" w:rsidRPr="00DE096C" w:rsidRDefault="0006581C" w:rsidP="00D45A46">
            <w:pPr>
              <w:jc w:val="both"/>
              <w:rPr>
                <w:bCs/>
                <w:color w:val="002060"/>
                <w:sz w:val="16"/>
                <w:szCs w:val="16"/>
              </w:rPr>
            </w:pPr>
            <w:r>
              <w:rPr>
                <w:bCs/>
                <w:color w:val="002060"/>
                <w:sz w:val="16"/>
                <w:szCs w:val="16"/>
              </w:rPr>
              <w:t xml:space="preserve"> </w:t>
            </w:r>
            <w:r w:rsidR="00354A55" w:rsidRPr="00DE096C">
              <w:rPr>
                <w:bCs/>
                <w:color w:val="002060"/>
                <w:sz w:val="16"/>
                <w:szCs w:val="16"/>
              </w:rPr>
              <w:t xml:space="preserve"> "Аксай"</w:t>
            </w:r>
          </w:p>
        </w:tc>
        <w:tc>
          <w:tcPr>
            <w:tcW w:w="0" w:type="auto"/>
            <w:tcBorders>
              <w:top w:val="nil"/>
              <w:left w:val="nil"/>
              <w:bottom w:val="nil"/>
              <w:right w:val="nil"/>
            </w:tcBorders>
            <w:vAlign w:val="bottom"/>
            <w:hideMark/>
          </w:tcPr>
          <w:p w14:paraId="47619DC4" w14:textId="0EC8F672" w:rsidR="00354A55" w:rsidRPr="00DE096C" w:rsidRDefault="0006581C" w:rsidP="00D45A46">
            <w:pPr>
              <w:jc w:val="both"/>
              <w:rPr>
                <w:bCs/>
                <w:color w:val="002060"/>
                <w:sz w:val="16"/>
                <w:szCs w:val="16"/>
              </w:rPr>
            </w:pPr>
            <w:r>
              <w:rPr>
                <w:bCs/>
                <w:color w:val="002060"/>
                <w:sz w:val="16"/>
                <w:szCs w:val="16"/>
              </w:rPr>
              <w:t xml:space="preserve"> </w:t>
            </w:r>
            <w:r w:rsidR="00354A55" w:rsidRPr="00DE096C">
              <w:rPr>
                <w:bCs/>
                <w:color w:val="002060"/>
                <w:sz w:val="16"/>
                <w:szCs w:val="16"/>
              </w:rPr>
              <w:t xml:space="preserve"> 2</w:t>
            </w:r>
          </w:p>
        </w:tc>
        <w:tc>
          <w:tcPr>
            <w:tcW w:w="0" w:type="auto"/>
            <w:tcBorders>
              <w:top w:val="nil"/>
              <w:left w:val="nil"/>
              <w:bottom w:val="nil"/>
              <w:right w:val="nil"/>
            </w:tcBorders>
            <w:vAlign w:val="bottom"/>
            <w:hideMark/>
          </w:tcPr>
          <w:p w14:paraId="06EE3AB4" w14:textId="643A48F2" w:rsidR="00354A55" w:rsidRPr="00DE096C" w:rsidRDefault="0006581C" w:rsidP="00D45A46">
            <w:pPr>
              <w:jc w:val="both"/>
              <w:rPr>
                <w:bCs/>
                <w:color w:val="002060"/>
                <w:sz w:val="16"/>
                <w:szCs w:val="16"/>
              </w:rPr>
            </w:pPr>
            <w:r>
              <w:rPr>
                <w:bCs/>
                <w:color w:val="002060"/>
                <w:sz w:val="16"/>
                <w:szCs w:val="16"/>
              </w:rPr>
              <w:t xml:space="preserve"> </w:t>
            </w:r>
            <w:r w:rsidR="00354A55" w:rsidRPr="00DE096C">
              <w:rPr>
                <w:bCs/>
                <w:color w:val="002060"/>
                <w:sz w:val="16"/>
                <w:szCs w:val="16"/>
              </w:rPr>
              <w:t xml:space="preserve"> 11</w:t>
            </w:r>
          </w:p>
        </w:tc>
        <w:tc>
          <w:tcPr>
            <w:tcW w:w="0" w:type="auto"/>
            <w:tcBorders>
              <w:top w:val="nil"/>
              <w:left w:val="nil"/>
              <w:bottom w:val="nil"/>
              <w:right w:val="nil"/>
            </w:tcBorders>
            <w:vAlign w:val="bottom"/>
            <w:hideMark/>
          </w:tcPr>
          <w:p w14:paraId="7C4EBE57" w14:textId="3B3EE07D" w:rsidR="00354A55" w:rsidRPr="00DE096C" w:rsidRDefault="0006581C" w:rsidP="00D45A46">
            <w:pPr>
              <w:jc w:val="both"/>
              <w:rPr>
                <w:bCs/>
                <w:color w:val="002060"/>
                <w:sz w:val="16"/>
                <w:szCs w:val="16"/>
              </w:rPr>
            </w:pPr>
            <w:r>
              <w:rPr>
                <w:bCs/>
                <w:color w:val="002060"/>
                <w:sz w:val="16"/>
                <w:szCs w:val="16"/>
              </w:rPr>
              <w:t xml:space="preserve"> </w:t>
            </w:r>
            <w:r w:rsidR="00354A55" w:rsidRPr="00DE096C">
              <w:rPr>
                <w:bCs/>
                <w:color w:val="002060"/>
                <w:sz w:val="16"/>
                <w:szCs w:val="16"/>
              </w:rPr>
              <w:t xml:space="preserve"> 19</w:t>
            </w:r>
          </w:p>
        </w:tc>
        <w:tc>
          <w:tcPr>
            <w:tcW w:w="0" w:type="auto"/>
            <w:tcBorders>
              <w:top w:val="nil"/>
              <w:left w:val="nil"/>
              <w:bottom w:val="nil"/>
              <w:right w:val="nil"/>
            </w:tcBorders>
            <w:vAlign w:val="bottom"/>
            <w:hideMark/>
          </w:tcPr>
          <w:p w14:paraId="73E8FD39" w14:textId="32B988F6" w:rsidR="00354A55" w:rsidRPr="00DE096C" w:rsidRDefault="0006581C" w:rsidP="00D45A46">
            <w:pPr>
              <w:jc w:val="both"/>
              <w:rPr>
                <w:bCs/>
                <w:color w:val="002060"/>
                <w:sz w:val="16"/>
                <w:szCs w:val="16"/>
              </w:rPr>
            </w:pPr>
            <w:r>
              <w:rPr>
                <w:bCs/>
                <w:color w:val="002060"/>
                <w:sz w:val="16"/>
                <w:szCs w:val="16"/>
              </w:rPr>
              <w:t xml:space="preserve"> </w:t>
            </w:r>
            <w:r w:rsidR="00354A55" w:rsidRPr="00DE096C">
              <w:rPr>
                <w:bCs/>
                <w:color w:val="002060"/>
                <w:sz w:val="16"/>
                <w:szCs w:val="16"/>
              </w:rPr>
              <w:t xml:space="preserve"> 21</w:t>
            </w:r>
          </w:p>
        </w:tc>
        <w:tc>
          <w:tcPr>
            <w:tcW w:w="0" w:type="auto"/>
            <w:tcBorders>
              <w:top w:val="nil"/>
              <w:left w:val="nil"/>
              <w:bottom w:val="nil"/>
              <w:right w:val="nil"/>
            </w:tcBorders>
            <w:vAlign w:val="bottom"/>
            <w:hideMark/>
          </w:tcPr>
          <w:p w14:paraId="4C476A05" w14:textId="211494EE" w:rsidR="00354A55" w:rsidRPr="00DE096C" w:rsidRDefault="0006581C" w:rsidP="00D45A46">
            <w:pPr>
              <w:jc w:val="both"/>
              <w:rPr>
                <w:bCs/>
                <w:color w:val="002060"/>
                <w:sz w:val="16"/>
                <w:szCs w:val="16"/>
              </w:rPr>
            </w:pPr>
            <w:r>
              <w:rPr>
                <w:bCs/>
                <w:color w:val="002060"/>
                <w:sz w:val="16"/>
                <w:szCs w:val="16"/>
              </w:rPr>
              <w:t xml:space="preserve"> </w:t>
            </w:r>
            <w:r w:rsidR="00354A55" w:rsidRPr="00DE096C">
              <w:rPr>
                <w:bCs/>
                <w:color w:val="002060"/>
                <w:sz w:val="16"/>
                <w:szCs w:val="16"/>
              </w:rPr>
              <w:t xml:space="preserve"> 38</w:t>
            </w:r>
          </w:p>
        </w:tc>
        <w:tc>
          <w:tcPr>
            <w:tcW w:w="0" w:type="auto"/>
            <w:tcBorders>
              <w:top w:val="nil"/>
              <w:left w:val="nil"/>
              <w:bottom w:val="nil"/>
              <w:right w:val="nil"/>
            </w:tcBorders>
            <w:vAlign w:val="bottom"/>
            <w:hideMark/>
          </w:tcPr>
          <w:p w14:paraId="6ABB1476" w14:textId="4291E81D" w:rsidR="00354A55" w:rsidRPr="00DE096C" w:rsidRDefault="0006581C" w:rsidP="00D45A46">
            <w:pPr>
              <w:jc w:val="both"/>
              <w:rPr>
                <w:bCs/>
                <w:color w:val="002060"/>
                <w:sz w:val="16"/>
                <w:szCs w:val="16"/>
              </w:rPr>
            </w:pPr>
            <w:r>
              <w:rPr>
                <w:bCs/>
                <w:color w:val="002060"/>
                <w:sz w:val="16"/>
                <w:szCs w:val="16"/>
              </w:rPr>
              <w:t xml:space="preserve"> </w:t>
            </w:r>
            <w:r w:rsidR="00354A55" w:rsidRPr="00DE096C">
              <w:rPr>
                <w:bCs/>
                <w:color w:val="002060"/>
                <w:sz w:val="16"/>
                <w:szCs w:val="16"/>
              </w:rPr>
              <w:t xml:space="preserve"> 55</w:t>
            </w:r>
          </w:p>
        </w:tc>
        <w:tc>
          <w:tcPr>
            <w:tcW w:w="0" w:type="auto"/>
            <w:tcBorders>
              <w:top w:val="nil"/>
              <w:left w:val="nil"/>
              <w:bottom w:val="nil"/>
              <w:right w:val="nil"/>
            </w:tcBorders>
            <w:vAlign w:val="bottom"/>
            <w:hideMark/>
          </w:tcPr>
          <w:p w14:paraId="260CDA1F" w14:textId="143B73ED" w:rsidR="00354A55" w:rsidRPr="00DE096C" w:rsidRDefault="0006581C" w:rsidP="00D45A46">
            <w:pPr>
              <w:jc w:val="both"/>
              <w:rPr>
                <w:bCs/>
                <w:color w:val="002060"/>
                <w:sz w:val="16"/>
                <w:szCs w:val="16"/>
              </w:rPr>
            </w:pPr>
            <w:r>
              <w:rPr>
                <w:bCs/>
                <w:color w:val="002060"/>
                <w:sz w:val="16"/>
                <w:szCs w:val="16"/>
              </w:rPr>
              <w:t xml:space="preserve"> </w:t>
            </w:r>
            <w:r w:rsidR="00354A55" w:rsidRPr="00DE096C">
              <w:rPr>
                <w:bCs/>
                <w:color w:val="002060"/>
                <w:sz w:val="16"/>
                <w:szCs w:val="16"/>
              </w:rPr>
              <w:t xml:space="preserve"> 76</w:t>
            </w:r>
          </w:p>
        </w:tc>
        <w:tc>
          <w:tcPr>
            <w:tcW w:w="0" w:type="auto"/>
            <w:tcBorders>
              <w:top w:val="nil"/>
              <w:left w:val="nil"/>
              <w:bottom w:val="nil"/>
              <w:right w:val="nil"/>
            </w:tcBorders>
            <w:vAlign w:val="bottom"/>
            <w:hideMark/>
          </w:tcPr>
          <w:p w14:paraId="56189647" w14:textId="3A677C6A" w:rsidR="00354A55" w:rsidRPr="00DE096C" w:rsidRDefault="0006581C" w:rsidP="00D45A46">
            <w:pPr>
              <w:jc w:val="both"/>
              <w:rPr>
                <w:bCs/>
                <w:color w:val="002060"/>
                <w:sz w:val="16"/>
                <w:szCs w:val="16"/>
              </w:rPr>
            </w:pPr>
            <w:r>
              <w:rPr>
                <w:bCs/>
                <w:color w:val="002060"/>
                <w:sz w:val="16"/>
                <w:szCs w:val="16"/>
              </w:rPr>
              <w:t xml:space="preserve"> </w:t>
            </w:r>
            <w:r w:rsidR="00354A55" w:rsidRPr="00DE096C">
              <w:rPr>
                <w:bCs/>
                <w:color w:val="002060"/>
                <w:sz w:val="16"/>
                <w:szCs w:val="16"/>
              </w:rPr>
              <w:t xml:space="preserve"> 121</w:t>
            </w:r>
          </w:p>
        </w:tc>
        <w:tc>
          <w:tcPr>
            <w:tcW w:w="0" w:type="auto"/>
            <w:tcBorders>
              <w:top w:val="nil"/>
              <w:left w:val="nil"/>
              <w:bottom w:val="nil"/>
              <w:right w:val="nil"/>
            </w:tcBorders>
            <w:vAlign w:val="bottom"/>
            <w:hideMark/>
          </w:tcPr>
          <w:p w14:paraId="0849F26B" w14:textId="7F6402CF" w:rsidR="00354A55" w:rsidRPr="00DE096C" w:rsidRDefault="0006581C" w:rsidP="00D45A46">
            <w:pPr>
              <w:jc w:val="both"/>
              <w:rPr>
                <w:bCs/>
                <w:color w:val="002060"/>
                <w:sz w:val="16"/>
                <w:szCs w:val="16"/>
              </w:rPr>
            </w:pPr>
            <w:r>
              <w:rPr>
                <w:bCs/>
                <w:color w:val="002060"/>
                <w:sz w:val="16"/>
                <w:szCs w:val="16"/>
              </w:rPr>
              <w:t xml:space="preserve"> </w:t>
            </w:r>
            <w:r w:rsidR="00354A55" w:rsidRPr="00DE096C">
              <w:rPr>
                <w:bCs/>
                <w:color w:val="002060"/>
                <w:sz w:val="16"/>
                <w:szCs w:val="16"/>
              </w:rPr>
              <w:t xml:space="preserve"> 343</w:t>
            </w:r>
          </w:p>
        </w:tc>
      </w:tr>
    </w:tbl>
    <w:p w14:paraId="62BAD884" w14:textId="77777777" w:rsidR="00354A55" w:rsidRPr="00DE096C" w:rsidRDefault="00354A55" w:rsidP="00D45A46">
      <w:pPr>
        <w:jc w:val="both"/>
        <w:rPr>
          <w:bCs/>
          <w:color w:val="002060"/>
          <w:sz w:val="16"/>
          <w:szCs w:val="16"/>
        </w:rPr>
      </w:pPr>
      <w:r w:rsidRPr="00DE096C">
        <w:rPr>
          <w:bCs/>
          <w:color w:val="002060"/>
          <w:sz w:val="16"/>
          <w:szCs w:val="16"/>
        </w:rPr>
        <w:t>(18376).</w:t>
      </w:r>
    </w:p>
    <w:p w14:paraId="35112CD3" w14:textId="77777777" w:rsidR="00354A55" w:rsidRPr="00DE096C" w:rsidRDefault="00354A55" w:rsidP="00D45A46">
      <w:pPr>
        <w:jc w:val="both"/>
        <w:rPr>
          <w:bCs/>
          <w:color w:val="002060"/>
          <w:sz w:val="16"/>
          <w:szCs w:val="16"/>
        </w:rPr>
      </w:pPr>
    </w:p>
    <w:p w14:paraId="6EF17191" w14:textId="75B79D17" w:rsidR="00537264" w:rsidRPr="00DE096C" w:rsidRDefault="00CA3780" w:rsidP="00D45A46">
      <w:pPr>
        <w:jc w:val="both"/>
        <w:rPr>
          <w:bCs/>
          <w:color w:val="002060"/>
          <w:sz w:val="16"/>
          <w:szCs w:val="16"/>
        </w:rPr>
      </w:pPr>
      <w:r w:rsidRPr="00DE096C">
        <w:rPr>
          <w:bCs/>
          <w:color w:val="002060"/>
          <w:sz w:val="16"/>
          <w:szCs w:val="16"/>
        </w:rPr>
        <w:t>С</w:t>
      </w:r>
      <w:r w:rsidR="00537264" w:rsidRPr="00DE096C">
        <w:rPr>
          <w:bCs/>
          <w:color w:val="002060"/>
          <w:sz w:val="16"/>
          <w:szCs w:val="16"/>
        </w:rPr>
        <w:t xml:space="preserve"> осени 1914 г. </w:t>
      </w:r>
      <w:r w:rsidRPr="00DE096C">
        <w:rPr>
          <w:bCs/>
          <w:color w:val="002060"/>
          <w:sz w:val="16"/>
          <w:szCs w:val="16"/>
        </w:rPr>
        <w:t xml:space="preserve">после объявления войны Турцией </w:t>
      </w:r>
      <w:r w:rsidR="00537264" w:rsidRPr="00DE096C">
        <w:rPr>
          <w:bCs/>
          <w:color w:val="002060"/>
          <w:sz w:val="16"/>
          <w:szCs w:val="16"/>
        </w:rPr>
        <w:t>наш вывоз падает сразу на 98%, а ввоз на 95%. Таким образом, Россия оказалась «блокированной» в большей степени, нежели Германия.</w:t>
      </w:r>
    </w:p>
    <w:p w14:paraId="3F9EBC7D" w14:textId="77777777" w:rsidR="00537264" w:rsidRPr="00DE096C" w:rsidRDefault="00537264" w:rsidP="00D45A46">
      <w:pPr>
        <w:jc w:val="both"/>
        <w:rPr>
          <w:bCs/>
          <w:color w:val="002060"/>
          <w:sz w:val="16"/>
          <w:szCs w:val="16"/>
        </w:rPr>
      </w:pPr>
      <w:r w:rsidRPr="00DE096C">
        <w:rPr>
          <w:bCs/>
          <w:color w:val="002060"/>
          <w:sz w:val="16"/>
          <w:szCs w:val="16"/>
        </w:rPr>
        <w:t xml:space="preserve">Могут быть сделаны упреки русскому правительству, не предвидевшему в мирное время легкости блокады России и не приступившему раньше к перешивке Архангельской железной дороги, развитию движения по Сибирскому пути и к постройке Мурманской линии, но на это требовались опять-таки деньги. Да и все эти меры являлись слабым паллиативом. </w:t>
      </w:r>
    </w:p>
    <w:p w14:paraId="47B1E824" w14:textId="77777777" w:rsidR="00537264" w:rsidRPr="00DE096C" w:rsidRDefault="00537264" w:rsidP="00D45A46">
      <w:pPr>
        <w:jc w:val="both"/>
        <w:rPr>
          <w:bCs/>
          <w:color w:val="002060"/>
          <w:sz w:val="16"/>
          <w:szCs w:val="16"/>
        </w:rPr>
      </w:pPr>
      <w:r w:rsidRPr="00DE096C">
        <w:rPr>
          <w:bCs/>
          <w:color w:val="002060"/>
          <w:sz w:val="16"/>
          <w:szCs w:val="16"/>
        </w:rPr>
        <w:t>Блокада во время войны являлась для России тем более чувствительной, что слабое развитие русской общей промышленности не было в состоянии ответить колоссальным требованиям современной войны в области вооружения, огнестрельных припасов и сложного, многочисленного технического оборудования и снабжения. Отсюда следует, что по сравнению с остальными европейскими государствами от России требовалось:</w:t>
      </w:r>
    </w:p>
    <w:p w14:paraId="0F239A07" w14:textId="77777777" w:rsidR="00537264" w:rsidRPr="00DE096C" w:rsidRDefault="00537264" w:rsidP="00D45A46">
      <w:pPr>
        <w:jc w:val="both"/>
        <w:rPr>
          <w:bCs/>
          <w:color w:val="002060"/>
          <w:sz w:val="16"/>
          <w:szCs w:val="16"/>
        </w:rPr>
      </w:pPr>
      <w:r w:rsidRPr="00DE096C">
        <w:rPr>
          <w:bCs/>
          <w:color w:val="002060"/>
          <w:sz w:val="16"/>
          <w:szCs w:val="16"/>
        </w:rPr>
        <w:t xml:space="preserve">а) принятие в мирное время гораздо больших норм для мобилизационных запасов, </w:t>
      </w:r>
    </w:p>
    <w:p w14:paraId="63D8B610" w14:textId="77777777" w:rsidR="00537264" w:rsidRPr="00DE096C" w:rsidRDefault="00537264" w:rsidP="00D45A46">
      <w:pPr>
        <w:jc w:val="both"/>
        <w:rPr>
          <w:bCs/>
          <w:color w:val="002060"/>
          <w:sz w:val="16"/>
          <w:szCs w:val="16"/>
        </w:rPr>
      </w:pPr>
      <w:r w:rsidRPr="00DE096C">
        <w:rPr>
          <w:bCs/>
          <w:color w:val="002060"/>
          <w:sz w:val="16"/>
          <w:szCs w:val="16"/>
        </w:rPr>
        <w:lastRenderedPageBreak/>
        <w:t>б) наличие гораздо большего числа казенных военных заводов.</w:t>
      </w:r>
    </w:p>
    <w:p w14:paraId="0BCD7482" w14:textId="77777777" w:rsidR="00537264" w:rsidRPr="00DE096C" w:rsidRDefault="00537264" w:rsidP="00D45A46">
      <w:pPr>
        <w:jc w:val="both"/>
        <w:rPr>
          <w:bCs/>
          <w:color w:val="002060"/>
          <w:sz w:val="16"/>
          <w:szCs w:val="16"/>
        </w:rPr>
      </w:pPr>
      <w:r w:rsidRPr="00DE096C">
        <w:rPr>
          <w:bCs/>
          <w:color w:val="002060"/>
          <w:sz w:val="16"/>
          <w:szCs w:val="16"/>
        </w:rPr>
        <w:t xml:space="preserve">Посмотрим, насколько эти требования были выполнены. </w:t>
      </w:r>
    </w:p>
    <w:p w14:paraId="63FB59E5" w14:textId="77777777" w:rsidR="00537264" w:rsidRPr="00DE096C" w:rsidRDefault="00537264" w:rsidP="00D45A46">
      <w:pPr>
        <w:jc w:val="both"/>
        <w:rPr>
          <w:bCs/>
          <w:color w:val="002060"/>
          <w:sz w:val="16"/>
          <w:szCs w:val="16"/>
        </w:rPr>
      </w:pPr>
      <w:r w:rsidRPr="00DE096C">
        <w:rPr>
          <w:bCs/>
          <w:color w:val="002060"/>
          <w:sz w:val="16"/>
          <w:szCs w:val="16"/>
        </w:rPr>
        <w:t xml:space="preserve">Сопоставление расчетных норм, сделанных русским Военным ведомством в 1910 г., с требованиями, предъявленными Ставкой в 1916 г., приведено в нижеследующей таблице: </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2943"/>
        <w:gridCol w:w="1393"/>
        <w:gridCol w:w="1219"/>
        <w:gridCol w:w="1684"/>
        <w:gridCol w:w="900"/>
        <w:gridCol w:w="1219"/>
      </w:tblGrid>
      <w:tr w:rsidR="00537264" w:rsidRPr="00DE096C" w14:paraId="6B9A0312" w14:textId="77777777" w:rsidTr="00FA616C">
        <w:tc>
          <w:tcPr>
            <w:tcW w:w="2943" w:type="dxa"/>
          </w:tcPr>
          <w:p w14:paraId="3CB488A6" w14:textId="77777777" w:rsidR="00537264" w:rsidRPr="00DE096C" w:rsidRDefault="00537264" w:rsidP="00D45A46">
            <w:pPr>
              <w:jc w:val="both"/>
              <w:rPr>
                <w:bCs/>
                <w:color w:val="002060"/>
                <w:sz w:val="16"/>
                <w:szCs w:val="16"/>
              </w:rPr>
            </w:pPr>
          </w:p>
        </w:tc>
        <w:tc>
          <w:tcPr>
            <w:tcW w:w="2612" w:type="dxa"/>
            <w:gridSpan w:val="2"/>
          </w:tcPr>
          <w:p w14:paraId="74EB15B4" w14:textId="77777777" w:rsidR="00537264" w:rsidRPr="00DE096C" w:rsidRDefault="00537264" w:rsidP="00D45A46">
            <w:pPr>
              <w:jc w:val="both"/>
              <w:rPr>
                <w:bCs/>
                <w:color w:val="002060"/>
                <w:sz w:val="16"/>
                <w:szCs w:val="16"/>
              </w:rPr>
            </w:pPr>
            <w:r w:rsidRPr="00DE096C">
              <w:rPr>
                <w:bCs/>
                <w:color w:val="002060"/>
                <w:sz w:val="16"/>
                <w:szCs w:val="16"/>
              </w:rPr>
              <w:t xml:space="preserve">Штатное количество орудий </w:t>
            </w:r>
          </w:p>
        </w:tc>
        <w:tc>
          <w:tcPr>
            <w:tcW w:w="3803" w:type="dxa"/>
            <w:gridSpan w:val="3"/>
          </w:tcPr>
          <w:p w14:paraId="79AC8C94" w14:textId="77777777" w:rsidR="00537264" w:rsidRPr="00DE096C" w:rsidRDefault="00537264" w:rsidP="00D45A46">
            <w:pPr>
              <w:jc w:val="both"/>
              <w:rPr>
                <w:bCs/>
                <w:color w:val="002060"/>
                <w:sz w:val="16"/>
                <w:szCs w:val="16"/>
              </w:rPr>
            </w:pPr>
            <w:r w:rsidRPr="00DE096C">
              <w:rPr>
                <w:bCs/>
                <w:color w:val="002060"/>
                <w:sz w:val="16"/>
                <w:szCs w:val="16"/>
              </w:rPr>
              <w:t xml:space="preserve">Годичн. потребн. в орудиях </w:t>
            </w:r>
          </w:p>
        </w:tc>
      </w:tr>
      <w:tr w:rsidR="00537264" w:rsidRPr="00DE096C" w14:paraId="37618D88" w14:textId="77777777" w:rsidTr="00FA616C">
        <w:tc>
          <w:tcPr>
            <w:tcW w:w="2943" w:type="dxa"/>
          </w:tcPr>
          <w:p w14:paraId="0E74CCBE" w14:textId="77777777" w:rsidR="00537264" w:rsidRPr="00DE096C" w:rsidRDefault="00537264" w:rsidP="00D45A46">
            <w:pPr>
              <w:jc w:val="both"/>
              <w:rPr>
                <w:bCs/>
                <w:color w:val="002060"/>
                <w:sz w:val="16"/>
                <w:szCs w:val="16"/>
              </w:rPr>
            </w:pPr>
          </w:p>
        </w:tc>
        <w:tc>
          <w:tcPr>
            <w:tcW w:w="1393" w:type="dxa"/>
          </w:tcPr>
          <w:p w14:paraId="31DF4A99" w14:textId="77777777" w:rsidR="00537264" w:rsidRPr="00DE096C" w:rsidRDefault="00537264" w:rsidP="00D45A46">
            <w:pPr>
              <w:jc w:val="both"/>
              <w:rPr>
                <w:bCs/>
                <w:color w:val="002060"/>
                <w:sz w:val="16"/>
                <w:szCs w:val="16"/>
              </w:rPr>
            </w:pPr>
            <w:r w:rsidRPr="00DE096C">
              <w:rPr>
                <w:bCs/>
                <w:color w:val="002060"/>
                <w:sz w:val="16"/>
                <w:szCs w:val="16"/>
              </w:rPr>
              <w:t xml:space="preserve">По моб. распис. 1910 г. </w:t>
            </w:r>
          </w:p>
        </w:tc>
        <w:tc>
          <w:tcPr>
            <w:tcW w:w="1219" w:type="dxa"/>
          </w:tcPr>
          <w:p w14:paraId="5E3DA48D" w14:textId="77777777" w:rsidR="00537264" w:rsidRPr="00DE096C" w:rsidRDefault="00537264" w:rsidP="00D45A46">
            <w:pPr>
              <w:jc w:val="both"/>
              <w:rPr>
                <w:bCs/>
                <w:color w:val="002060"/>
                <w:sz w:val="16"/>
                <w:szCs w:val="16"/>
              </w:rPr>
            </w:pPr>
            <w:r w:rsidRPr="00DE096C">
              <w:rPr>
                <w:bCs/>
                <w:color w:val="002060"/>
                <w:sz w:val="16"/>
                <w:szCs w:val="16"/>
              </w:rPr>
              <w:t xml:space="preserve">По требованию Ставки </w:t>
            </w:r>
          </w:p>
        </w:tc>
        <w:tc>
          <w:tcPr>
            <w:tcW w:w="1684" w:type="dxa"/>
          </w:tcPr>
          <w:p w14:paraId="7DDE8E4F" w14:textId="77777777" w:rsidR="00537264" w:rsidRPr="00DE096C" w:rsidRDefault="00537264" w:rsidP="00D45A46">
            <w:pPr>
              <w:jc w:val="both"/>
              <w:rPr>
                <w:bCs/>
                <w:color w:val="002060"/>
                <w:sz w:val="16"/>
                <w:szCs w:val="16"/>
              </w:rPr>
            </w:pPr>
            <w:r w:rsidRPr="00DE096C">
              <w:rPr>
                <w:bCs/>
                <w:color w:val="002060"/>
                <w:sz w:val="16"/>
                <w:szCs w:val="16"/>
              </w:rPr>
              <w:t>Запас по мобил. расп. 1910 г.</w:t>
            </w:r>
          </w:p>
        </w:tc>
        <w:tc>
          <w:tcPr>
            <w:tcW w:w="2119" w:type="dxa"/>
            <w:gridSpan w:val="2"/>
          </w:tcPr>
          <w:p w14:paraId="5E066BC7" w14:textId="77777777" w:rsidR="00537264" w:rsidRPr="00DE096C" w:rsidRDefault="00537264" w:rsidP="00D45A46">
            <w:pPr>
              <w:jc w:val="both"/>
              <w:rPr>
                <w:bCs/>
                <w:color w:val="002060"/>
                <w:sz w:val="16"/>
                <w:szCs w:val="16"/>
              </w:rPr>
            </w:pPr>
            <w:r w:rsidRPr="00DE096C">
              <w:rPr>
                <w:bCs/>
                <w:color w:val="002060"/>
                <w:sz w:val="16"/>
                <w:szCs w:val="16"/>
              </w:rPr>
              <w:t xml:space="preserve">По требованию Ставки в 1916 г. </w:t>
            </w:r>
          </w:p>
        </w:tc>
      </w:tr>
      <w:tr w:rsidR="00537264" w:rsidRPr="00DE096C" w14:paraId="63D5B2BB" w14:textId="77777777" w:rsidTr="00FA616C">
        <w:tc>
          <w:tcPr>
            <w:tcW w:w="2943" w:type="dxa"/>
          </w:tcPr>
          <w:p w14:paraId="347F64E3" w14:textId="77777777" w:rsidR="00537264" w:rsidRPr="00DE096C" w:rsidRDefault="00537264" w:rsidP="00D45A46">
            <w:pPr>
              <w:jc w:val="both"/>
              <w:rPr>
                <w:bCs/>
                <w:color w:val="002060"/>
                <w:sz w:val="16"/>
                <w:szCs w:val="16"/>
              </w:rPr>
            </w:pPr>
          </w:p>
        </w:tc>
        <w:tc>
          <w:tcPr>
            <w:tcW w:w="1393" w:type="dxa"/>
          </w:tcPr>
          <w:p w14:paraId="164E2113" w14:textId="77777777" w:rsidR="00537264" w:rsidRPr="00DE096C" w:rsidRDefault="00537264" w:rsidP="00D45A46">
            <w:pPr>
              <w:jc w:val="both"/>
              <w:rPr>
                <w:bCs/>
                <w:color w:val="002060"/>
                <w:sz w:val="16"/>
                <w:szCs w:val="16"/>
              </w:rPr>
            </w:pPr>
          </w:p>
        </w:tc>
        <w:tc>
          <w:tcPr>
            <w:tcW w:w="1219" w:type="dxa"/>
          </w:tcPr>
          <w:p w14:paraId="4E5789C1" w14:textId="77777777" w:rsidR="00537264" w:rsidRPr="00DE096C" w:rsidRDefault="00537264" w:rsidP="00D45A46">
            <w:pPr>
              <w:jc w:val="both"/>
              <w:rPr>
                <w:bCs/>
                <w:color w:val="002060"/>
                <w:sz w:val="16"/>
                <w:szCs w:val="16"/>
              </w:rPr>
            </w:pPr>
          </w:p>
        </w:tc>
        <w:tc>
          <w:tcPr>
            <w:tcW w:w="1684" w:type="dxa"/>
          </w:tcPr>
          <w:p w14:paraId="0F4C7F44" w14:textId="77777777" w:rsidR="00537264" w:rsidRPr="00DE096C" w:rsidRDefault="00537264" w:rsidP="00D45A46">
            <w:pPr>
              <w:jc w:val="both"/>
              <w:rPr>
                <w:bCs/>
                <w:color w:val="002060"/>
                <w:sz w:val="16"/>
                <w:szCs w:val="16"/>
              </w:rPr>
            </w:pPr>
          </w:p>
        </w:tc>
        <w:tc>
          <w:tcPr>
            <w:tcW w:w="900" w:type="dxa"/>
          </w:tcPr>
          <w:p w14:paraId="04BB187E" w14:textId="77777777" w:rsidR="00537264" w:rsidRPr="00DE096C" w:rsidRDefault="00537264" w:rsidP="00D45A46">
            <w:pPr>
              <w:jc w:val="both"/>
              <w:rPr>
                <w:bCs/>
                <w:color w:val="002060"/>
                <w:sz w:val="16"/>
                <w:szCs w:val="16"/>
              </w:rPr>
            </w:pPr>
            <w:r w:rsidRPr="00DE096C">
              <w:rPr>
                <w:bCs/>
                <w:color w:val="002060"/>
                <w:sz w:val="16"/>
                <w:szCs w:val="16"/>
              </w:rPr>
              <w:t xml:space="preserve">Новые </w:t>
            </w:r>
          </w:p>
        </w:tc>
        <w:tc>
          <w:tcPr>
            <w:tcW w:w="1219" w:type="dxa"/>
          </w:tcPr>
          <w:p w14:paraId="18A74383" w14:textId="77777777" w:rsidR="00537264" w:rsidRPr="00DE096C" w:rsidRDefault="00537264" w:rsidP="00D45A46">
            <w:pPr>
              <w:jc w:val="both"/>
              <w:rPr>
                <w:bCs/>
                <w:color w:val="002060"/>
                <w:sz w:val="16"/>
                <w:szCs w:val="16"/>
              </w:rPr>
            </w:pPr>
            <w:r w:rsidRPr="00DE096C">
              <w:rPr>
                <w:bCs/>
                <w:color w:val="002060"/>
                <w:sz w:val="16"/>
                <w:szCs w:val="16"/>
              </w:rPr>
              <w:t xml:space="preserve">Ремонт расстрелянных </w:t>
            </w:r>
          </w:p>
        </w:tc>
      </w:tr>
      <w:tr w:rsidR="00537264" w:rsidRPr="00DE096C" w14:paraId="5483A7F5" w14:textId="77777777" w:rsidTr="00FA616C">
        <w:tc>
          <w:tcPr>
            <w:tcW w:w="2943" w:type="dxa"/>
          </w:tcPr>
          <w:p w14:paraId="1836AE57" w14:textId="77777777" w:rsidR="00537264" w:rsidRPr="00DE096C" w:rsidRDefault="00537264" w:rsidP="00D45A46">
            <w:pPr>
              <w:jc w:val="both"/>
              <w:rPr>
                <w:bCs/>
                <w:color w:val="002060"/>
                <w:sz w:val="16"/>
                <w:szCs w:val="16"/>
              </w:rPr>
            </w:pPr>
            <w:r w:rsidRPr="00DE096C">
              <w:rPr>
                <w:bCs/>
                <w:color w:val="002060"/>
                <w:sz w:val="16"/>
                <w:szCs w:val="16"/>
              </w:rPr>
              <w:t xml:space="preserve">Легкие пушки 3-дюймовые </w:t>
            </w:r>
          </w:p>
        </w:tc>
        <w:tc>
          <w:tcPr>
            <w:tcW w:w="1393" w:type="dxa"/>
          </w:tcPr>
          <w:p w14:paraId="04CB037F" w14:textId="77777777" w:rsidR="00537264" w:rsidRPr="00DE096C" w:rsidRDefault="00537264" w:rsidP="00D45A46">
            <w:pPr>
              <w:jc w:val="both"/>
              <w:rPr>
                <w:bCs/>
                <w:color w:val="002060"/>
                <w:sz w:val="16"/>
                <w:szCs w:val="16"/>
              </w:rPr>
            </w:pPr>
            <w:r w:rsidRPr="00DE096C">
              <w:rPr>
                <w:bCs/>
                <w:color w:val="002060"/>
                <w:sz w:val="16"/>
                <w:szCs w:val="16"/>
              </w:rPr>
              <w:t xml:space="preserve">6336 </w:t>
            </w:r>
          </w:p>
        </w:tc>
        <w:tc>
          <w:tcPr>
            <w:tcW w:w="1219" w:type="dxa"/>
          </w:tcPr>
          <w:p w14:paraId="7B51C1FA" w14:textId="77777777" w:rsidR="00537264" w:rsidRPr="00DE096C" w:rsidRDefault="00537264" w:rsidP="00D45A46">
            <w:pPr>
              <w:jc w:val="both"/>
              <w:rPr>
                <w:bCs/>
                <w:color w:val="002060"/>
                <w:sz w:val="16"/>
                <w:szCs w:val="16"/>
              </w:rPr>
            </w:pPr>
            <w:r w:rsidRPr="00DE096C">
              <w:rPr>
                <w:bCs/>
                <w:color w:val="002060"/>
                <w:sz w:val="16"/>
                <w:szCs w:val="16"/>
              </w:rPr>
              <w:t xml:space="preserve">11200 </w:t>
            </w:r>
          </w:p>
        </w:tc>
        <w:tc>
          <w:tcPr>
            <w:tcW w:w="1684" w:type="dxa"/>
          </w:tcPr>
          <w:p w14:paraId="0A8B7F6C" w14:textId="77777777" w:rsidR="00537264" w:rsidRPr="00DE096C" w:rsidRDefault="00537264" w:rsidP="00D45A46">
            <w:pPr>
              <w:jc w:val="both"/>
              <w:rPr>
                <w:bCs/>
                <w:color w:val="002060"/>
                <w:sz w:val="16"/>
                <w:szCs w:val="16"/>
              </w:rPr>
            </w:pPr>
            <w:r w:rsidRPr="00DE096C">
              <w:rPr>
                <w:bCs/>
                <w:color w:val="002060"/>
                <w:sz w:val="16"/>
                <w:szCs w:val="16"/>
              </w:rPr>
              <w:t xml:space="preserve">889 </w:t>
            </w:r>
          </w:p>
        </w:tc>
        <w:tc>
          <w:tcPr>
            <w:tcW w:w="900" w:type="dxa"/>
          </w:tcPr>
          <w:p w14:paraId="24A3FF6B" w14:textId="77777777" w:rsidR="00537264" w:rsidRPr="00DE096C" w:rsidRDefault="00537264" w:rsidP="00D45A46">
            <w:pPr>
              <w:jc w:val="both"/>
              <w:rPr>
                <w:bCs/>
                <w:color w:val="002060"/>
                <w:sz w:val="16"/>
                <w:szCs w:val="16"/>
              </w:rPr>
            </w:pPr>
            <w:r w:rsidRPr="00DE096C">
              <w:rPr>
                <w:bCs/>
                <w:color w:val="002060"/>
                <w:sz w:val="16"/>
                <w:szCs w:val="16"/>
              </w:rPr>
              <w:t xml:space="preserve">6720 </w:t>
            </w:r>
          </w:p>
        </w:tc>
        <w:tc>
          <w:tcPr>
            <w:tcW w:w="1219" w:type="dxa"/>
          </w:tcPr>
          <w:p w14:paraId="428A73A7" w14:textId="77777777" w:rsidR="00537264" w:rsidRPr="00DE096C" w:rsidRDefault="00537264" w:rsidP="00D45A46">
            <w:pPr>
              <w:jc w:val="both"/>
              <w:rPr>
                <w:bCs/>
                <w:color w:val="002060"/>
                <w:sz w:val="16"/>
                <w:szCs w:val="16"/>
              </w:rPr>
            </w:pPr>
            <w:r w:rsidRPr="00DE096C">
              <w:rPr>
                <w:bCs/>
                <w:color w:val="002060"/>
                <w:sz w:val="16"/>
                <w:szCs w:val="16"/>
              </w:rPr>
              <w:t xml:space="preserve">3780 </w:t>
            </w:r>
          </w:p>
        </w:tc>
      </w:tr>
      <w:tr w:rsidR="00537264" w:rsidRPr="00DE096C" w14:paraId="4564B704" w14:textId="77777777" w:rsidTr="00FA616C">
        <w:tc>
          <w:tcPr>
            <w:tcW w:w="2943" w:type="dxa"/>
          </w:tcPr>
          <w:p w14:paraId="59CF371F" w14:textId="77777777" w:rsidR="00537264" w:rsidRPr="00DE096C" w:rsidRDefault="00537264" w:rsidP="00D45A46">
            <w:pPr>
              <w:jc w:val="both"/>
              <w:rPr>
                <w:bCs/>
                <w:color w:val="002060"/>
                <w:sz w:val="16"/>
                <w:szCs w:val="16"/>
              </w:rPr>
            </w:pPr>
            <w:r w:rsidRPr="00DE096C">
              <w:rPr>
                <w:bCs/>
                <w:color w:val="002060"/>
                <w:sz w:val="16"/>
                <w:szCs w:val="16"/>
              </w:rPr>
              <w:t xml:space="preserve">Полевые легкие гаубицы (48-лн. и 45-лн.) </w:t>
            </w:r>
          </w:p>
        </w:tc>
        <w:tc>
          <w:tcPr>
            <w:tcW w:w="1393" w:type="dxa"/>
          </w:tcPr>
          <w:p w14:paraId="7D828749" w14:textId="77777777" w:rsidR="00537264" w:rsidRPr="00DE096C" w:rsidRDefault="00537264" w:rsidP="00D45A46">
            <w:pPr>
              <w:jc w:val="both"/>
              <w:rPr>
                <w:bCs/>
                <w:color w:val="002060"/>
                <w:sz w:val="16"/>
                <w:szCs w:val="16"/>
              </w:rPr>
            </w:pPr>
            <w:r w:rsidRPr="00DE096C">
              <w:rPr>
                <w:bCs/>
                <w:color w:val="002060"/>
                <w:sz w:val="16"/>
                <w:szCs w:val="16"/>
              </w:rPr>
              <w:t xml:space="preserve">512 </w:t>
            </w:r>
          </w:p>
        </w:tc>
        <w:tc>
          <w:tcPr>
            <w:tcW w:w="1219" w:type="dxa"/>
          </w:tcPr>
          <w:p w14:paraId="138CF25C" w14:textId="77777777" w:rsidR="00537264" w:rsidRPr="00DE096C" w:rsidRDefault="00537264" w:rsidP="00D45A46">
            <w:pPr>
              <w:jc w:val="both"/>
              <w:rPr>
                <w:bCs/>
                <w:color w:val="002060"/>
                <w:sz w:val="16"/>
                <w:szCs w:val="16"/>
              </w:rPr>
            </w:pPr>
            <w:r w:rsidRPr="00DE096C">
              <w:rPr>
                <w:bCs/>
                <w:color w:val="002060"/>
                <w:sz w:val="16"/>
                <w:szCs w:val="16"/>
              </w:rPr>
              <w:t xml:space="preserve">2160 </w:t>
            </w:r>
          </w:p>
        </w:tc>
        <w:tc>
          <w:tcPr>
            <w:tcW w:w="1684" w:type="dxa"/>
          </w:tcPr>
          <w:p w14:paraId="213A6A32" w14:textId="77777777" w:rsidR="00537264" w:rsidRPr="00DE096C" w:rsidRDefault="00537264" w:rsidP="00D45A46">
            <w:pPr>
              <w:jc w:val="both"/>
              <w:rPr>
                <w:bCs/>
                <w:color w:val="002060"/>
                <w:sz w:val="16"/>
                <w:szCs w:val="16"/>
              </w:rPr>
            </w:pPr>
            <w:r w:rsidRPr="00DE096C">
              <w:rPr>
                <w:bCs/>
                <w:color w:val="002060"/>
                <w:sz w:val="16"/>
                <w:szCs w:val="16"/>
              </w:rPr>
              <w:t xml:space="preserve">74 </w:t>
            </w:r>
          </w:p>
        </w:tc>
        <w:tc>
          <w:tcPr>
            <w:tcW w:w="900" w:type="dxa"/>
          </w:tcPr>
          <w:p w14:paraId="5908D189" w14:textId="77777777" w:rsidR="00537264" w:rsidRPr="00DE096C" w:rsidRDefault="00537264" w:rsidP="00D45A46">
            <w:pPr>
              <w:jc w:val="both"/>
              <w:rPr>
                <w:bCs/>
                <w:color w:val="002060"/>
                <w:sz w:val="16"/>
                <w:szCs w:val="16"/>
              </w:rPr>
            </w:pPr>
            <w:r w:rsidRPr="00DE096C">
              <w:rPr>
                <w:bCs/>
                <w:color w:val="002060"/>
                <w:sz w:val="16"/>
                <w:szCs w:val="16"/>
              </w:rPr>
              <w:t xml:space="preserve">1476 </w:t>
            </w:r>
          </w:p>
        </w:tc>
        <w:tc>
          <w:tcPr>
            <w:tcW w:w="1219" w:type="dxa"/>
          </w:tcPr>
          <w:p w14:paraId="425B58A6" w14:textId="77777777" w:rsidR="00537264" w:rsidRPr="00DE096C" w:rsidRDefault="00537264" w:rsidP="00D45A46">
            <w:pPr>
              <w:jc w:val="both"/>
              <w:rPr>
                <w:bCs/>
                <w:color w:val="002060"/>
                <w:sz w:val="16"/>
                <w:szCs w:val="16"/>
              </w:rPr>
            </w:pPr>
            <w:r w:rsidRPr="00DE096C">
              <w:rPr>
                <w:bCs/>
                <w:color w:val="002060"/>
                <w:sz w:val="16"/>
                <w:szCs w:val="16"/>
              </w:rPr>
              <w:t xml:space="preserve">84 </w:t>
            </w:r>
          </w:p>
        </w:tc>
      </w:tr>
      <w:tr w:rsidR="00537264" w:rsidRPr="00DE096C" w14:paraId="2CA71D72" w14:textId="77777777" w:rsidTr="00FA616C">
        <w:tc>
          <w:tcPr>
            <w:tcW w:w="2943" w:type="dxa"/>
          </w:tcPr>
          <w:p w14:paraId="43CDDEB5" w14:textId="77777777" w:rsidR="00537264" w:rsidRPr="00DE096C" w:rsidRDefault="00537264" w:rsidP="00D45A46">
            <w:pPr>
              <w:jc w:val="both"/>
              <w:rPr>
                <w:bCs/>
                <w:color w:val="002060"/>
                <w:sz w:val="16"/>
                <w:szCs w:val="16"/>
              </w:rPr>
            </w:pPr>
            <w:r w:rsidRPr="00DE096C">
              <w:rPr>
                <w:bCs/>
                <w:color w:val="002060"/>
                <w:sz w:val="16"/>
                <w:szCs w:val="16"/>
              </w:rPr>
              <w:t xml:space="preserve">Полевая тяжелая арт. (4-дм. Пушки и 6-дм. гауб.) </w:t>
            </w:r>
          </w:p>
        </w:tc>
        <w:tc>
          <w:tcPr>
            <w:tcW w:w="1393" w:type="dxa"/>
          </w:tcPr>
          <w:p w14:paraId="4BE59FD1" w14:textId="77777777" w:rsidR="00537264" w:rsidRPr="00DE096C" w:rsidRDefault="00537264" w:rsidP="00D45A46">
            <w:pPr>
              <w:jc w:val="both"/>
              <w:rPr>
                <w:bCs/>
                <w:color w:val="002060"/>
                <w:sz w:val="16"/>
                <w:szCs w:val="16"/>
              </w:rPr>
            </w:pPr>
            <w:r w:rsidRPr="00DE096C">
              <w:rPr>
                <w:bCs/>
                <w:color w:val="002060"/>
                <w:sz w:val="16"/>
                <w:szCs w:val="16"/>
              </w:rPr>
              <w:t xml:space="preserve">240 </w:t>
            </w:r>
          </w:p>
        </w:tc>
        <w:tc>
          <w:tcPr>
            <w:tcW w:w="1219" w:type="dxa"/>
          </w:tcPr>
          <w:p w14:paraId="4330FB81" w14:textId="77777777" w:rsidR="00537264" w:rsidRPr="00DE096C" w:rsidRDefault="00537264" w:rsidP="00D45A46">
            <w:pPr>
              <w:jc w:val="both"/>
              <w:rPr>
                <w:bCs/>
                <w:color w:val="002060"/>
                <w:sz w:val="16"/>
                <w:szCs w:val="16"/>
              </w:rPr>
            </w:pPr>
            <w:r w:rsidRPr="00DE096C">
              <w:rPr>
                <w:bCs/>
                <w:color w:val="002060"/>
                <w:sz w:val="16"/>
                <w:szCs w:val="16"/>
              </w:rPr>
              <w:t xml:space="preserve">1080 </w:t>
            </w:r>
          </w:p>
        </w:tc>
        <w:tc>
          <w:tcPr>
            <w:tcW w:w="1684" w:type="dxa"/>
          </w:tcPr>
          <w:p w14:paraId="492D50E4" w14:textId="77777777" w:rsidR="00537264" w:rsidRPr="00DE096C" w:rsidRDefault="00537264" w:rsidP="00D45A46">
            <w:pPr>
              <w:jc w:val="both"/>
              <w:rPr>
                <w:bCs/>
                <w:color w:val="002060"/>
                <w:sz w:val="16"/>
                <w:szCs w:val="16"/>
              </w:rPr>
            </w:pPr>
            <w:r w:rsidRPr="00DE096C">
              <w:rPr>
                <w:bCs/>
                <w:color w:val="002060"/>
                <w:sz w:val="16"/>
                <w:szCs w:val="16"/>
              </w:rPr>
              <w:t xml:space="preserve">24 </w:t>
            </w:r>
          </w:p>
        </w:tc>
        <w:tc>
          <w:tcPr>
            <w:tcW w:w="900" w:type="dxa"/>
          </w:tcPr>
          <w:p w14:paraId="6A850A2D" w14:textId="77777777" w:rsidR="00537264" w:rsidRPr="00DE096C" w:rsidRDefault="00537264" w:rsidP="00D45A46">
            <w:pPr>
              <w:jc w:val="both"/>
              <w:rPr>
                <w:bCs/>
                <w:color w:val="002060"/>
                <w:sz w:val="16"/>
                <w:szCs w:val="16"/>
              </w:rPr>
            </w:pPr>
            <w:r w:rsidRPr="00DE096C">
              <w:rPr>
                <w:bCs/>
                <w:color w:val="002060"/>
                <w:sz w:val="16"/>
                <w:szCs w:val="16"/>
              </w:rPr>
              <w:t xml:space="preserve">648 </w:t>
            </w:r>
          </w:p>
        </w:tc>
        <w:tc>
          <w:tcPr>
            <w:tcW w:w="1219" w:type="dxa"/>
          </w:tcPr>
          <w:p w14:paraId="0CE447E7" w14:textId="77777777" w:rsidR="00537264" w:rsidRPr="00DE096C" w:rsidRDefault="00537264" w:rsidP="00D45A46">
            <w:pPr>
              <w:jc w:val="both"/>
              <w:rPr>
                <w:bCs/>
                <w:color w:val="002060"/>
                <w:sz w:val="16"/>
                <w:szCs w:val="16"/>
              </w:rPr>
            </w:pPr>
            <w:r w:rsidRPr="00DE096C">
              <w:rPr>
                <w:bCs/>
                <w:color w:val="002060"/>
                <w:sz w:val="16"/>
                <w:szCs w:val="16"/>
              </w:rPr>
              <w:t xml:space="preserve">144 </w:t>
            </w:r>
          </w:p>
        </w:tc>
      </w:tr>
      <w:tr w:rsidR="00537264" w:rsidRPr="00DE096C" w14:paraId="165CC206" w14:textId="77777777" w:rsidTr="00FA616C">
        <w:tc>
          <w:tcPr>
            <w:tcW w:w="2943" w:type="dxa"/>
          </w:tcPr>
          <w:p w14:paraId="22215E8E" w14:textId="77777777" w:rsidR="00537264" w:rsidRPr="00DE096C" w:rsidRDefault="00537264" w:rsidP="00D45A46">
            <w:pPr>
              <w:jc w:val="both"/>
              <w:rPr>
                <w:bCs/>
                <w:color w:val="002060"/>
                <w:sz w:val="16"/>
                <w:szCs w:val="16"/>
              </w:rPr>
            </w:pPr>
            <w:r w:rsidRPr="00DE096C">
              <w:rPr>
                <w:bCs/>
                <w:color w:val="002060"/>
                <w:sz w:val="16"/>
                <w:szCs w:val="16"/>
              </w:rPr>
              <w:t xml:space="preserve">Всего </w:t>
            </w:r>
          </w:p>
        </w:tc>
        <w:tc>
          <w:tcPr>
            <w:tcW w:w="1393" w:type="dxa"/>
          </w:tcPr>
          <w:p w14:paraId="753533A4" w14:textId="77777777" w:rsidR="00537264" w:rsidRPr="00DE096C" w:rsidRDefault="00537264" w:rsidP="00D45A46">
            <w:pPr>
              <w:jc w:val="both"/>
              <w:rPr>
                <w:bCs/>
                <w:color w:val="002060"/>
                <w:sz w:val="16"/>
                <w:szCs w:val="16"/>
              </w:rPr>
            </w:pPr>
            <w:r w:rsidRPr="00DE096C">
              <w:rPr>
                <w:bCs/>
                <w:color w:val="002060"/>
                <w:sz w:val="16"/>
                <w:szCs w:val="16"/>
              </w:rPr>
              <w:t xml:space="preserve">7088 </w:t>
            </w:r>
          </w:p>
        </w:tc>
        <w:tc>
          <w:tcPr>
            <w:tcW w:w="1219" w:type="dxa"/>
          </w:tcPr>
          <w:p w14:paraId="150B146A" w14:textId="77777777" w:rsidR="00537264" w:rsidRPr="00DE096C" w:rsidRDefault="00537264" w:rsidP="00D45A46">
            <w:pPr>
              <w:jc w:val="both"/>
              <w:rPr>
                <w:bCs/>
                <w:color w:val="002060"/>
                <w:sz w:val="16"/>
                <w:szCs w:val="16"/>
              </w:rPr>
            </w:pPr>
            <w:r w:rsidRPr="00DE096C">
              <w:rPr>
                <w:bCs/>
                <w:color w:val="002060"/>
                <w:sz w:val="16"/>
                <w:szCs w:val="16"/>
              </w:rPr>
              <w:t xml:space="preserve">14440 </w:t>
            </w:r>
          </w:p>
        </w:tc>
        <w:tc>
          <w:tcPr>
            <w:tcW w:w="1684" w:type="dxa"/>
          </w:tcPr>
          <w:p w14:paraId="651AE778" w14:textId="77777777" w:rsidR="00537264" w:rsidRPr="00DE096C" w:rsidRDefault="00537264" w:rsidP="00D45A46">
            <w:pPr>
              <w:jc w:val="both"/>
              <w:rPr>
                <w:bCs/>
                <w:color w:val="002060"/>
                <w:sz w:val="16"/>
                <w:szCs w:val="16"/>
              </w:rPr>
            </w:pPr>
            <w:r w:rsidRPr="00DE096C">
              <w:rPr>
                <w:bCs/>
                <w:color w:val="002060"/>
                <w:sz w:val="16"/>
                <w:szCs w:val="16"/>
              </w:rPr>
              <w:t xml:space="preserve">987 </w:t>
            </w:r>
          </w:p>
        </w:tc>
        <w:tc>
          <w:tcPr>
            <w:tcW w:w="900" w:type="dxa"/>
          </w:tcPr>
          <w:p w14:paraId="542ED2F0" w14:textId="77777777" w:rsidR="00537264" w:rsidRPr="00DE096C" w:rsidRDefault="00537264" w:rsidP="00D45A46">
            <w:pPr>
              <w:jc w:val="both"/>
              <w:rPr>
                <w:bCs/>
                <w:color w:val="002060"/>
                <w:sz w:val="16"/>
                <w:szCs w:val="16"/>
              </w:rPr>
            </w:pPr>
            <w:r w:rsidRPr="00DE096C">
              <w:rPr>
                <w:bCs/>
                <w:color w:val="002060"/>
                <w:sz w:val="16"/>
                <w:szCs w:val="16"/>
              </w:rPr>
              <w:t xml:space="preserve">8844 </w:t>
            </w:r>
          </w:p>
        </w:tc>
        <w:tc>
          <w:tcPr>
            <w:tcW w:w="1219" w:type="dxa"/>
          </w:tcPr>
          <w:p w14:paraId="235F340E" w14:textId="77777777" w:rsidR="00537264" w:rsidRPr="00DE096C" w:rsidRDefault="00537264" w:rsidP="00D45A46">
            <w:pPr>
              <w:jc w:val="both"/>
              <w:rPr>
                <w:bCs/>
                <w:color w:val="002060"/>
                <w:sz w:val="16"/>
                <w:szCs w:val="16"/>
              </w:rPr>
            </w:pPr>
            <w:r w:rsidRPr="00DE096C">
              <w:rPr>
                <w:bCs/>
                <w:color w:val="002060"/>
                <w:sz w:val="16"/>
                <w:szCs w:val="16"/>
              </w:rPr>
              <w:t xml:space="preserve">4008 </w:t>
            </w:r>
          </w:p>
        </w:tc>
      </w:tr>
      <w:tr w:rsidR="00537264" w:rsidRPr="00DE096C" w14:paraId="31A68A72" w14:textId="77777777" w:rsidTr="00FA616C">
        <w:tc>
          <w:tcPr>
            <w:tcW w:w="2943" w:type="dxa"/>
          </w:tcPr>
          <w:p w14:paraId="7F8C17D9" w14:textId="77777777" w:rsidR="00537264" w:rsidRPr="00DE096C" w:rsidRDefault="00537264" w:rsidP="00D45A46">
            <w:pPr>
              <w:jc w:val="both"/>
              <w:rPr>
                <w:bCs/>
                <w:color w:val="002060"/>
                <w:sz w:val="16"/>
                <w:szCs w:val="16"/>
              </w:rPr>
            </w:pPr>
          </w:p>
        </w:tc>
        <w:tc>
          <w:tcPr>
            <w:tcW w:w="1393" w:type="dxa"/>
          </w:tcPr>
          <w:p w14:paraId="3C7BDE76" w14:textId="77777777" w:rsidR="00537264" w:rsidRPr="00DE096C" w:rsidRDefault="00537264" w:rsidP="00D45A46">
            <w:pPr>
              <w:jc w:val="both"/>
              <w:rPr>
                <w:bCs/>
                <w:color w:val="002060"/>
                <w:sz w:val="16"/>
                <w:szCs w:val="16"/>
              </w:rPr>
            </w:pPr>
          </w:p>
        </w:tc>
        <w:tc>
          <w:tcPr>
            <w:tcW w:w="1219" w:type="dxa"/>
          </w:tcPr>
          <w:p w14:paraId="77122DCE" w14:textId="77777777" w:rsidR="00537264" w:rsidRPr="00DE096C" w:rsidRDefault="00537264" w:rsidP="00D45A46">
            <w:pPr>
              <w:jc w:val="both"/>
              <w:rPr>
                <w:bCs/>
                <w:color w:val="002060"/>
                <w:sz w:val="16"/>
                <w:szCs w:val="16"/>
              </w:rPr>
            </w:pPr>
          </w:p>
        </w:tc>
        <w:tc>
          <w:tcPr>
            <w:tcW w:w="1684" w:type="dxa"/>
          </w:tcPr>
          <w:p w14:paraId="0F7428FB" w14:textId="77777777" w:rsidR="00537264" w:rsidRPr="00DE096C" w:rsidRDefault="00537264" w:rsidP="00D45A46">
            <w:pPr>
              <w:jc w:val="both"/>
              <w:rPr>
                <w:bCs/>
                <w:color w:val="002060"/>
                <w:sz w:val="16"/>
                <w:szCs w:val="16"/>
              </w:rPr>
            </w:pPr>
          </w:p>
        </w:tc>
        <w:tc>
          <w:tcPr>
            <w:tcW w:w="2119" w:type="dxa"/>
            <w:gridSpan w:val="2"/>
          </w:tcPr>
          <w:p w14:paraId="7654E372" w14:textId="77777777" w:rsidR="00537264" w:rsidRPr="00DE096C" w:rsidRDefault="00537264" w:rsidP="00D45A46">
            <w:pPr>
              <w:jc w:val="both"/>
              <w:rPr>
                <w:bCs/>
                <w:color w:val="002060"/>
                <w:sz w:val="16"/>
                <w:szCs w:val="16"/>
              </w:rPr>
            </w:pPr>
            <w:r w:rsidRPr="00DE096C">
              <w:rPr>
                <w:bCs/>
                <w:color w:val="002060"/>
                <w:sz w:val="16"/>
                <w:szCs w:val="16"/>
              </w:rPr>
              <w:t xml:space="preserve">12852 </w:t>
            </w:r>
          </w:p>
        </w:tc>
      </w:tr>
    </w:tbl>
    <w:p w14:paraId="5D19FEF8" w14:textId="77777777" w:rsidR="00537264" w:rsidRPr="00DE096C" w:rsidRDefault="00537264" w:rsidP="00D45A46">
      <w:pPr>
        <w:jc w:val="both"/>
        <w:rPr>
          <w:bCs/>
          <w:color w:val="002060"/>
          <w:sz w:val="16"/>
          <w:szCs w:val="16"/>
        </w:rPr>
      </w:pPr>
      <w:r w:rsidRPr="00DE096C">
        <w:rPr>
          <w:bCs/>
          <w:color w:val="002060"/>
          <w:sz w:val="16"/>
          <w:szCs w:val="16"/>
        </w:rPr>
        <w:t>Отсюда мы видим, что во время войны требования превысили предположения:</w:t>
      </w:r>
    </w:p>
    <w:p w14:paraId="49575BD7" w14:textId="77777777" w:rsidR="00537264" w:rsidRPr="00DE096C" w:rsidRDefault="00537264" w:rsidP="00D45A46">
      <w:pPr>
        <w:jc w:val="both"/>
        <w:rPr>
          <w:bCs/>
          <w:color w:val="002060"/>
          <w:sz w:val="16"/>
          <w:szCs w:val="16"/>
        </w:rPr>
      </w:pPr>
      <w:r w:rsidRPr="00DE096C">
        <w:rPr>
          <w:bCs/>
          <w:color w:val="002060"/>
          <w:sz w:val="16"/>
          <w:szCs w:val="16"/>
        </w:rPr>
        <w:t xml:space="preserve">в наличности орудий — в два раза, </w:t>
      </w:r>
    </w:p>
    <w:p w14:paraId="376B2897" w14:textId="77777777" w:rsidR="00537264" w:rsidRPr="00DE096C" w:rsidRDefault="00537264" w:rsidP="00D45A46">
      <w:pPr>
        <w:jc w:val="both"/>
        <w:rPr>
          <w:bCs/>
          <w:color w:val="002060"/>
          <w:sz w:val="16"/>
          <w:szCs w:val="16"/>
        </w:rPr>
      </w:pPr>
      <w:r w:rsidRPr="00DE096C">
        <w:rPr>
          <w:bCs/>
          <w:color w:val="002060"/>
          <w:sz w:val="16"/>
          <w:szCs w:val="16"/>
        </w:rPr>
        <w:t xml:space="preserve">в годичном поступлении новых орудий (не считая ремонта) — в девять раз. </w:t>
      </w:r>
    </w:p>
    <w:p w14:paraId="2500E866" w14:textId="77777777" w:rsidR="00537264" w:rsidRPr="00DE096C" w:rsidRDefault="00537264" w:rsidP="00D45A46">
      <w:pPr>
        <w:jc w:val="both"/>
        <w:rPr>
          <w:bCs/>
          <w:color w:val="002060"/>
          <w:sz w:val="16"/>
          <w:szCs w:val="16"/>
        </w:rPr>
      </w:pPr>
      <w:r w:rsidRPr="00DE096C">
        <w:rPr>
          <w:bCs/>
          <w:color w:val="002060"/>
          <w:sz w:val="16"/>
          <w:szCs w:val="16"/>
        </w:rPr>
        <w:t xml:space="preserve">Если мы обратимся к рассмотрению вопроса о количестве имеющегося к началу войны артиллерийского огнестрельного запаса и сравним с теми требованиями, которые были предъявлены в течение войны Ставкой, то мы увидим следующую картину: </w:t>
      </w:r>
    </w:p>
    <w:p w14:paraId="2EE045BB" w14:textId="77777777" w:rsidR="00537264" w:rsidRPr="00DE096C" w:rsidRDefault="00537264" w:rsidP="00D45A46">
      <w:pPr>
        <w:jc w:val="both"/>
        <w:rPr>
          <w:bCs/>
          <w:color w:val="002060"/>
          <w:sz w:val="16"/>
          <w:szCs w:val="16"/>
        </w:rPr>
      </w:pPr>
      <w:r w:rsidRPr="00DE096C">
        <w:rPr>
          <w:bCs/>
          <w:color w:val="002060"/>
          <w:sz w:val="16"/>
          <w:szCs w:val="16"/>
        </w:rPr>
        <w:t xml:space="preserve">Число выстрелов (в тысячах): </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3377"/>
        <w:gridCol w:w="1703"/>
        <w:gridCol w:w="4279"/>
      </w:tblGrid>
      <w:tr w:rsidR="00537264" w:rsidRPr="00DE096C" w14:paraId="200F4F82" w14:textId="77777777" w:rsidTr="00FA616C">
        <w:tc>
          <w:tcPr>
            <w:tcW w:w="3377" w:type="dxa"/>
          </w:tcPr>
          <w:p w14:paraId="6CDFE502" w14:textId="77777777" w:rsidR="00537264" w:rsidRPr="00DE096C" w:rsidRDefault="00537264" w:rsidP="00D45A46">
            <w:pPr>
              <w:jc w:val="both"/>
              <w:rPr>
                <w:bCs/>
                <w:color w:val="002060"/>
                <w:sz w:val="16"/>
                <w:szCs w:val="16"/>
              </w:rPr>
            </w:pPr>
          </w:p>
        </w:tc>
        <w:tc>
          <w:tcPr>
            <w:tcW w:w="1703" w:type="dxa"/>
          </w:tcPr>
          <w:p w14:paraId="646161E7" w14:textId="77777777" w:rsidR="00537264" w:rsidRPr="00DE096C" w:rsidRDefault="00537264" w:rsidP="00D45A46">
            <w:pPr>
              <w:jc w:val="both"/>
              <w:rPr>
                <w:bCs/>
                <w:color w:val="002060"/>
                <w:sz w:val="16"/>
                <w:szCs w:val="16"/>
              </w:rPr>
            </w:pPr>
            <w:r w:rsidRPr="00DE096C">
              <w:rPr>
                <w:bCs/>
                <w:color w:val="002060"/>
                <w:sz w:val="16"/>
                <w:szCs w:val="16"/>
              </w:rPr>
              <w:t xml:space="preserve">Состояло к началу войны: </w:t>
            </w:r>
          </w:p>
        </w:tc>
        <w:tc>
          <w:tcPr>
            <w:tcW w:w="4279" w:type="dxa"/>
          </w:tcPr>
          <w:p w14:paraId="06F5D594" w14:textId="77777777" w:rsidR="00537264" w:rsidRPr="00DE096C" w:rsidRDefault="00537264" w:rsidP="00D45A46">
            <w:pPr>
              <w:jc w:val="both"/>
              <w:rPr>
                <w:bCs/>
                <w:color w:val="002060"/>
                <w:sz w:val="16"/>
                <w:szCs w:val="16"/>
              </w:rPr>
            </w:pPr>
            <w:r w:rsidRPr="00DE096C">
              <w:rPr>
                <w:bCs/>
                <w:color w:val="002060"/>
                <w:sz w:val="16"/>
                <w:szCs w:val="16"/>
              </w:rPr>
              <w:t xml:space="preserve">Согласно требованиям Ставки в конце 1916 г. годовая потребность: </w:t>
            </w:r>
          </w:p>
        </w:tc>
      </w:tr>
      <w:tr w:rsidR="00537264" w:rsidRPr="00DE096C" w14:paraId="3C653DA1" w14:textId="77777777" w:rsidTr="00FA616C">
        <w:tc>
          <w:tcPr>
            <w:tcW w:w="3377" w:type="dxa"/>
          </w:tcPr>
          <w:p w14:paraId="0669DF4F" w14:textId="77777777" w:rsidR="00537264" w:rsidRPr="00DE096C" w:rsidRDefault="00537264" w:rsidP="00D45A46">
            <w:pPr>
              <w:jc w:val="both"/>
              <w:rPr>
                <w:bCs/>
                <w:color w:val="002060"/>
                <w:sz w:val="16"/>
                <w:szCs w:val="16"/>
              </w:rPr>
            </w:pPr>
            <w:r w:rsidRPr="00DE096C">
              <w:rPr>
                <w:bCs/>
                <w:color w:val="002060"/>
                <w:sz w:val="16"/>
                <w:szCs w:val="16"/>
              </w:rPr>
              <w:t xml:space="preserve">Легкая пушка 3'' </w:t>
            </w:r>
          </w:p>
        </w:tc>
        <w:tc>
          <w:tcPr>
            <w:tcW w:w="1703" w:type="dxa"/>
          </w:tcPr>
          <w:p w14:paraId="26A88C34" w14:textId="77777777" w:rsidR="00537264" w:rsidRPr="00DE096C" w:rsidRDefault="00537264" w:rsidP="00D45A46">
            <w:pPr>
              <w:jc w:val="both"/>
              <w:rPr>
                <w:bCs/>
                <w:color w:val="002060"/>
                <w:sz w:val="16"/>
                <w:szCs w:val="16"/>
              </w:rPr>
            </w:pPr>
            <w:r w:rsidRPr="00DE096C">
              <w:rPr>
                <w:bCs/>
                <w:color w:val="002060"/>
                <w:sz w:val="16"/>
                <w:szCs w:val="16"/>
              </w:rPr>
              <w:t xml:space="preserve">6400 </w:t>
            </w:r>
          </w:p>
        </w:tc>
        <w:tc>
          <w:tcPr>
            <w:tcW w:w="4279" w:type="dxa"/>
          </w:tcPr>
          <w:p w14:paraId="2B176AB4" w14:textId="77777777" w:rsidR="00537264" w:rsidRPr="00DE096C" w:rsidRDefault="00537264" w:rsidP="00D45A46">
            <w:pPr>
              <w:jc w:val="both"/>
              <w:rPr>
                <w:bCs/>
                <w:color w:val="002060"/>
                <w:sz w:val="16"/>
                <w:szCs w:val="16"/>
              </w:rPr>
            </w:pPr>
            <w:r w:rsidRPr="00DE096C">
              <w:rPr>
                <w:bCs/>
                <w:color w:val="002060"/>
                <w:sz w:val="16"/>
                <w:szCs w:val="16"/>
              </w:rPr>
              <w:t xml:space="preserve">42000 </w:t>
            </w:r>
          </w:p>
        </w:tc>
      </w:tr>
      <w:tr w:rsidR="00537264" w:rsidRPr="00DE096C" w14:paraId="59509FA2" w14:textId="77777777" w:rsidTr="00FA616C">
        <w:tc>
          <w:tcPr>
            <w:tcW w:w="3377" w:type="dxa"/>
          </w:tcPr>
          <w:p w14:paraId="12FA12D9" w14:textId="77777777" w:rsidR="00537264" w:rsidRPr="00DE096C" w:rsidRDefault="00537264" w:rsidP="00D45A46">
            <w:pPr>
              <w:jc w:val="both"/>
              <w:rPr>
                <w:bCs/>
                <w:color w:val="002060"/>
                <w:sz w:val="16"/>
                <w:szCs w:val="16"/>
              </w:rPr>
            </w:pPr>
            <w:r w:rsidRPr="00DE096C">
              <w:rPr>
                <w:bCs/>
                <w:color w:val="002060"/>
                <w:sz w:val="16"/>
                <w:szCs w:val="16"/>
              </w:rPr>
              <w:t xml:space="preserve">Легкая гаубица 48 лн. и 46 лн. </w:t>
            </w:r>
          </w:p>
        </w:tc>
        <w:tc>
          <w:tcPr>
            <w:tcW w:w="1703" w:type="dxa"/>
          </w:tcPr>
          <w:p w14:paraId="1EB1BBA4" w14:textId="77777777" w:rsidR="00537264" w:rsidRPr="00DE096C" w:rsidRDefault="00537264" w:rsidP="00D45A46">
            <w:pPr>
              <w:jc w:val="both"/>
              <w:rPr>
                <w:bCs/>
                <w:color w:val="002060"/>
                <w:sz w:val="16"/>
                <w:szCs w:val="16"/>
              </w:rPr>
            </w:pPr>
            <w:r w:rsidRPr="00DE096C">
              <w:rPr>
                <w:bCs/>
                <w:color w:val="002060"/>
                <w:sz w:val="16"/>
                <w:szCs w:val="16"/>
              </w:rPr>
              <w:t xml:space="preserve">450 </w:t>
            </w:r>
          </w:p>
        </w:tc>
        <w:tc>
          <w:tcPr>
            <w:tcW w:w="4279" w:type="dxa"/>
          </w:tcPr>
          <w:p w14:paraId="23784DE2" w14:textId="77777777" w:rsidR="00537264" w:rsidRPr="00DE096C" w:rsidRDefault="00537264" w:rsidP="00D45A46">
            <w:pPr>
              <w:jc w:val="both"/>
              <w:rPr>
                <w:bCs/>
                <w:color w:val="002060"/>
                <w:sz w:val="16"/>
                <w:szCs w:val="16"/>
              </w:rPr>
            </w:pPr>
            <w:r w:rsidRPr="00DE096C">
              <w:rPr>
                <w:bCs/>
                <w:color w:val="002060"/>
                <w:sz w:val="16"/>
                <w:szCs w:val="16"/>
              </w:rPr>
              <w:t xml:space="preserve">6600 </w:t>
            </w:r>
          </w:p>
        </w:tc>
      </w:tr>
      <w:tr w:rsidR="00537264" w:rsidRPr="00DE096C" w14:paraId="35E36437" w14:textId="77777777" w:rsidTr="00FA616C">
        <w:tc>
          <w:tcPr>
            <w:tcW w:w="3377" w:type="dxa"/>
          </w:tcPr>
          <w:p w14:paraId="0508DD1A" w14:textId="77777777" w:rsidR="00537264" w:rsidRPr="00DE096C" w:rsidRDefault="00537264" w:rsidP="00D45A46">
            <w:pPr>
              <w:jc w:val="both"/>
              <w:rPr>
                <w:bCs/>
                <w:color w:val="002060"/>
                <w:sz w:val="16"/>
                <w:szCs w:val="16"/>
              </w:rPr>
            </w:pPr>
            <w:r w:rsidRPr="00DE096C">
              <w:rPr>
                <w:bCs/>
                <w:color w:val="002060"/>
                <w:sz w:val="16"/>
                <w:szCs w:val="16"/>
              </w:rPr>
              <w:t xml:space="preserve">Полевая тяжелая артиллерия 4'' пушка и 6'' гаубица </w:t>
            </w:r>
          </w:p>
        </w:tc>
        <w:tc>
          <w:tcPr>
            <w:tcW w:w="1703" w:type="dxa"/>
          </w:tcPr>
          <w:p w14:paraId="4016DA5B" w14:textId="77777777" w:rsidR="00537264" w:rsidRPr="00DE096C" w:rsidRDefault="00537264" w:rsidP="00D45A46">
            <w:pPr>
              <w:jc w:val="both"/>
              <w:rPr>
                <w:bCs/>
                <w:color w:val="002060"/>
                <w:sz w:val="16"/>
                <w:szCs w:val="16"/>
              </w:rPr>
            </w:pPr>
            <w:r w:rsidRPr="00DE096C">
              <w:rPr>
                <w:bCs/>
                <w:color w:val="002060"/>
                <w:sz w:val="16"/>
                <w:szCs w:val="16"/>
              </w:rPr>
              <w:t xml:space="preserve">120 </w:t>
            </w:r>
          </w:p>
        </w:tc>
        <w:tc>
          <w:tcPr>
            <w:tcW w:w="4279" w:type="dxa"/>
          </w:tcPr>
          <w:p w14:paraId="47C39978" w14:textId="77777777" w:rsidR="00537264" w:rsidRPr="00DE096C" w:rsidRDefault="00537264" w:rsidP="00D45A46">
            <w:pPr>
              <w:jc w:val="both"/>
              <w:rPr>
                <w:bCs/>
                <w:color w:val="002060"/>
                <w:sz w:val="16"/>
                <w:szCs w:val="16"/>
              </w:rPr>
            </w:pPr>
            <w:r w:rsidRPr="00DE096C">
              <w:rPr>
                <w:bCs/>
                <w:color w:val="002060"/>
                <w:sz w:val="16"/>
                <w:szCs w:val="16"/>
              </w:rPr>
              <w:t xml:space="preserve">2260 </w:t>
            </w:r>
          </w:p>
        </w:tc>
      </w:tr>
    </w:tbl>
    <w:p w14:paraId="6F8860BA" w14:textId="77777777" w:rsidR="00537264" w:rsidRPr="00DE096C" w:rsidRDefault="00537264" w:rsidP="00D45A46">
      <w:pPr>
        <w:jc w:val="both"/>
        <w:rPr>
          <w:bCs/>
          <w:color w:val="002060"/>
          <w:sz w:val="16"/>
          <w:szCs w:val="16"/>
        </w:rPr>
      </w:pPr>
      <w:r w:rsidRPr="00DE096C">
        <w:rPr>
          <w:bCs/>
          <w:color w:val="002060"/>
          <w:sz w:val="16"/>
          <w:szCs w:val="16"/>
        </w:rPr>
        <w:t xml:space="preserve">Отсюда мы видим, что годовая потребность по исчислению Ставки оказалась большей, чем было предположено Военным ведомством в мирное время: </w:t>
      </w:r>
    </w:p>
    <w:p w14:paraId="5DF3BC1A" w14:textId="77777777" w:rsidR="00537264" w:rsidRPr="00DE096C" w:rsidRDefault="00537264" w:rsidP="00D45A46">
      <w:pPr>
        <w:jc w:val="both"/>
        <w:rPr>
          <w:bCs/>
          <w:color w:val="002060"/>
          <w:sz w:val="16"/>
          <w:szCs w:val="16"/>
        </w:rPr>
      </w:pPr>
      <w:r w:rsidRPr="00DE096C">
        <w:rPr>
          <w:bCs/>
          <w:color w:val="002060"/>
          <w:sz w:val="16"/>
          <w:szCs w:val="16"/>
        </w:rPr>
        <w:t xml:space="preserve">для легких пушек в семь раз </w:t>
      </w:r>
    </w:p>
    <w:p w14:paraId="6A840716" w14:textId="77777777" w:rsidR="00537264" w:rsidRPr="00DE096C" w:rsidRDefault="00537264" w:rsidP="00D45A46">
      <w:pPr>
        <w:jc w:val="both"/>
        <w:rPr>
          <w:bCs/>
          <w:color w:val="002060"/>
          <w:sz w:val="16"/>
          <w:szCs w:val="16"/>
        </w:rPr>
      </w:pPr>
      <w:r w:rsidRPr="00DE096C">
        <w:rPr>
          <w:bCs/>
          <w:color w:val="002060"/>
          <w:sz w:val="16"/>
          <w:szCs w:val="16"/>
        </w:rPr>
        <w:t xml:space="preserve">для легких гаубиц в четырнадцать раз </w:t>
      </w:r>
    </w:p>
    <w:p w14:paraId="6610C86E" w14:textId="77777777" w:rsidR="00537264" w:rsidRPr="00DE096C" w:rsidRDefault="00537264" w:rsidP="00D45A46">
      <w:pPr>
        <w:jc w:val="both"/>
        <w:rPr>
          <w:bCs/>
          <w:color w:val="002060"/>
          <w:sz w:val="16"/>
          <w:szCs w:val="16"/>
        </w:rPr>
      </w:pPr>
      <w:r w:rsidRPr="00DE096C">
        <w:rPr>
          <w:bCs/>
          <w:color w:val="002060"/>
          <w:sz w:val="16"/>
          <w:szCs w:val="16"/>
        </w:rPr>
        <w:t xml:space="preserve">для полевых тяжелых в восемнадцать раз. </w:t>
      </w:r>
    </w:p>
    <w:p w14:paraId="2CE62451" w14:textId="77777777" w:rsidR="00537264" w:rsidRPr="00DE096C" w:rsidRDefault="00537264" w:rsidP="00D45A46">
      <w:pPr>
        <w:jc w:val="both"/>
        <w:rPr>
          <w:bCs/>
          <w:color w:val="002060"/>
          <w:sz w:val="16"/>
          <w:szCs w:val="16"/>
        </w:rPr>
      </w:pPr>
      <w:r w:rsidRPr="00DE096C">
        <w:rPr>
          <w:bCs/>
          <w:color w:val="002060"/>
          <w:sz w:val="16"/>
          <w:szCs w:val="16"/>
        </w:rPr>
        <w:t>Несомненно, что в своих требованиях Ставка в конце 1916 г. под непосредственным впечатлением переживаемой катастрофы в артиллерийском снабжении грешила некоторым преувеличением. Но столь же несомненным является самый факт, что принятые нашим военным ведомством нормы оказались в несколько раз меньшими действительной необходимости. Было бы несправедливо обвинять русское артиллерийское ведомство в том, что оно совершенно не предвидело колоссальных потребностей предстоящей войны. Ошибка, конечно, была сделана, но в этом отношении русское артиллерийское ведомство мало отличалось от таковых же во Франции и Германии.</w:t>
      </w:r>
    </w:p>
    <w:p w14:paraId="140BF0AD" w14:textId="77777777" w:rsidR="00537264" w:rsidRPr="00DE096C" w:rsidRDefault="00537264" w:rsidP="00D45A46">
      <w:pPr>
        <w:jc w:val="both"/>
        <w:rPr>
          <w:bCs/>
          <w:color w:val="002060"/>
          <w:sz w:val="16"/>
          <w:szCs w:val="16"/>
        </w:rPr>
      </w:pPr>
      <w:r w:rsidRPr="00DE096C">
        <w:rPr>
          <w:bCs/>
          <w:color w:val="002060"/>
          <w:sz w:val="16"/>
          <w:szCs w:val="16"/>
        </w:rPr>
        <w:t xml:space="preserve">Россия вследствие своей промышленной отсталости и легкой осуществимости блокады должна была иметь наибольшие нормы запасов. Но вот что происходило при всякой попытке увеличить эти нормы. </w:t>
      </w:r>
    </w:p>
    <w:p w14:paraId="291CC7A2" w14:textId="77777777" w:rsidR="00537264" w:rsidRPr="00DE096C" w:rsidRDefault="00537264" w:rsidP="00D45A46">
      <w:pPr>
        <w:jc w:val="both"/>
        <w:rPr>
          <w:bCs/>
          <w:color w:val="002060"/>
          <w:sz w:val="16"/>
          <w:szCs w:val="16"/>
        </w:rPr>
      </w:pPr>
      <w:r w:rsidRPr="00DE096C">
        <w:rPr>
          <w:bCs/>
          <w:color w:val="002060"/>
          <w:sz w:val="16"/>
          <w:szCs w:val="16"/>
        </w:rPr>
        <w:t xml:space="preserve">Число «выстрелов» мобилизационного запаса измерялось всего 1000 на орудие. </w:t>
      </w:r>
    </w:p>
    <w:p w14:paraId="502360D3" w14:textId="77777777" w:rsidR="00537264" w:rsidRPr="00DE096C" w:rsidRDefault="00537264" w:rsidP="00D45A46">
      <w:pPr>
        <w:jc w:val="both"/>
        <w:rPr>
          <w:bCs/>
          <w:color w:val="002060"/>
          <w:sz w:val="16"/>
          <w:szCs w:val="16"/>
        </w:rPr>
      </w:pPr>
      <w:r w:rsidRPr="00DE096C">
        <w:rPr>
          <w:bCs/>
          <w:color w:val="002060"/>
          <w:sz w:val="16"/>
          <w:szCs w:val="16"/>
        </w:rPr>
        <w:t xml:space="preserve">Главное управление Генерального штаба подняло об этом вопрос. Заседали комиссии, шла переписка, и наконец в конце 1912 г. начальнику Генерального штаба удалось выхлопотать для Главного артиллерийского управления специально для усиления боевых комплектов для 3'' пушек — 10 000 000 рублей. На эту сумму, при тогдашней цене за выстрел в 20 рублей, можно было заготовить 500 000 патронов, что составляет ничтожное увеличение запаса — на 8%. </w:t>
      </w:r>
    </w:p>
    <w:p w14:paraId="784669B9" w14:textId="77777777" w:rsidR="00537264" w:rsidRPr="00DE096C" w:rsidRDefault="00537264" w:rsidP="00D45A46">
      <w:pPr>
        <w:jc w:val="both"/>
        <w:rPr>
          <w:bCs/>
          <w:color w:val="002060"/>
          <w:sz w:val="16"/>
          <w:szCs w:val="16"/>
        </w:rPr>
      </w:pPr>
      <w:r w:rsidRPr="00DE096C">
        <w:rPr>
          <w:bCs/>
          <w:color w:val="002060"/>
          <w:sz w:val="16"/>
          <w:szCs w:val="16"/>
        </w:rPr>
        <w:t xml:space="preserve">Около того же времени генерал-квартирмейстер Главного управления Генерального штаба уведомил начальника Главного артиллерийского управления, что во французской армии решено увеличить боевой комплект полевой артиллерии до 3000 выстрелов на пушку. </w:t>
      </w:r>
    </w:p>
    <w:p w14:paraId="4052CDB3" w14:textId="77777777" w:rsidR="00537264" w:rsidRPr="00DE096C" w:rsidRDefault="00537264" w:rsidP="00D45A46">
      <w:pPr>
        <w:pStyle w:val="Blockquote"/>
        <w:spacing w:before="0" w:after="0"/>
        <w:ind w:left="0" w:right="0"/>
        <w:jc w:val="both"/>
        <w:rPr>
          <w:bCs/>
          <w:color w:val="002060"/>
          <w:sz w:val="16"/>
          <w:szCs w:val="16"/>
        </w:rPr>
      </w:pPr>
      <w:r w:rsidRPr="00DE096C">
        <w:rPr>
          <w:bCs/>
          <w:color w:val="002060"/>
          <w:sz w:val="16"/>
          <w:szCs w:val="16"/>
        </w:rPr>
        <w:t>«Если бы мы, — пишет генерал Маниковский, — захотели последовать этому благому примеру и довести свои комплекты хотя бы до двух тысяч выстрелов на пушку, то на 6500 пушек это потребовало бы нового дополнительного ассигнования в 6500 х 1000 х 20 = 130 000 000 рублей. А если бы комплекты довести до 3000 на пушку, то потребовалась бы сумма вдвое большая, т.е. 260 миллионов рублей.</w:t>
      </w:r>
    </w:p>
    <w:p w14:paraId="43AA30A8" w14:textId="77777777" w:rsidR="00537264" w:rsidRPr="00DE096C" w:rsidRDefault="00537264" w:rsidP="00D45A46">
      <w:pPr>
        <w:pStyle w:val="Blockquote"/>
        <w:spacing w:before="0" w:after="0"/>
        <w:ind w:left="0" w:right="0"/>
        <w:jc w:val="both"/>
        <w:rPr>
          <w:bCs/>
          <w:color w:val="002060"/>
          <w:sz w:val="16"/>
          <w:szCs w:val="16"/>
        </w:rPr>
      </w:pPr>
      <w:r w:rsidRPr="00DE096C">
        <w:rPr>
          <w:bCs/>
          <w:color w:val="002060"/>
          <w:sz w:val="16"/>
          <w:szCs w:val="16"/>
        </w:rPr>
        <w:t>На такие суммы сверхштатных ассигнований никакой военный министр, даже при всей поддержке Государственной думы, конечно, рассчитывать в те времена не мог, особенно ввиду того, что тут речь шла только о выстрелах для орудий 3 дм. калибра».</w:t>
      </w:r>
    </w:p>
    <w:p w14:paraId="731974B2" w14:textId="77777777" w:rsidR="00537264" w:rsidRPr="00DE096C" w:rsidRDefault="00537264" w:rsidP="00D45A46">
      <w:pPr>
        <w:jc w:val="both"/>
        <w:rPr>
          <w:bCs/>
          <w:color w:val="002060"/>
          <w:sz w:val="16"/>
          <w:szCs w:val="16"/>
        </w:rPr>
      </w:pPr>
      <w:r w:rsidRPr="00DE096C">
        <w:rPr>
          <w:bCs/>
          <w:color w:val="002060"/>
          <w:sz w:val="16"/>
          <w:szCs w:val="16"/>
        </w:rPr>
        <w:t>Но, кроме только что требовавшихся указанных единовременных расходов, вопрос значительного увеличения мобилизационного артиллерийского запаса осложнялся еще другим обстоятельством.</w:t>
      </w:r>
    </w:p>
    <w:p w14:paraId="329EBE6F" w14:textId="77777777" w:rsidR="00537264" w:rsidRPr="00DE096C" w:rsidRDefault="00537264" w:rsidP="00D45A46">
      <w:pPr>
        <w:pStyle w:val="Blockquote"/>
        <w:spacing w:before="0" w:after="0"/>
        <w:ind w:left="0" w:right="0"/>
        <w:jc w:val="both"/>
        <w:rPr>
          <w:bCs/>
          <w:color w:val="002060"/>
          <w:sz w:val="16"/>
          <w:szCs w:val="16"/>
        </w:rPr>
      </w:pPr>
      <w:r w:rsidRPr="00DE096C">
        <w:rPr>
          <w:bCs/>
          <w:color w:val="002060"/>
          <w:sz w:val="16"/>
          <w:szCs w:val="16"/>
        </w:rPr>
        <w:t>«Чем больше боевой комплект, — пишет далее генерал Маниковский, — тем дольше его освежать, а значит, тем большей порче он подвергается за продолжительное время своего хранения».</w:t>
      </w:r>
    </w:p>
    <w:p w14:paraId="0EFC8636" w14:textId="77777777" w:rsidR="00537264" w:rsidRPr="00DE096C" w:rsidRDefault="00537264" w:rsidP="00D45A46">
      <w:pPr>
        <w:jc w:val="both"/>
        <w:rPr>
          <w:bCs/>
          <w:color w:val="002060"/>
          <w:sz w:val="16"/>
          <w:szCs w:val="16"/>
        </w:rPr>
      </w:pPr>
      <w:r w:rsidRPr="00DE096C">
        <w:rPr>
          <w:bCs/>
          <w:color w:val="002060"/>
          <w:sz w:val="16"/>
          <w:szCs w:val="16"/>
        </w:rPr>
        <w:t xml:space="preserve">При вышеуказанных нормах боевых комплектов боевые припасы могли быть освежены в следующие сроки: </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8357"/>
        <w:gridCol w:w="1002"/>
      </w:tblGrid>
      <w:tr w:rsidR="00537264" w:rsidRPr="00DE096C" w14:paraId="5983815E" w14:textId="77777777" w:rsidTr="00FA616C">
        <w:tc>
          <w:tcPr>
            <w:tcW w:w="8357" w:type="dxa"/>
          </w:tcPr>
          <w:p w14:paraId="08B58FF3" w14:textId="77777777" w:rsidR="00537264" w:rsidRPr="00DE096C" w:rsidRDefault="00537264" w:rsidP="00D45A46">
            <w:pPr>
              <w:jc w:val="both"/>
              <w:rPr>
                <w:bCs/>
                <w:color w:val="002060"/>
                <w:sz w:val="16"/>
                <w:szCs w:val="16"/>
              </w:rPr>
            </w:pPr>
            <w:r w:rsidRPr="00DE096C">
              <w:rPr>
                <w:bCs/>
                <w:color w:val="002060"/>
                <w:sz w:val="16"/>
                <w:szCs w:val="16"/>
              </w:rPr>
              <w:t xml:space="preserve">Боевые заряды в течение </w:t>
            </w:r>
          </w:p>
        </w:tc>
        <w:tc>
          <w:tcPr>
            <w:tcW w:w="1002" w:type="dxa"/>
          </w:tcPr>
          <w:p w14:paraId="386017F2" w14:textId="77777777" w:rsidR="00537264" w:rsidRPr="00DE096C" w:rsidRDefault="00537264" w:rsidP="00D45A46">
            <w:pPr>
              <w:jc w:val="both"/>
              <w:rPr>
                <w:bCs/>
                <w:color w:val="002060"/>
                <w:sz w:val="16"/>
                <w:szCs w:val="16"/>
              </w:rPr>
            </w:pPr>
            <w:r w:rsidRPr="00DE096C">
              <w:rPr>
                <w:bCs/>
                <w:color w:val="002060"/>
                <w:sz w:val="16"/>
                <w:szCs w:val="16"/>
              </w:rPr>
              <w:t xml:space="preserve">16 лет </w:t>
            </w:r>
          </w:p>
        </w:tc>
      </w:tr>
      <w:tr w:rsidR="00537264" w:rsidRPr="00DE096C" w14:paraId="5A7066B0" w14:textId="77777777" w:rsidTr="00FA616C">
        <w:tc>
          <w:tcPr>
            <w:tcW w:w="8357" w:type="dxa"/>
          </w:tcPr>
          <w:p w14:paraId="2506E6EA" w14:textId="77777777" w:rsidR="00537264" w:rsidRPr="00DE096C" w:rsidRDefault="00537264" w:rsidP="00D45A46">
            <w:pPr>
              <w:jc w:val="both"/>
              <w:rPr>
                <w:bCs/>
                <w:color w:val="002060"/>
                <w:sz w:val="16"/>
                <w:szCs w:val="16"/>
              </w:rPr>
            </w:pPr>
            <w:r w:rsidRPr="00DE096C">
              <w:rPr>
                <w:bCs/>
                <w:color w:val="002060"/>
                <w:sz w:val="16"/>
                <w:szCs w:val="16"/>
              </w:rPr>
              <w:t xml:space="preserve">Дистанционные трубки </w:t>
            </w:r>
          </w:p>
        </w:tc>
        <w:tc>
          <w:tcPr>
            <w:tcW w:w="1002" w:type="dxa"/>
          </w:tcPr>
          <w:p w14:paraId="14D56AD7" w14:textId="77777777" w:rsidR="00537264" w:rsidRPr="00DE096C" w:rsidRDefault="00537264" w:rsidP="00D45A46">
            <w:pPr>
              <w:jc w:val="both"/>
              <w:rPr>
                <w:bCs/>
                <w:color w:val="002060"/>
                <w:sz w:val="16"/>
                <w:szCs w:val="16"/>
              </w:rPr>
            </w:pPr>
            <w:r w:rsidRPr="00DE096C">
              <w:rPr>
                <w:bCs/>
                <w:color w:val="002060"/>
                <w:sz w:val="16"/>
                <w:szCs w:val="16"/>
              </w:rPr>
              <w:t xml:space="preserve">18 лет </w:t>
            </w:r>
          </w:p>
        </w:tc>
      </w:tr>
      <w:tr w:rsidR="00537264" w:rsidRPr="00DE096C" w14:paraId="0E5DF4DC" w14:textId="77777777" w:rsidTr="00FA616C">
        <w:tc>
          <w:tcPr>
            <w:tcW w:w="8357" w:type="dxa"/>
          </w:tcPr>
          <w:p w14:paraId="25204AB3" w14:textId="77777777" w:rsidR="00537264" w:rsidRPr="00DE096C" w:rsidRDefault="00537264" w:rsidP="00D45A46">
            <w:pPr>
              <w:jc w:val="both"/>
              <w:rPr>
                <w:bCs/>
                <w:color w:val="002060"/>
                <w:sz w:val="16"/>
                <w:szCs w:val="16"/>
              </w:rPr>
            </w:pPr>
            <w:r w:rsidRPr="00DE096C">
              <w:rPr>
                <w:bCs/>
                <w:color w:val="002060"/>
                <w:sz w:val="16"/>
                <w:szCs w:val="16"/>
              </w:rPr>
              <w:t xml:space="preserve">Шрапнели </w:t>
            </w:r>
          </w:p>
        </w:tc>
        <w:tc>
          <w:tcPr>
            <w:tcW w:w="1002" w:type="dxa"/>
          </w:tcPr>
          <w:p w14:paraId="62DE89EB" w14:textId="77777777" w:rsidR="00537264" w:rsidRPr="00DE096C" w:rsidRDefault="00537264" w:rsidP="00D45A46">
            <w:pPr>
              <w:jc w:val="both"/>
              <w:rPr>
                <w:bCs/>
                <w:color w:val="002060"/>
                <w:sz w:val="16"/>
                <w:szCs w:val="16"/>
              </w:rPr>
            </w:pPr>
            <w:r w:rsidRPr="00DE096C">
              <w:rPr>
                <w:bCs/>
                <w:color w:val="002060"/>
                <w:sz w:val="16"/>
                <w:szCs w:val="16"/>
              </w:rPr>
              <w:t xml:space="preserve">35 лет </w:t>
            </w:r>
          </w:p>
        </w:tc>
      </w:tr>
      <w:tr w:rsidR="00537264" w:rsidRPr="00DE096C" w14:paraId="48CABD96" w14:textId="77777777" w:rsidTr="00FA616C">
        <w:tc>
          <w:tcPr>
            <w:tcW w:w="8357" w:type="dxa"/>
          </w:tcPr>
          <w:p w14:paraId="45875265" w14:textId="77777777" w:rsidR="00537264" w:rsidRPr="00DE096C" w:rsidRDefault="00537264" w:rsidP="00D45A46">
            <w:pPr>
              <w:jc w:val="both"/>
              <w:rPr>
                <w:bCs/>
                <w:color w:val="002060"/>
                <w:sz w:val="16"/>
                <w:szCs w:val="16"/>
              </w:rPr>
            </w:pPr>
            <w:r w:rsidRPr="00DE096C">
              <w:rPr>
                <w:bCs/>
                <w:color w:val="002060"/>
                <w:sz w:val="16"/>
                <w:szCs w:val="16"/>
              </w:rPr>
              <w:t xml:space="preserve">Гранаты со взрывателями (как расходуемые только на показные стрельбы) </w:t>
            </w:r>
          </w:p>
        </w:tc>
        <w:tc>
          <w:tcPr>
            <w:tcW w:w="1002" w:type="dxa"/>
          </w:tcPr>
          <w:p w14:paraId="7370C88D" w14:textId="77777777" w:rsidR="00537264" w:rsidRPr="00DE096C" w:rsidRDefault="00537264" w:rsidP="00D45A46">
            <w:pPr>
              <w:jc w:val="both"/>
              <w:rPr>
                <w:bCs/>
                <w:color w:val="002060"/>
                <w:sz w:val="16"/>
                <w:szCs w:val="16"/>
              </w:rPr>
            </w:pPr>
            <w:r w:rsidRPr="00DE096C">
              <w:rPr>
                <w:bCs/>
                <w:color w:val="002060"/>
                <w:sz w:val="16"/>
                <w:szCs w:val="16"/>
              </w:rPr>
              <w:t xml:space="preserve">175 лет </w:t>
            </w:r>
          </w:p>
        </w:tc>
      </w:tr>
    </w:tbl>
    <w:p w14:paraId="24D800C8" w14:textId="77777777" w:rsidR="00537264" w:rsidRPr="00DE096C" w:rsidRDefault="00537264" w:rsidP="00D45A46">
      <w:pPr>
        <w:pStyle w:val="Blockquote"/>
        <w:spacing w:before="0" w:after="0"/>
        <w:ind w:left="0" w:right="0"/>
        <w:jc w:val="both"/>
        <w:rPr>
          <w:bCs/>
          <w:color w:val="002060"/>
          <w:sz w:val="16"/>
          <w:szCs w:val="16"/>
        </w:rPr>
      </w:pPr>
      <w:r w:rsidRPr="00DE096C">
        <w:rPr>
          <w:bCs/>
          <w:color w:val="002060"/>
          <w:sz w:val="16"/>
          <w:szCs w:val="16"/>
        </w:rPr>
        <w:t>«С уверенностью можно сказать, что ни боевые заряды, ни дистанционные трубки столь долгого хранения не выдержат, так как существующий у нас бездымный порох с трудом дотянет без существенной порчи в южных округах до 10, а в северных до 15 лет (особенно при хранении в патронах), дистанционные же трубки не выдержат и 8–10-летнего хранения. Что касается собственно зарядов и взрывателей (не снаряженных), то они, конечно, могли бы храниться без порчи многие годы, но при непрерывном прогрессе в конструкции их они, конечно, скоро устарели бы и потребовали бы замены их более современными образцами.</w:t>
      </w:r>
    </w:p>
    <w:p w14:paraId="0DA2B19B" w14:textId="77777777" w:rsidR="00537264" w:rsidRPr="00DE096C" w:rsidRDefault="00537264" w:rsidP="00D45A46">
      <w:pPr>
        <w:pStyle w:val="Blockquote"/>
        <w:spacing w:before="0" w:after="0"/>
        <w:ind w:left="0" w:right="0"/>
        <w:jc w:val="both"/>
        <w:rPr>
          <w:bCs/>
          <w:color w:val="002060"/>
          <w:sz w:val="16"/>
          <w:szCs w:val="16"/>
        </w:rPr>
      </w:pPr>
      <w:r w:rsidRPr="00DE096C">
        <w:rPr>
          <w:bCs/>
          <w:color w:val="002060"/>
          <w:sz w:val="16"/>
          <w:szCs w:val="16"/>
        </w:rPr>
        <w:t>Единственный, казалось бы, при таких условиях выход — соответственное увеличение размера отпуска на практические стрельбы — оказывался неосуществимым вследствие значительного дополнительного расхода, недопустимого, опять-таки, по финансовым соображениям.</w:t>
      </w:r>
    </w:p>
    <w:p w14:paraId="35843C95" w14:textId="77777777" w:rsidR="00537264" w:rsidRPr="00DE096C" w:rsidRDefault="00537264" w:rsidP="00D45A46">
      <w:pPr>
        <w:pStyle w:val="Blockquote"/>
        <w:spacing w:before="0" w:after="0"/>
        <w:ind w:left="0" w:right="0"/>
        <w:jc w:val="both"/>
        <w:rPr>
          <w:bCs/>
          <w:color w:val="002060"/>
          <w:sz w:val="16"/>
          <w:szCs w:val="16"/>
        </w:rPr>
      </w:pPr>
      <w:r w:rsidRPr="00DE096C">
        <w:rPr>
          <w:bCs/>
          <w:color w:val="002060"/>
          <w:sz w:val="16"/>
          <w:szCs w:val="16"/>
        </w:rPr>
        <w:t>И вот, в заколдованном кругу финансовых и технических затруднений мы топтались до самой войны».</w:t>
      </w:r>
    </w:p>
    <w:p w14:paraId="2D14FF97" w14:textId="77777777" w:rsidR="00537264" w:rsidRPr="00DE096C" w:rsidRDefault="00537264" w:rsidP="00D45A46">
      <w:pPr>
        <w:jc w:val="both"/>
        <w:rPr>
          <w:bCs/>
          <w:color w:val="002060"/>
          <w:sz w:val="16"/>
          <w:szCs w:val="16"/>
        </w:rPr>
      </w:pPr>
      <w:r w:rsidRPr="00DE096C">
        <w:rPr>
          <w:bCs/>
          <w:color w:val="002060"/>
          <w:sz w:val="16"/>
          <w:szCs w:val="16"/>
        </w:rPr>
        <w:t xml:space="preserve">Слабость военной промышленности </w:t>
      </w:r>
    </w:p>
    <w:p w14:paraId="199E0712" w14:textId="77777777" w:rsidR="00537264" w:rsidRPr="00DE096C" w:rsidRDefault="00537264" w:rsidP="00D45A46">
      <w:pPr>
        <w:jc w:val="both"/>
        <w:rPr>
          <w:bCs/>
          <w:color w:val="002060"/>
          <w:sz w:val="16"/>
          <w:szCs w:val="16"/>
        </w:rPr>
      </w:pPr>
    </w:p>
    <w:p w14:paraId="5E81EE64" w14:textId="77777777" w:rsidR="00354A55" w:rsidRPr="00DE096C" w:rsidRDefault="00354A55" w:rsidP="00D45A46">
      <w:pPr>
        <w:pStyle w:val="ae"/>
        <w:spacing w:before="0" w:beforeAutospacing="0" w:after="0" w:afterAutospacing="0"/>
        <w:jc w:val="both"/>
        <w:rPr>
          <w:bCs/>
          <w:color w:val="002060"/>
          <w:sz w:val="16"/>
          <w:szCs w:val="16"/>
        </w:rPr>
      </w:pPr>
      <w:r w:rsidRPr="00DE096C">
        <w:rPr>
          <w:bCs/>
          <w:color w:val="002060"/>
          <w:sz w:val="16"/>
          <w:szCs w:val="16"/>
        </w:rPr>
        <w:t>Осенью 1914 г. русская армия стала ощущать недостаток отдельных видов вооружения, прежде всего артиллерийских снарядов. А весной 1915 г. разразился серьезный кризис в снабжении, ставший основной причиной длительного и трагического отступления русских войск из западных областей Российской империи (18391).</w:t>
      </w:r>
    </w:p>
    <w:p w14:paraId="39A35CA7" w14:textId="77777777" w:rsidR="00354A55" w:rsidRPr="00DE096C" w:rsidRDefault="00354A55" w:rsidP="00D45A46">
      <w:pPr>
        <w:pStyle w:val="ae"/>
        <w:spacing w:before="0" w:beforeAutospacing="0" w:after="0" w:afterAutospacing="0"/>
        <w:jc w:val="both"/>
        <w:rPr>
          <w:bCs/>
          <w:color w:val="002060"/>
          <w:sz w:val="16"/>
          <w:szCs w:val="16"/>
        </w:rPr>
      </w:pPr>
    </w:p>
    <w:p w14:paraId="4B2642D7" w14:textId="77777777" w:rsidR="00354A55" w:rsidRPr="00DE096C" w:rsidRDefault="00354A55" w:rsidP="00D45A46">
      <w:pPr>
        <w:jc w:val="both"/>
        <w:rPr>
          <w:bCs/>
          <w:color w:val="002060"/>
          <w:sz w:val="16"/>
          <w:szCs w:val="16"/>
        </w:rPr>
      </w:pPr>
      <w:r w:rsidRPr="00DE096C">
        <w:rPr>
          <w:bCs/>
          <w:color w:val="002060"/>
          <w:sz w:val="16"/>
          <w:szCs w:val="16"/>
          <w:shd w:val="clear" w:color="auto" w:fill="FFFEFF"/>
        </w:rPr>
        <w:t>Осенью 1914 г. начались переговоры о покупки винтовок системы Веттерли в количестве 1 млн. штук в Италии. Переговоры шли чрезвычайно трудно как из-за постоянно меняющихся требований итальянской стороны, которая в обмен на поставку ружей требовало поставки пшеницы. Так из-за посредничества Петроградской коммерческой группы Стахеева с одной стороны и итальянских комиссионеров Россели, Сперандео, Петричионе и др, которые еще более задерживали переговоры. В итоге переговоры затянулись почти на год и были завершены вице-адмиралом А.И. Русиным на Лондонской конференции в ноябре 1915 г. Согласно заключенному договору итальянская сторона уступала нам 500 тыс. винтовок системы Веттерли из которых в Россию поступило 400 тыс.</w:t>
      </w:r>
      <w:r w:rsidRPr="00DE096C">
        <w:rPr>
          <w:bCs/>
          <w:color w:val="002060"/>
          <w:sz w:val="16"/>
          <w:szCs w:val="16"/>
        </w:rPr>
        <w:t xml:space="preserve"> (18515)</w:t>
      </w:r>
      <w:r w:rsidRPr="00DE096C">
        <w:rPr>
          <w:bCs/>
          <w:color w:val="002060"/>
          <w:sz w:val="16"/>
          <w:szCs w:val="16"/>
          <w:shd w:val="clear" w:color="auto" w:fill="FFFEFF"/>
        </w:rPr>
        <w:t>.</w:t>
      </w:r>
    </w:p>
    <w:p w14:paraId="15DF1996" w14:textId="77777777" w:rsidR="00354A55" w:rsidRPr="00DE096C" w:rsidRDefault="00354A55" w:rsidP="00D45A46">
      <w:pPr>
        <w:jc w:val="both"/>
        <w:rPr>
          <w:bCs/>
          <w:color w:val="002060"/>
          <w:sz w:val="16"/>
          <w:szCs w:val="16"/>
        </w:rPr>
      </w:pPr>
    </w:p>
    <w:p w14:paraId="2AE53D0D" w14:textId="77777777" w:rsidR="00354A55" w:rsidRPr="00DE096C" w:rsidRDefault="00354A55" w:rsidP="00D45A46">
      <w:pPr>
        <w:jc w:val="both"/>
        <w:rPr>
          <w:bCs/>
          <w:color w:val="002060"/>
          <w:sz w:val="16"/>
          <w:szCs w:val="16"/>
        </w:rPr>
      </w:pPr>
      <w:r w:rsidRPr="00DE096C">
        <w:rPr>
          <w:bCs/>
          <w:color w:val="002060"/>
          <w:sz w:val="16"/>
          <w:szCs w:val="16"/>
        </w:rPr>
        <w:t>Осенью 1914 г. началось проектирование новых казенных ружейного и сталелитейного и дальнейшего расширения всех пороховых заводов; в феврале 1915 г. было решено построить в Кадиевке бензоловый завод (в августе он уже работал), 28 апреля — Нижегородский взрывчатых веществ и т. д.</w:t>
      </w:r>
    </w:p>
    <w:p w14:paraId="3763DFFC" w14:textId="77777777" w:rsidR="00354A55" w:rsidRPr="00DE096C" w:rsidRDefault="00354A55" w:rsidP="00D45A46">
      <w:pPr>
        <w:jc w:val="both"/>
        <w:rPr>
          <w:bCs/>
          <w:color w:val="002060"/>
          <w:sz w:val="16"/>
          <w:szCs w:val="16"/>
        </w:rPr>
      </w:pPr>
      <w:r w:rsidRPr="00DE096C">
        <w:rPr>
          <w:bCs/>
          <w:color w:val="002060"/>
          <w:sz w:val="16"/>
          <w:szCs w:val="16"/>
        </w:rPr>
        <w:t>А.Ф. Редигер, предшественник Сухомлинова, ознакомившийся с «Большой программой» в качестве докладчика Финансовой комиссии Государственного совета, считал, что «в общем план усиления армии был хорош… осуществлялись все те улучшения, о которых я в этом отношении мечтал и которые были невыполнимы в мое время… Были приняты во. внимание и вновь назревшие потребности (напр., воздухоплавание). Я поэтому со спокойной совестью мог принять на себя роль докладчика в Государственном совете и ходатайствовать об утверждении плана… Существенным его недостатком являлась его запоздалость» (18409).</w:t>
      </w:r>
    </w:p>
    <w:p w14:paraId="0D948C3C" w14:textId="77777777" w:rsidR="00354A55" w:rsidRPr="00DE096C" w:rsidRDefault="00354A55" w:rsidP="00D45A46">
      <w:pPr>
        <w:jc w:val="both"/>
        <w:rPr>
          <w:bCs/>
          <w:color w:val="002060"/>
          <w:sz w:val="16"/>
          <w:szCs w:val="16"/>
        </w:rPr>
      </w:pPr>
    </w:p>
    <w:p w14:paraId="16D48A6E" w14:textId="77777777" w:rsidR="00354A55" w:rsidRPr="00DE096C" w:rsidRDefault="00354A55" w:rsidP="00D45A46">
      <w:pPr>
        <w:pStyle w:val="31"/>
        <w:shd w:val="clear" w:color="auto" w:fill="auto"/>
        <w:spacing w:line="240" w:lineRule="auto"/>
        <w:ind w:firstLine="0"/>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lastRenderedPageBreak/>
        <w:t>С осени 1914 г. в артиллерийские части Русской армии стали поступать английские паровые тягачи «Фоулер», «Маршал» и «Мак-Ларен». Это был во многом вынужденный шаг. Воюющей армии остро не хватало (прежде всего, для транспор</w:t>
      </w:r>
      <w:r w:rsidRPr="00DE096C">
        <w:rPr>
          <w:rFonts w:ascii="Times New Roman" w:hAnsi="Times New Roman" w:cs="Times New Roman"/>
          <w:bCs/>
          <w:color w:val="002060"/>
          <w:sz w:val="16"/>
          <w:szCs w:val="16"/>
        </w:rPr>
        <w:softHyphen/>
        <w:t>тировки орудий больших калибров) тяжелых колесных и гусеничных тракторов и полнопри</w:t>
      </w:r>
      <w:r w:rsidRPr="00DE096C">
        <w:rPr>
          <w:rFonts w:ascii="Times New Roman" w:hAnsi="Times New Roman" w:cs="Times New Roman"/>
          <w:bCs/>
          <w:color w:val="002060"/>
          <w:sz w:val="16"/>
          <w:szCs w:val="16"/>
        </w:rPr>
        <w:softHyphen/>
        <w:t>водных грузовиков с двигателями внутренне</w:t>
      </w:r>
      <w:r w:rsidRPr="00DE096C">
        <w:rPr>
          <w:rFonts w:ascii="Times New Roman" w:hAnsi="Times New Roman" w:cs="Times New Roman"/>
          <w:bCs/>
          <w:color w:val="002060"/>
          <w:sz w:val="16"/>
          <w:szCs w:val="16"/>
        </w:rPr>
        <w:softHyphen/>
        <w:t>го сгорания. Но союзники сами испытывали в них большую нужду и не могли поставлять их России в требуемом количестве. Поэтому при</w:t>
      </w:r>
      <w:r w:rsidRPr="00DE096C">
        <w:rPr>
          <w:rFonts w:ascii="Times New Roman" w:hAnsi="Times New Roman" w:cs="Times New Roman"/>
          <w:bCs/>
          <w:color w:val="002060"/>
          <w:sz w:val="16"/>
          <w:szCs w:val="16"/>
        </w:rPr>
        <w:softHyphen/>
        <w:t>шлось закупать морально устаревшие и неэф</w:t>
      </w:r>
      <w:r w:rsidRPr="00DE096C">
        <w:rPr>
          <w:rFonts w:ascii="Times New Roman" w:hAnsi="Times New Roman" w:cs="Times New Roman"/>
          <w:bCs/>
          <w:color w:val="002060"/>
          <w:sz w:val="16"/>
          <w:szCs w:val="16"/>
        </w:rPr>
        <w:softHyphen/>
        <w:t>фективные паровые тягачи (15775).</w:t>
      </w:r>
    </w:p>
    <w:p w14:paraId="72CF4D03" w14:textId="77777777" w:rsidR="00354A55" w:rsidRPr="00DE096C" w:rsidRDefault="00354A55" w:rsidP="00D45A46">
      <w:pPr>
        <w:jc w:val="both"/>
        <w:rPr>
          <w:bCs/>
          <w:color w:val="002060"/>
          <w:sz w:val="16"/>
          <w:szCs w:val="16"/>
        </w:rPr>
      </w:pPr>
    </w:p>
    <w:p w14:paraId="15CA6EFE" w14:textId="2FA6F397" w:rsidR="00354A55" w:rsidRPr="00DE096C" w:rsidRDefault="00CA3780" w:rsidP="00D45A46">
      <w:pPr>
        <w:pStyle w:val="ae"/>
        <w:spacing w:before="0" w:beforeAutospacing="0" w:after="0" w:afterAutospacing="0"/>
        <w:jc w:val="both"/>
        <w:rPr>
          <w:bCs/>
          <w:color w:val="002060"/>
          <w:sz w:val="16"/>
          <w:szCs w:val="16"/>
        </w:rPr>
      </w:pPr>
      <w:r w:rsidRPr="00DE096C">
        <w:rPr>
          <w:bCs/>
          <w:color w:val="002060"/>
          <w:sz w:val="16"/>
          <w:szCs w:val="16"/>
        </w:rPr>
        <w:t>С</w:t>
      </w:r>
      <w:r w:rsidR="00354A55" w:rsidRPr="00DE096C">
        <w:rPr>
          <w:bCs/>
          <w:color w:val="002060"/>
          <w:sz w:val="16"/>
          <w:szCs w:val="16"/>
        </w:rPr>
        <w:t xml:space="preserve"> осени 1914</w:t>
      </w:r>
      <w:r w:rsidRPr="00DE096C">
        <w:rPr>
          <w:bCs/>
          <w:color w:val="002060"/>
          <w:sz w:val="16"/>
          <w:szCs w:val="16"/>
        </w:rPr>
        <w:t xml:space="preserve"> с началом Первой мировой войны</w:t>
      </w:r>
      <w:r w:rsidR="00354A55" w:rsidRPr="00DE096C">
        <w:rPr>
          <w:bCs/>
          <w:color w:val="002060"/>
          <w:sz w:val="16"/>
          <w:szCs w:val="16"/>
        </w:rPr>
        <w:t xml:space="preserve"> управление хозяйством России частично перешло в руки военной администрации. Возможности для вмешательства государства в хозяйственную жизнь расширились, что позднее выразилось в системе регулирования, мобилизации и милитаризации промышленности. До весны 1915 г. в России влияние правительства на хозяйственную жизнь страны было крайне незначительным. В законодательных актах, изданных в первые месяцы войны для регулирования хозяйственной жизни страны, отражалось стремление сохранить в неприкосновенности весь бюрократический государственный аппарат. Характерно, что в это время не было создано никаких дополнительных органов. Расширялись лишь полномочия существовавших военных властей. В дальнейшем, в течение 1914 и первой половины 1915 г., некоторым министрам было дано право вторгаться в сферу хозяйственных вопросов в целях лучшего обеспечения армии продовольствием и вооружением. Кроме неудачных попыток таксирования цен на продовольствие и организации государственных закупок некоторых продуктов, ничего предпринято не было.</w:t>
      </w:r>
    </w:p>
    <w:p w14:paraId="1210C657" w14:textId="77777777" w:rsidR="00354A55" w:rsidRPr="00DE096C" w:rsidRDefault="00354A55" w:rsidP="00D45A46">
      <w:pPr>
        <w:pStyle w:val="ae"/>
        <w:spacing w:before="0" w:beforeAutospacing="0" w:after="0" w:afterAutospacing="0"/>
        <w:jc w:val="both"/>
        <w:rPr>
          <w:bCs/>
          <w:color w:val="002060"/>
          <w:sz w:val="16"/>
          <w:szCs w:val="16"/>
        </w:rPr>
      </w:pPr>
      <w:r w:rsidRPr="00DE096C">
        <w:rPr>
          <w:bCs/>
          <w:color w:val="002060"/>
          <w:sz w:val="16"/>
          <w:szCs w:val="16"/>
        </w:rPr>
        <w:t>А война настойчиво вызвала необходимость внесения некоторых изменений в законодательство Российской империи, которые прежде всего были связаны с усилением государственного регулирования экономикой.</w:t>
      </w:r>
    </w:p>
    <w:p w14:paraId="2895B6B2" w14:textId="77777777" w:rsidR="00354A55" w:rsidRPr="00DE096C" w:rsidRDefault="00354A55" w:rsidP="00D45A46">
      <w:pPr>
        <w:pStyle w:val="ae"/>
        <w:spacing w:before="0" w:beforeAutospacing="0" w:after="0" w:afterAutospacing="0"/>
        <w:jc w:val="both"/>
        <w:rPr>
          <w:bCs/>
          <w:color w:val="002060"/>
          <w:sz w:val="16"/>
          <w:szCs w:val="16"/>
        </w:rPr>
      </w:pPr>
      <w:r w:rsidRPr="00DE096C">
        <w:rPr>
          <w:bCs/>
          <w:color w:val="002060"/>
          <w:sz w:val="16"/>
          <w:szCs w:val="16"/>
        </w:rPr>
        <w:t>Широко использовались государственные заказы заводам оборонной промышленности, регламентировались поставки сырья и материалов; применялись реквизиции (возмездное изъятие) материалов, необходимых для военных нужд; принудительные выкупы предприятий в казну (секвестры), приведшие к значительному росту казенной (государственной) промышленности. Предпринимались меры, направленные против иностранных владельцев (прежде всего немецких). Было принято постановление о расширении правительственного надзора над банками коммерческого кредита. И все же ключевые позиции в хозяйстве оставались в руках крупных капиталистов и финансистов, многие из которых, как и государственные деятели, были противниками радикальных мер в области государственного вмешательства в процесс производства.</w:t>
      </w:r>
    </w:p>
    <w:p w14:paraId="128EA242" w14:textId="77777777" w:rsidR="00354A55" w:rsidRPr="00DE096C" w:rsidRDefault="00354A55" w:rsidP="00D45A46">
      <w:pPr>
        <w:pStyle w:val="ae"/>
        <w:spacing w:before="0" w:beforeAutospacing="0" w:after="0" w:afterAutospacing="0"/>
        <w:jc w:val="both"/>
        <w:rPr>
          <w:bCs/>
          <w:color w:val="002060"/>
          <w:sz w:val="16"/>
          <w:szCs w:val="16"/>
        </w:rPr>
      </w:pPr>
      <w:r w:rsidRPr="00DE096C">
        <w:rPr>
          <w:bCs/>
          <w:color w:val="002060"/>
          <w:sz w:val="16"/>
          <w:szCs w:val="16"/>
        </w:rPr>
        <w:t>Но жизнь показывала обратное – недостаточность всех этих мер. Весной 1915 г., создалось критическое положение со снабжением фронта боеприпасами, выявился топливный и транспортный кризис, а экономическая база войны в результате потери Россией большей части территории Польши сократилась. Русскому правительству пришлось задуматься о серьезных изменениях в управлении хозяйством. Трудности в снабжении армии, острая нехватка вооружения и снаряжения, развал всего хозяйства страны требовали создания дополнительных органов, наделенных чрезвычайными правами и способных решительно вмешиваться в экономику России.</w:t>
      </w:r>
    </w:p>
    <w:p w14:paraId="04F37E6B" w14:textId="77777777" w:rsidR="00354A55" w:rsidRPr="00DE096C" w:rsidRDefault="00354A55" w:rsidP="00D45A46">
      <w:pPr>
        <w:pStyle w:val="ae"/>
        <w:spacing w:before="0" w:beforeAutospacing="0" w:after="0" w:afterAutospacing="0"/>
        <w:jc w:val="both"/>
        <w:rPr>
          <w:bCs/>
          <w:color w:val="002060"/>
          <w:sz w:val="16"/>
          <w:szCs w:val="16"/>
        </w:rPr>
      </w:pPr>
      <w:r w:rsidRPr="00DE096C">
        <w:rPr>
          <w:bCs/>
          <w:color w:val="002060"/>
          <w:sz w:val="16"/>
          <w:szCs w:val="16"/>
        </w:rPr>
        <w:t>Начали с создания ряда особых комитетов, в ведение которых поступили наиболее угрожаемые участки хозяйства: по распределению, топлива (4 марта 1915 г.), главный продовольственный комитет при Министерстве торговли и промышленности (19 мая 1915 г.), комитет по перевозкам и др.</w:t>
      </w:r>
    </w:p>
    <w:p w14:paraId="0C458A71" w14:textId="77777777" w:rsidR="00354A55" w:rsidRPr="00DE096C" w:rsidRDefault="00354A55" w:rsidP="00D45A46">
      <w:pPr>
        <w:pStyle w:val="ae"/>
        <w:spacing w:before="0" w:beforeAutospacing="0" w:after="0" w:afterAutospacing="0"/>
        <w:jc w:val="both"/>
        <w:rPr>
          <w:bCs/>
          <w:color w:val="002060"/>
          <w:sz w:val="16"/>
          <w:szCs w:val="16"/>
        </w:rPr>
      </w:pPr>
      <w:r w:rsidRPr="00DE096C">
        <w:rPr>
          <w:bCs/>
          <w:color w:val="002060"/>
          <w:sz w:val="16"/>
          <w:szCs w:val="16"/>
        </w:rPr>
        <w:t>Эти комитеты в основном занимались вопросами распределения и снабжения. Первой попыткой учреждения такого органа было образование в июне 1915 г. Особого совещания для объединения мероприятий по обеспечению действующей армии предметами боевого и материального снабжения под председательством военного министра. Во многом его создание было инициировано общественными деятелями, в том числе М.В. Родзянко. По его словам, Особое совещание должно было прекратить хищение государственных денег под прикрытием комиссии великого князя Сергея Михайловича, но оно выполняло лишь функции совещательного органа и было мало осведомлено о практической работе в этой сфере (15736).</w:t>
      </w:r>
    </w:p>
    <w:p w14:paraId="62DCD409" w14:textId="77777777" w:rsidR="00354A55" w:rsidRPr="00DE096C" w:rsidRDefault="00354A55" w:rsidP="00D45A46">
      <w:pPr>
        <w:pStyle w:val="ae"/>
        <w:spacing w:before="0" w:beforeAutospacing="0" w:after="0" w:afterAutospacing="0"/>
        <w:jc w:val="both"/>
        <w:rPr>
          <w:bCs/>
          <w:color w:val="002060"/>
          <w:sz w:val="16"/>
          <w:szCs w:val="16"/>
        </w:rPr>
      </w:pPr>
    </w:p>
    <w:p w14:paraId="369CC22B" w14:textId="77777777" w:rsidR="00CA3780" w:rsidRPr="00DE096C" w:rsidRDefault="00CA3780" w:rsidP="00D45A46">
      <w:pPr>
        <w:jc w:val="both"/>
        <w:rPr>
          <w:bCs/>
          <w:color w:val="002060"/>
          <w:sz w:val="16"/>
          <w:szCs w:val="16"/>
        </w:rPr>
      </w:pPr>
      <w:r w:rsidRPr="00DE096C">
        <w:rPr>
          <w:bCs/>
          <w:color w:val="002060"/>
          <w:sz w:val="16"/>
          <w:szCs w:val="16"/>
        </w:rPr>
        <w:t>Осенью 1914 г. Военное министерство ассигновало колоссальные средства для закупки броневиков в Англии и Франции и их постройки на отечественных заводах. С 21 декабря 1914 г. началось формирование отдельных автомо-бильных пулеметных взводов. Большая заслуга в развитии нового рода войск принадлежала, несомненно, упомянутым выше энтузиастам автомобилизации Русской армии, которых поддержал начальник Офицерской стрелковой школы генерал-майор Н.М. Филатов.</w:t>
      </w:r>
    </w:p>
    <w:p w14:paraId="36D1C8AF" w14:textId="77777777" w:rsidR="00CA3780" w:rsidRPr="00DE096C" w:rsidRDefault="00CA3780" w:rsidP="00D45A46">
      <w:pPr>
        <w:jc w:val="both"/>
        <w:rPr>
          <w:bCs/>
          <w:color w:val="002060"/>
          <w:sz w:val="16"/>
          <w:szCs w:val="16"/>
        </w:rPr>
      </w:pPr>
      <w:r w:rsidRPr="00DE096C">
        <w:rPr>
          <w:bCs/>
          <w:color w:val="002060"/>
          <w:sz w:val="16"/>
          <w:szCs w:val="16"/>
        </w:rPr>
        <w:t>Следует признать, что эффект от несущественных действий немецких боевых машин в Восточной Пруссии, не столько тактический, сколько психологический, имел место. Но не совсем тот, на который рассчитывали немцы. Бурный бронеавтомобильный рост в Русской армии тому подтверждение. Сообщения о не-мецких броневиках, несомненно, дали допол-нительный толчок развитию российского бро-невого дела. Вероятно, именно для того, чтобы убедить консервативные круги русского коман-дования в необходимости внедрения броневых частей в армию, сообщения о вражеских бро-невиках сознательно преувеличивались. Раз-работки русским командованием мер борьбы с бронеавтомобилями противника также в опре-деленной мере преследовали эту цель. Таким образом, и раздуваемый с подачи сторонников активной моторизации армии миф о многочис-ленных немецких броневиках в прессе можно считать частью плана по развитию нового рода войск в Русской Императорской армии.</w:t>
      </w:r>
    </w:p>
    <w:p w14:paraId="290CABFB" w14:textId="604727BC" w:rsidR="00CA3780" w:rsidRPr="00DE096C" w:rsidRDefault="00CA3780" w:rsidP="00D45A46">
      <w:pPr>
        <w:jc w:val="both"/>
        <w:rPr>
          <w:bCs/>
          <w:color w:val="002060"/>
          <w:sz w:val="16"/>
          <w:szCs w:val="16"/>
        </w:rPr>
      </w:pPr>
      <w:r w:rsidRPr="00DE096C">
        <w:rPr>
          <w:bCs/>
          <w:color w:val="002060"/>
          <w:sz w:val="16"/>
          <w:szCs w:val="16"/>
        </w:rPr>
        <w:t>Типичным примером использования «страшилки» о германских броневиках в целях развития нового рода войск является рапорт Былинского. Весной 1915 г. штабс-капитан В.Р. Былинский обратился в штаб 10-й армии с рапортом, в котором писал: «Вступая в бой с противником, отлично вооруженным брониро-ванными пушечными и пулеметными батарея-ми на автомобилях, и не имея в своей армии аналогичных средств вооружения, сразу несли от их губительных действий большие потери, в моральном же отношении потери от падения духа в войсках, сознающих свою абсолютную беспомощность, были неисчислимы [...].</w:t>
      </w:r>
    </w:p>
    <w:p w14:paraId="662E7DD2" w14:textId="77777777" w:rsidR="00CA3780" w:rsidRPr="00DE096C" w:rsidRDefault="00CA3780" w:rsidP="00D45A46">
      <w:pPr>
        <w:jc w:val="both"/>
        <w:rPr>
          <w:bCs/>
          <w:color w:val="002060"/>
          <w:sz w:val="16"/>
          <w:szCs w:val="16"/>
        </w:rPr>
      </w:pPr>
      <w:r w:rsidRPr="00DE096C">
        <w:rPr>
          <w:bCs/>
          <w:color w:val="002060"/>
          <w:sz w:val="16"/>
          <w:szCs w:val="16"/>
        </w:rPr>
        <w:t>Совершенное отсутствие в районе 1-й и 10-й армий, где я с начала кампании пробыл в строю, каких бы то ни было броневых авто-мобилей, побудили меня сформировать своей конструкции и на свой счет отдельный авто- пушечно-пулеметный взвод [...]».</w:t>
      </w:r>
    </w:p>
    <w:p w14:paraId="209DBFA0" w14:textId="77777777" w:rsidR="00CA3780" w:rsidRPr="00DE096C" w:rsidRDefault="00CA3780" w:rsidP="00D45A46">
      <w:pPr>
        <w:jc w:val="both"/>
        <w:rPr>
          <w:bCs/>
          <w:color w:val="002060"/>
          <w:sz w:val="16"/>
          <w:szCs w:val="16"/>
        </w:rPr>
      </w:pPr>
      <w:r w:rsidRPr="00DE096C">
        <w:rPr>
          <w:bCs/>
          <w:color w:val="002060"/>
          <w:sz w:val="16"/>
          <w:szCs w:val="16"/>
        </w:rPr>
        <w:t>Инициативу Былинского поддержали — ему выделили два трофейных автомобиля «Мерседес» и откомандировали в Петроград на Обуховский завод для постройки броневиков и формирования «внепланового» пулеметно- автомобильного взвода. Заручившись под-держкой влиятельного приверженца мотори-зации армии генерал-майора свиты Его Импе-раторского Величества князя В.Н. Орлова, он вскоре получил и третью машину — немецкий грузовик «Ллойд» (Ыоуд) выпуска 1911 г. 23 ав-густа 1915 г. 25-й автопулеметный взвод под командованием Былинского был отправлен в 5-ю армию на Северный фронт.</w:t>
      </w:r>
    </w:p>
    <w:p w14:paraId="5ECD2AE6" w14:textId="6E341CF0" w:rsidR="00CA3780" w:rsidRPr="00DE096C" w:rsidRDefault="00CA3780" w:rsidP="00D45A46">
      <w:pPr>
        <w:jc w:val="both"/>
        <w:rPr>
          <w:bCs/>
          <w:color w:val="002060"/>
          <w:sz w:val="16"/>
          <w:szCs w:val="16"/>
        </w:rPr>
      </w:pPr>
      <w:r w:rsidRPr="00DE096C">
        <w:rPr>
          <w:bCs/>
          <w:color w:val="002060"/>
          <w:sz w:val="16"/>
          <w:szCs w:val="16"/>
        </w:rPr>
        <w:t>По приказу начальника Штаба Верховного Главнокомандующего от 7 июня 1916 г. пулеметные автомобильные взводы были объеди-нены в броневые автомобильные дивизионы из расчета один дивизион на армию. При этом взвод переименовывался в отделение. На Кавказском фронте была сохранена взводная организация бронеавтомобильных частей. На 1 сентября 1916 г. в России действовали 12 линейных броневых автомобильных дивизионов Русской армии, а также бельгийский и бри-танский бронедивизионы; в Петрограде рас-полагался Запасной бронедивизион. В начале 1917 г. к ним добавился дивизион особого на-значения. Бронеавтомобили получили весьма широкое распространение в Русской армии. До октября 1917 г. организация подразделений, тактика боевого использования и количество бронеавтомобилей во многом превосходили показатели армий других стран.</w:t>
      </w:r>
    </w:p>
    <w:p w14:paraId="7FF3A838" w14:textId="77777777" w:rsidR="00CA3780" w:rsidRPr="00DE096C" w:rsidRDefault="00CA3780" w:rsidP="00D45A46">
      <w:pPr>
        <w:jc w:val="both"/>
        <w:rPr>
          <w:bCs/>
          <w:color w:val="002060"/>
          <w:sz w:val="16"/>
          <w:szCs w:val="16"/>
        </w:rPr>
      </w:pPr>
      <w:r w:rsidRPr="00DE096C">
        <w:rPr>
          <w:bCs/>
          <w:color w:val="002060"/>
          <w:sz w:val="16"/>
          <w:szCs w:val="16"/>
        </w:rPr>
        <w:t>Что касается немцев, то только 27 октября 1914 г., когда 1-я автомобильная пулеметная рота Русской армии уже прибыла на фронт, военное министерство Пруссии обязало Транспортно-техническую испытательную ко-миссию разработать план мероприятий по по-стройке бронеавтомобилей и формированию броневых частей. К этому подключили также Оржейную испытательную комиссию и Отдел «А2» (Отдел инфантерии). 3 ноября совместны-ми усилиями были сформулированы состоящие из 16 пунктов требования к бронеавтомобилям. После их одобрения военным министерством на заводах «Бюссинг», «Даймлер» и «Эрхардт» разместили заказ на изготовление трех бро-нированных машин (12256).</w:t>
      </w:r>
    </w:p>
    <w:p w14:paraId="41897769" w14:textId="77777777" w:rsidR="00CA3780" w:rsidRPr="00DE096C" w:rsidRDefault="00CA3780" w:rsidP="00D45A46">
      <w:pPr>
        <w:jc w:val="both"/>
        <w:rPr>
          <w:bCs/>
          <w:color w:val="002060"/>
          <w:sz w:val="16"/>
          <w:szCs w:val="16"/>
        </w:rPr>
      </w:pPr>
    </w:p>
    <w:p w14:paraId="36FDDC9B" w14:textId="77777777" w:rsidR="00870037" w:rsidRPr="00DE096C" w:rsidRDefault="00870037" w:rsidP="00D45A46">
      <w:pPr>
        <w:jc w:val="both"/>
        <w:rPr>
          <w:bCs/>
          <w:color w:val="002060"/>
          <w:sz w:val="16"/>
          <w:szCs w:val="16"/>
        </w:rPr>
      </w:pPr>
      <w:r w:rsidRPr="00DE096C">
        <w:rPr>
          <w:bCs/>
          <w:color w:val="002060"/>
          <w:sz w:val="16"/>
          <w:szCs w:val="16"/>
        </w:rPr>
        <w:t>Осенью 1914 г. началось сооружение по</w:t>
      </w:r>
      <w:r w:rsidRPr="00DE096C">
        <w:rPr>
          <w:bCs/>
          <w:color w:val="002060"/>
          <w:sz w:val="16"/>
          <w:szCs w:val="16"/>
        </w:rPr>
        <w:softHyphen/>
        <w:t>рохового завода близ Тамбова, а также про</w:t>
      </w:r>
      <w:r w:rsidRPr="00DE096C">
        <w:rPr>
          <w:bCs/>
          <w:color w:val="002060"/>
          <w:sz w:val="16"/>
          <w:szCs w:val="16"/>
        </w:rPr>
        <w:softHyphen/>
        <w:t>ектирование новых казенных ружейного и сталелитейного и дальнейшего расширения всех пороховых заводов; в фев</w:t>
      </w:r>
      <w:r w:rsidRPr="00DE096C">
        <w:rPr>
          <w:bCs/>
          <w:color w:val="002060"/>
          <w:sz w:val="16"/>
          <w:szCs w:val="16"/>
        </w:rPr>
        <w:softHyphen/>
        <w:t>рале 1915 г. было решено построить в Кадиевке бензоловый завод (в августе он уже работал), 28 апреля — Нижегород</w:t>
      </w:r>
      <w:r w:rsidRPr="00DE096C">
        <w:rPr>
          <w:bCs/>
          <w:color w:val="002060"/>
          <w:sz w:val="16"/>
          <w:szCs w:val="16"/>
        </w:rPr>
        <w:softHyphen/>
        <w:t>ский взрывчатых веществ и т. д. (23452)</w:t>
      </w:r>
    </w:p>
    <w:p w14:paraId="4404FF19" w14:textId="77777777" w:rsidR="00870037" w:rsidRPr="00DE096C" w:rsidRDefault="00870037" w:rsidP="00D45A46">
      <w:pPr>
        <w:jc w:val="both"/>
        <w:rPr>
          <w:bCs/>
          <w:color w:val="002060"/>
          <w:sz w:val="16"/>
          <w:szCs w:val="16"/>
        </w:rPr>
      </w:pPr>
    </w:p>
    <w:p w14:paraId="0EBB454A" w14:textId="77777777" w:rsidR="00870037" w:rsidRPr="00DE096C" w:rsidRDefault="00870037" w:rsidP="00D45A46">
      <w:pPr>
        <w:pStyle w:val="af7"/>
        <w:spacing w:line="240" w:lineRule="auto"/>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С осени 1914 в начале войны в числе первых предпринимателей, про</w:t>
      </w:r>
      <w:r w:rsidRPr="00DE096C">
        <w:rPr>
          <w:rFonts w:ascii="Times New Roman" w:hAnsi="Times New Roman" w:cs="Times New Roman"/>
          <w:bCs/>
          <w:color w:val="002060"/>
          <w:sz w:val="16"/>
          <w:szCs w:val="16"/>
        </w:rPr>
        <w:softHyphen/>
        <w:t>сивших содействия казны для устройства частных ружейных заводов, были владелец оружейных магазинов в Москве, Нижнем Новгороде и Самаре А.А. Битков и директор полуказенного Русского общества пароходства и торговли А.К. Тимрот. «Для скорости мы предполагаем, — говорилось в заявлении Тимрота, поданном 15 января 1915 г., — теперь же дать заказ иностранному заводу, обязав его одновременно с изготовлением станков для своего завода поставить также нам необходимые станки и лекала... Для удешевления за</w:t>
      </w:r>
      <w:r w:rsidRPr="00DE096C">
        <w:rPr>
          <w:rFonts w:ascii="Times New Roman" w:hAnsi="Times New Roman" w:cs="Times New Roman"/>
          <w:bCs/>
          <w:color w:val="002060"/>
          <w:sz w:val="16"/>
          <w:szCs w:val="16"/>
        </w:rPr>
        <w:softHyphen/>
        <w:t>граничного заказа необходимо будет поставить условие, что[бы], по изготовлении определенного количества винто</w:t>
      </w:r>
      <w:r w:rsidRPr="00DE096C">
        <w:rPr>
          <w:rFonts w:ascii="Times New Roman" w:hAnsi="Times New Roman" w:cs="Times New Roman"/>
          <w:bCs/>
          <w:color w:val="002060"/>
          <w:sz w:val="16"/>
          <w:szCs w:val="16"/>
        </w:rPr>
        <w:softHyphen/>
        <w:t>вок и по нашему требованию, нам были переданы за услов</w:t>
      </w:r>
      <w:r w:rsidRPr="00DE096C">
        <w:rPr>
          <w:rFonts w:ascii="Times New Roman" w:hAnsi="Times New Roman" w:cs="Times New Roman"/>
          <w:bCs/>
          <w:color w:val="002060"/>
          <w:sz w:val="16"/>
          <w:szCs w:val="16"/>
        </w:rPr>
        <w:softHyphen/>
        <w:t>ленную плату и в полной исправности их станки, после чего все производство винтовок может быть перенесено нами в Россию с расчетом довести производство до 2000 винтовок в день». Все это обосновывалось идеей о подготовке к от</w:t>
      </w:r>
      <w:r w:rsidRPr="00DE096C">
        <w:rPr>
          <w:rFonts w:ascii="Times New Roman" w:hAnsi="Times New Roman" w:cs="Times New Roman"/>
          <w:bCs/>
          <w:color w:val="002060"/>
          <w:sz w:val="16"/>
          <w:szCs w:val="16"/>
        </w:rPr>
        <w:softHyphen/>
        <w:t>ветственному дню, когда произойдет перемена в отношени</w:t>
      </w:r>
      <w:r w:rsidRPr="00DE096C">
        <w:rPr>
          <w:rFonts w:ascii="Times New Roman" w:hAnsi="Times New Roman" w:cs="Times New Roman"/>
          <w:bCs/>
          <w:color w:val="002060"/>
          <w:sz w:val="16"/>
          <w:szCs w:val="16"/>
        </w:rPr>
        <w:softHyphen/>
        <w:t>ях с союзниками: «Именно к концу войны и во время кон</w:t>
      </w:r>
      <w:r w:rsidRPr="00DE096C">
        <w:rPr>
          <w:rFonts w:ascii="Times New Roman" w:hAnsi="Times New Roman" w:cs="Times New Roman"/>
          <w:bCs/>
          <w:color w:val="002060"/>
          <w:sz w:val="16"/>
          <w:szCs w:val="16"/>
        </w:rPr>
        <w:softHyphen/>
        <w:t>ференции мира, когда державы ныне нейтральные могут оказаться нашими врагами, а союзники в некоторых вопро</w:t>
      </w:r>
      <w:r w:rsidRPr="00DE096C">
        <w:rPr>
          <w:rFonts w:ascii="Times New Roman" w:hAnsi="Times New Roman" w:cs="Times New Roman"/>
          <w:bCs/>
          <w:color w:val="002060"/>
          <w:sz w:val="16"/>
          <w:szCs w:val="16"/>
        </w:rPr>
        <w:softHyphen/>
        <w:t xml:space="preserve">сах могут оказаться недоброжелательными, мы должны быть сильнее, чем когда-либо» (2 июня </w:t>
      </w:r>
      <w:r w:rsidRPr="00DE096C">
        <w:rPr>
          <w:rFonts w:ascii="Times New Roman" w:hAnsi="Times New Roman" w:cs="Times New Roman"/>
          <w:bCs/>
          <w:color w:val="002060"/>
          <w:sz w:val="16"/>
          <w:szCs w:val="16"/>
          <w:lang w:val="en-US" w:bidi="en-US"/>
        </w:rPr>
        <w:t>KBM</w:t>
      </w:r>
      <w:r w:rsidRPr="00DE096C">
        <w:rPr>
          <w:rFonts w:ascii="Times New Roman" w:hAnsi="Times New Roman" w:cs="Times New Roman"/>
          <w:bCs/>
          <w:color w:val="002060"/>
          <w:sz w:val="16"/>
          <w:szCs w:val="16"/>
          <w:lang w:bidi="en-US"/>
        </w:rPr>
        <w:t xml:space="preserve"> </w:t>
      </w:r>
      <w:r w:rsidRPr="00DE096C">
        <w:rPr>
          <w:rFonts w:ascii="Times New Roman" w:hAnsi="Times New Roman" w:cs="Times New Roman"/>
          <w:bCs/>
          <w:color w:val="002060"/>
          <w:sz w:val="16"/>
          <w:szCs w:val="16"/>
        </w:rPr>
        <w:t>возвратила в ГАУ его доклады о покупке американ</w:t>
      </w:r>
      <w:r w:rsidRPr="00DE096C">
        <w:rPr>
          <w:rFonts w:ascii="Times New Roman" w:hAnsi="Times New Roman" w:cs="Times New Roman"/>
          <w:bCs/>
          <w:color w:val="002060"/>
          <w:sz w:val="16"/>
          <w:szCs w:val="16"/>
        </w:rPr>
        <w:softHyphen/>
        <w:t>ского оборудования и продолжении строительства в Екатеринославе (РГВИА. Ф. 29. Оп. 3. Д. 792. Л. 1, 5; Д. 783. Л. 61; Д. 1023. Л. 17). Там же. Ф. 962. Оп. 2. Д. 30. Л. 171—172. Надпись: «Государь им</w:t>
      </w:r>
      <w:r w:rsidRPr="00DE096C">
        <w:rPr>
          <w:rFonts w:ascii="Times New Roman" w:hAnsi="Times New Roman" w:cs="Times New Roman"/>
          <w:bCs/>
          <w:color w:val="002060"/>
          <w:sz w:val="16"/>
          <w:szCs w:val="16"/>
        </w:rPr>
        <w:softHyphen/>
        <w:t>ператор одобрил этот проект и повелел обсудить его беззамедлительно. 17.1.15. Г.-л. Сухомлинов».) (23452).</w:t>
      </w:r>
    </w:p>
    <w:p w14:paraId="415DEE3E" w14:textId="77777777" w:rsidR="00870037" w:rsidRPr="00DE096C" w:rsidRDefault="00870037" w:rsidP="00D45A46">
      <w:pPr>
        <w:jc w:val="both"/>
        <w:rPr>
          <w:bCs/>
          <w:color w:val="002060"/>
          <w:sz w:val="16"/>
          <w:szCs w:val="16"/>
        </w:rPr>
      </w:pPr>
    </w:p>
    <w:p w14:paraId="4CBF45F2" w14:textId="77777777" w:rsidR="00B67D7C" w:rsidRPr="00DE096C" w:rsidRDefault="00B67D7C" w:rsidP="00D45A46">
      <w:pPr>
        <w:jc w:val="both"/>
        <w:rPr>
          <w:bCs/>
          <w:i/>
          <w:color w:val="002060"/>
          <w:sz w:val="16"/>
          <w:szCs w:val="16"/>
        </w:rPr>
      </w:pPr>
      <w:r w:rsidRPr="00DE096C">
        <w:rPr>
          <w:bCs/>
          <w:i/>
          <w:color w:val="002060"/>
          <w:sz w:val="16"/>
          <w:szCs w:val="16"/>
        </w:rPr>
        <w:t>Авиация:</w:t>
      </w:r>
    </w:p>
    <w:p w14:paraId="60EB253C" w14:textId="77777777" w:rsidR="00B67D7C" w:rsidRPr="00DE096C" w:rsidRDefault="00B67D7C" w:rsidP="00D45A46">
      <w:pPr>
        <w:jc w:val="both"/>
        <w:rPr>
          <w:bCs/>
          <w:i/>
          <w:color w:val="002060"/>
          <w:sz w:val="16"/>
          <w:szCs w:val="16"/>
        </w:rPr>
      </w:pPr>
    </w:p>
    <w:p w14:paraId="3800643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lastRenderedPageBreak/>
        <w:t>Осенью 1914 года, закончив с отличием курс шко</w:t>
      </w:r>
      <w:r w:rsidRPr="00DE096C">
        <w:rPr>
          <w:bCs/>
          <w:color w:val="002060"/>
          <w:sz w:val="16"/>
          <w:szCs w:val="16"/>
        </w:rPr>
        <w:softHyphen/>
        <w:t>лы, военлет Крутень направлен в 21-й корпусной авиа</w:t>
      </w:r>
      <w:r w:rsidRPr="00DE096C">
        <w:rPr>
          <w:bCs/>
          <w:color w:val="002060"/>
          <w:sz w:val="16"/>
          <w:szCs w:val="16"/>
        </w:rPr>
        <w:softHyphen/>
        <w:t>отряд действующей армии, где в ходе боевых дейст</w:t>
      </w:r>
      <w:r w:rsidRPr="00DE096C">
        <w:rPr>
          <w:bCs/>
          <w:color w:val="002060"/>
          <w:sz w:val="16"/>
          <w:szCs w:val="16"/>
        </w:rPr>
        <w:softHyphen/>
        <w:t>вий вскоре прослыл отважным летчиком-истребите</w:t>
      </w:r>
      <w:r w:rsidRPr="00DE096C">
        <w:rPr>
          <w:bCs/>
          <w:color w:val="002060"/>
          <w:sz w:val="16"/>
          <w:szCs w:val="16"/>
        </w:rPr>
        <w:softHyphen/>
        <w:t>лем. Он в совершенстве освоил высший пилотаж, выработав собственные приемы воздушного поедин</w:t>
      </w:r>
      <w:r w:rsidRPr="00DE096C">
        <w:rPr>
          <w:bCs/>
          <w:color w:val="002060"/>
          <w:sz w:val="16"/>
          <w:szCs w:val="16"/>
        </w:rPr>
        <w:softHyphen/>
        <w:t>ка, сделав немалый вклад в основы боевого примене</w:t>
      </w:r>
      <w:r w:rsidRPr="00DE096C">
        <w:rPr>
          <w:bCs/>
          <w:color w:val="002060"/>
          <w:sz w:val="16"/>
          <w:szCs w:val="16"/>
        </w:rPr>
        <w:softHyphen/>
        <w:t>ния истребительной авиации. Являясь инициатором создания для борьбы с авиа</w:t>
      </w:r>
      <w:r w:rsidRPr="00DE096C">
        <w:rPr>
          <w:bCs/>
          <w:color w:val="002060"/>
          <w:sz w:val="16"/>
          <w:szCs w:val="16"/>
        </w:rPr>
        <w:softHyphen/>
        <w:t>цией противника специализированных истребитель</w:t>
      </w:r>
      <w:r w:rsidRPr="00DE096C">
        <w:rPr>
          <w:bCs/>
          <w:color w:val="002060"/>
          <w:sz w:val="16"/>
          <w:szCs w:val="16"/>
        </w:rPr>
        <w:softHyphen/>
        <w:t>ных частей, Крутень весной 1916 года принял учас</w:t>
      </w:r>
      <w:r w:rsidRPr="00DE096C">
        <w:rPr>
          <w:bCs/>
          <w:color w:val="002060"/>
          <w:sz w:val="16"/>
          <w:szCs w:val="16"/>
        </w:rPr>
        <w:softHyphen/>
        <w:t>тие в формировании первого истребительного авиа</w:t>
      </w:r>
      <w:r w:rsidRPr="00DE096C">
        <w:rPr>
          <w:bCs/>
          <w:color w:val="002060"/>
          <w:sz w:val="16"/>
          <w:szCs w:val="16"/>
        </w:rPr>
        <w:softHyphen/>
        <w:t>отряда, проводил вместе с К.К.Арцеуловым испытания первых отечественных самолетов-истребителей «Мос-ка-2» и «Моска-бис». В сентябре того же года Евграф Николаевич активно трудился над созданием в Черноморске под Одессой школы воздушного боя (553).</w:t>
      </w:r>
    </w:p>
    <w:p w14:paraId="0211374D" w14:textId="77777777" w:rsidR="00B67D7C" w:rsidRPr="00DE096C" w:rsidRDefault="00B67D7C" w:rsidP="00D45A46">
      <w:pPr>
        <w:shd w:val="clear" w:color="auto" w:fill="FFFFFF"/>
        <w:jc w:val="both"/>
        <w:rPr>
          <w:bCs/>
          <w:color w:val="002060"/>
          <w:sz w:val="16"/>
          <w:szCs w:val="16"/>
        </w:rPr>
      </w:pPr>
    </w:p>
    <w:p w14:paraId="243751C7" w14:textId="77777777" w:rsidR="009F4438" w:rsidRPr="00B52707" w:rsidRDefault="009F4438" w:rsidP="009F4438">
      <w:pPr>
        <w:jc w:val="both"/>
        <w:rPr>
          <w:color w:val="0070C0"/>
          <w:sz w:val="16"/>
          <w:szCs w:val="16"/>
        </w:rPr>
      </w:pPr>
      <w:r w:rsidRPr="00B52707">
        <w:rPr>
          <w:color w:val="0070C0"/>
          <w:sz w:val="16"/>
          <w:szCs w:val="16"/>
        </w:rPr>
        <w:t>Осенью 1914 г. при конвоировании большой группы пленных австро-венгерских солдат (численностью до батальона) наши солдаты заметили вражеский аэроплан, появившийся над колонной. С большой высоты летчик принял ее за обычное воинское подразделение, выдвигавшееся маршем на новые позиции. Сомнений не было. Форма одежды и порядок построения – все говорило о том, что внизу австро-венгерские войска. Летчик принял решение совершить посадку рядом с колонной. Заметив этот маневр, русские конвоиры, «приказав пленным не двигаться и не делать попыток к бегству, под страхом расстрела» оставаться на дороге, спрятались в близлежащем лесу. Опустившись на предельно малую высоту, летчик обнаружил, что все солдаты в колонне без оружия. Но на исправление своей ошибки у него уже не было времени. Плотный ружейный огонь, открытый русским солдатами, заставил австрийского летчика приземлиться, где он и был взят в плен (25135).</w:t>
      </w:r>
    </w:p>
    <w:p w14:paraId="7948F83C" w14:textId="77777777" w:rsidR="009F4438" w:rsidRPr="00B52707" w:rsidRDefault="009F4438" w:rsidP="009F4438">
      <w:pPr>
        <w:jc w:val="both"/>
        <w:rPr>
          <w:color w:val="0070C0"/>
          <w:sz w:val="16"/>
          <w:szCs w:val="16"/>
        </w:rPr>
      </w:pPr>
    </w:p>
    <w:p w14:paraId="6983239E" w14:textId="4D67DC39" w:rsidR="00B67D7C" w:rsidRPr="00DE096C" w:rsidRDefault="00CA3780" w:rsidP="00D45A46">
      <w:pPr>
        <w:jc w:val="both"/>
        <w:rPr>
          <w:bCs/>
          <w:color w:val="002060"/>
          <w:sz w:val="16"/>
          <w:szCs w:val="16"/>
        </w:rPr>
      </w:pPr>
      <w:r w:rsidRPr="00DE096C">
        <w:rPr>
          <w:bCs/>
          <w:color w:val="002060"/>
          <w:sz w:val="16"/>
          <w:szCs w:val="16"/>
        </w:rPr>
        <w:t>О</w:t>
      </w:r>
      <w:r w:rsidR="00B67D7C" w:rsidRPr="00DE096C">
        <w:rPr>
          <w:bCs/>
          <w:color w:val="002060"/>
          <w:sz w:val="16"/>
          <w:szCs w:val="16"/>
        </w:rPr>
        <w:t xml:space="preserve">сенью 1914 г. </w:t>
      </w:r>
      <w:r w:rsidRPr="00DE096C">
        <w:rPr>
          <w:bCs/>
          <w:color w:val="002060"/>
          <w:sz w:val="16"/>
          <w:szCs w:val="16"/>
        </w:rPr>
        <w:t xml:space="preserve">аэрофотосъемка неприятельских позиций для контроля и повышения эффективности артиллерийского огня применялась во время осады крепости Перемышль </w:t>
      </w:r>
      <w:r w:rsidR="00B67D7C" w:rsidRPr="00DE096C">
        <w:rPr>
          <w:bCs/>
          <w:color w:val="002060"/>
          <w:sz w:val="16"/>
          <w:szCs w:val="16"/>
        </w:rPr>
        <w:t xml:space="preserve">Об этом докладывал заведующий организацией авиационного дела в армиях Юго-западного фронта Великий князь Александр Михайлович в своем донесении Верховному Главнокомандующему от 28.11.14: "... определенные специальными фотографическими снимками снежного покрова места попадания наших снарядов... выяснили некоторые дефекты в определении целей и расстояний". В осаде Перемышля задействовались объединенные в группу 24-й корпусной и Брест-Литовский авиаотряды во главе с одним из опытнейших военных летчиков поручиком Е. Рудневым. В задачу группы, кроме разведки, входила и бомбардировка крепости. За время осады было сброшено около 50 различных бомб массой от 6 фунтов до 2 пудов 30 фунтов (2,7-46,4 кг). "Особенно энергичная деятельность была развита 18-го ноября... За этот день было совершено 13 полетов, сделано 14 фотоснимков крепости и ее фортов, сброшено 27 бомб общим весом взрывчатки 21 пуд 20 фунтов (353 кг). Бомбы были сброшены с высоты 1700-2200 м..., причем по результатам взрывов во многих местах начались пожары. Все летавшие были отстреляны шрапнелью противника..." С помощью воздушной разведки русское командование следило за всеми действиями осажденного гарнизона, который сдался 5 марта 1915 г. Примером успешного применения авиации может служить работа авиаотрядов 3-й и 8-й армий Юго-западного фронта в Галицийской операции. Ограниченный радиус действия самолетов вынуждал использовать авиацию в основном для решения тактических задач. Однако правильная организация работы авиаотрядов давала материалы и оперативных масштабов: штабы армий обменивались данными воздушной разведки и регулярно информировали штаб фронта о всех важнейших сведениях, собранных летчиками. Когда началось наступление 8-й армии, авиаторы привозили из разведвылетов важные сведения о группировках противника и путях его отхода. Эти данные были подтверждены дальнейшим ходом событий - войска 8-й армии продвигались вперед, не встречая серьезного сопротивления. Не менее успешно действовали авиаотряды 3-й армии, наступавшей на Львов. За период Галицийской битвы с 6 августа по 13 сентября 9-й и 11-й корпусные авиаотряды (КАО) 3-й армии совершили свыше 70 боевых вылетов, а четыре отряда 8-й армии (7-й, 8-й и 12-й корпусные, 3-й полевой) - свыше 100. В этот период хуже обстояли дела у летчики 4-й и 5-й армий. Полетов было мало, а плохая организация воздушной разведки привела к неприятным неожиданностям во время боевых действий. В целом в кампании 1914 г. наиболее высокий уровень работы авиации оказался на Юго-западном фронте. Здесь авиаторы успешно справлялись с поставленными перед ними задачами, и их деятельность часто получала высокую оценку наземного командования. Об этом свидетельствует приказ Главнокомандующего фронтом генерала Н. И. Иванова от 11.01.1915: "Летчики-офицеры и нижние чины, не считаясь с трудностями обстановки, не взирая ни на какую погоду, с честью выполнили свой долг и своими мужественными разведками приносили надлежащую пользу своим корпусам и армиям". Иначе обстояли дела на Северо-Западном фронте. В сентябре здесь решением главкома авиаотряды были изъяты из состава корпусов и сведены в авиационные группы, подчиненные начальникам штабов армий. Однако эта реорганизация оказалась малоэффективной, так как не были созданы органы управления авиагруппами, а ограниченный радиус действия самолетов затруднял их применение в интересах армейского командования. К тому же такая структура не учитывала сложные географические (болотистая и лесная местность) и погодные условия, существовавшие на северо-западе. Собранные на одном аэродроме самолеты каждой группы при плохих метеоусловиях были обречены на бездействие, тогда как в случае рассредоточения по площадкам авиаотрядов имелись бы шансы использовать кратковременные местные улучшения погоды. Исследование динамики убыли и поступления самолетов в целом по Русской армии показывает, что потери аэропланов были значительными и составляли не менее 45,8% за 2 месяца. Большая часть (иногда 90%) этой убыли была вызвана выходом из строя изношенных аэропланов и моторов. Мощностей русских авиазаводов не хватало для восполнения этих потерь - с начала войны до 1 января 1915 г. они отправили в действующую армию 157 самолетов. Причем часто эти машины имели дефекты и забраковывались при сборке в отрядах и ротах. Особые нарекания вызывали самолеты завода Щетинина. Так, монопланы "Ньюпор" имели отрицательный угол установки крыла, что повлекло ряд аварий. Французские самолеты, сделанные на русских авиазаводах, отличались большей массой и низким качеством изготовления по сравнению с импортными "собратьями". Первые месяцы войны выявили и тот факт, что часто высшие военные начальники проявляли полное незнание свойств и возможностей аэропланов. Отсюда - либо отсутствие постановки задач и бездействие авиации, либо постановка перед летчиками нереальных боевых задач. Чтобы избежать таких недоразумений, были изданы подробные указания по использованию нового рода войск. Особую заботу о летчиках проявил главнокомандующий Юго-Западным фронтом, который издал приказ №6 от 12 августа 1914 г.: "Придавая большое значение работе аэропланов и признавая весь риск и трудности выполнения задач летчиками и наблюдателями, приказываю...". Далее шли указания летать не больше одного раза в день на дальность не более 200-230 верст, полеты совершать в утренние часы. Штабному начальству предписывалось не посылать летчиков по мелочам, не злоупотреблять частым направлением аппаратов к линии фронта, давать задачи на поиск крупных соединений противника, не поручать летчикам и наблюдателям разбрасывать прокламации, ибо в случае пленения они не приравниваются к военнопленным и могут быть расстреляны, и т.д. Бичом русской авиации в первые месяцы войны стал безудержный обстрел аппаратов своими войсками, что стало причиной гибели нескольких авиаторов. Например, 13 августа при перелете линии фронта был убит своими войсками военный летчик 25-го КАО поручик Гудим, 27 августа такая же участь постигла при посадке военного летчика 11-го КАО поручика Лемешко и т.д. Другие случаи имели менее трагические последствия. Так, "30 июля 1914г. начальник 7-го корпусного авиаотряда штабс-капитан Степанов вылетел для производства воздушной разведки, пролетая над местечком Ярмолинцы, подвергся обстрелу залпами... получил пробоины в стабилизатор и крыло. Расследование показало... стреляли роты 60-го пехотного Замоского полка". В тот же день летчик того же отряда поручик Сабельников попал в такую же ситуацию. Результат - 4 пробоины. Подобных примеров было много, и это вынудило командование издать приказы, запрещавшие "стрелять по своим и планирующим аппаратам, стрельбу вести только по приказу офицера или при бросании бомб противником". Господам офицерам было приказано изучить знаки своих и неприятельских аэропланов, знать их силуэты. Начальный период войны выявил плохую организацию в снабжении авиационных отрядов и рот бензином, касторовым маслом, запчастями, палатками и другим авиационным имуществом. Самолеты и моторы быстро выходили из строя в суровых полевых условиях, особенно с наступлением ненастной осенней погоды, когда остро сказались нехватка палаток и переносных ангаров, использование для аэродромов малопригодных площадок. Уже после первых месяцев войны многие авиаотряды пришлось отвести в тыл для снабжения аэропланами новых систем и для переучивания летчиков на них. Так, пилоты, летавшие на "Ньюпорах", освоили "Мораны". Широко использовалась для вооружения отрядов отремонтированная трофейная авиатехника. Поставки самолетов и назначения личного состава целиком зависели от штаба авиации, возглавлявшегося Великим князем Александром Михайловичем. Он часто назначал командирами рот и начальниками отрядов офицеров, хорошо писавших отчеты, но мало летавших. В этой ситуации протежируемые отряды снабжались самолетами вне очереди , тогда как части, несшие ответственную и тяжелую работу, оставались без аэропланов. Снабжение самолетами оставалось большой проблемой, которая часто решалась на самом высоком уровне. Так, 31 августа 1914 г. командующий 8-й армией генерал Брусилов бьет челом Великому князю: "Настоящее время лишился совершенно воздушных аппаратов, столь драгоценных для разведок, что ставит управление войсками в крайне трудное положение. ...Покорно прошу Ваше императорское высочество оказать армии величайшую помощь "Фарманами" и "Ньюпорами". Деятельность летчиков в разведке незаменима." Просьба Брусилова была удовлетворена, и армия получила 4 самолета из состава Брест-Литовского крепостного авиаотряда. Однако таких просьб было множество, а дефицит самолетов и моторов стал хронической болезнью русской авиации до конца войны. К началу боевых действий в составе воздушного флота России насчитывался 221 летчик: 170 офицеров, 35 нижних чинов и 16 вольноопределяющихся (добровольцев). На 1 января 1915 г. потери летчиков составили 33 человека или 14,9% от общего состава. Из них 6 погибли от действий неприятеля, 5 - в авариях, 22 попали в плен и пропали без вести. Среди погибших: штабс-капитаны Грузинов, Нестеров, поручики Лемешко, Гудим, старший унтер-офицер Доброшинский и др. Пропали без вести: поручики Николаевский, Шамин, Машерек и др. Ранены или разбились при падении: капитан Витковский, гвардии штабс-капитан Мельницкий, штабс-капитан Мучник, поручики Городецкий, Корнидов, Павлов, доброволец Шпицберг. Некоторые из них, например, летчик-доброволец 16-го КАО Шпицберг, впоследствии скончались в госпитале. В скорбный список боевых потерь одним из первых попал военный летчик начальник 14-го КАО Ефграф Ефграфович Грузинов, смертельно раненный шрапнелью в воздухе во время выполнения боевого задания. 17 августа он вылетел на разведку района Кщонов-Пиляш-Ковице-Быхов-Люблин и обратно не вернулся. Самолет упал на вражеской территории, которую вскоре заняли русские войска. У села Быхово близ Янова были найдены свежая могила и разбитый "Ньюпор". В могиле обнаружили тело Грузинова, вопрос местных жителей и пленных австрийцев дал представление об обстоятельствах его гибели. Выяснилось, что самолет пролетал над австрийскими позициями на высоте 1000-1200 м и был обстрелян сначала пехотой, потом артиллерийской батареей, которая дала три залпа. Два первых цели не достигли. После третьего аппарат дрогнул, перевернулся и, сделав крутой вираж, врезался в землю с работающим мотором. Посмертно высочайшим приказом штабс-капитан Грузинов был награжден орденом Святого Георгия 4-й степени. Состоялись и первые воздушные бои. Таран и героическая гибель 26 августа военного летчика начальника 11-го КАО Петра Николаевича Нестерова открыли новую эпоху борьбы в воздухе. Из вооружения у </w:t>
      </w:r>
      <w:r w:rsidR="00B67D7C" w:rsidRPr="00DE096C">
        <w:rPr>
          <w:bCs/>
          <w:color w:val="002060"/>
          <w:sz w:val="16"/>
          <w:szCs w:val="16"/>
        </w:rPr>
        <w:lastRenderedPageBreak/>
        <w:t>русских авиаторов имелись только пистолеты "Маузер" и карабины. Хроника тех лет описывает несколько случаев воздушных боев. Так, 28 октября в окрестностях Петроково (под Варшавой) "появился неприятельский аэроплан. Через несколько минут поднялись два наших летчика и после воздушного боя сбросили "Таубе" на землю. Немецкие авиаторы разбились. Неприятельский аэроплан исковеркан". К сожалению, подтверждения этому газетному сообщению не нашлось. А вот воздушный бой и совместные действия с артиллерией, принесшие успех военному летчику Гродненского крепостного авиаотряда поручику Семенову, были подтверждены несколькими донесениями, хранящимися в Военно-историческом архиве. 27 августа Семенов с наблюдателем корнетом Николаевым при перелете через озеро Мейер, что в Восточной Пруссии, заметил неприятельский аэроплан, летевший к Летцену. Обойдя противника с правой стороны, Семенов атаковал его, заставил спуститься ниже и изменить направление полета в район русских позиций, где тот был обстрелян и около озера упал (11237).</w:t>
      </w:r>
    </w:p>
    <w:p w14:paraId="66FA4967" w14:textId="77777777" w:rsidR="00B67D7C" w:rsidRPr="00DE096C" w:rsidRDefault="00B67D7C" w:rsidP="00D45A46">
      <w:pPr>
        <w:jc w:val="both"/>
        <w:rPr>
          <w:bCs/>
          <w:i/>
          <w:color w:val="002060"/>
          <w:sz w:val="16"/>
          <w:szCs w:val="16"/>
        </w:rPr>
      </w:pPr>
    </w:p>
    <w:p w14:paraId="2ADEDF91" w14:textId="612D3212" w:rsidR="00B67D7C" w:rsidRPr="00DE096C" w:rsidRDefault="00CA3780"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О</w:t>
      </w:r>
      <w:r w:rsidR="00B67D7C" w:rsidRPr="00DE096C">
        <w:rPr>
          <w:bCs/>
          <w:i w:val="0"/>
          <w:color w:val="002060"/>
          <w:spacing w:val="0"/>
          <w:kern w:val="0"/>
          <w:position w:val="0"/>
          <w:sz w:val="16"/>
          <w:szCs w:val="16"/>
        </w:rPr>
        <w:t xml:space="preserve">сенью 1914 г. </w:t>
      </w:r>
      <w:r w:rsidRPr="00DE096C">
        <w:rPr>
          <w:bCs/>
          <w:i w:val="0"/>
          <w:color w:val="002060"/>
          <w:spacing w:val="0"/>
          <w:kern w:val="0"/>
          <w:position w:val="0"/>
          <w:sz w:val="16"/>
          <w:szCs w:val="16"/>
        </w:rPr>
        <w:t xml:space="preserve">аэрофотосъемка неприятельских позиций для контроля и повышения эффективности артиллерийского огня применялась во время осады крепости Перемышль </w:t>
      </w:r>
      <w:r w:rsidR="00B67D7C" w:rsidRPr="00DE096C">
        <w:rPr>
          <w:bCs/>
          <w:i w:val="0"/>
          <w:color w:val="002060"/>
          <w:spacing w:val="0"/>
          <w:kern w:val="0"/>
          <w:position w:val="0"/>
          <w:sz w:val="16"/>
          <w:szCs w:val="16"/>
        </w:rPr>
        <w:t>Об этом докладывал заведующий организацией авиационного дела в армиях Юго-западного фронта Великий князь Александр Михайлович в своем донесении Верховному Главнокомандующему от 28.11.14: "... определенные специальными фотографическими снимками снежного покрова места попадания наших снарядов... выяснили некоторые дефекты в определении целей и расстояний" (11278).</w:t>
      </w:r>
    </w:p>
    <w:p w14:paraId="43338DC6" w14:textId="77777777" w:rsidR="00B67D7C" w:rsidRPr="00DE096C" w:rsidRDefault="00B67D7C" w:rsidP="00D45A46">
      <w:pPr>
        <w:pStyle w:val="a3"/>
        <w:jc w:val="both"/>
        <w:rPr>
          <w:bCs/>
          <w:i w:val="0"/>
          <w:color w:val="002060"/>
          <w:spacing w:val="0"/>
          <w:kern w:val="0"/>
          <w:position w:val="0"/>
          <w:sz w:val="16"/>
          <w:szCs w:val="16"/>
        </w:rPr>
      </w:pPr>
    </w:p>
    <w:p w14:paraId="2BD2C570" w14:textId="728AE9D2" w:rsidR="00B67D7C" w:rsidRPr="00DE096C" w:rsidRDefault="00CA3780" w:rsidP="00D45A46">
      <w:pPr>
        <w:jc w:val="both"/>
        <w:rPr>
          <w:bCs/>
          <w:color w:val="002060"/>
          <w:sz w:val="16"/>
          <w:szCs w:val="16"/>
        </w:rPr>
      </w:pPr>
      <w:r w:rsidRPr="00DE096C">
        <w:rPr>
          <w:bCs/>
          <w:color w:val="002060"/>
          <w:sz w:val="16"/>
          <w:szCs w:val="16"/>
        </w:rPr>
        <w:t>О</w:t>
      </w:r>
      <w:r w:rsidR="00B67D7C" w:rsidRPr="00DE096C">
        <w:rPr>
          <w:bCs/>
          <w:color w:val="002060"/>
          <w:sz w:val="16"/>
          <w:szCs w:val="16"/>
        </w:rPr>
        <w:t xml:space="preserve">сенью 1914 года </w:t>
      </w:r>
      <w:r w:rsidRPr="00DE096C">
        <w:rPr>
          <w:bCs/>
          <w:color w:val="002060"/>
          <w:sz w:val="16"/>
          <w:szCs w:val="16"/>
        </w:rPr>
        <w:t xml:space="preserve">при создании </w:t>
      </w:r>
      <w:r w:rsidR="00B67D7C" w:rsidRPr="00DE096C">
        <w:rPr>
          <w:bCs/>
          <w:color w:val="002060"/>
          <w:sz w:val="16"/>
          <w:szCs w:val="16"/>
        </w:rPr>
        <w:t>воздушной обороны Петрограда и Императорской резиденции в Царском Селе особое внимание уделили постам наблюдения за небосклоном, которые формировались в частях и подразделениях 6-й армии, в соответствии с «Инструкцией по воздухоплаванию» (Инструкция введена в действие приказом главнокомандующего 6-й армией от 30 ноября 1914 года № 90).</w:t>
      </w:r>
    </w:p>
    <w:p w14:paraId="4FED31BA" w14:textId="77777777" w:rsidR="00B67D7C" w:rsidRPr="00DE096C" w:rsidRDefault="00B67D7C" w:rsidP="00D45A46">
      <w:pPr>
        <w:jc w:val="both"/>
        <w:rPr>
          <w:bCs/>
          <w:color w:val="002060"/>
          <w:sz w:val="16"/>
          <w:szCs w:val="16"/>
        </w:rPr>
      </w:pPr>
      <w:r w:rsidRPr="00DE096C">
        <w:rPr>
          <w:bCs/>
          <w:color w:val="002060"/>
          <w:sz w:val="16"/>
          <w:szCs w:val="16"/>
        </w:rPr>
        <w:t>Дальни, посты воздушного наблюдения располагались вдоль западной границы Финляндии и по берегу Ботнического залива Балтийского моря. Пограничная стража должна была обнаружить воздушного противника на территории Финляндии и оповестить о нем Штаб воздушной обороны Петрограда (Штаб создан в соответствии с приказом главнокомандующего 6-й армией от 12 мая 1915года № 112).</w:t>
      </w:r>
    </w:p>
    <w:p w14:paraId="599996D1" w14:textId="77777777" w:rsidR="00B67D7C" w:rsidRPr="00DE096C" w:rsidRDefault="00B67D7C" w:rsidP="00D45A46">
      <w:pPr>
        <w:jc w:val="both"/>
        <w:rPr>
          <w:bCs/>
          <w:color w:val="002060"/>
          <w:sz w:val="16"/>
          <w:szCs w:val="16"/>
        </w:rPr>
      </w:pPr>
      <w:r w:rsidRPr="00DE096C">
        <w:rPr>
          <w:bCs/>
          <w:color w:val="002060"/>
          <w:sz w:val="16"/>
          <w:szCs w:val="16"/>
        </w:rPr>
        <w:t>Ближняя линия воздушного наблюдения была развернута на базе артиллерийского укрепленного района вокруг российской столицы и на кораблях Балтийского флота.</w:t>
      </w:r>
    </w:p>
    <w:p w14:paraId="743BBF7E" w14:textId="77777777" w:rsidR="00B67D7C" w:rsidRPr="00DE096C" w:rsidRDefault="00B67D7C" w:rsidP="00D45A46">
      <w:pPr>
        <w:jc w:val="both"/>
        <w:rPr>
          <w:bCs/>
          <w:color w:val="002060"/>
          <w:sz w:val="16"/>
          <w:szCs w:val="16"/>
        </w:rPr>
      </w:pPr>
      <w:r w:rsidRPr="00DE096C">
        <w:rPr>
          <w:bCs/>
          <w:color w:val="002060"/>
          <w:sz w:val="16"/>
          <w:szCs w:val="16"/>
        </w:rPr>
        <w:t>Для установления быстроты связи между постами воздушного наблюдения и немедленной передачи донесений от них в Петроград начальника воздушной обороны Петрограда обязали организовать непосредственную связь постов с избранным им центральным пунктом, а также связь между центральным пунктом и артиллерией, аэропланами и командами, назначенными для отражения воздушного нападения противника.</w:t>
      </w:r>
    </w:p>
    <w:p w14:paraId="332E305F" w14:textId="77777777" w:rsidR="00B67D7C" w:rsidRPr="00DE096C" w:rsidRDefault="00B67D7C" w:rsidP="00D45A46">
      <w:pPr>
        <w:jc w:val="both"/>
        <w:rPr>
          <w:bCs/>
          <w:color w:val="002060"/>
          <w:sz w:val="16"/>
          <w:szCs w:val="16"/>
        </w:rPr>
      </w:pPr>
      <w:r w:rsidRPr="00DE096C">
        <w:rPr>
          <w:bCs/>
          <w:color w:val="002060"/>
          <w:sz w:val="16"/>
          <w:szCs w:val="16"/>
        </w:rPr>
        <w:t>12 мая 1915 года главнокомандующий 6-й армией издал специальную Инструкцию № 1 «Постам из нижних чинов для наблюдения за небосклоном». В ней определялись:</w:t>
      </w:r>
    </w:p>
    <w:p w14:paraId="0E02800F" w14:textId="77777777" w:rsidR="00B67D7C" w:rsidRPr="00DE096C" w:rsidRDefault="00B67D7C" w:rsidP="00D45A46">
      <w:pPr>
        <w:jc w:val="both"/>
        <w:rPr>
          <w:bCs/>
          <w:color w:val="002060"/>
          <w:sz w:val="16"/>
          <w:szCs w:val="16"/>
        </w:rPr>
      </w:pPr>
      <w:r w:rsidRPr="00DE096C">
        <w:rPr>
          <w:bCs/>
          <w:color w:val="002060"/>
          <w:sz w:val="16"/>
          <w:szCs w:val="16"/>
        </w:rPr>
        <w:t>а) состав формируемых постов;</w:t>
      </w:r>
    </w:p>
    <w:p w14:paraId="10F7873C" w14:textId="77777777" w:rsidR="00B67D7C" w:rsidRPr="00DE096C" w:rsidRDefault="00B67D7C" w:rsidP="00D45A46">
      <w:pPr>
        <w:jc w:val="both"/>
        <w:rPr>
          <w:bCs/>
          <w:color w:val="002060"/>
          <w:sz w:val="16"/>
          <w:szCs w:val="16"/>
        </w:rPr>
      </w:pPr>
      <w:r w:rsidRPr="00DE096C">
        <w:rPr>
          <w:bCs/>
          <w:color w:val="002060"/>
          <w:sz w:val="16"/>
          <w:szCs w:val="16"/>
        </w:rPr>
        <w:t>б) районы наблюдения;</w:t>
      </w:r>
    </w:p>
    <w:p w14:paraId="030BBCBA" w14:textId="77777777" w:rsidR="00B67D7C" w:rsidRPr="00DE096C" w:rsidRDefault="00B67D7C" w:rsidP="00D45A46">
      <w:pPr>
        <w:jc w:val="both"/>
        <w:rPr>
          <w:bCs/>
          <w:color w:val="002060"/>
          <w:sz w:val="16"/>
          <w:szCs w:val="16"/>
        </w:rPr>
      </w:pPr>
      <w:r w:rsidRPr="00DE096C">
        <w:rPr>
          <w:bCs/>
          <w:color w:val="002060"/>
          <w:sz w:val="16"/>
          <w:szCs w:val="16"/>
        </w:rPr>
        <w:t>в) должностные обязанности нижних чинов постов;</w:t>
      </w:r>
    </w:p>
    <w:p w14:paraId="7453DA53" w14:textId="77777777" w:rsidR="00B67D7C" w:rsidRPr="00DE096C" w:rsidRDefault="00B67D7C" w:rsidP="00D45A46">
      <w:pPr>
        <w:jc w:val="both"/>
        <w:rPr>
          <w:bCs/>
          <w:color w:val="002060"/>
          <w:sz w:val="16"/>
          <w:szCs w:val="16"/>
        </w:rPr>
      </w:pPr>
      <w:r w:rsidRPr="00DE096C">
        <w:rPr>
          <w:bCs/>
          <w:color w:val="002060"/>
          <w:sz w:val="16"/>
          <w:szCs w:val="16"/>
        </w:rPr>
        <w:t>г) порядок несения боевого дежурства и оповещения в случае появления в небе воздухоплавательных аппаратов противника.</w:t>
      </w:r>
    </w:p>
    <w:p w14:paraId="4FEB892E" w14:textId="77777777" w:rsidR="00B67D7C" w:rsidRPr="00DE096C" w:rsidRDefault="00B67D7C" w:rsidP="00D45A46">
      <w:pPr>
        <w:jc w:val="both"/>
        <w:rPr>
          <w:bCs/>
          <w:color w:val="002060"/>
          <w:sz w:val="16"/>
          <w:szCs w:val="16"/>
        </w:rPr>
      </w:pPr>
      <w:r w:rsidRPr="00DE096C">
        <w:rPr>
          <w:bCs/>
          <w:color w:val="002060"/>
          <w:sz w:val="16"/>
          <w:szCs w:val="16"/>
        </w:rPr>
        <w:t>Впервые для оперативности передачи информации о воздушном противнике по линии связи Инструкцией вводится термин «Воздух», который и в настоящее время используется в ходе боевого дежурства подразделений противовоздушной обороны.</w:t>
      </w:r>
    </w:p>
    <w:p w14:paraId="19FA9131" w14:textId="77777777" w:rsidR="00B67D7C" w:rsidRPr="00DE096C" w:rsidRDefault="00B67D7C" w:rsidP="00D45A46">
      <w:pPr>
        <w:jc w:val="both"/>
        <w:rPr>
          <w:bCs/>
          <w:color w:val="002060"/>
          <w:sz w:val="16"/>
          <w:szCs w:val="16"/>
        </w:rPr>
      </w:pPr>
      <w:r w:rsidRPr="00DE096C">
        <w:rPr>
          <w:bCs/>
          <w:color w:val="002060"/>
          <w:sz w:val="16"/>
          <w:szCs w:val="16"/>
        </w:rPr>
        <w:t>На постах наблюдения за небосклоном Инструкцией вводились специальные рабочие журналы, ставшие прообразом современных журналов несения боевого дежурства.</w:t>
      </w:r>
    </w:p>
    <w:p w14:paraId="3CA0B25C" w14:textId="77777777" w:rsidR="00B67D7C" w:rsidRPr="00DE096C" w:rsidRDefault="00B67D7C" w:rsidP="00D45A46">
      <w:pPr>
        <w:jc w:val="both"/>
        <w:rPr>
          <w:bCs/>
          <w:color w:val="002060"/>
          <w:sz w:val="16"/>
          <w:szCs w:val="16"/>
        </w:rPr>
      </w:pPr>
      <w:r w:rsidRPr="00DE096C">
        <w:rPr>
          <w:bCs/>
          <w:color w:val="002060"/>
          <w:sz w:val="16"/>
          <w:szCs w:val="16"/>
        </w:rPr>
        <w:t>23 января 1915 года приказанием войскам 27-го армейского корпуса (г. Варшава) №13 организована воздушная оборона г. Варшавы. Для борьбы с воздушным флотом противника сформированы авиационные отряды под командованием штабс-капитана Грезо и поручика Воеводского.</w:t>
      </w:r>
    </w:p>
    <w:p w14:paraId="7BE737AE" w14:textId="77777777" w:rsidR="00B67D7C" w:rsidRPr="00DE096C" w:rsidRDefault="00B67D7C" w:rsidP="00D45A46">
      <w:pPr>
        <w:jc w:val="both"/>
        <w:rPr>
          <w:bCs/>
          <w:color w:val="002060"/>
          <w:sz w:val="16"/>
          <w:szCs w:val="16"/>
        </w:rPr>
      </w:pPr>
      <w:r w:rsidRPr="00DE096C">
        <w:rPr>
          <w:bCs/>
          <w:color w:val="002060"/>
          <w:sz w:val="16"/>
          <w:szCs w:val="16"/>
        </w:rPr>
        <w:t>Общее руководство действиями авиационных отрядов было возложено на командира 2-й авиационной роты подполковника Генейко. Одновременно в этом районе действовал первый в русской армии истребительный авиационный отряд старшего лейтенанта Яцука Н.А.. Для своевременного оповещения частей воздушной обороны была установлена сеть наблюдательных постов, определено взаимодействие с противоаэропланной артиллерией Варшавской крепости, находящейся в распоряжении начальника Варшавской крепостной артиллерии полковника Глазкова П.Н.</w:t>
      </w:r>
    </w:p>
    <w:p w14:paraId="704FFA41" w14:textId="77777777" w:rsidR="00B67D7C" w:rsidRPr="00DE096C" w:rsidRDefault="00B67D7C" w:rsidP="00D45A46">
      <w:pPr>
        <w:jc w:val="both"/>
        <w:rPr>
          <w:bCs/>
          <w:color w:val="002060"/>
          <w:sz w:val="16"/>
          <w:szCs w:val="16"/>
        </w:rPr>
      </w:pPr>
      <w:r w:rsidRPr="00DE096C">
        <w:rPr>
          <w:bCs/>
          <w:color w:val="002060"/>
          <w:sz w:val="16"/>
          <w:szCs w:val="16"/>
        </w:rPr>
        <w:t>В течение 1915 - 1917 годов для организации воздушной обороны крупных военно-политических, административных центров страны: Могилева, Двинска, Минска, Пскова, Одессы, Николаева и т.д. формируется структура воздушного наблюдения и оповещения, входящая в состав организации обороны от воздушного нападения германской и австро-венгерской авиации.</w:t>
      </w:r>
    </w:p>
    <w:p w14:paraId="47408D1E" w14:textId="77777777" w:rsidR="00B67D7C" w:rsidRPr="00DE096C" w:rsidRDefault="00B67D7C" w:rsidP="00D45A46">
      <w:pPr>
        <w:jc w:val="both"/>
        <w:rPr>
          <w:bCs/>
          <w:color w:val="002060"/>
          <w:sz w:val="16"/>
          <w:szCs w:val="16"/>
        </w:rPr>
      </w:pPr>
      <w:r w:rsidRPr="00DE096C">
        <w:rPr>
          <w:bCs/>
          <w:color w:val="002060"/>
          <w:sz w:val="16"/>
          <w:szCs w:val="16"/>
        </w:rPr>
        <w:t>Так, в 1917 году вокруг Петрограда и Одессы уже было выставлено по 60 наблюдательных постов, сведенных в роты наблюдателей и укомплектованных кадровыми офицерами и солдатами. В дальнейшем вокруг Петрограда количество таких постов увеличилось до 83. Для приема донесений от постов также было создано вокруг российской столицы 15 телефонных и телеграфных станций (11198).</w:t>
      </w:r>
    </w:p>
    <w:p w14:paraId="12729B55" w14:textId="77777777" w:rsidR="00B67D7C" w:rsidRPr="00DE096C" w:rsidRDefault="00B67D7C" w:rsidP="00D45A46">
      <w:pPr>
        <w:jc w:val="both"/>
        <w:rPr>
          <w:bCs/>
          <w:color w:val="002060"/>
          <w:sz w:val="16"/>
          <w:szCs w:val="16"/>
        </w:rPr>
      </w:pPr>
    </w:p>
    <w:p w14:paraId="5534D63F" w14:textId="56390703" w:rsidR="00B67D7C" w:rsidRPr="00DE096C" w:rsidRDefault="00B67D7C" w:rsidP="00D45A46">
      <w:pPr>
        <w:shd w:val="clear" w:color="auto" w:fill="FFFFFF"/>
        <w:jc w:val="both"/>
        <w:rPr>
          <w:bCs/>
          <w:color w:val="002060"/>
          <w:sz w:val="16"/>
          <w:szCs w:val="16"/>
        </w:rPr>
      </w:pPr>
      <w:r w:rsidRPr="00DE096C">
        <w:rPr>
          <w:bCs/>
          <w:color w:val="002060"/>
          <w:sz w:val="16"/>
          <w:szCs w:val="16"/>
        </w:rPr>
        <w:t>Осенью 1914</w:t>
      </w:r>
      <w:r w:rsidR="00CA3780" w:rsidRPr="00DE096C">
        <w:rPr>
          <w:bCs/>
          <w:color w:val="002060"/>
          <w:sz w:val="16"/>
          <w:szCs w:val="16"/>
        </w:rPr>
        <w:t xml:space="preserve"> </w:t>
      </w:r>
      <w:r w:rsidRPr="00DE096C">
        <w:rPr>
          <w:bCs/>
          <w:color w:val="002060"/>
          <w:sz w:val="16"/>
          <w:szCs w:val="16"/>
        </w:rPr>
        <w:t>г. во время войны Московское высшее техническое учи</w:t>
      </w:r>
      <w:r w:rsidRPr="00DE096C">
        <w:rPr>
          <w:bCs/>
          <w:color w:val="002060"/>
          <w:sz w:val="16"/>
          <w:szCs w:val="16"/>
        </w:rPr>
        <w:softHyphen/>
        <w:t>лище открывает Теоретические курсы авиации, возглавленные Н.Е. Жуковским. На Курсы принимались преимущественно студенты высших техничес</w:t>
      </w:r>
      <w:r w:rsidRPr="00DE096C">
        <w:rPr>
          <w:bCs/>
          <w:color w:val="002060"/>
          <w:sz w:val="16"/>
          <w:szCs w:val="16"/>
        </w:rPr>
        <w:softHyphen/>
        <w:t>ких учебных заведений и математических факультетов университетов.</w:t>
      </w:r>
    </w:p>
    <w:p w14:paraId="670C043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сентябре 1915г. Теоретические курсы авиации были переданы в Военное управление военно-воздушного флота и были основаны на тех же принципах, что и Курсы при Петроградском политехническом институ</w:t>
      </w:r>
      <w:r w:rsidRPr="00DE096C">
        <w:rPr>
          <w:bCs/>
          <w:color w:val="002060"/>
          <w:sz w:val="16"/>
          <w:szCs w:val="16"/>
        </w:rPr>
        <w:softHyphen/>
        <w:t>те. Теоретический курс был рассчитан на четыре месяца, после чего слу</w:t>
      </w:r>
      <w:r w:rsidRPr="00DE096C">
        <w:rPr>
          <w:bCs/>
          <w:color w:val="002060"/>
          <w:sz w:val="16"/>
          <w:szCs w:val="16"/>
        </w:rPr>
        <w:softHyphen/>
        <w:t>шатели направлялись в военные авиационные школы - Московскую, Гат</w:t>
      </w:r>
      <w:r w:rsidRPr="00DE096C">
        <w:rPr>
          <w:bCs/>
          <w:color w:val="002060"/>
          <w:sz w:val="16"/>
          <w:szCs w:val="16"/>
        </w:rPr>
        <w:softHyphen/>
        <w:t>чинскую, Качинскую.</w:t>
      </w:r>
    </w:p>
    <w:p w14:paraId="530B210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Специальные предметы на Курсах вели Н.Е. Жуковский, члены Воз</w:t>
      </w:r>
      <w:r w:rsidRPr="00DE096C">
        <w:rPr>
          <w:bCs/>
          <w:color w:val="002060"/>
          <w:sz w:val="16"/>
          <w:szCs w:val="16"/>
        </w:rPr>
        <w:softHyphen/>
        <w:t>духоплавательного кружка В.П. Ветчинкин, Н.И. Иванов, А.С. Кузин, В.В. Москвитинов, П.П. Соколов; занятиями в лабораториях руководили Б.С. Стечкин, А.А. Микулин, Г.М. Мусинянц, К.А. Ушаков.</w:t>
      </w:r>
    </w:p>
    <w:p w14:paraId="6CFDE77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Приведенные материалы показывают, что Петербургская и Москов</w:t>
      </w:r>
      <w:r w:rsidRPr="00DE096C">
        <w:rPr>
          <w:bCs/>
          <w:color w:val="002060"/>
          <w:sz w:val="16"/>
          <w:szCs w:val="16"/>
        </w:rPr>
        <w:softHyphen/>
        <w:t>ская аэродинамические школы развивались параллельно и между ними была определенная связь. Безусловно, до 1917 г. Петербургская школа была ведущей.</w:t>
      </w:r>
    </w:p>
    <w:p w14:paraId="63A5EB1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Основным отличием научно-экспериментальной деятельности Пе</w:t>
      </w:r>
      <w:r w:rsidRPr="00DE096C">
        <w:rPr>
          <w:bCs/>
          <w:color w:val="002060"/>
          <w:sz w:val="16"/>
          <w:szCs w:val="16"/>
        </w:rPr>
        <w:softHyphen/>
        <w:t>тербургской и Московской научных школ в области авиации было то, что Московская школа, руководимая Н. Е. Жуковским, занималась разработ</w:t>
      </w:r>
      <w:r w:rsidRPr="00DE096C">
        <w:rPr>
          <w:bCs/>
          <w:color w:val="002060"/>
          <w:sz w:val="16"/>
          <w:szCs w:val="16"/>
        </w:rPr>
        <w:softHyphen/>
        <w:t>кой фундаментальных теорий, в то время как усилия Петербургской шко</w:t>
      </w:r>
      <w:r w:rsidRPr="00DE096C">
        <w:rPr>
          <w:bCs/>
          <w:color w:val="002060"/>
          <w:sz w:val="16"/>
          <w:szCs w:val="16"/>
        </w:rPr>
        <w:softHyphen/>
        <w:t>лы были направлены на решение конкретных задач, поставленных прак</w:t>
      </w:r>
      <w:r w:rsidRPr="00DE096C">
        <w:rPr>
          <w:bCs/>
          <w:color w:val="002060"/>
          <w:sz w:val="16"/>
          <w:szCs w:val="16"/>
        </w:rPr>
        <w:softHyphen/>
        <w:t>тикой, жизнью, иными словами, носили прикладной характер, впрочем, совершенно не отвергая и серьезные фундаментальные исследования. Московские ученые пополняли систему знаний - науку, петербургские уче</w:t>
      </w:r>
      <w:r w:rsidRPr="00DE096C">
        <w:rPr>
          <w:bCs/>
          <w:color w:val="002060"/>
          <w:sz w:val="16"/>
          <w:szCs w:val="16"/>
        </w:rPr>
        <w:softHyphen/>
        <w:t>ные и инженеры пополняли науку результатами практической деятель</w:t>
      </w:r>
      <w:r w:rsidRPr="00DE096C">
        <w:rPr>
          <w:bCs/>
          <w:color w:val="002060"/>
          <w:sz w:val="16"/>
          <w:szCs w:val="16"/>
        </w:rPr>
        <w:softHyphen/>
        <w:t>ности. Вопрос: что важнее - не имеет права на существование. Одно без другого теряет смысл.</w:t>
      </w:r>
    </w:p>
    <w:p w14:paraId="6F37CA6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Наша страна после окончания первой мировой войны имела мощ</w:t>
      </w:r>
      <w:r w:rsidRPr="00DE096C">
        <w:rPr>
          <w:bCs/>
          <w:color w:val="002060"/>
          <w:sz w:val="16"/>
          <w:szCs w:val="16"/>
        </w:rPr>
        <w:softHyphen/>
        <w:t>ную, самую крупную в мире научно-экспериментальную авиационную базу - надежную опору для послевоенного развития отечественного Воздуш</w:t>
      </w:r>
      <w:r w:rsidRPr="00DE096C">
        <w:rPr>
          <w:bCs/>
          <w:color w:val="002060"/>
          <w:sz w:val="16"/>
          <w:szCs w:val="16"/>
        </w:rPr>
        <w:softHyphen/>
        <w:t>ного Флота. Высшие учебные заведения с прекрасно организованным уровнем преподавания готовили новое поколение ученых-аналитиков и экспериментаторов. Недаром, один из представителей Франции, посе</w:t>
      </w:r>
      <w:r w:rsidRPr="00DE096C">
        <w:rPr>
          <w:bCs/>
          <w:color w:val="002060"/>
          <w:sz w:val="16"/>
          <w:szCs w:val="16"/>
        </w:rPr>
        <w:softHyphen/>
        <w:t>тивший Россию в 1917 г., назвал ее: «Страной лабораторий».</w:t>
      </w:r>
    </w:p>
    <w:p w14:paraId="4A5CF2D0" w14:textId="77777777" w:rsidR="00B67D7C" w:rsidRPr="00DE096C" w:rsidRDefault="00B67D7C" w:rsidP="00D45A46">
      <w:pPr>
        <w:jc w:val="both"/>
        <w:rPr>
          <w:bCs/>
          <w:color w:val="002060"/>
          <w:sz w:val="16"/>
          <w:szCs w:val="16"/>
        </w:rPr>
      </w:pPr>
      <w:r w:rsidRPr="00DE096C">
        <w:rPr>
          <w:bCs/>
          <w:color w:val="002060"/>
          <w:sz w:val="16"/>
          <w:szCs w:val="16"/>
        </w:rPr>
        <w:t>Революция и гражданская война разрушили все планы, уничтожили и разбросали по свету великих подвижников русской науки. Это затормо</w:t>
      </w:r>
      <w:r w:rsidRPr="00DE096C">
        <w:rPr>
          <w:bCs/>
          <w:color w:val="002060"/>
          <w:sz w:val="16"/>
          <w:szCs w:val="16"/>
        </w:rPr>
        <w:softHyphen/>
        <w:t>зило развитие авиационной науки в России почти на 10 лет (11425).</w:t>
      </w:r>
    </w:p>
    <w:p w14:paraId="6ADBF94A" w14:textId="77777777" w:rsidR="00B67D7C" w:rsidRPr="00DE096C" w:rsidRDefault="00B67D7C" w:rsidP="00D45A46">
      <w:pPr>
        <w:jc w:val="both"/>
        <w:rPr>
          <w:bCs/>
          <w:color w:val="002060"/>
          <w:sz w:val="16"/>
          <w:szCs w:val="16"/>
        </w:rPr>
      </w:pPr>
    </w:p>
    <w:p w14:paraId="13F78306" w14:textId="77777777" w:rsidR="00537264" w:rsidRPr="00DE096C" w:rsidRDefault="00537264" w:rsidP="00D45A46">
      <w:pPr>
        <w:jc w:val="both"/>
        <w:rPr>
          <w:bCs/>
          <w:color w:val="002060"/>
          <w:sz w:val="16"/>
          <w:szCs w:val="16"/>
        </w:rPr>
      </w:pPr>
      <w:r w:rsidRPr="00DE096C">
        <w:rPr>
          <w:bCs/>
          <w:color w:val="002060"/>
          <w:sz w:val="16"/>
          <w:szCs w:val="16"/>
        </w:rPr>
        <w:t>Осенью 1914 года в Варшаве действовало пять вокзалов, три крупных моста через Вислу, размещались штабы 2-й армии и входящих в нее соединений и объединений, склады боеприпасов, лазареты. После начала германского наступления в город хлынул поток беженцев (до 260 тысяч человек).</w:t>
      </w:r>
    </w:p>
    <w:p w14:paraId="196A2977" w14:textId="77777777" w:rsidR="00537264" w:rsidRPr="00DE096C" w:rsidRDefault="00537264" w:rsidP="00D45A46">
      <w:pPr>
        <w:jc w:val="both"/>
        <w:rPr>
          <w:bCs/>
          <w:color w:val="002060"/>
          <w:sz w:val="16"/>
          <w:szCs w:val="16"/>
        </w:rPr>
      </w:pPr>
      <w:r w:rsidRPr="00DE096C">
        <w:rPr>
          <w:bCs/>
          <w:color w:val="002060"/>
          <w:sz w:val="16"/>
          <w:szCs w:val="16"/>
        </w:rPr>
        <w:t>Несмотря на ряд трудов по истории противовоздушной обороны, Варшава по-прежнему остается в тени. Автор в 1998 годы коснулся этого вопроса, но и поныне даже польские исследователи истории противовоздушной обороны обошли вниманием борьбу в воздухе над Варшавой осенью 1914 года - летом 1915 года. В нашей стране, которая явилась пионером в деле противовоздушной обороны крупных городов и гражданских объектов вообще, также слабо освещен этот сюжет. Лишь в последнее время эта тема находит частичное отражение в лекциях по плану военно-исторической подготовки генералов и офицеров Главного командования Военно-воздушными силами (автор А.Ю. Лашков), в статье генерала Б. Чельцова, начальника Главного штаба ВВС. В последнее время В.Л. Голотюк и А.Ю. Лашков подготовили несколько статей о развитии противовоздушной обороны России в 1914-1918 годах, например, о 1-й автомобильной противовоздушной батарее и ее командире, капитане В.В. Тарновском.</w:t>
      </w:r>
    </w:p>
    <w:p w14:paraId="18C57B1F" w14:textId="77777777" w:rsidR="00537264" w:rsidRPr="00DE096C" w:rsidRDefault="00537264" w:rsidP="00D45A46">
      <w:pPr>
        <w:jc w:val="both"/>
        <w:rPr>
          <w:bCs/>
          <w:color w:val="002060"/>
          <w:sz w:val="16"/>
          <w:szCs w:val="16"/>
        </w:rPr>
      </w:pPr>
      <w:r w:rsidRPr="00DE096C">
        <w:rPr>
          <w:bCs/>
          <w:color w:val="002060"/>
          <w:sz w:val="16"/>
          <w:szCs w:val="16"/>
        </w:rPr>
        <w:t>Круг источников по данной теме довольно узок. Прежде всего, это оперативные документы и журналы военных действий штаба Варшавской крепостной артиллерии из фондов Российского государственного военно-исторического архива (далее РГВИА). Именно это соединение стало инициатором и организатором первой в мире системы ПВО гражданских объектов. Интересные данные о действиях летчиков содержат дела штабов 2-й армии и 27-го армейского корпуса, которые в первые месяцы войны располагались в Варшаве.</w:t>
      </w:r>
    </w:p>
    <w:p w14:paraId="6B111346" w14:textId="77777777" w:rsidR="00537264" w:rsidRPr="00DE096C" w:rsidRDefault="00537264" w:rsidP="00D45A46">
      <w:pPr>
        <w:jc w:val="both"/>
        <w:rPr>
          <w:bCs/>
          <w:color w:val="002060"/>
          <w:sz w:val="16"/>
          <w:szCs w:val="16"/>
        </w:rPr>
      </w:pPr>
      <w:r w:rsidRPr="00DE096C">
        <w:rPr>
          <w:bCs/>
          <w:color w:val="002060"/>
          <w:sz w:val="16"/>
          <w:szCs w:val="16"/>
        </w:rPr>
        <w:t>Значительно дополняют сведения военных документов сводки о происшествиях Варшавского губернского жандармского управления (фонд хранится в Государственном архиве столичного города Варшавы, Польша; далее APW). Это данные о результатах вражеских воздушных налетов. К сожалению, работа с источниками Германии по Первой мировой войне значительно затруднена, и поэтому о замысле «воздушного наступления» германцев на Варшаву, о силах, выделенных для этого, о целях налетов и об анализе их результатов германскими летчиками и командованием остается лишь догадываться.</w:t>
      </w:r>
    </w:p>
    <w:p w14:paraId="091D5B6B" w14:textId="77777777" w:rsidR="00537264" w:rsidRPr="00DE096C" w:rsidRDefault="00537264" w:rsidP="00D45A46">
      <w:pPr>
        <w:jc w:val="both"/>
        <w:rPr>
          <w:bCs/>
          <w:i/>
          <w:color w:val="002060"/>
          <w:sz w:val="16"/>
          <w:szCs w:val="16"/>
        </w:rPr>
      </w:pPr>
    </w:p>
    <w:p w14:paraId="753644F2" w14:textId="77777777" w:rsidR="00B75E18" w:rsidRPr="00DE096C" w:rsidRDefault="00B75E18" w:rsidP="00D45A46">
      <w:pPr>
        <w:jc w:val="both"/>
        <w:rPr>
          <w:bCs/>
          <w:color w:val="002060"/>
          <w:sz w:val="16"/>
          <w:szCs w:val="16"/>
        </w:rPr>
      </w:pPr>
      <w:r w:rsidRPr="00DE096C">
        <w:rPr>
          <w:bCs/>
          <w:color w:val="002060"/>
          <w:sz w:val="16"/>
          <w:szCs w:val="16"/>
        </w:rPr>
        <w:lastRenderedPageBreak/>
        <w:t>Осенью 1914 г. при конвоировании большой группы пленных австро-венгерских солдат (численностью до батальона) наши солдаты заметили вражеский аэроплан, появившийся над колонной. С большой высоты летчик принял ее за обычное воинское подразделение, выдвигавшееся маршем на новые позиции. Сомнений не было. Форма одежды и порядок построения - все говорило о том, что внизу австро-венгерские войска. Летчик принял решение совершить посадку рядом с колонной. Заметив этот маневр, русские конвоиры, «приказав пленным не двигаться и не делать попыток к бегству, под страхом расстрела» оставаться на дороге, спрятались в близлежащем лесу. Опустившись на предельно малую высоту, летчик обнаружил, что все солдаты в колонне без оружия. Но на исправление своей ошибки у него уже не было времени. Плотный ружейный огонь, открытый русским солдатами, заставил австрийского летчика приземлиться, где он и был взят в плен (23405).</w:t>
      </w:r>
    </w:p>
    <w:p w14:paraId="3DFFF5B8" w14:textId="77777777" w:rsidR="00B75E18" w:rsidRPr="00DE096C" w:rsidRDefault="00B75E18" w:rsidP="00D45A46">
      <w:pPr>
        <w:jc w:val="both"/>
        <w:rPr>
          <w:bCs/>
          <w:color w:val="002060"/>
          <w:sz w:val="16"/>
          <w:szCs w:val="16"/>
        </w:rPr>
      </w:pPr>
    </w:p>
    <w:p w14:paraId="4648DC6E" w14:textId="77777777" w:rsidR="00537264" w:rsidRPr="00DE096C" w:rsidRDefault="00537264" w:rsidP="00D45A46">
      <w:pPr>
        <w:jc w:val="both"/>
        <w:rPr>
          <w:bCs/>
          <w:i/>
          <w:color w:val="002060"/>
          <w:sz w:val="16"/>
          <w:szCs w:val="16"/>
        </w:rPr>
      </w:pPr>
      <w:r w:rsidRPr="00DE096C">
        <w:rPr>
          <w:bCs/>
          <w:i/>
          <w:color w:val="002060"/>
          <w:sz w:val="16"/>
          <w:szCs w:val="16"/>
        </w:rPr>
        <w:t>Морская авиация:</w:t>
      </w:r>
    </w:p>
    <w:p w14:paraId="743D4984" w14:textId="77777777" w:rsidR="00537264" w:rsidRPr="00DE096C" w:rsidRDefault="00537264" w:rsidP="00D45A46">
      <w:pPr>
        <w:jc w:val="both"/>
        <w:rPr>
          <w:bCs/>
          <w:i/>
          <w:color w:val="002060"/>
          <w:sz w:val="16"/>
          <w:szCs w:val="16"/>
        </w:rPr>
      </w:pPr>
    </w:p>
    <w:p w14:paraId="6E3A39D2" w14:textId="5303EB60" w:rsidR="00537264" w:rsidRPr="00DE096C" w:rsidRDefault="00CA3780" w:rsidP="00D45A46">
      <w:pPr>
        <w:shd w:val="clear" w:color="auto" w:fill="FFFFFF"/>
        <w:jc w:val="both"/>
        <w:rPr>
          <w:bCs/>
          <w:color w:val="002060"/>
          <w:sz w:val="16"/>
          <w:szCs w:val="16"/>
        </w:rPr>
      </w:pPr>
      <w:r w:rsidRPr="00DE096C">
        <w:rPr>
          <w:bCs/>
          <w:color w:val="002060"/>
          <w:sz w:val="16"/>
          <w:szCs w:val="16"/>
        </w:rPr>
        <w:t>О</w:t>
      </w:r>
      <w:r w:rsidR="00537264" w:rsidRPr="00DE096C">
        <w:rPr>
          <w:bCs/>
          <w:color w:val="002060"/>
          <w:sz w:val="16"/>
          <w:szCs w:val="16"/>
        </w:rPr>
        <w:t>сенью 1914 года</w:t>
      </w:r>
      <w:r w:rsidRPr="00DE096C">
        <w:rPr>
          <w:bCs/>
          <w:color w:val="002060"/>
          <w:sz w:val="16"/>
          <w:szCs w:val="16"/>
        </w:rPr>
        <w:t>, поскольку наличие на первом авиационного оборудования затрудняло применение артилле</w:t>
      </w:r>
      <w:r w:rsidRPr="00DE096C">
        <w:rPr>
          <w:bCs/>
          <w:color w:val="002060"/>
          <w:sz w:val="16"/>
          <w:szCs w:val="16"/>
        </w:rPr>
        <w:softHyphen/>
        <w:t xml:space="preserve">рии главного калибра </w:t>
      </w:r>
      <w:r w:rsidR="00537264" w:rsidRPr="00DE096C">
        <w:rPr>
          <w:bCs/>
          <w:color w:val="002060"/>
          <w:sz w:val="16"/>
          <w:szCs w:val="16"/>
        </w:rPr>
        <w:t>оно было снято с корабля. Началось спешное переоборудование в авиатранспор</w:t>
      </w:r>
      <w:r w:rsidR="00537264" w:rsidRPr="00DE096C">
        <w:rPr>
          <w:bCs/>
          <w:color w:val="002060"/>
          <w:sz w:val="16"/>
          <w:szCs w:val="16"/>
        </w:rPr>
        <w:softHyphen/>
        <w:t>ты пары мобилизованных пароходов, зачисленных в класс по</w:t>
      </w:r>
      <w:r w:rsidR="00537264" w:rsidRPr="00DE096C">
        <w:rPr>
          <w:bCs/>
          <w:color w:val="002060"/>
          <w:sz w:val="16"/>
          <w:szCs w:val="16"/>
        </w:rPr>
        <w:softHyphen/>
        <w:t>сыльных судов 2 ранга. По заказу «Русского общества пароходства и торговли» их построили английские верфи меньше чем за год до возникно</w:t>
      </w:r>
      <w:r w:rsidR="00537264" w:rsidRPr="00DE096C">
        <w:rPr>
          <w:bCs/>
          <w:color w:val="002060"/>
          <w:sz w:val="16"/>
          <w:szCs w:val="16"/>
        </w:rPr>
        <w:softHyphen/>
        <w:t>вения войны. Стандартное водоизмещение судов не превыша</w:t>
      </w:r>
      <w:r w:rsidR="00537264" w:rsidRPr="00DE096C">
        <w:rPr>
          <w:bCs/>
          <w:color w:val="002060"/>
          <w:sz w:val="16"/>
          <w:szCs w:val="16"/>
        </w:rPr>
        <w:softHyphen/>
        <w:t>ло 9240 тонн. Двухвальная паросиловая установка развивала скорость хода: у одного 13,5, у другого - 15 узлов. Нормаль</w:t>
      </w:r>
      <w:r w:rsidR="00537264" w:rsidRPr="00DE096C">
        <w:rPr>
          <w:bCs/>
          <w:color w:val="002060"/>
          <w:sz w:val="16"/>
          <w:szCs w:val="16"/>
        </w:rPr>
        <w:softHyphen/>
        <w:t>ные запасы снабжения обеспечивали двухнедельное плавание.</w:t>
      </w:r>
    </w:p>
    <w:p w14:paraId="4AC92AA5" w14:textId="77777777" w:rsidR="00537264" w:rsidRPr="00DE096C" w:rsidRDefault="00537264" w:rsidP="00D45A46">
      <w:pPr>
        <w:shd w:val="clear" w:color="auto" w:fill="FFFFFF"/>
        <w:jc w:val="both"/>
        <w:rPr>
          <w:bCs/>
          <w:color w:val="002060"/>
          <w:sz w:val="16"/>
          <w:szCs w:val="16"/>
        </w:rPr>
      </w:pPr>
      <w:r w:rsidRPr="00DE096C">
        <w:rPr>
          <w:bCs/>
          <w:color w:val="002060"/>
          <w:sz w:val="16"/>
          <w:szCs w:val="16"/>
        </w:rPr>
        <w:t>Во время переоборудования мастерские Севастопольского военного порта установили на их верхних палубах (размера</w:t>
      </w:r>
      <w:r w:rsidRPr="00DE096C">
        <w:rPr>
          <w:bCs/>
          <w:color w:val="002060"/>
          <w:sz w:val="16"/>
          <w:szCs w:val="16"/>
        </w:rPr>
        <w:softHyphen/>
        <w:t>ми 120x16 метров) по шесть 120-мм морских орудий, по две 75-мм противоаэропланные пушки и по четыре пулемета. Раз</w:t>
      </w:r>
      <w:r w:rsidRPr="00DE096C">
        <w:rPr>
          <w:bCs/>
          <w:color w:val="002060"/>
          <w:sz w:val="16"/>
          <w:szCs w:val="16"/>
        </w:rPr>
        <w:softHyphen/>
        <w:t>мещенное на корме авиационное оборудование состояло из кильблоков для перевозки морем под тентами семи летаю</w:t>
      </w:r>
      <w:r w:rsidRPr="00DE096C">
        <w:rPr>
          <w:bCs/>
          <w:color w:val="002060"/>
          <w:sz w:val="16"/>
          <w:szCs w:val="16"/>
        </w:rPr>
        <w:softHyphen/>
        <w:t>щих лодок. Там же появились спускоподъемные грузовые стре</w:t>
      </w:r>
      <w:r w:rsidRPr="00DE096C">
        <w:rPr>
          <w:bCs/>
          <w:color w:val="002060"/>
          <w:sz w:val="16"/>
          <w:szCs w:val="16"/>
        </w:rPr>
        <w:softHyphen/>
        <w:t>лы с большим выносом за борт. На судах устроили ремонт</w:t>
      </w:r>
      <w:r w:rsidRPr="00DE096C">
        <w:rPr>
          <w:bCs/>
          <w:color w:val="002060"/>
          <w:sz w:val="16"/>
          <w:szCs w:val="16"/>
        </w:rPr>
        <w:softHyphen/>
        <w:t>ные мастерские, хранилища горюче-смазочных материалов, бомбовые и артиллерийские погреба. Переоборудование «Им</w:t>
      </w:r>
      <w:r w:rsidRPr="00DE096C">
        <w:rPr>
          <w:bCs/>
          <w:color w:val="002060"/>
          <w:sz w:val="16"/>
          <w:szCs w:val="16"/>
        </w:rPr>
        <w:softHyphen/>
        <w:t>ператора Николая I» окончилось в конце января 1915 года, а «Императора Александра III» - в середине марта [21]. Ввиду того, что на николаевском заводе «Руссуд» еще прошлой вес</w:t>
      </w:r>
      <w:r w:rsidRPr="00DE096C">
        <w:rPr>
          <w:bCs/>
          <w:color w:val="002060"/>
          <w:sz w:val="16"/>
          <w:szCs w:val="16"/>
        </w:rPr>
        <w:softHyphen/>
        <w:t>ной был спущен со стапеля на воду новый линейный корабль «Император Александр III», получивший ранее такое же наи</w:t>
      </w:r>
      <w:r w:rsidRPr="00DE096C">
        <w:rPr>
          <w:bCs/>
          <w:color w:val="002060"/>
          <w:sz w:val="16"/>
          <w:szCs w:val="16"/>
        </w:rPr>
        <w:softHyphen/>
        <w:t>менование авиатранспорт, согласно приказу командующего флотом от 8 января 1915 года, переименовали в «Император Александр I» (11283).</w:t>
      </w:r>
    </w:p>
    <w:p w14:paraId="2275D170" w14:textId="77777777" w:rsidR="00537264" w:rsidRPr="00DE096C" w:rsidRDefault="00537264" w:rsidP="00D45A46">
      <w:pPr>
        <w:shd w:val="clear" w:color="auto" w:fill="FFFFFF"/>
        <w:jc w:val="both"/>
        <w:rPr>
          <w:bCs/>
          <w:color w:val="002060"/>
          <w:sz w:val="16"/>
          <w:szCs w:val="16"/>
        </w:rPr>
      </w:pPr>
    </w:p>
    <w:p w14:paraId="3B1C4B03" w14:textId="77777777" w:rsidR="009F4438" w:rsidRPr="00B52707" w:rsidRDefault="009F4438" w:rsidP="009F4438">
      <w:pPr>
        <w:jc w:val="both"/>
        <w:rPr>
          <w:rStyle w:val="ab"/>
          <w:rFonts w:ascii="Times New Roman" w:hAnsi="Times New Roman"/>
          <w:color w:val="0070C0"/>
          <w:spacing w:val="0"/>
          <w:sz w:val="16"/>
          <w:szCs w:val="16"/>
        </w:rPr>
      </w:pPr>
      <w:r w:rsidRPr="00B52707">
        <w:rPr>
          <w:rStyle w:val="ab"/>
          <w:rFonts w:ascii="Times New Roman" w:hAnsi="Times New Roman"/>
          <w:color w:val="0070C0"/>
          <w:spacing w:val="0"/>
          <w:sz w:val="16"/>
          <w:szCs w:val="16"/>
        </w:rPr>
        <w:t>Осенью 1915 года Кронштадтские укрепления и форты были включены в состав армейского (6-й армии) района Северного фронта. Помимо отражения возможного нападения с моря и десантных операций противника в Финском заливе крепостная артиллерия наделялась новыми задачами по борьбе с воздушным врагом. Первым зенитными средствами (4 орудия) был оснащен форт «Тотлебен», а к концу 1916 года завершены установки двух противоаэропланных батарей (8 орудий) вблизи форта «Ино». Одновременно шло совершенствование организации воздушного наблюдения в границах ответственности 6-й армии (25166).</w:t>
      </w:r>
    </w:p>
    <w:p w14:paraId="47769884" w14:textId="77777777" w:rsidR="009F4438" w:rsidRPr="00B52707" w:rsidRDefault="009F4438" w:rsidP="009F4438">
      <w:pPr>
        <w:jc w:val="both"/>
        <w:rPr>
          <w:rStyle w:val="ab"/>
          <w:rFonts w:ascii="Times New Roman" w:hAnsi="Times New Roman"/>
          <w:color w:val="0070C0"/>
          <w:spacing w:val="0"/>
          <w:sz w:val="16"/>
          <w:szCs w:val="16"/>
        </w:rPr>
      </w:pPr>
    </w:p>
    <w:p w14:paraId="5B0C2269" w14:textId="0989C063" w:rsidR="00C7464C" w:rsidRPr="00DE096C" w:rsidRDefault="00C7464C" w:rsidP="00D45A46">
      <w:pPr>
        <w:jc w:val="both"/>
        <w:rPr>
          <w:bCs/>
          <w:i/>
          <w:color w:val="002060"/>
          <w:sz w:val="16"/>
          <w:szCs w:val="16"/>
        </w:rPr>
      </w:pPr>
      <w:r w:rsidRPr="00DE096C">
        <w:rPr>
          <w:bCs/>
          <w:i/>
          <w:color w:val="002060"/>
          <w:sz w:val="16"/>
          <w:szCs w:val="16"/>
        </w:rPr>
        <w:t>Воздухоплаание:</w:t>
      </w:r>
    </w:p>
    <w:p w14:paraId="7B90EA49" w14:textId="77777777" w:rsidR="00C7464C" w:rsidRPr="00DE096C" w:rsidRDefault="00C7464C" w:rsidP="00D45A46">
      <w:pPr>
        <w:jc w:val="both"/>
        <w:rPr>
          <w:bCs/>
          <w:i/>
          <w:color w:val="002060"/>
          <w:sz w:val="16"/>
          <w:szCs w:val="16"/>
        </w:rPr>
      </w:pPr>
    </w:p>
    <w:p w14:paraId="217EAE4D" w14:textId="77777777" w:rsidR="00C7464C" w:rsidRPr="00DE096C" w:rsidRDefault="00C7464C" w:rsidP="00D45A46">
      <w:pPr>
        <w:jc w:val="both"/>
        <w:rPr>
          <w:bCs/>
          <w:color w:val="002060"/>
          <w:sz w:val="16"/>
          <w:szCs w:val="16"/>
        </w:rPr>
      </w:pPr>
      <w:r w:rsidRPr="00DE096C">
        <w:rPr>
          <w:rStyle w:val="43"/>
          <w:rFonts w:ascii="Times New Roman" w:hAnsi="Times New Roman" w:cs="Times New Roman"/>
          <w:bCs/>
          <w:color w:val="002060"/>
          <w:w w:val="100"/>
          <w:sz w:val="16"/>
          <w:szCs w:val="16"/>
        </w:rPr>
        <w:t>Осенью 1914 г. воздухоплавательную роту пере</w:t>
      </w:r>
      <w:r w:rsidRPr="00DE096C">
        <w:rPr>
          <w:rStyle w:val="43"/>
          <w:rFonts w:ascii="Times New Roman" w:hAnsi="Times New Roman" w:cs="Times New Roman"/>
          <w:bCs/>
          <w:color w:val="002060"/>
          <w:w w:val="100"/>
          <w:sz w:val="16"/>
          <w:szCs w:val="16"/>
        </w:rPr>
        <w:softHyphen/>
        <w:t>дислоцировали из Брест-Литовска в Львов (20120).</w:t>
      </w:r>
    </w:p>
    <w:p w14:paraId="13F193AC" w14:textId="77777777" w:rsidR="00C7464C" w:rsidRPr="00DE096C" w:rsidRDefault="00C7464C" w:rsidP="00D45A46">
      <w:pPr>
        <w:jc w:val="both"/>
        <w:rPr>
          <w:bCs/>
          <w:color w:val="002060"/>
          <w:sz w:val="16"/>
          <w:szCs w:val="16"/>
        </w:rPr>
      </w:pPr>
    </w:p>
    <w:p w14:paraId="35BADCD7" w14:textId="77777777" w:rsidR="00C7464C" w:rsidRPr="00DE096C" w:rsidRDefault="00C7464C" w:rsidP="00D45A46">
      <w:pPr>
        <w:jc w:val="both"/>
        <w:rPr>
          <w:bCs/>
          <w:color w:val="002060"/>
          <w:sz w:val="16"/>
          <w:szCs w:val="16"/>
        </w:rPr>
      </w:pPr>
      <w:r w:rsidRPr="00DE096C">
        <w:rPr>
          <w:rStyle w:val="43"/>
          <w:rFonts w:ascii="Times New Roman" w:hAnsi="Times New Roman" w:cs="Times New Roman"/>
          <w:bCs/>
          <w:color w:val="002060"/>
          <w:w w:val="100"/>
          <w:sz w:val="16"/>
          <w:szCs w:val="16"/>
        </w:rPr>
        <w:t>Осенью 1914 г. 3-ю воздухоплавательную роту пере</w:t>
      </w:r>
      <w:r w:rsidRPr="00DE096C">
        <w:rPr>
          <w:rStyle w:val="43"/>
          <w:rFonts w:ascii="Times New Roman" w:hAnsi="Times New Roman" w:cs="Times New Roman"/>
          <w:bCs/>
          <w:color w:val="002060"/>
          <w:w w:val="100"/>
          <w:sz w:val="16"/>
          <w:szCs w:val="16"/>
        </w:rPr>
        <w:softHyphen/>
        <w:t>дислоцировали в Львов.</w:t>
      </w:r>
    </w:p>
    <w:p w14:paraId="5CB6F627" w14:textId="77777777" w:rsidR="00C7464C" w:rsidRPr="00DE096C" w:rsidRDefault="00C7464C" w:rsidP="00D45A46">
      <w:pPr>
        <w:tabs>
          <w:tab w:val="left" w:pos="745"/>
        </w:tabs>
        <w:jc w:val="both"/>
        <w:rPr>
          <w:bCs/>
          <w:color w:val="002060"/>
          <w:sz w:val="16"/>
          <w:szCs w:val="16"/>
        </w:rPr>
      </w:pPr>
      <w:r w:rsidRPr="00DE096C">
        <w:rPr>
          <w:rStyle w:val="43"/>
          <w:rFonts w:ascii="Times New Roman" w:hAnsi="Times New Roman" w:cs="Times New Roman"/>
          <w:bCs/>
          <w:color w:val="002060"/>
          <w:w w:val="100"/>
          <w:sz w:val="16"/>
          <w:szCs w:val="16"/>
        </w:rPr>
        <w:t>3-я воздухоплавательная рота базировалась в Лиде и располагала эллингами в Ковно и Бе</w:t>
      </w:r>
      <w:r w:rsidRPr="00DE096C">
        <w:rPr>
          <w:rStyle w:val="43"/>
          <w:rFonts w:ascii="Times New Roman" w:hAnsi="Times New Roman" w:cs="Times New Roman"/>
          <w:bCs/>
          <w:color w:val="002060"/>
          <w:w w:val="100"/>
          <w:sz w:val="16"/>
          <w:szCs w:val="16"/>
        </w:rPr>
        <w:softHyphen/>
        <w:t>лостоке. На её вооружении находились большой дирижабль «Астра XIII» и малый «Голубь». В ав</w:t>
      </w:r>
      <w:r w:rsidRPr="00DE096C">
        <w:rPr>
          <w:rStyle w:val="43"/>
          <w:rFonts w:ascii="Times New Roman" w:hAnsi="Times New Roman" w:cs="Times New Roman"/>
          <w:bCs/>
          <w:color w:val="002060"/>
          <w:w w:val="100"/>
          <w:sz w:val="16"/>
          <w:szCs w:val="16"/>
        </w:rPr>
        <w:softHyphen/>
        <w:t>густе к ним присоединился большой дирижабль «Альбатрос». В декабре 1914 г. в Белостоке собра</w:t>
      </w:r>
      <w:r w:rsidRPr="00DE096C">
        <w:rPr>
          <w:rStyle w:val="43"/>
          <w:rFonts w:ascii="Times New Roman" w:hAnsi="Times New Roman" w:cs="Times New Roman"/>
          <w:bCs/>
          <w:color w:val="002060"/>
          <w:w w:val="100"/>
          <w:sz w:val="16"/>
          <w:szCs w:val="16"/>
        </w:rPr>
        <w:softHyphen/>
        <w:t>ли «Буревестник».</w:t>
      </w:r>
    </w:p>
    <w:p w14:paraId="720E0C08" w14:textId="77777777" w:rsidR="00C7464C" w:rsidRPr="00DE096C" w:rsidRDefault="00C7464C" w:rsidP="00D45A46">
      <w:pPr>
        <w:tabs>
          <w:tab w:val="left" w:pos="740"/>
        </w:tabs>
        <w:jc w:val="both"/>
        <w:rPr>
          <w:bCs/>
          <w:color w:val="002060"/>
          <w:sz w:val="16"/>
          <w:szCs w:val="16"/>
        </w:rPr>
      </w:pPr>
      <w:r w:rsidRPr="00DE096C">
        <w:rPr>
          <w:rStyle w:val="43"/>
          <w:rFonts w:ascii="Times New Roman" w:hAnsi="Times New Roman" w:cs="Times New Roman"/>
          <w:bCs/>
          <w:color w:val="002060"/>
          <w:w w:val="100"/>
          <w:sz w:val="16"/>
          <w:szCs w:val="16"/>
        </w:rPr>
        <w:t>4-я воздухоплавательная рота базировалась в Бердичеве и имела эллинги в Ровно и Луцке. Она располагала дирижаблями «Буревестник», «Гриф» и «Сокол». При объявлении войны «Со</w:t>
      </w:r>
      <w:r w:rsidRPr="00DE096C">
        <w:rPr>
          <w:rStyle w:val="43"/>
          <w:rFonts w:ascii="Times New Roman" w:hAnsi="Times New Roman" w:cs="Times New Roman"/>
          <w:bCs/>
          <w:color w:val="002060"/>
          <w:w w:val="100"/>
          <w:sz w:val="16"/>
          <w:szCs w:val="16"/>
        </w:rPr>
        <w:softHyphen/>
        <w:t>кол» находился в наполненном состоянии, но на фронт его не послали. «Гриф» остался в разо</w:t>
      </w:r>
      <w:r w:rsidRPr="00DE096C">
        <w:rPr>
          <w:rStyle w:val="43"/>
          <w:rFonts w:ascii="Times New Roman" w:hAnsi="Times New Roman" w:cs="Times New Roman"/>
          <w:bCs/>
          <w:color w:val="002060"/>
          <w:w w:val="100"/>
          <w:sz w:val="16"/>
          <w:szCs w:val="16"/>
        </w:rPr>
        <w:softHyphen/>
        <w:t>бранном состоянии, а «Буревестник» отправили в Белосток.</w:t>
      </w:r>
    </w:p>
    <w:p w14:paraId="1FF09541" w14:textId="77777777" w:rsidR="00C7464C" w:rsidRPr="00DE096C" w:rsidRDefault="00C7464C" w:rsidP="00D45A46">
      <w:pPr>
        <w:jc w:val="both"/>
        <w:rPr>
          <w:rStyle w:val="43"/>
          <w:rFonts w:ascii="Times New Roman" w:hAnsi="Times New Roman" w:cs="Times New Roman"/>
          <w:bCs/>
          <w:color w:val="002060"/>
          <w:w w:val="100"/>
          <w:sz w:val="16"/>
          <w:szCs w:val="16"/>
        </w:rPr>
      </w:pPr>
      <w:r w:rsidRPr="00DE096C">
        <w:rPr>
          <w:rStyle w:val="43"/>
          <w:rFonts w:ascii="Times New Roman" w:hAnsi="Times New Roman" w:cs="Times New Roman"/>
          <w:bCs/>
          <w:color w:val="002060"/>
          <w:w w:val="100"/>
          <w:sz w:val="16"/>
          <w:szCs w:val="16"/>
        </w:rPr>
        <w:t>Сибирская воздухоплавательная рота базиро</w:t>
      </w:r>
      <w:r w:rsidRPr="00DE096C">
        <w:rPr>
          <w:rStyle w:val="43"/>
          <w:rFonts w:ascii="Times New Roman" w:hAnsi="Times New Roman" w:cs="Times New Roman"/>
          <w:bCs/>
          <w:color w:val="002060"/>
          <w:w w:val="100"/>
          <w:sz w:val="16"/>
          <w:szCs w:val="16"/>
        </w:rPr>
        <w:softHyphen/>
        <w:t>валась на г. Никольск-Уссурийский. На её воору</w:t>
      </w:r>
      <w:r w:rsidRPr="00DE096C">
        <w:rPr>
          <w:rStyle w:val="43"/>
          <w:rFonts w:ascii="Times New Roman" w:hAnsi="Times New Roman" w:cs="Times New Roman"/>
          <w:bCs/>
          <w:color w:val="002060"/>
          <w:w w:val="100"/>
          <w:sz w:val="16"/>
          <w:szCs w:val="16"/>
        </w:rPr>
        <w:softHyphen/>
        <w:t>жении находились малые дирижабли «Кобчик» и «Чайка». В 1915 г. её перевели на фронт, но там она использовалась как рота с привязными аэростатами, так как «Чайка» погибла в 1914 г. (до объявления войны), а «Кобчик» мало подхо</w:t>
      </w:r>
      <w:r w:rsidRPr="00DE096C">
        <w:rPr>
          <w:rStyle w:val="43"/>
          <w:rFonts w:ascii="Times New Roman" w:hAnsi="Times New Roman" w:cs="Times New Roman"/>
          <w:bCs/>
          <w:color w:val="002060"/>
          <w:w w:val="100"/>
          <w:sz w:val="16"/>
          <w:szCs w:val="16"/>
        </w:rPr>
        <w:softHyphen/>
        <w:t>дил для боевых полётов (20120).</w:t>
      </w:r>
    </w:p>
    <w:p w14:paraId="6B9AAC50" w14:textId="77777777" w:rsidR="00C7464C" w:rsidRPr="00DE096C" w:rsidRDefault="00C7464C" w:rsidP="00D45A46">
      <w:pPr>
        <w:jc w:val="both"/>
        <w:rPr>
          <w:bCs/>
          <w:color w:val="002060"/>
          <w:sz w:val="16"/>
          <w:szCs w:val="16"/>
        </w:rPr>
      </w:pPr>
    </w:p>
    <w:p w14:paraId="27D160C4" w14:textId="77777777" w:rsidR="00C7464C" w:rsidRPr="00DE096C" w:rsidRDefault="00C7464C" w:rsidP="00D45A46">
      <w:pPr>
        <w:jc w:val="both"/>
        <w:rPr>
          <w:bCs/>
          <w:color w:val="002060"/>
          <w:sz w:val="16"/>
          <w:szCs w:val="16"/>
        </w:rPr>
      </w:pPr>
      <w:r w:rsidRPr="00DE096C">
        <w:rPr>
          <w:rStyle w:val="43"/>
          <w:rFonts w:ascii="Times New Roman" w:hAnsi="Times New Roman" w:cs="Times New Roman"/>
          <w:bCs/>
          <w:color w:val="002060"/>
          <w:w w:val="100"/>
          <w:sz w:val="16"/>
          <w:szCs w:val="16"/>
        </w:rPr>
        <w:t>Осенью 1914 г. перевезённый из Бердичева дирижабль наполнили водородом в Белостоке. 19 декабря 1914 г. «Буревестник» (командир А.П. Чечулин) поднялся на высоту 1100 м. Экипаж отрабатывал приёмы высотной бомбардировки, при этом отличился рулевой дирижабля старший унтер-офицер Никандр Тю- стин, произведённый в подпоручики. А.П. Чечу</w:t>
      </w:r>
      <w:r w:rsidRPr="00DE096C">
        <w:rPr>
          <w:rStyle w:val="43"/>
          <w:rFonts w:ascii="Times New Roman" w:hAnsi="Times New Roman" w:cs="Times New Roman"/>
          <w:bCs/>
          <w:color w:val="002060"/>
          <w:w w:val="100"/>
          <w:sz w:val="16"/>
          <w:szCs w:val="16"/>
        </w:rPr>
        <w:softHyphen/>
        <w:t>лин предполагал в хорошую погоду подняться на высоту 2000 м, но этому помешали большая га</w:t>
      </w:r>
      <w:r w:rsidRPr="00DE096C">
        <w:rPr>
          <w:rStyle w:val="43"/>
          <w:rFonts w:ascii="Times New Roman" w:hAnsi="Times New Roman" w:cs="Times New Roman"/>
          <w:bCs/>
          <w:color w:val="002060"/>
          <w:w w:val="100"/>
          <w:sz w:val="16"/>
          <w:szCs w:val="16"/>
        </w:rPr>
        <w:softHyphen/>
        <w:t>зопроницаемость оболочки и сложность управ</w:t>
      </w:r>
      <w:r w:rsidRPr="00DE096C">
        <w:rPr>
          <w:rStyle w:val="43"/>
          <w:rFonts w:ascii="Times New Roman" w:hAnsi="Times New Roman" w:cs="Times New Roman"/>
          <w:bCs/>
          <w:color w:val="002060"/>
          <w:w w:val="100"/>
          <w:sz w:val="16"/>
          <w:szCs w:val="16"/>
        </w:rPr>
        <w:softHyphen/>
        <w:t>ления. К весне 1915 г. повреждённый при выводе из эллинга дирижабль разоружили (20120).</w:t>
      </w:r>
    </w:p>
    <w:p w14:paraId="267A01AB" w14:textId="77777777" w:rsidR="00C7464C" w:rsidRPr="00DE096C" w:rsidRDefault="00C7464C" w:rsidP="00D45A46">
      <w:pPr>
        <w:jc w:val="both"/>
        <w:rPr>
          <w:rStyle w:val="43"/>
          <w:rFonts w:ascii="Times New Roman" w:hAnsi="Times New Roman" w:cs="Times New Roman"/>
          <w:bCs/>
          <w:color w:val="002060"/>
          <w:w w:val="100"/>
          <w:sz w:val="16"/>
          <w:szCs w:val="16"/>
        </w:rPr>
      </w:pPr>
    </w:p>
    <w:p w14:paraId="319EB505" w14:textId="77777777" w:rsidR="00C7464C" w:rsidRPr="00DE096C" w:rsidRDefault="00C7464C" w:rsidP="00D45A46">
      <w:pPr>
        <w:jc w:val="both"/>
        <w:rPr>
          <w:bCs/>
          <w:color w:val="002060"/>
          <w:sz w:val="16"/>
          <w:szCs w:val="16"/>
        </w:rPr>
      </w:pPr>
      <w:r w:rsidRPr="00DE096C">
        <w:rPr>
          <w:rStyle w:val="43"/>
          <w:rFonts w:ascii="Times New Roman" w:hAnsi="Times New Roman" w:cs="Times New Roman"/>
          <w:bCs/>
          <w:color w:val="002060"/>
          <w:w w:val="100"/>
          <w:sz w:val="16"/>
          <w:szCs w:val="16"/>
        </w:rPr>
        <w:t xml:space="preserve">Осенью 1914 г. перевезённый из Бердичева дирижабль </w:t>
      </w:r>
      <w:r w:rsidRPr="00DE096C">
        <w:rPr>
          <w:rStyle w:val="af"/>
          <w:rFonts w:ascii="Times New Roman" w:eastAsia="Segoe UI" w:hAnsi="Times New Roman" w:cs="Times New Roman"/>
          <w:b w:val="0"/>
          <w:color w:val="002060"/>
          <w:sz w:val="16"/>
          <w:szCs w:val="16"/>
        </w:rPr>
        <w:t xml:space="preserve">«Буревестник» </w:t>
      </w:r>
      <w:r w:rsidRPr="00DE096C">
        <w:rPr>
          <w:rStyle w:val="43"/>
          <w:rFonts w:ascii="Times New Roman" w:hAnsi="Times New Roman" w:cs="Times New Roman"/>
          <w:bCs/>
          <w:color w:val="002060"/>
          <w:w w:val="100"/>
          <w:sz w:val="16"/>
          <w:szCs w:val="16"/>
        </w:rPr>
        <w:t>наполнили водородом в Белостоке. 19 декабря 1914 г. «Буревестник» (командир А.П. Чечулин) поднялся на высоту 1100 м. Экипаж отрабатывал приёмы высотной бомбардировки, при этом отличился рулевой дирижабля старший унтер-офицер Никандр Тю- стин, произведённый в подпоручики. А.П. Чечу</w:t>
      </w:r>
      <w:r w:rsidRPr="00DE096C">
        <w:rPr>
          <w:rStyle w:val="43"/>
          <w:rFonts w:ascii="Times New Roman" w:hAnsi="Times New Roman" w:cs="Times New Roman"/>
          <w:bCs/>
          <w:color w:val="002060"/>
          <w:w w:val="100"/>
          <w:sz w:val="16"/>
          <w:szCs w:val="16"/>
        </w:rPr>
        <w:softHyphen/>
        <w:t>лин предполагал в хорошую погоду подняться на высоту 2000 м, но этому помешали большая га</w:t>
      </w:r>
      <w:r w:rsidRPr="00DE096C">
        <w:rPr>
          <w:rStyle w:val="43"/>
          <w:rFonts w:ascii="Times New Roman" w:hAnsi="Times New Roman" w:cs="Times New Roman"/>
          <w:bCs/>
          <w:color w:val="002060"/>
          <w:w w:val="100"/>
          <w:sz w:val="16"/>
          <w:szCs w:val="16"/>
        </w:rPr>
        <w:softHyphen/>
        <w:t>зопроницаемость оболочки и сложность управ</w:t>
      </w:r>
      <w:r w:rsidRPr="00DE096C">
        <w:rPr>
          <w:rStyle w:val="43"/>
          <w:rFonts w:ascii="Times New Roman" w:hAnsi="Times New Roman" w:cs="Times New Roman"/>
          <w:bCs/>
          <w:color w:val="002060"/>
          <w:w w:val="100"/>
          <w:sz w:val="16"/>
          <w:szCs w:val="16"/>
        </w:rPr>
        <w:softHyphen/>
        <w:t>ления. К весне 1915 г. повреждённый при выводе из эллинга дирижабль разоружили (20120).</w:t>
      </w:r>
    </w:p>
    <w:p w14:paraId="309347A0" w14:textId="77777777" w:rsidR="00C7464C" w:rsidRPr="00DE096C" w:rsidRDefault="00C7464C" w:rsidP="00D45A46">
      <w:pPr>
        <w:jc w:val="both"/>
        <w:rPr>
          <w:rStyle w:val="af"/>
          <w:rFonts w:ascii="Times New Roman" w:eastAsia="Segoe UI" w:hAnsi="Times New Roman" w:cs="Times New Roman"/>
          <w:b w:val="0"/>
          <w:color w:val="002060"/>
          <w:sz w:val="16"/>
          <w:szCs w:val="16"/>
        </w:rPr>
      </w:pPr>
    </w:p>
    <w:p w14:paraId="1CF072D5" w14:textId="77777777" w:rsidR="00B4137F" w:rsidRPr="00DE096C" w:rsidRDefault="00B4137F" w:rsidP="00D45A46">
      <w:pPr>
        <w:jc w:val="both"/>
        <w:rPr>
          <w:bCs/>
          <w:i/>
          <w:color w:val="002060"/>
          <w:sz w:val="16"/>
          <w:szCs w:val="16"/>
        </w:rPr>
      </w:pPr>
      <w:r w:rsidRPr="00DE096C">
        <w:rPr>
          <w:bCs/>
          <w:i/>
          <w:color w:val="002060"/>
          <w:sz w:val="16"/>
          <w:szCs w:val="16"/>
        </w:rPr>
        <w:t>Армия:</w:t>
      </w:r>
    </w:p>
    <w:p w14:paraId="4F72113F" w14:textId="77777777" w:rsidR="00B4137F" w:rsidRPr="00DE096C" w:rsidRDefault="00B4137F" w:rsidP="00D45A46">
      <w:pPr>
        <w:jc w:val="both"/>
        <w:rPr>
          <w:bCs/>
          <w:i/>
          <w:color w:val="002060"/>
          <w:sz w:val="16"/>
          <w:szCs w:val="16"/>
        </w:rPr>
      </w:pPr>
    </w:p>
    <w:p w14:paraId="660C7CBE" w14:textId="77777777" w:rsidR="00B4137F" w:rsidRPr="00DE096C" w:rsidRDefault="00B4137F" w:rsidP="00D45A46">
      <w:pPr>
        <w:pStyle w:val="ae"/>
        <w:spacing w:before="0" w:beforeAutospacing="0" w:after="0" w:afterAutospacing="0"/>
        <w:jc w:val="both"/>
        <w:rPr>
          <w:bCs/>
          <w:color w:val="002060"/>
          <w:sz w:val="16"/>
          <w:szCs w:val="16"/>
        </w:rPr>
      </w:pPr>
      <w:r w:rsidRPr="00DE096C">
        <w:rPr>
          <w:bCs/>
          <w:color w:val="002060"/>
          <w:sz w:val="16"/>
          <w:szCs w:val="16"/>
        </w:rPr>
        <w:t>Осенью 1914 года радиопеленгаторная станция на острове Гогланд запеленговала сигналы, которые подавал немецкий крейсер «Магдебург», ведший эскадру миноносцев на минирование Финского залива и севший на камни у полуострова Ханко. Определив место аварии крейсера, радио-пеленгаторная станция навела на него корабли русского флота. Высадившимся на покинутый командой корабль русским морякам удалось найти шифровальные книги германского флота (15736).</w:t>
      </w:r>
    </w:p>
    <w:p w14:paraId="081A8395" w14:textId="77777777" w:rsidR="00B4137F" w:rsidRPr="00DE096C" w:rsidRDefault="00B4137F" w:rsidP="00D45A46">
      <w:pPr>
        <w:pStyle w:val="ae"/>
        <w:spacing w:before="0" w:beforeAutospacing="0" w:after="0" w:afterAutospacing="0"/>
        <w:jc w:val="both"/>
        <w:rPr>
          <w:bCs/>
          <w:color w:val="002060"/>
          <w:sz w:val="16"/>
          <w:szCs w:val="16"/>
        </w:rPr>
      </w:pPr>
    </w:p>
    <w:p w14:paraId="3F8CB3A9" w14:textId="77777777" w:rsidR="00B67D7C" w:rsidRPr="00DE096C" w:rsidRDefault="00B67D7C" w:rsidP="00D45A46">
      <w:pPr>
        <w:jc w:val="both"/>
        <w:rPr>
          <w:bCs/>
          <w:i/>
          <w:color w:val="002060"/>
          <w:sz w:val="16"/>
          <w:szCs w:val="16"/>
        </w:rPr>
      </w:pPr>
      <w:r w:rsidRPr="00DE096C">
        <w:rPr>
          <w:bCs/>
          <w:i/>
          <w:color w:val="002060"/>
          <w:sz w:val="16"/>
          <w:szCs w:val="16"/>
        </w:rPr>
        <w:t>Жизнь и внутреняя политика:</w:t>
      </w:r>
    </w:p>
    <w:p w14:paraId="13D53C2E" w14:textId="77777777" w:rsidR="00B67D7C" w:rsidRPr="00DE096C" w:rsidRDefault="00B67D7C" w:rsidP="00D45A46">
      <w:pPr>
        <w:jc w:val="both"/>
        <w:rPr>
          <w:bCs/>
          <w:i/>
          <w:color w:val="002060"/>
          <w:sz w:val="16"/>
          <w:szCs w:val="16"/>
        </w:rPr>
      </w:pPr>
    </w:p>
    <w:p w14:paraId="77485596" w14:textId="2B7B86A6" w:rsidR="00CA3780" w:rsidRPr="00DE096C" w:rsidRDefault="00CA3780" w:rsidP="00D45A46">
      <w:pPr>
        <w:jc w:val="both"/>
        <w:rPr>
          <w:bCs/>
          <w:color w:val="002060"/>
          <w:sz w:val="16"/>
          <w:szCs w:val="16"/>
        </w:rPr>
      </w:pPr>
      <w:r w:rsidRPr="00DE096C">
        <w:rPr>
          <w:bCs/>
          <w:color w:val="002060"/>
          <w:sz w:val="16"/>
          <w:szCs w:val="16"/>
        </w:rPr>
        <w:t>Осенью 1914 года выросли почти все налоги и почтово-телеграфные тарифы. В дополнение к существующим были установлены новые налоги: за право пользования телефоном, на перевозимые по железным дорогам грузы, налог со зрелищ, дополнительный акциз на чай и другие косвенные налоги.</w:t>
      </w:r>
    </w:p>
    <w:p w14:paraId="32F50162" w14:textId="77777777" w:rsidR="00CA3780" w:rsidRPr="00DE096C" w:rsidRDefault="00CA3780" w:rsidP="00D45A46">
      <w:pPr>
        <w:shd w:val="clear" w:color="auto" w:fill="FFFFFF"/>
        <w:jc w:val="both"/>
        <w:rPr>
          <w:bCs/>
          <w:color w:val="002060"/>
          <w:sz w:val="16"/>
          <w:szCs w:val="16"/>
        </w:rPr>
      </w:pPr>
    </w:p>
    <w:p w14:paraId="717F7E86"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С осени 1914 г. в ленинской антивоенной платформе появился лозунг о создании Соединенных Штатов Европы (СШЕ), образованию которых должно предшествовать революционное свержение монархии в России, Германии и Австро-Венгрии. </w:t>
      </w:r>
    </w:p>
    <w:p w14:paraId="4325C2AE"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Важным этапом консолидации левых сил социалистических партий воюющих стран вокруг РСДРП(б) стала международная социалистическая конференция (5—8 сентября 1915 г.) в Циммервальде (Швейцария) и создание на ней так называемой </w:t>
      </w:r>
      <w:r w:rsidRPr="00DE096C">
        <w:rPr>
          <w:bCs/>
          <w:color w:val="002060"/>
          <w:spacing w:val="0"/>
          <w:kern w:val="0"/>
          <w:position w:val="0"/>
          <w:sz w:val="16"/>
          <w:szCs w:val="16"/>
        </w:rPr>
        <w:t>Циммервальдской левой</w:t>
      </w:r>
      <w:r w:rsidRPr="00DE096C">
        <w:rPr>
          <w:bCs/>
          <w:i w:val="0"/>
          <w:color w:val="002060"/>
          <w:spacing w:val="0"/>
          <w:kern w:val="0"/>
          <w:position w:val="0"/>
          <w:sz w:val="16"/>
          <w:szCs w:val="16"/>
        </w:rPr>
        <w:t>, а также проведение второй социалистической конференции (апрель 1916 г.) в Кинтале (Швейцария). Конференция в Кинтале продолжила работу Циммервальдской левой по дальнейшему размежеванию с оппортунистами и центристами, сплочению левых интернационалистических элементов.</w:t>
      </w:r>
    </w:p>
    <w:p w14:paraId="1AAA6B8C"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Политика РСДРП(б), проводимая в тылу и на фронте, усугубила размежевание масс, породила сомнения в конечном успехе в войне. Главным настроением на фронте и в тылу становится стремление к миру — к окончанию чуждой народу, длительной и кровопролитной войны. Это стремление у солдат проявилось в различных формах. Широкий размах приобрели братание, а также дезертирство. Всюду в воинских частях, в офицерских собраниях в присутствии командиров, в штабах и т.д. — говорилось о негодности правительства. В тылу формой недовольства правительством стал рост забастовочного движения.</w:t>
      </w:r>
    </w:p>
    <w:p w14:paraId="16ECA7A3"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Свою лепту в раскол общества внес буржуазный лагерь, представленный несколькими партиями и группами. Деятельность буржуазных общественных организаций, подобных Центральному военно-промышленному комитету (ЦВПК) и Всероссийскому земскому и городскому союзам (Земгору), по консолидации власти в руках буржуазии привела к росту оппозиционных настроений в обществе. Раскол усугубило создание в августе 1915 г. буржуазно-помещичьей фракции в Государственной думе — Прогрессивного блока, разработавшего программу, основой которой стало допущение буржуазии к власти и осуществление таких задач, как предотвращение революции, доведение войны до победного конца при сохранении монархии. В качестве средства к достижению этих целей Прогрессивный блок требовал от царя создания «объединенного правительства» из лиц, пользующихся доверием страны, т.е. такого министерства, которому доверяла бы буржуазия. Осенью 1916 г. эти требования буржуазии конкретизировались в лозунге создания «ответственного министерства», которое было бы подконтрольно в своей деятельности Думе. Однако царь отверг эти требования, а затем поставил вопрос о роспуске самой Думы до конца войны (11270).</w:t>
      </w:r>
    </w:p>
    <w:p w14:paraId="0FE7E086" w14:textId="77777777" w:rsidR="00B67D7C" w:rsidRPr="00DE096C" w:rsidRDefault="00B67D7C" w:rsidP="00D45A46">
      <w:pPr>
        <w:jc w:val="both"/>
        <w:rPr>
          <w:bCs/>
          <w:color w:val="002060"/>
          <w:sz w:val="16"/>
          <w:szCs w:val="16"/>
        </w:rPr>
      </w:pPr>
    </w:p>
    <w:p w14:paraId="4D9D3305" w14:textId="77777777" w:rsidR="00B67D7C" w:rsidRPr="00DE096C" w:rsidRDefault="00B67D7C" w:rsidP="00D45A46">
      <w:pPr>
        <w:jc w:val="both"/>
        <w:rPr>
          <w:bCs/>
          <w:i/>
          <w:color w:val="002060"/>
          <w:sz w:val="16"/>
          <w:szCs w:val="16"/>
        </w:rPr>
      </w:pPr>
      <w:r w:rsidRPr="00DE096C">
        <w:rPr>
          <w:bCs/>
          <w:i/>
          <w:color w:val="002060"/>
          <w:sz w:val="16"/>
          <w:szCs w:val="16"/>
        </w:rPr>
        <w:t>Авиация и воздухоплавание Германии:</w:t>
      </w:r>
    </w:p>
    <w:p w14:paraId="22BB2574" w14:textId="77777777" w:rsidR="00B67D7C" w:rsidRPr="00DE096C" w:rsidRDefault="00B67D7C" w:rsidP="00D45A46">
      <w:pPr>
        <w:jc w:val="both"/>
        <w:rPr>
          <w:bCs/>
          <w:i/>
          <w:color w:val="002060"/>
          <w:sz w:val="16"/>
          <w:szCs w:val="16"/>
        </w:rPr>
      </w:pPr>
    </w:p>
    <w:p w14:paraId="0098966E" w14:textId="7A5335DF" w:rsidR="00537264" w:rsidRPr="00DE096C" w:rsidRDefault="00537264" w:rsidP="00D45A46">
      <w:pPr>
        <w:pStyle w:val="21"/>
        <w:shd w:val="clear" w:color="auto" w:fill="auto"/>
        <w:spacing w:after="0" w:line="240" w:lineRule="auto"/>
        <w:ind w:firstLine="0"/>
        <w:jc w:val="both"/>
        <w:rPr>
          <w:rFonts w:ascii="Times New Roman" w:hAnsi="Times New Roman" w:cs="Times New Roman"/>
          <w:bCs/>
          <w:color w:val="002060"/>
          <w:spacing w:val="0"/>
          <w:sz w:val="16"/>
          <w:szCs w:val="16"/>
        </w:rPr>
      </w:pPr>
      <w:r w:rsidRPr="00DE096C">
        <w:rPr>
          <w:rFonts w:ascii="Times New Roman" w:hAnsi="Times New Roman" w:cs="Times New Roman"/>
          <w:bCs/>
          <w:color w:val="002060"/>
          <w:spacing w:val="0"/>
          <w:sz w:val="16"/>
          <w:szCs w:val="16"/>
        </w:rPr>
        <w:t>Осенью 1914 г.</w:t>
      </w:r>
      <w:r w:rsidR="00325BE1" w:rsidRPr="00DE096C">
        <w:rPr>
          <w:rFonts w:ascii="Times New Roman" w:hAnsi="Times New Roman" w:cs="Times New Roman"/>
          <w:bCs/>
          <w:color w:val="002060"/>
          <w:spacing w:val="0"/>
          <w:sz w:val="16"/>
          <w:szCs w:val="16"/>
        </w:rPr>
        <w:t xml:space="preserve"> </w:t>
      </w:r>
      <w:r w:rsidRPr="00DE096C">
        <w:rPr>
          <w:rFonts w:ascii="Times New Roman" w:hAnsi="Times New Roman" w:cs="Times New Roman"/>
          <w:bCs/>
          <w:color w:val="002060"/>
          <w:spacing w:val="0"/>
          <w:sz w:val="16"/>
          <w:szCs w:val="16"/>
        </w:rPr>
        <w:t>швед Виллехэд Форссмэн</w:t>
      </w:r>
      <w:r w:rsidRPr="00DE096C">
        <w:rPr>
          <w:rFonts w:ascii="Times New Roman" w:hAnsi="Times New Roman" w:cs="Times New Roman"/>
          <w:bCs/>
          <w:color w:val="002060"/>
          <w:spacing w:val="0"/>
          <w:sz w:val="16"/>
          <w:szCs w:val="16"/>
          <w:vertAlign w:val="superscript"/>
        </w:rPr>
        <w:t xml:space="preserve">7 </w:t>
      </w:r>
      <w:r w:rsidRPr="00DE096C">
        <w:rPr>
          <w:rFonts w:ascii="Times New Roman" w:hAnsi="Times New Roman" w:cs="Times New Roman"/>
          <w:bCs/>
          <w:color w:val="002060"/>
          <w:spacing w:val="0"/>
          <w:sz w:val="16"/>
          <w:szCs w:val="16"/>
        </w:rPr>
        <w:t>(</w:t>
      </w:r>
      <w:r w:rsidRPr="00DE096C">
        <w:rPr>
          <w:rFonts w:ascii="Times New Roman" w:hAnsi="Times New Roman" w:cs="Times New Roman"/>
          <w:bCs/>
          <w:color w:val="002060"/>
          <w:spacing w:val="0"/>
          <w:sz w:val="16"/>
          <w:szCs w:val="16"/>
          <w:lang w:val="en-US"/>
        </w:rPr>
        <w:t>VillehadForssman</w:t>
      </w:r>
      <w:r w:rsidRPr="00DE096C">
        <w:rPr>
          <w:rFonts w:ascii="Times New Roman" w:hAnsi="Times New Roman" w:cs="Times New Roman"/>
          <w:bCs/>
          <w:color w:val="002060"/>
          <w:spacing w:val="0"/>
          <w:sz w:val="16"/>
          <w:szCs w:val="16"/>
        </w:rPr>
        <w:t xml:space="preserve">). который в 1913 г. жил в Петербурге и наблюдал полёты «Гранда», </w:t>
      </w:r>
      <w:r w:rsidRPr="00DE096C">
        <w:rPr>
          <w:rStyle w:val="LucidaSansUnicode8pt0pt"/>
          <w:rFonts w:ascii="Times New Roman" w:hAnsi="Times New Roman" w:cs="Times New Roman"/>
          <w:b w:val="0"/>
          <w:color w:val="002060"/>
          <w:spacing w:val="0"/>
        </w:rPr>
        <w:t>предложил</w:t>
      </w:r>
      <w:r w:rsidRPr="00DE096C">
        <w:rPr>
          <w:rFonts w:ascii="Times New Roman" w:hAnsi="Times New Roman" w:cs="Times New Roman"/>
          <w:bCs/>
          <w:color w:val="002060"/>
          <w:spacing w:val="0"/>
          <w:sz w:val="16"/>
          <w:szCs w:val="16"/>
        </w:rPr>
        <w:t xml:space="preserve"> компании Сименс-Шукерт построить копию бомбардировщика «Илья</w:t>
      </w:r>
      <w:r w:rsidRPr="00DE096C">
        <w:rPr>
          <w:rStyle w:val="LucidaSansUnicode8pt0pt"/>
          <w:rFonts w:ascii="Times New Roman" w:hAnsi="Times New Roman" w:cs="Times New Roman"/>
          <w:b w:val="0"/>
          <w:color w:val="002060"/>
          <w:spacing w:val="0"/>
        </w:rPr>
        <w:t xml:space="preserve"> Муромец.</w:t>
      </w:r>
      <w:r w:rsidRPr="00DE096C">
        <w:rPr>
          <w:rFonts w:ascii="Times New Roman" w:hAnsi="Times New Roman" w:cs="Times New Roman"/>
          <w:bCs/>
          <w:color w:val="002060"/>
          <w:spacing w:val="0"/>
          <w:sz w:val="16"/>
          <w:szCs w:val="16"/>
        </w:rPr>
        <w:t xml:space="preserve"> К</w:t>
      </w:r>
      <w:r w:rsidRPr="00DE096C">
        <w:rPr>
          <w:rStyle w:val="LucidaSansUnicode8pt0pt"/>
          <w:rFonts w:ascii="Times New Roman" w:hAnsi="Times New Roman" w:cs="Times New Roman"/>
          <w:b w:val="0"/>
          <w:color w:val="002060"/>
          <w:spacing w:val="0"/>
        </w:rPr>
        <w:t xml:space="preserve"> весне</w:t>
      </w:r>
      <w:r w:rsidRPr="00DE096C">
        <w:rPr>
          <w:rFonts w:ascii="Times New Roman" w:hAnsi="Times New Roman" w:cs="Times New Roman"/>
          <w:bCs/>
          <w:color w:val="002060"/>
          <w:spacing w:val="0"/>
          <w:sz w:val="16"/>
          <w:szCs w:val="16"/>
        </w:rPr>
        <w:t xml:space="preserve"> 1915 г. самолёт построили, но хвост получился заметно тяжелее,</w:t>
      </w:r>
      <w:r w:rsidRPr="00DE096C">
        <w:rPr>
          <w:rStyle w:val="LucidaSansUnicode8pt0pt"/>
          <w:rFonts w:ascii="Times New Roman" w:hAnsi="Times New Roman" w:cs="Times New Roman"/>
          <w:b w:val="0"/>
          <w:color w:val="002060"/>
          <w:spacing w:val="0"/>
        </w:rPr>
        <w:t xml:space="preserve"> чем у прототипа.</w:t>
      </w:r>
      <w:r w:rsidRPr="00DE096C">
        <w:rPr>
          <w:rFonts w:ascii="Times New Roman" w:hAnsi="Times New Roman" w:cs="Times New Roman"/>
          <w:bCs/>
          <w:color w:val="002060"/>
          <w:spacing w:val="0"/>
          <w:sz w:val="16"/>
          <w:szCs w:val="16"/>
        </w:rPr>
        <w:t xml:space="preserve"> Поэтому самолёт </w:t>
      </w:r>
      <w:r w:rsidRPr="00DE096C">
        <w:rPr>
          <w:rFonts w:ascii="Times New Roman" w:hAnsi="Times New Roman" w:cs="Times New Roman"/>
          <w:bCs/>
          <w:color w:val="002060"/>
          <w:spacing w:val="0"/>
          <w:sz w:val="16"/>
          <w:szCs w:val="16"/>
        </w:rPr>
        <w:lastRenderedPageBreak/>
        <w:t>оказался неустойчивым, с большим трудом удавались только</w:t>
      </w:r>
      <w:r w:rsidRPr="00DE096C">
        <w:rPr>
          <w:rStyle w:val="LucidaSansUnicode8pt0pt"/>
          <w:rFonts w:ascii="Times New Roman" w:hAnsi="Times New Roman" w:cs="Times New Roman"/>
          <w:b w:val="0"/>
          <w:color w:val="002060"/>
          <w:spacing w:val="0"/>
        </w:rPr>
        <w:t xml:space="preserve"> короткие</w:t>
      </w:r>
      <w:r w:rsidRPr="00DE096C">
        <w:rPr>
          <w:rFonts w:ascii="Times New Roman" w:hAnsi="Times New Roman" w:cs="Times New Roman"/>
          <w:bCs/>
          <w:color w:val="002060"/>
          <w:spacing w:val="0"/>
          <w:sz w:val="16"/>
          <w:szCs w:val="16"/>
        </w:rPr>
        <w:t xml:space="preserve"> подлёты, </w:t>
      </w:r>
      <w:r w:rsidRPr="00DE096C">
        <w:rPr>
          <w:rStyle w:val="LucidaSansUnicode8pt0pt"/>
          <w:rFonts w:ascii="Times New Roman" w:hAnsi="Times New Roman" w:cs="Times New Roman"/>
          <w:b w:val="0"/>
          <w:color w:val="002060"/>
          <w:spacing w:val="0"/>
        </w:rPr>
        <w:t>и в</w:t>
      </w:r>
      <w:r w:rsidRPr="00DE096C">
        <w:rPr>
          <w:rFonts w:ascii="Times New Roman" w:hAnsi="Times New Roman" w:cs="Times New Roman"/>
          <w:bCs/>
          <w:color w:val="002060"/>
          <w:spacing w:val="0"/>
          <w:sz w:val="16"/>
          <w:szCs w:val="16"/>
        </w:rPr>
        <w:t xml:space="preserve"> октябре 1915 г. проект прекратили: после очередного облегчения</w:t>
      </w:r>
      <w:r w:rsidRPr="00DE096C">
        <w:rPr>
          <w:rStyle w:val="LucidaSansUnicode8pt0pt"/>
          <w:rFonts w:ascii="Times New Roman" w:hAnsi="Times New Roman" w:cs="Times New Roman"/>
          <w:b w:val="0"/>
          <w:color w:val="002060"/>
          <w:spacing w:val="0"/>
        </w:rPr>
        <w:t xml:space="preserve"> конструкции</w:t>
      </w:r>
      <w:r w:rsidRPr="00DE096C">
        <w:rPr>
          <w:rFonts w:ascii="Times New Roman" w:hAnsi="Times New Roman" w:cs="Times New Roman"/>
          <w:bCs/>
          <w:color w:val="002060"/>
          <w:spacing w:val="0"/>
          <w:sz w:val="16"/>
          <w:szCs w:val="16"/>
        </w:rPr>
        <w:t xml:space="preserve"> фюзе</w:t>
      </w:r>
      <w:r w:rsidRPr="00DE096C">
        <w:rPr>
          <w:rFonts w:ascii="Times New Roman" w:hAnsi="Times New Roman" w:cs="Times New Roman"/>
          <w:bCs/>
          <w:color w:val="002060"/>
          <w:spacing w:val="0"/>
          <w:sz w:val="16"/>
          <w:szCs w:val="16"/>
        </w:rPr>
        <w:softHyphen/>
      </w:r>
      <w:r w:rsidRPr="00DE096C">
        <w:rPr>
          <w:rStyle w:val="LucidaSansUnicode8pt0pt"/>
          <w:rFonts w:ascii="Times New Roman" w:hAnsi="Times New Roman" w:cs="Times New Roman"/>
          <w:b w:val="0"/>
          <w:color w:val="002060"/>
          <w:spacing w:val="0"/>
        </w:rPr>
        <w:t>ляж</w:t>
      </w:r>
      <w:r w:rsidRPr="00DE096C">
        <w:rPr>
          <w:rFonts w:ascii="Times New Roman" w:hAnsi="Times New Roman" w:cs="Times New Roman"/>
          <w:bCs/>
          <w:color w:val="002060"/>
          <w:spacing w:val="0"/>
          <w:sz w:val="16"/>
          <w:szCs w:val="16"/>
        </w:rPr>
        <w:t xml:space="preserve"> на земле, во время испытаний двигателей, раскололся пополам (15832).</w:t>
      </w:r>
    </w:p>
    <w:p w14:paraId="78CFB1C8" w14:textId="77777777" w:rsidR="00537264" w:rsidRPr="00DE096C" w:rsidRDefault="00537264" w:rsidP="00D45A46">
      <w:pPr>
        <w:pStyle w:val="21"/>
        <w:shd w:val="clear" w:color="auto" w:fill="auto"/>
        <w:spacing w:after="0" w:line="240" w:lineRule="auto"/>
        <w:ind w:firstLine="0"/>
        <w:jc w:val="both"/>
        <w:rPr>
          <w:rFonts w:ascii="Times New Roman" w:hAnsi="Times New Roman" w:cs="Times New Roman"/>
          <w:bCs/>
          <w:color w:val="002060"/>
          <w:spacing w:val="0"/>
          <w:sz w:val="16"/>
          <w:szCs w:val="16"/>
        </w:rPr>
      </w:pPr>
    </w:p>
    <w:p w14:paraId="52E42BDC" w14:textId="49DC762D" w:rsidR="00B67D7C" w:rsidRPr="00DE096C" w:rsidRDefault="00325BE1" w:rsidP="00D45A46">
      <w:pPr>
        <w:jc w:val="both"/>
        <w:rPr>
          <w:bCs/>
          <w:color w:val="002060"/>
          <w:sz w:val="16"/>
          <w:szCs w:val="16"/>
        </w:rPr>
      </w:pPr>
      <w:r w:rsidRPr="00DE096C">
        <w:rPr>
          <w:bCs/>
          <w:color w:val="002060"/>
          <w:sz w:val="16"/>
          <w:szCs w:val="16"/>
        </w:rPr>
        <w:t>О</w:t>
      </w:r>
      <w:r w:rsidR="00B67D7C" w:rsidRPr="00DE096C">
        <w:rPr>
          <w:bCs/>
          <w:color w:val="002060"/>
          <w:sz w:val="16"/>
          <w:szCs w:val="16"/>
        </w:rPr>
        <w:t xml:space="preserve">сенью 1914 года английские летчики разбомбили находившийся в эллинге близ Дюссельдорфа </w:t>
      </w:r>
      <w:r w:rsidR="00B67D7C" w:rsidRPr="00DE096C">
        <w:rPr>
          <w:rFonts w:eastAsia="Times-Roman"/>
          <w:bCs/>
          <w:color w:val="002060"/>
          <w:sz w:val="16"/>
          <w:szCs w:val="16"/>
        </w:rPr>
        <w:t>L</w:t>
      </w:r>
      <w:r w:rsidR="00B67D7C" w:rsidRPr="00DE096C">
        <w:rPr>
          <w:bCs/>
          <w:color w:val="002060"/>
          <w:sz w:val="16"/>
          <w:szCs w:val="16"/>
        </w:rPr>
        <w:t>Z-2 произвели налет на Фридрихсгафен и ряд других военных целей, значительно удаленных от театра военных действий. Но англичане все же щадили при этом мирное население (11282).</w:t>
      </w:r>
    </w:p>
    <w:p w14:paraId="16737303" w14:textId="77777777" w:rsidR="00B67D7C" w:rsidRPr="00DE096C" w:rsidRDefault="00B67D7C" w:rsidP="00D45A46">
      <w:pPr>
        <w:jc w:val="both"/>
        <w:rPr>
          <w:bCs/>
          <w:color w:val="002060"/>
          <w:sz w:val="16"/>
          <w:szCs w:val="16"/>
        </w:rPr>
      </w:pPr>
    </w:p>
    <w:p w14:paraId="6E312D7D" w14:textId="77777777" w:rsidR="00B67D7C" w:rsidRPr="00DE096C" w:rsidRDefault="00B67D7C" w:rsidP="00D45A46">
      <w:pPr>
        <w:jc w:val="both"/>
        <w:rPr>
          <w:bCs/>
          <w:i/>
          <w:color w:val="002060"/>
          <w:sz w:val="16"/>
          <w:szCs w:val="16"/>
        </w:rPr>
      </w:pPr>
      <w:r w:rsidRPr="00DE096C">
        <w:rPr>
          <w:bCs/>
          <w:i/>
          <w:color w:val="002060"/>
          <w:sz w:val="16"/>
          <w:szCs w:val="16"/>
        </w:rPr>
        <w:t>Авиация и воздухоплавание Англии:</w:t>
      </w:r>
    </w:p>
    <w:p w14:paraId="6FAB0FF7" w14:textId="77777777" w:rsidR="00B67D7C" w:rsidRPr="00DE096C" w:rsidRDefault="00B67D7C" w:rsidP="00D45A46">
      <w:pPr>
        <w:jc w:val="both"/>
        <w:rPr>
          <w:bCs/>
          <w:i/>
          <w:color w:val="002060"/>
          <w:sz w:val="16"/>
          <w:szCs w:val="16"/>
        </w:rPr>
      </w:pPr>
    </w:p>
    <w:p w14:paraId="109064CE" w14:textId="6A0780C3" w:rsidR="00B67D7C" w:rsidRPr="00DE096C" w:rsidRDefault="001C7B60" w:rsidP="00D45A46">
      <w:pPr>
        <w:jc w:val="both"/>
        <w:rPr>
          <w:bCs/>
          <w:color w:val="002060"/>
          <w:sz w:val="16"/>
          <w:szCs w:val="16"/>
        </w:rPr>
      </w:pPr>
      <w:r w:rsidRPr="00DE096C">
        <w:rPr>
          <w:bCs/>
          <w:color w:val="002060"/>
          <w:sz w:val="16"/>
          <w:szCs w:val="16"/>
        </w:rPr>
        <w:t>О</w:t>
      </w:r>
      <w:r w:rsidR="00B67D7C" w:rsidRPr="00DE096C">
        <w:rPr>
          <w:bCs/>
          <w:color w:val="002060"/>
          <w:sz w:val="16"/>
          <w:szCs w:val="16"/>
        </w:rPr>
        <w:t>се</w:t>
      </w:r>
      <w:r w:rsidR="00B67D7C" w:rsidRPr="00DE096C">
        <w:rPr>
          <w:bCs/>
          <w:color w:val="002060"/>
          <w:sz w:val="16"/>
          <w:szCs w:val="16"/>
        </w:rPr>
        <w:softHyphen/>
        <w:t xml:space="preserve">нью 1914 г. на заводе </w:t>
      </w:r>
      <w:r w:rsidR="00B67D7C" w:rsidRPr="00DE096C">
        <w:rPr>
          <w:bCs/>
          <w:color w:val="002060"/>
          <w:sz w:val="16"/>
          <w:szCs w:val="16"/>
          <w:lang w:val="en-US"/>
        </w:rPr>
        <w:t>JohnSamuelWhite</w:t>
      </w:r>
      <w:r w:rsidR="00B67D7C" w:rsidRPr="00DE096C">
        <w:rPr>
          <w:bCs/>
          <w:color w:val="002060"/>
          <w:sz w:val="16"/>
          <w:szCs w:val="16"/>
        </w:rPr>
        <w:t xml:space="preserve">&amp; Со </w:t>
      </w:r>
      <w:r w:rsidR="00B67D7C" w:rsidRPr="00DE096C">
        <w:rPr>
          <w:bCs/>
          <w:color w:val="002060"/>
          <w:sz w:val="16"/>
          <w:szCs w:val="16"/>
          <w:lang w:val="en-US"/>
        </w:rPr>
        <w:t>Ltd</w:t>
      </w:r>
      <w:r w:rsidR="00B67D7C" w:rsidRPr="00DE096C">
        <w:rPr>
          <w:bCs/>
          <w:color w:val="002060"/>
          <w:sz w:val="16"/>
          <w:szCs w:val="16"/>
        </w:rPr>
        <w:t>. (</w:t>
      </w:r>
      <w:r w:rsidR="00B67D7C" w:rsidRPr="00DE096C">
        <w:rPr>
          <w:bCs/>
          <w:color w:val="002060"/>
          <w:sz w:val="16"/>
          <w:szCs w:val="16"/>
          <w:lang w:val="en-US"/>
        </w:rPr>
        <w:t>WightAircraft</w:t>
      </w:r>
      <w:r w:rsidR="00B67D7C" w:rsidRPr="00DE096C">
        <w:rPr>
          <w:bCs/>
          <w:color w:val="002060"/>
          <w:sz w:val="16"/>
          <w:szCs w:val="16"/>
        </w:rPr>
        <w:t>)</w:t>
      </w:r>
      <w:r w:rsidRPr="00DE096C">
        <w:rPr>
          <w:bCs/>
          <w:color w:val="002060"/>
          <w:sz w:val="16"/>
          <w:szCs w:val="16"/>
        </w:rPr>
        <w:t xml:space="preserve"> началось строительство необыч</w:t>
      </w:r>
      <w:r w:rsidRPr="00DE096C">
        <w:rPr>
          <w:bCs/>
          <w:color w:val="002060"/>
          <w:sz w:val="16"/>
          <w:szCs w:val="16"/>
        </w:rPr>
        <w:softHyphen/>
        <w:t xml:space="preserve">ного гидросамолёта </w:t>
      </w:r>
      <w:r w:rsidRPr="00DE096C">
        <w:rPr>
          <w:bCs/>
          <w:color w:val="002060"/>
          <w:sz w:val="16"/>
          <w:szCs w:val="16"/>
          <w:lang w:val="en-US"/>
        </w:rPr>
        <w:t>AD</w:t>
      </w:r>
      <w:r w:rsidRPr="00DE096C">
        <w:rPr>
          <w:bCs/>
          <w:color w:val="002060"/>
          <w:sz w:val="16"/>
          <w:szCs w:val="16"/>
        </w:rPr>
        <w:t>.1000, ко</w:t>
      </w:r>
      <w:r w:rsidRPr="00DE096C">
        <w:rPr>
          <w:bCs/>
          <w:color w:val="002060"/>
          <w:sz w:val="16"/>
          <w:szCs w:val="16"/>
        </w:rPr>
        <w:softHyphen/>
        <w:t xml:space="preserve">торый в 1914 г. сконструировал Харис Бут. </w:t>
      </w:r>
      <w:r w:rsidR="00B67D7C" w:rsidRPr="00DE096C">
        <w:rPr>
          <w:bCs/>
          <w:color w:val="002060"/>
          <w:sz w:val="16"/>
          <w:szCs w:val="16"/>
        </w:rPr>
        <w:t>. Это был пятиместный четырёх- стоечный биплан с двойным фюзе</w:t>
      </w:r>
      <w:r w:rsidR="00B67D7C" w:rsidRPr="00DE096C">
        <w:rPr>
          <w:bCs/>
          <w:color w:val="002060"/>
          <w:sz w:val="16"/>
          <w:szCs w:val="16"/>
        </w:rPr>
        <w:softHyphen/>
        <w:t>ляжем, одним толкающим (в цент</w:t>
      </w:r>
      <w:r w:rsidR="00B67D7C" w:rsidRPr="00DE096C">
        <w:rPr>
          <w:bCs/>
          <w:color w:val="002060"/>
          <w:sz w:val="16"/>
          <w:szCs w:val="16"/>
        </w:rPr>
        <w:softHyphen/>
        <w:t>ральной гондоле) и двумя тянущи</w:t>
      </w:r>
      <w:r w:rsidR="00B67D7C" w:rsidRPr="00DE096C">
        <w:rPr>
          <w:bCs/>
          <w:color w:val="002060"/>
          <w:sz w:val="16"/>
          <w:szCs w:val="16"/>
        </w:rPr>
        <w:softHyphen/>
        <w:t xml:space="preserve">ми (в балках) двигателями </w:t>
      </w:r>
      <w:r w:rsidR="00B67D7C" w:rsidRPr="00DE096C">
        <w:rPr>
          <w:bCs/>
          <w:color w:val="002060"/>
          <w:sz w:val="16"/>
          <w:szCs w:val="16"/>
          <w:lang w:val="en-US"/>
        </w:rPr>
        <w:t>Sunbeam</w:t>
      </w:r>
      <w:r w:rsidR="00B67D7C" w:rsidRPr="00DE096C">
        <w:rPr>
          <w:bCs/>
          <w:color w:val="002060"/>
          <w:sz w:val="16"/>
          <w:szCs w:val="16"/>
        </w:rPr>
        <w:t xml:space="preserve"> мощностью по 310 л.с. с четырехлопастными винтами.</w:t>
      </w:r>
    </w:p>
    <w:p w14:paraId="0E77DFDF" w14:textId="77777777" w:rsidR="00B67D7C" w:rsidRPr="00DE096C" w:rsidRDefault="00B67D7C" w:rsidP="00D45A46">
      <w:pPr>
        <w:jc w:val="both"/>
        <w:rPr>
          <w:bCs/>
          <w:color w:val="002060"/>
          <w:sz w:val="16"/>
          <w:szCs w:val="16"/>
        </w:rPr>
      </w:pPr>
      <w:r w:rsidRPr="00DE096C">
        <w:rPr>
          <w:bCs/>
          <w:color w:val="002060"/>
          <w:sz w:val="16"/>
          <w:szCs w:val="16"/>
        </w:rPr>
        <w:t>Шасси состояло из двух основ</w:t>
      </w:r>
      <w:r w:rsidRPr="00DE096C">
        <w:rPr>
          <w:bCs/>
          <w:color w:val="002060"/>
          <w:sz w:val="16"/>
          <w:szCs w:val="16"/>
        </w:rPr>
        <w:softHyphen/>
        <w:t>ных и двух хвостовых поплавков. Два руля высоты и руль направления были снабжены большой роговой компенсацией. Элероны только на верхнем крыле. Экипаж размещал</w:t>
      </w:r>
      <w:r w:rsidRPr="00DE096C">
        <w:rPr>
          <w:bCs/>
          <w:color w:val="002060"/>
          <w:sz w:val="16"/>
          <w:szCs w:val="16"/>
        </w:rPr>
        <w:softHyphen/>
        <w:t>ся в трёх отдельных кабинах, у каж</w:t>
      </w:r>
      <w:r w:rsidRPr="00DE096C">
        <w:rPr>
          <w:bCs/>
          <w:color w:val="002060"/>
          <w:sz w:val="16"/>
          <w:szCs w:val="16"/>
        </w:rPr>
        <w:softHyphen/>
        <w:t>дого мотора был свой механик. Под центральной гондолой подвешивалась одна 356 мм торпеда массой 367 кг.</w:t>
      </w:r>
    </w:p>
    <w:p w14:paraId="27D427DC" w14:textId="77777777" w:rsidR="00B67D7C" w:rsidRPr="00DE096C" w:rsidRDefault="00B67D7C" w:rsidP="00D45A46">
      <w:pPr>
        <w:jc w:val="both"/>
        <w:rPr>
          <w:bCs/>
          <w:color w:val="002060"/>
          <w:sz w:val="16"/>
          <w:szCs w:val="16"/>
        </w:rPr>
      </w:pPr>
      <w:r w:rsidRPr="00DE096C">
        <w:rPr>
          <w:bCs/>
          <w:color w:val="002060"/>
          <w:sz w:val="16"/>
          <w:szCs w:val="16"/>
        </w:rPr>
        <w:t xml:space="preserve">Самолёт, получивший флотский номер </w:t>
      </w:r>
      <w:r w:rsidRPr="00DE096C">
        <w:rPr>
          <w:bCs/>
          <w:color w:val="002060"/>
          <w:sz w:val="16"/>
          <w:szCs w:val="16"/>
          <w:lang w:val="en-US"/>
        </w:rPr>
        <w:t>N</w:t>
      </w:r>
      <w:r w:rsidRPr="00DE096C">
        <w:rPr>
          <w:bCs/>
          <w:color w:val="002060"/>
          <w:sz w:val="16"/>
          <w:szCs w:val="16"/>
        </w:rPr>
        <w:t xml:space="preserve">.1358, был готов весной 1915 г., но вот двигателей </w:t>
      </w:r>
      <w:r w:rsidRPr="00DE096C">
        <w:rPr>
          <w:bCs/>
          <w:color w:val="002060"/>
          <w:sz w:val="16"/>
          <w:szCs w:val="16"/>
          <w:lang w:val="en-US"/>
        </w:rPr>
        <w:t>Sunbeam</w:t>
      </w:r>
      <w:r w:rsidRPr="00DE096C">
        <w:rPr>
          <w:bCs/>
          <w:color w:val="002060"/>
          <w:sz w:val="16"/>
          <w:szCs w:val="16"/>
        </w:rPr>
        <w:t xml:space="preserve"> ещё не было. Гидроплан простоял целый год, но так и не взлетел. Одной из причин была неуверен</w:t>
      </w:r>
      <w:r w:rsidRPr="00DE096C">
        <w:rPr>
          <w:bCs/>
          <w:color w:val="002060"/>
          <w:sz w:val="16"/>
          <w:szCs w:val="16"/>
        </w:rPr>
        <w:softHyphen/>
        <w:t>ность моряков в прочности поплав</w:t>
      </w:r>
      <w:r w:rsidRPr="00DE096C">
        <w:rPr>
          <w:bCs/>
          <w:color w:val="002060"/>
          <w:sz w:val="16"/>
          <w:szCs w:val="16"/>
        </w:rPr>
        <w:softHyphen/>
        <w:t>кового шасси для такой огромной машины, размах крыла которой был равен 35 м.</w:t>
      </w:r>
    </w:p>
    <w:p w14:paraId="1109DF18" w14:textId="77777777" w:rsidR="00B67D7C" w:rsidRPr="00DE096C" w:rsidRDefault="00B67D7C" w:rsidP="00D45A46">
      <w:pPr>
        <w:jc w:val="both"/>
        <w:rPr>
          <w:bCs/>
          <w:color w:val="002060"/>
          <w:sz w:val="16"/>
          <w:szCs w:val="16"/>
        </w:rPr>
      </w:pPr>
      <w:r w:rsidRPr="00DE096C">
        <w:rPr>
          <w:bCs/>
          <w:color w:val="002060"/>
          <w:sz w:val="16"/>
          <w:szCs w:val="16"/>
        </w:rPr>
        <w:t xml:space="preserve">Но хотя </w:t>
      </w:r>
      <w:r w:rsidRPr="00DE096C">
        <w:rPr>
          <w:bCs/>
          <w:color w:val="002060"/>
          <w:sz w:val="16"/>
          <w:szCs w:val="16"/>
          <w:lang w:val="en-US"/>
        </w:rPr>
        <w:t>Short</w:t>
      </w:r>
      <w:r w:rsidRPr="00DE096C">
        <w:rPr>
          <w:bCs/>
          <w:color w:val="002060"/>
          <w:sz w:val="16"/>
          <w:szCs w:val="16"/>
        </w:rPr>
        <w:t xml:space="preserve"> 184 - первый мор</w:t>
      </w:r>
      <w:r w:rsidRPr="00DE096C">
        <w:rPr>
          <w:bCs/>
          <w:color w:val="002060"/>
          <w:sz w:val="16"/>
          <w:szCs w:val="16"/>
        </w:rPr>
        <w:softHyphen/>
        <w:t>ской торпедоносец, применённый в бою (и добившийся победы), паль</w:t>
      </w:r>
      <w:r w:rsidRPr="00DE096C">
        <w:rPr>
          <w:bCs/>
          <w:color w:val="002060"/>
          <w:sz w:val="16"/>
          <w:szCs w:val="16"/>
        </w:rPr>
        <w:softHyphen/>
        <w:t>ма первенства в создании само</w:t>
      </w:r>
      <w:r w:rsidRPr="00DE096C">
        <w:rPr>
          <w:bCs/>
          <w:color w:val="002060"/>
          <w:sz w:val="16"/>
          <w:szCs w:val="16"/>
        </w:rPr>
        <w:softHyphen/>
        <w:t>лётов такого типа англичанам не принадлежит.</w:t>
      </w:r>
    </w:p>
    <w:p w14:paraId="42C049BA" w14:textId="77777777" w:rsidR="00B67D7C" w:rsidRPr="00DE096C" w:rsidRDefault="00B67D7C" w:rsidP="00D45A46">
      <w:pPr>
        <w:jc w:val="both"/>
        <w:rPr>
          <w:bCs/>
          <w:color w:val="002060"/>
          <w:sz w:val="16"/>
          <w:szCs w:val="16"/>
        </w:rPr>
      </w:pPr>
      <w:r w:rsidRPr="00DE096C">
        <w:rPr>
          <w:bCs/>
          <w:color w:val="002060"/>
          <w:sz w:val="16"/>
          <w:szCs w:val="16"/>
        </w:rPr>
        <w:t>Ещё в феврале 1914 г. 33-лет</w:t>
      </w:r>
      <w:r w:rsidRPr="00DE096C">
        <w:rPr>
          <w:bCs/>
          <w:color w:val="002060"/>
          <w:sz w:val="16"/>
          <w:szCs w:val="16"/>
        </w:rPr>
        <w:softHyphen/>
        <w:t>ний капитан итальянской армии Алессандро Гуидони подвесил под «Фарман» с 80-сильным двигателем «Гном» торпеду и успешно сбросил её. Правда, «Фарман» был сухопут</w:t>
      </w:r>
      <w:r w:rsidRPr="00DE096C">
        <w:rPr>
          <w:bCs/>
          <w:color w:val="002060"/>
          <w:sz w:val="16"/>
          <w:szCs w:val="16"/>
        </w:rPr>
        <w:softHyphen/>
        <w:t>ным, на колёсном шасси, и к воп</w:t>
      </w:r>
      <w:r w:rsidRPr="00DE096C">
        <w:rPr>
          <w:bCs/>
          <w:color w:val="002060"/>
          <w:sz w:val="16"/>
          <w:szCs w:val="16"/>
        </w:rPr>
        <w:softHyphen/>
        <w:t>росу о первенстве морских торпе</w:t>
      </w:r>
      <w:r w:rsidRPr="00DE096C">
        <w:rPr>
          <w:bCs/>
          <w:color w:val="002060"/>
          <w:sz w:val="16"/>
          <w:szCs w:val="16"/>
        </w:rPr>
        <w:softHyphen/>
        <w:t>доносцев отношения не имеет.</w:t>
      </w:r>
    </w:p>
    <w:p w14:paraId="65D92C46" w14:textId="77777777" w:rsidR="00B67D7C" w:rsidRPr="00DE096C" w:rsidRDefault="00B67D7C" w:rsidP="00D45A46">
      <w:pPr>
        <w:jc w:val="both"/>
        <w:rPr>
          <w:bCs/>
          <w:color w:val="002060"/>
          <w:sz w:val="16"/>
          <w:szCs w:val="16"/>
        </w:rPr>
      </w:pPr>
      <w:r w:rsidRPr="00DE096C">
        <w:rPr>
          <w:bCs/>
          <w:color w:val="002060"/>
          <w:sz w:val="16"/>
          <w:szCs w:val="16"/>
        </w:rPr>
        <w:t>Но в том же 1914 г. Гуидони со</w:t>
      </w:r>
      <w:r w:rsidRPr="00DE096C">
        <w:rPr>
          <w:bCs/>
          <w:color w:val="002060"/>
          <w:sz w:val="16"/>
          <w:szCs w:val="16"/>
        </w:rPr>
        <w:softHyphen/>
        <w:t>здал гидросамолёт специальной конструкции.</w:t>
      </w:r>
    </w:p>
    <w:p w14:paraId="5784731D" w14:textId="77777777" w:rsidR="00B67D7C" w:rsidRPr="00DE096C" w:rsidRDefault="00B67D7C" w:rsidP="00D45A46">
      <w:pPr>
        <w:jc w:val="both"/>
        <w:rPr>
          <w:bCs/>
          <w:color w:val="002060"/>
          <w:sz w:val="16"/>
          <w:szCs w:val="16"/>
        </w:rPr>
      </w:pPr>
      <w:r w:rsidRPr="00DE096C">
        <w:rPr>
          <w:bCs/>
          <w:color w:val="002060"/>
          <w:sz w:val="16"/>
          <w:szCs w:val="16"/>
        </w:rPr>
        <w:t>Это был расчалочный моноплан на двух больших поплавках. Для облегчения взлёта под поплавками были установлены подводные кры</w:t>
      </w:r>
      <w:r w:rsidRPr="00DE096C">
        <w:rPr>
          <w:bCs/>
          <w:color w:val="002060"/>
          <w:sz w:val="16"/>
          <w:szCs w:val="16"/>
        </w:rPr>
        <w:softHyphen/>
        <w:t>лья.</w:t>
      </w:r>
    </w:p>
    <w:p w14:paraId="0F40F8C7" w14:textId="77777777" w:rsidR="00B67D7C" w:rsidRPr="00DE096C" w:rsidRDefault="00B67D7C" w:rsidP="00D45A46">
      <w:pPr>
        <w:jc w:val="both"/>
        <w:rPr>
          <w:bCs/>
          <w:color w:val="002060"/>
          <w:sz w:val="16"/>
          <w:szCs w:val="16"/>
        </w:rPr>
      </w:pPr>
      <w:r w:rsidRPr="00DE096C">
        <w:rPr>
          <w:bCs/>
          <w:color w:val="002060"/>
          <w:sz w:val="16"/>
          <w:szCs w:val="16"/>
        </w:rPr>
        <w:t xml:space="preserve">Экипаж - всего один человек. Два мотора </w:t>
      </w:r>
      <w:r w:rsidRPr="00DE096C">
        <w:rPr>
          <w:bCs/>
          <w:color w:val="002060"/>
          <w:sz w:val="16"/>
          <w:szCs w:val="16"/>
          <w:lang w:val="en-US"/>
        </w:rPr>
        <w:t>Gnome</w:t>
      </w:r>
      <w:r w:rsidRPr="00DE096C">
        <w:rPr>
          <w:bCs/>
          <w:color w:val="002060"/>
          <w:sz w:val="16"/>
          <w:szCs w:val="16"/>
        </w:rPr>
        <w:t xml:space="preserve"> по 160 л.с. были установлены в фюзеляже носками друг к другу и вращали винты, «про</w:t>
      </w:r>
      <w:r w:rsidRPr="00DE096C">
        <w:rPr>
          <w:bCs/>
          <w:color w:val="002060"/>
          <w:sz w:val="16"/>
          <w:szCs w:val="16"/>
        </w:rPr>
        <w:softHyphen/>
        <w:t>резающие» фюзеляж. Хвостовая часть держалась только на трубе, проходящей через валы винтов, и на расчалках.</w:t>
      </w:r>
    </w:p>
    <w:p w14:paraId="4A94AA95" w14:textId="77777777" w:rsidR="00B67D7C" w:rsidRPr="00DE096C" w:rsidRDefault="00B67D7C" w:rsidP="00D45A46">
      <w:pPr>
        <w:jc w:val="both"/>
        <w:rPr>
          <w:bCs/>
          <w:color w:val="002060"/>
          <w:sz w:val="16"/>
          <w:szCs w:val="16"/>
        </w:rPr>
      </w:pPr>
      <w:r w:rsidRPr="00DE096C">
        <w:rPr>
          <w:bCs/>
          <w:color w:val="002060"/>
          <w:sz w:val="16"/>
          <w:szCs w:val="16"/>
        </w:rPr>
        <w:t>Подобная конструкция была поз</w:t>
      </w:r>
      <w:r w:rsidRPr="00DE096C">
        <w:rPr>
          <w:bCs/>
          <w:color w:val="002060"/>
          <w:sz w:val="16"/>
          <w:szCs w:val="16"/>
        </w:rPr>
        <w:softHyphen/>
        <w:t>же применена в американских са</w:t>
      </w:r>
      <w:r w:rsidRPr="00DE096C">
        <w:rPr>
          <w:bCs/>
          <w:color w:val="002060"/>
          <w:sz w:val="16"/>
          <w:szCs w:val="16"/>
        </w:rPr>
        <w:softHyphen/>
        <w:t xml:space="preserve">молётах </w:t>
      </w:r>
      <w:r w:rsidRPr="00DE096C">
        <w:rPr>
          <w:bCs/>
          <w:color w:val="002060"/>
          <w:sz w:val="16"/>
          <w:szCs w:val="16"/>
          <w:lang w:val="en-US"/>
        </w:rPr>
        <w:t>GallaudetD</w:t>
      </w:r>
      <w:r w:rsidRPr="00DE096C">
        <w:rPr>
          <w:bCs/>
          <w:color w:val="002060"/>
          <w:sz w:val="16"/>
          <w:szCs w:val="16"/>
        </w:rPr>
        <w:t xml:space="preserve">-2 и </w:t>
      </w:r>
      <w:r w:rsidRPr="00DE096C">
        <w:rPr>
          <w:bCs/>
          <w:color w:val="002060"/>
          <w:sz w:val="16"/>
          <w:szCs w:val="16"/>
          <w:lang w:val="en-US"/>
        </w:rPr>
        <w:t>D</w:t>
      </w:r>
      <w:r w:rsidRPr="00DE096C">
        <w:rPr>
          <w:bCs/>
          <w:color w:val="002060"/>
          <w:sz w:val="16"/>
          <w:szCs w:val="16"/>
        </w:rPr>
        <w:t>-4</w:t>
      </w:r>
    </w:p>
    <w:p w14:paraId="4460EA20" w14:textId="77777777" w:rsidR="00B67D7C" w:rsidRPr="00DE096C" w:rsidRDefault="00B67D7C" w:rsidP="00D45A46">
      <w:pPr>
        <w:jc w:val="both"/>
        <w:rPr>
          <w:bCs/>
          <w:color w:val="002060"/>
          <w:sz w:val="16"/>
          <w:szCs w:val="16"/>
        </w:rPr>
      </w:pPr>
      <w:r w:rsidRPr="00DE096C">
        <w:rPr>
          <w:bCs/>
          <w:color w:val="002060"/>
          <w:sz w:val="16"/>
          <w:szCs w:val="16"/>
        </w:rPr>
        <w:t>Итальянский самолёт был успеш</w:t>
      </w:r>
      <w:r w:rsidRPr="00DE096C">
        <w:rPr>
          <w:bCs/>
          <w:color w:val="002060"/>
          <w:sz w:val="16"/>
          <w:szCs w:val="16"/>
        </w:rPr>
        <w:softHyphen/>
        <w:t>но испытан, но на вооружение его не приняли. Он не получил и специ</w:t>
      </w:r>
      <w:r w:rsidRPr="00DE096C">
        <w:rPr>
          <w:bCs/>
          <w:color w:val="002060"/>
          <w:sz w:val="16"/>
          <w:szCs w:val="16"/>
        </w:rPr>
        <w:softHyphen/>
        <w:t>ального обозначения, так и остав</w:t>
      </w:r>
      <w:r w:rsidRPr="00DE096C">
        <w:rPr>
          <w:bCs/>
          <w:color w:val="002060"/>
          <w:sz w:val="16"/>
          <w:szCs w:val="16"/>
        </w:rPr>
        <w:softHyphen/>
        <w:t xml:space="preserve">шись в истории авиации как </w:t>
      </w:r>
      <w:r w:rsidRPr="00DE096C">
        <w:rPr>
          <w:bCs/>
          <w:color w:val="002060"/>
          <w:sz w:val="16"/>
          <w:szCs w:val="16"/>
          <w:lang w:val="en-US"/>
        </w:rPr>
        <w:t>Guidoniidrosilurante</w:t>
      </w:r>
      <w:r w:rsidRPr="00DE096C">
        <w:rPr>
          <w:bCs/>
          <w:color w:val="002060"/>
          <w:sz w:val="16"/>
          <w:szCs w:val="16"/>
        </w:rPr>
        <w:t xml:space="preserve"> (гидросамолёт-торпе</w:t>
      </w:r>
      <w:r w:rsidRPr="00DE096C">
        <w:rPr>
          <w:bCs/>
          <w:color w:val="002060"/>
          <w:sz w:val="16"/>
          <w:szCs w:val="16"/>
        </w:rPr>
        <w:softHyphen/>
        <w:t>доносец Гуидони).</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069"/>
        <w:gridCol w:w="1176"/>
        <w:gridCol w:w="1133"/>
        <w:gridCol w:w="1090"/>
        <w:gridCol w:w="1267"/>
      </w:tblGrid>
      <w:tr w:rsidR="00B67D7C" w:rsidRPr="00DE096C" w14:paraId="67C96B6A" w14:textId="77777777" w:rsidTr="00C2024A">
        <w:trPr>
          <w:trHeight w:val="494"/>
        </w:trPr>
        <w:tc>
          <w:tcPr>
            <w:tcW w:w="2069" w:type="dxa"/>
            <w:shd w:val="clear" w:color="auto" w:fill="FFFFFF"/>
          </w:tcPr>
          <w:p w14:paraId="550298DA" w14:textId="77777777" w:rsidR="00B67D7C" w:rsidRPr="00DE096C" w:rsidRDefault="00B67D7C" w:rsidP="00D45A46">
            <w:pPr>
              <w:jc w:val="both"/>
              <w:rPr>
                <w:bCs/>
                <w:color w:val="002060"/>
                <w:sz w:val="16"/>
                <w:szCs w:val="16"/>
              </w:rPr>
            </w:pPr>
            <w:r w:rsidRPr="00DE096C">
              <w:rPr>
                <w:bCs/>
                <w:color w:val="002060"/>
                <w:sz w:val="16"/>
                <w:szCs w:val="16"/>
              </w:rPr>
              <w:t>Модель</w:t>
            </w:r>
          </w:p>
        </w:tc>
        <w:tc>
          <w:tcPr>
            <w:tcW w:w="1176" w:type="dxa"/>
            <w:shd w:val="clear" w:color="auto" w:fill="FFFFFF"/>
          </w:tcPr>
          <w:p w14:paraId="5FAECB1F" w14:textId="77777777" w:rsidR="00B67D7C" w:rsidRPr="00DE096C" w:rsidRDefault="00B67D7C" w:rsidP="00D45A46">
            <w:pPr>
              <w:jc w:val="both"/>
              <w:rPr>
                <w:bCs/>
                <w:color w:val="002060"/>
                <w:sz w:val="16"/>
                <w:szCs w:val="16"/>
              </w:rPr>
            </w:pPr>
            <w:r w:rsidRPr="00DE096C">
              <w:rPr>
                <w:bCs/>
                <w:color w:val="002060"/>
                <w:sz w:val="16"/>
                <w:szCs w:val="16"/>
                <w:lang w:val="en-US"/>
              </w:rPr>
              <w:t>Guidoni Seaplane</w:t>
            </w:r>
          </w:p>
        </w:tc>
        <w:tc>
          <w:tcPr>
            <w:tcW w:w="1133" w:type="dxa"/>
            <w:shd w:val="clear" w:color="auto" w:fill="FFFFFF"/>
          </w:tcPr>
          <w:p w14:paraId="4FB33BA1" w14:textId="77777777" w:rsidR="00B67D7C" w:rsidRPr="00DE096C" w:rsidRDefault="00B67D7C" w:rsidP="00D45A46">
            <w:pPr>
              <w:jc w:val="both"/>
              <w:rPr>
                <w:bCs/>
                <w:color w:val="002060"/>
                <w:sz w:val="16"/>
                <w:szCs w:val="16"/>
              </w:rPr>
            </w:pPr>
            <w:r w:rsidRPr="00DE096C">
              <w:rPr>
                <w:bCs/>
                <w:color w:val="002060"/>
                <w:sz w:val="16"/>
                <w:szCs w:val="16"/>
                <w:lang w:val="en-US"/>
              </w:rPr>
              <w:t xml:space="preserve">Short </w:t>
            </w:r>
            <w:r w:rsidRPr="00DE096C">
              <w:rPr>
                <w:bCs/>
                <w:color w:val="002060"/>
                <w:sz w:val="16"/>
                <w:szCs w:val="16"/>
              </w:rPr>
              <w:t>184</w:t>
            </w:r>
          </w:p>
        </w:tc>
        <w:tc>
          <w:tcPr>
            <w:tcW w:w="1090" w:type="dxa"/>
            <w:shd w:val="clear" w:color="auto" w:fill="FFFFFF"/>
          </w:tcPr>
          <w:p w14:paraId="2A036163" w14:textId="77777777" w:rsidR="00B67D7C" w:rsidRPr="00DE096C" w:rsidRDefault="00B67D7C" w:rsidP="00D45A46">
            <w:pPr>
              <w:jc w:val="both"/>
              <w:rPr>
                <w:bCs/>
                <w:color w:val="002060"/>
                <w:sz w:val="16"/>
                <w:szCs w:val="16"/>
              </w:rPr>
            </w:pPr>
            <w:r w:rsidRPr="00DE096C">
              <w:rPr>
                <w:bCs/>
                <w:color w:val="002060"/>
                <w:sz w:val="16"/>
                <w:szCs w:val="16"/>
                <w:lang w:val="en-US"/>
              </w:rPr>
              <w:t xml:space="preserve">AD. </w:t>
            </w:r>
            <w:r w:rsidRPr="00DE096C">
              <w:rPr>
                <w:bCs/>
                <w:color w:val="002060"/>
                <w:sz w:val="16"/>
                <w:szCs w:val="16"/>
              </w:rPr>
              <w:t>1000</w:t>
            </w:r>
          </w:p>
        </w:tc>
        <w:tc>
          <w:tcPr>
            <w:tcW w:w="1267" w:type="dxa"/>
            <w:shd w:val="clear" w:color="auto" w:fill="FFFFFF"/>
          </w:tcPr>
          <w:p w14:paraId="5EBBDAE5" w14:textId="77777777" w:rsidR="00B67D7C" w:rsidRPr="00DE096C" w:rsidRDefault="00B67D7C" w:rsidP="00D45A46">
            <w:pPr>
              <w:jc w:val="both"/>
              <w:rPr>
                <w:bCs/>
                <w:color w:val="002060"/>
                <w:sz w:val="16"/>
                <w:szCs w:val="16"/>
              </w:rPr>
            </w:pPr>
            <w:r w:rsidRPr="00DE096C">
              <w:rPr>
                <w:bCs/>
                <w:color w:val="002060"/>
                <w:sz w:val="16"/>
                <w:szCs w:val="16"/>
              </w:rPr>
              <w:t>ГАСН</w:t>
            </w:r>
          </w:p>
        </w:tc>
      </w:tr>
      <w:tr w:rsidR="00B67D7C" w:rsidRPr="00DE096C" w14:paraId="6ECBBBAE" w14:textId="77777777" w:rsidTr="00C2024A">
        <w:trPr>
          <w:trHeight w:val="648"/>
        </w:trPr>
        <w:tc>
          <w:tcPr>
            <w:tcW w:w="2069" w:type="dxa"/>
            <w:shd w:val="clear" w:color="auto" w:fill="FFFFFF"/>
          </w:tcPr>
          <w:p w14:paraId="352AB4C0" w14:textId="77777777" w:rsidR="00B67D7C" w:rsidRPr="00DE096C" w:rsidRDefault="00B67D7C" w:rsidP="00D45A46">
            <w:pPr>
              <w:jc w:val="both"/>
              <w:rPr>
                <w:bCs/>
                <w:color w:val="002060"/>
                <w:sz w:val="16"/>
                <w:szCs w:val="16"/>
              </w:rPr>
            </w:pPr>
            <w:r w:rsidRPr="00DE096C">
              <w:rPr>
                <w:bCs/>
                <w:color w:val="002060"/>
                <w:sz w:val="16"/>
                <w:szCs w:val="16"/>
              </w:rPr>
              <w:t>Первый полёт</w:t>
            </w:r>
          </w:p>
        </w:tc>
        <w:tc>
          <w:tcPr>
            <w:tcW w:w="1176" w:type="dxa"/>
            <w:shd w:val="clear" w:color="auto" w:fill="FFFFFF"/>
          </w:tcPr>
          <w:p w14:paraId="4264EB2A" w14:textId="77777777" w:rsidR="00B67D7C" w:rsidRPr="00DE096C" w:rsidRDefault="00B67D7C" w:rsidP="00D45A46">
            <w:pPr>
              <w:jc w:val="both"/>
              <w:rPr>
                <w:bCs/>
                <w:color w:val="002060"/>
                <w:sz w:val="16"/>
                <w:szCs w:val="16"/>
              </w:rPr>
            </w:pPr>
          </w:p>
        </w:tc>
        <w:tc>
          <w:tcPr>
            <w:tcW w:w="1133" w:type="dxa"/>
            <w:shd w:val="clear" w:color="auto" w:fill="FFFFFF"/>
          </w:tcPr>
          <w:p w14:paraId="349E73B0" w14:textId="77777777" w:rsidR="00B67D7C" w:rsidRPr="00DE096C" w:rsidRDefault="00B67D7C" w:rsidP="00D45A46">
            <w:pPr>
              <w:jc w:val="both"/>
              <w:rPr>
                <w:bCs/>
                <w:color w:val="002060"/>
                <w:sz w:val="16"/>
                <w:szCs w:val="16"/>
              </w:rPr>
            </w:pPr>
            <w:r w:rsidRPr="00DE096C">
              <w:rPr>
                <w:bCs/>
                <w:color w:val="002060"/>
                <w:sz w:val="16"/>
                <w:szCs w:val="16"/>
              </w:rPr>
              <w:t>07.1915</w:t>
            </w:r>
          </w:p>
        </w:tc>
        <w:tc>
          <w:tcPr>
            <w:tcW w:w="1090" w:type="dxa"/>
            <w:shd w:val="clear" w:color="auto" w:fill="FFFFFF"/>
          </w:tcPr>
          <w:p w14:paraId="3DC90114" w14:textId="77777777" w:rsidR="00B67D7C" w:rsidRPr="00DE096C" w:rsidRDefault="00B67D7C" w:rsidP="00D45A46">
            <w:pPr>
              <w:jc w:val="both"/>
              <w:rPr>
                <w:bCs/>
                <w:color w:val="002060"/>
                <w:sz w:val="16"/>
                <w:szCs w:val="16"/>
              </w:rPr>
            </w:pPr>
            <w:r w:rsidRPr="00DE096C">
              <w:rPr>
                <w:bCs/>
                <w:color w:val="002060"/>
                <w:sz w:val="16"/>
                <w:szCs w:val="16"/>
              </w:rPr>
              <w:t>Построен 03.1915, не летал</w:t>
            </w:r>
          </w:p>
        </w:tc>
        <w:tc>
          <w:tcPr>
            <w:tcW w:w="1267" w:type="dxa"/>
            <w:shd w:val="clear" w:color="auto" w:fill="FFFFFF"/>
          </w:tcPr>
          <w:p w14:paraId="633B2372" w14:textId="77777777" w:rsidR="00B67D7C" w:rsidRPr="00DE096C" w:rsidRDefault="00B67D7C" w:rsidP="00D45A46">
            <w:pPr>
              <w:jc w:val="both"/>
              <w:rPr>
                <w:bCs/>
                <w:color w:val="002060"/>
                <w:sz w:val="16"/>
                <w:szCs w:val="16"/>
              </w:rPr>
            </w:pPr>
            <w:r w:rsidRPr="00DE096C">
              <w:rPr>
                <w:bCs/>
                <w:color w:val="002060"/>
                <w:sz w:val="16"/>
                <w:szCs w:val="16"/>
              </w:rPr>
              <w:t>24.08.1917</w:t>
            </w:r>
          </w:p>
        </w:tc>
      </w:tr>
      <w:tr w:rsidR="00B67D7C" w:rsidRPr="00DE096C" w14:paraId="21BEC0C5" w14:textId="77777777" w:rsidTr="00C2024A">
        <w:trPr>
          <w:trHeight w:val="221"/>
        </w:trPr>
        <w:tc>
          <w:tcPr>
            <w:tcW w:w="2069" w:type="dxa"/>
            <w:shd w:val="clear" w:color="auto" w:fill="FFFFFF"/>
          </w:tcPr>
          <w:p w14:paraId="18EBF84D" w14:textId="77777777" w:rsidR="00B67D7C" w:rsidRPr="00DE096C" w:rsidRDefault="00B67D7C" w:rsidP="00D45A46">
            <w:pPr>
              <w:jc w:val="both"/>
              <w:rPr>
                <w:bCs/>
                <w:color w:val="002060"/>
                <w:sz w:val="16"/>
                <w:szCs w:val="16"/>
              </w:rPr>
            </w:pPr>
            <w:r w:rsidRPr="00DE096C">
              <w:rPr>
                <w:bCs/>
                <w:color w:val="002060"/>
                <w:sz w:val="16"/>
                <w:szCs w:val="16"/>
              </w:rPr>
              <w:t>Боевая нагрузка</w:t>
            </w:r>
          </w:p>
        </w:tc>
        <w:tc>
          <w:tcPr>
            <w:tcW w:w="1176" w:type="dxa"/>
            <w:shd w:val="clear" w:color="auto" w:fill="FFFFFF"/>
          </w:tcPr>
          <w:p w14:paraId="2FA15FA4" w14:textId="77777777" w:rsidR="00B67D7C" w:rsidRPr="00DE096C" w:rsidRDefault="00B67D7C" w:rsidP="00D45A46">
            <w:pPr>
              <w:jc w:val="both"/>
              <w:rPr>
                <w:bCs/>
                <w:color w:val="002060"/>
                <w:sz w:val="16"/>
                <w:szCs w:val="16"/>
              </w:rPr>
            </w:pPr>
            <w:r w:rsidRPr="00DE096C">
              <w:rPr>
                <w:bCs/>
                <w:color w:val="002060"/>
                <w:sz w:val="16"/>
                <w:szCs w:val="16"/>
              </w:rPr>
              <w:t>357мм</w:t>
            </w:r>
          </w:p>
        </w:tc>
        <w:tc>
          <w:tcPr>
            <w:tcW w:w="1133" w:type="dxa"/>
            <w:shd w:val="clear" w:color="auto" w:fill="FFFFFF"/>
          </w:tcPr>
          <w:p w14:paraId="5CDEDCDC" w14:textId="77777777" w:rsidR="00B67D7C" w:rsidRPr="00DE096C" w:rsidRDefault="00B67D7C" w:rsidP="00D45A46">
            <w:pPr>
              <w:jc w:val="both"/>
              <w:rPr>
                <w:bCs/>
                <w:color w:val="002060"/>
                <w:sz w:val="16"/>
                <w:szCs w:val="16"/>
              </w:rPr>
            </w:pPr>
            <w:r w:rsidRPr="00DE096C">
              <w:rPr>
                <w:bCs/>
                <w:color w:val="002060"/>
                <w:sz w:val="16"/>
                <w:szCs w:val="16"/>
              </w:rPr>
              <w:t>357мм</w:t>
            </w:r>
          </w:p>
        </w:tc>
        <w:tc>
          <w:tcPr>
            <w:tcW w:w="1090" w:type="dxa"/>
            <w:shd w:val="clear" w:color="auto" w:fill="FFFFFF"/>
          </w:tcPr>
          <w:p w14:paraId="6CCBCC4B" w14:textId="77777777" w:rsidR="00B67D7C" w:rsidRPr="00DE096C" w:rsidRDefault="00B67D7C" w:rsidP="00D45A46">
            <w:pPr>
              <w:jc w:val="both"/>
              <w:rPr>
                <w:bCs/>
                <w:color w:val="002060"/>
                <w:sz w:val="16"/>
                <w:szCs w:val="16"/>
              </w:rPr>
            </w:pPr>
            <w:r w:rsidRPr="00DE096C">
              <w:rPr>
                <w:bCs/>
                <w:color w:val="002060"/>
                <w:sz w:val="16"/>
                <w:szCs w:val="16"/>
              </w:rPr>
              <w:t>357мм</w:t>
            </w:r>
          </w:p>
        </w:tc>
        <w:tc>
          <w:tcPr>
            <w:tcW w:w="1267" w:type="dxa"/>
            <w:shd w:val="clear" w:color="auto" w:fill="FFFFFF"/>
          </w:tcPr>
          <w:p w14:paraId="61695A6C" w14:textId="77777777" w:rsidR="00B67D7C" w:rsidRPr="00DE096C" w:rsidRDefault="00B67D7C" w:rsidP="00D45A46">
            <w:pPr>
              <w:jc w:val="both"/>
              <w:rPr>
                <w:bCs/>
                <w:color w:val="002060"/>
                <w:sz w:val="16"/>
                <w:szCs w:val="16"/>
              </w:rPr>
            </w:pPr>
            <w:r w:rsidRPr="00DE096C">
              <w:rPr>
                <w:bCs/>
                <w:color w:val="002060"/>
                <w:sz w:val="16"/>
                <w:szCs w:val="16"/>
              </w:rPr>
              <w:t>450мм</w:t>
            </w:r>
          </w:p>
        </w:tc>
      </w:tr>
      <w:tr w:rsidR="00B67D7C" w:rsidRPr="00DE096C" w14:paraId="4E7AC8D7" w14:textId="77777777" w:rsidTr="00C2024A">
        <w:trPr>
          <w:trHeight w:val="240"/>
        </w:trPr>
        <w:tc>
          <w:tcPr>
            <w:tcW w:w="2069" w:type="dxa"/>
            <w:shd w:val="clear" w:color="auto" w:fill="FFFFFF"/>
          </w:tcPr>
          <w:p w14:paraId="2DF60FBF" w14:textId="77777777" w:rsidR="00B67D7C" w:rsidRPr="00DE096C" w:rsidRDefault="00B67D7C" w:rsidP="00D45A46">
            <w:pPr>
              <w:jc w:val="both"/>
              <w:rPr>
                <w:bCs/>
                <w:color w:val="002060"/>
                <w:sz w:val="16"/>
                <w:szCs w:val="16"/>
              </w:rPr>
            </w:pPr>
            <w:r w:rsidRPr="00DE096C">
              <w:rPr>
                <w:bCs/>
                <w:color w:val="002060"/>
                <w:sz w:val="16"/>
                <w:szCs w:val="16"/>
              </w:rPr>
              <w:t>(торпеда)</w:t>
            </w:r>
          </w:p>
        </w:tc>
        <w:tc>
          <w:tcPr>
            <w:tcW w:w="1176" w:type="dxa"/>
            <w:shd w:val="clear" w:color="auto" w:fill="FFFFFF"/>
          </w:tcPr>
          <w:p w14:paraId="53C6E57B" w14:textId="77777777" w:rsidR="00B67D7C" w:rsidRPr="00DE096C" w:rsidRDefault="00B67D7C" w:rsidP="00D45A46">
            <w:pPr>
              <w:jc w:val="both"/>
              <w:rPr>
                <w:bCs/>
                <w:color w:val="002060"/>
                <w:sz w:val="16"/>
                <w:szCs w:val="16"/>
              </w:rPr>
            </w:pPr>
          </w:p>
        </w:tc>
        <w:tc>
          <w:tcPr>
            <w:tcW w:w="1133" w:type="dxa"/>
            <w:shd w:val="clear" w:color="auto" w:fill="FFFFFF"/>
          </w:tcPr>
          <w:p w14:paraId="105E8A62" w14:textId="77777777" w:rsidR="00B67D7C" w:rsidRPr="00DE096C" w:rsidRDefault="00B67D7C" w:rsidP="00D45A46">
            <w:pPr>
              <w:jc w:val="both"/>
              <w:rPr>
                <w:bCs/>
                <w:color w:val="002060"/>
                <w:sz w:val="16"/>
                <w:szCs w:val="16"/>
              </w:rPr>
            </w:pPr>
          </w:p>
        </w:tc>
        <w:tc>
          <w:tcPr>
            <w:tcW w:w="1090" w:type="dxa"/>
            <w:shd w:val="clear" w:color="auto" w:fill="FFFFFF"/>
          </w:tcPr>
          <w:p w14:paraId="15EF9E42" w14:textId="77777777" w:rsidR="00B67D7C" w:rsidRPr="00DE096C" w:rsidRDefault="00B67D7C" w:rsidP="00D45A46">
            <w:pPr>
              <w:jc w:val="both"/>
              <w:rPr>
                <w:bCs/>
                <w:color w:val="002060"/>
                <w:sz w:val="16"/>
                <w:szCs w:val="16"/>
              </w:rPr>
            </w:pPr>
          </w:p>
        </w:tc>
        <w:tc>
          <w:tcPr>
            <w:tcW w:w="1267" w:type="dxa"/>
            <w:shd w:val="clear" w:color="auto" w:fill="FFFFFF"/>
          </w:tcPr>
          <w:p w14:paraId="2496F67C" w14:textId="77777777" w:rsidR="00B67D7C" w:rsidRPr="00DE096C" w:rsidRDefault="00B67D7C" w:rsidP="00D45A46">
            <w:pPr>
              <w:jc w:val="both"/>
              <w:rPr>
                <w:bCs/>
                <w:color w:val="002060"/>
                <w:sz w:val="16"/>
                <w:szCs w:val="16"/>
              </w:rPr>
            </w:pPr>
          </w:p>
        </w:tc>
      </w:tr>
      <w:tr w:rsidR="00B67D7C" w:rsidRPr="00DE096C" w14:paraId="7BD7F212" w14:textId="77777777" w:rsidTr="00C2024A">
        <w:trPr>
          <w:trHeight w:val="211"/>
        </w:trPr>
        <w:tc>
          <w:tcPr>
            <w:tcW w:w="2069" w:type="dxa"/>
            <w:shd w:val="clear" w:color="auto" w:fill="FFFFFF"/>
          </w:tcPr>
          <w:p w14:paraId="5777B91F" w14:textId="77777777" w:rsidR="00B67D7C" w:rsidRPr="00DE096C" w:rsidRDefault="00B67D7C" w:rsidP="00D45A46">
            <w:pPr>
              <w:jc w:val="both"/>
              <w:rPr>
                <w:bCs/>
                <w:color w:val="002060"/>
                <w:sz w:val="16"/>
                <w:szCs w:val="16"/>
              </w:rPr>
            </w:pPr>
            <w:r w:rsidRPr="00DE096C">
              <w:rPr>
                <w:bCs/>
                <w:color w:val="002060"/>
                <w:sz w:val="16"/>
                <w:szCs w:val="16"/>
              </w:rPr>
              <w:t>Двигатели</w:t>
            </w:r>
          </w:p>
        </w:tc>
        <w:tc>
          <w:tcPr>
            <w:tcW w:w="1176" w:type="dxa"/>
            <w:shd w:val="clear" w:color="auto" w:fill="FFFFFF"/>
          </w:tcPr>
          <w:p w14:paraId="2705AC03" w14:textId="77777777" w:rsidR="00B67D7C" w:rsidRPr="00DE096C" w:rsidRDefault="00B67D7C" w:rsidP="00D45A46">
            <w:pPr>
              <w:jc w:val="both"/>
              <w:rPr>
                <w:bCs/>
                <w:color w:val="002060"/>
                <w:sz w:val="16"/>
                <w:szCs w:val="16"/>
              </w:rPr>
            </w:pPr>
            <w:r w:rsidRPr="00DE096C">
              <w:rPr>
                <w:bCs/>
                <w:color w:val="002060"/>
                <w:sz w:val="16"/>
                <w:szCs w:val="16"/>
                <w:lang w:val="en-US"/>
              </w:rPr>
              <w:t>Gnome</w:t>
            </w:r>
          </w:p>
        </w:tc>
        <w:tc>
          <w:tcPr>
            <w:tcW w:w="1133" w:type="dxa"/>
            <w:shd w:val="clear" w:color="auto" w:fill="FFFFFF"/>
          </w:tcPr>
          <w:p w14:paraId="1FA4A916" w14:textId="77777777" w:rsidR="00B67D7C" w:rsidRPr="00DE096C" w:rsidRDefault="00B67D7C" w:rsidP="00D45A46">
            <w:pPr>
              <w:jc w:val="both"/>
              <w:rPr>
                <w:bCs/>
                <w:color w:val="002060"/>
                <w:sz w:val="16"/>
                <w:szCs w:val="16"/>
              </w:rPr>
            </w:pPr>
            <w:r w:rsidRPr="00DE096C">
              <w:rPr>
                <w:bCs/>
                <w:color w:val="002060"/>
                <w:sz w:val="16"/>
                <w:szCs w:val="16"/>
                <w:lang w:val="en-US"/>
              </w:rPr>
              <w:t>Sunbeam</w:t>
            </w:r>
          </w:p>
        </w:tc>
        <w:tc>
          <w:tcPr>
            <w:tcW w:w="1090" w:type="dxa"/>
            <w:shd w:val="clear" w:color="auto" w:fill="FFFFFF"/>
          </w:tcPr>
          <w:p w14:paraId="0AF77B1A" w14:textId="77777777" w:rsidR="00B67D7C" w:rsidRPr="00DE096C" w:rsidRDefault="00B67D7C" w:rsidP="00D45A46">
            <w:pPr>
              <w:jc w:val="both"/>
              <w:rPr>
                <w:bCs/>
                <w:color w:val="002060"/>
                <w:sz w:val="16"/>
                <w:szCs w:val="16"/>
              </w:rPr>
            </w:pPr>
            <w:r w:rsidRPr="00DE096C">
              <w:rPr>
                <w:bCs/>
                <w:color w:val="002060"/>
                <w:sz w:val="16"/>
                <w:szCs w:val="16"/>
                <w:lang w:val="en-US"/>
              </w:rPr>
              <w:t>Sunbeam</w:t>
            </w:r>
          </w:p>
        </w:tc>
        <w:tc>
          <w:tcPr>
            <w:tcW w:w="1267" w:type="dxa"/>
            <w:shd w:val="clear" w:color="auto" w:fill="FFFFFF"/>
          </w:tcPr>
          <w:p w14:paraId="533A3A35" w14:textId="77777777" w:rsidR="00B67D7C" w:rsidRPr="00DE096C" w:rsidRDefault="00B67D7C" w:rsidP="00D45A46">
            <w:pPr>
              <w:jc w:val="both"/>
              <w:rPr>
                <w:bCs/>
                <w:color w:val="002060"/>
                <w:sz w:val="16"/>
                <w:szCs w:val="16"/>
              </w:rPr>
            </w:pPr>
            <w:r w:rsidRPr="00DE096C">
              <w:rPr>
                <w:bCs/>
                <w:color w:val="002060"/>
                <w:sz w:val="16"/>
                <w:szCs w:val="16"/>
                <w:lang w:val="en-US"/>
              </w:rPr>
              <w:t xml:space="preserve">Renault </w:t>
            </w:r>
            <w:r w:rsidRPr="00DE096C">
              <w:rPr>
                <w:bCs/>
                <w:color w:val="002060"/>
                <w:sz w:val="16"/>
                <w:szCs w:val="16"/>
              </w:rPr>
              <w:t xml:space="preserve">8 </w:t>
            </w:r>
            <w:r w:rsidRPr="00DE096C">
              <w:rPr>
                <w:bCs/>
                <w:color w:val="002060"/>
                <w:sz w:val="16"/>
                <w:szCs w:val="16"/>
                <w:lang w:val="en-US"/>
              </w:rPr>
              <w:t>Gd,</w:t>
            </w:r>
          </w:p>
        </w:tc>
      </w:tr>
      <w:tr w:rsidR="00B67D7C" w:rsidRPr="00DE096C" w14:paraId="2D83CD5C" w14:textId="77777777" w:rsidTr="00C2024A">
        <w:trPr>
          <w:trHeight w:val="206"/>
        </w:trPr>
        <w:tc>
          <w:tcPr>
            <w:tcW w:w="2069" w:type="dxa"/>
            <w:shd w:val="clear" w:color="auto" w:fill="FFFFFF"/>
          </w:tcPr>
          <w:p w14:paraId="266E8F2E" w14:textId="77777777" w:rsidR="00B67D7C" w:rsidRPr="00DE096C" w:rsidRDefault="00B67D7C" w:rsidP="00D45A46">
            <w:pPr>
              <w:jc w:val="both"/>
              <w:rPr>
                <w:bCs/>
                <w:color w:val="002060"/>
                <w:sz w:val="16"/>
                <w:szCs w:val="16"/>
              </w:rPr>
            </w:pPr>
          </w:p>
        </w:tc>
        <w:tc>
          <w:tcPr>
            <w:tcW w:w="1176" w:type="dxa"/>
            <w:shd w:val="clear" w:color="auto" w:fill="FFFFFF"/>
          </w:tcPr>
          <w:p w14:paraId="7A77AE40" w14:textId="77777777" w:rsidR="00B67D7C" w:rsidRPr="00DE096C" w:rsidRDefault="00B67D7C" w:rsidP="00D45A46">
            <w:pPr>
              <w:jc w:val="both"/>
              <w:rPr>
                <w:bCs/>
                <w:color w:val="002060"/>
                <w:sz w:val="16"/>
                <w:szCs w:val="16"/>
              </w:rPr>
            </w:pPr>
            <w:r w:rsidRPr="00DE096C">
              <w:rPr>
                <w:bCs/>
                <w:color w:val="002060"/>
                <w:sz w:val="16"/>
                <w:szCs w:val="16"/>
                <w:lang w:val="en-US"/>
              </w:rPr>
              <w:t>Double</w:t>
            </w:r>
          </w:p>
        </w:tc>
        <w:tc>
          <w:tcPr>
            <w:tcW w:w="1133" w:type="dxa"/>
            <w:shd w:val="clear" w:color="auto" w:fill="FFFFFF"/>
          </w:tcPr>
          <w:p w14:paraId="5C64C595" w14:textId="77777777" w:rsidR="00B67D7C" w:rsidRPr="00DE096C" w:rsidRDefault="00B67D7C" w:rsidP="00D45A46">
            <w:pPr>
              <w:jc w:val="both"/>
              <w:rPr>
                <w:bCs/>
                <w:color w:val="002060"/>
                <w:sz w:val="16"/>
                <w:szCs w:val="16"/>
              </w:rPr>
            </w:pPr>
            <w:r w:rsidRPr="00DE096C">
              <w:rPr>
                <w:bCs/>
                <w:color w:val="002060"/>
                <w:sz w:val="16"/>
                <w:szCs w:val="16"/>
                <w:lang w:val="en-US"/>
              </w:rPr>
              <w:t>Maori,</w:t>
            </w:r>
          </w:p>
        </w:tc>
        <w:tc>
          <w:tcPr>
            <w:tcW w:w="1090" w:type="dxa"/>
            <w:shd w:val="clear" w:color="auto" w:fill="FFFFFF"/>
          </w:tcPr>
          <w:p w14:paraId="20FCDA8B" w14:textId="77777777" w:rsidR="00B67D7C" w:rsidRPr="00DE096C" w:rsidRDefault="00B67D7C" w:rsidP="00D45A46">
            <w:pPr>
              <w:jc w:val="both"/>
              <w:rPr>
                <w:bCs/>
                <w:color w:val="002060"/>
                <w:sz w:val="16"/>
                <w:szCs w:val="16"/>
              </w:rPr>
            </w:pPr>
            <w:r w:rsidRPr="00DE096C">
              <w:rPr>
                <w:bCs/>
                <w:color w:val="002060"/>
                <w:sz w:val="16"/>
                <w:szCs w:val="16"/>
                <w:lang w:val="en-US"/>
              </w:rPr>
              <w:t>Cossack</w:t>
            </w:r>
            <w:r w:rsidRPr="00DE096C">
              <w:rPr>
                <w:bCs/>
                <w:color w:val="002060"/>
                <w:sz w:val="16"/>
                <w:szCs w:val="16"/>
              </w:rPr>
              <w:t>,</w:t>
            </w:r>
          </w:p>
        </w:tc>
        <w:tc>
          <w:tcPr>
            <w:tcW w:w="1267" w:type="dxa"/>
            <w:shd w:val="clear" w:color="auto" w:fill="FFFFFF"/>
          </w:tcPr>
          <w:p w14:paraId="1F58D22D" w14:textId="77777777" w:rsidR="00B67D7C" w:rsidRPr="00DE096C" w:rsidRDefault="00B67D7C" w:rsidP="00D45A46">
            <w:pPr>
              <w:jc w:val="both"/>
              <w:rPr>
                <w:bCs/>
                <w:color w:val="002060"/>
                <w:sz w:val="16"/>
                <w:szCs w:val="16"/>
              </w:rPr>
            </w:pPr>
            <w:r w:rsidRPr="00DE096C">
              <w:rPr>
                <w:bCs/>
                <w:color w:val="002060"/>
                <w:sz w:val="16"/>
                <w:szCs w:val="16"/>
              </w:rPr>
              <w:t>2*220 л. с.</w:t>
            </w:r>
          </w:p>
        </w:tc>
      </w:tr>
      <w:tr w:rsidR="00B67D7C" w:rsidRPr="00DE096C" w14:paraId="5FE273FE" w14:textId="77777777" w:rsidTr="00C2024A">
        <w:trPr>
          <w:trHeight w:val="211"/>
        </w:trPr>
        <w:tc>
          <w:tcPr>
            <w:tcW w:w="2069" w:type="dxa"/>
            <w:shd w:val="clear" w:color="auto" w:fill="FFFFFF"/>
          </w:tcPr>
          <w:p w14:paraId="346A0110" w14:textId="77777777" w:rsidR="00B67D7C" w:rsidRPr="00DE096C" w:rsidRDefault="00B67D7C" w:rsidP="00D45A46">
            <w:pPr>
              <w:jc w:val="both"/>
              <w:rPr>
                <w:bCs/>
                <w:color w:val="002060"/>
                <w:sz w:val="16"/>
                <w:szCs w:val="16"/>
              </w:rPr>
            </w:pPr>
          </w:p>
        </w:tc>
        <w:tc>
          <w:tcPr>
            <w:tcW w:w="1176" w:type="dxa"/>
            <w:shd w:val="clear" w:color="auto" w:fill="FFFFFF"/>
          </w:tcPr>
          <w:p w14:paraId="61B796F5" w14:textId="77777777" w:rsidR="00B67D7C" w:rsidRPr="00DE096C" w:rsidRDefault="00B67D7C" w:rsidP="00D45A46">
            <w:pPr>
              <w:jc w:val="both"/>
              <w:rPr>
                <w:bCs/>
                <w:color w:val="002060"/>
                <w:sz w:val="16"/>
                <w:szCs w:val="16"/>
              </w:rPr>
            </w:pPr>
            <w:r w:rsidRPr="00DE096C">
              <w:rPr>
                <w:bCs/>
                <w:color w:val="002060"/>
                <w:sz w:val="16"/>
                <w:szCs w:val="16"/>
                <w:lang w:val="en-US"/>
              </w:rPr>
              <w:t>Lambda,</w:t>
            </w:r>
          </w:p>
        </w:tc>
        <w:tc>
          <w:tcPr>
            <w:tcW w:w="1133" w:type="dxa"/>
            <w:shd w:val="clear" w:color="auto" w:fill="FFFFFF"/>
          </w:tcPr>
          <w:p w14:paraId="5B270E2B" w14:textId="77777777" w:rsidR="00B67D7C" w:rsidRPr="00DE096C" w:rsidRDefault="00B67D7C" w:rsidP="00D45A46">
            <w:pPr>
              <w:jc w:val="both"/>
              <w:rPr>
                <w:bCs/>
                <w:color w:val="002060"/>
                <w:sz w:val="16"/>
                <w:szCs w:val="16"/>
              </w:rPr>
            </w:pPr>
            <w:r w:rsidRPr="00DE096C">
              <w:rPr>
                <w:bCs/>
                <w:color w:val="002060"/>
                <w:sz w:val="16"/>
                <w:szCs w:val="16"/>
              </w:rPr>
              <w:t>1*260 л.с.</w:t>
            </w:r>
          </w:p>
        </w:tc>
        <w:tc>
          <w:tcPr>
            <w:tcW w:w="1090" w:type="dxa"/>
            <w:shd w:val="clear" w:color="auto" w:fill="FFFFFF"/>
          </w:tcPr>
          <w:p w14:paraId="0457674F" w14:textId="77777777" w:rsidR="00B67D7C" w:rsidRPr="00DE096C" w:rsidRDefault="00B67D7C" w:rsidP="00D45A46">
            <w:pPr>
              <w:jc w:val="both"/>
              <w:rPr>
                <w:bCs/>
                <w:color w:val="002060"/>
                <w:sz w:val="16"/>
                <w:szCs w:val="16"/>
              </w:rPr>
            </w:pPr>
            <w:r w:rsidRPr="00DE096C">
              <w:rPr>
                <w:bCs/>
                <w:color w:val="002060"/>
                <w:sz w:val="16"/>
                <w:szCs w:val="16"/>
              </w:rPr>
              <w:t>3*320 л. с.</w:t>
            </w:r>
          </w:p>
        </w:tc>
        <w:tc>
          <w:tcPr>
            <w:tcW w:w="1267" w:type="dxa"/>
            <w:shd w:val="clear" w:color="auto" w:fill="FFFFFF"/>
          </w:tcPr>
          <w:p w14:paraId="2822F374" w14:textId="77777777" w:rsidR="00B67D7C" w:rsidRPr="00DE096C" w:rsidRDefault="00B67D7C" w:rsidP="00D45A46">
            <w:pPr>
              <w:jc w:val="both"/>
              <w:rPr>
                <w:bCs/>
                <w:color w:val="002060"/>
                <w:sz w:val="16"/>
                <w:szCs w:val="16"/>
              </w:rPr>
            </w:pPr>
          </w:p>
        </w:tc>
      </w:tr>
      <w:tr w:rsidR="00B67D7C" w:rsidRPr="00DE096C" w14:paraId="7B8EA3DD" w14:textId="77777777" w:rsidTr="00C2024A">
        <w:trPr>
          <w:trHeight w:val="221"/>
        </w:trPr>
        <w:tc>
          <w:tcPr>
            <w:tcW w:w="2069" w:type="dxa"/>
            <w:shd w:val="clear" w:color="auto" w:fill="FFFFFF"/>
          </w:tcPr>
          <w:p w14:paraId="0D88C2B9" w14:textId="77777777" w:rsidR="00B67D7C" w:rsidRPr="00DE096C" w:rsidRDefault="00B67D7C" w:rsidP="00D45A46">
            <w:pPr>
              <w:jc w:val="both"/>
              <w:rPr>
                <w:bCs/>
                <w:color w:val="002060"/>
                <w:sz w:val="16"/>
                <w:szCs w:val="16"/>
              </w:rPr>
            </w:pPr>
          </w:p>
        </w:tc>
        <w:tc>
          <w:tcPr>
            <w:tcW w:w="1176" w:type="dxa"/>
            <w:shd w:val="clear" w:color="auto" w:fill="FFFFFF"/>
          </w:tcPr>
          <w:p w14:paraId="52A2F8D1" w14:textId="77777777" w:rsidR="00B67D7C" w:rsidRPr="00DE096C" w:rsidRDefault="00B67D7C" w:rsidP="00D45A46">
            <w:pPr>
              <w:jc w:val="both"/>
              <w:rPr>
                <w:bCs/>
                <w:color w:val="002060"/>
                <w:sz w:val="16"/>
                <w:szCs w:val="16"/>
              </w:rPr>
            </w:pPr>
            <w:r w:rsidRPr="00DE096C">
              <w:rPr>
                <w:bCs/>
                <w:color w:val="002060"/>
                <w:sz w:val="16"/>
                <w:szCs w:val="16"/>
              </w:rPr>
              <w:t>2*160 л.с.</w:t>
            </w:r>
          </w:p>
        </w:tc>
        <w:tc>
          <w:tcPr>
            <w:tcW w:w="1133" w:type="dxa"/>
            <w:shd w:val="clear" w:color="auto" w:fill="FFFFFF"/>
          </w:tcPr>
          <w:p w14:paraId="513039F3" w14:textId="77777777" w:rsidR="00B67D7C" w:rsidRPr="00DE096C" w:rsidRDefault="00B67D7C" w:rsidP="00D45A46">
            <w:pPr>
              <w:jc w:val="both"/>
              <w:rPr>
                <w:bCs/>
                <w:color w:val="002060"/>
                <w:sz w:val="16"/>
                <w:szCs w:val="16"/>
              </w:rPr>
            </w:pPr>
          </w:p>
        </w:tc>
        <w:tc>
          <w:tcPr>
            <w:tcW w:w="1090" w:type="dxa"/>
            <w:shd w:val="clear" w:color="auto" w:fill="FFFFFF"/>
          </w:tcPr>
          <w:p w14:paraId="422BF8D1" w14:textId="77777777" w:rsidR="00B67D7C" w:rsidRPr="00DE096C" w:rsidRDefault="00B67D7C" w:rsidP="00D45A46">
            <w:pPr>
              <w:jc w:val="both"/>
              <w:rPr>
                <w:bCs/>
                <w:color w:val="002060"/>
                <w:sz w:val="16"/>
                <w:szCs w:val="16"/>
              </w:rPr>
            </w:pPr>
          </w:p>
        </w:tc>
        <w:tc>
          <w:tcPr>
            <w:tcW w:w="1267" w:type="dxa"/>
            <w:shd w:val="clear" w:color="auto" w:fill="FFFFFF"/>
          </w:tcPr>
          <w:p w14:paraId="2BF54617" w14:textId="77777777" w:rsidR="00B67D7C" w:rsidRPr="00DE096C" w:rsidRDefault="00B67D7C" w:rsidP="00D45A46">
            <w:pPr>
              <w:jc w:val="both"/>
              <w:rPr>
                <w:bCs/>
                <w:color w:val="002060"/>
                <w:sz w:val="16"/>
                <w:szCs w:val="16"/>
              </w:rPr>
            </w:pPr>
          </w:p>
        </w:tc>
      </w:tr>
      <w:tr w:rsidR="00B67D7C" w:rsidRPr="00DE096C" w14:paraId="01DE291B" w14:textId="77777777" w:rsidTr="00C2024A">
        <w:trPr>
          <w:trHeight w:val="240"/>
        </w:trPr>
        <w:tc>
          <w:tcPr>
            <w:tcW w:w="2069" w:type="dxa"/>
            <w:shd w:val="clear" w:color="auto" w:fill="FFFFFF"/>
          </w:tcPr>
          <w:p w14:paraId="2A314860" w14:textId="77777777" w:rsidR="00B67D7C" w:rsidRPr="00DE096C" w:rsidRDefault="00B67D7C" w:rsidP="00D45A46">
            <w:pPr>
              <w:jc w:val="both"/>
              <w:rPr>
                <w:bCs/>
                <w:color w:val="002060"/>
                <w:sz w:val="16"/>
                <w:szCs w:val="16"/>
              </w:rPr>
            </w:pPr>
            <w:r w:rsidRPr="00DE096C">
              <w:rPr>
                <w:bCs/>
                <w:color w:val="002060"/>
                <w:sz w:val="16"/>
                <w:szCs w:val="16"/>
              </w:rPr>
              <w:t>Взлётный вес, кг</w:t>
            </w:r>
          </w:p>
        </w:tc>
        <w:tc>
          <w:tcPr>
            <w:tcW w:w="1176" w:type="dxa"/>
            <w:shd w:val="clear" w:color="auto" w:fill="FFFFFF"/>
          </w:tcPr>
          <w:p w14:paraId="3FB264B7" w14:textId="77777777" w:rsidR="00B67D7C" w:rsidRPr="00DE096C" w:rsidRDefault="00B67D7C" w:rsidP="00D45A46">
            <w:pPr>
              <w:jc w:val="both"/>
              <w:rPr>
                <w:bCs/>
                <w:color w:val="002060"/>
                <w:sz w:val="16"/>
                <w:szCs w:val="16"/>
              </w:rPr>
            </w:pPr>
            <w:r w:rsidRPr="00DE096C">
              <w:rPr>
                <w:bCs/>
                <w:color w:val="002060"/>
                <w:sz w:val="16"/>
                <w:szCs w:val="16"/>
              </w:rPr>
              <w:t>2800</w:t>
            </w:r>
          </w:p>
        </w:tc>
        <w:tc>
          <w:tcPr>
            <w:tcW w:w="1133" w:type="dxa"/>
            <w:shd w:val="clear" w:color="auto" w:fill="FFFFFF"/>
          </w:tcPr>
          <w:p w14:paraId="39CE9227" w14:textId="77777777" w:rsidR="00B67D7C" w:rsidRPr="00DE096C" w:rsidRDefault="00B67D7C" w:rsidP="00D45A46">
            <w:pPr>
              <w:jc w:val="both"/>
              <w:rPr>
                <w:bCs/>
                <w:color w:val="002060"/>
                <w:sz w:val="16"/>
                <w:szCs w:val="16"/>
              </w:rPr>
            </w:pPr>
            <w:r w:rsidRPr="00DE096C">
              <w:rPr>
                <w:bCs/>
                <w:color w:val="002060"/>
                <w:sz w:val="16"/>
                <w:szCs w:val="16"/>
              </w:rPr>
              <w:t>2430</w:t>
            </w:r>
          </w:p>
        </w:tc>
        <w:tc>
          <w:tcPr>
            <w:tcW w:w="1090" w:type="dxa"/>
            <w:shd w:val="clear" w:color="auto" w:fill="FFFFFF"/>
          </w:tcPr>
          <w:p w14:paraId="44C9BB8F" w14:textId="77777777" w:rsidR="00B67D7C" w:rsidRPr="00DE096C" w:rsidRDefault="00B67D7C" w:rsidP="00D45A46">
            <w:pPr>
              <w:jc w:val="both"/>
              <w:rPr>
                <w:bCs/>
                <w:color w:val="002060"/>
                <w:sz w:val="16"/>
                <w:szCs w:val="16"/>
              </w:rPr>
            </w:pPr>
          </w:p>
        </w:tc>
        <w:tc>
          <w:tcPr>
            <w:tcW w:w="1267" w:type="dxa"/>
            <w:shd w:val="clear" w:color="auto" w:fill="FFFFFF"/>
          </w:tcPr>
          <w:p w14:paraId="0A2D2B2E" w14:textId="77777777" w:rsidR="00B67D7C" w:rsidRPr="00DE096C" w:rsidRDefault="00B67D7C" w:rsidP="00D45A46">
            <w:pPr>
              <w:jc w:val="both"/>
              <w:rPr>
                <w:bCs/>
                <w:color w:val="002060"/>
                <w:sz w:val="16"/>
                <w:szCs w:val="16"/>
              </w:rPr>
            </w:pPr>
          </w:p>
        </w:tc>
      </w:tr>
      <w:tr w:rsidR="00B67D7C" w:rsidRPr="00DE096C" w14:paraId="52DAE709" w14:textId="77777777" w:rsidTr="00C2024A">
        <w:trPr>
          <w:trHeight w:val="245"/>
        </w:trPr>
        <w:tc>
          <w:tcPr>
            <w:tcW w:w="2069" w:type="dxa"/>
            <w:shd w:val="clear" w:color="auto" w:fill="FFFFFF"/>
          </w:tcPr>
          <w:p w14:paraId="42DB966C" w14:textId="77777777" w:rsidR="00B67D7C" w:rsidRPr="00DE096C" w:rsidRDefault="00B67D7C" w:rsidP="00D45A46">
            <w:pPr>
              <w:jc w:val="both"/>
              <w:rPr>
                <w:bCs/>
                <w:color w:val="002060"/>
                <w:sz w:val="16"/>
                <w:szCs w:val="16"/>
              </w:rPr>
            </w:pPr>
            <w:r w:rsidRPr="00DE096C">
              <w:rPr>
                <w:bCs/>
                <w:color w:val="002060"/>
                <w:sz w:val="16"/>
                <w:szCs w:val="16"/>
              </w:rPr>
              <w:t>Размах крыла, м</w:t>
            </w:r>
          </w:p>
        </w:tc>
        <w:tc>
          <w:tcPr>
            <w:tcW w:w="1176" w:type="dxa"/>
            <w:shd w:val="clear" w:color="auto" w:fill="FFFFFF"/>
          </w:tcPr>
          <w:p w14:paraId="7D268E1E" w14:textId="77777777" w:rsidR="00B67D7C" w:rsidRPr="00DE096C" w:rsidRDefault="00B67D7C" w:rsidP="00D45A46">
            <w:pPr>
              <w:jc w:val="both"/>
              <w:rPr>
                <w:bCs/>
                <w:color w:val="002060"/>
                <w:sz w:val="16"/>
                <w:szCs w:val="16"/>
              </w:rPr>
            </w:pPr>
            <w:r w:rsidRPr="00DE096C">
              <w:rPr>
                <w:bCs/>
                <w:color w:val="002060"/>
                <w:sz w:val="16"/>
                <w:szCs w:val="16"/>
              </w:rPr>
              <w:t>19</w:t>
            </w:r>
          </w:p>
        </w:tc>
        <w:tc>
          <w:tcPr>
            <w:tcW w:w="1133" w:type="dxa"/>
            <w:shd w:val="clear" w:color="auto" w:fill="FFFFFF"/>
          </w:tcPr>
          <w:p w14:paraId="4B27006C" w14:textId="77777777" w:rsidR="00B67D7C" w:rsidRPr="00DE096C" w:rsidRDefault="00B67D7C" w:rsidP="00D45A46">
            <w:pPr>
              <w:jc w:val="both"/>
              <w:rPr>
                <w:bCs/>
                <w:color w:val="002060"/>
                <w:sz w:val="16"/>
                <w:szCs w:val="16"/>
              </w:rPr>
            </w:pPr>
            <w:r w:rsidRPr="00DE096C">
              <w:rPr>
                <w:bCs/>
                <w:color w:val="002060"/>
                <w:sz w:val="16"/>
                <w:szCs w:val="16"/>
              </w:rPr>
              <w:t>19,35</w:t>
            </w:r>
          </w:p>
        </w:tc>
        <w:tc>
          <w:tcPr>
            <w:tcW w:w="1090" w:type="dxa"/>
            <w:shd w:val="clear" w:color="auto" w:fill="FFFFFF"/>
          </w:tcPr>
          <w:p w14:paraId="3247FBE3" w14:textId="77777777" w:rsidR="00B67D7C" w:rsidRPr="00DE096C" w:rsidRDefault="00B67D7C" w:rsidP="00D45A46">
            <w:pPr>
              <w:jc w:val="both"/>
              <w:rPr>
                <w:bCs/>
                <w:color w:val="002060"/>
                <w:sz w:val="16"/>
                <w:szCs w:val="16"/>
              </w:rPr>
            </w:pPr>
            <w:r w:rsidRPr="00DE096C">
              <w:rPr>
                <w:bCs/>
                <w:color w:val="002060"/>
                <w:sz w:val="16"/>
                <w:szCs w:val="16"/>
              </w:rPr>
              <w:t>35,05</w:t>
            </w:r>
          </w:p>
        </w:tc>
        <w:tc>
          <w:tcPr>
            <w:tcW w:w="1267" w:type="dxa"/>
            <w:shd w:val="clear" w:color="auto" w:fill="FFFFFF"/>
          </w:tcPr>
          <w:p w14:paraId="0E970657" w14:textId="77777777" w:rsidR="00B67D7C" w:rsidRPr="00DE096C" w:rsidRDefault="00B67D7C" w:rsidP="00D45A46">
            <w:pPr>
              <w:jc w:val="both"/>
              <w:rPr>
                <w:bCs/>
                <w:color w:val="002060"/>
                <w:sz w:val="16"/>
                <w:szCs w:val="16"/>
              </w:rPr>
            </w:pPr>
            <w:r w:rsidRPr="00DE096C">
              <w:rPr>
                <w:bCs/>
                <w:color w:val="002060"/>
                <w:sz w:val="16"/>
                <w:szCs w:val="16"/>
              </w:rPr>
              <w:t>28</w:t>
            </w:r>
          </w:p>
        </w:tc>
      </w:tr>
      <w:tr w:rsidR="00B67D7C" w:rsidRPr="00DE096C" w14:paraId="09BD84F6" w14:textId="77777777" w:rsidTr="00C2024A">
        <w:trPr>
          <w:trHeight w:val="240"/>
        </w:trPr>
        <w:tc>
          <w:tcPr>
            <w:tcW w:w="2069" w:type="dxa"/>
            <w:shd w:val="clear" w:color="auto" w:fill="FFFFFF"/>
          </w:tcPr>
          <w:p w14:paraId="32DE1D49" w14:textId="77777777" w:rsidR="00B67D7C" w:rsidRPr="00DE096C" w:rsidRDefault="00B67D7C" w:rsidP="00D45A46">
            <w:pPr>
              <w:jc w:val="both"/>
              <w:rPr>
                <w:bCs/>
                <w:color w:val="002060"/>
                <w:sz w:val="16"/>
                <w:szCs w:val="16"/>
              </w:rPr>
            </w:pPr>
            <w:r w:rsidRPr="00DE096C">
              <w:rPr>
                <w:bCs/>
                <w:color w:val="002060"/>
                <w:sz w:val="16"/>
                <w:szCs w:val="16"/>
              </w:rPr>
              <w:t>Длина, м</w:t>
            </w:r>
          </w:p>
        </w:tc>
        <w:tc>
          <w:tcPr>
            <w:tcW w:w="1176" w:type="dxa"/>
            <w:shd w:val="clear" w:color="auto" w:fill="FFFFFF"/>
          </w:tcPr>
          <w:p w14:paraId="0E164B45" w14:textId="77777777" w:rsidR="00B67D7C" w:rsidRPr="00DE096C" w:rsidRDefault="00B67D7C" w:rsidP="00D45A46">
            <w:pPr>
              <w:jc w:val="both"/>
              <w:rPr>
                <w:bCs/>
                <w:color w:val="002060"/>
                <w:sz w:val="16"/>
                <w:szCs w:val="16"/>
              </w:rPr>
            </w:pPr>
            <w:r w:rsidRPr="00DE096C">
              <w:rPr>
                <w:bCs/>
                <w:color w:val="002060"/>
                <w:sz w:val="16"/>
                <w:szCs w:val="16"/>
              </w:rPr>
              <w:t>15</w:t>
            </w:r>
          </w:p>
        </w:tc>
        <w:tc>
          <w:tcPr>
            <w:tcW w:w="1133" w:type="dxa"/>
            <w:shd w:val="clear" w:color="auto" w:fill="FFFFFF"/>
          </w:tcPr>
          <w:p w14:paraId="08525011" w14:textId="77777777" w:rsidR="00B67D7C" w:rsidRPr="00DE096C" w:rsidRDefault="00B67D7C" w:rsidP="00D45A46">
            <w:pPr>
              <w:jc w:val="both"/>
              <w:rPr>
                <w:bCs/>
                <w:color w:val="002060"/>
                <w:sz w:val="16"/>
                <w:szCs w:val="16"/>
              </w:rPr>
            </w:pPr>
            <w:r w:rsidRPr="00DE096C">
              <w:rPr>
                <w:bCs/>
                <w:color w:val="002060"/>
                <w:sz w:val="16"/>
                <w:szCs w:val="16"/>
              </w:rPr>
              <w:t>12,4:</w:t>
            </w:r>
          </w:p>
        </w:tc>
        <w:tc>
          <w:tcPr>
            <w:tcW w:w="1090" w:type="dxa"/>
            <w:shd w:val="clear" w:color="auto" w:fill="FFFFFF"/>
          </w:tcPr>
          <w:p w14:paraId="58D63FEA" w14:textId="77777777" w:rsidR="00B67D7C" w:rsidRPr="00DE096C" w:rsidRDefault="00B67D7C" w:rsidP="00D45A46">
            <w:pPr>
              <w:jc w:val="both"/>
              <w:rPr>
                <w:bCs/>
                <w:color w:val="002060"/>
                <w:sz w:val="16"/>
                <w:szCs w:val="16"/>
              </w:rPr>
            </w:pPr>
          </w:p>
        </w:tc>
        <w:tc>
          <w:tcPr>
            <w:tcW w:w="1267" w:type="dxa"/>
            <w:shd w:val="clear" w:color="auto" w:fill="FFFFFF"/>
          </w:tcPr>
          <w:p w14:paraId="2E5EE680" w14:textId="77777777" w:rsidR="00B67D7C" w:rsidRPr="00DE096C" w:rsidRDefault="00B67D7C" w:rsidP="00D45A46">
            <w:pPr>
              <w:jc w:val="both"/>
              <w:rPr>
                <w:bCs/>
                <w:color w:val="002060"/>
                <w:sz w:val="16"/>
                <w:szCs w:val="16"/>
              </w:rPr>
            </w:pPr>
            <w:r w:rsidRPr="00DE096C">
              <w:rPr>
                <w:bCs/>
                <w:color w:val="002060"/>
                <w:sz w:val="16"/>
                <w:szCs w:val="16"/>
              </w:rPr>
              <w:t>14,5</w:t>
            </w:r>
          </w:p>
        </w:tc>
      </w:tr>
      <w:tr w:rsidR="00B67D7C" w:rsidRPr="00DE096C" w14:paraId="0DE24310" w14:textId="77777777" w:rsidTr="00C2024A">
        <w:trPr>
          <w:trHeight w:val="235"/>
        </w:trPr>
        <w:tc>
          <w:tcPr>
            <w:tcW w:w="2069" w:type="dxa"/>
            <w:shd w:val="clear" w:color="auto" w:fill="FFFFFF"/>
          </w:tcPr>
          <w:p w14:paraId="46A27748" w14:textId="77777777" w:rsidR="00B67D7C" w:rsidRPr="00DE096C" w:rsidRDefault="00B67D7C" w:rsidP="00D45A46">
            <w:pPr>
              <w:jc w:val="both"/>
              <w:rPr>
                <w:bCs/>
                <w:color w:val="002060"/>
                <w:sz w:val="16"/>
                <w:szCs w:val="16"/>
              </w:rPr>
            </w:pPr>
            <w:r w:rsidRPr="00DE096C">
              <w:rPr>
                <w:bCs/>
                <w:color w:val="002060"/>
                <w:sz w:val="16"/>
                <w:szCs w:val="16"/>
              </w:rPr>
              <w:t>Площадь крыла, м</w:t>
            </w:r>
            <w:r w:rsidRPr="00DE096C">
              <w:rPr>
                <w:bCs/>
                <w:color w:val="002060"/>
                <w:sz w:val="16"/>
                <w:szCs w:val="16"/>
                <w:vertAlign w:val="superscript"/>
              </w:rPr>
              <w:t>2</w:t>
            </w:r>
          </w:p>
        </w:tc>
        <w:tc>
          <w:tcPr>
            <w:tcW w:w="1176" w:type="dxa"/>
            <w:shd w:val="clear" w:color="auto" w:fill="FFFFFF"/>
          </w:tcPr>
          <w:p w14:paraId="61C6DB8C" w14:textId="77777777" w:rsidR="00B67D7C" w:rsidRPr="00DE096C" w:rsidRDefault="00B67D7C" w:rsidP="00D45A46">
            <w:pPr>
              <w:jc w:val="both"/>
              <w:rPr>
                <w:bCs/>
                <w:color w:val="002060"/>
                <w:sz w:val="16"/>
                <w:szCs w:val="16"/>
              </w:rPr>
            </w:pPr>
            <w:r w:rsidRPr="00DE096C">
              <w:rPr>
                <w:bCs/>
                <w:color w:val="002060"/>
                <w:sz w:val="16"/>
                <w:szCs w:val="16"/>
              </w:rPr>
              <w:t>70</w:t>
            </w:r>
          </w:p>
        </w:tc>
        <w:tc>
          <w:tcPr>
            <w:tcW w:w="1133" w:type="dxa"/>
            <w:shd w:val="clear" w:color="auto" w:fill="FFFFFF"/>
          </w:tcPr>
          <w:p w14:paraId="24E17442" w14:textId="77777777" w:rsidR="00B67D7C" w:rsidRPr="00DE096C" w:rsidRDefault="00B67D7C" w:rsidP="00D45A46">
            <w:pPr>
              <w:jc w:val="both"/>
              <w:rPr>
                <w:bCs/>
                <w:color w:val="002060"/>
                <w:sz w:val="16"/>
                <w:szCs w:val="16"/>
              </w:rPr>
            </w:pPr>
            <w:r w:rsidRPr="00DE096C">
              <w:rPr>
                <w:bCs/>
                <w:color w:val="002060"/>
                <w:sz w:val="16"/>
                <w:szCs w:val="16"/>
              </w:rPr>
              <w:t>64</w:t>
            </w:r>
          </w:p>
        </w:tc>
        <w:tc>
          <w:tcPr>
            <w:tcW w:w="1090" w:type="dxa"/>
            <w:shd w:val="clear" w:color="auto" w:fill="FFFFFF"/>
          </w:tcPr>
          <w:p w14:paraId="7835DF1D" w14:textId="77777777" w:rsidR="00B67D7C" w:rsidRPr="00DE096C" w:rsidRDefault="00B67D7C" w:rsidP="00D45A46">
            <w:pPr>
              <w:jc w:val="both"/>
              <w:rPr>
                <w:bCs/>
                <w:color w:val="002060"/>
                <w:sz w:val="16"/>
                <w:szCs w:val="16"/>
              </w:rPr>
            </w:pPr>
          </w:p>
        </w:tc>
        <w:tc>
          <w:tcPr>
            <w:tcW w:w="1267" w:type="dxa"/>
            <w:shd w:val="clear" w:color="auto" w:fill="FFFFFF"/>
          </w:tcPr>
          <w:p w14:paraId="45BD6541" w14:textId="77777777" w:rsidR="00B67D7C" w:rsidRPr="00DE096C" w:rsidRDefault="00B67D7C" w:rsidP="00D45A46">
            <w:pPr>
              <w:jc w:val="both"/>
              <w:rPr>
                <w:bCs/>
                <w:color w:val="002060"/>
                <w:sz w:val="16"/>
                <w:szCs w:val="16"/>
              </w:rPr>
            </w:pPr>
            <w:r w:rsidRPr="00DE096C">
              <w:rPr>
                <w:bCs/>
                <w:color w:val="002060"/>
                <w:sz w:val="16"/>
                <w:szCs w:val="16"/>
              </w:rPr>
              <w:t>150</w:t>
            </w:r>
          </w:p>
        </w:tc>
      </w:tr>
      <w:tr w:rsidR="00B67D7C" w:rsidRPr="00DE096C" w14:paraId="58385074" w14:textId="77777777" w:rsidTr="00C2024A">
        <w:trPr>
          <w:trHeight w:val="245"/>
        </w:trPr>
        <w:tc>
          <w:tcPr>
            <w:tcW w:w="2069" w:type="dxa"/>
            <w:shd w:val="clear" w:color="auto" w:fill="FFFFFF"/>
          </w:tcPr>
          <w:p w14:paraId="3C336520" w14:textId="77777777" w:rsidR="00B67D7C" w:rsidRPr="00DE096C" w:rsidRDefault="00B67D7C" w:rsidP="00D45A46">
            <w:pPr>
              <w:jc w:val="both"/>
              <w:rPr>
                <w:bCs/>
                <w:color w:val="002060"/>
                <w:sz w:val="16"/>
                <w:szCs w:val="16"/>
              </w:rPr>
            </w:pPr>
            <w:r w:rsidRPr="00DE096C">
              <w:rPr>
                <w:bCs/>
                <w:color w:val="002060"/>
                <w:sz w:val="16"/>
                <w:szCs w:val="16"/>
              </w:rPr>
              <w:t>Макс, скорость, км/ч</w:t>
            </w:r>
          </w:p>
        </w:tc>
        <w:tc>
          <w:tcPr>
            <w:tcW w:w="1176" w:type="dxa"/>
            <w:shd w:val="clear" w:color="auto" w:fill="FFFFFF"/>
          </w:tcPr>
          <w:p w14:paraId="1ABB4BD4" w14:textId="77777777" w:rsidR="00B67D7C" w:rsidRPr="00DE096C" w:rsidRDefault="00B67D7C" w:rsidP="00D45A46">
            <w:pPr>
              <w:jc w:val="both"/>
              <w:rPr>
                <w:bCs/>
                <w:color w:val="002060"/>
                <w:sz w:val="16"/>
                <w:szCs w:val="16"/>
              </w:rPr>
            </w:pPr>
          </w:p>
        </w:tc>
        <w:tc>
          <w:tcPr>
            <w:tcW w:w="1133" w:type="dxa"/>
            <w:shd w:val="clear" w:color="auto" w:fill="FFFFFF"/>
          </w:tcPr>
          <w:p w14:paraId="1E58B745" w14:textId="77777777" w:rsidR="00B67D7C" w:rsidRPr="00DE096C" w:rsidRDefault="00B67D7C" w:rsidP="00D45A46">
            <w:pPr>
              <w:jc w:val="both"/>
              <w:rPr>
                <w:bCs/>
                <w:color w:val="002060"/>
                <w:sz w:val="16"/>
                <w:szCs w:val="16"/>
              </w:rPr>
            </w:pPr>
            <w:r w:rsidRPr="00DE096C">
              <w:rPr>
                <w:bCs/>
                <w:color w:val="002060"/>
                <w:sz w:val="16"/>
                <w:szCs w:val="16"/>
              </w:rPr>
              <w:t>142</w:t>
            </w:r>
          </w:p>
        </w:tc>
        <w:tc>
          <w:tcPr>
            <w:tcW w:w="1090" w:type="dxa"/>
            <w:shd w:val="clear" w:color="auto" w:fill="FFFFFF"/>
          </w:tcPr>
          <w:p w14:paraId="4C7B8ED5" w14:textId="77777777" w:rsidR="00B67D7C" w:rsidRPr="00DE096C" w:rsidRDefault="00B67D7C" w:rsidP="00D45A46">
            <w:pPr>
              <w:jc w:val="both"/>
              <w:rPr>
                <w:bCs/>
                <w:color w:val="002060"/>
                <w:sz w:val="16"/>
                <w:szCs w:val="16"/>
              </w:rPr>
            </w:pPr>
          </w:p>
        </w:tc>
        <w:tc>
          <w:tcPr>
            <w:tcW w:w="1267" w:type="dxa"/>
            <w:shd w:val="clear" w:color="auto" w:fill="FFFFFF"/>
          </w:tcPr>
          <w:p w14:paraId="3B236722" w14:textId="77777777" w:rsidR="00B67D7C" w:rsidRPr="00DE096C" w:rsidRDefault="00B67D7C" w:rsidP="00D45A46">
            <w:pPr>
              <w:jc w:val="both"/>
              <w:rPr>
                <w:bCs/>
                <w:color w:val="002060"/>
                <w:sz w:val="16"/>
                <w:szCs w:val="16"/>
              </w:rPr>
            </w:pPr>
            <w:r w:rsidRPr="00DE096C">
              <w:rPr>
                <w:bCs/>
                <w:color w:val="002060"/>
                <w:sz w:val="16"/>
                <w:szCs w:val="16"/>
              </w:rPr>
              <w:t>110</w:t>
            </w:r>
          </w:p>
        </w:tc>
      </w:tr>
      <w:tr w:rsidR="00B67D7C" w:rsidRPr="00DE096C" w14:paraId="2C46428F" w14:textId="77777777" w:rsidTr="00C2024A">
        <w:trPr>
          <w:trHeight w:val="230"/>
        </w:trPr>
        <w:tc>
          <w:tcPr>
            <w:tcW w:w="2069" w:type="dxa"/>
            <w:shd w:val="clear" w:color="auto" w:fill="FFFFFF"/>
          </w:tcPr>
          <w:p w14:paraId="03734876" w14:textId="77777777" w:rsidR="00B67D7C" w:rsidRPr="00DE096C" w:rsidRDefault="00B67D7C" w:rsidP="00D45A46">
            <w:pPr>
              <w:jc w:val="both"/>
              <w:rPr>
                <w:bCs/>
                <w:color w:val="002060"/>
                <w:sz w:val="16"/>
                <w:szCs w:val="16"/>
              </w:rPr>
            </w:pPr>
            <w:r w:rsidRPr="00DE096C">
              <w:rPr>
                <w:bCs/>
                <w:color w:val="002060"/>
                <w:sz w:val="16"/>
                <w:szCs w:val="16"/>
              </w:rPr>
              <w:t>Дальность, км</w:t>
            </w:r>
          </w:p>
        </w:tc>
        <w:tc>
          <w:tcPr>
            <w:tcW w:w="1176" w:type="dxa"/>
            <w:shd w:val="clear" w:color="auto" w:fill="FFFFFF"/>
          </w:tcPr>
          <w:p w14:paraId="78AF93EE" w14:textId="77777777" w:rsidR="00B67D7C" w:rsidRPr="00DE096C" w:rsidRDefault="00B67D7C" w:rsidP="00D45A46">
            <w:pPr>
              <w:jc w:val="both"/>
              <w:rPr>
                <w:bCs/>
                <w:color w:val="002060"/>
                <w:sz w:val="16"/>
                <w:szCs w:val="16"/>
              </w:rPr>
            </w:pPr>
          </w:p>
        </w:tc>
        <w:tc>
          <w:tcPr>
            <w:tcW w:w="1133" w:type="dxa"/>
            <w:shd w:val="clear" w:color="auto" w:fill="FFFFFF"/>
          </w:tcPr>
          <w:p w14:paraId="02CB1317" w14:textId="77777777" w:rsidR="00B67D7C" w:rsidRPr="00DE096C" w:rsidRDefault="00B67D7C" w:rsidP="00D45A46">
            <w:pPr>
              <w:jc w:val="both"/>
              <w:rPr>
                <w:bCs/>
                <w:color w:val="002060"/>
                <w:sz w:val="16"/>
                <w:szCs w:val="16"/>
              </w:rPr>
            </w:pPr>
            <w:r w:rsidRPr="00DE096C">
              <w:rPr>
                <w:bCs/>
                <w:color w:val="002060"/>
                <w:sz w:val="16"/>
                <w:szCs w:val="16"/>
              </w:rPr>
              <w:t>330</w:t>
            </w:r>
          </w:p>
        </w:tc>
        <w:tc>
          <w:tcPr>
            <w:tcW w:w="1090" w:type="dxa"/>
            <w:shd w:val="clear" w:color="auto" w:fill="FFFFFF"/>
          </w:tcPr>
          <w:p w14:paraId="43A8161F" w14:textId="77777777" w:rsidR="00B67D7C" w:rsidRPr="00DE096C" w:rsidRDefault="00B67D7C" w:rsidP="00D45A46">
            <w:pPr>
              <w:jc w:val="both"/>
              <w:rPr>
                <w:bCs/>
                <w:color w:val="002060"/>
                <w:sz w:val="16"/>
                <w:szCs w:val="16"/>
              </w:rPr>
            </w:pPr>
          </w:p>
        </w:tc>
        <w:tc>
          <w:tcPr>
            <w:tcW w:w="1267" w:type="dxa"/>
            <w:shd w:val="clear" w:color="auto" w:fill="FFFFFF"/>
          </w:tcPr>
          <w:p w14:paraId="22658905" w14:textId="77777777" w:rsidR="00B67D7C" w:rsidRPr="00DE096C" w:rsidRDefault="00B67D7C" w:rsidP="00D45A46">
            <w:pPr>
              <w:jc w:val="both"/>
              <w:rPr>
                <w:bCs/>
                <w:color w:val="002060"/>
                <w:sz w:val="16"/>
                <w:szCs w:val="16"/>
              </w:rPr>
            </w:pPr>
          </w:p>
        </w:tc>
      </w:tr>
      <w:tr w:rsidR="00B67D7C" w:rsidRPr="00DE096C" w14:paraId="5BC3B69F" w14:textId="77777777" w:rsidTr="00C2024A">
        <w:trPr>
          <w:trHeight w:val="230"/>
        </w:trPr>
        <w:tc>
          <w:tcPr>
            <w:tcW w:w="2069" w:type="dxa"/>
            <w:shd w:val="clear" w:color="auto" w:fill="FFFFFF"/>
          </w:tcPr>
          <w:p w14:paraId="1E743534" w14:textId="77777777" w:rsidR="00B67D7C" w:rsidRPr="00DE096C" w:rsidRDefault="00B67D7C" w:rsidP="00D45A46">
            <w:pPr>
              <w:jc w:val="both"/>
              <w:rPr>
                <w:bCs/>
                <w:color w:val="002060"/>
                <w:sz w:val="16"/>
                <w:szCs w:val="16"/>
              </w:rPr>
            </w:pPr>
            <w:r w:rsidRPr="00DE096C">
              <w:rPr>
                <w:bCs/>
                <w:color w:val="002060"/>
                <w:sz w:val="16"/>
                <w:szCs w:val="16"/>
              </w:rPr>
              <w:t>Потолок, м</w:t>
            </w:r>
          </w:p>
        </w:tc>
        <w:tc>
          <w:tcPr>
            <w:tcW w:w="1176" w:type="dxa"/>
            <w:shd w:val="clear" w:color="auto" w:fill="FFFFFF"/>
          </w:tcPr>
          <w:p w14:paraId="6B29C9C7" w14:textId="77777777" w:rsidR="00B67D7C" w:rsidRPr="00DE096C" w:rsidRDefault="00B67D7C" w:rsidP="00D45A46">
            <w:pPr>
              <w:jc w:val="both"/>
              <w:rPr>
                <w:bCs/>
                <w:color w:val="002060"/>
                <w:sz w:val="16"/>
                <w:szCs w:val="16"/>
              </w:rPr>
            </w:pPr>
          </w:p>
        </w:tc>
        <w:tc>
          <w:tcPr>
            <w:tcW w:w="1133" w:type="dxa"/>
            <w:shd w:val="clear" w:color="auto" w:fill="FFFFFF"/>
          </w:tcPr>
          <w:p w14:paraId="3D2ED8D8" w14:textId="77777777" w:rsidR="00B67D7C" w:rsidRPr="00DE096C" w:rsidRDefault="00B67D7C" w:rsidP="00D45A46">
            <w:pPr>
              <w:jc w:val="both"/>
              <w:rPr>
                <w:bCs/>
                <w:color w:val="002060"/>
                <w:sz w:val="16"/>
                <w:szCs w:val="16"/>
              </w:rPr>
            </w:pPr>
            <w:r w:rsidRPr="00DE096C">
              <w:rPr>
                <w:bCs/>
                <w:color w:val="002060"/>
                <w:sz w:val="16"/>
                <w:szCs w:val="16"/>
              </w:rPr>
              <w:t>2750</w:t>
            </w:r>
          </w:p>
        </w:tc>
        <w:tc>
          <w:tcPr>
            <w:tcW w:w="1090" w:type="dxa"/>
            <w:shd w:val="clear" w:color="auto" w:fill="FFFFFF"/>
          </w:tcPr>
          <w:p w14:paraId="4941B28E" w14:textId="77777777" w:rsidR="00B67D7C" w:rsidRPr="00DE096C" w:rsidRDefault="00B67D7C" w:rsidP="00D45A46">
            <w:pPr>
              <w:jc w:val="both"/>
              <w:rPr>
                <w:bCs/>
                <w:color w:val="002060"/>
                <w:sz w:val="16"/>
                <w:szCs w:val="16"/>
              </w:rPr>
            </w:pPr>
          </w:p>
        </w:tc>
        <w:tc>
          <w:tcPr>
            <w:tcW w:w="1267" w:type="dxa"/>
            <w:shd w:val="clear" w:color="auto" w:fill="FFFFFF"/>
          </w:tcPr>
          <w:p w14:paraId="786BD47D" w14:textId="77777777" w:rsidR="00B67D7C" w:rsidRPr="00DE096C" w:rsidRDefault="00B67D7C" w:rsidP="00D45A46">
            <w:pPr>
              <w:jc w:val="both"/>
              <w:rPr>
                <w:bCs/>
                <w:color w:val="002060"/>
                <w:sz w:val="16"/>
                <w:szCs w:val="16"/>
              </w:rPr>
            </w:pPr>
          </w:p>
        </w:tc>
      </w:tr>
      <w:tr w:rsidR="00B67D7C" w:rsidRPr="00DE096C" w14:paraId="73761F5A" w14:textId="77777777" w:rsidTr="00C2024A">
        <w:trPr>
          <w:trHeight w:val="293"/>
        </w:trPr>
        <w:tc>
          <w:tcPr>
            <w:tcW w:w="2069" w:type="dxa"/>
            <w:shd w:val="clear" w:color="auto" w:fill="FFFFFF"/>
          </w:tcPr>
          <w:p w14:paraId="7E41CB4C" w14:textId="77777777" w:rsidR="00B67D7C" w:rsidRPr="00DE096C" w:rsidRDefault="00B67D7C" w:rsidP="00D45A46">
            <w:pPr>
              <w:jc w:val="both"/>
              <w:rPr>
                <w:bCs/>
                <w:color w:val="002060"/>
                <w:sz w:val="16"/>
                <w:szCs w:val="16"/>
              </w:rPr>
            </w:pPr>
            <w:r w:rsidRPr="00DE096C">
              <w:rPr>
                <w:bCs/>
                <w:color w:val="002060"/>
                <w:sz w:val="16"/>
                <w:szCs w:val="16"/>
              </w:rPr>
              <w:t>Экипаж, чел</w:t>
            </w:r>
          </w:p>
        </w:tc>
        <w:tc>
          <w:tcPr>
            <w:tcW w:w="1176" w:type="dxa"/>
            <w:shd w:val="clear" w:color="auto" w:fill="FFFFFF"/>
          </w:tcPr>
          <w:p w14:paraId="3D212523" w14:textId="77777777" w:rsidR="00B67D7C" w:rsidRPr="00DE096C" w:rsidRDefault="00B67D7C" w:rsidP="00D45A46">
            <w:pPr>
              <w:jc w:val="both"/>
              <w:rPr>
                <w:bCs/>
                <w:color w:val="002060"/>
                <w:sz w:val="16"/>
                <w:szCs w:val="16"/>
              </w:rPr>
            </w:pPr>
            <w:r w:rsidRPr="00DE096C">
              <w:rPr>
                <w:bCs/>
                <w:color w:val="002060"/>
                <w:sz w:val="16"/>
                <w:szCs w:val="16"/>
              </w:rPr>
              <w:t>1</w:t>
            </w:r>
          </w:p>
        </w:tc>
        <w:tc>
          <w:tcPr>
            <w:tcW w:w="1133" w:type="dxa"/>
            <w:shd w:val="clear" w:color="auto" w:fill="FFFFFF"/>
          </w:tcPr>
          <w:p w14:paraId="3B9A7360" w14:textId="77777777" w:rsidR="00B67D7C" w:rsidRPr="00DE096C" w:rsidRDefault="00B67D7C" w:rsidP="00D45A46">
            <w:pPr>
              <w:jc w:val="both"/>
              <w:rPr>
                <w:bCs/>
                <w:color w:val="002060"/>
                <w:sz w:val="16"/>
                <w:szCs w:val="16"/>
              </w:rPr>
            </w:pPr>
            <w:r w:rsidRPr="00DE096C">
              <w:rPr>
                <w:bCs/>
                <w:color w:val="002060"/>
                <w:sz w:val="16"/>
                <w:szCs w:val="16"/>
              </w:rPr>
              <w:t>2</w:t>
            </w:r>
          </w:p>
        </w:tc>
        <w:tc>
          <w:tcPr>
            <w:tcW w:w="1090" w:type="dxa"/>
            <w:shd w:val="clear" w:color="auto" w:fill="FFFFFF"/>
          </w:tcPr>
          <w:p w14:paraId="2F49048A" w14:textId="77777777" w:rsidR="00B67D7C" w:rsidRPr="00DE096C" w:rsidRDefault="00B67D7C" w:rsidP="00D45A46">
            <w:pPr>
              <w:jc w:val="both"/>
              <w:rPr>
                <w:bCs/>
                <w:color w:val="002060"/>
                <w:sz w:val="16"/>
                <w:szCs w:val="16"/>
              </w:rPr>
            </w:pPr>
            <w:r w:rsidRPr="00DE096C">
              <w:rPr>
                <w:bCs/>
                <w:color w:val="002060"/>
                <w:sz w:val="16"/>
                <w:szCs w:val="16"/>
              </w:rPr>
              <w:t>5</w:t>
            </w:r>
          </w:p>
        </w:tc>
        <w:tc>
          <w:tcPr>
            <w:tcW w:w="1267" w:type="dxa"/>
            <w:shd w:val="clear" w:color="auto" w:fill="FFFFFF"/>
          </w:tcPr>
          <w:p w14:paraId="1F3FF3BB" w14:textId="77777777" w:rsidR="00B67D7C" w:rsidRPr="00DE096C" w:rsidRDefault="00B67D7C" w:rsidP="00D45A46">
            <w:pPr>
              <w:jc w:val="both"/>
              <w:rPr>
                <w:bCs/>
                <w:color w:val="002060"/>
                <w:sz w:val="16"/>
                <w:szCs w:val="16"/>
              </w:rPr>
            </w:pPr>
            <w:r w:rsidRPr="00DE096C">
              <w:rPr>
                <w:bCs/>
                <w:color w:val="002060"/>
                <w:sz w:val="16"/>
                <w:szCs w:val="16"/>
              </w:rPr>
              <w:t>5</w:t>
            </w:r>
          </w:p>
        </w:tc>
      </w:tr>
    </w:tbl>
    <w:p w14:paraId="159DB868" w14:textId="77777777" w:rsidR="00B67D7C" w:rsidRPr="00DE096C" w:rsidRDefault="00B67D7C" w:rsidP="00D45A46">
      <w:pPr>
        <w:jc w:val="both"/>
        <w:rPr>
          <w:bCs/>
          <w:color w:val="002060"/>
          <w:sz w:val="16"/>
          <w:szCs w:val="16"/>
        </w:rPr>
      </w:pPr>
      <w:r w:rsidRPr="00DE096C">
        <w:rPr>
          <w:bCs/>
          <w:color w:val="002060"/>
          <w:sz w:val="16"/>
          <w:szCs w:val="16"/>
        </w:rPr>
        <w:t>(11873).</w:t>
      </w:r>
    </w:p>
    <w:p w14:paraId="5EB8393C" w14:textId="77777777" w:rsidR="00B67D7C" w:rsidRPr="00DE096C" w:rsidRDefault="00B67D7C" w:rsidP="00D45A46">
      <w:pPr>
        <w:jc w:val="both"/>
        <w:rPr>
          <w:bCs/>
          <w:color w:val="002060"/>
          <w:sz w:val="16"/>
          <w:szCs w:val="16"/>
        </w:rPr>
      </w:pPr>
    </w:p>
    <w:p w14:paraId="645C32FC" w14:textId="2F6B81BF" w:rsidR="009F4438" w:rsidRPr="00DE096C" w:rsidRDefault="009F4438" w:rsidP="009F4438">
      <w:pPr>
        <w:jc w:val="both"/>
        <w:rPr>
          <w:bCs/>
          <w:i/>
          <w:color w:val="002060"/>
          <w:sz w:val="16"/>
          <w:szCs w:val="16"/>
        </w:rPr>
      </w:pPr>
      <w:r w:rsidRPr="00DE096C">
        <w:rPr>
          <w:bCs/>
          <w:i/>
          <w:color w:val="002060"/>
          <w:sz w:val="16"/>
          <w:szCs w:val="16"/>
        </w:rPr>
        <w:t xml:space="preserve">Авиация и воздухоплавание </w:t>
      </w:r>
      <w:r>
        <w:rPr>
          <w:bCs/>
          <w:i/>
          <w:color w:val="002060"/>
          <w:sz w:val="16"/>
          <w:szCs w:val="16"/>
        </w:rPr>
        <w:t>Франции</w:t>
      </w:r>
      <w:r w:rsidRPr="00DE096C">
        <w:rPr>
          <w:bCs/>
          <w:i/>
          <w:color w:val="002060"/>
          <w:sz w:val="16"/>
          <w:szCs w:val="16"/>
        </w:rPr>
        <w:t>:</w:t>
      </w:r>
    </w:p>
    <w:p w14:paraId="401CDCD1" w14:textId="77777777" w:rsidR="009F4438" w:rsidRPr="00DE096C" w:rsidRDefault="009F4438" w:rsidP="009F4438">
      <w:pPr>
        <w:jc w:val="both"/>
        <w:rPr>
          <w:bCs/>
          <w:i/>
          <w:color w:val="002060"/>
          <w:sz w:val="16"/>
          <w:szCs w:val="16"/>
        </w:rPr>
      </w:pPr>
    </w:p>
    <w:p w14:paraId="090C297C" w14:textId="5C05A218" w:rsidR="009F4438" w:rsidRPr="00B52707" w:rsidRDefault="009F4438" w:rsidP="009F4438">
      <w:pPr>
        <w:jc w:val="both"/>
        <w:rPr>
          <w:rFonts w:eastAsia="Trebuchet MS"/>
          <w:color w:val="0070C0"/>
          <w:sz w:val="16"/>
          <w:szCs w:val="16"/>
          <w:shd w:val="clear" w:color="auto" w:fill="FFFFFF"/>
        </w:rPr>
      </w:pPr>
      <w:r w:rsidRPr="00B52707">
        <w:rPr>
          <w:rFonts w:eastAsia="Trebuchet MS"/>
          <w:color w:val="0070C0"/>
          <w:sz w:val="16"/>
          <w:szCs w:val="16"/>
          <w:shd w:val="clear" w:color="auto" w:fill="FFFFFF"/>
        </w:rPr>
        <w:t>Осенью 1914 г. конструктор самолета Кодрон G.IV</w:t>
      </w:r>
      <w:r w:rsidR="0006581C">
        <w:rPr>
          <w:rFonts w:eastAsia="Trebuchet MS"/>
          <w:color w:val="0070C0"/>
          <w:sz w:val="16"/>
          <w:szCs w:val="16"/>
          <w:shd w:val="clear" w:color="auto" w:fill="FFFFFF"/>
        </w:rPr>
        <w:t xml:space="preserve"> </w:t>
      </w:r>
      <w:r w:rsidRPr="00B52707">
        <w:rPr>
          <w:rFonts w:eastAsia="Trebuchet MS"/>
          <w:color w:val="0070C0"/>
          <w:sz w:val="16"/>
          <w:szCs w:val="16"/>
          <w:shd w:val="clear" w:color="auto" w:fill="FFFFFF"/>
        </w:rPr>
        <w:t>Гастон Кодрон решил поставить два мотора вместо одного. Удельная нагрузка на крыло росла на 15…20%, что считалось не очень хорошо, зато на те же 20% уменьшалась нагрузка на мощность, а ее отношение к площади крыла улучшалось примерно в 1,5 раза. Это сулило прирост скорости и разгонных качеств на 10%, скороподъемности – на 15% и потолка почти на треть. Забегая вперед, заметим: именно этот самолет, из двухмоторных вероятно первым, сделал петлю Нестерова, причем ее исполнение оказалось несложным даже для обычных строевых пилотов. Но главное, он мог нести оружие – в освободившейся от мотора гондоле поставили уже не один, а два пулемета.</w:t>
      </w:r>
    </w:p>
    <w:p w14:paraId="32A02AFA" w14:textId="77777777" w:rsidR="009F4438" w:rsidRPr="00B52707" w:rsidRDefault="009F4438" w:rsidP="009F4438">
      <w:pPr>
        <w:jc w:val="both"/>
        <w:rPr>
          <w:rStyle w:val="ab"/>
          <w:rFonts w:ascii="Times New Roman" w:hAnsi="Times New Roman"/>
          <w:color w:val="0070C0"/>
          <w:spacing w:val="0"/>
          <w:sz w:val="16"/>
          <w:szCs w:val="16"/>
        </w:rPr>
      </w:pPr>
      <w:r w:rsidRPr="00B52707">
        <w:rPr>
          <w:rFonts w:eastAsia="Trebuchet MS"/>
          <w:color w:val="0070C0"/>
          <w:sz w:val="16"/>
          <w:szCs w:val="16"/>
          <w:shd w:val="clear" w:color="auto" w:fill="FFFFFF"/>
        </w:rPr>
        <w:t>Построенный в конце 1914 г. опытный Кодрон G.IV вышел на испытания лишь в марте 1915-го, и сразу же начались его поставки в строевые части Военной авиации Франции. На Западном фронте он стал первым аэропланом с числом моторов более одного, но более важным оказалось не это, а мощное и сравнительно удобное в использовании вооружение. Один пулемет (обычно «Льюис», но на части машин ставились «Гочкиссы», «Виккерсы» или «Кольты») крепился на шкворне в передней части гондолы и летнаб стрелял из него сидя, имея возможность поворачивать, поднимать и опускать оружие на значительные углы. Второй ставился на задний лонжерон верхнего крыла – стрелок вставал и вел огонь назад в верхнюю полусферу. Чтобы не выпасть, он держался левой рукой за стойку «кабана», но и тогда пилоту приходилось воздерживаться от резких маневров (25758).</w:t>
      </w:r>
    </w:p>
    <w:p w14:paraId="459D83C0" w14:textId="77777777" w:rsidR="009F4438" w:rsidRPr="00B52707" w:rsidRDefault="009F4438" w:rsidP="009F4438">
      <w:pPr>
        <w:jc w:val="both"/>
        <w:rPr>
          <w:rStyle w:val="ab"/>
          <w:rFonts w:ascii="Times New Roman" w:hAnsi="Times New Roman"/>
          <w:color w:val="0070C0"/>
          <w:spacing w:val="0"/>
          <w:sz w:val="16"/>
          <w:szCs w:val="16"/>
        </w:rPr>
      </w:pPr>
    </w:p>
    <w:p w14:paraId="49A4A509" w14:textId="77777777" w:rsidR="009E1084" w:rsidRPr="00CF03EC" w:rsidRDefault="009E1084" w:rsidP="009E1084">
      <w:pPr>
        <w:jc w:val="both"/>
        <w:rPr>
          <w:color w:val="0070C0"/>
          <w:sz w:val="16"/>
          <w:szCs w:val="16"/>
        </w:rPr>
      </w:pPr>
      <w:r w:rsidRPr="00CF03EC">
        <w:rPr>
          <w:color w:val="0070C0"/>
          <w:sz w:val="16"/>
          <w:szCs w:val="16"/>
        </w:rPr>
        <w:t>Осенью 1914 г. Ролан Гарро повстречал своего босса – совладельца и главного конструктора фирмы «Аэропланы Моран-Солнье» Раймонда Солнье, тоже призванного в строй. Пока все вокруг праздно ждали, когда же немец дойдет до столицы, эти двое обсуждали, что можно сделать, чтобы этого не случилось. Авиаторы не мыслили о стратегии, они думали о самолетах.</w:t>
      </w:r>
    </w:p>
    <w:p w14:paraId="4C5C32B8" w14:textId="77777777" w:rsidR="009E1084" w:rsidRPr="00CF03EC" w:rsidRDefault="009E1084" w:rsidP="009E1084">
      <w:pPr>
        <w:jc w:val="both"/>
        <w:rPr>
          <w:color w:val="0070C0"/>
          <w:sz w:val="16"/>
          <w:szCs w:val="16"/>
        </w:rPr>
      </w:pPr>
      <w:r w:rsidRPr="00CF03EC">
        <w:rPr>
          <w:color w:val="0070C0"/>
          <w:sz w:val="16"/>
          <w:szCs w:val="16"/>
        </w:rPr>
        <w:t>Солнье уже год вел опыты с синхронизатором – устройством, задерживающим выстрел пулемета, когда лопасть находится перед стволом, но пока оно у него не работало. Тогда появилась идея просто защитить винт от пули накладками-отсекателями, от которых они рикошетировали бы. Лопасти на уровне ствола следовало заузить, чтобы уменьшить «мертвые зоны», а чтобы компенсировать ее ослабление и подкрепить отсекатели, их надо связать со ступицей стальными стержнями. (25772).</w:t>
      </w:r>
    </w:p>
    <w:p w14:paraId="08129EA1" w14:textId="77777777" w:rsidR="009E1084" w:rsidRPr="00CF03EC" w:rsidRDefault="009E1084" w:rsidP="009E1084">
      <w:pPr>
        <w:jc w:val="both"/>
        <w:rPr>
          <w:color w:val="0070C0"/>
          <w:sz w:val="16"/>
          <w:szCs w:val="16"/>
        </w:rPr>
      </w:pPr>
    </w:p>
    <w:p w14:paraId="5C788943" w14:textId="77777777" w:rsidR="00854B00" w:rsidRPr="00DE096C" w:rsidRDefault="00854B00" w:rsidP="00D45A46">
      <w:pPr>
        <w:jc w:val="both"/>
        <w:rPr>
          <w:bCs/>
          <w:i/>
          <w:color w:val="002060"/>
          <w:sz w:val="16"/>
          <w:szCs w:val="16"/>
        </w:rPr>
      </w:pPr>
      <w:r w:rsidRPr="00DE096C">
        <w:rPr>
          <w:bCs/>
          <w:i/>
          <w:color w:val="002060"/>
          <w:sz w:val="16"/>
          <w:szCs w:val="16"/>
        </w:rPr>
        <w:t>Внешняя политика:</w:t>
      </w:r>
    </w:p>
    <w:p w14:paraId="1736C0B6" w14:textId="77777777" w:rsidR="00854B00" w:rsidRPr="00DE096C" w:rsidRDefault="00854B00" w:rsidP="00D45A46">
      <w:pPr>
        <w:jc w:val="both"/>
        <w:rPr>
          <w:bCs/>
          <w:i/>
          <w:color w:val="002060"/>
          <w:sz w:val="16"/>
          <w:szCs w:val="16"/>
        </w:rPr>
      </w:pPr>
    </w:p>
    <w:p w14:paraId="2A8BB2C7" w14:textId="54DFB682" w:rsidR="00854B00" w:rsidRPr="00DE096C" w:rsidRDefault="001C7B60" w:rsidP="00D45A46">
      <w:pPr>
        <w:pStyle w:val="ae"/>
        <w:spacing w:before="0" w:beforeAutospacing="0" w:after="0" w:afterAutospacing="0"/>
        <w:jc w:val="both"/>
        <w:rPr>
          <w:bCs/>
          <w:color w:val="002060"/>
          <w:sz w:val="16"/>
          <w:szCs w:val="16"/>
        </w:rPr>
      </w:pPr>
      <w:r w:rsidRPr="00DE096C">
        <w:rPr>
          <w:bCs/>
          <w:color w:val="002060"/>
          <w:sz w:val="16"/>
          <w:szCs w:val="16"/>
        </w:rPr>
        <w:t>Осенью 1914 г., еще</w:t>
      </w:r>
      <w:r w:rsidR="00854B00" w:rsidRPr="00DE096C">
        <w:rPr>
          <w:bCs/>
          <w:color w:val="002060"/>
          <w:sz w:val="16"/>
          <w:szCs w:val="16"/>
        </w:rPr>
        <w:t xml:space="preserve"> первые месяцы войны 1914 г. немцы перерезали в Балтийском море подводные телеграфные кабели, соединявшие Россию с Францией и Англией, и лишили правительство связи с союзниками. Уповать можно было только на радио (15736).</w:t>
      </w:r>
    </w:p>
    <w:p w14:paraId="4C5639A9" w14:textId="77777777" w:rsidR="00854B00" w:rsidRPr="00DE096C" w:rsidRDefault="00854B00" w:rsidP="00D45A46">
      <w:pPr>
        <w:pStyle w:val="ae"/>
        <w:spacing w:before="0" w:beforeAutospacing="0" w:after="0" w:afterAutospacing="0"/>
        <w:jc w:val="both"/>
        <w:rPr>
          <w:bCs/>
          <w:color w:val="002060"/>
          <w:sz w:val="16"/>
          <w:szCs w:val="16"/>
        </w:rPr>
      </w:pPr>
    </w:p>
    <w:p w14:paraId="13D96A5E" w14:textId="77777777" w:rsidR="00A63368" w:rsidRPr="00DE096C" w:rsidRDefault="00A63368" w:rsidP="00D45A46">
      <w:pPr>
        <w:jc w:val="both"/>
        <w:rPr>
          <w:bCs/>
          <w:i/>
          <w:color w:val="002060"/>
          <w:sz w:val="16"/>
          <w:szCs w:val="16"/>
        </w:rPr>
      </w:pPr>
      <w:r w:rsidRPr="00DE096C">
        <w:rPr>
          <w:bCs/>
          <w:i/>
          <w:color w:val="002060"/>
          <w:sz w:val="16"/>
          <w:szCs w:val="16"/>
        </w:rPr>
        <w:t>За рубежом:</w:t>
      </w:r>
    </w:p>
    <w:p w14:paraId="16D25106" w14:textId="77777777" w:rsidR="00A63368" w:rsidRPr="00DE096C" w:rsidRDefault="00A63368" w:rsidP="00D45A46">
      <w:pPr>
        <w:jc w:val="both"/>
        <w:rPr>
          <w:bCs/>
          <w:i/>
          <w:color w:val="002060"/>
          <w:sz w:val="16"/>
          <w:szCs w:val="16"/>
        </w:rPr>
      </w:pPr>
    </w:p>
    <w:p w14:paraId="37840CEA" w14:textId="77777777" w:rsidR="00A63368" w:rsidRPr="00DE096C" w:rsidRDefault="00A63368" w:rsidP="00D45A46">
      <w:pPr>
        <w:jc w:val="both"/>
        <w:rPr>
          <w:rFonts w:eastAsia="Times-Roman"/>
          <w:bCs/>
          <w:color w:val="002060"/>
          <w:sz w:val="16"/>
          <w:szCs w:val="16"/>
        </w:rPr>
      </w:pPr>
      <w:r w:rsidRPr="00DE096C">
        <w:rPr>
          <w:rFonts w:eastAsia="TimesNewRoman"/>
          <w:bCs/>
          <w:color w:val="002060"/>
          <w:sz w:val="16"/>
          <w:szCs w:val="16"/>
        </w:rPr>
        <w:lastRenderedPageBreak/>
        <w:t xml:space="preserve">Осенью </w:t>
      </w:r>
      <w:r w:rsidRPr="00DE096C">
        <w:rPr>
          <w:rFonts w:eastAsia="Times-Roman"/>
          <w:bCs/>
          <w:color w:val="002060"/>
          <w:sz w:val="16"/>
          <w:szCs w:val="16"/>
        </w:rPr>
        <w:t xml:space="preserve">1914 </w:t>
      </w:r>
      <w:r w:rsidRPr="00DE096C">
        <w:rPr>
          <w:rFonts w:eastAsia="TimesNewRoman"/>
          <w:bCs/>
          <w:color w:val="002060"/>
          <w:sz w:val="16"/>
          <w:szCs w:val="16"/>
        </w:rPr>
        <w:t>г</w:t>
      </w:r>
      <w:r w:rsidRPr="00DE096C">
        <w:rPr>
          <w:rFonts w:eastAsia="Times-Roman"/>
          <w:bCs/>
          <w:color w:val="002060"/>
          <w:sz w:val="16"/>
          <w:szCs w:val="16"/>
        </w:rPr>
        <w:t xml:space="preserve">. </w:t>
      </w:r>
      <w:r w:rsidRPr="00DE096C">
        <w:rPr>
          <w:rFonts w:eastAsia="TimesNewRoman"/>
          <w:bCs/>
          <w:color w:val="002060"/>
          <w:sz w:val="16"/>
          <w:szCs w:val="16"/>
        </w:rPr>
        <w:t>немецкий Институт Вильгельма начал разработку отравляющих газов для военного применения</w:t>
      </w:r>
      <w:r w:rsidRPr="00DE096C">
        <w:rPr>
          <w:rFonts w:eastAsia="Times-Roman"/>
          <w:bCs/>
          <w:color w:val="002060"/>
          <w:sz w:val="16"/>
          <w:szCs w:val="16"/>
        </w:rPr>
        <w:t xml:space="preserve">, </w:t>
      </w:r>
      <w:r w:rsidRPr="00DE096C">
        <w:rPr>
          <w:rFonts w:eastAsia="TimesNewRoman"/>
          <w:bCs/>
          <w:color w:val="002060"/>
          <w:sz w:val="16"/>
          <w:szCs w:val="16"/>
        </w:rPr>
        <w:t xml:space="preserve">а лауреат Нобелевской премии по химии </w:t>
      </w:r>
      <w:r w:rsidRPr="00DE096C">
        <w:rPr>
          <w:rFonts w:eastAsia="Times-Roman"/>
          <w:bCs/>
          <w:color w:val="002060"/>
          <w:sz w:val="16"/>
          <w:szCs w:val="16"/>
        </w:rPr>
        <w:t xml:space="preserve">(1918) </w:t>
      </w:r>
      <w:r w:rsidRPr="00DE096C">
        <w:rPr>
          <w:rFonts w:eastAsia="TimesNewRoman"/>
          <w:bCs/>
          <w:color w:val="002060"/>
          <w:sz w:val="16"/>
          <w:szCs w:val="16"/>
        </w:rPr>
        <w:t>Хабер и его лаборатория начали разрабатывать химическое оружие</w:t>
      </w:r>
      <w:r w:rsidRPr="00DE096C">
        <w:rPr>
          <w:rFonts w:eastAsia="Times-Roman"/>
          <w:bCs/>
          <w:color w:val="002060"/>
          <w:sz w:val="16"/>
          <w:szCs w:val="16"/>
        </w:rPr>
        <w:t xml:space="preserve">. </w:t>
      </w:r>
      <w:r w:rsidRPr="00DE096C">
        <w:rPr>
          <w:rFonts w:eastAsia="TimesNewRoman"/>
          <w:bCs/>
          <w:color w:val="002060"/>
          <w:sz w:val="16"/>
          <w:szCs w:val="16"/>
        </w:rPr>
        <w:t>Хлор</w:t>
      </w:r>
      <w:r w:rsidRPr="00DE096C">
        <w:rPr>
          <w:rFonts w:eastAsia="Times-Roman"/>
          <w:bCs/>
          <w:color w:val="002060"/>
          <w:sz w:val="16"/>
          <w:szCs w:val="16"/>
        </w:rPr>
        <w:t xml:space="preserve">, </w:t>
      </w:r>
      <w:r w:rsidRPr="00DE096C">
        <w:rPr>
          <w:rFonts w:eastAsia="TimesNewRoman"/>
          <w:bCs/>
          <w:color w:val="002060"/>
          <w:sz w:val="16"/>
          <w:szCs w:val="16"/>
        </w:rPr>
        <w:t xml:space="preserve">которогов </w:t>
      </w:r>
      <w:r w:rsidRPr="00DE096C">
        <w:rPr>
          <w:rFonts w:eastAsia="Times-Roman"/>
          <w:bCs/>
          <w:color w:val="002060"/>
          <w:sz w:val="16"/>
          <w:szCs w:val="16"/>
        </w:rPr>
        <w:t xml:space="preserve">1914 </w:t>
      </w:r>
      <w:r w:rsidRPr="00DE096C">
        <w:rPr>
          <w:rFonts w:eastAsia="TimesNewRoman"/>
          <w:bCs/>
          <w:color w:val="002060"/>
          <w:sz w:val="16"/>
          <w:szCs w:val="16"/>
        </w:rPr>
        <w:t>г</w:t>
      </w:r>
      <w:r w:rsidRPr="00DE096C">
        <w:rPr>
          <w:rFonts w:eastAsia="Times-Roman"/>
          <w:bCs/>
          <w:color w:val="002060"/>
          <w:sz w:val="16"/>
          <w:szCs w:val="16"/>
        </w:rPr>
        <w:t xml:space="preserve">. </w:t>
      </w:r>
      <w:r w:rsidRPr="00DE096C">
        <w:rPr>
          <w:rFonts w:eastAsia="TimesNewRoman"/>
          <w:bCs/>
          <w:color w:val="002060"/>
          <w:sz w:val="16"/>
          <w:szCs w:val="16"/>
        </w:rPr>
        <w:t xml:space="preserve">в Германии ежедневно производилось до </w:t>
      </w:r>
      <w:r w:rsidRPr="00DE096C">
        <w:rPr>
          <w:rFonts w:eastAsia="Times-Roman"/>
          <w:bCs/>
          <w:color w:val="002060"/>
          <w:sz w:val="16"/>
          <w:szCs w:val="16"/>
        </w:rPr>
        <w:t xml:space="preserve">40 </w:t>
      </w:r>
      <w:r w:rsidRPr="00DE096C">
        <w:rPr>
          <w:rFonts w:eastAsia="TimesNewRoman"/>
          <w:bCs/>
          <w:color w:val="002060"/>
          <w:sz w:val="16"/>
          <w:szCs w:val="16"/>
        </w:rPr>
        <w:t>тонн Хабер предлагал хранить и транспортировать на линию фронта в жидкой форме</w:t>
      </w:r>
      <w:r w:rsidRPr="00DE096C">
        <w:rPr>
          <w:rFonts w:eastAsia="Times-Roman"/>
          <w:bCs/>
          <w:color w:val="002060"/>
          <w:sz w:val="16"/>
          <w:szCs w:val="16"/>
        </w:rPr>
        <w:t xml:space="preserve">, </w:t>
      </w:r>
      <w:r w:rsidRPr="00DE096C">
        <w:rPr>
          <w:rFonts w:eastAsia="TimesNewRoman"/>
          <w:bCs/>
          <w:color w:val="002060"/>
          <w:sz w:val="16"/>
          <w:szCs w:val="16"/>
        </w:rPr>
        <w:t>под давлением</w:t>
      </w:r>
      <w:r w:rsidRPr="00DE096C">
        <w:rPr>
          <w:rFonts w:eastAsia="Times-Roman"/>
          <w:bCs/>
          <w:color w:val="002060"/>
          <w:sz w:val="16"/>
          <w:szCs w:val="16"/>
        </w:rPr>
        <w:t xml:space="preserve">, </w:t>
      </w:r>
      <w:r w:rsidRPr="00DE096C">
        <w:rPr>
          <w:rFonts w:eastAsia="TimesNewRoman"/>
          <w:bCs/>
          <w:color w:val="002060"/>
          <w:sz w:val="16"/>
          <w:szCs w:val="16"/>
        </w:rPr>
        <w:t>в стальных цилиндрах</w:t>
      </w:r>
      <w:r w:rsidRPr="00DE096C">
        <w:rPr>
          <w:rFonts w:eastAsia="Times-Roman"/>
          <w:bCs/>
          <w:color w:val="002060"/>
          <w:sz w:val="16"/>
          <w:szCs w:val="16"/>
        </w:rPr>
        <w:t xml:space="preserve">. </w:t>
      </w:r>
      <w:r w:rsidRPr="00DE096C">
        <w:rPr>
          <w:rFonts w:eastAsia="TimesNewRoman"/>
          <w:bCs/>
          <w:color w:val="002060"/>
          <w:sz w:val="16"/>
          <w:szCs w:val="16"/>
        </w:rPr>
        <w:t>Цилиндры должны были доставляться на боевые позиции</w:t>
      </w:r>
      <w:r w:rsidRPr="00DE096C">
        <w:rPr>
          <w:rFonts w:eastAsia="Times-Roman"/>
          <w:bCs/>
          <w:color w:val="002060"/>
          <w:sz w:val="16"/>
          <w:szCs w:val="16"/>
        </w:rPr>
        <w:t xml:space="preserve">; </w:t>
      </w:r>
      <w:r w:rsidRPr="00DE096C">
        <w:rPr>
          <w:rFonts w:eastAsia="TimesNewRoman"/>
          <w:bCs/>
          <w:color w:val="002060"/>
          <w:sz w:val="16"/>
          <w:szCs w:val="16"/>
        </w:rPr>
        <w:t>при наличии попутного ветра хлор выпускался в сторону вражеских позиций</w:t>
      </w:r>
      <w:r w:rsidRPr="00DE096C">
        <w:rPr>
          <w:rFonts w:eastAsia="Times-Roman"/>
          <w:bCs/>
          <w:color w:val="002060"/>
          <w:sz w:val="16"/>
          <w:szCs w:val="16"/>
        </w:rPr>
        <w:t>.</w:t>
      </w:r>
    </w:p>
    <w:p w14:paraId="5FF05070" w14:textId="77777777" w:rsidR="00A63368" w:rsidRPr="00DE096C" w:rsidRDefault="00A63368" w:rsidP="00D45A46">
      <w:pPr>
        <w:jc w:val="both"/>
        <w:rPr>
          <w:rFonts w:eastAsia="Times-Roman"/>
          <w:bCs/>
          <w:color w:val="002060"/>
          <w:sz w:val="16"/>
          <w:szCs w:val="16"/>
        </w:rPr>
      </w:pPr>
      <w:r w:rsidRPr="00DE096C">
        <w:rPr>
          <w:rFonts w:eastAsia="TimesNewRoman"/>
          <w:bCs/>
          <w:color w:val="002060"/>
          <w:sz w:val="16"/>
          <w:szCs w:val="16"/>
        </w:rPr>
        <w:t>Генералы с трудом представляли возможные последствия</w:t>
      </w:r>
      <w:r w:rsidRPr="00DE096C">
        <w:rPr>
          <w:rFonts w:eastAsia="Times-Roman"/>
          <w:bCs/>
          <w:color w:val="002060"/>
          <w:sz w:val="16"/>
          <w:szCs w:val="16"/>
        </w:rPr>
        <w:t xml:space="preserve">, </w:t>
      </w:r>
      <w:r w:rsidRPr="00DE096C">
        <w:rPr>
          <w:rFonts w:eastAsia="TimesNewRoman"/>
          <w:bCs/>
          <w:color w:val="002060"/>
          <w:sz w:val="16"/>
          <w:szCs w:val="16"/>
        </w:rPr>
        <w:t>однакоХабер хорошо понимал</w:t>
      </w:r>
      <w:r w:rsidRPr="00DE096C">
        <w:rPr>
          <w:rFonts w:eastAsia="Times-Roman"/>
          <w:bCs/>
          <w:color w:val="002060"/>
          <w:sz w:val="16"/>
          <w:szCs w:val="16"/>
        </w:rPr>
        <w:t xml:space="preserve">, </w:t>
      </w:r>
      <w:r w:rsidRPr="00DE096C">
        <w:rPr>
          <w:rFonts w:eastAsia="TimesNewRoman"/>
          <w:bCs/>
          <w:color w:val="002060"/>
          <w:sz w:val="16"/>
          <w:szCs w:val="16"/>
        </w:rPr>
        <w:t>какой эффект вызовет новое оружие и решил присутствовать при первом испытании</w:t>
      </w:r>
      <w:r w:rsidRPr="00DE096C">
        <w:rPr>
          <w:rFonts w:eastAsia="Times-Roman"/>
          <w:bCs/>
          <w:color w:val="002060"/>
          <w:sz w:val="16"/>
          <w:szCs w:val="16"/>
        </w:rPr>
        <w:t xml:space="preserve">. </w:t>
      </w:r>
      <w:r w:rsidRPr="00DE096C">
        <w:rPr>
          <w:rFonts w:eastAsia="TimesNewRoman"/>
          <w:bCs/>
          <w:color w:val="002060"/>
          <w:sz w:val="16"/>
          <w:szCs w:val="16"/>
        </w:rPr>
        <w:t xml:space="preserve">Местом первой атаки было выбрано местечко </w:t>
      </w:r>
      <w:r w:rsidRPr="00DE096C">
        <w:rPr>
          <w:rFonts w:eastAsia="Times-Roman"/>
          <w:bCs/>
          <w:color w:val="002060"/>
          <w:sz w:val="16"/>
          <w:szCs w:val="16"/>
        </w:rPr>
        <w:t xml:space="preserve">Langemarck </w:t>
      </w:r>
      <w:r w:rsidRPr="00DE096C">
        <w:rPr>
          <w:rFonts w:eastAsia="TimesNewRoman"/>
          <w:bCs/>
          <w:color w:val="002060"/>
          <w:sz w:val="16"/>
          <w:szCs w:val="16"/>
        </w:rPr>
        <w:t>под Ипром</w:t>
      </w:r>
      <w:r w:rsidRPr="00DE096C">
        <w:rPr>
          <w:rFonts w:eastAsia="Times-Roman"/>
          <w:bCs/>
          <w:color w:val="002060"/>
          <w:sz w:val="16"/>
          <w:szCs w:val="16"/>
        </w:rPr>
        <w:t xml:space="preserve">. </w:t>
      </w:r>
      <w:r w:rsidRPr="00DE096C">
        <w:rPr>
          <w:rFonts w:eastAsia="TimesNewRoman"/>
          <w:bCs/>
          <w:color w:val="002060"/>
          <w:sz w:val="16"/>
          <w:szCs w:val="16"/>
        </w:rPr>
        <w:t>На шестикилометровом участке располагались французские резервисты из Алжира и Канадский дивизион</w:t>
      </w:r>
      <w:r w:rsidRPr="00DE096C">
        <w:rPr>
          <w:rFonts w:eastAsia="Times-Roman"/>
          <w:bCs/>
          <w:color w:val="002060"/>
          <w:sz w:val="16"/>
          <w:szCs w:val="16"/>
        </w:rPr>
        <w:t xml:space="preserve">. </w:t>
      </w:r>
      <w:r w:rsidRPr="00DE096C">
        <w:rPr>
          <w:rFonts w:eastAsia="TimesNewRoman"/>
          <w:bCs/>
          <w:color w:val="002060"/>
          <w:sz w:val="16"/>
          <w:szCs w:val="16"/>
        </w:rPr>
        <w:t xml:space="preserve">Датой атаки назначили </w:t>
      </w:r>
      <w:r w:rsidRPr="00DE096C">
        <w:rPr>
          <w:rFonts w:eastAsia="Times-Roman"/>
          <w:bCs/>
          <w:color w:val="002060"/>
          <w:sz w:val="16"/>
          <w:szCs w:val="16"/>
        </w:rPr>
        <w:t xml:space="preserve">22 </w:t>
      </w:r>
      <w:r w:rsidRPr="00DE096C">
        <w:rPr>
          <w:rFonts w:eastAsia="TimesNewRoman"/>
          <w:bCs/>
          <w:color w:val="002060"/>
          <w:sz w:val="16"/>
          <w:szCs w:val="16"/>
        </w:rPr>
        <w:t xml:space="preserve">апреля </w:t>
      </w:r>
      <w:r w:rsidRPr="00DE096C">
        <w:rPr>
          <w:rFonts w:eastAsia="Times-Roman"/>
          <w:bCs/>
          <w:color w:val="002060"/>
          <w:sz w:val="16"/>
          <w:szCs w:val="16"/>
        </w:rPr>
        <w:t>1915</w:t>
      </w:r>
      <w:r w:rsidRPr="00DE096C">
        <w:rPr>
          <w:rFonts w:eastAsia="TimesNewRoman"/>
          <w:bCs/>
          <w:color w:val="002060"/>
          <w:sz w:val="16"/>
          <w:szCs w:val="16"/>
        </w:rPr>
        <w:t>г</w:t>
      </w:r>
      <w:r w:rsidRPr="00DE096C">
        <w:rPr>
          <w:rFonts w:eastAsia="Times-Roman"/>
          <w:bCs/>
          <w:color w:val="002060"/>
          <w:sz w:val="16"/>
          <w:szCs w:val="16"/>
        </w:rPr>
        <w:t xml:space="preserve">. </w:t>
      </w:r>
      <w:r w:rsidRPr="00DE096C">
        <w:rPr>
          <w:rFonts w:eastAsia="TimesNewRoman"/>
          <w:bCs/>
          <w:color w:val="002060"/>
          <w:sz w:val="16"/>
          <w:szCs w:val="16"/>
        </w:rPr>
        <w:t xml:space="preserve">Для атаки </w:t>
      </w:r>
      <w:r w:rsidRPr="00DE096C">
        <w:rPr>
          <w:rFonts w:eastAsia="Times-Roman"/>
          <w:bCs/>
          <w:color w:val="002060"/>
          <w:sz w:val="16"/>
          <w:szCs w:val="16"/>
        </w:rPr>
        <w:t xml:space="preserve">160 </w:t>
      </w:r>
      <w:r w:rsidRPr="00DE096C">
        <w:rPr>
          <w:rFonts w:eastAsia="TimesNewRoman"/>
          <w:bCs/>
          <w:color w:val="002060"/>
          <w:sz w:val="16"/>
          <w:szCs w:val="16"/>
        </w:rPr>
        <w:t xml:space="preserve">тонн жидкого хлора в </w:t>
      </w:r>
      <w:r w:rsidRPr="00DE096C">
        <w:rPr>
          <w:rFonts w:eastAsia="Times-Roman"/>
          <w:bCs/>
          <w:color w:val="002060"/>
          <w:sz w:val="16"/>
          <w:szCs w:val="16"/>
        </w:rPr>
        <w:t xml:space="preserve">6000 </w:t>
      </w:r>
      <w:r w:rsidRPr="00DE096C">
        <w:rPr>
          <w:rFonts w:eastAsia="TimesNewRoman"/>
          <w:bCs/>
          <w:color w:val="002060"/>
          <w:sz w:val="16"/>
          <w:szCs w:val="16"/>
        </w:rPr>
        <w:t>цилиндрах были тайно размещены вдоль германских позиций</w:t>
      </w:r>
      <w:r w:rsidRPr="00DE096C">
        <w:rPr>
          <w:rFonts w:eastAsia="Times-Roman"/>
          <w:bCs/>
          <w:color w:val="002060"/>
          <w:sz w:val="16"/>
          <w:szCs w:val="16"/>
        </w:rPr>
        <w:t xml:space="preserve">. </w:t>
      </w:r>
      <w:r w:rsidRPr="00DE096C">
        <w:rPr>
          <w:rFonts w:eastAsia="TimesNewRoman"/>
          <w:bCs/>
          <w:color w:val="002060"/>
          <w:sz w:val="16"/>
          <w:szCs w:val="16"/>
        </w:rPr>
        <w:t>Желто</w:t>
      </w:r>
      <w:r w:rsidRPr="00DE096C">
        <w:rPr>
          <w:rFonts w:eastAsia="Times-Roman"/>
          <w:bCs/>
          <w:color w:val="002060"/>
          <w:sz w:val="16"/>
          <w:szCs w:val="16"/>
        </w:rPr>
        <w:t>-</w:t>
      </w:r>
      <w:r w:rsidRPr="00DE096C">
        <w:rPr>
          <w:rFonts w:eastAsia="TimesNewRoman"/>
          <w:bCs/>
          <w:color w:val="002060"/>
          <w:sz w:val="16"/>
          <w:szCs w:val="16"/>
        </w:rPr>
        <w:t>зеленое облако накрыло французские позиции</w:t>
      </w:r>
      <w:r w:rsidRPr="00DE096C">
        <w:rPr>
          <w:rFonts w:eastAsia="Times-Roman"/>
          <w:bCs/>
          <w:color w:val="002060"/>
          <w:sz w:val="16"/>
          <w:szCs w:val="16"/>
        </w:rPr>
        <w:t xml:space="preserve">. </w:t>
      </w:r>
      <w:r w:rsidRPr="00DE096C">
        <w:rPr>
          <w:rFonts w:eastAsia="TimesNewRoman"/>
          <w:bCs/>
          <w:color w:val="002060"/>
          <w:sz w:val="16"/>
          <w:szCs w:val="16"/>
        </w:rPr>
        <w:t>Газ проникал во все щели укрытий</w:t>
      </w:r>
      <w:r w:rsidRPr="00DE096C">
        <w:rPr>
          <w:rFonts w:eastAsia="Times-Roman"/>
          <w:bCs/>
          <w:color w:val="002060"/>
          <w:sz w:val="16"/>
          <w:szCs w:val="16"/>
        </w:rPr>
        <w:t xml:space="preserve">. </w:t>
      </w:r>
      <w:r w:rsidRPr="00DE096C">
        <w:rPr>
          <w:rFonts w:eastAsia="TimesNewRoman"/>
          <w:bCs/>
          <w:color w:val="002060"/>
          <w:sz w:val="16"/>
          <w:szCs w:val="16"/>
        </w:rPr>
        <w:t>Те</w:t>
      </w:r>
      <w:r w:rsidRPr="00DE096C">
        <w:rPr>
          <w:rFonts w:eastAsia="Times-Roman"/>
          <w:bCs/>
          <w:color w:val="002060"/>
          <w:sz w:val="16"/>
          <w:szCs w:val="16"/>
        </w:rPr>
        <w:t xml:space="preserve">, </w:t>
      </w:r>
      <w:r w:rsidRPr="00DE096C">
        <w:rPr>
          <w:rFonts w:eastAsia="TimesNewRoman"/>
          <w:bCs/>
          <w:color w:val="002060"/>
          <w:sz w:val="16"/>
          <w:szCs w:val="16"/>
        </w:rPr>
        <w:t>кто пытался бежать</w:t>
      </w:r>
      <w:r w:rsidRPr="00DE096C">
        <w:rPr>
          <w:rFonts w:eastAsia="Times-Roman"/>
          <w:bCs/>
          <w:color w:val="002060"/>
          <w:sz w:val="16"/>
          <w:szCs w:val="16"/>
        </w:rPr>
        <w:t xml:space="preserve">, </w:t>
      </w:r>
      <w:r w:rsidRPr="00DE096C">
        <w:rPr>
          <w:rFonts w:eastAsia="TimesNewRoman"/>
          <w:bCs/>
          <w:color w:val="002060"/>
          <w:sz w:val="16"/>
          <w:szCs w:val="16"/>
        </w:rPr>
        <w:t>получали отравление еще быстрее</w:t>
      </w:r>
      <w:r w:rsidRPr="00DE096C">
        <w:rPr>
          <w:rFonts w:eastAsia="Times-Roman"/>
          <w:bCs/>
          <w:color w:val="002060"/>
          <w:sz w:val="16"/>
          <w:szCs w:val="16"/>
        </w:rPr>
        <w:t xml:space="preserve">, </w:t>
      </w:r>
      <w:r w:rsidRPr="00DE096C">
        <w:rPr>
          <w:rFonts w:eastAsia="TimesNewRoman"/>
          <w:bCs/>
          <w:color w:val="002060"/>
          <w:sz w:val="16"/>
          <w:szCs w:val="16"/>
        </w:rPr>
        <w:t>и умирали стремительно</w:t>
      </w:r>
      <w:r w:rsidRPr="00DE096C">
        <w:rPr>
          <w:rFonts w:eastAsia="Times-Roman"/>
          <w:bCs/>
          <w:color w:val="002060"/>
          <w:sz w:val="16"/>
          <w:szCs w:val="16"/>
        </w:rPr>
        <w:t xml:space="preserve">. </w:t>
      </w:r>
      <w:r w:rsidRPr="00DE096C">
        <w:rPr>
          <w:rFonts w:eastAsia="TimesNewRoman"/>
          <w:bCs/>
          <w:color w:val="002060"/>
          <w:sz w:val="16"/>
          <w:szCs w:val="16"/>
        </w:rPr>
        <w:t xml:space="preserve">В результате атаки погибло </w:t>
      </w:r>
      <w:r w:rsidRPr="00DE096C">
        <w:rPr>
          <w:rFonts w:eastAsia="Times-Roman"/>
          <w:bCs/>
          <w:color w:val="002060"/>
          <w:sz w:val="16"/>
          <w:szCs w:val="16"/>
        </w:rPr>
        <w:t xml:space="preserve">5000 </w:t>
      </w:r>
      <w:r w:rsidRPr="00DE096C">
        <w:rPr>
          <w:rFonts w:eastAsia="TimesNewRoman"/>
          <w:bCs/>
          <w:color w:val="002060"/>
          <w:sz w:val="16"/>
          <w:szCs w:val="16"/>
        </w:rPr>
        <w:t>человек</w:t>
      </w:r>
      <w:r w:rsidRPr="00DE096C">
        <w:rPr>
          <w:rFonts w:eastAsia="Times-Roman"/>
          <w:bCs/>
          <w:color w:val="002060"/>
          <w:sz w:val="16"/>
          <w:szCs w:val="16"/>
        </w:rPr>
        <w:t xml:space="preserve">, </w:t>
      </w:r>
      <w:r w:rsidRPr="00DE096C">
        <w:rPr>
          <w:rFonts w:eastAsia="TimesNewRoman"/>
          <w:bCs/>
          <w:color w:val="002060"/>
          <w:sz w:val="16"/>
          <w:szCs w:val="16"/>
        </w:rPr>
        <w:t xml:space="preserve">ещё </w:t>
      </w:r>
      <w:r w:rsidRPr="00DE096C">
        <w:rPr>
          <w:rFonts w:eastAsia="Times-Roman"/>
          <w:bCs/>
          <w:color w:val="002060"/>
          <w:sz w:val="16"/>
          <w:szCs w:val="16"/>
        </w:rPr>
        <w:t xml:space="preserve">15 000 </w:t>
      </w:r>
      <w:r w:rsidRPr="00DE096C">
        <w:rPr>
          <w:rFonts w:eastAsia="TimesNewRoman"/>
          <w:bCs/>
          <w:color w:val="002060"/>
          <w:sz w:val="16"/>
          <w:szCs w:val="16"/>
        </w:rPr>
        <w:t>человек были отравлены</w:t>
      </w:r>
      <w:r w:rsidRPr="00DE096C">
        <w:rPr>
          <w:rFonts w:eastAsia="Times-Roman"/>
          <w:bCs/>
          <w:color w:val="002060"/>
          <w:sz w:val="16"/>
          <w:szCs w:val="16"/>
        </w:rPr>
        <w:t xml:space="preserve">. </w:t>
      </w:r>
      <w:r w:rsidRPr="00DE096C">
        <w:rPr>
          <w:rFonts w:eastAsia="TimesNewRoman"/>
          <w:bCs/>
          <w:color w:val="002060"/>
          <w:sz w:val="16"/>
          <w:szCs w:val="16"/>
        </w:rPr>
        <w:t>Германцы в газовых масках заняли французские позиции</w:t>
      </w:r>
      <w:r w:rsidRPr="00DE096C">
        <w:rPr>
          <w:rFonts w:eastAsia="Times-Roman"/>
          <w:bCs/>
          <w:color w:val="002060"/>
          <w:sz w:val="16"/>
          <w:szCs w:val="16"/>
        </w:rPr>
        <w:t xml:space="preserve">, </w:t>
      </w:r>
      <w:r w:rsidRPr="00DE096C">
        <w:rPr>
          <w:rFonts w:eastAsia="TimesNewRoman"/>
          <w:bCs/>
          <w:color w:val="002060"/>
          <w:sz w:val="16"/>
          <w:szCs w:val="16"/>
        </w:rPr>
        <w:t xml:space="preserve">продвинувшись на </w:t>
      </w:r>
      <w:r w:rsidRPr="00DE096C">
        <w:rPr>
          <w:rFonts w:eastAsia="Times-Roman"/>
          <w:bCs/>
          <w:color w:val="002060"/>
          <w:sz w:val="16"/>
          <w:szCs w:val="16"/>
        </w:rPr>
        <w:t xml:space="preserve">800 </w:t>
      </w:r>
      <w:r w:rsidRPr="00DE096C">
        <w:rPr>
          <w:rFonts w:eastAsia="TimesNewRoman"/>
          <w:bCs/>
          <w:color w:val="002060"/>
          <w:sz w:val="16"/>
          <w:szCs w:val="16"/>
        </w:rPr>
        <w:t>ярдов</w:t>
      </w:r>
      <w:r w:rsidRPr="00DE096C">
        <w:rPr>
          <w:rFonts w:eastAsia="Times-Roman"/>
          <w:bCs/>
          <w:color w:val="002060"/>
          <w:sz w:val="16"/>
          <w:szCs w:val="16"/>
        </w:rPr>
        <w:t>.</w:t>
      </w:r>
    </w:p>
    <w:p w14:paraId="214AB3F4" w14:textId="77777777" w:rsidR="00A63368" w:rsidRPr="00DE096C" w:rsidRDefault="00A63368" w:rsidP="00D45A46">
      <w:pPr>
        <w:jc w:val="both"/>
        <w:rPr>
          <w:rFonts w:eastAsia="Times-Roman"/>
          <w:bCs/>
          <w:color w:val="002060"/>
          <w:sz w:val="16"/>
          <w:szCs w:val="16"/>
        </w:rPr>
      </w:pPr>
      <w:r w:rsidRPr="00DE096C">
        <w:rPr>
          <w:rFonts w:eastAsia="TimesNewRoman"/>
          <w:bCs/>
          <w:color w:val="002060"/>
          <w:sz w:val="16"/>
          <w:szCs w:val="16"/>
        </w:rPr>
        <w:t>Однако никаких великих стратегических целей с помощью химического оружия достичь не удалось</w:t>
      </w:r>
      <w:r w:rsidRPr="00DE096C">
        <w:rPr>
          <w:rFonts w:eastAsia="Times-Roman"/>
          <w:bCs/>
          <w:color w:val="002060"/>
          <w:sz w:val="16"/>
          <w:szCs w:val="16"/>
        </w:rPr>
        <w:t xml:space="preserve">, </w:t>
      </w:r>
      <w:r w:rsidRPr="00DE096C">
        <w:rPr>
          <w:rFonts w:eastAsia="TimesNewRoman"/>
          <w:bCs/>
          <w:color w:val="002060"/>
          <w:sz w:val="16"/>
          <w:szCs w:val="16"/>
        </w:rPr>
        <w:t xml:space="preserve">отступление союзников </w:t>
      </w:r>
      <w:r w:rsidRPr="00DE096C">
        <w:rPr>
          <w:rFonts w:eastAsia="Times-Roman"/>
          <w:bCs/>
          <w:color w:val="002060"/>
          <w:sz w:val="16"/>
          <w:szCs w:val="16"/>
        </w:rPr>
        <w:t>(</w:t>
      </w:r>
      <w:r w:rsidRPr="00DE096C">
        <w:rPr>
          <w:rFonts w:eastAsia="TimesNewRoman"/>
          <w:bCs/>
          <w:color w:val="002060"/>
          <w:sz w:val="16"/>
          <w:szCs w:val="16"/>
        </w:rPr>
        <w:t>главным образом</w:t>
      </w:r>
      <w:r w:rsidRPr="00DE096C">
        <w:rPr>
          <w:rFonts w:eastAsia="Times-Roman"/>
          <w:bCs/>
          <w:color w:val="002060"/>
          <w:sz w:val="16"/>
          <w:szCs w:val="16"/>
        </w:rPr>
        <w:t xml:space="preserve">, </w:t>
      </w:r>
      <w:r w:rsidRPr="00DE096C">
        <w:rPr>
          <w:rFonts w:eastAsia="TimesNewRoman"/>
          <w:bCs/>
          <w:color w:val="002060"/>
          <w:sz w:val="16"/>
          <w:szCs w:val="16"/>
        </w:rPr>
        <w:t>французов и ненадёжных колониальных войск</w:t>
      </w:r>
      <w:r w:rsidRPr="00DE096C">
        <w:rPr>
          <w:rFonts w:eastAsia="Times-Roman"/>
          <w:bCs/>
          <w:color w:val="002060"/>
          <w:sz w:val="16"/>
          <w:szCs w:val="16"/>
        </w:rPr>
        <w:t xml:space="preserve">) </w:t>
      </w:r>
      <w:r w:rsidRPr="00DE096C">
        <w:rPr>
          <w:rFonts w:eastAsia="TimesNewRoman"/>
          <w:bCs/>
          <w:color w:val="002060"/>
          <w:sz w:val="16"/>
          <w:szCs w:val="16"/>
        </w:rPr>
        <w:t>прекратилось</w:t>
      </w:r>
      <w:r w:rsidRPr="00DE096C">
        <w:rPr>
          <w:rFonts w:eastAsia="Times-Roman"/>
          <w:bCs/>
          <w:color w:val="002060"/>
          <w:sz w:val="16"/>
          <w:szCs w:val="16"/>
        </w:rPr>
        <w:t xml:space="preserve">, </w:t>
      </w:r>
      <w:r w:rsidRPr="00DE096C">
        <w:rPr>
          <w:rFonts w:eastAsia="TimesNewRoman"/>
          <w:bCs/>
          <w:color w:val="002060"/>
          <w:sz w:val="16"/>
          <w:szCs w:val="16"/>
        </w:rPr>
        <w:t>как только немцы исчерпали запасы хлора</w:t>
      </w:r>
      <w:r w:rsidRPr="00DE096C">
        <w:rPr>
          <w:rFonts w:eastAsia="Times-Roman"/>
          <w:bCs/>
          <w:color w:val="002060"/>
          <w:sz w:val="16"/>
          <w:szCs w:val="16"/>
        </w:rPr>
        <w:t xml:space="preserve">, </w:t>
      </w:r>
      <w:r w:rsidRPr="00DE096C">
        <w:rPr>
          <w:rFonts w:eastAsia="TimesNewRoman"/>
          <w:bCs/>
          <w:color w:val="002060"/>
          <w:sz w:val="16"/>
          <w:szCs w:val="16"/>
        </w:rPr>
        <w:t>а оперативно подтянутые резервы свели к нулю первоначально достигнутый немцами успех</w:t>
      </w:r>
      <w:r w:rsidRPr="00DE096C">
        <w:rPr>
          <w:rFonts w:eastAsia="Times-Roman"/>
          <w:bCs/>
          <w:color w:val="002060"/>
          <w:sz w:val="16"/>
          <w:szCs w:val="16"/>
        </w:rPr>
        <w:t xml:space="preserve">. </w:t>
      </w:r>
      <w:r w:rsidRPr="00DE096C">
        <w:rPr>
          <w:rFonts w:eastAsia="TimesNewRoman"/>
          <w:bCs/>
          <w:color w:val="002060"/>
          <w:sz w:val="16"/>
          <w:szCs w:val="16"/>
        </w:rPr>
        <w:t xml:space="preserve">Немецкое командование сочло хлор малоэффективным так как только </w:t>
      </w:r>
      <w:r w:rsidRPr="00DE096C">
        <w:rPr>
          <w:rFonts w:eastAsia="Times-Roman"/>
          <w:bCs/>
          <w:color w:val="002060"/>
          <w:sz w:val="16"/>
          <w:szCs w:val="16"/>
        </w:rPr>
        <w:t xml:space="preserve">4% </w:t>
      </w:r>
      <w:r w:rsidRPr="00DE096C">
        <w:rPr>
          <w:rFonts w:eastAsia="TimesNewRoman"/>
          <w:bCs/>
          <w:color w:val="002060"/>
          <w:sz w:val="16"/>
          <w:szCs w:val="16"/>
        </w:rPr>
        <w:t>пораженных умирало (20240)</w:t>
      </w:r>
      <w:r w:rsidRPr="00DE096C">
        <w:rPr>
          <w:rFonts w:eastAsia="Times-Roman"/>
          <w:bCs/>
          <w:color w:val="002060"/>
          <w:sz w:val="16"/>
          <w:szCs w:val="16"/>
        </w:rPr>
        <w:t>.</w:t>
      </w:r>
    </w:p>
    <w:p w14:paraId="49E65442" w14:textId="77777777" w:rsidR="00A63368" w:rsidRPr="00DE096C" w:rsidRDefault="00A63368" w:rsidP="00D45A46">
      <w:pPr>
        <w:jc w:val="both"/>
        <w:rPr>
          <w:rFonts w:eastAsia="Times-Roman"/>
          <w:bCs/>
          <w:color w:val="002060"/>
          <w:sz w:val="16"/>
          <w:szCs w:val="16"/>
        </w:rPr>
      </w:pPr>
    </w:p>
    <w:p w14:paraId="243B3FCB" w14:textId="77777777" w:rsidR="00A63368" w:rsidRPr="00DE096C" w:rsidRDefault="00A63368" w:rsidP="00D45A46">
      <w:pPr>
        <w:shd w:val="clear" w:color="auto" w:fill="FFFFFF"/>
        <w:jc w:val="both"/>
        <w:rPr>
          <w:bCs/>
          <w:color w:val="002060"/>
          <w:sz w:val="16"/>
          <w:szCs w:val="16"/>
        </w:rPr>
      </w:pPr>
      <w:bookmarkStart w:id="189" w:name="_Hlk55986795"/>
      <w:r w:rsidRPr="00DE096C">
        <w:rPr>
          <w:bCs/>
          <w:color w:val="002060"/>
          <w:sz w:val="16"/>
          <w:szCs w:val="16"/>
          <w:shd w:val="clear" w:color="auto" w:fill="FFFFFF"/>
        </w:rPr>
        <w:t>Осенью 1914 г. французы применили против германских войск созданные до войны 26-мм ружейные гранаты, снаряженные раздражающим веществом этилбромацетатом, по ядовитости приближающимся к синильной кислоте (20244).</w:t>
      </w:r>
    </w:p>
    <w:bookmarkEnd w:id="189"/>
    <w:p w14:paraId="100B2418" w14:textId="56B57973" w:rsidR="00A63368" w:rsidRPr="00DE096C" w:rsidRDefault="00A63368" w:rsidP="00D45A46">
      <w:pPr>
        <w:shd w:val="clear" w:color="auto" w:fill="FFFFFF"/>
        <w:jc w:val="both"/>
        <w:rPr>
          <w:bCs/>
          <w:color w:val="002060"/>
          <w:sz w:val="16"/>
          <w:szCs w:val="16"/>
        </w:rPr>
      </w:pPr>
    </w:p>
    <w:p w14:paraId="5F64A0F4" w14:textId="3B5A9CD9" w:rsidR="0051270C" w:rsidRPr="00DE096C" w:rsidRDefault="0051270C" w:rsidP="0051270C">
      <w:pPr>
        <w:shd w:val="clear" w:color="auto" w:fill="FFFFFF"/>
        <w:jc w:val="both"/>
        <w:rPr>
          <w:bCs/>
          <w:i/>
          <w:iCs/>
          <w:color w:val="002060"/>
          <w:sz w:val="16"/>
          <w:szCs w:val="16"/>
        </w:rPr>
      </w:pPr>
      <w:r>
        <w:rPr>
          <w:bCs/>
          <w:i/>
          <w:iCs/>
          <w:color w:val="002060"/>
          <w:sz w:val="16"/>
          <w:szCs w:val="16"/>
        </w:rPr>
        <w:t>Армия</w:t>
      </w:r>
      <w:r w:rsidRPr="00DE096C">
        <w:rPr>
          <w:bCs/>
          <w:i/>
          <w:iCs/>
          <w:color w:val="002060"/>
          <w:sz w:val="16"/>
          <w:szCs w:val="16"/>
        </w:rPr>
        <w:t>:</w:t>
      </w:r>
    </w:p>
    <w:p w14:paraId="327F87A2" w14:textId="77777777" w:rsidR="0051270C" w:rsidRPr="00DE096C" w:rsidRDefault="0051270C" w:rsidP="0051270C">
      <w:pPr>
        <w:shd w:val="clear" w:color="auto" w:fill="FFFFFF"/>
        <w:jc w:val="both"/>
        <w:rPr>
          <w:bCs/>
          <w:i/>
          <w:iCs/>
          <w:color w:val="002060"/>
          <w:sz w:val="16"/>
          <w:szCs w:val="16"/>
        </w:rPr>
      </w:pPr>
    </w:p>
    <w:p w14:paraId="53E8442A" w14:textId="77777777" w:rsidR="0051270C" w:rsidRPr="00B52707" w:rsidRDefault="0051270C" w:rsidP="0051270C">
      <w:pPr>
        <w:jc w:val="both"/>
        <w:rPr>
          <w:rStyle w:val="ab"/>
          <w:rFonts w:ascii="Times New Roman" w:hAnsi="Times New Roman"/>
          <w:color w:val="0070C0"/>
          <w:spacing w:val="0"/>
          <w:sz w:val="16"/>
          <w:szCs w:val="16"/>
        </w:rPr>
      </w:pPr>
      <w:r w:rsidRPr="00B52707">
        <w:rPr>
          <w:rStyle w:val="ab"/>
          <w:rFonts w:ascii="Times New Roman" w:hAnsi="Times New Roman"/>
          <w:color w:val="0070C0"/>
          <w:spacing w:val="0"/>
          <w:sz w:val="16"/>
          <w:szCs w:val="16"/>
        </w:rPr>
        <w:t>В течение осени-зимы 1914 года для прикрытия г. Петроград и Царского Села от воздушной угрозы создается первичная структура воздушной обороны с выносом дальней линии постов наблюдения в приморскую зону Прибалтики и Финляндии</w:t>
      </w:r>
    </w:p>
    <w:p w14:paraId="108BCEE9" w14:textId="77777777" w:rsidR="0051270C" w:rsidRPr="00B52707" w:rsidRDefault="0051270C" w:rsidP="0051270C">
      <w:pPr>
        <w:jc w:val="both"/>
        <w:rPr>
          <w:rStyle w:val="ab"/>
          <w:rFonts w:ascii="Times New Roman" w:hAnsi="Times New Roman"/>
          <w:color w:val="0070C0"/>
          <w:spacing w:val="0"/>
          <w:sz w:val="16"/>
          <w:szCs w:val="16"/>
        </w:rPr>
      </w:pPr>
    </w:p>
    <w:p w14:paraId="0B010D8B" w14:textId="7E8038DA" w:rsidR="00A13D78" w:rsidRPr="00DE096C" w:rsidRDefault="00A13D78" w:rsidP="00D45A46">
      <w:pPr>
        <w:shd w:val="clear" w:color="auto" w:fill="FFFFFF"/>
        <w:jc w:val="both"/>
        <w:rPr>
          <w:bCs/>
          <w:i/>
          <w:iCs/>
          <w:color w:val="002060"/>
          <w:sz w:val="16"/>
          <w:szCs w:val="16"/>
        </w:rPr>
      </w:pPr>
      <w:r w:rsidRPr="00DE096C">
        <w:rPr>
          <w:bCs/>
          <w:i/>
          <w:iCs/>
          <w:color w:val="002060"/>
          <w:sz w:val="16"/>
          <w:szCs w:val="16"/>
        </w:rPr>
        <w:t>Самолетостроение:</w:t>
      </w:r>
    </w:p>
    <w:p w14:paraId="0D18AAAB" w14:textId="77777777" w:rsidR="00A13D78" w:rsidRPr="00DE096C" w:rsidRDefault="00A13D78" w:rsidP="00D45A46">
      <w:pPr>
        <w:shd w:val="clear" w:color="auto" w:fill="FFFFFF"/>
        <w:jc w:val="both"/>
        <w:rPr>
          <w:bCs/>
          <w:i/>
          <w:iCs/>
          <w:color w:val="002060"/>
          <w:sz w:val="16"/>
          <w:szCs w:val="16"/>
        </w:rPr>
      </w:pPr>
    </w:p>
    <w:p w14:paraId="16B3D386" w14:textId="77777777" w:rsidR="00A13D78" w:rsidRPr="00DE096C" w:rsidRDefault="00A13D78" w:rsidP="00D45A46">
      <w:pPr>
        <w:jc w:val="both"/>
        <w:rPr>
          <w:bCs/>
          <w:color w:val="002060"/>
          <w:sz w:val="16"/>
          <w:szCs w:val="16"/>
        </w:rPr>
      </w:pPr>
      <w:r w:rsidRPr="00DE096C">
        <w:rPr>
          <w:bCs/>
          <w:color w:val="002060"/>
          <w:sz w:val="16"/>
          <w:szCs w:val="16"/>
        </w:rPr>
        <w:t>К октябрю 1914 года, через месяц после начала боевых действий на фронте, была окончена постройка самолета Безобразова. Безобразов видел в своем творении одноместный истребитель. Его сотоварищ такого мнения не разделял, полагая, что их птеродактиль интересен как чисто экспериментальный летательный аппарат. Первый полет, к изумлению многих авиаторов, Ф. Моска произвел весьма успешно, не делая никаких предварительных пробежек и подлетов. На аэродроме поднялся сильный ветер, когда пилот выруливал от места стоянки, чтобы побегать по травке туда-сюда. Почувствовав, что машина сама просится в небо, летчик дал газ и аэроплан легко, словно бабочка, вспорхнул вверх метров на 50—70. Совершив три устойчивых виража на высоте 200—250 м вокруг места старта, Моска приземлился. Цветов и музыки не было - никто не ожидал в этот день, что эта «паутина» полетит.</w:t>
      </w:r>
    </w:p>
    <w:p w14:paraId="0BC68916" w14:textId="77777777" w:rsidR="00A13D78" w:rsidRPr="00DE096C" w:rsidRDefault="00A13D78" w:rsidP="00D45A46">
      <w:pPr>
        <w:jc w:val="both"/>
        <w:rPr>
          <w:bCs/>
          <w:color w:val="002060"/>
          <w:sz w:val="16"/>
          <w:szCs w:val="16"/>
        </w:rPr>
      </w:pPr>
      <w:r w:rsidRPr="00DE096C">
        <w:rPr>
          <w:bCs/>
          <w:color w:val="002060"/>
          <w:sz w:val="16"/>
          <w:szCs w:val="16"/>
        </w:rPr>
        <w:t>Столь знаменательному событию А. А. Безобразов порадоваться не мог, поскольку в первых числах сентября он был уже на фронте как кадровый офицер. Вернуться к делам ему пришлось только в декабре 1914 года. После тяжелого ранения он длительное время пролежал в госпитале. Его «тримоноплан» в эту пору был переброшен в Крым (поближе к летной погоде), где в Севастопольской авиационной школе Ф. Моска продолжал его испытания и доводку. А. А. Безобразов прибыл в Крым в январе 1915 года и уже без Моски на протяжении всего 1915 года продолжал переделки и усовершенствования аппарата, пока в июне следующего года вновь не прибыл в Москву. 6 августа 1916 года летчик И. А. Орлов потерпел аварию при попытке взлета. Из-за поломки колесной оси аэроплан клюнул носом и перевернулся на спину. Ремонт «триплана» был закончен к марту 1917 года. Дальнейшие опыты с аэропланом были приостановлены. Установка и тип оружия на гипотетическом истребителе А. А. Безобразова не известны (11918).</w:t>
      </w:r>
    </w:p>
    <w:p w14:paraId="5A85B674" w14:textId="77777777" w:rsidR="00A13D78" w:rsidRPr="00DE096C" w:rsidRDefault="00A13D78" w:rsidP="00D45A46">
      <w:pPr>
        <w:jc w:val="both"/>
        <w:rPr>
          <w:bCs/>
          <w:color w:val="002060"/>
          <w:sz w:val="16"/>
          <w:szCs w:val="16"/>
        </w:rPr>
      </w:pPr>
    </w:p>
    <w:p w14:paraId="22EED92B" w14:textId="77777777" w:rsidR="00353FD9" w:rsidRPr="00DE096C" w:rsidRDefault="00353FD9" w:rsidP="00D45A46">
      <w:pPr>
        <w:jc w:val="both"/>
        <w:rPr>
          <w:bCs/>
          <w:i/>
          <w:color w:val="002060"/>
          <w:sz w:val="16"/>
          <w:szCs w:val="16"/>
        </w:rPr>
      </w:pPr>
      <w:r w:rsidRPr="00DE096C">
        <w:rPr>
          <w:bCs/>
          <w:i/>
          <w:color w:val="002060"/>
          <w:sz w:val="16"/>
          <w:szCs w:val="16"/>
        </w:rPr>
        <w:t>Другие оборонные отрасли:</w:t>
      </w:r>
    </w:p>
    <w:p w14:paraId="400E191E" w14:textId="77777777" w:rsidR="00353FD9" w:rsidRPr="00DE096C" w:rsidRDefault="00353FD9" w:rsidP="00D45A46">
      <w:pPr>
        <w:jc w:val="both"/>
        <w:rPr>
          <w:bCs/>
          <w:i/>
          <w:color w:val="002060"/>
          <w:sz w:val="16"/>
          <w:szCs w:val="16"/>
        </w:rPr>
      </w:pPr>
    </w:p>
    <w:p w14:paraId="77E66D36" w14:textId="77777777" w:rsidR="00353FD9" w:rsidRPr="00DE096C" w:rsidRDefault="00353FD9" w:rsidP="00D45A46">
      <w:pPr>
        <w:jc w:val="both"/>
        <w:rPr>
          <w:bCs/>
          <w:color w:val="002060"/>
          <w:sz w:val="16"/>
          <w:szCs w:val="16"/>
        </w:rPr>
      </w:pPr>
      <w:r w:rsidRPr="00DE096C">
        <w:rPr>
          <w:bCs/>
          <w:color w:val="002060"/>
          <w:sz w:val="16"/>
          <w:szCs w:val="16"/>
        </w:rPr>
        <w:t>К октябрю 1914 г. Ижорским заводом было выполнено бронирование первой партия из пятнадцати легковых автомашин «Русско-балтийского вагонного завода» (г. Рига) (15122).</w:t>
      </w:r>
    </w:p>
    <w:p w14:paraId="5DF89E3C" w14:textId="77777777" w:rsidR="00353FD9" w:rsidRPr="00DE096C" w:rsidRDefault="00353FD9" w:rsidP="00D45A46">
      <w:pPr>
        <w:jc w:val="both"/>
        <w:rPr>
          <w:bCs/>
          <w:color w:val="002060"/>
          <w:sz w:val="16"/>
          <w:szCs w:val="16"/>
        </w:rPr>
      </w:pPr>
    </w:p>
    <w:p w14:paraId="25DB5A1C" w14:textId="77777777" w:rsidR="00353FD9" w:rsidRPr="00DE096C" w:rsidRDefault="00353FD9" w:rsidP="00D45A46">
      <w:pPr>
        <w:jc w:val="both"/>
        <w:rPr>
          <w:bCs/>
          <w:i/>
          <w:color w:val="002060"/>
          <w:sz w:val="16"/>
          <w:szCs w:val="16"/>
        </w:rPr>
      </w:pPr>
      <w:r w:rsidRPr="00DE096C">
        <w:rPr>
          <w:bCs/>
          <w:i/>
          <w:color w:val="002060"/>
          <w:sz w:val="16"/>
          <w:szCs w:val="16"/>
        </w:rPr>
        <w:t>За рубежом:</w:t>
      </w:r>
    </w:p>
    <w:p w14:paraId="6B1CB6BE" w14:textId="77777777" w:rsidR="00353FD9" w:rsidRPr="00DE096C" w:rsidRDefault="00353FD9" w:rsidP="00D45A46">
      <w:pPr>
        <w:jc w:val="both"/>
        <w:rPr>
          <w:bCs/>
          <w:i/>
          <w:color w:val="002060"/>
          <w:sz w:val="16"/>
          <w:szCs w:val="16"/>
        </w:rPr>
      </w:pPr>
    </w:p>
    <w:p w14:paraId="479B774E" w14:textId="77777777" w:rsidR="00353FD9" w:rsidRPr="00DE096C" w:rsidRDefault="00353FD9" w:rsidP="00D45A46">
      <w:pPr>
        <w:jc w:val="both"/>
        <w:rPr>
          <w:bCs/>
          <w:color w:val="002060"/>
          <w:sz w:val="16"/>
          <w:szCs w:val="16"/>
          <w:u w:color="002060"/>
        </w:rPr>
      </w:pPr>
      <w:r w:rsidRPr="00DE096C">
        <w:rPr>
          <w:bCs/>
          <w:color w:val="002060"/>
          <w:sz w:val="16"/>
          <w:szCs w:val="16"/>
          <w:u w:color="002060"/>
        </w:rPr>
        <w:t>К октябрю 1914 г. на французско-германском фронте закончился маневренный период боевых действий Первой мировой войны. Боевые действия характеризовались многодневными артиллерийскими налетами и последующими пехотными атаками, приводившими к многочисленным потерям без существенных успехов для противоборствующих сторон.</w:t>
      </w:r>
    </w:p>
    <w:p w14:paraId="323CD4E9" w14:textId="77777777" w:rsidR="00353FD9" w:rsidRPr="00DE096C" w:rsidRDefault="00353FD9" w:rsidP="00D45A46">
      <w:pPr>
        <w:jc w:val="both"/>
        <w:rPr>
          <w:bCs/>
          <w:color w:val="002060"/>
          <w:sz w:val="16"/>
          <w:szCs w:val="16"/>
          <w:u w:color="002060"/>
        </w:rPr>
      </w:pPr>
      <w:r w:rsidRPr="00DE096C">
        <w:rPr>
          <w:bCs/>
          <w:color w:val="002060"/>
          <w:sz w:val="16"/>
          <w:szCs w:val="16"/>
          <w:u w:color="002060"/>
        </w:rPr>
        <w:t>Выход из «позиционного тупика» союзники связывали с использованием на поле боя принципиально нового средства – танка. Так, для участия в бою на Сомме (Somme) 15 сентября 1916 г. англичане выделили 49 танков Mkl. Однако, по причине низкой технической надежности 17 из них не смогли выйти даже на исходные позиции. В ходе атаки выбыли из строя еще 14 машин. В боевых действиях приняли участие 18 танков, причем десять из них в самом начале были подбиты огнем германской артиллерии. На всю глубину атаки, продолжавшейся 2 ч 30 мин, прошел только один танк.</w:t>
      </w:r>
    </w:p>
    <w:p w14:paraId="62C0C5DC" w14:textId="77777777" w:rsidR="00353FD9" w:rsidRPr="00DE096C" w:rsidRDefault="00353FD9" w:rsidP="00D45A46">
      <w:pPr>
        <w:jc w:val="both"/>
        <w:rPr>
          <w:bCs/>
          <w:color w:val="002060"/>
          <w:sz w:val="16"/>
          <w:szCs w:val="16"/>
          <w:u w:color="002060"/>
        </w:rPr>
      </w:pPr>
      <w:r w:rsidRPr="00DE096C">
        <w:rPr>
          <w:bCs/>
          <w:color w:val="002060"/>
          <w:sz w:val="16"/>
          <w:szCs w:val="16"/>
          <w:u w:color="002060"/>
        </w:rPr>
        <w:t>Несмотря на провал в техническом отношении, тактический успех, достигнутый внезапным применением нового боевого средства, превзошел все ожидания. В результате боя на Сомме за 2,5 ч был занят район глубиной и шириной 5 км, безуспешно подвергавшийся атакам до применения танков в течение 10 дней. Первое применение танков подтвердило правильность заложенных в них идей, а последующие события оказали большое влияние на их дальнейшее развитие.</w:t>
      </w:r>
    </w:p>
    <w:p w14:paraId="1873733F" w14:textId="77777777" w:rsidR="00353FD9" w:rsidRPr="00DE096C" w:rsidRDefault="00353FD9" w:rsidP="00D45A46">
      <w:pPr>
        <w:jc w:val="both"/>
        <w:rPr>
          <w:bCs/>
          <w:color w:val="002060"/>
          <w:sz w:val="16"/>
          <w:szCs w:val="16"/>
          <w:u w:color="002060"/>
        </w:rPr>
      </w:pPr>
      <w:r w:rsidRPr="00DE096C">
        <w:rPr>
          <w:bCs/>
          <w:color w:val="002060"/>
          <w:sz w:val="16"/>
          <w:szCs w:val="16"/>
          <w:u w:color="002060"/>
        </w:rPr>
        <w:t>Учитывая полное отсутствие информации о подобном оружии у личного состава германской армии, нередкими были случаи сдачи в плен отдельных подразделений, не сумевших организовать оборону. Но в основном войска оказали сопротивление и в ходе боя отошли на позиции второго эшелона обороны. К исходу следующих суток контратакой германских сил исходное положение линии фронта на данном участке было восстановлено (12148).</w:t>
      </w:r>
    </w:p>
    <w:p w14:paraId="20190810" w14:textId="77777777" w:rsidR="00353FD9" w:rsidRPr="00DE096C" w:rsidRDefault="00353FD9" w:rsidP="00D45A46">
      <w:pPr>
        <w:jc w:val="both"/>
        <w:rPr>
          <w:bCs/>
          <w:color w:val="002060"/>
          <w:sz w:val="16"/>
          <w:szCs w:val="16"/>
        </w:rPr>
      </w:pPr>
    </w:p>
    <w:p w14:paraId="7B570EEC" w14:textId="77777777" w:rsidR="00B67D7C" w:rsidRPr="00DE096C" w:rsidRDefault="00B67D7C" w:rsidP="00D45A46">
      <w:pPr>
        <w:jc w:val="both"/>
        <w:rPr>
          <w:bCs/>
          <w:i/>
          <w:color w:val="002060"/>
          <w:sz w:val="16"/>
          <w:szCs w:val="16"/>
        </w:rPr>
      </w:pPr>
      <w:r w:rsidRPr="00DE096C">
        <w:rPr>
          <w:bCs/>
          <w:i/>
          <w:color w:val="002060"/>
          <w:sz w:val="16"/>
          <w:szCs w:val="16"/>
        </w:rPr>
        <w:t>Самолетостроение:</w:t>
      </w:r>
    </w:p>
    <w:p w14:paraId="55E46E04" w14:textId="77777777" w:rsidR="00B67D7C" w:rsidRPr="00DE096C" w:rsidRDefault="00B67D7C" w:rsidP="00D45A46">
      <w:pPr>
        <w:jc w:val="both"/>
        <w:rPr>
          <w:bCs/>
          <w:i/>
          <w:color w:val="002060"/>
          <w:sz w:val="16"/>
          <w:szCs w:val="16"/>
        </w:rPr>
      </w:pPr>
    </w:p>
    <w:p w14:paraId="63FE646F" w14:textId="77777777" w:rsidR="00B37FAC" w:rsidRPr="00DE096C" w:rsidRDefault="00B37FAC" w:rsidP="00D45A46">
      <w:pPr>
        <w:jc w:val="both"/>
        <w:rPr>
          <w:bCs/>
          <w:color w:val="002060"/>
          <w:sz w:val="16"/>
          <w:szCs w:val="16"/>
          <w:shd w:val="clear" w:color="auto" w:fill="FFFFFF"/>
        </w:rPr>
      </w:pPr>
      <w:r w:rsidRPr="00DE096C">
        <w:rPr>
          <w:bCs/>
          <w:color w:val="002060"/>
          <w:sz w:val="16"/>
          <w:szCs w:val="16"/>
          <w:shd w:val="clear" w:color="auto" w:fill="FFFFFF"/>
        </w:rPr>
        <w:t>1 (14) октября 1914 года подписали новый контракт (№ 11356/5031) на постройку 32 самолетов С- 22Б (19957).</w:t>
      </w:r>
    </w:p>
    <w:p w14:paraId="315FE6A5" w14:textId="77777777" w:rsidR="00B37FAC" w:rsidRPr="00DE096C" w:rsidRDefault="00B37FAC" w:rsidP="00D45A46">
      <w:pPr>
        <w:jc w:val="both"/>
        <w:rPr>
          <w:bCs/>
          <w:color w:val="002060"/>
          <w:sz w:val="16"/>
          <w:szCs w:val="16"/>
          <w:shd w:val="clear" w:color="auto" w:fill="FFFFFF"/>
        </w:rPr>
      </w:pPr>
    </w:p>
    <w:p w14:paraId="3E64BB18" w14:textId="66818BC0" w:rsidR="00392F0D" w:rsidRPr="00DE096C" w:rsidRDefault="00392F0D" w:rsidP="00D45A46">
      <w:pPr>
        <w:shd w:val="clear" w:color="auto" w:fill="FFFFFF"/>
        <w:jc w:val="both"/>
        <w:rPr>
          <w:bCs/>
          <w:color w:val="002060"/>
          <w:sz w:val="16"/>
          <w:szCs w:val="16"/>
        </w:rPr>
      </w:pPr>
      <w:r w:rsidRPr="00DE096C">
        <w:rPr>
          <w:bCs/>
          <w:color w:val="002060"/>
          <w:sz w:val="16"/>
          <w:szCs w:val="16"/>
        </w:rPr>
        <w:t>1 (14) октября 1914 г.</w:t>
      </w:r>
    </w:p>
    <w:p w14:paraId="375D7A14" w14:textId="41F06523" w:rsidR="00B67D7C" w:rsidRPr="00DE096C" w:rsidRDefault="00B67D7C" w:rsidP="00D45A46">
      <w:pPr>
        <w:shd w:val="clear" w:color="auto" w:fill="FFFFFF"/>
        <w:jc w:val="both"/>
        <w:rPr>
          <w:bCs/>
          <w:color w:val="002060"/>
          <w:sz w:val="16"/>
          <w:szCs w:val="16"/>
        </w:rPr>
      </w:pPr>
      <w:r w:rsidRPr="00DE096C">
        <w:rPr>
          <w:bCs/>
          <w:color w:val="002060"/>
          <w:sz w:val="16"/>
          <w:szCs w:val="16"/>
        </w:rPr>
        <w:t>Состояние самолетного парка русской действующей армии во второй половине 1914 г. характеризуется следующими дан</w:t>
      </w:r>
      <w:r w:rsidRPr="00DE096C">
        <w:rPr>
          <w:bCs/>
          <w:color w:val="002060"/>
          <w:sz w:val="16"/>
          <w:szCs w:val="16"/>
        </w:rPr>
        <w:softHyphen/>
        <w:t>ными (табл. 1) (ЦГВИА, ф. 2008, оп. 2, д. 616, л. .137).</w:t>
      </w:r>
    </w:p>
    <w:p w14:paraId="182116F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Таблица 1</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26"/>
        <w:gridCol w:w="1776"/>
        <w:gridCol w:w="797"/>
        <w:gridCol w:w="806"/>
        <w:gridCol w:w="653"/>
      </w:tblGrid>
      <w:tr w:rsidR="00B67D7C" w:rsidRPr="00DE096C" w14:paraId="0C90E496" w14:textId="77777777" w:rsidTr="00C2024A">
        <w:trPr>
          <w:trHeight w:val="403"/>
        </w:trPr>
        <w:tc>
          <w:tcPr>
            <w:tcW w:w="2102" w:type="dxa"/>
            <w:gridSpan w:val="2"/>
          </w:tcPr>
          <w:p w14:paraId="487A3F4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Дата</w:t>
            </w:r>
          </w:p>
        </w:tc>
        <w:tc>
          <w:tcPr>
            <w:tcW w:w="2256" w:type="dxa"/>
            <w:gridSpan w:val="3"/>
          </w:tcPr>
          <w:p w14:paraId="14DA0F7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Количество самолетов</w:t>
            </w:r>
          </w:p>
        </w:tc>
      </w:tr>
      <w:tr w:rsidR="00B67D7C" w:rsidRPr="00DE096C" w14:paraId="3F0B30CA" w14:textId="77777777" w:rsidTr="00C2024A">
        <w:trPr>
          <w:trHeight w:val="432"/>
        </w:trPr>
        <w:tc>
          <w:tcPr>
            <w:tcW w:w="2102" w:type="dxa"/>
            <w:gridSpan w:val="2"/>
          </w:tcPr>
          <w:p w14:paraId="2D9E0E7B" w14:textId="77777777" w:rsidR="00B67D7C" w:rsidRPr="00DE096C" w:rsidRDefault="00B67D7C" w:rsidP="00D45A46">
            <w:pPr>
              <w:jc w:val="both"/>
              <w:rPr>
                <w:bCs/>
                <w:color w:val="002060"/>
                <w:sz w:val="16"/>
                <w:szCs w:val="16"/>
              </w:rPr>
            </w:pPr>
          </w:p>
        </w:tc>
        <w:tc>
          <w:tcPr>
            <w:tcW w:w="797" w:type="dxa"/>
          </w:tcPr>
          <w:p w14:paraId="239E632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исправных</w:t>
            </w:r>
          </w:p>
        </w:tc>
        <w:tc>
          <w:tcPr>
            <w:tcW w:w="806" w:type="dxa"/>
          </w:tcPr>
          <w:p w14:paraId="0E4F445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ремонте</w:t>
            </w:r>
          </w:p>
        </w:tc>
        <w:tc>
          <w:tcPr>
            <w:tcW w:w="653" w:type="dxa"/>
          </w:tcPr>
          <w:p w14:paraId="11FD574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всего</w:t>
            </w:r>
          </w:p>
        </w:tc>
      </w:tr>
      <w:tr w:rsidR="00B67D7C" w:rsidRPr="00DE096C" w14:paraId="0255FB7A" w14:textId="77777777" w:rsidTr="00C2024A">
        <w:trPr>
          <w:trHeight w:val="442"/>
        </w:trPr>
        <w:tc>
          <w:tcPr>
            <w:tcW w:w="326" w:type="dxa"/>
          </w:tcPr>
          <w:p w14:paraId="2B5B8CF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На</w:t>
            </w:r>
          </w:p>
        </w:tc>
        <w:tc>
          <w:tcPr>
            <w:tcW w:w="1776" w:type="dxa"/>
          </w:tcPr>
          <w:p w14:paraId="723C134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 сентября 1914 г.</w:t>
            </w:r>
          </w:p>
        </w:tc>
        <w:tc>
          <w:tcPr>
            <w:tcW w:w="797" w:type="dxa"/>
          </w:tcPr>
          <w:p w14:paraId="05BBACE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145</w:t>
            </w:r>
          </w:p>
        </w:tc>
        <w:tc>
          <w:tcPr>
            <w:tcW w:w="806" w:type="dxa"/>
          </w:tcPr>
          <w:p w14:paraId="0BE529B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17</w:t>
            </w:r>
          </w:p>
        </w:tc>
        <w:tc>
          <w:tcPr>
            <w:tcW w:w="653" w:type="dxa"/>
          </w:tcPr>
          <w:p w14:paraId="717DCE0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162</w:t>
            </w:r>
          </w:p>
        </w:tc>
      </w:tr>
      <w:tr w:rsidR="00B67D7C" w:rsidRPr="00DE096C" w14:paraId="15568C7E" w14:textId="77777777" w:rsidTr="00C2024A">
        <w:trPr>
          <w:trHeight w:val="173"/>
        </w:trPr>
        <w:tc>
          <w:tcPr>
            <w:tcW w:w="326" w:type="dxa"/>
          </w:tcPr>
          <w:p w14:paraId="379D207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На</w:t>
            </w:r>
          </w:p>
        </w:tc>
        <w:tc>
          <w:tcPr>
            <w:tcW w:w="1776" w:type="dxa"/>
          </w:tcPr>
          <w:p w14:paraId="21F2F7A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 (14) октября 1914 г.</w:t>
            </w:r>
          </w:p>
        </w:tc>
        <w:tc>
          <w:tcPr>
            <w:tcW w:w="797" w:type="dxa"/>
          </w:tcPr>
          <w:p w14:paraId="0112C52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150</w:t>
            </w:r>
          </w:p>
        </w:tc>
        <w:tc>
          <w:tcPr>
            <w:tcW w:w="806" w:type="dxa"/>
          </w:tcPr>
          <w:p w14:paraId="4821ADE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20</w:t>
            </w:r>
          </w:p>
        </w:tc>
        <w:tc>
          <w:tcPr>
            <w:tcW w:w="653" w:type="dxa"/>
          </w:tcPr>
          <w:p w14:paraId="4F1936C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170</w:t>
            </w:r>
          </w:p>
        </w:tc>
      </w:tr>
      <w:tr w:rsidR="00B67D7C" w:rsidRPr="00DE096C" w14:paraId="6B171EA2" w14:textId="77777777" w:rsidTr="00C2024A">
        <w:trPr>
          <w:trHeight w:val="163"/>
        </w:trPr>
        <w:tc>
          <w:tcPr>
            <w:tcW w:w="326" w:type="dxa"/>
          </w:tcPr>
          <w:p w14:paraId="3458735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На</w:t>
            </w:r>
          </w:p>
        </w:tc>
        <w:tc>
          <w:tcPr>
            <w:tcW w:w="1776" w:type="dxa"/>
          </w:tcPr>
          <w:p w14:paraId="404DF24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 ноября 1914 г.</w:t>
            </w:r>
          </w:p>
        </w:tc>
        <w:tc>
          <w:tcPr>
            <w:tcW w:w="797" w:type="dxa"/>
          </w:tcPr>
          <w:p w14:paraId="09554D1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160</w:t>
            </w:r>
          </w:p>
        </w:tc>
        <w:tc>
          <w:tcPr>
            <w:tcW w:w="806" w:type="dxa"/>
          </w:tcPr>
          <w:p w14:paraId="287A378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42</w:t>
            </w:r>
          </w:p>
        </w:tc>
        <w:tc>
          <w:tcPr>
            <w:tcW w:w="653" w:type="dxa"/>
          </w:tcPr>
          <w:p w14:paraId="73B1124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202</w:t>
            </w:r>
          </w:p>
        </w:tc>
      </w:tr>
      <w:tr w:rsidR="00B67D7C" w:rsidRPr="00DE096C" w14:paraId="1B0C83DF" w14:textId="77777777" w:rsidTr="00C2024A">
        <w:trPr>
          <w:trHeight w:val="173"/>
        </w:trPr>
        <w:tc>
          <w:tcPr>
            <w:tcW w:w="326" w:type="dxa"/>
          </w:tcPr>
          <w:p w14:paraId="70FF1BF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На</w:t>
            </w:r>
          </w:p>
        </w:tc>
        <w:tc>
          <w:tcPr>
            <w:tcW w:w="1776" w:type="dxa"/>
          </w:tcPr>
          <w:p w14:paraId="05E0E15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 декабря 1014 г.</w:t>
            </w:r>
          </w:p>
        </w:tc>
        <w:tc>
          <w:tcPr>
            <w:tcW w:w="797" w:type="dxa"/>
          </w:tcPr>
          <w:p w14:paraId="1F30D3B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162</w:t>
            </w:r>
          </w:p>
        </w:tc>
        <w:tc>
          <w:tcPr>
            <w:tcW w:w="806" w:type="dxa"/>
          </w:tcPr>
          <w:p w14:paraId="2F37E86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37</w:t>
            </w:r>
          </w:p>
        </w:tc>
        <w:tc>
          <w:tcPr>
            <w:tcW w:w="653" w:type="dxa"/>
          </w:tcPr>
          <w:p w14:paraId="0EDBA31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199</w:t>
            </w:r>
          </w:p>
        </w:tc>
      </w:tr>
      <w:tr w:rsidR="00B67D7C" w:rsidRPr="00DE096C" w14:paraId="4F593985" w14:textId="77777777" w:rsidTr="00C2024A">
        <w:trPr>
          <w:trHeight w:val="346"/>
        </w:trPr>
        <w:tc>
          <w:tcPr>
            <w:tcW w:w="326" w:type="dxa"/>
          </w:tcPr>
          <w:p w14:paraId="4A2BC5A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На</w:t>
            </w:r>
          </w:p>
        </w:tc>
        <w:tc>
          <w:tcPr>
            <w:tcW w:w="1776" w:type="dxa"/>
          </w:tcPr>
          <w:p w14:paraId="0C4B322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 января 1915 г.</w:t>
            </w:r>
          </w:p>
        </w:tc>
        <w:tc>
          <w:tcPr>
            <w:tcW w:w="797" w:type="dxa"/>
          </w:tcPr>
          <w:p w14:paraId="3BCFAD6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209</w:t>
            </w:r>
          </w:p>
        </w:tc>
        <w:tc>
          <w:tcPr>
            <w:tcW w:w="806" w:type="dxa"/>
          </w:tcPr>
          <w:p w14:paraId="293C1AD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62</w:t>
            </w:r>
          </w:p>
        </w:tc>
        <w:tc>
          <w:tcPr>
            <w:tcW w:w="653" w:type="dxa"/>
          </w:tcPr>
          <w:p w14:paraId="01DE7C7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271</w:t>
            </w:r>
          </w:p>
        </w:tc>
      </w:tr>
    </w:tbl>
    <w:p w14:paraId="2D0072D2" w14:textId="77777777" w:rsidR="00B67D7C" w:rsidRPr="00DE096C" w:rsidRDefault="00B67D7C" w:rsidP="00D45A46">
      <w:pPr>
        <w:jc w:val="both"/>
        <w:rPr>
          <w:bCs/>
          <w:color w:val="002060"/>
          <w:sz w:val="16"/>
          <w:szCs w:val="16"/>
        </w:rPr>
      </w:pPr>
    </w:p>
    <w:p w14:paraId="0541A20F" w14:textId="77777777" w:rsidR="00FB53CD" w:rsidRPr="00DE096C" w:rsidRDefault="00FB53CD" w:rsidP="00D45A46">
      <w:pPr>
        <w:jc w:val="both"/>
        <w:rPr>
          <w:bCs/>
          <w:i/>
          <w:color w:val="002060"/>
          <w:sz w:val="16"/>
          <w:szCs w:val="16"/>
        </w:rPr>
      </w:pPr>
      <w:r w:rsidRPr="00DE096C">
        <w:rPr>
          <w:bCs/>
          <w:i/>
          <w:color w:val="002060"/>
          <w:sz w:val="16"/>
          <w:szCs w:val="16"/>
        </w:rPr>
        <w:t>Армия:</w:t>
      </w:r>
    </w:p>
    <w:p w14:paraId="41F2BCAA" w14:textId="77777777" w:rsidR="00FB53CD" w:rsidRPr="00DE096C" w:rsidRDefault="00FB53CD" w:rsidP="00D45A46">
      <w:pPr>
        <w:jc w:val="both"/>
        <w:rPr>
          <w:bCs/>
          <w:i/>
          <w:color w:val="002060"/>
          <w:sz w:val="16"/>
          <w:szCs w:val="16"/>
        </w:rPr>
      </w:pPr>
    </w:p>
    <w:p w14:paraId="183CADD6" w14:textId="6F9E538D" w:rsidR="00FB53CD" w:rsidRPr="00DE096C" w:rsidRDefault="00FB53CD" w:rsidP="00D45A46">
      <w:pPr>
        <w:jc w:val="both"/>
        <w:rPr>
          <w:bCs/>
          <w:color w:val="002060"/>
          <w:sz w:val="16"/>
          <w:szCs w:val="16"/>
        </w:rPr>
      </w:pPr>
      <w:r w:rsidRPr="00DE096C">
        <w:rPr>
          <w:bCs/>
          <w:color w:val="002060"/>
          <w:sz w:val="16"/>
          <w:szCs w:val="16"/>
        </w:rPr>
        <w:t xml:space="preserve">1 </w:t>
      </w:r>
      <w:r w:rsidR="00392F0D" w:rsidRPr="00DE096C">
        <w:rPr>
          <w:bCs/>
          <w:color w:val="002060"/>
          <w:sz w:val="16"/>
          <w:szCs w:val="16"/>
        </w:rPr>
        <w:t xml:space="preserve">(14) </w:t>
      </w:r>
      <w:r w:rsidRPr="00DE096C">
        <w:rPr>
          <w:bCs/>
          <w:color w:val="002060"/>
          <w:sz w:val="16"/>
          <w:szCs w:val="16"/>
        </w:rPr>
        <w:t>октября в 1914 году командующий 8-ой армией генерал Алексей Брусилов за победу в Галицийской битве получает вторую за месяц боевую награду - орден святого Георгия Победоносца 3-й степени (14786).</w:t>
      </w:r>
    </w:p>
    <w:p w14:paraId="6AE5A9AE" w14:textId="77777777" w:rsidR="00FB53CD" w:rsidRPr="00DE096C" w:rsidRDefault="00FB53CD" w:rsidP="00D45A46">
      <w:pPr>
        <w:jc w:val="both"/>
        <w:rPr>
          <w:bCs/>
          <w:i/>
          <w:color w:val="002060"/>
          <w:sz w:val="16"/>
          <w:szCs w:val="16"/>
        </w:rPr>
      </w:pPr>
    </w:p>
    <w:p w14:paraId="7CBAC080" w14:textId="216DFEE8" w:rsidR="006B1820" w:rsidRPr="00DE096C" w:rsidRDefault="006B1820" w:rsidP="00D45A46">
      <w:pPr>
        <w:jc w:val="both"/>
        <w:rPr>
          <w:bCs/>
          <w:i/>
          <w:color w:val="002060"/>
          <w:sz w:val="16"/>
          <w:szCs w:val="16"/>
        </w:rPr>
      </w:pPr>
      <w:r w:rsidRPr="00DE096C">
        <w:rPr>
          <w:bCs/>
          <w:i/>
          <w:color w:val="002060"/>
          <w:sz w:val="16"/>
          <w:szCs w:val="16"/>
        </w:rPr>
        <w:t>Авиация:</w:t>
      </w:r>
    </w:p>
    <w:p w14:paraId="2377F23A" w14:textId="77777777" w:rsidR="006B1820" w:rsidRPr="00DE096C" w:rsidRDefault="006B1820" w:rsidP="00D45A46">
      <w:pPr>
        <w:jc w:val="both"/>
        <w:rPr>
          <w:bCs/>
          <w:i/>
          <w:color w:val="002060"/>
          <w:sz w:val="16"/>
          <w:szCs w:val="16"/>
        </w:rPr>
      </w:pPr>
    </w:p>
    <w:p w14:paraId="0F78C92A" w14:textId="77777777" w:rsidR="006B1820" w:rsidRPr="00DE096C" w:rsidRDefault="006B1820" w:rsidP="00D45A46">
      <w:pPr>
        <w:jc w:val="both"/>
        <w:rPr>
          <w:bCs/>
          <w:color w:val="002060"/>
          <w:sz w:val="16"/>
          <w:szCs w:val="16"/>
          <w:lang w:bidi="en-US"/>
        </w:rPr>
      </w:pPr>
      <w:r w:rsidRPr="00DE096C">
        <w:rPr>
          <w:bCs/>
          <w:color w:val="002060"/>
          <w:sz w:val="16"/>
          <w:szCs w:val="16"/>
          <w:lang w:bidi="en-US"/>
        </w:rPr>
        <w:t>14 октября 1914 Г. ИМ-</w:t>
      </w:r>
      <w:r w:rsidRPr="00DE096C">
        <w:rPr>
          <w:bCs/>
          <w:color w:val="002060"/>
          <w:sz w:val="16"/>
          <w:szCs w:val="16"/>
          <w:lang w:val="en-US" w:bidi="en-US"/>
        </w:rPr>
        <w:t>II</w:t>
      </w:r>
      <w:r w:rsidRPr="00DE096C">
        <w:rPr>
          <w:bCs/>
          <w:color w:val="002060"/>
          <w:sz w:val="16"/>
          <w:szCs w:val="16"/>
          <w:lang w:bidi="en-US"/>
        </w:rPr>
        <w:t xml:space="preserve"> под командованием Поручика А.В. Панкратьева был поврежден дружественным огнем над Двинской железной дорогой, что вынудило его приземлиться, причинив значительный ущерб. К концу ноября корабль был отремонтирован и прибыл в Брест-Литовск, но штаб Северо-Западного фронта, зная о донесении Руднева, отказался его принять. В начале декабря он был переброшен в Яблонну, в 16 км к северо-западу от Варшавы, где формировался отряд И</w:t>
      </w:r>
      <w:r w:rsidRPr="00DE096C">
        <w:rPr>
          <w:bCs/>
          <w:color w:val="002060"/>
          <w:sz w:val="16"/>
          <w:szCs w:val="16"/>
          <w:lang w:val="en-US" w:bidi="en-US"/>
        </w:rPr>
        <w:t>M</w:t>
      </w:r>
      <w:r w:rsidRPr="00DE096C">
        <w:rPr>
          <w:bCs/>
          <w:color w:val="002060"/>
          <w:sz w:val="16"/>
          <w:szCs w:val="16"/>
          <w:lang w:bidi="en-US"/>
        </w:rPr>
        <w:t xml:space="preserve"> (23525).</w:t>
      </w:r>
    </w:p>
    <w:p w14:paraId="27CA0BAE" w14:textId="77777777" w:rsidR="006B1820" w:rsidRPr="00DE096C" w:rsidRDefault="006B1820" w:rsidP="00D45A46">
      <w:pPr>
        <w:jc w:val="both"/>
        <w:rPr>
          <w:bCs/>
          <w:color w:val="002060"/>
          <w:sz w:val="16"/>
          <w:szCs w:val="16"/>
        </w:rPr>
      </w:pPr>
    </w:p>
    <w:p w14:paraId="07AB683C" w14:textId="77777777" w:rsidR="00B67D7C" w:rsidRPr="00DE096C" w:rsidRDefault="00B67D7C" w:rsidP="00D45A46">
      <w:pPr>
        <w:jc w:val="both"/>
        <w:rPr>
          <w:bCs/>
          <w:i/>
          <w:color w:val="002060"/>
          <w:sz w:val="16"/>
          <w:szCs w:val="16"/>
        </w:rPr>
      </w:pPr>
      <w:r w:rsidRPr="00DE096C">
        <w:rPr>
          <w:bCs/>
          <w:i/>
          <w:color w:val="002060"/>
          <w:sz w:val="16"/>
          <w:szCs w:val="16"/>
        </w:rPr>
        <w:t>Самолетостроение:</w:t>
      </w:r>
    </w:p>
    <w:p w14:paraId="55CA6830" w14:textId="77777777" w:rsidR="00B67D7C" w:rsidRPr="00DE096C" w:rsidRDefault="00B67D7C" w:rsidP="00D45A46">
      <w:pPr>
        <w:jc w:val="both"/>
        <w:rPr>
          <w:bCs/>
          <w:i/>
          <w:color w:val="002060"/>
          <w:sz w:val="16"/>
          <w:szCs w:val="16"/>
        </w:rPr>
      </w:pPr>
    </w:p>
    <w:p w14:paraId="510BE196" w14:textId="1301EB2B" w:rsidR="00FB53CD" w:rsidRPr="00DE096C" w:rsidRDefault="00FB53CD" w:rsidP="00D45A46">
      <w:pPr>
        <w:shd w:val="clear" w:color="auto" w:fill="FFFFFF"/>
        <w:jc w:val="both"/>
        <w:rPr>
          <w:bCs/>
          <w:color w:val="002060"/>
          <w:sz w:val="16"/>
          <w:szCs w:val="16"/>
        </w:rPr>
      </w:pPr>
      <w:r w:rsidRPr="00DE096C">
        <w:rPr>
          <w:bCs/>
          <w:color w:val="002060"/>
          <w:sz w:val="16"/>
          <w:szCs w:val="16"/>
        </w:rPr>
        <w:t>2 </w:t>
      </w:r>
      <w:r w:rsidR="00392F0D" w:rsidRPr="00DE096C">
        <w:rPr>
          <w:bCs/>
          <w:color w:val="002060"/>
          <w:sz w:val="16"/>
          <w:szCs w:val="16"/>
        </w:rPr>
        <w:t xml:space="preserve">(15) </w:t>
      </w:r>
      <w:r w:rsidRPr="00DE096C">
        <w:rPr>
          <w:bCs/>
          <w:color w:val="002060"/>
          <w:sz w:val="16"/>
          <w:szCs w:val="16"/>
        </w:rPr>
        <w:t>октября 1914 г. Моска, достроив триплан, разработанный совместно с Безобразовым, сам поднял его в воздух. После первых удачных полетов по просьбе Моска московский губернатор Муравьев 7 октября послал Великому князю Александру Михайловичу телеграмму: «Сегодня было в Москве первое испытание нового летательного аппарата тримоноплана прапорщика Александра Александровича Безобразова, удачный полет сразу по окончании постройки без предварительных проб». Однако, несмотря на обещания губернатора оказать всемерную поддержку и «быстро устроить большую мастерскую для исполнения заказов», военное ведомство самолетом не заинтересовалось (15219).</w:t>
      </w:r>
    </w:p>
    <w:p w14:paraId="4FDA23C3" w14:textId="77777777" w:rsidR="00FB53CD" w:rsidRPr="00DE096C" w:rsidRDefault="00FB53CD" w:rsidP="00D45A46">
      <w:pPr>
        <w:shd w:val="clear" w:color="auto" w:fill="FFFFFF"/>
        <w:jc w:val="both"/>
        <w:rPr>
          <w:bCs/>
          <w:color w:val="002060"/>
          <w:sz w:val="16"/>
          <w:szCs w:val="16"/>
        </w:rPr>
      </w:pPr>
    </w:p>
    <w:p w14:paraId="0FB91941" w14:textId="55144EE3" w:rsidR="00B37FAC" w:rsidRPr="00DE096C" w:rsidRDefault="00B37FAC" w:rsidP="00D45A46">
      <w:pPr>
        <w:jc w:val="both"/>
        <w:rPr>
          <w:bCs/>
          <w:color w:val="002060"/>
          <w:sz w:val="16"/>
          <w:szCs w:val="16"/>
        </w:rPr>
      </w:pPr>
      <w:r w:rsidRPr="00DE096C">
        <w:rPr>
          <w:bCs/>
          <w:color w:val="002060"/>
          <w:sz w:val="16"/>
          <w:szCs w:val="16"/>
        </w:rPr>
        <w:t xml:space="preserve">2 </w:t>
      </w:r>
      <w:r w:rsidR="00392F0D" w:rsidRPr="00DE096C">
        <w:rPr>
          <w:bCs/>
          <w:color w:val="002060"/>
          <w:sz w:val="16"/>
          <w:szCs w:val="16"/>
        </w:rPr>
        <w:t xml:space="preserve">(15) </w:t>
      </w:r>
      <w:r w:rsidRPr="00DE096C">
        <w:rPr>
          <w:bCs/>
          <w:color w:val="002060"/>
          <w:sz w:val="16"/>
          <w:szCs w:val="16"/>
        </w:rPr>
        <w:t>октября 1914 г., когда Безобразов был на фронте, был облетан оригинальный триплан без горизонтального оперения, который офицер русской армии А. А. Безобразов в начале 1914 г. предложил использовать для борьбы с самолетами врага.. Вернувшись после ранения в Москву, он обнаружил, что Моска переписал мастерскую на свое имя. Военное министерство помогло Безобразову в испытаниях и доводке самолета, которая шла до 1917 г., однако самолет так и не был запущен в серию — его летные данные оказались хуже, чем у бипланов. Путь простого увеличения числа крыльев вовсе не обязательно вел к успеху, тем не менее в 1916 г. этим занялись сразу в нескольких странах (22781).</w:t>
      </w:r>
    </w:p>
    <w:p w14:paraId="4B0A89AF" w14:textId="77777777" w:rsidR="00B37FAC" w:rsidRPr="00DE096C" w:rsidRDefault="00B37FAC" w:rsidP="00D45A46">
      <w:pPr>
        <w:jc w:val="both"/>
        <w:rPr>
          <w:bCs/>
          <w:color w:val="002060"/>
          <w:sz w:val="16"/>
          <w:szCs w:val="16"/>
          <w:shd w:val="clear" w:color="auto" w:fill="FFFFFF"/>
        </w:rPr>
      </w:pPr>
    </w:p>
    <w:p w14:paraId="7E9ADBBC" w14:textId="33A1814A" w:rsidR="00FB53CD" w:rsidRPr="00DE096C" w:rsidRDefault="00FB53CD" w:rsidP="00D45A46">
      <w:pPr>
        <w:pStyle w:val="2"/>
        <w:spacing w:before="0" w:after="0"/>
        <w:jc w:val="both"/>
        <w:rPr>
          <w:b w:val="0"/>
          <w:bCs/>
          <w:color w:val="002060"/>
          <w:sz w:val="16"/>
          <w:szCs w:val="16"/>
        </w:rPr>
      </w:pPr>
      <w:r w:rsidRPr="00DE096C">
        <w:rPr>
          <w:b w:val="0"/>
          <w:bCs/>
          <w:color w:val="002060"/>
          <w:sz w:val="16"/>
          <w:szCs w:val="16"/>
        </w:rPr>
        <w:t xml:space="preserve">2 </w:t>
      </w:r>
      <w:r w:rsidR="00392F0D" w:rsidRPr="00DE096C">
        <w:rPr>
          <w:b w:val="0"/>
          <w:bCs/>
          <w:color w:val="002060"/>
          <w:sz w:val="16"/>
          <w:szCs w:val="16"/>
        </w:rPr>
        <w:t xml:space="preserve">(15) </w:t>
      </w:r>
      <w:r w:rsidRPr="00DE096C">
        <w:rPr>
          <w:b w:val="0"/>
          <w:bCs/>
          <w:color w:val="002060"/>
          <w:sz w:val="16"/>
          <w:szCs w:val="16"/>
        </w:rPr>
        <w:t>октября 1914 г. Моска поднял триплан Безобразова в воздух. После первых удачных полетов по просьбе Моска московский губернатор Муравьев 7 октября послал Великому князю Александру Михайловичу телеграмму: «Сегодня было в Москве первое испытание нового летательного аппарата тримоноплана прапорщика Александра Александровича Безобразова, удачный полет сразу по окончании постройки без предварительных проб». Однако, несмотря на обещания губернатора оказать всемерную поддержку и «быстро устроить большую мастерскую для исполнения заказов», военное ведомство самолетом не заинтересовалось.</w:t>
      </w:r>
    </w:p>
    <w:p w14:paraId="15ECAAB8" w14:textId="77777777" w:rsidR="00FB53CD" w:rsidRPr="00DE096C" w:rsidRDefault="00FB53CD" w:rsidP="00D45A46">
      <w:pPr>
        <w:pStyle w:val="2"/>
        <w:spacing w:before="0" w:after="0"/>
        <w:jc w:val="both"/>
        <w:rPr>
          <w:b w:val="0"/>
          <w:bCs/>
          <w:color w:val="002060"/>
          <w:sz w:val="16"/>
          <w:szCs w:val="16"/>
        </w:rPr>
      </w:pPr>
      <w:r w:rsidRPr="00DE096C">
        <w:rPr>
          <w:b w:val="0"/>
          <w:bCs/>
          <w:color w:val="002060"/>
          <w:sz w:val="16"/>
          <w:szCs w:val="16"/>
        </w:rPr>
        <w:t>Тем временем Безобразова на фронте тяжело ранили и после лечения в начале 1915 г. откомандировали в Севастополь для продолжения работ над самолетом, его триплан перевезли туда еще в декабре 1914 г. Изобретатель занимался переделками и доводками весь год, в конце 1915 г. законченный самолет вновь поднялся в воздух. В июне 1916 г. корнет Безобразов был откомандирован в Москву и «прибыл в школу 15 июля 1916 г. из Севастопольской Военной Авиационной школы со своей мастерской впредь до особого распоряжения.»</w:t>
      </w:r>
    </w:p>
    <w:p w14:paraId="335E0C38" w14:textId="77777777" w:rsidR="00FB53CD" w:rsidRPr="00DE096C" w:rsidRDefault="00FB53CD" w:rsidP="00D45A46">
      <w:pPr>
        <w:pStyle w:val="2"/>
        <w:spacing w:before="0" w:after="0"/>
        <w:jc w:val="both"/>
        <w:rPr>
          <w:b w:val="0"/>
          <w:bCs/>
          <w:color w:val="002060"/>
          <w:sz w:val="16"/>
          <w:szCs w:val="16"/>
        </w:rPr>
      </w:pPr>
      <w:r w:rsidRPr="00DE096C">
        <w:rPr>
          <w:b w:val="0"/>
          <w:bCs/>
          <w:color w:val="002060"/>
          <w:sz w:val="16"/>
          <w:szCs w:val="16"/>
        </w:rPr>
        <w:t>На Ходынве триплан испытывал фронтовой летчик И.А.Орлов, 16 июня 1916 г. одержавший свою вторую победу в воздухе. 6 августа на взлете из-за поломки оси колес самолет скапотировал и был основательно поврежден. Будущий ас Орлов отправился на фронт, затем уехал воевать во Францию, а Безобразову ничего не оставалось делать, как восстанавливать триплан. К февралю 1917 г. машину он отремонтировал, но было уже поздно. Дальнейшая судьба уникального самолета, одного из шести построенных в России трипланов, неизвестна (15464).</w:t>
      </w:r>
    </w:p>
    <w:p w14:paraId="3A077CBD" w14:textId="77777777" w:rsidR="00FB53CD" w:rsidRPr="00DE096C" w:rsidRDefault="00FB53CD" w:rsidP="00D45A46">
      <w:pPr>
        <w:pStyle w:val="2"/>
        <w:spacing w:before="0" w:after="0"/>
        <w:jc w:val="both"/>
        <w:rPr>
          <w:b w:val="0"/>
          <w:bCs/>
          <w:color w:val="002060"/>
          <w:sz w:val="16"/>
          <w:szCs w:val="16"/>
        </w:rPr>
      </w:pPr>
    </w:p>
    <w:p w14:paraId="4D534C2F" w14:textId="77777777" w:rsidR="008C1D13" w:rsidRPr="00DE096C" w:rsidRDefault="008C1D13" w:rsidP="00D45A46">
      <w:pPr>
        <w:jc w:val="both"/>
        <w:rPr>
          <w:bCs/>
          <w:color w:val="002060"/>
          <w:sz w:val="16"/>
          <w:szCs w:val="16"/>
        </w:rPr>
      </w:pPr>
      <w:r w:rsidRPr="00DE096C">
        <w:rPr>
          <w:bCs/>
          <w:color w:val="002060"/>
          <w:sz w:val="16"/>
          <w:szCs w:val="16"/>
        </w:rPr>
        <w:t>2 (15) октября 1914 Моска благополучно испытал триплан Бехобразова. Военный приемщик капитан Быстрицкий, бывший на испытаниях, докладывал Великому Князю Александру Михайловичу: “Полет, сделанный в присутствии московского губернатора графа Муравьева был произведен около недели назад в часы занятия школы (Московской школы авиации), почкму я и многие военные летчики наблюдали его.</w:t>
      </w:r>
    </w:p>
    <w:p w14:paraId="0F9E8E41" w14:textId="77777777" w:rsidR="008C1D13" w:rsidRPr="00DE096C" w:rsidRDefault="008C1D13" w:rsidP="00D45A46">
      <w:pPr>
        <w:jc w:val="both"/>
        <w:rPr>
          <w:bCs/>
          <w:color w:val="002060"/>
          <w:sz w:val="16"/>
          <w:szCs w:val="16"/>
        </w:rPr>
      </w:pPr>
      <w:r w:rsidRPr="00DE096C">
        <w:rPr>
          <w:bCs/>
          <w:color w:val="002060"/>
          <w:sz w:val="16"/>
          <w:szCs w:val="16"/>
        </w:rPr>
        <w:t>Полет был совершен с общей полезной нагрузкой около 85 кг, продолжался 10 минут, разбег при полете 60-70 м. Пробег при спуске - около 7080 м. Высота полета не превышала 100 м. Скорость около 100 км/час” (11972).</w:t>
      </w:r>
    </w:p>
    <w:p w14:paraId="50C40BA9" w14:textId="77777777" w:rsidR="008C1D13" w:rsidRPr="00DE096C" w:rsidRDefault="008C1D13" w:rsidP="00D45A46">
      <w:pPr>
        <w:jc w:val="both"/>
        <w:rPr>
          <w:bCs/>
          <w:color w:val="002060"/>
          <w:sz w:val="16"/>
          <w:szCs w:val="16"/>
        </w:rPr>
      </w:pPr>
    </w:p>
    <w:p w14:paraId="4C492192" w14:textId="757FD13B" w:rsidR="00FB53CD" w:rsidRPr="00DE096C" w:rsidRDefault="00FB53CD" w:rsidP="00D45A46">
      <w:pPr>
        <w:jc w:val="both"/>
        <w:rPr>
          <w:bCs/>
          <w:color w:val="002060"/>
          <w:sz w:val="16"/>
          <w:szCs w:val="16"/>
        </w:rPr>
      </w:pPr>
      <w:r w:rsidRPr="00DE096C">
        <w:rPr>
          <w:bCs/>
          <w:color w:val="002060"/>
          <w:sz w:val="16"/>
          <w:szCs w:val="16"/>
        </w:rPr>
        <w:t xml:space="preserve">2 </w:t>
      </w:r>
      <w:r w:rsidR="00392F0D" w:rsidRPr="00DE096C">
        <w:rPr>
          <w:bCs/>
          <w:color w:val="002060"/>
          <w:sz w:val="16"/>
          <w:szCs w:val="16"/>
        </w:rPr>
        <w:t xml:space="preserve">(15) </w:t>
      </w:r>
      <w:r w:rsidRPr="00DE096C">
        <w:rPr>
          <w:bCs/>
          <w:color w:val="002060"/>
          <w:sz w:val="16"/>
          <w:szCs w:val="16"/>
        </w:rPr>
        <w:t>октября 1914 г. РБВЗ был выдан заказ на 32 «Муромца». Поначалу заказ на 32 машины планировался к выполнению на конец 1915 г., поэтому командование русской армии решило заключить с</w:t>
      </w:r>
      <w:r w:rsidR="0006581C">
        <w:rPr>
          <w:bCs/>
          <w:color w:val="002060"/>
          <w:sz w:val="16"/>
          <w:szCs w:val="16"/>
        </w:rPr>
        <w:t xml:space="preserve"> </w:t>
      </w:r>
      <w:r w:rsidRPr="00DE096C">
        <w:rPr>
          <w:bCs/>
          <w:color w:val="002060"/>
          <w:sz w:val="16"/>
          <w:szCs w:val="16"/>
        </w:rPr>
        <w:t>РБВЗ</w:t>
      </w:r>
      <w:r w:rsidR="0006581C">
        <w:rPr>
          <w:bCs/>
          <w:color w:val="002060"/>
          <w:sz w:val="16"/>
          <w:szCs w:val="16"/>
        </w:rPr>
        <w:t xml:space="preserve"> </w:t>
      </w:r>
      <w:r w:rsidRPr="00DE096C">
        <w:rPr>
          <w:bCs/>
          <w:color w:val="002060"/>
          <w:sz w:val="16"/>
          <w:szCs w:val="16"/>
        </w:rPr>
        <w:t>новый договор. Контракт на 30 новых кораблей был подписан 16 декабря 1915 г. И. И. Сикорский первоначально предусматривал сдать по нему пять машин, используя задел, подготовленный еще при выпуске предыдущих кораблей (15127).</w:t>
      </w:r>
    </w:p>
    <w:p w14:paraId="2C99BFBF" w14:textId="77777777" w:rsidR="00FB53CD" w:rsidRPr="00DE096C" w:rsidRDefault="00FB53CD" w:rsidP="00D45A46">
      <w:pPr>
        <w:jc w:val="both"/>
        <w:rPr>
          <w:bCs/>
          <w:color w:val="002060"/>
          <w:sz w:val="16"/>
          <w:szCs w:val="16"/>
        </w:rPr>
      </w:pPr>
    </w:p>
    <w:p w14:paraId="215DD6D5" w14:textId="656A1F09" w:rsidR="00B67D7C" w:rsidRPr="00DE096C" w:rsidRDefault="00B67D7C" w:rsidP="00D45A46">
      <w:pPr>
        <w:jc w:val="both"/>
        <w:rPr>
          <w:bCs/>
          <w:color w:val="002060"/>
          <w:sz w:val="16"/>
          <w:szCs w:val="16"/>
        </w:rPr>
      </w:pPr>
      <w:r w:rsidRPr="00DE096C">
        <w:rPr>
          <w:bCs/>
          <w:color w:val="002060"/>
          <w:sz w:val="16"/>
          <w:szCs w:val="16"/>
        </w:rPr>
        <w:t xml:space="preserve">2 (15) октября 1914 г. </w:t>
      </w:r>
      <w:r w:rsidR="00392F0D" w:rsidRPr="00DE096C">
        <w:rPr>
          <w:bCs/>
          <w:color w:val="002060"/>
          <w:sz w:val="16"/>
          <w:szCs w:val="16"/>
        </w:rPr>
        <w:t xml:space="preserve">военные в дополнение к майскому заказу </w:t>
      </w:r>
      <w:r w:rsidRPr="00DE096C">
        <w:rPr>
          <w:bCs/>
          <w:color w:val="002060"/>
          <w:sz w:val="16"/>
          <w:szCs w:val="16"/>
        </w:rPr>
        <w:t>подписали контракт на постройку РБВЗ еще 32 самолетов "Илья Муромец" ценой по 150 тыс. руб. Общее число заказанных машин составило 42 (11230).</w:t>
      </w:r>
    </w:p>
    <w:p w14:paraId="2807780E" w14:textId="77777777" w:rsidR="00B67D7C" w:rsidRPr="00DE096C" w:rsidRDefault="00B67D7C" w:rsidP="00D45A46">
      <w:pPr>
        <w:jc w:val="both"/>
        <w:rPr>
          <w:bCs/>
          <w:color w:val="002060"/>
          <w:sz w:val="16"/>
          <w:szCs w:val="16"/>
        </w:rPr>
      </w:pPr>
    </w:p>
    <w:p w14:paraId="41958049" w14:textId="425D06D3" w:rsidR="00B67D7C" w:rsidRPr="00DE096C" w:rsidRDefault="00B67D7C" w:rsidP="00D45A46">
      <w:pPr>
        <w:jc w:val="both"/>
        <w:rPr>
          <w:bCs/>
          <w:color w:val="002060"/>
          <w:sz w:val="16"/>
          <w:szCs w:val="16"/>
        </w:rPr>
      </w:pPr>
      <w:r w:rsidRPr="00DE096C">
        <w:rPr>
          <w:bCs/>
          <w:color w:val="002060"/>
          <w:sz w:val="16"/>
          <w:szCs w:val="16"/>
        </w:rPr>
        <w:t xml:space="preserve">2 </w:t>
      </w:r>
      <w:r w:rsidR="00392F0D" w:rsidRPr="00DE096C">
        <w:rPr>
          <w:bCs/>
          <w:color w:val="002060"/>
          <w:sz w:val="16"/>
          <w:szCs w:val="16"/>
        </w:rPr>
        <w:t xml:space="preserve">(15) </w:t>
      </w:r>
      <w:r w:rsidRPr="00DE096C">
        <w:rPr>
          <w:bCs/>
          <w:color w:val="002060"/>
          <w:sz w:val="16"/>
          <w:szCs w:val="16"/>
        </w:rPr>
        <w:t xml:space="preserve">октября 1914 г. </w:t>
      </w:r>
      <w:r w:rsidR="00392F0D" w:rsidRPr="00DE096C">
        <w:rPr>
          <w:bCs/>
          <w:color w:val="002060"/>
          <w:sz w:val="16"/>
          <w:szCs w:val="16"/>
        </w:rPr>
        <w:t xml:space="preserve">был подписан новый контракт </w:t>
      </w:r>
      <w:r w:rsidRPr="00DE096C">
        <w:rPr>
          <w:bCs/>
          <w:color w:val="002060"/>
          <w:sz w:val="16"/>
          <w:szCs w:val="16"/>
        </w:rPr>
        <w:t xml:space="preserve">за № 11356/5031 на постройку 32 кораблей. </w:t>
      </w:r>
      <w:r w:rsidR="00392F0D" w:rsidRPr="00DE096C">
        <w:rPr>
          <w:bCs/>
          <w:color w:val="002060"/>
          <w:sz w:val="16"/>
          <w:szCs w:val="16"/>
        </w:rPr>
        <w:t xml:space="preserve">Однако, неудачи с двумя "Муромцами", разбитый в Петрограде Горшковым 30 октября "корабль IV", уведомление командования, рудневская докладная записка повлекли за собой приостановление нового контракта. </w:t>
      </w:r>
      <w:r w:rsidRPr="00DE096C">
        <w:rPr>
          <w:bCs/>
          <w:color w:val="002060"/>
          <w:sz w:val="16"/>
          <w:szCs w:val="16"/>
        </w:rPr>
        <w:t xml:space="preserve">По этому поводу было выпущено постановление Военного Совета от 20 ноября и лишь 18 апреля 1915 г. оно было отменено. Председатель Правления А/О РБВЗ Шидловский написал докладную записку военному министру Сухомлинову и просил, чтобы ему на деле дати возможность доказать пригодность "Муромцев" для военных целей. В ней указывалось неправильное использование этих машин на фронте и предлагалось сформировать из разрозненных отрядов "Муромцев" боевое соединение по типу эскадры морских боевых кораблей. Верховный Главнокомандующий Великий князь Николай Николаевич и сам император также ознакомились с докладом и одобрили этот проект. В начале декабря 1914 г. был издан приказ согласно которого вся авиация делилась на тяжелую и легкую. Было сформировано Управление Эскадры Воздушных Кораблей (УЭВК), подчиненное Верховному Главнокомандующему. М.В.Шидловскому присвоили звание генерал-майора, что соответствовало его чину действительного статского советника, и назначили Начальником УЭВК. По штату Эскадре полагалось 10 боевых и 2 учебных корабля. Аэродром УЭВК находился у деревни Старая Яблонна (под Варшавой), куда в декабре 1914 г прибыли Ш-й, V-й, VI-й и VI 1-й корабли. Два последних "Муромца" были нового типа В ("облегченного"), с острым носом (первый учебный с 2 "Сальмсонами", второй боевой). Еше в сентябре 1914 г. при формировании трех дополнительных отрядов (V-ro поручика Г.В.Алехновича, VI-го штабс-капитана Б.Н.Фирсова и VII-го штабс-капитана Г.Г.Горшкова). Для отряда "Киевский" (Vll-ro по порядку) предназначался "Киевский" №128, находившийся в Гатчинской школе. Но школа просила оставить корабль для подготовки летчиков. Тогда Горшкову выделили новый аэроплан за №150 типа В, который получил название "Киевский" по имени отряда. Бесценные моторы "Аргус" были сняты с гатчинца и поставлены на новый корабль, который в декабре убыл по ж/д на фронт вместе с УЭВК (12038). </w:t>
      </w:r>
    </w:p>
    <w:p w14:paraId="1F674A23" w14:textId="77777777" w:rsidR="00B67D7C" w:rsidRPr="00DE096C" w:rsidRDefault="00B67D7C" w:rsidP="00D45A46">
      <w:pPr>
        <w:jc w:val="both"/>
        <w:rPr>
          <w:bCs/>
          <w:color w:val="002060"/>
          <w:sz w:val="16"/>
          <w:szCs w:val="16"/>
        </w:rPr>
      </w:pPr>
    </w:p>
    <w:p w14:paraId="5893DD7B" w14:textId="6059FA52" w:rsidR="00B67D7C" w:rsidRPr="00DE096C" w:rsidRDefault="00B67D7C" w:rsidP="00D45A46">
      <w:pPr>
        <w:jc w:val="both"/>
        <w:rPr>
          <w:bCs/>
          <w:color w:val="002060"/>
          <w:sz w:val="16"/>
          <w:szCs w:val="16"/>
        </w:rPr>
      </w:pPr>
      <w:r w:rsidRPr="00DE096C">
        <w:rPr>
          <w:bCs/>
          <w:color w:val="002060"/>
          <w:sz w:val="16"/>
          <w:szCs w:val="16"/>
        </w:rPr>
        <w:t>2 (15) октября</w:t>
      </w:r>
      <w:r w:rsidR="00392F0D" w:rsidRPr="00DE096C">
        <w:rPr>
          <w:bCs/>
          <w:color w:val="002060"/>
          <w:sz w:val="16"/>
          <w:szCs w:val="16"/>
        </w:rPr>
        <w:t xml:space="preserve"> 1914 г.</w:t>
      </w:r>
      <w:r w:rsidRPr="00DE096C">
        <w:rPr>
          <w:bCs/>
          <w:color w:val="002060"/>
          <w:sz w:val="16"/>
          <w:szCs w:val="16"/>
        </w:rPr>
        <w:t xml:space="preserve"> был подписан второй контракт, уже на 32 машины.</w:t>
      </w:r>
    </w:p>
    <w:p w14:paraId="3BA49D70" w14:textId="77777777" w:rsidR="00B67D7C" w:rsidRPr="00DE096C" w:rsidRDefault="00B67D7C" w:rsidP="00D45A46">
      <w:pPr>
        <w:jc w:val="both"/>
        <w:rPr>
          <w:bCs/>
          <w:color w:val="002060"/>
          <w:sz w:val="16"/>
          <w:szCs w:val="16"/>
        </w:rPr>
      </w:pPr>
      <w:r w:rsidRPr="00DE096C">
        <w:rPr>
          <w:bCs/>
          <w:color w:val="002060"/>
          <w:sz w:val="16"/>
          <w:szCs w:val="16"/>
        </w:rPr>
        <w:t>Серийные бомбардировщики "типа Б" (или ИМ-Б) имели более мощные двигатели (тоже "Аргус", но два - по 125 л. с. и два - по 140 л.е.), два пулемета, бомбодержатели и простейший бомбовый прицел. По заданию самолет должен был нести не менее 10 пудов (164 кг) бомб. Радиус действия в 300 верст обеспечивал с территории России достижение целей в Кенигсберге, Данциге, Познани, Кракове, Перемышле. Экипаж состоял из шести человек, а всего с наземным составом на одну машину приходился 31 человек. Поскольку "Муромцам" придавалось особое значение, весь летный состав комплектовался только офицерами и унтер-офицерами. Офицером должен был быть даже бортмеханик (позже на эту должность назначали мобилизованных инженеров или студентов высших технических учебных заведений). Командир экипажа должен был иметь звание от капитана до подполковника. Сдача этих самолетов началась в августе 1914 г. Поскольку немцы стали противниками, поставка "Аргусов" прекратилась, и с третьего серийного "Муромца" их заменили французскими звездообразными "Сальмсонами" в 130 л.с. и 200 л.с.</w:t>
      </w:r>
    </w:p>
    <w:p w14:paraId="35389ECA" w14:textId="77777777" w:rsidR="00B67D7C" w:rsidRPr="00DE096C" w:rsidRDefault="00B67D7C" w:rsidP="00D45A46">
      <w:pPr>
        <w:jc w:val="both"/>
        <w:rPr>
          <w:bCs/>
          <w:color w:val="002060"/>
          <w:sz w:val="16"/>
          <w:szCs w:val="16"/>
        </w:rPr>
      </w:pPr>
      <w:r w:rsidRPr="00DE096C">
        <w:rPr>
          <w:bCs/>
          <w:color w:val="002060"/>
          <w:sz w:val="16"/>
          <w:szCs w:val="16"/>
        </w:rPr>
        <w:t>С седьмого самолета РБВЗ перешел на "тип В" с уменьшенной площадью крыльев, улучшенной аэродинамикой и бомболюком. Бомбы подвешивались внутри фюзеляжа в кассетах и освобождались механическим сбрасывателем. Бомбовая нагрузка составляла 500 кг; калибр бомб - до 10 пудов. Для членов экипажа предусматривалась бронезаши- та, бронированные сиденья, жилеты и каски. Первые три такие машины были готовы в ноябре-декабре 1914 г. (12036).</w:t>
      </w:r>
    </w:p>
    <w:p w14:paraId="583081B3" w14:textId="77777777" w:rsidR="00B67D7C" w:rsidRPr="00DE096C" w:rsidRDefault="00B67D7C" w:rsidP="00D45A46">
      <w:pPr>
        <w:jc w:val="both"/>
        <w:rPr>
          <w:bCs/>
          <w:color w:val="002060"/>
          <w:sz w:val="16"/>
          <w:szCs w:val="16"/>
        </w:rPr>
      </w:pPr>
    </w:p>
    <w:p w14:paraId="57EC9375" w14:textId="782998A2" w:rsidR="00B67D7C" w:rsidRPr="00DE096C" w:rsidRDefault="00B67D7C" w:rsidP="00D45A46">
      <w:pPr>
        <w:jc w:val="both"/>
        <w:rPr>
          <w:bCs/>
          <w:color w:val="002060"/>
          <w:sz w:val="16"/>
          <w:szCs w:val="16"/>
        </w:rPr>
      </w:pPr>
      <w:r w:rsidRPr="00DE096C">
        <w:rPr>
          <w:bCs/>
          <w:color w:val="002060"/>
          <w:sz w:val="16"/>
          <w:szCs w:val="16"/>
        </w:rPr>
        <w:t xml:space="preserve">2 </w:t>
      </w:r>
      <w:r w:rsidR="00392F0D" w:rsidRPr="00DE096C">
        <w:rPr>
          <w:bCs/>
          <w:color w:val="002060"/>
          <w:sz w:val="16"/>
          <w:szCs w:val="16"/>
        </w:rPr>
        <w:t xml:space="preserve">(15) </w:t>
      </w:r>
      <w:r w:rsidRPr="00DE096C">
        <w:rPr>
          <w:bCs/>
          <w:color w:val="002060"/>
          <w:sz w:val="16"/>
          <w:szCs w:val="16"/>
        </w:rPr>
        <w:t>октября 1914 года ГВТУ заключило с заводом новый контракт за № 11356/5031 на постройку 32 аэропланов типа "Илья Муромец". Перспективы открывались радужные, но 20 ноября 1914 года постройка "Муромцев" была приостановлена из- за доклада штабс-капитана Руднева, речь о котором пойдёт ниже (12041).</w:t>
      </w:r>
    </w:p>
    <w:p w14:paraId="29E1CAC5" w14:textId="77777777" w:rsidR="00B67D7C" w:rsidRPr="00DE096C" w:rsidRDefault="00B67D7C" w:rsidP="00D45A46">
      <w:pPr>
        <w:jc w:val="both"/>
        <w:rPr>
          <w:bCs/>
          <w:color w:val="002060"/>
          <w:sz w:val="16"/>
          <w:szCs w:val="16"/>
        </w:rPr>
      </w:pPr>
    </w:p>
    <w:p w14:paraId="19348E9D" w14:textId="0662F6B9" w:rsidR="006B1820" w:rsidRPr="00DE096C" w:rsidRDefault="006B1820" w:rsidP="00D45A46">
      <w:pPr>
        <w:jc w:val="both"/>
        <w:rPr>
          <w:bCs/>
          <w:color w:val="002060"/>
          <w:sz w:val="16"/>
          <w:szCs w:val="16"/>
          <w:lang w:bidi="en-US"/>
        </w:rPr>
      </w:pPr>
      <w:r w:rsidRPr="00DE096C">
        <w:rPr>
          <w:bCs/>
          <w:color w:val="002060"/>
          <w:sz w:val="16"/>
          <w:szCs w:val="16"/>
          <w:lang w:bidi="en-US"/>
        </w:rPr>
        <w:t>2 (15) октября 1914 г. из-за негативных отзывов об «Илье Муромце» ИМ-</w:t>
      </w:r>
      <w:r w:rsidRPr="00DE096C">
        <w:rPr>
          <w:bCs/>
          <w:color w:val="002060"/>
          <w:sz w:val="16"/>
          <w:szCs w:val="16"/>
          <w:lang w:val="en-US" w:bidi="en-US"/>
        </w:rPr>
        <w:t>I</w:t>
      </w:r>
      <w:r w:rsidRPr="00DE096C">
        <w:rPr>
          <w:bCs/>
          <w:color w:val="002060"/>
          <w:sz w:val="16"/>
          <w:szCs w:val="16"/>
          <w:lang w:bidi="en-US"/>
        </w:rPr>
        <w:t xml:space="preserve"> и ИМ-</w:t>
      </w:r>
      <w:r w:rsidRPr="00DE096C">
        <w:rPr>
          <w:bCs/>
          <w:color w:val="002060"/>
          <w:sz w:val="16"/>
          <w:szCs w:val="16"/>
          <w:lang w:val="en-US" w:bidi="en-US"/>
        </w:rPr>
        <w:t>II</w:t>
      </w:r>
      <w:r w:rsidRPr="00DE096C">
        <w:rPr>
          <w:bCs/>
          <w:color w:val="002060"/>
          <w:sz w:val="16"/>
          <w:szCs w:val="16"/>
          <w:lang w:bidi="en-US"/>
        </w:rPr>
        <w:t xml:space="preserve"> Военное министерство расторгло контракт с Р-БВЗ на поставку тридцати двух ИМ, что вызвало серьезные финансовые проблемы у завода. Существующий заказ на десять </w:t>
      </w:r>
      <w:r w:rsidRPr="00DE096C">
        <w:rPr>
          <w:bCs/>
          <w:color w:val="002060"/>
          <w:sz w:val="16"/>
          <w:szCs w:val="16"/>
          <w:lang w:val="en-US" w:bidi="en-US"/>
        </w:rPr>
        <w:t>IM</w:t>
      </w:r>
      <w:r w:rsidRPr="00DE096C">
        <w:rPr>
          <w:bCs/>
          <w:color w:val="002060"/>
          <w:sz w:val="16"/>
          <w:szCs w:val="16"/>
          <w:lang w:bidi="en-US"/>
        </w:rPr>
        <w:t xml:space="preserve"> все еще действовал. Председатель Р-БВЗ М. В. Шидловский отправился в Ставку и ходатайствовал о восстановлении порядка 32 ИМ, и что вместо того, чтобы ИМ действовали индивидуально под командованием фронтовой армии, было бы эффективнее сформировать их в особый отряд. Подразделение подчиняется непосредственно Ставке. Царь и великий князь Николай Николаевич сдуру одобрил его предложение (23525).</w:t>
      </w:r>
    </w:p>
    <w:p w14:paraId="104FCFEA" w14:textId="77777777" w:rsidR="006B1820" w:rsidRPr="00DE096C" w:rsidRDefault="006B1820" w:rsidP="00D45A46">
      <w:pPr>
        <w:jc w:val="both"/>
        <w:rPr>
          <w:bCs/>
          <w:color w:val="002060"/>
          <w:sz w:val="16"/>
          <w:szCs w:val="16"/>
        </w:rPr>
      </w:pPr>
    </w:p>
    <w:p w14:paraId="68E3BA2B" w14:textId="77777777" w:rsidR="00685757" w:rsidRPr="00DE096C" w:rsidRDefault="00685757" w:rsidP="00D45A46">
      <w:pPr>
        <w:jc w:val="both"/>
        <w:rPr>
          <w:bCs/>
          <w:color w:val="002060"/>
          <w:sz w:val="16"/>
          <w:szCs w:val="16"/>
        </w:rPr>
      </w:pPr>
      <w:r w:rsidRPr="00DE096C">
        <w:rPr>
          <w:bCs/>
          <w:color w:val="002060"/>
          <w:sz w:val="16"/>
          <w:szCs w:val="16"/>
        </w:rPr>
        <w:lastRenderedPageBreak/>
        <w:t>2 (15 по н.ст.) октября 1914 г. ГВТУ выдало РБВЗ дополнительный контракт № 11356/5031 на постройку еще 32 кораблей типа ИМ. Однако после рапорта Руднева о непригодности самолета для военных целей, который поступил примерно в это же время, 20 ноября (3 декабря по н.ст.) 1914 г. он был приостановлен решением Военного Совета СВГК до устранения замечаний (23569).</w:t>
      </w:r>
    </w:p>
    <w:p w14:paraId="0369ED33" w14:textId="77777777" w:rsidR="00685757" w:rsidRPr="00DE096C" w:rsidRDefault="00685757" w:rsidP="00D45A46">
      <w:pPr>
        <w:jc w:val="both"/>
        <w:rPr>
          <w:bCs/>
          <w:color w:val="002060"/>
          <w:sz w:val="16"/>
          <w:szCs w:val="16"/>
          <w:lang w:bidi="ru-RU"/>
        </w:rPr>
      </w:pPr>
    </w:p>
    <w:p w14:paraId="11BD6E62" w14:textId="2607BBA5" w:rsidR="00685757" w:rsidRPr="00DE096C" w:rsidRDefault="00685757" w:rsidP="00D45A46">
      <w:pPr>
        <w:jc w:val="both"/>
        <w:rPr>
          <w:bCs/>
          <w:color w:val="002060"/>
          <w:sz w:val="16"/>
          <w:szCs w:val="16"/>
        </w:rPr>
      </w:pPr>
      <w:r w:rsidRPr="00DE096C">
        <w:rPr>
          <w:bCs/>
          <w:color w:val="002060"/>
          <w:sz w:val="16"/>
          <w:szCs w:val="16"/>
        </w:rPr>
        <w:t>2 (15) октября 1914 г. в дополнение к майскому заказу подписали контракт на постройку РБВЗ еще 32 самолетов «Илья Муромец» ценой по 150 тыс. руб. Общее число заказанных машин составило 42 (24177).</w:t>
      </w:r>
    </w:p>
    <w:p w14:paraId="2B406990" w14:textId="77777777" w:rsidR="00685757" w:rsidRPr="00DE096C" w:rsidRDefault="00685757" w:rsidP="00D45A46">
      <w:pPr>
        <w:jc w:val="both"/>
        <w:rPr>
          <w:bCs/>
          <w:color w:val="002060"/>
          <w:sz w:val="16"/>
          <w:szCs w:val="16"/>
          <w:lang w:bidi="ru-RU"/>
        </w:rPr>
      </w:pPr>
    </w:p>
    <w:p w14:paraId="611E897C" w14:textId="485BFDA6" w:rsidR="00685757" w:rsidRPr="00DE096C" w:rsidRDefault="00685757" w:rsidP="00D45A46">
      <w:pPr>
        <w:jc w:val="both"/>
        <w:rPr>
          <w:bCs/>
          <w:color w:val="002060"/>
          <w:sz w:val="16"/>
          <w:szCs w:val="16"/>
          <w:lang w:bidi="ru-RU"/>
        </w:rPr>
      </w:pPr>
      <w:r w:rsidRPr="00DE096C">
        <w:rPr>
          <w:bCs/>
          <w:color w:val="002060"/>
          <w:sz w:val="16"/>
          <w:szCs w:val="16"/>
          <w:lang w:bidi="ru-RU"/>
        </w:rPr>
        <w:t>2 (15) октября 1914 г. авиатор Моска лично и вполне благополучно испытал триплан Бе</w:t>
      </w:r>
      <w:r w:rsidRPr="00DE096C">
        <w:rPr>
          <w:bCs/>
          <w:color w:val="002060"/>
          <w:sz w:val="16"/>
          <w:szCs w:val="16"/>
          <w:lang w:bidi="ru-RU"/>
        </w:rPr>
        <w:softHyphen/>
        <w:t>зобразова. Военный приемщик, штабс-ка</w:t>
      </w:r>
      <w:r w:rsidRPr="00DE096C">
        <w:rPr>
          <w:bCs/>
          <w:color w:val="002060"/>
          <w:sz w:val="16"/>
          <w:szCs w:val="16"/>
          <w:lang w:bidi="ru-RU"/>
        </w:rPr>
        <w:softHyphen/>
        <w:t>питан Быстрицкий, присутствующий при испытаниях, докладывал великому князю Александру Михайловичу:</w:t>
      </w:r>
    </w:p>
    <w:p w14:paraId="6B8D4185" w14:textId="77777777" w:rsidR="00685757" w:rsidRPr="00DE096C" w:rsidRDefault="00685757" w:rsidP="00D45A46">
      <w:pPr>
        <w:jc w:val="both"/>
        <w:rPr>
          <w:bCs/>
          <w:color w:val="002060"/>
          <w:sz w:val="16"/>
          <w:szCs w:val="16"/>
        </w:rPr>
      </w:pPr>
      <w:r w:rsidRPr="00DE096C">
        <w:rPr>
          <w:bCs/>
          <w:color w:val="002060"/>
          <w:sz w:val="16"/>
          <w:szCs w:val="16"/>
          <w:lang w:bidi="ru-RU"/>
        </w:rPr>
        <w:t>«Полет, сделанный в присутствии мос</w:t>
      </w:r>
      <w:r w:rsidRPr="00DE096C">
        <w:rPr>
          <w:bCs/>
          <w:color w:val="002060"/>
          <w:sz w:val="16"/>
          <w:szCs w:val="16"/>
          <w:lang w:bidi="ru-RU"/>
        </w:rPr>
        <w:softHyphen/>
        <w:t>ковского губернатора графа Муравьева, был произведен около недели назад в ча</w:t>
      </w:r>
      <w:r w:rsidRPr="00DE096C">
        <w:rPr>
          <w:bCs/>
          <w:color w:val="002060"/>
          <w:sz w:val="16"/>
          <w:szCs w:val="16"/>
          <w:lang w:bidi="ru-RU"/>
        </w:rPr>
        <w:softHyphen/>
        <w:t>сы занятия школы (Московской школы авиации), почему я и многие воен</w:t>
      </w:r>
      <w:r w:rsidRPr="00DE096C">
        <w:rPr>
          <w:bCs/>
          <w:color w:val="002060"/>
          <w:sz w:val="16"/>
          <w:szCs w:val="16"/>
          <w:lang w:bidi="ru-RU"/>
        </w:rPr>
        <w:softHyphen/>
        <w:t>ные летчики наблюдали его.</w:t>
      </w:r>
    </w:p>
    <w:p w14:paraId="2517859A" w14:textId="77777777" w:rsidR="00685757" w:rsidRPr="00DE096C" w:rsidRDefault="00685757" w:rsidP="00D45A46">
      <w:pPr>
        <w:jc w:val="both"/>
        <w:rPr>
          <w:bCs/>
          <w:color w:val="002060"/>
          <w:sz w:val="16"/>
          <w:szCs w:val="16"/>
        </w:rPr>
      </w:pPr>
      <w:r w:rsidRPr="00DE096C">
        <w:rPr>
          <w:bCs/>
          <w:color w:val="002060"/>
          <w:sz w:val="16"/>
          <w:szCs w:val="16"/>
          <w:lang w:bidi="ru-RU"/>
        </w:rPr>
        <w:t>Полет был совершен с общей полезной нагрузкой около 85 кг, продолжался 10 мин., разбег при взлете около 60—70 м. Пробег при спуске — около 70—80 м. Вы</w:t>
      </w:r>
      <w:r w:rsidRPr="00DE096C">
        <w:rPr>
          <w:bCs/>
          <w:color w:val="002060"/>
          <w:sz w:val="16"/>
          <w:szCs w:val="16"/>
          <w:lang w:bidi="ru-RU"/>
        </w:rPr>
        <w:softHyphen/>
        <w:t>сота полета не превосходила 100 м. Ско</w:t>
      </w:r>
      <w:r w:rsidRPr="00DE096C">
        <w:rPr>
          <w:bCs/>
          <w:color w:val="002060"/>
          <w:sz w:val="16"/>
          <w:szCs w:val="16"/>
          <w:lang w:bidi="ru-RU"/>
        </w:rPr>
        <w:softHyphen/>
        <w:t>рость около 100 км/час» (23374).</w:t>
      </w:r>
    </w:p>
    <w:p w14:paraId="126D2935" w14:textId="77777777" w:rsidR="00685757" w:rsidRPr="00DE096C" w:rsidRDefault="00685757" w:rsidP="00D45A46">
      <w:pPr>
        <w:jc w:val="both"/>
        <w:rPr>
          <w:bCs/>
          <w:color w:val="002060"/>
          <w:sz w:val="16"/>
          <w:szCs w:val="16"/>
        </w:rPr>
      </w:pPr>
    </w:p>
    <w:p w14:paraId="562CA42F" w14:textId="3E3E817A"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2 (15) октября 1914 г. </w:t>
      </w:r>
      <w:r w:rsidR="00392F0D" w:rsidRPr="00DE096C">
        <w:rPr>
          <w:bCs/>
          <w:color w:val="002060"/>
          <w:sz w:val="16"/>
          <w:szCs w:val="16"/>
        </w:rPr>
        <w:t>был</w:t>
      </w:r>
      <w:r w:rsidRPr="00DE096C">
        <w:rPr>
          <w:bCs/>
          <w:color w:val="002060"/>
          <w:sz w:val="16"/>
          <w:szCs w:val="16"/>
        </w:rPr>
        <w:t xml:space="preserve"> </w:t>
      </w:r>
      <w:r w:rsidR="00392F0D" w:rsidRPr="00DE096C">
        <w:rPr>
          <w:bCs/>
          <w:color w:val="002060"/>
          <w:sz w:val="16"/>
          <w:szCs w:val="16"/>
        </w:rPr>
        <w:t>д</w:t>
      </w:r>
      <w:r w:rsidRPr="00DE096C">
        <w:rPr>
          <w:bCs/>
          <w:color w:val="002060"/>
          <w:sz w:val="16"/>
          <w:szCs w:val="16"/>
        </w:rPr>
        <w:t>оклад ГВТУ Военному совету об отсрочке заводу В. В. Слюсаренко поставки аэропланов</w:t>
      </w:r>
    </w:p>
    <w:p w14:paraId="09A376E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 1488/3565 Секретно</w:t>
      </w:r>
    </w:p>
    <w:p w14:paraId="5F14DE2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Владелец авиационной фабрики В. В. Слюсаренко обратился в Главное военно-тех</w:t>
      </w:r>
      <w:r w:rsidRPr="00DE096C">
        <w:rPr>
          <w:bCs/>
          <w:color w:val="002060"/>
          <w:sz w:val="16"/>
          <w:szCs w:val="16"/>
        </w:rPr>
        <w:softHyphen/>
        <w:t>ническое управление с ходатайством о продлении на один месяц срока контракта, зак</w:t>
      </w:r>
      <w:r w:rsidRPr="00DE096C">
        <w:rPr>
          <w:bCs/>
          <w:color w:val="002060"/>
          <w:sz w:val="16"/>
          <w:szCs w:val="16"/>
        </w:rPr>
        <w:softHyphen/>
        <w:t>люченного им, Слюсаренко, с Управлением 21 марта 1914 г. за № 6703 на поставку аэро</w:t>
      </w:r>
      <w:r w:rsidRPr="00DE096C">
        <w:rPr>
          <w:bCs/>
          <w:color w:val="002060"/>
          <w:sz w:val="16"/>
          <w:szCs w:val="16"/>
        </w:rPr>
        <w:softHyphen/>
        <w:t>планов и запасных частей к ним. При этом проситель указывает, что задержка в изготов</w:t>
      </w:r>
      <w:r w:rsidRPr="00DE096C">
        <w:rPr>
          <w:bCs/>
          <w:color w:val="002060"/>
          <w:sz w:val="16"/>
          <w:szCs w:val="16"/>
        </w:rPr>
        <w:softHyphen/>
        <w:t>лении упомянутых предметов произошла вследствие переезда фабрики из г. Риги в г. Петроград, вызванного обстоятельствами военного времени.</w:t>
      </w:r>
    </w:p>
    <w:p w14:paraId="3E9C138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Из имеющихся в Главном военно-техническом управлении сведений видно, что вла</w:t>
      </w:r>
      <w:r w:rsidRPr="00DE096C">
        <w:rPr>
          <w:bCs/>
          <w:color w:val="002060"/>
          <w:sz w:val="16"/>
          <w:szCs w:val="16"/>
        </w:rPr>
        <w:softHyphen/>
        <w:t>дельцу авиационной фабрики в г. Риге В. В. Слюсаренко по означенному выше контрак</w:t>
      </w:r>
      <w:r w:rsidRPr="00DE096C">
        <w:rPr>
          <w:bCs/>
          <w:color w:val="002060"/>
          <w:sz w:val="16"/>
          <w:szCs w:val="16"/>
        </w:rPr>
        <w:softHyphen/>
        <w:t>ту, заключенному на основании положения Военного совета от 31 декабря 1913 г., было заказано на срок 21 сентября текущего года 14 аэропланов системы Фармана и 10 комп</w:t>
      </w:r>
      <w:r w:rsidRPr="00DE096C">
        <w:rPr>
          <w:bCs/>
          <w:color w:val="002060"/>
          <w:sz w:val="16"/>
          <w:szCs w:val="16"/>
        </w:rPr>
        <w:softHyphen/>
        <w:t>лектов запасных частей к ним. Работы по выполнению этой поставки производились на фабрике Слюсаренко под наблюдением особо командированного офицера и шли впол</w:t>
      </w:r>
      <w:r w:rsidRPr="00DE096C">
        <w:rPr>
          <w:bCs/>
          <w:color w:val="002060"/>
          <w:sz w:val="16"/>
          <w:szCs w:val="16"/>
        </w:rPr>
        <w:softHyphen/>
        <w:t>не успешно, так что уже к первым числам июня был сдан 1 аэроплан и произведено испытание 8 двигателей. С открытием военных действий против Германии фабрика дол</w:t>
      </w:r>
      <w:r w:rsidRPr="00DE096C">
        <w:rPr>
          <w:bCs/>
          <w:color w:val="002060"/>
          <w:sz w:val="16"/>
          <w:szCs w:val="16"/>
        </w:rPr>
        <w:softHyphen/>
        <w:t>жна была временно приостановить свою деятельность, так как из соображений безопас</w:t>
      </w:r>
      <w:r w:rsidRPr="00DE096C">
        <w:rPr>
          <w:bCs/>
          <w:color w:val="002060"/>
          <w:sz w:val="16"/>
          <w:szCs w:val="16"/>
        </w:rPr>
        <w:softHyphen/>
        <w:t>ности дальнейшее оставление ее в г. Риге было признано нежелательным, и фабрика бьша перевезена в г. Петроград, причем были приняты все меры к скорейшему переносу завода. Хотя эта перевозка и устройство фабрики на новом месте и вызвали, помимо расходов, большие затруднения, тем не менее ныне на ней уже полностью установлено производство работ, и В. В. Слюсаренко 20 сентября подано заявление о готовности четырех заказанных по настоящему контракту аэропланов.</w:t>
      </w:r>
    </w:p>
    <w:p w14:paraId="04A6F2B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Представляя изложенное на благоусмотрение Военного совета, я, со своей стороны, нахожу, что при наличии указанных выше обстоятельств невыполнение В. В. Слюсарен</w:t>
      </w:r>
      <w:r w:rsidRPr="00DE096C">
        <w:rPr>
          <w:bCs/>
          <w:color w:val="002060"/>
          <w:sz w:val="16"/>
          <w:szCs w:val="16"/>
        </w:rPr>
        <w:softHyphen/>
        <w:t>ко поставки к контрактному сроку не может быть вменено ему в вину и ходатайство его об отсрочке заслуживает удовлетворения.</w:t>
      </w:r>
    </w:p>
    <w:p w14:paraId="13B974C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Ввиду сего я полагал бы:</w:t>
      </w:r>
    </w:p>
    <w:p w14:paraId="4CC1AF2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МНЕНИЕ: Предоставить В. В. Слюсаренко по контракту от 21 марта 1914 г. за № 6703 просимую им отсрочку на один месяц, т. е. до 21 октября 1914 года.</w:t>
      </w:r>
    </w:p>
    <w:p w14:paraId="3D69B2E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Приложение: заявление Слюсаренко от 20 сентября с. г.*</w:t>
      </w:r>
    </w:p>
    <w:p w14:paraId="1B0211A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Начальник управления генерал-лейтенант барон Ропп За начальника технического отдела полковник Семковский</w:t>
      </w:r>
    </w:p>
    <w:p w14:paraId="396D030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Помета: «Доложено Военному совету 4 октября 1914 г. Утверждено».</w:t>
      </w:r>
    </w:p>
    <w:p w14:paraId="261ABE1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РГВИА. Ф. 29. Оп. 3. Д. 861. Л. 71-71 об. Подлинник (485).</w:t>
      </w:r>
    </w:p>
    <w:p w14:paraId="6AFB9DA5" w14:textId="77777777" w:rsidR="00B67D7C" w:rsidRPr="00DE096C" w:rsidRDefault="00B67D7C" w:rsidP="00D45A46">
      <w:pPr>
        <w:shd w:val="clear" w:color="auto" w:fill="FFFFFF"/>
        <w:jc w:val="both"/>
        <w:rPr>
          <w:bCs/>
          <w:color w:val="002060"/>
          <w:sz w:val="16"/>
          <w:szCs w:val="16"/>
        </w:rPr>
      </w:pPr>
    </w:p>
    <w:p w14:paraId="51DBB79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 (15) октября 1914 г. был подготовлен Доклад ГВТУ Военному совету об отсрочке заводу В. В. Слюсаренко поставки аэропланов № 1488/3565</w:t>
      </w:r>
    </w:p>
    <w:p w14:paraId="751F881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Секретно</w:t>
      </w:r>
    </w:p>
    <w:p w14:paraId="55B542A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Владелец авиационной фабрики В. В. Слюсаренко обратился в Главное военно-тех</w:t>
      </w:r>
      <w:r w:rsidRPr="00DE096C">
        <w:rPr>
          <w:bCs/>
          <w:color w:val="002060"/>
          <w:sz w:val="16"/>
          <w:szCs w:val="16"/>
        </w:rPr>
        <w:softHyphen/>
        <w:t>ническое управление с ходатайством о продлении на один месяц срока контракта, зак</w:t>
      </w:r>
      <w:r w:rsidRPr="00DE096C">
        <w:rPr>
          <w:bCs/>
          <w:color w:val="002060"/>
          <w:sz w:val="16"/>
          <w:szCs w:val="16"/>
        </w:rPr>
        <w:softHyphen/>
        <w:t>люченного им, Слюсаренко, с Управлением 21 марта 1914 г. за № 6703 на поставку аэро</w:t>
      </w:r>
      <w:r w:rsidRPr="00DE096C">
        <w:rPr>
          <w:bCs/>
          <w:color w:val="002060"/>
          <w:sz w:val="16"/>
          <w:szCs w:val="16"/>
        </w:rPr>
        <w:softHyphen/>
        <w:t>планов и запасных частей к ним. При этом проситель указывает, что задержка в изготов</w:t>
      </w:r>
      <w:r w:rsidRPr="00DE096C">
        <w:rPr>
          <w:bCs/>
          <w:color w:val="002060"/>
          <w:sz w:val="16"/>
          <w:szCs w:val="16"/>
        </w:rPr>
        <w:softHyphen/>
        <w:t>лении упомянутых предметов произошла вследствие переезда фабрики из г. Риги в г. Петроград, вызванного обстоятельствами военного времени.</w:t>
      </w:r>
    </w:p>
    <w:p w14:paraId="25CA1DF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Из имеющихся в Главном военно-техническом управлении сведений видно, что вла</w:t>
      </w:r>
      <w:r w:rsidRPr="00DE096C">
        <w:rPr>
          <w:bCs/>
          <w:color w:val="002060"/>
          <w:sz w:val="16"/>
          <w:szCs w:val="16"/>
        </w:rPr>
        <w:softHyphen/>
        <w:t>дельцу авиационной фабрики в г. Риге В. В. Слюсаренко по означенному выше контрак</w:t>
      </w:r>
      <w:r w:rsidRPr="00DE096C">
        <w:rPr>
          <w:bCs/>
          <w:color w:val="002060"/>
          <w:sz w:val="16"/>
          <w:szCs w:val="16"/>
        </w:rPr>
        <w:softHyphen/>
        <w:t>ту, заключенному на основании положения Военного совета от 31 декабря 1913 г., было заказано на срок 21 сентября текущего года 14 аэропланов системы Фармана и 10 комп</w:t>
      </w:r>
      <w:r w:rsidRPr="00DE096C">
        <w:rPr>
          <w:bCs/>
          <w:color w:val="002060"/>
          <w:sz w:val="16"/>
          <w:szCs w:val="16"/>
        </w:rPr>
        <w:softHyphen/>
        <w:t>лектов запасных частей к ним. Работы по выполнению этой поставки производились на фабрике Слюсаренко под наблюдением особо командированного офицера и шли впол</w:t>
      </w:r>
      <w:r w:rsidRPr="00DE096C">
        <w:rPr>
          <w:bCs/>
          <w:color w:val="002060"/>
          <w:sz w:val="16"/>
          <w:szCs w:val="16"/>
        </w:rPr>
        <w:softHyphen/>
        <w:t>не успешно, так что уже к первым числам июня был сдан 1 аэроплан и произведено испытание 8 двигателей. С открытием военных действий против Германии фабрика дол</w:t>
      </w:r>
      <w:r w:rsidRPr="00DE096C">
        <w:rPr>
          <w:bCs/>
          <w:color w:val="002060"/>
          <w:sz w:val="16"/>
          <w:szCs w:val="16"/>
        </w:rPr>
        <w:softHyphen/>
        <w:t>жна была временно приостановить свою деятельность, так как из соображений безопас</w:t>
      </w:r>
      <w:r w:rsidRPr="00DE096C">
        <w:rPr>
          <w:bCs/>
          <w:color w:val="002060"/>
          <w:sz w:val="16"/>
          <w:szCs w:val="16"/>
        </w:rPr>
        <w:softHyphen/>
        <w:t>ности дальнейшее оставление ее в г. Риге было признано нежелательным, и фабрика была перевезена в г. Петроград, причем были приняты все меры к скорейшему переносу завода. Хотя эта перевозка и устройство фабрики на новом месте и вызвали, помимо расходов, большие затруднения, тем не менее ныне на ней уже полностью установлено производство работ, и В. В. Слюсаренко 20 сентября подано заявление о готовности четырех заказанных по настоящему контракту аэропланов.</w:t>
      </w:r>
    </w:p>
    <w:p w14:paraId="55ED444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Представляя изложенное на благоусмотрение Военного совета, я, со своей стороны, нахожу, что при наличии указанных выше обстоятельств невыполнение В. В. Слюсарен</w:t>
      </w:r>
      <w:r w:rsidRPr="00DE096C">
        <w:rPr>
          <w:bCs/>
          <w:color w:val="002060"/>
          <w:sz w:val="16"/>
          <w:szCs w:val="16"/>
        </w:rPr>
        <w:softHyphen/>
        <w:t>ко поставки к контрактному сроку не может быть вменено ему в вину и ходатайство его об отсрочке заслуживает удовлетворения.</w:t>
      </w:r>
    </w:p>
    <w:p w14:paraId="0A61620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Ввиду сего я полагал бы:</w:t>
      </w:r>
    </w:p>
    <w:p w14:paraId="54FAD1F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МНЕНИЕ: Предоставить В. В. Слюсаренко по контракту от 21 марта 1914 г. за № 6703 просимую им отсрочку на один месяц, т. е. до 21 октября 1914 года.</w:t>
      </w:r>
    </w:p>
    <w:p w14:paraId="3556547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Приложение: заявление Слюсаренко от 20 сентября с. г.</w:t>
      </w:r>
    </w:p>
    <w:p w14:paraId="4BF226C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 Резолюция [Якимовича]: «Необходимо немедленно дать наряд на нагели. Прошу доложить, сколь</w:t>
      </w:r>
      <w:r w:rsidRPr="00DE096C">
        <w:rPr>
          <w:bCs/>
          <w:color w:val="002060"/>
          <w:sz w:val="16"/>
          <w:szCs w:val="16"/>
        </w:rPr>
        <w:softHyphen/>
        <w:t>ко может завод их выпускать? 27/8». Помета Басова: «Дается наряд на 250 тыс. нагелей - 100 тыс. боевых личинок. Депеша готова. Ижевский завод дает 60 тыс. в месяц». (Прим. сост.)</w:t>
      </w:r>
    </w:p>
    <w:p w14:paraId="23C57A5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Начальник управления генерал-лейтенант барон Ропп За начальника технического отдела полковник Семковский</w:t>
      </w:r>
    </w:p>
    <w:p w14:paraId="69F2B58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Помета: «Доложено Военному совету 4 октября 1914 г. Утверждено».</w:t>
      </w:r>
    </w:p>
    <w:p w14:paraId="1F2B64D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РГВИА. Ф. 29. Оп. 3. Д. 861. Л. 71-71 об. Подлинник (10707).</w:t>
      </w:r>
    </w:p>
    <w:p w14:paraId="5EC89A05" w14:textId="77777777" w:rsidR="00B67D7C" w:rsidRPr="00DE096C" w:rsidRDefault="00B67D7C" w:rsidP="00D45A46">
      <w:pPr>
        <w:shd w:val="clear" w:color="auto" w:fill="FFFFFF"/>
        <w:jc w:val="both"/>
        <w:rPr>
          <w:bCs/>
          <w:color w:val="002060"/>
          <w:sz w:val="16"/>
          <w:szCs w:val="16"/>
        </w:rPr>
      </w:pPr>
    </w:p>
    <w:p w14:paraId="08DC98B9" w14:textId="77777777" w:rsidR="00B67D7C" w:rsidRPr="00DE096C" w:rsidRDefault="00B67D7C" w:rsidP="00D45A46">
      <w:pPr>
        <w:jc w:val="both"/>
        <w:rPr>
          <w:bCs/>
          <w:i/>
          <w:color w:val="002060"/>
          <w:sz w:val="16"/>
          <w:szCs w:val="16"/>
        </w:rPr>
      </w:pPr>
      <w:r w:rsidRPr="00DE096C">
        <w:rPr>
          <w:bCs/>
          <w:i/>
          <w:color w:val="002060"/>
          <w:sz w:val="16"/>
          <w:szCs w:val="16"/>
        </w:rPr>
        <w:t>Военное воздухоплавание:</w:t>
      </w:r>
    </w:p>
    <w:p w14:paraId="11DBB206" w14:textId="77777777" w:rsidR="00B67D7C" w:rsidRPr="00DE096C" w:rsidRDefault="00B67D7C" w:rsidP="00D45A46">
      <w:pPr>
        <w:jc w:val="both"/>
        <w:rPr>
          <w:bCs/>
          <w:i/>
          <w:color w:val="002060"/>
          <w:sz w:val="16"/>
          <w:szCs w:val="16"/>
        </w:rPr>
      </w:pPr>
    </w:p>
    <w:p w14:paraId="3449483A" w14:textId="15C7AAF7" w:rsidR="00B67D7C" w:rsidRPr="00DE096C" w:rsidRDefault="00B67D7C" w:rsidP="00D45A46">
      <w:pPr>
        <w:jc w:val="both"/>
        <w:rPr>
          <w:bCs/>
          <w:color w:val="002060"/>
          <w:sz w:val="16"/>
          <w:szCs w:val="16"/>
        </w:rPr>
      </w:pPr>
      <w:r w:rsidRPr="00DE096C">
        <w:rPr>
          <w:bCs/>
          <w:color w:val="002060"/>
          <w:sz w:val="16"/>
          <w:szCs w:val="16"/>
        </w:rPr>
        <w:t xml:space="preserve">2 </w:t>
      </w:r>
      <w:r w:rsidR="00AE19EB" w:rsidRPr="00DE096C">
        <w:rPr>
          <w:bCs/>
          <w:color w:val="002060"/>
          <w:sz w:val="16"/>
          <w:szCs w:val="16"/>
        </w:rPr>
        <w:t xml:space="preserve">(15) </w:t>
      </w:r>
      <w:r w:rsidRPr="00DE096C">
        <w:rPr>
          <w:bCs/>
          <w:color w:val="002060"/>
          <w:sz w:val="16"/>
          <w:szCs w:val="16"/>
        </w:rPr>
        <w:t>октября 1914, когда осадная тяжелая батарея противника открыла огонь по мосту через реку Вислу, воздухоплаватели немедленно обнаружили ее и умелым корректированием стрельбы русских крепостных орудий быстро заставили замолчать, сохранив тем самым важную для войск переправу (11334).</w:t>
      </w:r>
    </w:p>
    <w:p w14:paraId="7A64ADD0" w14:textId="77777777" w:rsidR="00B67D7C" w:rsidRPr="00DE096C" w:rsidRDefault="00B67D7C" w:rsidP="00D45A46">
      <w:pPr>
        <w:jc w:val="both"/>
        <w:rPr>
          <w:bCs/>
          <w:i/>
          <w:color w:val="002060"/>
          <w:sz w:val="16"/>
          <w:szCs w:val="16"/>
        </w:rPr>
      </w:pPr>
    </w:p>
    <w:p w14:paraId="2667109D" w14:textId="72A476C5" w:rsidR="0051270C" w:rsidRPr="00DE096C" w:rsidRDefault="0051270C" w:rsidP="0051270C">
      <w:pPr>
        <w:jc w:val="both"/>
        <w:rPr>
          <w:bCs/>
          <w:i/>
          <w:color w:val="002060"/>
          <w:sz w:val="16"/>
          <w:szCs w:val="16"/>
        </w:rPr>
      </w:pPr>
      <w:r>
        <w:rPr>
          <w:bCs/>
          <w:i/>
          <w:color w:val="002060"/>
          <w:sz w:val="16"/>
          <w:szCs w:val="16"/>
        </w:rPr>
        <w:t>Самолетостроение</w:t>
      </w:r>
      <w:r w:rsidRPr="00DE096C">
        <w:rPr>
          <w:bCs/>
          <w:i/>
          <w:color w:val="002060"/>
          <w:sz w:val="16"/>
          <w:szCs w:val="16"/>
        </w:rPr>
        <w:t>:</w:t>
      </w:r>
    </w:p>
    <w:p w14:paraId="5AF51A52" w14:textId="77777777" w:rsidR="0051270C" w:rsidRPr="00DE096C" w:rsidRDefault="0051270C" w:rsidP="0051270C">
      <w:pPr>
        <w:jc w:val="both"/>
        <w:rPr>
          <w:bCs/>
          <w:i/>
          <w:color w:val="002060"/>
          <w:sz w:val="16"/>
          <w:szCs w:val="16"/>
        </w:rPr>
      </w:pPr>
    </w:p>
    <w:p w14:paraId="738133C0" w14:textId="77777777" w:rsidR="0051270C" w:rsidRPr="00B52707" w:rsidRDefault="0051270C" w:rsidP="0051270C">
      <w:pPr>
        <w:jc w:val="both"/>
        <w:rPr>
          <w:color w:val="0070C0"/>
          <w:sz w:val="16"/>
          <w:szCs w:val="16"/>
        </w:rPr>
      </w:pPr>
      <w:r w:rsidRPr="00B52707">
        <w:rPr>
          <w:color w:val="0070C0"/>
          <w:sz w:val="16"/>
          <w:szCs w:val="16"/>
        </w:rPr>
        <w:t>3 (16) октября 1914 г. в Военный совет было подано предложение и проекты шта</w:t>
      </w:r>
      <w:r w:rsidRPr="00B52707">
        <w:rPr>
          <w:color w:val="0070C0"/>
          <w:sz w:val="16"/>
          <w:szCs w:val="16"/>
        </w:rPr>
        <w:softHyphen/>
        <w:t>та Подвижной авиационной ремонтной мастерской-поезда.</w:t>
      </w:r>
    </w:p>
    <w:p w14:paraId="3EAB441C" w14:textId="77777777" w:rsidR="0051270C" w:rsidRPr="00B52707" w:rsidRDefault="0051270C" w:rsidP="0051270C">
      <w:pPr>
        <w:jc w:val="both"/>
        <w:rPr>
          <w:color w:val="0070C0"/>
          <w:sz w:val="16"/>
          <w:szCs w:val="16"/>
        </w:rPr>
      </w:pPr>
      <w:r w:rsidRPr="00B52707">
        <w:rPr>
          <w:color w:val="0070C0"/>
          <w:sz w:val="16"/>
          <w:szCs w:val="16"/>
        </w:rPr>
        <w:t>Идею признали жизнеспособной. И в дальнейшем, в составе РИВВФ бу</w:t>
      </w:r>
      <w:r w:rsidRPr="00B52707">
        <w:rPr>
          <w:color w:val="0070C0"/>
          <w:sz w:val="16"/>
          <w:szCs w:val="16"/>
        </w:rPr>
        <w:softHyphen/>
        <w:t>дет сформировано несколько таких по</w:t>
      </w:r>
      <w:r w:rsidRPr="00B52707">
        <w:rPr>
          <w:color w:val="0070C0"/>
          <w:sz w:val="16"/>
          <w:szCs w:val="16"/>
        </w:rPr>
        <w:softHyphen/>
        <w:t>ездов-мастерских. Уже 15 января 1915 г. Военный Совет принял решение о форми</w:t>
      </w:r>
      <w:r w:rsidRPr="00B52707">
        <w:rPr>
          <w:color w:val="0070C0"/>
          <w:sz w:val="16"/>
          <w:szCs w:val="16"/>
        </w:rPr>
        <w:softHyphen/>
        <w:t>ровании 8-ми авиационных поездов-мас</w:t>
      </w:r>
      <w:r w:rsidRPr="00B52707">
        <w:rPr>
          <w:color w:val="0070C0"/>
          <w:sz w:val="16"/>
          <w:szCs w:val="16"/>
        </w:rPr>
        <w:softHyphen/>
        <w:t>терских (РГВИА. Фонд 2003 опись 2 дело 616) (24962).</w:t>
      </w:r>
    </w:p>
    <w:p w14:paraId="4B60CDA6" w14:textId="77777777" w:rsidR="0051270C" w:rsidRPr="00B52707" w:rsidRDefault="0051270C" w:rsidP="0051270C">
      <w:pPr>
        <w:jc w:val="both"/>
        <w:rPr>
          <w:color w:val="0070C0"/>
          <w:sz w:val="16"/>
          <w:szCs w:val="16"/>
        </w:rPr>
      </w:pPr>
    </w:p>
    <w:p w14:paraId="036CEF1D" w14:textId="77777777" w:rsidR="00797E00" w:rsidRPr="00DE096C" w:rsidRDefault="00797E00" w:rsidP="00D45A46">
      <w:pPr>
        <w:jc w:val="both"/>
        <w:rPr>
          <w:bCs/>
          <w:i/>
          <w:color w:val="002060"/>
          <w:sz w:val="16"/>
          <w:szCs w:val="16"/>
        </w:rPr>
      </w:pPr>
      <w:r w:rsidRPr="00DE096C">
        <w:rPr>
          <w:bCs/>
          <w:i/>
          <w:color w:val="002060"/>
          <w:sz w:val="16"/>
          <w:szCs w:val="16"/>
        </w:rPr>
        <w:t>Другие оборонные отрасли:</w:t>
      </w:r>
    </w:p>
    <w:p w14:paraId="051DEA67" w14:textId="77777777" w:rsidR="00797E00" w:rsidRPr="00DE096C" w:rsidRDefault="00797E00" w:rsidP="00D45A46">
      <w:pPr>
        <w:jc w:val="both"/>
        <w:rPr>
          <w:bCs/>
          <w:i/>
          <w:color w:val="002060"/>
          <w:sz w:val="16"/>
          <w:szCs w:val="16"/>
        </w:rPr>
      </w:pPr>
    </w:p>
    <w:p w14:paraId="67B6341A" w14:textId="1D02923E" w:rsidR="00797E00" w:rsidRPr="00DE096C" w:rsidRDefault="00797E00" w:rsidP="00D45A46">
      <w:pPr>
        <w:pStyle w:val="2"/>
        <w:spacing w:before="0" w:after="0"/>
        <w:jc w:val="both"/>
        <w:rPr>
          <w:b w:val="0"/>
          <w:bCs/>
          <w:color w:val="002060"/>
          <w:sz w:val="16"/>
          <w:szCs w:val="16"/>
        </w:rPr>
      </w:pPr>
      <w:r w:rsidRPr="00DE096C">
        <w:rPr>
          <w:b w:val="0"/>
          <w:bCs/>
          <w:color w:val="002060"/>
          <w:sz w:val="16"/>
          <w:szCs w:val="16"/>
        </w:rPr>
        <w:t xml:space="preserve">3 </w:t>
      </w:r>
      <w:r w:rsidR="00AE19EB" w:rsidRPr="00DE096C">
        <w:rPr>
          <w:b w:val="0"/>
          <w:bCs/>
          <w:color w:val="002060"/>
          <w:sz w:val="16"/>
          <w:szCs w:val="16"/>
        </w:rPr>
        <w:t xml:space="preserve">(16) </w:t>
      </w:r>
      <w:r w:rsidRPr="00DE096C">
        <w:rPr>
          <w:b w:val="0"/>
          <w:bCs/>
          <w:color w:val="002060"/>
          <w:sz w:val="16"/>
          <w:szCs w:val="16"/>
        </w:rPr>
        <w:t>октября 1914 г. Начальник ГВТУ сообщал: «Ко времени объявления войны для авиационной службы у нас имелось 31 корпусной и 8 крепостных авиационных отрядов со 133 аэропланами «Ньюпор» и 91 аэроплан «Фарман». Мобилизация авиации русской армии выявила 244 самолета примерно десяти различных типов, 289 авиамоторов, 12 дирижаблей и 46 привязных змейковых аэростатов. По численности это был один из трех наиболее мощных воздушных флотов воюющих стран (вместе с Францией и Германией). Однако во многом эта мощь была кажущейся. Из дирижаблей боеспособными оказались только три, в отличие от немецких «Цеппелинов» на них совершили только единичные полеты, затем их разобрали. Много самолетов из-за непригодности к боевой работе пришлось оставить в авиашколах.</w:t>
      </w:r>
    </w:p>
    <w:p w14:paraId="53F9BC9C" w14:textId="77777777" w:rsidR="00797E00" w:rsidRPr="00DE096C" w:rsidRDefault="00797E00" w:rsidP="00D45A46">
      <w:pPr>
        <w:pStyle w:val="2"/>
        <w:spacing w:before="0" w:after="0"/>
        <w:jc w:val="both"/>
        <w:rPr>
          <w:b w:val="0"/>
          <w:bCs/>
          <w:color w:val="002060"/>
          <w:sz w:val="16"/>
          <w:szCs w:val="16"/>
        </w:rPr>
      </w:pPr>
      <w:r w:rsidRPr="00DE096C">
        <w:rPr>
          <w:b w:val="0"/>
          <w:bCs/>
          <w:color w:val="002060"/>
          <w:sz w:val="16"/>
          <w:szCs w:val="16"/>
        </w:rPr>
        <w:t>Предвоенный заказ на 400 самолетов новых типов — «Моран», «Вуазен», «Депердюссен», С-10 Сикорского, «Илья Муромец», выданный ГВТУ в начале 1914 г. русским авиазаводам, так и остался невыполненным из-за непоставок заграничных моторов и материалов для постройки. В военное время удалось продолжить постройку только 249 аэропланов, в том числе семи «Муромцев» (15464).</w:t>
      </w:r>
    </w:p>
    <w:p w14:paraId="2EC58D7B" w14:textId="77777777" w:rsidR="00797E00" w:rsidRPr="00DE096C" w:rsidRDefault="00797E00" w:rsidP="00D45A46">
      <w:pPr>
        <w:pStyle w:val="2"/>
        <w:spacing w:before="0" w:after="0"/>
        <w:jc w:val="both"/>
        <w:rPr>
          <w:b w:val="0"/>
          <w:bCs/>
          <w:color w:val="002060"/>
          <w:sz w:val="16"/>
          <w:szCs w:val="16"/>
        </w:rPr>
      </w:pPr>
    </w:p>
    <w:p w14:paraId="6BD1753B" w14:textId="77777777" w:rsidR="00B67D7C" w:rsidRPr="00DE096C" w:rsidRDefault="00B67D7C" w:rsidP="00D45A46">
      <w:pPr>
        <w:jc w:val="both"/>
        <w:rPr>
          <w:bCs/>
          <w:i/>
          <w:color w:val="002060"/>
          <w:sz w:val="16"/>
          <w:szCs w:val="16"/>
        </w:rPr>
      </w:pPr>
      <w:r w:rsidRPr="00DE096C">
        <w:rPr>
          <w:bCs/>
          <w:i/>
          <w:color w:val="002060"/>
          <w:sz w:val="16"/>
          <w:szCs w:val="16"/>
        </w:rPr>
        <w:t>Авиация:</w:t>
      </w:r>
    </w:p>
    <w:p w14:paraId="5D8B588F" w14:textId="77777777" w:rsidR="00B67D7C" w:rsidRPr="00DE096C" w:rsidRDefault="00B67D7C" w:rsidP="00D45A46">
      <w:pPr>
        <w:jc w:val="both"/>
        <w:rPr>
          <w:bCs/>
          <w:i/>
          <w:color w:val="002060"/>
          <w:sz w:val="16"/>
          <w:szCs w:val="16"/>
        </w:rPr>
      </w:pPr>
    </w:p>
    <w:p w14:paraId="45D1572A" w14:textId="7F972680" w:rsidR="00B67D7C" w:rsidRPr="00DE096C" w:rsidRDefault="00B67D7C" w:rsidP="00D45A46">
      <w:pPr>
        <w:jc w:val="both"/>
        <w:rPr>
          <w:bCs/>
          <w:color w:val="002060"/>
          <w:sz w:val="16"/>
          <w:szCs w:val="16"/>
        </w:rPr>
      </w:pPr>
      <w:r w:rsidRPr="00DE096C">
        <w:rPr>
          <w:bCs/>
          <w:color w:val="002060"/>
          <w:sz w:val="16"/>
          <w:szCs w:val="16"/>
        </w:rPr>
        <w:lastRenderedPageBreak/>
        <w:t>3</w:t>
      </w:r>
      <w:r w:rsidR="00AE19EB" w:rsidRPr="00DE096C">
        <w:rPr>
          <w:bCs/>
          <w:color w:val="002060"/>
          <w:sz w:val="16"/>
          <w:szCs w:val="16"/>
        </w:rPr>
        <w:t xml:space="preserve"> </w:t>
      </w:r>
      <w:r w:rsidRPr="00DE096C">
        <w:rPr>
          <w:bCs/>
          <w:color w:val="002060"/>
          <w:sz w:val="16"/>
          <w:szCs w:val="16"/>
        </w:rPr>
        <w:t xml:space="preserve">(16) октября </w:t>
      </w:r>
      <w:r w:rsidR="00AE19EB" w:rsidRPr="00DE096C">
        <w:rPr>
          <w:bCs/>
          <w:color w:val="002060"/>
          <w:sz w:val="16"/>
          <w:szCs w:val="16"/>
        </w:rPr>
        <w:t xml:space="preserve">1914 г. </w:t>
      </w:r>
      <w:r w:rsidRPr="00DE096C">
        <w:rPr>
          <w:bCs/>
          <w:color w:val="002060"/>
          <w:sz w:val="16"/>
          <w:szCs w:val="16"/>
        </w:rPr>
        <w:t xml:space="preserve">три аэроплана сбросили в общем 15 бомб на жилые кварталы </w:t>
      </w:r>
      <w:r w:rsidR="00AE19EB" w:rsidRPr="00DE096C">
        <w:rPr>
          <w:bCs/>
          <w:color w:val="002060"/>
          <w:sz w:val="16"/>
          <w:szCs w:val="16"/>
        </w:rPr>
        <w:t>Варшавы</w:t>
      </w:r>
      <w:r w:rsidRPr="00DE096C">
        <w:rPr>
          <w:bCs/>
          <w:color w:val="002060"/>
          <w:sz w:val="16"/>
          <w:szCs w:val="16"/>
        </w:rPr>
        <w:t xml:space="preserve"> и на вокзалы. Жертвами стали главным образом мирные жители. Бомбардировки повторились 4 и 6 октября 1914 г.; было сброшено до 40 бомб, и хотя военные объекты не пострадали, в городе было убито и ранено около сотни мирных жителей, в том числе женщины и дети (из них 46 только за 6 октября). От разрывов снарядов артиллерии было ранено трое жителей; воспользовавшись паникой, бежала партия в 300 арестантов, которую вели из Главной уголовной тюрьмы на Брестский вокзал. Последний налет в ходе Варшавско-Ивангородской операции был совершен 10 октября. Как отмечал варшавский обер-полицмейстер генерал-майор П.П. Мейер, неприятельские аэропланы сбросили «в течение первых дней октября до 35 бомб, взорвавшихся в разных местах города и причинивших ранения и смерть свыше 233 лицам, в числе коих было 48 женщин и 14 детей».</w:t>
      </w:r>
    </w:p>
    <w:p w14:paraId="0B09D1B5" w14:textId="77777777" w:rsidR="00B67D7C" w:rsidRPr="00DE096C" w:rsidRDefault="00B67D7C" w:rsidP="00D45A46">
      <w:pPr>
        <w:jc w:val="both"/>
        <w:rPr>
          <w:bCs/>
          <w:color w:val="002060"/>
          <w:sz w:val="16"/>
          <w:szCs w:val="16"/>
        </w:rPr>
      </w:pPr>
      <w:r w:rsidRPr="00DE096C">
        <w:rPr>
          <w:bCs/>
          <w:color w:val="002060"/>
          <w:sz w:val="16"/>
          <w:szCs w:val="16"/>
        </w:rPr>
        <w:t>Первый опыт боев с воздушным противником выявил главные недостатки импровизированной противовоздушной обороны: сложность ведения огня на больших углах возвышения (что приводило не только к низкой боевой эффективности, но и к жертвам на земле от слишком близких разрывов снарядов), большие затраты времени для поворота стволов в сторону быстро маневрирующей цели, отсутствие в силу этого координации наземного огня.</w:t>
      </w:r>
    </w:p>
    <w:p w14:paraId="12BED25E" w14:textId="77777777" w:rsidR="00B67D7C" w:rsidRPr="00DE096C" w:rsidRDefault="00B67D7C" w:rsidP="00D45A46">
      <w:pPr>
        <w:jc w:val="both"/>
        <w:rPr>
          <w:bCs/>
          <w:color w:val="002060"/>
          <w:sz w:val="16"/>
          <w:szCs w:val="16"/>
        </w:rPr>
      </w:pPr>
      <w:r w:rsidRPr="00DE096C">
        <w:rPr>
          <w:bCs/>
          <w:color w:val="002060"/>
          <w:sz w:val="16"/>
          <w:szCs w:val="16"/>
        </w:rPr>
        <w:t>Все это объяснялось отсутствием специальных зенитных орудий, которые только начали производиться. Тем не менее, даже имеющимися средствами Варшавская крепостная артиллерия смогла заставить противника отказаться от использования дирижаблей, имеющих большую по сравнению с аэропланами грузоподъемность и дальность полета. К борьбе с налетами аэропланов парами и четверками варшавские артиллеристы не были готовы. Следует особо подчеркнуть, что это был первый в мире опыт защиты крупного города, являвшегося административно-политическим центром и одновременно опорной базой большого количества войск.</w:t>
      </w:r>
    </w:p>
    <w:p w14:paraId="3D9909CF" w14:textId="77777777" w:rsidR="00B67D7C" w:rsidRPr="00DE096C" w:rsidRDefault="00B67D7C" w:rsidP="00D45A46">
      <w:pPr>
        <w:jc w:val="both"/>
        <w:rPr>
          <w:bCs/>
          <w:i/>
          <w:color w:val="002060"/>
          <w:sz w:val="16"/>
          <w:szCs w:val="16"/>
        </w:rPr>
      </w:pPr>
    </w:p>
    <w:p w14:paraId="137C9474" w14:textId="35646E2E" w:rsidR="00D822CB" w:rsidRPr="00DE096C" w:rsidRDefault="00685757" w:rsidP="00D45A46">
      <w:pPr>
        <w:jc w:val="both"/>
        <w:rPr>
          <w:bCs/>
          <w:color w:val="002060"/>
          <w:sz w:val="16"/>
          <w:szCs w:val="16"/>
          <w:lang w:bidi="en-US"/>
        </w:rPr>
      </w:pPr>
      <w:r w:rsidRPr="00DE096C">
        <w:rPr>
          <w:bCs/>
          <w:color w:val="002060"/>
          <w:sz w:val="16"/>
          <w:szCs w:val="16"/>
          <w:lang w:bidi="en-US"/>
        </w:rPr>
        <w:t>3 (</w:t>
      </w:r>
      <w:r w:rsidR="00D822CB" w:rsidRPr="00DE096C">
        <w:rPr>
          <w:bCs/>
          <w:color w:val="002060"/>
          <w:sz w:val="16"/>
          <w:szCs w:val="16"/>
          <w:lang w:bidi="en-US"/>
        </w:rPr>
        <w:t>16</w:t>
      </w:r>
      <w:r w:rsidRPr="00DE096C">
        <w:rPr>
          <w:bCs/>
          <w:color w:val="002060"/>
          <w:sz w:val="16"/>
          <w:szCs w:val="16"/>
          <w:lang w:bidi="en-US"/>
        </w:rPr>
        <w:t>)</w:t>
      </w:r>
      <w:r w:rsidR="00D822CB" w:rsidRPr="00DE096C">
        <w:rPr>
          <w:bCs/>
          <w:color w:val="002060"/>
          <w:sz w:val="16"/>
          <w:szCs w:val="16"/>
          <w:lang w:bidi="en-US"/>
        </w:rPr>
        <w:t xml:space="preserve"> октября 1914 г. </w:t>
      </w:r>
      <w:r w:rsidR="00D822CB" w:rsidRPr="00DE096C">
        <w:rPr>
          <w:bCs/>
          <w:color w:val="002060"/>
          <w:sz w:val="16"/>
          <w:szCs w:val="16"/>
          <w:lang w:val="en-US" w:bidi="en-US"/>
        </w:rPr>
        <w:t>CMTD</w:t>
      </w:r>
      <w:r w:rsidR="00D822CB" w:rsidRPr="00DE096C">
        <w:rPr>
          <w:bCs/>
          <w:color w:val="002060"/>
          <w:sz w:val="16"/>
          <w:szCs w:val="16"/>
          <w:lang w:bidi="en-US"/>
        </w:rPr>
        <w:t xml:space="preserve"> сообщил, что существует тридцать один </w:t>
      </w:r>
      <w:r w:rsidR="00D822CB" w:rsidRPr="00DE096C">
        <w:rPr>
          <w:bCs/>
          <w:color w:val="002060"/>
          <w:sz w:val="16"/>
          <w:szCs w:val="16"/>
          <w:lang w:val="en-US" w:bidi="en-US"/>
        </w:rPr>
        <w:t>KAO</w:t>
      </w:r>
      <w:r w:rsidR="00D822CB" w:rsidRPr="00DE096C">
        <w:rPr>
          <w:bCs/>
          <w:color w:val="002060"/>
          <w:sz w:val="16"/>
          <w:szCs w:val="16"/>
          <w:lang w:bidi="en-US"/>
        </w:rPr>
        <w:t xml:space="preserve"> и восемь </w:t>
      </w:r>
      <w:r w:rsidR="00D822CB" w:rsidRPr="00DE096C">
        <w:rPr>
          <w:bCs/>
          <w:color w:val="002060"/>
          <w:sz w:val="16"/>
          <w:szCs w:val="16"/>
          <w:lang w:val="en-US" w:bidi="en-US"/>
        </w:rPr>
        <w:t>Fortress</w:t>
      </w:r>
      <w:r w:rsidR="00D822CB" w:rsidRPr="00DE096C">
        <w:rPr>
          <w:bCs/>
          <w:color w:val="002060"/>
          <w:sz w:val="16"/>
          <w:szCs w:val="16"/>
          <w:lang w:bidi="en-US"/>
        </w:rPr>
        <w:t xml:space="preserve"> </w:t>
      </w:r>
      <w:r w:rsidR="00D822CB" w:rsidRPr="00DE096C">
        <w:rPr>
          <w:bCs/>
          <w:color w:val="002060"/>
          <w:sz w:val="16"/>
          <w:szCs w:val="16"/>
          <w:lang w:val="en-US" w:bidi="en-US"/>
        </w:rPr>
        <w:t>AO</w:t>
      </w:r>
      <w:r w:rsidR="00D822CB" w:rsidRPr="00DE096C">
        <w:rPr>
          <w:bCs/>
          <w:color w:val="002060"/>
          <w:sz w:val="16"/>
          <w:szCs w:val="16"/>
          <w:lang w:bidi="en-US"/>
        </w:rPr>
        <w:t xml:space="preserve">, 133 </w:t>
      </w:r>
      <w:r w:rsidR="00D822CB" w:rsidRPr="00DE096C">
        <w:rPr>
          <w:bCs/>
          <w:color w:val="002060"/>
          <w:sz w:val="16"/>
          <w:szCs w:val="16"/>
          <w:lang w:val="en-US" w:bidi="en-US"/>
        </w:rPr>
        <w:t>Nieuport</w:t>
      </w:r>
      <w:r w:rsidR="00D822CB" w:rsidRPr="00DE096C">
        <w:rPr>
          <w:bCs/>
          <w:color w:val="002060"/>
          <w:sz w:val="16"/>
          <w:szCs w:val="16"/>
          <w:lang w:bidi="en-US"/>
        </w:rPr>
        <w:t xml:space="preserve"> </w:t>
      </w:r>
      <w:r w:rsidR="00D822CB" w:rsidRPr="00DE096C">
        <w:rPr>
          <w:bCs/>
          <w:color w:val="002060"/>
          <w:sz w:val="16"/>
          <w:szCs w:val="16"/>
          <w:lang w:val="en-US" w:bidi="en-US"/>
        </w:rPr>
        <w:t>I</w:t>
      </w:r>
      <w:r w:rsidR="00D822CB" w:rsidRPr="00DE096C">
        <w:rPr>
          <w:bCs/>
          <w:color w:val="002060"/>
          <w:sz w:val="16"/>
          <w:szCs w:val="16"/>
          <w:lang w:bidi="en-US"/>
        </w:rPr>
        <w:t xml:space="preserve"> </w:t>
      </w:r>
      <w:r w:rsidR="00D822CB" w:rsidRPr="00DE096C">
        <w:rPr>
          <w:bCs/>
          <w:color w:val="002060"/>
          <w:sz w:val="16"/>
          <w:szCs w:val="16"/>
          <w:lang w:val="en-US" w:bidi="en-US"/>
        </w:rPr>
        <w:t>V</w:t>
      </w:r>
      <w:r w:rsidR="00D822CB" w:rsidRPr="00DE096C">
        <w:rPr>
          <w:bCs/>
          <w:color w:val="002060"/>
          <w:sz w:val="16"/>
          <w:szCs w:val="16"/>
          <w:lang w:bidi="en-US"/>
        </w:rPr>
        <w:t xml:space="preserve"> и девяносто один </w:t>
      </w:r>
      <w:r w:rsidR="00D822CB" w:rsidRPr="00DE096C">
        <w:rPr>
          <w:bCs/>
          <w:color w:val="002060"/>
          <w:sz w:val="16"/>
          <w:szCs w:val="16"/>
          <w:lang w:val="en-US" w:bidi="en-US"/>
        </w:rPr>
        <w:t>Farman</w:t>
      </w:r>
      <w:r w:rsidR="00D822CB" w:rsidRPr="00DE096C">
        <w:rPr>
          <w:bCs/>
          <w:color w:val="002060"/>
          <w:sz w:val="16"/>
          <w:szCs w:val="16"/>
          <w:lang w:bidi="en-US"/>
        </w:rPr>
        <w:t xml:space="preserve"> (23525).</w:t>
      </w:r>
    </w:p>
    <w:p w14:paraId="2D57D2E0" w14:textId="77777777" w:rsidR="00D822CB" w:rsidRPr="00DE096C" w:rsidRDefault="00D822CB" w:rsidP="00D45A46">
      <w:pPr>
        <w:jc w:val="both"/>
        <w:rPr>
          <w:bCs/>
          <w:color w:val="002060"/>
          <w:sz w:val="16"/>
          <w:szCs w:val="16"/>
        </w:rPr>
      </w:pPr>
    </w:p>
    <w:p w14:paraId="331A23BD" w14:textId="77777777" w:rsidR="00797E00" w:rsidRPr="00DE096C" w:rsidRDefault="00797E00" w:rsidP="00D45A46">
      <w:pPr>
        <w:jc w:val="both"/>
        <w:rPr>
          <w:bCs/>
          <w:i/>
          <w:color w:val="002060"/>
          <w:sz w:val="16"/>
          <w:szCs w:val="16"/>
        </w:rPr>
      </w:pPr>
      <w:r w:rsidRPr="00DE096C">
        <w:rPr>
          <w:bCs/>
          <w:i/>
          <w:color w:val="002060"/>
          <w:sz w:val="16"/>
          <w:szCs w:val="16"/>
        </w:rPr>
        <w:t>За рубежом:</w:t>
      </w:r>
    </w:p>
    <w:p w14:paraId="0CD9E5D3" w14:textId="77777777" w:rsidR="00797E00" w:rsidRPr="00DE096C" w:rsidRDefault="00797E00" w:rsidP="00D45A46">
      <w:pPr>
        <w:jc w:val="both"/>
        <w:rPr>
          <w:bCs/>
          <w:color w:val="002060"/>
          <w:sz w:val="16"/>
          <w:szCs w:val="16"/>
        </w:rPr>
      </w:pPr>
    </w:p>
    <w:p w14:paraId="1E52932A" w14:textId="77777777" w:rsidR="00797E00" w:rsidRPr="00DE096C" w:rsidRDefault="00797E00" w:rsidP="00D45A46">
      <w:pPr>
        <w:jc w:val="both"/>
        <w:rPr>
          <w:bCs/>
          <w:color w:val="002060"/>
          <w:sz w:val="16"/>
          <w:szCs w:val="16"/>
        </w:rPr>
      </w:pPr>
      <w:r w:rsidRPr="00DE096C">
        <w:rPr>
          <w:rStyle w:val="ucoz-forum-post"/>
          <w:rFonts w:eastAsiaTheme="majorEastAsia"/>
          <w:bCs/>
          <w:color w:val="002060"/>
          <w:sz w:val="16"/>
          <w:szCs w:val="16"/>
        </w:rPr>
        <w:t xml:space="preserve">3 (16) октября </w:t>
      </w:r>
      <w:r w:rsidRPr="00DE096C">
        <w:rPr>
          <w:bCs/>
          <w:color w:val="002060"/>
          <w:sz w:val="16"/>
          <w:szCs w:val="16"/>
        </w:rPr>
        <w:t>в 1914 году состоялась первое переливание крови Первой мировой войны, когда солдат 45-ого пехотного корпуса французской армии Исидор Колас дал свою кровь капралу Генри Леграну и тем самым спас ему жизнь. Переливание крови спасло жизнь многим солдатам, хотя не всегда оно заканчивалось благополучно. Возможность переливания крови была продемонстрирована более чем сто лет назад, но только после открытия в 1901 году Карлом Ландштейнером групп крови эта процедура стала относительно безопасной (14801).</w:t>
      </w:r>
    </w:p>
    <w:p w14:paraId="60E47EFC" w14:textId="77777777" w:rsidR="00797E00" w:rsidRPr="00DE096C" w:rsidRDefault="00797E00" w:rsidP="00D45A46">
      <w:pPr>
        <w:jc w:val="both"/>
        <w:rPr>
          <w:bCs/>
          <w:color w:val="002060"/>
          <w:sz w:val="16"/>
          <w:szCs w:val="16"/>
        </w:rPr>
      </w:pPr>
    </w:p>
    <w:p w14:paraId="5D62FAA6" w14:textId="77777777" w:rsidR="00736E34" w:rsidRPr="00DE096C" w:rsidRDefault="00736E34" w:rsidP="00736E34">
      <w:pPr>
        <w:jc w:val="both"/>
        <w:rPr>
          <w:bCs/>
          <w:i/>
          <w:color w:val="002060"/>
          <w:sz w:val="16"/>
          <w:szCs w:val="16"/>
        </w:rPr>
      </w:pPr>
      <w:r w:rsidRPr="00DE096C">
        <w:rPr>
          <w:bCs/>
          <w:i/>
          <w:color w:val="002060"/>
          <w:sz w:val="16"/>
          <w:szCs w:val="16"/>
        </w:rPr>
        <w:t>Другие оборонные отрасли:</w:t>
      </w:r>
    </w:p>
    <w:p w14:paraId="3936AC4A" w14:textId="77777777" w:rsidR="00736E34" w:rsidRPr="00DE096C" w:rsidRDefault="00736E34" w:rsidP="00736E34">
      <w:pPr>
        <w:jc w:val="both"/>
        <w:rPr>
          <w:bCs/>
          <w:i/>
          <w:color w:val="002060"/>
          <w:sz w:val="16"/>
          <w:szCs w:val="16"/>
        </w:rPr>
      </w:pPr>
    </w:p>
    <w:p w14:paraId="17DF9D5E" w14:textId="77777777" w:rsidR="00736E34" w:rsidRPr="00B52707" w:rsidRDefault="00736E34" w:rsidP="00736E34">
      <w:pPr>
        <w:jc w:val="both"/>
        <w:rPr>
          <w:color w:val="0070C0"/>
          <w:sz w:val="16"/>
          <w:szCs w:val="16"/>
        </w:rPr>
      </w:pPr>
      <w:r w:rsidRPr="00B52707">
        <w:rPr>
          <w:color w:val="0070C0"/>
          <w:sz w:val="16"/>
          <w:szCs w:val="16"/>
        </w:rPr>
        <w:t>4 (17) октября 1914 года было утверждено представление ГВТУ о разрешении приоб</w:t>
      </w:r>
      <w:r w:rsidRPr="00B52707">
        <w:rPr>
          <w:color w:val="0070C0"/>
          <w:sz w:val="16"/>
          <w:szCs w:val="16"/>
        </w:rPr>
        <w:softHyphen/>
        <w:t>рести от товарищества бр. Нобель, на период с октября 1914 года по апрель 1915 года, 100.000 пудов (1666,6 тн.) бензина высшего сорта следующими партиями: в октябре— 30.000 пуд. (500 тн.), в ноябре, декабре, январе и феврале—по 15.000 п. (250 тн.) ежемесячно и в марте— 10.000 п. (166,6 тн.).. При приемке первой партии этого бензина взятые от нее пробы были пред‘явлены для лабораторных исследований в центральную химическую лабораторию министерства фи</w:t>
      </w:r>
      <w:r w:rsidRPr="00B52707">
        <w:rPr>
          <w:color w:val="0070C0"/>
          <w:sz w:val="16"/>
          <w:szCs w:val="16"/>
        </w:rPr>
        <w:softHyphen/>
        <w:t>нансов, при чем результаты этого исследования, удостове</w:t>
      </w:r>
      <w:r w:rsidRPr="00B52707">
        <w:rPr>
          <w:color w:val="0070C0"/>
          <w:sz w:val="16"/>
          <w:szCs w:val="16"/>
        </w:rPr>
        <w:softHyphen/>
        <w:t>ренные актом от 3 ноября 1914 года, показали, что исследованный бензин, по качествам своим, даже превосходит требования технических условий, выработанных Техниче</w:t>
      </w:r>
      <w:r w:rsidRPr="00B52707">
        <w:rPr>
          <w:color w:val="0070C0"/>
          <w:sz w:val="16"/>
          <w:szCs w:val="16"/>
        </w:rPr>
        <w:softHyphen/>
        <w:t>ским Комитетом 31 июля 1914 года. С ноября того же года бензин этот стал высылаться на фронт. Однако, и этим бензином наши летчики остались недовольны, требуя вы</w:t>
      </w:r>
      <w:r w:rsidRPr="00B52707">
        <w:rPr>
          <w:color w:val="0070C0"/>
          <w:sz w:val="16"/>
          <w:szCs w:val="16"/>
        </w:rPr>
        <w:softHyphen/>
        <w:t>сылки более легкого бензина. Вследствие этого, ГВТУ 8 июля 1915 года заключило контракт с обществом Май</w:t>
      </w:r>
      <w:r w:rsidRPr="00B52707">
        <w:rPr>
          <w:color w:val="0070C0"/>
          <w:sz w:val="16"/>
          <w:szCs w:val="16"/>
        </w:rPr>
        <w:softHyphen/>
        <w:t>копских нефтеперегонных заводов о поставке в течение года 50.000 пудов (833,3 тн.) бензина с удельным весом 0,680 — 0,685. Так как этого количества бензина должно было хватить на очень продолжительное время, то относи</w:t>
      </w:r>
      <w:r w:rsidRPr="00B52707">
        <w:rPr>
          <w:color w:val="0070C0"/>
          <w:sz w:val="16"/>
          <w:szCs w:val="16"/>
        </w:rPr>
        <w:softHyphen/>
        <w:t>тельно сроков поставки было условлено, что ежемесячно общество будет поставлять не более 10.000 пудов (166,6 тн.).</w:t>
      </w:r>
    </w:p>
    <w:p w14:paraId="78A4D505" w14:textId="77777777" w:rsidR="00736E34" w:rsidRPr="00B52707" w:rsidRDefault="00736E34" w:rsidP="00736E34">
      <w:pPr>
        <w:jc w:val="both"/>
        <w:rPr>
          <w:color w:val="0070C0"/>
          <w:sz w:val="16"/>
          <w:szCs w:val="16"/>
        </w:rPr>
      </w:pPr>
      <w:r w:rsidRPr="00B52707">
        <w:rPr>
          <w:color w:val="0070C0"/>
          <w:sz w:val="16"/>
          <w:szCs w:val="16"/>
        </w:rPr>
        <w:t>Кроме того, 15 октября 1915 года ГВТУ заключило с тем же обществом контракт на поставку еще 50.000 пуд. авиационного бензина. Наконец, 20 ноября 1915 года был заключен контракт на поставку такого же легкого бензина с фирмою бр. Нобель, которая заявила более дешевые цены, чем упомянутое общество. Эти заказы надолго обеспечили бензином авиационные части, и в дальнейшем недостатка в бензине не ощущалось (24923).</w:t>
      </w:r>
    </w:p>
    <w:p w14:paraId="668D11A8" w14:textId="77777777" w:rsidR="00736E34" w:rsidRPr="00B52707" w:rsidRDefault="00736E34" w:rsidP="00736E34">
      <w:pPr>
        <w:jc w:val="both"/>
        <w:rPr>
          <w:color w:val="0070C0"/>
          <w:sz w:val="16"/>
          <w:szCs w:val="16"/>
        </w:rPr>
      </w:pPr>
    </w:p>
    <w:p w14:paraId="38E86363" w14:textId="77777777" w:rsidR="00B67D7C" w:rsidRPr="00DE096C" w:rsidRDefault="00B67D7C" w:rsidP="00D45A46">
      <w:pPr>
        <w:jc w:val="both"/>
        <w:rPr>
          <w:bCs/>
          <w:i/>
          <w:color w:val="002060"/>
          <w:sz w:val="16"/>
          <w:szCs w:val="16"/>
        </w:rPr>
      </w:pPr>
      <w:r w:rsidRPr="00DE096C">
        <w:rPr>
          <w:bCs/>
          <w:i/>
          <w:color w:val="002060"/>
          <w:sz w:val="16"/>
          <w:szCs w:val="16"/>
        </w:rPr>
        <w:t>Авиация:</w:t>
      </w:r>
    </w:p>
    <w:p w14:paraId="46399EA3" w14:textId="77777777" w:rsidR="00B67D7C" w:rsidRPr="00DE096C" w:rsidRDefault="00B67D7C" w:rsidP="00D45A46">
      <w:pPr>
        <w:jc w:val="both"/>
        <w:rPr>
          <w:bCs/>
          <w:i/>
          <w:color w:val="002060"/>
          <w:sz w:val="16"/>
          <w:szCs w:val="16"/>
        </w:rPr>
      </w:pPr>
    </w:p>
    <w:p w14:paraId="2B87AC9B" w14:textId="028ADD9D" w:rsidR="00B67D7C" w:rsidRPr="00DE096C" w:rsidRDefault="00B67D7C" w:rsidP="00D45A46">
      <w:pPr>
        <w:jc w:val="both"/>
        <w:rPr>
          <w:bCs/>
          <w:color w:val="002060"/>
          <w:sz w:val="16"/>
          <w:szCs w:val="16"/>
        </w:rPr>
      </w:pPr>
      <w:r w:rsidRPr="00DE096C">
        <w:rPr>
          <w:bCs/>
          <w:color w:val="002060"/>
          <w:sz w:val="16"/>
          <w:szCs w:val="16"/>
        </w:rPr>
        <w:t xml:space="preserve">4 </w:t>
      </w:r>
      <w:r w:rsidR="00AE19EB" w:rsidRPr="00DE096C">
        <w:rPr>
          <w:bCs/>
          <w:color w:val="002060"/>
          <w:sz w:val="16"/>
          <w:szCs w:val="16"/>
        </w:rPr>
        <w:t xml:space="preserve">(17) </w:t>
      </w:r>
      <w:r w:rsidRPr="00DE096C">
        <w:rPr>
          <w:bCs/>
          <w:color w:val="002060"/>
          <w:sz w:val="16"/>
          <w:szCs w:val="16"/>
        </w:rPr>
        <w:t xml:space="preserve">октября </w:t>
      </w:r>
      <w:r w:rsidR="00AE19EB" w:rsidRPr="00DE096C">
        <w:rPr>
          <w:bCs/>
          <w:color w:val="002060"/>
          <w:sz w:val="16"/>
          <w:szCs w:val="16"/>
        </w:rPr>
        <w:t xml:space="preserve">1914 г. первоначально,"Киевский" (№ 128) капитана Горшкова </w:t>
      </w:r>
      <w:r w:rsidRPr="00DE096C">
        <w:rPr>
          <w:bCs/>
          <w:color w:val="002060"/>
          <w:sz w:val="16"/>
          <w:szCs w:val="16"/>
        </w:rPr>
        <w:t>был направлен вместе с отрядом "Муромца V" (№ 143) штабс-капитана Алехновича в Белосток. Но потом было решено оставить 128-й в ВАШ, и использовать не только как учебный, но и для подготовки команд для обслуживания аэроплана "Илья Муромец". ГУ ГШ не стал этому препятствовать, тем более что 128-й находился уже на грани выработки ресурсов. Через месяц, 18 ноября завод попросил разрешения ГВТУ о перестановке моторов "Аргус" со 128-го на выпускаемый аэроплан нового типа В, что и было сделано 27 ноября. Капитан Горшков получил этот "Муромец VII" (№ 150), который вместе с двигателями унаследовал и название "Киевский". Позднее эта передача имени стала традицией и в составе Эскадры Воздушных Кораблей (ЭВК) всегда имелся самолёт "Киевский".</w:t>
      </w:r>
    </w:p>
    <w:p w14:paraId="0EF58489" w14:textId="77777777" w:rsidR="00B67D7C" w:rsidRPr="00DE096C" w:rsidRDefault="00B67D7C" w:rsidP="00D45A46">
      <w:pPr>
        <w:jc w:val="both"/>
        <w:rPr>
          <w:bCs/>
          <w:color w:val="002060"/>
          <w:sz w:val="16"/>
          <w:szCs w:val="16"/>
        </w:rPr>
      </w:pPr>
      <w:r w:rsidRPr="00DE096C">
        <w:rPr>
          <w:bCs/>
          <w:color w:val="002060"/>
          <w:sz w:val="16"/>
          <w:szCs w:val="16"/>
        </w:rPr>
        <w:t>Поручик Б.Н. Фирсов был назначен командиром отряда аэроплана "Илья Муромец VI" и получил новую машину типа В № 149.</w:t>
      </w:r>
    </w:p>
    <w:p w14:paraId="7BEA4785" w14:textId="77777777" w:rsidR="00B67D7C" w:rsidRPr="00DE096C" w:rsidRDefault="00B67D7C" w:rsidP="00D45A46">
      <w:pPr>
        <w:jc w:val="both"/>
        <w:rPr>
          <w:bCs/>
          <w:color w:val="002060"/>
          <w:sz w:val="16"/>
          <w:szCs w:val="16"/>
        </w:rPr>
      </w:pPr>
      <w:r w:rsidRPr="00DE096C">
        <w:rPr>
          <w:bCs/>
          <w:color w:val="002060"/>
          <w:sz w:val="16"/>
          <w:szCs w:val="16"/>
        </w:rPr>
        <w:t>Таким образом, к началу декабря были готовы к отправке на фронт ешё четыре отряда (III, V, VI и VII "Киевский") (12041).</w:t>
      </w:r>
    </w:p>
    <w:p w14:paraId="65C6ABA8" w14:textId="77777777" w:rsidR="00B67D7C" w:rsidRPr="00DE096C" w:rsidRDefault="00B67D7C" w:rsidP="00D45A46">
      <w:pPr>
        <w:jc w:val="both"/>
        <w:rPr>
          <w:bCs/>
          <w:color w:val="002060"/>
          <w:sz w:val="16"/>
          <w:szCs w:val="16"/>
        </w:rPr>
      </w:pPr>
    </w:p>
    <w:p w14:paraId="11B42D11" w14:textId="77777777" w:rsidR="003031CD" w:rsidRPr="00DE096C" w:rsidRDefault="003031CD" w:rsidP="00D45A46">
      <w:pPr>
        <w:jc w:val="both"/>
        <w:rPr>
          <w:bCs/>
          <w:i/>
          <w:color w:val="002060"/>
          <w:sz w:val="16"/>
          <w:szCs w:val="16"/>
        </w:rPr>
      </w:pPr>
      <w:r w:rsidRPr="00DE096C">
        <w:rPr>
          <w:bCs/>
          <w:i/>
          <w:color w:val="002060"/>
          <w:sz w:val="16"/>
          <w:szCs w:val="16"/>
        </w:rPr>
        <w:t>За рубежом:</w:t>
      </w:r>
    </w:p>
    <w:p w14:paraId="4831A145" w14:textId="77777777" w:rsidR="003031CD" w:rsidRPr="00DE096C" w:rsidRDefault="003031CD" w:rsidP="00D45A46">
      <w:pPr>
        <w:jc w:val="both"/>
        <w:rPr>
          <w:bCs/>
          <w:color w:val="002060"/>
          <w:sz w:val="16"/>
          <w:szCs w:val="16"/>
        </w:rPr>
      </w:pPr>
    </w:p>
    <w:p w14:paraId="3304A178" w14:textId="77777777" w:rsidR="003031CD" w:rsidRPr="00DE096C" w:rsidRDefault="003031CD" w:rsidP="00D45A46">
      <w:pPr>
        <w:jc w:val="both"/>
        <w:rPr>
          <w:bCs/>
          <w:color w:val="002060"/>
          <w:sz w:val="16"/>
          <w:szCs w:val="16"/>
        </w:rPr>
      </w:pPr>
      <w:r w:rsidRPr="00DE096C">
        <w:rPr>
          <w:bCs/>
          <w:color w:val="002060"/>
          <w:sz w:val="16"/>
          <w:szCs w:val="16"/>
        </w:rPr>
        <w:t>4 (17) октября в 1914 году в ходе сражения на Изере в Бельгии (Западный фронт) отражены попытки германских войск выйти к портам Ла-Манша (до 30 октября) (14802).</w:t>
      </w:r>
    </w:p>
    <w:p w14:paraId="53B3446C" w14:textId="77777777" w:rsidR="003031CD" w:rsidRPr="00DE096C" w:rsidRDefault="003031CD" w:rsidP="00D45A46">
      <w:pPr>
        <w:jc w:val="both"/>
        <w:rPr>
          <w:bCs/>
          <w:color w:val="002060"/>
          <w:sz w:val="16"/>
          <w:szCs w:val="16"/>
        </w:rPr>
      </w:pPr>
    </w:p>
    <w:p w14:paraId="1F54B62F" w14:textId="77777777" w:rsidR="003031CD" w:rsidRPr="00DE096C" w:rsidRDefault="003031CD" w:rsidP="00D45A46">
      <w:pPr>
        <w:jc w:val="both"/>
        <w:rPr>
          <w:bCs/>
          <w:color w:val="002060"/>
          <w:sz w:val="16"/>
          <w:szCs w:val="16"/>
        </w:rPr>
      </w:pPr>
      <w:r w:rsidRPr="00DE096C">
        <w:rPr>
          <w:bCs/>
          <w:color w:val="002060"/>
          <w:sz w:val="16"/>
          <w:szCs w:val="16"/>
        </w:rPr>
        <w:t>4 (17) октября в 1914 году первые части Австралийского экспедиционного корпуса отплывают во Францию (14802).</w:t>
      </w:r>
    </w:p>
    <w:p w14:paraId="0FDDDF7A" w14:textId="77777777" w:rsidR="003031CD" w:rsidRPr="00DE096C" w:rsidRDefault="003031CD" w:rsidP="00D45A46">
      <w:pPr>
        <w:jc w:val="both"/>
        <w:rPr>
          <w:bCs/>
          <w:color w:val="002060"/>
          <w:sz w:val="16"/>
          <w:szCs w:val="16"/>
        </w:rPr>
      </w:pPr>
    </w:p>
    <w:p w14:paraId="4DD2F9DA" w14:textId="77777777" w:rsidR="00B67D7C" w:rsidRPr="00DE096C" w:rsidRDefault="00B67D7C" w:rsidP="00D45A46">
      <w:pPr>
        <w:jc w:val="both"/>
        <w:rPr>
          <w:bCs/>
          <w:i/>
          <w:color w:val="002060"/>
          <w:sz w:val="16"/>
          <w:szCs w:val="16"/>
        </w:rPr>
      </w:pPr>
      <w:r w:rsidRPr="00DE096C">
        <w:rPr>
          <w:bCs/>
          <w:i/>
          <w:color w:val="002060"/>
          <w:sz w:val="16"/>
          <w:szCs w:val="16"/>
        </w:rPr>
        <w:t>Самолетостроение:</w:t>
      </w:r>
    </w:p>
    <w:p w14:paraId="31C7F251" w14:textId="77777777" w:rsidR="00B67D7C" w:rsidRPr="00DE096C" w:rsidRDefault="00B67D7C" w:rsidP="00D45A46">
      <w:pPr>
        <w:jc w:val="both"/>
        <w:rPr>
          <w:bCs/>
          <w:i/>
          <w:color w:val="002060"/>
          <w:sz w:val="16"/>
          <w:szCs w:val="16"/>
        </w:rPr>
      </w:pPr>
    </w:p>
    <w:p w14:paraId="5EA7EA43" w14:textId="4AE2EC93"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5 (18) октября 1914 г. </w:t>
      </w:r>
      <w:r w:rsidR="00AE19EB" w:rsidRPr="00DE096C">
        <w:rPr>
          <w:bCs/>
          <w:color w:val="002060"/>
          <w:sz w:val="16"/>
          <w:szCs w:val="16"/>
        </w:rPr>
        <w:t>был</w:t>
      </w:r>
      <w:r w:rsidRPr="00DE096C">
        <w:rPr>
          <w:bCs/>
          <w:color w:val="002060"/>
          <w:sz w:val="16"/>
          <w:szCs w:val="16"/>
        </w:rPr>
        <w:t xml:space="preserve"> </w:t>
      </w:r>
      <w:r w:rsidR="00AE19EB" w:rsidRPr="00DE096C">
        <w:rPr>
          <w:bCs/>
          <w:color w:val="002060"/>
          <w:sz w:val="16"/>
          <w:szCs w:val="16"/>
        </w:rPr>
        <w:t>д</w:t>
      </w:r>
      <w:r w:rsidRPr="00DE096C">
        <w:rPr>
          <w:bCs/>
          <w:color w:val="002060"/>
          <w:sz w:val="16"/>
          <w:szCs w:val="16"/>
        </w:rPr>
        <w:t>оклад ГВТУ Военному совету о продлении срока поставки аэропланов Первым российским товариществом воздухоплавания</w:t>
      </w:r>
    </w:p>
    <w:p w14:paraId="6AD2E83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 3754</w:t>
      </w:r>
    </w:p>
    <w:p w14:paraId="3822E0E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По контракту от 18 апреля 1914 г. за № 2049, заключенному на основании положения Военного совета 29 марта 1914 г., Главное военно-техническое управление заказало Пер</w:t>
      </w:r>
      <w:r w:rsidRPr="00DE096C">
        <w:rPr>
          <w:bCs/>
          <w:color w:val="002060"/>
          <w:sz w:val="16"/>
          <w:szCs w:val="16"/>
        </w:rPr>
        <w:softHyphen/>
        <w:t>вому российскому товариществу воздухоплавания «С. С. Щетинин и К°»: 30 аэропланов системы Фармана № 22 бис с 100-сильными моторами «Гном» типа Моносупап, 30 ком</w:t>
      </w:r>
      <w:r w:rsidRPr="00DE096C">
        <w:rPr>
          <w:bCs/>
          <w:color w:val="002060"/>
          <w:sz w:val="16"/>
          <w:szCs w:val="16"/>
        </w:rPr>
        <w:softHyphen/>
        <w:t>плектов запасных частей и 5 дополнительных комплектов запасных частей к этим аэро</w:t>
      </w:r>
      <w:r w:rsidRPr="00DE096C">
        <w:rPr>
          <w:bCs/>
          <w:color w:val="002060"/>
          <w:sz w:val="16"/>
          <w:szCs w:val="16"/>
        </w:rPr>
        <w:softHyphen/>
        <w:t>планам.</w:t>
      </w:r>
    </w:p>
    <w:p w14:paraId="2D1A681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Означенный заказ, согласно контракта, должен быть выполнен в следующие сроки: 10 аэропланов — к 15 июня, 10 аэропланов - к 15 июля и 10 комплектов запасных час</w:t>
      </w:r>
      <w:r w:rsidRPr="00DE096C">
        <w:rPr>
          <w:bCs/>
          <w:color w:val="002060"/>
          <w:sz w:val="16"/>
          <w:szCs w:val="16"/>
        </w:rPr>
        <w:softHyphen/>
        <w:t>тей — к 1 августа, 10 комплектов - к 1 сентября и 15 комплектов - к 15 октября с. г. Между тем 5 июня, как то усматривается из прилагаемого удостоверения полиции**, на заводе Товарищества началась забастовка рабочих, продолжавшаяся до объявления войны Гер</w:t>
      </w:r>
      <w:r w:rsidRPr="00DE096C">
        <w:rPr>
          <w:bCs/>
          <w:color w:val="002060"/>
          <w:sz w:val="16"/>
          <w:szCs w:val="16"/>
        </w:rPr>
        <w:softHyphen/>
        <w:t>манией и носившая, по имеющимся в управлении сведениям, политический характер, а с 19 июля по 8 октября с. г. работы по выполнению настоящего заказа были приостанов</w:t>
      </w:r>
      <w:r w:rsidRPr="00DE096C">
        <w:rPr>
          <w:bCs/>
          <w:color w:val="002060"/>
          <w:sz w:val="16"/>
          <w:szCs w:val="16"/>
        </w:rPr>
        <w:softHyphen/>
        <w:t>лены распоряжением Главного военно-технического управления ввиду того, что с от</w:t>
      </w:r>
      <w:r w:rsidRPr="00DE096C">
        <w:rPr>
          <w:bCs/>
          <w:color w:val="002060"/>
          <w:sz w:val="16"/>
          <w:szCs w:val="16"/>
        </w:rPr>
        <w:softHyphen/>
        <w:t>крытием военных действий для пополнения в отрядах недостающего количества и заме</w:t>
      </w:r>
      <w:r w:rsidRPr="00DE096C">
        <w:rPr>
          <w:bCs/>
          <w:color w:val="002060"/>
          <w:sz w:val="16"/>
          <w:szCs w:val="16"/>
        </w:rPr>
        <w:softHyphen/>
        <w:t>ны пришедших в негодность потребовались в первую очередь аэропланы Фарман № 16 и Ньюпор, спешное изготовление которых и было поручено заводу товарищества. Есте</w:t>
      </w:r>
      <w:r w:rsidRPr="00DE096C">
        <w:rPr>
          <w:bCs/>
          <w:color w:val="002060"/>
          <w:sz w:val="16"/>
          <w:szCs w:val="16"/>
        </w:rPr>
        <w:softHyphen/>
        <w:t>ственно, что при наличии таких обстоятельств заказанные Товариществу аэропланы и запасные части до настоящего времени не могли быть построены.</w:t>
      </w:r>
    </w:p>
    <w:p w14:paraId="6918FFD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Ввиду сего я находил бы необходимым установить ныне, с возобновлением Товари</w:t>
      </w:r>
      <w:r w:rsidRPr="00DE096C">
        <w:rPr>
          <w:bCs/>
          <w:color w:val="002060"/>
          <w:sz w:val="16"/>
          <w:szCs w:val="16"/>
        </w:rPr>
        <w:softHyphen/>
        <w:t>ществом, согласно предложения управления, работ по постройке аэропланов Фарман № 22 бис и запасных частей, новый срок готовности означенных предметов, определив его в четыре месяца со дня возобновления работ, т. е. по 8 февраля 1915 г., на каковой срок имеется и согласие Товарищества*. При этом я не могу не признать, что замедление в изготовлении ее по причинам, устранение которых не зависело от воли Товарищества, отнюдь нельзя поставить последнему в вину. К тому же эта задержка не отразилась и на боевой готовности армии, так как 19 июля Товариществу, как указано выше, было пред</w:t>
      </w:r>
      <w:r w:rsidRPr="00DE096C">
        <w:rPr>
          <w:bCs/>
          <w:color w:val="002060"/>
          <w:sz w:val="16"/>
          <w:szCs w:val="16"/>
        </w:rPr>
        <w:softHyphen/>
        <w:t>ложено приступить к спешному изготовлению 30 аэропланов Фарман № 16 и 10 аэропла</w:t>
      </w:r>
      <w:r w:rsidRPr="00DE096C">
        <w:rPr>
          <w:bCs/>
          <w:color w:val="002060"/>
          <w:sz w:val="16"/>
          <w:szCs w:val="16"/>
        </w:rPr>
        <w:softHyphen/>
        <w:t>нов Ньюпор IV, большая часть которых, а именно 21 аппарат, в настоящее время уже принята.</w:t>
      </w:r>
    </w:p>
    <w:p w14:paraId="7F1BDD1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Представляя об изложенном на благоусмотрение Военного совета, я полагал бы: МНЕНИЕ: В изменение пункта 3 контракта от 18 апреля 1914 г. за № 2049 сроком готовности заказанных по сему контракту 30 аэропланов Фарман № 22 бис, 30 комплек</w:t>
      </w:r>
      <w:r w:rsidRPr="00DE096C">
        <w:rPr>
          <w:bCs/>
          <w:color w:val="002060"/>
          <w:sz w:val="16"/>
          <w:szCs w:val="16"/>
        </w:rPr>
        <w:softHyphen/>
        <w:t>тов запасных частей и 5 дополнительных комплектов запасных частей считать 8 февраля 1915 года.</w:t>
      </w:r>
    </w:p>
    <w:p w14:paraId="6AFE344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На документе помета Роппа: «22 октября состоялось решение Военного совета, кото</w:t>
      </w:r>
      <w:r w:rsidRPr="00DE096C">
        <w:rPr>
          <w:bCs/>
          <w:color w:val="002060"/>
          <w:sz w:val="16"/>
          <w:szCs w:val="16"/>
        </w:rPr>
        <w:softHyphen/>
        <w:t>рое удовлетворило просьбу Главного военно-технического управления, отметив, что Во</w:t>
      </w:r>
      <w:r w:rsidRPr="00DE096C">
        <w:rPr>
          <w:bCs/>
          <w:color w:val="002060"/>
          <w:sz w:val="16"/>
          <w:szCs w:val="16"/>
        </w:rPr>
        <w:softHyphen/>
        <w:t>енный совет, не входя в обсуждение последствий за просрочки по частным срокам 15 июня и 15 июля 1914 г., положил: конечный срок поставки отсрочить до 8 февраля 1915 года. Изложенное сообщается по постановлению Военного совета для немедленного исполнения».</w:t>
      </w:r>
    </w:p>
    <w:p w14:paraId="3527FE6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Начальник Управления генерал-лейтенант барон Ропп</w:t>
      </w:r>
    </w:p>
    <w:p w14:paraId="5A5880D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РГВИА. Ф. 29. Оп. 3. Д. 861. Л. 73-74. Подлинник (487).</w:t>
      </w:r>
    </w:p>
    <w:p w14:paraId="105307B4" w14:textId="77777777" w:rsidR="00B67D7C" w:rsidRPr="00DE096C" w:rsidRDefault="00B67D7C" w:rsidP="00D45A46">
      <w:pPr>
        <w:shd w:val="clear" w:color="auto" w:fill="FFFFFF"/>
        <w:jc w:val="both"/>
        <w:rPr>
          <w:bCs/>
          <w:color w:val="002060"/>
          <w:sz w:val="16"/>
          <w:szCs w:val="16"/>
        </w:rPr>
      </w:pPr>
    </w:p>
    <w:p w14:paraId="5C5B5131" w14:textId="26E2A1B5" w:rsidR="00B67D7C" w:rsidRPr="00DE096C" w:rsidRDefault="00B67D7C" w:rsidP="00D45A46">
      <w:pPr>
        <w:shd w:val="clear" w:color="auto" w:fill="FFFFFF"/>
        <w:jc w:val="both"/>
        <w:rPr>
          <w:bCs/>
          <w:color w:val="002060"/>
          <w:sz w:val="16"/>
          <w:szCs w:val="16"/>
        </w:rPr>
      </w:pPr>
      <w:r w:rsidRPr="00DE096C">
        <w:rPr>
          <w:bCs/>
          <w:color w:val="002060"/>
          <w:sz w:val="16"/>
          <w:szCs w:val="16"/>
        </w:rPr>
        <w:lastRenderedPageBreak/>
        <w:t xml:space="preserve">5 </w:t>
      </w:r>
      <w:r w:rsidR="00AE19EB" w:rsidRPr="00DE096C">
        <w:rPr>
          <w:bCs/>
          <w:color w:val="002060"/>
          <w:sz w:val="16"/>
          <w:szCs w:val="16"/>
        </w:rPr>
        <w:t xml:space="preserve">(18) </w:t>
      </w:r>
      <w:r w:rsidRPr="00DE096C">
        <w:rPr>
          <w:bCs/>
          <w:color w:val="002060"/>
          <w:sz w:val="16"/>
          <w:szCs w:val="16"/>
        </w:rPr>
        <w:t>октября 1914 г. русский морской агент капитан 2-го ранга Васильев телеграфировал начальнику Морского генерально</w:t>
      </w:r>
      <w:r w:rsidRPr="00DE096C">
        <w:rPr>
          <w:bCs/>
          <w:color w:val="002060"/>
          <w:sz w:val="16"/>
          <w:szCs w:val="16"/>
        </w:rPr>
        <w:softHyphen/>
        <w:t>го штаба: «Кертисс умоляет дать ему аванс, весь в долгу, сам работает, как простой работник. Может быть банкротство этой очень бедной фирмы с распубликованием в газе</w:t>
      </w:r>
      <w:r w:rsidRPr="00DE096C">
        <w:rPr>
          <w:bCs/>
          <w:color w:val="002060"/>
          <w:sz w:val="16"/>
          <w:szCs w:val="16"/>
        </w:rPr>
        <w:softHyphen/>
        <w:t>тах». Морской генеральный штаб откликнулся довольно быстро и 12 октября 1914 г. фирме перевели 344 тыс. руб. (история с закупкой само</w:t>
      </w:r>
      <w:r w:rsidRPr="00DE096C">
        <w:rPr>
          <w:bCs/>
          <w:color w:val="002060"/>
          <w:sz w:val="16"/>
          <w:szCs w:val="16"/>
        </w:rPr>
        <w:softHyphen/>
        <w:t>летов имела неожиданное продол</w:t>
      </w:r>
      <w:r w:rsidRPr="00DE096C">
        <w:rPr>
          <w:bCs/>
          <w:color w:val="002060"/>
          <w:sz w:val="16"/>
          <w:szCs w:val="16"/>
        </w:rPr>
        <w:softHyphen/>
        <w:t>жение. Так, 24 апреля 1946 г. МИД СССР направил в адрес командо</w:t>
      </w:r>
      <w:r w:rsidRPr="00DE096C">
        <w:rPr>
          <w:bCs/>
          <w:color w:val="002060"/>
          <w:sz w:val="16"/>
          <w:szCs w:val="16"/>
        </w:rPr>
        <w:softHyphen/>
        <w:t>вания ВМФ письмо, подписанное Вышинским: «Посольство США со</w:t>
      </w:r>
      <w:r w:rsidRPr="00DE096C">
        <w:rPr>
          <w:bCs/>
          <w:color w:val="002060"/>
          <w:sz w:val="16"/>
          <w:szCs w:val="16"/>
        </w:rPr>
        <w:softHyphen/>
        <w:t>общило, что правительство США ведет судебное дело против само</w:t>
      </w:r>
      <w:r w:rsidRPr="00DE096C">
        <w:rPr>
          <w:bCs/>
          <w:color w:val="002060"/>
          <w:sz w:val="16"/>
          <w:szCs w:val="16"/>
        </w:rPr>
        <w:softHyphen/>
        <w:t>летостроительной фирмы «Кертисс» о взыскании с нее аванса, полу</w:t>
      </w:r>
      <w:r w:rsidRPr="00DE096C">
        <w:rPr>
          <w:bCs/>
          <w:color w:val="002060"/>
          <w:sz w:val="16"/>
          <w:szCs w:val="16"/>
        </w:rPr>
        <w:softHyphen/>
        <w:t>ченного во время Первой мировой войны от русского правительства по договору о поставке русскому правительству аэропланов. Договор был нарушен фирмой «Кертисс». Правительство США просит МИД оказать содействие в получении документов относительно поста</w:t>
      </w:r>
      <w:r w:rsidRPr="00DE096C">
        <w:rPr>
          <w:bCs/>
          <w:color w:val="002060"/>
          <w:sz w:val="16"/>
          <w:szCs w:val="16"/>
        </w:rPr>
        <w:softHyphen/>
        <w:t>вок»).</w:t>
      </w:r>
    </w:p>
    <w:p w14:paraId="3646A59C" w14:textId="77777777" w:rsidR="00B67D7C" w:rsidRPr="00DE096C" w:rsidRDefault="00B67D7C" w:rsidP="00D45A46">
      <w:pPr>
        <w:pStyle w:val="a4"/>
        <w:spacing w:before="0" w:after="0"/>
        <w:jc w:val="both"/>
        <w:rPr>
          <w:bCs/>
          <w:color w:val="002060"/>
          <w:sz w:val="16"/>
          <w:szCs w:val="16"/>
        </w:rPr>
      </w:pPr>
      <w:r w:rsidRPr="00DE096C">
        <w:rPr>
          <w:bCs/>
          <w:color w:val="002060"/>
          <w:sz w:val="16"/>
          <w:szCs w:val="16"/>
        </w:rPr>
        <w:t>Последующее показало, что по</w:t>
      </w:r>
      <w:r w:rsidRPr="00DE096C">
        <w:rPr>
          <w:bCs/>
          <w:color w:val="002060"/>
          <w:sz w:val="16"/>
          <w:szCs w:val="16"/>
        </w:rPr>
        <w:softHyphen/>
        <w:t>ставщик (вероятнее всего фирма «Плюм и Оке», представлявшая аэропланную компанию «Кертисс») не совсем добросовестно исполня</w:t>
      </w:r>
      <w:r w:rsidRPr="00DE096C">
        <w:rPr>
          <w:bCs/>
          <w:color w:val="002060"/>
          <w:sz w:val="16"/>
          <w:szCs w:val="16"/>
        </w:rPr>
        <w:softHyphen/>
        <w:t>ла свои обязательства. С полной очевидностью это следует из рапор</w:t>
      </w:r>
      <w:r w:rsidRPr="00DE096C">
        <w:rPr>
          <w:bCs/>
          <w:color w:val="002060"/>
          <w:sz w:val="16"/>
          <w:szCs w:val="16"/>
        </w:rPr>
        <w:softHyphen/>
        <w:t>та от 24 июня 1915 г., представлен</w:t>
      </w:r>
      <w:r w:rsidRPr="00DE096C">
        <w:rPr>
          <w:bCs/>
          <w:color w:val="002060"/>
          <w:sz w:val="16"/>
          <w:szCs w:val="16"/>
        </w:rPr>
        <w:softHyphen/>
        <w:t>ного инженером по авиационной части Черноморского флота инже</w:t>
      </w:r>
      <w:r w:rsidRPr="00DE096C">
        <w:rPr>
          <w:bCs/>
          <w:color w:val="002060"/>
          <w:sz w:val="16"/>
          <w:szCs w:val="16"/>
        </w:rPr>
        <w:softHyphen/>
        <w:t>нер-механиком лётчиком лейтенан</w:t>
      </w:r>
      <w:r w:rsidRPr="00DE096C">
        <w:rPr>
          <w:bCs/>
          <w:color w:val="002060"/>
          <w:sz w:val="16"/>
          <w:szCs w:val="16"/>
        </w:rPr>
        <w:softHyphen/>
        <w:t>том Михайловым. После знакомства с содержанием рапорта Авиацион</w:t>
      </w:r>
      <w:r w:rsidRPr="00DE096C">
        <w:rPr>
          <w:bCs/>
          <w:color w:val="002060"/>
          <w:sz w:val="16"/>
          <w:szCs w:val="16"/>
        </w:rPr>
        <w:softHyphen/>
        <w:t>ный комитет пришёл к довольно неутешительному заключению по лодкам «Кертисса»: «Лодка на од</w:t>
      </w:r>
      <w:r w:rsidRPr="00DE096C">
        <w:rPr>
          <w:bCs/>
          <w:color w:val="002060"/>
          <w:sz w:val="16"/>
          <w:szCs w:val="16"/>
        </w:rPr>
        <w:softHyphen/>
        <w:t>ном из закупленных самолетов не новая, а уже бывшая в эксплуата</w:t>
      </w:r>
      <w:r w:rsidRPr="00DE096C">
        <w:rPr>
          <w:bCs/>
          <w:color w:val="002060"/>
          <w:sz w:val="16"/>
          <w:szCs w:val="16"/>
        </w:rPr>
        <w:softHyphen/>
        <w:t>ции, также как и несколько двигателей; боковые поплавки стоят от са</w:t>
      </w:r>
      <w:r w:rsidRPr="00DE096C">
        <w:rPr>
          <w:bCs/>
          <w:color w:val="002060"/>
          <w:sz w:val="16"/>
          <w:szCs w:val="16"/>
        </w:rPr>
        <w:softHyphen/>
        <w:t>молетов первых серий; один из про</w:t>
      </w:r>
      <w:r w:rsidRPr="00DE096C">
        <w:rPr>
          <w:bCs/>
          <w:color w:val="002060"/>
          <w:sz w:val="16"/>
          <w:szCs w:val="16"/>
        </w:rPr>
        <w:softHyphen/>
        <w:t>пеллеров сломан. По самолёту «Аэромарин»: плоскости на двухмо</w:t>
      </w:r>
      <w:r w:rsidRPr="00DE096C">
        <w:rPr>
          <w:bCs/>
          <w:color w:val="002060"/>
          <w:sz w:val="16"/>
          <w:szCs w:val="16"/>
        </w:rPr>
        <w:softHyphen/>
        <w:t>торной летающей лодке принадле</w:t>
      </w:r>
      <w:r w:rsidRPr="00DE096C">
        <w:rPr>
          <w:bCs/>
          <w:color w:val="002060"/>
          <w:sz w:val="16"/>
          <w:szCs w:val="16"/>
        </w:rPr>
        <w:softHyphen/>
        <w:t>жат «земному» самолету; прислан</w:t>
      </w:r>
      <w:r w:rsidRPr="00DE096C">
        <w:rPr>
          <w:bCs/>
          <w:color w:val="002060"/>
          <w:sz w:val="16"/>
          <w:szCs w:val="16"/>
        </w:rPr>
        <w:softHyphen/>
        <w:t>ный двигатель «Кирхгам» (по-види</w:t>
      </w:r>
      <w:r w:rsidRPr="00DE096C">
        <w:rPr>
          <w:bCs/>
          <w:color w:val="002060"/>
          <w:sz w:val="16"/>
          <w:szCs w:val="16"/>
        </w:rPr>
        <w:softHyphen/>
        <w:t>мому, имеется в виду двигатель «Бир-кихтам. Прим.авт.) нельзя было ус</w:t>
      </w:r>
      <w:r w:rsidRPr="00DE096C">
        <w:rPr>
          <w:bCs/>
          <w:color w:val="002060"/>
          <w:sz w:val="16"/>
          <w:szCs w:val="16"/>
        </w:rPr>
        <w:softHyphen/>
        <w:t>тановить на самолет (не подходил по месту водяной радиатор; мото</w:t>
      </w:r>
      <w:r w:rsidRPr="00DE096C">
        <w:rPr>
          <w:bCs/>
          <w:color w:val="002060"/>
          <w:sz w:val="16"/>
          <w:szCs w:val="16"/>
        </w:rPr>
        <w:softHyphen/>
        <w:t>рама от другого двигателя; места для дополнительного бака не было), три других мотора «Кирхгам» ока</w:t>
      </w:r>
      <w:r w:rsidRPr="00DE096C">
        <w:rPr>
          <w:bCs/>
          <w:color w:val="002060"/>
          <w:sz w:val="16"/>
          <w:szCs w:val="16"/>
        </w:rPr>
        <w:softHyphen/>
        <w:t>зались различных модификаций и с дефектами».</w:t>
      </w:r>
    </w:p>
    <w:p w14:paraId="4F4C1F3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Изучив материалы, авиационный комитет Черноморского флота при</w:t>
      </w:r>
      <w:r w:rsidRPr="00DE096C">
        <w:rPr>
          <w:bCs/>
          <w:color w:val="002060"/>
          <w:sz w:val="16"/>
          <w:szCs w:val="16"/>
        </w:rPr>
        <w:softHyphen/>
        <w:t>шёл к выводу о непригодности при</w:t>
      </w:r>
      <w:r w:rsidRPr="00DE096C">
        <w:rPr>
          <w:bCs/>
          <w:color w:val="002060"/>
          <w:sz w:val="16"/>
          <w:szCs w:val="16"/>
        </w:rPr>
        <w:softHyphen/>
        <w:t>менения самолётов для боевых дей</w:t>
      </w:r>
      <w:r w:rsidRPr="00DE096C">
        <w:rPr>
          <w:bCs/>
          <w:color w:val="002060"/>
          <w:sz w:val="16"/>
          <w:szCs w:val="16"/>
        </w:rPr>
        <w:softHyphen/>
        <w:t>ствий: «...необходимы всесторонние испытания, и если они окажутся удовлетворительными, то аппараты следует использовать в качестве учебных и для проведения ближай</w:t>
      </w:r>
      <w:r w:rsidRPr="00DE096C">
        <w:rPr>
          <w:bCs/>
          <w:color w:val="002060"/>
          <w:sz w:val="16"/>
          <w:szCs w:val="16"/>
        </w:rPr>
        <w:softHyphen/>
        <w:t>ших разведок, не связанных с боевы</w:t>
      </w:r>
      <w:r w:rsidRPr="00DE096C">
        <w:rPr>
          <w:bCs/>
          <w:color w:val="002060"/>
          <w:sz w:val="16"/>
          <w:szCs w:val="16"/>
        </w:rPr>
        <w:softHyphen/>
        <w:t>ми требованиями». Другими слова</w:t>
      </w:r>
      <w:r w:rsidRPr="00DE096C">
        <w:rPr>
          <w:bCs/>
          <w:color w:val="002060"/>
          <w:sz w:val="16"/>
          <w:szCs w:val="16"/>
        </w:rPr>
        <w:softHyphen/>
        <w:t>ми - для полётов вблизи побережья.</w:t>
      </w:r>
    </w:p>
    <w:p w14:paraId="3656A77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Командующий Черноморским флотом адмирал А. Эбергард, оз</w:t>
      </w:r>
      <w:r w:rsidRPr="00DE096C">
        <w:rPr>
          <w:bCs/>
          <w:color w:val="002060"/>
          <w:sz w:val="16"/>
          <w:szCs w:val="16"/>
        </w:rPr>
        <w:softHyphen/>
        <w:t>накомившись с докладом Авиаци</w:t>
      </w:r>
      <w:r w:rsidRPr="00DE096C">
        <w:rPr>
          <w:bCs/>
          <w:color w:val="002060"/>
          <w:sz w:val="16"/>
          <w:szCs w:val="16"/>
        </w:rPr>
        <w:softHyphen/>
        <w:t>онного комитета, потребовал: «ап</w:t>
      </w:r>
      <w:r w:rsidRPr="00DE096C">
        <w:rPr>
          <w:bCs/>
          <w:color w:val="002060"/>
          <w:sz w:val="16"/>
          <w:szCs w:val="16"/>
        </w:rPr>
        <w:softHyphen/>
        <w:t>паратов не принимать и никому на них не летать, срочно довести до сведения Морского генерального шта</w:t>
      </w:r>
      <w:r w:rsidRPr="00DE096C">
        <w:rPr>
          <w:bCs/>
          <w:color w:val="002060"/>
          <w:sz w:val="16"/>
          <w:szCs w:val="16"/>
        </w:rPr>
        <w:softHyphen/>
        <w:t>ба о столь преступном снабжении».</w:t>
      </w:r>
    </w:p>
    <w:p w14:paraId="356397A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К августу 1915 г. на Черном море находилось семь поплавковых самолетов «Кертисс-Р» и 30 летаю</w:t>
      </w:r>
      <w:r w:rsidRPr="00DE096C">
        <w:rPr>
          <w:bCs/>
          <w:color w:val="002060"/>
          <w:sz w:val="16"/>
          <w:szCs w:val="16"/>
        </w:rPr>
        <w:softHyphen/>
        <w:t>щих лодок «Кертисс-К» (некоторые в состоянии заводской поставки). Фирма «Кертисс» старалась как можно полнее удовлетворить инте</w:t>
      </w:r>
      <w:r w:rsidRPr="00DE096C">
        <w:rPr>
          <w:bCs/>
          <w:color w:val="002060"/>
          <w:sz w:val="16"/>
          <w:szCs w:val="16"/>
        </w:rPr>
        <w:softHyphen/>
        <w:t>ресы заказчика, но далеко не все получалось гладко. Поставка негод</w:t>
      </w:r>
      <w:r w:rsidRPr="00DE096C">
        <w:rPr>
          <w:bCs/>
          <w:color w:val="002060"/>
          <w:sz w:val="16"/>
          <w:szCs w:val="16"/>
        </w:rPr>
        <w:softHyphen/>
        <w:t>ных деталей стала возможной так</w:t>
      </w:r>
      <w:r w:rsidRPr="00DE096C">
        <w:rPr>
          <w:bCs/>
          <w:color w:val="002060"/>
          <w:sz w:val="16"/>
          <w:szCs w:val="16"/>
        </w:rPr>
        <w:softHyphen/>
        <w:t>же потому, что контрактом не ого</w:t>
      </w:r>
      <w:r w:rsidRPr="00DE096C">
        <w:rPr>
          <w:bCs/>
          <w:color w:val="002060"/>
          <w:sz w:val="16"/>
          <w:szCs w:val="16"/>
        </w:rPr>
        <w:softHyphen/>
        <w:t>варивалась ответственность за по</w:t>
      </w:r>
      <w:r w:rsidRPr="00DE096C">
        <w:rPr>
          <w:bCs/>
          <w:color w:val="002060"/>
          <w:sz w:val="16"/>
          <w:szCs w:val="16"/>
        </w:rPr>
        <w:softHyphen/>
        <w:t>добные деяния, а заказчик не уча</w:t>
      </w:r>
      <w:r w:rsidRPr="00DE096C">
        <w:rPr>
          <w:bCs/>
          <w:color w:val="002060"/>
          <w:sz w:val="16"/>
          <w:szCs w:val="16"/>
        </w:rPr>
        <w:softHyphen/>
        <w:t>ствовал в приемке самолетов в США. Однако, как следует из от</w:t>
      </w:r>
      <w:r w:rsidRPr="00DE096C">
        <w:rPr>
          <w:bCs/>
          <w:color w:val="002060"/>
          <w:sz w:val="16"/>
          <w:szCs w:val="16"/>
        </w:rPr>
        <w:softHyphen/>
        <w:t>ношения начальника авиации Чер</w:t>
      </w:r>
      <w:r w:rsidRPr="00DE096C">
        <w:rPr>
          <w:bCs/>
          <w:color w:val="002060"/>
          <w:sz w:val="16"/>
          <w:szCs w:val="16"/>
        </w:rPr>
        <w:softHyphen/>
        <w:t>номорского флота начальнику воз</w:t>
      </w:r>
      <w:r w:rsidRPr="00DE096C">
        <w:rPr>
          <w:bCs/>
          <w:color w:val="002060"/>
          <w:sz w:val="16"/>
          <w:szCs w:val="16"/>
        </w:rPr>
        <w:softHyphen/>
        <w:t>духоплавательного отделения Мор</w:t>
      </w:r>
      <w:r w:rsidRPr="00DE096C">
        <w:rPr>
          <w:bCs/>
          <w:color w:val="002060"/>
          <w:sz w:val="16"/>
          <w:szCs w:val="16"/>
        </w:rPr>
        <w:softHyphen/>
        <w:t>ского генерального штаба от 10 октября, изменялось отношение к иностранным самолётам: «уведом</w:t>
      </w:r>
      <w:r w:rsidRPr="00DE096C">
        <w:rPr>
          <w:bCs/>
          <w:color w:val="002060"/>
          <w:sz w:val="16"/>
          <w:szCs w:val="16"/>
        </w:rPr>
        <w:softHyphen/>
        <w:t>ляю ваше Высокопревосходитель</w:t>
      </w:r>
      <w:r w:rsidRPr="00DE096C">
        <w:rPr>
          <w:bCs/>
          <w:color w:val="002060"/>
          <w:sz w:val="16"/>
          <w:szCs w:val="16"/>
        </w:rPr>
        <w:softHyphen/>
        <w:t>ство, что боевыми аппаратами мож</w:t>
      </w:r>
      <w:r w:rsidRPr="00DE096C">
        <w:rPr>
          <w:bCs/>
          <w:color w:val="002060"/>
          <w:sz w:val="16"/>
          <w:szCs w:val="16"/>
        </w:rPr>
        <w:softHyphen/>
        <w:t>но считать лишь «Щетинины» типа М-5, коих имеется 17, но за недо</w:t>
      </w:r>
      <w:r w:rsidRPr="00DE096C">
        <w:rPr>
          <w:bCs/>
          <w:color w:val="002060"/>
          <w:sz w:val="16"/>
          <w:szCs w:val="16"/>
        </w:rPr>
        <w:softHyphen/>
        <w:t>статком моторов из них могут дей</w:t>
      </w:r>
      <w:r w:rsidRPr="00DE096C">
        <w:rPr>
          <w:bCs/>
          <w:color w:val="002060"/>
          <w:sz w:val="16"/>
          <w:szCs w:val="16"/>
        </w:rPr>
        <w:softHyphen/>
        <w:t>ствовать лишь 14, причём один с ненадёжным мотором. Аппараты «Кертисса» в 100НР годятся лишь для учебных полётов и для неответ</w:t>
      </w:r>
      <w:r w:rsidRPr="00DE096C">
        <w:rPr>
          <w:bCs/>
          <w:color w:val="002060"/>
          <w:sz w:val="16"/>
          <w:szCs w:val="16"/>
        </w:rPr>
        <w:softHyphen/>
        <w:t>ственных задач. Таковых имеется девять, из коих два нуждаются в капитальном ремонте» (11759).</w:t>
      </w:r>
    </w:p>
    <w:p w14:paraId="48BE0BE8" w14:textId="77777777" w:rsidR="00B67D7C" w:rsidRPr="00DE096C" w:rsidRDefault="00B67D7C" w:rsidP="00D45A46">
      <w:pPr>
        <w:shd w:val="clear" w:color="auto" w:fill="FFFFFF"/>
        <w:jc w:val="both"/>
        <w:rPr>
          <w:bCs/>
          <w:color w:val="002060"/>
          <w:sz w:val="16"/>
          <w:szCs w:val="16"/>
        </w:rPr>
      </w:pPr>
    </w:p>
    <w:p w14:paraId="3DDB9122" w14:textId="77777777" w:rsidR="00B67D7C" w:rsidRPr="00DE096C" w:rsidRDefault="00B67D7C" w:rsidP="00D45A46">
      <w:pPr>
        <w:jc w:val="both"/>
        <w:rPr>
          <w:bCs/>
          <w:i/>
          <w:color w:val="002060"/>
          <w:sz w:val="16"/>
          <w:szCs w:val="16"/>
        </w:rPr>
      </w:pPr>
      <w:r w:rsidRPr="00DE096C">
        <w:rPr>
          <w:bCs/>
          <w:i/>
          <w:color w:val="002060"/>
          <w:sz w:val="16"/>
          <w:szCs w:val="16"/>
        </w:rPr>
        <w:t>Авиация:</w:t>
      </w:r>
    </w:p>
    <w:p w14:paraId="2B5B94A1" w14:textId="77777777" w:rsidR="00B67D7C" w:rsidRPr="00DE096C" w:rsidRDefault="00B67D7C" w:rsidP="00D45A46">
      <w:pPr>
        <w:jc w:val="both"/>
        <w:rPr>
          <w:bCs/>
          <w:i/>
          <w:color w:val="002060"/>
          <w:sz w:val="16"/>
          <w:szCs w:val="16"/>
        </w:rPr>
      </w:pPr>
    </w:p>
    <w:p w14:paraId="73619EB4" w14:textId="60749417" w:rsidR="00E54541" w:rsidRPr="00DE096C" w:rsidRDefault="00E54541" w:rsidP="00D45A46">
      <w:pPr>
        <w:jc w:val="both"/>
        <w:rPr>
          <w:bCs/>
          <w:color w:val="002060"/>
          <w:sz w:val="16"/>
          <w:szCs w:val="16"/>
        </w:rPr>
      </w:pPr>
      <w:r w:rsidRPr="00DE096C">
        <w:rPr>
          <w:bCs/>
          <w:color w:val="002060"/>
          <w:sz w:val="16"/>
          <w:szCs w:val="16"/>
        </w:rPr>
        <w:t xml:space="preserve">К 5 </w:t>
      </w:r>
      <w:r w:rsidR="00AE19EB" w:rsidRPr="00DE096C">
        <w:rPr>
          <w:bCs/>
          <w:color w:val="002060"/>
          <w:sz w:val="16"/>
          <w:szCs w:val="16"/>
        </w:rPr>
        <w:t xml:space="preserve">(18) </w:t>
      </w:r>
      <w:r w:rsidRPr="00DE096C">
        <w:rPr>
          <w:bCs/>
          <w:color w:val="002060"/>
          <w:sz w:val="16"/>
          <w:szCs w:val="16"/>
        </w:rPr>
        <w:t>октября 1914 г. в 3, 4, 5, 8 и 11-й армиях ЮЗФ из 99 самолетов, имевшихся на начало войны, был потерян 91 аппарат по причине аварий и поломок. Практика использования авиации на войне показала, что процесс полета оказался большим препятствием для выполнения задания, чем огонь противника. Представитель по авиации и воздухоплаванию в Ставке подполковник С.А. Немченко подсчитал, что свыше 50% потерь материальной части происходило по причине слабой квалификации технического персонала (19566).</w:t>
      </w:r>
    </w:p>
    <w:p w14:paraId="031264C4" w14:textId="77777777" w:rsidR="00E54541" w:rsidRPr="00DE096C" w:rsidRDefault="00E54541" w:rsidP="00D45A46">
      <w:pPr>
        <w:jc w:val="both"/>
        <w:rPr>
          <w:bCs/>
          <w:color w:val="002060"/>
          <w:sz w:val="16"/>
          <w:szCs w:val="16"/>
        </w:rPr>
      </w:pPr>
    </w:p>
    <w:p w14:paraId="73B072F7" w14:textId="68CADA79" w:rsidR="00B67D7C" w:rsidRPr="00DE096C" w:rsidRDefault="00AE19EB" w:rsidP="00D45A46">
      <w:pPr>
        <w:shd w:val="clear" w:color="auto" w:fill="FFFFFF"/>
        <w:jc w:val="both"/>
        <w:rPr>
          <w:bCs/>
          <w:color w:val="002060"/>
          <w:sz w:val="16"/>
          <w:szCs w:val="16"/>
        </w:rPr>
      </w:pPr>
      <w:r w:rsidRPr="00DE096C">
        <w:rPr>
          <w:bCs/>
          <w:color w:val="002060"/>
          <w:sz w:val="16"/>
          <w:szCs w:val="16"/>
        </w:rPr>
        <w:t>К</w:t>
      </w:r>
      <w:r w:rsidR="00B67D7C" w:rsidRPr="00DE096C">
        <w:rPr>
          <w:bCs/>
          <w:color w:val="002060"/>
          <w:sz w:val="16"/>
          <w:szCs w:val="16"/>
        </w:rPr>
        <w:t xml:space="preserve"> 5 (18) октября 1914 г., т. е. всего после трех месяцев войны, авиационные отряды, входившие в состав III. IV, V, VIII и IX армий, из 99 самолетов, находившихся на вооружении, потеряли в результате аварий 91 са</w:t>
      </w:r>
      <w:r w:rsidR="00B67D7C" w:rsidRPr="00DE096C">
        <w:rPr>
          <w:bCs/>
          <w:color w:val="002060"/>
          <w:sz w:val="16"/>
          <w:szCs w:val="16"/>
        </w:rPr>
        <w:softHyphen/>
        <w:t>молет (ЦГВИА, ф. 6280, д. 2067, л. 83, 1914 г. Доклад главнокомандующему ар</w:t>
      </w:r>
      <w:r w:rsidR="00B67D7C" w:rsidRPr="00DE096C">
        <w:rPr>
          <w:bCs/>
          <w:color w:val="002060"/>
          <w:sz w:val="16"/>
          <w:szCs w:val="16"/>
        </w:rPr>
        <w:softHyphen/>
        <w:t>миями Юго-Западного фронта) (11042,245).</w:t>
      </w:r>
    </w:p>
    <w:p w14:paraId="53375DAD" w14:textId="77777777" w:rsidR="00B67D7C" w:rsidRPr="00DE096C" w:rsidRDefault="00B67D7C" w:rsidP="00D45A46">
      <w:pPr>
        <w:shd w:val="clear" w:color="auto" w:fill="FFFFFF"/>
        <w:jc w:val="both"/>
        <w:rPr>
          <w:bCs/>
          <w:color w:val="002060"/>
          <w:sz w:val="16"/>
          <w:szCs w:val="16"/>
        </w:rPr>
      </w:pPr>
    </w:p>
    <w:p w14:paraId="0E118EA4" w14:textId="6CB4343D" w:rsidR="00B67D7C" w:rsidRPr="00DE096C" w:rsidRDefault="00AE19EB" w:rsidP="00D45A46">
      <w:pPr>
        <w:jc w:val="both"/>
        <w:rPr>
          <w:bCs/>
          <w:color w:val="002060"/>
          <w:sz w:val="16"/>
          <w:szCs w:val="16"/>
        </w:rPr>
      </w:pPr>
      <w:r w:rsidRPr="00DE096C">
        <w:rPr>
          <w:bCs/>
          <w:color w:val="002060"/>
          <w:sz w:val="16"/>
          <w:szCs w:val="16"/>
        </w:rPr>
        <w:t>К</w:t>
      </w:r>
      <w:r w:rsidR="00B67D7C" w:rsidRPr="00DE096C">
        <w:rPr>
          <w:bCs/>
          <w:color w:val="002060"/>
          <w:sz w:val="16"/>
          <w:szCs w:val="16"/>
        </w:rPr>
        <w:t xml:space="preserve"> 5 (18) октября 1914 г. в авиаотрядах из 99 самолетов 91 потеряли вследствие несчастных случаев (11120).</w:t>
      </w:r>
    </w:p>
    <w:p w14:paraId="5299E66B" w14:textId="77777777" w:rsidR="00B67D7C" w:rsidRPr="00DE096C" w:rsidRDefault="00B67D7C" w:rsidP="00D45A46">
      <w:pPr>
        <w:pStyle w:val="DefinitionList"/>
        <w:ind w:left="0"/>
        <w:jc w:val="both"/>
        <w:rPr>
          <w:bCs/>
          <w:color w:val="002060"/>
          <w:sz w:val="16"/>
          <w:szCs w:val="16"/>
        </w:rPr>
      </w:pPr>
    </w:p>
    <w:p w14:paraId="75298397" w14:textId="5844FB2D" w:rsidR="00B67D7C" w:rsidRPr="00DE096C" w:rsidRDefault="00B67D7C" w:rsidP="00D45A46">
      <w:pPr>
        <w:jc w:val="both"/>
        <w:rPr>
          <w:bCs/>
          <w:color w:val="002060"/>
          <w:sz w:val="16"/>
          <w:szCs w:val="16"/>
        </w:rPr>
      </w:pPr>
      <w:r w:rsidRPr="00DE096C">
        <w:rPr>
          <w:bCs/>
          <w:color w:val="002060"/>
          <w:sz w:val="16"/>
          <w:szCs w:val="16"/>
        </w:rPr>
        <w:t>5 (18) октября 1914 года в Кронштадте были сформированы первые три противосамолетные батареи, вооруженные 75-мм французскими морскими пушками Канэ на станках конструкции генерал-майора М.Ф. Розенберга. Две такие батареи были переданы в состав Варшавской артиллерии и прибыли в крепость уже 19 октября (2 ноября) С 1 (14) ноября началась постройка позиций для этих батарей на Мокотовском поле (аэродром) и в форте Сергии (опять-таки южное направление). Координация действий противовоздушной артиллерии была возложена на временного командующего Варшавской крепостной артиллерией полковника П.А. Глазкова.</w:t>
      </w:r>
    </w:p>
    <w:p w14:paraId="54AA2733" w14:textId="262E6A4C" w:rsidR="00B67D7C" w:rsidRPr="00DE096C" w:rsidRDefault="00B67D7C" w:rsidP="00D45A46">
      <w:pPr>
        <w:jc w:val="both"/>
        <w:rPr>
          <w:bCs/>
          <w:i/>
          <w:color w:val="002060"/>
          <w:sz w:val="16"/>
          <w:szCs w:val="16"/>
        </w:rPr>
      </w:pPr>
    </w:p>
    <w:p w14:paraId="1F8C93DD" w14:textId="4B7BF78C" w:rsidR="00D822CB" w:rsidRPr="00DE096C" w:rsidRDefault="00D822CB" w:rsidP="00D45A46">
      <w:pPr>
        <w:jc w:val="both"/>
        <w:rPr>
          <w:bCs/>
          <w:color w:val="002060"/>
          <w:sz w:val="16"/>
          <w:szCs w:val="16"/>
          <w:lang w:bidi="en-US"/>
        </w:rPr>
      </w:pPr>
      <w:r w:rsidRPr="00DE096C">
        <w:rPr>
          <w:bCs/>
          <w:color w:val="002060"/>
          <w:sz w:val="16"/>
          <w:szCs w:val="16"/>
          <w:lang w:bidi="en-US"/>
        </w:rPr>
        <w:t xml:space="preserve">5 (18) октября 1914 г. Ставка приказала сформировать 1-ю специальную автомобильную (зенитную </w:t>
      </w:r>
      <w:r w:rsidRPr="00DE096C">
        <w:rPr>
          <w:bCs/>
          <w:color w:val="002060"/>
          <w:sz w:val="16"/>
          <w:szCs w:val="16"/>
          <w:lang w:bidi="en-US"/>
        </w:rPr>
        <w:softHyphen/>
        <w:t>) батарею в составе Артиллерийской офицерской школы. Отрядом командовал Капитан В.В. Тарновский. 25 ноября вновь сформированные 1-я, 2-я и 3-я батареи (в каждой по четыре 75-мм морских орудия на грузовиках) были отправлены на фронт. Это были первые мобильные зенитные части в России. За ними следовали 4-7-я батареи. 8-я и 9-я батареи были сформированы для службы на румынском фронте в конце 1916 года (23525).</w:t>
      </w:r>
    </w:p>
    <w:p w14:paraId="6F11450C" w14:textId="77777777" w:rsidR="00D822CB" w:rsidRPr="00DE096C" w:rsidRDefault="00D822CB" w:rsidP="00D45A46">
      <w:pPr>
        <w:jc w:val="both"/>
        <w:rPr>
          <w:bCs/>
          <w:color w:val="002060"/>
          <w:sz w:val="16"/>
          <w:szCs w:val="16"/>
          <w:lang w:bidi="en-US"/>
        </w:rPr>
      </w:pPr>
    </w:p>
    <w:p w14:paraId="5DB0B7E1" w14:textId="74F69C89" w:rsidR="00AE19EB" w:rsidRPr="00DE096C" w:rsidRDefault="00AE19EB" w:rsidP="00D45A46">
      <w:pPr>
        <w:jc w:val="both"/>
        <w:rPr>
          <w:bCs/>
          <w:i/>
          <w:color w:val="002060"/>
          <w:sz w:val="16"/>
          <w:szCs w:val="16"/>
        </w:rPr>
      </w:pPr>
      <w:r w:rsidRPr="00DE096C">
        <w:rPr>
          <w:bCs/>
          <w:i/>
          <w:color w:val="002060"/>
          <w:sz w:val="16"/>
          <w:szCs w:val="16"/>
        </w:rPr>
        <w:t>Авиация:</w:t>
      </w:r>
    </w:p>
    <w:p w14:paraId="76F7FE35" w14:textId="77777777" w:rsidR="00AE19EB" w:rsidRPr="00DE096C" w:rsidRDefault="00AE19EB" w:rsidP="00D45A46">
      <w:pPr>
        <w:jc w:val="both"/>
        <w:rPr>
          <w:bCs/>
          <w:i/>
          <w:color w:val="002060"/>
          <w:sz w:val="16"/>
          <w:szCs w:val="16"/>
        </w:rPr>
      </w:pPr>
    </w:p>
    <w:p w14:paraId="17D1D97B" w14:textId="77777777" w:rsidR="00AE19EB" w:rsidRPr="00DE096C" w:rsidRDefault="00AE19EB" w:rsidP="00D45A46">
      <w:pPr>
        <w:jc w:val="both"/>
        <w:rPr>
          <w:bCs/>
          <w:color w:val="002060"/>
          <w:sz w:val="16"/>
          <w:szCs w:val="16"/>
        </w:rPr>
      </w:pPr>
      <w:r w:rsidRPr="00DE096C">
        <w:rPr>
          <w:bCs/>
          <w:color w:val="002060"/>
          <w:sz w:val="16"/>
          <w:szCs w:val="16"/>
        </w:rPr>
        <w:t>6 (19) октября 1914 г. под Варшавой произошел воздушный бой, в результате которого наш летчик обил самолет противника из карабина, Другой самолет был сбит навей артиллерией, а третий, потеряв ориентировку, приземлился в расположеиии наших войск и бил пленен.</w:t>
      </w:r>
    </w:p>
    <w:p w14:paraId="68910EFC" w14:textId="77777777" w:rsidR="00AE19EB" w:rsidRPr="00DE096C" w:rsidRDefault="00AE19EB" w:rsidP="00D45A46">
      <w:pPr>
        <w:jc w:val="both"/>
        <w:rPr>
          <w:bCs/>
          <w:color w:val="002060"/>
          <w:sz w:val="16"/>
          <w:szCs w:val="16"/>
        </w:rPr>
      </w:pPr>
      <w:r w:rsidRPr="00DE096C">
        <w:rPr>
          <w:bCs/>
          <w:color w:val="002060"/>
          <w:sz w:val="16"/>
          <w:szCs w:val="16"/>
        </w:rPr>
        <w:t>/Воздулний справочник,1915, стр. 12/ (23320).</w:t>
      </w:r>
    </w:p>
    <w:p w14:paraId="1FF8C871" w14:textId="77777777" w:rsidR="00AE19EB" w:rsidRPr="00DE096C" w:rsidRDefault="00AE19EB" w:rsidP="00D45A46">
      <w:pPr>
        <w:jc w:val="both"/>
        <w:rPr>
          <w:bCs/>
          <w:color w:val="002060"/>
          <w:sz w:val="16"/>
          <w:szCs w:val="16"/>
        </w:rPr>
      </w:pPr>
    </w:p>
    <w:p w14:paraId="6EE571E9" w14:textId="77777777" w:rsidR="00736E34" w:rsidRPr="00B52707" w:rsidRDefault="00736E34" w:rsidP="00736E34">
      <w:pPr>
        <w:jc w:val="both"/>
        <w:rPr>
          <w:color w:val="0070C0"/>
          <w:sz w:val="16"/>
          <w:szCs w:val="16"/>
        </w:rPr>
      </w:pPr>
      <w:r w:rsidRPr="00B52707">
        <w:rPr>
          <w:color w:val="0070C0"/>
          <w:sz w:val="16"/>
          <w:szCs w:val="16"/>
        </w:rPr>
        <w:t>6 (19) октября 1914 г. одного из трех появившихся над г. Варшава (царство Польское) аэропланов русский летчик сбил из карабина, взятого им в полет</w:t>
      </w:r>
      <w:hyperlink r:id="rId45" w:anchor="idm139863496953552" w:history="1">
        <w:r w:rsidRPr="00B52707">
          <w:rPr>
            <w:rStyle w:val="af0"/>
            <w:color w:val="0070C0"/>
            <w:sz w:val="16"/>
            <w:szCs w:val="16"/>
            <w:vertAlign w:val="superscript"/>
          </w:rPr>
          <w:t>6</w:t>
        </w:r>
      </w:hyperlink>
      <w:r w:rsidRPr="00B52707">
        <w:rPr>
          <w:color w:val="0070C0"/>
          <w:sz w:val="16"/>
          <w:szCs w:val="16"/>
        </w:rPr>
        <w:t>. Тем не менее попадание из винтовки или пистолета в летчика, пилотировавшего вражеский ЛА, а именно так его можно было сбить одиночным выстрелом, следует считать явлением случайным (25135).</w:t>
      </w:r>
    </w:p>
    <w:p w14:paraId="734FFBF7" w14:textId="77777777" w:rsidR="00736E34" w:rsidRPr="00B52707" w:rsidRDefault="00736E34" w:rsidP="00736E34">
      <w:pPr>
        <w:jc w:val="both"/>
        <w:rPr>
          <w:color w:val="0070C0"/>
          <w:sz w:val="16"/>
          <w:szCs w:val="16"/>
        </w:rPr>
      </w:pPr>
    </w:p>
    <w:p w14:paraId="2CAD0707" w14:textId="22BDC974" w:rsidR="00B37FAC" w:rsidRPr="00DE096C" w:rsidRDefault="00B37FAC" w:rsidP="00D45A46">
      <w:pPr>
        <w:jc w:val="both"/>
        <w:rPr>
          <w:bCs/>
          <w:i/>
          <w:color w:val="002060"/>
          <w:sz w:val="16"/>
          <w:szCs w:val="16"/>
        </w:rPr>
      </w:pPr>
      <w:r w:rsidRPr="00DE096C">
        <w:rPr>
          <w:bCs/>
          <w:i/>
          <w:color w:val="002060"/>
          <w:sz w:val="16"/>
          <w:szCs w:val="16"/>
        </w:rPr>
        <w:t>Воздухоплавание:</w:t>
      </w:r>
    </w:p>
    <w:p w14:paraId="7EA8CC28" w14:textId="77777777" w:rsidR="00B37FAC" w:rsidRPr="00DE096C" w:rsidRDefault="00B37FAC" w:rsidP="00D45A46">
      <w:pPr>
        <w:jc w:val="both"/>
        <w:rPr>
          <w:bCs/>
          <w:i/>
          <w:color w:val="002060"/>
          <w:sz w:val="16"/>
          <w:szCs w:val="16"/>
        </w:rPr>
      </w:pPr>
    </w:p>
    <w:p w14:paraId="419CDA17" w14:textId="77777777" w:rsidR="00B37FAC" w:rsidRPr="00DE096C" w:rsidRDefault="00B37FAC" w:rsidP="00D45A46">
      <w:pPr>
        <w:tabs>
          <w:tab w:val="left" w:pos="596"/>
        </w:tabs>
        <w:jc w:val="both"/>
        <w:rPr>
          <w:bCs/>
          <w:color w:val="002060"/>
          <w:sz w:val="16"/>
          <w:szCs w:val="16"/>
        </w:rPr>
      </w:pPr>
      <w:r w:rsidRPr="00DE096C">
        <w:rPr>
          <w:rStyle w:val="43"/>
          <w:rFonts w:ascii="Times New Roman" w:hAnsi="Times New Roman" w:cs="Times New Roman"/>
          <w:bCs/>
          <w:color w:val="002060"/>
          <w:w w:val="100"/>
          <w:sz w:val="16"/>
          <w:szCs w:val="16"/>
        </w:rPr>
        <w:t>6 (19) октября 1914 «Кондор» перелетел во Львов (270 км) для ведения разведки австрийской кре</w:t>
      </w:r>
      <w:r w:rsidRPr="00DE096C">
        <w:rPr>
          <w:rStyle w:val="43"/>
          <w:rFonts w:ascii="Times New Roman" w:hAnsi="Times New Roman" w:cs="Times New Roman"/>
          <w:bCs/>
          <w:color w:val="002060"/>
          <w:w w:val="100"/>
          <w:sz w:val="16"/>
          <w:szCs w:val="16"/>
        </w:rPr>
        <w:softHyphen/>
        <w:t>пости Перемышль. Сначала «Кондор» стоял в ов</w:t>
      </w:r>
      <w:r w:rsidRPr="00DE096C">
        <w:rPr>
          <w:rStyle w:val="43"/>
          <w:rFonts w:ascii="Times New Roman" w:hAnsi="Times New Roman" w:cs="Times New Roman"/>
          <w:bCs/>
          <w:color w:val="002060"/>
          <w:w w:val="100"/>
          <w:sz w:val="16"/>
          <w:szCs w:val="16"/>
        </w:rPr>
        <w:softHyphen/>
        <w:t>раге на якорной стоянке на окраине города. Под командой капитана П.И. Таранова-Белозерова он совершил два учебных дневных полёта и один боевой ночной полёт. В последнем полёте на пол</w:t>
      </w:r>
      <w:r w:rsidRPr="00DE096C">
        <w:rPr>
          <w:rStyle w:val="43"/>
          <w:rFonts w:ascii="Times New Roman" w:hAnsi="Times New Roman" w:cs="Times New Roman"/>
          <w:bCs/>
          <w:color w:val="002060"/>
          <w:w w:val="100"/>
          <w:sz w:val="16"/>
          <w:szCs w:val="16"/>
        </w:rPr>
        <w:softHyphen/>
        <w:t>пути к Перемышлю из-за сильного встречного ветра пришлось повернуть назад (20120).</w:t>
      </w:r>
    </w:p>
    <w:p w14:paraId="39678CE2" w14:textId="77777777" w:rsidR="00B37FAC" w:rsidRPr="00DE096C" w:rsidRDefault="00B37FAC" w:rsidP="00D45A46">
      <w:pPr>
        <w:jc w:val="both"/>
        <w:rPr>
          <w:bCs/>
          <w:color w:val="002060"/>
          <w:sz w:val="16"/>
          <w:szCs w:val="16"/>
        </w:rPr>
      </w:pPr>
    </w:p>
    <w:p w14:paraId="54947C7D" w14:textId="77777777" w:rsidR="00B37FAC" w:rsidRPr="00DE096C" w:rsidRDefault="00B37FAC" w:rsidP="00D45A46">
      <w:pPr>
        <w:tabs>
          <w:tab w:val="left" w:pos="596"/>
        </w:tabs>
        <w:jc w:val="both"/>
        <w:rPr>
          <w:bCs/>
          <w:color w:val="002060"/>
          <w:sz w:val="16"/>
          <w:szCs w:val="16"/>
        </w:rPr>
      </w:pPr>
      <w:r w:rsidRPr="00DE096C">
        <w:rPr>
          <w:rStyle w:val="43"/>
          <w:rFonts w:ascii="Times New Roman" w:hAnsi="Times New Roman" w:cs="Times New Roman"/>
          <w:bCs/>
          <w:color w:val="002060"/>
          <w:w w:val="100"/>
          <w:sz w:val="16"/>
          <w:szCs w:val="16"/>
        </w:rPr>
        <w:t>6 (19) октября 1914 «Кондор» перелетел во Львов (270 км) для ведения разведки австрийской кре</w:t>
      </w:r>
      <w:r w:rsidRPr="00DE096C">
        <w:rPr>
          <w:rStyle w:val="43"/>
          <w:rFonts w:ascii="Times New Roman" w:hAnsi="Times New Roman" w:cs="Times New Roman"/>
          <w:bCs/>
          <w:color w:val="002060"/>
          <w:w w:val="100"/>
          <w:sz w:val="16"/>
          <w:szCs w:val="16"/>
        </w:rPr>
        <w:softHyphen/>
        <w:t>пости Перемышль. Сначала «Кондор» стоял в ов</w:t>
      </w:r>
      <w:r w:rsidRPr="00DE096C">
        <w:rPr>
          <w:rStyle w:val="43"/>
          <w:rFonts w:ascii="Times New Roman" w:hAnsi="Times New Roman" w:cs="Times New Roman"/>
          <w:bCs/>
          <w:color w:val="002060"/>
          <w:w w:val="100"/>
          <w:sz w:val="16"/>
          <w:szCs w:val="16"/>
        </w:rPr>
        <w:softHyphen/>
        <w:t>раге на якорной стоянке на окраине города. Под командой капитана П.И. Таранова-Белозерова он совершил два учебных дневных полёта и один боевой ночной полёт. В последнем полёте на пол</w:t>
      </w:r>
      <w:r w:rsidRPr="00DE096C">
        <w:rPr>
          <w:rStyle w:val="43"/>
          <w:rFonts w:ascii="Times New Roman" w:hAnsi="Times New Roman" w:cs="Times New Roman"/>
          <w:bCs/>
          <w:color w:val="002060"/>
          <w:w w:val="100"/>
          <w:sz w:val="16"/>
          <w:szCs w:val="16"/>
        </w:rPr>
        <w:softHyphen/>
        <w:t>пути к Перемышлю из-за сильного встречного ветра пришлось повернуть назад.</w:t>
      </w:r>
    </w:p>
    <w:p w14:paraId="5F789EB3" w14:textId="77777777" w:rsidR="00B37FAC" w:rsidRPr="00DE096C" w:rsidRDefault="00B37FAC" w:rsidP="00D45A46">
      <w:pPr>
        <w:tabs>
          <w:tab w:val="left" w:pos="519"/>
        </w:tabs>
        <w:jc w:val="both"/>
        <w:rPr>
          <w:bCs/>
          <w:color w:val="002060"/>
          <w:sz w:val="16"/>
          <w:szCs w:val="16"/>
        </w:rPr>
      </w:pPr>
      <w:r w:rsidRPr="00DE096C">
        <w:rPr>
          <w:rStyle w:val="43"/>
          <w:rFonts w:ascii="Times New Roman" w:hAnsi="Times New Roman" w:cs="Times New Roman"/>
          <w:bCs/>
          <w:color w:val="002060"/>
          <w:w w:val="100"/>
          <w:sz w:val="16"/>
          <w:szCs w:val="16"/>
        </w:rPr>
        <w:t>6 ноября во время снежной бури стоявший в овраге дирижабль занесло снегом до такой степени, что газ из его оболочки пришлось вы</w:t>
      </w:r>
      <w:r w:rsidRPr="00DE096C">
        <w:rPr>
          <w:rStyle w:val="43"/>
          <w:rFonts w:ascii="Times New Roman" w:hAnsi="Times New Roman" w:cs="Times New Roman"/>
          <w:bCs/>
          <w:color w:val="002060"/>
          <w:w w:val="100"/>
          <w:sz w:val="16"/>
          <w:szCs w:val="16"/>
        </w:rPr>
        <w:softHyphen/>
        <w:t>пустить. При этом оболочка получила большие разрывы, и её отправили на ТРАРМ для ремонта. В феврале 1915 г. отремонтированный «Кондор» снова наполнили газом в Брест-Литовске. Он вы</w:t>
      </w:r>
      <w:r w:rsidRPr="00DE096C">
        <w:rPr>
          <w:rStyle w:val="43"/>
          <w:rFonts w:ascii="Times New Roman" w:hAnsi="Times New Roman" w:cs="Times New Roman"/>
          <w:bCs/>
          <w:color w:val="002060"/>
          <w:w w:val="100"/>
          <w:sz w:val="16"/>
          <w:szCs w:val="16"/>
        </w:rPr>
        <w:softHyphen/>
        <w:t>полнил несколько учебных полётов, но попытка лететь на фронт из-за тумана закончилась неу</w:t>
      </w:r>
      <w:r w:rsidRPr="00DE096C">
        <w:rPr>
          <w:rStyle w:val="43"/>
          <w:rFonts w:ascii="Times New Roman" w:hAnsi="Times New Roman" w:cs="Times New Roman"/>
          <w:bCs/>
          <w:color w:val="002060"/>
          <w:w w:val="100"/>
          <w:sz w:val="16"/>
          <w:szCs w:val="16"/>
        </w:rPr>
        <w:softHyphen/>
        <w:t>дачей. Из Брест-Литовска «Кондор» перелетел в Бердичев, затратив на это 14 часов, после чего его разоружили.</w:t>
      </w:r>
    </w:p>
    <w:p w14:paraId="316D2A52" w14:textId="77777777" w:rsidR="00B37FAC" w:rsidRPr="00DE096C" w:rsidRDefault="00B37FAC" w:rsidP="00D45A46">
      <w:pPr>
        <w:jc w:val="both"/>
        <w:rPr>
          <w:bCs/>
          <w:color w:val="002060"/>
          <w:sz w:val="16"/>
          <w:szCs w:val="16"/>
        </w:rPr>
      </w:pPr>
      <w:r w:rsidRPr="00DE096C">
        <w:rPr>
          <w:rStyle w:val="43"/>
          <w:rFonts w:ascii="Times New Roman" w:hAnsi="Times New Roman" w:cs="Times New Roman"/>
          <w:bCs/>
          <w:color w:val="002060"/>
          <w:w w:val="100"/>
          <w:sz w:val="16"/>
          <w:szCs w:val="16"/>
        </w:rPr>
        <w:t>Одновременно для стоянки «Кондора» из Луцка во Львов перевезли разборный эллинг. Перенос эллинга на новое место осуществлялся с большими трудностями. Работы по его разбор</w:t>
      </w:r>
      <w:r w:rsidRPr="00DE096C">
        <w:rPr>
          <w:rStyle w:val="43"/>
          <w:rFonts w:ascii="Times New Roman" w:hAnsi="Times New Roman" w:cs="Times New Roman"/>
          <w:bCs/>
          <w:color w:val="002060"/>
          <w:w w:val="100"/>
          <w:sz w:val="16"/>
          <w:szCs w:val="16"/>
        </w:rPr>
        <w:softHyphen/>
        <w:t>ке 2-я воздухоплавательная рота начала 3 ноя</w:t>
      </w:r>
      <w:r w:rsidRPr="00DE096C">
        <w:rPr>
          <w:rStyle w:val="43"/>
          <w:rFonts w:ascii="Times New Roman" w:hAnsi="Times New Roman" w:cs="Times New Roman"/>
          <w:bCs/>
          <w:color w:val="002060"/>
          <w:w w:val="100"/>
          <w:sz w:val="16"/>
          <w:szCs w:val="16"/>
        </w:rPr>
        <w:softHyphen/>
        <w:t>бря 1914 г. Вследствие сильных морозов металл стал хрупким. От этого сломался крюк стяжного домкрата, и эллинг обрушился. При этом погиб рядовой Целинский, а трое солдат и двое рабо</w:t>
      </w:r>
      <w:r w:rsidRPr="00DE096C">
        <w:rPr>
          <w:rStyle w:val="43"/>
          <w:rFonts w:ascii="Times New Roman" w:hAnsi="Times New Roman" w:cs="Times New Roman"/>
          <w:bCs/>
          <w:color w:val="002060"/>
          <w:w w:val="100"/>
          <w:sz w:val="16"/>
          <w:szCs w:val="16"/>
        </w:rPr>
        <w:softHyphen/>
        <w:t>чих получили ушибы. Значительная часть (40%) металлоконструкций эллинга была повреждена.</w:t>
      </w:r>
    </w:p>
    <w:p w14:paraId="43FD57D7" w14:textId="77777777" w:rsidR="00B37FAC" w:rsidRPr="00DE096C" w:rsidRDefault="00B37FAC" w:rsidP="00D45A46">
      <w:pPr>
        <w:jc w:val="both"/>
        <w:rPr>
          <w:rStyle w:val="43"/>
          <w:rFonts w:ascii="Times New Roman" w:hAnsi="Times New Roman" w:cs="Times New Roman"/>
          <w:bCs/>
          <w:color w:val="002060"/>
          <w:w w:val="100"/>
          <w:sz w:val="16"/>
          <w:szCs w:val="16"/>
        </w:rPr>
      </w:pPr>
      <w:r w:rsidRPr="00DE096C">
        <w:rPr>
          <w:rStyle w:val="43"/>
          <w:rFonts w:ascii="Times New Roman" w:hAnsi="Times New Roman" w:cs="Times New Roman"/>
          <w:bCs/>
          <w:color w:val="002060"/>
          <w:w w:val="100"/>
          <w:sz w:val="16"/>
          <w:szCs w:val="16"/>
        </w:rPr>
        <w:t>24 декабря все части эллинга доставили во Львов, а 1 января 1915 г. началась его установка на уже готовый фундамент. Командир 2-й воздухоплавательной роты подполковник М.В. Агапов докладывал Авиаканцу: «Снежные заносы, обледенелость железных ферм и недостаточное коли</w:t>
      </w:r>
      <w:r w:rsidRPr="00DE096C">
        <w:rPr>
          <w:rStyle w:val="43"/>
          <w:rFonts w:ascii="Times New Roman" w:hAnsi="Times New Roman" w:cs="Times New Roman"/>
          <w:bCs/>
          <w:color w:val="002060"/>
          <w:w w:val="100"/>
          <w:sz w:val="16"/>
          <w:szCs w:val="16"/>
        </w:rPr>
        <w:softHyphen/>
        <w:t>чество опытных специалистов-рабочих крайне задерживает быстрое проведение работ. Все за</w:t>
      </w:r>
      <w:r w:rsidRPr="00DE096C">
        <w:rPr>
          <w:rStyle w:val="43"/>
          <w:rFonts w:ascii="Times New Roman" w:hAnsi="Times New Roman" w:cs="Times New Roman"/>
          <w:bCs/>
          <w:color w:val="002060"/>
          <w:w w:val="100"/>
          <w:sz w:val="16"/>
          <w:szCs w:val="16"/>
        </w:rPr>
        <w:softHyphen/>
        <w:t>висящие меры принимаются»62. Повреждённые фермы отремонтировали в железнодорожных мастерских Львова, и к лету эллинг установили. Но при эвакуации Львова 9 июня 1915 г. эллинг пришлось взорвать (20120).</w:t>
      </w:r>
    </w:p>
    <w:p w14:paraId="691FBAF4" w14:textId="77777777" w:rsidR="00B37FAC" w:rsidRPr="00DE096C" w:rsidRDefault="00B37FAC" w:rsidP="00D45A46">
      <w:pPr>
        <w:jc w:val="both"/>
        <w:rPr>
          <w:bCs/>
          <w:color w:val="002060"/>
          <w:sz w:val="16"/>
          <w:szCs w:val="16"/>
        </w:rPr>
      </w:pPr>
    </w:p>
    <w:p w14:paraId="1EAEA65F" w14:textId="77777777" w:rsidR="008D412F" w:rsidRPr="00DE096C" w:rsidRDefault="008D412F" w:rsidP="00D45A46">
      <w:pPr>
        <w:jc w:val="both"/>
        <w:rPr>
          <w:bCs/>
          <w:i/>
          <w:color w:val="002060"/>
          <w:sz w:val="16"/>
          <w:szCs w:val="16"/>
        </w:rPr>
      </w:pPr>
      <w:r w:rsidRPr="00DE096C">
        <w:rPr>
          <w:bCs/>
          <w:i/>
          <w:color w:val="002060"/>
          <w:sz w:val="16"/>
          <w:szCs w:val="16"/>
        </w:rPr>
        <w:t>За рубежом:</w:t>
      </w:r>
    </w:p>
    <w:p w14:paraId="2D3151FF" w14:textId="77777777" w:rsidR="008D412F" w:rsidRPr="00DE096C" w:rsidRDefault="008D412F" w:rsidP="00D45A46">
      <w:pPr>
        <w:jc w:val="both"/>
        <w:rPr>
          <w:bCs/>
          <w:color w:val="002060"/>
          <w:sz w:val="16"/>
          <w:szCs w:val="16"/>
        </w:rPr>
      </w:pPr>
    </w:p>
    <w:p w14:paraId="5823620D" w14:textId="670A2F7E" w:rsidR="00605160" w:rsidRPr="00DE096C" w:rsidRDefault="00605160" w:rsidP="00D45A46">
      <w:pPr>
        <w:jc w:val="both"/>
        <w:rPr>
          <w:bCs/>
          <w:color w:val="002060"/>
          <w:sz w:val="16"/>
          <w:szCs w:val="16"/>
        </w:rPr>
      </w:pPr>
      <w:r w:rsidRPr="00DE096C">
        <w:rPr>
          <w:rStyle w:val="ucoz-forum-post"/>
          <w:rFonts w:eastAsiaTheme="majorEastAsia"/>
          <w:bCs/>
          <w:color w:val="002060"/>
          <w:sz w:val="16"/>
          <w:szCs w:val="16"/>
        </w:rPr>
        <w:t xml:space="preserve">6 (19) октября </w:t>
      </w:r>
      <w:r w:rsidRPr="00DE096C">
        <w:rPr>
          <w:bCs/>
          <w:color w:val="002060"/>
          <w:sz w:val="16"/>
          <w:szCs w:val="16"/>
        </w:rPr>
        <w:t>в 1914 году начало</w:t>
      </w:r>
      <w:r w:rsidR="00AE19EB" w:rsidRPr="00DE096C">
        <w:rPr>
          <w:bCs/>
          <w:color w:val="002060"/>
          <w:sz w:val="16"/>
          <w:szCs w:val="16"/>
        </w:rPr>
        <w:t>сь</w:t>
      </w:r>
      <w:r w:rsidRPr="00DE096C">
        <w:rPr>
          <w:bCs/>
          <w:color w:val="002060"/>
          <w:sz w:val="16"/>
          <w:szCs w:val="16"/>
        </w:rPr>
        <w:t xml:space="preserve"> Перво</w:t>
      </w:r>
      <w:r w:rsidR="00AE19EB" w:rsidRPr="00DE096C">
        <w:rPr>
          <w:bCs/>
          <w:color w:val="002060"/>
          <w:sz w:val="16"/>
          <w:szCs w:val="16"/>
        </w:rPr>
        <w:t>е</w:t>
      </w:r>
      <w:r w:rsidRPr="00DE096C">
        <w:rPr>
          <w:bCs/>
          <w:color w:val="002060"/>
          <w:sz w:val="16"/>
          <w:szCs w:val="16"/>
        </w:rPr>
        <w:t xml:space="preserve"> сражени</w:t>
      </w:r>
      <w:r w:rsidR="00AE19EB" w:rsidRPr="00DE096C">
        <w:rPr>
          <w:bCs/>
          <w:color w:val="002060"/>
          <w:sz w:val="16"/>
          <w:szCs w:val="16"/>
        </w:rPr>
        <w:t>е</w:t>
      </w:r>
      <w:r w:rsidRPr="00DE096C">
        <w:rPr>
          <w:bCs/>
          <w:color w:val="002060"/>
          <w:sz w:val="16"/>
          <w:szCs w:val="16"/>
        </w:rPr>
        <w:t xml:space="preserve"> у Ипра. Конец немецкой "гонки к морю". В немецкой истории сражение называется "kindermorden" - "убийство детей". "Дети" - это суденческие добровольческие батальоны, с энтузиазмом решившие поучаствовать в веселой войнушке (14804).</w:t>
      </w:r>
    </w:p>
    <w:p w14:paraId="60757253" w14:textId="77777777" w:rsidR="00605160" w:rsidRPr="00DE096C" w:rsidRDefault="00605160" w:rsidP="00D45A46">
      <w:pPr>
        <w:jc w:val="both"/>
        <w:rPr>
          <w:bCs/>
          <w:color w:val="002060"/>
          <w:sz w:val="16"/>
          <w:szCs w:val="16"/>
        </w:rPr>
      </w:pPr>
    </w:p>
    <w:p w14:paraId="14AFBFAF" w14:textId="77777777" w:rsidR="008D412F" w:rsidRPr="00DE096C" w:rsidRDefault="008D412F" w:rsidP="00D45A46">
      <w:pPr>
        <w:jc w:val="both"/>
        <w:rPr>
          <w:bCs/>
          <w:color w:val="002060"/>
          <w:sz w:val="16"/>
          <w:szCs w:val="16"/>
        </w:rPr>
      </w:pPr>
      <w:r w:rsidRPr="00DE096C">
        <w:rPr>
          <w:rStyle w:val="ucoz-forum-post"/>
          <w:rFonts w:eastAsiaTheme="majorEastAsia"/>
          <w:bCs/>
          <w:color w:val="002060"/>
          <w:sz w:val="16"/>
          <w:szCs w:val="16"/>
        </w:rPr>
        <w:t xml:space="preserve">6 (19) октября </w:t>
      </w:r>
      <w:r w:rsidRPr="00DE096C">
        <w:rPr>
          <w:bCs/>
          <w:color w:val="002060"/>
          <w:sz w:val="16"/>
          <w:szCs w:val="16"/>
        </w:rPr>
        <w:t>в 1914 году американское почтовое ведомство впервые использует автомобиль для сбора и доставки почты (14804).</w:t>
      </w:r>
    </w:p>
    <w:p w14:paraId="355954C5" w14:textId="77777777" w:rsidR="008D412F" w:rsidRPr="00DE096C" w:rsidRDefault="008D412F" w:rsidP="00D45A46">
      <w:pPr>
        <w:jc w:val="both"/>
        <w:rPr>
          <w:bCs/>
          <w:color w:val="002060"/>
          <w:sz w:val="16"/>
          <w:szCs w:val="16"/>
        </w:rPr>
      </w:pPr>
    </w:p>
    <w:p w14:paraId="3F15EC3F" w14:textId="77777777" w:rsidR="00B67D7C" w:rsidRPr="00DE096C" w:rsidRDefault="00B67D7C" w:rsidP="00D45A46">
      <w:pPr>
        <w:jc w:val="both"/>
        <w:rPr>
          <w:bCs/>
          <w:i/>
          <w:color w:val="002060"/>
          <w:sz w:val="16"/>
          <w:szCs w:val="16"/>
        </w:rPr>
      </w:pPr>
      <w:r w:rsidRPr="00DE096C">
        <w:rPr>
          <w:bCs/>
          <w:i/>
          <w:color w:val="002060"/>
          <w:sz w:val="16"/>
          <w:szCs w:val="16"/>
        </w:rPr>
        <w:t>Самолетостроение:</w:t>
      </w:r>
    </w:p>
    <w:p w14:paraId="4163E129" w14:textId="77777777" w:rsidR="00AE19EB" w:rsidRPr="00DE096C" w:rsidRDefault="00AE19EB" w:rsidP="00D45A46">
      <w:pPr>
        <w:pStyle w:val="DefinitionList"/>
        <w:ind w:left="0"/>
        <w:jc w:val="both"/>
        <w:rPr>
          <w:bCs/>
          <w:color w:val="002060"/>
          <w:sz w:val="16"/>
          <w:szCs w:val="16"/>
        </w:rPr>
      </w:pPr>
    </w:p>
    <w:p w14:paraId="0DF4B0A2" w14:textId="602E90DA"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7 (20) октября 1914 г. </w:t>
      </w:r>
      <w:r w:rsidR="00AE19EB" w:rsidRPr="00DE096C">
        <w:rPr>
          <w:bCs/>
          <w:color w:val="002060"/>
          <w:sz w:val="16"/>
          <w:szCs w:val="16"/>
        </w:rPr>
        <w:t xml:space="preserve">Московский губернатор Муравьев </w:t>
      </w:r>
      <w:r w:rsidRPr="00DE096C">
        <w:rPr>
          <w:bCs/>
          <w:color w:val="002060"/>
          <w:sz w:val="16"/>
          <w:szCs w:val="16"/>
        </w:rPr>
        <w:t xml:space="preserve">телеграфировал заведующему авиации в армии: </w:t>
      </w:r>
    </w:p>
    <w:p w14:paraId="7F28E48E"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 xml:space="preserve">"Сегодня было Москве первое испытание нового летательного аппарата тримоноплана прапорщика Александра Александровича Безобразова, удачный полет сразу по окончании постройки без i предварительных проб". Губернатор утверждал, что Безобразов может быстро устроить большую мастерскую для исполнения заказов как на свой тип, так и на любой системе. А. А. Безобразов не получил от военного ведомства необходимых средств и заказов на аппарат своей системы. В одном из пробных полетов его "три-моноплан" был разбит, и дальнейшие опыты приостановились. </w:t>
      </w:r>
    </w:p>
    <w:p w14:paraId="5ED51425" w14:textId="77777777" w:rsidR="00B67D7C" w:rsidRPr="00DE096C" w:rsidRDefault="00B67D7C" w:rsidP="00D45A46">
      <w:pPr>
        <w:shd w:val="clear" w:color="auto" w:fill="FFFFFF"/>
        <w:jc w:val="both"/>
        <w:rPr>
          <w:bCs/>
          <w:color w:val="002060"/>
          <w:sz w:val="16"/>
          <w:szCs w:val="16"/>
        </w:rPr>
      </w:pPr>
    </w:p>
    <w:p w14:paraId="2F72B352" w14:textId="0DF8BE0B"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7 (20) октября 1914 </w:t>
      </w:r>
      <w:r w:rsidR="00AE19EB" w:rsidRPr="00DE096C">
        <w:rPr>
          <w:bCs/>
          <w:color w:val="002060"/>
          <w:sz w:val="16"/>
          <w:szCs w:val="16"/>
        </w:rPr>
        <w:t xml:space="preserve">г. </w:t>
      </w:r>
      <w:r w:rsidRPr="00DE096C">
        <w:rPr>
          <w:bCs/>
          <w:color w:val="002060"/>
          <w:sz w:val="16"/>
          <w:szCs w:val="16"/>
        </w:rPr>
        <w:t>в Москве состоялся первый испытательный полет оригинального самолета прапорщика запаса Александра Александровича Безобразова. Самолет строился при участии конструктора Ф.Э.Моска на личные средства Безобразова и предназначался для использования в качестве истребителя. Это был триплан с двигателем "Анзани" в 60 л.с</w:t>
      </w:r>
      <w:r w:rsidRPr="00DE096C">
        <w:rPr>
          <w:bCs/>
          <w:color w:val="002060"/>
          <w:sz w:val="16"/>
          <w:szCs w:val="16"/>
          <w:vertAlign w:val="subscript"/>
        </w:rPr>
        <w:t>м</w:t>
      </w:r>
      <w:r w:rsidRPr="00DE096C">
        <w:rPr>
          <w:bCs/>
          <w:color w:val="002060"/>
          <w:sz w:val="16"/>
          <w:szCs w:val="16"/>
        </w:rPr>
        <w:t>потом замененным на Гном в 80 л.с. Особенностью самолета были узкие крылья, расположенные уступом (с очень большим выносом). Руль высоты помещался в контуре заднего крыла. Основная идея конструкции - обеспечение меньшей видимости самолета в полете. Оригинальная конструкция не оправдала себя (ЦГВИА. ф. 2008д. 866, л. 4).</w:t>
      </w:r>
    </w:p>
    <w:p w14:paraId="5E562F7F" w14:textId="77777777" w:rsidR="00B67D7C" w:rsidRPr="00DE096C" w:rsidRDefault="00B67D7C" w:rsidP="00D45A46">
      <w:pPr>
        <w:shd w:val="clear" w:color="auto" w:fill="FFFFFF"/>
        <w:jc w:val="both"/>
        <w:rPr>
          <w:bCs/>
          <w:color w:val="002060"/>
          <w:sz w:val="16"/>
          <w:szCs w:val="16"/>
        </w:rPr>
      </w:pPr>
    </w:p>
    <w:p w14:paraId="40914668" w14:textId="77777777" w:rsidR="00AE19EB" w:rsidRPr="00DE096C" w:rsidRDefault="00AE19EB" w:rsidP="00D45A46">
      <w:pPr>
        <w:jc w:val="both"/>
        <w:rPr>
          <w:bCs/>
          <w:color w:val="002060"/>
          <w:sz w:val="16"/>
          <w:szCs w:val="16"/>
        </w:rPr>
      </w:pPr>
      <w:r w:rsidRPr="00DE096C">
        <w:rPr>
          <w:bCs/>
          <w:color w:val="002060"/>
          <w:sz w:val="16"/>
          <w:szCs w:val="16"/>
        </w:rPr>
        <w:t>7 (20) октября 1914 г. в Москве состоялся первый испытательный полет довольно оригинального самолета прапорщика запаса Александра Александ</w:t>
      </w:r>
      <w:r w:rsidRPr="00DE096C">
        <w:rPr>
          <w:bCs/>
          <w:color w:val="002060"/>
          <w:sz w:val="16"/>
          <w:szCs w:val="16"/>
        </w:rPr>
        <w:softHyphen/>
        <w:t>ровича Безобразова. Самолет строился при помощи конструктора Ф.Мос</w:t>
      </w:r>
      <w:r w:rsidRPr="00DE096C">
        <w:rPr>
          <w:bCs/>
          <w:color w:val="002060"/>
          <w:sz w:val="16"/>
          <w:szCs w:val="16"/>
        </w:rPr>
        <w:softHyphen/>
        <w:t>ла на личные средства Безобразова и предназначался в качестве истребителя. Это был триплан с мотором Анзани 60 л.с. Характерной особенностью самолета были узкие крылья, расположенные уступом /с очень большим выносом/. Руль высоты помещался в контуре средней части нижнего крыла. Руль поворота - раздвижной, наподобие рыбного хвоста. Основная идея конструкции - обеспечение невидимости само</w:t>
      </w:r>
      <w:r w:rsidRPr="00DE096C">
        <w:rPr>
          <w:bCs/>
          <w:color w:val="002060"/>
          <w:sz w:val="16"/>
          <w:szCs w:val="16"/>
        </w:rPr>
        <w:softHyphen/>
        <w:t>лета в полете. Оригинальность конструкции не оправдалась. Самолет не дал положительных результатов и был разбит.</w:t>
      </w:r>
    </w:p>
    <w:p w14:paraId="2046CE56" w14:textId="77777777" w:rsidR="00AE19EB" w:rsidRPr="00DE096C" w:rsidRDefault="00AE19EB" w:rsidP="00D45A46">
      <w:pPr>
        <w:jc w:val="both"/>
        <w:rPr>
          <w:bCs/>
          <w:color w:val="002060"/>
          <w:sz w:val="16"/>
          <w:szCs w:val="16"/>
        </w:rPr>
      </w:pPr>
      <w:r w:rsidRPr="00DE096C">
        <w:rPr>
          <w:bCs/>
          <w:color w:val="002060"/>
          <w:sz w:val="16"/>
          <w:szCs w:val="16"/>
        </w:rPr>
        <w:t>/ЦГВИА, ф. 2008, д. 806, л. 4/ (23320).</w:t>
      </w:r>
    </w:p>
    <w:p w14:paraId="576688D1" w14:textId="77777777" w:rsidR="00AE19EB" w:rsidRPr="00DE096C" w:rsidRDefault="00AE19EB" w:rsidP="00D45A46">
      <w:pPr>
        <w:jc w:val="both"/>
        <w:rPr>
          <w:bCs/>
          <w:color w:val="002060"/>
          <w:sz w:val="16"/>
          <w:szCs w:val="16"/>
        </w:rPr>
      </w:pPr>
    </w:p>
    <w:p w14:paraId="51D57F9A" w14:textId="4A275E26" w:rsidR="00B67D7C" w:rsidRPr="00DE096C" w:rsidRDefault="00B67D7C" w:rsidP="00D45A46">
      <w:pPr>
        <w:jc w:val="both"/>
        <w:rPr>
          <w:bCs/>
          <w:color w:val="002060"/>
          <w:sz w:val="16"/>
          <w:szCs w:val="16"/>
        </w:rPr>
      </w:pPr>
      <w:r w:rsidRPr="00DE096C">
        <w:rPr>
          <w:bCs/>
          <w:color w:val="002060"/>
          <w:sz w:val="16"/>
          <w:szCs w:val="16"/>
        </w:rPr>
        <w:t xml:space="preserve">7 </w:t>
      </w:r>
      <w:r w:rsidR="00AE19EB" w:rsidRPr="00DE096C">
        <w:rPr>
          <w:bCs/>
          <w:color w:val="002060"/>
          <w:sz w:val="16"/>
          <w:szCs w:val="16"/>
        </w:rPr>
        <w:t xml:space="preserve">(20) </w:t>
      </w:r>
      <w:r w:rsidRPr="00DE096C">
        <w:rPr>
          <w:bCs/>
          <w:color w:val="002060"/>
          <w:sz w:val="16"/>
          <w:szCs w:val="16"/>
        </w:rPr>
        <w:t>октября 1914 года московский генерал-губернатор С. И. Муравьев телеграфировал командованию авиации русской армии:</w:t>
      </w:r>
    </w:p>
    <w:p w14:paraId="068D10F0" w14:textId="77777777" w:rsidR="00B67D7C" w:rsidRPr="00DE096C" w:rsidRDefault="00B67D7C" w:rsidP="00D45A46">
      <w:pPr>
        <w:jc w:val="both"/>
        <w:rPr>
          <w:bCs/>
          <w:color w:val="002060"/>
          <w:sz w:val="16"/>
          <w:szCs w:val="16"/>
        </w:rPr>
      </w:pPr>
      <w:r w:rsidRPr="00DE096C">
        <w:rPr>
          <w:bCs/>
          <w:color w:val="002060"/>
          <w:sz w:val="16"/>
          <w:szCs w:val="16"/>
        </w:rPr>
        <w:t>«сегодня было Москве первое испытание нового летательного аппарата тримоноплана прапорщика Александра Александровича Безобразова тчк удачный полет сразу после окончания постройки без предварительных проб»</w:t>
      </w:r>
    </w:p>
    <w:p w14:paraId="6CCF806E" w14:textId="77777777" w:rsidR="00B67D7C" w:rsidRPr="00DE096C" w:rsidRDefault="00B67D7C" w:rsidP="00D45A46">
      <w:pPr>
        <w:jc w:val="both"/>
        <w:rPr>
          <w:bCs/>
          <w:color w:val="002060"/>
          <w:sz w:val="16"/>
          <w:szCs w:val="16"/>
        </w:rPr>
      </w:pPr>
      <w:r w:rsidRPr="00DE096C">
        <w:rPr>
          <w:bCs/>
          <w:color w:val="002060"/>
          <w:sz w:val="16"/>
          <w:szCs w:val="16"/>
        </w:rPr>
        <w:t>Далее генерал-губернатор утверждал, что Безобразов «может быстро устроить большую мастерскую как для своего типа, так и для типов любой системы».</w:t>
      </w:r>
    </w:p>
    <w:p w14:paraId="6F7EF378" w14:textId="77777777" w:rsidR="00B67D7C" w:rsidRPr="00DE096C" w:rsidRDefault="00B67D7C" w:rsidP="00D45A46">
      <w:pPr>
        <w:jc w:val="both"/>
        <w:rPr>
          <w:bCs/>
          <w:color w:val="002060"/>
          <w:sz w:val="16"/>
          <w:szCs w:val="16"/>
        </w:rPr>
      </w:pPr>
      <w:r w:rsidRPr="00DE096C">
        <w:rPr>
          <w:bCs/>
          <w:color w:val="002060"/>
          <w:sz w:val="16"/>
          <w:szCs w:val="16"/>
        </w:rPr>
        <w:t>Начало работ А. А. Безобразова восходит к 1913 году, когда молодой энтузиаст задумал сделать аэроплан собственной конструкции, который должен был устойчиво держаться в воздухе, не имея никакого горизонтального оперения, т. е. быть бесхвостым. Идея была интересной и заманчивой, однако настолько необычной, что даже первые прорисовки вызывали скепсис и категоричные сомнения среди многих консультирующих доброхотов. В не меньшей степени специалистов смущал не только трехкрылый бесхвостый тандем, но и возраст изобретателя, отсутствие у него достаточного опыта и образования. Некоторые интерпретировали его фамилию следующим образом — без образования, мол.</w:t>
      </w:r>
    </w:p>
    <w:p w14:paraId="744F3801" w14:textId="77777777" w:rsidR="00B67D7C" w:rsidRPr="00DE096C" w:rsidRDefault="00B67D7C" w:rsidP="00D45A46">
      <w:pPr>
        <w:jc w:val="both"/>
        <w:rPr>
          <w:bCs/>
          <w:color w:val="002060"/>
          <w:sz w:val="16"/>
          <w:szCs w:val="16"/>
        </w:rPr>
      </w:pPr>
      <w:r w:rsidRPr="00DE096C">
        <w:rPr>
          <w:bCs/>
          <w:color w:val="002060"/>
          <w:sz w:val="16"/>
          <w:szCs w:val="16"/>
        </w:rPr>
        <w:t>В феврале 1914 года Александр показал свой проект известному итальянскому летчику-спортсмену Франческо Моска, который приехал в Россию на ловлю счастья в 1912 году. Тогда он поддался заманчивому предложению русских летчиков Макса фон Лерхе и Георгия Янковского построить вместе самолет ЛЯМ. Франческо Моска стал фактически соавтором Безобразова в создании вышеупомянутого «тримоноплана», взяв на свои плечи значительную часть конструкторской работы.</w:t>
      </w:r>
    </w:p>
    <w:p w14:paraId="1E24707B" w14:textId="77777777" w:rsidR="00B67D7C" w:rsidRPr="00DE096C" w:rsidRDefault="00B67D7C" w:rsidP="00D45A46">
      <w:pPr>
        <w:jc w:val="both"/>
        <w:rPr>
          <w:bCs/>
          <w:color w:val="002060"/>
          <w:sz w:val="16"/>
          <w:szCs w:val="16"/>
        </w:rPr>
      </w:pPr>
      <w:r w:rsidRPr="00DE096C">
        <w:rPr>
          <w:bCs/>
          <w:color w:val="002060"/>
          <w:sz w:val="16"/>
          <w:szCs w:val="16"/>
        </w:rPr>
        <w:t>Летающих «этажерок» с тремя и большим числом крыльев на заре развития авиации было немало. Если не все они, то наверняка большинство из них не имели принципиального отличия от самолетов других схем с аэродинамической точки зрения. Для обеспечения продольной устойчивости и управляемости они были наделены горизонтальным оперением, установленным на большом удалении (плече) от центра тяжести аппарата. В рассматриваемом случае триплан хвостового горизонтального оперения не имел, «представлял собой редкую схему трехкрылого тандема с большим выносом крыльев по горизонтальной оси и небольшим разносом по высоте трипланной коробки. Все крылья имели одинаковую базовую геометрию и профиль. По виду в плане каждое из них напоминало растянутую в стороны букву «М» с постоянной хордой профиля на 60% размаха равной 0,5 м. Концевые участки от внутренних обрезов элеронов имели расширяющуюся форму при виде в плане и стреловидные законцовки с концевыми заострениями. На переломе стреловидности по передним кромкам были введены закругления, что придавало каждому несущему элементу форму птичьего крыла. Профиль для крыльев был выбран треугольный с вершиной на 35% хорды со слегка вогнутой нижней поверхностью. Конструктивно каждое крыло состояло из двух половин. Переднее и заднее крылья имели стык частей в плоскости симметрии аэроплана, а среднее крыло состояло из пары укороченных половин, которые крепились к фюзеляжу по его бортам. Заднее крыло имело жесткую заделку к хвостовой части корпуса в виде Y-образного кабана. Все крылья были связаны между собой четырьмя продольными балками, сделанными из стальных труб овального поперечного сечения. Трубы располагались попарно на 30% и 60% размаха. Балки имели заделку на ус по низу висящего переднего крыла и поверху заднего опертого крыла. Через среднее крыло они проходили насквозь, закрепленные к его лонжеронам с помощью металлических фланцев эллиптической формы. Концевые заделки всех четырех продольных силовых элементов трипланной коробки имели аналогичные фланцевые фитинги. В зонах крепления крыльев к балкам (по виду спереди последние напоминали стойки) их профиль был пронизан вертикальными шпренгелями для проводки верхних и нижних тросов управления элеронами. Заделки шпренгелей были стянуты поверху лентами-расчалками с высоким четырехстержневым фюзеляжным кабаном, а понизу — со стойками шасси. Кроме того, была устроена диагональная расчалочная сеть для стяжки заделок балок в крыльях между собой за исключением заделки центрального шпренгеля переднего крыла, проводке лент к которому мешал вращающийся пропеллер.</w:t>
      </w:r>
    </w:p>
    <w:p w14:paraId="76FBEABC" w14:textId="77777777" w:rsidR="00B67D7C" w:rsidRPr="00DE096C" w:rsidRDefault="00B67D7C" w:rsidP="00D45A46">
      <w:pPr>
        <w:jc w:val="both"/>
        <w:rPr>
          <w:bCs/>
          <w:color w:val="002060"/>
          <w:sz w:val="16"/>
          <w:szCs w:val="16"/>
        </w:rPr>
      </w:pPr>
      <w:r w:rsidRPr="00DE096C">
        <w:rPr>
          <w:bCs/>
          <w:color w:val="002060"/>
          <w:sz w:val="16"/>
          <w:szCs w:val="16"/>
        </w:rPr>
        <w:t>Шасси состояло из двух П-образных стоек, к которым крепились нижние изогнутые перекладины, необходимые для установки колесной оси и связки с ней посредством резинового шнурового амортизатора. Фюзеляж начинался с кожуха, закрывающего мотор «Гном» (80 л. с.) французских конструкторов Сегена и Люке, далее был устроен отсек, занятый центральной трансмиссией двигателя, над которой были установлены топливный и масляный баки.</w:t>
      </w:r>
    </w:p>
    <w:p w14:paraId="39691626" w14:textId="77777777" w:rsidR="00B67D7C" w:rsidRPr="00DE096C" w:rsidRDefault="00B67D7C" w:rsidP="00D45A46">
      <w:pPr>
        <w:jc w:val="both"/>
        <w:rPr>
          <w:bCs/>
          <w:color w:val="002060"/>
          <w:sz w:val="16"/>
          <w:szCs w:val="16"/>
        </w:rPr>
      </w:pPr>
      <w:r w:rsidRPr="00DE096C">
        <w:rPr>
          <w:bCs/>
          <w:color w:val="002060"/>
          <w:sz w:val="16"/>
          <w:szCs w:val="16"/>
        </w:rPr>
        <w:t>По первоначальному проекту мотор должен был быть установлен в середине фюзеляжа с прокладкой длинного вала к переднему тянущему винту. Сиденье летчика при этом Безобразов задумал установить за двигателем в закрытой остекленной кабине с перископом, что придавало бы фюзеляжу обтекаемую веретенообразную форму. Но опытный компаньон Ф. Моска возразил ему, и самолет строился с нормальным фюзеляжем, при котором летчик имел бы круговой обзор из открытой кабины. Передний борт рабочего места пилота, на верху которого был установлен прозрачный козырек из целлулоида, был приподнят над верхними лонжеронами фюзеляжа на коническом выпуклом гаргроте. Такое возвышение было заведено для установки перед глазами авиатора необходимых полетных приборов. За спинкой сиденья пилота (аэроплан был одноместным) внутри суживающейся по ширине и высоте хвостовой части корпуса были расчалены по диагоналям 5 прямоугольных шпангоутов, обшитых фанерой и обтянутых полотном.</w:t>
      </w:r>
    </w:p>
    <w:p w14:paraId="0F83805B" w14:textId="77777777" w:rsidR="00B67D7C" w:rsidRPr="00DE096C" w:rsidRDefault="00B67D7C" w:rsidP="00D45A46">
      <w:pPr>
        <w:jc w:val="both"/>
        <w:rPr>
          <w:bCs/>
          <w:color w:val="002060"/>
          <w:sz w:val="16"/>
          <w:szCs w:val="16"/>
        </w:rPr>
      </w:pPr>
      <w:r w:rsidRPr="00DE096C">
        <w:rPr>
          <w:bCs/>
          <w:color w:val="002060"/>
          <w:sz w:val="16"/>
          <w:szCs w:val="16"/>
        </w:rPr>
        <w:t>А. А. Безобразов неоднократно высказывал сожаление о том, что не воплотил в жизнь свой замысел об обтекаемом круглом фюзеляже, но Ф. Э. Моска неоднократно возвращал его к текущей реальности. В условиях примитивной производственной базы, размещенной в сарае-мастерской (у Ходынского поля), хороший монокок выклеить было практически невозможно. К тому же вскоре началась германская война, и утраченные иллюзии пришлось предать забвению.</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680"/>
        <w:gridCol w:w="4680"/>
      </w:tblGrid>
      <w:tr w:rsidR="00B67D7C" w:rsidRPr="00DE096C" w14:paraId="21BA25FC" w14:textId="77777777" w:rsidTr="00C2024A">
        <w:tc>
          <w:tcPr>
            <w:tcW w:w="9360" w:type="dxa"/>
            <w:gridSpan w:val="2"/>
          </w:tcPr>
          <w:p w14:paraId="42DFE0A6" w14:textId="77777777" w:rsidR="00B67D7C" w:rsidRPr="00DE096C" w:rsidRDefault="00B67D7C" w:rsidP="00D45A46">
            <w:pPr>
              <w:jc w:val="both"/>
              <w:rPr>
                <w:bCs/>
                <w:color w:val="002060"/>
                <w:sz w:val="16"/>
                <w:szCs w:val="16"/>
              </w:rPr>
            </w:pPr>
            <w:r w:rsidRPr="00DE096C">
              <w:rPr>
                <w:bCs/>
                <w:color w:val="002060"/>
                <w:sz w:val="16"/>
                <w:szCs w:val="16"/>
              </w:rPr>
              <w:t>Основные летно-тактические характеристики «Триплана» А. А. Безобразова (Другое обозначение «Тримоноплан»)</w:t>
            </w:r>
          </w:p>
        </w:tc>
      </w:tr>
      <w:tr w:rsidR="00B67D7C" w:rsidRPr="00DE096C" w14:paraId="34D52670" w14:textId="77777777" w:rsidTr="00C2024A">
        <w:tc>
          <w:tcPr>
            <w:tcW w:w="4680" w:type="dxa"/>
          </w:tcPr>
          <w:p w14:paraId="7D4FFAAD" w14:textId="77777777" w:rsidR="00B67D7C" w:rsidRPr="00DE096C" w:rsidRDefault="00B67D7C" w:rsidP="00D45A46">
            <w:pPr>
              <w:jc w:val="both"/>
              <w:rPr>
                <w:bCs/>
                <w:color w:val="002060"/>
                <w:sz w:val="16"/>
                <w:szCs w:val="16"/>
              </w:rPr>
            </w:pPr>
            <w:r w:rsidRPr="00DE096C">
              <w:rPr>
                <w:bCs/>
                <w:color w:val="002060"/>
                <w:sz w:val="16"/>
                <w:szCs w:val="16"/>
              </w:rPr>
              <w:t>Двигатель</w:t>
            </w:r>
          </w:p>
        </w:tc>
        <w:tc>
          <w:tcPr>
            <w:tcW w:w="4680" w:type="dxa"/>
          </w:tcPr>
          <w:p w14:paraId="0050BFA7" w14:textId="77777777" w:rsidR="00B67D7C" w:rsidRPr="00DE096C" w:rsidRDefault="00B67D7C" w:rsidP="00D45A46">
            <w:pPr>
              <w:jc w:val="both"/>
              <w:rPr>
                <w:bCs/>
                <w:color w:val="002060"/>
                <w:sz w:val="16"/>
                <w:szCs w:val="16"/>
              </w:rPr>
            </w:pPr>
          </w:p>
        </w:tc>
      </w:tr>
      <w:tr w:rsidR="00B67D7C" w:rsidRPr="00DE096C" w14:paraId="39B975B6" w14:textId="77777777" w:rsidTr="00C2024A">
        <w:tc>
          <w:tcPr>
            <w:tcW w:w="4680" w:type="dxa"/>
          </w:tcPr>
          <w:p w14:paraId="70305613" w14:textId="77777777" w:rsidR="00B67D7C" w:rsidRPr="00DE096C" w:rsidRDefault="00B67D7C" w:rsidP="00D45A46">
            <w:pPr>
              <w:jc w:val="both"/>
              <w:rPr>
                <w:bCs/>
                <w:color w:val="002060"/>
                <w:sz w:val="16"/>
                <w:szCs w:val="16"/>
              </w:rPr>
            </w:pPr>
            <w:r w:rsidRPr="00DE096C">
              <w:rPr>
                <w:bCs/>
                <w:color w:val="002060"/>
                <w:sz w:val="16"/>
                <w:szCs w:val="16"/>
              </w:rPr>
              <w:t>Мощность максимальная, л. с.</w:t>
            </w:r>
          </w:p>
        </w:tc>
        <w:tc>
          <w:tcPr>
            <w:tcW w:w="4680" w:type="dxa"/>
          </w:tcPr>
          <w:p w14:paraId="096318C2" w14:textId="77777777" w:rsidR="00B67D7C" w:rsidRPr="00DE096C" w:rsidRDefault="00B67D7C" w:rsidP="00D45A46">
            <w:pPr>
              <w:jc w:val="both"/>
              <w:rPr>
                <w:bCs/>
                <w:color w:val="002060"/>
                <w:sz w:val="16"/>
                <w:szCs w:val="16"/>
              </w:rPr>
            </w:pPr>
            <w:r w:rsidRPr="00DE096C">
              <w:rPr>
                <w:bCs/>
                <w:color w:val="002060"/>
                <w:sz w:val="16"/>
                <w:szCs w:val="16"/>
              </w:rPr>
              <w:t>80</w:t>
            </w:r>
          </w:p>
        </w:tc>
      </w:tr>
      <w:tr w:rsidR="00B67D7C" w:rsidRPr="00DE096C" w14:paraId="3684DB10" w14:textId="77777777" w:rsidTr="00C2024A">
        <w:tc>
          <w:tcPr>
            <w:tcW w:w="4680" w:type="dxa"/>
          </w:tcPr>
          <w:p w14:paraId="1AE5998A" w14:textId="77777777" w:rsidR="00B67D7C" w:rsidRPr="00DE096C" w:rsidRDefault="00B67D7C" w:rsidP="00D45A46">
            <w:pPr>
              <w:jc w:val="both"/>
              <w:rPr>
                <w:bCs/>
                <w:color w:val="002060"/>
                <w:sz w:val="16"/>
                <w:szCs w:val="16"/>
              </w:rPr>
            </w:pPr>
            <w:r w:rsidRPr="00DE096C">
              <w:rPr>
                <w:bCs/>
                <w:color w:val="002060"/>
                <w:sz w:val="16"/>
                <w:szCs w:val="16"/>
              </w:rPr>
              <w:t>Скорость максимальная, км/ч</w:t>
            </w:r>
          </w:p>
        </w:tc>
        <w:tc>
          <w:tcPr>
            <w:tcW w:w="4680" w:type="dxa"/>
          </w:tcPr>
          <w:p w14:paraId="7540157A" w14:textId="77777777" w:rsidR="00B67D7C" w:rsidRPr="00DE096C" w:rsidRDefault="00B67D7C" w:rsidP="00D45A46">
            <w:pPr>
              <w:jc w:val="both"/>
              <w:rPr>
                <w:bCs/>
                <w:color w:val="002060"/>
                <w:sz w:val="16"/>
                <w:szCs w:val="16"/>
              </w:rPr>
            </w:pPr>
            <w:r w:rsidRPr="00DE096C">
              <w:rPr>
                <w:bCs/>
                <w:color w:val="002060"/>
                <w:sz w:val="16"/>
                <w:szCs w:val="16"/>
              </w:rPr>
              <w:t>100</w:t>
            </w:r>
          </w:p>
        </w:tc>
      </w:tr>
      <w:tr w:rsidR="00B67D7C" w:rsidRPr="00DE096C" w14:paraId="5EACD7DD" w14:textId="77777777" w:rsidTr="00C2024A">
        <w:tc>
          <w:tcPr>
            <w:tcW w:w="4680" w:type="dxa"/>
          </w:tcPr>
          <w:p w14:paraId="21D4C477" w14:textId="77777777" w:rsidR="00B67D7C" w:rsidRPr="00DE096C" w:rsidRDefault="00B67D7C" w:rsidP="00D45A46">
            <w:pPr>
              <w:jc w:val="both"/>
              <w:rPr>
                <w:bCs/>
                <w:color w:val="002060"/>
                <w:sz w:val="16"/>
                <w:szCs w:val="16"/>
              </w:rPr>
            </w:pPr>
            <w:r w:rsidRPr="00DE096C">
              <w:rPr>
                <w:bCs/>
                <w:color w:val="002060"/>
                <w:sz w:val="16"/>
                <w:szCs w:val="16"/>
              </w:rPr>
              <w:t>Потолок практический, м</w:t>
            </w:r>
          </w:p>
        </w:tc>
        <w:tc>
          <w:tcPr>
            <w:tcW w:w="4680" w:type="dxa"/>
          </w:tcPr>
          <w:p w14:paraId="7A81BFED" w14:textId="77777777" w:rsidR="00B67D7C" w:rsidRPr="00DE096C" w:rsidRDefault="00B67D7C" w:rsidP="00D45A46">
            <w:pPr>
              <w:jc w:val="both"/>
              <w:rPr>
                <w:bCs/>
                <w:color w:val="002060"/>
                <w:sz w:val="16"/>
                <w:szCs w:val="16"/>
              </w:rPr>
            </w:pPr>
            <w:r w:rsidRPr="00DE096C">
              <w:rPr>
                <w:bCs/>
                <w:color w:val="002060"/>
                <w:sz w:val="16"/>
                <w:szCs w:val="16"/>
              </w:rPr>
              <w:t>2000</w:t>
            </w:r>
          </w:p>
        </w:tc>
      </w:tr>
      <w:tr w:rsidR="00B67D7C" w:rsidRPr="00DE096C" w14:paraId="4B96C839" w14:textId="77777777" w:rsidTr="00C2024A">
        <w:tc>
          <w:tcPr>
            <w:tcW w:w="4680" w:type="dxa"/>
          </w:tcPr>
          <w:p w14:paraId="27E2215D" w14:textId="77777777" w:rsidR="00B67D7C" w:rsidRPr="00DE096C" w:rsidRDefault="00B67D7C" w:rsidP="00D45A46">
            <w:pPr>
              <w:jc w:val="both"/>
              <w:rPr>
                <w:bCs/>
                <w:color w:val="002060"/>
                <w:sz w:val="16"/>
                <w:szCs w:val="16"/>
              </w:rPr>
            </w:pPr>
            <w:r w:rsidRPr="00DE096C">
              <w:rPr>
                <w:bCs/>
                <w:color w:val="002060"/>
                <w:sz w:val="16"/>
                <w:szCs w:val="16"/>
              </w:rPr>
              <w:t>Продолжительность полета, ч</w:t>
            </w:r>
          </w:p>
        </w:tc>
        <w:tc>
          <w:tcPr>
            <w:tcW w:w="4680" w:type="dxa"/>
          </w:tcPr>
          <w:p w14:paraId="2926ABBA" w14:textId="77777777" w:rsidR="00B67D7C" w:rsidRPr="00DE096C" w:rsidRDefault="00B67D7C" w:rsidP="00D45A46">
            <w:pPr>
              <w:jc w:val="both"/>
              <w:rPr>
                <w:bCs/>
                <w:color w:val="002060"/>
                <w:sz w:val="16"/>
                <w:szCs w:val="16"/>
              </w:rPr>
            </w:pPr>
            <w:r w:rsidRPr="00DE096C">
              <w:rPr>
                <w:bCs/>
                <w:color w:val="002060"/>
                <w:sz w:val="16"/>
                <w:szCs w:val="16"/>
              </w:rPr>
              <w:t>2</w:t>
            </w:r>
          </w:p>
        </w:tc>
      </w:tr>
      <w:tr w:rsidR="00B67D7C" w:rsidRPr="00DE096C" w14:paraId="2B58D1EE" w14:textId="77777777" w:rsidTr="00C2024A">
        <w:tc>
          <w:tcPr>
            <w:tcW w:w="4680" w:type="dxa"/>
          </w:tcPr>
          <w:p w14:paraId="728C21BF" w14:textId="77777777" w:rsidR="00B67D7C" w:rsidRPr="00DE096C" w:rsidRDefault="00B67D7C" w:rsidP="00D45A46">
            <w:pPr>
              <w:jc w:val="both"/>
              <w:rPr>
                <w:bCs/>
                <w:color w:val="002060"/>
                <w:sz w:val="16"/>
                <w:szCs w:val="16"/>
              </w:rPr>
            </w:pPr>
            <w:r w:rsidRPr="00DE096C">
              <w:rPr>
                <w:bCs/>
                <w:color w:val="002060"/>
                <w:sz w:val="16"/>
                <w:szCs w:val="16"/>
              </w:rPr>
              <w:t>Площадь крыльев, м</w:t>
            </w:r>
            <w:r w:rsidRPr="00DE096C">
              <w:rPr>
                <w:bCs/>
                <w:color w:val="002060"/>
                <w:sz w:val="16"/>
                <w:szCs w:val="16"/>
                <w:vertAlign w:val="superscript"/>
              </w:rPr>
              <w:t>2</w:t>
            </w:r>
          </w:p>
        </w:tc>
        <w:tc>
          <w:tcPr>
            <w:tcW w:w="4680" w:type="dxa"/>
          </w:tcPr>
          <w:p w14:paraId="04F7A3F0" w14:textId="77777777" w:rsidR="00B67D7C" w:rsidRPr="00DE096C" w:rsidRDefault="00B67D7C" w:rsidP="00D45A46">
            <w:pPr>
              <w:jc w:val="both"/>
              <w:rPr>
                <w:bCs/>
                <w:color w:val="002060"/>
                <w:sz w:val="16"/>
                <w:szCs w:val="16"/>
              </w:rPr>
            </w:pPr>
            <w:r w:rsidRPr="00DE096C">
              <w:rPr>
                <w:bCs/>
                <w:color w:val="002060"/>
                <w:sz w:val="16"/>
                <w:szCs w:val="16"/>
              </w:rPr>
              <w:t>17</w:t>
            </w:r>
          </w:p>
        </w:tc>
      </w:tr>
      <w:tr w:rsidR="00B67D7C" w:rsidRPr="00DE096C" w14:paraId="61BAA956" w14:textId="77777777" w:rsidTr="00C2024A">
        <w:tc>
          <w:tcPr>
            <w:tcW w:w="4680" w:type="dxa"/>
          </w:tcPr>
          <w:p w14:paraId="097A6397" w14:textId="77777777" w:rsidR="00B67D7C" w:rsidRPr="00DE096C" w:rsidRDefault="00B67D7C" w:rsidP="00D45A46">
            <w:pPr>
              <w:jc w:val="both"/>
              <w:rPr>
                <w:bCs/>
                <w:color w:val="002060"/>
                <w:sz w:val="16"/>
                <w:szCs w:val="16"/>
              </w:rPr>
            </w:pPr>
            <w:r w:rsidRPr="00DE096C">
              <w:rPr>
                <w:bCs/>
                <w:color w:val="002060"/>
                <w:sz w:val="16"/>
                <w:szCs w:val="16"/>
              </w:rPr>
              <w:t>Взлетный вес, кг</w:t>
            </w:r>
          </w:p>
        </w:tc>
        <w:tc>
          <w:tcPr>
            <w:tcW w:w="4680" w:type="dxa"/>
          </w:tcPr>
          <w:p w14:paraId="374B6050" w14:textId="77777777" w:rsidR="00B67D7C" w:rsidRPr="00DE096C" w:rsidRDefault="00B67D7C" w:rsidP="00D45A46">
            <w:pPr>
              <w:jc w:val="both"/>
              <w:rPr>
                <w:bCs/>
                <w:color w:val="002060"/>
                <w:sz w:val="16"/>
                <w:szCs w:val="16"/>
              </w:rPr>
            </w:pPr>
            <w:r w:rsidRPr="00DE096C">
              <w:rPr>
                <w:bCs/>
                <w:color w:val="002060"/>
                <w:sz w:val="16"/>
                <w:szCs w:val="16"/>
              </w:rPr>
              <w:t>547</w:t>
            </w:r>
          </w:p>
        </w:tc>
      </w:tr>
      <w:tr w:rsidR="00B67D7C" w:rsidRPr="00DE096C" w14:paraId="5D279169" w14:textId="77777777" w:rsidTr="00C2024A">
        <w:tc>
          <w:tcPr>
            <w:tcW w:w="4680" w:type="dxa"/>
          </w:tcPr>
          <w:p w14:paraId="50FF44FF" w14:textId="77777777" w:rsidR="00B67D7C" w:rsidRPr="00DE096C" w:rsidRDefault="00B67D7C" w:rsidP="00D45A46">
            <w:pPr>
              <w:jc w:val="both"/>
              <w:rPr>
                <w:bCs/>
                <w:color w:val="002060"/>
                <w:sz w:val="16"/>
                <w:szCs w:val="16"/>
              </w:rPr>
            </w:pPr>
            <w:r w:rsidRPr="00DE096C">
              <w:rPr>
                <w:bCs/>
                <w:color w:val="002060"/>
                <w:sz w:val="16"/>
                <w:szCs w:val="16"/>
              </w:rPr>
              <w:t>Вес пустого самолета, кг</w:t>
            </w:r>
          </w:p>
        </w:tc>
        <w:tc>
          <w:tcPr>
            <w:tcW w:w="4680" w:type="dxa"/>
          </w:tcPr>
          <w:p w14:paraId="6C06D508" w14:textId="77777777" w:rsidR="00B67D7C" w:rsidRPr="00DE096C" w:rsidRDefault="00B67D7C" w:rsidP="00D45A46">
            <w:pPr>
              <w:jc w:val="both"/>
              <w:rPr>
                <w:bCs/>
                <w:color w:val="002060"/>
                <w:sz w:val="16"/>
                <w:szCs w:val="16"/>
              </w:rPr>
            </w:pPr>
            <w:r w:rsidRPr="00DE096C">
              <w:rPr>
                <w:bCs/>
                <w:color w:val="002060"/>
                <w:sz w:val="16"/>
                <w:szCs w:val="16"/>
              </w:rPr>
              <w:t>388</w:t>
            </w:r>
          </w:p>
        </w:tc>
      </w:tr>
      <w:tr w:rsidR="00B67D7C" w:rsidRPr="00DE096C" w14:paraId="6E4822BC" w14:textId="77777777" w:rsidTr="00C2024A">
        <w:tc>
          <w:tcPr>
            <w:tcW w:w="4680" w:type="dxa"/>
          </w:tcPr>
          <w:p w14:paraId="52024C93" w14:textId="77777777" w:rsidR="00B67D7C" w:rsidRPr="00DE096C" w:rsidRDefault="00B67D7C" w:rsidP="00D45A46">
            <w:pPr>
              <w:jc w:val="both"/>
              <w:rPr>
                <w:bCs/>
                <w:color w:val="002060"/>
                <w:sz w:val="16"/>
                <w:szCs w:val="16"/>
              </w:rPr>
            </w:pPr>
            <w:r w:rsidRPr="00DE096C">
              <w:rPr>
                <w:bCs/>
                <w:color w:val="002060"/>
                <w:sz w:val="16"/>
                <w:szCs w:val="16"/>
              </w:rPr>
              <w:t>Запас топлива, кг</w:t>
            </w:r>
          </w:p>
        </w:tc>
        <w:tc>
          <w:tcPr>
            <w:tcW w:w="4680" w:type="dxa"/>
          </w:tcPr>
          <w:p w14:paraId="3D407EAA" w14:textId="77777777" w:rsidR="00B67D7C" w:rsidRPr="00DE096C" w:rsidRDefault="00B67D7C" w:rsidP="00D45A46">
            <w:pPr>
              <w:jc w:val="both"/>
              <w:rPr>
                <w:bCs/>
                <w:color w:val="002060"/>
                <w:sz w:val="16"/>
                <w:szCs w:val="16"/>
              </w:rPr>
            </w:pPr>
            <w:r w:rsidRPr="00DE096C">
              <w:rPr>
                <w:bCs/>
                <w:color w:val="002060"/>
                <w:sz w:val="16"/>
                <w:szCs w:val="16"/>
              </w:rPr>
              <w:t>70</w:t>
            </w:r>
          </w:p>
        </w:tc>
      </w:tr>
      <w:tr w:rsidR="00B67D7C" w:rsidRPr="00DE096C" w14:paraId="290E7C54" w14:textId="77777777" w:rsidTr="00C2024A">
        <w:tc>
          <w:tcPr>
            <w:tcW w:w="4680" w:type="dxa"/>
          </w:tcPr>
          <w:p w14:paraId="60698479" w14:textId="77777777" w:rsidR="00B67D7C" w:rsidRPr="00DE096C" w:rsidRDefault="00B67D7C" w:rsidP="00D45A46">
            <w:pPr>
              <w:jc w:val="both"/>
              <w:rPr>
                <w:bCs/>
                <w:color w:val="002060"/>
                <w:sz w:val="16"/>
                <w:szCs w:val="16"/>
              </w:rPr>
            </w:pPr>
            <w:r w:rsidRPr="00DE096C">
              <w:rPr>
                <w:bCs/>
                <w:color w:val="002060"/>
                <w:sz w:val="16"/>
                <w:szCs w:val="16"/>
              </w:rPr>
              <w:t>Удельная нагрузка на крылья, кг/м</w:t>
            </w:r>
            <w:r w:rsidRPr="00DE096C">
              <w:rPr>
                <w:bCs/>
                <w:color w:val="002060"/>
                <w:sz w:val="16"/>
                <w:szCs w:val="16"/>
                <w:vertAlign w:val="superscript"/>
              </w:rPr>
              <w:t xml:space="preserve">2 </w:t>
            </w:r>
          </w:p>
        </w:tc>
        <w:tc>
          <w:tcPr>
            <w:tcW w:w="4680" w:type="dxa"/>
          </w:tcPr>
          <w:p w14:paraId="4B0C11AA" w14:textId="77777777" w:rsidR="00B67D7C" w:rsidRPr="00DE096C" w:rsidRDefault="00B67D7C" w:rsidP="00D45A46">
            <w:pPr>
              <w:jc w:val="both"/>
              <w:rPr>
                <w:bCs/>
                <w:color w:val="002060"/>
                <w:sz w:val="16"/>
                <w:szCs w:val="16"/>
              </w:rPr>
            </w:pPr>
            <w:r w:rsidRPr="00DE096C">
              <w:rPr>
                <w:bCs/>
                <w:color w:val="002060"/>
                <w:sz w:val="16"/>
                <w:szCs w:val="16"/>
              </w:rPr>
              <w:t>32,2</w:t>
            </w:r>
          </w:p>
        </w:tc>
      </w:tr>
      <w:tr w:rsidR="00B67D7C" w:rsidRPr="00DE096C" w14:paraId="660A6B07" w14:textId="77777777" w:rsidTr="00C2024A">
        <w:tc>
          <w:tcPr>
            <w:tcW w:w="4680" w:type="dxa"/>
          </w:tcPr>
          <w:p w14:paraId="2BC466A1" w14:textId="77777777" w:rsidR="00B67D7C" w:rsidRPr="00DE096C" w:rsidRDefault="00B67D7C" w:rsidP="00D45A46">
            <w:pPr>
              <w:jc w:val="both"/>
              <w:rPr>
                <w:bCs/>
                <w:color w:val="002060"/>
                <w:sz w:val="16"/>
                <w:szCs w:val="16"/>
              </w:rPr>
            </w:pPr>
            <w:r w:rsidRPr="00DE096C">
              <w:rPr>
                <w:bCs/>
                <w:color w:val="002060"/>
                <w:sz w:val="16"/>
                <w:szCs w:val="16"/>
              </w:rPr>
              <w:t>Удельная нагрузка на мощность, кг/л. с.</w:t>
            </w:r>
          </w:p>
        </w:tc>
        <w:tc>
          <w:tcPr>
            <w:tcW w:w="4680" w:type="dxa"/>
          </w:tcPr>
          <w:p w14:paraId="28A1E63D" w14:textId="77777777" w:rsidR="00B67D7C" w:rsidRPr="00DE096C" w:rsidRDefault="00B67D7C" w:rsidP="00D45A46">
            <w:pPr>
              <w:jc w:val="both"/>
              <w:rPr>
                <w:bCs/>
                <w:color w:val="002060"/>
                <w:sz w:val="16"/>
                <w:szCs w:val="16"/>
              </w:rPr>
            </w:pPr>
            <w:r w:rsidRPr="00DE096C">
              <w:rPr>
                <w:bCs/>
                <w:color w:val="002060"/>
                <w:sz w:val="16"/>
                <w:szCs w:val="16"/>
              </w:rPr>
              <w:t>6,85</w:t>
            </w:r>
          </w:p>
        </w:tc>
      </w:tr>
      <w:tr w:rsidR="00B67D7C" w:rsidRPr="00DE096C" w14:paraId="4A981E62" w14:textId="77777777" w:rsidTr="00C2024A">
        <w:tc>
          <w:tcPr>
            <w:tcW w:w="4680" w:type="dxa"/>
          </w:tcPr>
          <w:p w14:paraId="38B8E693" w14:textId="77777777" w:rsidR="00B67D7C" w:rsidRPr="00DE096C" w:rsidRDefault="00B67D7C" w:rsidP="00D45A46">
            <w:pPr>
              <w:jc w:val="both"/>
              <w:rPr>
                <w:bCs/>
                <w:color w:val="002060"/>
                <w:sz w:val="16"/>
                <w:szCs w:val="16"/>
              </w:rPr>
            </w:pPr>
            <w:r w:rsidRPr="00DE096C">
              <w:rPr>
                <w:bCs/>
                <w:color w:val="002060"/>
                <w:sz w:val="16"/>
                <w:szCs w:val="16"/>
              </w:rPr>
              <w:t>Весовая отдача, %</w:t>
            </w:r>
          </w:p>
        </w:tc>
        <w:tc>
          <w:tcPr>
            <w:tcW w:w="4680" w:type="dxa"/>
          </w:tcPr>
          <w:p w14:paraId="287278FC" w14:textId="77777777" w:rsidR="00B67D7C" w:rsidRPr="00DE096C" w:rsidRDefault="00B67D7C" w:rsidP="00D45A46">
            <w:pPr>
              <w:jc w:val="both"/>
              <w:rPr>
                <w:bCs/>
                <w:color w:val="002060"/>
                <w:sz w:val="16"/>
                <w:szCs w:val="16"/>
              </w:rPr>
            </w:pPr>
            <w:r w:rsidRPr="00DE096C">
              <w:rPr>
                <w:bCs/>
                <w:color w:val="002060"/>
                <w:sz w:val="16"/>
                <w:szCs w:val="16"/>
              </w:rPr>
              <w:t>29,1</w:t>
            </w:r>
          </w:p>
        </w:tc>
      </w:tr>
    </w:tbl>
    <w:p w14:paraId="48D27057" w14:textId="77777777" w:rsidR="00B67D7C" w:rsidRPr="00DE096C" w:rsidRDefault="00B67D7C" w:rsidP="00D45A46">
      <w:pPr>
        <w:jc w:val="both"/>
        <w:rPr>
          <w:bCs/>
          <w:color w:val="002060"/>
          <w:sz w:val="16"/>
          <w:szCs w:val="16"/>
        </w:rPr>
      </w:pPr>
      <w:r w:rsidRPr="00DE096C">
        <w:rPr>
          <w:bCs/>
          <w:color w:val="002060"/>
          <w:sz w:val="16"/>
          <w:szCs w:val="16"/>
        </w:rPr>
        <w:lastRenderedPageBreak/>
        <w:t>Постройка аэроплана была закончена к октябрю 1914 года, через месяц после начала боевых действий на фронте. Безобразов видел в своем творении одноместный истребитель. Его сотоварищ такого мнения не разделял, полагая, что их птеродактиль интересен как чисто экспериментальный летательный аппарат. Первый полет, к изумлению многих авиаторов, Ф. Моска произвел весьма успешно, не делая никаких предварительных пробежек и подлетов. На аэродроме поднялся сильный ветер, когда пилот выруливал от места стоянки, чтобы побегать по травке туда-сюда. Почувствовав, что машина сама просится в небо, летчик дал газ и аэроплан легко, словно бабочка, вспорхнул вверх метров на 50—70. Совершив три устойчивых виража на высоте 200—250 м вокруг места старта, Моска приземлился. Цветов и музыки не было - никто не ожидал в этот день, что эта «паутина» полетит.</w:t>
      </w:r>
    </w:p>
    <w:p w14:paraId="4C2C922C" w14:textId="77777777" w:rsidR="00B67D7C" w:rsidRPr="00DE096C" w:rsidRDefault="00B67D7C" w:rsidP="00D45A46">
      <w:pPr>
        <w:jc w:val="both"/>
        <w:rPr>
          <w:bCs/>
          <w:color w:val="002060"/>
          <w:sz w:val="16"/>
          <w:szCs w:val="16"/>
        </w:rPr>
      </w:pPr>
      <w:r w:rsidRPr="00DE096C">
        <w:rPr>
          <w:bCs/>
          <w:color w:val="002060"/>
          <w:sz w:val="16"/>
          <w:szCs w:val="16"/>
        </w:rPr>
        <w:t>Столь знаменательному событию А. А. Безобразов порадоваться не мог, поскольку в первых числах сентября он был уже на фронте как кадровый офицер. Вернуться к делам ему пришлось только в декабре 1914 года. После тяжелого ранения он длительное время пролежал в госпитале. Его «тримоноплан» в эту пору был переброшен в Крым (поближе к летной погоде), где в Севастопольской авиационной школе Ф. Моска продолжал его испытания и доводку. А. А. Безобразов прибыл в Крым в январе 1915 года и уже без Моски на протяжении всего 1915 года продолжал переделки и усовершенствования аппарата, пока в июне следующего года вновь не прибыл в Москву. 6 августа 1916 года летчик И. А. Орлов потерпел аварию при попытке взлета. Из-за поломки колесной оси аэроплан клюнул носом и перевернулся на спину. Ремонт «триплана» был закончен к марту 1917 года. Дальнейшие опыты с аэропланом были приостановлены. Установка и тип оружия на гипотетическом истребителе А. А. Безобразова не известны (11918).</w:t>
      </w:r>
    </w:p>
    <w:p w14:paraId="64F07048" w14:textId="77777777" w:rsidR="00B67D7C" w:rsidRPr="00DE096C" w:rsidRDefault="00B67D7C" w:rsidP="00D45A46">
      <w:pPr>
        <w:jc w:val="both"/>
        <w:rPr>
          <w:bCs/>
          <w:color w:val="002060"/>
          <w:sz w:val="16"/>
          <w:szCs w:val="16"/>
        </w:rPr>
      </w:pPr>
    </w:p>
    <w:p w14:paraId="7710733D" w14:textId="7E35E247" w:rsidR="00A408B9" w:rsidRPr="00DE096C" w:rsidRDefault="00A408B9" w:rsidP="00D45A46">
      <w:pPr>
        <w:pStyle w:val="2"/>
        <w:spacing w:before="0" w:after="0"/>
        <w:jc w:val="both"/>
        <w:rPr>
          <w:b w:val="0"/>
          <w:bCs/>
          <w:color w:val="002060"/>
          <w:sz w:val="16"/>
          <w:szCs w:val="16"/>
        </w:rPr>
      </w:pPr>
      <w:r w:rsidRPr="00DE096C">
        <w:rPr>
          <w:b w:val="0"/>
          <w:bCs/>
          <w:color w:val="002060"/>
          <w:sz w:val="16"/>
          <w:szCs w:val="16"/>
        </w:rPr>
        <w:t xml:space="preserve">7 </w:t>
      </w:r>
      <w:r w:rsidR="00AE19EB" w:rsidRPr="00DE096C">
        <w:rPr>
          <w:b w:val="0"/>
          <w:bCs/>
          <w:color w:val="002060"/>
          <w:sz w:val="16"/>
          <w:szCs w:val="16"/>
        </w:rPr>
        <w:t xml:space="preserve">(20) </w:t>
      </w:r>
      <w:r w:rsidRPr="00DE096C">
        <w:rPr>
          <w:b w:val="0"/>
          <w:bCs/>
          <w:color w:val="002060"/>
          <w:sz w:val="16"/>
          <w:szCs w:val="16"/>
        </w:rPr>
        <w:t>октября 1914 по просьбе Моска московский губернатор Муравьев послал Великому князю Александру Михайловичу телеграмму: «Сегодня было в Москве первое испытание нового летательного аппарата тримоноплана прапорщика Александра Александровича Безобразова, удачный полет сразу по окончании постройки без предварительных проб». Однако, несмотря на обещания губернатора оказать всемерную поддержку и «быстро устроить большую мастерскую для исполнения заказов», военное ведомство самолетом не заинтересовалось.</w:t>
      </w:r>
    </w:p>
    <w:p w14:paraId="4D21D961" w14:textId="77777777" w:rsidR="00A408B9" w:rsidRPr="00DE096C" w:rsidRDefault="00A408B9" w:rsidP="00D45A46">
      <w:pPr>
        <w:pStyle w:val="2"/>
        <w:spacing w:before="0" w:after="0"/>
        <w:jc w:val="both"/>
        <w:rPr>
          <w:b w:val="0"/>
          <w:bCs/>
          <w:color w:val="002060"/>
          <w:sz w:val="16"/>
          <w:szCs w:val="16"/>
        </w:rPr>
      </w:pPr>
      <w:r w:rsidRPr="00DE096C">
        <w:rPr>
          <w:b w:val="0"/>
          <w:bCs/>
          <w:color w:val="002060"/>
          <w:sz w:val="16"/>
          <w:szCs w:val="16"/>
        </w:rPr>
        <w:t>Тем временем Безобразова на фронте тяжело ранили и после лечения в начале 1915 г. откомандировали в Севастополь для продолжения работ над самолетом, его триплан перевезли туда еще в декабре 1914 г. Изобретатель занимался переделками и доводками весь год, в конце 1915 г. законченный самолет вновь поднялся в воздух. В июне 1916 г. корнет Безобразов был откомандирован в Москву и «прибыл в школу 15 июля 1916 г. из Севастопольской Военной Авиационной школы со своей мастерской впредь до особого распоряжения.»</w:t>
      </w:r>
    </w:p>
    <w:p w14:paraId="269D3F92" w14:textId="77777777" w:rsidR="00A408B9" w:rsidRPr="00DE096C" w:rsidRDefault="00A408B9" w:rsidP="00D45A46">
      <w:pPr>
        <w:pStyle w:val="2"/>
        <w:spacing w:before="0" w:after="0"/>
        <w:jc w:val="both"/>
        <w:rPr>
          <w:b w:val="0"/>
          <w:bCs/>
          <w:color w:val="002060"/>
          <w:sz w:val="16"/>
          <w:szCs w:val="16"/>
        </w:rPr>
      </w:pPr>
      <w:r w:rsidRPr="00DE096C">
        <w:rPr>
          <w:b w:val="0"/>
          <w:bCs/>
          <w:color w:val="002060"/>
          <w:sz w:val="16"/>
          <w:szCs w:val="16"/>
        </w:rPr>
        <w:t>На Ходынве триплан испытывал фронтовой летчик И.А.Орлов, 16 июня 1916 г. одержавший свою вторую победу в воздухе. 6 августа на взлете из-за поломки оси колес самолет скапотировал и был основательно поврежден. Будущий ас Орлов отправился на фронт, затем уехал воевать во Францию, а Безобразову ничего не оставалось делать, как восстанавливать триплан. К февралю 1917 г. машину он отремонтировал, но было уже поздно. Дальнейшая судьба уникального самолета, одного из шести построенных в России трипланов, неизвестна (15464).</w:t>
      </w:r>
    </w:p>
    <w:p w14:paraId="799C9C00" w14:textId="77777777" w:rsidR="00A408B9" w:rsidRPr="00DE096C" w:rsidRDefault="00A408B9" w:rsidP="00D45A46">
      <w:pPr>
        <w:pStyle w:val="2"/>
        <w:spacing w:before="0" w:after="0"/>
        <w:jc w:val="both"/>
        <w:rPr>
          <w:b w:val="0"/>
          <w:bCs/>
          <w:color w:val="002060"/>
          <w:sz w:val="16"/>
          <w:szCs w:val="16"/>
        </w:rPr>
      </w:pPr>
    </w:p>
    <w:p w14:paraId="0D84BE40" w14:textId="0115ED93" w:rsidR="000F6B76" w:rsidRPr="00DE096C" w:rsidRDefault="000F6B76" w:rsidP="00D45A46">
      <w:pPr>
        <w:jc w:val="both"/>
        <w:rPr>
          <w:bCs/>
          <w:i/>
          <w:color w:val="002060"/>
          <w:sz w:val="16"/>
          <w:szCs w:val="16"/>
        </w:rPr>
      </w:pPr>
      <w:r w:rsidRPr="00DE096C">
        <w:rPr>
          <w:bCs/>
          <w:i/>
          <w:color w:val="002060"/>
          <w:sz w:val="16"/>
          <w:szCs w:val="16"/>
        </w:rPr>
        <w:t>Другие оборонные отрасли:</w:t>
      </w:r>
    </w:p>
    <w:p w14:paraId="2166599D" w14:textId="77777777" w:rsidR="000F6B76" w:rsidRPr="00DE096C" w:rsidRDefault="000F6B76" w:rsidP="00D45A46">
      <w:pPr>
        <w:jc w:val="both"/>
        <w:rPr>
          <w:bCs/>
          <w:i/>
          <w:color w:val="002060"/>
          <w:sz w:val="16"/>
          <w:szCs w:val="16"/>
        </w:rPr>
      </w:pPr>
    </w:p>
    <w:p w14:paraId="6E88A876" w14:textId="5279C4AE" w:rsidR="000F6B76" w:rsidRPr="00DE096C" w:rsidRDefault="000F6B76" w:rsidP="00D45A46">
      <w:pPr>
        <w:pStyle w:val="af7"/>
        <w:spacing w:line="240" w:lineRule="auto"/>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С 7 (20) октября по 14 (27) ноября 1914 г. на шести заседаниях (Раупах Р.Р. Указ. соч. С. 85—89; ОЖСМ 1914. С. 427-430, 504-512) Совет министров рассматривал предло</w:t>
      </w:r>
      <w:r w:rsidRPr="00DE096C">
        <w:rPr>
          <w:rFonts w:ascii="Times New Roman" w:hAnsi="Times New Roman" w:cs="Times New Roman"/>
          <w:bCs/>
          <w:color w:val="002060"/>
          <w:sz w:val="16"/>
          <w:szCs w:val="16"/>
        </w:rPr>
        <w:softHyphen/>
        <w:t>жения военных властей о репрессиях против «неприятель</w:t>
      </w:r>
      <w:r w:rsidRPr="00DE096C">
        <w:rPr>
          <w:rFonts w:ascii="Times New Roman" w:hAnsi="Times New Roman" w:cs="Times New Roman"/>
          <w:bCs/>
          <w:color w:val="002060"/>
          <w:sz w:val="16"/>
          <w:szCs w:val="16"/>
        </w:rPr>
        <w:softHyphen/>
        <w:t>ских подданных», владевших предприятиями: одни из этих предприятий закрыть до конца войны, другие же, «кои могут быть использованы в военных целях», секвестровать. Совет министров высказался против «насильственных» «огульных» мер в отношении собственности «пребываю</w:t>
      </w:r>
      <w:r w:rsidRPr="00DE096C">
        <w:rPr>
          <w:rFonts w:ascii="Times New Roman" w:hAnsi="Times New Roman" w:cs="Times New Roman"/>
          <w:bCs/>
          <w:color w:val="002060"/>
          <w:sz w:val="16"/>
          <w:szCs w:val="16"/>
        </w:rPr>
        <w:softHyphen/>
        <w:t>щих в России мирных подданных» Германии и Австро- Венгрии. Такие меры, «не согласные с общепринятыми международными обычаями», грозили бы «нежелательны</w:t>
      </w:r>
      <w:r w:rsidRPr="00DE096C">
        <w:rPr>
          <w:rFonts w:ascii="Times New Roman" w:hAnsi="Times New Roman" w:cs="Times New Roman"/>
          <w:bCs/>
          <w:color w:val="002060"/>
          <w:sz w:val="16"/>
          <w:szCs w:val="16"/>
        </w:rPr>
        <w:softHyphen/>
        <w:t>ми последствиями» из-за «неблагоприятного для России впечатления» в нейтральных государствах. Да и невозмож</w:t>
      </w:r>
      <w:r w:rsidRPr="00DE096C">
        <w:rPr>
          <w:rFonts w:ascii="Times New Roman" w:hAnsi="Times New Roman" w:cs="Times New Roman"/>
          <w:bCs/>
          <w:color w:val="002060"/>
          <w:sz w:val="16"/>
          <w:szCs w:val="16"/>
        </w:rPr>
        <w:softHyphen/>
        <w:t>но, полагал Совет министров, избежать тяжелых хозяй</w:t>
      </w:r>
      <w:r w:rsidRPr="00DE096C">
        <w:rPr>
          <w:rFonts w:ascii="Times New Roman" w:hAnsi="Times New Roman" w:cs="Times New Roman"/>
          <w:bCs/>
          <w:color w:val="002060"/>
          <w:sz w:val="16"/>
          <w:szCs w:val="16"/>
        </w:rPr>
        <w:softHyphen/>
        <w:t>ственных потрясений, если разом остановить деятель</w:t>
      </w:r>
      <w:r w:rsidRPr="00DE096C">
        <w:rPr>
          <w:rFonts w:ascii="Times New Roman" w:hAnsi="Times New Roman" w:cs="Times New Roman"/>
          <w:bCs/>
          <w:color w:val="002060"/>
          <w:sz w:val="16"/>
          <w:szCs w:val="16"/>
        </w:rPr>
        <w:softHyphen/>
        <w:t>ность принадлежащих немцам предприятий. Невозможно и практически взять их «в казенное ведение» или передать «в русскую эксплуатацию». Так что приходилось держаться «общего принципа» неприкосновенности «частной и кол</w:t>
      </w:r>
      <w:r w:rsidRPr="00DE096C">
        <w:rPr>
          <w:rFonts w:ascii="Times New Roman" w:hAnsi="Times New Roman" w:cs="Times New Roman"/>
          <w:bCs/>
          <w:color w:val="002060"/>
          <w:sz w:val="16"/>
          <w:szCs w:val="16"/>
        </w:rPr>
        <w:softHyphen/>
        <w:t>лективной собственности неприятельских подданных» и «по возможности» не прибегать к секвестру или конфис</w:t>
      </w:r>
      <w:r w:rsidRPr="00DE096C">
        <w:rPr>
          <w:rFonts w:ascii="Times New Roman" w:hAnsi="Times New Roman" w:cs="Times New Roman"/>
          <w:bCs/>
          <w:color w:val="002060"/>
          <w:sz w:val="16"/>
          <w:szCs w:val="16"/>
        </w:rPr>
        <w:softHyphen/>
        <w:t>кации (23452).</w:t>
      </w:r>
    </w:p>
    <w:p w14:paraId="0BB39B33" w14:textId="77777777" w:rsidR="000F6B76" w:rsidRPr="00DE096C" w:rsidRDefault="000F6B76" w:rsidP="00D45A46">
      <w:pPr>
        <w:jc w:val="both"/>
        <w:rPr>
          <w:bCs/>
          <w:color w:val="002060"/>
          <w:sz w:val="16"/>
          <w:szCs w:val="16"/>
        </w:rPr>
      </w:pPr>
    </w:p>
    <w:p w14:paraId="0819B5A6" w14:textId="38835526" w:rsidR="00A408B9" w:rsidRPr="00DE096C" w:rsidRDefault="00A408B9" w:rsidP="00D45A46">
      <w:pPr>
        <w:jc w:val="both"/>
        <w:rPr>
          <w:bCs/>
          <w:i/>
          <w:color w:val="002060"/>
          <w:sz w:val="16"/>
          <w:szCs w:val="16"/>
        </w:rPr>
      </w:pPr>
      <w:r w:rsidRPr="00DE096C">
        <w:rPr>
          <w:bCs/>
          <w:i/>
          <w:color w:val="002060"/>
          <w:sz w:val="16"/>
          <w:szCs w:val="16"/>
        </w:rPr>
        <w:t>За рубежом:</w:t>
      </w:r>
    </w:p>
    <w:p w14:paraId="5D5A4857" w14:textId="77777777" w:rsidR="00A408B9" w:rsidRPr="00DE096C" w:rsidRDefault="00A408B9" w:rsidP="00D45A46">
      <w:pPr>
        <w:jc w:val="both"/>
        <w:rPr>
          <w:bCs/>
          <w:color w:val="002060"/>
          <w:sz w:val="16"/>
          <w:szCs w:val="16"/>
        </w:rPr>
      </w:pPr>
    </w:p>
    <w:p w14:paraId="6B9623CB" w14:textId="77777777" w:rsidR="00A408B9" w:rsidRPr="00DE096C" w:rsidRDefault="00A408B9" w:rsidP="00D45A46">
      <w:pPr>
        <w:jc w:val="both"/>
        <w:rPr>
          <w:bCs/>
          <w:color w:val="002060"/>
          <w:sz w:val="16"/>
          <w:szCs w:val="16"/>
        </w:rPr>
      </w:pPr>
      <w:r w:rsidRPr="00DE096C">
        <w:rPr>
          <w:rStyle w:val="ucoz-forum-post"/>
          <w:rFonts w:eastAsiaTheme="majorEastAsia"/>
          <w:bCs/>
          <w:color w:val="002060"/>
          <w:sz w:val="16"/>
          <w:szCs w:val="16"/>
        </w:rPr>
        <w:t xml:space="preserve">7 (20) октября </w:t>
      </w:r>
      <w:r w:rsidRPr="00DE096C">
        <w:rPr>
          <w:bCs/>
          <w:color w:val="002060"/>
          <w:sz w:val="16"/>
          <w:szCs w:val="16"/>
        </w:rPr>
        <w:t>в 1914 году подлодка «U-17» топит у берегов Норвегии английский пароход «Глитра», но предоставляет возможность команде спастись, как того требуют нормы международного права (14805).</w:t>
      </w:r>
    </w:p>
    <w:p w14:paraId="79E81C0D" w14:textId="052734D5" w:rsidR="00A408B9" w:rsidRPr="00DE096C" w:rsidRDefault="00A408B9" w:rsidP="00D45A46">
      <w:pPr>
        <w:jc w:val="both"/>
        <w:rPr>
          <w:bCs/>
          <w:color w:val="002060"/>
          <w:sz w:val="16"/>
          <w:szCs w:val="16"/>
        </w:rPr>
      </w:pPr>
    </w:p>
    <w:p w14:paraId="4C227538" w14:textId="3987908B" w:rsidR="00EC5972" w:rsidRPr="00DE096C" w:rsidRDefault="00EC5972" w:rsidP="00D45A46">
      <w:pPr>
        <w:jc w:val="both"/>
        <w:rPr>
          <w:bCs/>
          <w:i/>
          <w:iCs/>
          <w:color w:val="002060"/>
          <w:sz w:val="16"/>
          <w:szCs w:val="16"/>
        </w:rPr>
      </w:pPr>
      <w:r w:rsidRPr="00DE096C">
        <w:rPr>
          <w:bCs/>
          <w:i/>
          <w:iCs/>
          <w:color w:val="002060"/>
          <w:sz w:val="16"/>
          <w:szCs w:val="16"/>
        </w:rPr>
        <w:t>Авиация:</w:t>
      </w:r>
    </w:p>
    <w:p w14:paraId="19DEB1BA" w14:textId="77777777" w:rsidR="00EC5972" w:rsidRPr="00DE096C" w:rsidRDefault="00EC5972" w:rsidP="00D45A46">
      <w:pPr>
        <w:jc w:val="both"/>
        <w:rPr>
          <w:bCs/>
          <w:i/>
          <w:iCs/>
          <w:color w:val="002060"/>
          <w:sz w:val="16"/>
          <w:szCs w:val="16"/>
        </w:rPr>
      </w:pPr>
    </w:p>
    <w:p w14:paraId="5C637562" w14:textId="1FCC5E0C" w:rsidR="00EC5972" w:rsidRPr="00DE096C" w:rsidRDefault="00EC5972" w:rsidP="00D45A46">
      <w:pPr>
        <w:shd w:val="clear" w:color="auto" w:fill="FFFFFF"/>
        <w:jc w:val="both"/>
        <w:rPr>
          <w:bCs/>
          <w:color w:val="002060"/>
          <w:sz w:val="16"/>
          <w:szCs w:val="16"/>
        </w:rPr>
      </w:pPr>
      <w:r w:rsidRPr="00DE096C">
        <w:rPr>
          <w:bCs/>
          <w:color w:val="002060"/>
          <w:sz w:val="16"/>
          <w:szCs w:val="16"/>
        </w:rPr>
        <w:t>В первые дни октября 1914 г. адмирал А. Эбергард получил шифровку Верховного Главнокомандующего генерала от инфантерии великого князя Николая Николаевича-старше</w:t>
      </w:r>
      <w:r w:rsidRPr="00DE096C">
        <w:rPr>
          <w:bCs/>
          <w:color w:val="002060"/>
          <w:sz w:val="16"/>
          <w:szCs w:val="16"/>
        </w:rPr>
        <w:softHyphen/>
        <w:t>го, запретившего искать встречи с неприятелем. Вступать в бое</w:t>
      </w:r>
      <w:r w:rsidRPr="00DE096C">
        <w:rPr>
          <w:bCs/>
          <w:color w:val="002060"/>
          <w:sz w:val="16"/>
          <w:szCs w:val="16"/>
        </w:rPr>
        <w:softHyphen/>
        <w:t>вое столкновение с ним разрешалось только в случае крайней необходимости. Это сковало инициативу флотоводца. Более того, из-за окутавшего прибрежные воды тумана, утром 16 (29) ок</w:t>
      </w:r>
      <w:r w:rsidRPr="00DE096C">
        <w:rPr>
          <w:bCs/>
          <w:color w:val="002060"/>
          <w:sz w:val="16"/>
          <w:szCs w:val="16"/>
        </w:rPr>
        <w:softHyphen/>
        <w:t>тября 1914 г. было разрешено воздушную разведку произвести позже обычного времени.</w:t>
      </w:r>
    </w:p>
    <w:p w14:paraId="6E9B0F15" w14:textId="77777777" w:rsidR="00EC5972" w:rsidRPr="00DE096C" w:rsidRDefault="00EC5972" w:rsidP="00D45A46">
      <w:pPr>
        <w:shd w:val="clear" w:color="auto" w:fill="FFFFFF"/>
        <w:jc w:val="both"/>
        <w:rPr>
          <w:bCs/>
          <w:color w:val="002060"/>
          <w:sz w:val="16"/>
          <w:szCs w:val="16"/>
        </w:rPr>
      </w:pPr>
      <w:r w:rsidRPr="00DE096C">
        <w:rPr>
          <w:bCs/>
          <w:color w:val="002060"/>
          <w:sz w:val="16"/>
          <w:szCs w:val="16"/>
        </w:rPr>
        <w:t>Дальнейшие события развивались так. В 06.33 линейный крейсер «Гебен», оказавшийся в 40 кабельтовых от Севастопо</w:t>
      </w:r>
      <w:r w:rsidRPr="00DE096C">
        <w:rPr>
          <w:bCs/>
          <w:color w:val="002060"/>
          <w:sz w:val="16"/>
          <w:szCs w:val="16"/>
        </w:rPr>
        <w:softHyphen/>
        <w:t>ля мористей Херсонесского маяка, на малом ходу повернул на норд-ост и правым бортом открыл артогонь из 280- и 150-мм орудий. В течение 17 минут он выстрелил по городу 47 снаря</w:t>
      </w:r>
      <w:r w:rsidRPr="00DE096C">
        <w:rPr>
          <w:bCs/>
          <w:color w:val="002060"/>
          <w:sz w:val="16"/>
          <w:szCs w:val="16"/>
        </w:rPr>
        <w:softHyphen/>
        <w:t>дов главного и по берегу 12 снарядов вспомогательного калиб</w:t>
      </w:r>
      <w:r w:rsidRPr="00DE096C">
        <w:rPr>
          <w:bCs/>
          <w:color w:val="002060"/>
          <w:sz w:val="16"/>
          <w:szCs w:val="16"/>
        </w:rPr>
        <w:softHyphen/>
        <w:t>ров. Первые рвались преимущественно на территориях Морс</w:t>
      </w:r>
      <w:r w:rsidRPr="00DE096C">
        <w:rPr>
          <w:bCs/>
          <w:color w:val="002060"/>
          <w:sz w:val="16"/>
          <w:szCs w:val="16"/>
        </w:rPr>
        <w:softHyphen/>
        <w:t>кого госпиталя, Угольной пристани и возле них. Причиненный ущерб был невелик. Вторые попали в береговую батарею, по</w:t>
      </w:r>
      <w:r w:rsidRPr="00DE096C">
        <w:rPr>
          <w:bCs/>
          <w:color w:val="002060"/>
          <w:sz w:val="16"/>
          <w:szCs w:val="16"/>
        </w:rPr>
        <w:softHyphen/>
        <w:t>вредили два орудия и вызвали людские жертвы.</w:t>
      </w:r>
    </w:p>
    <w:p w14:paraId="4D9E9AB4" w14:textId="77777777" w:rsidR="00EC5972" w:rsidRPr="00DE096C" w:rsidRDefault="00EC5972" w:rsidP="00D45A46">
      <w:pPr>
        <w:shd w:val="clear" w:color="auto" w:fill="FFFFFF"/>
        <w:jc w:val="both"/>
        <w:rPr>
          <w:bCs/>
          <w:color w:val="002060"/>
          <w:sz w:val="16"/>
          <w:szCs w:val="16"/>
        </w:rPr>
      </w:pPr>
      <w:r w:rsidRPr="00DE096C">
        <w:rPr>
          <w:bCs/>
          <w:color w:val="002060"/>
          <w:sz w:val="16"/>
          <w:szCs w:val="16"/>
        </w:rPr>
        <w:t>Ответную стрельбу по противнику вели десять береговых батарей крупных и средних калибров Северного и Южного отделов Севастопольской крепости Военного министерства. Кроме того, в условиях тумана над бухтой три выстрела по врагу сделали комендоры брандвахтенного броненосца «Геор</w:t>
      </w:r>
      <w:r w:rsidRPr="00DE096C">
        <w:rPr>
          <w:bCs/>
          <w:color w:val="002060"/>
          <w:sz w:val="16"/>
          <w:szCs w:val="16"/>
        </w:rPr>
        <w:softHyphen/>
        <w:t>гий Победоносец». Крепостная артиллерия израсходовала 357 снарядов.</w:t>
      </w:r>
    </w:p>
    <w:p w14:paraId="58A1D1D1" w14:textId="77777777" w:rsidR="00EC5972" w:rsidRPr="00DE096C" w:rsidRDefault="00EC5972" w:rsidP="00D45A46">
      <w:pPr>
        <w:shd w:val="clear" w:color="auto" w:fill="FFFFFF"/>
        <w:jc w:val="both"/>
        <w:rPr>
          <w:bCs/>
          <w:color w:val="002060"/>
          <w:sz w:val="16"/>
          <w:szCs w:val="16"/>
        </w:rPr>
      </w:pPr>
      <w:r w:rsidRPr="00DE096C">
        <w:rPr>
          <w:bCs/>
          <w:color w:val="002060"/>
          <w:sz w:val="16"/>
          <w:szCs w:val="16"/>
        </w:rPr>
        <w:t>Из-за отсутствия централизованного управления стрельбой батарей в «Гебен» попало лишь три снаряда. Они взорвались около задней дымовой трубы и причинили незначительные повреждения, но потери в живой силе были немалыми. Крей</w:t>
      </w:r>
      <w:r w:rsidRPr="00DE096C">
        <w:rPr>
          <w:bCs/>
          <w:color w:val="002060"/>
          <w:sz w:val="16"/>
          <w:szCs w:val="16"/>
        </w:rPr>
        <w:softHyphen/>
        <w:t>сер резко повернул влево, увеличил скорость хода и на зигзаге вышел из-под обстрела. Сопровождавшие его миноносцы уб</w:t>
      </w:r>
      <w:r w:rsidRPr="00DE096C">
        <w:rPr>
          <w:bCs/>
          <w:color w:val="002060"/>
          <w:sz w:val="16"/>
          <w:szCs w:val="16"/>
        </w:rPr>
        <w:softHyphen/>
        <w:t>рали минные тралы и удалились прочь.</w:t>
      </w:r>
    </w:p>
    <w:p w14:paraId="52FB2461" w14:textId="77777777" w:rsidR="00EC5972" w:rsidRPr="00DE096C" w:rsidRDefault="00EC5972" w:rsidP="00D45A46">
      <w:pPr>
        <w:shd w:val="clear" w:color="auto" w:fill="FFFFFF"/>
        <w:jc w:val="both"/>
        <w:rPr>
          <w:bCs/>
          <w:color w:val="002060"/>
          <w:sz w:val="16"/>
          <w:szCs w:val="16"/>
        </w:rPr>
      </w:pPr>
      <w:r w:rsidRPr="00DE096C">
        <w:rPr>
          <w:bCs/>
          <w:color w:val="002060"/>
          <w:sz w:val="16"/>
          <w:szCs w:val="16"/>
        </w:rPr>
        <w:t>В обстановке растерянности и неразберихи приказание о проведении воздушной разведки противника исполнители по</w:t>
      </w:r>
      <w:r w:rsidRPr="00DE096C">
        <w:rPr>
          <w:bCs/>
          <w:color w:val="002060"/>
          <w:sz w:val="16"/>
          <w:szCs w:val="16"/>
        </w:rPr>
        <w:softHyphen/>
        <w:t>лучили с опозданием. Первым в 07.03 вылет совершил пилот резервного отряда мичман Борис Светухин, возвратившийся на авиастанцию спустя 25 минут. Он доложил об увиденном на траверзе мыса Херсонес вражеском крейсере, ведущем об</w:t>
      </w:r>
      <w:r w:rsidRPr="00DE096C">
        <w:rPr>
          <w:bCs/>
          <w:color w:val="002060"/>
          <w:sz w:val="16"/>
          <w:szCs w:val="16"/>
        </w:rPr>
        <w:softHyphen/>
        <w:t>стрел города. Следующим полетел туда лейтенант Александр Тюфяев, доложивший о наблюдении трех залпов крейсера и обнаруженных вдали миноносцах. Затем опытный пилот вы</w:t>
      </w:r>
      <w:r w:rsidRPr="00DE096C">
        <w:rPr>
          <w:bCs/>
          <w:color w:val="002060"/>
          <w:sz w:val="16"/>
          <w:szCs w:val="16"/>
        </w:rPr>
        <w:softHyphen/>
        <w:t>летел повторно и сообщил уточненные сведения.</w:t>
      </w:r>
    </w:p>
    <w:p w14:paraId="07AF74D5" w14:textId="77777777" w:rsidR="00EC5972" w:rsidRPr="00DE096C" w:rsidRDefault="00EC5972" w:rsidP="00D45A46">
      <w:pPr>
        <w:shd w:val="clear" w:color="auto" w:fill="FFFFFF"/>
        <w:jc w:val="both"/>
        <w:rPr>
          <w:bCs/>
          <w:color w:val="002060"/>
          <w:sz w:val="16"/>
          <w:szCs w:val="16"/>
        </w:rPr>
      </w:pPr>
      <w:r w:rsidRPr="00DE096C">
        <w:rPr>
          <w:bCs/>
          <w:color w:val="002060"/>
          <w:sz w:val="16"/>
          <w:szCs w:val="16"/>
        </w:rPr>
        <w:t>В 07.30 и 08.00 вылеты на разведку совершили пилоты бое</w:t>
      </w:r>
      <w:r w:rsidRPr="00DE096C">
        <w:rPr>
          <w:bCs/>
          <w:color w:val="002060"/>
          <w:sz w:val="16"/>
          <w:szCs w:val="16"/>
        </w:rPr>
        <w:softHyphen/>
        <w:t>вых отрядов мичман Николай Рагозин и лейтенант Виктори-ан Качинский, обнаружившие уходящего на зюйд-вест против</w:t>
      </w:r>
      <w:r w:rsidRPr="00DE096C">
        <w:rPr>
          <w:bCs/>
          <w:color w:val="002060"/>
          <w:sz w:val="16"/>
          <w:szCs w:val="16"/>
        </w:rPr>
        <w:softHyphen/>
        <w:t>ника в 50-60 милях от Херсонесского маяка. А поблизости от него, они видели наши дозорные эсминцы, один из них был поврежден во время сорванной врагом попытки выйти в тор</w:t>
      </w:r>
      <w:r w:rsidRPr="00DE096C">
        <w:rPr>
          <w:bCs/>
          <w:color w:val="002060"/>
          <w:sz w:val="16"/>
          <w:szCs w:val="16"/>
        </w:rPr>
        <w:softHyphen/>
        <w:t>педную атаку. От места затопления командой минного загра</w:t>
      </w:r>
      <w:r w:rsidRPr="00DE096C">
        <w:rPr>
          <w:bCs/>
          <w:color w:val="002060"/>
          <w:sz w:val="16"/>
          <w:szCs w:val="16"/>
        </w:rPr>
        <w:softHyphen/>
        <w:t>дителя «Прут», подожженного артогнем противника у Фио-лента, летчики находились далеко и этого трагического факта не заметили.</w:t>
      </w:r>
    </w:p>
    <w:p w14:paraId="7121CFD1" w14:textId="77777777" w:rsidR="00EC5972" w:rsidRPr="00DE096C" w:rsidRDefault="00EC5972" w:rsidP="00D45A46">
      <w:pPr>
        <w:shd w:val="clear" w:color="auto" w:fill="FFFFFF"/>
        <w:jc w:val="both"/>
        <w:rPr>
          <w:bCs/>
          <w:color w:val="002060"/>
          <w:sz w:val="16"/>
          <w:szCs w:val="16"/>
        </w:rPr>
      </w:pPr>
      <w:r w:rsidRPr="00DE096C">
        <w:rPr>
          <w:bCs/>
          <w:color w:val="002060"/>
          <w:sz w:val="16"/>
          <w:szCs w:val="16"/>
        </w:rPr>
        <w:t>Затем в течение полутора часов в полеты разными маршру</w:t>
      </w:r>
      <w:r w:rsidRPr="00DE096C">
        <w:rPr>
          <w:bCs/>
          <w:color w:val="002060"/>
          <w:sz w:val="16"/>
          <w:szCs w:val="16"/>
        </w:rPr>
        <w:softHyphen/>
        <w:t>тами отправлялись лейтенант Евгений Коведяев, мичманы Бо</w:t>
      </w:r>
      <w:r w:rsidRPr="00DE096C">
        <w:rPr>
          <w:bCs/>
          <w:color w:val="002060"/>
          <w:sz w:val="16"/>
          <w:szCs w:val="16"/>
        </w:rPr>
        <w:softHyphen/>
        <w:t>рис Миклашевский, Георгий Корнилович и Константин Лама-нов. Днем состоялось еще семь полетов. Полученные сведения использовались для контроля за изменением обстановки. Около 17.00 последним в разведку повторно вылетел начальник 2-го боевого отряда лейтенант Виктор Утгоф, обнаруживший при</w:t>
      </w:r>
      <w:r w:rsidRPr="00DE096C">
        <w:rPr>
          <w:bCs/>
          <w:color w:val="002060"/>
          <w:sz w:val="16"/>
          <w:szCs w:val="16"/>
        </w:rPr>
        <w:softHyphen/>
        <w:t>мерно в 45 милях западней Херсонесского маяка неприятель</w:t>
      </w:r>
      <w:r w:rsidRPr="00DE096C">
        <w:rPr>
          <w:bCs/>
          <w:color w:val="002060"/>
          <w:sz w:val="16"/>
          <w:szCs w:val="16"/>
        </w:rPr>
        <w:softHyphen/>
        <w:t>ский миноносец. Об этом пилот сообщил условным сигналом на флагкорабль эскадры, шедшей мимо Лукулльского мыса в северном направлении.</w:t>
      </w:r>
    </w:p>
    <w:p w14:paraId="392E66DC" w14:textId="77777777" w:rsidR="00EC5972" w:rsidRPr="00DE096C" w:rsidRDefault="00EC5972" w:rsidP="00D45A46">
      <w:pPr>
        <w:shd w:val="clear" w:color="auto" w:fill="FFFFFF"/>
        <w:jc w:val="both"/>
        <w:rPr>
          <w:bCs/>
          <w:color w:val="002060"/>
          <w:sz w:val="16"/>
          <w:szCs w:val="16"/>
        </w:rPr>
      </w:pPr>
      <w:r w:rsidRPr="00DE096C">
        <w:rPr>
          <w:bCs/>
          <w:color w:val="002060"/>
          <w:sz w:val="16"/>
          <w:szCs w:val="16"/>
        </w:rPr>
        <w:t>Таким образом, 16 (29) октября 1914 года одиннадцать черно</w:t>
      </w:r>
      <w:r w:rsidRPr="00DE096C">
        <w:rPr>
          <w:bCs/>
          <w:color w:val="002060"/>
          <w:sz w:val="16"/>
          <w:szCs w:val="16"/>
        </w:rPr>
        <w:softHyphen/>
        <w:t>морских летчиков совершили шестнадцать разведывательных полетов (Тюфяев - три, Светухин, Рагозин, Утгоф - по два). Иначе говоря, тогда в истории отечественного флота впервые была осуществлена воздушная разведывательная операция, но полученную информацию командование использовало пас</w:t>
      </w:r>
      <w:r w:rsidRPr="00DE096C">
        <w:rPr>
          <w:bCs/>
          <w:color w:val="002060"/>
          <w:sz w:val="16"/>
          <w:szCs w:val="16"/>
        </w:rPr>
        <w:softHyphen/>
        <w:t>сивно (11283).</w:t>
      </w:r>
    </w:p>
    <w:p w14:paraId="442CC8FC" w14:textId="77777777" w:rsidR="00EC5972" w:rsidRPr="00DE096C" w:rsidRDefault="00EC5972" w:rsidP="00D45A46">
      <w:pPr>
        <w:shd w:val="clear" w:color="auto" w:fill="FFFFFF"/>
        <w:jc w:val="both"/>
        <w:rPr>
          <w:bCs/>
          <w:i/>
          <w:color w:val="002060"/>
          <w:sz w:val="16"/>
          <w:szCs w:val="16"/>
        </w:rPr>
      </w:pPr>
    </w:p>
    <w:p w14:paraId="588921EC" w14:textId="77777777" w:rsidR="008D412F" w:rsidRPr="00DE096C" w:rsidRDefault="008D412F" w:rsidP="00D45A46">
      <w:pPr>
        <w:jc w:val="both"/>
        <w:rPr>
          <w:bCs/>
          <w:i/>
          <w:color w:val="002060"/>
          <w:sz w:val="16"/>
          <w:szCs w:val="16"/>
        </w:rPr>
      </w:pPr>
      <w:r w:rsidRPr="00DE096C">
        <w:rPr>
          <w:bCs/>
          <w:i/>
          <w:color w:val="002060"/>
          <w:sz w:val="16"/>
          <w:szCs w:val="16"/>
        </w:rPr>
        <w:t>Авиация и воздухоплавание Германии:</w:t>
      </w:r>
    </w:p>
    <w:p w14:paraId="1FE736AC" w14:textId="77777777" w:rsidR="008D412F" w:rsidRPr="00DE096C" w:rsidRDefault="008D412F" w:rsidP="00D45A46">
      <w:pPr>
        <w:jc w:val="both"/>
        <w:rPr>
          <w:bCs/>
          <w:i/>
          <w:color w:val="002060"/>
          <w:sz w:val="16"/>
          <w:szCs w:val="16"/>
        </w:rPr>
      </w:pPr>
    </w:p>
    <w:p w14:paraId="04293975" w14:textId="05ED5E5B" w:rsidR="008D412F" w:rsidRPr="00DE096C" w:rsidRDefault="008D412F" w:rsidP="00D45A46">
      <w:pPr>
        <w:jc w:val="both"/>
        <w:rPr>
          <w:bCs/>
          <w:color w:val="002060"/>
          <w:sz w:val="16"/>
          <w:szCs w:val="16"/>
        </w:rPr>
      </w:pPr>
      <w:r w:rsidRPr="00DE096C">
        <w:rPr>
          <w:bCs/>
          <w:color w:val="002060"/>
          <w:sz w:val="16"/>
          <w:szCs w:val="16"/>
        </w:rPr>
        <w:t xml:space="preserve">В начале октября 1914 года, во время осады Антверпена </w:t>
      </w:r>
      <w:r w:rsidR="008E194C" w:rsidRPr="00DE096C">
        <w:rPr>
          <w:bCs/>
          <w:color w:val="002060"/>
          <w:sz w:val="16"/>
          <w:szCs w:val="16"/>
        </w:rPr>
        <w:t>Эрнест Леман, уже достаточно опытный пилот воздушных кораблей, который начал войну, командуя армейским цеппелином,</w:t>
      </w:r>
      <w:r w:rsidRPr="00DE096C">
        <w:rPr>
          <w:bCs/>
          <w:color w:val="002060"/>
          <w:sz w:val="16"/>
          <w:szCs w:val="16"/>
        </w:rPr>
        <w:t xml:space="preserve"> успешно осуществил ночную бомбардировку этого важного морского порта на бельгийском побережье. Он говорил, что его цеппелин довоенной постройки был не совсем пригоден для выполнения боевых задач. Только в январе 1915 года Леман получил Z-XII, новенький дирижабль, построенный компанией Цеппелина. </w:t>
      </w:r>
    </w:p>
    <w:p w14:paraId="3C8DF03B" w14:textId="77777777" w:rsidR="008D412F" w:rsidRPr="00DE096C" w:rsidRDefault="008D412F" w:rsidP="00D45A46">
      <w:pPr>
        <w:jc w:val="both"/>
        <w:rPr>
          <w:bCs/>
          <w:color w:val="002060"/>
          <w:sz w:val="16"/>
          <w:szCs w:val="16"/>
        </w:rPr>
      </w:pPr>
      <w:r w:rsidRPr="00DE096C">
        <w:rPr>
          <w:bCs/>
          <w:color w:val="002060"/>
          <w:sz w:val="16"/>
          <w:szCs w:val="16"/>
        </w:rPr>
        <w:t>В конструкцию Z-XII было внесено большое количество улучшений, учитывающих опыт боевых [147] действий. Среди них было и применение более эффективного кормового воздушного винта, который позволил достичь максимальной скорости в 100 км/ч. Впервые в конструкции каркаса использовался дюралюминий, более прочный металл и лишь немного тяжелее, чем алюминий. В дальнейшем этот сплав широко использовался в конструкции всех последующих цеппелинов (11324).</w:t>
      </w:r>
    </w:p>
    <w:p w14:paraId="2C45E026" w14:textId="77777777" w:rsidR="008D412F" w:rsidRPr="00DE096C" w:rsidRDefault="008D412F" w:rsidP="00D45A46">
      <w:pPr>
        <w:jc w:val="both"/>
        <w:rPr>
          <w:bCs/>
          <w:i/>
          <w:color w:val="002060"/>
          <w:sz w:val="16"/>
          <w:szCs w:val="16"/>
        </w:rPr>
      </w:pPr>
    </w:p>
    <w:p w14:paraId="0FB4EE0B" w14:textId="77777777" w:rsidR="00B67D7C" w:rsidRPr="00DE096C" w:rsidRDefault="00B67D7C" w:rsidP="00D45A46">
      <w:pPr>
        <w:jc w:val="both"/>
        <w:rPr>
          <w:bCs/>
          <w:i/>
          <w:color w:val="002060"/>
          <w:sz w:val="16"/>
          <w:szCs w:val="16"/>
        </w:rPr>
      </w:pPr>
      <w:r w:rsidRPr="00DE096C">
        <w:rPr>
          <w:bCs/>
          <w:i/>
          <w:color w:val="002060"/>
          <w:sz w:val="16"/>
          <w:szCs w:val="16"/>
        </w:rPr>
        <w:lastRenderedPageBreak/>
        <w:t>За рубежом:</w:t>
      </w:r>
    </w:p>
    <w:p w14:paraId="2B1CE67A" w14:textId="77777777" w:rsidR="00B67D7C" w:rsidRPr="00DE096C" w:rsidRDefault="00B67D7C" w:rsidP="00D45A46">
      <w:pPr>
        <w:jc w:val="both"/>
        <w:rPr>
          <w:bCs/>
          <w:i/>
          <w:color w:val="002060"/>
          <w:sz w:val="16"/>
          <w:szCs w:val="16"/>
        </w:rPr>
      </w:pPr>
    </w:p>
    <w:p w14:paraId="0EC29EEE" w14:textId="5853D2AB" w:rsidR="00B67D7C" w:rsidRPr="00DE096C" w:rsidRDefault="00B67D7C" w:rsidP="00D45A46">
      <w:pPr>
        <w:jc w:val="both"/>
        <w:rPr>
          <w:bCs/>
          <w:color w:val="002060"/>
          <w:sz w:val="16"/>
          <w:szCs w:val="16"/>
        </w:rPr>
      </w:pPr>
      <w:r w:rsidRPr="00DE096C">
        <w:rPr>
          <w:bCs/>
          <w:color w:val="002060"/>
          <w:sz w:val="16"/>
          <w:szCs w:val="16"/>
        </w:rPr>
        <w:t>7</w:t>
      </w:r>
      <w:r w:rsidR="008E194C" w:rsidRPr="00DE096C">
        <w:rPr>
          <w:bCs/>
          <w:color w:val="002060"/>
          <w:sz w:val="16"/>
          <w:szCs w:val="16"/>
        </w:rPr>
        <w:t xml:space="preserve"> </w:t>
      </w:r>
      <w:r w:rsidRPr="00DE096C">
        <w:rPr>
          <w:bCs/>
          <w:color w:val="002060"/>
          <w:sz w:val="16"/>
          <w:szCs w:val="16"/>
        </w:rPr>
        <w:t>(20)</w:t>
      </w:r>
      <w:r w:rsidR="008E194C" w:rsidRPr="00DE096C">
        <w:rPr>
          <w:bCs/>
          <w:color w:val="002060"/>
          <w:sz w:val="16"/>
          <w:szCs w:val="16"/>
        </w:rPr>
        <w:t xml:space="preserve"> октября </w:t>
      </w:r>
      <w:r w:rsidRPr="00DE096C">
        <w:rPr>
          <w:bCs/>
          <w:color w:val="002060"/>
          <w:sz w:val="16"/>
          <w:szCs w:val="16"/>
        </w:rPr>
        <w:t>1914 года</w:t>
      </w:r>
      <w:r w:rsidR="009F28AE" w:rsidRPr="00DE096C">
        <w:rPr>
          <w:bCs/>
          <w:color w:val="002060"/>
          <w:sz w:val="16"/>
          <w:szCs w:val="16"/>
        </w:rPr>
        <w:t xml:space="preserve"> Помощник секретаря Комитета Имперской обороны подполковник-сапёр Эрнест Д. Свинтон по возвращении из Франции, где выполнял обязанности официального военного корреспондента в британской экспедиционной армии, в частной беседе</w:t>
      </w:r>
      <w:r w:rsidRPr="00DE096C">
        <w:rPr>
          <w:bCs/>
          <w:color w:val="002060"/>
          <w:sz w:val="16"/>
          <w:szCs w:val="16"/>
        </w:rPr>
        <w:t xml:space="preserve"> с подполковником Морисом Хэнки, секретарём Комитета Имперской обороны, высказал мысль о целесообразности создания «гусеничных истребителей пулемётов» на базе тракторов «Holt» (12111).</w:t>
      </w:r>
    </w:p>
    <w:p w14:paraId="5B57C44F" w14:textId="77777777" w:rsidR="00B67D7C" w:rsidRPr="00DE096C" w:rsidRDefault="00B67D7C" w:rsidP="00D45A46">
      <w:pPr>
        <w:jc w:val="both"/>
        <w:rPr>
          <w:bCs/>
          <w:color w:val="002060"/>
          <w:sz w:val="16"/>
          <w:szCs w:val="16"/>
        </w:rPr>
      </w:pPr>
    </w:p>
    <w:p w14:paraId="7F45204C" w14:textId="22848C5B" w:rsidR="00B67D7C" w:rsidRPr="00DE096C" w:rsidRDefault="00B67D7C" w:rsidP="00D45A46">
      <w:pPr>
        <w:jc w:val="both"/>
        <w:rPr>
          <w:bCs/>
          <w:color w:val="002060"/>
          <w:sz w:val="16"/>
          <w:szCs w:val="16"/>
        </w:rPr>
      </w:pPr>
      <w:r w:rsidRPr="00DE096C">
        <w:rPr>
          <w:bCs/>
          <w:color w:val="002060"/>
          <w:sz w:val="16"/>
          <w:szCs w:val="16"/>
        </w:rPr>
        <w:t>7 (20)</w:t>
      </w:r>
      <w:r w:rsidR="009F28AE" w:rsidRPr="00DE096C">
        <w:rPr>
          <w:bCs/>
          <w:color w:val="002060"/>
          <w:sz w:val="16"/>
          <w:szCs w:val="16"/>
        </w:rPr>
        <w:t xml:space="preserve"> октября </w:t>
      </w:r>
      <w:r w:rsidRPr="00DE096C">
        <w:rPr>
          <w:bCs/>
          <w:color w:val="002060"/>
          <w:sz w:val="16"/>
          <w:szCs w:val="16"/>
        </w:rPr>
        <w:t xml:space="preserve">1914 года </w:t>
      </w:r>
      <w:r w:rsidR="009F28AE" w:rsidRPr="00DE096C">
        <w:rPr>
          <w:bCs/>
          <w:color w:val="002060"/>
          <w:sz w:val="16"/>
          <w:szCs w:val="16"/>
        </w:rPr>
        <w:t xml:space="preserve">помощник секретаря Комитета Имперской обороны подполковник-сапёр Эрнест Д. Свинтон после возвращения из Франции, где выполнял обязанности официального военного корреспондента в британской экспедиционной армии, в частной беседе </w:t>
      </w:r>
      <w:r w:rsidRPr="00DE096C">
        <w:rPr>
          <w:bCs/>
          <w:color w:val="002060"/>
          <w:sz w:val="16"/>
          <w:szCs w:val="16"/>
        </w:rPr>
        <w:t>с подполковником Морисом Хэнки, секретарем Комитета Имперской обороны, высказал мысль о целесообразности создания «гусеничных истребителей пулемётов» на базе американских тракторов «Holt», используемых на фронте в качестве арттягачей. Ещё раз скажем — на тот момент суть этой идеи висела в воздухе, не было офицерской столовой, в которой не интерпретировали бы её и не обсуждали реализацию в той или иной форме. Хэнки подготовил к Рождеству соответствующий меморандум и распространил его среди членов Комитета, в частности, направил Первому лорду Адмиралтейства Уинстону Черчиллю, а также премьер-министру Асквиту. Прохождение идеи по армейским каналам, через Генеральный штаб, Госсекретаря по военным делам (военного министра) лорда Китченера, премьера Асквита, при активной, что не случайно, поддержке Черчилля вылилось в организацию комиссии в составе директоров департаментов фортификации, артиллерии и транспорта для проверки предложения Свинтона. 17. 02. 1915 года комиссия испытала «Holt» в весьма неблагоприятных для него условиях и сделала неутешительные выводы. На том всё и закончилось (12111).</w:t>
      </w:r>
    </w:p>
    <w:p w14:paraId="19F50A7C" w14:textId="77777777" w:rsidR="00B67D7C" w:rsidRPr="00DE096C" w:rsidRDefault="00B67D7C" w:rsidP="00D45A46">
      <w:pPr>
        <w:jc w:val="both"/>
        <w:rPr>
          <w:bCs/>
          <w:color w:val="002060"/>
          <w:sz w:val="16"/>
          <w:szCs w:val="16"/>
        </w:rPr>
      </w:pPr>
    </w:p>
    <w:p w14:paraId="689FE8B9" w14:textId="77777777" w:rsidR="00B67D7C" w:rsidRPr="00DE096C" w:rsidRDefault="00B67D7C" w:rsidP="00D45A46">
      <w:pPr>
        <w:jc w:val="both"/>
        <w:rPr>
          <w:bCs/>
          <w:i/>
          <w:color w:val="002060"/>
          <w:sz w:val="16"/>
          <w:szCs w:val="16"/>
        </w:rPr>
      </w:pPr>
      <w:r w:rsidRPr="00DE096C">
        <w:rPr>
          <w:bCs/>
          <w:i/>
          <w:color w:val="002060"/>
          <w:sz w:val="16"/>
          <w:szCs w:val="16"/>
        </w:rPr>
        <w:t>Самолетостроение:</w:t>
      </w:r>
    </w:p>
    <w:p w14:paraId="59AFEB74" w14:textId="77777777" w:rsidR="00B67D7C" w:rsidRPr="00DE096C" w:rsidRDefault="00B67D7C" w:rsidP="00D45A46">
      <w:pPr>
        <w:jc w:val="both"/>
        <w:rPr>
          <w:bCs/>
          <w:i/>
          <w:color w:val="002060"/>
          <w:sz w:val="16"/>
          <w:szCs w:val="16"/>
        </w:rPr>
      </w:pPr>
    </w:p>
    <w:p w14:paraId="4CE8B0B5" w14:textId="54808FC3" w:rsidR="00B67D7C" w:rsidRPr="00DE096C" w:rsidRDefault="009F28AE" w:rsidP="00D45A46">
      <w:pPr>
        <w:shd w:val="clear" w:color="auto" w:fill="FFFFFF"/>
        <w:jc w:val="both"/>
        <w:rPr>
          <w:bCs/>
          <w:color w:val="002060"/>
          <w:sz w:val="16"/>
          <w:szCs w:val="16"/>
        </w:rPr>
      </w:pPr>
      <w:r w:rsidRPr="00DE096C">
        <w:rPr>
          <w:bCs/>
          <w:color w:val="002060"/>
          <w:sz w:val="16"/>
          <w:szCs w:val="16"/>
        </w:rPr>
        <w:t>8</w:t>
      </w:r>
      <w:r w:rsidR="00B67D7C" w:rsidRPr="00DE096C">
        <w:rPr>
          <w:bCs/>
          <w:color w:val="002060"/>
          <w:sz w:val="16"/>
          <w:szCs w:val="16"/>
        </w:rPr>
        <w:t xml:space="preserve"> (21) октября </w:t>
      </w:r>
      <w:r w:rsidRPr="00DE096C">
        <w:rPr>
          <w:bCs/>
          <w:color w:val="002060"/>
          <w:sz w:val="16"/>
          <w:szCs w:val="16"/>
        </w:rPr>
        <w:t xml:space="preserve">1914 г. </w:t>
      </w:r>
      <w:r w:rsidR="00B67D7C" w:rsidRPr="00DE096C">
        <w:rPr>
          <w:bCs/>
          <w:color w:val="002060"/>
          <w:sz w:val="16"/>
          <w:szCs w:val="16"/>
        </w:rPr>
        <w:t xml:space="preserve">четыре мотора «Гном-Моносупап» по 100 л. с. каждый отправили на завод (двигатель с потерянного аппарата — вероятно, «Гном» или «Рон» 80 л. с., передали на РБВЗ), что предвещало скорое окончание работ, и 28 ноября новый аппарат </w:t>
      </w:r>
      <w:r w:rsidRPr="00DE096C">
        <w:rPr>
          <w:bCs/>
          <w:color w:val="002060"/>
          <w:sz w:val="16"/>
          <w:szCs w:val="16"/>
        </w:rPr>
        <w:t xml:space="preserve">М-2 </w:t>
      </w:r>
      <w:r w:rsidR="00B67D7C" w:rsidRPr="00DE096C">
        <w:rPr>
          <w:bCs/>
          <w:color w:val="002060"/>
          <w:sz w:val="16"/>
          <w:szCs w:val="16"/>
        </w:rPr>
        <w:t>прибыл на 3-ю морскук&gt;авиастанцию в Ревель. Через 12 дней туда же доставили еще один гидроплан из серии и в период до 22 декабря летчик ПРТВ Я. И. Седов-Серов и флотский авиатор лейтенант И. И. Кульнев опробовали их, установив необходи</w:t>
      </w:r>
      <w:r w:rsidR="00B67D7C" w:rsidRPr="00DE096C">
        <w:rPr>
          <w:bCs/>
          <w:color w:val="002060"/>
          <w:sz w:val="16"/>
          <w:szCs w:val="16"/>
        </w:rPr>
        <w:softHyphen/>
        <w:t>мость некоторых усовершенствований. В течение зимы механик и пилот компании завершили нужные переделки, после чего весной 1915г. сдаточные полеты возобновили, и, в частности, высоту 1 тыс. 300 м брали за 15 минут. Двадцать пятого апреля списки авиационной части Службы связи Балтийского моря пополнили, наконец, этими двумя самолетами, получившими номера Щ-2 и Щ-3 (2807).</w:t>
      </w:r>
    </w:p>
    <w:p w14:paraId="15CFFB5B" w14:textId="77777777" w:rsidR="00B67D7C" w:rsidRPr="00DE096C" w:rsidRDefault="00B67D7C" w:rsidP="00D45A46">
      <w:pPr>
        <w:shd w:val="clear" w:color="auto" w:fill="FFFFFF"/>
        <w:jc w:val="both"/>
        <w:rPr>
          <w:bCs/>
          <w:color w:val="002060"/>
          <w:sz w:val="16"/>
          <w:szCs w:val="16"/>
        </w:rPr>
      </w:pPr>
    </w:p>
    <w:p w14:paraId="66EA7F3D"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w:t>
      </w:r>
    </w:p>
    <w:p w14:paraId="4D20354E" w14:textId="77777777" w:rsidR="00B67D7C" w:rsidRPr="00DE096C" w:rsidRDefault="00B67D7C" w:rsidP="00D45A46">
      <w:pPr>
        <w:shd w:val="clear" w:color="auto" w:fill="FFFFFF"/>
        <w:jc w:val="both"/>
        <w:rPr>
          <w:bCs/>
          <w:i/>
          <w:color w:val="002060"/>
          <w:sz w:val="16"/>
          <w:szCs w:val="16"/>
        </w:rPr>
      </w:pPr>
    </w:p>
    <w:p w14:paraId="67A9CB9F" w14:textId="77777777" w:rsidR="00B67D7C" w:rsidRPr="00DE096C" w:rsidRDefault="00B67D7C" w:rsidP="00D45A46">
      <w:pPr>
        <w:jc w:val="both"/>
        <w:rPr>
          <w:bCs/>
          <w:color w:val="002060"/>
          <w:sz w:val="16"/>
          <w:szCs w:val="16"/>
        </w:rPr>
      </w:pPr>
      <w:r w:rsidRPr="00DE096C">
        <w:rPr>
          <w:bCs/>
          <w:color w:val="002060"/>
          <w:sz w:val="16"/>
          <w:szCs w:val="16"/>
        </w:rPr>
        <w:t xml:space="preserve">8 (21) октября 1914 года, в Галиции, с неприятельского аэроплана были сброшены 3 бомбы в расположенный близ [55] станции "Самбор" перевязочно-питательный пункт Красного креста № 2 и отходивший со станции с большим количеством раненых санитарный поезд, причем осколками бомб был убит санитар Малыгин и ранены доктор Нейкирх, санитар Цукерман и сестры милосердия Еремина и Сокольская. Никаких русских воинских частей в момент появления аэроплана поблизости от станции не находилось; как на вагонах санитарного поезда, так и на зданиях, занятых пунктом, были водружены флаги Красного Креста и аэроплан, летевший на незначительной высоте, прежде чем сбросить бомбы, долгое время кружился над станцией... </w:t>
      </w:r>
    </w:p>
    <w:p w14:paraId="77F58E3E" w14:textId="77777777" w:rsidR="00B67D7C" w:rsidRPr="00DE096C" w:rsidRDefault="00B67D7C" w:rsidP="00D45A46">
      <w:pPr>
        <w:jc w:val="both"/>
        <w:rPr>
          <w:bCs/>
          <w:i/>
          <w:color w:val="002060"/>
          <w:sz w:val="16"/>
          <w:szCs w:val="16"/>
        </w:rPr>
      </w:pPr>
    </w:p>
    <w:p w14:paraId="225EC78D" w14:textId="77777777" w:rsidR="00B67D7C" w:rsidRPr="00DE096C" w:rsidRDefault="00B67D7C" w:rsidP="00D45A46">
      <w:pPr>
        <w:jc w:val="both"/>
        <w:rPr>
          <w:bCs/>
          <w:i/>
          <w:color w:val="002060"/>
          <w:sz w:val="16"/>
          <w:szCs w:val="16"/>
        </w:rPr>
      </w:pPr>
      <w:r w:rsidRPr="00DE096C">
        <w:rPr>
          <w:bCs/>
          <w:i/>
          <w:color w:val="002060"/>
          <w:sz w:val="16"/>
          <w:szCs w:val="16"/>
        </w:rPr>
        <w:t>Самолетостроение:</w:t>
      </w:r>
    </w:p>
    <w:p w14:paraId="291A3CC6" w14:textId="77777777" w:rsidR="00B67D7C" w:rsidRPr="00DE096C" w:rsidRDefault="00B67D7C" w:rsidP="00D45A46">
      <w:pPr>
        <w:jc w:val="both"/>
        <w:rPr>
          <w:bCs/>
          <w:i/>
          <w:color w:val="002060"/>
          <w:sz w:val="16"/>
          <w:szCs w:val="16"/>
        </w:rPr>
      </w:pPr>
    </w:p>
    <w:p w14:paraId="6E9A358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9 (22) октября 1914 в своем заключении на проект Слесарева Боклевский отмечал: "Про</w:t>
      </w:r>
      <w:r w:rsidRPr="00DE096C">
        <w:rPr>
          <w:bCs/>
          <w:color w:val="002060"/>
          <w:sz w:val="16"/>
          <w:szCs w:val="16"/>
        </w:rPr>
        <w:softHyphen/>
        <w:t>ект свой инж.-мех. В.А.Слесарев разработал исключительно на ос</w:t>
      </w:r>
      <w:r w:rsidRPr="00DE096C">
        <w:rPr>
          <w:bCs/>
          <w:color w:val="002060"/>
          <w:sz w:val="16"/>
          <w:szCs w:val="16"/>
        </w:rPr>
        <w:softHyphen/>
        <w:t>новании практических данных, полученных как при испытании лета</w:t>
      </w:r>
      <w:r w:rsidRPr="00DE096C">
        <w:rPr>
          <w:bCs/>
          <w:color w:val="002060"/>
          <w:sz w:val="16"/>
          <w:szCs w:val="16"/>
        </w:rPr>
        <w:softHyphen/>
        <w:t>тельных аппаратов, так и исследованием их отдельных частей в Аэродинамической лаборатории нашего института" /ЦГВИА, ф. 2008, оп. 1, д. 343, л. 223/. Вместе с заключением Боклевского проект был направлен на рассмотрение председателя Особого комитета, великого князя Алек</w:t>
      </w:r>
      <w:r w:rsidRPr="00DE096C">
        <w:rPr>
          <w:bCs/>
          <w:color w:val="002060"/>
          <w:sz w:val="16"/>
          <w:szCs w:val="16"/>
        </w:rPr>
        <w:softHyphen/>
        <w:t>сандра Михайловича, шефа авиации в царской России. Тот рекомен</w:t>
      </w:r>
      <w:r w:rsidRPr="00DE096C">
        <w:rPr>
          <w:bCs/>
          <w:color w:val="002060"/>
          <w:sz w:val="16"/>
          <w:szCs w:val="16"/>
        </w:rPr>
        <w:softHyphen/>
        <w:t>довал Отделу попытаться заинтересовать Путиловский завод пост</w:t>
      </w:r>
      <w:r w:rsidRPr="00DE096C">
        <w:rPr>
          <w:bCs/>
          <w:color w:val="002060"/>
          <w:sz w:val="16"/>
          <w:szCs w:val="16"/>
        </w:rPr>
        <w:softHyphen/>
        <w:t>ройкой этого самолета "на свой риск с тем, что если самолет окажется удачным, то Особый комитет его купит" /ЦГВИА, ф. 2008, оп. 1, д. 343, л. 208/. Однако вскоре он же сообщил, что волынский дворянин М.Малынский готов "дать до ста тысяч рублей на постройку большого само</w:t>
      </w:r>
      <w:r w:rsidRPr="00DE096C">
        <w:rPr>
          <w:bCs/>
          <w:color w:val="002060"/>
          <w:sz w:val="16"/>
          <w:szCs w:val="16"/>
        </w:rPr>
        <w:softHyphen/>
        <w:t>лета, который удовлетворял бы определенным заданиям" /ЦГВИА, ф. 2008, оп. 1, д. 343/ (11069).</w:t>
      </w:r>
    </w:p>
    <w:p w14:paraId="2D0414FF" w14:textId="77777777" w:rsidR="00B67D7C" w:rsidRPr="00DE096C" w:rsidRDefault="00B67D7C" w:rsidP="00D45A46">
      <w:pPr>
        <w:shd w:val="clear" w:color="auto" w:fill="FFFFFF"/>
        <w:jc w:val="both"/>
        <w:rPr>
          <w:bCs/>
          <w:color w:val="002060"/>
          <w:sz w:val="16"/>
          <w:szCs w:val="16"/>
        </w:rPr>
      </w:pPr>
    </w:p>
    <w:p w14:paraId="17BFF1A0" w14:textId="77777777" w:rsidR="00B67D7C" w:rsidRPr="00DE096C" w:rsidRDefault="00B67D7C" w:rsidP="00D45A46">
      <w:pPr>
        <w:jc w:val="both"/>
        <w:rPr>
          <w:bCs/>
          <w:i/>
          <w:color w:val="002060"/>
          <w:sz w:val="16"/>
          <w:szCs w:val="16"/>
        </w:rPr>
      </w:pPr>
      <w:r w:rsidRPr="00DE096C">
        <w:rPr>
          <w:bCs/>
          <w:i/>
          <w:color w:val="002060"/>
          <w:sz w:val="16"/>
          <w:szCs w:val="16"/>
        </w:rPr>
        <w:t>Военное воздухоплавание:</w:t>
      </w:r>
    </w:p>
    <w:p w14:paraId="39A54877" w14:textId="77777777" w:rsidR="00B67D7C" w:rsidRPr="00DE096C" w:rsidRDefault="00B67D7C" w:rsidP="00D45A46">
      <w:pPr>
        <w:jc w:val="both"/>
        <w:rPr>
          <w:bCs/>
          <w:i/>
          <w:color w:val="002060"/>
          <w:sz w:val="16"/>
          <w:szCs w:val="16"/>
        </w:rPr>
      </w:pPr>
    </w:p>
    <w:p w14:paraId="1BE21E96" w14:textId="77777777" w:rsidR="009F28AE" w:rsidRPr="00DE096C" w:rsidRDefault="009F28AE" w:rsidP="00D45A46">
      <w:pPr>
        <w:jc w:val="both"/>
        <w:rPr>
          <w:bCs/>
          <w:color w:val="002060"/>
          <w:sz w:val="16"/>
          <w:szCs w:val="16"/>
        </w:rPr>
      </w:pPr>
      <w:r w:rsidRPr="00DE096C">
        <w:rPr>
          <w:bCs/>
          <w:color w:val="002060"/>
          <w:sz w:val="16"/>
          <w:szCs w:val="16"/>
        </w:rPr>
        <w:t>В период с 9 по 13 (22-25) октября 1914 г., когда к крепости подошли австрийские войска, аэростат с наблюдателями выдвинулся далеко вперед и, поднятый в воздух на 400 м, почти непрерывно корректировал боевые действия. С аэростата были разведаны позиции неприятеля, расположение его окопов и проволочных заграждений, движение по дорогам. Стрельбой нашей артиллерии, корректируемой по телефону с аэростата, неприятельские позиции были засыпаны снарядами. Противник бежал из окопов, не дожидаясь даже атаки нашей пехоты. Это решило судьбу боя под крепостью. В октябре 1915 г. во время боев в Галиции русские батареи, корректируемые наблюдателями с аэростатов, одержали не одну победу над батареями врага. В апреле 1916 г. под Барановичами в течение двух дней русскими артиллеристами таким же способом было подавлено 18 батарей (11238).</w:t>
      </w:r>
    </w:p>
    <w:p w14:paraId="4CBC1444" w14:textId="77777777" w:rsidR="009F28AE" w:rsidRPr="00DE096C" w:rsidRDefault="009F28AE" w:rsidP="00D45A46">
      <w:pPr>
        <w:jc w:val="both"/>
        <w:rPr>
          <w:bCs/>
          <w:color w:val="002060"/>
          <w:sz w:val="16"/>
          <w:szCs w:val="16"/>
        </w:rPr>
      </w:pPr>
    </w:p>
    <w:p w14:paraId="14D9BFB2" w14:textId="4CF5FFC0" w:rsidR="00B67D7C" w:rsidRPr="00DE096C" w:rsidRDefault="009F28AE" w:rsidP="00D45A46">
      <w:pPr>
        <w:jc w:val="both"/>
        <w:rPr>
          <w:bCs/>
          <w:color w:val="002060"/>
          <w:sz w:val="16"/>
          <w:szCs w:val="16"/>
        </w:rPr>
      </w:pPr>
      <w:r w:rsidRPr="00DE096C">
        <w:rPr>
          <w:bCs/>
          <w:color w:val="002060"/>
          <w:sz w:val="16"/>
          <w:szCs w:val="16"/>
        </w:rPr>
        <w:t>С</w:t>
      </w:r>
      <w:r w:rsidR="00B67D7C" w:rsidRPr="00DE096C">
        <w:rPr>
          <w:bCs/>
          <w:color w:val="002060"/>
          <w:sz w:val="16"/>
          <w:szCs w:val="16"/>
        </w:rPr>
        <w:t xml:space="preserve"> 9 по 13 </w:t>
      </w:r>
      <w:r w:rsidRPr="00DE096C">
        <w:rPr>
          <w:bCs/>
          <w:color w:val="002060"/>
          <w:sz w:val="16"/>
          <w:szCs w:val="16"/>
        </w:rPr>
        <w:t xml:space="preserve">(22-25) </w:t>
      </w:r>
      <w:r w:rsidR="00B67D7C" w:rsidRPr="00DE096C">
        <w:rPr>
          <w:bCs/>
          <w:color w:val="002060"/>
          <w:sz w:val="16"/>
          <w:szCs w:val="16"/>
        </w:rPr>
        <w:t>октября</w:t>
      </w:r>
      <w:r w:rsidRPr="00DE096C">
        <w:rPr>
          <w:bCs/>
          <w:color w:val="002060"/>
          <w:sz w:val="16"/>
          <w:szCs w:val="16"/>
        </w:rPr>
        <w:t xml:space="preserve"> 1914 г. в период боев с подошедшими к крепости австрийскими войсками</w:t>
      </w:r>
      <w:r w:rsidR="00B67D7C" w:rsidRPr="00DE096C">
        <w:rPr>
          <w:bCs/>
          <w:color w:val="002060"/>
          <w:sz w:val="16"/>
          <w:szCs w:val="16"/>
        </w:rPr>
        <w:t xml:space="preserve">, аэростат с наблюдателями выдвинулся далеко вперед и почти непрерывно вел боевые действия, о которых один из участников писал следующее (Аэро. 1923. № 7): «С аэростата была разведана позиция противника... были обнаружены неприятельские окопы. Стрельбой нашей артиллерии, корректировавшейся с аэростата, неприятельские позиции были буквально засыпаны снарядами. Стрельба эта была столь удачна, что противник бежал из окопов, не [46] приняв атаки нашей пехоты. Это решило судьбу боя под крепостью в этот период». </w:t>
      </w:r>
    </w:p>
    <w:p w14:paraId="009BC791" w14:textId="77777777" w:rsidR="00B67D7C" w:rsidRPr="00DE096C" w:rsidRDefault="00B67D7C" w:rsidP="00D45A46">
      <w:pPr>
        <w:jc w:val="both"/>
        <w:rPr>
          <w:bCs/>
          <w:color w:val="002060"/>
          <w:sz w:val="16"/>
          <w:szCs w:val="16"/>
        </w:rPr>
      </w:pPr>
      <w:r w:rsidRPr="00DE096C">
        <w:rPr>
          <w:bCs/>
          <w:color w:val="002060"/>
          <w:sz w:val="16"/>
          <w:szCs w:val="16"/>
        </w:rPr>
        <w:t>Так действиями под Ивангородом 14-я воздухоплавательная рота вписала первую славную страницу в летопись боевых действий русских воздухоплавателей в войне 1914–1918 годов (11334).</w:t>
      </w:r>
    </w:p>
    <w:p w14:paraId="7343A61E" w14:textId="77777777" w:rsidR="00B67D7C" w:rsidRPr="00DE096C" w:rsidRDefault="00B67D7C" w:rsidP="00D45A46">
      <w:pPr>
        <w:jc w:val="both"/>
        <w:rPr>
          <w:bCs/>
          <w:i/>
          <w:color w:val="002060"/>
          <w:sz w:val="16"/>
          <w:szCs w:val="16"/>
        </w:rPr>
      </w:pPr>
    </w:p>
    <w:p w14:paraId="2A4E69F2" w14:textId="31D4EE2A" w:rsidR="00B67D7C" w:rsidRPr="00DE096C" w:rsidRDefault="009F28AE" w:rsidP="00D45A46">
      <w:pPr>
        <w:jc w:val="both"/>
        <w:rPr>
          <w:bCs/>
          <w:color w:val="002060"/>
          <w:sz w:val="16"/>
          <w:szCs w:val="16"/>
        </w:rPr>
      </w:pPr>
      <w:r w:rsidRPr="00DE096C">
        <w:rPr>
          <w:bCs/>
          <w:color w:val="002060"/>
          <w:sz w:val="16"/>
          <w:szCs w:val="16"/>
        </w:rPr>
        <w:t>С</w:t>
      </w:r>
      <w:r w:rsidR="00B67D7C" w:rsidRPr="00DE096C">
        <w:rPr>
          <w:bCs/>
          <w:color w:val="002060"/>
          <w:sz w:val="16"/>
          <w:szCs w:val="16"/>
        </w:rPr>
        <w:t xml:space="preserve"> 9 по 13 </w:t>
      </w:r>
      <w:r w:rsidRPr="00DE096C">
        <w:rPr>
          <w:bCs/>
          <w:color w:val="002060"/>
          <w:sz w:val="16"/>
          <w:szCs w:val="16"/>
        </w:rPr>
        <w:t xml:space="preserve">(22-25) </w:t>
      </w:r>
      <w:r w:rsidR="00B67D7C" w:rsidRPr="00DE096C">
        <w:rPr>
          <w:bCs/>
          <w:color w:val="002060"/>
          <w:sz w:val="16"/>
          <w:szCs w:val="16"/>
        </w:rPr>
        <w:t xml:space="preserve">октября 1914 г., когда к крепости подошли австрийские войска, </w:t>
      </w:r>
      <w:r w:rsidRPr="00DE096C">
        <w:rPr>
          <w:bCs/>
          <w:color w:val="002060"/>
          <w:sz w:val="16"/>
          <w:szCs w:val="16"/>
        </w:rPr>
        <w:t>первый отечественный змейковый аэростат объемом 750 м</w:t>
      </w:r>
      <w:r w:rsidR="00B67D7C" w:rsidRPr="00DE096C">
        <w:rPr>
          <w:bCs/>
          <w:color w:val="002060"/>
          <w:sz w:val="16"/>
          <w:szCs w:val="16"/>
        </w:rPr>
        <w:t xml:space="preserve"> с наблюдателями выдвинулся далеко вперед и, поднятый в воздух на 400 м, почти непрерывно корректировал боевые действия. С аэростата были разведаны позиции неприятеля, расположение его окопов и проволочных заграждений, движение по дорогам. Стрельбой нашей артиллерии, корректируемой по телефону с аэростата, неприятельские позиции были засыпаны снарядами. Противник бежал из окопов, не дожидаясь даже атаки нашей пехоты. Это решило судьбу боя под крепостью. В октябре 1915 г. во время боев в Галиции русские батареи, корректируемые наблюдателями с аэростатов, одержали не одну победу над батареями врага. В апреле 1916 г. под Барановичами в течение двух дней русскими артиллеристами таким же способом было подавлено 18 батарей.</w:t>
      </w:r>
    </w:p>
    <w:p w14:paraId="1D432BFA" w14:textId="77777777" w:rsidR="00B67D7C" w:rsidRPr="00DE096C" w:rsidRDefault="00B67D7C" w:rsidP="00D45A46">
      <w:pPr>
        <w:jc w:val="both"/>
        <w:rPr>
          <w:bCs/>
          <w:color w:val="002060"/>
          <w:sz w:val="16"/>
          <w:szCs w:val="16"/>
        </w:rPr>
      </w:pPr>
      <w:r w:rsidRPr="00DE096C">
        <w:rPr>
          <w:bCs/>
          <w:color w:val="002060"/>
          <w:sz w:val="16"/>
          <w:szCs w:val="16"/>
        </w:rPr>
        <w:t xml:space="preserve">Когда аэростат находится в воздухе, его практически невозможно сбить артиллерийским огнем, и противник всегда обстреливал аэростаты, находящиеся на биваке. </w:t>
      </w:r>
    </w:p>
    <w:p w14:paraId="34FADF1A" w14:textId="77777777" w:rsidR="00B67D7C" w:rsidRPr="00DE096C" w:rsidRDefault="00B67D7C" w:rsidP="00D45A46">
      <w:pPr>
        <w:jc w:val="both"/>
        <w:rPr>
          <w:bCs/>
          <w:color w:val="002060"/>
          <w:sz w:val="16"/>
          <w:szCs w:val="16"/>
        </w:rPr>
      </w:pPr>
      <w:r w:rsidRPr="00DE096C">
        <w:rPr>
          <w:bCs/>
          <w:color w:val="002060"/>
          <w:sz w:val="16"/>
          <w:szCs w:val="16"/>
        </w:rPr>
        <w:t xml:space="preserve">Для уничтожения аэростатов в воздухе все больше стали применять самолеты, оснащенные системой сброса жидкого фосфора. Часто в воздухе разыгрывались воздушные бои между аэростатом и самолетом. </w:t>
      </w:r>
    </w:p>
    <w:p w14:paraId="174DB4A6" w14:textId="77777777" w:rsidR="00B67D7C" w:rsidRPr="00DE096C" w:rsidRDefault="00B67D7C" w:rsidP="00D45A46">
      <w:pPr>
        <w:jc w:val="both"/>
        <w:rPr>
          <w:bCs/>
          <w:color w:val="002060"/>
          <w:sz w:val="16"/>
          <w:szCs w:val="16"/>
        </w:rPr>
      </w:pPr>
      <w:r w:rsidRPr="00DE096C">
        <w:rPr>
          <w:bCs/>
          <w:color w:val="002060"/>
          <w:sz w:val="16"/>
          <w:szCs w:val="16"/>
        </w:rPr>
        <w:t>Драматический бой разыгрался 13 марта 1917 года. На борту аэростата, находящегося на высоте 400 м, были командир 10-го корпусного воздухоплавательного отряда поручик Сипитый и подпоручик Метельский. Они фотографировали неприятельские позиции. В 17 часов наблюдатели заметили приближающийся вражеский самолет. По их команде аэростат начали выбирать к земле. Еще находясь на большом расстоянии, пилот вражеского самолета начал обстреливать аэростат. Воздухоплаватели отстреливались из карабина и револьвера. Когда самолет пролетел над аэростатом, казалось, что опасность миновала. Однако через несколько секунд наблюдатели услыхали легкий треск, который постепенно перешел во все усиливающийся шум. Они поняли, что аэростат горит. Но даже горя, аэростат опускался плавно до высоты около 60-75 м. После этого скорость падения аэростата начала сильно возрастать. Прыгать с парашютом было уже поздно - слишком мала высота и парашют не успевает наполниться воздухом. Парашюты подвешивались к кормовой части аэростата уже полностью вытянутыми, и наблюдателю надо было просто взять стропы парашюта в руки, сильно дернуть за них, чтобы оторвать привязывающий к оболочке аэростата шнур парашюта и бросаться вниз из корзины. Сипитому и Метельскому шансов выжить уже практически не оставалось. Очнулись они в госпитале. Как им потом рассказывали очевидцы, находившиеся на земле, с пролетевшего самолета было сброшено на аэростат что-то похожее "на золотистую ленту или ракету". Вслед за этим на верхней части оболочки показался черный дым и языки пламени. На высоте около 150 м вся верхняя половина аэростата была в пламени, а нижняя вогнулась внутрь и, образовав своеобразный парашют, способствовала плавному спуску горящего аэростата. Но на высоте 60-75 м прогорел нижний рулевой мешок и аэростат начал стремительно падать. Обгорелые остатки оболочки накрыли корзину с наблюдателями. Подбежавшие солдаты вытащили их из корзины, но один из наблюдателей, поручик Сипитый, от полученных ран через 10 дней скончался.</w:t>
      </w:r>
    </w:p>
    <w:p w14:paraId="1B1813BB" w14:textId="77777777" w:rsidR="00B67D7C" w:rsidRPr="00DE096C" w:rsidRDefault="00B67D7C" w:rsidP="00D45A46">
      <w:pPr>
        <w:jc w:val="both"/>
        <w:rPr>
          <w:bCs/>
          <w:color w:val="002060"/>
          <w:sz w:val="16"/>
          <w:szCs w:val="16"/>
        </w:rPr>
      </w:pPr>
    </w:p>
    <w:p w14:paraId="1CB5EBD1" w14:textId="1D4A35BC" w:rsidR="00460ABD" w:rsidRPr="00DE096C" w:rsidRDefault="00460ABD" w:rsidP="00D45A46">
      <w:pPr>
        <w:jc w:val="both"/>
        <w:rPr>
          <w:bCs/>
          <w:color w:val="002060"/>
          <w:sz w:val="16"/>
          <w:szCs w:val="16"/>
          <w:shd w:val="clear" w:color="auto" w:fill="FFFFFF"/>
        </w:rPr>
      </w:pPr>
      <w:r w:rsidRPr="00DE096C">
        <w:rPr>
          <w:bCs/>
          <w:color w:val="002060"/>
          <w:sz w:val="16"/>
          <w:szCs w:val="16"/>
          <w:shd w:val="clear" w:color="auto" w:fill="FFFFFF"/>
        </w:rPr>
        <w:t>В период с 9 по 13 (2</w:t>
      </w:r>
      <w:r w:rsidR="009F28AE" w:rsidRPr="00DE096C">
        <w:rPr>
          <w:bCs/>
          <w:color w:val="002060"/>
          <w:sz w:val="16"/>
          <w:szCs w:val="16"/>
          <w:shd w:val="clear" w:color="auto" w:fill="FFFFFF"/>
        </w:rPr>
        <w:t>2</w:t>
      </w:r>
      <w:r w:rsidRPr="00DE096C">
        <w:rPr>
          <w:bCs/>
          <w:color w:val="002060"/>
          <w:sz w:val="16"/>
          <w:szCs w:val="16"/>
          <w:shd w:val="clear" w:color="auto" w:fill="FFFFFF"/>
        </w:rPr>
        <w:t xml:space="preserve"> – 2</w:t>
      </w:r>
      <w:r w:rsidR="009F28AE" w:rsidRPr="00DE096C">
        <w:rPr>
          <w:bCs/>
          <w:color w:val="002060"/>
          <w:sz w:val="16"/>
          <w:szCs w:val="16"/>
          <w:shd w:val="clear" w:color="auto" w:fill="FFFFFF"/>
        </w:rPr>
        <w:t>5</w:t>
      </w:r>
      <w:r w:rsidRPr="00DE096C">
        <w:rPr>
          <w:bCs/>
          <w:color w:val="002060"/>
          <w:sz w:val="16"/>
          <w:szCs w:val="16"/>
          <w:shd w:val="clear" w:color="auto" w:fill="FFFFFF"/>
        </w:rPr>
        <w:t xml:space="preserve">) октября 1914 года, когда к крепости подошли австрийские войска, поднятый на высоту 400 метров аэростат непрерывно корректировал боевые действия. С него были детально разведаны позиции неприятеля, расположение его окопов и проволочных заграждений, движение по дорогам. Стрельба нашей </w:t>
      </w:r>
      <w:r w:rsidRPr="00DE096C">
        <w:rPr>
          <w:bCs/>
          <w:color w:val="002060"/>
          <w:sz w:val="16"/>
          <w:szCs w:val="16"/>
          <w:shd w:val="clear" w:color="auto" w:fill="FFFFFF"/>
        </w:rPr>
        <w:lastRenderedPageBreak/>
        <w:t>артиллерии, корректируемая по телефону с аэростата, оказалась столь эффективной, что противник бежал из окопов, так и не дождавшись атаки русской пехоты. Это решило судьбу боя под крепостью. Аэростаты оказались столь серьёзной проблемой, что для борьбы с ними стали использовать самолёты, которые либо расстреливали их из пулемётов, либо поджигали с помощью жидкого фосфора.</w:t>
      </w:r>
    </w:p>
    <w:p w14:paraId="0A246B13" w14:textId="77777777" w:rsidR="00460ABD" w:rsidRPr="00DE096C" w:rsidRDefault="00460ABD" w:rsidP="00D45A46">
      <w:pPr>
        <w:jc w:val="both"/>
        <w:rPr>
          <w:bCs/>
          <w:color w:val="002060"/>
          <w:sz w:val="16"/>
          <w:szCs w:val="16"/>
          <w:shd w:val="clear" w:color="auto" w:fill="FFFFFF"/>
        </w:rPr>
      </w:pPr>
    </w:p>
    <w:p w14:paraId="05B9B518" w14:textId="77777777" w:rsidR="00A408B9" w:rsidRPr="00DE096C" w:rsidRDefault="00A408B9" w:rsidP="00D45A46">
      <w:pPr>
        <w:jc w:val="both"/>
        <w:rPr>
          <w:bCs/>
          <w:i/>
          <w:color w:val="002060"/>
          <w:sz w:val="16"/>
          <w:szCs w:val="16"/>
        </w:rPr>
      </w:pPr>
      <w:r w:rsidRPr="00DE096C">
        <w:rPr>
          <w:bCs/>
          <w:i/>
          <w:color w:val="002060"/>
          <w:sz w:val="16"/>
          <w:szCs w:val="16"/>
        </w:rPr>
        <w:t>Армия:</w:t>
      </w:r>
    </w:p>
    <w:p w14:paraId="40650A1F" w14:textId="77777777" w:rsidR="00A408B9" w:rsidRPr="00DE096C" w:rsidRDefault="00A408B9" w:rsidP="00D45A46">
      <w:pPr>
        <w:jc w:val="both"/>
        <w:rPr>
          <w:bCs/>
          <w:i/>
          <w:color w:val="002060"/>
          <w:sz w:val="16"/>
          <w:szCs w:val="16"/>
        </w:rPr>
      </w:pPr>
    </w:p>
    <w:p w14:paraId="7F422E22" w14:textId="679CE7C1" w:rsidR="00A408B9" w:rsidRPr="00DE096C" w:rsidRDefault="00A408B9" w:rsidP="00D45A46">
      <w:pPr>
        <w:jc w:val="both"/>
        <w:rPr>
          <w:bCs/>
          <w:color w:val="002060"/>
          <w:sz w:val="16"/>
          <w:szCs w:val="16"/>
        </w:rPr>
      </w:pPr>
      <w:r w:rsidRPr="00DE096C">
        <w:rPr>
          <w:rStyle w:val="ucoz-forum-post"/>
          <w:rFonts w:eastAsiaTheme="majorEastAsia"/>
          <w:bCs/>
          <w:color w:val="002060"/>
          <w:sz w:val="16"/>
          <w:szCs w:val="16"/>
        </w:rPr>
        <w:t xml:space="preserve">9 </w:t>
      </w:r>
      <w:r w:rsidR="009F28AE" w:rsidRPr="00DE096C">
        <w:rPr>
          <w:rStyle w:val="ucoz-forum-post"/>
          <w:rFonts w:eastAsiaTheme="majorEastAsia"/>
          <w:bCs/>
          <w:color w:val="002060"/>
          <w:sz w:val="16"/>
          <w:szCs w:val="16"/>
        </w:rPr>
        <w:t xml:space="preserve">(22) </w:t>
      </w:r>
      <w:r w:rsidRPr="00DE096C">
        <w:rPr>
          <w:rStyle w:val="ucoz-forum-post"/>
          <w:rFonts w:eastAsiaTheme="majorEastAsia"/>
          <w:bCs/>
          <w:color w:val="002060"/>
          <w:sz w:val="16"/>
          <w:szCs w:val="16"/>
        </w:rPr>
        <w:t xml:space="preserve">октября </w:t>
      </w:r>
      <w:r w:rsidRPr="00DE096C">
        <w:rPr>
          <w:bCs/>
          <w:color w:val="002060"/>
          <w:sz w:val="16"/>
          <w:szCs w:val="16"/>
        </w:rPr>
        <w:t>в 1914 году после месяца осады русские войска отступили от австрийской крепости Перемышль (14794).</w:t>
      </w:r>
    </w:p>
    <w:p w14:paraId="28F0DD9E" w14:textId="77777777" w:rsidR="00A408B9" w:rsidRPr="00DE096C" w:rsidRDefault="00A408B9" w:rsidP="00D45A46">
      <w:pPr>
        <w:jc w:val="both"/>
        <w:rPr>
          <w:bCs/>
          <w:color w:val="002060"/>
          <w:sz w:val="16"/>
          <w:szCs w:val="16"/>
        </w:rPr>
      </w:pPr>
    </w:p>
    <w:p w14:paraId="3B72B544" w14:textId="77777777" w:rsidR="00B67D7C" w:rsidRPr="00DE096C" w:rsidRDefault="00B67D7C" w:rsidP="00D45A46">
      <w:pPr>
        <w:jc w:val="both"/>
        <w:rPr>
          <w:bCs/>
          <w:i/>
          <w:color w:val="002060"/>
          <w:sz w:val="16"/>
          <w:szCs w:val="16"/>
        </w:rPr>
      </w:pPr>
      <w:r w:rsidRPr="00DE096C">
        <w:rPr>
          <w:bCs/>
          <w:i/>
          <w:color w:val="002060"/>
          <w:sz w:val="16"/>
          <w:szCs w:val="16"/>
        </w:rPr>
        <w:t>Авиация и воздухоплавание Германии:</w:t>
      </w:r>
    </w:p>
    <w:p w14:paraId="3AA0B464" w14:textId="77777777" w:rsidR="00B67D7C" w:rsidRPr="00DE096C" w:rsidRDefault="00B67D7C" w:rsidP="00D45A46">
      <w:pPr>
        <w:jc w:val="both"/>
        <w:rPr>
          <w:bCs/>
          <w:i/>
          <w:color w:val="002060"/>
          <w:sz w:val="16"/>
          <w:szCs w:val="16"/>
        </w:rPr>
      </w:pPr>
    </w:p>
    <w:p w14:paraId="42352D21" w14:textId="77777777" w:rsidR="00B67D7C" w:rsidRPr="00DE096C" w:rsidRDefault="00B67D7C" w:rsidP="00D45A46">
      <w:pPr>
        <w:jc w:val="both"/>
        <w:rPr>
          <w:bCs/>
          <w:color w:val="002060"/>
          <w:sz w:val="16"/>
          <w:szCs w:val="16"/>
        </w:rPr>
      </w:pPr>
      <w:r w:rsidRPr="00DE096C">
        <w:rPr>
          <w:bCs/>
          <w:color w:val="002060"/>
          <w:sz w:val="16"/>
          <w:szCs w:val="16"/>
        </w:rPr>
        <w:t>9 (22) октября 1914 г. император Германии Вильгельм II чудом избежал гибели во время бомбардировки английской авиацией города Тиельт (11162).</w:t>
      </w:r>
    </w:p>
    <w:p w14:paraId="0D112BCD" w14:textId="77777777" w:rsidR="00B67D7C" w:rsidRPr="00DE096C" w:rsidRDefault="00B67D7C" w:rsidP="00D45A46">
      <w:pPr>
        <w:jc w:val="both"/>
        <w:rPr>
          <w:bCs/>
          <w:color w:val="002060"/>
          <w:sz w:val="16"/>
          <w:szCs w:val="16"/>
        </w:rPr>
      </w:pPr>
    </w:p>
    <w:p w14:paraId="66C9FEA8" w14:textId="77777777" w:rsidR="00B67D7C" w:rsidRPr="00DE096C" w:rsidRDefault="00B67D7C" w:rsidP="00D45A46">
      <w:pPr>
        <w:jc w:val="both"/>
        <w:rPr>
          <w:bCs/>
          <w:i/>
          <w:color w:val="002060"/>
          <w:sz w:val="16"/>
          <w:szCs w:val="16"/>
        </w:rPr>
      </w:pPr>
      <w:r w:rsidRPr="00DE096C">
        <w:rPr>
          <w:bCs/>
          <w:i/>
          <w:color w:val="002060"/>
          <w:sz w:val="16"/>
          <w:szCs w:val="16"/>
        </w:rPr>
        <w:t>Авиация и воздухоплавание Англии:</w:t>
      </w:r>
    </w:p>
    <w:p w14:paraId="6E3B7328" w14:textId="77777777" w:rsidR="00B67D7C" w:rsidRPr="00DE096C" w:rsidRDefault="00B67D7C" w:rsidP="00D45A46">
      <w:pPr>
        <w:jc w:val="both"/>
        <w:rPr>
          <w:bCs/>
          <w:i/>
          <w:color w:val="002060"/>
          <w:sz w:val="16"/>
          <w:szCs w:val="16"/>
        </w:rPr>
      </w:pPr>
    </w:p>
    <w:p w14:paraId="688CDA69" w14:textId="0461A4ED" w:rsidR="00B67D7C" w:rsidRPr="00DE096C" w:rsidRDefault="00B67D7C" w:rsidP="00D45A46">
      <w:pPr>
        <w:jc w:val="both"/>
        <w:rPr>
          <w:bCs/>
          <w:color w:val="002060"/>
          <w:sz w:val="16"/>
          <w:szCs w:val="16"/>
        </w:rPr>
      </w:pPr>
      <w:r w:rsidRPr="00DE096C">
        <w:rPr>
          <w:bCs/>
          <w:color w:val="002060"/>
          <w:sz w:val="16"/>
          <w:szCs w:val="16"/>
        </w:rPr>
        <w:t xml:space="preserve">9 (22) октября </w:t>
      </w:r>
      <w:r w:rsidR="009F28AE" w:rsidRPr="00DE096C">
        <w:rPr>
          <w:bCs/>
          <w:color w:val="002060"/>
          <w:sz w:val="16"/>
          <w:szCs w:val="16"/>
        </w:rPr>
        <w:t xml:space="preserve">1914 г. </w:t>
      </w:r>
      <w:r w:rsidRPr="00DE096C">
        <w:rPr>
          <w:bCs/>
          <w:color w:val="002060"/>
          <w:sz w:val="16"/>
          <w:szCs w:val="16"/>
        </w:rPr>
        <w:t xml:space="preserve">в Адмиралтействе прошло последнее совещание, на котором коммодор Тирвитт был назначен командующим флотилии кораблей, участвующих в операции. Подлодки возглавил Роджер Кейес, а отряд плавбаз и гидросамолеты — Сесил Мелоун. </w:t>
      </w:r>
    </w:p>
    <w:p w14:paraId="7EA3E2E1" w14:textId="77777777" w:rsidR="00B67D7C" w:rsidRPr="00DE096C" w:rsidRDefault="00B67D7C" w:rsidP="00D45A46">
      <w:pPr>
        <w:jc w:val="both"/>
        <w:rPr>
          <w:bCs/>
          <w:color w:val="002060"/>
          <w:sz w:val="16"/>
          <w:szCs w:val="16"/>
        </w:rPr>
      </w:pPr>
      <w:r w:rsidRPr="00DE096C">
        <w:rPr>
          <w:bCs/>
          <w:color w:val="002060"/>
          <w:sz w:val="16"/>
          <w:szCs w:val="16"/>
        </w:rPr>
        <w:t>Операция была назначена на 24 октября. Ранним утром флотилия кораблей вышла в море, но начавшийся сильный шторм заставил их вернуться в порт. В течение нескольких дней погода не менялась. За это время в Адмиралтействе решили расширить рамки операции британского флота и усилить отряд кораблей. В соответствии с новым планом, главные силы флотилии должны были располагаться вблизи отряда плавбаз и в случае необходимости отразить контратаку кораблей ВМФ Германии. Все были готовы к выходу в море, но погода явно не способствовала выполнению задания. Еще трижды (один раз в конце октября и два — в ноябре) из-за плохих метеоусловий флотилия была вынуждена возвращаться назад (11324).</w:t>
      </w:r>
    </w:p>
    <w:p w14:paraId="7043D1CA" w14:textId="77777777" w:rsidR="00B67D7C" w:rsidRPr="00DE096C" w:rsidRDefault="00B67D7C" w:rsidP="00D45A46">
      <w:pPr>
        <w:jc w:val="both"/>
        <w:rPr>
          <w:bCs/>
          <w:i/>
          <w:color w:val="002060"/>
          <w:sz w:val="16"/>
          <w:szCs w:val="16"/>
        </w:rPr>
      </w:pPr>
    </w:p>
    <w:p w14:paraId="74D41C8E" w14:textId="77777777" w:rsidR="00B67D7C" w:rsidRPr="00DE096C" w:rsidRDefault="00B67D7C" w:rsidP="00D45A46">
      <w:pPr>
        <w:jc w:val="both"/>
        <w:rPr>
          <w:bCs/>
          <w:i/>
          <w:color w:val="002060"/>
          <w:sz w:val="16"/>
          <w:szCs w:val="16"/>
        </w:rPr>
      </w:pPr>
      <w:r w:rsidRPr="00DE096C">
        <w:rPr>
          <w:bCs/>
          <w:i/>
          <w:color w:val="002060"/>
          <w:sz w:val="16"/>
          <w:szCs w:val="16"/>
        </w:rPr>
        <w:t>Самолетостроение:</w:t>
      </w:r>
    </w:p>
    <w:p w14:paraId="08585C44" w14:textId="77777777" w:rsidR="00B67D7C" w:rsidRPr="00DE096C" w:rsidRDefault="00B67D7C" w:rsidP="00D45A46">
      <w:pPr>
        <w:jc w:val="both"/>
        <w:rPr>
          <w:bCs/>
          <w:i/>
          <w:color w:val="002060"/>
          <w:sz w:val="16"/>
          <w:szCs w:val="16"/>
        </w:rPr>
      </w:pPr>
    </w:p>
    <w:p w14:paraId="40D846BD" w14:textId="069FD74D"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10 (23) октября 1914 </w:t>
      </w:r>
      <w:r w:rsidR="009F28AE" w:rsidRPr="00DE096C">
        <w:rPr>
          <w:bCs/>
          <w:color w:val="002060"/>
          <w:sz w:val="16"/>
          <w:szCs w:val="16"/>
        </w:rPr>
        <w:t>т</w:t>
      </w:r>
      <w:r w:rsidRPr="00DE096C">
        <w:rPr>
          <w:bCs/>
          <w:color w:val="002060"/>
          <w:sz w:val="16"/>
          <w:szCs w:val="16"/>
        </w:rPr>
        <w:t>ренажер для обучения пилотированию самолета, представ</w:t>
      </w:r>
      <w:r w:rsidRPr="00DE096C">
        <w:rPr>
          <w:bCs/>
          <w:color w:val="002060"/>
          <w:sz w:val="16"/>
          <w:szCs w:val="16"/>
        </w:rPr>
        <w:softHyphen/>
        <w:t>лявший собою пилотское кресло, вращавшееся вокруг трех осей, предложил И. А. Рубинский. Вращения кресла задава</w:t>
      </w:r>
      <w:r w:rsidRPr="00DE096C">
        <w:rPr>
          <w:bCs/>
          <w:color w:val="002060"/>
          <w:sz w:val="16"/>
          <w:szCs w:val="16"/>
        </w:rPr>
        <w:softHyphen/>
        <w:t>лись инструктором, а обучавшийся парировал их действием рулей. Тренажер получил одобрение экспертной комиссии Леденцовского общества, воглавляемой Н. Е. Жуковским (1137).</w:t>
      </w:r>
    </w:p>
    <w:p w14:paraId="441E96AE" w14:textId="77777777" w:rsidR="00B67D7C" w:rsidRPr="00DE096C" w:rsidRDefault="00B67D7C" w:rsidP="00D45A46">
      <w:pPr>
        <w:shd w:val="clear" w:color="auto" w:fill="FFFFFF"/>
        <w:jc w:val="both"/>
        <w:rPr>
          <w:bCs/>
          <w:color w:val="002060"/>
          <w:sz w:val="16"/>
          <w:szCs w:val="16"/>
        </w:rPr>
      </w:pPr>
    </w:p>
    <w:p w14:paraId="648758C4" w14:textId="405E5F0E"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10 </w:t>
      </w:r>
      <w:r w:rsidR="00EE125C" w:rsidRPr="00DE096C">
        <w:rPr>
          <w:bCs/>
          <w:color w:val="002060"/>
          <w:sz w:val="16"/>
          <w:szCs w:val="16"/>
        </w:rPr>
        <w:t xml:space="preserve">(23) </w:t>
      </w:r>
      <w:r w:rsidRPr="00DE096C">
        <w:rPr>
          <w:bCs/>
          <w:color w:val="002060"/>
          <w:sz w:val="16"/>
          <w:szCs w:val="16"/>
        </w:rPr>
        <w:t>октября 1914г.</w:t>
      </w:r>
      <w:r w:rsidR="009F28AE" w:rsidRPr="00DE096C">
        <w:rPr>
          <w:bCs/>
          <w:color w:val="002060"/>
          <w:sz w:val="16"/>
          <w:szCs w:val="16"/>
        </w:rPr>
        <w:t>т</w:t>
      </w:r>
      <w:r w:rsidRPr="00DE096C">
        <w:rPr>
          <w:bCs/>
          <w:color w:val="002060"/>
          <w:sz w:val="16"/>
          <w:szCs w:val="16"/>
        </w:rPr>
        <w:t>ренажер для обучения пилотированию самолёта, пред</w:t>
      </w:r>
      <w:r w:rsidRPr="00DE096C">
        <w:rPr>
          <w:bCs/>
          <w:color w:val="002060"/>
          <w:sz w:val="16"/>
          <w:szCs w:val="16"/>
        </w:rPr>
        <w:softHyphen/>
        <w:t>ставлявший собою пилотское кресло, вращавшееся вокруг трех осей, предложил И. А. Рубинский. Вращения кресла задавались инструктором, а обучавшийся парировал их действием рулей (11425).</w:t>
      </w:r>
    </w:p>
    <w:p w14:paraId="376542F3" w14:textId="77777777" w:rsidR="00B67D7C" w:rsidRPr="00DE096C" w:rsidRDefault="00B67D7C" w:rsidP="00D45A46">
      <w:pPr>
        <w:shd w:val="clear" w:color="auto" w:fill="FFFFFF"/>
        <w:jc w:val="both"/>
        <w:rPr>
          <w:bCs/>
          <w:color w:val="002060"/>
          <w:sz w:val="16"/>
          <w:szCs w:val="16"/>
        </w:rPr>
      </w:pPr>
    </w:p>
    <w:p w14:paraId="21825C7F" w14:textId="422449E3" w:rsidR="00221CF3" w:rsidRPr="00DE096C" w:rsidRDefault="00221CF3" w:rsidP="00D45A46">
      <w:pPr>
        <w:jc w:val="both"/>
        <w:rPr>
          <w:bCs/>
          <w:color w:val="002060"/>
          <w:sz w:val="16"/>
          <w:szCs w:val="16"/>
        </w:rPr>
      </w:pPr>
      <w:r w:rsidRPr="00DE096C">
        <w:rPr>
          <w:rStyle w:val="ucoz-forum-post"/>
          <w:rFonts w:eastAsiaTheme="majorEastAsia"/>
          <w:bCs/>
          <w:color w:val="002060"/>
          <w:sz w:val="16"/>
          <w:szCs w:val="16"/>
        </w:rPr>
        <w:t xml:space="preserve">10 (23) октября </w:t>
      </w:r>
      <w:r w:rsidRPr="00DE096C">
        <w:rPr>
          <w:bCs/>
          <w:color w:val="002060"/>
          <w:sz w:val="16"/>
          <w:szCs w:val="16"/>
        </w:rPr>
        <w:t>в 1914 году в Москве И.А.Рубинский построил тренажер для обучению пилотированию самолета (14808).</w:t>
      </w:r>
    </w:p>
    <w:p w14:paraId="212330FB" w14:textId="77777777" w:rsidR="00221CF3" w:rsidRPr="00DE096C" w:rsidRDefault="00221CF3" w:rsidP="00D45A46">
      <w:pPr>
        <w:jc w:val="both"/>
        <w:rPr>
          <w:bCs/>
          <w:color w:val="002060"/>
          <w:sz w:val="16"/>
          <w:szCs w:val="16"/>
        </w:rPr>
      </w:pPr>
    </w:p>
    <w:p w14:paraId="42C645C2"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w:t>
      </w:r>
    </w:p>
    <w:p w14:paraId="4B6F0961" w14:textId="77777777" w:rsidR="00B67D7C" w:rsidRPr="00DE096C" w:rsidRDefault="00B67D7C" w:rsidP="00D45A46">
      <w:pPr>
        <w:shd w:val="clear" w:color="auto" w:fill="FFFFFF"/>
        <w:jc w:val="both"/>
        <w:rPr>
          <w:bCs/>
          <w:i/>
          <w:color w:val="002060"/>
          <w:sz w:val="16"/>
          <w:szCs w:val="16"/>
        </w:rPr>
      </w:pPr>
    </w:p>
    <w:p w14:paraId="7DC7A94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10 (23) октября 1914 г. главное управление главного штаба русской армии доносило на запрос о возможности органи</w:t>
      </w:r>
      <w:r w:rsidRPr="00DE096C">
        <w:rPr>
          <w:bCs/>
          <w:color w:val="002060"/>
          <w:sz w:val="16"/>
          <w:szCs w:val="16"/>
        </w:rPr>
        <w:softHyphen/>
        <w:t>зации новых авиационных отрядов: «...установлено, что летатель</w:t>
      </w:r>
      <w:r w:rsidRPr="00DE096C">
        <w:rPr>
          <w:bCs/>
          <w:color w:val="002060"/>
          <w:sz w:val="16"/>
          <w:szCs w:val="16"/>
        </w:rPr>
        <w:softHyphen/>
        <w:t>ные аппараты не могут быть построены для новых отрядов ранее ноября или декабря, так как все изготовляемые в настоящее время идут на пополнение значительной убыли аппаратов в су</w:t>
      </w:r>
      <w:r w:rsidRPr="00DE096C">
        <w:rPr>
          <w:bCs/>
          <w:color w:val="002060"/>
          <w:sz w:val="16"/>
          <w:szCs w:val="16"/>
        </w:rPr>
        <w:softHyphen/>
        <w:t>ществующих отрядах» (ЦГВИА, ф. 2003, оп. II, ц. 612, л. 48).</w:t>
      </w:r>
    </w:p>
    <w:p w14:paraId="6FB5D6D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Многие авиационные отряды были вынуждены вести боевую работу на устаревших, изношенных самолетах, так как снабже</w:t>
      </w:r>
      <w:r w:rsidRPr="00DE096C">
        <w:rPr>
          <w:bCs/>
          <w:color w:val="002060"/>
          <w:sz w:val="16"/>
          <w:szCs w:val="16"/>
        </w:rPr>
        <w:softHyphen/>
        <w:t>ние самолетами новых марок не было налажено. В одном из до</w:t>
      </w:r>
      <w:r w:rsidRPr="00DE096C">
        <w:rPr>
          <w:bCs/>
          <w:color w:val="002060"/>
          <w:sz w:val="16"/>
          <w:szCs w:val="16"/>
        </w:rPr>
        <w:softHyphen/>
        <w:t>несений главнокомандующего армиями Западного фронта, дати</w:t>
      </w:r>
      <w:r w:rsidRPr="00DE096C">
        <w:rPr>
          <w:bCs/>
          <w:color w:val="002060"/>
          <w:sz w:val="16"/>
          <w:szCs w:val="16"/>
        </w:rPr>
        <w:softHyphen/>
        <w:t>рованном 12 января 1917 г., говорится: «В настоящее время на фронте состоит 14 авиационных отрядов со 100 самолетами, но из них исправных аппаратов - современных систем... только лишь 18» (ЦГВИА, ф. 2003, оп. II, д. 1224, л. 21) (430).</w:t>
      </w:r>
    </w:p>
    <w:p w14:paraId="2E00E6FB" w14:textId="77777777" w:rsidR="00B67D7C" w:rsidRPr="00DE096C" w:rsidRDefault="00B67D7C" w:rsidP="00D45A46">
      <w:pPr>
        <w:shd w:val="clear" w:color="auto" w:fill="FFFFFF"/>
        <w:jc w:val="both"/>
        <w:rPr>
          <w:bCs/>
          <w:color w:val="002060"/>
          <w:sz w:val="16"/>
          <w:szCs w:val="16"/>
        </w:rPr>
      </w:pPr>
    </w:p>
    <w:p w14:paraId="73A9E70C" w14:textId="1418CE4F" w:rsidR="00A408B9" w:rsidRPr="00DE096C" w:rsidRDefault="00A408B9" w:rsidP="00D45A46">
      <w:pPr>
        <w:jc w:val="both"/>
        <w:rPr>
          <w:bCs/>
          <w:color w:val="002060"/>
          <w:sz w:val="16"/>
          <w:szCs w:val="16"/>
        </w:rPr>
      </w:pPr>
      <w:r w:rsidRPr="00DE096C">
        <w:rPr>
          <w:bCs/>
          <w:color w:val="002060"/>
          <w:sz w:val="16"/>
          <w:szCs w:val="16"/>
        </w:rPr>
        <w:t xml:space="preserve">10 </w:t>
      </w:r>
      <w:r w:rsidR="009F28AE" w:rsidRPr="00DE096C">
        <w:rPr>
          <w:bCs/>
          <w:color w:val="002060"/>
          <w:sz w:val="16"/>
          <w:szCs w:val="16"/>
        </w:rPr>
        <w:t xml:space="preserve">(23) </w:t>
      </w:r>
      <w:r w:rsidRPr="00DE096C">
        <w:rPr>
          <w:bCs/>
          <w:color w:val="002060"/>
          <w:sz w:val="16"/>
          <w:szCs w:val="16"/>
        </w:rPr>
        <w:t>октября в 1914 году в Москве И.А.Рубинский построил тренажер для обучения пилотированию самолета (14795).</w:t>
      </w:r>
    </w:p>
    <w:p w14:paraId="5811BC95" w14:textId="77777777" w:rsidR="00A408B9" w:rsidRPr="00DE096C" w:rsidRDefault="00A408B9" w:rsidP="00D45A46">
      <w:pPr>
        <w:jc w:val="both"/>
        <w:rPr>
          <w:bCs/>
          <w:color w:val="002060"/>
          <w:sz w:val="16"/>
          <w:szCs w:val="16"/>
        </w:rPr>
      </w:pPr>
    </w:p>
    <w:p w14:paraId="3B7C7878" w14:textId="142657EE" w:rsidR="00B67D7C" w:rsidRPr="00DE096C" w:rsidRDefault="00B67D7C" w:rsidP="00D45A46">
      <w:pPr>
        <w:jc w:val="both"/>
        <w:rPr>
          <w:bCs/>
          <w:color w:val="002060"/>
          <w:sz w:val="16"/>
          <w:szCs w:val="16"/>
        </w:rPr>
      </w:pPr>
      <w:r w:rsidRPr="00DE096C">
        <w:rPr>
          <w:bCs/>
          <w:color w:val="002060"/>
          <w:sz w:val="16"/>
          <w:szCs w:val="16"/>
        </w:rPr>
        <w:t xml:space="preserve">10 </w:t>
      </w:r>
      <w:r w:rsidR="009F28AE" w:rsidRPr="00DE096C">
        <w:rPr>
          <w:bCs/>
          <w:color w:val="002060"/>
          <w:sz w:val="16"/>
          <w:szCs w:val="16"/>
        </w:rPr>
        <w:t xml:space="preserve">(23) </w:t>
      </w:r>
      <w:r w:rsidRPr="00DE096C">
        <w:rPr>
          <w:bCs/>
          <w:color w:val="002060"/>
          <w:sz w:val="16"/>
          <w:szCs w:val="16"/>
        </w:rPr>
        <w:t>октября</w:t>
      </w:r>
      <w:r w:rsidR="009F28AE" w:rsidRPr="00DE096C">
        <w:rPr>
          <w:bCs/>
          <w:color w:val="002060"/>
          <w:sz w:val="16"/>
          <w:szCs w:val="16"/>
        </w:rPr>
        <w:t xml:space="preserve"> 1914 г</w:t>
      </w:r>
      <w:r w:rsidRPr="00DE096C">
        <w:rPr>
          <w:bCs/>
          <w:color w:val="002060"/>
          <w:sz w:val="16"/>
          <w:szCs w:val="16"/>
        </w:rPr>
        <w:t xml:space="preserve">. </w:t>
      </w:r>
      <w:r w:rsidR="009F28AE" w:rsidRPr="00DE096C">
        <w:rPr>
          <w:bCs/>
          <w:color w:val="002060"/>
          <w:sz w:val="16"/>
          <w:szCs w:val="16"/>
        </w:rPr>
        <w:t xml:space="preserve">был совершен последний налет </w:t>
      </w:r>
      <w:r w:rsidR="00EE125C" w:rsidRPr="00DE096C">
        <w:rPr>
          <w:bCs/>
          <w:color w:val="002060"/>
          <w:sz w:val="16"/>
          <w:szCs w:val="16"/>
        </w:rPr>
        <w:t xml:space="preserve">на Варшаву </w:t>
      </w:r>
      <w:r w:rsidR="009F28AE" w:rsidRPr="00DE096C">
        <w:rPr>
          <w:bCs/>
          <w:color w:val="002060"/>
          <w:sz w:val="16"/>
          <w:szCs w:val="16"/>
        </w:rPr>
        <w:t xml:space="preserve">в ходе Варшавско-Ивангородской операции. </w:t>
      </w:r>
      <w:r w:rsidRPr="00DE096C">
        <w:rPr>
          <w:bCs/>
          <w:color w:val="002060"/>
          <w:sz w:val="16"/>
          <w:szCs w:val="16"/>
        </w:rPr>
        <w:t>Как отмечал варшавский обер-полицмейстер генерал-майор П.П. Мейер, неприятельские аэропланы сбросили «в течение первых дней октября до 35 бомб, взорвавшихся в разных местах города и причинивших ранения и смерть свыше 233 лицам, в числе коих было 48 женщин и 14 детей».</w:t>
      </w:r>
    </w:p>
    <w:p w14:paraId="3126735A" w14:textId="77777777" w:rsidR="00B67D7C" w:rsidRPr="00DE096C" w:rsidRDefault="00B67D7C" w:rsidP="00D45A46">
      <w:pPr>
        <w:jc w:val="both"/>
        <w:rPr>
          <w:bCs/>
          <w:color w:val="002060"/>
          <w:sz w:val="16"/>
          <w:szCs w:val="16"/>
        </w:rPr>
      </w:pPr>
      <w:r w:rsidRPr="00DE096C">
        <w:rPr>
          <w:bCs/>
          <w:color w:val="002060"/>
          <w:sz w:val="16"/>
          <w:szCs w:val="16"/>
        </w:rPr>
        <w:t>Первый опыт боев с воздушным противником выявил главные недостатки импровизированной противовоздушной обороны: сложность ведения огня на больших углах возвышения (что приводило не только к низкой боевой эффективности, но и к жертвам на земле от слишком близких разрывов снарядов), большие затраты времени для поворота стволов в сторону быстро маневрирующей цели, отсутствие в силу этого координации наземного огня.</w:t>
      </w:r>
    </w:p>
    <w:p w14:paraId="2B2422C8" w14:textId="77777777" w:rsidR="00B67D7C" w:rsidRPr="00DE096C" w:rsidRDefault="00B67D7C" w:rsidP="00D45A46">
      <w:pPr>
        <w:jc w:val="both"/>
        <w:rPr>
          <w:bCs/>
          <w:color w:val="002060"/>
          <w:sz w:val="16"/>
          <w:szCs w:val="16"/>
        </w:rPr>
      </w:pPr>
      <w:r w:rsidRPr="00DE096C">
        <w:rPr>
          <w:bCs/>
          <w:color w:val="002060"/>
          <w:sz w:val="16"/>
          <w:szCs w:val="16"/>
        </w:rPr>
        <w:t>Все это объяснялось отсутствием специальных зенитных орудий, которые только начали производиться. Тем не менее, даже имеющимися средствами Варшавская крепостная артиллерия смогла заставить противника отказаться от использования дирижаблей, имеющих большую по сравнению с аэропланами грузоподъемность и дальность полета. К борьбе с налетами аэропланов парами и четверками варшавские артиллеристы не были готовы. Следует особо подчеркнуть, что это был первый в мире опыт защиты крупного города, являвшегося административно-политическим центром и одновременно опорной базой большого количества войск.</w:t>
      </w:r>
    </w:p>
    <w:p w14:paraId="24571964" w14:textId="77777777" w:rsidR="00B67D7C" w:rsidRPr="00DE096C" w:rsidRDefault="00B67D7C" w:rsidP="00D45A46">
      <w:pPr>
        <w:jc w:val="both"/>
        <w:rPr>
          <w:bCs/>
          <w:i/>
          <w:color w:val="002060"/>
          <w:sz w:val="16"/>
          <w:szCs w:val="16"/>
        </w:rPr>
      </w:pPr>
    </w:p>
    <w:p w14:paraId="3C75D6CA" w14:textId="1566E195" w:rsidR="00B67D7C" w:rsidRPr="00DE096C" w:rsidRDefault="00B67D7C" w:rsidP="00D45A46">
      <w:pPr>
        <w:jc w:val="both"/>
        <w:rPr>
          <w:bCs/>
          <w:color w:val="002060"/>
          <w:sz w:val="16"/>
          <w:szCs w:val="16"/>
        </w:rPr>
      </w:pPr>
      <w:r w:rsidRPr="00DE096C">
        <w:rPr>
          <w:bCs/>
          <w:color w:val="002060"/>
          <w:sz w:val="16"/>
          <w:szCs w:val="16"/>
        </w:rPr>
        <w:t xml:space="preserve">10 </w:t>
      </w:r>
      <w:r w:rsidR="00EE125C" w:rsidRPr="00DE096C">
        <w:rPr>
          <w:bCs/>
          <w:color w:val="002060"/>
          <w:sz w:val="16"/>
          <w:szCs w:val="16"/>
        </w:rPr>
        <w:t xml:space="preserve">(23) </w:t>
      </w:r>
      <w:r w:rsidRPr="00DE096C">
        <w:rPr>
          <w:bCs/>
          <w:color w:val="002060"/>
          <w:sz w:val="16"/>
          <w:szCs w:val="16"/>
        </w:rPr>
        <w:t xml:space="preserve">октября </w:t>
      </w:r>
      <w:r w:rsidR="00EE125C" w:rsidRPr="00DE096C">
        <w:rPr>
          <w:bCs/>
          <w:color w:val="002060"/>
          <w:sz w:val="16"/>
          <w:szCs w:val="16"/>
        </w:rPr>
        <w:t xml:space="preserve">1914 г. командир "Муромца I" штабс-капитан Руднев послал из Белостока </w:t>
      </w:r>
      <w:r w:rsidRPr="00DE096C">
        <w:rPr>
          <w:bCs/>
          <w:color w:val="002060"/>
          <w:sz w:val="16"/>
          <w:szCs w:val="16"/>
        </w:rPr>
        <w:t>телеграмму в ГВТУ, извещая о том, что, несмотря на то, что аэроплан давно уже готов, он дважды безуспешно пытался набрать боевую высоту с полной нагрузкой. Первый раз это сделать помешал сильный ветер, а во время второго полёта обмерзли карбюраторы, надтреснули все трубы, раскрепляющие моторы. Этому свидетелем был механик Панасюк, летавший с Рудневым. Аэроплан во время этих полётов нёс полную нагрузку порядка 1500 кг.</w:t>
      </w:r>
    </w:p>
    <w:p w14:paraId="0FBDC579" w14:textId="77777777" w:rsidR="00B67D7C" w:rsidRPr="00DE096C" w:rsidRDefault="00B67D7C" w:rsidP="00D45A46">
      <w:pPr>
        <w:jc w:val="both"/>
        <w:rPr>
          <w:bCs/>
          <w:color w:val="002060"/>
          <w:sz w:val="16"/>
          <w:szCs w:val="16"/>
        </w:rPr>
      </w:pPr>
      <w:r w:rsidRPr="00DE096C">
        <w:rPr>
          <w:bCs/>
          <w:color w:val="002060"/>
          <w:sz w:val="16"/>
          <w:szCs w:val="16"/>
        </w:rPr>
        <w:t>Начальник штаба Северо-Западного фронта генерал-лейтенант В.А. Орановский, желая, чтобы, наконец, наладилась боевая работа, очень просил оставить на фронте механика Панасюка, которого ждали на заводе в Петрограде.</w:t>
      </w:r>
    </w:p>
    <w:p w14:paraId="7E4D6E5F" w14:textId="77777777" w:rsidR="00B67D7C" w:rsidRPr="00DE096C" w:rsidRDefault="00B67D7C" w:rsidP="00D45A46">
      <w:pPr>
        <w:jc w:val="both"/>
        <w:rPr>
          <w:bCs/>
          <w:color w:val="002060"/>
          <w:sz w:val="16"/>
          <w:szCs w:val="16"/>
        </w:rPr>
      </w:pPr>
      <w:r w:rsidRPr="00DE096C">
        <w:rPr>
          <w:bCs/>
          <w:color w:val="002060"/>
          <w:sz w:val="16"/>
          <w:szCs w:val="16"/>
        </w:rPr>
        <w:t>При пробных полётах выявилась ещё масса недоработок. Например, трубка, служащая для подогревания воздуха, идущего в карбюратор, вследствие малого диаметра легко засорялась. Один из моторов работал плохо, а при трёх остальных работающих аэроплан не мог, по словам Руднева, держаться с полной нагрузкой в воздухе. Баки с бензином были расположены неудачно относительно двигателей, так как находились непосредственно над ними, и при пулевой пробоине весь бензин вылился бы прямо на двигатель, вызвав пожар. Руднев также сообщал, что может делать разведку продолжительностью не более 5-5,5 часов, при полной нагрузке без бомб, но с двумя пулемётами и с минимальным экипажем в четыре человека. А при снятом вооружении аппарат смог бы взять 6-6,5 пудов бомб. Снарядов к 37-мм пушке не было и её демонтировали. (12041).</w:t>
      </w:r>
    </w:p>
    <w:p w14:paraId="7B903449" w14:textId="77777777" w:rsidR="00B67D7C" w:rsidRPr="00DE096C" w:rsidRDefault="00B67D7C" w:rsidP="00D45A46">
      <w:pPr>
        <w:jc w:val="both"/>
        <w:rPr>
          <w:bCs/>
          <w:color w:val="002060"/>
          <w:sz w:val="16"/>
          <w:szCs w:val="16"/>
        </w:rPr>
      </w:pPr>
    </w:p>
    <w:p w14:paraId="6632C56F" w14:textId="2E80A812" w:rsidR="00B67D7C" w:rsidRPr="00DE096C" w:rsidRDefault="00EE125C" w:rsidP="00D45A46">
      <w:pPr>
        <w:shd w:val="clear" w:color="auto" w:fill="FFFFFF"/>
        <w:jc w:val="both"/>
        <w:rPr>
          <w:bCs/>
          <w:i/>
          <w:color w:val="002060"/>
          <w:sz w:val="16"/>
          <w:szCs w:val="16"/>
        </w:rPr>
      </w:pPr>
      <w:r w:rsidRPr="00DE096C">
        <w:rPr>
          <w:bCs/>
          <w:i/>
          <w:color w:val="002060"/>
          <w:sz w:val="16"/>
          <w:szCs w:val="16"/>
        </w:rPr>
        <w:t>Армия</w:t>
      </w:r>
      <w:r w:rsidR="00B67D7C" w:rsidRPr="00DE096C">
        <w:rPr>
          <w:bCs/>
          <w:i/>
          <w:color w:val="002060"/>
          <w:sz w:val="16"/>
          <w:szCs w:val="16"/>
        </w:rPr>
        <w:t>:</w:t>
      </w:r>
    </w:p>
    <w:p w14:paraId="44CD2956" w14:textId="77777777" w:rsidR="00B67D7C" w:rsidRPr="00DE096C" w:rsidRDefault="00B67D7C" w:rsidP="00D45A46">
      <w:pPr>
        <w:shd w:val="clear" w:color="auto" w:fill="FFFFFF"/>
        <w:jc w:val="both"/>
        <w:rPr>
          <w:bCs/>
          <w:i/>
          <w:color w:val="002060"/>
          <w:sz w:val="16"/>
          <w:szCs w:val="16"/>
        </w:rPr>
      </w:pPr>
    </w:p>
    <w:p w14:paraId="179A41B6" w14:textId="09EFB8FC" w:rsidR="00B67D7C" w:rsidRPr="00DE096C" w:rsidRDefault="00B67D7C" w:rsidP="00D45A46">
      <w:pPr>
        <w:shd w:val="clear" w:color="auto" w:fill="FFFFFF"/>
        <w:jc w:val="both"/>
        <w:rPr>
          <w:bCs/>
          <w:color w:val="002060"/>
          <w:sz w:val="16"/>
          <w:szCs w:val="16"/>
        </w:rPr>
      </w:pPr>
      <w:r w:rsidRPr="00DE096C">
        <w:rPr>
          <w:bCs/>
          <w:color w:val="002060"/>
          <w:sz w:val="16"/>
          <w:szCs w:val="16"/>
        </w:rPr>
        <w:t>10 (23) октября 1914 года крейсер «Паллада» погиб со всем экипажем в результа</w:t>
      </w:r>
      <w:r w:rsidRPr="00DE096C">
        <w:rPr>
          <w:bCs/>
          <w:color w:val="002060"/>
          <w:sz w:val="16"/>
          <w:szCs w:val="16"/>
        </w:rPr>
        <w:softHyphen/>
        <w:t>те торпедной атаки германской подводной лодки (11283).</w:t>
      </w:r>
    </w:p>
    <w:p w14:paraId="13D7AB6D" w14:textId="77777777" w:rsidR="00B67D7C" w:rsidRPr="00DE096C" w:rsidRDefault="00B67D7C" w:rsidP="00D45A46">
      <w:pPr>
        <w:shd w:val="clear" w:color="auto" w:fill="FFFFFF"/>
        <w:jc w:val="both"/>
        <w:rPr>
          <w:bCs/>
          <w:color w:val="002060"/>
          <w:sz w:val="16"/>
          <w:szCs w:val="16"/>
        </w:rPr>
      </w:pPr>
    </w:p>
    <w:p w14:paraId="53D832F0" w14:textId="77777777" w:rsidR="00A408B9" w:rsidRPr="00DE096C" w:rsidRDefault="00A408B9" w:rsidP="00D45A46">
      <w:pPr>
        <w:jc w:val="both"/>
        <w:rPr>
          <w:bCs/>
          <w:i/>
          <w:color w:val="002060"/>
          <w:sz w:val="16"/>
          <w:szCs w:val="16"/>
        </w:rPr>
      </w:pPr>
      <w:r w:rsidRPr="00DE096C">
        <w:rPr>
          <w:bCs/>
          <w:i/>
          <w:color w:val="002060"/>
          <w:sz w:val="16"/>
          <w:szCs w:val="16"/>
        </w:rPr>
        <w:t>Жизнь и внутренняя политика:</w:t>
      </w:r>
    </w:p>
    <w:p w14:paraId="2826FFD3" w14:textId="77777777" w:rsidR="00A408B9" w:rsidRPr="00DE096C" w:rsidRDefault="00A408B9" w:rsidP="00D45A46">
      <w:pPr>
        <w:jc w:val="both"/>
        <w:rPr>
          <w:bCs/>
          <w:i/>
          <w:color w:val="002060"/>
          <w:sz w:val="16"/>
          <w:szCs w:val="16"/>
        </w:rPr>
      </w:pPr>
    </w:p>
    <w:p w14:paraId="7B3104EF" w14:textId="1A5B09FB" w:rsidR="00A408B9" w:rsidRPr="00DE096C" w:rsidRDefault="00A408B9" w:rsidP="00D45A46">
      <w:pPr>
        <w:pStyle w:val="p1"/>
        <w:spacing w:before="0" w:beforeAutospacing="0" w:after="0" w:afterAutospacing="0"/>
        <w:jc w:val="both"/>
        <w:rPr>
          <w:bCs/>
          <w:color w:val="002060"/>
          <w:sz w:val="16"/>
          <w:szCs w:val="16"/>
        </w:rPr>
      </w:pPr>
      <w:r w:rsidRPr="00DE096C">
        <w:rPr>
          <w:bCs/>
          <w:color w:val="002060"/>
          <w:sz w:val="16"/>
          <w:szCs w:val="16"/>
        </w:rPr>
        <w:t xml:space="preserve">10 </w:t>
      </w:r>
      <w:r w:rsidR="00EE125C" w:rsidRPr="00DE096C">
        <w:rPr>
          <w:bCs/>
          <w:color w:val="002060"/>
          <w:sz w:val="16"/>
          <w:szCs w:val="16"/>
        </w:rPr>
        <w:t xml:space="preserve">(23) </w:t>
      </w:r>
      <w:r w:rsidRPr="00DE096C">
        <w:rPr>
          <w:bCs/>
          <w:color w:val="002060"/>
          <w:sz w:val="16"/>
          <w:szCs w:val="16"/>
        </w:rPr>
        <w:t>октября 1914 г. был доклад Министерства внутренних дел Совету министров о том, что сущность поставленной себе правительством задачи сводилась к «необходимости вновь юридически обособить иностранных поселенцев — русских подданных… в смысле… сужения их гражданских прав», так, чтобы в конечном счете «германское» землевладение было «до возможных пределов ликвидировано». Предполагалось, что имущество будет не отобрано у «немцев» безвозмездно, а «приобретено на условиях, напоминающих общий порядок принудительного отчуждения для государственных целей». В случае, если бывший владелец не соглашался с заниженной, по его мнению, оценкой переходящего к Крестьянскому банку имения, он мог жаловаться, но не в суд, а в Сенат, где дело разрешалось «окончательно». Совет министров с удовлетворением отмечал, что тем самым «интересы собственника находят себе полное ограждение», и в то же время — что таковое обжалование будет, «как сказано, бесцельным». Действительно, к тому времени Сенат представлял собой послушное орудие правительства и «способствовал проведению правительственных планов, расходящихся с законами… создавая новые толкования ранее имеющихся актов, противореча собственной ранее сложившейся практике, но открывая пути новым правовым решениям».</w:t>
      </w:r>
    </w:p>
    <w:p w14:paraId="22974960" w14:textId="77777777" w:rsidR="00A408B9" w:rsidRPr="00DE096C" w:rsidRDefault="00A408B9" w:rsidP="00D45A46">
      <w:pPr>
        <w:pStyle w:val="p1"/>
        <w:spacing w:before="0" w:beforeAutospacing="0" w:after="0" w:afterAutospacing="0"/>
        <w:jc w:val="both"/>
        <w:rPr>
          <w:bCs/>
          <w:color w:val="002060"/>
          <w:sz w:val="16"/>
          <w:szCs w:val="16"/>
        </w:rPr>
      </w:pPr>
      <w:r w:rsidRPr="00DE096C">
        <w:rPr>
          <w:bCs/>
          <w:color w:val="002060"/>
          <w:sz w:val="16"/>
          <w:szCs w:val="16"/>
        </w:rPr>
        <w:t xml:space="preserve">Анализ законов о ликвидации «германского» землевладения тогда же показал, что они «существенно подрывают коренные устои нашего гражданского права». Во-первых, оценка отбираемого имущества была предоставлена «безграничному усмотрению» Крестьянского банка, без судебной гарантии интересам прежнего </w:t>
      </w:r>
      <w:r w:rsidRPr="00DE096C">
        <w:rPr>
          <w:bCs/>
          <w:color w:val="002060"/>
          <w:sz w:val="16"/>
          <w:szCs w:val="16"/>
        </w:rPr>
        <w:lastRenderedPageBreak/>
        <w:t>владельца и третьих лиц. Во-вторых, был отменен принцип немедленной уплаты (вместо него — выплата по 4,5% в течение 25 лет). В-третьих, владелец получал за отобранное имущество не деньги, а «именные билеты» Крестьянского банка, реализовать которые не было возможности (владельцы не имели права этими бумагами расплачиваться, завещать их или вообще кому-либо передавать). Установленный таким образом порядок расчета с бывшим владельцем проясняет, какими воззрениями руководствовалось в 1906 г. правительство, заменяя в формуле о собственности из французской революционной «Декларации» 1789 г. «справедливое и предварительное возмещение» на отечественное «справедливое и приличное вознаграждение» (18409).</w:t>
      </w:r>
    </w:p>
    <w:p w14:paraId="20E6A7CB" w14:textId="77777777" w:rsidR="00A408B9" w:rsidRPr="00DE096C" w:rsidRDefault="00A408B9" w:rsidP="00D45A46">
      <w:pPr>
        <w:pStyle w:val="p1"/>
        <w:spacing w:before="0" w:beforeAutospacing="0" w:after="0" w:afterAutospacing="0"/>
        <w:jc w:val="both"/>
        <w:rPr>
          <w:bCs/>
          <w:color w:val="002060"/>
          <w:sz w:val="16"/>
          <w:szCs w:val="16"/>
        </w:rPr>
      </w:pPr>
    </w:p>
    <w:p w14:paraId="4BBFC7E6" w14:textId="77777777" w:rsidR="00B67D7C" w:rsidRPr="00DE096C" w:rsidRDefault="00B67D7C" w:rsidP="00D45A46">
      <w:pPr>
        <w:jc w:val="both"/>
        <w:rPr>
          <w:bCs/>
          <w:i/>
          <w:color w:val="002060"/>
          <w:sz w:val="16"/>
          <w:szCs w:val="16"/>
        </w:rPr>
      </w:pPr>
      <w:r w:rsidRPr="00DE096C">
        <w:rPr>
          <w:bCs/>
          <w:i/>
          <w:color w:val="002060"/>
          <w:sz w:val="16"/>
          <w:szCs w:val="16"/>
        </w:rPr>
        <w:t>Авиация и воздухоплавание Германии:</w:t>
      </w:r>
    </w:p>
    <w:p w14:paraId="1764A264" w14:textId="77777777" w:rsidR="00B67D7C" w:rsidRPr="00DE096C" w:rsidRDefault="00B67D7C" w:rsidP="00D45A46">
      <w:pPr>
        <w:jc w:val="both"/>
        <w:rPr>
          <w:bCs/>
          <w:i/>
          <w:color w:val="002060"/>
          <w:sz w:val="16"/>
          <w:szCs w:val="16"/>
        </w:rPr>
      </w:pPr>
    </w:p>
    <w:p w14:paraId="0AB69605" w14:textId="77777777" w:rsidR="00B67D7C" w:rsidRPr="00DE096C" w:rsidRDefault="00B67D7C" w:rsidP="00D45A46">
      <w:pPr>
        <w:jc w:val="both"/>
        <w:rPr>
          <w:bCs/>
          <w:color w:val="002060"/>
          <w:sz w:val="16"/>
          <w:szCs w:val="16"/>
        </w:rPr>
      </w:pPr>
      <w:r w:rsidRPr="00DE096C">
        <w:rPr>
          <w:bCs/>
          <w:color w:val="002060"/>
          <w:sz w:val="16"/>
          <w:szCs w:val="16"/>
        </w:rPr>
        <w:t>11 (24) октября - Аэроплану 17-го авиаотряда германской армии удается установить связь с отрезанным XXV корпусом, и тем самым впервые подтвердить реальность использования авиации как средства связи во время боя (11999).</w:t>
      </w:r>
    </w:p>
    <w:p w14:paraId="19A6006E" w14:textId="77777777" w:rsidR="00B67D7C" w:rsidRPr="00DE096C" w:rsidRDefault="00B67D7C" w:rsidP="00D45A46">
      <w:pPr>
        <w:jc w:val="both"/>
        <w:rPr>
          <w:bCs/>
          <w:color w:val="002060"/>
          <w:sz w:val="16"/>
          <w:szCs w:val="16"/>
        </w:rPr>
      </w:pPr>
    </w:p>
    <w:p w14:paraId="106B41CC" w14:textId="77777777" w:rsidR="00B67D7C" w:rsidRPr="00DE096C" w:rsidRDefault="00B67D7C" w:rsidP="00D45A46">
      <w:pPr>
        <w:jc w:val="both"/>
        <w:rPr>
          <w:bCs/>
          <w:i/>
          <w:color w:val="002060"/>
          <w:sz w:val="16"/>
          <w:szCs w:val="16"/>
        </w:rPr>
      </w:pPr>
      <w:r w:rsidRPr="00DE096C">
        <w:rPr>
          <w:bCs/>
          <w:i/>
          <w:color w:val="002060"/>
          <w:sz w:val="16"/>
          <w:szCs w:val="16"/>
        </w:rPr>
        <w:t>Авиация и воздухоплавание Англии:</w:t>
      </w:r>
    </w:p>
    <w:p w14:paraId="7DC7EDAC" w14:textId="77777777" w:rsidR="00B67D7C" w:rsidRPr="00DE096C" w:rsidRDefault="00B67D7C" w:rsidP="00D45A46">
      <w:pPr>
        <w:jc w:val="both"/>
        <w:rPr>
          <w:bCs/>
          <w:i/>
          <w:color w:val="002060"/>
          <w:sz w:val="16"/>
          <w:szCs w:val="16"/>
        </w:rPr>
      </w:pPr>
    </w:p>
    <w:p w14:paraId="27BF6384" w14:textId="15E65C70" w:rsidR="00B67D7C" w:rsidRPr="00DE096C" w:rsidRDefault="00EE125C" w:rsidP="00D45A46">
      <w:pPr>
        <w:jc w:val="both"/>
        <w:rPr>
          <w:bCs/>
          <w:color w:val="002060"/>
          <w:sz w:val="16"/>
          <w:szCs w:val="16"/>
        </w:rPr>
      </w:pPr>
      <w:r w:rsidRPr="00DE096C">
        <w:rPr>
          <w:bCs/>
          <w:color w:val="002060"/>
          <w:sz w:val="16"/>
          <w:szCs w:val="16"/>
        </w:rPr>
        <w:t>Н</w:t>
      </w:r>
      <w:r w:rsidR="00B67D7C" w:rsidRPr="00DE096C">
        <w:rPr>
          <w:bCs/>
          <w:color w:val="002060"/>
          <w:sz w:val="16"/>
          <w:szCs w:val="16"/>
        </w:rPr>
        <w:t>а 11 (24) октября</w:t>
      </w:r>
      <w:r w:rsidRPr="00DE096C">
        <w:rPr>
          <w:bCs/>
          <w:color w:val="002060"/>
          <w:sz w:val="16"/>
          <w:szCs w:val="16"/>
        </w:rPr>
        <w:t xml:space="preserve"> 1914 г</w:t>
      </w:r>
      <w:r w:rsidR="00B67D7C" w:rsidRPr="00DE096C">
        <w:rPr>
          <w:bCs/>
          <w:color w:val="002060"/>
          <w:sz w:val="16"/>
          <w:szCs w:val="16"/>
        </w:rPr>
        <w:t xml:space="preserve">. </w:t>
      </w:r>
      <w:r w:rsidRPr="00DE096C">
        <w:rPr>
          <w:bCs/>
          <w:color w:val="002060"/>
          <w:sz w:val="16"/>
          <w:szCs w:val="16"/>
        </w:rPr>
        <w:t xml:space="preserve">была назначена операция Куксхафена. </w:t>
      </w:r>
      <w:r w:rsidR="00B67D7C" w:rsidRPr="00DE096C">
        <w:rPr>
          <w:bCs/>
          <w:color w:val="002060"/>
          <w:sz w:val="16"/>
          <w:szCs w:val="16"/>
        </w:rPr>
        <w:t>Ранним утром флотилия кораблей вышла в море, но начавшийся сильный шторм заставил их вернуться в порт. В течение нескольких дней погода не менялась. За это время в Адмиралтействе решили расширить рамки операции британского флота и усилить отряд кораблей. В соответствии с новым планом, главные силы флотилии должны были располагаться вблизи отряда плавбаз и в случае необходимости отразить контратаку кораблей ВМФ Германии. Все были готовы к выходу в море, но погода явно не способствовала выполнению задания. Еще трижды (один раз в конце октября и два — в ноябре) из-за плохих метеоусловий флотилия была вынуждена возвращаться назад (11324).</w:t>
      </w:r>
    </w:p>
    <w:p w14:paraId="7459890E" w14:textId="77777777" w:rsidR="00B67D7C" w:rsidRPr="00DE096C" w:rsidRDefault="00B67D7C" w:rsidP="00D45A46">
      <w:pPr>
        <w:jc w:val="both"/>
        <w:rPr>
          <w:bCs/>
          <w:i/>
          <w:color w:val="002060"/>
          <w:sz w:val="16"/>
          <w:szCs w:val="16"/>
        </w:rPr>
      </w:pPr>
    </w:p>
    <w:p w14:paraId="29EBD094"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56AD8638" w14:textId="77777777" w:rsidR="00B67D7C" w:rsidRPr="00DE096C" w:rsidRDefault="00B67D7C" w:rsidP="00D45A46">
      <w:pPr>
        <w:shd w:val="clear" w:color="auto" w:fill="FFFFFF"/>
        <w:jc w:val="both"/>
        <w:rPr>
          <w:bCs/>
          <w:i/>
          <w:color w:val="002060"/>
          <w:sz w:val="16"/>
          <w:szCs w:val="16"/>
        </w:rPr>
      </w:pPr>
    </w:p>
    <w:p w14:paraId="5A0304FC" w14:textId="3DA48111" w:rsidR="00B67D7C" w:rsidRPr="00DE096C" w:rsidRDefault="00B67D7C" w:rsidP="00D45A46">
      <w:pPr>
        <w:jc w:val="both"/>
        <w:rPr>
          <w:bCs/>
          <w:color w:val="002060"/>
          <w:sz w:val="16"/>
          <w:szCs w:val="16"/>
        </w:rPr>
      </w:pPr>
      <w:r w:rsidRPr="00DE096C">
        <w:rPr>
          <w:bCs/>
          <w:color w:val="002060"/>
          <w:sz w:val="16"/>
          <w:szCs w:val="16"/>
        </w:rPr>
        <w:t xml:space="preserve">12 (25) октября 1914 г., когда самолет </w:t>
      </w:r>
      <w:r w:rsidR="00EE125C" w:rsidRPr="00DE096C">
        <w:rPr>
          <w:bCs/>
          <w:color w:val="002060"/>
          <w:sz w:val="16"/>
          <w:szCs w:val="16"/>
        </w:rPr>
        <w:t xml:space="preserve">"Муромец" (заводской № 107) </w:t>
      </w:r>
      <w:r w:rsidRPr="00DE096C">
        <w:rPr>
          <w:bCs/>
          <w:color w:val="002060"/>
          <w:sz w:val="16"/>
          <w:szCs w:val="16"/>
        </w:rPr>
        <w:t>находился в Либаве, к базе подошли немецкие миноносцы. Погодные условия не позволили Лаврову взлететь, и ввиду явной опасности захвата "Муромца" противником командир приказал машину сжечь. Больше "Муромцы" на поплавки не ставились (11230).</w:t>
      </w:r>
    </w:p>
    <w:p w14:paraId="40E30DF1" w14:textId="77777777" w:rsidR="00B67D7C" w:rsidRPr="00DE096C" w:rsidRDefault="00B67D7C" w:rsidP="00D45A46">
      <w:pPr>
        <w:jc w:val="both"/>
        <w:rPr>
          <w:bCs/>
          <w:color w:val="002060"/>
          <w:sz w:val="16"/>
          <w:szCs w:val="16"/>
        </w:rPr>
      </w:pPr>
    </w:p>
    <w:p w14:paraId="619A9A9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то же время в 1911 —1913 гг. для морской авиации закупа</w:t>
      </w:r>
      <w:r w:rsidRPr="00DE096C">
        <w:rPr>
          <w:bCs/>
          <w:color w:val="002060"/>
          <w:sz w:val="16"/>
          <w:szCs w:val="16"/>
        </w:rPr>
        <w:softHyphen/>
        <w:t>лись самолеты французского и американского производства, по</w:t>
      </w:r>
      <w:r w:rsidRPr="00DE096C">
        <w:rPr>
          <w:bCs/>
          <w:color w:val="002060"/>
          <w:sz w:val="16"/>
          <w:szCs w:val="16"/>
        </w:rPr>
        <w:softHyphen/>
        <w:t>плавковые: «Вуазен-Канар», «Моран», «Фарман», «Кертисс-Р» и летающие лодки: «Доннэ-Левек», «ФБА» и «Кертисс-К». Вместе с тем поступали и сухопутные самолеты, часть которых впоследст</w:t>
      </w:r>
      <w:r w:rsidRPr="00DE096C">
        <w:rPr>
          <w:bCs/>
          <w:color w:val="002060"/>
          <w:sz w:val="16"/>
          <w:szCs w:val="16"/>
        </w:rPr>
        <w:softHyphen/>
        <w:t>вии установили на поплавки.</w:t>
      </w:r>
    </w:p>
    <w:p w14:paraId="032943A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С выбором зарубежных самолетов для последующей их закупки не все складывалось гладко. Лучшие, перспективные образцы мог</w:t>
      </w:r>
      <w:r w:rsidRPr="00DE096C">
        <w:rPr>
          <w:bCs/>
          <w:color w:val="002060"/>
          <w:sz w:val="16"/>
          <w:szCs w:val="16"/>
        </w:rPr>
        <w:softHyphen/>
        <w:t>ли просто не продаваться; не исключалась и недобросовестность поставщиков; безусловно, имела значение и стоимость. В том, что это так, убеждает пример поставки в Россию морских самолетов фирмой «Кертисс», которая довольно быстро прогрессировала в области самолетостроения. В 1914 г. морское ведомство вновь зака</w:t>
      </w:r>
      <w:r w:rsidRPr="00DE096C">
        <w:rPr>
          <w:bCs/>
          <w:color w:val="002060"/>
          <w:sz w:val="16"/>
          <w:szCs w:val="16"/>
        </w:rPr>
        <w:softHyphen/>
        <w:t>зало самолеты «Кертисс» двух типов — Р и К, а позднее двухмо</w:t>
      </w:r>
      <w:r w:rsidRPr="00DE096C">
        <w:rPr>
          <w:bCs/>
          <w:color w:val="002060"/>
          <w:sz w:val="16"/>
          <w:szCs w:val="16"/>
        </w:rPr>
        <w:softHyphen/>
        <w:t>торные летающие лодки «Атлантик». Всего было заказано 72 самолета. Из них на флотах было собрано 20 (с апреля 1916 г. их заменили на М-5. Одна из двух поставленных лодок «Атлантик» была разбита при облете).</w:t>
      </w:r>
    </w:p>
    <w:p w14:paraId="6114813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Морской генеральный штаб не сразу перевел деньги — выяви</w:t>
      </w:r>
      <w:r w:rsidRPr="00DE096C">
        <w:rPr>
          <w:bCs/>
          <w:color w:val="002060"/>
          <w:sz w:val="16"/>
          <w:szCs w:val="16"/>
        </w:rPr>
        <w:softHyphen/>
        <w:t>лись недостатки самолетов фирмы «Кертисс» первых образцов (особенно ненадежными оказались двигатели), и заказ с учетом этого обстоятельства скорректировали: вместо шести устаревших поплавковых гидросамолетов типа Г заказали летающие лодки типа К, увеличили также количество закупаемых запасных частей к ним и т. п. И только после необходимых согласований и консуль</w:t>
      </w:r>
      <w:r w:rsidRPr="00DE096C">
        <w:rPr>
          <w:bCs/>
          <w:color w:val="002060"/>
          <w:sz w:val="16"/>
          <w:szCs w:val="16"/>
        </w:rPr>
        <w:softHyphen/>
        <w:t>таций 12 (25) октября 1914 г. фирме перевели 344 тыс. руб (1085).</w:t>
      </w:r>
    </w:p>
    <w:p w14:paraId="6AADA28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Последующие события тем не менее показали, что поставщик (вероятнее всего фирма «Плюм и Оке», представлявшая аэропланную компанию «Кертисс») крайне недобросовестно относился к своим обязанностям. С полной очевидностью это показал в своем рапорте инженер по авиационной части Черноморского флота ин</w:t>
      </w:r>
      <w:r w:rsidRPr="00DE096C">
        <w:rPr>
          <w:bCs/>
          <w:color w:val="002060"/>
          <w:sz w:val="16"/>
          <w:szCs w:val="16"/>
        </w:rPr>
        <w:softHyphen/>
        <w:t>женер-механик лейтенант-Михайлов. Из рапорта, например, следу</w:t>
      </w:r>
      <w:r w:rsidRPr="00DE096C">
        <w:rPr>
          <w:bCs/>
          <w:color w:val="002060"/>
          <w:sz w:val="16"/>
          <w:szCs w:val="16"/>
        </w:rPr>
        <w:softHyphen/>
        <w:t>ет, что лодка на одном из закупленных самолетов не новая, а уже бывшая в эксплуатации, моторы устаревшей конструкции, под</w:t>
      </w:r>
      <w:r w:rsidRPr="00DE096C">
        <w:rPr>
          <w:bCs/>
          <w:color w:val="002060"/>
          <w:sz w:val="16"/>
          <w:szCs w:val="16"/>
        </w:rPr>
        <w:softHyphen/>
        <w:t>крыльные поплавки на них от самолетов первых серий, плоскости на двухмоторной летающей лодке принадлежат «земному» самоле</w:t>
      </w:r>
      <w:r w:rsidRPr="00DE096C">
        <w:rPr>
          <w:bCs/>
          <w:color w:val="002060"/>
          <w:sz w:val="16"/>
          <w:szCs w:val="16"/>
        </w:rPr>
        <w:softHyphen/>
        <w:t>ту, присланный двигатель «Кирхгам» нельзя было установить на самолет (не подходил по месту водяной радиатор, моторама от другого двигателя, места для дополнительного бака не было), три других мотора «Кирхгам» оказались различных модификаций и с дефектами.</w:t>
      </w:r>
    </w:p>
    <w:p w14:paraId="2241D2F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На основании материалов рапорта авиационный комитет при</w:t>
      </w:r>
      <w:r w:rsidRPr="00DE096C">
        <w:rPr>
          <w:bCs/>
          <w:color w:val="002060"/>
          <w:sz w:val="16"/>
          <w:szCs w:val="16"/>
        </w:rPr>
        <w:softHyphen/>
        <w:t>шел к выводу, что аппараты для боевых действий совершенно непригодны, требуют всесторонних испытаний, и если они окажут</w:t>
      </w:r>
      <w:r w:rsidRPr="00DE096C">
        <w:rPr>
          <w:bCs/>
          <w:color w:val="002060"/>
          <w:sz w:val="16"/>
          <w:szCs w:val="16"/>
        </w:rPr>
        <w:softHyphen/>
        <w:t>ся удовлетворительными, то аппараты следует использовать как учебные и для проведения ближайших разведок, не связанных с боевыми требованиями.</w:t>
      </w:r>
    </w:p>
    <w:p w14:paraId="52471C1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Резолюция командующего Черноморским флотом на представ</w:t>
      </w:r>
      <w:r w:rsidRPr="00DE096C">
        <w:rPr>
          <w:bCs/>
          <w:color w:val="002060"/>
          <w:sz w:val="16"/>
          <w:szCs w:val="16"/>
        </w:rPr>
        <w:softHyphen/>
        <w:t>ленном ему докладе авиационного комитета была куда более кате</w:t>
      </w:r>
      <w:r w:rsidRPr="00DE096C">
        <w:rPr>
          <w:bCs/>
          <w:color w:val="002060"/>
          <w:sz w:val="16"/>
          <w:szCs w:val="16"/>
        </w:rPr>
        <w:softHyphen/>
        <w:t>горичной. В ней отмечалось, что он с мнением комитета не согла</w:t>
      </w:r>
      <w:r w:rsidRPr="00DE096C">
        <w:rPr>
          <w:bCs/>
          <w:color w:val="002060"/>
          <w:sz w:val="16"/>
          <w:szCs w:val="16"/>
        </w:rPr>
        <w:softHyphen/>
        <w:t>сен и требует аппаратов не принимать и никому на них не летать, срочно довести до сведения Морского генерального штаба о столь преступном снабжении (1085).</w:t>
      </w:r>
    </w:p>
    <w:p w14:paraId="0D0E1180" w14:textId="77777777" w:rsidR="00B67D7C" w:rsidRPr="00DE096C" w:rsidRDefault="00B67D7C" w:rsidP="00D45A46">
      <w:pPr>
        <w:shd w:val="clear" w:color="auto" w:fill="FFFFFF"/>
        <w:jc w:val="both"/>
        <w:rPr>
          <w:bCs/>
          <w:color w:val="002060"/>
          <w:sz w:val="16"/>
          <w:szCs w:val="16"/>
        </w:rPr>
      </w:pPr>
    </w:p>
    <w:p w14:paraId="6FC21F3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5 октября 1914 г. русский морской агент капитан 2-го ранга Васильев телеграфировал начальнику Морского генерально</w:t>
      </w:r>
      <w:r w:rsidRPr="00DE096C">
        <w:rPr>
          <w:bCs/>
          <w:color w:val="002060"/>
          <w:sz w:val="16"/>
          <w:szCs w:val="16"/>
        </w:rPr>
        <w:softHyphen/>
        <w:t>го штаба: «Кертисс умоляет дать ему аванс, весь в долгу, сам работает, как простой работник. Может быть банкротство этой очень бедной фирмы с распубликованием в газе</w:t>
      </w:r>
      <w:r w:rsidRPr="00DE096C">
        <w:rPr>
          <w:bCs/>
          <w:color w:val="002060"/>
          <w:sz w:val="16"/>
          <w:szCs w:val="16"/>
        </w:rPr>
        <w:softHyphen/>
        <w:t>тах». Морской генеральный штаб откликнулся довольно быстро и 12 октября 1914 г. фирме перевели 344 тыс. руб. (история с закупкой само</w:t>
      </w:r>
      <w:r w:rsidRPr="00DE096C">
        <w:rPr>
          <w:bCs/>
          <w:color w:val="002060"/>
          <w:sz w:val="16"/>
          <w:szCs w:val="16"/>
        </w:rPr>
        <w:softHyphen/>
        <w:t>летов имела неожиданное продол</w:t>
      </w:r>
      <w:r w:rsidRPr="00DE096C">
        <w:rPr>
          <w:bCs/>
          <w:color w:val="002060"/>
          <w:sz w:val="16"/>
          <w:szCs w:val="16"/>
        </w:rPr>
        <w:softHyphen/>
        <w:t>жение. Так, 24 апреля 1946 г. МИД СССР направил в адрес командо</w:t>
      </w:r>
      <w:r w:rsidRPr="00DE096C">
        <w:rPr>
          <w:bCs/>
          <w:color w:val="002060"/>
          <w:sz w:val="16"/>
          <w:szCs w:val="16"/>
        </w:rPr>
        <w:softHyphen/>
        <w:t>вания ВМФ письмо, подписанное Вышинским: «Посольство США со</w:t>
      </w:r>
      <w:r w:rsidRPr="00DE096C">
        <w:rPr>
          <w:bCs/>
          <w:color w:val="002060"/>
          <w:sz w:val="16"/>
          <w:szCs w:val="16"/>
        </w:rPr>
        <w:softHyphen/>
        <w:t>общило, что правительство США ведет судебное дело против само</w:t>
      </w:r>
      <w:r w:rsidRPr="00DE096C">
        <w:rPr>
          <w:bCs/>
          <w:color w:val="002060"/>
          <w:sz w:val="16"/>
          <w:szCs w:val="16"/>
        </w:rPr>
        <w:softHyphen/>
        <w:t>летостроительной фирмы «Кертисс» о взыскании с нее аванса, полу</w:t>
      </w:r>
      <w:r w:rsidRPr="00DE096C">
        <w:rPr>
          <w:bCs/>
          <w:color w:val="002060"/>
          <w:sz w:val="16"/>
          <w:szCs w:val="16"/>
        </w:rPr>
        <w:softHyphen/>
        <w:t>ченного во время Первой мировой войны от русского правительства по договору о поставке русскому правительству аэропланов. Договор был нарушен фирмой «Кертисс». Правительство США просит МИД оказать содействие в получении документов относительно поста</w:t>
      </w:r>
      <w:r w:rsidRPr="00DE096C">
        <w:rPr>
          <w:bCs/>
          <w:color w:val="002060"/>
          <w:sz w:val="16"/>
          <w:szCs w:val="16"/>
        </w:rPr>
        <w:softHyphen/>
        <w:t>вок»).</w:t>
      </w:r>
    </w:p>
    <w:p w14:paraId="0535226F" w14:textId="77777777" w:rsidR="00B67D7C" w:rsidRPr="00DE096C" w:rsidRDefault="00B67D7C" w:rsidP="00D45A46">
      <w:pPr>
        <w:pStyle w:val="a4"/>
        <w:spacing w:before="0" w:after="0"/>
        <w:jc w:val="both"/>
        <w:rPr>
          <w:bCs/>
          <w:color w:val="002060"/>
          <w:sz w:val="16"/>
          <w:szCs w:val="16"/>
        </w:rPr>
      </w:pPr>
      <w:r w:rsidRPr="00DE096C">
        <w:rPr>
          <w:bCs/>
          <w:color w:val="002060"/>
          <w:sz w:val="16"/>
          <w:szCs w:val="16"/>
        </w:rPr>
        <w:t>Последующее показало, что по</w:t>
      </w:r>
      <w:r w:rsidRPr="00DE096C">
        <w:rPr>
          <w:bCs/>
          <w:color w:val="002060"/>
          <w:sz w:val="16"/>
          <w:szCs w:val="16"/>
        </w:rPr>
        <w:softHyphen/>
        <w:t>ставщик (вероятнее всего фирма «Плюм и Оке», представлявшая аэропланную компанию «Кертисс») не совсем добросовестно исполня</w:t>
      </w:r>
      <w:r w:rsidRPr="00DE096C">
        <w:rPr>
          <w:bCs/>
          <w:color w:val="002060"/>
          <w:sz w:val="16"/>
          <w:szCs w:val="16"/>
        </w:rPr>
        <w:softHyphen/>
        <w:t>ла свои обязательства. С полной очевидностью это следует из рапор</w:t>
      </w:r>
      <w:r w:rsidRPr="00DE096C">
        <w:rPr>
          <w:bCs/>
          <w:color w:val="002060"/>
          <w:sz w:val="16"/>
          <w:szCs w:val="16"/>
        </w:rPr>
        <w:softHyphen/>
        <w:t>та от 24 июня 1915 г., представлен</w:t>
      </w:r>
      <w:r w:rsidRPr="00DE096C">
        <w:rPr>
          <w:bCs/>
          <w:color w:val="002060"/>
          <w:sz w:val="16"/>
          <w:szCs w:val="16"/>
        </w:rPr>
        <w:softHyphen/>
        <w:t>ного инженером по авиационной части Черноморского флота инже</w:t>
      </w:r>
      <w:r w:rsidRPr="00DE096C">
        <w:rPr>
          <w:bCs/>
          <w:color w:val="002060"/>
          <w:sz w:val="16"/>
          <w:szCs w:val="16"/>
        </w:rPr>
        <w:softHyphen/>
        <w:t>нер-механиком лётчиком лейтенан</w:t>
      </w:r>
      <w:r w:rsidRPr="00DE096C">
        <w:rPr>
          <w:bCs/>
          <w:color w:val="002060"/>
          <w:sz w:val="16"/>
          <w:szCs w:val="16"/>
        </w:rPr>
        <w:softHyphen/>
        <w:t>том Михайловым. После знакомства с содержанием рапорта Авиацион</w:t>
      </w:r>
      <w:r w:rsidRPr="00DE096C">
        <w:rPr>
          <w:bCs/>
          <w:color w:val="002060"/>
          <w:sz w:val="16"/>
          <w:szCs w:val="16"/>
        </w:rPr>
        <w:softHyphen/>
        <w:t>ный комитет пришёл к довольно неутешительному заключению по лодкам «Кертисса»: «Лодка на од</w:t>
      </w:r>
      <w:r w:rsidRPr="00DE096C">
        <w:rPr>
          <w:bCs/>
          <w:color w:val="002060"/>
          <w:sz w:val="16"/>
          <w:szCs w:val="16"/>
        </w:rPr>
        <w:softHyphen/>
        <w:t>ном из закупленных самолетов не новая, а уже бывшая в эксплуата</w:t>
      </w:r>
      <w:r w:rsidRPr="00DE096C">
        <w:rPr>
          <w:bCs/>
          <w:color w:val="002060"/>
          <w:sz w:val="16"/>
          <w:szCs w:val="16"/>
        </w:rPr>
        <w:softHyphen/>
        <w:t>ции, также как и несколько двигателей; боковые поплавки стоят от са</w:t>
      </w:r>
      <w:r w:rsidRPr="00DE096C">
        <w:rPr>
          <w:bCs/>
          <w:color w:val="002060"/>
          <w:sz w:val="16"/>
          <w:szCs w:val="16"/>
        </w:rPr>
        <w:softHyphen/>
        <w:t>молетов первых серий; один из про</w:t>
      </w:r>
      <w:r w:rsidRPr="00DE096C">
        <w:rPr>
          <w:bCs/>
          <w:color w:val="002060"/>
          <w:sz w:val="16"/>
          <w:szCs w:val="16"/>
        </w:rPr>
        <w:softHyphen/>
        <w:t>пеллеров сломан. По самолёту «Аэромарин»: плоскости на двухмо</w:t>
      </w:r>
      <w:r w:rsidRPr="00DE096C">
        <w:rPr>
          <w:bCs/>
          <w:color w:val="002060"/>
          <w:sz w:val="16"/>
          <w:szCs w:val="16"/>
        </w:rPr>
        <w:softHyphen/>
        <w:t>торной летающей лодке принадле</w:t>
      </w:r>
      <w:r w:rsidRPr="00DE096C">
        <w:rPr>
          <w:bCs/>
          <w:color w:val="002060"/>
          <w:sz w:val="16"/>
          <w:szCs w:val="16"/>
        </w:rPr>
        <w:softHyphen/>
        <w:t>жат «земному» самолету; прислан</w:t>
      </w:r>
      <w:r w:rsidRPr="00DE096C">
        <w:rPr>
          <w:bCs/>
          <w:color w:val="002060"/>
          <w:sz w:val="16"/>
          <w:szCs w:val="16"/>
        </w:rPr>
        <w:softHyphen/>
        <w:t>ный двигатель «Кирхгам» (по-види</w:t>
      </w:r>
      <w:r w:rsidRPr="00DE096C">
        <w:rPr>
          <w:bCs/>
          <w:color w:val="002060"/>
          <w:sz w:val="16"/>
          <w:szCs w:val="16"/>
        </w:rPr>
        <w:softHyphen/>
        <w:t>мому, имеется в виду двигатель «Бир-кихтам. Прим.авт.) нельзя было ус</w:t>
      </w:r>
      <w:r w:rsidRPr="00DE096C">
        <w:rPr>
          <w:bCs/>
          <w:color w:val="002060"/>
          <w:sz w:val="16"/>
          <w:szCs w:val="16"/>
        </w:rPr>
        <w:softHyphen/>
        <w:t>тановить на самолет (не подходил по месту водяной радиатор; мото</w:t>
      </w:r>
      <w:r w:rsidRPr="00DE096C">
        <w:rPr>
          <w:bCs/>
          <w:color w:val="002060"/>
          <w:sz w:val="16"/>
          <w:szCs w:val="16"/>
        </w:rPr>
        <w:softHyphen/>
        <w:t>рама от другого двигателя; места для дополнительного бака не было), три других мотора «Кирхгам» ока</w:t>
      </w:r>
      <w:r w:rsidRPr="00DE096C">
        <w:rPr>
          <w:bCs/>
          <w:color w:val="002060"/>
          <w:sz w:val="16"/>
          <w:szCs w:val="16"/>
        </w:rPr>
        <w:softHyphen/>
        <w:t>зались различных модификаций и с дефектами».</w:t>
      </w:r>
    </w:p>
    <w:p w14:paraId="6276A38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Изучив материалы, авиационный комитет Черноморского флота при</w:t>
      </w:r>
      <w:r w:rsidRPr="00DE096C">
        <w:rPr>
          <w:bCs/>
          <w:color w:val="002060"/>
          <w:sz w:val="16"/>
          <w:szCs w:val="16"/>
        </w:rPr>
        <w:softHyphen/>
        <w:t>шёл к выводу о непригодности при</w:t>
      </w:r>
      <w:r w:rsidRPr="00DE096C">
        <w:rPr>
          <w:bCs/>
          <w:color w:val="002060"/>
          <w:sz w:val="16"/>
          <w:szCs w:val="16"/>
        </w:rPr>
        <w:softHyphen/>
        <w:t>менения самолётов для боевых дей</w:t>
      </w:r>
      <w:r w:rsidRPr="00DE096C">
        <w:rPr>
          <w:bCs/>
          <w:color w:val="002060"/>
          <w:sz w:val="16"/>
          <w:szCs w:val="16"/>
        </w:rPr>
        <w:softHyphen/>
        <w:t>ствий: «...необходимы всесторонние испытания, и если они окажутся удовлетворительными, то аппараты следует использовать в качестве учебных и для проведения ближай</w:t>
      </w:r>
      <w:r w:rsidRPr="00DE096C">
        <w:rPr>
          <w:bCs/>
          <w:color w:val="002060"/>
          <w:sz w:val="16"/>
          <w:szCs w:val="16"/>
        </w:rPr>
        <w:softHyphen/>
        <w:t>ших разведок, не связанных с боевы</w:t>
      </w:r>
      <w:r w:rsidRPr="00DE096C">
        <w:rPr>
          <w:bCs/>
          <w:color w:val="002060"/>
          <w:sz w:val="16"/>
          <w:szCs w:val="16"/>
        </w:rPr>
        <w:softHyphen/>
        <w:t>ми требованиями». Другими слова</w:t>
      </w:r>
      <w:r w:rsidRPr="00DE096C">
        <w:rPr>
          <w:bCs/>
          <w:color w:val="002060"/>
          <w:sz w:val="16"/>
          <w:szCs w:val="16"/>
        </w:rPr>
        <w:softHyphen/>
        <w:t>ми - для полётов вблизи побережья.</w:t>
      </w:r>
    </w:p>
    <w:p w14:paraId="7C6BB25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Командующий Черноморским флотом адмирал А. Эбергард, оз</w:t>
      </w:r>
      <w:r w:rsidRPr="00DE096C">
        <w:rPr>
          <w:bCs/>
          <w:color w:val="002060"/>
          <w:sz w:val="16"/>
          <w:szCs w:val="16"/>
        </w:rPr>
        <w:softHyphen/>
        <w:t>накомившись с докладом Авиаци</w:t>
      </w:r>
      <w:r w:rsidRPr="00DE096C">
        <w:rPr>
          <w:bCs/>
          <w:color w:val="002060"/>
          <w:sz w:val="16"/>
          <w:szCs w:val="16"/>
        </w:rPr>
        <w:softHyphen/>
        <w:t>онного комитета, потребовал: «ап</w:t>
      </w:r>
      <w:r w:rsidRPr="00DE096C">
        <w:rPr>
          <w:bCs/>
          <w:color w:val="002060"/>
          <w:sz w:val="16"/>
          <w:szCs w:val="16"/>
        </w:rPr>
        <w:softHyphen/>
        <w:t>паратов не принимать и никому на них не летать, срочно довести до сведения Морского генерального шта</w:t>
      </w:r>
      <w:r w:rsidRPr="00DE096C">
        <w:rPr>
          <w:bCs/>
          <w:color w:val="002060"/>
          <w:sz w:val="16"/>
          <w:szCs w:val="16"/>
        </w:rPr>
        <w:softHyphen/>
        <w:t>ба о столь преступном снабжении».</w:t>
      </w:r>
    </w:p>
    <w:p w14:paraId="4AA617C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К августу 1915 г. на Черном море находилось семь поплавковых самолетов «Кертисс-Р» и 30 летаю</w:t>
      </w:r>
      <w:r w:rsidRPr="00DE096C">
        <w:rPr>
          <w:bCs/>
          <w:color w:val="002060"/>
          <w:sz w:val="16"/>
          <w:szCs w:val="16"/>
        </w:rPr>
        <w:softHyphen/>
        <w:t>щих лодок «Кертисс-К» (некоторые в состоянии заводской поставки). Фирма «Кертисс» старалась как можно полнее удовлетворить инте</w:t>
      </w:r>
      <w:r w:rsidRPr="00DE096C">
        <w:rPr>
          <w:bCs/>
          <w:color w:val="002060"/>
          <w:sz w:val="16"/>
          <w:szCs w:val="16"/>
        </w:rPr>
        <w:softHyphen/>
        <w:t>ресы заказчика, но далеко не все получалось гладко. Поставка негод</w:t>
      </w:r>
      <w:r w:rsidRPr="00DE096C">
        <w:rPr>
          <w:bCs/>
          <w:color w:val="002060"/>
          <w:sz w:val="16"/>
          <w:szCs w:val="16"/>
        </w:rPr>
        <w:softHyphen/>
        <w:t>ных деталей стала возможной так</w:t>
      </w:r>
      <w:r w:rsidRPr="00DE096C">
        <w:rPr>
          <w:bCs/>
          <w:color w:val="002060"/>
          <w:sz w:val="16"/>
          <w:szCs w:val="16"/>
        </w:rPr>
        <w:softHyphen/>
        <w:t>же потому, что контрактом не ого</w:t>
      </w:r>
      <w:r w:rsidRPr="00DE096C">
        <w:rPr>
          <w:bCs/>
          <w:color w:val="002060"/>
          <w:sz w:val="16"/>
          <w:szCs w:val="16"/>
        </w:rPr>
        <w:softHyphen/>
        <w:t>варивалась ответственность за по</w:t>
      </w:r>
      <w:r w:rsidRPr="00DE096C">
        <w:rPr>
          <w:bCs/>
          <w:color w:val="002060"/>
          <w:sz w:val="16"/>
          <w:szCs w:val="16"/>
        </w:rPr>
        <w:softHyphen/>
        <w:t>добные деяния, а заказчик не уча</w:t>
      </w:r>
      <w:r w:rsidRPr="00DE096C">
        <w:rPr>
          <w:bCs/>
          <w:color w:val="002060"/>
          <w:sz w:val="16"/>
          <w:szCs w:val="16"/>
        </w:rPr>
        <w:softHyphen/>
        <w:t>ствовал в приемке самолетов в США. Однако, как следует из от</w:t>
      </w:r>
      <w:r w:rsidRPr="00DE096C">
        <w:rPr>
          <w:bCs/>
          <w:color w:val="002060"/>
          <w:sz w:val="16"/>
          <w:szCs w:val="16"/>
        </w:rPr>
        <w:softHyphen/>
        <w:t>ношения начальника авиации Чер</w:t>
      </w:r>
      <w:r w:rsidRPr="00DE096C">
        <w:rPr>
          <w:bCs/>
          <w:color w:val="002060"/>
          <w:sz w:val="16"/>
          <w:szCs w:val="16"/>
        </w:rPr>
        <w:softHyphen/>
        <w:t>номорского флота начальнику воз</w:t>
      </w:r>
      <w:r w:rsidRPr="00DE096C">
        <w:rPr>
          <w:bCs/>
          <w:color w:val="002060"/>
          <w:sz w:val="16"/>
          <w:szCs w:val="16"/>
        </w:rPr>
        <w:softHyphen/>
        <w:t>духоплавательного отделения Мор</w:t>
      </w:r>
      <w:r w:rsidRPr="00DE096C">
        <w:rPr>
          <w:bCs/>
          <w:color w:val="002060"/>
          <w:sz w:val="16"/>
          <w:szCs w:val="16"/>
        </w:rPr>
        <w:softHyphen/>
        <w:t>ского генерального штаба от 10 октября, изменялось отношение к иностранным самолётам: «уведом</w:t>
      </w:r>
      <w:r w:rsidRPr="00DE096C">
        <w:rPr>
          <w:bCs/>
          <w:color w:val="002060"/>
          <w:sz w:val="16"/>
          <w:szCs w:val="16"/>
        </w:rPr>
        <w:softHyphen/>
        <w:t>ляю ваше Высокопревосходитель</w:t>
      </w:r>
      <w:r w:rsidRPr="00DE096C">
        <w:rPr>
          <w:bCs/>
          <w:color w:val="002060"/>
          <w:sz w:val="16"/>
          <w:szCs w:val="16"/>
        </w:rPr>
        <w:softHyphen/>
        <w:t>ство, что боевыми аппаратами мож</w:t>
      </w:r>
      <w:r w:rsidRPr="00DE096C">
        <w:rPr>
          <w:bCs/>
          <w:color w:val="002060"/>
          <w:sz w:val="16"/>
          <w:szCs w:val="16"/>
        </w:rPr>
        <w:softHyphen/>
        <w:t>но считать лишь «Щетинины» типа М-5, коих имеется 17, но за недо</w:t>
      </w:r>
      <w:r w:rsidRPr="00DE096C">
        <w:rPr>
          <w:bCs/>
          <w:color w:val="002060"/>
          <w:sz w:val="16"/>
          <w:szCs w:val="16"/>
        </w:rPr>
        <w:softHyphen/>
        <w:t>статком моторов из них могут дей</w:t>
      </w:r>
      <w:r w:rsidRPr="00DE096C">
        <w:rPr>
          <w:bCs/>
          <w:color w:val="002060"/>
          <w:sz w:val="16"/>
          <w:szCs w:val="16"/>
        </w:rPr>
        <w:softHyphen/>
        <w:t>ствовать лишь 14, причём один с ненадёжным мотором. Аппараты «Кертисса» в 100НР годятся лишь для учебных полётов и для неответ</w:t>
      </w:r>
      <w:r w:rsidRPr="00DE096C">
        <w:rPr>
          <w:bCs/>
          <w:color w:val="002060"/>
          <w:sz w:val="16"/>
          <w:szCs w:val="16"/>
        </w:rPr>
        <w:softHyphen/>
        <w:t>ственных задач. Таковых имеется девять, из коих два нуждаются в капитальном ремонте» (11759).</w:t>
      </w:r>
    </w:p>
    <w:p w14:paraId="60EA716C" w14:textId="77777777" w:rsidR="00B67D7C" w:rsidRPr="00DE096C" w:rsidRDefault="00B67D7C" w:rsidP="00D45A46">
      <w:pPr>
        <w:shd w:val="clear" w:color="auto" w:fill="FFFFFF"/>
        <w:jc w:val="both"/>
        <w:rPr>
          <w:bCs/>
          <w:color w:val="002060"/>
          <w:sz w:val="16"/>
          <w:szCs w:val="16"/>
        </w:rPr>
      </w:pPr>
    </w:p>
    <w:p w14:paraId="1D0E376B"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w:t>
      </w:r>
    </w:p>
    <w:p w14:paraId="4570CF06" w14:textId="77777777" w:rsidR="00B67D7C" w:rsidRPr="00DE096C" w:rsidRDefault="00B67D7C" w:rsidP="00D45A46">
      <w:pPr>
        <w:shd w:val="clear" w:color="auto" w:fill="FFFFFF"/>
        <w:jc w:val="both"/>
        <w:rPr>
          <w:bCs/>
          <w:i/>
          <w:color w:val="002060"/>
          <w:sz w:val="16"/>
          <w:szCs w:val="16"/>
        </w:rPr>
      </w:pPr>
    </w:p>
    <w:p w14:paraId="13C2FA24" w14:textId="77777777" w:rsidR="00B67D7C" w:rsidRPr="00DE096C" w:rsidRDefault="00B67D7C" w:rsidP="00D45A46">
      <w:pPr>
        <w:jc w:val="both"/>
        <w:rPr>
          <w:bCs/>
          <w:color w:val="002060"/>
          <w:sz w:val="16"/>
          <w:szCs w:val="16"/>
        </w:rPr>
      </w:pPr>
      <w:r w:rsidRPr="00DE096C">
        <w:rPr>
          <w:bCs/>
          <w:color w:val="002060"/>
          <w:sz w:val="16"/>
          <w:szCs w:val="16"/>
        </w:rPr>
        <w:t>Верховный главнокомандующий русской армии великий князь Николай Николаевич в приказе от 12 (25) октября 1914 г. писал: "Прием в армию со стороны добровольцев- летчиков и летчиц, казалось бы, правильным обусловить лишь прибытием со своими собственными аппаратами, так как к представлению этим лицам казенных аппаратов, которых в большинстве отрядов недостаточно и для летчиков-офицеров, не имеется никаких оснований".</w:t>
      </w:r>
    </w:p>
    <w:p w14:paraId="3A02EC34" w14:textId="77777777" w:rsidR="00B67D7C" w:rsidRPr="00DE096C" w:rsidRDefault="00B67D7C" w:rsidP="00D45A46">
      <w:pPr>
        <w:jc w:val="both"/>
        <w:rPr>
          <w:bCs/>
          <w:color w:val="002060"/>
          <w:sz w:val="16"/>
          <w:szCs w:val="16"/>
        </w:rPr>
      </w:pPr>
      <w:r w:rsidRPr="00DE096C">
        <w:rPr>
          <w:bCs/>
          <w:color w:val="002060"/>
          <w:sz w:val="16"/>
          <w:szCs w:val="16"/>
        </w:rPr>
        <w:t xml:space="preserve">Однако в первые три месяца войны русские летчики понесли большие потери и прежде всего не из-за боевых действий, а по причине поломок и изношенности самих машин. Машины и летчики выбывали из строя в результате: вынужденной посадки на территории противника, при разрушении самолета в воздухе вследствие </w:t>
      </w:r>
      <w:r w:rsidRPr="00DE096C">
        <w:rPr>
          <w:bCs/>
          <w:color w:val="002060"/>
          <w:sz w:val="16"/>
          <w:szCs w:val="16"/>
        </w:rPr>
        <w:lastRenderedPageBreak/>
        <w:t>несовершенства конструкции (разрушение аэроплана, переход в отрицательное пике, скольжение на крыло, штопор и пр.), при пожаре в воздухе из-за несовершенства двигателя и т. д.</w:t>
      </w:r>
    </w:p>
    <w:p w14:paraId="1D2C586A" w14:textId="77777777" w:rsidR="00B67D7C" w:rsidRPr="00DE096C" w:rsidRDefault="00B67D7C" w:rsidP="00D45A46">
      <w:pPr>
        <w:shd w:val="clear" w:color="auto" w:fill="FFFFFF"/>
        <w:jc w:val="both"/>
        <w:rPr>
          <w:bCs/>
          <w:i/>
          <w:color w:val="002060"/>
          <w:sz w:val="16"/>
          <w:szCs w:val="16"/>
        </w:rPr>
      </w:pPr>
    </w:p>
    <w:p w14:paraId="4948A5F6"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 и воздухоплавание Франции:</w:t>
      </w:r>
    </w:p>
    <w:p w14:paraId="0313A4D7" w14:textId="77777777" w:rsidR="00B67D7C" w:rsidRPr="00DE096C" w:rsidRDefault="00B67D7C" w:rsidP="00D45A46">
      <w:pPr>
        <w:shd w:val="clear" w:color="auto" w:fill="FFFFFF"/>
        <w:jc w:val="both"/>
        <w:rPr>
          <w:bCs/>
          <w:i/>
          <w:color w:val="002060"/>
          <w:sz w:val="16"/>
          <w:szCs w:val="16"/>
        </w:rPr>
      </w:pPr>
    </w:p>
    <w:p w14:paraId="23A770B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12 (25) октября 1914 В этот день во Франции впервые управ</w:t>
      </w:r>
      <w:r w:rsidRPr="00DE096C">
        <w:rPr>
          <w:bCs/>
          <w:color w:val="002060"/>
          <w:sz w:val="16"/>
          <w:szCs w:val="16"/>
        </w:rPr>
        <w:softHyphen/>
        <w:t>ляли артиллерийским огнем с самолета посредством радио.</w:t>
      </w:r>
    </w:p>
    <w:p w14:paraId="699D226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До сих пор привязные аэростаты, благодаря наличию телефона, и дирижабли, благодаря наличию беспроволоч</w:t>
      </w:r>
      <w:r w:rsidRPr="00DE096C">
        <w:rPr>
          <w:bCs/>
          <w:color w:val="002060"/>
          <w:sz w:val="16"/>
          <w:szCs w:val="16"/>
        </w:rPr>
        <w:softHyphen/>
        <w:t>ного телеграфа, имели явное преимущество перед аэропла</w:t>
      </w:r>
      <w:r w:rsidRPr="00DE096C">
        <w:rPr>
          <w:bCs/>
          <w:color w:val="002060"/>
          <w:sz w:val="16"/>
          <w:szCs w:val="16"/>
        </w:rPr>
        <w:softHyphen/>
        <w:t>нами при корректировке артиллерийской стрельбы и раз</w:t>
      </w:r>
      <w:r w:rsidRPr="00DE096C">
        <w:rPr>
          <w:bCs/>
          <w:color w:val="002060"/>
          <w:sz w:val="16"/>
          <w:szCs w:val="16"/>
        </w:rPr>
        <w:softHyphen/>
        <w:t>ведке. Однако установить радиопередатчик на аэроплан до сих пор не решались. Германские специалисты объясняли это так: «А вы хотели бы добавить к опасности полета еще и возможность казни на электрическом стуле?»</w:t>
      </w:r>
    </w:p>
    <w:p w14:paraId="4C3DEA8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Однако технические требования войны принуждают военных пересмотреть свое понимание. Проведенные во Франции исследования, в которых использовали беспро</w:t>
      </w:r>
      <w:r w:rsidRPr="00DE096C">
        <w:rPr>
          <w:bCs/>
          <w:color w:val="002060"/>
          <w:sz w:val="16"/>
          <w:szCs w:val="16"/>
        </w:rPr>
        <w:softHyphen/>
        <w:t>волочный телеграф для связи с самолетом, состоялись 25 октября 1914 г. Германия быстро последовала этому при</w:t>
      </w:r>
      <w:r w:rsidRPr="00DE096C">
        <w:rPr>
          <w:bCs/>
          <w:color w:val="002060"/>
          <w:sz w:val="16"/>
          <w:szCs w:val="16"/>
        </w:rPr>
        <w:softHyphen/>
        <w:t>меру. «Телефункен» и фирма «Хут» стали поставлять в фев</w:t>
      </w:r>
      <w:r w:rsidRPr="00DE096C">
        <w:rPr>
          <w:bCs/>
          <w:color w:val="002060"/>
          <w:sz w:val="16"/>
          <w:szCs w:val="16"/>
        </w:rPr>
        <w:softHyphen/>
        <w:t>рале 1915г. 15-ти кг радиоприборы, имевшие дальность дей</w:t>
      </w:r>
      <w:r w:rsidRPr="00DE096C">
        <w:rPr>
          <w:bCs/>
          <w:color w:val="002060"/>
          <w:sz w:val="16"/>
          <w:szCs w:val="16"/>
        </w:rPr>
        <w:softHyphen/>
        <w:t>ствия от 30 до 42 км (11060).</w:t>
      </w:r>
    </w:p>
    <w:p w14:paraId="7E5A91A8" w14:textId="77777777" w:rsidR="00B67D7C" w:rsidRPr="00DE096C" w:rsidRDefault="00B67D7C" w:rsidP="00D45A46">
      <w:pPr>
        <w:shd w:val="clear" w:color="auto" w:fill="FFFFFF"/>
        <w:jc w:val="both"/>
        <w:rPr>
          <w:bCs/>
          <w:color w:val="002060"/>
          <w:sz w:val="16"/>
          <w:szCs w:val="16"/>
        </w:rPr>
      </w:pPr>
    </w:p>
    <w:p w14:paraId="7392D3B6" w14:textId="77777777" w:rsidR="00B67D7C" w:rsidRPr="00DE096C" w:rsidRDefault="00B67D7C" w:rsidP="00D45A46">
      <w:pPr>
        <w:jc w:val="both"/>
        <w:rPr>
          <w:bCs/>
          <w:color w:val="002060"/>
          <w:sz w:val="16"/>
          <w:szCs w:val="16"/>
        </w:rPr>
      </w:pPr>
      <w:r w:rsidRPr="00DE096C">
        <w:rPr>
          <w:bCs/>
          <w:color w:val="002060"/>
          <w:sz w:val="16"/>
          <w:szCs w:val="16"/>
        </w:rPr>
        <w:t>12 (25) октября - В этот день во Франции впервые управляли артиллерийским огнем с самолета посредством радио.</w:t>
      </w:r>
    </w:p>
    <w:p w14:paraId="62D0ECB8" w14:textId="77777777" w:rsidR="00B67D7C" w:rsidRPr="00DE096C" w:rsidRDefault="00B67D7C" w:rsidP="00D45A46">
      <w:pPr>
        <w:jc w:val="both"/>
        <w:rPr>
          <w:bCs/>
          <w:color w:val="002060"/>
          <w:sz w:val="16"/>
          <w:szCs w:val="16"/>
        </w:rPr>
      </w:pPr>
      <w:r w:rsidRPr="00DE096C">
        <w:rPr>
          <w:bCs/>
          <w:color w:val="002060"/>
          <w:sz w:val="16"/>
          <w:szCs w:val="16"/>
        </w:rPr>
        <w:t>До сих пор привязные аэростаты, благодаря наличию телефона, и дирижабли, благодаря наличию беспроволочного телеграфа, имели явное преимущество перед аэропланами при корректировке артиллерийской стрельбы и разведке. Однако установить радиопередатчик на аэроплан до сих пор не решались. Германские специалисты объясняли это так: "А вы хотели бы добавить к опасности полета еще и возможность казни на электрическом стуле?"</w:t>
      </w:r>
    </w:p>
    <w:p w14:paraId="04163593" w14:textId="77777777" w:rsidR="00B67D7C" w:rsidRPr="00DE096C" w:rsidRDefault="00B67D7C" w:rsidP="00D45A46">
      <w:pPr>
        <w:jc w:val="both"/>
        <w:rPr>
          <w:bCs/>
          <w:color w:val="002060"/>
          <w:sz w:val="16"/>
          <w:szCs w:val="16"/>
        </w:rPr>
      </w:pPr>
      <w:r w:rsidRPr="00DE096C">
        <w:rPr>
          <w:bCs/>
          <w:color w:val="002060"/>
          <w:sz w:val="16"/>
          <w:szCs w:val="16"/>
        </w:rPr>
        <w:t>Однако технические требования войны принуждают военных пересмотреть свое понимание. Проведенные во Франции исследования, в которых использовали беспроволочный телеграф для связи с самолетом, состоялись 25 октября 1914 г. Германия быстро последовала этому примеру. "Телефункен" и фирма "Хут" стали поставлять в феврале 1915 г. 15-ти кг радиоприборы, имевшие дальность действия от 30 до 42 км (11999).</w:t>
      </w:r>
    </w:p>
    <w:p w14:paraId="6311FD00" w14:textId="77777777" w:rsidR="00B67D7C" w:rsidRPr="00DE096C" w:rsidRDefault="00B67D7C" w:rsidP="00D45A46">
      <w:pPr>
        <w:jc w:val="both"/>
        <w:rPr>
          <w:bCs/>
          <w:color w:val="002060"/>
          <w:sz w:val="16"/>
          <w:szCs w:val="16"/>
        </w:rPr>
      </w:pPr>
    </w:p>
    <w:p w14:paraId="4423D678" w14:textId="77777777" w:rsidR="00B67D7C" w:rsidRPr="00DE096C" w:rsidRDefault="00B67D7C" w:rsidP="00D45A46">
      <w:pPr>
        <w:jc w:val="both"/>
        <w:rPr>
          <w:bCs/>
          <w:i/>
          <w:color w:val="002060"/>
          <w:sz w:val="16"/>
          <w:szCs w:val="16"/>
        </w:rPr>
      </w:pPr>
      <w:r w:rsidRPr="00DE096C">
        <w:rPr>
          <w:bCs/>
          <w:i/>
          <w:color w:val="002060"/>
          <w:sz w:val="16"/>
          <w:szCs w:val="16"/>
        </w:rPr>
        <w:t>Аэростатостроение:</w:t>
      </w:r>
    </w:p>
    <w:p w14:paraId="2DE7A1E5" w14:textId="77777777" w:rsidR="00B67D7C" w:rsidRPr="00DE096C" w:rsidRDefault="00B67D7C" w:rsidP="00D45A46">
      <w:pPr>
        <w:jc w:val="both"/>
        <w:rPr>
          <w:bCs/>
          <w:i/>
          <w:color w:val="002060"/>
          <w:sz w:val="16"/>
          <w:szCs w:val="16"/>
        </w:rPr>
      </w:pPr>
    </w:p>
    <w:p w14:paraId="2A3AA20A" w14:textId="77777777" w:rsidR="00B67D7C" w:rsidRPr="00DE096C" w:rsidRDefault="00B67D7C" w:rsidP="00D45A46">
      <w:pPr>
        <w:jc w:val="both"/>
        <w:rPr>
          <w:bCs/>
          <w:color w:val="002060"/>
          <w:sz w:val="16"/>
          <w:szCs w:val="16"/>
        </w:rPr>
      </w:pPr>
      <w:r w:rsidRPr="00DE096C">
        <w:rPr>
          <w:bCs/>
          <w:color w:val="002060"/>
          <w:sz w:val="16"/>
          <w:szCs w:val="16"/>
        </w:rPr>
        <w:t>13 (26) октября 1914 г. в сложных метеорологических условиях (туман, сильный ветер) дирижабль не смог вернуться на базу, и при вынужденной посадке был полностью разрушен. Причины аварии - недостаточная мощность двигателей и отсутствие надежных средств навигации.</w:t>
      </w:r>
    </w:p>
    <w:p w14:paraId="266716ED" w14:textId="77777777" w:rsidR="00B67D7C" w:rsidRPr="00DE096C" w:rsidRDefault="00B67D7C" w:rsidP="00D45A46">
      <w:pPr>
        <w:shd w:val="clear" w:color="auto" w:fill="FFFFFF"/>
        <w:jc w:val="both"/>
        <w:rPr>
          <w:bCs/>
          <w:color w:val="002060"/>
          <w:sz w:val="16"/>
          <w:szCs w:val="16"/>
        </w:rPr>
      </w:pPr>
    </w:p>
    <w:p w14:paraId="5BE74BE7" w14:textId="3A5C38EE" w:rsidR="00F21C0D" w:rsidRPr="00DE096C" w:rsidRDefault="00F21C0D" w:rsidP="00D45A46">
      <w:pPr>
        <w:jc w:val="both"/>
        <w:rPr>
          <w:bCs/>
          <w:color w:val="002060"/>
          <w:sz w:val="16"/>
          <w:szCs w:val="16"/>
        </w:rPr>
      </w:pPr>
      <w:r w:rsidRPr="00DE096C">
        <w:rPr>
          <w:bCs/>
          <w:color w:val="002060"/>
          <w:sz w:val="16"/>
          <w:szCs w:val="16"/>
        </w:rPr>
        <w:t>13</w:t>
      </w:r>
      <w:r w:rsidR="0006581C">
        <w:rPr>
          <w:bCs/>
          <w:color w:val="002060"/>
          <w:sz w:val="16"/>
          <w:szCs w:val="16"/>
        </w:rPr>
        <w:t xml:space="preserve"> </w:t>
      </w:r>
      <w:r w:rsidR="00D50150" w:rsidRPr="00DE096C">
        <w:rPr>
          <w:bCs/>
          <w:color w:val="002060"/>
          <w:sz w:val="16"/>
          <w:szCs w:val="16"/>
        </w:rPr>
        <w:t xml:space="preserve">(26) </w:t>
      </w:r>
      <w:r w:rsidRPr="00DE096C">
        <w:rPr>
          <w:bCs/>
          <w:color w:val="002060"/>
          <w:sz w:val="16"/>
          <w:szCs w:val="16"/>
        </w:rPr>
        <w:t>октября 1914 года дирижабль Ижорского завода попал в густой туман с сильным ветром, и идя на небольшой высоте, налетел на дерево и разбился. Экипаж не пострадал (15122).</w:t>
      </w:r>
    </w:p>
    <w:p w14:paraId="5357B389" w14:textId="77777777" w:rsidR="00F21C0D" w:rsidRPr="00DE096C" w:rsidRDefault="00F21C0D" w:rsidP="00D45A46">
      <w:pPr>
        <w:jc w:val="both"/>
        <w:rPr>
          <w:bCs/>
          <w:color w:val="002060"/>
          <w:sz w:val="16"/>
          <w:szCs w:val="16"/>
        </w:rPr>
      </w:pPr>
    </w:p>
    <w:p w14:paraId="668F67B5"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Военное воздухоплавание:</w:t>
      </w:r>
    </w:p>
    <w:p w14:paraId="268A7BE6" w14:textId="77777777" w:rsidR="00B67D7C" w:rsidRPr="00DE096C" w:rsidRDefault="00B67D7C" w:rsidP="00D45A46">
      <w:pPr>
        <w:shd w:val="clear" w:color="auto" w:fill="FFFFFF"/>
        <w:jc w:val="both"/>
        <w:rPr>
          <w:bCs/>
          <w:i/>
          <w:color w:val="002060"/>
          <w:sz w:val="16"/>
          <w:szCs w:val="16"/>
        </w:rPr>
      </w:pPr>
    </w:p>
    <w:p w14:paraId="29BFE4AC" w14:textId="77777777" w:rsidR="00B67D7C" w:rsidRPr="00DE096C" w:rsidRDefault="00B67D7C" w:rsidP="00D45A46">
      <w:pPr>
        <w:jc w:val="both"/>
        <w:rPr>
          <w:bCs/>
          <w:color w:val="002060"/>
          <w:sz w:val="16"/>
          <w:szCs w:val="16"/>
        </w:rPr>
      </w:pPr>
      <w:r w:rsidRPr="00DE096C">
        <w:rPr>
          <w:bCs/>
          <w:color w:val="002060"/>
          <w:sz w:val="16"/>
          <w:szCs w:val="16"/>
        </w:rPr>
        <w:t>В ночь на 13 (26) октября Шабский в очередной раз повел корабль к Осовцу. Сильнейший туман мешал ориентировке, и после пяти часов блужданий командир решил снизиться для того, чтобы определиться на местности. Внезапно дирижабль напоролся на деревья, которые росли на вершине высокого холма. Оболочка и гондола были повреждены. Сильный ветер бросал беспомощный корабль на деревья, и чтобы спасти дирижабль, командир отдал приказ рвать разрывное приспособление. Команда отделалась ушибами. Авария произошла в сорока километрах от линии фронта. Восстановить дирижабль в полевых условиях не представлялось никакой возможности, поэтому его разобрали. Так закончил [386] свое существование «Альбатрос». К этому времени был введен в строй «Гриф», на котором практиковались экипажи 3-й и 4-й воздушных рот. Боевых заданий этот дирижабль не выполнял и к весне 1915 года был разоружен. В начале ноября 1914 года в Лидском эллинге стали готовиться к наполнению несущим газом «Астры», и к середине декабря дирижабль был готов к полетам. Командиром корабля стал А. Шабский (11324).</w:t>
      </w:r>
    </w:p>
    <w:p w14:paraId="41B46437" w14:textId="77777777" w:rsidR="00B67D7C" w:rsidRPr="00DE096C" w:rsidRDefault="00B67D7C" w:rsidP="00D45A46">
      <w:pPr>
        <w:shd w:val="clear" w:color="auto" w:fill="FFFFFF"/>
        <w:jc w:val="both"/>
        <w:rPr>
          <w:bCs/>
          <w:i/>
          <w:color w:val="002060"/>
          <w:sz w:val="16"/>
          <w:szCs w:val="16"/>
        </w:rPr>
      </w:pPr>
    </w:p>
    <w:p w14:paraId="31C08BA9" w14:textId="77777777" w:rsidR="00460ABD" w:rsidRPr="00DE096C" w:rsidRDefault="00460ABD" w:rsidP="00D45A46">
      <w:pPr>
        <w:jc w:val="both"/>
        <w:rPr>
          <w:rStyle w:val="43"/>
          <w:rFonts w:ascii="Times New Roman" w:hAnsi="Times New Roman" w:cs="Times New Roman"/>
          <w:bCs/>
          <w:color w:val="002060"/>
          <w:w w:val="100"/>
          <w:sz w:val="16"/>
          <w:szCs w:val="16"/>
        </w:rPr>
      </w:pPr>
      <w:r w:rsidRPr="00DE096C">
        <w:rPr>
          <w:rStyle w:val="43"/>
          <w:rFonts w:ascii="Times New Roman" w:hAnsi="Times New Roman" w:cs="Times New Roman"/>
          <w:bCs/>
          <w:color w:val="002060"/>
          <w:w w:val="100"/>
          <w:sz w:val="16"/>
          <w:szCs w:val="16"/>
        </w:rPr>
        <w:t>В ночь на 13 (26) октября 1914 дирижабль Альбатрос вновь вы</w:t>
      </w:r>
      <w:r w:rsidRPr="00DE096C">
        <w:rPr>
          <w:rStyle w:val="43"/>
          <w:rFonts w:ascii="Times New Roman" w:hAnsi="Times New Roman" w:cs="Times New Roman"/>
          <w:bCs/>
          <w:color w:val="002060"/>
          <w:w w:val="100"/>
          <w:sz w:val="16"/>
          <w:szCs w:val="16"/>
        </w:rPr>
        <w:softHyphen/>
        <w:t>летел на Летцен. Попав в сильный туман уже на взлёте, А.И. Шабский потерял ориентиров</w:t>
      </w:r>
      <w:r w:rsidRPr="00DE096C">
        <w:rPr>
          <w:rStyle w:val="43"/>
          <w:rFonts w:ascii="Times New Roman" w:hAnsi="Times New Roman" w:cs="Times New Roman"/>
          <w:bCs/>
          <w:color w:val="002060"/>
          <w:w w:val="100"/>
          <w:sz w:val="16"/>
          <w:szCs w:val="16"/>
        </w:rPr>
        <w:softHyphen/>
        <w:t>ку. Проблуждав в тумане около пяти часов, он, опасаясь попасть к противнику, был вынужден опуститься на поле. При посадке «Альбатрос» на</w:t>
      </w:r>
      <w:r w:rsidRPr="00DE096C">
        <w:rPr>
          <w:rStyle w:val="43"/>
          <w:rFonts w:ascii="Times New Roman" w:hAnsi="Times New Roman" w:cs="Times New Roman"/>
          <w:bCs/>
          <w:color w:val="002060"/>
          <w:w w:val="100"/>
          <w:sz w:val="16"/>
          <w:szCs w:val="16"/>
        </w:rPr>
        <w:softHyphen/>
        <w:t>летел на деревья, порвал оболочку и разбил гон</w:t>
      </w:r>
      <w:r w:rsidRPr="00DE096C">
        <w:rPr>
          <w:rStyle w:val="43"/>
          <w:rFonts w:ascii="Times New Roman" w:hAnsi="Times New Roman" w:cs="Times New Roman"/>
          <w:bCs/>
          <w:color w:val="002060"/>
          <w:w w:val="100"/>
          <w:sz w:val="16"/>
          <w:szCs w:val="16"/>
        </w:rPr>
        <w:softHyphen/>
        <w:t>долу при тренаже. Экипаж отделался ушибами. Авария произошла в 30 км от немецких позиций близ местечка Гоннондзь. Восстанавливать «Аль</w:t>
      </w:r>
      <w:r w:rsidRPr="00DE096C">
        <w:rPr>
          <w:rStyle w:val="43"/>
          <w:rFonts w:ascii="Times New Roman" w:hAnsi="Times New Roman" w:cs="Times New Roman"/>
          <w:bCs/>
          <w:color w:val="002060"/>
          <w:w w:val="100"/>
          <w:sz w:val="16"/>
          <w:szCs w:val="16"/>
        </w:rPr>
        <w:softHyphen/>
        <w:t>батрос» не стали, так как от него уцелели лишь моторы (20120).</w:t>
      </w:r>
    </w:p>
    <w:p w14:paraId="42BA97B4" w14:textId="77777777" w:rsidR="00460ABD" w:rsidRPr="00DE096C" w:rsidRDefault="00460ABD" w:rsidP="00D45A46">
      <w:pPr>
        <w:jc w:val="both"/>
        <w:rPr>
          <w:bCs/>
          <w:color w:val="002060"/>
          <w:sz w:val="16"/>
          <w:szCs w:val="16"/>
        </w:rPr>
      </w:pPr>
    </w:p>
    <w:p w14:paraId="09710FCC" w14:textId="2C80671B" w:rsidR="00C42092" w:rsidRPr="00DE096C" w:rsidRDefault="00C42092" w:rsidP="00D45A46">
      <w:pPr>
        <w:jc w:val="both"/>
        <w:rPr>
          <w:bCs/>
          <w:color w:val="002060"/>
          <w:sz w:val="16"/>
          <w:szCs w:val="16"/>
        </w:rPr>
      </w:pPr>
      <w:r w:rsidRPr="00DE096C">
        <w:rPr>
          <w:bCs/>
          <w:color w:val="002060"/>
          <w:sz w:val="16"/>
          <w:szCs w:val="16"/>
        </w:rPr>
        <w:t xml:space="preserve">С 9 по 13 (22-26) октября 1914 г. в период боев с подошедшими к крепости австрийскими войсками,, аэростат с наблюдателями выдвинулся далеко вперед и почти непрерывно вел боевые действия, о которых один из участников писал следующее (Аэро. 1923. № 7): «С аэростата была разведана позиция противника... были обнаружены неприятельские окопы. Стрельбой нашей артиллерии, корректировавшейся с аэростата, неприятельские позиции были буквально засыпаны снарядами. Стрельба эта была столь удачна, что противник бежал из окопов, не [46] приняв атаки нашей пехоты. Это решило судьбу боя под крепостью в этот период». </w:t>
      </w:r>
    </w:p>
    <w:p w14:paraId="5177BEA7" w14:textId="77777777" w:rsidR="00C42092" w:rsidRPr="00DE096C" w:rsidRDefault="00C42092" w:rsidP="00D45A46">
      <w:pPr>
        <w:jc w:val="both"/>
        <w:rPr>
          <w:bCs/>
          <w:color w:val="002060"/>
          <w:sz w:val="16"/>
          <w:szCs w:val="16"/>
        </w:rPr>
      </w:pPr>
      <w:r w:rsidRPr="00DE096C">
        <w:rPr>
          <w:bCs/>
          <w:color w:val="002060"/>
          <w:sz w:val="16"/>
          <w:szCs w:val="16"/>
        </w:rPr>
        <w:t>Так действиями под Ивангородом 14-я воздухоплавательная рота вписала первую славную страницу в летопись боевых действий русских воздухоплавателей в войне 1914–1918 годов (11334).</w:t>
      </w:r>
    </w:p>
    <w:p w14:paraId="79D9F9AF" w14:textId="77777777" w:rsidR="00C42092" w:rsidRPr="00DE096C" w:rsidRDefault="00C42092" w:rsidP="00D45A46">
      <w:pPr>
        <w:jc w:val="both"/>
        <w:rPr>
          <w:bCs/>
          <w:i/>
          <w:color w:val="002060"/>
          <w:sz w:val="16"/>
          <w:szCs w:val="16"/>
        </w:rPr>
      </w:pPr>
    </w:p>
    <w:p w14:paraId="236EA1F2" w14:textId="2E718F4F" w:rsidR="000F6B76" w:rsidRPr="00DE096C" w:rsidRDefault="000F6B76" w:rsidP="00D45A46">
      <w:pPr>
        <w:shd w:val="clear" w:color="auto" w:fill="FFFFFF"/>
        <w:jc w:val="both"/>
        <w:rPr>
          <w:bCs/>
          <w:i/>
          <w:color w:val="002060"/>
          <w:sz w:val="16"/>
          <w:szCs w:val="16"/>
        </w:rPr>
      </w:pPr>
      <w:r w:rsidRPr="00DE096C">
        <w:rPr>
          <w:bCs/>
          <w:i/>
          <w:color w:val="002060"/>
          <w:sz w:val="16"/>
          <w:szCs w:val="16"/>
        </w:rPr>
        <w:t>Самолетостроение:</w:t>
      </w:r>
    </w:p>
    <w:p w14:paraId="5E51919C" w14:textId="77777777" w:rsidR="000F6B76" w:rsidRPr="00DE096C" w:rsidRDefault="000F6B76" w:rsidP="00D45A46">
      <w:pPr>
        <w:shd w:val="clear" w:color="auto" w:fill="FFFFFF"/>
        <w:jc w:val="both"/>
        <w:rPr>
          <w:bCs/>
          <w:i/>
          <w:color w:val="002060"/>
          <w:sz w:val="16"/>
          <w:szCs w:val="16"/>
        </w:rPr>
      </w:pPr>
    </w:p>
    <w:p w14:paraId="7A4C010F" w14:textId="37B6077E" w:rsidR="000F6B76" w:rsidRPr="00DE096C" w:rsidRDefault="000F6B76" w:rsidP="00D45A46">
      <w:pPr>
        <w:jc w:val="both"/>
        <w:rPr>
          <w:bCs/>
          <w:color w:val="002060"/>
          <w:sz w:val="16"/>
          <w:szCs w:val="16"/>
        </w:rPr>
      </w:pPr>
      <w:r w:rsidRPr="00DE096C">
        <w:rPr>
          <w:bCs/>
          <w:color w:val="002060"/>
          <w:sz w:val="16"/>
          <w:szCs w:val="16"/>
        </w:rPr>
        <w:t>12 (25) октября 1914 г., когда ИМ № 107 на поплавках находился в Либаве, к базе подошли немецкие миноносцы. Погодные условия не позволили Лаврову взлететь, и ввиду явной опасности захвата «Муромца» противником командир приказал машину сжечь. Больше «Муромцы» на поплавки не ставились (24177).</w:t>
      </w:r>
    </w:p>
    <w:p w14:paraId="50D19229" w14:textId="77777777" w:rsidR="000F6B76" w:rsidRDefault="000F6B76" w:rsidP="00D45A46">
      <w:pPr>
        <w:jc w:val="both"/>
        <w:rPr>
          <w:bCs/>
          <w:color w:val="002060"/>
          <w:sz w:val="16"/>
          <w:szCs w:val="16"/>
        </w:rPr>
      </w:pPr>
    </w:p>
    <w:p w14:paraId="5398012D" w14:textId="65D05081" w:rsidR="00736E34" w:rsidRPr="00DE096C" w:rsidRDefault="00736E34" w:rsidP="00736E34">
      <w:pPr>
        <w:shd w:val="clear" w:color="auto" w:fill="FFFFFF"/>
        <w:jc w:val="both"/>
        <w:rPr>
          <w:bCs/>
          <w:i/>
          <w:color w:val="002060"/>
          <w:sz w:val="16"/>
          <w:szCs w:val="16"/>
        </w:rPr>
      </w:pPr>
      <w:r>
        <w:rPr>
          <w:bCs/>
          <w:i/>
          <w:color w:val="002060"/>
          <w:sz w:val="16"/>
          <w:szCs w:val="16"/>
        </w:rPr>
        <w:t>Воздухоплавание</w:t>
      </w:r>
      <w:r w:rsidRPr="00DE096C">
        <w:rPr>
          <w:bCs/>
          <w:i/>
          <w:color w:val="002060"/>
          <w:sz w:val="16"/>
          <w:szCs w:val="16"/>
        </w:rPr>
        <w:t>:</w:t>
      </w:r>
    </w:p>
    <w:p w14:paraId="0971F2DE" w14:textId="77777777" w:rsidR="00736E34" w:rsidRPr="00DE096C" w:rsidRDefault="00736E34" w:rsidP="00736E34">
      <w:pPr>
        <w:shd w:val="clear" w:color="auto" w:fill="FFFFFF"/>
        <w:jc w:val="both"/>
        <w:rPr>
          <w:bCs/>
          <w:i/>
          <w:color w:val="002060"/>
          <w:sz w:val="16"/>
          <w:szCs w:val="16"/>
        </w:rPr>
      </w:pPr>
    </w:p>
    <w:p w14:paraId="54709EA0" w14:textId="77777777" w:rsidR="00736E34" w:rsidRPr="00DE096C" w:rsidRDefault="00736E34" w:rsidP="00736E34">
      <w:pPr>
        <w:jc w:val="both"/>
        <w:rPr>
          <w:bCs/>
          <w:color w:val="002060"/>
          <w:sz w:val="16"/>
          <w:szCs w:val="16"/>
        </w:rPr>
      </w:pPr>
      <w:r w:rsidRPr="00DE096C">
        <w:rPr>
          <w:bCs/>
          <w:color w:val="002060"/>
          <w:sz w:val="16"/>
          <w:szCs w:val="16"/>
        </w:rPr>
        <w:t>С 28 сентября по 13 (11-26) октября 1914 г., согласно воспоминаний Шабашева: "По приказанию коменданта крепости подъемы аэростата вновь производились в районе у полустанка Голомб.</w:t>
      </w:r>
    </w:p>
    <w:p w14:paraId="7F823192" w14:textId="77777777" w:rsidR="00736E34" w:rsidRPr="00DE096C" w:rsidRDefault="00736E34" w:rsidP="00736E34">
      <w:pPr>
        <w:jc w:val="both"/>
        <w:rPr>
          <w:bCs/>
          <w:color w:val="002060"/>
          <w:sz w:val="16"/>
          <w:szCs w:val="16"/>
        </w:rPr>
      </w:pPr>
      <w:r w:rsidRPr="00DE096C">
        <w:rPr>
          <w:bCs/>
          <w:color w:val="002060"/>
          <w:sz w:val="16"/>
          <w:szCs w:val="16"/>
        </w:rPr>
        <w:t>За это время разведка с аэростата обнаружила множество батарей противника и его биваки, а к (5) октября коменданту крепости представили отчетную карточку, на которой была нанесена целая линия неприятельских осадных работ и батарей, замеченных с аэростата по насыпям окопов, блеску от выстрелов, по движению людей, по дыму от костров на биваках.</w:t>
      </w:r>
    </w:p>
    <w:p w14:paraId="40B498E3" w14:textId="77777777" w:rsidR="00736E34" w:rsidRPr="00DE096C" w:rsidRDefault="00736E34" w:rsidP="00736E34">
      <w:pPr>
        <w:jc w:val="both"/>
        <w:rPr>
          <w:bCs/>
          <w:color w:val="002060"/>
          <w:sz w:val="16"/>
          <w:szCs w:val="16"/>
        </w:rPr>
      </w:pPr>
      <w:r w:rsidRPr="00DE096C">
        <w:rPr>
          <w:bCs/>
          <w:color w:val="002060"/>
          <w:sz w:val="16"/>
          <w:szCs w:val="16"/>
        </w:rPr>
        <w:t>О месте замеченных батарей немедленно доносили по телефону коменданту крепости и одновременно начальнику группы батарей у разъезда Голомб. Открываемый по указываемому месту артиллерийский огонь корректировался с аэростата. (2) октября, благодаря корректированию стрельбы крепостной артиллерии по осадной батарее противника, громившей железнодорожный мост через Вислу, была сохранена единственная в то время надежная переправа через эту реку. (6) октября с аэростата было обнаружено, что немцы оставляют позиции под крепостью.</w:t>
      </w:r>
    </w:p>
    <w:p w14:paraId="6B5A1733" w14:textId="77777777" w:rsidR="00736E34" w:rsidRPr="00DE096C" w:rsidRDefault="00736E34" w:rsidP="00736E34">
      <w:pPr>
        <w:jc w:val="both"/>
        <w:rPr>
          <w:bCs/>
          <w:color w:val="002060"/>
          <w:sz w:val="16"/>
          <w:szCs w:val="16"/>
        </w:rPr>
      </w:pPr>
      <w:r w:rsidRPr="00DE096C">
        <w:rPr>
          <w:bCs/>
          <w:color w:val="002060"/>
          <w:sz w:val="16"/>
          <w:szCs w:val="16"/>
        </w:rPr>
        <w:t>С (9) по (13) октября, когда к крепости подошли австрийские корпуса и под крепостью вновь начался горячий бой, аэростат переместили на левый берег Вислы в Казе- нецкий лес. Здесь с аэростата была разведана позиция противника по линии деревень Полячно - Грудек - Бердзе- жа. На северной опушке леса около деревни Бердзежа были обнаружены неприятельские окопы.</w:t>
      </w:r>
    </w:p>
    <w:p w14:paraId="7A38FE74" w14:textId="77777777" w:rsidR="00736E34" w:rsidRPr="00DE096C" w:rsidRDefault="00736E34" w:rsidP="00736E34">
      <w:pPr>
        <w:jc w:val="both"/>
        <w:rPr>
          <w:bCs/>
          <w:color w:val="002060"/>
          <w:sz w:val="16"/>
          <w:szCs w:val="16"/>
        </w:rPr>
      </w:pPr>
      <w:r w:rsidRPr="00DE096C">
        <w:rPr>
          <w:bCs/>
          <w:color w:val="002060"/>
          <w:sz w:val="16"/>
          <w:szCs w:val="16"/>
        </w:rPr>
        <w:t>Огнем артиллерии, корректировавшейся с аэростата, неприятельские позиции были разрушены. Противник бежал из окопов, не приняв атаки нашей пехоты. Это решило судьбу боя под крепостью...</w:t>
      </w:r>
    </w:p>
    <w:p w14:paraId="77869CF3" w14:textId="77777777" w:rsidR="00736E34" w:rsidRPr="00DE096C" w:rsidRDefault="00736E34" w:rsidP="00736E34">
      <w:pPr>
        <w:jc w:val="both"/>
        <w:rPr>
          <w:bCs/>
          <w:color w:val="002060"/>
          <w:sz w:val="16"/>
          <w:szCs w:val="16"/>
        </w:rPr>
      </w:pPr>
      <w:r w:rsidRPr="00DE096C">
        <w:rPr>
          <w:bCs/>
          <w:color w:val="002060"/>
          <w:sz w:val="16"/>
          <w:szCs w:val="16"/>
        </w:rPr>
        <w:t>Работа привязного аэростата под Ивангородом с (26 сентября) по (13) октября 1914 г. была отмечена в приказе коменданта крепости, который назвал ее "молодецкой и полезной".</w:t>
      </w:r>
    </w:p>
    <w:p w14:paraId="02401D61" w14:textId="77777777" w:rsidR="00736E34" w:rsidRPr="00DE096C" w:rsidRDefault="00736E34" w:rsidP="00736E34">
      <w:pPr>
        <w:jc w:val="both"/>
        <w:rPr>
          <w:bCs/>
          <w:color w:val="002060"/>
          <w:sz w:val="16"/>
          <w:szCs w:val="16"/>
        </w:rPr>
      </w:pPr>
      <w:r w:rsidRPr="00DE096C">
        <w:rPr>
          <w:bCs/>
          <w:color w:val="002060"/>
          <w:sz w:val="16"/>
          <w:szCs w:val="16"/>
        </w:rPr>
        <w:t>Вписав в боях под Ивангородом первую славную страницу в историю боевого применения аэростатов в русской армии в войне 1914-1917 гг., 14-я воздухоплавательная рота с таким же успехом продолжала свою боевую деятельность и в дальнейшем (11999).</w:t>
      </w:r>
    </w:p>
    <w:p w14:paraId="70B3B288" w14:textId="77777777" w:rsidR="00736E34" w:rsidRPr="00DE096C" w:rsidRDefault="00736E34" w:rsidP="00736E34">
      <w:pPr>
        <w:jc w:val="both"/>
        <w:rPr>
          <w:bCs/>
          <w:color w:val="002060"/>
          <w:sz w:val="16"/>
          <w:szCs w:val="16"/>
        </w:rPr>
      </w:pPr>
    </w:p>
    <w:p w14:paraId="1352A57B" w14:textId="6647749D"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 и воздухоплавание Франции:</w:t>
      </w:r>
    </w:p>
    <w:p w14:paraId="64A327EA" w14:textId="77777777" w:rsidR="00B67D7C" w:rsidRPr="00DE096C" w:rsidRDefault="00B67D7C" w:rsidP="00D45A46">
      <w:pPr>
        <w:shd w:val="clear" w:color="auto" w:fill="FFFFFF"/>
        <w:jc w:val="both"/>
        <w:rPr>
          <w:bCs/>
          <w:i/>
          <w:color w:val="002060"/>
          <w:sz w:val="16"/>
          <w:szCs w:val="16"/>
        </w:rPr>
      </w:pPr>
    </w:p>
    <w:p w14:paraId="623F19BE" w14:textId="4A6BA632"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13 (26) октября 1914 </w:t>
      </w:r>
      <w:r w:rsidR="00C42092" w:rsidRPr="00DE096C">
        <w:rPr>
          <w:bCs/>
          <w:color w:val="002060"/>
          <w:sz w:val="16"/>
          <w:szCs w:val="16"/>
        </w:rPr>
        <w:t>п</w:t>
      </w:r>
      <w:r w:rsidRPr="00DE096C">
        <w:rPr>
          <w:bCs/>
          <w:color w:val="002060"/>
          <w:sz w:val="16"/>
          <w:szCs w:val="16"/>
        </w:rPr>
        <w:t>о утверждению французского военно</w:t>
      </w:r>
      <w:r w:rsidRPr="00DE096C">
        <w:rPr>
          <w:bCs/>
          <w:color w:val="002060"/>
          <w:sz w:val="16"/>
          <w:szCs w:val="16"/>
        </w:rPr>
        <w:softHyphen/>
        <w:t>го летчика де-Шаваня именно в этот день произошел пер</w:t>
      </w:r>
      <w:r w:rsidRPr="00DE096C">
        <w:rPr>
          <w:bCs/>
          <w:color w:val="002060"/>
          <w:sz w:val="16"/>
          <w:szCs w:val="16"/>
        </w:rPr>
        <w:softHyphen/>
        <w:t>вый воздушный бой, заключавшийся в том, что француз</w:t>
      </w:r>
      <w:r w:rsidRPr="00DE096C">
        <w:rPr>
          <w:bCs/>
          <w:color w:val="002060"/>
          <w:sz w:val="16"/>
          <w:szCs w:val="16"/>
        </w:rPr>
        <w:softHyphen/>
        <w:t>ский авиатор капрал Тиссо с наблюдателем сержантом Пегу на борту погнался за германским бипланом и «послал ему вдогонку несколько пуль из карабина». Бой закончился ничем. Тиссо продолжил свой путь, имея задачей разбом</w:t>
      </w:r>
      <w:r w:rsidRPr="00DE096C">
        <w:rPr>
          <w:bCs/>
          <w:color w:val="002060"/>
          <w:sz w:val="16"/>
          <w:szCs w:val="16"/>
        </w:rPr>
        <w:softHyphen/>
        <w:t>бить ангары германской эскадрильи 6-й армии. После вы</w:t>
      </w:r>
      <w:r w:rsidRPr="00DE096C">
        <w:rPr>
          <w:bCs/>
          <w:color w:val="002060"/>
          <w:sz w:val="16"/>
          <w:szCs w:val="16"/>
        </w:rPr>
        <w:softHyphen/>
        <w:t>полнения боевого задания он был обстрелян у р. Эн из ру</w:t>
      </w:r>
      <w:r w:rsidRPr="00DE096C">
        <w:rPr>
          <w:bCs/>
          <w:color w:val="002060"/>
          <w:sz w:val="16"/>
          <w:szCs w:val="16"/>
        </w:rPr>
        <w:softHyphen/>
        <w:t>жей, но благополучно вернулся на свой аэродром (11060).</w:t>
      </w:r>
    </w:p>
    <w:p w14:paraId="29CB70C8" w14:textId="77777777" w:rsidR="00B67D7C" w:rsidRPr="00DE096C" w:rsidRDefault="00B67D7C" w:rsidP="00D45A46">
      <w:pPr>
        <w:shd w:val="clear" w:color="auto" w:fill="FFFFFF"/>
        <w:jc w:val="both"/>
        <w:rPr>
          <w:bCs/>
          <w:color w:val="002060"/>
          <w:sz w:val="16"/>
          <w:szCs w:val="16"/>
        </w:rPr>
      </w:pPr>
    </w:p>
    <w:p w14:paraId="7CB26B90" w14:textId="4677AA04" w:rsidR="00B67D7C" w:rsidRPr="00DE096C" w:rsidRDefault="00B67D7C" w:rsidP="00D45A46">
      <w:pPr>
        <w:jc w:val="both"/>
        <w:rPr>
          <w:bCs/>
          <w:color w:val="002060"/>
          <w:sz w:val="16"/>
          <w:szCs w:val="16"/>
        </w:rPr>
      </w:pPr>
      <w:r w:rsidRPr="00DE096C">
        <w:rPr>
          <w:bCs/>
          <w:color w:val="002060"/>
          <w:sz w:val="16"/>
          <w:szCs w:val="16"/>
        </w:rPr>
        <w:lastRenderedPageBreak/>
        <w:t xml:space="preserve">13 (26) октября </w:t>
      </w:r>
      <w:r w:rsidR="00C42092" w:rsidRPr="00DE096C">
        <w:rPr>
          <w:bCs/>
          <w:color w:val="002060"/>
          <w:sz w:val="16"/>
          <w:szCs w:val="16"/>
        </w:rPr>
        <w:t>1914 г.</w:t>
      </w:r>
      <w:r w:rsidRPr="00DE096C">
        <w:rPr>
          <w:bCs/>
          <w:color w:val="002060"/>
          <w:sz w:val="16"/>
          <w:szCs w:val="16"/>
        </w:rPr>
        <w:t xml:space="preserve"> </w:t>
      </w:r>
      <w:r w:rsidR="00C42092" w:rsidRPr="00DE096C">
        <w:rPr>
          <w:bCs/>
          <w:color w:val="002060"/>
          <w:sz w:val="16"/>
          <w:szCs w:val="16"/>
        </w:rPr>
        <w:t>п</w:t>
      </w:r>
      <w:r w:rsidRPr="00DE096C">
        <w:rPr>
          <w:bCs/>
          <w:color w:val="002060"/>
          <w:sz w:val="16"/>
          <w:szCs w:val="16"/>
        </w:rPr>
        <w:t>о утверждению французского военного летчика де-Шаваня именно в этот день произошел первый воздушный бой, заключавшийся в том, что французский авиатор капрал Тиссо с наблюдателем сержантом Пегу на борту погнался за германским бипланом и "послал ему вдогонку несколько пуль из карабина". Бой закончился ничем. Тиссо продолжил свой путь, имея задачей разбомбить ангары германской эскадрильи 6-й армии. После выполнения боевого задания он был обстрелян у р. Эн из ружей, но благополучно вернулся на свой аэродром (11999).</w:t>
      </w:r>
    </w:p>
    <w:p w14:paraId="63D57B61" w14:textId="77777777" w:rsidR="00B67D7C" w:rsidRPr="00DE096C" w:rsidRDefault="00B67D7C" w:rsidP="00D45A46">
      <w:pPr>
        <w:jc w:val="both"/>
        <w:rPr>
          <w:bCs/>
          <w:color w:val="002060"/>
          <w:sz w:val="16"/>
          <w:szCs w:val="16"/>
        </w:rPr>
      </w:pPr>
    </w:p>
    <w:p w14:paraId="0FEB330D" w14:textId="77777777" w:rsidR="00B67D7C" w:rsidRPr="00DE096C" w:rsidRDefault="00B67D7C" w:rsidP="00D45A46">
      <w:pPr>
        <w:jc w:val="both"/>
        <w:rPr>
          <w:bCs/>
          <w:color w:val="002060"/>
          <w:sz w:val="16"/>
          <w:szCs w:val="16"/>
        </w:rPr>
      </w:pPr>
      <w:r w:rsidRPr="00DE096C">
        <w:rPr>
          <w:bCs/>
          <w:color w:val="002060"/>
          <w:sz w:val="16"/>
          <w:szCs w:val="16"/>
        </w:rPr>
        <w:t>13 (26) октября 1914 года на Западном фронте самолеты впервые сошлись в воздушном бою, но их встреча закончилась безрезультатной перестрелкой из личного оружия, а первый германский аэроплаан был сбит французским летчиком Гарро лишь 1 апреля 1915 года). Однако развертывание в русской армии специальных истребительных авиационных отрядов началось во второй порловине 1916 года после представления доклада заведующего авиацией и воздузоплавания в Действующей Армии от 2 оюля 1916 г. на имя начальника штаба Верховного главнокомандующего, в котором, в частности говорилось: "Появление на нашем фронте быстроходных и сильно вооруженных неприятельских аппаратов-истребителей вызвало необходимость формирования и у нас отрядов истребителей......." Впрочем, отдельные истребительные отряды в полосе Юго-Западного фронта начали действовать несколько раньше. Кроме того, имелся отряд охраны резиденции Верховного главнокомандующего (11184).</w:t>
      </w:r>
    </w:p>
    <w:p w14:paraId="4D122209" w14:textId="77777777" w:rsidR="00B67D7C" w:rsidRPr="00DE096C" w:rsidRDefault="00B67D7C" w:rsidP="00D45A46">
      <w:pPr>
        <w:jc w:val="both"/>
        <w:rPr>
          <w:bCs/>
          <w:color w:val="002060"/>
          <w:sz w:val="16"/>
          <w:szCs w:val="16"/>
        </w:rPr>
      </w:pPr>
      <w:r w:rsidRPr="00DE096C">
        <w:rPr>
          <w:bCs/>
          <w:color w:val="002060"/>
          <w:sz w:val="16"/>
          <w:szCs w:val="16"/>
        </w:rPr>
        <w:t xml:space="preserve">Русскими летчиками были освоены бой парой, групповые бои, дежурство в воздухе и на аэродроме, сопровождение разведчиков и бомбардировщиков, а также воздушный таран как крайняя мера, когда другие средства воздействия на противника исчерпаны. Раньше летчиков Франции и Великобритании П.Зиновьев применил лобовую атаку. Штабс-капитан Евграф Крутень отработал тактику нападения на самолет противника с использованием преимущества в высоте. </w:t>
      </w:r>
    </w:p>
    <w:p w14:paraId="4BB08278" w14:textId="77777777" w:rsidR="00B67D7C" w:rsidRPr="00DE096C" w:rsidRDefault="00B67D7C" w:rsidP="00D45A46">
      <w:pPr>
        <w:jc w:val="both"/>
        <w:rPr>
          <w:bCs/>
          <w:color w:val="002060"/>
          <w:sz w:val="16"/>
          <w:szCs w:val="16"/>
        </w:rPr>
      </w:pPr>
      <w:r w:rsidRPr="00DE096C">
        <w:rPr>
          <w:bCs/>
          <w:color w:val="002060"/>
          <w:sz w:val="16"/>
          <w:szCs w:val="16"/>
        </w:rPr>
        <w:t xml:space="preserve">Всего в России на 200 истребителей имелось 28 асов (т.е. летчиков, сбивших более пяти самолетов противника). Наиболее известные их них - А.Казаков (32 победы), П.Маринович (22), Е.Крутень и В.Федоров (20), К.Арцеулов (18), П.Аргеев (15), А.Северский (13), П.Смирнов (12), М.Сафанов, Б.Сергиевский и Э.Томсон (11), И.Орлов (10), Э.Пульпе и Г.Сук (7), О.Тетер, Я.Махлапуу и В.Янченко (6). Всего русскими асами было уничтожено 226 самолетов противника. </w:t>
      </w:r>
    </w:p>
    <w:p w14:paraId="4D8A0F35" w14:textId="77777777" w:rsidR="00B67D7C" w:rsidRPr="00DE096C" w:rsidRDefault="00B67D7C" w:rsidP="00D45A46">
      <w:pPr>
        <w:jc w:val="both"/>
        <w:rPr>
          <w:bCs/>
          <w:color w:val="002060"/>
          <w:sz w:val="16"/>
          <w:szCs w:val="16"/>
        </w:rPr>
      </w:pPr>
      <w:r w:rsidRPr="00DE096C">
        <w:rPr>
          <w:bCs/>
          <w:color w:val="002060"/>
          <w:sz w:val="16"/>
          <w:szCs w:val="16"/>
        </w:rPr>
        <w:t>В целом, истребительная авиация составляла 35% от общего состава ВВС России, а летчики-истребители вместе с летчиками других родов авиации уничтожили в 1914-17 гг. более 2000 самолетов протитвника (11184).</w:t>
      </w:r>
    </w:p>
    <w:p w14:paraId="44764762" w14:textId="77777777" w:rsidR="00B67D7C" w:rsidRPr="00DE096C" w:rsidRDefault="00B67D7C" w:rsidP="00D45A46">
      <w:pPr>
        <w:jc w:val="both"/>
        <w:rPr>
          <w:bCs/>
          <w:color w:val="002060"/>
          <w:sz w:val="16"/>
          <w:szCs w:val="16"/>
        </w:rPr>
      </w:pPr>
    </w:p>
    <w:p w14:paraId="43CA1C9F" w14:textId="43BB8388" w:rsidR="003166F2" w:rsidRPr="00DE096C" w:rsidRDefault="003166F2" w:rsidP="00D45A46">
      <w:pPr>
        <w:shd w:val="clear" w:color="auto" w:fill="FFFFFF"/>
        <w:jc w:val="both"/>
        <w:rPr>
          <w:bCs/>
          <w:i/>
          <w:color w:val="002060"/>
          <w:sz w:val="16"/>
          <w:szCs w:val="16"/>
        </w:rPr>
      </w:pPr>
      <w:r w:rsidRPr="00DE096C">
        <w:rPr>
          <w:bCs/>
          <w:i/>
          <w:color w:val="002060"/>
          <w:sz w:val="16"/>
          <w:szCs w:val="16"/>
        </w:rPr>
        <w:t>Авиация и воздухоплавание Англии:</w:t>
      </w:r>
    </w:p>
    <w:p w14:paraId="3BB8EAFC" w14:textId="77777777" w:rsidR="003166F2" w:rsidRPr="00DE096C" w:rsidRDefault="003166F2" w:rsidP="00D45A46">
      <w:pPr>
        <w:shd w:val="clear" w:color="auto" w:fill="FFFFFF"/>
        <w:jc w:val="both"/>
        <w:rPr>
          <w:bCs/>
          <w:i/>
          <w:color w:val="002060"/>
          <w:sz w:val="16"/>
          <w:szCs w:val="16"/>
        </w:rPr>
      </w:pPr>
    </w:p>
    <w:p w14:paraId="49CA467B" w14:textId="77777777" w:rsidR="003166F2" w:rsidRPr="00DE096C" w:rsidRDefault="003166F2" w:rsidP="00D45A46">
      <w:pPr>
        <w:jc w:val="both"/>
        <w:rPr>
          <w:bCs/>
          <w:color w:val="002060"/>
          <w:sz w:val="16"/>
          <w:szCs w:val="16"/>
        </w:rPr>
      </w:pPr>
      <w:r w:rsidRPr="00DE096C">
        <w:rPr>
          <w:bCs/>
          <w:color w:val="002060"/>
          <w:sz w:val="16"/>
          <w:szCs w:val="16"/>
        </w:rPr>
        <w:t>13 (26) октября 1914 Британское Адмиралтейство издает указание нарисовать Юнион Джек на нижней стороне крыльев самолетов Royal Naval Air Service (29337).</w:t>
      </w:r>
    </w:p>
    <w:p w14:paraId="6FFEB6AB" w14:textId="77777777" w:rsidR="003166F2" w:rsidRPr="00DE096C" w:rsidRDefault="003166F2" w:rsidP="00D45A46">
      <w:pPr>
        <w:jc w:val="both"/>
        <w:rPr>
          <w:bCs/>
          <w:color w:val="002060"/>
          <w:sz w:val="16"/>
          <w:szCs w:val="16"/>
        </w:rPr>
      </w:pPr>
    </w:p>
    <w:p w14:paraId="724579B2"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Армия:</w:t>
      </w:r>
    </w:p>
    <w:p w14:paraId="6E5A8B9C" w14:textId="77777777" w:rsidR="00B67D7C" w:rsidRPr="00DE096C" w:rsidRDefault="00B67D7C" w:rsidP="00D45A46">
      <w:pPr>
        <w:shd w:val="clear" w:color="auto" w:fill="FFFFFF"/>
        <w:jc w:val="both"/>
        <w:rPr>
          <w:bCs/>
          <w:i/>
          <w:color w:val="002060"/>
          <w:sz w:val="16"/>
          <w:szCs w:val="16"/>
        </w:rPr>
      </w:pPr>
    </w:p>
    <w:p w14:paraId="4995FF94" w14:textId="77777777" w:rsidR="00C42092" w:rsidRPr="00DE096C" w:rsidRDefault="00C42092" w:rsidP="00D45A46">
      <w:pPr>
        <w:shd w:val="clear" w:color="auto" w:fill="FFFFFF"/>
        <w:jc w:val="both"/>
        <w:rPr>
          <w:bCs/>
          <w:color w:val="002060"/>
          <w:sz w:val="16"/>
          <w:szCs w:val="16"/>
        </w:rPr>
      </w:pPr>
      <w:r w:rsidRPr="00DE096C">
        <w:rPr>
          <w:bCs/>
          <w:color w:val="002060"/>
          <w:sz w:val="16"/>
          <w:szCs w:val="16"/>
        </w:rPr>
        <w:t>14 (27) октября 1914 г. вечером корабли русской эскадры с внешнего рейда были переведены в главную базу, а минная бригада убыла в Евпаторию, откуда ее полудивизионам, согласно графика, предстояло нести дозорную службу к Херсонесу и обратно. В 20.35 командующий флотом получил радиограм</w:t>
      </w:r>
      <w:r w:rsidRPr="00DE096C">
        <w:rPr>
          <w:bCs/>
          <w:color w:val="002060"/>
          <w:sz w:val="16"/>
          <w:szCs w:val="16"/>
        </w:rPr>
        <w:softHyphen/>
        <w:t>му от капитана парохода, совершавшего рейсы из Одессы в Стамбул (Константинополь), о встрече в 17.45 у Босфора с крей</w:t>
      </w:r>
      <w:r w:rsidRPr="00DE096C">
        <w:rPr>
          <w:bCs/>
          <w:color w:val="002060"/>
          <w:sz w:val="16"/>
          <w:szCs w:val="16"/>
        </w:rPr>
        <w:softHyphen/>
        <w:t>серами и миноносцами неприятеля. Однако должной реакции не последовало (11283).</w:t>
      </w:r>
    </w:p>
    <w:p w14:paraId="1A7AAEBA" w14:textId="77777777" w:rsidR="00C42092" w:rsidRPr="00DE096C" w:rsidRDefault="00C42092" w:rsidP="00D45A46">
      <w:pPr>
        <w:shd w:val="clear" w:color="auto" w:fill="FFFFFF"/>
        <w:jc w:val="both"/>
        <w:rPr>
          <w:bCs/>
          <w:color w:val="002060"/>
          <w:sz w:val="16"/>
          <w:szCs w:val="16"/>
        </w:rPr>
      </w:pPr>
    </w:p>
    <w:p w14:paraId="22AAD9E2" w14:textId="53284DD6" w:rsidR="00B67D7C" w:rsidRPr="00DE096C" w:rsidRDefault="00B67D7C" w:rsidP="00D45A46">
      <w:pPr>
        <w:jc w:val="both"/>
        <w:rPr>
          <w:bCs/>
          <w:color w:val="002060"/>
          <w:sz w:val="16"/>
          <w:szCs w:val="16"/>
        </w:rPr>
      </w:pPr>
      <w:r w:rsidRPr="00DE096C">
        <w:rPr>
          <w:bCs/>
          <w:color w:val="002060"/>
          <w:sz w:val="16"/>
          <w:szCs w:val="16"/>
        </w:rPr>
        <w:t>14 (27) октября 1914 года</w:t>
      </w:r>
      <w:r w:rsidR="00C42092" w:rsidRPr="00DE096C">
        <w:rPr>
          <w:bCs/>
          <w:color w:val="002060"/>
          <w:sz w:val="16"/>
          <w:szCs w:val="16"/>
        </w:rPr>
        <w:t>, ссылаясь на точную формулировку Гаагской декларацией 1899 года, Германия</w:t>
      </w:r>
      <w:r w:rsidRPr="00DE096C">
        <w:rPr>
          <w:bCs/>
          <w:color w:val="002060"/>
          <w:sz w:val="16"/>
          <w:szCs w:val="16"/>
        </w:rPr>
        <w:t xml:space="preserve"> применила боеприпасы снаряженные шрапнелью, смешанной с раздражающим порошком мотивируя это тем, что данное применение не было единственной целью данного обстрела. Это относится и ко второй половине 1914 года, когда Германия и Франция применяли не смертельные слезоточивые газы, но 22 апреля 1915 года Германия провела массивную хлорную атаку, в результате чего 15 тысяч солдат получили поражения, из них 5 тысяч погибли. Немцы на фронте 6 км выпустили хлор из 5730 баллонов. В течение 5-8 минут было выпущено 168 тонн хлора. Это вероломное использование Германией химического оружия было встречено мощной пропагандистской кампанией, обличающей использование отравляющих веществ в военных целях и направленной против Германии, инициатором которой была Британия. Джулиан Пэрри Робинсон исследовал пропагандистские материалы, выпущенные после ипрских событий и привлекшие внимание к описанию потерь союзников, вследствие газовой атаки, на основании информации представленной источниками, заслуживающими доверия. "Таймс" 30 апреля 1915 года опубликовал статью: "Полная история событий: Новое немецкое оружие". Вот как описывали это событие очевидцы: "Лица, руки людей были, глянцевого серо-черного цвета, рты открыты, глаза покрыты свинцовой глазурью, все вокруг металось, кружилось, борясь за жизнь. Зрелище было пугающим, все эти ужасные почерневшие лица, стенавшие и молящие о помощи… Воздействие газа заключается в заполнении легких водянистой слизистой жидкостью, которая постепенно заполняет все легкие, из-за этого происходит удушение, вследствие, чего люди умирали в течение 1 или 2 дней". Немецкая пропаганда так отвечала своим оппонентам: "Эти снаряды* не более опасны, чем ядовитые вещества, применявшихся во время английских волнений (имелись в виду Луддитские взрывы, использовавшие взрывчатые вещества на основе пикриновой кислоты)". Эта первая газовая атака была полной неожиданностью для войск Союзников, но уже 25 сентября 1915 года Британские войска провели свою пробную хлорную атаку. В дальнейших газобаллонных атаках применялись как хлор, так и смеси хлора с фосгеном. Впервые смесь фосгена с хлором была впервые применена как ОВ Германией 31 мая 1915 года, против русских войск. На фронте 12 км - под Болимовом (Польша), из 12 тысяч баллонов было выпущено 264 т этой смеси. Несмотря на отсутствие средств защиты и неожиданность немецкая атака была отбита. В 2 русских дивизиях из строя было выведено почти 9 тысяч человек. С 1917 года воюющими странами стали применяться газомёты (прообраз миномётов). Впервые они были применены англичанами. Мины содержали от 9 до 28 кг отравляющего вещества, стрельба из газомётов производилась в основном фосгеном, жидким дифосгеном и хлорпикрином. Немецкие газомёты были причиной "чуда у Капоретто", когда после обстрела из 912 газомётов минами с фосгеном итальянского батальона, в долине реки Изонцо было уничтожено всё живое. Газомёты были способны внезапно создавать в районе цели высокие концентрации ОВ, поэтому множество итальянцев погибли даже в противогазах. Газомёты дали толчок применению артиллерийских средств, применения отравляющих веществ, с середины 1916 года. Применение артиллерии повысило эффективность газовых атак. Так 22 июня 1916 г. за 7 часов непрерывного обстрела немецкая артиллерия выпустила 125 тыс. снарядов с 100 тыс. л. удушающих ОВ. Масса отравляющих веществ в баллонах составляла 50%, в снарядах лишь 10%.</w:t>
      </w:r>
    </w:p>
    <w:p w14:paraId="0F757079" w14:textId="4C3EE435" w:rsidR="00B67D7C" w:rsidRPr="00DE096C" w:rsidRDefault="00B67D7C" w:rsidP="00D45A46">
      <w:pPr>
        <w:jc w:val="both"/>
        <w:rPr>
          <w:bCs/>
          <w:color w:val="002060"/>
          <w:sz w:val="16"/>
          <w:szCs w:val="16"/>
        </w:rPr>
      </w:pPr>
      <w:r w:rsidRPr="00DE096C">
        <w:rPr>
          <w:bCs/>
          <w:color w:val="002060"/>
          <w:sz w:val="16"/>
          <w:szCs w:val="16"/>
        </w:rPr>
        <w:t>15 мая 1916 г. французы во время артиллерийского обстрела применили смесь фосгена с четыреххлористым оловом и треххлористым мышьяком, а 1 июля - смесь синильной кислоты с треххлористым мышьяком. 10 июля 1917 года немцами на Западном фронте был впервые применён дифенилхлорарсин, вызывающий сильный кашель даже через противогаз, в те годы имевший плохой противодымный фильтр. Поэтому в дальнейшем для поражения живой силы противника дифенилхлорарсин стали применять вместе с фосгеном или дифосгеном.</w:t>
      </w:r>
      <w:r w:rsidR="00C42092" w:rsidRPr="00DE096C">
        <w:rPr>
          <w:bCs/>
          <w:color w:val="002060"/>
          <w:sz w:val="16"/>
          <w:szCs w:val="16"/>
        </w:rPr>
        <w:t xml:space="preserve"> </w:t>
      </w:r>
      <w:r w:rsidRPr="00DE096C">
        <w:rPr>
          <w:bCs/>
          <w:color w:val="002060"/>
          <w:sz w:val="16"/>
          <w:szCs w:val="16"/>
        </w:rPr>
        <w:t>Новый этап применения химического оружия начался с применения стойкого отравляющего вещества кожно-нарывного действия (В, В -дихлордиэтилсульфида). Примененного впервые немецкими войсками под бельгийским городом Ипр. 12 июля 1917 года в течение 4 часов по позициям союзников было выпущено 50 тысяч снарядов, содержащих 125 тонн В, В-дихлордиэтилсульфида. Поражения различной степени получили 2490 человек. Французами новое ОВ было названо "ипритом", по месту первого применения, а англичанами "горчичным газом" из-за сильного специфического запаха.</w:t>
      </w:r>
    </w:p>
    <w:p w14:paraId="27687C5E" w14:textId="77777777" w:rsidR="00B67D7C" w:rsidRPr="00DE096C" w:rsidRDefault="00B67D7C" w:rsidP="00D45A46">
      <w:pPr>
        <w:jc w:val="both"/>
        <w:rPr>
          <w:bCs/>
          <w:color w:val="002060"/>
          <w:sz w:val="16"/>
          <w:szCs w:val="16"/>
        </w:rPr>
      </w:pPr>
    </w:p>
    <w:p w14:paraId="0BB563E3" w14:textId="77777777" w:rsidR="00221CF3" w:rsidRPr="00DE096C" w:rsidRDefault="00221CF3" w:rsidP="00D45A46">
      <w:pPr>
        <w:shd w:val="clear" w:color="auto" w:fill="FFFFFF"/>
        <w:jc w:val="both"/>
        <w:rPr>
          <w:bCs/>
          <w:i/>
          <w:color w:val="002060"/>
          <w:sz w:val="16"/>
          <w:szCs w:val="16"/>
        </w:rPr>
      </w:pPr>
      <w:r w:rsidRPr="00DE096C">
        <w:rPr>
          <w:bCs/>
          <w:i/>
          <w:color w:val="002060"/>
          <w:sz w:val="16"/>
          <w:szCs w:val="16"/>
        </w:rPr>
        <w:t>За рубежом:</w:t>
      </w:r>
    </w:p>
    <w:p w14:paraId="48C5BFA6" w14:textId="77777777" w:rsidR="00221CF3" w:rsidRPr="00DE096C" w:rsidRDefault="00221CF3" w:rsidP="00D45A46">
      <w:pPr>
        <w:shd w:val="clear" w:color="auto" w:fill="FFFFFF"/>
        <w:jc w:val="both"/>
        <w:rPr>
          <w:bCs/>
          <w:i/>
          <w:color w:val="002060"/>
          <w:sz w:val="16"/>
          <w:szCs w:val="16"/>
        </w:rPr>
      </w:pPr>
    </w:p>
    <w:p w14:paraId="65562862" w14:textId="474B8807" w:rsidR="00221CF3" w:rsidRPr="00DE096C" w:rsidRDefault="00221CF3" w:rsidP="00D45A46">
      <w:pPr>
        <w:jc w:val="both"/>
        <w:rPr>
          <w:bCs/>
          <w:color w:val="002060"/>
          <w:sz w:val="16"/>
          <w:szCs w:val="16"/>
        </w:rPr>
      </w:pPr>
      <w:r w:rsidRPr="00DE096C">
        <w:rPr>
          <w:bCs/>
          <w:color w:val="002060"/>
          <w:sz w:val="16"/>
          <w:szCs w:val="16"/>
        </w:rPr>
        <w:t>14 (27) октября 1914 г., когда 1-я автомобильная пулеметная рота Русской армии уже прибыла на фронт, военное министерство Пруссии обязало Транспортно-техническую испытательную комиссию разработать план мероприятий по постройке бронеавтомобилей и формированию броневых частей. К этому подключили также Оржейную испытательную комиссию и Отдел «А2» (Отдел инфантерии). 3 ноября совместными усилиями были сформулированы состоящие из 16 пунктов требования к бронеавтомобилям. После их одобрения военным министерством на заводах «Бюссинг», «Даймлер» и «Эрхардт» разместили заказ на изготовление трех бронированных машин (12256).</w:t>
      </w:r>
    </w:p>
    <w:p w14:paraId="355812B7" w14:textId="77777777" w:rsidR="00221CF3" w:rsidRPr="00DE096C" w:rsidRDefault="00221CF3" w:rsidP="00D45A46">
      <w:pPr>
        <w:jc w:val="both"/>
        <w:rPr>
          <w:bCs/>
          <w:color w:val="002060"/>
          <w:sz w:val="16"/>
          <w:szCs w:val="16"/>
        </w:rPr>
      </w:pPr>
    </w:p>
    <w:p w14:paraId="6E77F4A4"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0AF13742" w14:textId="77777777" w:rsidR="00B67D7C" w:rsidRPr="00DE096C" w:rsidRDefault="00B67D7C" w:rsidP="00D45A46">
      <w:pPr>
        <w:shd w:val="clear" w:color="auto" w:fill="FFFFFF"/>
        <w:jc w:val="both"/>
        <w:rPr>
          <w:bCs/>
          <w:i/>
          <w:color w:val="002060"/>
          <w:sz w:val="16"/>
          <w:szCs w:val="16"/>
        </w:rPr>
      </w:pPr>
    </w:p>
    <w:p w14:paraId="62E1A63B" w14:textId="41AE6027"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15 </w:t>
      </w:r>
      <w:r w:rsidR="00C42092" w:rsidRPr="00DE096C">
        <w:rPr>
          <w:bCs/>
          <w:color w:val="002060"/>
          <w:sz w:val="16"/>
          <w:szCs w:val="16"/>
        </w:rPr>
        <w:t xml:space="preserve">(28) </w:t>
      </w:r>
      <w:r w:rsidRPr="00DE096C">
        <w:rPr>
          <w:bCs/>
          <w:color w:val="002060"/>
          <w:sz w:val="16"/>
          <w:szCs w:val="16"/>
        </w:rPr>
        <w:t>октября 1914 г.</w:t>
      </w:r>
      <w:r w:rsidR="00C42092" w:rsidRPr="00DE096C">
        <w:rPr>
          <w:bCs/>
          <w:color w:val="002060"/>
          <w:sz w:val="16"/>
          <w:szCs w:val="16"/>
        </w:rPr>
        <w:t xml:space="preserve"> был</w:t>
      </w:r>
      <w:r w:rsidRPr="00DE096C">
        <w:rPr>
          <w:bCs/>
          <w:color w:val="002060"/>
          <w:sz w:val="16"/>
          <w:szCs w:val="16"/>
        </w:rPr>
        <w:t xml:space="preserve"> </w:t>
      </w:r>
      <w:r w:rsidR="00C42092" w:rsidRPr="00DE096C">
        <w:rPr>
          <w:bCs/>
          <w:color w:val="002060"/>
          <w:sz w:val="16"/>
          <w:szCs w:val="16"/>
        </w:rPr>
        <w:t>д</w:t>
      </w:r>
      <w:r w:rsidRPr="00DE096C">
        <w:rPr>
          <w:bCs/>
          <w:color w:val="002060"/>
          <w:sz w:val="16"/>
          <w:szCs w:val="16"/>
        </w:rPr>
        <w:t>оклад ГВТУ Военному совету о продлении срока поставки аэропланов Первым российским товариществом воздухоплавания № 3754</w:t>
      </w:r>
    </w:p>
    <w:p w14:paraId="05B31BA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По контракту от 18 апреля 1914 г. за № 2049, заключенному на основании положения Военного совета 29 марта 1914 г., Главное военно-техническое управление заказало Пер</w:t>
      </w:r>
      <w:r w:rsidRPr="00DE096C">
        <w:rPr>
          <w:bCs/>
          <w:color w:val="002060"/>
          <w:sz w:val="16"/>
          <w:szCs w:val="16"/>
        </w:rPr>
        <w:softHyphen/>
        <w:t>вому российскому товариществу воздухоплавания «С. С. Щетинин и К°»: 30 аэропланов системы Фармана № 22 бис с 100-сильными моторами «Гном» типа Моносупап, 30 ком</w:t>
      </w:r>
      <w:r w:rsidRPr="00DE096C">
        <w:rPr>
          <w:bCs/>
          <w:color w:val="002060"/>
          <w:sz w:val="16"/>
          <w:szCs w:val="16"/>
        </w:rPr>
        <w:softHyphen/>
        <w:t>плектов запасных частей и 5 дополнительных комплектов запасных частей к этим аэро</w:t>
      </w:r>
      <w:r w:rsidRPr="00DE096C">
        <w:rPr>
          <w:bCs/>
          <w:color w:val="002060"/>
          <w:sz w:val="16"/>
          <w:szCs w:val="16"/>
        </w:rPr>
        <w:softHyphen/>
        <w:t>планам.</w:t>
      </w:r>
    </w:p>
    <w:p w14:paraId="4339611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Означенный заказ, согласно контракта, должен быть выполнен в следующие сроки: 10 аэропланов — к 15 июня, 10 аэропланов — к 15 июля и 10 комплектов запасных час</w:t>
      </w:r>
      <w:r w:rsidRPr="00DE096C">
        <w:rPr>
          <w:bCs/>
          <w:color w:val="002060"/>
          <w:sz w:val="16"/>
          <w:szCs w:val="16"/>
        </w:rPr>
        <w:softHyphen/>
        <w:t>тей — к 1 августа, 10 комплектов — к 1 сентября и 15 комплектов — к 15 октября с. г. Между тем 5 июня, как то усматривается из прилагаемого удостоверения полиции**, на заводе Товарищества началась забастовка рабочих, продолжавшаяся до объявления войны Гер</w:t>
      </w:r>
      <w:r w:rsidRPr="00DE096C">
        <w:rPr>
          <w:bCs/>
          <w:color w:val="002060"/>
          <w:sz w:val="16"/>
          <w:szCs w:val="16"/>
        </w:rPr>
        <w:softHyphen/>
        <w:t>манией и носившая, по имеющимся в управлении сведениям, политический характер, а с 19 июля по 8 октября с. г. работы по выполнению настоящего заказа были приостанов</w:t>
      </w:r>
      <w:r w:rsidRPr="00DE096C">
        <w:rPr>
          <w:bCs/>
          <w:color w:val="002060"/>
          <w:sz w:val="16"/>
          <w:szCs w:val="16"/>
        </w:rPr>
        <w:softHyphen/>
        <w:t>лены распоряжением Главного военно-технического управления ввиду того, что с от</w:t>
      </w:r>
      <w:r w:rsidRPr="00DE096C">
        <w:rPr>
          <w:bCs/>
          <w:color w:val="002060"/>
          <w:sz w:val="16"/>
          <w:szCs w:val="16"/>
        </w:rPr>
        <w:softHyphen/>
        <w:t>крытием военных действий для пополнения в отрядах недостающего количества и заме</w:t>
      </w:r>
      <w:r w:rsidRPr="00DE096C">
        <w:rPr>
          <w:bCs/>
          <w:color w:val="002060"/>
          <w:sz w:val="16"/>
          <w:szCs w:val="16"/>
        </w:rPr>
        <w:softHyphen/>
        <w:t>ны пришедших в негодность потребовались в первую очередь аэропланы Фарман № 16 и Ньюпор, спешное изготовление которых и было поручено заводу товарищества. Есте</w:t>
      </w:r>
      <w:r w:rsidRPr="00DE096C">
        <w:rPr>
          <w:bCs/>
          <w:color w:val="002060"/>
          <w:sz w:val="16"/>
          <w:szCs w:val="16"/>
        </w:rPr>
        <w:softHyphen/>
        <w:t>ственно, что при наличии таких обстоятельств заказанные Товариществу аэропланы и запасные части до настоящего времени не могли быть построены.</w:t>
      </w:r>
    </w:p>
    <w:p w14:paraId="0B4E6D6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lastRenderedPageBreak/>
        <w:t>Ввиду сего я находил бы необходимым установить ныне, с возобновлением Товари</w:t>
      </w:r>
      <w:r w:rsidRPr="00DE096C">
        <w:rPr>
          <w:bCs/>
          <w:color w:val="002060"/>
          <w:sz w:val="16"/>
          <w:szCs w:val="16"/>
        </w:rPr>
        <w:softHyphen/>
        <w:t>ществом, согласно предложения управления, работ по постройке аэропланов Фарман № 22 бис и запасных частей, новый срок готовности означенных предметов, определив его в четыре месяца со дня возобновления работ, т. е. по 8 февраля 1915 г., на каковой срок имеется и согласие Товарищества*. При этом я не могу не признать, что замедление в изготовлении ее по причинам, устранение которых не зависело от воли Товарищества, отнюдь нельзя поставить последнему в вину. К тому же эта задержка не отразилась и на боевой готовности армии, так как 19 июля Товариществу, как указано выше, было пред</w:t>
      </w:r>
      <w:r w:rsidRPr="00DE096C">
        <w:rPr>
          <w:bCs/>
          <w:color w:val="002060"/>
          <w:sz w:val="16"/>
          <w:szCs w:val="16"/>
        </w:rPr>
        <w:softHyphen/>
        <w:t>ложено приступить к спешному изготовлению 30 аэропланов Фарман № 16 и 10 аэропла</w:t>
      </w:r>
      <w:r w:rsidRPr="00DE096C">
        <w:rPr>
          <w:bCs/>
          <w:color w:val="002060"/>
          <w:sz w:val="16"/>
          <w:szCs w:val="16"/>
        </w:rPr>
        <w:softHyphen/>
        <w:t>нов Ньюпор IV, большая часть которых, а именно 21 аппарат, в настоящее время уже принята.</w:t>
      </w:r>
    </w:p>
    <w:p w14:paraId="5AC7A4D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Представляя об изложенном на благоусмотрение Военного совета, я полагал бы: МНЕНИЕ: В изменение пункта 3 контракта от 18 апреля 1914 г. за № 2049 сроком готовности заказанных по сему контракту 30 аэропланов Фарман № 22 бис, 30 комплек</w:t>
      </w:r>
      <w:r w:rsidRPr="00DE096C">
        <w:rPr>
          <w:bCs/>
          <w:color w:val="002060"/>
          <w:sz w:val="16"/>
          <w:szCs w:val="16"/>
        </w:rPr>
        <w:softHyphen/>
        <w:t>тов запасных частей и 5 дополнительных комплектов запасных частей считать 8 февраля 1915 года.</w:t>
      </w:r>
    </w:p>
    <w:p w14:paraId="380AB9B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На документе помета Роппа: «22 октября состоялось решение Военного совета, кото</w:t>
      </w:r>
      <w:r w:rsidRPr="00DE096C">
        <w:rPr>
          <w:bCs/>
          <w:color w:val="002060"/>
          <w:sz w:val="16"/>
          <w:szCs w:val="16"/>
        </w:rPr>
        <w:softHyphen/>
        <w:t>рое удовлетворило просьбу Главного военно-технического управления, отметив, что Во</w:t>
      </w:r>
      <w:r w:rsidRPr="00DE096C">
        <w:rPr>
          <w:bCs/>
          <w:color w:val="002060"/>
          <w:sz w:val="16"/>
          <w:szCs w:val="16"/>
        </w:rPr>
        <w:softHyphen/>
        <w:t>енный совет, не входя в обсуждение последствий за просрочки по частным срокам 15 июня и 15 июля 1914 г., положил: конечный срок поставки отсрочить до 8 февраля 1915 года. Изложенное сообщается по постановлению Военного совета для немедленного исполнения».</w:t>
      </w:r>
    </w:p>
    <w:p w14:paraId="0E82BE5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Начальник Управления генерал-лейтенант барон Ропп</w:t>
      </w:r>
    </w:p>
    <w:p w14:paraId="48CD509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РГВИА. Ф. 29. Оп. 3. Д. 861. Л. 73-74. Подлинник (10707).</w:t>
      </w:r>
    </w:p>
    <w:p w14:paraId="079ABA02" w14:textId="77777777" w:rsidR="00B67D7C" w:rsidRPr="00DE096C" w:rsidRDefault="00B67D7C" w:rsidP="00D45A46">
      <w:pPr>
        <w:shd w:val="clear" w:color="auto" w:fill="FFFFFF"/>
        <w:jc w:val="both"/>
        <w:rPr>
          <w:bCs/>
          <w:color w:val="002060"/>
          <w:sz w:val="16"/>
          <w:szCs w:val="16"/>
        </w:rPr>
      </w:pPr>
    </w:p>
    <w:p w14:paraId="1D4A3502" w14:textId="77777777" w:rsidR="00736E34" w:rsidRPr="00B52707" w:rsidRDefault="00736E34" w:rsidP="00736E34">
      <w:pPr>
        <w:jc w:val="both"/>
        <w:rPr>
          <w:color w:val="0070C0"/>
          <w:sz w:val="16"/>
          <w:szCs w:val="16"/>
        </w:rPr>
      </w:pPr>
      <w:r w:rsidRPr="00B52707">
        <w:rPr>
          <w:color w:val="0070C0"/>
          <w:sz w:val="16"/>
          <w:szCs w:val="16"/>
        </w:rPr>
        <w:t>15 (28) октября 1914 г. ГВТУ получило от Штаба Верховного главнокомандующего уведомление, в котором он «вследствие обнаружившейся непригодности аэропланов типа «Илья Муромец» к выполнению боевых задач, просит прекратить снабжение армии аппаратами этого типа». ГВТУ приостановило выдачу средств РБВЗ (24965).</w:t>
      </w:r>
    </w:p>
    <w:p w14:paraId="42E05D00" w14:textId="77777777" w:rsidR="00736E34" w:rsidRPr="00B52707" w:rsidRDefault="00736E34" w:rsidP="00736E34">
      <w:pPr>
        <w:jc w:val="both"/>
        <w:rPr>
          <w:color w:val="0070C0"/>
          <w:sz w:val="16"/>
          <w:szCs w:val="16"/>
        </w:rPr>
      </w:pPr>
    </w:p>
    <w:p w14:paraId="55DE94D3" w14:textId="77777777" w:rsidR="0021532A" w:rsidRPr="00DE096C" w:rsidRDefault="0021532A" w:rsidP="00D45A46">
      <w:pPr>
        <w:jc w:val="both"/>
        <w:rPr>
          <w:bCs/>
          <w:i/>
          <w:color w:val="002060"/>
          <w:sz w:val="16"/>
          <w:szCs w:val="16"/>
        </w:rPr>
      </w:pPr>
      <w:r w:rsidRPr="00DE096C">
        <w:rPr>
          <w:bCs/>
          <w:i/>
          <w:color w:val="002060"/>
          <w:sz w:val="16"/>
          <w:szCs w:val="16"/>
        </w:rPr>
        <w:t>За рубежом:</w:t>
      </w:r>
    </w:p>
    <w:p w14:paraId="57004209" w14:textId="77777777" w:rsidR="0021532A" w:rsidRPr="00DE096C" w:rsidRDefault="0021532A" w:rsidP="00D45A46">
      <w:pPr>
        <w:jc w:val="both"/>
        <w:rPr>
          <w:bCs/>
          <w:color w:val="002060"/>
          <w:sz w:val="16"/>
          <w:szCs w:val="16"/>
        </w:rPr>
      </w:pPr>
    </w:p>
    <w:p w14:paraId="3FF235E0" w14:textId="77777777" w:rsidR="0021532A" w:rsidRPr="00DE096C" w:rsidRDefault="0021532A" w:rsidP="00D45A46">
      <w:pPr>
        <w:jc w:val="both"/>
        <w:rPr>
          <w:bCs/>
          <w:color w:val="002060"/>
          <w:sz w:val="16"/>
          <w:szCs w:val="16"/>
        </w:rPr>
      </w:pPr>
      <w:r w:rsidRPr="00DE096C">
        <w:rPr>
          <w:rStyle w:val="ucoz-forum-post"/>
          <w:rFonts w:eastAsiaTheme="majorEastAsia"/>
          <w:bCs/>
          <w:color w:val="002060"/>
          <w:sz w:val="16"/>
          <w:szCs w:val="16"/>
        </w:rPr>
        <w:t xml:space="preserve">15 (28) октября </w:t>
      </w:r>
      <w:r w:rsidRPr="00DE096C">
        <w:rPr>
          <w:bCs/>
          <w:color w:val="002060"/>
          <w:sz w:val="16"/>
          <w:szCs w:val="16"/>
        </w:rPr>
        <w:t>в 1914 году фирма «Кодак» объявила о начале внедрения цветной фотографии (14813).</w:t>
      </w:r>
    </w:p>
    <w:p w14:paraId="4A09ADB6" w14:textId="77777777" w:rsidR="0021532A" w:rsidRPr="00DE096C" w:rsidRDefault="0021532A" w:rsidP="00D45A46">
      <w:pPr>
        <w:jc w:val="both"/>
        <w:rPr>
          <w:bCs/>
          <w:color w:val="002060"/>
          <w:sz w:val="16"/>
          <w:szCs w:val="16"/>
        </w:rPr>
      </w:pPr>
    </w:p>
    <w:p w14:paraId="705A0910" w14:textId="77777777" w:rsidR="0021532A" w:rsidRPr="00DE096C" w:rsidRDefault="0021532A" w:rsidP="00D45A46">
      <w:pPr>
        <w:jc w:val="both"/>
        <w:rPr>
          <w:bCs/>
          <w:color w:val="002060"/>
          <w:sz w:val="16"/>
          <w:szCs w:val="16"/>
        </w:rPr>
      </w:pPr>
      <w:r w:rsidRPr="00DE096C">
        <w:rPr>
          <w:rStyle w:val="ucoz-forum-post"/>
          <w:rFonts w:eastAsiaTheme="majorEastAsia"/>
          <w:bCs/>
          <w:color w:val="002060"/>
          <w:sz w:val="16"/>
          <w:szCs w:val="16"/>
        </w:rPr>
        <w:t xml:space="preserve">15 (28) октября </w:t>
      </w:r>
      <w:r w:rsidRPr="00DE096C">
        <w:rPr>
          <w:bCs/>
          <w:color w:val="002060"/>
          <w:sz w:val="16"/>
          <w:szCs w:val="16"/>
        </w:rPr>
        <w:t>в 1914 году убийца эрцгерцога Франца Фердинанда Гаврило Принцип приговаривается судом в Сараево к 20 годам заключения — максимальному сроку, предусмотренному законом для лиц моложе 20 лет (14813).</w:t>
      </w:r>
    </w:p>
    <w:p w14:paraId="491AA4DF" w14:textId="77777777" w:rsidR="0021532A" w:rsidRPr="00DE096C" w:rsidRDefault="0021532A" w:rsidP="00D45A46">
      <w:pPr>
        <w:jc w:val="both"/>
        <w:rPr>
          <w:bCs/>
          <w:color w:val="002060"/>
          <w:sz w:val="16"/>
          <w:szCs w:val="16"/>
        </w:rPr>
      </w:pPr>
    </w:p>
    <w:p w14:paraId="1E33D4CF" w14:textId="77777777" w:rsidR="0021532A" w:rsidRPr="00DE096C" w:rsidRDefault="0021532A" w:rsidP="00D45A46">
      <w:pPr>
        <w:jc w:val="both"/>
        <w:rPr>
          <w:bCs/>
          <w:color w:val="002060"/>
          <w:sz w:val="16"/>
          <w:szCs w:val="16"/>
        </w:rPr>
      </w:pPr>
      <w:r w:rsidRPr="00DE096C">
        <w:rPr>
          <w:rStyle w:val="ucoz-forum-post"/>
          <w:rFonts w:eastAsiaTheme="majorEastAsia"/>
          <w:bCs/>
          <w:color w:val="002060"/>
          <w:sz w:val="16"/>
          <w:szCs w:val="16"/>
        </w:rPr>
        <w:t xml:space="preserve">15 (28) октября </w:t>
      </w:r>
      <w:r w:rsidRPr="00DE096C">
        <w:rPr>
          <w:bCs/>
          <w:color w:val="002060"/>
          <w:sz w:val="16"/>
          <w:szCs w:val="16"/>
        </w:rPr>
        <w:t>в 1914 году бельгийские войска открывают шлюзы, затапливая бассейн реки Изер морской водой, чтобы уничтожить немецкую армию (14813).</w:t>
      </w:r>
    </w:p>
    <w:p w14:paraId="4577BBDA" w14:textId="77777777" w:rsidR="0021532A" w:rsidRPr="00DE096C" w:rsidRDefault="0021532A" w:rsidP="00D45A46">
      <w:pPr>
        <w:jc w:val="both"/>
        <w:rPr>
          <w:bCs/>
          <w:color w:val="002060"/>
          <w:sz w:val="16"/>
          <w:szCs w:val="16"/>
        </w:rPr>
      </w:pPr>
    </w:p>
    <w:p w14:paraId="1D6E6BF2" w14:textId="77777777" w:rsidR="0021532A" w:rsidRPr="00DE096C" w:rsidRDefault="0021532A" w:rsidP="00D45A46">
      <w:pPr>
        <w:jc w:val="both"/>
        <w:rPr>
          <w:bCs/>
          <w:color w:val="002060"/>
          <w:sz w:val="16"/>
          <w:szCs w:val="16"/>
        </w:rPr>
      </w:pPr>
      <w:r w:rsidRPr="00DE096C">
        <w:rPr>
          <w:rStyle w:val="ucoz-forum-post"/>
          <w:rFonts w:eastAsiaTheme="majorEastAsia"/>
          <w:bCs/>
          <w:color w:val="002060"/>
          <w:sz w:val="16"/>
          <w:szCs w:val="16"/>
        </w:rPr>
        <w:t xml:space="preserve">15 (28) октября </w:t>
      </w:r>
      <w:r w:rsidRPr="00DE096C">
        <w:rPr>
          <w:bCs/>
          <w:color w:val="002060"/>
          <w:sz w:val="16"/>
          <w:szCs w:val="16"/>
        </w:rPr>
        <w:t>в 1914 году для сбора почты в Вашингтоне впервые используются собственные машины правительства США (14813).</w:t>
      </w:r>
    </w:p>
    <w:p w14:paraId="302FDCE9" w14:textId="77777777" w:rsidR="0021532A" w:rsidRPr="00DE096C" w:rsidRDefault="0021532A" w:rsidP="00D45A46">
      <w:pPr>
        <w:jc w:val="both"/>
        <w:rPr>
          <w:bCs/>
          <w:color w:val="002060"/>
          <w:sz w:val="16"/>
          <w:szCs w:val="16"/>
        </w:rPr>
      </w:pPr>
    </w:p>
    <w:p w14:paraId="636CFF5E" w14:textId="15DEA0A4" w:rsidR="009963AC" w:rsidRPr="00DE096C" w:rsidRDefault="009963AC" w:rsidP="00D45A46">
      <w:pPr>
        <w:jc w:val="both"/>
        <w:rPr>
          <w:bCs/>
          <w:color w:val="002060"/>
          <w:sz w:val="16"/>
          <w:szCs w:val="16"/>
        </w:rPr>
      </w:pPr>
      <w:r w:rsidRPr="00DE096C">
        <w:rPr>
          <w:rStyle w:val="ucoz-forum-post"/>
          <w:rFonts w:eastAsiaTheme="majorEastAsia"/>
          <w:bCs/>
          <w:color w:val="002060"/>
          <w:sz w:val="16"/>
          <w:szCs w:val="16"/>
        </w:rPr>
        <w:t xml:space="preserve">15 (28) октября </w:t>
      </w:r>
      <w:r w:rsidRPr="00DE096C">
        <w:rPr>
          <w:bCs/>
          <w:color w:val="002060"/>
          <w:sz w:val="16"/>
          <w:szCs w:val="16"/>
        </w:rPr>
        <w:t xml:space="preserve">в 1914 году немецкий крейсер "Эмден" потопил в Пенанге русский легкий крейсер "Жемчуг". Крейсер погиб из-за чудовищно халатного отношения командира к своим обязанностям – он ночевал на берегу в гостинице и на борт он попал, по сути, в тот момент, когда крейсер уже перестал существовать как боевая единица. По итогам боя командир "Жемчуга" барон Черкасов отдан под суд и разжалован в матросы. На Кавказском фронте он "искупил вину" и потому ему были возвращены чин и ордена </w:t>
      </w:r>
    </w:p>
    <w:p w14:paraId="678D9B87" w14:textId="77777777" w:rsidR="009963AC" w:rsidRPr="00DE096C" w:rsidRDefault="009963AC" w:rsidP="00D45A46">
      <w:pPr>
        <w:jc w:val="both"/>
        <w:rPr>
          <w:bCs/>
          <w:color w:val="002060"/>
          <w:sz w:val="16"/>
          <w:szCs w:val="16"/>
        </w:rPr>
      </w:pPr>
    </w:p>
    <w:p w14:paraId="373AA0C0"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5F35B1E0" w14:textId="77777777" w:rsidR="00B67D7C" w:rsidRPr="00DE096C" w:rsidRDefault="00B67D7C" w:rsidP="00D45A46">
      <w:pPr>
        <w:shd w:val="clear" w:color="auto" w:fill="FFFFFF"/>
        <w:jc w:val="both"/>
        <w:rPr>
          <w:bCs/>
          <w:i/>
          <w:color w:val="002060"/>
          <w:sz w:val="16"/>
          <w:szCs w:val="16"/>
        </w:rPr>
      </w:pPr>
    </w:p>
    <w:p w14:paraId="29F5CD32" w14:textId="5E107327" w:rsidR="00B67D7C" w:rsidRPr="00DE096C" w:rsidRDefault="00B67D7C" w:rsidP="00D45A46">
      <w:pPr>
        <w:jc w:val="both"/>
        <w:rPr>
          <w:bCs/>
          <w:color w:val="002060"/>
          <w:sz w:val="16"/>
          <w:szCs w:val="16"/>
        </w:rPr>
      </w:pPr>
      <w:r w:rsidRPr="00DE096C">
        <w:rPr>
          <w:bCs/>
          <w:color w:val="002060"/>
          <w:sz w:val="16"/>
          <w:szCs w:val="16"/>
        </w:rPr>
        <w:t xml:space="preserve">В середине октября 1914 </w:t>
      </w:r>
      <w:r w:rsidR="00C42092" w:rsidRPr="00DE096C">
        <w:rPr>
          <w:bCs/>
          <w:color w:val="002060"/>
          <w:sz w:val="16"/>
          <w:szCs w:val="16"/>
        </w:rPr>
        <w:t>С-15, который был отправлен в Ревель и опробован там, но не удовлетворил требованиям, предъ</w:t>
      </w:r>
      <w:r w:rsidR="00C42092" w:rsidRPr="00DE096C">
        <w:rPr>
          <w:bCs/>
          <w:color w:val="002060"/>
          <w:sz w:val="16"/>
          <w:szCs w:val="16"/>
        </w:rPr>
        <w:softHyphen/>
        <w:t>являвшимся к нему,</w:t>
      </w:r>
      <w:r w:rsidR="0006581C">
        <w:rPr>
          <w:bCs/>
          <w:color w:val="002060"/>
          <w:sz w:val="16"/>
          <w:szCs w:val="16"/>
        </w:rPr>
        <w:t xml:space="preserve"> </w:t>
      </w:r>
      <w:r w:rsidRPr="00DE096C">
        <w:rPr>
          <w:bCs/>
          <w:color w:val="002060"/>
          <w:sz w:val="16"/>
          <w:szCs w:val="16"/>
        </w:rPr>
        <w:t>послали обратно на завод и более сведений о нем не поступало (2843).</w:t>
      </w:r>
    </w:p>
    <w:p w14:paraId="55CDC37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Сведения о контракте на гидроплан С-15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B67D7C" w:rsidRPr="00DE096C" w14:paraId="495963EB" w14:textId="77777777" w:rsidTr="00C2024A">
        <w:tc>
          <w:tcPr>
            <w:tcW w:w="4788" w:type="dxa"/>
            <w:shd w:val="clear" w:color="auto" w:fill="FFFFFF"/>
          </w:tcPr>
          <w:p w14:paraId="51CF9C71" w14:textId="77777777" w:rsidR="00B67D7C" w:rsidRPr="00DE096C" w:rsidRDefault="00B67D7C" w:rsidP="00D45A46">
            <w:pPr>
              <w:jc w:val="both"/>
              <w:rPr>
                <w:bCs/>
                <w:color w:val="002060"/>
                <w:sz w:val="16"/>
                <w:szCs w:val="16"/>
              </w:rPr>
            </w:pPr>
            <w:r w:rsidRPr="00DE096C">
              <w:rPr>
                <w:bCs/>
                <w:color w:val="002060"/>
                <w:sz w:val="16"/>
                <w:szCs w:val="16"/>
              </w:rPr>
              <w:t>Дата контракта</w:t>
            </w:r>
          </w:p>
        </w:tc>
        <w:tc>
          <w:tcPr>
            <w:tcW w:w="4788" w:type="dxa"/>
            <w:shd w:val="clear" w:color="auto" w:fill="FFFFFF"/>
          </w:tcPr>
          <w:p w14:paraId="24B18573" w14:textId="77777777" w:rsidR="00B67D7C" w:rsidRPr="00DE096C" w:rsidRDefault="00B67D7C" w:rsidP="00D45A46">
            <w:pPr>
              <w:jc w:val="both"/>
              <w:rPr>
                <w:bCs/>
                <w:color w:val="002060"/>
                <w:sz w:val="16"/>
                <w:szCs w:val="16"/>
              </w:rPr>
            </w:pPr>
            <w:r w:rsidRPr="00DE096C">
              <w:rPr>
                <w:bCs/>
                <w:color w:val="002060"/>
                <w:sz w:val="16"/>
                <w:szCs w:val="16"/>
              </w:rPr>
              <w:t>Август 13 1914</w:t>
            </w:r>
          </w:p>
        </w:tc>
      </w:tr>
      <w:tr w:rsidR="00B67D7C" w:rsidRPr="00DE096C" w14:paraId="22966563" w14:textId="77777777" w:rsidTr="00C2024A">
        <w:tc>
          <w:tcPr>
            <w:tcW w:w="4788" w:type="dxa"/>
            <w:shd w:val="clear" w:color="auto" w:fill="FFFFFF"/>
          </w:tcPr>
          <w:p w14:paraId="055B11BB" w14:textId="77777777" w:rsidR="00B67D7C" w:rsidRPr="00DE096C" w:rsidRDefault="00B67D7C" w:rsidP="00D45A46">
            <w:pPr>
              <w:jc w:val="both"/>
              <w:rPr>
                <w:bCs/>
                <w:color w:val="002060"/>
                <w:sz w:val="16"/>
                <w:szCs w:val="16"/>
              </w:rPr>
            </w:pPr>
            <w:r w:rsidRPr="00DE096C">
              <w:rPr>
                <w:bCs/>
                <w:color w:val="002060"/>
                <w:sz w:val="16"/>
                <w:szCs w:val="16"/>
              </w:rPr>
              <w:t>Число заказанных аэропланов</w:t>
            </w:r>
          </w:p>
        </w:tc>
        <w:tc>
          <w:tcPr>
            <w:tcW w:w="4788" w:type="dxa"/>
            <w:shd w:val="clear" w:color="auto" w:fill="FFFFFF"/>
          </w:tcPr>
          <w:p w14:paraId="11C3E0DE" w14:textId="77777777" w:rsidR="00B67D7C" w:rsidRPr="00DE096C" w:rsidRDefault="00B67D7C" w:rsidP="00D45A46">
            <w:pPr>
              <w:jc w:val="both"/>
              <w:rPr>
                <w:bCs/>
                <w:color w:val="002060"/>
                <w:sz w:val="16"/>
                <w:szCs w:val="16"/>
              </w:rPr>
            </w:pPr>
            <w:r w:rsidRPr="00DE096C">
              <w:rPr>
                <w:bCs/>
                <w:color w:val="002060"/>
                <w:sz w:val="16"/>
                <w:szCs w:val="16"/>
              </w:rPr>
              <w:t>1</w:t>
            </w:r>
          </w:p>
        </w:tc>
      </w:tr>
      <w:tr w:rsidR="00B67D7C" w:rsidRPr="00DE096C" w14:paraId="62196843" w14:textId="77777777" w:rsidTr="00C2024A">
        <w:tc>
          <w:tcPr>
            <w:tcW w:w="4788" w:type="dxa"/>
            <w:shd w:val="clear" w:color="auto" w:fill="FFFFFF"/>
          </w:tcPr>
          <w:p w14:paraId="7EBC5E67" w14:textId="77777777" w:rsidR="00B67D7C" w:rsidRPr="00DE096C" w:rsidRDefault="00B67D7C" w:rsidP="00D45A46">
            <w:pPr>
              <w:jc w:val="both"/>
              <w:rPr>
                <w:bCs/>
                <w:color w:val="002060"/>
                <w:sz w:val="16"/>
                <w:szCs w:val="16"/>
              </w:rPr>
            </w:pPr>
            <w:r w:rsidRPr="00DE096C">
              <w:rPr>
                <w:bCs/>
                <w:color w:val="002060"/>
                <w:sz w:val="16"/>
                <w:szCs w:val="16"/>
              </w:rPr>
              <w:t>Заводские номера сданных аэропланов</w:t>
            </w:r>
          </w:p>
        </w:tc>
        <w:tc>
          <w:tcPr>
            <w:tcW w:w="4788" w:type="dxa"/>
            <w:shd w:val="clear" w:color="auto" w:fill="FFFFFF"/>
          </w:tcPr>
          <w:p w14:paraId="1B7E94A6" w14:textId="77777777" w:rsidR="00B67D7C" w:rsidRPr="00DE096C" w:rsidRDefault="00B67D7C" w:rsidP="00D45A46">
            <w:pPr>
              <w:jc w:val="both"/>
              <w:rPr>
                <w:bCs/>
                <w:color w:val="002060"/>
                <w:sz w:val="16"/>
                <w:szCs w:val="16"/>
              </w:rPr>
            </w:pPr>
            <w:r w:rsidRPr="00DE096C">
              <w:rPr>
                <w:bCs/>
                <w:color w:val="002060"/>
                <w:sz w:val="16"/>
                <w:szCs w:val="16"/>
              </w:rPr>
              <w:t>-</w:t>
            </w:r>
          </w:p>
        </w:tc>
      </w:tr>
      <w:tr w:rsidR="00B67D7C" w:rsidRPr="00DE096C" w14:paraId="1CAD1F1E" w14:textId="77777777" w:rsidTr="00C2024A">
        <w:tc>
          <w:tcPr>
            <w:tcW w:w="4788" w:type="dxa"/>
            <w:shd w:val="clear" w:color="auto" w:fill="FFFFFF"/>
          </w:tcPr>
          <w:p w14:paraId="03C1C8E1" w14:textId="77777777" w:rsidR="00B67D7C" w:rsidRPr="00DE096C" w:rsidRDefault="00B67D7C" w:rsidP="00D45A46">
            <w:pPr>
              <w:jc w:val="both"/>
              <w:rPr>
                <w:bCs/>
                <w:color w:val="002060"/>
                <w:sz w:val="16"/>
                <w:szCs w:val="16"/>
              </w:rPr>
            </w:pPr>
            <w:r w:rsidRPr="00DE096C">
              <w:rPr>
                <w:bCs/>
                <w:color w:val="002060"/>
                <w:sz w:val="16"/>
                <w:szCs w:val="16"/>
              </w:rPr>
              <w:t>Условия:</w:t>
            </w:r>
          </w:p>
        </w:tc>
        <w:tc>
          <w:tcPr>
            <w:tcW w:w="4788" w:type="dxa"/>
            <w:shd w:val="clear" w:color="auto" w:fill="FFFFFF"/>
          </w:tcPr>
          <w:p w14:paraId="3C4420DA" w14:textId="77777777" w:rsidR="00B67D7C" w:rsidRPr="00DE096C" w:rsidRDefault="00B67D7C" w:rsidP="00D45A46">
            <w:pPr>
              <w:jc w:val="both"/>
              <w:rPr>
                <w:bCs/>
                <w:color w:val="002060"/>
                <w:sz w:val="16"/>
                <w:szCs w:val="16"/>
              </w:rPr>
            </w:pPr>
            <w:r w:rsidRPr="00DE096C">
              <w:rPr>
                <w:bCs/>
                <w:color w:val="002060"/>
                <w:sz w:val="16"/>
                <w:szCs w:val="16"/>
              </w:rPr>
              <w:t>от 14,000 до 17,000 руб. за аппарат под мотор "Аргус" 125 л.с. Примечания: контракт расторгнут 10/12 декабря 1914 г. (2843).</w:t>
            </w:r>
          </w:p>
        </w:tc>
      </w:tr>
    </w:tbl>
    <w:p w14:paraId="388F8629" w14:textId="77777777" w:rsidR="00B67D7C" w:rsidRPr="00DE096C" w:rsidRDefault="00B67D7C" w:rsidP="00D45A46">
      <w:pPr>
        <w:shd w:val="clear" w:color="auto" w:fill="FFFFFF"/>
        <w:jc w:val="both"/>
        <w:rPr>
          <w:bCs/>
          <w:color w:val="002060"/>
          <w:sz w:val="16"/>
          <w:szCs w:val="16"/>
        </w:rPr>
      </w:pPr>
    </w:p>
    <w:p w14:paraId="6FECAC65" w14:textId="77777777" w:rsidR="00A427F0" w:rsidRPr="00DE096C" w:rsidRDefault="00A427F0" w:rsidP="00D45A46">
      <w:pPr>
        <w:jc w:val="both"/>
        <w:rPr>
          <w:bCs/>
          <w:color w:val="002060"/>
          <w:sz w:val="16"/>
          <w:szCs w:val="16"/>
        </w:rPr>
      </w:pPr>
      <w:bookmarkStart w:id="190" w:name="bookmark46"/>
      <w:r w:rsidRPr="00DE096C">
        <w:rPr>
          <w:bCs/>
          <w:color w:val="002060"/>
          <w:sz w:val="16"/>
          <w:szCs w:val="16"/>
        </w:rPr>
        <w:t>В середине октября 1914 г. частям Юго-Западного фронта, участвовавшим в боевых действиях в Галиции, в качестве трофея достались «восемь германских аэропланов, взятых нашими войсками во время боя у Августова. Аэропланы эти почти новые и в полной готовности для полетов. В эти же дни из Галиции доставлены два аэроплана совершенно испорченные шрапнелью и простреленные пулями» (23405).</w:t>
      </w:r>
      <w:bookmarkEnd w:id="190"/>
    </w:p>
    <w:p w14:paraId="659E99F2" w14:textId="77777777" w:rsidR="00A427F0" w:rsidRPr="00DE096C" w:rsidRDefault="00A427F0" w:rsidP="00D45A46">
      <w:pPr>
        <w:jc w:val="both"/>
        <w:rPr>
          <w:bCs/>
          <w:color w:val="002060"/>
          <w:sz w:val="16"/>
          <w:szCs w:val="16"/>
        </w:rPr>
      </w:pPr>
    </w:p>
    <w:p w14:paraId="751A9893" w14:textId="77777777" w:rsidR="00B67D7C" w:rsidRPr="00DE096C" w:rsidRDefault="00B67D7C" w:rsidP="00D45A46">
      <w:pPr>
        <w:jc w:val="both"/>
        <w:rPr>
          <w:bCs/>
          <w:i/>
          <w:color w:val="002060"/>
          <w:sz w:val="16"/>
          <w:szCs w:val="16"/>
        </w:rPr>
      </w:pPr>
      <w:r w:rsidRPr="00DE096C">
        <w:rPr>
          <w:bCs/>
          <w:i/>
          <w:color w:val="002060"/>
          <w:sz w:val="16"/>
          <w:szCs w:val="16"/>
        </w:rPr>
        <w:t>Авиация:</w:t>
      </w:r>
    </w:p>
    <w:p w14:paraId="185C3CC3" w14:textId="77777777" w:rsidR="00B67D7C" w:rsidRPr="00DE096C" w:rsidRDefault="00B67D7C" w:rsidP="00D45A46">
      <w:pPr>
        <w:jc w:val="both"/>
        <w:rPr>
          <w:bCs/>
          <w:i/>
          <w:color w:val="002060"/>
          <w:sz w:val="16"/>
          <w:szCs w:val="16"/>
        </w:rPr>
      </w:pPr>
    </w:p>
    <w:p w14:paraId="2593B3F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середине октября 1914 Возникает необходимость реорганизации системы ру</w:t>
      </w:r>
      <w:r w:rsidRPr="00DE096C">
        <w:rPr>
          <w:bCs/>
          <w:color w:val="002060"/>
          <w:sz w:val="16"/>
          <w:szCs w:val="16"/>
        </w:rPr>
        <w:softHyphen/>
        <w:t>ководства и снабжения авиаотрядов.</w:t>
      </w:r>
    </w:p>
    <w:p w14:paraId="2E6C149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Штаб верховного главнокомандующего вынужден был направить следующий приказ командованию Юго-Запад</w:t>
      </w:r>
      <w:r w:rsidRPr="00DE096C">
        <w:rPr>
          <w:bCs/>
          <w:color w:val="002060"/>
          <w:sz w:val="16"/>
          <w:szCs w:val="16"/>
        </w:rPr>
        <w:softHyphen/>
        <w:t>ного фронта: «Опыт выяснил необходимость изменения деятельности авиационных рот, которые, оставаясь в месте своего постоянного квартирования, теряли связь с авиаци</w:t>
      </w:r>
      <w:r w:rsidRPr="00DE096C">
        <w:rPr>
          <w:bCs/>
          <w:color w:val="002060"/>
          <w:sz w:val="16"/>
          <w:szCs w:val="16"/>
        </w:rPr>
        <w:softHyphen/>
        <w:t>онными отрядами и не могли их питать необходимыми предметами. С этой целью на время военных действий Вер</w:t>
      </w:r>
      <w:r w:rsidRPr="00DE096C">
        <w:rPr>
          <w:bCs/>
          <w:color w:val="002060"/>
          <w:sz w:val="16"/>
          <w:szCs w:val="16"/>
        </w:rPr>
        <w:softHyphen/>
        <w:t>ховный главнокомандующий приказал:</w:t>
      </w:r>
    </w:p>
    <w:p w14:paraId="035F13D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 Каждой отдельной армии придать по указанию Глав</w:t>
      </w:r>
      <w:r w:rsidRPr="00DE096C">
        <w:rPr>
          <w:bCs/>
          <w:color w:val="002060"/>
          <w:sz w:val="16"/>
          <w:szCs w:val="16"/>
        </w:rPr>
        <w:softHyphen/>
        <w:t>нокомандующего фронтом одну авиационную роту или часть роты;</w:t>
      </w:r>
    </w:p>
    <w:p w14:paraId="7187F16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 Все авиационные отряды, выделяемые в одну группу при армии в техническом и хозяйственном отношении, не</w:t>
      </w:r>
      <w:r w:rsidRPr="00DE096C">
        <w:rPr>
          <w:bCs/>
          <w:color w:val="002060"/>
          <w:sz w:val="16"/>
          <w:szCs w:val="16"/>
        </w:rPr>
        <w:softHyphen/>
        <w:t>посредственно подчинить командиру находящейся при ар</w:t>
      </w:r>
      <w:r w:rsidRPr="00DE096C">
        <w:rPr>
          <w:bCs/>
          <w:color w:val="002060"/>
          <w:sz w:val="16"/>
          <w:szCs w:val="16"/>
        </w:rPr>
        <w:softHyphen/>
        <w:t>мии роты;</w:t>
      </w:r>
    </w:p>
    <w:p w14:paraId="0745946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3. Находящийся при армии командир роты или части ее непосредственно подчиняется начальнику штаба ар</w:t>
      </w:r>
      <w:r w:rsidRPr="00DE096C">
        <w:rPr>
          <w:bCs/>
          <w:color w:val="002060"/>
          <w:sz w:val="16"/>
          <w:szCs w:val="16"/>
        </w:rPr>
        <w:softHyphen/>
        <w:t>мии...»</w:t>
      </w:r>
    </w:p>
    <w:p w14:paraId="135BEB7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Этот приказ положил начало отделению авиации от воздухоплавательных частей.</w:t>
      </w:r>
    </w:p>
    <w:p w14:paraId="48662F1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Общее руководство воздушным флотом на театре во</w:t>
      </w:r>
      <w:r w:rsidRPr="00DE096C">
        <w:rPr>
          <w:bCs/>
          <w:color w:val="002060"/>
          <w:sz w:val="16"/>
          <w:szCs w:val="16"/>
        </w:rPr>
        <w:softHyphen/>
        <w:t>енных действий в начале войны осуществлялось ГВТУ, где был воздухоплавательный отдел, возглавляемый В.А. Семковским (11060).</w:t>
      </w:r>
    </w:p>
    <w:p w14:paraId="13288767" w14:textId="77777777" w:rsidR="00B67D7C" w:rsidRPr="00DE096C" w:rsidRDefault="00B67D7C" w:rsidP="00D45A46">
      <w:pPr>
        <w:shd w:val="clear" w:color="auto" w:fill="FFFFFF"/>
        <w:jc w:val="both"/>
        <w:rPr>
          <w:bCs/>
          <w:color w:val="002060"/>
          <w:sz w:val="16"/>
          <w:szCs w:val="16"/>
        </w:rPr>
      </w:pPr>
    </w:p>
    <w:p w14:paraId="14DF474C" w14:textId="77777777" w:rsidR="00B67D7C" w:rsidRPr="00DE096C" w:rsidRDefault="00B67D7C" w:rsidP="00D45A46">
      <w:pPr>
        <w:jc w:val="both"/>
        <w:rPr>
          <w:bCs/>
          <w:color w:val="002060"/>
          <w:sz w:val="16"/>
          <w:szCs w:val="16"/>
        </w:rPr>
      </w:pPr>
      <w:r w:rsidRPr="00DE096C">
        <w:rPr>
          <w:bCs/>
          <w:color w:val="002060"/>
          <w:sz w:val="16"/>
          <w:szCs w:val="16"/>
        </w:rPr>
        <w:t>В середине октября 1914 германские войска вышли на линию упраздненных фортов Варшавы; русские войска удержались только в Козе- нице. В Холме совещаются командующие фронтами; принято решение возвратить на юго-западный фронт 2-ю русскую армию и усилить ее 5-й армией с целью разгрома 9-й германской и 1-й австрийской армий.</w:t>
      </w:r>
    </w:p>
    <w:p w14:paraId="54BEF005" w14:textId="77777777" w:rsidR="00B67D7C" w:rsidRPr="00DE096C" w:rsidRDefault="00B67D7C" w:rsidP="00D45A46">
      <w:pPr>
        <w:jc w:val="both"/>
        <w:rPr>
          <w:bCs/>
          <w:color w:val="002060"/>
          <w:sz w:val="16"/>
          <w:szCs w:val="16"/>
        </w:rPr>
      </w:pPr>
      <w:r w:rsidRPr="00DE096C">
        <w:rPr>
          <w:bCs/>
          <w:color w:val="002060"/>
          <w:sz w:val="16"/>
          <w:szCs w:val="16"/>
        </w:rPr>
        <w:t>Возникает необходимость реорганизации системы руководства и снабжения авиаотрядов.</w:t>
      </w:r>
    </w:p>
    <w:p w14:paraId="3C0ADF9C" w14:textId="77777777" w:rsidR="00B67D7C" w:rsidRPr="00DE096C" w:rsidRDefault="00B67D7C" w:rsidP="00D45A46">
      <w:pPr>
        <w:jc w:val="both"/>
        <w:rPr>
          <w:bCs/>
          <w:color w:val="002060"/>
          <w:sz w:val="16"/>
          <w:szCs w:val="16"/>
        </w:rPr>
      </w:pPr>
      <w:r w:rsidRPr="00DE096C">
        <w:rPr>
          <w:bCs/>
          <w:color w:val="002060"/>
          <w:sz w:val="16"/>
          <w:szCs w:val="16"/>
        </w:rPr>
        <w:t>Штаб верховного главнокомандующего вынужден был направить следующий приказ командованию Юго-Западного фронта: "Опыт выяснил необходимость изменения деятельности авиационных рот, которые, оставаясь в месте своего постоянного квартирования, теряли связь с авиационными отрядами и не могли их питать необходимыми предметами. С этой целью на время военных действий Верховный главнокомандующий приказал:</w:t>
      </w:r>
    </w:p>
    <w:p w14:paraId="08313DD0" w14:textId="77777777" w:rsidR="00B67D7C" w:rsidRPr="00DE096C" w:rsidRDefault="00B67D7C" w:rsidP="00D45A46">
      <w:pPr>
        <w:jc w:val="both"/>
        <w:rPr>
          <w:bCs/>
          <w:color w:val="002060"/>
          <w:sz w:val="16"/>
          <w:szCs w:val="16"/>
        </w:rPr>
      </w:pPr>
      <w:r w:rsidRPr="00DE096C">
        <w:rPr>
          <w:bCs/>
          <w:color w:val="002060"/>
          <w:sz w:val="16"/>
          <w:szCs w:val="16"/>
        </w:rPr>
        <w:t>1. Каждой отдельной армии придать по указанию Главнокомандующего фронтом одну авиационную роту или часть роты;</w:t>
      </w:r>
    </w:p>
    <w:p w14:paraId="641D1BBE" w14:textId="77777777" w:rsidR="00B67D7C" w:rsidRPr="00DE096C" w:rsidRDefault="00B67D7C" w:rsidP="00D45A46">
      <w:pPr>
        <w:jc w:val="both"/>
        <w:rPr>
          <w:bCs/>
          <w:color w:val="002060"/>
          <w:sz w:val="16"/>
          <w:szCs w:val="16"/>
        </w:rPr>
      </w:pPr>
      <w:r w:rsidRPr="00DE096C">
        <w:rPr>
          <w:bCs/>
          <w:color w:val="002060"/>
          <w:sz w:val="16"/>
          <w:szCs w:val="16"/>
        </w:rPr>
        <w:t>2. Все авиационные отряды, выделяемые в одну группу при армии в техническом и хозяйственном отношении, непосредственно подчинить командиру находящейся при армии роты;</w:t>
      </w:r>
    </w:p>
    <w:p w14:paraId="4BBE374B" w14:textId="77777777" w:rsidR="00B67D7C" w:rsidRPr="00DE096C" w:rsidRDefault="00B67D7C" w:rsidP="00D45A46">
      <w:pPr>
        <w:jc w:val="both"/>
        <w:rPr>
          <w:bCs/>
          <w:color w:val="002060"/>
          <w:sz w:val="16"/>
          <w:szCs w:val="16"/>
        </w:rPr>
      </w:pPr>
      <w:r w:rsidRPr="00DE096C">
        <w:rPr>
          <w:bCs/>
          <w:color w:val="002060"/>
          <w:sz w:val="16"/>
          <w:szCs w:val="16"/>
        </w:rPr>
        <w:t>3. Находящийся при армии командир роты или части ее непосредственно подчиняется начальнику штаба армии..."</w:t>
      </w:r>
    </w:p>
    <w:p w14:paraId="5B5C07F8" w14:textId="77777777" w:rsidR="00B67D7C" w:rsidRPr="00DE096C" w:rsidRDefault="00B67D7C" w:rsidP="00D45A46">
      <w:pPr>
        <w:jc w:val="both"/>
        <w:rPr>
          <w:bCs/>
          <w:color w:val="002060"/>
          <w:sz w:val="16"/>
          <w:szCs w:val="16"/>
        </w:rPr>
      </w:pPr>
      <w:r w:rsidRPr="00DE096C">
        <w:rPr>
          <w:bCs/>
          <w:color w:val="002060"/>
          <w:sz w:val="16"/>
          <w:szCs w:val="16"/>
        </w:rPr>
        <w:t>Этот приказ положил начало отделению авиации от воздухоплавательных частей.</w:t>
      </w:r>
    </w:p>
    <w:p w14:paraId="74AA991F" w14:textId="77777777" w:rsidR="00B67D7C" w:rsidRPr="00DE096C" w:rsidRDefault="00B67D7C" w:rsidP="00D45A46">
      <w:pPr>
        <w:jc w:val="both"/>
        <w:rPr>
          <w:bCs/>
          <w:color w:val="002060"/>
          <w:sz w:val="16"/>
          <w:szCs w:val="16"/>
        </w:rPr>
      </w:pPr>
      <w:r w:rsidRPr="00DE096C">
        <w:rPr>
          <w:bCs/>
          <w:color w:val="002060"/>
          <w:sz w:val="16"/>
          <w:szCs w:val="16"/>
        </w:rPr>
        <w:t>Общее руководство воздушным флотом на театре военных действий в начале войны осуществлялось ГВТУ, где был воздухоплавательный отдел, возглавляемый В.А. Семковским (11999).</w:t>
      </w:r>
    </w:p>
    <w:p w14:paraId="4FC126E8" w14:textId="77777777" w:rsidR="00B67D7C" w:rsidRPr="00DE096C" w:rsidRDefault="00B67D7C" w:rsidP="00D45A46">
      <w:pPr>
        <w:jc w:val="both"/>
        <w:rPr>
          <w:bCs/>
          <w:color w:val="002060"/>
          <w:sz w:val="16"/>
          <w:szCs w:val="16"/>
        </w:rPr>
      </w:pPr>
    </w:p>
    <w:p w14:paraId="095078A7" w14:textId="77777777" w:rsidR="00736E34" w:rsidRPr="00B52707" w:rsidRDefault="00736E34" w:rsidP="00736E34">
      <w:pPr>
        <w:jc w:val="both"/>
        <w:rPr>
          <w:color w:val="0070C0"/>
          <w:sz w:val="16"/>
          <w:szCs w:val="16"/>
        </w:rPr>
      </w:pPr>
      <w:r w:rsidRPr="00B52707">
        <w:rPr>
          <w:color w:val="0070C0"/>
          <w:sz w:val="16"/>
          <w:szCs w:val="16"/>
        </w:rPr>
        <w:t>В середине октября 1914 г. частям Юго-Западного фронта, участвовавшим в боевых действиях в Галиции, в качестве трофея достались «восемь германских аэропланов, взятых нашими войсками во время боя у Августова. Аэропланы эти почти новые и в полной готовности для полетов. В эти же дни из Галиции доставлены два аэроплана совершенно испорченные шрапнелью и простреленные пулями» (25135).</w:t>
      </w:r>
    </w:p>
    <w:p w14:paraId="6F31653F" w14:textId="77777777" w:rsidR="00736E34" w:rsidRPr="00B52707" w:rsidRDefault="00736E34" w:rsidP="00736E34">
      <w:pPr>
        <w:jc w:val="both"/>
        <w:rPr>
          <w:color w:val="0070C0"/>
          <w:sz w:val="16"/>
          <w:szCs w:val="16"/>
        </w:rPr>
      </w:pPr>
    </w:p>
    <w:p w14:paraId="3FFE7ACE"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20BA1997" w14:textId="77777777" w:rsidR="00B67D7C" w:rsidRPr="00DE096C" w:rsidRDefault="00B67D7C" w:rsidP="00D45A46">
      <w:pPr>
        <w:shd w:val="clear" w:color="auto" w:fill="FFFFFF"/>
        <w:jc w:val="both"/>
        <w:rPr>
          <w:bCs/>
          <w:i/>
          <w:color w:val="002060"/>
          <w:sz w:val="16"/>
          <w:szCs w:val="16"/>
        </w:rPr>
      </w:pPr>
    </w:p>
    <w:p w14:paraId="1E7466C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16 (29) октября 1914 состоялось испытание в боевых условия 25-фунтовой авиационной бомбы, сконструированной капитаном Владимиром Владимировичем Орановским. Летчик 24 авиаотряда поручик Николай Александрович Мулько с наблюдателем А.А.Ван-дер-Хруфом на "Фарман-22" сбросили бомбу с высотц 1100 м в неприятельский лагерь близ крепости Перемышлъ. Бомба упала взорвалась, вызвав большую панику в лагере. Поручик С.Н.Марков того же отряда, поднявшись с такой же бомбой, вынужден был из-за остановки мотора опуститься вне аэродрома. При посадке самолет был разбит, но бомба не взорвалась, что свидетельствовало о ее безопасности в случае аварии самолета (рапорт командира 6-й роты от 30 октября 1914 г.).</w:t>
      </w:r>
    </w:p>
    <w:p w14:paraId="7297F7F2" w14:textId="77777777" w:rsidR="00B67D7C" w:rsidRPr="00DE096C" w:rsidRDefault="00B67D7C" w:rsidP="00D45A46">
      <w:pPr>
        <w:shd w:val="clear" w:color="auto" w:fill="FFFFFF"/>
        <w:jc w:val="both"/>
        <w:rPr>
          <w:bCs/>
          <w:color w:val="002060"/>
          <w:sz w:val="16"/>
          <w:szCs w:val="16"/>
        </w:rPr>
      </w:pPr>
    </w:p>
    <w:p w14:paraId="4DFD8D4E" w14:textId="77777777" w:rsidR="00C50D40" w:rsidRPr="00DE096C" w:rsidRDefault="00C50D40" w:rsidP="00D45A46">
      <w:pPr>
        <w:jc w:val="both"/>
        <w:rPr>
          <w:bCs/>
          <w:color w:val="002060"/>
          <w:sz w:val="16"/>
          <w:szCs w:val="16"/>
        </w:rPr>
      </w:pPr>
      <w:r w:rsidRPr="00DE096C">
        <w:rPr>
          <w:bCs/>
          <w:color w:val="002060"/>
          <w:sz w:val="16"/>
          <w:szCs w:val="16"/>
        </w:rPr>
        <w:t>16 (29) октября 1914 г. состоялось испытание в боевых условиях 25-фунтовой авиационной бомбы, сконструированной капитаном Владимиром Владими</w:t>
      </w:r>
      <w:r w:rsidRPr="00DE096C">
        <w:rPr>
          <w:bCs/>
          <w:color w:val="002060"/>
          <w:sz w:val="16"/>
          <w:szCs w:val="16"/>
        </w:rPr>
        <w:softHyphen/>
        <w:t>ровичем Орановским. Летчик 24 авиаотряда поручик Николай Александ</w:t>
      </w:r>
      <w:r w:rsidRPr="00DE096C">
        <w:rPr>
          <w:bCs/>
          <w:color w:val="002060"/>
          <w:sz w:val="16"/>
          <w:szCs w:val="16"/>
        </w:rPr>
        <w:softHyphen/>
        <w:t>рович Мулько с наблюдателем А.А.Вандерчпкруфом на фарман-22 сбросили бомбу о высоты 1100 м в неприятельский лагерь близ крепости Перемышль. Бомба падала и взорвалась нормально, вызвав большую пани</w:t>
      </w:r>
      <w:r w:rsidRPr="00DE096C">
        <w:rPr>
          <w:bCs/>
          <w:color w:val="002060"/>
          <w:sz w:val="16"/>
          <w:szCs w:val="16"/>
        </w:rPr>
        <w:softHyphen/>
        <w:t>ку в лагере. Поручик С.И.Марков того же отряда, поднявшись с такой же бомбой, вынужден был из-за остановки мотора спуститься вне аэродроыа. При посадке самолет был разбит, но бомба не взорвалась, что свидетельствовало о ее безопасности в случае аварии самолета.</w:t>
      </w:r>
    </w:p>
    <w:p w14:paraId="1322C4AD" w14:textId="77777777" w:rsidR="00C50D40" w:rsidRPr="00DE096C" w:rsidRDefault="00C50D40" w:rsidP="00D45A46">
      <w:pPr>
        <w:jc w:val="both"/>
        <w:rPr>
          <w:bCs/>
          <w:color w:val="002060"/>
          <w:sz w:val="16"/>
          <w:szCs w:val="16"/>
        </w:rPr>
      </w:pPr>
      <w:r w:rsidRPr="00DE096C">
        <w:rPr>
          <w:bCs/>
          <w:color w:val="002060"/>
          <w:sz w:val="16"/>
          <w:szCs w:val="16"/>
        </w:rPr>
        <w:t>/рапорт командира 6-й роты от 30 октября 1914/ (23320).</w:t>
      </w:r>
    </w:p>
    <w:p w14:paraId="37DFE46F" w14:textId="77777777" w:rsidR="00C50D40" w:rsidRPr="00DE096C" w:rsidRDefault="00C50D40" w:rsidP="00D45A46">
      <w:pPr>
        <w:jc w:val="both"/>
        <w:rPr>
          <w:bCs/>
          <w:color w:val="002060"/>
          <w:sz w:val="16"/>
          <w:szCs w:val="16"/>
        </w:rPr>
      </w:pPr>
    </w:p>
    <w:p w14:paraId="4B0FF154"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w:t>
      </w:r>
    </w:p>
    <w:p w14:paraId="3DAA0B71" w14:textId="77777777" w:rsidR="00B67D7C" w:rsidRPr="00DE096C" w:rsidRDefault="00B67D7C" w:rsidP="00D45A46">
      <w:pPr>
        <w:shd w:val="clear" w:color="auto" w:fill="FFFFFF"/>
        <w:jc w:val="both"/>
        <w:rPr>
          <w:bCs/>
          <w:i/>
          <w:color w:val="002060"/>
          <w:sz w:val="16"/>
          <w:szCs w:val="16"/>
        </w:rPr>
      </w:pPr>
    </w:p>
    <w:p w14:paraId="3F85C56B" w14:textId="77777777" w:rsidR="00B67D7C" w:rsidRPr="00DE096C" w:rsidRDefault="00B67D7C" w:rsidP="00D45A46">
      <w:pPr>
        <w:jc w:val="both"/>
        <w:rPr>
          <w:bCs/>
          <w:color w:val="002060"/>
          <w:sz w:val="16"/>
          <w:szCs w:val="16"/>
        </w:rPr>
      </w:pPr>
      <w:r w:rsidRPr="00DE096C">
        <w:rPr>
          <w:bCs/>
          <w:color w:val="002060"/>
          <w:sz w:val="16"/>
          <w:szCs w:val="16"/>
        </w:rPr>
        <w:t>16 (29) октября - Из рапорта русского командования: "В некоторых авиационных отрядах имеются летчики-добровольцы, обладающие пилотскими дипломами, причем некоторые из них пользуются большой известностью и в авиационном мире.</w:t>
      </w:r>
    </w:p>
    <w:p w14:paraId="09F36BC5" w14:textId="77777777" w:rsidR="00B67D7C" w:rsidRPr="00DE096C" w:rsidRDefault="00B67D7C" w:rsidP="00D45A46">
      <w:pPr>
        <w:jc w:val="both"/>
        <w:rPr>
          <w:bCs/>
          <w:color w:val="002060"/>
          <w:sz w:val="16"/>
          <w:szCs w:val="16"/>
        </w:rPr>
      </w:pPr>
      <w:r w:rsidRPr="00DE096C">
        <w:rPr>
          <w:bCs/>
          <w:color w:val="002060"/>
          <w:sz w:val="16"/>
          <w:szCs w:val="16"/>
        </w:rPr>
        <w:t>Одни из таких летчиков оказались в армии на определенном жаловании по контрактам, а другие, менее практичные, поступили прямо в авиационные части на правах охотников, т.е. без всякого жалования, причем, несмотря на это, некоторые из них принесли с собой безвозмездно даже свои собственные аэропланы...</w:t>
      </w:r>
    </w:p>
    <w:p w14:paraId="5A7A2C7F" w14:textId="77777777" w:rsidR="00B67D7C" w:rsidRPr="00DE096C" w:rsidRDefault="00B67D7C" w:rsidP="00D45A46">
      <w:pPr>
        <w:jc w:val="both"/>
        <w:rPr>
          <w:bCs/>
          <w:color w:val="002060"/>
          <w:sz w:val="16"/>
          <w:szCs w:val="16"/>
        </w:rPr>
      </w:pPr>
      <w:r w:rsidRPr="00DE096C">
        <w:rPr>
          <w:bCs/>
          <w:color w:val="002060"/>
          <w:sz w:val="16"/>
          <w:szCs w:val="16"/>
        </w:rPr>
        <w:t>Испрашивается: угодно ли будет Вашему Высокопревосходительству согласиться на установление для всех летчиков-добровольцев, как состоящих уже в частях, так и вновь поступающих туда, а также для летчиков при штабах, однообразного вознаграждения по 300 рублей в месяц?.."</w:t>
      </w:r>
    </w:p>
    <w:p w14:paraId="1C09EC5D" w14:textId="28CCAAE1" w:rsidR="00B67D7C" w:rsidRPr="00DE096C" w:rsidRDefault="00B67D7C" w:rsidP="00D45A46">
      <w:pPr>
        <w:jc w:val="both"/>
        <w:rPr>
          <w:bCs/>
          <w:color w:val="002060"/>
          <w:sz w:val="16"/>
          <w:szCs w:val="16"/>
        </w:rPr>
      </w:pPr>
      <w:r w:rsidRPr="00DE096C">
        <w:rPr>
          <w:bCs/>
          <w:color w:val="002060"/>
          <w:sz w:val="16"/>
          <w:szCs w:val="16"/>
        </w:rPr>
        <w:t>Мачавариани: "В обоих случаях - и с Орловым</w:t>
      </w:r>
      <w:r w:rsidR="00EC5972" w:rsidRPr="00DE096C">
        <w:rPr>
          <w:bCs/>
          <w:color w:val="002060"/>
          <w:sz w:val="16"/>
          <w:szCs w:val="16"/>
        </w:rPr>
        <w:t>,</w:t>
      </w:r>
      <w:r w:rsidRPr="00DE096C">
        <w:rPr>
          <w:bCs/>
          <w:color w:val="002060"/>
          <w:sz w:val="16"/>
          <w:szCs w:val="16"/>
        </w:rPr>
        <w:t xml:space="preserve"> и с Агафоновым - вызывали удивление неведомо чьи распоряжения, по которым летчики-спортсмены направлялись в непосредственное распоряжение командования армии, не подлежа включению в состав действующих авиационных отрядов. Не располагая техническим составом, запасными частями, горючим и смазочным материалом, в общем, всем необходимым в эксплуатации аэропланов, они, естественно, не могли успешно выполнять задания. И, наконец, самое главное, - какие сведения о противнике могли сообщить эти отличные, но не имевшие никакого военного образования пилоты, не умеющие отличить полка от дивизии..." (11999).</w:t>
      </w:r>
    </w:p>
    <w:p w14:paraId="43BD78A9" w14:textId="77777777" w:rsidR="00B67D7C" w:rsidRPr="00DE096C" w:rsidRDefault="00B67D7C" w:rsidP="00D45A46">
      <w:pPr>
        <w:jc w:val="both"/>
        <w:rPr>
          <w:bCs/>
          <w:color w:val="002060"/>
          <w:sz w:val="16"/>
          <w:szCs w:val="16"/>
        </w:rPr>
      </w:pPr>
    </w:p>
    <w:p w14:paraId="51D653F2" w14:textId="77777777" w:rsidR="00D822CB" w:rsidRPr="00DE096C" w:rsidRDefault="00D822CB" w:rsidP="00D45A46">
      <w:pPr>
        <w:jc w:val="both"/>
        <w:rPr>
          <w:bCs/>
          <w:color w:val="002060"/>
          <w:sz w:val="16"/>
          <w:szCs w:val="16"/>
          <w:lang w:bidi="en-US"/>
        </w:rPr>
      </w:pPr>
      <w:r w:rsidRPr="00DE096C">
        <w:rPr>
          <w:bCs/>
          <w:color w:val="002060"/>
          <w:sz w:val="16"/>
          <w:szCs w:val="16"/>
          <w:lang w:bidi="en-US"/>
        </w:rPr>
        <w:t>16 (29) октября 1914 года Турция объявила войну России. Авиации на Кавказском фронте в это время у турок не было. Они потребовали, чтобы Германия прислала двенадцать гражданских пилотов-добровольцев, тридцать два гражданских механика и двадцать четыре самолета, чтобы помочь им создать молодые военно-воздушные силы. Первые четыре самолета прибыли в середине марта 1915 года.</w:t>
      </w:r>
    </w:p>
    <w:p w14:paraId="265F5CA8" w14:textId="77777777" w:rsidR="00D822CB" w:rsidRPr="00DE096C" w:rsidRDefault="00D822CB" w:rsidP="00D45A46">
      <w:pPr>
        <w:jc w:val="both"/>
        <w:rPr>
          <w:bCs/>
          <w:color w:val="002060"/>
          <w:sz w:val="16"/>
          <w:szCs w:val="16"/>
        </w:rPr>
      </w:pPr>
      <w:r w:rsidRPr="00DE096C">
        <w:rPr>
          <w:bCs/>
          <w:color w:val="002060"/>
          <w:sz w:val="16"/>
          <w:szCs w:val="16"/>
          <w:lang w:bidi="en-US"/>
        </w:rPr>
        <w:t>В декабре 1914 года турки отправили в Германию двенадцать офицеров для обучения пилотов. немецкий обит. Эрих фон Серно прибыл в Константинополь в январе 1915 года и был назначен главой Османской летной группы (османли хавакувветлери). В феврале 1915 г. в Сан-Стефано, в 25 км к западу от Константинополя, был создан аэродром (</w:t>
      </w:r>
      <w:r w:rsidRPr="00DE096C">
        <w:rPr>
          <w:bCs/>
          <w:color w:val="002060"/>
          <w:sz w:val="16"/>
          <w:szCs w:val="16"/>
          <w:lang w:val="en-US" w:bidi="en-US"/>
        </w:rPr>
        <w:t>Flugzeugstation</w:t>
      </w:r>
      <w:r w:rsidRPr="00DE096C">
        <w:rPr>
          <w:bCs/>
          <w:color w:val="002060"/>
          <w:sz w:val="16"/>
          <w:szCs w:val="16"/>
          <w:lang w:bidi="en-US"/>
        </w:rPr>
        <w:t xml:space="preserve">) и началось формирование частей. Только в январе 1916 года Османа </w:t>
      </w:r>
      <w:r w:rsidRPr="00DE096C">
        <w:rPr>
          <w:bCs/>
          <w:color w:val="002060"/>
          <w:sz w:val="16"/>
          <w:szCs w:val="16"/>
          <w:lang w:val="en-US" w:bidi="en-US"/>
        </w:rPr>
        <w:t>Fl</w:t>
      </w:r>
      <w:r w:rsidRPr="00DE096C">
        <w:rPr>
          <w:bCs/>
          <w:color w:val="002060"/>
          <w:sz w:val="16"/>
          <w:szCs w:val="16"/>
          <w:lang w:bidi="en-US"/>
        </w:rPr>
        <w:t>.</w:t>
      </w:r>
      <w:r w:rsidRPr="00DE096C">
        <w:rPr>
          <w:bCs/>
          <w:color w:val="002060"/>
          <w:sz w:val="16"/>
          <w:szCs w:val="16"/>
          <w:lang w:val="en-US" w:bidi="en-US"/>
        </w:rPr>
        <w:t>Abt</w:t>
      </w:r>
      <w:r w:rsidRPr="00DE096C">
        <w:rPr>
          <w:bCs/>
          <w:color w:val="002060"/>
          <w:sz w:val="16"/>
          <w:szCs w:val="16"/>
          <w:lang w:bidi="en-US"/>
        </w:rPr>
        <w:t>.7 отправили на Кавказ. На турецких крыльях и фюзеляжах изначально использовался немецкий железный крест, но позже он был заменен черным квадратом (23525).</w:t>
      </w:r>
    </w:p>
    <w:p w14:paraId="33726888" w14:textId="77777777" w:rsidR="00D822CB" w:rsidRPr="00DE096C" w:rsidRDefault="00D822CB" w:rsidP="00D45A46">
      <w:pPr>
        <w:jc w:val="both"/>
        <w:rPr>
          <w:bCs/>
          <w:color w:val="002060"/>
          <w:sz w:val="16"/>
          <w:szCs w:val="16"/>
          <w:lang w:bidi="en-US"/>
        </w:rPr>
      </w:pPr>
    </w:p>
    <w:p w14:paraId="15995DF1" w14:textId="3643329A" w:rsidR="003166F2" w:rsidRPr="00DE096C" w:rsidRDefault="003166F2" w:rsidP="00D45A46">
      <w:pPr>
        <w:shd w:val="clear" w:color="auto" w:fill="FFFFFF"/>
        <w:jc w:val="both"/>
        <w:rPr>
          <w:bCs/>
          <w:i/>
          <w:color w:val="002060"/>
          <w:sz w:val="16"/>
          <w:szCs w:val="16"/>
        </w:rPr>
      </w:pPr>
      <w:r w:rsidRPr="00DE096C">
        <w:rPr>
          <w:bCs/>
          <w:i/>
          <w:color w:val="002060"/>
          <w:sz w:val="16"/>
          <w:szCs w:val="16"/>
        </w:rPr>
        <w:t>Морская авиация:</w:t>
      </w:r>
    </w:p>
    <w:p w14:paraId="37B5B11B" w14:textId="77777777" w:rsidR="003166F2" w:rsidRPr="00DE096C" w:rsidRDefault="003166F2" w:rsidP="00D45A46">
      <w:pPr>
        <w:shd w:val="clear" w:color="auto" w:fill="FFFFFF"/>
        <w:jc w:val="both"/>
        <w:rPr>
          <w:bCs/>
          <w:i/>
          <w:color w:val="002060"/>
          <w:sz w:val="16"/>
          <w:szCs w:val="16"/>
        </w:rPr>
      </w:pPr>
    </w:p>
    <w:p w14:paraId="3DBA67B2" w14:textId="77777777" w:rsidR="003166F2" w:rsidRPr="00DE096C" w:rsidRDefault="003166F2" w:rsidP="00D45A46">
      <w:pPr>
        <w:jc w:val="both"/>
        <w:rPr>
          <w:bCs/>
          <w:color w:val="002060"/>
          <w:sz w:val="16"/>
          <w:szCs w:val="16"/>
        </w:rPr>
      </w:pPr>
      <w:r w:rsidRPr="00DE096C">
        <w:rPr>
          <w:bCs/>
          <w:color w:val="002060"/>
          <w:sz w:val="16"/>
          <w:szCs w:val="16"/>
        </w:rPr>
        <w:t>16 (29) 1914 - Во время набеговой операции самого известного немецкого линейного крейсера «Гёбен» на Севастополь и артиллерийского обстрела города семь русских летающих лодок поднялись в воздух и, кружа над крейсером, сбросили свои бомбы. Насколько серьёзно он был поврежден, выяснить так и не удалось, но этот боевой эпизод показал, что гидросамолёты становятся ударной силой на море и могут действовать самостоятельно (22322).</w:t>
      </w:r>
    </w:p>
    <w:p w14:paraId="3328ECA2" w14:textId="77777777" w:rsidR="003166F2" w:rsidRPr="00DE096C" w:rsidRDefault="003166F2" w:rsidP="00D45A46">
      <w:pPr>
        <w:jc w:val="both"/>
        <w:rPr>
          <w:bCs/>
          <w:color w:val="002060"/>
          <w:sz w:val="16"/>
          <w:szCs w:val="16"/>
        </w:rPr>
      </w:pPr>
    </w:p>
    <w:p w14:paraId="2193A4A6" w14:textId="4BA8B540"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16 (29) октября 1914 </w:t>
      </w:r>
      <w:r w:rsidR="00EC5972" w:rsidRPr="00DE096C">
        <w:rPr>
          <w:bCs/>
          <w:color w:val="002060"/>
          <w:sz w:val="16"/>
          <w:szCs w:val="16"/>
        </w:rPr>
        <w:t xml:space="preserve">г. </w:t>
      </w:r>
      <w:r w:rsidRPr="00DE096C">
        <w:rPr>
          <w:bCs/>
          <w:color w:val="002060"/>
          <w:sz w:val="16"/>
          <w:szCs w:val="16"/>
        </w:rPr>
        <w:t>германо-турецкий флот совершил провокаци</w:t>
      </w:r>
      <w:r w:rsidRPr="00DE096C">
        <w:rPr>
          <w:bCs/>
          <w:color w:val="002060"/>
          <w:sz w:val="16"/>
          <w:szCs w:val="16"/>
        </w:rPr>
        <w:softHyphen/>
        <w:t>онную набеговую операцию на Севастополь и другие русские порты. Через трое суток Россия объявила Турции войну, что привело к образованию Кавказского фронта и открытию бое</w:t>
      </w:r>
      <w:r w:rsidRPr="00DE096C">
        <w:rPr>
          <w:bCs/>
          <w:color w:val="002060"/>
          <w:sz w:val="16"/>
          <w:szCs w:val="16"/>
        </w:rPr>
        <w:softHyphen/>
        <w:t>вых действий на море.</w:t>
      </w:r>
    </w:p>
    <w:p w14:paraId="38203B7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Первые месяцы войны на Балтийском и Черноморском те</w:t>
      </w:r>
      <w:r w:rsidRPr="00DE096C">
        <w:rPr>
          <w:bCs/>
          <w:color w:val="002060"/>
          <w:sz w:val="16"/>
          <w:szCs w:val="16"/>
        </w:rPr>
        <w:softHyphen/>
        <w:t>атрах подтвердили недостаточную подготовленность отече</w:t>
      </w:r>
      <w:r w:rsidRPr="00DE096C">
        <w:rPr>
          <w:bCs/>
          <w:color w:val="002060"/>
          <w:sz w:val="16"/>
          <w:szCs w:val="16"/>
        </w:rPr>
        <w:softHyphen/>
        <w:t>ственного флота, пребывавшего в начальной стадии обновле</w:t>
      </w:r>
      <w:r w:rsidRPr="00DE096C">
        <w:rPr>
          <w:bCs/>
          <w:color w:val="002060"/>
          <w:sz w:val="16"/>
          <w:szCs w:val="16"/>
        </w:rPr>
        <w:softHyphen/>
        <w:t>ния разнородных сил. Совершенно не окрепшая еще морская авиация испытывала серьезные трудности и нуждалась в ус</w:t>
      </w:r>
      <w:r w:rsidRPr="00DE096C">
        <w:rPr>
          <w:bCs/>
          <w:color w:val="002060"/>
          <w:sz w:val="16"/>
          <w:szCs w:val="16"/>
        </w:rPr>
        <w:softHyphen/>
        <w:t>корении темпов своего развития с учетом сложившихся об</w:t>
      </w:r>
      <w:r w:rsidRPr="00DE096C">
        <w:rPr>
          <w:bCs/>
          <w:color w:val="002060"/>
          <w:sz w:val="16"/>
          <w:szCs w:val="16"/>
        </w:rPr>
        <w:softHyphen/>
        <w:t>стоятельств и конкретных потребностей (11283).</w:t>
      </w:r>
    </w:p>
    <w:p w14:paraId="4796F351" w14:textId="77777777" w:rsidR="00B67D7C" w:rsidRPr="00DE096C" w:rsidRDefault="00B67D7C" w:rsidP="00D45A46">
      <w:pPr>
        <w:shd w:val="clear" w:color="auto" w:fill="FFFFFF"/>
        <w:jc w:val="both"/>
        <w:rPr>
          <w:bCs/>
          <w:color w:val="002060"/>
          <w:sz w:val="16"/>
          <w:szCs w:val="16"/>
        </w:rPr>
      </w:pPr>
    </w:p>
    <w:p w14:paraId="05013A27" w14:textId="67339475" w:rsidR="00B67D7C" w:rsidRPr="00DE096C" w:rsidRDefault="00B67D7C" w:rsidP="00D45A46">
      <w:pPr>
        <w:jc w:val="both"/>
        <w:rPr>
          <w:bCs/>
          <w:color w:val="002060"/>
          <w:sz w:val="16"/>
          <w:szCs w:val="16"/>
        </w:rPr>
      </w:pPr>
      <w:r w:rsidRPr="00DE096C">
        <w:rPr>
          <w:bCs/>
          <w:color w:val="002060"/>
          <w:sz w:val="16"/>
          <w:szCs w:val="16"/>
        </w:rPr>
        <w:t xml:space="preserve">16-17 (29-30) октября </w:t>
      </w:r>
      <w:r w:rsidR="00EC5972" w:rsidRPr="00DE096C">
        <w:rPr>
          <w:bCs/>
          <w:color w:val="002060"/>
          <w:sz w:val="16"/>
          <w:szCs w:val="16"/>
        </w:rPr>
        <w:t>г. т</w:t>
      </w:r>
      <w:r w:rsidRPr="00DE096C">
        <w:rPr>
          <w:bCs/>
          <w:color w:val="002060"/>
          <w:sz w:val="16"/>
          <w:szCs w:val="16"/>
        </w:rPr>
        <w:t>урецко-германская эскадра потопила под Севастополем транспорт "Прут" и обстреляла Одессу, Севастополь, Феодосию и Новороссийск.</w:t>
      </w:r>
    </w:p>
    <w:p w14:paraId="1B20A7D6" w14:textId="77777777" w:rsidR="00B67D7C" w:rsidRPr="00DE096C" w:rsidRDefault="00B67D7C" w:rsidP="00D45A46">
      <w:pPr>
        <w:jc w:val="both"/>
        <w:rPr>
          <w:bCs/>
          <w:color w:val="002060"/>
          <w:sz w:val="16"/>
          <w:szCs w:val="16"/>
        </w:rPr>
      </w:pPr>
      <w:r w:rsidRPr="00DE096C">
        <w:rPr>
          <w:bCs/>
          <w:color w:val="002060"/>
          <w:sz w:val="16"/>
          <w:szCs w:val="16"/>
        </w:rPr>
        <w:t>По мнению английских дипломатов, Турцию еще можно было удержать от войны, чтобы не создавалось Константинопольского вопроса, так как великий визирь, принц Саид-Халим, и его сторонники были против войны, но русское правительство самостоятельно, не предупредив Англию и Францию, в ответ на враждебное выступление крейсеров "Гебен" и "Бреслау", 31 октября объявило войну Турции (11999).</w:t>
      </w:r>
    </w:p>
    <w:p w14:paraId="4ED38306" w14:textId="77777777" w:rsidR="00B67D7C" w:rsidRPr="00DE096C" w:rsidRDefault="00B67D7C" w:rsidP="00D45A46">
      <w:pPr>
        <w:jc w:val="both"/>
        <w:rPr>
          <w:bCs/>
          <w:color w:val="002060"/>
          <w:sz w:val="16"/>
          <w:szCs w:val="16"/>
        </w:rPr>
      </w:pPr>
    </w:p>
    <w:p w14:paraId="2356658F" w14:textId="3A623C61" w:rsidR="00B67D7C" w:rsidRPr="00DE096C" w:rsidRDefault="00B67D7C" w:rsidP="00D45A46">
      <w:pPr>
        <w:shd w:val="clear" w:color="auto" w:fill="FFFFFF"/>
        <w:jc w:val="both"/>
        <w:rPr>
          <w:bCs/>
          <w:color w:val="002060"/>
          <w:sz w:val="16"/>
          <w:szCs w:val="16"/>
        </w:rPr>
      </w:pPr>
      <w:r w:rsidRPr="00DE096C">
        <w:rPr>
          <w:bCs/>
          <w:color w:val="002060"/>
          <w:sz w:val="16"/>
          <w:szCs w:val="16"/>
        </w:rPr>
        <w:t>16 (29) ок</w:t>
      </w:r>
      <w:r w:rsidRPr="00DE096C">
        <w:rPr>
          <w:bCs/>
          <w:color w:val="002060"/>
          <w:sz w:val="16"/>
          <w:szCs w:val="16"/>
        </w:rPr>
        <w:softHyphen/>
        <w:t xml:space="preserve">тября </w:t>
      </w:r>
      <w:r w:rsidR="00EC5972" w:rsidRPr="00DE096C">
        <w:rPr>
          <w:bCs/>
          <w:color w:val="002060"/>
          <w:sz w:val="16"/>
          <w:szCs w:val="16"/>
        </w:rPr>
        <w:t xml:space="preserve">1914 г. из-за окутавшего прибрежные воды тумана, утром </w:t>
      </w:r>
      <w:r w:rsidRPr="00DE096C">
        <w:rPr>
          <w:bCs/>
          <w:color w:val="002060"/>
          <w:sz w:val="16"/>
          <w:szCs w:val="16"/>
        </w:rPr>
        <w:t>было разрешено воздушную разведку произвести позже обычного времени.</w:t>
      </w:r>
    </w:p>
    <w:p w14:paraId="4482D36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Дальнейшие события развивались так. В 06.33 линейный крейсер «Гебен», оказавшийся в 40 кабельтовых от Севастопо</w:t>
      </w:r>
      <w:r w:rsidRPr="00DE096C">
        <w:rPr>
          <w:bCs/>
          <w:color w:val="002060"/>
          <w:sz w:val="16"/>
          <w:szCs w:val="16"/>
        </w:rPr>
        <w:softHyphen/>
        <w:t>ля мористей Херсонесского маяка, на малом ходу повернул на норд-ост и правым бортом открыл артогонь из 280- и 150-мм орудий. В течение 17 минут он выстрелил по городу 47 снаря</w:t>
      </w:r>
      <w:r w:rsidRPr="00DE096C">
        <w:rPr>
          <w:bCs/>
          <w:color w:val="002060"/>
          <w:sz w:val="16"/>
          <w:szCs w:val="16"/>
        </w:rPr>
        <w:softHyphen/>
        <w:t>дов главного и по берегу 12 снарядов вспомогательного калиб</w:t>
      </w:r>
      <w:r w:rsidRPr="00DE096C">
        <w:rPr>
          <w:bCs/>
          <w:color w:val="002060"/>
          <w:sz w:val="16"/>
          <w:szCs w:val="16"/>
        </w:rPr>
        <w:softHyphen/>
        <w:t>ров. Первые рвались преимущественно на территориях Морс</w:t>
      </w:r>
      <w:r w:rsidRPr="00DE096C">
        <w:rPr>
          <w:bCs/>
          <w:color w:val="002060"/>
          <w:sz w:val="16"/>
          <w:szCs w:val="16"/>
        </w:rPr>
        <w:softHyphen/>
        <w:t>кого госпиталя, Угольной пристани и возле них. Причиненный ущерб был невелик. Вторые попали в береговую батарею, по</w:t>
      </w:r>
      <w:r w:rsidRPr="00DE096C">
        <w:rPr>
          <w:bCs/>
          <w:color w:val="002060"/>
          <w:sz w:val="16"/>
          <w:szCs w:val="16"/>
        </w:rPr>
        <w:softHyphen/>
        <w:t>вредили два орудия и вызвали людские жертвы.</w:t>
      </w:r>
    </w:p>
    <w:p w14:paraId="69F4CF9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Ответную стрельбу по противнику вели десять береговых батарей крупных и средних калибров Северного и Южного отделов Севастопольской крепости Военного министерства. Кроме того, в условиях тумана над бухтой три выстрела по врагу сделали комендоры брандвахтенного броненосца «Геор</w:t>
      </w:r>
      <w:r w:rsidRPr="00DE096C">
        <w:rPr>
          <w:bCs/>
          <w:color w:val="002060"/>
          <w:sz w:val="16"/>
          <w:szCs w:val="16"/>
        </w:rPr>
        <w:softHyphen/>
        <w:t>гий Победоносец». Крепостная артиллерия израсходовала 357 снарядов.</w:t>
      </w:r>
    </w:p>
    <w:p w14:paraId="6FCC9E0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Из-за отсутствия централизованного управления стрельбой батарей в «Гебен» попало лишь три снаряда. Они взорвались около задней дымовой трубы и причинили незначительные повреждения, но потери в живой силе были немалыми. Крей</w:t>
      </w:r>
      <w:r w:rsidRPr="00DE096C">
        <w:rPr>
          <w:bCs/>
          <w:color w:val="002060"/>
          <w:sz w:val="16"/>
          <w:szCs w:val="16"/>
        </w:rPr>
        <w:softHyphen/>
        <w:t>сер резко повернул влево, увеличил скорость хода и на зигзаге вышел из-под обстрела. Сопровождавшие его миноносцы уб</w:t>
      </w:r>
      <w:r w:rsidRPr="00DE096C">
        <w:rPr>
          <w:bCs/>
          <w:color w:val="002060"/>
          <w:sz w:val="16"/>
          <w:szCs w:val="16"/>
        </w:rPr>
        <w:softHyphen/>
        <w:t>рали минные тралы и удалились прочь.</w:t>
      </w:r>
    </w:p>
    <w:p w14:paraId="17D7925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обстановке растерянности и неразберихи приказание о проведении воздушной разведки противника исполнители по</w:t>
      </w:r>
      <w:r w:rsidRPr="00DE096C">
        <w:rPr>
          <w:bCs/>
          <w:color w:val="002060"/>
          <w:sz w:val="16"/>
          <w:szCs w:val="16"/>
        </w:rPr>
        <w:softHyphen/>
        <w:t>лучили с опозданием. Первым в 07.03 вылет совершил пилот резервного отряда мичман Борис Светухин, возвратившийся на авиастанцию спустя 25 минут. Он доложил об увиденном на траверзе мыса Херсонес вражеском крейсере, ведущем об</w:t>
      </w:r>
      <w:r w:rsidRPr="00DE096C">
        <w:rPr>
          <w:bCs/>
          <w:color w:val="002060"/>
          <w:sz w:val="16"/>
          <w:szCs w:val="16"/>
        </w:rPr>
        <w:softHyphen/>
        <w:t>стрел города. Следующим полетел туда лейтенант Александр Тюфяев, доложивший о наблюдении трех залпов крейсера и обнаруженных вдали миноносцах. Затем опытный пилот вы</w:t>
      </w:r>
      <w:r w:rsidRPr="00DE096C">
        <w:rPr>
          <w:bCs/>
          <w:color w:val="002060"/>
          <w:sz w:val="16"/>
          <w:szCs w:val="16"/>
        </w:rPr>
        <w:softHyphen/>
        <w:t>летел повторно и сообщил уточненные сведения.</w:t>
      </w:r>
    </w:p>
    <w:p w14:paraId="4416E48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07.30 и 08.00 вылеты на разведку совершили пилоты бое</w:t>
      </w:r>
      <w:r w:rsidRPr="00DE096C">
        <w:rPr>
          <w:bCs/>
          <w:color w:val="002060"/>
          <w:sz w:val="16"/>
          <w:szCs w:val="16"/>
        </w:rPr>
        <w:softHyphen/>
        <w:t>вых отрядов мичман Николай Рагозин и лейтенант Виктори-ан Качинский, обнаружившие уходящего на зюйд-вест против</w:t>
      </w:r>
      <w:r w:rsidRPr="00DE096C">
        <w:rPr>
          <w:bCs/>
          <w:color w:val="002060"/>
          <w:sz w:val="16"/>
          <w:szCs w:val="16"/>
        </w:rPr>
        <w:softHyphen/>
        <w:t>ника в 50-60 милях от Херсонесского маяка. А поблизости от него, они видели наши дозорные эсминцы, один из них был поврежден во время сорванной врагом попытки выйти в тор</w:t>
      </w:r>
      <w:r w:rsidRPr="00DE096C">
        <w:rPr>
          <w:bCs/>
          <w:color w:val="002060"/>
          <w:sz w:val="16"/>
          <w:szCs w:val="16"/>
        </w:rPr>
        <w:softHyphen/>
        <w:t>педную атаку. От места затопления командой минного загра</w:t>
      </w:r>
      <w:r w:rsidRPr="00DE096C">
        <w:rPr>
          <w:bCs/>
          <w:color w:val="002060"/>
          <w:sz w:val="16"/>
          <w:szCs w:val="16"/>
        </w:rPr>
        <w:softHyphen/>
        <w:t>дителя «Прут», подожженного артогнем противника у Фио-лента, летчики находились далеко и этого трагического факта не заметили.</w:t>
      </w:r>
    </w:p>
    <w:p w14:paraId="3D4B159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Затем в течение полутора часов в полеты разными маршру</w:t>
      </w:r>
      <w:r w:rsidRPr="00DE096C">
        <w:rPr>
          <w:bCs/>
          <w:color w:val="002060"/>
          <w:sz w:val="16"/>
          <w:szCs w:val="16"/>
        </w:rPr>
        <w:softHyphen/>
        <w:t>тами отправлялись лейтенант Евгений Коведяев, мичманы Бо</w:t>
      </w:r>
      <w:r w:rsidRPr="00DE096C">
        <w:rPr>
          <w:bCs/>
          <w:color w:val="002060"/>
          <w:sz w:val="16"/>
          <w:szCs w:val="16"/>
        </w:rPr>
        <w:softHyphen/>
        <w:t>рис Миклашевский, Георгий Корнилович и Константин Лама-нов. Днем состоялось еще семь полетов. Полученные сведения использовались для контроля за изменением обстановки. Около 17.00 последним в разведку повторно вылетел начальник 2-го боевого отряда лейтенант Виктор Утгоф, обнаруживший при</w:t>
      </w:r>
      <w:r w:rsidRPr="00DE096C">
        <w:rPr>
          <w:bCs/>
          <w:color w:val="002060"/>
          <w:sz w:val="16"/>
          <w:szCs w:val="16"/>
        </w:rPr>
        <w:softHyphen/>
        <w:t>мерно в 45 милях западней Херсонесского маяка неприятель</w:t>
      </w:r>
      <w:r w:rsidRPr="00DE096C">
        <w:rPr>
          <w:bCs/>
          <w:color w:val="002060"/>
          <w:sz w:val="16"/>
          <w:szCs w:val="16"/>
        </w:rPr>
        <w:softHyphen/>
        <w:t>ский миноносец. Об этом пилот сообщил условным сигналом на флагкорабль эскадры, шедшей мимо Лукулльского мыса в северном направлении.</w:t>
      </w:r>
    </w:p>
    <w:p w14:paraId="048750C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Таким образом, 16 (29) октября 1914 года одиннадцать черно</w:t>
      </w:r>
      <w:r w:rsidRPr="00DE096C">
        <w:rPr>
          <w:bCs/>
          <w:color w:val="002060"/>
          <w:sz w:val="16"/>
          <w:szCs w:val="16"/>
        </w:rPr>
        <w:softHyphen/>
        <w:t>морских летчиков совершили шестнадцать разведывательных полетов (Тюфяев - три, Светухин, Рагозин, Утгоф - по два). Иначе говоря, тогда в истории отечественного флота впервые была осуществлена воздушная разведывательная операция, но полученную информацию командование использовало пас</w:t>
      </w:r>
      <w:r w:rsidRPr="00DE096C">
        <w:rPr>
          <w:bCs/>
          <w:color w:val="002060"/>
          <w:sz w:val="16"/>
          <w:szCs w:val="16"/>
        </w:rPr>
        <w:softHyphen/>
        <w:t>сивно (11283).</w:t>
      </w:r>
    </w:p>
    <w:p w14:paraId="56332B8D" w14:textId="77777777" w:rsidR="00B67D7C" w:rsidRPr="00DE096C" w:rsidRDefault="00B67D7C" w:rsidP="00D45A46">
      <w:pPr>
        <w:shd w:val="clear" w:color="auto" w:fill="FFFFFF"/>
        <w:jc w:val="both"/>
        <w:rPr>
          <w:bCs/>
          <w:i/>
          <w:color w:val="002060"/>
          <w:sz w:val="16"/>
          <w:szCs w:val="16"/>
        </w:rPr>
      </w:pPr>
    </w:p>
    <w:p w14:paraId="34FB1036" w14:textId="77777777" w:rsidR="00B92FA5" w:rsidRPr="00DE096C" w:rsidRDefault="00B92FA5" w:rsidP="00D45A46">
      <w:pPr>
        <w:jc w:val="both"/>
        <w:rPr>
          <w:bCs/>
          <w:color w:val="002060"/>
          <w:sz w:val="16"/>
          <w:szCs w:val="16"/>
        </w:rPr>
      </w:pPr>
      <w:r w:rsidRPr="00DE096C">
        <w:rPr>
          <w:bCs/>
          <w:color w:val="002060"/>
          <w:sz w:val="16"/>
          <w:szCs w:val="16"/>
        </w:rPr>
        <w:t xml:space="preserve">16 (29) октября 1914 года в ходе отражения набега германо-турецких крейсеров на базы Черноморского флота впервые приобрела опыт боевого применения авиация Черноморского флота. «После первых неприятельских выстрелов по Севастополю около 7 ч 3 мин утра был выслан на разведку мичман [Б.Д.] Светухин, который донес, что он видел крейсер «Гебен», стоящий приблизительно на створе Инкерманских маяков на траверзе Херсонесского маяка, повернутый носом на север и стреляющий правым бортом. Ему в кильватер держались 4—6 миноносцев. Вслед за мичманом Светухиным полетел лейтенант Тюфяев, который донес: на запад от «Евстафия», в расстоянии 90—100 кабельтовых от него, видел стреляющий крейсер «Гебен» и еще какой-то большой корабль, типа которого за туманной мглой </w:t>
      </w:r>
      <w:r w:rsidRPr="00DE096C">
        <w:rPr>
          <w:bCs/>
          <w:color w:val="002060"/>
          <w:sz w:val="16"/>
          <w:szCs w:val="16"/>
        </w:rPr>
        <w:lastRenderedPageBreak/>
        <w:t>установить не удалось: сосчитав три залпа, произведенных «Гебеном», донеся о разведке, полетел вторично и видел то же самое, причем сосчитал еще два залпа, произведенные «Гебеном» (Климовский С.Д. Черноморские летчики против «Гебена» и «Бреслау» // Гангут. 2000. № 27. С. 107.). Всего в тот день было произведено 16 самолетовылетов. Приобретенный опыт сыграл большую роль в дальнейшем становлении черноморской авиации в качестве реальной силы флота (11177).</w:t>
      </w:r>
    </w:p>
    <w:p w14:paraId="1EA9AA28" w14:textId="77777777" w:rsidR="00B92FA5" w:rsidRPr="00DE096C" w:rsidRDefault="00B92FA5" w:rsidP="00D45A46">
      <w:pPr>
        <w:jc w:val="both"/>
        <w:rPr>
          <w:bCs/>
          <w:color w:val="002060"/>
          <w:sz w:val="16"/>
          <w:szCs w:val="16"/>
        </w:rPr>
      </w:pPr>
    </w:p>
    <w:p w14:paraId="6DF17F65" w14:textId="77777777" w:rsidR="00B92FA5" w:rsidRPr="00DE096C" w:rsidRDefault="00B92FA5" w:rsidP="00D45A46">
      <w:pPr>
        <w:jc w:val="both"/>
        <w:rPr>
          <w:bCs/>
          <w:color w:val="002060"/>
          <w:sz w:val="16"/>
          <w:szCs w:val="16"/>
        </w:rPr>
      </w:pPr>
      <w:r w:rsidRPr="00DE096C">
        <w:rPr>
          <w:bCs/>
          <w:color w:val="002060"/>
          <w:sz w:val="16"/>
          <w:szCs w:val="16"/>
        </w:rPr>
        <w:t>16 (29) октября 1914 было первое нападение германо-турецкого флота на Черноморское побережье. В 23 ч 20 мин. два турецких миноносца, имея все ходовые огни, вошли в Одесскую гавань, потопили канонерскую лодку "Донец", повредили канонерскую лодку "Кубанец", обстреляли торговые суда и береговые объекты. После этого они почти час ходили по акватории Одесского порта, обстреливая суда и объекты. Повредив ещё четыре парохода, миноносцы ушли безнаказанно (11930).</w:t>
      </w:r>
    </w:p>
    <w:p w14:paraId="64B12EBD" w14:textId="77777777" w:rsidR="00B92FA5" w:rsidRPr="00DE096C" w:rsidRDefault="00B92FA5" w:rsidP="00D45A46">
      <w:pPr>
        <w:jc w:val="both"/>
        <w:rPr>
          <w:bCs/>
          <w:color w:val="002060"/>
          <w:sz w:val="16"/>
          <w:szCs w:val="16"/>
        </w:rPr>
      </w:pPr>
    </w:p>
    <w:p w14:paraId="7C5AFBF9" w14:textId="77777777" w:rsidR="00B92FA5" w:rsidRPr="00DE096C" w:rsidRDefault="00B92FA5" w:rsidP="00D45A46">
      <w:pPr>
        <w:jc w:val="both"/>
        <w:rPr>
          <w:bCs/>
          <w:color w:val="002060"/>
          <w:sz w:val="16"/>
          <w:szCs w:val="16"/>
        </w:rPr>
      </w:pPr>
      <w:r w:rsidRPr="00DE096C">
        <w:rPr>
          <w:bCs/>
          <w:color w:val="002060"/>
          <w:sz w:val="16"/>
          <w:szCs w:val="16"/>
        </w:rPr>
        <w:t>16 (29) октября 1914 г. утром по метеоусловиям время вылета на воздушную разведку перенесли. И так случилось, что ещё затемно, в 6 ч 38 мин линейный крейсер "Явуз султан Селим" (бывший германский "Гебен") вышел на позицию мористее м. Херсонес и с дистанции 4 мили обстрелял Севастополь. Десяток береговых батарей и броненосец "Георгий Победоносец", выпустили по "Гебену" несколько сотен снарядов, не причинив ему существенных повреждений.</w:t>
      </w:r>
    </w:p>
    <w:p w14:paraId="49816E33" w14:textId="77777777" w:rsidR="00B92FA5" w:rsidRPr="00DE096C" w:rsidRDefault="00B92FA5" w:rsidP="00D45A46">
      <w:pPr>
        <w:jc w:val="both"/>
        <w:rPr>
          <w:bCs/>
          <w:color w:val="002060"/>
          <w:sz w:val="16"/>
          <w:szCs w:val="16"/>
        </w:rPr>
      </w:pPr>
      <w:r w:rsidRPr="00DE096C">
        <w:rPr>
          <w:bCs/>
          <w:color w:val="002060"/>
          <w:sz w:val="16"/>
          <w:szCs w:val="16"/>
        </w:rPr>
        <w:t>Уже в 7 ч 01 мин для уточнения обстановки вылетел мичман Б. Светухин, через 25 мин он произвёл посадку и доложил о крейсере на траверзе м. Херсонес, ведущем обстрел. Затем вылетел лейтенант A. Тюфяев, а после его посадки мичман Н.Рогозин, а за ним лейтенант B. Качинский. По их докладам крейсер уходил на юго-запад, а поблизости от него находятся наши миноносцы, безуспешно пытающиеся организовать торпедную атаку. Вылеты для наблюдения за крейсером, наделавшим столько шума, продолжались до 17 час. Последний сделал лейтенант В.В.Утгоф, обнаруживший в 40 милях западнее м. Херсонес неприятельский миноносец. Об этом он сообщил условным сигналом на флагманский корабль эскадры, следовавший мимо м. Лукулл в северном направлении. Всего в тот день на воздушную разведку пришлось 16 самолётовылетов (11930).</w:t>
      </w:r>
    </w:p>
    <w:p w14:paraId="056D865A" w14:textId="77777777" w:rsidR="00B92FA5" w:rsidRPr="00DE096C" w:rsidRDefault="00B92FA5" w:rsidP="00D45A46">
      <w:pPr>
        <w:jc w:val="both"/>
        <w:rPr>
          <w:bCs/>
          <w:color w:val="002060"/>
          <w:sz w:val="16"/>
          <w:szCs w:val="16"/>
        </w:rPr>
      </w:pPr>
    </w:p>
    <w:p w14:paraId="5F889EB3" w14:textId="7188E385" w:rsidR="00D822CB" w:rsidRPr="00DE096C" w:rsidRDefault="00D822CB" w:rsidP="00D45A46">
      <w:pPr>
        <w:jc w:val="both"/>
        <w:rPr>
          <w:bCs/>
          <w:color w:val="002060"/>
          <w:sz w:val="16"/>
          <w:szCs w:val="16"/>
        </w:rPr>
      </w:pPr>
      <w:r w:rsidRPr="00DE096C">
        <w:rPr>
          <w:bCs/>
          <w:color w:val="002060"/>
          <w:sz w:val="16"/>
          <w:szCs w:val="16"/>
          <w:lang w:bidi="en-US"/>
        </w:rPr>
        <w:t>16 (29) октября 1914 г. военно-морские летчики-черноморцы не заметили внезапного подхода кораблей противника к Севастополю. Это повторится 6 декабря (23525).</w:t>
      </w:r>
    </w:p>
    <w:p w14:paraId="173D11D2" w14:textId="77777777" w:rsidR="00D822CB" w:rsidRPr="00DE096C" w:rsidRDefault="00D822CB" w:rsidP="00D45A46">
      <w:pPr>
        <w:jc w:val="both"/>
        <w:rPr>
          <w:bCs/>
          <w:color w:val="002060"/>
          <w:sz w:val="16"/>
          <w:szCs w:val="16"/>
          <w:lang w:bidi="en-US"/>
        </w:rPr>
      </w:pPr>
    </w:p>
    <w:p w14:paraId="592C6874" w14:textId="77777777" w:rsidR="00736E34" w:rsidRPr="00B52707" w:rsidRDefault="00736E34" w:rsidP="00736E34">
      <w:pPr>
        <w:jc w:val="both"/>
        <w:rPr>
          <w:color w:val="0070C0"/>
          <w:sz w:val="16"/>
          <w:szCs w:val="16"/>
        </w:rPr>
      </w:pPr>
      <w:r w:rsidRPr="00B52707">
        <w:rPr>
          <w:color w:val="0070C0"/>
          <w:sz w:val="16"/>
          <w:szCs w:val="16"/>
        </w:rPr>
        <w:t>16 октября (29 октября) 1914 года германо-турецкие корабли начали обстрел фактически беззащитного города-порта Новороссийска. Два боевых корабля «Берк-и Сатвет» и «Бреслау» («Мидилли») открыли в тот день ураганный огонь по нефтеналивным цистернам, портовой инфраструктуре и мирным кварталам. Дым от ужасного пожарища по воспоминаниям офицеров неприятеля, ввергнувших рабочий южный город в огненный ад, был ещё долго виден, когда с горизонта пропала даже сама береговая линия (25153).</w:t>
      </w:r>
    </w:p>
    <w:p w14:paraId="17B00F85" w14:textId="77777777" w:rsidR="00736E34" w:rsidRPr="00B52707" w:rsidRDefault="00736E34" w:rsidP="00736E34">
      <w:pPr>
        <w:jc w:val="both"/>
        <w:rPr>
          <w:color w:val="0070C0"/>
          <w:sz w:val="16"/>
          <w:szCs w:val="16"/>
        </w:rPr>
      </w:pPr>
    </w:p>
    <w:p w14:paraId="55C7ECC8" w14:textId="77777777" w:rsidR="00B92FA5" w:rsidRPr="00DE096C" w:rsidRDefault="00B92FA5" w:rsidP="00D45A46">
      <w:pPr>
        <w:jc w:val="both"/>
        <w:rPr>
          <w:bCs/>
          <w:i/>
          <w:color w:val="002060"/>
          <w:sz w:val="16"/>
          <w:szCs w:val="16"/>
        </w:rPr>
      </w:pPr>
      <w:r w:rsidRPr="00DE096C">
        <w:rPr>
          <w:bCs/>
          <w:i/>
          <w:color w:val="002060"/>
          <w:sz w:val="16"/>
          <w:szCs w:val="16"/>
        </w:rPr>
        <w:t>Армия:</w:t>
      </w:r>
    </w:p>
    <w:p w14:paraId="71D3966F" w14:textId="77777777" w:rsidR="00B92FA5" w:rsidRPr="00DE096C" w:rsidRDefault="00B92FA5" w:rsidP="00D45A46">
      <w:pPr>
        <w:jc w:val="both"/>
        <w:rPr>
          <w:bCs/>
          <w:i/>
          <w:color w:val="002060"/>
          <w:sz w:val="16"/>
          <w:szCs w:val="16"/>
        </w:rPr>
      </w:pPr>
    </w:p>
    <w:p w14:paraId="5D3F2219" w14:textId="77777777" w:rsidR="00B92FA5" w:rsidRPr="00DE096C" w:rsidRDefault="00B92FA5" w:rsidP="00D45A46">
      <w:pPr>
        <w:jc w:val="both"/>
        <w:rPr>
          <w:bCs/>
          <w:color w:val="002060"/>
          <w:sz w:val="16"/>
          <w:szCs w:val="16"/>
        </w:rPr>
      </w:pPr>
      <w:r w:rsidRPr="00DE096C">
        <w:rPr>
          <w:rStyle w:val="ucoz-forum-post"/>
          <w:rFonts w:eastAsiaTheme="majorEastAsia"/>
          <w:bCs/>
          <w:color w:val="002060"/>
          <w:sz w:val="16"/>
          <w:szCs w:val="16"/>
        </w:rPr>
        <w:t xml:space="preserve">16 (29) октября </w:t>
      </w:r>
      <w:r w:rsidRPr="00DE096C">
        <w:rPr>
          <w:bCs/>
          <w:color w:val="002060"/>
          <w:sz w:val="16"/>
          <w:szCs w:val="16"/>
        </w:rPr>
        <w:t>в 1914 году германо-турецкий флот напал на русские суда в Черном море и бомбардировал Одессу, Феодосию, Севастополь и Новороссийск. Таким образом Турция, ранее провозгласившая нейтралитет, вступила в войну на стороне Германии, с которой 2 августа тайно подписала договор, по которому обязалась выступить в качестве ее союзника и фактически передать свою армию в распоряжение германского генерального штаба. В день подписания этого договора турецкое правительство объявило всеобщую мобилизацию и стало готовиться к войне (14814).</w:t>
      </w:r>
    </w:p>
    <w:p w14:paraId="5A0C09FF" w14:textId="77777777" w:rsidR="00B92FA5" w:rsidRPr="00DE096C" w:rsidRDefault="00B92FA5" w:rsidP="00D45A46">
      <w:pPr>
        <w:jc w:val="both"/>
        <w:rPr>
          <w:bCs/>
          <w:color w:val="002060"/>
          <w:sz w:val="16"/>
          <w:szCs w:val="16"/>
        </w:rPr>
      </w:pPr>
    </w:p>
    <w:p w14:paraId="1AE87194" w14:textId="77777777" w:rsidR="00B92FA5" w:rsidRPr="00DE096C" w:rsidRDefault="00B92FA5" w:rsidP="00D45A46">
      <w:pPr>
        <w:jc w:val="both"/>
        <w:rPr>
          <w:bCs/>
          <w:color w:val="002060"/>
          <w:sz w:val="16"/>
          <w:szCs w:val="16"/>
        </w:rPr>
      </w:pPr>
      <w:r w:rsidRPr="00DE096C">
        <w:rPr>
          <w:bCs/>
          <w:color w:val="002060"/>
          <w:sz w:val="16"/>
          <w:szCs w:val="16"/>
        </w:rPr>
        <w:t>16 (29) октября 1914 г. крейсер «Гебен», обстреливая Севастополь, ходил по кромке инженерного минного заграждения (морские крепости в России подчинялись Военному ведомству, а не флоту). Однако комната минной станции оказалась по неясной причине закрытой, и минное заграждение так и не было включено. С начала 70-х гг. XIX в. русские береговые крепости Кронштадт, Свеаборг, Севастополь, Керчь, Батум, Владивосток и другие располагали сотнями морских мин, которые были связаны кабелями с «минными станциями» (наземными пунктами управления) (15117).</w:t>
      </w:r>
    </w:p>
    <w:p w14:paraId="6259EA7E" w14:textId="77777777" w:rsidR="00B92FA5" w:rsidRPr="00DE096C" w:rsidRDefault="00B92FA5" w:rsidP="00D45A46">
      <w:pPr>
        <w:jc w:val="both"/>
        <w:rPr>
          <w:bCs/>
          <w:color w:val="002060"/>
          <w:sz w:val="16"/>
          <w:szCs w:val="16"/>
        </w:rPr>
      </w:pPr>
    </w:p>
    <w:p w14:paraId="2BC481EB" w14:textId="3E0F9C88" w:rsidR="004105F0" w:rsidRPr="00DE096C" w:rsidRDefault="00D822CB" w:rsidP="00D45A46">
      <w:pPr>
        <w:jc w:val="both"/>
        <w:rPr>
          <w:bCs/>
          <w:color w:val="002060"/>
          <w:sz w:val="16"/>
          <w:szCs w:val="16"/>
        </w:rPr>
      </w:pPr>
      <w:r w:rsidRPr="00DE096C">
        <w:rPr>
          <w:rStyle w:val="ucoz-forum-post"/>
          <w:rFonts w:eastAsiaTheme="majorEastAsia"/>
          <w:bCs/>
          <w:color w:val="002060"/>
          <w:sz w:val="16"/>
          <w:szCs w:val="16"/>
        </w:rPr>
        <w:t>16 (</w:t>
      </w:r>
      <w:r w:rsidR="004105F0" w:rsidRPr="00DE096C">
        <w:rPr>
          <w:rStyle w:val="ucoz-forum-post"/>
          <w:rFonts w:eastAsiaTheme="majorEastAsia"/>
          <w:bCs/>
          <w:color w:val="002060"/>
          <w:sz w:val="16"/>
          <w:szCs w:val="16"/>
        </w:rPr>
        <w:t>29</w:t>
      </w:r>
      <w:r w:rsidRPr="00DE096C">
        <w:rPr>
          <w:rStyle w:val="ucoz-forum-post"/>
          <w:rFonts w:eastAsiaTheme="majorEastAsia"/>
          <w:bCs/>
          <w:color w:val="002060"/>
          <w:sz w:val="16"/>
          <w:szCs w:val="16"/>
        </w:rPr>
        <w:t>)</w:t>
      </w:r>
      <w:r w:rsidR="004105F0" w:rsidRPr="00DE096C">
        <w:rPr>
          <w:rStyle w:val="ucoz-forum-post"/>
          <w:rFonts w:eastAsiaTheme="majorEastAsia"/>
          <w:bCs/>
          <w:color w:val="002060"/>
          <w:sz w:val="16"/>
          <w:szCs w:val="16"/>
        </w:rPr>
        <w:t xml:space="preserve"> октября </w:t>
      </w:r>
      <w:r w:rsidR="004105F0" w:rsidRPr="00DE096C">
        <w:rPr>
          <w:bCs/>
          <w:color w:val="002060"/>
          <w:sz w:val="16"/>
          <w:szCs w:val="16"/>
        </w:rPr>
        <w:t>в 1914 году в Черном море на немецких минах подорвались русские пароходы «Казбек» и «Ялта» (14814).</w:t>
      </w:r>
    </w:p>
    <w:p w14:paraId="2CB8EA77" w14:textId="77777777" w:rsidR="004105F0" w:rsidRPr="00DE096C" w:rsidRDefault="004105F0" w:rsidP="00D45A46">
      <w:pPr>
        <w:jc w:val="both"/>
        <w:rPr>
          <w:bCs/>
          <w:color w:val="002060"/>
          <w:sz w:val="16"/>
          <w:szCs w:val="16"/>
        </w:rPr>
      </w:pPr>
    </w:p>
    <w:p w14:paraId="4DA7B6D6" w14:textId="64438FFC" w:rsidR="00D822CB" w:rsidRPr="00DE096C" w:rsidRDefault="00D822CB" w:rsidP="00D45A46">
      <w:pPr>
        <w:shd w:val="clear" w:color="auto" w:fill="FFFFFF"/>
        <w:jc w:val="both"/>
        <w:rPr>
          <w:bCs/>
          <w:i/>
          <w:color w:val="002060"/>
          <w:sz w:val="16"/>
          <w:szCs w:val="16"/>
        </w:rPr>
      </w:pPr>
      <w:r w:rsidRPr="00DE096C">
        <w:rPr>
          <w:bCs/>
          <w:i/>
          <w:color w:val="002060"/>
          <w:sz w:val="16"/>
          <w:szCs w:val="16"/>
        </w:rPr>
        <w:t>Авиация:</w:t>
      </w:r>
    </w:p>
    <w:p w14:paraId="3800DAB5" w14:textId="77777777" w:rsidR="00D822CB" w:rsidRPr="00DE096C" w:rsidRDefault="00D822CB" w:rsidP="00D45A46">
      <w:pPr>
        <w:shd w:val="clear" w:color="auto" w:fill="FFFFFF"/>
        <w:jc w:val="both"/>
        <w:rPr>
          <w:bCs/>
          <w:i/>
          <w:color w:val="002060"/>
          <w:sz w:val="16"/>
          <w:szCs w:val="16"/>
        </w:rPr>
      </w:pPr>
    </w:p>
    <w:p w14:paraId="13D33350" w14:textId="33955347" w:rsidR="00D822CB" w:rsidRPr="00DE096C" w:rsidRDefault="00D822CB" w:rsidP="00D45A46">
      <w:pPr>
        <w:jc w:val="both"/>
        <w:rPr>
          <w:bCs/>
          <w:color w:val="002060"/>
          <w:sz w:val="16"/>
          <w:szCs w:val="16"/>
          <w:lang w:bidi="en-US"/>
        </w:rPr>
      </w:pPr>
      <w:r w:rsidRPr="00DE096C">
        <w:rPr>
          <w:bCs/>
          <w:color w:val="002060"/>
          <w:sz w:val="16"/>
          <w:szCs w:val="16"/>
          <w:lang w:bidi="en-US"/>
        </w:rPr>
        <w:t>18 (31) октября 1914 г. Россия ответила объявлением войны Турции. Русская Кавказская армия со штабом в Карсе имела Карсскую крепость АО и 1-ю Кавказскую воздухоплавательную роту, также в Карсе (23525).</w:t>
      </w:r>
    </w:p>
    <w:p w14:paraId="28644A92" w14:textId="77777777" w:rsidR="00D822CB" w:rsidRPr="00DE096C" w:rsidRDefault="00D822CB" w:rsidP="00D45A46">
      <w:pPr>
        <w:jc w:val="both"/>
        <w:rPr>
          <w:bCs/>
          <w:color w:val="002060"/>
          <w:sz w:val="16"/>
          <w:szCs w:val="16"/>
          <w:lang w:bidi="en-US"/>
        </w:rPr>
      </w:pPr>
    </w:p>
    <w:p w14:paraId="2D20D0DD" w14:textId="361E005E" w:rsidR="004E027A" w:rsidRPr="00DE096C" w:rsidRDefault="004E027A" w:rsidP="00D45A46">
      <w:pPr>
        <w:shd w:val="clear" w:color="auto" w:fill="FFFFFF"/>
        <w:jc w:val="both"/>
        <w:rPr>
          <w:bCs/>
          <w:i/>
          <w:color w:val="002060"/>
          <w:sz w:val="16"/>
          <w:szCs w:val="16"/>
        </w:rPr>
      </w:pPr>
      <w:r w:rsidRPr="00DE096C">
        <w:rPr>
          <w:bCs/>
          <w:i/>
          <w:color w:val="002060"/>
          <w:sz w:val="16"/>
          <w:szCs w:val="16"/>
        </w:rPr>
        <w:t>Авиация:</w:t>
      </w:r>
    </w:p>
    <w:p w14:paraId="5EF98401" w14:textId="77777777" w:rsidR="004E027A" w:rsidRPr="00DE096C" w:rsidRDefault="004E027A" w:rsidP="00D45A46">
      <w:pPr>
        <w:jc w:val="both"/>
        <w:rPr>
          <w:bCs/>
          <w:color w:val="002060"/>
          <w:sz w:val="16"/>
          <w:szCs w:val="16"/>
        </w:rPr>
      </w:pPr>
    </w:p>
    <w:p w14:paraId="254A036A" w14:textId="4A984727" w:rsidR="004E027A" w:rsidRPr="00DE096C" w:rsidRDefault="004E027A" w:rsidP="00D45A46">
      <w:pPr>
        <w:jc w:val="both"/>
        <w:rPr>
          <w:bCs/>
          <w:color w:val="002060"/>
          <w:sz w:val="16"/>
          <w:szCs w:val="16"/>
        </w:rPr>
      </w:pPr>
      <w:r w:rsidRPr="00DE096C">
        <w:rPr>
          <w:bCs/>
          <w:color w:val="002060"/>
          <w:sz w:val="16"/>
          <w:szCs w:val="16"/>
        </w:rPr>
        <w:t>19 октября (1 ноября) 1914 г. две батареи ПВО были переданы в состав Варшавской артиллерии и прибыли в крепость из Кронштадта. Сразу же началась постройка позиций для этих батарей на Мокотовском поле (аэродром) и в форте Сергии (опять-таки южное направление). Координация действий противовоздушной артиллерии была возложена на временного командующего Варшавской крепостной артиллерией полковника П.А. Глазкова.</w:t>
      </w:r>
    </w:p>
    <w:p w14:paraId="2371C650" w14:textId="77777777" w:rsidR="004E027A" w:rsidRPr="00DE096C" w:rsidRDefault="004E027A" w:rsidP="00D45A46">
      <w:pPr>
        <w:jc w:val="both"/>
        <w:rPr>
          <w:bCs/>
          <w:i/>
          <w:color w:val="002060"/>
          <w:sz w:val="16"/>
          <w:szCs w:val="16"/>
        </w:rPr>
      </w:pPr>
    </w:p>
    <w:p w14:paraId="3A536637" w14:textId="46B4153E" w:rsidR="00A427F0" w:rsidRPr="00DE096C" w:rsidRDefault="00A427F0" w:rsidP="00D45A46">
      <w:pPr>
        <w:jc w:val="both"/>
        <w:rPr>
          <w:bCs/>
          <w:color w:val="002060"/>
          <w:sz w:val="16"/>
          <w:szCs w:val="16"/>
        </w:rPr>
      </w:pPr>
      <w:r w:rsidRPr="00DE096C">
        <w:rPr>
          <w:bCs/>
          <w:color w:val="002060"/>
          <w:sz w:val="16"/>
          <w:szCs w:val="16"/>
        </w:rPr>
        <w:t>19 октября (1 ноября) 1914 г. русский летчик из карабина, взятого им в полет, сбил одного из трех появившихся над г. Варшава (царство Польское) аэропланов. Тем не менее попадание из винтовки или пистолета в летчика, пилотировавшего вражеский ЛА, а именно так его можно было сбить одиночным выстрелом, следует считать явлением случайным. Необходимо было продолжать начатые перед войной работы по вооружению аэроплана скорострельным автоматическим оружием (23405).</w:t>
      </w:r>
    </w:p>
    <w:p w14:paraId="2C8516D6" w14:textId="77777777" w:rsidR="00A427F0" w:rsidRPr="00DE096C" w:rsidRDefault="00A427F0" w:rsidP="00D45A46">
      <w:pPr>
        <w:jc w:val="both"/>
        <w:rPr>
          <w:bCs/>
          <w:color w:val="002060"/>
          <w:sz w:val="16"/>
          <w:szCs w:val="16"/>
          <w:lang w:bidi="ru-RU"/>
        </w:rPr>
      </w:pPr>
    </w:p>
    <w:p w14:paraId="7797BA81"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Армия:</w:t>
      </w:r>
    </w:p>
    <w:p w14:paraId="12DAECFD" w14:textId="77777777" w:rsidR="00B67D7C" w:rsidRPr="00DE096C" w:rsidRDefault="00B67D7C" w:rsidP="00D45A46">
      <w:pPr>
        <w:shd w:val="clear" w:color="auto" w:fill="FFFFFF"/>
        <w:jc w:val="both"/>
        <w:rPr>
          <w:bCs/>
          <w:i/>
          <w:color w:val="002060"/>
          <w:sz w:val="16"/>
          <w:szCs w:val="16"/>
        </w:rPr>
      </w:pPr>
    </w:p>
    <w:p w14:paraId="73C25EC7" w14:textId="1303D0F1" w:rsidR="00B67D7C" w:rsidRPr="00DE096C" w:rsidRDefault="00B67D7C" w:rsidP="00D45A46">
      <w:pPr>
        <w:jc w:val="both"/>
        <w:rPr>
          <w:bCs/>
          <w:color w:val="002060"/>
          <w:sz w:val="16"/>
          <w:szCs w:val="16"/>
        </w:rPr>
      </w:pPr>
      <w:r w:rsidRPr="00DE096C">
        <w:rPr>
          <w:bCs/>
          <w:color w:val="002060"/>
          <w:sz w:val="16"/>
          <w:szCs w:val="16"/>
        </w:rPr>
        <w:t xml:space="preserve">19 октября </w:t>
      </w:r>
      <w:r w:rsidR="004E027A" w:rsidRPr="00DE096C">
        <w:rPr>
          <w:bCs/>
          <w:color w:val="002060"/>
          <w:sz w:val="16"/>
          <w:szCs w:val="16"/>
        </w:rPr>
        <w:t xml:space="preserve">(1 октября) </w:t>
      </w:r>
      <w:r w:rsidRPr="00DE096C">
        <w:rPr>
          <w:bCs/>
          <w:color w:val="002060"/>
          <w:sz w:val="16"/>
          <w:szCs w:val="16"/>
        </w:rPr>
        <w:t xml:space="preserve">1914 г., после напутственного молебна на Семеновском плацу, </w:t>
      </w:r>
      <w:r w:rsidR="004E027A" w:rsidRPr="00DE096C">
        <w:rPr>
          <w:bCs/>
          <w:color w:val="002060"/>
          <w:sz w:val="16"/>
          <w:szCs w:val="16"/>
        </w:rPr>
        <w:t>1-я пулеметная автомобильная рота</w:t>
      </w:r>
      <w:r w:rsidRPr="00DE096C">
        <w:rPr>
          <w:bCs/>
          <w:color w:val="002060"/>
          <w:sz w:val="16"/>
          <w:szCs w:val="16"/>
        </w:rPr>
        <w:t xml:space="preserve"> отправилась на фронт и вошла в оперативное подчинение штаба 2-й армии. Так была создана первая бронеавтомобильная войсковая часть в мире! Боевое крещение рота приняла в боях под Лодзью 9—10 ноября 1914 г. в составе Ловичского отряда генерал-лейтенанта В.А. Слюсаренко.</w:t>
      </w:r>
    </w:p>
    <w:p w14:paraId="02BAF354" w14:textId="77777777" w:rsidR="00B67D7C" w:rsidRPr="00DE096C" w:rsidRDefault="00B67D7C" w:rsidP="00D45A46">
      <w:pPr>
        <w:jc w:val="both"/>
        <w:rPr>
          <w:bCs/>
          <w:color w:val="002060"/>
          <w:sz w:val="16"/>
          <w:szCs w:val="16"/>
        </w:rPr>
      </w:pPr>
      <w:r w:rsidRPr="00DE096C">
        <w:rPr>
          <w:bCs/>
          <w:color w:val="002060"/>
          <w:sz w:val="16"/>
          <w:szCs w:val="16"/>
        </w:rPr>
        <w:t>Осенью 1914 г. Военное министерство ассигновало колоссальные средства для закупки броневиков в Англии и Франции и их постройки на отечественных заводах. С 21 декабря 1914 г. началось формирование отдельных автомо-бильных пулеметных взводов. Большая заслуга в развитии нового рода войск принадлежала, несомненно, упомянутым выше энтузиастам автомобилизации Русской армии, которых поддержал начальник Офицерской стрелковой школы генерал-майор Н.М. Филатов.</w:t>
      </w:r>
    </w:p>
    <w:p w14:paraId="59159AE1" w14:textId="0DCA3E7C" w:rsidR="00B67D7C" w:rsidRPr="00DE096C" w:rsidRDefault="00B67D7C" w:rsidP="00D45A46">
      <w:pPr>
        <w:jc w:val="both"/>
        <w:rPr>
          <w:bCs/>
          <w:color w:val="002060"/>
          <w:sz w:val="16"/>
          <w:szCs w:val="16"/>
        </w:rPr>
      </w:pPr>
      <w:r w:rsidRPr="00DE096C">
        <w:rPr>
          <w:bCs/>
          <w:color w:val="002060"/>
          <w:sz w:val="16"/>
          <w:szCs w:val="16"/>
        </w:rPr>
        <w:t>Следует признать, что эффект от несущественных действий немецких боевых машин в Восточной Пруссии, не столько тактический, сколько психологический, имел место. Но не совсем тот, на который рассчитывали немцы. Бурный бронеавтомобильный рост в Русской армии тому подтверждение. Сообщения о немецких броневиках, несомненно, дали допол-нительный толчок развитию российского броневого дела. Вероятно, именно для того, чтобы убедить консервативные круги русского коман-дования в необходимости внедрения броневых частей в армию, сообщения о вражеских бро-невиках сознательно преувеличивались. Разработки русским командованием мер борьбы с бронеавтомобилями противника также в определенной мере преследовали эту цель. Таким образом, и раздуваемый с подачи сторонников активной моторизации армии миф о многочисленных немецких броневиках в прессе можно считать частью плана по развитию нового рода войск в Русской Императорской армии.</w:t>
      </w:r>
    </w:p>
    <w:p w14:paraId="2CE3A0E1" w14:textId="2D66ED77" w:rsidR="00B67D7C" w:rsidRPr="00DE096C" w:rsidRDefault="00B67D7C" w:rsidP="00D45A46">
      <w:pPr>
        <w:jc w:val="both"/>
        <w:rPr>
          <w:bCs/>
          <w:color w:val="002060"/>
          <w:sz w:val="16"/>
          <w:szCs w:val="16"/>
        </w:rPr>
      </w:pPr>
      <w:r w:rsidRPr="00DE096C">
        <w:rPr>
          <w:bCs/>
          <w:color w:val="002060"/>
          <w:sz w:val="16"/>
          <w:szCs w:val="16"/>
        </w:rPr>
        <w:t>Типичным примером использования «страшилки» о германских броневиках в целях развития нового рода войск является рапорт Былинского. Весной 1915 г. штабс-капитан В.Р. Былинский обратился в штаб 10-й армии с рапортом, в котором писал: «Вступая в бой с противником, отлично вооруженным брониро-ванными пушечными и пулеметными батарея-ми на автомобилях, и не имея в своей армии аналогичных средств вооружения, сразу несли от их губительных действий большие потери, в моральном же отношении потери от падения духа в войсках, сознающих свою абсолютную беспомощность, были неисчислимы [...].</w:t>
      </w:r>
    </w:p>
    <w:p w14:paraId="339F9AE0" w14:textId="77777777" w:rsidR="00B67D7C" w:rsidRPr="00DE096C" w:rsidRDefault="00B67D7C" w:rsidP="00D45A46">
      <w:pPr>
        <w:jc w:val="both"/>
        <w:rPr>
          <w:bCs/>
          <w:color w:val="002060"/>
          <w:sz w:val="16"/>
          <w:szCs w:val="16"/>
        </w:rPr>
      </w:pPr>
      <w:r w:rsidRPr="00DE096C">
        <w:rPr>
          <w:bCs/>
          <w:color w:val="002060"/>
          <w:sz w:val="16"/>
          <w:szCs w:val="16"/>
        </w:rPr>
        <w:t>Совершенное отсутствие в районе 1-й и 10-й армий, где я с начала кампании пробыл в строю, каких бы то ни было броневых авто-мобилей, побудили меня сформировать своей конструкции и на свой счет отдельный авто- пушечно-пулеметный взвод [...]».</w:t>
      </w:r>
    </w:p>
    <w:p w14:paraId="0D0553A0" w14:textId="77777777" w:rsidR="00B67D7C" w:rsidRPr="00DE096C" w:rsidRDefault="00B67D7C" w:rsidP="00D45A46">
      <w:pPr>
        <w:jc w:val="both"/>
        <w:rPr>
          <w:bCs/>
          <w:color w:val="002060"/>
          <w:sz w:val="16"/>
          <w:szCs w:val="16"/>
        </w:rPr>
      </w:pPr>
      <w:r w:rsidRPr="00DE096C">
        <w:rPr>
          <w:bCs/>
          <w:color w:val="002060"/>
          <w:sz w:val="16"/>
          <w:szCs w:val="16"/>
        </w:rPr>
        <w:t>Инициативу Былинского поддержали — ему выделили два трофейных автомобиля «Мерседес» и откомандировали в Петроград на Обуховский завод для постройки броневиков и формирования «внепланового» пулеметно- автомобильного взвода. Заручившись под-держкой влиятельного приверженца мотори-зации армии генерал-майора свиты Его Импе-раторского Величества князя В.Н. Орлова, он вскоре получил и третью машину — немецкий грузовик «Ллойд» (Ыоуд) выпуска 1911 г. 23 ав-густа 1915 г. 25-й автопулеметный взвод под командованием Былинского был отправлен в 5-ю армию на Северный фронт.</w:t>
      </w:r>
    </w:p>
    <w:p w14:paraId="2065E935" w14:textId="38220FF0" w:rsidR="00B67D7C" w:rsidRPr="00DE096C" w:rsidRDefault="00B67D7C" w:rsidP="00D45A46">
      <w:pPr>
        <w:jc w:val="both"/>
        <w:rPr>
          <w:bCs/>
          <w:color w:val="002060"/>
          <w:sz w:val="16"/>
          <w:szCs w:val="16"/>
        </w:rPr>
      </w:pPr>
      <w:r w:rsidRPr="00DE096C">
        <w:rPr>
          <w:bCs/>
          <w:color w:val="002060"/>
          <w:sz w:val="16"/>
          <w:szCs w:val="16"/>
        </w:rPr>
        <w:t xml:space="preserve">По приказу начальника Штаба Верховного Главнокомандующего от 7 июня 1916 г. пулеметные автомобильные взводы были объеди-нены в броневые автомобильные дивизионы из расчета один дивизион на армию. При этом взвод переименовывался в отделение. На Кавказском фронте была сохранена взводная организация бронеавтомобильных частей. На 1 сентября 1916 г. в России действовали 12 линейных броневых автомобильных дивизионов Русской армии, а также бельгийский и британский бронедивизионы; в Петрограде располагался Запасной бронедивизион. В начале 1917 г. к ним добавился дивизион особого назначения. Бронеавтомобили </w:t>
      </w:r>
      <w:r w:rsidRPr="00DE096C">
        <w:rPr>
          <w:bCs/>
          <w:color w:val="002060"/>
          <w:sz w:val="16"/>
          <w:szCs w:val="16"/>
        </w:rPr>
        <w:lastRenderedPageBreak/>
        <w:t>получили весьма широкое распространение в Русской армии. До октября 1917 г. организация подразделений, тактика боевого использования и количество бронеавтомобилей во многом превосходили показатели армий других стран.</w:t>
      </w:r>
    </w:p>
    <w:p w14:paraId="00B0660F" w14:textId="778B5AA9" w:rsidR="00B67D7C" w:rsidRPr="00DE096C" w:rsidRDefault="00B67D7C" w:rsidP="00D45A46">
      <w:pPr>
        <w:jc w:val="both"/>
        <w:rPr>
          <w:bCs/>
          <w:color w:val="002060"/>
          <w:sz w:val="16"/>
          <w:szCs w:val="16"/>
        </w:rPr>
      </w:pPr>
      <w:r w:rsidRPr="00DE096C">
        <w:rPr>
          <w:bCs/>
          <w:color w:val="002060"/>
          <w:sz w:val="16"/>
          <w:szCs w:val="16"/>
        </w:rPr>
        <w:t>Что касается немцев, то только 27 октября 1914 г., когда 1-я автомобильная пулеметная рота Русской армии уже прибыла на фронт, военное министерство Пруссии обязало Транспортно-техническую испытательную комиссию разработать план мероприятий по постройке бронеавтомобилей и формированию броневых частей. К этому подключили также Оржейную испытательную комиссию и Отдел «А2» (Отдел инфантерии). 3 ноября совместными усилиями были сформулированы состоящие из 16 пунктов требования к бронеавтомобилям. После их одобрения военным министерством на заводах «Бюссинг», «Даймлер» и «Эрхардт» разместили заказ на изготовление трех бро-нированных машин (12256).</w:t>
      </w:r>
    </w:p>
    <w:p w14:paraId="0A47EBB9" w14:textId="77777777" w:rsidR="00B67D7C" w:rsidRPr="00DE096C" w:rsidRDefault="00B67D7C" w:rsidP="00D45A46">
      <w:pPr>
        <w:jc w:val="both"/>
        <w:rPr>
          <w:bCs/>
          <w:color w:val="002060"/>
          <w:sz w:val="16"/>
          <w:szCs w:val="16"/>
        </w:rPr>
      </w:pPr>
    </w:p>
    <w:p w14:paraId="042ADA60" w14:textId="77777777" w:rsidR="004402F3" w:rsidRPr="00DE096C" w:rsidRDefault="004402F3" w:rsidP="00D45A46">
      <w:pPr>
        <w:jc w:val="both"/>
        <w:rPr>
          <w:bCs/>
          <w:i/>
          <w:color w:val="002060"/>
          <w:sz w:val="16"/>
          <w:szCs w:val="16"/>
        </w:rPr>
      </w:pPr>
      <w:r w:rsidRPr="00DE096C">
        <w:rPr>
          <w:bCs/>
          <w:i/>
          <w:color w:val="002060"/>
          <w:sz w:val="16"/>
          <w:szCs w:val="16"/>
        </w:rPr>
        <w:t>Жизнь и внутренняя политика:</w:t>
      </w:r>
    </w:p>
    <w:p w14:paraId="7B083C65" w14:textId="77777777" w:rsidR="004402F3" w:rsidRPr="00DE096C" w:rsidRDefault="004402F3" w:rsidP="00D45A46">
      <w:pPr>
        <w:jc w:val="both"/>
        <w:rPr>
          <w:bCs/>
          <w:i/>
          <w:color w:val="002060"/>
          <w:sz w:val="16"/>
          <w:szCs w:val="16"/>
        </w:rPr>
      </w:pPr>
    </w:p>
    <w:p w14:paraId="0601FB00" w14:textId="3D4D1FBC" w:rsidR="004402F3" w:rsidRPr="00DE096C" w:rsidRDefault="004402F3" w:rsidP="00D45A46">
      <w:pPr>
        <w:jc w:val="both"/>
        <w:rPr>
          <w:bCs/>
          <w:color w:val="002060"/>
          <w:sz w:val="16"/>
          <w:szCs w:val="16"/>
        </w:rPr>
      </w:pPr>
      <w:r w:rsidRPr="00DE096C">
        <w:rPr>
          <w:rStyle w:val="ucoz-forum-post"/>
          <w:rFonts w:eastAsiaTheme="majorEastAsia"/>
          <w:bCs/>
          <w:color w:val="002060"/>
          <w:sz w:val="16"/>
          <w:szCs w:val="16"/>
        </w:rPr>
        <w:t xml:space="preserve">19 октября </w:t>
      </w:r>
      <w:r w:rsidR="004E027A" w:rsidRPr="00DE096C">
        <w:rPr>
          <w:rStyle w:val="ucoz-forum-post"/>
          <w:rFonts w:eastAsiaTheme="majorEastAsia"/>
          <w:bCs/>
          <w:color w:val="002060"/>
          <w:sz w:val="16"/>
          <w:szCs w:val="16"/>
        </w:rPr>
        <w:t xml:space="preserve">(1 ноября) </w:t>
      </w:r>
      <w:r w:rsidRPr="00DE096C">
        <w:rPr>
          <w:bCs/>
          <w:color w:val="002060"/>
          <w:sz w:val="16"/>
          <w:szCs w:val="16"/>
        </w:rPr>
        <w:t>в 1914 году опубликован манифест ЦК РСДРП "Война и российская социал-демократия". Определил характер мировой войны, как империалистический; тактику большевиков и задачу международного пролетариата - превращению империалистической войны в гражданскую (14804).</w:t>
      </w:r>
    </w:p>
    <w:p w14:paraId="1506D418" w14:textId="77777777" w:rsidR="004402F3" w:rsidRPr="00DE096C" w:rsidRDefault="004402F3" w:rsidP="00D45A46">
      <w:pPr>
        <w:jc w:val="both"/>
        <w:rPr>
          <w:bCs/>
          <w:color w:val="002060"/>
          <w:sz w:val="16"/>
          <w:szCs w:val="16"/>
        </w:rPr>
      </w:pPr>
    </w:p>
    <w:p w14:paraId="42034CD3"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Внешняя политика:</w:t>
      </w:r>
    </w:p>
    <w:p w14:paraId="13A705A9" w14:textId="77777777" w:rsidR="00B67D7C" w:rsidRPr="00DE096C" w:rsidRDefault="00B67D7C" w:rsidP="00D45A46">
      <w:pPr>
        <w:shd w:val="clear" w:color="auto" w:fill="FFFFFF"/>
        <w:jc w:val="both"/>
        <w:rPr>
          <w:bCs/>
          <w:i/>
          <w:color w:val="002060"/>
          <w:sz w:val="16"/>
          <w:szCs w:val="16"/>
        </w:rPr>
      </w:pPr>
    </w:p>
    <w:p w14:paraId="45217FF5" w14:textId="77777777" w:rsidR="004E027A" w:rsidRPr="00DE096C" w:rsidRDefault="004E027A" w:rsidP="00D45A46">
      <w:pPr>
        <w:jc w:val="both"/>
        <w:rPr>
          <w:bCs/>
          <w:color w:val="002060"/>
          <w:sz w:val="16"/>
          <w:szCs w:val="16"/>
        </w:rPr>
      </w:pPr>
      <w:r w:rsidRPr="00DE096C">
        <w:rPr>
          <w:bCs/>
          <w:color w:val="002060"/>
          <w:sz w:val="16"/>
          <w:szCs w:val="16"/>
        </w:rPr>
        <w:t>19 октября (1 ноября) 1914 Османская империя вступает в Первую мировую войну, когда Россия объявляет ей войну (20337).</w:t>
      </w:r>
    </w:p>
    <w:p w14:paraId="3136BB30" w14:textId="77777777" w:rsidR="004E027A" w:rsidRPr="00DE096C" w:rsidRDefault="004E027A" w:rsidP="00D45A46">
      <w:pPr>
        <w:jc w:val="both"/>
        <w:rPr>
          <w:bCs/>
          <w:color w:val="002060"/>
          <w:sz w:val="16"/>
          <w:szCs w:val="16"/>
        </w:rPr>
      </w:pPr>
    </w:p>
    <w:p w14:paraId="0990D10E" w14:textId="2D0F1E5C"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19 октября (1 ноября) 1914 </w:t>
      </w:r>
      <w:r w:rsidR="004E027A" w:rsidRPr="00DE096C">
        <w:rPr>
          <w:bCs/>
          <w:color w:val="002060"/>
          <w:sz w:val="16"/>
          <w:szCs w:val="16"/>
        </w:rPr>
        <w:t>г. ч</w:t>
      </w:r>
      <w:r w:rsidRPr="00DE096C">
        <w:rPr>
          <w:bCs/>
          <w:color w:val="002060"/>
          <w:sz w:val="16"/>
          <w:szCs w:val="16"/>
        </w:rPr>
        <w:t>ерез трое суток</w:t>
      </w:r>
      <w:r w:rsidR="004E027A" w:rsidRPr="00DE096C">
        <w:rPr>
          <w:bCs/>
          <w:color w:val="002060"/>
          <w:sz w:val="16"/>
          <w:szCs w:val="16"/>
        </w:rPr>
        <w:t xml:space="preserve"> после того, как</w:t>
      </w:r>
      <w:r w:rsidRPr="00DE096C">
        <w:rPr>
          <w:bCs/>
          <w:color w:val="002060"/>
          <w:sz w:val="16"/>
          <w:szCs w:val="16"/>
        </w:rPr>
        <w:t xml:space="preserve"> </w:t>
      </w:r>
      <w:r w:rsidR="004E027A" w:rsidRPr="00DE096C">
        <w:rPr>
          <w:bCs/>
          <w:color w:val="002060"/>
          <w:sz w:val="16"/>
          <w:szCs w:val="16"/>
        </w:rPr>
        <w:t>германо-турецкий флот совершил провокаци</w:t>
      </w:r>
      <w:r w:rsidR="004E027A" w:rsidRPr="00DE096C">
        <w:rPr>
          <w:bCs/>
          <w:color w:val="002060"/>
          <w:sz w:val="16"/>
          <w:szCs w:val="16"/>
        </w:rPr>
        <w:softHyphen/>
        <w:t xml:space="preserve">онную набеговую операцию на Севастополь и другие русские порты, </w:t>
      </w:r>
      <w:r w:rsidRPr="00DE096C">
        <w:rPr>
          <w:bCs/>
          <w:color w:val="002060"/>
          <w:sz w:val="16"/>
          <w:szCs w:val="16"/>
        </w:rPr>
        <w:t>Россия объявила Турции войну, что привело к образованию Кавказского фронта и открытию бое</w:t>
      </w:r>
      <w:r w:rsidRPr="00DE096C">
        <w:rPr>
          <w:bCs/>
          <w:color w:val="002060"/>
          <w:sz w:val="16"/>
          <w:szCs w:val="16"/>
        </w:rPr>
        <w:softHyphen/>
        <w:t>вых действий на море.</w:t>
      </w:r>
    </w:p>
    <w:p w14:paraId="13B0C37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Первые месяцы войны на Балтийском и Черноморском те</w:t>
      </w:r>
      <w:r w:rsidRPr="00DE096C">
        <w:rPr>
          <w:bCs/>
          <w:color w:val="002060"/>
          <w:sz w:val="16"/>
          <w:szCs w:val="16"/>
        </w:rPr>
        <w:softHyphen/>
        <w:t>атрах подтвердили недостаточную подготовленность отече</w:t>
      </w:r>
      <w:r w:rsidRPr="00DE096C">
        <w:rPr>
          <w:bCs/>
          <w:color w:val="002060"/>
          <w:sz w:val="16"/>
          <w:szCs w:val="16"/>
        </w:rPr>
        <w:softHyphen/>
        <w:t>ственного флота, пребывавшего в начальной стадии обновле</w:t>
      </w:r>
      <w:r w:rsidRPr="00DE096C">
        <w:rPr>
          <w:bCs/>
          <w:color w:val="002060"/>
          <w:sz w:val="16"/>
          <w:szCs w:val="16"/>
        </w:rPr>
        <w:softHyphen/>
        <w:t>ния разнородных сил. Совершенно не окрепшая еще морская авиация испытывала серьезные трудности и нуждалась в ус</w:t>
      </w:r>
      <w:r w:rsidRPr="00DE096C">
        <w:rPr>
          <w:bCs/>
          <w:color w:val="002060"/>
          <w:sz w:val="16"/>
          <w:szCs w:val="16"/>
        </w:rPr>
        <w:softHyphen/>
        <w:t>корении темпов своего развития с учетом сложившихся об</w:t>
      </w:r>
      <w:r w:rsidRPr="00DE096C">
        <w:rPr>
          <w:bCs/>
          <w:color w:val="002060"/>
          <w:sz w:val="16"/>
          <w:szCs w:val="16"/>
        </w:rPr>
        <w:softHyphen/>
        <w:t>стоятельств и конкретных потребностей (11283).</w:t>
      </w:r>
    </w:p>
    <w:p w14:paraId="7F4709E9" w14:textId="77777777" w:rsidR="00B67D7C" w:rsidRPr="00DE096C" w:rsidRDefault="00B67D7C" w:rsidP="00D45A46">
      <w:pPr>
        <w:shd w:val="clear" w:color="auto" w:fill="FFFFFF"/>
        <w:jc w:val="both"/>
        <w:rPr>
          <w:bCs/>
          <w:color w:val="002060"/>
          <w:sz w:val="16"/>
          <w:szCs w:val="16"/>
        </w:rPr>
      </w:pPr>
    </w:p>
    <w:p w14:paraId="63542881" w14:textId="77777777" w:rsidR="00970D37" w:rsidRPr="00DE096C" w:rsidRDefault="00970D37" w:rsidP="00D45A46">
      <w:pPr>
        <w:jc w:val="both"/>
        <w:rPr>
          <w:bCs/>
          <w:i/>
          <w:color w:val="002060"/>
          <w:sz w:val="16"/>
          <w:szCs w:val="16"/>
        </w:rPr>
      </w:pPr>
      <w:r w:rsidRPr="00DE096C">
        <w:rPr>
          <w:bCs/>
          <w:i/>
          <w:color w:val="002060"/>
          <w:sz w:val="16"/>
          <w:szCs w:val="16"/>
        </w:rPr>
        <w:t>За рубежом:</w:t>
      </w:r>
    </w:p>
    <w:p w14:paraId="2EA2B641" w14:textId="77777777" w:rsidR="00970D37" w:rsidRPr="00DE096C" w:rsidRDefault="00970D37" w:rsidP="00D45A46">
      <w:pPr>
        <w:jc w:val="both"/>
        <w:rPr>
          <w:bCs/>
          <w:color w:val="002060"/>
          <w:sz w:val="16"/>
          <w:szCs w:val="16"/>
        </w:rPr>
      </w:pPr>
    </w:p>
    <w:p w14:paraId="3336A9D7" w14:textId="77777777" w:rsidR="00970D37" w:rsidRPr="00DE096C" w:rsidRDefault="00970D37" w:rsidP="00D45A46">
      <w:pPr>
        <w:jc w:val="both"/>
        <w:rPr>
          <w:bCs/>
          <w:color w:val="002060"/>
          <w:sz w:val="16"/>
          <w:szCs w:val="16"/>
        </w:rPr>
      </w:pPr>
      <w:r w:rsidRPr="00DE096C">
        <w:rPr>
          <w:rStyle w:val="ucoz-forum-post"/>
          <w:bCs/>
          <w:color w:val="002060"/>
          <w:sz w:val="16"/>
          <w:szCs w:val="16"/>
        </w:rPr>
        <w:t xml:space="preserve">19 октября (1 ноября) </w:t>
      </w:r>
      <w:r w:rsidRPr="00DE096C">
        <w:rPr>
          <w:bCs/>
          <w:color w:val="002060"/>
          <w:sz w:val="16"/>
          <w:szCs w:val="16"/>
        </w:rPr>
        <w:t>в 1914 году во время Первой мировой войны 1914–1918 годов около города Коронель (Чили) между британской и германской эскадрами крейсеров произошло сражение. Находившаяся в Тихом океане германская эскадра адмирала Максимилиан фон Шпее (1861–1914), состоящая из двух броненосных и трех легких крейсеров, вечером 1 ноября встретилась с британской эскадрой контр-адмирала Кристофера Джорджа Франциса Мориса Крэдока (1862–1914) — два броненосных, один легкий и один вспомогательный крейсер. Германские корабли обладали более современной артиллерией (преимущество в скорострельности и массе залпа), поэтому два британских броненосных крейсера были потоплены, остальным удалось уйти. С зарей, не увидев целей, фон Шпее приказал поднять сигнал: «Одержана блестящая победа, за которую я благодарю и поздравляю команды» (14817).</w:t>
      </w:r>
    </w:p>
    <w:p w14:paraId="531E68DB" w14:textId="77777777" w:rsidR="00970D37" w:rsidRPr="00DE096C" w:rsidRDefault="00970D37" w:rsidP="00D45A46">
      <w:pPr>
        <w:jc w:val="both"/>
        <w:rPr>
          <w:bCs/>
          <w:color w:val="002060"/>
          <w:sz w:val="16"/>
          <w:szCs w:val="16"/>
        </w:rPr>
      </w:pPr>
    </w:p>
    <w:p w14:paraId="50A98BE6" w14:textId="77777777" w:rsidR="00970D37" w:rsidRPr="00DE096C" w:rsidRDefault="00970D37" w:rsidP="00D45A46">
      <w:pPr>
        <w:jc w:val="both"/>
        <w:rPr>
          <w:bCs/>
          <w:color w:val="002060"/>
          <w:sz w:val="16"/>
          <w:szCs w:val="16"/>
        </w:rPr>
      </w:pPr>
      <w:r w:rsidRPr="00DE096C">
        <w:rPr>
          <w:rStyle w:val="ucoz-forum-post"/>
          <w:bCs/>
          <w:color w:val="002060"/>
          <w:sz w:val="16"/>
          <w:szCs w:val="16"/>
        </w:rPr>
        <w:t xml:space="preserve">19 октября (1 ноября) </w:t>
      </w:r>
      <w:r w:rsidRPr="00DE096C">
        <w:rPr>
          <w:bCs/>
          <w:color w:val="002060"/>
          <w:sz w:val="16"/>
          <w:szCs w:val="16"/>
        </w:rPr>
        <w:t>в 1914 году в Канаде принят Акт, по которому украинцы – выходцы из Австро-Венгрии были помещены в концлагеря, где некоторые из них содержались до 1920 г (14817).</w:t>
      </w:r>
    </w:p>
    <w:p w14:paraId="1368D771" w14:textId="77777777" w:rsidR="00970D37" w:rsidRPr="00DE096C" w:rsidRDefault="00970D37" w:rsidP="00D45A46">
      <w:pPr>
        <w:jc w:val="both"/>
        <w:rPr>
          <w:bCs/>
          <w:color w:val="002060"/>
          <w:sz w:val="16"/>
          <w:szCs w:val="16"/>
        </w:rPr>
      </w:pPr>
    </w:p>
    <w:p w14:paraId="381DB835" w14:textId="77777777" w:rsidR="00970D37" w:rsidRPr="00DE096C" w:rsidRDefault="00970D37" w:rsidP="00D45A46">
      <w:pPr>
        <w:jc w:val="both"/>
        <w:rPr>
          <w:bCs/>
          <w:color w:val="002060"/>
          <w:sz w:val="16"/>
          <w:szCs w:val="16"/>
        </w:rPr>
      </w:pPr>
      <w:r w:rsidRPr="00DE096C">
        <w:rPr>
          <w:rStyle w:val="ucoz-forum-post"/>
          <w:bCs/>
          <w:color w:val="002060"/>
          <w:sz w:val="16"/>
          <w:szCs w:val="16"/>
        </w:rPr>
        <w:t xml:space="preserve">19 октября (1 ноября) </w:t>
      </w:r>
      <w:r w:rsidRPr="00DE096C">
        <w:rPr>
          <w:bCs/>
          <w:color w:val="002060"/>
          <w:sz w:val="16"/>
          <w:szCs w:val="16"/>
        </w:rPr>
        <w:t>в 1914 году командующим Восточным фронтом австро-германских сил назначен генерал фон Гинденбург (14817).</w:t>
      </w:r>
    </w:p>
    <w:p w14:paraId="67309EE5" w14:textId="77777777" w:rsidR="00970D37" w:rsidRPr="00DE096C" w:rsidRDefault="00970D37" w:rsidP="00D45A46">
      <w:pPr>
        <w:jc w:val="both"/>
        <w:rPr>
          <w:bCs/>
          <w:color w:val="002060"/>
          <w:sz w:val="16"/>
          <w:szCs w:val="16"/>
        </w:rPr>
      </w:pPr>
    </w:p>
    <w:p w14:paraId="4F4CA8A2"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4AEE28D7" w14:textId="77777777" w:rsidR="00B67D7C" w:rsidRPr="00DE096C" w:rsidRDefault="00B67D7C" w:rsidP="00D45A46">
      <w:pPr>
        <w:shd w:val="clear" w:color="auto" w:fill="FFFFFF"/>
        <w:jc w:val="both"/>
        <w:rPr>
          <w:bCs/>
          <w:i/>
          <w:color w:val="002060"/>
          <w:sz w:val="16"/>
          <w:szCs w:val="16"/>
        </w:rPr>
      </w:pPr>
    </w:p>
    <w:p w14:paraId="2C7900A1" w14:textId="34712779" w:rsidR="00B67D7C" w:rsidRPr="00DE096C" w:rsidRDefault="00B67D7C" w:rsidP="00D45A46">
      <w:pPr>
        <w:jc w:val="both"/>
        <w:rPr>
          <w:bCs/>
          <w:color w:val="002060"/>
          <w:sz w:val="16"/>
          <w:szCs w:val="16"/>
        </w:rPr>
      </w:pPr>
      <w:r w:rsidRPr="00DE096C">
        <w:rPr>
          <w:bCs/>
          <w:color w:val="002060"/>
          <w:sz w:val="16"/>
          <w:szCs w:val="16"/>
        </w:rPr>
        <w:t>20</w:t>
      </w:r>
      <w:r w:rsidR="004E027A" w:rsidRPr="00DE096C">
        <w:rPr>
          <w:bCs/>
          <w:color w:val="002060"/>
          <w:sz w:val="16"/>
          <w:szCs w:val="16"/>
        </w:rPr>
        <w:t xml:space="preserve"> октября (2 ноября) </w:t>
      </w:r>
      <w:r w:rsidRPr="00DE096C">
        <w:rPr>
          <w:bCs/>
          <w:color w:val="002060"/>
          <w:sz w:val="16"/>
          <w:szCs w:val="16"/>
        </w:rPr>
        <w:t>1914</w:t>
      </w:r>
      <w:r w:rsidR="0006581C">
        <w:rPr>
          <w:bCs/>
          <w:color w:val="002060"/>
          <w:sz w:val="16"/>
          <w:szCs w:val="16"/>
        </w:rPr>
        <w:t xml:space="preserve"> </w:t>
      </w:r>
      <w:r w:rsidRPr="00DE096C">
        <w:rPr>
          <w:bCs/>
          <w:color w:val="002060"/>
          <w:sz w:val="16"/>
          <w:szCs w:val="16"/>
        </w:rPr>
        <w:t xml:space="preserve">г. </w:t>
      </w:r>
      <w:r w:rsidR="004E027A" w:rsidRPr="00DE096C">
        <w:rPr>
          <w:bCs/>
          <w:color w:val="002060"/>
          <w:sz w:val="16"/>
          <w:szCs w:val="16"/>
        </w:rPr>
        <w:t xml:space="preserve">был основан завод «Русский Рено», </w:t>
      </w:r>
      <w:r w:rsidRPr="00DE096C">
        <w:rPr>
          <w:bCs/>
          <w:color w:val="002060"/>
          <w:sz w:val="16"/>
          <w:szCs w:val="16"/>
        </w:rPr>
        <w:t xml:space="preserve">как мастерские по ремонту автомобилей «Рено». </w:t>
      </w:r>
      <w:r w:rsidR="004E027A" w:rsidRPr="00DE096C">
        <w:rPr>
          <w:bCs/>
          <w:color w:val="002060"/>
          <w:sz w:val="16"/>
          <w:szCs w:val="16"/>
        </w:rPr>
        <w:t>(АО «Русский Рено», Авторемонтный завод ПОГАРЗ, Петроградский объединенный государственный авторемонтный завод им. Плетнева ВСНХ, Государственный авторемонтный завод «Авторемонт» ВСНХ, Мотоциклетный завод</w:t>
      </w:r>
      <w:r w:rsidR="0006581C">
        <w:rPr>
          <w:bCs/>
          <w:color w:val="002060"/>
          <w:sz w:val="16"/>
          <w:szCs w:val="16"/>
        </w:rPr>
        <w:t xml:space="preserve"> </w:t>
      </w:r>
      <w:r w:rsidR="004E027A" w:rsidRPr="00DE096C">
        <w:rPr>
          <w:bCs/>
          <w:color w:val="002060"/>
          <w:sz w:val="16"/>
          <w:szCs w:val="16"/>
        </w:rPr>
        <w:t>Г.Е. Зиновьева, Ленинградский объединенный государственный авторемонтный завод (ЛОГАРЗ) /г. Петроград,</w:t>
      </w:r>
      <w:r w:rsidR="0006581C">
        <w:rPr>
          <w:bCs/>
          <w:color w:val="002060"/>
          <w:sz w:val="16"/>
          <w:szCs w:val="16"/>
        </w:rPr>
        <w:t xml:space="preserve"> </w:t>
      </w:r>
      <w:r w:rsidR="004E027A" w:rsidRPr="00DE096C">
        <w:rPr>
          <w:bCs/>
          <w:color w:val="002060"/>
          <w:sz w:val="16"/>
          <w:szCs w:val="16"/>
        </w:rPr>
        <w:t xml:space="preserve">г. Ленинград/) </w:t>
      </w:r>
      <w:r w:rsidRPr="00DE096C">
        <w:rPr>
          <w:bCs/>
          <w:color w:val="002060"/>
          <w:sz w:val="16"/>
          <w:szCs w:val="16"/>
        </w:rPr>
        <w:t>С 1916 г.- АО «Русский Рено». Производство авиадвигателей «Рено».</w:t>
      </w:r>
    </w:p>
    <w:p w14:paraId="3919EF77" w14:textId="5E0C34E2" w:rsidR="00B67D7C" w:rsidRPr="00DE096C" w:rsidRDefault="00B67D7C" w:rsidP="00D45A46">
      <w:pPr>
        <w:jc w:val="both"/>
        <w:rPr>
          <w:bCs/>
          <w:color w:val="002060"/>
          <w:sz w:val="16"/>
          <w:szCs w:val="16"/>
        </w:rPr>
      </w:pPr>
      <w:r w:rsidRPr="00DE096C">
        <w:rPr>
          <w:bCs/>
          <w:color w:val="002060"/>
          <w:sz w:val="16"/>
          <w:szCs w:val="16"/>
        </w:rPr>
        <w:t>В 12.1917 г. завод закрыт. Декретом ВСНХ от 28.06.1918 г. (или пост. ВСНХ от 19.02.1919 г.) завод национализирован и переименован в Авторемонтный завод ПОГАРЗ. С 17.12.1918 г. завод вошел в состав Авиаправления Секции по металлу СНХ Северного района, с 04.1919 г. - правления Северной районной группы авиазаводов. В 09.1920 г. завод реорганизован в 9-е отделение ПОГАРЗ, находился на консервации. В 1922 г. Авторемонтный завод переименован в Петроградский объединенный государственный авторемонтный завод им. Плетнева в ведении Севзаппромбюро ВСНХ, в 1924 г. - в Государственный авторемонтный завод «Авторемонт» Маштреста ВСНХ. В 1924-26 г. завод сдавался в аренду и назывался мотоциклетным заводом</w:t>
      </w:r>
      <w:r w:rsidR="0006581C">
        <w:rPr>
          <w:bCs/>
          <w:color w:val="002060"/>
          <w:sz w:val="16"/>
          <w:szCs w:val="16"/>
        </w:rPr>
        <w:t xml:space="preserve"> </w:t>
      </w:r>
      <w:r w:rsidRPr="00DE096C">
        <w:rPr>
          <w:bCs/>
          <w:color w:val="002060"/>
          <w:sz w:val="16"/>
          <w:szCs w:val="16"/>
        </w:rPr>
        <w:t>Г.Е. Зиновьева.</w:t>
      </w:r>
      <w:r w:rsidRPr="00DE096C">
        <w:rPr>
          <w:bCs/>
          <w:color w:val="002060"/>
          <w:sz w:val="16"/>
          <w:szCs w:val="16"/>
          <w:vertAlign w:val="superscript"/>
        </w:rPr>
        <w:t xml:space="preserve">ы </w:t>
      </w:r>
      <w:r w:rsidRPr="00DE096C">
        <w:rPr>
          <w:bCs/>
          <w:color w:val="002060"/>
          <w:sz w:val="16"/>
          <w:szCs w:val="16"/>
        </w:rPr>
        <w:t>Упоминается также название завода- ЛОГАРЗ.</w:t>
      </w:r>
    </w:p>
    <w:p w14:paraId="33046CF1" w14:textId="77777777" w:rsidR="00B67D7C" w:rsidRPr="00DE096C" w:rsidRDefault="00B67D7C" w:rsidP="00D45A46">
      <w:pPr>
        <w:jc w:val="both"/>
        <w:rPr>
          <w:bCs/>
          <w:color w:val="002060"/>
          <w:sz w:val="16"/>
          <w:szCs w:val="16"/>
        </w:rPr>
      </w:pPr>
      <w:r w:rsidRPr="00DE096C">
        <w:rPr>
          <w:bCs/>
          <w:color w:val="002060"/>
          <w:sz w:val="16"/>
          <w:szCs w:val="16"/>
        </w:rPr>
        <w:t>С 1918 г. велся ремонт автомобилей и мотоциклов.</w:t>
      </w:r>
    </w:p>
    <w:p w14:paraId="4BD422AE" w14:textId="77777777" w:rsidR="00B67D7C" w:rsidRPr="00DE096C" w:rsidRDefault="00B67D7C" w:rsidP="00D45A46">
      <w:pPr>
        <w:jc w:val="both"/>
        <w:rPr>
          <w:bCs/>
          <w:color w:val="002060"/>
          <w:sz w:val="16"/>
          <w:szCs w:val="16"/>
        </w:rPr>
      </w:pPr>
      <w:r w:rsidRPr="00DE096C">
        <w:rPr>
          <w:bCs/>
          <w:color w:val="002060"/>
          <w:sz w:val="16"/>
          <w:szCs w:val="16"/>
        </w:rPr>
        <w:t>В 1927 г. частично законсервированный ЛОГАРЗ слит с заводом «Красный Октябрь» (на своей промплощадке) (11982).</w:t>
      </w:r>
    </w:p>
    <w:p w14:paraId="244351D7" w14:textId="77777777" w:rsidR="00B67D7C" w:rsidRPr="00DE096C" w:rsidRDefault="00B67D7C" w:rsidP="00D45A46">
      <w:pPr>
        <w:jc w:val="both"/>
        <w:rPr>
          <w:bCs/>
          <w:color w:val="002060"/>
          <w:sz w:val="16"/>
          <w:szCs w:val="16"/>
        </w:rPr>
      </w:pPr>
    </w:p>
    <w:p w14:paraId="45A77CC6" w14:textId="6A897D9D" w:rsidR="00014A41" w:rsidRPr="00DE096C" w:rsidRDefault="00014A41" w:rsidP="00D45A46">
      <w:pPr>
        <w:jc w:val="both"/>
        <w:rPr>
          <w:bCs/>
          <w:color w:val="002060"/>
          <w:sz w:val="16"/>
          <w:szCs w:val="16"/>
        </w:rPr>
      </w:pPr>
      <w:r w:rsidRPr="00DE096C">
        <w:rPr>
          <w:rStyle w:val="ucoz-forum-post"/>
          <w:rFonts w:eastAsiaTheme="majorEastAsia"/>
          <w:bCs/>
          <w:color w:val="002060"/>
          <w:sz w:val="16"/>
          <w:szCs w:val="16"/>
        </w:rPr>
        <w:t xml:space="preserve">20 октября </w:t>
      </w:r>
      <w:r w:rsidR="004E027A" w:rsidRPr="00DE096C">
        <w:rPr>
          <w:rStyle w:val="ucoz-forum-post"/>
          <w:rFonts w:eastAsiaTheme="majorEastAsia"/>
          <w:bCs/>
          <w:color w:val="002060"/>
          <w:sz w:val="16"/>
          <w:szCs w:val="16"/>
        </w:rPr>
        <w:t xml:space="preserve">(2 ноября) </w:t>
      </w:r>
      <w:r w:rsidRPr="00DE096C">
        <w:rPr>
          <w:bCs/>
          <w:color w:val="002060"/>
          <w:sz w:val="16"/>
          <w:szCs w:val="16"/>
        </w:rPr>
        <w:t xml:space="preserve">в 1914 году </w:t>
      </w:r>
      <w:r w:rsidR="004E027A" w:rsidRPr="00DE096C">
        <w:rPr>
          <w:bCs/>
          <w:color w:val="002060"/>
          <w:sz w:val="16"/>
          <w:szCs w:val="16"/>
        </w:rPr>
        <w:t xml:space="preserve">было </w:t>
      </w:r>
      <w:r w:rsidRPr="00DE096C">
        <w:rPr>
          <w:bCs/>
          <w:color w:val="002060"/>
          <w:sz w:val="16"/>
          <w:szCs w:val="16"/>
        </w:rPr>
        <w:t>образовано АО «Русский Рено», владевшее в Санкт-Петербурге заводом по сборке французких авиадвигателей - ныне «Завод имени В.Я.Климова. Во время Второй Мировой войны более половины боевых самолетов Советского Союза («Як-3», «Як-9», «Пе-2», «ЛаГГ-3») летало на поршневых моторах «М-105» конструкции Климова, которых было выпущено около 100 000 штук. Первый советский турбореактивный двигатель «ВК-1» использовался на истребителях «МиГ-15» и «МиГ-17» и бомбардировщиках «Ил-28» и «Ту-14». Были разработаны и выпущены газотурбинные двигатели «ГТД-350», «ТВ2-117», «ТВ3-117» и главные редукторы для вертолетов «Ми-2», «Ми-8», «Ми-17», «Ми-24», «Ка-32» (14805).</w:t>
      </w:r>
    </w:p>
    <w:p w14:paraId="456A7F56" w14:textId="77777777" w:rsidR="00014A41" w:rsidRPr="00DE096C" w:rsidRDefault="00014A41" w:rsidP="00D45A46">
      <w:pPr>
        <w:jc w:val="both"/>
        <w:rPr>
          <w:bCs/>
          <w:color w:val="002060"/>
          <w:sz w:val="16"/>
          <w:szCs w:val="16"/>
        </w:rPr>
      </w:pPr>
    </w:p>
    <w:p w14:paraId="21A3E40E" w14:textId="77777777" w:rsidR="00014A41" w:rsidRPr="00DE096C" w:rsidRDefault="00014A41" w:rsidP="00D45A46">
      <w:pPr>
        <w:jc w:val="both"/>
        <w:rPr>
          <w:bCs/>
          <w:i/>
          <w:color w:val="002060"/>
          <w:sz w:val="16"/>
          <w:szCs w:val="16"/>
        </w:rPr>
      </w:pPr>
      <w:r w:rsidRPr="00DE096C">
        <w:rPr>
          <w:bCs/>
          <w:i/>
          <w:color w:val="002060"/>
          <w:sz w:val="16"/>
          <w:szCs w:val="16"/>
        </w:rPr>
        <w:t>Другие оборонные отрасли:</w:t>
      </w:r>
    </w:p>
    <w:p w14:paraId="2770B073" w14:textId="77777777" w:rsidR="00014A41" w:rsidRPr="00DE096C" w:rsidRDefault="00014A41" w:rsidP="00D45A46">
      <w:pPr>
        <w:jc w:val="both"/>
        <w:rPr>
          <w:bCs/>
          <w:i/>
          <w:color w:val="002060"/>
          <w:sz w:val="16"/>
          <w:szCs w:val="16"/>
        </w:rPr>
      </w:pPr>
    </w:p>
    <w:p w14:paraId="292DEA92" w14:textId="4E33B183" w:rsidR="00014A41" w:rsidRPr="00DE096C" w:rsidRDefault="00014A41" w:rsidP="00D45A46">
      <w:pPr>
        <w:pStyle w:val="ae"/>
        <w:spacing w:before="0" w:beforeAutospacing="0" w:after="0" w:afterAutospacing="0"/>
        <w:jc w:val="both"/>
        <w:rPr>
          <w:bCs/>
          <w:color w:val="002060"/>
          <w:sz w:val="16"/>
          <w:szCs w:val="16"/>
        </w:rPr>
      </w:pPr>
      <w:r w:rsidRPr="00DE096C">
        <w:rPr>
          <w:bCs/>
          <w:color w:val="002060"/>
          <w:sz w:val="16"/>
          <w:szCs w:val="16"/>
        </w:rPr>
        <w:t xml:space="preserve">20 октября </w:t>
      </w:r>
      <w:r w:rsidR="00931B59" w:rsidRPr="00DE096C">
        <w:rPr>
          <w:bCs/>
          <w:color w:val="002060"/>
          <w:sz w:val="16"/>
          <w:szCs w:val="16"/>
        </w:rPr>
        <w:t xml:space="preserve">(2 ноября) </w:t>
      </w:r>
      <w:r w:rsidRPr="00DE096C">
        <w:rPr>
          <w:bCs/>
          <w:color w:val="002060"/>
          <w:sz w:val="16"/>
          <w:szCs w:val="16"/>
        </w:rPr>
        <w:t>1914 г. б</w:t>
      </w:r>
      <w:r w:rsidR="00931B59" w:rsidRPr="00DE096C">
        <w:rPr>
          <w:bCs/>
          <w:color w:val="002060"/>
          <w:sz w:val="16"/>
          <w:szCs w:val="16"/>
        </w:rPr>
        <w:t>ы</w:t>
      </w:r>
      <w:r w:rsidRPr="00DE096C">
        <w:rPr>
          <w:bCs/>
          <w:color w:val="002060"/>
          <w:sz w:val="16"/>
          <w:szCs w:val="16"/>
        </w:rPr>
        <w:t>ла подготовлена справка, представленная начальником ГАУ Д. Д. Кузьминым-Караваевым для Военного министерства, из которой видно, какие заводы приняли заказы, в каком количестве и на каких условиях. Срок поставки был ограничен октябрем 1915 г. На больший срок выдавать заказы боялись.</w:t>
      </w:r>
    </w:p>
    <w:p w14:paraId="618C9EC1" w14:textId="77777777" w:rsidR="00014A41" w:rsidRPr="00DE096C" w:rsidRDefault="00014A41" w:rsidP="00D45A46">
      <w:pPr>
        <w:pStyle w:val="ae"/>
        <w:spacing w:before="0" w:beforeAutospacing="0" w:after="0" w:afterAutospacing="0"/>
        <w:jc w:val="both"/>
        <w:rPr>
          <w:bCs/>
          <w:color w:val="002060"/>
          <w:sz w:val="16"/>
          <w:szCs w:val="16"/>
        </w:rPr>
      </w:pPr>
      <w:r w:rsidRPr="00DE096C">
        <w:rPr>
          <w:bCs/>
          <w:color w:val="002060"/>
          <w:sz w:val="16"/>
          <w:szCs w:val="16"/>
        </w:rPr>
        <w:t>Шестнадцать крупнейших заводов</w:t>
      </w:r>
      <w:bookmarkStart w:id="191" w:name="69r"/>
      <w:bookmarkEnd w:id="191"/>
      <w:r w:rsidRPr="00DE096C">
        <w:rPr>
          <w:bCs/>
          <w:color w:val="002060"/>
          <w:sz w:val="16"/>
          <w:szCs w:val="16"/>
        </w:rPr>
        <w:t> — Путиловский, Балтийский, Обуховский, Невский, Петроградский металлический, Ижевский, Сормовский, Ижорский, Николаевский, Абоский, «Вулкан», «Феникс», Вестингауз, Горные (Златоустовские), Лильпоп, Рау и Левенштейн, «Русское общество для изготовления снарядов и военных припасов» — в сентябре и октябре 1914 г. заключили контракты на поставку 6650 тыс. трехдюймовых шрапнелей стоимостью в 66 018 600 руб. Кроме того, поставщики получили дотацию на оборудование — 9763 тыс. руб., что повышало стоимость заказа до 75,8 млн. руб. Шесть заводов — Брянский, Абоский, Гельсингфорсский, Лесснера, Николаевский и Рудзского — заключили договоры на поставку 1066 тыс. гранат стоимостью в 10 935 тыс. руб. Два из этих заводов получили дотацию 2368 тыс. руб. на оборудование</w:t>
      </w:r>
      <w:bookmarkStart w:id="192" w:name="70r"/>
      <w:bookmarkEnd w:id="192"/>
      <w:r w:rsidRPr="00DE096C">
        <w:rPr>
          <w:bCs/>
          <w:color w:val="002060"/>
          <w:sz w:val="16"/>
          <w:szCs w:val="16"/>
        </w:rPr>
        <w:t>. Следовательно, стоимость гранат увеличивалась до 13,3 млн. руб. Общая стоимость всего заказа на шрапнели и гранаты в количестве 7716 тыс. штук — 89 084 тыс. руб., в том числе 12 131 тыс. руб. — бесплатная дотация на развитие предприятий.</w:t>
      </w:r>
    </w:p>
    <w:p w14:paraId="6AB34966" w14:textId="77777777" w:rsidR="00014A41" w:rsidRPr="00DE096C" w:rsidRDefault="00014A41" w:rsidP="00D45A46">
      <w:pPr>
        <w:pStyle w:val="ae"/>
        <w:spacing w:before="0" w:beforeAutospacing="0" w:after="0" w:afterAutospacing="0"/>
        <w:jc w:val="both"/>
        <w:rPr>
          <w:bCs/>
          <w:color w:val="002060"/>
          <w:sz w:val="16"/>
          <w:szCs w:val="16"/>
        </w:rPr>
      </w:pPr>
      <w:r w:rsidRPr="00DE096C">
        <w:rPr>
          <w:bCs/>
          <w:color w:val="002060"/>
          <w:sz w:val="16"/>
          <w:szCs w:val="16"/>
        </w:rPr>
        <w:t>Уже после первого шага крупнейших промышленников в деле выполнения военных заказов в их карманы попало свыше 60 млн. руб. аванса. Такой благодати промышленники ранее не видывали. В мирное время по военным заказам они должны были внести в казну залог, а теперь огромные средства выплачивались вперед в качестве задатков или даже совсем бесплатных субсидий. Начиная с этого заказа наметились основные черты политики правительства — политики субсидий промышленникам, высоких цен и огромных авансов. Эти огромные средства являлись источником быстрого обогащения и роста предпринимательства. Контракты, заключенные с казной на снаряды, стали открытым и легальным способом многомиллионного ограбления казны.</w:t>
      </w:r>
    </w:p>
    <w:p w14:paraId="7B13AE7C" w14:textId="77777777" w:rsidR="00014A41" w:rsidRPr="00DE096C" w:rsidRDefault="00014A41" w:rsidP="00D45A46">
      <w:pPr>
        <w:pStyle w:val="ae"/>
        <w:spacing w:before="0" w:beforeAutospacing="0" w:after="0" w:afterAutospacing="0"/>
        <w:jc w:val="both"/>
        <w:rPr>
          <w:bCs/>
          <w:color w:val="002060"/>
          <w:sz w:val="16"/>
          <w:szCs w:val="16"/>
        </w:rPr>
      </w:pPr>
      <w:r w:rsidRPr="00DE096C">
        <w:rPr>
          <w:bCs/>
          <w:color w:val="002060"/>
          <w:sz w:val="16"/>
          <w:szCs w:val="16"/>
        </w:rPr>
        <w:t>Характерно, что все внимание Военного министерства привлекли трехдюймовые снаряды, а о снарядах более крупных калибров не заботились, и заказы на их изготовление не разместили. Все дело снабжения армии вооружением, как видим, проходило через Военное министерство, Министерство торговли и промышленности оставалось в стороне.</w:t>
      </w:r>
    </w:p>
    <w:p w14:paraId="3D19C27C" w14:textId="77777777" w:rsidR="00014A41" w:rsidRPr="00DE096C" w:rsidRDefault="00014A41" w:rsidP="00D45A46">
      <w:pPr>
        <w:pStyle w:val="ae"/>
        <w:spacing w:before="0" w:beforeAutospacing="0" w:after="0" w:afterAutospacing="0"/>
        <w:jc w:val="both"/>
        <w:rPr>
          <w:bCs/>
          <w:color w:val="002060"/>
          <w:sz w:val="16"/>
          <w:szCs w:val="16"/>
        </w:rPr>
      </w:pPr>
      <w:r w:rsidRPr="00DE096C">
        <w:rPr>
          <w:bCs/>
          <w:color w:val="002060"/>
          <w:sz w:val="16"/>
          <w:szCs w:val="16"/>
        </w:rPr>
        <w:t>Из ведомости «ожидаемого поступления заказанных главнейших предметов артиллерийского снабжения», представленной военному министру Д. Д. Кузьминым-Караваевым, видно, что́ могла получить русская армия в ближайший год — с октября 1914 г. по октябрь 1915 г. Всего 3-дюймовых скорострельных орудий ожидалось 1075 штук, горных орудий — 300, гаубиц 6-дюймовых — 160, орудий 42-линейных скорострельных — 40, гаубиц 48-линейных — 400 штук</w:t>
      </w:r>
      <w:bookmarkStart w:id="193" w:name="71r"/>
      <w:bookmarkEnd w:id="193"/>
      <w:r w:rsidR="009D3CAD" w:rsidRPr="00DE096C">
        <w:rPr>
          <w:bCs/>
          <w:color w:val="002060"/>
          <w:sz w:val="16"/>
          <w:szCs w:val="16"/>
          <w:vertAlign w:val="superscript"/>
        </w:rPr>
        <w:fldChar w:fldCharType="begin"/>
      </w:r>
      <w:r w:rsidRPr="00DE096C">
        <w:rPr>
          <w:bCs/>
          <w:color w:val="002060"/>
          <w:sz w:val="16"/>
          <w:szCs w:val="16"/>
          <w:vertAlign w:val="superscript"/>
        </w:rPr>
        <w:instrText xml:space="preserve"> HYPERLINK "http://sergeyhry.narod.ru/txt/sidorov_a_l/econom_rus_ww1_002.htm" \l "71p" </w:instrText>
      </w:r>
      <w:r w:rsidR="009D3CAD" w:rsidRPr="00DE096C">
        <w:rPr>
          <w:bCs/>
          <w:color w:val="002060"/>
          <w:sz w:val="16"/>
          <w:szCs w:val="16"/>
          <w:vertAlign w:val="superscript"/>
        </w:rPr>
      </w:r>
      <w:r w:rsidR="009D3CAD" w:rsidRPr="00DE096C">
        <w:rPr>
          <w:bCs/>
          <w:color w:val="002060"/>
          <w:sz w:val="16"/>
          <w:szCs w:val="16"/>
          <w:vertAlign w:val="superscript"/>
        </w:rPr>
        <w:fldChar w:fldCharType="separate"/>
      </w:r>
      <w:r w:rsidRPr="00DE096C">
        <w:rPr>
          <w:rStyle w:val="af0"/>
          <w:bCs/>
          <w:color w:val="002060"/>
          <w:sz w:val="16"/>
          <w:szCs w:val="16"/>
          <w:vertAlign w:val="superscript"/>
        </w:rPr>
        <w:t>71</w:t>
      </w:r>
      <w:r w:rsidR="009D3CAD" w:rsidRPr="00DE096C">
        <w:rPr>
          <w:bCs/>
          <w:color w:val="002060"/>
          <w:sz w:val="16"/>
          <w:szCs w:val="16"/>
          <w:vertAlign w:val="superscript"/>
        </w:rPr>
        <w:fldChar w:fldCharType="end"/>
      </w:r>
      <w:r w:rsidRPr="00DE096C">
        <w:rPr>
          <w:bCs/>
          <w:color w:val="002060"/>
          <w:sz w:val="16"/>
          <w:szCs w:val="16"/>
        </w:rPr>
        <w:t>.</w:t>
      </w:r>
    </w:p>
    <w:p w14:paraId="2046D735" w14:textId="77777777" w:rsidR="00014A41" w:rsidRPr="00DE096C" w:rsidRDefault="00014A41" w:rsidP="00D45A46">
      <w:pPr>
        <w:pStyle w:val="ae"/>
        <w:spacing w:before="0" w:beforeAutospacing="0" w:after="0" w:afterAutospacing="0"/>
        <w:jc w:val="both"/>
        <w:rPr>
          <w:bCs/>
          <w:color w:val="002060"/>
          <w:sz w:val="16"/>
          <w:szCs w:val="16"/>
        </w:rPr>
      </w:pPr>
      <w:r w:rsidRPr="00DE096C">
        <w:rPr>
          <w:bCs/>
          <w:color w:val="002060"/>
          <w:sz w:val="16"/>
          <w:szCs w:val="16"/>
        </w:rPr>
        <w:t>В течение года в армию должно было поступить: пулеметов — 2100 штук, винтовок трехлинейных — 50 300, выстрелов разных калибров для артиллерии — 4845 тыс., винтовочных патронов — 620 000 штук. Так выглядела программа снабжения русской армии на целый год.</w:t>
      </w:r>
    </w:p>
    <w:p w14:paraId="58BABCA8" w14:textId="77777777" w:rsidR="00014A41" w:rsidRPr="00DE096C" w:rsidRDefault="00014A41" w:rsidP="00D45A46">
      <w:pPr>
        <w:pStyle w:val="ae"/>
        <w:spacing w:before="0" w:beforeAutospacing="0" w:after="0" w:afterAutospacing="0"/>
        <w:jc w:val="both"/>
        <w:rPr>
          <w:bCs/>
          <w:color w:val="002060"/>
          <w:sz w:val="16"/>
          <w:szCs w:val="16"/>
        </w:rPr>
      </w:pPr>
      <w:r w:rsidRPr="00DE096C">
        <w:rPr>
          <w:bCs/>
          <w:color w:val="002060"/>
          <w:sz w:val="16"/>
          <w:szCs w:val="16"/>
        </w:rPr>
        <w:t xml:space="preserve">В декабре 1914 г. армия по этой программе получила бы от промышленности внутри страны: орудий всех калибров —100 штук, пулеметов — 160, ружей — 45 тыс. штук, выстрелов к орудиям — 335 тыс. штук и винтовочных патронов — 45 млн. штук. В сентябре 1915 г. поставки несколько увеличились — по орудиям до 225 </w:t>
      </w:r>
      <w:r w:rsidRPr="00DE096C">
        <w:rPr>
          <w:bCs/>
          <w:color w:val="002060"/>
          <w:sz w:val="16"/>
          <w:szCs w:val="16"/>
        </w:rPr>
        <w:lastRenderedPageBreak/>
        <w:t>штук, по пулеметам — до 180, по выстрелам для артиллерии — до 548 тыс. штук. Производство ружей уменьшилось до 42 тыс. штук, а поставки винтовочных патронов несколько увеличились — до 55 млн. штук (18524).</w:t>
      </w:r>
    </w:p>
    <w:p w14:paraId="0EE45FE9" w14:textId="77777777" w:rsidR="00014A41" w:rsidRPr="00DE096C" w:rsidRDefault="00014A41" w:rsidP="00D45A46">
      <w:pPr>
        <w:pStyle w:val="ae"/>
        <w:spacing w:before="0" w:beforeAutospacing="0" w:after="0" w:afterAutospacing="0"/>
        <w:jc w:val="both"/>
        <w:rPr>
          <w:bCs/>
          <w:color w:val="002060"/>
          <w:sz w:val="16"/>
          <w:szCs w:val="16"/>
        </w:rPr>
      </w:pPr>
    </w:p>
    <w:p w14:paraId="6A40302E" w14:textId="77777777" w:rsidR="002F17CD" w:rsidRPr="00DE096C" w:rsidRDefault="002F17CD" w:rsidP="00D45A46">
      <w:pPr>
        <w:jc w:val="both"/>
        <w:rPr>
          <w:bCs/>
          <w:i/>
          <w:color w:val="002060"/>
          <w:sz w:val="16"/>
          <w:szCs w:val="16"/>
        </w:rPr>
      </w:pPr>
      <w:r w:rsidRPr="00DE096C">
        <w:rPr>
          <w:bCs/>
          <w:i/>
          <w:color w:val="002060"/>
          <w:sz w:val="16"/>
          <w:szCs w:val="16"/>
        </w:rPr>
        <w:t>За рубежом:</w:t>
      </w:r>
    </w:p>
    <w:p w14:paraId="3B8539F1" w14:textId="77777777" w:rsidR="002F17CD" w:rsidRPr="00DE096C" w:rsidRDefault="002F17CD" w:rsidP="00D45A46">
      <w:pPr>
        <w:jc w:val="both"/>
        <w:rPr>
          <w:bCs/>
          <w:color w:val="002060"/>
          <w:sz w:val="16"/>
          <w:szCs w:val="16"/>
        </w:rPr>
      </w:pPr>
    </w:p>
    <w:p w14:paraId="010C953E" w14:textId="77777777" w:rsidR="002F17CD" w:rsidRPr="00DE096C" w:rsidRDefault="002F17CD" w:rsidP="00D45A46">
      <w:pPr>
        <w:jc w:val="both"/>
        <w:rPr>
          <w:bCs/>
          <w:color w:val="002060"/>
          <w:sz w:val="16"/>
          <w:szCs w:val="16"/>
        </w:rPr>
      </w:pPr>
      <w:r w:rsidRPr="00DE096C">
        <w:rPr>
          <w:rStyle w:val="ucoz-forum-post"/>
          <w:bCs/>
          <w:color w:val="002060"/>
          <w:sz w:val="16"/>
          <w:szCs w:val="16"/>
        </w:rPr>
        <w:t xml:space="preserve">20 октября (2 ноября) </w:t>
      </w:r>
      <w:r w:rsidRPr="00DE096C">
        <w:rPr>
          <w:bCs/>
          <w:color w:val="002060"/>
          <w:sz w:val="16"/>
          <w:szCs w:val="16"/>
        </w:rPr>
        <w:t>в 1914 году Британия начинает минирование Северного моря (14818).</w:t>
      </w:r>
    </w:p>
    <w:p w14:paraId="5AC611F6" w14:textId="77777777" w:rsidR="002F17CD" w:rsidRPr="00DE096C" w:rsidRDefault="002F17CD" w:rsidP="00D45A46">
      <w:pPr>
        <w:jc w:val="both"/>
        <w:rPr>
          <w:bCs/>
          <w:color w:val="002060"/>
          <w:sz w:val="16"/>
          <w:szCs w:val="16"/>
        </w:rPr>
      </w:pPr>
    </w:p>
    <w:p w14:paraId="000126CD" w14:textId="376AC3DB" w:rsidR="00ED3C0A" w:rsidRPr="00DE096C" w:rsidRDefault="00ED3C0A" w:rsidP="00D45A46">
      <w:pPr>
        <w:jc w:val="both"/>
        <w:rPr>
          <w:bCs/>
          <w:i/>
          <w:color w:val="002060"/>
          <w:sz w:val="16"/>
          <w:szCs w:val="16"/>
        </w:rPr>
      </w:pPr>
      <w:r w:rsidRPr="00DE096C">
        <w:rPr>
          <w:bCs/>
          <w:i/>
          <w:color w:val="002060"/>
          <w:sz w:val="16"/>
          <w:szCs w:val="16"/>
        </w:rPr>
        <w:t>Самолетостроение:</w:t>
      </w:r>
    </w:p>
    <w:p w14:paraId="473A365A" w14:textId="77777777" w:rsidR="00ED3C0A" w:rsidRPr="00DE096C" w:rsidRDefault="00ED3C0A" w:rsidP="00D45A46">
      <w:pPr>
        <w:jc w:val="both"/>
        <w:rPr>
          <w:bCs/>
          <w:color w:val="002060"/>
          <w:sz w:val="16"/>
          <w:szCs w:val="16"/>
        </w:rPr>
      </w:pPr>
    </w:p>
    <w:p w14:paraId="3F572A5C" w14:textId="77777777" w:rsidR="00ED3C0A" w:rsidRPr="00DE096C" w:rsidRDefault="00ED3C0A" w:rsidP="00D45A46">
      <w:pPr>
        <w:pStyle w:val="book"/>
        <w:spacing w:before="0" w:beforeAutospacing="0" w:after="0" w:afterAutospacing="0"/>
        <w:jc w:val="both"/>
        <w:rPr>
          <w:bCs/>
          <w:color w:val="002060"/>
          <w:sz w:val="16"/>
          <w:szCs w:val="16"/>
        </w:rPr>
      </w:pPr>
      <w:r w:rsidRPr="00DE096C">
        <w:rPr>
          <w:bCs/>
          <w:color w:val="002060"/>
          <w:sz w:val="16"/>
          <w:szCs w:val="16"/>
          <w:shd w:val="clear" w:color="auto" w:fill="FFFFFF"/>
        </w:rPr>
        <w:t>21 октября (3 ноября) 1914 года, в Санкт-Петербурге Высочайшим разрешением было создано Акционерное общество, в Уставе которого говорилось, что целью создаваемого предприятия является "устройство, приобретение и эксплуатация мастерских, фабрик и заводов для изготовления и ремонта разных типов автомобилей, вагонов, карет, тележек, экипажей всех видов, лодок, моторов, машин и двигателей, приводимых в действие паром, электричеством или иными силами, частей машинного оборудования, частей автомобилей и автомобильных принадлежностей, торговля всеми означенными предметами, приобретение, продажа и эксплуатация изобретений, относящихся ко всем видам автомобилей, их принадлежностей и к таксометрам". Первоначальный уставный капитал предприятия составлял 1 миллион рублей, впоследствии его увеличили до 8 миллионов! Акционерное общество, с согласия Луи Рено, получило название "Русскiй Рено" (20045).</w:t>
      </w:r>
    </w:p>
    <w:p w14:paraId="0E00D0F5" w14:textId="77777777" w:rsidR="00ED3C0A" w:rsidRPr="00DE096C" w:rsidRDefault="00ED3C0A" w:rsidP="00D45A46">
      <w:pPr>
        <w:jc w:val="both"/>
        <w:rPr>
          <w:bCs/>
          <w:color w:val="002060"/>
          <w:sz w:val="16"/>
          <w:szCs w:val="16"/>
        </w:rPr>
      </w:pPr>
    </w:p>
    <w:p w14:paraId="7BABEB2C" w14:textId="77777777" w:rsidR="00BC737D" w:rsidRPr="00DE096C" w:rsidRDefault="00BC737D" w:rsidP="00D45A46">
      <w:pPr>
        <w:jc w:val="both"/>
        <w:rPr>
          <w:bCs/>
          <w:i/>
          <w:color w:val="002060"/>
          <w:sz w:val="16"/>
          <w:szCs w:val="16"/>
        </w:rPr>
      </w:pPr>
      <w:r w:rsidRPr="00DE096C">
        <w:rPr>
          <w:bCs/>
          <w:i/>
          <w:color w:val="002060"/>
          <w:sz w:val="16"/>
          <w:szCs w:val="16"/>
        </w:rPr>
        <w:t>Армия:</w:t>
      </w:r>
    </w:p>
    <w:p w14:paraId="0D69F65E" w14:textId="77777777" w:rsidR="00BC737D" w:rsidRPr="00DE096C" w:rsidRDefault="00BC737D" w:rsidP="00D45A46">
      <w:pPr>
        <w:jc w:val="both"/>
        <w:rPr>
          <w:bCs/>
          <w:i/>
          <w:color w:val="002060"/>
          <w:sz w:val="16"/>
          <w:szCs w:val="16"/>
        </w:rPr>
      </w:pPr>
    </w:p>
    <w:p w14:paraId="351D1F88" w14:textId="074656D4" w:rsidR="00BC737D" w:rsidRPr="00DE096C" w:rsidRDefault="00BC737D" w:rsidP="00D45A46">
      <w:pPr>
        <w:jc w:val="both"/>
        <w:rPr>
          <w:bCs/>
          <w:color w:val="002060"/>
          <w:sz w:val="16"/>
          <w:szCs w:val="16"/>
        </w:rPr>
      </w:pPr>
      <w:r w:rsidRPr="00DE096C">
        <w:rPr>
          <w:rStyle w:val="ucoz-forum-post"/>
          <w:rFonts w:eastAsiaTheme="majorEastAsia"/>
          <w:bCs/>
          <w:color w:val="002060"/>
          <w:sz w:val="16"/>
          <w:szCs w:val="16"/>
        </w:rPr>
        <w:t xml:space="preserve">21 октября </w:t>
      </w:r>
      <w:r w:rsidR="00931B59" w:rsidRPr="00DE096C">
        <w:rPr>
          <w:rStyle w:val="ucoz-forum-post"/>
          <w:rFonts w:eastAsiaTheme="majorEastAsia"/>
          <w:bCs/>
          <w:color w:val="002060"/>
          <w:sz w:val="16"/>
          <w:szCs w:val="16"/>
        </w:rPr>
        <w:t xml:space="preserve">(33 ноября) </w:t>
      </w:r>
      <w:r w:rsidRPr="00DE096C">
        <w:rPr>
          <w:bCs/>
          <w:color w:val="002060"/>
          <w:sz w:val="16"/>
          <w:szCs w:val="16"/>
        </w:rPr>
        <w:t>в 1914 году варшавская битва заканчивается поражением Германии (14806).</w:t>
      </w:r>
    </w:p>
    <w:p w14:paraId="394F84C4" w14:textId="77777777" w:rsidR="00BC737D" w:rsidRPr="00DE096C" w:rsidRDefault="00BC737D" w:rsidP="00D45A46">
      <w:pPr>
        <w:jc w:val="both"/>
        <w:rPr>
          <w:bCs/>
          <w:color w:val="002060"/>
          <w:sz w:val="16"/>
          <w:szCs w:val="16"/>
        </w:rPr>
      </w:pPr>
    </w:p>
    <w:p w14:paraId="2B388122" w14:textId="4789FFA0" w:rsidR="007E3518" w:rsidRPr="00DE096C" w:rsidRDefault="007E3518" w:rsidP="00D45A46">
      <w:pPr>
        <w:jc w:val="both"/>
        <w:rPr>
          <w:bCs/>
          <w:i/>
          <w:color w:val="002060"/>
          <w:sz w:val="16"/>
          <w:szCs w:val="16"/>
        </w:rPr>
      </w:pPr>
      <w:r w:rsidRPr="00DE096C">
        <w:rPr>
          <w:bCs/>
          <w:i/>
          <w:color w:val="002060"/>
          <w:sz w:val="16"/>
          <w:szCs w:val="16"/>
        </w:rPr>
        <w:t>Авиация и воздухоплавание Франции:</w:t>
      </w:r>
    </w:p>
    <w:p w14:paraId="31BEB903" w14:textId="77777777" w:rsidR="007E3518" w:rsidRPr="00DE096C" w:rsidRDefault="007E3518" w:rsidP="00D45A46">
      <w:pPr>
        <w:jc w:val="both"/>
        <w:rPr>
          <w:bCs/>
          <w:i/>
          <w:color w:val="002060"/>
          <w:sz w:val="16"/>
          <w:szCs w:val="16"/>
        </w:rPr>
      </w:pPr>
    </w:p>
    <w:p w14:paraId="2BD400AF" w14:textId="13939876" w:rsidR="007E3518" w:rsidRPr="00DE096C" w:rsidRDefault="007E3518" w:rsidP="00D45A46">
      <w:pPr>
        <w:jc w:val="both"/>
        <w:rPr>
          <w:bCs/>
          <w:color w:val="002060"/>
          <w:sz w:val="16"/>
          <w:szCs w:val="16"/>
        </w:rPr>
      </w:pPr>
      <w:r w:rsidRPr="00DE096C">
        <w:rPr>
          <w:bCs/>
          <w:color w:val="002060"/>
          <w:sz w:val="16"/>
          <w:szCs w:val="16"/>
        </w:rPr>
        <w:t>21 октября (3 ноября) 1914</w:t>
      </w:r>
      <w:r w:rsidR="0006581C">
        <w:rPr>
          <w:bCs/>
          <w:color w:val="002060"/>
          <w:sz w:val="16"/>
          <w:szCs w:val="16"/>
        </w:rPr>
        <w:t xml:space="preserve"> </w:t>
      </w:r>
      <w:r w:rsidR="00931B59" w:rsidRPr="00DE096C">
        <w:rPr>
          <w:bCs/>
          <w:color w:val="002060"/>
          <w:sz w:val="16"/>
          <w:szCs w:val="16"/>
        </w:rPr>
        <w:t>г. ф</w:t>
      </w:r>
      <w:r w:rsidRPr="00DE096C">
        <w:rPr>
          <w:bCs/>
          <w:color w:val="002060"/>
          <w:sz w:val="16"/>
          <w:szCs w:val="16"/>
        </w:rPr>
        <w:t>ранцузский военный пилот сержант Ролан Гарро, служивший лётчиком-сдатчиком на фирме «Моран», подал рапорт об изобретении, позволяющем стрелять из пулемёта через лопасти винта самолёта. Идея состояла в применении призм-отсекателей пуль в тех местах лопастей винта, которые пересекаются траекториями пуль. Такой винт был установлен на двухместный самолёт-моноплан Моран-Солнье с пулемётом, установленным параллельно оси самолёта. Эти самолёты, снабжённые пулемётами и винтами Гарроса, были применены на фронте в марте 1915 года. 18 апреля 1915-го Ролан Гарро был сбит и пробыл военнопленным до февраля 1918 года, когда ему удалось бежать. В октябре того же года он снова был сбит и погиб. Именем лётчика был назван теннисный комплекс в Париже, где проводится Открытый чемпионат Франции по теннису. Сам чемпионат также нередко называют турниром «Ролан Гаррос» (22317).</w:t>
      </w:r>
    </w:p>
    <w:p w14:paraId="7F2AFD75" w14:textId="77777777" w:rsidR="007E3518" w:rsidRPr="00DE096C" w:rsidRDefault="007E3518" w:rsidP="00D45A46">
      <w:pPr>
        <w:jc w:val="both"/>
        <w:rPr>
          <w:bCs/>
          <w:color w:val="002060"/>
          <w:sz w:val="16"/>
          <w:szCs w:val="16"/>
        </w:rPr>
      </w:pPr>
    </w:p>
    <w:p w14:paraId="7216ED2E" w14:textId="77777777" w:rsidR="00931B59" w:rsidRPr="00DE096C" w:rsidRDefault="00931B59" w:rsidP="00D45A46">
      <w:pPr>
        <w:jc w:val="both"/>
        <w:rPr>
          <w:bCs/>
          <w:color w:val="002060"/>
          <w:sz w:val="16"/>
          <w:szCs w:val="16"/>
        </w:rPr>
      </w:pPr>
      <w:r w:rsidRPr="00DE096C">
        <w:rPr>
          <w:rStyle w:val="ucoz-forum-post"/>
          <w:bCs/>
          <w:color w:val="002060"/>
          <w:sz w:val="16"/>
          <w:szCs w:val="16"/>
        </w:rPr>
        <w:t xml:space="preserve">21 октября (3 ноября) </w:t>
      </w:r>
      <w:r w:rsidRPr="00DE096C">
        <w:rPr>
          <w:bCs/>
          <w:color w:val="002060"/>
          <w:sz w:val="16"/>
          <w:szCs w:val="16"/>
        </w:rPr>
        <w:t>в 1914 году французский военный пилот сержант Роланд Гарро, служивший летчиком-сдатчиком на фирме «Моран», подал рапорт об изобретении, позволяющем стрелять из пулемета через лопасти винта самолета. Гарро совместно с майором де Роз изобрел устройство, позволяющее стрелять из пулемета через плоскость, сметаемую винтом работающего мотора. Вскоре серийные военные самолеты Моран-Сольнье, ранее используемые только в разведывательных целях, оснащаются новинкой Гарро и пулеметом - он устанавливался параллельно оси летательного аппарата. Идея Гарро состояла в применении стальных угольников (призм-отсекателей) пуль в тех местах лопастей винта, которые пересекаются траекториями пуль. По сравнения с общей площадью, так называемого ометаемого диска винта, поверхность двух лопастей весьма невелика, она составляет лишь сотые доли площади круга. Подчиняясь законам вероятности, пули благополучно пролетали мимо лопастей, и только семь процентов встречали на своем пути преграду. Но не разносили лопасть в щепу, а рикошетировали от стальных угольников Гарро. Нужно признать, что такое решение приемлемо для французских «мягких» свинцовых пуль и неприемлемо для германских пуль со стальным сердечником. Винт Гарро был установлен на двухместный самолет-моноплан "Моран-Сольнье L", снабженные пулеметами и винтами Гарро, они были применены на фронте в марте 1915 года. "Моран-Сольнье L", с пулеотбойником имел существенный недостаток – на нём нельзя было использовать бронебойные пули, поражающие двигатель, но и с обычными пулями нагрузок часто не выдерживали лопасти и ось редуктора (14819).</w:t>
      </w:r>
    </w:p>
    <w:p w14:paraId="74960002" w14:textId="77777777" w:rsidR="00931B59" w:rsidRPr="00DE096C" w:rsidRDefault="00931B59" w:rsidP="00D45A46">
      <w:pPr>
        <w:jc w:val="both"/>
        <w:rPr>
          <w:bCs/>
          <w:color w:val="002060"/>
          <w:sz w:val="16"/>
          <w:szCs w:val="16"/>
        </w:rPr>
      </w:pPr>
    </w:p>
    <w:p w14:paraId="398B4822" w14:textId="77777777" w:rsidR="00931B59" w:rsidRPr="00DE096C" w:rsidRDefault="00931B59" w:rsidP="00D45A46">
      <w:pPr>
        <w:jc w:val="both"/>
        <w:rPr>
          <w:bCs/>
          <w:i/>
          <w:color w:val="002060"/>
          <w:sz w:val="16"/>
          <w:szCs w:val="16"/>
        </w:rPr>
      </w:pPr>
      <w:r w:rsidRPr="00DE096C">
        <w:rPr>
          <w:bCs/>
          <w:i/>
          <w:color w:val="002060"/>
          <w:sz w:val="16"/>
          <w:szCs w:val="16"/>
        </w:rPr>
        <w:t>За рубежом:</w:t>
      </w:r>
    </w:p>
    <w:p w14:paraId="2F5B207C" w14:textId="77777777" w:rsidR="00931B59" w:rsidRPr="00DE096C" w:rsidRDefault="00931B59" w:rsidP="00D45A46">
      <w:pPr>
        <w:jc w:val="both"/>
        <w:rPr>
          <w:bCs/>
          <w:color w:val="002060"/>
          <w:sz w:val="16"/>
          <w:szCs w:val="16"/>
        </w:rPr>
      </w:pPr>
    </w:p>
    <w:p w14:paraId="55FA109C" w14:textId="14A512B3" w:rsidR="00931B59" w:rsidRPr="00DE096C" w:rsidRDefault="00931B59" w:rsidP="00D45A46">
      <w:pPr>
        <w:jc w:val="both"/>
        <w:rPr>
          <w:bCs/>
          <w:color w:val="002060"/>
          <w:sz w:val="16"/>
          <w:szCs w:val="16"/>
        </w:rPr>
      </w:pPr>
      <w:r w:rsidRPr="00DE096C">
        <w:rPr>
          <w:rStyle w:val="ucoz-forum-post"/>
          <w:bCs/>
          <w:color w:val="002060"/>
          <w:sz w:val="16"/>
          <w:szCs w:val="16"/>
        </w:rPr>
        <w:t xml:space="preserve">21 ноября (3 ноября) </w:t>
      </w:r>
      <w:r w:rsidRPr="00DE096C">
        <w:rPr>
          <w:bCs/>
          <w:color w:val="002060"/>
          <w:sz w:val="16"/>
          <w:szCs w:val="16"/>
        </w:rPr>
        <w:t>в 1914 году произошел знаменитый бой за порт Таньга в Немецкой Восточной Африке. Битву эту также называют "битвой пчел" и она была первым боестолкновением англичан с немцами на территории Африки в Первой мировой войне. Английский генерал Айткен, получивший приказ захватить десантом порт и город, высадил около 8000 солдат из Индии, в основном слабо обученных, на расстоянии около 3 км до города, т.к. неверно предполагал, что порт заминирован. Начав выдвижение к городу без разведки и должного охранения, англичане натолкнулись на оборону ополченцев под командованием фон Леттов-Форбека и понесли тяжелые потери. Бой шел с переменным успехом, пока в его ход не вмешались разъяренные дикие пчелы, окончательно деморализовавшие английские войска. Туземное ополчение Леттов-Форбека, численность которого составляла около 1000 человек контратаковало и опрокинуло англичан вечером 4 ноября. На следующий день англичане были вынуждены отступить и начать эвакуацию. Английские потери составили 360 убитых и 487 раненых, немцы потеряли 67 человек убитыми и 81 ранеными. Эта битва была началом в цепи долгого и довольно успешного сопротивления сил под командованием Леттов-Форбека в Африке, которое отвлекало значителньые силы союзников с основных театров (14819).</w:t>
      </w:r>
    </w:p>
    <w:p w14:paraId="755C0929" w14:textId="77777777" w:rsidR="00931B59" w:rsidRPr="00DE096C" w:rsidRDefault="00931B59" w:rsidP="00D45A46">
      <w:pPr>
        <w:jc w:val="both"/>
        <w:rPr>
          <w:bCs/>
          <w:color w:val="002060"/>
          <w:sz w:val="16"/>
          <w:szCs w:val="16"/>
        </w:rPr>
      </w:pPr>
    </w:p>
    <w:p w14:paraId="3AA51D4F"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6B622BD3" w14:textId="77777777" w:rsidR="00B67D7C" w:rsidRPr="00DE096C" w:rsidRDefault="00B67D7C" w:rsidP="00D45A46">
      <w:pPr>
        <w:shd w:val="clear" w:color="auto" w:fill="FFFFFF"/>
        <w:jc w:val="both"/>
        <w:rPr>
          <w:bCs/>
          <w:i/>
          <w:color w:val="002060"/>
          <w:sz w:val="16"/>
          <w:szCs w:val="16"/>
        </w:rPr>
      </w:pPr>
    </w:p>
    <w:p w14:paraId="3B35159B" w14:textId="5CA148BC"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22 октября </w:t>
      </w:r>
      <w:r w:rsidR="00931B59" w:rsidRPr="00DE096C">
        <w:rPr>
          <w:bCs/>
          <w:color w:val="002060"/>
          <w:sz w:val="16"/>
          <w:szCs w:val="16"/>
        </w:rPr>
        <w:t xml:space="preserve">(4 ноября) 1914 г., согласно пометы Роппи, </w:t>
      </w:r>
      <w:r w:rsidRPr="00DE096C">
        <w:rPr>
          <w:bCs/>
          <w:color w:val="002060"/>
          <w:sz w:val="16"/>
          <w:szCs w:val="16"/>
        </w:rPr>
        <w:t>состоялось решение Военного совета, кото</w:t>
      </w:r>
      <w:r w:rsidRPr="00DE096C">
        <w:rPr>
          <w:bCs/>
          <w:color w:val="002060"/>
          <w:sz w:val="16"/>
          <w:szCs w:val="16"/>
        </w:rPr>
        <w:softHyphen/>
        <w:t>рое удовлетворило просьбу Главного военно-технического управления</w:t>
      </w:r>
      <w:r w:rsidR="00931B59" w:rsidRPr="00DE096C">
        <w:rPr>
          <w:bCs/>
          <w:color w:val="002060"/>
          <w:sz w:val="16"/>
          <w:szCs w:val="16"/>
        </w:rPr>
        <w:t xml:space="preserve"> об отсрочке срока поставки самолетов Пер</w:t>
      </w:r>
      <w:r w:rsidR="00931B59" w:rsidRPr="00DE096C">
        <w:rPr>
          <w:bCs/>
          <w:color w:val="002060"/>
          <w:sz w:val="16"/>
          <w:szCs w:val="16"/>
        </w:rPr>
        <w:softHyphen/>
        <w:t>вым российским товариществом воздухоплавания «С. С. Щетинин и К°»</w:t>
      </w:r>
      <w:r w:rsidRPr="00DE096C">
        <w:rPr>
          <w:bCs/>
          <w:color w:val="002060"/>
          <w:sz w:val="16"/>
          <w:szCs w:val="16"/>
        </w:rPr>
        <w:t>, отметив, что Во</w:t>
      </w:r>
      <w:r w:rsidRPr="00DE096C">
        <w:rPr>
          <w:bCs/>
          <w:color w:val="002060"/>
          <w:sz w:val="16"/>
          <w:szCs w:val="16"/>
        </w:rPr>
        <w:softHyphen/>
        <w:t>енный совет, не входя в обсуждение последствий за просрочки по частным срокам 15 июня и 15 июля 1914 г., положил: конечный срок поставки отсрочить до 8 февраля 1915 года. Изложенное сообщается по постановлению Военного совета для немедленного исполнения».</w:t>
      </w:r>
    </w:p>
    <w:p w14:paraId="7E8AC21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Начальник Управления генерал-лейтенант барон Ропп</w:t>
      </w:r>
    </w:p>
    <w:p w14:paraId="2C458E1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РГВИА. Ф. 29. Оп. 3. Д. 861. Л. 73-74. Подлинник (10707).</w:t>
      </w:r>
    </w:p>
    <w:p w14:paraId="036964E0" w14:textId="77777777" w:rsidR="00B67D7C" w:rsidRPr="00DE096C" w:rsidRDefault="00B67D7C" w:rsidP="00D45A46">
      <w:pPr>
        <w:shd w:val="clear" w:color="auto" w:fill="FFFFFF"/>
        <w:jc w:val="both"/>
        <w:rPr>
          <w:bCs/>
          <w:color w:val="002060"/>
          <w:sz w:val="16"/>
          <w:szCs w:val="16"/>
        </w:rPr>
      </w:pPr>
    </w:p>
    <w:p w14:paraId="7D4F884A" w14:textId="77777777" w:rsidR="00BC737D" w:rsidRPr="00DE096C" w:rsidRDefault="00BC737D" w:rsidP="00D45A46">
      <w:pPr>
        <w:jc w:val="both"/>
        <w:rPr>
          <w:bCs/>
          <w:i/>
          <w:color w:val="002060"/>
          <w:sz w:val="16"/>
          <w:szCs w:val="16"/>
        </w:rPr>
      </w:pPr>
      <w:r w:rsidRPr="00DE096C">
        <w:rPr>
          <w:bCs/>
          <w:i/>
          <w:color w:val="002060"/>
          <w:sz w:val="16"/>
          <w:szCs w:val="16"/>
        </w:rPr>
        <w:t>Жизнь и внутренняя политика:</w:t>
      </w:r>
    </w:p>
    <w:p w14:paraId="6F2C7172" w14:textId="77777777" w:rsidR="00BC737D" w:rsidRPr="00DE096C" w:rsidRDefault="00BC737D" w:rsidP="00D45A46">
      <w:pPr>
        <w:jc w:val="both"/>
        <w:rPr>
          <w:bCs/>
          <w:i/>
          <w:color w:val="002060"/>
          <w:sz w:val="16"/>
          <w:szCs w:val="16"/>
        </w:rPr>
      </w:pPr>
    </w:p>
    <w:p w14:paraId="17091847" w14:textId="43DB6D5C" w:rsidR="00BC737D" w:rsidRPr="00DE096C" w:rsidRDefault="00BC737D" w:rsidP="00D45A46">
      <w:pPr>
        <w:jc w:val="both"/>
        <w:rPr>
          <w:bCs/>
          <w:color w:val="002060"/>
          <w:sz w:val="16"/>
          <w:szCs w:val="16"/>
        </w:rPr>
      </w:pPr>
      <w:r w:rsidRPr="00DE096C">
        <w:rPr>
          <w:rStyle w:val="ucoz-forum-post"/>
          <w:rFonts w:eastAsiaTheme="majorEastAsia"/>
          <w:bCs/>
          <w:color w:val="002060"/>
          <w:sz w:val="16"/>
          <w:szCs w:val="16"/>
        </w:rPr>
        <w:t xml:space="preserve">22 октября </w:t>
      </w:r>
      <w:r w:rsidR="00931B59" w:rsidRPr="00DE096C">
        <w:rPr>
          <w:rStyle w:val="ucoz-forum-post"/>
          <w:rFonts w:eastAsiaTheme="majorEastAsia"/>
          <w:bCs/>
          <w:color w:val="002060"/>
          <w:sz w:val="16"/>
          <w:szCs w:val="16"/>
        </w:rPr>
        <w:t xml:space="preserve">(4 ноября) </w:t>
      </w:r>
      <w:r w:rsidRPr="00DE096C">
        <w:rPr>
          <w:bCs/>
          <w:color w:val="002060"/>
          <w:sz w:val="16"/>
          <w:szCs w:val="16"/>
        </w:rPr>
        <w:t>в 1914 году на совещании Московской городской управы и Комиссии гласных по мероприятиям, вызванным войной 1914 года, по инициативе великой княгини Елизаветы Федоровны.принято Решение о создании Братского кладбища при селе Всехсвятском близ Петроградского шоссе (ныне Ленинградский проспект, район станции метро «Сокол»). Братское кладбище создавалось «для погребения участников войны 1914 года - офицерских и нижних чинов, принимавших непосредственное участие в действиях против неприятеля, и участников военных и общественных санитарных организаций, погибших во время исполнения своего долга на театре военных действий». На работы по устройству кладбища в 1915 году Московская городская дума ассигновала 71520 рублей. Открытие Братского кладбища, взятого Елизаветой Федоровной под свое официальное покровительство, состоялось 15 февраля 1915 года на землях старинного парка близ церкви Всех Святых. Сначала в центре воинского некрополя находилась деревянная часовня, а 6 августа 1916 года на кладбище был заложен каменный храм-часовня во имя Преображения Господня, построенный по проекту архитектора А.Б.Щусева в 1918 году. К 1917 году на Братском кладбище было захоронено около 17,5 тысяч солдат, офицеров, сестер милосердия и врачей. 13 ноября 1917 года на Братском кладбище были похоронены юнкера и офицеры, погибшие в боях с красногвардейцами. В середине 1920-х годов Братское кладбище закрыто. В 1930-х годах на его территории велись работы по строительству метрополитена, разбит парк; в конце 1940-х годов, в связи с застройкой района Песчаных улиц, кладбище было ликвидировано. На месте храма-часовни в 1956 году был построен кинотеатр «Ленинград». Мемориал-некрополь стали возрождать только в конце 80-х годов ХХ века. 1 августа 2004 года, к 90-летию начала первой мировой войны, в сквере у Песчаной площади был открыт воинский мемориал, посвященный героям и защитникам Отечества. В составе мемориала - памятные знаки «Павшим в мировой войне 1914-1918 годов», «Российским сестрам милосердия», «Российским авиаторам, похороненным на московском городском братском кладбище», другие мемориальные композиции Центр мемориала - часовня Спаса Преображения, построенная в 1998 году (14807).</w:t>
      </w:r>
    </w:p>
    <w:p w14:paraId="52F52AFE" w14:textId="77777777" w:rsidR="00BC737D" w:rsidRPr="00DE096C" w:rsidRDefault="00BC737D" w:rsidP="00D45A46">
      <w:pPr>
        <w:jc w:val="both"/>
        <w:rPr>
          <w:bCs/>
          <w:color w:val="002060"/>
          <w:sz w:val="16"/>
          <w:szCs w:val="16"/>
        </w:rPr>
      </w:pPr>
    </w:p>
    <w:p w14:paraId="5EC071AE" w14:textId="77777777" w:rsidR="00221CF3" w:rsidRPr="00DE096C" w:rsidRDefault="00221CF3" w:rsidP="00D45A46">
      <w:pPr>
        <w:jc w:val="both"/>
        <w:rPr>
          <w:bCs/>
          <w:i/>
          <w:color w:val="002060"/>
          <w:sz w:val="16"/>
          <w:szCs w:val="16"/>
        </w:rPr>
      </w:pPr>
      <w:r w:rsidRPr="00DE096C">
        <w:rPr>
          <w:bCs/>
          <w:i/>
          <w:color w:val="002060"/>
          <w:sz w:val="16"/>
          <w:szCs w:val="16"/>
        </w:rPr>
        <w:t>За рубежом:</w:t>
      </w:r>
    </w:p>
    <w:p w14:paraId="17D60F7B" w14:textId="77777777" w:rsidR="00221CF3" w:rsidRPr="00DE096C" w:rsidRDefault="00221CF3" w:rsidP="00D45A46">
      <w:pPr>
        <w:jc w:val="both"/>
        <w:rPr>
          <w:bCs/>
          <w:color w:val="002060"/>
          <w:sz w:val="16"/>
          <w:szCs w:val="16"/>
        </w:rPr>
      </w:pPr>
    </w:p>
    <w:p w14:paraId="0A1CB169" w14:textId="77777777" w:rsidR="00221CF3" w:rsidRPr="00DE096C" w:rsidRDefault="00221CF3" w:rsidP="00D45A46">
      <w:pPr>
        <w:jc w:val="both"/>
        <w:rPr>
          <w:bCs/>
          <w:color w:val="002060"/>
          <w:sz w:val="16"/>
          <w:szCs w:val="16"/>
        </w:rPr>
      </w:pPr>
      <w:r w:rsidRPr="00DE096C">
        <w:rPr>
          <w:bCs/>
          <w:color w:val="002060"/>
          <w:sz w:val="16"/>
          <w:szCs w:val="16"/>
        </w:rPr>
        <w:t xml:space="preserve">22 октября (4 ноября) в 1914 году в 360 милях к востоку от острова Тринидад немецкий крейсер “Карлсруэ” вышел на рандеву с угольщиком для приемки бункера. Погрузка еще не начиналась, как вдруг в носовой части крейсера раздался мощнейший взрыв, потом еще несколько, которые полностью оторвали носовую часть корабля. Кормовая часть крейсера продержалась на плаву 27 минут, а угольщик успел спасти 146 матросов из его экипажа. 262 человека, в том числе командир </w:t>
      </w:r>
      <w:r w:rsidRPr="00DE096C">
        <w:rPr>
          <w:bCs/>
          <w:color w:val="002060"/>
          <w:sz w:val="16"/>
          <w:szCs w:val="16"/>
        </w:rPr>
        <w:lastRenderedPageBreak/>
        <w:t>крейсера, погибли при взрывах. Гибель корабля удалось скрыть и поиски крейсера проводились англичанами до марта 1915 года. Любопытно, что при взрыве носовх погребов крейсер переломился пополам и его носовая часть таранила собственную кормовую часть (14820).</w:t>
      </w:r>
    </w:p>
    <w:p w14:paraId="09CEC6D0" w14:textId="77777777" w:rsidR="00221CF3" w:rsidRPr="00DE096C" w:rsidRDefault="00221CF3" w:rsidP="00D45A46">
      <w:pPr>
        <w:jc w:val="both"/>
        <w:rPr>
          <w:bCs/>
          <w:color w:val="002060"/>
          <w:sz w:val="16"/>
          <w:szCs w:val="16"/>
        </w:rPr>
      </w:pPr>
    </w:p>
    <w:p w14:paraId="35F9E71A" w14:textId="49E09BA4" w:rsidR="00E56F21" w:rsidRPr="00DE096C" w:rsidRDefault="00E56F21" w:rsidP="00D45A46">
      <w:pPr>
        <w:shd w:val="clear" w:color="auto" w:fill="FFFFFF"/>
        <w:jc w:val="both"/>
        <w:rPr>
          <w:bCs/>
          <w:i/>
          <w:color w:val="002060"/>
          <w:sz w:val="16"/>
          <w:szCs w:val="16"/>
        </w:rPr>
      </w:pPr>
      <w:r w:rsidRPr="00DE096C">
        <w:rPr>
          <w:bCs/>
          <w:i/>
          <w:color w:val="002060"/>
          <w:sz w:val="16"/>
          <w:szCs w:val="16"/>
        </w:rPr>
        <w:t>Внешняя политика:</w:t>
      </w:r>
    </w:p>
    <w:p w14:paraId="260C26E9" w14:textId="77777777" w:rsidR="00E56F21" w:rsidRPr="00DE096C" w:rsidRDefault="00E56F21" w:rsidP="00D45A46">
      <w:pPr>
        <w:shd w:val="clear" w:color="auto" w:fill="FFFFFF"/>
        <w:jc w:val="both"/>
        <w:rPr>
          <w:bCs/>
          <w:i/>
          <w:color w:val="002060"/>
          <w:sz w:val="16"/>
          <w:szCs w:val="16"/>
        </w:rPr>
      </w:pPr>
    </w:p>
    <w:p w14:paraId="3B3D757D" w14:textId="00800BEA" w:rsidR="00E56F21" w:rsidRPr="00DE096C" w:rsidRDefault="00E56F21" w:rsidP="00D45A46">
      <w:pPr>
        <w:jc w:val="both"/>
        <w:rPr>
          <w:bCs/>
          <w:color w:val="002060"/>
          <w:sz w:val="16"/>
          <w:szCs w:val="16"/>
        </w:rPr>
      </w:pPr>
      <w:r w:rsidRPr="00DE096C">
        <w:rPr>
          <w:bCs/>
          <w:color w:val="002060"/>
          <w:sz w:val="16"/>
          <w:szCs w:val="16"/>
          <w:lang w:bidi="en-US"/>
        </w:rPr>
        <w:t xml:space="preserve">23 октября (5 ноября) 1914 г. великий князь Александр Михайлович был проинформирован о докладе российского военного атташе во Франции, в котором говорилось, что военное министерство Франции согласилось передать русским 15% всего производства моторов </w:t>
      </w:r>
      <w:r w:rsidRPr="00DE096C">
        <w:rPr>
          <w:bCs/>
          <w:color w:val="002060"/>
          <w:sz w:val="16"/>
          <w:szCs w:val="16"/>
          <w:lang w:val="en-US" w:bidi="en-US"/>
        </w:rPr>
        <w:t>Salmson</w:t>
      </w:r>
      <w:r w:rsidRPr="00DE096C">
        <w:rPr>
          <w:bCs/>
          <w:color w:val="002060"/>
          <w:sz w:val="16"/>
          <w:szCs w:val="16"/>
          <w:lang w:bidi="en-US"/>
        </w:rPr>
        <w:t xml:space="preserve">, самолетов </w:t>
      </w:r>
      <w:r w:rsidRPr="00DE096C">
        <w:rPr>
          <w:bCs/>
          <w:color w:val="002060"/>
          <w:sz w:val="16"/>
          <w:szCs w:val="16"/>
          <w:lang w:val="en-US" w:bidi="en-US"/>
        </w:rPr>
        <w:t>Voisin</w:t>
      </w:r>
      <w:r w:rsidRPr="00DE096C">
        <w:rPr>
          <w:bCs/>
          <w:color w:val="002060"/>
          <w:sz w:val="16"/>
          <w:szCs w:val="16"/>
          <w:lang w:bidi="en-US"/>
        </w:rPr>
        <w:t xml:space="preserve"> и </w:t>
      </w:r>
      <w:r w:rsidRPr="00DE096C">
        <w:rPr>
          <w:bCs/>
          <w:color w:val="002060"/>
          <w:sz w:val="16"/>
          <w:szCs w:val="16"/>
          <w:lang w:val="en-US" w:bidi="en-US"/>
        </w:rPr>
        <w:t>Morane</w:t>
      </w:r>
      <w:r w:rsidRPr="00DE096C">
        <w:rPr>
          <w:bCs/>
          <w:color w:val="002060"/>
          <w:sz w:val="16"/>
          <w:szCs w:val="16"/>
          <w:lang w:bidi="en-US"/>
        </w:rPr>
        <w:t xml:space="preserve"> </w:t>
      </w:r>
      <w:r w:rsidRPr="00DE096C">
        <w:rPr>
          <w:bCs/>
          <w:color w:val="002060"/>
          <w:sz w:val="16"/>
          <w:szCs w:val="16"/>
          <w:lang w:val="en-US" w:bidi="en-US"/>
        </w:rPr>
        <w:t>Parasol</w:t>
      </w:r>
      <w:r w:rsidRPr="00DE096C">
        <w:rPr>
          <w:bCs/>
          <w:color w:val="002060"/>
          <w:sz w:val="16"/>
          <w:szCs w:val="16"/>
          <w:lang w:bidi="en-US"/>
        </w:rPr>
        <w:t xml:space="preserve"> (23525).</w:t>
      </w:r>
    </w:p>
    <w:p w14:paraId="3FD102C5" w14:textId="77777777" w:rsidR="00E56F21" w:rsidRPr="00DE096C" w:rsidRDefault="00E56F21" w:rsidP="00D45A46">
      <w:pPr>
        <w:jc w:val="both"/>
        <w:rPr>
          <w:bCs/>
          <w:color w:val="002060"/>
          <w:sz w:val="16"/>
          <w:szCs w:val="16"/>
          <w:lang w:bidi="en-US"/>
        </w:rPr>
      </w:pPr>
    </w:p>
    <w:p w14:paraId="5064088C" w14:textId="6DA7906A" w:rsidR="00E56F21" w:rsidRPr="00DE096C" w:rsidRDefault="00E56F21" w:rsidP="00D45A46">
      <w:pPr>
        <w:jc w:val="both"/>
        <w:rPr>
          <w:bCs/>
          <w:color w:val="002060"/>
          <w:sz w:val="16"/>
          <w:szCs w:val="16"/>
        </w:rPr>
      </w:pPr>
      <w:r w:rsidRPr="00DE096C">
        <w:rPr>
          <w:bCs/>
          <w:color w:val="002060"/>
          <w:sz w:val="16"/>
          <w:szCs w:val="16"/>
          <w:lang w:bidi="en-US"/>
        </w:rPr>
        <w:t>23 октября (5 ноября) 1914 года Франция и Великобритания объявили войну Османской империи (23525).</w:t>
      </w:r>
    </w:p>
    <w:p w14:paraId="28A8B98E" w14:textId="77777777" w:rsidR="00E56F21" w:rsidRPr="00DE096C" w:rsidRDefault="00E56F21" w:rsidP="00D45A46">
      <w:pPr>
        <w:jc w:val="both"/>
        <w:rPr>
          <w:bCs/>
          <w:color w:val="002060"/>
          <w:sz w:val="16"/>
          <w:szCs w:val="16"/>
          <w:lang w:bidi="ru-RU"/>
        </w:rPr>
      </w:pPr>
    </w:p>
    <w:p w14:paraId="416E9B1C" w14:textId="4F23A8B6" w:rsidR="00BD709A" w:rsidRPr="00DE096C" w:rsidRDefault="00BD709A" w:rsidP="00D45A46">
      <w:pPr>
        <w:shd w:val="clear" w:color="auto" w:fill="FFFFFF"/>
        <w:jc w:val="both"/>
        <w:rPr>
          <w:bCs/>
          <w:i/>
          <w:color w:val="002060"/>
          <w:sz w:val="16"/>
          <w:szCs w:val="16"/>
        </w:rPr>
      </w:pPr>
      <w:r w:rsidRPr="00DE096C">
        <w:rPr>
          <w:bCs/>
          <w:i/>
          <w:color w:val="002060"/>
          <w:sz w:val="16"/>
          <w:szCs w:val="16"/>
        </w:rPr>
        <w:t>Авиация и воздухоплавание Англии:</w:t>
      </w:r>
    </w:p>
    <w:p w14:paraId="4B414CC6" w14:textId="77777777" w:rsidR="00BD709A" w:rsidRPr="00DE096C" w:rsidRDefault="00BD709A" w:rsidP="00D45A46">
      <w:pPr>
        <w:shd w:val="clear" w:color="auto" w:fill="FFFFFF"/>
        <w:jc w:val="both"/>
        <w:rPr>
          <w:bCs/>
          <w:i/>
          <w:color w:val="002060"/>
          <w:sz w:val="16"/>
          <w:szCs w:val="16"/>
        </w:rPr>
      </w:pPr>
    </w:p>
    <w:p w14:paraId="57EE50CE" w14:textId="77777777" w:rsidR="00BD709A" w:rsidRPr="00DE096C" w:rsidRDefault="00BD709A" w:rsidP="00D45A46">
      <w:pPr>
        <w:jc w:val="both"/>
        <w:rPr>
          <w:bCs/>
          <w:color w:val="002060"/>
          <w:sz w:val="16"/>
          <w:szCs w:val="16"/>
        </w:rPr>
      </w:pPr>
      <w:r w:rsidRPr="00DE096C">
        <w:rPr>
          <w:bCs/>
          <w:color w:val="002060"/>
          <w:sz w:val="16"/>
          <w:szCs w:val="16"/>
        </w:rPr>
        <w:t>23 октября (5 ноября) и 26 ноября (7 декабря) 1914 г. Военное министерство и Адмиралтейство захотели получить больше самолетов Бристоль Скаут, оформив первые заказы Серийные аэропланы Бристоль Тип 1 «Скаут» С отличались от модели В лишь ветровым козырьком и слегка переделанным гаргротом, но фирма, которая так давно просила заказ, оказалась не готова его выполнять, успев загрузить мощности выпуском лицензионных бипланов RAF B.E.2. Головной «Скаут» С она сдала Адмиралтейству на испытания только 16 февраля 1915 г., в строевой части RFC он появились 23 апреля, а в авиакрыле RNAS — 3 июня (22759).</w:t>
      </w:r>
    </w:p>
    <w:p w14:paraId="6C9EC154" w14:textId="77777777" w:rsidR="00BD709A" w:rsidRPr="00DE096C" w:rsidRDefault="00BD709A" w:rsidP="00D45A46">
      <w:pPr>
        <w:jc w:val="both"/>
        <w:rPr>
          <w:bCs/>
          <w:color w:val="002060"/>
          <w:sz w:val="16"/>
          <w:szCs w:val="16"/>
        </w:rPr>
      </w:pPr>
    </w:p>
    <w:p w14:paraId="03607253" w14:textId="77777777" w:rsidR="00221CF3" w:rsidRPr="00DE096C" w:rsidRDefault="00221CF3" w:rsidP="00D45A46">
      <w:pPr>
        <w:jc w:val="both"/>
        <w:rPr>
          <w:bCs/>
          <w:i/>
          <w:color w:val="002060"/>
          <w:sz w:val="16"/>
          <w:szCs w:val="16"/>
        </w:rPr>
      </w:pPr>
      <w:r w:rsidRPr="00DE096C">
        <w:rPr>
          <w:bCs/>
          <w:i/>
          <w:color w:val="002060"/>
          <w:sz w:val="16"/>
          <w:szCs w:val="16"/>
        </w:rPr>
        <w:t>За рубежом:</w:t>
      </w:r>
    </w:p>
    <w:p w14:paraId="260E7DE5" w14:textId="77777777" w:rsidR="00221CF3" w:rsidRPr="00DE096C" w:rsidRDefault="00221CF3" w:rsidP="00D45A46">
      <w:pPr>
        <w:jc w:val="both"/>
        <w:rPr>
          <w:bCs/>
          <w:color w:val="002060"/>
          <w:sz w:val="16"/>
          <w:szCs w:val="16"/>
        </w:rPr>
      </w:pPr>
    </w:p>
    <w:p w14:paraId="15008652" w14:textId="77777777" w:rsidR="00221CF3" w:rsidRPr="00DE096C" w:rsidRDefault="00221CF3" w:rsidP="00D45A46">
      <w:pPr>
        <w:jc w:val="both"/>
        <w:rPr>
          <w:bCs/>
          <w:color w:val="002060"/>
          <w:sz w:val="16"/>
          <w:szCs w:val="16"/>
        </w:rPr>
      </w:pPr>
      <w:r w:rsidRPr="00DE096C">
        <w:rPr>
          <w:bCs/>
          <w:color w:val="002060"/>
          <w:sz w:val="16"/>
          <w:szCs w:val="16"/>
        </w:rPr>
        <w:t>23 октября (5 ноября) в 1914 году Франция и Великобритания объявили войну Турции (14821).</w:t>
      </w:r>
    </w:p>
    <w:p w14:paraId="502DC03E" w14:textId="77777777" w:rsidR="00221CF3" w:rsidRPr="00DE096C" w:rsidRDefault="00221CF3" w:rsidP="00D45A46">
      <w:pPr>
        <w:jc w:val="both"/>
        <w:rPr>
          <w:bCs/>
          <w:color w:val="002060"/>
          <w:sz w:val="16"/>
          <w:szCs w:val="16"/>
        </w:rPr>
      </w:pPr>
    </w:p>
    <w:p w14:paraId="0634FD2B" w14:textId="77777777" w:rsidR="00221CF3" w:rsidRPr="00DE096C" w:rsidRDefault="00221CF3" w:rsidP="00D45A46">
      <w:pPr>
        <w:jc w:val="both"/>
        <w:rPr>
          <w:bCs/>
          <w:color w:val="002060"/>
          <w:sz w:val="16"/>
          <w:szCs w:val="16"/>
        </w:rPr>
      </w:pPr>
      <w:r w:rsidRPr="00DE096C">
        <w:rPr>
          <w:bCs/>
          <w:color w:val="002060"/>
          <w:sz w:val="16"/>
          <w:szCs w:val="16"/>
        </w:rPr>
        <w:t>23 октября (5 ноября) в 1914 году Великобритания проводит аннексию Кипра, который она оккупировала еще в июне 1878 (14821).</w:t>
      </w:r>
    </w:p>
    <w:p w14:paraId="39E10AA7" w14:textId="77777777" w:rsidR="00221CF3" w:rsidRPr="00DE096C" w:rsidRDefault="00221CF3" w:rsidP="00D45A46">
      <w:pPr>
        <w:jc w:val="both"/>
        <w:rPr>
          <w:bCs/>
          <w:color w:val="002060"/>
          <w:sz w:val="16"/>
          <w:szCs w:val="16"/>
        </w:rPr>
      </w:pPr>
    </w:p>
    <w:p w14:paraId="60D40317" w14:textId="77777777" w:rsidR="00BC737D" w:rsidRPr="00DE096C" w:rsidRDefault="00BC737D" w:rsidP="00D45A46">
      <w:pPr>
        <w:jc w:val="both"/>
        <w:rPr>
          <w:bCs/>
          <w:i/>
          <w:color w:val="002060"/>
          <w:sz w:val="16"/>
          <w:szCs w:val="16"/>
        </w:rPr>
      </w:pPr>
      <w:r w:rsidRPr="00DE096C">
        <w:rPr>
          <w:bCs/>
          <w:i/>
          <w:color w:val="002060"/>
          <w:sz w:val="16"/>
          <w:szCs w:val="16"/>
        </w:rPr>
        <w:t>Другие оборонные отрасли:</w:t>
      </w:r>
    </w:p>
    <w:p w14:paraId="40878630" w14:textId="77777777" w:rsidR="00BC737D" w:rsidRPr="00DE096C" w:rsidRDefault="00BC737D" w:rsidP="00D45A46">
      <w:pPr>
        <w:jc w:val="both"/>
        <w:rPr>
          <w:bCs/>
          <w:i/>
          <w:color w:val="002060"/>
          <w:sz w:val="16"/>
          <w:szCs w:val="16"/>
        </w:rPr>
      </w:pPr>
    </w:p>
    <w:p w14:paraId="2A33AA71" w14:textId="157149D9" w:rsidR="00BC737D" w:rsidRPr="00DE096C" w:rsidRDefault="00BC737D" w:rsidP="00D45A46">
      <w:pPr>
        <w:jc w:val="both"/>
        <w:rPr>
          <w:bCs/>
          <w:color w:val="002060"/>
          <w:sz w:val="16"/>
          <w:szCs w:val="16"/>
        </w:rPr>
      </w:pPr>
      <w:r w:rsidRPr="00DE096C">
        <w:rPr>
          <w:bCs/>
          <w:color w:val="002060"/>
          <w:sz w:val="16"/>
          <w:szCs w:val="16"/>
        </w:rPr>
        <w:t xml:space="preserve">24 октября </w:t>
      </w:r>
      <w:r w:rsidR="00221CF3" w:rsidRPr="00DE096C">
        <w:rPr>
          <w:bCs/>
          <w:color w:val="002060"/>
          <w:sz w:val="16"/>
          <w:szCs w:val="16"/>
        </w:rPr>
        <w:t xml:space="preserve">(6 октября) </w:t>
      </w:r>
      <w:r w:rsidRPr="00DE096C">
        <w:rPr>
          <w:bCs/>
          <w:color w:val="002060"/>
          <w:sz w:val="16"/>
          <w:szCs w:val="16"/>
        </w:rPr>
        <w:t>1914 г. по приказу военного министра «… Петроградская радиостанция на заводе фирмы передается под наблюдение и руководство Комитета при Главном военно-техническом управлении по устройству постоянных радиостанций» (18297).</w:t>
      </w:r>
    </w:p>
    <w:p w14:paraId="1B1E8413" w14:textId="77777777" w:rsidR="00BC737D" w:rsidRPr="00DE096C" w:rsidRDefault="00BC737D" w:rsidP="00D45A46">
      <w:pPr>
        <w:jc w:val="both"/>
        <w:rPr>
          <w:bCs/>
          <w:color w:val="002060"/>
          <w:sz w:val="16"/>
          <w:szCs w:val="16"/>
        </w:rPr>
      </w:pPr>
    </w:p>
    <w:p w14:paraId="69A78FD2" w14:textId="23FB49F5" w:rsidR="00E56F21" w:rsidRPr="00DE096C" w:rsidRDefault="00E56F21" w:rsidP="00D45A46">
      <w:pPr>
        <w:shd w:val="clear" w:color="auto" w:fill="FFFFFF"/>
        <w:jc w:val="both"/>
        <w:rPr>
          <w:bCs/>
          <w:i/>
          <w:color w:val="002060"/>
          <w:sz w:val="16"/>
          <w:szCs w:val="16"/>
        </w:rPr>
      </w:pPr>
      <w:r w:rsidRPr="00DE096C">
        <w:rPr>
          <w:bCs/>
          <w:i/>
          <w:color w:val="002060"/>
          <w:sz w:val="16"/>
          <w:szCs w:val="16"/>
        </w:rPr>
        <w:t>Морская авиация:</w:t>
      </w:r>
    </w:p>
    <w:p w14:paraId="6A907C9A" w14:textId="77777777" w:rsidR="00E56F21" w:rsidRPr="00DE096C" w:rsidRDefault="00E56F21" w:rsidP="00D45A46">
      <w:pPr>
        <w:shd w:val="clear" w:color="auto" w:fill="FFFFFF"/>
        <w:jc w:val="both"/>
        <w:rPr>
          <w:bCs/>
          <w:i/>
          <w:color w:val="002060"/>
          <w:sz w:val="16"/>
          <w:szCs w:val="16"/>
        </w:rPr>
      </w:pPr>
    </w:p>
    <w:p w14:paraId="44092073" w14:textId="72842B57" w:rsidR="00E56F21" w:rsidRPr="00DE096C" w:rsidRDefault="00736E34" w:rsidP="00D45A46">
      <w:pPr>
        <w:jc w:val="both"/>
        <w:rPr>
          <w:bCs/>
          <w:color w:val="002060"/>
          <w:sz w:val="16"/>
          <w:szCs w:val="16"/>
          <w:lang w:bidi="en-US"/>
        </w:rPr>
      </w:pPr>
      <w:r>
        <w:rPr>
          <w:bCs/>
          <w:color w:val="002060"/>
          <w:sz w:val="16"/>
          <w:szCs w:val="16"/>
          <w:lang w:bidi="ru-RU"/>
        </w:rPr>
        <w:t>24/25 рктября (</w:t>
      </w:r>
      <w:r w:rsidR="00E56F21" w:rsidRPr="00DE096C">
        <w:rPr>
          <w:bCs/>
          <w:color w:val="002060"/>
          <w:sz w:val="16"/>
          <w:szCs w:val="16"/>
          <w:lang w:bidi="ru-RU"/>
        </w:rPr>
        <w:t>6/7 ноября</w:t>
      </w:r>
      <w:r>
        <w:rPr>
          <w:bCs/>
          <w:color w:val="002060"/>
          <w:sz w:val="16"/>
          <w:szCs w:val="16"/>
          <w:lang w:bidi="ru-RU"/>
        </w:rPr>
        <w:t>)</w:t>
      </w:r>
      <w:r w:rsidR="00E56F21" w:rsidRPr="00DE096C">
        <w:rPr>
          <w:bCs/>
          <w:color w:val="002060"/>
          <w:sz w:val="16"/>
          <w:szCs w:val="16"/>
          <w:lang w:bidi="ru-RU"/>
        </w:rPr>
        <w:t xml:space="preserve"> 1914 г. </w:t>
      </w:r>
      <w:r w:rsidR="00E56F21" w:rsidRPr="00DE096C">
        <w:rPr>
          <w:bCs/>
          <w:color w:val="002060"/>
          <w:sz w:val="16"/>
          <w:szCs w:val="16"/>
          <w:lang w:bidi="en-US"/>
        </w:rPr>
        <w:t>в Черном море из Константинополя в Трапезунд вышел отряд турецкой авиации с двумя лоцманами и двумя «Блерио» и наземным экипажем. Корабль без сопровождения был потоплен российским военным кораблем. Экипаж был схвачен и отправлен в Сибирь. Отсутствие немецкой авиации не позволяло турецкой авиации действовать на Кавказе до лета 1916 года (23525).</w:t>
      </w:r>
    </w:p>
    <w:p w14:paraId="2D2EA2F6" w14:textId="77777777" w:rsidR="00E56F21" w:rsidRPr="00DE096C" w:rsidRDefault="00E56F21" w:rsidP="00D45A46">
      <w:pPr>
        <w:jc w:val="both"/>
        <w:rPr>
          <w:bCs/>
          <w:color w:val="002060"/>
          <w:sz w:val="16"/>
          <w:szCs w:val="16"/>
          <w:lang w:bidi="en-US"/>
        </w:rPr>
      </w:pPr>
    </w:p>
    <w:p w14:paraId="54FD24D8" w14:textId="5C455310"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0E7B5407" w14:textId="77777777" w:rsidR="00B67D7C" w:rsidRPr="00DE096C" w:rsidRDefault="00B67D7C" w:rsidP="00D45A46">
      <w:pPr>
        <w:shd w:val="clear" w:color="auto" w:fill="FFFFFF"/>
        <w:jc w:val="both"/>
        <w:rPr>
          <w:bCs/>
          <w:i/>
          <w:color w:val="002060"/>
          <w:sz w:val="16"/>
          <w:szCs w:val="16"/>
        </w:rPr>
      </w:pPr>
    </w:p>
    <w:p w14:paraId="2C53570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25 октября (7 ноября) 1914 в ОВФ пришло письмо от этого богатого польского по</w:t>
      </w:r>
      <w:r w:rsidRPr="00DE096C">
        <w:rPr>
          <w:bCs/>
          <w:color w:val="002060"/>
          <w:sz w:val="16"/>
          <w:szCs w:val="16"/>
        </w:rPr>
        <w:softHyphen/>
        <w:t>мещика с предложением финансировать строительство самолета Слесарева с тем, чтобы потом использовать его для проведения челночных операций с территории России на территорию Франции и обратно, с целью бомбардировки крупповских заводов в Эссене. Маяынский в 1910 г. окончил в Париже авиационную школу А.Фармана и в предвоенные годы строил планы перелета через Балтийское море, а с началом войны, "имея намерение принять ак</w:t>
      </w:r>
      <w:r w:rsidRPr="00DE096C">
        <w:rPr>
          <w:bCs/>
          <w:color w:val="002060"/>
          <w:sz w:val="16"/>
          <w:szCs w:val="16"/>
        </w:rPr>
        <w:softHyphen/>
        <w:t>тивное участие" /ЦГВИА, ф. 2008, оп. 1, д. 343, л. 2/ в ней, предложил свой "военный проект". При этом он просил ОВФ оказать содействие в контроле за ходом строительства самолета, получении необходимых двигателей и в приемке самолета по существоавшим нормам / ЦГВИА, ф. 2008, оп. 1, д. 343, л. 7/ (11069).</w:t>
      </w:r>
    </w:p>
    <w:p w14:paraId="143F64A4" w14:textId="77777777" w:rsidR="00B67D7C" w:rsidRPr="00DE096C" w:rsidRDefault="00B67D7C" w:rsidP="00D45A46">
      <w:pPr>
        <w:shd w:val="clear" w:color="auto" w:fill="FFFFFF"/>
        <w:jc w:val="both"/>
        <w:rPr>
          <w:bCs/>
          <w:color w:val="002060"/>
          <w:sz w:val="16"/>
          <w:szCs w:val="16"/>
        </w:rPr>
      </w:pPr>
    </w:p>
    <w:p w14:paraId="5F04B607"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w:t>
      </w:r>
    </w:p>
    <w:p w14:paraId="52C80B33" w14:textId="77777777" w:rsidR="00B67D7C" w:rsidRPr="00DE096C" w:rsidRDefault="00B67D7C" w:rsidP="00D45A46">
      <w:pPr>
        <w:shd w:val="clear" w:color="auto" w:fill="FFFFFF"/>
        <w:jc w:val="both"/>
        <w:rPr>
          <w:bCs/>
          <w:i/>
          <w:color w:val="002060"/>
          <w:sz w:val="16"/>
          <w:szCs w:val="16"/>
        </w:rPr>
      </w:pPr>
    </w:p>
    <w:p w14:paraId="5F628981" w14:textId="77777777" w:rsidR="00B67D7C" w:rsidRPr="00DE096C" w:rsidRDefault="00B67D7C" w:rsidP="00D45A46">
      <w:pPr>
        <w:shd w:val="clear" w:color="auto" w:fill="FFFFFF"/>
        <w:jc w:val="both"/>
        <w:rPr>
          <w:bCs/>
          <w:i/>
          <w:color w:val="002060"/>
          <w:sz w:val="16"/>
          <w:szCs w:val="16"/>
        </w:rPr>
      </w:pPr>
      <w:r w:rsidRPr="00DE096C">
        <w:rPr>
          <w:bCs/>
          <w:color w:val="002060"/>
          <w:sz w:val="16"/>
          <w:szCs w:val="16"/>
        </w:rPr>
        <w:t xml:space="preserve">25 октября (7 ноября) 1914 в связи с многочисленными запросами добровольцев о порядке поступления в авиационные отряды верховный главнокомандующий в своем приказе писал:, "Прием в армию со стороны робровольцев-летчиков и летчиц казалось бы правильным обусловить лишь прибытием со своими собственными аппаратами, так как представлению этим лицам казенных аппаратов, которых в большинстве отрядов недостаточно и для офицеров-летчиков, не имеется никаких оснований. Этот приказ ограничивал приток робровольцев-летчиков, но скоро, в связи с большими потерями офиперов-летчиков, был отменен </w:t>
      </w:r>
      <w:r w:rsidRPr="00DE096C">
        <w:rPr>
          <w:bCs/>
          <w:i/>
          <w:color w:val="002060"/>
          <w:sz w:val="16"/>
          <w:szCs w:val="16"/>
        </w:rPr>
        <w:t>(ЦГВИА.. ф.2008, д.453, лл.156-191).</w:t>
      </w:r>
    </w:p>
    <w:p w14:paraId="6241FBDE" w14:textId="77777777" w:rsidR="00B67D7C" w:rsidRPr="00DE096C" w:rsidRDefault="00B67D7C" w:rsidP="00D45A46">
      <w:pPr>
        <w:shd w:val="clear" w:color="auto" w:fill="FFFFFF"/>
        <w:jc w:val="both"/>
        <w:rPr>
          <w:bCs/>
          <w:i/>
          <w:color w:val="002060"/>
          <w:sz w:val="16"/>
          <w:szCs w:val="16"/>
        </w:rPr>
      </w:pPr>
    </w:p>
    <w:p w14:paraId="55814CCF" w14:textId="77777777" w:rsidR="0070234C" w:rsidRPr="00DE096C" w:rsidRDefault="0070234C" w:rsidP="00D45A46">
      <w:pPr>
        <w:jc w:val="both"/>
        <w:rPr>
          <w:bCs/>
          <w:color w:val="002060"/>
          <w:sz w:val="16"/>
          <w:szCs w:val="16"/>
        </w:rPr>
      </w:pPr>
      <w:r w:rsidRPr="00DE096C">
        <w:rPr>
          <w:bCs/>
          <w:color w:val="002060"/>
          <w:sz w:val="16"/>
          <w:szCs w:val="16"/>
        </w:rPr>
        <w:t>25 октября (7 ноября) 1914 г. в связи о многочисленными запросами добровольцев о порядке поступления в авиационные отряды, Верховный главнокоман</w:t>
      </w:r>
      <w:r w:rsidRPr="00DE096C">
        <w:rPr>
          <w:bCs/>
          <w:color w:val="002060"/>
          <w:sz w:val="16"/>
          <w:szCs w:val="16"/>
        </w:rPr>
        <w:softHyphen/>
        <w:t>дующий в своем приказе писал: "Прием в армию со стороны доброволь</w:t>
      </w:r>
      <w:r w:rsidRPr="00DE096C">
        <w:rPr>
          <w:bCs/>
          <w:color w:val="002060"/>
          <w:sz w:val="16"/>
          <w:szCs w:val="16"/>
        </w:rPr>
        <w:softHyphen/>
        <w:t>цев-летчиков и летчиц казалось бы правильным обусловить лишь прибытием со своими собственными аппаратами, так как к представлению этим лицам казенных аппаратов, которых в большинстве отрядов недо</w:t>
      </w:r>
      <w:r w:rsidRPr="00DE096C">
        <w:rPr>
          <w:bCs/>
          <w:color w:val="002060"/>
          <w:sz w:val="16"/>
          <w:szCs w:val="16"/>
        </w:rPr>
        <w:softHyphen/>
        <w:t>статочно и для офицеров-летчиков, не имеется никаких оснований". Этот приказ ограничивал приток добровольцев-летчиков,но скоро, в связи о большими потерями офицеров-летчиков ,был отменен самой жи</w:t>
      </w:r>
      <w:r w:rsidRPr="00DE096C">
        <w:rPr>
          <w:bCs/>
          <w:color w:val="002060"/>
          <w:sz w:val="16"/>
          <w:szCs w:val="16"/>
        </w:rPr>
        <w:softHyphen/>
        <w:t>знью,</w:t>
      </w:r>
    </w:p>
    <w:p w14:paraId="5C6C9184" w14:textId="77777777" w:rsidR="0070234C" w:rsidRPr="00DE096C" w:rsidRDefault="0070234C" w:rsidP="00D45A46">
      <w:pPr>
        <w:jc w:val="both"/>
        <w:rPr>
          <w:bCs/>
          <w:color w:val="002060"/>
          <w:sz w:val="16"/>
          <w:szCs w:val="16"/>
        </w:rPr>
      </w:pPr>
      <w:r w:rsidRPr="00DE096C">
        <w:rPr>
          <w:bCs/>
          <w:color w:val="002060"/>
          <w:sz w:val="16"/>
          <w:szCs w:val="16"/>
        </w:rPr>
        <w:t>/ЦГВИА, ф. 2008, д. 453, лл. 150-191/ (23320).</w:t>
      </w:r>
    </w:p>
    <w:p w14:paraId="4C175982" w14:textId="77777777" w:rsidR="0070234C" w:rsidRPr="00DE096C" w:rsidRDefault="0070234C" w:rsidP="00D45A46">
      <w:pPr>
        <w:jc w:val="both"/>
        <w:rPr>
          <w:bCs/>
          <w:color w:val="002060"/>
          <w:sz w:val="16"/>
          <w:szCs w:val="16"/>
        </w:rPr>
      </w:pPr>
    </w:p>
    <w:p w14:paraId="537FA729" w14:textId="77777777" w:rsidR="00736E34" w:rsidRPr="00B52707" w:rsidRDefault="00736E34" w:rsidP="00736E34">
      <w:pPr>
        <w:jc w:val="both"/>
        <w:rPr>
          <w:color w:val="0070C0"/>
          <w:sz w:val="16"/>
          <w:szCs w:val="16"/>
        </w:rPr>
      </w:pPr>
      <w:r w:rsidRPr="00B52707">
        <w:rPr>
          <w:color w:val="0070C0"/>
          <w:sz w:val="16"/>
          <w:szCs w:val="16"/>
        </w:rPr>
        <w:t>25 октября (7 ноября) 1914 г. в окрестностях Петрокова состоялся воздушный бой, в котором участвовали несколько русских и один германский летательные аппараты. Вскоре последний был сбит и разбился об землю, его экипаж погиб (25135).</w:t>
      </w:r>
    </w:p>
    <w:p w14:paraId="633CA1CA" w14:textId="77777777" w:rsidR="00736E34" w:rsidRPr="00B52707" w:rsidRDefault="00736E34" w:rsidP="00736E34">
      <w:pPr>
        <w:jc w:val="both"/>
        <w:rPr>
          <w:color w:val="0070C0"/>
          <w:sz w:val="16"/>
          <w:szCs w:val="16"/>
        </w:rPr>
      </w:pPr>
    </w:p>
    <w:p w14:paraId="7B348DAD" w14:textId="77777777" w:rsidR="00736E34" w:rsidRPr="00DE096C" w:rsidRDefault="00736E34" w:rsidP="00736E34">
      <w:pPr>
        <w:shd w:val="clear" w:color="auto" w:fill="FFFFFF"/>
        <w:jc w:val="both"/>
        <w:rPr>
          <w:bCs/>
          <w:i/>
          <w:color w:val="002060"/>
          <w:sz w:val="16"/>
          <w:szCs w:val="16"/>
        </w:rPr>
      </w:pPr>
      <w:r w:rsidRPr="00DE096C">
        <w:rPr>
          <w:bCs/>
          <w:i/>
          <w:color w:val="002060"/>
          <w:sz w:val="16"/>
          <w:szCs w:val="16"/>
        </w:rPr>
        <w:t>Авиация:</w:t>
      </w:r>
    </w:p>
    <w:p w14:paraId="2A2C19EA" w14:textId="77777777" w:rsidR="00736E34" w:rsidRPr="00DE096C" w:rsidRDefault="00736E34" w:rsidP="00736E34">
      <w:pPr>
        <w:shd w:val="clear" w:color="auto" w:fill="FFFFFF"/>
        <w:jc w:val="both"/>
        <w:rPr>
          <w:bCs/>
          <w:i/>
          <w:color w:val="002060"/>
          <w:sz w:val="16"/>
          <w:szCs w:val="16"/>
        </w:rPr>
      </w:pPr>
    </w:p>
    <w:p w14:paraId="64B41CEC" w14:textId="77777777" w:rsidR="00736E34" w:rsidRPr="00B52707" w:rsidRDefault="00736E34" w:rsidP="00736E34">
      <w:pPr>
        <w:jc w:val="both"/>
        <w:rPr>
          <w:color w:val="0070C0"/>
          <w:sz w:val="16"/>
          <w:szCs w:val="16"/>
        </w:rPr>
      </w:pPr>
      <w:r w:rsidRPr="00B52707">
        <w:rPr>
          <w:color w:val="0070C0"/>
          <w:sz w:val="16"/>
          <w:szCs w:val="16"/>
        </w:rPr>
        <w:t>26 октября (8 ноября) 1914 г. в период ожесточенных боев город Лодзь. подвергся сильной воздушной бомбардировке. На следующий день противник вновь бомбил Лодзь. В результате среди мирных жителей имелись пострадавшие, разрушено много зданий и сожжена одна фабрика (25135).</w:t>
      </w:r>
    </w:p>
    <w:p w14:paraId="6CC66837" w14:textId="77777777" w:rsidR="00736E34" w:rsidRPr="00B52707" w:rsidRDefault="00736E34" w:rsidP="00736E34">
      <w:pPr>
        <w:jc w:val="both"/>
        <w:rPr>
          <w:color w:val="0070C0"/>
          <w:sz w:val="16"/>
          <w:szCs w:val="16"/>
        </w:rPr>
      </w:pPr>
    </w:p>
    <w:p w14:paraId="186863F8"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За рубежом:</w:t>
      </w:r>
    </w:p>
    <w:p w14:paraId="77CFDF48" w14:textId="77777777" w:rsidR="00B67D7C" w:rsidRPr="00DE096C" w:rsidRDefault="00B67D7C" w:rsidP="00D45A46">
      <w:pPr>
        <w:shd w:val="clear" w:color="auto" w:fill="FFFFFF"/>
        <w:jc w:val="both"/>
        <w:rPr>
          <w:bCs/>
          <w:i/>
          <w:color w:val="002060"/>
          <w:sz w:val="16"/>
          <w:szCs w:val="16"/>
        </w:rPr>
      </w:pPr>
    </w:p>
    <w:p w14:paraId="6F481F64" w14:textId="77777777" w:rsidR="001C631D" w:rsidRPr="00DE096C" w:rsidRDefault="001C631D" w:rsidP="00D45A46">
      <w:pPr>
        <w:jc w:val="both"/>
        <w:rPr>
          <w:bCs/>
          <w:color w:val="002060"/>
          <w:sz w:val="16"/>
          <w:szCs w:val="16"/>
        </w:rPr>
      </w:pPr>
      <w:r w:rsidRPr="00DE096C">
        <w:rPr>
          <w:rStyle w:val="ucoz-forum-post"/>
          <w:bCs/>
          <w:color w:val="002060"/>
          <w:sz w:val="16"/>
          <w:szCs w:val="16"/>
        </w:rPr>
        <w:t xml:space="preserve">27 октября (9 ноября) </w:t>
      </w:r>
      <w:r w:rsidRPr="00DE096C">
        <w:rPr>
          <w:bCs/>
          <w:color w:val="002060"/>
          <w:sz w:val="16"/>
          <w:szCs w:val="16"/>
        </w:rPr>
        <w:t>в 1914 году с немецкого легкого крейсера “Эмден” высажен десант на остров Дирекшен (Кокосовые острова, Индийский океан, линия Коломбо-Перт) из 32 матросов, 15 техников, 2 младших лейтенантов Шмидта и Гислинга под командованием лейтенанта Мюке (вооружение десанта - винтовки и 4 пулемета). Десант уничтожил радиостанцию и кабельную связь. Не успев принять десант на борт, крейсер был уничтожен артиллерией австралийского легкого крейсера "Сидней", наведенного радиостанцией острова. «Эмден» сел на камни и затонул. Из 314 человек бывших на крейсере 127 были захвачены в плен, остальные погибли. Десантный отряд с крейсера "Эмден" в количестве 50 человек не успевший вернуться на корабль тоже внес вклад в создание легенды. На рекизированной шхуне преодолев 4300 миль за 8 месяцев немецкие моряки достигли берегов Аравии. А оттуда к июню 1915 добрались до Константинополя, столицы союзной Турции. Крейсер «Эмден» считался самым удачливым немецким рейдером времен Первой Мировой войны. Рейдерство "Эмдена" нанесло существенный урон судоходству стран Антанты(в общей сложности потоплено 23 судна). Вскоре его поднимут и обнаружат в трюме большое количество серебряных мексиканских долларов. Австралийское правительство распорядится припаять к монетам сверху серебряную ленточку в надписью: "Сидней - Эмден. 9 ноября 1914 г." и вручить эту памятную медаль морякам "Сиднея". Остальные монеты будут проданы как сувениры со специальными сертификатами, подтверждающими, что эти монеты - из кассы "Эмдена" (14825).</w:t>
      </w:r>
    </w:p>
    <w:p w14:paraId="3CE92F6C" w14:textId="77777777" w:rsidR="001C631D" w:rsidRPr="00DE096C" w:rsidRDefault="001C631D" w:rsidP="00D45A46">
      <w:pPr>
        <w:jc w:val="both"/>
        <w:rPr>
          <w:bCs/>
          <w:color w:val="002060"/>
          <w:sz w:val="16"/>
          <w:szCs w:val="16"/>
        </w:rPr>
      </w:pPr>
    </w:p>
    <w:p w14:paraId="58CD11E2" w14:textId="7978B312" w:rsidR="00B67D7C" w:rsidRPr="00DE096C" w:rsidRDefault="009963AC" w:rsidP="00D45A46">
      <w:pPr>
        <w:shd w:val="clear" w:color="auto" w:fill="FFFFFF"/>
        <w:jc w:val="both"/>
        <w:rPr>
          <w:bCs/>
          <w:i/>
          <w:color w:val="002060"/>
          <w:sz w:val="16"/>
          <w:szCs w:val="16"/>
        </w:rPr>
      </w:pPr>
      <w:r w:rsidRPr="00DE096C">
        <w:rPr>
          <w:bCs/>
          <w:i/>
          <w:color w:val="002060"/>
          <w:sz w:val="16"/>
          <w:szCs w:val="16"/>
        </w:rPr>
        <w:t>Самолетостроение</w:t>
      </w:r>
      <w:r w:rsidR="00B67D7C" w:rsidRPr="00DE096C">
        <w:rPr>
          <w:bCs/>
          <w:i/>
          <w:color w:val="002060"/>
          <w:sz w:val="16"/>
          <w:szCs w:val="16"/>
        </w:rPr>
        <w:t>:</w:t>
      </w:r>
    </w:p>
    <w:p w14:paraId="4E33E829" w14:textId="77777777" w:rsidR="00B67D7C" w:rsidRPr="00DE096C" w:rsidRDefault="00B67D7C" w:rsidP="00D45A46">
      <w:pPr>
        <w:shd w:val="clear" w:color="auto" w:fill="FFFFFF"/>
        <w:jc w:val="both"/>
        <w:rPr>
          <w:bCs/>
          <w:i/>
          <w:color w:val="002060"/>
          <w:sz w:val="16"/>
          <w:szCs w:val="16"/>
        </w:rPr>
      </w:pPr>
    </w:p>
    <w:p w14:paraId="4AD551B4" w14:textId="16661C18" w:rsidR="00B67D7C" w:rsidRPr="00DE096C" w:rsidRDefault="00B67D7C" w:rsidP="00D45A46">
      <w:pPr>
        <w:jc w:val="both"/>
        <w:rPr>
          <w:bCs/>
          <w:color w:val="002060"/>
          <w:sz w:val="16"/>
          <w:szCs w:val="16"/>
        </w:rPr>
      </w:pPr>
      <w:bookmarkStart w:id="194" w:name="_Hlk117349436"/>
      <w:r w:rsidRPr="00DE096C">
        <w:rPr>
          <w:bCs/>
          <w:color w:val="002060"/>
          <w:sz w:val="16"/>
          <w:szCs w:val="16"/>
        </w:rPr>
        <w:t xml:space="preserve">28 октября </w:t>
      </w:r>
      <w:r w:rsidR="009963AC" w:rsidRPr="00DE096C">
        <w:rPr>
          <w:bCs/>
          <w:color w:val="002060"/>
          <w:sz w:val="16"/>
          <w:szCs w:val="16"/>
        </w:rPr>
        <w:t xml:space="preserve">(10 ноября) 1914 г. ГВТУ </w:t>
      </w:r>
      <w:r w:rsidRPr="00DE096C">
        <w:rPr>
          <w:bCs/>
          <w:color w:val="002060"/>
          <w:sz w:val="16"/>
          <w:szCs w:val="16"/>
        </w:rPr>
        <w:t>получило от штаба Верховного Главнокомандующего бумагу о прекращении снабжения армии аппаратами типа</w:t>
      </w:r>
      <w:r w:rsidR="009963AC" w:rsidRPr="00DE096C">
        <w:rPr>
          <w:bCs/>
          <w:color w:val="002060"/>
          <w:sz w:val="16"/>
          <w:szCs w:val="16"/>
        </w:rPr>
        <w:t xml:space="preserve"> "Илья Муромец"</w:t>
      </w:r>
      <w:r w:rsidRPr="00DE096C">
        <w:rPr>
          <w:bCs/>
          <w:color w:val="002060"/>
          <w:sz w:val="16"/>
          <w:szCs w:val="16"/>
        </w:rPr>
        <w:t>. Доверие к "Муромцам", казалось, было потеряно навсегда...(12041).</w:t>
      </w:r>
    </w:p>
    <w:p w14:paraId="74AC3D88" w14:textId="77777777" w:rsidR="00B67D7C" w:rsidRPr="00DE096C" w:rsidRDefault="00B67D7C" w:rsidP="00D45A46">
      <w:pPr>
        <w:jc w:val="both"/>
        <w:rPr>
          <w:bCs/>
          <w:color w:val="002060"/>
          <w:sz w:val="16"/>
          <w:szCs w:val="16"/>
        </w:rPr>
      </w:pPr>
    </w:p>
    <w:bookmarkEnd w:id="194"/>
    <w:p w14:paraId="6A109253" w14:textId="55705864" w:rsidR="00A427F0" w:rsidRPr="00DE096C" w:rsidRDefault="00A427F0" w:rsidP="00D45A46">
      <w:pPr>
        <w:jc w:val="both"/>
        <w:rPr>
          <w:bCs/>
          <w:color w:val="002060"/>
          <w:sz w:val="16"/>
          <w:szCs w:val="16"/>
        </w:rPr>
      </w:pPr>
      <w:r w:rsidRPr="00DE096C">
        <w:rPr>
          <w:bCs/>
          <w:color w:val="002060"/>
          <w:sz w:val="16"/>
          <w:szCs w:val="16"/>
        </w:rPr>
        <w:lastRenderedPageBreak/>
        <w:t>28 октября (10 ноября) 1914 г. ГВТУ получило от Штаба Верховного Главнокомандующего уведомление, в котором он «вслед</w:t>
      </w:r>
      <w:r w:rsidRPr="00DE096C">
        <w:rPr>
          <w:bCs/>
          <w:color w:val="002060"/>
          <w:sz w:val="16"/>
          <w:szCs w:val="16"/>
        </w:rPr>
        <w:softHyphen/>
        <w:t>ствие обнаружившейся непригод</w:t>
      </w:r>
      <w:r w:rsidRPr="00DE096C">
        <w:rPr>
          <w:bCs/>
          <w:color w:val="002060"/>
          <w:sz w:val="16"/>
          <w:szCs w:val="16"/>
        </w:rPr>
        <w:softHyphen/>
        <w:t>ности аэропланов типа «Илья Муро</w:t>
      </w:r>
      <w:r w:rsidRPr="00DE096C">
        <w:rPr>
          <w:bCs/>
          <w:color w:val="002060"/>
          <w:sz w:val="16"/>
          <w:szCs w:val="16"/>
        </w:rPr>
        <w:softHyphen/>
        <w:t>мец» к выполнению боевых задач, просит прекратить снабжение ар</w:t>
      </w:r>
      <w:r w:rsidRPr="00DE096C">
        <w:rPr>
          <w:bCs/>
          <w:color w:val="002060"/>
          <w:sz w:val="16"/>
          <w:szCs w:val="16"/>
        </w:rPr>
        <w:softHyphen/>
        <w:t>мии аппаратами этого типа». ГВТУ приостановило выдачу средств РБВЗ. Назревал скандал...(23460).</w:t>
      </w:r>
    </w:p>
    <w:p w14:paraId="18CA63A7" w14:textId="77777777" w:rsidR="00A427F0" w:rsidRPr="00DE096C" w:rsidRDefault="00A427F0" w:rsidP="00D45A46">
      <w:pPr>
        <w:jc w:val="both"/>
        <w:rPr>
          <w:bCs/>
          <w:color w:val="002060"/>
          <w:sz w:val="16"/>
          <w:szCs w:val="16"/>
          <w:lang w:bidi="ru-RU"/>
        </w:rPr>
      </w:pPr>
    </w:p>
    <w:p w14:paraId="6B0709EA" w14:textId="776F3C5A" w:rsidR="00E56F21" w:rsidRPr="00DE096C" w:rsidRDefault="00E56F21" w:rsidP="00D45A46">
      <w:pPr>
        <w:jc w:val="both"/>
        <w:rPr>
          <w:bCs/>
          <w:color w:val="002060"/>
          <w:sz w:val="16"/>
          <w:szCs w:val="16"/>
          <w:lang w:bidi="en-US"/>
        </w:rPr>
      </w:pPr>
      <w:r w:rsidRPr="00DE096C">
        <w:rPr>
          <w:bCs/>
          <w:color w:val="002060"/>
          <w:sz w:val="16"/>
          <w:szCs w:val="16"/>
          <w:lang w:bidi="en-US"/>
        </w:rPr>
        <w:t>28 октября (10 ноября) 1914 г. Генштаб ВГК направил в ЦМТД директиву, предписывавшую приостановить оснащение «Ильи Муромца» до устранения всех недостатков (23525).</w:t>
      </w:r>
    </w:p>
    <w:p w14:paraId="08143791" w14:textId="77777777" w:rsidR="00E56F21" w:rsidRPr="00DE096C" w:rsidRDefault="00E56F21" w:rsidP="00D45A46">
      <w:pPr>
        <w:jc w:val="both"/>
        <w:rPr>
          <w:bCs/>
          <w:color w:val="002060"/>
          <w:sz w:val="16"/>
          <w:szCs w:val="16"/>
          <w:lang w:bidi="en-US"/>
        </w:rPr>
      </w:pPr>
    </w:p>
    <w:p w14:paraId="1115743C" w14:textId="77777777" w:rsidR="009963AC" w:rsidRPr="00DE096C" w:rsidRDefault="009963AC" w:rsidP="00D45A46">
      <w:pPr>
        <w:shd w:val="clear" w:color="auto" w:fill="FFFFFF"/>
        <w:jc w:val="both"/>
        <w:rPr>
          <w:bCs/>
          <w:i/>
          <w:color w:val="002060"/>
          <w:sz w:val="16"/>
          <w:szCs w:val="16"/>
        </w:rPr>
      </w:pPr>
      <w:r w:rsidRPr="00DE096C">
        <w:rPr>
          <w:bCs/>
          <w:i/>
          <w:color w:val="002060"/>
          <w:sz w:val="16"/>
          <w:szCs w:val="16"/>
        </w:rPr>
        <w:t>Авиация:</w:t>
      </w:r>
    </w:p>
    <w:p w14:paraId="7F18E5D4" w14:textId="77777777" w:rsidR="009963AC" w:rsidRPr="00DE096C" w:rsidRDefault="009963AC" w:rsidP="00D45A46">
      <w:pPr>
        <w:shd w:val="clear" w:color="auto" w:fill="FFFFFF"/>
        <w:jc w:val="both"/>
        <w:rPr>
          <w:bCs/>
          <w:i/>
          <w:color w:val="002060"/>
          <w:sz w:val="16"/>
          <w:szCs w:val="16"/>
        </w:rPr>
      </w:pPr>
    </w:p>
    <w:p w14:paraId="0EC16DC4" w14:textId="65A426A2" w:rsidR="00B67D7C" w:rsidRPr="00DE096C" w:rsidRDefault="00B67D7C" w:rsidP="00D45A46">
      <w:pPr>
        <w:jc w:val="both"/>
        <w:rPr>
          <w:bCs/>
          <w:color w:val="002060"/>
          <w:sz w:val="16"/>
          <w:szCs w:val="16"/>
        </w:rPr>
      </w:pPr>
      <w:r w:rsidRPr="00DE096C">
        <w:rPr>
          <w:bCs/>
          <w:color w:val="002060"/>
          <w:sz w:val="16"/>
          <w:szCs w:val="16"/>
        </w:rPr>
        <w:t>28 октября</w:t>
      </w:r>
      <w:r w:rsidR="009963AC" w:rsidRPr="00DE096C">
        <w:rPr>
          <w:bCs/>
          <w:color w:val="002060"/>
          <w:sz w:val="16"/>
          <w:szCs w:val="16"/>
        </w:rPr>
        <w:t xml:space="preserve"> </w:t>
      </w:r>
      <w:r w:rsidRPr="00DE096C">
        <w:rPr>
          <w:bCs/>
          <w:color w:val="002060"/>
          <w:sz w:val="16"/>
          <w:szCs w:val="16"/>
        </w:rPr>
        <w:t>(10 ноября) 1914 в окрестностях Петроково (под Варшавой) "появился неприятельский аэроплан. Через несколько минут поднялись два наших летчика и после воздушного боя сбросили "Таубе" на землю. Немецкие авиаторы разбились. Неприятельский аэроплан исковеркан". К сожалению, подтверждения этому газетному сообщению не нашлось. А вот воздушный бой и совместные действия с артиллерией, принесшие успех военному летчику Гродненского крепостного авиаотряда поручику Семенову, были подтверждены несколькими донесениями, хранящимися в Военно-историческом архиве. 27 августа Семенов с наблюдателем корнетом Николаевым при перелете через озеро Мейер, что в Восточной Пруссии, заметил неприятельский аэроплан, летевший к Летцену. Обойдя противника с правой стороны, Семенов атаковал его, заставил спуститься ниже и изменить направление полета в район русских позиций, где тот был обстрелян и около озера упал (11237).</w:t>
      </w:r>
    </w:p>
    <w:p w14:paraId="2D9CA649" w14:textId="77777777" w:rsidR="00B67D7C" w:rsidRPr="00DE096C" w:rsidRDefault="00B67D7C" w:rsidP="00D45A46">
      <w:pPr>
        <w:jc w:val="both"/>
        <w:rPr>
          <w:bCs/>
          <w:i/>
          <w:color w:val="002060"/>
          <w:sz w:val="16"/>
          <w:szCs w:val="16"/>
        </w:rPr>
      </w:pPr>
    </w:p>
    <w:p w14:paraId="6DA40D31" w14:textId="36D7C316"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28 октября (10 ноября) 1914 в окрестностях Петроково (под Варшавой) "появился неприятельский аэроплан. Через несколько минут поднялись два наших летчика и после воздушного боя сбросили "Таубе" на землю. Немецкие авиаторы разбились. Неприятельский аэроплан исковеркан". К сожалению, подтверждения этому газетному сообщению не нашлось. А вот воздушный бой и совместные действия с артиллерией, принесшие успех военному летчику Гродненского крепостного авиаотряда поручику Семенову, были подтверждены несколькими донесениями, хранящимися в Военно-историческом архиве. 27 августа Семенов с наблюдателем корнетом Николаевым при перелете через озеро Мейер, что в Восточной Пруссии, заметил неприятельский аэроплан, летевший к Летцену. Обойдя противника с правой стороны, Семенов атаковал его, заставил спуститься ниже и изменить направление полета в район русских позиций, где тот был обстрелян и около озера упал (11278).</w:t>
      </w:r>
    </w:p>
    <w:p w14:paraId="499B065D" w14:textId="77777777" w:rsidR="00B67D7C" w:rsidRPr="00DE096C" w:rsidRDefault="00B67D7C" w:rsidP="00D45A46">
      <w:pPr>
        <w:pStyle w:val="a3"/>
        <w:jc w:val="both"/>
        <w:rPr>
          <w:bCs/>
          <w:i w:val="0"/>
          <w:color w:val="002060"/>
          <w:spacing w:val="0"/>
          <w:kern w:val="0"/>
          <w:position w:val="0"/>
          <w:sz w:val="16"/>
          <w:szCs w:val="16"/>
        </w:rPr>
      </w:pPr>
    </w:p>
    <w:p w14:paraId="7B5F9377" w14:textId="77777777" w:rsidR="00736E34" w:rsidRPr="00B52707" w:rsidRDefault="00736E34" w:rsidP="00736E34">
      <w:pPr>
        <w:jc w:val="both"/>
        <w:rPr>
          <w:color w:val="0070C0"/>
          <w:sz w:val="16"/>
          <w:szCs w:val="16"/>
        </w:rPr>
      </w:pPr>
      <w:r w:rsidRPr="00B52707">
        <w:rPr>
          <w:color w:val="0070C0"/>
          <w:sz w:val="16"/>
          <w:szCs w:val="16"/>
        </w:rPr>
        <w:t>28 октября (8 ноября) 1914 г. в окрестностях Петроково (под Варшавой) "появился неприятельский аэроплан. Через несколько минут поднялись два наших летчика и после воздушного боя сбросили "Таубе" на землю. Немецкие авиаторы разбились. Неприятельский аэроплан исковеркан". К сожалению, подтверждения этому газетному сообщению не нашлось (25150).</w:t>
      </w:r>
    </w:p>
    <w:p w14:paraId="1CA94726" w14:textId="77777777" w:rsidR="00736E34" w:rsidRPr="00B52707" w:rsidRDefault="00736E34" w:rsidP="00736E34">
      <w:pPr>
        <w:jc w:val="both"/>
        <w:rPr>
          <w:color w:val="0070C0"/>
          <w:sz w:val="16"/>
          <w:szCs w:val="16"/>
        </w:rPr>
      </w:pPr>
    </w:p>
    <w:p w14:paraId="0FFD2997"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Самолетостроение:</w:t>
      </w:r>
    </w:p>
    <w:p w14:paraId="7E312E50" w14:textId="77777777" w:rsidR="00B67D7C" w:rsidRPr="00DE096C" w:rsidRDefault="00B67D7C" w:rsidP="00D45A46">
      <w:pPr>
        <w:pStyle w:val="a3"/>
        <w:jc w:val="both"/>
        <w:rPr>
          <w:bCs/>
          <w:color w:val="002060"/>
          <w:spacing w:val="0"/>
          <w:kern w:val="0"/>
          <w:position w:val="0"/>
          <w:sz w:val="16"/>
          <w:szCs w:val="16"/>
        </w:rPr>
      </w:pPr>
    </w:p>
    <w:p w14:paraId="3FCAB69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29 октября (11 ноября) 1914 Штаб ВГК уведомил Главное ВТУ, что "вследствие обнаружившейся непригодности аэропланов типа "Илья Муромец" к выполнению боевых задач надлежит прекратить снабже</w:t>
      </w:r>
      <w:r w:rsidRPr="00DE096C">
        <w:rPr>
          <w:bCs/>
          <w:color w:val="002060"/>
          <w:sz w:val="16"/>
          <w:szCs w:val="16"/>
        </w:rPr>
        <w:softHyphen/>
        <w:t>ние армии аппаратами этого типа"» В соответствии с данным ука</w:t>
      </w:r>
      <w:r w:rsidRPr="00DE096C">
        <w:rPr>
          <w:bCs/>
          <w:color w:val="002060"/>
          <w:sz w:val="16"/>
          <w:szCs w:val="16"/>
        </w:rPr>
        <w:softHyphen/>
        <w:t>занием Главное ВТУ аннулировало заказ на 32 самолета» данный заводу 2 октября. Поводом послужил неудачный полет, поколе</w:t>
      </w:r>
      <w:r w:rsidRPr="00DE096C">
        <w:rPr>
          <w:bCs/>
          <w:color w:val="002060"/>
          <w:sz w:val="16"/>
          <w:szCs w:val="16"/>
        </w:rPr>
        <w:softHyphen/>
        <w:t>бавший к ним доверие у руководителей Северо-Западного фронта, а также и многочисленные недостатки при обслуживании столь сложного и еще не освоенного самолета. Однако доверие к "Муромцам" вскоре было восстановлено и заказ оставлен в силе (ЦГВИА. ф.УВВФ, Д.11820, ли.3-20).</w:t>
      </w:r>
    </w:p>
    <w:p w14:paraId="5ECA83C2" w14:textId="77777777" w:rsidR="00B67D7C" w:rsidRPr="00DE096C" w:rsidRDefault="00B67D7C" w:rsidP="00D45A46">
      <w:pPr>
        <w:shd w:val="clear" w:color="auto" w:fill="FFFFFF"/>
        <w:jc w:val="both"/>
        <w:rPr>
          <w:bCs/>
          <w:color w:val="002060"/>
          <w:sz w:val="16"/>
          <w:szCs w:val="16"/>
        </w:rPr>
      </w:pPr>
    </w:p>
    <w:p w14:paraId="1A2D9454" w14:textId="2A8C7317" w:rsidR="00B67D7C" w:rsidRPr="00DE096C" w:rsidRDefault="00B67D7C" w:rsidP="00D45A46">
      <w:pPr>
        <w:jc w:val="both"/>
        <w:rPr>
          <w:bCs/>
          <w:color w:val="002060"/>
          <w:sz w:val="16"/>
          <w:szCs w:val="16"/>
        </w:rPr>
      </w:pPr>
      <w:r w:rsidRPr="00DE096C">
        <w:rPr>
          <w:bCs/>
          <w:color w:val="002060"/>
          <w:sz w:val="16"/>
          <w:szCs w:val="16"/>
        </w:rPr>
        <w:t>29 октября</w:t>
      </w:r>
      <w:r w:rsidR="00B92FA5" w:rsidRPr="00DE096C">
        <w:rPr>
          <w:bCs/>
          <w:color w:val="002060"/>
          <w:sz w:val="16"/>
          <w:szCs w:val="16"/>
        </w:rPr>
        <w:t xml:space="preserve"> (11 ноября</w:t>
      </w:r>
      <w:r w:rsidRPr="00DE096C">
        <w:rPr>
          <w:bCs/>
          <w:color w:val="002060"/>
          <w:sz w:val="16"/>
          <w:szCs w:val="16"/>
        </w:rPr>
        <w:t>) 1914 г.</w:t>
      </w:r>
      <w:r w:rsidR="00B92FA5" w:rsidRPr="00DE096C">
        <w:rPr>
          <w:bCs/>
          <w:color w:val="002060"/>
          <w:sz w:val="16"/>
          <w:szCs w:val="16"/>
        </w:rPr>
        <w:t xml:space="preserve">г. </w:t>
      </w:r>
      <w:r w:rsidRPr="00DE096C">
        <w:rPr>
          <w:bCs/>
          <w:color w:val="002060"/>
          <w:sz w:val="16"/>
          <w:szCs w:val="16"/>
        </w:rPr>
        <w:t>все заказы на дальнейшее построение первых в мире тяжелых многомоторных самолетов "Илья Муромец" ("ИМ") аннулировало, так как посчитало их для военных задач непригодными. Дело в том, что в это время имелось лишь несколько готовых кораблей, построенных для мирного времени, с большими удобными каютами, которые летали сравнительно невысоко. Да и вообще на огромные многомоторные аэропланы высшие круги смотрели тогда в России с большим недоверием. Сикорский: "Это недоверие к большим аэропланам вызывалось отчасти тем, что машины такого рода, построенные до того времени за границей, оказались никуда не годными и совершенно не могли летать" (11999).</w:t>
      </w:r>
    </w:p>
    <w:p w14:paraId="61A00EBD" w14:textId="77777777" w:rsidR="00B67D7C" w:rsidRPr="00DE096C" w:rsidRDefault="00B67D7C" w:rsidP="00D45A46">
      <w:pPr>
        <w:shd w:val="clear" w:color="auto" w:fill="FFFFFF"/>
        <w:jc w:val="both"/>
        <w:rPr>
          <w:bCs/>
          <w:i/>
          <w:color w:val="002060"/>
          <w:sz w:val="16"/>
          <w:szCs w:val="16"/>
        </w:rPr>
      </w:pPr>
    </w:p>
    <w:p w14:paraId="5B980F5A" w14:textId="77777777" w:rsidR="00B366E5" w:rsidRPr="00DE096C" w:rsidRDefault="00B366E5" w:rsidP="00D45A46">
      <w:pPr>
        <w:pStyle w:val="af3"/>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29 октября (10 ноября) 1914 года штаб Верховного главнокомандующего уведомил ГВТУ, «что вследствие обнаружившейся непригодности аэропланов типа «Илья Муромец» к выполнению боевых задач, надлежит прекратить снабжение армии аппаратами этого типа». Получив такую директиву, ГВТУ немедленно аннулировало заказ на самолёты и отказалось выдать аванс (20115).</w:t>
      </w:r>
    </w:p>
    <w:p w14:paraId="7391D55F" w14:textId="77777777" w:rsidR="00B366E5" w:rsidRPr="00DE096C" w:rsidRDefault="00B366E5" w:rsidP="00D45A46">
      <w:pPr>
        <w:pStyle w:val="af3"/>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На специальном совещании председатель правления акционерного общества РБВЗ М.В. Шидловский доложил своё видение проблемы, тщательно проанализировал причины аннулирования заказа и изложил перечень мероприятий по устранению недостатков. Он учитывал и тот факт, что держателем немалого пакета акций по этому заказу являлся военный министр В.А. Сухомлинов. Правление РБВЗ поручило М.В. Шидловскому ходатайствовать перед военным министром о разрешении «для целей всестороннего испытания на войне» продолжить работу по постройке первых десяти самолётов и отправки их на фронт (20115).</w:t>
      </w:r>
    </w:p>
    <w:p w14:paraId="3CB38A02" w14:textId="77777777" w:rsidR="00B366E5" w:rsidRPr="00DE096C" w:rsidRDefault="00B366E5" w:rsidP="00D45A46">
      <w:pPr>
        <w:pStyle w:val="af3"/>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В начале ноября 1914 года М.В. Шидловский отправил докладные записки военному министру В.А. Сухомлинову и Верховному Главнокомандующему Великому князю Николаю Николаевичу. В докладных записках он в краткой и убедительной форме изложил причины неудачного опыта применения самолётов «Илья Муромец» на фронте. Признал, что не лётчики виноваты в неудачном опыте. Причина неудачи заключалась в том, что некоторые характеристики самолёта в действительности не так высоки, как предполагалось, поэтому на заводе уже приняты экстренные меры для создания нового самолёта с улучшенными лётно-тактическими характеристиками. Отмечалась непродуманность и поспешность в подготовке команды самолётов перед отправкой на фронт. Несмотря на то, что командирами кораблей были опытные лётчики, они не получили необходимой предварительной подготовки для лётной эксплуатации самолёта «Илья Муромец», занятия соответствующих должностей, команды кораблей не имели достаточного опыта для выполнения поставленной задачи. Для не повторения этого недостатка в будущем, решено создать авиационную школу воздушных кораблей, в которой лётный состав и наземные специалисты могли бы под руководством инженерно-технического персонала, создавшего этот тип самолёта, пройти курс обучения эксплуатации самолёта в воздухе в любых условиях боевой обстановки и подготовки его к полётам на боевое применение. М.В. Шидловский высказал смелую мысль, что невысокая эффективность применения самолётов «Илья Муромец» также явилась следствием некомпетентности командования фронта и неправильной организации использования самолёта. М.В. Шидловский предложил немедленно расформировать созданные боевые отряды из «Муромцев» и собрать их в одну эскадру по образцу эскадры морских боевых кораблей. Для начала предложил сгруппировать всех «Муромцев» в одно место ближе к фронту для организации практического обучения экипажей действиям в войне с последующей отправкой их на фронт только после полной подготовки. М.В. Шидловский просил дать возможность заводу доработать самолёты, чтобы в ходе боевых действий показать способность кораблей «Илья Муромец» наносить неприятелю такой ущерб, которого не может нанести ни один из существующих летательных аппаратов.</w:t>
      </w:r>
    </w:p>
    <w:p w14:paraId="4EC2492A" w14:textId="77777777" w:rsidR="00B366E5" w:rsidRPr="00DE096C" w:rsidRDefault="00B366E5" w:rsidP="00D45A46">
      <w:pPr>
        <w:jc w:val="both"/>
        <w:rPr>
          <w:bCs/>
          <w:color w:val="002060"/>
          <w:sz w:val="16"/>
          <w:szCs w:val="16"/>
        </w:rPr>
      </w:pPr>
      <w:r w:rsidRPr="00DE096C">
        <w:rPr>
          <w:bCs/>
          <w:color w:val="002060"/>
          <w:sz w:val="16"/>
          <w:szCs w:val="16"/>
        </w:rPr>
        <w:t xml:space="preserve">М.В. Шидловский тщательно разработал положение об эскадре как боевой части, подчиняющейся непосредственно Верховному главному командованию армии. Во главе эскадры, по мнению М.В. Шидловского, должен стоять командир, знающий авиацию, в частности, тяжёлую авиацию. В прошлом морской офицер, он прекрасно понимал всю полноту персональной ответственности за результаты боевых действий эскадры. Имея большой практический опыт управления самым крупным заводом в России, М.В. Шидловский предложил свою кандидатуру на должность командира эскадры: «…если бы моё непосредственное участие в работе, направленной к торжеству над врагом этого нового русского оружия было признано полезным, то я готов представить свои силы и опыт в распоряжение военного ведомства». </w:t>
      </w:r>
    </w:p>
    <w:p w14:paraId="0E7DB351" w14:textId="77777777" w:rsidR="00B366E5" w:rsidRPr="00DE096C" w:rsidRDefault="00B366E5" w:rsidP="00D45A46">
      <w:pPr>
        <w:jc w:val="both"/>
        <w:rPr>
          <w:bCs/>
          <w:color w:val="002060"/>
          <w:sz w:val="16"/>
          <w:szCs w:val="16"/>
        </w:rPr>
      </w:pPr>
      <w:r w:rsidRPr="00DE096C">
        <w:rPr>
          <w:bCs/>
          <w:color w:val="002060"/>
          <w:sz w:val="16"/>
          <w:szCs w:val="16"/>
        </w:rPr>
        <w:t>Военный министр В.А. Сухомлинов хорошо знал И.И. Сикорского и ценил его талант авиаконструктора. К тому же как держатель акций был заинтересован в продолжении контракта на строительство самолётов. Он поддержал ходатайство М.В. Шидловского: «…недостатки такого аппарата, как «Илья Муромец» - это мелочи, Игорь Иванович Сикорский легко и сразу же исправит их, как только обратят на них внимание,…становится очевидным, что то, что должно быть гордостью и славой России, до сих пор из-за вышеперечисленных пустяков не оправдывает возлагаемого на него ожидания ста миллионов русских». Верховный Главнокомандующий выступил на стороне Сухомлинова, не смотря на противодействие командующего авиацией фронтов Великого князя Александра Михайловича. На аудиенции у Государя Императора В.А. Сухомлинов получил одобрение идей М.В. Шидловского. Получив «Высочайшее одобрение», Главное управление Генштаба подготовило и направило в Военный Совет предложение о формировании на время войны Управления Эскадры Воздушных Кораблей. Совет 8 декабря 1914 года предложение одобрил, 10 декабря Военный министр В.А. Сухомлинов «Высочайше» его утвердил.</w:t>
      </w:r>
    </w:p>
    <w:p w14:paraId="0754E2DA" w14:textId="77777777" w:rsidR="00B366E5" w:rsidRPr="00DE096C" w:rsidRDefault="00B366E5" w:rsidP="00D45A46">
      <w:pPr>
        <w:jc w:val="both"/>
        <w:rPr>
          <w:bCs/>
          <w:color w:val="002060"/>
          <w:sz w:val="16"/>
          <w:szCs w:val="16"/>
        </w:rPr>
      </w:pPr>
      <w:r w:rsidRPr="00DE096C">
        <w:rPr>
          <w:bCs/>
          <w:color w:val="002060"/>
          <w:sz w:val="16"/>
          <w:szCs w:val="16"/>
        </w:rPr>
        <w:t>Военный министр</w:t>
      </w:r>
    </w:p>
    <w:p w14:paraId="5E8F700E" w14:textId="77777777" w:rsidR="00B366E5" w:rsidRPr="00DE096C" w:rsidRDefault="00B366E5" w:rsidP="00D45A46">
      <w:pPr>
        <w:jc w:val="both"/>
        <w:rPr>
          <w:bCs/>
          <w:color w:val="002060"/>
          <w:sz w:val="16"/>
          <w:szCs w:val="16"/>
        </w:rPr>
      </w:pPr>
      <w:r w:rsidRPr="00DE096C">
        <w:rPr>
          <w:bCs/>
          <w:color w:val="002060"/>
          <w:sz w:val="16"/>
          <w:szCs w:val="16"/>
        </w:rPr>
        <w:t>В.А. Сухомлинов.</w:t>
      </w:r>
    </w:p>
    <w:p w14:paraId="3FCA9F07" w14:textId="77777777" w:rsidR="00B366E5" w:rsidRPr="00DE096C" w:rsidRDefault="00B366E5" w:rsidP="00D45A46">
      <w:pPr>
        <w:jc w:val="both"/>
        <w:rPr>
          <w:bCs/>
          <w:color w:val="002060"/>
          <w:sz w:val="16"/>
          <w:szCs w:val="16"/>
        </w:rPr>
      </w:pPr>
      <w:r w:rsidRPr="00DE096C">
        <w:rPr>
          <w:bCs/>
          <w:color w:val="002060"/>
          <w:sz w:val="16"/>
          <w:szCs w:val="16"/>
        </w:rPr>
        <w:t xml:space="preserve">10 декабря </w:t>
      </w:r>
      <w:smartTag w:uri="urn:schemas-microsoft-com:office:smarttags" w:element="metricconverter">
        <w:smartTagPr>
          <w:attr w:name="ProductID" w:val="1914 г"/>
        </w:smartTagPr>
        <w:r w:rsidRPr="00DE096C">
          <w:rPr>
            <w:bCs/>
            <w:color w:val="002060"/>
            <w:sz w:val="16"/>
            <w:szCs w:val="16"/>
          </w:rPr>
          <w:t>1914 г</w:t>
        </w:r>
      </w:smartTag>
      <w:r w:rsidRPr="00DE096C">
        <w:rPr>
          <w:bCs/>
          <w:color w:val="002060"/>
          <w:sz w:val="16"/>
          <w:szCs w:val="16"/>
        </w:rPr>
        <w:t xml:space="preserve">. </w:t>
      </w:r>
    </w:p>
    <w:p w14:paraId="5B43B67E" w14:textId="77777777" w:rsidR="00B366E5" w:rsidRPr="00DE096C" w:rsidRDefault="00B366E5" w:rsidP="00D45A46">
      <w:pPr>
        <w:jc w:val="both"/>
        <w:rPr>
          <w:bCs/>
          <w:color w:val="002060"/>
          <w:sz w:val="16"/>
          <w:szCs w:val="16"/>
        </w:rPr>
      </w:pPr>
      <w:r w:rsidRPr="00DE096C">
        <w:rPr>
          <w:bCs/>
          <w:color w:val="002060"/>
          <w:sz w:val="16"/>
          <w:szCs w:val="16"/>
        </w:rPr>
        <w:t>Выписка</w:t>
      </w:r>
    </w:p>
    <w:p w14:paraId="4FBCEFA4" w14:textId="77777777" w:rsidR="00B366E5" w:rsidRPr="00DE096C" w:rsidRDefault="00B366E5" w:rsidP="00D45A46">
      <w:pPr>
        <w:jc w:val="both"/>
        <w:rPr>
          <w:bCs/>
          <w:color w:val="002060"/>
          <w:sz w:val="16"/>
          <w:szCs w:val="16"/>
        </w:rPr>
      </w:pPr>
      <w:r w:rsidRPr="00DE096C">
        <w:rPr>
          <w:bCs/>
          <w:color w:val="002060"/>
          <w:sz w:val="16"/>
          <w:szCs w:val="16"/>
        </w:rPr>
        <w:t>из решения военного совета Российской армии</w:t>
      </w:r>
    </w:p>
    <w:p w14:paraId="1E4247B0" w14:textId="77777777" w:rsidR="00B366E5" w:rsidRPr="00DE096C" w:rsidRDefault="00B366E5" w:rsidP="00D45A46">
      <w:pPr>
        <w:jc w:val="both"/>
        <w:rPr>
          <w:bCs/>
          <w:color w:val="002060"/>
          <w:sz w:val="16"/>
          <w:szCs w:val="16"/>
        </w:rPr>
      </w:pPr>
      <w:r w:rsidRPr="00DE096C">
        <w:rPr>
          <w:bCs/>
          <w:color w:val="002060"/>
          <w:sz w:val="16"/>
          <w:szCs w:val="16"/>
        </w:rPr>
        <w:t>от 8 декабря 1914 года.</w:t>
      </w:r>
    </w:p>
    <w:p w14:paraId="6FC4EDFF" w14:textId="77777777" w:rsidR="00B366E5" w:rsidRPr="00DE096C" w:rsidRDefault="00B366E5" w:rsidP="00D45A46">
      <w:pPr>
        <w:jc w:val="both"/>
        <w:rPr>
          <w:bCs/>
          <w:color w:val="002060"/>
          <w:sz w:val="16"/>
          <w:szCs w:val="16"/>
        </w:rPr>
      </w:pPr>
      <w:r w:rsidRPr="00DE096C">
        <w:rPr>
          <w:bCs/>
          <w:color w:val="002060"/>
          <w:sz w:val="16"/>
          <w:szCs w:val="16"/>
        </w:rPr>
        <w:t>Военный совет положил:</w:t>
      </w:r>
    </w:p>
    <w:p w14:paraId="70EB3F47" w14:textId="77777777" w:rsidR="00B366E5" w:rsidRPr="00DE096C" w:rsidRDefault="00B366E5" w:rsidP="00D45A46">
      <w:pPr>
        <w:numPr>
          <w:ilvl w:val="0"/>
          <w:numId w:val="1"/>
        </w:numPr>
        <w:tabs>
          <w:tab w:val="num" w:pos="540"/>
        </w:tabs>
        <w:overflowPunct/>
        <w:autoSpaceDE/>
        <w:autoSpaceDN/>
        <w:adjustRightInd/>
        <w:ind w:left="0" w:firstLine="0"/>
        <w:jc w:val="both"/>
        <w:textAlignment w:val="auto"/>
        <w:rPr>
          <w:bCs/>
          <w:color w:val="002060"/>
          <w:sz w:val="16"/>
          <w:szCs w:val="16"/>
        </w:rPr>
      </w:pPr>
      <w:r w:rsidRPr="00DE096C">
        <w:rPr>
          <w:bCs/>
          <w:color w:val="002060"/>
          <w:sz w:val="16"/>
          <w:szCs w:val="16"/>
        </w:rPr>
        <w:lastRenderedPageBreak/>
        <w:t>Сформировать на всё время войны управление эскадры воздушных кораблей по штату согласно прилагаемому проекту.</w:t>
      </w:r>
    </w:p>
    <w:p w14:paraId="0BE77983" w14:textId="77777777" w:rsidR="00B366E5" w:rsidRPr="00DE096C" w:rsidRDefault="00B366E5" w:rsidP="00D45A46">
      <w:pPr>
        <w:numPr>
          <w:ilvl w:val="0"/>
          <w:numId w:val="1"/>
        </w:numPr>
        <w:tabs>
          <w:tab w:val="num" w:pos="1080"/>
        </w:tabs>
        <w:overflowPunct/>
        <w:autoSpaceDE/>
        <w:autoSpaceDN/>
        <w:adjustRightInd/>
        <w:ind w:left="0" w:firstLine="0"/>
        <w:jc w:val="both"/>
        <w:textAlignment w:val="auto"/>
        <w:rPr>
          <w:bCs/>
          <w:color w:val="002060"/>
          <w:sz w:val="16"/>
          <w:szCs w:val="16"/>
        </w:rPr>
      </w:pPr>
      <w:r w:rsidRPr="00DE096C">
        <w:rPr>
          <w:bCs/>
          <w:color w:val="002060"/>
          <w:sz w:val="16"/>
          <w:szCs w:val="16"/>
        </w:rPr>
        <w:t>Присвоить начальнику управления эскадры воздушных кораблей дисциплинарные права командира не отдельной бригады и в хозяйственном отношении права командира полка.</w:t>
      </w:r>
    </w:p>
    <w:p w14:paraId="4A2D4DA9" w14:textId="77777777" w:rsidR="00B366E5" w:rsidRPr="00DE096C" w:rsidRDefault="00B366E5" w:rsidP="00D45A46">
      <w:pPr>
        <w:numPr>
          <w:ilvl w:val="0"/>
          <w:numId w:val="1"/>
        </w:numPr>
        <w:tabs>
          <w:tab w:val="num" w:pos="1080"/>
        </w:tabs>
        <w:overflowPunct/>
        <w:autoSpaceDE/>
        <w:autoSpaceDN/>
        <w:adjustRightInd/>
        <w:ind w:left="0" w:firstLine="0"/>
        <w:jc w:val="both"/>
        <w:textAlignment w:val="auto"/>
        <w:rPr>
          <w:bCs/>
          <w:color w:val="002060"/>
          <w:sz w:val="16"/>
          <w:szCs w:val="16"/>
        </w:rPr>
      </w:pPr>
      <w:r w:rsidRPr="00DE096C">
        <w:rPr>
          <w:bCs/>
          <w:color w:val="002060"/>
          <w:sz w:val="16"/>
          <w:szCs w:val="16"/>
        </w:rPr>
        <w:t>Первоначальное обзаведение управления эскадры воздушных кораблей имуществом произвести распоряжением надлежащих главных управлений с тем, чтобы ими затем своевременно испрошены, в установленном порядке необходимые денежные отпуски на пополнение соответствующего имущества.</w:t>
      </w:r>
    </w:p>
    <w:p w14:paraId="470939A4" w14:textId="77777777" w:rsidR="00B366E5" w:rsidRPr="00DE096C" w:rsidRDefault="00B366E5" w:rsidP="00D45A46">
      <w:pPr>
        <w:numPr>
          <w:ilvl w:val="0"/>
          <w:numId w:val="1"/>
        </w:numPr>
        <w:tabs>
          <w:tab w:val="num" w:pos="1080"/>
        </w:tabs>
        <w:overflowPunct/>
        <w:autoSpaceDE/>
        <w:autoSpaceDN/>
        <w:adjustRightInd/>
        <w:ind w:left="0" w:firstLine="0"/>
        <w:jc w:val="both"/>
        <w:textAlignment w:val="auto"/>
        <w:rPr>
          <w:bCs/>
          <w:color w:val="002060"/>
          <w:sz w:val="16"/>
          <w:szCs w:val="16"/>
        </w:rPr>
      </w:pPr>
      <w:r w:rsidRPr="00DE096C">
        <w:rPr>
          <w:bCs/>
          <w:color w:val="002060"/>
          <w:sz w:val="16"/>
          <w:szCs w:val="16"/>
        </w:rPr>
        <w:t>Отпустить теперь же из военного фонда пособие управлению эскадры воздушных кораблей в сумме 1000 рублей на заведение необходимого, но не предусмотренного табелями имущества.</w:t>
      </w:r>
    </w:p>
    <w:p w14:paraId="47F51BF9" w14:textId="77777777" w:rsidR="00B366E5" w:rsidRPr="00DE096C" w:rsidRDefault="00B366E5" w:rsidP="00D45A46">
      <w:pPr>
        <w:numPr>
          <w:ilvl w:val="0"/>
          <w:numId w:val="1"/>
        </w:numPr>
        <w:tabs>
          <w:tab w:val="num" w:pos="1080"/>
        </w:tabs>
        <w:overflowPunct/>
        <w:autoSpaceDE/>
        <w:autoSpaceDN/>
        <w:adjustRightInd/>
        <w:ind w:left="0" w:firstLine="0"/>
        <w:jc w:val="both"/>
        <w:textAlignment w:val="auto"/>
        <w:rPr>
          <w:bCs/>
          <w:color w:val="002060"/>
          <w:sz w:val="16"/>
          <w:szCs w:val="16"/>
        </w:rPr>
      </w:pPr>
      <w:r w:rsidRPr="00DE096C">
        <w:rPr>
          <w:bCs/>
          <w:color w:val="002060"/>
          <w:sz w:val="16"/>
          <w:szCs w:val="16"/>
        </w:rPr>
        <w:t>Расходы по формированию и содержанию эскадры воздушных кораблей отнести на военный фонд.</w:t>
      </w:r>
    </w:p>
    <w:p w14:paraId="213EFFAB" w14:textId="77777777" w:rsidR="00B366E5" w:rsidRPr="00DE096C" w:rsidRDefault="00B366E5" w:rsidP="00D45A46">
      <w:pPr>
        <w:jc w:val="both"/>
        <w:rPr>
          <w:bCs/>
          <w:color w:val="002060"/>
          <w:sz w:val="16"/>
          <w:szCs w:val="16"/>
        </w:rPr>
      </w:pPr>
      <w:r w:rsidRPr="00DE096C">
        <w:rPr>
          <w:bCs/>
          <w:color w:val="002060"/>
          <w:sz w:val="16"/>
          <w:szCs w:val="16"/>
        </w:rPr>
        <w:t xml:space="preserve">Подлинную подписали: </w:t>
      </w:r>
    </w:p>
    <w:p w14:paraId="08E2FF4B" w14:textId="77777777" w:rsidR="00B366E5" w:rsidRPr="00DE096C" w:rsidRDefault="00B366E5" w:rsidP="00D45A46">
      <w:pPr>
        <w:jc w:val="both"/>
        <w:rPr>
          <w:bCs/>
          <w:color w:val="002060"/>
          <w:sz w:val="16"/>
          <w:szCs w:val="16"/>
        </w:rPr>
      </w:pPr>
      <w:r w:rsidRPr="00DE096C">
        <w:rPr>
          <w:bCs/>
          <w:color w:val="002060"/>
          <w:sz w:val="16"/>
          <w:szCs w:val="16"/>
        </w:rPr>
        <w:t>и.д. начальника</w:t>
      </w:r>
      <w:r w:rsidRPr="00DE096C">
        <w:rPr>
          <w:bCs/>
          <w:color w:val="002060"/>
          <w:sz w:val="16"/>
          <w:szCs w:val="16"/>
        </w:rPr>
        <w:tab/>
        <w:t>канцелярии</w:t>
      </w:r>
    </w:p>
    <w:p w14:paraId="07688E41" w14:textId="77777777" w:rsidR="00B366E5" w:rsidRPr="00DE096C" w:rsidRDefault="00B366E5" w:rsidP="00D45A46">
      <w:pPr>
        <w:jc w:val="both"/>
        <w:rPr>
          <w:bCs/>
          <w:color w:val="002060"/>
          <w:sz w:val="16"/>
          <w:szCs w:val="16"/>
        </w:rPr>
      </w:pPr>
      <w:r w:rsidRPr="00DE096C">
        <w:rPr>
          <w:bCs/>
          <w:color w:val="002060"/>
          <w:sz w:val="16"/>
          <w:szCs w:val="16"/>
        </w:rPr>
        <w:tab/>
        <w:t xml:space="preserve"> генерал-лейтенант</w:t>
      </w:r>
      <w:r w:rsidRPr="00DE096C">
        <w:rPr>
          <w:bCs/>
          <w:color w:val="002060"/>
          <w:sz w:val="16"/>
          <w:szCs w:val="16"/>
        </w:rPr>
        <w:tab/>
        <w:t xml:space="preserve">Лукомский, </w:t>
      </w:r>
    </w:p>
    <w:p w14:paraId="51261B52" w14:textId="77777777" w:rsidR="00B366E5" w:rsidRPr="00DE096C" w:rsidRDefault="00B366E5" w:rsidP="00D45A46">
      <w:pPr>
        <w:jc w:val="both"/>
        <w:rPr>
          <w:bCs/>
          <w:color w:val="002060"/>
          <w:sz w:val="16"/>
          <w:szCs w:val="16"/>
        </w:rPr>
      </w:pPr>
      <w:r w:rsidRPr="00DE096C">
        <w:rPr>
          <w:bCs/>
          <w:color w:val="002060"/>
          <w:sz w:val="16"/>
          <w:szCs w:val="16"/>
        </w:rPr>
        <w:tab/>
        <w:t xml:space="preserve"> скрепил и верно за делопроизводителя</w:t>
      </w:r>
    </w:p>
    <w:p w14:paraId="3DF2EC1C" w14:textId="77777777" w:rsidR="00B366E5" w:rsidRPr="00DE096C" w:rsidRDefault="00B366E5" w:rsidP="00D45A46">
      <w:pPr>
        <w:jc w:val="both"/>
        <w:rPr>
          <w:bCs/>
          <w:color w:val="002060"/>
          <w:sz w:val="16"/>
          <w:szCs w:val="16"/>
        </w:rPr>
      </w:pPr>
      <w:r w:rsidRPr="00DE096C">
        <w:rPr>
          <w:bCs/>
          <w:color w:val="002060"/>
          <w:sz w:val="16"/>
          <w:szCs w:val="16"/>
        </w:rPr>
        <w:t>полковник Борисевич</w:t>
      </w:r>
    </w:p>
    <w:p w14:paraId="2B58C76A" w14:textId="77777777" w:rsidR="00B366E5" w:rsidRPr="00DE096C" w:rsidRDefault="00B366E5" w:rsidP="00D45A46">
      <w:pPr>
        <w:jc w:val="both"/>
        <w:rPr>
          <w:bCs/>
          <w:color w:val="002060"/>
          <w:sz w:val="16"/>
          <w:szCs w:val="16"/>
        </w:rPr>
      </w:pPr>
      <w:r w:rsidRPr="00DE096C">
        <w:rPr>
          <w:bCs/>
          <w:color w:val="002060"/>
          <w:sz w:val="16"/>
          <w:szCs w:val="16"/>
        </w:rPr>
        <w:t>Начальником Эскадры Воздушных Кораблей был назначен М.В. Шидловский:</w:t>
      </w:r>
    </w:p>
    <w:p w14:paraId="07E6EDCD" w14:textId="77777777" w:rsidR="00B366E5" w:rsidRPr="00DE096C" w:rsidRDefault="00B366E5" w:rsidP="00D45A46">
      <w:pPr>
        <w:jc w:val="both"/>
        <w:rPr>
          <w:bCs/>
          <w:color w:val="002060"/>
          <w:sz w:val="16"/>
          <w:szCs w:val="16"/>
        </w:rPr>
      </w:pPr>
      <w:r w:rsidRPr="00DE096C">
        <w:rPr>
          <w:bCs/>
          <w:color w:val="002060"/>
          <w:sz w:val="16"/>
          <w:szCs w:val="16"/>
        </w:rPr>
        <w:t xml:space="preserve">«Высочайшим приказом 14 декабря </w:t>
      </w:r>
      <w:smartTag w:uri="urn:schemas-microsoft-com:office:smarttags" w:element="metricconverter">
        <w:smartTagPr>
          <w:attr w:name="ProductID" w:val="1914 г"/>
        </w:smartTagPr>
        <w:r w:rsidRPr="00DE096C">
          <w:rPr>
            <w:bCs/>
            <w:color w:val="002060"/>
            <w:sz w:val="16"/>
            <w:szCs w:val="16"/>
          </w:rPr>
          <w:t>1914 г</w:t>
        </w:r>
      </w:smartTag>
      <w:r w:rsidRPr="00DE096C">
        <w:rPr>
          <w:bCs/>
          <w:color w:val="002060"/>
          <w:sz w:val="16"/>
          <w:szCs w:val="16"/>
        </w:rPr>
        <w:t>. Член Совета Министерства финансов действительный статский советник Шидловский назначен начальником Управления Эскадры Воздушных Кораблей с переименованием в генерал-майоры и назначением по инженерным войскам».</w:t>
      </w:r>
    </w:p>
    <w:p w14:paraId="413D7F1B" w14:textId="77777777" w:rsidR="00B366E5" w:rsidRPr="00DE096C" w:rsidRDefault="00B366E5" w:rsidP="00D45A46">
      <w:pPr>
        <w:jc w:val="both"/>
        <w:rPr>
          <w:bCs/>
          <w:color w:val="002060"/>
          <w:sz w:val="16"/>
          <w:szCs w:val="16"/>
        </w:rPr>
      </w:pPr>
      <w:r w:rsidRPr="00DE096C">
        <w:rPr>
          <w:bCs/>
          <w:color w:val="002060"/>
          <w:sz w:val="16"/>
          <w:szCs w:val="16"/>
        </w:rPr>
        <w:t>Особым разъяснением ГУГШ уточнил командующему авиацией в действующей армии Великому князю Александру Михайловичу, что ЭВК не входит в число подчинённых ему авиационных отрядов фронтовой авиации. С этого времени Российская авиации стала делиться на «тяжёлую», непосредственно подчиняемую Штабу Верховного Главнокомандования, и «лёгкую», входящую в состав войсковых соединений и подчиняемую Великому князю Александру Михайловичу (20112).</w:t>
      </w:r>
    </w:p>
    <w:p w14:paraId="6F41FA09" w14:textId="77777777" w:rsidR="00B366E5" w:rsidRPr="00DE096C" w:rsidRDefault="00B366E5" w:rsidP="00D45A46">
      <w:pPr>
        <w:pStyle w:val="rtejustify"/>
        <w:shd w:val="clear" w:color="auto" w:fill="FFFFFF"/>
        <w:spacing w:before="0" w:beforeAutospacing="0" w:after="0" w:afterAutospacing="0"/>
        <w:jc w:val="both"/>
        <w:textAlignment w:val="baseline"/>
        <w:rPr>
          <w:bCs/>
          <w:color w:val="002060"/>
          <w:sz w:val="16"/>
          <w:szCs w:val="16"/>
        </w:rPr>
      </w:pPr>
    </w:p>
    <w:p w14:paraId="006CB33A" w14:textId="77777777" w:rsidR="00F576DF" w:rsidRPr="00DE096C" w:rsidRDefault="00F576DF" w:rsidP="00D45A46">
      <w:pPr>
        <w:jc w:val="both"/>
        <w:rPr>
          <w:bCs/>
          <w:color w:val="002060"/>
          <w:sz w:val="16"/>
          <w:szCs w:val="16"/>
        </w:rPr>
      </w:pPr>
      <w:r w:rsidRPr="00DE096C">
        <w:rPr>
          <w:bCs/>
          <w:color w:val="002060"/>
          <w:sz w:val="16"/>
          <w:szCs w:val="16"/>
        </w:rPr>
        <w:t>29 октября (10 ноября) 1914 г. штаб ВГК уведомил Главное ВТУ, что "вследствие обна</w:t>
      </w:r>
      <w:r w:rsidRPr="00DE096C">
        <w:rPr>
          <w:bCs/>
          <w:color w:val="002060"/>
          <w:sz w:val="16"/>
          <w:szCs w:val="16"/>
        </w:rPr>
        <w:softHyphen/>
        <w:t>ружившейся непригодности аэропланов типа "Илья Муромец" к выпол</w:t>
      </w:r>
      <w:r w:rsidRPr="00DE096C">
        <w:rPr>
          <w:bCs/>
          <w:color w:val="002060"/>
          <w:sz w:val="16"/>
          <w:szCs w:val="16"/>
        </w:rPr>
        <w:softHyphen/>
        <w:t>нению боевых задач надлежит прекратить снабжение армии аппаратами этого типа". В соответствии с данным указанием Главное ВТУ аннули</w:t>
      </w:r>
      <w:r w:rsidRPr="00DE096C">
        <w:rPr>
          <w:bCs/>
          <w:color w:val="002060"/>
          <w:sz w:val="16"/>
          <w:szCs w:val="16"/>
        </w:rPr>
        <w:softHyphen/>
        <w:t>ровало заказ на 32 само лета, данный заводу 2-го октября на основа</w:t>
      </w:r>
      <w:r w:rsidRPr="00DE096C">
        <w:rPr>
          <w:bCs/>
          <w:color w:val="002060"/>
          <w:sz w:val="16"/>
          <w:szCs w:val="16"/>
        </w:rPr>
        <w:softHyphen/>
        <w:t>нии положительной оценки деятельности "Муромцев" на фронте. Пово</w:t>
      </w:r>
      <w:r w:rsidRPr="00DE096C">
        <w:rPr>
          <w:bCs/>
          <w:color w:val="002060"/>
          <w:sz w:val="16"/>
          <w:szCs w:val="16"/>
        </w:rPr>
        <w:softHyphen/>
        <w:t>дом к снятию с вооружения "Муромцев" послужил один неудачный по</w:t>
      </w:r>
      <w:r w:rsidRPr="00DE096C">
        <w:rPr>
          <w:bCs/>
          <w:color w:val="002060"/>
          <w:sz w:val="16"/>
          <w:szCs w:val="16"/>
        </w:rPr>
        <w:softHyphen/>
        <w:t>лет, поколебавший к ним доверие у руководителей Сев.-западного Фронта немецких баронов Каульбарса и Ренненкампфа, пренебрегавших интересами Рос сии. Однако, доверие к "Муромцам" вскоре было вос</w:t>
      </w:r>
      <w:r w:rsidRPr="00DE096C">
        <w:rPr>
          <w:bCs/>
          <w:color w:val="002060"/>
          <w:sz w:val="16"/>
          <w:szCs w:val="16"/>
        </w:rPr>
        <w:softHyphen/>
        <w:t>становлено и они продолжали свою боевую деятельность.</w:t>
      </w:r>
    </w:p>
    <w:p w14:paraId="652460C1" w14:textId="77777777" w:rsidR="00F576DF" w:rsidRPr="00DE096C" w:rsidRDefault="00F576DF" w:rsidP="00D45A46">
      <w:pPr>
        <w:jc w:val="both"/>
        <w:rPr>
          <w:bCs/>
          <w:color w:val="002060"/>
          <w:sz w:val="16"/>
          <w:szCs w:val="16"/>
        </w:rPr>
      </w:pPr>
      <w:r w:rsidRPr="00DE096C">
        <w:rPr>
          <w:bCs/>
          <w:color w:val="002060"/>
          <w:sz w:val="16"/>
          <w:szCs w:val="16"/>
        </w:rPr>
        <w:t>/ЦГВИА, ф. УВВФ, д. 11820, лл. 3-20 (23320).</w:t>
      </w:r>
    </w:p>
    <w:p w14:paraId="3FA0BE28" w14:textId="77777777" w:rsidR="00F576DF" w:rsidRPr="00DE096C" w:rsidRDefault="00F576DF" w:rsidP="00D45A46">
      <w:pPr>
        <w:jc w:val="both"/>
        <w:rPr>
          <w:bCs/>
          <w:color w:val="002060"/>
          <w:sz w:val="16"/>
          <w:szCs w:val="16"/>
        </w:rPr>
      </w:pPr>
    </w:p>
    <w:p w14:paraId="5000E604" w14:textId="77777777" w:rsidR="00E56F21" w:rsidRPr="00DE096C" w:rsidRDefault="00E56F21" w:rsidP="00D45A46">
      <w:pPr>
        <w:jc w:val="both"/>
        <w:rPr>
          <w:rStyle w:val="ucoz-forum-post"/>
          <w:rFonts w:eastAsiaTheme="majorEastAsia"/>
          <w:bCs/>
          <w:i/>
          <w:iCs/>
          <w:color w:val="002060"/>
          <w:sz w:val="16"/>
          <w:szCs w:val="16"/>
        </w:rPr>
      </w:pPr>
      <w:r w:rsidRPr="00DE096C">
        <w:rPr>
          <w:rStyle w:val="ucoz-forum-post"/>
          <w:rFonts w:eastAsiaTheme="majorEastAsia"/>
          <w:bCs/>
          <w:i/>
          <w:iCs/>
          <w:color w:val="002060"/>
          <w:sz w:val="16"/>
          <w:szCs w:val="16"/>
        </w:rPr>
        <w:t>Армия:</w:t>
      </w:r>
    </w:p>
    <w:p w14:paraId="4D84FFA5" w14:textId="77777777" w:rsidR="00E56F21" w:rsidRPr="00DE096C" w:rsidRDefault="00E56F21" w:rsidP="00D45A46">
      <w:pPr>
        <w:jc w:val="both"/>
        <w:rPr>
          <w:rStyle w:val="ucoz-forum-post"/>
          <w:rFonts w:eastAsiaTheme="majorEastAsia"/>
          <w:bCs/>
          <w:i/>
          <w:iCs/>
          <w:color w:val="002060"/>
          <w:sz w:val="16"/>
          <w:szCs w:val="16"/>
        </w:rPr>
      </w:pPr>
    </w:p>
    <w:p w14:paraId="02502EC4" w14:textId="77777777" w:rsidR="00E56F21" w:rsidRPr="00DE096C" w:rsidRDefault="00E56F21" w:rsidP="00D45A46">
      <w:pPr>
        <w:jc w:val="both"/>
        <w:rPr>
          <w:bCs/>
          <w:color w:val="002060"/>
          <w:sz w:val="16"/>
          <w:szCs w:val="16"/>
        </w:rPr>
      </w:pPr>
      <w:r w:rsidRPr="00DE096C">
        <w:rPr>
          <w:rStyle w:val="ucoz-forum-post"/>
          <w:rFonts w:eastAsiaTheme="majorEastAsia"/>
          <w:bCs/>
          <w:color w:val="002060"/>
          <w:sz w:val="16"/>
          <w:szCs w:val="16"/>
        </w:rPr>
        <w:t xml:space="preserve">29 октября (11 октября) </w:t>
      </w:r>
      <w:r w:rsidRPr="00DE096C">
        <w:rPr>
          <w:bCs/>
          <w:color w:val="002060"/>
          <w:sz w:val="16"/>
          <w:szCs w:val="16"/>
        </w:rPr>
        <w:t>в 1914 году была лодзинская операция (русско-германский фронт) (14814).</w:t>
      </w:r>
    </w:p>
    <w:p w14:paraId="591ED62A" w14:textId="77777777" w:rsidR="00E56F21" w:rsidRPr="00DE096C" w:rsidRDefault="00E56F21" w:rsidP="00D45A46">
      <w:pPr>
        <w:jc w:val="both"/>
        <w:rPr>
          <w:bCs/>
          <w:color w:val="002060"/>
          <w:sz w:val="16"/>
          <w:szCs w:val="16"/>
        </w:rPr>
      </w:pPr>
    </w:p>
    <w:p w14:paraId="7BD1B9D0" w14:textId="33013499" w:rsidR="00E56F21" w:rsidRPr="00DE096C" w:rsidRDefault="00E56F21" w:rsidP="00D45A46">
      <w:pPr>
        <w:jc w:val="both"/>
        <w:rPr>
          <w:bCs/>
          <w:color w:val="002060"/>
          <w:sz w:val="16"/>
          <w:szCs w:val="16"/>
          <w:lang w:bidi="en-US"/>
        </w:rPr>
      </w:pPr>
      <w:r w:rsidRPr="00DE096C">
        <w:rPr>
          <w:bCs/>
          <w:color w:val="002060"/>
          <w:sz w:val="16"/>
          <w:szCs w:val="16"/>
          <w:lang w:bidi="en-US"/>
        </w:rPr>
        <w:t>29 октября (11 ноября) 1914 г. в результате того, что немцы взломали коды беспроводной связи противника, планы русских по наступлению на Восточную Пруссию были сорваны упреждающими немецкими атаками (23525).</w:t>
      </w:r>
    </w:p>
    <w:p w14:paraId="37D25800" w14:textId="77777777" w:rsidR="00E56F21" w:rsidRPr="00DE096C" w:rsidRDefault="00E56F21" w:rsidP="00D45A46">
      <w:pPr>
        <w:jc w:val="both"/>
        <w:rPr>
          <w:bCs/>
          <w:color w:val="002060"/>
          <w:sz w:val="16"/>
          <w:szCs w:val="16"/>
        </w:rPr>
      </w:pPr>
    </w:p>
    <w:p w14:paraId="546259A7" w14:textId="60596975"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w:t>
      </w:r>
    </w:p>
    <w:p w14:paraId="5C163235" w14:textId="77777777" w:rsidR="00B67D7C" w:rsidRPr="00DE096C" w:rsidRDefault="00B67D7C" w:rsidP="00D45A46">
      <w:pPr>
        <w:shd w:val="clear" w:color="auto" w:fill="FFFFFF"/>
        <w:jc w:val="both"/>
        <w:rPr>
          <w:bCs/>
          <w:i/>
          <w:color w:val="002060"/>
          <w:sz w:val="16"/>
          <w:szCs w:val="16"/>
        </w:rPr>
      </w:pPr>
    </w:p>
    <w:p w14:paraId="5A911396" w14:textId="11EBDAEE"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29 октября (11 ноября) 1914 </w:t>
      </w:r>
      <w:r w:rsidR="00B92FA5" w:rsidRPr="00DE096C">
        <w:rPr>
          <w:bCs/>
          <w:color w:val="002060"/>
          <w:sz w:val="16"/>
          <w:szCs w:val="16"/>
        </w:rPr>
        <w:t>- и</w:t>
      </w:r>
      <w:r w:rsidRPr="00DE096C">
        <w:rPr>
          <w:bCs/>
          <w:color w:val="002060"/>
          <w:sz w:val="16"/>
          <w:szCs w:val="16"/>
        </w:rPr>
        <w:t>з рапорта русского командования: «В некоторых авиационных отрядах имеются летчики-добро</w:t>
      </w:r>
      <w:r w:rsidRPr="00DE096C">
        <w:rPr>
          <w:bCs/>
          <w:color w:val="002060"/>
          <w:sz w:val="16"/>
          <w:szCs w:val="16"/>
        </w:rPr>
        <w:softHyphen/>
        <w:t>вольцы, обладающие пилотскими дипломами, причем не</w:t>
      </w:r>
      <w:r w:rsidRPr="00DE096C">
        <w:rPr>
          <w:bCs/>
          <w:color w:val="002060"/>
          <w:sz w:val="16"/>
          <w:szCs w:val="16"/>
        </w:rPr>
        <w:softHyphen/>
        <w:t>которые из них пользуются большой известностью и в авиа</w:t>
      </w:r>
      <w:r w:rsidRPr="00DE096C">
        <w:rPr>
          <w:bCs/>
          <w:color w:val="002060"/>
          <w:sz w:val="16"/>
          <w:szCs w:val="16"/>
        </w:rPr>
        <w:softHyphen/>
        <w:t>ционном мире.</w:t>
      </w:r>
    </w:p>
    <w:p w14:paraId="0AA956C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Одни из таких летчиков оказались в армии на опреде</w:t>
      </w:r>
      <w:r w:rsidRPr="00DE096C">
        <w:rPr>
          <w:bCs/>
          <w:color w:val="002060"/>
          <w:sz w:val="16"/>
          <w:szCs w:val="16"/>
        </w:rPr>
        <w:softHyphen/>
        <w:t>ленном жаловании по контрактам, а другие, менее практич</w:t>
      </w:r>
      <w:r w:rsidRPr="00DE096C">
        <w:rPr>
          <w:bCs/>
          <w:color w:val="002060"/>
          <w:sz w:val="16"/>
          <w:szCs w:val="16"/>
        </w:rPr>
        <w:softHyphen/>
        <w:t>ные, поступили прямо в авиационные части на правах охот</w:t>
      </w:r>
      <w:r w:rsidRPr="00DE096C">
        <w:rPr>
          <w:bCs/>
          <w:color w:val="002060"/>
          <w:sz w:val="16"/>
          <w:szCs w:val="16"/>
        </w:rPr>
        <w:softHyphen/>
        <w:t>ников, т.е. без всякого жалования, причем, несмотря на это, некоторые из них принесли с собой безвозмездно даже свои собственные аэропланы...</w:t>
      </w:r>
    </w:p>
    <w:p w14:paraId="1D720E3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Испрашивается: угодно ли будет Вашему Высокопре</w:t>
      </w:r>
      <w:r w:rsidRPr="00DE096C">
        <w:rPr>
          <w:bCs/>
          <w:color w:val="002060"/>
          <w:sz w:val="16"/>
          <w:szCs w:val="16"/>
        </w:rPr>
        <w:softHyphen/>
        <w:t>восходительству согласиться на установление для всех лет</w:t>
      </w:r>
      <w:r w:rsidRPr="00DE096C">
        <w:rPr>
          <w:bCs/>
          <w:color w:val="002060"/>
          <w:sz w:val="16"/>
          <w:szCs w:val="16"/>
        </w:rPr>
        <w:softHyphen/>
        <w:t>чиков-добровольцев, как состоящих уже в частях, так и вновь поступающих туда, а также для летчиков при шта</w:t>
      </w:r>
      <w:r w:rsidRPr="00DE096C">
        <w:rPr>
          <w:bCs/>
          <w:color w:val="002060"/>
          <w:sz w:val="16"/>
          <w:szCs w:val="16"/>
        </w:rPr>
        <w:softHyphen/>
        <w:t>бах, однообразного вознаграждения по 300 рублей в ме</w:t>
      </w:r>
      <w:r w:rsidRPr="00DE096C">
        <w:rPr>
          <w:bCs/>
          <w:color w:val="002060"/>
          <w:sz w:val="16"/>
          <w:szCs w:val="16"/>
        </w:rPr>
        <w:softHyphen/>
        <w:t>сяц?..»</w:t>
      </w:r>
    </w:p>
    <w:p w14:paraId="3B98479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Мачавариани: «В обоих случаях — и с Орловым и с Ага</w:t>
      </w:r>
      <w:r w:rsidRPr="00DE096C">
        <w:rPr>
          <w:bCs/>
          <w:color w:val="002060"/>
          <w:sz w:val="16"/>
          <w:szCs w:val="16"/>
        </w:rPr>
        <w:softHyphen/>
        <w:t>фоновым — вызывали удивление неведомо чьи распоряже</w:t>
      </w:r>
      <w:r w:rsidRPr="00DE096C">
        <w:rPr>
          <w:bCs/>
          <w:color w:val="002060"/>
          <w:sz w:val="16"/>
          <w:szCs w:val="16"/>
        </w:rPr>
        <w:softHyphen/>
        <w:t>ния, по которым летчики-спортсмены направлялись в не</w:t>
      </w:r>
      <w:r w:rsidRPr="00DE096C">
        <w:rPr>
          <w:bCs/>
          <w:color w:val="002060"/>
          <w:sz w:val="16"/>
          <w:szCs w:val="16"/>
        </w:rPr>
        <w:softHyphen/>
        <w:t>посредственное распоряжение командования армии, не подлежа включению в состав действующих авиационных отрядов. Не располагая техническим составом, запасными частями, горючим и смазочным материалом, в общем, всем 1914 г. писал: «Прием в армию со стороны добровольцев-летчиков и летчиц, казалось бы, правильным обусловить лишь прибытием со своими собственными аппаратами, так как к представлению этим лицам казенных аппаратов, ко</w:t>
      </w:r>
      <w:r w:rsidRPr="00DE096C">
        <w:rPr>
          <w:bCs/>
          <w:color w:val="002060"/>
          <w:sz w:val="16"/>
          <w:szCs w:val="16"/>
        </w:rPr>
        <w:softHyphen/>
        <w:t>торых в большинстве отрядов недостаточно и для летчи</w:t>
      </w:r>
      <w:r w:rsidRPr="00DE096C">
        <w:rPr>
          <w:bCs/>
          <w:color w:val="002060"/>
          <w:sz w:val="16"/>
          <w:szCs w:val="16"/>
        </w:rPr>
        <w:softHyphen/>
        <w:t>ков-офицеров, не имеется никаких оснований».</w:t>
      </w:r>
    </w:p>
    <w:p w14:paraId="5BFF767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Однако в первые три месяца войны русские летчики понесли большие потери и прежде всего не из-за боевых действий, а по причине поломок и изношенности самих машин. Машины и летчики выбывали из строя в результа</w:t>
      </w:r>
      <w:r w:rsidRPr="00DE096C">
        <w:rPr>
          <w:bCs/>
          <w:color w:val="002060"/>
          <w:sz w:val="16"/>
          <w:szCs w:val="16"/>
        </w:rPr>
        <w:softHyphen/>
        <w:t>те: вынужденной посадки на территории противника, при разрушении самолета в воздухе вследствие несовершенства конструкции (разрушение аэроплана, переход в отрицатель</w:t>
      </w:r>
      <w:r w:rsidRPr="00DE096C">
        <w:rPr>
          <w:bCs/>
          <w:color w:val="002060"/>
          <w:sz w:val="16"/>
          <w:szCs w:val="16"/>
        </w:rPr>
        <w:softHyphen/>
        <w:t>ное пике, скольжение на крыло, штопор и пр.), при пожаре в воздухе из-за несовершенства двигателя и т. д.</w:t>
      </w:r>
    </w:p>
    <w:p w14:paraId="7270DB2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Одно немецкое летное отделение от подобных причин несло потери до 50% своих машин, многие из которых раз</w:t>
      </w:r>
      <w:r w:rsidRPr="00DE096C">
        <w:rPr>
          <w:bCs/>
          <w:color w:val="002060"/>
          <w:sz w:val="16"/>
          <w:szCs w:val="16"/>
        </w:rPr>
        <w:softHyphen/>
        <w:t>рушались даже прежде чем вообще вступить в дело. С авгу</w:t>
      </w:r>
      <w:r w:rsidRPr="00DE096C">
        <w:rPr>
          <w:bCs/>
          <w:color w:val="002060"/>
          <w:sz w:val="16"/>
          <w:szCs w:val="16"/>
        </w:rPr>
        <w:softHyphen/>
        <w:t>ста до октября 1914 г. германскими авиачастями таким об</w:t>
      </w:r>
      <w:r w:rsidRPr="00DE096C">
        <w:rPr>
          <w:bCs/>
          <w:color w:val="002060"/>
          <w:sz w:val="16"/>
          <w:szCs w:val="16"/>
        </w:rPr>
        <w:softHyphen/>
        <w:t>разом было потеряно 100 из 232 самолетов; 52 пилота при этом простились с жизнью. Дважды разбил самолет на взле</w:t>
      </w:r>
      <w:r w:rsidRPr="00DE096C">
        <w:rPr>
          <w:bCs/>
          <w:color w:val="002060"/>
          <w:sz w:val="16"/>
          <w:szCs w:val="16"/>
        </w:rPr>
        <w:softHyphen/>
        <w:t>те только начинавший летать Удет; однако он оба раза от</w:t>
      </w:r>
      <w:r w:rsidRPr="00DE096C">
        <w:rPr>
          <w:bCs/>
          <w:color w:val="002060"/>
          <w:sz w:val="16"/>
          <w:szCs w:val="16"/>
        </w:rPr>
        <w:softHyphen/>
        <w:t>делался только гауптвахтой. Летные кадры таяли еще даже и не поучаствовав толком в боевых действиях. То же самое происходило и во французской, и в английской авиации. У русских на южном фронте упало число самолетов с 99 от начала войны до 6 в декабре 1914 г.</w:t>
      </w:r>
    </w:p>
    <w:p w14:paraId="6E93F67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Особенно быстро выходили из строя авиадвигатели. Немало было случаев, когда в полете отлетала обшивка, обламывались крылья, конец вала двигателя вместе с вин</w:t>
      </w:r>
      <w:r w:rsidRPr="00DE096C">
        <w:rPr>
          <w:bCs/>
          <w:color w:val="002060"/>
          <w:sz w:val="16"/>
          <w:szCs w:val="16"/>
        </w:rPr>
        <w:softHyphen/>
        <w:t>том, ломались расчалки и пр. Частой причиной гибели лет</w:t>
      </w:r>
      <w:r w:rsidRPr="00DE096C">
        <w:rPr>
          <w:bCs/>
          <w:color w:val="002060"/>
          <w:sz w:val="16"/>
          <w:szCs w:val="16"/>
        </w:rPr>
        <w:softHyphen/>
        <w:t>чиков была «остановка мотора на взлете».</w:t>
      </w:r>
    </w:p>
    <w:p w14:paraId="3D629C1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Средний срок службы самолета до капитального ремон</w:t>
      </w:r>
      <w:r w:rsidRPr="00DE096C">
        <w:rPr>
          <w:bCs/>
          <w:color w:val="002060"/>
          <w:sz w:val="16"/>
          <w:szCs w:val="16"/>
        </w:rPr>
        <w:softHyphen/>
        <w:t>та составлял 2-3 месяца, общая долговечность не превы</w:t>
      </w:r>
      <w:r w:rsidRPr="00DE096C">
        <w:rPr>
          <w:bCs/>
          <w:color w:val="002060"/>
          <w:sz w:val="16"/>
          <w:szCs w:val="16"/>
        </w:rPr>
        <w:softHyphen/>
        <w:t>шала 9 месяцев, двигателя — 500 часов. До первой перебор</w:t>
      </w:r>
      <w:r w:rsidRPr="00DE096C">
        <w:rPr>
          <w:bCs/>
          <w:color w:val="002060"/>
          <w:sz w:val="16"/>
          <w:szCs w:val="16"/>
        </w:rPr>
        <w:softHyphen/>
        <w:t>ки двигатель работал около 50 часов.</w:t>
      </w:r>
    </w:p>
    <w:p w14:paraId="0B0A805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Ремонт силами авиапарков возвращал в строй около 50 % машин. В России во время войны было 7 авиапарков.* Самый крупный парк был в Варшаве.</w:t>
      </w:r>
    </w:p>
    <w:p w14:paraId="2CE936C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Одновременно в авиапарке обычно ремонтировалось от 30 до 40 самолетов. Парк был способен сняться с места и перебазироваться в 2-3 дня. Так как обслуживание авиаот</w:t>
      </w:r>
      <w:r w:rsidRPr="00DE096C">
        <w:rPr>
          <w:bCs/>
          <w:color w:val="002060"/>
          <w:sz w:val="16"/>
          <w:szCs w:val="16"/>
        </w:rPr>
        <w:softHyphen/>
        <w:t>рядов сильно затруднялось отдаленностью парков, были организованны специальные ремонтные поезда. Первый такой поезд появился в России на Западном фронте в ок</w:t>
      </w:r>
      <w:r w:rsidRPr="00DE096C">
        <w:rPr>
          <w:bCs/>
          <w:color w:val="002060"/>
          <w:sz w:val="16"/>
          <w:szCs w:val="16"/>
        </w:rPr>
        <w:softHyphen/>
        <w:t>тябре 1914 г. Вначале поезд состоял из 3-х вагонов, впо</w:t>
      </w:r>
      <w:r w:rsidRPr="00DE096C">
        <w:rPr>
          <w:bCs/>
          <w:color w:val="002060"/>
          <w:sz w:val="16"/>
          <w:szCs w:val="16"/>
        </w:rPr>
        <w:softHyphen/>
        <w:t>следствии их число достигло 50.</w:t>
      </w:r>
    </w:p>
    <w:p w14:paraId="09E6851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То же самое происходило и в авиачастях других вою</w:t>
      </w:r>
      <w:r w:rsidRPr="00DE096C">
        <w:rPr>
          <w:bCs/>
          <w:color w:val="002060"/>
          <w:sz w:val="16"/>
          <w:szCs w:val="16"/>
        </w:rPr>
        <w:softHyphen/>
        <w:t>ющих государств.</w:t>
      </w:r>
    </w:p>
    <w:p w14:paraId="6B8BE02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Учитывая сложившееся угрожающее положение в Гер</w:t>
      </w:r>
      <w:r w:rsidRPr="00DE096C">
        <w:rPr>
          <w:bCs/>
          <w:color w:val="002060"/>
          <w:sz w:val="16"/>
          <w:szCs w:val="16"/>
        </w:rPr>
        <w:softHyphen/>
        <w:t>мании в этом месяце для решения проблем авиачастей была создана «Инспекция летчиков» (11060).</w:t>
      </w:r>
    </w:p>
    <w:p w14:paraId="7022FF1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Впрочем, даже несмотря на то, что французским гене</w:t>
      </w:r>
      <w:r w:rsidRPr="00DE096C">
        <w:rPr>
          <w:bCs/>
          <w:color w:val="002060"/>
          <w:sz w:val="16"/>
          <w:szCs w:val="16"/>
        </w:rPr>
        <w:softHyphen/>
        <w:t>ральным штабом были устроены перед началом войны 6 воздушных баз для разведки у границ, которые доносили свои результаты во 2-й отдел генерального штаба, не уда</w:t>
      </w:r>
      <w:r w:rsidRPr="00DE096C">
        <w:rPr>
          <w:bCs/>
          <w:color w:val="002060"/>
          <w:sz w:val="16"/>
          <w:szCs w:val="16"/>
        </w:rPr>
        <w:softHyphen/>
        <w:t>лось достигнуть действительного эффекта; во 2-м отделе не распоряжались ни мощью, ни средствами, чтобы быстро и целесообразно использовать результаты воздушной раз</w:t>
      </w:r>
      <w:r w:rsidRPr="00DE096C">
        <w:rPr>
          <w:bCs/>
          <w:color w:val="002060"/>
          <w:sz w:val="16"/>
          <w:szCs w:val="16"/>
        </w:rPr>
        <w:softHyphen/>
        <w:t>ведки. С другой стороны, в одном вечернем донесении даже были все данные разведки собраны вместе и предоставле</w:t>
      </w:r>
      <w:r w:rsidRPr="00DE096C">
        <w:rPr>
          <w:bCs/>
          <w:color w:val="002060"/>
          <w:sz w:val="16"/>
          <w:szCs w:val="16"/>
        </w:rPr>
        <w:softHyphen/>
        <w:t>ны высшему руководству, но сведения оказались настоль</w:t>
      </w:r>
      <w:r w:rsidRPr="00DE096C">
        <w:rPr>
          <w:bCs/>
          <w:color w:val="002060"/>
          <w:sz w:val="16"/>
          <w:szCs w:val="16"/>
        </w:rPr>
        <w:softHyphen/>
        <w:t>ко противоречивыми, что на их основании невозможно было принять решение.</w:t>
      </w:r>
    </w:p>
    <w:p w14:paraId="09A2491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Да, поначалу было много и недоработок и прямых оши</w:t>
      </w:r>
      <w:r w:rsidRPr="00DE096C">
        <w:rPr>
          <w:bCs/>
          <w:color w:val="002060"/>
          <w:sz w:val="16"/>
          <w:szCs w:val="16"/>
        </w:rPr>
        <w:softHyphen/>
        <w:t>бок. Но причины первоначальной недооценки авиации находятся прежде всего в предвзятости восприятия, а не в технических препятствиях. Как в немецкой, так во француз</w:t>
      </w:r>
      <w:r w:rsidRPr="00DE096C">
        <w:rPr>
          <w:bCs/>
          <w:color w:val="002060"/>
          <w:sz w:val="16"/>
          <w:szCs w:val="16"/>
        </w:rPr>
        <w:softHyphen/>
        <w:t>ской и русской разведке возможности авиации рассматри</w:t>
      </w:r>
      <w:r w:rsidRPr="00DE096C">
        <w:rPr>
          <w:bCs/>
          <w:color w:val="002060"/>
          <w:sz w:val="16"/>
          <w:szCs w:val="16"/>
        </w:rPr>
        <w:softHyphen/>
        <w:t>валась поначалу скептически; и без подтверждения через другие средства разведки к оперативной работе просто не принимались. Понятно, что этот скепсис частично поддер</w:t>
      </w:r>
      <w:r w:rsidRPr="00DE096C">
        <w:rPr>
          <w:bCs/>
          <w:color w:val="002060"/>
          <w:sz w:val="16"/>
          <w:szCs w:val="16"/>
        </w:rPr>
        <w:softHyphen/>
        <w:t>живался ложными и ошибочными донесениями воздушной разведки, которые происходили из-за недостатка опыта на</w:t>
      </w:r>
      <w:r w:rsidRPr="00DE096C">
        <w:rPr>
          <w:bCs/>
          <w:color w:val="002060"/>
          <w:sz w:val="16"/>
          <w:szCs w:val="16"/>
        </w:rPr>
        <w:softHyphen/>
        <w:t>блюдателей. Так, неоднократно переоценивалась мощь сле</w:t>
      </w:r>
      <w:r w:rsidRPr="00DE096C">
        <w:rPr>
          <w:bCs/>
          <w:color w:val="002060"/>
          <w:sz w:val="16"/>
          <w:szCs w:val="16"/>
        </w:rPr>
        <w:softHyphen/>
        <w:t>дующих в боевом порядке колонн, в то время как с другой стороны замаскированные скопления войск в населенных пунктах и лесах не опознавались.</w:t>
      </w:r>
    </w:p>
    <w:p w14:paraId="31D9CDF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этом сказалась не только неопытность в подобного рода действиях. В начальный период войны были случаи, когда авиаторы принимали сверху расположения своих войск за неприятельские, порой даже бросали на своих бом</w:t>
      </w:r>
      <w:r w:rsidRPr="00DE096C">
        <w:rPr>
          <w:bCs/>
          <w:color w:val="002060"/>
          <w:sz w:val="16"/>
          <w:szCs w:val="16"/>
        </w:rPr>
        <w:softHyphen/>
        <w:t>бы и наводили огонь артиллерии. В этом они, как мы видели, были взаимно вежливы с наземными войсками. Кроме того, есть свидетельства, что некоторые авиаторы выдумы</w:t>
      </w:r>
      <w:r w:rsidRPr="00DE096C">
        <w:rPr>
          <w:bCs/>
          <w:color w:val="002060"/>
          <w:sz w:val="16"/>
          <w:szCs w:val="16"/>
        </w:rPr>
        <w:softHyphen/>
        <w:t>вали донесения, чтобы создать видимость активной боевой работы, которую на самом деле по разным причинам не проводили. Во избежание всех этих недоразумений, а глав</w:t>
      </w:r>
      <w:r w:rsidRPr="00DE096C">
        <w:rPr>
          <w:bCs/>
          <w:color w:val="002060"/>
          <w:sz w:val="16"/>
          <w:szCs w:val="16"/>
        </w:rPr>
        <w:softHyphen/>
        <w:t>ное — более отчетливой «зримости» ситуации, при отчетах стали требовать фотографии обследованных районов. Ведь каждый командир хочет своими глазами, а не глазами лет</w:t>
      </w:r>
      <w:r w:rsidRPr="00DE096C">
        <w:rPr>
          <w:bCs/>
          <w:color w:val="002060"/>
          <w:sz w:val="16"/>
          <w:szCs w:val="16"/>
        </w:rPr>
        <w:softHyphen/>
        <w:t>чика, увидеть поле боя. Исходя из этого, становятся более понятными недоверие и скептицизм по отношению к авиа</w:t>
      </w:r>
      <w:r w:rsidRPr="00DE096C">
        <w:rPr>
          <w:bCs/>
          <w:color w:val="002060"/>
          <w:sz w:val="16"/>
          <w:szCs w:val="16"/>
        </w:rPr>
        <w:softHyphen/>
        <w:t>ции в первые месяцы войны.</w:t>
      </w:r>
    </w:p>
    <w:p w14:paraId="0BBE7C4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Не было также продумано и распределение авиацион</w:t>
      </w:r>
      <w:r w:rsidRPr="00DE096C">
        <w:rPr>
          <w:bCs/>
          <w:color w:val="002060"/>
          <w:sz w:val="16"/>
          <w:szCs w:val="16"/>
        </w:rPr>
        <w:softHyphen/>
        <w:t>ных сил. Их просто равномерно раскидывали по армиям и корпусам, вследствие чего в отдельных местах аппаратов могло оказаться в избытке, в наиболее же горячих точках их было совершенно недостаточно для того, чтобы прояс</w:t>
      </w:r>
      <w:r w:rsidRPr="00DE096C">
        <w:rPr>
          <w:bCs/>
          <w:color w:val="002060"/>
          <w:sz w:val="16"/>
          <w:szCs w:val="16"/>
        </w:rPr>
        <w:softHyphen/>
        <w:t>нить всю картину боя. Это тоже отрицательно сказывалось на составлении оперативных планов, учитывавших данные воздушной разведки, потому что отсутствие централизован</w:t>
      </w:r>
      <w:r w:rsidRPr="00DE096C">
        <w:rPr>
          <w:bCs/>
          <w:color w:val="002060"/>
          <w:sz w:val="16"/>
          <w:szCs w:val="16"/>
        </w:rPr>
        <w:softHyphen/>
        <w:t>ного руководства ее проведением не позволяло получить полной картины происходящего на всех фронтах.</w:t>
      </w:r>
    </w:p>
    <w:p w14:paraId="25B3897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lastRenderedPageBreak/>
        <w:t>Но если весь этот скепсис, сложившийся на основании слабого технического развития авиатехники, кажется впол</w:t>
      </w:r>
      <w:r w:rsidRPr="00DE096C">
        <w:rPr>
          <w:bCs/>
          <w:color w:val="002060"/>
          <w:sz w:val="16"/>
          <w:szCs w:val="16"/>
        </w:rPr>
        <w:softHyphen/>
        <w:t>не понятным, то пренебрежение военного командования к техническим проблемам авиационных частей вызывает ис</w:t>
      </w:r>
      <w:r w:rsidRPr="00DE096C">
        <w:rPr>
          <w:bCs/>
          <w:color w:val="002060"/>
          <w:sz w:val="16"/>
          <w:szCs w:val="16"/>
        </w:rPr>
        <w:softHyphen/>
        <w:t>тинное удивление. Обеспечение аппаратов, их ремонт, под</w:t>
      </w:r>
      <w:r w:rsidRPr="00DE096C">
        <w:rPr>
          <w:bCs/>
          <w:color w:val="002060"/>
          <w:sz w:val="16"/>
          <w:szCs w:val="16"/>
        </w:rPr>
        <w:softHyphen/>
        <w:t>готовка взлетно-посадочных полос были вопросами, для ре</w:t>
      </w:r>
      <w:r w:rsidRPr="00DE096C">
        <w:rPr>
          <w:bCs/>
          <w:color w:val="002060"/>
          <w:sz w:val="16"/>
          <w:szCs w:val="16"/>
        </w:rPr>
        <w:softHyphen/>
        <w:t>шения которых военные власти почти ничего не предпри</w:t>
      </w:r>
      <w:r w:rsidRPr="00DE096C">
        <w:rPr>
          <w:bCs/>
          <w:color w:val="002060"/>
          <w:sz w:val="16"/>
          <w:szCs w:val="16"/>
        </w:rPr>
        <w:softHyphen/>
        <w:t>нимали. При этом также усложняло положение еще и то, что никаких мер, чтобы организовать налаженное снабжение, принято практически не было. Правда в Германии была со</w:t>
      </w:r>
      <w:r w:rsidRPr="00DE096C">
        <w:rPr>
          <w:bCs/>
          <w:color w:val="002060"/>
          <w:sz w:val="16"/>
          <w:szCs w:val="16"/>
        </w:rPr>
        <w:softHyphen/>
        <w:t>здана «Инспекция летчиков», но она не успевала заботиться о более чем 40 полевых авиаотрядах. Более того, в результа</w:t>
      </w:r>
      <w:r w:rsidRPr="00DE096C">
        <w:rPr>
          <w:bCs/>
          <w:color w:val="002060"/>
          <w:sz w:val="16"/>
          <w:szCs w:val="16"/>
        </w:rPr>
        <w:softHyphen/>
        <w:t>те установившейся организационной рутины стала даже пре</w:t>
      </w:r>
      <w:r w:rsidRPr="00DE096C">
        <w:rPr>
          <w:bCs/>
          <w:color w:val="002060"/>
          <w:sz w:val="16"/>
          <w:szCs w:val="16"/>
        </w:rPr>
        <w:softHyphen/>
        <w:t>пятствовать решению их проблем. В отрядах все более начи</w:t>
      </w:r>
      <w:r w:rsidRPr="00DE096C">
        <w:rPr>
          <w:bCs/>
          <w:color w:val="002060"/>
          <w:sz w:val="16"/>
          <w:szCs w:val="16"/>
        </w:rPr>
        <w:softHyphen/>
        <w:t>нали понимать, что восполнять свои потери и осуществлять ремонт аппаратов лучше всего своими собственными сила ми, не дожидаясь, пока запросы пройдут через многочислен</w:t>
      </w:r>
      <w:r w:rsidRPr="00DE096C">
        <w:rPr>
          <w:bCs/>
          <w:color w:val="002060"/>
          <w:sz w:val="16"/>
          <w:szCs w:val="16"/>
        </w:rPr>
        <w:softHyphen/>
        <w:t>ные инстанции. Офицеры германских летных частей само</w:t>
      </w:r>
      <w:r w:rsidRPr="00DE096C">
        <w:rPr>
          <w:bCs/>
          <w:color w:val="002060"/>
          <w:sz w:val="16"/>
          <w:szCs w:val="16"/>
        </w:rPr>
        <w:softHyphen/>
        <w:t>стоятельно устанавливали контакты с 8-ю авиазаводами и 4-мя фабриками моторов, чтобы иметь возможность ремон</w:t>
      </w:r>
      <w:r w:rsidRPr="00DE096C">
        <w:rPr>
          <w:bCs/>
          <w:color w:val="002060"/>
          <w:sz w:val="16"/>
          <w:szCs w:val="16"/>
        </w:rPr>
        <w:softHyphen/>
        <w:t>тировать свой самолеты. С требованиями военного руковод</w:t>
      </w:r>
      <w:r w:rsidRPr="00DE096C">
        <w:rPr>
          <w:bCs/>
          <w:color w:val="002060"/>
          <w:sz w:val="16"/>
          <w:szCs w:val="16"/>
        </w:rPr>
        <w:softHyphen/>
        <w:t>ства соответствующие приготовления и планы выпуска про</w:t>
      </w:r>
      <w:r w:rsidRPr="00DE096C">
        <w:rPr>
          <w:bCs/>
          <w:color w:val="002060"/>
          <w:sz w:val="16"/>
          <w:szCs w:val="16"/>
        </w:rPr>
        <w:softHyphen/>
        <w:t>дукции в промышленности были не согласованы. Германс</w:t>
      </w:r>
      <w:r w:rsidRPr="00DE096C">
        <w:rPr>
          <w:bCs/>
          <w:color w:val="002060"/>
          <w:sz w:val="16"/>
          <w:szCs w:val="16"/>
        </w:rPr>
        <w:softHyphen/>
        <w:t>кие фирмы Альбатрос, Общество воздухоплавания, Завод аэропланов А§о, Завод-Румплер, Германский завод аэропла</w:t>
      </w:r>
      <w:r w:rsidRPr="00DE096C">
        <w:rPr>
          <w:bCs/>
          <w:color w:val="002060"/>
          <w:sz w:val="16"/>
          <w:szCs w:val="16"/>
        </w:rPr>
        <w:softHyphen/>
        <w:t>нов, Вагоностроительный завод Готта, Завод аэропланов Фоккера, Автомобильная фирма Авиатик и Заводы авиамо</w:t>
      </w:r>
      <w:r w:rsidRPr="00DE096C">
        <w:rPr>
          <w:bCs/>
          <w:color w:val="002060"/>
          <w:sz w:val="16"/>
          <w:szCs w:val="16"/>
        </w:rPr>
        <w:softHyphen/>
        <w:t>торов Бенц, Даймлер, КА.С.-Берлин и Аргус, находившие</w:t>
      </w:r>
      <w:r w:rsidRPr="00DE096C">
        <w:rPr>
          <w:bCs/>
          <w:color w:val="002060"/>
          <w:sz w:val="16"/>
          <w:szCs w:val="16"/>
        </w:rPr>
        <w:softHyphen/>
        <w:t>ся в состоянии сильной конкуренции, имели свою програм</w:t>
      </w:r>
      <w:r w:rsidRPr="00DE096C">
        <w:rPr>
          <w:bCs/>
          <w:color w:val="002060"/>
          <w:sz w:val="16"/>
          <w:szCs w:val="16"/>
        </w:rPr>
        <w:softHyphen/>
        <w:t>му выпуска продукции, которую старались выполнить при минимуме затрат. И хотя вся изготовленная продукция тот</w:t>
      </w:r>
      <w:r w:rsidRPr="00DE096C">
        <w:rPr>
          <w:bCs/>
          <w:color w:val="002060"/>
          <w:sz w:val="16"/>
          <w:szCs w:val="16"/>
        </w:rPr>
        <w:softHyphen/>
        <w:t>час приобреталась, из-за недостатка квалифицированной рабочей силы и соответствующих материалов, заводы с на</w:t>
      </w:r>
      <w:r w:rsidRPr="00DE096C">
        <w:rPr>
          <w:bCs/>
          <w:color w:val="002060"/>
          <w:sz w:val="16"/>
          <w:szCs w:val="16"/>
        </w:rPr>
        <w:softHyphen/>
        <w:t>чала войны не могли достигнуть существенного прироста производства, поэтому очень скоро начал проявляться по</w:t>
      </w:r>
      <w:r w:rsidRPr="00DE096C">
        <w:rPr>
          <w:bCs/>
          <w:color w:val="002060"/>
          <w:sz w:val="16"/>
          <w:szCs w:val="16"/>
        </w:rPr>
        <w:softHyphen/>
        <w:t>стоянно увеличивающийся дисбаланс между все возрастаю</w:t>
      </w:r>
      <w:r w:rsidRPr="00DE096C">
        <w:rPr>
          <w:bCs/>
          <w:color w:val="002060"/>
          <w:sz w:val="16"/>
          <w:szCs w:val="16"/>
        </w:rPr>
        <w:softHyphen/>
        <w:t>щими потерями и практически остающимся на прежнем уровне выпуском новой продукции.</w:t>
      </w:r>
    </w:p>
    <w:p w14:paraId="73AC640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Военное руководство Германии даже подало иск на аэро-планные и моторные заводы с требованием повысить каче</w:t>
      </w:r>
      <w:r w:rsidRPr="00DE096C">
        <w:rPr>
          <w:bCs/>
          <w:color w:val="002060"/>
          <w:sz w:val="16"/>
          <w:szCs w:val="16"/>
        </w:rPr>
        <w:softHyphen/>
        <w:t>ство выпускаемой продукции, но заорганизованная рутина не позволяла ничего сдвинуть; у фирм просто не было ни достаточного количества материалов, ни рабочей силы, ни достаточного финансирования.</w:t>
      </w:r>
    </w:p>
    <w:p w14:paraId="37855DC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Это явление было характерным для всех воюющих стран, так как все они сильно недооценили экономический фактор в войне вообще и значение военно-воздушных сил в особенности. Даже в августе 1914 г. полеты все еще рас</w:t>
      </w:r>
      <w:r w:rsidRPr="00DE096C">
        <w:rPr>
          <w:bCs/>
          <w:color w:val="002060"/>
          <w:sz w:val="16"/>
          <w:szCs w:val="16"/>
        </w:rPr>
        <w:softHyphen/>
        <w:t>сматривали как спорт, а не как оружие.</w:t>
      </w:r>
    </w:p>
    <w:p w14:paraId="126C101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Великобритании в 1913 г. было подготовлено 115 са</w:t>
      </w:r>
      <w:r w:rsidRPr="00DE096C">
        <w:rPr>
          <w:bCs/>
          <w:color w:val="002060"/>
          <w:sz w:val="16"/>
          <w:szCs w:val="16"/>
        </w:rPr>
        <w:softHyphen/>
        <w:t>молетов для летного корпуса и 49 для морской воздушной службы. Этого казалось вполне достаточным. Однако высо</w:t>
      </w:r>
      <w:r w:rsidRPr="00DE096C">
        <w:rPr>
          <w:bCs/>
          <w:color w:val="002060"/>
          <w:sz w:val="16"/>
          <w:szCs w:val="16"/>
        </w:rPr>
        <w:softHyphen/>
        <w:t>кие военные потери уже в первые месяцы войны показали, что запланированной производством продукции ничтожно мало. Великобритания страдала прежде всего от того, что в распоряжение авиастроителей поступали непригодные авиа</w:t>
      </w:r>
      <w:r w:rsidRPr="00DE096C">
        <w:rPr>
          <w:bCs/>
          <w:color w:val="002060"/>
          <w:sz w:val="16"/>
          <w:szCs w:val="16"/>
        </w:rPr>
        <w:softHyphen/>
        <w:t>моторы. Английская авиапромышленность была в этот мо</w:t>
      </w:r>
      <w:r w:rsidRPr="00DE096C">
        <w:rPr>
          <w:bCs/>
          <w:color w:val="002060"/>
          <w:sz w:val="16"/>
          <w:szCs w:val="16"/>
        </w:rPr>
        <w:softHyphen/>
        <w:t>мент полностью зависима от французских поставок авиамо</w:t>
      </w:r>
      <w:r w:rsidRPr="00DE096C">
        <w:rPr>
          <w:bCs/>
          <w:color w:val="002060"/>
          <w:sz w:val="16"/>
          <w:szCs w:val="16"/>
        </w:rPr>
        <w:softHyphen/>
        <w:t>торов 70-сильных Рено и 80-сильных Гномов.</w:t>
      </w:r>
    </w:p>
    <w:p w14:paraId="56B1DF9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Авиапромышленность Франции с начала войны, бла</w:t>
      </w:r>
      <w:r w:rsidRPr="00DE096C">
        <w:rPr>
          <w:bCs/>
          <w:color w:val="002060"/>
          <w:sz w:val="16"/>
          <w:szCs w:val="16"/>
        </w:rPr>
        <w:softHyphen/>
        <w:t>годаря заказам Великобритании, России и Италии, нуждав</w:t>
      </w:r>
      <w:r w:rsidRPr="00DE096C">
        <w:rPr>
          <w:bCs/>
          <w:color w:val="002060"/>
          <w:sz w:val="16"/>
          <w:szCs w:val="16"/>
        </w:rPr>
        <w:softHyphen/>
        <w:t>шихся во множестве аэропланов и прежде всего моторов к ним, а также насущной необходимости восполнять быстро растущую нужду собственных военно-воздушных сил, на</w:t>
      </w:r>
      <w:r w:rsidRPr="00DE096C">
        <w:rPr>
          <w:bCs/>
          <w:color w:val="002060"/>
          <w:sz w:val="16"/>
          <w:szCs w:val="16"/>
        </w:rPr>
        <w:softHyphen/>
        <w:t>ращивала темпы производства гораздо значительнее, чем в Германии. Но и французская авиапромышленность страда</w:t>
      </w:r>
      <w:r w:rsidRPr="00DE096C">
        <w:rPr>
          <w:bCs/>
          <w:color w:val="002060"/>
          <w:sz w:val="16"/>
          <w:szCs w:val="16"/>
        </w:rPr>
        <w:softHyphen/>
        <w:t>ла от так называемого военного удара. Скоро стало недо</w:t>
      </w:r>
      <w:r w:rsidRPr="00DE096C">
        <w:rPr>
          <w:bCs/>
          <w:color w:val="002060"/>
          <w:sz w:val="16"/>
          <w:szCs w:val="16"/>
        </w:rPr>
        <w:softHyphen/>
        <w:t>статочно шарикоподшипников, стальных труб и кабелей, а также и квалифицированных рабочих. Поэтому произво</w:t>
      </w:r>
      <w:r w:rsidRPr="00DE096C">
        <w:rPr>
          <w:bCs/>
          <w:color w:val="002060"/>
          <w:sz w:val="16"/>
          <w:szCs w:val="16"/>
        </w:rPr>
        <w:softHyphen/>
        <w:t>дительность французской авиапромышленности поначалу даже снизилась в среднем с 96 самолетов в месяц в 1913 г. до 50 в августе 1914 г., и лишь затем стала вновь возрас</w:t>
      </w:r>
      <w:r w:rsidRPr="00DE096C">
        <w:rPr>
          <w:bCs/>
          <w:color w:val="002060"/>
          <w:sz w:val="16"/>
          <w:szCs w:val="16"/>
        </w:rPr>
        <w:softHyphen/>
        <w:t>тать — в сентябре было произведено уже 62, а в октябре — 100 самолетов.</w:t>
      </w:r>
    </w:p>
    <w:p w14:paraId="00DB047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Требования мировой войны принуждали производите</w:t>
      </w:r>
      <w:r w:rsidRPr="00DE096C">
        <w:rPr>
          <w:bCs/>
          <w:color w:val="002060"/>
          <w:sz w:val="16"/>
          <w:szCs w:val="16"/>
        </w:rPr>
        <w:softHyphen/>
        <w:t>лей всех стран, изменить подход к мобилизации и исполь</w:t>
      </w:r>
      <w:r w:rsidRPr="00DE096C">
        <w:rPr>
          <w:bCs/>
          <w:color w:val="002060"/>
          <w:sz w:val="16"/>
          <w:szCs w:val="16"/>
        </w:rPr>
        <w:softHyphen/>
        <w:t>зованию военно-научных потенциалов. Это было особен</w:t>
      </w:r>
      <w:r w:rsidRPr="00DE096C">
        <w:rPr>
          <w:bCs/>
          <w:color w:val="002060"/>
          <w:sz w:val="16"/>
          <w:szCs w:val="16"/>
        </w:rPr>
        <w:softHyphen/>
        <w:t>но актуально для такого молодого производства как авиа</w:t>
      </w:r>
      <w:r w:rsidRPr="00DE096C">
        <w:rPr>
          <w:bCs/>
          <w:color w:val="002060"/>
          <w:sz w:val="16"/>
          <w:szCs w:val="16"/>
        </w:rPr>
        <w:softHyphen/>
        <w:t>промышленность. Спрос на авиационную продукцию неимоверно возрос благодаря новому характеру сбыта (бо</w:t>
      </w:r>
      <w:r w:rsidRPr="00DE096C">
        <w:rPr>
          <w:bCs/>
          <w:color w:val="002060"/>
          <w:sz w:val="16"/>
          <w:szCs w:val="16"/>
        </w:rPr>
        <w:softHyphen/>
        <w:t>евым действиям).</w:t>
      </w:r>
    </w:p>
    <w:p w14:paraId="6D46F89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Более того, теперь, по исходу первых месяцев боевых действий, всем стало ясно, что вместо блицкрига все долж</w:t>
      </w:r>
      <w:r w:rsidRPr="00DE096C">
        <w:rPr>
          <w:bCs/>
          <w:color w:val="002060"/>
          <w:sz w:val="16"/>
          <w:szCs w:val="16"/>
        </w:rPr>
        <w:softHyphen/>
        <w:t>ны приготовиться к длительной затяжной войне. Из под</w:t>
      </w:r>
      <w:r w:rsidRPr="00DE096C">
        <w:rPr>
          <w:bCs/>
          <w:color w:val="002060"/>
          <w:sz w:val="16"/>
          <w:szCs w:val="16"/>
        </w:rPr>
        <w:softHyphen/>
        <w:t>вижной война превращалась в статичную, что предъявля</w:t>
      </w:r>
      <w:r w:rsidRPr="00DE096C">
        <w:rPr>
          <w:bCs/>
          <w:color w:val="002060"/>
          <w:sz w:val="16"/>
          <w:szCs w:val="16"/>
        </w:rPr>
        <w:softHyphen/>
        <w:t>ло отчасти и совершенно новые требования к вооруженным силам и к вооружению.</w:t>
      </w:r>
    </w:p>
    <w:p w14:paraId="56BB648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Что касается конкретного применения аэропланов в боевых действиях, то уже в этом году обозначились едва ли не все возможные виды их использования (11060).</w:t>
      </w:r>
    </w:p>
    <w:p w14:paraId="6E0CE39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Все шире стали применять аэропланы для корректиро</w:t>
      </w:r>
      <w:r w:rsidRPr="00DE096C">
        <w:rPr>
          <w:bCs/>
          <w:color w:val="002060"/>
          <w:sz w:val="16"/>
          <w:szCs w:val="16"/>
        </w:rPr>
        <w:softHyphen/>
        <w:t>вания артиллерийской стрельбы.* Как действенное сред</w:t>
      </w:r>
      <w:r w:rsidRPr="00DE096C">
        <w:rPr>
          <w:bCs/>
          <w:color w:val="002060"/>
          <w:sz w:val="16"/>
          <w:szCs w:val="16"/>
        </w:rPr>
        <w:softHyphen/>
        <w:t>ство сигнализации стали рассматривать в 1914 г. ракетни</w:t>
      </w:r>
      <w:r w:rsidRPr="00DE096C">
        <w:rPr>
          <w:bCs/>
          <w:color w:val="002060"/>
          <w:sz w:val="16"/>
          <w:szCs w:val="16"/>
        </w:rPr>
        <w:softHyphen/>
        <w:t>цу. Во Франции применялись, как правило, следующие уве</w:t>
      </w:r>
      <w:r w:rsidRPr="00DE096C">
        <w:rPr>
          <w:bCs/>
          <w:color w:val="002060"/>
          <w:sz w:val="16"/>
          <w:szCs w:val="16"/>
        </w:rPr>
        <w:softHyphen/>
        <w:t>домления: артиллерия сначала стреляла на далекое расстояние, а артнаблюдатель красной ракетой корректи</w:t>
      </w:r>
      <w:r w:rsidRPr="00DE096C">
        <w:rPr>
          <w:bCs/>
          <w:color w:val="002060"/>
          <w:sz w:val="16"/>
          <w:szCs w:val="16"/>
        </w:rPr>
        <w:softHyphen/>
        <w:t>ровал дальнюю, а зеленой — ближнюю стрельбу. Затем ус</w:t>
      </w:r>
      <w:r w:rsidRPr="00DE096C">
        <w:rPr>
          <w:bCs/>
          <w:color w:val="002060"/>
          <w:sz w:val="16"/>
          <w:szCs w:val="16"/>
        </w:rPr>
        <w:softHyphen/>
        <w:t>танавливалась успешность стрельбы по сторонам. Вместо ракет можно было также направлять стрельбу благодаря правому или левому наклону крыльев. Такой способ кор</w:t>
      </w:r>
      <w:r w:rsidRPr="00DE096C">
        <w:rPr>
          <w:bCs/>
          <w:color w:val="002060"/>
          <w:sz w:val="16"/>
          <w:szCs w:val="16"/>
        </w:rPr>
        <w:softHyphen/>
        <w:t>ректировки оказался не только весьма трудоемким и мед</w:t>
      </w:r>
      <w:r w:rsidRPr="00DE096C">
        <w:rPr>
          <w:bCs/>
          <w:color w:val="002060"/>
          <w:sz w:val="16"/>
          <w:szCs w:val="16"/>
        </w:rPr>
        <w:softHyphen/>
        <w:t>ленным, но еще и способствовал множеству ошибок. Часто один сигнал принимали за другой, особенно с тех пор как артиллерия стала применяться массированно, и работали многочисленные батареи одновременно. Техническое реше</w:t>
      </w:r>
      <w:r w:rsidRPr="00DE096C">
        <w:rPr>
          <w:bCs/>
          <w:color w:val="002060"/>
          <w:sz w:val="16"/>
          <w:szCs w:val="16"/>
        </w:rPr>
        <w:softHyphen/>
        <w:t>ние было найдено благодаря развитию беспроволочного телеграфа.</w:t>
      </w:r>
    </w:p>
    <w:p w14:paraId="7F84E3E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Что касается организации воздушных сил, здесь также выявилось немало недостатков.</w:t>
      </w:r>
    </w:p>
    <w:p w14:paraId="2829493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британской армии, например, выводы были сделаны уже в конце 1914 г., К.РС были распределены в эскадрильях по армиям и созданы специальные отряды для артиллерий</w:t>
      </w:r>
      <w:r w:rsidRPr="00DE096C">
        <w:rPr>
          <w:bCs/>
          <w:color w:val="002060"/>
          <w:sz w:val="16"/>
          <w:szCs w:val="16"/>
        </w:rPr>
        <w:softHyphen/>
        <w:t>ской и фоторазведки с соответствующими пригодными об</w:t>
      </w:r>
      <w:r w:rsidRPr="00DE096C">
        <w:rPr>
          <w:bCs/>
          <w:color w:val="002060"/>
          <w:sz w:val="16"/>
          <w:szCs w:val="16"/>
        </w:rPr>
        <w:softHyphen/>
        <w:t>разцами летательных аппаратов. Французской стороной раньше всех были развиты тактические концепции, кото</w:t>
      </w:r>
      <w:r w:rsidRPr="00DE096C">
        <w:rPr>
          <w:bCs/>
          <w:color w:val="002060"/>
          <w:sz w:val="16"/>
          <w:szCs w:val="16"/>
        </w:rPr>
        <w:softHyphen/>
        <w:t>рыми отводилось все повышающееся значение воздушной борьбе. Это позволяло конструировать соответствующие образцы машин. С начала войны генеральные штабы всех воюющих стран скептически обсуждали возможности воз</w:t>
      </w:r>
      <w:r w:rsidRPr="00DE096C">
        <w:rPr>
          <w:bCs/>
          <w:color w:val="002060"/>
          <w:sz w:val="16"/>
          <w:szCs w:val="16"/>
        </w:rPr>
        <w:softHyphen/>
        <w:t>душной борьбы, однако уже в сентябре 1914 г. почти все летные подразделения были вооружены тяжелыми писто</w:t>
      </w:r>
      <w:r w:rsidRPr="00DE096C">
        <w:rPr>
          <w:bCs/>
          <w:color w:val="002060"/>
          <w:sz w:val="16"/>
          <w:szCs w:val="16"/>
        </w:rPr>
        <w:softHyphen/>
        <w:t>летами, карабинами или скорострельным оружием. У фран-</w:t>
      </w:r>
    </w:p>
    <w:p w14:paraId="52EB043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 В Германии вопрос о необходимости совместной работы артиллерии с авиацией обострился настолько, что высшее командование вышло с пред</w:t>
      </w:r>
      <w:r w:rsidRPr="00DE096C">
        <w:rPr>
          <w:bCs/>
          <w:color w:val="002060"/>
          <w:sz w:val="16"/>
          <w:szCs w:val="16"/>
        </w:rPr>
        <w:softHyphen/>
        <w:t>ложениями в военное министерство о создании специальных авиацион</w:t>
      </w:r>
      <w:r w:rsidRPr="00DE096C">
        <w:rPr>
          <w:bCs/>
          <w:color w:val="002060"/>
          <w:sz w:val="16"/>
          <w:szCs w:val="16"/>
        </w:rPr>
        <w:softHyphen/>
        <w:t>ных отрядов для обнаружения целей и корректирования артиллерийской стрельбы.</w:t>
      </w:r>
    </w:p>
    <w:p w14:paraId="1D0DC37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Наряду с истребителем и его самостоятельной боевой тактикой стали образовываться специальные бомбардиро</w:t>
      </w:r>
      <w:r w:rsidRPr="00DE096C">
        <w:rPr>
          <w:bCs/>
          <w:color w:val="002060"/>
          <w:sz w:val="16"/>
          <w:szCs w:val="16"/>
        </w:rPr>
        <w:softHyphen/>
        <w:t>вочные воздушные силы. Правда, бомбардировочные части поначалу страдали от еще несоответствующих типов само</w:t>
      </w:r>
      <w:r w:rsidRPr="00DE096C">
        <w:rPr>
          <w:bCs/>
          <w:color w:val="002060"/>
          <w:sz w:val="16"/>
          <w:szCs w:val="16"/>
        </w:rPr>
        <w:softHyphen/>
        <w:t>летов для этой цели и от неясных тактических и оператив</w:t>
      </w:r>
      <w:r w:rsidRPr="00DE096C">
        <w:rPr>
          <w:bCs/>
          <w:color w:val="002060"/>
          <w:sz w:val="16"/>
          <w:szCs w:val="16"/>
        </w:rPr>
        <w:softHyphen/>
        <w:t>ных начальных принципов. Их развитие было форсирова</w:t>
      </w:r>
      <w:r w:rsidRPr="00DE096C">
        <w:rPr>
          <w:bCs/>
          <w:color w:val="002060"/>
          <w:sz w:val="16"/>
          <w:szCs w:val="16"/>
        </w:rPr>
        <w:softHyphen/>
        <w:t>но установлением позиционной войны с обеих сторон фрон</w:t>
      </w:r>
      <w:r w:rsidRPr="00DE096C">
        <w:rPr>
          <w:bCs/>
          <w:color w:val="002060"/>
          <w:sz w:val="16"/>
          <w:szCs w:val="16"/>
        </w:rPr>
        <w:softHyphen/>
        <w:t>та; из-за провала молниеносной войны в них увидели средство, способное ухватить в оперативном глубоком тылу фронта то, что недоступно длинной руке артиллерии. Здесь снова Франция опередила всех; аппараты Вуазена исполь</w:t>
      </w:r>
      <w:r w:rsidRPr="00DE096C">
        <w:rPr>
          <w:bCs/>
          <w:color w:val="002060"/>
          <w:sz w:val="16"/>
          <w:szCs w:val="16"/>
        </w:rPr>
        <w:softHyphen/>
        <w:t>зовались как многоцелевые, способные также выполнять функции бомбардировщиков.</w:t>
      </w:r>
    </w:p>
    <w:p w14:paraId="341188D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Ввиду незначительной грузоподъемности представлен</w:t>
      </w:r>
      <w:r w:rsidRPr="00DE096C">
        <w:rPr>
          <w:bCs/>
          <w:color w:val="002060"/>
          <w:sz w:val="16"/>
          <w:szCs w:val="16"/>
        </w:rPr>
        <w:softHyphen/>
        <w:t>ных в распоряжение самолетов и перед лицом чрезмерно преувеличенных в Германии ожиданий от цеппелинов как бомбоносцев развитие самолетов-бомбардировщиков отно</w:t>
      </w:r>
      <w:r w:rsidRPr="00DE096C">
        <w:rPr>
          <w:bCs/>
          <w:color w:val="002060"/>
          <w:sz w:val="16"/>
          <w:szCs w:val="16"/>
        </w:rPr>
        <w:softHyphen/>
        <w:t>сительно долго сдерживалось. Бросание бомб рассматри</w:t>
      </w:r>
      <w:r w:rsidRPr="00DE096C">
        <w:rPr>
          <w:bCs/>
          <w:color w:val="002060"/>
          <w:sz w:val="16"/>
          <w:szCs w:val="16"/>
        </w:rPr>
        <w:softHyphen/>
        <w:t>валось как попутная задача самолетов-разведчиков.</w:t>
      </w:r>
    </w:p>
    <w:p w14:paraId="1FBCB38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этом смысле даже образование «Почтового отделения в Остенде» (ВАО), не принципиально. Первые бомбарди</w:t>
      </w:r>
      <w:r w:rsidRPr="00DE096C">
        <w:rPr>
          <w:bCs/>
          <w:color w:val="002060"/>
          <w:sz w:val="16"/>
          <w:szCs w:val="16"/>
        </w:rPr>
        <w:softHyphen/>
        <w:t>ровочные эскадры германских ВВС были в истории воздуш</w:t>
      </w:r>
      <w:r w:rsidRPr="00DE096C">
        <w:rPr>
          <w:bCs/>
          <w:color w:val="002060"/>
          <w:sz w:val="16"/>
          <w:szCs w:val="16"/>
        </w:rPr>
        <w:softHyphen/>
        <w:t>ной войны прежде всего не авиационными союзами бом</w:t>
      </w:r>
      <w:r w:rsidRPr="00DE096C">
        <w:rPr>
          <w:bCs/>
          <w:color w:val="002060"/>
          <w:sz w:val="16"/>
          <w:szCs w:val="16"/>
        </w:rPr>
        <w:softHyphen/>
        <w:t>бардировщиков, но некими элитными подразделениями, которым было поставлено задание, служить в качестве ре</w:t>
      </w:r>
      <w:r w:rsidRPr="00DE096C">
        <w:rPr>
          <w:bCs/>
          <w:color w:val="002060"/>
          <w:sz w:val="16"/>
          <w:szCs w:val="16"/>
        </w:rPr>
        <w:softHyphen/>
        <w:t>зерва высшего руководства. В ВАО насчитывалось 36 са</w:t>
      </w:r>
      <w:r w:rsidRPr="00DE096C">
        <w:rPr>
          <w:bCs/>
          <w:color w:val="002060"/>
          <w:sz w:val="16"/>
          <w:szCs w:val="16"/>
        </w:rPr>
        <w:softHyphen/>
        <w:t>молетов в шести отрядах, и они применялись для многооб</w:t>
      </w:r>
      <w:r w:rsidRPr="00DE096C">
        <w:rPr>
          <w:bCs/>
          <w:color w:val="002060"/>
          <w:sz w:val="16"/>
          <w:szCs w:val="16"/>
        </w:rPr>
        <w:softHyphen/>
        <w:t>разных задач, в том числе и для бомбардировки. Основны</w:t>
      </w:r>
      <w:r w:rsidRPr="00DE096C">
        <w:rPr>
          <w:bCs/>
          <w:color w:val="002060"/>
          <w:sz w:val="16"/>
          <w:szCs w:val="16"/>
        </w:rPr>
        <w:softHyphen/>
        <w:t>ми задачами для них были: усилить стрельбу тяжелой артиллерии, нанося удары по недоступным для нее целям, препятствовать воздушному прорыву противника и прово</w:t>
      </w:r>
      <w:r w:rsidRPr="00DE096C">
        <w:rPr>
          <w:bCs/>
          <w:color w:val="002060"/>
          <w:sz w:val="16"/>
          <w:szCs w:val="16"/>
        </w:rPr>
        <w:softHyphen/>
        <w:t>дить в глубоком тылу собственные боевые задачи, связан</w:t>
      </w:r>
      <w:r w:rsidRPr="00DE096C">
        <w:rPr>
          <w:bCs/>
          <w:color w:val="002060"/>
          <w:sz w:val="16"/>
          <w:szCs w:val="16"/>
        </w:rPr>
        <w:softHyphen/>
        <w:t>ные прежде всего со стратегической разведкой. Таким об</w:t>
      </w:r>
      <w:r w:rsidRPr="00DE096C">
        <w:rPr>
          <w:bCs/>
          <w:color w:val="002060"/>
          <w:sz w:val="16"/>
          <w:szCs w:val="16"/>
        </w:rPr>
        <w:softHyphen/>
        <w:t>разом, это были многоцелевые подразделения.</w:t>
      </w:r>
    </w:p>
    <w:p w14:paraId="253FCD5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Также с британской стороны производились воздушные бомбовые атаки против ангаров воздушных судов в Кельне и Дюссельдорфе. Гораздо лучше соответствовали требова</w:t>
      </w:r>
      <w:r w:rsidRPr="00DE096C">
        <w:rPr>
          <w:bCs/>
          <w:color w:val="002060"/>
          <w:sz w:val="16"/>
          <w:szCs w:val="16"/>
        </w:rPr>
        <w:softHyphen/>
        <w:t>ниям бомбардировочного нападения созданные в 1913 г. в России И.И, Сикорским большие самолеты «Илья Муро</w:t>
      </w:r>
      <w:r w:rsidRPr="00DE096C">
        <w:rPr>
          <w:bCs/>
          <w:color w:val="002060"/>
          <w:sz w:val="16"/>
          <w:szCs w:val="16"/>
        </w:rPr>
        <w:softHyphen/>
        <w:t>мец». Но в 1914 г. они еще не участвовали в боевых дей</w:t>
      </w:r>
      <w:r w:rsidRPr="00DE096C">
        <w:rPr>
          <w:bCs/>
          <w:color w:val="002060"/>
          <w:sz w:val="16"/>
          <w:szCs w:val="16"/>
        </w:rPr>
        <w:softHyphen/>
        <w:t>ствиях. Бомбардировочной деятельностью занимались дру</w:t>
      </w:r>
      <w:r w:rsidRPr="00DE096C">
        <w:rPr>
          <w:bCs/>
          <w:color w:val="002060"/>
          <w:sz w:val="16"/>
          <w:szCs w:val="16"/>
        </w:rPr>
        <w:softHyphen/>
        <w:t>гие самолеты. Летчики 28-го русского авиаотряда совмест</w:t>
      </w:r>
      <w:r w:rsidRPr="00DE096C">
        <w:rPr>
          <w:bCs/>
          <w:color w:val="002060"/>
          <w:sz w:val="16"/>
          <w:szCs w:val="16"/>
        </w:rPr>
        <w:softHyphen/>
        <w:t>но с летчиками гренадерского авиаотряда произвели удачный воздушный налет на станцию Виткеман и герман</w:t>
      </w:r>
      <w:r w:rsidRPr="00DE096C">
        <w:rPr>
          <w:bCs/>
          <w:color w:val="002060"/>
          <w:sz w:val="16"/>
          <w:szCs w:val="16"/>
        </w:rPr>
        <w:softHyphen/>
        <w:t>ский аэродром. Было сброшено 39 авиабомб, уничтожен ангар с самолетами и вызваны большие пожары. Перед штурмом крепости Перемышль русские летчики сбросили на позиции германских защитников крепости 200 бомб.</w:t>
      </w:r>
    </w:p>
    <w:p w14:paraId="1BB6064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На протяжении всей борьбы за Перемышль, особенно в период его блокады, русская авиация играла весьма важ</w:t>
      </w:r>
      <w:r w:rsidRPr="00DE096C">
        <w:rPr>
          <w:bCs/>
          <w:color w:val="002060"/>
          <w:sz w:val="16"/>
          <w:szCs w:val="16"/>
        </w:rPr>
        <w:softHyphen/>
        <w:t>ную роль. Она систематически вела наблюдение за гарни</w:t>
      </w:r>
      <w:r w:rsidRPr="00DE096C">
        <w:rPr>
          <w:bCs/>
          <w:color w:val="002060"/>
          <w:sz w:val="16"/>
          <w:szCs w:val="16"/>
        </w:rPr>
        <w:softHyphen/>
        <w:t>зоном крепости, бомбардировала укрепления и другие важ</w:t>
      </w:r>
      <w:r w:rsidRPr="00DE096C">
        <w:rPr>
          <w:bCs/>
          <w:color w:val="002060"/>
          <w:sz w:val="16"/>
          <w:szCs w:val="16"/>
        </w:rPr>
        <w:softHyphen/>
        <w:t>ные объекты, а также корректировала огонь артиллерии. Русские военные опередили всех остальных участников боевых действий еще и в активном применение аэрофото</w:t>
      </w:r>
      <w:r w:rsidRPr="00DE096C">
        <w:rPr>
          <w:bCs/>
          <w:color w:val="002060"/>
          <w:sz w:val="16"/>
          <w:szCs w:val="16"/>
        </w:rPr>
        <w:softHyphen/>
        <w:t>графирования*.</w:t>
      </w:r>
    </w:p>
    <w:p w14:paraId="311CCDE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Воздушное фотографирование Перемышля, его крепо</w:t>
      </w:r>
      <w:r w:rsidRPr="00DE096C">
        <w:rPr>
          <w:bCs/>
          <w:color w:val="002060"/>
          <w:sz w:val="16"/>
          <w:szCs w:val="16"/>
        </w:rPr>
        <w:softHyphen/>
        <w:t>стных и полевых укреплений велось систематически. Аэро</w:t>
      </w:r>
      <w:r w:rsidRPr="00DE096C">
        <w:rPr>
          <w:bCs/>
          <w:color w:val="002060"/>
          <w:sz w:val="16"/>
          <w:szCs w:val="16"/>
        </w:rPr>
        <w:softHyphen/>
        <w:t>фотоснимки развертывались в планы, на основании кото</w:t>
      </w:r>
      <w:r w:rsidRPr="00DE096C">
        <w:rPr>
          <w:bCs/>
          <w:color w:val="002060"/>
          <w:sz w:val="16"/>
          <w:szCs w:val="16"/>
        </w:rPr>
        <w:softHyphen/>
        <w:t>рых артиллеристы вычисляли данные, необходимые для ведения точного огня. Степень точности артиллерийского огня проверялась по аэрофотоснимкам после каждой стрельбы, и при необходимости вносились соответствую</w:t>
      </w:r>
      <w:r w:rsidRPr="00DE096C">
        <w:rPr>
          <w:bCs/>
          <w:color w:val="002060"/>
          <w:sz w:val="16"/>
          <w:szCs w:val="16"/>
        </w:rPr>
        <w:softHyphen/>
        <w:t>щие поправки в расчеты артиллеристов. Аэрофотоснимки применялись также для постановки задач на бомбометание и для контроля их выполнения.</w:t>
      </w:r>
    </w:p>
    <w:p w14:paraId="3914028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случае осады Перемышля воздушная разведка оказа</w:t>
      </w:r>
      <w:r w:rsidRPr="00DE096C">
        <w:rPr>
          <w:bCs/>
          <w:color w:val="002060"/>
          <w:sz w:val="16"/>
          <w:szCs w:val="16"/>
        </w:rPr>
        <w:softHyphen/>
        <w:t>лась единственным средством, при помощи которого были выяснены все объекты обороны крепости, а также попытки австрийцев деблокировать гарнизон крепости вылазками изнутри и ударами извне, что позволяло командованию русских принимать соответствующие и своевременные меры. Таким образом, в истории военного искусства борь</w:t>
      </w:r>
      <w:r w:rsidRPr="00DE096C">
        <w:rPr>
          <w:bCs/>
          <w:color w:val="002060"/>
          <w:sz w:val="16"/>
          <w:szCs w:val="16"/>
        </w:rPr>
        <w:softHyphen/>
        <w:t>ба за Перемышль является первым примером активного участия авиации в осаде крупного населенного пункта, а также применения эшелонированной бомбардировки.</w:t>
      </w:r>
    </w:p>
    <w:p w14:paraId="4FB1557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С самого начала войны в русской армии широко исполь</w:t>
      </w:r>
      <w:r w:rsidRPr="00DE096C">
        <w:rPr>
          <w:bCs/>
          <w:color w:val="002060"/>
          <w:sz w:val="16"/>
          <w:szCs w:val="16"/>
        </w:rPr>
        <w:softHyphen/>
        <w:t>зовался опыт корректирования огня артиллерии с привяз</w:t>
      </w:r>
      <w:r w:rsidRPr="00DE096C">
        <w:rPr>
          <w:bCs/>
          <w:color w:val="002060"/>
          <w:sz w:val="16"/>
          <w:szCs w:val="16"/>
        </w:rPr>
        <w:softHyphen/>
        <w:t>ных аэростатов. Теоретический спор, который велся до на</w:t>
      </w:r>
      <w:r w:rsidRPr="00DE096C">
        <w:rPr>
          <w:bCs/>
          <w:color w:val="002060"/>
          <w:sz w:val="16"/>
          <w:szCs w:val="16"/>
        </w:rPr>
        <w:softHyphen/>
        <w:t>чала войны между Генеральным штабом русской армии и Главным инженерным управлением о целесообразности применения в военных действиях змейковых аэростатов, разрешился довольно быстро. Оказалось, что аэроплан не в состоянии полностью взять на себя боевую работу при</w:t>
      </w:r>
      <w:r w:rsidRPr="00DE096C">
        <w:rPr>
          <w:bCs/>
          <w:color w:val="002060"/>
          <w:sz w:val="16"/>
          <w:szCs w:val="16"/>
        </w:rPr>
        <w:softHyphen/>
        <w:t>вязного аэростата. За аэростатами еще долго удерживалась задача ближней разведки, общее отыскание целей и при</w:t>
      </w:r>
      <w:r w:rsidRPr="00DE096C">
        <w:rPr>
          <w:bCs/>
          <w:color w:val="002060"/>
          <w:sz w:val="16"/>
          <w:szCs w:val="16"/>
        </w:rPr>
        <w:softHyphen/>
        <w:t>стрелка. Довольно быстро возникла и совместная работа привязных аэростатов с аэропланами. Аэростат, подолгу вися в воздухе, позволял, в отличие от аэроплана, непре</w:t>
      </w:r>
      <w:r w:rsidRPr="00DE096C">
        <w:rPr>
          <w:bCs/>
          <w:color w:val="002060"/>
          <w:sz w:val="16"/>
          <w:szCs w:val="16"/>
        </w:rPr>
        <w:softHyphen/>
        <w:t>рывно наблюдать за полем сражения. Наконец, очень боль</w:t>
      </w:r>
      <w:r w:rsidRPr="00DE096C">
        <w:rPr>
          <w:bCs/>
          <w:color w:val="002060"/>
          <w:sz w:val="16"/>
          <w:szCs w:val="16"/>
        </w:rPr>
        <w:softHyphen/>
        <w:t>шое значение имела хорошо налаженная постоянная теле</w:t>
      </w:r>
      <w:r w:rsidRPr="00DE096C">
        <w:rPr>
          <w:bCs/>
          <w:color w:val="002060"/>
          <w:sz w:val="16"/>
          <w:szCs w:val="16"/>
        </w:rPr>
        <w:softHyphen/>
        <w:t>фонная связь между наблюдателями, находящимися на аэростате и артиллеристами. Видимость с аэростата дости</w:t>
      </w:r>
      <w:r w:rsidRPr="00DE096C">
        <w:rPr>
          <w:bCs/>
          <w:color w:val="002060"/>
          <w:sz w:val="16"/>
          <w:szCs w:val="16"/>
        </w:rPr>
        <w:softHyphen/>
        <w:t>гала 10-12 км. Змейковый аэростат часто одним своим при</w:t>
      </w:r>
      <w:r w:rsidRPr="00DE096C">
        <w:rPr>
          <w:bCs/>
          <w:color w:val="002060"/>
          <w:sz w:val="16"/>
          <w:szCs w:val="16"/>
        </w:rPr>
        <w:softHyphen/>
        <w:t>сутствием деморализовывал противника.</w:t>
      </w:r>
    </w:p>
    <w:p w14:paraId="6129D74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lastRenderedPageBreak/>
        <w:t>Из воспоминаний участника войны Шабашева: «Аэро</w:t>
      </w:r>
      <w:r w:rsidRPr="00DE096C">
        <w:rPr>
          <w:bCs/>
          <w:color w:val="002060"/>
          <w:sz w:val="16"/>
          <w:szCs w:val="16"/>
        </w:rPr>
        <w:softHyphen/>
        <w:t>стат невольно казался глазом, все видящим, от которого ничто не может скрыться. Следствием этого нередко явля</w:t>
      </w:r>
      <w:r w:rsidRPr="00DE096C">
        <w:rPr>
          <w:bCs/>
          <w:color w:val="002060"/>
          <w:sz w:val="16"/>
          <w:szCs w:val="16"/>
        </w:rPr>
        <w:softHyphen/>
        <w:t>лось: артиллерия противника во время нахождения аэро</w:t>
      </w:r>
      <w:r w:rsidRPr="00DE096C">
        <w:rPr>
          <w:bCs/>
          <w:color w:val="002060"/>
          <w:sz w:val="16"/>
          <w:szCs w:val="16"/>
        </w:rPr>
        <w:softHyphen/>
        <w:t>стата в воздухе во избежание ее обнаружения не открывала огня, усиленно стреляя лишь в то время, когда аэростат приземлялся для смены наблюдателей; всякое передвиже</w:t>
      </w:r>
      <w:r w:rsidRPr="00DE096C">
        <w:rPr>
          <w:bCs/>
          <w:color w:val="002060"/>
          <w:sz w:val="16"/>
          <w:szCs w:val="16"/>
        </w:rPr>
        <w:softHyphen/>
        <w:t>ние обозов и войск, расположенных ближе к нашим пози</w:t>
      </w:r>
      <w:r w:rsidRPr="00DE096C">
        <w:rPr>
          <w:bCs/>
          <w:color w:val="002060"/>
          <w:sz w:val="16"/>
          <w:szCs w:val="16"/>
        </w:rPr>
        <w:softHyphen/>
        <w:t>циям, днем останавливалось, и таковые передвижения про</w:t>
      </w:r>
      <w:r w:rsidRPr="00DE096C">
        <w:rPr>
          <w:bCs/>
          <w:color w:val="002060"/>
          <w:sz w:val="16"/>
          <w:szCs w:val="16"/>
        </w:rPr>
        <w:softHyphen/>
        <w:t>изводились под прикрытием ночной темноты, вне наблю</w:t>
      </w:r>
      <w:r w:rsidRPr="00DE096C">
        <w:rPr>
          <w:bCs/>
          <w:color w:val="002060"/>
          <w:sz w:val="16"/>
          <w:szCs w:val="16"/>
        </w:rPr>
        <w:softHyphen/>
        <w:t>дения аэростата».</w:t>
      </w:r>
    </w:p>
    <w:p w14:paraId="1D34BF7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Несмотря на очень ограниченные возможности русской авиации, роль ее в боевых действиях 1914 г. оказалась весь</w:t>
      </w:r>
      <w:r w:rsidRPr="00DE096C">
        <w:rPr>
          <w:bCs/>
          <w:color w:val="002060"/>
          <w:sz w:val="16"/>
          <w:szCs w:val="16"/>
        </w:rPr>
        <w:softHyphen/>
        <w:t>ма заметной. За весь период кампании 1914 г. русская авиа</w:t>
      </w:r>
      <w:r w:rsidRPr="00DE096C">
        <w:rPr>
          <w:bCs/>
          <w:color w:val="002060"/>
          <w:sz w:val="16"/>
          <w:szCs w:val="16"/>
        </w:rPr>
        <w:softHyphen/>
        <w:t>ция произвела 3229 боевых вылетов.</w:t>
      </w:r>
    </w:p>
    <w:p w14:paraId="0BA14D8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С вооружением аэропланов пулеметами русская авиация наряду с выполнением задач воздушной разведки начала успешно противодействовать воздушной разведке герман</w:t>
      </w:r>
      <w:r w:rsidRPr="00DE096C">
        <w:rPr>
          <w:bCs/>
          <w:color w:val="002060"/>
          <w:sz w:val="16"/>
          <w:szCs w:val="16"/>
        </w:rPr>
        <w:softHyphen/>
        <w:t>ских и австро-венгерских войск. Так, летчики 20-го корпус</w:t>
      </w:r>
      <w:r w:rsidRPr="00DE096C">
        <w:rPr>
          <w:bCs/>
          <w:color w:val="002060"/>
          <w:sz w:val="16"/>
          <w:szCs w:val="16"/>
        </w:rPr>
        <w:softHyphen/>
        <w:t>ного авиаотряда уже в декабре 1914 г. систематически пат</w:t>
      </w:r>
      <w:r w:rsidRPr="00DE096C">
        <w:rPr>
          <w:bCs/>
          <w:color w:val="002060"/>
          <w:sz w:val="16"/>
          <w:szCs w:val="16"/>
        </w:rPr>
        <w:softHyphen/>
        <w:t>рулировали над своими войсками, не допуская в район их расположения разведывательные аэропланы противника.</w:t>
      </w:r>
    </w:p>
    <w:p w14:paraId="4628416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Однако, несмотря на это, русская авиационная техника значительно уступала темпам развития количества и каче</w:t>
      </w:r>
      <w:r w:rsidRPr="00DE096C">
        <w:rPr>
          <w:bCs/>
          <w:color w:val="002060"/>
          <w:sz w:val="16"/>
          <w:szCs w:val="16"/>
        </w:rPr>
        <w:softHyphen/>
        <w:t>ства авиационной техники двух основных соперников — Франции и Германии. В общем же в первые месяцы войны авиационная техника воюющих держав была еще очень не</w:t>
      </w:r>
      <w:r w:rsidRPr="00DE096C">
        <w:rPr>
          <w:bCs/>
          <w:color w:val="002060"/>
          <w:sz w:val="16"/>
          <w:szCs w:val="16"/>
        </w:rPr>
        <w:softHyphen/>
        <w:t>совершенной и малочисленной для того, чтобы оказывать действительно сильное влияние на ход боевых действий.</w:t>
      </w:r>
    </w:p>
    <w:p w14:paraId="11630FC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Однако будущее уже начинало грезиться военным умам.</w:t>
      </w:r>
    </w:p>
    <w:p w14:paraId="2061E21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Фош: «Наступление, оснащенное всеми... средствами, не будет, как и во времена Наполеона, знать позиционной войны. Оно вновь приобретет подвижность, которую оно утратило из-за худосочия, из-за своего бессилия перед пре</w:t>
      </w:r>
      <w:r w:rsidRPr="00DE096C">
        <w:rPr>
          <w:bCs/>
          <w:color w:val="002060"/>
          <w:sz w:val="16"/>
          <w:szCs w:val="16"/>
        </w:rPr>
        <w:softHyphen/>
        <w:t>пятствиями... темп развития войны зависит от имеющихся налицо машин и материальной части. Человек, каким бы доблестным он ни был, не может один его изменить. Без... техники он совершенно бессилен. А так как количество... техники все время увеличивается, то одна из первых задач бойца в армии заключается в том, чтобы одухотворять, об</w:t>
      </w:r>
      <w:r w:rsidRPr="00DE096C">
        <w:rPr>
          <w:bCs/>
          <w:color w:val="002060"/>
          <w:sz w:val="16"/>
          <w:szCs w:val="16"/>
        </w:rPr>
        <w:softHyphen/>
        <w:t>служивать эту технику.</w:t>
      </w:r>
    </w:p>
    <w:p w14:paraId="662B9C8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Таковы были уроки войны уже к концу 1914 г. Чего толь</w:t>
      </w:r>
      <w:r w:rsidRPr="00DE096C">
        <w:rPr>
          <w:bCs/>
          <w:color w:val="002060"/>
          <w:sz w:val="16"/>
          <w:szCs w:val="16"/>
        </w:rPr>
        <w:softHyphen/>
        <w:t>ко нельзя ожидать в войнах будущего от успехов авиации и развития химической войны...»</w:t>
      </w:r>
    </w:p>
    <w:p w14:paraId="3220601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И это написал тот самый Фош, который еще совсем не</w:t>
      </w:r>
      <w:r w:rsidRPr="00DE096C">
        <w:rPr>
          <w:bCs/>
          <w:color w:val="002060"/>
          <w:sz w:val="16"/>
          <w:szCs w:val="16"/>
        </w:rPr>
        <w:softHyphen/>
        <w:t>давно говорил об авиации: «Это хороший спорт. Но для армии самолет ни к чему».</w:t>
      </w:r>
    </w:p>
    <w:p w14:paraId="1F1296D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Таким образом, уже первые месяцы войны в корне изменили отношение военных к авиации. Теперь они вдруг поняли, как хорошо наблюдать сверху за разворотом собы</w:t>
      </w:r>
      <w:r w:rsidRPr="00DE096C">
        <w:rPr>
          <w:bCs/>
          <w:color w:val="002060"/>
          <w:sz w:val="16"/>
          <w:szCs w:val="16"/>
        </w:rPr>
        <w:softHyphen/>
        <w:t>тий, а иногда и вмешиваться в них. Именно под этим зна</w:t>
      </w:r>
      <w:r w:rsidRPr="00DE096C">
        <w:rPr>
          <w:bCs/>
          <w:color w:val="002060"/>
          <w:sz w:val="16"/>
          <w:szCs w:val="16"/>
        </w:rPr>
        <w:softHyphen/>
        <w:t>ком прошла кампания 1914 г. И теперь недалек уже тот день, когда у летчика возникнет желание не только кидать фа</w:t>
      </w:r>
      <w:r w:rsidRPr="00DE096C">
        <w:rPr>
          <w:bCs/>
          <w:color w:val="002060"/>
          <w:sz w:val="16"/>
          <w:szCs w:val="16"/>
        </w:rPr>
        <w:softHyphen/>
        <w:t>наты в наземные цели, но и стрелять в походные колонны из пулемета, а у командующего — руководить боем по ра</w:t>
      </w:r>
      <w:r w:rsidRPr="00DE096C">
        <w:rPr>
          <w:bCs/>
          <w:color w:val="002060"/>
          <w:sz w:val="16"/>
          <w:szCs w:val="16"/>
        </w:rPr>
        <w:softHyphen/>
        <w:t>диопередатчику, наблюдая за ходом сражения с борта са</w:t>
      </w:r>
      <w:r w:rsidRPr="00DE096C">
        <w:rPr>
          <w:bCs/>
          <w:color w:val="002060"/>
          <w:sz w:val="16"/>
          <w:szCs w:val="16"/>
        </w:rPr>
        <w:softHyphen/>
        <w:t>молета.</w:t>
      </w:r>
    </w:p>
    <w:p w14:paraId="27326D9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Недаром русский летчик Н. Попов сказал в 1914 году: «Если бы в сражении при Ватерлоо у Наполеона был хотя бы один летчик, Наполеон непременно выиграл бы» (11060).</w:t>
      </w:r>
    </w:p>
    <w:p w14:paraId="54A2CA0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 Британская разведывательная авиация в 1914 г. за время боевых дей</w:t>
      </w:r>
      <w:r w:rsidRPr="00DE096C">
        <w:rPr>
          <w:bCs/>
          <w:color w:val="002060"/>
          <w:sz w:val="16"/>
          <w:szCs w:val="16"/>
        </w:rPr>
        <w:softHyphen/>
        <w:t>ствий сделала 40 аэрофотоснимков.</w:t>
      </w:r>
    </w:p>
    <w:p w14:paraId="042DC478" w14:textId="77777777" w:rsidR="00B67D7C" w:rsidRPr="00DE096C" w:rsidRDefault="00B67D7C" w:rsidP="00D45A46">
      <w:pPr>
        <w:shd w:val="clear" w:color="auto" w:fill="FFFFFF"/>
        <w:jc w:val="both"/>
        <w:rPr>
          <w:bCs/>
          <w:color w:val="002060"/>
          <w:sz w:val="16"/>
          <w:szCs w:val="16"/>
        </w:rPr>
      </w:pPr>
    </w:p>
    <w:p w14:paraId="1BEAC266" w14:textId="771309F3" w:rsidR="00F576DF" w:rsidRPr="00DE096C" w:rsidRDefault="00F576DF" w:rsidP="00D45A46">
      <w:pPr>
        <w:jc w:val="both"/>
        <w:rPr>
          <w:bCs/>
          <w:color w:val="002060"/>
          <w:sz w:val="16"/>
          <w:szCs w:val="16"/>
        </w:rPr>
      </w:pPr>
      <w:r w:rsidRPr="00DE096C">
        <w:rPr>
          <w:bCs/>
          <w:color w:val="002060"/>
          <w:sz w:val="16"/>
          <w:szCs w:val="16"/>
        </w:rPr>
        <w:t>29 октября (1</w:t>
      </w:r>
      <w:r w:rsidR="003E3319" w:rsidRPr="00DE096C">
        <w:rPr>
          <w:bCs/>
          <w:color w:val="002060"/>
          <w:sz w:val="16"/>
          <w:szCs w:val="16"/>
        </w:rPr>
        <w:t>1</w:t>
      </w:r>
      <w:r w:rsidRPr="00DE096C">
        <w:rPr>
          <w:bCs/>
          <w:color w:val="002060"/>
          <w:sz w:val="16"/>
          <w:szCs w:val="16"/>
        </w:rPr>
        <w:t xml:space="preserve"> ноября) 1914 г. летчик Н.А.Мулько сбросил две бомбы на патронный склад в крепости Перемышль, обнаруженный им ранее, и взорвал его. Полет проходил в исключительно тяжелых условиях на высоте 900 м при си</w:t>
      </w:r>
      <w:r w:rsidRPr="00DE096C">
        <w:rPr>
          <w:bCs/>
          <w:color w:val="002060"/>
          <w:sz w:val="16"/>
          <w:szCs w:val="16"/>
        </w:rPr>
        <w:softHyphen/>
        <w:t>льном обстреле противником, причинившем повреждение самолету в пя</w:t>
      </w:r>
      <w:r w:rsidRPr="00DE096C">
        <w:rPr>
          <w:bCs/>
          <w:color w:val="002060"/>
          <w:sz w:val="16"/>
          <w:szCs w:val="16"/>
        </w:rPr>
        <w:softHyphen/>
        <w:t>ти местах. Взрыв склада вызвал сильную панику в гарнизоне крепости и способствовал его падению. За этот подвиг Мулько был награжден Горгиевским оружием.</w:t>
      </w:r>
    </w:p>
    <w:p w14:paraId="183083CC" w14:textId="77777777" w:rsidR="00F576DF" w:rsidRPr="00DE096C" w:rsidRDefault="00F576DF" w:rsidP="00D45A46">
      <w:pPr>
        <w:jc w:val="both"/>
        <w:rPr>
          <w:bCs/>
          <w:color w:val="002060"/>
          <w:sz w:val="16"/>
          <w:szCs w:val="16"/>
        </w:rPr>
      </w:pPr>
      <w:r w:rsidRPr="00DE096C">
        <w:rPr>
          <w:bCs/>
          <w:color w:val="002060"/>
          <w:sz w:val="16"/>
          <w:szCs w:val="16"/>
        </w:rPr>
        <w:t>/ЦГВИА, ф. 493, оп. 3, д. 120; «Русский инвалид», № 5, 1915/ (23320).</w:t>
      </w:r>
    </w:p>
    <w:p w14:paraId="183CDA31" w14:textId="77777777" w:rsidR="00F576DF" w:rsidRPr="00DE096C" w:rsidRDefault="00F576DF" w:rsidP="00D45A46">
      <w:pPr>
        <w:jc w:val="both"/>
        <w:rPr>
          <w:bCs/>
          <w:color w:val="002060"/>
          <w:sz w:val="16"/>
          <w:szCs w:val="16"/>
        </w:rPr>
      </w:pPr>
    </w:p>
    <w:p w14:paraId="13BB0980" w14:textId="77777777" w:rsidR="00736E34" w:rsidRPr="00B52707" w:rsidRDefault="00736E34" w:rsidP="00736E34">
      <w:pPr>
        <w:jc w:val="both"/>
        <w:rPr>
          <w:color w:val="0070C0"/>
          <w:sz w:val="16"/>
          <w:szCs w:val="16"/>
        </w:rPr>
      </w:pPr>
      <w:r w:rsidRPr="00B52707">
        <w:rPr>
          <w:color w:val="0070C0"/>
          <w:sz w:val="16"/>
          <w:szCs w:val="16"/>
        </w:rPr>
        <w:t>29 октября (11 ноября) 1914 г. в ходе проведения Лодзинской операции (11 ноября – 19 декабря 1914 г.) из доклада одного из немецких летчиков германское командование получило важные сведения «об удачном прорыве армейской группы Шеффера» участка фронта в полосе обороны 6-й Сибирской стрелковой дивизии, захватив у нее в тылу н/п Брезины. В своем стремлении окружить в районе г. Лодзь (царство Польское) две русские армии, противник упустил из виду прибывшие в этот район наши свежие резервы. Воздушная разведка германских войск своевременно вскрыла активное движение железнодорожных составов на перегоне Скерневицы (Скерневице) – Варшава, но не придала ему должного значения. Именно в это время на фронт шла переброска 67-й пехотной дивизии, сыгравшей не последнюю роль в срыве планов немецкого командования. Дезориентация противника была усилена ложными сведениями, почерпнутыми из «бумаг, найденных ими у взятого в плен под Тушином русского летчика». В результате 9-я германская армия оказалась на грани полного разгром (25135).</w:t>
      </w:r>
    </w:p>
    <w:p w14:paraId="096828A1" w14:textId="77777777" w:rsidR="00736E34" w:rsidRPr="00B52707" w:rsidRDefault="00736E34" w:rsidP="00736E34">
      <w:pPr>
        <w:jc w:val="both"/>
        <w:rPr>
          <w:color w:val="0070C0"/>
          <w:sz w:val="16"/>
          <w:szCs w:val="16"/>
        </w:rPr>
      </w:pPr>
    </w:p>
    <w:p w14:paraId="67B76B3B" w14:textId="77777777" w:rsidR="003E3319" w:rsidRPr="00DE096C" w:rsidRDefault="003E3319" w:rsidP="00D45A46">
      <w:pPr>
        <w:jc w:val="both"/>
        <w:rPr>
          <w:bCs/>
          <w:i/>
          <w:color w:val="002060"/>
          <w:sz w:val="16"/>
          <w:szCs w:val="16"/>
        </w:rPr>
      </w:pPr>
      <w:r w:rsidRPr="00DE096C">
        <w:rPr>
          <w:bCs/>
          <w:i/>
          <w:color w:val="002060"/>
          <w:sz w:val="16"/>
          <w:szCs w:val="16"/>
        </w:rPr>
        <w:t>Самолетостроение:</w:t>
      </w:r>
    </w:p>
    <w:p w14:paraId="029999CB" w14:textId="77777777" w:rsidR="003E3319" w:rsidRPr="00DE096C" w:rsidRDefault="003E3319" w:rsidP="00D45A46">
      <w:pPr>
        <w:jc w:val="both"/>
        <w:rPr>
          <w:bCs/>
          <w:i/>
          <w:color w:val="002060"/>
          <w:sz w:val="16"/>
          <w:szCs w:val="16"/>
        </w:rPr>
      </w:pPr>
    </w:p>
    <w:p w14:paraId="20358382" w14:textId="77777777" w:rsidR="003E3319" w:rsidRPr="00DE096C" w:rsidRDefault="003E3319" w:rsidP="00D45A46">
      <w:pPr>
        <w:jc w:val="both"/>
        <w:rPr>
          <w:bCs/>
          <w:color w:val="002060"/>
          <w:sz w:val="16"/>
          <w:szCs w:val="16"/>
        </w:rPr>
      </w:pPr>
      <w:r w:rsidRPr="00DE096C">
        <w:rPr>
          <w:bCs/>
          <w:color w:val="002060"/>
          <w:sz w:val="16"/>
          <w:szCs w:val="16"/>
        </w:rPr>
        <w:t xml:space="preserve">30 октября (12 ноября) 1914 г. Горшковым в Петрограде был разбит "корабль IV", что вместе с неудачей с двумя "Муромцами", уведомлением командования, рудневской докладной запиской повлекли за собой приостановление нового контракта от 2 октября 1914 г. за № 11356/5031 на постройку 32 кораблей. По этому поводу было выпущено постановление Военного Совета от 20 ноября и лишь 18 апреля 1915 г. оно было отменено. Председатель Правления А/О РБВЗ Шидловский написал докладную записку военному министру Сухомлинову и просил, чтобы ему на деле дати возможность доказать пригодность "Муромцев" для военных целей. В ней указывалось неправильное использование этих машин на фронте и предлагалось сформировать из разрозненных отрядов "Муромцев" боевое соединение по типу эскадры морских боевых кораблей. Верховный Главнокомандующий Великий князь Николай Николаевич и сам император также ознакомились с докладом и одобрили этот проект. В начале декабря 1914 г. был издан приказ согласно которого вся авиация делилась на тяжелую и легкую. Было сформировано Управление Эскадры Воздушных Кораблей (УЭВК), подчиненное Верховному Главнокомандующему. М.В.Шидловскому присвоили звание генерал-майора, что соответствовало его чину действительного статского советника, и назначили Начальником УЭВК. По штату Эскадре полагалось 10 боевых и 2 учебных корабля. Аэродром УЭВК находился у деревни Старая Яблонна (под Варшавой), куда в декабре 1914 г прибыли Ш-й, V-й, VI-й и VI 1-й корабли. Два последних "Муромца" были нового типа В ("облегченного"), с острым носом (первый учебный с 2 "Сальмсонами", второй боевой). </w:t>
      </w:r>
    </w:p>
    <w:p w14:paraId="4002DE81" w14:textId="77777777" w:rsidR="003E3319" w:rsidRPr="00DE096C" w:rsidRDefault="003E3319" w:rsidP="00D45A46">
      <w:pPr>
        <w:jc w:val="both"/>
        <w:rPr>
          <w:bCs/>
          <w:color w:val="002060"/>
          <w:sz w:val="16"/>
          <w:szCs w:val="16"/>
        </w:rPr>
      </w:pPr>
    </w:p>
    <w:p w14:paraId="3FCEDDD6" w14:textId="77777777" w:rsidR="00A427F0" w:rsidRPr="00DE096C" w:rsidRDefault="00A427F0" w:rsidP="00D45A46">
      <w:pPr>
        <w:jc w:val="both"/>
        <w:rPr>
          <w:bCs/>
          <w:color w:val="002060"/>
          <w:sz w:val="16"/>
          <w:szCs w:val="16"/>
        </w:rPr>
      </w:pPr>
      <w:r w:rsidRPr="00DE096C">
        <w:rPr>
          <w:bCs/>
          <w:color w:val="002060"/>
          <w:sz w:val="16"/>
          <w:szCs w:val="16"/>
        </w:rPr>
        <w:t>30 октября (12 ноября) 1914 г. летчиком штабс-капитаном Горшковым на приемо-сдаточном полете в Петрограде разбит «Илья Муромец» Б-6 (ИМ-Б № 138, борт № IV) экз. № 6, стратегический разведчик, по сути – учебный самолет, но есть противоречие – по др. данным разбит в этот день был ИМ-Б № 137, и есть данные, что Модрах все же выполнил на нем полет в ОВШ.</w:t>
      </w:r>
    </w:p>
    <w:p w14:paraId="7E21201F" w14:textId="77777777" w:rsidR="00A427F0" w:rsidRPr="00DE096C" w:rsidRDefault="00A427F0" w:rsidP="00D45A46">
      <w:pPr>
        <w:jc w:val="both"/>
        <w:rPr>
          <w:bCs/>
          <w:color w:val="002060"/>
          <w:sz w:val="16"/>
          <w:szCs w:val="16"/>
        </w:rPr>
      </w:pPr>
      <w:r w:rsidRPr="00DE096C">
        <w:rPr>
          <w:bCs/>
          <w:color w:val="002060"/>
          <w:sz w:val="16"/>
          <w:szCs w:val="16"/>
        </w:rPr>
        <w:t>Осенью 1914 г. РБВЗ был построен по типу самолета № 136.</w:t>
      </w:r>
    </w:p>
    <w:p w14:paraId="57DA4D1B" w14:textId="77777777" w:rsidR="00A427F0" w:rsidRPr="00DE096C" w:rsidRDefault="00A427F0" w:rsidP="00D45A46">
      <w:pPr>
        <w:jc w:val="both"/>
        <w:rPr>
          <w:bCs/>
          <w:color w:val="002060"/>
          <w:sz w:val="16"/>
          <w:szCs w:val="16"/>
        </w:rPr>
      </w:pPr>
      <w:r w:rsidRPr="00DE096C">
        <w:rPr>
          <w:bCs/>
          <w:color w:val="002060"/>
          <w:sz w:val="16"/>
          <w:szCs w:val="16"/>
        </w:rPr>
        <w:t>Командиром корабля был назначен поручик С.К. Модрах (но он летал на нем только во время учебы в ОВШ в Гатчине) (23569).</w:t>
      </w:r>
    </w:p>
    <w:p w14:paraId="6CCCEAC9" w14:textId="77777777" w:rsidR="00A427F0" w:rsidRPr="00DE096C" w:rsidRDefault="00A427F0" w:rsidP="00D45A46">
      <w:pPr>
        <w:jc w:val="both"/>
        <w:rPr>
          <w:bCs/>
          <w:color w:val="002060"/>
          <w:sz w:val="16"/>
          <w:szCs w:val="16"/>
          <w:lang w:bidi="ru-RU"/>
        </w:rPr>
      </w:pPr>
    </w:p>
    <w:p w14:paraId="79245C6C" w14:textId="7AC154F4" w:rsidR="00974330" w:rsidRPr="00DE096C" w:rsidRDefault="00974330" w:rsidP="00D45A46">
      <w:pPr>
        <w:jc w:val="both"/>
        <w:rPr>
          <w:bCs/>
          <w:i/>
          <w:color w:val="002060"/>
          <w:sz w:val="16"/>
          <w:szCs w:val="16"/>
        </w:rPr>
      </w:pPr>
      <w:r w:rsidRPr="00DE096C">
        <w:rPr>
          <w:bCs/>
          <w:i/>
          <w:color w:val="002060"/>
          <w:sz w:val="16"/>
          <w:szCs w:val="16"/>
        </w:rPr>
        <w:t>Авиация:</w:t>
      </w:r>
    </w:p>
    <w:p w14:paraId="6288F0AD" w14:textId="77777777" w:rsidR="00974330" w:rsidRPr="00DE096C" w:rsidRDefault="00974330" w:rsidP="00D45A46">
      <w:pPr>
        <w:jc w:val="both"/>
        <w:rPr>
          <w:bCs/>
          <w:i/>
          <w:color w:val="002060"/>
          <w:sz w:val="16"/>
          <w:szCs w:val="16"/>
        </w:rPr>
      </w:pPr>
    </w:p>
    <w:p w14:paraId="65E50F4C" w14:textId="1E685873" w:rsidR="00974330" w:rsidRPr="00DE096C" w:rsidRDefault="00974330" w:rsidP="00D45A46">
      <w:pPr>
        <w:jc w:val="both"/>
        <w:rPr>
          <w:bCs/>
          <w:color w:val="002060"/>
          <w:sz w:val="16"/>
          <w:szCs w:val="16"/>
          <w:lang w:bidi="en-US"/>
        </w:rPr>
      </w:pPr>
      <w:r w:rsidRPr="00DE096C">
        <w:rPr>
          <w:bCs/>
          <w:color w:val="002060"/>
          <w:sz w:val="16"/>
          <w:szCs w:val="16"/>
        </w:rPr>
        <w:t xml:space="preserve">30 октября (12 ноября) </w:t>
      </w:r>
      <w:r w:rsidRPr="00DE096C">
        <w:rPr>
          <w:bCs/>
          <w:color w:val="002060"/>
          <w:sz w:val="16"/>
          <w:szCs w:val="16"/>
          <w:lang w:bidi="en-US"/>
        </w:rPr>
        <w:t xml:space="preserve">1914 г. австро-венгерский </w:t>
      </w:r>
      <w:r w:rsidRPr="00DE096C">
        <w:rPr>
          <w:bCs/>
          <w:color w:val="002060"/>
          <w:sz w:val="16"/>
          <w:szCs w:val="16"/>
          <w:lang w:val="en-US" w:bidi="en-US"/>
        </w:rPr>
        <w:t>Flik</w:t>
      </w:r>
      <w:r w:rsidRPr="00DE096C">
        <w:rPr>
          <w:bCs/>
          <w:color w:val="002060"/>
          <w:sz w:val="16"/>
          <w:szCs w:val="16"/>
          <w:lang w:bidi="en-US"/>
        </w:rPr>
        <w:t xml:space="preserve"> 13 прибыл на фронт с </w:t>
      </w:r>
      <w:r w:rsidRPr="00DE096C">
        <w:rPr>
          <w:bCs/>
          <w:color w:val="002060"/>
          <w:sz w:val="16"/>
          <w:szCs w:val="16"/>
          <w:lang w:val="en-US" w:bidi="en-US"/>
        </w:rPr>
        <w:t>DFWBI</w:t>
      </w:r>
      <w:r w:rsidRPr="00DE096C">
        <w:rPr>
          <w:bCs/>
          <w:color w:val="002060"/>
          <w:sz w:val="16"/>
          <w:szCs w:val="16"/>
          <w:lang w:bidi="en-US"/>
        </w:rPr>
        <w:t>. На Русском фронте теперь было десять Фликов (23525).</w:t>
      </w:r>
    </w:p>
    <w:p w14:paraId="1F88BDCA" w14:textId="77777777" w:rsidR="00974330" w:rsidRPr="00DE096C" w:rsidRDefault="00974330" w:rsidP="00D45A46">
      <w:pPr>
        <w:jc w:val="both"/>
        <w:rPr>
          <w:bCs/>
          <w:color w:val="002060"/>
          <w:sz w:val="16"/>
          <w:szCs w:val="16"/>
        </w:rPr>
      </w:pPr>
    </w:p>
    <w:p w14:paraId="5BE5A66E" w14:textId="784F8F08" w:rsidR="00974330" w:rsidRPr="00DE096C" w:rsidRDefault="00974330" w:rsidP="00D45A46">
      <w:pPr>
        <w:jc w:val="both"/>
        <w:rPr>
          <w:bCs/>
          <w:color w:val="002060"/>
          <w:sz w:val="16"/>
          <w:szCs w:val="16"/>
        </w:rPr>
      </w:pPr>
      <w:r w:rsidRPr="00DE096C">
        <w:rPr>
          <w:bCs/>
          <w:color w:val="002060"/>
          <w:sz w:val="16"/>
          <w:szCs w:val="16"/>
        </w:rPr>
        <w:t xml:space="preserve">30 октября (12 ноября) </w:t>
      </w:r>
      <w:r w:rsidRPr="00DE096C">
        <w:rPr>
          <w:bCs/>
          <w:color w:val="002060"/>
          <w:sz w:val="16"/>
          <w:szCs w:val="16"/>
          <w:lang w:bidi="en-US"/>
        </w:rPr>
        <w:t>1914 г. великий князь Александр Михайлович доложил царю, что в частях теперь имеется 160 исправных самолетов, а 42 находятся в ремонте. Во фронтовые части отправлена 21 сменная машина. Около 130 самолетов было потеряно по разным причинам, а около пятнадцати самолетов противника было захвачено. Он заявил, что на вооружении находились восемьдесят Фарманов, шестьдесят восемь Ньюпоров, двадцать девять Моранов, семнадцать Депердюссинов, два Вуазена и шесть захваченных самолетов. Теперь насчитывалось 187 офицеров-пилотов, тридцать три солдата-пилота, двенадцать летчиков-добровольцев и сорок офицеров-наблюдателей. Девять летчиков были убиты, пятеро ранены и четырнадцать пропали без вести.</w:t>
      </w:r>
    </w:p>
    <w:p w14:paraId="142E9EB5" w14:textId="77777777" w:rsidR="00974330" w:rsidRPr="00DE096C" w:rsidRDefault="00974330" w:rsidP="00D45A46">
      <w:pPr>
        <w:jc w:val="both"/>
        <w:rPr>
          <w:bCs/>
          <w:color w:val="002060"/>
          <w:sz w:val="16"/>
          <w:szCs w:val="16"/>
          <w:lang w:bidi="en-US"/>
        </w:rPr>
      </w:pPr>
      <w:r w:rsidRPr="00DE096C">
        <w:rPr>
          <w:bCs/>
          <w:color w:val="002060"/>
          <w:sz w:val="16"/>
          <w:szCs w:val="16"/>
          <w:lang w:bidi="en-US"/>
        </w:rPr>
        <w:t>Для улучшения тылового обеспечения авиационных рот 1-я рота должна была перебазироваться из Петрограда в Лиду; 2-я рота двинулась из Брест-Литовска в Варшаву с частью в Люблине; 3-я рота должна была находиться во Львове; 4-я рота остается в Лиде, 5-я рота переводится в Лиду; а 6-я рота двинулась во Львов. Русский дирижабль «Кондор» уже был во Львове (23525).</w:t>
      </w:r>
    </w:p>
    <w:p w14:paraId="5B8B49F0" w14:textId="77777777" w:rsidR="00974330" w:rsidRPr="00DE096C" w:rsidRDefault="00974330" w:rsidP="00D45A46">
      <w:pPr>
        <w:jc w:val="both"/>
        <w:rPr>
          <w:bCs/>
          <w:color w:val="002060"/>
          <w:sz w:val="16"/>
          <w:szCs w:val="16"/>
        </w:rPr>
      </w:pPr>
    </w:p>
    <w:p w14:paraId="09A06145" w14:textId="6CC7C982" w:rsidR="00974330" w:rsidRPr="00DE096C" w:rsidRDefault="00974330" w:rsidP="00D45A46">
      <w:pPr>
        <w:jc w:val="both"/>
        <w:rPr>
          <w:bCs/>
          <w:color w:val="002060"/>
          <w:sz w:val="16"/>
          <w:szCs w:val="16"/>
          <w:lang w:bidi="en-US"/>
        </w:rPr>
      </w:pPr>
      <w:r w:rsidRPr="00DE096C">
        <w:rPr>
          <w:bCs/>
          <w:color w:val="002060"/>
          <w:sz w:val="16"/>
          <w:szCs w:val="16"/>
        </w:rPr>
        <w:t xml:space="preserve">30 октября (12 ноября) </w:t>
      </w:r>
      <w:r w:rsidRPr="00DE096C">
        <w:rPr>
          <w:bCs/>
          <w:color w:val="002060"/>
          <w:sz w:val="16"/>
          <w:szCs w:val="16"/>
          <w:lang w:bidi="en-US"/>
        </w:rPr>
        <w:t>1914 г. русское наступление на Юго-Западном фронте прорвало австро-венгерские рубежи в Карпатах и двинулось на Краков. Австро-венгерские войска подготовили оборону по реке Дунаец. Русские все еще осаждали крепость в Перемышле, в которой находится более 120 000 австро-венгерских войск (23525).</w:t>
      </w:r>
    </w:p>
    <w:p w14:paraId="68C048D0" w14:textId="77777777" w:rsidR="00974330" w:rsidRPr="00DE096C" w:rsidRDefault="00974330" w:rsidP="00D45A46">
      <w:pPr>
        <w:jc w:val="both"/>
        <w:rPr>
          <w:bCs/>
          <w:color w:val="002060"/>
          <w:sz w:val="16"/>
          <w:szCs w:val="16"/>
        </w:rPr>
      </w:pPr>
    </w:p>
    <w:p w14:paraId="3BDD262C" w14:textId="02FA973F" w:rsidR="00B67D7C" w:rsidRPr="00DE096C" w:rsidRDefault="00B67D7C" w:rsidP="00D45A46">
      <w:pPr>
        <w:jc w:val="both"/>
        <w:rPr>
          <w:bCs/>
          <w:i/>
          <w:color w:val="002060"/>
          <w:sz w:val="16"/>
          <w:szCs w:val="16"/>
        </w:rPr>
      </w:pPr>
      <w:r w:rsidRPr="00DE096C">
        <w:rPr>
          <w:bCs/>
          <w:i/>
          <w:color w:val="002060"/>
          <w:sz w:val="16"/>
          <w:szCs w:val="16"/>
        </w:rPr>
        <w:t>Самолетостроение:</w:t>
      </w:r>
    </w:p>
    <w:p w14:paraId="2E0E2FF1" w14:textId="77777777" w:rsidR="00B67D7C" w:rsidRPr="00DE096C" w:rsidRDefault="00B67D7C" w:rsidP="00D45A46">
      <w:pPr>
        <w:jc w:val="both"/>
        <w:rPr>
          <w:bCs/>
          <w:i/>
          <w:color w:val="002060"/>
          <w:sz w:val="16"/>
          <w:szCs w:val="16"/>
        </w:rPr>
      </w:pPr>
    </w:p>
    <w:p w14:paraId="7151EEBD" w14:textId="77777777" w:rsidR="00B67D7C" w:rsidRPr="00DE096C" w:rsidRDefault="00B67D7C" w:rsidP="00D45A46">
      <w:pPr>
        <w:jc w:val="both"/>
        <w:rPr>
          <w:bCs/>
          <w:color w:val="002060"/>
          <w:sz w:val="16"/>
          <w:szCs w:val="16"/>
        </w:rPr>
      </w:pPr>
      <w:r w:rsidRPr="00DE096C">
        <w:rPr>
          <w:bCs/>
          <w:color w:val="002060"/>
          <w:sz w:val="16"/>
          <w:szCs w:val="16"/>
        </w:rPr>
        <w:t>31 октября (13 ноября) 1914 г. - начало работы при МВТУ “Теоретических курсов авиации” для военных лётчиков под руководством Н.Е.Жуковского.</w:t>
      </w:r>
    </w:p>
    <w:p w14:paraId="6F40BFB8" w14:textId="77777777" w:rsidR="00B67D7C" w:rsidRPr="00DE096C" w:rsidRDefault="00B67D7C" w:rsidP="00D45A46">
      <w:pPr>
        <w:jc w:val="both"/>
        <w:rPr>
          <w:bCs/>
          <w:color w:val="002060"/>
          <w:sz w:val="16"/>
          <w:szCs w:val="16"/>
        </w:rPr>
      </w:pPr>
    </w:p>
    <w:p w14:paraId="2207E7D0" w14:textId="77777777" w:rsidR="00B67D7C" w:rsidRPr="00DE096C" w:rsidRDefault="00B67D7C" w:rsidP="00D45A46">
      <w:pPr>
        <w:jc w:val="both"/>
        <w:rPr>
          <w:bCs/>
          <w:i/>
          <w:color w:val="002060"/>
          <w:sz w:val="16"/>
          <w:szCs w:val="16"/>
        </w:rPr>
      </w:pPr>
      <w:r w:rsidRPr="00DE096C">
        <w:rPr>
          <w:bCs/>
          <w:i/>
          <w:color w:val="002060"/>
          <w:sz w:val="16"/>
          <w:szCs w:val="16"/>
        </w:rPr>
        <w:t>Авиация и воздухоплавание Франции:</w:t>
      </w:r>
    </w:p>
    <w:p w14:paraId="2454D4AE" w14:textId="77777777" w:rsidR="00B67D7C" w:rsidRPr="00DE096C" w:rsidRDefault="00B67D7C" w:rsidP="00D45A46">
      <w:pPr>
        <w:jc w:val="both"/>
        <w:rPr>
          <w:bCs/>
          <w:i/>
          <w:color w:val="002060"/>
          <w:sz w:val="16"/>
          <w:szCs w:val="16"/>
        </w:rPr>
      </w:pPr>
    </w:p>
    <w:p w14:paraId="656FE0F0" w14:textId="77777777" w:rsidR="00B67D7C" w:rsidRPr="00DE096C" w:rsidRDefault="00B67D7C" w:rsidP="00D45A46">
      <w:pPr>
        <w:jc w:val="both"/>
        <w:rPr>
          <w:bCs/>
          <w:color w:val="002060"/>
          <w:sz w:val="16"/>
          <w:szCs w:val="16"/>
        </w:rPr>
      </w:pPr>
      <w:r w:rsidRPr="00DE096C">
        <w:rPr>
          <w:bCs/>
          <w:color w:val="002060"/>
          <w:sz w:val="16"/>
          <w:szCs w:val="16"/>
        </w:rPr>
        <w:t xml:space="preserve">31 октября (13 ноября) - Во Франции сформировано I отделение бомбардировщиков (Groupe de Bombardement) из аппаратов "Вуазен". А в России царское руководство (29 октября) 1914 г. все заказы на дальнейшее построение первых в мире тяжелых многомоторных самолетов "Илья Муромец" ("ИМ") аннулировало, так как посчитало </w:t>
      </w:r>
      <w:r w:rsidRPr="00DE096C">
        <w:rPr>
          <w:bCs/>
          <w:color w:val="002060"/>
          <w:sz w:val="16"/>
          <w:szCs w:val="16"/>
        </w:rPr>
        <w:lastRenderedPageBreak/>
        <w:t>их для военных задач непригодными. Дело в том, что в это время имелось лишь несколько готовых кораблей, построенных для мирного времени, с большими удобными каютами, которые летали сравнительно невысоко. Да и вообще на огромные многомоторные аэропланы высшие круги смотрели тогда в России с большим недоверием.</w:t>
      </w:r>
    </w:p>
    <w:p w14:paraId="10154D34" w14:textId="77777777" w:rsidR="00B67D7C" w:rsidRPr="00DE096C" w:rsidRDefault="00B67D7C" w:rsidP="00D45A46">
      <w:pPr>
        <w:jc w:val="both"/>
        <w:rPr>
          <w:bCs/>
          <w:color w:val="002060"/>
          <w:sz w:val="16"/>
          <w:szCs w:val="16"/>
        </w:rPr>
      </w:pPr>
      <w:r w:rsidRPr="00DE096C">
        <w:rPr>
          <w:bCs/>
          <w:color w:val="002060"/>
          <w:sz w:val="16"/>
          <w:szCs w:val="16"/>
        </w:rPr>
        <w:t>Сикорский: "Это недоверие к большим аэропланам вызывалось отчасти тем, что машины такого рода, построенные до того времени за границей, оказались никуда не годными и совершенно не могли летать" (11999).</w:t>
      </w:r>
    </w:p>
    <w:p w14:paraId="1C3F7A97" w14:textId="77777777" w:rsidR="00B67D7C" w:rsidRPr="00DE096C" w:rsidRDefault="00B67D7C" w:rsidP="00D45A46">
      <w:pPr>
        <w:jc w:val="both"/>
        <w:rPr>
          <w:bCs/>
          <w:i/>
          <w:color w:val="002060"/>
          <w:sz w:val="16"/>
          <w:szCs w:val="16"/>
        </w:rPr>
      </w:pPr>
    </w:p>
    <w:p w14:paraId="4A4EBD42" w14:textId="77777777" w:rsidR="00B67D7C" w:rsidRPr="00DE096C" w:rsidRDefault="00B67D7C" w:rsidP="00D45A46">
      <w:pPr>
        <w:jc w:val="both"/>
        <w:rPr>
          <w:bCs/>
          <w:i/>
          <w:color w:val="002060"/>
          <w:sz w:val="16"/>
          <w:szCs w:val="16"/>
        </w:rPr>
      </w:pPr>
      <w:r w:rsidRPr="00DE096C">
        <w:rPr>
          <w:bCs/>
          <w:i/>
          <w:color w:val="002060"/>
          <w:sz w:val="16"/>
          <w:szCs w:val="16"/>
        </w:rPr>
        <w:t>Самолетостроение:</w:t>
      </w:r>
    </w:p>
    <w:p w14:paraId="49BF74FA" w14:textId="77777777" w:rsidR="00B67D7C" w:rsidRPr="00DE096C" w:rsidRDefault="00B67D7C" w:rsidP="00D45A46">
      <w:pPr>
        <w:jc w:val="both"/>
        <w:rPr>
          <w:bCs/>
          <w:i/>
          <w:color w:val="002060"/>
          <w:sz w:val="16"/>
          <w:szCs w:val="16"/>
        </w:rPr>
      </w:pPr>
    </w:p>
    <w:p w14:paraId="3C7DEA0C" w14:textId="77777777" w:rsidR="004105F0" w:rsidRPr="00DE096C" w:rsidRDefault="004105F0" w:rsidP="00D45A46">
      <w:pPr>
        <w:jc w:val="both"/>
        <w:rPr>
          <w:bCs/>
          <w:color w:val="002060"/>
          <w:sz w:val="16"/>
          <w:szCs w:val="16"/>
        </w:rPr>
      </w:pPr>
      <w:r w:rsidRPr="00DE096C">
        <w:rPr>
          <w:bCs/>
          <w:color w:val="002060"/>
          <w:sz w:val="16"/>
          <w:szCs w:val="16"/>
        </w:rPr>
        <w:t>В конце октября 1914 года штабс-капитан Руднев подал дежурному генералу при штабе Верховного главнокомандующего П.К. Кон- дзеровскому докладную записку "О непригодности аппаратов типа "Илья Муромец" для военных целей", где перечислял крупные недостатки своей машины. Основные недостатки аэроплана, считал Руднев, заключались в следующем:</w:t>
      </w:r>
    </w:p>
    <w:p w14:paraId="458892FE" w14:textId="77777777" w:rsidR="004105F0" w:rsidRPr="00DE096C" w:rsidRDefault="004105F0" w:rsidP="00D45A46">
      <w:pPr>
        <w:jc w:val="both"/>
        <w:rPr>
          <w:bCs/>
          <w:color w:val="002060"/>
          <w:sz w:val="16"/>
          <w:szCs w:val="16"/>
        </w:rPr>
      </w:pPr>
      <w:r w:rsidRPr="00DE096C">
        <w:rPr>
          <w:bCs/>
          <w:color w:val="002060"/>
          <w:sz w:val="16"/>
          <w:szCs w:val="16"/>
        </w:rPr>
        <w:t>1) Неспособность при полной нагрузке и экипаже в четыре человека и запасе топлива на 5-5,5 часов полёта держаться в воздухе при работе лишь трёх моторов.</w:t>
      </w:r>
    </w:p>
    <w:p w14:paraId="237C02CD" w14:textId="77777777" w:rsidR="004105F0" w:rsidRPr="00DE096C" w:rsidRDefault="004105F0" w:rsidP="00D45A46">
      <w:pPr>
        <w:jc w:val="both"/>
        <w:rPr>
          <w:bCs/>
          <w:color w:val="002060"/>
          <w:sz w:val="16"/>
          <w:szCs w:val="16"/>
        </w:rPr>
      </w:pPr>
      <w:r w:rsidRPr="00DE096C">
        <w:rPr>
          <w:bCs/>
          <w:color w:val="002060"/>
          <w:sz w:val="16"/>
          <w:szCs w:val="16"/>
        </w:rPr>
        <w:t>2) Крайняя медленность достижения боевой высоты. Так, с полной нагрузкой, аэроплан поднимается на 2000 метров около двух часов, почему район разведки значительно уменьшается.</w:t>
      </w:r>
    </w:p>
    <w:p w14:paraId="678434DB" w14:textId="77777777" w:rsidR="004105F0" w:rsidRPr="00DE096C" w:rsidRDefault="004105F0" w:rsidP="00D45A46">
      <w:pPr>
        <w:jc w:val="both"/>
        <w:rPr>
          <w:bCs/>
          <w:color w:val="002060"/>
          <w:sz w:val="16"/>
          <w:szCs w:val="16"/>
        </w:rPr>
      </w:pPr>
      <w:r w:rsidRPr="00DE096C">
        <w:rPr>
          <w:bCs/>
          <w:color w:val="002060"/>
          <w:sz w:val="16"/>
          <w:szCs w:val="16"/>
        </w:rPr>
        <w:t>3) Для взлёта с полной нагрузкой аппарату требуется около 800 шагов разбега.</w:t>
      </w:r>
    </w:p>
    <w:p w14:paraId="55ECB336" w14:textId="77777777" w:rsidR="004105F0" w:rsidRPr="00DE096C" w:rsidRDefault="004105F0" w:rsidP="00D45A46">
      <w:pPr>
        <w:jc w:val="both"/>
        <w:rPr>
          <w:bCs/>
          <w:color w:val="002060"/>
          <w:sz w:val="16"/>
          <w:szCs w:val="16"/>
        </w:rPr>
      </w:pPr>
      <w:r w:rsidRPr="00DE096C">
        <w:rPr>
          <w:bCs/>
          <w:color w:val="002060"/>
          <w:sz w:val="16"/>
          <w:szCs w:val="16"/>
        </w:rPr>
        <w:t>4) Сравнительная малая скорость аппарата, достигающая при полной нагрузке до 95 вёрст в час.</w:t>
      </w:r>
    </w:p>
    <w:p w14:paraId="74A40FE8" w14:textId="77777777" w:rsidR="004105F0" w:rsidRPr="00DE096C" w:rsidRDefault="004105F0" w:rsidP="00D45A46">
      <w:pPr>
        <w:jc w:val="both"/>
        <w:rPr>
          <w:bCs/>
          <w:color w:val="002060"/>
          <w:sz w:val="16"/>
          <w:szCs w:val="16"/>
        </w:rPr>
      </w:pPr>
      <w:r w:rsidRPr="00DE096C">
        <w:rPr>
          <w:bCs/>
          <w:color w:val="002060"/>
          <w:sz w:val="16"/>
          <w:szCs w:val="16"/>
        </w:rPr>
        <w:t>5) Мелкие недостатки: бензиновые баки расположены над моторами и т.д.</w:t>
      </w:r>
    </w:p>
    <w:p w14:paraId="550329B2" w14:textId="77777777" w:rsidR="004105F0" w:rsidRPr="00DE096C" w:rsidRDefault="004105F0" w:rsidP="00D45A46">
      <w:pPr>
        <w:jc w:val="both"/>
        <w:rPr>
          <w:bCs/>
          <w:color w:val="002060"/>
          <w:sz w:val="16"/>
          <w:szCs w:val="16"/>
        </w:rPr>
      </w:pPr>
      <w:r w:rsidRPr="00DE096C">
        <w:rPr>
          <w:bCs/>
          <w:color w:val="002060"/>
          <w:sz w:val="16"/>
          <w:szCs w:val="16"/>
        </w:rPr>
        <w:t>Главнокомандующий армиями Северо- Западного фронта генерал от инфантерии М.В. Алексеев, к сожалению, был на стороне Руднева и считал, что представлялось бы желательным принять меры по приостановке снабжения отрядов аэропланами типа "Илья Муромец" впредь до устранения недостатков этих аппаратов.</w:t>
      </w:r>
    </w:p>
    <w:p w14:paraId="75637996" w14:textId="77777777" w:rsidR="004105F0" w:rsidRPr="00DE096C" w:rsidRDefault="004105F0" w:rsidP="00D45A46">
      <w:pPr>
        <w:jc w:val="both"/>
        <w:rPr>
          <w:bCs/>
          <w:color w:val="002060"/>
          <w:sz w:val="16"/>
          <w:szCs w:val="16"/>
        </w:rPr>
      </w:pPr>
      <w:r w:rsidRPr="00DE096C">
        <w:rPr>
          <w:bCs/>
          <w:color w:val="002060"/>
          <w:sz w:val="16"/>
          <w:szCs w:val="16"/>
        </w:rPr>
        <w:t>ГВТУ 28 октября получило от штаба Верховного Главнокомандующего бумагу о прекращении снабжения армии аппаратами этого типа. Доверие к "Муромцам", казалось, было потеряно навсегда...(12041).</w:t>
      </w:r>
    </w:p>
    <w:p w14:paraId="043C6D3A" w14:textId="77777777" w:rsidR="004105F0" w:rsidRPr="00DE096C" w:rsidRDefault="004105F0" w:rsidP="00D45A46">
      <w:pPr>
        <w:jc w:val="both"/>
        <w:rPr>
          <w:bCs/>
          <w:color w:val="002060"/>
          <w:sz w:val="16"/>
          <w:szCs w:val="16"/>
        </w:rPr>
      </w:pPr>
    </w:p>
    <w:p w14:paraId="071E657A" w14:textId="77777777" w:rsidR="003E3319" w:rsidRPr="00DE096C" w:rsidRDefault="003E3319" w:rsidP="00D45A46">
      <w:pPr>
        <w:jc w:val="both"/>
        <w:rPr>
          <w:bCs/>
          <w:color w:val="002060"/>
          <w:sz w:val="16"/>
          <w:szCs w:val="16"/>
        </w:rPr>
      </w:pPr>
      <w:r w:rsidRPr="00DE096C">
        <w:rPr>
          <w:bCs/>
          <w:color w:val="002060"/>
          <w:sz w:val="16"/>
          <w:szCs w:val="16"/>
        </w:rPr>
        <w:t>В конце октября 1914 года штабс-капитан Руднев подал дежурному генералу при штабе Верховного главнокомандующего П.К. Кон- дзеровскому докладную записку "О непригодности аппаратов типа "Илья Муромец" для военных целей", где перечислял крупные недостатки своей машины. Основные недостатки аэроплана, считал Руднев, заключались в следующем:</w:t>
      </w:r>
    </w:p>
    <w:p w14:paraId="3427BABC" w14:textId="77777777" w:rsidR="003E3319" w:rsidRPr="00DE096C" w:rsidRDefault="003E3319" w:rsidP="00D45A46">
      <w:pPr>
        <w:jc w:val="both"/>
        <w:rPr>
          <w:bCs/>
          <w:color w:val="002060"/>
          <w:sz w:val="16"/>
          <w:szCs w:val="16"/>
        </w:rPr>
      </w:pPr>
      <w:r w:rsidRPr="00DE096C">
        <w:rPr>
          <w:bCs/>
          <w:color w:val="002060"/>
          <w:sz w:val="16"/>
          <w:szCs w:val="16"/>
        </w:rPr>
        <w:t>1) Неспособность при полной нагрузке и экипаже в четыре человека и запасе топлива на 5-5,5 часов полёта держаться в воздухе при работе лишь трёх моторов.</w:t>
      </w:r>
    </w:p>
    <w:p w14:paraId="733387B9" w14:textId="77777777" w:rsidR="003E3319" w:rsidRPr="00DE096C" w:rsidRDefault="003E3319" w:rsidP="00D45A46">
      <w:pPr>
        <w:jc w:val="both"/>
        <w:rPr>
          <w:bCs/>
          <w:color w:val="002060"/>
          <w:sz w:val="16"/>
          <w:szCs w:val="16"/>
        </w:rPr>
      </w:pPr>
      <w:r w:rsidRPr="00DE096C">
        <w:rPr>
          <w:bCs/>
          <w:color w:val="002060"/>
          <w:sz w:val="16"/>
          <w:szCs w:val="16"/>
        </w:rPr>
        <w:t>2) Крайняя медленность достижения боевой высоты. Так, с полной нагрузкой, аэроплан поднимается на 2000 метров около двух часов, почему район разведки значительно уменьшается.</w:t>
      </w:r>
    </w:p>
    <w:p w14:paraId="1AEAC4B6" w14:textId="77777777" w:rsidR="003E3319" w:rsidRPr="00DE096C" w:rsidRDefault="003E3319" w:rsidP="00D45A46">
      <w:pPr>
        <w:jc w:val="both"/>
        <w:rPr>
          <w:bCs/>
          <w:color w:val="002060"/>
          <w:sz w:val="16"/>
          <w:szCs w:val="16"/>
        </w:rPr>
      </w:pPr>
      <w:r w:rsidRPr="00DE096C">
        <w:rPr>
          <w:bCs/>
          <w:color w:val="002060"/>
          <w:sz w:val="16"/>
          <w:szCs w:val="16"/>
        </w:rPr>
        <w:t>3) Для взлёта с полной нагрузкой аппарату требуется около 800 шагов разбега.</w:t>
      </w:r>
    </w:p>
    <w:p w14:paraId="3B894160" w14:textId="77777777" w:rsidR="003E3319" w:rsidRPr="00DE096C" w:rsidRDefault="003E3319" w:rsidP="00D45A46">
      <w:pPr>
        <w:jc w:val="both"/>
        <w:rPr>
          <w:bCs/>
          <w:color w:val="002060"/>
          <w:sz w:val="16"/>
          <w:szCs w:val="16"/>
        </w:rPr>
      </w:pPr>
      <w:r w:rsidRPr="00DE096C">
        <w:rPr>
          <w:bCs/>
          <w:color w:val="002060"/>
          <w:sz w:val="16"/>
          <w:szCs w:val="16"/>
        </w:rPr>
        <w:t>4) Сравнительная малая скорость аппарата, достигающая при полной нагрузке до 95 вёрст в час.</w:t>
      </w:r>
    </w:p>
    <w:p w14:paraId="1B9DCFC0" w14:textId="77777777" w:rsidR="003E3319" w:rsidRPr="00DE096C" w:rsidRDefault="003E3319" w:rsidP="00D45A46">
      <w:pPr>
        <w:jc w:val="both"/>
        <w:rPr>
          <w:bCs/>
          <w:color w:val="002060"/>
          <w:sz w:val="16"/>
          <w:szCs w:val="16"/>
        </w:rPr>
      </w:pPr>
      <w:r w:rsidRPr="00DE096C">
        <w:rPr>
          <w:bCs/>
          <w:color w:val="002060"/>
          <w:sz w:val="16"/>
          <w:szCs w:val="16"/>
        </w:rPr>
        <w:t>5) Мелкие недостатки: бензиновые баки расположены над моторами и т.д.</w:t>
      </w:r>
    </w:p>
    <w:p w14:paraId="1037C45B" w14:textId="77777777" w:rsidR="003E3319" w:rsidRPr="00DE096C" w:rsidRDefault="003E3319" w:rsidP="00D45A46">
      <w:pPr>
        <w:jc w:val="both"/>
        <w:rPr>
          <w:bCs/>
          <w:color w:val="002060"/>
          <w:sz w:val="16"/>
          <w:szCs w:val="16"/>
        </w:rPr>
      </w:pPr>
      <w:r w:rsidRPr="00DE096C">
        <w:rPr>
          <w:bCs/>
          <w:color w:val="002060"/>
          <w:sz w:val="16"/>
          <w:szCs w:val="16"/>
        </w:rPr>
        <w:t>Главнокомандующий армиями Северо- Западного фронта генерал от инфантерии М.В. Алексеев, к сожалению, был на стороне Руднева и считал, что представлялось бы желательным принять меры по приостановке снабжения отрядов аэропланами типа "Илья Муромец" впредь до устранения недостатков этих аппаратов.</w:t>
      </w:r>
    </w:p>
    <w:p w14:paraId="0188C936" w14:textId="77777777" w:rsidR="003E3319" w:rsidRPr="00DE096C" w:rsidRDefault="003E3319" w:rsidP="00D45A46">
      <w:pPr>
        <w:jc w:val="both"/>
        <w:rPr>
          <w:bCs/>
          <w:color w:val="002060"/>
          <w:sz w:val="16"/>
          <w:szCs w:val="16"/>
        </w:rPr>
      </w:pPr>
    </w:p>
    <w:p w14:paraId="50F77928" w14:textId="77777777" w:rsidR="00B67D7C" w:rsidRPr="00DE096C" w:rsidRDefault="00B67D7C" w:rsidP="00D45A46">
      <w:pPr>
        <w:jc w:val="both"/>
        <w:rPr>
          <w:bCs/>
          <w:color w:val="002060"/>
          <w:sz w:val="16"/>
          <w:szCs w:val="16"/>
        </w:rPr>
      </w:pPr>
      <w:r w:rsidRPr="00DE096C">
        <w:rPr>
          <w:bCs/>
          <w:color w:val="002060"/>
          <w:sz w:val="16"/>
          <w:szCs w:val="16"/>
        </w:rPr>
        <w:t xml:space="preserve">В конце октября 1914 г. Главное Военно-техническое Управление (ГВТУ) получило уведомление командования действующей армии, в котором оно "вследствие обнаружившейся непригодности аэропланов типа "Илья Муромец" к выполнению боевых задач, просит прекратить снабжение армии аппаратами этого типа". [* ЦГИА, ф. 24, on. 28, д. 202, л. 1-12. ] </w:t>
      </w:r>
    </w:p>
    <w:p w14:paraId="40EFC14F" w14:textId="77777777" w:rsidR="00B67D7C" w:rsidRPr="00DE096C" w:rsidRDefault="00B67D7C" w:rsidP="00D45A46">
      <w:pPr>
        <w:jc w:val="both"/>
        <w:rPr>
          <w:bCs/>
          <w:color w:val="002060"/>
          <w:sz w:val="16"/>
          <w:szCs w:val="16"/>
        </w:rPr>
      </w:pPr>
      <w:r w:rsidRPr="00DE096C">
        <w:rPr>
          <w:bCs/>
          <w:color w:val="002060"/>
          <w:sz w:val="16"/>
          <w:szCs w:val="16"/>
        </w:rPr>
        <w:t>На основании этого уведомления ГВТУ приостановило выдачу РБВЗ ранее оговоренного задатка в размере 3,6 млн руб. Назревал скандал (11230).</w:t>
      </w:r>
    </w:p>
    <w:p w14:paraId="48D7BC01" w14:textId="77777777" w:rsidR="00B67D7C" w:rsidRPr="00DE096C" w:rsidRDefault="00B67D7C" w:rsidP="00D45A46">
      <w:pPr>
        <w:jc w:val="both"/>
        <w:rPr>
          <w:bCs/>
          <w:color w:val="002060"/>
          <w:sz w:val="16"/>
          <w:szCs w:val="16"/>
        </w:rPr>
      </w:pPr>
      <w:r w:rsidRPr="00DE096C">
        <w:rPr>
          <w:bCs/>
          <w:color w:val="002060"/>
          <w:sz w:val="16"/>
          <w:szCs w:val="16"/>
        </w:rPr>
        <w:t>М. В. Шидловский понимал, что наступил критический момент. Надо было сделать какой-то решительный шаг, обдуманный и взвешенный. Он верил в "Муромцев" и лучше многих генералов видел возможности их боевого применения. Несколько ночей он составлял докладную записку Военному Министру Сухомлинову. В ней лаконично и убедительно разбирался неудачный опыт применения "Муромца" на фронте. Частично признавалось, что некоторые характеристики "Муромца", действительно, не так высоки, как хотелось бы, и поэтому завод уже создает машину новой серии, которая будет иметь улучшенные характеристики. Шидловский, признавая целесообразность приостановки заказа на 32 машины, тем не менее настаивал на достройке первых десяти, заказанных еще в мае, и дальнейшей всесторонней проверке новой техники в боевых условиях. В записке отмечалось, что невысокую эффективность применения воздушного корабля нужно отнести в первую очередь за счет недостаточной подготовки экипажа и некомпетентности командования, что основная причина не в низких летных качествах самолета, а в неправильной организации его использования. Развивая свою мысль, М. В. Шидловский предложил немедленно расформировать созданные боевые отряды из "Муромца" и собрать их в одну эскадру по образцу эскадры морских боевых кораблей. Во главе эскадры должен стоять командир, знакомый с авиацией, и в частности, с тяжелыми самолетами. Здесь Шидловский заметил, что в прошлом он морской офицер, в настоящее время имеет прямое отношение к созданию воздушных кораблей и мог бы взять на себя ответственность и возглавить эскадру. С запиской был ознакомлен Верховный Главнокомандующий Великий Князь Николай Николаевич, который всегда выделял и по достоинству ценил таланты. К предложению Шидловского он отнесся положительно. Сухомлинов доложил записку царю, который также одобрил проект. В результате в декабре 1914 г. Государем был издав приказ, по которому русская авиация делилась на тяжелую, подчиненную Штабу Верховного Главнокомандования, и легкую, входящую в войcковые соединения и подчиненную Великому Князю Александру Михайловичу. Этим историческим приказом было положено начало стратегической авиации. По этому же приказу формировалась эскадра из десяти боевых и двух учебных кораблей типа "Илья Муромец". Командующим или, как тогда называли, начальником эскадры назначался М. В. Шидловский, который призывался на действительную военную службу с присвоением ему звания генерал-майор. Это был первый авиационный генерал (11230).</w:t>
      </w:r>
    </w:p>
    <w:p w14:paraId="17545712" w14:textId="77777777" w:rsidR="00B67D7C" w:rsidRPr="00DE096C" w:rsidRDefault="00B67D7C" w:rsidP="00D45A46">
      <w:pPr>
        <w:jc w:val="both"/>
        <w:rPr>
          <w:bCs/>
          <w:color w:val="002060"/>
          <w:sz w:val="16"/>
          <w:szCs w:val="16"/>
        </w:rPr>
      </w:pPr>
      <w:r w:rsidRPr="00DE096C">
        <w:rPr>
          <w:bCs/>
          <w:color w:val="002060"/>
          <w:sz w:val="16"/>
          <w:szCs w:val="16"/>
        </w:rPr>
        <w:t>Несомненные организаторские способности Шидловского как нельзя лучше раскрылись при развертывании эскадры. В том же декабре командующий полностью укомплектовал боевое соединение личным составом, материальной частью, вспомогательным оборудованием и в конце месяца уже прибыл на базу недалеко от городка Яблонна под Варшавой в 40 км от линии фронта. Вместе с Шидловским в качестве технического советника штаба эскадры из Петрограда отбыл и Сикорский. Старшим механиком эскадры воздушных кораблей был назначен лейтенант флота российского М. Н. Никольской (младший брат помощника командира 2-го корабля). Офицер-подводник, изобретатель шнорхеля, прекрасный специалист, он много сделал для поддержания в боевой готовности воздушных кораблей. Эскадренным врачом стал один из пионеров отечественной рентгеноскопии К. Н. Финне, первый летописец эскадры (11230).</w:t>
      </w:r>
    </w:p>
    <w:p w14:paraId="199D05D0" w14:textId="77777777" w:rsidR="00B67D7C" w:rsidRPr="00DE096C" w:rsidRDefault="00B67D7C" w:rsidP="00D45A46">
      <w:pPr>
        <w:jc w:val="both"/>
        <w:rPr>
          <w:bCs/>
          <w:color w:val="002060"/>
          <w:sz w:val="16"/>
          <w:szCs w:val="16"/>
        </w:rPr>
      </w:pPr>
      <w:r w:rsidRPr="00DE096C">
        <w:rPr>
          <w:bCs/>
          <w:color w:val="002060"/>
          <w:sz w:val="16"/>
          <w:szCs w:val="16"/>
        </w:rPr>
        <w:t>Место базирования было выбрано не случайно. Оно было достаточно близко от фронта, защищено с севера Новогеоргиевской крепостью, с запада позициями на реке Бзуре и с юга Варшавской оборонительной системой (11230).</w:t>
      </w:r>
    </w:p>
    <w:p w14:paraId="37F4BFD9" w14:textId="77777777" w:rsidR="00B67D7C" w:rsidRPr="00DE096C" w:rsidRDefault="00B67D7C" w:rsidP="00D45A46">
      <w:pPr>
        <w:jc w:val="both"/>
        <w:rPr>
          <w:bCs/>
          <w:color w:val="002060"/>
          <w:sz w:val="16"/>
          <w:szCs w:val="16"/>
        </w:rPr>
      </w:pPr>
      <w:r w:rsidRPr="00DE096C">
        <w:rPr>
          <w:bCs/>
          <w:color w:val="002060"/>
          <w:sz w:val="16"/>
          <w:szCs w:val="16"/>
        </w:rPr>
        <w:t>Кроме того, в Яблонне находилась железнодорожная платформа, связанная с Варшавским железнодорожным узлом. Вблизи платформы находилось большое ровное поле, пригодное для использования в качестве аэродрома (11230).</w:t>
      </w:r>
    </w:p>
    <w:p w14:paraId="4370C604" w14:textId="77777777" w:rsidR="00B67D7C" w:rsidRPr="00DE096C" w:rsidRDefault="00B67D7C" w:rsidP="00D45A46">
      <w:pPr>
        <w:jc w:val="both"/>
        <w:rPr>
          <w:bCs/>
          <w:color w:val="002060"/>
          <w:sz w:val="16"/>
          <w:szCs w:val="16"/>
        </w:rPr>
      </w:pPr>
      <w:r w:rsidRPr="00DE096C">
        <w:rPr>
          <w:bCs/>
          <w:color w:val="002060"/>
          <w:sz w:val="16"/>
          <w:szCs w:val="16"/>
        </w:rPr>
        <w:t>В целях укрепления кадров на должность начальника центральной метеостанции эскадры Шидловский попросил назначить известного ученого, научного сотрудника Пулковской обсерватории М. М. Рыкачева. Тот, в свою очередь, организуя эскадренную метеостанцию, добился снабжения ее необходимыми приборами. Для получения ежедневных метеосводок была установлена прямая телефонная связь с Пулковской обсерваторией. На должность помощника командующего эскадрой прибыл профессор Инженерной академии, крупнейший военный специалист по конструкции летательных аппаратов полковник В. Ф. Найденов. Личное обаяние М. В. Шидловского, его высокий авторитет, удивительная способность распознавать таланты как нельзя лучше способствовали становлению коллектива (11230).</w:t>
      </w:r>
    </w:p>
    <w:p w14:paraId="58696DA7" w14:textId="77777777" w:rsidR="00B67D7C" w:rsidRPr="00DE096C" w:rsidRDefault="00B67D7C" w:rsidP="00D45A46">
      <w:pPr>
        <w:jc w:val="both"/>
        <w:rPr>
          <w:bCs/>
          <w:color w:val="002060"/>
          <w:sz w:val="16"/>
          <w:szCs w:val="16"/>
        </w:rPr>
      </w:pPr>
    </w:p>
    <w:p w14:paraId="725B7483" w14:textId="77777777" w:rsidR="00A427F0" w:rsidRPr="00DE096C" w:rsidRDefault="00A427F0" w:rsidP="00D45A46">
      <w:pPr>
        <w:jc w:val="both"/>
        <w:rPr>
          <w:bCs/>
          <w:color w:val="002060"/>
          <w:sz w:val="16"/>
          <w:szCs w:val="16"/>
        </w:rPr>
      </w:pPr>
      <w:r w:rsidRPr="00DE096C">
        <w:rPr>
          <w:bCs/>
          <w:color w:val="002060"/>
          <w:sz w:val="16"/>
          <w:szCs w:val="16"/>
        </w:rPr>
        <w:t>В конце октября 1914 г. Главное Военно-техническое Управление (ГВТУ) получило уведомление командова</w:t>
      </w:r>
      <w:r w:rsidRPr="00DE096C">
        <w:rPr>
          <w:bCs/>
          <w:color w:val="002060"/>
          <w:sz w:val="16"/>
          <w:szCs w:val="16"/>
        </w:rPr>
        <w:softHyphen/>
        <w:t>ния действующей армии, в котором оно «вследствие об</w:t>
      </w:r>
      <w:r w:rsidRPr="00DE096C">
        <w:rPr>
          <w:bCs/>
          <w:color w:val="002060"/>
          <w:sz w:val="16"/>
          <w:szCs w:val="16"/>
        </w:rPr>
        <w:softHyphen/>
        <w:t>наружившейся непригодности аэропланов типа «ИльяМуромец» к выполнению боевых задач, просит прекра</w:t>
      </w:r>
      <w:r w:rsidRPr="00DE096C">
        <w:rPr>
          <w:bCs/>
          <w:color w:val="002060"/>
          <w:sz w:val="16"/>
          <w:szCs w:val="16"/>
        </w:rPr>
        <w:softHyphen/>
        <w:t>тить снабжение армии аппаратами этого типа».</w:t>
      </w:r>
    </w:p>
    <w:p w14:paraId="3991A93F" w14:textId="77777777" w:rsidR="00A427F0" w:rsidRPr="00DE096C" w:rsidRDefault="00A427F0" w:rsidP="00D45A46">
      <w:pPr>
        <w:jc w:val="both"/>
        <w:rPr>
          <w:bCs/>
          <w:color w:val="002060"/>
          <w:sz w:val="16"/>
          <w:szCs w:val="16"/>
        </w:rPr>
      </w:pPr>
      <w:r w:rsidRPr="00DE096C">
        <w:rPr>
          <w:bCs/>
          <w:color w:val="002060"/>
          <w:sz w:val="16"/>
          <w:szCs w:val="16"/>
        </w:rPr>
        <w:t>На основании этого уведомления ГВТУ приостанови</w:t>
      </w:r>
      <w:r w:rsidRPr="00DE096C">
        <w:rPr>
          <w:bCs/>
          <w:color w:val="002060"/>
          <w:sz w:val="16"/>
          <w:szCs w:val="16"/>
        </w:rPr>
        <w:softHyphen/>
        <w:t>ло выдачу РБВЗ ранее оговоренного задатка в размере 3,6 млн руб. Назревал скандал.</w:t>
      </w:r>
    </w:p>
    <w:p w14:paraId="24169FD8" w14:textId="77777777" w:rsidR="00A427F0" w:rsidRPr="00DE096C" w:rsidRDefault="00A427F0" w:rsidP="00D45A46">
      <w:pPr>
        <w:jc w:val="both"/>
        <w:rPr>
          <w:bCs/>
          <w:color w:val="002060"/>
          <w:sz w:val="16"/>
          <w:szCs w:val="16"/>
        </w:rPr>
      </w:pPr>
      <w:r w:rsidRPr="00DE096C">
        <w:rPr>
          <w:bCs/>
          <w:color w:val="002060"/>
          <w:sz w:val="16"/>
          <w:szCs w:val="16"/>
        </w:rPr>
        <w:t>М. В. Шидловский понимал, что наступил критиче</w:t>
      </w:r>
      <w:r w:rsidRPr="00DE096C">
        <w:rPr>
          <w:bCs/>
          <w:color w:val="002060"/>
          <w:sz w:val="16"/>
          <w:szCs w:val="16"/>
        </w:rPr>
        <w:softHyphen/>
        <w:t>ский момент. Надо было сделать какой-то решитель</w:t>
      </w:r>
      <w:r w:rsidRPr="00DE096C">
        <w:rPr>
          <w:bCs/>
          <w:color w:val="002060"/>
          <w:sz w:val="16"/>
          <w:szCs w:val="16"/>
        </w:rPr>
        <w:softHyphen/>
        <w:t>ный шаг, обдуманный и взвешенный. Он верил в «Му</w:t>
      </w:r>
      <w:r w:rsidRPr="00DE096C">
        <w:rPr>
          <w:bCs/>
          <w:color w:val="002060"/>
          <w:sz w:val="16"/>
          <w:szCs w:val="16"/>
        </w:rPr>
        <w:softHyphen/>
        <w:t>ромцев» и лучше многих генералов видел возможности их боевого применения. Несколько ночей он составлял докладную записку Военному Министру Сухомлинову. В ней лаконично и убедительно разбирался неудачный опыт применения «Муромца» на фронте. Частично признавалось, что некоторые характеристики «Муром</w:t>
      </w:r>
      <w:r w:rsidRPr="00DE096C">
        <w:rPr>
          <w:bCs/>
          <w:color w:val="002060"/>
          <w:sz w:val="16"/>
          <w:szCs w:val="16"/>
        </w:rPr>
        <w:softHyphen/>
        <w:t>ца», действительно, не так высоки, как хотелось бы, и поэтому завод уже создает машину новой серии, кото</w:t>
      </w:r>
      <w:r w:rsidRPr="00DE096C">
        <w:rPr>
          <w:bCs/>
          <w:color w:val="002060"/>
          <w:sz w:val="16"/>
          <w:szCs w:val="16"/>
        </w:rPr>
        <w:softHyphen/>
        <w:t>рая будет иметь улучшенные характеристики. Шид</w:t>
      </w:r>
      <w:r w:rsidRPr="00DE096C">
        <w:rPr>
          <w:bCs/>
          <w:color w:val="002060"/>
          <w:sz w:val="16"/>
          <w:szCs w:val="16"/>
        </w:rPr>
        <w:softHyphen/>
        <w:t>ловский, признавая целесообразность приостановки за</w:t>
      </w:r>
      <w:r w:rsidRPr="00DE096C">
        <w:rPr>
          <w:bCs/>
          <w:color w:val="002060"/>
          <w:sz w:val="16"/>
          <w:szCs w:val="16"/>
        </w:rPr>
        <w:softHyphen/>
        <w:t>каза на 32 машины, тем не менее настаивал на достройке первых десяти, заказанных еще в мае, и дальнейшей всесторонней проверке новой техники в бо</w:t>
      </w:r>
      <w:r w:rsidRPr="00DE096C">
        <w:rPr>
          <w:bCs/>
          <w:color w:val="002060"/>
          <w:sz w:val="16"/>
          <w:szCs w:val="16"/>
        </w:rPr>
        <w:softHyphen/>
        <w:t>евых условиях. В записке отмечалось, что невысокую эффективность применения воздушного корабля нуж</w:t>
      </w:r>
      <w:r w:rsidRPr="00DE096C">
        <w:rPr>
          <w:bCs/>
          <w:color w:val="002060"/>
          <w:sz w:val="16"/>
          <w:szCs w:val="16"/>
        </w:rPr>
        <w:softHyphen/>
        <w:t>но отнести в первую очередь за счет недостаточной под</w:t>
      </w:r>
      <w:r w:rsidRPr="00DE096C">
        <w:rPr>
          <w:bCs/>
          <w:color w:val="002060"/>
          <w:sz w:val="16"/>
          <w:szCs w:val="16"/>
        </w:rPr>
        <w:softHyphen/>
        <w:t>готовки экипажа и некомпетентности командования, что основная причина не в низких летных качествах са</w:t>
      </w:r>
      <w:r w:rsidRPr="00DE096C">
        <w:rPr>
          <w:bCs/>
          <w:color w:val="002060"/>
          <w:sz w:val="16"/>
          <w:szCs w:val="16"/>
        </w:rPr>
        <w:softHyphen/>
        <w:t>молета, а в неправильной организации его использова</w:t>
      </w:r>
      <w:r w:rsidRPr="00DE096C">
        <w:rPr>
          <w:bCs/>
          <w:color w:val="002060"/>
          <w:sz w:val="16"/>
          <w:szCs w:val="16"/>
        </w:rPr>
        <w:softHyphen/>
        <w:t>ния. Развивая свою мысль, М. В. Шидловский предло</w:t>
      </w:r>
      <w:r w:rsidRPr="00DE096C">
        <w:rPr>
          <w:bCs/>
          <w:color w:val="002060"/>
          <w:sz w:val="16"/>
          <w:szCs w:val="16"/>
        </w:rPr>
        <w:softHyphen/>
        <w:t>жил немедленно расформировать созданные боевые отряды из «Муромца» и собрать их в одну эскадру по образцу эскадры морских боевых кораблей. Во главе эс</w:t>
      </w:r>
      <w:r w:rsidRPr="00DE096C">
        <w:rPr>
          <w:bCs/>
          <w:color w:val="002060"/>
          <w:sz w:val="16"/>
          <w:szCs w:val="16"/>
        </w:rPr>
        <w:softHyphen/>
        <w:t>кадры должен стоять командир, знакомый с авиацией, и в частности, с тяжелыми самолетами. Здесь Шидлов</w:t>
      </w:r>
      <w:r w:rsidRPr="00DE096C">
        <w:rPr>
          <w:bCs/>
          <w:color w:val="002060"/>
          <w:sz w:val="16"/>
          <w:szCs w:val="16"/>
        </w:rPr>
        <w:softHyphen/>
        <w:t>ский заметил, что в прошлом он морской офицер, в на</w:t>
      </w:r>
      <w:r w:rsidRPr="00DE096C">
        <w:rPr>
          <w:bCs/>
          <w:color w:val="002060"/>
          <w:sz w:val="16"/>
          <w:szCs w:val="16"/>
        </w:rPr>
        <w:softHyphen/>
        <w:t>стоящее время имеет прямое отношение к созданию воздушных кораблей и мог бы взять на себя ответствен</w:t>
      </w:r>
      <w:r w:rsidRPr="00DE096C">
        <w:rPr>
          <w:bCs/>
          <w:color w:val="002060"/>
          <w:sz w:val="16"/>
          <w:szCs w:val="16"/>
        </w:rPr>
        <w:softHyphen/>
        <w:t>ность и возглавить эскадру. С запиской был ознакомлен Верховный Главнокомандующий Великий Князь Ни</w:t>
      </w:r>
      <w:r w:rsidRPr="00DE096C">
        <w:rPr>
          <w:bCs/>
          <w:color w:val="002060"/>
          <w:sz w:val="16"/>
          <w:szCs w:val="16"/>
        </w:rPr>
        <w:softHyphen/>
        <w:t xml:space="preserve">колай Николаевич, </w:t>
      </w:r>
      <w:r w:rsidRPr="00DE096C">
        <w:rPr>
          <w:bCs/>
          <w:color w:val="002060"/>
          <w:sz w:val="16"/>
          <w:szCs w:val="16"/>
        </w:rPr>
        <w:lastRenderedPageBreak/>
        <w:t>который всегда выделял и по досто</w:t>
      </w:r>
      <w:r w:rsidRPr="00DE096C">
        <w:rPr>
          <w:bCs/>
          <w:color w:val="002060"/>
          <w:sz w:val="16"/>
          <w:szCs w:val="16"/>
        </w:rPr>
        <w:softHyphen/>
        <w:t>инству ценил таланты. К предложению Шидловского он отнесся положительно. Сухомлинов доложил запи</w:t>
      </w:r>
      <w:r w:rsidRPr="00DE096C">
        <w:rPr>
          <w:bCs/>
          <w:color w:val="002060"/>
          <w:sz w:val="16"/>
          <w:szCs w:val="16"/>
        </w:rPr>
        <w:softHyphen/>
        <w:t>ску царю, который также одобрил проект. В результате в декабре 1914 г. Государем был издан приказ, по кото</w:t>
      </w:r>
      <w:r w:rsidRPr="00DE096C">
        <w:rPr>
          <w:bCs/>
          <w:color w:val="002060"/>
          <w:sz w:val="16"/>
          <w:szCs w:val="16"/>
        </w:rPr>
        <w:softHyphen/>
        <w:t>рому русская авиация делилась на тяжелую, подчинен</w:t>
      </w:r>
      <w:r w:rsidRPr="00DE096C">
        <w:rPr>
          <w:bCs/>
          <w:color w:val="002060"/>
          <w:sz w:val="16"/>
          <w:szCs w:val="16"/>
        </w:rPr>
        <w:softHyphen/>
        <w:t>ную Штабу Верховного Главнокомандования, и легкую, входящую в войсковые соединения и подчиненную Вели</w:t>
      </w:r>
      <w:r w:rsidRPr="00DE096C">
        <w:rPr>
          <w:bCs/>
          <w:color w:val="002060"/>
          <w:sz w:val="16"/>
          <w:szCs w:val="16"/>
        </w:rPr>
        <w:softHyphen/>
        <w:t>кому Князю Александру Михайловичу. Этим историче</w:t>
      </w:r>
      <w:r w:rsidRPr="00DE096C">
        <w:rPr>
          <w:bCs/>
          <w:color w:val="002060"/>
          <w:sz w:val="16"/>
          <w:szCs w:val="16"/>
        </w:rPr>
        <w:softHyphen/>
        <w:t>ским приказом было положено начало стратегической ави</w:t>
      </w:r>
      <w:r w:rsidRPr="00DE096C">
        <w:rPr>
          <w:bCs/>
          <w:color w:val="002060"/>
          <w:sz w:val="16"/>
          <w:szCs w:val="16"/>
        </w:rPr>
        <w:softHyphen/>
        <w:t>ации. По этому же приказу формировалась эскадра из десяти боевых и двух учебных кораблей типа «Илья Муро</w:t>
      </w:r>
      <w:r w:rsidRPr="00DE096C">
        <w:rPr>
          <w:bCs/>
          <w:color w:val="002060"/>
          <w:sz w:val="16"/>
          <w:szCs w:val="16"/>
        </w:rPr>
        <w:softHyphen/>
        <w:t>мец». Командующим или, как тогда называли, начальни</w:t>
      </w:r>
      <w:r w:rsidRPr="00DE096C">
        <w:rPr>
          <w:bCs/>
          <w:color w:val="002060"/>
          <w:sz w:val="16"/>
          <w:szCs w:val="16"/>
        </w:rPr>
        <w:softHyphen/>
        <w:t>ком эскадры назначался М. В. Шидловский, который призывался на действительную военную службу с присвоением ему звания генерал-майор. Это был первый авиационный генерал (24177).</w:t>
      </w:r>
    </w:p>
    <w:p w14:paraId="12FEDFAA" w14:textId="77777777" w:rsidR="00A427F0" w:rsidRPr="00DE096C" w:rsidRDefault="00A427F0" w:rsidP="00D45A46">
      <w:pPr>
        <w:jc w:val="both"/>
        <w:rPr>
          <w:bCs/>
          <w:color w:val="002060"/>
          <w:sz w:val="16"/>
          <w:szCs w:val="16"/>
        </w:rPr>
      </w:pPr>
    </w:p>
    <w:p w14:paraId="1739ABD6" w14:textId="77777777" w:rsidR="00E02BB9" w:rsidRPr="00DE096C" w:rsidRDefault="00E02BB9" w:rsidP="00E02BB9">
      <w:pPr>
        <w:jc w:val="both"/>
        <w:rPr>
          <w:bCs/>
          <w:i/>
          <w:color w:val="002060"/>
          <w:sz w:val="16"/>
          <w:szCs w:val="16"/>
        </w:rPr>
      </w:pPr>
      <w:r w:rsidRPr="00DE096C">
        <w:rPr>
          <w:bCs/>
          <w:i/>
          <w:color w:val="002060"/>
          <w:sz w:val="16"/>
          <w:szCs w:val="16"/>
        </w:rPr>
        <w:t>Авиация:</w:t>
      </w:r>
    </w:p>
    <w:p w14:paraId="1A81F72D" w14:textId="77777777" w:rsidR="00E02BB9" w:rsidRPr="00DE096C" w:rsidRDefault="00E02BB9" w:rsidP="00E02BB9">
      <w:pPr>
        <w:jc w:val="both"/>
        <w:rPr>
          <w:bCs/>
          <w:i/>
          <w:color w:val="002060"/>
          <w:sz w:val="16"/>
          <w:szCs w:val="16"/>
        </w:rPr>
      </w:pPr>
    </w:p>
    <w:p w14:paraId="56D72717" w14:textId="77777777" w:rsidR="00A427F0" w:rsidRPr="00DE096C" w:rsidRDefault="00A427F0" w:rsidP="00D45A46">
      <w:pPr>
        <w:jc w:val="both"/>
        <w:rPr>
          <w:bCs/>
          <w:color w:val="002060"/>
          <w:sz w:val="16"/>
          <w:szCs w:val="16"/>
          <w:lang w:bidi="en-US"/>
        </w:rPr>
      </w:pPr>
      <w:r w:rsidRPr="00DE096C">
        <w:rPr>
          <w:bCs/>
          <w:color w:val="002060"/>
          <w:sz w:val="16"/>
          <w:szCs w:val="16"/>
          <w:lang w:bidi="en-US"/>
        </w:rPr>
        <w:t>К концу октября 1914 г., после трех месяцев войны, русские авиационные части Юго-Западного фронта по разным причинам потеряли 91 из 99 самолетов. Вначале Воздушный флот располагал 244 самолетами в КАО на фронте, из них 133 «Ньюпор» и 91 «Фарман». Службы снабжения и технического обслуживания были вынуждены иметь дело с шестнадцатью различными типами самолетов. Быстрое перемещение частей вызывало путаницу и неэффективность. По мере того, как они становились доступными, замены включали Вуазена и Морана. Российский генеральный штаб предупредил, что, несмотря на большие потери, можно ожидать только пополнения, а численность частей не может быть увеличена. Новые подразделения не смогут быть сформированы до ноября или декабря. Прогресс был очень медленным в обоих отношениях. К середине 1915 года Воздушный флот насчитывал 350 машин, а к концу года на вооружении осталось только 553 (23525).</w:t>
      </w:r>
    </w:p>
    <w:p w14:paraId="17038F40" w14:textId="77777777" w:rsidR="00A427F0" w:rsidRPr="00DE096C" w:rsidRDefault="00A427F0" w:rsidP="00D45A46">
      <w:pPr>
        <w:jc w:val="both"/>
        <w:rPr>
          <w:bCs/>
          <w:color w:val="002060"/>
          <w:sz w:val="16"/>
          <w:szCs w:val="16"/>
        </w:rPr>
      </w:pPr>
    </w:p>
    <w:p w14:paraId="68944F60" w14:textId="77777777" w:rsidR="00A427F0" w:rsidRPr="00DE096C" w:rsidRDefault="00A427F0" w:rsidP="00D45A46">
      <w:pPr>
        <w:jc w:val="both"/>
        <w:rPr>
          <w:bCs/>
          <w:color w:val="002060"/>
          <w:sz w:val="16"/>
          <w:szCs w:val="16"/>
        </w:rPr>
      </w:pPr>
      <w:r w:rsidRPr="00DE096C">
        <w:rPr>
          <w:bCs/>
          <w:color w:val="002060"/>
          <w:sz w:val="16"/>
          <w:szCs w:val="16"/>
        </w:rPr>
        <w:t>В конце октября 1914 г. возле польского города Козинец (Мазовецкое воеводство; ныне - Козенице) при наступлении нашими передовыми подразделениями был захвачен исправный австрийский аэроплан и походный ангар к нему. Неприятельский летчик, попытавшийся поднять его в воздух, был убит. Другому вражескому летательному аппарату удалось взлететь, но прицельным ружейным огнем русской конницы он был сбит и упал в расположении австрийских войск (23405).</w:t>
      </w:r>
    </w:p>
    <w:p w14:paraId="3EF21820" w14:textId="77777777" w:rsidR="00A427F0" w:rsidRPr="00DE096C" w:rsidRDefault="00A427F0" w:rsidP="00D45A46">
      <w:pPr>
        <w:jc w:val="both"/>
        <w:rPr>
          <w:bCs/>
          <w:i/>
          <w:color w:val="002060"/>
          <w:sz w:val="16"/>
          <w:szCs w:val="16"/>
        </w:rPr>
      </w:pPr>
    </w:p>
    <w:p w14:paraId="6614DA74" w14:textId="77777777" w:rsidR="00736E34" w:rsidRPr="00B52707" w:rsidRDefault="00736E34" w:rsidP="00736E34">
      <w:pPr>
        <w:jc w:val="both"/>
        <w:rPr>
          <w:color w:val="0070C0"/>
          <w:sz w:val="16"/>
          <w:szCs w:val="16"/>
        </w:rPr>
      </w:pPr>
      <w:r w:rsidRPr="00B52707">
        <w:rPr>
          <w:color w:val="0070C0"/>
          <w:sz w:val="16"/>
          <w:szCs w:val="16"/>
        </w:rPr>
        <w:t>В конце октября 1914 г. возле польского города Козинец (Мазовецкое воеводство; ныне – Козенице) при наступлении нашими передовыми подразделениями был захвачен исправный австрийский аэроплан и походный ангар к нему. Неприятельский летчик, попытавшийся поднять его в воздух, был убит. Другому вражескому летательному аппарату удалось взлететь, но прицельным ружейным огнем русской конницы он был сбит и упал в расположении австрийских войск (25135).</w:t>
      </w:r>
    </w:p>
    <w:p w14:paraId="490D86DB" w14:textId="77777777" w:rsidR="00736E34" w:rsidRPr="00B52707" w:rsidRDefault="00736E34" w:rsidP="00736E34">
      <w:pPr>
        <w:jc w:val="both"/>
        <w:rPr>
          <w:color w:val="0070C0"/>
          <w:sz w:val="16"/>
          <w:szCs w:val="16"/>
        </w:rPr>
      </w:pPr>
    </w:p>
    <w:p w14:paraId="2C557E5C" w14:textId="5061471E" w:rsidR="00B67D7C" w:rsidRPr="00DE096C" w:rsidRDefault="00B67D7C" w:rsidP="00D45A46">
      <w:pPr>
        <w:jc w:val="both"/>
        <w:rPr>
          <w:bCs/>
          <w:i/>
          <w:color w:val="002060"/>
          <w:sz w:val="16"/>
          <w:szCs w:val="16"/>
        </w:rPr>
      </w:pPr>
      <w:r w:rsidRPr="00DE096C">
        <w:rPr>
          <w:bCs/>
          <w:i/>
          <w:color w:val="002060"/>
          <w:sz w:val="16"/>
          <w:szCs w:val="16"/>
        </w:rPr>
        <w:t>Авиация:</w:t>
      </w:r>
    </w:p>
    <w:p w14:paraId="66DD6B82" w14:textId="77777777" w:rsidR="00B67D7C" w:rsidRPr="00DE096C" w:rsidRDefault="00B67D7C" w:rsidP="00D45A46">
      <w:pPr>
        <w:jc w:val="both"/>
        <w:rPr>
          <w:bCs/>
          <w:i/>
          <w:color w:val="002060"/>
          <w:sz w:val="16"/>
          <w:szCs w:val="16"/>
        </w:rPr>
      </w:pPr>
    </w:p>
    <w:p w14:paraId="57723D2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октябре (конец) 1914 воздушная разведка 8-й армии обнаружила движение длинных обозных колонн противника к западу от линии фронта, что указывало на поготовку к отходу крупных сил против-•ника. Командующий армией генерал Брусилов немедленно повел свои войска в решительное наступление, атаковал арьергарды отступав</w:t>
      </w:r>
      <w:r w:rsidRPr="00DE096C">
        <w:rPr>
          <w:bCs/>
          <w:color w:val="002060"/>
          <w:sz w:val="16"/>
          <w:szCs w:val="16"/>
        </w:rPr>
        <w:softHyphen/>
        <w:t>шего противника и с боем продвинулся вперзд, захватив значи</w:t>
      </w:r>
      <w:r w:rsidRPr="00DE096C">
        <w:rPr>
          <w:bCs/>
          <w:color w:val="002060"/>
          <w:sz w:val="16"/>
          <w:szCs w:val="16"/>
        </w:rPr>
        <w:softHyphen/>
        <w:t>тельные трофеи. Данные воздушной разведки и своевременное ис</w:t>
      </w:r>
      <w:r w:rsidRPr="00DE096C">
        <w:rPr>
          <w:bCs/>
          <w:color w:val="002060"/>
          <w:sz w:val="16"/>
          <w:szCs w:val="16"/>
        </w:rPr>
        <w:softHyphen/>
        <w:t>пользование их привело к успеху войск Юго-Западного фронта (А.А.Брусилов. Мои воспоминания. 194-6, стр.111-112).</w:t>
      </w:r>
    </w:p>
    <w:p w14:paraId="54A01233" w14:textId="77777777" w:rsidR="00B67D7C" w:rsidRPr="00DE096C" w:rsidRDefault="00B67D7C" w:rsidP="00D45A46">
      <w:pPr>
        <w:shd w:val="clear" w:color="auto" w:fill="FFFFFF"/>
        <w:jc w:val="both"/>
        <w:rPr>
          <w:bCs/>
          <w:color w:val="002060"/>
          <w:sz w:val="16"/>
          <w:szCs w:val="16"/>
        </w:rPr>
      </w:pPr>
    </w:p>
    <w:p w14:paraId="62D34064" w14:textId="77777777" w:rsidR="00EF2FC4" w:rsidRPr="00DE096C" w:rsidRDefault="00EF2FC4" w:rsidP="00D45A46">
      <w:pPr>
        <w:jc w:val="both"/>
        <w:rPr>
          <w:bCs/>
          <w:color w:val="002060"/>
          <w:sz w:val="16"/>
          <w:szCs w:val="16"/>
        </w:rPr>
      </w:pPr>
      <w:r w:rsidRPr="00DE096C">
        <w:rPr>
          <w:bCs/>
          <w:color w:val="002060"/>
          <w:sz w:val="16"/>
          <w:szCs w:val="16"/>
        </w:rPr>
        <w:t>В конце октября 1914 г. воздушная разведка 8-й армии обнаружила движение длинных обозных колонн противники к складу от линии фронта, что указывало на подготовку к отходу крупных сил противника. Командующий армией генерал Брусилов немедленно повел свои войска в решительное наступление, атаковал арьергарды отступающего противника и с боем продвинулся вперед, захватив вначительиые трофеи. Данные воздушной разведки и своевременное использование их привело к ус</w:t>
      </w:r>
      <w:r w:rsidRPr="00DE096C">
        <w:rPr>
          <w:bCs/>
          <w:color w:val="002060"/>
          <w:sz w:val="16"/>
          <w:szCs w:val="16"/>
        </w:rPr>
        <w:softHyphen/>
        <w:t>пеху войск Юго-западного фронта,</w:t>
      </w:r>
    </w:p>
    <w:p w14:paraId="5D5A376F" w14:textId="77777777" w:rsidR="00EF2FC4" w:rsidRPr="00DE096C" w:rsidRDefault="00EF2FC4" w:rsidP="00D45A46">
      <w:pPr>
        <w:jc w:val="both"/>
        <w:rPr>
          <w:bCs/>
          <w:color w:val="002060"/>
          <w:sz w:val="16"/>
          <w:szCs w:val="16"/>
        </w:rPr>
      </w:pPr>
      <w:r w:rsidRPr="00DE096C">
        <w:rPr>
          <w:bCs/>
          <w:color w:val="002060"/>
          <w:sz w:val="16"/>
          <w:szCs w:val="16"/>
        </w:rPr>
        <w:t>/А, А,Брусилов. Мои воспоминания, 1946, стр.111-112/ (23320).</w:t>
      </w:r>
    </w:p>
    <w:p w14:paraId="690D87DF" w14:textId="77777777" w:rsidR="00EF2FC4" w:rsidRPr="00DE096C" w:rsidRDefault="00EF2FC4" w:rsidP="00D45A46">
      <w:pPr>
        <w:jc w:val="both"/>
        <w:rPr>
          <w:bCs/>
          <w:color w:val="002060"/>
          <w:sz w:val="16"/>
          <w:szCs w:val="16"/>
        </w:rPr>
      </w:pPr>
    </w:p>
    <w:p w14:paraId="69A4E5AA" w14:textId="77777777" w:rsidR="004105F0" w:rsidRPr="00DE096C" w:rsidRDefault="004105F0" w:rsidP="00D45A46">
      <w:pPr>
        <w:jc w:val="both"/>
        <w:rPr>
          <w:bCs/>
          <w:color w:val="002060"/>
          <w:sz w:val="16"/>
          <w:szCs w:val="16"/>
        </w:rPr>
      </w:pPr>
      <w:r w:rsidRPr="00DE096C">
        <w:rPr>
          <w:bCs/>
          <w:color w:val="002060"/>
          <w:sz w:val="16"/>
          <w:szCs w:val="16"/>
        </w:rPr>
        <w:t>В конце октября 1914 г. Заведующим авиацией и Ставкой было одобрено предложение ГВТУ об организации оперативных групп мотористов, предназначенных для технического обслуживания авиаотрядов с новой авиатехникой. Так, с 7 по 21 ноября 1914 г. в авиароты были командированы 35 мотористов из числа студентов (19566).</w:t>
      </w:r>
    </w:p>
    <w:p w14:paraId="760B9BAC" w14:textId="77777777" w:rsidR="004105F0" w:rsidRPr="00DE096C" w:rsidRDefault="004105F0" w:rsidP="00D45A46">
      <w:pPr>
        <w:jc w:val="both"/>
        <w:rPr>
          <w:bCs/>
          <w:color w:val="002060"/>
          <w:sz w:val="16"/>
          <w:szCs w:val="16"/>
        </w:rPr>
      </w:pPr>
    </w:p>
    <w:p w14:paraId="1BE707FF" w14:textId="77777777" w:rsidR="00B67D7C" w:rsidRPr="00DE096C" w:rsidRDefault="00B67D7C" w:rsidP="00D45A46">
      <w:pPr>
        <w:jc w:val="both"/>
        <w:rPr>
          <w:bCs/>
          <w:i/>
          <w:color w:val="002060"/>
          <w:sz w:val="16"/>
          <w:szCs w:val="16"/>
        </w:rPr>
      </w:pPr>
      <w:r w:rsidRPr="00DE096C">
        <w:rPr>
          <w:bCs/>
          <w:i/>
          <w:color w:val="002060"/>
          <w:sz w:val="16"/>
          <w:szCs w:val="16"/>
        </w:rPr>
        <w:t>Самолетостроение:</w:t>
      </w:r>
    </w:p>
    <w:p w14:paraId="092A7078" w14:textId="77777777" w:rsidR="00B67D7C" w:rsidRPr="00DE096C" w:rsidRDefault="00B67D7C" w:rsidP="00D45A46">
      <w:pPr>
        <w:jc w:val="both"/>
        <w:rPr>
          <w:bCs/>
          <w:i/>
          <w:color w:val="002060"/>
          <w:sz w:val="16"/>
          <w:szCs w:val="16"/>
        </w:rPr>
      </w:pPr>
    </w:p>
    <w:p w14:paraId="3C29733A" w14:textId="554167E4" w:rsidR="00B67D7C" w:rsidRPr="00DE096C" w:rsidRDefault="00211AC7"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октябре 1914 г. </w:t>
      </w:r>
      <w:r w:rsidRPr="00DE096C">
        <w:rPr>
          <w:bCs/>
          <w:color w:val="002060"/>
          <w:sz w:val="16"/>
          <w:szCs w:val="16"/>
        </w:rPr>
        <w:t xml:space="preserve">И. И, Сикорским был разработан Проект С-16 </w:t>
      </w:r>
      <w:r w:rsidR="00B67D7C" w:rsidRPr="00DE096C">
        <w:rPr>
          <w:bCs/>
          <w:color w:val="002060"/>
          <w:sz w:val="16"/>
          <w:szCs w:val="16"/>
        </w:rPr>
        <w:t>В какой-то мере прообразом при проектировании послужил самолет английского конструктора Т. Сопвича «Таблоид» , прославившийся в то время на международных соревнованиях (в том числе в состязаниях гидросамолетов на кубок Шнейдера) своими прекрасными скоростными характеристиками. Военные ряда стран заинтересовались аппаратами подобного типа, которые предполагали использовать в качестве так называемых «кавалерийских» , т.е. маленькие скоростные самолетики должны были, подобно конным разведчикам, внезапно появляться в районе расположения противны» а, проводить необходимые наблюдения и быстро доставлять собранные данные своему командованию. В 1914-1915 гг. в разных странах было построено много самолетов по типу «Таблоид» . В Великобритании они получили наименование «скаутов» (разведчиков) . Однако из-за малой полезной нагрузки эти маленькие самолеты большого успеха в качестве разведчиков не добились, зато послужили основой для создания целого класса одноместных истребителей-бипланов, просуществовавших вплоть до второй мировой войны. По аналогии с большинством скаутов для С-16 были выбраны общая схема «чистого» биплана, основные параметры аппарата и компоновка с двумя сидениями пилотов, расположенными в тесной кабинке. Конструкция же частей и деталей С-16 разрабатывалась И. И. Сикорским на основе собственного опыта создания самолетов, в первую очередь легких бипланов С-5А, С-8 и С-10 (последние модификации С-10 отличались от первых С-16 в основном только габаритами) . В отличие от «Таблоид» , поперечное управление на С-16 обеспечивалось, как на всех аппаратах Сикорского, элеронами, а не «гошированием» (перешиванием крыльев) , иным было сделано крепление и капотирование двигателя и т.д. (11188).</w:t>
      </w:r>
    </w:p>
    <w:p w14:paraId="1D36446D" w14:textId="77777777" w:rsidR="00B67D7C" w:rsidRPr="00DE096C" w:rsidRDefault="00B67D7C" w:rsidP="00D45A46">
      <w:pPr>
        <w:jc w:val="both"/>
        <w:rPr>
          <w:bCs/>
          <w:color w:val="002060"/>
          <w:sz w:val="16"/>
          <w:szCs w:val="16"/>
        </w:rPr>
      </w:pPr>
    </w:p>
    <w:p w14:paraId="45EBC098" w14:textId="430E38E0" w:rsidR="00B67D7C" w:rsidRPr="00DE096C" w:rsidRDefault="00211AC7" w:rsidP="00D45A46">
      <w:pPr>
        <w:pStyle w:val="DefinitionList"/>
        <w:ind w:left="0"/>
        <w:jc w:val="both"/>
        <w:rPr>
          <w:bCs/>
          <w:color w:val="002060"/>
          <w:sz w:val="16"/>
          <w:szCs w:val="16"/>
        </w:rPr>
      </w:pPr>
      <w:r w:rsidRPr="00DE096C">
        <w:rPr>
          <w:bCs/>
          <w:color w:val="002060"/>
          <w:sz w:val="16"/>
          <w:szCs w:val="16"/>
        </w:rPr>
        <w:t>В</w:t>
      </w:r>
      <w:r w:rsidR="00B67D7C" w:rsidRPr="00DE096C">
        <w:rPr>
          <w:bCs/>
          <w:color w:val="002060"/>
          <w:sz w:val="16"/>
          <w:szCs w:val="16"/>
        </w:rPr>
        <w:t xml:space="preserve"> октябре 1914 года </w:t>
      </w:r>
      <w:r w:rsidRPr="00DE096C">
        <w:rPr>
          <w:bCs/>
          <w:color w:val="002060"/>
          <w:sz w:val="16"/>
          <w:szCs w:val="16"/>
        </w:rPr>
        <w:t xml:space="preserve">И.И. Сикорского </w:t>
      </w:r>
      <w:r w:rsidR="00B67D7C" w:rsidRPr="00DE096C">
        <w:rPr>
          <w:bCs/>
          <w:color w:val="002060"/>
          <w:sz w:val="16"/>
          <w:szCs w:val="16"/>
        </w:rPr>
        <w:t>разработал наиболее удачный проект специального самолета-истребителя "С-16 РБВЗ" (11039).</w:t>
      </w:r>
    </w:p>
    <w:p w14:paraId="00486D80" w14:textId="77777777" w:rsidR="00B67D7C" w:rsidRPr="00DE096C" w:rsidRDefault="00B67D7C" w:rsidP="00D45A46">
      <w:pPr>
        <w:pStyle w:val="DefinitionList"/>
        <w:ind w:left="0"/>
        <w:jc w:val="both"/>
        <w:rPr>
          <w:bCs/>
          <w:color w:val="002060"/>
          <w:sz w:val="16"/>
          <w:szCs w:val="16"/>
        </w:rPr>
      </w:pPr>
    </w:p>
    <w:p w14:paraId="759D78A6" w14:textId="78E3754F" w:rsidR="00B67D7C" w:rsidRPr="00DE096C" w:rsidRDefault="00B67D7C" w:rsidP="00D45A46">
      <w:pPr>
        <w:jc w:val="both"/>
        <w:rPr>
          <w:bCs/>
          <w:color w:val="002060"/>
          <w:sz w:val="16"/>
          <w:szCs w:val="16"/>
        </w:rPr>
      </w:pPr>
      <w:r w:rsidRPr="00DE096C">
        <w:rPr>
          <w:bCs/>
          <w:color w:val="002060"/>
          <w:sz w:val="16"/>
          <w:szCs w:val="16"/>
        </w:rPr>
        <w:t xml:space="preserve">В октябре </w:t>
      </w:r>
      <w:r w:rsidR="00211AC7" w:rsidRPr="00DE096C">
        <w:rPr>
          <w:bCs/>
          <w:color w:val="002060"/>
          <w:sz w:val="16"/>
          <w:szCs w:val="16"/>
        </w:rPr>
        <w:t xml:space="preserve">1914г. </w:t>
      </w:r>
      <w:r w:rsidRPr="00DE096C">
        <w:rPr>
          <w:bCs/>
          <w:color w:val="002060"/>
          <w:sz w:val="16"/>
          <w:szCs w:val="16"/>
        </w:rPr>
        <w:t xml:space="preserve">был готов последний аэроплан </w:t>
      </w:r>
      <w:r w:rsidR="00211AC7" w:rsidRPr="00DE096C">
        <w:rPr>
          <w:bCs/>
          <w:color w:val="002060"/>
          <w:sz w:val="16"/>
          <w:szCs w:val="16"/>
        </w:rPr>
        <w:t xml:space="preserve">ИМ </w:t>
      </w:r>
      <w:r w:rsidRPr="00DE096C">
        <w:rPr>
          <w:bCs/>
          <w:color w:val="002060"/>
          <w:sz w:val="16"/>
          <w:szCs w:val="16"/>
        </w:rPr>
        <w:t>модификации Б с номером 143 ("Муромец V"), оснащенный "Сальмсонами".</w:t>
      </w:r>
    </w:p>
    <w:p w14:paraId="352A7E81" w14:textId="77777777" w:rsidR="00B67D7C" w:rsidRPr="00DE096C" w:rsidRDefault="00B67D7C" w:rsidP="00D45A46">
      <w:pPr>
        <w:jc w:val="both"/>
        <w:rPr>
          <w:bCs/>
          <w:color w:val="002060"/>
          <w:sz w:val="16"/>
          <w:szCs w:val="16"/>
        </w:rPr>
      </w:pPr>
      <w:r w:rsidRPr="00DE096C">
        <w:rPr>
          <w:bCs/>
          <w:color w:val="002060"/>
          <w:sz w:val="16"/>
          <w:szCs w:val="16"/>
        </w:rPr>
        <w:t>Опыт эксплуатации самолётов модификации А и Б позволил сделать определённые выводы. Был нужен новый тип, более приспособленный для выполнения специфических военных задач. Сикорский в начале осени разработал новый тип "Му- ромЦа" - модификацию "В". В документации его называли "облегчённый боевой". Первыми самолётами модификации В стали самолёты с заводскими номерами 149, 150 и 151.</w:t>
      </w:r>
    </w:p>
    <w:p w14:paraId="3A43E904" w14:textId="77777777" w:rsidR="00B67D7C" w:rsidRPr="00DE096C" w:rsidRDefault="00B67D7C" w:rsidP="00D45A46">
      <w:pPr>
        <w:jc w:val="both"/>
        <w:rPr>
          <w:bCs/>
          <w:color w:val="002060"/>
          <w:sz w:val="16"/>
          <w:szCs w:val="16"/>
        </w:rPr>
      </w:pPr>
      <w:r w:rsidRPr="00DE096C">
        <w:rPr>
          <w:bCs/>
          <w:color w:val="002060"/>
          <w:sz w:val="16"/>
          <w:szCs w:val="16"/>
        </w:rPr>
        <w:t>По сути дела это был первый по-настоящему боевой "Муромец". Первые машины исходно проектировались как пассажирские. Отсюда и ненужная высокая комфортность, и завышенные размеры внутренних объёмов фюзеляжа. При проектировании новой модификации Игорь Иванович особое внимание уделил снижению массы и повышению аэродинамических характеристик.</w:t>
      </w:r>
    </w:p>
    <w:p w14:paraId="5A4F033C" w14:textId="77777777" w:rsidR="00B67D7C" w:rsidRPr="00DE096C" w:rsidRDefault="00B67D7C" w:rsidP="00D45A46">
      <w:pPr>
        <w:jc w:val="both"/>
        <w:rPr>
          <w:bCs/>
          <w:color w:val="002060"/>
          <w:sz w:val="16"/>
          <w:szCs w:val="16"/>
        </w:rPr>
      </w:pPr>
      <w:r w:rsidRPr="00DE096C">
        <w:rPr>
          <w:bCs/>
          <w:color w:val="002060"/>
          <w:sz w:val="16"/>
          <w:szCs w:val="16"/>
        </w:rPr>
        <w:t>Фюзеляж стал чуть уже и короче почти на 2 метра, размах крыльев уменьшился почти на 3 метра. Была изменена форма носовой части фюзеляжа в районе пилотской кабины. Вместо сложной и трудоёмкой поверхности двойной кривизны, которую приходилось выклеивать из шпона, новый "Муромец" получил заострённую, подобно корпусу корабля, носовую часть. Вместо пяти передних стёкол остались лишь четыре на вертикальных гранях, дополнительные окна были сделаны в нижней поверхности. Обзор из кабины заметно улучшился. Количество боковых стёкол за кабиной было уменьшено более радикально. Теперь в каждом борту оставили только два окна: одно перед дверью, второе - над треугольным люком-лазом для выхода на нижнее крыло.</w:t>
      </w:r>
    </w:p>
    <w:p w14:paraId="243C0B43" w14:textId="77777777" w:rsidR="00B67D7C" w:rsidRPr="00DE096C" w:rsidRDefault="00B67D7C" w:rsidP="00D45A46">
      <w:pPr>
        <w:jc w:val="both"/>
        <w:rPr>
          <w:bCs/>
          <w:color w:val="002060"/>
          <w:sz w:val="16"/>
          <w:szCs w:val="16"/>
        </w:rPr>
      </w:pPr>
      <w:r w:rsidRPr="00DE096C">
        <w:rPr>
          <w:bCs/>
          <w:color w:val="002060"/>
          <w:sz w:val="16"/>
          <w:szCs w:val="16"/>
        </w:rPr>
        <w:t>Входную дверь сместили ближе к коробке крыльев, в полу фюзеляжа сделали люк для установки фотографического аппарата и, впервые в мире, прорезали бомболюк, позволявший сбрасывать бомбы прямо из кабины.</w:t>
      </w:r>
    </w:p>
    <w:p w14:paraId="2E88C37C" w14:textId="77777777" w:rsidR="00B67D7C" w:rsidRPr="00DE096C" w:rsidRDefault="00B67D7C" w:rsidP="00D45A46">
      <w:pPr>
        <w:jc w:val="both"/>
        <w:rPr>
          <w:bCs/>
          <w:color w:val="002060"/>
          <w:sz w:val="16"/>
          <w:szCs w:val="16"/>
        </w:rPr>
      </w:pPr>
      <w:r w:rsidRPr="00DE096C">
        <w:rPr>
          <w:bCs/>
          <w:color w:val="002060"/>
          <w:sz w:val="16"/>
          <w:szCs w:val="16"/>
        </w:rPr>
        <w:t>В районе крайних окон по правому борту были проложены направляющие рельсы, по которым могла перемешаться кассета для вертикального крепления бомб большого калибра (до двух пудов), более мелкие бомбы насыпались на пол "внавал" и закреплялись ремнями.</w:t>
      </w:r>
    </w:p>
    <w:p w14:paraId="4FC04416" w14:textId="77777777" w:rsidR="00B67D7C" w:rsidRPr="00DE096C" w:rsidRDefault="00B67D7C" w:rsidP="00D45A46">
      <w:pPr>
        <w:jc w:val="both"/>
        <w:rPr>
          <w:bCs/>
          <w:color w:val="002060"/>
          <w:sz w:val="16"/>
          <w:szCs w:val="16"/>
        </w:rPr>
      </w:pPr>
      <w:r w:rsidRPr="00DE096C">
        <w:rPr>
          <w:bCs/>
          <w:color w:val="002060"/>
          <w:sz w:val="16"/>
          <w:szCs w:val="16"/>
        </w:rPr>
        <w:t>От средней огороженной фюзеляжной площадки отказанись окончательно, а рабочее место стрелка перенесли на специальную площадку в центроплане верхнего крыла. Там же установили и два топливных бака. Один пулемёт установили на переднем лонжероне, второй - на заднем.</w:t>
      </w:r>
    </w:p>
    <w:p w14:paraId="1E00EA3E" w14:textId="77777777" w:rsidR="00B67D7C" w:rsidRPr="00DE096C" w:rsidRDefault="00B67D7C" w:rsidP="00D45A46">
      <w:pPr>
        <w:jc w:val="both"/>
        <w:rPr>
          <w:bCs/>
          <w:color w:val="002060"/>
          <w:sz w:val="16"/>
          <w:szCs w:val="16"/>
        </w:rPr>
      </w:pPr>
      <w:r w:rsidRPr="00DE096C">
        <w:rPr>
          <w:bCs/>
          <w:color w:val="002060"/>
          <w:sz w:val="16"/>
          <w:szCs w:val="16"/>
        </w:rPr>
        <w:t>При сохранении обшей схемы вертикального оперения была изменена форма рулей. Центральный руль стал ещё больше, боковые - меньше и все получили новую более обтекаемую форму.</w:t>
      </w:r>
    </w:p>
    <w:p w14:paraId="242715BB" w14:textId="77777777" w:rsidR="00B67D7C" w:rsidRPr="00DE096C" w:rsidRDefault="00B67D7C" w:rsidP="00D45A46">
      <w:pPr>
        <w:jc w:val="both"/>
        <w:rPr>
          <w:bCs/>
          <w:color w:val="002060"/>
          <w:sz w:val="16"/>
          <w:szCs w:val="16"/>
        </w:rPr>
      </w:pPr>
      <w:r w:rsidRPr="00DE096C">
        <w:rPr>
          <w:bCs/>
          <w:color w:val="002060"/>
          <w:sz w:val="16"/>
          <w:szCs w:val="16"/>
        </w:rPr>
        <w:t xml:space="preserve">От сложной и тяжёлой хвостовой опоры в виде сдвоенных полозьев отказались в пользу более лёгкого костыля. При этом костыль снабдили пятой, уменьшавшей давление на грунт. </w:t>
      </w:r>
    </w:p>
    <w:p w14:paraId="0A796C2C" w14:textId="77777777" w:rsidR="00B67D7C" w:rsidRPr="00DE096C" w:rsidRDefault="00B67D7C" w:rsidP="00D45A46">
      <w:pPr>
        <w:jc w:val="both"/>
        <w:rPr>
          <w:bCs/>
          <w:color w:val="002060"/>
          <w:sz w:val="16"/>
          <w:szCs w:val="16"/>
        </w:rPr>
      </w:pPr>
      <w:r w:rsidRPr="00DE096C">
        <w:rPr>
          <w:bCs/>
          <w:color w:val="002060"/>
          <w:sz w:val="16"/>
          <w:szCs w:val="16"/>
        </w:rPr>
        <w:t>Аппарат за номером 149 оснащался двумя двигателями "Сальмсон" 2М7, 150-й получил две пары "Аргусов" (по 140 и 125 л.е.), 151-й имел четыре "Аргуса" по 140 л.с. от "Муромца I" (12041).</w:t>
      </w:r>
    </w:p>
    <w:p w14:paraId="6F37812A" w14:textId="77777777" w:rsidR="00B67D7C" w:rsidRPr="00DE096C" w:rsidRDefault="00B67D7C" w:rsidP="00D45A46">
      <w:pPr>
        <w:jc w:val="both"/>
        <w:rPr>
          <w:bCs/>
          <w:color w:val="002060"/>
          <w:sz w:val="16"/>
          <w:szCs w:val="16"/>
        </w:rPr>
      </w:pPr>
    </w:p>
    <w:p w14:paraId="3F631667" w14:textId="480F315C" w:rsidR="00B67D7C" w:rsidRPr="00DE096C" w:rsidRDefault="00A13D78"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октябре 1914 г.</w:t>
      </w:r>
      <w:r w:rsidRPr="00DE096C">
        <w:rPr>
          <w:bCs/>
          <w:color w:val="002060"/>
          <w:sz w:val="16"/>
          <w:szCs w:val="16"/>
        </w:rPr>
        <w:t>,</w:t>
      </w:r>
      <w:r w:rsidR="00B67D7C" w:rsidRPr="00DE096C">
        <w:rPr>
          <w:bCs/>
          <w:color w:val="002060"/>
          <w:sz w:val="16"/>
          <w:szCs w:val="16"/>
        </w:rPr>
        <w:t xml:space="preserve"> </w:t>
      </w:r>
      <w:r w:rsidRPr="00DE096C">
        <w:rPr>
          <w:bCs/>
          <w:color w:val="002060"/>
          <w:sz w:val="16"/>
          <w:szCs w:val="16"/>
        </w:rPr>
        <w:t xml:space="preserve">совершив </w:t>
      </w:r>
      <w:r w:rsidR="00B67D7C" w:rsidRPr="00DE096C">
        <w:rPr>
          <w:bCs/>
          <w:color w:val="002060"/>
          <w:sz w:val="16"/>
          <w:szCs w:val="16"/>
        </w:rPr>
        <w:t xml:space="preserve">несколько пробных полетов, штабс-капитан Руднев остался недоволен летными качествами "Муромца", нашел и другие недостатки. Появилась его докладная записка "О непригодности аппаратов типа "Илья Муромец" для военных целей", а за ней уведомление Штаба Верховного </w:t>
      </w:r>
      <w:r w:rsidR="00B67D7C" w:rsidRPr="00DE096C">
        <w:rPr>
          <w:bCs/>
          <w:color w:val="002060"/>
          <w:sz w:val="16"/>
          <w:szCs w:val="16"/>
        </w:rPr>
        <w:lastRenderedPageBreak/>
        <w:t>Главнокомандующего в ГВТУ "о приостановлении снабжения аэропланами типа "Илья Муромец" впредь до устранения недостатков этих аппаратов. Доблестный же командир 1-го корабля, не совершивший ни одного боевого полета, по прилете 25 ноября во Львов подал рапорт о переводе в легкую авиацию. В январе 1915 г. корабль был доставлен в Яблонну, где после мелкого ремонта был испытан в полете. Сикорский лично взял на нем высоту в 2200 метров, тогда как Руднев не мог подняться выше 1375 м. А снятые с корабля ненадежные по мнению Руднева "Аргусы" были в марте переставлены на корабль Ш-й №151, который впоследствии совершал 5-ти часовые полеты вглубь территории противника.</w:t>
      </w:r>
    </w:p>
    <w:p w14:paraId="575F47DB" w14:textId="77777777" w:rsidR="00B67D7C" w:rsidRPr="00DE096C" w:rsidRDefault="00B67D7C" w:rsidP="00D45A46">
      <w:pPr>
        <w:jc w:val="both"/>
        <w:rPr>
          <w:bCs/>
          <w:color w:val="002060"/>
          <w:sz w:val="16"/>
          <w:szCs w:val="16"/>
        </w:rPr>
      </w:pPr>
    </w:p>
    <w:p w14:paraId="7D547F9C" w14:textId="44637C49" w:rsidR="00B67D7C" w:rsidRPr="00DE096C" w:rsidRDefault="00A13D78"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октябре 1914 г. </w:t>
      </w:r>
      <w:r w:rsidRPr="00DE096C">
        <w:rPr>
          <w:bCs/>
          <w:color w:val="002060"/>
          <w:sz w:val="16"/>
          <w:szCs w:val="16"/>
        </w:rPr>
        <w:t xml:space="preserve">после вступления Турции в войну </w:t>
      </w:r>
      <w:r w:rsidR="00B67D7C" w:rsidRPr="00DE096C">
        <w:rPr>
          <w:bCs/>
          <w:color w:val="002060"/>
          <w:sz w:val="16"/>
          <w:szCs w:val="16"/>
        </w:rPr>
        <w:t xml:space="preserve">командование Черноморского флота вспомнило о </w:t>
      </w:r>
      <w:r w:rsidRPr="00DE096C">
        <w:rPr>
          <w:bCs/>
          <w:color w:val="002060"/>
          <w:sz w:val="16"/>
          <w:szCs w:val="16"/>
        </w:rPr>
        <w:t>тяжелых самолетах Сикорского типа "Илья Муромец"</w:t>
      </w:r>
      <w:r w:rsidR="00B67D7C" w:rsidRPr="00DE096C">
        <w:rPr>
          <w:bCs/>
          <w:color w:val="002060"/>
          <w:sz w:val="16"/>
          <w:szCs w:val="16"/>
        </w:rPr>
        <w:t xml:space="preserve"> и попросило о выделении двух гигантов, дабы прикомандировать их к временному морскому авиационному отряду в Батуме, обслуживавшему в то время и моряков, и армию. К сожалению, из-за нехватки двигателей "Муромцы" не могли быть получены в обозримом будущем, что и стало очевидным к 15-му января 1915 г. Примерно в то же время было отвергнуто предложение об использовании неких трофейных "Альбат</w:t>
      </w:r>
      <w:r w:rsidR="00B67D7C" w:rsidRPr="00DE096C">
        <w:rPr>
          <w:bCs/>
          <w:color w:val="002060"/>
          <w:sz w:val="16"/>
          <w:szCs w:val="16"/>
        </w:rPr>
        <w:softHyphen/>
        <w:t>росов" с дальностью до 600 км и МГШ попытался найти другие ходы для решения проблемы. Результатом явилось заявление компании В.А. Лебедева от 19 января, в котором звучало обещание построить два аэроплана типа "Альбатрос" со сменным ко</w:t>
      </w:r>
      <w:r w:rsidR="00B67D7C" w:rsidRPr="00DE096C">
        <w:rPr>
          <w:bCs/>
          <w:color w:val="002060"/>
          <w:sz w:val="16"/>
          <w:szCs w:val="16"/>
        </w:rPr>
        <w:softHyphen/>
        <w:t>лесным, лыжным или поплавковым шасси и с моторами "Аргус" или "Австро-Даймлер" мощностью 120 л.с. каждый, способных находиться в воздухе в течение 6 часов. Сто</w:t>
      </w:r>
      <w:r w:rsidR="00B67D7C" w:rsidRPr="00DE096C">
        <w:rPr>
          <w:bCs/>
          <w:color w:val="002060"/>
          <w:sz w:val="16"/>
          <w:szCs w:val="16"/>
        </w:rPr>
        <w:softHyphen/>
        <w:t>имость такой машины расчитывалась следующим образом: 10.000 руб. за сам самолет, плюс 1.100 руб. за крылья увеличенного размаха и топливные баки, 1.500 руб. за ра</w:t>
      </w:r>
      <w:r w:rsidR="00B67D7C" w:rsidRPr="00DE096C">
        <w:rPr>
          <w:bCs/>
          <w:color w:val="002060"/>
          <w:sz w:val="16"/>
          <w:szCs w:val="16"/>
        </w:rPr>
        <w:softHyphen/>
        <w:t>диаторы и трубопроводы, 3.500 руб. за трехпоплавковое шасси, 210 руб. за воз</w:t>
      </w:r>
      <w:r w:rsidR="00B67D7C" w:rsidRPr="00DE096C">
        <w:rPr>
          <w:bCs/>
          <w:color w:val="002060"/>
          <w:sz w:val="16"/>
          <w:szCs w:val="16"/>
        </w:rPr>
        <w:softHyphen/>
        <w:t>душный винт диаметром 280 мм, окованный медью, 310 руб. за лыжи и т.д.; общая цена составляла 17.490 руб. Оба "Альбатроса" на колесном шасси могли быть изготовлены за 3 недели, а их испытания — выполнены пилотом фирмы. Также говорилось, что даль</w:t>
      </w:r>
      <w:r w:rsidR="00B67D7C" w:rsidRPr="00DE096C">
        <w:rPr>
          <w:bCs/>
          <w:color w:val="002060"/>
          <w:sz w:val="16"/>
          <w:szCs w:val="16"/>
        </w:rPr>
        <w:softHyphen/>
        <w:t>ность действия колесного или лыжного варианта самолета равнялась 1200 км, а поплавко</w:t>
      </w:r>
      <w:r w:rsidR="00B67D7C" w:rsidRPr="00DE096C">
        <w:rPr>
          <w:bCs/>
          <w:color w:val="002060"/>
          <w:sz w:val="16"/>
          <w:szCs w:val="16"/>
        </w:rPr>
        <w:softHyphen/>
        <w:t>вого — только 700 км.</w:t>
      </w:r>
    </w:p>
    <w:p w14:paraId="2DB088D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целом проект приняли, но представители Морского ведомства настаивали на том, что</w:t>
      </w:r>
      <w:r w:rsidRPr="00DE096C">
        <w:rPr>
          <w:bCs/>
          <w:color w:val="002060"/>
          <w:sz w:val="16"/>
          <w:szCs w:val="16"/>
        </w:rPr>
        <w:softHyphen/>
        <w:t>бы компания оснастила аэропланы поплавками, доставила их в Батум и там сдала в казну. Это условие стало камнем преткновения в дальнейших переговорах, т.к. фирма не желала работать в Батуме, соглашаясь, однако, опробовать машины на колесном шасси в Петрог</w:t>
      </w:r>
      <w:r w:rsidRPr="00DE096C">
        <w:rPr>
          <w:bCs/>
          <w:color w:val="002060"/>
          <w:sz w:val="16"/>
          <w:szCs w:val="16"/>
        </w:rPr>
        <w:softHyphen/>
        <w:t>раде, а на поплавковом — в Севастополе. 4 февраля Авиационный комитет Черноморского флота одобрил это предложение и рекомендовал дать Лебедеву официальный контракт. Не</w:t>
      </w:r>
      <w:r w:rsidRPr="00DE096C">
        <w:rPr>
          <w:bCs/>
          <w:color w:val="002060"/>
          <w:sz w:val="16"/>
          <w:szCs w:val="16"/>
        </w:rPr>
        <w:softHyphen/>
        <w:t>ожиданно на следующий день компания представила в МГШ несколько измененный план строительства "Альбатросов", каждый из которых должен был теперь оснащаться двигателем "Санбим" 150 л.с. и стоить 16.450 руб., включая цену пропеллера, моторной установки и испытаний в Севастополе, плюс 8.890 руб. за комплект запасных частей и поплавков. Из</w:t>
      </w:r>
      <w:r w:rsidRPr="00DE096C">
        <w:rPr>
          <w:bCs/>
          <w:color w:val="002060"/>
          <w:sz w:val="16"/>
          <w:szCs w:val="16"/>
        </w:rPr>
        <w:softHyphen/>
        <w:t>готовление должно было занять 9 недель, а 150-сильные "Санбимы" поставлялись бы заказ</w:t>
      </w:r>
      <w:r w:rsidRPr="00DE096C">
        <w:rPr>
          <w:bCs/>
          <w:color w:val="002060"/>
          <w:sz w:val="16"/>
          <w:szCs w:val="16"/>
        </w:rPr>
        <w:softHyphen/>
        <w:t>чиком. Все эти пункты "прижились" и устное соглашение между партнерами последовало в середине февраля, но только 26 марта МГШ просил командира Петроградского порта под</w:t>
      </w:r>
      <w:r w:rsidRPr="00DE096C">
        <w:rPr>
          <w:bCs/>
          <w:color w:val="002060"/>
          <w:sz w:val="16"/>
          <w:szCs w:val="16"/>
        </w:rPr>
        <w:softHyphen/>
        <w:t>писать договор с фирмой (2843).</w:t>
      </w:r>
    </w:p>
    <w:p w14:paraId="687DB196" w14:textId="77777777" w:rsidR="00B67D7C" w:rsidRPr="00DE096C" w:rsidRDefault="00B67D7C" w:rsidP="00D45A46">
      <w:pPr>
        <w:shd w:val="clear" w:color="auto" w:fill="FFFFFF"/>
        <w:jc w:val="both"/>
        <w:rPr>
          <w:bCs/>
          <w:color w:val="002060"/>
          <w:sz w:val="16"/>
          <w:szCs w:val="16"/>
        </w:rPr>
      </w:pPr>
    </w:p>
    <w:p w14:paraId="0CB7C3F5" w14:textId="77777777" w:rsidR="00B67D7C" w:rsidRPr="00DE096C" w:rsidRDefault="00B67D7C" w:rsidP="00D45A46">
      <w:pPr>
        <w:jc w:val="both"/>
        <w:rPr>
          <w:bCs/>
          <w:color w:val="002060"/>
          <w:sz w:val="16"/>
          <w:szCs w:val="16"/>
        </w:rPr>
      </w:pPr>
      <w:r w:rsidRPr="00DE096C">
        <w:rPr>
          <w:bCs/>
          <w:color w:val="002060"/>
          <w:sz w:val="16"/>
          <w:szCs w:val="16"/>
        </w:rPr>
        <w:t>В октябре 1914 г. был утвержден Устав акционерного общества «Русский Рено», учредителями которого выступили член Государственной думы Л.В. Половцев и французский подданный Поль Сико. Целью общества были производство и продажа автомобилей, автомобильных и авиационных двигателей, эксплуатация автомобилей и прочее. В 1914 - 1916 гг. обществом был построен и первоклассно оборудован в Петрограде завод, осуществлявший сборку, испытание авиадвигателей «Рено» и изготовление запасных частей к ним. На заводе действовало и автомобильное отделение. Всего на предприятии размещалось 770 станков. К началу 1917 г. в цехах завода трудилось около 2 тыс. рабочих. Несмотря на эти обстоятельства, производительность предприятия была невелика - всего 10 моторов в месяц [РГВИА. Ф. 493. Оп. 9. Д. 56. Л. 200; РГАЭ. Ф. 4086 (Главное управление металлической промышленности ВСНХ СССР). Оп. 10. Д. 3. Л. 131.].</w:t>
      </w:r>
    </w:p>
    <w:p w14:paraId="00E533B2" w14:textId="77777777" w:rsidR="00B67D7C" w:rsidRPr="00DE096C" w:rsidRDefault="00B67D7C" w:rsidP="00D45A46">
      <w:pPr>
        <w:jc w:val="both"/>
        <w:rPr>
          <w:bCs/>
          <w:color w:val="002060"/>
          <w:sz w:val="16"/>
          <w:szCs w:val="16"/>
        </w:rPr>
      </w:pPr>
      <w:r w:rsidRPr="00DE096C">
        <w:rPr>
          <w:bCs/>
          <w:color w:val="002060"/>
          <w:sz w:val="16"/>
          <w:szCs w:val="16"/>
        </w:rPr>
        <w:t>В ноябре 1915 г. обществом «Русский Рено» был заключен контракт с ГВТУ на поставку 150 моторов типа «Рено», по которому предусматривалось сооружение еще одного моторного завода. Завод начал строиться в Рыбинске, где это же общество строило автомобильный завод. Военное ведомство оказало широкую материальную помощь обществу в деле постройки авиамоторного завода. Правлению «Русский Рено» был выдан аванс в 1620 тыс. руб. Кроме того, для покупки необходимого оборудования за границей обществу была предоставлена соответствующая валюта [РГИА. Ф. 1525. Оп. 1. Д. 420. Л. 11-12, 8об. 10.]. Хотя значительная часть зданий нового завода была построена, но завершить оборудование его не удалось по причине задержек в поступлении станков и механизмов из-за границы (11863).</w:t>
      </w:r>
    </w:p>
    <w:p w14:paraId="73FCF526" w14:textId="77777777" w:rsidR="00B67D7C" w:rsidRPr="00DE096C" w:rsidRDefault="00B67D7C" w:rsidP="00D45A46">
      <w:pPr>
        <w:jc w:val="both"/>
        <w:rPr>
          <w:bCs/>
          <w:color w:val="002060"/>
          <w:sz w:val="16"/>
          <w:szCs w:val="16"/>
        </w:rPr>
      </w:pPr>
    </w:p>
    <w:p w14:paraId="2E6AA59B" w14:textId="77777777" w:rsidR="00942135" w:rsidRPr="00DE096C" w:rsidRDefault="00942135" w:rsidP="00D45A46">
      <w:pPr>
        <w:pStyle w:val="ae"/>
        <w:shd w:val="clear" w:color="auto" w:fill="FFFFFF"/>
        <w:spacing w:before="0" w:beforeAutospacing="0" w:after="0" w:afterAutospacing="0"/>
        <w:jc w:val="both"/>
        <w:rPr>
          <w:bCs/>
          <w:color w:val="002060"/>
          <w:sz w:val="16"/>
          <w:szCs w:val="16"/>
        </w:rPr>
      </w:pPr>
      <w:bookmarkStart w:id="195" w:name="_Hlk83383560"/>
      <w:r w:rsidRPr="00DE096C">
        <w:rPr>
          <w:bCs/>
          <w:color w:val="002060"/>
          <w:sz w:val="16"/>
          <w:szCs w:val="16"/>
        </w:rPr>
        <w:t>В октябре 1914 г. был утвержден Устав акционерного общества «Русский Рено», учредителями которого выступили член Государственной думы Л.В. Половцев и французский подданный Поль Сико. Целью общества были производство и продажа автомобилей, автомобильных и авиационных двигателей, эксплуатация автомобилей и прочее. В 1914 - 1916 гг. обществом был построен и первоклассно оборудован в Петрограде завод, осуществлявший сборку, испытание авиадвигателей «Рено» и изготовление запасных частей к ним. На заводе действовало и автомобильное отделение. Всего на предприятии размещалось 770 станков. К началу 1917 г. в цехах завода трудилось около 2 тыс. рабочих. Несмотря на эти обстоятельства, производительность предприятия была невелика - всего 10 моторов в месяц</w:t>
      </w:r>
      <w:bookmarkStart w:id="196" w:name="_ednref62"/>
      <w:r w:rsidRPr="00DE096C">
        <w:rPr>
          <w:bCs/>
          <w:color w:val="002060"/>
          <w:sz w:val="16"/>
          <w:szCs w:val="16"/>
        </w:rPr>
        <w:t xml:space="preserve"> (РГВИА. Ф. 493. Оп. 9. Д. 56. Л. 200; РГАЭ. Ф. 4086 (Главное управление металлической промышленности ВСНХ СССР). Оп. 10. Д. 3. Л. 131 (21522)</w:t>
      </w:r>
      <w:bookmarkEnd w:id="196"/>
      <w:r w:rsidRPr="00DE096C">
        <w:rPr>
          <w:bCs/>
          <w:color w:val="002060"/>
          <w:sz w:val="16"/>
          <w:szCs w:val="16"/>
        </w:rPr>
        <w:t>.</w:t>
      </w:r>
    </w:p>
    <w:p w14:paraId="4C5FF809" w14:textId="77777777" w:rsidR="00942135" w:rsidRPr="00DE096C" w:rsidRDefault="00942135" w:rsidP="00D45A46">
      <w:pPr>
        <w:pStyle w:val="ae"/>
        <w:shd w:val="clear" w:color="auto" w:fill="FFFFFF"/>
        <w:spacing w:before="0" w:beforeAutospacing="0" w:after="0" w:afterAutospacing="0"/>
        <w:jc w:val="both"/>
        <w:rPr>
          <w:bCs/>
          <w:color w:val="002060"/>
          <w:sz w:val="16"/>
          <w:szCs w:val="16"/>
        </w:rPr>
      </w:pPr>
      <w:r w:rsidRPr="00DE096C">
        <w:rPr>
          <w:bCs/>
          <w:color w:val="002060"/>
          <w:sz w:val="16"/>
          <w:szCs w:val="16"/>
        </w:rPr>
        <w:t>В ноябре 1915 г. обществом «Русский Рено» был заключен контракт с ГВТУ на поставку 150 моторов типа «Рено», по которому предусматривалось сооружение еще одного моторного завода. Завод начал строиться в Рыбинске, где это же общество строило автомобильный завод. Военное ведомство оказало широкую материальную помощь обществу в деле постройки авиамоторного завода. Правлению «Русский Рено» был выдан аванс в 1620 тыс. руб. Кроме того, для покупки необходимого оборудования за границей обществу была предоставлена соответствующая валюта</w:t>
      </w:r>
      <w:bookmarkStart w:id="197" w:name="_ednref63"/>
      <w:r w:rsidRPr="00DE096C">
        <w:rPr>
          <w:bCs/>
          <w:color w:val="002060"/>
          <w:sz w:val="16"/>
          <w:szCs w:val="16"/>
        </w:rPr>
        <w:fldChar w:fldCharType="begin"/>
      </w:r>
      <w:r w:rsidRPr="00DE096C">
        <w:rPr>
          <w:bCs/>
          <w:color w:val="002060"/>
          <w:sz w:val="16"/>
          <w:szCs w:val="16"/>
        </w:rPr>
        <w:instrText xml:space="preserve"> HYPERLINK "http://economicarggu.ru/2002_5/01.shtml" \l "_edn63" \o "" </w:instrText>
      </w:r>
      <w:r w:rsidRPr="00DE096C">
        <w:rPr>
          <w:bCs/>
          <w:color w:val="002060"/>
          <w:sz w:val="16"/>
          <w:szCs w:val="16"/>
        </w:rPr>
      </w:r>
      <w:r w:rsidRPr="00DE096C">
        <w:rPr>
          <w:bCs/>
          <w:color w:val="002060"/>
          <w:sz w:val="16"/>
          <w:szCs w:val="16"/>
        </w:rPr>
        <w:fldChar w:fldCharType="separate"/>
      </w:r>
      <w:r w:rsidRPr="00DE096C">
        <w:rPr>
          <w:rStyle w:val="af0"/>
          <w:rFonts w:eastAsiaTheme="majorEastAsia"/>
          <w:bCs/>
          <w:color w:val="002060"/>
          <w:sz w:val="16"/>
          <w:szCs w:val="16"/>
        </w:rPr>
        <w:t>[63]</w:t>
      </w:r>
      <w:r w:rsidRPr="00DE096C">
        <w:rPr>
          <w:bCs/>
          <w:color w:val="002060"/>
          <w:sz w:val="16"/>
          <w:szCs w:val="16"/>
        </w:rPr>
        <w:fldChar w:fldCharType="end"/>
      </w:r>
      <w:bookmarkEnd w:id="197"/>
      <w:r w:rsidRPr="00DE096C">
        <w:rPr>
          <w:bCs/>
          <w:color w:val="002060"/>
          <w:sz w:val="16"/>
          <w:szCs w:val="16"/>
        </w:rPr>
        <w:t>. Хотя значительная часть зданий нового завода была построена, но завершить оборудование его не удалось по причине задержек в поступлении станков и механизмов из-за границы (21552).</w:t>
      </w:r>
    </w:p>
    <w:p w14:paraId="18BB4B1C" w14:textId="77777777" w:rsidR="00942135" w:rsidRPr="00DE096C" w:rsidRDefault="00942135" w:rsidP="00D45A46">
      <w:pPr>
        <w:pStyle w:val="ae"/>
        <w:shd w:val="clear" w:color="auto" w:fill="FFFFFF"/>
        <w:spacing w:before="0" w:beforeAutospacing="0" w:after="0" w:afterAutospacing="0"/>
        <w:jc w:val="both"/>
        <w:rPr>
          <w:bCs/>
          <w:color w:val="002060"/>
          <w:sz w:val="16"/>
          <w:szCs w:val="16"/>
        </w:rPr>
      </w:pPr>
    </w:p>
    <w:bookmarkEnd w:id="195"/>
    <w:p w14:paraId="643D42D8" w14:textId="77777777" w:rsidR="00942135" w:rsidRPr="00DE096C" w:rsidRDefault="00942135" w:rsidP="00D45A46">
      <w:pPr>
        <w:jc w:val="both"/>
        <w:rPr>
          <w:bCs/>
          <w:color w:val="002060"/>
          <w:sz w:val="16"/>
          <w:szCs w:val="16"/>
        </w:rPr>
      </w:pPr>
      <w:r w:rsidRPr="00DE096C">
        <w:rPr>
          <w:bCs/>
          <w:color w:val="002060"/>
          <w:sz w:val="16"/>
          <w:szCs w:val="16"/>
        </w:rPr>
        <w:t>В октябре 1914 г. по инициативе профессора Н. Е. Жуковского студенческий воздухоплавательный кружок Императорского Московского технического училища (И МТУ) преобразовался в Теоретические курсы авиации при ИМТУ. Московские курсы военизировали в июле 1916 г., переименовав их в Офицерские теоретические курсы авиации при ИМТУ. Назначением курсов являлась теоретическая и практическая подготовка для армии летчиков и мотористов. Вольноопределяющиеся, не имеющие высшего образования, последовательно учились сначала на Московских курсах, а потом - в Московской школе авиации (20006).</w:t>
      </w:r>
    </w:p>
    <w:p w14:paraId="1D3A31DC" w14:textId="417C6B43" w:rsidR="00942135" w:rsidRPr="00DE096C" w:rsidRDefault="00942135" w:rsidP="00D45A46">
      <w:pPr>
        <w:jc w:val="both"/>
        <w:rPr>
          <w:bCs/>
          <w:color w:val="002060"/>
          <w:sz w:val="16"/>
          <w:szCs w:val="16"/>
        </w:rPr>
      </w:pPr>
    </w:p>
    <w:p w14:paraId="690B50B7" w14:textId="77777777" w:rsidR="00C929CB" w:rsidRPr="00DE096C" w:rsidRDefault="00C929CB" w:rsidP="00D45A46">
      <w:pPr>
        <w:jc w:val="both"/>
        <w:rPr>
          <w:bCs/>
          <w:color w:val="002060"/>
          <w:sz w:val="16"/>
          <w:szCs w:val="16"/>
        </w:rPr>
      </w:pPr>
      <w:r w:rsidRPr="00DE096C">
        <w:rPr>
          <w:bCs/>
          <w:color w:val="002060"/>
          <w:sz w:val="16"/>
          <w:szCs w:val="16"/>
          <w:lang w:bidi="en-US"/>
        </w:rPr>
        <w:t>В октябре 1914 г. командующий В. Н. Кедрин представил адмиралу А. А. Эбергарду подробный доклад, в котором указывалось, что морская авиация находится еще в стадии опытов и он не видит смысла ослаблять ее организационными преобразованиями.</w:t>
      </w:r>
    </w:p>
    <w:p w14:paraId="72247257" w14:textId="77777777" w:rsidR="00C929CB" w:rsidRPr="00DE096C" w:rsidRDefault="00C929CB" w:rsidP="00D45A46">
      <w:pPr>
        <w:jc w:val="both"/>
        <w:rPr>
          <w:bCs/>
          <w:color w:val="002060"/>
          <w:sz w:val="16"/>
          <w:szCs w:val="16"/>
        </w:rPr>
      </w:pPr>
      <w:r w:rsidRPr="00DE096C">
        <w:rPr>
          <w:bCs/>
          <w:color w:val="002060"/>
          <w:sz w:val="16"/>
          <w:szCs w:val="16"/>
          <w:lang w:bidi="en-US"/>
        </w:rPr>
        <w:t>Позже он согласился с идеей, что авиацию можно разделить на две отдельные ветви. В этом случае он будет разделен на береговую и корабельную части. Затем первый будет подчиняться Службе связи / связи, а последний - под контролем флагманского летчика данного флота (23525).</w:t>
      </w:r>
    </w:p>
    <w:p w14:paraId="7B436917" w14:textId="77777777" w:rsidR="00C929CB" w:rsidRPr="00DE096C" w:rsidRDefault="00C929CB" w:rsidP="00D45A46">
      <w:pPr>
        <w:pStyle w:val="af7"/>
        <w:spacing w:line="240" w:lineRule="auto"/>
        <w:jc w:val="both"/>
        <w:rPr>
          <w:rFonts w:ascii="Times New Roman" w:hAnsi="Times New Roman" w:cs="Times New Roman"/>
          <w:bCs/>
          <w:color w:val="002060"/>
          <w:sz w:val="16"/>
          <w:szCs w:val="16"/>
        </w:rPr>
      </w:pPr>
    </w:p>
    <w:p w14:paraId="6423905D" w14:textId="77777777" w:rsidR="00C929CB" w:rsidRPr="00DE096C" w:rsidRDefault="00C929CB" w:rsidP="00D45A46">
      <w:pPr>
        <w:jc w:val="both"/>
        <w:rPr>
          <w:bCs/>
          <w:color w:val="002060"/>
          <w:sz w:val="16"/>
          <w:szCs w:val="16"/>
          <w:lang w:bidi="en-US"/>
        </w:rPr>
      </w:pPr>
      <w:r w:rsidRPr="00DE096C">
        <w:rPr>
          <w:bCs/>
          <w:color w:val="002060"/>
          <w:sz w:val="16"/>
          <w:szCs w:val="16"/>
          <w:lang w:bidi="en-US"/>
        </w:rPr>
        <w:t>В октябре 1914 г. в штабе фронта в Минске на Северо-Западном фронте был создан мобильный авиаремонтный поезд . К 1917 году на разных фронтах действовало одиннадцать таких поездов (23525).</w:t>
      </w:r>
    </w:p>
    <w:p w14:paraId="4366271D" w14:textId="77777777" w:rsidR="00C929CB" w:rsidRPr="00DE096C" w:rsidRDefault="00C929CB" w:rsidP="00D45A46">
      <w:pPr>
        <w:jc w:val="both"/>
        <w:rPr>
          <w:bCs/>
          <w:color w:val="002060"/>
          <w:sz w:val="16"/>
          <w:szCs w:val="16"/>
        </w:rPr>
      </w:pPr>
    </w:p>
    <w:p w14:paraId="40F74985" w14:textId="77777777" w:rsidR="00C929CB" w:rsidRPr="00DE096C" w:rsidRDefault="00C929CB" w:rsidP="00D45A46">
      <w:pPr>
        <w:jc w:val="both"/>
        <w:rPr>
          <w:bCs/>
          <w:color w:val="002060"/>
          <w:sz w:val="16"/>
          <w:szCs w:val="16"/>
        </w:rPr>
      </w:pPr>
      <w:r w:rsidRPr="00DE096C">
        <w:rPr>
          <w:bCs/>
          <w:color w:val="002060"/>
          <w:sz w:val="16"/>
          <w:szCs w:val="16"/>
          <w:lang w:bidi="en-US"/>
        </w:rPr>
        <w:t>В октябре 1914 г. Игорь И. Сикорский начал работу над своим С-16, истребителем, призванным заменить устаревшие С-10 и С-11. В декабре началось строительство трех прототипов С-16. Не хватало гномов мощностью 100 л.с., поэтому он был разработан для размещения 80-сильного гнома (23525).</w:t>
      </w:r>
    </w:p>
    <w:p w14:paraId="69CC3FD1" w14:textId="77777777" w:rsidR="00C929CB" w:rsidRPr="00DE096C" w:rsidRDefault="00C929CB" w:rsidP="00D45A46">
      <w:pPr>
        <w:jc w:val="both"/>
        <w:rPr>
          <w:bCs/>
          <w:color w:val="002060"/>
          <w:sz w:val="16"/>
          <w:szCs w:val="16"/>
          <w:lang w:bidi="en-US"/>
        </w:rPr>
      </w:pPr>
    </w:p>
    <w:p w14:paraId="5BB92039" w14:textId="77777777" w:rsidR="00C929CB" w:rsidRPr="00DE096C" w:rsidRDefault="00C929CB" w:rsidP="00D45A46">
      <w:pPr>
        <w:jc w:val="both"/>
        <w:rPr>
          <w:bCs/>
          <w:color w:val="002060"/>
          <w:sz w:val="16"/>
          <w:szCs w:val="16"/>
        </w:rPr>
      </w:pPr>
      <w:r w:rsidRPr="00DE096C">
        <w:rPr>
          <w:bCs/>
          <w:color w:val="002060"/>
          <w:sz w:val="16"/>
          <w:szCs w:val="16"/>
        </w:rPr>
        <w:t>В октябре 1914 было завершено проектирование С-16, уже в ходе войны, когда нехватка и учебных аэропланов, и ближних разведчиков проявилась самым жестким образом.</w:t>
      </w:r>
    </w:p>
    <w:p w14:paraId="681608BD" w14:textId="77777777" w:rsidR="00C929CB" w:rsidRPr="00DE096C" w:rsidRDefault="00C929CB" w:rsidP="00D45A46">
      <w:pPr>
        <w:jc w:val="both"/>
        <w:rPr>
          <w:bCs/>
          <w:color w:val="002060"/>
          <w:sz w:val="16"/>
          <w:szCs w:val="16"/>
        </w:rPr>
      </w:pPr>
      <w:r w:rsidRPr="00DE096C">
        <w:rPr>
          <w:bCs/>
          <w:color w:val="002060"/>
          <w:sz w:val="16"/>
          <w:szCs w:val="16"/>
        </w:rPr>
        <w:t>В основном проект опирался на хорошо отработанную конструкцию самолета Сикорский С-10, от которого отличался в основном уменьшенной размерностью, в меньшей степени – на предыдущие С-5 и С-8 (от них были взяты некоторые детали и узлы, т.к. они имели меньшую массу).</w:t>
      </w:r>
    </w:p>
    <w:p w14:paraId="305A394A" w14:textId="77777777" w:rsidR="00C929CB" w:rsidRPr="00DE096C" w:rsidRDefault="00C929CB" w:rsidP="00D45A46">
      <w:pPr>
        <w:jc w:val="both"/>
        <w:rPr>
          <w:bCs/>
          <w:color w:val="002060"/>
          <w:sz w:val="16"/>
          <w:szCs w:val="16"/>
        </w:rPr>
      </w:pPr>
      <w:r w:rsidRPr="00DE096C">
        <w:rPr>
          <w:bCs/>
          <w:color w:val="002060"/>
          <w:sz w:val="16"/>
          <w:szCs w:val="16"/>
        </w:rPr>
        <w:t>Также уже в ходе проектирования самолета С-16 в связи с началом мировой войны было изменено, а вернее дополнено его назначение: теперь он рассматривался также как «кавалерийский самолет» – двухместный разведчик (но вооружение на этом этапе пока не предусматривалось).</w:t>
      </w:r>
    </w:p>
    <w:p w14:paraId="1054A4AD" w14:textId="77777777" w:rsidR="00C929CB" w:rsidRPr="00DE096C" w:rsidRDefault="00C929CB" w:rsidP="00D45A46">
      <w:pPr>
        <w:jc w:val="both"/>
        <w:rPr>
          <w:bCs/>
          <w:color w:val="002060"/>
          <w:sz w:val="16"/>
          <w:szCs w:val="16"/>
        </w:rPr>
      </w:pPr>
      <w:r w:rsidRPr="00DE096C">
        <w:rPr>
          <w:bCs/>
          <w:color w:val="002060"/>
          <w:sz w:val="16"/>
          <w:szCs w:val="16"/>
        </w:rPr>
        <w:t>Общие особенности конструкции и технологии производства самолета, применяемые материалы:</w:t>
      </w:r>
    </w:p>
    <w:p w14:paraId="1A3E3DB1" w14:textId="77777777" w:rsidR="00C929CB" w:rsidRPr="00DE096C" w:rsidRDefault="00C929CB" w:rsidP="00D45A46">
      <w:pPr>
        <w:jc w:val="both"/>
        <w:rPr>
          <w:bCs/>
          <w:color w:val="002060"/>
          <w:sz w:val="16"/>
          <w:szCs w:val="16"/>
        </w:rPr>
      </w:pPr>
      <w:r w:rsidRPr="00DE096C">
        <w:rPr>
          <w:bCs/>
          <w:color w:val="002060"/>
          <w:sz w:val="16"/>
          <w:szCs w:val="16"/>
        </w:rPr>
        <w:t>- самолет представлял собой правильный биплан классической аэродинамической схемы;</w:t>
      </w:r>
    </w:p>
    <w:p w14:paraId="60D175A8" w14:textId="77777777" w:rsidR="00C929CB" w:rsidRPr="00DE096C" w:rsidRDefault="00C929CB" w:rsidP="00D45A46">
      <w:pPr>
        <w:jc w:val="both"/>
        <w:rPr>
          <w:bCs/>
          <w:color w:val="002060"/>
          <w:sz w:val="16"/>
          <w:szCs w:val="16"/>
        </w:rPr>
      </w:pPr>
      <w:r w:rsidRPr="00DE096C">
        <w:rPr>
          <w:bCs/>
          <w:color w:val="002060"/>
          <w:sz w:val="16"/>
          <w:szCs w:val="16"/>
        </w:rPr>
        <w:t>- планер спроектирован с минимальной размерностью;</w:t>
      </w:r>
    </w:p>
    <w:p w14:paraId="5E9B9D60" w14:textId="77777777" w:rsidR="00C929CB" w:rsidRPr="00DE096C" w:rsidRDefault="00C929CB" w:rsidP="00D45A46">
      <w:pPr>
        <w:jc w:val="both"/>
        <w:rPr>
          <w:bCs/>
          <w:color w:val="002060"/>
          <w:sz w:val="16"/>
          <w:szCs w:val="16"/>
        </w:rPr>
      </w:pPr>
      <w:r w:rsidRPr="00DE096C">
        <w:rPr>
          <w:bCs/>
          <w:color w:val="002060"/>
          <w:sz w:val="16"/>
          <w:szCs w:val="16"/>
        </w:rPr>
        <w:t>- каркас крыльев и фюзеляжа – деревянный;</w:t>
      </w:r>
    </w:p>
    <w:p w14:paraId="12F14292" w14:textId="77777777" w:rsidR="00C929CB" w:rsidRPr="00DE096C" w:rsidRDefault="00C929CB" w:rsidP="00D45A46">
      <w:pPr>
        <w:jc w:val="both"/>
        <w:rPr>
          <w:bCs/>
          <w:color w:val="002060"/>
          <w:sz w:val="16"/>
          <w:szCs w:val="16"/>
        </w:rPr>
      </w:pPr>
      <w:r w:rsidRPr="00DE096C">
        <w:rPr>
          <w:bCs/>
          <w:color w:val="002060"/>
          <w:sz w:val="16"/>
          <w:szCs w:val="16"/>
        </w:rPr>
        <w:t>- основные и наиболее нагруженные силовые элементы крыльев и фюзеляжа сделаны из орегонской (ее еще называли желтой или тяжелой) сосны, которая доставлялась из США морем (что оказалось не вполне оправдано с точки зрения удельной прочности и упругости, не говоря уж о стоимости и неудобстве этого) и из ясеня – также импортного, но рассматривался и отечественный;</w:t>
      </w:r>
    </w:p>
    <w:p w14:paraId="4C939495" w14:textId="77777777" w:rsidR="00C929CB" w:rsidRPr="00DE096C" w:rsidRDefault="00C929CB" w:rsidP="00D45A46">
      <w:pPr>
        <w:jc w:val="both"/>
        <w:rPr>
          <w:bCs/>
          <w:color w:val="002060"/>
          <w:sz w:val="16"/>
          <w:szCs w:val="16"/>
        </w:rPr>
      </w:pPr>
      <w:r w:rsidRPr="00DE096C">
        <w:rPr>
          <w:bCs/>
          <w:color w:val="002060"/>
          <w:sz w:val="16"/>
          <w:szCs w:val="16"/>
        </w:rPr>
        <w:t>- нагруженные средними по величине и малыми усилиями деревянные элементы каркаса изготавливались из ели отечественного произрастания и производства;</w:t>
      </w:r>
    </w:p>
    <w:p w14:paraId="54B80526" w14:textId="77777777" w:rsidR="00C929CB" w:rsidRPr="00DE096C" w:rsidRDefault="00C929CB" w:rsidP="00D45A46">
      <w:pPr>
        <w:jc w:val="both"/>
        <w:rPr>
          <w:bCs/>
          <w:color w:val="002060"/>
          <w:sz w:val="16"/>
          <w:szCs w:val="16"/>
        </w:rPr>
      </w:pPr>
      <w:r w:rsidRPr="00DE096C">
        <w:rPr>
          <w:bCs/>
          <w:color w:val="002060"/>
          <w:sz w:val="16"/>
          <w:szCs w:val="16"/>
        </w:rPr>
        <w:t>- самые нагруженные стыковые узлы собирались на болтах с самоконтрящимися гайками с усилением этих мест на деревянных частях стальными пластинами;</w:t>
      </w:r>
    </w:p>
    <w:p w14:paraId="32AA67A9" w14:textId="77777777" w:rsidR="00C929CB" w:rsidRPr="00DE096C" w:rsidRDefault="00C929CB" w:rsidP="00D45A46">
      <w:pPr>
        <w:jc w:val="both"/>
        <w:rPr>
          <w:bCs/>
          <w:color w:val="002060"/>
          <w:sz w:val="16"/>
          <w:szCs w:val="16"/>
        </w:rPr>
      </w:pPr>
      <w:r w:rsidRPr="00DE096C">
        <w:rPr>
          <w:bCs/>
          <w:color w:val="002060"/>
          <w:sz w:val="16"/>
          <w:szCs w:val="16"/>
        </w:rPr>
        <w:t>- каркас оперения и кромки элеронов, подкосы стабилизатора – тонкостенные стальные трубы круглого сечения;</w:t>
      </w:r>
    </w:p>
    <w:p w14:paraId="4E57849A" w14:textId="77777777" w:rsidR="00C929CB" w:rsidRPr="00DE096C" w:rsidRDefault="00C929CB" w:rsidP="00D45A46">
      <w:pPr>
        <w:jc w:val="both"/>
        <w:rPr>
          <w:bCs/>
          <w:color w:val="002060"/>
          <w:sz w:val="16"/>
          <w:szCs w:val="16"/>
        </w:rPr>
      </w:pPr>
      <w:r w:rsidRPr="00DE096C">
        <w:rPr>
          <w:bCs/>
          <w:color w:val="002060"/>
          <w:sz w:val="16"/>
          <w:szCs w:val="16"/>
        </w:rPr>
        <w:t>- сборка агрегатов планера – в простейших стапелях с фиксацией базовых силовых элементов, остальные крепились к ним с подгонкой по месту;</w:t>
      </w:r>
    </w:p>
    <w:p w14:paraId="0E86E95B" w14:textId="77777777" w:rsidR="00C929CB" w:rsidRPr="00DE096C" w:rsidRDefault="00C929CB" w:rsidP="00D45A46">
      <w:pPr>
        <w:jc w:val="both"/>
        <w:rPr>
          <w:bCs/>
          <w:color w:val="002060"/>
          <w:sz w:val="16"/>
          <w:szCs w:val="16"/>
        </w:rPr>
      </w:pPr>
      <w:r w:rsidRPr="00DE096C">
        <w:rPr>
          <w:bCs/>
          <w:color w:val="002060"/>
          <w:sz w:val="16"/>
          <w:szCs w:val="16"/>
        </w:rPr>
        <w:t>- обшивка за исключением указанных ниже участков – льняное полотно на нитроцеллюлозном лаке эмалит французского производства, по наиболее правдоподобным данным, подтверждающимся фото, она приклеивалась к деревянному силовому набору и пришивалась суровой ниткой (по др. данным – прибивалась обойными (медными с широкой шляпкой) гвоздями), а к металлическому – только пришивалась;</w:t>
      </w:r>
    </w:p>
    <w:p w14:paraId="68B300A1" w14:textId="77777777" w:rsidR="00C929CB" w:rsidRPr="00DE096C" w:rsidRDefault="00C929CB" w:rsidP="00D45A46">
      <w:pPr>
        <w:jc w:val="both"/>
        <w:rPr>
          <w:bCs/>
          <w:color w:val="002060"/>
          <w:sz w:val="16"/>
          <w:szCs w:val="16"/>
        </w:rPr>
      </w:pPr>
      <w:r w:rsidRPr="00DE096C">
        <w:rPr>
          <w:bCs/>
          <w:color w:val="002060"/>
          <w:sz w:val="16"/>
          <w:szCs w:val="16"/>
        </w:rPr>
        <w:lastRenderedPageBreak/>
        <w:t>- для покрытия обшивок эмалит брался разведенный до консистенции подсолнечного масла, а для проклейки деревянных частей – густой, как был в состоянии поставки, для склейки деревянных частей использовался также казеин;</w:t>
      </w:r>
    </w:p>
    <w:p w14:paraId="362BFFA6" w14:textId="77777777" w:rsidR="00C929CB" w:rsidRPr="00DE096C" w:rsidRDefault="00C929CB" w:rsidP="00D45A46">
      <w:pPr>
        <w:jc w:val="both"/>
        <w:rPr>
          <w:bCs/>
          <w:color w:val="002060"/>
          <w:sz w:val="16"/>
          <w:szCs w:val="16"/>
        </w:rPr>
      </w:pPr>
      <w:r w:rsidRPr="00DE096C">
        <w:rPr>
          <w:bCs/>
          <w:color w:val="002060"/>
          <w:sz w:val="16"/>
          <w:szCs w:val="16"/>
        </w:rPr>
        <w:t>- обшивка фюзеляжа с боков и снизу между 1-й и 2-й рамами его фермы – фанера на медных винтах или гвоздях;</w:t>
      </w:r>
    </w:p>
    <w:p w14:paraId="50FB5101" w14:textId="77777777" w:rsidR="00C929CB" w:rsidRPr="00DE096C" w:rsidRDefault="00C929CB" w:rsidP="00D45A46">
      <w:pPr>
        <w:jc w:val="both"/>
        <w:rPr>
          <w:bCs/>
          <w:color w:val="002060"/>
          <w:sz w:val="16"/>
          <w:szCs w:val="16"/>
        </w:rPr>
      </w:pPr>
      <w:r w:rsidRPr="00DE096C">
        <w:rPr>
          <w:bCs/>
          <w:color w:val="002060"/>
          <w:sz w:val="16"/>
          <w:szCs w:val="16"/>
        </w:rPr>
        <w:t>- капот, обшивка переднего гаргрота фюзеляжа и подножки кабины – листовой алюминий;</w:t>
      </w:r>
    </w:p>
    <w:p w14:paraId="545F7B10" w14:textId="77777777" w:rsidR="00C929CB" w:rsidRPr="00DE096C" w:rsidRDefault="00C929CB" w:rsidP="00D45A46">
      <w:pPr>
        <w:jc w:val="both"/>
        <w:rPr>
          <w:bCs/>
          <w:color w:val="002060"/>
          <w:sz w:val="16"/>
          <w:szCs w:val="16"/>
        </w:rPr>
      </w:pPr>
      <w:r w:rsidRPr="00DE096C">
        <w:rPr>
          <w:bCs/>
          <w:color w:val="002060"/>
          <w:sz w:val="16"/>
          <w:szCs w:val="16"/>
        </w:rPr>
        <w:t>- стыковые узлы изготавливались из стальных и латунных листов и труб (применение латуни оказалось неоправданно ни с точки зрения ее веса, ни с точки зрения монтажа, ни с точки зрения ее наличия для ритмичного производства самолетов, было также известно уже, что в полевой эксплуатации она образует коррозионную пару со сталью и требует дополнительной защиты);</w:t>
      </w:r>
    </w:p>
    <w:p w14:paraId="6E00FDA2" w14:textId="77777777" w:rsidR="00C929CB" w:rsidRPr="00DE096C" w:rsidRDefault="00C929CB" w:rsidP="00D45A46">
      <w:pPr>
        <w:jc w:val="both"/>
        <w:rPr>
          <w:bCs/>
          <w:color w:val="002060"/>
          <w:sz w:val="16"/>
          <w:szCs w:val="16"/>
        </w:rPr>
      </w:pPr>
      <w:r w:rsidRPr="00DE096C">
        <w:rPr>
          <w:bCs/>
          <w:color w:val="002060"/>
          <w:sz w:val="16"/>
          <w:szCs w:val="16"/>
        </w:rPr>
        <w:t>- кронштейны управления и растяжек изготавливались из листовой стали и латуни на сварке или пайке в зависимости от места;</w:t>
      </w:r>
    </w:p>
    <w:p w14:paraId="370F347A" w14:textId="77777777" w:rsidR="00C929CB" w:rsidRPr="00DE096C" w:rsidRDefault="00C929CB" w:rsidP="00D45A46">
      <w:pPr>
        <w:jc w:val="both"/>
        <w:rPr>
          <w:bCs/>
          <w:color w:val="002060"/>
          <w:sz w:val="16"/>
          <w:szCs w:val="16"/>
        </w:rPr>
      </w:pPr>
      <w:r w:rsidRPr="00DE096C">
        <w:rPr>
          <w:bCs/>
          <w:color w:val="002060"/>
          <w:sz w:val="16"/>
          <w:szCs w:val="16"/>
        </w:rPr>
        <w:t>- качалки всех кулевых поверхностей («кабанчики») – латунные литые с отверстиями облегчения, которые на некоторых серийных самолетах не делали для упрощения и ускорения работы, неоправданно увеличив вес этих деталей;</w:t>
      </w:r>
    </w:p>
    <w:p w14:paraId="5D5CF347" w14:textId="77777777" w:rsidR="00C929CB" w:rsidRPr="00DE096C" w:rsidRDefault="00C929CB" w:rsidP="00D45A46">
      <w:pPr>
        <w:jc w:val="both"/>
        <w:rPr>
          <w:bCs/>
          <w:color w:val="002060"/>
          <w:sz w:val="16"/>
          <w:szCs w:val="16"/>
        </w:rPr>
      </w:pPr>
      <w:r w:rsidRPr="00DE096C">
        <w:rPr>
          <w:bCs/>
          <w:color w:val="002060"/>
          <w:sz w:val="16"/>
          <w:szCs w:val="16"/>
        </w:rPr>
        <w:t>- узлы навески всех рулевых поверхностей – простейшие петли на их лонжеронах и лонжеронах крыла, киля и стабилизатора;</w:t>
      </w:r>
    </w:p>
    <w:p w14:paraId="51EDC528" w14:textId="77777777" w:rsidR="00C929CB" w:rsidRPr="00DE096C" w:rsidRDefault="00C929CB" w:rsidP="00D45A46">
      <w:pPr>
        <w:jc w:val="both"/>
        <w:rPr>
          <w:bCs/>
          <w:color w:val="002060"/>
          <w:sz w:val="16"/>
          <w:szCs w:val="16"/>
        </w:rPr>
      </w:pPr>
      <w:r w:rsidRPr="00DE096C">
        <w:rPr>
          <w:bCs/>
          <w:color w:val="002060"/>
          <w:sz w:val="16"/>
          <w:szCs w:val="16"/>
        </w:rPr>
        <w:t>- бензиновые и масляный баки паянные из листовой латуни толщиной 0,7 мм;</w:t>
      </w:r>
    </w:p>
    <w:p w14:paraId="29B16B9F" w14:textId="77777777" w:rsidR="00C929CB" w:rsidRPr="00DE096C" w:rsidRDefault="00C929CB" w:rsidP="00D45A46">
      <w:pPr>
        <w:jc w:val="both"/>
        <w:rPr>
          <w:bCs/>
          <w:color w:val="002060"/>
          <w:sz w:val="16"/>
          <w:szCs w:val="16"/>
        </w:rPr>
      </w:pPr>
      <w:r w:rsidRPr="00DE096C">
        <w:rPr>
          <w:bCs/>
          <w:color w:val="002060"/>
          <w:sz w:val="16"/>
          <w:szCs w:val="16"/>
        </w:rPr>
        <w:t>- трубопроводы топливной и масляной систем – медные трубы на пайке;</w:t>
      </w:r>
    </w:p>
    <w:p w14:paraId="167A6F4F" w14:textId="77777777" w:rsidR="00C929CB" w:rsidRPr="00DE096C" w:rsidRDefault="00C929CB" w:rsidP="00D45A46">
      <w:pPr>
        <w:jc w:val="both"/>
        <w:rPr>
          <w:bCs/>
          <w:color w:val="002060"/>
          <w:sz w:val="16"/>
          <w:szCs w:val="16"/>
        </w:rPr>
      </w:pPr>
      <w:r w:rsidRPr="00DE096C">
        <w:rPr>
          <w:bCs/>
          <w:color w:val="002060"/>
          <w:sz w:val="16"/>
          <w:szCs w:val="16"/>
        </w:rPr>
        <w:t>- окончательная сборка – внестапельная и допускалась вообще в полевых условиях «на весу», при этом не было выставлено особых требований к нивелировке планера и регулировке систем, что делалось «по общим понятиям», добиваясь устойчивой работы мотора, «ровности» агрегатов, для которых не были введены реперные базы, и свободного хода рычагов управления и рулевых поверхностей, а также легкого вращения колес;</w:t>
      </w:r>
    </w:p>
    <w:p w14:paraId="720CD42E" w14:textId="77777777" w:rsidR="00C929CB" w:rsidRPr="00DE096C" w:rsidRDefault="00C929CB" w:rsidP="00D45A46">
      <w:pPr>
        <w:jc w:val="both"/>
        <w:rPr>
          <w:bCs/>
          <w:color w:val="002060"/>
          <w:sz w:val="16"/>
          <w:szCs w:val="16"/>
        </w:rPr>
      </w:pPr>
      <w:r w:rsidRPr="00DE096C">
        <w:rPr>
          <w:bCs/>
          <w:color w:val="002060"/>
          <w:sz w:val="16"/>
          <w:szCs w:val="16"/>
        </w:rPr>
        <w:t>- натяжение растяжек бипланной коробки крыльев и основных опор шасси делалось «на звук» (при их оттягивании пальцем и отпускании они должны были давать звук высокого тона – как струна, что удавалось без излишней деформации соединяемых агрегатов далеко не всегда), тросы натягивались до отсутствия провисания.</w:t>
      </w:r>
    </w:p>
    <w:p w14:paraId="7134E889" w14:textId="77777777" w:rsidR="00C929CB" w:rsidRPr="00DE096C" w:rsidRDefault="00C929CB" w:rsidP="00D45A46">
      <w:pPr>
        <w:jc w:val="both"/>
        <w:rPr>
          <w:bCs/>
          <w:color w:val="002060"/>
          <w:sz w:val="16"/>
          <w:szCs w:val="16"/>
        </w:rPr>
      </w:pPr>
      <w:r w:rsidRPr="00DE096C">
        <w:rPr>
          <w:bCs/>
          <w:color w:val="002060"/>
          <w:sz w:val="16"/>
          <w:szCs w:val="16"/>
        </w:rPr>
        <w:t>Силовая установка:</w:t>
      </w:r>
    </w:p>
    <w:p w14:paraId="15C9CB7B" w14:textId="77777777" w:rsidR="00C929CB" w:rsidRPr="00DE096C" w:rsidRDefault="00C929CB" w:rsidP="00D45A46">
      <w:pPr>
        <w:jc w:val="both"/>
        <w:rPr>
          <w:bCs/>
          <w:color w:val="002060"/>
          <w:sz w:val="16"/>
          <w:szCs w:val="16"/>
        </w:rPr>
      </w:pPr>
      <w:r w:rsidRPr="00DE096C">
        <w:rPr>
          <w:bCs/>
          <w:color w:val="002060"/>
          <w:sz w:val="16"/>
          <w:szCs w:val="16"/>
        </w:rPr>
        <w:t>- на передней раме фюзеляжа установлен один 9-цилиндровый ротативный мотор Рон 9С мощностью 80 л.с. с двухлопастным тянущим воздушным винтом;</w:t>
      </w:r>
    </w:p>
    <w:p w14:paraId="798FDCF6" w14:textId="77777777" w:rsidR="00C929CB" w:rsidRPr="00DE096C" w:rsidRDefault="00C929CB" w:rsidP="00D45A46">
      <w:pPr>
        <w:jc w:val="both"/>
        <w:rPr>
          <w:bCs/>
          <w:color w:val="002060"/>
          <w:sz w:val="16"/>
          <w:szCs w:val="16"/>
        </w:rPr>
      </w:pPr>
      <w:r w:rsidRPr="00DE096C">
        <w:rPr>
          <w:bCs/>
          <w:color w:val="002060"/>
          <w:sz w:val="16"/>
          <w:szCs w:val="16"/>
        </w:rPr>
        <w:t>- уже при проектировании самолета была предусмотрена возможность применения других типов двигателей по их наличию на момент производства, но все они должны были быть ротативными с числом цилиндров 7 или 9;</w:t>
      </w:r>
    </w:p>
    <w:p w14:paraId="1F1CBAD0" w14:textId="77777777" w:rsidR="00C929CB" w:rsidRPr="00DE096C" w:rsidRDefault="00C929CB" w:rsidP="00D45A46">
      <w:pPr>
        <w:jc w:val="both"/>
        <w:rPr>
          <w:bCs/>
          <w:color w:val="002060"/>
          <w:sz w:val="16"/>
          <w:szCs w:val="16"/>
        </w:rPr>
      </w:pPr>
      <w:r w:rsidRPr="00DE096C">
        <w:rPr>
          <w:bCs/>
          <w:color w:val="002060"/>
          <w:sz w:val="16"/>
          <w:szCs w:val="16"/>
        </w:rPr>
        <w:t>- воздушный винт тянущий двухлопастный типа НЕЖ разработки профессора Н.Е. Жуковского и выпуска Московского аэротехнического завода, цельнодеревянный клееный из пластин;</w:t>
      </w:r>
    </w:p>
    <w:p w14:paraId="2C377157" w14:textId="77777777" w:rsidR="00C929CB" w:rsidRPr="00DE096C" w:rsidRDefault="00C929CB" w:rsidP="00D45A46">
      <w:pPr>
        <w:jc w:val="both"/>
        <w:rPr>
          <w:bCs/>
          <w:color w:val="002060"/>
          <w:sz w:val="16"/>
          <w:szCs w:val="16"/>
        </w:rPr>
      </w:pPr>
      <w:r w:rsidRPr="00DE096C">
        <w:rPr>
          <w:bCs/>
          <w:color w:val="002060"/>
          <w:sz w:val="16"/>
          <w:szCs w:val="16"/>
        </w:rPr>
        <w:t>- моторама представляла собой гнутую из стального листа пластину с П-образным на виде в плане сечением, в которой сделаны большие отверстия облегчения, она крепилась на 1-ю раму фермы фюзеляжа, а к ее нижней части крепились передние стойки ООШ;</w:t>
      </w:r>
    </w:p>
    <w:p w14:paraId="6603DDC9" w14:textId="77777777" w:rsidR="00C929CB" w:rsidRPr="00DE096C" w:rsidRDefault="00C929CB" w:rsidP="00D45A46">
      <w:pPr>
        <w:jc w:val="both"/>
        <w:rPr>
          <w:bCs/>
          <w:color w:val="002060"/>
          <w:sz w:val="16"/>
          <w:szCs w:val="16"/>
        </w:rPr>
      </w:pPr>
      <w:r w:rsidRPr="00DE096C">
        <w:rPr>
          <w:bCs/>
          <w:color w:val="002060"/>
          <w:sz w:val="16"/>
          <w:szCs w:val="16"/>
        </w:rPr>
        <w:t>- на самолете установлен капот типа «подкова» как на других самолетах Сикорского с ротативными моторами, состоящий из сделанной ручной выколоткой на болване с обрезкой контура по тому же болвану алюминиевой обшивки в виде части тора в передней части и цилиндра за ней, окантованной по контуру алюминиевыми же профилями и крепящийся к 1-й раме фюзеляжа на болтах во втулки с самоконтрящеся резьбой;</w:t>
      </w:r>
    </w:p>
    <w:p w14:paraId="3D60574A" w14:textId="77777777" w:rsidR="00C929CB" w:rsidRPr="00DE096C" w:rsidRDefault="00C929CB" w:rsidP="00D45A46">
      <w:pPr>
        <w:jc w:val="both"/>
        <w:rPr>
          <w:bCs/>
          <w:color w:val="002060"/>
          <w:sz w:val="16"/>
          <w:szCs w:val="16"/>
        </w:rPr>
      </w:pPr>
      <w:r w:rsidRPr="00DE096C">
        <w:rPr>
          <w:bCs/>
          <w:color w:val="002060"/>
          <w:sz w:val="16"/>
          <w:szCs w:val="16"/>
        </w:rPr>
        <w:t>- топливная система состоит из двух баков – основного № 1 и «запасного» № 2, который используется для полетов на большую дальность;</w:t>
      </w:r>
    </w:p>
    <w:p w14:paraId="3401819C" w14:textId="77777777" w:rsidR="00C929CB" w:rsidRPr="00DE096C" w:rsidRDefault="00C929CB" w:rsidP="00D45A46">
      <w:pPr>
        <w:jc w:val="both"/>
        <w:rPr>
          <w:bCs/>
          <w:color w:val="002060"/>
          <w:sz w:val="16"/>
          <w:szCs w:val="16"/>
        </w:rPr>
      </w:pPr>
      <w:r w:rsidRPr="00DE096C">
        <w:rPr>
          <w:bCs/>
          <w:color w:val="002060"/>
          <w:sz w:val="16"/>
          <w:szCs w:val="16"/>
        </w:rPr>
        <w:t>- бак № 1 установлен на верхних бимсах передней части фермы фюзеляжа между рам №№ 1 и 3, прикрыт сверху кожаным чехлом и притянут к бимсам ремнями на пряжках, пришитыми к этому чехлу;</w:t>
      </w:r>
    </w:p>
    <w:p w14:paraId="38D5FB57" w14:textId="77777777" w:rsidR="00C929CB" w:rsidRPr="00DE096C" w:rsidRDefault="00C929CB" w:rsidP="00D45A46">
      <w:pPr>
        <w:jc w:val="both"/>
        <w:rPr>
          <w:bCs/>
          <w:color w:val="002060"/>
          <w:sz w:val="16"/>
          <w:szCs w:val="16"/>
        </w:rPr>
      </w:pPr>
      <w:r w:rsidRPr="00DE096C">
        <w:rPr>
          <w:bCs/>
          <w:color w:val="002060"/>
          <w:sz w:val="16"/>
          <w:szCs w:val="16"/>
        </w:rPr>
        <w:t>- бак № 2 крепится полу кабины и под сиденьем летчика;</w:t>
      </w:r>
    </w:p>
    <w:p w14:paraId="0417FEE4" w14:textId="77777777" w:rsidR="00C929CB" w:rsidRPr="00DE096C" w:rsidRDefault="00C929CB" w:rsidP="00D45A46">
      <w:pPr>
        <w:jc w:val="both"/>
        <w:rPr>
          <w:bCs/>
          <w:color w:val="002060"/>
          <w:sz w:val="16"/>
          <w:szCs w:val="16"/>
        </w:rPr>
      </w:pPr>
      <w:r w:rsidRPr="00DE096C">
        <w:rPr>
          <w:bCs/>
          <w:color w:val="002060"/>
          <w:sz w:val="16"/>
          <w:szCs w:val="16"/>
        </w:rPr>
        <w:t>- на видимой летчиком тыльной стенке 1-го бака установлено мерное стекло для контроля уровня топлива в нем;</w:t>
      </w:r>
    </w:p>
    <w:p w14:paraId="279A32D7" w14:textId="77777777" w:rsidR="00C929CB" w:rsidRPr="00DE096C" w:rsidRDefault="00C929CB" w:rsidP="00D45A46">
      <w:pPr>
        <w:jc w:val="both"/>
        <w:rPr>
          <w:bCs/>
          <w:color w:val="002060"/>
          <w:sz w:val="16"/>
          <w:szCs w:val="16"/>
        </w:rPr>
      </w:pPr>
      <w:r w:rsidRPr="00DE096C">
        <w:rPr>
          <w:bCs/>
          <w:color w:val="002060"/>
          <w:sz w:val="16"/>
          <w:szCs w:val="16"/>
        </w:rPr>
        <w:t>- для подключения 2-го бака требуется вручную перекачивать бензин из него в 1-й бак насосом, который крепился к левой ножке кресла летчика;</w:t>
      </w:r>
    </w:p>
    <w:p w14:paraId="619D3CEB" w14:textId="77777777" w:rsidR="00C929CB" w:rsidRPr="00DE096C" w:rsidRDefault="00C929CB" w:rsidP="00D45A46">
      <w:pPr>
        <w:jc w:val="both"/>
        <w:rPr>
          <w:bCs/>
          <w:color w:val="002060"/>
          <w:sz w:val="16"/>
          <w:szCs w:val="16"/>
        </w:rPr>
      </w:pPr>
      <w:r w:rsidRPr="00DE096C">
        <w:rPr>
          <w:bCs/>
          <w:color w:val="002060"/>
          <w:sz w:val="16"/>
          <w:szCs w:val="16"/>
        </w:rPr>
        <w:t>- маслобак установлен на бимсах передней части фермы фюзеляжа между рамой №1 и топливным баком №1;</w:t>
      </w:r>
    </w:p>
    <w:p w14:paraId="6836E2E7" w14:textId="77777777" w:rsidR="00C929CB" w:rsidRPr="00DE096C" w:rsidRDefault="00C929CB" w:rsidP="00D45A46">
      <w:pPr>
        <w:jc w:val="both"/>
        <w:rPr>
          <w:bCs/>
          <w:color w:val="002060"/>
          <w:sz w:val="16"/>
          <w:szCs w:val="16"/>
        </w:rPr>
      </w:pPr>
      <w:r w:rsidRPr="00DE096C">
        <w:rPr>
          <w:bCs/>
          <w:color w:val="002060"/>
          <w:sz w:val="16"/>
          <w:szCs w:val="16"/>
        </w:rPr>
        <w:t>- управление мотором установлено по левому борту кабины и состоит из переключателя зажигания, крана подачи бензина, сектора газа и крана для перевода питания мотора на «зимний» жиклер, механическая проводка его тросовая, провода зажигания медные.</w:t>
      </w:r>
    </w:p>
    <w:p w14:paraId="1CABA876" w14:textId="77777777" w:rsidR="00C929CB" w:rsidRPr="00DE096C" w:rsidRDefault="00C929CB" w:rsidP="00D45A46">
      <w:pPr>
        <w:jc w:val="both"/>
        <w:rPr>
          <w:bCs/>
          <w:color w:val="002060"/>
          <w:sz w:val="16"/>
          <w:szCs w:val="16"/>
        </w:rPr>
      </w:pPr>
      <w:r w:rsidRPr="00DE096C">
        <w:rPr>
          <w:bCs/>
          <w:color w:val="002060"/>
          <w:sz w:val="16"/>
          <w:szCs w:val="16"/>
        </w:rPr>
        <w:t>Бипланная коробка крыльев:</w:t>
      </w:r>
    </w:p>
    <w:p w14:paraId="006A89F8" w14:textId="77777777" w:rsidR="00C929CB" w:rsidRPr="00DE096C" w:rsidRDefault="00C929CB" w:rsidP="00D45A46">
      <w:pPr>
        <w:jc w:val="both"/>
        <w:rPr>
          <w:bCs/>
          <w:color w:val="002060"/>
          <w:sz w:val="16"/>
          <w:szCs w:val="16"/>
        </w:rPr>
      </w:pPr>
      <w:r w:rsidRPr="00DE096C">
        <w:rPr>
          <w:bCs/>
          <w:color w:val="002060"/>
          <w:sz w:val="16"/>
          <w:szCs w:val="16"/>
        </w:rPr>
        <w:t>- консоли крыльев, за исключением зоны элеронов, см. ниже, имеют на виде в плане трапециевидную форму, при этом передние и задние их кромки параллельны, установлены с небольшой положительной стреловидностью, а законцовки скошенные;</w:t>
      </w:r>
    </w:p>
    <w:p w14:paraId="123B8D11" w14:textId="77777777" w:rsidR="00C929CB" w:rsidRPr="00DE096C" w:rsidRDefault="00C929CB" w:rsidP="00D45A46">
      <w:pPr>
        <w:jc w:val="both"/>
        <w:rPr>
          <w:bCs/>
          <w:color w:val="002060"/>
          <w:sz w:val="16"/>
          <w:szCs w:val="16"/>
        </w:rPr>
      </w:pPr>
      <w:r w:rsidRPr="00DE096C">
        <w:rPr>
          <w:bCs/>
          <w:color w:val="002060"/>
          <w:sz w:val="16"/>
          <w:szCs w:val="16"/>
        </w:rPr>
        <w:t>- средней части верхнего крыла по задней кромке сделан трапециевидный вырез для улучшения обзора вперед и вверх;</w:t>
      </w:r>
    </w:p>
    <w:p w14:paraId="119F91D5" w14:textId="77777777" w:rsidR="00C929CB" w:rsidRPr="00DE096C" w:rsidRDefault="00C929CB" w:rsidP="00D45A46">
      <w:pPr>
        <w:jc w:val="both"/>
        <w:rPr>
          <w:bCs/>
          <w:color w:val="002060"/>
          <w:sz w:val="16"/>
          <w:szCs w:val="16"/>
        </w:rPr>
      </w:pPr>
      <w:r w:rsidRPr="00DE096C">
        <w:rPr>
          <w:bCs/>
          <w:color w:val="002060"/>
          <w:sz w:val="16"/>
          <w:szCs w:val="16"/>
        </w:rPr>
        <w:t>- профиль крыльев тонкий выпукло-вогнутый разработки И. Сикорского, угол установки относительно совпадающей с верхним обрезом фюзеляжа его строительной горизонталью (СГФ) и лежащей на ней плоскостью стабилизатора положительный одинаковый для верхнего и нижнего плана (в то время за рубежом уже повсеместно делали установочный угол верхнего крыла несколько больше, чем нижнего);</w:t>
      </w:r>
    </w:p>
    <w:p w14:paraId="31AA5064" w14:textId="77777777" w:rsidR="00C929CB" w:rsidRPr="00DE096C" w:rsidRDefault="00C929CB" w:rsidP="00D45A46">
      <w:pPr>
        <w:jc w:val="both"/>
        <w:rPr>
          <w:bCs/>
          <w:color w:val="002060"/>
          <w:sz w:val="16"/>
          <w:szCs w:val="16"/>
        </w:rPr>
      </w:pPr>
      <w:r w:rsidRPr="00DE096C">
        <w:rPr>
          <w:bCs/>
          <w:color w:val="002060"/>
          <w:sz w:val="16"/>
          <w:szCs w:val="16"/>
        </w:rPr>
        <w:t>- крылья установлены без поперечного V, значение которого Сикорский в то время не понимал;</w:t>
      </w:r>
    </w:p>
    <w:p w14:paraId="6DDACA67" w14:textId="77777777" w:rsidR="00C929CB" w:rsidRPr="00DE096C" w:rsidRDefault="00C929CB" w:rsidP="00D45A46">
      <w:pPr>
        <w:jc w:val="both"/>
        <w:rPr>
          <w:bCs/>
          <w:color w:val="002060"/>
          <w:sz w:val="16"/>
          <w:szCs w:val="16"/>
        </w:rPr>
      </w:pPr>
      <w:r w:rsidRPr="00DE096C">
        <w:rPr>
          <w:bCs/>
          <w:color w:val="002060"/>
          <w:sz w:val="16"/>
          <w:szCs w:val="16"/>
        </w:rPr>
        <w:t>- верхнее крыло состоит из правой и левой консолей, соединенных по корневым нервюрам;</w:t>
      </w:r>
    </w:p>
    <w:p w14:paraId="7D93D134" w14:textId="77777777" w:rsidR="00C929CB" w:rsidRPr="00DE096C" w:rsidRDefault="00C929CB" w:rsidP="00D45A46">
      <w:pPr>
        <w:jc w:val="both"/>
        <w:rPr>
          <w:bCs/>
          <w:color w:val="002060"/>
          <w:sz w:val="16"/>
          <w:szCs w:val="16"/>
        </w:rPr>
      </w:pPr>
      <w:r w:rsidRPr="00DE096C">
        <w:rPr>
          <w:bCs/>
          <w:color w:val="002060"/>
          <w:sz w:val="16"/>
          <w:szCs w:val="16"/>
        </w:rPr>
        <w:t>- нижнее крыло состоит из правой и левой консолей, крепящихся к фюзеляжу, стыки закрываются латунными пластинами;</w:t>
      </w:r>
    </w:p>
    <w:p w14:paraId="2ACDC32F" w14:textId="77777777" w:rsidR="00C929CB" w:rsidRPr="00DE096C" w:rsidRDefault="00C929CB" w:rsidP="00D45A46">
      <w:pPr>
        <w:jc w:val="both"/>
        <w:rPr>
          <w:bCs/>
          <w:color w:val="002060"/>
          <w:sz w:val="16"/>
          <w:szCs w:val="16"/>
        </w:rPr>
      </w:pPr>
      <w:r w:rsidRPr="00DE096C">
        <w:rPr>
          <w:bCs/>
          <w:color w:val="002060"/>
          <w:sz w:val="16"/>
          <w:szCs w:val="16"/>
        </w:rPr>
        <w:t>- верхнее крыло в сборе крепится к фюзеляжу на «кабане» из четырех одинаковых вертикальных стоек, крепящихся к вертикальным стержням фермы фюзеляжа, доходя до ее нижних бимсов;</w:t>
      </w:r>
    </w:p>
    <w:p w14:paraId="32C5AF54" w14:textId="77777777" w:rsidR="00C929CB" w:rsidRPr="00DE096C" w:rsidRDefault="00C929CB" w:rsidP="00D45A46">
      <w:pPr>
        <w:jc w:val="both"/>
        <w:rPr>
          <w:bCs/>
          <w:color w:val="002060"/>
          <w:sz w:val="16"/>
          <w:szCs w:val="16"/>
        </w:rPr>
      </w:pPr>
      <w:r w:rsidRPr="00DE096C">
        <w:rPr>
          <w:bCs/>
          <w:color w:val="002060"/>
          <w:sz w:val="16"/>
          <w:szCs w:val="16"/>
        </w:rPr>
        <w:t>- верхние и нижние консоли связаны одной парной (II-образной) стойкой с каждой стороны от ПСС;</w:t>
      </w:r>
    </w:p>
    <w:p w14:paraId="64E3E768" w14:textId="77777777" w:rsidR="00C929CB" w:rsidRPr="00DE096C" w:rsidRDefault="00C929CB" w:rsidP="00D45A46">
      <w:pPr>
        <w:jc w:val="both"/>
        <w:rPr>
          <w:bCs/>
          <w:color w:val="002060"/>
          <w:sz w:val="16"/>
          <w:szCs w:val="16"/>
        </w:rPr>
      </w:pPr>
      <w:r w:rsidRPr="00DE096C">
        <w:rPr>
          <w:bCs/>
          <w:color w:val="002060"/>
          <w:sz w:val="16"/>
          <w:szCs w:val="16"/>
        </w:rPr>
        <w:t>- все стойки каплевидного сечения с продольной полостью, склеиваются из двух половин, материал – орегонская сосна, от растрескивания стянуты латунными лентами на пайке;</w:t>
      </w:r>
    </w:p>
    <w:p w14:paraId="16315BF9" w14:textId="77777777" w:rsidR="00C929CB" w:rsidRPr="00DE096C" w:rsidRDefault="00C929CB" w:rsidP="00D45A46">
      <w:pPr>
        <w:jc w:val="both"/>
        <w:rPr>
          <w:bCs/>
          <w:color w:val="002060"/>
          <w:sz w:val="16"/>
          <w:szCs w:val="16"/>
        </w:rPr>
      </w:pPr>
      <w:r w:rsidRPr="00DE096C">
        <w:rPr>
          <w:bCs/>
          <w:color w:val="002060"/>
          <w:sz w:val="16"/>
          <w:szCs w:val="16"/>
        </w:rPr>
        <w:t>- все стыковые узлы бипланной коробки крыльев – на муфтах для быстрой разборки и сборки самолета;</w:t>
      </w:r>
    </w:p>
    <w:p w14:paraId="7EA2151A" w14:textId="77777777" w:rsidR="00C929CB" w:rsidRPr="00DE096C" w:rsidRDefault="00C929CB" w:rsidP="00D45A46">
      <w:pPr>
        <w:jc w:val="both"/>
        <w:rPr>
          <w:bCs/>
          <w:color w:val="002060"/>
          <w:sz w:val="16"/>
          <w:szCs w:val="16"/>
        </w:rPr>
      </w:pPr>
      <w:r w:rsidRPr="00DE096C">
        <w:rPr>
          <w:bCs/>
          <w:color w:val="002060"/>
          <w:sz w:val="16"/>
          <w:szCs w:val="16"/>
        </w:rPr>
        <w:t>- конструкция консолей верхнего и нижнего крыльев одинакова за исключением размаха и числа нервюр, разница в размахе консолей – на ширину фюзеляжа, полный размах одинаков);</w:t>
      </w:r>
    </w:p>
    <w:p w14:paraId="2B1088BF" w14:textId="77777777" w:rsidR="00C929CB" w:rsidRPr="00DE096C" w:rsidRDefault="00C929CB" w:rsidP="00D45A46">
      <w:pPr>
        <w:jc w:val="both"/>
        <w:rPr>
          <w:bCs/>
          <w:color w:val="002060"/>
          <w:sz w:val="16"/>
          <w:szCs w:val="16"/>
        </w:rPr>
      </w:pPr>
      <w:r w:rsidRPr="00DE096C">
        <w:rPr>
          <w:bCs/>
          <w:color w:val="002060"/>
          <w:sz w:val="16"/>
          <w:szCs w:val="16"/>
        </w:rPr>
        <w:t>- продольный силовой набор консолей крыла состоит из трех коробчатых лонжеронов из орегонской сосны, пустоты в которых в местах установки стоек бипланной коробки были заполнены деревянными «сухарями», а также деревянных реек по всем кромкам консолей;</w:t>
      </w:r>
    </w:p>
    <w:p w14:paraId="345ADC6E" w14:textId="77777777" w:rsidR="00C929CB" w:rsidRPr="00DE096C" w:rsidRDefault="00C929CB" w:rsidP="00D45A46">
      <w:pPr>
        <w:jc w:val="both"/>
        <w:rPr>
          <w:bCs/>
          <w:color w:val="002060"/>
          <w:sz w:val="16"/>
          <w:szCs w:val="16"/>
        </w:rPr>
      </w:pPr>
      <w:r w:rsidRPr="00DE096C">
        <w:rPr>
          <w:bCs/>
          <w:color w:val="002060"/>
          <w:sz w:val="16"/>
          <w:szCs w:val="16"/>
        </w:rPr>
        <w:t>- поперечный силовой набор состоит из силовых нервюр коробчатого сечения (корневые и установленные в местах крепления стоек, изготовлены из орегонской сосны) и рядовых нервюр двутаврового сечения (остальные, ель);</w:t>
      </w:r>
    </w:p>
    <w:p w14:paraId="1CC74805" w14:textId="77777777" w:rsidR="00C929CB" w:rsidRPr="00DE096C" w:rsidRDefault="00C929CB" w:rsidP="00D45A46">
      <w:pPr>
        <w:jc w:val="both"/>
        <w:rPr>
          <w:bCs/>
          <w:color w:val="002060"/>
          <w:sz w:val="16"/>
          <w:szCs w:val="16"/>
        </w:rPr>
      </w:pPr>
      <w:r w:rsidRPr="00DE096C">
        <w:rPr>
          <w:bCs/>
          <w:color w:val="002060"/>
          <w:sz w:val="16"/>
          <w:szCs w:val="16"/>
        </w:rPr>
        <w:t>- жесткость бипланной коробки крыла обеспечена растяжками (по две пары которых, идущие от точек крепления 1-го и 3-го лонжеронов нижнего крыла к фюзеляжу к точкам крепления межкрыльевых стоек к верхнему крылу двойные обтянутые полотном, остальные одинарные);</w:t>
      </w:r>
    </w:p>
    <w:p w14:paraId="2422BC6A" w14:textId="77777777" w:rsidR="00C929CB" w:rsidRPr="00DE096C" w:rsidRDefault="00C929CB" w:rsidP="00D45A46">
      <w:pPr>
        <w:jc w:val="both"/>
        <w:rPr>
          <w:bCs/>
          <w:color w:val="002060"/>
          <w:sz w:val="16"/>
          <w:szCs w:val="16"/>
        </w:rPr>
      </w:pPr>
      <w:r w:rsidRPr="00DE096C">
        <w:rPr>
          <w:bCs/>
          <w:color w:val="002060"/>
          <w:sz w:val="16"/>
          <w:szCs w:val="16"/>
        </w:rPr>
        <w:t>- материал растяжек – стальная проволока диаметром 1,5 и 2,5 мм, натяжка – тандерами, которые контрятся проволокой и заворачиваются промасленной бумагой;</w:t>
      </w:r>
    </w:p>
    <w:p w14:paraId="63A2E4C1" w14:textId="77777777" w:rsidR="00C929CB" w:rsidRPr="00DE096C" w:rsidRDefault="00C929CB" w:rsidP="00D45A46">
      <w:pPr>
        <w:jc w:val="both"/>
        <w:rPr>
          <w:bCs/>
          <w:color w:val="002060"/>
          <w:sz w:val="16"/>
          <w:szCs w:val="16"/>
        </w:rPr>
      </w:pPr>
      <w:r w:rsidRPr="00DE096C">
        <w:rPr>
          <w:bCs/>
          <w:color w:val="002060"/>
          <w:sz w:val="16"/>
          <w:szCs w:val="16"/>
        </w:rPr>
        <w:t>- управление по крену – элеронами на обоих крыльях;</w:t>
      </w:r>
    </w:p>
    <w:p w14:paraId="7B2EAD6E" w14:textId="77777777" w:rsidR="00C929CB" w:rsidRPr="00DE096C" w:rsidRDefault="00C929CB" w:rsidP="00D45A46">
      <w:pPr>
        <w:jc w:val="both"/>
        <w:rPr>
          <w:bCs/>
          <w:color w:val="002060"/>
          <w:sz w:val="16"/>
          <w:szCs w:val="16"/>
        </w:rPr>
      </w:pPr>
      <w:r w:rsidRPr="00DE096C">
        <w:rPr>
          <w:bCs/>
          <w:color w:val="002060"/>
          <w:sz w:val="16"/>
          <w:szCs w:val="16"/>
        </w:rPr>
        <w:t>- верхние и нижние элероны (попарно) соединены стойками, входящими в систему управления ими;</w:t>
      </w:r>
    </w:p>
    <w:p w14:paraId="48C055B0" w14:textId="77777777" w:rsidR="00C929CB" w:rsidRPr="00DE096C" w:rsidRDefault="00C929CB" w:rsidP="00D45A46">
      <w:pPr>
        <w:jc w:val="both"/>
        <w:rPr>
          <w:bCs/>
          <w:color w:val="002060"/>
          <w:sz w:val="16"/>
          <w:szCs w:val="16"/>
        </w:rPr>
      </w:pPr>
      <w:r w:rsidRPr="00DE096C">
        <w:rPr>
          <w:bCs/>
          <w:color w:val="002060"/>
          <w:sz w:val="16"/>
          <w:szCs w:val="16"/>
        </w:rPr>
        <w:t>- каркас элеронов деревянный, состоит из лонжерона из орегонской сосны, одного стрингера, кромки из сплюснутой тонкой стальной трубки и нервюр.</w:t>
      </w:r>
    </w:p>
    <w:p w14:paraId="15A41D2D" w14:textId="77777777" w:rsidR="00C929CB" w:rsidRPr="00DE096C" w:rsidRDefault="00C929CB" w:rsidP="00D45A46">
      <w:pPr>
        <w:jc w:val="both"/>
        <w:rPr>
          <w:bCs/>
          <w:color w:val="002060"/>
          <w:sz w:val="16"/>
          <w:szCs w:val="16"/>
        </w:rPr>
      </w:pPr>
      <w:r w:rsidRPr="00DE096C">
        <w:rPr>
          <w:bCs/>
          <w:color w:val="002060"/>
          <w:sz w:val="16"/>
          <w:szCs w:val="16"/>
        </w:rPr>
        <w:t>Фюзеляж:</w:t>
      </w:r>
    </w:p>
    <w:p w14:paraId="540011D3" w14:textId="77777777" w:rsidR="00C929CB" w:rsidRPr="00DE096C" w:rsidRDefault="00C929CB" w:rsidP="00D45A46">
      <w:pPr>
        <w:jc w:val="both"/>
        <w:rPr>
          <w:bCs/>
          <w:color w:val="002060"/>
          <w:sz w:val="16"/>
          <w:szCs w:val="16"/>
        </w:rPr>
      </w:pPr>
      <w:r w:rsidRPr="00DE096C">
        <w:rPr>
          <w:bCs/>
          <w:color w:val="002060"/>
          <w:sz w:val="16"/>
          <w:szCs w:val="16"/>
        </w:rPr>
        <w:t>- основа фюзеляжа – ферма переменного прямоугольного сечения, на носовой части которой от 1-й по 4-ю рамы установлен гаргрот по форме капота мотора;</w:t>
      </w:r>
    </w:p>
    <w:p w14:paraId="21B8BAA0" w14:textId="77777777" w:rsidR="00C929CB" w:rsidRPr="00DE096C" w:rsidRDefault="00C929CB" w:rsidP="00D45A46">
      <w:pPr>
        <w:jc w:val="both"/>
        <w:rPr>
          <w:bCs/>
          <w:color w:val="002060"/>
          <w:sz w:val="16"/>
          <w:szCs w:val="16"/>
        </w:rPr>
      </w:pPr>
      <w:r w:rsidRPr="00DE096C">
        <w:rPr>
          <w:bCs/>
          <w:color w:val="002060"/>
          <w:sz w:val="16"/>
          <w:szCs w:val="16"/>
        </w:rPr>
        <w:t>- бимсы фермы – рейки прямоугольного сечения из орегонской сосны;</w:t>
      </w:r>
    </w:p>
    <w:p w14:paraId="46DC3FFA" w14:textId="77777777" w:rsidR="00C929CB" w:rsidRPr="00DE096C" w:rsidRDefault="00C929CB" w:rsidP="00D45A46">
      <w:pPr>
        <w:jc w:val="both"/>
        <w:rPr>
          <w:bCs/>
          <w:color w:val="002060"/>
          <w:sz w:val="16"/>
          <w:szCs w:val="16"/>
        </w:rPr>
      </w:pPr>
      <w:r w:rsidRPr="00DE096C">
        <w:rPr>
          <w:bCs/>
          <w:color w:val="002060"/>
          <w:sz w:val="16"/>
          <w:szCs w:val="16"/>
        </w:rPr>
        <w:t>- вертикальные и поперечные стержни рам фермы также прямоугольного сечения, но с продольными прорезями для облегчения, сделаны из ясеня (всего рам 11), на рамы с 1-й по 4-ю крепятся дугообразные полушпангоуты, поддерживающие передний гаргрот;</w:t>
      </w:r>
    </w:p>
    <w:p w14:paraId="0A8F27F9" w14:textId="77777777" w:rsidR="00C929CB" w:rsidRPr="00DE096C" w:rsidRDefault="00C929CB" w:rsidP="00D45A46">
      <w:pPr>
        <w:jc w:val="both"/>
        <w:rPr>
          <w:bCs/>
          <w:color w:val="002060"/>
          <w:sz w:val="16"/>
          <w:szCs w:val="16"/>
        </w:rPr>
      </w:pPr>
      <w:r w:rsidRPr="00DE096C">
        <w:rPr>
          <w:bCs/>
          <w:color w:val="002060"/>
          <w:sz w:val="16"/>
          <w:szCs w:val="16"/>
        </w:rPr>
        <w:t>- за 11-й рамой бимсы имеют излом и сходятся на металлической трубе, являющейся одновременно лонжероном киля;</w:t>
      </w:r>
    </w:p>
    <w:p w14:paraId="30FD403E" w14:textId="77777777" w:rsidR="00C929CB" w:rsidRPr="00DE096C" w:rsidRDefault="00C929CB" w:rsidP="00D45A46">
      <w:pPr>
        <w:jc w:val="both"/>
        <w:rPr>
          <w:bCs/>
          <w:color w:val="002060"/>
          <w:sz w:val="16"/>
          <w:szCs w:val="16"/>
        </w:rPr>
      </w:pPr>
      <w:r w:rsidRPr="00DE096C">
        <w:rPr>
          <w:bCs/>
          <w:color w:val="002060"/>
          <w:sz w:val="16"/>
          <w:szCs w:val="16"/>
        </w:rPr>
        <w:t>- жесткость фермы фюзеляжа обеспечена проволочными растяжками (такими же, как на бипланной коробке крыльев);</w:t>
      </w:r>
    </w:p>
    <w:p w14:paraId="7E965A9E" w14:textId="77777777" w:rsidR="00C929CB" w:rsidRPr="00DE096C" w:rsidRDefault="00C929CB" w:rsidP="00D45A46">
      <w:pPr>
        <w:jc w:val="both"/>
        <w:rPr>
          <w:bCs/>
          <w:color w:val="002060"/>
          <w:sz w:val="16"/>
          <w:szCs w:val="16"/>
        </w:rPr>
      </w:pPr>
      <w:r w:rsidRPr="00DE096C">
        <w:rPr>
          <w:bCs/>
          <w:color w:val="002060"/>
          <w:sz w:val="16"/>
          <w:szCs w:val="16"/>
        </w:rPr>
        <w:t>- на 1-й раме фермы фюзеляжа крепились моторама, стойки шасси и пол кабины;</w:t>
      </w:r>
    </w:p>
    <w:p w14:paraId="691F6644" w14:textId="77777777" w:rsidR="00C929CB" w:rsidRPr="00DE096C" w:rsidRDefault="00C929CB" w:rsidP="00D45A46">
      <w:pPr>
        <w:jc w:val="both"/>
        <w:rPr>
          <w:bCs/>
          <w:color w:val="002060"/>
          <w:sz w:val="16"/>
          <w:szCs w:val="16"/>
        </w:rPr>
      </w:pPr>
      <w:r w:rsidRPr="00DE096C">
        <w:rPr>
          <w:bCs/>
          <w:color w:val="002060"/>
          <w:sz w:val="16"/>
          <w:szCs w:val="16"/>
        </w:rPr>
        <w:t>- на 2-й раме фермы фюзеляжа крепились передние стойки «кабана» бипланной коробки, стыковые муфты для крепления 1-х лонжеронов нижнего крыла и приборное оборудование кабины;</w:t>
      </w:r>
    </w:p>
    <w:p w14:paraId="74A33D1B" w14:textId="77777777" w:rsidR="00C929CB" w:rsidRPr="00DE096C" w:rsidRDefault="00C929CB" w:rsidP="00D45A46">
      <w:pPr>
        <w:jc w:val="both"/>
        <w:rPr>
          <w:bCs/>
          <w:color w:val="002060"/>
          <w:sz w:val="16"/>
          <w:szCs w:val="16"/>
        </w:rPr>
      </w:pPr>
      <w:r w:rsidRPr="00DE096C">
        <w:rPr>
          <w:bCs/>
          <w:color w:val="002060"/>
          <w:sz w:val="16"/>
          <w:szCs w:val="16"/>
        </w:rPr>
        <w:t>- на 3-й раме фермы фюзеляжа (она не имела верхней поперечины) внизу крепились 2-е лонжероны нижнего крыла;</w:t>
      </w:r>
    </w:p>
    <w:p w14:paraId="356C1F0F" w14:textId="77777777" w:rsidR="00C929CB" w:rsidRPr="00DE096C" w:rsidRDefault="00C929CB" w:rsidP="00D45A46">
      <w:pPr>
        <w:jc w:val="both"/>
        <w:rPr>
          <w:bCs/>
          <w:color w:val="002060"/>
          <w:sz w:val="16"/>
          <w:szCs w:val="16"/>
        </w:rPr>
      </w:pPr>
      <w:r w:rsidRPr="00DE096C">
        <w:rPr>
          <w:bCs/>
          <w:color w:val="002060"/>
          <w:sz w:val="16"/>
          <w:szCs w:val="16"/>
        </w:rPr>
        <w:t>- на 4-й раме фермы фюзеляжа (она не имела верхней поперечины) внизу крепились 2-й топливный бак;</w:t>
      </w:r>
    </w:p>
    <w:p w14:paraId="0FF04BCF" w14:textId="77777777" w:rsidR="00C929CB" w:rsidRPr="00DE096C" w:rsidRDefault="00C929CB" w:rsidP="00D45A46">
      <w:pPr>
        <w:jc w:val="both"/>
        <w:rPr>
          <w:bCs/>
          <w:color w:val="002060"/>
          <w:sz w:val="16"/>
          <w:szCs w:val="16"/>
        </w:rPr>
      </w:pPr>
      <w:r w:rsidRPr="00DE096C">
        <w:rPr>
          <w:bCs/>
          <w:color w:val="002060"/>
          <w:sz w:val="16"/>
          <w:szCs w:val="16"/>
        </w:rPr>
        <w:t>- на 5-й раме фермы фюзеляжа (замкнутой, ограничивающей кабину) крепились задние стойки «кабана» бипланной коробки, стыковые муфты для крепления 3-х лонжеронов нижнего крыла, пол кабины, 2-й бензобак и задние стержни ООШ;</w:t>
      </w:r>
    </w:p>
    <w:p w14:paraId="1098F102" w14:textId="77777777" w:rsidR="00C929CB" w:rsidRPr="00DE096C" w:rsidRDefault="00C929CB" w:rsidP="00D45A46">
      <w:pPr>
        <w:jc w:val="both"/>
        <w:rPr>
          <w:bCs/>
          <w:color w:val="002060"/>
          <w:sz w:val="16"/>
          <w:szCs w:val="16"/>
        </w:rPr>
      </w:pPr>
      <w:r w:rsidRPr="00DE096C">
        <w:rPr>
          <w:bCs/>
          <w:color w:val="002060"/>
          <w:sz w:val="16"/>
          <w:szCs w:val="16"/>
        </w:rPr>
        <w:t>- сиденья курсанта и инструктора (или летчика-наблюдателя – летнаба) располагались в общей кабине бок о бок (слева против поста органов управления – обтянутое гранитолем плетеное кресло с набитой волосом подушкой и кожаным привязным ремнем, справа с небольшим сдвигом назад – сиденье в виде подстилки из войлока на баке без спинки и ремня);</w:t>
      </w:r>
    </w:p>
    <w:p w14:paraId="5662A507" w14:textId="77777777" w:rsidR="00C929CB" w:rsidRPr="00DE096C" w:rsidRDefault="00C929CB" w:rsidP="00D45A46">
      <w:pPr>
        <w:jc w:val="both"/>
        <w:rPr>
          <w:bCs/>
          <w:color w:val="002060"/>
          <w:sz w:val="16"/>
          <w:szCs w:val="16"/>
        </w:rPr>
      </w:pPr>
      <w:r w:rsidRPr="00DE096C">
        <w:rPr>
          <w:bCs/>
          <w:color w:val="002060"/>
          <w:sz w:val="16"/>
          <w:szCs w:val="16"/>
        </w:rPr>
        <w:t>- вырез кабины усилен дополнительными вертикальными стойками между бимсами фермы и латунными трубками, обтянутыми гранитолем;</w:t>
      </w:r>
    </w:p>
    <w:p w14:paraId="2161EC70" w14:textId="77777777" w:rsidR="00C929CB" w:rsidRPr="00DE096C" w:rsidRDefault="00C929CB" w:rsidP="00D45A46">
      <w:pPr>
        <w:jc w:val="both"/>
        <w:rPr>
          <w:bCs/>
          <w:color w:val="002060"/>
          <w:sz w:val="16"/>
          <w:szCs w:val="16"/>
        </w:rPr>
      </w:pPr>
      <w:r w:rsidRPr="00DE096C">
        <w:rPr>
          <w:bCs/>
          <w:color w:val="002060"/>
          <w:sz w:val="16"/>
          <w:szCs w:val="16"/>
        </w:rPr>
        <w:t>- к 8-й раме фермы фюзеляжа крепится труба передней кромки киля;</w:t>
      </w:r>
    </w:p>
    <w:p w14:paraId="44B857EF" w14:textId="77777777" w:rsidR="00C929CB" w:rsidRPr="00DE096C" w:rsidRDefault="00C929CB" w:rsidP="00D45A46">
      <w:pPr>
        <w:jc w:val="both"/>
        <w:rPr>
          <w:bCs/>
          <w:color w:val="002060"/>
          <w:sz w:val="16"/>
          <w:szCs w:val="16"/>
        </w:rPr>
      </w:pPr>
      <w:r w:rsidRPr="00DE096C">
        <w:rPr>
          <w:bCs/>
          <w:color w:val="002060"/>
          <w:sz w:val="16"/>
          <w:szCs w:val="16"/>
        </w:rPr>
        <w:lastRenderedPageBreak/>
        <w:t>- к 10-й раме фермы фюзеляжа крепятся стабилизатор и его передние подкосы;</w:t>
      </w:r>
    </w:p>
    <w:p w14:paraId="6F123E18" w14:textId="77777777" w:rsidR="00C929CB" w:rsidRPr="00DE096C" w:rsidRDefault="00C929CB" w:rsidP="00D45A46">
      <w:pPr>
        <w:jc w:val="both"/>
        <w:rPr>
          <w:bCs/>
          <w:color w:val="002060"/>
          <w:sz w:val="16"/>
          <w:szCs w:val="16"/>
        </w:rPr>
      </w:pPr>
      <w:r w:rsidRPr="00DE096C">
        <w:rPr>
          <w:bCs/>
          <w:color w:val="002060"/>
          <w:sz w:val="16"/>
          <w:szCs w:val="16"/>
        </w:rPr>
        <w:t>- к 11-й раме фермы фюзеляжа крепятся задние подкосы стабилизатора, узел навески костыля шасси и его амортизация;</w:t>
      </w:r>
    </w:p>
    <w:p w14:paraId="29E5097E" w14:textId="77777777" w:rsidR="00C929CB" w:rsidRPr="00DE096C" w:rsidRDefault="00C929CB" w:rsidP="00D45A46">
      <w:pPr>
        <w:jc w:val="both"/>
        <w:rPr>
          <w:bCs/>
          <w:color w:val="002060"/>
          <w:sz w:val="16"/>
          <w:szCs w:val="16"/>
        </w:rPr>
      </w:pPr>
      <w:r w:rsidRPr="00DE096C">
        <w:rPr>
          <w:bCs/>
          <w:color w:val="002060"/>
          <w:sz w:val="16"/>
          <w:szCs w:val="16"/>
        </w:rPr>
        <w:t>- на 8-й и 9-й рамах фермы фюзеляжа крепятся ролики тросовой проводки управления РВ и РН;</w:t>
      </w:r>
    </w:p>
    <w:p w14:paraId="52A9FA78" w14:textId="77777777" w:rsidR="00C929CB" w:rsidRPr="00DE096C" w:rsidRDefault="00C929CB" w:rsidP="00D45A46">
      <w:pPr>
        <w:jc w:val="both"/>
        <w:rPr>
          <w:bCs/>
          <w:color w:val="002060"/>
          <w:sz w:val="16"/>
          <w:szCs w:val="16"/>
        </w:rPr>
      </w:pPr>
      <w:r w:rsidRPr="00DE096C">
        <w:rPr>
          <w:bCs/>
          <w:color w:val="002060"/>
          <w:sz w:val="16"/>
          <w:szCs w:val="16"/>
        </w:rPr>
        <w:t>- у кабины в бортах фюзеляжа сделаны подножки («стремена») для удобства входа и выхода;</w:t>
      </w:r>
    </w:p>
    <w:p w14:paraId="5DFAA34F" w14:textId="77777777" w:rsidR="00C929CB" w:rsidRPr="00DE096C" w:rsidRDefault="00C929CB" w:rsidP="00D45A46">
      <w:pPr>
        <w:jc w:val="both"/>
        <w:rPr>
          <w:bCs/>
          <w:color w:val="002060"/>
          <w:sz w:val="16"/>
          <w:szCs w:val="16"/>
        </w:rPr>
      </w:pPr>
      <w:r w:rsidRPr="00DE096C">
        <w:rPr>
          <w:bCs/>
          <w:color w:val="002060"/>
          <w:sz w:val="16"/>
          <w:szCs w:val="16"/>
        </w:rPr>
        <w:t>- ветрового козырька перед кабиной нет;</w:t>
      </w:r>
    </w:p>
    <w:p w14:paraId="7358061B" w14:textId="77777777" w:rsidR="00C929CB" w:rsidRPr="00DE096C" w:rsidRDefault="00C929CB" w:rsidP="00D45A46">
      <w:pPr>
        <w:jc w:val="both"/>
        <w:rPr>
          <w:bCs/>
          <w:color w:val="002060"/>
          <w:sz w:val="16"/>
          <w:szCs w:val="16"/>
        </w:rPr>
      </w:pPr>
      <w:r w:rsidRPr="00DE096C">
        <w:rPr>
          <w:bCs/>
          <w:color w:val="002060"/>
          <w:sz w:val="16"/>
          <w:szCs w:val="16"/>
        </w:rPr>
        <w:t>Оперение:</w:t>
      </w:r>
    </w:p>
    <w:p w14:paraId="12EF360B" w14:textId="77777777" w:rsidR="00C929CB" w:rsidRPr="00DE096C" w:rsidRDefault="00C929CB" w:rsidP="00D45A46">
      <w:pPr>
        <w:jc w:val="both"/>
        <w:rPr>
          <w:bCs/>
          <w:color w:val="002060"/>
          <w:sz w:val="16"/>
          <w:szCs w:val="16"/>
        </w:rPr>
      </w:pPr>
      <w:r w:rsidRPr="00DE096C">
        <w:rPr>
          <w:bCs/>
          <w:color w:val="002060"/>
          <w:sz w:val="16"/>
          <w:szCs w:val="16"/>
        </w:rPr>
        <w:t>- обычного типа, состоит из горизонтального и вертикального оперения (ГО и ВО), установленных на хвостовой части фюзеляжа;</w:t>
      </w:r>
    </w:p>
    <w:p w14:paraId="7DF8FDC3" w14:textId="77777777" w:rsidR="00C929CB" w:rsidRPr="00DE096C" w:rsidRDefault="00C929CB" w:rsidP="00D45A46">
      <w:pPr>
        <w:jc w:val="both"/>
        <w:rPr>
          <w:bCs/>
          <w:color w:val="002060"/>
          <w:sz w:val="16"/>
          <w:szCs w:val="16"/>
        </w:rPr>
      </w:pPr>
      <w:r w:rsidRPr="00DE096C">
        <w:rPr>
          <w:bCs/>
          <w:color w:val="002060"/>
          <w:sz w:val="16"/>
          <w:szCs w:val="16"/>
        </w:rPr>
        <w:t>- ГО состоит из стабилизатора и руля высоты (РВ);</w:t>
      </w:r>
    </w:p>
    <w:p w14:paraId="542C23C4" w14:textId="77777777" w:rsidR="00C929CB" w:rsidRPr="00DE096C" w:rsidRDefault="00C929CB" w:rsidP="00D45A46">
      <w:pPr>
        <w:jc w:val="both"/>
        <w:rPr>
          <w:bCs/>
          <w:color w:val="002060"/>
          <w:sz w:val="16"/>
          <w:szCs w:val="16"/>
        </w:rPr>
      </w:pPr>
      <w:r w:rsidRPr="00DE096C">
        <w:rPr>
          <w:bCs/>
          <w:color w:val="002060"/>
          <w:sz w:val="16"/>
          <w:szCs w:val="16"/>
        </w:rPr>
        <w:t>- стабилизатор на виде в плане напоминает сегмент эллипса, РВ из левой и правой половин без компенсации имеет прямую переднюю кромку, которой он стыкуется со стабилизатором и криволинейную заднюю кромку с вырезом для обеспечения свободы перемещения совместно с нулем направления;</w:t>
      </w:r>
    </w:p>
    <w:p w14:paraId="3C64EED8" w14:textId="77777777" w:rsidR="00C929CB" w:rsidRPr="00DE096C" w:rsidRDefault="00C929CB" w:rsidP="00D45A46">
      <w:pPr>
        <w:jc w:val="both"/>
        <w:rPr>
          <w:bCs/>
          <w:color w:val="002060"/>
          <w:sz w:val="16"/>
          <w:szCs w:val="16"/>
        </w:rPr>
      </w:pPr>
      <w:r w:rsidRPr="00DE096C">
        <w:rPr>
          <w:bCs/>
          <w:color w:val="002060"/>
          <w:sz w:val="16"/>
          <w:szCs w:val="16"/>
        </w:rPr>
        <w:t>- профиль ГО плоский, образован трубами каркаса;</w:t>
      </w:r>
    </w:p>
    <w:p w14:paraId="072BA9BE" w14:textId="77777777" w:rsidR="00C929CB" w:rsidRPr="00DE096C" w:rsidRDefault="00C929CB" w:rsidP="00D45A46">
      <w:pPr>
        <w:jc w:val="both"/>
        <w:rPr>
          <w:bCs/>
          <w:color w:val="002060"/>
          <w:sz w:val="16"/>
          <w:szCs w:val="16"/>
        </w:rPr>
      </w:pPr>
      <w:r w:rsidRPr="00DE096C">
        <w:rPr>
          <w:bCs/>
          <w:color w:val="002060"/>
          <w:sz w:val="16"/>
          <w:szCs w:val="16"/>
        </w:rPr>
        <w:t>- стабилизатор цельный, крепится к верхним бимсам фюзеляжа в районе рамы № 10 и концевой трубы фермы фюзеялжа, а подкосами соединяется с 10-й и 11-й рамами;</w:t>
      </w:r>
    </w:p>
    <w:p w14:paraId="311B8643" w14:textId="77777777" w:rsidR="00C929CB" w:rsidRPr="00DE096C" w:rsidRDefault="00C929CB" w:rsidP="00D45A46">
      <w:pPr>
        <w:jc w:val="both"/>
        <w:rPr>
          <w:bCs/>
          <w:color w:val="002060"/>
          <w:sz w:val="16"/>
          <w:szCs w:val="16"/>
        </w:rPr>
      </w:pPr>
      <w:r w:rsidRPr="00DE096C">
        <w:rPr>
          <w:bCs/>
          <w:color w:val="002060"/>
          <w:sz w:val="16"/>
          <w:szCs w:val="16"/>
        </w:rPr>
        <w:t>- каркас стабилизатора состоит из лонжерона (перпендикулярен ПСС), передней кромки и двух нервюр (установлены по потоку в местах излома кромки);</w:t>
      </w:r>
    </w:p>
    <w:p w14:paraId="07FA8093" w14:textId="77777777" w:rsidR="00C929CB" w:rsidRPr="00DE096C" w:rsidRDefault="00C929CB" w:rsidP="00D45A46">
      <w:pPr>
        <w:jc w:val="both"/>
        <w:rPr>
          <w:bCs/>
          <w:color w:val="002060"/>
          <w:sz w:val="16"/>
          <w:szCs w:val="16"/>
        </w:rPr>
      </w:pPr>
      <w:r w:rsidRPr="00DE096C">
        <w:rPr>
          <w:bCs/>
          <w:color w:val="002060"/>
          <w:sz w:val="16"/>
          <w:szCs w:val="16"/>
        </w:rPr>
        <w:t>- РВ представляет собой единый агрегат с общим лонжероном, к которому крепятся моментным соединением два руля – трапециевидные кромки и по две нервюры, установленные по потоку;</w:t>
      </w:r>
    </w:p>
    <w:p w14:paraId="30233EC7" w14:textId="77777777" w:rsidR="00C929CB" w:rsidRPr="00DE096C" w:rsidRDefault="00C929CB" w:rsidP="00D45A46">
      <w:pPr>
        <w:jc w:val="both"/>
        <w:rPr>
          <w:bCs/>
          <w:color w:val="002060"/>
          <w:sz w:val="16"/>
          <w:szCs w:val="16"/>
        </w:rPr>
      </w:pPr>
      <w:r w:rsidRPr="00DE096C">
        <w:rPr>
          <w:bCs/>
          <w:color w:val="002060"/>
          <w:sz w:val="16"/>
          <w:szCs w:val="16"/>
        </w:rPr>
        <w:t>- вертикальное оперение (ВО) состоит из киля и руля направления – РН;</w:t>
      </w:r>
    </w:p>
    <w:p w14:paraId="532C14AF" w14:textId="77777777" w:rsidR="00C929CB" w:rsidRPr="00DE096C" w:rsidRDefault="00C929CB" w:rsidP="00D45A46">
      <w:pPr>
        <w:jc w:val="both"/>
        <w:rPr>
          <w:bCs/>
          <w:color w:val="002060"/>
          <w:sz w:val="16"/>
          <w:szCs w:val="16"/>
        </w:rPr>
      </w:pPr>
      <w:r w:rsidRPr="00DE096C">
        <w:rPr>
          <w:bCs/>
          <w:color w:val="002060"/>
          <w:sz w:val="16"/>
          <w:szCs w:val="16"/>
        </w:rPr>
        <w:t>- киль имеет треугольную в плане форму;</w:t>
      </w:r>
    </w:p>
    <w:p w14:paraId="5D2266D9" w14:textId="77777777" w:rsidR="00C929CB" w:rsidRPr="00DE096C" w:rsidRDefault="00C929CB" w:rsidP="00D45A46">
      <w:pPr>
        <w:jc w:val="both"/>
        <w:rPr>
          <w:bCs/>
          <w:color w:val="002060"/>
          <w:sz w:val="16"/>
          <w:szCs w:val="16"/>
        </w:rPr>
      </w:pPr>
      <w:r w:rsidRPr="00DE096C">
        <w:rPr>
          <w:bCs/>
          <w:color w:val="002060"/>
          <w:sz w:val="16"/>
          <w:szCs w:val="16"/>
        </w:rPr>
        <w:t>- форма РН на виде в плане – неправильный четырехугольник со скругленными задними углами;</w:t>
      </w:r>
    </w:p>
    <w:p w14:paraId="0BD0748B" w14:textId="77777777" w:rsidR="00C929CB" w:rsidRPr="00DE096C" w:rsidRDefault="00C929CB" w:rsidP="00D45A46">
      <w:pPr>
        <w:jc w:val="both"/>
        <w:rPr>
          <w:bCs/>
          <w:color w:val="002060"/>
          <w:sz w:val="16"/>
          <w:szCs w:val="16"/>
        </w:rPr>
      </w:pPr>
      <w:r w:rsidRPr="00DE096C">
        <w:rPr>
          <w:bCs/>
          <w:color w:val="002060"/>
          <w:sz w:val="16"/>
          <w:szCs w:val="16"/>
        </w:rPr>
        <w:t>- силовой набор киля состоит только из одного лонжерона (он же – концевая труба фермы фюзеляжа) и прямой передней кромки, которой он крепится к ферме фюзеляжа;</w:t>
      </w:r>
    </w:p>
    <w:p w14:paraId="5713A693" w14:textId="77777777" w:rsidR="00C929CB" w:rsidRPr="00DE096C" w:rsidRDefault="00C929CB" w:rsidP="00D45A46">
      <w:pPr>
        <w:jc w:val="both"/>
        <w:rPr>
          <w:bCs/>
          <w:color w:val="002060"/>
          <w:sz w:val="16"/>
          <w:szCs w:val="16"/>
        </w:rPr>
      </w:pPr>
      <w:r w:rsidRPr="00DE096C">
        <w:rPr>
          <w:bCs/>
          <w:color w:val="002060"/>
          <w:sz w:val="16"/>
          <w:szCs w:val="16"/>
        </w:rPr>
        <w:t>- силовой набор РН состоит из лонжерона, перпендикулярного СГФ, кромки и трех нервюр, установленных по потоку.</w:t>
      </w:r>
    </w:p>
    <w:p w14:paraId="27EA4A71" w14:textId="77777777" w:rsidR="00C929CB" w:rsidRPr="00DE096C" w:rsidRDefault="00C929CB" w:rsidP="00D45A46">
      <w:pPr>
        <w:jc w:val="both"/>
        <w:rPr>
          <w:bCs/>
          <w:color w:val="002060"/>
          <w:sz w:val="16"/>
          <w:szCs w:val="16"/>
        </w:rPr>
      </w:pPr>
      <w:r w:rsidRPr="00DE096C">
        <w:rPr>
          <w:bCs/>
          <w:color w:val="002060"/>
          <w:sz w:val="16"/>
          <w:szCs w:val="16"/>
        </w:rPr>
        <w:t>Система управления самолетом:</w:t>
      </w:r>
    </w:p>
    <w:p w14:paraId="6236A040" w14:textId="77777777" w:rsidR="00C929CB" w:rsidRPr="00DE096C" w:rsidRDefault="00C929CB" w:rsidP="00D45A46">
      <w:pPr>
        <w:jc w:val="both"/>
        <w:rPr>
          <w:bCs/>
          <w:color w:val="002060"/>
          <w:sz w:val="16"/>
          <w:szCs w:val="16"/>
        </w:rPr>
      </w:pPr>
      <w:r w:rsidRPr="00DE096C">
        <w:rPr>
          <w:bCs/>
          <w:color w:val="002060"/>
          <w:sz w:val="16"/>
          <w:szCs w:val="16"/>
        </w:rPr>
        <w:t>- все каналы управления тросовые;</w:t>
      </w:r>
    </w:p>
    <w:p w14:paraId="64AE90DD" w14:textId="77777777" w:rsidR="00C929CB" w:rsidRPr="00DE096C" w:rsidRDefault="00C929CB" w:rsidP="00D45A46">
      <w:pPr>
        <w:jc w:val="both"/>
        <w:rPr>
          <w:bCs/>
          <w:color w:val="002060"/>
          <w:sz w:val="16"/>
          <w:szCs w:val="16"/>
        </w:rPr>
      </w:pPr>
      <w:r w:rsidRPr="00DE096C">
        <w:rPr>
          <w:bCs/>
          <w:color w:val="002060"/>
          <w:sz w:val="16"/>
          <w:szCs w:val="16"/>
        </w:rPr>
        <w:t>- управление по тангажу и крену – штурвалом на месте летчика;</w:t>
      </w:r>
    </w:p>
    <w:p w14:paraId="17F8516B" w14:textId="77777777" w:rsidR="00C929CB" w:rsidRPr="00DE096C" w:rsidRDefault="00C929CB" w:rsidP="00D45A46">
      <w:pPr>
        <w:jc w:val="both"/>
        <w:rPr>
          <w:bCs/>
          <w:color w:val="002060"/>
          <w:sz w:val="16"/>
          <w:szCs w:val="16"/>
        </w:rPr>
      </w:pPr>
      <w:r w:rsidRPr="00DE096C">
        <w:rPr>
          <w:bCs/>
          <w:color w:val="002060"/>
          <w:sz w:val="16"/>
          <w:szCs w:val="16"/>
        </w:rPr>
        <w:t>- управляющие команды по тангажу передаются движением всего штурвала вперед (руль вверх, кабрирование) и назад (наоборот), по крену – поворотом штурвального колеса, на котором установлена шестерня с цепью Галля (вторая шестерня соединена жестко с роликом проводки элеронов);</w:t>
      </w:r>
    </w:p>
    <w:p w14:paraId="2C583543" w14:textId="77777777" w:rsidR="00C929CB" w:rsidRPr="00DE096C" w:rsidRDefault="00C929CB" w:rsidP="00D45A46">
      <w:pPr>
        <w:jc w:val="both"/>
        <w:rPr>
          <w:bCs/>
          <w:color w:val="002060"/>
          <w:sz w:val="16"/>
          <w:szCs w:val="16"/>
        </w:rPr>
      </w:pPr>
      <w:r w:rsidRPr="00DE096C">
        <w:rPr>
          <w:bCs/>
          <w:color w:val="002060"/>
          <w:sz w:val="16"/>
          <w:szCs w:val="16"/>
        </w:rPr>
        <w:t>- толщина тросов управления 1,8 и 3,6 мм в зависимости от места;</w:t>
      </w:r>
    </w:p>
    <w:p w14:paraId="4F001871" w14:textId="77777777" w:rsidR="00C929CB" w:rsidRPr="00DE096C" w:rsidRDefault="00C929CB" w:rsidP="00D45A46">
      <w:pPr>
        <w:jc w:val="both"/>
        <w:rPr>
          <w:bCs/>
          <w:color w:val="002060"/>
          <w:sz w:val="16"/>
          <w:szCs w:val="16"/>
        </w:rPr>
      </w:pPr>
      <w:r w:rsidRPr="00DE096C">
        <w:rPr>
          <w:bCs/>
          <w:color w:val="002060"/>
          <w:sz w:val="16"/>
          <w:szCs w:val="16"/>
        </w:rPr>
        <w:t>- почти вся проводка управления РВ и РН проходит внутри фюзеляжа – кроме последнего участка за его 11-й рамой;</w:t>
      </w:r>
    </w:p>
    <w:p w14:paraId="51B67D5E" w14:textId="77777777" w:rsidR="00C929CB" w:rsidRPr="00DE096C" w:rsidRDefault="00C929CB" w:rsidP="00D45A46">
      <w:pPr>
        <w:jc w:val="both"/>
        <w:rPr>
          <w:bCs/>
          <w:color w:val="002060"/>
          <w:sz w:val="16"/>
          <w:szCs w:val="16"/>
        </w:rPr>
      </w:pPr>
      <w:r w:rsidRPr="00DE096C">
        <w:rPr>
          <w:bCs/>
          <w:color w:val="002060"/>
          <w:sz w:val="16"/>
          <w:szCs w:val="16"/>
        </w:rPr>
        <w:t>- управления элеронами проходит вдоль 3-го лонжерона нижнего крыла, далее вверх за межкрыльевыми стойками к кабанчику на верхнем элероне, а он связан с нижним жесткой тягой;</w:t>
      </w:r>
    </w:p>
    <w:p w14:paraId="60F46294" w14:textId="77777777" w:rsidR="00C929CB" w:rsidRPr="00DE096C" w:rsidRDefault="00C929CB" w:rsidP="00D45A46">
      <w:pPr>
        <w:jc w:val="both"/>
        <w:rPr>
          <w:bCs/>
          <w:color w:val="002060"/>
          <w:sz w:val="16"/>
          <w:szCs w:val="16"/>
        </w:rPr>
      </w:pPr>
      <w:r w:rsidRPr="00DE096C">
        <w:rPr>
          <w:bCs/>
          <w:color w:val="002060"/>
          <w:sz w:val="16"/>
          <w:szCs w:val="16"/>
        </w:rPr>
        <w:t>- все каналы управления «закольцованы на себя».</w:t>
      </w:r>
    </w:p>
    <w:p w14:paraId="1A76A308" w14:textId="77777777" w:rsidR="00C929CB" w:rsidRPr="00DE096C" w:rsidRDefault="00C929CB" w:rsidP="00D45A46">
      <w:pPr>
        <w:jc w:val="both"/>
        <w:rPr>
          <w:bCs/>
          <w:color w:val="002060"/>
          <w:sz w:val="16"/>
          <w:szCs w:val="16"/>
        </w:rPr>
      </w:pPr>
      <w:r w:rsidRPr="00DE096C">
        <w:rPr>
          <w:bCs/>
          <w:color w:val="002060"/>
          <w:sz w:val="16"/>
          <w:szCs w:val="16"/>
        </w:rPr>
        <w:t>Шасси:</w:t>
      </w:r>
    </w:p>
    <w:p w14:paraId="54592686" w14:textId="77777777" w:rsidR="00C929CB" w:rsidRPr="00DE096C" w:rsidRDefault="00C929CB" w:rsidP="00D45A46">
      <w:pPr>
        <w:jc w:val="both"/>
        <w:rPr>
          <w:bCs/>
          <w:color w:val="002060"/>
          <w:sz w:val="16"/>
          <w:szCs w:val="16"/>
        </w:rPr>
      </w:pPr>
      <w:r w:rsidRPr="00DE096C">
        <w:rPr>
          <w:bCs/>
          <w:color w:val="002060"/>
          <w:sz w:val="16"/>
          <w:szCs w:val="16"/>
        </w:rPr>
        <w:t>- трехопорное с хвостовым костылем;</w:t>
      </w:r>
    </w:p>
    <w:p w14:paraId="7B27BA7E" w14:textId="77777777" w:rsidR="00C929CB" w:rsidRPr="00DE096C" w:rsidRDefault="00C929CB" w:rsidP="00D45A46">
      <w:pPr>
        <w:jc w:val="both"/>
        <w:rPr>
          <w:bCs/>
          <w:color w:val="002060"/>
          <w:sz w:val="16"/>
          <w:szCs w:val="16"/>
        </w:rPr>
      </w:pPr>
      <w:r w:rsidRPr="00DE096C">
        <w:rPr>
          <w:bCs/>
          <w:color w:val="002060"/>
          <w:sz w:val="16"/>
          <w:szCs w:val="16"/>
        </w:rPr>
        <w:t>- основные опоры шасси (ООШ) рамного типа состоят из двух гнутых П-образно с развалом стальных труб, соединенных примерно на 1/5 высоты четырьмя горизонтальными трубами меньшего диаметра, образующих прямоугольник, внизу каждой П-образной трубы установлено амортизационное крепление для коротких осей, на которых установлены по два спицованных колеса (таким образом, на ООШ четыре колеса, что с точки зрения веса и сопротивления оправдано не было и являлось следствием сохранить традиционную для Сикорского силовую схему ООШ;</w:t>
      </w:r>
    </w:p>
    <w:p w14:paraId="3E2A6F7B" w14:textId="77777777" w:rsidR="00C929CB" w:rsidRPr="00DE096C" w:rsidRDefault="00C929CB" w:rsidP="00D45A46">
      <w:pPr>
        <w:jc w:val="both"/>
        <w:rPr>
          <w:bCs/>
          <w:color w:val="002060"/>
          <w:sz w:val="16"/>
          <w:szCs w:val="16"/>
        </w:rPr>
      </w:pPr>
      <w:r w:rsidRPr="00DE096C">
        <w:rPr>
          <w:bCs/>
          <w:color w:val="002060"/>
          <w:sz w:val="16"/>
          <w:szCs w:val="16"/>
        </w:rPr>
        <w:t>- для изготовления стоек основных опор шасси применены тонкостенные стальные трубы кругового сечения, после гибки для обтекаемости на основной части своей длины в местах, расположенных поперек потока, сплющены до чечевицеобразного или каплевидного (как получится) сечения, свободные концы их обжаты и в них запрессованы стальные же крепежные наконечники, сделанные их прута точением, фрезерованием и сверлением;</w:t>
      </w:r>
    </w:p>
    <w:p w14:paraId="7D039753" w14:textId="77777777" w:rsidR="00C929CB" w:rsidRPr="00DE096C" w:rsidRDefault="00C929CB" w:rsidP="00D45A46">
      <w:pPr>
        <w:jc w:val="both"/>
        <w:rPr>
          <w:bCs/>
          <w:color w:val="002060"/>
          <w:sz w:val="16"/>
          <w:szCs w:val="16"/>
        </w:rPr>
      </w:pPr>
      <w:r w:rsidRPr="00DE096C">
        <w:rPr>
          <w:bCs/>
          <w:color w:val="002060"/>
          <w:sz w:val="16"/>
          <w:szCs w:val="16"/>
        </w:rPr>
        <w:t>- вместо колесного шасси было предусмотрено лыжное, при его установке короткие оси с колесами заменяются длинной общей осью с двумя лыжами, уравновешенными двумя амортшнурами каждая (по одному спереди и сзади);</w:t>
      </w:r>
    </w:p>
    <w:p w14:paraId="0DD13C99" w14:textId="77777777" w:rsidR="00C929CB" w:rsidRPr="00DE096C" w:rsidRDefault="00C929CB" w:rsidP="00D45A46">
      <w:pPr>
        <w:jc w:val="both"/>
        <w:rPr>
          <w:bCs/>
          <w:color w:val="002060"/>
          <w:sz w:val="16"/>
          <w:szCs w:val="16"/>
        </w:rPr>
      </w:pPr>
      <w:r w:rsidRPr="00DE096C">
        <w:rPr>
          <w:bCs/>
          <w:color w:val="002060"/>
          <w:sz w:val="16"/>
          <w:szCs w:val="16"/>
        </w:rPr>
        <w:t>- стойки ООШ собирались и крепились к самолету на болтах, что позволяло их снять при перевозке самолета в разобранном виде (что не было оправдано, т.к. фюзеляж без крыльев помещался в стандартный ящик и без этого);</w:t>
      </w:r>
    </w:p>
    <w:p w14:paraId="2F0E6D5C" w14:textId="77777777" w:rsidR="00C929CB" w:rsidRPr="00DE096C" w:rsidRDefault="00C929CB" w:rsidP="00D45A46">
      <w:pPr>
        <w:jc w:val="both"/>
        <w:rPr>
          <w:bCs/>
          <w:color w:val="002060"/>
          <w:sz w:val="16"/>
          <w:szCs w:val="16"/>
        </w:rPr>
      </w:pPr>
      <w:r w:rsidRPr="00DE096C">
        <w:rPr>
          <w:bCs/>
          <w:color w:val="002060"/>
          <w:sz w:val="16"/>
          <w:szCs w:val="16"/>
        </w:rPr>
        <w:t>- костыль деревянный рычажный с алюминиевым башмаком на конце, рычажного типа с резино-шнуровой амортизацией (при установке лыжного шасси он оставался без изменений) (23557).</w:t>
      </w:r>
    </w:p>
    <w:p w14:paraId="5786299A" w14:textId="77777777" w:rsidR="00C929CB" w:rsidRPr="00DE096C" w:rsidRDefault="00C929CB" w:rsidP="00D45A46">
      <w:pPr>
        <w:jc w:val="both"/>
        <w:rPr>
          <w:bCs/>
          <w:color w:val="002060"/>
          <w:sz w:val="16"/>
          <w:szCs w:val="16"/>
          <w:lang w:bidi="ru-RU"/>
        </w:rPr>
      </w:pPr>
    </w:p>
    <w:p w14:paraId="5D2BBB89" w14:textId="72402FB8" w:rsidR="00942135" w:rsidRPr="00DE096C" w:rsidRDefault="00942135" w:rsidP="00D45A46">
      <w:pPr>
        <w:jc w:val="both"/>
        <w:rPr>
          <w:bCs/>
          <w:i/>
          <w:iCs/>
          <w:color w:val="002060"/>
          <w:sz w:val="16"/>
          <w:szCs w:val="16"/>
        </w:rPr>
      </w:pPr>
      <w:r w:rsidRPr="00DE096C">
        <w:rPr>
          <w:bCs/>
          <w:i/>
          <w:iCs/>
          <w:color w:val="002060"/>
          <w:sz w:val="16"/>
          <w:szCs w:val="16"/>
        </w:rPr>
        <w:t>Другие оборонные отрасли:</w:t>
      </w:r>
    </w:p>
    <w:p w14:paraId="618D9124" w14:textId="77777777" w:rsidR="00942135" w:rsidRPr="00DE096C" w:rsidRDefault="00942135" w:rsidP="00D45A46">
      <w:pPr>
        <w:jc w:val="both"/>
        <w:rPr>
          <w:bCs/>
          <w:i/>
          <w:iCs/>
          <w:color w:val="002060"/>
          <w:sz w:val="16"/>
          <w:szCs w:val="16"/>
        </w:rPr>
      </w:pPr>
    </w:p>
    <w:p w14:paraId="4D2F4BB2" w14:textId="2A1936E1" w:rsidR="00B67D7C" w:rsidRPr="00DE096C" w:rsidRDefault="00DC7D78"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октябре 1914 года</w:t>
      </w:r>
      <w:r w:rsidRPr="00DE096C">
        <w:rPr>
          <w:bCs/>
          <w:color w:val="002060"/>
          <w:sz w:val="16"/>
          <w:szCs w:val="16"/>
        </w:rPr>
        <w:t xml:space="preserve"> были начаты испытания опытного образца специальной мины Уайтхеда</w:t>
      </w:r>
      <w:r w:rsidR="00B67D7C" w:rsidRPr="00DE096C">
        <w:rPr>
          <w:bCs/>
          <w:color w:val="002060"/>
          <w:sz w:val="16"/>
          <w:szCs w:val="16"/>
        </w:rPr>
        <w:t xml:space="preserve"> </w:t>
      </w:r>
      <w:r w:rsidRPr="00DE096C">
        <w:rPr>
          <w:bCs/>
          <w:color w:val="002060"/>
          <w:sz w:val="16"/>
          <w:szCs w:val="16"/>
        </w:rPr>
        <w:t xml:space="preserve">для использования с аэроплана "Илья Муромец", </w:t>
      </w:r>
      <w:r w:rsidR="00B67D7C" w:rsidRPr="00DE096C">
        <w:rPr>
          <w:bCs/>
          <w:color w:val="002060"/>
          <w:sz w:val="16"/>
          <w:szCs w:val="16"/>
        </w:rPr>
        <w:t xml:space="preserve">но довести до валового производства торпеду удалось только к осени 1915 года, после чего торпеда получила наименование 45-15. Паралельно к маю 1914 специалисты завода Лесснера доработали для приминения с аэропланов 18 торпед типа "Л". Следующая партия из 24 торпед была доработана к декабрю 1914 года. </w:t>
      </w:r>
    </w:p>
    <w:p w14:paraId="2A77CA4D" w14:textId="77777777" w:rsidR="00B67D7C" w:rsidRPr="00DE096C" w:rsidRDefault="00B67D7C" w:rsidP="00D45A46">
      <w:pPr>
        <w:jc w:val="both"/>
        <w:rPr>
          <w:bCs/>
          <w:color w:val="002060"/>
          <w:sz w:val="16"/>
          <w:szCs w:val="16"/>
        </w:rPr>
      </w:pPr>
      <w:r w:rsidRPr="00DE096C">
        <w:rPr>
          <w:bCs/>
          <w:color w:val="002060"/>
          <w:sz w:val="16"/>
          <w:szCs w:val="16"/>
        </w:rPr>
        <w:t xml:space="preserve">Опыты, проводившиеся с 1907 года с подрывом зарядов у борта списанных судов, прежде всего связанные с испытанием противоминной защиты новых линейных кораблей, дали ценную информацию заключающуюся в том, что для уничтожения тяжелых кораблей противника требуются более мощные заряды весом не менее 160-200 кг. Разместить такой заряд в корпусе калибра 450 мм практически не представлялось возможным, приходилось переходить на более крупный калибр. Во всем мире таким калибром стал 533 мм (21 дюйм). В конце 1914 года заводу Лесснера заказали шесть "опытовых 21-дюймовых мин". В разработке приняли деятельное участие представители фирмы Уайтхеда. Завод принялся за разработку этих образцов, и к осени 1915 год начали испытания 2-х опытных образцов. Конструктивно торпеда представляла собой увеличенную торпеду 45-12. Испытания и доработки продолжались вплоть до осени 1916 года, после чего приступили к валовому производству. Торпеда образца 1916 года обладала по тем временам высокими тактико-техническими данными. Ее боевой заряд составлял 215 кг, а расчетные скорость и дальность хода достигали 45 узлов на 3 километра и 30 узлов на 10 километров. </w:t>
      </w:r>
    </w:p>
    <w:p w14:paraId="5098AF42" w14:textId="77777777" w:rsidR="00B67D7C" w:rsidRPr="00DE096C" w:rsidRDefault="00B67D7C" w:rsidP="00D45A46">
      <w:pPr>
        <w:jc w:val="both"/>
        <w:rPr>
          <w:bCs/>
          <w:color w:val="002060"/>
          <w:sz w:val="16"/>
          <w:szCs w:val="16"/>
        </w:rPr>
      </w:pPr>
      <w:r w:rsidRPr="00DE096C">
        <w:rPr>
          <w:bCs/>
          <w:color w:val="002060"/>
          <w:sz w:val="16"/>
          <w:szCs w:val="16"/>
        </w:rPr>
        <w:t xml:space="preserve">После 1906 года на вооружении Русского флота состояли следующие торпеды: </w:t>
      </w:r>
    </w:p>
    <w:p w14:paraId="0C88552A" w14:textId="77777777" w:rsidR="00B67D7C" w:rsidRPr="00DE096C" w:rsidRDefault="00B67D7C" w:rsidP="00D45A46">
      <w:pPr>
        <w:jc w:val="both"/>
        <w:rPr>
          <w:bCs/>
          <w:color w:val="002060"/>
          <w:sz w:val="16"/>
          <w:szCs w:val="16"/>
        </w:rPr>
      </w:pPr>
      <w:r w:rsidRPr="00DE096C">
        <w:rPr>
          <w:bCs/>
          <w:color w:val="002060"/>
          <w:sz w:val="16"/>
          <w:szCs w:val="16"/>
        </w:rPr>
        <w:t xml:space="preserve">15" (381мм) торпеда типа "С", образца 1897 года, весом 426 кг, имевшая 2 скоростных режима - 900 м/25 узлов и 400 м/30 узлов; снаряжалась 64 кг пироксилина. </w:t>
      </w:r>
    </w:p>
    <w:p w14:paraId="6537EC18" w14:textId="77777777" w:rsidR="00B67D7C" w:rsidRPr="00DE096C" w:rsidRDefault="00B67D7C" w:rsidP="00D45A46">
      <w:pPr>
        <w:jc w:val="both"/>
        <w:rPr>
          <w:bCs/>
          <w:color w:val="002060"/>
          <w:sz w:val="16"/>
          <w:szCs w:val="16"/>
        </w:rPr>
      </w:pPr>
      <w:r w:rsidRPr="00DE096C">
        <w:rPr>
          <w:bCs/>
          <w:color w:val="002060"/>
          <w:sz w:val="16"/>
          <w:szCs w:val="16"/>
        </w:rPr>
        <w:t xml:space="preserve">15" (381мм) торпеда типа "Л", образца 1898 года, весом 430 кг, имевшая 2 скоростных режима - 900 м/25 узлов и 600 м/30 узлов; снаряжалась 64 кг пироксилина. Торпеды типа "Л" использовавшиеся в Воздушных силах были переснаряжены на тротил. </w:t>
      </w:r>
    </w:p>
    <w:p w14:paraId="2D694BA2" w14:textId="77777777" w:rsidR="00B67D7C" w:rsidRPr="00DE096C" w:rsidRDefault="00B67D7C" w:rsidP="00D45A46">
      <w:pPr>
        <w:jc w:val="both"/>
        <w:rPr>
          <w:bCs/>
          <w:color w:val="002060"/>
          <w:sz w:val="16"/>
          <w:szCs w:val="16"/>
        </w:rPr>
      </w:pPr>
      <w:r w:rsidRPr="00DE096C">
        <w:rPr>
          <w:bCs/>
          <w:color w:val="002060"/>
          <w:sz w:val="16"/>
          <w:szCs w:val="16"/>
        </w:rPr>
        <w:t xml:space="preserve">18" (456мм) 45-04 торпеда проекта Фиумского завода обр.1904 года, весом 648 кг, имевшая 2 скоростных режима - 2000 м/25 узлов и 800 м/33 узла; снаряжались 70 кг пироксилина (с 1909 года, в ходе обслуживания переснаряжались тротилом). </w:t>
      </w:r>
    </w:p>
    <w:p w14:paraId="3B874371" w14:textId="77777777" w:rsidR="00B67D7C" w:rsidRPr="00DE096C" w:rsidRDefault="00B67D7C" w:rsidP="00D45A46">
      <w:pPr>
        <w:jc w:val="both"/>
        <w:rPr>
          <w:bCs/>
          <w:color w:val="002060"/>
          <w:sz w:val="16"/>
          <w:szCs w:val="16"/>
        </w:rPr>
      </w:pPr>
      <w:r w:rsidRPr="00DE096C">
        <w:rPr>
          <w:bCs/>
          <w:color w:val="002060"/>
          <w:sz w:val="16"/>
          <w:szCs w:val="16"/>
        </w:rPr>
        <w:t xml:space="preserve">18" (456мм) 45-07 торпеда проекта Фиумского завода обр.1907 года, весом 641 кг, имевшая 3 скоростных режима - 2000 м/27 узлов, 1000 м/34 узла и 600 м/40 узлов; снаряжались 90 кг тротила. Сталебронзовая торпеда для подводных лодок. </w:t>
      </w:r>
    </w:p>
    <w:p w14:paraId="4F332BBA" w14:textId="77777777" w:rsidR="00B67D7C" w:rsidRPr="00DE096C" w:rsidRDefault="00B67D7C" w:rsidP="00D45A46">
      <w:pPr>
        <w:jc w:val="both"/>
        <w:rPr>
          <w:bCs/>
          <w:color w:val="002060"/>
          <w:sz w:val="16"/>
          <w:szCs w:val="16"/>
        </w:rPr>
      </w:pPr>
      <w:r w:rsidRPr="00DE096C">
        <w:rPr>
          <w:bCs/>
          <w:color w:val="002060"/>
          <w:sz w:val="16"/>
          <w:szCs w:val="16"/>
        </w:rPr>
        <w:t xml:space="preserve">18" (456мм) 45-08 торпеда проекта Фиумского завода обр.1908 года, весом 650 кг, имевшая 3 скоростных режима - 3000 м/23 узла, 2000 м/27 узлов и 1000 м/38 узлов; снаряжались 95 кг тротила. Первая торпеда с сухим подогревом. </w:t>
      </w:r>
    </w:p>
    <w:p w14:paraId="79216B10" w14:textId="77777777" w:rsidR="00B67D7C" w:rsidRPr="00DE096C" w:rsidRDefault="00B67D7C" w:rsidP="00D45A46">
      <w:pPr>
        <w:jc w:val="both"/>
        <w:rPr>
          <w:bCs/>
          <w:color w:val="002060"/>
          <w:sz w:val="16"/>
          <w:szCs w:val="16"/>
        </w:rPr>
      </w:pPr>
      <w:r w:rsidRPr="00DE096C">
        <w:rPr>
          <w:bCs/>
          <w:color w:val="002060"/>
          <w:sz w:val="16"/>
          <w:szCs w:val="16"/>
        </w:rPr>
        <w:t xml:space="preserve">18" (456мм) 45-10 торпеда проекта Фиумского завода обр.1910 года, весом 665 кг, имевшая 4 скоростных режима - 4000 м/25 узлов, 3000 м/29 узлов, 2000 м/34 узла и 1000 м/40 узлов; снаряжались 100 кг тротила. Сталебронзовая торпеда для подводных лодок. </w:t>
      </w:r>
    </w:p>
    <w:p w14:paraId="1215459E" w14:textId="77777777" w:rsidR="00B67D7C" w:rsidRPr="00DE096C" w:rsidRDefault="00B67D7C" w:rsidP="00D45A46">
      <w:pPr>
        <w:jc w:val="both"/>
        <w:rPr>
          <w:bCs/>
          <w:color w:val="002060"/>
          <w:sz w:val="16"/>
          <w:szCs w:val="16"/>
        </w:rPr>
      </w:pPr>
      <w:r w:rsidRPr="00DE096C">
        <w:rPr>
          <w:bCs/>
          <w:color w:val="002060"/>
          <w:sz w:val="16"/>
          <w:szCs w:val="16"/>
        </w:rPr>
        <w:t xml:space="preserve">18" (456мм) 45-12 торпеда проекта Фиумского завода обр.1912 года, весом 810 кг, имевшая 3 скоростных режима - 6000 м/28 узлов, 5000 м/30 узлов и 2000 м/43 узла; снаряжались 112 кг тротила. Первая торпеда с влажным подогревом. </w:t>
      </w:r>
    </w:p>
    <w:p w14:paraId="551C7B2A" w14:textId="77777777" w:rsidR="00B67D7C" w:rsidRPr="00DE096C" w:rsidRDefault="00B67D7C" w:rsidP="00D45A46">
      <w:pPr>
        <w:jc w:val="both"/>
        <w:rPr>
          <w:bCs/>
          <w:color w:val="002060"/>
          <w:sz w:val="16"/>
          <w:szCs w:val="16"/>
        </w:rPr>
      </w:pPr>
      <w:r w:rsidRPr="00DE096C">
        <w:rPr>
          <w:bCs/>
          <w:color w:val="002060"/>
          <w:sz w:val="16"/>
          <w:szCs w:val="16"/>
        </w:rPr>
        <w:t xml:space="preserve">18" (456мм) 45-15 торпеда проекта завода Лесснера обр.1915 года, весом 460 кг, имевшая 1 скоростной режим - 1000 м/35 узлов; снаряжались 90 кг тротила. Специальная укороченная торпеда с влажным подогревом. Предназначалась для катеров и аэропланов. </w:t>
      </w:r>
    </w:p>
    <w:p w14:paraId="40ADE003" w14:textId="77777777" w:rsidR="00B67D7C" w:rsidRPr="00DE096C" w:rsidRDefault="00B67D7C" w:rsidP="00D45A46">
      <w:pPr>
        <w:jc w:val="both"/>
        <w:rPr>
          <w:bCs/>
          <w:color w:val="002060"/>
          <w:sz w:val="16"/>
          <w:szCs w:val="16"/>
        </w:rPr>
      </w:pPr>
      <w:r w:rsidRPr="00DE096C">
        <w:rPr>
          <w:bCs/>
          <w:color w:val="002060"/>
          <w:sz w:val="16"/>
          <w:szCs w:val="16"/>
        </w:rPr>
        <w:t xml:space="preserve">21" (533 мм) 53-16 торпеда проекта завода Лесснера обр.1916 года, весом 1660 кг, имевшая 2 скоростных режима - 10000 м/30 узлов, 3000 м/45 узла; снаряжались 225 кг тротила. Торпеда для подводных лодок и надводных кораблей. </w:t>
      </w:r>
    </w:p>
    <w:p w14:paraId="6977A030" w14:textId="77777777" w:rsidR="00B67D7C" w:rsidRPr="00DE096C" w:rsidRDefault="00B67D7C" w:rsidP="00D45A46">
      <w:pPr>
        <w:jc w:val="both"/>
        <w:rPr>
          <w:bCs/>
          <w:color w:val="002060"/>
          <w:sz w:val="16"/>
          <w:szCs w:val="16"/>
        </w:rPr>
      </w:pPr>
      <w:r w:rsidRPr="00DE096C">
        <w:rPr>
          <w:bCs/>
          <w:color w:val="002060"/>
          <w:sz w:val="16"/>
          <w:szCs w:val="16"/>
        </w:rPr>
        <w:t xml:space="preserve">По окончании русско-японской войны пришло время тщательного анализа результатов приминения минного оружия. Уже в первый послевоенный год в ходе боевой учебы миноносные соединения приступили к планомерной обработке группового приминения торпедного оружия. Миноносцы на всех флотах практически круглогодично соврешали учебные походы. Уже в 1908 году минный офицер Гончаров в своем рапорте указывал, что существующие пороховые заряды, используемые для выброса торпед, демаскируют корабль выходящий в атаку, и позволят противнику уклониться от торпедного выстрела. Кроме того, для достижения большей вероятности попадания следует применять все торпеды залпом, приняв все меры для увеличения скорости торпед и дальности их хода. Путь решения виделся следующий - создание беспламенных зарядов. Создать беспламенные заряды удалось только к лету 1913 года, когда удалось привлечь высочайшие возможности </w:t>
      </w:r>
      <w:r w:rsidRPr="00DE096C">
        <w:rPr>
          <w:bCs/>
          <w:color w:val="002060"/>
          <w:sz w:val="16"/>
          <w:szCs w:val="16"/>
        </w:rPr>
        <w:lastRenderedPageBreak/>
        <w:t xml:space="preserve">германской химической промышленности. Поставки специальных зарядов начались поздней осенью 1913 года. После Русско-Японской войны для эсминцев на Путиловском заводе были разработаны двухтрубный торпедый аппарат соответственно обр.1905 и 1908 гг. и трехтрубный торпедный аппарат образца 1913 года. </w:t>
      </w:r>
    </w:p>
    <w:p w14:paraId="2D494E1F" w14:textId="77777777" w:rsidR="00B67D7C" w:rsidRPr="00DE096C" w:rsidRDefault="00B67D7C" w:rsidP="00D45A46">
      <w:pPr>
        <w:jc w:val="both"/>
        <w:rPr>
          <w:bCs/>
          <w:color w:val="002060"/>
          <w:sz w:val="16"/>
          <w:szCs w:val="16"/>
        </w:rPr>
      </w:pPr>
      <w:r w:rsidRPr="00DE096C">
        <w:rPr>
          <w:bCs/>
          <w:color w:val="002060"/>
          <w:sz w:val="16"/>
          <w:szCs w:val="16"/>
        </w:rPr>
        <w:t xml:space="preserve">В заключении стоит рассказать о крайне важном в деле развития минного оружия вопросе пристрелочных станций. В Севастополе, первая постоянно действующая пристрелочная станция начала функционировать в 1887 году. Создали ее на базе старого парохода "Брестовец". На нем установили "две пусковые решетки, опускавшиеся на два фута (0.61 м) ниже днища, большой "воздухонагнетательный насос", станки и прочее оборудование. Для стрельбы из надводного аппарата станции придавалась миноноска. Место стоянки обоих судов определили в Килен-бухте. Отсюда по направлению к Голландии (местность на Северной стороне) и проходила линия стрельбы. За первый год своего существования Севастопольская станция пристреляла 24 торпеды. Для этого пришлось сделать 466 выстрелов. Береговая же пристрелочная станция появилась на Черноморском флоте лишь в 1898 году. Ее постройки возвели на южном берегу Северной бухты неподалеку от места якорной стоянки прежней станции. В связи с увеличившейся дальностью хода торпед пришлось лишь несколько переориентировать линию стрельбы. Теперь она проходила по направлению к Сухарной балке. Возросшие тактико-технические характеристики торпед обусловили необходимость создания новой пристрелочной станции и на Балтике. Размеры Военной гавани уже не могли обеспечить их пристрелку. Участились потери торпед от ударов о стенку гавани. В связи с этим осенью 1903 года для выбора нового места для пристрелочной станции создали специальную комиссию. Она рассмотрела три предварительно отобранных места: на малом Транзундском рейде в бухте Койвисто, в Выборгском заливе и в бухте Царевна под Свеаборгом. Последнее место признали наиболее подходящим. Однако острова, на которых предполагалось разместить станцию, являлись частной собственностью и уговорить их владельца на продажу не удалось. Непреодолимым препятствием оказалось и общественное мнение жителей Гельсингфорса, использовавших эти острова для летнего отдыха. В поисках другого места для пристрелочной станции были рассмотрены многие варианты, в том числе и такие, как постройка специального бассейна в Кронштадте восточнее Военной гавани, размещение станции на Шуваловских озерах, в Сестрорецком разливе и ряде других пунктов. Наконец в 1907 году место выбрали - Копенское озеро на южном берегу Копорского залива (в настоящее время оно называется Копанским). От залива озеро отделяется узким перешейком. Будучи вытянуто с севера на юг на семь верст, оно имело глубину до 49 футов (14.9 м) и славилось исключительно прозрачной водой. Его удаление от Петербурга по шоссе составляло 100 верст, а от железной дороги 20-30 верст. С владельцем озера герцогом Мекленбург-Стрелецким быстро договорились, и 20 октября 1907 года Обуховский завод получил заказ на строительство пристрелочной станции, оценивавшееся по предварительной смете в 313 тыс. руб. Требовалось соорудить саму станцию в виде деревянного строения на сваях или ряжах, построить каменную электростанцию, установить паровой котел и динамо-машину, возвести жилые дома и т. д. Предусматривалась даже разработка специального вагона для перевозки торпед по железной дороге. Строительство станции началось 14 января 1908 года, а уже 7 августа того же года Обуховский завод приступил к пристрелке первой партии торпед. Для их доставки в Копорский залив зафрахтовали пароход "Взрыв". От пристани, вынесенной из-за мелководья далеко в залив, торпеды предполагалось транспортировать по подвесной дороге. Часть ее проходила над водой, для чего между берегом и пристанью установили на ряжах столбы. Подвесная дорога приводилась в действие электромоторами, дублирующим средством являлась рельсовая колея, проложенная по специально сооруженной эстакаде. Однако в свой первый приход пароход "Взрыв" эту систему действующей не застал. Торпеды пришлось сбрасывать за борт "хвостами вниз", а затем буксировать к берегу. Далее до станции их катили по дороге, как бревна. По условиям договора ввод станции в действие должен был завершиться пристрелкой шести торпед с последующей их передачей на крейсер "Боярин". Но из-за повреждений, полученных во время транспортировки, пристрелять первую партию торпед в установленные сроки не удалось. Передача станции в собственность Морского министерства затянулась, и только в 1909 году для ее приемки создали специальную комиссию. В процессе ее работы выяснилось, что строительство станции осуществлялось со значительными упущениями и недостатками, в связи с чем, комиссия сделала многочисленные замечания и высказала ряд предложений. В их число включили строительство железной дороги по южному берегу Финского залива, проведение телефонной линии до Ораниенбаума для связи с Кронштадтом и Петербургом и т. д. Оказались среди замечаний и такие, что свидетельствуют о весьма заботливом отношении наших предшественников к вопросам экологии: "Всеми мерами оберегать озеро от загрязнений, тем более что в нем почти нет течения. Прекратить спуск жидких нечистот, устроив сливной бетонный колодец с насосом для опоражнивания". Честь замечаний Обуховский завод принял, как соответствующие договору, выполнение же других связал с дополнительным финансированием. Так или иначе, но 15 июля 1910 года Копенскую пристрелочную станцию приняли на баланс Морского министерства. Ее главным назначением стала пристрелка торпед, поступающих на флот с заводов Лесснера и Обуховского. Кронштадтскую станцию стали использовать лишь для пристрелки отремонтированных торпед. </w:t>
      </w:r>
    </w:p>
    <w:p w14:paraId="7046B853" w14:textId="77777777" w:rsidR="00B67D7C" w:rsidRPr="00DE096C" w:rsidRDefault="00B67D7C" w:rsidP="00D45A46">
      <w:pPr>
        <w:jc w:val="both"/>
        <w:rPr>
          <w:bCs/>
          <w:color w:val="002060"/>
          <w:sz w:val="16"/>
          <w:szCs w:val="16"/>
        </w:rPr>
      </w:pPr>
      <w:r w:rsidRPr="00DE096C">
        <w:rPr>
          <w:bCs/>
          <w:color w:val="002060"/>
          <w:sz w:val="16"/>
          <w:szCs w:val="16"/>
        </w:rPr>
        <w:t xml:space="preserve">МИНЫ </w:t>
      </w:r>
    </w:p>
    <w:p w14:paraId="641A49C7" w14:textId="77777777" w:rsidR="00B67D7C" w:rsidRPr="00DE096C" w:rsidRDefault="00B67D7C" w:rsidP="00D45A46">
      <w:pPr>
        <w:jc w:val="both"/>
        <w:rPr>
          <w:bCs/>
          <w:color w:val="002060"/>
          <w:sz w:val="16"/>
          <w:szCs w:val="16"/>
        </w:rPr>
      </w:pPr>
      <w:r w:rsidRPr="00DE096C">
        <w:rPr>
          <w:bCs/>
          <w:color w:val="002060"/>
          <w:sz w:val="16"/>
          <w:szCs w:val="16"/>
        </w:rPr>
        <w:t xml:space="preserve">Опыт применения мин в русско-японской войне определил два основных направления в их совершенствовании. Прежде всего, требовалось обеспечить безопасность обращения с минами при постановке в случае повреждения гальваноударных колпаков. Соляной (сахарный) предохранитель такую безопасность гарантировать не мог - в свежую погоду соляные (сахарные) таблетки могли растаять задолго до начала постановки. Во-вторых, требовалось приспособить минные якоря для быстрой и удобной постановки мин на ходу. </w:t>
      </w:r>
    </w:p>
    <w:p w14:paraId="5F8D3A6C" w14:textId="77777777" w:rsidR="00B67D7C" w:rsidRPr="00DE096C" w:rsidRDefault="00B67D7C" w:rsidP="00D45A46">
      <w:pPr>
        <w:jc w:val="both"/>
        <w:rPr>
          <w:bCs/>
          <w:color w:val="002060"/>
          <w:sz w:val="16"/>
          <w:szCs w:val="16"/>
        </w:rPr>
      </w:pPr>
      <w:r w:rsidRPr="00DE096C">
        <w:rPr>
          <w:bCs/>
          <w:color w:val="002060"/>
          <w:sz w:val="16"/>
          <w:szCs w:val="16"/>
        </w:rPr>
        <w:t xml:space="preserve">Первую проблему удалось решить просто. Вспомнили предложенный еще в 1901 году минным кондуктором Ф.Ф. Скрябиным гидростатический предохранитель, делавший мину опасной только после ее прихода на заданное углубление. Что касается второй проблемы, то еще в 1894 году лейтенант А.П. Угрюмов предложил ставить мины с рельсовых путей, проложенных на верхней палубе корабля. Но тогда после испытаний предпочтение отдали более надежному механическому способу лейтенанта В.А. Степанова и об идее Угрюмова забыли более чем на десять лет. Вспомнить о ней заставила война, в ходе которой мины ставили не только с минных заградителей, но и миноносцев. После войны инженер Миклашевский, предложил в 1906 году совместить якорь мины с тележкой. Это изобретение имело огромное значение, так как позволяло ставить мины с любых кораблей, оборудованных сравнительно простыми рельсовыми путями с минными скатами. Теперь появилась возможность устанавливать активные минные заграждения крейсерами, эсминцами и даже катерами. Перемещение мин по рельсам и забортным скатам обеспечивалось двумя роликами, держащая сила была увеличена за счет специальной лапы. Компактность нового якоря позволила существенно (на 30-60 %) увеличить количество мин, принимаемых на корабль. Проведенные испытания "... дали превосходные результаты, обращение с якорем удобное, постановка мин, производившаяся ... на ходах до 17-18 узлов, совершенно точная, автоматические механизмы ... действовали без отказа". Как показал опыт Великой войны, масштабы боевого применения мин на море и их влияние на ход боевых действий намного превзошли предвоенные расчеты и предположения. Оказалось, что наиболее подготовленными в этом отношении были русский и германский флоты. </w:t>
      </w:r>
    </w:p>
    <w:p w14:paraId="480726FD" w14:textId="77777777" w:rsidR="00B67D7C" w:rsidRPr="00DE096C" w:rsidRDefault="00B67D7C" w:rsidP="00D45A46">
      <w:pPr>
        <w:jc w:val="both"/>
        <w:rPr>
          <w:bCs/>
          <w:color w:val="002060"/>
          <w:sz w:val="16"/>
          <w:szCs w:val="16"/>
        </w:rPr>
      </w:pPr>
      <w:r w:rsidRPr="00DE096C">
        <w:rPr>
          <w:bCs/>
          <w:color w:val="002060"/>
          <w:sz w:val="16"/>
          <w:szCs w:val="16"/>
        </w:rPr>
        <w:t xml:space="preserve">Якорная гальвано-ударная мина образца 1908 года </w:t>
      </w:r>
    </w:p>
    <w:p w14:paraId="556F8503" w14:textId="77777777" w:rsidR="00B67D7C" w:rsidRPr="00DE096C" w:rsidRDefault="00B67D7C" w:rsidP="00D45A46">
      <w:pPr>
        <w:jc w:val="both"/>
        <w:rPr>
          <w:bCs/>
          <w:color w:val="002060"/>
          <w:sz w:val="16"/>
          <w:szCs w:val="16"/>
        </w:rPr>
      </w:pPr>
      <w:r w:rsidRPr="00DE096C">
        <w:rPr>
          <w:bCs/>
          <w:color w:val="002060"/>
          <w:sz w:val="16"/>
          <w:szCs w:val="16"/>
        </w:rPr>
        <w:t xml:space="preserve">Эта мина являлась дальнейшим развитием гальваноударных мин образца 1898 и 1906 годов. Предохранитель размещался в крышке единственной монтажной горловины сверху мины, пружинный буфер смягчал рывки минрепа, пять гальванических свинцовых колпаков размещались по периметру корпуса мины. Каждый колпак содержал в себе сухую угольно-цинковую батарею с электролитом в стеклянной ампуле - "склянке". При ударе корабля о мину, свинцовый колпак сминался, "склянка" разбивалась и электролит активизировал батарею. Ток от батареи поступал на запальное устройство и воспламенял детонатор. В качестве взрывчатого вещества вместо пироксилина стал использоваться тротил, якорь установили на 4 ролика, для удержания мины при качке предусмотрели рельсовые захваты. Мина была оборудована противотральными патронами - минными защитниками конструкции П.П. Киткина. Для постановки мины на заданное углубление использовался автоматический штерто-грузовой способ, предложенный еще в 1882 году лейтенантом Н.Н. Азаровым - выдающимся новатором минного дела в отечественном флоте. Суть этого способа заключалась в следующем. Размещенная на якоре вьюшка с минрепом оборудовалась специальным стопором, состоящим из щеколды, пружины и штерта с грузом. При сбрасывании за борт мина, обладавшая положительной плавучестью, оставалась на поверхности. Под действием груза штерт оттягивал щеколду, что обеспечивало свободное сматывание минрепа. Якорь начинал погружаться, разматывая минреп. В момент касания грузом дна напряжение штерта ослабевало, и щеколда под действием пружины стопорила вьюшку. Продолжая погружаться, якорь увлекал мину на глубину, которая точно соответствовала длине штерта с грузом. Порядок приготовления мины к постановке состоял из двух этапов: предварительного, когда устанавливались гальваноударные колпаки, "склянки" с электролитом, предохранительный прибор, приращивались проводники и проверялись все электрические цепи, и окончательного, предусматривающего лишь установку запальной принадлежности. Конструкция этой мины оказалась настолько удачной, что, после незначительной модернизации в 1936 году, под шифром "образца 1908/31 гг." она оставалась на вооружении отечественного флота вплоть до середины 60-х годов. </w:t>
      </w:r>
    </w:p>
    <w:p w14:paraId="324E9A69" w14:textId="77777777" w:rsidR="00B67D7C" w:rsidRPr="00DE096C" w:rsidRDefault="00B67D7C" w:rsidP="00D45A46">
      <w:pPr>
        <w:jc w:val="both"/>
        <w:rPr>
          <w:bCs/>
          <w:color w:val="002060"/>
          <w:sz w:val="16"/>
          <w:szCs w:val="16"/>
        </w:rPr>
      </w:pPr>
      <w:r w:rsidRPr="00DE096C">
        <w:rPr>
          <w:bCs/>
          <w:color w:val="002060"/>
          <w:sz w:val="16"/>
          <w:szCs w:val="16"/>
        </w:rPr>
        <w:t xml:space="preserve">Тактико-технические характеристики: </w:t>
      </w:r>
    </w:p>
    <w:p w14:paraId="0C866B37" w14:textId="77777777" w:rsidR="00B67D7C" w:rsidRPr="00DE096C" w:rsidRDefault="00B67D7C" w:rsidP="00D45A46">
      <w:pPr>
        <w:jc w:val="both"/>
        <w:rPr>
          <w:bCs/>
          <w:color w:val="002060"/>
          <w:sz w:val="16"/>
          <w:szCs w:val="16"/>
        </w:rPr>
      </w:pPr>
      <w:r w:rsidRPr="00DE096C">
        <w:rPr>
          <w:bCs/>
          <w:color w:val="002060"/>
          <w:sz w:val="16"/>
          <w:szCs w:val="16"/>
        </w:rPr>
        <w:t xml:space="preserve">Тип взрывчатого вещества, масса заряда: Тротил, 150 кг </w:t>
      </w:r>
    </w:p>
    <w:p w14:paraId="1BCBD1E2" w14:textId="77777777" w:rsidR="00B67D7C" w:rsidRPr="00DE096C" w:rsidRDefault="00B67D7C" w:rsidP="00D45A46">
      <w:pPr>
        <w:jc w:val="both"/>
        <w:rPr>
          <w:bCs/>
          <w:color w:val="002060"/>
          <w:sz w:val="16"/>
          <w:szCs w:val="16"/>
        </w:rPr>
      </w:pPr>
      <w:r w:rsidRPr="00DE096C">
        <w:rPr>
          <w:bCs/>
          <w:color w:val="002060"/>
          <w:sz w:val="16"/>
          <w:szCs w:val="16"/>
        </w:rPr>
        <w:t xml:space="preserve">Взрыватель: 5 гальваноударных колпаков с электрическим запалом </w:t>
      </w:r>
    </w:p>
    <w:p w14:paraId="753F87B7" w14:textId="77777777" w:rsidR="00B67D7C" w:rsidRPr="00DE096C" w:rsidRDefault="00B67D7C" w:rsidP="00D45A46">
      <w:pPr>
        <w:jc w:val="both"/>
        <w:rPr>
          <w:bCs/>
          <w:color w:val="002060"/>
          <w:sz w:val="16"/>
          <w:szCs w:val="16"/>
        </w:rPr>
      </w:pPr>
      <w:r w:rsidRPr="00DE096C">
        <w:rPr>
          <w:bCs/>
          <w:color w:val="002060"/>
          <w:sz w:val="16"/>
          <w:szCs w:val="16"/>
        </w:rPr>
        <w:t xml:space="preserve">Предохранительное устройство: Соляной (сахарный) разъединитель </w:t>
      </w:r>
    </w:p>
    <w:p w14:paraId="214675A9" w14:textId="77777777" w:rsidR="00B67D7C" w:rsidRPr="00DE096C" w:rsidRDefault="00B67D7C" w:rsidP="00D45A46">
      <w:pPr>
        <w:jc w:val="both"/>
        <w:rPr>
          <w:bCs/>
          <w:color w:val="002060"/>
          <w:sz w:val="16"/>
          <w:szCs w:val="16"/>
        </w:rPr>
      </w:pPr>
      <w:r w:rsidRPr="00DE096C">
        <w:rPr>
          <w:bCs/>
          <w:color w:val="002060"/>
          <w:sz w:val="16"/>
          <w:szCs w:val="16"/>
        </w:rPr>
        <w:t xml:space="preserve">Наибольшая глубина моря: 110 метров </w:t>
      </w:r>
    </w:p>
    <w:p w14:paraId="271CA9BD" w14:textId="77777777" w:rsidR="00B67D7C" w:rsidRPr="00DE096C" w:rsidRDefault="00B67D7C" w:rsidP="00D45A46">
      <w:pPr>
        <w:jc w:val="both"/>
        <w:rPr>
          <w:bCs/>
          <w:color w:val="002060"/>
          <w:sz w:val="16"/>
          <w:szCs w:val="16"/>
        </w:rPr>
      </w:pPr>
      <w:r w:rsidRPr="00DE096C">
        <w:rPr>
          <w:bCs/>
          <w:color w:val="002060"/>
          <w:sz w:val="16"/>
          <w:szCs w:val="16"/>
        </w:rPr>
        <w:t xml:space="preserve">Способ установки на заданное углубление: Автоматический штерто-грузовой, с поверхности </w:t>
      </w:r>
    </w:p>
    <w:p w14:paraId="11A88D3B" w14:textId="77777777" w:rsidR="00B67D7C" w:rsidRPr="00DE096C" w:rsidRDefault="00B67D7C" w:rsidP="00D45A46">
      <w:pPr>
        <w:jc w:val="both"/>
        <w:rPr>
          <w:bCs/>
          <w:color w:val="002060"/>
          <w:sz w:val="16"/>
          <w:szCs w:val="16"/>
        </w:rPr>
      </w:pPr>
      <w:r w:rsidRPr="00DE096C">
        <w:rPr>
          <w:bCs/>
          <w:color w:val="002060"/>
          <w:sz w:val="16"/>
          <w:szCs w:val="16"/>
        </w:rPr>
        <w:t xml:space="preserve">Корпус: Шар из листового железа </w:t>
      </w:r>
    </w:p>
    <w:p w14:paraId="0A3ED48C" w14:textId="77777777" w:rsidR="00B67D7C" w:rsidRPr="00DE096C" w:rsidRDefault="00B67D7C" w:rsidP="00D45A46">
      <w:pPr>
        <w:jc w:val="both"/>
        <w:rPr>
          <w:bCs/>
          <w:color w:val="002060"/>
          <w:sz w:val="16"/>
          <w:szCs w:val="16"/>
        </w:rPr>
      </w:pPr>
      <w:r w:rsidRPr="00DE096C">
        <w:rPr>
          <w:bCs/>
          <w:color w:val="002060"/>
          <w:sz w:val="16"/>
          <w:szCs w:val="16"/>
        </w:rPr>
        <w:t xml:space="preserve">Якорная ударно-механическая мина образца 1912 года </w:t>
      </w:r>
    </w:p>
    <w:p w14:paraId="276CB69C" w14:textId="77777777" w:rsidR="00B67D7C" w:rsidRPr="00DE096C" w:rsidRDefault="00B67D7C" w:rsidP="00D45A46">
      <w:pPr>
        <w:jc w:val="both"/>
        <w:rPr>
          <w:bCs/>
          <w:color w:val="002060"/>
          <w:sz w:val="16"/>
          <w:szCs w:val="16"/>
        </w:rPr>
      </w:pPr>
      <w:r w:rsidRPr="00DE096C">
        <w:rPr>
          <w:bCs/>
          <w:color w:val="002060"/>
          <w:sz w:val="16"/>
          <w:szCs w:val="16"/>
        </w:rPr>
        <w:t xml:space="preserve">Эта мина, созданная на базе мины образца 1908 года с ударно-механическим взрывателем, была снабжена гидростатической системой автоматической установки на заданное углубление, предложенной еще С.О. Макаровым. Сущность этого способа заключалась в следующем. Вьюшка с минрепом, размещенная на мине, снабжалась гидростатическим стопором. При сбрасывании мины за борт стопор препятствовал сматыванию минрепа. Увлекаемая якорем, мина начинала погружаться. При достижении определенной глубины гидростатический стопор освобождал вьюшку, и мина начинала всплывать, а якорь продолжал погружаться. С приходом мины на заданную глубину гидростат срабатывал, вьюшка стопорилась, и мина устанавливалась на нужное углубление. </w:t>
      </w:r>
    </w:p>
    <w:p w14:paraId="10A6378C" w14:textId="77777777" w:rsidR="00B67D7C" w:rsidRPr="00DE096C" w:rsidRDefault="00B67D7C" w:rsidP="00D45A46">
      <w:pPr>
        <w:jc w:val="both"/>
        <w:rPr>
          <w:bCs/>
          <w:color w:val="002060"/>
          <w:sz w:val="16"/>
          <w:szCs w:val="16"/>
        </w:rPr>
      </w:pPr>
      <w:r w:rsidRPr="00DE096C">
        <w:rPr>
          <w:bCs/>
          <w:color w:val="002060"/>
          <w:sz w:val="16"/>
          <w:szCs w:val="16"/>
        </w:rPr>
        <w:t xml:space="preserve">Тактико-технические характеристики: </w:t>
      </w:r>
    </w:p>
    <w:p w14:paraId="53ADA42A" w14:textId="77777777" w:rsidR="00B67D7C" w:rsidRPr="00DE096C" w:rsidRDefault="00B67D7C" w:rsidP="00D45A46">
      <w:pPr>
        <w:jc w:val="both"/>
        <w:rPr>
          <w:bCs/>
          <w:color w:val="002060"/>
          <w:sz w:val="16"/>
          <w:szCs w:val="16"/>
        </w:rPr>
      </w:pPr>
      <w:r w:rsidRPr="00DE096C">
        <w:rPr>
          <w:bCs/>
          <w:color w:val="002060"/>
          <w:sz w:val="16"/>
          <w:szCs w:val="16"/>
        </w:rPr>
        <w:lastRenderedPageBreak/>
        <w:t xml:space="preserve">Тип взрывчатого вещества, масса заряда: Тротил, 165 кг </w:t>
      </w:r>
    </w:p>
    <w:p w14:paraId="477FC2D6" w14:textId="77777777" w:rsidR="00B67D7C" w:rsidRPr="00DE096C" w:rsidRDefault="00B67D7C" w:rsidP="00D45A46">
      <w:pPr>
        <w:jc w:val="both"/>
        <w:rPr>
          <w:bCs/>
          <w:color w:val="002060"/>
          <w:sz w:val="16"/>
          <w:szCs w:val="16"/>
        </w:rPr>
      </w:pPr>
      <w:r w:rsidRPr="00DE096C">
        <w:rPr>
          <w:bCs/>
          <w:color w:val="002060"/>
          <w:sz w:val="16"/>
          <w:szCs w:val="16"/>
        </w:rPr>
        <w:t xml:space="preserve">Взрыватель: Ударно-механический с капсюльным запалом </w:t>
      </w:r>
    </w:p>
    <w:p w14:paraId="0B6274F2" w14:textId="77777777" w:rsidR="00B67D7C" w:rsidRPr="00DE096C" w:rsidRDefault="00B67D7C" w:rsidP="00D45A46">
      <w:pPr>
        <w:jc w:val="both"/>
        <w:rPr>
          <w:bCs/>
          <w:color w:val="002060"/>
          <w:sz w:val="16"/>
          <w:szCs w:val="16"/>
        </w:rPr>
      </w:pPr>
      <w:r w:rsidRPr="00DE096C">
        <w:rPr>
          <w:bCs/>
          <w:color w:val="002060"/>
          <w:sz w:val="16"/>
          <w:szCs w:val="16"/>
        </w:rPr>
        <w:t xml:space="preserve">Предохранительное устройство: Соляной (сахарный) разъединитель и гидростат </w:t>
      </w:r>
    </w:p>
    <w:p w14:paraId="5B2D1C4A" w14:textId="77777777" w:rsidR="00B67D7C" w:rsidRPr="00DE096C" w:rsidRDefault="00B67D7C" w:rsidP="00D45A46">
      <w:pPr>
        <w:jc w:val="both"/>
        <w:rPr>
          <w:bCs/>
          <w:color w:val="002060"/>
          <w:sz w:val="16"/>
          <w:szCs w:val="16"/>
        </w:rPr>
      </w:pPr>
      <w:r w:rsidRPr="00DE096C">
        <w:rPr>
          <w:bCs/>
          <w:color w:val="002060"/>
          <w:sz w:val="16"/>
          <w:szCs w:val="16"/>
        </w:rPr>
        <w:t xml:space="preserve">Наибольшая глубина моря: 130 метров </w:t>
      </w:r>
    </w:p>
    <w:p w14:paraId="6CA31B72" w14:textId="77777777" w:rsidR="00B67D7C" w:rsidRPr="00DE096C" w:rsidRDefault="00B67D7C" w:rsidP="00D45A46">
      <w:pPr>
        <w:jc w:val="both"/>
        <w:rPr>
          <w:bCs/>
          <w:color w:val="002060"/>
          <w:sz w:val="16"/>
          <w:szCs w:val="16"/>
        </w:rPr>
      </w:pPr>
      <w:r w:rsidRPr="00DE096C">
        <w:rPr>
          <w:bCs/>
          <w:color w:val="002060"/>
          <w:sz w:val="16"/>
          <w:szCs w:val="16"/>
        </w:rPr>
        <w:t xml:space="preserve">Способ установки на заданное углубление: Автоматический с гидростатическим стопором, с глубины </w:t>
      </w:r>
    </w:p>
    <w:p w14:paraId="4860D914" w14:textId="77777777" w:rsidR="00B67D7C" w:rsidRPr="00DE096C" w:rsidRDefault="00B67D7C" w:rsidP="00D45A46">
      <w:pPr>
        <w:jc w:val="both"/>
        <w:rPr>
          <w:bCs/>
          <w:color w:val="002060"/>
          <w:sz w:val="16"/>
          <w:szCs w:val="16"/>
        </w:rPr>
      </w:pPr>
      <w:r w:rsidRPr="00DE096C">
        <w:rPr>
          <w:bCs/>
          <w:color w:val="002060"/>
          <w:sz w:val="16"/>
          <w:szCs w:val="16"/>
        </w:rPr>
        <w:t xml:space="preserve">Корпус: Шар из листового железа </w:t>
      </w:r>
    </w:p>
    <w:p w14:paraId="4674A710" w14:textId="77777777" w:rsidR="00B67D7C" w:rsidRPr="00DE096C" w:rsidRDefault="00B67D7C" w:rsidP="00D45A46">
      <w:pPr>
        <w:jc w:val="both"/>
        <w:rPr>
          <w:bCs/>
          <w:color w:val="002060"/>
          <w:sz w:val="16"/>
          <w:szCs w:val="16"/>
        </w:rPr>
      </w:pPr>
      <w:r w:rsidRPr="00DE096C">
        <w:rPr>
          <w:bCs/>
          <w:color w:val="002060"/>
          <w:sz w:val="16"/>
          <w:szCs w:val="16"/>
        </w:rPr>
        <w:t xml:space="preserve">Минный защитник конструкции П. П. Киткина, 1912 год </w:t>
      </w:r>
    </w:p>
    <w:p w14:paraId="0439DFA4" w14:textId="77777777" w:rsidR="00B67D7C" w:rsidRPr="00DE096C" w:rsidRDefault="00B67D7C" w:rsidP="00D45A46">
      <w:pPr>
        <w:jc w:val="both"/>
        <w:rPr>
          <w:bCs/>
          <w:color w:val="002060"/>
          <w:sz w:val="16"/>
          <w:szCs w:val="16"/>
        </w:rPr>
      </w:pPr>
      <w:r w:rsidRPr="00DE096C">
        <w:rPr>
          <w:bCs/>
          <w:color w:val="002060"/>
          <w:sz w:val="16"/>
          <w:szCs w:val="16"/>
        </w:rPr>
        <w:t xml:space="preserve">В связи с появлением контактных тралов, флотские специалисты начали изыскивать пути защиты минных заграждений от траления. В 1912 году П.П. Киткин закончил разработку первого автоматического минного защитника. Конструктивно он представлял собой буй, удерживающийся под водой с помощью якоря. На буйрепе через определенные расстояния подвешивались подрывные патроны. При соприкосновении с ними трал перебивался. После успешных испытаний началось серийное производство минных защитников. </w:t>
      </w:r>
    </w:p>
    <w:p w14:paraId="3B454D5A" w14:textId="77777777" w:rsidR="00B67D7C" w:rsidRPr="00DE096C" w:rsidRDefault="00B67D7C" w:rsidP="00D45A46">
      <w:pPr>
        <w:jc w:val="both"/>
        <w:rPr>
          <w:bCs/>
          <w:color w:val="002060"/>
          <w:sz w:val="16"/>
          <w:szCs w:val="16"/>
        </w:rPr>
      </w:pPr>
      <w:r w:rsidRPr="00DE096C">
        <w:rPr>
          <w:bCs/>
          <w:color w:val="002060"/>
          <w:sz w:val="16"/>
          <w:szCs w:val="16"/>
        </w:rPr>
        <w:t xml:space="preserve">Малая якорная мина типа "Рыбка", образца 1915 год </w:t>
      </w:r>
    </w:p>
    <w:p w14:paraId="6CB54711" w14:textId="77777777" w:rsidR="00B67D7C" w:rsidRPr="00DE096C" w:rsidRDefault="00B67D7C" w:rsidP="00D45A46">
      <w:pPr>
        <w:jc w:val="both"/>
        <w:rPr>
          <w:bCs/>
          <w:color w:val="002060"/>
          <w:sz w:val="16"/>
          <w:szCs w:val="16"/>
        </w:rPr>
      </w:pPr>
      <w:r w:rsidRPr="00DE096C">
        <w:rPr>
          <w:bCs/>
          <w:color w:val="002060"/>
          <w:sz w:val="16"/>
          <w:szCs w:val="16"/>
        </w:rPr>
        <w:t xml:space="preserve">Очень удачная по своим характеристикам мина, использовалась против подводных лодок противника и для постановки на малом углублении. </w:t>
      </w:r>
    </w:p>
    <w:p w14:paraId="01743B0F" w14:textId="77777777" w:rsidR="00B67D7C" w:rsidRPr="00DE096C" w:rsidRDefault="00B67D7C" w:rsidP="00D45A46">
      <w:pPr>
        <w:jc w:val="both"/>
        <w:rPr>
          <w:bCs/>
          <w:color w:val="002060"/>
          <w:sz w:val="16"/>
          <w:szCs w:val="16"/>
        </w:rPr>
      </w:pPr>
      <w:r w:rsidRPr="00DE096C">
        <w:rPr>
          <w:bCs/>
          <w:color w:val="002060"/>
          <w:sz w:val="16"/>
          <w:szCs w:val="16"/>
        </w:rPr>
        <w:t xml:space="preserve">Тактико-технические характеристики: </w:t>
      </w:r>
    </w:p>
    <w:p w14:paraId="630A66DE" w14:textId="77777777" w:rsidR="00B67D7C" w:rsidRPr="00DE096C" w:rsidRDefault="00B67D7C" w:rsidP="00D45A46">
      <w:pPr>
        <w:jc w:val="both"/>
        <w:rPr>
          <w:bCs/>
          <w:color w:val="002060"/>
          <w:sz w:val="16"/>
          <w:szCs w:val="16"/>
        </w:rPr>
      </w:pPr>
      <w:r w:rsidRPr="00DE096C">
        <w:rPr>
          <w:bCs/>
          <w:color w:val="002060"/>
          <w:sz w:val="16"/>
          <w:szCs w:val="16"/>
        </w:rPr>
        <w:t xml:space="preserve">Тип взрывчатого вещества, масса заряда: Тротил 15 кг </w:t>
      </w:r>
    </w:p>
    <w:p w14:paraId="21194A3D" w14:textId="77777777" w:rsidR="00B67D7C" w:rsidRPr="00DE096C" w:rsidRDefault="00B67D7C" w:rsidP="00D45A46">
      <w:pPr>
        <w:jc w:val="both"/>
        <w:rPr>
          <w:bCs/>
          <w:color w:val="002060"/>
          <w:sz w:val="16"/>
          <w:szCs w:val="16"/>
        </w:rPr>
      </w:pPr>
      <w:r w:rsidRPr="00DE096C">
        <w:rPr>
          <w:bCs/>
          <w:color w:val="002060"/>
          <w:sz w:val="16"/>
          <w:szCs w:val="16"/>
        </w:rPr>
        <w:t xml:space="preserve">Взрыватель: Ударно-механический с капсюльным запалом </w:t>
      </w:r>
    </w:p>
    <w:p w14:paraId="6241C134" w14:textId="77777777" w:rsidR="00B67D7C" w:rsidRPr="00DE096C" w:rsidRDefault="00B67D7C" w:rsidP="00D45A46">
      <w:pPr>
        <w:jc w:val="both"/>
        <w:rPr>
          <w:bCs/>
          <w:color w:val="002060"/>
          <w:sz w:val="16"/>
          <w:szCs w:val="16"/>
        </w:rPr>
      </w:pPr>
      <w:r w:rsidRPr="00DE096C">
        <w:rPr>
          <w:bCs/>
          <w:color w:val="002060"/>
          <w:sz w:val="16"/>
          <w:szCs w:val="16"/>
        </w:rPr>
        <w:t xml:space="preserve">Предохранительное устройство: Гидростат </w:t>
      </w:r>
    </w:p>
    <w:p w14:paraId="0F9DC6D4" w14:textId="77777777" w:rsidR="00B67D7C" w:rsidRPr="00DE096C" w:rsidRDefault="00B67D7C" w:rsidP="00D45A46">
      <w:pPr>
        <w:jc w:val="both"/>
        <w:rPr>
          <w:bCs/>
          <w:color w:val="002060"/>
          <w:sz w:val="16"/>
          <w:szCs w:val="16"/>
        </w:rPr>
      </w:pPr>
      <w:r w:rsidRPr="00DE096C">
        <w:rPr>
          <w:bCs/>
          <w:color w:val="002060"/>
          <w:sz w:val="16"/>
          <w:szCs w:val="16"/>
        </w:rPr>
        <w:t xml:space="preserve">Наибольшая глубина моря: 130 метров </w:t>
      </w:r>
    </w:p>
    <w:p w14:paraId="32E16BD0" w14:textId="77777777" w:rsidR="00B67D7C" w:rsidRPr="00DE096C" w:rsidRDefault="00B67D7C" w:rsidP="00D45A46">
      <w:pPr>
        <w:jc w:val="both"/>
        <w:rPr>
          <w:bCs/>
          <w:color w:val="002060"/>
          <w:sz w:val="16"/>
          <w:szCs w:val="16"/>
        </w:rPr>
      </w:pPr>
      <w:r w:rsidRPr="00DE096C">
        <w:rPr>
          <w:bCs/>
          <w:color w:val="002060"/>
          <w:sz w:val="16"/>
          <w:szCs w:val="16"/>
        </w:rPr>
        <w:t xml:space="preserve">Способ установки на заданное углубление: Автоматический штерто-грузовой, с поверхности </w:t>
      </w:r>
    </w:p>
    <w:p w14:paraId="0CF1D844" w14:textId="77777777" w:rsidR="00B67D7C" w:rsidRPr="00DE096C" w:rsidRDefault="00B67D7C" w:rsidP="00D45A46">
      <w:pPr>
        <w:jc w:val="both"/>
        <w:rPr>
          <w:bCs/>
          <w:color w:val="002060"/>
          <w:sz w:val="16"/>
          <w:szCs w:val="16"/>
        </w:rPr>
      </w:pPr>
      <w:r w:rsidRPr="00DE096C">
        <w:rPr>
          <w:bCs/>
          <w:color w:val="002060"/>
          <w:sz w:val="16"/>
          <w:szCs w:val="16"/>
        </w:rPr>
        <w:t xml:space="preserve">Корпус: Рыбовидный с хвостовым стабилизатором, из листового железа </w:t>
      </w:r>
    </w:p>
    <w:p w14:paraId="35026A0B" w14:textId="77777777" w:rsidR="00B67D7C" w:rsidRPr="00DE096C" w:rsidRDefault="00B67D7C" w:rsidP="00D45A46">
      <w:pPr>
        <w:jc w:val="both"/>
        <w:rPr>
          <w:bCs/>
          <w:color w:val="002060"/>
          <w:sz w:val="16"/>
          <w:szCs w:val="16"/>
        </w:rPr>
      </w:pPr>
      <w:r w:rsidRPr="00DE096C">
        <w:rPr>
          <w:bCs/>
          <w:color w:val="002060"/>
          <w:sz w:val="16"/>
          <w:szCs w:val="16"/>
        </w:rPr>
        <w:t xml:space="preserve">Специальная подлодочная мина ПЛ-100 </w:t>
      </w:r>
    </w:p>
    <w:p w14:paraId="38AAEA75" w14:textId="77777777" w:rsidR="00B67D7C" w:rsidRPr="00DE096C" w:rsidRDefault="00B67D7C" w:rsidP="00D45A46">
      <w:pPr>
        <w:jc w:val="both"/>
        <w:rPr>
          <w:bCs/>
          <w:color w:val="002060"/>
          <w:sz w:val="16"/>
          <w:szCs w:val="16"/>
        </w:rPr>
      </w:pPr>
      <w:r w:rsidRPr="00DE096C">
        <w:rPr>
          <w:bCs/>
          <w:color w:val="002060"/>
          <w:sz w:val="16"/>
          <w:szCs w:val="16"/>
        </w:rPr>
        <w:t xml:space="preserve">С 1907 года велась разработка мины для строившегося в Николаеве первого в мире подводного минного заградителя "Краб". В работе непосредственное участие принимал конструктор "Краба" М.П. Налетов. В основе конструкции, получившей индекс ПЛ-100, лежала мина образца 1912 года, приспособленная к постановке из минных труб подводного заградителя. В собранном виде мина имела почти нулевую плавучесть, что обеспечивало сохранение диффрентовки заградителя в момент постановки мин. Достигалось это за счет специальной воздушной полости в якоре, которая, с выходом мины из трубы заградителя, быстро заполнялась водой. Якорь получал отрицательную плавучесть, и мина опускалась на дно. После отработки часового механизма срабатывал стопор вьюшки, мина начинала всплывать и устанавливалась на заданное углубление с помощью гидростата. </w:t>
      </w:r>
    </w:p>
    <w:p w14:paraId="0FF168C4" w14:textId="77777777" w:rsidR="00B67D7C" w:rsidRPr="00DE096C" w:rsidRDefault="00B67D7C" w:rsidP="00D45A46">
      <w:pPr>
        <w:jc w:val="both"/>
        <w:rPr>
          <w:bCs/>
          <w:color w:val="002060"/>
          <w:sz w:val="16"/>
          <w:szCs w:val="16"/>
        </w:rPr>
      </w:pPr>
      <w:r w:rsidRPr="00DE096C">
        <w:rPr>
          <w:bCs/>
          <w:color w:val="002060"/>
          <w:sz w:val="16"/>
          <w:szCs w:val="16"/>
        </w:rPr>
        <w:t xml:space="preserve">Тактико-технические характеристики: </w:t>
      </w:r>
    </w:p>
    <w:p w14:paraId="3B4CEE03" w14:textId="77777777" w:rsidR="00B67D7C" w:rsidRPr="00DE096C" w:rsidRDefault="00B67D7C" w:rsidP="00D45A46">
      <w:pPr>
        <w:jc w:val="both"/>
        <w:rPr>
          <w:bCs/>
          <w:color w:val="002060"/>
          <w:sz w:val="16"/>
          <w:szCs w:val="16"/>
        </w:rPr>
      </w:pPr>
      <w:r w:rsidRPr="00DE096C">
        <w:rPr>
          <w:bCs/>
          <w:color w:val="002060"/>
          <w:sz w:val="16"/>
          <w:szCs w:val="16"/>
        </w:rPr>
        <w:t xml:space="preserve">Тип взрывчатого вещества, масса заряда: Тротил, 100 кг </w:t>
      </w:r>
    </w:p>
    <w:p w14:paraId="1153B585" w14:textId="77777777" w:rsidR="00B67D7C" w:rsidRPr="00DE096C" w:rsidRDefault="00B67D7C" w:rsidP="00D45A46">
      <w:pPr>
        <w:jc w:val="both"/>
        <w:rPr>
          <w:bCs/>
          <w:color w:val="002060"/>
          <w:sz w:val="16"/>
          <w:szCs w:val="16"/>
        </w:rPr>
      </w:pPr>
      <w:r w:rsidRPr="00DE096C">
        <w:rPr>
          <w:bCs/>
          <w:color w:val="002060"/>
          <w:sz w:val="16"/>
          <w:szCs w:val="16"/>
        </w:rPr>
        <w:t xml:space="preserve">Взрыватель: Ударно-механический с капсюльным запалом </w:t>
      </w:r>
    </w:p>
    <w:p w14:paraId="53676D48" w14:textId="77777777" w:rsidR="00B67D7C" w:rsidRPr="00DE096C" w:rsidRDefault="00B67D7C" w:rsidP="00D45A46">
      <w:pPr>
        <w:jc w:val="both"/>
        <w:rPr>
          <w:bCs/>
          <w:color w:val="002060"/>
          <w:sz w:val="16"/>
          <w:szCs w:val="16"/>
        </w:rPr>
      </w:pPr>
      <w:r w:rsidRPr="00DE096C">
        <w:rPr>
          <w:bCs/>
          <w:color w:val="002060"/>
          <w:sz w:val="16"/>
          <w:szCs w:val="16"/>
        </w:rPr>
        <w:t xml:space="preserve">Предохранительное устройство: Соляной (сахарный) разъединитель и гидростат </w:t>
      </w:r>
    </w:p>
    <w:p w14:paraId="41D84550" w14:textId="77777777" w:rsidR="00B67D7C" w:rsidRPr="00DE096C" w:rsidRDefault="00B67D7C" w:rsidP="00D45A46">
      <w:pPr>
        <w:jc w:val="both"/>
        <w:rPr>
          <w:bCs/>
          <w:color w:val="002060"/>
          <w:sz w:val="16"/>
          <w:szCs w:val="16"/>
        </w:rPr>
      </w:pPr>
      <w:r w:rsidRPr="00DE096C">
        <w:rPr>
          <w:bCs/>
          <w:color w:val="002060"/>
          <w:sz w:val="16"/>
          <w:szCs w:val="16"/>
        </w:rPr>
        <w:t xml:space="preserve">Наибольшая глубина моря: 130 метров </w:t>
      </w:r>
    </w:p>
    <w:p w14:paraId="20E7E5F5" w14:textId="77777777" w:rsidR="00B67D7C" w:rsidRPr="00DE096C" w:rsidRDefault="00B67D7C" w:rsidP="00D45A46">
      <w:pPr>
        <w:jc w:val="both"/>
        <w:rPr>
          <w:bCs/>
          <w:color w:val="002060"/>
          <w:sz w:val="16"/>
          <w:szCs w:val="16"/>
        </w:rPr>
      </w:pPr>
      <w:r w:rsidRPr="00DE096C">
        <w:rPr>
          <w:bCs/>
          <w:color w:val="002060"/>
          <w:sz w:val="16"/>
          <w:szCs w:val="16"/>
        </w:rPr>
        <w:t xml:space="preserve">Способ установки на заданное углубление: Автоматический с гидростатическим стопором, с глубины </w:t>
      </w:r>
    </w:p>
    <w:p w14:paraId="7B6D9DF3" w14:textId="77777777" w:rsidR="00B67D7C" w:rsidRPr="00DE096C" w:rsidRDefault="00B67D7C" w:rsidP="00D45A46">
      <w:pPr>
        <w:jc w:val="both"/>
        <w:rPr>
          <w:bCs/>
          <w:color w:val="002060"/>
          <w:sz w:val="16"/>
          <w:szCs w:val="16"/>
        </w:rPr>
      </w:pPr>
      <w:r w:rsidRPr="00DE096C">
        <w:rPr>
          <w:bCs/>
          <w:color w:val="002060"/>
          <w:sz w:val="16"/>
          <w:szCs w:val="16"/>
        </w:rPr>
        <w:t>Корпус: Шар из листового железа (12284).</w:t>
      </w:r>
    </w:p>
    <w:p w14:paraId="37516B17" w14:textId="77777777" w:rsidR="00B67D7C" w:rsidRPr="00DE096C" w:rsidRDefault="00B67D7C" w:rsidP="00D45A46">
      <w:pPr>
        <w:jc w:val="both"/>
        <w:rPr>
          <w:bCs/>
          <w:color w:val="002060"/>
          <w:sz w:val="16"/>
          <w:szCs w:val="16"/>
        </w:rPr>
      </w:pPr>
    </w:p>
    <w:p w14:paraId="498615EA" w14:textId="77777777" w:rsidR="00F22FAC" w:rsidRPr="00DE096C" w:rsidRDefault="00F22FAC" w:rsidP="00D45A46">
      <w:pPr>
        <w:pStyle w:val="p1"/>
        <w:spacing w:before="0" w:beforeAutospacing="0" w:after="0" w:afterAutospacing="0"/>
        <w:jc w:val="both"/>
        <w:rPr>
          <w:bCs/>
          <w:color w:val="002060"/>
          <w:sz w:val="16"/>
          <w:szCs w:val="16"/>
        </w:rPr>
      </w:pPr>
      <w:r w:rsidRPr="00DE096C">
        <w:rPr>
          <w:bCs/>
          <w:color w:val="002060"/>
          <w:sz w:val="16"/>
          <w:szCs w:val="16"/>
        </w:rPr>
        <w:t>В октябре 1914 г. мастерская взрывателей Сестрорецкого завода уже работала в новом помещении, а остальная часть завода приводилась в порядок (18409).</w:t>
      </w:r>
    </w:p>
    <w:p w14:paraId="38039391" w14:textId="77777777" w:rsidR="00F22FAC" w:rsidRPr="00DE096C" w:rsidRDefault="00F22FAC" w:rsidP="00D45A46">
      <w:pPr>
        <w:pStyle w:val="p1"/>
        <w:spacing w:before="0" w:beforeAutospacing="0" w:after="0" w:afterAutospacing="0"/>
        <w:jc w:val="both"/>
        <w:rPr>
          <w:bCs/>
          <w:color w:val="002060"/>
          <w:sz w:val="16"/>
          <w:szCs w:val="16"/>
        </w:rPr>
      </w:pPr>
    </w:p>
    <w:p w14:paraId="7C40E82E" w14:textId="77777777" w:rsidR="00F22FAC" w:rsidRPr="00DE096C" w:rsidRDefault="00F22FAC" w:rsidP="00D45A46">
      <w:pPr>
        <w:pStyle w:val="21"/>
        <w:shd w:val="clear" w:color="auto" w:fill="auto"/>
        <w:spacing w:after="0" w:line="240" w:lineRule="auto"/>
        <w:ind w:firstLine="0"/>
        <w:jc w:val="both"/>
        <w:rPr>
          <w:rFonts w:ascii="Times New Roman" w:hAnsi="Times New Roman" w:cs="Times New Roman"/>
          <w:bCs/>
          <w:color w:val="002060"/>
          <w:spacing w:val="0"/>
          <w:sz w:val="16"/>
          <w:szCs w:val="16"/>
        </w:rPr>
      </w:pPr>
      <w:r w:rsidRPr="00DE096C">
        <w:rPr>
          <w:rFonts w:ascii="Times New Roman" w:hAnsi="Times New Roman" w:cs="Times New Roman"/>
          <w:bCs/>
          <w:color w:val="002060"/>
          <w:spacing w:val="0"/>
          <w:sz w:val="16"/>
          <w:szCs w:val="16"/>
        </w:rPr>
        <w:t>В октябре 1914 года Главное управление Генерального штаба России сообщало военному министру, что в действующей армии выявился недостаток в 870 тысяч винтовок: 585 тысяч — для новобранцев призыва 1914 г.; 170 тысяч — для пополнения по требованиям фронтов; 93 тысячи — для запасных батальонов; 22 тысячи — для вновь формируемых подразделений казаков. В дальнейшем «винтовочно-патронный голод» приобрел масштабы катастрофы. Действительные потребности русской армии в винтовках превзошли мобилизационные расчеты более чем на 150%. О возможности подобного негативного развития событий специалисты по военно-техническому снабжению предупреждали военное министерство России еще в 1912 году. Тогда Главное артиллерийское управление (ГАУ) констатировало недопустимое снижение объема производства стрелкового оружия. ГАУ неоднократно обращалось к военному министру В.А. Сухомлинову со специальными докладами о критическом положении с выпуском винтовок на казенных заводах. Одновременно ведомство требовало соответствующих ассигнований на модернизацию оружейных предприятий, но всякий раз получало отказ. В.А. Сухомлинов не смог преодолеть фактического «вето» на финансирование некоторых важных программ по перевооружению армии, которое накладывал тогдашний министр финансов В.Н. Коковцев (15230).</w:t>
      </w:r>
    </w:p>
    <w:p w14:paraId="611829FD" w14:textId="77777777" w:rsidR="00F22FAC" w:rsidRPr="00DE096C" w:rsidRDefault="00F22FAC" w:rsidP="00D45A46">
      <w:pPr>
        <w:pStyle w:val="21"/>
        <w:shd w:val="clear" w:color="auto" w:fill="auto"/>
        <w:spacing w:after="0" w:line="240" w:lineRule="auto"/>
        <w:ind w:firstLine="0"/>
        <w:jc w:val="both"/>
        <w:rPr>
          <w:rFonts w:ascii="Times New Roman" w:hAnsi="Times New Roman" w:cs="Times New Roman"/>
          <w:bCs/>
          <w:color w:val="002060"/>
          <w:spacing w:val="0"/>
          <w:sz w:val="16"/>
          <w:szCs w:val="16"/>
        </w:rPr>
      </w:pPr>
    </w:p>
    <w:p w14:paraId="770FC3B8" w14:textId="77777777" w:rsidR="00F22FAC" w:rsidRPr="00DE096C" w:rsidRDefault="00F22FAC" w:rsidP="00D45A46">
      <w:pPr>
        <w:pStyle w:val="ae"/>
        <w:spacing w:before="0" w:beforeAutospacing="0" w:after="0" w:afterAutospacing="0"/>
        <w:jc w:val="both"/>
        <w:rPr>
          <w:bCs/>
          <w:color w:val="002060"/>
          <w:sz w:val="16"/>
          <w:szCs w:val="16"/>
        </w:rPr>
      </w:pPr>
      <w:r w:rsidRPr="00DE096C">
        <w:rPr>
          <w:bCs/>
          <w:color w:val="002060"/>
          <w:sz w:val="16"/>
          <w:szCs w:val="16"/>
        </w:rPr>
        <w:t>В октябре 1914 г. был утвержден Устав акционерного общества «Русский Рено», учредителями которого выступили член Государственной думы Л.В. Половцев и французский подданный Поль Сико. Целью общества были производство и продажа автомобилей, автомобильных и авиационных двигателей, эксплуатация автомобилей и прочее. В 1914 - 1916 гг. обществом был построен и первоклассно оборудован в Петрограде завод, осуществлявший сборку, испытание авиадвигателей «Рено» и изготовление запасных частей к ним. На заводе действовало и автомобильное отделение. Всего на предприятии размещалось 770 станков. К началу 1917 г. в цехах завода трудилось около 2 тыс. рабочих. Несмотря на эти обстоятельства, производительность предприятия была невелика - всего 10 моторов в месяц (18369).</w:t>
      </w:r>
    </w:p>
    <w:p w14:paraId="32D470DE" w14:textId="77777777" w:rsidR="00F22FAC" w:rsidRPr="00DE096C" w:rsidRDefault="00F22FAC" w:rsidP="00D45A46">
      <w:pPr>
        <w:pStyle w:val="ae"/>
        <w:spacing w:before="0" w:beforeAutospacing="0" w:after="0" w:afterAutospacing="0"/>
        <w:jc w:val="both"/>
        <w:rPr>
          <w:bCs/>
          <w:color w:val="002060"/>
          <w:sz w:val="16"/>
          <w:szCs w:val="16"/>
        </w:rPr>
      </w:pPr>
    </w:p>
    <w:p w14:paraId="3B922E9D" w14:textId="77777777" w:rsidR="00875887" w:rsidRPr="00B52707" w:rsidRDefault="00875887" w:rsidP="00875887">
      <w:pPr>
        <w:jc w:val="both"/>
        <w:rPr>
          <w:color w:val="0070C0"/>
          <w:sz w:val="16"/>
          <w:szCs w:val="16"/>
        </w:rPr>
      </w:pPr>
      <w:r w:rsidRPr="00B52707">
        <w:rPr>
          <w:color w:val="0070C0"/>
          <w:sz w:val="16"/>
          <w:szCs w:val="16"/>
        </w:rPr>
        <w:t>В октябре 1914 года Морской Генеральный штаб (МГШ) указал на необходимость «срочного, не жалея денег, производства опытов по выработке мер и приспособлений для борьбы с подводными лодками».</w:t>
      </w:r>
    </w:p>
    <w:p w14:paraId="72130244" w14:textId="77777777" w:rsidR="00875887" w:rsidRPr="00B52707" w:rsidRDefault="00875887" w:rsidP="00875887">
      <w:pPr>
        <w:jc w:val="both"/>
        <w:rPr>
          <w:color w:val="0070C0"/>
          <w:sz w:val="16"/>
          <w:szCs w:val="16"/>
        </w:rPr>
      </w:pPr>
      <w:r w:rsidRPr="00B52707">
        <w:rPr>
          <w:color w:val="0070C0"/>
          <w:sz w:val="16"/>
          <w:szCs w:val="16"/>
        </w:rPr>
        <w:t>Спешно разворачиваются работы по изготовлению позиционных противолодочных средств, создаются, испытываются и внедряются новые образцы противолодочного оружия. Распоряжением МГШ морским агентам за границей было дано указание ознакомиться с состоянием противолодочного дела и первыми противолодочными мероприятиями флотов союзников и представить на этот счет подробные отчеты.</w:t>
      </w:r>
    </w:p>
    <w:p w14:paraId="5E4AE49C" w14:textId="77777777" w:rsidR="00875887" w:rsidRPr="00B52707" w:rsidRDefault="00875887" w:rsidP="00875887">
      <w:pPr>
        <w:jc w:val="both"/>
        <w:rPr>
          <w:color w:val="0070C0"/>
          <w:sz w:val="16"/>
          <w:szCs w:val="16"/>
        </w:rPr>
      </w:pPr>
      <w:r w:rsidRPr="00B52707">
        <w:rPr>
          <w:color w:val="0070C0"/>
          <w:sz w:val="16"/>
          <w:szCs w:val="16"/>
        </w:rPr>
        <w:t>Из содержания этих донесений видно, что уроки первых месяцев войны заставили военно-морское руководство держав Антанты обратить особое внимание на создание новых противолодочных средств и разработку форм и способов борьбы с подводными лодками (25382).</w:t>
      </w:r>
    </w:p>
    <w:p w14:paraId="7A3122E3" w14:textId="77777777" w:rsidR="00875887" w:rsidRPr="00B52707" w:rsidRDefault="00875887" w:rsidP="00875887">
      <w:pPr>
        <w:jc w:val="both"/>
        <w:rPr>
          <w:color w:val="0070C0"/>
          <w:sz w:val="16"/>
          <w:szCs w:val="16"/>
        </w:rPr>
      </w:pPr>
    </w:p>
    <w:p w14:paraId="223980D8" w14:textId="7CA173A5" w:rsidR="00DD5618" w:rsidRPr="00DE096C" w:rsidRDefault="00DD5618"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 октябре 1914 г. Земский союз получил заказ на изготовление 7 млн 500 тыс. комплектов белья, в феврале 1915 г. — 17 млн 380 тыс. комплектов. </w:t>
      </w:r>
      <w:r w:rsidR="00D4243E" w:rsidRPr="00DE096C">
        <w:rPr>
          <w:bCs/>
          <w:i w:val="0"/>
          <w:color w:val="002060"/>
          <w:spacing w:val="0"/>
          <w:kern w:val="0"/>
          <w:position w:val="0"/>
          <w:sz w:val="16"/>
          <w:szCs w:val="16"/>
        </w:rPr>
        <w:t xml:space="preserve">С 1 (14) ноября 1914 по 1 (14) января 1916 г. по заказу интендантства заготовлено более 10 млн, а всего закуплено и заготовлено на 3 млн рублей комплектов белья. </w:t>
      </w:r>
      <w:r w:rsidRPr="00DE096C">
        <w:rPr>
          <w:bCs/>
          <w:i w:val="0"/>
          <w:color w:val="002060"/>
          <w:spacing w:val="0"/>
          <w:kern w:val="0"/>
          <w:position w:val="0"/>
          <w:sz w:val="16"/>
          <w:szCs w:val="16"/>
        </w:rPr>
        <w:t>Кроме этого через Союз было куплено обуви на 4 млн 700 тыс. рублей. Для хранения и распределения амуниции были созданы склады в Москве, Минске, Бресте, Львове, Петрограде, Тифлисе и других городах.</w:t>
      </w:r>
    </w:p>
    <w:p w14:paraId="1310A881" w14:textId="77777777" w:rsidR="00DD5618" w:rsidRPr="00DE096C" w:rsidRDefault="00DD5618"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Кроме этого, Союзом городов сначала на Северо-Западном и Северном фронтах в декабре и январе 1914—1915 гг., а затем и на других фронтах направлялись уполномоченные для посещения военно-питательных отрядов Союза, работающих на этих фронтах. В результате таких поездок выяснялся круг необходимых мероприятий, который в основном сводился к следующему:</w:t>
      </w:r>
    </w:p>
    <w:p w14:paraId="011D12AA" w14:textId="77777777" w:rsidR="00DD5618" w:rsidRPr="00DE096C" w:rsidRDefault="00DD5618"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1) устройство на фронтах бань с обменным бельем, прачечных для стирки белья, получаемого из бань, а также белья собственных врачебных учреждений и по возможности войсковых частей; установка дезинфекционных камер для войсковых частей и организация чайных и питательных пунктов;</w:t>
      </w:r>
    </w:p>
    <w:p w14:paraId="5361C744" w14:textId="77777777" w:rsidR="00DD5618" w:rsidRPr="00DE096C" w:rsidRDefault="00DD5618"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2) организация предохранительных прививок против тифа, холеры и оспы и устройство химико-бактериологических лабораторий;</w:t>
      </w:r>
    </w:p>
    <w:p w14:paraId="69266ECB" w14:textId="77777777" w:rsidR="00DD5618" w:rsidRPr="00DE096C" w:rsidRDefault="00DD5618"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3) организация стационарных и подвижных зубоврачебных кабинетов;</w:t>
      </w:r>
    </w:p>
    <w:p w14:paraId="0275470E" w14:textId="77777777" w:rsidR="00DD5618" w:rsidRPr="00DE096C" w:rsidRDefault="00DD5618"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4) непосредственная помощь больным и раненым воинам путем перевозок, эвакуации и размещения их в лазаретах и приемниках;</w:t>
      </w:r>
    </w:p>
    <w:p w14:paraId="68338760" w14:textId="77777777" w:rsidR="00DD5618" w:rsidRPr="00DE096C" w:rsidRDefault="00DD5618"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5) устройство больниц, лабораторий и фельдшерских пунктов в прифронтовой полосе для борьбы с эпидемиями.</w:t>
      </w:r>
    </w:p>
    <w:p w14:paraId="1BDD5CEC" w14:textId="77777777" w:rsidR="00DD5618" w:rsidRPr="00DE096C" w:rsidRDefault="00DD5618"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Одновременно для обслуживания раненых общественными организациями к 1 декабря 1914 г. стало приобретаться медицинское оборудование: сначала на сумму 1 млн 245 тыс. 780 рублей; к декабрю 1915 г. — на сумму 1 млн 665 тыс. рублей; к 1 января 1916 г. — на 7 млн рублей. Общая стоимость медикаментов, отпущенных со складов Земского союза, составила 3 млн 500 тыс. рублей. Военно-промышленными комитетами для решения этих задач было налажено производство термометров, а санитарному отделу удалось организовать отечественное производство шприцев «Рекорд» и игл к ним. К маю 1917 г. оно было доведено до 100 шприцев в день, причем цены были не выше заграничных (11270).</w:t>
      </w:r>
    </w:p>
    <w:p w14:paraId="16429B8F" w14:textId="77777777" w:rsidR="00DD5618" w:rsidRPr="00DE096C" w:rsidRDefault="00DD5618" w:rsidP="00D45A46">
      <w:pPr>
        <w:pStyle w:val="a3"/>
        <w:jc w:val="both"/>
        <w:rPr>
          <w:bCs/>
          <w:i w:val="0"/>
          <w:vanish/>
          <w:color w:val="002060"/>
          <w:spacing w:val="0"/>
          <w:kern w:val="0"/>
          <w:position w:val="0"/>
          <w:sz w:val="16"/>
          <w:szCs w:val="16"/>
        </w:rPr>
      </w:pPr>
    </w:p>
    <w:p w14:paraId="254279B3" w14:textId="77777777" w:rsidR="00F3414F" w:rsidRPr="00DE096C" w:rsidRDefault="00F3414F" w:rsidP="00D45A46">
      <w:pPr>
        <w:jc w:val="both"/>
        <w:rPr>
          <w:bCs/>
          <w:color w:val="002060"/>
          <w:sz w:val="16"/>
          <w:szCs w:val="16"/>
        </w:rPr>
      </w:pPr>
      <w:r w:rsidRPr="00DE096C">
        <w:rPr>
          <w:bCs/>
          <w:color w:val="002060"/>
          <w:sz w:val="16"/>
          <w:szCs w:val="16"/>
        </w:rPr>
        <w:t>В октябре 1914 г. мастерская взрывателей Сестрорецкого завода уже работала в новом помещении, а остальная часть завода приводилась в порядок (23452).</w:t>
      </w:r>
    </w:p>
    <w:p w14:paraId="024388FF" w14:textId="77777777" w:rsidR="00F3414F" w:rsidRPr="00DE096C" w:rsidRDefault="00F3414F" w:rsidP="00D45A46">
      <w:pPr>
        <w:jc w:val="both"/>
        <w:rPr>
          <w:bCs/>
          <w:color w:val="002060"/>
          <w:sz w:val="16"/>
          <w:szCs w:val="16"/>
        </w:rPr>
      </w:pPr>
    </w:p>
    <w:p w14:paraId="47BE0411" w14:textId="77777777" w:rsidR="004B684D" w:rsidRPr="00DE096C" w:rsidRDefault="004B684D" w:rsidP="00D45A46">
      <w:pPr>
        <w:shd w:val="clear" w:color="auto" w:fill="FFFFFF"/>
        <w:jc w:val="both"/>
        <w:rPr>
          <w:bCs/>
          <w:i/>
          <w:color w:val="002060"/>
          <w:sz w:val="16"/>
          <w:szCs w:val="16"/>
        </w:rPr>
      </w:pPr>
      <w:r w:rsidRPr="00DE096C">
        <w:rPr>
          <w:bCs/>
          <w:i/>
          <w:color w:val="002060"/>
          <w:sz w:val="16"/>
          <w:szCs w:val="16"/>
        </w:rPr>
        <w:t>Авиация:</w:t>
      </w:r>
    </w:p>
    <w:p w14:paraId="5FAEE57A" w14:textId="77777777" w:rsidR="004B684D" w:rsidRPr="00DE096C" w:rsidRDefault="004B684D" w:rsidP="00D45A46">
      <w:pPr>
        <w:shd w:val="clear" w:color="auto" w:fill="FFFFFF"/>
        <w:jc w:val="both"/>
        <w:rPr>
          <w:bCs/>
          <w:i/>
          <w:color w:val="002060"/>
          <w:sz w:val="16"/>
          <w:szCs w:val="16"/>
        </w:rPr>
      </w:pPr>
    </w:p>
    <w:p w14:paraId="53A66956" w14:textId="77777777" w:rsidR="004B684D" w:rsidRPr="00DE096C" w:rsidRDefault="004B684D" w:rsidP="00D45A46">
      <w:pPr>
        <w:jc w:val="both"/>
        <w:rPr>
          <w:bCs/>
          <w:color w:val="002060"/>
          <w:sz w:val="16"/>
          <w:szCs w:val="16"/>
        </w:rPr>
      </w:pPr>
      <w:r w:rsidRPr="00DE096C">
        <w:rPr>
          <w:bCs/>
          <w:color w:val="002060"/>
          <w:sz w:val="16"/>
          <w:szCs w:val="16"/>
        </w:rPr>
        <w:lastRenderedPageBreak/>
        <w:t>В октябре 1914 г. в связи с начавшимися боевыми действиями на Кавказе для эффективного применения авиации на этом театре военных действий (ТВД) приказом Верховного Главнокомандующего (ВГК) от 5 января 1915 г. № 4 была введена должность Заведующего организацией авиационного дела в Кавказской армии и расширены полномочия Александра Михайловича. Теперь он, находясь в подчинении ГК армиями ЮЗФ, должен был руководить деятельностью не только Заведующего авиацией СЗФ, но и Заведующего авиацией Кавказской армии. Вскоре несколько изменилось и название должности Великого князя: с 10 февраля 1915 г. он – Заведующий организацией авиационного дела в действующей армии с формальным подчинением начальнику штаба (НШ) ВГК (19566).</w:t>
      </w:r>
    </w:p>
    <w:p w14:paraId="3223F749" w14:textId="77777777" w:rsidR="004B684D" w:rsidRPr="00DE096C" w:rsidRDefault="004B684D" w:rsidP="00D45A46">
      <w:pPr>
        <w:jc w:val="both"/>
        <w:rPr>
          <w:bCs/>
          <w:color w:val="002060"/>
          <w:sz w:val="16"/>
          <w:szCs w:val="16"/>
        </w:rPr>
      </w:pPr>
    </w:p>
    <w:p w14:paraId="6B920A94" w14:textId="3F8E41FE" w:rsidR="00857960" w:rsidRPr="00DE096C" w:rsidRDefault="00857960" w:rsidP="00D45A46">
      <w:pPr>
        <w:jc w:val="both"/>
        <w:rPr>
          <w:bCs/>
          <w:i/>
          <w:color w:val="002060"/>
          <w:sz w:val="16"/>
          <w:szCs w:val="16"/>
        </w:rPr>
      </w:pPr>
      <w:r w:rsidRPr="00DE096C">
        <w:rPr>
          <w:bCs/>
          <w:i/>
          <w:color w:val="002060"/>
          <w:sz w:val="16"/>
          <w:szCs w:val="16"/>
        </w:rPr>
        <w:t>Воздухоплавание:</w:t>
      </w:r>
    </w:p>
    <w:p w14:paraId="6A96C727" w14:textId="77777777" w:rsidR="00857960" w:rsidRPr="00DE096C" w:rsidRDefault="00857960" w:rsidP="00D45A46">
      <w:pPr>
        <w:jc w:val="both"/>
        <w:rPr>
          <w:bCs/>
          <w:i/>
          <w:color w:val="002060"/>
          <w:sz w:val="16"/>
          <w:szCs w:val="16"/>
        </w:rPr>
      </w:pPr>
    </w:p>
    <w:p w14:paraId="7AF93939" w14:textId="77777777" w:rsidR="00857960" w:rsidRPr="00DE096C" w:rsidRDefault="00857960" w:rsidP="00D45A46">
      <w:pPr>
        <w:jc w:val="both"/>
        <w:rPr>
          <w:bCs/>
          <w:color w:val="002060"/>
          <w:sz w:val="16"/>
          <w:szCs w:val="16"/>
        </w:rPr>
      </w:pPr>
      <w:r w:rsidRPr="00DE096C">
        <w:rPr>
          <w:bCs/>
          <w:color w:val="002060"/>
          <w:sz w:val="16"/>
          <w:szCs w:val="16"/>
        </w:rPr>
        <w:t>В октябре 1914 г. ц В.И.Л. была ясная уверенность в том, что империалистическая война превратится в гражданскую, что власть будет в руках пролетариата и что последний создаст собственные авиацию и воздухоплавание. Пророчески звучат слова Ленина: "Подождем, пока у нас будут свои дирижабли"2 , - сказанные им в 1914 г. в связи с обсуждением вопросов агитации против империалистической войны (21417).</w:t>
      </w:r>
    </w:p>
    <w:p w14:paraId="46153B90" w14:textId="77777777" w:rsidR="00857960" w:rsidRPr="00DE096C" w:rsidRDefault="00857960" w:rsidP="00D45A46">
      <w:pPr>
        <w:jc w:val="both"/>
        <w:rPr>
          <w:bCs/>
          <w:color w:val="002060"/>
          <w:sz w:val="16"/>
          <w:szCs w:val="16"/>
        </w:rPr>
      </w:pPr>
    </w:p>
    <w:p w14:paraId="4F868384" w14:textId="0D442D06" w:rsidR="00857960" w:rsidRPr="00DE096C" w:rsidRDefault="00DC7D78" w:rsidP="00D45A46">
      <w:pPr>
        <w:jc w:val="both"/>
        <w:rPr>
          <w:rStyle w:val="43"/>
          <w:rFonts w:ascii="Times New Roman" w:hAnsi="Times New Roman" w:cs="Times New Roman"/>
          <w:bCs/>
          <w:color w:val="002060"/>
          <w:w w:val="100"/>
          <w:sz w:val="16"/>
          <w:szCs w:val="16"/>
        </w:rPr>
      </w:pPr>
      <w:r w:rsidRPr="00DE096C">
        <w:rPr>
          <w:rStyle w:val="43"/>
          <w:rFonts w:ascii="Times New Roman" w:hAnsi="Times New Roman" w:cs="Times New Roman"/>
          <w:bCs/>
          <w:color w:val="002060"/>
          <w:w w:val="100"/>
          <w:sz w:val="16"/>
          <w:szCs w:val="16"/>
        </w:rPr>
        <w:t>В</w:t>
      </w:r>
      <w:r w:rsidR="00857960" w:rsidRPr="00DE096C">
        <w:rPr>
          <w:rStyle w:val="43"/>
          <w:rFonts w:ascii="Times New Roman" w:hAnsi="Times New Roman" w:cs="Times New Roman"/>
          <w:bCs/>
          <w:color w:val="002060"/>
          <w:w w:val="100"/>
          <w:sz w:val="16"/>
          <w:szCs w:val="16"/>
        </w:rPr>
        <w:t xml:space="preserve"> октя</w:t>
      </w:r>
      <w:r w:rsidR="00857960" w:rsidRPr="00DE096C">
        <w:rPr>
          <w:rStyle w:val="43"/>
          <w:rFonts w:ascii="Times New Roman" w:hAnsi="Times New Roman" w:cs="Times New Roman"/>
          <w:bCs/>
          <w:color w:val="002060"/>
          <w:w w:val="100"/>
          <w:sz w:val="16"/>
          <w:szCs w:val="16"/>
        </w:rPr>
        <w:softHyphen/>
        <w:t>бре 1914 г.</w:t>
      </w:r>
      <w:r w:rsidRPr="00DE096C">
        <w:rPr>
          <w:rStyle w:val="43"/>
          <w:rFonts w:ascii="Times New Roman" w:hAnsi="Times New Roman" w:cs="Times New Roman"/>
          <w:bCs/>
          <w:color w:val="002060"/>
          <w:w w:val="100"/>
          <w:sz w:val="16"/>
          <w:szCs w:val="16"/>
        </w:rPr>
        <w:t xml:space="preserve"> «Голубь» который для бое</w:t>
      </w:r>
      <w:r w:rsidRPr="00DE096C">
        <w:rPr>
          <w:rStyle w:val="43"/>
          <w:rFonts w:ascii="Times New Roman" w:hAnsi="Times New Roman" w:cs="Times New Roman"/>
          <w:bCs/>
          <w:color w:val="002060"/>
          <w:w w:val="100"/>
          <w:sz w:val="16"/>
          <w:szCs w:val="16"/>
        </w:rPr>
        <w:softHyphen/>
        <w:t xml:space="preserve">вых полётов был непригоден, </w:t>
      </w:r>
      <w:r w:rsidR="00857960" w:rsidRPr="00DE096C">
        <w:rPr>
          <w:rStyle w:val="43"/>
          <w:rFonts w:ascii="Times New Roman" w:hAnsi="Times New Roman" w:cs="Times New Roman"/>
          <w:bCs/>
          <w:color w:val="002060"/>
          <w:w w:val="100"/>
          <w:sz w:val="16"/>
          <w:szCs w:val="16"/>
        </w:rPr>
        <w:t>эвакуировали в Лиду, где и разо</w:t>
      </w:r>
      <w:r w:rsidR="00857960" w:rsidRPr="00DE096C">
        <w:rPr>
          <w:rStyle w:val="43"/>
          <w:rFonts w:ascii="Times New Roman" w:hAnsi="Times New Roman" w:cs="Times New Roman"/>
          <w:bCs/>
          <w:color w:val="002060"/>
          <w:w w:val="100"/>
          <w:sz w:val="16"/>
          <w:szCs w:val="16"/>
        </w:rPr>
        <w:softHyphen/>
        <w:t>брали. Летом 1916 г. его привезли в Севастополь для обучения пилотов патрульных дирижаблей Черноморского флота, но ни одного полёта он не совершил. 22 июня 1916 г. у него при наполнении лопнула оболочка, и его списали (20120).</w:t>
      </w:r>
    </w:p>
    <w:p w14:paraId="76703B69" w14:textId="77777777" w:rsidR="00857960" w:rsidRPr="00DE096C" w:rsidRDefault="00857960" w:rsidP="00D45A46">
      <w:pPr>
        <w:jc w:val="both"/>
        <w:rPr>
          <w:bCs/>
          <w:color w:val="002060"/>
          <w:sz w:val="16"/>
          <w:szCs w:val="16"/>
        </w:rPr>
      </w:pPr>
    </w:p>
    <w:p w14:paraId="4AA430E4" w14:textId="77777777" w:rsidR="00857960" w:rsidRPr="00DE096C" w:rsidRDefault="00857960" w:rsidP="00D45A46">
      <w:pPr>
        <w:jc w:val="both"/>
        <w:rPr>
          <w:bCs/>
          <w:color w:val="002060"/>
          <w:sz w:val="16"/>
          <w:szCs w:val="16"/>
        </w:rPr>
      </w:pPr>
      <w:r w:rsidRPr="00DE096C">
        <w:rPr>
          <w:rStyle w:val="43"/>
          <w:rFonts w:ascii="Times New Roman" w:hAnsi="Times New Roman" w:cs="Times New Roman"/>
          <w:bCs/>
          <w:color w:val="002060"/>
          <w:w w:val="100"/>
          <w:sz w:val="16"/>
          <w:szCs w:val="16"/>
        </w:rPr>
        <w:t>В октябре 1914 в одном из полётов Кондора по линии фор</w:t>
      </w:r>
      <w:r w:rsidRPr="00DE096C">
        <w:rPr>
          <w:rStyle w:val="43"/>
          <w:rFonts w:ascii="Times New Roman" w:hAnsi="Times New Roman" w:cs="Times New Roman"/>
          <w:bCs/>
          <w:color w:val="002060"/>
          <w:w w:val="100"/>
          <w:sz w:val="16"/>
          <w:szCs w:val="16"/>
        </w:rPr>
        <w:softHyphen/>
        <w:t>тового пояса принял участие военный инженер, производивший работы в Брест-Литовской кре</w:t>
      </w:r>
      <w:r w:rsidRPr="00DE096C">
        <w:rPr>
          <w:rStyle w:val="43"/>
          <w:rFonts w:ascii="Times New Roman" w:hAnsi="Times New Roman" w:cs="Times New Roman"/>
          <w:bCs/>
          <w:color w:val="002060"/>
          <w:w w:val="100"/>
          <w:sz w:val="16"/>
          <w:szCs w:val="16"/>
        </w:rPr>
        <w:softHyphen/>
        <w:t>пости, штабс-капитан В.М. Догадин. Он вспо</w:t>
      </w:r>
      <w:r w:rsidRPr="00DE096C">
        <w:rPr>
          <w:rStyle w:val="43"/>
          <w:rFonts w:ascii="Times New Roman" w:hAnsi="Times New Roman" w:cs="Times New Roman"/>
          <w:bCs/>
          <w:color w:val="002060"/>
          <w:w w:val="100"/>
          <w:sz w:val="16"/>
          <w:szCs w:val="16"/>
        </w:rPr>
        <w:softHyphen/>
        <w:t>минал: «Хотя несовершенная работа моторов сопровождалась оглушительными взрывами, а необычность ощущения вызывала приподня</w:t>
      </w:r>
      <w:r w:rsidRPr="00DE096C">
        <w:rPr>
          <w:rStyle w:val="43"/>
          <w:rFonts w:ascii="Times New Roman" w:hAnsi="Times New Roman" w:cs="Times New Roman"/>
          <w:bCs/>
          <w:color w:val="002060"/>
          <w:w w:val="100"/>
          <w:sz w:val="16"/>
          <w:szCs w:val="16"/>
        </w:rPr>
        <w:softHyphen/>
        <w:t>то-напряжённое состояние, я смог насладиться красотой панорамы укреплений на фоне живого пейзажа». Новизна впечатлений, однако, не по</w:t>
      </w:r>
      <w:r w:rsidRPr="00DE096C">
        <w:rPr>
          <w:rStyle w:val="43"/>
          <w:rFonts w:ascii="Times New Roman" w:hAnsi="Times New Roman" w:cs="Times New Roman"/>
          <w:bCs/>
          <w:color w:val="002060"/>
          <w:w w:val="100"/>
          <w:sz w:val="16"/>
          <w:szCs w:val="16"/>
        </w:rPr>
        <w:softHyphen/>
        <w:t>мешала ему отметить вызванный отсутствием общего руководства работ «полный разнобой в формах укреплений» (20120).</w:t>
      </w:r>
    </w:p>
    <w:p w14:paraId="17F47D83" w14:textId="77777777" w:rsidR="00857960" w:rsidRPr="00DE096C" w:rsidRDefault="00857960" w:rsidP="00D45A46">
      <w:pPr>
        <w:jc w:val="both"/>
        <w:rPr>
          <w:bCs/>
          <w:color w:val="002060"/>
          <w:sz w:val="16"/>
          <w:szCs w:val="16"/>
        </w:rPr>
      </w:pPr>
    </w:p>
    <w:p w14:paraId="197FC689" w14:textId="77777777" w:rsidR="00857960" w:rsidRPr="00DE096C" w:rsidRDefault="00857960" w:rsidP="00D45A46">
      <w:pPr>
        <w:jc w:val="both"/>
        <w:rPr>
          <w:rStyle w:val="43"/>
          <w:rFonts w:ascii="Times New Roman" w:hAnsi="Times New Roman" w:cs="Times New Roman"/>
          <w:bCs/>
          <w:color w:val="002060"/>
          <w:w w:val="100"/>
          <w:sz w:val="16"/>
          <w:szCs w:val="16"/>
        </w:rPr>
      </w:pPr>
      <w:r w:rsidRPr="00DE096C">
        <w:rPr>
          <w:rStyle w:val="43"/>
          <w:rFonts w:ascii="Times New Roman" w:hAnsi="Times New Roman" w:cs="Times New Roman"/>
          <w:bCs/>
          <w:color w:val="002060"/>
          <w:w w:val="100"/>
          <w:sz w:val="16"/>
          <w:szCs w:val="16"/>
        </w:rPr>
        <w:t>В октя</w:t>
      </w:r>
      <w:r w:rsidRPr="00DE096C">
        <w:rPr>
          <w:rStyle w:val="43"/>
          <w:rFonts w:ascii="Times New Roman" w:hAnsi="Times New Roman" w:cs="Times New Roman"/>
          <w:bCs/>
          <w:color w:val="002060"/>
          <w:w w:val="100"/>
          <w:sz w:val="16"/>
          <w:szCs w:val="16"/>
        </w:rPr>
        <w:softHyphen/>
        <w:t xml:space="preserve">бре 1914 г. дирижабль </w:t>
      </w:r>
      <w:r w:rsidRPr="00DE096C">
        <w:rPr>
          <w:rStyle w:val="af"/>
          <w:rFonts w:ascii="Times New Roman" w:eastAsia="Segoe UI" w:hAnsi="Times New Roman" w:cs="Times New Roman"/>
          <w:b w:val="0"/>
          <w:color w:val="002060"/>
          <w:sz w:val="16"/>
          <w:szCs w:val="16"/>
        </w:rPr>
        <w:t>«Голубь», который</w:t>
      </w:r>
      <w:r w:rsidRPr="00DE096C">
        <w:rPr>
          <w:rStyle w:val="43"/>
          <w:rFonts w:ascii="Times New Roman" w:hAnsi="Times New Roman" w:cs="Times New Roman"/>
          <w:bCs/>
          <w:color w:val="002060"/>
          <w:w w:val="100"/>
          <w:sz w:val="16"/>
          <w:szCs w:val="16"/>
        </w:rPr>
        <w:t xml:space="preserve"> в начале войны переле</w:t>
      </w:r>
      <w:r w:rsidRPr="00DE096C">
        <w:rPr>
          <w:rStyle w:val="43"/>
          <w:rFonts w:ascii="Times New Roman" w:hAnsi="Times New Roman" w:cs="Times New Roman"/>
          <w:bCs/>
          <w:color w:val="002060"/>
          <w:w w:val="100"/>
          <w:sz w:val="16"/>
          <w:szCs w:val="16"/>
        </w:rPr>
        <w:softHyphen/>
        <w:t>тел из Лиды на стоянку в Ковно и отсюда он сделал несколько разведывательных полётов, не залетая за линию фронта (но больше летал с военными инженерами для наблюдения за строившимися фортами и позициями вокруг крепости, т.к. лля бое</w:t>
      </w:r>
      <w:r w:rsidRPr="00DE096C">
        <w:rPr>
          <w:rStyle w:val="43"/>
          <w:rFonts w:ascii="Times New Roman" w:hAnsi="Times New Roman" w:cs="Times New Roman"/>
          <w:bCs/>
          <w:color w:val="002060"/>
          <w:w w:val="100"/>
          <w:sz w:val="16"/>
          <w:szCs w:val="16"/>
        </w:rPr>
        <w:softHyphen/>
        <w:t>вых полётов «Голубь» был непригоден), эвакуировали в Лиду, где и разо</w:t>
      </w:r>
      <w:r w:rsidRPr="00DE096C">
        <w:rPr>
          <w:rStyle w:val="43"/>
          <w:rFonts w:ascii="Times New Roman" w:hAnsi="Times New Roman" w:cs="Times New Roman"/>
          <w:bCs/>
          <w:color w:val="002060"/>
          <w:w w:val="100"/>
          <w:sz w:val="16"/>
          <w:szCs w:val="16"/>
        </w:rPr>
        <w:softHyphen/>
        <w:t>брали. Летом 1916 г. его привезли в Севастополь для обучения пилотов патрульных дирижаблей Черноморского флота, но ни одного полёта он не совершил. 22 июня 1916 г. у него при наполнении лопнула оболочка, и его списали (20120).</w:t>
      </w:r>
    </w:p>
    <w:p w14:paraId="55F0353C" w14:textId="77777777" w:rsidR="00857960" w:rsidRPr="00DE096C" w:rsidRDefault="00857960" w:rsidP="00D45A46">
      <w:pPr>
        <w:jc w:val="both"/>
        <w:rPr>
          <w:bCs/>
          <w:color w:val="002060"/>
          <w:sz w:val="16"/>
          <w:szCs w:val="16"/>
        </w:rPr>
      </w:pPr>
    </w:p>
    <w:p w14:paraId="7B3712DD" w14:textId="77777777" w:rsidR="00857960" w:rsidRPr="00DE096C" w:rsidRDefault="00857960" w:rsidP="00D45A46">
      <w:pPr>
        <w:jc w:val="both"/>
        <w:rPr>
          <w:bCs/>
          <w:color w:val="002060"/>
          <w:sz w:val="16"/>
          <w:szCs w:val="16"/>
        </w:rPr>
      </w:pPr>
      <w:r w:rsidRPr="00DE096C">
        <w:rPr>
          <w:rStyle w:val="43"/>
          <w:rFonts w:ascii="Times New Roman" w:hAnsi="Times New Roman" w:cs="Times New Roman"/>
          <w:bCs/>
          <w:color w:val="002060"/>
          <w:w w:val="100"/>
          <w:sz w:val="16"/>
          <w:szCs w:val="16"/>
        </w:rPr>
        <w:t>В октябре 1914 в одном из полётов по линии фронтового пояса принял участие военный инженер, производивший работы в Брест-Литовской кре</w:t>
      </w:r>
      <w:r w:rsidRPr="00DE096C">
        <w:rPr>
          <w:rStyle w:val="43"/>
          <w:rFonts w:ascii="Times New Roman" w:hAnsi="Times New Roman" w:cs="Times New Roman"/>
          <w:bCs/>
          <w:color w:val="002060"/>
          <w:w w:val="100"/>
          <w:sz w:val="16"/>
          <w:szCs w:val="16"/>
        </w:rPr>
        <w:softHyphen/>
        <w:t>пости, штабс-капитан В.М. Догадин. Он вспо</w:t>
      </w:r>
      <w:r w:rsidRPr="00DE096C">
        <w:rPr>
          <w:rStyle w:val="43"/>
          <w:rFonts w:ascii="Times New Roman" w:hAnsi="Times New Roman" w:cs="Times New Roman"/>
          <w:bCs/>
          <w:color w:val="002060"/>
          <w:w w:val="100"/>
          <w:sz w:val="16"/>
          <w:szCs w:val="16"/>
        </w:rPr>
        <w:softHyphen/>
        <w:t>минал: «Хотя несовершенная работа моторов сопровождалась оглушительными взрывами, а необычность ощущения вызывала приподня</w:t>
      </w:r>
      <w:r w:rsidRPr="00DE096C">
        <w:rPr>
          <w:rStyle w:val="43"/>
          <w:rFonts w:ascii="Times New Roman" w:hAnsi="Times New Roman" w:cs="Times New Roman"/>
          <w:bCs/>
          <w:color w:val="002060"/>
          <w:w w:val="100"/>
          <w:sz w:val="16"/>
          <w:szCs w:val="16"/>
        </w:rPr>
        <w:softHyphen/>
        <w:t>то-напряжённое состояние, я смог насладиться красотой панорамы укреплений на фоне живого пейзажа». Новизна впечатлений, однако, не по</w:t>
      </w:r>
      <w:r w:rsidRPr="00DE096C">
        <w:rPr>
          <w:rStyle w:val="43"/>
          <w:rFonts w:ascii="Times New Roman" w:hAnsi="Times New Roman" w:cs="Times New Roman"/>
          <w:bCs/>
          <w:color w:val="002060"/>
          <w:w w:val="100"/>
          <w:sz w:val="16"/>
          <w:szCs w:val="16"/>
        </w:rPr>
        <w:softHyphen/>
        <w:t>мешала ему отметить вызванный отсутствием общего руководства работ «полный разнобой в формах укреплений».</w:t>
      </w:r>
    </w:p>
    <w:p w14:paraId="0ADBA0D9" w14:textId="77777777" w:rsidR="00857960" w:rsidRPr="00DE096C" w:rsidRDefault="00857960" w:rsidP="00D45A46">
      <w:pPr>
        <w:tabs>
          <w:tab w:val="left" w:pos="596"/>
        </w:tabs>
        <w:jc w:val="both"/>
        <w:rPr>
          <w:bCs/>
          <w:color w:val="002060"/>
          <w:sz w:val="16"/>
          <w:szCs w:val="16"/>
        </w:rPr>
      </w:pPr>
      <w:r w:rsidRPr="00DE096C">
        <w:rPr>
          <w:rStyle w:val="43"/>
          <w:rFonts w:ascii="Times New Roman" w:hAnsi="Times New Roman" w:cs="Times New Roman"/>
          <w:bCs/>
          <w:color w:val="002060"/>
          <w:w w:val="100"/>
          <w:sz w:val="16"/>
          <w:szCs w:val="16"/>
        </w:rPr>
        <w:t>6 октября «Кондор» перелетел во Львов (270 км) для ведения разведки австрийской кре</w:t>
      </w:r>
      <w:r w:rsidRPr="00DE096C">
        <w:rPr>
          <w:rStyle w:val="43"/>
          <w:rFonts w:ascii="Times New Roman" w:hAnsi="Times New Roman" w:cs="Times New Roman"/>
          <w:bCs/>
          <w:color w:val="002060"/>
          <w:w w:val="100"/>
          <w:sz w:val="16"/>
          <w:szCs w:val="16"/>
        </w:rPr>
        <w:softHyphen/>
        <w:t>пости Перемышль. Сначала «Кондор» стоял в ов</w:t>
      </w:r>
      <w:r w:rsidRPr="00DE096C">
        <w:rPr>
          <w:rStyle w:val="43"/>
          <w:rFonts w:ascii="Times New Roman" w:hAnsi="Times New Roman" w:cs="Times New Roman"/>
          <w:bCs/>
          <w:color w:val="002060"/>
          <w:w w:val="100"/>
          <w:sz w:val="16"/>
          <w:szCs w:val="16"/>
        </w:rPr>
        <w:softHyphen/>
        <w:t>раге на якорной стоянке на окраине города. Под командой капитана П.И. Таранова-Белозерова он совершил два учебных дневных полёта и один боевой ночной полёт. В последнем полёте на пол</w:t>
      </w:r>
      <w:r w:rsidRPr="00DE096C">
        <w:rPr>
          <w:rStyle w:val="43"/>
          <w:rFonts w:ascii="Times New Roman" w:hAnsi="Times New Roman" w:cs="Times New Roman"/>
          <w:bCs/>
          <w:color w:val="002060"/>
          <w:w w:val="100"/>
          <w:sz w:val="16"/>
          <w:szCs w:val="16"/>
        </w:rPr>
        <w:softHyphen/>
        <w:t>пути к Перемышлю из-за сильного встречного ветра пришлось повернуть назад.</w:t>
      </w:r>
    </w:p>
    <w:p w14:paraId="26B6625A" w14:textId="77777777" w:rsidR="00857960" w:rsidRPr="00DE096C" w:rsidRDefault="00857960" w:rsidP="00D45A46">
      <w:pPr>
        <w:tabs>
          <w:tab w:val="left" w:pos="519"/>
        </w:tabs>
        <w:jc w:val="both"/>
        <w:rPr>
          <w:bCs/>
          <w:color w:val="002060"/>
          <w:sz w:val="16"/>
          <w:szCs w:val="16"/>
        </w:rPr>
      </w:pPr>
      <w:r w:rsidRPr="00DE096C">
        <w:rPr>
          <w:rStyle w:val="43"/>
          <w:rFonts w:ascii="Times New Roman" w:hAnsi="Times New Roman" w:cs="Times New Roman"/>
          <w:bCs/>
          <w:color w:val="002060"/>
          <w:w w:val="100"/>
          <w:sz w:val="16"/>
          <w:szCs w:val="16"/>
        </w:rPr>
        <w:t>6 ноября во время снежной бури стоявший в овраге дирижабль занесло снегом до такой степени, что газ из его оболочки пришлось вы</w:t>
      </w:r>
      <w:r w:rsidRPr="00DE096C">
        <w:rPr>
          <w:rStyle w:val="43"/>
          <w:rFonts w:ascii="Times New Roman" w:hAnsi="Times New Roman" w:cs="Times New Roman"/>
          <w:bCs/>
          <w:color w:val="002060"/>
          <w:w w:val="100"/>
          <w:sz w:val="16"/>
          <w:szCs w:val="16"/>
        </w:rPr>
        <w:softHyphen/>
        <w:t>пустить. При этом оболочка получила большие разрывы, и её отправили на ТРАРМ для ремонта. В феврале 1915 г. отремонтированный «Кондор» снова наполнили газом в Брест-Литовске. Он вы</w:t>
      </w:r>
      <w:r w:rsidRPr="00DE096C">
        <w:rPr>
          <w:rStyle w:val="43"/>
          <w:rFonts w:ascii="Times New Roman" w:hAnsi="Times New Roman" w:cs="Times New Roman"/>
          <w:bCs/>
          <w:color w:val="002060"/>
          <w:w w:val="100"/>
          <w:sz w:val="16"/>
          <w:szCs w:val="16"/>
        </w:rPr>
        <w:softHyphen/>
        <w:t>полнил несколько учебных полётов, но попытка лететь на фронт из-за тумана закончилась неу</w:t>
      </w:r>
      <w:r w:rsidRPr="00DE096C">
        <w:rPr>
          <w:rStyle w:val="43"/>
          <w:rFonts w:ascii="Times New Roman" w:hAnsi="Times New Roman" w:cs="Times New Roman"/>
          <w:bCs/>
          <w:color w:val="002060"/>
          <w:w w:val="100"/>
          <w:sz w:val="16"/>
          <w:szCs w:val="16"/>
        </w:rPr>
        <w:softHyphen/>
        <w:t>дачей. Из Брест-Литовска «Кондор» перелетел в Бердичев, затратив на это 14 часов, после чего его разоружили.</w:t>
      </w:r>
    </w:p>
    <w:p w14:paraId="3DE7CF0B" w14:textId="77777777" w:rsidR="00857960" w:rsidRPr="00DE096C" w:rsidRDefault="00857960" w:rsidP="00D45A46">
      <w:pPr>
        <w:jc w:val="both"/>
        <w:rPr>
          <w:bCs/>
          <w:color w:val="002060"/>
          <w:sz w:val="16"/>
          <w:szCs w:val="16"/>
        </w:rPr>
      </w:pPr>
      <w:r w:rsidRPr="00DE096C">
        <w:rPr>
          <w:rStyle w:val="43"/>
          <w:rFonts w:ascii="Times New Roman" w:hAnsi="Times New Roman" w:cs="Times New Roman"/>
          <w:bCs/>
          <w:color w:val="002060"/>
          <w:w w:val="100"/>
          <w:sz w:val="16"/>
          <w:szCs w:val="16"/>
        </w:rPr>
        <w:t>Одновременно для стоянки «Кондора» из Луцка во Львов перевезли разборный эллинг. Перенос эллинга на новое место осуществлялся с большими трудностями. Работы по его разбор</w:t>
      </w:r>
      <w:r w:rsidRPr="00DE096C">
        <w:rPr>
          <w:rStyle w:val="43"/>
          <w:rFonts w:ascii="Times New Roman" w:hAnsi="Times New Roman" w:cs="Times New Roman"/>
          <w:bCs/>
          <w:color w:val="002060"/>
          <w:w w:val="100"/>
          <w:sz w:val="16"/>
          <w:szCs w:val="16"/>
        </w:rPr>
        <w:softHyphen/>
        <w:t>ке 2-я воздухоплавательная рота начала 3 ноя</w:t>
      </w:r>
      <w:r w:rsidRPr="00DE096C">
        <w:rPr>
          <w:rStyle w:val="43"/>
          <w:rFonts w:ascii="Times New Roman" w:hAnsi="Times New Roman" w:cs="Times New Roman"/>
          <w:bCs/>
          <w:color w:val="002060"/>
          <w:w w:val="100"/>
          <w:sz w:val="16"/>
          <w:szCs w:val="16"/>
        </w:rPr>
        <w:softHyphen/>
        <w:t>бря 1914 г. Вследствие сильных морозов металл стал хрупким. От этого сломался крюк стяжного домкрата, и эллинг обрушился. При этом погиб рядовой Целинский, а трое солдат и двое рабо</w:t>
      </w:r>
      <w:r w:rsidRPr="00DE096C">
        <w:rPr>
          <w:rStyle w:val="43"/>
          <w:rFonts w:ascii="Times New Roman" w:hAnsi="Times New Roman" w:cs="Times New Roman"/>
          <w:bCs/>
          <w:color w:val="002060"/>
          <w:w w:val="100"/>
          <w:sz w:val="16"/>
          <w:szCs w:val="16"/>
        </w:rPr>
        <w:softHyphen/>
        <w:t>чих получили ушибы. Значительная часть (40%) металлоконструкций эллинга была повреждена.</w:t>
      </w:r>
    </w:p>
    <w:p w14:paraId="00FEA341" w14:textId="77777777" w:rsidR="00857960" w:rsidRPr="00DE096C" w:rsidRDefault="00857960" w:rsidP="00D45A46">
      <w:pPr>
        <w:jc w:val="both"/>
        <w:rPr>
          <w:rStyle w:val="43"/>
          <w:rFonts w:ascii="Times New Roman" w:hAnsi="Times New Roman" w:cs="Times New Roman"/>
          <w:bCs/>
          <w:color w:val="002060"/>
          <w:w w:val="100"/>
          <w:sz w:val="16"/>
          <w:szCs w:val="16"/>
        </w:rPr>
      </w:pPr>
      <w:r w:rsidRPr="00DE096C">
        <w:rPr>
          <w:rStyle w:val="43"/>
          <w:rFonts w:ascii="Times New Roman" w:hAnsi="Times New Roman" w:cs="Times New Roman"/>
          <w:bCs/>
          <w:color w:val="002060"/>
          <w:w w:val="100"/>
          <w:sz w:val="16"/>
          <w:szCs w:val="16"/>
        </w:rPr>
        <w:t>24 декабря все части эллинга доставили во Львов, а 1 января 1915 г. началась его установка на уже готовый фундамент. Командир 2-й воздухоплавательной роты подполковник М.В. Агапов докладывал Авиаканцу: «Снежные заносы, обледенелость железных ферм и недостаточное коли</w:t>
      </w:r>
      <w:r w:rsidRPr="00DE096C">
        <w:rPr>
          <w:rStyle w:val="43"/>
          <w:rFonts w:ascii="Times New Roman" w:hAnsi="Times New Roman" w:cs="Times New Roman"/>
          <w:bCs/>
          <w:color w:val="002060"/>
          <w:w w:val="100"/>
          <w:sz w:val="16"/>
          <w:szCs w:val="16"/>
        </w:rPr>
        <w:softHyphen/>
        <w:t>чество опытных специалистов-рабочих крайне задерживает быстрое проведение работ. Все за</w:t>
      </w:r>
      <w:r w:rsidRPr="00DE096C">
        <w:rPr>
          <w:rStyle w:val="43"/>
          <w:rFonts w:ascii="Times New Roman" w:hAnsi="Times New Roman" w:cs="Times New Roman"/>
          <w:bCs/>
          <w:color w:val="002060"/>
          <w:w w:val="100"/>
          <w:sz w:val="16"/>
          <w:szCs w:val="16"/>
        </w:rPr>
        <w:softHyphen/>
        <w:t>висящие меры принимаются»62. Повреждённые фермы отремонтировали в железнодорожных мастерских Львова, и к лету эллинг установили. Но при эвакуации Львова 9 июня 1915 г. эллинг пришлось взорвать (20120).</w:t>
      </w:r>
    </w:p>
    <w:p w14:paraId="43C9A850" w14:textId="77777777" w:rsidR="00857960" w:rsidRPr="00DE096C" w:rsidRDefault="00857960" w:rsidP="00D45A46">
      <w:pPr>
        <w:jc w:val="both"/>
        <w:rPr>
          <w:bCs/>
          <w:color w:val="002060"/>
          <w:sz w:val="16"/>
          <w:szCs w:val="16"/>
        </w:rPr>
      </w:pPr>
    </w:p>
    <w:p w14:paraId="28D28CB4" w14:textId="5CACC1E1" w:rsidR="00B67D7C" w:rsidRPr="00DE096C" w:rsidRDefault="00B67D7C" w:rsidP="00D45A46">
      <w:pPr>
        <w:jc w:val="both"/>
        <w:rPr>
          <w:bCs/>
          <w:i/>
          <w:color w:val="002060"/>
          <w:sz w:val="16"/>
          <w:szCs w:val="16"/>
        </w:rPr>
      </w:pPr>
      <w:r w:rsidRPr="00DE096C">
        <w:rPr>
          <w:bCs/>
          <w:i/>
          <w:color w:val="002060"/>
          <w:sz w:val="16"/>
          <w:szCs w:val="16"/>
        </w:rPr>
        <w:t>Армия:</w:t>
      </w:r>
    </w:p>
    <w:p w14:paraId="306C9F6C" w14:textId="77777777" w:rsidR="00B67D7C" w:rsidRPr="00DE096C" w:rsidRDefault="00B67D7C" w:rsidP="00D45A46">
      <w:pPr>
        <w:jc w:val="both"/>
        <w:rPr>
          <w:bCs/>
          <w:i/>
          <w:color w:val="002060"/>
          <w:sz w:val="16"/>
          <w:szCs w:val="16"/>
        </w:rPr>
      </w:pPr>
    </w:p>
    <w:p w14:paraId="522CB764" w14:textId="77777777" w:rsidR="00B67D7C" w:rsidRPr="00DE096C" w:rsidRDefault="00B67D7C" w:rsidP="00D45A46">
      <w:pPr>
        <w:jc w:val="both"/>
        <w:rPr>
          <w:bCs/>
          <w:color w:val="002060"/>
          <w:sz w:val="16"/>
          <w:szCs w:val="16"/>
        </w:rPr>
      </w:pPr>
      <w:r w:rsidRPr="00DE096C">
        <w:rPr>
          <w:bCs/>
          <w:color w:val="002060"/>
          <w:sz w:val="16"/>
          <w:szCs w:val="16"/>
        </w:rPr>
        <w:t xml:space="preserve">В октябре </w:t>
      </w:r>
      <w:r w:rsidR="00970D37" w:rsidRPr="00DE096C">
        <w:rPr>
          <w:bCs/>
          <w:color w:val="002060"/>
          <w:sz w:val="16"/>
          <w:szCs w:val="16"/>
        </w:rPr>
        <w:t xml:space="preserve">1914 </w:t>
      </w:r>
      <w:r w:rsidRPr="00DE096C">
        <w:rPr>
          <w:bCs/>
          <w:color w:val="002060"/>
          <w:sz w:val="16"/>
          <w:szCs w:val="16"/>
        </w:rPr>
        <w:t>закончился третий месяц, в который не происходило решающих событий и в который война начала входить в "рабочую" затяжную фазу. И к исходу этого месяца выяснились неожиданные вещи.</w:t>
      </w:r>
    </w:p>
    <w:p w14:paraId="18846A45" w14:textId="77777777" w:rsidR="00B67D7C" w:rsidRPr="00DE096C" w:rsidRDefault="00B67D7C" w:rsidP="00D45A46">
      <w:pPr>
        <w:jc w:val="both"/>
        <w:rPr>
          <w:bCs/>
          <w:color w:val="002060"/>
          <w:sz w:val="16"/>
          <w:szCs w:val="16"/>
        </w:rPr>
      </w:pPr>
      <w:r w:rsidRPr="00DE096C">
        <w:rPr>
          <w:bCs/>
          <w:color w:val="002060"/>
          <w:sz w:val="16"/>
          <w:szCs w:val="16"/>
        </w:rPr>
        <w:t>В штабах верховного главнокомандования поначалу считали, что потери в летном составе будут незначительными, не предполагая возможности воздушных схваток.</w:t>
      </w:r>
    </w:p>
    <w:p w14:paraId="2AEDA4F8" w14:textId="77777777" w:rsidR="00B67D7C" w:rsidRPr="00DE096C" w:rsidRDefault="00B67D7C" w:rsidP="00D45A46">
      <w:pPr>
        <w:jc w:val="both"/>
        <w:rPr>
          <w:bCs/>
          <w:color w:val="002060"/>
          <w:sz w:val="16"/>
          <w:szCs w:val="16"/>
        </w:rPr>
      </w:pPr>
      <w:r w:rsidRPr="00DE096C">
        <w:rPr>
          <w:bCs/>
          <w:color w:val="002060"/>
          <w:sz w:val="16"/>
          <w:szCs w:val="16"/>
        </w:rPr>
        <w:t>В первые дни войны и в самом деле авиаторов в русской армии оказалось больше, чем аэропланов.</w:t>
      </w:r>
    </w:p>
    <w:p w14:paraId="79DE9801" w14:textId="77777777" w:rsidR="00B67D7C" w:rsidRPr="00DE096C" w:rsidRDefault="00B67D7C" w:rsidP="00D45A46">
      <w:pPr>
        <w:jc w:val="both"/>
        <w:rPr>
          <w:bCs/>
          <w:color w:val="002060"/>
          <w:sz w:val="16"/>
          <w:szCs w:val="16"/>
        </w:rPr>
      </w:pPr>
      <w:r w:rsidRPr="00DE096C">
        <w:rPr>
          <w:bCs/>
          <w:color w:val="002060"/>
          <w:sz w:val="16"/>
          <w:szCs w:val="16"/>
        </w:rPr>
        <w:t>Гибель штабс-капитана Нестерова считалась случайным явлением (11999).</w:t>
      </w:r>
    </w:p>
    <w:p w14:paraId="6B7A5D5D" w14:textId="77777777" w:rsidR="00B67D7C" w:rsidRPr="00DE096C" w:rsidRDefault="00B67D7C" w:rsidP="00D45A46">
      <w:pPr>
        <w:jc w:val="both"/>
        <w:rPr>
          <w:bCs/>
          <w:color w:val="002060"/>
          <w:sz w:val="16"/>
          <w:szCs w:val="16"/>
        </w:rPr>
      </w:pPr>
      <w:r w:rsidRPr="00DE096C">
        <w:rPr>
          <w:bCs/>
          <w:color w:val="002060"/>
          <w:sz w:val="16"/>
          <w:szCs w:val="16"/>
        </w:rPr>
        <w:t>У русских на южном фронте упало число самолетов с 99 от начала войны до 6 в декабре 1914 г.</w:t>
      </w:r>
    </w:p>
    <w:p w14:paraId="505CB47E" w14:textId="395C0A84" w:rsidR="00B67D7C" w:rsidRPr="00DE096C" w:rsidRDefault="00B67D7C" w:rsidP="00D45A46">
      <w:pPr>
        <w:jc w:val="both"/>
        <w:rPr>
          <w:bCs/>
          <w:color w:val="002060"/>
          <w:sz w:val="16"/>
          <w:szCs w:val="16"/>
        </w:rPr>
      </w:pPr>
      <w:r w:rsidRPr="00DE096C">
        <w:rPr>
          <w:bCs/>
          <w:color w:val="002060"/>
          <w:sz w:val="16"/>
          <w:szCs w:val="16"/>
        </w:rPr>
        <w:t>Ремонт силами авиапарков возвращал в строй около 50 %. В России во время войны было 7 авиапарков.</w:t>
      </w:r>
      <w:r w:rsidR="0006581C">
        <w:rPr>
          <w:bCs/>
          <w:color w:val="002060"/>
          <w:sz w:val="16"/>
          <w:szCs w:val="16"/>
        </w:rPr>
        <w:t xml:space="preserve"> </w:t>
      </w:r>
      <w:r w:rsidRPr="00DE096C">
        <w:rPr>
          <w:bCs/>
          <w:color w:val="002060"/>
          <w:sz w:val="16"/>
          <w:szCs w:val="16"/>
        </w:rPr>
        <w:t>Самый крупный парк был в Варшаве.</w:t>
      </w:r>
    </w:p>
    <w:p w14:paraId="0F851B6B" w14:textId="77777777" w:rsidR="00B67D7C" w:rsidRPr="00DE096C" w:rsidRDefault="00B67D7C" w:rsidP="00D45A46">
      <w:pPr>
        <w:jc w:val="both"/>
        <w:rPr>
          <w:bCs/>
          <w:color w:val="002060"/>
          <w:sz w:val="16"/>
          <w:szCs w:val="16"/>
        </w:rPr>
      </w:pPr>
      <w:r w:rsidRPr="00DE096C">
        <w:rPr>
          <w:bCs/>
          <w:color w:val="002060"/>
          <w:sz w:val="16"/>
          <w:szCs w:val="16"/>
        </w:rPr>
        <w:t>Одновременно в авиапарке обычно ремонтировалось от 30 до 40 самолетов. Парк был способен сняться с места и перебазироваться в 2-3 дня. Так как обслуживание авиаотрядов сильно затруднялось отдаленностью парков, были организованны специальные ремонтные поезда. Первый такой поезд появился в России на Западном фронте в октябре 1914 г. Вначале поезд состоял из 3-х вагонов, впоследствии их число достигло 50.</w:t>
      </w:r>
    </w:p>
    <w:p w14:paraId="0079A2F4" w14:textId="77777777" w:rsidR="00B67D7C" w:rsidRPr="00DE096C" w:rsidRDefault="00B67D7C" w:rsidP="00D45A46">
      <w:pPr>
        <w:jc w:val="both"/>
        <w:rPr>
          <w:bCs/>
          <w:color w:val="002060"/>
          <w:sz w:val="16"/>
          <w:szCs w:val="16"/>
        </w:rPr>
      </w:pPr>
      <w:r w:rsidRPr="00DE096C">
        <w:rPr>
          <w:bCs/>
          <w:color w:val="002060"/>
          <w:sz w:val="16"/>
          <w:szCs w:val="16"/>
        </w:rPr>
        <w:t>То же самое происходило и в авиачастях других воюющих государств (11999).</w:t>
      </w:r>
    </w:p>
    <w:p w14:paraId="556D1E44" w14:textId="77777777" w:rsidR="00B67D7C" w:rsidRPr="00DE096C" w:rsidRDefault="00B67D7C" w:rsidP="00D45A46">
      <w:pPr>
        <w:jc w:val="both"/>
        <w:rPr>
          <w:bCs/>
          <w:color w:val="002060"/>
          <w:sz w:val="16"/>
          <w:szCs w:val="16"/>
        </w:rPr>
      </w:pPr>
    </w:p>
    <w:p w14:paraId="7BF6D220" w14:textId="77777777" w:rsidR="00875887" w:rsidRPr="00B52707" w:rsidRDefault="00875887" w:rsidP="00875887">
      <w:pPr>
        <w:jc w:val="both"/>
        <w:rPr>
          <w:color w:val="0070C0"/>
          <w:sz w:val="16"/>
          <w:szCs w:val="16"/>
        </w:rPr>
      </w:pPr>
      <w:r w:rsidRPr="00B52707">
        <w:rPr>
          <w:rStyle w:val="ab"/>
          <w:rFonts w:ascii="Times New Roman" w:hAnsi="Times New Roman"/>
          <w:color w:val="0070C0"/>
          <w:spacing w:val="0"/>
          <w:sz w:val="16"/>
          <w:szCs w:val="16"/>
        </w:rPr>
        <w:t>В октябре 1914 года главнокомандующий армией потребовал от комендантов Кронштадтской и Выборгской крепостей установить в зонах их ответственности наблюдение за воздушной обстановкой. На высотных зданиях означенных городов-крепостей организовывались суточные посты из числа лиц военного гарнизона и гражданской администрации. «Установление наблюдения за небосклоном в районе позиции» укрепрайона также рекомендовалось по линии инспектора инженерной части Петроградского военного округа. Собранная информация ежедневно поступала в строевое отделение штаба армии (25166).</w:t>
      </w:r>
    </w:p>
    <w:p w14:paraId="46E80172" w14:textId="77777777" w:rsidR="00875887" w:rsidRPr="00B52707" w:rsidRDefault="00875887" w:rsidP="00875887">
      <w:pPr>
        <w:jc w:val="both"/>
        <w:rPr>
          <w:color w:val="0070C0"/>
          <w:sz w:val="16"/>
          <w:szCs w:val="16"/>
        </w:rPr>
      </w:pPr>
    </w:p>
    <w:p w14:paraId="562EF650" w14:textId="77777777" w:rsidR="00B67D7C" w:rsidRPr="00DE096C" w:rsidRDefault="00B67D7C" w:rsidP="00D45A46">
      <w:pPr>
        <w:jc w:val="both"/>
        <w:rPr>
          <w:bCs/>
          <w:i/>
          <w:color w:val="002060"/>
          <w:sz w:val="16"/>
          <w:szCs w:val="16"/>
        </w:rPr>
      </w:pPr>
      <w:r w:rsidRPr="00DE096C">
        <w:rPr>
          <w:bCs/>
          <w:i/>
          <w:color w:val="002060"/>
          <w:sz w:val="16"/>
          <w:szCs w:val="16"/>
        </w:rPr>
        <w:t>Жизнь и внутреняя политика:</w:t>
      </w:r>
    </w:p>
    <w:p w14:paraId="62AC37AC" w14:textId="77777777" w:rsidR="00B67D7C" w:rsidRPr="00DE096C" w:rsidRDefault="00B67D7C" w:rsidP="00D45A46">
      <w:pPr>
        <w:jc w:val="both"/>
        <w:rPr>
          <w:bCs/>
          <w:i/>
          <w:color w:val="002060"/>
          <w:sz w:val="16"/>
          <w:szCs w:val="16"/>
        </w:rPr>
      </w:pPr>
    </w:p>
    <w:p w14:paraId="03E0AECF" w14:textId="3E232F96" w:rsidR="00B67D7C" w:rsidRPr="00DE096C" w:rsidRDefault="00DC7D78"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В</w:t>
      </w:r>
      <w:r w:rsidR="00B67D7C" w:rsidRPr="00DE096C">
        <w:rPr>
          <w:bCs/>
          <w:i w:val="0"/>
          <w:color w:val="002060"/>
          <w:spacing w:val="0"/>
          <w:kern w:val="0"/>
          <w:position w:val="0"/>
          <w:sz w:val="16"/>
          <w:szCs w:val="16"/>
        </w:rPr>
        <w:t xml:space="preserve"> октябре 1914 г. в Москве было создано эвакуационное бюро обоих союзов. К началу 1916 г. через них прошли 1 млн 260 тыс. человек. Одновременно стали создаваться и первые санитарные поезда. За годы войны эта деятельность Земского союза была развита и приобрела колоссальные масштабы: было оборудовано 52 поезда, а городскими союзами — 12.</w:t>
      </w:r>
    </w:p>
    <w:p w14:paraId="5D9EEF33"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Приступив к делу помощи больным и раненым воинам на фронтах и перевалочных пунктах, в санитарных поездах, союзы с первых же дней занялись заготовкой в крупных размерах белья и верхней одежды, медицинского и хозяйственного оборудования. В октябре 1914 г. Земский союз получил заказ на изготовление 7 млн 500 тыс. комплектов белья, в феврале 1915 г. — 17 млн 380 тыс. комплектов. Из них было с 1 ноября 1914 по 1 января 1916 г. по заказу интендантства заготовлено более 10 млн, а всего закуплено и заготовлено на 3 млн рублей комплектов белья. Кроме этого через Союз было куплено обуви на 4 млн 700 тыс. рублей. Для хранения и распределения амуниции были созданы склады в Москве, Минске, Бресте, Львове, Петрограде, Тифлисе и других городах.</w:t>
      </w:r>
    </w:p>
    <w:p w14:paraId="354B539D"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Кроме этого, Союзом городов сначала на Северо-Западном и Северном фронтах в декабре и январе 1914—1915 гг., а затем и на других фронтах направлялись уполномоченные для посещения военно-питательных отрядов Союза, работающих на этих фронтах. В результате таких поездок выяснялся круг необходимых мероприятий, который в основном сводился к следующему:</w:t>
      </w:r>
    </w:p>
    <w:p w14:paraId="25D390F1"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1) устройство на фронтах бань с обменным бельем, прачечных для стирки белья, получаемого из бань, а также белья собственных врачебных учреждений и по возможности войсковых частей; установка дезинфекционных камер для войсковых частей и организация чайных и питательных пунктов;</w:t>
      </w:r>
    </w:p>
    <w:p w14:paraId="406C3E66"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2) организация предохранительных прививок против тифа, холеры и оспы и устройство химико-бактериологических лабораторий;</w:t>
      </w:r>
    </w:p>
    <w:p w14:paraId="13A2A886"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3) организация стационарных и подвижных зубоврачебных кабинетов;</w:t>
      </w:r>
    </w:p>
    <w:p w14:paraId="6227CB82"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4) непосредственная помощь больным и раненым воинам путем перевозок, эвакуации и размещения их в лазаретах и приемниках;</w:t>
      </w:r>
    </w:p>
    <w:p w14:paraId="2BB72839"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5) устройство больниц, лабораторий и фельдшерских пунктов в прифронтовой полосе для борьбы с эпидемиями.</w:t>
      </w:r>
    </w:p>
    <w:p w14:paraId="2C8EDF0F"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lastRenderedPageBreak/>
        <w:t>Одновременно для обслуживания раненых общественными организациями к 1 декабря 1914 г. стало приобретаться медицинское оборудование: сначала на сумму 1 млн 245 тыс. 780 рублей; к декабрю 1915 г. — на сумму 1 млн 665 тыс. рублей; к 1 января 1916 г. — на 7 млн рублей. Общая стоимость медикаментов, отпущенных со складов Земского союза, составила 3 млн 500 тыс. рублей. Военно-промышленными комитетами для решения этих задач было налажено производство термометров, а санитарному отделу удалось организовать отечественное производство шприцев «Рекорд» и игл к ним. К маю 1917 г. оно было доведено до 100 шприцев в день, причем цены были не выше заграничных.</w:t>
      </w:r>
    </w:p>
    <w:p w14:paraId="00101FD0"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Но уже скоро основное направление деятельности Главного комитета по снабжению армии определилось. К своим обязанностям он приступил в июле 1915 г., когда военное ведомство предложило взять заказы «на предметы вооружения, шанцевые предметы и на предметы конского и обозного снаряжения». Все заказы, получаемые Земгором от военного ведомства, можно разделить на три основных направления:</w:t>
      </w:r>
    </w:p>
    <w:p w14:paraId="05A12E7B"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1) предметы обозного довольствия (повозки, двуколки, кухни, седла, упряжь);</w:t>
      </w:r>
    </w:p>
    <w:p w14:paraId="1380D5D7"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2) предметы окопно-строительного снабжения (топоры, кирки, лопаты, ножницы); </w:t>
      </w:r>
    </w:p>
    <w:p w14:paraId="5098603B"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3) предметы артиллерийского снабжения (гранаты, снаряды, бомбы).</w:t>
      </w:r>
    </w:p>
    <w:p w14:paraId="00B097E4"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Так, в середине 1916 г. заказ на артиллерийское снабжение исполнялся 28 предприятиями, 20 из которых были построены Земгором. Из 1 млн 100 тыс. заказанных ему гранат 1 млн изготавливался его средней и мелкой промышленностью. Всего с 1 марта по 1 июля 1916 г. Земгору удалось выполнить 46% принятых им заказов. А с мая 1916 г. заказы Земгора, как и заказы ЦВПК, стали официально считаться «подлежащими исполнению наравне с заказами других ведомств» (11270).</w:t>
      </w:r>
    </w:p>
    <w:p w14:paraId="11BFA8AC" w14:textId="77777777" w:rsidR="00B67D7C" w:rsidRPr="00DE096C" w:rsidRDefault="00B67D7C" w:rsidP="00D45A46">
      <w:pPr>
        <w:pStyle w:val="a3"/>
        <w:jc w:val="both"/>
        <w:rPr>
          <w:bCs/>
          <w:i w:val="0"/>
          <w:color w:val="002060"/>
          <w:spacing w:val="0"/>
          <w:kern w:val="0"/>
          <w:position w:val="0"/>
          <w:sz w:val="16"/>
          <w:szCs w:val="16"/>
        </w:rPr>
      </w:pPr>
    </w:p>
    <w:p w14:paraId="00B693B9"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В октябре 1914 г. Земский союз получил заказ на изготовление 7 млн 500 тыс. комплектов белья, в феврале 1915 г. — 17 млн 380 тыс. комплектов. Из них было с 1 ноября 1914 по 1 января 1916 г. по заказу интендантства заготовлено более 10 млн, а всего закуплено и заготовлено на 3 млн рублей комплектов белья. Кроме этого через Союз было куплено обуви на 4 млн 700 тыс. рублей. Для хранения и распределения амуниции были созданы склады в Москве, Минске, Бресте, Львове, Петрограде, Тифлисе и других городах.</w:t>
      </w:r>
    </w:p>
    <w:p w14:paraId="774DD8E3"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Кроме этого, Союзом городов сначала на Северо-Западном и Северном фронтах в декабре и январе 1914—1915 гг., а затем и на других фронтах направлялись уполномоченные для посещения военно-питательных отрядов Союза, работающих на этих фронтах. В результате таких поездок выяснялся круг необходимых мероприятий, который в основном сводился к следующему:</w:t>
      </w:r>
    </w:p>
    <w:p w14:paraId="00867943"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1) устройство на фронтах бань с обменным бельем, прачечных для стирки белья, получаемого из бань, а также белья собственных врачебных учреждений и по возможности войсковых частей; установка дезинфекционных камер для войсковых частей и организация чайных и питательных пунктов;</w:t>
      </w:r>
    </w:p>
    <w:p w14:paraId="41E6BF41"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2) организация предохранительных прививок против тифа, холеры и оспы и устройство химико-бактериологических лабораторий;</w:t>
      </w:r>
    </w:p>
    <w:p w14:paraId="4C43F821"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3) организация стационарных и подвижных зубоврачебных кабинетов;</w:t>
      </w:r>
    </w:p>
    <w:p w14:paraId="6692F549"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4) непосредственная помощь больным и раненым воинам путем перевозок, эвакуации и размещения их в лазаретах и приемниках;</w:t>
      </w:r>
    </w:p>
    <w:p w14:paraId="2ED8CF8E"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5) устройство больниц, лабораторий и фельдшерских пунктов в прифронтовой полосе для борьбы с эпидемиями.</w:t>
      </w:r>
    </w:p>
    <w:p w14:paraId="4E9F52DA"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Одновременно для обслуживания раненых общественными организациями к 1 декабря 1914 г. стало приобретаться медицинское оборудование: сначала на сумму 1 млн 245 тыс. 780 рублей; к декабрю 1915 г. — на сумму 1 млн 665 тыс. рублей; к 1 января 1916 г. — на 7 млн рублей. Общая стоимость медикаментов, отпущенных со складов Земского союза, составила 3 млн 500 тыс. рублей. Военно-промышленными комитетами для решения этих задач было налажено производство термометров, а санитарному отделу удалось организовать отечественное производство шприцев «Рекорд» и игл к ним. К маю 1917 г. оно было доведено до 100 шприцев в день, причем цены были не выше заграничных (11270).</w:t>
      </w:r>
    </w:p>
    <w:p w14:paraId="513A4DFC" w14:textId="77777777" w:rsidR="00B67D7C" w:rsidRPr="00DE096C" w:rsidRDefault="00B67D7C" w:rsidP="00D45A46">
      <w:pPr>
        <w:pStyle w:val="a3"/>
        <w:jc w:val="both"/>
        <w:rPr>
          <w:bCs/>
          <w:i w:val="0"/>
          <w:vanish/>
          <w:color w:val="002060"/>
          <w:spacing w:val="0"/>
          <w:kern w:val="0"/>
          <w:position w:val="0"/>
          <w:sz w:val="16"/>
          <w:szCs w:val="16"/>
        </w:rPr>
      </w:pPr>
    </w:p>
    <w:p w14:paraId="44CE9FC1" w14:textId="77777777" w:rsidR="00B67D7C" w:rsidRPr="00DE096C" w:rsidRDefault="00B67D7C" w:rsidP="00D45A46">
      <w:pPr>
        <w:pStyle w:val="a3"/>
        <w:jc w:val="both"/>
        <w:rPr>
          <w:bCs/>
          <w:vanish/>
          <w:color w:val="002060"/>
          <w:spacing w:val="0"/>
          <w:kern w:val="0"/>
          <w:position w:val="0"/>
          <w:sz w:val="16"/>
          <w:szCs w:val="16"/>
        </w:rPr>
      </w:pPr>
      <w:r w:rsidRPr="00DE096C">
        <w:rPr>
          <w:bCs/>
          <w:vanish/>
          <w:color w:val="002060"/>
          <w:spacing w:val="0"/>
          <w:kern w:val="0"/>
          <w:position w:val="0"/>
          <w:sz w:val="16"/>
          <w:szCs w:val="16"/>
        </w:rPr>
        <w:t>Внешняя политика:</w:t>
      </w:r>
    </w:p>
    <w:p w14:paraId="45D37579" w14:textId="77777777" w:rsidR="00B67D7C" w:rsidRPr="00DE096C" w:rsidRDefault="00B67D7C" w:rsidP="00D45A46">
      <w:pPr>
        <w:pStyle w:val="a3"/>
        <w:jc w:val="both"/>
        <w:rPr>
          <w:bCs/>
          <w:vanish/>
          <w:color w:val="002060"/>
          <w:spacing w:val="0"/>
          <w:kern w:val="0"/>
          <w:position w:val="0"/>
          <w:sz w:val="16"/>
          <w:szCs w:val="16"/>
        </w:rPr>
      </w:pPr>
    </w:p>
    <w:p w14:paraId="5CC0FB4B" w14:textId="1F5B87D3" w:rsidR="00B67D7C" w:rsidRPr="00DE096C" w:rsidRDefault="00DC7D78"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октябре 1914 г. </w:t>
      </w:r>
      <w:r w:rsidRPr="00DE096C">
        <w:rPr>
          <w:bCs/>
          <w:color w:val="002060"/>
          <w:sz w:val="16"/>
          <w:szCs w:val="16"/>
        </w:rPr>
        <w:t xml:space="preserve">был дан первый пороховой заказ </w:t>
      </w:r>
      <w:r w:rsidR="00B67D7C" w:rsidRPr="00DE096C">
        <w:rPr>
          <w:bCs/>
          <w:color w:val="002060"/>
          <w:sz w:val="16"/>
          <w:szCs w:val="16"/>
        </w:rPr>
        <w:t xml:space="preserve">на 83 000 пудов пушечного пороха. Следующий заказ на 166 000 пудов пушечного пороха — в январе 1915 года. Вскоре последовал длинный ряд заказов на пороха пушечные и ружейные. </w:t>
      </w:r>
    </w:p>
    <w:p w14:paraId="72755FDC" w14:textId="77777777" w:rsidR="00B67D7C" w:rsidRPr="00DE096C" w:rsidRDefault="00B67D7C" w:rsidP="00D45A46">
      <w:pPr>
        <w:jc w:val="both"/>
        <w:rPr>
          <w:bCs/>
          <w:color w:val="002060"/>
          <w:sz w:val="16"/>
          <w:szCs w:val="16"/>
        </w:rPr>
      </w:pPr>
      <w:r w:rsidRPr="00DE096C">
        <w:rPr>
          <w:bCs/>
          <w:color w:val="002060"/>
          <w:sz w:val="16"/>
          <w:szCs w:val="16"/>
        </w:rPr>
        <w:t xml:space="preserve">Сверх указанных бездымных порохов и тротила, заказанных непосредственно русским военным ведомством, американским заводам пришлось выполнять крупнейшие заказы на эти продукты от группы Моргана и Канадской компании, которым русское военное ведомство заказало 3-дм патроны — шрапнельные и гранатные, а также от фирм, которым были заказаны ружейные патроны. Параллельно крупнейшие заказы на пороха и взрывчатые вещества были также и от других воюющих государств. </w:t>
      </w:r>
    </w:p>
    <w:p w14:paraId="1BEB5F2E" w14:textId="77777777" w:rsidR="00B67D7C" w:rsidRPr="00DE096C" w:rsidRDefault="00B67D7C" w:rsidP="00D45A46">
      <w:pPr>
        <w:jc w:val="both"/>
        <w:rPr>
          <w:bCs/>
          <w:color w:val="002060"/>
          <w:sz w:val="16"/>
          <w:szCs w:val="16"/>
        </w:rPr>
      </w:pPr>
      <w:r w:rsidRPr="00DE096C">
        <w:rPr>
          <w:bCs/>
          <w:color w:val="002060"/>
          <w:sz w:val="16"/>
          <w:szCs w:val="16"/>
        </w:rPr>
        <w:t xml:space="preserve">Таким образом, пороховая и взрывчатая промышленность с первых же месяцев Европейской войны должна была быстро и широко развернуть свою работу. </w:t>
      </w:r>
    </w:p>
    <w:p w14:paraId="2FAF1CB0" w14:textId="77777777" w:rsidR="00B67D7C" w:rsidRPr="00DE096C" w:rsidRDefault="00B67D7C" w:rsidP="00D45A46">
      <w:pPr>
        <w:jc w:val="both"/>
        <w:rPr>
          <w:bCs/>
          <w:color w:val="002060"/>
          <w:sz w:val="16"/>
          <w:szCs w:val="16"/>
        </w:rPr>
      </w:pPr>
      <w:r w:rsidRPr="00DE096C">
        <w:rPr>
          <w:bCs/>
          <w:color w:val="002060"/>
          <w:sz w:val="16"/>
          <w:szCs w:val="16"/>
        </w:rPr>
        <w:t xml:space="preserve">Первый период войны, то есть 1914 г. и начало 1915 г., фирме du Pont удавалось удерживать в своих руках монополию. Она быстро и значительно расширила существующие пироксилиновые заводы и построила новые заводы. Чтобы характеризовать масштаб работы du Pont, достаточно указать, что в 1916 г. она сдавала в сутки более 4000 пудов только по русским заказам. </w:t>
      </w:r>
    </w:p>
    <w:p w14:paraId="6BEC4F85" w14:textId="77777777" w:rsidR="00B67D7C" w:rsidRPr="00DE096C" w:rsidRDefault="00B67D7C" w:rsidP="00D45A46">
      <w:pPr>
        <w:jc w:val="both"/>
        <w:rPr>
          <w:bCs/>
          <w:color w:val="002060"/>
          <w:sz w:val="16"/>
          <w:szCs w:val="16"/>
        </w:rPr>
      </w:pPr>
      <w:r w:rsidRPr="00DE096C">
        <w:rPr>
          <w:bCs/>
          <w:color w:val="002060"/>
          <w:sz w:val="16"/>
          <w:szCs w:val="16"/>
        </w:rPr>
        <w:t xml:space="preserve">Рост заказов был так велик, что в 1915 г. du Pont уже не мог удерживать в своих руках монополию и у него явились конкуренты Aetne Explosives С°, Nonnapo Chemical Сo и др., построившие обширные заводы. </w:t>
      </w:r>
    </w:p>
    <w:p w14:paraId="63B39B5F" w14:textId="77777777" w:rsidR="00B67D7C" w:rsidRPr="00DE096C" w:rsidRDefault="00B67D7C" w:rsidP="00D45A46">
      <w:pPr>
        <w:jc w:val="both"/>
        <w:rPr>
          <w:bCs/>
          <w:color w:val="002060"/>
          <w:sz w:val="16"/>
          <w:szCs w:val="16"/>
        </w:rPr>
      </w:pPr>
      <w:r w:rsidRPr="00DE096C">
        <w:rPr>
          <w:bCs/>
          <w:color w:val="002060"/>
          <w:sz w:val="16"/>
          <w:szCs w:val="16"/>
        </w:rPr>
        <w:t xml:space="preserve">В брошюрах инженера Жуковского, бывшего приемщика по американским заказам в 1914—1916 гг., приведены очень интересные данные относительно быстроты постройки этих заводов и характера их строительных сооружений. </w:t>
      </w:r>
    </w:p>
    <w:p w14:paraId="7C5C87AA" w14:textId="77777777" w:rsidR="00B67D7C" w:rsidRPr="00DE096C" w:rsidRDefault="00B67D7C" w:rsidP="00D45A46">
      <w:pPr>
        <w:jc w:val="both"/>
        <w:rPr>
          <w:bCs/>
          <w:color w:val="002060"/>
          <w:sz w:val="16"/>
          <w:szCs w:val="16"/>
        </w:rPr>
      </w:pPr>
      <w:r w:rsidRPr="00DE096C">
        <w:rPr>
          <w:bCs/>
          <w:color w:val="002060"/>
          <w:sz w:val="16"/>
          <w:szCs w:val="16"/>
        </w:rPr>
        <w:t xml:space="preserve">Так, фирма du Pont в октябре 1914 г. начала на совершенно голом месте постройку крупнейшего пироксилинового завода. В мае 1915 г., то есть через 6-7 месяцев, завод уже выпускал пироксилин и продолжал в то же время расширение. В августе выход пироксилина достиг 14 000 пудов в день. а весной 1916 г. — 28 000 пудов в день. Цифра громадная. Ни один из русских заводов в 1916 г., в период наибольшего напряжения, не давал более 1000-1100 пудов в сутки. </w:t>
      </w:r>
    </w:p>
    <w:p w14:paraId="04CD8424" w14:textId="77777777" w:rsidR="00B67D7C" w:rsidRPr="00DE096C" w:rsidRDefault="00B67D7C" w:rsidP="00D45A46">
      <w:pPr>
        <w:jc w:val="both"/>
        <w:rPr>
          <w:bCs/>
          <w:color w:val="002060"/>
          <w:sz w:val="16"/>
          <w:szCs w:val="16"/>
        </w:rPr>
      </w:pPr>
      <w:r w:rsidRPr="00DE096C">
        <w:rPr>
          <w:bCs/>
          <w:color w:val="002060"/>
          <w:sz w:val="16"/>
          <w:szCs w:val="16"/>
        </w:rPr>
        <w:t xml:space="preserve">Подобно этому фирма Aetne также на голом месте в пять месяцев воздвигла крупный пироксилиновый завод и в шесть месяцев — пороховой. </w:t>
      </w:r>
    </w:p>
    <w:p w14:paraId="5B530476" w14:textId="77777777" w:rsidR="00B67D7C" w:rsidRPr="00DE096C" w:rsidRDefault="00B67D7C" w:rsidP="00D45A46">
      <w:pPr>
        <w:jc w:val="both"/>
        <w:rPr>
          <w:bCs/>
          <w:color w:val="002060"/>
          <w:sz w:val="16"/>
          <w:szCs w:val="16"/>
        </w:rPr>
      </w:pPr>
      <w:r w:rsidRPr="00DE096C">
        <w:rPr>
          <w:bCs/>
          <w:color w:val="002060"/>
          <w:sz w:val="16"/>
          <w:szCs w:val="16"/>
        </w:rPr>
        <w:t xml:space="preserve">Большую особенность в американских пороховых заводах представляет характер построек и их распланировка. Все постройки делаются из досок и иногда покрываются графитовыми плитками. Кирпич и бетон применялись лишь для фундаментов под здания и машины. В России же дерево как строительный материал в пороховых заводах считается неприемлемым и допускается в виде исключения. Надо отметить, что указанные дощатые постройки практиковались в Америке во всяком климате. </w:t>
      </w:r>
    </w:p>
    <w:p w14:paraId="1ADF033A" w14:textId="77777777" w:rsidR="00B67D7C" w:rsidRPr="00DE096C" w:rsidRDefault="00B67D7C" w:rsidP="00D45A46">
      <w:pPr>
        <w:jc w:val="both"/>
        <w:rPr>
          <w:bCs/>
          <w:color w:val="002060"/>
          <w:sz w:val="16"/>
          <w:szCs w:val="16"/>
        </w:rPr>
      </w:pPr>
      <w:r w:rsidRPr="00DE096C">
        <w:rPr>
          <w:bCs/>
          <w:color w:val="002060"/>
          <w:sz w:val="16"/>
          <w:szCs w:val="16"/>
        </w:rPr>
        <w:t xml:space="preserve">Что касается распланировки американских заводов, то между опасными зданиями расстояние в среднем держится около пяти сажен. Хранилища с готовым пироксилином вынесены за ограду завода, но от ограды удалены всего на 12 сажен. Между тем в России полагалось всегда соблюдать между пороховыми зданиями промежуток не менее 25 сажен. Особо опасные здания, например, сушильни, относились сажен за 80 от других зданий и располагались обычно по краю завода, причем окружались высокими земляными валами. В Америке земляные валы не применяются вовсе. </w:t>
      </w:r>
    </w:p>
    <w:p w14:paraId="788B922C" w14:textId="77777777" w:rsidR="00B67D7C" w:rsidRPr="00DE096C" w:rsidRDefault="00B67D7C" w:rsidP="00D45A46">
      <w:pPr>
        <w:jc w:val="both"/>
        <w:rPr>
          <w:bCs/>
          <w:color w:val="002060"/>
          <w:sz w:val="16"/>
          <w:szCs w:val="16"/>
        </w:rPr>
      </w:pPr>
      <w:r w:rsidRPr="00DE096C">
        <w:rPr>
          <w:bCs/>
          <w:color w:val="002060"/>
          <w:sz w:val="16"/>
          <w:szCs w:val="16"/>
        </w:rPr>
        <w:t xml:space="preserve">По отношению к населенным пунктам пороховые заводы в Америке располагаются без соблюдения каких-либо норм дистанций. Так, например, пироксилиновые заводы фирмы Ноннабо расположены только в 300 шагах от края поселения. Если принять во внимание громадную производительность этих заводов и подсчитать, какое количество горючих и взрывчатых веществ находится одновременно на территории заводов, то легко себе представить, что в случае взрыва на заводе все прилегающие к нему поселения будут уничтожены без остатка. Если так опасно соседство порохового завода, то и обратно, для самого завода не менее опасны непосредственно вокруг завода близлежащие поселения, так как в случае возникновения в них пожара последний может легко перекинуться на завод. </w:t>
      </w:r>
    </w:p>
    <w:p w14:paraId="1D73947A" w14:textId="77777777" w:rsidR="00B67D7C" w:rsidRPr="00DE096C" w:rsidRDefault="00B67D7C" w:rsidP="00D45A46">
      <w:pPr>
        <w:jc w:val="both"/>
        <w:rPr>
          <w:bCs/>
          <w:color w:val="002060"/>
          <w:sz w:val="16"/>
          <w:szCs w:val="16"/>
        </w:rPr>
      </w:pPr>
      <w:r w:rsidRPr="00DE096C">
        <w:rPr>
          <w:bCs/>
          <w:color w:val="002060"/>
          <w:sz w:val="16"/>
          <w:szCs w:val="16"/>
        </w:rPr>
        <w:t>Вообще в смысле безопасности американские заводы не проявляют и ничтожной доли той осмотрительности и щепетильности, которые вошли глубоко в традиции русского пороходелия.</w:t>
      </w:r>
    </w:p>
    <w:p w14:paraId="7613D4C6" w14:textId="77777777" w:rsidR="00B67D7C" w:rsidRPr="00DE096C" w:rsidRDefault="00B67D7C" w:rsidP="00D45A46">
      <w:pPr>
        <w:jc w:val="both"/>
        <w:rPr>
          <w:bCs/>
          <w:color w:val="002060"/>
          <w:sz w:val="16"/>
          <w:szCs w:val="16"/>
        </w:rPr>
      </w:pPr>
      <w:r w:rsidRPr="00DE096C">
        <w:rPr>
          <w:bCs/>
          <w:color w:val="002060"/>
          <w:sz w:val="16"/>
          <w:szCs w:val="16"/>
        </w:rPr>
        <w:t xml:space="preserve">Выполнение американских заказов по порохам и взрывчатым веществам как в смысле сроков, так и в смысле качества продукции, шло весьма исправно, и здесь не имели места те трения, которые сопровождали заказы на патроны и винтовки. Это обстоятельство объясняется тем, что, с одной стороны, заказ исполнялся фирмой du Pont, которая задолго до Европейской войны изготовляла и пороха, и взрывчатые вещества, а с другой — весьма помогали делу опытные русские приемщики. Нужно указать, что первое время американцы не могли приспособиться к тем техническим требованиям, которые русское военное ведомство предъявляло к заказываемым порохам, и только благодаря деятельной консультации опытных и знающих русских приемщиков (инженер Жуковский и др.) они могли подойти к выполнению этих требований. Что касается вновь возникших пороходельных фирм, то они тоже в достаточной мере легко и исправно справлялись с заказом, так как в Америке до войны существовала хорошо развитая промышленность по изготовлению целлулоидных изделий и искусственной кожи, весьма родственная пороховой промышленности, ибо она оперирует с основным материалом, представляющим ничто иное, как азотный пироксилин. </w:t>
      </w:r>
    </w:p>
    <w:p w14:paraId="71D6A291" w14:textId="77777777" w:rsidR="00B67D7C" w:rsidRPr="00DE096C" w:rsidRDefault="00B67D7C" w:rsidP="00D45A46">
      <w:pPr>
        <w:jc w:val="both"/>
        <w:rPr>
          <w:bCs/>
          <w:color w:val="002060"/>
          <w:sz w:val="16"/>
          <w:szCs w:val="16"/>
        </w:rPr>
      </w:pPr>
      <w:r w:rsidRPr="00DE096C">
        <w:rPr>
          <w:bCs/>
          <w:color w:val="002060"/>
          <w:sz w:val="16"/>
          <w:szCs w:val="16"/>
        </w:rPr>
        <w:t xml:space="preserve">Надо добавить, что, кроме заказов на пороха и взрывчатые вещества, в Америке размещены были еще значительные заказы на основные пороходельные материалы, а именно: селитру и линтер. </w:t>
      </w:r>
    </w:p>
    <w:p w14:paraId="52279195" w14:textId="77777777" w:rsidR="00B67D7C" w:rsidRPr="00DE096C" w:rsidRDefault="00B67D7C" w:rsidP="00D45A46">
      <w:pPr>
        <w:jc w:val="both"/>
        <w:rPr>
          <w:bCs/>
          <w:color w:val="002060"/>
          <w:sz w:val="16"/>
          <w:szCs w:val="16"/>
        </w:rPr>
      </w:pPr>
      <w:r w:rsidRPr="00DE096C">
        <w:rPr>
          <w:bCs/>
          <w:color w:val="002060"/>
          <w:sz w:val="16"/>
          <w:szCs w:val="16"/>
        </w:rPr>
        <w:t xml:space="preserve">Порох для полевых пушек, заказанный в Америке, был изготовлен американскими заводами не в форме лент, принятых у нас, а в форме цилиндрического зерна с продольным каналом, принятым для американских порохов. Широкая практика стрельбы этим порохом русской артиллерии позволила хорошо ознакомиться с прекрасными свойствами этого пороха, имеющего большое преимущество перед порохом ленточным. Об этом вопросе будет подробно сказано в своем месте (11329). </w:t>
      </w:r>
    </w:p>
    <w:p w14:paraId="5308D32D" w14:textId="77777777" w:rsidR="00B67D7C" w:rsidRPr="00DE096C" w:rsidRDefault="00B67D7C" w:rsidP="00D45A46">
      <w:pPr>
        <w:jc w:val="both"/>
        <w:rPr>
          <w:bCs/>
          <w:i/>
          <w:color w:val="002060"/>
          <w:sz w:val="16"/>
          <w:szCs w:val="16"/>
        </w:rPr>
      </w:pPr>
    </w:p>
    <w:p w14:paraId="7ACF8E1A" w14:textId="77777777" w:rsidR="00875887" w:rsidRPr="00B52707" w:rsidRDefault="00875887" w:rsidP="00875887">
      <w:pPr>
        <w:jc w:val="both"/>
        <w:rPr>
          <w:color w:val="0070C0"/>
          <w:sz w:val="16"/>
          <w:szCs w:val="16"/>
        </w:rPr>
      </w:pPr>
      <w:r w:rsidRPr="00B52707">
        <w:rPr>
          <w:color w:val="0070C0"/>
          <w:sz w:val="16"/>
          <w:szCs w:val="16"/>
        </w:rPr>
        <w:t>В октябре 1914 года необходимо было внести за уже размещен</w:t>
      </w:r>
      <w:r w:rsidRPr="00B52707">
        <w:rPr>
          <w:color w:val="0070C0"/>
          <w:sz w:val="16"/>
          <w:szCs w:val="16"/>
        </w:rPr>
        <w:softHyphen/>
        <w:t>ные заказы до конца года больше 250 млн. рублей, в то время как на счетах министер</w:t>
      </w:r>
      <w:r w:rsidRPr="00B52707">
        <w:rPr>
          <w:color w:val="0070C0"/>
          <w:sz w:val="16"/>
          <w:szCs w:val="16"/>
        </w:rPr>
        <w:softHyphen/>
        <w:t>ства финансов имелось свободной валюты в девяносто раз меньше. Выход был найден в получении займов у союзников, в частно</w:t>
      </w:r>
      <w:r w:rsidRPr="00B52707">
        <w:rPr>
          <w:color w:val="0070C0"/>
          <w:sz w:val="16"/>
          <w:szCs w:val="16"/>
        </w:rPr>
        <w:softHyphen/>
        <w:t>сти у Великобритании. Последняя предоста</w:t>
      </w:r>
      <w:r w:rsidRPr="00B52707">
        <w:rPr>
          <w:color w:val="0070C0"/>
          <w:sz w:val="16"/>
          <w:szCs w:val="16"/>
        </w:rPr>
        <w:softHyphen/>
        <w:t>вила кредиты под обеспечение русским золо</w:t>
      </w:r>
      <w:r w:rsidRPr="00B52707">
        <w:rPr>
          <w:color w:val="0070C0"/>
          <w:sz w:val="16"/>
          <w:szCs w:val="16"/>
        </w:rPr>
        <w:softHyphen/>
        <w:t>том и с условием, что большая часть заказов будет приходиться на военные заказы в са</w:t>
      </w:r>
      <w:r w:rsidRPr="00B52707">
        <w:rPr>
          <w:color w:val="0070C0"/>
          <w:sz w:val="16"/>
          <w:szCs w:val="16"/>
        </w:rPr>
        <w:softHyphen/>
        <w:t xml:space="preserve">мой Англии. На этих условиях Россия </w:t>
      </w:r>
      <w:r w:rsidRPr="00B52707">
        <w:rPr>
          <w:color w:val="0070C0"/>
          <w:sz w:val="16"/>
          <w:szCs w:val="16"/>
        </w:rPr>
        <w:lastRenderedPageBreak/>
        <w:t>получила в 1915-1916 годах кредитов на 450 млн. фунтов, что составляло 4,5 млрд. рублей. Из этих сумм оплачивались заказы военного имущества, в том числе и автомобилей (25008).</w:t>
      </w:r>
    </w:p>
    <w:p w14:paraId="078B622D" w14:textId="77777777" w:rsidR="00875887" w:rsidRPr="00B52707" w:rsidRDefault="00875887" w:rsidP="00875887">
      <w:pPr>
        <w:jc w:val="both"/>
        <w:rPr>
          <w:color w:val="0070C0"/>
          <w:sz w:val="16"/>
          <w:szCs w:val="16"/>
        </w:rPr>
      </w:pPr>
    </w:p>
    <w:p w14:paraId="190AEE0D" w14:textId="77777777" w:rsidR="00875887" w:rsidRPr="00DE096C" w:rsidRDefault="00875887" w:rsidP="00875887">
      <w:pPr>
        <w:pStyle w:val="ae"/>
        <w:spacing w:before="0" w:beforeAutospacing="0" w:after="0" w:afterAutospacing="0"/>
        <w:jc w:val="both"/>
        <w:textAlignment w:val="top"/>
        <w:rPr>
          <w:bCs/>
          <w:color w:val="002060"/>
          <w:sz w:val="16"/>
          <w:szCs w:val="16"/>
        </w:rPr>
      </w:pPr>
      <w:r w:rsidRPr="00DE096C">
        <w:rPr>
          <w:bCs/>
          <w:color w:val="002060"/>
          <w:sz w:val="16"/>
          <w:szCs w:val="16"/>
        </w:rPr>
        <w:t>В октябре 1914 года, когда Лондон предоставил Петербургу кредит в 20 млн. фунтов (200 млн. рублей исходя из курса 10 рублей за 1 фунт) при обеспечении его золотом с русской стороны на сумму в 8 млн. фунтов (18384).</w:t>
      </w:r>
    </w:p>
    <w:p w14:paraId="535B195A" w14:textId="77777777" w:rsidR="00875887" w:rsidRPr="00DE096C" w:rsidRDefault="00875887" w:rsidP="00875887">
      <w:pPr>
        <w:pStyle w:val="ae"/>
        <w:spacing w:before="0" w:beforeAutospacing="0" w:after="0" w:afterAutospacing="0"/>
        <w:jc w:val="both"/>
        <w:textAlignment w:val="top"/>
        <w:rPr>
          <w:bCs/>
          <w:color w:val="002060"/>
          <w:sz w:val="16"/>
          <w:szCs w:val="16"/>
        </w:rPr>
      </w:pPr>
    </w:p>
    <w:p w14:paraId="149A3B38" w14:textId="77777777" w:rsidR="00B67D7C" w:rsidRPr="00DE096C" w:rsidRDefault="00B67D7C" w:rsidP="00D45A46">
      <w:pPr>
        <w:jc w:val="both"/>
        <w:rPr>
          <w:bCs/>
          <w:i/>
          <w:color w:val="002060"/>
          <w:sz w:val="16"/>
          <w:szCs w:val="16"/>
        </w:rPr>
      </w:pPr>
      <w:r w:rsidRPr="00DE096C">
        <w:rPr>
          <w:bCs/>
          <w:i/>
          <w:color w:val="002060"/>
          <w:sz w:val="16"/>
          <w:szCs w:val="16"/>
        </w:rPr>
        <w:t>Авиация и воздухоплавание Германии:</w:t>
      </w:r>
    </w:p>
    <w:p w14:paraId="7BDE8CF6" w14:textId="77777777" w:rsidR="00B67D7C" w:rsidRPr="00DE096C" w:rsidRDefault="00B67D7C" w:rsidP="00D45A46">
      <w:pPr>
        <w:jc w:val="both"/>
        <w:rPr>
          <w:bCs/>
          <w:i/>
          <w:color w:val="002060"/>
          <w:sz w:val="16"/>
          <w:szCs w:val="16"/>
        </w:rPr>
      </w:pPr>
    </w:p>
    <w:p w14:paraId="23D2AD5C" w14:textId="1B95317E" w:rsidR="00B67D7C" w:rsidRPr="00DE096C" w:rsidRDefault="00DC7D78" w:rsidP="00D45A46">
      <w:pPr>
        <w:jc w:val="both"/>
        <w:rPr>
          <w:bCs/>
          <w:color w:val="002060"/>
          <w:sz w:val="16"/>
          <w:szCs w:val="16"/>
        </w:rPr>
      </w:pPr>
      <w:r w:rsidRPr="00DE096C">
        <w:rPr>
          <w:bCs/>
          <w:color w:val="002060"/>
          <w:sz w:val="16"/>
          <w:szCs w:val="16"/>
        </w:rPr>
        <w:t>С</w:t>
      </w:r>
      <w:r w:rsidR="00B67D7C" w:rsidRPr="00DE096C">
        <w:rPr>
          <w:bCs/>
          <w:color w:val="002060"/>
          <w:sz w:val="16"/>
          <w:szCs w:val="16"/>
        </w:rPr>
        <w:t xml:space="preserve"> октябр</w:t>
      </w:r>
      <w:r w:rsidRPr="00DE096C">
        <w:rPr>
          <w:bCs/>
          <w:color w:val="002060"/>
          <w:sz w:val="16"/>
          <w:szCs w:val="16"/>
        </w:rPr>
        <w:t>я</w:t>
      </w:r>
      <w:r w:rsidR="00B67D7C" w:rsidRPr="00DE096C">
        <w:rPr>
          <w:bCs/>
          <w:color w:val="002060"/>
          <w:sz w:val="16"/>
          <w:szCs w:val="16"/>
        </w:rPr>
        <w:t xml:space="preserve"> 1914 года </w:t>
      </w:r>
      <w:r w:rsidRPr="00DE096C">
        <w:rPr>
          <w:bCs/>
          <w:color w:val="002060"/>
          <w:sz w:val="16"/>
          <w:szCs w:val="16"/>
        </w:rPr>
        <w:t xml:space="preserve">отдельные штабы армий, например 5-й, уже </w:t>
      </w:r>
      <w:r w:rsidR="00B67D7C" w:rsidRPr="00DE096C">
        <w:rPr>
          <w:bCs/>
          <w:color w:val="002060"/>
          <w:sz w:val="16"/>
          <w:szCs w:val="16"/>
        </w:rPr>
        <w:t>возлагали обязанности ответственного за авиацию штаб-офицера на одного из командиров авиационных отрядов (11282).</w:t>
      </w:r>
    </w:p>
    <w:p w14:paraId="64515CCA" w14:textId="77777777" w:rsidR="00B67D7C" w:rsidRPr="00DE096C" w:rsidRDefault="00B67D7C" w:rsidP="00D45A46">
      <w:pPr>
        <w:jc w:val="both"/>
        <w:rPr>
          <w:bCs/>
          <w:color w:val="002060"/>
          <w:sz w:val="16"/>
          <w:szCs w:val="16"/>
        </w:rPr>
      </w:pPr>
    </w:p>
    <w:p w14:paraId="6DE50B7F" w14:textId="77777777" w:rsidR="00F3414F" w:rsidRPr="00DE096C" w:rsidRDefault="00F3414F" w:rsidP="00D45A46">
      <w:pPr>
        <w:jc w:val="both"/>
        <w:rPr>
          <w:bCs/>
          <w:color w:val="002060"/>
          <w:sz w:val="16"/>
          <w:szCs w:val="16"/>
        </w:rPr>
      </w:pPr>
      <w:bookmarkStart w:id="198" w:name="_Hlk117352833"/>
      <w:r w:rsidRPr="00DE096C">
        <w:rPr>
          <w:bCs/>
          <w:color w:val="002060"/>
          <w:sz w:val="16"/>
          <w:szCs w:val="16"/>
        </w:rPr>
        <w:t>В октябре 1914 года Siemens-Schuckertwerke (SSW) приступило к разработке сразу двух самолетов R-класса - Riesenflugzeug (самолет-гигант): один - Форссмана, другой - братьев Штеффен (Bruno und Franz Steffen) (23453).</w:t>
      </w:r>
    </w:p>
    <w:p w14:paraId="06F6F104" w14:textId="77777777" w:rsidR="00F3414F" w:rsidRPr="00DE096C" w:rsidRDefault="00F3414F" w:rsidP="00D45A46">
      <w:pPr>
        <w:jc w:val="both"/>
        <w:rPr>
          <w:bCs/>
          <w:color w:val="002060"/>
          <w:sz w:val="16"/>
          <w:szCs w:val="16"/>
          <w:lang w:bidi="ru-RU"/>
        </w:rPr>
      </w:pPr>
    </w:p>
    <w:p w14:paraId="20619E55" w14:textId="5F4FC8EC" w:rsidR="00B67D7C" w:rsidRPr="00DE096C" w:rsidRDefault="00DC7D78"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В</w:t>
      </w:r>
      <w:r w:rsidR="00B67D7C" w:rsidRPr="00DE096C">
        <w:rPr>
          <w:bCs/>
          <w:i w:val="0"/>
          <w:color w:val="002060"/>
          <w:spacing w:val="0"/>
          <w:kern w:val="0"/>
          <w:position w:val="0"/>
          <w:sz w:val="16"/>
          <w:szCs w:val="16"/>
        </w:rPr>
        <w:t xml:space="preserve"> октябре 1914 года </w:t>
      </w:r>
      <w:r w:rsidRPr="00DE096C">
        <w:rPr>
          <w:bCs/>
          <w:i w:val="0"/>
          <w:color w:val="002060"/>
          <w:spacing w:val="0"/>
          <w:kern w:val="0"/>
          <w:position w:val="0"/>
          <w:sz w:val="16"/>
          <w:szCs w:val="16"/>
        </w:rPr>
        <w:t>братья Бруно и Франц Штеффен - главные конструкторы "Сименс Шуккерт Верке" ("СШВ")</w:t>
      </w:r>
      <w:r w:rsidR="00B67D7C" w:rsidRPr="00DE096C">
        <w:rPr>
          <w:bCs/>
          <w:i w:val="0"/>
          <w:color w:val="002060"/>
          <w:spacing w:val="0"/>
          <w:kern w:val="0"/>
          <w:position w:val="0"/>
          <w:sz w:val="16"/>
          <w:szCs w:val="16"/>
        </w:rPr>
        <w:t xml:space="preserve"> закончили первый тяжелый бомбардировщик. Кроме братьев Штеффен на фирме "СШВ" работал Виллихед Форссман, шведский инженер, который в 1910-1912 году конструировал в России военные дирижабли. Форссман был разносторонним конструктором. Он проектировал одноместные подводные лодки, танки с противоснарядной броней, сотрудничал с Ганнесманном при строительстве последнего трансатлантического гиганта. В России Форссман сотрудничает с Сикорским и участвовал в строительстве самолета "Гранд". На фирме "СШВ" Форссман самостоятельно развивал свою линию самолетов "R". Шведский инженер пользовался идеями Сикорского, проектируя самолеты, похожие на "Гранд" - бипланы с рядом двигателей на нижнем крыле. Форссману удалось построить два таких самолета, но они оказались неудачными и дальнейшие работы над линией свернули. Третьей фирмой, строившей тяжелые бомбардировщики, стала "ДФВ" из Лиденталя (район Лейпцига) Здесь главными инженерами были Герман Дорнье и Генрих Элерих (11262).</w:t>
      </w:r>
    </w:p>
    <w:p w14:paraId="5C03DA66" w14:textId="77777777" w:rsidR="00B67D7C" w:rsidRPr="00DE096C" w:rsidRDefault="00B67D7C" w:rsidP="00D45A46">
      <w:pPr>
        <w:pStyle w:val="a3"/>
        <w:jc w:val="both"/>
        <w:rPr>
          <w:bCs/>
          <w:i w:val="0"/>
          <w:color w:val="002060"/>
          <w:spacing w:val="0"/>
          <w:kern w:val="0"/>
          <w:position w:val="0"/>
          <w:sz w:val="16"/>
          <w:szCs w:val="16"/>
        </w:rPr>
      </w:pPr>
    </w:p>
    <w:bookmarkEnd w:id="198"/>
    <w:p w14:paraId="44D16E54" w14:textId="3F949FCD" w:rsidR="00B67D7C" w:rsidRPr="00DE096C" w:rsidRDefault="00DC7D78" w:rsidP="00D45A46">
      <w:pPr>
        <w:shd w:val="clear" w:color="auto" w:fill="FFFFFF"/>
        <w:jc w:val="both"/>
        <w:rPr>
          <w:bCs/>
          <w:color w:val="002060"/>
          <w:sz w:val="16"/>
          <w:szCs w:val="16"/>
        </w:rPr>
      </w:pPr>
      <w:r w:rsidRPr="00DE096C">
        <w:rPr>
          <w:bCs/>
          <w:color w:val="002060"/>
          <w:sz w:val="16"/>
          <w:szCs w:val="16"/>
        </w:rPr>
        <w:t>В</w:t>
      </w:r>
      <w:r w:rsidR="00B67D7C" w:rsidRPr="00DE096C">
        <w:rPr>
          <w:bCs/>
          <w:color w:val="002060"/>
          <w:sz w:val="16"/>
          <w:szCs w:val="16"/>
        </w:rPr>
        <w:t xml:space="preserve"> октябре 1914 г. </w:t>
      </w:r>
      <w:r w:rsidR="008323E7" w:rsidRPr="00DE096C">
        <w:rPr>
          <w:bCs/>
          <w:color w:val="002060"/>
          <w:sz w:val="16"/>
          <w:szCs w:val="16"/>
        </w:rPr>
        <w:t>аппаратом с толкающим винтом, позволявшим устанавли</w:t>
      </w:r>
      <w:r w:rsidR="008323E7" w:rsidRPr="00DE096C">
        <w:rPr>
          <w:bCs/>
          <w:color w:val="002060"/>
          <w:sz w:val="16"/>
          <w:szCs w:val="16"/>
        </w:rPr>
        <w:softHyphen/>
        <w:t>вать пулемет на носу аэроплана, был сбит первый германский самолет,</w:t>
      </w:r>
      <w:r w:rsidR="0006581C">
        <w:rPr>
          <w:bCs/>
          <w:color w:val="002060"/>
          <w:sz w:val="16"/>
          <w:szCs w:val="16"/>
        </w:rPr>
        <w:t xml:space="preserve"> </w:t>
      </w:r>
      <w:r w:rsidR="00B67D7C" w:rsidRPr="00DE096C">
        <w:rPr>
          <w:bCs/>
          <w:color w:val="002060"/>
          <w:sz w:val="16"/>
          <w:szCs w:val="16"/>
        </w:rPr>
        <w:t>Од</w:t>
      </w:r>
      <w:r w:rsidR="00B67D7C" w:rsidRPr="00DE096C">
        <w:rPr>
          <w:bCs/>
          <w:color w:val="002060"/>
          <w:sz w:val="16"/>
          <w:szCs w:val="16"/>
        </w:rPr>
        <w:softHyphen/>
        <w:t>нако эти машины оказались совершенно незащищенными с хвостовой части. Кроме того, находящийся в передней кабине летнаб почти неизбежно погибал при достаточно часто случавшемся капотировании (11060).</w:t>
      </w:r>
    </w:p>
    <w:p w14:paraId="318259EB" w14:textId="77777777" w:rsidR="00B67D7C" w:rsidRPr="00DE096C" w:rsidRDefault="00B67D7C" w:rsidP="00D45A46">
      <w:pPr>
        <w:shd w:val="clear" w:color="auto" w:fill="FFFFFF"/>
        <w:jc w:val="both"/>
        <w:rPr>
          <w:bCs/>
          <w:color w:val="002060"/>
          <w:sz w:val="16"/>
          <w:szCs w:val="16"/>
        </w:rPr>
      </w:pPr>
    </w:p>
    <w:p w14:paraId="70C05832" w14:textId="77777777" w:rsidR="00B67D7C" w:rsidRPr="00DE096C" w:rsidRDefault="00B67D7C" w:rsidP="00D45A46">
      <w:pPr>
        <w:jc w:val="both"/>
        <w:rPr>
          <w:bCs/>
          <w:color w:val="002060"/>
          <w:sz w:val="16"/>
          <w:szCs w:val="16"/>
        </w:rPr>
      </w:pPr>
      <w:r w:rsidRPr="00DE096C">
        <w:rPr>
          <w:bCs/>
          <w:color w:val="002060"/>
          <w:sz w:val="16"/>
          <w:szCs w:val="16"/>
        </w:rPr>
        <w:t>С октября месяца 1914 во французской авиации вооружение аэропланов пулеметами стало обязательным. Сначала французы, а несколько позднее англичане начали устанавливать в носовой части на аэропланах с ферменной хвостовой частью и толкающим винтом пулеметы "Виккерс" или "Льюис".</w:t>
      </w:r>
    </w:p>
    <w:p w14:paraId="1E046F7A" w14:textId="77777777" w:rsidR="00B67D7C" w:rsidRPr="00DE096C" w:rsidRDefault="00B67D7C" w:rsidP="00D45A46">
      <w:pPr>
        <w:jc w:val="both"/>
        <w:rPr>
          <w:bCs/>
          <w:color w:val="002060"/>
          <w:sz w:val="16"/>
          <w:szCs w:val="16"/>
        </w:rPr>
      </w:pPr>
      <w:r w:rsidRPr="00DE096C">
        <w:rPr>
          <w:bCs/>
          <w:color w:val="002060"/>
          <w:sz w:val="16"/>
          <w:szCs w:val="16"/>
        </w:rPr>
        <w:t>Германское военное министерство, обеспокоенное бомбардировкой с аэропланов, реквизировало на всех своих заводах заказы иностранных государств на зенитные орудия и довело парк своих противовоздушных орудий до 36 стволов.</w:t>
      </w:r>
    </w:p>
    <w:p w14:paraId="2B3551CB" w14:textId="77777777" w:rsidR="00B67D7C" w:rsidRPr="00DE096C" w:rsidRDefault="00B67D7C" w:rsidP="00D45A46">
      <w:pPr>
        <w:jc w:val="both"/>
        <w:rPr>
          <w:bCs/>
          <w:color w:val="002060"/>
          <w:sz w:val="16"/>
          <w:szCs w:val="16"/>
        </w:rPr>
      </w:pPr>
      <w:r w:rsidRPr="00DE096C">
        <w:rPr>
          <w:bCs/>
          <w:color w:val="002060"/>
          <w:sz w:val="16"/>
          <w:szCs w:val="16"/>
        </w:rPr>
        <w:t>В этом месяце германские авиаторы начали свою бомбардировочную деятельность, сбросив бомбу на Венский вокзал в Варшаве.</w:t>
      </w:r>
    </w:p>
    <w:p w14:paraId="378FB49C" w14:textId="77777777" w:rsidR="00B67D7C" w:rsidRPr="00DE096C" w:rsidRDefault="00B67D7C" w:rsidP="00D45A46">
      <w:pPr>
        <w:jc w:val="both"/>
        <w:rPr>
          <w:bCs/>
          <w:color w:val="002060"/>
          <w:sz w:val="16"/>
          <w:szCs w:val="16"/>
        </w:rPr>
      </w:pPr>
      <w:r w:rsidRPr="00DE096C">
        <w:rPr>
          <w:bCs/>
          <w:color w:val="002060"/>
          <w:sz w:val="16"/>
          <w:szCs w:val="16"/>
        </w:rPr>
        <w:t>В ответ на это русский летчик также сбросил бомбу на позиции австрийцев. Бомба была подвешена к самолету при помощи сыромятных ремней, что привело к многочисленным подражаниям (11999).</w:t>
      </w:r>
    </w:p>
    <w:p w14:paraId="1F1092AD" w14:textId="77777777" w:rsidR="00B67D7C" w:rsidRPr="00DE096C" w:rsidRDefault="00B67D7C" w:rsidP="00D45A46">
      <w:pPr>
        <w:jc w:val="both"/>
        <w:rPr>
          <w:bCs/>
          <w:color w:val="002060"/>
          <w:sz w:val="16"/>
          <w:szCs w:val="16"/>
        </w:rPr>
      </w:pPr>
    </w:p>
    <w:p w14:paraId="422F5E01" w14:textId="744572EF" w:rsidR="00B67D7C" w:rsidRPr="00DE096C" w:rsidRDefault="00B67D7C" w:rsidP="00D45A46">
      <w:pPr>
        <w:jc w:val="both"/>
        <w:rPr>
          <w:bCs/>
          <w:color w:val="002060"/>
          <w:sz w:val="16"/>
          <w:szCs w:val="16"/>
        </w:rPr>
      </w:pPr>
      <w:r w:rsidRPr="00DE096C">
        <w:rPr>
          <w:bCs/>
          <w:color w:val="002060"/>
          <w:sz w:val="16"/>
          <w:szCs w:val="16"/>
        </w:rPr>
        <w:t xml:space="preserve">С августа до октября 1914 г. германскими авиачастями </w:t>
      </w:r>
      <w:r w:rsidR="008323E7" w:rsidRPr="00DE096C">
        <w:rPr>
          <w:bCs/>
          <w:color w:val="002060"/>
          <w:sz w:val="16"/>
          <w:szCs w:val="16"/>
        </w:rPr>
        <w:t>из-за поломок и летных происшествий</w:t>
      </w:r>
      <w:r w:rsidRPr="00DE096C">
        <w:rPr>
          <w:bCs/>
          <w:color w:val="002060"/>
          <w:sz w:val="16"/>
          <w:szCs w:val="16"/>
        </w:rPr>
        <w:t xml:space="preserve"> было потеряно 100 из 232 самолетов; 52 пилота при этом простились с жизнью. Дважды разбил самолет на взлете только начинавший летать Удет; однако он оба раза отделался только гауптвахтой. Летные кадры таяли еще даже и не поучаствовав толком в боевых действиях. То же самое происходило и во французской, и в английской авиации. У русских на южном фронте упало число самолетов с 99 от начала войны до 6 в декабре 1914 г.</w:t>
      </w:r>
    </w:p>
    <w:p w14:paraId="2E362C20" w14:textId="77777777" w:rsidR="00B67D7C" w:rsidRPr="00DE096C" w:rsidRDefault="00B67D7C" w:rsidP="00D45A46">
      <w:pPr>
        <w:jc w:val="both"/>
        <w:rPr>
          <w:bCs/>
          <w:color w:val="002060"/>
          <w:sz w:val="16"/>
          <w:szCs w:val="16"/>
        </w:rPr>
      </w:pPr>
      <w:r w:rsidRPr="00DE096C">
        <w:rPr>
          <w:bCs/>
          <w:color w:val="002060"/>
          <w:sz w:val="16"/>
          <w:szCs w:val="16"/>
        </w:rPr>
        <w:t>Особенно быстро выходили из строя авиадвигатели. Немало было случаев, когда в полете отлетала обшивка, обламывались крылья, конец вала двигателя вместе с винтом, ломались расчалки и пр. Частой причиной гибели летчиков была "остановка мотора на взлете".</w:t>
      </w:r>
    </w:p>
    <w:p w14:paraId="6F478058" w14:textId="77777777" w:rsidR="00B67D7C" w:rsidRPr="00DE096C" w:rsidRDefault="00B67D7C" w:rsidP="00D45A46">
      <w:pPr>
        <w:jc w:val="both"/>
        <w:rPr>
          <w:bCs/>
          <w:color w:val="002060"/>
          <w:sz w:val="16"/>
          <w:szCs w:val="16"/>
        </w:rPr>
      </w:pPr>
      <w:r w:rsidRPr="00DE096C">
        <w:rPr>
          <w:bCs/>
          <w:color w:val="002060"/>
          <w:sz w:val="16"/>
          <w:szCs w:val="16"/>
        </w:rPr>
        <w:t>Средний срок службы самолета до капитального ремонта составлял 2-3 месяца, общая долговечность не превышала 9 месяцев, двигателя - 500 часов. До первой переборки двигатель работал около 50 часов (11999).</w:t>
      </w:r>
    </w:p>
    <w:p w14:paraId="25139D11" w14:textId="77777777" w:rsidR="00B67D7C" w:rsidRPr="00DE096C" w:rsidRDefault="00B67D7C" w:rsidP="00D45A46">
      <w:pPr>
        <w:jc w:val="both"/>
        <w:rPr>
          <w:bCs/>
          <w:color w:val="002060"/>
          <w:sz w:val="16"/>
          <w:szCs w:val="16"/>
        </w:rPr>
      </w:pPr>
      <w:r w:rsidRPr="00DE096C">
        <w:rPr>
          <w:bCs/>
          <w:color w:val="002060"/>
          <w:sz w:val="16"/>
          <w:szCs w:val="16"/>
        </w:rPr>
        <w:t>Учитывая сложившееся угрожающее положение в Германии в этом месяце для решения проблем авиачастей была создана "Инспекция летчиков" (11999).</w:t>
      </w:r>
    </w:p>
    <w:p w14:paraId="7C7D5AA2" w14:textId="77777777" w:rsidR="00B67D7C" w:rsidRPr="00DE096C" w:rsidRDefault="00B67D7C" w:rsidP="00D45A46">
      <w:pPr>
        <w:pStyle w:val="a3"/>
        <w:jc w:val="both"/>
        <w:rPr>
          <w:bCs/>
          <w:color w:val="002060"/>
          <w:spacing w:val="0"/>
          <w:position w:val="0"/>
          <w:sz w:val="16"/>
          <w:szCs w:val="16"/>
        </w:rPr>
      </w:pPr>
    </w:p>
    <w:p w14:paraId="700AE14D" w14:textId="77777777" w:rsidR="00B67D7C" w:rsidRPr="00DE096C" w:rsidRDefault="00B67D7C" w:rsidP="00D45A46">
      <w:pPr>
        <w:pStyle w:val="a3"/>
        <w:jc w:val="both"/>
        <w:rPr>
          <w:bCs/>
          <w:vanish/>
          <w:color w:val="002060"/>
          <w:spacing w:val="0"/>
          <w:kern w:val="0"/>
          <w:position w:val="0"/>
          <w:sz w:val="16"/>
          <w:szCs w:val="16"/>
        </w:rPr>
      </w:pPr>
      <w:r w:rsidRPr="00DE096C">
        <w:rPr>
          <w:bCs/>
          <w:vanish/>
          <w:color w:val="002060"/>
          <w:spacing w:val="0"/>
          <w:kern w:val="0"/>
          <w:position w:val="0"/>
          <w:sz w:val="16"/>
          <w:szCs w:val="16"/>
        </w:rPr>
        <w:t>Авиация и воздухоплавание Франции:</w:t>
      </w:r>
    </w:p>
    <w:p w14:paraId="6C7228E7" w14:textId="77777777" w:rsidR="00B67D7C" w:rsidRPr="00DE096C" w:rsidRDefault="00B67D7C" w:rsidP="00D45A46">
      <w:pPr>
        <w:pStyle w:val="a3"/>
        <w:jc w:val="both"/>
        <w:rPr>
          <w:bCs/>
          <w:vanish/>
          <w:color w:val="002060"/>
          <w:spacing w:val="0"/>
          <w:kern w:val="0"/>
          <w:position w:val="0"/>
          <w:sz w:val="16"/>
          <w:szCs w:val="16"/>
        </w:rPr>
      </w:pPr>
    </w:p>
    <w:p w14:paraId="4E916C53" w14:textId="6A89CFFD" w:rsidR="00B67D7C" w:rsidRPr="00DE096C" w:rsidRDefault="008323E7"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октябре </w:t>
      </w:r>
      <w:r w:rsidRPr="00DE096C">
        <w:rPr>
          <w:bCs/>
          <w:color w:val="002060"/>
          <w:sz w:val="16"/>
          <w:szCs w:val="16"/>
        </w:rPr>
        <w:t xml:space="preserve">1914 г. во Францции было произведено </w:t>
      </w:r>
      <w:r w:rsidR="00B67D7C" w:rsidRPr="00DE096C">
        <w:rPr>
          <w:bCs/>
          <w:color w:val="002060"/>
          <w:sz w:val="16"/>
          <w:szCs w:val="16"/>
        </w:rPr>
        <w:t>100 самолетов</w:t>
      </w:r>
      <w:r w:rsidRPr="00DE096C">
        <w:rPr>
          <w:bCs/>
          <w:color w:val="002060"/>
          <w:sz w:val="16"/>
          <w:szCs w:val="16"/>
        </w:rPr>
        <w:t xml:space="preserve"> по сравнению с 62 в сентябре и 50 в августе</w:t>
      </w:r>
      <w:r w:rsidR="00B67D7C" w:rsidRPr="00DE096C">
        <w:rPr>
          <w:bCs/>
          <w:color w:val="002060"/>
          <w:sz w:val="16"/>
          <w:szCs w:val="16"/>
        </w:rPr>
        <w:t>.</w:t>
      </w:r>
      <w:r w:rsidRPr="00DE096C">
        <w:rPr>
          <w:bCs/>
          <w:color w:val="002060"/>
          <w:sz w:val="16"/>
          <w:szCs w:val="16"/>
        </w:rPr>
        <w:t xml:space="preserve"> </w:t>
      </w:r>
      <w:r w:rsidR="00B67D7C" w:rsidRPr="00DE096C">
        <w:rPr>
          <w:bCs/>
          <w:color w:val="002060"/>
          <w:sz w:val="16"/>
          <w:szCs w:val="16"/>
        </w:rPr>
        <w:t>Требования мировой войны принуждали производителей всех стран, изменить подход к мобилизации и использованию военно-научных потенциалов. Это было особенно актуально для такого молодого производства как авиапромышленность. Спрос на авиационную продукцию неимоверно возрос благодаря новому характеру сбыта (боевым действиям).</w:t>
      </w:r>
    </w:p>
    <w:p w14:paraId="3BF57F66" w14:textId="77777777" w:rsidR="00B67D7C" w:rsidRPr="00DE096C" w:rsidRDefault="00B67D7C" w:rsidP="00D45A46">
      <w:pPr>
        <w:jc w:val="both"/>
        <w:rPr>
          <w:bCs/>
          <w:color w:val="002060"/>
          <w:sz w:val="16"/>
          <w:szCs w:val="16"/>
        </w:rPr>
      </w:pPr>
      <w:r w:rsidRPr="00DE096C">
        <w:rPr>
          <w:bCs/>
          <w:color w:val="002060"/>
          <w:sz w:val="16"/>
          <w:szCs w:val="16"/>
        </w:rPr>
        <w:t>Более того, теперь, по исходу первых месяцев боевых действий, всем стало ясно, что вместо блицкрига все должны приготовиться к длительной затяжной войне. Из подвижной война превращалась в статичную, что предъявляло отчасти и совершенно новые требования к вооруженным силам и к вооружению.</w:t>
      </w:r>
    </w:p>
    <w:p w14:paraId="54253E53" w14:textId="77777777" w:rsidR="00B67D7C" w:rsidRPr="00DE096C" w:rsidRDefault="00B67D7C" w:rsidP="00D45A46">
      <w:pPr>
        <w:jc w:val="both"/>
        <w:rPr>
          <w:bCs/>
          <w:color w:val="002060"/>
          <w:sz w:val="16"/>
          <w:szCs w:val="16"/>
        </w:rPr>
      </w:pPr>
      <w:r w:rsidRPr="00DE096C">
        <w:rPr>
          <w:bCs/>
          <w:color w:val="002060"/>
          <w:sz w:val="16"/>
          <w:szCs w:val="16"/>
        </w:rPr>
        <w:t>Что касается конкретного применения аэропланов в боевых действиях, то уже в этом году обозначились едва ли не все возможные виды их использования.</w:t>
      </w:r>
    </w:p>
    <w:p w14:paraId="33D4E0ED" w14:textId="347694B9" w:rsidR="00B67D7C" w:rsidRPr="00DE096C" w:rsidRDefault="00B67D7C" w:rsidP="00D45A46">
      <w:pPr>
        <w:jc w:val="both"/>
        <w:rPr>
          <w:bCs/>
          <w:color w:val="002060"/>
          <w:sz w:val="16"/>
          <w:szCs w:val="16"/>
        </w:rPr>
      </w:pPr>
      <w:r w:rsidRPr="00DE096C">
        <w:rPr>
          <w:bCs/>
          <w:color w:val="002060"/>
          <w:sz w:val="16"/>
          <w:szCs w:val="16"/>
        </w:rPr>
        <w:t>Все шире стали применять аэропланы для корректирования артиллерийской стрельбы.</w:t>
      </w:r>
      <w:r w:rsidR="0006581C">
        <w:rPr>
          <w:bCs/>
          <w:color w:val="002060"/>
          <w:sz w:val="16"/>
          <w:szCs w:val="16"/>
        </w:rPr>
        <w:t xml:space="preserve"> </w:t>
      </w:r>
      <w:r w:rsidRPr="00DE096C">
        <w:rPr>
          <w:bCs/>
          <w:color w:val="002060"/>
          <w:sz w:val="16"/>
          <w:szCs w:val="16"/>
        </w:rPr>
        <w:t>Как действенное средство сигнализации стали рассматривать в 1914 г. ракетницу. Во Франции применялись, как правило, следующие уведомления: артиллерия сначала стреляла на далекое расстояние, а артнаблюдатель красной ракетой корректировал дальнюю, а зеленой - ближнюю стрельбу. Затем устанавливалась успешность стрельбы по сторонам. Вместо ракет можно было также направлять стрельбу благодаря правому или левому наклону крыльев. Такой способ корректировки оказался не только весьма трудоемким и медленным, но еще и способствовал множеству ошибок. Часто один сигнал принимали за другой, особенно с тех пор как артиллерия стала применяться массированно, и работали многочисленные батареи одновременно. Техническое решение было найдено благодаря развитию беспроволочного телеграфа (11999).</w:t>
      </w:r>
    </w:p>
    <w:p w14:paraId="08C5B7B9" w14:textId="77777777" w:rsidR="00B67D7C" w:rsidRPr="00DE096C" w:rsidRDefault="00B67D7C" w:rsidP="00D45A46">
      <w:pPr>
        <w:jc w:val="both"/>
        <w:rPr>
          <w:bCs/>
          <w:color w:val="002060"/>
          <w:sz w:val="16"/>
          <w:szCs w:val="16"/>
        </w:rPr>
      </w:pPr>
    </w:p>
    <w:p w14:paraId="2425DC98" w14:textId="77777777" w:rsidR="00B67D7C" w:rsidRPr="00DE096C" w:rsidRDefault="00B67D7C" w:rsidP="00D45A46">
      <w:pPr>
        <w:jc w:val="both"/>
        <w:rPr>
          <w:bCs/>
          <w:color w:val="002060"/>
          <w:sz w:val="16"/>
          <w:szCs w:val="16"/>
        </w:rPr>
      </w:pPr>
      <w:r w:rsidRPr="00DE096C">
        <w:rPr>
          <w:bCs/>
          <w:color w:val="002060"/>
          <w:sz w:val="16"/>
          <w:szCs w:val="16"/>
        </w:rPr>
        <w:t>С октября 1914 года пулемет устанавливался на каждом военном французском самолете. Револьверы, карабины и автоматические ружья немецких летчиков не могли выдержать конкуренции с пулеметом. Появившиеся в Германии пулеметы с водянымохлаждением были слишком тяжелыми, а пулеметов с воздушным охлаждением наша промышленность в мирное время не выпускала (11282).</w:t>
      </w:r>
    </w:p>
    <w:p w14:paraId="5B8C8963" w14:textId="77777777" w:rsidR="00B67D7C" w:rsidRPr="00DE096C" w:rsidRDefault="00B67D7C" w:rsidP="00D45A46">
      <w:pPr>
        <w:jc w:val="both"/>
        <w:rPr>
          <w:bCs/>
          <w:color w:val="002060"/>
          <w:sz w:val="16"/>
          <w:szCs w:val="16"/>
        </w:rPr>
      </w:pPr>
    </w:p>
    <w:p w14:paraId="397F7075" w14:textId="77777777" w:rsidR="00B67D7C" w:rsidRPr="00DE096C" w:rsidRDefault="00B67D7C" w:rsidP="00D45A46">
      <w:pPr>
        <w:jc w:val="both"/>
        <w:rPr>
          <w:bCs/>
          <w:color w:val="002060"/>
          <w:sz w:val="16"/>
          <w:szCs w:val="16"/>
        </w:rPr>
      </w:pPr>
      <w:r w:rsidRPr="00DE096C">
        <w:rPr>
          <w:bCs/>
          <w:color w:val="002060"/>
          <w:sz w:val="16"/>
          <w:szCs w:val="16"/>
        </w:rPr>
        <w:t>С октября месяца 1914 во французской авиации вооружение аэропланов пулеметами стало обязательным. Сначала французы, а несколько позднее англичане начали устанавливать в носовой части на аэропланах с ферменной хвостовой частью и толкающим винтом пулеметы "Виккерс" или "Льюис".</w:t>
      </w:r>
    </w:p>
    <w:p w14:paraId="690A1C02" w14:textId="77777777" w:rsidR="00B67D7C" w:rsidRPr="00DE096C" w:rsidRDefault="00B67D7C" w:rsidP="00D45A46">
      <w:pPr>
        <w:jc w:val="both"/>
        <w:rPr>
          <w:bCs/>
          <w:color w:val="002060"/>
          <w:sz w:val="16"/>
          <w:szCs w:val="16"/>
        </w:rPr>
      </w:pPr>
      <w:r w:rsidRPr="00DE096C">
        <w:rPr>
          <w:bCs/>
          <w:color w:val="002060"/>
          <w:sz w:val="16"/>
          <w:szCs w:val="16"/>
        </w:rPr>
        <w:t>Германское военное министерство, обеспокоенное бомбардировкой с аэропланов, реквизировало на всех своих заводах заказы иностранных государств на зенитные орудия и довело парк своих противовоздушных орудий до 36 стволов.</w:t>
      </w:r>
    </w:p>
    <w:p w14:paraId="43E15AF5" w14:textId="77777777" w:rsidR="00B67D7C" w:rsidRPr="00DE096C" w:rsidRDefault="00B67D7C" w:rsidP="00D45A46">
      <w:pPr>
        <w:jc w:val="both"/>
        <w:rPr>
          <w:bCs/>
          <w:color w:val="002060"/>
          <w:sz w:val="16"/>
          <w:szCs w:val="16"/>
        </w:rPr>
      </w:pPr>
      <w:r w:rsidRPr="00DE096C">
        <w:rPr>
          <w:bCs/>
          <w:color w:val="002060"/>
          <w:sz w:val="16"/>
          <w:szCs w:val="16"/>
        </w:rPr>
        <w:t>В этом месяце германские авиаторы начали свою бомбардировочную деятельность, сбросив бомбу на Венский вокзал в Варшаве.</w:t>
      </w:r>
    </w:p>
    <w:p w14:paraId="376B47DD" w14:textId="77777777" w:rsidR="00B67D7C" w:rsidRPr="00DE096C" w:rsidRDefault="00B67D7C" w:rsidP="00D45A46">
      <w:pPr>
        <w:jc w:val="both"/>
        <w:rPr>
          <w:bCs/>
          <w:color w:val="002060"/>
          <w:sz w:val="16"/>
          <w:szCs w:val="16"/>
        </w:rPr>
      </w:pPr>
      <w:r w:rsidRPr="00DE096C">
        <w:rPr>
          <w:bCs/>
          <w:color w:val="002060"/>
          <w:sz w:val="16"/>
          <w:szCs w:val="16"/>
        </w:rPr>
        <w:t>В ответ на это русский летчик также сбросил бомбу на позиции австрийцев. Бомба была подвешена к самолету при помощи сыромятных ремней, что привело к многочисленным подражаниям (11999).</w:t>
      </w:r>
    </w:p>
    <w:p w14:paraId="29B0C17A" w14:textId="77777777" w:rsidR="00B67D7C" w:rsidRPr="00DE096C" w:rsidRDefault="00B67D7C" w:rsidP="00D45A46">
      <w:pPr>
        <w:jc w:val="both"/>
        <w:rPr>
          <w:bCs/>
          <w:color w:val="002060"/>
          <w:sz w:val="16"/>
          <w:szCs w:val="16"/>
        </w:rPr>
      </w:pPr>
    </w:p>
    <w:p w14:paraId="7CFB3723" w14:textId="6235DE67" w:rsidR="00B67D7C" w:rsidRPr="00DE096C" w:rsidRDefault="008323E7"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октябре 1914 года</w:t>
      </w:r>
      <w:r w:rsidRPr="00DE096C">
        <w:rPr>
          <w:bCs/>
          <w:color w:val="002060"/>
          <w:sz w:val="16"/>
          <w:szCs w:val="16"/>
        </w:rPr>
        <w:t xml:space="preserve"> дирижабль полужесткого типа «Тиссанди» фирмы «Лебоди» объемом 21 000 куб. м поднялся в воздух</w:t>
      </w:r>
      <w:r w:rsidR="00B67D7C" w:rsidRPr="00DE096C">
        <w:rPr>
          <w:bCs/>
          <w:color w:val="002060"/>
          <w:sz w:val="16"/>
          <w:szCs w:val="16"/>
        </w:rPr>
        <w:t xml:space="preserve">, </w:t>
      </w:r>
      <w:r w:rsidR="00D24D8D" w:rsidRPr="00DE096C">
        <w:rPr>
          <w:bCs/>
          <w:color w:val="002060"/>
          <w:sz w:val="16"/>
          <w:szCs w:val="16"/>
        </w:rPr>
        <w:t>«Пилатр де Розье» объемом 23 000 куб. м</w:t>
      </w:r>
      <w:r w:rsidR="00B67D7C" w:rsidRPr="00DE096C">
        <w:rPr>
          <w:bCs/>
          <w:color w:val="002060"/>
          <w:sz w:val="16"/>
          <w:szCs w:val="16"/>
        </w:rPr>
        <w:t xml:space="preserve"> </w:t>
      </w:r>
      <w:r w:rsidR="00D24D8D" w:rsidRPr="00DE096C">
        <w:rPr>
          <w:bCs/>
          <w:color w:val="002060"/>
          <w:sz w:val="16"/>
          <w:szCs w:val="16"/>
        </w:rPr>
        <w:t xml:space="preserve">«Астра» — </w:t>
      </w:r>
      <w:r w:rsidR="00B67D7C" w:rsidRPr="00DE096C">
        <w:rPr>
          <w:bCs/>
          <w:color w:val="002060"/>
          <w:sz w:val="16"/>
          <w:szCs w:val="16"/>
        </w:rPr>
        <w:t xml:space="preserve">и </w:t>
      </w:r>
      <w:r w:rsidR="00D24D8D" w:rsidRPr="00DE096C">
        <w:rPr>
          <w:bCs/>
          <w:color w:val="002060"/>
          <w:sz w:val="16"/>
          <w:szCs w:val="16"/>
        </w:rPr>
        <w:t>аналогичный по объему «Генерал Менье»</w:t>
      </w:r>
      <w:r w:rsidR="00B67D7C" w:rsidRPr="00DE096C">
        <w:rPr>
          <w:bCs/>
          <w:color w:val="002060"/>
          <w:sz w:val="16"/>
          <w:szCs w:val="16"/>
        </w:rPr>
        <w:t xml:space="preserve"> </w:t>
      </w:r>
      <w:r w:rsidR="00D24D8D" w:rsidRPr="00DE096C">
        <w:rPr>
          <w:bCs/>
          <w:color w:val="002060"/>
          <w:sz w:val="16"/>
          <w:szCs w:val="16"/>
        </w:rPr>
        <w:t xml:space="preserve">от «Клеман-Байяр» - </w:t>
      </w:r>
      <w:r w:rsidR="00B67D7C" w:rsidRPr="00DE096C">
        <w:rPr>
          <w:bCs/>
          <w:color w:val="002060"/>
          <w:sz w:val="16"/>
          <w:szCs w:val="16"/>
        </w:rPr>
        <w:t xml:space="preserve">соответственно в январе и сентябре 1915 года. </w:t>
      </w:r>
      <w:r w:rsidR="00D24D8D" w:rsidRPr="00DE096C">
        <w:rPr>
          <w:bCs/>
          <w:color w:val="002060"/>
          <w:sz w:val="16"/>
          <w:szCs w:val="16"/>
        </w:rPr>
        <w:t xml:space="preserve">На «Зодиаке» заложили «д'Арланд», который однако так и не был построен. </w:t>
      </w:r>
      <w:r w:rsidR="00B67D7C" w:rsidRPr="00DE096C">
        <w:rPr>
          <w:bCs/>
          <w:color w:val="002060"/>
          <w:sz w:val="16"/>
          <w:szCs w:val="16"/>
        </w:rPr>
        <w:t>Оказалось, что все усилия по разработке и строительству воздушных кораблей были затрачены впустую. Дирижабли этого типа оказались слишком медлительны и имели недостаточный потолок, поэтому не приходилось рассчитывать на их успешное проникновение через линию фронта (11324).</w:t>
      </w:r>
    </w:p>
    <w:p w14:paraId="4C7F4767" w14:textId="77777777" w:rsidR="00B67D7C" w:rsidRPr="00DE096C" w:rsidRDefault="00B67D7C" w:rsidP="00D45A46">
      <w:pPr>
        <w:jc w:val="both"/>
        <w:rPr>
          <w:bCs/>
          <w:i/>
          <w:color w:val="002060"/>
          <w:sz w:val="16"/>
          <w:szCs w:val="16"/>
        </w:rPr>
      </w:pPr>
    </w:p>
    <w:p w14:paraId="551F68EB" w14:textId="700A2635" w:rsidR="00650BE3" w:rsidRPr="00DE096C" w:rsidRDefault="00650BE3" w:rsidP="00D45A46">
      <w:pPr>
        <w:pStyle w:val="a3"/>
        <w:jc w:val="both"/>
        <w:rPr>
          <w:bCs/>
          <w:vanish/>
          <w:color w:val="002060"/>
          <w:spacing w:val="0"/>
          <w:kern w:val="0"/>
          <w:position w:val="0"/>
          <w:sz w:val="16"/>
          <w:szCs w:val="16"/>
        </w:rPr>
      </w:pPr>
      <w:r w:rsidRPr="00DE096C">
        <w:rPr>
          <w:bCs/>
          <w:vanish/>
          <w:color w:val="002060"/>
          <w:spacing w:val="0"/>
          <w:kern w:val="0"/>
          <w:position w:val="0"/>
          <w:sz w:val="16"/>
          <w:szCs w:val="16"/>
        </w:rPr>
        <w:t>Авиация и воздухоплавание в Германии:</w:t>
      </w:r>
    </w:p>
    <w:p w14:paraId="3CE34E62" w14:textId="77777777" w:rsidR="00650BE3" w:rsidRPr="00DE096C" w:rsidRDefault="00650BE3" w:rsidP="00D45A46">
      <w:pPr>
        <w:pStyle w:val="a3"/>
        <w:jc w:val="both"/>
        <w:rPr>
          <w:bCs/>
          <w:i w:val="0"/>
          <w:color w:val="002060"/>
          <w:spacing w:val="0"/>
          <w:kern w:val="0"/>
          <w:position w:val="0"/>
          <w:sz w:val="16"/>
          <w:szCs w:val="16"/>
        </w:rPr>
      </w:pPr>
    </w:p>
    <w:p w14:paraId="70EDC281" w14:textId="3108E26D" w:rsidR="00650BE3" w:rsidRPr="00DE096C" w:rsidRDefault="00650BE3"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 октябре 1914 года братья Бруно и Франц Штеффен - главные конструкторы "Сименс Шуккерт Верке" ("СШВ") закончили первый тяжелый бомбардировщик. Кроме братьев Штеффен на фирме "СШВ" работал Виллихед Форссман, шведский инженер, который в 1910-1912 году конструировал в России военные дирижабли. Форссман был разносторонним конструктором. Он проектировал одноместные подводные лодки, танки с противоснарядной броней, сотрудничал с Ганнесманном при строительстве последнего трансатлантического гиганта. В России Форссман сотрудничает с Сикорским и участвовал в строительстве самолета "Гранд". На фирме "СШВ" Форссман самостоятельно развивал свою линию самолетов "R". Шведский инженер пользовался идеями Сикорского, проектируя самолеты, похожие на </w:t>
      </w:r>
      <w:r w:rsidRPr="00DE096C">
        <w:rPr>
          <w:bCs/>
          <w:i w:val="0"/>
          <w:color w:val="002060"/>
          <w:spacing w:val="0"/>
          <w:kern w:val="0"/>
          <w:position w:val="0"/>
          <w:sz w:val="16"/>
          <w:szCs w:val="16"/>
        </w:rPr>
        <w:lastRenderedPageBreak/>
        <w:t>"Гранд" - бипланы с рядом двигателей на нижнем крыле. Форссману удалось построить два таких самолета, но они оказались неудачными и дальнейшие работы над линией свернули. Третьей фирмой, строившей тяжелые бомбардировщики, стала "ДФВ" из Лиденталя (район Лейпцига) Здесь главными инженерами были Герман Дорнье и Генрих Элерих (11262).</w:t>
      </w:r>
    </w:p>
    <w:p w14:paraId="6C4BD2A9" w14:textId="77777777" w:rsidR="00650BE3" w:rsidRPr="00DE096C" w:rsidRDefault="00650BE3" w:rsidP="00D45A46">
      <w:pPr>
        <w:pStyle w:val="a3"/>
        <w:jc w:val="both"/>
        <w:rPr>
          <w:bCs/>
          <w:i w:val="0"/>
          <w:color w:val="002060"/>
          <w:spacing w:val="0"/>
          <w:kern w:val="0"/>
          <w:position w:val="0"/>
          <w:sz w:val="16"/>
          <w:szCs w:val="16"/>
        </w:rPr>
      </w:pPr>
    </w:p>
    <w:p w14:paraId="434F37A2" w14:textId="66A381DB" w:rsidR="008C30DF" w:rsidRPr="00DE096C" w:rsidRDefault="008C30DF" w:rsidP="00D45A46">
      <w:pPr>
        <w:pStyle w:val="a3"/>
        <w:jc w:val="both"/>
        <w:rPr>
          <w:bCs/>
          <w:vanish/>
          <w:color w:val="002060"/>
          <w:spacing w:val="0"/>
          <w:kern w:val="0"/>
          <w:position w:val="0"/>
          <w:sz w:val="16"/>
          <w:szCs w:val="16"/>
        </w:rPr>
      </w:pPr>
      <w:r w:rsidRPr="00DE096C">
        <w:rPr>
          <w:bCs/>
          <w:vanish/>
          <w:color w:val="002060"/>
          <w:spacing w:val="0"/>
          <w:kern w:val="0"/>
          <w:position w:val="0"/>
          <w:sz w:val="16"/>
          <w:szCs w:val="16"/>
        </w:rPr>
        <w:t>Авиация и воздухоплавание за рубежом:</w:t>
      </w:r>
    </w:p>
    <w:p w14:paraId="51160A3B" w14:textId="77777777" w:rsidR="008C30DF" w:rsidRPr="00DE096C" w:rsidRDefault="008C30DF" w:rsidP="00D45A46">
      <w:pPr>
        <w:pStyle w:val="a3"/>
        <w:jc w:val="both"/>
        <w:rPr>
          <w:bCs/>
          <w:vanish/>
          <w:color w:val="002060"/>
          <w:spacing w:val="0"/>
          <w:kern w:val="0"/>
          <w:position w:val="0"/>
          <w:sz w:val="16"/>
          <w:szCs w:val="16"/>
        </w:rPr>
      </w:pPr>
    </w:p>
    <w:p w14:paraId="676EE522" w14:textId="77777777" w:rsidR="008C30DF" w:rsidRPr="00DE096C" w:rsidRDefault="008C30DF" w:rsidP="00D45A46">
      <w:pPr>
        <w:jc w:val="both"/>
        <w:rPr>
          <w:bCs/>
          <w:color w:val="002060"/>
          <w:sz w:val="16"/>
          <w:szCs w:val="16"/>
        </w:rPr>
      </w:pPr>
      <w:r w:rsidRPr="00DE096C">
        <w:rPr>
          <w:bCs/>
          <w:color w:val="002060"/>
          <w:sz w:val="16"/>
          <w:szCs w:val="16"/>
        </w:rPr>
        <w:t>В октябрь 1914 вспомогательный крейсер Императорского флота Японии «Чикезен Мару» несет два гидросамолета во время безуспешных поисков вооруженного торгового рейдера «Волк» Императорского флота Германии в Индийском океане (20337).</w:t>
      </w:r>
    </w:p>
    <w:p w14:paraId="24592A9C" w14:textId="52EC9859" w:rsidR="008C30DF" w:rsidRPr="00DE096C" w:rsidRDefault="008C30DF" w:rsidP="00D45A46">
      <w:pPr>
        <w:jc w:val="both"/>
        <w:rPr>
          <w:bCs/>
          <w:color w:val="002060"/>
          <w:sz w:val="16"/>
          <w:szCs w:val="16"/>
        </w:rPr>
      </w:pPr>
    </w:p>
    <w:p w14:paraId="77EADC3D" w14:textId="77777777" w:rsidR="00F3414F" w:rsidRPr="00DE096C" w:rsidRDefault="00F3414F" w:rsidP="00D45A46">
      <w:pPr>
        <w:jc w:val="both"/>
        <w:rPr>
          <w:bCs/>
          <w:i/>
          <w:iCs/>
          <w:color w:val="002060"/>
          <w:sz w:val="16"/>
          <w:szCs w:val="16"/>
        </w:rPr>
      </w:pPr>
      <w:r w:rsidRPr="00DE096C">
        <w:rPr>
          <w:bCs/>
          <w:i/>
          <w:iCs/>
          <w:color w:val="002060"/>
          <w:sz w:val="16"/>
          <w:szCs w:val="16"/>
        </w:rPr>
        <w:t>Самолетостроение:</w:t>
      </w:r>
    </w:p>
    <w:p w14:paraId="08100580" w14:textId="77777777" w:rsidR="00F3414F" w:rsidRPr="00DE096C" w:rsidRDefault="00F3414F" w:rsidP="00D45A46">
      <w:pPr>
        <w:jc w:val="both"/>
        <w:rPr>
          <w:bCs/>
          <w:i/>
          <w:iCs/>
          <w:color w:val="002060"/>
          <w:sz w:val="16"/>
          <w:szCs w:val="16"/>
        </w:rPr>
      </w:pPr>
    </w:p>
    <w:p w14:paraId="08FA3640" w14:textId="77777777" w:rsidR="00F3414F" w:rsidRPr="00DE096C" w:rsidRDefault="00F3414F" w:rsidP="00D45A46">
      <w:pPr>
        <w:jc w:val="both"/>
        <w:rPr>
          <w:bCs/>
          <w:color w:val="002060"/>
          <w:sz w:val="16"/>
          <w:szCs w:val="16"/>
        </w:rPr>
      </w:pPr>
      <w:r w:rsidRPr="00DE096C">
        <w:rPr>
          <w:bCs/>
          <w:color w:val="002060"/>
          <w:sz w:val="16"/>
          <w:szCs w:val="16"/>
        </w:rPr>
        <w:t>В октябре-декабре 1914 г. самолеты С-10бис или С-10в с фабричными номерами 152 и 153 испытывались в Ревеле, но сказать о них что-либо не представляется возможным (2843).</w:t>
      </w:r>
    </w:p>
    <w:p w14:paraId="00FB2DB2" w14:textId="77777777" w:rsidR="00F3414F" w:rsidRPr="00DE096C" w:rsidRDefault="00F3414F" w:rsidP="00D45A46">
      <w:pPr>
        <w:jc w:val="both"/>
        <w:rPr>
          <w:bCs/>
          <w:i/>
          <w:iCs/>
          <w:color w:val="002060"/>
          <w:sz w:val="16"/>
          <w:szCs w:val="16"/>
        </w:rPr>
      </w:pPr>
    </w:p>
    <w:p w14:paraId="599D7CED" w14:textId="4AFDADA3" w:rsidR="0099721D" w:rsidRPr="00DE096C" w:rsidRDefault="0099721D" w:rsidP="00D45A46">
      <w:pPr>
        <w:jc w:val="both"/>
        <w:rPr>
          <w:bCs/>
          <w:i/>
          <w:iCs/>
          <w:color w:val="002060"/>
          <w:sz w:val="16"/>
          <w:szCs w:val="16"/>
        </w:rPr>
      </w:pPr>
      <w:r w:rsidRPr="00DE096C">
        <w:rPr>
          <w:bCs/>
          <w:i/>
          <w:iCs/>
          <w:color w:val="002060"/>
          <w:sz w:val="16"/>
          <w:szCs w:val="16"/>
        </w:rPr>
        <w:t>Самолетостроение:</w:t>
      </w:r>
    </w:p>
    <w:p w14:paraId="4F586722" w14:textId="77777777" w:rsidR="0099721D" w:rsidRPr="00DE096C" w:rsidRDefault="0099721D" w:rsidP="00D45A46">
      <w:pPr>
        <w:jc w:val="both"/>
        <w:rPr>
          <w:bCs/>
          <w:i/>
          <w:iCs/>
          <w:color w:val="002060"/>
          <w:sz w:val="16"/>
          <w:szCs w:val="16"/>
        </w:rPr>
      </w:pPr>
    </w:p>
    <w:p w14:paraId="515E7F89" w14:textId="77777777" w:rsidR="0099721D" w:rsidRPr="00DE096C" w:rsidRDefault="0099721D" w:rsidP="00D45A46">
      <w:pPr>
        <w:jc w:val="both"/>
        <w:rPr>
          <w:bCs/>
          <w:color w:val="002060"/>
          <w:sz w:val="16"/>
          <w:szCs w:val="16"/>
        </w:rPr>
      </w:pPr>
      <w:r w:rsidRPr="00DE096C">
        <w:rPr>
          <w:bCs/>
          <w:color w:val="002060"/>
          <w:sz w:val="16"/>
          <w:szCs w:val="16"/>
        </w:rPr>
        <w:t>К началу ноября 1914 г. благодаря упорству и настойчивости командира Панкратьева (к тому времени уже штабс-капитана), "Илья Муромец II" был отремонтирован. Но починить согнутый вал 200-сильного мотора "Сальмсон" в полевых условиях не представлялось возможным. Двигатель в сопровождении моториста Ушакова направили для ремонта на завод в Петроград. Отряд "Муромца II" бездействовал в ожидании злополучного "Сальмсона".</w:t>
      </w:r>
    </w:p>
    <w:p w14:paraId="314F9D09" w14:textId="77777777" w:rsidR="0099721D" w:rsidRPr="00DE096C" w:rsidRDefault="0099721D" w:rsidP="00D45A46">
      <w:pPr>
        <w:jc w:val="both"/>
        <w:rPr>
          <w:bCs/>
          <w:color w:val="002060"/>
          <w:sz w:val="16"/>
          <w:szCs w:val="16"/>
        </w:rPr>
      </w:pPr>
      <w:r w:rsidRPr="00DE096C">
        <w:rPr>
          <w:bCs/>
          <w:color w:val="002060"/>
          <w:sz w:val="16"/>
          <w:szCs w:val="16"/>
        </w:rPr>
        <w:t>Но злоключения продолжались. После ремонта Ушаков был готов забрать двигатель немедленно, но заводское начальство настояло на пробном запуске. Двигатель поставили на станок для 80-сильного "Гнома". При опробовании мотора на полном газу, станок, естественно, опрокинулся, превратив отремонтированный двигатель в груду обломков.</w:t>
      </w:r>
    </w:p>
    <w:p w14:paraId="56483C2F" w14:textId="77777777" w:rsidR="0099721D" w:rsidRPr="00DE096C" w:rsidRDefault="0099721D" w:rsidP="00D45A46">
      <w:pPr>
        <w:jc w:val="both"/>
        <w:rPr>
          <w:bCs/>
          <w:color w:val="002060"/>
          <w:sz w:val="16"/>
          <w:szCs w:val="16"/>
        </w:rPr>
      </w:pPr>
      <w:r w:rsidRPr="00DE096C">
        <w:rPr>
          <w:bCs/>
          <w:color w:val="002060"/>
          <w:sz w:val="16"/>
          <w:szCs w:val="16"/>
        </w:rPr>
        <w:t>Во время ремонта в конструкцию II аэроплана были внесены некоторые изменения, положительно сказавшиеся на характеристиках аппарата. Радиаторы были подняты выше, что улучшило условия охлаждения моторов. Была доработана и улучшена система питания моторов бензином из запасных баков. Два наружных топливных бака были заменены одним, перенесённым внутрь фюзеляжа. При сохранении обшей схемы бензинопроводов была обеспечена возможность каждому мотору работать от трёх баков: своего, запасного и бака соседнего мотора. Общий вес аэроплана был уменьшен удалением излишних перегородок, кровати, лестницы, перил верхней площадки и спиливанием концов болтов.</w:t>
      </w:r>
    </w:p>
    <w:p w14:paraId="2C39AFB7" w14:textId="77777777" w:rsidR="0099721D" w:rsidRPr="00DE096C" w:rsidRDefault="0099721D" w:rsidP="00D45A46">
      <w:pPr>
        <w:jc w:val="both"/>
        <w:rPr>
          <w:bCs/>
          <w:color w:val="002060"/>
          <w:sz w:val="16"/>
          <w:szCs w:val="16"/>
        </w:rPr>
      </w:pPr>
      <w:r w:rsidRPr="00DE096C">
        <w:rPr>
          <w:bCs/>
          <w:color w:val="002060"/>
          <w:sz w:val="16"/>
          <w:szCs w:val="16"/>
        </w:rPr>
        <w:t>Демонтаж баков внешних двигателей позволил уменьшить также и общее сопротивление самолёта. Тщательная переборка трёх оставшихся моторов и отладка карбюраторов дали хорошие результаты: теперь они запускались быстрее, давали на земле до 1650 оборотов и не захлебывались при переходе от малого газа на большой. В картере оставшегося 200-сильного мотора была обнаружена пригоршня гаек, болтов и шплинтов, которые были вынуты с помощью магнита. Естественно, что в адрес союзников при этом было сказано немало крепких слов. Панкратьев сильно переживал, что из-за отсутствия несчастного мотора, отряд не может приступить к боевой работе (12041).</w:t>
      </w:r>
    </w:p>
    <w:p w14:paraId="3C16D4C0" w14:textId="77777777" w:rsidR="0099721D" w:rsidRPr="00DE096C" w:rsidRDefault="0099721D" w:rsidP="00D45A46">
      <w:pPr>
        <w:jc w:val="both"/>
        <w:rPr>
          <w:bCs/>
          <w:color w:val="002060"/>
          <w:sz w:val="16"/>
          <w:szCs w:val="16"/>
        </w:rPr>
      </w:pPr>
    </w:p>
    <w:p w14:paraId="584CAB00" w14:textId="77777777" w:rsidR="00B67D7C" w:rsidRPr="00DE096C" w:rsidRDefault="00B67D7C" w:rsidP="00D45A46">
      <w:pPr>
        <w:jc w:val="both"/>
        <w:rPr>
          <w:bCs/>
          <w:i/>
          <w:color w:val="002060"/>
          <w:sz w:val="16"/>
          <w:szCs w:val="16"/>
        </w:rPr>
      </w:pPr>
      <w:r w:rsidRPr="00DE096C">
        <w:rPr>
          <w:bCs/>
          <w:i/>
          <w:color w:val="002060"/>
          <w:sz w:val="16"/>
          <w:szCs w:val="16"/>
        </w:rPr>
        <w:t>Другие оборонные отрасли:</w:t>
      </w:r>
    </w:p>
    <w:p w14:paraId="1048FCF7" w14:textId="77777777" w:rsidR="00B67D7C" w:rsidRPr="00DE096C" w:rsidRDefault="00B67D7C" w:rsidP="00D45A46">
      <w:pPr>
        <w:jc w:val="both"/>
        <w:rPr>
          <w:bCs/>
          <w:i/>
          <w:color w:val="002060"/>
          <w:sz w:val="16"/>
          <w:szCs w:val="16"/>
        </w:rPr>
      </w:pPr>
    </w:p>
    <w:p w14:paraId="5B1D3AAA" w14:textId="1B3F400E" w:rsidR="00B67D7C" w:rsidRPr="00DE096C" w:rsidRDefault="00DD5618"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С</w:t>
      </w:r>
      <w:r w:rsidR="00B67D7C" w:rsidRPr="00DE096C">
        <w:rPr>
          <w:bCs/>
          <w:i w:val="0"/>
          <w:color w:val="002060"/>
          <w:spacing w:val="0"/>
          <w:kern w:val="0"/>
          <w:position w:val="0"/>
          <w:sz w:val="16"/>
          <w:szCs w:val="16"/>
        </w:rPr>
        <w:t xml:space="preserve"> 1 (14) ноября 1914 по 1 (14) января 1916 г. по заказу интендантства заготовлено более 10 млн, а всего закуплено и заготовлено на 3 млн рублей комплектов белья</w:t>
      </w:r>
      <w:r w:rsidRPr="00DE096C">
        <w:rPr>
          <w:bCs/>
          <w:i w:val="0"/>
          <w:color w:val="002060"/>
          <w:spacing w:val="0"/>
          <w:kern w:val="0"/>
          <w:position w:val="0"/>
          <w:sz w:val="16"/>
          <w:szCs w:val="16"/>
        </w:rPr>
        <w:t xml:space="preserve"> В октябре 1914 г. Земский союз получил заказ на изготовление 7 млн 500 тыс. комплектов белья, в феврале 1915 г. — 17 млн 380 тыс. комплектов</w:t>
      </w:r>
      <w:r w:rsidR="00B67D7C" w:rsidRPr="00DE096C">
        <w:rPr>
          <w:bCs/>
          <w:i w:val="0"/>
          <w:color w:val="002060"/>
          <w:spacing w:val="0"/>
          <w:kern w:val="0"/>
          <w:position w:val="0"/>
          <w:sz w:val="16"/>
          <w:szCs w:val="16"/>
        </w:rPr>
        <w:t>. Кроме этого через Союз было куплено обуви на 4 млн 700 тыс. рублей. Для хранения и распределения амуниции были созданы склады в Москве, Минске, Бресте, Львове, Петрограде, Тифлисе и других городах.</w:t>
      </w:r>
    </w:p>
    <w:p w14:paraId="0B6068AC"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Кроме этого, Союзом городов сначала на Северо-Западном и Северном фронтах в декабре и январе 1914—1915 гг., а затем и на других фронтах направлялись уполномоченные для посещения военно-питательных отрядов Союза, работающих на этих фронтах. В результате таких поездок выяснялся круг необходимых мероприятий, который в основном сводился к следующему:</w:t>
      </w:r>
    </w:p>
    <w:p w14:paraId="0C9C4AF4"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1) устройство на фронтах бань с обменным бельем, прачечных для стирки белья, получаемого из бань, а также белья собственных врачебных учреждений и по возможности войсковых частей; установка дезинфекционных камер для войсковых частей и организация чайных и питательных пунктов;</w:t>
      </w:r>
    </w:p>
    <w:p w14:paraId="62F43C85"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2) организация предохранительных прививок против тифа, холеры и оспы и устройство химико-бактериологических лабораторий;</w:t>
      </w:r>
    </w:p>
    <w:p w14:paraId="4EC297E7"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3) организация стационарных и подвижных зубоврачебных кабинетов;</w:t>
      </w:r>
    </w:p>
    <w:p w14:paraId="1A4A4DBD"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4) непосредственная помощь больным и раненым воинам путем перевозок, эвакуации и размещения их в лазаретах и приемниках;</w:t>
      </w:r>
    </w:p>
    <w:p w14:paraId="2F9516D1"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5) устройство больниц, лабораторий и фельдшерских пунктов в прифронтовой полосе для борьбы с эпидемиями.</w:t>
      </w:r>
    </w:p>
    <w:p w14:paraId="05990A86"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Одновременно для обслуживания раненых общественными организациями к 1 декабря 1914 г. стало приобретаться медицинское оборудование: сначала на сумму 1 млн 245 тыс. 780 рублей; к декабрю 1915 г. — на сумму 1 млн 665 тыс. рублей; к 1 января 1916 г. — на 7 млн рублей. Общая стоимость медикаментов, отпущенных со складов Земского союза, составила 3 млн 500 тыс. рублей. Военно-промышленными комитетами для решения этих задач было налажено производство термометров, а санитарному отделу удалось организовать отечественное производство шприцев «Рекорд» и игл к ним. К маю 1917 г. оно было доведено до 100 шприцев в день, причем цены были не выше заграничных (11270).</w:t>
      </w:r>
    </w:p>
    <w:p w14:paraId="5B356BCD" w14:textId="77777777" w:rsidR="00B67D7C" w:rsidRPr="00DE096C" w:rsidRDefault="00B67D7C" w:rsidP="00D45A46">
      <w:pPr>
        <w:pStyle w:val="a3"/>
        <w:jc w:val="both"/>
        <w:rPr>
          <w:bCs/>
          <w:i w:val="0"/>
          <w:vanish/>
          <w:color w:val="002060"/>
          <w:spacing w:val="0"/>
          <w:kern w:val="0"/>
          <w:position w:val="0"/>
          <w:sz w:val="16"/>
          <w:szCs w:val="16"/>
        </w:rPr>
      </w:pPr>
    </w:p>
    <w:p w14:paraId="5BCE9A00" w14:textId="2552CC2C" w:rsidR="00974330" w:rsidRPr="00DE096C" w:rsidRDefault="00974330" w:rsidP="00D45A46">
      <w:pPr>
        <w:pStyle w:val="af7"/>
        <w:spacing w:line="240" w:lineRule="auto"/>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С 1 (14) ноября 1914</w:t>
      </w:r>
      <w:r w:rsidR="0006581C">
        <w:rPr>
          <w:rFonts w:ascii="Times New Roman" w:hAnsi="Times New Roman" w:cs="Times New Roman"/>
          <w:bCs/>
          <w:color w:val="002060"/>
          <w:sz w:val="16"/>
          <w:szCs w:val="16"/>
        </w:rPr>
        <w:t xml:space="preserve"> </w:t>
      </w:r>
      <w:r w:rsidRPr="00DE096C">
        <w:rPr>
          <w:rFonts w:ascii="Times New Roman" w:hAnsi="Times New Roman" w:cs="Times New Roman"/>
          <w:bCs/>
          <w:color w:val="002060"/>
          <w:sz w:val="16"/>
          <w:szCs w:val="16"/>
        </w:rPr>
        <w:t>началась подача и сборка винтовок на Сестрорецком заводе; за август—декабрь завод дал 6 тысяч вин</w:t>
      </w:r>
      <w:r w:rsidRPr="00DE096C">
        <w:rPr>
          <w:rFonts w:ascii="Times New Roman" w:hAnsi="Times New Roman" w:cs="Times New Roman"/>
          <w:bCs/>
          <w:color w:val="002060"/>
          <w:sz w:val="16"/>
          <w:szCs w:val="16"/>
        </w:rPr>
        <w:softHyphen/>
        <w:t>товок и в январе довел сборку до 150 в день (3500—4000 в месяц). Дальнейшее развитие производства на Сестрорец</w:t>
      </w:r>
      <w:r w:rsidRPr="00DE096C">
        <w:rPr>
          <w:rFonts w:ascii="Times New Roman" w:hAnsi="Times New Roman" w:cs="Times New Roman"/>
          <w:bCs/>
          <w:color w:val="002060"/>
          <w:sz w:val="16"/>
          <w:szCs w:val="16"/>
        </w:rPr>
        <w:softHyphen/>
        <w:t>ком заводе требовало наращивания силы двигателей, запа</w:t>
      </w:r>
      <w:r w:rsidRPr="00DE096C">
        <w:rPr>
          <w:rFonts w:ascii="Times New Roman" w:hAnsi="Times New Roman" w:cs="Times New Roman"/>
          <w:bCs/>
          <w:color w:val="002060"/>
          <w:sz w:val="16"/>
          <w:szCs w:val="16"/>
        </w:rPr>
        <w:softHyphen/>
        <w:t>са инструментов и поковок, добавления станков и увеличе</w:t>
      </w:r>
      <w:r w:rsidRPr="00DE096C">
        <w:rPr>
          <w:rFonts w:ascii="Times New Roman" w:hAnsi="Times New Roman" w:cs="Times New Roman"/>
          <w:bCs/>
          <w:color w:val="002060"/>
          <w:sz w:val="16"/>
          <w:szCs w:val="16"/>
        </w:rPr>
        <w:softHyphen/>
        <w:t>ния площадей1. В течение 1915 г. были возведены здания замочной мастерской, переделано под мастерскую здание магазина, надстроен второй этаж над зданием ложевой и магазинной мастерских, проложены ветка Приморской же</w:t>
      </w:r>
      <w:r w:rsidRPr="00DE096C">
        <w:rPr>
          <w:rFonts w:ascii="Times New Roman" w:hAnsi="Times New Roman" w:cs="Times New Roman"/>
          <w:bCs/>
          <w:color w:val="002060"/>
          <w:sz w:val="16"/>
          <w:szCs w:val="16"/>
        </w:rPr>
        <w:softHyphen/>
        <w:t>лезной дороги и ветка от Белоострова к заводу. Если за 1913 г. СОЗ выпустил 4530 винтовок, за 1914 г. — 7584, то за 1915 г. — 74 483, за 1916 г. — 147 534. Все большее место в производстве занимало изготовление всякого рода пове</w:t>
      </w:r>
      <w:r w:rsidRPr="00DE096C">
        <w:rPr>
          <w:rFonts w:ascii="Times New Roman" w:hAnsi="Times New Roman" w:cs="Times New Roman"/>
          <w:bCs/>
          <w:color w:val="002060"/>
          <w:sz w:val="16"/>
          <w:szCs w:val="16"/>
        </w:rPr>
        <w:softHyphen/>
        <w:t>рочного, образцового инструмента, мерительных приборов для всех предприятий ГАУ, а также лекал, используемых при приеме изделий на заводах. К осени 1915 г. СОЗ рас</w:t>
      </w:r>
      <w:r w:rsidRPr="00DE096C">
        <w:rPr>
          <w:rFonts w:ascii="Times New Roman" w:hAnsi="Times New Roman" w:cs="Times New Roman"/>
          <w:bCs/>
          <w:color w:val="002060"/>
          <w:sz w:val="16"/>
          <w:szCs w:val="16"/>
        </w:rPr>
        <w:softHyphen/>
        <w:t>полагал 1962 станками (включая 45 в пиковой мастерской и 278 во взрывательной), использовал 720 кВт электроэнер</w:t>
      </w:r>
      <w:r w:rsidRPr="00DE096C">
        <w:rPr>
          <w:rFonts w:ascii="Times New Roman" w:hAnsi="Times New Roman" w:cs="Times New Roman"/>
          <w:bCs/>
          <w:color w:val="002060"/>
          <w:sz w:val="16"/>
          <w:szCs w:val="16"/>
        </w:rPr>
        <w:softHyphen/>
        <w:t>гии и имел 4 тысячи мастеровых. Их усердие администра</w:t>
      </w:r>
      <w:r w:rsidRPr="00DE096C">
        <w:rPr>
          <w:rFonts w:ascii="Times New Roman" w:hAnsi="Times New Roman" w:cs="Times New Roman"/>
          <w:bCs/>
          <w:color w:val="002060"/>
          <w:sz w:val="16"/>
          <w:szCs w:val="16"/>
        </w:rPr>
        <w:softHyphen/>
        <w:t xml:space="preserve">ция повышала с помощью выплаты премий (Сестрорецкий инструментальный завод имени Воскова. 1721—1967. Л., 1968. С. 42, 71, 81; РГВИА. Ф. 240. </w:t>
      </w:r>
      <w:r w:rsidRPr="00DE096C">
        <w:rPr>
          <w:rFonts w:ascii="Times New Roman" w:hAnsi="Times New Roman" w:cs="Times New Roman"/>
          <w:bCs/>
          <w:color w:val="002060"/>
          <w:sz w:val="16"/>
          <w:szCs w:val="16"/>
          <w:lang w:val="en-US" w:bidi="en-US"/>
        </w:rPr>
        <w:t>On</w:t>
      </w:r>
      <w:r w:rsidRPr="00DE096C">
        <w:rPr>
          <w:rFonts w:ascii="Times New Roman" w:hAnsi="Times New Roman" w:cs="Times New Roman"/>
          <w:bCs/>
          <w:color w:val="002060"/>
          <w:sz w:val="16"/>
          <w:szCs w:val="16"/>
          <w:lang w:bidi="en-US"/>
        </w:rPr>
        <w:t xml:space="preserve">. </w:t>
      </w:r>
      <w:r w:rsidRPr="00DE096C">
        <w:rPr>
          <w:rFonts w:ascii="Times New Roman" w:hAnsi="Times New Roman" w:cs="Times New Roman"/>
          <w:bCs/>
          <w:color w:val="002060"/>
          <w:sz w:val="16"/>
          <w:szCs w:val="16"/>
        </w:rPr>
        <w:t xml:space="preserve">1. Д. 106. Л. 19-20 об.; Ф. 962. </w:t>
      </w:r>
      <w:r w:rsidRPr="00DE096C">
        <w:rPr>
          <w:rFonts w:ascii="Times New Roman" w:hAnsi="Times New Roman" w:cs="Times New Roman"/>
          <w:bCs/>
          <w:color w:val="002060"/>
          <w:sz w:val="16"/>
          <w:szCs w:val="16"/>
          <w:lang w:val="en-US" w:bidi="en-US"/>
        </w:rPr>
        <w:t>On</w:t>
      </w:r>
      <w:r w:rsidRPr="00DE096C">
        <w:rPr>
          <w:rFonts w:ascii="Times New Roman" w:hAnsi="Times New Roman" w:cs="Times New Roman"/>
          <w:bCs/>
          <w:color w:val="002060"/>
          <w:sz w:val="16"/>
          <w:szCs w:val="16"/>
          <w:lang w:bidi="en-US"/>
        </w:rPr>
        <w:t xml:space="preserve">. </w:t>
      </w:r>
      <w:r w:rsidRPr="00DE096C">
        <w:rPr>
          <w:rFonts w:ascii="Times New Roman" w:hAnsi="Times New Roman" w:cs="Times New Roman"/>
          <w:bCs/>
          <w:color w:val="002060"/>
          <w:sz w:val="16"/>
          <w:szCs w:val="16"/>
        </w:rPr>
        <w:t xml:space="preserve">1. Д. 13. Л. 10 об.; Д. 25. Л. 217-218. РГВИА. Ф. 369. Оп. 16. Д. 29. Л. 18; Оп. 4. Д. 37. Л. 3; Ф. 240. </w:t>
      </w:r>
      <w:r w:rsidRPr="00DE096C">
        <w:rPr>
          <w:rFonts w:ascii="Times New Roman" w:hAnsi="Times New Roman" w:cs="Times New Roman"/>
          <w:bCs/>
          <w:color w:val="002060"/>
          <w:sz w:val="16"/>
          <w:szCs w:val="16"/>
          <w:lang w:val="en-US" w:bidi="en-US"/>
        </w:rPr>
        <w:t>On</w:t>
      </w:r>
      <w:r w:rsidRPr="00DE096C">
        <w:rPr>
          <w:rFonts w:ascii="Times New Roman" w:hAnsi="Times New Roman" w:cs="Times New Roman"/>
          <w:bCs/>
          <w:color w:val="002060"/>
          <w:sz w:val="16"/>
          <w:szCs w:val="16"/>
          <w:lang w:bidi="en-US"/>
        </w:rPr>
        <w:t xml:space="preserve">. </w:t>
      </w:r>
      <w:r w:rsidRPr="00DE096C">
        <w:rPr>
          <w:rFonts w:ascii="Times New Roman" w:hAnsi="Times New Roman" w:cs="Times New Roman"/>
          <w:bCs/>
          <w:color w:val="002060"/>
          <w:sz w:val="16"/>
          <w:szCs w:val="16"/>
        </w:rPr>
        <w:t>1. Д. 106. Л. 68).</w:t>
      </w:r>
    </w:p>
    <w:p w14:paraId="1FF6C64C" w14:textId="77777777" w:rsidR="00974330" w:rsidRPr="00DE096C" w:rsidRDefault="00974330" w:rsidP="00D45A46">
      <w:pPr>
        <w:pStyle w:val="af7"/>
        <w:spacing w:line="240" w:lineRule="auto"/>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В 1915 г. состоялось важное постановление о дальней</w:t>
      </w:r>
      <w:r w:rsidRPr="00DE096C">
        <w:rPr>
          <w:rFonts w:ascii="Times New Roman" w:hAnsi="Times New Roman" w:cs="Times New Roman"/>
          <w:bCs/>
          <w:color w:val="002060"/>
          <w:sz w:val="16"/>
          <w:szCs w:val="16"/>
        </w:rPr>
        <w:softHyphen/>
        <w:t>шей судьбе завода. После длительного разбирательства с компанией РАО АЗ («дочка» английского «Виккерса»), до</w:t>
      </w:r>
      <w:r w:rsidRPr="00DE096C">
        <w:rPr>
          <w:rFonts w:ascii="Times New Roman" w:hAnsi="Times New Roman" w:cs="Times New Roman"/>
          <w:bCs/>
          <w:color w:val="002060"/>
          <w:sz w:val="16"/>
          <w:szCs w:val="16"/>
        </w:rPr>
        <w:softHyphen/>
        <w:t>бивавшейся от ГАУ заказа на винтовки и предлагавшей учредить собственный ружейный завод, правительство, от</w:t>
      </w:r>
      <w:r w:rsidRPr="00DE096C">
        <w:rPr>
          <w:rFonts w:ascii="Times New Roman" w:hAnsi="Times New Roman" w:cs="Times New Roman"/>
          <w:bCs/>
          <w:color w:val="002060"/>
          <w:sz w:val="16"/>
          <w:szCs w:val="16"/>
        </w:rPr>
        <w:softHyphen/>
        <w:t>клонив это предложение, наметило постройку под Екатеринославом 4-го казенного ружейного завода (или 5-го, если считать 4-м второй Тульский, также намеченный). Речь шла о «расширении Сестрорецкого завода с перенесе</w:t>
      </w:r>
      <w:r w:rsidRPr="00DE096C">
        <w:rPr>
          <w:rFonts w:ascii="Times New Roman" w:hAnsi="Times New Roman" w:cs="Times New Roman"/>
          <w:bCs/>
          <w:color w:val="002060"/>
          <w:sz w:val="16"/>
          <w:szCs w:val="16"/>
        </w:rPr>
        <w:softHyphen/>
        <w:t>нием его в Центральную Россию». За год на новом месте под Екатеринославом предполагалось, по объяснению Залюбовского, выстроить «здание для завода, в точности по своим размерам и устройству представляющее копию зда</w:t>
      </w:r>
      <w:r w:rsidRPr="00DE096C">
        <w:rPr>
          <w:rFonts w:ascii="Times New Roman" w:hAnsi="Times New Roman" w:cs="Times New Roman"/>
          <w:bCs/>
          <w:color w:val="002060"/>
          <w:sz w:val="16"/>
          <w:szCs w:val="16"/>
        </w:rPr>
        <w:softHyphen/>
        <w:t>ния завода Ремингтона» в Бриджпорте, так что мучений с составлением оригинального проекта удалось бы избежать, устанавливая «все на свои места по точным планам, снятым прямо с планов у Ремингтона». По мере готовности корпу</w:t>
      </w:r>
      <w:r w:rsidRPr="00DE096C">
        <w:rPr>
          <w:rFonts w:ascii="Times New Roman" w:hAnsi="Times New Roman" w:cs="Times New Roman"/>
          <w:bCs/>
          <w:color w:val="002060"/>
          <w:sz w:val="16"/>
          <w:szCs w:val="16"/>
        </w:rPr>
        <w:softHyphen/>
        <w:t>сов нового завода должно было начинаться производство винтовок (23452).</w:t>
      </w:r>
    </w:p>
    <w:p w14:paraId="59221259" w14:textId="77777777" w:rsidR="00974330" w:rsidRPr="00DE096C" w:rsidRDefault="00974330" w:rsidP="00D45A46">
      <w:pPr>
        <w:jc w:val="both"/>
        <w:rPr>
          <w:bCs/>
          <w:color w:val="002060"/>
          <w:sz w:val="16"/>
          <w:szCs w:val="16"/>
          <w:lang w:bidi="ru-RU"/>
        </w:rPr>
      </w:pPr>
    </w:p>
    <w:p w14:paraId="2B758F5C" w14:textId="77777777" w:rsidR="00B67D7C" w:rsidRPr="00DE096C" w:rsidRDefault="00B67D7C" w:rsidP="00D45A46">
      <w:pPr>
        <w:jc w:val="both"/>
        <w:rPr>
          <w:bCs/>
          <w:color w:val="002060"/>
          <w:sz w:val="16"/>
          <w:szCs w:val="16"/>
        </w:rPr>
      </w:pPr>
      <w:r w:rsidRPr="00DE096C">
        <w:rPr>
          <w:bCs/>
          <w:color w:val="002060"/>
          <w:sz w:val="16"/>
          <w:szCs w:val="16"/>
        </w:rPr>
        <w:t>1 (14) ноября 1914 - на Северо-Западный фронт отправилась первая в истории русской армии рота бронеавтомобилей. В нее входили 8 машин на шасси «Руссо-Балт С24-40» отечественного производства с бронекорпусами «Ижор». Они были оснащены тремя пулеметами каждая (11275).</w:t>
      </w:r>
    </w:p>
    <w:p w14:paraId="580987E0" w14:textId="77777777" w:rsidR="00B67D7C" w:rsidRPr="00DE096C" w:rsidRDefault="00B67D7C" w:rsidP="00D45A46">
      <w:pPr>
        <w:jc w:val="both"/>
        <w:rPr>
          <w:bCs/>
          <w:color w:val="002060"/>
          <w:sz w:val="16"/>
          <w:szCs w:val="16"/>
        </w:rPr>
      </w:pPr>
    </w:p>
    <w:p w14:paraId="00AE72D9"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w:t>
      </w:r>
    </w:p>
    <w:p w14:paraId="3F789379" w14:textId="77777777" w:rsidR="00B67D7C" w:rsidRPr="00DE096C" w:rsidRDefault="00B67D7C" w:rsidP="00D45A46">
      <w:pPr>
        <w:shd w:val="clear" w:color="auto" w:fill="FFFFFF"/>
        <w:jc w:val="both"/>
        <w:rPr>
          <w:bCs/>
          <w:i/>
          <w:color w:val="002060"/>
          <w:sz w:val="16"/>
          <w:szCs w:val="16"/>
        </w:rPr>
      </w:pPr>
    </w:p>
    <w:p w14:paraId="0FBE5BFB" w14:textId="440AEBB7" w:rsidR="00B67D7C" w:rsidRPr="00DE096C" w:rsidRDefault="00B67D7C" w:rsidP="00D45A46">
      <w:pPr>
        <w:jc w:val="both"/>
        <w:rPr>
          <w:bCs/>
          <w:color w:val="002060"/>
          <w:sz w:val="16"/>
          <w:szCs w:val="16"/>
        </w:rPr>
      </w:pPr>
      <w:r w:rsidRPr="00DE096C">
        <w:rPr>
          <w:bCs/>
          <w:color w:val="002060"/>
          <w:sz w:val="16"/>
          <w:szCs w:val="16"/>
        </w:rPr>
        <w:t xml:space="preserve">С 1 (14) ноября началась постройка позиций для </w:t>
      </w:r>
      <w:r w:rsidR="00C2200E" w:rsidRPr="00DE096C">
        <w:rPr>
          <w:bCs/>
          <w:color w:val="002060"/>
          <w:sz w:val="16"/>
          <w:szCs w:val="16"/>
        </w:rPr>
        <w:t xml:space="preserve">двух </w:t>
      </w:r>
      <w:r w:rsidRPr="00DE096C">
        <w:rPr>
          <w:bCs/>
          <w:color w:val="002060"/>
          <w:sz w:val="16"/>
          <w:szCs w:val="16"/>
        </w:rPr>
        <w:t xml:space="preserve">батарей </w:t>
      </w:r>
      <w:r w:rsidR="00C2200E" w:rsidRPr="00DE096C">
        <w:rPr>
          <w:bCs/>
          <w:color w:val="002060"/>
          <w:sz w:val="16"/>
          <w:szCs w:val="16"/>
        </w:rPr>
        <w:t xml:space="preserve">ПВО Варшавы, полученных из Кронштадта, </w:t>
      </w:r>
      <w:r w:rsidRPr="00DE096C">
        <w:rPr>
          <w:bCs/>
          <w:color w:val="002060"/>
          <w:sz w:val="16"/>
          <w:szCs w:val="16"/>
        </w:rPr>
        <w:t>на Мокотовском поле (аэродром) и в форте Сергии (опять-таки южное направление). Координация действий противовоздушной артиллерии была возложена на временного командующего Варшавской крепостной артиллерией полковника П.А. Глазкова.</w:t>
      </w:r>
    </w:p>
    <w:p w14:paraId="14DB7504" w14:textId="77777777" w:rsidR="00B67D7C" w:rsidRPr="00DE096C" w:rsidRDefault="00B67D7C" w:rsidP="00D45A46">
      <w:pPr>
        <w:jc w:val="both"/>
        <w:rPr>
          <w:bCs/>
          <w:i/>
          <w:color w:val="002060"/>
          <w:sz w:val="16"/>
          <w:szCs w:val="16"/>
        </w:rPr>
      </w:pPr>
    </w:p>
    <w:p w14:paraId="4224E335" w14:textId="77777777" w:rsidR="004616DD" w:rsidRPr="00DE096C" w:rsidRDefault="004616DD" w:rsidP="00D45A46">
      <w:pPr>
        <w:jc w:val="both"/>
        <w:rPr>
          <w:bCs/>
          <w:i/>
          <w:color w:val="002060"/>
          <w:sz w:val="16"/>
          <w:szCs w:val="16"/>
        </w:rPr>
      </w:pPr>
      <w:r w:rsidRPr="00DE096C">
        <w:rPr>
          <w:bCs/>
          <w:i/>
          <w:color w:val="002060"/>
          <w:sz w:val="16"/>
          <w:szCs w:val="16"/>
        </w:rPr>
        <w:t>Жизнь и внутренняя политика:</w:t>
      </w:r>
    </w:p>
    <w:p w14:paraId="1C2D5068" w14:textId="77777777" w:rsidR="004616DD" w:rsidRPr="00DE096C" w:rsidRDefault="004616DD" w:rsidP="00D45A46">
      <w:pPr>
        <w:jc w:val="both"/>
        <w:rPr>
          <w:bCs/>
          <w:i/>
          <w:color w:val="002060"/>
          <w:sz w:val="16"/>
          <w:szCs w:val="16"/>
        </w:rPr>
      </w:pPr>
    </w:p>
    <w:p w14:paraId="11726BB1" w14:textId="77777777" w:rsidR="004616DD" w:rsidRPr="00DE096C" w:rsidRDefault="004616DD" w:rsidP="00D45A46">
      <w:pPr>
        <w:jc w:val="both"/>
        <w:rPr>
          <w:bCs/>
          <w:color w:val="002060"/>
          <w:sz w:val="16"/>
          <w:szCs w:val="16"/>
        </w:rPr>
      </w:pPr>
      <w:r w:rsidRPr="00DE096C">
        <w:rPr>
          <w:rStyle w:val="ucoz-forum-post"/>
          <w:bCs/>
          <w:color w:val="002060"/>
          <w:sz w:val="16"/>
          <w:szCs w:val="16"/>
        </w:rPr>
        <w:t xml:space="preserve">1 (14) ноября </w:t>
      </w:r>
      <w:r w:rsidRPr="00DE096C">
        <w:rPr>
          <w:bCs/>
          <w:color w:val="002060"/>
          <w:sz w:val="16"/>
          <w:szCs w:val="16"/>
        </w:rPr>
        <w:t>в 1914 году В.И.Ленин опубликовал манифест ЦК РСДРП "Война и русская социал-демократия". Ленин заклеймил социал-демократических депутатов парламентов воюющих стран - они, мол, голосовали за военные кредиты, то есть заняли патриотические, а не революционные позиции. По Ленину, поражение России в войне против Германии было бы "меньшим злом", так как привело бы к распаду империи и ослаблению монархии (14817).</w:t>
      </w:r>
    </w:p>
    <w:p w14:paraId="6D9A2AD5" w14:textId="77777777" w:rsidR="004616DD" w:rsidRPr="00DE096C" w:rsidRDefault="004616DD" w:rsidP="00D45A46">
      <w:pPr>
        <w:jc w:val="both"/>
        <w:rPr>
          <w:bCs/>
          <w:color w:val="002060"/>
          <w:sz w:val="16"/>
          <w:szCs w:val="16"/>
        </w:rPr>
      </w:pPr>
    </w:p>
    <w:p w14:paraId="4E6A1CCC" w14:textId="77777777" w:rsidR="004616DD" w:rsidRPr="00DE096C" w:rsidRDefault="004616DD" w:rsidP="00D45A46">
      <w:pPr>
        <w:jc w:val="both"/>
        <w:rPr>
          <w:bCs/>
          <w:color w:val="002060"/>
          <w:sz w:val="16"/>
          <w:szCs w:val="16"/>
        </w:rPr>
      </w:pPr>
      <w:r w:rsidRPr="00DE096C">
        <w:rPr>
          <w:bCs/>
          <w:color w:val="002060"/>
          <w:sz w:val="16"/>
          <w:szCs w:val="16"/>
        </w:rPr>
        <w:t>1 (14) ноября в 1914 году публикуется Манифест ЦК РСДРП об отношении к империалистической войне (14830).</w:t>
      </w:r>
    </w:p>
    <w:p w14:paraId="57DF9BD8" w14:textId="77777777" w:rsidR="004616DD" w:rsidRPr="00DE096C" w:rsidRDefault="004616DD" w:rsidP="00D45A46">
      <w:pPr>
        <w:jc w:val="both"/>
        <w:rPr>
          <w:bCs/>
          <w:color w:val="002060"/>
          <w:sz w:val="16"/>
          <w:szCs w:val="16"/>
        </w:rPr>
      </w:pPr>
    </w:p>
    <w:p w14:paraId="386A903A" w14:textId="77777777" w:rsidR="004616DD" w:rsidRPr="00DE096C" w:rsidRDefault="004616DD" w:rsidP="00D45A46">
      <w:pPr>
        <w:jc w:val="both"/>
        <w:rPr>
          <w:bCs/>
          <w:i/>
          <w:color w:val="002060"/>
          <w:sz w:val="16"/>
          <w:szCs w:val="16"/>
        </w:rPr>
      </w:pPr>
      <w:r w:rsidRPr="00DE096C">
        <w:rPr>
          <w:bCs/>
          <w:i/>
          <w:color w:val="002060"/>
          <w:sz w:val="16"/>
          <w:szCs w:val="16"/>
        </w:rPr>
        <w:t>Внешняя политика:</w:t>
      </w:r>
    </w:p>
    <w:p w14:paraId="6B2BC3FB" w14:textId="77777777" w:rsidR="004616DD" w:rsidRPr="00DE096C" w:rsidRDefault="004616DD" w:rsidP="00D45A46">
      <w:pPr>
        <w:jc w:val="both"/>
        <w:rPr>
          <w:bCs/>
          <w:i/>
          <w:color w:val="002060"/>
          <w:sz w:val="16"/>
          <w:szCs w:val="16"/>
        </w:rPr>
      </w:pPr>
    </w:p>
    <w:p w14:paraId="090A55E5" w14:textId="69212000" w:rsidR="004616DD" w:rsidRPr="00DE096C" w:rsidRDefault="004616DD" w:rsidP="00D45A46">
      <w:pPr>
        <w:jc w:val="both"/>
        <w:rPr>
          <w:bCs/>
          <w:color w:val="002060"/>
          <w:sz w:val="16"/>
          <w:szCs w:val="16"/>
        </w:rPr>
      </w:pPr>
      <w:r w:rsidRPr="00DE096C">
        <w:rPr>
          <w:rStyle w:val="ucoz-forum-post"/>
          <w:bCs/>
          <w:color w:val="002060"/>
          <w:sz w:val="16"/>
          <w:szCs w:val="16"/>
        </w:rPr>
        <w:t xml:space="preserve">2 </w:t>
      </w:r>
      <w:r w:rsidR="00C2200E" w:rsidRPr="00DE096C">
        <w:rPr>
          <w:rStyle w:val="ucoz-forum-post"/>
          <w:bCs/>
          <w:color w:val="002060"/>
          <w:sz w:val="16"/>
          <w:szCs w:val="16"/>
        </w:rPr>
        <w:t xml:space="preserve">(15) </w:t>
      </w:r>
      <w:r w:rsidRPr="00DE096C">
        <w:rPr>
          <w:rStyle w:val="ucoz-forum-post"/>
          <w:bCs/>
          <w:color w:val="002060"/>
          <w:sz w:val="16"/>
          <w:szCs w:val="16"/>
        </w:rPr>
        <w:t xml:space="preserve">ноября </w:t>
      </w:r>
      <w:r w:rsidRPr="00DE096C">
        <w:rPr>
          <w:bCs/>
          <w:color w:val="002060"/>
          <w:sz w:val="16"/>
          <w:szCs w:val="16"/>
        </w:rPr>
        <w:t>в 1914 году Россия объявила войну Турции (14818).</w:t>
      </w:r>
    </w:p>
    <w:p w14:paraId="6C8DE045" w14:textId="77777777" w:rsidR="004616DD" w:rsidRPr="00DE096C" w:rsidRDefault="004616DD" w:rsidP="00D45A46">
      <w:pPr>
        <w:jc w:val="both"/>
        <w:rPr>
          <w:bCs/>
          <w:color w:val="002060"/>
          <w:sz w:val="16"/>
          <w:szCs w:val="16"/>
        </w:rPr>
      </w:pPr>
    </w:p>
    <w:p w14:paraId="19E1AC1B"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 и воздухоплавание Англии:</w:t>
      </w:r>
    </w:p>
    <w:p w14:paraId="01945729" w14:textId="77777777" w:rsidR="00B67D7C" w:rsidRPr="00DE096C" w:rsidRDefault="00B67D7C" w:rsidP="00D45A46">
      <w:pPr>
        <w:shd w:val="clear" w:color="auto" w:fill="FFFFFF"/>
        <w:jc w:val="both"/>
        <w:rPr>
          <w:bCs/>
          <w:i/>
          <w:color w:val="002060"/>
          <w:sz w:val="16"/>
          <w:szCs w:val="16"/>
        </w:rPr>
      </w:pPr>
    </w:p>
    <w:p w14:paraId="32E08115" w14:textId="77777777" w:rsidR="00B67D7C" w:rsidRPr="00DE096C" w:rsidRDefault="00B67D7C" w:rsidP="00D45A46">
      <w:pPr>
        <w:jc w:val="both"/>
        <w:rPr>
          <w:bCs/>
          <w:color w:val="002060"/>
          <w:sz w:val="16"/>
          <w:szCs w:val="16"/>
        </w:rPr>
      </w:pPr>
      <w:r w:rsidRPr="00DE096C">
        <w:rPr>
          <w:bCs/>
          <w:color w:val="002060"/>
          <w:sz w:val="16"/>
          <w:szCs w:val="16"/>
        </w:rPr>
        <w:t>2 (15) ноября на Французском театре войны английская бомбардировочная авиация подожгла склад бензина в Остенде (11999).</w:t>
      </w:r>
    </w:p>
    <w:p w14:paraId="69C4DD84" w14:textId="77777777" w:rsidR="00B67D7C" w:rsidRPr="00DE096C" w:rsidRDefault="00B67D7C" w:rsidP="00D45A46">
      <w:pPr>
        <w:jc w:val="both"/>
        <w:rPr>
          <w:bCs/>
          <w:color w:val="002060"/>
          <w:sz w:val="16"/>
          <w:szCs w:val="16"/>
        </w:rPr>
      </w:pPr>
    </w:p>
    <w:p w14:paraId="407302F5" w14:textId="77777777" w:rsidR="004616DD" w:rsidRPr="00DE096C" w:rsidRDefault="004616DD" w:rsidP="00D45A46">
      <w:pPr>
        <w:jc w:val="both"/>
        <w:rPr>
          <w:bCs/>
          <w:i/>
          <w:color w:val="002060"/>
          <w:sz w:val="16"/>
          <w:szCs w:val="16"/>
        </w:rPr>
      </w:pPr>
      <w:r w:rsidRPr="00DE096C">
        <w:rPr>
          <w:bCs/>
          <w:i/>
          <w:color w:val="002060"/>
          <w:sz w:val="16"/>
          <w:szCs w:val="16"/>
        </w:rPr>
        <w:t>За рубежом:</w:t>
      </w:r>
    </w:p>
    <w:p w14:paraId="174545AD" w14:textId="77777777" w:rsidR="004616DD" w:rsidRPr="00DE096C" w:rsidRDefault="004616DD" w:rsidP="00D45A46">
      <w:pPr>
        <w:jc w:val="both"/>
        <w:rPr>
          <w:bCs/>
          <w:color w:val="002060"/>
          <w:sz w:val="16"/>
          <w:szCs w:val="16"/>
        </w:rPr>
      </w:pPr>
    </w:p>
    <w:p w14:paraId="578EBB10" w14:textId="77777777" w:rsidR="004616DD" w:rsidRPr="00DE096C" w:rsidRDefault="004616DD" w:rsidP="00D45A46">
      <w:pPr>
        <w:jc w:val="both"/>
        <w:rPr>
          <w:bCs/>
          <w:color w:val="002060"/>
          <w:sz w:val="16"/>
          <w:szCs w:val="16"/>
        </w:rPr>
      </w:pPr>
      <w:r w:rsidRPr="00DE096C">
        <w:rPr>
          <w:bCs/>
          <w:color w:val="002060"/>
          <w:sz w:val="16"/>
          <w:szCs w:val="16"/>
        </w:rPr>
        <w:t>2 (15) ноября в 1914 году завершились сражения во Фландрии (на реке Изер и у Ипра). Закончился маневренный период войны на Западе, установился 700-км позиционный фронт от фландрийского побережья и до швейцарской границы (14831).</w:t>
      </w:r>
    </w:p>
    <w:p w14:paraId="19AB3E04" w14:textId="77777777" w:rsidR="004616DD" w:rsidRPr="00DE096C" w:rsidRDefault="004616DD" w:rsidP="00D45A46">
      <w:pPr>
        <w:jc w:val="both"/>
        <w:rPr>
          <w:bCs/>
          <w:color w:val="002060"/>
          <w:sz w:val="16"/>
          <w:szCs w:val="16"/>
        </w:rPr>
      </w:pPr>
    </w:p>
    <w:p w14:paraId="5976D3D4" w14:textId="77777777" w:rsidR="00B67D7C" w:rsidRPr="00DE096C" w:rsidRDefault="00B67D7C" w:rsidP="00D45A46">
      <w:pPr>
        <w:jc w:val="both"/>
        <w:rPr>
          <w:bCs/>
          <w:i/>
          <w:color w:val="002060"/>
          <w:sz w:val="16"/>
          <w:szCs w:val="16"/>
        </w:rPr>
      </w:pPr>
      <w:r w:rsidRPr="00DE096C">
        <w:rPr>
          <w:bCs/>
          <w:i/>
          <w:color w:val="002060"/>
          <w:sz w:val="16"/>
          <w:szCs w:val="16"/>
        </w:rPr>
        <w:t>Самолетостроение:</w:t>
      </w:r>
    </w:p>
    <w:p w14:paraId="3EA94495" w14:textId="77777777" w:rsidR="00B67D7C" w:rsidRPr="00DE096C" w:rsidRDefault="00B67D7C" w:rsidP="00D45A46">
      <w:pPr>
        <w:jc w:val="both"/>
        <w:rPr>
          <w:bCs/>
          <w:i/>
          <w:color w:val="002060"/>
          <w:sz w:val="16"/>
          <w:szCs w:val="16"/>
        </w:rPr>
      </w:pPr>
    </w:p>
    <w:p w14:paraId="7EB8D66D" w14:textId="77777777" w:rsidR="00B67D7C" w:rsidRPr="00DE096C" w:rsidRDefault="00B67D7C" w:rsidP="00D45A46">
      <w:pPr>
        <w:jc w:val="both"/>
        <w:rPr>
          <w:bCs/>
          <w:color w:val="002060"/>
          <w:sz w:val="16"/>
          <w:szCs w:val="16"/>
        </w:rPr>
      </w:pPr>
      <w:r w:rsidRPr="00DE096C">
        <w:rPr>
          <w:bCs/>
          <w:color w:val="002060"/>
          <w:sz w:val="16"/>
          <w:szCs w:val="16"/>
        </w:rPr>
        <w:t>3 (16) ноября 1914 г. – техническим комитетом Главного технического управления принят проект “бронировано-каучуковой рубашки” конструкции В.М.Григоровича для защиты самолётных баков.</w:t>
      </w:r>
    </w:p>
    <w:p w14:paraId="14070CAF" w14:textId="77777777" w:rsidR="00B67D7C" w:rsidRPr="00DE096C" w:rsidRDefault="00B67D7C" w:rsidP="00D45A46">
      <w:pPr>
        <w:jc w:val="both"/>
        <w:rPr>
          <w:bCs/>
          <w:color w:val="002060"/>
          <w:sz w:val="16"/>
          <w:szCs w:val="16"/>
        </w:rPr>
      </w:pPr>
    </w:p>
    <w:p w14:paraId="12C80CEE" w14:textId="33B8F35B" w:rsidR="00713DF7" w:rsidRPr="00DE096C" w:rsidRDefault="00713DF7" w:rsidP="00D45A46">
      <w:pPr>
        <w:jc w:val="both"/>
        <w:rPr>
          <w:bCs/>
          <w:color w:val="002060"/>
          <w:sz w:val="16"/>
          <w:szCs w:val="16"/>
        </w:rPr>
      </w:pPr>
      <w:r w:rsidRPr="00DE096C">
        <w:rPr>
          <w:bCs/>
          <w:color w:val="002060"/>
          <w:sz w:val="16"/>
          <w:szCs w:val="16"/>
        </w:rPr>
        <w:t>3-10 (16-23) ноября 1914 г. над Перемышлем в боевой обстановке впервые испы</w:t>
      </w:r>
      <w:r w:rsidRPr="00DE096C">
        <w:rPr>
          <w:bCs/>
          <w:color w:val="002060"/>
          <w:sz w:val="16"/>
          <w:szCs w:val="16"/>
        </w:rPr>
        <w:softHyphen/>
        <w:t>тывалась авиационная бомба весом 2 пуда 30 фунтов конструкции по</w:t>
      </w:r>
      <w:r w:rsidRPr="00DE096C">
        <w:rPr>
          <w:bCs/>
          <w:color w:val="002060"/>
          <w:sz w:val="16"/>
          <w:szCs w:val="16"/>
        </w:rPr>
        <w:softHyphen/>
        <w:t>ручика В.Ф.Гельгара с бомбосбрасывателем его же системы. Опыты про</w:t>
      </w:r>
      <w:r w:rsidRPr="00DE096C">
        <w:rPr>
          <w:bCs/>
          <w:color w:val="002060"/>
          <w:sz w:val="16"/>
          <w:szCs w:val="16"/>
        </w:rPr>
        <w:softHyphen/>
        <w:t>шли удачно. С бомбами садились на вынужденную посадку, и они не взры</w:t>
      </w:r>
      <w:r w:rsidRPr="00DE096C">
        <w:rPr>
          <w:bCs/>
          <w:color w:val="002060"/>
          <w:sz w:val="16"/>
          <w:szCs w:val="16"/>
        </w:rPr>
        <w:softHyphen/>
        <w:t>вались. Опыты проводили летчики поручик С,Н.Басов, шт,-капитан В.М. Ольховский и ст. унтер-офицер Иванов.</w:t>
      </w:r>
    </w:p>
    <w:p w14:paraId="1FA4B25F" w14:textId="77777777" w:rsidR="00713DF7" w:rsidRPr="00DE096C" w:rsidRDefault="00713DF7" w:rsidP="00D45A46">
      <w:pPr>
        <w:jc w:val="both"/>
        <w:rPr>
          <w:bCs/>
          <w:color w:val="002060"/>
          <w:sz w:val="16"/>
          <w:szCs w:val="16"/>
        </w:rPr>
      </w:pPr>
      <w:r w:rsidRPr="00DE096C">
        <w:rPr>
          <w:bCs/>
          <w:color w:val="002060"/>
          <w:sz w:val="16"/>
          <w:szCs w:val="16"/>
        </w:rPr>
        <w:t>/ЦГВИА, Ф. 493, оп. 10, Д. 79, Л. б3; акт комиссии от 15 ноября 1914/ (23320).</w:t>
      </w:r>
    </w:p>
    <w:p w14:paraId="0C5BAAED" w14:textId="77777777" w:rsidR="00713DF7" w:rsidRPr="00DE096C" w:rsidRDefault="00713DF7" w:rsidP="00D45A46">
      <w:pPr>
        <w:jc w:val="both"/>
        <w:rPr>
          <w:bCs/>
          <w:color w:val="002060"/>
          <w:sz w:val="16"/>
          <w:szCs w:val="16"/>
        </w:rPr>
      </w:pPr>
    </w:p>
    <w:p w14:paraId="6D7E5D6E" w14:textId="77777777" w:rsidR="00B67D7C" w:rsidRPr="00DE096C" w:rsidRDefault="00B67D7C" w:rsidP="00D45A46">
      <w:pPr>
        <w:jc w:val="both"/>
        <w:rPr>
          <w:bCs/>
          <w:i/>
          <w:color w:val="002060"/>
          <w:sz w:val="16"/>
          <w:szCs w:val="16"/>
        </w:rPr>
      </w:pPr>
      <w:r w:rsidRPr="00DE096C">
        <w:rPr>
          <w:bCs/>
          <w:i/>
          <w:color w:val="002060"/>
          <w:sz w:val="16"/>
          <w:szCs w:val="16"/>
        </w:rPr>
        <w:t>Другие оборонные отрасли:</w:t>
      </w:r>
    </w:p>
    <w:p w14:paraId="23D32638" w14:textId="77777777" w:rsidR="00B67D7C" w:rsidRPr="00DE096C" w:rsidRDefault="00B67D7C" w:rsidP="00D45A46">
      <w:pPr>
        <w:jc w:val="both"/>
        <w:rPr>
          <w:bCs/>
          <w:i/>
          <w:color w:val="002060"/>
          <w:sz w:val="16"/>
          <w:szCs w:val="16"/>
        </w:rPr>
      </w:pPr>
    </w:p>
    <w:p w14:paraId="33177938" w14:textId="6420755B"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3 (16) ноября 1914 г.</w:t>
      </w:r>
      <w:r w:rsidR="00C2200E" w:rsidRPr="00DE096C">
        <w:rPr>
          <w:bCs/>
          <w:i w:val="0"/>
          <w:color w:val="002060"/>
          <w:spacing w:val="0"/>
          <w:kern w:val="0"/>
          <w:position w:val="0"/>
          <w:sz w:val="16"/>
          <w:szCs w:val="16"/>
        </w:rPr>
        <w:t>, согласно донесения приемщика, 16-дм. (405-м) мортира, разработка которой в начале 1913 г. поручена заводу Шнейдера, который и принял это поручение, была спешно закончена на Путиловском заводе, положена на упрощенный лафет (подобно железнодорожному лафету германской 16,5-дм. гаубицы) и в таком виде отправлена в действующую армию</w:t>
      </w:r>
      <w:r w:rsidRPr="00DE096C">
        <w:rPr>
          <w:bCs/>
          <w:i w:val="0"/>
          <w:color w:val="002060"/>
          <w:spacing w:val="0"/>
          <w:kern w:val="0"/>
          <w:position w:val="0"/>
          <w:sz w:val="16"/>
          <w:szCs w:val="16"/>
        </w:rPr>
        <w:t>.</w:t>
      </w:r>
    </w:p>
    <w:p w14:paraId="26921EF4"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Итак, хотя Артком, ГАУ и Генеральный штаб, по крайней мере в лице отдельных своих представителей, еще до войны представляли себе значение крупных калибров, они не принимали все зависящие от них меры для выработки наиболее совершенных и мощных образцов орудий осадного типа (11483).</w:t>
      </w:r>
    </w:p>
    <w:p w14:paraId="4EBA46AA" w14:textId="77777777" w:rsidR="00B67D7C" w:rsidRPr="00DE096C" w:rsidRDefault="00B67D7C" w:rsidP="00D45A46">
      <w:pPr>
        <w:pStyle w:val="a3"/>
        <w:jc w:val="both"/>
        <w:rPr>
          <w:bCs/>
          <w:i w:val="0"/>
          <w:color w:val="002060"/>
          <w:spacing w:val="0"/>
          <w:kern w:val="0"/>
          <w:position w:val="0"/>
          <w:sz w:val="16"/>
          <w:szCs w:val="16"/>
        </w:rPr>
      </w:pPr>
    </w:p>
    <w:p w14:paraId="5B35C14C" w14:textId="77777777" w:rsidR="00B67D7C" w:rsidRPr="00DE096C" w:rsidRDefault="00B67D7C" w:rsidP="00D45A46">
      <w:pPr>
        <w:jc w:val="both"/>
        <w:rPr>
          <w:bCs/>
          <w:i/>
          <w:color w:val="002060"/>
          <w:sz w:val="16"/>
          <w:szCs w:val="16"/>
        </w:rPr>
      </w:pPr>
      <w:r w:rsidRPr="00DE096C">
        <w:rPr>
          <w:bCs/>
          <w:i/>
          <w:color w:val="002060"/>
          <w:sz w:val="16"/>
          <w:szCs w:val="16"/>
        </w:rPr>
        <w:t>Авиация:</w:t>
      </w:r>
    </w:p>
    <w:p w14:paraId="38455CC6" w14:textId="77777777" w:rsidR="00B67D7C" w:rsidRPr="00DE096C" w:rsidRDefault="00B67D7C" w:rsidP="00D45A46">
      <w:pPr>
        <w:jc w:val="both"/>
        <w:rPr>
          <w:bCs/>
          <w:i/>
          <w:color w:val="002060"/>
          <w:sz w:val="16"/>
          <w:szCs w:val="16"/>
        </w:rPr>
      </w:pPr>
    </w:p>
    <w:p w14:paraId="5804DB7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3 (16) ноября 1914 поручик Владимир Федорович Станюкович и наблюда</w:t>
      </w:r>
      <w:r w:rsidRPr="00DE096C">
        <w:rPr>
          <w:bCs/>
          <w:color w:val="002060"/>
          <w:sz w:val="16"/>
          <w:szCs w:val="16"/>
        </w:rPr>
        <w:softHyphen/>
        <w:t>тель штабс-капитан Леон Дюсиметьер вылетели на разведку неприятельских войск, действовавших против правого фланга нашей армии, обнаружили подходившие к Ленчице и направленные в обход правого фланга армии колонны противника, точно определили их силу (один корпус). Данные разведки существенно повлияли на ход дальнейших операций. Летчики были награждены орденом Георгия степени ("Русский инвалид". 1915 г., 16 июня).</w:t>
      </w:r>
    </w:p>
    <w:p w14:paraId="4D634AC7" w14:textId="59DC7706" w:rsidR="00B67D7C" w:rsidRPr="00DE096C" w:rsidRDefault="00B67D7C" w:rsidP="00D45A46">
      <w:pPr>
        <w:shd w:val="clear" w:color="auto" w:fill="FFFFFF"/>
        <w:jc w:val="both"/>
        <w:rPr>
          <w:bCs/>
          <w:color w:val="002060"/>
          <w:sz w:val="16"/>
          <w:szCs w:val="16"/>
        </w:rPr>
      </w:pPr>
    </w:p>
    <w:p w14:paraId="1C3B652B" w14:textId="77777777" w:rsidR="00713DF7" w:rsidRPr="00DE096C" w:rsidRDefault="00713DF7" w:rsidP="00D45A46">
      <w:pPr>
        <w:jc w:val="both"/>
        <w:rPr>
          <w:bCs/>
          <w:color w:val="002060"/>
          <w:sz w:val="16"/>
          <w:szCs w:val="16"/>
        </w:rPr>
      </w:pPr>
      <w:r w:rsidRPr="00DE096C">
        <w:rPr>
          <w:bCs/>
          <w:color w:val="002060"/>
          <w:sz w:val="16"/>
          <w:szCs w:val="16"/>
        </w:rPr>
        <w:t>3 (16) ноября 1914 г. поручик Владимир Федорович Станюкович и наблюдатель шт.-капитан Леон Дюсиметьер вылетели на разведку неприятельских войск, действовавших против правого фланга нашей армии, обнаружили подходившие к Ленчице и направленные в обход правого фланга армии колонны противника, точно определили их силу в один корпус. Данные разведки существенно повлияли на ход дальнейших операций. Летчики были награждены орденом св. Георгия 4.</w:t>
      </w:r>
    </w:p>
    <w:p w14:paraId="2DA4DF77" w14:textId="77777777" w:rsidR="00713DF7" w:rsidRPr="00DE096C" w:rsidRDefault="00713DF7" w:rsidP="00D45A46">
      <w:pPr>
        <w:jc w:val="both"/>
        <w:rPr>
          <w:bCs/>
          <w:color w:val="002060"/>
          <w:sz w:val="16"/>
          <w:szCs w:val="16"/>
        </w:rPr>
      </w:pPr>
      <w:r w:rsidRPr="00DE096C">
        <w:rPr>
          <w:bCs/>
          <w:color w:val="002060"/>
          <w:sz w:val="16"/>
          <w:szCs w:val="16"/>
        </w:rPr>
        <w:t>/«Русский инвалид» за 16 июня 1916/ (23320).</w:t>
      </w:r>
    </w:p>
    <w:p w14:paraId="291D9E97" w14:textId="77777777" w:rsidR="00713DF7" w:rsidRPr="00DE096C" w:rsidRDefault="00713DF7" w:rsidP="00D45A46">
      <w:pPr>
        <w:jc w:val="both"/>
        <w:rPr>
          <w:bCs/>
          <w:color w:val="002060"/>
          <w:sz w:val="16"/>
          <w:szCs w:val="16"/>
        </w:rPr>
      </w:pPr>
    </w:p>
    <w:p w14:paraId="79CEFCBD" w14:textId="1C2D0CDD" w:rsidR="00C2200E" w:rsidRPr="00DE096C" w:rsidRDefault="00C2200E" w:rsidP="00D45A46">
      <w:pPr>
        <w:shd w:val="clear" w:color="auto" w:fill="FFFFFF"/>
        <w:jc w:val="both"/>
        <w:rPr>
          <w:bCs/>
          <w:i/>
          <w:iCs/>
          <w:color w:val="002060"/>
          <w:sz w:val="16"/>
          <w:szCs w:val="16"/>
        </w:rPr>
      </w:pPr>
      <w:r w:rsidRPr="00DE096C">
        <w:rPr>
          <w:bCs/>
          <w:i/>
          <w:iCs/>
          <w:color w:val="002060"/>
          <w:sz w:val="16"/>
          <w:szCs w:val="16"/>
        </w:rPr>
        <w:t>Самолетостроение:</w:t>
      </w:r>
    </w:p>
    <w:p w14:paraId="12B8D85D" w14:textId="77777777" w:rsidR="00C2200E" w:rsidRPr="00DE096C" w:rsidRDefault="00C2200E" w:rsidP="00D45A46">
      <w:pPr>
        <w:shd w:val="clear" w:color="auto" w:fill="FFFFFF"/>
        <w:jc w:val="both"/>
        <w:rPr>
          <w:bCs/>
          <w:i/>
          <w:iCs/>
          <w:color w:val="002060"/>
          <w:sz w:val="16"/>
          <w:szCs w:val="16"/>
        </w:rPr>
      </w:pPr>
    </w:p>
    <w:p w14:paraId="0AFC9833" w14:textId="77777777" w:rsidR="00C2200E" w:rsidRPr="00DE096C" w:rsidRDefault="00C2200E" w:rsidP="00D45A46">
      <w:pPr>
        <w:jc w:val="both"/>
        <w:rPr>
          <w:bCs/>
          <w:color w:val="002060"/>
          <w:sz w:val="16"/>
          <w:szCs w:val="16"/>
        </w:rPr>
      </w:pPr>
      <w:r w:rsidRPr="00DE096C">
        <w:rPr>
          <w:bCs/>
          <w:color w:val="002060"/>
          <w:sz w:val="16"/>
          <w:szCs w:val="16"/>
        </w:rPr>
        <w:t>4 (17) ноября 1914 г. командир отряда штабс-капитан А.В. Панкратье подготовил записку, в которой справедливо полагал, что очень короткая практика не даёт права делать общие выводы о качествах и боевой пригодности аэропланов типа "Илья Муромец". Кроме того, "...необходимо дать возможность работать аэроплану на театре войны, чтобы путем широкой практики добиться от "Муромцев" хорошей работы и попутно выяснить существенные недостатки для устранения таковых в будущих типах".</w:t>
      </w:r>
    </w:p>
    <w:p w14:paraId="1767A330" w14:textId="77777777" w:rsidR="00C2200E" w:rsidRPr="00DE096C" w:rsidRDefault="00C2200E" w:rsidP="00D45A46">
      <w:pPr>
        <w:jc w:val="both"/>
        <w:rPr>
          <w:bCs/>
          <w:color w:val="002060"/>
          <w:sz w:val="16"/>
          <w:szCs w:val="16"/>
        </w:rPr>
      </w:pPr>
      <w:r w:rsidRPr="00DE096C">
        <w:rPr>
          <w:bCs/>
          <w:color w:val="002060"/>
          <w:sz w:val="16"/>
          <w:szCs w:val="16"/>
        </w:rPr>
        <w:t>Панкратьев сообщал, что максимальной полезной нагрузкой нужно считать 75 пудов, а именно: 40-45 пудов - бензин и масло на 4-4,5 часа полета, 20 пудов - экипаж (командир, помощник, а*ртиллерийский офицер, механик) и 10-15 пудов - вооружение и бомбы. Сравнительно безопасной высотой Панкратьев считал 2000 метров, которую на его машине с полной нагрузкой можно было достигнуть за два часа.</w:t>
      </w:r>
    </w:p>
    <w:p w14:paraId="7DEC26ED" w14:textId="77777777" w:rsidR="00C2200E" w:rsidRPr="00DE096C" w:rsidRDefault="00C2200E" w:rsidP="00D45A46">
      <w:pPr>
        <w:jc w:val="both"/>
        <w:rPr>
          <w:bCs/>
          <w:color w:val="002060"/>
          <w:sz w:val="16"/>
          <w:szCs w:val="16"/>
        </w:rPr>
      </w:pPr>
      <w:r w:rsidRPr="00DE096C">
        <w:rPr>
          <w:bCs/>
          <w:color w:val="002060"/>
          <w:sz w:val="16"/>
          <w:szCs w:val="16"/>
        </w:rPr>
        <w:t>"Правда, по опыту войны безопасной высотой от выстрелов надо считать 2500-3000 метров, но, за отсутствием практики, - честно признавался он, - возможность подъёма на такую высоту не представляю. Работа аэропланов типа "Илья Муромец" в действующей армии будет носить случайный характер" делал заключение штабс-ка- питан Панкратьев и перечислил следующие причины:</w:t>
      </w:r>
    </w:p>
    <w:p w14:paraId="679E3EAB" w14:textId="77777777" w:rsidR="00C2200E" w:rsidRPr="00DE096C" w:rsidRDefault="00C2200E" w:rsidP="00D45A46">
      <w:pPr>
        <w:jc w:val="both"/>
        <w:rPr>
          <w:bCs/>
          <w:color w:val="002060"/>
          <w:sz w:val="16"/>
          <w:szCs w:val="16"/>
        </w:rPr>
      </w:pPr>
      <w:r w:rsidRPr="00DE096C">
        <w:rPr>
          <w:bCs/>
          <w:color w:val="002060"/>
          <w:sz w:val="16"/>
          <w:szCs w:val="16"/>
        </w:rPr>
        <w:t xml:space="preserve">I) Моторы требуют тщательного и умелого обращения, что в высшей степени осложнено полным отсутствием запасных частей и недостаточной подготовленностью состава механиков и мотористов. </w:t>
      </w:r>
    </w:p>
    <w:p w14:paraId="3CD7079A" w14:textId="77777777" w:rsidR="00C2200E" w:rsidRPr="00DE096C" w:rsidRDefault="00C2200E" w:rsidP="00D45A46">
      <w:pPr>
        <w:jc w:val="both"/>
        <w:rPr>
          <w:bCs/>
          <w:color w:val="002060"/>
          <w:sz w:val="16"/>
          <w:szCs w:val="16"/>
        </w:rPr>
      </w:pPr>
      <w:r w:rsidRPr="00DE096C">
        <w:rPr>
          <w:bCs/>
          <w:color w:val="002060"/>
          <w:sz w:val="16"/>
          <w:szCs w:val="16"/>
        </w:rPr>
        <w:t>2) Отсутствие большой практики у личного состава не гарантирует от вывода аппарата из строя на неопределенное время.</w:t>
      </w:r>
    </w:p>
    <w:p w14:paraId="204B84DA" w14:textId="77777777" w:rsidR="00C2200E" w:rsidRPr="00DE096C" w:rsidRDefault="00C2200E" w:rsidP="00D45A46">
      <w:pPr>
        <w:jc w:val="both"/>
        <w:rPr>
          <w:bCs/>
          <w:color w:val="002060"/>
          <w:sz w:val="16"/>
          <w:szCs w:val="16"/>
        </w:rPr>
      </w:pPr>
      <w:r w:rsidRPr="00DE096C">
        <w:rPr>
          <w:bCs/>
          <w:color w:val="002060"/>
          <w:sz w:val="16"/>
          <w:szCs w:val="16"/>
        </w:rPr>
        <w:t>3) Аппарат требует заранее подготовленных мест спуска и взлета, и случайный спуск можег повлечь за собой в большинстве случаев поломку.</w:t>
      </w:r>
    </w:p>
    <w:p w14:paraId="0C3453E0" w14:textId="77777777" w:rsidR="00C2200E" w:rsidRPr="00DE096C" w:rsidRDefault="00C2200E" w:rsidP="00D45A46">
      <w:pPr>
        <w:jc w:val="both"/>
        <w:rPr>
          <w:bCs/>
          <w:color w:val="002060"/>
          <w:sz w:val="16"/>
          <w:szCs w:val="16"/>
        </w:rPr>
      </w:pPr>
      <w:r w:rsidRPr="00DE096C">
        <w:rPr>
          <w:bCs/>
          <w:color w:val="002060"/>
          <w:sz w:val="16"/>
          <w:szCs w:val="16"/>
        </w:rPr>
        <w:t>4) Переоценка действительных качеств аэроплана, а потому и невозможность выполнения возложенных задач. "Случайность же работы "Муромдев" на театре войны ставит личный состав этих аэропланов в очень тяжёлые условия, позволяющие обвинить таковой в недостатке деятельности и отсутствии желания работать, - с горечью констатировал Панкратьев. - Когда вся армия, всеми силами стремится к неуклонному исполнению долга, личный состав "Муромцев" в период неудач с аэропланом обречён на бездеятельность, что конечно недопустимо". "Для устранения создавшейся положения, - предлагал Панкратьев, - желательно снабжение команд "Муромцев" двумя аэропланами типа "Вуазен", что дало бы возможность беспрерывно работать по выполнению возложенных на отряд задач, исполняя таковые в зависимости от условий либо на "Муромце", либо на "Вуазене".</w:t>
      </w:r>
    </w:p>
    <w:p w14:paraId="4E826016" w14:textId="77777777" w:rsidR="00C2200E" w:rsidRPr="00DE096C" w:rsidRDefault="00C2200E" w:rsidP="00D45A46">
      <w:pPr>
        <w:jc w:val="both"/>
        <w:rPr>
          <w:bCs/>
          <w:color w:val="002060"/>
          <w:sz w:val="16"/>
          <w:szCs w:val="16"/>
        </w:rPr>
      </w:pPr>
      <w:r w:rsidRPr="00DE096C">
        <w:rPr>
          <w:bCs/>
          <w:color w:val="002060"/>
          <w:sz w:val="16"/>
          <w:szCs w:val="16"/>
        </w:rPr>
        <w:t>Как видим, Панкратьев тоже критикует создавшееся положение, но критика его конструктивна, поскольку он не только высвечивает недостатки, но и предлагает пути их устранения. Новое оружие, каковым являлся самолёт-гигант, требовало и новой тактики использования. Попытка "влить вино новое в мехи старые" закончилась, как и предрекали древние, провалом. Необходимо было вносить новации. И таковые появились. В голове неутомимого Шид- ловского родилась идея свести все "Муромцы" в единое боевое соединение - Эскадру Воздушных Кораблей, чтобы действовать в стратегических интересах фронтов и соединений...</w:t>
      </w:r>
    </w:p>
    <w:p w14:paraId="7AAD102B" w14:textId="77777777" w:rsidR="00C2200E" w:rsidRPr="00DE096C" w:rsidRDefault="00C2200E" w:rsidP="00D45A46">
      <w:pPr>
        <w:jc w:val="both"/>
        <w:rPr>
          <w:bCs/>
          <w:color w:val="002060"/>
          <w:sz w:val="16"/>
          <w:szCs w:val="16"/>
        </w:rPr>
      </w:pPr>
      <w:r w:rsidRPr="00DE096C">
        <w:rPr>
          <w:bCs/>
          <w:color w:val="002060"/>
          <w:sz w:val="16"/>
          <w:szCs w:val="16"/>
        </w:rPr>
        <w:t>Итак, казалось, судьба гигантов Сикорского была предрешена: контракт на постройку 32 "Муромцев" приостановлен, у армейского командования складывается стойкое недоверие к возможности боевого использования этих машин, шеф военной авиации выказывает открытое недовольство. Но не тот человек был Шидловский. Чтобы спасти положение, а заодно и свои доходы, ему пришлось задействовать всё своё влияние и связи. Председатель правления одного из крупнейших промышленных предприятий страны напрямую обратился за помошью к военному министру Сухомлинову, которому представил докладную записку. В ней он изложил своё видение причин неудачного опыта применения "Муромцев" на фронте (12041).</w:t>
      </w:r>
    </w:p>
    <w:p w14:paraId="5C523C34" w14:textId="77777777" w:rsidR="00C2200E" w:rsidRPr="00DE096C" w:rsidRDefault="00C2200E" w:rsidP="00D45A46">
      <w:pPr>
        <w:jc w:val="both"/>
        <w:rPr>
          <w:bCs/>
          <w:color w:val="002060"/>
          <w:sz w:val="16"/>
          <w:szCs w:val="16"/>
        </w:rPr>
      </w:pPr>
    </w:p>
    <w:p w14:paraId="2DB3C51F" w14:textId="1EE459FC" w:rsidR="00974330" w:rsidRPr="00DE096C" w:rsidRDefault="00974330" w:rsidP="00D45A46">
      <w:pPr>
        <w:jc w:val="both"/>
        <w:rPr>
          <w:bCs/>
          <w:color w:val="002060"/>
          <w:sz w:val="16"/>
          <w:szCs w:val="16"/>
        </w:rPr>
      </w:pPr>
      <w:r w:rsidRPr="00DE096C">
        <w:rPr>
          <w:bCs/>
          <w:color w:val="002060"/>
          <w:sz w:val="16"/>
          <w:szCs w:val="16"/>
          <w:lang w:bidi="en-US"/>
        </w:rPr>
        <w:t xml:space="preserve">4 (17) ноября 1914 г. командующий Главного военно-технического управления уведомил военного министра о том, что 365 самолетов находятся в постройке или ожидают приемки для возмещения потерь. Был приложен следующий список: завод Щетинина - тридцать Фарман 22бис, у которых не было моторов; сорок четыре </w:t>
      </w:r>
      <w:r w:rsidRPr="00DE096C">
        <w:rPr>
          <w:bCs/>
          <w:color w:val="002060"/>
          <w:sz w:val="16"/>
          <w:szCs w:val="16"/>
          <w:lang w:val="en-US" w:bidi="en-US"/>
        </w:rPr>
        <w:t>Farman</w:t>
      </w:r>
      <w:r w:rsidRPr="00DE096C">
        <w:rPr>
          <w:bCs/>
          <w:color w:val="002060"/>
          <w:sz w:val="16"/>
          <w:szCs w:val="16"/>
          <w:lang w:bidi="en-US"/>
        </w:rPr>
        <w:t xml:space="preserve"> 16, пять </w:t>
      </w:r>
      <w:r w:rsidRPr="00DE096C">
        <w:rPr>
          <w:bCs/>
          <w:color w:val="002060"/>
          <w:sz w:val="16"/>
          <w:szCs w:val="16"/>
          <w:lang w:val="en-US" w:bidi="en-US"/>
        </w:rPr>
        <w:t>Nieuport</w:t>
      </w:r>
      <w:r w:rsidRPr="00DE096C">
        <w:rPr>
          <w:bCs/>
          <w:color w:val="002060"/>
          <w:sz w:val="16"/>
          <w:szCs w:val="16"/>
          <w:lang w:bidi="en-US"/>
        </w:rPr>
        <w:t xml:space="preserve"> </w:t>
      </w:r>
      <w:r w:rsidRPr="00DE096C">
        <w:rPr>
          <w:bCs/>
          <w:color w:val="002060"/>
          <w:sz w:val="16"/>
          <w:szCs w:val="16"/>
          <w:lang w:val="en-US" w:bidi="en-US"/>
        </w:rPr>
        <w:t>IV</w:t>
      </w:r>
      <w:r w:rsidRPr="00DE096C">
        <w:rPr>
          <w:bCs/>
          <w:color w:val="002060"/>
          <w:sz w:val="16"/>
          <w:szCs w:val="16"/>
          <w:lang w:bidi="en-US"/>
        </w:rPr>
        <w:t xml:space="preserve"> (всего восемьдесят три); Лебедева - двадцать "Фарман-16", восемнадцать "Депердюссен", восемнадцать "Вуазен" (всего пятьдесят шесть); Завод </w:t>
      </w:r>
      <w:r w:rsidRPr="00DE096C">
        <w:rPr>
          <w:bCs/>
          <w:color w:val="002060"/>
          <w:sz w:val="16"/>
          <w:szCs w:val="16"/>
          <w:lang w:val="en-US" w:bidi="en-US"/>
        </w:rPr>
        <w:t>Duks</w:t>
      </w:r>
      <w:r w:rsidRPr="00DE096C">
        <w:rPr>
          <w:bCs/>
          <w:color w:val="002060"/>
          <w:sz w:val="16"/>
          <w:szCs w:val="16"/>
          <w:lang w:bidi="en-US"/>
        </w:rPr>
        <w:t xml:space="preserve"> - десять </w:t>
      </w:r>
      <w:r w:rsidRPr="00DE096C">
        <w:rPr>
          <w:bCs/>
          <w:color w:val="002060"/>
          <w:sz w:val="16"/>
          <w:szCs w:val="16"/>
          <w:lang w:val="en-US" w:bidi="en-US"/>
        </w:rPr>
        <w:t>Farman</w:t>
      </w:r>
      <w:r w:rsidRPr="00DE096C">
        <w:rPr>
          <w:bCs/>
          <w:color w:val="002060"/>
          <w:sz w:val="16"/>
          <w:szCs w:val="16"/>
          <w:lang w:bidi="en-US"/>
        </w:rPr>
        <w:t xml:space="preserve"> 22</w:t>
      </w:r>
      <w:r w:rsidRPr="00DE096C">
        <w:rPr>
          <w:bCs/>
          <w:color w:val="002060"/>
          <w:sz w:val="16"/>
          <w:szCs w:val="16"/>
          <w:lang w:val="en-US" w:bidi="en-US"/>
        </w:rPr>
        <w:t>bis</w:t>
      </w:r>
      <w:r w:rsidRPr="00DE096C">
        <w:rPr>
          <w:bCs/>
          <w:color w:val="002060"/>
          <w:sz w:val="16"/>
          <w:szCs w:val="16"/>
          <w:lang w:bidi="en-US"/>
        </w:rPr>
        <w:t xml:space="preserve"> без двигателей, восемнадцать </w:t>
      </w:r>
      <w:r w:rsidRPr="00DE096C">
        <w:rPr>
          <w:bCs/>
          <w:color w:val="002060"/>
          <w:sz w:val="16"/>
          <w:szCs w:val="16"/>
          <w:lang w:val="en-US" w:bidi="en-US"/>
        </w:rPr>
        <w:t>Nieuport</w:t>
      </w:r>
      <w:r w:rsidRPr="00DE096C">
        <w:rPr>
          <w:bCs/>
          <w:color w:val="002060"/>
          <w:sz w:val="16"/>
          <w:szCs w:val="16"/>
          <w:lang w:bidi="en-US"/>
        </w:rPr>
        <w:t xml:space="preserve"> </w:t>
      </w:r>
      <w:r w:rsidRPr="00DE096C">
        <w:rPr>
          <w:bCs/>
          <w:color w:val="002060"/>
          <w:sz w:val="16"/>
          <w:szCs w:val="16"/>
          <w:lang w:val="en-US" w:bidi="en-US"/>
        </w:rPr>
        <w:t>IV</w:t>
      </w:r>
      <w:r w:rsidRPr="00DE096C">
        <w:rPr>
          <w:bCs/>
          <w:color w:val="002060"/>
          <w:sz w:val="16"/>
          <w:szCs w:val="16"/>
          <w:lang w:bidi="en-US"/>
        </w:rPr>
        <w:t xml:space="preserve">, десять </w:t>
      </w:r>
      <w:r w:rsidRPr="00DE096C">
        <w:rPr>
          <w:bCs/>
          <w:color w:val="002060"/>
          <w:sz w:val="16"/>
          <w:szCs w:val="16"/>
          <w:lang w:val="en-US" w:bidi="en-US"/>
        </w:rPr>
        <w:t>Morane</w:t>
      </w:r>
      <w:r w:rsidRPr="00DE096C">
        <w:rPr>
          <w:bCs/>
          <w:color w:val="002060"/>
          <w:sz w:val="16"/>
          <w:szCs w:val="16"/>
          <w:lang w:bidi="en-US"/>
        </w:rPr>
        <w:t>-</w:t>
      </w:r>
      <w:r w:rsidRPr="00DE096C">
        <w:rPr>
          <w:bCs/>
          <w:color w:val="002060"/>
          <w:sz w:val="16"/>
          <w:szCs w:val="16"/>
          <w:lang w:val="en-US" w:bidi="en-US"/>
        </w:rPr>
        <w:t>Saulnier</w:t>
      </w:r>
      <w:r w:rsidRPr="00DE096C">
        <w:rPr>
          <w:bCs/>
          <w:color w:val="002060"/>
          <w:sz w:val="16"/>
          <w:szCs w:val="16"/>
          <w:lang w:bidi="en-US"/>
        </w:rPr>
        <w:t xml:space="preserve">, сорок восемь </w:t>
      </w:r>
      <w:r w:rsidRPr="00DE096C">
        <w:rPr>
          <w:bCs/>
          <w:color w:val="002060"/>
          <w:sz w:val="16"/>
          <w:szCs w:val="16"/>
          <w:lang w:val="en-US" w:bidi="en-US"/>
        </w:rPr>
        <w:t>Morane</w:t>
      </w:r>
      <w:r w:rsidRPr="00DE096C">
        <w:rPr>
          <w:bCs/>
          <w:color w:val="002060"/>
          <w:sz w:val="16"/>
          <w:szCs w:val="16"/>
          <w:lang w:bidi="en-US"/>
        </w:rPr>
        <w:t xml:space="preserve"> </w:t>
      </w:r>
      <w:r w:rsidRPr="00DE096C">
        <w:rPr>
          <w:bCs/>
          <w:color w:val="002060"/>
          <w:sz w:val="16"/>
          <w:szCs w:val="16"/>
          <w:lang w:val="en-US" w:bidi="en-US"/>
        </w:rPr>
        <w:t>Parasols</w:t>
      </w:r>
      <w:r w:rsidRPr="00DE096C">
        <w:rPr>
          <w:bCs/>
          <w:color w:val="002060"/>
          <w:sz w:val="16"/>
          <w:szCs w:val="16"/>
          <w:lang w:bidi="en-US"/>
        </w:rPr>
        <w:t xml:space="preserve"> (всего восемьдесят шесть); Завод Анатра - пятнадцать </w:t>
      </w:r>
      <w:r w:rsidRPr="00DE096C">
        <w:rPr>
          <w:bCs/>
          <w:color w:val="002060"/>
          <w:sz w:val="16"/>
          <w:szCs w:val="16"/>
          <w:lang w:val="en-US" w:bidi="en-US"/>
        </w:rPr>
        <w:t>Farman</w:t>
      </w:r>
      <w:r w:rsidRPr="00DE096C">
        <w:rPr>
          <w:bCs/>
          <w:color w:val="002060"/>
          <w:sz w:val="16"/>
          <w:szCs w:val="16"/>
          <w:lang w:bidi="en-US"/>
        </w:rPr>
        <w:t xml:space="preserve"> 22</w:t>
      </w:r>
      <w:r w:rsidRPr="00DE096C">
        <w:rPr>
          <w:bCs/>
          <w:color w:val="002060"/>
          <w:sz w:val="16"/>
          <w:szCs w:val="16"/>
          <w:lang w:val="en-US" w:bidi="en-US"/>
        </w:rPr>
        <w:t>bis</w:t>
      </w:r>
      <w:r w:rsidRPr="00DE096C">
        <w:rPr>
          <w:bCs/>
          <w:color w:val="002060"/>
          <w:sz w:val="16"/>
          <w:szCs w:val="16"/>
          <w:lang w:bidi="en-US"/>
        </w:rPr>
        <w:t xml:space="preserve">, пятнадцать </w:t>
      </w:r>
      <w:r w:rsidRPr="00DE096C">
        <w:rPr>
          <w:bCs/>
          <w:color w:val="002060"/>
          <w:sz w:val="16"/>
          <w:szCs w:val="16"/>
          <w:lang w:val="en-US" w:bidi="en-US"/>
        </w:rPr>
        <w:t>Farman</w:t>
      </w:r>
      <w:r w:rsidRPr="00DE096C">
        <w:rPr>
          <w:bCs/>
          <w:color w:val="002060"/>
          <w:sz w:val="16"/>
          <w:szCs w:val="16"/>
          <w:lang w:bidi="en-US"/>
        </w:rPr>
        <w:t xml:space="preserve"> 16, десять </w:t>
      </w:r>
      <w:r w:rsidRPr="00DE096C">
        <w:rPr>
          <w:bCs/>
          <w:color w:val="002060"/>
          <w:sz w:val="16"/>
          <w:szCs w:val="16"/>
          <w:lang w:val="en-US" w:bidi="en-US"/>
        </w:rPr>
        <w:t>Nieuport</w:t>
      </w:r>
      <w:r w:rsidRPr="00DE096C">
        <w:rPr>
          <w:bCs/>
          <w:color w:val="002060"/>
          <w:sz w:val="16"/>
          <w:szCs w:val="16"/>
          <w:lang w:bidi="en-US"/>
        </w:rPr>
        <w:t xml:space="preserve"> </w:t>
      </w:r>
      <w:r w:rsidRPr="00DE096C">
        <w:rPr>
          <w:bCs/>
          <w:color w:val="002060"/>
          <w:sz w:val="16"/>
          <w:szCs w:val="16"/>
          <w:lang w:val="en-US" w:bidi="en-US"/>
        </w:rPr>
        <w:t>IV</w:t>
      </w:r>
      <w:r w:rsidRPr="00DE096C">
        <w:rPr>
          <w:bCs/>
          <w:color w:val="002060"/>
          <w:sz w:val="16"/>
          <w:szCs w:val="16"/>
          <w:lang w:bidi="en-US"/>
        </w:rPr>
        <w:t xml:space="preserve"> (всего сорок); завод Терещенко - двадцать Фарман-16 (всего двадцать); Слюсаренко — восемь «Фарман-22бис» (всего восемь). Всего 289 самолетов.</w:t>
      </w:r>
    </w:p>
    <w:p w14:paraId="649E0383" w14:textId="77777777" w:rsidR="00974330" w:rsidRPr="00DE096C" w:rsidRDefault="00974330" w:rsidP="00D45A46">
      <w:pPr>
        <w:jc w:val="both"/>
        <w:rPr>
          <w:bCs/>
          <w:color w:val="002060"/>
          <w:sz w:val="16"/>
          <w:szCs w:val="16"/>
          <w:lang w:bidi="en-US"/>
        </w:rPr>
      </w:pPr>
      <w:r w:rsidRPr="00DE096C">
        <w:rPr>
          <w:bCs/>
          <w:color w:val="002060"/>
          <w:sz w:val="16"/>
          <w:szCs w:val="16"/>
          <w:lang w:bidi="en-US"/>
        </w:rPr>
        <w:lastRenderedPageBreak/>
        <w:t xml:space="preserve">Кроме того, в отчете говорилось, что двенадцать самолетов были заказаны компанией </w:t>
      </w:r>
      <w:r w:rsidRPr="00DE096C">
        <w:rPr>
          <w:bCs/>
          <w:color w:val="002060"/>
          <w:sz w:val="16"/>
          <w:szCs w:val="16"/>
          <w:lang w:val="en-US" w:bidi="en-US"/>
        </w:rPr>
        <w:t>Voisin</w:t>
      </w:r>
      <w:r w:rsidRPr="00DE096C">
        <w:rPr>
          <w:bCs/>
          <w:color w:val="002060"/>
          <w:sz w:val="16"/>
          <w:szCs w:val="16"/>
          <w:lang w:bidi="en-US"/>
        </w:rPr>
        <w:t xml:space="preserve"> во Франции. Шестьдесят других должны быть закуплены через военного атташе во Франции. Сорок из имеющихся 289 вскоре могли быть приняты и отправлены во фронтовые части. Ожидалось, что ежемесячные потери подразделения составят от одной трети до половины его численности, а для покрытия потерь в пределах сорока АО (сейчас 265 самолетов) потребуется от 85 до 128 самолетов в месяц. Отмечалось, что для формирования восьми новых </w:t>
      </w:r>
      <w:r w:rsidRPr="00DE096C">
        <w:rPr>
          <w:bCs/>
          <w:color w:val="002060"/>
          <w:sz w:val="16"/>
          <w:szCs w:val="16"/>
          <w:lang w:bidi="ru-RU"/>
        </w:rPr>
        <w:t xml:space="preserve">К АО </w:t>
      </w:r>
      <w:r w:rsidRPr="00DE096C">
        <w:rPr>
          <w:bCs/>
          <w:color w:val="002060"/>
          <w:sz w:val="16"/>
          <w:szCs w:val="16"/>
          <w:lang w:bidi="en-US"/>
        </w:rPr>
        <w:t>потребуется 32 самолета , плюс еще 10-16 самолетов для покрытия ожидаемых потерь в составе этих частей. В отчете сделан вывод о том, что 365 самолетов, упомянутых ранее в отчете, едва хватило для снабжения Военно-воздушного флота на срок до трех месяцев (23525).</w:t>
      </w:r>
    </w:p>
    <w:p w14:paraId="1CF99CD9" w14:textId="77777777" w:rsidR="00974330" w:rsidRPr="00DE096C" w:rsidRDefault="00974330" w:rsidP="00D45A46">
      <w:pPr>
        <w:jc w:val="both"/>
        <w:rPr>
          <w:bCs/>
          <w:color w:val="002060"/>
          <w:sz w:val="16"/>
          <w:szCs w:val="16"/>
        </w:rPr>
      </w:pPr>
    </w:p>
    <w:p w14:paraId="75388E21" w14:textId="77777777" w:rsidR="004616DD" w:rsidRPr="00DE096C" w:rsidRDefault="004616DD" w:rsidP="00D45A46">
      <w:pPr>
        <w:jc w:val="both"/>
        <w:rPr>
          <w:bCs/>
          <w:i/>
          <w:color w:val="002060"/>
          <w:sz w:val="16"/>
          <w:szCs w:val="16"/>
        </w:rPr>
      </w:pPr>
      <w:r w:rsidRPr="00DE096C">
        <w:rPr>
          <w:bCs/>
          <w:i/>
          <w:color w:val="002060"/>
          <w:sz w:val="16"/>
          <w:szCs w:val="16"/>
        </w:rPr>
        <w:t>Другие оборонные отрасли:</w:t>
      </w:r>
    </w:p>
    <w:p w14:paraId="15B18007" w14:textId="77777777" w:rsidR="004616DD" w:rsidRPr="00DE096C" w:rsidRDefault="004616DD" w:rsidP="00D45A46">
      <w:pPr>
        <w:jc w:val="both"/>
        <w:rPr>
          <w:bCs/>
          <w:i/>
          <w:color w:val="002060"/>
          <w:sz w:val="16"/>
          <w:szCs w:val="16"/>
        </w:rPr>
      </w:pPr>
    </w:p>
    <w:p w14:paraId="55893FB8" w14:textId="744DA90E" w:rsidR="004616DD" w:rsidRPr="00DE096C" w:rsidRDefault="004616DD" w:rsidP="00D45A46">
      <w:pPr>
        <w:jc w:val="both"/>
        <w:rPr>
          <w:bCs/>
          <w:color w:val="002060"/>
          <w:sz w:val="16"/>
          <w:szCs w:val="16"/>
        </w:rPr>
      </w:pPr>
      <w:r w:rsidRPr="00DE096C">
        <w:rPr>
          <w:bCs/>
          <w:color w:val="002060"/>
          <w:sz w:val="16"/>
          <w:szCs w:val="16"/>
        </w:rPr>
        <w:t xml:space="preserve">4 </w:t>
      </w:r>
      <w:r w:rsidR="00C2200E" w:rsidRPr="00DE096C">
        <w:rPr>
          <w:bCs/>
          <w:color w:val="002060"/>
          <w:sz w:val="16"/>
          <w:szCs w:val="16"/>
        </w:rPr>
        <w:t xml:space="preserve">(17) </w:t>
      </w:r>
      <w:r w:rsidRPr="00DE096C">
        <w:rPr>
          <w:bCs/>
          <w:color w:val="002060"/>
          <w:sz w:val="16"/>
          <w:szCs w:val="16"/>
        </w:rPr>
        <w:t>ноября в 1914 году в Петрограде, на Чугунной улице, начало действовать «Российское Акционерное общество Оптического и Механического Производств» (РАООМП). На Чугунной улице в Санкт-Петербурге строится завод, оснащение для которого покупали в фирмах Германии и США. Главный заказчик - военное ведомство России. Основная продукция - прицелы, перископы для подводных лодок, стереотрубы, специальные приборы для военной техники. В 1918 г. предприятие национализируется. Основное производство - кинопроекционная аппаратура, военные приборы для подводных кораблей и воздушного флота, промышленное оптическое стекло и фотоаппараты. В 1921 г. предприятие получает название "Государственный оптический завод" (ГОЗ). Один из самых ответственных заказов - в 1926 г. - двухметровый стереодальномер. В последующие годы ГОЗ производит кино- и фототехнику. В 1930 г. завод выпускает первый советский фотоаппарат - "Фотокор". Предприятие получает новое название: "Государственный оптико-механический завод" (ГОМЗ). В 1930 г. создается Всесоюзное объединение оптико-механической промышленности (ВООМП), техническим директором которого назначен Я. Перепелкин, знаменитый разработчик оптического прицела. К началу 30-х гг. относится и создание Ленинградского завода киноаппаратуры ("Кинап"). Началось сотрудничество ГОМЗ и "Кинапа". 24 июня 1930 года - Начато серийное производство первого советского массового фотоаппарата «Фотокор» (конструкторы – А.В.Павский и А.А.Ворожбит). До 1941 года было выпущено 1 300 000 фотоаппаратов – простых, прочных, надежных. 16 марта 1936 года - Конструктор А.Я.Симановский возглавил группу инженеров, создававшую приборы для авиации. На его счету фотопулеметы, бомбардировочный прицел для бомбометания с больших высот, стрелковые турельные прицелы, прицелы для бомбометания с пикирования, прицел для торпедных атак с малых высот. В 1939 году за создание приборов для ВВС А.Я.Симановский был награжден орденом Красной звезды и именным оружием. 19 июня 1936 года - При астрономических наблюдениях впервые использовались отечественные целостаты – астроприборы, сконструированные и изготовленные на заводе ГОМЗ под руководством конструктора Н.Г.Пономарева. В 1940 году был создан крупнейший в Европе солнечный телескоп; весной 1941 года Н.Г.Пономареву и Д.Д.Максутову была присуждена Сталинская премия. 24 декабря 1959 года - Государственная комиссия комитета по науке и технике положительно оценила работу первого в стране видеомагнитофона «Электрон-2», изготовленного на заводе КИНАП (вошедшего в 1962 году в состав ЛОМО). Главный конструктор видеомагнитофона - М.Г.Шульман. 14 июля 1961 года - Успешно прошла государственные испытания зенитная самоходная установка ЗСУ23-4 («Шилка»). Конструкторы В.Э.Перепеловский, А.Д.Забежинский создали радиолокационный приборный комплекс (РПК), эффективный и надежный. Коллективу разработчиков была присуждена Государственная премия. 26 марта 1965 года - На ЛОМО был создан первый в стране промышленный лазер ГОР-2; в апреле 1966 года был подготовлен лазерный дальномер-прицел 1Д3 для ракетного комплекса «Резеда». Главному конструктору Ю.В.Любавскому была присуждена Государственная премия. 17 апреля 1968 года - На ЛОМО был изготовлен дальномер ДВУ – первый в стране. Главному конструктору Г.А.Леонтьеву в 1980 году присуждена Государственная премия за создание новых приборов для ВМФ. 29 сентября 1964 года - Ракета «воздух-воздух», оснащенная взрывателем Р4 (конструктор М.В.Куликов), успешно поразила цель. В апреле 1965 года комплекс ТУ128-С4 был принят на вооружение. Созданный позднее оптический канал «Аист-2» для ракеты Р-40 (конструкторы Ю.А.Лийский, Г.А.Белонучкин) был весьма эффективным – в 1971 году перехватчик МИГ25П с ракетами Р-40 был принят на вооружение ВВС. 16 февраля 1970 года - На вооружение принят переносной зенитно-ракетный комплекс (ПЗРК) «Стрела-2М». Ведущий конструктор О.А.Артамонов в 1969 году стал Лауреатом государственной премии за разработку ГСН для ПЗРК «Стрела-2». 21 февраля 1956 года - На ГОМЗе было организовано специализированное конструкторское бюро перископостроения. Конструкторы И.А.Шошин, А.А.Дмитриев, П.М.Дианов, А.Я.Симановский, С.В.Горбачев, Е.Ю.Коган создали совершенные приборы для атомного подводного флота – перископы «Лира», «Заря», «Сегмент», «Сигнал», «Лебедь». 5 ноября 1983 года - За создание астрокорректора «Волна» для атомных подводных крейсеров ведущему конструктору В.И.Митину была присуждена Государственная премия СССР. В апреле 2002 года за создание новых образцов техники для ВМФ В.И.Митину была вручена вторая Государственная премия. 30 декабря 1983 года - Государственная комиссия приняла в эксплуатацию Большой Азимутальный телескоп с диаметром главного зеркала 6 метров (БТА) – самый большой телескоп в мире; установлен и запущен в Зеленчукской обсерватории на Кавказе. Главный конструктор телескопа – Баграт Константинович Иоаннисиани, Герой Социалистического труда, Лауреат Ленинской премии. Его именем названа малая планета №2450. 12 апреля 1979 года - Начало создания полуактивной головки самонаведения для управляемого артиллерийского снаряда (система «Краснополь»). За создание новых образцов военной техники главному конструктору Е.Я.Померанцу и заместителю главного инженера В.И.Верхоглазу была присуждена Государственная премия – 28 октября 1987 года. 3 ноября 1984 года - Государственная премия СССР была присуждена О.А.Артамонову и А.М.Чупракову за создание тепловой головки самонаведения для ПЗРК «Игла». В 1993 году комплекс «Игла» был принят на вооружение Советской Армии. 6 июня 1997 года - Выведен на околоземную орбиту спутник слежения с телескопом на борту, изготовленным на ЛОМО (ведущий конструктор – Е.Р.Маламед). 25 июля 2002 года - Выведен на орбиту «Аркон» - спутник слежения с космическим телескопом ЛОМО на борту. Ведущему конструктору Е.Р.Маламеду была присуждена Государственная премия. 13 декабря 1983 года - Были выпущены первые фотоаппараты «ЛОМО-компакт» (контрукторы М.Г.Холомянский, М.П.Биюшкин, Г.Л.Соломыкин, С.Н.Деньдобренко). С 1984 года начался серийный выпуск этих фотокамер. В 1992 году в Вене была организована первая выставка «ломографий» – снимков, сделанных с помощью «ЛОМО-компакта». Было создано Международное Ломографическое общество, которое объединяет более 500 тысyx поклонников "ЛОМО-компакта" в десятках стран мира. 19 апреля 1977 года Начало выпуска на ЛОМО прицельных комплексов 1Г42 «Обь» для танков Т-72 (конструкторы Я.С.Зигман, Л.С.Дозорец, И.Е.Драгунский). Прицельные комплексы «Обь» и «Иртыш» были на вооружении армии более четверти века. 24 июня 1993 года компания была приватизированна. Зарегистрировано открытое акционерное общество "ЛОМО" (14820).</w:t>
      </w:r>
    </w:p>
    <w:p w14:paraId="0D5E5202" w14:textId="77777777" w:rsidR="004616DD" w:rsidRPr="00DE096C" w:rsidRDefault="004616DD" w:rsidP="00D45A46">
      <w:pPr>
        <w:jc w:val="both"/>
        <w:rPr>
          <w:bCs/>
          <w:color w:val="002060"/>
          <w:sz w:val="16"/>
          <w:szCs w:val="16"/>
        </w:rPr>
      </w:pPr>
    </w:p>
    <w:p w14:paraId="375F3407"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 и воздухоплавание Германии:</w:t>
      </w:r>
    </w:p>
    <w:p w14:paraId="5A5BB3D4" w14:textId="77777777" w:rsidR="00B67D7C" w:rsidRPr="00DE096C" w:rsidRDefault="00B67D7C" w:rsidP="00D45A46">
      <w:pPr>
        <w:shd w:val="clear" w:color="auto" w:fill="FFFFFF"/>
        <w:jc w:val="both"/>
        <w:rPr>
          <w:bCs/>
          <w:i/>
          <w:color w:val="002060"/>
          <w:sz w:val="16"/>
          <w:szCs w:val="16"/>
        </w:rPr>
      </w:pPr>
    </w:p>
    <w:p w14:paraId="0B0EAA34" w14:textId="5C524433" w:rsidR="00B67D7C" w:rsidRPr="00DE096C" w:rsidRDefault="00B67D7C" w:rsidP="00D45A46">
      <w:pPr>
        <w:jc w:val="both"/>
        <w:rPr>
          <w:bCs/>
          <w:color w:val="002060"/>
          <w:sz w:val="16"/>
          <w:szCs w:val="16"/>
        </w:rPr>
      </w:pPr>
      <w:r w:rsidRPr="00DE096C">
        <w:rPr>
          <w:bCs/>
          <w:color w:val="002060"/>
          <w:sz w:val="16"/>
          <w:szCs w:val="16"/>
        </w:rPr>
        <w:t xml:space="preserve">5 (18) ноября </w:t>
      </w:r>
      <w:r w:rsidR="00C2200E" w:rsidRPr="00DE096C">
        <w:rPr>
          <w:bCs/>
          <w:color w:val="002060"/>
          <w:sz w:val="16"/>
          <w:szCs w:val="16"/>
        </w:rPr>
        <w:t>1914 г.</w:t>
      </w:r>
      <w:r w:rsidRPr="00DE096C">
        <w:rPr>
          <w:bCs/>
          <w:color w:val="002060"/>
          <w:sz w:val="16"/>
          <w:szCs w:val="16"/>
        </w:rPr>
        <w:t xml:space="preserve"> </w:t>
      </w:r>
      <w:r w:rsidR="00C2200E" w:rsidRPr="00DE096C">
        <w:rPr>
          <w:bCs/>
          <w:color w:val="002060"/>
          <w:sz w:val="16"/>
          <w:szCs w:val="16"/>
        </w:rPr>
        <w:t>г</w:t>
      </w:r>
      <w:r w:rsidRPr="00DE096C">
        <w:rPr>
          <w:bCs/>
          <w:color w:val="002060"/>
          <w:sz w:val="16"/>
          <w:szCs w:val="16"/>
        </w:rPr>
        <w:t>ерманская авиация бомбардирует Амьен и Мондидье (11999).</w:t>
      </w:r>
    </w:p>
    <w:p w14:paraId="4CA44CBB" w14:textId="77777777" w:rsidR="00B67D7C" w:rsidRPr="00DE096C" w:rsidRDefault="00B67D7C" w:rsidP="00D45A46">
      <w:pPr>
        <w:jc w:val="both"/>
        <w:rPr>
          <w:bCs/>
          <w:color w:val="002060"/>
          <w:sz w:val="16"/>
          <w:szCs w:val="16"/>
        </w:rPr>
      </w:pPr>
    </w:p>
    <w:p w14:paraId="5C39F5DB" w14:textId="77777777" w:rsidR="002476B6" w:rsidRPr="00DE096C" w:rsidRDefault="002476B6" w:rsidP="00D45A46">
      <w:pPr>
        <w:jc w:val="both"/>
        <w:rPr>
          <w:bCs/>
          <w:color w:val="002060"/>
          <w:sz w:val="16"/>
          <w:szCs w:val="16"/>
        </w:rPr>
      </w:pPr>
      <w:r w:rsidRPr="00DE096C">
        <w:rPr>
          <w:bCs/>
          <w:color w:val="002060"/>
          <w:sz w:val="16"/>
          <w:szCs w:val="16"/>
        </w:rPr>
        <w:t>5 (18) ноября 1914 Государственный секретарь ВМС Германии адмирал Альфред фон Тирпиц выступая за массированные атаки Цеппелина на Лондон, пишет: «Англичане сейчас боятся Цеппелина, возможно, не без причины ... летающие машины ошибочны; они одиозны, когда поражают и убивают старушек, и к ним привыкаешь. Если [однако] можно было поджечь Лондон в тридцати местах, то то, что в некоторой степени одиозно, ушло бы на пенсию раньше, чем что-нибудь лучше и мощнее" (20337).</w:t>
      </w:r>
    </w:p>
    <w:p w14:paraId="3699C008" w14:textId="77777777" w:rsidR="002476B6" w:rsidRPr="00DE096C" w:rsidRDefault="002476B6" w:rsidP="00D45A46">
      <w:pPr>
        <w:jc w:val="both"/>
        <w:rPr>
          <w:bCs/>
          <w:color w:val="002060"/>
          <w:sz w:val="16"/>
          <w:szCs w:val="16"/>
        </w:rPr>
      </w:pPr>
    </w:p>
    <w:p w14:paraId="5620727B" w14:textId="77777777" w:rsidR="004616DD" w:rsidRPr="00DE096C" w:rsidRDefault="004616DD" w:rsidP="00D45A46">
      <w:pPr>
        <w:jc w:val="both"/>
        <w:rPr>
          <w:bCs/>
          <w:i/>
          <w:color w:val="002060"/>
          <w:sz w:val="16"/>
          <w:szCs w:val="16"/>
        </w:rPr>
      </w:pPr>
      <w:r w:rsidRPr="00DE096C">
        <w:rPr>
          <w:bCs/>
          <w:i/>
          <w:color w:val="002060"/>
          <w:sz w:val="16"/>
          <w:szCs w:val="16"/>
        </w:rPr>
        <w:t>За рубежом:</w:t>
      </w:r>
    </w:p>
    <w:p w14:paraId="35D4BCA4" w14:textId="77777777" w:rsidR="004616DD" w:rsidRPr="00DE096C" w:rsidRDefault="004616DD" w:rsidP="00D45A46">
      <w:pPr>
        <w:jc w:val="both"/>
        <w:rPr>
          <w:bCs/>
          <w:color w:val="002060"/>
          <w:sz w:val="16"/>
          <w:szCs w:val="16"/>
        </w:rPr>
      </w:pPr>
    </w:p>
    <w:p w14:paraId="3D559EE5" w14:textId="77777777" w:rsidR="004616DD" w:rsidRPr="00DE096C" w:rsidRDefault="004616DD" w:rsidP="00D45A46">
      <w:pPr>
        <w:jc w:val="both"/>
        <w:rPr>
          <w:bCs/>
          <w:color w:val="002060"/>
          <w:sz w:val="16"/>
          <w:szCs w:val="16"/>
        </w:rPr>
      </w:pPr>
      <w:r w:rsidRPr="00DE096C">
        <w:rPr>
          <w:bCs/>
          <w:color w:val="002060"/>
          <w:sz w:val="16"/>
          <w:szCs w:val="16"/>
        </w:rPr>
        <w:t>5 (18) ноября в 1914 году французское правительство возвращается в Париж (14834).</w:t>
      </w:r>
    </w:p>
    <w:p w14:paraId="18BD7D54" w14:textId="77777777" w:rsidR="004616DD" w:rsidRPr="00DE096C" w:rsidRDefault="004616DD" w:rsidP="00D45A46">
      <w:pPr>
        <w:jc w:val="both"/>
        <w:rPr>
          <w:bCs/>
          <w:color w:val="002060"/>
          <w:sz w:val="16"/>
          <w:szCs w:val="16"/>
        </w:rPr>
      </w:pPr>
    </w:p>
    <w:p w14:paraId="22B84536" w14:textId="4AB421E9" w:rsidR="002476B6" w:rsidRPr="00DE096C" w:rsidRDefault="002476B6" w:rsidP="00D45A46">
      <w:pPr>
        <w:jc w:val="both"/>
        <w:rPr>
          <w:bCs/>
          <w:i/>
          <w:color w:val="002060"/>
          <w:sz w:val="16"/>
          <w:szCs w:val="16"/>
        </w:rPr>
      </w:pPr>
      <w:r w:rsidRPr="00DE096C">
        <w:rPr>
          <w:bCs/>
          <w:i/>
          <w:color w:val="002060"/>
          <w:sz w:val="16"/>
          <w:szCs w:val="16"/>
        </w:rPr>
        <w:t>Воздухоплавание:</w:t>
      </w:r>
    </w:p>
    <w:p w14:paraId="1243EC6E" w14:textId="77777777" w:rsidR="002476B6" w:rsidRPr="00DE096C" w:rsidRDefault="002476B6" w:rsidP="00D45A46">
      <w:pPr>
        <w:jc w:val="both"/>
        <w:rPr>
          <w:bCs/>
          <w:color w:val="002060"/>
          <w:sz w:val="16"/>
          <w:szCs w:val="16"/>
        </w:rPr>
      </w:pPr>
    </w:p>
    <w:p w14:paraId="1BC9C5B4" w14:textId="365BF258" w:rsidR="002476B6" w:rsidRPr="00DE096C" w:rsidRDefault="002476B6" w:rsidP="00D45A46">
      <w:pPr>
        <w:tabs>
          <w:tab w:val="left" w:pos="519"/>
        </w:tabs>
        <w:jc w:val="both"/>
        <w:rPr>
          <w:bCs/>
          <w:color w:val="002060"/>
          <w:sz w:val="16"/>
          <w:szCs w:val="16"/>
        </w:rPr>
      </w:pPr>
      <w:r w:rsidRPr="00DE096C">
        <w:rPr>
          <w:rStyle w:val="43"/>
          <w:rFonts w:ascii="Times New Roman" w:hAnsi="Times New Roman" w:cs="Times New Roman"/>
          <w:bCs/>
          <w:color w:val="002060"/>
          <w:w w:val="100"/>
          <w:sz w:val="16"/>
          <w:szCs w:val="16"/>
        </w:rPr>
        <w:t xml:space="preserve">6 (19) ноября 1914 во время снежной бури стоявший в овраге дирижабль </w:t>
      </w:r>
      <w:r w:rsidR="00C2200E" w:rsidRPr="00DE096C">
        <w:rPr>
          <w:rStyle w:val="43"/>
          <w:rFonts w:ascii="Times New Roman" w:hAnsi="Times New Roman" w:cs="Times New Roman"/>
          <w:bCs/>
          <w:color w:val="002060"/>
          <w:w w:val="100"/>
          <w:sz w:val="16"/>
          <w:szCs w:val="16"/>
        </w:rPr>
        <w:t>«К</w:t>
      </w:r>
      <w:r w:rsidRPr="00DE096C">
        <w:rPr>
          <w:rStyle w:val="43"/>
          <w:rFonts w:ascii="Times New Roman" w:hAnsi="Times New Roman" w:cs="Times New Roman"/>
          <w:bCs/>
          <w:color w:val="002060"/>
          <w:w w:val="100"/>
          <w:sz w:val="16"/>
          <w:szCs w:val="16"/>
        </w:rPr>
        <w:t>ондор</w:t>
      </w:r>
      <w:r w:rsidR="00C2200E" w:rsidRPr="00DE096C">
        <w:rPr>
          <w:rStyle w:val="43"/>
          <w:rFonts w:ascii="Times New Roman" w:hAnsi="Times New Roman" w:cs="Times New Roman"/>
          <w:bCs/>
          <w:color w:val="002060"/>
          <w:w w:val="100"/>
          <w:sz w:val="16"/>
          <w:szCs w:val="16"/>
        </w:rPr>
        <w:t>»</w:t>
      </w:r>
      <w:r w:rsidRPr="00DE096C">
        <w:rPr>
          <w:rStyle w:val="43"/>
          <w:rFonts w:ascii="Times New Roman" w:hAnsi="Times New Roman" w:cs="Times New Roman"/>
          <w:bCs/>
          <w:color w:val="002060"/>
          <w:w w:val="100"/>
          <w:sz w:val="16"/>
          <w:szCs w:val="16"/>
        </w:rPr>
        <w:t xml:space="preserve"> занесло снегом до такой степени, что газ из его оболочки пришлось вы</w:t>
      </w:r>
      <w:r w:rsidRPr="00DE096C">
        <w:rPr>
          <w:rStyle w:val="43"/>
          <w:rFonts w:ascii="Times New Roman" w:hAnsi="Times New Roman" w:cs="Times New Roman"/>
          <w:bCs/>
          <w:color w:val="002060"/>
          <w:w w:val="100"/>
          <w:sz w:val="16"/>
          <w:szCs w:val="16"/>
        </w:rPr>
        <w:softHyphen/>
        <w:t>пустить. При этом оболочка получила большие разрывы, и её отправили на ТРАРМ для ремонта. В феврале 1915 г. отремонтированный «Кондор» снова наполнили газом в Брест-Литовске. Он вы</w:t>
      </w:r>
      <w:r w:rsidRPr="00DE096C">
        <w:rPr>
          <w:rStyle w:val="43"/>
          <w:rFonts w:ascii="Times New Roman" w:hAnsi="Times New Roman" w:cs="Times New Roman"/>
          <w:bCs/>
          <w:color w:val="002060"/>
          <w:w w:val="100"/>
          <w:sz w:val="16"/>
          <w:szCs w:val="16"/>
        </w:rPr>
        <w:softHyphen/>
        <w:t>полнил несколько учебных полётов, но попытка лететь на фронт из-за тумана закончилась неу</w:t>
      </w:r>
      <w:r w:rsidRPr="00DE096C">
        <w:rPr>
          <w:rStyle w:val="43"/>
          <w:rFonts w:ascii="Times New Roman" w:hAnsi="Times New Roman" w:cs="Times New Roman"/>
          <w:bCs/>
          <w:color w:val="002060"/>
          <w:w w:val="100"/>
          <w:sz w:val="16"/>
          <w:szCs w:val="16"/>
        </w:rPr>
        <w:softHyphen/>
        <w:t>дачей. Из Брест-Литовска «Кондор» перелетел в Бердичев, затратив на это 14 часов, после чего его разоружили (20120).</w:t>
      </w:r>
    </w:p>
    <w:p w14:paraId="26B24F7A" w14:textId="77777777" w:rsidR="002476B6" w:rsidRPr="00DE096C" w:rsidRDefault="002476B6" w:rsidP="00D45A46">
      <w:pPr>
        <w:jc w:val="both"/>
        <w:rPr>
          <w:bCs/>
          <w:color w:val="002060"/>
          <w:sz w:val="16"/>
          <w:szCs w:val="16"/>
        </w:rPr>
      </w:pPr>
    </w:p>
    <w:p w14:paraId="219FC0EE" w14:textId="2EC0F37E" w:rsidR="002476B6" w:rsidRPr="00DE096C" w:rsidRDefault="002476B6" w:rsidP="00D45A46">
      <w:pPr>
        <w:tabs>
          <w:tab w:val="left" w:pos="519"/>
        </w:tabs>
        <w:jc w:val="both"/>
        <w:rPr>
          <w:bCs/>
          <w:color w:val="002060"/>
          <w:sz w:val="16"/>
          <w:szCs w:val="16"/>
        </w:rPr>
      </w:pPr>
      <w:r w:rsidRPr="00DE096C">
        <w:rPr>
          <w:rStyle w:val="43"/>
          <w:rFonts w:ascii="Times New Roman" w:hAnsi="Times New Roman" w:cs="Times New Roman"/>
          <w:bCs/>
          <w:color w:val="002060"/>
          <w:w w:val="100"/>
          <w:sz w:val="16"/>
          <w:szCs w:val="16"/>
        </w:rPr>
        <w:t>6 (19) ноября 1914 во время снежной бури стоявший в овраге дирижабль</w:t>
      </w:r>
      <w:r w:rsidR="0099721D" w:rsidRPr="00DE096C">
        <w:rPr>
          <w:rStyle w:val="43"/>
          <w:rFonts w:ascii="Times New Roman" w:hAnsi="Times New Roman" w:cs="Times New Roman"/>
          <w:bCs/>
          <w:color w:val="002060"/>
          <w:w w:val="100"/>
          <w:sz w:val="16"/>
          <w:szCs w:val="16"/>
        </w:rPr>
        <w:t xml:space="preserve"> «Кондор»</w:t>
      </w:r>
      <w:r w:rsidRPr="00DE096C">
        <w:rPr>
          <w:rStyle w:val="43"/>
          <w:rFonts w:ascii="Times New Roman" w:hAnsi="Times New Roman" w:cs="Times New Roman"/>
          <w:bCs/>
          <w:color w:val="002060"/>
          <w:w w:val="100"/>
          <w:sz w:val="16"/>
          <w:szCs w:val="16"/>
        </w:rPr>
        <w:t xml:space="preserve"> занесло снегом до такой степени, что газ из его оболочки пришлось вы</w:t>
      </w:r>
      <w:r w:rsidRPr="00DE096C">
        <w:rPr>
          <w:rStyle w:val="43"/>
          <w:rFonts w:ascii="Times New Roman" w:hAnsi="Times New Roman" w:cs="Times New Roman"/>
          <w:bCs/>
          <w:color w:val="002060"/>
          <w:w w:val="100"/>
          <w:sz w:val="16"/>
          <w:szCs w:val="16"/>
        </w:rPr>
        <w:softHyphen/>
        <w:t>пустить. При этом оболочка получила большие разрывы, и её отправили на ТРАРМ для ремонта. В феврале 1915 г. отремонтированный «Кондор» снова наполнили газом в Брест-Литовске. Он вы</w:t>
      </w:r>
      <w:r w:rsidRPr="00DE096C">
        <w:rPr>
          <w:rStyle w:val="43"/>
          <w:rFonts w:ascii="Times New Roman" w:hAnsi="Times New Roman" w:cs="Times New Roman"/>
          <w:bCs/>
          <w:color w:val="002060"/>
          <w:w w:val="100"/>
          <w:sz w:val="16"/>
          <w:szCs w:val="16"/>
        </w:rPr>
        <w:softHyphen/>
        <w:t>полнил несколько учебных полётов, но попытка лететь на фронт из-за тумана закончилась неу</w:t>
      </w:r>
      <w:r w:rsidRPr="00DE096C">
        <w:rPr>
          <w:rStyle w:val="43"/>
          <w:rFonts w:ascii="Times New Roman" w:hAnsi="Times New Roman" w:cs="Times New Roman"/>
          <w:bCs/>
          <w:color w:val="002060"/>
          <w:w w:val="100"/>
          <w:sz w:val="16"/>
          <w:szCs w:val="16"/>
        </w:rPr>
        <w:softHyphen/>
        <w:t>дачей. Из Брест-Литовска «Кондор» перелетел в Бердичев, затратив на это 14 часов, после чего его разоружили.</w:t>
      </w:r>
    </w:p>
    <w:p w14:paraId="08B93A7D" w14:textId="77777777" w:rsidR="002476B6" w:rsidRPr="00DE096C" w:rsidRDefault="002476B6" w:rsidP="00D45A46">
      <w:pPr>
        <w:jc w:val="both"/>
        <w:rPr>
          <w:bCs/>
          <w:color w:val="002060"/>
          <w:sz w:val="16"/>
          <w:szCs w:val="16"/>
        </w:rPr>
      </w:pPr>
      <w:r w:rsidRPr="00DE096C">
        <w:rPr>
          <w:rStyle w:val="43"/>
          <w:rFonts w:ascii="Times New Roman" w:hAnsi="Times New Roman" w:cs="Times New Roman"/>
          <w:bCs/>
          <w:color w:val="002060"/>
          <w:w w:val="100"/>
          <w:sz w:val="16"/>
          <w:szCs w:val="16"/>
        </w:rPr>
        <w:t>Одновременно для стоянки «Кондора» из Луцка во Львов перевезли разборный эллинг. Перенос эллинга на новое место осуществлялся с большими трудностями. Работы по его разбор</w:t>
      </w:r>
      <w:r w:rsidRPr="00DE096C">
        <w:rPr>
          <w:rStyle w:val="43"/>
          <w:rFonts w:ascii="Times New Roman" w:hAnsi="Times New Roman" w:cs="Times New Roman"/>
          <w:bCs/>
          <w:color w:val="002060"/>
          <w:w w:val="100"/>
          <w:sz w:val="16"/>
          <w:szCs w:val="16"/>
        </w:rPr>
        <w:softHyphen/>
        <w:t>ке 2-я воздухоплавательная рота начала 3 ноя</w:t>
      </w:r>
      <w:r w:rsidRPr="00DE096C">
        <w:rPr>
          <w:rStyle w:val="43"/>
          <w:rFonts w:ascii="Times New Roman" w:hAnsi="Times New Roman" w:cs="Times New Roman"/>
          <w:bCs/>
          <w:color w:val="002060"/>
          <w:w w:val="100"/>
          <w:sz w:val="16"/>
          <w:szCs w:val="16"/>
        </w:rPr>
        <w:softHyphen/>
        <w:t>бря 1914 г. Вследствие сильных морозов металл стал хрупким. От этого сломался крюк стяжного домкрата, и эллинг обрушился. При этом погиб рядовой Целинский, а трое солдат и двое рабо</w:t>
      </w:r>
      <w:r w:rsidRPr="00DE096C">
        <w:rPr>
          <w:rStyle w:val="43"/>
          <w:rFonts w:ascii="Times New Roman" w:hAnsi="Times New Roman" w:cs="Times New Roman"/>
          <w:bCs/>
          <w:color w:val="002060"/>
          <w:w w:val="100"/>
          <w:sz w:val="16"/>
          <w:szCs w:val="16"/>
        </w:rPr>
        <w:softHyphen/>
        <w:t>чих получили ушибы. Значительная часть (40%) металлоконструкций эллинга была повреждена.</w:t>
      </w:r>
    </w:p>
    <w:p w14:paraId="45058096" w14:textId="77777777" w:rsidR="002476B6" w:rsidRPr="00DE096C" w:rsidRDefault="002476B6" w:rsidP="00D45A46">
      <w:pPr>
        <w:jc w:val="both"/>
        <w:rPr>
          <w:rStyle w:val="43"/>
          <w:rFonts w:ascii="Times New Roman" w:hAnsi="Times New Roman" w:cs="Times New Roman"/>
          <w:bCs/>
          <w:color w:val="002060"/>
          <w:w w:val="100"/>
          <w:sz w:val="16"/>
          <w:szCs w:val="16"/>
        </w:rPr>
      </w:pPr>
      <w:r w:rsidRPr="00DE096C">
        <w:rPr>
          <w:rStyle w:val="43"/>
          <w:rFonts w:ascii="Times New Roman" w:hAnsi="Times New Roman" w:cs="Times New Roman"/>
          <w:bCs/>
          <w:color w:val="002060"/>
          <w:w w:val="100"/>
          <w:sz w:val="16"/>
          <w:szCs w:val="16"/>
        </w:rPr>
        <w:t>24 декабря все части эллинга доставили во Львов, а 1 января 1915 г. началась его установка на уже готовый фундамент. Командир 2-й воздухоплавательной роты подполковник М.В. Агапов докладывал Авиаканцу: «Снежные заносы, обледенелость железных ферм и недостаточное коли</w:t>
      </w:r>
      <w:r w:rsidRPr="00DE096C">
        <w:rPr>
          <w:rStyle w:val="43"/>
          <w:rFonts w:ascii="Times New Roman" w:hAnsi="Times New Roman" w:cs="Times New Roman"/>
          <w:bCs/>
          <w:color w:val="002060"/>
          <w:w w:val="100"/>
          <w:sz w:val="16"/>
          <w:szCs w:val="16"/>
        </w:rPr>
        <w:softHyphen/>
        <w:t xml:space="preserve">чество опытных специалистов-рабочих </w:t>
      </w:r>
      <w:r w:rsidRPr="00DE096C">
        <w:rPr>
          <w:rStyle w:val="43"/>
          <w:rFonts w:ascii="Times New Roman" w:hAnsi="Times New Roman" w:cs="Times New Roman"/>
          <w:bCs/>
          <w:color w:val="002060"/>
          <w:w w:val="100"/>
          <w:sz w:val="16"/>
          <w:szCs w:val="16"/>
        </w:rPr>
        <w:lastRenderedPageBreak/>
        <w:t>крайне задерживает быстрое проведение работ. Все за</w:t>
      </w:r>
      <w:r w:rsidRPr="00DE096C">
        <w:rPr>
          <w:rStyle w:val="43"/>
          <w:rFonts w:ascii="Times New Roman" w:hAnsi="Times New Roman" w:cs="Times New Roman"/>
          <w:bCs/>
          <w:color w:val="002060"/>
          <w:w w:val="100"/>
          <w:sz w:val="16"/>
          <w:szCs w:val="16"/>
        </w:rPr>
        <w:softHyphen/>
        <w:t>висящие меры принимаются»62. Повреждённые фермы отремонтировали в железнодорожных мастерских Львова, и к лету эллинг установили. Но при эвакуации Львова 9 июня 1915 г. эллинг пришлось взорвать (20120).</w:t>
      </w:r>
    </w:p>
    <w:p w14:paraId="7F22D6A7" w14:textId="77777777" w:rsidR="002476B6" w:rsidRPr="00DE096C" w:rsidRDefault="002476B6" w:rsidP="00D45A46">
      <w:pPr>
        <w:jc w:val="both"/>
        <w:rPr>
          <w:bCs/>
          <w:color w:val="002060"/>
          <w:sz w:val="16"/>
          <w:szCs w:val="16"/>
        </w:rPr>
      </w:pPr>
    </w:p>
    <w:p w14:paraId="387DB397" w14:textId="77777777" w:rsidR="004616DD" w:rsidRPr="00DE096C" w:rsidRDefault="004616DD" w:rsidP="00D45A46">
      <w:pPr>
        <w:jc w:val="both"/>
        <w:rPr>
          <w:bCs/>
          <w:i/>
          <w:color w:val="002060"/>
          <w:sz w:val="16"/>
          <w:szCs w:val="16"/>
        </w:rPr>
      </w:pPr>
      <w:r w:rsidRPr="00DE096C">
        <w:rPr>
          <w:bCs/>
          <w:i/>
          <w:color w:val="002060"/>
          <w:sz w:val="16"/>
          <w:szCs w:val="16"/>
        </w:rPr>
        <w:t>Другие оборонные отрасли:</w:t>
      </w:r>
    </w:p>
    <w:p w14:paraId="495F8AE9" w14:textId="77777777" w:rsidR="004616DD" w:rsidRPr="00DE096C" w:rsidRDefault="004616DD" w:rsidP="00D45A46">
      <w:pPr>
        <w:jc w:val="both"/>
        <w:rPr>
          <w:bCs/>
          <w:i/>
          <w:color w:val="002060"/>
          <w:sz w:val="16"/>
          <w:szCs w:val="16"/>
        </w:rPr>
      </w:pPr>
    </w:p>
    <w:p w14:paraId="7160EB6D" w14:textId="70109048" w:rsidR="004616DD" w:rsidRPr="00DE096C" w:rsidRDefault="004616DD" w:rsidP="00D45A46">
      <w:pPr>
        <w:pStyle w:val="ae"/>
        <w:spacing w:before="0" w:beforeAutospacing="0" w:after="0" w:afterAutospacing="0"/>
        <w:jc w:val="both"/>
        <w:rPr>
          <w:bCs/>
          <w:color w:val="002060"/>
          <w:sz w:val="16"/>
          <w:szCs w:val="16"/>
        </w:rPr>
      </w:pPr>
      <w:r w:rsidRPr="00DE096C">
        <w:rPr>
          <w:bCs/>
          <w:color w:val="002060"/>
          <w:sz w:val="16"/>
          <w:szCs w:val="16"/>
        </w:rPr>
        <w:t xml:space="preserve">7 </w:t>
      </w:r>
      <w:r w:rsidR="0099721D" w:rsidRPr="00DE096C">
        <w:rPr>
          <w:bCs/>
          <w:color w:val="002060"/>
          <w:sz w:val="16"/>
          <w:szCs w:val="16"/>
        </w:rPr>
        <w:t xml:space="preserve">(20) </w:t>
      </w:r>
      <w:r w:rsidRPr="00DE096C">
        <w:rPr>
          <w:bCs/>
          <w:color w:val="002060"/>
          <w:sz w:val="16"/>
          <w:szCs w:val="16"/>
        </w:rPr>
        <w:t>декабря 1914-го Ходынская радиостанция вступила в строй, Царскосельская – 28 января 1915-го, а Тверская – 11 ноября 1914 года.</w:t>
      </w:r>
    </w:p>
    <w:p w14:paraId="2E34AC2F" w14:textId="77777777" w:rsidR="004616DD" w:rsidRPr="00DE096C" w:rsidRDefault="004616DD" w:rsidP="00D45A46">
      <w:pPr>
        <w:pStyle w:val="ae"/>
        <w:spacing w:before="0" w:beforeAutospacing="0" w:after="0" w:afterAutospacing="0"/>
        <w:jc w:val="both"/>
        <w:rPr>
          <w:bCs/>
          <w:color w:val="002060"/>
          <w:sz w:val="16"/>
          <w:szCs w:val="16"/>
        </w:rPr>
      </w:pPr>
      <w:r w:rsidRPr="00DE096C">
        <w:rPr>
          <w:bCs/>
          <w:color w:val="002060"/>
          <w:sz w:val="16"/>
          <w:szCs w:val="16"/>
        </w:rPr>
        <w:t>Помимо собственно радиотехнических аппаратов, устройств и приборов, РОБТиТ обязан был построить целый городок для размещения в теплых зданиях приемной станции, машинного отделения, кочегарки, ремонтной мастерской, а также здание для передающей станции, агрегатное отделение и два аккумуляторных флигеля. В обязанности РОБТиТ входило устройство колодцев и линий водопровода длиною около двух верст, электроосвещения, градирни для охлаждения двигателей, обеспечение всех помещений противопожарным инвентарем. И, наконец, вся территория должна была быть обнесена надежным ограждением, освещаться прожекторами, а в машинном отделении предписывалось соорудить склад топлива на 10 тыс. пудов нефти.</w:t>
      </w:r>
    </w:p>
    <w:p w14:paraId="35BE5D05" w14:textId="77777777" w:rsidR="004616DD" w:rsidRPr="00DE096C" w:rsidRDefault="004616DD" w:rsidP="00D45A46">
      <w:pPr>
        <w:pStyle w:val="ae"/>
        <w:spacing w:before="0" w:beforeAutospacing="0" w:after="0" w:afterAutospacing="0"/>
        <w:jc w:val="both"/>
        <w:rPr>
          <w:bCs/>
          <w:color w:val="002060"/>
          <w:sz w:val="16"/>
          <w:szCs w:val="16"/>
        </w:rPr>
      </w:pPr>
      <w:r w:rsidRPr="00DE096C">
        <w:rPr>
          <w:bCs/>
          <w:color w:val="002060"/>
          <w:sz w:val="16"/>
          <w:szCs w:val="16"/>
        </w:rPr>
        <w:t>Ходынская искровая радиостанция передавала информацию на радиоволнах 7000, 9000 и 11 000 метров. Передатчик Царскосельской радиостанции работал на волнах 5000, 7000 и 900 метров. Передатчики были приспособлены для работы, как ключом, так и машинным автоматом (трансмиттером Уинстона). Автоматы и другие приборы допускали скорость передачи 70 слов в минуту. Радиостанции позволяли российскому Генеральному штабу поддерживать связь с союзниками из состава Антанты, находившимися в Париже, Корнарвоне (Уэльс, Великобритания), а также Римом и Науэном. Помимо этих радиостанций с июля 1914 года начала регулярную работу по поддержанию связи с союзниками и заводская радиостанция РОБТиТ. Сюда для несения службы были направлены специалисты офицерской электротехнической школы.</w:t>
      </w:r>
    </w:p>
    <w:p w14:paraId="63034967" w14:textId="77777777" w:rsidR="004616DD" w:rsidRPr="00DE096C" w:rsidRDefault="004616DD" w:rsidP="00D45A46">
      <w:pPr>
        <w:pStyle w:val="ae"/>
        <w:spacing w:before="0" w:beforeAutospacing="0" w:after="0" w:afterAutospacing="0"/>
        <w:jc w:val="both"/>
        <w:rPr>
          <w:bCs/>
          <w:color w:val="002060"/>
          <w:sz w:val="16"/>
          <w:szCs w:val="16"/>
        </w:rPr>
      </w:pPr>
      <w:r w:rsidRPr="00DE096C">
        <w:rPr>
          <w:bCs/>
          <w:color w:val="002060"/>
          <w:sz w:val="16"/>
          <w:szCs w:val="16"/>
        </w:rPr>
        <w:t>Специальная радиостанция в Твери в основном осуществляла прием сообщений заграничных радиоцентров, в связи с чем получила название «Тверская радиостанция международных сношений». Прием радиосообщений производился круглые сутки в течение всего года в диапазоне волн от 400 до 10 000 метров. Удаление пунктов передачи и приема радиограмм друг от друга имело целью снизить влияние помех от работы мощных искровых передатчиков при приеме радиограмм. Надо отметить, что приемные антенны больших размеров, установленные в Твери, действительно давали возможность принимать слабые сигналы удаленных станций, однако они гораздо интенсивнее принимали шум от грозовых разрядов и индустриальных помех.</w:t>
      </w:r>
    </w:p>
    <w:p w14:paraId="1023E44A" w14:textId="77777777" w:rsidR="004616DD" w:rsidRPr="00DE096C" w:rsidRDefault="004616DD" w:rsidP="00D45A46">
      <w:pPr>
        <w:pStyle w:val="ae"/>
        <w:spacing w:before="0" w:beforeAutospacing="0" w:after="0" w:afterAutospacing="0"/>
        <w:jc w:val="both"/>
        <w:rPr>
          <w:bCs/>
          <w:color w:val="002060"/>
          <w:sz w:val="16"/>
          <w:szCs w:val="16"/>
        </w:rPr>
      </w:pPr>
      <w:r w:rsidRPr="00DE096C">
        <w:rPr>
          <w:bCs/>
          <w:color w:val="002060"/>
          <w:sz w:val="16"/>
          <w:szCs w:val="16"/>
        </w:rPr>
        <w:t>Отсюда понятно, какое значение для обеспечения надежности связи приобрел переход на прием дальних радиосигналов с помощью электронных усилителей на французских радиолампах типа «P» (лампа Пери) с прослушиванием через телефонные наушники. Эти лампы в отличие от газонаполненных изготовлялись по технологии с высоким вакуумом, разработанной к 1916 г., оказались исключительно надежными в работе и более долговечными. Электронные лампы позволили во много раз усиливать слабые сигналы, выделенные с помощью острой настройки среди всевозможных помех. При необходимости радиосигналы могли быть зафиксированы на телеграфную ленту или записаны на фонограф. Принятые радиограммы затем с помощью аппаратов Морзе передавались в Москву и Царское Село (15736).</w:t>
      </w:r>
    </w:p>
    <w:p w14:paraId="4BF9A5A0" w14:textId="77777777" w:rsidR="004616DD" w:rsidRPr="00DE096C" w:rsidRDefault="004616DD" w:rsidP="00D45A46">
      <w:pPr>
        <w:pStyle w:val="ae"/>
        <w:spacing w:before="0" w:beforeAutospacing="0" w:after="0" w:afterAutospacing="0"/>
        <w:jc w:val="both"/>
        <w:rPr>
          <w:bCs/>
          <w:color w:val="002060"/>
          <w:sz w:val="16"/>
          <w:szCs w:val="16"/>
        </w:rPr>
      </w:pPr>
    </w:p>
    <w:p w14:paraId="09ADB1B3" w14:textId="429D49B6" w:rsidR="00974330" w:rsidRPr="00DE096C" w:rsidRDefault="00974330" w:rsidP="00D45A46">
      <w:pPr>
        <w:shd w:val="clear" w:color="auto" w:fill="FFFFFF"/>
        <w:jc w:val="both"/>
        <w:rPr>
          <w:bCs/>
          <w:i/>
          <w:color w:val="002060"/>
          <w:sz w:val="16"/>
          <w:szCs w:val="16"/>
        </w:rPr>
      </w:pPr>
      <w:r w:rsidRPr="00DE096C">
        <w:rPr>
          <w:bCs/>
          <w:i/>
          <w:color w:val="002060"/>
          <w:sz w:val="16"/>
          <w:szCs w:val="16"/>
        </w:rPr>
        <w:t>Авиация:</w:t>
      </w:r>
    </w:p>
    <w:p w14:paraId="3B24C542" w14:textId="77777777" w:rsidR="00974330" w:rsidRPr="00DE096C" w:rsidRDefault="00974330" w:rsidP="00D45A46">
      <w:pPr>
        <w:shd w:val="clear" w:color="auto" w:fill="FFFFFF"/>
        <w:jc w:val="both"/>
        <w:rPr>
          <w:bCs/>
          <w:i/>
          <w:color w:val="002060"/>
          <w:sz w:val="16"/>
          <w:szCs w:val="16"/>
        </w:rPr>
      </w:pPr>
    </w:p>
    <w:p w14:paraId="0CB0532A" w14:textId="6ED5559F" w:rsidR="00974330" w:rsidRPr="00DE096C" w:rsidRDefault="00974330" w:rsidP="00D45A46">
      <w:pPr>
        <w:jc w:val="both"/>
        <w:rPr>
          <w:bCs/>
          <w:color w:val="002060"/>
          <w:sz w:val="16"/>
          <w:szCs w:val="16"/>
        </w:rPr>
      </w:pPr>
      <w:bookmarkStart w:id="199" w:name="bookmark52"/>
      <w:r w:rsidRPr="00DE096C">
        <w:rPr>
          <w:bCs/>
          <w:color w:val="002060"/>
          <w:sz w:val="16"/>
          <w:szCs w:val="16"/>
        </w:rPr>
        <w:t>7 (20) ноября 1914 г. в окрестностях Петрокова состоялся воздушный бой, в котором участвовали несколько русских и один германский летательные аппараты. Вскоре последний был сбит и разбился об землю, его экипаж погиб (23405).</w:t>
      </w:r>
      <w:bookmarkEnd w:id="199"/>
    </w:p>
    <w:p w14:paraId="63733218" w14:textId="77777777" w:rsidR="00974330" w:rsidRPr="00DE096C" w:rsidRDefault="00974330" w:rsidP="00D45A46">
      <w:pPr>
        <w:jc w:val="both"/>
        <w:rPr>
          <w:bCs/>
          <w:color w:val="002060"/>
          <w:sz w:val="16"/>
          <w:szCs w:val="16"/>
        </w:rPr>
      </w:pPr>
    </w:p>
    <w:p w14:paraId="06048E1A" w14:textId="77777777" w:rsidR="00875887" w:rsidRPr="00B52707" w:rsidRDefault="00875887" w:rsidP="00875887">
      <w:pPr>
        <w:jc w:val="both"/>
        <w:rPr>
          <w:color w:val="0070C0"/>
          <w:sz w:val="16"/>
          <w:szCs w:val="16"/>
        </w:rPr>
      </w:pPr>
      <w:r w:rsidRPr="00B52707">
        <w:rPr>
          <w:color w:val="0070C0"/>
          <w:sz w:val="16"/>
          <w:szCs w:val="16"/>
        </w:rPr>
        <w:t>7 (20) ноября 1914 года в. к. Александр Ми</w:t>
      </w:r>
      <w:r w:rsidRPr="00B52707">
        <w:rPr>
          <w:color w:val="0070C0"/>
          <w:sz w:val="16"/>
          <w:szCs w:val="16"/>
        </w:rPr>
        <w:softHyphen/>
        <w:t>хайлович отправил на имя начальника штаба верховного главнокомандующего сообщение следую</w:t>
      </w:r>
      <w:r w:rsidRPr="00B52707">
        <w:rPr>
          <w:color w:val="0070C0"/>
          <w:sz w:val="16"/>
          <w:szCs w:val="16"/>
        </w:rPr>
        <w:softHyphen/>
        <w:t>щего содержания: «Для моторов авиационных частей бен</w:t>
      </w:r>
      <w:r w:rsidRPr="00B52707">
        <w:rPr>
          <w:color w:val="0070C0"/>
          <w:sz w:val="16"/>
          <w:szCs w:val="16"/>
        </w:rPr>
        <w:softHyphen/>
        <w:t>зин доставляется фирмою бр. Нобель через посредст во ГВТУ. Так как, по заявлению летчиков, означенный бензин по своим качествам не соответствовал предъявляемым требова</w:t>
      </w:r>
      <w:r w:rsidRPr="00B52707">
        <w:rPr>
          <w:color w:val="0070C0"/>
          <w:sz w:val="16"/>
          <w:szCs w:val="16"/>
        </w:rPr>
        <w:softHyphen/>
        <w:t>ниям, не давая полной работы мотора, засоряя его и при</w:t>
      </w:r>
      <w:r w:rsidRPr="00B52707">
        <w:rPr>
          <w:color w:val="0070C0"/>
          <w:sz w:val="16"/>
          <w:szCs w:val="16"/>
        </w:rPr>
        <w:softHyphen/>
        <w:t>водя к порче, что может влечь за собой гибельные послед</w:t>
      </w:r>
      <w:r w:rsidRPr="00B52707">
        <w:rPr>
          <w:color w:val="0070C0"/>
          <w:sz w:val="16"/>
          <w:szCs w:val="16"/>
        </w:rPr>
        <w:softHyphen/>
        <w:t>ствия, то я приказал изыскать способы для очистки этого бензина. Командиру 3-й авиационной роты удалось войти в соглашение с управляющим акцизными сборами Киевской губернии, и для упомянутой цели роте был предоставлен Киевский ректификационный завод. Работы по очистке производились заведывающим химической лабораторией за</w:t>
      </w:r>
      <w:r w:rsidRPr="00B52707">
        <w:rPr>
          <w:color w:val="0070C0"/>
          <w:sz w:val="16"/>
          <w:szCs w:val="16"/>
        </w:rPr>
        <w:softHyphen/>
        <w:t>вода и представителями роты в присутствии экспертов: ди</w:t>
      </w:r>
      <w:r w:rsidRPr="00B52707">
        <w:rPr>
          <w:color w:val="0070C0"/>
          <w:sz w:val="16"/>
          <w:szCs w:val="16"/>
        </w:rPr>
        <w:softHyphen/>
        <w:t>ректора Киевского политехнического института, профессо</w:t>
      </w:r>
      <w:r w:rsidRPr="00B52707">
        <w:rPr>
          <w:color w:val="0070C0"/>
          <w:sz w:val="16"/>
          <w:szCs w:val="16"/>
        </w:rPr>
        <w:softHyphen/>
        <w:t>ров Жукова, профессоров Ижевского и Красусского и пре</w:t>
      </w:r>
      <w:r w:rsidRPr="00B52707">
        <w:rPr>
          <w:color w:val="0070C0"/>
          <w:sz w:val="16"/>
          <w:szCs w:val="16"/>
        </w:rPr>
        <w:softHyphen/>
        <w:t>подавателя Линдемана. При перегонке выяснилось, как то видно из составленных актов, что доставленный фирмою бр. Нобель бензин 1-го сорта имеет значительную примесь воды, и, несмотря на легкий удельный вес — 0,700, нехорош, так как установлено, что он получен смешением тяжелого с очень легкими частями, чем и достигался требуемый удельный вес;</w:t>
      </w:r>
    </w:p>
    <w:p w14:paraId="77CC3DD4" w14:textId="77777777" w:rsidR="00875887" w:rsidRPr="00B52707" w:rsidRDefault="00875887" w:rsidP="00875887">
      <w:pPr>
        <w:jc w:val="both"/>
        <w:rPr>
          <w:color w:val="0070C0"/>
          <w:sz w:val="16"/>
          <w:szCs w:val="16"/>
        </w:rPr>
      </w:pPr>
      <w:r w:rsidRPr="00B52707">
        <w:rPr>
          <w:color w:val="0070C0"/>
          <w:sz w:val="16"/>
          <w:szCs w:val="16"/>
        </w:rPr>
        <w:t>•— Прилагая при сем переписку, которой устанавливается виновность фирмы бр. Нобель в доставлении фальсифици</w:t>
      </w:r>
      <w:r w:rsidRPr="00B52707">
        <w:rPr>
          <w:color w:val="0070C0"/>
          <w:sz w:val="16"/>
          <w:szCs w:val="16"/>
        </w:rPr>
        <w:softHyphen/>
        <w:t>рованного авиационного бензина, который в том виде, как он поставлен, должен влечь порчу моторов и тем причи</w:t>
      </w:r>
      <w:r w:rsidRPr="00B52707">
        <w:rPr>
          <w:color w:val="0070C0"/>
          <w:sz w:val="16"/>
          <w:szCs w:val="16"/>
        </w:rPr>
        <w:softHyphen/>
        <w:t>нять вред нашим военным силам, прошу о докладе сего дела верховному главнокомандующему с моим ходатайством о привлечении означенной фирмы к строгой ответствен</w:t>
      </w:r>
      <w:r w:rsidRPr="00B52707">
        <w:rPr>
          <w:color w:val="0070C0"/>
          <w:sz w:val="16"/>
          <w:szCs w:val="16"/>
        </w:rPr>
        <w:softHyphen/>
        <w:t>ности по закону военного времени за это деяние, явно пре</w:t>
      </w:r>
      <w:r w:rsidRPr="00B52707">
        <w:rPr>
          <w:color w:val="0070C0"/>
          <w:sz w:val="16"/>
          <w:szCs w:val="16"/>
        </w:rPr>
        <w:softHyphen/>
        <w:t>думышленного характера».</w:t>
      </w:r>
    </w:p>
    <w:p w14:paraId="716CEBAB" w14:textId="77777777" w:rsidR="00875887" w:rsidRPr="00B52707" w:rsidRDefault="00875887" w:rsidP="00875887">
      <w:pPr>
        <w:jc w:val="both"/>
        <w:rPr>
          <w:color w:val="0070C0"/>
          <w:sz w:val="16"/>
          <w:szCs w:val="16"/>
        </w:rPr>
      </w:pPr>
      <w:r w:rsidRPr="00B52707">
        <w:rPr>
          <w:color w:val="0070C0"/>
          <w:sz w:val="16"/>
          <w:szCs w:val="16"/>
        </w:rPr>
        <w:t>Вследствие этого, переписка по делу о снабжении авиа</w:t>
      </w:r>
      <w:r w:rsidRPr="00B52707">
        <w:rPr>
          <w:color w:val="0070C0"/>
          <w:sz w:val="16"/>
          <w:szCs w:val="16"/>
        </w:rPr>
        <w:softHyphen/>
        <w:t>ционных частей непригодным для целей авиации бензином направлена была к судебному следователю Петроградского Окружного Суда по особо важным делам, который и при</w:t>
      </w:r>
      <w:r w:rsidRPr="00B52707">
        <w:rPr>
          <w:color w:val="0070C0"/>
          <w:sz w:val="16"/>
          <w:szCs w:val="16"/>
        </w:rPr>
        <w:softHyphen/>
        <w:t>нял это дело к своему производству.</w:t>
      </w:r>
    </w:p>
    <w:p w14:paraId="7A99F07C" w14:textId="77777777" w:rsidR="00875887" w:rsidRPr="00B52707" w:rsidRDefault="00875887" w:rsidP="00875887">
      <w:pPr>
        <w:jc w:val="both"/>
        <w:rPr>
          <w:color w:val="0070C0"/>
          <w:sz w:val="16"/>
          <w:szCs w:val="16"/>
        </w:rPr>
      </w:pPr>
      <w:r w:rsidRPr="00B52707">
        <w:rPr>
          <w:color w:val="0070C0"/>
          <w:sz w:val="16"/>
          <w:szCs w:val="16"/>
        </w:rPr>
        <w:t>Следователем, путем соответствующих запросов, были собраны сведения о каче</w:t>
      </w:r>
      <w:r w:rsidRPr="00B52707">
        <w:rPr>
          <w:color w:val="0070C0"/>
          <w:sz w:val="16"/>
          <w:szCs w:val="16"/>
        </w:rPr>
        <w:softHyphen/>
        <w:t>ствах бензина, отправленного на фронт из Петрограда со скадов товарищества бр. Нобель, так и о качествах бензина, полученного авиационными частями из г. Грозного.</w:t>
      </w:r>
    </w:p>
    <w:p w14:paraId="7EABBE81" w14:textId="77777777" w:rsidR="00875887" w:rsidRPr="00B52707" w:rsidRDefault="00875887" w:rsidP="00875887">
      <w:pPr>
        <w:jc w:val="both"/>
        <w:rPr>
          <w:color w:val="0070C0"/>
          <w:sz w:val="16"/>
          <w:szCs w:val="16"/>
        </w:rPr>
      </w:pPr>
      <w:r w:rsidRPr="00B52707">
        <w:rPr>
          <w:color w:val="0070C0"/>
          <w:sz w:val="16"/>
          <w:szCs w:val="16"/>
        </w:rPr>
        <w:t>По этим сведениям качества того и другого бензина оказались различными. По отзывам начальников 26 и 28 корпусных авиационных отрядов, Новогеоргиевского кре</w:t>
      </w:r>
      <w:r w:rsidRPr="00B52707">
        <w:rPr>
          <w:color w:val="0070C0"/>
          <w:sz w:val="16"/>
          <w:szCs w:val="16"/>
        </w:rPr>
        <w:softHyphen/>
        <w:t>постного авиационного отряда, командира 2-й авиационной роты и заведывающего складом 5-й авиациолной роты бен</w:t>
      </w:r>
      <w:r w:rsidRPr="00B52707">
        <w:rPr>
          <w:color w:val="0070C0"/>
          <w:sz w:val="16"/>
          <w:szCs w:val="16"/>
        </w:rPr>
        <w:softHyphen/>
        <w:t>зин, полученный из Петрограда со складов бр. Нобель, ока</w:t>
      </w:r>
      <w:r w:rsidRPr="00B52707">
        <w:rPr>
          <w:color w:val="0070C0"/>
          <w:sz w:val="16"/>
          <w:szCs w:val="16"/>
        </w:rPr>
        <w:softHyphen/>
        <w:t>зался годным лишь для автомобилей, но не для авиацион</w:t>
      </w:r>
      <w:r w:rsidRPr="00B52707">
        <w:rPr>
          <w:color w:val="0070C0"/>
          <w:sz w:val="16"/>
          <w:szCs w:val="16"/>
        </w:rPr>
        <w:softHyphen/>
        <w:t>ных двигателей.</w:t>
      </w:r>
    </w:p>
    <w:p w14:paraId="1DB845A3" w14:textId="77777777" w:rsidR="00875887" w:rsidRPr="00B52707" w:rsidRDefault="00875887" w:rsidP="00875887">
      <w:pPr>
        <w:jc w:val="both"/>
        <w:rPr>
          <w:color w:val="0070C0"/>
          <w:sz w:val="16"/>
          <w:szCs w:val="16"/>
        </w:rPr>
      </w:pPr>
      <w:r w:rsidRPr="00B52707">
        <w:rPr>
          <w:color w:val="0070C0"/>
          <w:sz w:val="16"/>
          <w:szCs w:val="16"/>
        </w:rPr>
        <w:t>Ч.Дело это было прекращено, в виду отсутствия в действиях т-ва бр. Нобель признаков какого-либо преступления (24923).</w:t>
      </w:r>
    </w:p>
    <w:p w14:paraId="415451E9" w14:textId="77777777" w:rsidR="00875887" w:rsidRPr="00B52707" w:rsidRDefault="00875887" w:rsidP="00875887">
      <w:pPr>
        <w:jc w:val="both"/>
        <w:rPr>
          <w:color w:val="0070C0"/>
          <w:sz w:val="16"/>
          <w:szCs w:val="16"/>
        </w:rPr>
      </w:pPr>
    </w:p>
    <w:p w14:paraId="00E24A12" w14:textId="77777777" w:rsidR="00974330" w:rsidRPr="00DE096C" w:rsidRDefault="00974330" w:rsidP="00D45A46">
      <w:pPr>
        <w:pStyle w:val="a3"/>
        <w:jc w:val="both"/>
        <w:rPr>
          <w:bCs/>
          <w:color w:val="002060"/>
          <w:spacing w:val="0"/>
          <w:kern w:val="0"/>
          <w:position w:val="0"/>
          <w:sz w:val="16"/>
          <w:szCs w:val="16"/>
        </w:rPr>
      </w:pPr>
      <w:r w:rsidRPr="00DE096C">
        <w:rPr>
          <w:bCs/>
          <w:color w:val="002060"/>
          <w:spacing w:val="0"/>
          <w:kern w:val="0"/>
          <w:position w:val="0"/>
          <w:sz w:val="16"/>
          <w:szCs w:val="16"/>
        </w:rPr>
        <w:t>Самолетостроение:</w:t>
      </w:r>
    </w:p>
    <w:p w14:paraId="04404865" w14:textId="77777777" w:rsidR="00974330" w:rsidRPr="00DE096C" w:rsidRDefault="00974330" w:rsidP="00D45A46">
      <w:pPr>
        <w:pStyle w:val="a3"/>
        <w:jc w:val="both"/>
        <w:rPr>
          <w:bCs/>
          <w:color w:val="002060"/>
          <w:spacing w:val="0"/>
          <w:kern w:val="0"/>
          <w:position w:val="0"/>
          <w:sz w:val="16"/>
          <w:szCs w:val="16"/>
        </w:rPr>
      </w:pPr>
    </w:p>
    <w:p w14:paraId="1748EC31" w14:textId="77777777" w:rsidR="00974330" w:rsidRPr="00DE096C" w:rsidRDefault="00974330" w:rsidP="00D45A46">
      <w:pPr>
        <w:jc w:val="both"/>
        <w:rPr>
          <w:bCs/>
          <w:color w:val="002060"/>
          <w:sz w:val="16"/>
          <w:szCs w:val="16"/>
        </w:rPr>
      </w:pPr>
      <w:r w:rsidRPr="00DE096C">
        <w:rPr>
          <w:bCs/>
          <w:color w:val="002060"/>
          <w:sz w:val="16"/>
          <w:szCs w:val="16"/>
        </w:rPr>
        <w:t>В на</w:t>
      </w:r>
      <w:r w:rsidRPr="00DE096C">
        <w:rPr>
          <w:bCs/>
          <w:color w:val="002060"/>
          <w:sz w:val="16"/>
          <w:szCs w:val="16"/>
        </w:rPr>
        <w:softHyphen/>
        <w:t>чале ноября 1914 г. Председатель правления РБВЗ М.В. Шидловский составил до</w:t>
      </w:r>
      <w:r w:rsidRPr="00DE096C">
        <w:rPr>
          <w:bCs/>
          <w:color w:val="002060"/>
          <w:sz w:val="16"/>
          <w:szCs w:val="16"/>
        </w:rPr>
        <w:softHyphen/>
        <w:t>кладные записки военному минис</w:t>
      </w:r>
      <w:r w:rsidRPr="00DE096C">
        <w:rPr>
          <w:bCs/>
          <w:color w:val="002060"/>
          <w:sz w:val="16"/>
          <w:szCs w:val="16"/>
        </w:rPr>
        <w:softHyphen/>
        <w:t>тру В.А. Сухомлинову и Верховно</w:t>
      </w:r>
      <w:r w:rsidRPr="00DE096C">
        <w:rPr>
          <w:bCs/>
          <w:color w:val="002060"/>
          <w:sz w:val="16"/>
          <w:szCs w:val="16"/>
        </w:rPr>
        <w:softHyphen/>
        <w:t>му Главнокомандующему Велико</w:t>
      </w:r>
      <w:r w:rsidRPr="00DE096C">
        <w:rPr>
          <w:bCs/>
          <w:color w:val="002060"/>
          <w:sz w:val="16"/>
          <w:szCs w:val="16"/>
        </w:rPr>
        <w:softHyphen/>
        <w:t>му Князю Николаю Николаевичу, в которых лаконично и убедитель</w:t>
      </w:r>
      <w:r w:rsidRPr="00DE096C">
        <w:rPr>
          <w:bCs/>
          <w:color w:val="002060"/>
          <w:sz w:val="16"/>
          <w:szCs w:val="16"/>
        </w:rPr>
        <w:softHyphen/>
        <w:t>но разобрал неудачный опыт при</w:t>
      </w:r>
      <w:r w:rsidRPr="00DE096C">
        <w:rPr>
          <w:bCs/>
          <w:color w:val="002060"/>
          <w:sz w:val="16"/>
          <w:szCs w:val="16"/>
        </w:rPr>
        <w:softHyphen/>
        <w:t>менения «Муромца» на фронте. Ча</w:t>
      </w:r>
      <w:r w:rsidRPr="00DE096C">
        <w:rPr>
          <w:bCs/>
          <w:color w:val="002060"/>
          <w:sz w:val="16"/>
          <w:szCs w:val="16"/>
        </w:rPr>
        <w:softHyphen/>
        <w:t>стично признавалось, что некото</w:t>
      </w:r>
      <w:r w:rsidRPr="00DE096C">
        <w:rPr>
          <w:bCs/>
          <w:color w:val="002060"/>
          <w:sz w:val="16"/>
          <w:szCs w:val="16"/>
        </w:rPr>
        <w:softHyphen/>
        <w:t>рые характеристики «Муромца» действительно не так высоки, как хотелось бы, и поэтому завод уже создает машину нового типа. Шид</w:t>
      </w:r>
      <w:r w:rsidRPr="00DE096C">
        <w:rPr>
          <w:bCs/>
          <w:color w:val="002060"/>
          <w:sz w:val="16"/>
          <w:szCs w:val="16"/>
        </w:rPr>
        <w:softHyphen/>
        <w:t>ловский, признавая целесообраз</w:t>
      </w:r>
      <w:r w:rsidRPr="00DE096C">
        <w:rPr>
          <w:bCs/>
          <w:color w:val="002060"/>
          <w:sz w:val="16"/>
          <w:szCs w:val="16"/>
        </w:rPr>
        <w:softHyphen/>
        <w:t>ность приостановки заказа на 32 машины, тем не менее, настаивал на достройке первых десяти, зака</w:t>
      </w:r>
      <w:r w:rsidRPr="00DE096C">
        <w:rPr>
          <w:bCs/>
          <w:color w:val="002060"/>
          <w:sz w:val="16"/>
          <w:szCs w:val="16"/>
        </w:rPr>
        <w:softHyphen/>
        <w:t>занных ещё в мае, и дальнейшей всесторонней проверке новой тех</w:t>
      </w:r>
      <w:r w:rsidRPr="00DE096C">
        <w:rPr>
          <w:bCs/>
          <w:color w:val="002060"/>
          <w:sz w:val="16"/>
          <w:szCs w:val="16"/>
        </w:rPr>
        <w:softHyphen/>
        <w:t>ники в боевых условиях. В записке отмечалось, что невысокую эф</w:t>
      </w:r>
      <w:r w:rsidRPr="00DE096C">
        <w:rPr>
          <w:bCs/>
          <w:color w:val="002060"/>
          <w:sz w:val="16"/>
          <w:szCs w:val="16"/>
        </w:rPr>
        <w:softHyphen/>
        <w:t>фективность применения воздуш</w:t>
      </w:r>
      <w:r w:rsidRPr="00DE096C">
        <w:rPr>
          <w:bCs/>
          <w:color w:val="002060"/>
          <w:sz w:val="16"/>
          <w:szCs w:val="16"/>
        </w:rPr>
        <w:softHyphen/>
        <w:t>ного корабля нужно отнести в пер</w:t>
      </w:r>
      <w:r w:rsidRPr="00DE096C">
        <w:rPr>
          <w:bCs/>
          <w:color w:val="002060"/>
          <w:sz w:val="16"/>
          <w:szCs w:val="16"/>
        </w:rPr>
        <w:softHyphen/>
        <w:t>вую очередь за счёт недостаточ</w:t>
      </w:r>
      <w:r w:rsidRPr="00DE096C">
        <w:rPr>
          <w:bCs/>
          <w:color w:val="002060"/>
          <w:sz w:val="16"/>
          <w:szCs w:val="16"/>
        </w:rPr>
        <w:softHyphen/>
        <w:t>ной подготовки экипажа и неком</w:t>
      </w:r>
      <w:r w:rsidRPr="00DE096C">
        <w:rPr>
          <w:bCs/>
          <w:color w:val="002060"/>
          <w:sz w:val="16"/>
          <w:szCs w:val="16"/>
        </w:rPr>
        <w:softHyphen/>
        <w:t>петентности командования, что основная причина не в низких лётных качествах самолёта, а в не</w:t>
      </w:r>
      <w:r w:rsidRPr="00DE096C">
        <w:rPr>
          <w:bCs/>
          <w:color w:val="002060"/>
          <w:sz w:val="16"/>
          <w:szCs w:val="16"/>
        </w:rPr>
        <w:softHyphen/>
        <w:t>правильной организации его ис</w:t>
      </w:r>
      <w:r w:rsidRPr="00DE096C">
        <w:rPr>
          <w:bCs/>
          <w:color w:val="002060"/>
          <w:sz w:val="16"/>
          <w:szCs w:val="16"/>
        </w:rPr>
        <w:softHyphen/>
        <w:t>пользования. Развивая свою мысль, М.В. Шидловский предложил не</w:t>
      </w:r>
      <w:r w:rsidRPr="00DE096C">
        <w:rPr>
          <w:bCs/>
          <w:color w:val="002060"/>
          <w:sz w:val="16"/>
          <w:szCs w:val="16"/>
        </w:rPr>
        <w:softHyphen/>
        <w:t>медленно расформировать со</w:t>
      </w:r>
      <w:r w:rsidRPr="00DE096C">
        <w:rPr>
          <w:bCs/>
          <w:color w:val="002060"/>
          <w:sz w:val="16"/>
          <w:szCs w:val="16"/>
        </w:rPr>
        <w:softHyphen/>
        <w:t>зданные боевые отряды из «Му</w:t>
      </w:r>
      <w:r w:rsidRPr="00DE096C">
        <w:rPr>
          <w:bCs/>
          <w:color w:val="002060"/>
          <w:sz w:val="16"/>
          <w:szCs w:val="16"/>
        </w:rPr>
        <w:softHyphen/>
        <w:t>ромцев» и собрать их в одну эскад</w:t>
      </w:r>
      <w:r w:rsidRPr="00DE096C">
        <w:rPr>
          <w:bCs/>
          <w:color w:val="002060"/>
          <w:sz w:val="16"/>
          <w:szCs w:val="16"/>
        </w:rPr>
        <w:softHyphen/>
        <w:t>ру по образцу эскадры морских боевых кораблей: «...Каждое техни</w:t>
      </w:r>
      <w:r w:rsidRPr="00DE096C">
        <w:rPr>
          <w:bCs/>
          <w:color w:val="002060"/>
          <w:sz w:val="16"/>
          <w:szCs w:val="16"/>
        </w:rPr>
        <w:softHyphen/>
        <w:t>ческое средство для успешности его использования требует хоро</w:t>
      </w:r>
      <w:r w:rsidRPr="00DE096C">
        <w:rPr>
          <w:bCs/>
          <w:color w:val="002060"/>
          <w:sz w:val="16"/>
          <w:szCs w:val="16"/>
        </w:rPr>
        <w:softHyphen/>
        <w:t>шо подготовленного как теорети</w:t>
      </w:r>
      <w:r w:rsidRPr="00DE096C">
        <w:rPr>
          <w:bCs/>
          <w:color w:val="002060"/>
          <w:sz w:val="16"/>
          <w:szCs w:val="16"/>
        </w:rPr>
        <w:softHyphen/>
        <w:t>чески, так и практически личного состава. Такая подготовка имеет особо важное значение в военном деле...</w:t>
      </w:r>
    </w:p>
    <w:p w14:paraId="6399E060" w14:textId="77777777" w:rsidR="00974330" w:rsidRPr="00DE096C" w:rsidRDefault="00974330" w:rsidP="00D45A46">
      <w:pPr>
        <w:jc w:val="both"/>
        <w:rPr>
          <w:bCs/>
          <w:color w:val="002060"/>
          <w:sz w:val="16"/>
          <w:szCs w:val="16"/>
        </w:rPr>
      </w:pPr>
      <w:r w:rsidRPr="00DE096C">
        <w:rPr>
          <w:bCs/>
          <w:color w:val="002060"/>
          <w:sz w:val="16"/>
          <w:szCs w:val="16"/>
        </w:rPr>
        <w:t>Если бы аэропланы типа Илья Муромец ещё до войны находились в составе нашей армии, несомнен</w:t>
      </w:r>
      <w:r w:rsidRPr="00DE096C">
        <w:rPr>
          <w:bCs/>
          <w:color w:val="002060"/>
          <w:sz w:val="16"/>
          <w:szCs w:val="16"/>
        </w:rPr>
        <w:softHyphen/>
        <w:t>но, воздухоплавательные свойства этих аппаратов были бы подробно испытаны и изучены, а вместе с тем было бы выработано их вооруже</w:t>
      </w:r>
      <w:r w:rsidRPr="00DE096C">
        <w:rPr>
          <w:bCs/>
          <w:color w:val="002060"/>
          <w:sz w:val="16"/>
          <w:szCs w:val="16"/>
        </w:rPr>
        <w:softHyphen/>
        <w:t>ние и оборудование, строго согла</w:t>
      </w:r>
      <w:r w:rsidRPr="00DE096C">
        <w:rPr>
          <w:bCs/>
          <w:color w:val="002060"/>
          <w:sz w:val="16"/>
          <w:szCs w:val="16"/>
        </w:rPr>
        <w:softHyphen/>
        <w:t>сованы со свойствами аппарата и с теми боевыми задачами, испол</w:t>
      </w:r>
      <w:r w:rsidRPr="00DE096C">
        <w:rPr>
          <w:bCs/>
          <w:color w:val="002060"/>
          <w:sz w:val="16"/>
          <w:szCs w:val="16"/>
        </w:rPr>
        <w:softHyphen/>
        <w:t>нение которых на основе всесто</w:t>
      </w:r>
      <w:r w:rsidRPr="00DE096C">
        <w:rPr>
          <w:bCs/>
          <w:color w:val="002060"/>
          <w:sz w:val="16"/>
          <w:szCs w:val="16"/>
        </w:rPr>
        <w:softHyphen/>
        <w:t>роннего опыта, были бы признаны возможными на них возложить. Кроме того, были бы выработаны штаты личного состава с точным распределением обязанностей меж</w:t>
      </w:r>
      <w:r w:rsidRPr="00DE096C">
        <w:rPr>
          <w:bCs/>
          <w:color w:val="002060"/>
          <w:sz w:val="16"/>
          <w:szCs w:val="16"/>
        </w:rPr>
        <w:softHyphen/>
        <w:t>ду отдельными чинами и таким об</w:t>
      </w:r>
      <w:r w:rsidRPr="00DE096C">
        <w:rPr>
          <w:bCs/>
          <w:color w:val="002060"/>
          <w:sz w:val="16"/>
          <w:szCs w:val="16"/>
        </w:rPr>
        <w:softHyphen/>
        <w:t>разом аэроплан имел бы практичес</w:t>
      </w:r>
      <w:r w:rsidRPr="00DE096C">
        <w:rPr>
          <w:bCs/>
          <w:color w:val="002060"/>
          <w:sz w:val="16"/>
          <w:szCs w:val="16"/>
        </w:rPr>
        <w:softHyphen/>
        <w:t>ки подготовленный личный состав в совершенстве знающий свой ап</w:t>
      </w:r>
      <w:r w:rsidRPr="00DE096C">
        <w:rPr>
          <w:bCs/>
          <w:color w:val="002060"/>
          <w:sz w:val="16"/>
          <w:szCs w:val="16"/>
        </w:rPr>
        <w:softHyphen/>
        <w:t>парат. К сожалению, первые аэро</w:t>
      </w:r>
      <w:r w:rsidRPr="00DE096C">
        <w:rPr>
          <w:bCs/>
          <w:color w:val="002060"/>
          <w:sz w:val="16"/>
          <w:szCs w:val="16"/>
        </w:rPr>
        <w:softHyphen/>
        <w:t>планы были выпущены и поступили в распоряжение военного ведомст</w:t>
      </w:r>
      <w:r w:rsidRPr="00DE096C">
        <w:rPr>
          <w:bCs/>
          <w:color w:val="002060"/>
          <w:sz w:val="16"/>
          <w:szCs w:val="16"/>
        </w:rPr>
        <w:softHyphen/>
        <w:t>ва значительно позже объявления войны и, при естественном жела</w:t>
      </w:r>
      <w:r w:rsidRPr="00DE096C">
        <w:rPr>
          <w:bCs/>
          <w:color w:val="002060"/>
          <w:sz w:val="16"/>
          <w:szCs w:val="16"/>
        </w:rPr>
        <w:softHyphen/>
        <w:t>нии возможно скорее использовать это новое оружие, были отправлены с только что сформированным лич</w:t>
      </w:r>
      <w:r w:rsidRPr="00DE096C">
        <w:rPr>
          <w:bCs/>
          <w:color w:val="002060"/>
          <w:sz w:val="16"/>
          <w:szCs w:val="16"/>
        </w:rPr>
        <w:softHyphen/>
        <w:t>ным составом и с теоретически раз</w:t>
      </w:r>
      <w:r w:rsidRPr="00DE096C">
        <w:rPr>
          <w:bCs/>
          <w:color w:val="002060"/>
          <w:sz w:val="16"/>
          <w:szCs w:val="16"/>
        </w:rPr>
        <w:softHyphen/>
        <w:t>работанным, но не проверенным опытом вооружением.</w:t>
      </w:r>
    </w:p>
    <w:p w14:paraId="2141B525" w14:textId="77777777" w:rsidR="00974330" w:rsidRPr="00DE096C" w:rsidRDefault="00974330" w:rsidP="00D45A46">
      <w:pPr>
        <w:jc w:val="both"/>
        <w:rPr>
          <w:bCs/>
          <w:color w:val="002060"/>
          <w:sz w:val="16"/>
          <w:szCs w:val="16"/>
        </w:rPr>
      </w:pPr>
      <w:r w:rsidRPr="00DE096C">
        <w:rPr>
          <w:bCs/>
          <w:color w:val="002060"/>
          <w:sz w:val="16"/>
          <w:szCs w:val="16"/>
        </w:rPr>
        <w:t>Командование воздушного ко</w:t>
      </w:r>
      <w:r w:rsidRPr="00DE096C">
        <w:rPr>
          <w:bCs/>
          <w:color w:val="002060"/>
          <w:sz w:val="16"/>
          <w:szCs w:val="16"/>
        </w:rPr>
        <w:softHyphen/>
        <w:t>рабля, каковым является аэроплан типа Илья Муромец, существенно разнится от управления аэропла</w:t>
      </w:r>
      <w:r w:rsidRPr="00DE096C">
        <w:rPr>
          <w:bCs/>
          <w:color w:val="002060"/>
          <w:sz w:val="16"/>
          <w:szCs w:val="16"/>
        </w:rPr>
        <w:softHyphen/>
        <w:t>ном и требует от командира не только совершенного знакомства с характером и свойствами кораб</w:t>
      </w:r>
      <w:r w:rsidRPr="00DE096C">
        <w:rPr>
          <w:bCs/>
          <w:color w:val="002060"/>
          <w:sz w:val="16"/>
          <w:szCs w:val="16"/>
        </w:rPr>
        <w:softHyphen/>
        <w:t>ля, не только умения уверенно уп</w:t>
      </w:r>
      <w:r w:rsidRPr="00DE096C">
        <w:rPr>
          <w:bCs/>
          <w:color w:val="002060"/>
          <w:sz w:val="16"/>
          <w:szCs w:val="16"/>
        </w:rPr>
        <w:softHyphen/>
        <w:t>равлять им в полёте, но и приёмов правильно распределить между от</w:t>
      </w:r>
      <w:r w:rsidRPr="00DE096C">
        <w:rPr>
          <w:bCs/>
          <w:color w:val="002060"/>
          <w:sz w:val="16"/>
          <w:szCs w:val="16"/>
        </w:rPr>
        <w:softHyphen/>
        <w:t>дельными чинами команды обя</w:t>
      </w:r>
      <w:r w:rsidRPr="00DE096C">
        <w:rPr>
          <w:bCs/>
          <w:color w:val="002060"/>
          <w:sz w:val="16"/>
          <w:szCs w:val="16"/>
        </w:rPr>
        <w:softHyphen/>
        <w:t>занности по обслуживанию от</w:t>
      </w:r>
      <w:r w:rsidRPr="00DE096C">
        <w:rPr>
          <w:bCs/>
          <w:color w:val="002060"/>
          <w:sz w:val="16"/>
          <w:szCs w:val="16"/>
        </w:rPr>
        <w:softHyphen/>
        <w:t>дельных частей сложного механиз</w:t>
      </w:r>
      <w:r w:rsidRPr="00DE096C">
        <w:rPr>
          <w:bCs/>
          <w:color w:val="002060"/>
          <w:sz w:val="16"/>
          <w:szCs w:val="16"/>
        </w:rPr>
        <w:softHyphen/>
        <w:t>ма корабля.</w:t>
      </w:r>
    </w:p>
    <w:p w14:paraId="70CEFFFD" w14:textId="77777777" w:rsidR="00974330" w:rsidRPr="00DE096C" w:rsidRDefault="00974330" w:rsidP="00D45A46">
      <w:pPr>
        <w:jc w:val="both"/>
        <w:rPr>
          <w:bCs/>
          <w:color w:val="002060"/>
          <w:sz w:val="16"/>
          <w:szCs w:val="16"/>
        </w:rPr>
      </w:pPr>
      <w:r w:rsidRPr="00DE096C">
        <w:rPr>
          <w:bCs/>
          <w:color w:val="002060"/>
          <w:sz w:val="16"/>
          <w:szCs w:val="16"/>
        </w:rPr>
        <w:t>Хотя командирами Муромцев были назначены опытные лётчики- инструкторы, но не получив необ</w:t>
      </w:r>
      <w:r w:rsidRPr="00DE096C">
        <w:rPr>
          <w:bCs/>
          <w:color w:val="002060"/>
          <w:sz w:val="16"/>
          <w:szCs w:val="16"/>
        </w:rPr>
        <w:softHyphen/>
        <w:t>ходимой предварительной подго</w:t>
      </w:r>
      <w:r w:rsidRPr="00DE096C">
        <w:rPr>
          <w:bCs/>
          <w:color w:val="002060"/>
          <w:sz w:val="16"/>
          <w:szCs w:val="16"/>
        </w:rPr>
        <w:softHyphen/>
        <w:t>товки д ля занятия этих должностей, не уверенные в свойствах аппара</w:t>
      </w:r>
      <w:r w:rsidRPr="00DE096C">
        <w:rPr>
          <w:bCs/>
          <w:color w:val="002060"/>
          <w:sz w:val="16"/>
          <w:szCs w:val="16"/>
        </w:rPr>
        <w:softHyphen/>
        <w:t>тов, с неопытными командами они оказались в затруднительном поло</w:t>
      </w:r>
      <w:r w:rsidRPr="00DE096C">
        <w:rPr>
          <w:bCs/>
          <w:color w:val="002060"/>
          <w:sz w:val="16"/>
          <w:szCs w:val="16"/>
        </w:rPr>
        <w:softHyphen/>
        <w:t>жении.</w:t>
      </w:r>
    </w:p>
    <w:p w14:paraId="503F8BEA" w14:textId="77777777" w:rsidR="00974330" w:rsidRPr="00DE096C" w:rsidRDefault="00974330" w:rsidP="00D45A46">
      <w:pPr>
        <w:jc w:val="both"/>
        <w:rPr>
          <w:bCs/>
          <w:color w:val="002060"/>
          <w:sz w:val="16"/>
          <w:szCs w:val="16"/>
        </w:rPr>
      </w:pPr>
      <w:r w:rsidRPr="00DE096C">
        <w:rPr>
          <w:bCs/>
          <w:color w:val="002060"/>
          <w:sz w:val="16"/>
          <w:szCs w:val="16"/>
        </w:rPr>
        <w:t>Ввиду этого решено создать не</w:t>
      </w:r>
      <w:r w:rsidRPr="00DE096C">
        <w:rPr>
          <w:bCs/>
          <w:color w:val="002060"/>
          <w:sz w:val="16"/>
          <w:szCs w:val="16"/>
        </w:rPr>
        <w:softHyphen/>
        <w:t>что вроде эскадры-школы воздуш</w:t>
      </w:r>
      <w:r w:rsidRPr="00DE096C">
        <w:rPr>
          <w:bCs/>
          <w:color w:val="002060"/>
          <w:sz w:val="16"/>
          <w:szCs w:val="16"/>
        </w:rPr>
        <w:softHyphen/>
        <w:t>ных кораблей, в которой личный состав аэропланов мог бы, под на</w:t>
      </w:r>
      <w:r w:rsidRPr="00DE096C">
        <w:rPr>
          <w:bCs/>
          <w:color w:val="002060"/>
          <w:sz w:val="16"/>
          <w:szCs w:val="16"/>
        </w:rPr>
        <w:softHyphen/>
        <w:t>блюдением технического персона</w:t>
      </w:r>
      <w:r w:rsidRPr="00DE096C">
        <w:rPr>
          <w:bCs/>
          <w:color w:val="002060"/>
          <w:sz w:val="16"/>
          <w:szCs w:val="16"/>
        </w:rPr>
        <w:softHyphen/>
        <w:t>ла, сконструировавшего этот тип аэроплана, пройти курс управления и вооружения.</w:t>
      </w:r>
    </w:p>
    <w:p w14:paraId="30E7655A" w14:textId="77777777" w:rsidR="00974330" w:rsidRPr="00DE096C" w:rsidRDefault="00974330" w:rsidP="00D45A46">
      <w:pPr>
        <w:jc w:val="both"/>
        <w:rPr>
          <w:bCs/>
          <w:color w:val="002060"/>
          <w:sz w:val="16"/>
          <w:szCs w:val="16"/>
        </w:rPr>
      </w:pPr>
      <w:r w:rsidRPr="00DE096C">
        <w:rPr>
          <w:bCs/>
          <w:color w:val="002060"/>
          <w:sz w:val="16"/>
          <w:szCs w:val="16"/>
        </w:rPr>
        <w:t>Для сего надлежит сгруппиро</w:t>
      </w:r>
      <w:r w:rsidRPr="00DE096C">
        <w:rPr>
          <w:bCs/>
          <w:color w:val="002060"/>
          <w:sz w:val="16"/>
          <w:szCs w:val="16"/>
        </w:rPr>
        <w:softHyphen/>
        <w:t>вать всех Муромцев в одно место удобное для организации практи</w:t>
      </w:r>
      <w:r w:rsidRPr="00DE096C">
        <w:rPr>
          <w:bCs/>
          <w:color w:val="002060"/>
          <w:sz w:val="16"/>
          <w:szCs w:val="16"/>
        </w:rPr>
        <w:softHyphen/>
        <w:t>ческих упражнений и в то же самое время ближе к театру военных дей</w:t>
      </w:r>
      <w:r w:rsidRPr="00DE096C">
        <w:rPr>
          <w:bCs/>
          <w:color w:val="002060"/>
          <w:sz w:val="16"/>
          <w:szCs w:val="16"/>
        </w:rPr>
        <w:softHyphen/>
        <w:t>ствий. В армию из эскадры будут отправляться только те, подготовку которых начальник эскадры при</w:t>
      </w:r>
      <w:r w:rsidRPr="00DE096C">
        <w:rPr>
          <w:bCs/>
          <w:color w:val="002060"/>
          <w:sz w:val="16"/>
          <w:szCs w:val="16"/>
        </w:rPr>
        <w:softHyphen/>
        <w:t>знает достаточной...</w:t>
      </w:r>
    </w:p>
    <w:p w14:paraId="38280344" w14:textId="77777777" w:rsidR="00974330" w:rsidRPr="00DE096C" w:rsidRDefault="00974330" w:rsidP="00D45A46">
      <w:pPr>
        <w:jc w:val="both"/>
        <w:rPr>
          <w:bCs/>
          <w:color w:val="002060"/>
          <w:sz w:val="16"/>
          <w:szCs w:val="16"/>
        </w:rPr>
      </w:pPr>
      <w:r w:rsidRPr="00DE096C">
        <w:rPr>
          <w:bCs/>
          <w:color w:val="002060"/>
          <w:sz w:val="16"/>
          <w:szCs w:val="16"/>
        </w:rPr>
        <w:t>„Для успеха дела необходимо поставить аэропланы большой мощности в соответствующие усло</w:t>
      </w:r>
      <w:r w:rsidRPr="00DE096C">
        <w:rPr>
          <w:bCs/>
          <w:color w:val="002060"/>
          <w:sz w:val="16"/>
          <w:szCs w:val="16"/>
        </w:rPr>
        <w:softHyphen/>
        <w:t>вия, причем необходимо помнить, что подобные аппараты не были ещё в обращении и что в начале ра</w:t>
      </w:r>
      <w:r w:rsidRPr="00DE096C">
        <w:rPr>
          <w:bCs/>
          <w:color w:val="002060"/>
          <w:sz w:val="16"/>
          <w:szCs w:val="16"/>
        </w:rPr>
        <w:softHyphen/>
        <w:t>бот неизбежны мелкие недоразуме</w:t>
      </w:r>
      <w:r w:rsidRPr="00DE096C">
        <w:rPr>
          <w:bCs/>
          <w:color w:val="002060"/>
          <w:sz w:val="16"/>
          <w:szCs w:val="16"/>
        </w:rPr>
        <w:softHyphen/>
        <w:t>ния и неудачи, но будущее принад</w:t>
      </w:r>
      <w:r w:rsidRPr="00DE096C">
        <w:rPr>
          <w:bCs/>
          <w:color w:val="002060"/>
          <w:sz w:val="16"/>
          <w:szCs w:val="16"/>
        </w:rPr>
        <w:softHyphen/>
        <w:t>лежит большим аэропланам. Только они могут создать мощный непобе</w:t>
      </w:r>
      <w:r w:rsidRPr="00DE096C">
        <w:rPr>
          <w:bCs/>
          <w:color w:val="002060"/>
          <w:sz w:val="16"/>
          <w:szCs w:val="16"/>
        </w:rPr>
        <w:softHyphen/>
        <w:t>димый флот. В этом для завода нет никаких сомнений.</w:t>
      </w:r>
    </w:p>
    <w:p w14:paraId="72120BCF" w14:textId="77777777" w:rsidR="00974330" w:rsidRPr="00DE096C" w:rsidRDefault="00974330" w:rsidP="00D45A46">
      <w:pPr>
        <w:jc w:val="both"/>
        <w:rPr>
          <w:bCs/>
          <w:color w:val="002060"/>
          <w:sz w:val="16"/>
          <w:szCs w:val="16"/>
        </w:rPr>
      </w:pPr>
      <w:r w:rsidRPr="00DE096C">
        <w:rPr>
          <w:bCs/>
          <w:color w:val="002060"/>
          <w:sz w:val="16"/>
          <w:szCs w:val="16"/>
        </w:rPr>
        <w:lastRenderedPageBreak/>
        <w:t>Вот почему завод просит дать ему возможность практически по</w:t>
      </w:r>
      <w:r w:rsidRPr="00DE096C">
        <w:rPr>
          <w:bCs/>
          <w:color w:val="002060"/>
          <w:sz w:val="16"/>
          <w:szCs w:val="16"/>
        </w:rPr>
        <w:softHyphen/>
        <w:t>казать на поле битвы способность аппаратов Илья Муромец наносить неприятелю такой ущерб, которого не может нанести ни один из суще</w:t>
      </w:r>
      <w:r w:rsidRPr="00DE096C">
        <w:rPr>
          <w:bCs/>
          <w:color w:val="002060"/>
          <w:sz w:val="16"/>
          <w:szCs w:val="16"/>
        </w:rPr>
        <w:softHyphen/>
        <w:t>ствующих летательных аппаратов нашего времени. Для этого завод готов предоставить военному ве</w:t>
      </w:r>
      <w:r w:rsidRPr="00DE096C">
        <w:rPr>
          <w:bCs/>
          <w:color w:val="002060"/>
          <w:sz w:val="16"/>
          <w:szCs w:val="16"/>
        </w:rPr>
        <w:softHyphen/>
        <w:t>домству все свои технические сред</w:t>
      </w:r>
      <w:r w:rsidRPr="00DE096C">
        <w:rPr>
          <w:bCs/>
          <w:color w:val="002060"/>
          <w:sz w:val="16"/>
          <w:szCs w:val="16"/>
        </w:rPr>
        <w:softHyphen/>
        <w:t>ства и готов взять на себя прямую организацию соответствующего боевого отряда.</w:t>
      </w:r>
    </w:p>
    <w:p w14:paraId="395C08AC" w14:textId="77777777" w:rsidR="00974330" w:rsidRPr="00DE096C" w:rsidRDefault="00974330" w:rsidP="00D45A46">
      <w:pPr>
        <w:jc w:val="both"/>
        <w:rPr>
          <w:bCs/>
          <w:color w:val="002060"/>
          <w:sz w:val="16"/>
          <w:szCs w:val="16"/>
        </w:rPr>
      </w:pPr>
      <w:r w:rsidRPr="00DE096C">
        <w:rPr>
          <w:bCs/>
          <w:color w:val="002060"/>
          <w:sz w:val="16"/>
          <w:szCs w:val="16"/>
        </w:rPr>
        <w:t>Для выяснения боевого значения этих аппаратов, по мнению завода, вполне достаточно заказанной ему первой серии в десять аппаратов, а потому завод полагал бы правиль</w:t>
      </w:r>
      <w:r w:rsidRPr="00DE096C">
        <w:rPr>
          <w:bCs/>
          <w:color w:val="002060"/>
          <w:sz w:val="16"/>
          <w:szCs w:val="16"/>
        </w:rPr>
        <w:softHyphen/>
        <w:t>ным приостановить исполнение второго заказа на 32 аппарата впредь до выяснения результатов деятельности первых десяти. Ре</w:t>
      </w:r>
      <w:r w:rsidRPr="00DE096C">
        <w:rPr>
          <w:bCs/>
          <w:color w:val="002060"/>
          <w:sz w:val="16"/>
          <w:szCs w:val="16"/>
        </w:rPr>
        <w:softHyphen/>
        <w:t>зультаты эти или докажут важное боевое значение аэропланов типа Илья Муромец и дадут новый бога</w:t>
      </w:r>
      <w:r w:rsidRPr="00DE096C">
        <w:rPr>
          <w:bCs/>
          <w:color w:val="002060"/>
          <w:sz w:val="16"/>
          <w:szCs w:val="16"/>
        </w:rPr>
        <w:softHyphen/>
        <w:t>тый материал для усовершенство</w:t>
      </w:r>
      <w:r w:rsidRPr="00DE096C">
        <w:rPr>
          <w:bCs/>
          <w:color w:val="002060"/>
          <w:sz w:val="16"/>
          <w:szCs w:val="16"/>
        </w:rPr>
        <w:softHyphen/>
        <w:t>вания последних серий, или выяс</w:t>
      </w:r>
      <w:r w:rsidRPr="00DE096C">
        <w:rPr>
          <w:bCs/>
          <w:color w:val="002060"/>
          <w:sz w:val="16"/>
          <w:szCs w:val="16"/>
        </w:rPr>
        <w:softHyphen/>
        <w:t>нят непригодность аппаратов для военных целей».</w:t>
      </w:r>
    </w:p>
    <w:p w14:paraId="1AC58DB9" w14:textId="77777777" w:rsidR="00974330" w:rsidRPr="00DE096C" w:rsidRDefault="00974330" w:rsidP="00D45A46">
      <w:pPr>
        <w:jc w:val="both"/>
        <w:rPr>
          <w:bCs/>
          <w:color w:val="002060"/>
          <w:sz w:val="16"/>
          <w:szCs w:val="16"/>
        </w:rPr>
      </w:pPr>
      <w:r w:rsidRPr="00DE096C">
        <w:rPr>
          <w:bCs/>
          <w:color w:val="002060"/>
          <w:sz w:val="16"/>
          <w:szCs w:val="16"/>
        </w:rPr>
        <w:t>Шидловский тщательно проду</w:t>
      </w:r>
      <w:r w:rsidRPr="00DE096C">
        <w:rPr>
          <w:bCs/>
          <w:color w:val="002060"/>
          <w:sz w:val="16"/>
          <w:szCs w:val="16"/>
        </w:rPr>
        <w:softHyphen/>
        <w:t>мал и разработал и положение о бу</w:t>
      </w:r>
      <w:r w:rsidRPr="00DE096C">
        <w:rPr>
          <w:bCs/>
          <w:color w:val="002060"/>
          <w:sz w:val="16"/>
          <w:szCs w:val="16"/>
        </w:rPr>
        <w:softHyphen/>
        <w:t>дущей эскадре. Её назначением предусматривалось: «содействие нашим войскам при боевых опера</w:t>
      </w:r>
      <w:r w:rsidRPr="00DE096C">
        <w:rPr>
          <w:bCs/>
          <w:color w:val="002060"/>
          <w:sz w:val="16"/>
          <w:szCs w:val="16"/>
        </w:rPr>
        <w:softHyphen/>
        <w:t>циях, производя глубокую разведку в тылу противника, разрушая тыло</w:t>
      </w:r>
      <w:r w:rsidRPr="00DE096C">
        <w:rPr>
          <w:bCs/>
          <w:color w:val="002060"/>
          <w:sz w:val="16"/>
          <w:szCs w:val="16"/>
        </w:rPr>
        <w:softHyphen/>
        <w:t>вые пути сообщения, укрепления и сооружения, имеющие важное во</w:t>
      </w:r>
      <w:r w:rsidRPr="00DE096C">
        <w:rPr>
          <w:bCs/>
          <w:color w:val="002060"/>
          <w:sz w:val="16"/>
          <w:szCs w:val="16"/>
        </w:rPr>
        <w:softHyphen/>
        <w:t>енное значение, поражая резервы и уничтожая воздушный флот про</w:t>
      </w:r>
      <w:r w:rsidRPr="00DE096C">
        <w:rPr>
          <w:bCs/>
          <w:color w:val="002060"/>
          <w:sz w:val="16"/>
          <w:szCs w:val="16"/>
        </w:rPr>
        <w:softHyphen/>
        <w:t>тивника, склады боевых припасов и подвижные составы». Эскадра, по его мысли должна была состоять из: «а) боевых кораблей, соединён</w:t>
      </w:r>
      <w:r w:rsidRPr="00DE096C">
        <w:rPr>
          <w:bCs/>
          <w:color w:val="002060"/>
          <w:sz w:val="16"/>
          <w:szCs w:val="16"/>
        </w:rPr>
        <w:softHyphen/>
        <w:t>ных в отряды; б) главной базы (школа, главные мастерские, цент</w:t>
      </w:r>
      <w:r w:rsidRPr="00DE096C">
        <w:rPr>
          <w:bCs/>
          <w:color w:val="002060"/>
          <w:sz w:val="16"/>
          <w:szCs w:val="16"/>
        </w:rPr>
        <w:softHyphen/>
        <w:t>ральный склад, метеорологическая станция, фотографический каби</w:t>
      </w:r>
      <w:r w:rsidRPr="00DE096C">
        <w:rPr>
          <w:bCs/>
          <w:color w:val="002060"/>
          <w:sz w:val="16"/>
          <w:szCs w:val="16"/>
        </w:rPr>
        <w:softHyphen/>
        <w:t>нет, топографический кабинет, га</w:t>
      </w:r>
      <w:r w:rsidRPr="00DE096C">
        <w:rPr>
          <w:bCs/>
          <w:color w:val="002060"/>
          <w:sz w:val="16"/>
          <w:szCs w:val="16"/>
        </w:rPr>
        <w:softHyphen/>
        <w:t>раж, строевая рота, техническая рота), имеющей целью подготовку личного состава для кораблей; снабжение отрядов; оборудование и капитальный ремонт кораблей и аэропланов».</w:t>
      </w:r>
    </w:p>
    <w:p w14:paraId="27DAA084" w14:textId="77777777" w:rsidR="00974330" w:rsidRPr="00DE096C" w:rsidRDefault="00974330" w:rsidP="00D45A46">
      <w:pPr>
        <w:jc w:val="both"/>
        <w:rPr>
          <w:bCs/>
          <w:color w:val="002060"/>
          <w:sz w:val="16"/>
          <w:szCs w:val="16"/>
        </w:rPr>
      </w:pPr>
      <w:r w:rsidRPr="00DE096C">
        <w:rPr>
          <w:bCs/>
          <w:color w:val="002060"/>
          <w:sz w:val="16"/>
          <w:szCs w:val="16"/>
        </w:rPr>
        <w:t>В положении об управлении но</w:t>
      </w:r>
      <w:r w:rsidRPr="00DE096C">
        <w:rPr>
          <w:bCs/>
          <w:color w:val="002060"/>
          <w:sz w:val="16"/>
          <w:szCs w:val="16"/>
        </w:rPr>
        <w:softHyphen/>
        <w:t>вым соединением особо отмеча</w:t>
      </w:r>
      <w:r w:rsidRPr="00DE096C">
        <w:rPr>
          <w:bCs/>
          <w:color w:val="002060"/>
          <w:sz w:val="16"/>
          <w:szCs w:val="16"/>
        </w:rPr>
        <w:softHyphen/>
        <w:t>лось его стратегическое назначе</w:t>
      </w:r>
      <w:r w:rsidRPr="00DE096C">
        <w:rPr>
          <w:bCs/>
          <w:color w:val="002060"/>
          <w:sz w:val="16"/>
          <w:szCs w:val="16"/>
        </w:rPr>
        <w:softHyphen/>
        <w:t>ние: «Эскадра Воздушных Кораб</w:t>
      </w:r>
      <w:r w:rsidRPr="00DE096C">
        <w:rPr>
          <w:bCs/>
          <w:color w:val="002060"/>
          <w:sz w:val="16"/>
          <w:szCs w:val="16"/>
        </w:rPr>
        <w:softHyphen/>
        <w:t>лей является оружием Верховного командования, непосредственно подчиняется Начальнику штаба Верховного Главнокомандующего, который в соответствии с опера</w:t>
      </w:r>
      <w:r w:rsidRPr="00DE096C">
        <w:rPr>
          <w:bCs/>
          <w:color w:val="002060"/>
          <w:sz w:val="16"/>
          <w:szCs w:val="16"/>
        </w:rPr>
        <w:softHyphen/>
        <w:t>тивными предположениями, опре</w:t>
      </w:r>
      <w:r w:rsidRPr="00DE096C">
        <w:rPr>
          <w:bCs/>
          <w:color w:val="002060"/>
          <w:sz w:val="16"/>
          <w:szCs w:val="16"/>
        </w:rPr>
        <w:softHyphen/>
        <w:t>деляет район боевой работы эска</w:t>
      </w:r>
      <w:r w:rsidRPr="00DE096C">
        <w:rPr>
          <w:bCs/>
          <w:color w:val="002060"/>
          <w:sz w:val="16"/>
          <w:szCs w:val="16"/>
        </w:rPr>
        <w:softHyphen/>
        <w:t>дры и лично предписывая началь</w:t>
      </w:r>
      <w:r w:rsidRPr="00DE096C">
        <w:rPr>
          <w:bCs/>
          <w:color w:val="002060"/>
          <w:sz w:val="16"/>
          <w:szCs w:val="16"/>
        </w:rPr>
        <w:softHyphen/>
        <w:t>нику эскадры выполнение отдель</w:t>
      </w:r>
      <w:r w:rsidRPr="00DE096C">
        <w:rPr>
          <w:bCs/>
          <w:color w:val="002060"/>
          <w:sz w:val="16"/>
          <w:szCs w:val="16"/>
        </w:rPr>
        <w:softHyphen/>
        <w:t>ных операций в этом районе, по</w:t>
      </w:r>
      <w:r w:rsidRPr="00DE096C">
        <w:rPr>
          <w:bCs/>
          <w:color w:val="002060"/>
          <w:sz w:val="16"/>
          <w:szCs w:val="16"/>
        </w:rPr>
        <w:softHyphen/>
        <w:t>ручает ему выполнение задач, по</w:t>
      </w:r>
      <w:r w:rsidRPr="00DE096C">
        <w:rPr>
          <w:bCs/>
          <w:color w:val="002060"/>
          <w:sz w:val="16"/>
          <w:szCs w:val="16"/>
        </w:rPr>
        <w:softHyphen/>
        <w:t>даваемых непосредственно от тех штабов фронтов и армий, в районе которых расположены отряды эс</w:t>
      </w:r>
      <w:r w:rsidRPr="00DE096C">
        <w:rPr>
          <w:bCs/>
          <w:color w:val="002060"/>
          <w:sz w:val="16"/>
          <w:szCs w:val="16"/>
        </w:rPr>
        <w:softHyphen/>
        <w:t>кадры».</w:t>
      </w:r>
    </w:p>
    <w:p w14:paraId="094CA52C" w14:textId="77777777" w:rsidR="00974330" w:rsidRPr="00DE096C" w:rsidRDefault="00974330" w:rsidP="00D45A46">
      <w:pPr>
        <w:jc w:val="both"/>
        <w:rPr>
          <w:bCs/>
          <w:color w:val="002060"/>
          <w:sz w:val="16"/>
          <w:szCs w:val="16"/>
        </w:rPr>
      </w:pPr>
      <w:r w:rsidRPr="00DE096C">
        <w:rPr>
          <w:bCs/>
          <w:color w:val="002060"/>
          <w:sz w:val="16"/>
          <w:szCs w:val="16"/>
        </w:rPr>
        <w:t>Во главе эскадры, по убеждению Шидловского, должен стоять ко</w:t>
      </w:r>
      <w:r w:rsidRPr="00DE096C">
        <w:rPr>
          <w:bCs/>
          <w:color w:val="002060"/>
          <w:sz w:val="16"/>
          <w:szCs w:val="16"/>
        </w:rPr>
        <w:softHyphen/>
        <w:t>мандир, знакомый с авиацией, и в частности, с тяжёлыми самолё</w:t>
      </w:r>
      <w:r w:rsidRPr="00DE096C">
        <w:rPr>
          <w:bCs/>
          <w:color w:val="002060"/>
          <w:sz w:val="16"/>
          <w:szCs w:val="16"/>
        </w:rPr>
        <w:softHyphen/>
        <w:t>тами. Здесь председатель правления РБВЗ заметил, что в прошлом он - морской офицер, в настоящее вре</w:t>
      </w:r>
      <w:r w:rsidRPr="00DE096C">
        <w:rPr>
          <w:bCs/>
          <w:color w:val="002060"/>
          <w:sz w:val="16"/>
          <w:szCs w:val="16"/>
        </w:rPr>
        <w:softHyphen/>
        <w:t>мя имеет прямое отношение к со</w:t>
      </w:r>
      <w:r w:rsidRPr="00DE096C">
        <w:rPr>
          <w:bCs/>
          <w:color w:val="002060"/>
          <w:sz w:val="16"/>
          <w:szCs w:val="16"/>
        </w:rPr>
        <w:softHyphen/>
        <w:t>зданию воздушных кораблей и мог бы взять на себя ответственность возглавить эскадру: «если бы моё непосредственное участие в рабо</w:t>
      </w:r>
      <w:r w:rsidRPr="00DE096C">
        <w:rPr>
          <w:bCs/>
          <w:color w:val="002060"/>
          <w:sz w:val="16"/>
          <w:szCs w:val="16"/>
        </w:rPr>
        <w:softHyphen/>
        <w:t>те, направленной к торжеству над врагом этого нового русского ору</w:t>
      </w:r>
      <w:r w:rsidRPr="00DE096C">
        <w:rPr>
          <w:bCs/>
          <w:color w:val="002060"/>
          <w:sz w:val="16"/>
          <w:szCs w:val="16"/>
        </w:rPr>
        <w:softHyphen/>
        <w:t>жия было признано полезным, то я готов представить свои силы и опыт в распоряжение военного ведомства». (23469).</w:t>
      </w:r>
    </w:p>
    <w:p w14:paraId="5C694BD2" w14:textId="77777777" w:rsidR="00974330" w:rsidRPr="00DE096C" w:rsidRDefault="00974330" w:rsidP="00D45A46">
      <w:pPr>
        <w:jc w:val="both"/>
        <w:rPr>
          <w:bCs/>
          <w:color w:val="002060"/>
          <w:sz w:val="16"/>
          <w:szCs w:val="16"/>
        </w:rPr>
      </w:pPr>
    </w:p>
    <w:p w14:paraId="4BB241D3" w14:textId="77777777" w:rsidR="00875887" w:rsidRPr="00B52707" w:rsidRDefault="00875887" w:rsidP="00875887">
      <w:pPr>
        <w:jc w:val="both"/>
        <w:rPr>
          <w:color w:val="0070C0"/>
          <w:sz w:val="16"/>
          <w:szCs w:val="16"/>
        </w:rPr>
      </w:pPr>
      <w:r w:rsidRPr="00B52707">
        <w:rPr>
          <w:color w:val="0070C0"/>
          <w:sz w:val="16"/>
          <w:szCs w:val="16"/>
        </w:rPr>
        <w:t>В начале ноября 1914 г. Председатель правления РБВЗ М.В. Шидловский, понимая, что наступил критический момент. составил докладные записки военному министру В.А. Сухомлинову и Верховному главнокомандующему великому князю Николаю Николаевичу, в которых лаконично и убедительно разобрал неудачный опыт применения «муромца» на фронте. Частично признавалось, что некоторые характеристики «муромца» действительно не так высоки, как хотелось бы, и поэтому завод уже создает машину нового типа. М.В. Шидловский, признавая целесообразность приостановки заказа на 32 машины, тем не менее настаивал на достройке первых десяти, заказанных еще в мае, и дальнейшей всесторонней проверке новой техники в боевых условиях.</w:t>
      </w:r>
    </w:p>
    <w:p w14:paraId="109419EA" w14:textId="77777777" w:rsidR="00875887" w:rsidRPr="00B52707" w:rsidRDefault="00875887" w:rsidP="00875887">
      <w:pPr>
        <w:jc w:val="both"/>
        <w:rPr>
          <w:color w:val="0070C0"/>
          <w:sz w:val="16"/>
          <w:szCs w:val="16"/>
        </w:rPr>
      </w:pPr>
      <w:r w:rsidRPr="00B52707">
        <w:rPr>
          <w:color w:val="0070C0"/>
          <w:sz w:val="16"/>
          <w:szCs w:val="16"/>
        </w:rPr>
        <w:t>В записке отмечалось, что невысокую эффективность применения воздушного корабля нужно отнести в первую очередь за счет недостаточной подготовки экипажа и некомпетентности командования, что основная причина не в низких летных качествах самолета, а в неправильной организации его использования. Развивая свою мысль, М.В. Шидловский предложил немедленно расформировать созданные боевые отряды из «муромцев» и собрать их в одну эскадру по образцу эскадры морских боевых кораблей: «...Каждое техническое средство для успешности его использования требует хорошо подготовленного как теоретически, так и практически личного состава. Такая подготовка имеет особо важное значение в военном деле.</w:t>
      </w:r>
    </w:p>
    <w:p w14:paraId="1CB2ECD1" w14:textId="77777777" w:rsidR="00875887" w:rsidRPr="00B52707" w:rsidRDefault="00875887" w:rsidP="00875887">
      <w:pPr>
        <w:jc w:val="both"/>
        <w:rPr>
          <w:color w:val="0070C0"/>
          <w:sz w:val="16"/>
          <w:szCs w:val="16"/>
        </w:rPr>
      </w:pPr>
      <w:r w:rsidRPr="00B52707">
        <w:rPr>
          <w:color w:val="0070C0"/>
          <w:sz w:val="16"/>
          <w:szCs w:val="16"/>
        </w:rPr>
        <w:t>Если бы аэропланы типа «Илья Муромец» еще до войны находились в составе нашей армии, несомненно, воздухоплавательные свойства этих аппаратов были бы подробно испытаны и изучены, а вместе с тем было бы выработано их вооружение и оборудование, строго согласованы со свойствами аппарата и с теми боевыми задачами, исполнение которых на основе всестороннего опыта, были бы признаны возможными на них возложить. Кроме того, были бы выработаны штаты личного состава с точным распределением обязанностей между отдельными чинами и таким образом аэроплан имел бы практически подготовленный личный состав, в совершенстве знающий свой аппарат.</w:t>
      </w:r>
    </w:p>
    <w:p w14:paraId="1733DA5B" w14:textId="77777777" w:rsidR="00875887" w:rsidRPr="00B52707" w:rsidRDefault="00875887" w:rsidP="00875887">
      <w:pPr>
        <w:jc w:val="both"/>
        <w:rPr>
          <w:color w:val="0070C0"/>
          <w:sz w:val="16"/>
          <w:szCs w:val="16"/>
        </w:rPr>
      </w:pPr>
      <w:r w:rsidRPr="00B52707">
        <w:rPr>
          <w:color w:val="0070C0"/>
          <w:sz w:val="16"/>
          <w:szCs w:val="16"/>
        </w:rPr>
        <w:t>К сожалению, первые аэропланы были выпущены и поступили в распоряжение военного ведомства значительно позже объявления войны и, при естественном желании возможно скорее использовать это новое оружие, были отправлены с только что сформированным личным составом и с теоретически разработанным, но не проверенным опытом вооружением.</w:t>
      </w:r>
    </w:p>
    <w:p w14:paraId="3B4C9306" w14:textId="77777777" w:rsidR="00875887" w:rsidRPr="00B52707" w:rsidRDefault="00875887" w:rsidP="00875887">
      <w:pPr>
        <w:jc w:val="both"/>
        <w:rPr>
          <w:color w:val="0070C0"/>
          <w:sz w:val="16"/>
          <w:szCs w:val="16"/>
        </w:rPr>
      </w:pPr>
      <w:r w:rsidRPr="00B52707">
        <w:rPr>
          <w:color w:val="0070C0"/>
          <w:sz w:val="16"/>
          <w:szCs w:val="16"/>
        </w:rPr>
        <w:t>Командование воздушного корабля, каковым является аэроплан типа «Илья Муромец», существенно разнится от управления аэропланом и требует от командира не только совершенного знакомства с характером и свойствами корабля, не только умения уверенно управлять им в полете, но и приемов правильно распределить между отдельными чинами команды обязанности по обслуживанию отдельных частей сложного механизма корабля. Хотя командирами Муромцев были назначены опытные летчики- инструкторы, но не получив необходимой предварительной подготовки для занятия этих должностей, не уверенные в свойствах аппаратов, с неопытными командами они оказались в затруднительном положении.</w:t>
      </w:r>
    </w:p>
    <w:p w14:paraId="03B12F57" w14:textId="77777777" w:rsidR="00875887" w:rsidRPr="00B52707" w:rsidRDefault="00875887" w:rsidP="00875887">
      <w:pPr>
        <w:jc w:val="both"/>
        <w:rPr>
          <w:color w:val="0070C0"/>
          <w:sz w:val="16"/>
          <w:szCs w:val="16"/>
        </w:rPr>
      </w:pPr>
      <w:r w:rsidRPr="00B52707">
        <w:rPr>
          <w:color w:val="0070C0"/>
          <w:sz w:val="16"/>
          <w:szCs w:val="16"/>
        </w:rPr>
        <w:t>Ввиду этого решено создать нечто вроде эскадры-школы воздушных кораблей, в которой личный состав аэропланов мог бы, под наблюдением технического персонала, сконструировавшего этот тип аэроплана, пройти курс управления и вооружения. Для сего надлежит сгруппировать всех Муромцев в одно место, удобное для организации практических упражнений и в то же самое время ближе к театру военных действий. В армию из эскадры будут отправляться только те, подготовку которых начальник эскадры признает достаточной...</w:t>
      </w:r>
    </w:p>
    <w:p w14:paraId="3F71CE22" w14:textId="77777777" w:rsidR="00875887" w:rsidRPr="00B52707" w:rsidRDefault="00875887" w:rsidP="00875887">
      <w:pPr>
        <w:jc w:val="both"/>
        <w:rPr>
          <w:color w:val="0070C0"/>
          <w:sz w:val="16"/>
          <w:szCs w:val="16"/>
        </w:rPr>
      </w:pPr>
      <w:r w:rsidRPr="00B52707">
        <w:rPr>
          <w:color w:val="0070C0"/>
          <w:sz w:val="16"/>
          <w:szCs w:val="16"/>
        </w:rPr>
        <w:t>...Для успеха дела необходимо поставить аэропланы большой мощности в соответствующие условия, причем необходимо помнить, что подобные аппараты не были еще в обращении и что в начале работ неизбежны мелкие недоразумения и неудачи, но будущее принадлежит большим аэропланам. Только они могут создать мощный непобедимый флот. В этом для завода нет никаких сомнений. Вот почему завод просит дать ему возможность практически показать на поле битвы способность аппаратов Илья Муромец наносить неприятелю такой ущерб, которого не может нанести ни один из существующих летательных аппаратов нашего времени. Для этого завод готов предоставить военному ведомству все свои технические средства и готов взять на себя прямую организацию соответствующего боевого отряда.</w:t>
      </w:r>
    </w:p>
    <w:p w14:paraId="0BFDCAAB" w14:textId="77777777" w:rsidR="00875887" w:rsidRPr="00B52707" w:rsidRDefault="00875887" w:rsidP="00875887">
      <w:pPr>
        <w:jc w:val="both"/>
        <w:rPr>
          <w:color w:val="0070C0"/>
          <w:sz w:val="16"/>
          <w:szCs w:val="16"/>
        </w:rPr>
      </w:pPr>
      <w:r w:rsidRPr="00B52707">
        <w:rPr>
          <w:color w:val="0070C0"/>
          <w:sz w:val="16"/>
          <w:szCs w:val="16"/>
        </w:rPr>
        <w:t>Для выяснения боевого значения этих аппаратов, по мнению завода, вполне достаточно заказанной ему первой серии в десять аппаратов, а потому завод полагал бы правильным приостановить исполнение второго заказа на 32 аппарата впредь до выяснения результатов деятельности первых десяти. Результаты эти или докажут важное боевое значение аэропланов типа «Илья Муромец» и дадут новый богатый материал для усовершенствования последних серий, или выяснят непригодность аппаратов для военных целей».</w:t>
      </w:r>
    </w:p>
    <w:p w14:paraId="2254AD35" w14:textId="77777777" w:rsidR="00875887" w:rsidRPr="00B52707" w:rsidRDefault="00875887" w:rsidP="00875887">
      <w:pPr>
        <w:jc w:val="both"/>
        <w:rPr>
          <w:color w:val="0070C0"/>
          <w:sz w:val="16"/>
          <w:szCs w:val="16"/>
        </w:rPr>
      </w:pPr>
      <w:r w:rsidRPr="00B52707">
        <w:rPr>
          <w:color w:val="0070C0"/>
          <w:sz w:val="16"/>
          <w:szCs w:val="16"/>
        </w:rPr>
        <w:t>Шидловский тщательно продумал и разработал и положение о будущей эскадре. Ее назначением предусматривалось: «содействие нашим войскам при боевых операциях, производя глубокую разведку в тылу противника, разрушая тыловые пути сообщения, укрепления и сооружения, имеющие важное военное значение, поражая резервы и уничтожая воздушный флот противника, склады боевых припасов и подвижные составы». Эскадра должна была состоять из: «а) боевых кораблей, соединенных в отряды; б) главной базы (школа, главные мастерские, центральный склад, метеорологическая станция, фотографический кабинет, топографический кабинет, гараж, строевая рота, техническая рота), имеющей целью подготовку личного состава для кораблей; снабжение отрядов; оборудование и капитальный ремонт кораблей и аэропланов».</w:t>
      </w:r>
    </w:p>
    <w:p w14:paraId="25858EBE" w14:textId="77777777" w:rsidR="00875887" w:rsidRPr="00B52707" w:rsidRDefault="00875887" w:rsidP="00875887">
      <w:pPr>
        <w:jc w:val="both"/>
        <w:rPr>
          <w:color w:val="0070C0"/>
          <w:sz w:val="16"/>
          <w:szCs w:val="16"/>
        </w:rPr>
      </w:pPr>
      <w:r w:rsidRPr="00B52707">
        <w:rPr>
          <w:color w:val="0070C0"/>
          <w:sz w:val="16"/>
          <w:szCs w:val="16"/>
        </w:rPr>
        <w:t>В Положении об управлении новым соединением особо отмечалось его стратегическое назначение: «Эскадра воздушных кораблей является оружием Верховного командования, непосредственно подчиняется Начальнику штаба Верховного главнокомандующего, который в соответствии с оперативными предположениями, определяет район боевой работы эскадры и, лично предписывая начальнику эскадры выполнение отдельных операций в этом районе, поручает ему выполнение задач, подаваемых непосредственно от тех штабов фронтов и армий, в районе которых расположены отряды эскадры».</w:t>
      </w:r>
    </w:p>
    <w:p w14:paraId="0FC1C340" w14:textId="77777777" w:rsidR="00875887" w:rsidRPr="00B52707" w:rsidRDefault="00875887" w:rsidP="00875887">
      <w:pPr>
        <w:jc w:val="both"/>
        <w:rPr>
          <w:color w:val="0070C0"/>
          <w:sz w:val="16"/>
          <w:szCs w:val="16"/>
        </w:rPr>
      </w:pPr>
      <w:r w:rsidRPr="00B52707">
        <w:rPr>
          <w:color w:val="0070C0"/>
          <w:sz w:val="16"/>
          <w:szCs w:val="16"/>
        </w:rPr>
        <w:t>Во главе Эскадры, по убеждению Шидловского М.В., должен стоять командир, знакомый с авиацией, и в частности, с тяжелыми самолетами. Здесь председатель правления РБВЗ заметил, что в прошлом он морской офицер, в настоящее время имеет прямое отношение к созданию воздушных кораблей и мог бы взять на себя ответственность возглавить эскадру: «Если бы мое непосредственное участие в работе, направленной к торжеству над врагом этого нового русского оружия, было признано полезным, то я готов представить свои силы и опыт в распоряжение военного ведомства».</w:t>
      </w:r>
    </w:p>
    <w:p w14:paraId="176C38E2" w14:textId="77777777" w:rsidR="00875887" w:rsidRPr="00B52707" w:rsidRDefault="00875887" w:rsidP="00875887">
      <w:pPr>
        <w:jc w:val="both"/>
        <w:rPr>
          <w:color w:val="0070C0"/>
          <w:sz w:val="16"/>
          <w:szCs w:val="16"/>
        </w:rPr>
      </w:pPr>
      <w:r w:rsidRPr="00B52707">
        <w:rPr>
          <w:color w:val="0070C0"/>
          <w:sz w:val="16"/>
          <w:szCs w:val="16"/>
        </w:rPr>
        <w:t>Всегда относившейся благосклонно к творчеству Сикорского И.И., военный министр Сухомлинов В.А. поддержал ходатайство Шидловского М.В.: «...недостатки такого аппарата, как «Илья Муромец» - это мелочи, Игорь Иванович Сикорский легко и сразу же исправит их, как только обратят на них внимание... становится очевидно, что то, что должно быть гордостью и славой России, до сих пор из-за вышеперечисленных пустяков не оправдывает возлагаемого на него ожидания ста семидесяти миллионов русских». Несмотря на противодействие великого князя Александра Михайловича, Верховный главнокомандующий выступил на стороне Сухомлинова В.А. Военному министру удалось получить одобрение идей Шидловского и на аудиенции у государя императора (24965).</w:t>
      </w:r>
    </w:p>
    <w:p w14:paraId="2DCEE648" w14:textId="77777777" w:rsidR="00875887" w:rsidRPr="00B52707" w:rsidRDefault="00875887" w:rsidP="00875887">
      <w:pPr>
        <w:jc w:val="both"/>
        <w:rPr>
          <w:color w:val="0070C0"/>
          <w:sz w:val="16"/>
          <w:szCs w:val="16"/>
        </w:rPr>
      </w:pPr>
    </w:p>
    <w:p w14:paraId="711873FE" w14:textId="3A49D0C7" w:rsidR="00FC1D6F" w:rsidRPr="00DE096C" w:rsidRDefault="00FC1D6F" w:rsidP="00FC1D6F">
      <w:pPr>
        <w:shd w:val="clear" w:color="auto" w:fill="FFFFFF"/>
        <w:jc w:val="both"/>
        <w:rPr>
          <w:bCs/>
          <w:i/>
          <w:color w:val="002060"/>
          <w:sz w:val="16"/>
          <w:szCs w:val="16"/>
        </w:rPr>
      </w:pPr>
      <w:r>
        <w:rPr>
          <w:bCs/>
          <w:i/>
          <w:color w:val="002060"/>
          <w:sz w:val="16"/>
          <w:szCs w:val="16"/>
        </w:rPr>
        <w:t>Другие оборонные отрасли</w:t>
      </w:r>
      <w:r w:rsidRPr="00DE096C">
        <w:rPr>
          <w:bCs/>
          <w:i/>
          <w:color w:val="002060"/>
          <w:sz w:val="16"/>
          <w:szCs w:val="16"/>
        </w:rPr>
        <w:t>:</w:t>
      </w:r>
    </w:p>
    <w:p w14:paraId="5226C50B" w14:textId="77777777" w:rsidR="00FC1D6F" w:rsidRPr="00DE096C" w:rsidRDefault="00FC1D6F" w:rsidP="00FC1D6F">
      <w:pPr>
        <w:shd w:val="clear" w:color="auto" w:fill="FFFFFF"/>
        <w:jc w:val="both"/>
        <w:rPr>
          <w:bCs/>
          <w:i/>
          <w:color w:val="002060"/>
          <w:sz w:val="16"/>
          <w:szCs w:val="16"/>
        </w:rPr>
      </w:pPr>
    </w:p>
    <w:p w14:paraId="05D85B37" w14:textId="77777777" w:rsidR="00FC1D6F" w:rsidRPr="00B52707" w:rsidRDefault="00FC1D6F" w:rsidP="00FC1D6F">
      <w:pPr>
        <w:jc w:val="both"/>
        <w:rPr>
          <w:color w:val="0070C0"/>
          <w:sz w:val="16"/>
          <w:szCs w:val="16"/>
        </w:rPr>
      </w:pPr>
      <w:r w:rsidRPr="00B52707">
        <w:rPr>
          <w:color w:val="0070C0"/>
          <w:sz w:val="16"/>
          <w:szCs w:val="16"/>
        </w:rPr>
        <w:t>В начале ноября 1914 г., когда Двина уже замерзла, прибыл пароход «Цуруга», на котором было более 300 автомобилей. Хотя выгрузка их подвигалась весьма туго, однако, она была окончена к сроку, и отправка автомобилей пошла полным ходом. Но вследствие ограниченного числа пода</w:t>
      </w:r>
      <w:r w:rsidRPr="00B52707">
        <w:rPr>
          <w:color w:val="0070C0"/>
          <w:sz w:val="16"/>
          <w:szCs w:val="16"/>
        </w:rPr>
        <w:softHyphen/>
        <w:t>ваемых платформ, выгруженным автомобилям пришлось довольно долго ожидать очереди отправки. В это время стали приходить новые пароходы, и пришлось одновременно с погрузкой автомобилей на платформы производить вы</w:t>
      </w:r>
      <w:r w:rsidRPr="00B52707">
        <w:rPr>
          <w:color w:val="0070C0"/>
          <w:sz w:val="16"/>
          <w:szCs w:val="16"/>
        </w:rPr>
        <w:softHyphen/>
        <w:t>грузку вновь прибывших автомобилей. С этого времени залежи автомобилей сделались хроническими (24923).</w:t>
      </w:r>
    </w:p>
    <w:p w14:paraId="582FF31E" w14:textId="77777777" w:rsidR="00FC1D6F" w:rsidRPr="00B52707" w:rsidRDefault="00FC1D6F" w:rsidP="00FC1D6F">
      <w:pPr>
        <w:jc w:val="both"/>
        <w:rPr>
          <w:color w:val="0070C0"/>
          <w:sz w:val="16"/>
          <w:szCs w:val="16"/>
        </w:rPr>
      </w:pPr>
    </w:p>
    <w:p w14:paraId="5D09DFC0" w14:textId="61185E19" w:rsidR="00FC1D6F" w:rsidRPr="00DE096C" w:rsidRDefault="00FC1D6F" w:rsidP="00FC1D6F">
      <w:pPr>
        <w:shd w:val="clear" w:color="auto" w:fill="FFFFFF"/>
        <w:jc w:val="both"/>
        <w:rPr>
          <w:bCs/>
          <w:i/>
          <w:color w:val="002060"/>
          <w:sz w:val="16"/>
          <w:szCs w:val="16"/>
        </w:rPr>
      </w:pPr>
      <w:r>
        <w:rPr>
          <w:bCs/>
          <w:i/>
          <w:color w:val="002060"/>
          <w:sz w:val="16"/>
          <w:szCs w:val="16"/>
        </w:rPr>
        <w:lastRenderedPageBreak/>
        <w:t>Авиация</w:t>
      </w:r>
      <w:r w:rsidRPr="00DE096C">
        <w:rPr>
          <w:bCs/>
          <w:i/>
          <w:color w:val="002060"/>
          <w:sz w:val="16"/>
          <w:szCs w:val="16"/>
        </w:rPr>
        <w:t>:</w:t>
      </w:r>
    </w:p>
    <w:p w14:paraId="5ED9BD30" w14:textId="77777777" w:rsidR="00FC1D6F" w:rsidRPr="00DE096C" w:rsidRDefault="00FC1D6F" w:rsidP="00FC1D6F">
      <w:pPr>
        <w:shd w:val="clear" w:color="auto" w:fill="FFFFFF"/>
        <w:jc w:val="both"/>
        <w:rPr>
          <w:bCs/>
          <w:i/>
          <w:color w:val="002060"/>
          <w:sz w:val="16"/>
          <w:szCs w:val="16"/>
        </w:rPr>
      </w:pPr>
    </w:p>
    <w:p w14:paraId="5459B5B2" w14:textId="77777777" w:rsidR="00FC1D6F" w:rsidRPr="00B52707" w:rsidRDefault="00FC1D6F" w:rsidP="00FC1D6F">
      <w:pPr>
        <w:jc w:val="both"/>
        <w:rPr>
          <w:color w:val="0070C0"/>
          <w:sz w:val="16"/>
          <w:szCs w:val="16"/>
        </w:rPr>
      </w:pPr>
      <w:r w:rsidRPr="00B52707">
        <w:rPr>
          <w:rStyle w:val="ab"/>
          <w:rFonts w:ascii="Times New Roman" w:hAnsi="Times New Roman"/>
          <w:color w:val="0070C0"/>
          <w:spacing w:val="0"/>
          <w:sz w:val="16"/>
          <w:szCs w:val="16"/>
        </w:rPr>
        <w:t>В начале ноября 1914 года на базе Гатчинского участка УР была развернута зенитно</w:t>
      </w:r>
      <w:r w:rsidRPr="00B52707">
        <w:rPr>
          <w:rStyle w:val="ab"/>
          <w:rFonts w:ascii="Times New Roman" w:hAnsi="Times New Roman"/>
          <w:color w:val="0070C0"/>
          <w:spacing w:val="0"/>
          <w:sz w:val="16"/>
          <w:szCs w:val="16"/>
        </w:rPr>
        <w:softHyphen/>
        <w:t>артиллерийская оборона (ЗАО, составная часть ВоздО) Императорской резиденции в Царском Селе (командир - капитан В.Н. Мальцев). В специальном отношении она подчинялась Дворцовому коменданту генерал-майору В.Н. Воейкову, в прочих отношениях - начальнику Главного артиллерийского управления (ГАУ).</w:t>
      </w:r>
    </w:p>
    <w:p w14:paraId="109C46E8" w14:textId="77777777" w:rsidR="00FC1D6F" w:rsidRPr="00B52707" w:rsidRDefault="00FC1D6F" w:rsidP="00FC1D6F">
      <w:pPr>
        <w:jc w:val="both"/>
        <w:rPr>
          <w:color w:val="0070C0"/>
          <w:sz w:val="16"/>
          <w:szCs w:val="16"/>
        </w:rPr>
      </w:pPr>
      <w:r w:rsidRPr="00B52707">
        <w:rPr>
          <w:rStyle w:val="ab"/>
          <w:rFonts w:ascii="Times New Roman" w:hAnsi="Times New Roman"/>
          <w:color w:val="0070C0"/>
          <w:spacing w:val="0"/>
          <w:sz w:val="16"/>
          <w:szCs w:val="16"/>
        </w:rPr>
        <w:t>Контроль за воздушной обстановкой в районе Финского залива осуществляла 1-я пограничная Петроградская Императора Александра III бригада. При ней была создана сеть наблюдательных (слеженных) постов, расположенных по линии: г. Выборг - р. Сестра и Красная Горка - Усть-Нарев, а также посты летучей почты’</w:t>
      </w:r>
      <w:r w:rsidRPr="00B52707">
        <w:rPr>
          <w:rStyle w:val="ab"/>
          <w:rFonts w:ascii="Times New Roman" w:hAnsi="Times New Roman"/>
          <w:color w:val="0070C0"/>
          <w:spacing w:val="0"/>
          <w:sz w:val="16"/>
          <w:szCs w:val="16"/>
          <w:vertAlign w:val="superscript"/>
        </w:rPr>
        <w:t>8</w:t>
      </w:r>
      <w:r w:rsidRPr="00B52707">
        <w:rPr>
          <w:rStyle w:val="ab"/>
          <w:rFonts w:ascii="Times New Roman" w:hAnsi="Times New Roman"/>
          <w:color w:val="0070C0"/>
          <w:spacing w:val="0"/>
          <w:sz w:val="16"/>
          <w:szCs w:val="16"/>
        </w:rPr>
        <w:t>. С передачей бригады военному ведомству она перешла в подчинение штаба 6-й армии (25166).</w:t>
      </w:r>
    </w:p>
    <w:p w14:paraId="5658F292" w14:textId="77777777" w:rsidR="00FC1D6F" w:rsidRPr="00B52707" w:rsidRDefault="00FC1D6F" w:rsidP="00FC1D6F">
      <w:pPr>
        <w:jc w:val="both"/>
        <w:rPr>
          <w:color w:val="0070C0"/>
          <w:sz w:val="16"/>
          <w:szCs w:val="16"/>
        </w:rPr>
      </w:pPr>
    </w:p>
    <w:p w14:paraId="2D5E9F09" w14:textId="77777777" w:rsidR="00FC1D6F" w:rsidRPr="00B52707" w:rsidRDefault="00FC1D6F" w:rsidP="00FC1D6F">
      <w:pPr>
        <w:jc w:val="both"/>
        <w:rPr>
          <w:color w:val="0070C0"/>
          <w:sz w:val="16"/>
          <w:szCs w:val="16"/>
        </w:rPr>
      </w:pPr>
      <w:r w:rsidRPr="00B52707">
        <w:rPr>
          <w:color w:val="0070C0"/>
          <w:sz w:val="16"/>
          <w:szCs w:val="16"/>
        </w:rPr>
        <w:t>В середине ноября 1914 г. немецкий аэроплан системы «Альбатрос» появился в небе г. Полоцк и сбросил на него две бомбы (без какого-либо вреда). На обратном пути неприятельские летчики были вынуждены совершить вынужденную посадку западнее г. Рыпин (царство Польское). Несмотря на поддержку, оказанную им со стороны германской пехоты (в количестве до двух рот), летательный аппарат был отбит русскими драгунами и отправлен в наш тыл в полной исправности</w:t>
      </w:r>
      <w:hyperlink r:id="rId46" w:anchor="idm139863465654608" w:history="1">
        <w:r w:rsidRPr="00B52707">
          <w:rPr>
            <w:rStyle w:val="af0"/>
            <w:color w:val="0070C0"/>
            <w:sz w:val="16"/>
            <w:szCs w:val="16"/>
            <w:vertAlign w:val="superscript"/>
          </w:rPr>
          <w:t>48</w:t>
        </w:r>
      </w:hyperlink>
      <w:r w:rsidRPr="00B52707">
        <w:rPr>
          <w:color w:val="0070C0"/>
          <w:sz w:val="16"/>
          <w:szCs w:val="16"/>
        </w:rPr>
        <w:t>. Немецкие летчики (лейтенанты Мерез и Польте) попали в плен (25135).</w:t>
      </w:r>
    </w:p>
    <w:p w14:paraId="2207E780" w14:textId="77777777" w:rsidR="00FC1D6F" w:rsidRPr="00B52707" w:rsidRDefault="00FC1D6F" w:rsidP="00FC1D6F">
      <w:pPr>
        <w:jc w:val="both"/>
        <w:rPr>
          <w:color w:val="0070C0"/>
          <w:sz w:val="16"/>
          <w:szCs w:val="16"/>
        </w:rPr>
      </w:pPr>
    </w:p>
    <w:p w14:paraId="7D8EB8BB" w14:textId="6786D84C" w:rsidR="00B67D7C" w:rsidRPr="00DE096C" w:rsidRDefault="00B67D7C" w:rsidP="00D45A46">
      <w:pPr>
        <w:shd w:val="clear" w:color="auto" w:fill="FFFFFF"/>
        <w:jc w:val="both"/>
        <w:rPr>
          <w:bCs/>
          <w:i/>
          <w:color w:val="002060"/>
          <w:sz w:val="16"/>
          <w:szCs w:val="16"/>
        </w:rPr>
      </w:pPr>
      <w:r w:rsidRPr="00DE096C">
        <w:rPr>
          <w:bCs/>
          <w:i/>
          <w:color w:val="002060"/>
          <w:sz w:val="16"/>
          <w:szCs w:val="16"/>
        </w:rPr>
        <w:t>Военное воздухоплавание:</w:t>
      </w:r>
    </w:p>
    <w:p w14:paraId="6751D42B" w14:textId="77777777" w:rsidR="00B67D7C" w:rsidRPr="00DE096C" w:rsidRDefault="00B67D7C" w:rsidP="00D45A46">
      <w:pPr>
        <w:shd w:val="clear" w:color="auto" w:fill="FFFFFF"/>
        <w:jc w:val="both"/>
        <w:rPr>
          <w:bCs/>
          <w:i/>
          <w:color w:val="002060"/>
          <w:sz w:val="16"/>
          <w:szCs w:val="16"/>
        </w:rPr>
      </w:pPr>
    </w:p>
    <w:p w14:paraId="494567BD" w14:textId="509C890D" w:rsidR="00B67D7C" w:rsidRPr="00DE096C" w:rsidRDefault="00B67D7C" w:rsidP="00D45A46">
      <w:pPr>
        <w:jc w:val="both"/>
        <w:rPr>
          <w:bCs/>
          <w:color w:val="002060"/>
          <w:sz w:val="16"/>
          <w:szCs w:val="16"/>
        </w:rPr>
      </w:pPr>
      <w:r w:rsidRPr="00DE096C">
        <w:rPr>
          <w:bCs/>
          <w:color w:val="002060"/>
          <w:sz w:val="16"/>
          <w:szCs w:val="16"/>
        </w:rPr>
        <w:t>В начале ноября 1914 года в Лидском эллинге стали готовиться к наполнению несущим газом «Астры», и к середине декабря дирижабль был готов к полетам. Командиром корабля стал А. Шабский (11324).</w:t>
      </w:r>
    </w:p>
    <w:p w14:paraId="06A989A4" w14:textId="77777777" w:rsidR="00B67D7C" w:rsidRPr="00DE096C" w:rsidRDefault="00B67D7C" w:rsidP="00D45A46">
      <w:pPr>
        <w:shd w:val="clear" w:color="auto" w:fill="FFFFFF"/>
        <w:jc w:val="both"/>
        <w:rPr>
          <w:bCs/>
          <w:i/>
          <w:color w:val="002060"/>
          <w:sz w:val="16"/>
          <w:szCs w:val="16"/>
        </w:rPr>
      </w:pPr>
    </w:p>
    <w:p w14:paraId="31121319"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Самолетостроение:</w:t>
      </w:r>
    </w:p>
    <w:p w14:paraId="1D737A9B" w14:textId="77777777" w:rsidR="00B67D7C" w:rsidRPr="00DE096C" w:rsidRDefault="00B67D7C" w:rsidP="00D45A46">
      <w:pPr>
        <w:pStyle w:val="a3"/>
        <w:jc w:val="both"/>
        <w:rPr>
          <w:bCs/>
          <w:color w:val="002060"/>
          <w:spacing w:val="0"/>
          <w:kern w:val="0"/>
          <w:position w:val="0"/>
          <w:sz w:val="16"/>
          <w:szCs w:val="16"/>
        </w:rPr>
      </w:pPr>
    </w:p>
    <w:p w14:paraId="72333B96" w14:textId="1FDD56A2" w:rsidR="00B67D7C" w:rsidRPr="00DE096C" w:rsidRDefault="00B67D7C" w:rsidP="00D45A46">
      <w:pPr>
        <w:jc w:val="both"/>
        <w:rPr>
          <w:bCs/>
          <w:color w:val="002060"/>
          <w:sz w:val="16"/>
          <w:szCs w:val="16"/>
        </w:rPr>
      </w:pPr>
      <w:bookmarkStart w:id="200" w:name="_Hlk117359202"/>
      <w:r w:rsidRPr="00DE096C">
        <w:rPr>
          <w:bCs/>
          <w:color w:val="002060"/>
          <w:sz w:val="16"/>
          <w:szCs w:val="16"/>
        </w:rPr>
        <w:t xml:space="preserve">8 </w:t>
      </w:r>
      <w:r w:rsidR="0099721D" w:rsidRPr="00DE096C">
        <w:rPr>
          <w:bCs/>
          <w:color w:val="002060"/>
          <w:sz w:val="16"/>
          <w:szCs w:val="16"/>
        </w:rPr>
        <w:t xml:space="preserve">(21) </w:t>
      </w:r>
      <w:r w:rsidRPr="00DE096C">
        <w:rPr>
          <w:bCs/>
          <w:color w:val="002060"/>
          <w:sz w:val="16"/>
          <w:szCs w:val="16"/>
        </w:rPr>
        <w:t xml:space="preserve">ноября </w:t>
      </w:r>
      <w:r w:rsidR="0099721D" w:rsidRPr="00DE096C">
        <w:rPr>
          <w:bCs/>
          <w:color w:val="002060"/>
          <w:sz w:val="16"/>
          <w:szCs w:val="16"/>
        </w:rPr>
        <w:t xml:space="preserve">1914 г. </w:t>
      </w:r>
      <w:r w:rsidRPr="00DE096C">
        <w:rPr>
          <w:bCs/>
          <w:color w:val="002060"/>
          <w:sz w:val="16"/>
          <w:szCs w:val="16"/>
        </w:rPr>
        <w:t>сообщалось, что на "Муромце III" пригоняется съёмный артиллерийский мостик (12041).</w:t>
      </w:r>
    </w:p>
    <w:p w14:paraId="3281DAEF" w14:textId="24DB476E" w:rsidR="00B67D7C" w:rsidRPr="00DE096C" w:rsidRDefault="00B67D7C" w:rsidP="00D45A46">
      <w:pPr>
        <w:jc w:val="both"/>
        <w:rPr>
          <w:bCs/>
          <w:color w:val="002060"/>
          <w:sz w:val="16"/>
          <w:szCs w:val="16"/>
        </w:rPr>
      </w:pPr>
    </w:p>
    <w:p w14:paraId="0B501DA8" w14:textId="47F9D0BA" w:rsidR="00713DF7" w:rsidRPr="00DE096C" w:rsidRDefault="00713DF7" w:rsidP="00D45A46">
      <w:pPr>
        <w:jc w:val="both"/>
        <w:rPr>
          <w:bCs/>
          <w:i/>
          <w:iCs/>
          <w:color w:val="002060"/>
          <w:sz w:val="16"/>
          <w:szCs w:val="16"/>
        </w:rPr>
      </w:pPr>
      <w:r w:rsidRPr="00DE096C">
        <w:rPr>
          <w:bCs/>
          <w:i/>
          <w:iCs/>
          <w:color w:val="002060"/>
          <w:sz w:val="16"/>
          <w:szCs w:val="16"/>
        </w:rPr>
        <w:t>Авиация:</w:t>
      </w:r>
    </w:p>
    <w:p w14:paraId="3BAE3B90" w14:textId="77777777" w:rsidR="00713DF7" w:rsidRPr="00DE096C" w:rsidRDefault="00713DF7" w:rsidP="00D45A46">
      <w:pPr>
        <w:jc w:val="both"/>
        <w:rPr>
          <w:bCs/>
          <w:i/>
          <w:iCs/>
          <w:color w:val="002060"/>
          <w:sz w:val="16"/>
          <w:szCs w:val="16"/>
        </w:rPr>
      </w:pPr>
    </w:p>
    <w:bookmarkEnd w:id="200"/>
    <w:p w14:paraId="2EBEDB8A" w14:textId="77777777" w:rsidR="00713DF7" w:rsidRPr="00DE096C" w:rsidRDefault="00713DF7" w:rsidP="00D45A46">
      <w:pPr>
        <w:jc w:val="both"/>
        <w:rPr>
          <w:bCs/>
          <w:color w:val="002060"/>
          <w:sz w:val="16"/>
          <w:szCs w:val="16"/>
        </w:rPr>
      </w:pPr>
      <w:r w:rsidRPr="00DE096C">
        <w:rPr>
          <w:bCs/>
          <w:color w:val="002060"/>
          <w:sz w:val="16"/>
          <w:szCs w:val="16"/>
        </w:rPr>
        <w:t>8 (21) ноября 1914 г. летчик 6-го авиаотряда шт.-капитан Иван Степанович Стрельников, когда все виды связи ВГК и главнокомандующих армиями Сев.-Западного фронта со 2-й и 5-й армиями были у трачены, доставил на самолете приказание чрезвычайной важности при исключительно неблагоприятной погоде и постоянном обстреле противником, установил прорванную связь между армиями, а возвратившись, ориентировал o положении дел на участках этих армий. Связь самолетов была уста</w:t>
      </w:r>
      <w:r w:rsidRPr="00DE096C">
        <w:rPr>
          <w:bCs/>
          <w:color w:val="002060"/>
          <w:sz w:val="16"/>
          <w:szCs w:val="16"/>
        </w:rPr>
        <w:softHyphen/>
        <w:t>новлена на расстоянии 300 верст.</w:t>
      </w:r>
    </w:p>
    <w:p w14:paraId="6AF907E9" w14:textId="77777777" w:rsidR="00713DF7" w:rsidRPr="00DE096C" w:rsidRDefault="00713DF7" w:rsidP="00D45A46">
      <w:pPr>
        <w:jc w:val="both"/>
        <w:rPr>
          <w:bCs/>
          <w:color w:val="002060"/>
          <w:sz w:val="16"/>
          <w:szCs w:val="16"/>
        </w:rPr>
      </w:pPr>
      <w:r w:rsidRPr="00DE096C">
        <w:rPr>
          <w:bCs/>
          <w:color w:val="002060"/>
          <w:sz w:val="16"/>
          <w:szCs w:val="16"/>
        </w:rPr>
        <w:t>/ЦГВИА, ф. 493, оп. 3, д. 129, л. 165/ (23320).</w:t>
      </w:r>
    </w:p>
    <w:p w14:paraId="6EB15A1F" w14:textId="77777777" w:rsidR="00713DF7" w:rsidRPr="00DE096C" w:rsidRDefault="00713DF7" w:rsidP="00D45A46">
      <w:pPr>
        <w:jc w:val="both"/>
        <w:rPr>
          <w:bCs/>
          <w:color w:val="002060"/>
          <w:sz w:val="16"/>
          <w:szCs w:val="16"/>
        </w:rPr>
      </w:pPr>
    </w:p>
    <w:p w14:paraId="1495EB93" w14:textId="77777777" w:rsidR="00FF6D88" w:rsidRPr="00DE096C" w:rsidRDefault="00FF6D88" w:rsidP="00D45A46">
      <w:pPr>
        <w:jc w:val="both"/>
        <w:rPr>
          <w:bCs/>
          <w:color w:val="002060"/>
          <w:sz w:val="16"/>
          <w:szCs w:val="16"/>
        </w:rPr>
      </w:pPr>
      <w:r w:rsidRPr="00DE096C">
        <w:rPr>
          <w:bCs/>
          <w:color w:val="002060"/>
          <w:sz w:val="16"/>
          <w:szCs w:val="16"/>
        </w:rPr>
        <w:t>8-9 (21-22) ноября 1914 г. немецкие летчики бомбардировали Лодзь и Варшаву. В Лодзи разрушили фабрику, повредили много домов и ранили много жителей.</w:t>
      </w:r>
    </w:p>
    <w:p w14:paraId="567B18AE" w14:textId="77777777" w:rsidR="00FF6D88" w:rsidRPr="00DE096C" w:rsidRDefault="00FF6D88" w:rsidP="00D45A46">
      <w:pPr>
        <w:jc w:val="both"/>
        <w:rPr>
          <w:bCs/>
          <w:color w:val="002060"/>
          <w:sz w:val="16"/>
          <w:szCs w:val="16"/>
        </w:rPr>
      </w:pPr>
      <w:r w:rsidRPr="00DE096C">
        <w:rPr>
          <w:bCs/>
          <w:color w:val="002060"/>
          <w:sz w:val="16"/>
          <w:szCs w:val="16"/>
        </w:rPr>
        <w:t>/"Утро России" за 16 ноября 1914; "Воздухоплаватель" 1915 № 1/ (23320).</w:t>
      </w:r>
    </w:p>
    <w:p w14:paraId="4B6EA07B" w14:textId="77777777" w:rsidR="00FF6D88" w:rsidRPr="00DE096C" w:rsidRDefault="00FF6D88" w:rsidP="00D45A46">
      <w:pPr>
        <w:jc w:val="both"/>
        <w:rPr>
          <w:bCs/>
          <w:color w:val="002060"/>
          <w:sz w:val="16"/>
          <w:szCs w:val="16"/>
        </w:rPr>
      </w:pPr>
    </w:p>
    <w:p w14:paraId="3AB8DCF7"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Авиация и воздухоплавание Германии:</w:t>
      </w:r>
    </w:p>
    <w:p w14:paraId="6101B6E9" w14:textId="77777777" w:rsidR="00B67D7C" w:rsidRPr="00DE096C" w:rsidRDefault="00B67D7C" w:rsidP="00D45A46">
      <w:pPr>
        <w:pStyle w:val="a3"/>
        <w:jc w:val="both"/>
        <w:rPr>
          <w:bCs/>
          <w:color w:val="002060"/>
          <w:spacing w:val="0"/>
          <w:kern w:val="0"/>
          <w:position w:val="0"/>
          <w:sz w:val="16"/>
          <w:szCs w:val="16"/>
        </w:rPr>
      </w:pPr>
    </w:p>
    <w:p w14:paraId="19D2F7EA" w14:textId="635FA324" w:rsidR="00B67D7C" w:rsidRPr="00DE096C" w:rsidRDefault="00B67D7C" w:rsidP="00D45A46">
      <w:pPr>
        <w:jc w:val="both"/>
        <w:rPr>
          <w:bCs/>
          <w:color w:val="002060"/>
          <w:sz w:val="16"/>
          <w:szCs w:val="16"/>
        </w:rPr>
      </w:pPr>
      <w:r w:rsidRPr="00DE096C">
        <w:rPr>
          <w:bCs/>
          <w:color w:val="002060"/>
          <w:sz w:val="16"/>
          <w:szCs w:val="16"/>
        </w:rPr>
        <w:t xml:space="preserve">8 (21) ноября </w:t>
      </w:r>
      <w:r w:rsidR="0099721D" w:rsidRPr="00DE096C">
        <w:rPr>
          <w:bCs/>
          <w:color w:val="002060"/>
          <w:sz w:val="16"/>
          <w:szCs w:val="16"/>
        </w:rPr>
        <w:t xml:space="preserve">1914 г. </w:t>
      </w:r>
      <w:r w:rsidRPr="00DE096C">
        <w:rPr>
          <w:bCs/>
          <w:color w:val="002060"/>
          <w:sz w:val="16"/>
          <w:szCs w:val="16"/>
        </w:rPr>
        <w:t xml:space="preserve">англичане успешно атаковали верфь в Фридрихсхафене и нанесли повреждения практически построенному новому дирижаблю, а в декабре их гидросамолеты осуществили бомбардировку Куксхафена. В конце концов, под давлением высшего командования рейхсвера Вильгельм был вынужден разрешить бомбардировки Британских островов. В телеграмме, которая поступила в главный штаб ВМФ под новый 1915 год, указывались цели для налетов: доки, военные заводы, учебные лагеря неприятеля, расположенные в нижнем течении Темзы. Экипажам цеппелинов категорически воспрещалось сбрасывать бомбы на жилые кварталы Лондона. </w:t>
      </w:r>
    </w:p>
    <w:p w14:paraId="4D7D9BBB" w14:textId="77777777" w:rsidR="00B67D7C" w:rsidRPr="00DE096C" w:rsidRDefault="00B67D7C" w:rsidP="00D45A46">
      <w:pPr>
        <w:jc w:val="both"/>
        <w:rPr>
          <w:bCs/>
          <w:color w:val="002060"/>
          <w:sz w:val="16"/>
          <w:szCs w:val="16"/>
        </w:rPr>
      </w:pPr>
      <w:r w:rsidRPr="00DE096C">
        <w:rPr>
          <w:bCs/>
          <w:color w:val="002060"/>
          <w:sz w:val="16"/>
          <w:szCs w:val="16"/>
        </w:rPr>
        <w:t xml:space="preserve">Стоит ли описывать, с каким восторгом Петер Штрассер прочел эту телеграмму. Наконец-то наступил звездный час боевых дирижаблей! То, чего не могли добиться закованные в броню эскадры Флота открытого моря (так немцы называли главные силы ВМФ. — </w:t>
      </w:r>
      <w:r w:rsidRPr="00DE096C">
        <w:rPr>
          <w:bCs/>
          <w:i/>
          <w:color w:val="002060"/>
          <w:sz w:val="16"/>
          <w:szCs w:val="16"/>
        </w:rPr>
        <w:t>Сост.),</w:t>
      </w:r>
      <w:r w:rsidRPr="00DE096C">
        <w:rPr>
          <w:bCs/>
          <w:color w:val="002060"/>
          <w:sz w:val="16"/>
          <w:szCs w:val="16"/>
        </w:rPr>
        <w:t xml:space="preserve"> сделает его дивизион «летающих сарделек». Он, лейтенант Штрассер, как древний галл, принесет войну на берега надменной Англии и заставит противника капитулировать в своем собственном логове. </w:t>
      </w:r>
    </w:p>
    <w:p w14:paraId="66CC38F6" w14:textId="77777777" w:rsidR="00B67D7C" w:rsidRPr="00DE096C" w:rsidRDefault="00B67D7C" w:rsidP="00D45A46">
      <w:pPr>
        <w:jc w:val="both"/>
        <w:rPr>
          <w:bCs/>
          <w:color w:val="002060"/>
          <w:sz w:val="16"/>
          <w:szCs w:val="16"/>
        </w:rPr>
      </w:pPr>
      <w:r w:rsidRPr="00DE096C">
        <w:rPr>
          <w:bCs/>
          <w:color w:val="002060"/>
          <w:sz w:val="16"/>
          <w:szCs w:val="16"/>
        </w:rPr>
        <w:t xml:space="preserve">Нельзя сказать, что командование военно-морского флота Германии единодушно поддержало порыв «сумасшедшего лейтенанта». Многие адмиралы старой закалки, ревниво относившиеся к успехам новых видов оружия вроде подводных лодок и дирижаблей и слепо верившие в то, что «дредноут» по-прежнему является «царем зверей» среди прочей водоплавающей мелюзги, довольно резко критиковали план Штрассера. Их главными аргументами против рейдов на Англию выступали малая бомбовая нагрузка цеппелинов и их высокая уязвимость от зенитного огня. </w:t>
      </w:r>
    </w:p>
    <w:p w14:paraId="43B22203" w14:textId="77777777" w:rsidR="00B67D7C" w:rsidRPr="00DE096C" w:rsidRDefault="00B67D7C" w:rsidP="00D45A46">
      <w:pPr>
        <w:jc w:val="both"/>
        <w:rPr>
          <w:bCs/>
          <w:color w:val="002060"/>
          <w:sz w:val="16"/>
          <w:szCs w:val="16"/>
        </w:rPr>
      </w:pPr>
      <w:r w:rsidRPr="00DE096C">
        <w:rPr>
          <w:bCs/>
          <w:color w:val="002060"/>
          <w:sz w:val="16"/>
          <w:szCs w:val="16"/>
        </w:rPr>
        <w:t>Но Штрассера не так-то просто было сбить с пути, который он считал единственно правильным в сложившейся ситуации. Да, соглашался он, один залп линкора весит в несколько раз больше, чем бомбовая нагрузка самого большого дирижабля. Но линкоры флота заперты англичанами в гаванях и в принципе не могут обстреливать британское побережье. Очевидно, что любой броненосец, прорвавшийся в устье Темзы, способен «переколотить очень много посуды» на «военной кухне» англичан. Только вот добраться туда ему не позволит ни британский флот, ни батареи береговой обороны. А цеппелин под покровом ночи незаметно проскользнет над Северным морем и нанесет спящему Джону Булю удар прямо в спину. Цель бомбардировок Англии, доказывал Штрассер, заключается не в физическом разрушении ее военной промышленности и инфраструктуры, а в подрыве боевого духа противника, создания паники в тылу врага. Когда на беззащитные города обрушатся первые [110] бомбы, англичанам придется срочно перебрасывать с фронта на территорию метрополии зенитные батареи, прожекторные дивизионы и эскадрильи истребителей, так необходимые на Западном фронте. Ночные налеты заставят ввести затемнение городов, гаваней, заводов, арсеналов, что, в свою очередь, самым негативным образом скажется на выпуске военной продукции. А что касается возможных потерь, так ни одно сражение не может быть выиграно без крови и жертв. Он, Петер Штрассер, и его подчиненные являются верными солдатами кайзера и готовы умереть за фатерлянд, если это потребуется. Боевой дух в Дивизионе воздушных кораблей необычайно высок, материальная часть находится в полном порядке, он как автор и командир операции ручается за ее благополучный исход (11324).</w:t>
      </w:r>
    </w:p>
    <w:p w14:paraId="23CFB578" w14:textId="77777777" w:rsidR="00B67D7C" w:rsidRPr="00DE096C" w:rsidRDefault="00B67D7C" w:rsidP="00D45A46">
      <w:pPr>
        <w:shd w:val="clear" w:color="auto" w:fill="FFFFFF"/>
        <w:jc w:val="both"/>
        <w:rPr>
          <w:bCs/>
          <w:i/>
          <w:color w:val="002060"/>
          <w:sz w:val="16"/>
          <w:szCs w:val="16"/>
        </w:rPr>
      </w:pPr>
    </w:p>
    <w:p w14:paraId="7271710A" w14:textId="77777777" w:rsidR="00B67D7C" w:rsidRPr="00DE096C" w:rsidRDefault="00B67D7C" w:rsidP="00D45A46">
      <w:pPr>
        <w:jc w:val="both"/>
        <w:rPr>
          <w:bCs/>
          <w:i/>
          <w:color w:val="002060"/>
          <w:sz w:val="16"/>
          <w:szCs w:val="16"/>
        </w:rPr>
      </w:pPr>
      <w:r w:rsidRPr="00DE096C">
        <w:rPr>
          <w:bCs/>
          <w:i/>
          <w:color w:val="002060"/>
          <w:sz w:val="16"/>
          <w:szCs w:val="16"/>
        </w:rPr>
        <w:t>Авиация и воздухоплавание Англии:</w:t>
      </w:r>
    </w:p>
    <w:p w14:paraId="050A9289" w14:textId="77777777" w:rsidR="00B67D7C" w:rsidRPr="00DE096C" w:rsidRDefault="00B67D7C" w:rsidP="00D45A46">
      <w:pPr>
        <w:jc w:val="both"/>
        <w:rPr>
          <w:bCs/>
          <w:i/>
          <w:color w:val="002060"/>
          <w:sz w:val="16"/>
          <w:szCs w:val="16"/>
        </w:rPr>
      </w:pPr>
    </w:p>
    <w:p w14:paraId="026E50D6" w14:textId="67027863" w:rsidR="00F23DA1" w:rsidRPr="00DE096C" w:rsidRDefault="00F23DA1" w:rsidP="00D45A46">
      <w:pPr>
        <w:jc w:val="both"/>
        <w:rPr>
          <w:bCs/>
          <w:color w:val="002060"/>
          <w:sz w:val="16"/>
          <w:szCs w:val="16"/>
        </w:rPr>
      </w:pPr>
      <w:r w:rsidRPr="00DE096C">
        <w:rPr>
          <w:bCs/>
          <w:color w:val="002060"/>
          <w:sz w:val="16"/>
          <w:szCs w:val="16"/>
        </w:rPr>
        <w:t xml:space="preserve">8 (21) ноября 1914 Три Royal Naval Air Service Avro 504s, базирующиеся на Бельфор, Франция, совершают первый стратегической бомбардировки рейд дальнего радиуса действия, нападения на ангары немецких дирижаблей на берегу Боденского озера в Friederichshafen. Несущие на себе четыре 20-фунтовые (9-кг) бомбы каждая, они вызывают взрыв газового завода и сильно повреждают дирижабль, но один самолет сбит (20337). </w:t>
      </w:r>
    </w:p>
    <w:p w14:paraId="5D1FC39C" w14:textId="77777777" w:rsidR="00F23DA1" w:rsidRPr="00DE096C" w:rsidRDefault="00F23DA1" w:rsidP="00D45A46">
      <w:pPr>
        <w:jc w:val="both"/>
        <w:rPr>
          <w:bCs/>
          <w:color w:val="002060"/>
          <w:sz w:val="16"/>
          <w:szCs w:val="16"/>
        </w:rPr>
      </w:pPr>
    </w:p>
    <w:p w14:paraId="01A435AA" w14:textId="2375167A" w:rsidR="00B67D7C" w:rsidRPr="00DE096C" w:rsidRDefault="00B67D7C" w:rsidP="00D45A46">
      <w:pPr>
        <w:jc w:val="both"/>
        <w:rPr>
          <w:bCs/>
          <w:color w:val="002060"/>
          <w:sz w:val="16"/>
          <w:szCs w:val="16"/>
        </w:rPr>
      </w:pPr>
      <w:r w:rsidRPr="00DE096C">
        <w:rPr>
          <w:bCs/>
          <w:color w:val="002060"/>
          <w:sz w:val="16"/>
          <w:szCs w:val="16"/>
        </w:rPr>
        <w:t xml:space="preserve">8 (21) ноября, </w:t>
      </w:r>
      <w:r w:rsidR="0099721D" w:rsidRPr="00DE096C">
        <w:rPr>
          <w:bCs/>
          <w:color w:val="002060"/>
          <w:sz w:val="16"/>
          <w:szCs w:val="16"/>
        </w:rPr>
        <w:t>воодушевленные первым успехом, англичане спланировали 400-километровое нападение на базу цеппелинов под Фридрихсхафеном, рядом со швейцарской границей. С</w:t>
      </w:r>
      <w:r w:rsidRPr="00DE096C">
        <w:rPr>
          <w:bCs/>
          <w:color w:val="002060"/>
          <w:sz w:val="16"/>
          <w:szCs w:val="16"/>
        </w:rPr>
        <w:t>сделав промежуточную посадку в французской крепости Бельфор для заправки и подвески бомб, 4 самолета стартовали на задание. Вскоре у одного из них обнаружилась неисправность в двигателе и он вернулся в Бельфор. Оставшиеся самолеты достигли цели и успешно отбомбились. Противнику был нанесен значительный ущерб (11324).</w:t>
      </w:r>
    </w:p>
    <w:p w14:paraId="13AB6E76" w14:textId="77777777" w:rsidR="00B67D7C" w:rsidRPr="00DE096C" w:rsidRDefault="00B67D7C" w:rsidP="00D45A46">
      <w:pPr>
        <w:jc w:val="both"/>
        <w:rPr>
          <w:bCs/>
          <w:i/>
          <w:color w:val="002060"/>
          <w:sz w:val="16"/>
          <w:szCs w:val="16"/>
        </w:rPr>
      </w:pPr>
    </w:p>
    <w:p w14:paraId="32B96515" w14:textId="5DEBFA18" w:rsidR="00B67D7C" w:rsidRPr="00DE096C" w:rsidRDefault="00B67D7C" w:rsidP="00D45A46">
      <w:pPr>
        <w:jc w:val="both"/>
        <w:rPr>
          <w:bCs/>
          <w:color w:val="002060"/>
          <w:sz w:val="16"/>
          <w:szCs w:val="16"/>
        </w:rPr>
      </w:pPr>
      <w:r w:rsidRPr="00DE096C">
        <w:rPr>
          <w:bCs/>
          <w:color w:val="002060"/>
          <w:sz w:val="16"/>
          <w:szCs w:val="16"/>
        </w:rPr>
        <w:t xml:space="preserve">8 (21) ноября 1914 года, с аэродрома Белфора поднялись 4 самолета «Авро 504С». Они получили задание атаковать заводы в Фридрихсхафене. Три британские машины достигли цели. Сброшенные бомбы, хотя и нанесли повреждения, но уничтожить морской дирижабль L-7 не смогли. Британцы повторили свои атаки против дирижаблей только через полгода. 7 июня 1915 года биплан «Фарман» с военно-морской базы в Дюнкерке уничтожил эллинг вместе с находящимся там LZ-38 на аэродроме в Брюсселе. [156] </w:t>
      </w:r>
    </w:p>
    <w:p w14:paraId="0D67AF29" w14:textId="77777777" w:rsidR="00B67D7C" w:rsidRPr="00DE096C" w:rsidRDefault="00B67D7C" w:rsidP="00D45A46">
      <w:pPr>
        <w:jc w:val="both"/>
        <w:rPr>
          <w:bCs/>
          <w:color w:val="002060"/>
          <w:sz w:val="16"/>
          <w:szCs w:val="16"/>
        </w:rPr>
      </w:pPr>
      <w:r w:rsidRPr="00DE096C">
        <w:rPr>
          <w:bCs/>
          <w:color w:val="002060"/>
          <w:sz w:val="16"/>
          <w:szCs w:val="16"/>
        </w:rPr>
        <w:t>В тот же день произошел первый в истории воздушный бой самолета с цеппелином. LZ-37 был атакован младшим лейтенантом Уорнефордом. Британский летчик смог поднять свой «Моран-Солнье LA» над цеппелином и сбросить на воздушный корабль все шесть девятикилограммовых бомб. Объятый пламенем LZ-37 рухнул на землю вблизи бельгийского города Гент. Заслуга летчика была отмечена высшим орденом Британской империи — Крестом победы (11234).</w:t>
      </w:r>
    </w:p>
    <w:p w14:paraId="5DB76F87" w14:textId="77777777" w:rsidR="00B67D7C" w:rsidRPr="00DE096C" w:rsidRDefault="00B67D7C" w:rsidP="00D45A46">
      <w:pPr>
        <w:shd w:val="clear" w:color="auto" w:fill="FFFFFF"/>
        <w:jc w:val="both"/>
        <w:rPr>
          <w:bCs/>
          <w:i/>
          <w:color w:val="002060"/>
          <w:sz w:val="16"/>
          <w:szCs w:val="16"/>
        </w:rPr>
      </w:pPr>
    </w:p>
    <w:p w14:paraId="613E7601" w14:textId="77777777" w:rsidR="00B67D7C" w:rsidRPr="00DE096C" w:rsidRDefault="00B67D7C" w:rsidP="00D45A46">
      <w:pPr>
        <w:jc w:val="both"/>
        <w:rPr>
          <w:bCs/>
          <w:color w:val="002060"/>
          <w:sz w:val="16"/>
          <w:szCs w:val="16"/>
        </w:rPr>
      </w:pPr>
      <w:r w:rsidRPr="00DE096C">
        <w:rPr>
          <w:bCs/>
          <w:color w:val="002060"/>
          <w:sz w:val="16"/>
          <w:szCs w:val="16"/>
        </w:rPr>
        <w:t>8 (21) ноября 1914 на Французском театре проводится бомбардировка англичанами эллингов цеппелинов во Фридрихсгафене (11999).</w:t>
      </w:r>
    </w:p>
    <w:p w14:paraId="3441F25C" w14:textId="77777777" w:rsidR="00B67D7C" w:rsidRPr="00DE096C" w:rsidRDefault="00B67D7C" w:rsidP="00D45A46">
      <w:pPr>
        <w:jc w:val="both"/>
        <w:rPr>
          <w:bCs/>
          <w:color w:val="002060"/>
          <w:sz w:val="16"/>
          <w:szCs w:val="16"/>
        </w:rPr>
      </w:pPr>
    </w:p>
    <w:p w14:paraId="60FB7FC6" w14:textId="77777777" w:rsidR="004616DD" w:rsidRPr="00DE096C" w:rsidRDefault="004616DD" w:rsidP="00D45A46">
      <w:pPr>
        <w:jc w:val="both"/>
        <w:rPr>
          <w:bCs/>
          <w:color w:val="002060"/>
          <w:sz w:val="16"/>
          <w:szCs w:val="16"/>
        </w:rPr>
      </w:pPr>
      <w:r w:rsidRPr="00DE096C">
        <w:rPr>
          <w:bCs/>
          <w:color w:val="002060"/>
          <w:sz w:val="16"/>
          <w:szCs w:val="16"/>
        </w:rPr>
        <w:t xml:space="preserve">8 (21) ноября в 1914 году английская авиация силами 3 самолетов "Аvro-504" произвела налет на базу дирижаблей во Фридрихсхафене, уничтожив эллинги с дирижаблями и газовый завод. В Англии до сего дня расценивают этот рейд, как первое применение стратегической авиации. «Avro 504» - самый массовый самолёт Первой мировой войны. «Avro 504» производился с 1913 по 1932 год. Компания Avro и ещё 18 компаний выпустили около 8500 экземпляров Avro 504 различных модификаций. Отличительные черты «Avro 504» - единственная лыжа между шасси для предотвращения капотирования, хвостовое оперение в форме </w:t>
      </w:r>
      <w:r w:rsidRPr="00DE096C">
        <w:rPr>
          <w:bCs/>
          <w:color w:val="002060"/>
          <w:sz w:val="16"/>
          <w:szCs w:val="16"/>
        </w:rPr>
        <w:lastRenderedPageBreak/>
        <w:t>вопросительного знака. Эти самолёты были переделаны в одноместный вариант. На место наблюдателя установили дополнительный топливный бак, что позволяло увеличить продолжительность патрулирования. Над верхним крылом был установлен пулемёт Льюис (Lewis ) на платформе Фостера (Foster). Двигатель «Gnome» мощностью 100 л.с. или «Le Rhоne» мощностью 110 л.с (14836).</w:t>
      </w:r>
    </w:p>
    <w:p w14:paraId="2B61AC4B" w14:textId="77777777" w:rsidR="004616DD" w:rsidRPr="00DE096C" w:rsidRDefault="004616DD" w:rsidP="00D45A46">
      <w:pPr>
        <w:jc w:val="both"/>
        <w:rPr>
          <w:bCs/>
          <w:color w:val="002060"/>
          <w:sz w:val="16"/>
          <w:szCs w:val="16"/>
        </w:rPr>
      </w:pPr>
    </w:p>
    <w:p w14:paraId="5D1B7929" w14:textId="77777777" w:rsidR="00B67D7C" w:rsidRPr="00DE096C" w:rsidRDefault="00B67D7C" w:rsidP="00D45A46">
      <w:pPr>
        <w:jc w:val="both"/>
        <w:rPr>
          <w:bCs/>
          <w:i/>
          <w:color w:val="002060"/>
          <w:sz w:val="16"/>
          <w:szCs w:val="16"/>
        </w:rPr>
      </w:pPr>
      <w:r w:rsidRPr="00DE096C">
        <w:rPr>
          <w:bCs/>
          <w:i/>
          <w:color w:val="002060"/>
          <w:sz w:val="16"/>
          <w:szCs w:val="16"/>
        </w:rPr>
        <w:t>Армия:</w:t>
      </w:r>
    </w:p>
    <w:p w14:paraId="0203F16A" w14:textId="77777777" w:rsidR="00B67D7C" w:rsidRPr="00DE096C" w:rsidRDefault="00B67D7C" w:rsidP="00D45A46">
      <w:pPr>
        <w:jc w:val="both"/>
        <w:rPr>
          <w:bCs/>
          <w:i/>
          <w:color w:val="002060"/>
          <w:sz w:val="16"/>
          <w:szCs w:val="16"/>
        </w:rPr>
      </w:pPr>
    </w:p>
    <w:p w14:paraId="2AFEE2E0" w14:textId="1255246B" w:rsidR="0099721D" w:rsidRPr="00DE096C" w:rsidRDefault="00B67D7C" w:rsidP="00D45A46">
      <w:pPr>
        <w:jc w:val="both"/>
        <w:rPr>
          <w:bCs/>
          <w:color w:val="002060"/>
          <w:sz w:val="16"/>
          <w:szCs w:val="16"/>
        </w:rPr>
      </w:pPr>
      <w:r w:rsidRPr="00DE096C">
        <w:rPr>
          <w:bCs/>
          <w:color w:val="002060"/>
          <w:sz w:val="16"/>
          <w:szCs w:val="16"/>
        </w:rPr>
        <w:t xml:space="preserve">9—10 </w:t>
      </w:r>
      <w:r w:rsidR="0099721D" w:rsidRPr="00DE096C">
        <w:rPr>
          <w:bCs/>
          <w:color w:val="002060"/>
          <w:sz w:val="16"/>
          <w:szCs w:val="16"/>
        </w:rPr>
        <w:t>(2</w:t>
      </w:r>
      <w:r w:rsidR="00974330" w:rsidRPr="00DE096C">
        <w:rPr>
          <w:bCs/>
          <w:color w:val="002060"/>
          <w:sz w:val="16"/>
          <w:szCs w:val="16"/>
        </w:rPr>
        <w:t>2</w:t>
      </w:r>
      <w:r w:rsidR="0099721D" w:rsidRPr="00DE096C">
        <w:rPr>
          <w:bCs/>
          <w:color w:val="002060"/>
          <w:sz w:val="16"/>
          <w:szCs w:val="16"/>
        </w:rPr>
        <w:t>-2</w:t>
      </w:r>
      <w:r w:rsidR="00974330" w:rsidRPr="00DE096C">
        <w:rPr>
          <w:bCs/>
          <w:color w:val="002060"/>
          <w:sz w:val="16"/>
          <w:szCs w:val="16"/>
        </w:rPr>
        <w:t>3</w:t>
      </w:r>
      <w:r w:rsidR="0099721D" w:rsidRPr="00DE096C">
        <w:rPr>
          <w:bCs/>
          <w:color w:val="002060"/>
          <w:sz w:val="16"/>
          <w:szCs w:val="16"/>
        </w:rPr>
        <w:t xml:space="preserve">) </w:t>
      </w:r>
      <w:r w:rsidRPr="00DE096C">
        <w:rPr>
          <w:bCs/>
          <w:color w:val="002060"/>
          <w:sz w:val="16"/>
          <w:szCs w:val="16"/>
        </w:rPr>
        <w:t>ноября 1914 г. в составе Ловичского отряда генерал-лейтенанта В.А. Слюсаренко</w:t>
      </w:r>
      <w:r w:rsidR="0099721D" w:rsidRPr="00DE096C">
        <w:rPr>
          <w:bCs/>
          <w:color w:val="002060"/>
          <w:sz w:val="16"/>
          <w:szCs w:val="16"/>
        </w:rPr>
        <w:t xml:space="preserve"> в боях под Лодзью первая бронеавтомобильная войсковая часть </w:t>
      </w:r>
      <w:r w:rsidR="00602169" w:rsidRPr="00DE096C">
        <w:rPr>
          <w:bCs/>
          <w:color w:val="002060"/>
          <w:sz w:val="16"/>
          <w:szCs w:val="16"/>
        </w:rPr>
        <w:t xml:space="preserve">- 1-я пулеметная автомобильная рота под командой Добржанского </w:t>
      </w:r>
      <w:r w:rsidR="0099721D" w:rsidRPr="00DE096C">
        <w:rPr>
          <w:bCs/>
          <w:color w:val="002060"/>
          <w:sz w:val="16"/>
          <w:szCs w:val="16"/>
        </w:rPr>
        <w:t>приняла боевое крещение рота</w:t>
      </w:r>
    </w:p>
    <w:p w14:paraId="7A8723ED" w14:textId="77777777" w:rsidR="00602169" w:rsidRPr="00DE096C" w:rsidRDefault="00602169" w:rsidP="00D45A46">
      <w:pPr>
        <w:jc w:val="both"/>
        <w:rPr>
          <w:bCs/>
          <w:color w:val="002060"/>
          <w:sz w:val="16"/>
          <w:szCs w:val="16"/>
        </w:rPr>
      </w:pPr>
    </w:p>
    <w:p w14:paraId="0A105932" w14:textId="25685321" w:rsidR="00974330" w:rsidRPr="00DE096C" w:rsidRDefault="00974330" w:rsidP="00D45A46">
      <w:pPr>
        <w:jc w:val="both"/>
        <w:rPr>
          <w:bCs/>
          <w:i/>
          <w:color w:val="002060"/>
          <w:sz w:val="16"/>
          <w:szCs w:val="16"/>
        </w:rPr>
      </w:pPr>
      <w:r w:rsidRPr="00DE096C">
        <w:rPr>
          <w:bCs/>
          <w:i/>
          <w:color w:val="002060"/>
          <w:sz w:val="16"/>
          <w:szCs w:val="16"/>
        </w:rPr>
        <w:t>Авиация:</w:t>
      </w:r>
    </w:p>
    <w:p w14:paraId="51A503BB" w14:textId="77777777" w:rsidR="00974330" w:rsidRPr="00DE096C" w:rsidRDefault="00974330" w:rsidP="00D45A46">
      <w:pPr>
        <w:jc w:val="both"/>
        <w:rPr>
          <w:bCs/>
          <w:i/>
          <w:color w:val="002060"/>
          <w:sz w:val="16"/>
          <w:szCs w:val="16"/>
        </w:rPr>
      </w:pPr>
    </w:p>
    <w:p w14:paraId="2E49D65B" w14:textId="7CB8E7C5" w:rsidR="00974330" w:rsidRPr="00DE096C" w:rsidRDefault="00974330" w:rsidP="00D45A46">
      <w:pPr>
        <w:jc w:val="both"/>
        <w:rPr>
          <w:bCs/>
          <w:color w:val="002060"/>
          <w:sz w:val="16"/>
          <w:szCs w:val="16"/>
          <w:lang w:bidi="en-US"/>
        </w:rPr>
      </w:pPr>
      <w:r w:rsidRPr="00DE096C">
        <w:rPr>
          <w:bCs/>
          <w:color w:val="002060"/>
          <w:sz w:val="16"/>
          <w:szCs w:val="16"/>
          <w:lang w:bidi="en-US"/>
        </w:rPr>
        <w:t>9 (22) ноября 1914 г. АО Брест-Литовская крепость было переименовано в 26-ю КАО и передано в состав 9-й армии Юго-Западного фронта (23525).</w:t>
      </w:r>
    </w:p>
    <w:p w14:paraId="61B131D4" w14:textId="77777777" w:rsidR="00974330" w:rsidRPr="00DE096C" w:rsidRDefault="00974330" w:rsidP="00D45A46">
      <w:pPr>
        <w:jc w:val="both"/>
        <w:rPr>
          <w:bCs/>
          <w:color w:val="002060"/>
          <w:sz w:val="16"/>
          <w:szCs w:val="16"/>
        </w:rPr>
      </w:pPr>
    </w:p>
    <w:p w14:paraId="644C5476" w14:textId="303A8FA2" w:rsidR="00394D85" w:rsidRPr="00DE096C" w:rsidRDefault="00394D85" w:rsidP="00D45A46">
      <w:pPr>
        <w:jc w:val="both"/>
        <w:rPr>
          <w:bCs/>
          <w:i/>
          <w:color w:val="002060"/>
          <w:sz w:val="16"/>
          <w:szCs w:val="16"/>
        </w:rPr>
      </w:pPr>
      <w:r w:rsidRPr="00DE096C">
        <w:rPr>
          <w:bCs/>
          <w:i/>
          <w:color w:val="002060"/>
          <w:sz w:val="16"/>
          <w:szCs w:val="16"/>
        </w:rPr>
        <w:t>За рубежом:</w:t>
      </w:r>
    </w:p>
    <w:p w14:paraId="5F510D87" w14:textId="77777777" w:rsidR="00394D85" w:rsidRPr="00DE096C" w:rsidRDefault="00394D85" w:rsidP="00D45A46">
      <w:pPr>
        <w:jc w:val="both"/>
        <w:rPr>
          <w:bCs/>
          <w:color w:val="002060"/>
          <w:sz w:val="16"/>
          <w:szCs w:val="16"/>
        </w:rPr>
      </w:pPr>
    </w:p>
    <w:p w14:paraId="4380EC01" w14:textId="77777777" w:rsidR="00394D85" w:rsidRPr="00DE096C" w:rsidRDefault="00394D85" w:rsidP="00D45A46">
      <w:pPr>
        <w:jc w:val="both"/>
        <w:rPr>
          <w:bCs/>
          <w:color w:val="002060"/>
          <w:sz w:val="16"/>
          <w:szCs w:val="16"/>
        </w:rPr>
      </w:pPr>
      <w:r w:rsidRPr="00DE096C">
        <w:rPr>
          <w:bCs/>
          <w:color w:val="002060"/>
          <w:sz w:val="16"/>
          <w:szCs w:val="16"/>
        </w:rPr>
        <w:t>10 (23) ноября в 1914 году британский военный флот обстреливает Зеебрюгге (14838).</w:t>
      </w:r>
    </w:p>
    <w:p w14:paraId="43EAB4C9" w14:textId="77777777" w:rsidR="00394D85" w:rsidRPr="00DE096C" w:rsidRDefault="00394D85" w:rsidP="00D45A46">
      <w:pPr>
        <w:jc w:val="both"/>
        <w:rPr>
          <w:bCs/>
          <w:color w:val="002060"/>
          <w:sz w:val="16"/>
          <w:szCs w:val="16"/>
        </w:rPr>
      </w:pPr>
    </w:p>
    <w:p w14:paraId="1E26555E" w14:textId="77777777" w:rsidR="00394D85" w:rsidRPr="00DE096C" w:rsidRDefault="00394D85" w:rsidP="00D45A46">
      <w:pPr>
        <w:jc w:val="both"/>
        <w:rPr>
          <w:bCs/>
          <w:i/>
          <w:color w:val="002060"/>
          <w:sz w:val="16"/>
          <w:szCs w:val="16"/>
        </w:rPr>
      </w:pPr>
      <w:r w:rsidRPr="00DE096C">
        <w:rPr>
          <w:bCs/>
          <w:i/>
          <w:color w:val="002060"/>
          <w:sz w:val="16"/>
          <w:szCs w:val="16"/>
        </w:rPr>
        <w:t>Армия:</w:t>
      </w:r>
    </w:p>
    <w:p w14:paraId="3FA5C287" w14:textId="77777777" w:rsidR="00394D85" w:rsidRPr="00DE096C" w:rsidRDefault="00394D85" w:rsidP="00D45A46">
      <w:pPr>
        <w:jc w:val="both"/>
        <w:rPr>
          <w:bCs/>
          <w:i/>
          <w:color w:val="002060"/>
          <w:sz w:val="16"/>
          <w:szCs w:val="16"/>
        </w:rPr>
      </w:pPr>
    </w:p>
    <w:p w14:paraId="5524848A" w14:textId="2979A455" w:rsidR="00394D85" w:rsidRPr="00DE096C" w:rsidRDefault="00394D85" w:rsidP="00D45A46">
      <w:pPr>
        <w:jc w:val="both"/>
        <w:rPr>
          <w:bCs/>
          <w:color w:val="002060"/>
          <w:sz w:val="16"/>
          <w:szCs w:val="16"/>
        </w:rPr>
      </w:pPr>
      <w:r w:rsidRPr="00DE096C">
        <w:rPr>
          <w:rStyle w:val="ucoz-forum-post"/>
          <w:bCs/>
          <w:color w:val="002060"/>
          <w:sz w:val="16"/>
          <w:szCs w:val="16"/>
        </w:rPr>
        <w:t xml:space="preserve">11 </w:t>
      </w:r>
      <w:r w:rsidR="00602169" w:rsidRPr="00DE096C">
        <w:rPr>
          <w:rStyle w:val="ucoz-forum-post"/>
          <w:bCs/>
          <w:color w:val="002060"/>
          <w:sz w:val="16"/>
          <w:szCs w:val="16"/>
        </w:rPr>
        <w:t xml:space="preserve">(24) </w:t>
      </w:r>
      <w:r w:rsidRPr="00DE096C">
        <w:rPr>
          <w:rStyle w:val="ucoz-forum-post"/>
          <w:bCs/>
          <w:color w:val="002060"/>
          <w:sz w:val="16"/>
          <w:szCs w:val="16"/>
        </w:rPr>
        <w:t xml:space="preserve">ноября </w:t>
      </w:r>
      <w:r w:rsidRPr="00DE096C">
        <w:rPr>
          <w:bCs/>
          <w:color w:val="002060"/>
          <w:sz w:val="16"/>
          <w:szCs w:val="16"/>
        </w:rPr>
        <w:t>в 1914 году в ходе I-й мировой войны для отражения немецкого наступления под Торном (Торунь) начата Лодзинская операция. В ходе операции, завершившейся 19 декабря, русские войска упорной обороной сорвали планы германского командования. Наносившая главный удар 9-я германская армия понесла значительные потери, часть ее попала в окружение. Операция характеризовалась маневренными действиями и встречными сражениями, особенно упорные бои состоялись при Кутно и на реке Бзуре (14827).</w:t>
      </w:r>
    </w:p>
    <w:p w14:paraId="74FD979E" w14:textId="1806196E" w:rsidR="00394D85" w:rsidRPr="00DE096C" w:rsidRDefault="00394D85" w:rsidP="00D45A46">
      <w:pPr>
        <w:jc w:val="both"/>
        <w:rPr>
          <w:bCs/>
          <w:color w:val="002060"/>
          <w:sz w:val="16"/>
          <w:szCs w:val="16"/>
        </w:rPr>
      </w:pPr>
    </w:p>
    <w:p w14:paraId="3D0A47F5" w14:textId="3ECCA38B" w:rsidR="00602169" w:rsidRPr="00DE096C" w:rsidRDefault="00602169" w:rsidP="00D45A46">
      <w:pPr>
        <w:jc w:val="both"/>
        <w:rPr>
          <w:bCs/>
          <w:i/>
          <w:iCs/>
          <w:color w:val="002060"/>
          <w:sz w:val="16"/>
          <w:szCs w:val="16"/>
        </w:rPr>
      </w:pPr>
      <w:r w:rsidRPr="00DE096C">
        <w:rPr>
          <w:bCs/>
          <w:i/>
          <w:iCs/>
          <w:color w:val="002060"/>
          <w:sz w:val="16"/>
          <w:szCs w:val="16"/>
        </w:rPr>
        <w:t>Самолетостроение:</w:t>
      </w:r>
    </w:p>
    <w:p w14:paraId="55E869AC" w14:textId="77777777" w:rsidR="00602169" w:rsidRPr="00DE096C" w:rsidRDefault="00602169" w:rsidP="00D45A46">
      <w:pPr>
        <w:jc w:val="both"/>
        <w:rPr>
          <w:bCs/>
          <w:i/>
          <w:iCs/>
          <w:color w:val="002060"/>
          <w:sz w:val="16"/>
          <w:szCs w:val="16"/>
        </w:rPr>
      </w:pPr>
    </w:p>
    <w:p w14:paraId="5EDB9C6C" w14:textId="1E13E3EB" w:rsidR="00974330" w:rsidRPr="00DE096C" w:rsidRDefault="00974330" w:rsidP="00D45A46">
      <w:pPr>
        <w:jc w:val="both"/>
        <w:rPr>
          <w:bCs/>
          <w:color w:val="002060"/>
          <w:sz w:val="16"/>
          <w:szCs w:val="16"/>
          <w:lang w:bidi="en-US"/>
        </w:rPr>
      </w:pPr>
      <w:r w:rsidRPr="00DE096C">
        <w:rPr>
          <w:bCs/>
          <w:color w:val="002060"/>
          <w:sz w:val="16"/>
          <w:szCs w:val="16"/>
          <w:lang w:bidi="en-US"/>
        </w:rPr>
        <w:t>12 (25) ноября 1914 г. полковник граф Игнатьев, русский военный атташе во Франции, направил телеграмму в Главное военно-техническое управление в Петрограде, в которой указывалось, что в будущем должны применяться следующие типы самолетов: «Вуазен», «Морис Фарман», «Кодрон» и «Моран Парасоль» (23525).</w:t>
      </w:r>
    </w:p>
    <w:p w14:paraId="2A0CB8F9" w14:textId="77777777" w:rsidR="00974330" w:rsidRPr="00DE096C" w:rsidRDefault="00974330" w:rsidP="00D45A46">
      <w:pPr>
        <w:jc w:val="both"/>
        <w:rPr>
          <w:bCs/>
          <w:color w:val="002060"/>
          <w:sz w:val="16"/>
          <w:szCs w:val="16"/>
        </w:rPr>
      </w:pPr>
    </w:p>
    <w:p w14:paraId="73B31901" w14:textId="3B16CE3A" w:rsidR="00602169" w:rsidRPr="00DE096C" w:rsidRDefault="00602169" w:rsidP="00D45A46">
      <w:pPr>
        <w:jc w:val="both"/>
        <w:rPr>
          <w:bCs/>
          <w:color w:val="002060"/>
          <w:sz w:val="16"/>
          <w:szCs w:val="16"/>
        </w:rPr>
      </w:pPr>
      <w:r w:rsidRPr="00DE096C">
        <w:rPr>
          <w:rStyle w:val="ucoz-forum-post"/>
          <w:bCs/>
          <w:color w:val="002060"/>
          <w:sz w:val="16"/>
          <w:szCs w:val="16"/>
        </w:rPr>
        <w:t xml:space="preserve">12 (25) ноября </w:t>
      </w:r>
      <w:r w:rsidRPr="00DE096C">
        <w:rPr>
          <w:bCs/>
          <w:color w:val="002060"/>
          <w:sz w:val="16"/>
          <w:szCs w:val="16"/>
        </w:rPr>
        <w:t>в 1914 году начало работы при МВТУ “Теоретических курсов авиации” для военных лётчиков под руководством Н.Е.Жуковского (14828).</w:t>
      </w:r>
    </w:p>
    <w:p w14:paraId="38D32A2F" w14:textId="77777777" w:rsidR="00602169" w:rsidRPr="00DE096C" w:rsidRDefault="00602169" w:rsidP="00D45A46">
      <w:pPr>
        <w:jc w:val="both"/>
        <w:rPr>
          <w:bCs/>
          <w:color w:val="002060"/>
          <w:sz w:val="16"/>
          <w:szCs w:val="16"/>
        </w:rPr>
      </w:pPr>
    </w:p>
    <w:p w14:paraId="3FAE8168" w14:textId="77777777" w:rsidR="00394D85" w:rsidRPr="00DE096C" w:rsidRDefault="00394D85" w:rsidP="00D45A46">
      <w:pPr>
        <w:shd w:val="clear" w:color="auto" w:fill="FFFFFF"/>
        <w:jc w:val="both"/>
        <w:rPr>
          <w:bCs/>
          <w:i/>
          <w:color w:val="002060"/>
          <w:sz w:val="16"/>
          <w:szCs w:val="16"/>
        </w:rPr>
      </w:pPr>
      <w:r w:rsidRPr="00DE096C">
        <w:rPr>
          <w:bCs/>
          <w:i/>
          <w:color w:val="002060"/>
          <w:sz w:val="16"/>
          <w:szCs w:val="16"/>
        </w:rPr>
        <w:t>Авиация:</w:t>
      </w:r>
    </w:p>
    <w:p w14:paraId="24A75A1C" w14:textId="77777777" w:rsidR="00394D85" w:rsidRPr="00DE096C" w:rsidRDefault="00394D85" w:rsidP="00D45A46">
      <w:pPr>
        <w:shd w:val="clear" w:color="auto" w:fill="FFFFFF"/>
        <w:jc w:val="both"/>
        <w:rPr>
          <w:bCs/>
          <w:i/>
          <w:color w:val="002060"/>
          <w:sz w:val="16"/>
          <w:szCs w:val="16"/>
        </w:rPr>
      </w:pPr>
    </w:p>
    <w:p w14:paraId="2E035734" w14:textId="6C1BD56F" w:rsidR="00394D85" w:rsidRPr="00DE096C" w:rsidRDefault="00394D85" w:rsidP="00D45A46">
      <w:pPr>
        <w:jc w:val="both"/>
        <w:rPr>
          <w:bCs/>
          <w:color w:val="002060"/>
          <w:sz w:val="16"/>
          <w:szCs w:val="16"/>
        </w:rPr>
      </w:pPr>
      <w:r w:rsidRPr="00DE096C">
        <w:rPr>
          <w:bCs/>
          <w:color w:val="002060"/>
          <w:sz w:val="16"/>
          <w:szCs w:val="16"/>
        </w:rPr>
        <w:t xml:space="preserve">12 </w:t>
      </w:r>
      <w:r w:rsidR="00602169" w:rsidRPr="00DE096C">
        <w:rPr>
          <w:bCs/>
          <w:color w:val="002060"/>
          <w:sz w:val="16"/>
          <w:szCs w:val="16"/>
        </w:rPr>
        <w:t xml:space="preserve">(25) </w:t>
      </w:r>
      <w:r w:rsidRPr="00DE096C">
        <w:rPr>
          <w:bCs/>
          <w:color w:val="002060"/>
          <w:sz w:val="16"/>
          <w:szCs w:val="16"/>
        </w:rPr>
        <w:t>ноября 1914 г., с учетом того, что ставка планировала крупные наступательные операции, Заведующий авиацией счевший необходимым позаботиться о маневренности крепостных отрядов, в табеле которых изначально отсутствовали транспортные средства (обоз)он телеграфировал в Ставку: «Ввиду предстоящей возможности блокадных действий на неприятельской территории, являлось бы желательным использовать для этой цели крепостные авиационные отряды: Ковенский, Гродненский, Осовецкий и Новогеоргиевский, для чего необходимо присвоить им штат номер четвертый, снабдив первые три обозом, так как Новогеоргиевский отряд обоз уже имеет». В начале 1915 г. вышеуказанные отряды начали оснащаться обозами. Кроме того, в марте 1915 г. крепостные авиаотряды по дополнительному табелю получили право на обеспечение автомобилями (четыре машины на отряд). В целом, спустя год с начала войны, организационное оформление авиации действующей армии в основном было завершено. Распределение авиаотрядов по армиям и фронтам стало более упорядоченным, штабы объединений и соединений сухопутных войск научились использовать авиацию и управлять ею. В действующей армии состояло 49 авиаотрядов – 1 специальный, 6 армейских, 39 корпусных и 3 корпусных, временно отведенных в тыл. Постепенно улучшалась и организация материально-технического обеспечения авиачастей. Штаты и табели отрядов в основном соответствовали требованиям войны по ведению воздушной разведки с одной стороны, и скромным возможностям снабжения, с другой. Авиаотряды стали представлять собой, по выражению А.А. Леера, «соединения отдельных элементов ... (нижние чины, начальствующий персонал, материальная часть) в прочные и удобоуправляемые единицы» (19566).</w:t>
      </w:r>
    </w:p>
    <w:p w14:paraId="513543ED" w14:textId="77777777" w:rsidR="00394D85" w:rsidRPr="00DE096C" w:rsidRDefault="00394D85" w:rsidP="00D45A46">
      <w:pPr>
        <w:jc w:val="both"/>
        <w:rPr>
          <w:bCs/>
          <w:color w:val="002060"/>
          <w:sz w:val="16"/>
          <w:szCs w:val="16"/>
        </w:rPr>
      </w:pPr>
    </w:p>
    <w:p w14:paraId="26B62A7A" w14:textId="578AD4BC" w:rsidR="00EC21E5" w:rsidRPr="00DE096C" w:rsidRDefault="00EC21E5" w:rsidP="00D45A46">
      <w:pPr>
        <w:shd w:val="clear" w:color="auto" w:fill="FFFFFF"/>
        <w:jc w:val="both"/>
        <w:rPr>
          <w:bCs/>
          <w:i/>
          <w:color w:val="002060"/>
          <w:sz w:val="16"/>
          <w:szCs w:val="16"/>
        </w:rPr>
      </w:pPr>
      <w:r w:rsidRPr="00DE096C">
        <w:rPr>
          <w:bCs/>
          <w:i/>
          <w:color w:val="002060"/>
          <w:sz w:val="16"/>
          <w:szCs w:val="16"/>
        </w:rPr>
        <w:t>Авиация и воздухоплавание Франции:</w:t>
      </w:r>
    </w:p>
    <w:p w14:paraId="35884E22" w14:textId="77777777" w:rsidR="00EC21E5" w:rsidRPr="00DE096C" w:rsidRDefault="00EC21E5" w:rsidP="00D45A46">
      <w:pPr>
        <w:shd w:val="clear" w:color="auto" w:fill="FFFFFF"/>
        <w:jc w:val="both"/>
        <w:rPr>
          <w:bCs/>
          <w:i/>
          <w:color w:val="002060"/>
          <w:sz w:val="16"/>
          <w:szCs w:val="16"/>
        </w:rPr>
      </w:pPr>
    </w:p>
    <w:p w14:paraId="4F977259" w14:textId="77777777" w:rsidR="00EC21E5" w:rsidRPr="00DE096C" w:rsidRDefault="00EC21E5" w:rsidP="00D45A46">
      <w:pPr>
        <w:jc w:val="both"/>
        <w:rPr>
          <w:bCs/>
          <w:color w:val="002060"/>
          <w:sz w:val="16"/>
          <w:szCs w:val="16"/>
        </w:rPr>
      </w:pPr>
      <w:r w:rsidRPr="00DE096C">
        <w:rPr>
          <w:bCs/>
          <w:color w:val="002060"/>
          <w:sz w:val="16"/>
          <w:szCs w:val="16"/>
        </w:rPr>
        <w:t>12 (25) ноября 1914 Пегу попробовал использовать пулемет на Моране L, на фюзеляже которого за пилотским креслом соорудил высокую пирамиду с ручным пулеметом «Гочкисс». Однако результат разочаровал летчика: пулемет намертво заклинило после первых же выстрелов. Тем не менее Пегу продолжил бой. И хотя противник обратился в бегство, но и французскому экипажу пришлось экстренно садиться из-за перебоев в работе двигателя (22741).</w:t>
      </w:r>
    </w:p>
    <w:p w14:paraId="000A9993" w14:textId="77777777" w:rsidR="00EC21E5" w:rsidRPr="00DE096C" w:rsidRDefault="00EC21E5" w:rsidP="00D45A46">
      <w:pPr>
        <w:jc w:val="both"/>
        <w:rPr>
          <w:bCs/>
          <w:color w:val="002060"/>
          <w:sz w:val="16"/>
          <w:szCs w:val="16"/>
        </w:rPr>
      </w:pPr>
    </w:p>
    <w:p w14:paraId="3DC4DB63" w14:textId="77777777" w:rsidR="00B707E2" w:rsidRPr="00DE096C" w:rsidRDefault="00B707E2" w:rsidP="00D45A46">
      <w:pPr>
        <w:jc w:val="both"/>
        <w:rPr>
          <w:bCs/>
          <w:i/>
          <w:iCs/>
          <w:color w:val="002060"/>
          <w:sz w:val="16"/>
          <w:szCs w:val="16"/>
        </w:rPr>
      </w:pPr>
      <w:r w:rsidRPr="00DE096C">
        <w:rPr>
          <w:bCs/>
          <w:i/>
          <w:iCs/>
          <w:color w:val="002060"/>
          <w:sz w:val="16"/>
          <w:szCs w:val="16"/>
        </w:rPr>
        <w:t>Самолетостроение:</w:t>
      </w:r>
    </w:p>
    <w:p w14:paraId="44212DCC" w14:textId="77777777" w:rsidR="00B707E2" w:rsidRPr="00DE096C" w:rsidRDefault="00B707E2" w:rsidP="00D45A46">
      <w:pPr>
        <w:jc w:val="both"/>
        <w:rPr>
          <w:bCs/>
          <w:i/>
          <w:iCs/>
          <w:color w:val="002060"/>
          <w:sz w:val="16"/>
          <w:szCs w:val="16"/>
        </w:rPr>
      </w:pPr>
    </w:p>
    <w:p w14:paraId="69FF9130" w14:textId="7A0C672F" w:rsidR="00B707E2" w:rsidRPr="00DE096C" w:rsidRDefault="00B707E2" w:rsidP="00D45A46">
      <w:pPr>
        <w:jc w:val="both"/>
        <w:rPr>
          <w:bCs/>
          <w:color w:val="002060"/>
          <w:sz w:val="16"/>
          <w:szCs w:val="16"/>
        </w:rPr>
      </w:pPr>
      <w:r w:rsidRPr="00DE096C">
        <w:rPr>
          <w:rStyle w:val="ucoz-forum-post"/>
          <w:bCs/>
          <w:color w:val="002060"/>
          <w:sz w:val="16"/>
          <w:szCs w:val="16"/>
        </w:rPr>
        <w:t xml:space="preserve">13 (26) ноября </w:t>
      </w:r>
      <w:r w:rsidRPr="00DE096C">
        <w:rPr>
          <w:bCs/>
          <w:color w:val="002060"/>
          <w:sz w:val="16"/>
          <w:szCs w:val="16"/>
        </w:rPr>
        <w:t>в 1914 году начало работы при МВТУ “Теоретических курсов авиации” для военных лётчиков под руководством Н.Е.Жуковского (14829).</w:t>
      </w:r>
    </w:p>
    <w:p w14:paraId="0C71E0F7" w14:textId="77777777" w:rsidR="00B707E2" w:rsidRPr="00DE096C" w:rsidRDefault="00B707E2" w:rsidP="00D45A46">
      <w:pPr>
        <w:jc w:val="both"/>
        <w:rPr>
          <w:bCs/>
          <w:color w:val="002060"/>
          <w:sz w:val="16"/>
          <w:szCs w:val="16"/>
        </w:rPr>
      </w:pPr>
    </w:p>
    <w:p w14:paraId="07D0273F" w14:textId="77777777" w:rsidR="00B707E2" w:rsidRPr="00DE096C" w:rsidRDefault="00B707E2" w:rsidP="00D45A46">
      <w:pPr>
        <w:shd w:val="clear" w:color="auto" w:fill="FFFFFF"/>
        <w:jc w:val="both"/>
        <w:rPr>
          <w:bCs/>
          <w:color w:val="002060"/>
          <w:sz w:val="16"/>
          <w:szCs w:val="16"/>
        </w:rPr>
      </w:pPr>
      <w:r w:rsidRPr="00DE096C">
        <w:rPr>
          <w:bCs/>
          <w:color w:val="002060"/>
          <w:sz w:val="16"/>
          <w:szCs w:val="16"/>
        </w:rPr>
        <w:t>13 (26) ноября 1914 «Теоретические курсы авиации» для военных летчиков под руко</w:t>
      </w:r>
      <w:r w:rsidRPr="00DE096C">
        <w:rPr>
          <w:bCs/>
          <w:color w:val="002060"/>
          <w:sz w:val="16"/>
          <w:szCs w:val="16"/>
        </w:rPr>
        <w:softHyphen/>
        <w:t>водством Н. Е. Жуковского начинают работать при Московском техническом училище (1137).</w:t>
      </w:r>
    </w:p>
    <w:p w14:paraId="577E4240" w14:textId="77777777" w:rsidR="00B707E2" w:rsidRPr="00DE096C" w:rsidRDefault="00B707E2" w:rsidP="00D45A46">
      <w:pPr>
        <w:shd w:val="clear" w:color="auto" w:fill="FFFFFF"/>
        <w:jc w:val="both"/>
        <w:rPr>
          <w:bCs/>
          <w:color w:val="002060"/>
          <w:sz w:val="16"/>
          <w:szCs w:val="16"/>
        </w:rPr>
      </w:pPr>
    </w:p>
    <w:p w14:paraId="21C06B17" w14:textId="77777777" w:rsidR="00B707E2" w:rsidRPr="00DE096C" w:rsidRDefault="00B707E2" w:rsidP="00D45A46">
      <w:pPr>
        <w:shd w:val="clear" w:color="auto" w:fill="FFFFFF"/>
        <w:jc w:val="both"/>
        <w:rPr>
          <w:bCs/>
          <w:color w:val="002060"/>
          <w:sz w:val="16"/>
          <w:szCs w:val="16"/>
        </w:rPr>
      </w:pPr>
      <w:r w:rsidRPr="00DE096C">
        <w:rPr>
          <w:bCs/>
          <w:color w:val="002060"/>
          <w:sz w:val="16"/>
          <w:szCs w:val="16"/>
        </w:rPr>
        <w:t>13 (26) ноября 1914 в Москве при Техническом училище организованы "Теоретические курсы авиации" с четырехмесячным сроком для под</w:t>
      </w:r>
      <w:r w:rsidRPr="00DE096C">
        <w:rPr>
          <w:bCs/>
          <w:color w:val="002060"/>
          <w:sz w:val="16"/>
          <w:szCs w:val="16"/>
        </w:rPr>
        <w:softHyphen/>
        <w:t>готовки военных летчиков-добровольцев. Организатором и руководителем курсов был проф.Н.Е.Жуковекий, преподавателями - Г.И.Лукьянов, Б.М.Бубекин, П.П.Соколов и другие. За время войны [курсы подготовили 242 кандидата в летные школы (ЦГВИА. ф.493, оп.З, д.27, л.З; С.ЛейбензонрН.ЕДуков-ский, 1947 г.).</w:t>
      </w:r>
    </w:p>
    <w:p w14:paraId="0FA2E5B6" w14:textId="77777777" w:rsidR="00B67D7C" w:rsidRPr="00DE096C" w:rsidRDefault="00B67D7C" w:rsidP="00D45A46">
      <w:pPr>
        <w:shd w:val="clear" w:color="auto" w:fill="FFFFFF"/>
        <w:jc w:val="both"/>
        <w:rPr>
          <w:bCs/>
          <w:color w:val="002060"/>
          <w:sz w:val="16"/>
          <w:szCs w:val="16"/>
        </w:rPr>
      </w:pPr>
    </w:p>
    <w:p w14:paraId="3688EA2A" w14:textId="77777777" w:rsidR="00FF6D88" w:rsidRPr="00DE096C" w:rsidRDefault="00FF6D88" w:rsidP="00D45A46">
      <w:pPr>
        <w:jc w:val="both"/>
        <w:rPr>
          <w:bCs/>
          <w:color w:val="002060"/>
          <w:sz w:val="16"/>
          <w:szCs w:val="16"/>
        </w:rPr>
      </w:pPr>
      <w:r w:rsidRPr="00DE096C">
        <w:rPr>
          <w:bCs/>
          <w:color w:val="002060"/>
          <w:sz w:val="16"/>
          <w:szCs w:val="16"/>
        </w:rPr>
        <w:t>13 (26) ноября 1914 г. в Москве при Высшем Техническом училище организова</w:t>
      </w:r>
      <w:r w:rsidRPr="00DE096C">
        <w:rPr>
          <w:bCs/>
          <w:color w:val="002060"/>
          <w:sz w:val="16"/>
          <w:szCs w:val="16"/>
        </w:rPr>
        <w:softHyphen/>
        <w:t>ли "Теоретические курсы авиации" с четырехмесячным сроком для подготовки военных летчиков-добровольцев. Организатором и руководите</w:t>
      </w:r>
      <w:r w:rsidRPr="00DE096C">
        <w:rPr>
          <w:bCs/>
          <w:color w:val="002060"/>
          <w:sz w:val="16"/>
          <w:szCs w:val="16"/>
        </w:rPr>
        <w:softHyphen/>
        <w:t>лем курсов был проф. Н.Е.Жуковский, преподавателями - Г.И.Лукьянов, Б.И.Бубекин, П.П.Соколов и др. За время войны курсы подготовили 242 кандидата в летные школы.</w:t>
      </w:r>
    </w:p>
    <w:p w14:paraId="3D8C0E5F" w14:textId="77777777" w:rsidR="00FF6D88" w:rsidRPr="00DE096C" w:rsidRDefault="00FF6D88" w:rsidP="00D45A46">
      <w:pPr>
        <w:jc w:val="both"/>
        <w:rPr>
          <w:bCs/>
          <w:color w:val="002060"/>
          <w:sz w:val="16"/>
          <w:szCs w:val="16"/>
        </w:rPr>
      </w:pPr>
      <w:r w:rsidRPr="00DE096C">
        <w:rPr>
          <w:bCs/>
          <w:color w:val="002060"/>
          <w:sz w:val="16"/>
          <w:szCs w:val="16"/>
        </w:rPr>
        <w:t>/ЦГВИА, ф. 493, оп. 3, д. 27, л. 3; С.Лейбензон. Н.Е.Жуковский, 1947/ (23320).</w:t>
      </w:r>
    </w:p>
    <w:p w14:paraId="4110266F" w14:textId="77777777" w:rsidR="00FF6D88" w:rsidRPr="00DE096C" w:rsidRDefault="00FF6D88" w:rsidP="00D45A46">
      <w:pPr>
        <w:jc w:val="both"/>
        <w:rPr>
          <w:bCs/>
          <w:color w:val="002060"/>
          <w:sz w:val="16"/>
          <w:szCs w:val="16"/>
        </w:rPr>
      </w:pPr>
    </w:p>
    <w:p w14:paraId="7753359B" w14:textId="77777777" w:rsidR="00B67D7C" w:rsidRPr="00DE096C" w:rsidRDefault="00B67D7C" w:rsidP="00D45A46">
      <w:pPr>
        <w:jc w:val="both"/>
        <w:rPr>
          <w:bCs/>
          <w:i/>
          <w:color w:val="002060"/>
          <w:sz w:val="16"/>
          <w:szCs w:val="16"/>
        </w:rPr>
      </w:pPr>
      <w:r w:rsidRPr="00DE096C">
        <w:rPr>
          <w:bCs/>
          <w:i/>
          <w:color w:val="002060"/>
          <w:sz w:val="16"/>
          <w:szCs w:val="16"/>
        </w:rPr>
        <w:t>Авиация:</w:t>
      </w:r>
    </w:p>
    <w:p w14:paraId="4E3C67E1" w14:textId="77777777" w:rsidR="00B67D7C" w:rsidRPr="00DE096C" w:rsidRDefault="00B67D7C" w:rsidP="00D45A46">
      <w:pPr>
        <w:jc w:val="both"/>
        <w:rPr>
          <w:bCs/>
          <w:i/>
          <w:color w:val="002060"/>
          <w:sz w:val="16"/>
          <w:szCs w:val="16"/>
        </w:rPr>
      </w:pPr>
    </w:p>
    <w:p w14:paraId="7E6A043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14 (27) ноября 1914 летчик II авиаотряда штабс-ротмистр Вадимир Михайлович Надеждин, выполняя разведку, проник в глубокий тыл противника и,несмотря на низкую облачность и сильный обстрел, добыл важные сведения о группировке и отступлении крупных сил противника по обеим сторонам реки Вислы, о его укреплениях по реке Костельничке, о загруженности железнодорожных станций и другие. Доставленные им сведения дали возможность овладеть бли</w:t>
      </w:r>
      <w:r w:rsidRPr="00DE096C">
        <w:rPr>
          <w:bCs/>
          <w:color w:val="002060"/>
          <w:sz w:val="16"/>
          <w:szCs w:val="16"/>
        </w:rPr>
        <w:softHyphen/>
        <w:t>жайшим районом.</w:t>
      </w:r>
    </w:p>
    <w:p w14:paraId="4430BE3F" w14:textId="77777777" w:rsidR="00B67D7C" w:rsidRPr="00DE096C" w:rsidRDefault="00B67D7C" w:rsidP="00D45A46">
      <w:pPr>
        <w:shd w:val="clear" w:color="auto" w:fill="FFFFFF"/>
        <w:jc w:val="both"/>
        <w:rPr>
          <w:bCs/>
          <w:color w:val="002060"/>
          <w:sz w:val="16"/>
          <w:szCs w:val="16"/>
        </w:rPr>
      </w:pPr>
    </w:p>
    <w:p w14:paraId="186B0E76" w14:textId="77777777" w:rsidR="00FF6D88" w:rsidRPr="00DE096C" w:rsidRDefault="00FF6D88" w:rsidP="00D45A46">
      <w:pPr>
        <w:jc w:val="both"/>
        <w:rPr>
          <w:bCs/>
          <w:color w:val="002060"/>
          <w:sz w:val="16"/>
          <w:szCs w:val="16"/>
        </w:rPr>
      </w:pPr>
      <w:r w:rsidRPr="00DE096C">
        <w:rPr>
          <w:bCs/>
          <w:color w:val="002060"/>
          <w:sz w:val="16"/>
          <w:szCs w:val="16"/>
        </w:rPr>
        <w:t>14 (27) ноября 1914 г. летчик 11 авиаотряда шт.-ротмистр Вадим Михайлович Надеждин, выполняя разведку, проник в глубокий тыл противника и не</w:t>
      </w:r>
      <w:r w:rsidRPr="00DE096C">
        <w:rPr>
          <w:bCs/>
          <w:color w:val="002060"/>
          <w:sz w:val="16"/>
          <w:szCs w:val="16"/>
        </w:rPr>
        <w:softHyphen/>
        <w:t>смотря на низкую облачность и сильный обстрел, добыл важные сведения о группировке и отступлении крупных сил противника по обеим сторонам р. Вислы, о его укреплениях по р. Костельничке, о загружен</w:t>
      </w:r>
      <w:r w:rsidRPr="00DE096C">
        <w:rPr>
          <w:bCs/>
          <w:color w:val="002060"/>
          <w:sz w:val="16"/>
          <w:szCs w:val="16"/>
        </w:rPr>
        <w:softHyphen/>
        <w:t>ности железнодорожных станций и пр. Доставленные им сведения дали возможность принять меры, увенчавшиеся овладением ближайшим форто</w:t>
      </w:r>
      <w:r w:rsidRPr="00DE096C">
        <w:rPr>
          <w:bCs/>
          <w:color w:val="002060"/>
          <w:sz w:val="16"/>
          <w:szCs w:val="16"/>
        </w:rPr>
        <w:softHyphen/>
        <w:t>вым районом.</w:t>
      </w:r>
    </w:p>
    <w:p w14:paraId="5E1678CA" w14:textId="77777777" w:rsidR="00FF6D88" w:rsidRPr="00DE096C" w:rsidRDefault="00FF6D88" w:rsidP="00D45A46">
      <w:pPr>
        <w:jc w:val="both"/>
        <w:rPr>
          <w:bCs/>
          <w:color w:val="002060"/>
          <w:sz w:val="16"/>
          <w:szCs w:val="16"/>
        </w:rPr>
      </w:pPr>
      <w:r w:rsidRPr="00DE096C">
        <w:rPr>
          <w:bCs/>
          <w:color w:val="002060"/>
          <w:sz w:val="16"/>
          <w:szCs w:val="16"/>
        </w:rPr>
        <w:t>/ЦГВИА , ф. 493, оп. 3, д. 129, л. 41/ (23320).</w:t>
      </w:r>
    </w:p>
    <w:p w14:paraId="1F24D8DE" w14:textId="77777777" w:rsidR="00FF6D88" w:rsidRPr="00DE096C" w:rsidRDefault="00FF6D88" w:rsidP="00D45A46">
      <w:pPr>
        <w:jc w:val="both"/>
        <w:rPr>
          <w:bCs/>
          <w:color w:val="002060"/>
          <w:sz w:val="16"/>
          <w:szCs w:val="16"/>
        </w:rPr>
      </w:pPr>
    </w:p>
    <w:p w14:paraId="1CFF51ED" w14:textId="77777777" w:rsidR="00394D85" w:rsidRPr="00DE096C" w:rsidRDefault="00394D85" w:rsidP="00D45A46">
      <w:pPr>
        <w:jc w:val="both"/>
        <w:rPr>
          <w:bCs/>
          <w:i/>
          <w:color w:val="002060"/>
          <w:sz w:val="16"/>
          <w:szCs w:val="16"/>
        </w:rPr>
      </w:pPr>
      <w:r w:rsidRPr="00DE096C">
        <w:rPr>
          <w:bCs/>
          <w:i/>
          <w:color w:val="002060"/>
          <w:sz w:val="16"/>
          <w:szCs w:val="16"/>
        </w:rPr>
        <w:t>Армия:</w:t>
      </w:r>
    </w:p>
    <w:p w14:paraId="09F6BF2D" w14:textId="77777777" w:rsidR="00394D85" w:rsidRPr="00DE096C" w:rsidRDefault="00394D85" w:rsidP="00D45A46">
      <w:pPr>
        <w:jc w:val="both"/>
        <w:rPr>
          <w:bCs/>
          <w:i/>
          <w:color w:val="002060"/>
          <w:sz w:val="16"/>
          <w:szCs w:val="16"/>
        </w:rPr>
      </w:pPr>
    </w:p>
    <w:p w14:paraId="5A10DF2A" w14:textId="3286599A" w:rsidR="00394D85" w:rsidRPr="00DE096C" w:rsidRDefault="00394D85" w:rsidP="00D45A46">
      <w:pPr>
        <w:jc w:val="both"/>
        <w:rPr>
          <w:bCs/>
          <w:color w:val="002060"/>
          <w:sz w:val="16"/>
          <w:szCs w:val="16"/>
        </w:rPr>
      </w:pPr>
      <w:r w:rsidRPr="00DE096C">
        <w:rPr>
          <w:bCs/>
          <w:color w:val="002060"/>
          <w:sz w:val="16"/>
          <w:szCs w:val="16"/>
        </w:rPr>
        <w:lastRenderedPageBreak/>
        <w:t xml:space="preserve">14 </w:t>
      </w:r>
      <w:r w:rsidR="00B707E2" w:rsidRPr="00DE096C">
        <w:rPr>
          <w:bCs/>
          <w:color w:val="002060"/>
          <w:sz w:val="16"/>
          <w:szCs w:val="16"/>
        </w:rPr>
        <w:t xml:space="preserve">(27) </w:t>
      </w:r>
      <w:r w:rsidRPr="00DE096C">
        <w:rPr>
          <w:bCs/>
          <w:color w:val="002060"/>
          <w:sz w:val="16"/>
          <w:szCs w:val="16"/>
        </w:rPr>
        <w:t>ноября в 1914 году во время Первой мировой войны 4-я (генерал от инфантерии А.Е.Эверт) и 9-я (генерал от инфантерии П.А.Лечицкий) армии правого крыла Юго-Западного фронта (генерал от инфантерии Н.И.Иванов) начали Ченстохово-Краковскую операцию в южной Польше. В ходе операции, завершившейся 28 ноября, русские войска нанесли значительный урон австро-венгерским войскам и германской армейской группе генерала Р.Войрша (14830).</w:t>
      </w:r>
    </w:p>
    <w:p w14:paraId="544E227A" w14:textId="77777777" w:rsidR="00394D85" w:rsidRPr="00DE096C" w:rsidRDefault="00394D85" w:rsidP="00D45A46">
      <w:pPr>
        <w:jc w:val="both"/>
        <w:rPr>
          <w:bCs/>
          <w:color w:val="002060"/>
          <w:sz w:val="16"/>
          <w:szCs w:val="16"/>
        </w:rPr>
      </w:pPr>
    </w:p>
    <w:p w14:paraId="548D8274" w14:textId="77777777" w:rsidR="00394D85" w:rsidRPr="00DE096C" w:rsidRDefault="00394D85" w:rsidP="00D45A46">
      <w:pPr>
        <w:jc w:val="both"/>
        <w:rPr>
          <w:bCs/>
          <w:i/>
          <w:color w:val="002060"/>
          <w:sz w:val="16"/>
          <w:szCs w:val="16"/>
        </w:rPr>
      </w:pPr>
      <w:r w:rsidRPr="00DE096C">
        <w:rPr>
          <w:bCs/>
          <w:i/>
          <w:color w:val="002060"/>
          <w:sz w:val="16"/>
          <w:szCs w:val="16"/>
        </w:rPr>
        <w:t>За рубежом:</w:t>
      </w:r>
    </w:p>
    <w:p w14:paraId="53D277B4" w14:textId="77777777" w:rsidR="00394D85" w:rsidRPr="00DE096C" w:rsidRDefault="00394D85" w:rsidP="00D45A46">
      <w:pPr>
        <w:jc w:val="both"/>
        <w:rPr>
          <w:bCs/>
          <w:color w:val="002060"/>
          <w:sz w:val="16"/>
          <w:szCs w:val="16"/>
        </w:rPr>
      </w:pPr>
    </w:p>
    <w:p w14:paraId="4C470CE1" w14:textId="77777777" w:rsidR="00394D85" w:rsidRPr="00DE096C" w:rsidRDefault="00394D85" w:rsidP="00D45A46">
      <w:pPr>
        <w:jc w:val="both"/>
        <w:rPr>
          <w:bCs/>
          <w:color w:val="002060"/>
          <w:sz w:val="16"/>
          <w:szCs w:val="16"/>
        </w:rPr>
      </w:pPr>
      <w:r w:rsidRPr="00DE096C">
        <w:rPr>
          <w:rStyle w:val="ucoz-forum-post"/>
          <w:bCs/>
          <w:color w:val="002060"/>
          <w:sz w:val="16"/>
          <w:szCs w:val="16"/>
        </w:rPr>
        <w:t xml:space="preserve">14 (27) ноября </w:t>
      </w:r>
      <w:r w:rsidRPr="00DE096C">
        <w:rPr>
          <w:bCs/>
          <w:color w:val="002060"/>
          <w:sz w:val="16"/>
          <w:szCs w:val="16"/>
        </w:rPr>
        <w:t>в 1914 году первые британские женщины-полицейские начинают нести службу в Грэнтхеме, Линколншир (14842).</w:t>
      </w:r>
    </w:p>
    <w:p w14:paraId="5CC6016F" w14:textId="77777777" w:rsidR="00394D85" w:rsidRPr="00DE096C" w:rsidRDefault="00394D85" w:rsidP="00D45A46">
      <w:pPr>
        <w:jc w:val="both"/>
        <w:rPr>
          <w:bCs/>
          <w:color w:val="002060"/>
          <w:sz w:val="16"/>
          <w:szCs w:val="16"/>
        </w:rPr>
      </w:pPr>
    </w:p>
    <w:p w14:paraId="3331D62B"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Жизнь и внутреняя политика:</w:t>
      </w:r>
    </w:p>
    <w:p w14:paraId="19F1F71B" w14:textId="77777777" w:rsidR="00B67D7C" w:rsidRPr="00DE096C" w:rsidRDefault="00B67D7C" w:rsidP="00D45A46">
      <w:pPr>
        <w:shd w:val="clear" w:color="auto" w:fill="FFFFFF"/>
        <w:jc w:val="both"/>
        <w:rPr>
          <w:bCs/>
          <w:i/>
          <w:color w:val="002060"/>
          <w:sz w:val="16"/>
          <w:szCs w:val="16"/>
        </w:rPr>
      </w:pPr>
    </w:p>
    <w:p w14:paraId="528E64A1" w14:textId="497E29ED"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14 (27) ноября 1914 г. на заседании ЦК кадетской партии обсуждается вопрос о возможности революции во время войны. Интенсивность обсуждения этого вопроса приходится на начало 1915 г., когда представителями с мест выдвигается призыв о немедленном начале оппозиционной борьбы против внутреннего врага — царского правительства (11270).</w:t>
      </w:r>
    </w:p>
    <w:p w14:paraId="3BB7572B"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 пользу такого решения говорило всё: поражение русской армии, усиление революционных и оппозиционных настроений в обществе, создание думского Прогрессивного блока, деятельность общественных буржуазных организаций. Это заставило либералов поставить вопрос о власти. </w:t>
      </w:r>
    </w:p>
    <w:p w14:paraId="0397EEEE"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Пути передачи власти буржуазии предполагались разные, но все они сводились к одному — «власть надо брать в любой момент», но никак не революционным путем, а посредством эволюционного общественного развития в рамках существующего парламентарного строя. И тем не менее в 1915 г. буржуазия не решалась еще на дворцовый переворот, к признанию необходимости которого она пришла осенью 1916 г. Тогда они считали для себя возможным продолжать борьбу за создание «министерства общественного доверия», которое, по их разумению, будет приемлемым и для верховной власти, так как ни в коем случае не предусматривало какого-либо радикального политического переворота, и одновременно могло быть рассмотрено в перспективе в качестве «ступеньки» к созданию думского ответственного министерства. </w:t>
      </w:r>
    </w:p>
    <w:p w14:paraId="76B5DFEC"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Дебаты вокруг этого вопроса продолжались в либеральной среде вплоть до самой Февральской революции. Они то ослабевали, то усиливались, принимая радикальное направление в зависимости от положения в стране. Споры касались и перспектив развития кризисной ситуации, и возможности революции. Но споры оставались лишь спорами, в то время как политическая обстановка всё более осложнялась. </w:t>
      </w:r>
    </w:p>
    <w:p w14:paraId="3A5C5B2B"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Одной из причин политической нестабильности стал экономический кризис. Во многом он был вызван переключением на военное производство тех отраслей промышленности, которые изготавливали предметы потребления. В результате нарушился обмен между городом и деревней, ухудшилось снабжение городского трудового населения и значительно сократилось потребление трудящихся.</w:t>
      </w:r>
    </w:p>
    <w:p w14:paraId="042252F9"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Выход из создавшегося положения виделся правительствам воюющих держав в проведении всеобъемлющей централизации снабжения. В России с 1915 г. карточная система явочным путем стала проводиться городскими самоуправлениями на дефицитные продукты: сахар и керосин. Но официально, в виде общегосударственной меры, карточная система появилась лишь с введением хлебной монополии 25 марта 1917 г.</w:t>
      </w:r>
    </w:p>
    <w:p w14:paraId="33D5BF79"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Обсуждались в России и проекты введения трудовой повинности, но идея оказалась непопулярной. Власть, опасаясь волнений рабочих и обострения социального вопроса, не пошла на принятие этого законопроекта.</w:t>
      </w:r>
    </w:p>
    <w:p w14:paraId="2A1F5475"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Огромные жертвы, затяжной и кровопролитный характер войны, рост дороговизны в тылу воюющих государств привели в политической сфере к смещению акцентов — от грандиозной вспышки национализма и шовинизма, идей гражданского мира во имя победы над внешним врагом к созданию в широких народных массах совершенно новой психологии военного коммунизма с присущими ей настроениями максимализма, нетерпения, всеобщего уравнительства, с ориентацией на насилие и прямое революционное действие (11270).</w:t>
      </w:r>
    </w:p>
    <w:p w14:paraId="0EF7DBA2" w14:textId="77777777" w:rsidR="00B67D7C" w:rsidRPr="00DE096C" w:rsidRDefault="00B67D7C" w:rsidP="00D45A46">
      <w:pPr>
        <w:pStyle w:val="a3"/>
        <w:jc w:val="both"/>
        <w:rPr>
          <w:bCs/>
          <w:i w:val="0"/>
          <w:color w:val="002060"/>
          <w:spacing w:val="0"/>
          <w:kern w:val="0"/>
          <w:position w:val="0"/>
          <w:sz w:val="16"/>
          <w:szCs w:val="16"/>
        </w:rPr>
      </w:pPr>
    </w:p>
    <w:p w14:paraId="4381EF81" w14:textId="291E75C4" w:rsidR="00A75AF0" w:rsidRPr="00DE096C" w:rsidRDefault="00A75AF0" w:rsidP="00D45A46">
      <w:pPr>
        <w:jc w:val="both"/>
        <w:rPr>
          <w:bCs/>
          <w:i/>
          <w:color w:val="002060"/>
          <w:sz w:val="16"/>
          <w:szCs w:val="16"/>
        </w:rPr>
      </w:pPr>
      <w:r w:rsidRPr="00DE096C">
        <w:rPr>
          <w:bCs/>
          <w:i/>
          <w:color w:val="002060"/>
          <w:sz w:val="16"/>
          <w:szCs w:val="16"/>
        </w:rPr>
        <w:t>Авиация:</w:t>
      </w:r>
    </w:p>
    <w:p w14:paraId="794FC8A6" w14:textId="77777777" w:rsidR="00A75AF0" w:rsidRPr="00DE096C" w:rsidRDefault="00A75AF0" w:rsidP="00D45A46">
      <w:pPr>
        <w:jc w:val="both"/>
        <w:rPr>
          <w:bCs/>
          <w:i/>
          <w:color w:val="002060"/>
          <w:sz w:val="16"/>
          <w:szCs w:val="16"/>
        </w:rPr>
      </w:pPr>
    </w:p>
    <w:p w14:paraId="04D18AE9" w14:textId="77777777" w:rsidR="00A75AF0" w:rsidRPr="00DE096C" w:rsidRDefault="00A75AF0" w:rsidP="00D45A46">
      <w:pPr>
        <w:jc w:val="both"/>
        <w:rPr>
          <w:bCs/>
          <w:color w:val="002060"/>
          <w:sz w:val="16"/>
          <w:szCs w:val="16"/>
        </w:rPr>
      </w:pPr>
      <w:r w:rsidRPr="00DE096C">
        <w:rPr>
          <w:bCs/>
          <w:color w:val="002060"/>
          <w:sz w:val="16"/>
          <w:szCs w:val="16"/>
        </w:rPr>
        <w:t xml:space="preserve">В первой половине ноября 1914 г. немецкий аэроплан системы «Альбатрос» появился в небе г. Полоцк и сбросил на него две бомбы (без какого- либо вреда). На обратном пути неприятельские летчики были вынуждены совершить вынужденную посадку западнее г. Рыпин </w:t>
      </w:r>
      <w:bookmarkStart w:id="201" w:name="bookmark53"/>
      <w:bookmarkStart w:id="202" w:name="bookmark54"/>
      <w:r w:rsidRPr="00DE096C">
        <w:rPr>
          <w:bCs/>
          <w:color w:val="002060"/>
          <w:sz w:val="16"/>
          <w:szCs w:val="16"/>
        </w:rPr>
        <w:t>(царство Польское). Несмотря на поддержку, оказанную им со стороны германской пехоты (в количестве до двух рот), летательный аппарат был отбит русскими драгунами и отправлен в наш тыл в полной исправности. Немецкие летчики (лейтенанты Мерез и Польте) попали в плен (23405).</w:t>
      </w:r>
      <w:bookmarkEnd w:id="201"/>
      <w:bookmarkEnd w:id="202"/>
    </w:p>
    <w:p w14:paraId="75CAB0D5" w14:textId="77777777" w:rsidR="00A75AF0" w:rsidRPr="00DE096C" w:rsidRDefault="00A75AF0" w:rsidP="00D45A46">
      <w:pPr>
        <w:jc w:val="both"/>
        <w:rPr>
          <w:bCs/>
          <w:color w:val="002060"/>
          <w:sz w:val="16"/>
          <w:szCs w:val="16"/>
        </w:rPr>
      </w:pPr>
    </w:p>
    <w:p w14:paraId="55B18222" w14:textId="6ACDEED1" w:rsidR="00B67D7C" w:rsidRPr="00DE096C" w:rsidRDefault="00B67D7C" w:rsidP="00D45A46">
      <w:pPr>
        <w:jc w:val="both"/>
        <w:rPr>
          <w:bCs/>
          <w:i/>
          <w:color w:val="002060"/>
          <w:sz w:val="16"/>
          <w:szCs w:val="16"/>
        </w:rPr>
      </w:pPr>
      <w:r w:rsidRPr="00DE096C">
        <w:rPr>
          <w:bCs/>
          <w:i/>
          <w:color w:val="002060"/>
          <w:sz w:val="16"/>
          <w:szCs w:val="16"/>
        </w:rPr>
        <w:t>Воздухоплавание:</w:t>
      </w:r>
    </w:p>
    <w:p w14:paraId="15DA399B" w14:textId="77777777" w:rsidR="00B67D7C" w:rsidRPr="00DE096C" w:rsidRDefault="00B67D7C" w:rsidP="00D45A46">
      <w:pPr>
        <w:jc w:val="both"/>
        <w:rPr>
          <w:bCs/>
          <w:i/>
          <w:color w:val="002060"/>
          <w:sz w:val="16"/>
          <w:szCs w:val="16"/>
        </w:rPr>
      </w:pPr>
    </w:p>
    <w:p w14:paraId="6FE0AE52" w14:textId="474A2943" w:rsidR="00B67D7C" w:rsidRPr="00DE096C" w:rsidRDefault="00B707E2" w:rsidP="00D45A46">
      <w:pPr>
        <w:shd w:val="clear" w:color="auto" w:fill="FFFFFF"/>
        <w:jc w:val="both"/>
        <w:rPr>
          <w:bCs/>
          <w:color w:val="002060"/>
          <w:sz w:val="16"/>
          <w:szCs w:val="16"/>
        </w:rPr>
      </w:pPr>
      <w:r w:rsidRPr="00DE096C">
        <w:rPr>
          <w:bCs/>
          <w:color w:val="002060"/>
          <w:sz w:val="16"/>
          <w:szCs w:val="16"/>
        </w:rPr>
        <w:t>В</w:t>
      </w:r>
      <w:r w:rsidR="00B67D7C" w:rsidRPr="00DE096C">
        <w:rPr>
          <w:bCs/>
          <w:color w:val="002060"/>
          <w:sz w:val="16"/>
          <w:szCs w:val="16"/>
        </w:rPr>
        <w:t xml:space="preserve"> первой половине ноября 1914 г. </w:t>
      </w:r>
      <w:r w:rsidRPr="00DE096C">
        <w:rPr>
          <w:bCs/>
          <w:color w:val="002060"/>
          <w:sz w:val="16"/>
          <w:szCs w:val="16"/>
        </w:rPr>
        <w:t xml:space="preserve">«Буревестник» был наполнен газом </w:t>
      </w:r>
      <w:r w:rsidR="00B67D7C" w:rsidRPr="00DE096C">
        <w:rPr>
          <w:bCs/>
          <w:color w:val="002060"/>
          <w:sz w:val="16"/>
          <w:szCs w:val="16"/>
        </w:rPr>
        <w:t>и выполнил несколько полетов, после чего его признали непригодным к работе в боевой обстановке и в марте 1915 г. демонтировали. Лишь дирижабль «Астра» в мае - июне 1915 г. выполнил три ночных полета с бомбометанием в расположение германских войск. В этих полетах дирижабль получил много повреждений и в дальнейшем почти не эксплуатировался. Во второй половине июня 1915 г. «Астру» демонтировали. Если в 1911 г. отечественные дирижабли были в состоянии конкурировать с отдельными заграничными управляемыми аэростатами, то через три года они уже значительно уступали зарубежным. Например, построенный в 1913 г. «Альбатрос» не превосходил по своим характеристикам французские дирижабли своего класса, появившиеся еще в 1910 г. Кроме того, как уже отмечалось, за рубежом приобретались не лучшие, а иногда даже выходившие из употребления аппараты. Так, купленный «Parseval XIV» значительно уступал построенному в Германии для своей армии дирижаблю «Parseval XVI». Тем не менее, в проектах и конструкциях дирижаблей отечественной постройки того времени было немало оригинальных технических решений, предложенных и реализованных намного раньше, чем на зарубежных управляемых аэростатах, и получивших широкое распространение на дальнейших этапах развития дирижаблестроения.</w:t>
      </w:r>
    </w:p>
    <w:p w14:paraId="198C76C7" w14:textId="77777777" w:rsidR="00B67D7C" w:rsidRPr="00DE096C" w:rsidRDefault="00B67D7C" w:rsidP="00D45A46">
      <w:pPr>
        <w:jc w:val="both"/>
        <w:rPr>
          <w:bCs/>
          <w:color w:val="002060"/>
          <w:sz w:val="16"/>
          <w:szCs w:val="16"/>
        </w:rPr>
      </w:pPr>
    </w:p>
    <w:p w14:paraId="3CB574DA" w14:textId="49BA1F0B" w:rsidR="00B67D7C" w:rsidRPr="00DE096C" w:rsidRDefault="00B707E2"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первой половине ноября 1914 года</w:t>
      </w:r>
      <w:r w:rsidRPr="00DE096C">
        <w:rPr>
          <w:bCs/>
          <w:color w:val="002060"/>
          <w:sz w:val="16"/>
          <w:szCs w:val="16"/>
        </w:rPr>
        <w:t xml:space="preserve"> дирижабль «Парсеваль», наполненный в Белостоке</w:t>
      </w:r>
      <w:r w:rsidR="00B67D7C" w:rsidRPr="00DE096C">
        <w:rPr>
          <w:bCs/>
          <w:color w:val="002060"/>
          <w:sz w:val="16"/>
          <w:szCs w:val="16"/>
        </w:rPr>
        <w:t>, сделал всего несколько учебных полетов, и в марте 1915 года, как не отвечающий требованиям и условиям работы в боевой обстановке, был разоружен (11324).</w:t>
      </w:r>
    </w:p>
    <w:p w14:paraId="1850B0C1" w14:textId="77777777" w:rsidR="00B67D7C" w:rsidRPr="00DE096C" w:rsidRDefault="00B67D7C" w:rsidP="00D45A46">
      <w:pPr>
        <w:shd w:val="clear" w:color="auto" w:fill="FFFFFF"/>
        <w:jc w:val="both"/>
        <w:rPr>
          <w:bCs/>
          <w:i/>
          <w:color w:val="002060"/>
          <w:sz w:val="16"/>
          <w:szCs w:val="16"/>
        </w:rPr>
      </w:pPr>
    </w:p>
    <w:p w14:paraId="6A99A29E" w14:textId="77777777" w:rsidR="00B67D7C" w:rsidRPr="00DE096C" w:rsidRDefault="00B67D7C" w:rsidP="00D45A46">
      <w:pPr>
        <w:jc w:val="both"/>
        <w:rPr>
          <w:bCs/>
          <w:i/>
          <w:color w:val="002060"/>
          <w:sz w:val="16"/>
          <w:szCs w:val="16"/>
        </w:rPr>
      </w:pPr>
      <w:r w:rsidRPr="00DE096C">
        <w:rPr>
          <w:bCs/>
          <w:i/>
          <w:color w:val="002060"/>
          <w:sz w:val="16"/>
          <w:szCs w:val="16"/>
        </w:rPr>
        <w:t>Авиация:</w:t>
      </w:r>
    </w:p>
    <w:p w14:paraId="230084AE" w14:textId="77777777" w:rsidR="00B67D7C" w:rsidRPr="00DE096C" w:rsidRDefault="00B67D7C" w:rsidP="00D45A46">
      <w:pPr>
        <w:jc w:val="both"/>
        <w:rPr>
          <w:bCs/>
          <w:i/>
          <w:color w:val="002060"/>
          <w:sz w:val="16"/>
          <w:szCs w:val="16"/>
        </w:rPr>
      </w:pPr>
    </w:p>
    <w:p w14:paraId="65EED5A9" w14:textId="77777777" w:rsidR="00B67D7C" w:rsidRPr="00DE096C" w:rsidRDefault="00B67D7C" w:rsidP="00D45A46">
      <w:pPr>
        <w:jc w:val="both"/>
        <w:rPr>
          <w:bCs/>
          <w:color w:val="002060"/>
          <w:sz w:val="16"/>
          <w:szCs w:val="16"/>
        </w:rPr>
      </w:pPr>
      <w:r w:rsidRPr="00DE096C">
        <w:rPr>
          <w:bCs/>
          <w:color w:val="002060"/>
          <w:sz w:val="16"/>
          <w:szCs w:val="16"/>
        </w:rPr>
        <w:t>17 (30) ноября 1914 г. главнокомандующий 6-й армией генерал-адъютант Константин Петрович Фан-дер-Флит приказом за № 90 объявил специальную инструкцию, согласно которой впервые была организована воздушная оборона Петрограда и его окрестностей. Начальником воздушной обороны был назначен генерал-майор Г.В. Бурман. Приложенную к приказу инструкцию подписал начальник штаба 6-й армии генерал-майор Михаил Дмитриевич Бонч-Бруевич, впоследствии возглавлявший штаб Верховного главнокомандующего. Георгий Владимирович Бурман, инженер по образованию, руководил в Петрограде Офицерской электротехнической школой, готовившей специалистов инженерного ведомства, в том числе по телефонному делу и радиотелеграфии. Таким образом, у истоков формирования воздушной обороны страны находились крупные специалисты военного дела (11164).</w:t>
      </w:r>
    </w:p>
    <w:p w14:paraId="1687950E" w14:textId="77777777" w:rsidR="00B67D7C" w:rsidRPr="00DE096C" w:rsidRDefault="00B67D7C" w:rsidP="00D45A46">
      <w:pPr>
        <w:jc w:val="both"/>
        <w:rPr>
          <w:bCs/>
          <w:color w:val="002060"/>
          <w:sz w:val="16"/>
          <w:szCs w:val="16"/>
        </w:rPr>
      </w:pPr>
    </w:p>
    <w:p w14:paraId="6A6DF9B3" w14:textId="77777777" w:rsidR="00394D85" w:rsidRPr="00DE096C" w:rsidRDefault="00394D85" w:rsidP="00D45A46">
      <w:pPr>
        <w:pStyle w:val="ae"/>
        <w:spacing w:before="0" w:beforeAutospacing="0" w:after="0" w:afterAutospacing="0"/>
        <w:jc w:val="both"/>
        <w:rPr>
          <w:bCs/>
          <w:color w:val="002060"/>
          <w:sz w:val="16"/>
          <w:szCs w:val="16"/>
        </w:rPr>
      </w:pPr>
      <w:r w:rsidRPr="00DE096C">
        <w:rPr>
          <w:bCs/>
          <w:color w:val="002060"/>
          <w:sz w:val="16"/>
          <w:szCs w:val="16"/>
        </w:rPr>
        <w:t>17 (30) ноября 1914 г. Приказом главнокомандующего 6-й армией генерал-адъютанта Константина Петровича Фандер-Флита за № 90 инструкция по ПВО - Инструкция по воздухоплаванию» - была введена в действие. Этим же приказом начальником воздушной обороны был назначен инженер по образованию, генерал-майор Георгий Владимирович Бурман, на тот момент руководивший Офицерской электротехнической школой (15736).</w:t>
      </w:r>
    </w:p>
    <w:p w14:paraId="18112A09" w14:textId="77777777" w:rsidR="00394D85" w:rsidRPr="00DE096C" w:rsidRDefault="00394D85" w:rsidP="00D45A46">
      <w:pPr>
        <w:pStyle w:val="ae"/>
        <w:spacing w:before="0" w:beforeAutospacing="0" w:after="0" w:afterAutospacing="0"/>
        <w:jc w:val="both"/>
        <w:rPr>
          <w:bCs/>
          <w:color w:val="002060"/>
          <w:sz w:val="16"/>
          <w:szCs w:val="16"/>
        </w:rPr>
      </w:pPr>
    </w:p>
    <w:p w14:paraId="7FD951AB" w14:textId="77777777" w:rsidR="00D76A1C" w:rsidRPr="00B52707" w:rsidRDefault="00D76A1C" w:rsidP="00D76A1C">
      <w:pPr>
        <w:jc w:val="both"/>
        <w:rPr>
          <w:rStyle w:val="ab"/>
          <w:rFonts w:ascii="Times New Roman" w:hAnsi="Times New Roman"/>
          <w:color w:val="0070C0"/>
          <w:spacing w:val="0"/>
          <w:sz w:val="16"/>
          <w:szCs w:val="16"/>
        </w:rPr>
      </w:pPr>
      <w:r w:rsidRPr="00B52707">
        <w:rPr>
          <w:rStyle w:val="ab"/>
          <w:rFonts w:ascii="Times New Roman" w:hAnsi="Times New Roman"/>
          <w:color w:val="0070C0"/>
          <w:spacing w:val="0"/>
          <w:sz w:val="16"/>
          <w:szCs w:val="16"/>
        </w:rPr>
        <w:t xml:space="preserve">17 (30) ноября 1914 года главнокомандующий 6-й армией генерал от артиллерии К.П. Фан- дер-Флит подписал секретный приказ за № 90, вводивший в действие с 8 декабря того же года особую «Инструкцию по воздухоплаванию в районе </w:t>
      </w:r>
      <w:r w:rsidRPr="00B52707">
        <w:rPr>
          <w:rStyle w:val="ab"/>
          <w:rFonts w:ascii="Times New Roman" w:hAnsi="Times New Roman"/>
          <w:color w:val="0070C0"/>
          <w:spacing w:val="0"/>
          <w:sz w:val="16"/>
          <w:szCs w:val="16"/>
          <w:lang w:val="en-US"/>
        </w:rPr>
        <w:t>Vl</w:t>
      </w:r>
      <w:r w:rsidRPr="00B52707">
        <w:rPr>
          <w:rStyle w:val="ab"/>
          <w:rFonts w:ascii="Times New Roman" w:hAnsi="Times New Roman"/>
          <w:color w:val="0070C0"/>
          <w:spacing w:val="0"/>
          <w:sz w:val="16"/>
          <w:szCs w:val="16"/>
        </w:rPr>
        <w:t>-й армии».</w:t>
      </w:r>
    </w:p>
    <w:p w14:paraId="4F1F0B00" w14:textId="77777777" w:rsidR="00D76A1C" w:rsidRPr="00B52707" w:rsidRDefault="00D76A1C" w:rsidP="00D76A1C">
      <w:pPr>
        <w:jc w:val="both"/>
        <w:rPr>
          <w:color w:val="0070C0"/>
          <w:sz w:val="16"/>
          <w:szCs w:val="16"/>
        </w:rPr>
      </w:pPr>
      <w:r w:rsidRPr="00B52707">
        <w:rPr>
          <w:rStyle w:val="ab"/>
          <w:rFonts w:ascii="Times New Roman" w:hAnsi="Times New Roman"/>
          <w:color w:val="0070C0"/>
          <w:spacing w:val="0"/>
          <w:sz w:val="16"/>
          <w:szCs w:val="16"/>
        </w:rPr>
        <w:t>Впервые на официальном уровне определялись задачи по организации воздушной обороны стратегически важного центра страны (г. Петроград). Все задействованные в ней разнородные силы и средства (авиация, зенитная артиллерия, полевые части и др.) объединялись под руководством штатного начальника «воздушной обороны Петрограда и его окрестностей» генерал-майора Г.В. Бурмана, начальника Офицерской электротехнической школы. Он напрямую подчинялся начальнику штаба 6 А, ответственному за общее состояние воздушной обороны в армии.</w:t>
      </w:r>
    </w:p>
    <w:p w14:paraId="74F5DED5" w14:textId="77777777" w:rsidR="00D76A1C" w:rsidRPr="00B52707" w:rsidRDefault="00D76A1C" w:rsidP="00D76A1C">
      <w:pPr>
        <w:jc w:val="both"/>
        <w:rPr>
          <w:rStyle w:val="ab"/>
          <w:rFonts w:ascii="Times New Roman" w:hAnsi="Times New Roman"/>
          <w:color w:val="0070C0"/>
          <w:spacing w:val="0"/>
          <w:sz w:val="16"/>
          <w:szCs w:val="16"/>
        </w:rPr>
      </w:pPr>
      <w:r w:rsidRPr="00B52707">
        <w:rPr>
          <w:rStyle w:val="ab"/>
          <w:rFonts w:ascii="Times New Roman" w:hAnsi="Times New Roman"/>
          <w:color w:val="0070C0"/>
          <w:spacing w:val="0"/>
          <w:sz w:val="16"/>
          <w:szCs w:val="16"/>
        </w:rPr>
        <w:t>Рабочим местом начальника столичной ВоздО стал специальныц_центральный командный пункт, оборудованный в здании Офицерской электротехнической школы, куда, помимо штаба армии, по различным каналам связи стекалась вся текущая информация о воздушной обстановке (25166).</w:t>
      </w:r>
    </w:p>
    <w:p w14:paraId="1772776F" w14:textId="77777777" w:rsidR="00D76A1C" w:rsidRPr="00B52707" w:rsidRDefault="00D76A1C" w:rsidP="00D76A1C">
      <w:pPr>
        <w:jc w:val="both"/>
        <w:rPr>
          <w:rStyle w:val="ab"/>
          <w:rFonts w:ascii="Times New Roman" w:hAnsi="Times New Roman"/>
          <w:color w:val="0070C0"/>
          <w:spacing w:val="0"/>
          <w:sz w:val="16"/>
          <w:szCs w:val="16"/>
        </w:rPr>
      </w:pPr>
    </w:p>
    <w:p w14:paraId="1D5CA016" w14:textId="77777777" w:rsidR="00D76A1C" w:rsidRPr="00B52707" w:rsidRDefault="00D76A1C" w:rsidP="00D76A1C">
      <w:pPr>
        <w:jc w:val="both"/>
        <w:rPr>
          <w:rStyle w:val="ab"/>
          <w:rFonts w:ascii="Times New Roman" w:hAnsi="Times New Roman"/>
          <w:color w:val="0070C0"/>
          <w:spacing w:val="0"/>
          <w:sz w:val="16"/>
          <w:szCs w:val="16"/>
        </w:rPr>
      </w:pPr>
      <w:r w:rsidRPr="00B52707">
        <w:rPr>
          <w:rStyle w:val="44"/>
          <w:rFonts w:ascii="Times New Roman" w:hAnsi="Times New Roman" w:cs="Times New Roman"/>
          <w:color w:val="0070C0"/>
          <w:sz w:val="16"/>
          <w:szCs w:val="16"/>
        </w:rPr>
        <w:t>17 дня 1914 года</w:t>
      </w:r>
    </w:p>
    <w:p w14:paraId="05763FC4" w14:textId="77777777" w:rsidR="00D76A1C" w:rsidRPr="00B52707" w:rsidRDefault="00D76A1C" w:rsidP="00D76A1C">
      <w:pPr>
        <w:jc w:val="both"/>
        <w:rPr>
          <w:color w:val="0070C0"/>
          <w:sz w:val="16"/>
          <w:szCs w:val="16"/>
        </w:rPr>
      </w:pPr>
      <w:r w:rsidRPr="00B52707">
        <w:rPr>
          <w:color w:val="0070C0"/>
          <w:sz w:val="16"/>
          <w:szCs w:val="16"/>
        </w:rPr>
        <w:t>ПРИКАЗ VI-й армии</w:t>
      </w:r>
    </w:p>
    <w:p w14:paraId="2478F887" w14:textId="77777777" w:rsidR="00D76A1C" w:rsidRPr="00B52707" w:rsidRDefault="00D76A1C" w:rsidP="00D76A1C">
      <w:pPr>
        <w:jc w:val="both"/>
        <w:rPr>
          <w:color w:val="0070C0"/>
          <w:sz w:val="16"/>
          <w:szCs w:val="16"/>
        </w:rPr>
      </w:pPr>
      <w:r w:rsidRPr="00B52707">
        <w:rPr>
          <w:color w:val="0070C0"/>
          <w:sz w:val="16"/>
          <w:szCs w:val="16"/>
        </w:rPr>
        <w:t>Ноября 17 дня 1914 года</w:t>
      </w:r>
    </w:p>
    <w:p w14:paraId="4FE320F8" w14:textId="77777777" w:rsidR="00D76A1C" w:rsidRPr="00B52707" w:rsidRDefault="00D76A1C" w:rsidP="00D76A1C">
      <w:pPr>
        <w:jc w:val="both"/>
        <w:rPr>
          <w:color w:val="0070C0"/>
          <w:sz w:val="16"/>
          <w:szCs w:val="16"/>
        </w:rPr>
      </w:pPr>
      <w:r w:rsidRPr="00B52707">
        <w:rPr>
          <w:color w:val="0070C0"/>
          <w:sz w:val="16"/>
          <w:szCs w:val="16"/>
        </w:rPr>
        <w:t>Приложенную к сему приказу инструкцию по воздухоплаванию в районе VI-й армии предписываю ввести в действие с 25 сего ноября.</w:t>
      </w:r>
    </w:p>
    <w:p w14:paraId="5774A056" w14:textId="77777777" w:rsidR="00D76A1C" w:rsidRPr="00B52707" w:rsidRDefault="00D76A1C" w:rsidP="00D76A1C">
      <w:pPr>
        <w:jc w:val="both"/>
        <w:rPr>
          <w:color w:val="0070C0"/>
          <w:sz w:val="16"/>
          <w:szCs w:val="16"/>
        </w:rPr>
      </w:pPr>
      <w:r w:rsidRPr="00B52707">
        <w:rPr>
          <w:color w:val="0070C0"/>
          <w:sz w:val="16"/>
          <w:szCs w:val="16"/>
        </w:rPr>
        <w:lastRenderedPageBreak/>
        <w:t>Главнокомандующий Генерал-от-артиллерии Фан-дер-Флит</w:t>
      </w:r>
    </w:p>
    <w:p w14:paraId="3037DFB4" w14:textId="77777777" w:rsidR="00D76A1C" w:rsidRPr="00B52707" w:rsidRDefault="00D76A1C" w:rsidP="00D76A1C">
      <w:pPr>
        <w:pStyle w:val="41"/>
        <w:spacing w:line="240" w:lineRule="auto"/>
        <w:jc w:val="both"/>
        <w:rPr>
          <w:color w:val="0070C0"/>
          <w:sz w:val="16"/>
          <w:szCs w:val="16"/>
        </w:rPr>
      </w:pPr>
      <w:r w:rsidRPr="00B52707">
        <w:rPr>
          <w:rStyle w:val="40"/>
          <w:color w:val="0070C0"/>
          <w:sz w:val="16"/>
          <w:szCs w:val="16"/>
        </w:rPr>
        <w:t>(документ приводится по данным РГВИА. Ф. 2126. Оп. 2. Д. 1. Л. 92-93.)</w:t>
      </w:r>
    </w:p>
    <w:p w14:paraId="6A8DDBC6" w14:textId="77777777" w:rsidR="00D76A1C" w:rsidRPr="00B52707" w:rsidRDefault="00D76A1C" w:rsidP="00D76A1C">
      <w:pPr>
        <w:jc w:val="both"/>
        <w:rPr>
          <w:color w:val="0070C0"/>
          <w:sz w:val="16"/>
          <w:szCs w:val="16"/>
        </w:rPr>
      </w:pPr>
      <w:r w:rsidRPr="00B52707">
        <w:rPr>
          <w:color w:val="0070C0"/>
          <w:sz w:val="16"/>
          <w:szCs w:val="16"/>
        </w:rPr>
        <w:t>Приложение к приказу № 90</w:t>
      </w:r>
    </w:p>
    <w:p w14:paraId="5F351D89" w14:textId="77777777" w:rsidR="00D76A1C" w:rsidRPr="00B52707" w:rsidRDefault="00D76A1C" w:rsidP="00D76A1C">
      <w:pPr>
        <w:jc w:val="both"/>
        <w:rPr>
          <w:color w:val="0070C0"/>
          <w:sz w:val="16"/>
          <w:szCs w:val="16"/>
        </w:rPr>
      </w:pPr>
      <w:r w:rsidRPr="00B52707">
        <w:rPr>
          <w:color w:val="0070C0"/>
          <w:sz w:val="16"/>
          <w:szCs w:val="16"/>
        </w:rPr>
        <w:t>ИНСТРУКЦИЯ</w:t>
      </w:r>
    </w:p>
    <w:p w14:paraId="13BAEC1C" w14:textId="77777777" w:rsidR="00D76A1C" w:rsidRPr="00B52707" w:rsidRDefault="00D76A1C" w:rsidP="00D76A1C">
      <w:pPr>
        <w:jc w:val="both"/>
        <w:rPr>
          <w:color w:val="0070C0"/>
          <w:sz w:val="16"/>
          <w:szCs w:val="16"/>
        </w:rPr>
      </w:pPr>
      <w:r w:rsidRPr="00B52707">
        <w:rPr>
          <w:color w:val="0070C0"/>
          <w:sz w:val="16"/>
          <w:szCs w:val="16"/>
        </w:rPr>
        <w:t>по воздухоплаванию в районе VI-й армии</w:t>
      </w:r>
    </w:p>
    <w:p w14:paraId="0500B1C3" w14:textId="77777777" w:rsidR="00D76A1C" w:rsidRPr="00B52707" w:rsidRDefault="00D76A1C" w:rsidP="00D76A1C">
      <w:pPr>
        <w:widowControl w:val="0"/>
        <w:tabs>
          <w:tab w:val="left" w:pos="1039"/>
        </w:tabs>
        <w:jc w:val="both"/>
        <w:rPr>
          <w:color w:val="0070C0"/>
          <w:sz w:val="16"/>
          <w:szCs w:val="16"/>
        </w:rPr>
      </w:pPr>
      <w:r w:rsidRPr="00B52707">
        <w:rPr>
          <w:rStyle w:val="ab"/>
          <w:rFonts w:ascii="Times New Roman" w:hAnsi="Times New Roman"/>
          <w:color w:val="0070C0"/>
          <w:spacing w:val="0"/>
          <w:sz w:val="16"/>
          <w:szCs w:val="16"/>
        </w:rPr>
        <w:t>1). В целях объединения действий летчиков и войсковых частей, назначенных для защиты Петрограда и его районов от воздушного нападения противника, начальником обороны Петрограда от воздушного нападения назначается генерал-майор Бурман.</w:t>
      </w:r>
    </w:p>
    <w:p w14:paraId="06B0332D" w14:textId="77777777" w:rsidR="00D76A1C" w:rsidRPr="00B52707" w:rsidRDefault="00D76A1C" w:rsidP="00D76A1C">
      <w:pPr>
        <w:jc w:val="both"/>
        <w:rPr>
          <w:color w:val="0070C0"/>
          <w:sz w:val="16"/>
          <w:szCs w:val="16"/>
        </w:rPr>
      </w:pPr>
      <w:r w:rsidRPr="00B52707">
        <w:rPr>
          <w:rStyle w:val="ab"/>
          <w:rFonts w:ascii="Times New Roman" w:hAnsi="Times New Roman"/>
          <w:color w:val="0070C0"/>
          <w:spacing w:val="0"/>
          <w:sz w:val="16"/>
          <w:szCs w:val="16"/>
        </w:rPr>
        <w:t>Примечание: Начальник воздушной обороны Петрограда должен быть в постоянной связи с начальником обороны Царского Села, который подчинен непосредственно Дворцовому Коменданту,</w:t>
      </w:r>
    </w:p>
    <w:p w14:paraId="30A7F4B4" w14:textId="77777777" w:rsidR="00D76A1C" w:rsidRPr="00B52707" w:rsidRDefault="00D76A1C" w:rsidP="00D76A1C">
      <w:pPr>
        <w:widowControl w:val="0"/>
        <w:tabs>
          <w:tab w:val="left" w:pos="1030"/>
        </w:tabs>
        <w:jc w:val="both"/>
        <w:rPr>
          <w:color w:val="0070C0"/>
          <w:sz w:val="16"/>
          <w:szCs w:val="16"/>
        </w:rPr>
      </w:pPr>
      <w:r w:rsidRPr="00B52707">
        <w:rPr>
          <w:rStyle w:val="ab"/>
          <w:rFonts w:ascii="Times New Roman" w:hAnsi="Times New Roman"/>
          <w:color w:val="0070C0"/>
          <w:spacing w:val="0"/>
          <w:sz w:val="16"/>
          <w:szCs w:val="16"/>
        </w:rPr>
        <w:t>2). Начальнику воздушной обороны Петрограда представить мне на утверждение особую инструкцию для действий войск при отражении неприятеля.</w:t>
      </w:r>
    </w:p>
    <w:p w14:paraId="36636F70" w14:textId="77777777" w:rsidR="00D76A1C" w:rsidRPr="00B52707" w:rsidRDefault="00D76A1C" w:rsidP="00D76A1C">
      <w:pPr>
        <w:widowControl w:val="0"/>
        <w:tabs>
          <w:tab w:val="left" w:pos="1030"/>
        </w:tabs>
        <w:jc w:val="both"/>
        <w:rPr>
          <w:color w:val="0070C0"/>
          <w:sz w:val="16"/>
          <w:szCs w:val="16"/>
        </w:rPr>
      </w:pPr>
      <w:r w:rsidRPr="00B52707">
        <w:rPr>
          <w:rStyle w:val="ab"/>
          <w:rFonts w:ascii="Times New Roman" w:hAnsi="Times New Roman"/>
          <w:color w:val="0070C0"/>
          <w:spacing w:val="0"/>
          <w:sz w:val="16"/>
          <w:szCs w:val="16"/>
        </w:rPr>
        <w:t>3). Все полеты в черте аэродромов Корпусного, Комендантского и Гатчинского, а также полеты гидропланов в Гребном Порту в границах:</w:t>
      </w:r>
    </w:p>
    <w:p w14:paraId="1FB6F18F" w14:textId="77777777" w:rsidR="00D76A1C" w:rsidRPr="00B52707" w:rsidRDefault="00D76A1C" w:rsidP="00D76A1C">
      <w:pPr>
        <w:jc w:val="both"/>
        <w:rPr>
          <w:color w:val="0070C0"/>
          <w:sz w:val="16"/>
          <w:szCs w:val="16"/>
        </w:rPr>
      </w:pPr>
      <w:r w:rsidRPr="00B52707">
        <w:rPr>
          <w:rStyle w:val="ab"/>
          <w:rFonts w:ascii="Times New Roman" w:hAnsi="Times New Roman"/>
          <w:color w:val="0070C0"/>
          <w:spacing w:val="0"/>
          <w:sz w:val="16"/>
          <w:szCs w:val="16"/>
        </w:rPr>
        <w:t>Гребной Порт-Невский маяк и Морской канал - северное побережье Финского залива до Лахты, производить лишь с разрешения Начальника воздушной обороны Петрограда. О таких полетах войска особо не предупреждать. Войскам воспрещается обстрел ЛА, летающих в пределах указанных аэродромов и водной площади.</w:t>
      </w:r>
    </w:p>
    <w:p w14:paraId="485DB492" w14:textId="77777777" w:rsidR="00D76A1C" w:rsidRPr="00B52707" w:rsidRDefault="00D76A1C" w:rsidP="00D76A1C">
      <w:pPr>
        <w:jc w:val="both"/>
        <w:rPr>
          <w:color w:val="0070C0"/>
          <w:sz w:val="16"/>
          <w:szCs w:val="16"/>
        </w:rPr>
      </w:pPr>
      <w:r w:rsidRPr="00B52707">
        <w:rPr>
          <w:rStyle w:val="ab"/>
          <w:rFonts w:ascii="Times New Roman" w:hAnsi="Times New Roman"/>
          <w:color w:val="0070C0"/>
          <w:spacing w:val="0"/>
          <w:sz w:val="16"/>
          <w:szCs w:val="16"/>
        </w:rPr>
        <w:t>О полетах вне сих аэродромов и вне района Гребного Порта Начальнику воздушной обороны испрашивать предварительное разрешение у Штаба армии, не позже как за сутки, до совершения полета.</w:t>
      </w:r>
    </w:p>
    <w:p w14:paraId="4DE512AA" w14:textId="77777777" w:rsidR="00D76A1C" w:rsidRPr="00B52707" w:rsidRDefault="00D76A1C" w:rsidP="00D76A1C">
      <w:pPr>
        <w:jc w:val="both"/>
        <w:rPr>
          <w:color w:val="0070C0"/>
          <w:sz w:val="16"/>
          <w:szCs w:val="16"/>
        </w:rPr>
      </w:pPr>
      <w:r w:rsidRPr="00B52707">
        <w:rPr>
          <w:rStyle w:val="ab"/>
          <w:rFonts w:ascii="Times New Roman" w:hAnsi="Times New Roman"/>
          <w:color w:val="0070C0"/>
          <w:spacing w:val="0"/>
          <w:sz w:val="16"/>
          <w:szCs w:val="16"/>
        </w:rPr>
        <w:t>Штабу армии, для соответствующего предупреждения войск, сообщить о сем:</w:t>
      </w:r>
    </w:p>
    <w:p w14:paraId="6809E47D" w14:textId="77777777" w:rsidR="00D76A1C" w:rsidRPr="00B52707" w:rsidRDefault="00D76A1C" w:rsidP="00D76A1C">
      <w:pPr>
        <w:jc w:val="both"/>
        <w:rPr>
          <w:color w:val="0070C0"/>
          <w:sz w:val="16"/>
          <w:szCs w:val="16"/>
        </w:rPr>
      </w:pPr>
      <w:r w:rsidRPr="00B52707">
        <w:rPr>
          <w:rStyle w:val="ab"/>
          <w:rFonts w:ascii="Times New Roman" w:hAnsi="Times New Roman"/>
          <w:color w:val="0070C0"/>
          <w:spacing w:val="0"/>
          <w:sz w:val="16"/>
          <w:szCs w:val="16"/>
        </w:rPr>
        <w:t>начальнику гарнизона Ораниенбаума, начальнику гарнизона Стрельни, начальнику гарнизона Петергофа, начальнику гарнизона Сестрорецка, начальнику гарнизона Красного Села, коменданту крепости Кронштадта, коменданту Красного Села, коменданту Царского Села, в Штаб Пограничной стражи, Инспектору Инженерной части округа, Коменданту станции Финляндской железной дороги, коменданту Петроградо-Московского района, Петроградскому Коменданту, Петроградскому Градоначальнику, Командиру 1-й авиационной роты, командиру батальона Воздухоплавательной школы, начальнику Главного артиллерийского полигона, в окружное</w:t>
      </w:r>
    </w:p>
    <w:p w14:paraId="5E8F7C5B" w14:textId="77777777" w:rsidR="00D76A1C" w:rsidRPr="00B52707" w:rsidRDefault="00D76A1C" w:rsidP="00D76A1C">
      <w:pPr>
        <w:jc w:val="both"/>
        <w:rPr>
          <w:color w:val="0070C0"/>
          <w:sz w:val="16"/>
          <w:szCs w:val="16"/>
        </w:rPr>
      </w:pPr>
      <w:r w:rsidRPr="00B52707">
        <w:rPr>
          <w:rStyle w:val="ab"/>
          <w:rFonts w:ascii="Times New Roman" w:hAnsi="Times New Roman"/>
          <w:color w:val="0070C0"/>
          <w:spacing w:val="0"/>
          <w:sz w:val="16"/>
          <w:szCs w:val="16"/>
        </w:rPr>
        <w:t>Артиллерийское управление генерал-майору Шихлинскому, начальнику гарнизона Охтенского порохового и взрывчатых веществ заводов и начальнику района Медвежьего стана.</w:t>
      </w:r>
    </w:p>
    <w:p w14:paraId="41A28CF2" w14:textId="77777777" w:rsidR="00D76A1C" w:rsidRPr="00B52707" w:rsidRDefault="00D76A1C" w:rsidP="00D76A1C">
      <w:pPr>
        <w:widowControl w:val="0"/>
        <w:tabs>
          <w:tab w:val="left" w:pos="1009"/>
        </w:tabs>
        <w:jc w:val="both"/>
        <w:rPr>
          <w:color w:val="0070C0"/>
          <w:sz w:val="16"/>
          <w:szCs w:val="16"/>
        </w:rPr>
      </w:pPr>
      <w:r w:rsidRPr="00B52707">
        <w:rPr>
          <w:rStyle w:val="ab"/>
          <w:rFonts w:ascii="Times New Roman" w:hAnsi="Times New Roman"/>
          <w:color w:val="0070C0"/>
          <w:spacing w:val="0"/>
          <w:sz w:val="16"/>
          <w:szCs w:val="16"/>
        </w:rPr>
        <w:t>4). Начальникам воздухоплавательных частей и руководителям полетов ныне же объявить всем летчикам, что вылет без разрешения за пределы аэродромов строжайше воспрещен.</w:t>
      </w:r>
    </w:p>
    <w:p w14:paraId="1405EA3F" w14:textId="77777777" w:rsidR="00D76A1C" w:rsidRPr="00B52707" w:rsidRDefault="00D76A1C" w:rsidP="00D76A1C">
      <w:pPr>
        <w:widowControl w:val="0"/>
        <w:tabs>
          <w:tab w:val="left" w:pos="1018"/>
        </w:tabs>
        <w:jc w:val="both"/>
        <w:rPr>
          <w:color w:val="0070C0"/>
          <w:sz w:val="16"/>
          <w:szCs w:val="16"/>
        </w:rPr>
      </w:pPr>
      <w:r w:rsidRPr="00B52707">
        <w:rPr>
          <w:rStyle w:val="ab"/>
          <w:rFonts w:ascii="Times New Roman" w:hAnsi="Times New Roman"/>
          <w:color w:val="0070C0"/>
          <w:spacing w:val="0"/>
          <w:sz w:val="16"/>
          <w:szCs w:val="16"/>
        </w:rPr>
        <w:t>5). Все без исключения военные и частные летательные аппараты должны быть снабжены следующими отличительными знаками: аэропланы на крыльях должны иметь круги красный, синий и белый, причем белый в центре круга и, кроме того, на крыльях сзади - треугольные черные флаги, аэростаты - такие же большие круги национальных цветов на нижней поверхности аэростата и флаги - спереди малый военный воздухоплавательный (на белом фоне - в верхнем левом углу изображение гюйса, в нижнем правом - красный якорь с крыльями), сзади - большой русский национальный (белый, синий, красный).</w:t>
      </w:r>
    </w:p>
    <w:p w14:paraId="41F82D8E" w14:textId="77777777" w:rsidR="00D76A1C" w:rsidRPr="00B52707" w:rsidRDefault="00D76A1C" w:rsidP="00D76A1C">
      <w:pPr>
        <w:jc w:val="both"/>
        <w:rPr>
          <w:color w:val="0070C0"/>
          <w:sz w:val="16"/>
          <w:szCs w:val="16"/>
        </w:rPr>
      </w:pPr>
      <w:r w:rsidRPr="00B52707">
        <w:rPr>
          <w:rStyle w:val="ab"/>
          <w:rFonts w:ascii="Times New Roman" w:hAnsi="Times New Roman"/>
          <w:color w:val="0070C0"/>
          <w:spacing w:val="0"/>
          <w:sz w:val="16"/>
          <w:szCs w:val="16"/>
        </w:rPr>
        <w:t>Русский аэроплан типа «ИЛЬЯ МУРОМЕЦ» кроме указанных знаков имеет еще следующие отличительные признаки: это биплан больших размеров с четырьмя моторами, поставленными на нижние поверхности; спереди корпуса выдается платформа, на которой видна орудийная установка; хвост длинный с тремя вертикальными рулями направления; спереди и сбоку видны окна каюты и при солнечной погоде аэроплан, будучи покрыт особым составом, блестит.</w:t>
      </w:r>
    </w:p>
    <w:p w14:paraId="68F8830A" w14:textId="77777777" w:rsidR="00D76A1C" w:rsidRPr="00B52707" w:rsidRDefault="00D76A1C" w:rsidP="00D76A1C">
      <w:pPr>
        <w:jc w:val="both"/>
        <w:rPr>
          <w:color w:val="0070C0"/>
          <w:sz w:val="16"/>
          <w:szCs w:val="16"/>
        </w:rPr>
      </w:pPr>
      <w:r w:rsidRPr="00B52707">
        <w:rPr>
          <w:rStyle w:val="ab"/>
          <w:rFonts w:ascii="Times New Roman" w:hAnsi="Times New Roman"/>
          <w:color w:val="0070C0"/>
          <w:spacing w:val="0"/>
          <w:sz w:val="16"/>
          <w:szCs w:val="16"/>
        </w:rPr>
        <w:t>Не снабженные указанными знаками ЛА не должны подниматься в воздух.</w:t>
      </w:r>
    </w:p>
    <w:p w14:paraId="20C80A66" w14:textId="77777777" w:rsidR="00D76A1C" w:rsidRPr="00B52707" w:rsidRDefault="00D76A1C" w:rsidP="00D76A1C">
      <w:pPr>
        <w:jc w:val="both"/>
        <w:rPr>
          <w:color w:val="0070C0"/>
          <w:sz w:val="16"/>
          <w:szCs w:val="16"/>
        </w:rPr>
      </w:pPr>
      <w:r w:rsidRPr="00B52707">
        <w:rPr>
          <w:rStyle w:val="ab"/>
          <w:rFonts w:ascii="Times New Roman" w:hAnsi="Times New Roman"/>
          <w:color w:val="0070C0"/>
          <w:spacing w:val="0"/>
          <w:sz w:val="16"/>
          <w:szCs w:val="16"/>
        </w:rPr>
        <w:t xml:space="preserve">Примечание: В районе </w:t>
      </w:r>
      <w:r w:rsidRPr="00B52707">
        <w:rPr>
          <w:rStyle w:val="ab"/>
          <w:rFonts w:ascii="Times New Roman" w:hAnsi="Times New Roman"/>
          <w:color w:val="0070C0"/>
          <w:spacing w:val="0"/>
          <w:sz w:val="16"/>
          <w:szCs w:val="16"/>
          <w:lang w:val="en-US"/>
        </w:rPr>
        <w:t>VI</w:t>
      </w:r>
      <w:r w:rsidRPr="00B52707">
        <w:rPr>
          <w:rStyle w:val="ab"/>
          <w:rFonts w:ascii="Times New Roman" w:hAnsi="Times New Roman"/>
          <w:color w:val="0070C0"/>
          <w:spacing w:val="0"/>
          <w:sz w:val="16"/>
          <w:szCs w:val="16"/>
        </w:rPr>
        <w:t>-й армии есть лишь 1 аэростат «Ястреб», резко отличающийся от германских цеппелинов формой; «Ястреб» имеет широкую головную часть и сужающуюся заднюю, а цеппелины ровно-цилиндрическую форму (иногда с ребрами), заостренную с обоих концов.</w:t>
      </w:r>
    </w:p>
    <w:p w14:paraId="3543B6E2" w14:textId="77777777" w:rsidR="00D76A1C" w:rsidRPr="00B52707" w:rsidRDefault="00D76A1C" w:rsidP="00D76A1C">
      <w:pPr>
        <w:widowControl w:val="0"/>
        <w:tabs>
          <w:tab w:val="left" w:pos="1014"/>
        </w:tabs>
        <w:jc w:val="both"/>
        <w:rPr>
          <w:color w:val="0070C0"/>
          <w:sz w:val="16"/>
          <w:szCs w:val="16"/>
        </w:rPr>
      </w:pPr>
      <w:r w:rsidRPr="00B52707">
        <w:rPr>
          <w:rStyle w:val="ab"/>
          <w:rFonts w:ascii="Times New Roman" w:hAnsi="Times New Roman"/>
          <w:color w:val="0070C0"/>
          <w:spacing w:val="0"/>
          <w:sz w:val="16"/>
          <w:szCs w:val="16"/>
        </w:rPr>
        <w:t>6). Не на всех неприятельских аппаратах есть отличительные знаки, но часто бывает следующее: черные кресты на крыльях и на хвосте, белые и красные полосы на крыльях и на хвосте, четырехугольные белые флаги с черными крестами, укрепленные за хвостом, или такие же флаги с красными и белыми полосами. На большой высоте отличительных знаков не видно.</w:t>
      </w:r>
    </w:p>
    <w:p w14:paraId="01CBCF0D" w14:textId="77777777" w:rsidR="00D76A1C" w:rsidRPr="00B52707" w:rsidRDefault="00D76A1C" w:rsidP="00D76A1C">
      <w:pPr>
        <w:widowControl w:val="0"/>
        <w:tabs>
          <w:tab w:val="left" w:pos="1018"/>
        </w:tabs>
        <w:jc w:val="both"/>
        <w:rPr>
          <w:color w:val="0070C0"/>
          <w:sz w:val="16"/>
          <w:szCs w:val="16"/>
        </w:rPr>
      </w:pPr>
      <w:r w:rsidRPr="00B52707">
        <w:rPr>
          <w:rStyle w:val="ab"/>
          <w:rFonts w:ascii="Times New Roman" w:hAnsi="Times New Roman"/>
          <w:color w:val="0070C0"/>
          <w:spacing w:val="0"/>
          <w:sz w:val="16"/>
          <w:szCs w:val="16"/>
        </w:rPr>
        <w:t>7). Всем господам офицерам изучить отличительные знаки наших и неприятельских летательных аппаратов.</w:t>
      </w:r>
    </w:p>
    <w:p w14:paraId="02D2DC20" w14:textId="77777777" w:rsidR="00D76A1C" w:rsidRPr="00B52707" w:rsidRDefault="00D76A1C" w:rsidP="00D76A1C">
      <w:pPr>
        <w:widowControl w:val="0"/>
        <w:tabs>
          <w:tab w:val="left" w:pos="1014"/>
        </w:tabs>
        <w:jc w:val="both"/>
        <w:rPr>
          <w:color w:val="0070C0"/>
          <w:sz w:val="16"/>
          <w:szCs w:val="16"/>
        </w:rPr>
      </w:pPr>
      <w:r w:rsidRPr="00B52707">
        <w:rPr>
          <w:rStyle w:val="ab"/>
          <w:rFonts w:ascii="Times New Roman" w:hAnsi="Times New Roman"/>
          <w:color w:val="0070C0"/>
          <w:spacing w:val="0"/>
          <w:sz w:val="16"/>
          <w:szCs w:val="16"/>
        </w:rPr>
        <w:t>8). Лучше пропустить несколько неприятельских аэропланов, чем подстрелить одного своего.</w:t>
      </w:r>
    </w:p>
    <w:p w14:paraId="6E536628" w14:textId="77777777" w:rsidR="00D76A1C" w:rsidRPr="00B52707" w:rsidRDefault="00D76A1C" w:rsidP="00D76A1C">
      <w:pPr>
        <w:widowControl w:val="0"/>
        <w:tabs>
          <w:tab w:val="left" w:pos="1009"/>
        </w:tabs>
        <w:jc w:val="both"/>
        <w:rPr>
          <w:color w:val="0070C0"/>
          <w:sz w:val="16"/>
          <w:szCs w:val="16"/>
        </w:rPr>
      </w:pPr>
      <w:r w:rsidRPr="00B52707">
        <w:rPr>
          <w:rStyle w:val="ab"/>
          <w:rFonts w:ascii="Times New Roman" w:hAnsi="Times New Roman"/>
          <w:color w:val="0070C0"/>
          <w:spacing w:val="0"/>
          <w:sz w:val="16"/>
          <w:szCs w:val="16"/>
        </w:rPr>
        <w:t>9). Одиночным людям и обозным командам стрелять по аэропланам и аэростатам безусловно воспрещается.</w:t>
      </w:r>
    </w:p>
    <w:p w14:paraId="1082F5A7" w14:textId="77777777" w:rsidR="00D76A1C" w:rsidRPr="00B52707" w:rsidRDefault="00D76A1C" w:rsidP="00D76A1C">
      <w:pPr>
        <w:jc w:val="both"/>
        <w:rPr>
          <w:color w:val="0070C0"/>
          <w:sz w:val="16"/>
          <w:szCs w:val="16"/>
        </w:rPr>
      </w:pPr>
      <w:r w:rsidRPr="00B52707">
        <w:rPr>
          <w:rStyle w:val="ab"/>
          <w:rFonts w:ascii="Times New Roman" w:hAnsi="Times New Roman"/>
          <w:color w:val="0070C0"/>
          <w:spacing w:val="0"/>
          <w:sz w:val="16"/>
          <w:szCs w:val="16"/>
        </w:rPr>
        <w:t>Отдельным частям, как-то: строевым командам, караульным заставам - открывать огонь лишь тогда, когда не остается ни малейшего сомнения, что аппарат неприятельский и не иначе, как по приказанию старшего в команде офицера или его замещающего унтер-офицера.</w:t>
      </w:r>
    </w:p>
    <w:p w14:paraId="0B16D3E0" w14:textId="77777777" w:rsidR="00D76A1C" w:rsidRPr="00B52707" w:rsidRDefault="00D76A1C" w:rsidP="00D76A1C">
      <w:pPr>
        <w:jc w:val="both"/>
        <w:rPr>
          <w:color w:val="0070C0"/>
          <w:sz w:val="16"/>
          <w:szCs w:val="16"/>
        </w:rPr>
      </w:pPr>
      <w:r w:rsidRPr="00B52707">
        <w:rPr>
          <w:rStyle w:val="ab"/>
          <w:rFonts w:ascii="Times New Roman" w:hAnsi="Times New Roman"/>
          <w:color w:val="0070C0"/>
          <w:spacing w:val="0"/>
          <w:sz w:val="16"/>
          <w:szCs w:val="16"/>
        </w:rPr>
        <w:t>Стрельбу производить залпами. Руководствоваться пп. 116-119 Наставления для обучения стрельбе (изд. 1914 г.).</w:t>
      </w:r>
    </w:p>
    <w:p w14:paraId="05CAE171" w14:textId="77777777" w:rsidR="00D76A1C" w:rsidRPr="00B52707" w:rsidRDefault="00D76A1C" w:rsidP="00D76A1C">
      <w:pPr>
        <w:widowControl w:val="0"/>
        <w:tabs>
          <w:tab w:val="left" w:pos="1134"/>
        </w:tabs>
        <w:jc w:val="both"/>
        <w:rPr>
          <w:color w:val="0070C0"/>
          <w:sz w:val="16"/>
          <w:szCs w:val="16"/>
        </w:rPr>
      </w:pPr>
      <w:r w:rsidRPr="00B52707">
        <w:rPr>
          <w:rStyle w:val="ab"/>
          <w:rFonts w:ascii="Times New Roman" w:hAnsi="Times New Roman"/>
          <w:color w:val="0070C0"/>
          <w:spacing w:val="0"/>
          <w:sz w:val="16"/>
          <w:szCs w:val="16"/>
        </w:rPr>
        <w:t>10). При стрельбе в людных, населенных местах избегать возможного поражения местных жителей и руководствоваться инструкцией, имеющей быть составленной Начальником воздушной обороны Петрограда.</w:t>
      </w:r>
    </w:p>
    <w:p w14:paraId="53374DD8" w14:textId="77777777" w:rsidR="00D76A1C" w:rsidRPr="00B52707" w:rsidRDefault="00D76A1C" w:rsidP="00D76A1C">
      <w:pPr>
        <w:widowControl w:val="0"/>
        <w:tabs>
          <w:tab w:val="left" w:pos="1613"/>
        </w:tabs>
        <w:jc w:val="both"/>
        <w:rPr>
          <w:color w:val="0070C0"/>
          <w:sz w:val="16"/>
          <w:szCs w:val="16"/>
        </w:rPr>
      </w:pPr>
      <w:r w:rsidRPr="00B52707">
        <w:rPr>
          <w:rStyle w:val="ab"/>
          <w:rFonts w:ascii="Times New Roman" w:hAnsi="Times New Roman"/>
          <w:color w:val="0070C0"/>
          <w:spacing w:val="0"/>
          <w:sz w:val="16"/>
          <w:szCs w:val="16"/>
        </w:rPr>
        <w:t>11). Стрельба по летательным аппаратам является действительной на следующей высоте:</w:t>
      </w:r>
    </w:p>
    <w:p w14:paraId="0BB22E3D" w14:textId="77777777" w:rsidR="00D76A1C" w:rsidRPr="00B52707" w:rsidRDefault="00D76A1C" w:rsidP="00D76A1C">
      <w:pPr>
        <w:jc w:val="both"/>
        <w:rPr>
          <w:color w:val="0070C0"/>
          <w:sz w:val="16"/>
          <w:szCs w:val="16"/>
        </w:rPr>
      </w:pPr>
      <w:r w:rsidRPr="00B52707">
        <w:rPr>
          <w:rStyle w:val="ab"/>
          <w:rFonts w:ascii="Times New Roman" w:hAnsi="Times New Roman"/>
          <w:color w:val="0070C0"/>
          <w:spacing w:val="0"/>
          <w:sz w:val="16"/>
          <w:szCs w:val="16"/>
        </w:rPr>
        <w:t>из 4,2 лин. винтовки не свыше «1000» шагов, из 3 лин. винтовки не свыше «1500» шагов; из полевой пушки не свыше 300 сажень, из той же пушки на платформах Розенберга до 3-х верст.</w:t>
      </w:r>
    </w:p>
    <w:p w14:paraId="4DA49AAC" w14:textId="77777777" w:rsidR="00D76A1C" w:rsidRPr="00B52707" w:rsidRDefault="00D76A1C" w:rsidP="00D76A1C">
      <w:pPr>
        <w:widowControl w:val="0"/>
        <w:tabs>
          <w:tab w:val="left" w:pos="1138"/>
        </w:tabs>
        <w:jc w:val="both"/>
        <w:rPr>
          <w:color w:val="0070C0"/>
          <w:sz w:val="16"/>
          <w:szCs w:val="16"/>
        </w:rPr>
      </w:pPr>
      <w:r w:rsidRPr="00B52707">
        <w:rPr>
          <w:rStyle w:val="ab"/>
          <w:rFonts w:ascii="Times New Roman" w:hAnsi="Times New Roman"/>
          <w:color w:val="0070C0"/>
          <w:spacing w:val="0"/>
          <w:sz w:val="16"/>
          <w:szCs w:val="16"/>
        </w:rPr>
        <w:t>12). Распоряжением Начальника воздушной обороны Петрограда, по мере возможности, снабдить подведомственные ему части и команды светящимися ракетами и станками для стрельбы ракетами. Ракетами стрелять по аэропланам, летящими на высоте не свыше 1 версты.</w:t>
      </w:r>
    </w:p>
    <w:p w14:paraId="3ECEA162" w14:textId="77777777" w:rsidR="00D76A1C" w:rsidRPr="00B52707" w:rsidRDefault="00D76A1C" w:rsidP="00D76A1C">
      <w:pPr>
        <w:widowControl w:val="0"/>
        <w:tabs>
          <w:tab w:val="left" w:pos="1138"/>
        </w:tabs>
        <w:jc w:val="both"/>
        <w:rPr>
          <w:color w:val="0070C0"/>
          <w:sz w:val="16"/>
          <w:szCs w:val="16"/>
        </w:rPr>
      </w:pPr>
      <w:r w:rsidRPr="00B52707">
        <w:rPr>
          <w:rStyle w:val="ab"/>
          <w:rFonts w:ascii="Times New Roman" w:hAnsi="Times New Roman"/>
          <w:color w:val="0070C0"/>
          <w:spacing w:val="0"/>
          <w:sz w:val="16"/>
          <w:szCs w:val="16"/>
        </w:rPr>
        <w:t>13). Всем подлежащим начальникам, в ведении коих имеются войска, выставляющие посты для наблюдения, для охраны железных дорог и прочих, теперь же установить наблюдение за небосклоном. На возвышенные места с широким кругозором выставить особые посты, снабдив их биноклями.</w:t>
      </w:r>
    </w:p>
    <w:p w14:paraId="181211D5" w14:textId="77777777" w:rsidR="00D76A1C" w:rsidRPr="00B52707" w:rsidRDefault="00D76A1C" w:rsidP="00D76A1C">
      <w:pPr>
        <w:jc w:val="both"/>
        <w:rPr>
          <w:color w:val="0070C0"/>
          <w:sz w:val="16"/>
          <w:szCs w:val="16"/>
        </w:rPr>
      </w:pPr>
      <w:r w:rsidRPr="00B52707">
        <w:rPr>
          <w:rStyle w:val="ab"/>
          <w:rFonts w:ascii="Times New Roman" w:hAnsi="Times New Roman"/>
          <w:color w:val="0070C0"/>
          <w:spacing w:val="0"/>
          <w:sz w:val="16"/>
          <w:szCs w:val="16"/>
        </w:rPr>
        <w:t>Особенно заботиться установлением быстрой связи между постами и обеспечить возможность немедленной передачи донесений от линии постов в Петроград. В этом ближайшем образом руководствоваться инструкцией Начальника воздушной обороны Петрограда. О принятых мерах доносить Штабу армии.</w:t>
      </w:r>
    </w:p>
    <w:p w14:paraId="0842DB12" w14:textId="77777777" w:rsidR="00D76A1C" w:rsidRPr="00B52707" w:rsidRDefault="00D76A1C" w:rsidP="00D76A1C">
      <w:pPr>
        <w:jc w:val="both"/>
        <w:rPr>
          <w:color w:val="0070C0"/>
          <w:sz w:val="16"/>
          <w:szCs w:val="16"/>
        </w:rPr>
      </w:pPr>
      <w:r w:rsidRPr="00B52707">
        <w:rPr>
          <w:rStyle w:val="ab"/>
          <w:rFonts w:ascii="Times New Roman" w:hAnsi="Times New Roman"/>
          <w:color w:val="0070C0"/>
          <w:spacing w:val="0"/>
          <w:sz w:val="16"/>
          <w:szCs w:val="16"/>
        </w:rPr>
        <w:t>Начальнику воздушной обороны Петрограда организовать непосредственную связь постов и избранным им центральным пунктом, а также связь между центральным пунктом и артиллерией, аэропланами и командами, назначенными для отражения воздушного нападения противника.</w:t>
      </w:r>
    </w:p>
    <w:p w14:paraId="07DAE7FB" w14:textId="77777777" w:rsidR="00D76A1C" w:rsidRPr="00B52707" w:rsidRDefault="00D76A1C" w:rsidP="00D76A1C">
      <w:pPr>
        <w:widowControl w:val="0"/>
        <w:tabs>
          <w:tab w:val="left" w:pos="1119"/>
        </w:tabs>
        <w:jc w:val="both"/>
        <w:rPr>
          <w:color w:val="0070C0"/>
          <w:sz w:val="16"/>
          <w:szCs w:val="16"/>
        </w:rPr>
      </w:pPr>
      <w:r w:rsidRPr="00B52707">
        <w:rPr>
          <w:rStyle w:val="ab"/>
          <w:rFonts w:ascii="Times New Roman" w:hAnsi="Times New Roman"/>
          <w:color w:val="0070C0"/>
          <w:spacing w:val="0"/>
          <w:sz w:val="16"/>
          <w:szCs w:val="16"/>
        </w:rPr>
        <w:t>14). Необходимо также обнаруживать места спусков неприятельских аэропланов. Объявить во всеобщее сведение, что лицам, содействующим обнаружению и захвату неприятельского аэроплана, уплачивается 5000 рублей премии и сверх того 5000 рублей за неповрежденный аэроплан и 10 000 за аэростат.</w:t>
      </w:r>
    </w:p>
    <w:p w14:paraId="740242A0" w14:textId="77777777" w:rsidR="00D76A1C" w:rsidRPr="00B52707" w:rsidRDefault="00D76A1C" w:rsidP="00D76A1C">
      <w:pPr>
        <w:jc w:val="both"/>
        <w:rPr>
          <w:rStyle w:val="ab"/>
          <w:rFonts w:ascii="Times New Roman" w:hAnsi="Times New Roman"/>
          <w:color w:val="0070C0"/>
          <w:spacing w:val="0"/>
          <w:sz w:val="16"/>
          <w:szCs w:val="16"/>
        </w:rPr>
      </w:pPr>
      <w:r w:rsidRPr="00B52707">
        <w:rPr>
          <w:rStyle w:val="ab"/>
          <w:rFonts w:ascii="Times New Roman" w:hAnsi="Times New Roman"/>
          <w:color w:val="0070C0"/>
          <w:spacing w:val="0"/>
          <w:sz w:val="16"/>
          <w:szCs w:val="16"/>
        </w:rPr>
        <w:t>15). Настоящая Инструкция вступает в силу с 25 сего ноября; с этого дня ранее изданные инструкции и распоряжения отменяются (25166).</w:t>
      </w:r>
    </w:p>
    <w:p w14:paraId="15C2E80B" w14:textId="77777777" w:rsidR="00D76A1C" w:rsidRPr="00B52707" w:rsidRDefault="00D76A1C" w:rsidP="00D76A1C">
      <w:pPr>
        <w:jc w:val="both"/>
        <w:rPr>
          <w:rStyle w:val="ab"/>
          <w:rFonts w:ascii="Times New Roman" w:hAnsi="Times New Roman"/>
          <w:color w:val="0070C0"/>
          <w:spacing w:val="0"/>
          <w:sz w:val="16"/>
          <w:szCs w:val="16"/>
        </w:rPr>
      </w:pPr>
    </w:p>
    <w:p w14:paraId="65866539" w14:textId="77777777" w:rsidR="00B67D7C" w:rsidRPr="00DE096C" w:rsidRDefault="00B67D7C" w:rsidP="00D45A46">
      <w:pPr>
        <w:jc w:val="both"/>
        <w:rPr>
          <w:bCs/>
          <w:i/>
          <w:color w:val="002060"/>
          <w:sz w:val="16"/>
          <w:szCs w:val="16"/>
        </w:rPr>
      </w:pPr>
      <w:r w:rsidRPr="00DE096C">
        <w:rPr>
          <w:bCs/>
          <w:i/>
          <w:color w:val="002060"/>
          <w:sz w:val="16"/>
          <w:szCs w:val="16"/>
        </w:rPr>
        <w:t>Самолетостроение:</w:t>
      </w:r>
    </w:p>
    <w:p w14:paraId="6FE62042" w14:textId="77777777" w:rsidR="00B67D7C" w:rsidRPr="00DE096C" w:rsidRDefault="00B67D7C" w:rsidP="00D45A46">
      <w:pPr>
        <w:jc w:val="both"/>
        <w:rPr>
          <w:bCs/>
          <w:i/>
          <w:color w:val="002060"/>
          <w:sz w:val="16"/>
          <w:szCs w:val="16"/>
        </w:rPr>
      </w:pPr>
    </w:p>
    <w:p w14:paraId="6A707B09" w14:textId="0AA7238F" w:rsidR="00B67D7C" w:rsidRPr="00DE096C" w:rsidRDefault="00B67D7C" w:rsidP="00D45A46">
      <w:pPr>
        <w:jc w:val="both"/>
        <w:rPr>
          <w:bCs/>
          <w:color w:val="002060"/>
          <w:sz w:val="16"/>
          <w:szCs w:val="16"/>
        </w:rPr>
      </w:pPr>
      <w:bookmarkStart w:id="203" w:name="_Hlk117406090"/>
      <w:r w:rsidRPr="00DE096C">
        <w:rPr>
          <w:bCs/>
          <w:color w:val="002060"/>
          <w:sz w:val="16"/>
          <w:szCs w:val="16"/>
        </w:rPr>
        <w:t xml:space="preserve">18 ноября </w:t>
      </w:r>
      <w:r w:rsidR="00A75AF0" w:rsidRPr="00DE096C">
        <w:rPr>
          <w:bCs/>
          <w:color w:val="002060"/>
          <w:sz w:val="16"/>
          <w:szCs w:val="16"/>
        </w:rPr>
        <w:t xml:space="preserve">(1 лекабря) </w:t>
      </w:r>
      <w:r w:rsidR="00DC4EBE" w:rsidRPr="00DE096C">
        <w:rPr>
          <w:bCs/>
          <w:color w:val="002060"/>
          <w:sz w:val="16"/>
          <w:szCs w:val="16"/>
        </w:rPr>
        <w:t xml:space="preserve">1914 г. </w:t>
      </w:r>
      <w:r w:rsidRPr="00DE096C">
        <w:rPr>
          <w:bCs/>
          <w:color w:val="002060"/>
          <w:sz w:val="16"/>
          <w:szCs w:val="16"/>
        </w:rPr>
        <w:t>завод попросил разрешения ГВТУ о перестановке моторов "Аргус" со 128-го на выпускаемый аэроплан нового типа В, что и было сделано 27 ноября. Капитан Горшков получил этот "Муромец VII" (№ 150), который вместе с двигателями унаследовал и название "Киевский". Позднее эта передача имени стала традицией и в составе Эскадры Воздушных Кораблей (ЭВК) всегда имелся самолёт "Киевский".</w:t>
      </w:r>
    </w:p>
    <w:p w14:paraId="782CFA3B" w14:textId="77777777" w:rsidR="00B67D7C" w:rsidRPr="00DE096C" w:rsidRDefault="00B67D7C" w:rsidP="00D45A46">
      <w:pPr>
        <w:jc w:val="both"/>
        <w:rPr>
          <w:bCs/>
          <w:color w:val="002060"/>
          <w:sz w:val="16"/>
          <w:szCs w:val="16"/>
        </w:rPr>
      </w:pPr>
      <w:r w:rsidRPr="00DE096C">
        <w:rPr>
          <w:bCs/>
          <w:color w:val="002060"/>
          <w:sz w:val="16"/>
          <w:szCs w:val="16"/>
        </w:rPr>
        <w:t>Поручик Б.Н. Фирсов был назначен командиром отряда аэроплана "Илья Муромец VI" и получил новую машину типа В № 149.</w:t>
      </w:r>
    </w:p>
    <w:p w14:paraId="7088B433" w14:textId="77777777" w:rsidR="00B67D7C" w:rsidRPr="00DE096C" w:rsidRDefault="00B67D7C" w:rsidP="00D45A46">
      <w:pPr>
        <w:jc w:val="both"/>
        <w:rPr>
          <w:bCs/>
          <w:color w:val="002060"/>
          <w:sz w:val="16"/>
          <w:szCs w:val="16"/>
        </w:rPr>
      </w:pPr>
      <w:r w:rsidRPr="00DE096C">
        <w:rPr>
          <w:bCs/>
          <w:color w:val="002060"/>
          <w:sz w:val="16"/>
          <w:szCs w:val="16"/>
        </w:rPr>
        <w:t>Таким образом, к началу декабря были готовы к отправке на фронт ешё четыре отряда (III, V, VI и VII "Киевский") (12041).</w:t>
      </w:r>
    </w:p>
    <w:p w14:paraId="4775F1A7" w14:textId="77777777" w:rsidR="00B67D7C" w:rsidRPr="00DE096C" w:rsidRDefault="00B67D7C" w:rsidP="00D45A46">
      <w:pPr>
        <w:jc w:val="both"/>
        <w:rPr>
          <w:bCs/>
          <w:color w:val="002060"/>
          <w:sz w:val="16"/>
          <w:szCs w:val="16"/>
        </w:rPr>
      </w:pPr>
    </w:p>
    <w:bookmarkEnd w:id="203"/>
    <w:p w14:paraId="12C46784" w14:textId="77777777" w:rsidR="00394D85" w:rsidRPr="00DE096C" w:rsidRDefault="00394D85" w:rsidP="00D45A46">
      <w:pPr>
        <w:jc w:val="both"/>
        <w:rPr>
          <w:bCs/>
          <w:i/>
          <w:color w:val="002060"/>
          <w:sz w:val="16"/>
          <w:szCs w:val="16"/>
        </w:rPr>
      </w:pPr>
      <w:r w:rsidRPr="00DE096C">
        <w:rPr>
          <w:bCs/>
          <w:i/>
          <w:color w:val="002060"/>
          <w:sz w:val="16"/>
          <w:szCs w:val="16"/>
        </w:rPr>
        <w:t>Другие оборонные отрасли:</w:t>
      </w:r>
    </w:p>
    <w:p w14:paraId="13C3F03F" w14:textId="77777777" w:rsidR="00394D85" w:rsidRPr="00DE096C" w:rsidRDefault="00394D85" w:rsidP="00D45A46">
      <w:pPr>
        <w:jc w:val="both"/>
        <w:rPr>
          <w:bCs/>
          <w:i/>
          <w:color w:val="002060"/>
          <w:sz w:val="16"/>
          <w:szCs w:val="16"/>
        </w:rPr>
      </w:pPr>
    </w:p>
    <w:p w14:paraId="5EE46AB1" w14:textId="7FBCB547" w:rsidR="00394D85" w:rsidRPr="00DE096C" w:rsidRDefault="00394D85" w:rsidP="00D45A46">
      <w:pPr>
        <w:pStyle w:val="p1"/>
        <w:spacing w:before="0" w:beforeAutospacing="0" w:after="0" w:afterAutospacing="0"/>
        <w:jc w:val="both"/>
        <w:rPr>
          <w:bCs/>
          <w:color w:val="002060"/>
          <w:sz w:val="16"/>
          <w:szCs w:val="16"/>
        </w:rPr>
      </w:pPr>
      <w:r w:rsidRPr="00DE096C">
        <w:rPr>
          <w:bCs/>
          <w:color w:val="002060"/>
          <w:sz w:val="16"/>
          <w:szCs w:val="16"/>
        </w:rPr>
        <w:t xml:space="preserve">18 ноября </w:t>
      </w:r>
      <w:r w:rsidR="00A75AF0" w:rsidRPr="00DE096C">
        <w:rPr>
          <w:bCs/>
          <w:color w:val="002060"/>
          <w:sz w:val="16"/>
          <w:szCs w:val="16"/>
        </w:rPr>
        <w:t xml:space="preserve">(1 декабря) </w:t>
      </w:r>
      <w:r w:rsidRPr="00DE096C">
        <w:rPr>
          <w:bCs/>
          <w:color w:val="002060"/>
          <w:sz w:val="16"/>
          <w:szCs w:val="16"/>
        </w:rPr>
        <w:t>1914 г. ГАУ приступило к проектированию расширения производства в Самаре с 0,5 до 3 млн. трубок и втулок в год. Руководивший работами генерал И.В. фон Меершедт-Гюллессем начал с того, что командировал инженера в Ригу, Коломну, Петроград и Харьков заказать двигатели (дизель в 250 л.с. был получен с рижского «Фельзера», другой, в 900 л. с, заказан на Коломенском заводе); на протяжении 1915 г. были построены здания. За первый год войны количество рабочих на заводе увеличилось с 1934 до 4796 человек, а в 1917 г. превысило 19 тысяч. Свыше 600 000 руб. стоило развитие железнодорожного разъезда Иващенково и сооружение подъездных путей, соединивших трубочный с объектами Самарского завода взрывчатых веществ</w:t>
      </w:r>
      <w:r w:rsidRPr="00DE096C">
        <w:rPr>
          <w:bCs/>
          <w:color w:val="002060"/>
          <w:sz w:val="16"/>
          <w:szCs w:val="16"/>
          <w:vertAlign w:val="superscript"/>
        </w:rPr>
        <w:t>{336}</w:t>
      </w:r>
      <w:r w:rsidRPr="00DE096C">
        <w:rPr>
          <w:bCs/>
          <w:color w:val="002060"/>
          <w:sz w:val="16"/>
          <w:szCs w:val="16"/>
        </w:rPr>
        <w:t>. За годы войны Самарский завод был расширен больше чем в шесть раз, выпуск с 5 тысяч повысился до 30 тысяч трубок в сутк (18409).</w:t>
      </w:r>
    </w:p>
    <w:p w14:paraId="7BDDDEEA" w14:textId="77777777" w:rsidR="00394D85" w:rsidRPr="00DE096C" w:rsidRDefault="00394D85" w:rsidP="00D45A46">
      <w:pPr>
        <w:pStyle w:val="p1"/>
        <w:spacing w:before="0" w:beforeAutospacing="0" w:after="0" w:afterAutospacing="0"/>
        <w:jc w:val="both"/>
        <w:rPr>
          <w:bCs/>
          <w:color w:val="002060"/>
          <w:sz w:val="16"/>
          <w:szCs w:val="16"/>
        </w:rPr>
      </w:pPr>
    </w:p>
    <w:p w14:paraId="53879A6F" w14:textId="034F1DFA" w:rsidR="00A75AF0" w:rsidRPr="00DE096C" w:rsidRDefault="00A75AF0" w:rsidP="00D45A46">
      <w:pPr>
        <w:pStyle w:val="af7"/>
        <w:spacing w:line="240" w:lineRule="auto"/>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18 ноября (1 декабря) 1914 г. ГАУ приступило к проектированию расширения про</w:t>
      </w:r>
      <w:r w:rsidRPr="00DE096C">
        <w:rPr>
          <w:rFonts w:ascii="Times New Roman" w:hAnsi="Times New Roman" w:cs="Times New Roman"/>
          <w:bCs/>
          <w:color w:val="002060"/>
          <w:sz w:val="16"/>
          <w:szCs w:val="16"/>
        </w:rPr>
        <w:softHyphen/>
        <w:t>изводства на трубочном заводе в Самаре с 0,5 до 3 млн трубок и втулок в год. Руководивший работами генерал И.В. фон Меершедт-Гюллессем начал с того, что командировал инженера в Ригу, Ко</w:t>
      </w:r>
      <w:r w:rsidRPr="00DE096C">
        <w:rPr>
          <w:rFonts w:ascii="Times New Roman" w:hAnsi="Times New Roman" w:cs="Times New Roman"/>
          <w:bCs/>
          <w:color w:val="002060"/>
          <w:sz w:val="16"/>
          <w:szCs w:val="16"/>
        </w:rPr>
        <w:softHyphen/>
        <w:t>ломну, Петроград и Харьков заказать двигатели (дизель в 250 л. с. был получен с рижского «Фельзера», другой, в 900 л. с., заказан на Коломенском заводе); на протяжении 1915 г. были построены здания. За первый год войны коли</w:t>
      </w:r>
      <w:r w:rsidRPr="00DE096C">
        <w:rPr>
          <w:rFonts w:ascii="Times New Roman" w:hAnsi="Times New Roman" w:cs="Times New Roman"/>
          <w:bCs/>
          <w:color w:val="002060"/>
          <w:sz w:val="16"/>
          <w:szCs w:val="16"/>
        </w:rPr>
        <w:softHyphen/>
        <w:t>чество рабочих на заводе увеличилось с 1934 до 4796 человек, а в 1917 г. превысило 19 тысяч (РГВИА. Ф. 962. Оп. 2. Д. 139. Л. 144; Д. 21. Л. 19-21; Ф. 29. Оп. 3. Д. 1009. Л. 17—19. В списке чинов ГАУ указано неправильное написание «Мершейдт-Гиллесем»; Гарафутдинов Р.А., Румянцев Е.Д. «Долой войну, долой самодержа</w:t>
      </w:r>
      <w:r w:rsidRPr="00DE096C">
        <w:rPr>
          <w:rFonts w:ascii="Times New Roman" w:hAnsi="Times New Roman" w:cs="Times New Roman"/>
          <w:bCs/>
          <w:color w:val="002060"/>
          <w:sz w:val="16"/>
          <w:szCs w:val="16"/>
        </w:rPr>
        <w:softHyphen/>
        <w:t>вие!». Саратов, 1990. С. 59). Свыше 600 000 руб. стоило развитие железнодорожного разъезда Иващенково и соору</w:t>
      </w:r>
      <w:r w:rsidRPr="00DE096C">
        <w:rPr>
          <w:rFonts w:ascii="Times New Roman" w:hAnsi="Times New Roman" w:cs="Times New Roman"/>
          <w:bCs/>
          <w:color w:val="002060"/>
          <w:sz w:val="16"/>
          <w:szCs w:val="16"/>
        </w:rPr>
        <w:softHyphen/>
        <w:t xml:space="preserve">жение подъездных путей, </w:t>
      </w:r>
      <w:r w:rsidRPr="00DE096C">
        <w:rPr>
          <w:rFonts w:ascii="Times New Roman" w:hAnsi="Times New Roman" w:cs="Times New Roman"/>
          <w:bCs/>
          <w:color w:val="002060"/>
          <w:sz w:val="16"/>
          <w:szCs w:val="16"/>
        </w:rPr>
        <w:lastRenderedPageBreak/>
        <w:t>соединивших трубочный с объек</w:t>
      </w:r>
      <w:r w:rsidRPr="00DE096C">
        <w:rPr>
          <w:rFonts w:ascii="Times New Roman" w:hAnsi="Times New Roman" w:cs="Times New Roman"/>
          <w:bCs/>
          <w:color w:val="002060"/>
          <w:sz w:val="16"/>
          <w:szCs w:val="16"/>
        </w:rPr>
        <w:softHyphen/>
        <w:t xml:space="preserve">тами Самарского завода взрывчатых веществ (РГВИА. Ф. 962. Оп. 2. Д. 21. Л. 122, 66; Ф. 505. </w:t>
      </w:r>
      <w:r w:rsidRPr="00DE096C">
        <w:rPr>
          <w:rFonts w:ascii="Times New Roman" w:hAnsi="Times New Roman" w:cs="Times New Roman"/>
          <w:bCs/>
          <w:color w:val="002060"/>
          <w:sz w:val="16"/>
          <w:szCs w:val="16"/>
          <w:lang w:val="en-US" w:bidi="en-US"/>
        </w:rPr>
        <w:t>On</w:t>
      </w:r>
      <w:r w:rsidRPr="00DE096C">
        <w:rPr>
          <w:rFonts w:ascii="Times New Roman" w:hAnsi="Times New Roman" w:cs="Times New Roman"/>
          <w:bCs/>
          <w:color w:val="002060"/>
          <w:sz w:val="16"/>
          <w:szCs w:val="16"/>
          <w:lang w:bidi="en-US"/>
        </w:rPr>
        <w:t xml:space="preserve">. </w:t>
      </w:r>
      <w:r w:rsidRPr="00DE096C">
        <w:rPr>
          <w:rFonts w:ascii="Times New Roman" w:hAnsi="Times New Roman" w:cs="Times New Roman"/>
          <w:bCs/>
          <w:color w:val="002060"/>
          <w:sz w:val="16"/>
          <w:szCs w:val="16"/>
        </w:rPr>
        <w:t>1. Д. 87. Л. 64 об.). За годы вой</w:t>
      </w:r>
      <w:r w:rsidRPr="00DE096C">
        <w:rPr>
          <w:rFonts w:ascii="Times New Roman" w:hAnsi="Times New Roman" w:cs="Times New Roman"/>
          <w:bCs/>
          <w:color w:val="002060"/>
          <w:sz w:val="16"/>
          <w:szCs w:val="16"/>
        </w:rPr>
        <w:softHyphen/>
        <w:t>ны Самарский завод был расширен больше чем в шесть раз, выпуск с 5 тысяч повысился до 30 тысяч трубок в сутки (23452).</w:t>
      </w:r>
    </w:p>
    <w:p w14:paraId="143C69AC" w14:textId="77777777" w:rsidR="00A75AF0" w:rsidRPr="00DE096C" w:rsidRDefault="00A75AF0" w:rsidP="00D45A46">
      <w:pPr>
        <w:jc w:val="both"/>
        <w:rPr>
          <w:bCs/>
          <w:color w:val="002060"/>
          <w:sz w:val="16"/>
          <w:szCs w:val="16"/>
        </w:rPr>
      </w:pPr>
    </w:p>
    <w:p w14:paraId="09BDB651" w14:textId="77777777" w:rsidR="00B67D7C" w:rsidRPr="00DE096C" w:rsidRDefault="00B67D7C" w:rsidP="00D45A46">
      <w:pPr>
        <w:jc w:val="both"/>
        <w:rPr>
          <w:bCs/>
          <w:i/>
          <w:color w:val="002060"/>
          <w:sz w:val="16"/>
          <w:szCs w:val="16"/>
        </w:rPr>
      </w:pPr>
      <w:r w:rsidRPr="00DE096C">
        <w:rPr>
          <w:bCs/>
          <w:i/>
          <w:color w:val="002060"/>
          <w:sz w:val="16"/>
          <w:szCs w:val="16"/>
        </w:rPr>
        <w:t>Авиация:</w:t>
      </w:r>
    </w:p>
    <w:p w14:paraId="4E07E5EA" w14:textId="77777777" w:rsidR="00B67D7C" w:rsidRPr="00DE096C" w:rsidRDefault="00B67D7C" w:rsidP="00D45A46">
      <w:pPr>
        <w:jc w:val="both"/>
        <w:rPr>
          <w:bCs/>
          <w:i/>
          <w:color w:val="002060"/>
          <w:sz w:val="16"/>
          <w:szCs w:val="16"/>
        </w:rPr>
      </w:pPr>
    </w:p>
    <w:p w14:paraId="58343961" w14:textId="700378B7" w:rsidR="00FE5D34" w:rsidRPr="00DE096C" w:rsidRDefault="00FE5D34" w:rsidP="00D45A46">
      <w:pPr>
        <w:jc w:val="both"/>
        <w:rPr>
          <w:bCs/>
          <w:color w:val="002060"/>
          <w:sz w:val="16"/>
          <w:szCs w:val="16"/>
        </w:rPr>
      </w:pPr>
      <w:bookmarkStart w:id="204" w:name="_Hlk117406172"/>
      <w:r w:rsidRPr="00DE096C">
        <w:rPr>
          <w:bCs/>
          <w:color w:val="002060"/>
          <w:sz w:val="16"/>
          <w:szCs w:val="16"/>
        </w:rPr>
        <w:t xml:space="preserve">18 ноября </w:t>
      </w:r>
      <w:r w:rsidR="00A75AF0" w:rsidRPr="00DE096C">
        <w:rPr>
          <w:bCs/>
          <w:color w:val="002060"/>
          <w:sz w:val="16"/>
          <w:szCs w:val="16"/>
        </w:rPr>
        <w:t xml:space="preserve">(1 декабря) </w:t>
      </w:r>
      <w:r w:rsidRPr="00DE096C">
        <w:rPr>
          <w:bCs/>
          <w:color w:val="002060"/>
          <w:sz w:val="16"/>
          <w:szCs w:val="16"/>
        </w:rPr>
        <w:t>1914 г. начальником штаба ВГК утверждены "руководящие указания о деятельности и порядке подчинения чинов авиационных рот и отрядов" - важный документ в повышении дисциплины и боеспособности авиаотрядов (23320).</w:t>
      </w:r>
    </w:p>
    <w:p w14:paraId="668A21AB" w14:textId="77777777" w:rsidR="00FE5D34" w:rsidRPr="00DE096C" w:rsidRDefault="00FE5D34" w:rsidP="00D45A46">
      <w:pPr>
        <w:jc w:val="both"/>
        <w:rPr>
          <w:bCs/>
          <w:color w:val="002060"/>
          <w:sz w:val="16"/>
          <w:szCs w:val="16"/>
        </w:rPr>
      </w:pPr>
    </w:p>
    <w:p w14:paraId="200C2D75" w14:textId="5B196B7A" w:rsidR="00B67D7C" w:rsidRPr="00DE096C" w:rsidRDefault="00B67D7C" w:rsidP="00D45A46">
      <w:pPr>
        <w:jc w:val="both"/>
        <w:rPr>
          <w:bCs/>
          <w:color w:val="002060"/>
          <w:sz w:val="16"/>
          <w:szCs w:val="16"/>
        </w:rPr>
      </w:pPr>
      <w:r w:rsidRPr="00DE096C">
        <w:rPr>
          <w:bCs/>
          <w:color w:val="002060"/>
          <w:sz w:val="16"/>
          <w:szCs w:val="16"/>
        </w:rPr>
        <w:t>18-го ноября (1 декабря) 1914</w:t>
      </w:r>
      <w:r w:rsidR="00DC4EBE" w:rsidRPr="00DE096C">
        <w:rPr>
          <w:bCs/>
          <w:color w:val="002060"/>
          <w:sz w:val="16"/>
          <w:szCs w:val="16"/>
        </w:rPr>
        <w:t xml:space="preserve"> г</w:t>
      </w:r>
      <w:r w:rsidRPr="00DE096C">
        <w:rPr>
          <w:bCs/>
          <w:color w:val="002060"/>
          <w:sz w:val="16"/>
          <w:szCs w:val="16"/>
        </w:rPr>
        <w:t>.</w:t>
      </w:r>
      <w:r w:rsidR="006477E8" w:rsidRPr="00DE096C">
        <w:rPr>
          <w:bCs/>
          <w:color w:val="002060"/>
          <w:sz w:val="16"/>
          <w:szCs w:val="16"/>
        </w:rPr>
        <w:t xml:space="preserve"> </w:t>
      </w:r>
      <w:r w:rsidRPr="00DE096C">
        <w:rPr>
          <w:bCs/>
          <w:color w:val="002060"/>
          <w:sz w:val="16"/>
          <w:szCs w:val="16"/>
        </w:rPr>
        <w:t xml:space="preserve">.. За этот день было совершено 13 полетов, сделано 14 фотоснимков крепости и ее фортов, сброшено 27 бомб общим весом взрывчатки 21 пуд 20 фунтов (353 кг). Бомбы были сброшены с высоты 1700-2200 м..., причем по результатам взрывов во многих местах начались пожары. </w:t>
      </w:r>
      <w:r w:rsidR="006477E8" w:rsidRPr="00DE096C">
        <w:rPr>
          <w:bCs/>
          <w:color w:val="002060"/>
          <w:sz w:val="16"/>
          <w:szCs w:val="16"/>
        </w:rPr>
        <w:t xml:space="preserve">В осаде Перемышля задействовались объединенные в группу 24-й корпусной и Брест-Литовский авиаотряды во главе с одним из опытнейших военных летчиков поручиком Е. Рудневым. В задачу группы, кроме разведки, входила и бомбардировка крепости. За время осады было сброшено около 50 различных бомб массой от 6 фунтов до 2 пудов 30 фунтов (2,7-46,4 кг). </w:t>
      </w:r>
      <w:r w:rsidRPr="00DE096C">
        <w:rPr>
          <w:bCs/>
          <w:color w:val="002060"/>
          <w:sz w:val="16"/>
          <w:szCs w:val="16"/>
        </w:rPr>
        <w:t>Все летавшие были отстреляны шрапнелью противника..." С помощью воздушной разведки русское командование следило за всеми действиями осажденного гарнизона, который сдался 5 марта 1915 г. Примером успешного применения авиации может служить работа авиаотрядов 3-й и 8-й армий Юго-западного фронта в Галицийской операции. Ограниченный радиус действия самолетов вынуждал использовать авиацию в основном для решения тактических задач. Однако правильная организация работы авиаотрядов давала материалы и оперативных масштабов: штабы армий обменивались данными воздушной разведки и регулярно информировали штаб фронта о всех важнейших сведениях, собранных летчиками. Когда началось наступление 8-й армии, авиаторы привозили из разведвылетов важные сведения о группировках противника и путях его отхода. Эти данные были подтверждены дальнейшим ходом событий - войска 8-й армии продвигались вперед, не встречая серьезного сопротивления. Не менее успешно действовали авиаотряды 3-й армии, наступавшей на Львов. За период Галицийской битвы с 6 августа по 13 сентября 9-й и 11-й корпусные авиаотряды (КАО) 3-й армии совершили свыше 70 боевых вылетов, а четыре отряда 8-й армии (7-й, 8-й и 12-й корпусные, 3-й полевой) - свыше 100. В этот период хуже обстояли дела у летчики 4-й и 5-й армий. Полетов было мало, а плохая организация воздушной разведки привела к неприятным неожиданностям во время боевых действий. В целом в кампании 1914 г. наиболее высокий уровень работы авиации оказался на Юго-западном фронте. Здесь авиаторы успешно справлялись с поставленными перед ними задачами, и их деятельность часто получала высокую оценку наземного командования. Об этом свидетельствует приказ Главнокомандующего фронтом генерала Н. И. Иванова от 11.01.1915: "Летчики-офицеры и нижние чины, не считаясь с трудностями обстановки, не взирая ни на какую погоду, с честью выполнили свой долг и своими мужественными разведками приносили надлежащую пользу своим корпусам и армиям". Иначе обстояли дела на Северо-Западном фронте. В сентябре здесь решением главкома авиаотряды были изъяты из состава корпусов и сведены в авиационные группы, подчиненные начальникам штабов армий. Однако эта реорганизация оказалась малоэффективной, так как не были созданы органы управления авиагруппами, а ограниченный радиус действия самолетов затруднял их применение в интересах армейского командования. К тому же такая структура не учитывала сложные географические (болотистая и лесная местность) и погодные условия, существовавшие на северо-западе. Собранные на одном аэродроме самолеты каждой группы при плохих метеоусловиях были обречены на бездействие, тогда как в случае рассредоточения по площадкам авиаотрядов имелись бы шансы использовать кратковременные местные улучшения погоды. Исследование динамики убыли и поступления самолетов в целом по Русской армии показывает, что потери аэропланов были значительными и составляли не менее 45,8% за 2 месяца. Большая часть (иногда 90%) этой убыли была вызвана выходом из строя изношенных аэропланов и моторов. Мощностей русских авиазаводов не хватало для восполнения этих потерь - с начала войны до 1 января 1915 г. они отправили в действующую армию 157 самолетов. Причем часто эти машины имели дефекты и забраковывались при сборке в отрядах и ротах. Особые нарекания вызывали самолеты завода Щетинина. Так, монопланы "Ньюпор" имели отрицательный угол установки крыла, что повлекло ряд аварий. Французские самолеты, сделанные на русских авиазаводах, отличались большей массой и низким качеством изготовления по сравнению с импортными "собратьями". Первые месяцы войны выявили и тот факт, что часто высшие военные начальники проявляли полное незнание свойств и возможностей аэропланов. Отсюда - либо отсутствие постановки задач и бездействие авиации, либо постановка перед летчиками нереальных боевых задач. Чтобы избежать таких недоразумений, были изданы подробные указания по использованию нового рода войск. Особую заботу о летчиках проявил главнокомандующий Юго-Западным фронтом, который издал приказ №6 от 12 августа 1914 г.: "Придавая большое значение работе аэропланов и признавая весь риск и трудности выполнения задач летчиками и наблюдателями, приказываю...". Далее шли указания летать не больше одного раза в день на дальность не более 200-230 верст, полеты совершать в утренние часы. Штабному начальству предписывалось не посылать летчиков по мелочам, не злоупотреблять частым направлением аппаратов к линии фронта, давать задачи на поиск крупных соединений противника, не поручать летчикам и наблюдателям разбрасывать прокламации, ибо в случае пленения они не приравниваются к военнопленным и могут быть расстреляны, и т.д. Бичом русской авиации в первые месяцы войны стал безудержный обстрел аппаратов своими войсками, что стало причиной гибели нескольких авиаторов. Например, 13 августа при перелете линии фронта был убит своими войсками военный летчик 25-го КАО поручик Гудим, 27 августа такая же участь постигла при посадке военного летчика 11-го КАО поручика Лемешко и т.д. Другие случаи имели менее трагические последствия. Так, "30 июля 1914г. начальник 7-го корпусного авиаотряда штабс-капитан Степанов вылетел для производства воздушной разведки, пролетая над местечком Ярмолинцы, подвергся обстрелу залпами... получил пробоины в стабилизатор и крыло. Расследование показало... стреляли роты 60-го пехотного Замоского полка". В тот же день летчик того же отряда поручик Сабельников попал в такую же ситуацию. Результат - 4 пробоины. Подобных примеров было много, и это вынудило командование издать приказы, запрещавшие "стрелять по своим и планирующим аппаратам, стрельбу вести только по приказу офицера или при бросании бомб противником". Господам офицерам было приказано изучить знаки своих и неприятельских аэропланов, знать их силуэты. Начальный период войны выявил плохую организацию в снабжении авиационных отрядов и рот бензином, касторовым маслом, запчастями, палатками и другим авиационным имуществом. Самолеты и моторы быстро выходили из строя в суровых полевых условиях, особенно с наступлением ненастной осенней погоды, когда остро сказались нехватка палаток и переносных ангаров, использование для аэродромов малопригодных площадок. Уже после первых месяцев войны многие авиаотряды пришлось отвести в тыл для снабжения аэропланами новых систем и для переучивания летчиков на них. Так, пилоты, летавшие на "Ньюпорах", освоили "Мораны". Широко использовалась для вооружения отрядов отремонтированная трофейная авиатехника. Поставки самолетов и назначения личного состава целиком зависели от штаба авиации, возглавлявшегося Великим князем Александром Михайловичем. Он часто назначал командирами рот и начальниками отрядов офицеров, хорошо писавших отчеты, но мало летавших. В этой ситуации протежируемые отряды снабжались самолетами вне очереди , тогда как части, несшие ответственную и тяжелую работу, оставались без аэропланов. Снабжение самолетами оставалось большой проблемой, которая часто решалась на самом высоком уровне. Так, 31 августа 1914 г. командующий 8-й армией генерал Брусилов бьет челом Великому князю: "Настоящее время лишился совершенно воздушных аппаратов, столь драгоценных для разведок, что ставит управление войсками в крайне трудное положение. ...Покорно прошу Ваше императорское высочество оказать армии величайшую помощь "Фарманами" и "Ньюпорами". Деятельность летчиков в разведке незаменима." Просьба Брусилова была удовлетворена, и армия получила 4 самолета из состава Брест-Литовского крепостного авиаотряда. Однако таких просьб было множество, а дефицит самолетов и моторов стал хронической болезнью русской авиации до конца войны. К началу боевых действий в составе воздушного флота России насчитывался 221 летчик: 170 офицеров, 35 нижних чинов и 16 вольноопределяющихся (добровольцев). На 1 января 1915 г. потери летчиков составили 33 человека или 14,9% от общего состава. Из них 6 погибли от действий неприятеля, 5 - в авариях, 22 попали в плен и пропали без вести. Среди погибших: штабс-капитаны Грузинов, Нестеров, поручики Лемешко, Гудим, старший унтер-офицер Доброшинский и др. Пропали без вести: поручики Николаевский, Шамин, Машерек и др. Ранены или разбились при падении: капитан Витковский, гвардии штабс-капитан Мельницкий, штабс-капитан Мучник, поручики Городецкий, Корнидов, Павлов, доброволец Шпицберг. Некоторые из них, например, летчик-доброволец 16-го КАО Шпицберг, впоследствии скончались в госпитале. В скорбный список боевых потерь одним из первых попал военный летчик начальник 14-го КАО Ефграф Ефграфович Грузинов, смертельно раненный шрапнелью в воздухе во время выполнения боевого задания. 17 августа он вылетел на разведку района Кщонов-Пиляш-Ковице-Быхов-Люблин и обратно не вернулся. Самолет упал на вражеской территории, которую вскоре заняли русские войска. У села Быхово близ Янова были найдены свежая могила и разбитый "Ньюпор". В могиле обнаружили тело Грузинова, вопрос местных жителей и пленных австрийцев дал представление об обстоятельствах его гибели. Выяснилось, что самолет пролетал над австрийскими позициями на высоте 1000-1200 м и был обстрелян сначала пехотой, потом артиллерийской батареей, которая дала три залпа. Два первых цели не достигли. После третьего аппарат дрогнул, перевернулся и, сделав крутой вираж, врезался в землю с работающим мотором. Посмертно высочайшим приказом штабс-капитан Грузинов был награжден орденом Святого Георгия 4-й степени. Состоялись и первые воздушные бои. Таран и героическая гибель 26 августа военного летчика начальника 11-го КАО Петра Николаевича Нестерова открыли новую эпоху борьбы в воздухе. Из вооружения у русских авиаторов имелись только пистолеты "Маузер" и карабины. Хроника тех лет описывает несколько случаев воздушных боев. Так, 28 октября в окрестностях Петроково (под Варшавой) "появился неприятельский аэроплан. Через несколько минут поднялись два наших летчика и после воздушного боя сбросили "Таубе" на землю. Немецкие авиаторы разбились. Неприятельский аэроплан исковеркан". К сожалению, подтверждения этому газетному сообщению не нашлось. А вот воздушный бой и совместные действия с артиллерией, принесшие успех военному летчику Гродненского крепостного авиаотряда поручику Семенову, были подтверждены несколькими донесениями, хранящимися в Военно-историческом архиве. 27 августа Семенов с наблюдателем корнетом Николаевым при перелете через озеро Мейер, что в Восточной Пруссии, заметил неприятельский аэроплан, летевший к Летцену. Обойдя противника с правой стороны, Семенов атаковал его, заставил спуститься ниже и изменить направление полета в район русских позиций, где тот был обстрелян и около озера упал (11237).</w:t>
      </w:r>
    </w:p>
    <w:p w14:paraId="0E38A71E" w14:textId="77777777" w:rsidR="00B67D7C" w:rsidRPr="00DE096C" w:rsidRDefault="00B67D7C" w:rsidP="00D45A46">
      <w:pPr>
        <w:jc w:val="both"/>
        <w:rPr>
          <w:bCs/>
          <w:i/>
          <w:color w:val="002060"/>
          <w:sz w:val="16"/>
          <w:szCs w:val="16"/>
        </w:rPr>
      </w:pPr>
    </w:p>
    <w:bookmarkEnd w:id="204"/>
    <w:p w14:paraId="2E6FD38F" w14:textId="111BBEBA" w:rsidR="00B67D7C" w:rsidRPr="00DE096C" w:rsidRDefault="00B67D7C" w:rsidP="00D45A46">
      <w:pPr>
        <w:shd w:val="clear" w:color="auto" w:fill="FFFFFF"/>
        <w:jc w:val="both"/>
        <w:rPr>
          <w:bCs/>
          <w:color w:val="002060"/>
          <w:sz w:val="16"/>
          <w:szCs w:val="16"/>
        </w:rPr>
      </w:pPr>
      <w:r w:rsidRPr="00DE096C">
        <w:rPr>
          <w:bCs/>
          <w:color w:val="002060"/>
          <w:sz w:val="16"/>
          <w:szCs w:val="16"/>
        </w:rPr>
        <w:lastRenderedPageBreak/>
        <w:t xml:space="preserve">18 ноября (1 декабря) 1914 г. </w:t>
      </w:r>
      <w:r w:rsidR="006477E8" w:rsidRPr="00DE096C">
        <w:rPr>
          <w:bCs/>
          <w:color w:val="002060"/>
          <w:sz w:val="16"/>
          <w:szCs w:val="16"/>
        </w:rPr>
        <w:t>Брест-Литовский крепостной и 24-й авиационные отряды, действовавшие в составе войск, принимавших участие в осаде Перемышля, вели интенсивную воздушную фоторазведку кре</w:t>
      </w:r>
      <w:r w:rsidR="006477E8" w:rsidRPr="00DE096C">
        <w:rPr>
          <w:bCs/>
          <w:color w:val="002060"/>
          <w:sz w:val="16"/>
          <w:szCs w:val="16"/>
        </w:rPr>
        <w:softHyphen/>
        <w:t xml:space="preserve">пости и </w:t>
      </w:r>
      <w:r w:rsidRPr="00DE096C">
        <w:rPr>
          <w:bCs/>
          <w:color w:val="002060"/>
          <w:sz w:val="16"/>
          <w:szCs w:val="16"/>
        </w:rPr>
        <w:t>сделали 14 снимкой крепости и ее фортов. В донесении о работе авиации в ноябре 1914 г. указывается, что в результате разведывательных полетов, сопровождавшихся фотографированием:</w:t>
      </w:r>
    </w:p>
    <w:p w14:paraId="1313EE7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 Закончено подробное обследование юго-восточного района крепости.</w:t>
      </w:r>
    </w:p>
    <w:p w14:paraId="7EB10D9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 Произведено обследование в инженерном отношении района, обращенного к Низанковицам, ввиду сведений штаба, армии, что готовятся к вылазке.</w:t>
      </w:r>
    </w:p>
    <w:p w14:paraId="696283E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3. Определены фотоснимками снегового покрова места попа</w:t>
      </w:r>
      <w:r w:rsidRPr="00DE096C">
        <w:rPr>
          <w:bCs/>
          <w:color w:val="002060"/>
          <w:sz w:val="16"/>
          <w:szCs w:val="16"/>
        </w:rPr>
        <w:softHyphen/>
        <w:t>дания наших снарядов, причем выявлены некоторые дефекты в определении целей и расстояния.</w:t>
      </w:r>
    </w:p>
    <w:p w14:paraId="036B74D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4. Выяснено произведенное неприятелем усиление северо-за</w:t>
      </w:r>
      <w:r w:rsidRPr="00DE096C">
        <w:rPr>
          <w:bCs/>
          <w:color w:val="002060"/>
          <w:sz w:val="16"/>
          <w:szCs w:val="16"/>
        </w:rPr>
        <w:softHyphen/>
        <w:t>падного фронта крепости» (ЦГВИА, ф. 2003, оп. II, д. 613, лл. 139—140).</w:t>
      </w:r>
    </w:p>
    <w:p w14:paraId="4C6D0A0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Весьма интересен 3-й пункт этого донесения. Русские летчики остроумно применили фотографирование с воздуха мест разрыва снарядов нашей артиллерии для корректирования ее огня (430).</w:t>
      </w:r>
    </w:p>
    <w:p w14:paraId="0E25BC48" w14:textId="77777777" w:rsidR="00B67D7C" w:rsidRPr="00DE096C" w:rsidRDefault="00B67D7C" w:rsidP="00D45A46">
      <w:pPr>
        <w:shd w:val="clear" w:color="auto" w:fill="FFFFFF"/>
        <w:jc w:val="both"/>
        <w:rPr>
          <w:bCs/>
          <w:color w:val="002060"/>
          <w:sz w:val="16"/>
          <w:szCs w:val="16"/>
        </w:rPr>
      </w:pPr>
    </w:p>
    <w:p w14:paraId="58B4C98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18-28 ноября (1-11 декабря) 1914 летчики Брест-Литовского крепостного и 24-го корпусного отрядов проводили бомбардировку крепости Перемышлъ и фотографирование ее укреплений. Было сброшено 23 бомбы общим весом 29 пудов и причнены повреждения электростанции,казармам, вызвано много пожаров. Бомбардировка произвела сильное мо</w:t>
      </w:r>
      <w:r w:rsidRPr="00DE096C">
        <w:rPr>
          <w:bCs/>
          <w:color w:val="002060"/>
          <w:sz w:val="16"/>
          <w:szCs w:val="16"/>
        </w:rPr>
        <w:softHyphen/>
        <w:t>ральное впечатление на гарнизон осажденной крепости (ЦГВИА. ф.УВВФ, д.590, л. 22).</w:t>
      </w:r>
    </w:p>
    <w:p w14:paraId="2AA53DA8" w14:textId="77777777" w:rsidR="00B67D7C" w:rsidRPr="00DE096C" w:rsidRDefault="00B67D7C" w:rsidP="00D45A46">
      <w:pPr>
        <w:shd w:val="clear" w:color="auto" w:fill="FFFFFF"/>
        <w:jc w:val="both"/>
        <w:rPr>
          <w:bCs/>
          <w:color w:val="002060"/>
          <w:sz w:val="16"/>
          <w:szCs w:val="16"/>
        </w:rPr>
      </w:pPr>
    </w:p>
    <w:p w14:paraId="06DA4FAE" w14:textId="77777777" w:rsidR="00F379D2" w:rsidRPr="00DE096C" w:rsidRDefault="00F379D2" w:rsidP="00D45A46">
      <w:pPr>
        <w:jc w:val="both"/>
        <w:rPr>
          <w:bCs/>
          <w:color w:val="002060"/>
          <w:sz w:val="16"/>
          <w:szCs w:val="16"/>
        </w:rPr>
      </w:pPr>
      <w:r w:rsidRPr="00DE096C">
        <w:rPr>
          <w:bCs/>
          <w:color w:val="002060"/>
          <w:sz w:val="16"/>
          <w:szCs w:val="16"/>
        </w:rPr>
        <w:t>18-28 ноября (1-11 декабря) 1914 г. летчики Брест-Литовского крепостного и 24-го корпусного отрядов проводили бомбардировку крепости Перемышль и фотогрфированпе ее укреплений. Было сброшено 23 бомбы общим весом 29 пудов и причинены повреждения электростанции, казармам, вызвано мно</w:t>
      </w:r>
      <w:r w:rsidRPr="00DE096C">
        <w:rPr>
          <w:bCs/>
          <w:color w:val="002060"/>
          <w:sz w:val="16"/>
          <w:szCs w:val="16"/>
        </w:rPr>
        <w:softHyphen/>
        <w:t>по пожаров. Бомбардировка произвела сильное моральное впечатление е. гарнизон осажденной крепости.</w:t>
      </w:r>
    </w:p>
    <w:p w14:paraId="002F818F" w14:textId="77777777" w:rsidR="00F379D2" w:rsidRPr="00DE096C" w:rsidRDefault="00F379D2" w:rsidP="00D45A46">
      <w:pPr>
        <w:jc w:val="both"/>
        <w:rPr>
          <w:bCs/>
          <w:color w:val="002060"/>
          <w:sz w:val="16"/>
          <w:szCs w:val="16"/>
        </w:rPr>
      </w:pPr>
      <w:r w:rsidRPr="00DE096C">
        <w:rPr>
          <w:bCs/>
          <w:color w:val="002060"/>
          <w:sz w:val="16"/>
          <w:szCs w:val="16"/>
        </w:rPr>
        <w:t>/ЦГВПА, ф. УВВС, д. 590, л. 22/ (23320).</w:t>
      </w:r>
    </w:p>
    <w:p w14:paraId="3989F908" w14:textId="77777777" w:rsidR="00F379D2" w:rsidRPr="00DE096C" w:rsidRDefault="00F379D2" w:rsidP="00D45A46">
      <w:pPr>
        <w:jc w:val="both"/>
        <w:rPr>
          <w:bCs/>
          <w:color w:val="002060"/>
          <w:sz w:val="16"/>
          <w:szCs w:val="16"/>
        </w:rPr>
      </w:pPr>
    </w:p>
    <w:p w14:paraId="203B0D2E" w14:textId="212FAAB3"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18-го ноября (1 декабря) 1914... За этот день было совершено 13 полетов, сделано 14 фотоснимков крепости и ее фортов, сброшено 27 бомб общим весом взрывчатки 21 пуд 20 фунтов (353 кг). Бомбы были сброшены с высоты 1700-2200 м..., причем по результатам взрывов во многих местах начались пожары. Все летавшие были отстреляны шрапнелью противника..." С помощью воздушной разведки русское командование следило за всеми действиями осажденного гарнизона, который сдался 5 марта 1915 г. (11278).</w:t>
      </w:r>
    </w:p>
    <w:p w14:paraId="14756B90" w14:textId="77777777" w:rsidR="00B67D7C" w:rsidRPr="00DE096C" w:rsidRDefault="00B67D7C" w:rsidP="00D45A46">
      <w:pPr>
        <w:pStyle w:val="a3"/>
        <w:jc w:val="both"/>
        <w:rPr>
          <w:bCs/>
          <w:i w:val="0"/>
          <w:color w:val="002060"/>
          <w:spacing w:val="0"/>
          <w:kern w:val="0"/>
          <w:position w:val="0"/>
          <w:sz w:val="16"/>
          <w:szCs w:val="16"/>
        </w:rPr>
      </w:pPr>
    </w:p>
    <w:p w14:paraId="68EADD0F" w14:textId="6CE98621" w:rsidR="00FE5D34" w:rsidRPr="00DE096C" w:rsidRDefault="00FE5D34" w:rsidP="00D45A46">
      <w:pPr>
        <w:jc w:val="both"/>
        <w:rPr>
          <w:bCs/>
          <w:color w:val="002060"/>
          <w:sz w:val="16"/>
          <w:szCs w:val="16"/>
        </w:rPr>
      </w:pPr>
      <w:r w:rsidRPr="00DE096C">
        <w:rPr>
          <w:bCs/>
          <w:color w:val="002060"/>
          <w:sz w:val="16"/>
          <w:szCs w:val="16"/>
        </w:rPr>
        <w:t xml:space="preserve">18 ноября </w:t>
      </w:r>
      <w:r w:rsidR="00A75AF0" w:rsidRPr="00DE096C">
        <w:rPr>
          <w:bCs/>
          <w:color w:val="002060"/>
          <w:sz w:val="16"/>
          <w:szCs w:val="16"/>
        </w:rPr>
        <w:t xml:space="preserve">(1 декабря) </w:t>
      </w:r>
      <w:r w:rsidRPr="00DE096C">
        <w:rPr>
          <w:bCs/>
          <w:color w:val="002060"/>
          <w:sz w:val="16"/>
          <w:szCs w:val="16"/>
        </w:rPr>
        <w:t>1914 г. летчик 17—го авиаотряда поручик Петр Феопемптович Данилин, производя разведку района Серадзь-Стрнков-Брезин, обнаружил движение больших сил противника в сторону левого фланга и тылы 5-й армии, действовавшей в районе Петрокова. Несмотря на обстрел артиллерией, Данилин своевременно доставил ценные сведения в штаб арии, что дало возможность принять соответствующие меры для отражения готовившегося вражеского удара.</w:t>
      </w:r>
    </w:p>
    <w:p w14:paraId="152F759F" w14:textId="77777777" w:rsidR="00FE5D34" w:rsidRPr="00DE096C" w:rsidRDefault="00FE5D34" w:rsidP="00D45A46">
      <w:pPr>
        <w:jc w:val="both"/>
        <w:rPr>
          <w:bCs/>
          <w:color w:val="002060"/>
          <w:sz w:val="16"/>
          <w:szCs w:val="16"/>
        </w:rPr>
      </w:pPr>
      <w:r w:rsidRPr="00DE096C">
        <w:rPr>
          <w:bCs/>
          <w:color w:val="002060"/>
          <w:sz w:val="16"/>
          <w:szCs w:val="16"/>
        </w:rPr>
        <w:t>/ЦГВНА, ф. 493, оп. 3, д. 129, л. 54; приказ по 5-й армии от 9 апр.1915/ (23320).</w:t>
      </w:r>
    </w:p>
    <w:p w14:paraId="58C02130" w14:textId="77777777" w:rsidR="00FE5D34" w:rsidRPr="00DE096C" w:rsidRDefault="00FE5D34" w:rsidP="00D45A46">
      <w:pPr>
        <w:jc w:val="both"/>
        <w:rPr>
          <w:bCs/>
          <w:color w:val="002060"/>
          <w:sz w:val="16"/>
          <w:szCs w:val="16"/>
        </w:rPr>
      </w:pPr>
    </w:p>
    <w:p w14:paraId="18AB0A08" w14:textId="7A6D6334" w:rsidR="00E95C04" w:rsidRPr="00DE096C" w:rsidRDefault="00E95C04" w:rsidP="00E95C04">
      <w:pPr>
        <w:jc w:val="both"/>
        <w:rPr>
          <w:bCs/>
          <w:i/>
          <w:color w:val="002060"/>
          <w:sz w:val="16"/>
          <w:szCs w:val="16"/>
        </w:rPr>
      </w:pPr>
      <w:r>
        <w:rPr>
          <w:bCs/>
          <w:i/>
          <w:color w:val="002060"/>
          <w:sz w:val="16"/>
          <w:szCs w:val="16"/>
        </w:rPr>
        <w:t>Морская авиация</w:t>
      </w:r>
      <w:r w:rsidRPr="00DE096C">
        <w:rPr>
          <w:bCs/>
          <w:i/>
          <w:color w:val="002060"/>
          <w:sz w:val="16"/>
          <w:szCs w:val="16"/>
        </w:rPr>
        <w:t>:</w:t>
      </w:r>
    </w:p>
    <w:p w14:paraId="74AC993D" w14:textId="77777777" w:rsidR="00E95C04" w:rsidRPr="00DE096C" w:rsidRDefault="00E95C04" w:rsidP="00E95C04">
      <w:pPr>
        <w:jc w:val="both"/>
        <w:rPr>
          <w:bCs/>
          <w:i/>
          <w:color w:val="002060"/>
          <w:sz w:val="16"/>
          <w:szCs w:val="16"/>
        </w:rPr>
      </w:pPr>
    </w:p>
    <w:p w14:paraId="385F5942" w14:textId="77777777" w:rsidR="00E95C04" w:rsidRPr="00B52707" w:rsidRDefault="00E95C04" w:rsidP="00E95C04">
      <w:pPr>
        <w:jc w:val="both"/>
        <w:rPr>
          <w:color w:val="0070C0"/>
          <w:sz w:val="16"/>
          <w:szCs w:val="16"/>
        </w:rPr>
      </w:pPr>
      <w:r w:rsidRPr="00B52707">
        <w:rPr>
          <w:color w:val="0070C0"/>
          <w:sz w:val="16"/>
          <w:szCs w:val="16"/>
        </w:rPr>
        <w:t>18 ноября (1 декабря) 1914 г. приказом штаба командующего флотом № 956 была образована специальная комиссия под председательством капитана 1-го ранга В.З. Бурхановского для выработки предложений по организации защиты Севастопольской крепости 1-го класса от налетов неприятельских дирижаблей (цеппелинов) на основе крепостной артиллерии</w:t>
      </w:r>
      <w:hyperlink r:id="rId47" w:anchor="idm139863495613264" w:history="1">
        <w:r w:rsidRPr="00B52707">
          <w:rPr>
            <w:rStyle w:val="af0"/>
            <w:color w:val="0070C0"/>
            <w:sz w:val="16"/>
            <w:szCs w:val="16"/>
            <w:vertAlign w:val="superscript"/>
          </w:rPr>
          <w:t>67</w:t>
        </w:r>
      </w:hyperlink>
      <w:r w:rsidRPr="00B52707">
        <w:rPr>
          <w:color w:val="0070C0"/>
          <w:sz w:val="16"/>
          <w:szCs w:val="16"/>
        </w:rPr>
        <w:t>. Однако вследствие отсутствия реальной угрозы с воздуха предложения комиссии преимущественно носили рекомендательный характер.</w:t>
      </w:r>
    </w:p>
    <w:p w14:paraId="3CF00554" w14:textId="77777777" w:rsidR="00E95C04" w:rsidRPr="00B52707" w:rsidRDefault="00E95C04" w:rsidP="00E95C04">
      <w:pPr>
        <w:jc w:val="both"/>
        <w:rPr>
          <w:color w:val="0070C0"/>
          <w:sz w:val="16"/>
          <w:szCs w:val="16"/>
        </w:rPr>
      </w:pPr>
      <w:r w:rsidRPr="00B52707">
        <w:rPr>
          <w:color w:val="0070C0"/>
          <w:sz w:val="16"/>
          <w:szCs w:val="16"/>
        </w:rPr>
        <w:t>Прикрытие главного порта ЧФ с воздуха было возложено на Севастопольский крепостной авиаотряд (штабс-капитан И.Я. Земитан), до убытия его в 1915 г. в состав действующей армии (25135).</w:t>
      </w:r>
    </w:p>
    <w:p w14:paraId="5F0944E0" w14:textId="77777777" w:rsidR="00E95C04" w:rsidRPr="00B52707" w:rsidRDefault="00E95C04" w:rsidP="00E95C04">
      <w:pPr>
        <w:jc w:val="both"/>
        <w:rPr>
          <w:color w:val="0070C0"/>
          <w:sz w:val="16"/>
          <w:szCs w:val="16"/>
        </w:rPr>
      </w:pPr>
    </w:p>
    <w:p w14:paraId="77AC4295" w14:textId="77777777" w:rsidR="00394D85" w:rsidRPr="00DE096C" w:rsidRDefault="00394D85" w:rsidP="00D45A46">
      <w:pPr>
        <w:jc w:val="both"/>
        <w:rPr>
          <w:bCs/>
          <w:i/>
          <w:color w:val="002060"/>
          <w:sz w:val="16"/>
          <w:szCs w:val="16"/>
        </w:rPr>
      </w:pPr>
      <w:r w:rsidRPr="00DE096C">
        <w:rPr>
          <w:bCs/>
          <w:i/>
          <w:color w:val="002060"/>
          <w:sz w:val="16"/>
          <w:szCs w:val="16"/>
        </w:rPr>
        <w:t>Армия:</w:t>
      </w:r>
    </w:p>
    <w:p w14:paraId="26835514" w14:textId="77777777" w:rsidR="00394D85" w:rsidRPr="00DE096C" w:rsidRDefault="00394D85" w:rsidP="00D45A46">
      <w:pPr>
        <w:jc w:val="both"/>
        <w:rPr>
          <w:bCs/>
          <w:i/>
          <w:color w:val="002060"/>
          <w:sz w:val="16"/>
          <w:szCs w:val="16"/>
        </w:rPr>
      </w:pPr>
    </w:p>
    <w:p w14:paraId="176398FD" w14:textId="5E50C087" w:rsidR="00394D85" w:rsidRPr="00DE096C" w:rsidRDefault="00394D85" w:rsidP="00D45A46">
      <w:pPr>
        <w:jc w:val="both"/>
        <w:rPr>
          <w:bCs/>
          <w:color w:val="002060"/>
          <w:sz w:val="16"/>
          <w:szCs w:val="16"/>
        </w:rPr>
      </w:pPr>
      <w:r w:rsidRPr="00DE096C">
        <w:rPr>
          <w:bCs/>
          <w:color w:val="002060"/>
          <w:sz w:val="16"/>
          <w:szCs w:val="16"/>
        </w:rPr>
        <w:t xml:space="preserve">18 ноября </w:t>
      </w:r>
      <w:r w:rsidR="006477E8" w:rsidRPr="00DE096C">
        <w:rPr>
          <w:bCs/>
          <w:color w:val="002060"/>
          <w:sz w:val="16"/>
          <w:szCs w:val="16"/>
        </w:rPr>
        <w:t xml:space="preserve">(1 декабря) </w:t>
      </w:r>
      <w:r w:rsidRPr="00DE096C">
        <w:rPr>
          <w:bCs/>
          <w:color w:val="002060"/>
          <w:sz w:val="16"/>
          <w:szCs w:val="16"/>
        </w:rPr>
        <w:t>в 1914 году на Восточном фронте германские войска прорывают оборону русских войск в районе Кутно (14834).</w:t>
      </w:r>
    </w:p>
    <w:p w14:paraId="62F0E8A4" w14:textId="77777777" w:rsidR="00394D85" w:rsidRPr="00DE096C" w:rsidRDefault="00394D85" w:rsidP="00D45A46">
      <w:pPr>
        <w:jc w:val="both"/>
        <w:rPr>
          <w:bCs/>
          <w:color w:val="002060"/>
          <w:sz w:val="16"/>
          <w:szCs w:val="16"/>
        </w:rPr>
      </w:pPr>
    </w:p>
    <w:p w14:paraId="4F19C766" w14:textId="59C2CA08" w:rsidR="00394D85" w:rsidRPr="00DE096C" w:rsidRDefault="00394D85" w:rsidP="00D45A46">
      <w:pPr>
        <w:jc w:val="both"/>
        <w:rPr>
          <w:bCs/>
          <w:color w:val="002060"/>
          <w:sz w:val="16"/>
          <w:szCs w:val="16"/>
        </w:rPr>
      </w:pPr>
      <w:r w:rsidRPr="00DE096C">
        <w:rPr>
          <w:bCs/>
          <w:color w:val="002060"/>
          <w:sz w:val="16"/>
          <w:szCs w:val="16"/>
        </w:rPr>
        <w:t xml:space="preserve">18 ноября </w:t>
      </w:r>
      <w:r w:rsidR="006477E8" w:rsidRPr="00DE096C">
        <w:rPr>
          <w:bCs/>
          <w:color w:val="002060"/>
          <w:sz w:val="16"/>
          <w:szCs w:val="16"/>
        </w:rPr>
        <w:t xml:space="preserve">(1 декабря) </w:t>
      </w:r>
      <w:r w:rsidRPr="00DE096C">
        <w:rPr>
          <w:bCs/>
          <w:color w:val="002060"/>
          <w:sz w:val="16"/>
          <w:szCs w:val="16"/>
        </w:rPr>
        <w:t>в 1914 году у мыса Сарыч на юге Крымского полуострова произошёл морской бой между русской эскадрой (5 линкоров, 3 крейсера , 13 миноносцев) и немецкими крейсерами «Гебен» и «Бреслау». Бой свёлся к поединку крейсера «Гебен» с линкором «Евстафий». Получив повреждения «Гебен» скрылся. Русская эскадра, уступавшая ему в скорости, не преследовала его (14834).</w:t>
      </w:r>
    </w:p>
    <w:p w14:paraId="2B037C82" w14:textId="77777777" w:rsidR="00394D85" w:rsidRPr="00DE096C" w:rsidRDefault="00394D85" w:rsidP="00D45A46">
      <w:pPr>
        <w:jc w:val="both"/>
        <w:rPr>
          <w:rStyle w:val="ucoz-forum-post"/>
          <w:bCs/>
          <w:color w:val="002060"/>
          <w:sz w:val="16"/>
          <w:szCs w:val="16"/>
        </w:rPr>
      </w:pPr>
    </w:p>
    <w:p w14:paraId="3FCC42A5" w14:textId="77777777" w:rsidR="00394D85" w:rsidRPr="00DE096C" w:rsidRDefault="00394D85" w:rsidP="00D45A46">
      <w:pPr>
        <w:jc w:val="both"/>
        <w:rPr>
          <w:bCs/>
          <w:i/>
          <w:color w:val="002060"/>
          <w:sz w:val="16"/>
          <w:szCs w:val="16"/>
        </w:rPr>
      </w:pPr>
      <w:r w:rsidRPr="00DE096C">
        <w:rPr>
          <w:bCs/>
          <w:i/>
          <w:color w:val="002060"/>
          <w:sz w:val="16"/>
          <w:szCs w:val="16"/>
        </w:rPr>
        <w:t>Жизнь и внутренняя политика:</w:t>
      </w:r>
    </w:p>
    <w:p w14:paraId="1A258F5B" w14:textId="77777777" w:rsidR="00394D85" w:rsidRPr="00DE096C" w:rsidRDefault="00394D85" w:rsidP="00D45A46">
      <w:pPr>
        <w:jc w:val="both"/>
        <w:rPr>
          <w:bCs/>
          <w:i/>
          <w:color w:val="002060"/>
          <w:sz w:val="16"/>
          <w:szCs w:val="16"/>
        </w:rPr>
      </w:pPr>
    </w:p>
    <w:p w14:paraId="2DF9609D" w14:textId="407C4995" w:rsidR="00394D85" w:rsidRPr="00DE096C" w:rsidRDefault="00394D85" w:rsidP="00D45A46">
      <w:pPr>
        <w:jc w:val="both"/>
        <w:rPr>
          <w:bCs/>
          <w:color w:val="002060"/>
          <w:sz w:val="16"/>
          <w:szCs w:val="16"/>
        </w:rPr>
      </w:pPr>
      <w:r w:rsidRPr="00DE096C">
        <w:rPr>
          <w:bCs/>
          <w:color w:val="002060"/>
          <w:sz w:val="16"/>
          <w:szCs w:val="16"/>
        </w:rPr>
        <w:t xml:space="preserve">18 ноября </w:t>
      </w:r>
      <w:r w:rsidR="006477E8" w:rsidRPr="00DE096C">
        <w:rPr>
          <w:bCs/>
          <w:color w:val="002060"/>
          <w:sz w:val="16"/>
          <w:szCs w:val="16"/>
        </w:rPr>
        <w:t xml:space="preserve">(1 декабря) </w:t>
      </w:r>
      <w:r w:rsidRPr="00DE096C">
        <w:rPr>
          <w:bCs/>
          <w:color w:val="002060"/>
          <w:sz w:val="16"/>
          <w:szCs w:val="16"/>
        </w:rPr>
        <w:t>в 1914 году в России арестованы члены большевистской фракции Государственной Думы. Они имели полное право разоблачать деятельность правительства и выступать против войны в стенах Думы, но "прокололись" и были пойманы на развертывании подпольной работы и пропаганде среди рабочих (14834).</w:t>
      </w:r>
    </w:p>
    <w:p w14:paraId="52FC369C" w14:textId="77777777" w:rsidR="00394D85" w:rsidRPr="00DE096C" w:rsidRDefault="00394D85" w:rsidP="00D45A46">
      <w:pPr>
        <w:jc w:val="both"/>
        <w:rPr>
          <w:bCs/>
          <w:color w:val="002060"/>
          <w:sz w:val="16"/>
          <w:szCs w:val="16"/>
        </w:rPr>
      </w:pPr>
    </w:p>
    <w:p w14:paraId="30C7D4C4"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Авиация и воздухоплавание Германии:</w:t>
      </w:r>
    </w:p>
    <w:p w14:paraId="7D3A31B9" w14:textId="77777777" w:rsidR="00B67D7C" w:rsidRPr="00DE096C" w:rsidRDefault="00B67D7C" w:rsidP="00D45A46">
      <w:pPr>
        <w:pStyle w:val="a3"/>
        <w:jc w:val="both"/>
        <w:rPr>
          <w:bCs/>
          <w:color w:val="002060"/>
          <w:spacing w:val="0"/>
          <w:kern w:val="0"/>
          <w:position w:val="0"/>
          <w:sz w:val="16"/>
          <w:szCs w:val="16"/>
        </w:rPr>
      </w:pPr>
    </w:p>
    <w:p w14:paraId="3C929432" w14:textId="6D74D3D8" w:rsidR="00B67D7C" w:rsidRPr="00DE096C" w:rsidRDefault="00B67D7C" w:rsidP="00D45A46">
      <w:pPr>
        <w:jc w:val="both"/>
        <w:rPr>
          <w:bCs/>
          <w:color w:val="002060"/>
          <w:sz w:val="16"/>
          <w:szCs w:val="16"/>
        </w:rPr>
      </w:pPr>
      <w:r w:rsidRPr="00DE096C">
        <w:rPr>
          <w:bCs/>
          <w:color w:val="002060"/>
          <w:sz w:val="16"/>
          <w:szCs w:val="16"/>
        </w:rPr>
        <w:t xml:space="preserve">18 ноября (1 декабря) </w:t>
      </w:r>
      <w:r w:rsidR="006477E8" w:rsidRPr="00DE096C">
        <w:rPr>
          <w:bCs/>
          <w:color w:val="002060"/>
          <w:sz w:val="16"/>
          <w:szCs w:val="16"/>
        </w:rPr>
        <w:t>1914 г.</w:t>
      </w:r>
      <w:r w:rsidRPr="00DE096C">
        <w:rPr>
          <w:bCs/>
          <w:color w:val="002060"/>
          <w:sz w:val="16"/>
          <w:szCs w:val="16"/>
        </w:rPr>
        <w:t xml:space="preserve"> первый германский аэроплан был оснащен радиоаппаратурой, позволявшей ему летать над линией фронта и сообщать о расположении французских и английских соединений артиллерии и передвижениях войск. Удет: "Декабрьское небо холодно и ясно, земля ломкая от мороза. Если хорошо закутаться и смазать лицо маслом, полет становится даже приятным. Почти как катанье в санках по облакам" (11999).</w:t>
      </w:r>
    </w:p>
    <w:p w14:paraId="5E4C2418" w14:textId="77777777" w:rsidR="00B67D7C" w:rsidRPr="00DE096C" w:rsidRDefault="00B67D7C" w:rsidP="00D45A46">
      <w:pPr>
        <w:jc w:val="both"/>
        <w:rPr>
          <w:bCs/>
          <w:color w:val="002060"/>
          <w:sz w:val="16"/>
          <w:szCs w:val="16"/>
        </w:rPr>
      </w:pPr>
    </w:p>
    <w:p w14:paraId="79648CBE" w14:textId="77777777" w:rsidR="006477E8" w:rsidRPr="00DE096C" w:rsidRDefault="006477E8" w:rsidP="00D45A46">
      <w:pPr>
        <w:jc w:val="both"/>
        <w:rPr>
          <w:bCs/>
          <w:i/>
          <w:color w:val="002060"/>
          <w:sz w:val="16"/>
          <w:szCs w:val="16"/>
        </w:rPr>
      </w:pPr>
      <w:r w:rsidRPr="00DE096C">
        <w:rPr>
          <w:bCs/>
          <w:i/>
          <w:color w:val="002060"/>
          <w:sz w:val="16"/>
          <w:szCs w:val="16"/>
        </w:rPr>
        <w:t>За рубежом:</w:t>
      </w:r>
    </w:p>
    <w:p w14:paraId="2178457E" w14:textId="77777777" w:rsidR="006477E8" w:rsidRPr="00DE096C" w:rsidRDefault="006477E8" w:rsidP="00D45A46">
      <w:pPr>
        <w:jc w:val="both"/>
        <w:rPr>
          <w:bCs/>
          <w:color w:val="002060"/>
          <w:sz w:val="16"/>
          <w:szCs w:val="16"/>
        </w:rPr>
      </w:pPr>
    </w:p>
    <w:p w14:paraId="1E0EBEFA" w14:textId="77777777" w:rsidR="006477E8" w:rsidRPr="00DE096C" w:rsidRDefault="006477E8" w:rsidP="00D45A46">
      <w:pPr>
        <w:jc w:val="both"/>
        <w:rPr>
          <w:bCs/>
          <w:color w:val="002060"/>
          <w:sz w:val="16"/>
          <w:szCs w:val="16"/>
        </w:rPr>
      </w:pPr>
      <w:r w:rsidRPr="00DE096C">
        <w:rPr>
          <w:rStyle w:val="ucoz-forum-post"/>
          <w:bCs/>
          <w:color w:val="002060"/>
          <w:sz w:val="16"/>
          <w:szCs w:val="16"/>
        </w:rPr>
        <w:t xml:space="preserve">18 ноября (1 декабря) </w:t>
      </w:r>
      <w:r w:rsidRPr="00DE096C">
        <w:rPr>
          <w:bCs/>
          <w:color w:val="002060"/>
          <w:sz w:val="16"/>
          <w:szCs w:val="16"/>
        </w:rPr>
        <w:t>в 1914 году австрийские войска оккупируют Белград (14847).</w:t>
      </w:r>
    </w:p>
    <w:p w14:paraId="36C14C3F" w14:textId="77777777" w:rsidR="006477E8" w:rsidRPr="00DE096C" w:rsidRDefault="006477E8" w:rsidP="00D45A46">
      <w:pPr>
        <w:jc w:val="both"/>
        <w:rPr>
          <w:bCs/>
          <w:color w:val="002060"/>
          <w:sz w:val="16"/>
          <w:szCs w:val="16"/>
        </w:rPr>
      </w:pPr>
    </w:p>
    <w:p w14:paraId="1AAD57D9" w14:textId="77777777" w:rsidR="00E95C04" w:rsidRPr="00E95C04" w:rsidRDefault="00E95C04" w:rsidP="00E95C04">
      <w:pPr>
        <w:jc w:val="both"/>
        <w:rPr>
          <w:bCs/>
          <w:i/>
          <w:iCs/>
          <w:color w:val="002060"/>
          <w:sz w:val="16"/>
          <w:szCs w:val="16"/>
        </w:rPr>
      </w:pPr>
      <w:r w:rsidRPr="00E95C04">
        <w:rPr>
          <w:bCs/>
          <w:i/>
          <w:iCs/>
          <w:color w:val="002060"/>
          <w:sz w:val="16"/>
          <w:szCs w:val="16"/>
        </w:rPr>
        <w:t>Авиация:</w:t>
      </w:r>
    </w:p>
    <w:p w14:paraId="07FEAEC9" w14:textId="77777777" w:rsidR="00E95C04" w:rsidRPr="00E95C04" w:rsidRDefault="00E95C04" w:rsidP="00E95C04">
      <w:pPr>
        <w:jc w:val="both"/>
        <w:rPr>
          <w:bCs/>
          <w:i/>
          <w:iCs/>
          <w:color w:val="002060"/>
          <w:sz w:val="16"/>
          <w:szCs w:val="16"/>
        </w:rPr>
      </w:pPr>
    </w:p>
    <w:p w14:paraId="6200CCC5" w14:textId="070FE632" w:rsidR="00E95C04" w:rsidRPr="00B52707" w:rsidRDefault="00E95C04" w:rsidP="00E95C04">
      <w:pPr>
        <w:jc w:val="both"/>
        <w:rPr>
          <w:color w:val="0070C0"/>
          <w:sz w:val="16"/>
          <w:szCs w:val="16"/>
        </w:rPr>
      </w:pPr>
      <w:r w:rsidRPr="00B52707">
        <w:rPr>
          <w:color w:val="0070C0"/>
          <w:sz w:val="16"/>
          <w:szCs w:val="16"/>
        </w:rPr>
        <w:t>19 ноября (2 декабря) 1914 г. состоялся очередной налет на город Лодзь. Немецкие летчики сбросили на городские кварталы несколько десятков бомб, которые привели к большим разрушениям и человеческим жертвам. Немного позднее в небе над Лодзью (в темное время суток) появился цеппелин, проведя тщательную разведку города (25135).</w:t>
      </w:r>
    </w:p>
    <w:p w14:paraId="53BC9BA0" w14:textId="77777777" w:rsidR="00E95C04" w:rsidRPr="00B52707" w:rsidRDefault="00E95C04" w:rsidP="00E95C04">
      <w:pPr>
        <w:jc w:val="both"/>
        <w:rPr>
          <w:color w:val="0070C0"/>
          <w:sz w:val="16"/>
          <w:szCs w:val="16"/>
        </w:rPr>
      </w:pPr>
    </w:p>
    <w:p w14:paraId="2A119612"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Авиация и воздухоплавание Англии:</w:t>
      </w:r>
    </w:p>
    <w:p w14:paraId="7FB6F2D9" w14:textId="77777777" w:rsidR="00B67D7C" w:rsidRPr="00DE096C" w:rsidRDefault="00B67D7C" w:rsidP="00D45A46">
      <w:pPr>
        <w:pStyle w:val="a3"/>
        <w:jc w:val="both"/>
        <w:rPr>
          <w:bCs/>
          <w:color w:val="002060"/>
          <w:spacing w:val="0"/>
          <w:kern w:val="0"/>
          <w:position w:val="0"/>
          <w:sz w:val="16"/>
          <w:szCs w:val="16"/>
        </w:rPr>
      </w:pPr>
    </w:p>
    <w:p w14:paraId="288F6585" w14:textId="2577DDC4" w:rsidR="00B67D7C" w:rsidRPr="00DE096C" w:rsidRDefault="00B67D7C" w:rsidP="00D45A46">
      <w:pPr>
        <w:jc w:val="both"/>
        <w:rPr>
          <w:bCs/>
          <w:color w:val="002060"/>
          <w:sz w:val="16"/>
          <w:szCs w:val="16"/>
        </w:rPr>
      </w:pPr>
      <w:r w:rsidRPr="00DE096C">
        <w:rPr>
          <w:bCs/>
          <w:color w:val="002060"/>
          <w:sz w:val="16"/>
          <w:szCs w:val="16"/>
        </w:rPr>
        <w:t>19 ноября (2 декабря)</w:t>
      </w:r>
      <w:r w:rsidR="006477E8" w:rsidRPr="00DE096C">
        <w:rPr>
          <w:bCs/>
          <w:color w:val="002060"/>
          <w:sz w:val="16"/>
          <w:szCs w:val="16"/>
        </w:rPr>
        <w:t xml:space="preserve"> 1914 г. на совещании, состоявшемся в Адмиралтействе</w:t>
      </w:r>
      <w:r w:rsidRPr="00DE096C">
        <w:rPr>
          <w:bCs/>
          <w:color w:val="002060"/>
          <w:sz w:val="16"/>
          <w:szCs w:val="16"/>
        </w:rPr>
        <w:t xml:space="preserve">, назначили новую дату операции — 25 декабря. 21 декабря отряд крейсеров под командованием вице-адмирала Битти начал движение к южной части Роусайта. Вечером 23 и 24 декабря одиннадцать подводных лодок отбыли из Гарвича. 24 декабря в 5.00 плавбазы отчалили от пирса и в сопровождении 1-й эскадры эсминцев, 6-й эскадры крейсеров, 2-й флотилии и других кораблей вышли в море. Общее количество кораблей, участвующих в операции, насчитывало более ста единиц. </w:t>
      </w:r>
    </w:p>
    <w:p w14:paraId="20366E5E" w14:textId="77777777" w:rsidR="00B67D7C" w:rsidRPr="00DE096C" w:rsidRDefault="00B67D7C" w:rsidP="00D45A46">
      <w:pPr>
        <w:jc w:val="both"/>
        <w:rPr>
          <w:bCs/>
          <w:color w:val="002060"/>
          <w:sz w:val="16"/>
          <w:szCs w:val="16"/>
        </w:rPr>
      </w:pPr>
      <w:r w:rsidRPr="00DE096C">
        <w:rPr>
          <w:bCs/>
          <w:color w:val="002060"/>
          <w:sz w:val="16"/>
          <w:szCs w:val="16"/>
        </w:rPr>
        <w:t xml:space="preserve">Немецкая разведка, действующая в Англии, зафиксировала в октябре, ноябре и декабре оживление на базе флота в Гарвиче и оповестила об этом свое руководство. Командование ВМФ Германии, получив четыре сообщения, которые, в конечном счете, ни к чему не привели, пятое пропустило мимо ушей, посчитав, что было бы весьма глупо ожидать нападения противника накануне Рождества. [267] </w:t>
      </w:r>
    </w:p>
    <w:p w14:paraId="6334D7D3" w14:textId="77777777" w:rsidR="00B67D7C" w:rsidRPr="00DE096C" w:rsidRDefault="00B67D7C" w:rsidP="00D45A46">
      <w:pPr>
        <w:jc w:val="both"/>
        <w:rPr>
          <w:bCs/>
          <w:color w:val="002060"/>
          <w:sz w:val="16"/>
          <w:szCs w:val="16"/>
        </w:rPr>
      </w:pPr>
      <w:r w:rsidRPr="00DE096C">
        <w:rPr>
          <w:bCs/>
          <w:color w:val="002060"/>
          <w:sz w:val="16"/>
          <w:szCs w:val="16"/>
        </w:rPr>
        <w:t xml:space="preserve">25 декабря в 6.00 плавбазы достигли пункта назначения, который находился в сорока милях к северо-западу от Куксхафена. Основные ударные силы флотилии взяли акваторию этого района в кольцо. Не мешкая, плавбазы спустили самолеты на воду. Это были поплавковые бипланы: четыре «Шорт Тип 74», два «Шорт Тип 135» и три «Шорт Фолдерс». В 6.54 был дан сигнал к старту. Пилоты стали запускать двигатели, но сырая морозная погода сыграла злую шутку. К 7.00 только два «Шорт Тип 74» смогли уйти на задание, за ними, с большим интервалом времени, отправились еще пять самолетов. Две машины не смогли завестись и были подняты на борт. </w:t>
      </w:r>
    </w:p>
    <w:p w14:paraId="7D48A505" w14:textId="77777777" w:rsidR="00B67D7C" w:rsidRPr="00DE096C" w:rsidRDefault="00B67D7C" w:rsidP="00D45A46">
      <w:pPr>
        <w:jc w:val="both"/>
        <w:rPr>
          <w:bCs/>
          <w:color w:val="002060"/>
          <w:sz w:val="16"/>
          <w:szCs w:val="16"/>
        </w:rPr>
      </w:pPr>
      <w:r w:rsidRPr="00DE096C">
        <w:rPr>
          <w:bCs/>
          <w:color w:val="002060"/>
          <w:sz w:val="16"/>
          <w:szCs w:val="16"/>
        </w:rPr>
        <w:t xml:space="preserve">В течение 90 минут армада английских кораблей оставалась незамеченной немецкими подлодками и другими судами, патрулирующими подходы к побережью. В дело вмешался случай. В 5.30 сигнальщики немецкого линейного корабля «Мекленбург» приняли за врага свой тральщик, который подходил к устью Эльбы. Линкор открыл огонь, чем поднял всех на ноги. Корабли, стоящие на рейде и в порту Куксхафена, также объявили тревогу. Пока разбирались с этим досадным происшествием, </w:t>
      </w:r>
      <w:r w:rsidRPr="00DE096C">
        <w:rPr>
          <w:bCs/>
          <w:color w:val="002060"/>
          <w:sz w:val="16"/>
          <w:szCs w:val="16"/>
        </w:rPr>
        <w:lastRenderedPageBreak/>
        <w:t xml:space="preserve">прошло немало времени, а самолеты англичан были уже в пути. Это обстоятельство привело к тому, что на подлете к цели британских пилотов встречала приведенная в боеготовность военно-морская база Куксхафен. </w:t>
      </w:r>
    </w:p>
    <w:p w14:paraId="66EFBC2E" w14:textId="77777777" w:rsidR="00B67D7C" w:rsidRPr="00DE096C" w:rsidRDefault="00B67D7C" w:rsidP="00D45A46">
      <w:pPr>
        <w:jc w:val="both"/>
        <w:rPr>
          <w:bCs/>
          <w:color w:val="002060"/>
          <w:sz w:val="16"/>
          <w:szCs w:val="16"/>
        </w:rPr>
      </w:pPr>
      <w:r w:rsidRPr="00DE096C">
        <w:rPr>
          <w:bCs/>
          <w:color w:val="002060"/>
          <w:sz w:val="16"/>
          <w:szCs w:val="16"/>
        </w:rPr>
        <w:t xml:space="preserve">«Дуглас Оливер и наблюдатель Будде летели в сплошном тумане уже около тридцати минут. Пилот с беспокойством всматривался вниз: видимость была отвратительной. Погода в Рождество 1914 года была холодной и спокойной, но ни один из членов экипажа, несмотря на то что они находились в открытых кабинах, не испытывал холода. Острое чувство волнения при выполнении опасного боевого задания не покидало их на протяжении всего полета. </w:t>
      </w:r>
    </w:p>
    <w:p w14:paraId="16132B39" w14:textId="77777777" w:rsidR="00B67D7C" w:rsidRPr="00DE096C" w:rsidRDefault="00B67D7C" w:rsidP="00D45A46">
      <w:pPr>
        <w:jc w:val="both"/>
        <w:rPr>
          <w:bCs/>
          <w:color w:val="002060"/>
          <w:sz w:val="16"/>
          <w:szCs w:val="16"/>
        </w:rPr>
      </w:pPr>
      <w:r w:rsidRPr="00DE096C">
        <w:rPr>
          <w:bCs/>
          <w:color w:val="002060"/>
          <w:sz w:val="16"/>
          <w:szCs w:val="16"/>
        </w:rPr>
        <w:t xml:space="preserve">Одномоторный двухместный поплавковый биплан «Шорт Тип 74», несмотря на большую нагрузку, включающую дополнительное топливо и три 20-фунтовые бомбы, летел легко и хорошо слушался рулей. Стосильный двигатель монотонно гудел, отбрасывая назад своим воздушным винтом клочья тумана. Главное беспокойство у экипажа вызывало топливо, которого должно хватить на 3 часа полета. Если поиск цели затянется или они потеряют ориентировку, его может быть недостаточно на обратный путь в Северное море, где их ожидает плавбаза. </w:t>
      </w:r>
    </w:p>
    <w:p w14:paraId="786DDC81" w14:textId="77777777" w:rsidR="00B67D7C" w:rsidRPr="00DE096C" w:rsidRDefault="00B67D7C" w:rsidP="00D45A46">
      <w:pPr>
        <w:jc w:val="both"/>
        <w:rPr>
          <w:bCs/>
          <w:color w:val="002060"/>
          <w:sz w:val="16"/>
          <w:szCs w:val="16"/>
        </w:rPr>
      </w:pPr>
      <w:r w:rsidRPr="00DE096C">
        <w:rPr>
          <w:bCs/>
          <w:color w:val="002060"/>
          <w:sz w:val="16"/>
          <w:szCs w:val="16"/>
        </w:rPr>
        <w:t xml:space="preserve">Видимость продолжала ухудшаться, и Оливер, чтобы пробить туман, решил уменьшить высоту полета с 600 до 200 м. Самолет вывалился из серой пелены прямо над Эльбой. Впереди пилот увидел зенитную батарею, расчет которой подавал ему световые сигналы, требуя подтверждения, что он свой. Быстро сориентировавшись на местности, Оливер бросил свою машину назад в туман. Зенитчики открыли запоздалый огонь по их самолету, но не достигли успеха. Переведя дух, Дуглас взял курс на цель — ангары немецких цеппелинов в Куксхафене, но погода явно вмешивалась в развитие ситуации...» [268] </w:t>
      </w:r>
    </w:p>
    <w:p w14:paraId="29B146E9" w14:textId="77777777" w:rsidR="00B67D7C" w:rsidRPr="00DE096C" w:rsidRDefault="00B67D7C" w:rsidP="00D45A46">
      <w:pPr>
        <w:jc w:val="both"/>
        <w:rPr>
          <w:bCs/>
          <w:color w:val="002060"/>
          <w:sz w:val="16"/>
          <w:szCs w:val="16"/>
        </w:rPr>
      </w:pPr>
      <w:r w:rsidRPr="00DE096C">
        <w:rPr>
          <w:bCs/>
          <w:color w:val="002060"/>
          <w:sz w:val="16"/>
          <w:szCs w:val="16"/>
        </w:rPr>
        <w:t xml:space="preserve">Немецкая подлодка U-6 в 7.30 наткнулась в двадцати милях от берега на английские корабли и передала сообщение в штаб. В 7.45 британский пилот Фрэнсис Хьюлетт, достигнув в тумане устья Эльбы, решил спуститься ниже, чтобы определиться на местности. Там в полной готовности его ожидали зенитчики базы и линейного корабля. Шквальный огонь заставил Хьюлетта тут же уйти назад в туман. Другие британские пилоты в тумане разбрелись кто куда. Причем, что было обидно, над морем царила ясная морозная погода с прекрасной видимостью и только у самого берега стоял густой туман, который свел на нет все усилия англичан найти базу цеппелинов. </w:t>
      </w:r>
    </w:p>
    <w:p w14:paraId="10FA30D7" w14:textId="77777777" w:rsidR="00B67D7C" w:rsidRPr="00DE096C" w:rsidRDefault="00B67D7C" w:rsidP="00D45A46">
      <w:pPr>
        <w:jc w:val="both"/>
        <w:rPr>
          <w:bCs/>
          <w:color w:val="002060"/>
          <w:sz w:val="16"/>
          <w:szCs w:val="16"/>
        </w:rPr>
      </w:pPr>
      <w:r w:rsidRPr="00DE096C">
        <w:rPr>
          <w:bCs/>
          <w:color w:val="002060"/>
          <w:sz w:val="16"/>
          <w:szCs w:val="16"/>
        </w:rPr>
        <w:t xml:space="preserve">В течение двух часов они пытались ее отыскать, снижаясь к земле, где их ожидали зенитные батареи, и опять уходя в туман. Топливо было на пределе, и пилоты решили сбрасывать бомбы на любую цель. Хьюлетт отбомбился по эсминцу, пилот Роберт Росс засек подлодку и сбросил на нее бомбы, знакомый нам Дуглас Оливер атаковал базу гидросамолетов на острове Лангеог, Чарльз Эдмондс напал на крейсера «Штральзунд» и «Грауденц», Вивиан Блэкбурн в очередной раз нарвался на зенитный огонь и, уходя от него, сбросил бомбы на город Вильгельмсхафен. Сесил Килнер и Арнольд Майлей подходящей цели так и не нашли, поэтому на обратном пути сбросили бомбы куда попало. Позже немцы признались, что несколько бомб все-таки взорвались в районе базы цеппелинов, но особого вреда ей не нанесли. </w:t>
      </w:r>
    </w:p>
    <w:p w14:paraId="69305390" w14:textId="77777777" w:rsidR="00B67D7C" w:rsidRPr="00DE096C" w:rsidRDefault="00B67D7C" w:rsidP="00D45A46">
      <w:pPr>
        <w:jc w:val="both"/>
        <w:rPr>
          <w:bCs/>
          <w:color w:val="002060"/>
          <w:sz w:val="16"/>
          <w:szCs w:val="16"/>
        </w:rPr>
      </w:pPr>
      <w:r w:rsidRPr="00DE096C">
        <w:rPr>
          <w:bCs/>
          <w:color w:val="002060"/>
          <w:sz w:val="16"/>
          <w:szCs w:val="16"/>
        </w:rPr>
        <w:t xml:space="preserve">Находясь в течение почти пяти часов в германских водах, корабли Тирвитта были атакованы цеппелинами L-5 и L-6 и несколькими гидросамолетами, которые энергично проводили атаки, но безрезультатно. </w:t>
      </w:r>
    </w:p>
    <w:p w14:paraId="7E02A2A3" w14:textId="77777777" w:rsidR="00B67D7C" w:rsidRPr="00DE096C" w:rsidRDefault="00B67D7C" w:rsidP="00D45A46">
      <w:pPr>
        <w:jc w:val="both"/>
        <w:rPr>
          <w:bCs/>
          <w:color w:val="002060"/>
          <w:sz w:val="16"/>
          <w:szCs w:val="16"/>
        </w:rPr>
      </w:pPr>
      <w:r w:rsidRPr="00DE096C">
        <w:rPr>
          <w:bCs/>
          <w:color w:val="002060"/>
          <w:sz w:val="16"/>
          <w:szCs w:val="16"/>
        </w:rPr>
        <w:t xml:space="preserve">Отбомбившись, самолеты развернулись в сторону моря и полетели к точке, где их ожидали плавбазы. Последняя машина пересекла линию побережья в 9.45. Бензин был на исходе, и только двум самолетам удалось добраться до своих кораблей. Остальные приводнились в море, где часть из них после длительного поиска подобрали эсминцы. Кстати, один из экипажей пыталась спасти подводная лодка Е-11, но подоспевший цеппелин заставил ее спешно погрузиться. Один экипаж подобрало голландское рыбачье судно. В 11.45 английские корабли взяли курс домой. Эсминцы, прикрывая отступление основного отряда, стали отходить после полудня, а патрулирующие подлодки — после 20.00. </w:t>
      </w:r>
    </w:p>
    <w:p w14:paraId="46263390" w14:textId="77777777" w:rsidR="00B67D7C" w:rsidRPr="00DE096C" w:rsidRDefault="00B67D7C" w:rsidP="00D45A46">
      <w:pPr>
        <w:jc w:val="both"/>
        <w:rPr>
          <w:bCs/>
          <w:color w:val="002060"/>
          <w:sz w:val="16"/>
          <w:szCs w:val="16"/>
        </w:rPr>
      </w:pPr>
      <w:r w:rsidRPr="00DE096C">
        <w:rPr>
          <w:bCs/>
          <w:color w:val="002060"/>
          <w:sz w:val="16"/>
          <w:szCs w:val="16"/>
        </w:rPr>
        <w:t>Таким образом, операция по уничтожению базы цеппелинов в Куксхафене потерпела неудачу. Оставалось только утешиться тем фактом, что авиация и флот впервые провели согласованную боевую операцию и нанесли совместный удар по территории врага. Хотя вражеские воздушные корабли и уцелели, англичане продемонстрировали свою готовность ответить на готовящееся нападение германских цеппелинов (11324).</w:t>
      </w:r>
    </w:p>
    <w:p w14:paraId="4294E7F7" w14:textId="77777777" w:rsidR="00B67D7C" w:rsidRPr="00DE096C" w:rsidRDefault="00B67D7C" w:rsidP="00D45A46">
      <w:pPr>
        <w:pStyle w:val="a3"/>
        <w:jc w:val="both"/>
        <w:rPr>
          <w:bCs/>
          <w:color w:val="002060"/>
          <w:spacing w:val="0"/>
          <w:kern w:val="0"/>
          <w:position w:val="0"/>
          <w:sz w:val="16"/>
          <w:szCs w:val="16"/>
        </w:rPr>
      </w:pPr>
    </w:p>
    <w:p w14:paraId="267F8E94" w14:textId="77777777" w:rsidR="00394D85" w:rsidRPr="00DE096C" w:rsidRDefault="00394D85" w:rsidP="00D45A46">
      <w:pPr>
        <w:jc w:val="both"/>
        <w:rPr>
          <w:bCs/>
          <w:i/>
          <w:color w:val="002060"/>
          <w:sz w:val="16"/>
          <w:szCs w:val="16"/>
        </w:rPr>
      </w:pPr>
      <w:r w:rsidRPr="00DE096C">
        <w:rPr>
          <w:bCs/>
          <w:i/>
          <w:color w:val="002060"/>
          <w:sz w:val="16"/>
          <w:szCs w:val="16"/>
        </w:rPr>
        <w:t>Самолетостроение:</w:t>
      </w:r>
    </w:p>
    <w:p w14:paraId="068D8DE0" w14:textId="77777777" w:rsidR="00394D85" w:rsidRPr="00DE096C" w:rsidRDefault="00394D85" w:rsidP="00D45A46">
      <w:pPr>
        <w:jc w:val="both"/>
        <w:rPr>
          <w:bCs/>
          <w:i/>
          <w:color w:val="002060"/>
          <w:sz w:val="16"/>
          <w:szCs w:val="16"/>
        </w:rPr>
      </w:pPr>
    </w:p>
    <w:p w14:paraId="7F887023" w14:textId="76F23215" w:rsidR="00394D85" w:rsidRPr="00DE096C" w:rsidRDefault="00394D85" w:rsidP="00D45A46">
      <w:pPr>
        <w:jc w:val="both"/>
        <w:rPr>
          <w:bCs/>
          <w:color w:val="002060"/>
          <w:sz w:val="16"/>
          <w:szCs w:val="16"/>
        </w:rPr>
      </w:pPr>
      <w:r w:rsidRPr="00DE096C">
        <w:rPr>
          <w:rStyle w:val="ucoz-forum-post"/>
          <w:bCs/>
          <w:color w:val="002060"/>
          <w:sz w:val="16"/>
          <w:szCs w:val="16"/>
        </w:rPr>
        <w:t xml:space="preserve">19 ноября </w:t>
      </w:r>
      <w:r w:rsidR="006477E8" w:rsidRPr="00DE096C">
        <w:rPr>
          <w:rStyle w:val="ucoz-forum-post"/>
          <w:bCs/>
          <w:color w:val="002060"/>
          <w:sz w:val="16"/>
          <w:szCs w:val="16"/>
        </w:rPr>
        <w:t xml:space="preserve">(2 декабря) </w:t>
      </w:r>
      <w:r w:rsidRPr="00DE096C">
        <w:rPr>
          <w:bCs/>
          <w:color w:val="002060"/>
          <w:sz w:val="16"/>
          <w:szCs w:val="16"/>
        </w:rPr>
        <w:t>в 1914 году техническим комитетом Главного технического управления принят проект “бронировано-каучуковой рубашки” конструкции В.М.Григоровича для защиты самолётных баков (14835).</w:t>
      </w:r>
    </w:p>
    <w:p w14:paraId="3042DD89" w14:textId="77777777" w:rsidR="00394D85" w:rsidRPr="00DE096C" w:rsidRDefault="00394D85" w:rsidP="00D45A46">
      <w:pPr>
        <w:jc w:val="both"/>
        <w:rPr>
          <w:bCs/>
          <w:color w:val="002060"/>
          <w:sz w:val="16"/>
          <w:szCs w:val="16"/>
        </w:rPr>
      </w:pPr>
    </w:p>
    <w:p w14:paraId="10399D20" w14:textId="77777777" w:rsidR="00394D85" w:rsidRPr="00DE096C" w:rsidRDefault="00394D85" w:rsidP="00D45A46">
      <w:pPr>
        <w:jc w:val="both"/>
        <w:rPr>
          <w:bCs/>
          <w:i/>
          <w:color w:val="002060"/>
          <w:sz w:val="16"/>
          <w:szCs w:val="16"/>
        </w:rPr>
      </w:pPr>
      <w:r w:rsidRPr="00DE096C">
        <w:rPr>
          <w:bCs/>
          <w:i/>
          <w:color w:val="002060"/>
          <w:sz w:val="16"/>
          <w:szCs w:val="16"/>
        </w:rPr>
        <w:t>Другие оборонные отрасли:</w:t>
      </w:r>
    </w:p>
    <w:p w14:paraId="0D4D8BA0" w14:textId="77777777" w:rsidR="00394D85" w:rsidRPr="00DE096C" w:rsidRDefault="00394D85" w:rsidP="00D45A46">
      <w:pPr>
        <w:jc w:val="both"/>
        <w:rPr>
          <w:bCs/>
          <w:i/>
          <w:color w:val="002060"/>
          <w:sz w:val="16"/>
          <w:szCs w:val="16"/>
        </w:rPr>
      </w:pPr>
    </w:p>
    <w:p w14:paraId="72F23909" w14:textId="7CC3BACC" w:rsidR="00394D85" w:rsidRPr="00DE096C" w:rsidRDefault="00394D85" w:rsidP="00D45A46">
      <w:pPr>
        <w:jc w:val="both"/>
        <w:rPr>
          <w:bCs/>
          <w:color w:val="002060"/>
          <w:sz w:val="16"/>
          <w:szCs w:val="16"/>
        </w:rPr>
      </w:pPr>
      <w:r w:rsidRPr="00DE096C">
        <w:rPr>
          <w:bCs/>
          <w:color w:val="002060"/>
          <w:sz w:val="16"/>
          <w:szCs w:val="16"/>
        </w:rPr>
        <w:t xml:space="preserve">19 ноября </w:t>
      </w:r>
      <w:r w:rsidR="006477E8" w:rsidRPr="00DE096C">
        <w:rPr>
          <w:bCs/>
          <w:color w:val="002060"/>
          <w:sz w:val="16"/>
          <w:szCs w:val="16"/>
        </w:rPr>
        <w:t xml:space="preserve">(2 декабря) </w:t>
      </w:r>
      <w:r w:rsidRPr="00DE096C">
        <w:rPr>
          <w:bCs/>
          <w:color w:val="002060"/>
          <w:sz w:val="16"/>
          <w:szCs w:val="16"/>
        </w:rPr>
        <w:t xml:space="preserve">1914 г. </w:t>
      </w:r>
      <w:r w:rsidR="006477E8" w:rsidRPr="00DE096C">
        <w:rPr>
          <w:bCs/>
          <w:color w:val="002060"/>
          <w:sz w:val="16"/>
          <w:szCs w:val="16"/>
        </w:rPr>
        <w:t>п</w:t>
      </w:r>
      <w:r w:rsidRPr="00DE096C">
        <w:rPr>
          <w:bCs/>
          <w:color w:val="002060"/>
          <w:sz w:val="16"/>
          <w:szCs w:val="16"/>
        </w:rPr>
        <w:t>оложение Совета министров предписывало исключить подданных воюющих с Россией государств из состава союзов, обществ, товариществ и других подобных частных, общественных и правительственных организаций. Обстановка вокруг «Сименс и Гальске» обострилась к весне 1915 г., когда стали выясняться факты враждебного отношения отдельных подразделений фирмы к требованиям военных властей на поставку электрослаботочного имущества (18297).</w:t>
      </w:r>
    </w:p>
    <w:p w14:paraId="51830C26" w14:textId="77777777" w:rsidR="00394D85" w:rsidRPr="00DE096C" w:rsidRDefault="00394D85" w:rsidP="00D45A46">
      <w:pPr>
        <w:jc w:val="both"/>
        <w:rPr>
          <w:bCs/>
          <w:color w:val="002060"/>
          <w:sz w:val="16"/>
          <w:szCs w:val="16"/>
        </w:rPr>
      </w:pPr>
    </w:p>
    <w:p w14:paraId="2B75EDA4"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Самолетостроение:</w:t>
      </w:r>
    </w:p>
    <w:p w14:paraId="662A6C44" w14:textId="77777777" w:rsidR="00B67D7C" w:rsidRPr="00DE096C" w:rsidRDefault="00B67D7C" w:rsidP="00D45A46">
      <w:pPr>
        <w:pStyle w:val="a3"/>
        <w:jc w:val="both"/>
        <w:rPr>
          <w:bCs/>
          <w:color w:val="002060"/>
          <w:spacing w:val="0"/>
          <w:kern w:val="0"/>
          <w:position w:val="0"/>
          <w:sz w:val="16"/>
          <w:szCs w:val="16"/>
        </w:rPr>
      </w:pPr>
    </w:p>
    <w:p w14:paraId="048855A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20 ноября (3 декабря) 1914 состоялось заседание ОВФ, на котором начальник ГВТУ генерал-лейтенант Е.Э.фон-дер-Ропп и полковники В..Ф.Найденов и С.А.Ульянин сообщили, что они вполне ознакомлены с проек</w:t>
      </w:r>
      <w:r w:rsidRPr="00DE096C">
        <w:rPr>
          <w:bCs/>
          <w:color w:val="002060"/>
          <w:sz w:val="16"/>
          <w:szCs w:val="16"/>
        </w:rPr>
        <w:softHyphen/>
        <w:t>том Слесарева и признают вполне правильным мнение Боклевского о желательности постройки этого самолета. В постановлении заседа</w:t>
      </w:r>
      <w:r w:rsidRPr="00DE096C">
        <w:rPr>
          <w:bCs/>
          <w:color w:val="002060"/>
          <w:sz w:val="16"/>
          <w:szCs w:val="16"/>
        </w:rPr>
        <w:softHyphen/>
        <w:t>ния было записано: "Постройку самолета В.А.Слесарева по техни</w:t>
      </w:r>
      <w:r w:rsidRPr="00DE096C">
        <w:rPr>
          <w:bCs/>
          <w:color w:val="002060"/>
          <w:sz w:val="16"/>
          <w:szCs w:val="16"/>
        </w:rPr>
        <w:softHyphen/>
        <w:t>ческим данным признать полезной. Ввиду предложения М.Э.М.Малынского постройку самолета предоставить ему. Если, однако, М.Малынский от постройки откажется, то признать желатель</w:t>
      </w:r>
      <w:r w:rsidRPr="00DE096C">
        <w:rPr>
          <w:bCs/>
          <w:color w:val="002060"/>
          <w:sz w:val="16"/>
          <w:szCs w:val="16"/>
        </w:rPr>
        <w:softHyphen/>
        <w:t>ной постройку самолета В.А.Слесарева за счет...Особого комитета" /ЦГВИА, ф. 2008, оп. 1, д. 343, л. 216/. Следствием этого решения был договор от 1 декабря 1914 г. между Марком Эмануилом Витом Михайловичем Малынским и Василием Адриановичем Слесаревым следующего содержания:</w:t>
      </w:r>
    </w:p>
    <w:p w14:paraId="7D4BBA0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"I. Строитель обязуется построить и сдать самолет, описание и чертеж которого одобрен ОВФ Особого комитета,.. .удовлетворяю</w:t>
      </w:r>
      <w:r w:rsidRPr="00DE096C">
        <w:rPr>
          <w:bCs/>
          <w:color w:val="002060"/>
          <w:sz w:val="16"/>
          <w:szCs w:val="16"/>
        </w:rPr>
        <w:softHyphen/>
        <w:t>щий следующим требованиям:</w:t>
      </w:r>
    </w:p>
    <w:p w14:paraId="5D2D1CE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а) при полной нагрузке в 6500 кг иметь подъемную полезную силу в 3000 кг, считая в ней: вес эки</w:t>
      </w:r>
      <w:r w:rsidRPr="00DE096C">
        <w:rPr>
          <w:bCs/>
          <w:color w:val="002060"/>
          <w:sz w:val="16"/>
          <w:szCs w:val="16"/>
        </w:rPr>
        <w:softHyphen/>
        <w:t>пажа, бензина, масла, приборов управления и наблюдения и др. военных запасов;</w:t>
      </w:r>
    </w:p>
    <w:p w14:paraId="26BB7D5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б) развивать скорость до 100 верст в час и пролетать расстояние при этом не меньше расстояния между Варша</w:t>
      </w:r>
      <w:r w:rsidRPr="00DE096C">
        <w:rPr>
          <w:bCs/>
          <w:color w:val="002060"/>
          <w:sz w:val="16"/>
          <w:szCs w:val="16"/>
        </w:rPr>
        <w:softHyphen/>
        <w:t>вой и Парижем по прямой... или 1300 верст с полным запасом бензина и масла, 5 пассажирами, всеми необходимыми приборами для управления самолетом в дальнем перелете, провизией для пас</w:t>
      </w:r>
      <w:r w:rsidRPr="00DE096C">
        <w:rPr>
          <w:bCs/>
          <w:color w:val="002060"/>
          <w:sz w:val="16"/>
          <w:szCs w:val="16"/>
        </w:rPr>
        <w:softHyphen/>
        <w:t>сажиров, т.е. всем, что включается в полезную подъемную силу;</w:t>
      </w:r>
    </w:p>
    <w:p w14:paraId="01C4A39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быстро брать высоту и иметь возможность свободно летать на внсоте 2500 м над уровнем моря;</w:t>
      </w:r>
    </w:p>
    <w:p w14:paraId="6FC48CA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г) все части самолета должны удовлетворять общим условиям на поставку для Главного инженер</w:t>
      </w:r>
      <w:r w:rsidRPr="00DE096C">
        <w:rPr>
          <w:bCs/>
          <w:color w:val="002060"/>
          <w:sz w:val="16"/>
          <w:szCs w:val="16"/>
        </w:rPr>
        <w:softHyphen/>
        <w:t>ного управления ...Некоторые части (в натуральную величину) должны быть испытаны в лаборатории сопротивления материалов и иметь по крайней мере 3-х кратный запас прочности (Любопытно, что позднее В.А.Слесарев будет говорить, что в основу расчета всех частей аппарата положено требование 10-крат</w:t>
      </w:r>
      <w:r w:rsidRPr="00DE096C">
        <w:rPr>
          <w:bCs/>
          <w:color w:val="002060"/>
          <w:sz w:val="16"/>
          <w:szCs w:val="16"/>
        </w:rPr>
        <w:softHyphen/>
        <w:t>ной прочности, за счет чего и произошло перетяжеление построен</w:t>
      </w:r>
      <w:r w:rsidRPr="00DE096C">
        <w:rPr>
          <w:bCs/>
          <w:color w:val="002060"/>
          <w:sz w:val="16"/>
          <w:szCs w:val="16"/>
        </w:rPr>
        <w:softHyphen/>
        <w:t>ного самолета /ЦГВИА, ф. 2008, оп. 1, д. 343, л. 199/. Сомнительные части готового самолета нагружаются ...полуторной нагрузкой, причем остаточные деформации не должны иметь места... Взлет и спуск должен быть обеспечен с ровного луга или поля с крепким, неболотистым грунтом.</w:t>
      </w:r>
    </w:p>
    <w:p w14:paraId="6255CB3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 Самолет должен быть готов для сдачи в полной готовнос</w:t>
      </w:r>
      <w:r w:rsidRPr="00DE096C">
        <w:rPr>
          <w:bCs/>
          <w:color w:val="002060"/>
          <w:sz w:val="16"/>
          <w:szCs w:val="16"/>
        </w:rPr>
        <w:softHyphen/>
        <w:t>ти для полетов в 3-х месячный срок со дня получения 50% полной его стоимости. В случае недоставки двигателей из-за границы за 3 недели до сдачи, срок этот удлиняется, но, во всяком случае, сдача самолета должна состояться не позднее окончания военных действий с Германией..." /ЦГВИА, ф. 2008, оп. 1, д. 343, л. 5-7/ (11069).</w:t>
      </w:r>
    </w:p>
    <w:p w14:paraId="10623CBA" w14:textId="77777777" w:rsidR="00B67D7C" w:rsidRPr="00DE096C" w:rsidRDefault="00B67D7C" w:rsidP="00D45A46">
      <w:pPr>
        <w:shd w:val="clear" w:color="auto" w:fill="FFFFFF"/>
        <w:jc w:val="both"/>
        <w:rPr>
          <w:bCs/>
          <w:color w:val="002060"/>
          <w:sz w:val="16"/>
          <w:szCs w:val="16"/>
        </w:rPr>
      </w:pPr>
    </w:p>
    <w:p w14:paraId="23C05814" w14:textId="3268C4E8" w:rsidR="00B67D7C" w:rsidRPr="00DE096C" w:rsidRDefault="00B67D7C" w:rsidP="00D45A46">
      <w:pPr>
        <w:jc w:val="both"/>
        <w:rPr>
          <w:bCs/>
          <w:color w:val="002060"/>
          <w:sz w:val="16"/>
          <w:szCs w:val="16"/>
        </w:rPr>
      </w:pPr>
      <w:r w:rsidRPr="00DE096C">
        <w:rPr>
          <w:bCs/>
          <w:color w:val="002060"/>
          <w:sz w:val="16"/>
          <w:szCs w:val="16"/>
        </w:rPr>
        <w:t xml:space="preserve">20 ноября </w:t>
      </w:r>
      <w:r w:rsidR="006477E8" w:rsidRPr="00DE096C">
        <w:rPr>
          <w:bCs/>
          <w:color w:val="002060"/>
          <w:sz w:val="16"/>
          <w:szCs w:val="16"/>
        </w:rPr>
        <w:t xml:space="preserve">(3 декабря) 1914 г. по поводу приостановления нового контракта от 2 октября 1914 г. за № 11356/5031 на постройку 32 кораблей было выпущено постановление Военного Совета </w:t>
      </w:r>
      <w:r w:rsidRPr="00DE096C">
        <w:rPr>
          <w:bCs/>
          <w:color w:val="002060"/>
          <w:sz w:val="16"/>
          <w:szCs w:val="16"/>
        </w:rPr>
        <w:t xml:space="preserve">и лишь 18 апреля 1915 г. оно было отменено. Председатель Правления А/О РБВЗ Шидловский написал докладную записку военному министру Сухомлинову и просил, чтобы ему на деле дати возможность доказать пригодность "Муромцев" для военных целей. В ней указывалось неправильное использование этих машин на фронте и предлагалось сформировать из разрозненных отрядов "Муромцев" боевое соединение по типу эскадры морских боевых кораблей. Верховный Главнокомандующий Великий князь Николай Николаевич и сам император также ознакомились с докладом и одобрили этот проект. В начале декабря 1914 г. был издан приказ согласно которого вся авиация делилась на тяжелую и легкую. Было сформировано Управление Эскадры Воздушных Кораблей (УЭВК), подчиненное Верховному Главнокомандующему. М.В.Шидловскому присвоили звание генерал-майора, что соответствовало его чину действительного статского советника, и назначили Начальником УЭВК. По штату Эскадре полагалось 10 боевых и 2 учебных корабля. Аэродром УЭВК находился у деревни Старая Яблонна (под Варшавой), куда в декабре 1914 г прибыли Ш-й, V-й, VI-й и VI 1-й корабли. Два последних "Муромца" были нового типа В ("облегченного"), с острым носом (первый учебный с 2 "Сальмсонами", второй боевой). Еше в сентябре 1914 г. при формировании трех дополнительных отрядов (V-ro поручика Г.В.Алехновича, VI-го штабс-капитана Б.Н.Фирсова и VII-го штабс-капитана Г.Г.Горшкова). Для отряда "Киевский" (Vll-ro по порядку) предназначался "Киевский" №128, находившийся в Гатчинской школе. Но школа просила оставить корабль для подготовки летчиков. Тогда Горшкову выделили новый аэроплан за №150 типа В, который получил название "Киевский" по имени отряда. Бесценные моторы "Аргус" были сняты с гатчинца и поставлены на новый корабль, который в декабре убыл по ж/д на фронт вместе с УЭВК (12038). </w:t>
      </w:r>
    </w:p>
    <w:p w14:paraId="24FFCD0F" w14:textId="77777777" w:rsidR="00B67D7C" w:rsidRPr="00DE096C" w:rsidRDefault="00B67D7C" w:rsidP="00D45A46">
      <w:pPr>
        <w:jc w:val="both"/>
        <w:rPr>
          <w:bCs/>
          <w:color w:val="002060"/>
          <w:sz w:val="16"/>
          <w:szCs w:val="16"/>
        </w:rPr>
      </w:pPr>
    </w:p>
    <w:p w14:paraId="046A9178" w14:textId="10518CB4" w:rsidR="00B67D7C" w:rsidRPr="00DE096C" w:rsidRDefault="00B67D7C" w:rsidP="00D45A46">
      <w:pPr>
        <w:jc w:val="both"/>
        <w:rPr>
          <w:bCs/>
          <w:color w:val="002060"/>
          <w:sz w:val="16"/>
          <w:szCs w:val="16"/>
        </w:rPr>
      </w:pPr>
      <w:r w:rsidRPr="00DE096C">
        <w:rPr>
          <w:bCs/>
          <w:color w:val="002060"/>
          <w:sz w:val="16"/>
          <w:szCs w:val="16"/>
        </w:rPr>
        <w:lastRenderedPageBreak/>
        <w:t xml:space="preserve">20 ноября </w:t>
      </w:r>
      <w:r w:rsidR="006477E8" w:rsidRPr="00DE096C">
        <w:rPr>
          <w:bCs/>
          <w:color w:val="002060"/>
          <w:sz w:val="16"/>
          <w:szCs w:val="16"/>
        </w:rPr>
        <w:t xml:space="preserve">(3 декабря) </w:t>
      </w:r>
      <w:r w:rsidRPr="00DE096C">
        <w:rPr>
          <w:bCs/>
          <w:color w:val="002060"/>
          <w:sz w:val="16"/>
          <w:szCs w:val="16"/>
        </w:rPr>
        <w:t>1914 года постройка "Муромцев" была приостановлена из- за доклада штабс-капитана Руднева (12041).</w:t>
      </w:r>
    </w:p>
    <w:p w14:paraId="075B53FB" w14:textId="77777777" w:rsidR="00B67D7C" w:rsidRPr="00DE096C" w:rsidRDefault="00B67D7C" w:rsidP="00D45A46">
      <w:pPr>
        <w:jc w:val="both"/>
        <w:rPr>
          <w:bCs/>
          <w:color w:val="002060"/>
          <w:sz w:val="16"/>
          <w:szCs w:val="16"/>
        </w:rPr>
      </w:pPr>
    </w:p>
    <w:p w14:paraId="55B17E2D" w14:textId="77777777" w:rsidR="00305F97" w:rsidRPr="00DE096C" w:rsidRDefault="00305F97" w:rsidP="00D45A46">
      <w:pPr>
        <w:jc w:val="both"/>
        <w:rPr>
          <w:bCs/>
          <w:i/>
          <w:color w:val="002060"/>
          <w:sz w:val="16"/>
          <w:szCs w:val="16"/>
        </w:rPr>
      </w:pPr>
      <w:r w:rsidRPr="00DE096C">
        <w:rPr>
          <w:bCs/>
          <w:i/>
          <w:color w:val="002060"/>
          <w:sz w:val="16"/>
          <w:szCs w:val="16"/>
        </w:rPr>
        <w:t>Другие оборонные отрасли:</w:t>
      </w:r>
    </w:p>
    <w:p w14:paraId="154274D1" w14:textId="77777777" w:rsidR="00305F97" w:rsidRPr="00DE096C" w:rsidRDefault="00305F97" w:rsidP="00D45A46">
      <w:pPr>
        <w:jc w:val="both"/>
        <w:rPr>
          <w:bCs/>
          <w:i/>
          <w:color w:val="002060"/>
          <w:sz w:val="16"/>
          <w:szCs w:val="16"/>
        </w:rPr>
      </w:pPr>
    </w:p>
    <w:p w14:paraId="3188420E" w14:textId="54D696F5" w:rsidR="00305F97" w:rsidRPr="00DE096C" w:rsidRDefault="00305F97" w:rsidP="00D45A46">
      <w:pPr>
        <w:pStyle w:val="p1"/>
        <w:spacing w:before="0" w:beforeAutospacing="0" w:after="0" w:afterAutospacing="0"/>
        <w:jc w:val="both"/>
        <w:rPr>
          <w:bCs/>
          <w:color w:val="002060"/>
          <w:sz w:val="16"/>
          <w:szCs w:val="16"/>
        </w:rPr>
      </w:pPr>
      <w:r w:rsidRPr="00DE096C">
        <w:rPr>
          <w:bCs/>
          <w:color w:val="002060"/>
          <w:sz w:val="16"/>
          <w:szCs w:val="16"/>
        </w:rPr>
        <w:t xml:space="preserve">20 ноября </w:t>
      </w:r>
      <w:r w:rsidR="002C3310" w:rsidRPr="00DE096C">
        <w:rPr>
          <w:bCs/>
          <w:color w:val="002060"/>
          <w:sz w:val="16"/>
          <w:szCs w:val="16"/>
        </w:rPr>
        <w:t xml:space="preserve">(3 </w:t>
      </w:r>
      <w:r w:rsidR="00A75AF0" w:rsidRPr="00DE096C">
        <w:rPr>
          <w:bCs/>
          <w:color w:val="002060"/>
          <w:sz w:val="16"/>
          <w:szCs w:val="16"/>
        </w:rPr>
        <w:t>декабря</w:t>
      </w:r>
      <w:r w:rsidR="002C3310" w:rsidRPr="00DE096C">
        <w:rPr>
          <w:bCs/>
          <w:color w:val="002060"/>
          <w:sz w:val="16"/>
          <w:szCs w:val="16"/>
        </w:rPr>
        <w:t xml:space="preserve">) </w:t>
      </w:r>
      <w:r w:rsidRPr="00DE096C">
        <w:rPr>
          <w:bCs/>
          <w:color w:val="002060"/>
          <w:sz w:val="16"/>
          <w:szCs w:val="16"/>
        </w:rPr>
        <w:t>1914 г. последовало предписание ГАУ подготовить наращивание годового выпуска до 2 млн. трубок на Петербургском заводе (18409).</w:t>
      </w:r>
    </w:p>
    <w:p w14:paraId="535ADB8A" w14:textId="656A2B9B" w:rsidR="00305F97" w:rsidRPr="00DE096C" w:rsidRDefault="00305F97" w:rsidP="00D45A46">
      <w:pPr>
        <w:pStyle w:val="p1"/>
        <w:spacing w:before="0" w:beforeAutospacing="0" w:after="0" w:afterAutospacing="0"/>
        <w:jc w:val="both"/>
        <w:rPr>
          <w:bCs/>
          <w:color w:val="002060"/>
          <w:sz w:val="16"/>
          <w:szCs w:val="16"/>
        </w:rPr>
      </w:pPr>
    </w:p>
    <w:p w14:paraId="615FF6DA" w14:textId="7DF24600" w:rsidR="00A75AF0" w:rsidRPr="00DE096C" w:rsidRDefault="00A75AF0" w:rsidP="00D45A46">
      <w:pPr>
        <w:jc w:val="both"/>
        <w:rPr>
          <w:bCs/>
          <w:color w:val="002060"/>
          <w:sz w:val="16"/>
          <w:szCs w:val="16"/>
        </w:rPr>
      </w:pPr>
      <w:r w:rsidRPr="00DE096C">
        <w:rPr>
          <w:bCs/>
          <w:color w:val="002060"/>
          <w:sz w:val="16"/>
          <w:szCs w:val="16"/>
        </w:rPr>
        <w:t>20 ноября (3 декабря) 1914 г. последовало предписание ГАУ под</w:t>
      </w:r>
      <w:r w:rsidRPr="00DE096C">
        <w:rPr>
          <w:bCs/>
          <w:color w:val="002060"/>
          <w:sz w:val="16"/>
          <w:szCs w:val="16"/>
        </w:rPr>
        <w:softHyphen/>
        <w:t>готовить наращивание годового выпуска на Петербургском трубочном заводе до 2 млн трубок.</w:t>
      </w:r>
    </w:p>
    <w:p w14:paraId="398DEC67" w14:textId="77777777" w:rsidR="00A75AF0" w:rsidRPr="00DE096C" w:rsidRDefault="00A75AF0" w:rsidP="00D45A46">
      <w:pPr>
        <w:jc w:val="both"/>
        <w:rPr>
          <w:bCs/>
          <w:color w:val="002060"/>
          <w:sz w:val="16"/>
          <w:szCs w:val="16"/>
        </w:rPr>
      </w:pPr>
    </w:p>
    <w:p w14:paraId="3517D850" w14:textId="4B4227BB" w:rsidR="002C3310" w:rsidRPr="00DE096C" w:rsidRDefault="002C3310" w:rsidP="00D45A46">
      <w:pPr>
        <w:pStyle w:val="p1"/>
        <w:spacing w:before="0" w:beforeAutospacing="0" w:after="0" w:afterAutospacing="0"/>
        <w:jc w:val="both"/>
        <w:rPr>
          <w:bCs/>
          <w:i/>
          <w:iCs/>
          <w:color w:val="002060"/>
          <w:sz w:val="16"/>
          <w:szCs w:val="16"/>
        </w:rPr>
      </w:pPr>
      <w:r w:rsidRPr="00DE096C">
        <w:rPr>
          <w:bCs/>
          <w:i/>
          <w:iCs/>
          <w:color w:val="002060"/>
          <w:sz w:val="16"/>
          <w:szCs w:val="16"/>
        </w:rPr>
        <w:t>Самолетостроение:</w:t>
      </w:r>
    </w:p>
    <w:p w14:paraId="147A6D7B" w14:textId="77777777" w:rsidR="002C3310" w:rsidRPr="00DE096C" w:rsidRDefault="002C3310" w:rsidP="00D45A46">
      <w:pPr>
        <w:pStyle w:val="p1"/>
        <w:spacing w:before="0" w:beforeAutospacing="0" w:after="0" w:afterAutospacing="0"/>
        <w:jc w:val="both"/>
        <w:rPr>
          <w:bCs/>
          <w:i/>
          <w:iCs/>
          <w:color w:val="002060"/>
          <w:sz w:val="16"/>
          <w:szCs w:val="16"/>
        </w:rPr>
      </w:pPr>
    </w:p>
    <w:p w14:paraId="200DD1B7" w14:textId="43FB1AE2" w:rsidR="002C3310" w:rsidRPr="00DE096C" w:rsidRDefault="002C3310" w:rsidP="00D45A46">
      <w:pPr>
        <w:jc w:val="both"/>
        <w:rPr>
          <w:bCs/>
          <w:color w:val="002060"/>
          <w:sz w:val="16"/>
          <w:szCs w:val="16"/>
        </w:rPr>
      </w:pPr>
      <w:r w:rsidRPr="00DE096C">
        <w:rPr>
          <w:bCs/>
          <w:color w:val="002060"/>
          <w:sz w:val="16"/>
          <w:szCs w:val="16"/>
        </w:rPr>
        <w:t>21 ноября (4 декабря) 1914 г. летчик Е.В.Руднев на самолете "Илья Муромец" закон</w:t>
      </w:r>
      <w:r w:rsidRPr="00DE096C">
        <w:rPr>
          <w:bCs/>
          <w:color w:val="002060"/>
          <w:sz w:val="16"/>
          <w:szCs w:val="16"/>
        </w:rPr>
        <w:softHyphen/>
        <w:t>чи перелет Петроград-Львов, начатый им 1-го сентября. Участок Петроград-Белосток был пройден в четыре этапа за 23 дня. На перелет 855 верст потребовалось 13 час.58 минут при средней путевой скоро</w:t>
      </w:r>
      <w:r w:rsidRPr="00DE096C">
        <w:rPr>
          <w:bCs/>
          <w:color w:val="002060"/>
          <w:sz w:val="16"/>
          <w:szCs w:val="16"/>
        </w:rPr>
        <w:softHyphen/>
        <w:t>сти от 25 до 96 км/час. По лет проходил на высоте 900-1300 м. В по</w:t>
      </w:r>
      <w:r w:rsidRPr="00DE096C">
        <w:rPr>
          <w:bCs/>
          <w:color w:val="002060"/>
          <w:sz w:val="16"/>
          <w:szCs w:val="16"/>
        </w:rPr>
        <w:softHyphen/>
        <w:t>лете выяснилось, что "Илья Муромец" не способен держаться на одной высоте при одном выключенном моторре. Летчик дал плохой отзыв о летных качествах "Муромца" Участок Белосток-Львов был пройден за один день в 5 часов. Этот перелет был самым большим в России и первым случаем перегонки самолета на фронт.</w:t>
      </w:r>
    </w:p>
    <w:p w14:paraId="4D33260F" w14:textId="77777777" w:rsidR="002C3310" w:rsidRPr="00DE096C" w:rsidRDefault="002C3310" w:rsidP="00D45A46">
      <w:pPr>
        <w:jc w:val="both"/>
        <w:rPr>
          <w:bCs/>
          <w:color w:val="002060"/>
          <w:sz w:val="16"/>
          <w:szCs w:val="16"/>
        </w:rPr>
      </w:pPr>
      <w:r w:rsidRPr="00DE096C">
        <w:rPr>
          <w:bCs/>
          <w:color w:val="002060"/>
          <w:sz w:val="16"/>
          <w:szCs w:val="16"/>
        </w:rPr>
        <w:t>/ЦГВИА, ф. 2003, оп. 2, д. 613, лл. 38, 239-242; рапорт Руднева в ставку/ (23320).</w:t>
      </w:r>
    </w:p>
    <w:p w14:paraId="3E47D95A" w14:textId="77777777" w:rsidR="002C3310" w:rsidRPr="00DE096C" w:rsidRDefault="002C3310" w:rsidP="00D45A46">
      <w:pPr>
        <w:jc w:val="both"/>
        <w:rPr>
          <w:bCs/>
          <w:color w:val="002060"/>
          <w:sz w:val="16"/>
          <w:szCs w:val="16"/>
        </w:rPr>
      </w:pPr>
    </w:p>
    <w:p w14:paraId="5FA52FC6" w14:textId="77777777" w:rsidR="00991581" w:rsidRPr="00DE096C" w:rsidRDefault="00991581" w:rsidP="00D45A46">
      <w:pPr>
        <w:jc w:val="both"/>
        <w:rPr>
          <w:bCs/>
          <w:i/>
          <w:color w:val="002060"/>
          <w:sz w:val="16"/>
          <w:szCs w:val="16"/>
        </w:rPr>
      </w:pPr>
      <w:r w:rsidRPr="00DE096C">
        <w:rPr>
          <w:bCs/>
          <w:i/>
          <w:color w:val="002060"/>
          <w:sz w:val="16"/>
          <w:szCs w:val="16"/>
        </w:rPr>
        <w:t>Армия:</w:t>
      </w:r>
    </w:p>
    <w:p w14:paraId="5F269552" w14:textId="77777777" w:rsidR="00991581" w:rsidRPr="00DE096C" w:rsidRDefault="00991581" w:rsidP="00D45A46">
      <w:pPr>
        <w:jc w:val="both"/>
        <w:rPr>
          <w:bCs/>
          <w:i/>
          <w:color w:val="002060"/>
          <w:sz w:val="16"/>
          <w:szCs w:val="16"/>
        </w:rPr>
      </w:pPr>
    </w:p>
    <w:p w14:paraId="663B552F" w14:textId="1142E836" w:rsidR="00991581" w:rsidRPr="00DE096C" w:rsidRDefault="00991581" w:rsidP="00D45A46">
      <w:pPr>
        <w:jc w:val="both"/>
        <w:rPr>
          <w:bCs/>
          <w:color w:val="002060"/>
          <w:sz w:val="16"/>
          <w:szCs w:val="16"/>
        </w:rPr>
      </w:pPr>
      <w:r w:rsidRPr="00DE096C">
        <w:rPr>
          <w:bCs/>
          <w:color w:val="002060"/>
          <w:sz w:val="16"/>
          <w:szCs w:val="16"/>
        </w:rPr>
        <w:t xml:space="preserve">21 ноября </w:t>
      </w:r>
      <w:r w:rsidR="002C3310" w:rsidRPr="00DE096C">
        <w:rPr>
          <w:bCs/>
          <w:color w:val="002060"/>
          <w:sz w:val="16"/>
          <w:szCs w:val="16"/>
        </w:rPr>
        <w:t xml:space="preserve">(4 декабря) </w:t>
      </w:r>
      <w:r w:rsidRPr="00DE096C">
        <w:rPr>
          <w:bCs/>
          <w:color w:val="002060"/>
          <w:sz w:val="16"/>
          <w:szCs w:val="16"/>
        </w:rPr>
        <w:t>в 1914 году во время I-й мировой войны в ходе Лодзинской операции войска Северо-Западного фронта (генерал от инфантерии М.В.Алексеев) окружили и уничтожили немецкую армейскую группу генерала Шеффнера (3 пехотные и 2 кавалерийские дивизии). Одновременно на Кавказском фронте русский отряд генерала Г.Э.Берхмана захватил Кеприкейские позиции, обороняемые турецкими войсками (14836).</w:t>
      </w:r>
    </w:p>
    <w:p w14:paraId="0D3FE995" w14:textId="77777777" w:rsidR="00991581" w:rsidRPr="00DE096C" w:rsidRDefault="00991581" w:rsidP="00D45A46">
      <w:pPr>
        <w:pStyle w:val="21"/>
        <w:shd w:val="clear" w:color="auto" w:fill="auto"/>
        <w:spacing w:after="0" w:line="240" w:lineRule="auto"/>
        <w:ind w:firstLine="0"/>
        <w:jc w:val="both"/>
        <w:rPr>
          <w:rFonts w:ascii="Times New Roman" w:hAnsi="Times New Roman" w:cs="Times New Roman"/>
          <w:bCs/>
          <w:color w:val="002060"/>
          <w:spacing w:val="0"/>
          <w:sz w:val="16"/>
          <w:szCs w:val="16"/>
        </w:rPr>
      </w:pPr>
    </w:p>
    <w:p w14:paraId="12A98270" w14:textId="6A35AFEC" w:rsidR="00A75AF0" w:rsidRPr="00DE096C" w:rsidRDefault="00A75AF0" w:rsidP="00D45A46">
      <w:pPr>
        <w:shd w:val="clear" w:color="auto" w:fill="FFFFFF"/>
        <w:jc w:val="both"/>
        <w:rPr>
          <w:bCs/>
          <w:i/>
          <w:color w:val="002060"/>
          <w:sz w:val="16"/>
          <w:szCs w:val="16"/>
        </w:rPr>
      </w:pPr>
      <w:r w:rsidRPr="00DE096C">
        <w:rPr>
          <w:bCs/>
          <w:i/>
          <w:color w:val="002060"/>
          <w:sz w:val="16"/>
          <w:szCs w:val="16"/>
        </w:rPr>
        <w:t>Авиация:</w:t>
      </w:r>
    </w:p>
    <w:p w14:paraId="1E1FE7FE" w14:textId="77777777" w:rsidR="00A75AF0" w:rsidRPr="00DE096C" w:rsidRDefault="00A75AF0" w:rsidP="00D45A46">
      <w:pPr>
        <w:shd w:val="clear" w:color="auto" w:fill="FFFFFF"/>
        <w:jc w:val="both"/>
        <w:rPr>
          <w:bCs/>
          <w:i/>
          <w:color w:val="002060"/>
          <w:sz w:val="16"/>
          <w:szCs w:val="16"/>
        </w:rPr>
      </w:pPr>
    </w:p>
    <w:p w14:paraId="4913CEE5" w14:textId="77777777" w:rsidR="00A75AF0" w:rsidRPr="00DE096C" w:rsidRDefault="00A75AF0" w:rsidP="00D45A46">
      <w:pPr>
        <w:jc w:val="both"/>
        <w:rPr>
          <w:bCs/>
          <w:color w:val="002060"/>
          <w:sz w:val="16"/>
          <w:szCs w:val="16"/>
        </w:rPr>
      </w:pPr>
      <w:bookmarkStart w:id="205" w:name="bookmark55"/>
      <w:bookmarkStart w:id="206" w:name="bookmark56"/>
      <w:bookmarkStart w:id="207" w:name="bookmark57"/>
      <w:r w:rsidRPr="00DE096C">
        <w:rPr>
          <w:bCs/>
          <w:color w:val="002060"/>
          <w:sz w:val="16"/>
          <w:szCs w:val="16"/>
        </w:rPr>
        <w:t>21 ноября 1914 г. в период ожесточенных боев польский город Лодзь подвергся сильной воздушной бомбардировке. На следующий день противник вновь бомбил Лодзь. В результате среди мирных жителей имелись пострадавшие, разрушено много зданий и сожжена одна фабрика. Очередной налет на город состоялся 2 декабря 1914 г. Немецкие летчики сбросили на городские кварталы несколько десятков бомб, которые привели к большим разрушениям и человеческим жертвам. Немного позднее в небе над Лодзью (в темное время суток) появился цеппелин, проведя тщательную разведку города (23405).</w:t>
      </w:r>
      <w:bookmarkEnd w:id="205"/>
      <w:bookmarkEnd w:id="206"/>
      <w:bookmarkEnd w:id="207"/>
    </w:p>
    <w:p w14:paraId="17F4F5F2" w14:textId="77777777" w:rsidR="00A75AF0" w:rsidRPr="00DE096C" w:rsidRDefault="00A75AF0" w:rsidP="00D45A46">
      <w:pPr>
        <w:jc w:val="both"/>
        <w:rPr>
          <w:bCs/>
          <w:color w:val="002060"/>
          <w:sz w:val="16"/>
          <w:szCs w:val="16"/>
        </w:rPr>
      </w:pPr>
    </w:p>
    <w:p w14:paraId="67F0B61E" w14:textId="0BFDAE99"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 и воздухоплавание Франции:</w:t>
      </w:r>
    </w:p>
    <w:p w14:paraId="1887978F" w14:textId="77777777" w:rsidR="00B67D7C" w:rsidRPr="00DE096C" w:rsidRDefault="00B67D7C" w:rsidP="00D45A46">
      <w:pPr>
        <w:shd w:val="clear" w:color="auto" w:fill="FFFFFF"/>
        <w:jc w:val="both"/>
        <w:rPr>
          <w:bCs/>
          <w:i/>
          <w:color w:val="002060"/>
          <w:sz w:val="16"/>
          <w:szCs w:val="16"/>
        </w:rPr>
      </w:pPr>
    </w:p>
    <w:p w14:paraId="24CE09B0" w14:textId="77777777" w:rsidR="00B67D7C" w:rsidRPr="00DE096C" w:rsidRDefault="00B67D7C" w:rsidP="00D45A46">
      <w:pPr>
        <w:jc w:val="both"/>
        <w:rPr>
          <w:bCs/>
          <w:color w:val="002060"/>
          <w:sz w:val="16"/>
          <w:szCs w:val="16"/>
        </w:rPr>
      </w:pPr>
      <w:r w:rsidRPr="00DE096C">
        <w:rPr>
          <w:bCs/>
          <w:color w:val="002060"/>
          <w:sz w:val="16"/>
          <w:szCs w:val="16"/>
        </w:rPr>
        <w:t>21-22 ноября (4-5 декабря) 1914 - I французское отделение бомбардировщиков атаковало Фрайбург. Бомбардировка, согласно германским источникам, привела к многочисленным человеческим жертвам.</w:t>
      </w:r>
    </w:p>
    <w:p w14:paraId="0F567C62" w14:textId="77777777" w:rsidR="00B67D7C" w:rsidRPr="00DE096C" w:rsidRDefault="00B67D7C" w:rsidP="00D45A46">
      <w:pPr>
        <w:jc w:val="both"/>
        <w:rPr>
          <w:bCs/>
          <w:color w:val="002060"/>
          <w:sz w:val="16"/>
          <w:szCs w:val="16"/>
        </w:rPr>
      </w:pPr>
      <w:r w:rsidRPr="00DE096C">
        <w:rPr>
          <w:bCs/>
          <w:color w:val="002060"/>
          <w:sz w:val="16"/>
          <w:szCs w:val="16"/>
        </w:rPr>
        <w:t>Со всех сторон и, прежде всего, со стороны военной промышленности поднят вопрос о необходимости усиления противовоздушной обороны тыла. Принято решение о переделке трофейных русских и французских зенитных орудий для противовоздушной обороны тыла (11999).</w:t>
      </w:r>
    </w:p>
    <w:p w14:paraId="03EE6E1B" w14:textId="77777777" w:rsidR="00B67D7C" w:rsidRPr="00DE096C" w:rsidRDefault="00B67D7C" w:rsidP="00D45A46">
      <w:pPr>
        <w:jc w:val="both"/>
        <w:rPr>
          <w:bCs/>
          <w:color w:val="002060"/>
          <w:sz w:val="16"/>
          <w:szCs w:val="16"/>
        </w:rPr>
      </w:pPr>
    </w:p>
    <w:p w14:paraId="6D02C59E" w14:textId="77777777" w:rsidR="00B67D7C" w:rsidRPr="00DE096C" w:rsidRDefault="00B67D7C" w:rsidP="00D45A46">
      <w:pPr>
        <w:jc w:val="both"/>
        <w:rPr>
          <w:bCs/>
          <w:color w:val="002060"/>
          <w:sz w:val="16"/>
          <w:szCs w:val="16"/>
        </w:rPr>
      </w:pPr>
      <w:r w:rsidRPr="00DE096C">
        <w:rPr>
          <w:bCs/>
          <w:color w:val="002060"/>
          <w:sz w:val="16"/>
          <w:szCs w:val="16"/>
        </w:rPr>
        <w:t>21 ноября (4 декабря) 1914 года французские летчики предприняли воздушное нападение на совершенно беззащитный город Фрейбург расположенный в 80 км за линией фронта. Таким обра зом, Франция первой из воюющих держав решилась на вести ужас воздушной войны на мирные районы непри ятельской территории. Вскоре она испытала на себ" последствия этого решения (11282).</w:t>
      </w:r>
    </w:p>
    <w:p w14:paraId="1E642700" w14:textId="77777777" w:rsidR="00B67D7C" w:rsidRPr="00DE096C" w:rsidRDefault="00B67D7C" w:rsidP="00D45A46">
      <w:pPr>
        <w:jc w:val="both"/>
        <w:rPr>
          <w:bCs/>
          <w:color w:val="002060"/>
          <w:sz w:val="16"/>
          <w:szCs w:val="16"/>
        </w:rPr>
      </w:pPr>
    </w:p>
    <w:p w14:paraId="0338F45C" w14:textId="6BB17A0C" w:rsidR="00B67D7C" w:rsidRPr="00DE096C" w:rsidRDefault="00B67D7C" w:rsidP="00D45A46">
      <w:pPr>
        <w:shd w:val="clear" w:color="auto" w:fill="FFFFFF"/>
        <w:jc w:val="both"/>
        <w:rPr>
          <w:bCs/>
          <w:i/>
          <w:color w:val="002060"/>
          <w:sz w:val="16"/>
          <w:szCs w:val="16"/>
        </w:rPr>
      </w:pPr>
      <w:r w:rsidRPr="00DE096C">
        <w:rPr>
          <w:bCs/>
          <w:i/>
          <w:color w:val="002060"/>
          <w:sz w:val="16"/>
          <w:szCs w:val="16"/>
        </w:rPr>
        <w:t>Армия:</w:t>
      </w:r>
    </w:p>
    <w:p w14:paraId="3B031A3B" w14:textId="77777777" w:rsidR="00B67D7C" w:rsidRPr="00DE096C" w:rsidRDefault="00B67D7C" w:rsidP="00D45A46">
      <w:pPr>
        <w:shd w:val="clear" w:color="auto" w:fill="FFFFFF"/>
        <w:jc w:val="both"/>
        <w:rPr>
          <w:bCs/>
          <w:i/>
          <w:color w:val="002060"/>
          <w:sz w:val="16"/>
          <w:szCs w:val="16"/>
        </w:rPr>
      </w:pPr>
    </w:p>
    <w:p w14:paraId="011214BE" w14:textId="75F9F0D2" w:rsidR="00991581" w:rsidRPr="00DE096C" w:rsidRDefault="00991581" w:rsidP="00D45A46">
      <w:pPr>
        <w:pStyle w:val="21"/>
        <w:shd w:val="clear" w:color="auto" w:fill="auto"/>
        <w:spacing w:after="0" w:line="240" w:lineRule="auto"/>
        <w:ind w:firstLine="0"/>
        <w:jc w:val="both"/>
        <w:rPr>
          <w:rFonts w:ascii="Times New Roman" w:hAnsi="Times New Roman" w:cs="Times New Roman"/>
          <w:bCs/>
          <w:color w:val="002060"/>
          <w:spacing w:val="0"/>
          <w:sz w:val="16"/>
          <w:szCs w:val="16"/>
        </w:rPr>
      </w:pPr>
      <w:r w:rsidRPr="00DE096C">
        <w:rPr>
          <w:rFonts w:ascii="Times New Roman" w:hAnsi="Times New Roman" w:cs="Times New Roman"/>
          <w:bCs/>
          <w:color w:val="002060"/>
          <w:spacing w:val="0"/>
          <w:sz w:val="16"/>
          <w:szCs w:val="16"/>
        </w:rPr>
        <w:t xml:space="preserve">22 ноября </w:t>
      </w:r>
      <w:r w:rsidR="002C3310" w:rsidRPr="00DE096C">
        <w:rPr>
          <w:rFonts w:ascii="Times New Roman" w:hAnsi="Times New Roman" w:cs="Times New Roman"/>
          <w:bCs/>
          <w:color w:val="002060"/>
          <w:spacing w:val="0"/>
          <w:sz w:val="16"/>
          <w:szCs w:val="16"/>
        </w:rPr>
        <w:t xml:space="preserve">(5 ноября) </w:t>
      </w:r>
      <w:r w:rsidRPr="00DE096C">
        <w:rPr>
          <w:rFonts w:ascii="Times New Roman" w:hAnsi="Times New Roman" w:cs="Times New Roman"/>
          <w:bCs/>
          <w:color w:val="002060"/>
          <w:spacing w:val="0"/>
          <w:sz w:val="16"/>
          <w:szCs w:val="16"/>
        </w:rPr>
        <w:t>1914 г. Начальник штаба Ставки Верховного Главнокомандования, генерал Н.Н.</w:t>
      </w:r>
      <w:r w:rsidR="0006581C">
        <w:rPr>
          <w:rFonts w:ascii="Times New Roman" w:hAnsi="Times New Roman" w:cs="Times New Roman"/>
          <w:bCs/>
          <w:color w:val="002060"/>
          <w:spacing w:val="0"/>
          <w:sz w:val="16"/>
          <w:szCs w:val="16"/>
        </w:rPr>
        <w:t xml:space="preserve"> </w:t>
      </w:r>
      <w:r w:rsidRPr="00DE096C">
        <w:rPr>
          <w:rFonts w:ascii="Times New Roman" w:hAnsi="Times New Roman" w:cs="Times New Roman"/>
          <w:bCs/>
          <w:color w:val="002060"/>
          <w:spacing w:val="0"/>
          <w:sz w:val="16"/>
          <w:szCs w:val="16"/>
        </w:rPr>
        <w:t>Янушкевич сообщал военному министру, что снижение огневой мощи полевой армейской артиллерии немедленно вызвало повышенные потери в пехоте. «С уменьшением числа стреляющих орудий и патронов к винтовкам стало выбывать из строя в пехоте на 50-60% - вопрос о нехватке снарядов и ружей в армии поистине кровавый». Помимо этих главных составляющих боезапаса, самым пагубным образом сказывалась на боевой эффективности русских солдат чудовищная нехватка грузовых автомобилей, пулеметов, средств связи, инженерного имущества, индивидуальных средств защиты. Выяснилось, наконец, что русская армия испытывает де-факто самый пагубный дефицит буквально во всем.</w:t>
      </w:r>
    </w:p>
    <w:p w14:paraId="2DB27632" w14:textId="77777777" w:rsidR="00991581" w:rsidRPr="00DE096C" w:rsidRDefault="00991581" w:rsidP="00D45A46">
      <w:pPr>
        <w:pStyle w:val="21"/>
        <w:shd w:val="clear" w:color="auto" w:fill="auto"/>
        <w:spacing w:after="0" w:line="240" w:lineRule="auto"/>
        <w:ind w:firstLine="0"/>
        <w:jc w:val="both"/>
        <w:rPr>
          <w:rFonts w:ascii="Times New Roman" w:hAnsi="Times New Roman" w:cs="Times New Roman"/>
          <w:bCs/>
          <w:color w:val="002060"/>
          <w:spacing w:val="0"/>
          <w:sz w:val="16"/>
          <w:szCs w:val="16"/>
        </w:rPr>
      </w:pPr>
      <w:r w:rsidRPr="00DE096C">
        <w:rPr>
          <w:rFonts w:ascii="Times New Roman" w:hAnsi="Times New Roman" w:cs="Times New Roman"/>
          <w:bCs/>
          <w:color w:val="002060"/>
          <w:spacing w:val="0"/>
          <w:sz w:val="16"/>
          <w:szCs w:val="16"/>
        </w:rPr>
        <w:t>Несмотря на крайне тревожные телеграммы с фронта, в военном министерстве в Петербурге царило странное благодушие. Военный министр В.А. Сухомлинов, например, в ответ на запрос французского главнокомандующего, генерала Жоффра, о возможностях наступательных действий русской армии в связи с непредвиденно большим расходом снарядов поспешил заверить союзника, что «в данное время положение с боевыми припасами в русской армии не внушает никаких серьезных опасений» (15230).</w:t>
      </w:r>
    </w:p>
    <w:p w14:paraId="326D2658" w14:textId="77777777" w:rsidR="00991581" w:rsidRPr="00DE096C" w:rsidRDefault="00991581" w:rsidP="00D45A46">
      <w:pPr>
        <w:pStyle w:val="21"/>
        <w:shd w:val="clear" w:color="auto" w:fill="auto"/>
        <w:spacing w:after="0" w:line="240" w:lineRule="auto"/>
        <w:ind w:firstLine="0"/>
        <w:jc w:val="both"/>
        <w:rPr>
          <w:rFonts w:ascii="Times New Roman" w:hAnsi="Times New Roman" w:cs="Times New Roman"/>
          <w:bCs/>
          <w:color w:val="002060"/>
          <w:spacing w:val="0"/>
          <w:sz w:val="16"/>
          <w:szCs w:val="16"/>
        </w:rPr>
      </w:pPr>
    </w:p>
    <w:p w14:paraId="586E79A8" w14:textId="64F5D2B2"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22 ноября (5 декабря) 1914 г. № 301, о результатах объезда армии Юго-западного фронта с целью выяснения причин большого расхода снарядов, указывалось на необходимость добавления артиллерийского управления в штаб главковерха, согласно проекту ген. Черепанова, приложенному к отчету. </w:t>
      </w:r>
    </w:p>
    <w:p w14:paraId="213E1576"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По проекту Черепанова начальник артиллерийского управления при главковерхе должен быть докладчиком начальника штаба главковерха по всем вопросам, касающимся вооружения крепостей и армий винтовками, пулеметами, гаубицами, пушками как в смысле снабжения, так и в техническом и тактическом их употреблении. </w:t>
      </w:r>
    </w:p>
    <w:p w14:paraId="65CA0F8E"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По этим вопросам он должен был иметь непосредственное сношение с ГАУ и должен был находиться в полной осведомленности всех вопросов артиллерийского снабжения. </w:t>
      </w:r>
    </w:p>
    <w:p w14:paraId="13C3A390"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По мнению Черепанова, начальник артиллерийского управления при главковерхе, имея непосредственное сношение с начальниками артиллерийского снабжения армий фронта и их помощниками, а также с начальниками артиллерийских отделов при командармах, должен был ставить их в известность об общих условиях артиллерийского деяа, вместе с ними проводить непосредственно в войска армии одобренные наштаверхом взгляды на техническое и тактическое употребление артиллерии. </w:t>
      </w:r>
    </w:p>
    <w:p w14:paraId="53669125"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Не ограничиваясь сношениями с указанными лицами, начальник артиллерийского управления должен был входить в связь непосредственно с самими артиллерийскими частями, посещая их позиции и знакомясь непосредственно с применением артиллерии и расходом снарядов и патронов всякого рода для доклада наштаверху и т. д. </w:t>
      </w:r>
    </w:p>
    <w:p w14:paraId="20DB1D5F"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Весьма существенным недостатком Положения 1914 г. являлось подчинение расположенных на театре военных действий артиллерийских складов и арсеналов главначснабам и начартснабам фронта, через соответствующих начальников окарту и главных начальников военных округов. </w:t>
      </w:r>
    </w:p>
    <w:p w14:paraId="110292B1"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Арсеналы работали по заданиям ГАУ, вмещая в свою программу различные заказы общеармейского масштаба, и приостановка в выполнении таких заказов вследствие нарядов, даваемых начальниками артсвабжения фронта, неизбежно влекла расстройство в общем снабжении. Что же касается артскладов, то хранившееся на них к моменту войны имущество отнюдь не соответствовало тому назначению, какое следовало бы им дать согласно Положению о полевом управлении 1914 г., так как требуемого Положением плана снабжения заблаговременно не было разработано. Имущество это составляло общие запасы военного ведомства, а не запасы того или иного фронта действующих армий. </w:t>
      </w:r>
    </w:p>
    <w:p w14:paraId="2AC2473A"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К числу таких предметов относились запасы винтовок и патронов к ним и части пушечных патронов, так как последние к началу мировой войны еще не были перевезены в те пункты, где им надлежало бы быть по организации 1910 г., вследствие отсутствия готовых помещений. </w:t>
      </w:r>
    </w:p>
    <w:p w14:paraId="7A333503"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Во время войны, например, потребовалось даже вмешательство Штаба главковерха, чтобы убедить начальника артиллерийских снабжений Северо-западного фронта в том, что излишние против табелей патроны, как лежащие на складах района фронта, так и снаряжаемые вновь в питательном пункте в Двинске, не составляют собственности фронта и не могут расходоваться и отпускаться без распоряжения ГАУ. Подобные же недоразумения происходили и в Петроградском районе VI армии, где начартснаб однажды даже завладел чужими орудиями, которые были присланы с фронта на Петроградский орудийный завод для починки и после ремонта были переданы на Петроградский артиллерийский склад для временного хранения и отправки по принадлежности. </w:t>
      </w:r>
    </w:p>
    <w:p w14:paraId="1985B618"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Между прочим, вследствие вмешательства фронтовых органов снабжений ГАУ не могло своевременно вывезти из складов бывшего Виленского округа значительное количество дистанционных трубок, в которых ощущалась тогда крайняя нужда при снабжении местных парков, а часть патронов, находившихся на складах Виленского округа, так и исчезла без учета. </w:t>
      </w:r>
    </w:p>
    <w:p w14:paraId="39A76FE4"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lastRenderedPageBreak/>
        <w:t xml:space="preserve">Следующей крупной ошибкой Положения о полевом управлении признавалась нецелесообразность возложения артиллерийского снабжения армии на начальника ЭХО. По мнению Карачана, заведующего артиллерийской частью следовало подчинить непосредственно командующему армией или начальнику штаба армии помимо начальника этапно-хозяйственного отдела. </w:t>
      </w:r>
    </w:p>
    <w:p w14:paraId="677C4801"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Заведующий артиллерийской частью ведал самой существеннейшей частью снабжения армии: вооружение, винтовки, пулеметы, пушки, гаубицы, снаряды, награды, вся материальная часть орудий и винтовок, холодное оружие. Несомненно, все эти вопросы крайне важны для командующего армией. Передача же их и разрешение при помощи начальника ЭХО ничем не оправдывались. Начальник ЭХО мог служить только фонографом: "если командующий армией спросит какие-нибудь объяснения, то начальник ЭХО должен будет пойти спросить у заведующего артиллерийской частью и затем вернуться к командующему и передать ответ; при новом вопросе последует та же прогулка" (11483).</w:t>
      </w:r>
    </w:p>
    <w:p w14:paraId="25E347D3" w14:textId="77777777" w:rsidR="00B67D7C" w:rsidRPr="00DE096C" w:rsidRDefault="00B67D7C" w:rsidP="00D45A46">
      <w:pPr>
        <w:pStyle w:val="a3"/>
        <w:jc w:val="both"/>
        <w:rPr>
          <w:bCs/>
          <w:i w:val="0"/>
          <w:color w:val="002060"/>
          <w:spacing w:val="0"/>
          <w:kern w:val="0"/>
          <w:position w:val="0"/>
          <w:sz w:val="16"/>
          <w:szCs w:val="16"/>
        </w:rPr>
      </w:pPr>
    </w:p>
    <w:p w14:paraId="1FFDD24D" w14:textId="19C429B0" w:rsidR="00A75AF0" w:rsidRPr="00DE096C" w:rsidRDefault="00A75AF0" w:rsidP="00D45A46">
      <w:pPr>
        <w:jc w:val="both"/>
        <w:rPr>
          <w:bCs/>
          <w:i/>
          <w:color w:val="002060"/>
          <w:sz w:val="16"/>
          <w:szCs w:val="16"/>
        </w:rPr>
      </w:pPr>
      <w:r w:rsidRPr="00DE096C">
        <w:rPr>
          <w:bCs/>
          <w:i/>
          <w:color w:val="002060"/>
          <w:sz w:val="16"/>
          <w:szCs w:val="16"/>
        </w:rPr>
        <w:t>Авиация:</w:t>
      </w:r>
    </w:p>
    <w:p w14:paraId="3C1D3AA6" w14:textId="77777777" w:rsidR="00A75AF0" w:rsidRPr="00DE096C" w:rsidRDefault="00A75AF0" w:rsidP="00D45A46">
      <w:pPr>
        <w:jc w:val="both"/>
        <w:rPr>
          <w:bCs/>
          <w:i/>
          <w:color w:val="002060"/>
          <w:sz w:val="16"/>
          <w:szCs w:val="16"/>
        </w:rPr>
      </w:pPr>
    </w:p>
    <w:p w14:paraId="485FC506" w14:textId="0347D88C" w:rsidR="00A75AF0" w:rsidRPr="00DE096C" w:rsidRDefault="00A75AF0" w:rsidP="00D45A46">
      <w:pPr>
        <w:jc w:val="both"/>
        <w:rPr>
          <w:bCs/>
          <w:color w:val="002060"/>
          <w:sz w:val="16"/>
          <w:szCs w:val="16"/>
        </w:rPr>
      </w:pPr>
      <w:r w:rsidRPr="00DE096C">
        <w:rPr>
          <w:bCs/>
          <w:color w:val="002060"/>
          <w:sz w:val="16"/>
          <w:szCs w:val="16"/>
        </w:rPr>
        <w:t xml:space="preserve">22 ноября </w:t>
      </w:r>
      <w:r w:rsidR="00FB0C02" w:rsidRPr="00DE096C">
        <w:rPr>
          <w:bCs/>
          <w:color w:val="002060"/>
          <w:sz w:val="16"/>
          <w:szCs w:val="16"/>
        </w:rPr>
        <w:t xml:space="preserve">(5 декабря) </w:t>
      </w:r>
      <w:r w:rsidRPr="00DE096C">
        <w:rPr>
          <w:bCs/>
          <w:color w:val="002060"/>
          <w:sz w:val="16"/>
          <w:szCs w:val="16"/>
        </w:rPr>
        <w:t>1914 г. противник вновь бомбил Лодзь. В результате среди мирных жителей имелись пострадавшие, разрушено много зданий и сожжена одна фабрика. Очередной налет на город состоялся 2 декабря 1914 г. Немецкие летчики сбросили на городские кварталы несколько десятков бомб, которые привели к большим разрушениям и человеческим жертвам. Немного позднее в небе над Лодзью (в темное время суток) появился цеппелин, проведя тщательную разведку города (23405).</w:t>
      </w:r>
    </w:p>
    <w:p w14:paraId="1D166567" w14:textId="77777777" w:rsidR="00A75AF0" w:rsidRPr="00DE096C" w:rsidRDefault="00A75AF0" w:rsidP="00D45A46">
      <w:pPr>
        <w:jc w:val="both"/>
        <w:rPr>
          <w:bCs/>
          <w:color w:val="002060"/>
          <w:sz w:val="16"/>
          <w:szCs w:val="16"/>
        </w:rPr>
      </w:pPr>
    </w:p>
    <w:p w14:paraId="1B472DFD" w14:textId="6779862C" w:rsidR="00B67D7C" w:rsidRPr="00DE096C" w:rsidRDefault="00B67D7C" w:rsidP="00D45A46">
      <w:pPr>
        <w:jc w:val="both"/>
        <w:rPr>
          <w:bCs/>
          <w:i/>
          <w:color w:val="002060"/>
          <w:sz w:val="16"/>
          <w:szCs w:val="16"/>
        </w:rPr>
      </w:pPr>
      <w:r w:rsidRPr="00DE096C">
        <w:rPr>
          <w:bCs/>
          <w:i/>
          <w:color w:val="002060"/>
          <w:sz w:val="16"/>
          <w:szCs w:val="16"/>
        </w:rPr>
        <w:t>Самолетостроение:</w:t>
      </w:r>
    </w:p>
    <w:p w14:paraId="14BC0F91" w14:textId="77777777" w:rsidR="00B67D7C" w:rsidRPr="00DE096C" w:rsidRDefault="00B67D7C" w:rsidP="00D45A46">
      <w:pPr>
        <w:jc w:val="both"/>
        <w:rPr>
          <w:bCs/>
          <w:i/>
          <w:color w:val="002060"/>
          <w:sz w:val="16"/>
          <w:szCs w:val="16"/>
        </w:rPr>
      </w:pPr>
    </w:p>
    <w:p w14:paraId="26E4F682" w14:textId="2CD8A16C" w:rsidR="00B67D7C" w:rsidRPr="00DE096C" w:rsidRDefault="00B67D7C" w:rsidP="00D45A46">
      <w:pPr>
        <w:jc w:val="both"/>
        <w:rPr>
          <w:bCs/>
          <w:color w:val="002060"/>
          <w:sz w:val="16"/>
          <w:szCs w:val="16"/>
        </w:rPr>
      </w:pPr>
      <w:r w:rsidRPr="00DE096C">
        <w:rPr>
          <w:bCs/>
          <w:color w:val="002060"/>
          <w:sz w:val="16"/>
          <w:szCs w:val="16"/>
        </w:rPr>
        <w:t xml:space="preserve">23 ноября </w:t>
      </w:r>
      <w:r w:rsidR="002C3310" w:rsidRPr="00DE096C">
        <w:rPr>
          <w:bCs/>
          <w:color w:val="002060"/>
          <w:sz w:val="16"/>
          <w:szCs w:val="16"/>
        </w:rPr>
        <w:t xml:space="preserve">(6 декабря) </w:t>
      </w:r>
      <w:r w:rsidRPr="00DE096C">
        <w:rPr>
          <w:bCs/>
          <w:color w:val="002060"/>
          <w:sz w:val="16"/>
          <w:szCs w:val="16"/>
        </w:rPr>
        <w:t>1914 г. в Ревель на 3-ю станцию были высланы первые две М-2, которые прибыли к месту назначения на следующий день. Сборка первого экземпляра выявила достаточно много дефектов конструкции, нестыковок, случаев явного и скрытого брака - сказалась спешка с выполнением заказа. Поэтому все усилия решили поначалу сосредоточить на доводке одного самолета, а во второй ввести изменения по опыту первого. Для ускорения доводки этого М-2 в Ревель приехал сам Григорович.</w:t>
      </w:r>
    </w:p>
    <w:p w14:paraId="38D19339" w14:textId="77777777" w:rsidR="00B67D7C" w:rsidRPr="00DE096C" w:rsidRDefault="00B67D7C" w:rsidP="00D45A46">
      <w:pPr>
        <w:jc w:val="both"/>
        <w:rPr>
          <w:bCs/>
          <w:color w:val="002060"/>
          <w:sz w:val="16"/>
          <w:szCs w:val="16"/>
        </w:rPr>
      </w:pPr>
      <w:r w:rsidRPr="00DE096C">
        <w:rPr>
          <w:bCs/>
          <w:color w:val="002060"/>
          <w:sz w:val="16"/>
          <w:szCs w:val="16"/>
        </w:rPr>
        <w:t>Отметим, что 20 декабря на 3-ю станцию прибыли три летающие лодки ФБА (Ргапсо-ВпТ1сЬ-Ау|'а1юп - франко-британская фирма, строившая летающие лодки с 1912 г.) из шести заказанных во Франции 12 сентября 1914 г. На тот момент это были наиболее доведенные машины, как по конструкции, так и по летным и эксплуатационным характеристикам. Сравнение двух типов аппаратов было явно не в пользу М-2, поэтому представители флота заняли более жесткую позицию в отношении приемки лодок Григоровича. К первому января 1915 г. ни одна из них еще не прошла сдаточных испытаний.</w:t>
      </w:r>
    </w:p>
    <w:p w14:paraId="5B09BBCF" w14:textId="77777777" w:rsidR="00B67D7C" w:rsidRPr="00DE096C" w:rsidRDefault="00B67D7C" w:rsidP="00D45A46">
      <w:pPr>
        <w:jc w:val="both"/>
        <w:rPr>
          <w:bCs/>
          <w:color w:val="002060"/>
          <w:sz w:val="16"/>
          <w:szCs w:val="16"/>
        </w:rPr>
      </w:pPr>
      <w:r w:rsidRPr="00DE096C">
        <w:rPr>
          <w:bCs/>
          <w:color w:val="002060"/>
          <w:sz w:val="16"/>
          <w:szCs w:val="16"/>
        </w:rPr>
        <w:t>Несмотря на трудности доводки М-2, первую такую лодку в начале февраля 1915 г. удалось испытать. Доработанные по ее опыту детали и узлы заново изготовили на заводе Щетинина, доставили в Ревель и установили на второй экземпляр. По причине изменений конструкции, он получил новое обозначение - М-3. Сдаточные испытания закончились в марте 1915 г., затем М-2 и М-3 зачислили в состав Службы связи Балтийского моря под обозначением Щ-2 и Щ-3 (12083).</w:t>
      </w:r>
    </w:p>
    <w:p w14:paraId="1F76E6B1" w14:textId="77777777" w:rsidR="00B67D7C" w:rsidRPr="00DE096C" w:rsidRDefault="00B67D7C" w:rsidP="00D45A46">
      <w:pPr>
        <w:jc w:val="both"/>
        <w:rPr>
          <w:bCs/>
          <w:color w:val="002060"/>
          <w:sz w:val="16"/>
          <w:szCs w:val="16"/>
        </w:rPr>
      </w:pPr>
      <w:r w:rsidRPr="00DE096C">
        <w:rPr>
          <w:bCs/>
          <w:color w:val="002060"/>
          <w:sz w:val="16"/>
          <w:szCs w:val="16"/>
        </w:rPr>
        <w:t>Между тем, затянувшаяся сдача этих первых летающих лодок отечественного производства негативно повлияла на отношение к ним со стороны морского ведомства. В середине января 1915 г. штаб заведующего авиацией при Службе связи Балтийского моря принял решение о заказе большой партии летающих лодок ФБА для оснащения отрядов и станций на Балтике. Впрочем, реализация этого решения поначалу сдерживалась тем обстоятельством, что производственные мощности французской фирмы до предела были загружены заказами собственного флота. Начались переговоры о лицензионном соглашении.</w:t>
      </w:r>
    </w:p>
    <w:p w14:paraId="2F7CDCC2" w14:textId="77777777" w:rsidR="00B67D7C" w:rsidRPr="00DE096C" w:rsidRDefault="00B67D7C" w:rsidP="00D45A46">
      <w:pPr>
        <w:jc w:val="both"/>
        <w:rPr>
          <w:bCs/>
          <w:color w:val="002060"/>
          <w:sz w:val="16"/>
          <w:szCs w:val="16"/>
        </w:rPr>
      </w:pPr>
      <w:r w:rsidRPr="00DE096C">
        <w:rPr>
          <w:bCs/>
          <w:color w:val="002060"/>
          <w:sz w:val="16"/>
          <w:szCs w:val="16"/>
        </w:rPr>
        <w:t>2 февраля 1915 г. было получено сообщение, что фирма ФБА готова продать комплект чертежей своей летающей лодки России за 13000 рублей и, кроме того, фирма пожелала получать по 1300 рублей за каждый построенный такой самолет на русских заводах. После подписания лицензионного соглашения от приемки двух оставшихся лодок Щетинина отказались, выплатив заводу лишь небольшую неустойку. А французские ФБА в довольно большом числе экземпляров начал строить в Петрограде завод В.А. Лебедева.</w:t>
      </w:r>
    </w:p>
    <w:p w14:paraId="642DCAC0" w14:textId="77777777" w:rsidR="00B67D7C" w:rsidRPr="00DE096C" w:rsidRDefault="00B67D7C" w:rsidP="00D45A46">
      <w:pPr>
        <w:jc w:val="both"/>
        <w:rPr>
          <w:bCs/>
          <w:color w:val="002060"/>
          <w:sz w:val="16"/>
          <w:szCs w:val="16"/>
        </w:rPr>
      </w:pPr>
      <w:r w:rsidRPr="00DE096C">
        <w:rPr>
          <w:bCs/>
          <w:color w:val="002060"/>
          <w:sz w:val="16"/>
          <w:szCs w:val="16"/>
        </w:rPr>
        <w:t>Принятые флотом М-2 (Щ-2) и М-3 (Щ-3) использовались на 3-й станции в качестве учебных машин. Летом 1915 г. почти одновременно они получили при жесткой посадке довольно серьезные повреждения конструкции и до октября находились в долговременном ремонте. В ноябре того же года их списали.</w:t>
      </w:r>
    </w:p>
    <w:p w14:paraId="4BC82481" w14:textId="77777777" w:rsidR="00B67D7C" w:rsidRPr="00DE096C" w:rsidRDefault="00B67D7C" w:rsidP="00D45A46">
      <w:pPr>
        <w:jc w:val="both"/>
        <w:rPr>
          <w:bCs/>
          <w:color w:val="002060"/>
          <w:sz w:val="16"/>
          <w:szCs w:val="16"/>
        </w:rPr>
      </w:pPr>
      <w:r w:rsidRPr="00DE096C">
        <w:rPr>
          <w:bCs/>
          <w:color w:val="002060"/>
          <w:sz w:val="16"/>
          <w:szCs w:val="16"/>
        </w:rPr>
        <w:t>На Черном море летом 1914 г. еще царила довольно благодушная обстановка. Казалось, война далеко, а время для реорганизаций еще есть. В сентябре морская авиация Черноморского флота насчитывала всего шесть боевых машин. По-ложение резко изменилось в октябре, когда после набега немецких крейсеров "Гебен" и "Бреслау" при участии части турецкого флота Турция объявила войну России. Обострение военной ситуации показало острую нехватку боеспособных самолетов.</w:t>
      </w:r>
    </w:p>
    <w:p w14:paraId="582D5343" w14:textId="77777777" w:rsidR="00B67D7C" w:rsidRPr="00DE096C" w:rsidRDefault="00B67D7C" w:rsidP="00D45A46">
      <w:pPr>
        <w:jc w:val="both"/>
        <w:rPr>
          <w:bCs/>
          <w:color w:val="002060"/>
          <w:sz w:val="16"/>
          <w:szCs w:val="16"/>
        </w:rPr>
      </w:pPr>
      <w:r w:rsidRPr="00DE096C">
        <w:rPr>
          <w:bCs/>
          <w:color w:val="002060"/>
          <w:sz w:val="16"/>
          <w:szCs w:val="16"/>
        </w:rPr>
        <w:t xml:space="preserve">В сложившихся условиях предложение Щетинина о поставке двух летающих лодок типа М-2 командованием Черноморского флота было встречено вполне благожелательно. Имеющиеся в наличии на заводе две недостроенные лодки срочно доработали по типу М-3, кроме того, внесли дополнительные изменения и дооборудовали кабину. После чего они получили обозначение М-4 и уже весной 1915 г. прибыли на Черное море. </w:t>
      </w:r>
    </w:p>
    <w:p w14:paraId="5DE0087B" w14:textId="77777777" w:rsidR="00B67D7C" w:rsidRPr="00DE096C" w:rsidRDefault="00B67D7C" w:rsidP="00D45A46">
      <w:pPr>
        <w:jc w:val="both"/>
        <w:rPr>
          <w:bCs/>
          <w:color w:val="002060"/>
          <w:sz w:val="16"/>
          <w:szCs w:val="16"/>
        </w:rPr>
      </w:pPr>
      <w:r w:rsidRPr="00DE096C">
        <w:rPr>
          <w:bCs/>
          <w:color w:val="002060"/>
          <w:sz w:val="16"/>
          <w:szCs w:val="16"/>
        </w:rPr>
        <w:t>После проведения сдаточных испытаний в апреле 1915 г. самолеты зачислили в состав авиации Черноморского флота. Летчики встретили их довольно хорошо: по сравнению с летающими лодками американского производства "Кер- тисс" (СигН$$) машины Григоровича имели лучшие мореходные, летные и эксплуатационные характеристики. Один самолет использовался в составе корабельного отряда, другой состоял в береговом отряде. Скоро оба экземпляра успешно опробовали в боевой обстановке. 12 апреля аппарат с бортовым номером "29", спущенный с борта крейсера "Император Николай I", в районе Босфора впервые атаковал турецкую канонерку. Это сообщение, наряду с другими положительными отзывами об ис-пользовании летающих лодок Щетинина-Григоровича, позволило вполне уверенно продолжать строительство следующих гидросамолетов (12083).</w:t>
      </w:r>
    </w:p>
    <w:p w14:paraId="76B23A09" w14:textId="77777777" w:rsidR="00B67D7C" w:rsidRPr="00DE096C" w:rsidRDefault="00B67D7C" w:rsidP="00D45A46">
      <w:pPr>
        <w:jc w:val="both"/>
        <w:rPr>
          <w:bCs/>
          <w:color w:val="002060"/>
          <w:sz w:val="16"/>
          <w:szCs w:val="16"/>
        </w:rPr>
      </w:pPr>
    </w:p>
    <w:p w14:paraId="2E6965EE" w14:textId="77777777" w:rsidR="00FA375E" w:rsidRPr="00DE096C" w:rsidRDefault="00FA375E" w:rsidP="00D45A46">
      <w:pPr>
        <w:jc w:val="both"/>
        <w:rPr>
          <w:bCs/>
          <w:i/>
          <w:color w:val="002060"/>
          <w:sz w:val="16"/>
          <w:szCs w:val="16"/>
        </w:rPr>
      </w:pPr>
      <w:r w:rsidRPr="00DE096C">
        <w:rPr>
          <w:bCs/>
          <w:i/>
          <w:color w:val="002060"/>
          <w:sz w:val="16"/>
          <w:szCs w:val="16"/>
        </w:rPr>
        <w:t>Армия:</w:t>
      </w:r>
    </w:p>
    <w:p w14:paraId="1C781C47" w14:textId="77777777" w:rsidR="00FA375E" w:rsidRPr="00DE096C" w:rsidRDefault="00FA375E" w:rsidP="00D45A46">
      <w:pPr>
        <w:jc w:val="both"/>
        <w:rPr>
          <w:bCs/>
          <w:i/>
          <w:color w:val="002060"/>
          <w:sz w:val="16"/>
          <w:szCs w:val="16"/>
        </w:rPr>
      </w:pPr>
    </w:p>
    <w:p w14:paraId="46E187D7" w14:textId="7766B1AC" w:rsidR="00FA375E" w:rsidRPr="00DE096C" w:rsidRDefault="00FA375E" w:rsidP="00D45A46">
      <w:pPr>
        <w:jc w:val="both"/>
        <w:rPr>
          <w:bCs/>
          <w:color w:val="002060"/>
          <w:sz w:val="16"/>
          <w:szCs w:val="16"/>
        </w:rPr>
      </w:pPr>
      <w:r w:rsidRPr="00DE096C">
        <w:rPr>
          <w:bCs/>
          <w:color w:val="002060"/>
          <w:sz w:val="16"/>
          <w:szCs w:val="16"/>
        </w:rPr>
        <w:t xml:space="preserve">23 ноября </w:t>
      </w:r>
      <w:r w:rsidR="00FB0C02" w:rsidRPr="00DE096C">
        <w:rPr>
          <w:bCs/>
          <w:color w:val="002060"/>
          <w:sz w:val="16"/>
          <w:szCs w:val="16"/>
        </w:rPr>
        <w:t xml:space="preserve">(6 декабря) </w:t>
      </w:r>
      <w:r w:rsidRPr="00DE096C">
        <w:rPr>
          <w:bCs/>
          <w:color w:val="002060"/>
          <w:sz w:val="16"/>
          <w:szCs w:val="16"/>
        </w:rPr>
        <w:t>в 1914 году в сражении на Бескидах войска русского генерала Л.Корнилова (будущего лидера белого движения) взяли в плен 1200 австрийцев (14838).</w:t>
      </w:r>
    </w:p>
    <w:p w14:paraId="552517D9" w14:textId="77777777" w:rsidR="00FA375E" w:rsidRPr="00DE096C" w:rsidRDefault="00FA375E" w:rsidP="00D45A46">
      <w:pPr>
        <w:jc w:val="both"/>
        <w:rPr>
          <w:bCs/>
          <w:color w:val="002060"/>
          <w:sz w:val="16"/>
          <w:szCs w:val="16"/>
        </w:rPr>
      </w:pPr>
    </w:p>
    <w:p w14:paraId="3CA5BBEF" w14:textId="592CF613" w:rsidR="00FB0C02" w:rsidRPr="00DE096C" w:rsidRDefault="00FB0C02" w:rsidP="00D45A46">
      <w:pPr>
        <w:jc w:val="both"/>
        <w:rPr>
          <w:bCs/>
          <w:i/>
          <w:color w:val="002060"/>
          <w:sz w:val="16"/>
          <w:szCs w:val="16"/>
        </w:rPr>
      </w:pPr>
      <w:r w:rsidRPr="00DE096C">
        <w:rPr>
          <w:bCs/>
          <w:i/>
          <w:color w:val="002060"/>
          <w:sz w:val="16"/>
          <w:szCs w:val="16"/>
        </w:rPr>
        <w:t>Авиация:</w:t>
      </w:r>
    </w:p>
    <w:p w14:paraId="32086E66" w14:textId="77777777" w:rsidR="00FB0C02" w:rsidRPr="00DE096C" w:rsidRDefault="00FB0C02" w:rsidP="00D45A46">
      <w:pPr>
        <w:jc w:val="both"/>
        <w:rPr>
          <w:bCs/>
          <w:i/>
          <w:color w:val="002060"/>
          <w:sz w:val="16"/>
          <w:szCs w:val="16"/>
        </w:rPr>
      </w:pPr>
    </w:p>
    <w:p w14:paraId="0880092A" w14:textId="0F0366D7" w:rsidR="00FB0C02" w:rsidRPr="00DE096C" w:rsidRDefault="00FB0C02" w:rsidP="00D45A46">
      <w:pPr>
        <w:jc w:val="both"/>
        <w:rPr>
          <w:bCs/>
          <w:color w:val="002060"/>
          <w:sz w:val="16"/>
          <w:szCs w:val="16"/>
        </w:rPr>
      </w:pPr>
      <w:r w:rsidRPr="00DE096C">
        <w:rPr>
          <w:bCs/>
          <w:color w:val="002060"/>
          <w:sz w:val="16"/>
          <w:szCs w:val="16"/>
          <w:lang w:bidi="en-US"/>
        </w:rPr>
        <w:t>23 ноября (6 декабря) 1914 г. военно-морские летчики-черноморцы не заметили внезапного подхода кораблей противника к Севастополю (23525).</w:t>
      </w:r>
    </w:p>
    <w:p w14:paraId="32EC3606" w14:textId="77777777" w:rsidR="00FB0C02" w:rsidRPr="00DE096C" w:rsidRDefault="00FB0C02" w:rsidP="00D45A46">
      <w:pPr>
        <w:jc w:val="both"/>
        <w:rPr>
          <w:bCs/>
          <w:color w:val="002060"/>
          <w:sz w:val="16"/>
          <w:szCs w:val="16"/>
          <w:lang w:bidi="en-US"/>
        </w:rPr>
      </w:pPr>
    </w:p>
    <w:p w14:paraId="0B10CA62" w14:textId="3D279192" w:rsidR="00B67D7C" w:rsidRPr="00DE096C" w:rsidRDefault="00B67D7C" w:rsidP="00D45A46">
      <w:pPr>
        <w:jc w:val="both"/>
        <w:rPr>
          <w:bCs/>
          <w:i/>
          <w:color w:val="002060"/>
          <w:sz w:val="16"/>
          <w:szCs w:val="16"/>
        </w:rPr>
      </w:pPr>
      <w:r w:rsidRPr="00DE096C">
        <w:rPr>
          <w:bCs/>
          <w:i/>
          <w:color w:val="002060"/>
          <w:sz w:val="16"/>
          <w:szCs w:val="16"/>
        </w:rPr>
        <w:t>Авиация и воздухоплавание Франции:</w:t>
      </w:r>
    </w:p>
    <w:p w14:paraId="1E30D052" w14:textId="77777777" w:rsidR="00B67D7C" w:rsidRPr="00DE096C" w:rsidRDefault="00B67D7C" w:rsidP="00D45A46">
      <w:pPr>
        <w:jc w:val="both"/>
        <w:rPr>
          <w:bCs/>
          <w:i/>
          <w:color w:val="002060"/>
          <w:sz w:val="16"/>
          <w:szCs w:val="16"/>
        </w:rPr>
      </w:pPr>
    </w:p>
    <w:p w14:paraId="51B48E8A" w14:textId="77777777" w:rsidR="00B67D7C" w:rsidRPr="00DE096C" w:rsidRDefault="00B67D7C" w:rsidP="00D45A46">
      <w:pPr>
        <w:jc w:val="both"/>
        <w:rPr>
          <w:bCs/>
          <w:color w:val="002060"/>
          <w:sz w:val="16"/>
          <w:szCs w:val="16"/>
        </w:rPr>
      </w:pPr>
      <w:r w:rsidRPr="00DE096C">
        <w:rPr>
          <w:bCs/>
          <w:color w:val="002060"/>
          <w:sz w:val="16"/>
          <w:szCs w:val="16"/>
        </w:rPr>
        <w:t>23 ноября (6 декабря) 1914 - металлическая стрела, уроненная с французского аэроплана, смертельно ранила сидевшего верхом немецкого генерала (11999).</w:t>
      </w:r>
    </w:p>
    <w:p w14:paraId="16CD192E" w14:textId="77777777" w:rsidR="00B67D7C" w:rsidRPr="00DE096C" w:rsidRDefault="00B67D7C" w:rsidP="00D45A46">
      <w:pPr>
        <w:jc w:val="both"/>
        <w:rPr>
          <w:bCs/>
          <w:color w:val="002060"/>
          <w:sz w:val="16"/>
          <w:szCs w:val="16"/>
        </w:rPr>
      </w:pPr>
    </w:p>
    <w:p w14:paraId="5FEB51C6" w14:textId="2D921D14" w:rsidR="00582427" w:rsidRPr="00DE096C" w:rsidRDefault="00582427" w:rsidP="00D45A46">
      <w:pPr>
        <w:jc w:val="both"/>
        <w:rPr>
          <w:bCs/>
          <w:i/>
          <w:color w:val="002060"/>
          <w:sz w:val="16"/>
          <w:szCs w:val="16"/>
        </w:rPr>
      </w:pPr>
      <w:r w:rsidRPr="00DE096C">
        <w:rPr>
          <w:bCs/>
          <w:i/>
          <w:color w:val="002060"/>
          <w:sz w:val="16"/>
          <w:szCs w:val="16"/>
        </w:rPr>
        <w:t>Самолетостроение:</w:t>
      </w:r>
    </w:p>
    <w:p w14:paraId="466DF8C2" w14:textId="77777777" w:rsidR="00582427" w:rsidRPr="00DE096C" w:rsidRDefault="00582427" w:rsidP="00D45A46">
      <w:pPr>
        <w:jc w:val="both"/>
        <w:rPr>
          <w:bCs/>
          <w:i/>
          <w:color w:val="002060"/>
          <w:sz w:val="16"/>
          <w:szCs w:val="16"/>
        </w:rPr>
      </w:pPr>
    </w:p>
    <w:p w14:paraId="03ED1255" w14:textId="77777777" w:rsidR="00582427" w:rsidRPr="00DE096C" w:rsidRDefault="00582427" w:rsidP="00D45A46">
      <w:pPr>
        <w:jc w:val="both"/>
        <w:rPr>
          <w:bCs/>
          <w:color w:val="002060"/>
          <w:sz w:val="16"/>
          <w:szCs w:val="16"/>
          <w:lang w:bidi="en-US"/>
        </w:rPr>
      </w:pPr>
      <w:r w:rsidRPr="00DE096C">
        <w:rPr>
          <w:bCs/>
          <w:color w:val="002060"/>
          <w:sz w:val="16"/>
          <w:szCs w:val="16"/>
          <w:lang w:bidi="en-US"/>
        </w:rPr>
        <w:t>7 декабря 1914 г. военный летчик Штабс Капитан Е.В. Руднев с ИМ-</w:t>
      </w:r>
      <w:r w:rsidRPr="00DE096C">
        <w:rPr>
          <w:bCs/>
          <w:color w:val="002060"/>
          <w:sz w:val="16"/>
          <w:szCs w:val="16"/>
          <w:lang w:val="en-US" w:bidi="en-US"/>
        </w:rPr>
        <w:t>I</w:t>
      </w:r>
      <w:r w:rsidRPr="00DE096C">
        <w:rPr>
          <w:bCs/>
          <w:color w:val="002060"/>
          <w:sz w:val="16"/>
          <w:szCs w:val="16"/>
          <w:lang w:bidi="en-US"/>
        </w:rPr>
        <w:t xml:space="preserve"> наконец прибыл во Львов из Белостока. Председатель Р-БВЗ Шидловский доложил своему другу, военному министру Сухомлинову, что в проблемах с первыми двумя ИМ виноваты не самолеты, а плохая подготовка к ним пилотов и наземных экипажей. Он предложил объединить все </w:t>
      </w:r>
      <w:r w:rsidRPr="00DE096C">
        <w:rPr>
          <w:bCs/>
          <w:color w:val="002060"/>
          <w:sz w:val="16"/>
          <w:szCs w:val="16"/>
          <w:lang w:val="en-US" w:bidi="en-US"/>
        </w:rPr>
        <w:t>IM</w:t>
      </w:r>
      <w:r w:rsidRPr="00DE096C">
        <w:rPr>
          <w:bCs/>
          <w:color w:val="002060"/>
          <w:sz w:val="16"/>
          <w:szCs w:val="16"/>
          <w:lang w:bidi="en-US"/>
        </w:rPr>
        <w:t xml:space="preserve"> с экипажами и наземным персоналом в одну эскадрилью летающих кораблей, а также просил восстановить его в должности офицера в отставке и назначить ее командиром. Предложение Шидловского предусматривало десять боевых кораблей и два учебных корабля (23525).</w:t>
      </w:r>
    </w:p>
    <w:p w14:paraId="38E4F0EA" w14:textId="77777777" w:rsidR="00582427" w:rsidRPr="00DE096C" w:rsidRDefault="00582427" w:rsidP="00D45A46">
      <w:pPr>
        <w:jc w:val="both"/>
        <w:rPr>
          <w:bCs/>
          <w:color w:val="002060"/>
          <w:sz w:val="16"/>
          <w:szCs w:val="16"/>
        </w:rPr>
      </w:pPr>
    </w:p>
    <w:p w14:paraId="698AFD01" w14:textId="61AD0A38" w:rsidR="00A75AF0" w:rsidRPr="00DE096C" w:rsidRDefault="00A75AF0" w:rsidP="00D45A46">
      <w:pPr>
        <w:jc w:val="both"/>
        <w:rPr>
          <w:bCs/>
          <w:i/>
          <w:color w:val="002060"/>
          <w:sz w:val="16"/>
          <w:szCs w:val="16"/>
        </w:rPr>
      </w:pPr>
      <w:r w:rsidRPr="00DE096C">
        <w:rPr>
          <w:bCs/>
          <w:i/>
          <w:color w:val="002060"/>
          <w:sz w:val="16"/>
          <w:szCs w:val="16"/>
        </w:rPr>
        <w:t>Авиация:</w:t>
      </w:r>
    </w:p>
    <w:p w14:paraId="1F492CEE" w14:textId="77777777" w:rsidR="00A75AF0" w:rsidRPr="00DE096C" w:rsidRDefault="00A75AF0" w:rsidP="00D45A46">
      <w:pPr>
        <w:jc w:val="both"/>
        <w:rPr>
          <w:bCs/>
          <w:i/>
          <w:color w:val="002060"/>
          <w:sz w:val="16"/>
          <w:szCs w:val="16"/>
        </w:rPr>
      </w:pPr>
    </w:p>
    <w:p w14:paraId="554D6433" w14:textId="77777777" w:rsidR="00A75AF0" w:rsidRPr="00DE096C" w:rsidRDefault="00A75AF0" w:rsidP="00D45A46">
      <w:pPr>
        <w:jc w:val="both"/>
        <w:rPr>
          <w:bCs/>
          <w:color w:val="002060"/>
          <w:sz w:val="16"/>
          <w:szCs w:val="16"/>
        </w:rPr>
      </w:pPr>
      <w:r w:rsidRPr="00DE096C">
        <w:rPr>
          <w:bCs/>
          <w:color w:val="002060"/>
          <w:sz w:val="16"/>
          <w:szCs w:val="16"/>
        </w:rPr>
        <w:t>24 ноября 1914 г. в ходе проведения Лодзинской операции (11 ноября - 19 декабря 1914 г.) из доклада одного из немецких летчиков германское командование получило важные сведения «об удачном прорыве армейской группы Шеффера» участка фронта в полосе обороны 6-й Сибирской стрелковой дивизии, захватив у нее в тылу н/п Брезины. В своем стремлении окружить в районе г. Лодзь (царство Польское) две русские армии, противник упустил из виду прибывшие в этот район наши свежие резервы. Воздушная разведка германских войск своевременно вскрыла активное движение железнодорожных составов на перегоне Скерневицы (Скерневице) - Варшава, но не придала ему должного значения. Именно в это время на фронт шла переброска 67-й пехотной дивизии, сыгравшей не последнюю роль в срыве планов немецкого командования. Дезориентация противника была усилена ложными сведениями, почерпнутыми из «бумаг, найденных ими у взятого в плен под Тушином русского летчика». В результате 9-я германская армия оказалась на грани полного разгрома (23405).</w:t>
      </w:r>
    </w:p>
    <w:p w14:paraId="2FA68A81" w14:textId="77777777" w:rsidR="00A75AF0" w:rsidRPr="00DE096C" w:rsidRDefault="00A75AF0" w:rsidP="00D45A46">
      <w:pPr>
        <w:jc w:val="both"/>
        <w:rPr>
          <w:bCs/>
          <w:i/>
          <w:color w:val="002060"/>
          <w:sz w:val="16"/>
          <w:szCs w:val="16"/>
        </w:rPr>
      </w:pPr>
    </w:p>
    <w:p w14:paraId="554BB368" w14:textId="4C713FB9" w:rsidR="00B67D7C" w:rsidRPr="00DE096C" w:rsidRDefault="00B67D7C" w:rsidP="00D45A46">
      <w:pPr>
        <w:jc w:val="both"/>
        <w:rPr>
          <w:bCs/>
          <w:i/>
          <w:color w:val="002060"/>
          <w:sz w:val="16"/>
          <w:szCs w:val="16"/>
        </w:rPr>
      </w:pPr>
      <w:r w:rsidRPr="00DE096C">
        <w:rPr>
          <w:bCs/>
          <w:i/>
          <w:color w:val="002060"/>
          <w:sz w:val="16"/>
          <w:szCs w:val="16"/>
        </w:rPr>
        <w:t>Морская авиация:</w:t>
      </w:r>
    </w:p>
    <w:p w14:paraId="542E7160" w14:textId="77777777" w:rsidR="00B67D7C" w:rsidRPr="00DE096C" w:rsidRDefault="00B67D7C" w:rsidP="00D45A46">
      <w:pPr>
        <w:jc w:val="both"/>
        <w:rPr>
          <w:bCs/>
          <w:i/>
          <w:color w:val="002060"/>
          <w:sz w:val="16"/>
          <w:szCs w:val="16"/>
        </w:rPr>
      </w:pPr>
    </w:p>
    <w:p w14:paraId="14C04C7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lastRenderedPageBreak/>
        <w:t>24 ноября (7 декабря) 1914 утром вблизи Севастополя был обнаружен турецкий крейсер "Бреслау". Гидросамолеты Черноморского флота совместно с крейсерами двинулись ему навстречу и вынудили поспешно уда</w:t>
      </w:r>
      <w:r w:rsidRPr="00DE096C">
        <w:rPr>
          <w:bCs/>
          <w:color w:val="002060"/>
          <w:sz w:val="16"/>
          <w:szCs w:val="16"/>
        </w:rPr>
        <w:softHyphen/>
        <w:t>литься. Во время преследования "Бреслау" летчики сбросили бомбы, одна из которых взорвалась на его палубе. Это были первые, совместные боевые действия гидроавиации с морским флотом.</w:t>
      </w:r>
    </w:p>
    <w:p w14:paraId="30431E5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(Воздушный справочник. 1915 г.} "Воздухоплаватель". 1915, № 2).</w:t>
      </w:r>
    </w:p>
    <w:p w14:paraId="19F0D684" w14:textId="77777777" w:rsidR="00B67D7C" w:rsidRPr="00DE096C" w:rsidRDefault="00B67D7C" w:rsidP="00D45A46">
      <w:pPr>
        <w:shd w:val="clear" w:color="auto" w:fill="FFFFFF"/>
        <w:jc w:val="both"/>
        <w:rPr>
          <w:bCs/>
          <w:color w:val="002060"/>
          <w:sz w:val="16"/>
          <w:szCs w:val="16"/>
        </w:rPr>
      </w:pPr>
    </w:p>
    <w:p w14:paraId="078FDA8D" w14:textId="77777777" w:rsidR="00854682" w:rsidRPr="00DE096C" w:rsidRDefault="00854682" w:rsidP="00D45A46">
      <w:pPr>
        <w:jc w:val="both"/>
        <w:rPr>
          <w:bCs/>
          <w:color w:val="002060"/>
          <w:sz w:val="16"/>
          <w:szCs w:val="16"/>
        </w:rPr>
      </w:pPr>
      <w:r w:rsidRPr="00DE096C">
        <w:rPr>
          <w:bCs/>
          <w:color w:val="002060"/>
          <w:sz w:val="16"/>
          <w:szCs w:val="16"/>
        </w:rPr>
        <w:t>24 ноября (7 декабря) 1914 г. утром вблизи Севастополя был обнаружен турецкий крейсер “Бреслау". Гидросамолеты Черноморского флота совместно с крейсерами двинулись ему навстречу и вынудили поспешно удалиться. Во время преследования "Бреслау" летчики сбросили на него бомбы, одна из которых взорвалась на его палубе. Это были первые совместные боевые действия гидроавиации с морским флотам.</w:t>
      </w:r>
    </w:p>
    <w:p w14:paraId="34C0093F" w14:textId="77777777" w:rsidR="00854682" w:rsidRPr="00DE096C" w:rsidRDefault="00854682" w:rsidP="00D45A46">
      <w:pPr>
        <w:jc w:val="both"/>
        <w:rPr>
          <w:bCs/>
          <w:color w:val="002060"/>
          <w:sz w:val="16"/>
          <w:szCs w:val="16"/>
        </w:rPr>
      </w:pPr>
      <w:r w:rsidRPr="00DE096C">
        <w:rPr>
          <w:bCs/>
          <w:color w:val="002060"/>
          <w:sz w:val="16"/>
          <w:szCs w:val="16"/>
        </w:rPr>
        <w:t>/Воздушный справочник, 1915 г.; "Воздухоплаватель", 1915 № 2/ (23320).</w:t>
      </w:r>
    </w:p>
    <w:p w14:paraId="462F8E4D" w14:textId="77777777" w:rsidR="00854682" w:rsidRPr="00DE096C" w:rsidRDefault="00854682" w:rsidP="00D45A46">
      <w:pPr>
        <w:jc w:val="both"/>
        <w:rPr>
          <w:bCs/>
          <w:color w:val="002060"/>
          <w:sz w:val="16"/>
          <w:szCs w:val="16"/>
        </w:rPr>
      </w:pPr>
    </w:p>
    <w:p w14:paraId="47623BA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24 ноября (7 декабря) 1914 г. во время воздушной разведки с гидросамолета «Кертис» лейтенант В.В.Угроф обна</w:t>
      </w:r>
      <w:r w:rsidRPr="00DE096C">
        <w:rPr>
          <w:bCs/>
          <w:color w:val="002060"/>
          <w:sz w:val="16"/>
          <w:szCs w:val="16"/>
        </w:rPr>
        <w:softHyphen/>
        <w:t>ружил легкий крейсер «Бреслау», который стремил</w:t>
      </w:r>
      <w:r w:rsidRPr="00DE096C">
        <w:rPr>
          <w:bCs/>
          <w:color w:val="002060"/>
          <w:sz w:val="16"/>
          <w:szCs w:val="16"/>
        </w:rPr>
        <w:softHyphen/>
        <w:t>ся прорваться через минные заграждения в Севасто</w:t>
      </w:r>
      <w:r w:rsidRPr="00DE096C">
        <w:rPr>
          <w:bCs/>
          <w:color w:val="002060"/>
          <w:sz w:val="16"/>
          <w:szCs w:val="16"/>
        </w:rPr>
        <w:softHyphen/>
        <w:t>польскую бухту. В воздух по тревоге поднялись семь гидросамолетов. Атаковав вражеский крейсер, они вынудили его отказаться от выполнения задания гер</w:t>
      </w:r>
      <w:r w:rsidRPr="00DE096C">
        <w:rPr>
          <w:bCs/>
          <w:color w:val="002060"/>
          <w:sz w:val="16"/>
          <w:szCs w:val="16"/>
        </w:rPr>
        <w:softHyphen/>
        <w:t>манского командования — обстрела Севастополя. Так состоялось боевое крещение Черноморской авиации. В ходе войны, в дополнение к уже имевшимся авианесущим кораблям, под перевозку и запуск гид</w:t>
      </w:r>
      <w:r w:rsidRPr="00DE096C">
        <w:rPr>
          <w:bCs/>
          <w:color w:val="002060"/>
          <w:sz w:val="16"/>
          <w:szCs w:val="16"/>
        </w:rPr>
        <w:softHyphen/>
        <w:t>росамолетов были оборудованы морские транспор</w:t>
      </w:r>
      <w:r w:rsidRPr="00DE096C">
        <w:rPr>
          <w:bCs/>
          <w:color w:val="002060"/>
          <w:sz w:val="16"/>
          <w:szCs w:val="16"/>
        </w:rPr>
        <w:softHyphen/>
        <w:t>ты «Румыния», «Дакия», «Король Карл» (553).</w:t>
      </w:r>
    </w:p>
    <w:p w14:paraId="1E983EC1" w14:textId="77777777" w:rsidR="00B67D7C" w:rsidRPr="00DE096C" w:rsidRDefault="00B67D7C" w:rsidP="00D45A46">
      <w:pPr>
        <w:shd w:val="clear" w:color="auto" w:fill="FFFFFF"/>
        <w:jc w:val="both"/>
        <w:rPr>
          <w:bCs/>
          <w:color w:val="002060"/>
          <w:sz w:val="16"/>
          <w:szCs w:val="16"/>
        </w:rPr>
      </w:pPr>
    </w:p>
    <w:p w14:paraId="51AC42F6" w14:textId="4AA11E2B" w:rsidR="00B67D7C" w:rsidRPr="00DE096C" w:rsidRDefault="00B67D7C" w:rsidP="00D45A46">
      <w:pPr>
        <w:shd w:val="clear" w:color="auto" w:fill="FFFFFF"/>
        <w:jc w:val="both"/>
        <w:rPr>
          <w:bCs/>
          <w:color w:val="002060"/>
          <w:sz w:val="16"/>
          <w:szCs w:val="16"/>
        </w:rPr>
      </w:pPr>
      <w:r w:rsidRPr="00DE096C">
        <w:rPr>
          <w:bCs/>
          <w:color w:val="002060"/>
          <w:sz w:val="16"/>
          <w:szCs w:val="16"/>
        </w:rPr>
        <w:t>24 ноября (7 декабря) 1914 года в 10 часов 10 минут из штаба командующего Черноморским фло</w:t>
      </w:r>
      <w:r w:rsidRPr="00DE096C">
        <w:rPr>
          <w:bCs/>
          <w:color w:val="002060"/>
          <w:sz w:val="16"/>
          <w:szCs w:val="16"/>
        </w:rPr>
        <w:softHyphen/>
        <w:t>том было получено приказание произвести разведку к Фиоленту. В воздух на аппарате № 18 с наблюдателем моторис</w:t>
      </w:r>
      <w:r w:rsidRPr="00DE096C">
        <w:rPr>
          <w:bCs/>
          <w:color w:val="002060"/>
          <w:sz w:val="16"/>
          <w:szCs w:val="16"/>
        </w:rPr>
        <w:softHyphen/>
        <w:t>том Бабиным-Волынским поднялся лейтенант Утгоф. К югу от Херсонеса, милях в 25, они увидели какое-то судно. Встреч</w:t>
      </w:r>
      <w:r w:rsidRPr="00DE096C">
        <w:rPr>
          <w:bCs/>
          <w:color w:val="002060"/>
          <w:sz w:val="16"/>
          <w:szCs w:val="16"/>
        </w:rPr>
        <w:softHyphen/>
        <w:t>ный ветер и сильная качка затрудняли полет; только через полчаса убедились, что видят четырехтрубый корабль, идущий в открытое море [5].</w:t>
      </w:r>
    </w:p>
    <w:p w14:paraId="5891B0D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Приводнившись на траверзе Балаклавской бухты возле до</w:t>
      </w:r>
      <w:r w:rsidRPr="00DE096C">
        <w:rPr>
          <w:bCs/>
          <w:color w:val="002060"/>
          <w:sz w:val="16"/>
          <w:szCs w:val="16"/>
        </w:rPr>
        <w:softHyphen/>
        <w:t>зорного миноносца «Подводник», пилот через командира пе</w:t>
      </w:r>
      <w:r w:rsidRPr="00DE096C">
        <w:rPr>
          <w:bCs/>
          <w:color w:val="002060"/>
          <w:sz w:val="16"/>
          <w:szCs w:val="16"/>
        </w:rPr>
        <w:softHyphen/>
        <w:t>редал в штаб флота радиограмму такого содержания: «Вижу «Бреслау» в 40 милях на траверзе Балаклавы, идущий пол</w:t>
      </w:r>
      <w:r w:rsidRPr="00DE096C">
        <w:rPr>
          <w:bCs/>
          <w:color w:val="002060"/>
          <w:sz w:val="16"/>
          <w:szCs w:val="16"/>
        </w:rPr>
        <w:softHyphen/>
        <w:t>ным ходом по курсу зюйд-вест». Затем аппарат сел на воду у Херсонесского маяка возле остановившегося крейсера «Память «Меркурия». Его командиру было сообщено о возможном ми</w:t>
      </w:r>
      <w:r w:rsidRPr="00DE096C">
        <w:rPr>
          <w:bCs/>
          <w:color w:val="002060"/>
          <w:sz w:val="16"/>
          <w:szCs w:val="16"/>
        </w:rPr>
        <w:softHyphen/>
        <w:t>нировании немцами фарватера. На авиастанцию летчики воз</w:t>
      </w:r>
      <w:r w:rsidRPr="00DE096C">
        <w:rPr>
          <w:bCs/>
          <w:color w:val="002060"/>
          <w:sz w:val="16"/>
          <w:szCs w:val="16"/>
        </w:rPr>
        <w:softHyphen/>
        <w:t>вратились в 11 часов 33 минуты.</w:t>
      </w:r>
    </w:p>
    <w:p w14:paraId="6839B09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Не удовлетворившись достигнутым успехом, Виктор Утгоф пересел на аппарат № 16 и с мотористом Осколковым через 12 минут полетел к Херсонесу, а затем к Сарычу, имея в бор</w:t>
      </w:r>
      <w:r w:rsidRPr="00DE096C">
        <w:rPr>
          <w:bCs/>
          <w:color w:val="002060"/>
          <w:sz w:val="16"/>
          <w:szCs w:val="16"/>
        </w:rPr>
        <w:softHyphen/>
        <w:t>товой подвеске сорокафунтовую фугасную бомбу. Однако вра</w:t>
      </w:r>
      <w:r w:rsidRPr="00DE096C">
        <w:rPr>
          <w:bCs/>
          <w:color w:val="002060"/>
          <w:sz w:val="16"/>
          <w:szCs w:val="16"/>
        </w:rPr>
        <w:softHyphen/>
        <w:t>жеский крейсер обнаружить с 1000-метровой высоты не уда</w:t>
      </w:r>
      <w:r w:rsidRPr="00DE096C">
        <w:rPr>
          <w:bCs/>
          <w:color w:val="002060"/>
          <w:sz w:val="16"/>
          <w:szCs w:val="16"/>
        </w:rPr>
        <w:softHyphen/>
        <w:t>лось. Ранее того, в 10.30, с той же целью поднялись в воздух мичман Борис Миклашевский и унтер-офицер Ефим Аристов. Из-за сильной качки от порывов ветра у мыса Айя пилот сни</w:t>
      </w:r>
      <w:r w:rsidRPr="00DE096C">
        <w:rPr>
          <w:bCs/>
          <w:color w:val="002060"/>
          <w:sz w:val="16"/>
          <w:szCs w:val="16"/>
        </w:rPr>
        <w:softHyphen/>
        <w:t>зился до 750 метров, чтобы лететь под облаками. В 11.05 впе</w:t>
      </w:r>
      <w:r w:rsidRPr="00DE096C">
        <w:rPr>
          <w:bCs/>
          <w:color w:val="002060"/>
          <w:sz w:val="16"/>
          <w:szCs w:val="16"/>
        </w:rPr>
        <w:softHyphen/>
        <w:t>реди по курсу наблюдатель обнаружил цель.</w:t>
      </w:r>
    </w:p>
    <w:p w14:paraId="0837BF0A" w14:textId="72030EBD" w:rsidR="00B67D7C" w:rsidRPr="00DE096C" w:rsidRDefault="00B67D7C" w:rsidP="00D45A46">
      <w:pPr>
        <w:shd w:val="clear" w:color="auto" w:fill="FFFFFF"/>
        <w:jc w:val="both"/>
        <w:rPr>
          <w:bCs/>
          <w:color w:val="002060"/>
          <w:sz w:val="16"/>
          <w:szCs w:val="16"/>
        </w:rPr>
      </w:pPr>
      <w:r w:rsidRPr="00DE096C">
        <w:rPr>
          <w:bCs/>
          <w:color w:val="002060"/>
          <w:sz w:val="16"/>
          <w:szCs w:val="16"/>
        </w:rPr>
        <w:t>Через 10 минут «Бреслау» повернул на вест и увеличил ход. Пилот начал его догонять с кормы. В 11.33 противник от</w:t>
      </w:r>
      <w:r w:rsidRPr="00DE096C">
        <w:rPr>
          <w:bCs/>
          <w:color w:val="002060"/>
          <w:sz w:val="16"/>
          <w:szCs w:val="16"/>
        </w:rPr>
        <w:softHyphen/>
        <w:t>крыл зенитный огонь. Через пару минут, пролетая над целью, по условному сигналу Аристова, Миклашевский произвел отцепку бомбы, взорвавшуюся, к огорчению, в кильватерной струе. Крейсер изменил курс и скрылся в полосе тумана.</w:t>
      </w:r>
    </w:p>
    <w:p w14:paraId="5DA8889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Несколько позже, на удалении порядка 75 миль западней мыса Айя, противника обнаружили лейтенант Качинский и унтер-офицер Яковенко. Причем они видели не только «Брес-лау», но и «Гебен», находившийся вдалеке. На обратном пути, приводнившись у крейсера «Память «Меркурия», пилот доло</w:t>
      </w:r>
      <w:r w:rsidRPr="00DE096C">
        <w:rPr>
          <w:bCs/>
          <w:color w:val="002060"/>
          <w:sz w:val="16"/>
          <w:szCs w:val="16"/>
        </w:rPr>
        <w:softHyphen/>
        <w:t>жил об этом командиру, передавшему радиограмму в штаб.</w:t>
      </w:r>
    </w:p>
    <w:p w14:paraId="258E192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Не удалось сбросить бомбу на «Бреслау» и лейтенанту Раго</w:t>
      </w:r>
      <w:r w:rsidRPr="00DE096C">
        <w:rPr>
          <w:bCs/>
          <w:color w:val="002060"/>
          <w:sz w:val="16"/>
          <w:szCs w:val="16"/>
        </w:rPr>
        <w:softHyphen/>
        <w:t>зину, вылетевшему на поиск цели вместе с унтер-офицером По</w:t>
      </w:r>
      <w:r w:rsidRPr="00DE096C">
        <w:rPr>
          <w:bCs/>
          <w:color w:val="002060"/>
          <w:sz w:val="16"/>
          <w:szCs w:val="16"/>
        </w:rPr>
        <w:softHyphen/>
        <w:t>чинком в 11.00. До поворота на обратный курс они обнаружи</w:t>
      </w:r>
      <w:r w:rsidRPr="00DE096C">
        <w:rPr>
          <w:bCs/>
          <w:color w:val="002060"/>
          <w:sz w:val="16"/>
          <w:szCs w:val="16"/>
        </w:rPr>
        <w:softHyphen/>
        <w:t>ли врага и при сближении были обстреляны из пушек. Аппарат испытывал жесткую тряску от взрывов или ветра. Мотор стал делать «пропуски» в работе. Оказавшись в рискованном поло</w:t>
      </w:r>
      <w:r w:rsidRPr="00DE096C">
        <w:rPr>
          <w:bCs/>
          <w:color w:val="002060"/>
          <w:sz w:val="16"/>
          <w:szCs w:val="16"/>
        </w:rPr>
        <w:softHyphen/>
        <w:t>жении, летчики были вынуждены прекратить атаку. После по</w:t>
      </w:r>
      <w:r w:rsidRPr="00DE096C">
        <w:rPr>
          <w:bCs/>
          <w:color w:val="002060"/>
          <w:sz w:val="16"/>
          <w:szCs w:val="16"/>
        </w:rPr>
        <w:softHyphen/>
        <w:t>садки на воду у Херсонесского маяка и доклада о произошед</w:t>
      </w:r>
      <w:r w:rsidRPr="00DE096C">
        <w:rPr>
          <w:bCs/>
          <w:color w:val="002060"/>
          <w:sz w:val="16"/>
          <w:szCs w:val="16"/>
        </w:rPr>
        <w:softHyphen/>
        <w:t>шем, миноносец отбуксировал аппарат в базу. В тот пасмурный день, переполненный боевым азартом, лейтенанты Виктор Ут-гоф, Борис Лучанинов и мичман Раймонд Эссен совершали вы</w:t>
      </w:r>
      <w:r w:rsidRPr="00DE096C">
        <w:rPr>
          <w:bCs/>
          <w:color w:val="002060"/>
          <w:sz w:val="16"/>
          <w:szCs w:val="16"/>
        </w:rPr>
        <w:softHyphen/>
        <w:t>леты дважды, но применить бомбовое оружие не смогли. Впро</w:t>
      </w:r>
      <w:r w:rsidRPr="00DE096C">
        <w:rPr>
          <w:bCs/>
          <w:color w:val="002060"/>
          <w:sz w:val="16"/>
          <w:szCs w:val="16"/>
        </w:rPr>
        <w:softHyphen/>
        <w:t>чем примитивные «метательные приборы» попадания в цель вовсе не гарантировали.</w:t>
      </w:r>
    </w:p>
    <w:p w14:paraId="5766A08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Анализируя все произошедшее, начальники и подчиненные объективно признавали, что при наличии лучше вооруженных гидроаэропланов и более подготовленных летных экипажей, гер</w:t>
      </w:r>
      <w:r w:rsidRPr="00DE096C">
        <w:rPr>
          <w:bCs/>
          <w:color w:val="002060"/>
          <w:sz w:val="16"/>
          <w:szCs w:val="16"/>
        </w:rPr>
        <w:softHyphen/>
        <w:t>мано-турецкий флот мог лишиться быстроходного крейсера, рыс</w:t>
      </w:r>
      <w:r w:rsidRPr="00DE096C">
        <w:rPr>
          <w:bCs/>
          <w:color w:val="002060"/>
          <w:sz w:val="16"/>
          <w:szCs w:val="16"/>
        </w:rPr>
        <w:softHyphen/>
        <w:t>кающего по всему морю. Для перехвата и уничтожения его кораблями эскадры было необходимо в ее составе иметь хотя бы одно авианесущее судно с несколькими летательными аппа</w:t>
      </w:r>
      <w:r w:rsidRPr="00DE096C">
        <w:rPr>
          <w:bCs/>
          <w:color w:val="002060"/>
          <w:sz w:val="16"/>
          <w:szCs w:val="16"/>
        </w:rPr>
        <w:softHyphen/>
        <w:t>ратами (11283).</w:t>
      </w:r>
    </w:p>
    <w:p w14:paraId="1729A5A7" w14:textId="77777777" w:rsidR="00B67D7C" w:rsidRPr="00DE096C" w:rsidRDefault="00B67D7C" w:rsidP="00D45A46">
      <w:pPr>
        <w:shd w:val="clear" w:color="auto" w:fill="FFFFFF"/>
        <w:jc w:val="both"/>
        <w:rPr>
          <w:bCs/>
          <w:color w:val="002060"/>
          <w:sz w:val="16"/>
          <w:szCs w:val="16"/>
        </w:rPr>
      </w:pPr>
    </w:p>
    <w:p w14:paraId="33C4B124" w14:textId="07296825" w:rsidR="00B67D7C" w:rsidRPr="00DE096C" w:rsidRDefault="00B67D7C" w:rsidP="00D45A46">
      <w:pPr>
        <w:jc w:val="both"/>
        <w:rPr>
          <w:bCs/>
          <w:color w:val="002060"/>
          <w:sz w:val="16"/>
          <w:szCs w:val="16"/>
        </w:rPr>
      </w:pPr>
      <w:r w:rsidRPr="00DE096C">
        <w:rPr>
          <w:bCs/>
          <w:color w:val="002060"/>
          <w:sz w:val="16"/>
          <w:szCs w:val="16"/>
        </w:rPr>
        <w:t xml:space="preserve">24 ноября (7 декабря) </w:t>
      </w:r>
      <w:r w:rsidR="00861820" w:rsidRPr="00DE096C">
        <w:rPr>
          <w:bCs/>
          <w:color w:val="002060"/>
          <w:sz w:val="16"/>
          <w:szCs w:val="16"/>
        </w:rPr>
        <w:t xml:space="preserve">1914 г. </w:t>
      </w:r>
      <w:r w:rsidRPr="00DE096C">
        <w:rPr>
          <w:bCs/>
          <w:color w:val="002060"/>
          <w:sz w:val="16"/>
          <w:szCs w:val="16"/>
        </w:rPr>
        <w:t>лейтенанту Утгофу удалось обнаружить крейсер "Бреслау", который чувствовал себя в Чёрном море достаточно комфортно. Лейтенант Б. Миклашевский также вышел на крейсер и, несмотря на обстрел, сбросил на него бомбу, взорвавшуюся за кормой. Впоследствии лейтенант Б. Качинс- кий обнаружили "Гебен" и "Брес- лау" в 75 милях южнее м. Айя. На слежение выполнено восемь самолёто-вылетов.</w:t>
      </w:r>
    </w:p>
    <w:p w14:paraId="1BCC71C5" w14:textId="77777777" w:rsidR="00B67D7C" w:rsidRPr="00DE096C" w:rsidRDefault="00B67D7C" w:rsidP="00D45A46">
      <w:pPr>
        <w:jc w:val="both"/>
        <w:rPr>
          <w:bCs/>
          <w:color w:val="002060"/>
          <w:sz w:val="16"/>
          <w:szCs w:val="16"/>
        </w:rPr>
      </w:pPr>
      <w:r w:rsidRPr="00DE096C">
        <w:rPr>
          <w:bCs/>
          <w:color w:val="002060"/>
          <w:sz w:val="16"/>
          <w:szCs w:val="16"/>
        </w:rPr>
        <w:t>По результатам действий авиации в первые дни войны трудно сделать вывод, что они сильно напугали противника, но получению данных о нём, безусловно, способствовали. Ввиду отсутствия радиосредств на самолётах пришлось разработать систему передачи информации с самолёта кораблям с помощью маневра и цветных дымков. Одновременно приняли меры к ускорению отработки авиационного оборудования на авиатранспортах, поскольку на крейсере "Кагул" оно оказалось не совсем удачным.</w:t>
      </w:r>
    </w:p>
    <w:p w14:paraId="0D35552E" w14:textId="637E83B6" w:rsidR="00B67D7C" w:rsidRPr="00DE096C" w:rsidRDefault="00B67D7C" w:rsidP="00D45A46">
      <w:pPr>
        <w:jc w:val="both"/>
        <w:rPr>
          <w:bCs/>
          <w:color w:val="002060"/>
          <w:sz w:val="16"/>
          <w:szCs w:val="16"/>
        </w:rPr>
      </w:pPr>
      <w:r w:rsidRPr="00DE096C">
        <w:rPr>
          <w:bCs/>
          <w:color w:val="002060"/>
          <w:sz w:val="16"/>
          <w:szCs w:val="16"/>
        </w:rPr>
        <w:t>4 декабря командующий флотом доложил морскому министру: "Установка авиационного оборудования на вспомогательный крейсер "Император Николай I" завершена, а работы на таком же судне "Император Александр I" будут закончены в начале следующего года". Предложение снять средства со строительства Сухумской и Батумской станций на переоборудование транспорта "Петроград" Морской генеральный штаб не одобрил (11930).</w:t>
      </w:r>
    </w:p>
    <w:p w14:paraId="52118B8B" w14:textId="77777777" w:rsidR="00B67D7C" w:rsidRPr="00DE096C" w:rsidRDefault="00B67D7C" w:rsidP="00D45A46">
      <w:pPr>
        <w:jc w:val="both"/>
        <w:rPr>
          <w:bCs/>
          <w:color w:val="002060"/>
          <w:sz w:val="16"/>
          <w:szCs w:val="16"/>
        </w:rPr>
      </w:pPr>
    </w:p>
    <w:p w14:paraId="0623386E"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w:t>
      </w:r>
    </w:p>
    <w:p w14:paraId="10387AC7" w14:textId="77777777" w:rsidR="00B67D7C" w:rsidRPr="00DE096C" w:rsidRDefault="00B67D7C" w:rsidP="00D45A46">
      <w:pPr>
        <w:shd w:val="clear" w:color="auto" w:fill="FFFFFF"/>
        <w:jc w:val="both"/>
        <w:rPr>
          <w:bCs/>
          <w:i/>
          <w:color w:val="002060"/>
          <w:sz w:val="16"/>
          <w:szCs w:val="16"/>
        </w:rPr>
      </w:pPr>
    </w:p>
    <w:p w14:paraId="61CADB37" w14:textId="39E70288" w:rsidR="00B67D7C" w:rsidRPr="00DE096C" w:rsidRDefault="00B67D7C" w:rsidP="00D45A46">
      <w:pPr>
        <w:jc w:val="both"/>
        <w:rPr>
          <w:bCs/>
          <w:color w:val="002060"/>
          <w:sz w:val="16"/>
          <w:szCs w:val="16"/>
        </w:rPr>
      </w:pPr>
      <w:r w:rsidRPr="00DE096C">
        <w:rPr>
          <w:bCs/>
          <w:color w:val="002060"/>
          <w:sz w:val="16"/>
          <w:szCs w:val="16"/>
        </w:rPr>
        <w:t xml:space="preserve">25 ноября (8 декабря) </w:t>
      </w:r>
      <w:r w:rsidR="003E040B" w:rsidRPr="00DE096C">
        <w:rPr>
          <w:bCs/>
          <w:color w:val="002060"/>
          <w:sz w:val="16"/>
          <w:szCs w:val="16"/>
        </w:rPr>
        <w:t xml:space="preserve">1914 г. </w:t>
      </w:r>
      <w:r w:rsidR="00861820" w:rsidRPr="00DE096C">
        <w:rPr>
          <w:bCs/>
          <w:color w:val="002060"/>
          <w:sz w:val="16"/>
          <w:szCs w:val="16"/>
        </w:rPr>
        <w:t>в</w:t>
      </w:r>
      <w:r w:rsidRPr="00DE096C">
        <w:rPr>
          <w:bCs/>
          <w:color w:val="002060"/>
          <w:sz w:val="16"/>
          <w:szCs w:val="16"/>
        </w:rPr>
        <w:t xml:space="preserve"> России из созданных И.И. Сикорским больших самолетов "Илья Муромец" ("ИМ") под Петербургом образована первая в мире эскадра тяжелых многомоторных аэропланов, которая прежде всего предназначалась для дальней разведки. Благодаря энтузиазму конструктора и его соратников к концу ноября удалось создать новый воздушный корабль, который летал быстрее и поднимался значительно выше. Однако, несмотря на столь значительную грузоподъемность, предназначался прежде всего для дальней разведки.</w:t>
      </w:r>
    </w:p>
    <w:p w14:paraId="3E48AC4A" w14:textId="77777777" w:rsidR="00B67D7C" w:rsidRPr="00DE096C" w:rsidRDefault="00B67D7C" w:rsidP="00D45A46">
      <w:pPr>
        <w:jc w:val="both"/>
        <w:rPr>
          <w:bCs/>
          <w:color w:val="002060"/>
          <w:sz w:val="16"/>
          <w:szCs w:val="16"/>
        </w:rPr>
      </w:pPr>
      <w:r w:rsidRPr="00DE096C">
        <w:rPr>
          <w:bCs/>
          <w:color w:val="002060"/>
          <w:sz w:val="16"/>
          <w:szCs w:val="16"/>
        </w:rPr>
        <w:t>Очень характерный факт. От авиации ждали прежде всего стратегической разведки, не предполагая за ней никакой другой действенной помощи. В Германии авиационные силы и вообще были поначалу размещены в списке между инженерными войсками и войсками связи. Потому что авиация поначалу рассматривалась лишь как вспомогательное средство не только для работы пехоты и штабов, но и для работы артиллерии, на которую возлагалась основная ударная сила.</w:t>
      </w:r>
    </w:p>
    <w:p w14:paraId="05066E86" w14:textId="77777777" w:rsidR="00B67D7C" w:rsidRPr="00DE096C" w:rsidRDefault="00B67D7C" w:rsidP="00D45A46">
      <w:pPr>
        <w:jc w:val="both"/>
        <w:rPr>
          <w:bCs/>
          <w:color w:val="002060"/>
          <w:sz w:val="16"/>
          <w:szCs w:val="16"/>
        </w:rPr>
      </w:pPr>
      <w:r w:rsidRPr="00DE096C">
        <w:rPr>
          <w:bCs/>
          <w:color w:val="002060"/>
          <w:sz w:val="16"/>
          <w:szCs w:val="16"/>
        </w:rPr>
        <w:t>М. В. Шидловский, председатель Русско-Балтийского вагонного завода (РБВЗ) был одним из наиболее важных защитников Сикорского. Опираясь на перелет Сикорского из Санкт-Петербурга в Москву, Шидловский доказывал в своем отчете, что Муромец - мощная воздушная машина, и предупреждал, что любой отказ от использования этих воздушных судов - преступен.</w:t>
      </w:r>
    </w:p>
    <w:p w14:paraId="62CAC3C6" w14:textId="77777777" w:rsidR="00B67D7C" w:rsidRPr="00DE096C" w:rsidRDefault="00B67D7C" w:rsidP="00D45A46">
      <w:pPr>
        <w:jc w:val="both"/>
        <w:rPr>
          <w:bCs/>
          <w:color w:val="002060"/>
          <w:sz w:val="16"/>
          <w:szCs w:val="16"/>
        </w:rPr>
      </w:pPr>
      <w:r w:rsidRPr="00DE096C">
        <w:rPr>
          <w:bCs/>
          <w:color w:val="002060"/>
          <w:sz w:val="16"/>
          <w:szCs w:val="16"/>
        </w:rPr>
        <w:t>Ставка согласилась с позицией Шидловского и предложила ему принять лично командование новой эскадрильей Муромцев, которая должна была быть названа Эскадрой воздушных кораблей (ЭВК). Ставка назначила Шидловского командиром ЭВК в декабре 1914 г. Как высокопоставленный чиновник и государственный советник Шидловский был произведен в генерал-майоры российской армии. Для должности своего помощника Шидловский выбрал профессора Николаевской военно-инженерной академии полковника В.Ф. Найденова, который ранее служил в военной авиации и был хорошо известен в кругах аэронавтов.</w:t>
      </w:r>
    </w:p>
    <w:p w14:paraId="17C56C82" w14:textId="77777777" w:rsidR="00B67D7C" w:rsidRPr="00DE096C" w:rsidRDefault="00B67D7C" w:rsidP="00D45A46">
      <w:pPr>
        <w:jc w:val="both"/>
        <w:rPr>
          <w:bCs/>
          <w:color w:val="002060"/>
          <w:sz w:val="16"/>
          <w:szCs w:val="16"/>
        </w:rPr>
      </w:pPr>
      <w:r w:rsidRPr="00DE096C">
        <w:rPr>
          <w:bCs/>
          <w:color w:val="002060"/>
          <w:sz w:val="16"/>
          <w:szCs w:val="16"/>
        </w:rPr>
        <w:t>Однако значение этого дня для русской авиации не исчерпывается одним только этим событием.</w:t>
      </w:r>
    </w:p>
    <w:p w14:paraId="0BE06815" w14:textId="77777777" w:rsidR="00B67D7C" w:rsidRPr="00DE096C" w:rsidRDefault="00B67D7C" w:rsidP="00D45A46">
      <w:pPr>
        <w:jc w:val="both"/>
        <w:rPr>
          <w:bCs/>
          <w:color w:val="002060"/>
          <w:sz w:val="16"/>
          <w:szCs w:val="16"/>
        </w:rPr>
      </w:pPr>
      <w:r w:rsidRPr="00DE096C">
        <w:rPr>
          <w:bCs/>
          <w:color w:val="002060"/>
          <w:sz w:val="16"/>
          <w:szCs w:val="16"/>
        </w:rPr>
        <w:t>Одновременно с этим русский царь Николай II утвердил решение военного совета о разделении авиации на тяжелую, подчиненную штабу Верховного главнокомандующего, и легкую, используемую в интересах армий и корпусов действующих армий.</w:t>
      </w:r>
    </w:p>
    <w:p w14:paraId="3B05B197" w14:textId="77777777" w:rsidR="00B67D7C" w:rsidRPr="00DE096C" w:rsidRDefault="00B67D7C" w:rsidP="00D45A46">
      <w:pPr>
        <w:jc w:val="both"/>
        <w:rPr>
          <w:bCs/>
          <w:color w:val="002060"/>
          <w:sz w:val="16"/>
          <w:szCs w:val="16"/>
        </w:rPr>
      </w:pPr>
      <w:r w:rsidRPr="00DE096C">
        <w:rPr>
          <w:bCs/>
          <w:color w:val="002060"/>
          <w:sz w:val="16"/>
          <w:szCs w:val="16"/>
        </w:rPr>
        <w:t>Более того, в этот день по приказу главнокомандующего 6-й русской армией за № 90 была создана одна из первых систем защиты от воздушного нападения вокруг Петрограда. Для этой цели использовались батареи зенитной артиллерии, сеть постов воздушного наблюдения и авиационные экипажи, предназначенные специально для борьбы с летательными аппаратами противника. Руководителем воздушной обороны Петрограда и императорской резиденции в Царском Селе стал генерал-майор, Г.В. Бурман (11999).</w:t>
      </w:r>
    </w:p>
    <w:p w14:paraId="647ABE07" w14:textId="77777777" w:rsidR="00B67D7C" w:rsidRPr="00DE096C" w:rsidRDefault="00B67D7C" w:rsidP="00D45A46">
      <w:pPr>
        <w:jc w:val="both"/>
        <w:rPr>
          <w:bCs/>
          <w:color w:val="002060"/>
          <w:sz w:val="16"/>
          <w:szCs w:val="16"/>
        </w:rPr>
      </w:pPr>
    </w:p>
    <w:p w14:paraId="53D8FA05" w14:textId="141DA3CE" w:rsidR="00B67D7C" w:rsidRPr="00DE096C" w:rsidRDefault="00B67D7C" w:rsidP="00D45A46">
      <w:pPr>
        <w:jc w:val="both"/>
        <w:rPr>
          <w:bCs/>
          <w:color w:val="002060"/>
          <w:sz w:val="16"/>
          <w:szCs w:val="16"/>
        </w:rPr>
      </w:pPr>
      <w:r w:rsidRPr="00DE096C">
        <w:rPr>
          <w:bCs/>
          <w:color w:val="002060"/>
          <w:sz w:val="16"/>
          <w:szCs w:val="16"/>
        </w:rPr>
        <w:t>25 ноября</w:t>
      </w:r>
      <w:r w:rsidR="007E41FC" w:rsidRPr="00DE096C">
        <w:rPr>
          <w:bCs/>
          <w:color w:val="002060"/>
          <w:sz w:val="16"/>
          <w:szCs w:val="16"/>
        </w:rPr>
        <w:t xml:space="preserve"> (8 </w:t>
      </w:r>
      <w:r w:rsidR="003E040B" w:rsidRPr="00DE096C">
        <w:rPr>
          <w:bCs/>
          <w:color w:val="002060"/>
          <w:sz w:val="16"/>
          <w:szCs w:val="16"/>
        </w:rPr>
        <w:t>декабря</w:t>
      </w:r>
      <w:r w:rsidR="007E41FC" w:rsidRPr="00DE096C">
        <w:rPr>
          <w:bCs/>
          <w:color w:val="002060"/>
          <w:sz w:val="16"/>
          <w:szCs w:val="16"/>
        </w:rPr>
        <w:t>) 1914 г</w:t>
      </w:r>
      <w:r w:rsidRPr="00DE096C">
        <w:rPr>
          <w:bCs/>
          <w:color w:val="002060"/>
          <w:sz w:val="16"/>
          <w:szCs w:val="16"/>
        </w:rPr>
        <w:t>, Руднев за 5 часов перегнал самолёт из Белостока во Львов. Таким образом, за многомесячное нахождение на фронте "доблестный" Руднев смог совершить лишь большой перелёт по собственным тылам, не выполнив ни одной разведки. Когда Великий князь Александр Михайлович предложил офицерам, летавшим на "Муромцах" перевестись в "легкую" авиацию, поскольку на "Муромцах" "ни чинов, ни наград не получить", Руднев оказался единственным, кто на это предложение откликнулся. Последний и был переведён в лёгкую авиацию.</w:t>
      </w:r>
    </w:p>
    <w:p w14:paraId="45FC65BC" w14:textId="77777777" w:rsidR="00B67D7C" w:rsidRPr="00DE096C" w:rsidRDefault="00B67D7C" w:rsidP="00D45A46">
      <w:pPr>
        <w:jc w:val="both"/>
        <w:rPr>
          <w:bCs/>
          <w:color w:val="002060"/>
          <w:sz w:val="16"/>
          <w:szCs w:val="16"/>
        </w:rPr>
      </w:pPr>
      <w:r w:rsidRPr="00DE096C">
        <w:rPr>
          <w:bCs/>
          <w:color w:val="002060"/>
          <w:sz w:val="16"/>
          <w:szCs w:val="16"/>
        </w:rPr>
        <w:t>Злополучный аэроплан № 135 16 февраля 1915 года был доставлен по железной дороге в Яблонну, где был вновь собран и отрегулирован, а моторы разобраны и прочищены (12041).</w:t>
      </w:r>
    </w:p>
    <w:p w14:paraId="7ED7C7EB" w14:textId="77777777" w:rsidR="00B67D7C" w:rsidRPr="00DE096C" w:rsidRDefault="00B67D7C" w:rsidP="00D45A46">
      <w:pPr>
        <w:jc w:val="both"/>
        <w:rPr>
          <w:bCs/>
          <w:color w:val="002060"/>
          <w:sz w:val="16"/>
          <w:szCs w:val="16"/>
        </w:rPr>
      </w:pPr>
    </w:p>
    <w:p w14:paraId="6158BFE4" w14:textId="77777777" w:rsidR="003E040B" w:rsidRPr="00DE096C" w:rsidRDefault="003E040B" w:rsidP="00D45A46">
      <w:pPr>
        <w:jc w:val="both"/>
        <w:rPr>
          <w:bCs/>
          <w:color w:val="002060"/>
          <w:sz w:val="16"/>
          <w:szCs w:val="16"/>
        </w:rPr>
      </w:pPr>
      <w:r w:rsidRPr="00DE096C">
        <w:rPr>
          <w:bCs/>
          <w:color w:val="002060"/>
          <w:sz w:val="16"/>
          <w:szCs w:val="16"/>
        </w:rPr>
        <w:lastRenderedPageBreak/>
        <w:t xml:space="preserve">25 ноября (8 декабря) 1914 г. по прилете во Львов, доблестный же командир 1-го корабля Руднев, не совершивший ни одного боевого полета, подал рапорт о переводе в легкую авиацию. </w:t>
      </w:r>
    </w:p>
    <w:p w14:paraId="24C6692B" w14:textId="77777777" w:rsidR="003E040B" w:rsidRPr="00DE096C" w:rsidRDefault="003E040B" w:rsidP="00D45A46">
      <w:pPr>
        <w:jc w:val="both"/>
        <w:rPr>
          <w:bCs/>
          <w:color w:val="002060"/>
          <w:sz w:val="16"/>
          <w:szCs w:val="16"/>
        </w:rPr>
      </w:pPr>
    </w:p>
    <w:p w14:paraId="5B3D7F21" w14:textId="77777777" w:rsidR="00E95C04" w:rsidRPr="00B52707" w:rsidRDefault="00E95C04" w:rsidP="00E95C04">
      <w:pPr>
        <w:jc w:val="both"/>
        <w:rPr>
          <w:color w:val="0070C0"/>
          <w:sz w:val="16"/>
          <w:szCs w:val="16"/>
        </w:rPr>
      </w:pPr>
      <w:r w:rsidRPr="00B52707">
        <w:rPr>
          <w:rStyle w:val="ab"/>
          <w:rFonts w:ascii="Times New Roman" w:hAnsi="Times New Roman"/>
          <w:color w:val="0070C0"/>
          <w:spacing w:val="0"/>
          <w:sz w:val="16"/>
          <w:szCs w:val="16"/>
        </w:rPr>
        <w:t>25 ноября (8 декабря) 1914 г. вводились должностные обязанности началь</w:t>
      </w:r>
      <w:r w:rsidRPr="00B52707">
        <w:rPr>
          <w:rStyle w:val="ab"/>
          <w:rFonts w:ascii="Times New Roman" w:hAnsi="Times New Roman"/>
          <w:color w:val="0070C0"/>
          <w:spacing w:val="0"/>
          <w:sz w:val="16"/>
          <w:szCs w:val="16"/>
        </w:rPr>
        <w:softHyphen/>
        <w:t>ника воздушной обороны Петрограда и указывалось на выбор летчиков для борьбы с воздушным противником из состава инструкторов Гатчинской Военной авиаци</w:t>
      </w:r>
      <w:r w:rsidRPr="00B52707">
        <w:rPr>
          <w:rStyle w:val="ab"/>
          <w:rFonts w:ascii="Times New Roman" w:hAnsi="Times New Roman"/>
          <w:color w:val="0070C0"/>
          <w:spacing w:val="0"/>
          <w:sz w:val="16"/>
          <w:szCs w:val="16"/>
        </w:rPr>
        <w:softHyphen/>
        <w:t>онной школы с двумя аэропланами (25629).</w:t>
      </w:r>
    </w:p>
    <w:p w14:paraId="6142F1E6" w14:textId="77777777" w:rsidR="00E95C04" w:rsidRPr="00B52707" w:rsidRDefault="00E95C04" w:rsidP="00E95C04">
      <w:pPr>
        <w:jc w:val="both"/>
        <w:rPr>
          <w:color w:val="0070C0"/>
          <w:sz w:val="16"/>
          <w:szCs w:val="16"/>
        </w:rPr>
      </w:pPr>
    </w:p>
    <w:p w14:paraId="4663F8E5" w14:textId="63A01C4B" w:rsidR="008D10C1" w:rsidRPr="00DE096C" w:rsidRDefault="008D10C1" w:rsidP="00D45A46">
      <w:pPr>
        <w:shd w:val="clear" w:color="auto" w:fill="FFFFFF"/>
        <w:jc w:val="both"/>
        <w:rPr>
          <w:bCs/>
          <w:i/>
          <w:color w:val="002060"/>
          <w:sz w:val="16"/>
          <w:szCs w:val="16"/>
        </w:rPr>
      </w:pPr>
      <w:r w:rsidRPr="00DE096C">
        <w:rPr>
          <w:bCs/>
          <w:i/>
          <w:color w:val="002060"/>
          <w:sz w:val="16"/>
          <w:szCs w:val="16"/>
        </w:rPr>
        <w:t>За рубежом:</w:t>
      </w:r>
    </w:p>
    <w:p w14:paraId="04503758" w14:textId="77777777" w:rsidR="008D10C1" w:rsidRPr="00DE096C" w:rsidRDefault="008D10C1" w:rsidP="00D45A46">
      <w:pPr>
        <w:shd w:val="clear" w:color="auto" w:fill="FFFFFF"/>
        <w:jc w:val="both"/>
        <w:rPr>
          <w:bCs/>
          <w:i/>
          <w:color w:val="002060"/>
          <w:sz w:val="16"/>
          <w:szCs w:val="16"/>
        </w:rPr>
      </w:pPr>
    </w:p>
    <w:p w14:paraId="4E8F7320" w14:textId="77777777" w:rsidR="008D10C1" w:rsidRPr="00DE096C" w:rsidRDefault="008D10C1" w:rsidP="00D45A46">
      <w:pPr>
        <w:jc w:val="both"/>
        <w:rPr>
          <w:bCs/>
          <w:color w:val="002060"/>
          <w:sz w:val="16"/>
          <w:szCs w:val="16"/>
        </w:rPr>
      </w:pPr>
      <w:r w:rsidRPr="00DE096C">
        <w:rPr>
          <w:bCs/>
          <w:color w:val="002060"/>
          <w:sz w:val="16"/>
          <w:szCs w:val="16"/>
        </w:rPr>
        <w:t>25 ноября (8 декабря) 1914 г. вдали от главного театра Большой европейской войны, у Мальвинских островов неподалеку от южного побережья Аргентины, которые англичане называют Фолклендскими, произошло событие, изменившее складывавшееся пока не слишком удачно для Британии положение на морях. Новейшие линейные крейсеры Королевских ВМС одержали победу в морском сражении, потопив четыре намного более слабых и устаревших морально немецких рейдера. На дно Южной Атлантики пошли броненосные крейсеры «Шарнхорст» и «Гнейзенау», а также бронепалубные «Лейпциг» и «Нюрнберг». Ускользнул от преследования только легкий «Дрезден» и теперь устраивать набеги на морские пути, снабжавшие из колоний Британскую Метрополию, стало некому (23074).</w:t>
      </w:r>
    </w:p>
    <w:p w14:paraId="70406F02" w14:textId="77777777" w:rsidR="008D10C1" w:rsidRPr="00DE096C" w:rsidRDefault="008D10C1" w:rsidP="00D45A46">
      <w:pPr>
        <w:jc w:val="both"/>
        <w:rPr>
          <w:bCs/>
          <w:color w:val="002060"/>
          <w:sz w:val="16"/>
          <w:szCs w:val="16"/>
        </w:rPr>
      </w:pPr>
    </w:p>
    <w:p w14:paraId="371D6E6B"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7F21D602" w14:textId="77777777" w:rsidR="00B67D7C" w:rsidRPr="00DE096C" w:rsidRDefault="00B67D7C" w:rsidP="00D45A46">
      <w:pPr>
        <w:shd w:val="clear" w:color="auto" w:fill="FFFFFF"/>
        <w:jc w:val="both"/>
        <w:rPr>
          <w:bCs/>
          <w:i/>
          <w:color w:val="002060"/>
          <w:sz w:val="16"/>
          <w:szCs w:val="16"/>
        </w:rPr>
      </w:pPr>
    </w:p>
    <w:p w14:paraId="501C1472" w14:textId="77777777" w:rsidR="00B67D7C" w:rsidRPr="00DE096C" w:rsidRDefault="00B67D7C" w:rsidP="00D45A46">
      <w:pPr>
        <w:jc w:val="both"/>
        <w:rPr>
          <w:bCs/>
          <w:color w:val="002060"/>
          <w:sz w:val="16"/>
          <w:szCs w:val="16"/>
        </w:rPr>
      </w:pPr>
      <w:r w:rsidRPr="00DE096C">
        <w:rPr>
          <w:bCs/>
          <w:color w:val="002060"/>
          <w:sz w:val="16"/>
          <w:szCs w:val="16"/>
        </w:rPr>
        <w:t>27 ноября (10 декабря) 1914 г. – на вооружение русской армии принято самолёты-бомбардировщики “Илья Муромец”.</w:t>
      </w:r>
    </w:p>
    <w:p w14:paraId="60492DDB" w14:textId="3DBD0202" w:rsidR="00B67D7C" w:rsidRPr="00DE096C" w:rsidRDefault="00B67D7C" w:rsidP="00D45A46">
      <w:pPr>
        <w:shd w:val="clear" w:color="auto" w:fill="FFFFFF"/>
        <w:jc w:val="both"/>
        <w:rPr>
          <w:bCs/>
          <w:color w:val="002060"/>
          <w:sz w:val="16"/>
          <w:szCs w:val="16"/>
        </w:rPr>
      </w:pPr>
      <w:r w:rsidRPr="00DE096C">
        <w:rPr>
          <w:bCs/>
          <w:color w:val="002060"/>
          <w:sz w:val="16"/>
          <w:szCs w:val="16"/>
        </w:rPr>
        <w:t>Первоначально Муромца прравняли к боевому отряду со всеми положениями и штатами. По отдельности оказались неэффективны - трудности с ремонтом, топливом и вооружению</w:t>
      </w:r>
      <w:r w:rsidR="007E41FC" w:rsidRPr="00DE096C">
        <w:rPr>
          <w:bCs/>
          <w:color w:val="002060"/>
          <w:sz w:val="16"/>
          <w:szCs w:val="16"/>
        </w:rPr>
        <w:t>.</w:t>
      </w:r>
      <w:r w:rsidRPr="00DE096C">
        <w:rPr>
          <w:bCs/>
          <w:color w:val="002060"/>
          <w:sz w:val="16"/>
          <w:szCs w:val="16"/>
        </w:rPr>
        <w:t xml:space="preserve"> От них стали отказываться - свели по предложению РБВЗ - не хотели терять заказы (1137,256). Шидловский писал доклад</w:t>
      </w:r>
    </w:p>
    <w:p w14:paraId="72711F9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обратная связь </w:t>
      </w:r>
    </w:p>
    <w:p w14:paraId="78D5FFC7" w14:textId="77777777" w:rsidR="00B67D7C" w:rsidRPr="00DE096C" w:rsidRDefault="00B67D7C" w:rsidP="00D45A46">
      <w:pPr>
        <w:jc w:val="both"/>
        <w:rPr>
          <w:bCs/>
          <w:color w:val="002060"/>
          <w:sz w:val="16"/>
          <w:szCs w:val="16"/>
        </w:rPr>
      </w:pPr>
    </w:p>
    <w:p w14:paraId="2B789CAE" w14:textId="5056679F" w:rsidR="00B67D7C" w:rsidRPr="00DE096C" w:rsidRDefault="00B67D7C" w:rsidP="00D45A46">
      <w:pPr>
        <w:jc w:val="both"/>
        <w:rPr>
          <w:bCs/>
          <w:color w:val="002060"/>
          <w:sz w:val="16"/>
          <w:szCs w:val="16"/>
        </w:rPr>
      </w:pPr>
      <w:r w:rsidRPr="00DE096C">
        <w:rPr>
          <w:bCs/>
          <w:color w:val="002060"/>
          <w:sz w:val="16"/>
          <w:szCs w:val="16"/>
        </w:rPr>
        <w:t>27 ноября</w:t>
      </w:r>
      <w:r w:rsidR="007E41FC" w:rsidRPr="00DE096C">
        <w:rPr>
          <w:bCs/>
          <w:color w:val="002060"/>
          <w:sz w:val="16"/>
          <w:szCs w:val="16"/>
        </w:rPr>
        <w:t xml:space="preserve"> (10 </w:t>
      </w:r>
      <w:r w:rsidR="00C04F53" w:rsidRPr="00DE096C">
        <w:rPr>
          <w:bCs/>
          <w:color w:val="002060"/>
          <w:sz w:val="16"/>
          <w:szCs w:val="16"/>
        </w:rPr>
        <w:t>декабря) 1914 г</w:t>
      </w:r>
      <w:r w:rsidRPr="00DE096C">
        <w:rPr>
          <w:bCs/>
          <w:color w:val="002060"/>
          <w:sz w:val="16"/>
          <w:szCs w:val="16"/>
        </w:rPr>
        <w:t xml:space="preserve">. </w:t>
      </w:r>
      <w:r w:rsidR="00C04F53" w:rsidRPr="00DE096C">
        <w:rPr>
          <w:bCs/>
          <w:color w:val="002060"/>
          <w:sz w:val="16"/>
          <w:szCs w:val="16"/>
        </w:rPr>
        <w:t>п</w:t>
      </w:r>
      <w:r w:rsidRPr="00DE096C">
        <w:rPr>
          <w:bCs/>
          <w:color w:val="002060"/>
          <w:sz w:val="16"/>
          <w:szCs w:val="16"/>
        </w:rPr>
        <w:t>апитан Горшков получил "Муромец VII" (№ 150), который вместе с двигателями унаследовал и название "Киевский". Позднее эта передача имени стала традицией и в составе Эскадры Воздушных Кораблей (ЭВК) всегда имелся самолёт "Киевский".</w:t>
      </w:r>
      <w:r w:rsidR="00C04F53" w:rsidRPr="00DE096C">
        <w:rPr>
          <w:bCs/>
          <w:color w:val="002060"/>
          <w:sz w:val="16"/>
          <w:szCs w:val="16"/>
        </w:rPr>
        <w:t xml:space="preserve"> </w:t>
      </w:r>
      <w:r w:rsidRPr="00DE096C">
        <w:rPr>
          <w:bCs/>
          <w:color w:val="002060"/>
          <w:sz w:val="16"/>
          <w:szCs w:val="16"/>
        </w:rPr>
        <w:t>Поручик Б.Н. Фирсов был назначен командиром отряда аэроплана "Илья Муромец VI" и получил новую машину типа В № 149.</w:t>
      </w:r>
      <w:r w:rsidR="00C04F53" w:rsidRPr="00DE096C">
        <w:rPr>
          <w:bCs/>
          <w:color w:val="002060"/>
          <w:sz w:val="16"/>
          <w:szCs w:val="16"/>
        </w:rPr>
        <w:t xml:space="preserve"> </w:t>
      </w:r>
      <w:r w:rsidRPr="00DE096C">
        <w:rPr>
          <w:bCs/>
          <w:color w:val="002060"/>
          <w:sz w:val="16"/>
          <w:szCs w:val="16"/>
        </w:rPr>
        <w:t>Таким образом, к началу декабря были готовы к отправке на фронт ешё четыре отряда (III, V, VI и VII "Киевский") (12041).</w:t>
      </w:r>
    </w:p>
    <w:p w14:paraId="4D1F8891" w14:textId="77777777" w:rsidR="00B67D7C" w:rsidRPr="00DE096C" w:rsidRDefault="00B67D7C" w:rsidP="00D45A46">
      <w:pPr>
        <w:jc w:val="both"/>
        <w:rPr>
          <w:bCs/>
          <w:color w:val="002060"/>
          <w:sz w:val="16"/>
          <w:szCs w:val="16"/>
        </w:rPr>
      </w:pPr>
    </w:p>
    <w:p w14:paraId="4DC6F5D8" w14:textId="77777777" w:rsidR="00B67D7C" w:rsidRPr="00DE096C" w:rsidRDefault="00B67D7C" w:rsidP="00D45A46">
      <w:pPr>
        <w:jc w:val="both"/>
        <w:rPr>
          <w:bCs/>
          <w:i/>
          <w:color w:val="002060"/>
          <w:sz w:val="16"/>
          <w:szCs w:val="16"/>
        </w:rPr>
      </w:pPr>
      <w:r w:rsidRPr="00DE096C">
        <w:rPr>
          <w:bCs/>
          <w:i/>
          <w:color w:val="002060"/>
          <w:sz w:val="16"/>
          <w:szCs w:val="16"/>
        </w:rPr>
        <w:t>Авиация:</w:t>
      </w:r>
    </w:p>
    <w:p w14:paraId="64D25122" w14:textId="77777777" w:rsidR="00B67D7C" w:rsidRPr="00DE096C" w:rsidRDefault="00B67D7C" w:rsidP="00D45A46">
      <w:pPr>
        <w:jc w:val="both"/>
        <w:rPr>
          <w:bCs/>
          <w:i/>
          <w:color w:val="002060"/>
          <w:sz w:val="16"/>
          <w:szCs w:val="16"/>
        </w:rPr>
      </w:pPr>
    </w:p>
    <w:p w14:paraId="737F743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27 ноября (10 декабря) 1914 Турецкий крейсер "Гебен" подошел к Батуму и открыл по нему огонь. Морские летчики-черноморцы атаковали крейсер и, сбросив на него несколько бомб, заставили удалиться из русских вод (Воздуш'ный справочник. 1915 г.; "Воздухоплаватель", 1915 г., № 2).</w:t>
      </w:r>
    </w:p>
    <w:p w14:paraId="7B9B6821" w14:textId="77777777" w:rsidR="00B67D7C" w:rsidRPr="00DE096C" w:rsidRDefault="00B67D7C" w:rsidP="00D45A46">
      <w:pPr>
        <w:shd w:val="clear" w:color="auto" w:fill="FFFFFF"/>
        <w:jc w:val="both"/>
        <w:rPr>
          <w:bCs/>
          <w:color w:val="002060"/>
          <w:sz w:val="16"/>
          <w:szCs w:val="16"/>
        </w:rPr>
      </w:pPr>
    </w:p>
    <w:p w14:paraId="7FC3A56A" w14:textId="77777777" w:rsidR="00854682" w:rsidRPr="00DE096C" w:rsidRDefault="00854682" w:rsidP="00D45A46">
      <w:pPr>
        <w:jc w:val="both"/>
        <w:rPr>
          <w:bCs/>
          <w:color w:val="002060"/>
          <w:sz w:val="16"/>
          <w:szCs w:val="16"/>
        </w:rPr>
      </w:pPr>
      <w:r w:rsidRPr="00DE096C">
        <w:rPr>
          <w:bCs/>
          <w:color w:val="002060"/>
          <w:sz w:val="16"/>
          <w:szCs w:val="16"/>
        </w:rPr>
        <w:t>27 ноября (6 декабря) 1914 г. турецкий крейсер "Гебен" подошел к Батуму и открыл по нем огонь. Морские летчики-черноморцы атаковали крейсер и сбросили на него несколько бомб, заставили удалиться из русских вод.</w:t>
      </w:r>
    </w:p>
    <w:p w14:paraId="0FADCD92" w14:textId="77777777" w:rsidR="00854682" w:rsidRPr="00DE096C" w:rsidRDefault="00854682" w:rsidP="00D45A46">
      <w:pPr>
        <w:jc w:val="both"/>
        <w:rPr>
          <w:bCs/>
          <w:color w:val="002060"/>
          <w:sz w:val="16"/>
          <w:szCs w:val="16"/>
        </w:rPr>
      </w:pPr>
      <w:r w:rsidRPr="00DE096C">
        <w:rPr>
          <w:bCs/>
          <w:color w:val="002060"/>
          <w:sz w:val="16"/>
          <w:szCs w:val="16"/>
        </w:rPr>
        <w:t>/Воздушный справочник, 1915 г.;-Воздухоплаватель, 1915, № 2/ (23320).</w:t>
      </w:r>
    </w:p>
    <w:p w14:paraId="19B40979" w14:textId="77777777" w:rsidR="00854682" w:rsidRPr="00DE096C" w:rsidRDefault="00854682" w:rsidP="00D45A46">
      <w:pPr>
        <w:jc w:val="both"/>
        <w:rPr>
          <w:bCs/>
          <w:color w:val="002060"/>
          <w:sz w:val="16"/>
          <w:szCs w:val="16"/>
        </w:rPr>
      </w:pPr>
    </w:p>
    <w:p w14:paraId="4EF2106B" w14:textId="32B7E4D4" w:rsidR="0050209B" w:rsidRPr="00DE096C" w:rsidRDefault="0050209B" w:rsidP="00D45A46">
      <w:pPr>
        <w:jc w:val="both"/>
        <w:rPr>
          <w:bCs/>
          <w:i/>
          <w:iCs/>
          <w:color w:val="002060"/>
          <w:sz w:val="16"/>
          <w:szCs w:val="16"/>
        </w:rPr>
      </w:pPr>
      <w:r w:rsidRPr="00DE096C">
        <w:rPr>
          <w:bCs/>
          <w:i/>
          <w:iCs/>
          <w:color w:val="002060"/>
          <w:sz w:val="16"/>
          <w:szCs w:val="16"/>
        </w:rPr>
        <w:t>Авиация и воздухоплавание за рубежом:</w:t>
      </w:r>
    </w:p>
    <w:p w14:paraId="5E5BD572" w14:textId="77777777" w:rsidR="0050209B" w:rsidRPr="00DE096C" w:rsidRDefault="0050209B" w:rsidP="00D45A46">
      <w:pPr>
        <w:jc w:val="both"/>
        <w:rPr>
          <w:bCs/>
          <w:i/>
          <w:iCs/>
          <w:color w:val="002060"/>
          <w:sz w:val="16"/>
          <w:szCs w:val="16"/>
        </w:rPr>
      </w:pPr>
    </w:p>
    <w:p w14:paraId="502983E3" w14:textId="376CA752" w:rsidR="0050209B" w:rsidRPr="00DE096C" w:rsidRDefault="0050209B" w:rsidP="00D45A46">
      <w:pPr>
        <w:jc w:val="both"/>
        <w:rPr>
          <w:bCs/>
          <w:color w:val="002060"/>
          <w:sz w:val="16"/>
          <w:szCs w:val="16"/>
        </w:rPr>
      </w:pPr>
      <w:r w:rsidRPr="00DE096C">
        <w:rPr>
          <w:bCs/>
          <w:color w:val="002060"/>
          <w:sz w:val="16"/>
          <w:szCs w:val="16"/>
        </w:rPr>
        <w:t>27 ноября (10 декабря) 1914 первое воздушно-морское сражение в истории происходит, когда гидросамолеты Императорского флота Японии «Фарман» предпринимают неудачную попытку бомбить немецкие и австро-венгерские корабли в заливе Киаочоу во время осады Циндао (20337).</w:t>
      </w:r>
    </w:p>
    <w:p w14:paraId="63B5814A" w14:textId="77777777" w:rsidR="0050209B" w:rsidRPr="00DE096C" w:rsidRDefault="0050209B" w:rsidP="00D45A46">
      <w:pPr>
        <w:jc w:val="both"/>
        <w:rPr>
          <w:bCs/>
          <w:color w:val="002060"/>
          <w:sz w:val="16"/>
          <w:szCs w:val="16"/>
        </w:rPr>
      </w:pPr>
    </w:p>
    <w:p w14:paraId="79B1DBE8" w14:textId="3B9BF564" w:rsidR="0050209B" w:rsidRPr="00DE096C" w:rsidRDefault="0050209B" w:rsidP="00D45A46">
      <w:pPr>
        <w:jc w:val="both"/>
        <w:rPr>
          <w:bCs/>
          <w:i/>
          <w:iCs/>
          <w:color w:val="002060"/>
          <w:sz w:val="16"/>
          <w:szCs w:val="16"/>
        </w:rPr>
      </w:pPr>
      <w:r w:rsidRPr="00DE096C">
        <w:rPr>
          <w:bCs/>
          <w:i/>
          <w:iCs/>
          <w:color w:val="002060"/>
          <w:sz w:val="16"/>
          <w:szCs w:val="16"/>
        </w:rPr>
        <w:t>Авиация и воздухоплавание Англии:</w:t>
      </w:r>
    </w:p>
    <w:p w14:paraId="374E48EB" w14:textId="77777777" w:rsidR="0050209B" w:rsidRPr="00DE096C" w:rsidRDefault="0050209B" w:rsidP="00D45A46">
      <w:pPr>
        <w:jc w:val="both"/>
        <w:rPr>
          <w:bCs/>
          <w:i/>
          <w:iCs/>
          <w:color w:val="002060"/>
          <w:sz w:val="16"/>
          <w:szCs w:val="16"/>
        </w:rPr>
      </w:pPr>
    </w:p>
    <w:p w14:paraId="452DEE51" w14:textId="77777777" w:rsidR="0050209B" w:rsidRPr="00DE096C" w:rsidRDefault="0050209B" w:rsidP="00D45A46">
      <w:pPr>
        <w:jc w:val="both"/>
        <w:rPr>
          <w:bCs/>
          <w:color w:val="002060"/>
          <w:sz w:val="16"/>
          <w:szCs w:val="16"/>
        </w:rPr>
      </w:pPr>
      <w:r w:rsidRPr="00DE096C">
        <w:rPr>
          <w:bCs/>
          <w:color w:val="002060"/>
          <w:sz w:val="16"/>
          <w:szCs w:val="16"/>
        </w:rPr>
        <w:t>27 ноября (10 декабря) 1914 завершение строительства HMS Ark Royal. Это первый корабль с внутренним ангаром, окруженным корпусом, и первый корабль со специально спроектированными внутренними пространствами для размещения авиационного топлива, смазочных материалов, боеприпасов, запчастей и оборудования, необходимого для обслуживания самолетов (20337).</w:t>
      </w:r>
    </w:p>
    <w:p w14:paraId="0E1C6BA0" w14:textId="77777777" w:rsidR="0050209B" w:rsidRPr="00DE096C" w:rsidRDefault="0050209B" w:rsidP="00D45A46">
      <w:pPr>
        <w:jc w:val="both"/>
        <w:rPr>
          <w:bCs/>
          <w:color w:val="002060"/>
          <w:sz w:val="16"/>
          <w:szCs w:val="16"/>
        </w:rPr>
      </w:pPr>
    </w:p>
    <w:p w14:paraId="13F6B2B3" w14:textId="77777777" w:rsidR="00B67D7C" w:rsidRPr="00DE096C" w:rsidRDefault="00B67D7C" w:rsidP="00D45A46">
      <w:pPr>
        <w:jc w:val="both"/>
        <w:rPr>
          <w:bCs/>
          <w:i/>
          <w:color w:val="002060"/>
          <w:sz w:val="16"/>
          <w:szCs w:val="16"/>
        </w:rPr>
      </w:pPr>
      <w:r w:rsidRPr="00DE096C">
        <w:rPr>
          <w:bCs/>
          <w:i/>
          <w:color w:val="002060"/>
          <w:sz w:val="16"/>
          <w:szCs w:val="16"/>
        </w:rPr>
        <w:t>Самолетостроение:</w:t>
      </w:r>
    </w:p>
    <w:p w14:paraId="7A32487A" w14:textId="77777777" w:rsidR="00B67D7C" w:rsidRPr="00DE096C" w:rsidRDefault="00B67D7C" w:rsidP="00D45A46">
      <w:pPr>
        <w:jc w:val="both"/>
        <w:rPr>
          <w:bCs/>
          <w:i/>
          <w:color w:val="002060"/>
          <w:sz w:val="16"/>
          <w:szCs w:val="16"/>
        </w:rPr>
      </w:pPr>
    </w:p>
    <w:p w14:paraId="76136D26" w14:textId="54DFD4F0"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28 ноября (11 декабря) 1914 новый аппарат </w:t>
      </w:r>
      <w:r w:rsidR="00C04F53" w:rsidRPr="00DE096C">
        <w:rPr>
          <w:bCs/>
          <w:color w:val="002060"/>
          <w:sz w:val="16"/>
          <w:szCs w:val="16"/>
        </w:rPr>
        <w:t xml:space="preserve">М-2 </w:t>
      </w:r>
      <w:r w:rsidRPr="00DE096C">
        <w:rPr>
          <w:bCs/>
          <w:color w:val="002060"/>
          <w:sz w:val="16"/>
          <w:szCs w:val="16"/>
        </w:rPr>
        <w:t>прибыл на 3-ю морску</w:t>
      </w:r>
      <w:r w:rsidR="00C04F53" w:rsidRPr="00DE096C">
        <w:rPr>
          <w:bCs/>
          <w:color w:val="002060"/>
          <w:sz w:val="16"/>
          <w:szCs w:val="16"/>
        </w:rPr>
        <w:t xml:space="preserve">ю </w:t>
      </w:r>
      <w:r w:rsidRPr="00DE096C">
        <w:rPr>
          <w:bCs/>
          <w:color w:val="002060"/>
          <w:sz w:val="16"/>
          <w:szCs w:val="16"/>
        </w:rPr>
        <w:t>авиастанцию в Ревель. Через 12 дней туда же доставили еще один гидроплан из серии и в период до 22 декабря летчик ПРТВ Я. И. Седов-Серов и флотский авиатор лейтенант И. И. Кульнев опробовали их, установив необходи</w:t>
      </w:r>
      <w:r w:rsidRPr="00DE096C">
        <w:rPr>
          <w:bCs/>
          <w:color w:val="002060"/>
          <w:sz w:val="16"/>
          <w:szCs w:val="16"/>
        </w:rPr>
        <w:softHyphen/>
        <w:t>мость некоторых усовершенствований. В течение зимы механик и пилот компании завершили нужные переделки, после чего весной 1915г. сдаточные полеты возобновили, и, в частности, высоту 1 тыс. 300 м брали за 15 минут. Двадцать пятого апреля списки авиационной части Службы связи Балтийского моря пополнили, наконец, этими двумя самолетами, получившими номера Щ-2 и Щ-3 (2807).</w:t>
      </w:r>
    </w:p>
    <w:p w14:paraId="624F3C52" w14:textId="77777777" w:rsidR="00B67D7C" w:rsidRPr="00DE096C" w:rsidRDefault="00B67D7C" w:rsidP="00D45A46">
      <w:pPr>
        <w:shd w:val="clear" w:color="auto" w:fill="FFFFFF"/>
        <w:jc w:val="both"/>
        <w:rPr>
          <w:bCs/>
          <w:color w:val="002060"/>
          <w:sz w:val="16"/>
          <w:szCs w:val="16"/>
        </w:rPr>
      </w:pPr>
    </w:p>
    <w:p w14:paraId="14C9F6D3" w14:textId="77777777" w:rsidR="00B67D7C" w:rsidRPr="00DE096C" w:rsidRDefault="00B67D7C" w:rsidP="00D45A46">
      <w:pPr>
        <w:jc w:val="both"/>
        <w:rPr>
          <w:bCs/>
          <w:i/>
          <w:color w:val="002060"/>
          <w:sz w:val="16"/>
          <w:szCs w:val="16"/>
        </w:rPr>
      </w:pPr>
      <w:r w:rsidRPr="00DE096C">
        <w:rPr>
          <w:bCs/>
          <w:i/>
          <w:color w:val="002060"/>
          <w:sz w:val="16"/>
          <w:szCs w:val="16"/>
        </w:rPr>
        <w:t>Авиация:</w:t>
      </w:r>
    </w:p>
    <w:p w14:paraId="230EB8BF" w14:textId="77777777" w:rsidR="00B67D7C" w:rsidRPr="00DE096C" w:rsidRDefault="00B67D7C" w:rsidP="00D45A46">
      <w:pPr>
        <w:jc w:val="both"/>
        <w:rPr>
          <w:bCs/>
          <w:i/>
          <w:color w:val="002060"/>
          <w:sz w:val="16"/>
          <w:szCs w:val="16"/>
        </w:rPr>
      </w:pPr>
    </w:p>
    <w:p w14:paraId="06D244CB" w14:textId="355D49EF" w:rsidR="00B67D7C" w:rsidRPr="00DE096C" w:rsidRDefault="00B67D7C" w:rsidP="00D45A46">
      <w:pPr>
        <w:jc w:val="both"/>
        <w:rPr>
          <w:bCs/>
          <w:color w:val="002060"/>
          <w:sz w:val="16"/>
          <w:szCs w:val="16"/>
        </w:rPr>
      </w:pPr>
      <w:r w:rsidRPr="00DE096C">
        <w:rPr>
          <w:bCs/>
          <w:color w:val="002060"/>
          <w:sz w:val="16"/>
          <w:szCs w:val="16"/>
        </w:rPr>
        <w:t>28 ноября (11 декабря) 1914</w:t>
      </w:r>
      <w:r w:rsidR="00C04F53" w:rsidRPr="00DE096C">
        <w:rPr>
          <w:bCs/>
          <w:color w:val="002060"/>
          <w:sz w:val="16"/>
          <w:szCs w:val="16"/>
        </w:rPr>
        <w:t xml:space="preserve"> г.</w:t>
      </w:r>
      <w:r w:rsidRPr="00DE096C">
        <w:rPr>
          <w:bCs/>
          <w:color w:val="002060"/>
          <w:sz w:val="16"/>
          <w:szCs w:val="16"/>
        </w:rPr>
        <w:t xml:space="preserve"> </w:t>
      </w:r>
      <w:r w:rsidR="00C04F53" w:rsidRPr="00DE096C">
        <w:rPr>
          <w:bCs/>
          <w:color w:val="002060"/>
          <w:sz w:val="16"/>
          <w:szCs w:val="16"/>
        </w:rPr>
        <w:t xml:space="preserve">заведующий организацией авиационного дела в армиях Юго-западного фронта Великий князь Александр Михайлович в своем донесении Верховному Главнокомандующему докладывал: </w:t>
      </w:r>
      <w:r w:rsidRPr="00DE096C">
        <w:rPr>
          <w:bCs/>
          <w:color w:val="002060"/>
          <w:sz w:val="16"/>
          <w:szCs w:val="16"/>
        </w:rPr>
        <w:t xml:space="preserve">"... определенные специальными фотографическими снимками снежного покрова места попадания наших снарядов... выяснили некоторые дефекты в определении целей и расстояний". В осаде Перемышля задействовались объединенные в группу 24-й корпусной и Брест-Литовский авиаотряды во главе с одним из опытнейших военных летчиков поручиком Е. Рудневым. В задачу группы, кроме разведки, входила и бомбардировка крепости. За время осады было сброшено около 50 различных бомб массой от 6 фунтов до 2 пудов 30 фунтов (2,7-46,4 кг). "Особенно энергичная деятельность была развита 18-го ноября... За этот день было совершено 13 полетов, сделано 14 фотоснимков крепости и ее фортов, сброшено 27 бомб общим весом взрывчатки 21 пуд 20 фунтов (353 кг). Бомбы были сброшены с высоты 1700-2200 м..., причем по результатам взрывов во многих местах начались пожары. Все летавшие были отстреляны шрапнелью противника..." С помощью воздушной разведки русское командование следило за всеми действиями осажденного гарнизона, который сдался 5 марта 1915 г. Примером успешного применения авиации может служить работа авиаотрядов 3-й и 8-й армий Юго-западного фронта в Галицийской операции. Ограниченный радиус действия самолетов вынуждал использовать авиацию в основном для решения тактических задач. Однако правильная организация работы авиаотрядов давала материалы и оперативных масштабов: штабы армий обменивались данными воздушной разведки и регулярно информировали штаб фронта о всех важнейших сведениях, собранных летчиками. Когда началось наступление 8-й армии, авиаторы привозили из разведвылетов важные сведения о группировках противника и путях его отхода. Эти данные были подтверждены дальнейшим ходом событий - войска 8-й армии продвигались вперед, не встречая серьезного сопротивления. Не менее успешно действовали авиаотряды 3-й армии, наступавшей на Львов. За период Галицийской битвы с 6 августа по 13 сентября 9-й и 11-й корпусные авиаотряды (КАО) 3-й армии совершили свыше 70 боевых вылетов, а четыре отряда 8-й армии (7-й, 8-й и 12-й корпусные, 3-й полевой) - свыше 100. В этот период хуже обстояли дела у летчики 4-й и 5-й армий. Полетов было мало, а плохая организация воздушной разведки привела к неприятным неожиданностям во время боевых действий. В целом в кампании 1914 г. наиболее высокий уровень работы авиации оказался на Юго-западном фронте. Здесь авиаторы успешно справлялись с поставленными перед ними задачами, и их деятельность часто получала высокую оценку наземного командования. Об этом свидетельствует приказ Главнокомандующего фронтом генерала Н. И. Иванова от 11.01.1915: "Летчики-офицеры и нижние чины, не считаясь с трудностями обстановки, не взирая ни на какую погоду, с честью выполнили свой долг и своими мужественными разведками приносили надлежащую пользу своим корпусам и армиям". Иначе обстояли дела на Северо-Западном фронте. В сентябре здесь решением главкома авиаотряды были изъяты из состава корпусов и сведены в авиационные группы, подчиненные начальникам штабов армий. Однако эта реорганизация оказалась малоэффективной, так как не были созданы органы управления авиагруппами, а ограниченный радиус действия самолетов затруднял их применение в интересах армейского командования. К тому же такая структура не учитывала сложные географические (болотистая и лесная местность) и погодные условия, существовавшие на северо-западе. Собранные на одном аэродроме самолеты каждой группы при плохих метеоусловиях были обречены на бездействие, тогда как в случае рассредоточения по площадкам авиаотрядов имелись бы шансы использовать кратковременные местные улучшения погоды. Исследование динамики убыли и поступления самолетов в целом по Русской армии показывает, что потери аэропланов были значительными и составляли не менее 45,8% за 2 месяца. Большая часть (иногда 90%) этой убыли была вызвана выходом из строя изношенных аэропланов и моторов. Мощностей русских авиазаводов не хватало для восполнения этих потерь - с начала войны до 1 января 1915 г. они отправили в действующую армию 157 самолетов. Причем часто эти машины имели дефекты и забраковывались при сборке в отрядах и ротах. Особые нарекания вызывали самолеты завода Щетинина. Так, монопланы "Ньюпор" имели отрицательный угол </w:t>
      </w:r>
      <w:r w:rsidRPr="00DE096C">
        <w:rPr>
          <w:bCs/>
          <w:color w:val="002060"/>
          <w:sz w:val="16"/>
          <w:szCs w:val="16"/>
        </w:rPr>
        <w:lastRenderedPageBreak/>
        <w:t>установки крыла, что повлекло ряд аварий. Французские самолеты, сделанные на русских авиазаводах, отличались большей массой и низким качеством изготовления по сравнению с импортными "собратьями". Первые месяцы войны выявили и тот факт, что часто высшие военные начальники проявляли полное незнание свойств и возможностей аэропланов. Отсюда - либо отсутствие постановки задач и бездействие авиации, либо постановка перед летчиками нереальных боевых задач. Чтобы избежать таких недоразумений, были изданы подробные указания по использованию нового рода войск. Особую заботу о летчиках проявил главнокомандующий Юго-Западным фронтом, который издал приказ №6 от 12 августа 1914 г.: "Придавая большое значение работе аэропланов и признавая весь риск и трудности выполнения задач летчиками и наблюдателями, приказываю...". Далее шли указания летать не больше одного раза в день на дальность не более 200-230 верст, полеты совершать в утренние часы. Штабному начальству предписывалось не посылать летчиков по мелочам, не злоупотреблять частым направлением аппаратов к линии фронта, давать задачи на поиск крупных соединений противника, не поручать летчикам и наблюдателям разбрасывать прокламации, ибо в случае пленения они не приравниваются к военнопленным и могут быть расстреляны, и т.д. Бичом русской авиации в первые месяцы войны стал безудержный обстрел аппаратов своими войсками, что стало причиной гибели нескольких авиаторов. Например, 13 августа при перелете линии фронта был убит своими войсками военный летчик 25-го КАО поручик Гудим, 27 августа такая же участь постигла при посадке военного летчика 11-го КАО поручика Лемешко и т.д. Другие случаи имели менее трагические последствия. Так, "30 июля 1914г. начальник 7-го корпусного авиаотряда штабс-капитан Степанов вылетел для производства воздушной разведки, пролетая над местечком Ярмолинцы, подвергся обстрелу залпами... получил пробоины в стабилизатор и крыло. Расследование показало... стреляли роты 60-го пехотного Замоского полка". В тот же день летчик того же отряда поручик Сабельников попал в такую же ситуацию. Результат - 4 пробоины. Подобных примеров было много, и это вынудило командование издать приказы, запрещавшие "стрелять по своим и планирующим аппаратам, стрельбу вести только по приказу офицера или при бросании бомб противником". Господам офицерам было приказано изучить знаки своих и неприятельских аэропланов, знать их силуэты. Начальный период войны выявил плохую организацию в снабжении авиационных отрядов и рот бензином, касторовым маслом, запчастями, палатками и другим авиационным имуществом. Самолеты и моторы быстро выходили из строя в суровых полевых условиях, особенно с наступлением ненастной осенней погоды, когда остро сказались нехватка палаток и переносных ангаров, использование для аэродромов малопригодных площадок. Уже после первых месяцев войны многие авиаотряды пришлось отвести в тыл для снабжения аэропланами новых систем и для переучивания летчиков на них. Так, пилоты, летавшие на "Ньюпорах", освоили "Мораны". Широко использовалась для вооружения отрядов отремонтированная трофейная авиатехника. Поставки самолетов и назначения личного состава целиком зависели от штаба авиации, возглавлявшегося Великим князем Александром Михайловичем. Он часто назначал командирами рот и начальниками отрядов офицеров, хорошо писавших отчеты, но мало летавших. В этой ситуации протежируемые отряды снабжались самолетами вне очереди , тогда как части, несшие ответственную и тяжелую работу, оставались без аэропланов. Снабжение самолетами оставалось большой проблемой, которая часто решалась на самом высоком уровне. Так, 31 августа 1914 г. командующий 8-й армией генерал Брусилов бьет челом Великому князю: "Настоящее время лишился совершенно воздушных аппаратов, столь драгоценных для разведок, что ставит управление войсками в крайне трудное положение. ...Покорно прошу Ваше императорское высочество оказать армии величайшую помощь "Фарманами" и "Ньюпорами". Деятельность летчиков в разведке незаменима." Просьба Брусилова была удовлетворена, и армия получила 4 самолета из состава Брест-Литовского крепостного авиаотряда. Однако таких просьб было множество, а дефицит самолетов и моторов стал хронической болезнью русской авиации до конца войны. К началу боевых действий в составе воздушного флота России насчитывался 221 летчик: 170 офицеров, 35 нижних чинов и 16 вольноопределяющихся (добровольцев). На 1 января 1915 г. потери летчиков составили 33 человека или 14,9% от общего состава. Из них 6 погибли от действий неприятеля, 5 - в авариях, 22 попали в плен и пропали без вести. Среди погибших: штабс-капитаны Грузинов, Нестеров, поручики Лемешко, Гудим, старший унтер-офицер Доброшинский и др. Пропали без вести: поручики Николаевский, Шамин, Машерек и др. Ранены или разбились при падении: капитан Витковский, гвардии штабс-капитан Мельницкий, штабс-капитан Мучник, поручики Городецкий, Корнидов, Павлов, доброволец Шпицберг. Некоторые из них, например, летчик-доброволец 16-го КАО Шпицберг, впоследствии скончались в госпитале. В скорбный список боевых потерь одним из первых попал военный летчик начальник 14-го КАО Ефграф Ефграфович Грузинов, смертельно раненный шрапнелью в воздухе во время выполнения боевого задания. 17 августа он вылетел на разведку района Кщонов-Пиляш-Ковице-Быхов-Люблин и обратно не вернулся. Самолет упал на вражеской территории, которую вскоре заняли русские войска. У села Быхово близ Янова были найдены свежая могила и разбитый "Ньюпор". В могиле обнаружили тело Грузинова, вопрос местных жителей и пленных австрийцев дал представление об обстоятельствах его гибели. Выяснилось, что самолет пролетал над австрийскими позициями на высоте 1000-1200 м и был обстрелян сначала пехотой, потом артиллерийской батареей, которая дала три залпа. Два первых цели не достигли. После третьего аппарат дрогнул, перевернулся и, сделав крутой вираж, врезался в землю с работающим мотором. Посмертно высочайшим приказом штабс-капитан Грузинов был награжден орденом Святого Георгия 4-й степени. Состоялись и первые воздушные бои. Таран и героическая гибель 26 августа военного летчика начальника 11-го КАО Петра Николаевича Нестерова открыли новую эпоху борьбы в воздухе. Из вооружения у русских авиаторов имелись только пистолеты "Маузер" и карабины. Хроника тех лет описывает несколько случаев воздушных боев. Так, 28 октября в окрестностях Петроково (под Варшавой) "появился неприятельский аэроплан. Через несколько минут поднялись два наших летчика и после воздушного боя сбросили "Таубе" на землю. Немецкие авиаторы разбились. Неприятельский аэроплан исковеркан". К сожалению, подтверждения этому газетному сообщению не нашлось. А вот воздушный бой и совместные действия с артиллерией, принесшие успех военному летчику Гродненского крепостного авиаотряда поручику Семенову, были подтверждены несколькими донесениями, хранящимися в Военно-историческом архиве. 27 августа Семенов с наблюдателем корнетом Николаевым при перелете через озеро Мейер, что в Восточной Пруссии, заметил неприятельский аэроплан, летевший к Летцену. Обойдя противника с правой стороны, Семенов атаковал его, заставил спуститься ниже и изменить направление полета в район русских позиций, где тот был обстрелян и около озера упал (11237).</w:t>
      </w:r>
    </w:p>
    <w:p w14:paraId="4BA5C536" w14:textId="77777777" w:rsidR="00B67D7C" w:rsidRPr="00DE096C" w:rsidRDefault="00B67D7C" w:rsidP="00D45A46">
      <w:pPr>
        <w:jc w:val="both"/>
        <w:rPr>
          <w:bCs/>
          <w:i/>
          <w:color w:val="002060"/>
          <w:sz w:val="16"/>
          <w:szCs w:val="16"/>
        </w:rPr>
      </w:pPr>
    </w:p>
    <w:p w14:paraId="318B7B90" w14:textId="41B3550A"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28</w:t>
      </w:r>
      <w:r w:rsidR="00C04F53" w:rsidRPr="00DE096C">
        <w:rPr>
          <w:bCs/>
          <w:i w:val="0"/>
          <w:color w:val="002060"/>
          <w:spacing w:val="0"/>
          <w:kern w:val="0"/>
          <w:position w:val="0"/>
          <w:sz w:val="16"/>
          <w:szCs w:val="16"/>
        </w:rPr>
        <w:t xml:space="preserve"> ноября </w:t>
      </w:r>
      <w:r w:rsidRPr="00DE096C">
        <w:rPr>
          <w:bCs/>
          <w:i w:val="0"/>
          <w:color w:val="002060"/>
          <w:spacing w:val="0"/>
          <w:kern w:val="0"/>
          <w:position w:val="0"/>
          <w:sz w:val="16"/>
          <w:szCs w:val="16"/>
        </w:rPr>
        <w:t>(11 декабря) 1914</w:t>
      </w:r>
      <w:r w:rsidR="00C04F53" w:rsidRPr="00DE096C">
        <w:rPr>
          <w:bCs/>
          <w:i w:val="0"/>
          <w:color w:val="002060"/>
          <w:spacing w:val="0"/>
          <w:kern w:val="0"/>
          <w:position w:val="0"/>
          <w:sz w:val="16"/>
          <w:szCs w:val="16"/>
        </w:rPr>
        <w:t xml:space="preserve"> г. заведующий организацией авиационного дела в армиях Юго-западного фронта Великий князь Александр Михайлович в своем донесении Верховному Главнокомандующему</w:t>
      </w:r>
      <w:r w:rsidRPr="00DE096C">
        <w:rPr>
          <w:bCs/>
          <w:i w:val="0"/>
          <w:color w:val="002060"/>
          <w:spacing w:val="0"/>
          <w:kern w:val="0"/>
          <w:position w:val="0"/>
          <w:sz w:val="16"/>
          <w:szCs w:val="16"/>
        </w:rPr>
        <w:t>: "... определенные специальными фотографическими снимками снежного покрова места попадания наших снарядов... выяснили некоторые дефекты в определении целей и расстояний". ). В осаде Перемышля задействовались объединенные в группу 24-й корпусной и Брест-Литовский авиаотряды во главе с одним из опытнейших военных летчиков поручиком Е.Рудневым. В задачу группы, кроме разведки, входила и бомбардировка крепости. За время осады было сброшено около 50 различных бомб массой от 6 фунтов до 2 пудов 30 фунтов (2,7-46,4 кг). "Особенно энергичная деятельность была развита 18-го ноября... За этот день было совершено 13 полетов, сделано 14 фотоснимков крепости и ее фортов, сброшено 27 бомб общим весом взрывчатки 21 пуд 20 фунтов (353 кг). Бомбы были сброшены с высоты 1700-2200 м..., причем по результатам взрывов во многих местах начались пожары. Все летавшие были отстреляны шрапнелью противника..." С помощью воздушной разведки русское командование следило за всеми действиями осажденного гарнизона, который сдался 5 марта 1915 г. (11278).</w:t>
      </w:r>
    </w:p>
    <w:p w14:paraId="4F102013" w14:textId="77777777" w:rsidR="00B67D7C" w:rsidRPr="00DE096C" w:rsidRDefault="00B67D7C" w:rsidP="00D45A46">
      <w:pPr>
        <w:pStyle w:val="a3"/>
        <w:jc w:val="both"/>
        <w:rPr>
          <w:bCs/>
          <w:i w:val="0"/>
          <w:color w:val="002060"/>
          <w:spacing w:val="0"/>
          <w:kern w:val="0"/>
          <w:position w:val="0"/>
          <w:sz w:val="16"/>
          <w:szCs w:val="16"/>
        </w:rPr>
      </w:pPr>
    </w:p>
    <w:p w14:paraId="1551F291"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Самолетостроение:</w:t>
      </w:r>
    </w:p>
    <w:p w14:paraId="03D3633F" w14:textId="77777777" w:rsidR="00B67D7C" w:rsidRPr="00DE096C" w:rsidRDefault="00B67D7C" w:rsidP="00D45A46">
      <w:pPr>
        <w:pStyle w:val="a3"/>
        <w:jc w:val="both"/>
        <w:rPr>
          <w:bCs/>
          <w:color w:val="002060"/>
          <w:spacing w:val="0"/>
          <w:kern w:val="0"/>
          <w:position w:val="0"/>
          <w:sz w:val="16"/>
          <w:szCs w:val="16"/>
        </w:rPr>
      </w:pPr>
    </w:p>
    <w:p w14:paraId="5F930EB3" w14:textId="405A9834"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29 ноября (12 декабря) 1914 </w:t>
      </w:r>
      <w:r w:rsidR="008D11FF" w:rsidRPr="00DE096C">
        <w:rPr>
          <w:bCs/>
          <w:color w:val="002060"/>
          <w:sz w:val="16"/>
          <w:szCs w:val="16"/>
        </w:rPr>
        <w:t>в</w:t>
      </w:r>
      <w:r w:rsidRPr="00DE096C">
        <w:rPr>
          <w:bCs/>
          <w:color w:val="002060"/>
          <w:sz w:val="16"/>
          <w:szCs w:val="16"/>
        </w:rPr>
        <w:t>олынский помещик и летчик-спортсмен Эммануил Михайлович Малынский разработал проект полета из России через Германию во Францию, дабы оттуда, нагрузившись взрывчатым веществом, лететь в Германию и атаковать крупповский завод в Эссене. Для этой цели он оказал поддержку инженеру В.А.Слесареву в постройке его самолета "Святогор" с большим радиусом действия. Вылет предполагался из Петрограда с посадкой у границ Германии. В проекте Малынского впервые была выражена идея так называемого "челночного"' полета и полета на дальность с "подскоком", которая была реализована только во вторую миро</w:t>
      </w:r>
      <w:r w:rsidRPr="00DE096C">
        <w:rPr>
          <w:bCs/>
          <w:color w:val="002060"/>
          <w:sz w:val="16"/>
          <w:szCs w:val="16"/>
        </w:rPr>
        <w:softHyphen/>
        <w:t>вую войну (ЦГВИА. ф. 2008, д. 343).</w:t>
      </w:r>
    </w:p>
    <w:p w14:paraId="27A7C651" w14:textId="77777777" w:rsidR="00B67D7C" w:rsidRPr="00DE096C" w:rsidRDefault="00B67D7C" w:rsidP="00D45A46">
      <w:pPr>
        <w:shd w:val="clear" w:color="auto" w:fill="FFFFFF"/>
        <w:jc w:val="both"/>
        <w:rPr>
          <w:bCs/>
          <w:color w:val="002060"/>
          <w:sz w:val="16"/>
          <w:szCs w:val="16"/>
        </w:rPr>
      </w:pPr>
    </w:p>
    <w:p w14:paraId="7E9896B6" w14:textId="77777777" w:rsidR="008D11FF" w:rsidRPr="00DE096C" w:rsidRDefault="008D11FF" w:rsidP="00D45A46">
      <w:pPr>
        <w:jc w:val="both"/>
        <w:rPr>
          <w:bCs/>
          <w:color w:val="002060"/>
          <w:sz w:val="16"/>
          <w:szCs w:val="16"/>
        </w:rPr>
      </w:pPr>
      <w:r w:rsidRPr="00DE096C">
        <w:rPr>
          <w:bCs/>
          <w:color w:val="002060"/>
          <w:sz w:val="16"/>
          <w:szCs w:val="16"/>
        </w:rPr>
        <w:t>29 ноября (12 декабря) 1914 г. волынский помещик и летчик-спортсмен Эммануил Михайлович Малынский разработал проект полета из России через Германию во Францию, дабы оттуда, нагрузившись взрывчатым веществом, полететь в Германию и сбросить его на крупповский завод в Эссене. Для этой цели он заказал инженеру В.А.Слесареву самолет с боль</w:t>
      </w:r>
      <w:r w:rsidRPr="00DE096C">
        <w:rPr>
          <w:bCs/>
          <w:color w:val="002060"/>
          <w:sz w:val="16"/>
          <w:szCs w:val="16"/>
        </w:rPr>
        <w:softHyphen/>
        <w:t>шим радиусом действия, вооруженный дальнобойными винтовками, радио средствами, аэронавигационными приборами, прожектором для ночного полета. Вылет предполагался из Петрограда с посадкой у границ Германии. В проекте Малынского впервые была выражена идея так назы</w:t>
      </w:r>
      <w:r w:rsidRPr="00DE096C">
        <w:rPr>
          <w:bCs/>
          <w:color w:val="002060"/>
          <w:sz w:val="16"/>
          <w:szCs w:val="16"/>
        </w:rPr>
        <w:softHyphen/>
        <w:t>ваемого "челночного" полета и полета на дальность с "подскоком", что было реализовано только во вторую мировую войну.</w:t>
      </w:r>
    </w:p>
    <w:p w14:paraId="3EDACDF3" w14:textId="77777777" w:rsidR="008D11FF" w:rsidRPr="00DE096C" w:rsidRDefault="008D11FF" w:rsidP="00D45A46">
      <w:pPr>
        <w:jc w:val="both"/>
        <w:rPr>
          <w:bCs/>
          <w:color w:val="002060"/>
          <w:sz w:val="16"/>
          <w:szCs w:val="16"/>
        </w:rPr>
      </w:pPr>
      <w:r w:rsidRPr="00DE096C">
        <w:rPr>
          <w:bCs/>
          <w:color w:val="002060"/>
          <w:sz w:val="16"/>
          <w:szCs w:val="16"/>
        </w:rPr>
        <w:t>/ЦГВИА, ф. 2008, д. 343/ (23320).</w:t>
      </w:r>
    </w:p>
    <w:p w14:paraId="6B1BAEE1" w14:textId="77777777" w:rsidR="008D11FF" w:rsidRPr="00DE096C" w:rsidRDefault="008D11FF" w:rsidP="00D45A46">
      <w:pPr>
        <w:jc w:val="both"/>
        <w:rPr>
          <w:bCs/>
          <w:color w:val="002060"/>
          <w:sz w:val="16"/>
          <w:szCs w:val="16"/>
        </w:rPr>
      </w:pPr>
    </w:p>
    <w:p w14:paraId="202CC8A5" w14:textId="7AA1F2F4" w:rsidR="00E95C04" w:rsidRPr="00DE096C" w:rsidRDefault="00E95C04" w:rsidP="00E95C04">
      <w:pPr>
        <w:jc w:val="both"/>
        <w:rPr>
          <w:bCs/>
          <w:i/>
          <w:color w:val="002060"/>
          <w:sz w:val="16"/>
          <w:szCs w:val="16"/>
        </w:rPr>
      </w:pPr>
      <w:r>
        <w:rPr>
          <w:bCs/>
          <w:i/>
          <w:color w:val="002060"/>
          <w:sz w:val="16"/>
          <w:szCs w:val="16"/>
        </w:rPr>
        <w:t>Авиация и воздухоплавание Англии</w:t>
      </w:r>
      <w:r w:rsidRPr="00DE096C">
        <w:rPr>
          <w:bCs/>
          <w:i/>
          <w:color w:val="002060"/>
          <w:sz w:val="16"/>
          <w:szCs w:val="16"/>
        </w:rPr>
        <w:t>:</w:t>
      </w:r>
    </w:p>
    <w:p w14:paraId="711A151D" w14:textId="77777777" w:rsidR="00E95C04" w:rsidRPr="00DE096C" w:rsidRDefault="00E95C04" w:rsidP="00E95C04">
      <w:pPr>
        <w:jc w:val="both"/>
        <w:rPr>
          <w:bCs/>
          <w:i/>
          <w:color w:val="002060"/>
          <w:sz w:val="16"/>
          <w:szCs w:val="16"/>
        </w:rPr>
      </w:pPr>
    </w:p>
    <w:p w14:paraId="20DB6109" w14:textId="77777777" w:rsidR="00E95C04" w:rsidRPr="00B52707" w:rsidRDefault="00E95C04" w:rsidP="00E95C04">
      <w:pPr>
        <w:jc w:val="both"/>
        <w:rPr>
          <w:color w:val="0070C0"/>
          <w:sz w:val="16"/>
          <w:szCs w:val="16"/>
        </w:rPr>
      </w:pPr>
      <w:r w:rsidRPr="00B52707">
        <w:rPr>
          <w:color w:val="0070C0"/>
          <w:sz w:val="16"/>
          <w:szCs w:val="16"/>
        </w:rPr>
        <w:t>29 ноября (12 декабря 1914 г.) фирма «Виккерс» сдала первый серийный В.Е.2с (25679).</w:t>
      </w:r>
    </w:p>
    <w:p w14:paraId="1B2668D8" w14:textId="77777777" w:rsidR="00E95C04" w:rsidRPr="00B52707" w:rsidRDefault="00E95C04" w:rsidP="00E95C04">
      <w:pPr>
        <w:jc w:val="both"/>
        <w:rPr>
          <w:color w:val="0070C0"/>
          <w:sz w:val="16"/>
          <w:szCs w:val="16"/>
        </w:rPr>
      </w:pPr>
    </w:p>
    <w:p w14:paraId="6A6FCA5E" w14:textId="77777777" w:rsidR="00FA375E" w:rsidRPr="00DE096C" w:rsidRDefault="00FA375E" w:rsidP="00D45A46">
      <w:pPr>
        <w:jc w:val="both"/>
        <w:rPr>
          <w:bCs/>
          <w:i/>
          <w:color w:val="002060"/>
          <w:sz w:val="16"/>
          <w:szCs w:val="16"/>
        </w:rPr>
      </w:pPr>
      <w:r w:rsidRPr="00DE096C">
        <w:rPr>
          <w:bCs/>
          <w:i/>
          <w:color w:val="002060"/>
          <w:sz w:val="16"/>
          <w:szCs w:val="16"/>
        </w:rPr>
        <w:t>Другие оборонные отрасли:</w:t>
      </w:r>
    </w:p>
    <w:p w14:paraId="5DB37A26" w14:textId="77777777" w:rsidR="00FA375E" w:rsidRPr="00DE096C" w:rsidRDefault="00FA375E" w:rsidP="00D45A46">
      <w:pPr>
        <w:jc w:val="both"/>
        <w:rPr>
          <w:bCs/>
          <w:i/>
          <w:color w:val="002060"/>
          <w:sz w:val="16"/>
          <w:szCs w:val="16"/>
        </w:rPr>
      </w:pPr>
    </w:p>
    <w:p w14:paraId="4961E343" w14:textId="7655B9BD" w:rsidR="00FA375E" w:rsidRPr="00DE096C" w:rsidRDefault="00FA375E" w:rsidP="00D45A46">
      <w:pPr>
        <w:jc w:val="both"/>
        <w:rPr>
          <w:bCs/>
          <w:color w:val="002060"/>
          <w:sz w:val="16"/>
          <w:szCs w:val="16"/>
        </w:rPr>
      </w:pPr>
      <w:r w:rsidRPr="00DE096C">
        <w:rPr>
          <w:bCs/>
          <w:color w:val="002060"/>
          <w:sz w:val="16"/>
          <w:szCs w:val="16"/>
        </w:rPr>
        <w:t xml:space="preserve">30 ноября </w:t>
      </w:r>
      <w:r w:rsidR="00C04F53" w:rsidRPr="00DE096C">
        <w:rPr>
          <w:bCs/>
          <w:color w:val="002060"/>
          <w:sz w:val="16"/>
          <w:szCs w:val="16"/>
        </w:rPr>
        <w:t xml:space="preserve">(13 декабря) </w:t>
      </w:r>
      <w:r w:rsidRPr="00DE096C">
        <w:rPr>
          <w:bCs/>
          <w:color w:val="002060"/>
          <w:sz w:val="16"/>
          <w:szCs w:val="16"/>
        </w:rPr>
        <w:t>1914 г. вышло предписание Ставки за №213, в которм потребность действующей армии в тракторах была определена в количестве "150 машин гусеничного, автомобильного и дорожного типов".</w:t>
      </w:r>
    </w:p>
    <w:p w14:paraId="4B586AEA" w14:textId="77777777" w:rsidR="00FA375E" w:rsidRPr="00DE096C" w:rsidRDefault="00FA375E" w:rsidP="00D45A46">
      <w:pPr>
        <w:jc w:val="both"/>
        <w:rPr>
          <w:bCs/>
          <w:color w:val="002060"/>
          <w:sz w:val="16"/>
          <w:szCs w:val="16"/>
        </w:rPr>
      </w:pPr>
      <w:r w:rsidRPr="00DE096C">
        <w:rPr>
          <w:bCs/>
          <w:color w:val="002060"/>
          <w:sz w:val="16"/>
          <w:szCs w:val="16"/>
        </w:rPr>
        <w:t>Относительно типов тракторов Ставка дала следующие указания: "Наиболее желательными признаются в армии тракторы автомобильного типа, однако, при условии возможно меньшего давления на единицу площади обода колеса и, во всяком случае, с такой нагрузкой на колеса, которую выдерживают мосты на наших грунтовых дорогах (250--300 пудов). Такие тракторы признаются желательными везде, где есть возможность движения по дорогам, хотя бы грунтовым. Вместе с тем в армии признается необходимым иметь при таких тракторах прицепные повозки с самостоятельным управлением.</w:t>
      </w:r>
    </w:p>
    <w:p w14:paraId="1A0A6A3A" w14:textId="77777777" w:rsidR="00FA375E" w:rsidRPr="00DE096C" w:rsidRDefault="00FA375E" w:rsidP="00D45A46">
      <w:pPr>
        <w:jc w:val="both"/>
        <w:rPr>
          <w:bCs/>
          <w:color w:val="002060"/>
          <w:sz w:val="16"/>
          <w:szCs w:val="16"/>
        </w:rPr>
      </w:pPr>
      <w:r w:rsidRPr="00DE096C">
        <w:rPr>
          <w:bCs/>
          <w:color w:val="002060"/>
          <w:sz w:val="16"/>
          <w:szCs w:val="16"/>
        </w:rPr>
        <w:lastRenderedPageBreak/>
        <w:t>Тракторы гусеничного типа требуются в меньшем количестве. Они наиболее применимы при перемещении тяжелых орудий, что необходимо, главным образом, при осаде крепостей. Прочие тракторы имеют крайне ограниченное применение и для выполнения боевых задач непригодны" (18380).</w:t>
      </w:r>
    </w:p>
    <w:p w14:paraId="1C99F708" w14:textId="77777777" w:rsidR="00FA375E" w:rsidRPr="00DE096C" w:rsidRDefault="00FA375E" w:rsidP="00D45A46">
      <w:pPr>
        <w:jc w:val="both"/>
        <w:rPr>
          <w:bCs/>
          <w:color w:val="002060"/>
          <w:sz w:val="16"/>
          <w:szCs w:val="16"/>
        </w:rPr>
      </w:pPr>
    </w:p>
    <w:p w14:paraId="59A6BE14"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Авиация:</w:t>
      </w:r>
    </w:p>
    <w:p w14:paraId="6CD6ECBD" w14:textId="77777777" w:rsidR="00B67D7C" w:rsidRPr="00DE096C" w:rsidRDefault="00B67D7C" w:rsidP="00D45A46">
      <w:pPr>
        <w:pStyle w:val="a3"/>
        <w:jc w:val="both"/>
        <w:rPr>
          <w:bCs/>
          <w:color w:val="002060"/>
          <w:spacing w:val="0"/>
          <w:kern w:val="0"/>
          <w:position w:val="0"/>
          <w:sz w:val="16"/>
          <w:szCs w:val="16"/>
        </w:rPr>
      </w:pPr>
    </w:p>
    <w:p w14:paraId="0C4508F2" w14:textId="4E4035D6" w:rsidR="00B67D7C" w:rsidRPr="00DE096C" w:rsidRDefault="00B67D7C" w:rsidP="00D45A46">
      <w:pPr>
        <w:jc w:val="both"/>
        <w:rPr>
          <w:bCs/>
          <w:color w:val="002060"/>
          <w:sz w:val="16"/>
          <w:szCs w:val="16"/>
        </w:rPr>
      </w:pPr>
      <w:bookmarkStart w:id="208" w:name="_Hlk117409217"/>
      <w:r w:rsidRPr="00DE096C">
        <w:rPr>
          <w:bCs/>
          <w:color w:val="002060"/>
          <w:sz w:val="16"/>
          <w:szCs w:val="16"/>
        </w:rPr>
        <w:t xml:space="preserve">30 ноября (13 декабря) 1914 года </w:t>
      </w:r>
      <w:r w:rsidR="00C04F53" w:rsidRPr="00DE096C">
        <w:rPr>
          <w:bCs/>
          <w:color w:val="002060"/>
          <w:sz w:val="16"/>
          <w:szCs w:val="16"/>
        </w:rPr>
        <w:t xml:space="preserve">приказом главнокомандующего </w:t>
      </w:r>
      <w:r w:rsidRPr="00DE096C">
        <w:rPr>
          <w:bCs/>
          <w:color w:val="002060"/>
          <w:sz w:val="16"/>
          <w:szCs w:val="16"/>
        </w:rPr>
        <w:t>№ 90</w:t>
      </w:r>
      <w:r w:rsidR="00C04F53" w:rsidRPr="00DE096C">
        <w:rPr>
          <w:bCs/>
          <w:color w:val="002060"/>
          <w:sz w:val="16"/>
          <w:szCs w:val="16"/>
        </w:rPr>
        <w:t xml:space="preserve"> былавведена в действие «Инструкция по воздухоплаванию», в которой особое внимание уделили постам наблюдения за небосклоном, которые формировались в частях и подразделениях 6-й армии</w:t>
      </w:r>
      <w:r w:rsidRPr="00DE096C">
        <w:rPr>
          <w:bCs/>
          <w:color w:val="002060"/>
          <w:sz w:val="16"/>
          <w:szCs w:val="16"/>
        </w:rPr>
        <w:t>.</w:t>
      </w:r>
    </w:p>
    <w:p w14:paraId="4F74F02C" w14:textId="105E3786" w:rsidR="00B67D7C" w:rsidRPr="00DE096C" w:rsidRDefault="00B67D7C" w:rsidP="00D45A46">
      <w:pPr>
        <w:jc w:val="both"/>
        <w:rPr>
          <w:bCs/>
          <w:color w:val="002060"/>
          <w:sz w:val="16"/>
          <w:szCs w:val="16"/>
        </w:rPr>
      </w:pPr>
      <w:r w:rsidRPr="00DE096C">
        <w:rPr>
          <w:bCs/>
          <w:color w:val="002060"/>
          <w:sz w:val="16"/>
          <w:szCs w:val="16"/>
        </w:rPr>
        <w:t>Дальни</w:t>
      </w:r>
      <w:r w:rsidR="00C04F53" w:rsidRPr="00DE096C">
        <w:rPr>
          <w:bCs/>
          <w:color w:val="002060"/>
          <w:sz w:val="16"/>
          <w:szCs w:val="16"/>
        </w:rPr>
        <w:t>е</w:t>
      </w:r>
      <w:r w:rsidRPr="00DE096C">
        <w:rPr>
          <w:bCs/>
          <w:color w:val="002060"/>
          <w:sz w:val="16"/>
          <w:szCs w:val="16"/>
        </w:rPr>
        <w:t>, посты воздушного наблюдения располагались вдоль западной границы Финляндии и по берегу Ботнического залива Балтийского моря. Пограничная стража должна была обнаружить воздушного противника на территории Финляндии и оповестить о нем Штаб воздушной обороны Петрограда (Штаб создан в соответствии с приказом главнокомандующего 6-й армией от 12 мая 1915года № 112).</w:t>
      </w:r>
    </w:p>
    <w:p w14:paraId="542EB408" w14:textId="77777777" w:rsidR="00B67D7C" w:rsidRPr="00DE096C" w:rsidRDefault="00B67D7C" w:rsidP="00D45A46">
      <w:pPr>
        <w:jc w:val="both"/>
        <w:rPr>
          <w:bCs/>
          <w:color w:val="002060"/>
          <w:sz w:val="16"/>
          <w:szCs w:val="16"/>
        </w:rPr>
      </w:pPr>
      <w:r w:rsidRPr="00DE096C">
        <w:rPr>
          <w:bCs/>
          <w:color w:val="002060"/>
          <w:sz w:val="16"/>
          <w:szCs w:val="16"/>
        </w:rPr>
        <w:t>Ближняя линия воздушного наблюдения была развернута на базе артиллерийского укрепленного района вокруг российской столицы и на кораблях Балтийского флота.</w:t>
      </w:r>
    </w:p>
    <w:p w14:paraId="1EBD6DE6" w14:textId="77777777" w:rsidR="00B67D7C" w:rsidRPr="00DE096C" w:rsidRDefault="00B67D7C" w:rsidP="00D45A46">
      <w:pPr>
        <w:jc w:val="both"/>
        <w:rPr>
          <w:bCs/>
          <w:color w:val="002060"/>
          <w:sz w:val="16"/>
          <w:szCs w:val="16"/>
        </w:rPr>
      </w:pPr>
      <w:r w:rsidRPr="00DE096C">
        <w:rPr>
          <w:bCs/>
          <w:color w:val="002060"/>
          <w:sz w:val="16"/>
          <w:szCs w:val="16"/>
        </w:rPr>
        <w:t>Для установления быстроты связи между постами воздушного наблюдения и немедленной передачи донесений от них в Петроград начальника воздушной обороны Петрограда обязали организовать непосредственную связь постов с избранным им центральным пунктом, а также связь между центральным пунктом и артиллерией, аэропланами и командами, назначенными для отражения воздушного нападения противника.</w:t>
      </w:r>
    </w:p>
    <w:p w14:paraId="642DE5F9" w14:textId="77777777" w:rsidR="00B67D7C" w:rsidRPr="00DE096C" w:rsidRDefault="00B67D7C" w:rsidP="00D45A46">
      <w:pPr>
        <w:jc w:val="both"/>
        <w:rPr>
          <w:bCs/>
          <w:color w:val="002060"/>
          <w:sz w:val="16"/>
          <w:szCs w:val="16"/>
        </w:rPr>
      </w:pPr>
      <w:r w:rsidRPr="00DE096C">
        <w:rPr>
          <w:bCs/>
          <w:color w:val="002060"/>
          <w:sz w:val="16"/>
          <w:szCs w:val="16"/>
        </w:rPr>
        <w:t>12 мая 1915 года главнокомандующий 6-й армией издал специальную Инструкцию № 1 «Постам из нижних чинов для наблюдения за небосклоном». В ней определялись:</w:t>
      </w:r>
    </w:p>
    <w:p w14:paraId="4FDC5DFE" w14:textId="77777777" w:rsidR="00B67D7C" w:rsidRPr="00DE096C" w:rsidRDefault="00B67D7C" w:rsidP="00D45A46">
      <w:pPr>
        <w:jc w:val="both"/>
        <w:rPr>
          <w:bCs/>
          <w:color w:val="002060"/>
          <w:sz w:val="16"/>
          <w:szCs w:val="16"/>
        </w:rPr>
      </w:pPr>
      <w:r w:rsidRPr="00DE096C">
        <w:rPr>
          <w:bCs/>
          <w:color w:val="002060"/>
          <w:sz w:val="16"/>
          <w:szCs w:val="16"/>
        </w:rPr>
        <w:t>а) состав формируемых постов;</w:t>
      </w:r>
    </w:p>
    <w:p w14:paraId="540EBFA0" w14:textId="77777777" w:rsidR="00B67D7C" w:rsidRPr="00DE096C" w:rsidRDefault="00B67D7C" w:rsidP="00D45A46">
      <w:pPr>
        <w:jc w:val="both"/>
        <w:rPr>
          <w:bCs/>
          <w:color w:val="002060"/>
          <w:sz w:val="16"/>
          <w:szCs w:val="16"/>
        </w:rPr>
      </w:pPr>
      <w:r w:rsidRPr="00DE096C">
        <w:rPr>
          <w:bCs/>
          <w:color w:val="002060"/>
          <w:sz w:val="16"/>
          <w:szCs w:val="16"/>
        </w:rPr>
        <w:t>б) районы наблюдения;</w:t>
      </w:r>
    </w:p>
    <w:p w14:paraId="54DA3B9C" w14:textId="77777777" w:rsidR="00B67D7C" w:rsidRPr="00DE096C" w:rsidRDefault="00B67D7C" w:rsidP="00D45A46">
      <w:pPr>
        <w:jc w:val="both"/>
        <w:rPr>
          <w:bCs/>
          <w:color w:val="002060"/>
          <w:sz w:val="16"/>
          <w:szCs w:val="16"/>
        </w:rPr>
      </w:pPr>
      <w:r w:rsidRPr="00DE096C">
        <w:rPr>
          <w:bCs/>
          <w:color w:val="002060"/>
          <w:sz w:val="16"/>
          <w:szCs w:val="16"/>
        </w:rPr>
        <w:t>в) должностные обязанности нижних чинов постов;</w:t>
      </w:r>
    </w:p>
    <w:p w14:paraId="532DAB62" w14:textId="77777777" w:rsidR="00B67D7C" w:rsidRPr="00DE096C" w:rsidRDefault="00B67D7C" w:rsidP="00D45A46">
      <w:pPr>
        <w:jc w:val="both"/>
        <w:rPr>
          <w:bCs/>
          <w:color w:val="002060"/>
          <w:sz w:val="16"/>
          <w:szCs w:val="16"/>
        </w:rPr>
      </w:pPr>
      <w:r w:rsidRPr="00DE096C">
        <w:rPr>
          <w:bCs/>
          <w:color w:val="002060"/>
          <w:sz w:val="16"/>
          <w:szCs w:val="16"/>
        </w:rPr>
        <w:t>г) порядок несения боевого дежурства и оповещения в случае появления в небе воздухоплавательных аппаратов противника.</w:t>
      </w:r>
    </w:p>
    <w:p w14:paraId="1A14B508" w14:textId="77777777" w:rsidR="00B67D7C" w:rsidRPr="00DE096C" w:rsidRDefault="00B67D7C" w:rsidP="00D45A46">
      <w:pPr>
        <w:jc w:val="both"/>
        <w:rPr>
          <w:bCs/>
          <w:color w:val="002060"/>
          <w:sz w:val="16"/>
          <w:szCs w:val="16"/>
        </w:rPr>
      </w:pPr>
      <w:r w:rsidRPr="00DE096C">
        <w:rPr>
          <w:bCs/>
          <w:color w:val="002060"/>
          <w:sz w:val="16"/>
          <w:szCs w:val="16"/>
        </w:rPr>
        <w:t>Впервые для оперативности передачи информации о воздушном противнике по линии связи Инструкцией вводится термин «Воздух», который и в настоящее время используется в ходе боевого дежурства подразделений противовоздушной обороны.</w:t>
      </w:r>
    </w:p>
    <w:p w14:paraId="2771B2FF" w14:textId="77777777" w:rsidR="00B67D7C" w:rsidRPr="00DE096C" w:rsidRDefault="00B67D7C" w:rsidP="00D45A46">
      <w:pPr>
        <w:jc w:val="both"/>
        <w:rPr>
          <w:bCs/>
          <w:color w:val="002060"/>
          <w:sz w:val="16"/>
          <w:szCs w:val="16"/>
        </w:rPr>
      </w:pPr>
      <w:r w:rsidRPr="00DE096C">
        <w:rPr>
          <w:bCs/>
          <w:color w:val="002060"/>
          <w:sz w:val="16"/>
          <w:szCs w:val="16"/>
        </w:rPr>
        <w:t>На постах наблюдения за небосклоном Инструкцией вводились специальные рабочие журналы, ставшие прообразом современных журналов несения боевого дежурства.</w:t>
      </w:r>
    </w:p>
    <w:p w14:paraId="4FECB83A" w14:textId="77777777" w:rsidR="00B67D7C" w:rsidRPr="00DE096C" w:rsidRDefault="00B67D7C" w:rsidP="00D45A46">
      <w:pPr>
        <w:jc w:val="both"/>
        <w:rPr>
          <w:bCs/>
          <w:color w:val="002060"/>
          <w:sz w:val="16"/>
          <w:szCs w:val="16"/>
        </w:rPr>
      </w:pPr>
      <w:r w:rsidRPr="00DE096C">
        <w:rPr>
          <w:bCs/>
          <w:color w:val="002060"/>
          <w:sz w:val="16"/>
          <w:szCs w:val="16"/>
        </w:rPr>
        <w:t>23 января 1915 года приказанием войскам 27-го армейского корпуса (г. Варшава) №13 организована воздушная оборона г. Варшавы. Для борьбы с воздушным флотом противника сформированы авиационные отряды под командованием штабс-капитана Грезо и поручика Воеводского.</w:t>
      </w:r>
    </w:p>
    <w:p w14:paraId="47646FDF" w14:textId="77777777" w:rsidR="00B67D7C" w:rsidRPr="00DE096C" w:rsidRDefault="00B67D7C" w:rsidP="00D45A46">
      <w:pPr>
        <w:jc w:val="both"/>
        <w:rPr>
          <w:bCs/>
          <w:color w:val="002060"/>
          <w:sz w:val="16"/>
          <w:szCs w:val="16"/>
        </w:rPr>
      </w:pPr>
      <w:r w:rsidRPr="00DE096C">
        <w:rPr>
          <w:bCs/>
          <w:color w:val="002060"/>
          <w:sz w:val="16"/>
          <w:szCs w:val="16"/>
        </w:rPr>
        <w:t>Общее руководство действиями авиационных отрядов было возложено на командира 2-й авиационной роты подполковника Генейко. Одновременно в этом районе действовал первый в русской армии истребительный авиационный отряд старшего лейтенанта Яцука Н.А.. Для своевременного оповещения частей воздушной обороны была установлена сеть наблюдательных постов, определено взаимодействие с противоаэропланной артиллерией Варшавской крепости, находящейся в распоряжении начальника Варшавской крепостной артиллерии полковника Глазкова П.Н.</w:t>
      </w:r>
    </w:p>
    <w:p w14:paraId="73249FF1" w14:textId="77777777" w:rsidR="00B67D7C" w:rsidRPr="00DE096C" w:rsidRDefault="00B67D7C" w:rsidP="00D45A46">
      <w:pPr>
        <w:jc w:val="both"/>
        <w:rPr>
          <w:bCs/>
          <w:color w:val="002060"/>
          <w:sz w:val="16"/>
          <w:szCs w:val="16"/>
        </w:rPr>
      </w:pPr>
      <w:r w:rsidRPr="00DE096C">
        <w:rPr>
          <w:bCs/>
          <w:color w:val="002060"/>
          <w:sz w:val="16"/>
          <w:szCs w:val="16"/>
        </w:rPr>
        <w:t>В течение 1915 - 1917 годов для организации воздушной обороны крупных военно-политических, административных центров страны: Могилева, Двинска, Минска, Пскова, Одессы, Николаева и т.д. формируется структура воздушного наблюдения и оповещения, входящая в состав организации обороны от воздушного нападения германской и австро-венгерской авиации.</w:t>
      </w:r>
    </w:p>
    <w:p w14:paraId="5F18C9E6" w14:textId="77777777" w:rsidR="00B67D7C" w:rsidRPr="00DE096C" w:rsidRDefault="00B67D7C" w:rsidP="00D45A46">
      <w:pPr>
        <w:jc w:val="both"/>
        <w:rPr>
          <w:bCs/>
          <w:color w:val="002060"/>
          <w:sz w:val="16"/>
          <w:szCs w:val="16"/>
        </w:rPr>
      </w:pPr>
      <w:r w:rsidRPr="00DE096C">
        <w:rPr>
          <w:bCs/>
          <w:color w:val="002060"/>
          <w:sz w:val="16"/>
          <w:szCs w:val="16"/>
        </w:rPr>
        <w:t>Так, в 1917 году вокруг Петрограда и Одессы уже было выставлено по 60 наблюдательных постов, сведенных в роты наблюдателей и укомплектованных кадровыми офицерами и солдатами. В дальнейшем вокруг Петрограда количество таких постов увеличилось до 83. Для приема донесений от постов также было создано вокруг российской столицы 15 телефонных и телеграфных станций (11198).</w:t>
      </w:r>
    </w:p>
    <w:p w14:paraId="55066561" w14:textId="77777777" w:rsidR="00B67D7C" w:rsidRPr="00DE096C" w:rsidRDefault="00B67D7C" w:rsidP="00D45A46">
      <w:pPr>
        <w:jc w:val="both"/>
        <w:rPr>
          <w:bCs/>
          <w:color w:val="002060"/>
          <w:sz w:val="16"/>
          <w:szCs w:val="16"/>
        </w:rPr>
      </w:pPr>
    </w:p>
    <w:bookmarkEnd w:id="208"/>
    <w:p w14:paraId="5AF4AD4E" w14:textId="78146399" w:rsidR="00B67D7C" w:rsidRPr="00DE096C" w:rsidRDefault="00B67D7C" w:rsidP="00D45A46">
      <w:pPr>
        <w:jc w:val="both"/>
        <w:rPr>
          <w:bCs/>
          <w:color w:val="002060"/>
          <w:sz w:val="16"/>
          <w:szCs w:val="16"/>
        </w:rPr>
      </w:pPr>
      <w:r w:rsidRPr="00DE096C">
        <w:rPr>
          <w:bCs/>
          <w:color w:val="002060"/>
          <w:sz w:val="16"/>
          <w:szCs w:val="16"/>
        </w:rPr>
        <w:t xml:space="preserve">30 ноября </w:t>
      </w:r>
      <w:r w:rsidR="00970901" w:rsidRPr="00DE096C">
        <w:rPr>
          <w:bCs/>
          <w:color w:val="002060"/>
          <w:sz w:val="16"/>
          <w:szCs w:val="16"/>
        </w:rPr>
        <w:t xml:space="preserve">(13 декабря) </w:t>
      </w:r>
      <w:r w:rsidRPr="00DE096C">
        <w:rPr>
          <w:bCs/>
          <w:color w:val="002060"/>
          <w:sz w:val="16"/>
          <w:szCs w:val="16"/>
        </w:rPr>
        <w:t xml:space="preserve">1914 года </w:t>
      </w:r>
      <w:r w:rsidR="00970901" w:rsidRPr="00DE096C">
        <w:rPr>
          <w:bCs/>
          <w:color w:val="002060"/>
          <w:sz w:val="16"/>
          <w:szCs w:val="16"/>
        </w:rPr>
        <w:t xml:space="preserve">приказом главнокомандующего 6-й армией </w:t>
      </w:r>
      <w:r w:rsidRPr="00DE096C">
        <w:rPr>
          <w:bCs/>
          <w:color w:val="002060"/>
          <w:sz w:val="16"/>
          <w:szCs w:val="16"/>
        </w:rPr>
        <w:t>№ 90</w:t>
      </w:r>
      <w:r w:rsidR="00970901" w:rsidRPr="00DE096C">
        <w:rPr>
          <w:bCs/>
          <w:color w:val="002060"/>
          <w:sz w:val="16"/>
          <w:szCs w:val="16"/>
        </w:rPr>
        <w:t xml:space="preserve"> введена в действие«Инструкцией по воздухоплаванию»</w:t>
      </w:r>
      <w:r w:rsidRPr="00DE096C">
        <w:rPr>
          <w:bCs/>
          <w:color w:val="002060"/>
          <w:sz w:val="16"/>
          <w:szCs w:val="16"/>
        </w:rPr>
        <w:t>.</w:t>
      </w:r>
      <w:r w:rsidR="00970901" w:rsidRPr="00DE096C">
        <w:rPr>
          <w:bCs/>
          <w:color w:val="002060"/>
          <w:sz w:val="16"/>
          <w:szCs w:val="16"/>
        </w:rPr>
        <w:t xml:space="preserve"> Согласно ей, д</w:t>
      </w:r>
      <w:r w:rsidRPr="00DE096C">
        <w:rPr>
          <w:bCs/>
          <w:color w:val="002060"/>
          <w:sz w:val="16"/>
          <w:szCs w:val="16"/>
        </w:rPr>
        <w:t>альни, посты воздушного наблюдения располагались вдоль западной границы Финляндии и по берегу Ботнического залива Балтийского моря. Пограничная стража должна была обнаружить воздушного противника на территории Финляндии и оповестить о нем Штаб воздушной обороны Петрограда (Штаб создан в соответствии с приказом главнокомандующего 6-й армией от 12 мая 1915года № 112).</w:t>
      </w:r>
    </w:p>
    <w:p w14:paraId="77A97C33" w14:textId="77777777" w:rsidR="00B67D7C" w:rsidRPr="00DE096C" w:rsidRDefault="00B67D7C" w:rsidP="00D45A46">
      <w:pPr>
        <w:jc w:val="both"/>
        <w:rPr>
          <w:bCs/>
          <w:color w:val="002060"/>
          <w:sz w:val="16"/>
          <w:szCs w:val="16"/>
        </w:rPr>
      </w:pPr>
      <w:r w:rsidRPr="00DE096C">
        <w:rPr>
          <w:bCs/>
          <w:color w:val="002060"/>
          <w:sz w:val="16"/>
          <w:szCs w:val="16"/>
        </w:rPr>
        <w:t>Ближняя линия воздушного наблюдения была развернута на базе артиллерийского укрепленного района вокруг российской столицы и на кораблях Балтийского флота.</w:t>
      </w:r>
    </w:p>
    <w:p w14:paraId="3C0E9BD3" w14:textId="77777777" w:rsidR="00B67D7C" w:rsidRPr="00DE096C" w:rsidRDefault="00B67D7C" w:rsidP="00D45A46">
      <w:pPr>
        <w:jc w:val="both"/>
        <w:rPr>
          <w:bCs/>
          <w:color w:val="002060"/>
          <w:sz w:val="16"/>
          <w:szCs w:val="16"/>
        </w:rPr>
      </w:pPr>
      <w:r w:rsidRPr="00DE096C">
        <w:rPr>
          <w:bCs/>
          <w:color w:val="002060"/>
          <w:sz w:val="16"/>
          <w:szCs w:val="16"/>
        </w:rPr>
        <w:t>Для установления быстроты связи между постами воздушного наблюдения и немедленной передачи донесений от них в Петроград начальника воздушной обороны Петрограда обязали организовать непосредственную связь постов с избранным им центральным пунктом, а также связь между центральным пунктом и артиллерией, аэропланами и командами, назначенными для отражения воздушного нападения противника.</w:t>
      </w:r>
    </w:p>
    <w:p w14:paraId="177CCBB1" w14:textId="77777777" w:rsidR="00B67D7C" w:rsidRPr="00DE096C" w:rsidRDefault="00B67D7C" w:rsidP="00D45A46">
      <w:pPr>
        <w:jc w:val="both"/>
        <w:rPr>
          <w:bCs/>
          <w:i/>
          <w:color w:val="002060"/>
          <w:sz w:val="16"/>
          <w:szCs w:val="16"/>
        </w:rPr>
      </w:pPr>
    </w:p>
    <w:p w14:paraId="299EF734" w14:textId="22229B7B" w:rsidR="00FA375E" w:rsidRPr="00DE096C" w:rsidRDefault="00FA375E" w:rsidP="00D45A46">
      <w:pPr>
        <w:jc w:val="both"/>
        <w:rPr>
          <w:bCs/>
          <w:color w:val="002060"/>
          <w:sz w:val="16"/>
          <w:szCs w:val="16"/>
        </w:rPr>
      </w:pPr>
      <w:r w:rsidRPr="00DE096C">
        <w:rPr>
          <w:rStyle w:val="ucoz-forum-post"/>
          <w:bCs/>
          <w:color w:val="002060"/>
          <w:sz w:val="16"/>
          <w:szCs w:val="16"/>
        </w:rPr>
        <w:t xml:space="preserve">30 ноября </w:t>
      </w:r>
      <w:r w:rsidR="00970901" w:rsidRPr="00DE096C">
        <w:rPr>
          <w:rStyle w:val="ucoz-forum-post"/>
          <w:bCs/>
          <w:color w:val="002060"/>
          <w:sz w:val="16"/>
          <w:szCs w:val="16"/>
        </w:rPr>
        <w:t xml:space="preserve">(13 декабря) </w:t>
      </w:r>
      <w:r w:rsidRPr="00DE096C">
        <w:rPr>
          <w:bCs/>
          <w:color w:val="002060"/>
          <w:sz w:val="16"/>
          <w:szCs w:val="16"/>
        </w:rPr>
        <w:t>в 1914 году в соответствии с приказом № 90 главнокомандующего 6-й армией введена Инструкция начальнику воздушной обороны города Петрограда и Царского Села. Фактически сформирована первая в России система противовоздушной обороны крупного стратегического района. Начальником воздушной обороны района был назначен начальник офицерской электротехнической школы генерал-майор Г.В.Бурман (14845).</w:t>
      </w:r>
    </w:p>
    <w:p w14:paraId="527E5EAE" w14:textId="77777777" w:rsidR="00FA375E" w:rsidRPr="00DE096C" w:rsidRDefault="00FA375E" w:rsidP="00D45A46">
      <w:pPr>
        <w:jc w:val="both"/>
        <w:rPr>
          <w:bCs/>
          <w:color w:val="002060"/>
          <w:sz w:val="16"/>
          <w:szCs w:val="16"/>
        </w:rPr>
      </w:pPr>
    </w:p>
    <w:p w14:paraId="55031C6A" w14:textId="77777777" w:rsidR="00B67D7C" w:rsidRPr="00DE096C" w:rsidRDefault="00B67D7C" w:rsidP="00D45A46">
      <w:pPr>
        <w:jc w:val="both"/>
        <w:rPr>
          <w:bCs/>
          <w:i/>
          <w:color w:val="002060"/>
          <w:sz w:val="16"/>
          <w:szCs w:val="16"/>
        </w:rPr>
      </w:pPr>
      <w:r w:rsidRPr="00DE096C">
        <w:rPr>
          <w:bCs/>
          <w:i/>
          <w:color w:val="002060"/>
          <w:sz w:val="16"/>
          <w:szCs w:val="16"/>
        </w:rPr>
        <w:t>Самолетостроение:</w:t>
      </w:r>
    </w:p>
    <w:p w14:paraId="7365FB3A" w14:textId="77777777" w:rsidR="00B67D7C" w:rsidRPr="00DE096C" w:rsidRDefault="00B67D7C" w:rsidP="00D45A46">
      <w:pPr>
        <w:jc w:val="both"/>
        <w:rPr>
          <w:bCs/>
          <w:i/>
          <w:color w:val="002060"/>
          <w:sz w:val="16"/>
          <w:szCs w:val="16"/>
        </w:rPr>
      </w:pPr>
    </w:p>
    <w:p w14:paraId="5218EC59" w14:textId="685533AF" w:rsidR="00B67D7C" w:rsidRPr="00DE096C" w:rsidRDefault="00A40C34" w:rsidP="00D45A46">
      <w:pPr>
        <w:shd w:val="clear" w:color="auto" w:fill="FFFFFF"/>
        <w:jc w:val="both"/>
        <w:rPr>
          <w:bCs/>
          <w:color w:val="002060"/>
          <w:sz w:val="16"/>
          <w:szCs w:val="16"/>
        </w:rPr>
      </w:pPr>
      <w:r w:rsidRPr="00DE096C">
        <w:rPr>
          <w:bCs/>
          <w:color w:val="002060"/>
          <w:sz w:val="16"/>
          <w:szCs w:val="16"/>
        </w:rPr>
        <w:t>В</w:t>
      </w:r>
      <w:r w:rsidR="00B67D7C" w:rsidRPr="00DE096C">
        <w:rPr>
          <w:bCs/>
          <w:color w:val="002060"/>
          <w:sz w:val="16"/>
          <w:szCs w:val="16"/>
        </w:rPr>
        <w:t xml:space="preserve"> конце ноября </w:t>
      </w:r>
      <w:r w:rsidRPr="00DE096C">
        <w:rPr>
          <w:bCs/>
          <w:color w:val="002060"/>
          <w:sz w:val="16"/>
          <w:szCs w:val="16"/>
        </w:rPr>
        <w:t xml:space="preserve">1914 г. </w:t>
      </w:r>
      <w:r w:rsidR="00B67D7C" w:rsidRPr="00DE096C">
        <w:rPr>
          <w:bCs/>
          <w:color w:val="002060"/>
          <w:sz w:val="16"/>
          <w:szCs w:val="16"/>
        </w:rPr>
        <w:t>новую лодку напра</w:t>
      </w:r>
      <w:r w:rsidR="00B67D7C" w:rsidRPr="00DE096C">
        <w:rPr>
          <w:bCs/>
          <w:color w:val="002060"/>
          <w:sz w:val="16"/>
          <w:szCs w:val="16"/>
        </w:rPr>
        <w:softHyphen/>
        <w:t>вили на 3-ю морскую станцию в Ревель, а затем доставили и вто</w:t>
      </w:r>
      <w:r w:rsidR="00B67D7C" w:rsidRPr="00DE096C">
        <w:rPr>
          <w:bCs/>
          <w:color w:val="002060"/>
          <w:sz w:val="16"/>
          <w:szCs w:val="16"/>
        </w:rPr>
        <w:softHyphen/>
        <w:t>рую лодку 24 апреля 1915 г. Два самолёта, облётанные лётчиком-испытателем ПРТВ Я.И.Седовым-Серовым и лейтенантом И.И.Куль</w:t>
      </w:r>
      <w:r w:rsidR="00B67D7C" w:rsidRPr="00DE096C">
        <w:rPr>
          <w:bCs/>
          <w:color w:val="002060"/>
          <w:sz w:val="16"/>
          <w:szCs w:val="16"/>
        </w:rPr>
        <w:softHyphen/>
        <w:t>невым включили в состав авиаци</w:t>
      </w:r>
      <w:r w:rsidR="00B67D7C" w:rsidRPr="00DE096C">
        <w:rPr>
          <w:bCs/>
          <w:color w:val="002060"/>
          <w:sz w:val="16"/>
          <w:szCs w:val="16"/>
        </w:rPr>
        <w:softHyphen/>
        <w:t>онной части службы связи Балтийс</w:t>
      </w:r>
      <w:r w:rsidR="00B67D7C" w:rsidRPr="00DE096C">
        <w:rPr>
          <w:bCs/>
          <w:color w:val="002060"/>
          <w:sz w:val="16"/>
          <w:szCs w:val="16"/>
        </w:rPr>
        <w:softHyphen/>
        <w:t>кого флота, присвоив им номера Щ-2 и Щ-3.</w:t>
      </w:r>
    </w:p>
    <w:p w14:paraId="2130002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По просьбе черноморцев и пос</w:t>
      </w:r>
      <w:r w:rsidRPr="00DE096C">
        <w:rPr>
          <w:bCs/>
          <w:color w:val="002060"/>
          <w:sz w:val="16"/>
          <w:szCs w:val="16"/>
        </w:rPr>
        <w:softHyphen/>
        <w:t>ле переговоров с шефом русской авиации великим князем Александ</w:t>
      </w:r>
      <w:r w:rsidRPr="00DE096C">
        <w:rPr>
          <w:bCs/>
          <w:color w:val="002060"/>
          <w:sz w:val="16"/>
          <w:szCs w:val="16"/>
        </w:rPr>
        <w:softHyphen/>
        <w:t>ром Михайловичем, две оставшие</w:t>
      </w:r>
      <w:r w:rsidRPr="00DE096C">
        <w:rPr>
          <w:bCs/>
          <w:color w:val="002060"/>
          <w:sz w:val="16"/>
          <w:szCs w:val="16"/>
        </w:rPr>
        <w:softHyphen/>
        <w:t>ся от контракта лодки направили 10 марта 1915 г. на Чёрное море. По завершении испытаний им при</w:t>
      </w:r>
      <w:r w:rsidRPr="00DE096C">
        <w:rPr>
          <w:bCs/>
          <w:color w:val="002060"/>
          <w:sz w:val="16"/>
          <w:szCs w:val="16"/>
        </w:rPr>
        <w:softHyphen/>
        <w:t>своили бортовые номера 29 и 30. Первая из них, базируясь на авиатранспорте «Император Нико</w:t>
      </w:r>
      <w:r w:rsidRPr="00DE096C">
        <w:rPr>
          <w:bCs/>
          <w:color w:val="002060"/>
          <w:sz w:val="16"/>
          <w:szCs w:val="16"/>
        </w:rPr>
        <w:softHyphen/>
        <w:t xml:space="preserve">лай </w:t>
      </w:r>
      <w:r w:rsidRPr="00DE096C">
        <w:rPr>
          <w:bCs/>
          <w:color w:val="002060"/>
          <w:sz w:val="16"/>
          <w:szCs w:val="16"/>
          <w:lang w:val="en-US"/>
        </w:rPr>
        <w:t>I</w:t>
      </w:r>
      <w:r w:rsidRPr="00DE096C">
        <w:rPr>
          <w:bCs/>
          <w:color w:val="002060"/>
          <w:sz w:val="16"/>
          <w:szCs w:val="16"/>
        </w:rPr>
        <w:t>» с экипажем: подпоручиком по адмиралтейству А.Е. Жуковым и прапорщиком артиллерии С.Н.Кор</w:t>
      </w:r>
      <w:r w:rsidRPr="00DE096C">
        <w:rPr>
          <w:bCs/>
          <w:color w:val="002060"/>
          <w:sz w:val="16"/>
          <w:szCs w:val="16"/>
        </w:rPr>
        <w:softHyphen/>
        <w:t>саковым, участвовала в рейде к Босфору 12 апреля 1915 г., и пред</w:t>
      </w:r>
      <w:r w:rsidRPr="00DE096C">
        <w:rPr>
          <w:bCs/>
          <w:color w:val="002060"/>
          <w:sz w:val="16"/>
          <w:szCs w:val="16"/>
        </w:rPr>
        <w:softHyphen/>
        <w:t>приняла атаку бомбами турецкой канонерской лодки класса «Бурак Рейс».</w:t>
      </w:r>
    </w:p>
    <w:p w14:paraId="4983A32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Журнале заседаний авиаци</w:t>
      </w:r>
      <w:r w:rsidRPr="00DE096C">
        <w:rPr>
          <w:bCs/>
          <w:color w:val="002060"/>
          <w:sz w:val="16"/>
          <w:szCs w:val="16"/>
        </w:rPr>
        <w:softHyphen/>
        <w:t>онного комитета Службы связи Чёр</w:t>
      </w:r>
      <w:r w:rsidRPr="00DE096C">
        <w:rPr>
          <w:bCs/>
          <w:color w:val="002060"/>
          <w:sz w:val="16"/>
          <w:szCs w:val="16"/>
        </w:rPr>
        <w:softHyphen/>
        <w:t>ного моря за 24 апреля 1915 г. при</w:t>
      </w:r>
      <w:r w:rsidRPr="00DE096C">
        <w:rPr>
          <w:bCs/>
          <w:color w:val="002060"/>
          <w:sz w:val="16"/>
          <w:szCs w:val="16"/>
        </w:rPr>
        <w:softHyphen/>
        <w:t>водятся некоторые данные по ре</w:t>
      </w:r>
      <w:r w:rsidRPr="00DE096C">
        <w:rPr>
          <w:bCs/>
          <w:color w:val="002060"/>
          <w:sz w:val="16"/>
          <w:szCs w:val="16"/>
        </w:rPr>
        <w:softHyphen/>
        <w:t>зультатам испытаний летающей лод</w:t>
      </w:r>
      <w:r w:rsidRPr="00DE096C">
        <w:rPr>
          <w:bCs/>
          <w:color w:val="002060"/>
          <w:sz w:val="16"/>
          <w:szCs w:val="16"/>
        </w:rPr>
        <w:softHyphen/>
        <w:t>ки М-2: «Испытание лодки завода Щетинимо в открытом море 12 ап</w:t>
      </w:r>
      <w:r w:rsidRPr="00DE096C">
        <w:rPr>
          <w:bCs/>
          <w:color w:val="002060"/>
          <w:sz w:val="16"/>
          <w:szCs w:val="16"/>
        </w:rPr>
        <w:softHyphen/>
        <w:t>реля но волне дали следующие ре</w:t>
      </w:r>
      <w:r w:rsidRPr="00DE096C">
        <w:rPr>
          <w:bCs/>
          <w:color w:val="002060"/>
          <w:sz w:val="16"/>
          <w:szCs w:val="16"/>
        </w:rPr>
        <w:softHyphen/>
        <w:t>зультаты: на разбеге её не залива</w:t>
      </w:r>
      <w:r w:rsidRPr="00DE096C">
        <w:rPr>
          <w:bCs/>
          <w:color w:val="002060"/>
          <w:sz w:val="16"/>
          <w:szCs w:val="16"/>
        </w:rPr>
        <w:softHyphen/>
        <w:t>ло, лодка с полной нагрузкой быс</w:t>
      </w:r>
      <w:r w:rsidRPr="00DE096C">
        <w:rPr>
          <w:bCs/>
          <w:color w:val="002060"/>
          <w:sz w:val="16"/>
          <w:szCs w:val="16"/>
        </w:rPr>
        <w:softHyphen/>
        <w:t>тро оторвалась, хорошо взяла вы</w:t>
      </w:r>
      <w:r w:rsidRPr="00DE096C">
        <w:rPr>
          <w:bCs/>
          <w:color w:val="002060"/>
          <w:sz w:val="16"/>
          <w:szCs w:val="16"/>
        </w:rPr>
        <w:softHyphen/>
        <w:t>соту. По осмотре лодки воды в ней не оказалось и лётчиков нисколько не заливало, хотя пришлось прыгать с волны на волну. Считая это испы</w:t>
      </w:r>
      <w:r w:rsidRPr="00DE096C">
        <w:rPr>
          <w:bCs/>
          <w:color w:val="002060"/>
          <w:sz w:val="16"/>
          <w:szCs w:val="16"/>
        </w:rPr>
        <w:softHyphen/>
        <w:t>тание тяжелым и выполненным от</w:t>
      </w:r>
      <w:r w:rsidRPr="00DE096C">
        <w:rPr>
          <w:bCs/>
          <w:color w:val="002060"/>
          <w:sz w:val="16"/>
          <w:szCs w:val="16"/>
        </w:rPr>
        <w:softHyphen/>
        <w:t>лично, авиационный комитет при</w:t>
      </w:r>
      <w:r w:rsidRPr="00DE096C">
        <w:rPr>
          <w:bCs/>
          <w:color w:val="002060"/>
          <w:sz w:val="16"/>
          <w:szCs w:val="16"/>
        </w:rPr>
        <w:softHyphen/>
        <w:t>знаёт лодку Щетинина гораздо луч</w:t>
      </w:r>
      <w:r w:rsidRPr="00DE096C">
        <w:rPr>
          <w:bCs/>
          <w:color w:val="002060"/>
          <w:sz w:val="16"/>
          <w:szCs w:val="16"/>
        </w:rPr>
        <w:softHyphen/>
        <w:t>ше, нежели лодку ФБА. К недостат</w:t>
      </w:r>
      <w:r w:rsidRPr="00DE096C">
        <w:rPr>
          <w:bCs/>
          <w:color w:val="002060"/>
          <w:sz w:val="16"/>
          <w:szCs w:val="16"/>
        </w:rPr>
        <w:softHyphen/>
        <w:t>кам этой лодки относится скверный способ обшивки, так как на другой лодке при хорошей посадке отста</w:t>
      </w:r>
      <w:r w:rsidRPr="00DE096C">
        <w:rPr>
          <w:bCs/>
          <w:color w:val="002060"/>
          <w:sz w:val="16"/>
          <w:szCs w:val="16"/>
        </w:rPr>
        <w:softHyphen/>
        <w:t>ли листы фанеры». Но жизненный цикл этого варианта лодок оказал</w:t>
      </w:r>
      <w:r w:rsidRPr="00DE096C">
        <w:rPr>
          <w:bCs/>
          <w:color w:val="002060"/>
          <w:sz w:val="16"/>
          <w:szCs w:val="16"/>
        </w:rPr>
        <w:softHyphen/>
        <w:t>ся коротким: лодку №30 списали в октябре; но Балтике Щ-2 и Щ-3 ис</w:t>
      </w:r>
      <w:r w:rsidRPr="00DE096C">
        <w:rPr>
          <w:bCs/>
          <w:color w:val="002060"/>
          <w:sz w:val="16"/>
          <w:szCs w:val="16"/>
        </w:rPr>
        <w:softHyphen/>
        <w:t>пользовались до зимы 1915-1916 гг. после чего с них сняли двигатели (11759).</w:t>
      </w:r>
    </w:p>
    <w:p w14:paraId="5A15E83A" w14:textId="77777777" w:rsidR="00B67D7C" w:rsidRPr="00DE096C" w:rsidRDefault="00B67D7C" w:rsidP="00D45A46">
      <w:pPr>
        <w:jc w:val="both"/>
        <w:rPr>
          <w:bCs/>
          <w:i/>
          <w:color w:val="002060"/>
          <w:sz w:val="16"/>
          <w:szCs w:val="16"/>
        </w:rPr>
      </w:pPr>
    </w:p>
    <w:p w14:paraId="2B9FC184" w14:textId="77777777" w:rsidR="00A75AF0" w:rsidRPr="00DE096C" w:rsidRDefault="00A75AF0" w:rsidP="00D45A46">
      <w:pPr>
        <w:jc w:val="both"/>
        <w:rPr>
          <w:bCs/>
          <w:color w:val="002060"/>
          <w:sz w:val="16"/>
          <w:szCs w:val="16"/>
        </w:rPr>
      </w:pPr>
      <w:r w:rsidRPr="00DE096C">
        <w:rPr>
          <w:bCs/>
          <w:color w:val="002060"/>
          <w:sz w:val="16"/>
          <w:szCs w:val="16"/>
        </w:rPr>
        <w:t>В конце ноября (начале декабря по н.ст.) 1914 г. корабль «Илья Муромец» Б-4 (ИМ-Б зав. № 136, борт № II) экз. № 4, стратегический разведчик, по сути – учебный самолет в разобранном виде и команду по ж/д доставили в Брест-Литовск (ныне Брест, Белоруссия).</w:t>
      </w:r>
    </w:p>
    <w:p w14:paraId="2ACFB667" w14:textId="77777777" w:rsidR="00A75AF0" w:rsidRPr="00DE096C" w:rsidRDefault="00A75AF0" w:rsidP="00D45A46">
      <w:pPr>
        <w:jc w:val="both"/>
        <w:rPr>
          <w:bCs/>
          <w:color w:val="002060"/>
          <w:sz w:val="16"/>
          <w:szCs w:val="16"/>
        </w:rPr>
      </w:pPr>
      <w:r w:rsidRPr="00DE096C">
        <w:rPr>
          <w:bCs/>
          <w:color w:val="002060"/>
          <w:sz w:val="16"/>
          <w:szCs w:val="16"/>
        </w:rPr>
        <w:t>16 мая 1916 г. на а/д Яблонна самолет был осмотрен Великим князем Кириллом Владимировичем (Романовым) со свитой.</w:t>
      </w:r>
    </w:p>
    <w:p w14:paraId="7D9551E6" w14:textId="77777777" w:rsidR="00A75AF0" w:rsidRPr="00DE096C" w:rsidRDefault="00A75AF0" w:rsidP="00D45A46">
      <w:pPr>
        <w:jc w:val="both"/>
        <w:rPr>
          <w:bCs/>
          <w:color w:val="002060"/>
          <w:sz w:val="16"/>
          <w:szCs w:val="16"/>
        </w:rPr>
      </w:pPr>
      <w:r w:rsidRPr="00DE096C">
        <w:rPr>
          <w:bCs/>
          <w:color w:val="002060"/>
          <w:sz w:val="16"/>
          <w:szCs w:val="16"/>
        </w:rPr>
        <w:t>Был сдан РБВЗ в начале осени 1914 г.</w:t>
      </w:r>
    </w:p>
    <w:p w14:paraId="6473E581" w14:textId="77777777" w:rsidR="00A75AF0" w:rsidRPr="00DE096C" w:rsidRDefault="00A75AF0" w:rsidP="00D45A46">
      <w:pPr>
        <w:jc w:val="both"/>
        <w:rPr>
          <w:bCs/>
          <w:color w:val="002060"/>
          <w:sz w:val="16"/>
          <w:szCs w:val="16"/>
        </w:rPr>
      </w:pPr>
      <w:r w:rsidRPr="00DE096C">
        <w:rPr>
          <w:bCs/>
          <w:color w:val="002060"/>
          <w:sz w:val="16"/>
          <w:szCs w:val="16"/>
        </w:rPr>
        <w:t>Самолет построен с отличиями от предыдущего:</w:t>
      </w:r>
    </w:p>
    <w:p w14:paraId="4D3876EE" w14:textId="77777777" w:rsidR="00A75AF0" w:rsidRPr="00DE096C" w:rsidRDefault="00A75AF0" w:rsidP="00D45A46">
      <w:pPr>
        <w:jc w:val="both"/>
        <w:rPr>
          <w:bCs/>
          <w:color w:val="002060"/>
          <w:sz w:val="16"/>
          <w:szCs w:val="16"/>
        </w:rPr>
      </w:pPr>
      <w:r w:rsidRPr="00DE096C">
        <w:rPr>
          <w:bCs/>
          <w:color w:val="002060"/>
          <w:sz w:val="16"/>
          <w:szCs w:val="16"/>
        </w:rPr>
        <w:t>- установлены средние 14-цилиндровые двухрядные звездообразные моторы водяного охлаждения Сальмсон 2М7 (по 200 л.с.);</w:t>
      </w:r>
    </w:p>
    <w:p w14:paraId="0A3765FA" w14:textId="77777777" w:rsidR="00A75AF0" w:rsidRPr="00DE096C" w:rsidRDefault="00A75AF0" w:rsidP="00D45A46">
      <w:pPr>
        <w:jc w:val="both"/>
        <w:rPr>
          <w:bCs/>
          <w:color w:val="002060"/>
          <w:sz w:val="16"/>
          <w:szCs w:val="16"/>
        </w:rPr>
      </w:pPr>
      <w:r w:rsidRPr="00DE096C">
        <w:rPr>
          <w:bCs/>
          <w:color w:val="002060"/>
          <w:sz w:val="16"/>
          <w:szCs w:val="16"/>
        </w:rPr>
        <w:t>- установлены внешние 9-цилиндровые двухрядные звездообразные моторы водяного охлаждения Сальмсон В9 (по 135 л.с. по данным В.Б. Шаврова и 130 л.с. по М. Хайрулину);</w:t>
      </w:r>
    </w:p>
    <w:p w14:paraId="0A4FCF50" w14:textId="77777777" w:rsidR="00A75AF0" w:rsidRPr="00DE096C" w:rsidRDefault="00A75AF0" w:rsidP="00D45A46">
      <w:pPr>
        <w:jc w:val="both"/>
        <w:rPr>
          <w:bCs/>
          <w:color w:val="002060"/>
          <w:sz w:val="16"/>
          <w:szCs w:val="16"/>
        </w:rPr>
      </w:pPr>
      <w:r w:rsidRPr="00DE096C">
        <w:rPr>
          <w:bCs/>
          <w:color w:val="002060"/>
          <w:sz w:val="16"/>
          <w:szCs w:val="16"/>
        </w:rPr>
        <w:t>- топливная система – с пятью баками (по одному над каждым мотором и один под центропланом верхнего крыла справа от ПСС);</w:t>
      </w:r>
    </w:p>
    <w:p w14:paraId="32D0D8F9" w14:textId="77777777" w:rsidR="00A75AF0" w:rsidRPr="00DE096C" w:rsidRDefault="00A75AF0" w:rsidP="00D45A46">
      <w:pPr>
        <w:jc w:val="both"/>
        <w:rPr>
          <w:bCs/>
          <w:color w:val="002060"/>
          <w:sz w:val="16"/>
          <w:szCs w:val="16"/>
        </w:rPr>
      </w:pPr>
      <w:r w:rsidRPr="00DE096C">
        <w:rPr>
          <w:bCs/>
          <w:color w:val="002060"/>
          <w:sz w:val="16"/>
          <w:szCs w:val="16"/>
        </w:rPr>
        <w:t>- установлены новые радиаторы.</w:t>
      </w:r>
    </w:p>
    <w:p w14:paraId="1120A90B" w14:textId="77777777" w:rsidR="00A75AF0" w:rsidRPr="00DE096C" w:rsidRDefault="00A75AF0" w:rsidP="00D45A46">
      <w:pPr>
        <w:jc w:val="both"/>
        <w:rPr>
          <w:bCs/>
          <w:color w:val="002060"/>
          <w:sz w:val="16"/>
          <w:szCs w:val="16"/>
        </w:rPr>
      </w:pPr>
      <w:r w:rsidRPr="00DE096C">
        <w:rPr>
          <w:bCs/>
          <w:color w:val="002060"/>
          <w:sz w:val="16"/>
          <w:szCs w:val="16"/>
        </w:rPr>
        <w:t>Из вооружения достоверно известно об установке пулемета «Максим» на верхней площадке.</w:t>
      </w:r>
    </w:p>
    <w:p w14:paraId="2D01C3A5" w14:textId="77777777" w:rsidR="00A75AF0" w:rsidRPr="00DE096C" w:rsidRDefault="00A75AF0" w:rsidP="00D45A46">
      <w:pPr>
        <w:jc w:val="both"/>
        <w:rPr>
          <w:bCs/>
          <w:color w:val="002060"/>
          <w:sz w:val="16"/>
          <w:szCs w:val="16"/>
        </w:rPr>
      </w:pPr>
      <w:r w:rsidRPr="00DE096C">
        <w:rPr>
          <w:bCs/>
          <w:color w:val="002060"/>
          <w:sz w:val="16"/>
          <w:szCs w:val="16"/>
        </w:rPr>
        <w:t>По сравнению с головным кораблем серии Б № 128 вес конструкции был больше на 560 кг, а взлетный – на 150 кг, лобовое сопротивление выросло и все летные данные ухудшились.</w:t>
      </w:r>
    </w:p>
    <w:p w14:paraId="37BB50B5" w14:textId="77777777" w:rsidR="00A75AF0" w:rsidRPr="00DE096C" w:rsidRDefault="00A75AF0" w:rsidP="00D45A46">
      <w:pPr>
        <w:jc w:val="both"/>
        <w:rPr>
          <w:bCs/>
          <w:color w:val="002060"/>
          <w:sz w:val="16"/>
          <w:szCs w:val="16"/>
        </w:rPr>
      </w:pPr>
      <w:r w:rsidRPr="00DE096C">
        <w:rPr>
          <w:bCs/>
          <w:color w:val="002060"/>
          <w:sz w:val="16"/>
          <w:szCs w:val="16"/>
        </w:rPr>
        <w:t>Командиром корабля был назначен поручик А.В. Панкратьев.</w:t>
      </w:r>
    </w:p>
    <w:p w14:paraId="2813F956" w14:textId="77777777" w:rsidR="00A75AF0" w:rsidRPr="00DE096C" w:rsidRDefault="00A75AF0" w:rsidP="00D45A46">
      <w:pPr>
        <w:jc w:val="both"/>
        <w:rPr>
          <w:bCs/>
          <w:color w:val="002060"/>
          <w:sz w:val="16"/>
          <w:szCs w:val="16"/>
        </w:rPr>
      </w:pPr>
      <w:r w:rsidRPr="00DE096C">
        <w:rPr>
          <w:bCs/>
          <w:color w:val="002060"/>
          <w:sz w:val="16"/>
          <w:szCs w:val="16"/>
        </w:rPr>
        <w:t>При полевом ремонте требовалось восстановить или заменить:</w:t>
      </w:r>
    </w:p>
    <w:p w14:paraId="215119F5" w14:textId="77777777" w:rsidR="00A75AF0" w:rsidRPr="00DE096C" w:rsidRDefault="00A75AF0" w:rsidP="00D45A46">
      <w:pPr>
        <w:jc w:val="both"/>
        <w:rPr>
          <w:bCs/>
          <w:color w:val="002060"/>
          <w:sz w:val="16"/>
          <w:szCs w:val="16"/>
        </w:rPr>
      </w:pPr>
      <w:r w:rsidRPr="00DE096C">
        <w:rPr>
          <w:bCs/>
          <w:color w:val="002060"/>
          <w:sz w:val="16"/>
          <w:szCs w:val="16"/>
        </w:rPr>
        <w:t>- носовую часть фюзеляжа (была смята);</w:t>
      </w:r>
    </w:p>
    <w:p w14:paraId="3F5D8AF2" w14:textId="77777777" w:rsidR="00A75AF0" w:rsidRPr="00DE096C" w:rsidRDefault="00A75AF0" w:rsidP="00D45A46">
      <w:pPr>
        <w:jc w:val="both"/>
        <w:rPr>
          <w:bCs/>
          <w:color w:val="002060"/>
          <w:sz w:val="16"/>
          <w:szCs w:val="16"/>
        </w:rPr>
      </w:pPr>
      <w:r w:rsidRPr="00DE096C">
        <w:rPr>
          <w:bCs/>
          <w:color w:val="002060"/>
          <w:sz w:val="16"/>
          <w:szCs w:val="16"/>
        </w:rPr>
        <w:t>- все нижнее крыло;</w:t>
      </w:r>
    </w:p>
    <w:p w14:paraId="02A82F93" w14:textId="77777777" w:rsidR="00A75AF0" w:rsidRPr="00DE096C" w:rsidRDefault="00A75AF0" w:rsidP="00D45A46">
      <w:pPr>
        <w:jc w:val="both"/>
        <w:rPr>
          <w:bCs/>
          <w:color w:val="002060"/>
          <w:sz w:val="16"/>
          <w:szCs w:val="16"/>
        </w:rPr>
      </w:pPr>
      <w:r w:rsidRPr="00DE096C">
        <w:rPr>
          <w:bCs/>
          <w:color w:val="002060"/>
          <w:sz w:val="16"/>
          <w:szCs w:val="16"/>
        </w:rPr>
        <w:t>- один мотор.</w:t>
      </w:r>
    </w:p>
    <w:p w14:paraId="0935BCB9" w14:textId="77777777" w:rsidR="00A75AF0" w:rsidRPr="00DE096C" w:rsidRDefault="00A75AF0" w:rsidP="00D45A46">
      <w:pPr>
        <w:jc w:val="both"/>
        <w:rPr>
          <w:bCs/>
          <w:color w:val="002060"/>
          <w:sz w:val="16"/>
          <w:szCs w:val="16"/>
        </w:rPr>
      </w:pPr>
      <w:r w:rsidRPr="00DE096C">
        <w:rPr>
          <w:bCs/>
          <w:color w:val="002060"/>
          <w:sz w:val="16"/>
          <w:szCs w:val="16"/>
        </w:rPr>
        <w:lastRenderedPageBreak/>
        <w:t>Ремонт планера выполнили примерно за месяц, но гонку мотора, заказанного на замену, на РБВЗ выполнили на станке для ротативных моторов мощностью до 80 л.с. и вывели его из строя.</w:t>
      </w:r>
    </w:p>
    <w:p w14:paraId="6D95C007" w14:textId="77777777" w:rsidR="00A75AF0" w:rsidRPr="00DE096C" w:rsidRDefault="00A75AF0" w:rsidP="00D45A46">
      <w:pPr>
        <w:jc w:val="both"/>
        <w:rPr>
          <w:bCs/>
          <w:color w:val="002060"/>
          <w:sz w:val="16"/>
          <w:szCs w:val="16"/>
        </w:rPr>
      </w:pPr>
      <w:r w:rsidRPr="00DE096C">
        <w:rPr>
          <w:bCs/>
          <w:color w:val="002060"/>
          <w:sz w:val="16"/>
          <w:szCs w:val="16"/>
        </w:rPr>
        <w:t>Списан во 2-й половине мая 1915 г. в Яблонне (23569).</w:t>
      </w:r>
    </w:p>
    <w:p w14:paraId="1830F935" w14:textId="77777777" w:rsidR="00A75AF0" w:rsidRPr="00DE096C" w:rsidRDefault="00A75AF0" w:rsidP="00D45A46">
      <w:pPr>
        <w:jc w:val="both"/>
        <w:rPr>
          <w:bCs/>
          <w:i/>
          <w:color w:val="002060"/>
          <w:sz w:val="16"/>
          <w:szCs w:val="16"/>
        </w:rPr>
      </w:pPr>
    </w:p>
    <w:p w14:paraId="157ADE9A" w14:textId="6255FF53" w:rsidR="00FA375E" w:rsidRPr="00DE096C" w:rsidRDefault="00FA375E" w:rsidP="00D45A46">
      <w:pPr>
        <w:jc w:val="both"/>
        <w:rPr>
          <w:bCs/>
          <w:i/>
          <w:color w:val="002060"/>
          <w:sz w:val="16"/>
          <w:szCs w:val="16"/>
        </w:rPr>
      </w:pPr>
      <w:r w:rsidRPr="00DE096C">
        <w:rPr>
          <w:bCs/>
          <w:i/>
          <w:color w:val="002060"/>
          <w:sz w:val="16"/>
          <w:szCs w:val="16"/>
        </w:rPr>
        <w:t>Другие оборонные отрасли:</w:t>
      </w:r>
    </w:p>
    <w:p w14:paraId="25BA7225" w14:textId="77777777" w:rsidR="00FA375E" w:rsidRPr="00DE096C" w:rsidRDefault="00FA375E" w:rsidP="00D45A46">
      <w:pPr>
        <w:jc w:val="both"/>
        <w:rPr>
          <w:bCs/>
          <w:i/>
          <w:color w:val="002060"/>
          <w:sz w:val="16"/>
          <w:szCs w:val="16"/>
        </w:rPr>
      </w:pPr>
    </w:p>
    <w:p w14:paraId="7CB9B1C1" w14:textId="77777777" w:rsidR="00FA375E" w:rsidRPr="00DE096C" w:rsidRDefault="00FA375E" w:rsidP="00D45A46">
      <w:pPr>
        <w:pStyle w:val="p1"/>
        <w:spacing w:before="0" w:beforeAutospacing="0" w:after="0" w:afterAutospacing="0"/>
        <w:jc w:val="both"/>
        <w:rPr>
          <w:bCs/>
          <w:color w:val="002060"/>
          <w:sz w:val="16"/>
          <w:szCs w:val="16"/>
        </w:rPr>
      </w:pPr>
      <w:r w:rsidRPr="00DE096C">
        <w:rPr>
          <w:bCs/>
          <w:color w:val="002060"/>
          <w:sz w:val="16"/>
          <w:szCs w:val="16"/>
        </w:rPr>
        <w:t>В последних числах ноября — начале декабря 1914 г. артиллерия получила директиву: расходовать в день не более одного снаряда на орудие. Смысловский, вызванный в Ставку 15 декабря 1914 г., когда услышал, сколько снарядов нужно для продолжения операций — около 900 тысяч (всех калибров) в месяц, уверенно ответил, что «к весне промышленные силы России этого количества ни в каком случае дать не могут и что поэтому все решение вопроса зависит от своевременности поставки [орудийных] патронов из-за границы».</w:t>
      </w:r>
    </w:p>
    <w:p w14:paraId="7AE541C7" w14:textId="77777777" w:rsidR="00FA375E" w:rsidRPr="00DE096C" w:rsidRDefault="00FA375E" w:rsidP="00D45A46">
      <w:pPr>
        <w:pStyle w:val="p1"/>
        <w:spacing w:before="0" w:beforeAutospacing="0" w:after="0" w:afterAutospacing="0"/>
        <w:jc w:val="both"/>
        <w:rPr>
          <w:bCs/>
          <w:color w:val="002060"/>
          <w:sz w:val="16"/>
          <w:szCs w:val="16"/>
        </w:rPr>
      </w:pPr>
      <w:r w:rsidRPr="00DE096C">
        <w:rPr>
          <w:bCs/>
          <w:color w:val="002060"/>
          <w:sz w:val="16"/>
          <w:szCs w:val="16"/>
        </w:rPr>
        <w:t>Вслед за Верховной следственной комиссией ряд авторов объясняет длительность острой фазы «снарядного голода» «простой причиной»: в ГАУ, как пишет Стоун, «не могли представить, что русские предприниматели способны производить снаряды», «не доверяли им», или, как писал Сидоров, ГАУ, «не надеясь на внутренние возможности производства», обратилось за границу, тогда как требовалось «широкое» использование русской промышленности: надо было «привлекать не десятки, а многие сотни, если не тысячи предприятий страны». Ту же мысль развивает X. Стрэчен: Сухомлинов «предпочитал ограничивать заказы, передаваемые русской промышленности, и вместо этого направлять дополнительные запросы за рубеж». Представление о неиспользованных безграничных возможностях русской снарядной индустрии противоречит фактам, которые должен был иметь в виду Смысловский (и признавал Сидоров). Даже заводы, осенью 1914 г. уже занятые изготовлением снарядов либо хотя бы еще только намеренные взяться за это производство, — все они, принимая в тот момент заказы ГАУ, в заключаемых договорах устанавливали сроки поставки лишь отчасти начиная с января, а главным образом — с марта — мая по октябрь 1915 г. Но выдержать и эти сроки часто не удавалось (столь же часто, как и по иностранным контрактам), преимущественно из-за несвоевременного получения заводами станков, ожидаемых из-за границы (18409).</w:t>
      </w:r>
    </w:p>
    <w:p w14:paraId="48197B7C" w14:textId="77777777" w:rsidR="00FA375E" w:rsidRPr="00DE096C" w:rsidRDefault="00FA375E" w:rsidP="00D45A46">
      <w:pPr>
        <w:pStyle w:val="p1"/>
        <w:spacing w:before="0" w:beforeAutospacing="0" w:after="0" w:afterAutospacing="0"/>
        <w:jc w:val="both"/>
        <w:rPr>
          <w:bCs/>
          <w:color w:val="002060"/>
          <w:sz w:val="16"/>
          <w:szCs w:val="16"/>
        </w:rPr>
      </w:pPr>
    </w:p>
    <w:p w14:paraId="14A31832" w14:textId="77777777" w:rsidR="00B67D7C" w:rsidRPr="00DE096C" w:rsidRDefault="00B67D7C" w:rsidP="00D45A46">
      <w:pPr>
        <w:jc w:val="both"/>
        <w:rPr>
          <w:bCs/>
          <w:i/>
          <w:color w:val="002060"/>
          <w:sz w:val="16"/>
          <w:szCs w:val="16"/>
        </w:rPr>
      </w:pPr>
      <w:r w:rsidRPr="00DE096C">
        <w:rPr>
          <w:bCs/>
          <w:i/>
          <w:color w:val="002060"/>
          <w:sz w:val="16"/>
          <w:szCs w:val="16"/>
        </w:rPr>
        <w:t>Авиация:</w:t>
      </w:r>
    </w:p>
    <w:p w14:paraId="4FE3E8F7" w14:textId="77777777" w:rsidR="00B67D7C" w:rsidRPr="00DE096C" w:rsidRDefault="00B67D7C" w:rsidP="00D45A46">
      <w:pPr>
        <w:jc w:val="both"/>
        <w:rPr>
          <w:bCs/>
          <w:i/>
          <w:color w:val="002060"/>
          <w:sz w:val="16"/>
          <w:szCs w:val="16"/>
        </w:rPr>
      </w:pPr>
    </w:p>
    <w:p w14:paraId="7827599F" w14:textId="77777777" w:rsidR="00B67D7C" w:rsidRPr="00DE096C" w:rsidRDefault="00B67D7C" w:rsidP="00D45A46">
      <w:pPr>
        <w:jc w:val="both"/>
        <w:rPr>
          <w:bCs/>
          <w:color w:val="002060"/>
          <w:sz w:val="16"/>
          <w:szCs w:val="16"/>
        </w:rPr>
      </w:pPr>
      <w:r w:rsidRPr="00DE096C">
        <w:rPr>
          <w:bCs/>
          <w:color w:val="002060"/>
          <w:sz w:val="16"/>
          <w:szCs w:val="16"/>
        </w:rPr>
        <w:t>В конце ноября 1914 года, так и не дождавшись мотора "Сальмсон", отряд аэроплана "Илья Муромец II" по железной дороге отправился в Брест-Литовск.</w:t>
      </w:r>
    </w:p>
    <w:p w14:paraId="18A619FB" w14:textId="77777777" w:rsidR="00B67D7C" w:rsidRPr="00DE096C" w:rsidRDefault="00B67D7C" w:rsidP="00D45A46">
      <w:pPr>
        <w:jc w:val="both"/>
        <w:rPr>
          <w:bCs/>
          <w:color w:val="002060"/>
          <w:sz w:val="16"/>
          <w:szCs w:val="16"/>
        </w:rPr>
      </w:pPr>
      <w:r w:rsidRPr="00DE096C">
        <w:rPr>
          <w:bCs/>
          <w:color w:val="002060"/>
          <w:sz w:val="16"/>
          <w:szCs w:val="16"/>
        </w:rPr>
        <w:t>Несмотря на вынужденное бездействие, командир отряда штабс-капитан А.В. Панкратьев вёл себя в этой непростой ситуации в отличие от Руднева иначе. Вместо жалоб в вышестоящие инстанции и поисков оправданий своего бездействия, Алексей Васильевич 4 ноября подготовил записку, в которой справедливо полагал, что очень короткая практика не даёт права делать общие выводы о качествах и боевой пригодности аэропланов типа "Илья Муромец". Кроме того, "...необходимо дать возможность работать аэроплану на театре войны, чтобы путем широкой практики добиться от "Муромцев" хорошей работы и попутно выяснить существенные недостатки для устранения таковых в будущих типах".</w:t>
      </w:r>
    </w:p>
    <w:p w14:paraId="373F7758" w14:textId="77777777" w:rsidR="00B67D7C" w:rsidRPr="00DE096C" w:rsidRDefault="00B67D7C" w:rsidP="00D45A46">
      <w:pPr>
        <w:jc w:val="both"/>
        <w:rPr>
          <w:bCs/>
          <w:color w:val="002060"/>
          <w:sz w:val="16"/>
          <w:szCs w:val="16"/>
        </w:rPr>
      </w:pPr>
      <w:r w:rsidRPr="00DE096C">
        <w:rPr>
          <w:bCs/>
          <w:color w:val="002060"/>
          <w:sz w:val="16"/>
          <w:szCs w:val="16"/>
        </w:rPr>
        <w:t>Панкратьев сообщал, что максимальной полезной нагрузкой нужно считать 75 пудов, а именно: 40-45 пудов - бензин и масло на 4-4,5 часа полета, 20 пудов - экипаж (командир, помощник, а*ртиллерийский офицер, механик) и 10-15 пудов - вооружение и бомбы. Сравнительно безопасной высотой Панкратьев считал 2000 метров, которую на его машине с полной нагрузкой можно было достигнуть за два часа.</w:t>
      </w:r>
    </w:p>
    <w:p w14:paraId="18D2378C" w14:textId="77777777" w:rsidR="00B67D7C" w:rsidRPr="00DE096C" w:rsidRDefault="00B67D7C" w:rsidP="00D45A46">
      <w:pPr>
        <w:jc w:val="both"/>
        <w:rPr>
          <w:bCs/>
          <w:color w:val="002060"/>
          <w:sz w:val="16"/>
          <w:szCs w:val="16"/>
        </w:rPr>
      </w:pPr>
      <w:r w:rsidRPr="00DE096C">
        <w:rPr>
          <w:bCs/>
          <w:color w:val="002060"/>
          <w:sz w:val="16"/>
          <w:szCs w:val="16"/>
        </w:rPr>
        <w:t>"Правда, по опыту войны безопасной высотой от выстрелов надо считать 2500-3000 метров, но, за отсутствием практики, - честно признавался он, - возможность подъёма на такую высоту не представляю. Работа аэропланов типа "Илья Муромец" в действующей армии будет носить случайный характер" делал заключение штабс-ка- питан Панкратьев и перечислил следующие причины:</w:t>
      </w:r>
    </w:p>
    <w:p w14:paraId="53A9C1C3" w14:textId="77777777" w:rsidR="00B67D7C" w:rsidRPr="00DE096C" w:rsidRDefault="00B67D7C" w:rsidP="00D45A46">
      <w:pPr>
        <w:jc w:val="both"/>
        <w:rPr>
          <w:bCs/>
          <w:color w:val="002060"/>
          <w:sz w:val="16"/>
          <w:szCs w:val="16"/>
        </w:rPr>
      </w:pPr>
      <w:r w:rsidRPr="00DE096C">
        <w:rPr>
          <w:bCs/>
          <w:color w:val="002060"/>
          <w:sz w:val="16"/>
          <w:szCs w:val="16"/>
        </w:rPr>
        <w:t xml:space="preserve">I) Моторы требуют тщательного и умелого обращения, что в высшей степени осложнено полным отсутствием запасных частей и недостаточной подготовленностью состава механиков и мотористов. </w:t>
      </w:r>
    </w:p>
    <w:p w14:paraId="327B2FC1" w14:textId="77777777" w:rsidR="00B67D7C" w:rsidRPr="00DE096C" w:rsidRDefault="00B67D7C" w:rsidP="00D45A46">
      <w:pPr>
        <w:jc w:val="both"/>
        <w:rPr>
          <w:bCs/>
          <w:color w:val="002060"/>
          <w:sz w:val="16"/>
          <w:szCs w:val="16"/>
        </w:rPr>
      </w:pPr>
      <w:r w:rsidRPr="00DE096C">
        <w:rPr>
          <w:bCs/>
          <w:color w:val="002060"/>
          <w:sz w:val="16"/>
          <w:szCs w:val="16"/>
        </w:rPr>
        <w:t>2) Отсутствие большой практики у личного состава не гарантирует от вывода аппарата из строя на неопределенное время.</w:t>
      </w:r>
    </w:p>
    <w:p w14:paraId="3AE3D7C1" w14:textId="77777777" w:rsidR="00B67D7C" w:rsidRPr="00DE096C" w:rsidRDefault="00B67D7C" w:rsidP="00D45A46">
      <w:pPr>
        <w:jc w:val="both"/>
        <w:rPr>
          <w:bCs/>
          <w:color w:val="002060"/>
          <w:sz w:val="16"/>
          <w:szCs w:val="16"/>
        </w:rPr>
      </w:pPr>
      <w:r w:rsidRPr="00DE096C">
        <w:rPr>
          <w:bCs/>
          <w:color w:val="002060"/>
          <w:sz w:val="16"/>
          <w:szCs w:val="16"/>
        </w:rPr>
        <w:t>3) Аппарат требует заранее подготовленных мест спуска и взлета, и случайный спуск можег повлечь за собой в большинстве случаев поломку.</w:t>
      </w:r>
    </w:p>
    <w:p w14:paraId="51D8DC62" w14:textId="77777777" w:rsidR="00B67D7C" w:rsidRPr="00DE096C" w:rsidRDefault="00B67D7C" w:rsidP="00D45A46">
      <w:pPr>
        <w:jc w:val="both"/>
        <w:rPr>
          <w:bCs/>
          <w:color w:val="002060"/>
          <w:sz w:val="16"/>
          <w:szCs w:val="16"/>
        </w:rPr>
      </w:pPr>
      <w:r w:rsidRPr="00DE096C">
        <w:rPr>
          <w:bCs/>
          <w:color w:val="002060"/>
          <w:sz w:val="16"/>
          <w:szCs w:val="16"/>
        </w:rPr>
        <w:t>4) Переоценка действительных качеств аэроплана, а потому и невозможность выполнения возложенных задач. "Случайность же работы "Муромдев" на театре войны ставит личный состав этих аэропланов в очень тяжёлые условия, позволяющие обвинить таковой в недостатке деятельности и отсутствии желания работать, - с горечью констатировал Панкратьев. - Когда вся армия, всеми силами стремится к неуклонному исполнению долга, личный состав "Муромцев" в период неудач с аэропланом обречён на бездеятельность, что конечно недопустимо". "Для устранения создавшейся положения, - предлагал Панкратьев, - желательно снабжение команд "Муромцев" двумя аэропланами типа "Вуазен", что дало бы возможность беспрерывно работать по выполнению возложенных на отряд задач, исполняя таковые в зависимости от условий либо на "Муромце", либо на "Вуазене".</w:t>
      </w:r>
    </w:p>
    <w:p w14:paraId="078B6A35" w14:textId="77777777" w:rsidR="00B67D7C" w:rsidRPr="00DE096C" w:rsidRDefault="00B67D7C" w:rsidP="00D45A46">
      <w:pPr>
        <w:jc w:val="both"/>
        <w:rPr>
          <w:bCs/>
          <w:color w:val="002060"/>
          <w:sz w:val="16"/>
          <w:szCs w:val="16"/>
        </w:rPr>
      </w:pPr>
      <w:r w:rsidRPr="00DE096C">
        <w:rPr>
          <w:bCs/>
          <w:color w:val="002060"/>
          <w:sz w:val="16"/>
          <w:szCs w:val="16"/>
        </w:rPr>
        <w:t>Как видим, Панкратьев тоже критикует создавшееся положение, но критика его конструктивна, поскольку он не только высвечивает недостатки, но и предлагает пути их устранения. Новое оружие, каковым являлся самолёт-гигант, требовало и новой тактики использования. Попытка "влить вино новое в мехи старые" закончилась, как и предрекали древние, провалом. Необходимо было вносить новации. И таковые появились. В голове неутомимого Шид- ловского родилась идея свести все "Муромцы" в единое боевое соединение - Эскадру Воздушных Кораблей, чтобы действовать в стратегических интересах фронтов и соединений...</w:t>
      </w:r>
    </w:p>
    <w:p w14:paraId="0A761520" w14:textId="77777777" w:rsidR="00B67D7C" w:rsidRPr="00DE096C" w:rsidRDefault="00B67D7C" w:rsidP="00D45A46">
      <w:pPr>
        <w:jc w:val="both"/>
        <w:rPr>
          <w:bCs/>
          <w:color w:val="002060"/>
          <w:sz w:val="16"/>
          <w:szCs w:val="16"/>
        </w:rPr>
      </w:pPr>
      <w:r w:rsidRPr="00DE096C">
        <w:rPr>
          <w:bCs/>
          <w:color w:val="002060"/>
          <w:sz w:val="16"/>
          <w:szCs w:val="16"/>
        </w:rPr>
        <w:t>Итак, казалось, судьба гигантов Сикорского была предрешена: контракт на постройку 32 "Муромцев" приостановлен, у армейского командования складывается стойкое недоверие к возможности боевого использования этих машин, шеф военной авиации выказывает открытое недовольство. Но не тот человек был Шидловский. Чтобы спасти положение, а заодно и свои доходы, ему пришлось задействовать всё своё влияние и связи. Председатель правления одного из крупнейших промышленных предприятий страны напрямую обратился за помошью к военному министру Сухомлинову, которому представил докладную записку. В ней он изложил своё видение причин неудачного опыта применения "Муромцев" на фронте (12041).</w:t>
      </w:r>
    </w:p>
    <w:p w14:paraId="6F1523FF" w14:textId="77777777" w:rsidR="00B67D7C" w:rsidRPr="00DE096C" w:rsidRDefault="00B67D7C" w:rsidP="00D45A46">
      <w:pPr>
        <w:jc w:val="both"/>
        <w:rPr>
          <w:bCs/>
          <w:color w:val="002060"/>
          <w:sz w:val="16"/>
          <w:szCs w:val="16"/>
        </w:rPr>
      </w:pPr>
    </w:p>
    <w:p w14:paraId="5C755DC6" w14:textId="77777777" w:rsidR="00A75AF0" w:rsidRPr="00DE096C" w:rsidRDefault="00A75AF0" w:rsidP="00D45A46">
      <w:pPr>
        <w:jc w:val="both"/>
        <w:rPr>
          <w:bCs/>
          <w:color w:val="002060"/>
          <w:sz w:val="16"/>
          <w:szCs w:val="16"/>
        </w:rPr>
      </w:pPr>
      <w:r w:rsidRPr="00DE096C">
        <w:rPr>
          <w:bCs/>
          <w:color w:val="002060"/>
          <w:sz w:val="16"/>
          <w:szCs w:val="16"/>
        </w:rPr>
        <w:t>В конце ноября 1914 г. в районе 1-й русской армии был сбит германский аэроплан. В документах летчика нашли приказ 1-му германскому резервному корпусу о наступлении его на Беляв, Собот (Сопот) и Лович. Это была явная дезинформация (23405).</w:t>
      </w:r>
    </w:p>
    <w:p w14:paraId="1D9B501F" w14:textId="77777777" w:rsidR="00A75AF0" w:rsidRPr="00DE096C" w:rsidRDefault="00A75AF0" w:rsidP="00D45A46">
      <w:pPr>
        <w:jc w:val="both"/>
        <w:rPr>
          <w:bCs/>
          <w:color w:val="002060"/>
          <w:sz w:val="16"/>
          <w:szCs w:val="16"/>
          <w:lang w:bidi="ru-RU"/>
        </w:rPr>
      </w:pPr>
    </w:p>
    <w:p w14:paraId="04CBBC86" w14:textId="77777777" w:rsidR="00E95C04" w:rsidRPr="00B52707" w:rsidRDefault="00E95C04" w:rsidP="00E95C04">
      <w:pPr>
        <w:jc w:val="both"/>
        <w:rPr>
          <w:color w:val="0070C0"/>
          <w:sz w:val="16"/>
          <w:szCs w:val="16"/>
        </w:rPr>
      </w:pPr>
      <w:r w:rsidRPr="00B52707">
        <w:rPr>
          <w:color w:val="0070C0"/>
          <w:sz w:val="16"/>
          <w:szCs w:val="16"/>
        </w:rPr>
        <w:t>В конце ноября 1914 г. в районе 1-й русской армии был сбит германский аэроплан. В документах летчика нашли приказ 1-му германскому резервному корпусу о наступлении его на Беляв, Собот (Сопот) и Лович. Это была явная дезинформация (25135).</w:t>
      </w:r>
    </w:p>
    <w:p w14:paraId="170C1894" w14:textId="77777777" w:rsidR="00E95C04" w:rsidRPr="00B52707" w:rsidRDefault="00E95C04" w:rsidP="00E95C04">
      <w:pPr>
        <w:jc w:val="both"/>
        <w:rPr>
          <w:color w:val="0070C0"/>
          <w:sz w:val="16"/>
          <w:szCs w:val="16"/>
        </w:rPr>
      </w:pPr>
    </w:p>
    <w:p w14:paraId="6A5D6AE8" w14:textId="77777777" w:rsidR="00A75AF0" w:rsidRPr="00DE096C" w:rsidRDefault="00A75AF0" w:rsidP="00D45A46">
      <w:pPr>
        <w:jc w:val="both"/>
        <w:rPr>
          <w:bCs/>
          <w:color w:val="002060"/>
          <w:sz w:val="16"/>
          <w:szCs w:val="16"/>
        </w:rPr>
      </w:pPr>
      <w:r w:rsidRPr="00DE096C">
        <w:rPr>
          <w:bCs/>
          <w:color w:val="002060"/>
          <w:sz w:val="16"/>
          <w:szCs w:val="16"/>
        </w:rPr>
        <w:t>В конце ноября 1914 г. Карла Густава Маннергейма, ко</w:t>
      </w:r>
      <w:r w:rsidRPr="00DE096C">
        <w:rPr>
          <w:bCs/>
          <w:color w:val="002060"/>
          <w:sz w:val="16"/>
          <w:szCs w:val="16"/>
        </w:rPr>
        <w:softHyphen/>
        <w:t>мандовавшего в то время лейб-гвардии драгунским полком, «чрезвычайно удивил» своим пессимизмом командир кор</w:t>
      </w:r>
      <w:r w:rsidRPr="00DE096C">
        <w:rPr>
          <w:bCs/>
          <w:color w:val="002060"/>
          <w:sz w:val="16"/>
          <w:szCs w:val="16"/>
        </w:rPr>
        <w:softHyphen/>
        <w:t>пуса В.М. Безобразов. «Скоро нам придется драться просто дубинами», — предсказывал он. И оказался провидцем: ле</w:t>
      </w:r>
      <w:r w:rsidRPr="00DE096C">
        <w:rPr>
          <w:bCs/>
          <w:color w:val="002060"/>
          <w:sz w:val="16"/>
          <w:szCs w:val="16"/>
        </w:rPr>
        <w:softHyphen/>
        <w:t>том 1915 г. немецкое командование получало донесения о взятых в плен солдатах, вооруженных только деревянны</w:t>
      </w:r>
      <w:r w:rsidRPr="00DE096C">
        <w:rPr>
          <w:bCs/>
          <w:color w:val="002060"/>
          <w:sz w:val="16"/>
          <w:szCs w:val="16"/>
        </w:rPr>
        <w:softHyphen/>
        <w:t>ми дубинами. «Из набранной огромной орды номинально в 6 250 000 солдат по меньшей мере треть в начале 1915 г. не могла быть снабжена винтовками» (</w:t>
      </w:r>
      <w:r w:rsidRPr="00DE096C">
        <w:rPr>
          <w:bCs/>
          <w:color w:val="002060"/>
          <w:sz w:val="16"/>
          <w:szCs w:val="16"/>
          <w:lang w:bidi="ru-RU"/>
        </w:rPr>
        <w:t xml:space="preserve"> Маннергейм К.Г. Мемуары. М</w:t>
      </w:r>
      <w:r w:rsidRPr="00DE096C">
        <w:rPr>
          <w:bCs/>
          <w:color w:val="002060"/>
          <w:sz w:val="16"/>
          <w:szCs w:val="16"/>
          <w:lang w:val="en-US" w:bidi="ru-RU"/>
        </w:rPr>
        <w:t xml:space="preserve">., 1999. </w:t>
      </w:r>
      <w:r w:rsidRPr="00DE096C">
        <w:rPr>
          <w:bCs/>
          <w:color w:val="002060"/>
          <w:sz w:val="16"/>
          <w:szCs w:val="16"/>
          <w:lang w:bidi="ru-RU"/>
        </w:rPr>
        <w:t>С</w:t>
      </w:r>
      <w:r w:rsidRPr="00DE096C">
        <w:rPr>
          <w:bCs/>
          <w:color w:val="002060"/>
          <w:sz w:val="16"/>
          <w:szCs w:val="16"/>
          <w:lang w:val="en-US" w:bidi="ru-RU"/>
        </w:rPr>
        <w:t xml:space="preserve">. 51—52; </w:t>
      </w:r>
      <w:r w:rsidRPr="00DE096C">
        <w:rPr>
          <w:bCs/>
          <w:color w:val="002060"/>
          <w:sz w:val="16"/>
          <w:szCs w:val="16"/>
          <w:lang w:val="en-US" w:bidi="en-US"/>
        </w:rPr>
        <w:t xml:space="preserve">Crutwell C.R.M.F. Op. cit. </w:t>
      </w:r>
      <w:r w:rsidRPr="00DE096C">
        <w:rPr>
          <w:bCs/>
          <w:color w:val="002060"/>
          <w:sz w:val="16"/>
          <w:szCs w:val="16"/>
          <w:lang w:bidi="ru-RU"/>
        </w:rPr>
        <w:t>Р</w:t>
      </w:r>
      <w:r w:rsidRPr="00DE096C">
        <w:rPr>
          <w:bCs/>
          <w:color w:val="002060"/>
          <w:sz w:val="16"/>
          <w:szCs w:val="16"/>
          <w:lang w:val="en-US" w:bidi="ru-RU"/>
        </w:rPr>
        <w:t xml:space="preserve">. 172, 179. </w:t>
      </w:r>
      <w:r w:rsidRPr="00DE096C">
        <w:rPr>
          <w:bCs/>
          <w:color w:val="002060"/>
          <w:sz w:val="16"/>
          <w:szCs w:val="16"/>
          <w:lang w:bidi="ru-RU"/>
        </w:rPr>
        <w:t>В августе 1915 г. на Юго-Западном фронте коман</w:t>
      </w:r>
      <w:r w:rsidRPr="00DE096C">
        <w:rPr>
          <w:bCs/>
          <w:color w:val="002060"/>
          <w:sz w:val="16"/>
          <w:szCs w:val="16"/>
          <w:lang w:bidi="ru-RU"/>
        </w:rPr>
        <w:softHyphen/>
        <w:t>дование предписало вооружить часть пехоты топорами, насаженными на длинные рукоятки (Головин Н.Н. Указ. соч. Т. 2. С. 8). Командующий 9-й армией это распоряжение не принял к исполнению, но, очевидно, в других армиях роты «алебардистов» все же появились, а топоры не всегда прочно удерживались на рукоятках. «Чудовищная картина: наши солдаты, идущие на фронт с дубинками вместо ружей» (Игнатьев А.А. 50 лет в строю. Рига, 1949. Кн. 3—4. С. 356).</w:t>
      </w:r>
      <w:r w:rsidRPr="00DE096C">
        <w:rPr>
          <w:bCs/>
          <w:color w:val="002060"/>
          <w:sz w:val="16"/>
          <w:szCs w:val="16"/>
        </w:rPr>
        <w:t>) (23452).</w:t>
      </w:r>
    </w:p>
    <w:p w14:paraId="1CDB4896" w14:textId="77777777" w:rsidR="00A75AF0" w:rsidRPr="00DE096C" w:rsidRDefault="00A75AF0" w:rsidP="00D45A46">
      <w:pPr>
        <w:jc w:val="both"/>
        <w:rPr>
          <w:bCs/>
          <w:color w:val="002060"/>
          <w:sz w:val="16"/>
          <w:szCs w:val="16"/>
          <w:lang w:bidi="ru-RU"/>
        </w:rPr>
      </w:pPr>
    </w:p>
    <w:p w14:paraId="2F184CA2" w14:textId="3482A137" w:rsidR="00413BB1" w:rsidRPr="00DE096C" w:rsidRDefault="00413BB1" w:rsidP="00D45A46">
      <w:pPr>
        <w:jc w:val="both"/>
        <w:rPr>
          <w:bCs/>
          <w:i/>
          <w:color w:val="002060"/>
          <w:sz w:val="16"/>
          <w:szCs w:val="16"/>
        </w:rPr>
      </w:pPr>
      <w:r w:rsidRPr="00DE096C">
        <w:rPr>
          <w:bCs/>
          <w:i/>
          <w:color w:val="002060"/>
          <w:sz w:val="16"/>
          <w:szCs w:val="16"/>
        </w:rPr>
        <w:t>Воздухоплавание:</w:t>
      </w:r>
    </w:p>
    <w:p w14:paraId="5240B619" w14:textId="77777777" w:rsidR="00413BB1" w:rsidRPr="00DE096C" w:rsidRDefault="00413BB1" w:rsidP="00D45A46">
      <w:pPr>
        <w:jc w:val="both"/>
        <w:rPr>
          <w:bCs/>
          <w:i/>
          <w:color w:val="002060"/>
          <w:sz w:val="16"/>
          <w:szCs w:val="16"/>
        </w:rPr>
      </w:pPr>
    </w:p>
    <w:p w14:paraId="5BD0EF50" w14:textId="77777777" w:rsidR="00413BB1" w:rsidRPr="00DE096C" w:rsidRDefault="00413BB1" w:rsidP="00D45A46">
      <w:pPr>
        <w:jc w:val="both"/>
        <w:rPr>
          <w:rStyle w:val="43"/>
          <w:rFonts w:ascii="Times New Roman" w:hAnsi="Times New Roman" w:cs="Times New Roman"/>
          <w:bCs/>
          <w:color w:val="002060"/>
          <w:w w:val="100"/>
          <w:sz w:val="16"/>
          <w:szCs w:val="16"/>
        </w:rPr>
      </w:pPr>
      <w:r w:rsidRPr="00DE096C">
        <w:rPr>
          <w:rStyle w:val="43"/>
          <w:rFonts w:ascii="Times New Roman" w:hAnsi="Times New Roman" w:cs="Times New Roman"/>
          <w:bCs/>
          <w:color w:val="002060"/>
          <w:w w:val="100"/>
          <w:sz w:val="16"/>
          <w:szCs w:val="16"/>
        </w:rPr>
        <w:t>В конце ноября 1914 г. в эллинге в г. Лида 3-я воздухоплавательная рота приступила к сбор</w:t>
      </w:r>
      <w:r w:rsidRPr="00DE096C">
        <w:rPr>
          <w:rStyle w:val="43"/>
          <w:rFonts w:ascii="Times New Roman" w:hAnsi="Times New Roman" w:cs="Times New Roman"/>
          <w:bCs/>
          <w:color w:val="002060"/>
          <w:w w:val="100"/>
          <w:sz w:val="16"/>
          <w:szCs w:val="16"/>
        </w:rPr>
        <w:softHyphen/>
        <w:t>ке и наполнению дирижабля, который был сна</w:t>
      </w:r>
      <w:r w:rsidRPr="00DE096C">
        <w:rPr>
          <w:rStyle w:val="43"/>
          <w:rFonts w:ascii="Times New Roman" w:hAnsi="Times New Roman" w:cs="Times New Roman"/>
          <w:bCs/>
          <w:color w:val="002060"/>
          <w:w w:val="100"/>
          <w:sz w:val="16"/>
          <w:szCs w:val="16"/>
        </w:rPr>
        <w:softHyphen/>
        <w:t>ряжён к полётам в середине декабря. После нескольких полётов «Астры» в г. Лида для испы</w:t>
      </w:r>
      <w:r w:rsidRPr="00DE096C">
        <w:rPr>
          <w:rStyle w:val="43"/>
          <w:rFonts w:ascii="Times New Roman" w:hAnsi="Times New Roman" w:cs="Times New Roman"/>
          <w:bCs/>
          <w:color w:val="002060"/>
          <w:w w:val="100"/>
          <w:sz w:val="16"/>
          <w:szCs w:val="16"/>
        </w:rPr>
        <w:softHyphen/>
        <w:t>тания новой, увеличенной в размерах оболочки, А.И. Шабский получил приказ лететь в Белосток (20120).</w:t>
      </w:r>
    </w:p>
    <w:p w14:paraId="7979AAF3" w14:textId="77777777" w:rsidR="00413BB1" w:rsidRPr="00DE096C" w:rsidRDefault="00413BB1" w:rsidP="00D45A46">
      <w:pPr>
        <w:jc w:val="both"/>
        <w:rPr>
          <w:rStyle w:val="43"/>
          <w:rFonts w:ascii="Times New Roman" w:hAnsi="Times New Roman" w:cs="Times New Roman"/>
          <w:bCs/>
          <w:color w:val="002060"/>
          <w:w w:val="100"/>
          <w:sz w:val="16"/>
          <w:szCs w:val="16"/>
        </w:rPr>
      </w:pPr>
    </w:p>
    <w:p w14:paraId="4BA012C7" w14:textId="77777777" w:rsidR="00413BB1" w:rsidRPr="00DE096C" w:rsidRDefault="00413BB1" w:rsidP="00D45A46">
      <w:pPr>
        <w:jc w:val="both"/>
        <w:rPr>
          <w:rStyle w:val="43"/>
          <w:rFonts w:ascii="Times New Roman" w:hAnsi="Times New Roman" w:cs="Times New Roman"/>
          <w:bCs/>
          <w:color w:val="002060"/>
          <w:w w:val="100"/>
          <w:sz w:val="16"/>
          <w:szCs w:val="16"/>
        </w:rPr>
      </w:pPr>
      <w:r w:rsidRPr="00DE096C">
        <w:rPr>
          <w:rStyle w:val="43"/>
          <w:rFonts w:ascii="Times New Roman" w:hAnsi="Times New Roman" w:cs="Times New Roman"/>
          <w:bCs/>
          <w:color w:val="002060"/>
          <w:w w:val="100"/>
          <w:sz w:val="16"/>
          <w:szCs w:val="16"/>
        </w:rPr>
        <w:t>В конце ноября 1914 г. в эллинге в г. Лида 3-я воздухоплавательная рота приступила к сбор</w:t>
      </w:r>
      <w:r w:rsidRPr="00DE096C">
        <w:rPr>
          <w:rStyle w:val="43"/>
          <w:rFonts w:ascii="Times New Roman" w:hAnsi="Times New Roman" w:cs="Times New Roman"/>
          <w:bCs/>
          <w:color w:val="002060"/>
          <w:w w:val="100"/>
          <w:sz w:val="16"/>
          <w:szCs w:val="16"/>
        </w:rPr>
        <w:softHyphen/>
        <w:t>ке и наполнению дирижабля Астра, который был сна</w:t>
      </w:r>
      <w:r w:rsidRPr="00DE096C">
        <w:rPr>
          <w:rStyle w:val="43"/>
          <w:rFonts w:ascii="Times New Roman" w:hAnsi="Times New Roman" w:cs="Times New Roman"/>
          <w:bCs/>
          <w:color w:val="002060"/>
          <w:w w:val="100"/>
          <w:sz w:val="16"/>
          <w:szCs w:val="16"/>
        </w:rPr>
        <w:softHyphen/>
        <w:t>ряжён к полётам в середине декабря. После нескольких полётов «Астры» в г. Лида для испы</w:t>
      </w:r>
      <w:r w:rsidRPr="00DE096C">
        <w:rPr>
          <w:rStyle w:val="43"/>
          <w:rFonts w:ascii="Times New Roman" w:hAnsi="Times New Roman" w:cs="Times New Roman"/>
          <w:bCs/>
          <w:color w:val="002060"/>
          <w:w w:val="100"/>
          <w:sz w:val="16"/>
          <w:szCs w:val="16"/>
        </w:rPr>
        <w:softHyphen/>
        <w:t>тания новой, увеличенной в размерах оболочки, А.И. Шабский получил приказ лететь в Белосток (21120).</w:t>
      </w:r>
    </w:p>
    <w:p w14:paraId="56FD48B7" w14:textId="77777777" w:rsidR="00413BB1" w:rsidRPr="00DE096C" w:rsidRDefault="00413BB1" w:rsidP="00D45A46">
      <w:pPr>
        <w:jc w:val="both"/>
        <w:rPr>
          <w:bCs/>
          <w:color w:val="002060"/>
          <w:sz w:val="16"/>
          <w:szCs w:val="16"/>
        </w:rPr>
      </w:pPr>
    </w:p>
    <w:p w14:paraId="1912D065" w14:textId="77777777" w:rsidR="00B67D7C" w:rsidRPr="00DE096C" w:rsidRDefault="00B67D7C" w:rsidP="00D45A46">
      <w:pPr>
        <w:jc w:val="both"/>
        <w:rPr>
          <w:bCs/>
          <w:i/>
          <w:color w:val="002060"/>
          <w:sz w:val="16"/>
          <w:szCs w:val="16"/>
        </w:rPr>
      </w:pPr>
      <w:r w:rsidRPr="00DE096C">
        <w:rPr>
          <w:bCs/>
          <w:i/>
          <w:color w:val="002060"/>
          <w:sz w:val="16"/>
          <w:szCs w:val="16"/>
        </w:rPr>
        <w:t>Авиация и воздухоплавание Англии:</w:t>
      </w:r>
    </w:p>
    <w:p w14:paraId="01D175C2" w14:textId="77777777" w:rsidR="00B67D7C" w:rsidRPr="00DE096C" w:rsidRDefault="00B67D7C" w:rsidP="00D45A46">
      <w:pPr>
        <w:jc w:val="both"/>
        <w:rPr>
          <w:bCs/>
          <w:i/>
          <w:color w:val="002060"/>
          <w:sz w:val="16"/>
          <w:szCs w:val="16"/>
        </w:rPr>
      </w:pPr>
    </w:p>
    <w:p w14:paraId="5B9F3664" w14:textId="7DF48924" w:rsidR="00B67D7C" w:rsidRPr="00DE096C" w:rsidRDefault="00B67D7C" w:rsidP="00D45A46">
      <w:pPr>
        <w:jc w:val="both"/>
        <w:rPr>
          <w:bCs/>
          <w:color w:val="002060"/>
          <w:sz w:val="16"/>
          <w:szCs w:val="16"/>
        </w:rPr>
      </w:pPr>
      <w:r w:rsidRPr="00DE096C">
        <w:rPr>
          <w:bCs/>
          <w:color w:val="002060"/>
          <w:sz w:val="16"/>
          <w:szCs w:val="16"/>
        </w:rPr>
        <w:t xml:space="preserve">К концу ноября </w:t>
      </w:r>
      <w:r w:rsidR="00A40C34" w:rsidRPr="00DE096C">
        <w:rPr>
          <w:bCs/>
          <w:color w:val="002060"/>
          <w:sz w:val="16"/>
          <w:szCs w:val="16"/>
        </w:rPr>
        <w:t xml:space="preserve">1914 г. </w:t>
      </w:r>
      <w:r w:rsidRPr="00DE096C">
        <w:rPr>
          <w:bCs/>
          <w:color w:val="002060"/>
          <w:sz w:val="16"/>
          <w:szCs w:val="16"/>
        </w:rPr>
        <w:t>во Франции действовало уже 6 авиаотрядов английской авиации вместо первоначальных 4 (11999).</w:t>
      </w:r>
    </w:p>
    <w:p w14:paraId="05F68CE6" w14:textId="77777777" w:rsidR="00B67D7C" w:rsidRPr="00DE096C" w:rsidRDefault="00B67D7C" w:rsidP="00D45A46">
      <w:pPr>
        <w:jc w:val="both"/>
        <w:rPr>
          <w:bCs/>
          <w:color w:val="002060"/>
          <w:sz w:val="16"/>
          <w:szCs w:val="16"/>
        </w:rPr>
      </w:pPr>
    </w:p>
    <w:p w14:paraId="5E88139E" w14:textId="77777777" w:rsidR="00B67D7C" w:rsidRPr="00DE096C" w:rsidRDefault="00B67D7C" w:rsidP="00D45A46">
      <w:pPr>
        <w:jc w:val="both"/>
        <w:rPr>
          <w:bCs/>
          <w:i/>
          <w:color w:val="002060"/>
          <w:sz w:val="16"/>
          <w:szCs w:val="16"/>
        </w:rPr>
      </w:pPr>
      <w:r w:rsidRPr="00DE096C">
        <w:rPr>
          <w:bCs/>
          <w:i/>
          <w:color w:val="002060"/>
          <w:sz w:val="16"/>
          <w:szCs w:val="16"/>
        </w:rPr>
        <w:t>Самолетостроение:</w:t>
      </w:r>
    </w:p>
    <w:p w14:paraId="256579DA" w14:textId="77777777" w:rsidR="00B67D7C" w:rsidRPr="00DE096C" w:rsidRDefault="00B67D7C" w:rsidP="00D45A46">
      <w:pPr>
        <w:jc w:val="both"/>
        <w:rPr>
          <w:bCs/>
          <w:i/>
          <w:color w:val="002060"/>
          <w:sz w:val="16"/>
          <w:szCs w:val="16"/>
        </w:rPr>
      </w:pPr>
    </w:p>
    <w:p w14:paraId="186D6FE2" w14:textId="77777777" w:rsidR="008F7D8F" w:rsidRPr="00DE096C" w:rsidRDefault="008F7D8F" w:rsidP="00D45A46">
      <w:pPr>
        <w:jc w:val="both"/>
        <w:rPr>
          <w:bCs/>
          <w:color w:val="002060"/>
          <w:sz w:val="16"/>
          <w:szCs w:val="16"/>
        </w:rPr>
      </w:pPr>
      <w:r w:rsidRPr="00DE096C">
        <w:rPr>
          <w:bCs/>
          <w:color w:val="002060"/>
          <w:sz w:val="16"/>
          <w:szCs w:val="16"/>
        </w:rPr>
        <w:lastRenderedPageBreak/>
        <w:t>В ноябре 1914 г. начали строить первый С-16, и в январе следующего года он был готов. В феврале 1915 г. его привезли для испытаний в Ревель (ныне Таллин) к месту службы летчика-приемщика Лаврова. Но аэродром замело снегом, а самолет был на колесных шасси, к тому же теперь флот интересовался только гидропланами, С-16 оказался ему не нужен и его «сплавили» в ЭВК, но без мотора, который давали с морских складов (22826).</w:t>
      </w:r>
    </w:p>
    <w:p w14:paraId="3969F895" w14:textId="77777777" w:rsidR="008F7D8F" w:rsidRPr="00DE096C" w:rsidRDefault="008F7D8F" w:rsidP="00D45A46">
      <w:pPr>
        <w:jc w:val="both"/>
        <w:rPr>
          <w:bCs/>
          <w:color w:val="002060"/>
          <w:sz w:val="16"/>
          <w:szCs w:val="16"/>
        </w:rPr>
      </w:pPr>
    </w:p>
    <w:p w14:paraId="5799644B" w14:textId="77777777" w:rsidR="00A40C34" w:rsidRPr="00DE096C" w:rsidRDefault="00A40C34" w:rsidP="00D45A46">
      <w:pPr>
        <w:jc w:val="both"/>
        <w:rPr>
          <w:bCs/>
          <w:color w:val="002060"/>
          <w:sz w:val="16"/>
          <w:szCs w:val="16"/>
        </w:rPr>
      </w:pPr>
      <w:r w:rsidRPr="00DE096C">
        <w:rPr>
          <w:bCs/>
          <w:color w:val="002060"/>
          <w:sz w:val="16"/>
          <w:szCs w:val="16"/>
        </w:rPr>
        <w:t>В ноябре 1914 г. началась постройка трех опытных самолетов С-16 началась в мастерских (цехах) Воздухоплавательного отделения АО РБВЗ в Петрограде, Первый из них, имевший заводской Nо. 154, был готов в январе 1915 г, Российское морское ведомство, заказавшее «Малютку» и всегда благожелательно относившееся к работам И. И. Сикорского, выделило для самолета двигатель «Рон» в 80 л. с. и помогло доставить аппарат в Ревель (Таллин) , где в то время нес службу Г. И. Лавров. Одна» о провести немедленно испытания С-16 не удалось. В феврале аэродром был покрыт глубоким снегом, а лыжами самолет оснащен не был (11188).</w:t>
      </w:r>
    </w:p>
    <w:p w14:paraId="32A96671" w14:textId="77777777" w:rsidR="00A40C34" w:rsidRPr="00DE096C" w:rsidRDefault="00A40C34" w:rsidP="00D45A46">
      <w:pPr>
        <w:jc w:val="both"/>
        <w:rPr>
          <w:bCs/>
          <w:color w:val="002060"/>
          <w:sz w:val="16"/>
          <w:szCs w:val="16"/>
        </w:rPr>
      </w:pPr>
    </w:p>
    <w:p w14:paraId="5C3E3690" w14:textId="37E402BD" w:rsidR="00A40C34" w:rsidRPr="00DE096C" w:rsidRDefault="00A40C34" w:rsidP="00D45A46">
      <w:pPr>
        <w:jc w:val="both"/>
        <w:rPr>
          <w:bCs/>
          <w:color w:val="002060"/>
          <w:sz w:val="16"/>
          <w:szCs w:val="16"/>
        </w:rPr>
      </w:pPr>
      <w:r w:rsidRPr="00DE096C">
        <w:rPr>
          <w:bCs/>
          <w:color w:val="002060"/>
          <w:sz w:val="16"/>
          <w:szCs w:val="16"/>
        </w:rPr>
        <w:t>В ноябре 1914 г. Правление АО РБВЗ обратилось в ГВУ с предложением заменить заказанные С-10А и С-11А соответствующим числом самолетов С-12 и С-16, рассчитанных под восьмидесяти сильные двигатели «Гном» производства московского филиала французской фирмы. В то время в истории российской авиации произошло важное событие, оказавшее решающее влияние на ход работы Воздухоплавательного отделения АО РБВЗ и творческую деятельность И. И. Сикорского. В декабре 1914 г. приказом Государя Императора Николая 2 была создана Эскадра воздушных кораблей (ЭВК) - первое в мире соединение стратегической авиации. На станции Яблона к северу от Варшавы были сосредоточены все построенные «муромцы». Во главе Эскадры стал председатель Правления АО РБВЗ М. В. Шидловский. Вместе с ним в Я6лону отправился и И. И. Сикорский. С целью создания эффективного боевого соединения, обеспечения действий воздушных кораблей и подготовки летного состава они начали собирать в Эскадру со всех фронтов легкие самолеты производства АО РБВЗ, а также летчиков, способных на них летать. В марте 1915 г. из морского флота был затребован Г. И. Лавров. Почти одновременно с этим М, В. Шидловский отдал распоряжение Воздухоплавательному отделению АО РБВЗ отправить в Яблону и два других опытных С-16. Самолеты с заводскими номерами 155 и 156 были отгружены в Эскадру соответственно 6 и 19 марта вместе с самолетами «Илья Муромец» , С-10 и С-12. Прибыли они в Эскадру, как и Nо. 154, без моторов. От первого С-16 Nо. 154 аппараты Nо. 155 и 156 отличались конструкцией крыльев. Если у Nо. 154 они имели небольшую стреловидность, то на двух других аппаратах крылья были прямыми с большим поперечным Ч. Размах крыльев у всех самолетов был примерно одинаков. Кроме того, капоты их двигателей имели характерные скулы-зализы. «Моторный голод» был неизлечимой болезнью, преследовавшей И, И. Сикорского в его деятельности в течение всей первой мировой войны. Причем если для тяжелых воздушных кораблей проблема с двигателями к концу 1916 г. была в общем решена, то для малых аппаратов Сикорского отсутствие необходимых моторов оказалось неразрешимой проблемой (11188).</w:t>
      </w:r>
    </w:p>
    <w:p w14:paraId="59C00DF3" w14:textId="77777777" w:rsidR="00A40C34" w:rsidRPr="00DE096C" w:rsidRDefault="00A40C34" w:rsidP="00D45A46">
      <w:pPr>
        <w:jc w:val="both"/>
        <w:rPr>
          <w:bCs/>
          <w:color w:val="002060"/>
          <w:sz w:val="16"/>
          <w:szCs w:val="16"/>
        </w:rPr>
      </w:pPr>
    </w:p>
    <w:p w14:paraId="410077C9" w14:textId="2B8D774F" w:rsidR="00B67D7C" w:rsidRPr="00DE096C" w:rsidRDefault="00B67D7C" w:rsidP="00D45A46">
      <w:pPr>
        <w:jc w:val="both"/>
        <w:rPr>
          <w:bCs/>
          <w:color w:val="002060"/>
          <w:sz w:val="16"/>
          <w:szCs w:val="16"/>
        </w:rPr>
      </w:pPr>
      <w:r w:rsidRPr="00DE096C">
        <w:rPr>
          <w:bCs/>
          <w:color w:val="002060"/>
          <w:sz w:val="16"/>
          <w:szCs w:val="16"/>
        </w:rPr>
        <w:t xml:space="preserve">В ноябре </w:t>
      </w:r>
      <w:r w:rsidR="00A40C34" w:rsidRPr="00DE096C">
        <w:rPr>
          <w:bCs/>
          <w:color w:val="002060"/>
          <w:sz w:val="16"/>
          <w:szCs w:val="16"/>
        </w:rPr>
        <w:t xml:space="preserve">1914 г. </w:t>
      </w:r>
      <w:r w:rsidRPr="00DE096C">
        <w:rPr>
          <w:bCs/>
          <w:color w:val="002060"/>
          <w:sz w:val="16"/>
          <w:szCs w:val="16"/>
        </w:rPr>
        <w:t>было решено произвести на "Илье Муромце III" следующие изменения: снять передний артиллерийский мостик, устроив взамен съёмный мостик и носовой люк для пулемёта. Штабс-капитан Бродович для облегчения аппарата просил убрать оба добавочных бака для 200-сильных "Сальм- сонов", заменив их бидонами с бензином в фюзеляже. Но потом сняли только баки крайних моторов. Сверху на фюзеляже у № I37 не было ни ограждённой площадки, ни люков для выхода наверх, как у 135-го, 136-го и 138-го. Например, 8 ноября сообщалось, что на "Муромце III" пригоняется съёмный артиллерийский мостик (12041).</w:t>
      </w:r>
    </w:p>
    <w:p w14:paraId="4A0040D2" w14:textId="77777777" w:rsidR="00B67D7C" w:rsidRPr="00DE096C" w:rsidRDefault="00B67D7C" w:rsidP="00D45A46">
      <w:pPr>
        <w:jc w:val="both"/>
        <w:rPr>
          <w:bCs/>
          <w:color w:val="002060"/>
          <w:sz w:val="16"/>
          <w:szCs w:val="16"/>
        </w:rPr>
      </w:pPr>
    </w:p>
    <w:p w14:paraId="399851FA" w14:textId="09866CC9" w:rsidR="00B67D7C" w:rsidRPr="00DE096C" w:rsidRDefault="00B67D7C" w:rsidP="00D45A46">
      <w:pPr>
        <w:jc w:val="both"/>
        <w:rPr>
          <w:bCs/>
          <w:color w:val="002060"/>
          <w:sz w:val="16"/>
          <w:szCs w:val="16"/>
        </w:rPr>
      </w:pPr>
      <w:r w:rsidRPr="00DE096C">
        <w:rPr>
          <w:bCs/>
          <w:color w:val="002060"/>
          <w:sz w:val="16"/>
          <w:szCs w:val="16"/>
        </w:rPr>
        <w:t xml:space="preserve">В ноябре 1914 первая машина была готова. Она и стала родоначальницей "облегченных" </w:t>
      </w:r>
      <w:r w:rsidR="00A40C34" w:rsidRPr="00DE096C">
        <w:rPr>
          <w:bCs/>
          <w:color w:val="002060"/>
          <w:sz w:val="16"/>
          <w:szCs w:val="16"/>
        </w:rPr>
        <w:t xml:space="preserve">ИМ </w:t>
      </w:r>
      <w:r w:rsidRPr="00DE096C">
        <w:rPr>
          <w:bCs/>
          <w:color w:val="002060"/>
          <w:sz w:val="16"/>
          <w:szCs w:val="16"/>
        </w:rPr>
        <w:t>С-23. Конструкция, в общем, осталась прежней, только корабль стал меньших размеров и веса, более приспособленный к боевому применению. Скорость, потолок, дальность и грузоподъемность возросли. Дальность, например, увеличилась на 300 км, потолок стал свыше 3 тыс. м, скорость 125 км/ч при той же посадочной 75 км/ч. Полезная нагрузка возросла до полутора тонн. Это был уже существенный шаг вперед. Самолеты этой серии (29 машин с заводскими № 149, 151, 152, 157- 182) впоследствии неоднократно подвергались изменениям в связи с требованиями боевого применения. Первоначально округленный и тупой нос фюзеляжа был сделан острым, потом многогранным, причем площадь остекления непрерывно росла. Была сделана еще дверь по правому борту и прорезан ряд люков. Для увеличения живучести самолета в боевых условиях бензобаки были перенесены на фюзеляж в центроплан. Маслобаки помещены за двигателями. Наружные обводы (носки и задняя кромка крыльев), начиная с этой серии, стали делать из стальных труб, до этого они были деревянными (11230).</w:t>
      </w:r>
    </w:p>
    <w:p w14:paraId="238DB425" w14:textId="77777777" w:rsidR="00B67D7C" w:rsidRPr="00DE096C" w:rsidRDefault="00B67D7C" w:rsidP="00D45A46">
      <w:pPr>
        <w:jc w:val="both"/>
        <w:rPr>
          <w:bCs/>
          <w:color w:val="002060"/>
          <w:sz w:val="16"/>
          <w:szCs w:val="16"/>
        </w:rPr>
      </w:pPr>
      <w:r w:rsidRPr="00DE096C">
        <w:rPr>
          <w:bCs/>
          <w:color w:val="002060"/>
          <w:sz w:val="16"/>
          <w:szCs w:val="16"/>
        </w:rPr>
        <w:t>Пока шла напряженная работа по постройке кораблей типа "В", оценивались боевые качества "Муромца" под командованием штабс-капитана Руднева. Командир доносил, что "Муромец" плохо набирает высоту, имеет небольшую скорость, не защищен, и поэтому наблюдение за крепостью Перемышль можно вести только на большом удалении и на максимально возможной высоте. Ни о каких бомбардировках и полетах в тыл противника не сообщалось. Упоминалось о затруднениях с ремонтом, обслуживанием, обеспечением материалами, вооружением. В целом мнение о "Муромце" стало складываться неблагоприятное. Все отрицательные реляции о непригодности "Муромцев" для боевой работы шли в Ставку за веской подписью Августейшего - заведующего авиацией и воздухоплаванием в действующей армии Великого Князя Александра Михайловича. Так, князь сообщал в штаб Верховного Главнокомандования: "Представляя при сем Вашему Высокопревосходительству доклад Командира аэроплана "Илья Муромец" №1 выдающегося во всех отношениях военного летчика, приложившего все старания к приведению "Муромца" в состояние, при котором он мог бы подняться на минимальную боевую высоту. Из документа этого Вы увидите, что желаемые результаты достигнуты не были, но надо надеяться, что, может быть, следующие "Муромцы" будут построены при сочетании более удачных данных (11230).</w:t>
      </w:r>
    </w:p>
    <w:p w14:paraId="0E44BE7E" w14:textId="77777777" w:rsidR="00B67D7C" w:rsidRPr="00DE096C" w:rsidRDefault="00B67D7C" w:rsidP="00D45A46">
      <w:pPr>
        <w:jc w:val="both"/>
        <w:rPr>
          <w:bCs/>
          <w:color w:val="002060"/>
          <w:sz w:val="16"/>
          <w:szCs w:val="16"/>
        </w:rPr>
      </w:pPr>
      <w:r w:rsidRPr="00DE096C">
        <w:rPr>
          <w:bCs/>
          <w:color w:val="002060"/>
          <w:sz w:val="16"/>
          <w:szCs w:val="16"/>
        </w:rPr>
        <w:t xml:space="preserve">Ввиду малого числа у нас выдающихся летчиков не могу не высказать сожаления, что замедлившаяся постройка "Муромцев" не дала возможности использовать на театре военных действий целый ряд выдающихся офицеров-летчиков, задержанных в Петрограде в качестве личного состава "Муромцев" - Александр". [ЦГВИА, ф. 493, on. 2, д. 63, л. 1-2.] </w:t>
      </w:r>
    </w:p>
    <w:p w14:paraId="7E4CB373" w14:textId="77777777" w:rsidR="00B67D7C" w:rsidRPr="00DE096C" w:rsidRDefault="00B67D7C" w:rsidP="00D45A46">
      <w:pPr>
        <w:jc w:val="both"/>
        <w:rPr>
          <w:bCs/>
          <w:color w:val="002060"/>
          <w:sz w:val="16"/>
          <w:szCs w:val="16"/>
        </w:rPr>
      </w:pPr>
    </w:p>
    <w:p w14:paraId="75DB3E9E" w14:textId="77777777" w:rsidR="00FF2EB5" w:rsidRPr="00DE096C" w:rsidRDefault="00FF2EB5" w:rsidP="00D45A46">
      <w:pPr>
        <w:jc w:val="both"/>
        <w:rPr>
          <w:bCs/>
          <w:color w:val="002060"/>
          <w:sz w:val="16"/>
          <w:szCs w:val="16"/>
        </w:rPr>
      </w:pPr>
      <w:r w:rsidRPr="00DE096C">
        <w:rPr>
          <w:bCs/>
          <w:color w:val="002060"/>
          <w:sz w:val="16"/>
          <w:szCs w:val="16"/>
        </w:rPr>
        <w:t xml:space="preserve">В ноябре 1914 года военное ведомство заказало 100 самолетов Авро-504. Авро-504 долго продолжал оставаться в эксплуатации, и как стандартный учебный самолет, использовался в военном и в морском ведомствах вплоть до 30-х. Кроме того, самолет оказался удобен в качестве гражданского и использовался как почтовый и экскурсионный самолет, а так же как буксировщик планеров. </w:t>
      </w:r>
    </w:p>
    <w:p w14:paraId="76FE17CD" w14:textId="77777777" w:rsidR="00FF2EB5" w:rsidRPr="00DE096C" w:rsidRDefault="00FF2EB5" w:rsidP="00D45A46">
      <w:pPr>
        <w:jc w:val="both"/>
        <w:rPr>
          <w:bCs/>
          <w:color w:val="002060"/>
          <w:sz w:val="16"/>
          <w:szCs w:val="16"/>
        </w:rPr>
      </w:pPr>
      <w:r w:rsidRPr="00DE096C">
        <w:rPr>
          <w:bCs/>
          <w:color w:val="002060"/>
          <w:sz w:val="16"/>
          <w:szCs w:val="16"/>
        </w:rPr>
        <w:t>ЛТХ: Размах крыльев - 10.97 м, длинна 9.1 м, площадь крыла 30.6 м.кв., масса пустого самолета 485 кг, взлетная 850 кг, мотор "Гном-80" или "Калеп-80" или "Оберрусель", макс.скорость 120 км/ч, крейсерская скорость 100 км/ч, продолжительность полета 4-6 часов, практическая дальность 400 км, потолок 2500 м, экипаж 2 человека, вооружение: нет, в боевые вылета брали несколько небольших бомб и штатное оружие состоявшие из револьверов и карабина, впоследствии стали брать ружье-пулемет Мадсена или Федорова обр.1913 г. (12284).</w:t>
      </w:r>
    </w:p>
    <w:p w14:paraId="0CE3FC9A" w14:textId="77777777" w:rsidR="00FF2EB5" w:rsidRPr="00DE096C" w:rsidRDefault="00FF2EB5" w:rsidP="00D45A46">
      <w:pPr>
        <w:jc w:val="both"/>
        <w:rPr>
          <w:bCs/>
          <w:color w:val="002060"/>
          <w:sz w:val="16"/>
          <w:szCs w:val="16"/>
        </w:rPr>
      </w:pPr>
    </w:p>
    <w:p w14:paraId="3739190C" w14:textId="77777777" w:rsidR="00A75AF0" w:rsidRPr="00DE096C" w:rsidRDefault="00A75AF0" w:rsidP="00D45A46">
      <w:pPr>
        <w:jc w:val="both"/>
        <w:rPr>
          <w:bCs/>
          <w:color w:val="002060"/>
          <w:sz w:val="16"/>
          <w:szCs w:val="16"/>
        </w:rPr>
      </w:pPr>
      <w:r w:rsidRPr="00DE096C">
        <w:rPr>
          <w:bCs/>
          <w:color w:val="002060"/>
          <w:sz w:val="16"/>
          <w:szCs w:val="16"/>
        </w:rPr>
        <w:t>В ноябре 1914 г. руководство РБВЗ предложило Военному и Морскому министерствам России заменить заказанные, но еще не построенные морально устаревшие учебные самолеты С-10 и С-11 таким же количеством новых С-12 и С-16. Однако из-за бюрократических проволочек незамедлительный ответ не поступил, что не позволяло надлежащим образом планировать работу предприятия и откладывало переоснащение Императорского Воздушного Флота и Морской Авиации новой техникой с более высокими качествами, нежели существующая, в т.ч. устаревшая импортная (23557).</w:t>
      </w:r>
    </w:p>
    <w:p w14:paraId="2482A745" w14:textId="77777777" w:rsidR="00A75AF0" w:rsidRPr="00DE096C" w:rsidRDefault="00A75AF0" w:rsidP="00D45A46">
      <w:pPr>
        <w:jc w:val="both"/>
        <w:rPr>
          <w:bCs/>
          <w:color w:val="002060"/>
          <w:sz w:val="16"/>
          <w:szCs w:val="16"/>
          <w:lang w:bidi="en-US"/>
        </w:rPr>
      </w:pPr>
    </w:p>
    <w:p w14:paraId="4357C79A" w14:textId="77777777" w:rsidR="00A75AF0" w:rsidRPr="00DE096C" w:rsidRDefault="00A75AF0" w:rsidP="00D45A46">
      <w:pPr>
        <w:jc w:val="both"/>
        <w:rPr>
          <w:bCs/>
          <w:color w:val="002060"/>
          <w:sz w:val="16"/>
          <w:szCs w:val="16"/>
        </w:rPr>
      </w:pPr>
      <w:r w:rsidRPr="00DE096C">
        <w:rPr>
          <w:bCs/>
          <w:color w:val="002060"/>
          <w:sz w:val="16"/>
          <w:szCs w:val="16"/>
        </w:rPr>
        <w:t>В ноябре 1914 г. была гото</w:t>
      </w:r>
      <w:r w:rsidRPr="00DE096C">
        <w:rPr>
          <w:bCs/>
          <w:color w:val="002060"/>
          <w:sz w:val="16"/>
          <w:szCs w:val="16"/>
        </w:rPr>
        <w:softHyphen/>
        <w:t>ва первая машина ИМ тип «В». Она и стала родоначальницей «облегченных» С-23. Конструкция, в общем, осталась прежней, только ко</w:t>
      </w:r>
      <w:r w:rsidRPr="00DE096C">
        <w:rPr>
          <w:bCs/>
          <w:color w:val="002060"/>
          <w:sz w:val="16"/>
          <w:szCs w:val="16"/>
        </w:rPr>
        <w:softHyphen/>
        <w:t>рабль стал меньших размеров и веса, более приспособ</w:t>
      </w:r>
      <w:r w:rsidRPr="00DE096C">
        <w:rPr>
          <w:bCs/>
          <w:color w:val="002060"/>
          <w:sz w:val="16"/>
          <w:szCs w:val="16"/>
        </w:rPr>
        <w:softHyphen/>
        <w:t>ленный к боевому применению. Скорость, потолок, дальность и грузоподъемность возросли. Дальность, на</w:t>
      </w:r>
      <w:r w:rsidRPr="00DE096C">
        <w:rPr>
          <w:bCs/>
          <w:color w:val="002060"/>
          <w:sz w:val="16"/>
          <w:szCs w:val="16"/>
        </w:rPr>
        <w:softHyphen/>
        <w:t>пример, увеличилась на 300 км, потолок стал свыше 3 тыс. м, скорость 125 км/ч при той же посадочной 75 км/ч. Полезная нагрузка возросла до полутора тонн. Это был уже существенный шаг вперед. Самолеты этой серии (29 машин с заводскими № 149, 151, 152, 157— 182) впоследствии неоднократно подвергались измене</w:t>
      </w:r>
      <w:r w:rsidRPr="00DE096C">
        <w:rPr>
          <w:bCs/>
          <w:color w:val="002060"/>
          <w:sz w:val="16"/>
          <w:szCs w:val="16"/>
        </w:rPr>
        <w:softHyphen/>
        <w:t>ниям в связи с требованиями боевого применения. Пер</w:t>
      </w:r>
      <w:r w:rsidRPr="00DE096C">
        <w:rPr>
          <w:bCs/>
          <w:color w:val="002060"/>
          <w:sz w:val="16"/>
          <w:szCs w:val="16"/>
        </w:rPr>
        <w:softHyphen/>
        <w:t>воначально округленный и тупой нос фюзеляжа был сделан острым, потом многогранным, причем площадь остекления непрерывно росла. Была сделана еще дверь по правому борту и прорезан ряд люков. Для увеличе</w:t>
      </w:r>
      <w:r w:rsidRPr="00DE096C">
        <w:rPr>
          <w:bCs/>
          <w:color w:val="002060"/>
          <w:sz w:val="16"/>
          <w:szCs w:val="16"/>
        </w:rPr>
        <w:softHyphen/>
        <w:t>ния живучести самолета в боевых условиях бензобаки были перенесены на фюзеляж в центроплан. Маслоба</w:t>
      </w:r>
      <w:r w:rsidRPr="00DE096C">
        <w:rPr>
          <w:bCs/>
          <w:color w:val="002060"/>
          <w:sz w:val="16"/>
          <w:szCs w:val="16"/>
        </w:rPr>
        <w:softHyphen/>
        <w:t>ки помещены за двигателями. Наружные обводы (нос</w:t>
      </w:r>
      <w:r w:rsidRPr="00DE096C">
        <w:rPr>
          <w:bCs/>
          <w:color w:val="002060"/>
          <w:sz w:val="16"/>
          <w:szCs w:val="16"/>
        </w:rPr>
        <w:softHyphen/>
        <w:t>ки и задняя кромка крыльев), начиная с этой серии, стали делать из стальных труб, до этого они были дере</w:t>
      </w:r>
      <w:r w:rsidRPr="00DE096C">
        <w:rPr>
          <w:bCs/>
          <w:color w:val="002060"/>
          <w:sz w:val="16"/>
          <w:szCs w:val="16"/>
        </w:rPr>
        <w:softHyphen/>
        <w:t>вянными (24177).</w:t>
      </w:r>
    </w:p>
    <w:p w14:paraId="19912801" w14:textId="77777777" w:rsidR="00A75AF0" w:rsidRPr="00DE096C" w:rsidRDefault="00A75AF0" w:rsidP="00D45A46">
      <w:pPr>
        <w:jc w:val="both"/>
        <w:rPr>
          <w:bCs/>
          <w:color w:val="002060"/>
          <w:sz w:val="16"/>
          <w:szCs w:val="16"/>
          <w:lang w:bidi="en-US"/>
        </w:rPr>
      </w:pPr>
    </w:p>
    <w:p w14:paraId="70B865A8" w14:textId="77777777" w:rsidR="00A75AF0" w:rsidRPr="00DE096C" w:rsidRDefault="00A75AF0" w:rsidP="00D45A46">
      <w:pPr>
        <w:jc w:val="both"/>
        <w:rPr>
          <w:bCs/>
          <w:color w:val="002060"/>
          <w:sz w:val="16"/>
          <w:szCs w:val="16"/>
        </w:rPr>
      </w:pPr>
      <w:r w:rsidRPr="00DE096C">
        <w:rPr>
          <w:bCs/>
          <w:color w:val="002060"/>
          <w:sz w:val="16"/>
          <w:szCs w:val="16"/>
        </w:rPr>
        <w:t>В ноябре 1914 г., несмотря на отсутствие интереса со стороны правительства и военных ведомств, Петербургским авиационным отделением РБВЗ началась постройка С-16. Однако отдельные чиновники согласились РБВЗ помогать организационно и поставкой необходимых комплектующих, которыми они могли распоряжаться своей властью.</w:t>
      </w:r>
    </w:p>
    <w:p w14:paraId="6D20E02E" w14:textId="77777777" w:rsidR="00A75AF0" w:rsidRPr="00DE096C" w:rsidRDefault="00A75AF0" w:rsidP="00D45A46">
      <w:pPr>
        <w:jc w:val="both"/>
        <w:rPr>
          <w:bCs/>
          <w:color w:val="002060"/>
          <w:sz w:val="16"/>
          <w:szCs w:val="16"/>
        </w:rPr>
      </w:pPr>
      <w:r w:rsidRPr="00DE096C">
        <w:rPr>
          <w:bCs/>
          <w:color w:val="002060"/>
          <w:sz w:val="16"/>
          <w:szCs w:val="16"/>
        </w:rPr>
        <w:t>Самолет был закончен постройкой в январе 1915 г. Мотор Рон 9С для него был предоставлен из запасов Авиации ВМФ (23557).</w:t>
      </w:r>
    </w:p>
    <w:p w14:paraId="2145322F" w14:textId="77777777" w:rsidR="00A75AF0" w:rsidRPr="00DE096C" w:rsidRDefault="00A75AF0" w:rsidP="00D45A46">
      <w:pPr>
        <w:jc w:val="both"/>
        <w:rPr>
          <w:bCs/>
          <w:color w:val="002060"/>
          <w:sz w:val="16"/>
          <w:szCs w:val="16"/>
          <w:lang w:bidi="en-US"/>
        </w:rPr>
      </w:pPr>
    </w:p>
    <w:p w14:paraId="24F51AF4" w14:textId="77777777" w:rsidR="00E95C04" w:rsidRPr="00B52707" w:rsidRDefault="00E95C04" w:rsidP="00E95C04">
      <w:pPr>
        <w:jc w:val="both"/>
        <w:rPr>
          <w:color w:val="0070C0"/>
          <w:sz w:val="16"/>
          <w:szCs w:val="16"/>
        </w:rPr>
      </w:pPr>
      <w:bookmarkStart w:id="209" w:name="_Hlk189405384"/>
      <w:r w:rsidRPr="00B52707">
        <w:rPr>
          <w:color w:val="0070C0"/>
          <w:sz w:val="16"/>
          <w:szCs w:val="16"/>
        </w:rPr>
        <w:t>В ноябре 1914 г. в связи с тем, что поставки из Франции нарушились, а отечес</w:t>
      </w:r>
      <w:r w:rsidRPr="00B52707">
        <w:rPr>
          <w:color w:val="0070C0"/>
          <w:sz w:val="16"/>
          <w:szCs w:val="16"/>
        </w:rPr>
        <w:softHyphen/>
        <w:t>твенные авиамоторные заводы не выпускали стосиль</w:t>
      </w:r>
      <w:r w:rsidRPr="00B52707">
        <w:rPr>
          <w:color w:val="0070C0"/>
          <w:sz w:val="16"/>
          <w:szCs w:val="16"/>
        </w:rPr>
        <w:softHyphen/>
        <w:t>ных двигателей «Гном-моносупап», под которые стро</w:t>
      </w:r>
      <w:r w:rsidRPr="00B52707">
        <w:rPr>
          <w:color w:val="0070C0"/>
          <w:sz w:val="16"/>
          <w:szCs w:val="16"/>
        </w:rPr>
        <w:softHyphen/>
        <w:t>ились С-10А и С-ИА, Правление АО РБВЗ обратилось в ГВТУ с предложением заменить заказанные С-10А и С-11 А соответствующим числом самолетов С-12 и С-16, рассчитанных под восьмидеся</w:t>
      </w:r>
      <w:r w:rsidRPr="00B52707">
        <w:rPr>
          <w:color w:val="0070C0"/>
          <w:sz w:val="16"/>
          <w:szCs w:val="16"/>
        </w:rPr>
        <w:softHyphen/>
        <w:t>тисильные двигатели «Гном» производства московского филиала французской фирмы (25049).</w:t>
      </w:r>
    </w:p>
    <w:bookmarkEnd w:id="209"/>
    <w:p w14:paraId="6A17D728" w14:textId="77777777" w:rsidR="00E95C04" w:rsidRPr="00B52707" w:rsidRDefault="00E95C04" w:rsidP="00E95C04">
      <w:pPr>
        <w:jc w:val="both"/>
        <w:rPr>
          <w:color w:val="0070C0"/>
          <w:sz w:val="16"/>
          <w:szCs w:val="16"/>
        </w:rPr>
      </w:pPr>
    </w:p>
    <w:p w14:paraId="015BA8CA" w14:textId="77777777" w:rsidR="00E95C04" w:rsidRPr="00B52707" w:rsidRDefault="00E95C04" w:rsidP="00E95C04">
      <w:pPr>
        <w:jc w:val="both"/>
        <w:rPr>
          <w:color w:val="0070C0"/>
          <w:sz w:val="16"/>
          <w:szCs w:val="16"/>
        </w:rPr>
      </w:pPr>
      <w:r w:rsidRPr="00B52707">
        <w:rPr>
          <w:color w:val="0070C0"/>
          <w:sz w:val="16"/>
          <w:szCs w:val="16"/>
        </w:rPr>
        <w:t>В ноябре 1914 г. военный летчик, поручик В. М. Григоров предложил «бронекаучуковую рубашку для за</w:t>
      </w:r>
      <w:r w:rsidRPr="00B52707">
        <w:rPr>
          <w:color w:val="0070C0"/>
          <w:sz w:val="16"/>
          <w:szCs w:val="16"/>
        </w:rPr>
        <w:softHyphen/>
        <w:t>щиты аэропланных баков от протекания из них бензина и масла в случае прострела или повреж</w:t>
      </w:r>
      <w:r w:rsidRPr="00B52707">
        <w:rPr>
          <w:color w:val="0070C0"/>
          <w:sz w:val="16"/>
          <w:szCs w:val="16"/>
        </w:rPr>
        <w:softHyphen/>
        <w:t>дения этих баков» (24966).</w:t>
      </w:r>
    </w:p>
    <w:p w14:paraId="34670CFF" w14:textId="77777777" w:rsidR="00E95C04" w:rsidRPr="00B52707" w:rsidRDefault="00E95C04" w:rsidP="00E95C04">
      <w:pPr>
        <w:jc w:val="both"/>
        <w:rPr>
          <w:color w:val="0070C0"/>
          <w:sz w:val="16"/>
          <w:szCs w:val="16"/>
        </w:rPr>
      </w:pPr>
    </w:p>
    <w:p w14:paraId="46025537" w14:textId="77777777" w:rsidR="00B67D7C" w:rsidRPr="00DE096C" w:rsidRDefault="00B67D7C" w:rsidP="00D45A46">
      <w:pPr>
        <w:jc w:val="both"/>
        <w:rPr>
          <w:bCs/>
          <w:i/>
          <w:color w:val="002060"/>
          <w:sz w:val="16"/>
          <w:szCs w:val="16"/>
        </w:rPr>
      </w:pPr>
      <w:r w:rsidRPr="00DE096C">
        <w:rPr>
          <w:bCs/>
          <w:i/>
          <w:color w:val="002060"/>
          <w:sz w:val="16"/>
          <w:szCs w:val="16"/>
        </w:rPr>
        <w:t>Другие оборонные отрасли:</w:t>
      </w:r>
    </w:p>
    <w:p w14:paraId="628BF406" w14:textId="77777777" w:rsidR="00B67D7C" w:rsidRPr="00DE096C" w:rsidRDefault="00B67D7C" w:rsidP="00D45A46">
      <w:pPr>
        <w:jc w:val="both"/>
        <w:rPr>
          <w:bCs/>
          <w:i/>
          <w:color w:val="002060"/>
          <w:sz w:val="16"/>
          <w:szCs w:val="16"/>
        </w:rPr>
      </w:pPr>
    </w:p>
    <w:p w14:paraId="2E1D6A3D" w14:textId="77777777" w:rsidR="00E82654" w:rsidRPr="00DE096C" w:rsidRDefault="00E82654" w:rsidP="00D45A46">
      <w:pPr>
        <w:pStyle w:val="a5"/>
        <w:rPr>
          <w:bCs/>
          <w:color w:val="002060"/>
          <w:sz w:val="16"/>
          <w:szCs w:val="16"/>
          <w:lang w:val="ru-RU"/>
        </w:rPr>
      </w:pPr>
      <w:r w:rsidRPr="00DE096C">
        <w:rPr>
          <w:bCs/>
          <w:color w:val="002060"/>
          <w:sz w:val="16"/>
          <w:szCs w:val="16"/>
          <w:lang w:val="ru-RU"/>
        </w:rPr>
        <w:t>В ноябре 1914 г. утвердили положение о формировании еще 16 мотоциклетных отделений, получивших номера с 5 по 20. Согласно табелю, каждое отделение должно было насчиты</w:t>
      </w:r>
      <w:r w:rsidRPr="00DE096C">
        <w:rPr>
          <w:bCs/>
          <w:color w:val="002060"/>
          <w:sz w:val="16"/>
          <w:szCs w:val="16"/>
          <w:lang w:val="ru-RU"/>
        </w:rPr>
        <w:softHyphen/>
        <w:t>вать 41 мотоцикл, один легковой и два грузовых автомобиля (15741).</w:t>
      </w:r>
    </w:p>
    <w:p w14:paraId="39817AC1" w14:textId="77777777" w:rsidR="00E82654" w:rsidRPr="00DE096C" w:rsidRDefault="00E82654" w:rsidP="00D45A46">
      <w:pPr>
        <w:pStyle w:val="a5"/>
        <w:rPr>
          <w:bCs/>
          <w:color w:val="002060"/>
          <w:sz w:val="16"/>
          <w:szCs w:val="16"/>
          <w:lang w:val="ru-RU"/>
        </w:rPr>
      </w:pPr>
    </w:p>
    <w:p w14:paraId="374F1ABA" w14:textId="77777777" w:rsidR="00E82654" w:rsidRPr="00DE096C" w:rsidRDefault="00E82654" w:rsidP="00D45A46">
      <w:pPr>
        <w:pStyle w:val="p1"/>
        <w:spacing w:before="0" w:beforeAutospacing="0" w:after="0" w:afterAutospacing="0"/>
        <w:jc w:val="both"/>
        <w:rPr>
          <w:bCs/>
          <w:color w:val="002060"/>
          <w:sz w:val="16"/>
          <w:szCs w:val="16"/>
        </w:rPr>
      </w:pPr>
      <w:r w:rsidRPr="00DE096C">
        <w:rPr>
          <w:bCs/>
          <w:color w:val="002060"/>
          <w:sz w:val="16"/>
          <w:szCs w:val="16"/>
        </w:rPr>
        <w:t>В ноябре 1914 г. «для исследования причин» нехватки снарядов Ставка командировала на фронт «нашего известного артиллериста», начальника Михайловского артиллерийского училища генерала П.П. Карачана. «В вопросе о расходовании снарядов, — гласил один из выводов, привезенных Карачаном из этой командировки, — приходилось выбирать между снарядами и жизнью людей; желая сохранить людей, не жалели снарядов» (18409).</w:t>
      </w:r>
    </w:p>
    <w:p w14:paraId="70C11886" w14:textId="77777777" w:rsidR="00E82654" w:rsidRPr="00DE096C" w:rsidRDefault="00E82654" w:rsidP="00D45A46">
      <w:pPr>
        <w:pStyle w:val="p1"/>
        <w:spacing w:before="0" w:beforeAutospacing="0" w:after="0" w:afterAutospacing="0"/>
        <w:jc w:val="both"/>
        <w:rPr>
          <w:bCs/>
          <w:color w:val="002060"/>
          <w:sz w:val="16"/>
          <w:szCs w:val="16"/>
        </w:rPr>
      </w:pPr>
    </w:p>
    <w:p w14:paraId="3AD6CD68" w14:textId="77777777" w:rsidR="00E82654" w:rsidRPr="00DE096C" w:rsidRDefault="00E82654" w:rsidP="00D45A46">
      <w:pPr>
        <w:pStyle w:val="21"/>
        <w:shd w:val="clear" w:color="auto" w:fill="auto"/>
        <w:spacing w:after="0" w:line="240" w:lineRule="auto"/>
        <w:ind w:firstLine="0"/>
        <w:jc w:val="both"/>
        <w:rPr>
          <w:rFonts w:ascii="Times New Roman" w:hAnsi="Times New Roman" w:cs="Times New Roman"/>
          <w:bCs/>
          <w:color w:val="002060"/>
          <w:spacing w:val="0"/>
          <w:sz w:val="16"/>
          <w:szCs w:val="16"/>
        </w:rPr>
      </w:pPr>
      <w:r w:rsidRPr="00DE096C">
        <w:rPr>
          <w:rFonts w:ascii="Times New Roman" w:hAnsi="Times New Roman" w:cs="Times New Roman"/>
          <w:bCs/>
          <w:color w:val="002060"/>
          <w:spacing w:val="0"/>
          <w:sz w:val="16"/>
          <w:szCs w:val="16"/>
        </w:rPr>
        <w:t>В ноябре 1914 года начальник штаба Ставки Главнокомандования, генерал Янушкевич был вынужден официально уведомить «европейских союзников», что «мы [русская армия] ощущаем самый серьезный недостаток в артиллерийском снабжении — и это обстоятельство сильно повлияет на наши дальнейшие стратегические предположения» (15230).</w:t>
      </w:r>
    </w:p>
    <w:p w14:paraId="5D92EB04" w14:textId="77777777" w:rsidR="00E82654" w:rsidRPr="00DE096C" w:rsidRDefault="00E82654" w:rsidP="00D45A46">
      <w:pPr>
        <w:pStyle w:val="21"/>
        <w:shd w:val="clear" w:color="auto" w:fill="auto"/>
        <w:spacing w:after="0" w:line="240" w:lineRule="auto"/>
        <w:ind w:firstLine="0"/>
        <w:jc w:val="both"/>
        <w:rPr>
          <w:rFonts w:ascii="Times New Roman" w:hAnsi="Times New Roman" w:cs="Times New Roman"/>
          <w:bCs/>
          <w:color w:val="002060"/>
          <w:spacing w:val="0"/>
          <w:sz w:val="16"/>
          <w:szCs w:val="16"/>
        </w:rPr>
      </w:pPr>
    </w:p>
    <w:p w14:paraId="684EE94B" w14:textId="77777777" w:rsidR="00E82654" w:rsidRPr="00DE096C" w:rsidRDefault="00E82654" w:rsidP="00D45A46">
      <w:pPr>
        <w:jc w:val="both"/>
        <w:rPr>
          <w:bCs/>
          <w:color w:val="002060"/>
          <w:sz w:val="16"/>
          <w:szCs w:val="16"/>
        </w:rPr>
      </w:pPr>
      <w:r w:rsidRPr="00DE096C">
        <w:rPr>
          <w:bCs/>
          <w:color w:val="002060"/>
          <w:sz w:val="16"/>
          <w:szCs w:val="16"/>
        </w:rPr>
        <w:t>В ноябре 1914 г. МГШ был поднят вопрос о строительстве новой радиостанции для Главного Адмиралтейства. В апреле 1915 г. фирма выразила согласие на сооружение станции на острове Новая Голландия в Петрограде за 130 тыс. руб. В июне того же года последовало одобрение этого предложения со стороны морского министра И.К. Григоровича.</w:t>
      </w:r>
    </w:p>
    <w:p w14:paraId="3658D137" w14:textId="77777777" w:rsidR="00E82654" w:rsidRPr="00DE096C" w:rsidRDefault="00E82654" w:rsidP="00D45A46">
      <w:pPr>
        <w:jc w:val="both"/>
        <w:rPr>
          <w:bCs/>
          <w:color w:val="002060"/>
          <w:sz w:val="16"/>
          <w:szCs w:val="16"/>
        </w:rPr>
      </w:pPr>
      <w:r w:rsidRPr="00DE096C">
        <w:rPr>
          <w:bCs/>
          <w:color w:val="002060"/>
          <w:sz w:val="16"/>
          <w:szCs w:val="16"/>
        </w:rPr>
        <w:t>Радиостанция «Новая Голландия» была снабжена тремя типами приемников РОБТиТ, позволявшими перекрывать диапазон от 180 до 16 000 м. Кроме этого станция была снабжена приспособлением для приема незатухающих колебаний, новейшим двойным ламповым усилителем звука и комплектом приборов для записи на фонографические валики. В конце 1916 г. строительство зданий было завершено, однако из-за сырости установка аппаратуры началась только в начале января 1917 г. С 20 января 1917 г. станция начинает нести дежурство на прием, а о полной готовности ее РОБТиТ известил Минный отдел ГУК 21 сентября 1917 г. (18297).</w:t>
      </w:r>
    </w:p>
    <w:p w14:paraId="085F0533" w14:textId="77777777" w:rsidR="00E82654" w:rsidRPr="00DE096C" w:rsidRDefault="00E82654" w:rsidP="00D45A46">
      <w:pPr>
        <w:jc w:val="both"/>
        <w:rPr>
          <w:bCs/>
          <w:color w:val="002060"/>
          <w:sz w:val="16"/>
          <w:szCs w:val="16"/>
        </w:rPr>
      </w:pPr>
    </w:p>
    <w:p w14:paraId="690C7135" w14:textId="56696BD5" w:rsidR="00B67D7C" w:rsidRPr="00DE096C" w:rsidRDefault="00A40C34" w:rsidP="00D45A46">
      <w:pPr>
        <w:jc w:val="both"/>
        <w:rPr>
          <w:bCs/>
          <w:color w:val="002060"/>
          <w:sz w:val="16"/>
          <w:szCs w:val="16"/>
        </w:rPr>
      </w:pPr>
      <w:bookmarkStart w:id="210" w:name="_Hlk117410313"/>
      <w:r w:rsidRPr="00DE096C">
        <w:rPr>
          <w:bCs/>
          <w:color w:val="002060"/>
          <w:sz w:val="16"/>
          <w:szCs w:val="16"/>
        </w:rPr>
        <w:t>В</w:t>
      </w:r>
      <w:r w:rsidR="00B67D7C" w:rsidRPr="00DE096C">
        <w:rPr>
          <w:bCs/>
          <w:color w:val="002060"/>
          <w:sz w:val="16"/>
          <w:szCs w:val="16"/>
        </w:rPr>
        <w:t xml:space="preserve"> ноябре 1914 года при Министерстве торговли и промышленности было создано «Междуведомственное совещание по обследованию деятельности предприятий воюющих с Россией держав», в составе которого вскоре начало работать «Особое делопроизводство по правительственному надзору за торгово-промышленными предприятиями». Одной из задач новой структуры стало выявление фактов участия в формально русских фирмах капиталов подданных воюющих с Россией держав и участия таковых в руководстве деятельностью предприятий. Работе Особого делопроизводства фирмы всячески противились (10 Там же. Ф. 23. Оп. 28. Д. 1280. Л. 7.). Вместе с тем крупная российская торгово-промышленная буржуазия, напуганная поражениями русской армии на фронте, ростом революционного движения и недовольная общей политикой царского правительства, создала в марте 1915 года свои организации, так называемые военно-промышленные комитеты (ВПК), целью которых являлось объединение промышленников, снабжавших армию боеприпасами, военным снаряжением и другими материальными средствами. Были созданы 33 губернских ВПК, объединивших 220 уездных. ВПК привлекли к обслуживанию армии 1300 средних и мелких промышленных предприятий и создали 120 собственных заводов и мастерских. При Центральном ВПК была образована нефтяная секция, которая занималась вопросами снабжения и доставки нефтепродуктов, участвовала в выработке твердых цен. В нефтяной промышленности следует отметить Бакинский ВПК, который возглавлял А.О. Гукасов — председатель Совета съезда бакинских промышленников и глава «Каспийского товарищества», и Грозненский ВПК во главе с А.М. Коншиным — председателем съезда терских нефтепромышленников.</w:t>
      </w:r>
    </w:p>
    <w:p w14:paraId="1D5FF4B8" w14:textId="77777777" w:rsidR="00B67D7C" w:rsidRPr="00DE096C" w:rsidRDefault="00B67D7C" w:rsidP="00D45A46">
      <w:pPr>
        <w:jc w:val="both"/>
        <w:rPr>
          <w:bCs/>
          <w:color w:val="002060"/>
          <w:sz w:val="16"/>
          <w:szCs w:val="16"/>
        </w:rPr>
      </w:pPr>
      <w:r w:rsidRPr="00DE096C">
        <w:rPr>
          <w:bCs/>
          <w:color w:val="002060"/>
          <w:sz w:val="16"/>
          <w:szCs w:val="16"/>
        </w:rPr>
        <w:t>Военно-промышленные комитеты не являлись органами государственного регулирования. Однако они в какой-то мере пытались противодействовать крупным нефтяным компаниям в их попытках взять на себя полное руководство отраслью, пытались разрешить «керосиновый голод», вскрыв его причины, не связанные, кстати, с недостатком ресурсов, а зависевшие только от перегруженности железных дорог, принимали меры к повышению оборота цистерн и т.д. ВПК заставили обратить внимание на постоянное сокращение буровых работ, предупреждая, что это неминуемо приведет к падению добычи нефти, что на самом деле в конце концов и произошло. Прав и возможностей изменить положение у ВПК не было, да и представляли они в конечном счете самих нефтепромышленников, но деятели ВПК искренне желали помочь русской армии: не будем забывать, что война была империалистической, войной за рынки, и молодая российская буржуазия, естественно, отстаивала в ней свои национальные интересы. Так что следует отдать должное пониманию со стороны ВПК нужд обороны и их серьезные намерения улучшить состояние дел в военном ведомстве. Об этом свидетельствует и резолюция, принятая первым съездом представителей ВПК, состоявшимся 25—27 июля 1915 года под председательством А.И.Гучкова, возглавлявшего тогда Центральный ВПК.</w:t>
      </w:r>
    </w:p>
    <w:p w14:paraId="053BF0FE" w14:textId="77777777" w:rsidR="00B67D7C" w:rsidRPr="00DE096C" w:rsidRDefault="00B67D7C" w:rsidP="00D45A46">
      <w:pPr>
        <w:jc w:val="both"/>
        <w:rPr>
          <w:bCs/>
          <w:color w:val="002060"/>
          <w:sz w:val="16"/>
          <w:szCs w:val="16"/>
        </w:rPr>
      </w:pPr>
      <w:r w:rsidRPr="00DE096C">
        <w:rPr>
          <w:bCs/>
          <w:color w:val="002060"/>
          <w:sz w:val="16"/>
          <w:szCs w:val="16"/>
        </w:rPr>
        <w:t>«Съезд признает, что при существующем строе хозяйственных учреждений военного ведомства… задача удовлетворительного снабжения армии не может быть достигнута. Необходимо полное обновление всего этого строя и отдельных его органов и приспособление их к нуждам армии и условиям промышленности». Съезд предлагал создать в составе Военного министерства «особое совещание, в состав которого кроме представителей законодательных учреждений и правительственных ведомств должны войти представители военно-промышленных комитетов, всероссийских союзов земств и городов и рабочих… Во главе таковых органов должны быть поставлены представители военного ведомства при непременном участии в них представителей военно-промышленных комитетов и Всероссийского союза земств и городов» (Цит. по журналу «Нива». 1915. № 32. С. 608. Что касается рабочих, представителей которых предлагалось включить в Особое совещание при помощнике министра, то это не более чем риторика, учитывая нараставшее революционное движение на фабриках и заводах, в том числе и в нефтедобывающей отрасли.</w:t>
      </w:r>
    </w:p>
    <w:p w14:paraId="6798F1F3" w14:textId="77777777" w:rsidR="00B67D7C" w:rsidRPr="00DE096C" w:rsidRDefault="00B67D7C" w:rsidP="00D45A46">
      <w:pPr>
        <w:jc w:val="both"/>
        <w:rPr>
          <w:bCs/>
          <w:color w:val="002060"/>
          <w:sz w:val="16"/>
          <w:szCs w:val="16"/>
        </w:rPr>
      </w:pPr>
      <w:r w:rsidRPr="00DE096C">
        <w:rPr>
          <w:bCs/>
          <w:color w:val="002060"/>
          <w:sz w:val="16"/>
          <w:szCs w:val="16"/>
        </w:rPr>
        <w:t>Съездом была послана приветственная телеграмма Верховному главнокомандующему, на которую в последний день заседания А.И. Гучков получил следующий ответ: «Очень тронут и сердечно благодарю за выраженные чувства представителями военно-промышленных комитетов империи, собравшимися на съезд. От вашей плодотворной, быстрой, дружной работы зависит наш успех.</w:t>
      </w:r>
    </w:p>
    <w:p w14:paraId="7186E186" w14:textId="77777777" w:rsidR="00B67D7C" w:rsidRPr="00DE096C" w:rsidRDefault="00B67D7C" w:rsidP="00D45A46">
      <w:pPr>
        <w:jc w:val="both"/>
        <w:rPr>
          <w:bCs/>
          <w:color w:val="002060"/>
          <w:sz w:val="16"/>
          <w:szCs w:val="16"/>
        </w:rPr>
      </w:pPr>
      <w:r w:rsidRPr="00DE096C">
        <w:rPr>
          <w:bCs/>
          <w:color w:val="002060"/>
          <w:sz w:val="16"/>
          <w:szCs w:val="16"/>
        </w:rPr>
        <w:t>Генерал-адъютант Николай») (11178).</w:t>
      </w:r>
    </w:p>
    <w:p w14:paraId="5E86C13F" w14:textId="77777777" w:rsidR="00B67D7C" w:rsidRPr="00DE096C" w:rsidRDefault="00B67D7C" w:rsidP="00D45A46">
      <w:pPr>
        <w:jc w:val="both"/>
        <w:rPr>
          <w:bCs/>
          <w:color w:val="002060"/>
          <w:sz w:val="16"/>
          <w:szCs w:val="16"/>
        </w:rPr>
      </w:pPr>
    </w:p>
    <w:bookmarkEnd w:id="210"/>
    <w:p w14:paraId="0117BB58" w14:textId="525B37BA" w:rsidR="00B67D7C" w:rsidRPr="00DE096C" w:rsidRDefault="007320C8"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ноябре 1914 г. на фронте возникла тревога относительно обеспечения армии артиллерийскими снарядами. Война развернулась в таком масштабе и протекала с такой напряженностью, какие совершенно не были предусмотрены мобилизационными расчетами и на какие не был рассчитан мобилизационный запас снарядов. </w:t>
      </w:r>
    </w:p>
    <w:p w14:paraId="067AE0FC" w14:textId="77777777" w:rsidR="00B67D7C" w:rsidRPr="00DE096C" w:rsidRDefault="00B67D7C" w:rsidP="00D45A46">
      <w:pPr>
        <w:jc w:val="both"/>
        <w:rPr>
          <w:bCs/>
          <w:color w:val="002060"/>
          <w:sz w:val="16"/>
          <w:szCs w:val="16"/>
        </w:rPr>
      </w:pPr>
      <w:r w:rsidRPr="00DE096C">
        <w:rPr>
          <w:bCs/>
          <w:color w:val="002060"/>
          <w:sz w:val="16"/>
          <w:szCs w:val="16"/>
        </w:rPr>
        <w:t xml:space="preserve">Существовавшие снарядные заводы, даже при полном напряжении их, не могли своевременно пополнять снарядные запасы, таявшие с непредвиденней быстротой в напряженных боях. </w:t>
      </w:r>
    </w:p>
    <w:p w14:paraId="3315D800" w14:textId="77777777" w:rsidR="00B67D7C" w:rsidRPr="00DE096C" w:rsidRDefault="00B67D7C" w:rsidP="00D45A46">
      <w:pPr>
        <w:jc w:val="both"/>
        <w:rPr>
          <w:bCs/>
          <w:color w:val="002060"/>
          <w:sz w:val="16"/>
          <w:szCs w:val="16"/>
        </w:rPr>
      </w:pPr>
      <w:r w:rsidRPr="00DE096C">
        <w:rPr>
          <w:bCs/>
          <w:color w:val="002060"/>
          <w:sz w:val="16"/>
          <w:szCs w:val="16"/>
        </w:rPr>
        <w:t xml:space="preserve">Таким образом, надвигалась определенная угроза снарядного голода, и признаки его почувствовались уже с первых месяцев войны. Положение еще усугублялось неурядицами в работе фронтовых органов снабжения, благодаря чему на отдельных участках фронта создавался снарядный кризис исключительно по причине неправильного распределения снарядных запасов и несвоевременной доставки снарядов к этим участкам. </w:t>
      </w:r>
    </w:p>
    <w:p w14:paraId="680C3CAA" w14:textId="77777777" w:rsidR="00B67D7C" w:rsidRPr="00DE096C" w:rsidRDefault="00B67D7C" w:rsidP="00D45A46">
      <w:pPr>
        <w:jc w:val="both"/>
        <w:rPr>
          <w:bCs/>
          <w:color w:val="002060"/>
          <w:sz w:val="16"/>
          <w:szCs w:val="16"/>
        </w:rPr>
      </w:pPr>
      <w:r w:rsidRPr="00DE096C">
        <w:rPr>
          <w:bCs/>
          <w:color w:val="002060"/>
          <w:sz w:val="16"/>
          <w:szCs w:val="16"/>
        </w:rPr>
        <w:t xml:space="preserve">В первую очередь стал вопрос о 3-дм снарядах, наиболее интенсивно расходовавшихся в первый период войны, носивший маневренный характер. </w:t>
      </w:r>
    </w:p>
    <w:p w14:paraId="38803D4F" w14:textId="77777777" w:rsidR="00B67D7C" w:rsidRPr="00DE096C" w:rsidRDefault="00B67D7C" w:rsidP="00D45A46">
      <w:pPr>
        <w:jc w:val="both"/>
        <w:rPr>
          <w:bCs/>
          <w:color w:val="002060"/>
          <w:sz w:val="16"/>
          <w:szCs w:val="16"/>
        </w:rPr>
      </w:pPr>
      <w:r w:rsidRPr="00DE096C">
        <w:rPr>
          <w:bCs/>
          <w:color w:val="002060"/>
          <w:sz w:val="16"/>
          <w:szCs w:val="16"/>
        </w:rPr>
        <w:t xml:space="preserve">В таком же примерно положении относительно снарядов, как Россия, оказалась осенью 1914 г. и Франция. Но после боев на Марне французы быстро оценили положение и приняли без всякого замедления решительные меры к предотвращению снарядного кризиса, и уже к концу 1914 г. вся металлическая промышленность Франции была поставлена на ноги. Быстро была разработана и проведена в жизнь оригинальная система "Технической мобилизации". Сущность ее состояла в том, что вся мелкая и средняя промышленность была разделена на округа и разгруппирована около крупных и мощных заводов, на кои возложено было техническое и хозяйственное руководство образованными таким образом группами заводов. </w:t>
      </w:r>
    </w:p>
    <w:p w14:paraId="2ABCBEF1" w14:textId="77777777" w:rsidR="00B67D7C" w:rsidRPr="00DE096C" w:rsidRDefault="00B67D7C" w:rsidP="00D45A46">
      <w:pPr>
        <w:jc w:val="both"/>
        <w:rPr>
          <w:bCs/>
          <w:color w:val="002060"/>
          <w:sz w:val="16"/>
          <w:szCs w:val="16"/>
        </w:rPr>
      </w:pPr>
      <w:r w:rsidRPr="00DE096C">
        <w:rPr>
          <w:bCs/>
          <w:color w:val="002060"/>
          <w:sz w:val="16"/>
          <w:szCs w:val="16"/>
        </w:rPr>
        <w:t xml:space="preserve">Такая организация была проведена не только по отношению к снарядам, но и другим предметам боевого снабжения. В условиях Франции она оказалась целесообразной и в краткий сравнительно срок результировалась крупным и непрерывно прогрессирующим увеличением подачи на фронт всех предметов снабжения. </w:t>
      </w:r>
    </w:p>
    <w:p w14:paraId="25F5E2B8" w14:textId="77777777" w:rsidR="00B67D7C" w:rsidRPr="00DE096C" w:rsidRDefault="00B67D7C" w:rsidP="00D45A46">
      <w:pPr>
        <w:jc w:val="both"/>
        <w:rPr>
          <w:bCs/>
          <w:color w:val="002060"/>
          <w:sz w:val="16"/>
          <w:szCs w:val="16"/>
        </w:rPr>
      </w:pPr>
      <w:r w:rsidRPr="00DE096C">
        <w:rPr>
          <w:bCs/>
          <w:color w:val="002060"/>
          <w:sz w:val="16"/>
          <w:szCs w:val="16"/>
        </w:rPr>
        <w:t xml:space="preserve">Пример Франции подал мысль русским военным представителям, находившимся в то время во Франции, разрешить снарядный кризис и в России также путем мобилизации частной промышленности. По их инициативе французское правительство вступило по этому вопросу в переговоры с русским высшим командованием. В итоге в Россию была отправлена специальная миссия из французских артиллеристов и инженеров по специальностям, имевшим отношение к снарядному делу. Эта миссия под начальством майора Пио прибыла в Россию в январе 1915 года. Задача миссии была — помочь России в разрешении снарядного кризиса путем использования того технического и организационного опыта, который уже имела в этом деле Франция. </w:t>
      </w:r>
    </w:p>
    <w:p w14:paraId="6507650A" w14:textId="77777777" w:rsidR="00B67D7C" w:rsidRPr="00DE096C" w:rsidRDefault="00B67D7C" w:rsidP="00D45A46">
      <w:pPr>
        <w:jc w:val="both"/>
        <w:rPr>
          <w:bCs/>
          <w:color w:val="002060"/>
          <w:sz w:val="16"/>
          <w:szCs w:val="16"/>
        </w:rPr>
      </w:pPr>
      <w:r w:rsidRPr="00DE096C">
        <w:rPr>
          <w:bCs/>
          <w:color w:val="002060"/>
          <w:sz w:val="16"/>
          <w:szCs w:val="16"/>
        </w:rPr>
        <w:t xml:space="preserve">Первый вопрос, который надо было решить, — это определить возможность применения французских способов изготовления снарядов в русской частной промышленности, так как французская граната существенно отличалась от нашей и по чертежу и по способу изготовления. </w:t>
      </w:r>
    </w:p>
    <w:p w14:paraId="67BC1350" w14:textId="77777777" w:rsidR="00B67D7C" w:rsidRPr="00DE096C" w:rsidRDefault="00B67D7C" w:rsidP="00D45A46">
      <w:pPr>
        <w:jc w:val="both"/>
        <w:rPr>
          <w:bCs/>
          <w:color w:val="002060"/>
          <w:sz w:val="16"/>
          <w:szCs w:val="16"/>
        </w:rPr>
      </w:pPr>
      <w:r w:rsidRPr="00DE096C">
        <w:rPr>
          <w:bCs/>
          <w:color w:val="002060"/>
          <w:sz w:val="16"/>
          <w:szCs w:val="16"/>
        </w:rPr>
        <w:t xml:space="preserve">К этому делу с первых шагов его был привлечен бывший в то время начальником Брянского арсенала военный инженер С.Н. Ванков, который в дальнейшем и вел его в течение всей войны. </w:t>
      </w:r>
    </w:p>
    <w:p w14:paraId="353DC65F" w14:textId="77777777" w:rsidR="00B67D7C" w:rsidRPr="00DE096C" w:rsidRDefault="00B67D7C" w:rsidP="00D45A46">
      <w:pPr>
        <w:jc w:val="both"/>
        <w:rPr>
          <w:bCs/>
          <w:color w:val="002060"/>
          <w:sz w:val="16"/>
          <w:szCs w:val="16"/>
        </w:rPr>
      </w:pPr>
      <w:r w:rsidRPr="00DE096C">
        <w:rPr>
          <w:bCs/>
          <w:color w:val="002060"/>
          <w:sz w:val="16"/>
          <w:szCs w:val="16"/>
        </w:rPr>
        <w:t xml:space="preserve">Совещание С.Н. Ванкова с московскими заводчиками выяснило, что вопрос о возможности изготовления 3-дм гранат по французскому образцу разрешается в положительном смысле. После этого приступлено было к изготовлению в Брянском арсенале и на нескольких московских заводах первых образчиков гранат французского образца. Вместе с тем на Юг были командированы инженеры для ознакомления южных заводов с этим делом. </w:t>
      </w:r>
    </w:p>
    <w:p w14:paraId="1DEFE9FA" w14:textId="77777777" w:rsidR="00B67D7C" w:rsidRPr="00DE096C" w:rsidRDefault="00B67D7C" w:rsidP="00D45A46">
      <w:pPr>
        <w:jc w:val="both"/>
        <w:rPr>
          <w:bCs/>
          <w:color w:val="002060"/>
          <w:sz w:val="16"/>
          <w:szCs w:val="16"/>
        </w:rPr>
      </w:pPr>
      <w:r w:rsidRPr="00DE096C">
        <w:rPr>
          <w:bCs/>
          <w:color w:val="002060"/>
          <w:sz w:val="16"/>
          <w:szCs w:val="16"/>
        </w:rPr>
        <w:t xml:space="preserve">Испытание изготовленных образцов гранат стрельбой дало удовлетворительные результаты. После этого Артиллерийский комитет ГАУ дал окончательные чертежи и технические условия на изготовление всех частей гранаты. </w:t>
      </w:r>
    </w:p>
    <w:p w14:paraId="17EFEFE5" w14:textId="77777777" w:rsidR="00B67D7C" w:rsidRPr="00DE096C" w:rsidRDefault="00B67D7C" w:rsidP="00D45A46">
      <w:pPr>
        <w:jc w:val="both"/>
        <w:rPr>
          <w:bCs/>
          <w:color w:val="002060"/>
          <w:sz w:val="16"/>
          <w:szCs w:val="16"/>
        </w:rPr>
      </w:pPr>
      <w:r w:rsidRPr="00DE096C">
        <w:rPr>
          <w:bCs/>
          <w:color w:val="002060"/>
          <w:sz w:val="16"/>
          <w:szCs w:val="16"/>
        </w:rPr>
        <w:t xml:space="preserve">Обследование заводов Московского и Южного районов выяснило возможность поставить на большинстве заводов валовое производство таких гранат. Был разработан приблизительный план организации дела. Калькулированы были цены на снаряды. </w:t>
      </w:r>
    </w:p>
    <w:p w14:paraId="6AD2D006" w14:textId="77777777" w:rsidR="00B67D7C" w:rsidRPr="00DE096C" w:rsidRDefault="00B67D7C" w:rsidP="00D45A46">
      <w:pPr>
        <w:jc w:val="both"/>
        <w:rPr>
          <w:bCs/>
          <w:color w:val="002060"/>
          <w:sz w:val="16"/>
          <w:szCs w:val="16"/>
        </w:rPr>
      </w:pPr>
      <w:r w:rsidRPr="00DE096C">
        <w:rPr>
          <w:bCs/>
          <w:color w:val="002060"/>
          <w:sz w:val="16"/>
          <w:szCs w:val="16"/>
        </w:rPr>
        <w:t xml:space="preserve">По исполнении всех этих предварительных работ, к началу апреля 1915 г. был дан первый заказ на 1 000 000 гранат со взрывателями и трубками. </w:t>
      </w:r>
    </w:p>
    <w:p w14:paraId="348359FC" w14:textId="77777777" w:rsidR="00B67D7C" w:rsidRPr="00DE096C" w:rsidRDefault="00B67D7C" w:rsidP="00D45A46">
      <w:pPr>
        <w:jc w:val="both"/>
        <w:rPr>
          <w:bCs/>
          <w:color w:val="002060"/>
          <w:sz w:val="16"/>
          <w:szCs w:val="16"/>
        </w:rPr>
      </w:pPr>
      <w:r w:rsidRPr="00DE096C">
        <w:rPr>
          <w:bCs/>
          <w:color w:val="002060"/>
          <w:sz w:val="16"/>
          <w:szCs w:val="16"/>
        </w:rPr>
        <w:lastRenderedPageBreak/>
        <w:t xml:space="preserve">Непременным условием было поставлено, чтобы к работе по изготовлению французских гранат приступлено было в таких районах России и на таких фабриках и заводах, которые не работали в то время на Главное артиллерийское управление, чтобы не нарушать производственной программы последнего по снарядам. </w:t>
      </w:r>
    </w:p>
    <w:p w14:paraId="2E1FF04A" w14:textId="77777777" w:rsidR="00B67D7C" w:rsidRPr="00DE096C" w:rsidRDefault="00B67D7C" w:rsidP="00D45A46">
      <w:pPr>
        <w:jc w:val="both"/>
        <w:rPr>
          <w:bCs/>
          <w:color w:val="002060"/>
          <w:sz w:val="16"/>
          <w:szCs w:val="16"/>
        </w:rPr>
      </w:pPr>
      <w:r w:rsidRPr="00DE096C">
        <w:rPr>
          <w:bCs/>
          <w:color w:val="002060"/>
          <w:sz w:val="16"/>
          <w:szCs w:val="16"/>
        </w:rPr>
        <w:t xml:space="preserve">Способ заготовления гранат избран был комиссионерский, как более отвечающий обстоятельствам дела по своей гибкости и применяемости к обстановке. </w:t>
      </w:r>
    </w:p>
    <w:p w14:paraId="1A521543" w14:textId="77777777" w:rsidR="00B67D7C" w:rsidRPr="00DE096C" w:rsidRDefault="00B67D7C" w:rsidP="00D45A46">
      <w:pPr>
        <w:jc w:val="both"/>
        <w:rPr>
          <w:bCs/>
          <w:color w:val="002060"/>
          <w:sz w:val="16"/>
          <w:szCs w:val="16"/>
        </w:rPr>
      </w:pPr>
      <w:r w:rsidRPr="00DE096C">
        <w:rPr>
          <w:bCs/>
          <w:color w:val="002060"/>
          <w:sz w:val="16"/>
          <w:szCs w:val="16"/>
        </w:rPr>
        <w:t xml:space="preserve">К маю 1915 г. уже 37 заводов приступили к изготовлению корпусов гранат и три завода — к изготовлению калибров и лекал. </w:t>
      </w:r>
    </w:p>
    <w:p w14:paraId="5A065EAA" w14:textId="77777777" w:rsidR="00B67D7C" w:rsidRPr="00DE096C" w:rsidRDefault="00B67D7C" w:rsidP="00D45A46">
      <w:pPr>
        <w:jc w:val="both"/>
        <w:rPr>
          <w:bCs/>
          <w:color w:val="002060"/>
          <w:sz w:val="16"/>
          <w:szCs w:val="16"/>
        </w:rPr>
      </w:pPr>
      <w:r w:rsidRPr="00DE096C">
        <w:rPr>
          <w:bCs/>
          <w:color w:val="002060"/>
          <w:sz w:val="16"/>
          <w:szCs w:val="16"/>
        </w:rPr>
        <w:t xml:space="preserve">Одновременно с этим приступлено было к устройству заводов для снаряжения гранат мелинитом. О них будет сказано ниже. </w:t>
      </w:r>
    </w:p>
    <w:p w14:paraId="416A89DB" w14:textId="77777777" w:rsidR="00B67D7C" w:rsidRPr="00DE096C" w:rsidRDefault="00B67D7C" w:rsidP="00D45A46">
      <w:pPr>
        <w:jc w:val="both"/>
        <w:rPr>
          <w:bCs/>
          <w:color w:val="002060"/>
          <w:sz w:val="16"/>
          <w:szCs w:val="16"/>
        </w:rPr>
      </w:pPr>
      <w:r w:rsidRPr="00DE096C">
        <w:rPr>
          <w:bCs/>
          <w:color w:val="002060"/>
          <w:sz w:val="16"/>
          <w:szCs w:val="16"/>
        </w:rPr>
        <w:t xml:space="preserve">Для управления всем делом заготовления и снаряжения заводов было организовано в Москве Управление уполномоченного ГАУ по изготовлению снарядов французского образца. Управление состояло из технического отдела, отдела распределения материалов, бухгалтерии, хозяйственного отдела, канцелярии и отдела снабжения. При управлении состояла французская техническая миссия. </w:t>
      </w:r>
    </w:p>
    <w:p w14:paraId="2F377831" w14:textId="77777777" w:rsidR="00B67D7C" w:rsidRPr="00DE096C" w:rsidRDefault="00B67D7C" w:rsidP="00D45A46">
      <w:pPr>
        <w:jc w:val="both"/>
        <w:rPr>
          <w:bCs/>
          <w:color w:val="002060"/>
          <w:sz w:val="16"/>
          <w:szCs w:val="16"/>
        </w:rPr>
      </w:pPr>
      <w:r w:rsidRPr="00DE096C">
        <w:rPr>
          <w:bCs/>
          <w:color w:val="002060"/>
          <w:sz w:val="16"/>
          <w:szCs w:val="16"/>
        </w:rPr>
        <w:t xml:space="preserve">Заводы, привлеченные к исполнению заказа, были распределены по районам, коих было семь: Южный, Одесский, Киевский, Тамбовский, Петроградский, Ярославский и Московский. На каждом из заводов имелся приемщик от Управления уполномоченного ГАУ. </w:t>
      </w:r>
    </w:p>
    <w:p w14:paraId="7E0ABD46" w14:textId="77777777" w:rsidR="00B67D7C" w:rsidRPr="00DE096C" w:rsidRDefault="00B67D7C" w:rsidP="00D45A46">
      <w:pPr>
        <w:jc w:val="both"/>
        <w:rPr>
          <w:bCs/>
          <w:color w:val="002060"/>
          <w:sz w:val="16"/>
          <w:szCs w:val="16"/>
        </w:rPr>
      </w:pPr>
      <w:r w:rsidRPr="00DE096C">
        <w:rPr>
          <w:bCs/>
          <w:color w:val="002060"/>
          <w:sz w:val="16"/>
          <w:szCs w:val="16"/>
        </w:rPr>
        <w:t xml:space="preserve">Районами заведовали отдельные инженеры, на обязанности коих лежало: 1) оказывать заводам, исполняющим заказы, возможно большую помощь техническими указаниями, устраняя дефекты и затруднения в производстве, 2) принимать меры к ускорению хода работ и скорейшей отправке готовых партий по назначению, 3) объединять работу заводов района, 4) входить в нужных случаях в сношения с местными властями на предмет содействия в работе заводов, 5) ближайшим образом руководить работой приемщиков на заводах. </w:t>
      </w:r>
    </w:p>
    <w:p w14:paraId="7D0C1F96" w14:textId="77777777" w:rsidR="00B67D7C" w:rsidRPr="00DE096C" w:rsidRDefault="00B67D7C" w:rsidP="00D45A46">
      <w:pPr>
        <w:jc w:val="both"/>
        <w:rPr>
          <w:bCs/>
          <w:color w:val="002060"/>
          <w:sz w:val="16"/>
          <w:szCs w:val="16"/>
        </w:rPr>
      </w:pPr>
      <w:r w:rsidRPr="00DE096C">
        <w:rPr>
          <w:bCs/>
          <w:color w:val="002060"/>
          <w:sz w:val="16"/>
          <w:szCs w:val="16"/>
        </w:rPr>
        <w:t xml:space="preserve">Вслед за первым заказом на 1 000 000 шт. 3-дм гранат последовали один за другим дальнейшие заказы на них: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244"/>
        <w:gridCol w:w="2064"/>
      </w:tblGrid>
      <w:tr w:rsidR="00B67D7C" w:rsidRPr="00DE096C" w14:paraId="6D626377" w14:textId="77777777" w:rsidTr="00C2024A">
        <w:tc>
          <w:tcPr>
            <w:tcW w:w="2244" w:type="dxa"/>
          </w:tcPr>
          <w:p w14:paraId="5524B2C1" w14:textId="77777777" w:rsidR="00B67D7C" w:rsidRPr="00DE096C" w:rsidRDefault="00B67D7C" w:rsidP="00D45A46">
            <w:pPr>
              <w:jc w:val="both"/>
              <w:rPr>
                <w:bCs/>
                <w:color w:val="002060"/>
                <w:sz w:val="16"/>
                <w:szCs w:val="16"/>
              </w:rPr>
            </w:pPr>
            <w:r w:rsidRPr="00DE096C">
              <w:rPr>
                <w:bCs/>
                <w:color w:val="002060"/>
                <w:sz w:val="16"/>
                <w:szCs w:val="16"/>
              </w:rPr>
              <w:t>В 1915 г.</w:t>
            </w:r>
          </w:p>
        </w:tc>
        <w:tc>
          <w:tcPr>
            <w:tcW w:w="2064" w:type="dxa"/>
          </w:tcPr>
          <w:p w14:paraId="7BEA7A4A" w14:textId="77777777" w:rsidR="00B67D7C" w:rsidRPr="00DE096C" w:rsidRDefault="00B67D7C" w:rsidP="00D45A46">
            <w:pPr>
              <w:jc w:val="both"/>
              <w:rPr>
                <w:bCs/>
                <w:color w:val="002060"/>
                <w:sz w:val="16"/>
                <w:szCs w:val="16"/>
              </w:rPr>
            </w:pPr>
            <w:r w:rsidRPr="00DE096C">
              <w:rPr>
                <w:bCs/>
                <w:color w:val="002060"/>
                <w:sz w:val="16"/>
                <w:szCs w:val="16"/>
              </w:rPr>
              <w:t xml:space="preserve">на 3.600.000 гранат </w:t>
            </w:r>
          </w:p>
        </w:tc>
      </w:tr>
      <w:tr w:rsidR="00B67D7C" w:rsidRPr="00DE096C" w14:paraId="08FBD9C6" w14:textId="77777777" w:rsidTr="00C2024A">
        <w:tc>
          <w:tcPr>
            <w:tcW w:w="2244" w:type="dxa"/>
          </w:tcPr>
          <w:p w14:paraId="728EAC5C" w14:textId="77777777" w:rsidR="00B67D7C" w:rsidRPr="00DE096C" w:rsidRDefault="00B67D7C" w:rsidP="00D45A46">
            <w:pPr>
              <w:jc w:val="both"/>
              <w:rPr>
                <w:bCs/>
                <w:color w:val="002060"/>
                <w:sz w:val="16"/>
                <w:szCs w:val="16"/>
              </w:rPr>
            </w:pPr>
            <w:r w:rsidRPr="00DE096C">
              <w:rPr>
                <w:bCs/>
                <w:color w:val="002060"/>
                <w:sz w:val="16"/>
                <w:szCs w:val="16"/>
              </w:rPr>
              <w:t>В 1916 г.</w:t>
            </w:r>
          </w:p>
        </w:tc>
        <w:tc>
          <w:tcPr>
            <w:tcW w:w="2064" w:type="dxa"/>
          </w:tcPr>
          <w:p w14:paraId="6677476C" w14:textId="77777777" w:rsidR="00B67D7C" w:rsidRPr="00DE096C" w:rsidRDefault="00B67D7C" w:rsidP="00D45A46">
            <w:pPr>
              <w:jc w:val="both"/>
              <w:rPr>
                <w:bCs/>
                <w:color w:val="002060"/>
                <w:sz w:val="16"/>
                <w:szCs w:val="16"/>
              </w:rPr>
            </w:pPr>
            <w:r w:rsidRPr="00DE096C">
              <w:rPr>
                <w:bCs/>
                <w:color w:val="002060"/>
                <w:sz w:val="16"/>
                <w:szCs w:val="16"/>
              </w:rPr>
              <w:t xml:space="preserve">на 5.500.000 </w:t>
            </w:r>
          </w:p>
        </w:tc>
      </w:tr>
      <w:tr w:rsidR="00B67D7C" w:rsidRPr="00DE096C" w14:paraId="6B180761" w14:textId="77777777" w:rsidTr="00C2024A">
        <w:tc>
          <w:tcPr>
            <w:tcW w:w="2244" w:type="dxa"/>
          </w:tcPr>
          <w:p w14:paraId="40DE24BF" w14:textId="77777777" w:rsidR="00B67D7C" w:rsidRPr="00DE096C" w:rsidRDefault="00B67D7C" w:rsidP="00D45A46">
            <w:pPr>
              <w:jc w:val="both"/>
              <w:rPr>
                <w:bCs/>
                <w:color w:val="002060"/>
                <w:sz w:val="16"/>
                <w:szCs w:val="16"/>
              </w:rPr>
            </w:pPr>
            <w:r w:rsidRPr="00DE096C">
              <w:rPr>
                <w:bCs/>
                <w:color w:val="002060"/>
                <w:sz w:val="16"/>
                <w:szCs w:val="16"/>
              </w:rPr>
              <w:t>В 1917 г.</w:t>
            </w:r>
          </w:p>
        </w:tc>
        <w:tc>
          <w:tcPr>
            <w:tcW w:w="2064" w:type="dxa"/>
          </w:tcPr>
          <w:p w14:paraId="2534867C" w14:textId="77777777" w:rsidR="00B67D7C" w:rsidRPr="00DE096C" w:rsidRDefault="00B67D7C" w:rsidP="00D45A46">
            <w:pPr>
              <w:jc w:val="both"/>
              <w:rPr>
                <w:bCs/>
                <w:color w:val="002060"/>
                <w:sz w:val="16"/>
                <w:szCs w:val="16"/>
              </w:rPr>
            </w:pPr>
            <w:r w:rsidRPr="00DE096C">
              <w:rPr>
                <w:bCs/>
                <w:color w:val="002060"/>
                <w:sz w:val="16"/>
                <w:szCs w:val="16"/>
              </w:rPr>
              <w:t xml:space="preserve">на 4.940.000 </w:t>
            </w:r>
          </w:p>
        </w:tc>
      </w:tr>
      <w:tr w:rsidR="00B67D7C" w:rsidRPr="00DE096C" w14:paraId="04C519B7" w14:textId="77777777" w:rsidTr="00C2024A">
        <w:tc>
          <w:tcPr>
            <w:tcW w:w="2244" w:type="dxa"/>
          </w:tcPr>
          <w:p w14:paraId="13E00742" w14:textId="77777777" w:rsidR="00B67D7C" w:rsidRPr="00DE096C" w:rsidRDefault="00B67D7C" w:rsidP="00D45A46">
            <w:pPr>
              <w:jc w:val="both"/>
              <w:rPr>
                <w:bCs/>
                <w:color w:val="002060"/>
                <w:sz w:val="16"/>
                <w:szCs w:val="16"/>
              </w:rPr>
            </w:pPr>
            <w:r w:rsidRPr="00DE096C">
              <w:rPr>
                <w:bCs/>
                <w:color w:val="002060"/>
                <w:sz w:val="16"/>
                <w:szCs w:val="16"/>
              </w:rPr>
              <w:t>Всего</w:t>
            </w:r>
          </w:p>
        </w:tc>
        <w:tc>
          <w:tcPr>
            <w:tcW w:w="2064" w:type="dxa"/>
          </w:tcPr>
          <w:p w14:paraId="14831B90" w14:textId="77777777" w:rsidR="00B67D7C" w:rsidRPr="00DE096C" w:rsidRDefault="00B67D7C" w:rsidP="00D45A46">
            <w:pPr>
              <w:jc w:val="both"/>
              <w:rPr>
                <w:bCs/>
                <w:color w:val="002060"/>
                <w:sz w:val="16"/>
                <w:szCs w:val="16"/>
              </w:rPr>
            </w:pPr>
            <w:r w:rsidRPr="00DE096C">
              <w:rPr>
                <w:bCs/>
                <w:color w:val="002060"/>
                <w:sz w:val="16"/>
                <w:szCs w:val="16"/>
              </w:rPr>
              <w:t> на 14.540.000 гранат.</w:t>
            </w:r>
          </w:p>
        </w:tc>
      </w:tr>
    </w:tbl>
    <w:p w14:paraId="18783004" w14:textId="77777777" w:rsidR="00B67D7C" w:rsidRPr="00DE096C" w:rsidRDefault="00B67D7C" w:rsidP="00D45A46">
      <w:pPr>
        <w:jc w:val="both"/>
        <w:rPr>
          <w:bCs/>
          <w:color w:val="002060"/>
          <w:sz w:val="16"/>
          <w:szCs w:val="16"/>
        </w:rPr>
      </w:pPr>
      <w:r w:rsidRPr="00DE096C">
        <w:rPr>
          <w:bCs/>
          <w:color w:val="002060"/>
          <w:sz w:val="16"/>
          <w:szCs w:val="16"/>
        </w:rPr>
        <w:t xml:space="preserve">И к ним: </w:t>
      </w:r>
    </w:p>
    <w:p w14:paraId="55D6B536" w14:textId="77777777" w:rsidR="00B67D7C" w:rsidRPr="00DE096C" w:rsidRDefault="00B67D7C" w:rsidP="00D45A46">
      <w:pPr>
        <w:jc w:val="both"/>
        <w:rPr>
          <w:bCs/>
          <w:color w:val="002060"/>
          <w:sz w:val="16"/>
          <w:szCs w:val="16"/>
        </w:rPr>
      </w:pPr>
      <w:r w:rsidRPr="00DE096C">
        <w:rPr>
          <w:bCs/>
          <w:color w:val="002060"/>
          <w:sz w:val="16"/>
          <w:szCs w:val="16"/>
        </w:rPr>
        <w:t xml:space="preserve">17.090.000 запальных стаканов, </w:t>
      </w:r>
    </w:p>
    <w:p w14:paraId="28F2B574" w14:textId="77777777" w:rsidR="00B67D7C" w:rsidRPr="00DE096C" w:rsidRDefault="00B67D7C" w:rsidP="00D45A46">
      <w:pPr>
        <w:jc w:val="both"/>
        <w:rPr>
          <w:bCs/>
          <w:color w:val="002060"/>
          <w:sz w:val="16"/>
          <w:szCs w:val="16"/>
        </w:rPr>
      </w:pPr>
      <w:r w:rsidRPr="00DE096C">
        <w:rPr>
          <w:bCs/>
          <w:color w:val="002060"/>
          <w:sz w:val="16"/>
          <w:szCs w:val="16"/>
        </w:rPr>
        <w:t>17.540.000 детонаторных трубок.</w:t>
      </w:r>
    </w:p>
    <w:p w14:paraId="0227FF02" w14:textId="77777777" w:rsidR="00B67D7C" w:rsidRPr="00DE096C" w:rsidRDefault="00B67D7C" w:rsidP="00D45A46">
      <w:pPr>
        <w:jc w:val="both"/>
        <w:rPr>
          <w:bCs/>
          <w:color w:val="002060"/>
          <w:sz w:val="16"/>
          <w:szCs w:val="16"/>
        </w:rPr>
      </w:pPr>
      <w:r w:rsidRPr="00DE096C">
        <w:rPr>
          <w:bCs/>
          <w:color w:val="002060"/>
          <w:sz w:val="16"/>
          <w:szCs w:val="16"/>
        </w:rPr>
        <w:t xml:space="preserve">Из этого числа 1 000 000 был приспособлен для снаряжения удушающими веществами. </w:t>
      </w:r>
    </w:p>
    <w:p w14:paraId="536E975D" w14:textId="77777777" w:rsidR="00B67D7C" w:rsidRPr="00DE096C" w:rsidRDefault="00B67D7C" w:rsidP="00D45A46">
      <w:pPr>
        <w:jc w:val="both"/>
        <w:rPr>
          <w:bCs/>
          <w:color w:val="002060"/>
          <w:sz w:val="16"/>
          <w:szCs w:val="16"/>
        </w:rPr>
      </w:pPr>
      <w:r w:rsidRPr="00DE096C">
        <w:rPr>
          <w:bCs/>
          <w:color w:val="002060"/>
          <w:sz w:val="16"/>
          <w:szCs w:val="16"/>
        </w:rPr>
        <w:t xml:space="preserve">Кроме 3-дм гранат, уполномоченному ГАУ поручено было разновременно в 1916 г. изготовление снарядов средних и больших калибров, а именно: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372"/>
        <w:gridCol w:w="936"/>
      </w:tblGrid>
      <w:tr w:rsidR="00B67D7C" w:rsidRPr="00DE096C" w14:paraId="550C03E0" w14:textId="77777777" w:rsidTr="00C2024A">
        <w:tc>
          <w:tcPr>
            <w:tcW w:w="3372" w:type="dxa"/>
          </w:tcPr>
          <w:p w14:paraId="54B1A7FF" w14:textId="77777777" w:rsidR="00B67D7C" w:rsidRPr="00DE096C" w:rsidRDefault="00B67D7C" w:rsidP="00D45A46">
            <w:pPr>
              <w:jc w:val="both"/>
              <w:rPr>
                <w:bCs/>
                <w:color w:val="002060"/>
                <w:sz w:val="16"/>
                <w:szCs w:val="16"/>
              </w:rPr>
            </w:pPr>
            <w:r w:rsidRPr="00DE096C">
              <w:rPr>
                <w:bCs/>
                <w:color w:val="002060"/>
                <w:sz w:val="16"/>
                <w:szCs w:val="16"/>
              </w:rPr>
              <w:t>6-дм бомб</w:t>
            </w:r>
          </w:p>
        </w:tc>
        <w:tc>
          <w:tcPr>
            <w:tcW w:w="936" w:type="dxa"/>
          </w:tcPr>
          <w:p w14:paraId="3E86D0FB" w14:textId="77777777" w:rsidR="00B67D7C" w:rsidRPr="00DE096C" w:rsidRDefault="00B67D7C" w:rsidP="00D45A46">
            <w:pPr>
              <w:jc w:val="both"/>
              <w:rPr>
                <w:bCs/>
                <w:color w:val="002060"/>
                <w:sz w:val="16"/>
                <w:szCs w:val="16"/>
              </w:rPr>
            </w:pPr>
            <w:r w:rsidRPr="00DE096C">
              <w:rPr>
                <w:bCs/>
                <w:color w:val="002060"/>
                <w:sz w:val="16"/>
                <w:szCs w:val="16"/>
              </w:rPr>
              <w:t xml:space="preserve">740.000 </w:t>
            </w:r>
          </w:p>
        </w:tc>
      </w:tr>
      <w:tr w:rsidR="00B67D7C" w:rsidRPr="00DE096C" w14:paraId="6C52E633" w14:textId="77777777" w:rsidTr="00C2024A">
        <w:tc>
          <w:tcPr>
            <w:tcW w:w="3372" w:type="dxa"/>
          </w:tcPr>
          <w:p w14:paraId="48FD8848" w14:textId="77777777" w:rsidR="00B67D7C" w:rsidRPr="00DE096C" w:rsidRDefault="00B67D7C" w:rsidP="00D45A46">
            <w:pPr>
              <w:jc w:val="both"/>
              <w:rPr>
                <w:bCs/>
                <w:color w:val="002060"/>
                <w:sz w:val="16"/>
                <w:szCs w:val="16"/>
              </w:rPr>
            </w:pPr>
            <w:r w:rsidRPr="00DE096C">
              <w:rPr>
                <w:bCs/>
                <w:color w:val="002060"/>
                <w:sz w:val="16"/>
                <w:szCs w:val="16"/>
              </w:rPr>
              <w:t>48-лин. бомб</w:t>
            </w:r>
          </w:p>
        </w:tc>
        <w:tc>
          <w:tcPr>
            <w:tcW w:w="936" w:type="dxa"/>
          </w:tcPr>
          <w:p w14:paraId="41621F2D" w14:textId="77777777" w:rsidR="00B67D7C" w:rsidRPr="00DE096C" w:rsidRDefault="00B67D7C" w:rsidP="00D45A46">
            <w:pPr>
              <w:jc w:val="both"/>
              <w:rPr>
                <w:bCs/>
                <w:color w:val="002060"/>
                <w:sz w:val="16"/>
                <w:szCs w:val="16"/>
              </w:rPr>
            </w:pPr>
            <w:r w:rsidRPr="00DE096C">
              <w:rPr>
                <w:bCs/>
                <w:color w:val="002060"/>
                <w:sz w:val="16"/>
                <w:szCs w:val="16"/>
              </w:rPr>
              <w:t xml:space="preserve">400.000 </w:t>
            </w:r>
          </w:p>
        </w:tc>
      </w:tr>
      <w:tr w:rsidR="00B67D7C" w:rsidRPr="00DE096C" w14:paraId="7C6DF136" w14:textId="77777777" w:rsidTr="00C2024A">
        <w:tc>
          <w:tcPr>
            <w:tcW w:w="3372" w:type="dxa"/>
          </w:tcPr>
          <w:p w14:paraId="43561F19" w14:textId="77777777" w:rsidR="00B67D7C" w:rsidRPr="00DE096C" w:rsidRDefault="00B67D7C" w:rsidP="00D45A46">
            <w:pPr>
              <w:jc w:val="both"/>
              <w:rPr>
                <w:bCs/>
                <w:color w:val="002060"/>
                <w:sz w:val="16"/>
                <w:szCs w:val="16"/>
              </w:rPr>
            </w:pPr>
            <w:r w:rsidRPr="00DE096C">
              <w:rPr>
                <w:bCs/>
                <w:color w:val="002060"/>
                <w:sz w:val="16"/>
                <w:szCs w:val="16"/>
              </w:rPr>
              <w:t>57-мм для Румынии</w:t>
            </w:r>
          </w:p>
        </w:tc>
        <w:tc>
          <w:tcPr>
            <w:tcW w:w="936" w:type="dxa"/>
          </w:tcPr>
          <w:p w14:paraId="59F3E390" w14:textId="77777777" w:rsidR="00B67D7C" w:rsidRPr="00DE096C" w:rsidRDefault="00B67D7C" w:rsidP="00D45A46">
            <w:pPr>
              <w:jc w:val="both"/>
              <w:rPr>
                <w:bCs/>
                <w:color w:val="002060"/>
                <w:sz w:val="16"/>
                <w:szCs w:val="16"/>
              </w:rPr>
            </w:pPr>
            <w:r w:rsidRPr="00DE096C">
              <w:rPr>
                <w:bCs/>
                <w:color w:val="002060"/>
                <w:sz w:val="16"/>
                <w:szCs w:val="16"/>
              </w:rPr>
              <w:t xml:space="preserve">360.000 </w:t>
            </w:r>
          </w:p>
        </w:tc>
      </w:tr>
      <w:tr w:rsidR="00B67D7C" w:rsidRPr="00DE096C" w14:paraId="657F7DE0" w14:textId="77777777" w:rsidTr="00C2024A">
        <w:tc>
          <w:tcPr>
            <w:tcW w:w="3372" w:type="dxa"/>
          </w:tcPr>
          <w:p w14:paraId="20CBA605" w14:textId="77777777" w:rsidR="00B67D7C" w:rsidRPr="00DE096C" w:rsidRDefault="00B67D7C" w:rsidP="00D45A46">
            <w:pPr>
              <w:jc w:val="both"/>
              <w:rPr>
                <w:bCs/>
                <w:color w:val="002060"/>
                <w:sz w:val="16"/>
                <w:szCs w:val="16"/>
              </w:rPr>
            </w:pPr>
            <w:r w:rsidRPr="00DE096C">
              <w:rPr>
                <w:bCs/>
                <w:color w:val="002060"/>
                <w:sz w:val="16"/>
                <w:szCs w:val="16"/>
              </w:rPr>
              <w:t>75-мм гранат</w:t>
            </w:r>
          </w:p>
        </w:tc>
        <w:tc>
          <w:tcPr>
            <w:tcW w:w="936" w:type="dxa"/>
          </w:tcPr>
          <w:p w14:paraId="3FACDBF8" w14:textId="77777777" w:rsidR="00B67D7C" w:rsidRPr="00DE096C" w:rsidRDefault="00B67D7C" w:rsidP="00D45A46">
            <w:pPr>
              <w:jc w:val="both"/>
              <w:rPr>
                <w:bCs/>
                <w:color w:val="002060"/>
                <w:sz w:val="16"/>
                <w:szCs w:val="16"/>
              </w:rPr>
            </w:pPr>
            <w:r w:rsidRPr="00DE096C">
              <w:rPr>
                <w:bCs/>
                <w:color w:val="002060"/>
                <w:sz w:val="16"/>
                <w:szCs w:val="16"/>
              </w:rPr>
              <w:t xml:space="preserve">540.000 </w:t>
            </w:r>
          </w:p>
        </w:tc>
      </w:tr>
      <w:tr w:rsidR="00B67D7C" w:rsidRPr="00DE096C" w14:paraId="2CAEC94B" w14:textId="77777777" w:rsidTr="00C2024A">
        <w:tc>
          <w:tcPr>
            <w:tcW w:w="3372" w:type="dxa"/>
          </w:tcPr>
          <w:p w14:paraId="670CF0D6" w14:textId="77777777" w:rsidR="00B67D7C" w:rsidRPr="00DE096C" w:rsidRDefault="00B67D7C" w:rsidP="00D45A46">
            <w:pPr>
              <w:jc w:val="both"/>
              <w:rPr>
                <w:bCs/>
                <w:color w:val="002060"/>
                <w:sz w:val="16"/>
                <w:szCs w:val="16"/>
              </w:rPr>
            </w:pPr>
            <w:r w:rsidRPr="00DE096C">
              <w:rPr>
                <w:bCs/>
                <w:color w:val="002060"/>
                <w:sz w:val="16"/>
                <w:szCs w:val="16"/>
              </w:rPr>
              <w:t>105-мм для Румынии</w:t>
            </w:r>
          </w:p>
        </w:tc>
        <w:tc>
          <w:tcPr>
            <w:tcW w:w="936" w:type="dxa"/>
          </w:tcPr>
          <w:p w14:paraId="7680223F" w14:textId="77777777" w:rsidR="00B67D7C" w:rsidRPr="00DE096C" w:rsidRDefault="00B67D7C" w:rsidP="00D45A46">
            <w:pPr>
              <w:jc w:val="both"/>
              <w:rPr>
                <w:bCs/>
                <w:color w:val="002060"/>
                <w:sz w:val="16"/>
                <w:szCs w:val="16"/>
              </w:rPr>
            </w:pPr>
            <w:r w:rsidRPr="00DE096C">
              <w:rPr>
                <w:bCs/>
                <w:color w:val="002060"/>
                <w:sz w:val="16"/>
                <w:szCs w:val="16"/>
              </w:rPr>
              <w:t xml:space="preserve">90.000 </w:t>
            </w:r>
          </w:p>
        </w:tc>
      </w:tr>
      <w:tr w:rsidR="00B67D7C" w:rsidRPr="00DE096C" w14:paraId="5B551013" w14:textId="77777777" w:rsidTr="00C2024A">
        <w:tc>
          <w:tcPr>
            <w:tcW w:w="3372" w:type="dxa"/>
          </w:tcPr>
          <w:p w14:paraId="486D0635" w14:textId="77777777" w:rsidR="00B67D7C" w:rsidRPr="00DE096C" w:rsidRDefault="00B67D7C" w:rsidP="00D45A46">
            <w:pPr>
              <w:jc w:val="both"/>
              <w:rPr>
                <w:bCs/>
                <w:color w:val="002060"/>
                <w:sz w:val="16"/>
                <w:szCs w:val="16"/>
              </w:rPr>
            </w:pPr>
            <w:r w:rsidRPr="00DE096C">
              <w:rPr>
                <w:bCs/>
                <w:color w:val="002060"/>
                <w:sz w:val="16"/>
                <w:szCs w:val="16"/>
              </w:rPr>
              <w:t>155-мм стальных гранат</w:t>
            </w:r>
          </w:p>
        </w:tc>
        <w:tc>
          <w:tcPr>
            <w:tcW w:w="936" w:type="dxa"/>
          </w:tcPr>
          <w:p w14:paraId="1993EF6E" w14:textId="77777777" w:rsidR="00B67D7C" w:rsidRPr="00DE096C" w:rsidRDefault="00B67D7C" w:rsidP="00D45A46">
            <w:pPr>
              <w:jc w:val="both"/>
              <w:rPr>
                <w:bCs/>
                <w:color w:val="002060"/>
                <w:sz w:val="16"/>
                <w:szCs w:val="16"/>
              </w:rPr>
            </w:pPr>
            <w:r w:rsidRPr="00DE096C">
              <w:rPr>
                <w:bCs/>
                <w:color w:val="002060"/>
                <w:sz w:val="16"/>
                <w:szCs w:val="16"/>
              </w:rPr>
              <w:t xml:space="preserve">200.000 </w:t>
            </w:r>
          </w:p>
        </w:tc>
      </w:tr>
      <w:tr w:rsidR="00B67D7C" w:rsidRPr="00DE096C" w14:paraId="234ECCB1" w14:textId="77777777" w:rsidTr="00C2024A">
        <w:tc>
          <w:tcPr>
            <w:tcW w:w="3372" w:type="dxa"/>
          </w:tcPr>
          <w:p w14:paraId="69567CD2" w14:textId="77777777" w:rsidR="00B67D7C" w:rsidRPr="00DE096C" w:rsidRDefault="00B67D7C" w:rsidP="00D45A46">
            <w:pPr>
              <w:jc w:val="both"/>
              <w:rPr>
                <w:bCs/>
                <w:color w:val="002060"/>
                <w:sz w:val="16"/>
                <w:szCs w:val="16"/>
              </w:rPr>
            </w:pPr>
            <w:r w:rsidRPr="00DE096C">
              <w:rPr>
                <w:bCs/>
                <w:color w:val="002060"/>
                <w:sz w:val="16"/>
                <w:szCs w:val="16"/>
              </w:rPr>
              <w:t>8-дм, 11-дм и 12-дм бомб сталистого чугуна</w:t>
            </w:r>
          </w:p>
        </w:tc>
        <w:tc>
          <w:tcPr>
            <w:tcW w:w="936" w:type="dxa"/>
          </w:tcPr>
          <w:p w14:paraId="35FF6EEA" w14:textId="77777777" w:rsidR="00B67D7C" w:rsidRPr="00DE096C" w:rsidRDefault="00B67D7C" w:rsidP="00D45A46">
            <w:pPr>
              <w:jc w:val="both"/>
              <w:rPr>
                <w:bCs/>
                <w:color w:val="002060"/>
                <w:sz w:val="16"/>
                <w:szCs w:val="16"/>
              </w:rPr>
            </w:pPr>
            <w:r w:rsidRPr="00DE096C">
              <w:rPr>
                <w:bCs/>
                <w:color w:val="002060"/>
                <w:sz w:val="16"/>
                <w:szCs w:val="16"/>
              </w:rPr>
              <w:t xml:space="preserve">70.000 </w:t>
            </w:r>
          </w:p>
        </w:tc>
      </w:tr>
    </w:tbl>
    <w:p w14:paraId="210F794B" w14:textId="77777777" w:rsidR="00B67D7C" w:rsidRPr="00DE096C" w:rsidRDefault="00B67D7C" w:rsidP="00D45A46">
      <w:pPr>
        <w:jc w:val="both"/>
        <w:rPr>
          <w:bCs/>
          <w:color w:val="002060"/>
          <w:sz w:val="16"/>
          <w:szCs w:val="16"/>
        </w:rPr>
      </w:pPr>
      <w:r w:rsidRPr="00DE096C">
        <w:rPr>
          <w:bCs/>
          <w:color w:val="002060"/>
          <w:sz w:val="16"/>
          <w:szCs w:val="16"/>
        </w:rPr>
        <w:t xml:space="preserve">Состояние металлообрабатывающий промышленности, в котором застала ее война, мало способствовало успеху дела, возложенного на уполномоченного ГАУ. Заводы с первых же месяцев войны растеряли значительную часть квалифицированных рабочих и технического персонала, призванных на фронт. Последовавшие за тем разрешения возвращать взятых на фронт обратно на заводы реализовались с большим трудом, так как разыскать местонахождение рабочего или инженера на фронте было до крайности трудно, а возвращение сопровождалось длинной канцелярской волокитой. </w:t>
      </w:r>
    </w:p>
    <w:p w14:paraId="69AD07AA" w14:textId="77777777" w:rsidR="00B67D7C" w:rsidRPr="00DE096C" w:rsidRDefault="00B67D7C" w:rsidP="00D45A46">
      <w:pPr>
        <w:jc w:val="both"/>
        <w:rPr>
          <w:bCs/>
          <w:color w:val="002060"/>
          <w:sz w:val="16"/>
          <w:szCs w:val="16"/>
        </w:rPr>
      </w:pPr>
      <w:r w:rsidRPr="00DE096C">
        <w:rPr>
          <w:bCs/>
          <w:color w:val="002060"/>
          <w:sz w:val="16"/>
          <w:szCs w:val="16"/>
        </w:rPr>
        <w:t xml:space="preserve">Затем, заводы металлообрабатывающий промышленности, не исполнявшие военных заказов в мирное время, совершенно не были подготовлены к быстрому налаживанию военных производств. Для этого они не имели в большинстве случаев ни надлежащего оборудования, ни навыков и приемов массового производства, ни привычки к точным работам со строгими допусками. </w:t>
      </w:r>
    </w:p>
    <w:p w14:paraId="2E0BE14C" w14:textId="77777777" w:rsidR="00B67D7C" w:rsidRPr="00DE096C" w:rsidRDefault="00B67D7C" w:rsidP="00D45A46">
      <w:pPr>
        <w:jc w:val="both"/>
        <w:rPr>
          <w:bCs/>
          <w:color w:val="002060"/>
          <w:sz w:val="16"/>
          <w:szCs w:val="16"/>
        </w:rPr>
      </w:pPr>
      <w:r w:rsidRPr="00DE096C">
        <w:rPr>
          <w:bCs/>
          <w:color w:val="002060"/>
          <w:sz w:val="16"/>
          <w:szCs w:val="16"/>
        </w:rPr>
        <w:t xml:space="preserve">К этому надо добавить, что большинство заводов за убылью рабочих и за сокращением спроса сократило значительно свои работы на мирный рынок, причем не занятое работой оборудование довольно часто реквизировалось и вывозилось с заводов распоряжением различных общественных организаций (Земгор, Военно-промышленный комитет и пр.) и государственных органов, работавших на оборону. </w:t>
      </w:r>
    </w:p>
    <w:p w14:paraId="18CEE09A" w14:textId="77777777" w:rsidR="00B67D7C" w:rsidRPr="00DE096C" w:rsidRDefault="00B67D7C" w:rsidP="00D45A46">
      <w:pPr>
        <w:jc w:val="both"/>
        <w:rPr>
          <w:bCs/>
          <w:color w:val="002060"/>
          <w:sz w:val="16"/>
          <w:szCs w:val="16"/>
        </w:rPr>
      </w:pPr>
      <w:r w:rsidRPr="00DE096C">
        <w:rPr>
          <w:bCs/>
          <w:color w:val="002060"/>
          <w:sz w:val="16"/>
          <w:szCs w:val="16"/>
        </w:rPr>
        <w:t xml:space="preserve">Если прибавить ко всему этому расстройство транспорта, недостаток топлива и нерегулярность снабжения им, недостаток в сырых материалах, недостаток в работах и техническом персонале, то условия, в которых приходилось начать и проводить мобилизацию мирной промышленности на снарядное дело, надо признать в высшей степени неблагоприятными. Поэтому организации С.Н. Ванкова, помимо прямого технического дела, много труда и энергии пришлось расходовать на устранение всевозможных препятствий, стоявших на пути к цели. </w:t>
      </w:r>
    </w:p>
    <w:p w14:paraId="538B2C11" w14:textId="77777777" w:rsidR="00B67D7C" w:rsidRPr="00DE096C" w:rsidRDefault="00B67D7C" w:rsidP="00D45A46">
      <w:pPr>
        <w:jc w:val="both"/>
        <w:rPr>
          <w:bCs/>
          <w:color w:val="002060"/>
          <w:sz w:val="16"/>
          <w:szCs w:val="16"/>
        </w:rPr>
      </w:pPr>
      <w:r w:rsidRPr="00DE096C">
        <w:rPr>
          <w:bCs/>
          <w:color w:val="002060"/>
          <w:sz w:val="16"/>
          <w:szCs w:val="16"/>
        </w:rPr>
        <w:t xml:space="preserve">Нельзя не отметить, что весьма нередко заводы, привлекаемые С.Н. Ванковым к снарядному делу, упорно уклонялись от него, предпочитая заняться более выгодными для себя и менее ответственными частными заказами. Это приводило к необходимости обследования заводов и принятию соответствующих мер, которые, однако, не шли дальше аннулирования заказа, ибо уполномоченный не имел на этот случай специальных прав. </w:t>
      </w:r>
    </w:p>
    <w:p w14:paraId="1D2663E4" w14:textId="77777777" w:rsidR="00B67D7C" w:rsidRPr="00DE096C" w:rsidRDefault="00B67D7C" w:rsidP="00D45A46">
      <w:pPr>
        <w:jc w:val="both"/>
        <w:rPr>
          <w:bCs/>
          <w:color w:val="002060"/>
          <w:sz w:val="16"/>
          <w:szCs w:val="16"/>
        </w:rPr>
      </w:pPr>
      <w:r w:rsidRPr="00DE096C">
        <w:rPr>
          <w:bCs/>
          <w:color w:val="002060"/>
          <w:sz w:val="16"/>
          <w:szCs w:val="16"/>
        </w:rPr>
        <w:t xml:space="preserve">Необходимо констатировать, что новизна дела в первое время сильно отпугивала заводчиков и нужно было много энергии, чтобы внушить им веру в дело. С другой стороны, большим тормозом дела служило то обстоятельство, что заводы обычно с недоверием относились к инструктированию со стороны техников организации Ванкова и пытались решать все технические вопросы самостоятельно. При отсутствии опыта это часто давало плачевные результаты, и в конце концов приходилось все-таки пользоваться консультацией и руководством организации Ванкова, с потерей, конечно, дорогого времени. Впрочем, организация сравнительно в непродолжительное время сумела завоевать надлежащий авторитет среди работавших на заводах французских снарядов (так в тексте. Очевидно — специалистов. — Ред.). </w:t>
      </w:r>
    </w:p>
    <w:p w14:paraId="64D2E1E4" w14:textId="77777777" w:rsidR="00B67D7C" w:rsidRPr="00DE096C" w:rsidRDefault="00B67D7C" w:rsidP="00D45A46">
      <w:pPr>
        <w:jc w:val="both"/>
        <w:rPr>
          <w:bCs/>
          <w:color w:val="002060"/>
          <w:sz w:val="16"/>
          <w:szCs w:val="16"/>
        </w:rPr>
      </w:pPr>
      <w:r w:rsidRPr="00DE096C">
        <w:rPr>
          <w:bCs/>
          <w:color w:val="002060"/>
          <w:sz w:val="16"/>
          <w:szCs w:val="16"/>
        </w:rPr>
        <w:t xml:space="preserve">Можно считать, что валовое изготовление 3-дм гранат началось с сентября 1915 г. и шло постоянно увеличиваясь и достигнув максимума в декабре 1916 года. </w:t>
      </w:r>
    </w:p>
    <w:p w14:paraId="0930CD49" w14:textId="77777777" w:rsidR="00B67D7C" w:rsidRPr="00DE096C" w:rsidRDefault="00B67D7C" w:rsidP="00D45A46">
      <w:pPr>
        <w:jc w:val="both"/>
        <w:rPr>
          <w:bCs/>
          <w:color w:val="002060"/>
          <w:sz w:val="16"/>
          <w:szCs w:val="16"/>
        </w:rPr>
      </w:pPr>
      <w:r w:rsidRPr="00DE096C">
        <w:rPr>
          <w:bCs/>
          <w:color w:val="002060"/>
          <w:sz w:val="16"/>
          <w:szCs w:val="16"/>
        </w:rPr>
        <w:t xml:space="preserve">Рост месячного выпуска снарядов шел следующим темпом (суммарно по всем заводам, тыс. шт.):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896"/>
        <w:gridCol w:w="600"/>
      </w:tblGrid>
      <w:tr w:rsidR="00B67D7C" w:rsidRPr="00DE096C" w14:paraId="3E942B5F" w14:textId="77777777" w:rsidTr="00C2024A">
        <w:tc>
          <w:tcPr>
            <w:tcW w:w="1896" w:type="dxa"/>
          </w:tcPr>
          <w:p w14:paraId="30401AC0" w14:textId="77777777" w:rsidR="00B67D7C" w:rsidRPr="00DE096C" w:rsidRDefault="00B67D7C" w:rsidP="00D45A46">
            <w:pPr>
              <w:jc w:val="both"/>
              <w:rPr>
                <w:bCs/>
                <w:color w:val="002060"/>
                <w:sz w:val="16"/>
                <w:szCs w:val="16"/>
              </w:rPr>
            </w:pPr>
            <w:r w:rsidRPr="00DE096C">
              <w:rPr>
                <w:bCs/>
                <w:color w:val="002060"/>
                <w:sz w:val="16"/>
                <w:szCs w:val="16"/>
              </w:rPr>
              <w:t>1915 г., сентябрь</w:t>
            </w:r>
          </w:p>
        </w:tc>
        <w:tc>
          <w:tcPr>
            <w:tcW w:w="600" w:type="dxa"/>
          </w:tcPr>
          <w:p w14:paraId="264EF831" w14:textId="77777777" w:rsidR="00B67D7C" w:rsidRPr="00DE096C" w:rsidRDefault="00B67D7C" w:rsidP="00D45A46">
            <w:pPr>
              <w:jc w:val="both"/>
              <w:rPr>
                <w:bCs/>
                <w:color w:val="002060"/>
                <w:sz w:val="16"/>
                <w:szCs w:val="16"/>
              </w:rPr>
            </w:pPr>
            <w:r w:rsidRPr="00DE096C">
              <w:rPr>
                <w:bCs/>
                <w:color w:val="002060"/>
                <w:sz w:val="16"/>
                <w:szCs w:val="16"/>
              </w:rPr>
              <w:t xml:space="preserve">66 </w:t>
            </w:r>
          </w:p>
        </w:tc>
      </w:tr>
      <w:tr w:rsidR="00B67D7C" w:rsidRPr="00DE096C" w14:paraId="165839E3" w14:textId="77777777" w:rsidTr="00C2024A">
        <w:tc>
          <w:tcPr>
            <w:tcW w:w="1896" w:type="dxa"/>
          </w:tcPr>
          <w:p w14:paraId="55509E7F" w14:textId="77777777" w:rsidR="00B67D7C" w:rsidRPr="00DE096C" w:rsidRDefault="00B67D7C" w:rsidP="00D45A46">
            <w:pPr>
              <w:jc w:val="both"/>
              <w:rPr>
                <w:bCs/>
                <w:color w:val="002060"/>
                <w:sz w:val="16"/>
                <w:szCs w:val="16"/>
              </w:rPr>
            </w:pPr>
            <w:r w:rsidRPr="00DE096C">
              <w:rPr>
                <w:bCs/>
                <w:color w:val="002060"/>
                <w:sz w:val="16"/>
                <w:szCs w:val="16"/>
              </w:rPr>
              <w:t>октябрь</w:t>
            </w:r>
          </w:p>
        </w:tc>
        <w:tc>
          <w:tcPr>
            <w:tcW w:w="600" w:type="dxa"/>
          </w:tcPr>
          <w:p w14:paraId="10DD56D1" w14:textId="77777777" w:rsidR="00B67D7C" w:rsidRPr="00DE096C" w:rsidRDefault="00B67D7C" w:rsidP="00D45A46">
            <w:pPr>
              <w:jc w:val="both"/>
              <w:rPr>
                <w:bCs/>
                <w:color w:val="002060"/>
                <w:sz w:val="16"/>
                <w:szCs w:val="16"/>
              </w:rPr>
            </w:pPr>
            <w:r w:rsidRPr="00DE096C">
              <w:rPr>
                <w:bCs/>
                <w:color w:val="002060"/>
                <w:sz w:val="16"/>
                <w:szCs w:val="16"/>
              </w:rPr>
              <w:t xml:space="preserve">127 </w:t>
            </w:r>
          </w:p>
        </w:tc>
      </w:tr>
      <w:tr w:rsidR="00B67D7C" w:rsidRPr="00DE096C" w14:paraId="79983ADB" w14:textId="77777777" w:rsidTr="00C2024A">
        <w:tc>
          <w:tcPr>
            <w:tcW w:w="1896" w:type="dxa"/>
          </w:tcPr>
          <w:p w14:paraId="51B18883" w14:textId="77777777" w:rsidR="00B67D7C" w:rsidRPr="00DE096C" w:rsidRDefault="00B67D7C" w:rsidP="00D45A46">
            <w:pPr>
              <w:jc w:val="both"/>
              <w:rPr>
                <w:bCs/>
                <w:color w:val="002060"/>
                <w:sz w:val="16"/>
                <w:szCs w:val="16"/>
              </w:rPr>
            </w:pPr>
            <w:r w:rsidRPr="00DE096C">
              <w:rPr>
                <w:bCs/>
                <w:color w:val="002060"/>
                <w:sz w:val="16"/>
                <w:szCs w:val="16"/>
              </w:rPr>
              <w:t>ноябрь</w:t>
            </w:r>
          </w:p>
        </w:tc>
        <w:tc>
          <w:tcPr>
            <w:tcW w:w="600" w:type="dxa"/>
          </w:tcPr>
          <w:p w14:paraId="22CEFBA2" w14:textId="77777777" w:rsidR="00B67D7C" w:rsidRPr="00DE096C" w:rsidRDefault="00B67D7C" w:rsidP="00D45A46">
            <w:pPr>
              <w:jc w:val="both"/>
              <w:rPr>
                <w:bCs/>
                <w:color w:val="002060"/>
                <w:sz w:val="16"/>
                <w:szCs w:val="16"/>
              </w:rPr>
            </w:pPr>
            <w:r w:rsidRPr="00DE096C">
              <w:rPr>
                <w:bCs/>
                <w:color w:val="002060"/>
                <w:sz w:val="16"/>
                <w:szCs w:val="16"/>
              </w:rPr>
              <w:t xml:space="preserve">185 </w:t>
            </w:r>
          </w:p>
        </w:tc>
      </w:tr>
      <w:tr w:rsidR="00B67D7C" w:rsidRPr="00DE096C" w14:paraId="1A6CF9B1" w14:textId="77777777" w:rsidTr="00C2024A">
        <w:tc>
          <w:tcPr>
            <w:tcW w:w="1896" w:type="dxa"/>
          </w:tcPr>
          <w:p w14:paraId="6016EEEC" w14:textId="77777777" w:rsidR="00B67D7C" w:rsidRPr="00DE096C" w:rsidRDefault="00B67D7C" w:rsidP="00D45A46">
            <w:pPr>
              <w:jc w:val="both"/>
              <w:rPr>
                <w:bCs/>
                <w:color w:val="002060"/>
                <w:sz w:val="16"/>
                <w:szCs w:val="16"/>
              </w:rPr>
            </w:pPr>
            <w:r w:rsidRPr="00DE096C">
              <w:rPr>
                <w:bCs/>
                <w:color w:val="002060"/>
                <w:sz w:val="16"/>
                <w:szCs w:val="16"/>
              </w:rPr>
              <w:t>декабрь</w:t>
            </w:r>
          </w:p>
        </w:tc>
        <w:tc>
          <w:tcPr>
            <w:tcW w:w="600" w:type="dxa"/>
          </w:tcPr>
          <w:p w14:paraId="6AD8CE3D" w14:textId="77777777" w:rsidR="00B67D7C" w:rsidRPr="00DE096C" w:rsidRDefault="00B67D7C" w:rsidP="00D45A46">
            <w:pPr>
              <w:jc w:val="both"/>
              <w:rPr>
                <w:bCs/>
                <w:color w:val="002060"/>
                <w:sz w:val="16"/>
                <w:szCs w:val="16"/>
              </w:rPr>
            </w:pPr>
            <w:r w:rsidRPr="00DE096C">
              <w:rPr>
                <w:bCs/>
                <w:color w:val="002060"/>
                <w:sz w:val="16"/>
                <w:szCs w:val="16"/>
              </w:rPr>
              <w:t xml:space="preserve">223 </w:t>
            </w:r>
          </w:p>
        </w:tc>
      </w:tr>
      <w:tr w:rsidR="00B67D7C" w:rsidRPr="00DE096C" w14:paraId="736BC95F" w14:textId="77777777" w:rsidTr="00C2024A">
        <w:tc>
          <w:tcPr>
            <w:tcW w:w="1896" w:type="dxa"/>
          </w:tcPr>
          <w:p w14:paraId="61B3B4C5" w14:textId="77777777" w:rsidR="00B67D7C" w:rsidRPr="00DE096C" w:rsidRDefault="00B67D7C" w:rsidP="00D45A46">
            <w:pPr>
              <w:jc w:val="both"/>
              <w:rPr>
                <w:bCs/>
                <w:color w:val="002060"/>
                <w:sz w:val="16"/>
                <w:szCs w:val="16"/>
              </w:rPr>
            </w:pPr>
            <w:r w:rsidRPr="00DE096C">
              <w:rPr>
                <w:bCs/>
                <w:color w:val="002060"/>
                <w:sz w:val="16"/>
                <w:szCs w:val="16"/>
              </w:rPr>
              <w:t>1916 г., январь</w:t>
            </w:r>
          </w:p>
        </w:tc>
        <w:tc>
          <w:tcPr>
            <w:tcW w:w="600" w:type="dxa"/>
          </w:tcPr>
          <w:p w14:paraId="462ACF9E" w14:textId="77777777" w:rsidR="00B67D7C" w:rsidRPr="00DE096C" w:rsidRDefault="00B67D7C" w:rsidP="00D45A46">
            <w:pPr>
              <w:jc w:val="both"/>
              <w:rPr>
                <w:bCs/>
                <w:color w:val="002060"/>
                <w:sz w:val="16"/>
                <w:szCs w:val="16"/>
              </w:rPr>
            </w:pPr>
            <w:r w:rsidRPr="00DE096C">
              <w:rPr>
                <w:bCs/>
                <w:color w:val="002060"/>
                <w:sz w:val="16"/>
                <w:szCs w:val="16"/>
              </w:rPr>
              <w:t xml:space="preserve">245 </w:t>
            </w:r>
          </w:p>
        </w:tc>
      </w:tr>
      <w:tr w:rsidR="00B67D7C" w:rsidRPr="00DE096C" w14:paraId="3745CFC0" w14:textId="77777777" w:rsidTr="00C2024A">
        <w:tc>
          <w:tcPr>
            <w:tcW w:w="1896" w:type="dxa"/>
          </w:tcPr>
          <w:p w14:paraId="09192DB6" w14:textId="77777777" w:rsidR="00B67D7C" w:rsidRPr="00DE096C" w:rsidRDefault="00B67D7C" w:rsidP="00D45A46">
            <w:pPr>
              <w:jc w:val="both"/>
              <w:rPr>
                <w:bCs/>
                <w:color w:val="002060"/>
                <w:sz w:val="16"/>
                <w:szCs w:val="16"/>
              </w:rPr>
            </w:pPr>
            <w:r w:rsidRPr="00DE096C">
              <w:rPr>
                <w:bCs/>
                <w:color w:val="002060"/>
                <w:sz w:val="16"/>
                <w:szCs w:val="16"/>
              </w:rPr>
              <w:t>апрель</w:t>
            </w:r>
          </w:p>
        </w:tc>
        <w:tc>
          <w:tcPr>
            <w:tcW w:w="600" w:type="dxa"/>
          </w:tcPr>
          <w:p w14:paraId="25FB5DAF" w14:textId="77777777" w:rsidR="00B67D7C" w:rsidRPr="00DE096C" w:rsidRDefault="00B67D7C" w:rsidP="00D45A46">
            <w:pPr>
              <w:jc w:val="both"/>
              <w:rPr>
                <w:bCs/>
                <w:color w:val="002060"/>
                <w:sz w:val="16"/>
                <w:szCs w:val="16"/>
              </w:rPr>
            </w:pPr>
            <w:r w:rsidRPr="00DE096C">
              <w:rPr>
                <w:bCs/>
                <w:color w:val="002060"/>
                <w:sz w:val="16"/>
                <w:szCs w:val="16"/>
              </w:rPr>
              <w:t xml:space="preserve">422 </w:t>
            </w:r>
          </w:p>
        </w:tc>
      </w:tr>
      <w:tr w:rsidR="00B67D7C" w:rsidRPr="00DE096C" w14:paraId="74BA6766" w14:textId="77777777" w:rsidTr="00C2024A">
        <w:tc>
          <w:tcPr>
            <w:tcW w:w="1896" w:type="dxa"/>
          </w:tcPr>
          <w:p w14:paraId="0C3FD60A" w14:textId="77777777" w:rsidR="00B67D7C" w:rsidRPr="00DE096C" w:rsidRDefault="00B67D7C" w:rsidP="00D45A46">
            <w:pPr>
              <w:jc w:val="both"/>
              <w:rPr>
                <w:bCs/>
                <w:color w:val="002060"/>
                <w:sz w:val="16"/>
                <w:szCs w:val="16"/>
              </w:rPr>
            </w:pPr>
            <w:r w:rsidRPr="00DE096C">
              <w:rPr>
                <w:bCs/>
                <w:color w:val="002060"/>
                <w:sz w:val="16"/>
                <w:szCs w:val="16"/>
              </w:rPr>
              <w:t>июль</w:t>
            </w:r>
          </w:p>
        </w:tc>
        <w:tc>
          <w:tcPr>
            <w:tcW w:w="600" w:type="dxa"/>
          </w:tcPr>
          <w:p w14:paraId="0802F695" w14:textId="77777777" w:rsidR="00B67D7C" w:rsidRPr="00DE096C" w:rsidRDefault="00B67D7C" w:rsidP="00D45A46">
            <w:pPr>
              <w:jc w:val="both"/>
              <w:rPr>
                <w:bCs/>
                <w:color w:val="002060"/>
                <w:sz w:val="16"/>
                <w:szCs w:val="16"/>
              </w:rPr>
            </w:pPr>
            <w:r w:rsidRPr="00DE096C">
              <w:rPr>
                <w:bCs/>
                <w:color w:val="002060"/>
                <w:sz w:val="16"/>
                <w:szCs w:val="16"/>
              </w:rPr>
              <w:t xml:space="preserve">688 </w:t>
            </w:r>
          </w:p>
        </w:tc>
      </w:tr>
      <w:tr w:rsidR="00B67D7C" w:rsidRPr="00DE096C" w14:paraId="0F20943D" w14:textId="77777777" w:rsidTr="00C2024A">
        <w:tc>
          <w:tcPr>
            <w:tcW w:w="1896" w:type="dxa"/>
          </w:tcPr>
          <w:p w14:paraId="2E1DB9E1" w14:textId="77777777" w:rsidR="00B67D7C" w:rsidRPr="00DE096C" w:rsidRDefault="00B67D7C" w:rsidP="00D45A46">
            <w:pPr>
              <w:jc w:val="both"/>
              <w:rPr>
                <w:bCs/>
                <w:color w:val="002060"/>
                <w:sz w:val="16"/>
                <w:szCs w:val="16"/>
              </w:rPr>
            </w:pPr>
            <w:r w:rsidRPr="00DE096C">
              <w:rPr>
                <w:bCs/>
                <w:color w:val="002060"/>
                <w:sz w:val="16"/>
                <w:szCs w:val="16"/>
              </w:rPr>
              <w:t>сентябрь</w:t>
            </w:r>
          </w:p>
        </w:tc>
        <w:tc>
          <w:tcPr>
            <w:tcW w:w="600" w:type="dxa"/>
          </w:tcPr>
          <w:p w14:paraId="4570B019" w14:textId="77777777" w:rsidR="00B67D7C" w:rsidRPr="00DE096C" w:rsidRDefault="00B67D7C" w:rsidP="00D45A46">
            <w:pPr>
              <w:jc w:val="both"/>
              <w:rPr>
                <w:bCs/>
                <w:color w:val="002060"/>
                <w:sz w:val="16"/>
                <w:szCs w:val="16"/>
              </w:rPr>
            </w:pPr>
            <w:r w:rsidRPr="00DE096C">
              <w:rPr>
                <w:bCs/>
                <w:color w:val="002060"/>
                <w:sz w:val="16"/>
                <w:szCs w:val="16"/>
              </w:rPr>
              <w:t xml:space="preserve">703 </w:t>
            </w:r>
          </w:p>
        </w:tc>
      </w:tr>
      <w:tr w:rsidR="00B67D7C" w:rsidRPr="00DE096C" w14:paraId="694F96D3" w14:textId="77777777" w:rsidTr="00C2024A">
        <w:tc>
          <w:tcPr>
            <w:tcW w:w="1896" w:type="dxa"/>
          </w:tcPr>
          <w:p w14:paraId="6FE3A3E0" w14:textId="77777777" w:rsidR="00B67D7C" w:rsidRPr="00DE096C" w:rsidRDefault="00B67D7C" w:rsidP="00D45A46">
            <w:pPr>
              <w:jc w:val="both"/>
              <w:rPr>
                <w:bCs/>
                <w:color w:val="002060"/>
                <w:sz w:val="16"/>
                <w:szCs w:val="16"/>
              </w:rPr>
            </w:pPr>
            <w:r w:rsidRPr="00DE096C">
              <w:rPr>
                <w:bCs/>
                <w:color w:val="002060"/>
                <w:sz w:val="16"/>
                <w:szCs w:val="16"/>
              </w:rPr>
              <w:t>декабрь</w:t>
            </w:r>
          </w:p>
        </w:tc>
        <w:tc>
          <w:tcPr>
            <w:tcW w:w="600" w:type="dxa"/>
          </w:tcPr>
          <w:p w14:paraId="0B12BFAA" w14:textId="77777777" w:rsidR="00B67D7C" w:rsidRPr="00DE096C" w:rsidRDefault="00B67D7C" w:rsidP="00D45A46">
            <w:pPr>
              <w:jc w:val="both"/>
              <w:rPr>
                <w:bCs/>
                <w:color w:val="002060"/>
                <w:sz w:val="16"/>
                <w:szCs w:val="16"/>
              </w:rPr>
            </w:pPr>
            <w:r w:rsidRPr="00DE096C">
              <w:rPr>
                <w:bCs/>
                <w:color w:val="002060"/>
                <w:sz w:val="16"/>
                <w:szCs w:val="16"/>
              </w:rPr>
              <w:t xml:space="preserve">783 </w:t>
            </w:r>
          </w:p>
        </w:tc>
      </w:tr>
      <w:tr w:rsidR="00B67D7C" w:rsidRPr="00DE096C" w14:paraId="61197E9D" w14:textId="77777777" w:rsidTr="00C2024A">
        <w:tc>
          <w:tcPr>
            <w:tcW w:w="1896" w:type="dxa"/>
          </w:tcPr>
          <w:p w14:paraId="2D5A1417" w14:textId="77777777" w:rsidR="00B67D7C" w:rsidRPr="00DE096C" w:rsidRDefault="00B67D7C" w:rsidP="00D45A46">
            <w:pPr>
              <w:jc w:val="both"/>
              <w:rPr>
                <w:bCs/>
                <w:color w:val="002060"/>
                <w:sz w:val="16"/>
                <w:szCs w:val="16"/>
              </w:rPr>
            </w:pPr>
            <w:r w:rsidRPr="00DE096C">
              <w:rPr>
                <w:bCs/>
                <w:color w:val="002060"/>
                <w:sz w:val="16"/>
                <w:szCs w:val="16"/>
              </w:rPr>
              <w:t>1917 г., январь</w:t>
            </w:r>
          </w:p>
        </w:tc>
        <w:tc>
          <w:tcPr>
            <w:tcW w:w="600" w:type="dxa"/>
          </w:tcPr>
          <w:p w14:paraId="73C17E5C" w14:textId="77777777" w:rsidR="00B67D7C" w:rsidRPr="00DE096C" w:rsidRDefault="00B67D7C" w:rsidP="00D45A46">
            <w:pPr>
              <w:jc w:val="both"/>
              <w:rPr>
                <w:bCs/>
                <w:color w:val="002060"/>
                <w:sz w:val="16"/>
                <w:szCs w:val="16"/>
              </w:rPr>
            </w:pPr>
            <w:r w:rsidRPr="00DE096C">
              <w:rPr>
                <w:bCs/>
                <w:color w:val="002060"/>
                <w:sz w:val="16"/>
                <w:szCs w:val="16"/>
              </w:rPr>
              <w:t xml:space="preserve">764 </w:t>
            </w:r>
          </w:p>
        </w:tc>
      </w:tr>
      <w:tr w:rsidR="00B67D7C" w:rsidRPr="00DE096C" w14:paraId="2816EBB3" w14:textId="77777777" w:rsidTr="00C2024A">
        <w:tc>
          <w:tcPr>
            <w:tcW w:w="1896" w:type="dxa"/>
          </w:tcPr>
          <w:p w14:paraId="2A1B3C28" w14:textId="77777777" w:rsidR="00B67D7C" w:rsidRPr="00DE096C" w:rsidRDefault="00B67D7C" w:rsidP="00D45A46">
            <w:pPr>
              <w:jc w:val="both"/>
              <w:rPr>
                <w:bCs/>
                <w:color w:val="002060"/>
                <w:sz w:val="16"/>
                <w:szCs w:val="16"/>
              </w:rPr>
            </w:pPr>
            <w:r w:rsidRPr="00DE096C">
              <w:rPr>
                <w:bCs/>
                <w:color w:val="002060"/>
                <w:sz w:val="16"/>
                <w:szCs w:val="16"/>
              </w:rPr>
              <w:t>апрель</w:t>
            </w:r>
          </w:p>
        </w:tc>
        <w:tc>
          <w:tcPr>
            <w:tcW w:w="600" w:type="dxa"/>
          </w:tcPr>
          <w:p w14:paraId="71DF8C51" w14:textId="77777777" w:rsidR="00B67D7C" w:rsidRPr="00DE096C" w:rsidRDefault="00B67D7C" w:rsidP="00D45A46">
            <w:pPr>
              <w:jc w:val="both"/>
              <w:rPr>
                <w:bCs/>
                <w:color w:val="002060"/>
                <w:sz w:val="16"/>
                <w:szCs w:val="16"/>
              </w:rPr>
            </w:pPr>
            <w:r w:rsidRPr="00DE096C">
              <w:rPr>
                <w:bCs/>
                <w:color w:val="002060"/>
                <w:sz w:val="16"/>
                <w:szCs w:val="16"/>
              </w:rPr>
              <w:t xml:space="preserve">501 </w:t>
            </w:r>
          </w:p>
        </w:tc>
      </w:tr>
      <w:tr w:rsidR="00B67D7C" w:rsidRPr="00DE096C" w14:paraId="550415B3" w14:textId="77777777" w:rsidTr="00C2024A">
        <w:tc>
          <w:tcPr>
            <w:tcW w:w="1896" w:type="dxa"/>
          </w:tcPr>
          <w:p w14:paraId="125CF7A4" w14:textId="77777777" w:rsidR="00B67D7C" w:rsidRPr="00DE096C" w:rsidRDefault="00B67D7C" w:rsidP="00D45A46">
            <w:pPr>
              <w:jc w:val="both"/>
              <w:rPr>
                <w:bCs/>
                <w:color w:val="002060"/>
                <w:sz w:val="16"/>
                <w:szCs w:val="16"/>
              </w:rPr>
            </w:pPr>
            <w:r w:rsidRPr="00DE096C">
              <w:rPr>
                <w:bCs/>
                <w:color w:val="002060"/>
                <w:sz w:val="16"/>
                <w:szCs w:val="16"/>
              </w:rPr>
              <w:t>июль</w:t>
            </w:r>
          </w:p>
        </w:tc>
        <w:tc>
          <w:tcPr>
            <w:tcW w:w="600" w:type="dxa"/>
          </w:tcPr>
          <w:p w14:paraId="1394F83E" w14:textId="77777777" w:rsidR="00B67D7C" w:rsidRPr="00DE096C" w:rsidRDefault="00B67D7C" w:rsidP="00D45A46">
            <w:pPr>
              <w:jc w:val="both"/>
              <w:rPr>
                <w:bCs/>
                <w:color w:val="002060"/>
                <w:sz w:val="16"/>
                <w:szCs w:val="16"/>
              </w:rPr>
            </w:pPr>
            <w:r w:rsidRPr="00DE096C">
              <w:rPr>
                <w:bCs/>
                <w:color w:val="002060"/>
                <w:sz w:val="16"/>
                <w:szCs w:val="16"/>
              </w:rPr>
              <w:t xml:space="preserve">449 </w:t>
            </w:r>
          </w:p>
        </w:tc>
      </w:tr>
      <w:tr w:rsidR="00B67D7C" w:rsidRPr="00DE096C" w14:paraId="454068CA" w14:textId="77777777" w:rsidTr="00C2024A">
        <w:tc>
          <w:tcPr>
            <w:tcW w:w="1896" w:type="dxa"/>
          </w:tcPr>
          <w:p w14:paraId="18C15031" w14:textId="77777777" w:rsidR="00B67D7C" w:rsidRPr="00DE096C" w:rsidRDefault="00B67D7C" w:rsidP="00D45A46">
            <w:pPr>
              <w:jc w:val="both"/>
              <w:rPr>
                <w:bCs/>
                <w:color w:val="002060"/>
                <w:sz w:val="16"/>
                <w:szCs w:val="16"/>
              </w:rPr>
            </w:pPr>
            <w:r w:rsidRPr="00DE096C">
              <w:rPr>
                <w:bCs/>
                <w:color w:val="002060"/>
                <w:sz w:val="16"/>
                <w:szCs w:val="16"/>
              </w:rPr>
              <w:t>ноябрь</w:t>
            </w:r>
          </w:p>
        </w:tc>
        <w:tc>
          <w:tcPr>
            <w:tcW w:w="600" w:type="dxa"/>
          </w:tcPr>
          <w:p w14:paraId="4B2E2B50" w14:textId="77777777" w:rsidR="00B67D7C" w:rsidRPr="00DE096C" w:rsidRDefault="00B67D7C" w:rsidP="00D45A46">
            <w:pPr>
              <w:jc w:val="both"/>
              <w:rPr>
                <w:bCs/>
                <w:color w:val="002060"/>
                <w:sz w:val="16"/>
                <w:szCs w:val="16"/>
              </w:rPr>
            </w:pPr>
            <w:r w:rsidRPr="00DE096C">
              <w:rPr>
                <w:bCs/>
                <w:color w:val="002060"/>
                <w:sz w:val="16"/>
                <w:szCs w:val="16"/>
              </w:rPr>
              <w:t xml:space="preserve">291 </w:t>
            </w:r>
          </w:p>
        </w:tc>
      </w:tr>
    </w:tbl>
    <w:p w14:paraId="5300E739" w14:textId="77777777" w:rsidR="00B67D7C" w:rsidRPr="00DE096C" w:rsidRDefault="00B67D7C" w:rsidP="00D45A46">
      <w:pPr>
        <w:jc w:val="both"/>
        <w:rPr>
          <w:bCs/>
          <w:color w:val="002060"/>
          <w:sz w:val="16"/>
          <w:szCs w:val="16"/>
        </w:rPr>
      </w:pPr>
      <w:r w:rsidRPr="00DE096C">
        <w:rPr>
          <w:bCs/>
          <w:color w:val="002060"/>
          <w:sz w:val="16"/>
          <w:szCs w:val="16"/>
        </w:rPr>
        <w:t xml:space="preserve">Всего с сентября 1915 г. по ноябрь 1917 г. выпущено 12 000 000 корпусов 3-дм гранат. С февраля 1917 г. производительность начинает падать и приходит к нулю в конце 1917 года. </w:t>
      </w:r>
    </w:p>
    <w:p w14:paraId="64B34761" w14:textId="77777777" w:rsidR="00B67D7C" w:rsidRPr="00DE096C" w:rsidRDefault="00B67D7C" w:rsidP="00D45A46">
      <w:pPr>
        <w:jc w:val="both"/>
        <w:rPr>
          <w:bCs/>
          <w:color w:val="002060"/>
          <w:sz w:val="16"/>
          <w:szCs w:val="16"/>
        </w:rPr>
      </w:pPr>
      <w:r w:rsidRPr="00DE096C">
        <w:rPr>
          <w:bCs/>
          <w:color w:val="002060"/>
          <w:sz w:val="16"/>
          <w:szCs w:val="16"/>
        </w:rPr>
        <w:t xml:space="preserve">Сверх 3-дм гранат французского образца, уполномоченному ГАУ в середине 1916 г. было, как указано выше, поручено Главным артиллерийским управлением изготовление стальных снарядов 155-мм, 57-мм и 48-лин. химических, в количествах, указанных выше. </w:t>
      </w:r>
    </w:p>
    <w:p w14:paraId="4CC62DA1" w14:textId="77777777" w:rsidR="00B67D7C" w:rsidRPr="00DE096C" w:rsidRDefault="00B67D7C" w:rsidP="00D45A46">
      <w:pPr>
        <w:jc w:val="both"/>
        <w:rPr>
          <w:bCs/>
          <w:color w:val="002060"/>
          <w:sz w:val="16"/>
          <w:szCs w:val="16"/>
        </w:rPr>
      </w:pPr>
      <w:r w:rsidRPr="00DE096C">
        <w:rPr>
          <w:bCs/>
          <w:color w:val="002060"/>
          <w:sz w:val="16"/>
          <w:szCs w:val="16"/>
        </w:rPr>
        <w:t xml:space="preserve">Все подготовительные к исполнению заказа работы были выполнены и заказ размещен, но реализовать его не пришлось ввиду ликвидации всего снарядного дела к концу 1917 года. </w:t>
      </w:r>
    </w:p>
    <w:p w14:paraId="69D147B6" w14:textId="77777777" w:rsidR="00B67D7C" w:rsidRPr="00DE096C" w:rsidRDefault="00B67D7C" w:rsidP="00D45A46">
      <w:pPr>
        <w:jc w:val="both"/>
        <w:rPr>
          <w:bCs/>
          <w:color w:val="002060"/>
          <w:sz w:val="16"/>
          <w:szCs w:val="16"/>
        </w:rPr>
      </w:pPr>
      <w:r w:rsidRPr="00DE096C">
        <w:rPr>
          <w:bCs/>
          <w:color w:val="002060"/>
          <w:sz w:val="16"/>
          <w:szCs w:val="16"/>
        </w:rPr>
        <w:t xml:space="preserve">Уполномоченному ГАУ поручено было также изготовление снарядов средних и больших калибров из сталистого чугуна. Сталистый чугун являлся нововведением в снарядном деле. В технике вообще он появился в 1880—1890-е годы во Франции, под именем "арденского чугуна". Но как материал он не был изучен и производство его не было поставлено на научных началах. Изучению сталистого чугуна было положено начало работами капитана французской службы Праша, произведшего капитальные исследования по этому вопросу. Сталистый чугун, стоящий по своему составу между чугуном и сталью, имеет значительную прочность, обусловливаемую относительной бедностью углеродом и значительным процентом связанного углерода. Одним из препятствий к употреблению сталистого чугуна в артиллерийском деле служила необходимость выплавки его в отражательных печах. Поэтому во Франции были изысканы и разработаны методы получения его в вагранках. Надо заметить, что эти методы в России были найдены ранее, чем во Франции, именно — 40 лет назад проф. Черновым. </w:t>
      </w:r>
    </w:p>
    <w:p w14:paraId="1CB9033C" w14:textId="77777777" w:rsidR="00B67D7C" w:rsidRPr="00DE096C" w:rsidRDefault="00B67D7C" w:rsidP="00D45A46">
      <w:pPr>
        <w:jc w:val="both"/>
        <w:rPr>
          <w:bCs/>
          <w:color w:val="002060"/>
          <w:sz w:val="16"/>
          <w:szCs w:val="16"/>
        </w:rPr>
      </w:pPr>
      <w:r w:rsidRPr="00DE096C">
        <w:rPr>
          <w:bCs/>
          <w:color w:val="002060"/>
          <w:sz w:val="16"/>
          <w:szCs w:val="16"/>
        </w:rPr>
        <w:lastRenderedPageBreak/>
        <w:t xml:space="preserve">Применение сталистого чугуна во Франции во время войны 1914—1917 гг. в результате опытов Праша приняло широкие размеры и способствовало в значительной мере урегулированию снарядного кризиса. Это обстоятельство побудило поставить вопрос об изготовлении снарядов сталистого чугуна в России. После долгих обсуждений вопрос был разрешен в утвердительном смысле. После предварительных опытных работ первый заказ на 6-дм сталистые бомбы был дан в середине 1916 года. Он был размещен на 14 заводах, главным образом южных. Затем последовал заказ на 48-лин. бомбы. </w:t>
      </w:r>
    </w:p>
    <w:p w14:paraId="00BDE0C7" w14:textId="77777777" w:rsidR="00B67D7C" w:rsidRPr="00DE096C" w:rsidRDefault="00B67D7C" w:rsidP="00D45A46">
      <w:pPr>
        <w:jc w:val="both"/>
        <w:rPr>
          <w:bCs/>
          <w:color w:val="002060"/>
          <w:sz w:val="16"/>
          <w:szCs w:val="16"/>
        </w:rPr>
      </w:pPr>
      <w:r w:rsidRPr="00DE096C">
        <w:rPr>
          <w:bCs/>
          <w:color w:val="002060"/>
          <w:sz w:val="16"/>
          <w:szCs w:val="16"/>
        </w:rPr>
        <w:t xml:space="preserve">Организацией Ванкова были разработаны новые методы приемки сталистых снарядов, отличные от французских. </w:t>
      </w:r>
    </w:p>
    <w:p w14:paraId="0F64ECD1" w14:textId="77777777" w:rsidR="00B67D7C" w:rsidRPr="00DE096C" w:rsidRDefault="00B67D7C" w:rsidP="00D45A46">
      <w:pPr>
        <w:jc w:val="both"/>
        <w:rPr>
          <w:bCs/>
          <w:color w:val="002060"/>
          <w:sz w:val="16"/>
          <w:szCs w:val="16"/>
        </w:rPr>
      </w:pPr>
      <w:r w:rsidRPr="00DE096C">
        <w:rPr>
          <w:bCs/>
          <w:color w:val="002060"/>
          <w:sz w:val="16"/>
          <w:szCs w:val="16"/>
        </w:rPr>
        <w:t xml:space="preserve">Результаты работ по сталистым снарядам, 6-дм и 48-лин, выразились следующими цифрами (тыс. шт.):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160"/>
        <w:gridCol w:w="564"/>
        <w:gridCol w:w="938"/>
      </w:tblGrid>
      <w:tr w:rsidR="00B67D7C" w:rsidRPr="00DE096C" w14:paraId="6B8DBA6E" w14:textId="77777777" w:rsidTr="00C2024A">
        <w:tc>
          <w:tcPr>
            <w:tcW w:w="2160" w:type="dxa"/>
          </w:tcPr>
          <w:p w14:paraId="2DDDBC16" w14:textId="77777777" w:rsidR="00B67D7C" w:rsidRPr="00DE096C" w:rsidRDefault="00B67D7C" w:rsidP="00D45A46">
            <w:pPr>
              <w:jc w:val="both"/>
              <w:rPr>
                <w:bCs/>
                <w:color w:val="002060"/>
                <w:sz w:val="16"/>
                <w:szCs w:val="16"/>
              </w:rPr>
            </w:pPr>
            <w:r w:rsidRPr="00DE096C">
              <w:rPr>
                <w:bCs/>
                <w:color w:val="002060"/>
                <w:sz w:val="16"/>
                <w:szCs w:val="16"/>
              </w:rPr>
              <w:t>Рост выпуска продукции в 1917 г.</w:t>
            </w:r>
          </w:p>
        </w:tc>
        <w:tc>
          <w:tcPr>
            <w:tcW w:w="564" w:type="dxa"/>
          </w:tcPr>
          <w:p w14:paraId="2E8552C6" w14:textId="77777777" w:rsidR="00B67D7C" w:rsidRPr="00DE096C" w:rsidRDefault="00B67D7C" w:rsidP="00D45A46">
            <w:pPr>
              <w:jc w:val="both"/>
              <w:rPr>
                <w:bCs/>
                <w:color w:val="002060"/>
                <w:sz w:val="16"/>
                <w:szCs w:val="16"/>
              </w:rPr>
            </w:pPr>
            <w:r w:rsidRPr="00DE096C">
              <w:rPr>
                <w:bCs/>
                <w:color w:val="002060"/>
                <w:sz w:val="16"/>
                <w:szCs w:val="16"/>
              </w:rPr>
              <w:t>Литье</w:t>
            </w:r>
          </w:p>
        </w:tc>
        <w:tc>
          <w:tcPr>
            <w:tcW w:w="938" w:type="dxa"/>
          </w:tcPr>
          <w:p w14:paraId="4BC54FA8" w14:textId="77777777" w:rsidR="00B67D7C" w:rsidRPr="00DE096C" w:rsidRDefault="00B67D7C" w:rsidP="00D45A46">
            <w:pPr>
              <w:jc w:val="both"/>
              <w:rPr>
                <w:bCs/>
                <w:color w:val="002060"/>
                <w:sz w:val="16"/>
                <w:szCs w:val="16"/>
              </w:rPr>
            </w:pPr>
            <w:r w:rsidRPr="00DE096C">
              <w:rPr>
                <w:bCs/>
                <w:color w:val="002060"/>
                <w:sz w:val="16"/>
                <w:szCs w:val="16"/>
              </w:rPr>
              <w:t>Обработка</w:t>
            </w:r>
          </w:p>
        </w:tc>
      </w:tr>
      <w:tr w:rsidR="00B67D7C" w:rsidRPr="00DE096C" w14:paraId="7B8E3E1F" w14:textId="77777777" w:rsidTr="00C2024A">
        <w:tc>
          <w:tcPr>
            <w:tcW w:w="2160" w:type="dxa"/>
          </w:tcPr>
          <w:p w14:paraId="373600C0" w14:textId="77777777" w:rsidR="00B67D7C" w:rsidRPr="00DE096C" w:rsidRDefault="00B67D7C" w:rsidP="00D45A46">
            <w:pPr>
              <w:jc w:val="both"/>
              <w:rPr>
                <w:bCs/>
                <w:color w:val="002060"/>
                <w:sz w:val="16"/>
                <w:szCs w:val="16"/>
              </w:rPr>
            </w:pPr>
            <w:r w:rsidRPr="00DE096C">
              <w:rPr>
                <w:bCs/>
                <w:color w:val="002060"/>
                <w:sz w:val="16"/>
                <w:szCs w:val="16"/>
              </w:rPr>
              <w:t>Январь</w:t>
            </w:r>
          </w:p>
        </w:tc>
        <w:tc>
          <w:tcPr>
            <w:tcW w:w="564" w:type="dxa"/>
          </w:tcPr>
          <w:p w14:paraId="2DC7AA15" w14:textId="77777777" w:rsidR="00B67D7C" w:rsidRPr="00DE096C" w:rsidRDefault="00B67D7C" w:rsidP="00D45A46">
            <w:pPr>
              <w:jc w:val="both"/>
              <w:rPr>
                <w:bCs/>
                <w:color w:val="002060"/>
                <w:sz w:val="16"/>
                <w:szCs w:val="16"/>
              </w:rPr>
            </w:pPr>
            <w:r w:rsidRPr="00DE096C">
              <w:rPr>
                <w:bCs/>
                <w:color w:val="002060"/>
                <w:sz w:val="16"/>
                <w:szCs w:val="16"/>
              </w:rPr>
              <w:t>236</w:t>
            </w:r>
          </w:p>
        </w:tc>
        <w:tc>
          <w:tcPr>
            <w:tcW w:w="938" w:type="dxa"/>
          </w:tcPr>
          <w:p w14:paraId="5FD4A36C" w14:textId="77777777" w:rsidR="00B67D7C" w:rsidRPr="00DE096C" w:rsidRDefault="00B67D7C" w:rsidP="00D45A46">
            <w:pPr>
              <w:jc w:val="both"/>
              <w:rPr>
                <w:bCs/>
                <w:color w:val="002060"/>
                <w:sz w:val="16"/>
                <w:szCs w:val="16"/>
              </w:rPr>
            </w:pPr>
            <w:r w:rsidRPr="00DE096C">
              <w:rPr>
                <w:bCs/>
                <w:color w:val="002060"/>
                <w:sz w:val="16"/>
                <w:szCs w:val="16"/>
              </w:rPr>
              <w:t>118</w:t>
            </w:r>
          </w:p>
        </w:tc>
      </w:tr>
      <w:tr w:rsidR="00B67D7C" w:rsidRPr="00DE096C" w14:paraId="62C8639D" w14:textId="77777777" w:rsidTr="00C2024A">
        <w:tc>
          <w:tcPr>
            <w:tcW w:w="2160" w:type="dxa"/>
          </w:tcPr>
          <w:p w14:paraId="1AF22DF0" w14:textId="77777777" w:rsidR="00B67D7C" w:rsidRPr="00DE096C" w:rsidRDefault="00B67D7C" w:rsidP="00D45A46">
            <w:pPr>
              <w:jc w:val="both"/>
              <w:rPr>
                <w:bCs/>
                <w:color w:val="002060"/>
                <w:sz w:val="16"/>
                <w:szCs w:val="16"/>
              </w:rPr>
            </w:pPr>
            <w:r w:rsidRPr="00DE096C">
              <w:rPr>
                <w:bCs/>
                <w:color w:val="002060"/>
                <w:sz w:val="16"/>
                <w:szCs w:val="16"/>
              </w:rPr>
              <w:t>Июнь</w:t>
            </w:r>
          </w:p>
        </w:tc>
        <w:tc>
          <w:tcPr>
            <w:tcW w:w="564" w:type="dxa"/>
          </w:tcPr>
          <w:p w14:paraId="57D921A2" w14:textId="77777777" w:rsidR="00B67D7C" w:rsidRPr="00DE096C" w:rsidRDefault="00B67D7C" w:rsidP="00D45A46">
            <w:pPr>
              <w:jc w:val="both"/>
              <w:rPr>
                <w:bCs/>
                <w:color w:val="002060"/>
                <w:sz w:val="16"/>
                <w:szCs w:val="16"/>
              </w:rPr>
            </w:pPr>
            <w:r w:rsidRPr="00DE096C">
              <w:rPr>
                <w:bCs/>
                <w:color w:val="002060"/>
                <w:sz w:val="16"/>
                <w:szCs w:val="16"/>
              </w:rPr>
              <w:t>666</w:t>
            </w:r>
          </w:p>
        </w:tc>
        <w:tc>
          <w:tcPr>
            <w:tcW w:w="938" w:type="dxa"/>
          </w:tcPr>
          <w:p w14:paraId="3FEC2EB3" w14:textId="77777777" w:rsidR="00B67D7C" w:rsidRPr="00DE096C" w:rsidRDefault="00B67D7C" w:rsidP="00D45A46">
            <w:pPr>
              <w:jc w:val="both"/>
              <w:rPr>
                <w:bCs/>
                <w:color w:val="002060"/>
                <w:sz w:val="16"/>
                <w:szCs w:val="16"/>
              </w:rPr>
            </w:pPr>
            <w:r w:rsidRPr="00DE096C">
              <w:rPr>
                <w:bCs/>
                <w:color w:val="002060"/>
                <w:sz w:val="16"/>
                <w:szCs w:val="16"/>
              </w:rPr>
              <w:t>345</w:t>
            </w:r>
          </w:p>
        </w:tc>
      </w:tr>
      <w:tr w:rsidR="00B67D7C" w:rsidRPr="00DE096C" w14:paraId="42BCC1A1" w14:textId="77777777" w:rsidTr="00C2024A">
        <w:tc>
          <w:tcPr>
            <w:tcW w:w="2160" w:type="dxa"/>
          </w:tcPr>
          <w:p w14:paraId="3CA26F07" w14:textId="77777777" w:rsidR="00B67D7C" w:rsidRPr="00DE096C" w:rsidRDefault="00B67D7C" w:rsidP="00D45A46">
            <w:pPr>
              <w:jc w:val="both"/>
              <w:rPr>
                <w:bCs/>
                <w:color w:val="002060"/>
                <w:sz w:val="16"/>
                <w:szCs w:val="16"/>
              </w:rPr>
            </w:pPr>
            <w:r w:rsidRPr="00DE096C">
              <w:rPr>
                <w:bCs/>
                <w:color w:val="002060"/>
                <w:sz w:val="16"/>
                <w:szCs w:val="16"/>
              </w:rPr>
              <w:t>Ноябрь</w:t>
            </w:r>
          </w:p>
        </w:tc>
        <w:tc>
          <w:tcPr>
            <w:tcW w:w="564" w:type="dxa"/>
          </w:tcPr>
          <w:p w14:paraId="3E8A3616" w14:textId="77777777" w:rsidR="00B67D7C" w:rsidRPr="00DE096C" w:rsidRDefault="00B67D7C" w:rsidP="00D45A46">
            <w:pPr>
              <w:jc w:val="both"/>
              <w:rPr>
                <w:bCs/>
                <w:color w:val="002060"/>
                <w:sz w:val="16"/>
                <w:szCs w:val="16"/>
              </w:rPr>
            </w:pPr>
            <w:r w:rsidRPr="00DE096C">
              <w:rPr>
                <w:bCs/>
                <w:color w:val="002060"/>
                <w:sz w:val="16"/>
                <w:szCs w:val="16"/>
              </w:rPr>
              <w:t>1024</w:t>
            </w:r>
          </w:p>
        </w:tc>
        <w:tc>
          <w:tcPr>
            <w:tcW w:w="938" w:type="dxa"/>
          </w:tcPr>
          <w:p w14:paraId="5749BBF6" w14:textId="77777777" w:rsidR="00B67D7C" w:rsidRPr="00DE096C" w:rsidRDefault="00B67D7C" w:rsidP="00D45A46">
            <w:pPr>
              <w:jc w:val="both"/>
              <w:rPr>
                <w:bCs/>
                <w:color w:val="002060"/>
                <w:sz w:val="16"/>
                <w:szCs w:val="16"/>
              </w:rPr>
            </w:pPr>
            <w:r w:rsidRPr="00DE096C">
              <w:rPr>
                <w:bCs/>
                <w:color w:val="002060"/>
                <w:sz w:val="16"/>
                <w:szCs w:val="16"/>
              </w:rPr>
              <w:t>545</w:t>
            </w:r>
          </w:p>
        </w:tc>
      </w:tr>
    </w:tbl>
    <w:p w14:paraId="5E5D2197" w14:textId="77777777" w:rsidR="00B67D7C" w:rsidRPr="00DE096C" w:rsidRDefault="00B67D7C" w:rsidP="00D45A46">
      <w:pPr>
        <w:jc w:val="both"/>
        <w:rPr>
          <w:bCs/>
          <w:color w:val="002060"/>
          <w:sz w:val="16"/>
          <w:szCs w:val="16"/>
        </w:rPr>
      </w:pPr>
      <w:r w:rsidRPr="00DE096C">
        <w:rPr>
          <w:bCs/>
          <w:color w:val="002060"/>
          <w:sz w:val="16"/>
          <w:szCs w:val="16"/>
        </w:rPr>
        <w:t xml:space="preserve">К снарядам необходимо было готовить запальные стаканы и детонаторные трубки французского образца. Наибольшие трудности представляло изготовление трубок, производство коих являлось совершенно новым ввиду полного несходства французского образца трубок с русскими. Производство французских трубок, как и русских, является высокоточным. Число заводов, которые могли бы взяться за эту работу, оказалось сначала четыре, а затем к ним присоединились еще три, всего — семь. Из этих семи заводов сравнительно успешно и быстро справились с делом только четыре, из коих один (Русский Рено) оборудовал отдельный завод, выписав специальное оборудование из-за границы. В результате производство французских трубок не поспевало за производством снарядов и недобор трубок пришлось восполнятъ выпиской из Франции. </w:t>
      </w:r>
    </w:p>
    <w:p w14:paraId="35DE9179" w14:textId="77777777" w:rsidR="00B67D7C" w:rsidRPr="00DE096C" w:rsidRDefault="00B67D7C" w:rsidP="00D45A46">
      <w:pPr>
        <w:jc w:val="both"/>
        <w:rPr>
          <w:bCs/>
          <w:color w:val="002060"/>
          <w:sz w:val="16"/>
          <w:szCs w:val="16"/>
        </w:rPr>
      </w:pPr>
      <w:r w:rsidRPr="00DE096C">
        <w:rPr>
          <w:bCs/>
          <w:color w:val="002060"/>
          <w:sz w:val="16"/>
          <w:szCs w:val="16"/>
        </w:rPr>
        <w:t xml:space="preserve">Применение в русской артиллерии французских трубок потребовало ряда опытов для выяснения вопросов, возникавших и в процессе производства этих трубок и при стрельбе ими. В конце концов все эти вопросы были удовлетворительно разрешены. </w:t>
      </w:r>
    </w:p>
    <w:p w14:paraId="367F8CD9" w14:textId="77777777" w:rsidR="00B67D7C" w:rsidRPr="00DE096C" w:rsidRDefault="00B67D7C" w:rsidP="00D45A46">
      <w:pPr>
        <w:jc w:val="both"/>
        <w:rPr>
          <w:bCs/>
          <w:color w:val="002060"/>
          <w:sz w:val="16"/>
          <w:szCs w:val="16"/>
        </w:rPr>
      </w:pPr>
      <w:r w:rsidRPr="00DE096C">
        <w:rPr>
          <w:bCs/>
          <w:color w:val="002060"/>
          <w:sz w:val="16"/>
          <w:szCs w:val="16"/>
        </w:rPr>
        <w:t xml:space="preserve">Большие трудности представила установка производства запальных стаканов благодаря требовавшейся от этого изделия большой точности. Во Франции на эту работу, как и на трубки, были использованы имевшиеся в большом количестве арматурные заводы, обладавшие большим числом однотипных станков. В России таких заводов было немного, да и вообще русские заводы, не привыкшие к высокоточной работе, всеми способами уклонялись от нее, тем более когда вопрос шел о массовом производстве, а с научными принципами массового производства русская гражданская промышленность была до крайности мало знакома. Точные массовые производства были специальностью почти исключительно военно-промышленных заводов. Пришлось ставить производство трубок и станков (стаканов. — Ред.) самым разнообразным способом в смысле применения того или другого оборудования, а также в смысле организации производства и технических приемов работы. </w:t>
      </w:r>
    </w:p>
    <w:p w14:paraId="564B3C05" w14:textId="77777777" w:rsidR="00B67D7C" w:rsidRPr="00DE096C" w:rsidRDefault="00B67D7C" w:rsidP="00D45A46">
      <w:pPr>
        <w:jc w:val="both"/>
        <w:rPr>
          <w:bCs/>
          <w:color w:val="002060"/>
          <w:sz w:val="16"/>
          <w:szCs w:val="16"/>
        </w:rPr>
      </w:pPr>
      <w:r w:rsidRPr="00DE096C">
        <w:rPr>
          <w:bCs/>
          <w:color w:val="002060"/>
          <w:sz w:val="16"/>
          <w:szCs w:val="16"/>
        </w:rPr>
        <w:t>Производство стаканов в конце концов наладилось и постепенно догнало производство гранат. Постепенно производительность увеличивается из месяца в месяц, как показано в таблице: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060"/>
        <w:gridCol w:w="1248"/>
        <w:gridCol w:w="1246"/>
      </w:tblGrid>
      <w:tr w:rsidR="00B67D7C" w:rsidRPr="00DE096C" w14:paraId="1B298DC4" w14:textId="77777777" w:rsidTr="00C2024A">
        <w:tc>
          <w:tcPr>
            <w:tcW w:w="3060" w:type="dxa"/>
          </w:tcPr>
          <w:p w14:paraId="1F4A67D5" w14:textId="77777777" w:rsidR="00B67D7C" w:rsidRPr="00DE096C" w:rsidRDefault="00B67D7C" w:rsidP="00D45A46">
            <w:pPr>
              <w:jc w:val="both"/>
              <w:rPr>
                <w:bCs/>
                <w:color w:val="002060"/>
                <w:sz w:val="16"/>
                <w:szCs w:val="16"/>
              </w:rPr>
            </w:pPr>
            <w:r w:rsidRPr="00DE096C">
              <w:rPr>
                <w:bCs/>
                <w:color w:val="002060"/>
                <w:sz w:val="16"/>
                <w:szCs w:val="16"/>
              </w:rPr>
              <w:t>Рост выпуска продукции</w:t>
            </w:r>
          </w:p>
        </w:tc>
        <w:tc>
          <w:tcPr>
            <w:tcW w:w="1248" w:type="dxa"/>
          </w:tcPr>
          <w:p w14:paraId="047E0BF5" w14:textId="77777777" w:rsidR="00B67D7C" w:rsidRPr="00DE096C" w:rsidRDefault="00B67D7C" w:rsidP="00D45A46">
            <w:pPr>
              <w:jc w:val="both"/>
              <w:rPr>
                <w:bCs/>
                <w:color w:val="002060"/>
                <w:sz w:val="16"/>
                <w:szCs w:val="16"/>
              </w:rPr>
            </w:pPr>
            <w:r w:rsidRPr="00DE096C">
              <w:rPr>
                <w:bCs/>
                <w:color w:val="002060"/>
                <w:sz w:val="16"/>
                <w:szCs w:val="16"/>
              </w:rPr>
              <w:t>Запальные стаканы 6-дм, 3-дм и У.С.</w:t>
            </w:r>
          </w:p>
        </w:tc>
        <w:tc>
          <w:tcPr>
            <w:tcW w:w="1246" w:type="dxa"/>
          </w:tcPr>
          <w:p w14:paraId="729D649B" w14:textId="77777777" w:rsidR="00B67D7C" w:rsidRPr="00DE096C" w:rsidRDefault="00B67D7C" w:rsidP="00D45A46">
            <w:pPr>
              <w:jc w:val="both"/>
              <w:rPr>
                <w:bCs/>
                <w:color w:val="002060"/>
                <w:sz w:val="16"/>
                <w:szCs w:val="16"/>
              </w:rPr>
            </w:pPr>
            <w:r w:rsidRPr="00DE096C">
              <w:rPr>
                <w:bCs/>
                <w:color w:val="002060"/>
                <w:sz w:val="16"/>
                <w:szCs w:val="16"/>
              </w:rPr>
              <w:t>Детонаторные</w:t>
            </w:r>
          </w:p>
        </w:tc>
      </w:tr>
      <w:tr w:rsidR="00B67D7C" w:rsidRPr="00DE096C" w14:paraId="207C433D" w14:textId="77777777" w:rsidTr="00C2024A">
        <w:tc>
          <w:tcPr>
            <w:tcW w:w="3060" w:type="dxa"/>
          </w:tcPr>
          <w:p w14:paraId="24304AA2" w14:textId="77777777" w:rsidR="00B67D7C" w:rsidRPr="00DE096C" w:rsidRDefault="00B67D7C" w:rsidP="00D45A46">
            <w:pPr>
              <w:jc w:val="both"/>
              <w:rPr>
                <w:bCs/>
                <w:color w:val="002060"/>
                <w:sz w:val="16"/>
                <w:szCs w:val="16"/>
              </w:rPr>
            </w:pPr>
            <w:r w:rsidRPr="00DE096C">
              <w:rPr>
                <w:bCs/>
                <w:color w:val="002060"/>
                <w:sz w:val="16"/>
                <w:szCs w:val="16"/>
              </w:rPr>
              <w:t>1915 г., сентябрь</w:t>
            </w:r>
          </w:p>
        </w:tc>
        <w:tc>
          <w:tcPr>
            <w:tcW w:w="1248" w:type="dxa"/>
          </w:tcPr>
          <w:p w14:paraId="6BABE5B1" w14:textId="77777777" w:rsidR="00B67D7C" w:rsidRPr="00DE096C" w:rsidRDefault="00B67D7C" w:rsidP="00D45A46">
            <w:pPr>
              <w:jc w:val="both"/>
              <w:rPr>
                <w:bCs/>
                <w:color w:val="002060"/>
                <w:sz w:val="16"/>
                <w:szCs w:val="16"/>
              </w:rPr>
            </w:pPr>
            <w:r w:rsidRPr="00DE096C">
              <w:rPr>
                <w:bCs/>
                <w:color w:val="002060"/>
                <w:sz w:val="16"/>
                <w:szCs w:val="16"/>
              </w:rPr>
              <w:t>37.000</w:t>
            </w:r>
          </w:p>
        </w:tc>
        <w:tc>
          <w:tcPr>
            <w:tcW w:w="1246" w:type="dxa"/>
          </w:tcPr>
          <w:p w14:paraId="3C97A406" w14:textId="77777777" w:rsidR="00B67D7C" w:rsidRPr="00DE096C" w:rsidRDefault="00B67D7C" w:rsidP="00D45A46">
            <w:pPr>
              <w:jc w:val="both"/>
              <w:rPr>
                <w:bCs/>
                <w:color w:val="002060"/>
                <w:sz w:val="16"/>
                <w:szCs w:val="16"/>
              </w:rPr>
            </w:pPr>
            <w:r w:rsidRPr="00DE096C">
              <w:rPr>
                <w:bCs/>
                <w:color w:val="002060"/>
                <w:sz w:val="16"/>
                <w:szCs w:val="16"/>
              </w:rPr>
              <w:t>2.000</w:t>
            </w:r>
          </w:p>
        </w:tc>
      </w:tr>
      <w:tr w:rsidR="00B67D7C" w:rsidRPr="00DE096C" w14:paraId="5A067720" w14:textId="77777777" w:rsidTr="00C2024A">
        <w:tc>
          <w:tcPr>
            <w:tcW w:w="3060" w:type="dxa"/>
          </w:tcPr>
          <w:p w14:paraId="5A2C3275" w14:textId="77777777" w:rsidR="00B67D7C" w:rsidRPr="00DE096C" w:rsidRDefault="00B67D7C" w:rsidP="00D45A46">
            <w:pPr>
              <w:jc w:val="both"/>
              <w:rPr>
                <w:bCs/>
                <w:color w:val="002060"/>
                <w:sz w:val="16"/>
                <w:szCs w:val="16"/>
              </w:rPr>
            </w:pPr>
            <w:r w:rsidRPr="00DE096C">
              <w:rPr>
                <w:bCs/>
                <w:color w:val="002060"/>
                <w:sz w:val="16"/>
                <w:szCs w:val="16"/>
              </w:rPr>
              <w:t>1916 г., январь</w:t>
            </w:r>
          </w:p>
        </w:tc>
        <w:tc>
          <w:tcPr>
            <w:tcW w:w="1248" w:type="dxa"/>
          </w:tcPr>
          <w:p w14:paraId="6C988E4A" w14:textId="77777777" w:rsidR="00B67D7C" w:rsidRPr="00DE096C" w:rsidRDefault="00B67D7C" w:rsidP="00D45A46">
            <w:pPr>
              <w:jc w:val="both"/>
              <w:rPr>
                <w:bCs/>
                <w:color w:val="002060"/>
                <w:sz w:val="16"/>
                <w:szCs w:val="16"/>
              </w:rPr>
            </w:pPr>
            <w:r w:rsidRPr="00DE096C">
              <w:rPr>
                <w:bCs/>
                <w:color w:val="002060"/>
                <w:sz w:val="16"/>
                <w:szCs w:val="16"/>
              </w:rPr>
              <w:t>151.000</w:t>
            </w:r>
          </w:p>
        </w:tc>
        <w:tc>
          <w:tcPr>
            <w:tcW w:w="1246" w:type="dxa"/>
          </w:tcPr>
          <w:p w14:paraId="33979A47" w14:textId="77777777" w:rsidR="00B67D7C" w:rsidRPr="00DE096C" w:rsidRDefault="00B67D7C" w:rsidP="00D45A46">
            <w:pPr>
              <w:jc w:val="both"/>
              <w:rPr>
                <w:bCs/>
                <w:color w:val="002060"/>
                <w:sz w:val="16"/>
                <w:szCs w:val="16"/>
              </w:rPr>
            </w:pPr>
            <w:r w:rsidRPr="00DE096C">
              <w:rPr>
                <w:bCs/>
                <w:color w:val="002060"/>
                <w:sz w:val="16"/>
                <w:szCs w:val="16"/>
              </w:rPr>
              <w:t>228.900</w:t>
            </w:r>
          </w:p>
        </w:tc>
      </w:tr>
      <w:tr w:rsidR="00B67D7C" w:rsidRPr="00DE096C" w14:paraId="4293C0DB" w14:textId="77777777" w:rsidTr="00C2024A">
        <w:tc>
          <w:tcPr>
            <w:tcW w:w="3060" w:type="dxa"/>
          </w:tcPr>
          <w:p w14:paraId="4514DE97" w14:textId="77777777" w:rsidR="00B67D7C" w:rsidRPr="00DE096C" w:rsidRDefault="00B67D7C" w:rsidP="00D45A46">
            <w:pPr>
              <w:jc w:val="both"/>
              <w:rPr>
                <w:bCs/>
                <w:color w:val="002060"/>
                <w:sz w:val="16"/>
                <w:szCs w:val="16"/>
              </w:rPr>
            </w:pPr>
            <w:r w:rsidRPr="00DE096C">
              <w:rPr>
                <w:bCs/>
                <w:color w:val="002060"/>
                <w:sz w:val="16"/>
                <w:szCs w:val="16"/>
              </w:rPr>
              <w:t>1916 г., июль</w:t>
            </w:r>
          </w:p>
        </w:tc>
        <w:tc>
          <w:tcPr>
            <w:tcW w:w="1248" w:type="dxa"/>
          </w:tcPr>
          <w:p w14:paraId="4CAC2A23" w14:textId="77777777" w:rsidR="00B67D7C" w:rsidRPr="00DE096C" w:rsidRDefault="00B67D7C" w:rsidP="00D45A46">
            <w:pPr>
              <w:jc w:val="both"/>
              <w:rPr>
                <w:bCs/>
                <w:color w:val="002060"/>
                <w:sz w:val="16"/>
                <w:szCs w:val="16"/>
              </w:rPr>
            </w:pPr>
            <w:r w:rsidRPr="00DE096C">
              <w:rPr>
                <w:bCs/>
                <w:color w:val="002060"/>
                <w:sz w:val="16"/>
                <w:szCs w:val="16"/>
              </w:rPr>
              <w:t>405.000</w:t>
            </w:r>
          </w:p>
        </w:tc>
        <w:tc>
          <w:tcPr>
            <w:tcW w:w="1246" w:type="dxa"/>
          </w:tcPr>
          <w:p w14:paraId="03D94E0B" w14:textId="77777777" w:rsidR="00B67D7C" w:rsidRPr="00DE096C" w:rsidRDefault="00B67D7C" w:rsidP="00D45A46">
            <w:pPr>
              <w:jc w:val="both"/>
              <w:rPr>
                <w:bCs/>
                <w:color w:val="002060"/>
                <w:sz w:val="16"/>
                <w:szCs w:val="16"/>
              </w:rPr>
            </w:pPr>
            <w:r w:rsidRPr="00DE096C">
              <w:rPr>
                <w:bCs/>
                <w:color w:val="002060"/>
                <w:sz w:val="16"/>
                <w:szCs w:val="16"/>
              </w:rPr>
              <w:t>524.000</w:t>
            </w:r>
          </w:p>
        </w:tc>
      </w:tr>
      <w:tr w:rsidR="00B67D7C" w:rsidRPr="00DE096C" w14:paraId="6BE36D16" w14:textId="77777777" w:rsidTr="00C2024A">
        <w:tc>
          <w:tcPr>
            <w:tcW w:w="3060" w:type="dxa"/>
          </w:tcPr>
          <w:p w14:paraId="395A68A0" w14:textId="77777777" w:rsidR="00B67D7C" w:rsidRPr="00DE096C" w:rsidRDefault="00B67D7C" w:rsidP="00D45A46">
            <w:pPr>
              <w:jc w:val="both"/>
              <w:rPr>
                <w:bCs/>
                <w:color w:val="002060"/>
                <w:sz w:val="16"/>
                <w:szCs w:val="16"/>
              </w:rPr>
            </w:pPr>
            <w:r w:rsidRPr="00DE096C">
              <w:rPr>
                <w:bCs/>
                <w:color w:val="002060"/>
                <w:sz w:val="16"/>
                <w:szCs w:val="16"/>
              </w:rPr>
              <w:t>1917 г., январь</w:t>
            </w:r>
          </w:p>
        </w:tc>
        <w:tc>
          <w:tcPr>
            <w:tcW w:w="1248" w:type="dxa"/>
          </w:tcPr>
          <w:p w14:paraId="5C6C9E83" w14:textId="77777777" w:rsidR="00B67D7C" w:rsidRPr="00DE096C" w:rsidRDefault="00B67D7C" w:rsidP="00D45A46">
            <w:pPr>
              <w:jc w:val="both"/>
              <w:rPr>
                <w:bCs/>
                <w:color w:val="002060"/>
                <w:sz w:val="16"/>
                <w:szCs w:val="16"/>
              </w:rPr>
            </w:pPr>
            <w:r w:rsidRPr="00DE096C">
              <w:rPr>
                <w:bCs/>
                <w:color w:val="002060"/>
                <w:sz w:val="16"/>
                <w:szCs w:val="16"/>
              </w:rPr>
              <w:t>994.000</w:t>
            </w:r>
          </w:p>
        </w:tc>
        <w:tc>
          <w:tcPr>
            <w:tcW w:w="1246" w:type="dxa"/>
          </w:tcPr>
          <w:p w14:paraId="4E09E001" w14:textId="77777777" w:rsidR="00B67D7C" w:rsidRPr="00DE096C" w:rsidRDefault="00B67D7C" w:rsidP="00D45A46">
            <w:pPr>
              <w:jc w:val="both"/>
              <w:rPr>
                <w:bCs/>
                <w:color w:val="002060"/>
                <w:sz w:val="16"/>
                <w:szCs w:val="16"/>
              </w:rPr>
            </w:pPr>
            <w:r w:rsidRPr="00DE096C">
              <w:rPr>
                <w:bCs/>
                <w:color w:val="002060"/>
                <w:sz w:val="16"/>
                <w:szCs w:val="16"/>
              </w:rPr>
              <w:t>607.000</w:t>
            </w:r>
          </w:p>
        </w:tc>
      </w:tr>
      <w:tr w:rsidR="00B67D7C" w:rsidRPr="00DE096C" w14:paraId="01C84C67" w14:textId="77777777" w:rsidTr="00C2024A">
        <w:tc>
          <w:tcPr>
            <w:tcW w:w="3060" w:type="dxa"/>
          </w:tcPr>
          <w:p w14:paraId="0EDCE652" w14:textId="77777777" w:rsidR="00B67D7C" w:rsidRPr="00DE096C" w:rsidRDefault="00B67D7C" w:rsidP="00D45A46">
            <w:pPr>
              <w:jc w:val="both"/>
              <w:rPr>
                <w:bCs/>
                <w:color w:val="002060"/>
                <w:sz w:val="16"/>
                <w:szCs w:val="16"/>
              </w:rPr>
            </w:pPr>
            <w:r w:rsidRPr="00DE096C">
              <w:rPr>
                <w:bCs/>
                <w:color w:val="002060"/>
                <w:sz w:val="16"/>
                <w:szCs w:val="16"/>
              </w:rPr>
              <w:t>1917 г., апрель</w:t>
            </w:r>
          </w:p>
        </w:tc>
        <w:tc>
          <w:tcPr>
            <w:tcW w:w="1248" w:type="dxa"/>
          </w:tcPr>
          <w:p w14:paraId="4B7C9F0C" w14:textId="77777777" w:rsidR="00B67D7C" w:rsidRPr="00DE096C" w:rsidRDefault="00B67D7C" w:rsidP="00D45A46">
            <w:pPr>
              <w:jc w:val="both"/>
              <w:rPr>
                <w:bCs/>
                <w:color w:val="002060"/>
                <w:sz w:val="16"/>
                <w:szCs w:val="16"/>
              </w:rPr>
            </w:pPr>
            <w:r w:rsidRPr="00DE096C">
              <w:rPr>
                <w:bCs/>
                <w:color w:val="002060"/>
                <w:sz w:val="16"/>
                <w:szCs w:val="16"/>
              </w:rPr>
              <w:t>1.030.000</w:t>
            </w:r>
          </w:p>
        </w:tc>
        <w:tc>
          <w:tcPr>
            <w:tcW w:w="1246" w:type="dxa"/>
          </w:tcPr>
          <w:p w14:paraId="06EE5F3D" w14:textId="77777777" w:rsidR="00B67D7C" w:rsidRPr="00DE096C" w:rsidRDefault="00B67D7C" w:rsidP="00D45A46">
            <w:pPr>
              <w:jc w:val="both"/>
              <w:rPr>
                <w:bCs/>
                <w:color w:val="002060"/>
                <w:sz w:val="16"/>
                <w:szCs w:val="16"/>
              </w:rPr>
            </w:pPr>
            <w:r w:rsidRPr="00DE096C">
              <w:rPr>
                <w:bCs/>
                <w:color w:val="002060"/>
                <w:sz w:val="16"/>
                <w:szCs w:val="16"/>
              </w:rPr>
              <w:t>270.000</w:t>
            </w:r>
          </w:p>
        </w:tc>
      </w:tr>
      <w:tr w:rsidR="00B67D7C" w:rsidRPr="00DE096C" w14:paraId="375082F6" w14:textId="77777777" w:rsidTr="00C2024A">
        <w:tc>
          <w:tcPr>
            <w:tcW w:w="3060" w:type="dxa"/>
          </w:tcPr>
          <w:p w14:paraId="7C27C975" w14:textId="77777777" w:rsidR="00B67D7C" w:rsidRPr="00DE096C" w:rsidRDefault="00B67D7C" w:rsidP="00D45A46">
            <w:pPr>
              <w:jc w:val="both"/>
              <w:rPr>
                <w:bCs/>
                <w:color w:val="002060"/>
                <w:sz w:val="16"/>
                <w:szCs w:val="16"/>
              </w:rPr>
            </w:pPr>
            <w:r w:rsidRPr="00DE096C">
              <w:rPr>
                <w:bCs/>
                <w:color w:val="002060"/>
                <w:sz w:val="16"/>
                <w:szCs w:val="16"/>
              </w:rPr>
              <w:t>1917 г., июль</w:t>
            </w:r>
          </w:p>
        </w:tc>
        <w:tc>
          <w:tcPr>
            <w:tcW w:w="1248" w:type="dxa"/>
          </w:tcPr>
          <w:p w14:paraId="1D6876A2" w14:textId="77777777" w:rsidR="00B67D7C" w:rsidRPr="00DE096C" w:rsidRDefault="00B67D7C" w:rsidP="00D45A46">
            <w:pPr>
              <w:jc w:val="both"/>
              <w:rPr>
                <w:bCs/>
                <w:color w:val="002060"/>
                <w:sz w:val="16"/>
                <w:szCs w:val="16"/>
              </w:rPr>
            </w:pPr>
            <w:r w:rsidRPr="00DE096C">
              <w:rPr>
                <w:bCs/>
                <w:color w:val="002060"/>
                <w:sz w:val="16"/>
                <w:szCs w:val="16"/>
              </w:rPr>
              <w:t>1.609.000</w:t>
            </w:r>
          </w:p>
        </w:tc>
        <w:tc>
          <w:tcPr>
            <w:tcW w:w="1246" w:type="dxa"/>
          </w:tcPr>
          <w:p w14:paraId="4B9BE943" w14:textId="77777777" w:rsidR="00B67D7C" w:rsidRPr="00DE096C" w:rsidRDefault="00B67D7C" w:rsidP="00D45A46">
            <w:pPr>
              <w:jc w:val="both"/>
              <w:rPr>
                <w:bCs/>
                <w:color w:val="002060"/>
                <w:sz w:val="16"/>
                <w:szCs w:val="16"/>
              </w:rPr>
            </w:pPr>
            <w:r w:rsidRPr="00DE096C">
              <w:rPr>
                <w:bCs/>
                <w:color w:val="002060"/>
                <w:sz w:val="16"/>
                <w:szCs w:val="16"/>
              </w:rPr>
              <w:t>406.000</w:t>
            </w:r>
          </w:p>
        </w:tc>
      </w:tr>
      <w:tr w:rsidR="00B67D7C" w:rsidRPr="00DE096C" w14:paraId="16DFFBA1" w14:textId="77777777" w:rsidTr="00C2024A">
        <w:tc>
          <w:tcPr>
            <w:tcW w:w="3060" w:type="dxa"/>
          </w:tcPr>
          <w:p w14:paraId="26BCE61E" w14:textId="77777777" w:rsidR="00B67D7C" w:rsidRPr="00DE096C" w:rsidRDefault="00B67D7C" w:rsidP="00D45A46">
            <w:pPr>
              <w:jc w:val="both"/>
              <w:rPr>
                <w:bCs/>
                <w:color w:val="002060"/>
                <w:sz w:val="16"/>
                <w:szCs w:val="16"/>
              </w:rPr>
            </w:pPr>
            <w:r w:rsidRPr="00DE096C">
              <w:rPr>
                <w:bCs/>
                <w:color w:val="002060"/>
                <w:sz w:val="16"/>
                <w:szCs w:val="16"/>
              </w:rPr>
              <w:t xml:space="preserve">1917 г., ноябрь </w:t>
            </w:r>
          </w:p>
        </w:tc>
        <w:tc>
          <w:tcPr>
            <w:tcW w:w="1248" w:type="dxa"/>
          </w:tcPr>
          <w:p w14:paraId="37D4E311" w14:textId="77777777" w:rsidR="00B67D7C" w:rsidRPr="00DE096C" w:rsidRDefault="00B67D7C" w:rsidP="00D45A46">
            <w:pPr>
              <w:jc w:val="both"/>
              <w:rPr>
                <w:bCs/>
                <w:color w:val="002060"/>
                <w:sz w:val="16"/>
                <w:szCs w:val="16"/>
              </w:rPr>
            </w:pPr>
            <w:r w:rsidRPr="00DE096C">
              <w:rPr>
                <w:bCs/>
                <w:color w:val="002060"/>
                <w:sz w:val="16"/>
                <w:szCs w:val="16"/>
              </w:rPr>
              <w:t>1.891.000</w:t>
            </w:r>
          </w:p>
        </w:tc>
        <w:tc>
          <w:tcPr>
            <w:tcW w:w="1246" w:type="dxa"/>
          </w:tcPr>
          <w:p w14:paraId="7D17D8AA" w14:textId="77777777" w:rsidR="00B67D7C" w:rsidRPr="00DE096C" w:rsidRDefault="00B67D7C" w:rsidP="00D45A46">
            <w:pPr>
              <w:jc w:val="both"/>
              <w:rPr>
                <w:bCs/>
                <w:color w:val="002060"/>
                <w:sz w:val="16"/>
                <w:szCs w:val="16"/>
              </w:rPr>
            </w:pPr>
            <w:r w:rsidRPr="00DE096C">
              <w:rPr>
                <w:bCs/>
                <w:color w:val="002060"/>
                <w:sz w:val="16"/>
                <w:szCs w:val="16"/>
              </w:rPr>
              <w:t>347.000</w:t>
            </w:r>
          </w:p>
        </w:tc>
      </w:tr>
      <w:tr w:rsidR="00B67D7C" w:rsidRPr="00DE096C" w14:paraId="084F5923" w14:textId="77777777" w:rsidTr="00C2024A">
        <w:tc>
          <w:tcPr>
            <w:tcW w:w="3060" w:type="dxa"/>
          </w:tcPr>
          <w:p w14:paraId="29C50B5C" w14:textId="77777777" w:rsidR="00B67D7C" w:rsidRPr="00DE096C" w:rsidRDefault="00B67D7C" w:rsidP="00D45A46">
            <w:pPr>
              <w:jc w:val="both"/>
              <w:rPr>
                <w:bCs/>
                <w:color w:val="002060"/>
                <w:sz w:val="16"/>
                <w:szCs w:val="16"/>
              </w:rPr>
            </w:pPr>
            <w:r w:rsidRPr="00DE096C">
              <w:rPr>
                <w:bCs/>
                <w:color w:val="002060"/>
                <w:sz w:val="16"/>
                <w:szCs w:val="16"/>
              </w:rPr>
              <w:t>Всего за время с сентября 1915 по ноябрь выпущено</w:t>
            </w:r>
          </w:p>
        </w:tc>
        <w:tc>
          <w:tcPr>
            <w:tcW w:w="1248" w:type="dxa"/>
          </w:tcPr>
          <w:p w14:paraId="075180EC" w14:textId="77777777" w:rsidR="00B67D7C" w:rsidRPr="00DE096C" w:rsidRDefault="00B67D7C" w:rsidP="00D45A46">
            <w:pPr>
              <w:jc w:val="both"/>
              <w:rPr>
                <w:bCs/>
                <w:color w:val="002060"/>
                <w:sz w:val="16"/>
                <w:szCs w:val="16"/>
              </w:rPr>
            </w:pPr>
            <w:r w:rsidRPr="00DE096C">
              <w:rPr>
                <w:bCs/>
                <w:color w:val="002060"/>
                <w:sz w:val="16"/>
                <w:szCs w:val="16"/>
              </w:rPr>
              <w:t>12.037.000</w:t>
            </w:r>
          </w:p>
        </w:tc>
        <w:tc>
          <w:tcPr>
            <w:tcW w:w="1246" w:type="dxa"/>
          </w:tcPr>
          <w:p w14:paraId="5CCB8F8F" w14:textId="77777777" w:rsidR="00B67D7C" w:rsidRPr="00DE096C" w:rsidRDefault="00B67D7C" w:rsidP="00D45A46">
            <w:pPr>
              <w:jc w:val="both"/>
              <w:rPr>
                <w:bCs/>
                <w:color w:val="002060"/>
                <w:sz w:val="16"/>
                <w:szCs w:val="16"/>
              </w:rPr>
            </w:pPr>
            <w:r w:rsidRPr="00DE096C">
              <w:rPr>
                <w:bCs/>
                <w:color w:val="002060"/>
                <w:sz w:val="16"/>
                <w:szCs w:val="16"/>
              </w:rPr>
              <w:t>8.102.235</w:t>
            </w:r>
          </w:p>
        </w:tc>
      </w:tr>
    </w:tbl>
    <w:p w14:paraId="671B54AD" w14:textId="77777777" w:rsidR="00B67D7C" w:rsidRPr="00DE096C" w:rsidRDefault="00B67D7C" w:rsidP="00D45A46">
      <w:pPr>
        <w:jc w:val="both"/>
        <w:rPr>
          <w:bCs/>
          <w:color w:val="002060"/>
          <w:sz w:val="16"/>
          <w:szCs w:val="16"/>
        </w:rPr>
      </w:pPr>
      <w:r w:rsidRPr="00DE096C">
        <w:rPr>
          <w:bCs/>
          <w:color w:val="002060"/>
          <w:sz w:val="16"/>
          <w:szCs w:val="16"/>
        </w:rPr>
        <w:t xml:space="preserve">Надо отметить, что для всех перечисленных работ было изготовлено точных поверочных инструментов (единиц):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580"/>
        <w:gridCol w:w="816"/>
      </w:tblGrid>
      <w:tr w:rsidR="00B67D7C" w:rsidRPr="00DE096C" w14:paraId="745F4C0D" w14:textId="77777777" w:rsidTr="00C2024A">
        <w:tc>
          <w:tcPr>
            <w:tcW w:w="2580" w:type="dxa"/>
          </w:tcPr>
          <w:p w14:paraId="1E8C5D32" w14:textId="77777777" w:rsidR="00B67D7C" w:rsidRPr="00DE096C" w:rsidRDefault="00B67D7C" w:rsidP="00D45A46">
            <w:pPr>
              <w:jc w:val="both"/>
              <w:rPr>
                <w:bCs/>
                <w:color w:val="002060"/>
                <w:sz w:val="16"/>
                <w:szCs w:val="16"/>
              </w:rPr>
            </w:pPr>
            <w:r w:rsidRPr="00DE096C">
              <w:rPr>
                <w:bCs/>
                <w:color w:val="002060"/>
                <w:sz w:val="16"/>
                <w:szCs w:val="16"/>
              </w:rPr>
              <w:t>для 3-дм гранат</w:t>
            </w:r>
          </w:p>
        </w:tc>
        <w:tc>
          <w:tcPr>
            <w:tcW w:w="816" w:type="dxa"/>
          </w:tcPr>
          <w:p w14:paraId="09E013AB" w14:textId="77777777" w:rsidR="00B67D7C" w:rsidRPr="00DE096C" w:rsidRDefault="00B67D7C" w:rsidP="00D45A46">
            <w:pPr>
              <w:jc w:val="both"/>
              <w:rPr>
                <w:bCs/>
                <w:color w:val="002060"/>
                <w:sz w:val="16"/>
                <w:szCs w:val="16"/>
              </w:rPr>
            </w:pPr>
            <w:r w:rsidRPr="00DE096C">
              <w:rPr>
                <w:bCs/>
                <w:color w:val="002060"/>
                <w:sz w:val="16"/>
                <w:szCs w:val="16"/>
              </w:rPr>
              <w:t xml:space="preserve">8083 </w:t>
            </w:r>
          </w:p>
        </w:tc>
      </w:tr>
      <w:tr w:rsidR="00B67D7C" w:rsidRPr="00DE096C" w14:paraId="7A63C7B3" w14:textId="77777777" w:rsidTr="00C2024A">
        <w:tc>
          <w:tcPr>
            <w:tcW w:w="2580" w:type="dxa"/>
          </w:tcPr>
          <w:p w14:paraId="06F59320" w14:textId="77777777" w:rsidR="00B67D7C" w:rsidRPr="00DE096C" w:rsidRDefault="00B67D7C" w:rsidP="00D45A46">
            <w:pPr>
              <w:jc w:val="both"/>
              <w:rPr>
                <w:bCs/>
                <w:color w:val="002060"/>
                <w:sz w:val="16"/>
                <w:szCs w:val="16"/>
              </w:rPr>
            </w:pPr>
            <w:r w:rsidRPr="00DE096C">
              <w:rPr>
                <w:bCs/>
                <w:color w:val="002060"/>
                <w:sz w:val="16"/>
                <w:szCs w:val="16"/>
              </w:rPr>
              <w:t>для 3-дм запальных стаканов</w:t>
            </w:r>
          </w:p>
        </w:tc>
        <w:tc>
          <w:tcPr>
            <w:tcW w:w="816" w:type="dxa"/>
          </w:tcPr>
          <w:p w14:paraId="1619E49B" w14:textId="77777777" w:rsidR="00B67D7C" w:rsidRPr="00DE096C" w:rsidRDefault="00B67D7C" w:rsidP="00D45A46">
            <w:pPr>
              <w:jc w:val="both"/>
              <w:rPr>
                <w:bCs/>
                <w:color w:val="002060"/>
                <w:sz w:val="16"/>
                <w:szCs w:val="16"/>
              </w:rPr>
            </w:pPr>
            <w:r w:rsidRPr="00DE096C">
              <w:rPr>
                <w:bCs/>
                <w:color w:val="002060"/>
                <w:sz w:val="16"/>
                <w:szCs w:val="16"/>
              </w:rPr>
              <w:t xml:space="preserve">6249 </w:t>
            </w:r>
          </w:p>
        </w:tc>
      </w:tr>
      <w:tr w:rsidR="00B67D7C" w:rsidRPr="00DE096C" w14:paraId="52BFAC6A" w14:textId="77777777" w:rsidTr="00C2024A">
        <w:tc>
          <w:tcPr>
            <w:tcW w:w="2580" w:type="dxa"/>
          </w:tcPr>
          <w:p w14:paraId="60F12379" w14:textId="77777777" w:rsidR="00B67D7C" w:rsidRPr="00DE096C" w:rsidRDefault="00B67D7C" w:rsidP="00D45A46">
            <w:pPr>
              <w:jc w:val="both"/>
              <w:rPr>
                <w:bCs/>
                <w:color w:val="002060"/>
                <w:sz w:val="16"/>
                <w:szCs w:val="16"/>
              </w:rPr>
            </w:pPr>
            <w:r w:rsidRPr="00DE096C">
              <w:rPr>
                <w:bCs/>
                <w:color w:val="002060"/>
                <w:sz w:val="16"/>
                <w:szCs w:val="16"/>
              </w:rPr>
              <w:t>детонаторных трубок и др. изделий</w:t>
            </w:r>
          </w:p>
        </w:tc>
        <w:tc>
          <w:tcPr>
            <w:tcW w:w="816" w:type="dxa"/>
          </w:tcPr>
          <w:p w14:paraId="1DEAC621" w14:textId="77777777" w:rsidR="00B67D7C" w:rsidRPr="00DE096C" w:rsidRDefault="00B67D7C" w:rsidP="00D45A46">
            <w:pPr>
              <w:jc w:val="both"/>
              <w:rPr>
                <w:bCs/>
                <w:color w:val="002060"/>
                <w:sz w:val="16"/>
                <w:szCs w:val="16"/>
              </w:rPr>
            </w:pPr>
            <w:r w:rsidRPr="00DE096C">
              <w:rPr>
                <w:bCs/>
                <w:color w:val="002060"/>
                <w:sz w:val="16"/>
                <w:szCs w:val="16"/>
              </w:rPr>
              <w:t xml:space="preserve">5807 </w:t>
            </w:r>
          </w:p>
        </w:tc>
      </w:tr>
    </w:tbl>
    <w:p w14:paraId="1E4642D7" w14:textId="77777777" w:rsidR="00B67D7C" w:rsidRPr="00DE096C" w:rsidRDefault="00B67D7C" w:rsidP="00D45A46">
      <w:pPr>
        <w:jc w:val="both"/>
        <w:rPr>
          <w:bCs/>
          <w:color w:val="002060"/>
          <w:sz w:val="16"/>
          <w:szCs w:val="16"/>
        </w:rPr>
      </w:pPr>
      <w:r w:rsidRPr="00DE096C">
        <w:rPr>
          <w:bCs/>
          <w:color w:val="002060"/>
          <w:sz w:val="16"/>
          <w:szCs w:val="16"/>
        </w:rPr>
        <w:t xml:space="preserve">Установка производства инструмента также представляла большие трудности и сильно тормозила дело. </w:t>
      </w:r>
    </w:p>
    <w:p w14:paraId="087EEDE7" w14:textId="77777777" w:rsidR="00B67D7C" w:rsidRPr="00DE096C" w:rsidRDefault="00B67D7C" w:rsidP="00D45A46">
      <w:pPr>
        <w:jc w:val="both"/>
        <w:rPr>
          <w:bCs/>
          <w:color w:val="002060"/>
          <w:sz w:val="16"/>
          <w:szCs w:val="16"/>
        </w:rPr>
      </w:pPr>
      <w:r w:rsidRPr="00DE096C">
        <w:rPr>
          <w:bCs/>
          <w:color w:val="002060"/>
          <w:sz w:val="16"/>
          <w:szCs w:val="16"/>
        </w:rPr>
        <w:t xml:space="preserve">Для снаряжения взрывчатым веществом изготовляемых организацией уполномоченного ГАУ снарядов и детонаторных трубок к ним необходимо было организовать снаряжательные заводы. </w:t>
      </w:r>
    </w:p>
    <w:p w14:paraId="08796873" w14:textId="77777777" w:rsidR="00B67D7C" w:rsidRPr="00DE096C" w:rsidRDefault="00B67D7C" w:rsidP="00D45A46">
      <w:pPr>
        <w:jc w:val="both"/>
        <w:rPr>
          <w:bCs/>
          <w:color w:val="002060"/>
          <w:sz w:val="16"/>
          <w:szCs w:val="16"/>
        </w:rPr>
      </w:pPr>
      <w:r w:rsidRPr="00DE096C">
        <w:rPr>
          <w:bCs/>
          <w:color w:val="002060"/>
          <w:sz w:val="16"/>
          <w:szCs w:val="16"/>
        </w:rPr>
        <w:t xml:space="preserve">Первый снаряжательный завод был устроен промышленником Н.А. Второвым в бывшей красочной фабрике Байера в Москве, где пришлось вновь выстроить и оборудовать две группы зданий, использовав также и существующие здания фабрики. Мощность завода исчислялась в 750 тыс. гранат в месяц. Постройка первой группы зданий была выполнена в 38 дней, второй — в 4 месяца. </w:t>
      </w:r>
    </w:p>
    <w:p w14:paraId="34A8B9BA" w14:textId="77777777" w:rsidR="00B67D7C" w:rsidRPr="00DE096C" w:rsidRDefault="00B67D7C" w:rsidP="00D45A46">
      <w:pPr>
        <w:jc w:val="both"/>
        <w:rPr>
          <w:bCs/>
          <w:color w:val="002060"/>
          <w:sz w:val="16"/>
          <w:szCs w:val="16"/>
        </w:rPr>
      </w:pPr>
      <w:r w:rsidRPr="00DE096C">
        <w:rPr>
          <w:bCs/>
          <w:color w:val="002060"/>
          <w:sz w:val="16"/>
          <w:szCs w:val="16"/>
        </w:rPr>
        <w:t xml:space="preserve">Независимо от этого тем же контрагентом была предпринята постройка второго снаряжательного завода близ станции Затишье Богородского уезда. </w:t>
      </w:r>
    </w:p>
    <w:p w14:paraId="47E9E604" w14:textId="77777777" w:rsidR="00B67D7C" w:rsidRPr="00DE096C" w:rsidRDefault="00B67D7C" w:rsidP="00D45A46">
      <w:pPr>
        <w:jc w:val="both"/>
        <w:rPr>
          <w:bCs/>
          <w:color w:val="002060"/>
          <w:sz w:val="16"/>
          <w:szCs w:val="16"/>
        </w:rPr>
      </w:pPr>
      <w:r w:rsidRPr="00DE096C">
        <w:rPr>
          <w:bCs/>
          <w:color w:val="002060"/>
          <w:sz w:val="16"/>
          <w:szCs w:val="16"/>
        </w:rPr>
        <w:t xml:space="preserve">Работа по снаряжению снарядов в Московском заводе началась в сентябре 1915 г., когда было сдано 44 тыс. гранат. В дальнейшем производительность по снаряжению, увеличиваясь из месяца в месяц, показала значительный рост. </w:t>
      </w:r>
    </w:p>
    <w:p w14:paraId="732A124C" w14:textId="77777777" w:rsidR="00B67D7C" w:rsidRPr="00DE096C" w:rsidRDefault="00B67D7C" w:rsidP="00D45A46">
      <w:pPr>
        <w:jc w:val="both"/>
        <w:rPr>
          <w:bCs/>
          <w:color w:val="002060"/>
          <w:sz w:val="16"/>
          <w:szCs w:val="16"/>
        </w:rPr>
      </w:pPr>
      <w:r w:rsidRPr="00DE096C">
        <w:rPr>
          <w:bCs/>
          <w:color w:val="002060"/>
          <w:sz w:val="16"/>
          <w:szCs w:val="16"/>
        </w:rPr>
        <w:t xml:space="preserve">Производительность по снаряжению в месяц, суммарно по всем калибрам снарядов, была следующая (тыс. шт.):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244"/>
        <w:gridCol w:w="684"/>
      </w:tblGrid>
      <w:tr w:rsidR="00B67D7C" w:rsidRPr="00DE096C" w14:paraId="6880D7F6" w14:textId="77777777" w:rsidTr="00C2024A">
        <w:tc>
          <w:tcPr>
            <w:tcW w:w="2244" w:type="dxa"/>
          </w:tcPr>
          <w:p w14:paraId="300CEE90" w14:textId="77777777" w:rsidR="00B67D7C" w:rsidRPr="00DE096C" w:rsidRDefault="00B67D7C" w:rsidP="00D45A46">
            <w:pPr>
              <w:jc w:val="both"/>
              <w:rPr>
                <w:bCs/>
                <w:color w:val="002060"/>
                <w:sz w:val="16"/>
                <w:szCs w:val="16"/>
              </w:rPr>
            </w:pPr>
            <w:r w:rsidRPr="00DE096C">
              <w:rPr>
                <w:bCs/>
                <w:color w:val="002060"/>
                <w:sz w:val="16"/>
                <w:szCs w:val="16"/>
              </w:rPr>
              <w:t>1916 г., январь</w:t>
            </w:r>
          </w:p>
        </w:tc>
        <w:tc>
          <w:tcPr>
            <w:tcW w:w="684" w:type="dxa"/>
          </w:tcPr>
          <w:p w14:paraId="7B28D503" w14:textId="77777777" w:rsidR="00B67D7C" w:rsidRPr="00DE096C" w:rsidRDefault="00B67D7C" w:rsidP="00D45A46">
            <w:pPr>
              <w:jc w:val="both"/>
              <w:rPr>
                <w:bCs/>
                <w:color w:val="002060"/>
                <w:sz w:val="16"/>
                <w:szCs w:val="16"/>
              </w:rPr>
            </w:pPr>
            <w:r w:rsidRPr="00DE096C">
              <w:rPr>
                <w:bCs/>
                <w:color w:val="002060"/>
                <w:sz w:val="16"/>
                <w:szCs w:val="16"/>
              </w:rPr>
              <w:t xml:space="preserve">245 </w:t>
            </w:r>
          </w:p>
        </w:tc>
      </w:tr>
      <w:tr w:rsidR="00B67D7C" w:rsidRPr="00DE096C" w14:paraId="25F85301" w14:textId="77777777" w:rsidTr="00C2024A">
        <w:tc>
          <w:tcPr>
            <w:tcW w:w="2244" w:type="dxa"/>
          </w:tcPr>
          <w:p w14:paraId="31E9EC95" w14:textId="77777777" w:rsidR="00B67D7C" w:rsidRPr="00DE096C" w:rsidRDefault="00B67D7C" w:rsidP="00D45A46">
            <w:pPr>
              <w:jc w:val="both"/>
              <w:rPr>
                <w:bCs/>
                <w:color w:val="002060"/>
                <w:sz w:val="16"/>
                <w:szCs w:val="16"/>
              </w:rPr>
            </w:pPr>
            <w:r w:rsidRPr="00DE096C">
              <w:rPr>
                <w:bCs/>
                <w:color w:val="002060"/>
                <w:sz w:val="16"/>
                <w:szCs w:val="16"/>
              </w:rPr>
              <w:t>апрель</w:t>
            </w:r>
          </w:p>
        </w:tc>
        <w:tc>
          <w:tcPr>
            <w:tcW w:w="684" w:type="dxa"/>
          </w:tcPr>
          <w:p w14:paraId="7625DF66" w14:textId="77777777" w:rsidR="00B67D7C" w:rsidRPr="00DE096C" w:rsidRDefault="00B67D7C" w:rsidP="00D45A46">
            <w:pPr>
              <w:jc w:val="both"/>
              <w:rPr>
                <w:bCs/>
                <w:color w:val="002060"/>
                <w:sz w:val="16"/>
                <w:szCs w:val="16"/>
              </w:rPr>
            </w:pPr>
            <w:r w:rsidRPr="00DE096C">
              <w:rPr>
                <w:bCs/>
                <w:color w:val="002060"/>
                <w:sz w:val="16"/>
                <w:szCs w:val="16"/>
              </w:rPr>
              <w:t xml:space="preserve">347 </w:t>
            </w:r>
          </w:p>
        </w:tc>
      </w:tr>
      <w:tr w:rsidR="00B67D7C" w:rsidRPr="00DE096C" w14:paraId="191AE508" w14:textId="77777777" w:rsidTr="00C2024A">
        <w:tc>
          <w:tcPr>
            <w:tcW w:w="2244" w:type="dxa"/>
          </w:tcPr>
          <w:p w14:paraId="42950616" w14:textId="77777777" w:rsidR="00B67D7C" w:rsidRPr="00DE096C" w:rsidRDefault="00B67D7C" w:rsidP="00D45A46">
            <w:pPr>
              <w:jc w:val="both"/>
              <w:rPr>
                <w:bCs/>
                <w:color w:val="002060"/>
                <w:sz w:val="16"/>
                <w:szCs w:val="16"/>
              </w:rPr>
            </w:pPr>
            <w:r w:rsidRPr="00DE096C">
              <w:rPr>
                <w:bCs/>
                <w:color w:val="002060"/>
                <w:sz w:val="16"/>
                <w:szCs w:val="16"/>
              </w:rPr>
              <w:t>июль</w:t>
            </w:r>
          </w:p>
        </w:tc>
        <w:tc>
          <w:tcPr>
            <w:tcW w:w="684" w:type="dxa"/>
          </w:tcPr>
          <w:p w14:paraId="6A1740B9" w14:textId="77777777" w:rsidR="00B67D7C" w:rsidRPr="00DE096C" w:rsidRDefault="00B67D7C" w:rsidP="00D45A46">
            <w:pPr>
              <w:jc w:val="both"/>
              <w:rPr>
                <w:bCs/>
                <w:color w:val="002060"/>
                <w:sz w:val="16"/>
                <w:szCs w:val="16"/>
              </w:rPr>
            </w:pPr>
            <w:r w:rsidRPr="00DE096C">
              <w:rPr>
                <w:bCs/>
                <w:color w:val="002060"/>
                <w:sz w:val="16"/>
                <w:szCs w:val="16"/>
              </w:rPr>
              <w:t xml:space="preserve">668 </w:t>
            </w:r>
          </w:p>
        </w:tc>
      </w:tr>
      <w:tr w:rsidR="00B67D7C" w:rsidRPr="00DE096C" w14:paraId="6303EB7F" w14:textId="77777777" w:rsidTr="00C2024A">
        <w:tc>
          <w:tcPr>
            <w:tcW w:w="2244" w:type="dxa"/>
          </w:tcPr>
          <w:p w14:paraId="37D125FE" w14:textId="77777777" w:rsidR="00B67D7C" w:rsidRPr="00DE096C" w:rsidRDefault="00B67D7C" w:rsidP="00D45A46">
            <w:pPr>
              <w:jc w:val="both"/>
              <w:rPr>
                <w:bCs/>
                <w:color w:val="002060"/>
                <w:sz w:val="16"/>
                <w:szCs w:val="16"/>
              </w:rPr>
            </w:pPr>
            <w:r w:rsidRPr="00DE096C">
              <w:rPr>
                <w:bCs/>
                <w:color w:val="002060"/>
                <w:sz w:val="16"/>
                <w:szCs w:val="16"/>
              </w:rPr>
              <w:t>октябрь</w:t>
            </w:r>
          </w:p>
        </w:tc>
        <w:tc>
          <w:tcPr>
            <w:tcW w:w="684" w:type="dxa"/>
          </w:tcPr>
          <w:p w14:paraId="6DAB630D" w14:textId="77777777" w:rsidR="00B67D7C" w:rsidRPr="00DE096C" w:rsidRDefault="00B67D7C" w:rsidP="00D45A46">
            <w:pPr>
              <w:jc w:val="both"/>
              <w:rPr>
                <w:bCs/>
                <w:color w:val="002060"/>
                <w:sz w:val="16"/>
                <w:szCs w:val="16"/>
              </w:rPr>
            </w:pPr>
            <w:r w:rsidRPr="00DE096C">
              <w:rPr>
                <w:bCs/>
                <w:color w:val="002060"/>
                <w:sz w:val="16"/>
                <w:szCs w:val="16"/>
              </w:rPr>
              <w:t xml:space="preserve">1053 </w:t>
            </w:r>
          </w:p>
        </w:tc>
      </w:tr>
      <w:tr w:rsidR="00B67D7C" w:rsidRPr="00DE096C" w14:paraId="039B897E" w14:textId="77777777" w:rsidTr="00C2024A">
        <w:tc>
          <w:tcPr>
            <w:tcW w:w="2244" w:type="dxa"/>
          </w:tcPr>
          <w:p w14:paraId="286E580E" w14:textId="77777777" w:rsidR="00B67D7C" w:rsidRPr="00DE096C" w:rsidRDefault="00B67D7C" w:rsidP="00D45A46">
            <w:pPr>
              <w:jc w:val="both"/>
              <w:rPr>
                <w:bCs/>
                <w:color w:val="002060"/>
                <w:sz w:val="16"/>
                <w:szCs w:val="16"/>
              </w:rPr>
            </w:pPr>
            <w:r w:rsidRPr="00DE096C">
              <w:rPr>
                <w:bCs/>
                <w:color w:val="002060"/>
                <w:sz w:val="16"/>
                <w:szCs w:val="16"/>
              </w:rPr>
              <w:t>декабрь</w:t>
            </w:r>
          </w:p>
        </w:tc>
        <w:tc>
          <w:tcPr>
            <w:tcW w:w="684" w:type="dxa"/>
          </w:tcPr>
          <w:p w14:paraId="2C34E0A9" w14:textId="77777777" w:rsidR="00B67D7C" w:rsidRPr="00DE096C" w:rsidRDefault="00B67D7C" w:rsidP="00D45A46">
            <w:pPr>
              <w:jc w:val="both"/>
              <w:rPr>
                <w:bCs/>
                <w:color w:val="002060"/>
                <w:sz w:val="16"/>
                <w:szCs w:val="16"/>
              </w:rPr>
            </w:pPr>
            <w:r w:rsidRPr="00DE096C">
              <w:rPr>
                <w:bCs/>
                <w:color w:val="002060"/>
                <w:sz w:val="16"/>
                <w:szCs w:val="16"/>
              </w:rPr>
              <w:t xml:space="preserve">801 </w:t>
            </w:r>
          </w:p>
        </w:tc>
      </w:tr>
      <w:tr w:rsidR="00B67D7C" w:rsidRPr="00DE096C" w14:paraId="021A33A4" w14:textId="77777777" w:rsidTr="00C2024A">
        <w:tc>
          <w:tcPr>
            <w:tcW w:w="2244" w:type="dxa"/>
          </w:tcPr>
          <w:p w14:paraId="00F64EF0" w14:textId="77777777" w:rsidR="00B67D7C" w:rsidRPr="00DE096C" w:rsidRDefault="00B67D7C" w:rsidP="00D45A46">
            <w:pPr>
              <w:jc w:val="both"/>
              <w:rPr>
                <w:bCs/>
                <w:color w:val="002060"/>
                <w:sz w:val="16"/>
                <w:szCs w:val="16"/>
              </w:rPr>
            </w:pPr>
            <w:r w:rsidRPr="00DE096C">
              <w:rPr>
                <w:bCs/>
                <w:color w:val="002060"/>
                <w:sz w:val="16"/>
                <w:szCs w:val="16"/>
              </w:rPr>
              <w:t>1917 г., январь</w:t>
            </w:r>
          </w:p>
        </w:tc>
        <w:tc>
          <w:tcPr>
            <w:tcW w:w="684" w:type="dxa"/>
          </w:tcPr>
          <w:p w14:paraId="043F0E74" w14:textId="77777777" w:rsidR="00B67D7C" w:rsidRPr="00DE096C" w:rsidRDefault="00B67D7C" w:rsidP="00D45A46">
            <w:pPr>
              <w:jc w:val="both"/>
              <w:rPr>
                <w:bCs/>
                <w:color w:val="002060"/>
                <w:sz w:val="16"/>
                <w:szCs w:val="16"/>
              </w:rPr>
            </w:pPr>
            <w:r w:rsidRPr="00DE096C">
              <w:rPr>
                <w:bCs/>
                <w:color w:val="002060"/>
                <w:sz w:val="16"/>
                <w:szCs w:val="16"/>
              </w:rPr>
              <w:t xml:space="preserve">763 </w:t>
            </w:r>
          </w:p>
        </w:tc>
      </w:tr>
      <w:tr w:rsidR="00B67D7C" w:rsidRPr="00DE096C" w14:paraId="273739FD" w14:textId="77777777" w:rsidTr="00C2024A">
        <w:tc>
          <w:tcPr>
            <w:tcW w:w="2244" w:type="dxa"/>
          </w:tcPr>
          <w:p w14:paraId="423BBBBB" w14:textId="77777777" w:rsidR="00B67D7C" w:rsidRPr="00DE096C" w:rsidRDefault="00B67D7C" w:rsidP="00D45A46">
            <w:pPr>
              <w:jc w:val="both"/>
              <w:rPr>
                <w:bCs/>
                <w:color w:val="002060"/>
                <w:sz w:val="16"/>
                <w:szCs w:val="16"/>
              </w:rPr>
            </w:pPr>
            <w:r w:rsidRPr="00DE096C">
              <w:rPr>
                <w:bCs/>
                <w:color w:val="002060"/>
                <w:sz w:val="16"/>
                <w:szCs w:val="16"/>
              </w:rPr>
              <w:t>апрель</w:t>
            </w:r>
          </w:p>
        </w:tc>
        <w:tc>
          <w:tcPr>
            <w:tcW w:w="684" w:type="dxa"/>
          </w:tcPr>
          <w:p w14:paraId="089DC264" w14:textId="77777777" w:rsidR="00B67D7C" w:rsidRPr="00DE096C" w:rsidRDefault="00B67D7C" w:rsidP="00D45A46">
            <w:pPr>
              <w:jc w:val="both"/>
              <w:rPr>
                <w:bCs/>
                <w:color w:val="002060"/>
                <w:sz w:val="16"/>
                <w:szCs w:val="16"/>
              </w:rPr>
            </w:pPr>
            <w:r w:rsidRPr="00DE096C">
              <w:rPr>
                <w:bCs/>
                <w:color w:val="002060"/>
                <w:sz w:val="16"/>
                <w:szCs w:val="16"/>
              </w:rPr>
              <w:t xml:space="preserve">608 </w:t>
            </w:r>
          </w:p>
        </w:tc>
      </w:tr>
      <w:tr w:rsidR="00B67D7C" w:rsidRPr="00DE096C" w14:paraId="1817A86D" w14:textId="77777777" w:rsidTr="00C2024A">
        <w:tc>
          <w:tcPr>
            <w:tcW w:w="2244" w:type="dxa"/>
          </w:tcPr>
          <w:p w14:paraId="0CB87994" w14:textId="77777777" w:rsidR="00B67D7C" w:rsidRPr="00DE096C" w:rsidRDefault="00B67D7C" w:rsidP="00D45A46">
            <w:pPr>
              <w:jc w:val="both"/>
              <w:rPr>
                <w:bCs/>
                <w:color w:val="002060"/>
                <w:sz w:val="16"/>
                <w:szCs w:val="16"/>
              </w:rPr>
            </w:pPr>
            <w:r w:rsidRPr="00DE096C">
              <w:rPr>
                <w:bCs/>
                <w:color w:val="002060"/>
                <w:sz w:val="16"/>
                <w:szCs w:val="16"/>
              </w:rPr>
              <w:t>октябрь</w:t>
            </w:r>
          </w:p>
        </w:tc>
        <w:tc>
          <w:tcPr>
            <w:tcW w:w="684" w:type="dxa"/>
          </w:tcPr>
          <w:p w14:paraId="1C1CCE00" w14:textId="77777777" w:rsidR="00B67D7C" w:rsidRPr="00DE096C" w:rsidRDefault="00B67D7C" w:rsidP="00D45A46">
            <w:pPr>
              <w:jc w:val="both"/>
              <w:rPr>
                <w:bCs/>
                <w:color w:val="002060"/>
                <w:sz w:val="16"/>
                <w:szCs w:val="16"/>
              </w:rPr>
            </w:pPr>
            <w:r w:rsidRPr="00DE096C">
              <w:rPr>
                <w:bCs/>
                <w:color w:val="002060"/>
                <w:sz w:val="16"/>
                <w:szCs w:val="16"/>
              </w:rPr>
              <w:t>378</w:t>
            </w:r>
          </w:p>
        </w:tc>
      </w:tr>
      <w:tr w:rsidR="00B67D7C" w:rsidRPr="00DE096C" w14:paraId="0BB59EBB" w14:textId="77777777" w:rsidTr="00C2024A">
        <w:tc>
          <w:tcPr>
            <w:tcW w:w="2244" w:type="dxa"/>
          </w:tcPr>
          <w:p w14:paraId="5EA50994" w14:textId="77777777" w:rsidR="00B67D7C" w:rsidRPr="00DE096C" w:rsidRDefault="00B67D7C" w:rsidP="00D45A46">
            <w:pPr>
              <w:jc w:val="both"/>
              <w:rPr>
                <w:bCs/>
                <w:color w:val="002060"/>
                <w:sz w:val="16"/>
                <w:szCs w:val="16"/>
              </w:rPr>
            </w:pPr>
            <w:r w:rsidRPr="00DE096C">
              <w:rPr>
                <w:bCs/>
                <w:color w:val="002060"/>
                <w:sz w:val="16"/>
                <w:szCs w:val="16"/>
              </w:rPr>
              <w:t>декабрь</w:t>
            </w:r>
          </w:p>
        </w:tc>
        <w:tc>
          <w:tcPr>
            <w:tcW w:w="684" w:type="dxa"/>
          </w:tcPr>
          <w:p w14:paraId="7C6D6481" w14:textId="77777777" w:rsidR="00B67D7C" w:rsidRPr="00DE096C" w:rsidRDefault="00B67D7C" w:rsidP="00D45A46">
            <w:pPr>
              <w:jc w:val="both"/>
              <w:rPr>
                <w:bCs/>
                <w:color w:val="002060"/>
                <w:sz w:val="16"/>
                <w:szCs w:val="16"/>
              </w:rPr>
            </w:pPr>
            <w:r w:rsidRPr="00DE096C">
              <w:rPr>
                <w:bCs/>
                <w:color w:val="002060"/>
                <w:sz w:val="16"/>
                <w:szCs w:val="16"/>
              </w:rPr>
              <w:t xml:space="preserve">109 </w:t>
            </w:r>
          </w:p>
        </w:tc>
      </w:tr>
      <w:tr w:rsidR="00B67D7C" w:rsidRPr="00DE096C" w14:paraId="48F4FED7" w14:textId="77777777" w:rsidTr="00C2024A">
        <w:tc>
          <w:tcPr>
            <w:tcW w:w="2244" w:type="dxa"/>
          </w:tcPr>
          <w:p w14:paraId="519714C5" w14:textId="77777777" w:rsidR="00B67D7C" w:rsidRPr="00DE096C" w:rsidRDefault="00B67D7C" w:rsidP="00D45A46">
            <w:pPr>
              <w:jc w:val="both"/>
              <w:rPr>
                <w:bCs/>
                <w:color w:val="002060"/>
                <w:sz w:val="16"/>
                <w:szCs w:val="16"/>
              </w:rPr>
            </w:pPr>
            <w:r w:rsidRPr="00DE096C">
              <w:rPr>
                <w:bCs/>
                <w:color w:val="002060"/>
                <w:sz w:val="16"/>
                <w:szCs w:val="16"/>
              </w:rPr>
              <w:t>[Всего]</w:t>
            </w:r>
          </w:p>
        </w:tc>
        <w:tc>
          <w:tcPr>
            <w:tcW w:w="684" w:type="dxa"/>
          </w:tcPr>
          <w:p w14:paraId="2C04A32F" w14:textId="77777777" w:rsidR="00B67D7C" w:rsidRPr="00DE096C" w:rsidRDefault="00B67D7C" w:rsidP="00D45A46">
            <w:pPr>
              <w:jc w:val="both"/>
              <w:rPr>
                <w:bCs/>
                <w:color w:val="002060"/>
                <w:sz w:val="16"/>
                <w:szCs w:val="16"/>
              </w:rPr>
            </w:pPr>
            <w:r w:rsidRPr="00DE096C">
              <w:rPr>
                <w:bCs/>
                <w:color w:val="002060"/>
                <w:sz w:val="16"/>
                <w:szCs w:val="16"/>
              </w:rPr>
              <w:t xml:space="preserve">4971 </w:t>
            </w:r>
          </w:p>
        </w:tc>
      </w:tr>
    </w:tbl>
    <w:p w14:paraId="79E163DB" w14:textId="77777777" w:rsidR="00B67D7C" w:rsidRPr="00DE096C" w:rsidRDefault="00B67D7C" w:rsidP="00D45A46">
      <w:pPr>
        <w:jc w:val="both"/>
        <w:rPr>
          <w:bCs/>
          <w:color w:val="002060"/>
          <w:sz w:val="16"/>
          <w:szCs w:val="16"/>
        </w:rPr>
      </w:pPr>
      <w:r w:rsidRPr="00DE096C">
        <w:rPr>
          <w:bCs/>
          <w:color w:val="002060"/>
          <w:sz w:val="16"/>
          <w:szCs w:val="16"/>
        </w:rPr>
        <w:t xml:space="preserve">Интересно сопоставить количественно работу организации Ванкова с производством снарядов на заводах, выполнявших заказы ГАУ. Сравнение дано в нижеследующей таблице, где цифры указывают, какой процент составляет месячная продукция организации Ванкова от общерусского производства снарядов: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560"/>
        <w:gridCol w:w="936"/>
      </w:tblGrid>
      <w:tr w:rsidR="00B67D7C" w:rsidRPr="00DE096C" w14:paraId="2527B370" w14:textId="77777777" w:rsidTr="00C2024A">
        <w:tc>
          <w:tcPr>
            <w:tcW w:w="1560" w:type="dxa"/>
          </w:tcPr>
          <w:p w14:paraId="56C0BC06" w14:textId="77777777" w:rsidR="00B67D7C" w:rsidRPr="00DE096C" w:rsidRDefault="00B67D7C" w:rsidP="00D45A46">
            <w:pPr>
              <w:jc w:val="both"/>
              <w:rPr>
                <w:bCs/>
                <w:color w:val="002060"/>
                <w:sz w:val="16"/>
                <w:szCs w:val="16"/>
              </w:rPr>
            </w:pPr>
            <w:r w:rsidRPr="00DE096C">
              <w:rPr>
                <w:bCs/>
                <w:color w:val="002060"/>
                <w:sz w:val="16"/>
                <w:szCs w:val="16"/>
              </w:rPr>
              <w:t>1915 г., октябрь</w:t>
            </w:r>
          </w:p>
        </w:tc>
        <w:tc>
          <w:tcPr>
            <w:tcW w:w="936" w:type="dxa"/>
          </w:tcPr>
          <w:p w14:paraId="3AFA0893" w14:textId="77777777" w:rsidR="00B67D7C" w:rsidRPr="00DE096C" w:rsidRDefault="00B67D7C" w:rsidP="00D45A46">
            <w:pPr>
              <w:jc w:val="both"/>
              <w:rPr>
                <w:bCs/>
                <w:color w:val="002060"/>
                <w:sz w:val="16"/>
                <w:szCs w:val="16"/>
              </w:rPr>
            </w:pPr>
            <w:r w:rsidRPr="00DE096C">
              <w:rPr>
                <w:bCs/>
                <w:color w:val="002060"/>
                <w:sz w:val="16"/>
                <w:szCs w:val="16"/>
              </w:rPr>
              <w:t xml:space="preserve">6,4 </w:t>
            </w:r>
          </w:p>
        </w:tc>
      </w:tr>
      <w:tr w:rsidR="00B67D7C" w:rsidRPr="00DE096C" w14:paraId="2B876EF5" w14:textId="77777777" w:rsidTr="00C2024A">
        <w:tc>
          <w:tcPr>
            <w:tcW w:w="1560" w:type="dxa"/>
          </w:tcPr>
          <w:p w14:paraId="7F1BA6D3" w14:textId="77777777" w:rsidR="00B67D7C" w:rsidRPr="00DE096C" w:rsidRDefault="00B67D7C" w:rsidP="00D45A46">
            <w:pPr>
              <w:jc w:val="both"/>
              <w:rPr>
                <w:bCs/>
                <w:color w:val="002060"/>
                <w:sz w:val="16"/>
                <w:szCs w:val="16"/>
              </w:rPr>
            </w:pPr>
            <w:r w:rsidRPr="00DE096C">
              <w:rPr>
                <w:bCs/>
                <w:color w:val="002060"/>
                <w:sz w:val="16"/>
                <w:szCs w:val="16"/>
              </w:rPr>
              <w:t>ноябрь</w:t>
            </w:r>
          </w:p>
        </w:tc>
        <w:tc>
          <w:tcPr>
            <w:tcW w:w="936" w:type="dxa"/>
          </w:tcPr>
          <w:p w14:paraId="62DBF65E" w14:textId="77777777" w:rsidR="00B67D7C" w:rsidRPr="00DE096C" w:rsidRDefault="00B67D7C" w:rsidP="00D45A46">
            <w:pPr>
              <w:jc w:val="both"/>
              <w:rPr>
                <w:bCs/>
                <w:color w:val="002060"/>
                <w:sz w:val="16"/>
                <w:szCs w:val="16"/>
              </w:rPr>
            </w:pPr>
            <w:r w:rsidRPr="00DE096C">
              <w:rPr>
                <w:bCs/>
                <w:color w:val="002060"/>
                <w:sz w:val="16"/>
                <w:szCs w:val="16"/>
              </w:rPr>
              <w:t xml:space="preserve">12,3 </w:t>
            </w:r>
          </w:p>
        </w:tc>
      </w:tr>
      <w:tr w:rsidR="00B67D7C" w:rsidRPr="00DE096C" w14:paraId="337042C3" w14:textId="77777777" w:rsidTr="00C2024A">
        <w:tc>
          <w:tcPr>
            <w:tcW w:w="1560" w:type="dxa"/>
          </w:tcPr>
          <w:p w14:paraId="05B87BAF" w14:textId="77777777" w:rsidR="00B67D7C" w:rsidRPr="00DE096C" w:rsidRDefault="00B67D7C" w:rsidP="00D45A46">
            <w:pPr>
              <w:jc w:val="both"/>
              <w:rPr>
                <w:bCs/>
                <w:color w:val="002060"/>
                <w:sz w:val="16"/>
                <w:szCs w:val="16"/>
              </w:rPr>
            </w:pPr>
            <w:r w:rsidRPr="00DE096C">
              <w:rPr>
                <w:bCs/>
                <w:color w:val="002060"/>
                <w:sz w:val="16"/>
                <w:szCs w:val="16"/>
              </w:rPr>
              <w:t>декабрь</w:t>
            </w:r>
          </w:p>
        </w:tc>
        <w:tc>
          <w:tcPr>
            <w:tcW w:w="936" w:type="dxa"/>
          </w:tcPr>
          <w:p w14:paraId="116D916A" w14:textId="77777777" w:rsidR="00B67D7C" w:rsidRPr="00DE096C" w:rsidRDefault="00B67D7C" w:rsidP="00D45A46">
            <w:pPr>
              <w:jc w:val="both"/>
              <w:rPr>
                <w:bCs/>
                <w:color w:val="002060"/>
                <w:sz w:val="16"/>
                <w:szCs w:val="16"/>
              </w:rPr>
            </w:pPr>
            <w:r w:rsidRPr="00DE096C">
              <w:rPr>
                <w:bCs/>
                <w:color w:val="002060"/>
                <w:sz w:val="16"/>
                <w:szCs w:val="16"/>
              </w:rPr>
              <w:t xml:space="preserve">10,2 </w:t>
            </w:r>
          </w:p>
        </w:tc>
      </w:tr>
      <w:tr w:rsidR="00B67D7C" w:rsidRPr="00DE096C" w14:paraId="07827A11" w14:textId="77777777" w:rsidTr="00C2024A">
        <w:tc>
          <w:tcPr>
            <w:tcW w:w="1560" w:type="dxa"/>
          </w:tcPr>
          <w:p w14:paraId="74BDEF9B" w14:textId="77777777" w:rsidR="00B67D7C" w:rsidRPr="00DE096C" w:rsidRDefault="00B67D7C" w:rsidP="00D45A46">
            <w:pPr>
              <w:jc w:val="both"/>
              <w:rPr>
                <w:bCs/>
                <w:color w:val="002060"/>
                <w:sz w:val="16"/>
                <w:szCs w:val="16"/>
              </w:rPr>
            </w:pPr>
            <w:r w:rsidRPr="00DE096C">
              <w:rPr>
                <w:bCs/>
                <w:color w:val="002060"/>
                <w:sz w:val="16"/>
                <w:szCs w:val="16"/>
              </w:rPr>
              <w:t>1916 г., январь</w:t>
            </w:r>
          </w:p>
        </w:tc>
        <w:tc>
          <w:tcPr>
            <w:tcW w:w="936" w:type="dxa"/>
          </w:tcPr>
          <w:p w14:paraId="359DF310" w14:textId="77777777" w:rsidR="00B67D7C" w:rsidRPr="00DE096C" w:rsidRDefault="00B67D7C" w:rsidP="00D45A46">
            <w:pPr>
              <w:jc w:val="both"/>
              <w:rPr>
                <w:bCs/>
                <w:color w:val="002060"/>
                <w:sz w:val="16"/>
                <w:szCs w:val="16"/>
              </w:rPr>
            </w:pPr>
            <w:r w:rsidRPr="00DE096C">
              <w:rPr>
                <w:bCs/>
                <w:color w:val="002060"/>
                <w:sz w:val="16"/>
                <w:szCs w:val="16"/>
              </w:rPr>
              <w:t>11,6</w:t>
            </w:r>
          </w:p>
        </w:tc>
      </w:tr>
      <w:tr w:rsidR="00B67D7C" w:rsidRPr="00DE096C" w14:paraId="1A7CB2CD" w14:textId="77777777" w:rsidTr="00C2024A">
        <w:tc>
          <w:tcPr>
            <w:tcW w:w="1560" w:type="dxa"/>
          </w:tcPr>
          <w:p w14:paraId="33919C11" w14:textId="77777777" w:rsidR="00B67D7C" w:rsidRPr="00DE096C" w:rsidRDefault="00B67D7C" w:rsidP="00D45A46">
            <w:pPr>
              <w:jc w:val="both"/>
              <w:rPr>
                <w:bCs/>
                <w:color w:val="002060"/>
                <w:sz w:val="16"/>
                <w:szCs w:val="16"/>
              </w:rPr>
            </w:pPr>
            <w:r w:rsidRPr="00DE096C">
              <w:rPr>
                <w:bCs/>
                <w:color w:val="002060"/>
                <w:sz w:val="16"/>
                <w:szCs w:val="16"/>
              </w:rPr>
              <w:t>февраль</w:t>
            </w:r>
          </w:p>
        </w:tc>
        <w:tc>
          <w:tcPr>
            <w:tcW w:w="936" w:type="dxa"/>
          </w:tcPr>
          <w:p w14:paraId="741D135C" w14:textId="77777777" w:rsidR="00B67D7C" w:rsidRPr="00DE096C" w:rsidRDefault="00B67D7C" w:rsidP="00D45A46">
            <w:pPr>
              <w:jc w:val="both"/>
              <w:rPr>
                <w:bCs/>
                <w:color w:val="002060"/>
                <w:sz w:val="16"/>
                <w:szCs w:val="16"/>
              </w:rPr>
            </w:pPr>
            <w:r w:rsidRPr="00DE096C">
              <w:rPr>
                <w:bCs/>
                <w:color w:val="002060"/>
                <w:sz w:val="16"/>
                <w:szCs w:val="16"/>
              </w:rPr>
              <w:t xml:space="preserve">18,0 </w:t>
            </w:r>
          </w:p>
        </w:tc>
      </w:tr>
      <w:tr w:rsidR="00B67D7C" w:rsidRPr="00DE096C" w14:paraId="381EC49B" w14:textId="77777777" w:rsidTr="00C2024A">
        <w:tc>
          <w:tcPr>
            <w:tcW w:w="1560" w:type="dxa"/>
          </w:tcPr>
          <w:p w14:paraId="3CE4180C" w14:textId="77777777" w:rsidR="00B67D7C" w:rsidRPr="00DE096C" w:rsidRDefault="00B67D7C" w:rsidP="00D45A46">
            <w:pPr>
              <w:jc w:val="both"/>
              <w:rPr>
                <w:bCs/>
                <w:color w:val="002060"/>
                <w:sz w:val="16"/>
                <w:szCs w:val="16"/>
              </w:rPr>
            </w:pPr>
            <w:r w:rsidRPr="00DE096C">
              <w:rPr>
                <w:bCs/>
                <w:color w:val="002060"/>
                <w:sz w:val="16"/>
                <w:szCs w:val="16"/>
              </w:rPr>
              <w:t>март</w:t>
            </w:r>
          </w:p>
        </w:tc>
        <w:tc>
          <w:tcPr>
            <w:tcW w:w="936" w:type="dxa"/>
          </w:tcPr>
          <w:p w14:paraId="157B5955" w14:textId="77777777" w:rsidR="00B67D7C" w:rsidRPr="00DE096C" w:rsidRDefault="00B67D7C" w:rsidP="00D45A46">
            <w:pPr>
              <w:jc w:val="both"/>
              <w:rPr>
                <w:bCs/>
                <w:color w:val="002060"/>
                <w:sz w:val="16"/>
                <w:szCs w:val="16"/>
              </w:rPr>
            </w:pPr>
            <w:r w:rsidRPr="00DE096C">
              <w:rPr>
                <w:bCs/>
                <w:color w:val="002060"/>
                <w:sz w:val="16"/>
                <w:szCs w:val="16"/>
              </w:rPr>
              <w:t xml:space="preserve">28,2 </w:t>
            </w:r>
          </w:p>
        </w:tc>
      </w:tr>
    </w:tbl>
    <w:p w14:paraId="0F694707" w14:textId="77777777" w:rsidR="00B67D7C" w:rsidRPr="00DE096C" w:rsidRDefault="00B67D7C" w:rsidP="00D45A46">
      <w:pPr>
        <w:jc w:val="both"/>
        <w:rPr>
          <w:bCs/>
          <w:color w:val="002060"/>
          <w:sz w:val="16"/>
          <w:szCs w:val="16"/>
        </w:rPr>
      </w:pPr>
      <w:r w:rsidRPr="00DE096C">
        <w:rPr>
          <w:bCs/>
          <w:color w:val="002060"/>
          <w:sz w:val="16"/>
          <w:szCs w:val="16"/>
        </w:rPr>
        <w:t xml:space="preserve">В истории "Организации уполномоченного ГАУ" есть много поучительного. Первое, на чем нужно остановить внимание в работе организации — это элемент времени, сроки. Дело начато было в феврале 1915 года. В апреле даны первые заказы. Производство корпусов началось в октябре 1915 г. (9-й месяц) — выпуск первых валовых партий. До максимума поднялось в декабре 1916 г. (20-й месяц). Снаряжение началось в январе 1916 г. (11-й месяц). </w:t>
      </w:r>
    </w:p>
    <w:p w14:paraId="54D68D6A" w14:textId="77777777" w:rsidR="00B67D7C" w:rsidRPr="00DE096C" w:rsidRDefault="00B67D7C" w:rsidP="00D45A46">
      <w:pPr>
        <w:jc w:val="both"/>
        <w:rPr>
          <w:bCs/>
          <w:color w:val="002060"/>
          <w:sz w:val="16"/>
          <w:szCs w:val="16"/>
        </w:rPr>
      </w:pPr>
      <w:r w:rsidRPr="00DE096C">
        <w:rPr>
          <w:bCs/>
          <w:color w:val="002060"/>
          <w:sz w:val="16"/>
          <w:szCs w:val="16"/>
        </w:rPr>
        <w:t xml:space="preserve">Эти данные относятся не к одному какому-либо заводу, а к сотням их. Следовательно, сроки здесь не носят случайного характера — в них есть определенная закономерность. </w:t>
      </w:r>
    </w:p>
    <w:p w14:paraId="45FC0C5A" w14:textId="77777777" w:rsidR="00B67D7C" w:rsidRPr="00DE096C" w:rsidRDefault="00B67D7C" w:rsidP="00D45A46">
      <w:pPr>
        <w:jc w:val="both"/>
        <w:rPr>
          <w:bCs/>
          <w:color w:val="002060"/>
          <w:sz w:val="16"/>
          <w:szCs w:val="16"/>
        </w:rPr>
      </w:pPr>
      <w:r w:rsidRPr="00DE096C">
        <w:rPr>
          <w:bCs/>
          <w:color w:val="002060"/>
          <w:sz w:val="16"/>
          <w:szCs w:val="16"/>
        </w:rPr>
        <w:t xml:space="preserve">Производство 3-дм снарядов французского образца среди военных изделий относится к числу наименее сложных и точных. Степень точности и сложности работы здесь несравненно ниже, чем в винтовках, трубках и т.д. Относительное число точных обмеров весьма мало, значительное большинство их работается с большими допусками. </w:t>
      </w:r>
    </w:p>
    <w:p w14:paraId="7172A14C" w14:textId="77777777" w:rsidR="00B67D7C" w:rsidRPr="00DE096C" w:rsidRDefault="00B67D7C" w:rsidP="00D45A46">
      <w:pPr>
        <w:jc w:val="both"/>
        <w:rPr>
          <w:bCs/>
          <w:color w:val="002060"/>
          <w:sz w:val="16"/>
          <w:szCs w:val="16"/>
        </w:rPr>
      </w:pPr>
      <w:r w:rsidRPr="00DE096C">
        <w:rPr>
          <w:bCs/>
          <w:color w:val="002060"/>
          <w:sz w:val="16"/>
          <w:szCs w:val="16"/>
        </w:rPr>
        <w:t xml:space="preserve">Затем, организация уполномоченного ГАУ пользовалась обширными хозяйственными правами и все дело поставлено было на правильных коммерческих началах, с изъятием волокиты, казенщины и пр. </w:t>
      </w:r>
    </w:p>
    <w:p w14:paraId="55A2E12F" w14:textId="77777777" w:rsidR="00B67D7C" w:rsidRPr="00DE096C" w:rsidRDefault="00B67D7C" w:rsidP="00D45A46">
      <w:pPr>
        <w:jc w:val="both"/>
        <w:rPr>
          <w:bCs/>
          <w:color w:val="002060"/>
          <w:sz w:val="16"/>
          <w:szCs w:val="16"/>
        </w:rPr>
      </w:pPr>
      <w:r w:rsidRPr="00DE096C">
        <w:rPr>
          <w:bCs/>
          <w:color w:val="002060"/>
          <w:sz w:val="16"/>
          <w:szCs w:val="16"/>
        </w:rPr>
        <w:lastRenderedPageBreak/>
        <w:t xml:space="preserve">И тем не менее постановка массового, сравнительно несложного производства в импровизированном порядке, без предварительной подготовки потребовала 9 месяцев, а разворачивание его до максимума — 18 месяцев. </w:t>
      </w:r>
    </w:p>
    <w:p w14:paraId="64A5BC96" w14:textId="77777777" w:rsidR="00B67D7C" w:rsidRPr="00DE096C" w:rsidRDefault="00B67D7C" w:rsidP="00D45A46">
      <w:pPr>
        <w:jc w:val="both"/>
        <w:rPr>
          <w:bCs/>
          <w:color w:val="002060"/>
          <w:sz w:val="16"/>
          <w:szCs w:val="16"/>
        </w:rPr>
      </w:pPr>
      <w:r w:rsidRPr="00DE096C">
        <w:rPr>
          <w:bCs/>
          <w:color w:val="002060"/>
          <w:sz w:val="16"/>
          <w:szCs w:val="16"/>
        </w:rPr>
        <w:t xml:space="preserve">Эти цифры, относящиеся к довольно далекому прошлому, тем не менее полностью сохраняют свою практическую ценность и сейчас, в совершенно иной обстановке. Это подтверждает отчетливо опыт постановки на Златоустовском заводе массового производства снарядов нового чертежа, имевший место в 1924—1925 годах. Здесь работа в отношении сроков результировалась цифрами, совершенно сходными с теми, которые приведены выше. </w:t>
      </w:r>
    </w:p>
    <w:p w14:paraId="4540B1A4" w14:textId="77777777" w:rsidR="00B67D7C" w:rsidRPr="00DE096C" w:rsidRDefault="00B67D7C" w:rsidP="00D45A46">
      <w:pPr>
        <w:jc w:val="both"/>
        <w:rPr>
          <w:bCs/>
          <w:color w:val="002060"/>
          <w:sz w:val="16"/>
          <w:szCs w:val="16"/>
        </w:rPr>
      </w:pPr>
      <w:r w:rsidRPr="00DE096C">
        <w:rPr>
          <w:bCs/>
          <w:color w:val="002060"/>
          <w:sz w:val="16"/>
          <w:szCs w:val="16"/>
        </w:rPr>
        <w:t xml:space="preserve">Приведенные выше сроки, как бы они хорошо ни были обоснованы с точки зрения производственной, с точки зрения интересов военного ведомства, само собой разумеется, должны быть признаны неприемлемыми. Единственное средство сократить их — это надлежащая заблаговременная мобилизационная подготовка заводов. При наличии ее получается совершенно другой производственный эффект. </w:t>
      </w:r>
    </w:p>
    <w:p w14:paraId="5DEBB0AD" w14:textId="77777777" w:rsidR="00B67D7C" w:rsidRPr="00DE096C" w:rsidRDefault="00B67D7C" w:rsidP="00D45A46">
      <w:pPr>
        <w:jc w:val="both"/>
        <w:rPr>
          <w:bCs/>
          <w:color w:val="002060"/>
          <w:sz w:val="16"/>
          <w:szCs w:val="16"/>
        </w:rPr>
      </w:pPr>
      <w:r w:rsidRPr="00DE096C">
        <w:rPr>
          <w:bCs/>
          <w:color w:val="002060"/>
          <w:sz w:val="16"/>
          <w:szCs w:val="16"/>
        </w:rPr>
        <w:t>Все указанные обстоятельства должны быть тщательно учтены военным ведомством при составлении его мобилизационных планов, с тем чтобы эти планы носили реальный характер. Это особенно важно по отношению к снарядам, так как производство их лежит в большинстве на гражданских заводах, в мирное время стоящих на консервации (так в тексте. — Ред.) (11329).</w:t>
      </w:r>
    </w:p>
    <w:p w14:paraId="35E5BD5B" w14:textId="77777777" w:rsidR="00B67D7C" w:rsidRPr="00DE096C" w:rsidRDefault="00B67D7C" w:rsidP="00D45A46">
      <w:pPr>
        <w:jc w:val="both"/>
        <w:rPr>
          <w:bCs/>
          <w:i/>
          <w:color w:val="002060"/>
          <w:sz w:val="16"/>
          <w:szCs w:val="16"/>
        </w:rPr>
      </w:pPr>
    </w:p>
    <w:p w14:paraId="499E241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ноябре 1914 г. ГАУ создало и направило в Донбасс комиссию для изучения возможности организации у нас в стране собственного про</w:t>
      </w:r>
      <w:r w:rsidRPr="00DE096C">
        <w:rPr>
          <w:bCs/>
          <w:color w:val="002060"/>
          <w:sz w:val="16"/>
          <w:szCs w:val="16"/>
        </w:rPr>
        <w:softHyphen/>
        <w:t>изводства бензола и толуола для изготовления взрывчатых веществ. Комиссию возглавил известный русский химик, профессор Михай</w:t>
      </w:r>
      <w:r w:rsidRPr="00DE096C">
        <w:rPr>
          <w:bCs/>
          <w:color w:val="002060"/>
          <w:sz w:val="16"/>
          <w:szCs w:val="16"/>
        </w:rPr>
        <w:softHyphen/>
        <w:t>ловской артиллерийской академии, академик В. Н. Ипатьев. В нее вошли инженеры-технологи Л. Ф. Фокин и В. Ю. Шуман, а также представитель Военного ведомства военный инженер-технолог О. Г. Филиппов.</w:t>
      </w:r>
    </w:p>
    <w:p w14:paraId="52DBBD5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Детально изучив все коксобензольные предприятия Донецкого бассейна с улавливанием и без улавливания побочных продуктов коксования, комиссия В. Н. Ипатьева дала заключение о возможно</w:t>
      </w:r>
      <w:r w:rsidRPr="00DE096C">
        <w:rPr>
          <w:bCs/>
          <w:color w:val="002060"/>
          <w:sz w:val="16"/>
          <w:szCs w:val="16"/>
        </w:rPr>
        <w:softHyphen/>
        <w:t>сти в короткий срок организовать производство бензола и толуола.</w:t>
      </w:r>
    </w:p>
    <w:p w14:paraId="52FB2F1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6 февраля 1915 г. военное министерство приняло решение о со</w:t>
      </w:r>
      <w:r w:rsidRPr="00DE096C">
        <w:rPr>
          <w:bCs/>
          <w:color w:val="002060"/>
          <w:sz w:val="16"/>
          <w:szCs w:val="16"/>
        </w:rPr>
        <w:softHyphen/>
        <w:t>здании при ГАУ постоянной Комиссии по заготовке взрывчатых веществ, в обязанность которой входила также и заготовка «всех сырых материалов, необходимых для приготовления взрывчатых ве</w:t>
      </w:r>
      <w:r w:rsidRPr="00DE096C">
        <w:rPr>
          <w:bCs/>
          <w:color w:val="002060"/>
          <w:sz w:val="16"/>
          <w:szCs w:val="16"/>
        </w:rPr>
        <w:softHyphen/>
        <w:t>ществ». В состав комиссии входили: председатель — академик В. Н. Ипатьев, члены: Л. Ф. Фокин, А. А. Солонина, В. Ю. Шуман, О. Г. Филиппов, С. П. Вуколов (начальник НТЛ Морского ведомст</w:t>
      </w:r>
      <w:r w:rsidRPr="00DE096C">
        <w:rPr>
          <w:bCs/>
          <w:color w:val="002060"/>
          <w:sz w:val="16"/>
          <w:szCs w:val="16"/>
        </w:rPr>
        <w:softHyphen/>
        <w:t>ва) , И. И. Андреев и представители других ведомств, заинтересован</w:t>
      </w:r>
      <w:r w:rsidRPr="00DE096C">
        <w:rPr>
          <w:bCs/>
          <w:color w:val="002060"/>
          <w:sz w:val="16"/>
          <w:szCs w:val="16"/>
        </w:rPr>
        <w:softHyphen/>
        <w:t>ных в получении взрывчатых веществ.</w:t>
      </w:r>
    </w:p>
    <w:p w14:paraId="094A243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Деятельность комиссии разворачивалась по следующим основ</w:t>
      </w:r>
      <w:r w:rsidRPr="00DE096C">
        <w:rPr>
          <w:bCs/>
          <w:color w:val="002060"/>
          <w:sz w:val="16"/>
          <w:szCs w:val="16"/>
        </w:rPr>
        <w:softHyphen/>
        <w:t>ным направлениям: создание производства бензола и толуола; рас</w:t>
      </w:r>
      <w:r w:rsidRPr="00DE096C">
        <w:rPr>
          <w:bCs/>
          <w:color w:val="002060"/>
          <w:sz w:val="16"/>
          <w:szCs w:val="16"/>
        </w:rPr>
        <w:softHyphen/>
        <w:t>ширение производств серной и азотной кислот, а также взрывчатых веществ. 56</w:t>
      </w:r>
    </w:p>
    <w:p w14:paraId="7C5C989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апреле 1916 г. Комиссия по заготовке взрывчатых веществ бы</w:t>
      </w:r>
      <w:r w:rsidRPr="00DE096C">
        <w:rPr>
          <w:bCs/>
          <w:color w:val="002060"/>
          <w:sz w:val="16"/>
          <w:szCs w:val="16"/>
        </w:rPr>
        <w:softHyphen/>
        <w:t>ла преобразована в Химический комитет ГАУ. Его возглавил акаде</w:t>
      </w:r>
      <w:r w:rsidRPr="00DE096C">
        <w:rPr>
          <w:bCs/>
          <w:color w:val="002060"/>
          <w:sz w:val="16"/>
          <w:szCs w:val="16"/>
        </w:rPr>
        <w:softHyphen/>
        <w:t>мик В. Н. Ипатьев.</w:t>
      </w:r>
    </w:p>
    <w:p w14:paraId="0757AD2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Первое, с чего начал В. Н. Ипатьев, был учет химической про</w:t>
      </w:r>
      <w:r w:rsidRPr="00DE096C">
        <w:rPr>
          <w:bCs/>
          <w:color w:val="002060"/>
          <w:sz w:val="16"/>
          <w:szCs w:val="16"/>
        </w:rPr>
        <w:softHyphen/>
        <w:t>мышленности России. Затем была начата научная и организацион</w:t>
      </w:r>
      <w:r w:rsidRPr="00DE096C">
        <w:rPr>
          <w:bCs/>
          <w:color w:val="002060"/>
          <w:sz w:val="16"/>
          <w:szCs w:val="16"/>
        </w:rPr>
        <w:softHyphen/>
        <w:t>ная работа, которая вышла за рамки проблемы собственно взрывча</w:t>
      </w:r>
      <w:r w:rsidRPr="00DE096C">
        <w:rPr>
          <w:bCs/>
          <w:color w:val="002060"/>
          <w:sz w:val="16"/>
          <w:szCs w:val="16"/>
        </w:rPr>
        <w:softHyphen/>
        <w:t>тых веществ. Химический комитет ГАУ явился по существу органи</w:t>
      </w:r>
      <w:r w:rsidRPr="00DE096C">
        <w:rPr>
          <w:bCs/>
          <w:color w:val="002060"/>
          <w:sz w:val="16"/>
          <w:szCs w:val="16"/>
        </w:rPr>
        <w:softHyphen/>
        <w:t>затором и строителем зарождающейся химической промышленно</w:t>
      </w:r>
      <w:r w:rsidRPr="00DE096C">
        <w:rPr>
          <w:bCs/>
          <w:color w:val="002060"/>
          <w:sz w:val="16"/>
          <w:szCs w:val="16"/>
        </w:rPr>
        <w:softHyphen/>
        <w:t>сти России.</w:t>
      </w:r>
    </w:p>
    <w:p w14:paraId="499B982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Создание производств бензола и толуола. Комиссия В. Н. Ипать</w:t>
      </w:r>
      <w:r w:rsidRPr="00DE096C">
        <w:rPr>
          <w:bCs/>
          <w:color w:val="002060"/>
          <w:sz w:val="16"/>
          <w:szCs w:val="16"/>
        </w:rPr>
        <w:softHyphen/>
        <w:t>ева занялась в первую очередь строительством бензольных заводов. По первоначальному плану в Донбассе и Кузбассе намечали создать 26 бензольных заводов с 2400 печами. Большинство заводов было пущено в эксплуатацию в 1915 и 1916 гг. В короткий срок была со</w:t>
      </w:r>
      <w:r w:rsidRPr="00DE096C">
        <w:rPr>
          <w:bCs/>
          <w:color w:val="002060"/>
          <w:sz w:val="16"/>
          <w:szCs w:val="16"/>
        </w:rPr>
        <w:softHyphen/>
        <w:t>здана новая отрасль химической промышленности.</w:t>
      </w:r>
    </w:p>
    <w:p w14:paraId="7128CCD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результате осуществленных комиссией мероприятий произ</w:t>
      </w:r>
      <w:r w:rsidRPr="00DE096C">
        <w:rPr>
          <w:bCs/>
          <w:color w:val="002060"/>
          <w:sz w:val="16"/>
          <w:szCs w:val="16"/>
        </w:rPr>
        <w:softHyphen/>
        <w:t>водство бензола увеличилось в 3,5 раза (до 58 тыс. пудов в декабре 1915 г.). Одиннадцать наиболее крупных бензольных заводов в 1915 г. выпустили 364,6 тыс. пудов бензола [20, с. 25; 42, с. 442].</w:t>
      </w:r>
    </w:p>
    <w:p w14:paraId="4547F2B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связи с большим дефицитом толуола Комиссия выявила воз</w:t>
      </w:r>
      <w:r w:rsidRPr="00DE096C">
        <w:rPr>
          <w:bCs/>
          <w:color w:val="002060"/>
          <w:sz w:val="16"/>
          <w:szCs w:val="16"/>
        </w:rPr>
        <w:softHyphen/>
        <w:t>можность получения его из бензинов Майкопского и Грозненского месторождений. Для этой цели в Грозном и Екатеринодаре построи</w:t>
      </w:r>
      <w:r w:rsidRPr="00DE096C">
        <w:rPr>
          <w:bCs/>
          <w:color w:val="002060"/>
          <w:sz w:val="16"/>
          <w:szCs w:val="16"/>
        </w:rPr>
        <w:softHyphen/>
        <w:t>ли мастерские, где по технологическому процессу, разработанному одним из членов комиссии И. И. Андреевым, нитровали фракции бензина, богатые толуолом, и извлекали образующийся при этом мононитротолуол 120, с. 271.</w:t>
      </w:r>
    </w:p>
    <w:p w14:paraId="7436DB0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К началу 1917 г. в Грозном по предложению Н. И. Аккермана была построена и пущена в эксплуатацию большая ректификацион</w:t>
      </w:r>
      <w:r w:rsidRPr="00DE096C">
        <w:rPr>
          <w:bCs/>
          <w:color w:val="002060"/>
          <w:sz w:val="16"/>
          <w:szCs w:val="16"/>
        </w:rPr>
        <w:softHyphen/>
        <w:t>ная установка для получения толуола из лигроина производитель</w:t>
      </w:r>
      <w:r w:rsidRPr="00DE096C">
        <w:rPr>
          <w:bCs/>
          <w:color w:val="002060"/>
          <w:sz w:val="16"/>
          <w:szCs w:val="16"/>
        </w:rPr>
        <w:softHyphen/>
        <w:t>ностью около 4000 пудов толуола в месяц [20, с. 28].</w:t>
      </w:r>
    </w:p>
    <w:p w14:paraId="777E5EA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Комиссия В. Н. Ипатьева организовала также производство бен</w:t>
      </w:r>
      <w:r w:rsidRPr="00DE096C">
        <w:rPr>
          <w:bCs/>
          <w:color w:val="002060"/>
          <w:sz w:val="16"/>
          <w:szCs w:val="16"/>
        </w:rPr>
        <w:softHyphen/>
        <w:t>зола и толуола из нефти, подвергая ее пиролитическому разложе</w:t>
      </w:r>
      <w:r w:rsidRPr="00DE096C">
        <w:rPr>
          <w:bCs/>
          <w:color w:val="002060"/>
          <w:sz w:val="16"/>
          <w:szCs w:val="16"/>
        </w:rPr>
        <w:softHyphen/>
        <w:t>нию. Первые опыты по пиролизу нефти были проведены на газовом заводе в Казани, где затем выпускалось около 1000 пудов бензола и толуола в месяц. Результаты этих опытов послужили базой для про</w:t>
      </w:r>
      <w:r w:rsidRPr="00DE096C">
        <w:rPr>
          <w:bCs/>
          <w:color w:val="002060"/>
          <w:sz w:val="16"/>
          <w:szCs w:val="16"/>
        </w:rPr>
        <w:softHyphen/>
        <w:t>ектирования и строительства крупных предприятий по пиролизу нефти в Баку. К 1917 г. общее количество добытых из нефти таким путем ароматических углеводородов достигло 150 тыс. пудов [20, с. 31].</w:t>
      </w:r>
    </w:p>
    <w:p w14:paraId="46014FA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Производство бензола и толуола составило в 1916 г. 569 тыс. пу</w:t>
      </w:r>
      <w:r w:rsidRPr="00DE096C">
        <w:rPr>
          <w:bCs/>
          <w:color w:val="002060"/>
          <w:sz w:val="16"/>
          <w:szCs w:val="16"/>
        </w:rPr>
        <w:softHyphen/>
        <w:t>дов (414,4 тыс. пудов бензола и 154,6 тыс. пудов толуола), а с января по июнь 1917 г. — 308,5 тыс. пудов (168,7 тыс. пудов бензола и 139,8 тыс. пудов толуола).</w:t>
      </w:r>
    </w:p>
    <w:p w14:paraId="3B5AB68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Таким образом, проблема обеспечения производственных мощ</w:t>
      </w:r>
      <w:r w:rsidRPr="00DE096C">
        <w:rPr>
          <w:bCs/>
          <w:color w:val="002060"/>
          <w:sz w:val="16"/>
          <w:szCs w:val="16"/>
        </w:rPr>
        <w:softHyphen/>
        <w:t>ностей по выпуску тротила основным сырьем — толуолом — была успешно решена (5484).</w:t>
      </w:r>
    </w:p>
    <w:p w14:paraId="22193D99" w14:textId="77777777" w:rsidR="00B67D7C" w:rsidRPr="00DE096C" w:rsidRDefault="00B67D7C" w:rsidP="00D45A46">
      <w:pPr>
        <w:shd w:val="clear" w:color="auto" w:fill="FFFFFF"/>
        <w:jc w:val="both"/>
        <w:rPr>
          <w:bCs/>
          <w:color w:val="002060"/>
          <w:sz w:val="16"/>
          <w:szCs w:val="16"/>
        </w:rPr>
      </w:pPr>
    </w:p>
    <w:p w14:paraId="3D5CE748" w14:textId="6163AA2B" w:rsidR="00B67D7C" w:rsidRPr="00DE096C" w:rsidRDefault="007320C8" w:rsidP="00D45A46">
      <w:pPr>
        <w:shd w:val="clear" w:color="auto" w:fill="FFFFFF"/>
        <w:jc w:val="both"/>
        <w:rPr>
          <w:bCs/>
          <w:color w:val="002060"/>
          <w:sz w:val="16"/>
          <w:szCs w:val="16"/>
        </w:rPr>
      </w:pPr>
      <w:r w:rsidRPr="00DE096C">
        <w:rPr>
          <w:bCs/>
          <w:color w:val="002060"/>
          <w:sz w:val="16"/>
          <w:szCs w:val="16"/>
        </w:rPr>
        <w:t>Только в</w:t>
      </w:r>
      <w:r w:rsidR="00B67D7C" w:rsidRPr="00DE096C">
        <w:rPr>
          <w:bCs/>
          <w:color w:val="002060"/>
          <w:sz w:val="16"/>
          <w:szCs w:val="16"/>
        </w:rPr>
        <w:t xml:space="preserve"> ноябре 1914 г.</w:t>
      </w:r>
      <w:r w:rsidRPr="00DE096C">
        <w:rPr>
          <w:bCs/>
          <w:color w:val="002060"/>
          <w:sz w:val="16"/>
          <w:szCs w:val="16"/>
        </w:rPr>
        <w:t xml:space="preserve"> Путиловский завод, получивший крупный заказ в августе 1914 г., смог дать первую партию корпусов снарядов (26 711 шт.)</w:t>
      </w:r>
      <w:r w:rsidR="00B67D7C" w:rsidRPr="00DE096C">
        <w:rPr>
          <w:bCs/>
          <w:color w:val="002060"/>
          <w:sz w:val="16"/>
          <w:szCs w:val="16"/>
        </w:rPr>
        <w:t>, Петроградский механический завод изготовил в де</w:t>
      </w:r>
      <w:r w:rsidR="00B67D7C" w:rsidRPr="00DE096C">
        <w:rPr>
          <w:bCs/>
          <w:color w:val="002060"/>
          <w:sz w:val="16"/>
          <w:szCs w:val="16"/>
        </w:rPr>
        <w:softHyphen/>
        <w:t>кабре 1914 г. всего 1009 корпусов. Балтийский, Николаевский и не</w:t>
      </w:r>
      <w:r w:rsidR="00B67D7C" w:rsidRPr="00DE096C">
        <w:rPr>
          <w:bCs/>
          <w:color w:val="002060"/>
          <w:sz w:val="16"/>
          <w:szCs w:val="16"/>
        </w:rPr>
        <w:softHyphen/>
        <w:t>которые другие заводы выдали первые партии снарядов лишь в янва</w:t>
      </w:r>
      <w:r w:rsidR="00B67D7C" w:rsidRPr="00DE096C">
        <w:rPr>
          <w:bCs/>
          <w:color w:val="002060"/>
          <w:sz w:val="16"/>
          <w:szCs w:val="16"/>
        </w:rPr>
        <w:softHyphen/>
        <w:t>ре—феврале 1915 г. (5484).</w:t>
      </w:r>
    </w:p>
    <w:p w14:paraId="302180AF" w14:textId="77777777" w:rsidR="00B67D7C" w:rsidRPr="00DE096C" w:rsidRDefault="00B67D7C" w:rsidP="00D45A46">
      <w:pPr>
        <w:shd w:val="clear" w:color="auto" w:fill="FFFFFF"/>
        <w:jc w:val="both"/>
        <w:rPr>
          <w:bCs/>
          <w:color w:val="002060"/>
          <w:sz w:val="16"/>
          <w:szCs w:val="16"/>
        </w:rPr>
      </w:pPr>
    </w:p>
    <w:p w14:paraId="10529703" w14:textId="77777777" w:rsidR="00B67D7C" w:rsidRPr="00DE096C" w:rsidRDefault="00B67D7C" w:rsidP="00D45A46">
      <w:pPr>
        <w:jc w:val="both"/>
        <w:rPr>
          <w:bCs/>
          <w:color w:val="002060"/>
          <w:sz w:val="16"/>
          <w:szCs w:val="16"/>
        </w:rPr>
      </w:pPr>
      <w:r w:rsidRPr="00DE096C">
        <w:rPr>
          <w:bCs/>
          <w:color w:val="002060"/>
          <w:sz w:val="16"/>
          <w:szCs w:val="16"/>
        </w:rPr>
        <w:t>В ноябре 1914 г. в Донбасс по инициативе начальника ГАУ была направлена комиссия, на этот раз под руководством В.Н. Ипатьева, человека, хорошо знакомого с процессом коксования, а также с технологией использования его побочных продуктов. Комиссия после месяца работы пришла к выводу о возможности производства в России бензола, толуола и ксилола, а также составила план строительства бензольных заводов в Донбассе. Для налаживания этих производств при ГАУ 6 февраля 1915 г. была образована Комиссия по заготовке взрывчатых веществ, получившая задание довести их производство до уровня 60 тыс. пуд. в месяц. Это задание было выполнено к сентябрю 1915 г. (Ипатьев В.Н., Фокин Л.Ф. Химический комитет при Главном артиллерийском управлении и его деятельность для развития отечественной химической промышленности. Пг., 1921.).</w:t>
      </w:r>
    </w:p>
    <w:p w14:paraId="4B7814F9" w14:textId="77777777" w:rsidR="00B67D7C" w:rsidRPr="00DE096C" w:rsidRDefault="00B67D7C" w:rsidP="00D45A46">
      <w:pPr>
        <w:jc w:val="both"/>
        <w:rPr>
          <w:bCs/>
          <w:color w:val="002060"/>
          <w:sz w:val="16"/>
          <w:szCs w:val="16"/>
        </w:rPr>
      </w:pPr>
      <w:r w:rsidRPr="00DE096C">
        <w:rPr>
          <w:bCs/>
          <w:color w:val="002060"/>
          <w:sz w:val="16"/>
          <w:szCs w:val="16"/>
        </w:rPr>
        <w:t>На случай войны в России создавались специальные мобилизационные запасы боеприпасов, причем их размеры исчислялись по нормам русско-японской войны 1904-1905 гг. Считалось, что этих запасов будет достаточно, а в случае необходимости мощности российских химических заводов обеспечат производство дополнительного количества взрывчатых веществ.</w:t>
      </w:r>
    </w:p>
    <w:p w14:paraId="58C967DA" w14:textId="77777777" w:rsidR="00B67D7C" w:rsidRPr="00DE096C" w:rsidRDefault="00B67D7C" w:rsidP="00D45A46">
      <w:pPr>
        <w:jc w:val="both"/>
        <w:rPr>
          <w:bCs/>
          <w:color w:val="002060"/>
          <w:sz w:val="16"/>
          <w:szCs w:val="16"/>
        </w:rPr>
      </w:pPr>
      <w:r w:rsidRPr="00DE096C">
        <w:rPr>
          <w:bCs/>
          <w:color w:val="002060"/>
          <w:sz w:val="16"/>
          <w:szCs w:val="16"/>
        </w:rPr>
        <w:t>Начавшаяся война со всей очевидностью показала несостоятельность этих доводов, а химическая промышленность оказалась не готовой к удовлетворению повышенных требований военного ведомства.</w:t>
      </w:r>
    </w:p>
    <w:p w14:paraId="41A1F667" w14:textId="77777777" w:rsidR="00B67D7C" w:rsidRPr="00DE096C" w:rsidRDefault="00B67D7C" w:rsidP="00D45A46">
      <w:pPr>
        <w:jc w:val="both"/>
        <w:rPr>
          <w:bCs/>
          <w:color w:val="002060"/>
          <w:sz w:val="16"/>
          <w:szCs w:val="16"/>
        </w:rPr>
      </w:pPr>
      <w:r w:rsidRPr="00DE096C">
        <w:rPr>
          <w:bCs/>
          <w:color w:val="002060"/>
          <w:sz w:val="16"/>
          <w:szCs w:val="16"/>
        </w:rPr>
        <w:t>С первых же месяцев войны обнаружился недостаток снарядов и патронов. Боеприпасы расходывались гораздо быстрее, чем предполагалось при расчете мобилизационных запасов, -147- сделанных перед войной. Здесь возникал ряд проблем, поскольку для изготовления взрывчатых веществ, необходимых для снарядов и патронов, не хватало сырья – бензола, толуола, ксилола, нафталина, кислот. Производство этих продуктов в России было не налажено, так как исходный продукт для их изготовления – сырой бензол – Россия до войны получала из Германии.</w:t>
      </w:r>
    </w:p>
    <w:p w14:paraId="7D76AFF2" w14:textId="77777777" w:rsidR="00B67D7C" w:rsidRPr="00DE096C" w:rsidRDefault="00B67D7C" w:rsidP="00D45A46">
      <w:pPr>
        <w:jc w:val="both"/>
        <w:rPr>
          <w:bCs/>
          <w:color w:val="002060"/>
          <w:sz w:val="16"/>
          <w:szCs w:val="16"/>
        </w:rPr>
      </w:pPr>
      <w:r w:rsidRPr="00DE096C">
        <w:rPr>
          <w:bCs/>
          <w:color w:val="002060"/>
          <w:sz w:val="16"/>
          <w:szCs w:val="16"/>
        </w:rPr>
        <w:t>Поэтому для выяснения возможностей налаживания в России производства необходимых химических веществ ГАУ командировало в Донецкий бассейн комиссию под руководством профессора А.В. Сапожникова. Самым естественным источником необходимых углеводородов являются побочные продукты, получаемые вместе с коксом при сухой перегонке каменного угля. В Донбассе, где имелись большие залежи каменного угля, а также железных руд, в конце XIX -начале XX в. строились металлургические и машиностроительные заводы, при которых создавались фабрики по переработке каменного угля в кокс. Однако побочные продукты коксования чаще всего просто сжигались в топках коксовых печей как топливо. Комиссия А.В. Сапожникова пришла к выводу, что нет возможности быстро наладить необходимые производства в России, в связи с чем ГАУ приняло решение искать нужные химические вещества за границей. Но союзники России сами крайне нуждались в бензоле. В связи с этим вновь встал вопрос о создании в стране отечественного бензольного производства (11781).</w:t>
      </w:r>
    </w:p>
    <w:p w14:paraId="4D48D1A5" w14:textId="77777777" w:rsidR="00B67D7C" w:rsidRPr="00DE096C" w:rsidRDefault="00B67D7C" w:rsidP="00D45A46">
      <w:pPr>
        <w:jc w:val="both"/>
        <w:rPr>
          <w:bCs/>
          <w:color w:val="002060"/>
          <w:sz w:val="16"/>
          <w:szCs w:val="16"/>
        </w:rPr>
      </w:pPr>
    </w:p>
    <w:p w14:paraId="3F1D7A76" w14:textId="77777777" w:rsidR="00954FE2" w:rsidRPr="00DE096C" w:rsidRDefault="00954FE2" w:rsidP="00D45A46">
      <w:pPr>
        <w:jc w:val="both"/>
        <w:rPr>
          <w:bCs/>
          <w:color w:val="002060"/>
          <w:sz w:val="16"/>
          <w:szCs w:val="16"/>
        </w:rPr>
      </w:pPr>
      <w:r w:rsidRPr="00DE096C">
        <w:rPr>
          <w:bCs/>
          <w:color w:val="002060"/>
          <w:sz w:val="16"/>
          <w:szCs w:val="16"/>
        </w:rPr>
        <w:t>В ноябре 1914 г. «для исследования причин» нехватки снарядов Ставка командировала на фронт «нашего извест</w:t>
      </w:r>
      <w:r w:rsidRPr="00DE096C">
        <w:rPr>
          <w:bCs/>
          <w:color w:val="002060"/>
          <w:sz w:val="16"/>
          <w:szCs w:val="16"/>
        </w:rPr>
        <w:softHyphen/>
        <w:t>ного артиллериста», начальника Михайловского артилле</w:t>
      </w:r>
      <w:r w:rsidRPr="00DE096C">
        <w:rPr>
          <w:bCs/>
          <w:color w:val="002060"/>
          <w:sz w:val="16"/>
          <w:szCs w:val="16"/>
        </w:rPr>
        <w:softHyphen/>
        <w:t>рийского училища генерала П.П. Карачана. «В вопросе о расходовании снарядов, — гласил один из выводов, при</w:t>
      </w:r>
      <w:r w:rsidRPr="00DE096C">
        <w:rPr>
          <w:bCs/>
          <w:color w:val="002060"/>
          <w:sz w:val="16"/>
          <w:szCs w:val="16"/>
        </w:rPr>
        <w:softHyphen/>
        <w:t>везенных Карачаном из этой командировки, — приходи</w:t>
      </w:r>
      <w:r w:rsidRPr="00DE096C">
        <w:rPr>
          <w:bCs/>
          <w:color w:val="002060"/>
          <w:sz w:val="16"/>
          <w:szCs w:val="16"/>
        </w:rPr>
        <w:softHyphen/>
        <w:t>лось выбирать между снарядами и жизнью людей; желая сохранить людей, не жалели снарядов» (Маникювский А.А. Указ. соч. Ч. 3. С. 115) (23452).</w:t>
      </w:r>
    </w:p>
    <w:p w14:paraId="68EFDEAD" w14:textId="77777777" w:rsidR="00954FE2" w:rsidRPr="00DE096C" w:rsidRDefault="00954FE2" w:rsidP="00D45A46">
      <w:pPr>
        <w:jc w:val="both"/>
        <w:rPr>
          <w:bCs/>
          <w:color w:val="002060"/>
          <w:sz w:val="16"/>
          <w:szCs w:val="16"/>
        </w:rPr>
      </w:pPr>
    </w:p>
    <w:p w14:paraId="7D9F9528" w14:textId="77777777" w:rsidR="00E82654" w:rsidRPr="00DE096C" w:rsidRDefault="00E82654" w:rsidP="00D45A46">
      <w:pPr>
        <w:shd w:val="clear" w:color="auto" w:fill="FFFFFF"/>
        <w:jc w:val="both"/>
        <w:rPr>
          <w:bCs/>
          <w:i/>
          <w:color w:val="002060"/>
          <w:sz w:val="16"/>
          <w:szCs w:val="16"/>
        </w:rPr>
      </w:pPr>
      <w:r w:rsidRPr="00DE096C">
        <w:rPr>
          <w:bCs/>
          <w:i/>
          <w:color w:val="002060"/>
          <w:sz w:val="16"/>
          <w:szCs w:val="16"/>
        </w:rPr>
        <w:t>Авиация:</w:t>
      </w:r>
    </w:p>
    <w:p w14:paraId="6E2A2726" w14:textId="77777777" w:rsidR="00E82654" w:rsidRPr="00DE096C" w:rsidRDefault="00E82654" w:rsidP="00D45A46">
      <w:pPr>
        <w:shd w:val="clear" w:color="auto" w:fill="FFFFFF"/>
        <w:jc w:val="both"/>
        <w:rPr>
          <w:bCs/>
          <w:i/>
          <w:color w:val="002060"/>
          <w:sz w:val="16"/>
          <w:szCs w:val="16"/>
        </w:rPr>
      </w:pPr>
    </w:p>
    <w:p w14:paraId="11362059" w14:textId="77777777" w:rsidR="00C7639D" w:rsidRPr="00B52707" w:rsidRDefault="00C7639D" w:rsidP="00C7639D">
      <w:pPr>
        <w:jc w:val="both"/>
        <w:rPr>
          <w:color w:val="0070C0"/>
          <w:sz w:val="16"/>
          <w:szCs w:val="16"/>
        </w:rPr>
      </w:pPr>
      <w:r w:rsidRPr="00B52707">
        <w:rPr>
          <w:rStyle w:val="ab"/>
          <w:rFonts w:ascii="Times New Roman" w:hAnsi="Times New Roman"/>
          <w:color w:val="0070C0"/>
          <w:spacing w:val="0"/>
          <w:sz w:val="16"/>
          <w:szCs w:val="16"/>
        </w:rPr>
        <w:t>В ноябре 1914 г. были отданы первые распоряжения по привлечению авиации для воздушной обороны сто</w:t>
      </w:r>
      <w:r w:rsidRPr="00B52707">
        <w:rPr>
          <w:rStyle w:val="ab"/>
          <w:rFonts w:ascii="Times New Roman" w:hAnsi="Times New Roman"/>
          <w:color w:val="0070C0"/>
          <w:spacing w:val="0"/>
          <w:sz w:val="16"/>
          <w:szCs w:val="16"/>
        </w:rPr>
        <w:softHyphen/>
        <w:t>лицы России Петрограда и Императорской резиденции в Царском Селе. Специ</w:t>
      </w:r>
      <w:r w:rsidRPr="00B52707">
        <w:rPr>
          <w:rStyle w:val="ab"/>
          <w:rFonts w:ascii="Times New Roman" w:hAnsi="Times New Roman"/>
          <w:color w:val="0070C0"/>
          <w:spacing w:val="0"/>
          <w:sz w:val="16"/>
          <w:szCs w:val="16"/>
        </w:rPr>
        <w:softHyphen/>
        <w:t>альной инструкцией от 8 декабря (25 ноября ст. ст.) 1914 г. вводились должностные обязанности началь</w:t>
      </w:r>
      <w:r w:rsidRPr="00B52707">
        <w:rPr>
          <w:rStyle w:val="ab"/>
          <w:rFonts w:ascii="Times New Roman" w:hAnsi="Times New Roman"/>
          <w:color w:val="0070C0"/>
          <w:spacing w:val="0"/>
          <w:sz w:val="16"/>
          <w:szCs w:val="16"/>
        </w:rPr>
        <w:softHyphen/>
        <w:t>ника воздушной обороны Петрограда и указывалось на выбор летчиков для борьбы с воздушным противником из состава инструкторов Гатчинской Военной авиаци</w:t>
      </w:r>
      <w:r w:rsidRPr="00B52707">
        <w:rPr>
          <w:rStyle w:val="ab"/>
          <w:rFonts w:ascii="Times New Roman" w:hAnsi="Times New Roman"/>
          <w:color w:val="0070C0"/>
          <w:spacing w:val="0"/>
          <w:sz w:val="16"/>
          <w:szCs w:val="16"/>
        </w:rPr>
        <w:softHyphen/>
        <w:t>онной школы с двумя аэропланами (25629).</w:t>
      </w:r>
    </w:p>
    <w:p w14:paraId="6483AE4D" w14:textId="77777777" w:rsidR="00C7639D" w:rsidRPr="00B52707" w:rsidRDefault="00C7639D" w:rsidP="00C7639D">
      <w:pPr>
        <w:jc w:val="both"/>
        <w:rPr>
          <w:color w:val="0070C0"/>
          <w:sz w:val="16"/>
          <w:szCs w:val="16"/>
        </w:rPr>
      </w:pPr>
    </w:p>
    <w:p w14:paraId="090C4C34" w14:textId="77777777" w:rsidR="00954FE2" w:rsidRPr="00DE096C" w:rsidRDefault="00954FE2" w:rsidP="00D45A46">
      <w:pPr>
        <w:jc w:val="both"/>
        <w:rPr>
          <w:bCs/>
          <w:color w:val="002060"/>
          <w:sz w:val="16"/>
          <w:szCs w:val="16"/>
          <w:lang w:bidi="en-US"/>
        </w:rPr>
      </w:pPr>
      <w:r w:rsidRPr="00DE096C">
        <w:rPr>
          <w:bCs/>
          <w:color w:val="002060"/>
          <w:sz w:val="16"/>
          <w:szCs w:val="16"/>
          <w:lang w:bidi="en-US"/>
        </w:rPr>
        <w:t>Считается, что в ноябре 1914 г. ИВАК в Петрограде организовал комитет во главе с графом Стенбок-Фермором для сбора благотворительных пожертвований в помощь пилотам (и их семьям), пострадавшим в серьезных авариях (23525).</w:t>
      </w:r>
    </w:p>
    <w:p w14:paraId="37D41798" w14:textId="77777777" w:rsidR="00954FE2" w:rsidRPr="00DE096C" w:rsidRDefault="00954FE2" w:rsidP="00D45A46">
      <w:pPr>
        <w:jc w:val="both"/>
        <w:rPr>
          <w:bCs/>
          <w:color w:val="002060"/>
          <w:sz w:val="16"/>
          <w:szCs w:val="16"/>
        </w:rPr>
      </w:pPr>
    </w:p>
    <w:p w14:paraId="622CD450" w14:textId="77777777" w:rsidR="00E82654" w:rsidRPr="00DE096C" w:rsidRDefault="00E82654" w:rsidP="00D45A46">
      <w:pPr>
        <w:jc w:val="both"/>
        <w:rPr>
          <w:bCs/>
          <w:color w:val="002060"/>
          <w:sz w:val="16"/>
          <w:szCs w:val="16"/>
        </w:rPr>
      </w:pPr>
      <w:r w:rsidRPr="00DE096C">
        <w:rPr>
          <w:bCs/>
          <w:color w:val="002060"/>
          <w:sz w:val="16"/>
          <w:szCs w:val="16"/>
        </w:rPr>
        <w:t>В ноябре 1914 г. Брест-Литовский крепостной и 24-й корпусной авиаотряды сбросили на крепость, Перемышль 23 бомбы общей массой 470 кг. По сведениям, полученным штабом 11-й армии путем опроса пленных, выяснено, что бомбы причинили повреждения электрической станции, казармам уланского полка, обозам, попали в орудийный склад, склады снарядов, место расположения сферического аэростата, произвели много пожаров (18738).</w:t>
      </w:r>
    </w:p>
    <w:p w14:paraId="6CD9F679" w14:textId="77777777" w:rsidR="00E82654" w:rsidRPr="00DE096C" w:rsidRDefault="00E82654" w:rsidP="00D45A46">
      <w:pPr>
        <w:jc w:val="both"/>
        <w:rPr>
          <w:bCs/>
          <w:color w:val="002060"/>
          <w:sz w:val="16"/>
          <w:szCs w:val="16"/>
        </w:rPr>
      </w:pPr>
    </w:p>
    <w:p w14:paraId="00D17201" w14:textId="77777777" w:rsidR="00E82654" w:rsidRPr="00DE096C" w:rsidRDefault="00E82654" w:rsidP="00D45A46">
      <w:pPr>
        <w:jc w:val="both"/>
        <w:rPr>
          <w:bCs/>
          <w:color w:val="002060"/>
          <w:sz w:val="16"/>
          <w:szCs w:val="16"/>
        </w:rPr>
      </w:pPr>
      <w:r w:rsidRPr="00DE096C">
        <w:rPr>
          <w:bCs/>
          <w:color w:val="002060"/>
          <w:sz w:val="16"/>
          <w:szCs w:val="16"/>
        </w:rPr>
        <w:t>В ноябре 1914 г. с началом аэрофотографирования руководству авиацией стало ясно, что при обозначившейся перспективности этой отрасли воздушной разведки потребуются специалисты по фотоделу. Их подготовка с 27 декабря 1914 г. была организована в Офицерской воздухоплавательной школе. Срок подготовки фотоспециалистов определялся в два месяца.</w:t>
      </w:r>
    </w:p>
    <w:p w14:paraId="7E0F2F28" w14:textId="77777777" w:rsidR="00E82654" w:rsidRPr="00DE096C" w:rsidRDefault="00E82654" w:rsidP="00D45A46">
      <w:pPr>
        <w:jc w:val="both"/>
        <w:rPr>
          <w:bCs/>
          <w:color w:val="002060"/>
          <w:sz w:val="16"/>
          <w:szCs w:val="16"/>
        </w:rPr>
      </w:pPr>
      <w:r w:rsidRPr="00DE096C">
        <w:rPr>
          <w:bCs/>
          <w:color w:val="002060"/>
          <w:sz w:val="16"/>
          <w:szCs w:val="16"/>
        </w:rPr>
        <w:t>Специалисты по радиотелеграфу, работавшие в авиадивизионах и артиллерийских авиаотрядах получали подготовку в Офицерской электротехнической школе. Нижние чины-телеграфисты для работы на наземных радиостанциях обучались в Запасном электротехническом батальоне. Для офицеров-радиотелеграфистов в целях обучения их особенностям авиационного радиотелеграфа в Киеве были открыты двухмесячные курсы на 20 человек обучаемых. Там же работала школа для подготовки авиарадиотелеграфистов со сроком обучения в два или три месяца, в зависимости от «степени знакомства с радиоделом». Число одновременно обучаемых радиотелеграфистов определялось в 30 человек. Специалистов по авиапулеметам готовили в стрелковой школе, находившейся в ведении Полевого генерал-инспектора артиллерии. В ноябре 1916 г. из этой школы в авиацию были направлены 88 мастеров-оружейников. Особенности авиационного вооружения они изучали в Военной школе летчиков-наблюдателей. В связи с увеличением производства авиатехники в феврале 1915 г. в ГВАШ был открыт класс для обучения помощников наблюдающих на заводах. Таким образом, увеличение числа отраслей авиационной службы потребовало увеличения и числа специальностей в учебных заведениях. Основополагающими причинами этих процессов были изменения в тактике и авиатехнике (19566).</w:t>
      </w:r>
    </w:p>
    <w:p w14:paraId="27910479" w14:textId="77777777" w:rsidR="00E82654" w:rsidRPr="00DE096C" w:rsidRDefault="00E82654" w:rsidP="00D45A46">
      <w:pPr>
        <w:jc w:val="both"/>
        <w:rPr>
          <w:bCs/>
          <w:color w:val="002060"/>
          <w:sz w:val="16"/>
          <w:szCs w:val="16"/>
        </w:rPr>
      </w:pPr>
    </w:p>
    <w:p w14:paraId="01656D67" w14:textId="77777777" w:rsidR="00E82654" w:rsidRPr="00DE096C" w:rsidRDefault="00E82654" w:rsidP="00D45A46">
      <w:pPr>
        <w:pStyle w:val="p1"/>
        <w:spacing w:before="0" w:beforeAutospacing="0" w:after="0" w:afterAutospacing="0"/>
        <w:jc w:val="both"/>
        <w:rPr>
          <w:bCs/>
          <w:color w:val="002060"/>
          <w:sz w:val="16"/>
          <w:szCs w:val="16"/>
        </w:rPr>
      </w:pPr>
      <w:r w:rsidRPr="00DE096C">
        <w:rPr>
          <w:bCs/>
          <w:color w:val="002060"/>
          <w:sz w:val="16"/>
          <w:szCs w:val="16"/>
        </w:rPr>
        <w:t>В ноябре 1914 г. И.Г. Щегловитов, Н.А. Маклаков и М.А. Таубе внесли в Совет министров записку, в «в духе старой русской политики», привычной к «традиционному британскому вероломству». Они ставили вопрос о недоверии полученным «британским устным уверениям», обещаниям отдать Константинополь и проливы и о необходимости самим позаботиться о действенной «гарантии» в виде «возможно скорого завладения нами турецкой столицей с обоими проливами». Записка была представлена Горемыкиным Николаю II и «препровождена на усмотрение верховного главнокомандующего».</w:t>
      </w:r>
    </w:p>
    <w:p w14:paraId="2B22BAEC" w14:textId="77777777" w:rsidR="00E82654" w:rsidRPr="00DE096C" w:rsidRDefault="00E82654" w:rsidP="00D45A46">
      <w:pPr>
        <w:pStyle w:val="p1"/>
        <w:spacing w:before="0" w:beforeAutospacing="0" w:after="0" w:afterAutospacing="0"/>
        <w:jc w:val="both"/>
        <w:rPr>
          <w:bCs/>
          <w:color w:val="002060"/>
          <w:sz w:val="16"/>
          <w:szCs w:val="16"/>
        </w:rPr>
      </w:pPr>
      <w:r w:rsidRPr="00DE096C">
        <w:rPr>
          <w:bCs/>
          <w:color w:val="002060"/>
          <w:sz w:val="16"/>
          <w:szCs w:val="16"/>
        </w:rPr>
        <w:t>Авторы записки указывали на реальную проблему, о существовании которой свидетельствовал со своей стороны руководитель британского внешнеполитического ведомства Эд. Грей. В лондонском Кабинете министров он говорил об опасности того, что если не исполнить требование министра иностранных дел С.Д. Сазонова о формальном обязательстве отдать проливы, то «консерваторы-германофилы, подобные Витте, убедят царя» не доверять Англии, поскольку «целью британской политики всегда было не допускать Россию в Константинополь и проливы». «Разумеется, такова и поныне наша политика», — признавал Грей. В том же ракурсе рассматривал эту проблему Г. Китченер. У руководителей британской внешней и военной политики не вызывало сомнений, что, как только свершится разгром Германии, Россия займет ее место в роли первостепенного противника. В секретной записке 6 марта 1915 г.</w:t>
      </w:r>
    </w:p>
    <w:p w14:paraId="6E69B38B" w14:textId="77777777" w:rsidR="00E82654" w:rsidRPr="00DE096C" w:rsidRDefault="00E82654" w:rsidP="00D45A46">
      <w:pPr>
        <w:pStyle w:val="p1"/>
        <w:spacing w:before="0" w:beforeAutospacing="0" w:after="0" w:afterAutospacing="0"/>
        <w:jc w:val="both"/>
        <w:rPr>
          <w:bCs/>
          <w:color w:val="002060"/>
          <w:sz w:val="16"/>
          <w:szCs w:val="16"/>
        </w:rPr>
      </w:pPr>
      <w:r w:rsidRPr="00DE096C">
        <w:rPr>
          <w:bCs/>
          <w:color w:val="002060"/>
          <w:sz w:val="16"/>
          <w:szCs w:val="16"/>
        </w:rPr>
        <w:t>Китченер связывал этот грядущий поворот событий с моментом, «когда придет время мирного урегулирования и встанет вопрос о разделе Азиатской Турции». Тогда возобновятся «прежняя вражда и соперничество, которые приглушены» сейчас, и «мы можем оказаться во вражде с Россией». Надо уже теперь осмотрительно расходовать свои силы в боевых действиях во Франции, указывал Китченер, чтобы к окончанию войны с Германией «наши интересы были обеспечены наилучшим образом». Генерал-квартирмейстер британского Генерального штаба Ч. Колуэлл также исходил из того, что «в будущем возможна война с Россией», о чем и заявлял на заседании комитета М. Бунсена (по Турции) 13 апреля 1915 г. (18409).</w:t>
      </w:r>
    </w:p>
    <w:p w14:paraId="6819CF98" w14:textId="77777777" w:rsidR="00E82654" w:rsidRPr="00DE096C" w:rsidRDefault="00E82654" w:rsidP="00D45A46">
      <w:pPr>
        <w:pStyle w:val="p1"/>
        <w:spacing w:before="0" w:beforeAutospacing="0" w:after="0" w:afterAutospacing="0"/>
        <w:jc w:val="both"/>
        <w:rPr>
          <w:bCs/>
          <w:color w:val="002060"/>
          <w:sz w:val="16"/>
          <w:szCs w:val="16"/>
        </w:rPr>
      </w:pPr>
    </w:p>
    <w:p w14:paraId="6D59FA4B" w14:textId="77777777" w:rsidR="00B67D7C" w:rsidRPr="00DE096C" w:rsidRDefault="00B67D7C" w:rsidP="00D45A46">
      <w:pPr>
        <w:jc w:val="both"/>
        <w:rPr>
          <w:bCs/>
          <w:color w:val="002060"/>
          <w:sz w:val="16"/>
          <w:szCs w:val="16"/>
        </w:rPr>
      </w:pPr>
      <w:r w:rsidRPr="00DE096C">
        <w:rPr>
          <w:bCs/>
          <w:color w:val="002060"/>
          <w:sz w:val="16"/>
          <w:szCs w:val="16"/>
        </w:rPr>
        <w:t>В ноябре 1914 года при осаде австрийской крепости Перемышль была проведена самолетами русской авиации первая эшелонированная бомбардировка. В июле 1915 года летчик Солодовников на самолете "Ньюпор" осуществил первое бомбометание с пикирования по зенитной батарее противника. Однако бомбардировка, как вид боевых действий ВВС, превратился из сопутствующего воздушной разведке в самостоятельный лишь на на рубеже 1916-17 годов. Особенно эффективными были удары, наносимые с самолетов типа "Илья Муромец". Так, при налете на базу немецкой гидроавиции на озере Ангерн близ Риги было сброшено 72 бомбы, достигнуто 22 попадания в ангары, 11 - в пристань и два - возле взлетавших гидросамолетов. 14 июня 1916 года на "Муромце" был произвенден первый ночной налет на станцию Митава. Калибр бомб, в начале войны не превышавший 10 кг, к 1917 году возрос до 640 кг. Были разработанвы зажигательные и термитные боеприпасы. Самолеты начали оснащаться специальными бомбосбрасывателями, появились механичес иборы Иванова, Ботезата и Гарфа) (11184).</w:t>
      </w:r>
    </w:p>
    <w:p w14:paraId="2FE3FAD8" w14:textId="77777777" w:rsidR="00B67D7C" w:rsidRPr="00DE096C" w:rsidRDefault="00B67D7C" w:rsidP="00D45A46">
      <w:pPr>
        <w:jc w:val="both"/>
        <w:rPr>
          <w:bCs/>
          <w:color w:val="002060"/>
          <w:sz w:val="16"/>
          <w:szCs w:val="16"/>
        </w:rPr>
      </w:pPr>
    </w:p>
    <w:p w14:paraId="581B0F8D" w14:textId="77777777" w:rsidR="00B67D7C" w:rsidRPr="00DE096C" w:rsidRDefault="00B67D7C" w:rsidP="00D45A46">
      <w:pPr>
        <w:jc w:val="both"/>
        <w:rPr>
          <w:bCs/>
          <w:color w:val="002060"/>
          <w:sz w:val="16"/>
          <w:szCs w:val="16"/>
        </w:rPr>
      </w:pPr>
      <w:r w:rsidRPr="00DE096C">
        <w:rPr>
          <w:bCs/>
          <w:color w:val="002060"/>
          <w:sz w:val="16"/>
          <w:szCs w:val="16"/>
        </w:rPr>
        <w:t>В ноябре 1914 г. в состав Варшавской крепостной артиллерии из Кронштадта были направлены первые три зенитные батареи, вооруженные 75-мм морскими пушками системы Канэ на тумбовых установках, значительно превосходивших боевые возможности полевых орудий (11163).</w:t>
      </w:r>
    </w:p>
    <w:p w14:paraId="21308152" w14:textId="77777777" w:rsidR="00B67D7C" w:rsidRPr="00DE096C" w:rsidRDefault="00B67D7C" w:rsidP="00D45A46">
      <w:pPr>
        <w:jc w:val="both"/>
        <w:rPr>
          <w:bCs/>
          <w:color w:val="002060"/>
          <w:sz w:val="16"/>
          <w:szCs w:val="16"/>
        </w:rPr>
      </w:pPr>
    </w:p>
    <w:p w14:paraId="5CDDEC3F" w14:textId="77777777" w:rsidR="00B67D7C" w:rsidRPr="00DE096C" w:rsidRDefault="00B67D7C" w:rsidP="00D45A46">
      <w:pPr>
        <w:jc w:val="both"/>
        <w:rPr>
          <w:bCs/>
          <w:color w:val="002060"/>
          <w:sz w:val="16"/>
          <w:szCs w:val="16"/>
        </w:rPr>
      </w:pPr>
      <w:r w:rsidRPr="00DE096C">
        <w:rPr>
          <w:bCs/>
          <w:color w:val="002060"/>
          <w:sz w:val="16"/>
          <w:szCs w:val="16"/>
        </w:rPr>
        <w:t>В ноябре 1914 г. Брест-Литовский крепостной и 24-й корпусной авиаотряды сбросили на крепость, Перемышль 23 бомбы общей массой 470 кг 1. По сведениям, полученным штабом 11-й армии путем опроса пленных, выяснено, что бомбы причинили повреждения электрической станции, казармам уланского полка, обозам, попали в орудийный склад, склады снарядов, место расположения сферического аэростата, произвели много пожаров (11237).</w:t>
      </w:r>
    </w:p>
    <w:p w14:paraId="48BD1556" w14:textId="77777777" w:rsidR="00B67D7C" w:rsidRPr="00DE096C" w:rsidRDefault="00B67D7C" w:rsidP="00D45A46">
      <w:pPr>
        <w:jc w:val="both"/>
        <w:rPr>
          <w:bCs/>
          <w:color w:val="002060"/>
          <w:sz w:val="16"/>
          <w:szCs w:val="16"/>
        </w:rPr>
      </w:pPr>
    </w:p>
    <w:p w14:paraId="45441940" w14:textId="3A3050AA" w:rsidR="00954FE2" w:rsidRPr="00DE096C" w:rsidRDefault="00954FE2" w:rsidP="00D45A46">
      <w:pPr>
        <w:shd w:val="clear" w:color="auto" w:fill="FFFFFF"/>
        <w:jc w:val="both"/>
        <w:rPr>
          <w:bCs/>
          <w:i/>
          <w:color w:val="002060"/>
          <w:sz w:val="16"/>
          <w:szCs w:val="16"/>
        </w:rPr>
      </w:pPr>
      <w:r w:rsidRPr="00DE096C">
        <w:rPr>
          <w:bCs/>
          <w:i/>
          <w:color w:val="002060"/>
          <w:sz w:val="16"/>
          <w:szCs w:val="16"/>
        </w:rPr>
        <w:t>Морская авиация:</w:t>
      </w:r>
    </w:p>
    <w:p w14:paraId="1634DA2D" w14:textId="77777777" w:rsidR="00954FE2" w:rsidRPr="00DE096C" w:rsidRDefault="00954FE2" w:rsidP="00D45A46">
      <w:pPr>
        <w:shd w:val="clear" w:color="auto" w:fill="FFFFFF"/>
        <w:jc w:val="both"/>
        <w:rPr>
          <w:bCs/>
          <w:i/>
          <w:color w:val="002060"/>
          <w:sz w:val="16"/>
          <w:szCs w:val="16"/>
        </w:rPr>
      </w:pPr>
    </w:p>
    <w:p w14:paraId="1A59083B" w14:textId="77777777" w:rsidR="00954FE2" w:rsidRPr="00DE096C" w:rsidRDefault="00954FE2" w:rsidP="00D45A46">
      <w:pPr>
        <w:jc w:val="both"/>
        <w:rPr>
          <w:bCs/>
          <w:color w:val="002060"/>
          <w:sz w:val="16"/>
          <w:szCs w:val="16"/>
          <w:lang w:bidi="en-US"/>
        </w:rPr>
      </w:pPr>
      <w:r w:rsidRPr="00DE096C">
        <w:rPr>
          <w:bCs/>
          <w:color w:val="002060"/>
          <w:sz w:val="16"/>
          <w:szCs w:val="16"/>
          <w:lang w:bidi="en-US"/>
        </w:rPr>
        <w:t>В ноябре 1914 г. летчики Черноморского флота встретились на борту линкора «Пантелеимон» и доложили, что обнаружение и уничтожение мин крайне затруднено, но возможно эффективное противолодочное патрулирование морской эскадры с использованием восьми-десяти самолетов (23525).</w:t>
      </w:r>
    </w:p>
    <w:p w14:paraId="649D8531" w14:textId="77777777" w:rsidR="00954FE2" w:rsidRPr="00DE096C" w:rsidRDefault="00954FE2" w:rsidP="00D45A46">
      <w:pPr>
        <w:jc w:val="both"/>
        <w:rPr>
          <w:bCs/>
          <w:color w:val="002060"/>
          <w:sz w:val="16"/>
          <w:szCs w:val="16"/>
          <w:lang w:bidi="en-US"/>
        </w:rPr>
      </w:pPr>
    </w:p>
    <w:p w14:paraId="4B1F60B3" w14:textId="77777777" w:rsidR="00C7639D" w:rsidRPr="00DE096C" w:rsidRDefault="00C7639D" w:rsidP="00C7639D">
      <w:pPr>
        <w:jc w:val="both"/>
        <w:rPr>
          <w:bCs/>
          <w:color w:val="002060"/>
          <w:sz w:val="16"/>
          <w:szCs w:val="16"/>
        </w:rPr>
      </w:pPr>
      <w:r w:rsidRPr="00DE096C">
        <w:rPr>
          <w:bCs/>
          <w:color w:val="002060"/>
          <w:sz w:val="16"/>
          <w:szCs w:val="16"/>
          <w:lang w:bidi="en-US"/>
        </w:rPr>
        <w:t>В ноябре 1914 г. морской лейтенант князь В.П. Романовский из штаба Черноморского флота вновь предложил флотской авиации выйти из службы связи и связи и стать корабельной авиацией, подчиненной Авиационному отделу Оперативного отдела штаба.</w:t>
      </w:r>
    </w:p>
    <w:p w14:paraId="0DCD7D6F" w14:textId="77777777" w:rsidR="00C7639D" w:rsidRPr="00DE096C" w:rsidRDefault="00C7639D" w:rsidP="00C7639D">
      <w:pPr>
        <w:jc w:val="both"/>
        <w:rPr>
          <w:bCs/>
          <w:color w:val="002060"/>
          <w:sz w:val="16"/>
          <w:szCs w:val="16"/>
        </w:rPr>
      </w:pPr>
    </w:p>
    <w:p w14:paraId="18E86607" w14:textId="6089815E" w:rsidR="00B67D7C" w:rsidRPr="00DE096C" w:rsidRDefault="00B67D7C" w:rsidP="00D45A46">
      <w:pPr>
        <w:shd w:val="clear" w:color="auto" w:fill="FFFFFF"/>
        <w:jc w:val="both"/>
        <w:rPr>
          <w:bCs/>
          <w:i/>
          <w:color w:val="002060"/>
          <w:sz w:val="16"/>
          <w:szCs w:val="16"/>
        </w:rPr>
      </w:pPr>
      <w:r w:rsidRPr="00DE096C">
        <w:rPr>
          <w:bCs/>
          <w:i/>
          <w:color w:val="002060"/>
          <w:sz w:val="16"/>
          <w:szCs w:val="16"/>
        </w:rPr>
        <w:t>Армия:</w:t>
      </w:r>
    </w:p>
    <w:p w14:paraId="269ECF98" w14:textId="77777777" w:rsidR="00B67D7C" w:rsidRPr="00DE096C" w:rsidRDefault="00B67D7C" w:rsidP="00D45A46">
      <w:pPr>
        <w:shd w:val="clear" w:color="auto" w:fill="FFFFFF"/>
        <w:jc w:val="both"/>
        <w:rPr>
          <w:bCs/>
          <w:i/>
          <w:color w:val="002060"/>
          <w:sz w:val="16"/>
          <w:szCs w:val="16"/>
        </w:rPr>
      </w:pPr>
    </w:p>
    <w:p w14:paraId="358EC4C6" w14:textId="73EF74FB" w:rsidR="00B67D7C" w:rsidRPr="00DE096C" w:rsidRDefault="00B67D7C" w:rsidP="00D45A46">
      <w:pPr>
        <w:shd w:val="clear" w:color="auto" w:fill="FFFFFF"/>
        <w:jc w:val="both"/>
        <w:rPr>
          <w:bCs/>
          <w:color w:val="002060"/>
          <w:sz w:val="16"/>
          <w:szCs w:val="16"/>
        </w:rPr>
      </w:pPr>
      <w:r w:rsidRPr="00DE096C">
        <w:rPr>
          <w:bCs/>
          <w:color w:val="002060"/>
          <w:sz w:val="16"/>
          <w:szCs w:val="16"/>
        </w:rPr>
        <w:t>В ноябре 1914 г. Государь утвер</w:t>
      </w:r>
      <w:r w:rsidRPr="00DE096C">
        <w:rPr>
          <w:bCs/>
          <w:color w:val="002060"/>
          <w:sz w:val="16"/>
          <w:szCs w:val="16"/>
        </w:rPr>
        <w:softHyphen/>
        <w:t>дил Положение о формировании ещё 16 мотоциклетных отделе</w:t>
      </w:r>
      <w:r w:rsidRPr="00DE096C">
        <w:rPr>
          <w:bCs/>
          <w:color w:val="002060"/>
          <w:sz w:val="16"/>
          <w:szCs w:val="16"/>
        </w:rPr>
        <w:softHyphen/>
        <w:t>ний (номера с 5 по 20), причём, в каждом из них по табельному расписанию числилось 41 мотоцикл, один легковой автомобиль для командира и два грузовика (для транспортировки топлива и передвижная мастерская). Мотоциклетные отделения сформиро</w:t>
      </w:r>
      <w:r w:rsidRPr="00DE096C">
        <w:rPr>
          <w:bCs/>
          <w:color w:val="002060"/>
          <w:sz w:val="16"/>
          <w:szCs w:val="16"/>
        </w:rPr>
        <w:softHyphen/>
        <w:t>вала, обучила и укомплектовала Военная автомобильная школа (ВАШ), созданная на базе Учебной автомобильной роты, и рас</w:t>
      </w:r>
      <w:r w:rsidRPr="00DE096C">
        <w:rPr>
          <w:bCs/>
          <w:color w:val="002060"/>
          <w:sz w:val="16"/>
          <w:szCs w:val="16"/>
        </w:rPr>
        <w:softHyphen/>
        <w:t>квартированная в Петрограде. В апреле эти воинские части от</w:t>
      </w:r>
      <w:r w:rsidRPr="00DE096C">
        <w:rPr>
          <w:bCs/>
          <w:color w:val="002060"/>
          <w:sz w:val="16"/>
          <w:szCs w:val="16"/>
        </w:rPr>
        <w:softHyphen/>
        <w:t>правили на фронт, а в мае Главное управление Генерального штаба (ГУГШ) решило сформировать еще 25 мотоциклетных от</w:t>
      </w:r>
      <w:r w:rsidRPr="00DE096C">
        <w:rPr>
          <w:bCs/>
          <w:color w:val="002060"/>
          <w:sz w:val="16"/>
          <w:szCs w:val="16"/>
        </w:rPr>
        <w:softHyphen/>
        <w:t>делений (номера с 21 по 45). Мотоциклами снабжали и другие во</w:t>
      </w:r>
      <w:r w:rsidRPr="00DE096C">
        <w:rPr>
          <w:bCs/>
          <w:color w:val="002060"/>
          <w:sz w:val="16"/>
          <w:szCs w:val="16"/>
        </w:rPr>
        <w:softHyphen/>
        <w:t>инские подразделения. Например, автомобильным частям - по пять единиц каждой. Весной 1915 г. Верховный Главнокоманду</w:t>
      </w:r>
      <w:r w:rsidRPr="00DE096C">
        <w:rPr>
          <w:bCs/>
          <w:color w:val="002060"/>
          <w:sz w:val="16"/>
          <w:szCs w:val="16"/>
        </w:rPr>
        <w:softHyphen/>
        <w:t>ющий утвердил формирование армейских мотоциклетных ко</w:t>
      </w:r>
      <w:r w:rsidRPr="00DE096C">
        <w:rPr>
          <w:bCs/>
          <w:color w:val="002060"/>
          <w:sz w:val="16"/>
          <w:szCs w:val="16"/>
        </w:rPr>
        <w:softHyphen/>
        <w:t>манд по 60 мотоциклистов и 64 мотоцикла. Тогда же утвердили табель снабжения мотоциклами штабов. И если к Генштабу при</w:t>
      </w:r>
      <w:r w:rsidRPr="00DE096C">
        <w:rPr>
          <w:bCs/>
          <w:color w:val="002060"/>
          <w:sz w:val="16"/>
          <w:szCs w:val="16"/>
        </w:rPr>
        <w:softHyphen/>
        <w:t>писали 10 мотоциклов, то штабу пехотного или стрелкового пол</w:t>
      </w:r>
      <w:r w:rsidRPr="00DE096C">
        <w:rPr>
          <w:bCs/>
          <w:color w:val="002060"/>
          <w:sz w:val="16"/>
          <w:szCs w:val="16"/>
        </w:rPr>
        <w:softHyphen/>
        <w:t>ка - всего два. Мотоциклами оснастили все 10 русских крепостей: Ковно, Гродно, Иван-город, Перемышль - по 10, Осовец, Крон</w:t>
      </w:r>
      <w:r w:rsidRPr="00DE096C">
        <w:rPr>
          <w:bCs/>
          <w:color w:val="002060"/>
          <w:sz w:val="16"/>
          <w:szCs w:val="16"/>
        </w:rPr>
        <w:softHyphen/>
        <w:t>штадт, Севастополь, Каре - по 8, Выборг и Свеаборг - по 4. ГВТУ усиленно хлопотало об оснащении мотоциклами всех во</w:t>
      </w:r>
      <w:r w:rsidRPr="00DE096C">
        <w:rPr>
          <w:bCs/>
          <w:color w:val="002060"/>
          <w:sz w:val="16"/>
          <w:szCs w:val="16"/>
        </w:rPr>
        <w:softHyphen/>
        <w:t>инских подразделений, в особенности новых мотоциклетных от</w:t>
      </w:r>
      <w:r w:rsidRPr="00DE096C">
        <w:rPr>
          <w:bCs/>
          <w:color w:val="002060"/>
          <w:sz w:val="16"/>
          <w:szCs w:val="16"/>
        </w:rPr>
        <w:softHyphen/>
        <w:t>делений [2.28].</w:t>
      </w:r>
    </w:p>
    <w:p w14:paraId="411FAF8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Приобретение мотоциклов для Русской Армии началось в ав</w:t>
      </w:r>
      <w:r w:rsidRPr="00DE096C">
        <w:rPr>
          <w:bCs/>
          <w:color w:val="002060"/>
          <w:sz w:val="16"/>
          <w:szCs w:val="16"/>
        </w:rPr>
        <w:softHyphen/>
        <w:t>густе 1914 г. Председатель особой комиссии и начальник ВАШ, полковник П.И. Секретов, дал оценку объёма первой партии мо</w:t>
      </w:r>
      <w:r w:rsidRPr="00DE096C">
        <w:rPr>
          <w:bCs/>
          <w:color w:val="002060"/>
          <w:sz w:val="16"/>
          <w:szCs w:val="16"/>
        </w:rPr>
        <w:softHyphen/>
        <w:t>тоциклов: следовало срочно приобрести 3 тыс. мотоциклов и 455 боковых колясок к ним. ГВТУ составило смету на приобретение этой техники [2.29]. 30 августа 1914 г. Военный Совет разрешил её приобретение. На том же заседании решили развернуть 12 ма</w:t>
      </w:r>
      <w:r w:rsidRPr="00DE096C">
        <w:rPr>
          <w:bCs/>
          <w:color w:val="002060"/>
          <w:sz w:val="16"/>
          <w:szCs w:val="16"/>
        </w:rPr>
        <w:softHyphen/>
        <w:t>стерских для ремонта мотоциклов [2.30].</w:t>
      </w:r>
    </w:p>
    <w:p w14:paraId="779CBDF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Заказ на первую партию - 3 тыс. мотоциклов - разделили по</w:t>
      </w:r>
      <w:r w:rsidRPr="00DE096C">
        <w:rPr>
          <w:bCs/>
          <w:color w:val="002060"/>
          <w:sz w:val="16"/>
          <w:szCs w:val="16"/>
        </w:rPr>
        <w:softHyphen/>
        <w:t>ровну между США и Великобританией и поручили шести фирмам, из них четырем английским [2.31]. В дальнейшем приобретение мотоциклов значительно расширили. О желании участвовать в этой деятельности заявили многие фирмы, посредники и частные лица, но первым выразил готовность представитель американ</w:t>
      </w:r>
      <w:r w:rsidRPr="00DE096C">
        <w:rPr>
          <w:bCs/>
          <w:color w:val="002060"/>
          <w:sz w:val="16"/>
          <w:szCs w:val="16"/>
        </w:rPr>
        <w:softHyphen/>
        <w:t>ской фирмы «Харлей-Дэвидсон», причём, на вполне приемлемых условиях: 100 шт. - немедленно, а через две недели - по 100 шт. еженедельно [2.32]. К тому времени выяснилось, что наиболее подходящим для русского театра военных действий оказался са</w:t>
      </w:r>
      <w:r w:rsidRPr="00DE096C">
        <w:rPr>
          <w:bCs/>
          <w:color w:val="002060"/>
          <w:sz w:val="16"/>
          <w:szCs w:val="16"/>
        </w:rPr>
        <w:softHyphen/>
        <w:t>мый мощный из серийно выпускавшихся в тот период мотоцик</w:t>
      </w:r>
      <w:r w:rsidRPr="00DE096C">
        <w:rPr>
          <w:bCs/>
          <w:color w:val="002060"/>
          <w:sz w:val="16"/>
          <w:szCs w:val="16"/>
        </w:rPr>
        <w:softHyphen/>
        <w:t>лов - фирмы «Индиан». То были машины заводских марок С-1, С-2, С-3, причём, каждая - с У-образным двухцилиндровым дви</w:t>
      </w:r>
      <w:r w:rsidRPr="00DE096C">
        <w:rPr>
          <w:bCs/>
          <w:color w:val="002060"/>
          <w:sz w:val="16"/>
          <w:szCs w:val="16"/>
        </w:rPr>
        <w:softHyphen/>
        <w:t>гателем мощностью 7 л.с. [2.31]. Этого следовало ожидать, ведь именно такие машины оказались лучшими в первом испытатель</w:t>
      </w:r>
      <w:r w:rsidRPr="00DE096C">
        <w:rPr>
          <w:bCs/>
          <w:color w:val="002060"/>
          <w:sz w:val="16"/>
          <w:szCs w:val="16"/>
        </w:rPr>
        <w:softHyphen/>
        <w:t>ном мотопробеге, организованном ГВТУ в 1914 г. [2.23, 2.24].</w:t>
      </w:r>
    </w:p>
    <w:p w14:paraId="53302E8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Технический комитет Военного ведомства сформулировал технические требования (ТТ), предъявляемые к импортным мо</w:t>
      </w:r>
      <w:r w:rsidRPr="00DE096C">
        <w:rPr>
          <w:bCs/>
          <w:color w:val="002060"/>
          <w:sz w:val="16"/>
          <w:szCs w:val="16"/>
        </w:rPr>
        <w:softHyphen/>
        <w:t>тоциклам и запретил установку на коляску мотоцикла пулемёта и стрельбу из него во время движения. На мотоциклах разрешалась только раздельная транспортировка пулемётов либо до 5 тыс. пу</w:t>
      </w:r>
      <w:r w:rsidRPr="00DE096C">
        <w:rPr>
          <w:bCs/>
          <w:color w:val="002060"/>
          <w:sz w:val="16"/>
          <w:szCs w:val="16"/>
        </w:rPr>
        <w:softHyphen/>
        <w:t>лемётных патронов [2.33]. Этот запрет задерживал прогресс веде</w:t>
      </w:r>
      <w:r w:rsidRPr="00DE096C">
        <w:rPr>
          <w:bCs/>
          <w:color w:val="002060"/>
          <w:sz w:val="16"/>
          <w:szCs w:val="16"/>
        </w:rPr>
        <w:softHyphen/>
        <w:t>ния боя в русской армии и нередко нарушался, чему способство</w:t>
      </w:r>
      <w:r w:rsidRPr="00DE096C">
        <w:rPr>
          <w:bCs/>
          <w:color w:val="002060"/>
          <w:sz w:val="16"/>
          <w:szCs w:val="16"/>
        </w:rPr>
        <w:softHyphen/>
        <w:t>вали примеры как противника, так и союзников. Германские под</w:t>
      </w:r>
      <w:r w:rsidRPr="00DE096C">
        <w:rPr>
          <w:bCs/>
          <w:color w:val="002060"/>
          <w:sz w:val="16"/>
          <w:szCs w:val="16"/>
        </w:rPr>
        <w:softHyphen/>
        <w:t>разделения нередко наступали при огневой поддержке мотоцик</w:t>
      </w:r>
      <w:r w:rsidRPr="00DE096C">
        <w:rPr>
          <w:bCs/>
          <w:color w:val="002060"/>
          <w:sz w:val="16"/>
          <w:szCs w:val="16"/>
        </w:rPr>
        <w:softHyphen/>
        <w:t>лов «N511 8 Р5» с боковым прицепом, оснащённым станковым пу</w:t>
      </w:r>
      <w:r w:rsidRPr="00DE096C">
        <w:rPr>
          <w:bCs/>
          <w:color w:val="002060"/>
          <w:sz w:val="16"/>
          <w:szCs w:val="16"/>
        </w:rPr>
        <w:softHyphen/>
        <w:t>лемётом, а союзные - с французскими мотоциклами «С1етеп1 М11е1агу» и английскими - «С1упо МПеШгу», с установленными в коляске пулемётами типа «Максим», приспособленными для стрельбы на ходу и защитными бронелистами [2.5]. Сведений об использовании подобных мотоциклов в русской армии не об</w:t>
      </w:r>
      <w:r w:rsidRPr="00DE096C">
        <w:rPr>
          <w:bCs/>
          <w:color w:val="002060"/>
          <w:sz w:val="16"/>
          <w:szCs w:val="16"/>
        </w:rPr>
        <w:softHyphen/>
        <w:t>наружено (11429).</w:t>
      </w:r>
    </w:p>
    <w:p w14:paraId="7A75D8AA" w14:textId="77777777" w:rsidR="00B67D7C" w:rsidRPr="00DE096C" w:rsidRDefault="00B67D7C" w:rsidP="00D45A46">
      <w:pPr>
        <w:shd w:val="clear" w:color="auto" w:fill="FFFFFF"/>
        <w:jc w:val="both"/>
        <w:rPr>
          <w:bCs/>
          <w:color w:val="002060"/>
          <w:sz w:val="16"/>
          <w:szCs w:val="16"/>
        </w:rPr>
      </w:pPr>
    </w:p>
    <w:p w14:paraId="33A2D348" w14:textId="5387F038" w:rsidR="00954FE2" w:rsidRPr="00DE096C" w:rsidRDefault="00954FE2" w:rsidP="00D45A46">
      <w:pPr>
        <w:jc w:val="both"/>
        <w:rPr>
          <w:bCs/>
          <w:i/>
          <w:color w:val="002060"/>
          <w:sz w:val="16"/>
          <w:szCs w:val="16"/>
        </w:rPr>
      </w:pPr>
      <w:r w:rsidRPr="00DE096C">
        <w:rPr>
          <w:bCs/>
          <w:i/>
          <w:color w:val="002060"/>
          <w:sz w:val="16"/>
          <w:szCs w:val="16"/>
        </w:rPr>
        <w:lastRenderedPageBreak/>
        <w:t>Внешняя политика:</w:t>
      </w:r>
    </w:p>
    <w:p w14:paraId="1FD3EA41" w14:textId="77777777" w:rsidR="00954FE2" w:rsidRPr="00DE096C" w:rsidRDefault="00954FE2" w:rsidP="00D45A46">
      <w:pPr>
        <w:jc w:val="both"/>
        <w:rPr>
          <w:bCs/>
          <w:i/>
          <w:color w:val="002060"/>
          <w:sz w:val="16"/>
          <w:szCs w:val="16"/>
        </w:rPr>
      </w:pPr>
    </w:p>
    <w:p w14:paraId="0E7E55BE" w14:textId="77777777" w:rsidR="00954FE2" w:rsidRPr="00DE096C" w:rsidRDefault="00954FE2" w:rsidP="00D45A46">
      <w:pPr>
        <w:pStyle w:val="af7"/>
        <w:spacing w:line="240" w:lineRule="auto"/>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В ноябре 1914 г. И.Г. Щегловитов, Н.А. Маклаков и М.А. Таубе внесли в Совет министров записку, в «в духе старой русской политики», привычной к «традиционному британскому вероломству». Они ставили вопрос о недоверии полученным «британским устным уве</w:t>
      </w:r>
      <w:r w:rsidRPr="00DE096C">
        <w:rPr>
          <w:rFonts w:ascii="Times New Roman" w:hAnsi="Times New Roman" w:cs="Times New Roman"/>
          <w:bCs/>
          <w:color w:val="002060"/>
          <w:sz w:val="16"/>
          <w:szCs w:val="16"/>
        </w:rPr>
        <w:softHyphen/>
        <w:t>рениям», обещаниям отдать Константинополь и проливы и о необходимости самим позаботиться о действенной «га</w:t>
      </w:r>
      <w:r w:rsidRPr="00DE096C">
        <w:rPr>
          <w:rFonts w:ascii="Times New Roman" w:hAnsi="Times New Roman" w:cs="Times New Roman"/>
          <w:bCs/>
          <w:color w:val="002060"/>
          <w:sz w:val="16"/>
          <w:szCs w:val="16"/>
        </w:rPr>
        <w:softHyphen/>
        <w:t>рантии» в виде «возможно скорого завладения нами турец</w:t>
      </w:r>
      <w:r w:rsidRPr="00DE096C">
        <w:rPr>
          <w:rFonts w:ascii="Times New Roman" w:hAnsi="Times New Roman" w:cs="Times New Roman"/>
          <w:bCs/>
          <w:color w:val="002060"/>
          <w:sz w:val="16"/>
          <w:szCs w:val="16"/>
        </w:rPr>
        <w:softHyphen/>
        <w:t>кой столицей с обоими проливами». Записка была пред</w:t>
      </w:r>
      <w:r w:rsidRPr="00DE096C">
        <w:rPr>
          <w:rFonts w:ascii="Times New Roman" w:hAnsi="Times New Roman" w:cs="Times New Roman"/>
          <w:bCs/>
          <w:color w:val="002060"/>
          <w:sz w:val="16"/>
          <w:szCs w:val="16"/>
        </w:rPr>
        <w:softHyphen/>
        <w:t>ставлена Горемыкиным Николаю II и «препровождена на усмотрение верховного главнокомандующего» (Цит. по: Игнатьев А.В. Незавершенный этап. К истории русско- английских переговоров 1914 г. // История СССР. 1960. № 3. С. 113; Лопухин Б.В. Записки бывшего директора департамента Министерства иностранных дел. СПб., 2008. С. 261—262; Таубе М.А. «Зарницы». Воспоминания о трагической судьбе пред</w:t>
      </w:r>
      <w:r w:rsidRPr="00DE096C">
        <w:rPr>
          <w:rFonts w:ascii="Times New Roman" w:hAnsi="Times New Roman" w:cs="Times New Roman"/>
          <w:bCs/>
          <w:color w:val="002060"/>
          <w:sz w:val="16"/>
          <w:szCs w:val="16"/>
        </w:rPr>
        <w:softHyphen/>
        <w:t>революционной России (1900—1917). М., 2007. С. 183—184. После воз</w:t>
      </w:r>
      <w:r w:rsidRPr="00DE096C">
        <w:rPr>
          <w:rFonts w:ascii="Times New Roman" w:hAnsi="Times New Roman" w:cs="Times New Roman"/>
          <w:bCs/>
          <w:color w:val="002060"/>
          <w:sz w:val="16"/>
          <w:szCs w:val="16"/>
        </w:rPr>
        <w:softHyphen/>
        <w:t>мущения, вызванного оглаской этого шага в Думе как акта прогерман</w:t>
      </w:r>
      <w:r w:rsidRPr="00DE096C">
        <w:rPr>
          <w:rFonts w:ascii="Times New Roman" w:hAnsi="Times New Roman" w:cs="Times New Roman"/>
          <w:bCs/>
          <w:color w:val="002060"/>
          <w:sz w:val="16"/>
          <w:szCs w:val="16"/>
        </w:rPr>
        <w:softHyphen/>
        <w:t>ски настроенных сил, Таубе, признавая сам факт внесения записки трех авторов в Совет министров и в «высокие сферы», пытался представить ее как записку «об основных задачах нашей внутренней политики» в условиях войны (см. его письмо в редакцию: Речь. 1916, 9 марта). Во</w:t>
      </w:r>
      <w:r w:rsidRPr="00DE096C">
        <w:rPr>
          <w:rFonts w:ascii="Times New Roman" w:hAnsi="Times New Roman" w:cs="Times New Roman"/>
          <w:bCs/>
          <w:color w:val="002060"/>
          <w:sz w:val="16"/>
          <w:szCs w:val="16"/>
        </w:rPr>
        <w:softHyphen/>
        <w:t>просы внутренней политики в ней затронуты, но в целом содержание записки касалось именно международных отношений, как это видно из конспекта и цитат, приведенных В.С. Дякиным (Дякин В.С. Националь</w:t>
      </w:r>
      <w:r w:rsidRPr="00DE096C">
        <w:rPr>
          <w:rFonts w:ascii="Times New Roman" w:hAnsi="Times New Roman" w:cs="Times New Roman"/>
          <w:bCs/>
          <w:color w:val="002060"/>
          <w:sz w:val="16"/>
          <w:szCs w:val="16"/>
        </w:rPr>
        <w:softHyphen/>
        <w:t>ный вопрос во внутренней политике царизма. СПб., 1998. С. 403—404)) (23452).</w:t>
      </w:r>
    </w:p>
    <w:p w14:paraId="1FAC1931" w14:textId="77777777" w:rsidR="00954FE2" w:rsidRPr="00DE096C" w:rsidRDefault="00954FE2" w:rsidP="00D45A46">
      <w:pPr>
        <w:jc w:val="both"/>
        <w:rPr>
          <w:bCs/>
          <w:color w:val="002060"/>
          <w:sz w:val="16"/>
          <w:szCs w:val="16"/>
        </w:rPr>
      </w:pPr>
    </w:p>
    <w:p w14:paraId="1605F9FB" w14:textId="0890387E" w:rsidR="00B67D7C" w:rsidRPr="00DE096C" w:rsidRDefault="00B67D7C" w:rsidP="00D45A46">
      <w:pPr>
        <w:jc w:val="both"/>
        <w:rPr>
          <w:bCs/>
          <w:i/>
          <w:color w:val="002060"/>
          <w:sz w:val="16"/>
          <w:szCs w:val="16"/>
        </w:rPr>
      </w:pPr>
      <w:r w:rsidRPr="00DE096C">
        <w:rPr>
          <w:bCs/>
          <w:i/>
          <w:color w:val="002060"/>
          <w:sz w:val="16"/>
          <w:szCs w:val="16"/>
        </w:rPr>
        <w:t>Авиация и воздухоплавание Германии:</w:t>
      </w:r>
    </w:p>
    <w:p w14:paraId="7E53CE59" w14:textId="77777777" w:rsidR="00B67D7C" w:rsidRPr="00DE096C" w:rsidRDefault="00B67D7C" w:rsidP="00D45A46">
      <w:pPr>
        <w:jc w:val="both"/>
        <w:rPr>
          <w:bCs/>
          <w:i/>
          <w:color w:val="002060"/>
          <w:sz w:val="16"/>
          <w:szCs w:val="16"/>
        </w:rPr>
      </w:pPr>
    </w:p>
    <w:p w14:paraId="70202710" w14:textId="77777777" w:rsidR="00B67D7C" w:rsidRPr="00DE096C" w:rsidRDefault="00B67D7C" w:rsidP="00D45A46">
      <w:pPr>
        <w:jc w:val="both"/>
        <w:rPr>
          <w:bCs/>
          <w:color w:val="002060"/>
          <w:sz w:val="16"/>
          <w:szCs w:val="16"/>
        </w:rPr>
      </w:pPr>
      <w:r w:rsidRPr="00DE096C">
        <w:rPr>
          <w:bCs/>
          <w:color w:val="002060"/>
          <w:sz w:val="16"/>
          <w:szCs w:val="16"/>
        </w:rPr>
        <w:t>В ноябре 1914 года в Германии вновь стали раздаваться голоса, нередко исходившие из среды самих воздухоплавателей, рекомендовавшие вовсе отказаться от привязных аэростатов. Однако вскоре отношение к ним переменилось. Хотя полевой устав и не предполагал использовать привязной аэростат как возвышенный наблюдательный пункт для корректирования стрельбы артиллерии, тем не менее его стали применять для этой цели. После того как одному из воздухоплавательных отрядов удалось, заменив аэростат объемом 600 м3 доставленным из тыла аэростатом объемом 1000 м3, подняться на высоту 1200 м, началась совместная работа воздухоплавательных отрядов с тяжелой артиллерией. Инспекция воздухоплавания отдала теперь распоряжение построить в кратчайший срок аэростаты объемом 800 и l000 м3, чтобы в течение года переоснастить ими все полевые воздухоплавательные отряды. Значение аэростата возросло, улучшившееся положение со снарядами позволяло артиллерии усилить свою деятельность, Мысль об упразднении аэростатов, однако, не была оставлена - оценка их деятельности была очень различна. Тяжелая артиллерия по фотоснимкам, сделанным с самолетов, убеждалась в успешности артиллерийско огня, корректируемого аэронавтами. Но важные рзведывательные данные, добытые путем наблюдения аэростатов, отсылались не общевойсковому командованию, а артиллерийским начальникам, в силу чего командование не имело полного представления о работе аэронавтов и было склонно недооценивать ее эффектна ность. К сожалению, при штабах корпусов и армий не было представителей полевых воздухоплавательных частей Командировать же туда специалистов было невозможно вследствие небольшого числа полевых воздухоплавательных отрядов (11282).</w:t>
      </w:r>
    </w:p>
    <w:p w14:paraId="1C877F09" w14:textId="77777777" w:rsidR="00B67D7C" w:rsidRPr="00DE096C" w:rsidRDefault="00B67D7C" w:rsidP="00D45A46">
      <w:pPr>
        <w:jc w:val="both"/>
        <w:rPr>
          <w:bCs/>
          <w:color w:val="002060"/>
          <w:sz w:val="16"/>
          <w:szCs w:val="16"/>
        </w:rPr>
      </w:pPr>
    </w:p>
    <w:p w14:paraId="1521373E" w14:textId="77777777" w:rsidR="00B67D7C" w:rsidRPr="00DE096C" w:rsidRDefault="00B67D7C" w:rsidP="00D45A46">
      <w:pPr>
        <w:jc w:val="both"/>
        <w:rPr>
          <w:bCs/>
          <w:color w:val="002060"/>
          <w:sz w:val="16"/>
          <w:szCs w:val="16"/>
        </w:rPr>
      </w:pPr>
      <w:r w:rsidRPr="00DE096C">
        <w:rPr>
          <w:bCs/>
          <w:color w:val="002060"/>
          <w:sz w:val="16"/>
          <w:szCs w:val="16"/>
        </w:rPr>
        <w:t>В ноябре 1914 после нескольких месяцев упорных боев японцы захватили важнейшую военно-морскую базу Германии - Циндао, расположенную на южном побережье Шаньдуньского полуострова (Китай). На этом заканчивается участие в войне Японии.</w:t>
      </w:r>
    </w:p>
    <w:p w14:paraId="3650F720" w14:textId="77777777" w:rsidR="00B67D7C" w:rsidRPr="00DE096C" w:rsidRDefault="00B67D7C" w:rsidP="00D45A46">
      <w:pPr>
        <w:jc w:val="both"/>
        <w:rPr>
          <w:bCs/>
          <w:color w:val="002060"/>
          <w:sz w:val="16"/>
          <w:szCs w:val="16"/>
        </w:rPr>
      </w:pPr>
      <w:r w:rsidRPr="00DE096C">
        <w:rPr>
          <w:bCs/>
          <w:color w:val="002060"/>
          <w:sz w:val="16"/>
          <w:szCs w:val="16"/>
        </w:rPr>
        <w:t>Япония очень активно использовала в боевых действиях все свои семь аэропланов. Они выполняли разведку укреплений, бомбометание на береговые батареи и другие объекты обороны. Военным летчикам впервые в истории авиации ставилась задача по обнаружению подводных минных заграждений, с которой они успешно справились. Однако, несмотря на упорные, практически ежедневные полеты всех семи машин, авиация не оказала серьезного влияния на ход боевых действий - как из-за своей малочисленности, так и из-за несовершенства и слабости бомбовой нагрузки. За все время боевых действий, несмотря на хорошо организованный заградительный огонь германской артиллерии, японцы не потеряли ни одного аэроплана. При встречах в воздухе с единственным германским летчиком противники поначалу обменивались приветствиями, и лишь в последний месяц пулями из личного оружия, тем самым еще раз доказывая неизбежность именно такого развития отношений между авиаторами враждующих сторон.</w:t>
      </w:r>
    </w:p>
    <w:p w14:paraId="5B2569E7" w14:textId="77777777" w:rsidR="00B67D7C" w:rsidRPr="00DE096C" w:rsidRDefault="00B67D7C" w:rsidP="00D45A46">
      <w:pPr>
        <w:jc w:val="both"/>
        <w:rPr>
          <w:bCs/>
          <w:color w:val="002060"/>
          <w:sz w:val="16"/>
          <w:szCs w:val="16"/>
        </w:rPr>
      </w:pPr>
      <w:r w:rsidRPr="00DE096C">
        <w:rPr>
          <w:bCs/>
          <w:color w:val="002060"/>
          <w:sz w:val="16"/>
          <w:szCs w:val="16"/>
        </w:rPr>
        <w:t>Наибольший интерес представляет работа германского военного летчика обер-лейтенанта Плюшова. Он осуществлял всю боевую работу один, не допуская австрийца к своей машине. Австрийский летчик все время активно работал над восстановлением своего аппарата. Учитывая малые размеры и неудобство зажатого меж гор единственного крепостного аэродрома, он заодно решил установить на своем аппарате вместо шасси поплавки. В этот день он как раз закончил работу, однако, вместо того, чтобы испытать свое детище в полете, вынужден был сжечь аппарат.</w:t>
      </w:r>
    </w:p>
    <w:p w14:paraId="455CB69B" w14:textId="77777777" w:rsidR="00B67D7C" w:rsidRPr="00DE096C" w:rsidRDefault="00B67D7C" w:rsidP="00D45A46">
      <w:pPr>
        <w:jc w:val="both"/>
        <w:rPr>
          <w:bCs/>
          <w:color w:val="002060"/>
          <w:sz w:val="16"/>
          <w:szCs w:val="16"/>
        </w:rPr>
      </w:pPr>
      <w:r w:rsidRPr="00DE096C">
        <w:rPr>
          <w:bCs/>
          <w:color w:val="002060"/>
          <w:sz w:val="16"/>
          <w:szCs w:val="16"/>
        </w:rPr>
        <w:t>Плюшов в первые месяцы, так же как и на Европейском театре, сам назначал себе задачи, летал куда считал нужным и бросал бомбы лишь мимоходом . Он летал практически каждый день, бросая на палубы неприятеля кофейные банки, начиненные порохом и мелкими железками, которые взрывались едва ли не через одну, и регулярно осуществлял разведку. Постепенно командование крепости осознало всю ценность его работы, и круг обязанностей Плюшова расширился. Он стал отыскивать батареи противника и корректировать огонь артиллерии. Несмотря на многочисленные попытки японцев сбить его, Плюшов смог сохранить свой аппарат в целости до самого последнего дня блокады, летая даже на самодельных винтах. О его значении для обороняющихся хорошо свидетельствует следующее напутствие, данное ему накануне падения крепости начальником штаба обороны: "Помните, Плюшов, вы теперь для Циндао важнее насущного хлеба. Возвращайтесь сами и сохраните аэроплан. И думайте также о том, как мало у нас снарядов, и что мы здесь их расстреливаем по вашим наблюдениям". В условиях горной местности у гарнизона крепости и в самом деле не было никакой иной возможности обнаруживать места дислокаций батарей и войск противника.</w:t>
      </w:r>
    </w:p>
    <w:p w14:paraId="10D64389" w14:textId="77777777" w:rsidR="00B67D7C" w:rsidRPr="00DE096C" w:rsidRDefault="00B67D7C" w:rsidP="00D45A46">
      <w:pPr>
        <w:jc w:val="both"/>
        <w:rPr>
          <w:bCs/>
          <w:color w:val="002060"/>
          <w:sz w:val="16"/>
          <w:szCs w:val="16"/>
        </w:rPr>
      </w:pPr>
      <w:r w:rsidRPr="00DE096C">
        <w:rPr>
          <w:bCs/>
          <w:color w:val="002060"/>
          <w:sz w:val="16"/>
          <w:szCs w:val="16"/>
        </w:rPr>
        <w:t>Перед занятием крепости японцами, Плюшов сумел вылететь со всеми документами в направлении Пекина. Неподалеку от столицы Китая он сжег свой самолет и, будучи интернирован китайским правительством, смог, в конце концов, добраться до Германии (11999).</w:t>
      </w:r>
    </w:p>
    <w:p w14:paraId="06E98F7A" w14:textId="77777777" w:rsidR="00B67D7C" w:rsidRPr="00DE096C" w:rsidRDefault="00B67D7C" w:rsidP="00D45A46">
      <w:pPr>
        <w:jc w:val="both"/>
        <w:rPr>
          <w:bCs/>
          <w:i/>
          <w:color w:val="002060"/>
          <w:sz w:val="16"/>
          <w:szCs w:val="16"/>
        </w:rPr>
      </w:pPr>
    </w:p>
    <w:p w14:paraId="64FA03FB" w14:textId="77777777" w:rsidR="00C7639D" w:rsidRPr="00B52707" w:rsidRDefault="00C7639D" w:rsidP="00C7639D">
      <w:pPr>
        <w:jc w:val="both"/>
        <w:rPr>
          <w:color w:val="0070C0"/>
          <w:sz w:val="16"/>
          <w:szCs w:val="16"/>
        </w:rPr>
      </w:pPr>
      <w:r w:rsidRPr="00B52707">
        <w:rPr>
          <w:color w:val="0070C0"/>
          <w:sz w:val="16"/>
          <w:szCs w:val="16"/>
        </w:rPr>
        <w:t>В ноябре 1914 г. в Германии сформировали первую бомбардировочную часть, скрывавшуюся под не</w:t>
      </w:r>
      <w:r w:rsidRPr="00B52707">
        <w:rPr>
          <w:color w:val="0070C0"/>
          <w:sz w:val="16"/>
          <w:szCs w:val="16"/>
        </w:rPr>
        <w:softHyphen/>
        <w:t>винным названием «отряда почтовых голубей Остен</w:t>
      </w:r>
      <w:r w:rsidRPr="00B52707">
        <w:rPr>
          <w:color w:val="0070C0"/>
          <w:sz w:val="16"/>
          <w:szCs w:val="16"/>
        </w:rPr>
        <w:softHyphen/>
        <w:t>де» (Brieftauben-Abteilung Ostende — ВАО). В августе следующего года сформировали аналогичный отряд в Меце (Brieftauben-Abteilung Metz — ВАМ). Впослед</w:t>
      </w:r>
      <w:r w:rsidRPr="00B52707">
        <w:rPr>
          <w:color w:val="0070C0"/>
          <w:sz w:val="16"/>
          <w:szCs w:val="16"/>
        </w:rPr>
        <w:softHyphen/>
        <w:t>ствии они стали основой для развертывания первых двух т.н. «боевых эскадр резерва главнокомандова</w:t>
      </w:r>
      <w:r w:rsidRPr="00B52707">
        <w:rPr>
          <w:color w:val="0070C0"/>
          <w:sz w:val="16"/>
          <w:szCs w:val="16"/>
        </w:rPr>
        <w:softHyphen/>
        <w:t>ния сухопутных войск» (Kampfgeschwader der Obersten Heeresleitung — сокращенно Kagohl). В течение 1915- 1916 гг. сформировали в общей сложности семь таких эскадр, штатный состав каждой из которых предусма</w:t>
      </w:r>
      <w:r w:rsidRPr="00B52707">
        <w:rPr>
          <w:color w:val="0070C0"/>
          <w:sz w:val="16"/>
          <w:szCs w:val="16"/>
        </w:rPr>
        <w:softHyphen/>
        <w:t>тривал наличие шести отрядов (по шесть самолетов класса «С», т. е., одномоторных двухместных воору</w:t>
      </w:r>
      <w:r w:rsidRPr="00B52707">
        <w:rPr>
          <w:color w:val="0070C0"/>
          <w:sz w:val="16"/>
          <w:szCs w:val="16"/>
        </w:rPr>
        <w:softHyphen/>
        <w:t>женных бипланов) (24992).</w:t>
      </w:r>
    </w:p>
    <w:p w14:paraId="6677AC97" w14:textId="77777777" w:rsidR="00C7639D" w:rsidRPr="00B52707" w:rsidRDefault="00C7639D" w:rsidP="00C7639D">
      <w:pPr>
        <w:jc w:val="both"/>
        <w:rPr>
          <w:color w:val="0070C0"/>
          <w:sz w:val="16"/>
          <w:szCs w:val="16"/>
        </w:rPr>
      </w:pPr>
    </w:p>
    <w:p w14:paraId="7665F8A0" w14:textId="77777777" w:rsidR="008F7D8F" w:rsidRPr="00DE096C" w:rsidRDefault="008F7D8F" w:rsidP="00D45A46">
      <w:pPr>
        <w:jc w:val="both"/>
        <w:rPr>
          <w:bCs/>
          <w:color w:val="002060"/>
          <w:sz w:val="16"/>
          <w:szCs w:val="16"/>
        </w:rPr>
      </w:pPr>
      <w:r w:rsidRPr="00DE096C">
        <w:rPr>
          <w:bCs/>
          <w:color w:val="002060"/>
          <w:sz w:val="16"/>
          <w:szCs w:val="16"/>
        </w:rPr>
        <w:t>В ноябре 1914 были первые воздушные операции на борту корабля Императорского флота Германии, когда на броненосном крейсере «Фридрих Карл» размещается на два гидросамолета для разведки российских портов в Балтийском море. Один все еще находится на борту, когда 17 ноября Фридрих Карл подорвался на мине и затонул.</w:t>
      </w:r>
    </w:p>
    <w:p w14:paraId="4100170C" w14:textId="77777777" w:rsidR="008F7D8F" w:rsidRPr="00DE096C" w:rsidRDefault="008F7D8F" w:rsidP="00D45A46">
      <w:pPr>
        <w:jc w:val="both"/>
        <w:rPr>
          <w:bCs/>
          <w:color w:val="002060"/>
          <w:sz w:val="16"/>
          <w:szCs w:val="16"/>
        </w:rPr>
      </w:pPr>
    </w:p>
    <w:p w14:paraId="32F8FB2C" w14:textId="6C4173DD" w:rsidR="00C7639D" w:rsidRPr="00DE096C" w:rsidRDefault="00C7639D" w:rsidP="00C7639D">
      <w:pPr>
        <w:jc w:val="both"/>
        <w:rPr>
          <w:bCs/>
          <w:i/>
          <w:color w:val="002060"/>
          <w:sz w:val="16"/>
          <w:szCs w:val="16"/>
        </w:rPr>
      </w:pPr>
      <w:r w:rsidRPr="00DE096C">
        <w:rPr>
          <w:bCs/>
          <w:i/>
          <w:color w:val="002060"/>
          <w:sz w:val="16"/>
          <w:szCs w:val="16"/>
        </w:rPr>
        <w:t xml:space="preserve">Авиация и воздухоплавание </w:t>
      </w:r>
      <w:r>
        <w:rPr>
          <w:bCs/>
          <w:i/>
          <w:color w:val="002060"/>
          <w:sz w:val="16"/>
          <w:szCs w:val="16"/>
        </w:rPr>
        <w:t>Франции</w:t>
      </w:r>
      <w:r w:rsidRPr="00DE096C">
        <w:rPr>
          <w:bCs/>
          <w:i/>
          <w:color w:val="002060"/>
          <w:sz w:val="16"/>
          <w:szCs w:val="16"/>
        </w:rPr>
        <w:t>:</w:t>
      </w:r>
    </w:p>
    <w:p w14:paraId="14C8A732" w14:textId="77777777" w:rsidR="00C7639D" w:rsidRPr="00DE096C" w:rsidRDefault="00C7639D" w:rsidP="00C7639D">
      <w:pPr>
        <w:jc w:val="both"/>
        <w:rPr>
          <w:bCs/>
          <w:i/>
          <w:color w:val="002060"/>
          <w:sz w:val="16"/>
          <w:szCs w:val="16"/>
        </w:rPr>
      </w:pPr>
    </w:p>
    <w:p w14:paraId="57528A59" w14:textId="77777777" w:rsidR="00C7639D" w:rsidRPr="00B52707" w:rsidRDefault="00C7639D" w:rsidP="00C7639D">
      <w:pPr>
        <w:jc w:val="both"/>
        <w:rPr>
          <w:color w:val="0070C0"/>
          <w:sz w:val="16"/>
          <w:szCs w:val="16"/>
        </w:rPr>
      </w:pPr>
      <w:r w:rsidRPr="00B52707">
        <w:rPr>
          <w:color w:val="0070C0"/>
          <w:sz w:val="16"/>
          <w:szCs w:val="16"/>
        </w:rPr>
        <w:t>В ноябре 1914 года известный французский летчик-испытатель фирмы Моран-Солинье лейтенант Гарро предложил идею создания одноместного истребителя, вооруженного одним пулеметом, закрепленным параллельно линии полета и стреляющим через круг, ометаемый воздушным винтом. Для того чтобы пули, попадая в винт, не пробивали и не повреждали его, Гарро предложил так называемый отсекатель пуль.</w:t>
      </w:r>
    </w:p>
    <w:p w14:paraId="1492667B" w14:textId="77777777" w:rsidR="00C7639D" w:rsidRPr="00B52707" w:rsidRDefault="00C7639D" w:rsidP="00C7639D">
      <w:pPr>
        <w:jc w:val="both"/>
        <w:rPr>
          <w:color w:val="0070C0"/>
          <w:sz w:val="16"/>
          <w:szCs w:val="16"/>
        </w:rPr>
      </w:pPr>
      <w:r w:rsidRPr="00B52707">
        <w:rPr>
          <w:color w:val="0070C0"/>
          <w:sz w:val="16"/>
          <w:szCs w:val="16"/>
        </w:rPr>
        <w:t>Отсекатель представлял собой трехгранную, стальную призму, надетую на лопасти воздушного винта в том месте, где они пересекаются с продолженной осью канала ствола неподвижно установленного пулемета. Пули, попадая в ребро или в грань призмы, рикошетировали и не повреждали винта. Рикошетировало более 15% пуль от количества всех выстрелов.</w:t>
      </w:r>
    </w:p>
    <w:p w14:paraId="4F72309C" w14:textId="77777777" w:rsidR="00C7639D" w:rsidRPr="00B52707" w:rsidRDefault="00C7639D" w:rsidP="00C7639D">
      <w:pPr>
        <w:jc w:val="both"/>
        <w:rPr>
          <w:color w:val="0070C0"/>
          <w:sz w:val="16"/>
          <w:szCs w:val="16"/>
        </w:rPr>
      </w:pPr>
      <w:r w:rsidRPr="00B52707">
        <w:rPr>
          <w:color w:val="0070C0"/>
          <w:sz w:val="16"/>
          <w:szCs w:val="16"/>
        </w:rPr>
        <w:t>В феврале 1915 года предложение Гарро было реализовано, и на фронте появился истребитель, вооруженный одним пулеметом, стреляющим через винт. В апреле Гарро сбивает три самолета противника не понятным для немцев способом. Стрельба через винт считалась невозможной, поэтому атакующих точно в самолет не опасались, поскольку оружие было установлено под углом к оси самолета. Сама атака производилась под углом к самолету противника (25100).</w:t>
      </w:r>
    </w:p>
    <w:p w14:paraId="6ABFA5CA" w14:textId="77777777" w:rsidR="00C7639D" w:rsidRPr="00B52707" w:rsidRDefault="00C7639D" w:rsidP="00C7639D">
      <w:pPr>
        <w:jc w:val="both"/>
        <w:rPr>
          <w:color w:val="0070C0"/>
          <w:sz w:val="16"/>
          <w:szCs w:val="16"/>
        </w:rPr>
      </w:pPr>
    </w:p>
    <w:p w14:paraId="79B24123" w14:textId="77777777" w:rsidR="00CF63A2" w:rsidRPr="00CF03EC" w:rsidRDefault="00CF63A2" w:rsidP="00CF63A2">
      <w:pPr>
        <w:jc w:val="both"/>
        <w:rPr>
          <w:color w:val="0070C0"/>
          <w:sz w:val="16"/>
          <w:szCs w:val="16"/>
        </w:rPr>
      </w:pPr>
      <w:r w:rsidRPr="00CF03EC">
        <w:rPr>
          <w:color w:val="0070C0"/>
          <w:sz w:val="16"/>
          <w:szCs w:val="16"/>
        </w:rPr>
        <w:t>В ноябре 1914 г. был очередной рапорт Гарро о переводе в авиацию наконец-то приняли и его определили вооруженную аэропланами Моран-Солнье Тип L «Парасоль» в разведывательную эскадрилью M.S.23, правда, не пилотом, а летчиком-наблюдателем. А он хотел летать сам, считая летнаба лишь обузой (25772).</w:t>
      </w:r>
    </w:p>
    <w:p w14:paraId="4679E6EE" w14:textId="77777777" w:rsidR="00CF63A2" w:rsidRPr="00CF03EC" w:rsidRDefault="00CF63A2" w:rsidP="00CF63A2">
      <w:pPr>
        <w:jc w:val="both"/>
        <w:rPr>
          <w:color w:val="0070C0"/>
          <w:sz w:val="16"/>
          <w:szCs w:val="16"/>
        </w:rPr>
      </w:pPr>
    </w:p>
    <w:p w14:paraId="4931F158" w14:textId="77777777" w:rsidR="00B67D7C" w:rsidRPr="00DE096C" w:rsidRDefault="00B67D7C" w:rsidP="00D45A46">
      <w:pPr>
        <w:jc w:val="both"/>
        <w:rPr>
          <w:bCs/>
          <w:i/>
          <w:color w:val="002060"/>
          <w:sz w:val="16"/>
          <w:szCs w:val="16"/>
        </w:rPr>
      </w:pPr>
      <w:r w:rsidRPr="00DE096C">
        <w:rPr>
          <w:bCs/>
          <w:i/>
          <w:color w:val="002060"/>
          <w:sz w:val="16"/>
          <w:szCs w:val="16"/>
        </w:rPr>
        <w:t>Авиация и воздухоплавание Англии:</w:t>
      </w:r>
    </w:p>
    <w:p w14:paraId="1C049563" w14:textId="77777777" w:rsidR="00B67D7C" w:rsidRPr="00DE096C" w:rsidRDefault="00B67D7C" w:rsidP="00D45A46">
      <w:pPr>
        <w:jc w:val="both"/>
        <w:rPr>
          <w:bCs/>
          <w:i/>
          <w:color w:val="002060"/>
          <w:sz w:val="16"/>
          <w:szCs w:val="16"/>
        </w:rPr>
      </w:pPr>
    </w:p>
    <w:p w14:paraId="76E3B753" w14:textId="1ECD0FBA" w:rsidR="00B67D7C" w:rsidRPr="00DE096C" w:rsidRDefault="00B67D7C" w:rsidP="00D45A46">
      <w:pPr>
        <w:jc w:val="both"/>
        <w:rPr>
          <w:bCs/>
          <w:color w:val="002060"/>
          <w:sz w:val="16"/>
          <w:szCs w:val="16"/>
        </w:rPr>
      </w:pPr>
      <w:r w:rsidRPr="00DE096C">
        <w:rPr>
          <w:bCs/>
          <w:color w:val="002060"/>
          <w:sz w:val="16"/>
          <w:szCs w:val="16"/>
        </w:rPr>
        <w:t xml:space="preserve">В ноябре месяце </w:t>
      </w:r>
      <w:r w:rsidR="009716B6" w:rsidRPr="00DE096C">
        <w:rPr>
          <w:bCs/>
          <w:color w:val="002060"/>
          <w:sz w:val="16"/>
          <w:szCs w:val="16"/>
        </w:rPr>
        <w:t xml:space="preserve">1914 г. </w:t>
      </w:r>
      <w:r w:rsidRPr="00DE096C">
        <w:rPr>
          <w:bCs/>
          <w:color w:val="002060"/>
          <w:sz w:val="16"/>
          <w:szCs w:val="16"/>
        </w:rPr>
        <w:t>британскими воздушными разведчиками была произведена первая удачная аэрофотосъемка позиций в районе д. Невшатель (11999).</w:t>
      </w:r>
    </w:p>
    <w:p w14:paraId="18FCEC7B" w14:textId="77777777" w:rsidR="00B67D7C" w:rsidRPr="00DE096C" w:rsidRDefault="00B67D7C" w:rsidP="00D45A46">
      <w:pPr>
        <w:jc w:val="both"/>
        <w:rPr>
          <w:bCs/>
          <w:color w:val="002060"/>
          <w:sz w:val="16"/>
          <w:szCs w:val="16"/>
        </w:rPr>
      </w:pPr>
    </w:p>
    <w:p w14:paraId="3A08F1F1" w14:textId="77777777" w:rsidR="00B67D7C" w:rsidRPr="00DE096C" w:rsidRDefault="00B67D7C" w:rsidP="00D45A46">
      <w:pPr>
        <w:jc w:val="both"/>
        <w:rPr>
          <w:bCs/>
          <w:i/>
          <w:color w:val="002060"/>
          <w:sz w:val="16"/>
          <w:szCs w:val="16"/>
        </w:rPr>
      </w:pPr>
      <w:r w:rsidRPr="00DE096C">
        <w:rPr>
          <w:bCs/>
          <w:i/>
          <w:color w:val="002060"/>
          <w:sz w:val="16"/>
          <w:szCs w:val="16"/>
        </w:rPr>
        <w:t>Самолетостроение:</w:t>
      </w:r>
    </w:p>
    <w:p w14:paraId="04367A6E" w14:textId="77777777" w:rsidR="00B67D7C" w:rsidRPr="00DE096C" w:rsidRDefault="00B67D7C" w:rsidP="00D45A46">
      <w:pPr>
        <w:jc w:val="both"/>
        <w:rPr>
          <w:bCs/>
          <w:i/>
          <w:color w:val="002060"/>
          <w:sz w:val="16"/>
          <w:szCs w:val="16"/>
        </w:rPr>
      </w:pPr>
    </w:p>
    <w:p w14:paraId="1A724697" w14:textId="0A27823D" w:rsidR="00B67D7C" w:rsidRPr="00DE096C" w:rsidRDefault="009716B6" w:rsidP="00D45A46">
      <w:pPr>
        <w:jc w:val="both"/>
        <w:rPr>
          <w:bCs/>
          <w:color w:val="002060"/>
          <w:sz w:val="16"/>
          <w:szCs w:val="16"/>
        </w:rPr>
      </w:pPr>
      <w:r w:rsidRPr="00DE096C">
        <w:rPr>
          <w:bCs/>
          <w:color w:val="002060"/>
          <w:sz w:val="16"/>
          <w:szCs w:val="16"/>
        </w:rPr>
        <w:lastRenderedPageBreak/>
        <w:t>В</w:t>
      </w:r>
      <w:r w:rsidR="00B67D7C" w:rsidRPr="00DE096C">
        <w:rPr>
          <w:bCs/>
          <w:color w:val="002060"/>
          <w:sz w:val="16"/>
          <w:szCs w:val="16"/>
        </w:rPr>
        <w:t xml:space="preserve"> ноябре-декабре 1914 г.</w:t>
      </w:r>
      <w:r w:rsidRPr="00DE096C">
        <w:rPr>
          <w:bCs/>
          <w:color w:val="002060"/>
          <w:sz w:val="16"/>
          <w:szCs w:val="16"/>
        </w:rPr>
        <w:t xml:space="preserve"> на РБВЗ были готовы</w:t>
      </w:r>
      <w:r w:rsidR="00B67D7C" w:rsidRPr="00DE096C">
        <w:rPr>
          <w:bCs/>
          <w:color w:val="002060"/>
          <w:sz w:val="16"/>
          <w:szCs w:val="16"/>
        </w:rPr>
        <w:t xml:space="preserve"> </w:t>
      </w:r>
      <w:r w:rsidRPr="00DE096C">
        <w:rPr>
          <w:bCs/>
          <w:color w:val="002060"/>
          <w:sz w:val="16"/>
          <w:szCs w:val="16"/>
        </w:rPr>
        <w:t xml:space="preserve">первые три машины "тип В". С седьмого самолета РБВЗ перешел на "тип В" с уменьшенной площадью крыльев, улучшенной аэродинамикой и бомболюком. Бомбы подвешивались внутри фюзеляжа в кассетах и освобождались механическим сбрасывателем. Бомбовая нагрузка составляла 500 кг; калибр бомб - до 10 пудов. Для членов экипажа предусматривалась бронезаши- та, бронированные сиденья, жилеты и каски </w:t>
      </w:r>
      <w:r w:rsidR="00B67D7C" w:rsidRPr="00DE096C">
        <w:rPr>
          <w:bCs/>
          <w:color w:val="002060"/>
          <w:sz w:val="16"/>
          <w:szCs w:val="16"/>
        </w:rPr>
        <w:t>(12036).</w:t>
      </w:r>
    </w:p>
    <w:p w14:paraId="2D0ABC43" w14:textId="77777777" w:rsidR="00B67D7C" w:rsidRPr="00DE096C" w:rsidRDefault="00B67D7C" w:rsidP="00D45A46">
      <w:pPr>
        <w:jc w:val="both"/>
        <w:rPr>
          <w:bCs/>
          <w:color w:val="002060"/>
          <w:sz w:val="16"/>
          <w:szCs w:val="16"/>
        </w:rPr>
      </w:pPr>
    </w:p>
    <w:p w14:paraId="7275504F" w14:textId="77777777" w:rsidR="005912A3" w:rsidRPr="00DE096C" w:rsidRDefault="005912A3" w:rsidP="00D45A46">
      <w:pPr>
        <w:jc w:val="both"/>
        <w:rPr>
          <w:bCs/>
          <w:color w:val="002060"/>
          <w:sz w:val="16"/>
          <w:szCs w:val="16"/>
        </w:rPr>
      </w:pPr>
      <w:r w:rsidRPr="00DE096C">
        <w:rPr>
          <w:bCs/>
          <w:color w:val="002060"/>
          <w:sz w:val="16"/>
          <w:szCs w:val="16"/>
        </w:rPr>
        <w:t>В ноябре-декабре 1914 г. первые маши</w:t>
      </w:r>
      <w:r w:rsidRPr="00DE096C">
        <w:rPr>
          <w:bCs/>
          <w:color w:val="002060"/>
          <w:sz w:val="16"/>
          <w:szCs w:val="16"/>
        </w:rPr>
        <w:softHyphen/>
        <w:t>ны ИМ новой серии были готовы. Испытания пока</w:t>
      </w:r>
      <w:r w:rsidRPr="00DE096C">
        <w:rPr>
          <w:bCs/>
          <w:color w:val="002060"/>
          <w:sz w:val="16"/>
          <w:szCs w:val="16"/>
        </w:rPr>
        <w:softHyphen/>
        <w:t>зали существенное увеличение лёт</w:t>
      </w:r>
      <w:r w:rsidRPr="00DE096C">
        <w:rPr>
          <w:bCs/>
          <w:color w:val="002060"/>
          <w:sz w:val="16"/>
          <w:szCs w:val="16"/>
        </w:rPr>
        <w:softHyphen/>
        <w:t>но-технических характеристик по сравнению с предшествующей мо</w:t>
      </w:r>
      <w:r w:rsidRPr="00DE096C">
        <w:rPr>
          <w:bCs/>
          <w:color w:val="002060"/>
          <w:sz w:val="16"/>
          <w:szCs w:val="16"/>
        </w:rPr>
        <w:softHyphen/>
        <w:t>делью «Муромца». Вслед за первы</w:t>
      </w:r>
      <w:r w:rsidRPr="00DE096C">
        <w:rPr>
          <w:bCs/>
          <w:color w:val="002060"/>
          <w:sz w:val="16"/>
          <w:szCs w:val="16"/>
        </w:rPr>
        <w:softHyphen/>
        <w:t>ми тремя планировалось заложить большую серию, но планомерному строительству русской тяжёлой авиации в это время едва не был положен конец из-за неудач на фронте первого «Муромца» (23469).</w:t>
      </w:r>
    </w:p>
    <w:p w14:paraId="1996D61F" w14:textId="77777777" w:rsidR="005912A3" w:rsidRPr="00DE096C" w:rsidRDefault="005912A3" w:rsidP="00D45A46">
      <w:pPr>
        <w:jc w:val="both"/>
        <w:rPr>
          <w:bCs/>
          <w:color w:val="002060"/>
          <w:sz w:val="16"/>
          <w:szCs w:val="16"/>
        </w:rPr>
      </w:pPr>
    </w:p>
    <w:p w14:paraId="63B89A94" w14:textId="77777777" w:rsidR="00C7639D" w:rsidRPr="00B52707" w:rsidRDefault="00C7639D" w:rsidP="00C7639D">
      <w:pPr>
        <w:jc w:val="both"/>
        <w:rPr>
          <w:color w:val="0070C0"/>
          <w:sz w:val="16"/>
          <w:szCs w:val="16"/>
        </w:rPr>
      </w:pPr>
      <w:r w:rsidRPr="00B52707">
        <w:rPr>
          <w:color w:val="0070C0"/>
          <w:sz w:val="16"/>
          <w:szCs w:val="16"/>
        </w:rPr>
        <w:t>В ноябре - декабре 1914 г. первые машины «Илья Муромец» «тип В» были готовы. Испытания показали существенное улучшение летно-технических характеристик по сравнению с предшествующей моделью «муромца». Вслед за первыми тремя планировалось заложить большую серию, но планомерному строительству русской тяжелой авиации в это время едва не был положен конец из-за неудач на фронте первого «муромца».</w:t>
      </w:r>
    </w:p>
    <w:p w14:paraId="3C0F0C43" w14:textId="77777777" w:rsidR="00C7639D" w:rsidRPr="00B52707" w:rsidRDefault="00C7639D" w:rsidP="00C7639D">
      <w:pPr>
        <w:jc w:val="both"/>
        <w:rPr>
          <w:color w:val="0070C0"/>
          <w:sz w:val="16"/>
          <w:szCs w:val="16"/>
        </w:rPr>
      </w:pPr>
      <w:r w:rsidRPr="00B52707">
        <w:rPr>
          <w:color w:val="0070C0"/>
          <w:sz w:val="16"/>
          <w:szCs w:val="16"/>
        </w:rPr>
        <w:t>Первые «муромцы» типа «В» с двигателями «Аргус» могли брать на борт до 500 кг бомб. Преимущественно использовались бомбы фугасные - 5, 10 и 25 фунтов, 1, 2, 5 и 10 пудов, осколочные - 10, 25 фунтов, 1, 2 и 3 пуда; и зажигательные - от 10 фунтов до 2 пудов. Осенью 1915 г. на «Муромце-В» впервые в мире была поднята 25-пудовая учебная бомба (410 кг). В качестве прицела вначале использовалось простейшие визирные устройства. Для проведения аэрофотосъемки на «муромцах» устанавливались фотоаппараты системы Поте.</w:t>
      </w:r>
    </w:p>
    <w:p w14:paraId="285640C8" w14:textId="77777777" w:rsidR="00C7639D" w:rsidRPr="00B52707" w:rsidRDefault="00C7639D" w:rsidP="00C7639D">
      <w:pPr>
        <w:jc w:val="both"/>
        <w:rPr>
          <w:color w:val="0070C0"/>
          <w:sz w:val="16"/>
          <w:szCs w:val="16"/>
        </w:rPr>
      </w:pPr>
      <w:r w:rsidRPr="00B52707">
        <w:rPr>
          <w:color w:val="0070C0"/>
          <w:sz w:val="16"/>
          <w:szCs w:val="16"/>
        </w:rPr>
        <w:t>Кроме бомбового «муромцы» имели и мощное стрелковое вооружение - пулеметы и карабины. В качестве индивидуальной защиты членов экипажа на «муромцах» использовались бронированные сиденья, бронежилеты и каски.</w:t>
      </w:r>
    </w:p>
    <w:p w14:paraId="0FFFF55A" w14:textId="77777777" w:rsidR="00C7639D" w:rsidRPr="00B52707" w:rsidRDefault="00C7639D" w:rsidP="00C7639D">
      <w:pPr>
        <w:jc w:val="both"/>
        <w:rPr>
          <w:color w:val="0070C0"/>
          <w:sz w:val="16"/>
          <w:szCs w:val="16"/>
        </w:rPr>
      </w:pPr>
      <w:r w:rsidRPr="00B52707">
        <w:rPr>
          <w:color w:val="0070C0"/>
          <w:sz w:val="16"/>
          <w:szCs w:val="16"/>
        </w:rPr>
        <w:t>Самолеты серии «В» были выпущены в количестве 30 единиц. Экипаж состоял из 4 человек. Некоторые модификации имели два мотора. Применялись бомбы массой около 80 кг, реже до 240 кг. Осенью 1915 г. произведен опыт бомбометания 410-килограммовой бомбы.</w:t>
      </w:r>
    </w:p>
    <w:p w14:paraId="6974361D" w14:textId="77777777" w:rsidR="00C7639D" w:rsidRPr="00B52707" w:rsidRDefault="00C7639D" w:rsidP="00C7639D">
      <w:pPr>
        <w:jc w:val="both"/>
        <w:rPr>
          <w:color w:val="0070C0"/>
          <w:sz w:val="16"/>
          <w:szCs w:val="16"/>
        </w:rPr>
      </w:pPr>
      <w:r w:rsidRPr="00B52707">
        <w:rPr>
          <w:color w:val="0070C0"/>
          <w:sz w:val="16"/>
          <w:szCs w:val="16"/>
        </w:rPr>
        <w:t>«Илья Муромец» серии «В» (ИМ-В, облегченный боевой, узкокрылый) - самолет несколько уменьшенных размеров и массы, лучше приспособленный для боевого применения. Бензобаки перенесены на крышу фюзеляжа. Увеличена площадь остекления кабины. Вооружение: 1-2 пулемета различных типов на шкворневых установках в надфюзеляжном вырезе верхнего крыла между бензобаками. Иногда в полет брали ручной пулемет для стрельбы через окна в фюзеляже. Экипаж: 4 человека. В 1914-1915 гг. построено свыше 30 экземпляров ИМ-В, большинство из которых оснащалось четырьмя двигателями «Sunbeam» по 150 л.с. каждый. Известны и другие варианты: 4 х «Argus» по 140 л.с., 4 х РБВЗ-6 по 150 л.с., 2 х «Salmson» по 200 л.с., 2 х «Sunbeam» по 225 л.с. Двухмоторные «муромцы» по характеристикам уступали четырехмоторным и считались учебными. Бомбовая нагрузка ИМ-В достигала 500 кг (24965).</w:t>
      </w:r>
    </w:p>
    <w:p w14:paraId="2A4CEE1F" w14:textId="77777777" w:rsidR="00C7639D" w:rsidRPr="00B52707" w:rsidRDefault="00C7639D" w:rsidP="00C7639D">
      <w:pPr>
        <w:jc w:val="both"/>
        <w:rPr>
          <w:color w:val="0070C0"/>
          <w:sz w:val="16"/>
          <w:szCs w:val="16"/>
        </w:rPr>
      </w:pPr>
    </w:p>
    <w:p w14:paraId="6457F134" w14:textId="77777777" w:rsidR="00C7639D" w:rsidRPr="00B52707" w:rsidRDefault="00C7639D" w:rsidP="00C7639D">
      <w:pPr>
        <w:jc w:val="both"/>
        <w:rPr>
          <w:color w:val="0070C0"/>
          <w:sz w:val="16"/>
          <w:szCs w:val="16"/>
        </w:rPr>
      </w:pPr>
      <w:r w:rsidRPr="00B52707">
        <w:rPr>
          <w:color w:val="0070C0"/>
          <w:sz w:val="16"/>
          <w:szCs w:val="16"/>
        </w:rPr>
        <w:t xml:space="preserve">В ноябре-декабре 1914 г. (с седьмого самолета РБВЗ) были готовы первые три машины «тип В» </w:t>
      </w:r>
      <w:r w:rsidRPr="00B52707">
        <w:rPr>
          <w:smallCaps/>
          <w:color w:val="0070C0"/>
          <w:sz w:val="16"/>
          <w:szCs w:val="16"/>
        </w:rPr>
        <w:t>с</w:t>
      </w:r>
      <w:r w:rsidRPr="00B52707">
        <w:rPr>
          <w:color w:val="0070C0"/>
          <w:sz w:val="16"/>
          <w:szCs w:val="16"/>
        </w:rPr>
        <w:t xml:space="preserve"> умень</w:t>
      </w:r>
      <w:r w:rsidRPr="00B52707">
        <w:rPr>
          <w:color w:val="0070C0"/>
          <w:sz w:val="16"/>
          <w:szCs w:val="16"/>
        </w:rPr>
        <w:softHyphen/>
        <w:t xml:space="preserve">шенной площадью крыльев, улучшенной аэродинамикой и бомболюком. Бомбы подвешивались внутри фюзеляжа в кассетах и освобождались механическим сбрасывателем. Бомбовая нагрузка составляла 500 кг; калибр бомб - до 10 пудов. Для членов экипажа предусматривалась бронезащита, бронированные сиденья, жилеты и каски (24977). </w:t>
      </w:r>
    </w:p>
    <w:p w14:paraId="1CCD3ED8" w14:textId="77777777" w:rsidR="00C7639D" w:rsidRPr="00B52707" w:rsidRDefault="00C7639D" w:rsidP="00C7639D">
      <w:pPr>
        <w:jc w:val="both"/>
        <w:rPr>
          <w:color w:val="0070C0"/>
          <w:sz w:val="16"/>
          <w:szCs w:val="16"/>
        </w:rPr>
      </w:pPr>
    </w:p>
    <w:p w14:paraId="66472272" w14:textId="77777777" w:rsidR="005912A3" w:rsidRPr="00DE096C" w:rsidRDefault="005912A3" w:rsidP="00D45A46">
      <w:pPr>
        <w:jc w:val="both"/>
        <w:rPr>
          <w:bCs/>
          <w:color w:val="002060"/>
          <w:sz w:val="16"/>
          <w:szCs w:val="16"/>
        </w:rPr>
      </w:pPr>
      <w:r w:rsidRPr="00DE096C">
        <w:rPr>
          <w:bCs/>
          <w:color w:val="002060"/>
          <w:sz w:val="16"/>
          <w:szCs w:val="16"/>
          <w:lang w:bidi="ru-RU"/>
        </w:rPr>
        <w:t>В период с ноября 1914 г. по ап</w:t>
      </w:r>
      <w:r w:rsidRPr="00DE096C">
        <w:rPr>
          <w:bCs/>
          <w:color w:val="002060"/>
          <w:sz w:val="16"/>
          <w:szCs w:val="16"/>
          <w:lang w:bidi="ru-RU"/>
        </w:rPr>
        <w:softHyphen/>
        <w:t>рель 1915 г. велись испытания первых двух экземпляров М-2 Григоровича, из четыре построенных однотипных аппаратов, оснащенных двигателями «Гном- Моносупап» 100 л.с., в ходе которых прово</w:t>
      </w:r>
      <w:r w:rsidRPr="00DE096C">
        <w:rPr>
          <w:bCs/>
          <w:color w:val="002060"/>
          <w:sz w:val="16"/>
          <w:szCs w:val="16"/>
          <w:lang w:bidi="ru-RU"/>
        </w:rPr>
        <w:softHyphen/>
        <w:t>дились необходимые усовершенствования.</w:t>
      </w:r>
    </w:p>
    <w:p w14:paraId="52014BA6" w14:textId="77777777" w:rsidR="005912A3" w:rsidRPr="00DE096C" w:rsidRDefault="005912A3" w:rsidP="00D45A46">
      <w:pPr>
        <w:jc w:val="both"/>
        <w:rPr>
          <w:bCs/>
          <w:color w:val="002060"/>
          <w:sz w:val="16"/>
          <w:szCs w:val="16"/>
          <w:lang w:bidi="ru-RU"/>
        </w:rPr>
      </w:pPr>
      <w:r w:rsidRPr="00DE096C">
        <w:rPr>
          <w:bCs/>
          <w:color w:val="002060"/>
          <w:sz w:val="16"/>
          <w:szCs w:val="16"/>
          <w:lang w:bidi="ru-RU"/>
        </w:rPr>
        <w:t>В целом самолеты оценива</w:t>
      </w:r>
      <w:r w:rsidRPr="00DE096C">
        <w:rPr>
          <w:bCs/>
          <w:color w:val="002060"/>
          <w:sz w:val="16"/>
          <w:szCs w:val="16"/>
          <w:lang w:bidi="ru-RU"/>
        </w:rPr>
        <w:softHyphen/>
        <w:t>лись положительно, в апреле 1915 г. под обозначением Щ-2 и Щ-3 они вошли в со</w:t>
      </w:r>
      <w:r w:rsidRPr="00DE096C">
        <w:rPr>
          <w:bCs/>
          <w:color w:val="002060"/>
          <w:sz w:val="16"/>
          <w:szCs w:val="16"/>
          <w:lang w:bidi="ru-RU"/>
        </w:rPr>
        <w:softHyphen/>
        <w:t>став морской авиации Балтийского моря, где служили до наступления 1916 г. (23374).</w:t>
      </w:r>
    </w:p>
    <w:p w14:paraId="16C01026" w14:textId="77777777" w:rsidR="005912A3" w:rsidRPr="00DE096C" w:rsidRDefault="005912A3" w:rsidP="00D45A46">
      <w:pPr>
        <w:jc w:val="both"/>
        <w:rPr>
          <w:bCs/>
          <w:color w:val="002060"/>
          <w:sz w:val="16"/>
          <w:szCs w:val="16"/>
        </w:rPr>
      </w:pPr>
    </w:p>
    <w:p w14:paraId="0FE53308" w14:textId="77777777" w:rsidR="00B67D7C" w:rsidRPr="00DE096C" w:rsidRDefault="00B67D7C" w:rsidP="00D45A46">
      <w:pPr>
        <w:jc w:val="both"/>
        <w:rPr>
          <w:bCs/>
          <w:i/>
          <w:color w:val="002060"/>
          <w:sz w:val="16"/>
          <w:szCs w:val="16"/>
        </w:rPr>
      </w:pPr>
      <w:r w:rsidRPr="00DE096C">
        <w:rPr>
          <w:bCs/>
          <w:i/>
          <w:color w:val="002060"/>
          <w:sz w:val="16"/>
          <w:szCs w:val="16"/>
        </w:rPr>
        <w:t>Другие оборонные отрасли:</w:t>
      </w:r>
    </w:p>
    <w:p w14:paraId="66E36177" w14:textId="77777777" w:rsidR="00B67D7C" w:rsidRPr="00DE096C" w:rsidRDefault="00B67D7C" w:rsidP="00D45A46">
      <w:pPr>
        <w:jc w:val="both"/>
        <w:rPr>
          <w:bCs/>
          <w:i/>
          <w:color w:val="002060"/>
          <w:sz w:val="16"/>
          <w:szCs w:val="16"/>
        </w:rPr>
      </w:pPr>
    </w:p>
    <w:p w14:paraId="3C1F0ED6" w14:textId="77777777" w:rsidR="00B67D7C" w:rsidRPr="00DE096C" w:rsidRDefault="00B67D7C" w:rsidP="00D45A46">
      <w:pPr>
        <w:jc w:val="both"/>
        <w:rPr>
          <w:bCs/>
          <w:color w:val="002060"/>
          <w:sz w:val="16"/>
          <w:szCs w:val="16"/>
        </w:rPr>
      </w:pPr>
      <w:r w:rsidRPr="00DE096C">
        <w:rPr>
          <w:bCs/>
          <w:color w:val="002060"/>
          <w:sz w:val="16"/>
          <w:szCs w:val="16"/>
        </w:rPr>
        <w:t>В ноябре-декабре 1914 г. ГАУ отправило в командировку в Донбасс несколько специалистов во главе с генералом В.Н. Ипатьевым для изучения имеющихся ресурсов по развитию коксобензольного производства. Результатом их деятельности стало создание 6 февраля 1915 г. при ГАУ Комиссии по заготовке взрывчатых веществ, в обязанности которой входило не только развитие пороховых и взрывчатых заводов, но и обеспечение этих заводов исходными продуктами работы [6, с.4-5]. На практике это означало, что Военное министерство начало активно вмешиваться в работу тех заводов, руководство которыми ранее принадлежало гражданским властям (11423).</w:t>
      </w:r>
    </w:p>
    <w:p w14:paraId="0E890435" w14:textId="77777777" w:rsidR="00B67D7C" w:rsidRPr="00DE096C" w:rsidRDefault="00B67D7C" w:rsidP="00D45A46">
      <w:pPr>
        <w:jc w:val="both"/>
        <w:rPr>
          <w:bCs/>
          <w:color w:val="002060"/>
          <w:sz w:val="16"/>
          <w:szCs w:val="16"/>
        </w:rPr>
      </w:pPr>
    </w:p>
    <w:p w14:paraId="697E75F0" w14:textId="77777777" w:rsidR="005912A3" w:rsidRPr="00DE096C" w:rsidRDefault="005912A3" w:rsidP="00D45A46">
      <w:pPr>
        <w:jc w:val="both"/>
        <w:rPr>
          <w:bCs/>
          <w:color w:val="002060"/>
          <w:sz w:val="16"/>
          <w:szCs w:val="16"/>
        </w:rPr>
      </w:pPr>
      <w:r w:rsidRPr="00DE096C">
        <w:rPr>
          <w:bCs/>
          <w:color w:val="002060"/>
          <w:sz w:val="16"/>
          <w:szCs w:val="16"/>
        </w:rPr>
        <w:t>В последних числах ноября — начале декабря 1914 г. ар</w:t>
      </w:r>
      <w:r w:rsidRPr="00DE096C">
        <w:rPr>
          <w:bCs/>
          <w:color w:val="002060"/>
          <w:sz w:val="16"/>
          <w:szCs w:val="16"/>
        </w:rPr>
        <w:softHyphen/>
        <w:t>тиллерия получила директиву: расходовать в день не более одного снаряда на орудие (Сергеевский Б.Н. Пережитое. 1914. Белград, 1933. С. 159—161. Ср. Гурко В.И. Черты и силуэты прошлого. М., 2000. С. 658. Директиву Сер</w:t>
      </w:r>
      <w:r w:rsidRPr="00DE096C">
        <w:rPr>
          <w:bCs/>
          <w:color w:val="002060"/>
          <w:sz w:val="16"/>
          <w:szCs w:val="16"/>
        </w:rPr>
        <w:softHyphen/>
        <w:t>геевский датировал 7 декабря 1914 г., Н.А. Епанчин — ноябрем (Епан</w:t>
      </w:r>
      <w:r w:rsidRPr="00DE096C">
        <w:rPr>
          <w:bCs/>
          <w:color w:val="002060"/>
          <w:sz w:val="16"/>
          <w:szCs w:val="16"/>
        </w:rPr>
        <w:softHyphen/>
        <w:t>чин Н.А. На службе трех императоров. М., 1996. С. 411). По Стоуну — это тоже «жалостливая сказка».). Смысловский, вызванный в Ставку 15 декабря 1914 г., когда услышал, сколько снарядов нужно для продолжения операций — около 900 тысяч (всех калибров) в месяц, уверенно ответил, что «к весне про</w:t>
      </w:r>
      <w:r w:rsidRPr="00DE096C">
        <w:rPr>
          <w:bCs/>
          <w:color w:val="002060"/>
          <w:sz w:val="16"/>
          <w:szCs w:val="16"/>
        </w:rPr>
        <w:softHyphen/>
        <w:t>мышленные силы России этого количества ни в каком слу</w:t>
      </w:r>
      <w:r w:rsidRPr="00DE096C">
        <w:rPr>
          <w:bCs/>
          <w:color w:val="002060"/>
          <w:sz w:val="16"/>
          <w:szCs w:val="16"/>
        </w:rPr>
        <w:softHyphen/>
        <w:t>чае дать не могут и что поэтому все решение вопроса за</w:t>
      </w:r>
      <w:r w:rsidRPr="00DE096C">
        <w:rPr>
          <w:bCs/>
          <w:color w:val="002060"/>
          <w:sz w:val="16"/>
          <w:szCs w:val="16"/>
        </w:rPr>
        <w:softHyphen/>
        <w:t>висит от своевременности поставки [орудийных] патронов из-за границы» (РГВИА. Ф. 962. Оп. 2. Д. 137. Л. 158—160. Показания Смысловско- го, 18.1.1917).</w:t>
      </w:r>
    </w:p>
    <w:p w14:paraId="337F5BB2" w14:textId="77777777" w:rsidR="005912A3" w:rsidRPr="00DE096C" w:rsidRDefault="005912A3" w:rsidP="00D45A46">
      <w:pPr>
        <w:pStyle w:val="af7"/>
        <w:spacing w:line="240" w:lineRule="auto"/>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Вслед за Верховной следственной комиссией ряд авторов объясняет длительность острой фазы «снарядного голода» «простой причиной»: в ГАУ, как пишет Стоун, «не могли представить, что русские предприниматели способны про</w:t>
      </w:r>
      <w:r w:rsidRPr="00DE096C">
        <w:rPr>
          <w:rFonts w:ascii="Times New Roman" w:hAnsi="Times New Roman" w:cs="Times New Roman"/>
          <w:bCs/>
          <w:color w:val="002060"/>
          <w:sz w:val="16"/>
          <w:szCs w:val="16"/>
        </w:rPr>
        <w:softHyphen/>
        <w:t>изводить снаряды», «не доверяли им», или, как писал Сидо</w:t>
      </w:r>
      <w:r w:rsidRPr="00DE096C">
        <w:rPr>
          <w:rFonts w:ascii="Times New Roman" w:hAnsi="Times New Roman" w:cs="Times New Roman"/>
          <w:bCs/>
          <w:color w:val="002060"/>
          <w:sz w:val="16"/>
          <w:szCs w:val="16"/>
        </w:rPr>
        <w:softHyphen/>
        <w:t>ров, ГАУ, «не надеясь на внутренние возможности произ</w:t>
      </w:r>
      <w:r w:rsidRPr="00DE096C">
        <w:rPr>
          <w:rFonts w:ascii="Times New Roman" w:hAnsi="Times New Roman" w:cs="Times New Roman"/>
          <w:bCs/>
          <w:color w:val="002060"/>
          <w:sz w:val="16"/>
          <w:szCs w:val="16"/>
        </w:rPr>
        <w:softHyphen/>
        <w:t>водства», обратилось за границу, тогда как требовалось «широкое» использование русской промышленности: надо было «привлекать не десятки, а многие сотни, если не тыся</w:t>
      </w:r>
      <w:r w:rsidRPr="00DE096C">
        <w:rPr>
          <w:rFonts w:ascii="Times New Roman" w:hAnsi="Times New Roman" w:cs="Times New Roman"/>
          <w:bCs/>
          <w:color w:val="002060"/>
          <w:sz w:val="16"/>
          <w:szCs w:val="16"/>
        </w:rPr>
        <w:softHyphen/>
        <w:t>чи предприятий страны». Ту же мысль развивает X. Стрэчен: Сухомлинов «предпочитал ограничивать заказы, передавае</w:t>
      </w:r>
      <w:r w:rsidRPr="00DE096C">
        <w:rPr>
          <w:rFonts w:ascii="Times New Roman" w:hAnsi="Times New Roman" w:cs="Times New Roman"/>
          <w:bCs/>
          <w:color w:val="002060"/>
          <w:sz w:val="16"/>
          <w:szCs w:val="16"/>
        </w:rPr>
        <w:softHyphen/>
        <w:t>мые русской промышленности, и вместо этого направлять дополнительные запросы за рубеж». Представление о неис</w:t>
      </w:r>
      <w:r w:rsidRPr="00DE096C">
        <w:rPr>
          <w:rFonts w:ascii="Times New Roman" w:hAnsi="Times New Roman" w:cs="Times New Roman"/>
          <w:bCs/>
          <w:color w:val="002060"/>
          <w:sz w:val="16"/>
          <w:szCs w:val="16"/>
        </w:rPr>
        <w:softHyphen/>
        <w:t>пользованных безграничных возможностях русской снаряд</w:t>
      </w:r>
      <w:r w:rsidRPr="00DE096C">
        <w:rPr>
          <w:rFonts w:ascii="Times New Roman" w:hAnsi="Times New Roman" w:cs="Times New Roman"/>
          <w:bCs/>
          <w:color w:val="002060"/>
          <w:sz w:val="16"/>
          <w:szCs w:val="16"/>
        </w:rPr>
        <w:softHyphen/>
        <w:t>ной индустрии противоречит фактам, которые должен был иметь в виду Смысловский (и признавал Сидоров). Даже за</w:t>
      </w:r>
      <w:r w:rsidRPr="00DE096C">
        <w:rPr>
          <w:rFonts w:ascii="Times New Roman" w:hAnsi="Times New Roman" w:cs="Times New Roman"/>
          <w:bCs/>
          <w:color w:val="002060"/>
          <w:sz w:val="16"/>
          <w:szCs w:val="16"/>
        </w:rPr>
        <w:softHyphen/>
        <w:t>воды, осенью 1914 г. уже занятые изготовлением снарядов либо хотя бы еще только намеренные взяться за это произ</w:t>
      </w:r>
      <w:r w:rsidRPr="00DE096C">
        <w:rPr>
          <w:rFonts w:ascii="Times New Roman" w:hAnsi="Times New Roman" w:cs="Times New Roman"/>
          <w:bCs/>
          <w:color w:val="002060"/>
          <w:sz w:val="16"/>
          <w:szCs w:val="16"/>
        </w:rPr>
        <w:softHyphen/>
        <w:t>водство, — все они, принимая в тот момент заказы ГАУ, в заключаемых договорах устанавливали сроки поставки лишь отчасти начиная с января, а главным образом — с марта—мая по октябрь 1915 г. (Сидоров АЛ. Экономическое</w:t>
      </w:r>
      <w:r w:rsidRPr="00DE096C">
        <w:rPr>
          <w:rFonts w:ascii="Times New Roman" w:hAnsi="Times New Roman" w:cs="Times New Roman"/>
          <w:bCs/>
          <w:color w:val="002060"/>
          <w:sz w:val="16"/>
          <w:szCs w:val="16"/>
          <w:lang w:val="en-US"/>
        </w:rPr>
        <w:t xml:space="preserve"> </w:t>
      </w:r>
      <w:r w:rsidRPr="00DE096C">
        <w:rPr>
          <w:rFonts w:ascii="Times New Roman" w:hAnsi="Times New Roman" w:cs="Times New Roman"/>
          <w:bCs/>
          <w:color w:val="002060"/>
          <w:sz w:val="16"/>
          <w:szCs w:val="16"/>
        </w:rPr>
        <w:t>положение</w:t>
      </w:r>
      <w:r w:rsidRPr="00DE096C">
        <w:rPr>
          <w:rFonts w:ascii="Times New Roman" w:hAnsi="Times New Roman" w:cs="Times New Roman"/>
          <w:bCs/>
          <w:color w:val="002060"/>
          <w:sz w:val="16"/>
          <w:szCs w:val="16"/>
          <w:lang w:val="en-US"/>
        </w:rPr>
        <w:t xml:space="preserve"> </w:t>
      </w:r>
      <w:r w:rsidRPr="00DE096C">
        <w:rPr>
          <w:rFonts w:ascii="Times New Roman" w:hAnsi="Times New Roman" w:cs="Times New Roman"/>
          <w:bCs/>
          <w:color w:val="002060"/>
          <w:sz w:val="16"/>
          <w:szCs w:val="16"/>
        </w:rPr>
        <w:t>России</w:t>
      </w:r>
      <w:r w:rsidRPr="00DE096C">
        <w:rPr>
          <w:rFonts w:ascii="Times New Roman" w:hAnsi="Times New Roman" w:cs="Times New Roman"/>
          <w:bCs/>
          <w:color w:val="002060"/>
          <w:sz w:val="16"/>
          <w:szCs w:val="16"/>
          <w:lang w:val="en-US"/>
        </w:rPr>
        <w:t xml:space="preserve">. </w:t>
      </w:r>
      <w:r w:rsidRPr="00DE096C">
        <w:rPr>
          <w:rFonts w:ascii="Times New Roman" w:hAnsi="Times New Roman" w:cs="Times New Roman"/>
          <w:bCs/>
          <w:color w:val="002060"/>
          <w:sz w:val="16"/>
          <w:szCs w:val="16"/>
        </w:rPr>
        <w:t>С</w:t>
      </w:r>
      <w:r w:rsidRPr="00DE096C">
        <w:rPr>
          <w:rFonts w:ascii="Times New Roman" w:hAnsi="Times New Roman" w:cs="Times New Roman"/>
          <w:bCs/>
          <w:color w:val="002060"/>
          <w:sz w:val="16"/>
          <w:szCs w:val="16"/>
          <w:lang w:val="en-US"/>
        </w:rPr>
        <w:t xml:space="preserve">. 16, 20, 28; </w:t>
      </w:r>
      <w:r w:rsidRPr="00DE096C">
        <w:rPr>
          <w:rFonts w:ascii="Times New Roman" w:hAnsi="Times New Roman" w:cs="Times New Roman"/>
          <w:bCs/>
          <w:color w:val="002060"/>
          <w:sz w:val="16"/>
          <w:szCs w:val="16"/>
          <w:lang w:val="en-US" w:bidi="en-US"/>
        </w:rPr>
        <w:t>Stone N. The Eastern Front. P. 150, 152; Jones D.R. Imperial Russia’s Forces at War. P. 268—269; Strachan H. Op. cit. P</w:t>
      </w:r>
      <w:r w:rsidRPr="00DE096C">
        <w:rPr>
          <w:rFonts w:ascii="Times New Roman" w:hAnsi="Times New Roman" w:cs="Times New Roman"/>
          <w:bCs/>
          <w:color w:val="002060"/>
          <w:sz w:val="16"/>
          <w:szCs w:val="16"/>
          <w:lang w:bidi="en-US"/>
        </w:rPr>
        <w:t xml:space="preserve">. 1096; </w:t>
      </w:r>
      <w:r w:rsidRPr="00DE096C">
        <w:rPr>
          <w:rFonts w:ascii="Times New Roman" w:hAnsi="Times New Roman" w:cs="Times New Roman"/>
          <w:bCs/>
          <w:color w:val="002060"/>
          <w:sz w:val="16"/>
          <w:szCs w:val="16"/>
        </w:rPr>
        <w:t>Сидоров А.Л. Экономическое положение России. С. 27—28. При- меч.; РГВИА. Ф. 962. Оп. 2. Д. 5. Л. 44 об.—45. Сведения о ходе пред</w:t>
      </w:r>
      <w:r w:rsidRPr="00DE096C">
        <w:rPr>
          <w:rFonts w:ascii="Times New Roman" w:hAnsi="Times New Roman" w:cs="Times New Roman"/>
          <w:bCs/>
          <w:color w:val="002060"/>
          <w:sz w:val="16"/>
          <w:szCs w:val="16"/>
        </w:rPr>
        <w:softHyphen/>
        <w:t>полагаемой поставки). Но выдержать и эти сроки часто не уда</w:t>
      </w:r>
      <w:r w:rsidRPr="00DE096C">
        <w:rPr>
          <w:rFonts w:ascii="Times New Roman" w:hAnsi="Times New Roman" w:cs="Times New Roman"/>
          <w:bCs/>
          <w:color w:val="002060"/>
          <w:sz w:val="16"/>
          <w:szCs w:val="16"/>
        </w:rPr>
        <w:softHyphen/>
        <w:t>валось (столь же часто, как и по иностранным контрактам), преимущественно из-за несвоевременного получения заво</w:t>
      </w:r>
      <w:r w:rsidRPr="00DE096C">
        <w:rPr>
          <w:rFonts w:ascii="Times New Roman" w:hAnsi="Times New Roman" w:cs="Times New Roman"/>
          <w:bCs/>
          <w:color w:val="002060"/>
          <w:sz w:val="16"/>
          <w:szCs w:val="16"/>
        </w:rPr>
        <w:softHyphen/>
        <w:t>дами станков, ожидаемых из-за границы.</w:t>
      </w:r>
    </w:p>
    <w:p w14:paraId="37ED7788" w14:textId="77777777" w:rsidR="005912A3" w:rsidRPr="00DE096C" w:rsidRDefault="005912A3" w:rsidP="00D45A46">
      <w:pPr>
        <w:pStyle w:val="af7"/>
        <w:spacing w:line="240" w:lineRule="auto"/>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Довольно распространенная у нас, как писал еще Н.Н. Головин, точка зрения, будто накопленных к 1917 г. снарядов с избытком хватило еще и на Гражданскую войну, относится к разряду легенд (До начала 1919 г. Красная армия действительно в какой-то мере удовлетворялась старыми запасами вооружения, но к весне 1919 г. они были практически исчерпаны. При этом в дивизиях состояло лишь до 40% положенного артиллерийского вооружения. Трехдюймовых снаря</w:t>
      </w:r>
      <w:r w:rsidRPr="00DE096C">
        <w:rPr>
          <w:rFonts w:ascii="Times New Roman" w:hAnsi="Times New Roman" w:cs="Times New Roman"/>
          <w:bCs/>
          <w:color w:val="002060"/>
          <w:sz w:val="16"/>
          <w:szCs w:val="16"/>
        </w:rPr>
        <w:softHyphen/>
        <w:t>дов, имевшихся у красных в начале 1919 г., могло хватить на 2—4 меся</w:t>
      </w:r>
      <w:r w:rsidRPr="00DE096C">
        <w:rPr>
          <w:rFonts w:ascii="Times New Roman" w:hAnsi="Times New Roman" w:cs="Times New Roman"/>
          <w:bCs/>
          <w:color w:val="002060"/>
          <w:sz w:val="16"/>
          <w:szCs w:val="16"/>
        </w:rPr>
        <w:softHyphen/>
        <w:t>ца; к тому времени и заводы выпускали в месяц по 90 тысяч снарядов, но расход их в боях был значительно ниже нормы, поэтому потребности в снарядах почти полностью удовлетворялись (Соколов А.К. От военпро- ма к ВПК. Советская военная промышленность. М., 2012. С. 20, 23, 28; Коваленко Д.А. Оборонная промышленность Советской России в 1918— 1920 гг. М., 1970. С. 389—393). Белые получали часть снабжения от сво</w:t>
      </w:r>
      <w:r w:rsidRPr="00DE096C">
        <w:rPr>
          <w:rFonts w:ascii="Times New Roman" w:hAnsi="Times New Roman" w:cs="Times New Roman"/>
          <w:bCs/>
          <w:color w:val="002060"/>
          <w:sz w:val="16"/>
          <w:szCs w:val="16"/>
        </w:rPr>
        <w:softHyphen/>
        <w:t>их союзников). Она не учитывает, что нужда в снарядах зависела от количества имеющихся орудий, а оно в 1917 г., как и в 1915 г., не выдерживало сравнения с артиллерией противника и союзников. Как пишет С.Л. Фе</w:t>
      </w:r>
      <w:r w:rsidRPr="00DE096C">
        <w:rPr>
          <w:rFonts w:ascii="Times New Roman" w:hAnsi="Times New Roman" w:cs="Times New Roman"/>
          <w:bCs/>
          <w:color w:val="002060"/>
          <w:sz w:val="16"/>
          <w:szCs w:val="16"/>
        </w:rPr>
        <w:softHyphen/>
        <w:t>досеев, «снарядный голод» был преодолен «в основном в легкой артиллерии», и то «только в отношении имеющихся орудий, а не к потребности войск в поддержке артиллерии». По Головину, если вопрос о снарядах также и к легким га</w:t>
      </w:r>
      <w:r w:rsidRPr="00DE096C">
        <w:rPr>
          <w:rFonts w:ascii="Times New Roman" w:hAnsi="Times New Roman" w:cs="Times New Roman"/>
          <w:bCs/>
          <w:color w:val="002060"/>
          <w:sz w:val="16"/>
          <w:szCs w:val="16"/>
        </w:rPr>
        <w:softHyphen/>
        <w:t>убицам и тяжелой артиллерии «не обострялся», то не по причине мощно развернувшейся работы русских военных заводов, а лишь потому, что «количество этого рода орудий было все время значительно меньше нужной для армии нормы». К тому же в 1916 г. начали поступать выстрелы (то есть вполне готовые к использованию снаряды) для таких гаубиц из Франции, Англии и Японии (1,7 млн; в 1917 г. — еще 906 тысяч, тогда как в 1915 г. — лишь 129 ты</w:t>
      </w:r>
      <w:r w:rsidRPr="00DE096C">
        <w:rPr>
          <w:rFonts w:ascii="Times New Roman" w:hAnsi="Times New Roman" w:cs="Times New Roman"/>
          <w:bCs/>
          <w:color w:val="002060"/>
          <w:sz w:val="16"/>
          <w:szCs w:val="16"/>
        </w:rPr>
        <w:softHyphen/>
        <w:t>сяч). Что же касается снарядов для гаубиц в 203—305 мм и 254-мм пушек, то с ними «мы справиться до самого конца войны действительно не могли», вообще от русских заводов было получено менее трети выстрелов крупного калибра, остальное поступило из-за границы, в основном в 1916— 1917 гг. Число имевшихся на фронтах тяжелых 42-ли- нейных, то есть 4,2-дюймовых, или 107-мм, пушек было ничтожным, так что требовалось «и ничтожное к ним ко</w:t>
      </w:r>
      <w:r w:rsidRPr="00DE096C">
        <w:rPr>
          <w:rFonts w:ascii="Times New Roman" w:hAnsi="Times New Roman" w:cs="Times New Roman"/>
          <w:bCs/>
          <w:color w:val="002060"/>
          <w:sz w:val="16"/>
          <w:szCs w:val="16"/>
        </w:rPr>
        <w:softHyphen/>
        <w:t>личество выстрелов»; орудия крупных калибров получали в 1916—1917 гг. «десятую [часть] того, что им было нужно в действительности» (Головин Н.Н. Указ. соч. Т. 2. С. 36—37, 39—40; Маниковский А.А. Указ. соч. Ч. 3. С. 222, 234; Маниковский А.А. Указ. соч. Ч. 3. С. 222, 223, 234, 209; изд. 1937 г. С. 567 (редакцион. примеч.), 577; Барсуков Е.З. Русская артиллерия в мировую войну. М., 1940. Т. 2. С. 447).</w:t>
      </w:r>
    </w:p>
    <w:p w14:paraId="2C0F7B44" w14:textId="77777777" w:rsidR="005912A3" w:rsidRPr="00DE096C" w:rsidRDefault="005912A3" w:rsidP="00D45A46">
      <w:pPr>
        <w:jc w:val="both"/>
        <w:rPr>
          <w:bCs/>
          <w:color w:val="002060"/>
          <w:sz w:val="16"/>
          <w:szCs w:val="16"/>
        </w:rPr>
      </w:pPr>
      <w:r w:rsidRPr="00DE096C">
        <w:rPr>
          <w:bCs/>
          <w:color w:val="002060"/>
          <w:sz w:val="16"/>
          <w:szCs w:val="16"/>
        </w:rPr>
        <w:t>Авторы записки указывали на реальную проблему, о су</w:t>
      </w:r>
      <w:r w:rsidRPr="00DE096C">
        <w:rPr>
          <w:bCs/>
          <w:color w:val="002060"/>
          <w:sz w:val="16"/>
          <w:szCs w:val="16"/>
        </w:rPr>
        <w:softHyphen/>
        <w:t>ществовании которой свидетельствовал со своей стороны руководитель британского внешнеполитического ведомства Эд. Грей. В лондонском Кабинете министров он говорил об опасности того, что если не исполнить требование ми</w:t>
      </w:r>
      <w:r w:rsidRPr="00DE096C">
        <w:rPr>
          <w:bCs/>
          <w:color w:val="002060"/>
          <w:sz w:val="16"/>
          <w:szCs w:val="16"/>
        </w:rPr>
        <w:softHyphen/>
        <w:t>нистра иностранных дел С.Д. Сазонова о формальном обя</w:t>
      </w:r>
      <w:r w:rsidRPr="00DE096C">
        <w:rPr>
          <w:bCs/>
          <w:color w:val="002060"/>
          <w:sz w:val="16"/>
          <w:szCs w:val="16"/>
        </w:rPr>
        <w:softHyphen/>
        <w:t>зательстве отдать проливы, то «консерваторы-германофи</w:t>
      </w:r>
      <w:r w:rsidRPr="00DE096C">
        <w:rPr>
          <w:bCs/>
          <w:color w:val="002060"/>
          <w:sz w:val="16"/>
          <w:szCs w:val="16"/>
        </w:rPr>
        <w:softHyphen/>
        <w:t>лы, подобные Витте, убедят царя» не доверять Англии, поскольку «целью британской политики всегда было не допускать Россию в Константинополь и проливы». «Разу</w:t>
      </w:r>
      <w:r w:rsidRPr="00DE096C">
        <w:rPr>
          <w:bCs/>
          <w:color w:val="002060"/>
          <w:sz w:val="16"/>
          <w:szCs w:val="16"/>
        </w:rPr>
        <w:softHyphen/>
        <w:t>меется, такова и поныне наша политика», — признавал Грей. В том же ракурсе рассматривал эту проблему Г. Кит</w:t>
      </w:r>
      <w:r w:rsidRPr="00DE096C">
        <w:rPr>
          <w:bCs/>
          <w:color w:val="002060"/>
          <w:sz w:val="16"/>
          <w:szCs w:val="16"/>
        </w:rPr>
        <w:softHyphen/>
        <w:t>ченер. У руководителей британской внешней и военной политики не вызывало сомнений, что, как только свершит</w:t>
      </w:r>
      <w:r w:rsidRPr="00DE096C">
        <w:rPr>
          <w:bCs/>
          <w:color w:val="002060"/>
          <w:sz w:val="16"/>
          <w:szCs w:val="16"/>
        </w:rPr>
        <w:softHyphen/>
        <w:t>ся разгром Германии, Россия займет ее место в роли перво</w:t>
      </w:r>
      <w:r w:rsidRPr="00DE096C">
        <w:rPr>
          <w:bCs/>
          <w:color w:val="002060"/>
          <w:sz w:val="16"/>
          <w:szCs w:val="16"/>
        </w:rPr>
        <w:softHyphen/>
        <w:t>степенного противника. В секретной записке 6 марта 1915 г.</w:t>
      </w:r>
    </w:p>
    <w:p w14:paraId="68F8B7E4" w14:textId="77777777" w:rsidR="005912A3" w:rsidRPr="00DE096C" w:rsidRDefault="005912A3" w:rsidP="00D45A46">
      <w:pPr>
        <w:pStyle w:val="af7"/>
        <w:spacing w:line="240" w:lineRule="auto"/>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Китченер связывал этот грядущий поворот событий с мо</w:t>
      </w:r>
      <w:r w:rsidRPr="00DE096C">
        <w:rPr>
          <w:rFonts w:ascii="Times New Roman" w:hAnsi="Times New Roman" w:cs="Times New Roman"/>
          <w:bCs/>
          <w:color w:val="002060"/>
          <w:sz w:val="16"/>
          <w:szCs w:val="16"/>
        </w:rPr>
        <w:softHyphen/>
        <w:t>ментом, «когда придет время мирного урегулирования и встанет вопрос о разделе Азиатской Турции». Тогда возоб</w:t>
      </w:r>
      <w:r w:rsidRPr="00DE096C">
        <w:rPr>
          <w:rFonts w:ascii="Times New Roman" w:hAnsi="Times New Roman" w:cs="Times New Roman"/>
          <w:bCs/>
          <w:color w:val="002060"/>
          <w:sz w:val="16"/>
          <w:szCs w:val="16"/>
        </w:rPr>
        <w:softHyphen/>
        <w:t>новятся «прежняя вражда и соперничество, которые при</w:t>
      </w:r>
      <w:r w:rsidRPr="00DE096C">
        <w:rPr>
          <w:rFonts w:ascii="Times New Roman" w:hAnsi="Times New Roman" w:cs="Times New Roman"/>
          <w:bCs/>
          <w:color w:val="002060"/>
          <w:sz w:val="16"/>
          <w:szCs w:val="16"/>
        </w:rPr>
        <w:softHyphen/>
        <w:t>глушены» сейчас, и «мы можем оказаться во вражде с Рос</w:t>
      </w:r>
      <w:r w:rsidRPr="00DE096C">
        <w:rPr>
          <w:rFonts w:ascii="Times New Roman" w:hAnsi="Times New Roman" w:cs="Times New Roman"/>
          <w:bCs/>
          <w:color w:val="002060"/>
          <w:sz w:val="16"/>
          <w:szCs w:val="16"/>
        </w:rPr>
        <w:softHyphen/>
        <w:t xml:space="preserve">сией». Надо уже теперь осмотрительно </w:t>
      </w:r>
      <w:r w:rsidRPr="00DE096C">
        <w:rPr>
          <w:rFonts w:ascii="Times New Roman" w:hAnsi="Times New Roman" w:cs="Times New Roman"/>
          <w:bCs/>
          <w:color w:val="002060"/>
          <w:sz w:val="16"/>
          <w:szCs w:val="16"/>
        </w:rPr>
        <w:lastRenderedPageBreak/>
        <w:t>расходовать свои силы в боевых действиях во Франции, указывал Китченер, чтобы к окончанию войны с Германией «наши интересы были обеспечены наилучшим образом». Генерал-квартир</w:t>
      </w:r>
      <w:r w:rsidRPr="00DE096C">
        <w:rPr>
          <w:rFonts w:ascii="Times New Roman" w:hAnsi="Times New Roman" w:cs="Times New Roman"/>
          <w:bCs/>
          <w:color w:val="002060"/>
          <w:sz w:val="16"/>
          <w:szCs w:val="16"/>
        </w:rPr>
        <w:softHyphen/>
        <w:t>мейстер британского Генерального штаба Ч. Колуэлл также исходил из того, что «в будущем возможна война с Росси</w:t>
      </w:r>
      <w:r w:rsidRPr="00DE096C">
        <w:rPr>
          <w:rFonts w:ascii="Times New Roman" w:hAnsi="Times New Roman" w:cs="Times New Roman"/>
          <w:bCs/>
          <w:color w:val="002060"/>
          <w:sz w:val="16"/>
          <w:szCs w:val="16"/>
        </w:rPr>
        <w:softHyphen/>
        <w:t>ей», о чем и заявлял на заседании комитета М. Бунсена (по Турции) 13 апреля 1915 г. (23452).</w:t>
      </w:r>
    </w:p>
    <w:p w14:paraId="28B39E04" w14:textId="77777777" w:rsidR="005912A3" w:rsidRPr="00DE096C" w:rsidRDefault="005912A3" w:rsidP="00D45A46">
      <w:pPr>
        <w:jc w:val="both"/>
        <w:rPr>
          <w:bCs/>
          <w:color w:val="002060"/>
          <w:sz w:val="16"/>
          <w:szCs w:val="16"/>
        </w:rPr>
      </w:pPr>
    </w:p>
    <w:p w14:paraId="11CC58F9" w14:textId="4CC6AD09" w:rsidR="00C7639D" w:rsidRPr="00B52707" w:rsidRDefault="00C7639D" w:rsidP="00C7639D">
      <w:pPr>
        <w:jc w:val="both"/>
        <w:rPr>
          <w:color w:val="0070C0"/>
          <w:sz w:val="16"/>
          <w:szCs w:val="16"/>
        </w:rPr>
      </w:pPr>
      <w:r w:rsidRPr="00B52707">
        <w:rPr>
          <w:color w:val="0070C0"/>
          <w:sz w:val="16"/>
          <w:szCs w:val="16"/>
        </w:rPr>
        <w:t>В течение ноября и первых чисел декабря 1914 г. В Архангельск прибыли еще пять пароходов с автомобилями заготовки комиссии. Эти пароходы подводились к пристаням Бакарицы ледоко</w:t>
      </w:r>
      <w:r w:rsidRPr="00B52707">
        <w:rPr>
          <w:color w:val="0070C0"/>
          <w:sz w:val="16"/>
          <w:szCs w:val="16"/>
        </w:rPr>
        <w:softHyphen/>
        <w:t>лами. Выгруженные автомобили, по мере подачи железной дорогой платформ, отправлялись по назначению, при чем эта отправка продолжалась до начала января 1915 г. Вместе с автомобилями, на тех же платформах, отправлялись и ящики с</w:t>
      </w:r>
      <w:r w:rsidR="0006581C">
        <w:rPr>
          <w:color w:val="0070C0"/>
          <w:sz w:val="16"/>
          <w:szCs w:val="16"/>
        </w:rPr>
        <w:t xml:space="preserve"> </w:t>
      </w:r>
      <w:r w:rsidRPr="00B52707">
        <w:rPr>
          <w:color w:val="0070C0"/>
          <w:sz w:val="16"/>
          <w:szCs w:val="16"/>
        </w:rPr>
        <w:t xml:space="preserve"> частями и принадлежностями. Однако, запасные части и принадлежности не всегда соответствовали автомобилям, прибывавшим одновременно с ними на паро</w:t>
      </w:r>
      <w:r w:rsidRPr="00B52707">
        <w:rPr>
          <w:color w:val="0070C0"/>
          <w:sz w:val="16"/>
          <w:szCs w:val="16"/>
        </w:rPr>
        <w:softHyphen/>
        <w:t>ходах. Обыкновенно, запасные части запаздывали и при</w:t>
      </w:r>
      <w:r w:rsidRPr="00B52707">
        <w:rPr>
          <w:color w:val="0070C0"/>
          <w:sz w:val="16"/>
          <w:szCs w:val="16"/>
        </w:rPr>
        <w:softHyphen/>
        <w:t>бывали на других пароходах (24923).</w:t>
      </w:r>
    </w:p>
    <w:p w14:paraId="677E01ED" w14:textId="77777777" w:rsidR="00C7639D" w:rsidRPr="00B52707" w:rsidRDefault="00C7639D" w:rsidP="00C7639D">
      <w:pPr>
        <w:jc w:val="both"/>
        <w:rPr>
          <w:color w:val="0070C0"/>
          <w:sz w:val="16"/>
          <w:szCs w:val="16"/>
        </w:rPr>
      </w:pPr>
    </w:p>
    <w:p w14:paraId="2A9A8F74" w14:textId="77777777" w:rsidR="00697A62" w:rsidRPr="00DE096C" w:rsidRDefault="00697A62" w:rsidP="00D45A46">
      <w:pPr>
        <w:shd w:val="clear" w:color="auto" w:fill="FFFFFF"/>
        <w:jc w:val="both"/>
        <w:rPr>
          <w:bCs/>
          <w:i/>
          <w:color w:val="002060"/>
          <w:sz w:val="16"/>
          <w:szCs w:val="16"/>
        </w:rPr>
      </w:pPr>
      <w:r w:rsidRPr="00DE096C">
        <w:rPr>
          <w:bCs/>
          <w:i/>
          <w:color w:val="002060"/>
          <w:sz w:val="16"/>
          <w:szCs w:val="16"/>
        </w:rPr>
        <w:t>Другие оборонные отрасли:</w:t>
      </w:r>
    </w:p>
    <w:p w14:paraId="067E1A4E" w14:textId="77777777" w:rsidR="00697A62" w:rsidRPr="00DE096C" w:rsidRDefault="00697A62" w:rsidP="00D45A46">
      <w:pPr>
        <w:shd w:val="clear" w:color="auto" w:fill="FFFFFF"/>
        <w:jc w:val="both"/>
        <w:rPr>
          <w:bCs/>
          <w:i/>
          <w:color w:val="002060"/>
          <w:sz w:val="16"/>
          <w:szCs w:val="16"/>
        </w:rPr>
      </w:pPr>
    </w:p>
    <w:p w14:paraId="2EC3C88D" w14:textId="77777777" w:rsidR="00697A62" w:rsidRPr="00DE096C" w:rsidRDefault="00697A62" w:rsidP="00D45A46">
      <w:pPr>
        <w:jc w:val="both"/>
        <w:rPr>
          <w:bCs/>
          <w:color w:val="002060"/>
          <w:sz w:val="16"/>
          <w:szCs w:val="16"/>
        </w:rPr>
      </w:pPr>
      <w:r w:rsidRPr="00DE096C">
        <w:rPr>
          <w:bCs/>
          <w:color w:val="002060"/>
          <w:sz w:val="16"/>
          <w:szCs w:val="16"/>
        </w:rPr>
        <w:t xml:space="preserve">К зиме 1914 г. при русском посольстве в Вашингтоне была организована "Комиссия содействия исполнению русских заказов", которая являлась органом, объединяющим всю заготовительную деятельность: во-первых, в целях успешного проведения заказов, а затем, в целях борьбы со спекуляцией. </w:t>
      </w:r>
    </w:p>
    <w:p w14:paraId="27F19520" w14:textId="77777777" w:rsidR="00697A62" w:rsidRPr="00DE096C" w:rsidRDefault="00697A62" w:rsidP="00D45A46">
      <w:pPr>
        <w:jc w:val="both"/>
        <w:rPr>
          <w:bCs/>
          <w:color w:val="002060"/>
          <w:sz w:val="16"/>
          <w:szCs w:val="16"/>
        </w:rPr>
      </w:pPr>
      <w:r w:rsidRPr="00DE096C">
        <w:rPr>
          <w:bCs/>
          <w:color w:val="002060"/>
          <w:sz w:val="16"/>
          <w:szCs w:val="16"/>
        </w:rPr>
        <w:t xml:space="preserve">Надо сказать, что с первых же дней, когда для американской промышленности более или менее ясно определилась перспектива громадных военных заказов, а следовательно и барышей, тотчас же появилась на сцену целая армия комиссионеров, маклеров и предпринимателей всякого рода. Эти, в большинстве темные, дельцы внесли в дело военных заказов крайне нездоровую атмосферу ажиотажа, спекуляции и весьма часто подлинного мошенничества и шантажа. В книге А.А. Маниковского "Боевое снабжение русской армии 1914—1918 гг." приведен целый ряд очень интересных эпизодов на эту тему. И русское правительство, и американские промышленники неоднократно становились жертвой самого грубого обмана. Для примера, достаточно указать, что один из авантюристов подобного порядка заключил с крупной американской фирмой от имени русского правительства контракт на 3 миллиарда винтовочных патронов. Об этом контракте русское правительство узнало случайно через несколько месяцев после его заключения. И это было уже в 1916 г., а не в первый период американских заказов. </w:t>
      </w:r>
    </w:p>
    <w:p w14:paraId="79F2C689" w14:textId="77777777" w:rsidR="00697A62" w:rsidRPr="00DE096C" w:rsidRDefault="00697A62" w:rsidP="00D45A46">
      <w:pPr>
        <w:jc w:val="both"/>
        <w:rPr>
          <w:bCs/>
          <w:color w:val="002060"/>
          <w:sz w:val="16"/>
          <w:szCs w:val="16"/>
        </w:rPr>
      </w:pPr>
      <w:r w:rsidRPr="00DE096C">
        <w:rPr>
          <w:bCs/>
          <w:color w:val="002060"/>
          <w:sz w:val="16"/>
          <w:szCs w:val="16"/>
        </w:rPr>
        <w:t xml:space="preserve">Так как артиллерийские заказы среди всех других занимали доминирующее положение, то уже в 1914 г. в Америку начали прибывать отдельные русские артиллерийские приемщики. В первые месяцы 1915 г. число их, ввиду умножения заказов, значительно возросло. Для объединения их деятельности в мае 1915 г. распоряжением военного ведомства была учреждена Особая артиллерийская комиссия по приему заказов в САСШ, которая немедленно открыла свои действия. </w:t>
      </w:r>
    </w:p>
    <w:p w14:paraId="71B774C5" w14:textId="77777777" w:rsidR="00697A62" w:rsidRPr="00DE096C" w:rsidRDefault="00697A62" w:rsidP="00D45A46">
      <w:pPr>
        <w:jc w:val="both"/>
        <w:rPr>
          <w:bCs/>
          <w:color w:val="002060"/>
          <w:sz w:val="16"/>
          <w:szCs w:val="16"/>
        </w:rPr>
      </w:pPr>
      <w:r w:rsidRPr="00DE096C">
        <w:rPr>
          <w:bCs/>
          <w:color w:val="002060"/>
          <w:sz w:val="16"/>
          <w:szCs w:val="16"/>
        </w:rPr>
        <w:t xml:space="preserve">Вслед за Артиллерийской комиссией по образцу ее и для подобных задач была учреждена Комиссия военно-технического управления. Далее последовали такие же комиссии по другим ведомствам. Что касается морского ведомства, то его заготовительная деятельность была сосредоточена у русского морского агента в Америке, в помощь которому были командированы из России соответствующие специалисты. </w:t>
      </w:r>
    </w:p>
    <w:p w14:paraId="2607A546" w14:textId="77777777" w:rsidR="00697A62" w:rsidRPr="00DE096C" w:rsidRDefault="00697A62" w:rsidP="00D45A46">
      <w:pPr>
        <w:jc w:val="both"/>
        <w:rPr>
          <w:bCs/>
          <w:color w:val="002060"/>
          <w:sz w:val="16"/>
          <w:szCs w:val="16"/>
        </w:rPr>
      </w:pPr>
      <w:r w:rsidRPr="00DE096C">
        <w:rPr>
          <w:bCs/>
          <w:color w:val="002060"/>
          <w:sz w:val="16"/>
          <w:szCs w:val="16"/>
        </w:rPr>
        <w:t xml:space="preserve">В скором времени отчетливо возникла потребность объединить и координировать деятельность всех перечисленных комиссий, так как в своей заготовительной работе они, имея дело с одними и теми же американскими фирмами, невольно конкурировали между собой, повышая, таким образом, цены на изделия. Затем, комиссии эти во многих случаях вели параллельную работу, заготовляя на одних и тех же рынках часто одни и те же материалы и предметы. Кроме координации всех ведомственных комиссий в указанном выше отношении, представилось необходимым объединить их работу и со стороны финансовой с тем, чтобы облегчить производство на месте всех необходимых финансовых операций, а затем установить единый контроль над расходуемой заготовительными органами валютой. </w:t>
      </w:r>
    </w:p>
    <w:p w14:paraId="0E5C4413" w14:textId="77777777" w:rsidR="00697A62" w:rsidRPr="00DE096C" w:rsidRDefault="00697A62" w:rsidP="00D45A46">
      <w:pPr>
        <w:jc w:val="both"/>
        <w:rPr>
          <w:bCs/>
          <w:color w:val="002060"/>
          <w:sz w:val="16"/>
          <w:szCs w:val="16"/>
        </w:rPr>
      </w:pPr>
      <w:r w:rsidRPr="00DE096C">
        <w:rPr>
          <w:bCs/>
          <w:color w:val="002060"/>
          <w:sz w:val="16"/>
          <w:szCs w:val="16"/>
        </w:rPr>
        <w:t xml:space="preserve">После долгих трений, имевших место в Петрограде, был, наконец, учрежден 15 сентября 1915 г. "Комитет по заготовке в Америке предметов боевого и материального снабжения армии и флота". Положение о Комитете приняло силу закона 6 ноября 1915 года. Это положение определяло круг деятельности Комитета следующими основными задачами: </w:t>
      </w:r>
    </w:p>
    <w:p w14:paraId="04AC57FC" w14:textId="77777777" w:rsidR="00697A62" w:rsidRPr="00DE096C" w:rsidRDefault="00697A62" w:rsidP="00D45A46">
      <w:pPr>
        <w:jc w:val="both"/>
        <w:rPr>
          <w:bCs/>
          <w:color w:val="002060"/>
          <w:sz w:val="16"/>
          <w:szCs w:val="16"/>
        </w:rPr>
      </w:pPr>
      <w:r w:rsidRPr="00DE096C">
        <w:rPr>
          <w:bCs/>
          <w:color w:val="002060"/>
          <w:sz w:val="16"/>
          <w:szCs w:val="16"/>
        </w:rPr>
        <w:t xml:space="preserve">1. Выяснение предметов боевого и материального снабжения, которые могли бы быть приобретены или заготовлены в Америке, выяснение для них цен, сроков и условий поставки. </w:t>
      </w:r>
    </w:p>
    <w:p w14:paraId="62B8122C" w14:textId="77777777" w:rsidR="00697A62" w:rsidRPr="00DE096C" w:rsidRDefault="00697A62" w:rsidP="00D45A46">
      <w:pPr>
        <w:jc w:val="both"/>
        <w:rPr>
          <w:bCs/>
          <w:color w:val="002060"/>
          <w:sz w:val="16"/>
          <w:szCs w:val="16"/>
        </w:rPr>
      </w:pPr>
      <w:r w:rsidRPr="00DE096C">
        <w:rPr>
          <w:bCs/>
          <w:color w:val="002060"/>
          <w:sz w:val="16"/>
          <w:szCs w:val="16"/>
        </w:rPr>
        <w:t xml:space="preserve">2. Заключение сделок на поставку предметов снабжения и доставление их в Россию в тех случаях, когда сделки эти должны совершаться в Америке. Избранные для них фирмы и условия заказов должны быть одобрены в Петрограде, а также Русским правительственным комитетом в Лондоне. </w:t>
      </w:r>
    </w:p>
    <w:p w14:paraId="4A9E0198" w14:textId="77777777" w:rsidR="00697A62" w:rsidRPr="00DE096C" w:rsidRDefault="00697A62" w:rsidP="00D45A46">
      <w:pPr>
        <w:jc w:val="both"/>
        <w:rPr>
          <w:bCs/>
          <w:color w:val="002060"/>
          <w:sz w:val="16"/>
          <w:szCs w:val="16"/>
        </w:rPr>
      </w:pPr>
      <w:r w:rsidRPr="00DE096C">
        <w:rPr>
          <w:bCs/>
          <w:color w:val="002060"/>
          <w:sz w:val="16"/>
          <w:szCs w:val="16"/>
        </w:rPr>
        <w:t xml:space="preserve">3. Надзор за всеми заготовками для нужд обороны, выполняемыми в Америке, выяснение и устранение причин задержки в работе и организация приемки заказанных предметов. </w:t>
      </w:r>
    </w:p>
    <w:p w14:paraId="2AAFF55E" w14:textId="77777777" w:rsidR="00697A62" w:rsidRPr="00DE096C" w:rsidRDefault="00697A62" w:rsidP="00D45A46">
      <w:pPr>
        <w:jc w:val="both"/>
        <w:rPr>
          <w:bCs/>
          <w:color w:val="002060"/>
          <w:sz w:val="16"/>
          <w:szCs w:val="16"/>
        </w:rPr>
      </w:pPr>
      <w:r w:rsidRPr="00DE096C">
        <w:rPr>
          <w:bCs/>
          <w:color w:val="002060"/>
          <w:sz w:val="16"/>
          <w:szCs w:val="16"/>
        </w:rPr>
        <w:t xml:space="preserve">4. Выполнение поручений Особого совещания по обороне. </w:t>
      </w:r>
    </w:p>
    <w:p w14:paraId="3B64E620" w14:textId="77777777" w:rsidR="00697A62" w:rsidRPr="00DE096C" w:rsidRDefault="00697A62" w:rsidP="00D45A46">
      <w:pPr>
        <w:jc w:val="both"/>
        <w:rPr>
          <w:bCs/>
          <w:color w:val="002060"/>
          <w:sz w:val="16"/>
          <w:szCs w:val="16"/>
        </w:rPr>
      </w:pPr>
      <w:r w:rsidRPr="00DE096C">
        <w:rPr>
          <w:bCs/>
          <w:color w:val="002060"/>
          <w:sz w:val="16"/>
          <w:szCs w:val="16"/>
        </w:rPr>
        <w:t xml:space="preserve">Заготовительный комитет в Америке, имея, таким образом, весьма широкий круг деятельности, все-таки был под фактическим контролем Лондонского правительственного комитета. </w:t>
      </w:r>
    </w:p>
    <w:p w14:paraId="28DD1E56" w14:textId="77777777" w:rsidR="00697A62" w:rsidRPr="00DE096C" w:rsidRDefault="00697A62" w:rsidP="00D45A46">
      <w:pPr>
        <w:jc w:val="both"/>
        <w:rPr>
          <w:bCs/>
          <w:color w:val="002060"/>
          <w:sz w:val="16"/>
          <w:szCs w:val="16"/>
        </w:rPr>
      </w:pPr>
      <w:r w:rsidRPr="00DE096C">
        <w:rPr>
          <w:bCs/>
          <w:color w:val="002060"/>
          <w:sz w:val="16"/>
          <w:szCs w:val="16"/>
        </w:rPr>
        <w:t xml:space="preserve">18 марта 1916 г. утверждено было новое Положение о Заготовительном комитете, которое в основных чертах не разнилось от первого; коренным различием было лишь введение в состав Комитета представителя британского правительства. </w:t>
      </w:r>
    </w:p>
    <w:p w14:paraId="45E1925F" w14:textId="77777777" w:rsidR="00697A62" w:rsidRPr="00DE096C" w:rsidRDefault="00697A62" w:rsidP="00D45A46">
      <w:pPr>
        <w:jc w:val="both"/>
        <w:rPr>
          <w:bCs/>
          <w:color w:val="002060"/>
          <w:sz w:val="16"/>
          <w:szCs w:val="16"/>
        </w:rPr>
      </w:pPr>
      <w:r w:rsidRPr="00DE096C">
        <w:rPr>
          <w:bCs/>
          <w:color w:val="002060"/>
          <w:sz w:val="16"/>
          <w:szCs w:val="16"/>
        </w:rPr>
        <w:t xml:space="preserve">Для выполнения отдельных задач, вмененных в обязанности Комитета, в составе его были организованы комиссии: финансовая, перевозок, организационная и наблюдения за заказами. </w:t>
      </w:r>
    </w:p>
    <w:p w14:paraId="79B92B23" w14:textId="77777777" w:rsidR="00697A62" w:rsidRPr="00DE096C" w:rsidRDefault="00697A62" w:rsidP="00D45A46">
      <w:pPr>
        <w:jc w:val="both"/>
        <w:rPr>
          <w:bCs/>
          <w:color w:val="002060"/>
          <w:sz w:val="16"/>
          <w:szCs w:val="16"/>
        </w:rPr>
      </w:pPr>
      <w:r w:rsidRPr="00DE096C">
        <w:rPr>
          <w:bCs/>
          <w:color w:val="002060"/>
          <w:sz w:val="16"/>
          <w:szCs w:val="16"/>
        </w:rPr>
        <w:t xml:space="preserve">Говоря о Заготовительном комитете, надлежит упомянуть об образовании при нем англо-русской Согласительной комиссии, которая в течение известного периода имела большое влияние на работу Комитета. История ее возникновения заключается в следующем. С самого начала размещения военных заказов в Америке неизбежно возникла конкуренция в этой области между Россией и Англией, вредно отзывавшаяся на успехе заготовок и бывшая вполне понятной причиной повышения цен. При таких условиях естественно потребовалась координация в заготовительной работе по английским и русским заказам. В равной мере требовалась согласованная работа и в области финансовой. Дело в том, что русское правительство было не в состоянии путем самостоятельных операций реализовать долларовый фонд в том масштабе, в каком это требовалось для заготовительных операций, и вынуждено было обращаться к содействию Англии. С другой стороны, Англия была готова идти в этом деле навстречу России, так как была ближайшим образом заинтересована в поддержке боевой мощи русской армии. Но, оказывая широкую материальную поддержку России и предоставляя ей денежные ресурсы, Англия, конечно, не могла не потребовать права ближайшего контроля над расходованием этих средств Русским заготовительным комитетом. </w:t>
      </w:r>
    </w:p>
    <w:p w14:paraId="4FB8DBBE" w14:textId="77777777" w:rsidR="00697A62" w:rsidRPr="00DE096C" w:rsidRDefault="00697A62" w:rsidP="00D45A46">
      <w:pPr>
        <w:jc w:val="both"/>
        <w:rPr>
          <w:bCs/>
          <w:color w:val="002060"/>
          <w:sz w:val="16"/>
          <w:szCs w:val="16"/>
        </w:rPr>
      </w:pPr>
      <w:r w:rsidRPr="00DE096C">
        <w:rPr>
          <w:bCs/>
          <w:color w:val="002060"/>
          <w:sz w:val="16"/>
          <w:szCs w:val="16"/>
        </w:rPr>
        <w:t xml:space="preserve">Ввиду этого в октябре 1915 г. между Англией и русским министром финансов состоялось соглашение, основы которого сводились к следующему: </w:t>
      </w:r>
    </w:p>
    <w:p w14:paraId="01D2F5F3" w14:textId="77777777" w:rsidR="00697A62" w:rsidRPr="00DE096C" w:rsidRDefault="00697A62" w:rsidP="00D45A46">
      <w:pPr>
        <w:jc w:val="both"/>
        <w:rPr>
          <w:bCs/>
          <w:color w:val="002060"/>
          <w:sz w:val="16"/>
          <w:szCs w:val="16"/>
        </w:rPr>
      </w:pPr>
      <w:r w:rsidRPr="00DE096C">
        <w:rPr>
          <w:bCs/>
          <w:color w:val="002060"/>
          <w:sz w:val="16"/>
          <w:szCs w:val="16"/>
        </w:rPr>
        <w:t xml:space="preserve">1. Все предложения относительно поставок для России, подлежащие производству в Великобритании или Америке, должны рассматриваться в Англии. </w:t>
      </w:r>
    </w:p>
    <w:p w14:paraId="15320A4D" w14:textId="77777777" w:rsidR="00697A62" w:rsidRPr="00DE096C" w:rsidRDefault="00697A62" w:rsidP="00D45A46">
      <w:pPr>
        <w:jc w:val="both"/>
        <w:rPr>
          <w:bCs/>
          <w:color w:val="002060"/>
          <w:sz w:val="16"/>
          <w:szCs w:val="16"/>
        </w:rPr>
      </w:pPr>
      <w:r w:rsidRPr="00DE096C">
        <w:rPr>
          <w:bCs/>
          <w:color w:val="002060"/>
          <w:sz w:val="16"/>
          <w:szCs w:val="16"/>
        </w:rPr>
        <w:t xml:space="preserve">2. Все контракты в Англии и Америке могут быть заключены русским правительством только с ведома специальных в Лондоне представителей обеих держав и по возможность с их подписями. </w:t>
      </w:r>
    </w:p>
    <w:p w14:paraId="3BC1E718" w14:textId="77777777" w:rsidR="00697A62" w:rsidRPr="00DE096C" w:rsidRDefault="00697A62" w:rsidP="00D45A46">
      <w:pPr>
        <w:jc w:val="both"/>
        <w:rPr>
          <w:bCs/>
          <w:color w:val="002060"/>
          <w:sz w:val="16"/>
          <w:szCs w:val="16"/>
        </w:rPr>
      </w:pPr>
      <w:r w:rsidRPr="00DE096C">
        <w:rPr>
          <w:bCs/>
          <w:color w:val="002060"/>
          <w:sz w:val="16"/>
          <w:szCs w:val="16"/>
        </w:rPr>
        <w:t xml:space="preserve">3. Ни одна поставка для России, платежи по которой должны быть произведены из кредитов, предоставленных английским правительством, не должна делаться без ведома представителей обеих держав. </w:t>
      </w:r>
    </w:p>
    <w:p w14:paraId="18CB5A43" w14:textId="77777777" w:rsidR="00697A62" w:rsidRPr="00DE096C" w:rsidRDefault="00697A62" w:rsidP="00D45A46">
      <w:pPr>
        <w:jc w:val="both"/>
        <w:rPr>
          <w:bCs/>
          <w:color w:val="002060"/>
          <w:sz w:val="16"/>
          <w:szCs w:val="16"/>
        </w:rPr>
      </w:pPr>
      <w:r w:rsidRPr="00DE096C">
        <w:rPr>
          <w:bCs/>
          <w:color w:val="002060"/>
          <w:sz w:val="16"/>
          <w:szCs w:val="16"/>
        </w:rPr>
        <w:t xml:space="preserve">Однако это соглашение не давало еще полного координирования заготовительной работы Англии и русского правительства, так как некоторые русские заказы проходили помимо Русского заготовительного комитета и велись через Лондон, откуда британское правительство передавало их для исполнения Америке через банкирский дом Морган. </w:t>
      </w:r>
    </w:p>
    <w:p w14:paraId="4C528E50" w14:textId="77777777" w:rsidR="00697A62" w:rsidRPr="00DE096C" w:rsidRDefault="00697A62" w:rsidP="00D45A46">
      <w:pPr>
        <w:jc w:val="both"/>
        <w:rPr>
          <w:bCs/>
          <w:color w:val="002060"/>
          <w:sz w:val="16"/>
          <w:szCs w:val="16"/>
        </w:rPr>
      </w:pPr>
      <w:r w:rsidRPr="00DE096C">
        <w:rPr>
          <w:bCs/>
          <w:color w:val="002060"/>
          <w:sz w:val="16"/>
          <w:szCs w:val="16"/>
        </w:rPr>
        <w:t>При этих условиях опять-таки возникала конкуренция в заготовках, проводимых Комитетом и Морганом, так как последний действовал совершенно независимо от Комитета. Был случай, что одна из заготовительных ведомостей из Петрограда была отправлена по двум адресам — в Комитет и Лондон, и по этой ведомости была произведена двойная заготовка, одна — Комитетом, другая — Морганом.</w:t>
      </w:r>
    </w:p>
    <w:p w14:paraId="162A61F7" w14:textId="77777777" w:rsidR="00697A62" w:rsidRPr="00DE096C" w:rsidRDefault="00697A62" w:rsidP="00D45A46">
      <w:pPr>
        <w:jc w:val="both"/>
        <w:rPr>
          <w:bCs/>
          <w:color w:val="002060"/>
          <w:sz w:val="16"/>
          <w:szCs w:val="16"/>
        </w:rPr>
      </w:pPr>
      <w:r w:rsidRPr="00DE096C">
        <w:rPr>
          <w:bCs/>
          <w:color w:val="002060"/>
          <w:sz w:val="16"/>
          <w:szCs w:val="16"/>
        </w:rPr>
        <w:t xml:space="preserve">Для окончательного согласования заготовительных действий Комитетом был выдвинут вопрос об образовании Русско-английской согласительной комиссии, куда должны были войти, с одной стороны, представители Русского заготовительного комитета, а с другой — представители британского правительства. Образование Комиссии значительно упрощало прохождение заказов, так как этой Комиссии предоставлено было право обсуждать все основные заказы и разрешать многие важные вопросы, избегая, таким образом, тормозящей дело переписки с Лондоном. Затем, этой Комиссии было предоставлено право наблюдать за заказами, проводимыми через Моргана, и согласовывать их с заказами Комитета. </w:t>
      </w:r>
    </w:p>
    <w:p w14:paraId="72FCFE78" w14:textId="77777777" w:rsidR="00697A62" w:rsidRPr="00DE096C" w:rsidRDefault="00697A62" w:rsidP="00D45A46">
      <w:pPr>
        <w:jc w:val="both"/>
        <w:rPr>
          <w:bCs/>
          <w:color w:val="002060"/>
          <w:sz w:val="16"/>
          <w:szCs w:val="16"/>
        </w:rPr>
      </w:pPr>
      <w:r w:rsidRPr="00DE096C">
        <w:rPr>
          <w:bCs/>
          <w:color w:val="002060"/>
          <w:sz w:val="16"/>
          <w:szCs w:val="16"/>
        </w:rPr>
        <w:t xml:space="preserve">Комиссия начала свою деятельность в январе 1916 г. и продолжала до середины этого года. Своей работой она оказала громадную помощь Комитету. В середине года, с отъездом состоявшего в составе Комиссии представителя британского правительства, центр тяжести разрешения всех вопросов по заготовительной деятельности вновь автоматически перенесся в Лондон. </w:t>
      </w:r>
    </w:p>
    <w:p w14:paraId="6EBB3535" w14:textId="77777777" w:rsidR="00697A62" w:rsidRPr="00DE096C" w:rsidRDefault="00697A62" w:rsidP="00D45A46">
      <w:pPr>
        <w:jc w:val="both"/>
        <w:rPr>
          <w:bCs/>
          <w:color w:val="002060"/>
          <w:sz w:val="16"/>
          <w:szCs w:val="16"/>
        </w:rPr>
      </w:pPr>
      <w:r w:rsidRPr="00DE096C">
        <w:rPr>
          <w:bCs/>
          <w:color w:val="002060"/>
          <w:sz w:val="16"/>
          <w:szCs w:val="16"/>
        </w:rPr>
        <w:t>Такова была в основных чертах организация дела русских военных заказов. В дальнейшем изложении истории отдельных крупных артиллерийских заказов попутно придется касаться организационной стороны (11329).</w:t>
      </w:r>
    </w:p>
    <w:p w14:paraId="1EF51696" w14:textId="2EFE7107" w:rsidR="00697A62" w:rsidRPr="00DE096C" w:rsidRDefault="00697A62" w:rsidP="00D45A46">
      <w:pPr>
        <w:jc w:val="both"/>
        <w:rPr>
          <w:bCs/>
          <w:i/>
          <w:color w:val="002060"/>
          <w:sz w:val="16"/>
          <w:szCs w:val="16"/>
        </w:rPr>
      </w:pPr>
    </w:p>
    <w:p w14:paraId="7242E7FD" w14:textId="7425FEC9" w:rsidR="006158E9" w:rsidRPr="00DE096C" w:rsidRDefault="006158E9" w:rsidP="00D45A46">
      <w:pPr>
        <w:jc w:val="both"/>
        <w:rPr>
          <w:bCs/>
          <w:i/>
          <w:color w:val="002060"/>
          <w:sz w:val="16"/>
          <w:szCs w:val="16"/>
        </w:rPr>
      </w:pPr>
      <w:r w:rsidRPr="00DE096C">
        <w:rPr>
          <w:bCs/>
          <w:i/>
          <w:color w:val="002060"/>
          <w:sz w:val="16"/>
          <w:szCs w:val="16"/>
        </w:rPr>
        <w:t>Авиация:</w:t>
      </w:r>
    </w:p>
    <w:p w14:paraId="70AC52DD" w14:textId="1DF3CD37" w:rsidR="006158E9" w:rsidRPr="00DE096C" w:rsidRDefault="006158E9" w:rsidP="00D45A46">
      <w:pPr>
        <w:jc w:val="both"/>
        <w:rPr>
          <w:bCs/>
          <w:i/>
          <w:color w:val="002060"/>
          <w:sz w:val="16"/>
          <w:szCs w:val="16"/>
        </w:rPr>
      </w:pPr>
    </w:p>
    <w:p w14:paraId="0721AFB1" w14:textId="553C8748" w:rsidR="006158E9" w:rsidRPr="00DE096C" w:rsidRDefault="006158E9" w:rsidP="00D45A46">
      <w:pPr>
        <w:jc w:val="both"/>
        <w:rPr>
          <w:bCs/>
          <w:color w:val="002060"/>
          <w:sz w:val="16"/>
          <w:szCs w:val="16"/>
        </w:rPr>
      </w:pPr>
      <w:r w:rsidRPr="00DE096C">
        <w:rPr>
          <w:bCs/>
          <w:color w:val="002060"/>
          <w:sz w:val="16"/>
          <w:szCs w:val="16"/>
        </w:rPr>
        <w:t xml:space="preserve">В ноябре-декабре 1914 года воздушные налеты противника на Варшаву уже не отличались интенсивностью, что в большой степени зависело от погодных условий. Но те же погодные условия (низкая облачность, туман) не позволяли вести эффективный огонь с земли по вражеским аэропланам, перешедшим к тактике бросания бомб из-за облаков. </w:t>
      </w:r>
    </w:p>
    <w:p w14:paraId="325DCE20" w14:textId="77777777" w:rsidR="006158E9" w:rsidRPr="00DE096C" w:rsidRDefault="006158E9" w:rsidP="00D45A46">
      <w:pPr>
        <w:jc w:val="both"/>
        <w:rPr>
          <w:bCs/>
          <w:color w:val="002060"/>
          <w:sz w:val="16"/>
          <w:szCs w:val="16"/>
        </w:rPr>
      </w:pPr>
      <w:r w:rsidRPr="00DE096C">
        <w:rPr>
          <w:bCs/>
          <w:color w:val="002060"/>
          <w:sz w:val="16"/>
          <w:szCs w:val="16"/>
        </w:rPr>
        <w:lastRenderedPageBreak/>
        <w:t>7 (20) декабря 1914 года сразу три германских аэроплана с юго-запада пошли на Варшаву. На сей раз по врагу был открыт огонь всех подготовленных батарей: двух морских, Буковского, Школышкова и Мертенгрена. Ни один из 50 снарядов не поразил цель, но самолеты были вынуждены повернуть на запад и поспешно сбросить бомбы, три из которых упали на позиции артиллеристов, не причинив вреда. Шесть бомб сброшено на жилые кварталы города: в одной из подчердачных квартир был убит мальчик и ранено две девочки. Тем не менее, враг получил достаточную острастку и более месяца не тревожил Варшаву.</w:t>
      </w:r>
    </w:p>
    <w:p w14:paraId="53B97DA3" w14:textId="77777777" w:rsidR="006158E9" w:rsidRPr="00DE096C" w:rsidRDefault="006158E9" w:rsidP="00D45A46">
      <w:pPr>
        <w:pStyle w:val="a3"/>
        <w:jc w:val="both"/>
        <w:rPr>
          <w:bCs/>
          <w:color w:val="002060"/>
          <w:spacing w:val="0"/>
          <w:kern w:val="0"/>
          <w:position w:val="0"/>
          <w:sz w:val="16"/>
          <w:szCs w:val="16"/>
        </w:rPr>
      </w:pPr>
    </w:p>
    <w:p w14:paraId="0D30D842" w14:textId="77777777" w:rsidR="00C7639D" w:rsidRPr="00B52707" w:rsidRDefault="00C7639D" w:rsidP="00C7639D">
      <w:pPr>
        <w:jc w:val="both"/>
        <w:rPr>
          <w:color w:val="0070C0"/>
          <w:sz w:val="16"/>
          <w:szCs w:val="16"/>
        </w:rPr>
      </w:pPr>
      <w:r w:rsidRPr="00B52707">
        <w:rPr>
          <w:rStyle w:val="ab"/>
          <w:rFonts w:ascii="Times New Roman" w:hAnsi="Times New Roman"/>
          <w:color w:val="0070C0"/>
          <w:spacing w:val="0"/>
          <w:sz w:val="16"/>
          <w:szCs w:val="16"/>
        </w:rPr>
        <w:t xml:space="preserve">К зиме 1915/16 годов была значительно расширена существующая сеть наблюдательных постов, охватившая прибрежную линию сразу 'грех заливов Балтийского моря (Рижского, Финского и Ботнического). Главным разработчиком здесь выступил созданный в мае 1915 года штаб воздушной обороны (Императорской резиденции в Царском Селе и Петрограда) в лице начальника обороны генерал- майора Г.В. Бурмана и капитана А.И. Бениксона (25166). </w:t>
      </w:r>
    </w:p>
    <w:p w14:paraId="25E50A82" w14:textId="77777777" w:rsidR="00C7639D" w:rsidRPr="00B52707" w:rsidRDefault="00C7639D" w:rsidP="00C7639D">
      <w:pPr>
        <w:jc w:val="both"/>
        <w:rPr>
          <w:color w:val="0070C0"/>
          <w:sz w:val="16"/>
          <w:szCs w:val="16"/>
        </w:rPr>
      </w:pPr>
    </w:p>
    <w:p w14:paraId="72613C70" w14:textId="77777777" w:rsidR="00011C74" w:rsidRPr="00DE096C" w:rsidRDefault="00011C74" w:rsidP="00D45A46">
      <w:pPr>
        <w:jc w:val="both"/>
        <w:rPr>
          <w:bCs/>
          <w:i/>
          <w:color w:val="002060"/>
          <w:sz w:val="16"/>
          <w:szCs w:val="16"/>
        </w:rPr>
      </w:pPr>
      <w:r w:rsidRPr="00DE096C">
        <w:rPr>
          <w:bCs/>
          <w:i/>
          <w:color w:val="002060"/>
          <w:sz w:val="16"/>
          <w:szCs w:val="16"/>
        </w:rPr>
        <w:t>Самолетостроение:</w:t>
      </w:r>
    </w:p>
    <w:p w14:paraId="17588B87" w14:textId="77777777" w:rsidR="00011C74" w:rsidRPr="00DE096C" w:rsidRDefault="00011C74" w:rsidP="00D45A46">
      <w:pPr>
        <w:jc w:val="both"/>
        <w:rPr>
          <w:bCs/>
          <w:i/>
          <w:color w:val="002060"/>
          <w:sz w:val="16"/>
          <w:szCs w:val="16"/>
        </w:rPr>
      </w:pPr>
    </w:p>
    <w:p w14:paraId="276FEE7E" w14:textId="26D5856E" w:rsidR="00011C74" w:rsidRPr="00DE096C" w:rsidRDefault="00011C74" w:rsidP="00D45A46">
      <w:pPr>
        <w:jc w:val="both"/>
        <w:rPr>
          <w:bCs/>
          <w:color w:val="002060"/>
          <w:sz w:val="16"/>
          <w:szCs w:val="16"/>
        </w:rPr>
      </w:pPr>
      <w:r w:rsidRPr="00DE096C">
        <w:rPr>
          <w:bCs/>
          <w:color w:val="002060"/>
          <w:sz w:val="16"/>
          <w:szCs w:val="16"/>
        </w:rPr>
        <w:t>К началу декабря 1914 г. были готовы к отправке на фронт ешё четыре отряда ИМ (III, V, VI и VII "Киевский") (12041).</w:t>
      </w:r>
    </w:p>
    <w:p w14:paraId="0C1D101F" w14:textId="77777777" w:rsidR="00011C74" w:rsidRPr="00DE096C" w:rsidRDefault="00011C74" w:rsidP="00D45A46">
      <w:pPr>
        <w:jc w:val="both"/>
        <w:rPr>
          <w:bCs/>
          <w:color w:val="002060"/>
          <w:sz w:val="16"/>
          <w:szCs w:val="16"/>
        </w:rPr>
      </w:pPr>
    </w:p>
    <w:p w14:paraId="39731E46" w14:textId="77777777" w:rsidR="00B67D7C" w:rsidRPr="00DE096C" w:rsidRDefault="00B67D7C" w:rsidP="00D45A46">
      <w:pPr>
        <w:jc w:val="both"/>
        <w:rPr>
          <w:bCs/>
          <w:i/>
          <w:color w:val="002060"/>
          <w:sz w:val="16"/>
          <w:szCs w:val="16"/>
        </w:rPr>
      </w:pPr>
      <w:r w:rsidRPr="00DE096C">
        <w:rPr>
          <w:bCs/>
          <w:i/>
          <w:color w:val="002060"/>
          <w:sz w:val="16"/>
          <w:szCs w:val="16"/>
        </w:rPr>
        <w:t>Самолетостроение:</w:t>
      </w:r>
    </w:p>
    <w:p w14:paraId="105D460A" w14:textId="28BC141C" w:rsidR="00B67D7C" w:rsidRPr="00DE096C" w:rsidRDefault="00B67D7C" w:rsidP="00D45A46">
      <w:pPr>
        <w:jc w:val="both"/>
        <w:rPr>
          <w:bCs/>
          <w:i/>
          <w:color w:val="002060"/>
          <w:sz w:val="16"/>
          <w:szCs w:val="16"/>
        </w:rPr>
      </w:pPr>
    </w:p>
    <w:p w14:paraId="435687B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 (14) декабря 1914 г. между Марком Эмануилом Витом Михайловичем Малынским и Василием Адриановичем Слесаревым был заключен договор следующего содержания:</w:t>
      </w:r>
    </w:p>
    <w:p w14:paraId="69A2061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"I. Строитель обязуется построить и сдать самолет, описание и чертеж которого одобрен ОВФ Особого комитета,.. .удовлетворяю</w:t>
      </w:r>
      <w:r w:rsidRPr="00DE096C">
        <w:rPr>
          <w:bCs/>
          <w:color w:val="002060"/>
          <w:sz w:val="16"/>
          <w:szCs w:val="16"/>
        </w:rPr>
        <w:softHyphen/>
        <w:t>щий следующим требованиям:</w:t>
      </w:r>
    </w:p>
    <w:p w14:paraId="07D1B06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а) при полной нагрузке в 6500 кг иметь подъемную полезную силу в 3000 кг, считая в ней: вес эки</w:t>
      </w:r>
      <w:r w:rsidRPr="00DE096C">
        <w:rPr>
          <w:bCs/>
          <w:color w:val="002060"/>
          <w:sz w:val="16"/>
          <w:szCs w:val="16"/>
        </w:rPr>
        <w:softHyphen/>
        <w:t>пажа, бензина, масла, приборов управления и наблюдения и др. военных запасов;</w:t>
      </w:r>
    </w:p>
    <w:p w14:paraId="12690A6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б) развивать скорость до 100 верст в час и пролетать расстояние при этом не меньше расстояния между Варша</w:t>
      </w:r>
      <w:r w:rsidRPr="00DE096C">
        <w:rPr>
          <w:bCs/>
          <w:color w:val="002060"/>
          <w:sz w:val="16"/>
          <w:szCs w:val="16"/>
        </w:rPr>
        <w:softHyphen/>
        <w:t>вой и Парижем по прямой... или 1300 верст с полным запасом бензина и масла, 5 пассажирами, всеми необходимыми приборами для управления самолетом в дальнем перелете, провизией для пас</w:t>
      </w:r>
      <w:r w:rsidRPr="00DE096C">
        <w:rPr>
          <w:bCs/>
          <w:color w:val="002060"/>
          <w:sz w:val="16"/>
          <w:szCs w:val="16"/>
        </w:rPr>
        <w:softHyphen/>
        <w:t>сажиров, т.е. всем, что включается в полезную подъемную силу;</w:t>
      </w:r>
    </w:p>
    <w:p w14:paraId="62C1DB7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быстро брать высоту и иметь возможность свободно летать на внсоте 2500 м над уровнем моря;</w:t>
      </w:r>
    </w:p>
    <w:p w14:paraId="420DB60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г) все части самолета должны удовлетворять общим условиям на поставку для Главного инженер</w:t>
      </w:r>
      <w:r w:rsidRPr="00DE096C">
        <w:rPr>
          <w:bCs/>
          <w:color w:val="002060"/>
          <w:sz w:val="16"/>
          <w:szCs w:val="16"/>
        </w:rPr>
        <w:softHyphen/>
        <w:t>ного управления ...Некоторые части (в натуральную величину) должны быть испытаны в лаборатории сопротивления материалов и иметь по крайней мере 3-х кратный запас прочности (Любопытно, что позднее В.А.Слесарев будет говорить, что в основу расчета всех частей аппарата положено требование 10-крат</w:t>
      </w:r>
      <w:r w:rsidRPr="00DE096C">
        <w:rPr>
          <w:bCs/>
          <w:color w:val="002060"/>
          <w:sz w:val="16"/>
          <w:szCs w:val="16"/>
        </w:rPr>
        <w:softHyphen/>
        <w:t>ной прочности, за счет чего и произошло перетяжеление построен</w:t>
      </w:r>
      <w:r w:rsidRPr="00DE096C">
        <w:rPr>
          <w:bCs/>
          <w:color w:val="002060"/>
          <w:sz w:val="16"/>
          <w:szCs w:val="16"/>
        </w:rPr>
        <w:softHyphen/>
        <w:t>ного самолета /ЦГВИА, ф. 2008, оп. 1, д. 343, л. 199/. Сомнительные части готового самолета нагружаются ...полуторной нагрузкой, причем остаточные деформации не должны иметь места... Взлет и спуск должен быть обеспечен с ровного луга или поля с крепким, неболотистым грунтом.</w:t>
      </w:r>
    </w:p>
    <w:p w14:paraId="230D1B2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 Самолет должен быть готов для сдачи в полной готовнос</w:t>
      </w:r>
      <w:r w:rsidRPr="00DE096C">
        <w:rPr>
          <w:bCs/>
          <w:color w:val="002060"/>
          <w:sz w:val="16"/>
          <w:szCs w:val="16"/>
        </w:rPr>
        <w:softHyphen/>
        <w:t>ти для полетов в 3-х месячный срок со дня получения 50% полной его стоимости. В случае недоставки двигателей из-за границы за 3 недели до сдачи, срок этот удлиняется, но, во всяком случае, сдача самолета должна состояться не позднее окончания военных действий с Германией..." /ЦГВИА, ф. 2008, оп. 1, д. 343, л. 5-7/ (11069).</w:t>
      </w:r>
    </w:p>
    <w:p w14:paraId="48D7CDF5" w14:textId="77777777" w:rsidR="00B67D7C" w:rsidRPr="00DE096C" w:rsidRDefault="00B67D7C" w:rsidP="00D45A46">
      <w:pPr>
        <w:shd w:val="clear" w:color="auto" w:fill="FFFFFF"/>
        <w:jc w:val="both"/>
        <w:rPr>
          <w:bCs/>
          <w:color w:val="002060"/>
          <w:sz w:val="16"/>
          <w:szCs w:val="16"/>
        </w:rPr>
      </w:pPr>
    </w:p>
    <w:p w14:paraId="4D4498FE" w14:textId="1C325CEA" w:rsidR="00582427" w:rsidRPr="00DE096C" w:rsidRDefault="00582427" w:rsidP="00D45A46">
      <w:pPr>
        <w:jc w:val="both"/>
        <w:rPr>
          <w:bCs/>
          <w:i/>
          <w:color w:val="002060"/>
          <w:sz w:val="16"/>
          <w:szCs w:val="16"/>
        </w:rPr>
      </w:pPr>
      <w:r w:rsidRPr="00DE096C">
        <w:rPr>
          <w:bCs/>
          <w:i/>
          <w:color w:val="002060"/>
          <w:sz w:val="16"/>
          <w:szCs w:val="16"/>
        </w:rPr>
        <w:t>Жругие оборонные отрасли:</w:t>
      </w:r>
    </w:p>
    <w:p w14:paraId="44DDA77F" w14:textId="77777777" w:rsidR="00582427" w:rsidRPr="00DE096C" w:rsidRDefault="00582427" w:rsidP="00D45A46">
      <w:pPr>
        <w:jc w:val="both"/>
        <w:rPr>
          <w:bCs/>
          <w:i/>
          <w:color w:val="002060"/>
          <w:sz w:val="16"/>
          <w:szCs w:val="16"/>
        </w:rPr>
      </w:pPr>
    </w:p>
    <w:p w14:paraId="066F9260" w14:textId="77777777" w:rsidR="00582427" w:rsidRPr="00DE096C" w:rsidRDefault="00582427" w:rsidP="00D45A46">
      <w:pPr>
        <w:jc w:val="both"/>
        <w:rPr>
          <w:bCs/>
          <w:color w:val="002060"/>
          <w:sz w:val="16"/>
          <w:szCs w:val="16"/>
        </w:rPr>
      </w:pPr>
      <w:r w:rsidRPr="00DE096C">
        <w:rPr>
          <w:bCs/>
          <w:color w:val="002060"/>
          <w:sz w:val="16"/>
          <w:szCs w:val="16"/>
        </w:rPr>
        <w:t>К 1 декабря 1914 г. артиллерия на фронтах получила все остававшиеся запасы выстрелов (ВПР. С. 718, 748).</w:t>
      </w:r>
    </w:p>
    <w:p w14:paraId="014F1B2F" w14:textId="77777777" w:rsidR="00582427" w:rsidRPr="00DE096C" w:rsidRDefault="00582427" w:rsidP="00D45A46">
      <w:pPr>
        <w:jc w:val="both"/>
        <w:rPr>
          <w:bCs/>
          <w:color w:val="002060"/>
          <w:sz w:val="16"/>
          <w:szCs w:val="16"/>
        </w:rPr>
      </w:pPr>
      <w:r w:rsidRPr="00DE096C">
        <w:rPr>
          <w:bCs/>
          <w:color w:val="002060"/>
          <w:sz w:val="16"/>
          <w:szCs w:val="16"/>
        </w:rPr>
        <w:t>По утверждению Н. Стоуна, Военный совет, высшая в системе снабжения инстанция, проявил свою косность и непонимание обстоятельств момента: в сентябре 1914 г. по-скопидомски сократил заявку ГАУ и вместо 2 млн снарядов разрешил заказать лишь 800 тысяч. В целом сделанные «за этот период» заказы не достигали даже посильной для рус</w:t>
      </w:r>
      <w:r w:rsidRPr="00DE096C">
        <w:rPr>
          <w:bCs/>
          <w:color w:val="002060"/>
          <w:sz w:val="16"/>
          <w:szCs w:val="16"/>
        </w:rPr>
        <w:softHyphen/>
        <w:t>ской промышленности нормы выпуска — 5 млн орудийных патронов в год. Источник этих странных сведений не ука</w:t>
      </w:r>
      <w:r w:rsidRPr="00DE096C">
        <w:rPr>
          <w:bCs/>
          <w:color w:val="002060"/>
          <w:sz w:val="16"/>
          <w:szCs w:val="16"/>
        </w:rPr>
        <w:softHyphen/>
        <w:t>зан — и едва ли случайно, но, при всех искажениях, узна</w:t>
      </w:r>
      <w:r w:rsidRPr="00DE096C">
        <w:rPr>
          <w:bCs/>
          <w:color w:val="002060"/>
          <w:sz w:val="16"/>
          <w:szCs w:val="16"/>
        </w:rPr>
        <w:softHyphen/>
        <w:t>ваем (23452).</w:t>
      </w:r>
    </w:p>
    <w:p w14:paraId="52D2974A" w14:textId="77777777" w:rsidR="00582427" w:rsidRPr="00DE096C" w:rsidRDefault="00582427" w:rsidP="00D45A46">
      <w:pPr>
        <w:jc w:val="both"/>
        <w:rPr>
          <w:bCs/>
          <w:color w:val="002060"/>
          <w:sz w:val="16"/>
          <w:szCs w:val="16"/>
        </w:rPr>
      </w:pPr>
    </w:p>
    <w:p w14:paraId="502E9FEE" w14:textId="5BAE32BF" w:rsidR="003217C1" w:rsidRPr="00DE096C" w:rsidRDefault="003217C1" w:rsidP="00D45A46">
      <w:pPr>
        <w:jc w:val="both"/>
        <w:rPr>
          <w:bCs/>
          <w:i/>
          <w:color w:val="002060"/>
          <w:sz w:val="16"/>
          <w:szCs w:val="16"/>
        </w:rPr>
      </w:pPr>
      <w:r w:rsidRPr="00DE096C">
        <w:rPr>
          <w:bCs/>
          <w:i/>
          <w:color w:val="002060"/>
          <w:sz w:val="16"/>
          <w:szCs w:val="16"/>
        </w:rPr>
        <w:t>Авиация:</w:t>
      </w:r>
    </w:p>
    <w:p w14:paraId="2FFACA65" w14:textId="77777777" w:rsidR="003217C1" w:rsidRPr="00DE096C" w:rsidRDefault="003217C1" w:rsidP="00D45A46">
      <w:pPr>
        <w:jc w:val="both"/>
        <w:rPr>
          <w:bCs/>
          <w:i/>
          <w:color w:val="002060"/>
          <w:sz w:val="16"/>
          <w:szCs w:val="16"/>
        </w:rPr>
      </w:pPr>
    </w:p>
    <w:p w14:paraId="699F8B50" w14:textId="77777777" w:rsidR="003217C1" w:rsidRPr="00DE096C" w:rsidRDefault="003217C1" w:rsidP="00D45A46">
      <w:pPr>
        <w:jc w:val="both"/>
        <w:rPr>
          <w:bCs/>
          <w:iCs/>
          <w:color w:val="002060"/>
          <w:sz w:val="16"/>
          <w:szCs w:val="16"/>
        </w:rPr>
      </w:pPr>
      <w:r w:rsidRPr="00DE096C">
        <w:rPr>
          <w:bCs/>
          <w:iCs/>
          <w:color w:val="002060"/>
          <w:sz w:val="16"/>
          <w:szCs w:val="16"/>
        </w:rPr>
        <w:t>На 1 (14) декабря 1914 г.</w:t>
      </w:r>
    </w:p>
    <w:p w14:paraId="28B07227" w14:textId="77777777" w:rsidR="003217C1" w:rsidRPr="00DE096C" w:rsidRDefault="003217C1" w:rsidP="00D45A46">
      <w:pPr>
        <w:shd w:val="clear" w:color="auto" w:fill="FFFFFF"/>
        <w:jc w:val="both"/>
        <w:rPr>
          <w:bCs/>
          <w:color w:val="002060"/>
          <w:sz w:val="16"/>
          <w:szCs w:val="16"/>
        </w:rPr>
      </w:pPr>
      <w:r w:rsidRPr="00DE096C">
        <w:rPr>
          <w:bCs/>
          <w:color w:val="002060"/>
          <w:sz w:val="16"/>
          <w:szCs w:val="16"/>
        </w:rPr>
        <w:t>Состояние самолетного парка русской действующей армии во второй половине 1914 г. характеризуется следующими дан</w:t>
      </w:r>
      <w:r w:rsidRPr="00DE096C">
        <w:rPr>
          <w:bCs/>
          <w:color w:val="002060"/>
          <w:sz w:val="16"/>
          <w:szCs w:val="16"/>
        </w:rPr>
        <w:softHyphen/>
        <w:t>ными (табл. 1) (ЦГВИА, ф. 2008, оп. 2, д. 616, л. .137).</w:t>
      </w:r>
    </w:p>
    <w:p w14:paraId="1417FFD6" w14:textId="77777777" w:rsidR="003217C1" w:rsidRPr="00DE096C" w:rsidRDefault="003217C1" w:rsidP="00D45A46">
      <w:pPr>
        <w:shd w:val="clear" w:color="auto" w:fill="FFFFFF"/>
        <w:jc w:val="both"/>
        <w:rPr>
          <w:bCs/>
          <w:color w:val="002060"/>
          <w:sz w:val="16"/>
          <w:szCs w:val="16"/>
        </w:rPr>
      </w:pPr>
      <w:r w:rsidRPr="00DE096C">
        <w:rPr>
          <w:bCs/>
          <w:color w:val="002060"/>
          <w:sz w:val="16"/>
          <w:szCs w:val="16"/>
        </w:rPr>
        <w:t>Таблица 1</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26"/>
        <w:gridCol w:w="1776"/>
        <w:gridCol w:w="797"/>
        <w:gridCol w:w="806"/>
        <w:gridCol w:w="653"/>
      </w:tblGrid>
      <w:tr w:rsidR="003217C1" w:rsidRPr="00DE096C" w14:paraId="66178B79" w14:textId="77777777" w:rsidTr="00D34AC1">
        <w:trPr>
          <w:trHeight w:val="403"/>
        </w:trPr>
        <w:tc>
          <w:tcPr>
            <w:tcW w:w="2102" w:type="dxa"/>
            <w:gridSpan w:val="2"/>
          </w:tcPr>
          <w:p w14:paraId="77BE7B06" w14:textId="77777777" w:rsidR="003217C1" w:rsidRPr="00DE096C" w:rsidRDefault="003217C1" w:rsidP="00D45A46">
            <w:pPr>
              <w:shd w:val="clear" w:color="auto" w:fill="FFFFFF"/>
              <w:jc w:val="both"/>
              <w:rPr>
                <w:bCs/>
                <w:color w:val="002060"/>
                <w:sz w:val="16"/>
                <w:szCs w:val="16"/>
              </w:rPr>
            </w:pPr>
            <w:r w:rsidRPr="00DE096C">
              <w:rPr>
                <w:bCs/>
                <w:color w:val="002060"/>
                <w:sz w:val="16"/>
                <w:szCs w:val="16"/>
              </w:rPr>
              <w:t>Дата</w:t>
            </w:r>
          </w:p>
        </w:tc>
        <w:tc>
          <w:tcPr>
            <w:tcW w:w="2256" w:type="dxa"/>
            <w:gridSpan w:val="3"/>
          </w:tcPr>
          <w:p w14:paraId="61827D8E" w14:textId="77777777" w:rsidR="003217C1" w:rsidRPr="00DE096C" w:rsidRDefault="003217C1" w:rsidP="00D45A46">
            <w:pPr>
              <w:shd w:val="clear" w:color="auto" w:fill="FFFFFF"/>
              <w:jc w:val="both"/>
              <w:rPr>
                <w:bCs/>
                <w:color w:val="002060"/>
                <w:sz w:val="16"/>
                <w:szCs w:val="16"/>
              </w:rPr>
            </w:pPr>
            <w:r w:rsidRPr="00DE096C">
              <w:rPr>
                <w:bCs/>
                <w:color w:val="002060"/>
                <w:sz w:val="16"/>
                <w:szCs w:val="16"/>
              </w:rPr>
              <w:t>Количество самолетов</w:t>
            </w:r>
          </w:p>
        </w:tc>
      </w:tr>
      <w:tr w:rsidR="003217C1" w:rsidRPr="00DE096C" w14:paraId="637CD09A" w14:textId="77777777" w:rsidTr="00D34AC1">
        <w:trPr>
          <w:trHeight w:val="432"/>
        </w:trPr>
        <w:tc>
          <w:tcPr>
            <w:tcW w:w="2102" w:type="dxa"/>
            <w:gridSpan w:val="2"/>
          </w:tcPr>
          <w:p w14:paraId="304E8776" w14:textId="77777777" w:rsidR="003217C1" w:rsidRPr="00DE096C" w:rsidRDefault="003217C1" w:rsidP="00D45A46">
            <w:pPr>
              <w:jc w:val="both"/>
              <w:rPr>
                <w:bCs/>
                <w:color w:val="002060"/>
                <w:sz w:val="16"/>
                <w:szCs w:val="16"/>
              </w:rPr>
            </w:pPr>
          </w:p>
        </w:tc>
        <w:tc>
          <w:tcPr>
            <w:tcW w:w="797" w:type="dxa"/>
          </w:tcPr>
          <w:p w14:paraId="4FAF7FED" w14:textId="77777777" w:rsidR="003217C1" w:rsidRPr="00DE096C" w:rsidRDefault="003217C1" w:rsidP="00D45A46">
            <w:pPr>
              <w:shd w:val="clear" w:color="auto" w:fill="FFFFFF"/>
              <w:jc w:val="both"/>
              <w:rPr>
                <w:bCs/>
                <w:color w:val="002060"/>
                <w:sz w:val="16"/>
                <w:szCs w:val="16"/>
              </w:rPr>
            </w:pPr>
            <w:r w:rsidRPr="00DE096C">
              <w:rPr>
                <w:bCs/>
                <w:color w:val="002060"/>
                <w:sz w:val="16"/>
                <w:szCs w:val="16"/>
              </w:rPr>
              <w:t>исправных</w:t>
            </w:r>
          </w:p>
        </w:tc>
        <w:tc>
          <w:tcPr>
            <w:tcW w:w="806" w:type="dxa"/>
          </w:tcPr>
          <w:p w14:paraId="1ACB7A92" w14:textId="77777777" w:rsidR="003217C1" w:rsidRPr="00DE096C" w:rsidRDefault="003217C1" w:rsidP="00D45A46">
            <w:pPr>
              <w:shd w:val="clear" w:color="auto" w:fill="FFFFFF"/>
              <w:jc w:val="both"/>
              <w:rPr>
                <w:bCs/>
                <w:color w:val="002060"/>
                <w:sz w:val="16"/>
                <w:szCs w:val="16"/>
              </w:rPr>
            </w:pPr>
            <w:r w:rsidRPr="00DE096C">
              <w:rPr>
                <w:bCs/>
                <w:color w:val="002060"/>
                <w:sz w:val="16"/>
                <w:szCs w:val="16"/>
              </w:rPr>
              <w:t>в ремонте</w:t>
            </w:r>
          </w:p>
        </w:tc>
        <w:tc>
          <w:tcPr>
            <w:tcW w:w="653" w:type="dxa"/>
          </w:tcPr>
          <w:p w14:paraId="0B29F3DB" w14:textId="77777777" w:rsidR="003217C1" w:rsidRPr="00DE096C" w:rsidRDefault="003217C1" w:rsidP="00D45A46">
            <w:pPr>
              <w:shd w:val="clear" w:color="auto" w:fill="FFFFFF"/>
              <w:jc w:val="both"/>
              <w:rPr>
                <w:bCs/>
                <w:color w:val="002060"/>
                <w:sz w:val="16"/>
                <w:szCs w:val="16"/>
              </w:rPr>
            </w:pPr>
            <w:r w:rsidRPr="00DE096C">
              <w:rPr>
                <w:bCs/>
                <w:color w:val="002060"/>
                <w:sz w:val="16"/>
                <w:szCs w:val="16"/>
              </w:rPr>
              <w:t>всего</w:t>
            </w:r>
          </w:p>
        </w:tc>
      </w:tr>
      <w:tr w:rsidR="003217C1" w:rsidRPr="00DE096C" w14:paraId="49690E8C" w14:textId="77777777" w:rsidTr="00D34AC1">
        <w:trPr>
          <w:trHeight w:val="442"/>
        </w:trPr>
        <w:tc>
          <w:tcPr>
            <w:tcW w:w="326" w:type="dxa"/>
          </w:tcPr>
          <w:p w14:paraId="465B9F0D" w14:textId="77777777" w:rsidR="003217C1" w:rsidRPr="00DE096C" w:rsidRDefault="003217C1" w:rsidP="00D45A46">
            <w:pPr>
              <w:shd w:val="clear" w:color="auto" w:fill="FFFFFF"/>
              <w:jc w:val="both"/>
              <w:rPr>
                <w:bCs/>
                <w:color w:val="002060"/>
                <w:sz w:val="16"/>
                <w:szCs w:val="16"/>
              </w:rPr>
            </w:pPr>
            <w:r w:rsidRPr="00DE096C">
              <w:rPr>
                <w:bCs/>
                <w:color w:val="002060"/>
                <w:sz w:val="16"/>
                <w:szCs w:val="16"/>
              </w:rPr>
              <w:t>На</w:t>
            </w:r>
          </w:p>
        </w:tc>
        <w:tc>
          <w:tcPr>
            <w:tcW w:w="1776" w:type="dxa"/>
          </w:tcPr>
          <w:p w14:paraId="43F1A045" w14:textId="77777777" w:rsidR="003217C1" w:rsidRPr="00DE096C" w:rsidRDefault="003217C1" w:rsidP="00D45A46">
            <w:pPr>
              <w:shd w:val="clear" w:color="auto" w:fill="FFFFFF"/>
              <w:jc w:val="both"/>
              <w:rPr>
                <w:bCs/>
                <w:color w:val="002060"/>
                <w:sz w:val="16"/>
                <w:szCs w:val="16"/>
              </w:rPr>
            </w:pPr>
            <w:r w:rsidRPr="00DE096C">
              <w:rPr>
                <w:bCs/>
                <w:color w:val="002060"/>
                <w:sz w:val="16"/>
                <w:szCs w:val="16"/>
              </w:rPr>
              <w:t>1 сентября 1914 г.</w:t>
            </w:r>
          </w:p>
        </w:tc>
        <w:tc>
          <w:tcPr>
            <w:tcW w:w="797" w:type="dxa"/>
          </w:tcPr>
          <w:p w14:paraId="279E5C26" w14:textId="77777777" w:rsidR="003217C1" w:rsidRPr="00DE096C" w:rsidRDefault="003217C1" w:rsidP="00D45A46">
            <w:pPr>
              <w:shd w:val="clear" w:color="auto" w:fill="FFFFFF"/>
              <w:jc w:val="both"/>
              <w:rPr>
                <w:bCs/>
                <w:color w:val="002060"/>
                <w:sz w:val="16"/>
                <w:szCs w:val="16"/>
              </w:rPr>
            </w:pPr>
            <w:r w:rsidRPr="00DE096C">
              <w:rPr>
                <w:bCs/>
                <w:color w:val="002060"/>
                <w:sz w:val="16"/>
                <w:szCs w:val="16"/>
              </w:rPr>
              <w:t>145</w:t>
            </w:r>
          </w:p>
        </w:tc>
        <w:tc>
          <w:tcPr>
            <w:tcW w:w="806" w:type="dxa"/>
          </w:tcPr>
          <w:p w14:paraId="0141D28F" w14:textId="77777777" w:rsidR="003217C1" w:rsidRPr="00DE096C" w:rsidRDefault="003217C1" w:rsidP="00D45A46">
            <w:pPr>
              <w:shd w:val="clear" w:color="auto" w:fill="FFFFFF"/>
              <w:jc w:val="both"/>
              <w:rPr>
                <w:bCs/>
                <w:color w:val="002060"/>
                <w:sz w:val="16"/>
                <w:szCs w:val="16"/>
              </w:rPr>
            </w:pPr>
            <w:r w:rsidRPr="00DE096C">
              <w:rPr>
                <w:bCs/>
                <w:color w:val="002060"/>
                <w:sz w:val="16"/>
                <w:szCs w:val="16"/>
              </w:rPr>
              <w:t>17</w:t>
            </w:r>
          </w:p>
        </w:tc>
        <w:tc>
          <w:tcPr>
            <w:tcW w:w="653" w:type="dxa"/>
          </w:tcPr>
          <w:p w14:paraId="553766A1" w14:textId="77777777" w:rsidR="003217C1" w:rsidRPr="00DE096C" w:rsidRDefault="003217C1" w:rsidP="00D45A46">
            <w:pPr>
              <w:shd w:val="clear" w:color="auto" w:fill="FFFFFF"/>
              <w:jc w:val="both"/>
              <w:rPr>
                <w:bCs/>
                <w:color w:val="002060"/>
                <w:sz w:val="16"/>
                <w:szCs w:val="16"/>
              </w:rPr>
            </w:pPr>
            <w:r w:rsidRPr="00DE096C">
              <w:rPr>
                <w:bCs/>
                <w:color w:val="002060"/>
                <w:sz w:val="16"/>
                <w:szCs w:val="16"/>
              </w:rPr>
              <w:t>162</w:t>
            </w:r>
          </w:p>
        </w:tc>
      </w:tr>
      <w:tr w:rsidR="003217C1" w:rsidRPr="00DE096C" w14:paraId="1E5561F5" w14:textId="77777777" w:rsidTr="00D34AC1">
        <w:trPr>
          <w:trHeight w:val="173"/>
        </w:trPr>
        <w:tc>
          <w:tcPr>
            <w:tcW w:w="326" w:type="dxa"/>
          </w:tcPr>
          <w:p w14:paraId="5E5FF0EA" w14:textId="77777777" w:rsidR="003217C1" w:rsidRPr="00DE096C" w:rsidRDefault="003217C1" w:rsidP="00D45A46">
            <w:pPr>
              <w:shd w:val="clear" w:color="auto" w:fill="FFFFFF"/>
              <w:jc w:val="both"/>
              <w:rPr>
                <w:bCs/>
                <w:color w:val="002060"/>
                <w:sz w:val="16"/>
                <w:szCs w:val="16"/>
              </w:rPr>
            </w:pPr>
            <w:r w:rsidRPr="00DE096C">
              <w:rPr>
                <w:bCs/>
                <w:color w:val="002060"/>
                <w:sz w:val="16"/>
                <w:szCs w:val="16"/>
              </w:rPr>
              <w:t>На</w:t>
            </w:r>
          </w:p>
        </w:tc>
        <w:tc>
          <w:tcPr>
            <w:tcW w:w="1776" w:type="dxa"/>
          </w:tcPr>
          <w:p w14:paraId="21AA3BF8" w14:textId="77777777" w:rsidR="003217C1" w:rsidRPr="00DE096C" w:rsidRDefault="003217C1" w:rsidP="00D45A46">
            <w:pPr>
              <w:shd w:val="clear" w:color="auto" w:fill="FFFFFF"/>
              <w:jc w:val="both"/>
              <w:rPr>
                <w:bCs/>
                <w:color w:val="002060"/>
                <w:sz w:val="16"/>
                <w:szCs w:val="16"/>
              </w:rPr>
            </w:pPr>
            <w:r w:rsidRPr="00DE096C">
              <w:rPr>
                <w:bCs/>
                <w:color w:val="002060"/>
                <w:sz w:val="16"/>
                <w:szCs w:val="16"/>
              </w:rPr>
              <w:t>1 октября 1914 г.</w:t>
            </w:r>
          </w:p>
        </w:tc>
        <w:tc>
          <w:tcPr>
            <w:tcW w:w="797" w:type="dxa"/>
          </w:tcPr>
          <w:p w14:paraId="1ACB4F58" w14:textId="77777777" w:rsidR="003217C1" w:rsidRPr="00DE096C" w:rsidRDefault="003217C1" w:rsidP="00D45A46">
            <w:pPr>
              <w:shd w:val="clear" w:color="auto" w:fill="FFFFFF"/>
              <w:jc w:val="both"/>
              <w:rPr>
                <w:bCs/>
                <w:color w:val="002060"/>
                <w:sz w:val="16"/>
                <w:szCs w:val="16"/>
              </w:rPr>
            </w:pPr>
            <w:r w:rsidRPr="00DE096C">
              <w:rPr>
                <w:bCs/>
                <w:color w:val="002060"/>
                <w:sz w:val="16"/>
                <w:szCs w:val="16"/>
              </w:rPr>
              <w:t>150</w:t>
            </w:r>
          </w:p>
        </w:tc>
        <w:tc>
          <w:tcPr>
            <w:tcW w:w="806" w:type="dxa"/>
          </w:tcPr>
          <w:p w14:paraId="04AFA9EE" w14:textId="77777777" w:rsidR="003217C1" w:rsidRPr="00DE096C" w:rsidRDefault="003217C1" w:rsidP="00D45A46">
            <w:pPr>
              <w:shd w:val="clear" w:color="auto" w:fill="FFFFFF"/>
              <w:jc w:val="both"/>
              <w:rPr>
                <w:bCs/>
                <w:color w:val="002060"/>
                <w:sz w:val="16"/>
                <w:szCs w:val="16"/>
              </w:rPr>
            </w:pPr>
            <w:r w:rsidRPr="00DE096C">
              <w:rPr>
                <w:bCs/>
                <w:color w:val="002060"/>
                <w:sz w:val="16"/>
                <w:szCs w:val="16"/>
              </w:rPr>
              <w:t>20</w:t>
            </w:r>
          </w:p>
        </w:tc>
        <w:tc>
          <w:tcPr>
            <w:tcW w:w="653" w:type="dxa"/>
          </w:tcPr>
          <w:p w14:paraId="6216C376" w14:textId="77777777" w:rsidR="003217C1" w:rsidRPr="00DE096C" w:rsidRDefault="003217C1" w:rsidP="00D45A46">
            <w:pPr>
              <w:shd w:val="clear" w:color="auto" w:fill="FFFFFF"/>
              <w:jc w:val="both"/>
              <w:rPr>
                <w:bCs/>
                <w:color w:val="002060"/>
                <w:sz w:val="16"/>
                <w:szCs w:val="16"/>
              </w:rPr>
            </w:pPr>
            <w:r w:rsidRPr="00DE096C">
              <w:rPr>
                <w:bCs/>
                <w:color w:val="002060"/>
                <w:sz w:val="16"/>
                <w:szCs w:val="16"/>
              </w:rPr>
              <w:t>170</w:t>
            </w:r>
          </w:p>
        </w:tc>
      </w:tr>
      <w:tr w:rsidR="003217C1" w:rsidRPr="00DE096C" w14:paraId="6163F58E" w14:textId="77777777" w:rsidTr="00D34AC1">
        <w:trPr>
          <w:trHeight w:val="163"/>
        </w:trPr>
        <w:tc>
          <w:tcPr>
            <w:tcW w:w="326" w:type="dxa"/>
          </w:tcPr>
          <w:p w14:paraId="4C9BB08C" w14:textId="77777777" w:rsidR="003217C1" w:rsidRPr="00DE096C" w:rsidRDefault="003217C1" w:rsidP="00D45A46">
            <w:pPr>
              <w:shd w:val="clear" w:color="auto" w:fill="FFFFFF"/>
              <w:jc w:val="both"/>
              <w:rPr>
                <w:bCs/>
                <w:color w:val="002060"/>
                <w:sz w:val="16"/>
                <w:szCs w:val="16"/>
              </w:rPr>
            </w:pPr>
            <w:r w:rsidRPr="00DE096C">
              <w:rPr>
                <w:bCs/>
                <w:color w:val="002060"/>
                <w:sz w:val="16"/>
                <w:szCs w:val="16"/>
              </w:rPr>
              <w:t>На</w:t>
            </w:r>
          </w:p>
        </w:tc>
        <w:tc>
          <w:tcPr>
            <w:tcW w:w="1776" w:type="dxa"/>
          </w:tcPr>
          <w:p w14:paraId="0BD0BBB6" w14:textId="77777777" w:rsidR="003217C1" w:rsidRPr="00DE096C" w:rsidRDefault="003217C1" w:rsidP="00D45A46">
            <w:pPr>
              <w:shd w:val="clear" w:color="auto" w:fill="FFFFFF"/>
              <w:jc w:val="both"/>
              <w:rPr>
                <w:bCs/>
                <w:color w:val="002060"/>
                <w:sz w:val="16"/>
                <w:szCs w:val="16"/>
              </w:rPr>
            </w:pPr>
            <w:r w:rsidRPr="00DE096C">
              <w:rPr>
                <w:bCs/>
                <w:color w:val="002060"/>
                <w:sz w:val="16"/>
                <w:szCs w:val="16"/>
              </w:rPr>
              <w:t>1 ноября 1914 г.</w:t>
            </w:r>
          </w:p>
        </w:tc>
        <w:tc>
          <w:tcPr>
            <w:tcW w:w="797" w:type="dxa"/>
          </w:tcPr>
          <w:p w14:paraId="61BDE837" w14:textId="77777777" w:rsidR="003217C1" w:rsidRPr="00DE096C" w:rsidRDefault="003217C1" w:rsidP="00D45A46">
            <w:pPr>
              <w:shd w:val="clear" w:color="auto" w:fill="FFFFFF"/>
              <w:jc w:val="both"/>
              <w:rPr>
                <w:bCs/>
                <w:color w:val="002060"/>
                <w:sz w:val="16"/>
                <w:szCs w:val="16"/>
              </w:rPr>
            </w:pPr>
            <w:r w:rsidRPr="00DE096C">
              <w:rPr>
                <w:bCs/>
                <w:color w:val="002060"/>
                <w:sz w:val="16"/>
                <w:szCs w:val="16"/>
              </w:rPr>
              <w:t>160</w:t>
            </w:r>
          </w:p>
        </w:tc>
        <w:tc>
          <w:tcPr>
            <w:tcW w:w="806" w:type="dxa"/>
          </w:tcPr>
          <w:p w14:paraId="4D828189" w14:textId="77777777" w:rsidR="003217C1" w:rsidRPr="00DE096C" w:rsidRDefault="003217C1" w:rsidP="00D45A46">
            <w:pPr>
              <w:shd w:val="clear" w:color="auto" w:fill="FFFFFF"/>
              <w:jc w:val="both"/>
              <w:rPr>
                <w:bCs/>
                <w:color w:val="002060"/>
                <w:sz w:val="16"/>
                <w:szCs w:val="16"/>
              </w:rPr>
            </w:pPr>
            <w:r w:rsidRPr="00DE096C">
              <w:rPr>
                <w:bCs/>
                <w:color w:val="002060"/>
                <w:sz w:val="16"/>
                <w:szCs w:val="16"/>
              </w:rPr>
              <w:t>42</w:t>
            </w:r>
          </w:p>
        </w:tc>
        <w:tc>
          <w:tcPr>
            <w:tcW w:w="653" w:type="dxa"/>
          </w:tcPr>
          <w:p w14:paraId="22B052C4" w14:textId="77777777" w:rsidR="003217C1" w:rsidRPr="00DE096C" w:rsidRDefault="003217C1" w:rsidP="00D45A46">
            <w:pPr>
              <w:shd w:val="clear" w:color="auto" w:fill="FFFFFF"/>
              <w:jc w:val="both"/>
              <w:rPr>
                <w:bCs/>
                <w:color w:val="002060"/>
                <w:sz w:val="16"/>
                <w:szCs w:val="16"/>
              </w:rPr>
            </w:pPr>
            <w:r w:rsidRPr="00DE096C">
              <w:rPr>
                <w:bCs/>
                <w:color w:val="002060"/>
                <w:sz w:val="16"/>
                <w:szCs w:val="16"/>
              </w:rPr>
              <w:t>202</w:t>
            </w:r>
          </w:p>
        </w:tc>
      </w:tr>
      <w:tr w:rsidR="003217C1" w:rsidRPr="00DE096C" w14:paraId="3F302885" w14:textId="77777777" w:rsidTr="00D34AC1">
        <w:trPr>
          <w:trHeight w:val="173"/>
        </w:trPr>
        <w:tc>
          <w:tcPr>
            <w:tcW w:w="326" w:type="dxa"/>
          </w:tcPr>
          <w:p w14:paraId="52D025F2" w14:textId="77777777" w:rsidR="003217C1" w:rsidRPr="00DE096C" w:rsidRDefault="003217C1" w:rsidP="00D45A46">
            <w:pPr>
              <w:shd w:val="clear" w:color="auto" w:fill="FFFFFF"/>
              <w:jc w:val="both"/>
              <w:rPr>
                <w:bCs/>
                <w:color w:val="002060"/>
                <w:sz w:val="16"/>
                <w:szCs w:val="16"/>
              </w:rPr>
            </w:pPr>
            <w:r w:rsidRPr="00DE096C">
              <w:rPr>
                <w:bCs/>
                <w:color w:val="002060"/>
                <w:sz w:val="16"/>
                <w:szCs w:val="16"/>
              </w:rPr>
              <w:t>На</w:t>
            </w:r>
          </w:p>
        </w:tc>
        <w:tc>
          <w:tcPr>
            <w:tcW w:w="1776" w:type="dxa"/>
          </w:tcPr>
          <w:p w14:paraId="164C9B32" w14:textId="77777777" w:rsidR="003217C1" w:rsidRPr="00DE096C" w:rsidRDefault="003217C1" w:rsidP="00D45A46">
            <w:pPr>
              <w:shd w:val="clear" w:color="auto" w:fill="FFFFFF"/>
              <w:jc w:val="both"/>
              <w:rPr>
                <w:bCs/>
                <w:color w:val="002060"/>
                <w:sz w:val="16"/>
                <w:szCs w:val="16"/>
              </w:rPr>
            </w:pPr>
            <w:r w:rsidRPr="00DE096C">
              <w:rPr>
                <w:bCs/>
                <w:color w:val="002060"/>
                <w:sz w:val="16"/>
                <w:szCs w:val="16"/>
              </w:rPr>
              <w:t>1 (14) декабря 1914 г.</w:t>
            </w:r>
          </w:p>
        </w:tc>
        <w:tc>
          <w:tcPr>
            <w:tcW w:w="797" w:type="dxa"/>
          </w:tcPr>
          <w:p w14:paraId="13EA7E52" w14:textId="77777777" w:rsidR="003217C1" w:rsidRPr="00DE096C" w:rsidRDefault="003217C1" w:rsidP="00D45A46">
            <w:pPr>
              <w:shd w:val="clear" w:color="auto" w:fill="FFFFFF"/>
              <w:jc w:val="both"/>
              <w:rPr>
                <w:bCs/>
                <w:color w:val="002060"/>
                <w:sz w:val="16"/>
                <w:szCs w:val="16"/>
              </w:rPr>
            </w:pPr>
            <w:r w:rsidRPr="00DE096C">
              <w:rPr>
                <w:bCs/>
                <w:color w:val="002060"/>
                <w:sz w:val="16"/>
                <w:szCs w:val="16"/>
              </w:rPr>
              <w:t>162</w:t>
            </w:r>
          </w:p>
        </w:tc>
        <w:tc>
          <w:tcPr>
            <w:tcW w:w="806" w:type="dxa"/>
          </w:tcPr>
          <w:p w14:paraId="25FCC943" w14:textId="77777777" w:rsidR="003217C1" w:rsidRPr="00DE096C" w:rsidRDefault="003217C1" w:rsidP="00D45A46">
            <w:pPr>
              <w:shd w:val="clear" w:color="auto" w:fill="FFFFFF"/>
              <w:jc w:val="both"/>
              <w:rPr>
                <w:bCs/>
                <w:color w:val="002060"/>
                <w:sz w:val="16"/>
                <w:szCs w:val="16"/>
              </w:rPr>
            </w:pPr>
            <w:r w:rsidRPr="00DE096C">
              <w:rPr>
                <w:bCs/>
                <w:color w:val="002060"/>
                <w:sz w:val="16"/>
                <w:szCs w:val="16"/>
              </w:rPr>
              <w:t>37</w:t>
            </w:r>
          </w:p>
        </w:tc>
        <w:tc>
          <w:tcPr>
            <w:tcW w:w="653" w:type="dxa"/>
          </w:tcPr>
          <w:p w14:paraId="6DC1CF07" w14:textId="77777777" w:rsidR="003217C1" w:rsidRPr="00DE096C" w:rsidRDefault="003217C1" w:rsidP="00D45A46">
            <w:pPr>
              <w:shd w:val="clear" w:color="auto" w:fill="FFFFFF"/>
              <w:jc w:val="both"/>
              <w:rPr>
                <w:bCs/>
                <w:color w:val="002060"/>
                <w:sz w:val="16"/>
                <w:szCs w:val="16"/>
              </w:rPr>
            </w:pPr>
            <w:r w:rsidRPr="00DE096C">
              <w:rPr>
                <w:bCs/>
                <w:color w:val="002060"/>
                <w:sz w:val="16"/>
                <w:szCs w:val="16"/>
              </w:rPr>
              <w:t>199</w:t>
            </w:r>
          </w:p>
        </w:tc>
      </w:tr>
      <w:tr w:rsidR="003217C1" w:rsidRPr="00DE096C" w14:paraId="1AD504ED" w14:textId="77777777" w:rsidTr="00D34AC1">
        <w:trPr>
          <w:trHeight w:val="346"/>
        </w:trPr>
        <w:tc>
          <w:tcPr>
            <w:tcW w:w="326" w:type="dxa"/>
          </w:tcPr>
          <w:p w14:paraId="358F3C3A" w14:textId="77777777" w:rsidR="003217C1" w:rsidRPr="00DE096C" w:rsidRDefault="003217C1" w:rsidP="00D45A46">
            <w:pPr>
              <w:shd w:val="clear" w:color="auto" w:fill="FFFFFF"/>
              <w:jc w:val="both"/>
              <w:rPr>
                <w:bCs/>
                <w:color w:val="002060"/>
                <w:sz w:val="16"/>
                <w:szCs w:val="16"/>
              </w:rPr>
            </w:pPr>
            <w:r w:rsidRPr="00DE096C">
              <w:rPr>
                <w:bCs/>
                <w:color w:val="002060"/>
                <w:sz w:val="16"/>
                <w:szCs w:val="16"/>
              </w:rPr>
              <w:t>На</w:t>
            </w:r>
          </w:p>
        </w:tc>
        <w:tc>
          <w:tcPr>
            <w:tcW w:w="1776" w:type="dxa"/>
          </w:tcPr>
          <w:p w14:paraId="5306429A" w14:textId="77777777" w:rsidR="003217C1" w:rsidRPr="00DE096C" w:rsidRDefault="003217C1" w:rsidP="00D45A46">
            <w:pPr>
              <w:shd w:val="clear" w:color="auto" w:fill="FFFFFF"/>
              <w:jc w:val="both"/>
              <w:rPr>
                <w:bCs/>
                <w:color w:val="002060"/>
                <w:sz w:val="16"/>
                <w:szCs w:val="16"/>
              </w:rPr>
            </w:pPr>
            <w:r w:rsidRPr="00DE096C">
              <w:rPr>
                <w:bCs/>
                <w:color w:val="002060"/>
                <w:sz w:val="16"/>
                <w:szCs w:val="16"/>
              </w:rPr>
              <w:t>1 января 1915 г.</w:t>
            </w:r>
          </w:p>
        </w:tc>
        <w:tc>
          <w:tcPr>
            <w:tcW w:w="797" w:type="dxa"/>
          </w:tcPr>
          <w:p w14:paraId="3235FD5D" w14:textId="77777777" w:rsidR="003217C1" w:rsidRPr="00DE096C" w:rsidRDefault="003217C1" w:rsidP="00D45A46">
            <w:pPr>
              <w:shd w:val="clear" w:color="auto" w:fill="FFFFFF"/>
              <w:jc w:val="both"/>
              <w:rPr>
                <w:bCs/>
                <w:color w:val="002060"/>
                <w:sz w:val="16"/>
                <w:szCs w:val="16"/>
              </w:rPr>
            </w:pPr>
            <w:r w:rsidRPr="00DE096C">
              <w:rPr>
                <w:bCs/>
                <w:color w:val="002060"/>
                <w:sz w:val="16"/>
                <w:szCs w:val="16"/>
              </w:rPr>
              <w:t>209</w:t>
            </w:r>
          </w:p>
        </w:tc>
        <w:tc>
          <w:tcPr>
            <w:tcW w:w="806" w:type="dxa"/>
          </w:tcPr>
          <w:p w14:paraId="5C45B672" w14:textId="77777777" w:rsidR="003217C1" w:rsidRPr="00DE096C" w:rsidRDefault="003217C1" w:rsidP="00D45A46">
            <w:pPr>
              <w:shd w:val="clear" w:color="auto" w:fill="FFFFFF"/>
              <w:jc w:val="both"/>
              <w:rPr>
                <w:bCs/>
                <w:color w:val="002060"/>
                <w:sz w:val="16"/>
                <w:szCs w:val="16"/>
              </w:rPr>
            </w:pPr>
            <w:r w:rsidRPr="00DE096C">
              <w:rPr>
                <w:bCs/>
                <w:color w:val="002060"/>
                <w:sz w:val="16"/>
                <w:szCs w:val="16"/>
              </w:rPr>
              <w:t>62</w:t>
            </w:r>
          </w:p>
        </w:tc>
        <w:tc>
          <w:tcPr>
            <w:tcW w:w="653" w:type="dxa"/>
          </w:tcPr>
          <w:p w14:paraId="79750F33" w14:textId="77777777" w:rsidR="003217C1" w:rsidRPr="00DE096C" w:rsidRDefault="003217C1" w:rsidP="00D45A46">
            <w:pPr>
              <w:shd w:val="clear" w:color="auto" w:fill="FFFFFF"/>
              <w:jc w:val="both"/>
              <w:rPr>
                <w:bCs/>
                <w:color w:val="002060"/>
                <w:sz w:val="16"/>
                <w:szCs w:val="16"/>
              </w:rPr>
            </w:pPr>
            <w:r w:rsidRPr="00DE096C">
              <w:rPr>
                <w:bCs/>
                <w:color w:val="002060"/>
                <w:sz w:val="16"/>
                <w:szCs w:val="16"/>
              </w:rPr>
              <w:t>271</w:t>
            </w:r>
          </w:p>
        </w:tc>
      </w:tr>
    </w:tbl>
    <w:p w14:paraId="792AB310" w14:textId="77777777" w:rsidR="003217C1" w:rsidRPr="00DE096C" w:rsidRDefault="003217C1" w:rsidP="00D45A46">
      <w:pPr>
        <w:jc w:val="both"/>
        <w:rPr>
          <w:bCs/>
          <w:color w:val="002060"/>
          <w:sz w:val="16"/>
          <w:szCs w:val="16"/>
        </w:rPr>
      </w:pPr>
    </w:p>
    <w:p w14:paraId="0BCBBC60" w14:textId="50E81F56" w:rsidR="00582427" w:rsidRPr="00DE096C" w:rsidRDefault="00582427" w:rsidP="00D45A46">
      <w:pPr>
        <w:jc w:val="both"/>
        <w:rPr>
          <w:bCs/>
          <w:color w:val="002060"/>
          <w:sz w:val="16"/>
          <w:szCs w:val="16"/>
        </w:rPr>
      </w:pPr>
      <w:r w:rsidRPr="00DE096C">
        <w:rPr>
          <w:bCs/>
          <w:i/>
          <w:color w:val="002060"/>
          <w:sz w:val="16"/>
          <w:szCs w:val="16"/>
        </w:rPr>
        <w:t>Морская авиация:</w:t>
      </w:r>
    </w:p>
    <w:p w14:paraId="68BE9676" w14:textId="77777777" w:rsidR="00582427" w:rsidRPr="00DE096C" w:rsidRDefault="00582427" w:rsidP="00D45A46">
      <w:pPr>
        <w:jc w:val="both"/>
        <w:rPr>
          <w:bCs/>
          <w:color w:val="002060"/>
          <w:sz w:val="16"/>
          <w:szCs w:val="16"/>
        </w:rPr>
      </w:pPr>
    </w:p>
    <w:p w14:paraId="4B1EFBE8" w14:textId="22065A30" w:rsidR="00582427" w:rsidRPr="00DE096C" w:rsidRDefault="00582427" w:rsidP="00D45A46">
      <w:pPr>
        <w:jc w:val="both"/>
        <w:rPr>
          <w:bCs/>
          <w:color w:val="002060"/>
          <w:sz w:val="16"/>
          <w:szCs w:val="16"/>
        </w:rPr>
      </w:pPr>
      <w:r w:rsidRPr="00DE096C">
        <w:rPr>
          <w:bCs/>
          <w:color w:val="002060"/>
          <w:sz w:val="16"/>
          <w:szCs w:val="16"/>
        </w:rPr>
        <w:t>1 (14) декабря 1914 г. приказом № 956 была образована специальная комиссия под председательством капитана 1-го ранга В.З. Бурхановского для выработки предложений по организации защиты Севастопольской крепости 1-го класса от налетов неприятельских дирижаблей (цеппелинов) на основе крепостной артиллерии. Однако вследствие отсутствия реальной угрозы с воздуха предложения комиссии преимущественно носили рекомендательный характер.</w:t>
      </w:r>
    </w:p>
    <w:p w14:paraId="7EB2DD3A" w14:textId="77777777" w:rsidR="00582427" w:rsidRPr="00DE096C" w:rsidRDefault="00582427" w:rsidP="00D45A46">
      <w:pPr>
        <w:jc w:val="both"/>
        <w:rPr>
          <w:bCs/>
          <w:color w:val="002060"/>
          <w:sz w:val="16"/>
          <w:szCs w:val="16"/>
        </w:rPr>
      </w:pPr>
      <w:r w:rsidRPr="00DE096C">
        <w:rPr>
          <w:bCs/>
          <w:color w:val="002060"/>
          <w:sz w:val="16"/>
          <w:szCs w:val="16"/>
        </w:rPr>
        <w:t>Прикрытие главного порта ЧФ с воздуха было возложено на Севастопольский крепостной авиаотряд (штабс-капитан И.Я. Земитан), до убытия его в 1915 г. в состав действующей армии.</w:t>
      </w:r>
    </w:p>
    <w:p w14:paraId="2EDDF421" w14:textId="77777777" w:rsidR="00582427" w:rsidRPr="00DE096C" w:rsidRDefault="00582427" w:rsidP="00D45A46">
      <w:pPr>
        <w:jc w:val="both"/>
        <w:rPr>
          <w:bCs/>
          <w:color w:val="002060"/>
          <w:sz w:val="16"/>
          <w:szCs w:val="16"/>
        </w:rPr>
      </w:pPr>
      <w:r w:rsidRPr="00DE096C">
        <w:rPr>
          <w:bCs/>
          <w:color w:val="002060"/>
          <w:sz w:val="16"/>
          <w:szCs w:val="16"/>
        </w:rPr>
        <w:t>Также была развернута воздушная оборона ряда крупных приморских военных крепостей: Кронштадта, Свеаборга, Выборга и т. д. Например, для защиты структур правления Выборгской крепости и воинских запасов от возможных воздушных налетов противника в 1915 г. «вблизи северо-западной куртины [земляного вала] была установлена батарея противовоздушной обороны из трех орудий».</w:t>
      </w:r>
    </w:p>
    <w:p w14:paraId="13EB6BC9" w14:textId="77777777" w:rsidR="00582427" w:rsidRPr="00DE096C" w:rsidRDefault="00582427" w:rsidP="00D45A46">
      <w:pPr>
        <w:jc w:val="both"/>
        <w:rPr>
          <w:bCs/>
          <w:color w:val="002060"/>
          <w:sz w:val="16"/>
          <w:szCs w:val="16"/>
        </w:rPr>
      </w:pPr>
      <w:r w:rsidRPr="00DE096C">
        <w:rPr>
          <w:bCs/>
          <w:color w:val="002060"/>
          <w:sz w:val="16"/>
          <w:szCs w:val="16"/>
        </w:rPr>
        <w:t>С началом второго года войны русская авиация стала чаще задействоваться в организации воздушного прикрытия наших полевых частей в прифронтовой полосе. Например, 20 января 1915 г. в полосе Северо-Западного фронта эту задачу решали летчики Осовецкого крепостного и Сибирского авиаотрядов (23405).</w:t>
      </w:r>
    </w:p>
    <w:p w14:paraId="4992B0AC" w14:textId="77777777" w:rsidR="00582427" w:rsidRPr="00DE096C" w:rsidRDefault="00582427" w:rsidP="00D45A46">
      <w:pPr>
        <w:jc w:val="both"/>
        <w:rPr>
          <w:bCs/>
          <w:color w:val="002060"/>
          <w:sz w:val="16"/>
          <w:szCs w:val="16"/>
        </w:rPr>
      </w:pPr>
    </w:p>
    <w:p w14:paraId="0AE298D0" w14:textId="27BA4521" w:rsidR="00B67D7C" w:rsidRPr="00DE096C" w:rsidRDefault="00B67D7C" w:rsidP="00D45A46">
      <w:pPr>
        <w:jc w:val="both"/>
        <w:rPr>
          <w:bCs/>
          <w:i/>
          <w:color w:val="002060"/>
          <w:sz w:val="16"/>
          <w:szCs w:val="16"/>
        </w:rPr>
      </w:pPr>
      <w:r w:rsidRPr="00DE096C">
        <w:rPr>
          <w:bCs/>
          <w:i/>
          <w:color w:val="002060"/>
          <w:sz w:val="16"/>
          <w:szCs w:val="16"/>
        </w:rPr>
        <w:t>Жизнь и внутреняя политика:</w:t>
      </w:r>
    </w:p>
    <w:p w14:paraId="320D26C6" w14:textId="77777777" w:rsidR="00B67D7C" w:rsidRPr="00DE096C" w:rsidRDefault="00B67D7C" w:rsidP="00D45A46">
      <w:pPr>
        <w:jc w:val="both"/>
        <w:rPr>
          <w:bCs/>
          <w:i/>
          <w:color w:val="002060"/>
          <w:sz w:val="16"/>
          <w:szCs w:val="16"/>
        </w:rPr>
      </w:pPr>
    </w:p>
    <w:p w14:paraId="4D6C4065" w14:textId="51DA9FE7" w:rsidR="00B67D7C" w:rsidRPr="00DE096C" w:rsidRDefault="003217C1" w:rsidP="00D45A46">
      <w:pPr>
        <w:pStyle w:val="a3"/>
        <w:jc w:val="both"/>
        <w:rPr>
          <w:bCs/>
          <w:i w:val="0"/>
          <w:color w:val="002060"/>
          <w:spacing w:val="0"/>
          <w:kern w:val="0"/>
          <w:position w:val="0"/>
          <w:sz w:val="16"/>
          <w:szCs w:val="16"/>
        </w:rPr>
      </w:pPr>
      <w:bookmarkStart w:id="211" w:name="_Hlk117417229"/>
      <w:r w:rsidRPr="00DE096C">
        <w:rPr>
          <w:bCs/>
          <w:i w:val="0"/>
          <w:color w:val="002060"/>
          <w:spacing w:val="0"/>
          <w:kern w:val="0"/>
          <w:position w:val="0"/>
          <w:sz w:val="16"/>
          <w:szCs w:val="16"/>
        </w:rPr>
        <w:t>К</w:t>
      </w:r>
      <w:r w:rsidR="00B67D7C" w:rsidRPr="00DE096C">
        <w:rPr>
          <w:bCs/>
          <w:i w:val="0"/>
          <w:color w:val="002060"/>
          <w:spacing w:val="0"/>
          <w:kern w:val="0"/>
          <w:position w:val="0"/>
          <w:sz w:val="16"/>
          <w:szCs w:val="16"/>
        </w:rPr>
        <w:t xml:space="preserve"> 1 (14) декабря 1914 г. </w:t>
      </w:r>
      <w:r w:rsidRPr="00DE096C">
        <w:rPr>
          <w:bCs/>
          <w:i w:val="0"/>
          <w:color w:val="002060"/>
          <w:spacing w:val="0"/>
          <w:kern w:val="0"/>
          <w:position w:val="0"/>
          <w:sz w:val="16"/>
          <w:szCs w:val="16"/>
        </w:rPr>
        <w:t xml:space="preserve">для обслуживания раненых общественными организациями </w:t>
      </w:r>
      <w:r w:rsidR="00B67D7C" w:rsidRPr="00DE096C">
        <w:rPr>
          <w:bCs/>
          <w:i w:val="0"/>
          <w:color w:val="002060"/>
          <w:spacing w:val="0"/>
          <w:kern w:val="0"/>
          <w:position w:val="0"/>
          <w:sz w:val="16"/>
          <w:szCs w:val="16"/>
        </w:rPr>
        <w:t>стало приобретаться медицинское оборудование: сначала на сумму 1 млн 245 тыс. 780 рублей; к декабрю 1915 г. — на сумму 1 млн 665 тыс. рублей; к 1 января 1916 г. — на 7 млн рублей. Общая стоимость медикаментов, отпущенных со складов Земского союза, составила 3 млн 500 тыс. рублей. Военно-промышленными комитетами для решения этих задач было налажено производство термометров, а санитарному отделу удалось организовать отечественное производство шприцев «Рекорд» и игл к ним. К маю 1917 г. оно было доведено до 100 шприцев в день, причем цены были не выше заграничных.</w:t>
      </w:r>
    </w:p>
    <w:p w14:paraId="4CEF3F3A"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Но уже скоро основное направление деятельности Главного комитета по снабжению армии определилось. К своим обязанностям он приступил в июле 1915 г., когда военное ведомство предложило взять заказы «на предметы вооружения, шанцевые предметы и на предметы конского и обозного снаряжения». Все заказы, получаемые Земгором от военного ведомства, можно разделить на три основных направления:</w:t>
      </w:r>
    </w:p>
    <w:p w14:paraId="11597A6D"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1) предметы обозного довольствия (повозки, двуколки, кухни, седла, упряжь);</w:t>
      </w:r>
    </w:p>
    <w:p w14:paraId="30BA5FB8"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lastRenderedPageBreak/>
        <w:t xml:space="preserve">2) предметы окопно-строительного снабжения (топоры, кирки, лопаты, ножницы); </w:t>
      </w:r>
    </w:p>
    <w:p w14:paraId="78F6F18E"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3) предметы артиллерийского снабжения (гранаты, снаряды, бомбы).</w:t>
      </w:r>
    </w:p>
    <w:p w14:paraId="349DBB04"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Так, в середине 1916 г. заказ на артиллерийское снабжение исполнялся 28 предприятиями, 20 из которых были построены Земгором. Из 1 млн 100 тыс. заказанных ему гранат 1 млн изготавливался его средней и мелкой промышленностью. Всего с 1 марта по 1 июля 1916 г. Земгору удалось выполнить 46% принятых им заказов. А с мая 1916 г. заказы Земгора, как и заказы ЦВПК, стали официально считаться «подлежащими исполнению наравне с заказами других ведомств» (11270).</w:t>
      </w:r>
    </w:p>
    <w:p w14:paraId="221C479F" w14:textId="77777777" w:rsidR="00B67D7C" w:rsidRPr="00DE096C" w:rsidRDefault="00B67D7C" w:rsidP="00D45A46">
      <w:pPr>
        <w:pStyle w:val="a3"/>
        <w:jc w:val="both"/>
        <w:rPr>
          <w:bCs/>
          <w:i w:val="0"/>
          <w:color w:val="002060"/>
          <w:spacing w:val="0"/>
          <w:kern w:val="0"/>
          <w:position w:val="0"/>
          <w:sz w:val="16"/>
          <w:szCs w:val="16"/>
        </w:rPr>
      </w:pPr>
    </w:p>
    <w:bookmarkEnd w:id="211"/>
    <w:p w14:paraId="440CCA5D" w14:textId="666AADF2" w:rsidR="000F3570" w:rsidRPr="00DE096C" w:rsidRDefault="000F3570" w:rsidP="00D45A46">
      <w:pPr>
        <w:jc w:val="both"/>
        <w:rPr>
          <w:bCs/>
          <w:i/>
          <w:color w:val="002060"/>
          <w:sz w:val="16"/>
          <w:szCs w:val="16"/>
        </w:rPr>
      </w:pPr>
      <w:r w:rsidRPr="00DE096C">
        <w:rPr>
          <w:bCs/>
          <w:i/>
          <w:color w:val="002060"/>
          <w:sz w:val="16"/>
          <w:szCs w:val="16"/>
        </w:rPr>
        <w:t>Авиация и воздухоплавание Англии:</w:t>
      </w:r>
    </w:p>
    <w:p w14:paraId="39BC20D6" w14:textId="77777777" w:rsidR="000F3570" w:rsidRPr="00DE096C" w:rsidRDefault="000F3570" w:rsidP="00D45A46">
      <w:pPr>
        <w:jc w:val="both"/>
        <w:rPr>
          <w:bCs/>
          <w:color w:val="002060"/>
          <w:sz w:val="16"/>
          <w:szCs w:val="16"/>
        </w:rPr>
      </w:pPr>
    </w:p>
    <w:p w14:paraId="419EA8C3" w14:textId="77777777" w:rsidR="000F3570" w:rsidRPr="00DE096C" w:rsidRDefault="000F3570" w:rsidP="00D45A46">
      <w:pPr>
        <w:jc w:val="both"/>
        <w:rPr>
          <w:bCs/>
          <w:color w:val="002060"/>
          <w:sz w:val="16"/>
          <w:szCs w:val="16"/>
        </w:rPr>
      </w:pPr>
      <w:r w:rsidRPr="00DE096C">
        <w:rPr>
          <w:bCs/>
          <w:color w:val="002060"/>
          <w:sz w:val="16"/>
          <w:szCs w:val="16"/>
        </w:rPr>
        <w:t>1 (14) декабря 1914 Avro 504 из эскадрильи Истчерч Авиационной службы Королевских военно-морских сил сбрасывает четыре 16-фунтовых (7,25 кг) бомбы на железную дорогу Остенде - Брюгге в Бельгии (20337).</w:t>
      </w:r>
    </w:p>
    <w:p w14:paraId="7EBD125C" w14:textId="77777777" w:rsidR="000F3570" w:rsidRPr="00DE096C" w:rsidRDefault="000F3570" w:rsidP="00D45A46">
      <w:pPr>
        <w:jc w:val="both"/>
        <w:rPr>
          <w:bCs/>
          <w:color w:val="002060"/>
          <w:sz w:val="16"/>
          <w:szCs w:val="16"/>
        </w:rPr>
      </w:pPr>
    </w:p>
    <w:p w14:paraId="31F456F6" w14:textId="77777777" w:rsidR="00581759" w:rsidRPr="00DE096C" w:rsidRDefault="00581759" w:rsidP="00D45A46">
      <w:pPr>
        <w:jc w:val="both"/>
        <w:rPr>
          <w:bCs/>
          <w:i/>
          <w:color w:val="002060"/>
          <w:sz w:val="16"/>
          <w:szCs w:val="16"/>
        </w:rPr>
      </w:pPr>
      <w:r w:rsidRPr="00DE096C">
        <w:rPr>
          <w:bCs/>
          <w:i/>
          <w:color w:val="002060"/>
          <w:sz w:val="16"/>
          <w:szCs w:val="16"/>
        </w:rPr>
        <w:t>За рубежом:</w:t>
      </w:r>
    </w:p>
    <w:p w14:paraId="05B8D7B0" w14:textId="77777777" w:rsidR="00581759" w:rsidRPr="00DE096C" w:rsidRDefault="00581759" w:rsidP="00D45A46">
      <w:pPr>
        <w:jc w:val="both"/>
        <w:rPr>
          <w:bCs/>
          <w:color w:val="002060"/>
          <w:sz w:val="16"/>
          <w:szCs w:val="16"/>
        </w:rPr>
      </w:pPr>
    </w:p>
    <w:p w14:paraId="1F3736E2" w14:textId="77777777" w:rsidR="00581759" w:rsidRPr="00DE096C" w:rsidRDefault="00581759" w:rsidP="00D45A46">
      <w:pPr>
        <w:jc w:val="both"/>
        <w:rPr>
          <w:bCs/>
          <w:color w:val="002060"/>
          <w:sz w:val="16"/>
          <w:szCs w:val="16"/>
        </w:rPr>
      </w:pPr>
      <w:r w:rsidRPr="00DE096C">
        <w:rPr>
          <w:bCs/>
          <w:color w:val="002060"/>
          <w:sz w:val="16"/>
          <w:szCs w:val="16"/>
        </w:rPr>
        <w:t>1 (14) декабря в 1914 году Белград, оккупированный австрийскими войсками, освобождается сербами (14860).</w:t>
      </w:r>
    </w:p>
    <w:p w14:paraId="24413B91" w14:textId="77777777" w:rsidR="00581759" w:rsidRPr="00DE096C" w:rsidRDefault="00581759" w:rsidP="00D45A46">
      <w:pPr>
        <w:jc w:val="both"/>
        <w:rPr>
          <w:bCs/>
          <w:color w:val="002060"/>
          <w:sz w:val="16"/>
          <w:szCs w:val="16"/>
        </w:rPr>
      </w:pPr>
    </w:p>
    <w:p w14:paraId="7596FDBE" w14:textId="77777777" w:rsidR="00581759" w:rsidRPr="00DE096C" w:rsidRDefault="00581759" w:rsidP="00D45A46">
      <w:pPr>
        <w:jc w:val="both"/>
        <w:rPr>
          <w:bCs/>
          <w:color w:val="002060"/>
          <w:sz w:val="16"/>
          <w:szCs w:val="16"/>
        </w:rPr>
      </w:pPr>
      <w:r w:rsidRPr="00DE096C">
        <w:rPr>
          <w:bCs/>
          <w:color w:val="002060"/>
          <w:sz w:val="16"/>
          <w:szCs w:val="16"/>
        </w:rPr>
        <w:t>1 (14) декабря в 1914 году у Босфора на минах подорвался и вышел из строя на 4 месяца немецкий крейсер «Гебен» (14860).</w:t>
      </w:r>
    </w:p>
    <w:p w14:paraId="3C915A95" w14:textId="77777777" w:rsidR="00581759" w:rsidRPr="00DE096C" w:rsidRDefault="00581759" w:rsidP="00D45A46">
      <w:pPr>
        <w:jc w:val="both"/>
        <w:rPr>
          <w:bCs/>
          <w:color w:val="002060"/>
          <w:sz w:val="16"/>
          <w:szCs w:val="16"/>
        </w:rPr>
      </w:pPr>
    </w:p>
    <w:p w14:paraId="2F4CEA02"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Самолетостроение:</w:t>
      </w:r>
    </w:p>
    <w:p w14:paraId="34BA2D70" w14:textId="77777777" w:rsidR="00B67D7C" w:rsidRPr="00DE096C" w:rsidRDefault="00B67D7C" w:rsidP="00D45A46">
      <w:pPr>
        <w:pStyle w:val="a3"/>
        <w:jc w:val="both"/>
        <w:rPr>
          <w:bCs/>
          <w:color w:val="002060"/>
          <w:spacing w:val="0"/>
          <w:kern w:val="0"/>
          <w:position w:val="0"/>
          <w:sz w:val="16"/>
          <w:szCs w:val="16"/>
        </w:rPr>
      </w:pPr>
    </w:p>
    <w:p w14:paraId="656DEBF1" w14:textId="57A526CE"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2 (15) декабря1914 г. лейтенант А. А. Тучков, возглавлявший Воздухоплавательное отделение МГШ и желавший научиться летать, </w:t>
      </w:r>
      <w:r w:rsidR="003217C1" w:rsidRPr="00DE096C">
        <w:rPr>
          <w:bCs/>
          <w:color w:val="002060"/>
          <w:sz w:val="16"/>
          <w:szCs w:val="16"/>
        </w:rPr>
        <w:t xml:space="preserve">на М-1 </w:t>
      </w:r>
      <w:r w:rsidRPr="00DE096C">
        <w:rPr>
          <w:bCs/>
          <w:color w:val="002060"/>
          <w:sz w:val="16"/>
          <w:szCs w:val="16"/>
        </w:rPr>
        <w:t>оторвался от воды на 2-й авиастанции в Кильконде, что на острове Эзель, и взял курс на маяк Фильзанд, около которого развернулся назад и пошел по ветру на высоте 30-40 м. Заходя у базы на посадку против ветра, на вираже он потерял скорость, скользнул на левое крыло, стал падать и задел землю правой верхней плоскостью. Самолет ударился о грунт под углом 45 градусов, находясь вверх днищем (!), и совершенно разбился. Его и мотор списали за счет казны, а неудачливый пилот-практикант остался, по счастью, жив, несмотря на ранения.</w:t>
      </w:r>
    </w:p>
    <w:p w14:paraId="4501569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Сведения о контракте на аппарат М-1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B67D7C" w:rsidRPr="00DE096C" w14:paraId="2902FC2A" w14:textId="77777777" w:rsidTr="00C2024A">
        <w:tc>
          <w:tcPr>
            <w:tcW w:w="4788" w:type="dxa"/>
            <w:shd w:val="clear" w:color="auto" w:fill="FFFFFF"/>
          </w:tcPr>
          <w:p w14:paraId="5F64AB9C" w14:textId="77777777" w:rsidR="00B67D7C" w:rsidRPr="00DE096C" w:rsidRDefault="00B67D7C" w:rsidP="00D45A46">
            <w:pPr>
              <w:jc w:val="both"/>
              <w:rPr>
                <w:bCs/>
                <w:color w:val="002060"/>
                <w:sz w:val="16"/>
                <w:szCs w:val="16"/>
              </w:rPr>
            </w:pPr>
            <w:r w:rsidRPr="00DE096C">
              <w:rPr>
                <w:bCs/>
                <w:color w:val="002060"/>
                <w:sz w:val="16"/>
                <w:szCs w:val="16"/>
              </w:rPr>
              <w:t>Дата контракта</w:t>
            </w:r>
          </w:p>
        </w:tc>
        <w:tc>
          <w:tcPr>
            <w:tcW w:w="4788" w:type="dxa"/>
            <w:shd w:val="clear" w:color="auto" w:fill="FFFFFF"/>
          </w:tcPr>
          <w:p w14:paraId="34187310" w14:textId="77777777" w:rsidR="00B67D7C" w:rsidRPr="00DE096C" w:rsidRDefault="00B67D7C" w:rsidP="00D45A46">
            <w:pPr>
              <w:jc w:val="both"/>
              <w:rPr>
                <w:bCs/>
                <w:color w:val="002060"/>
                <w:sz w:val="16"/>
                <w:szCs w:val="16"/>
              </w:rPr>
            </w:pPr>
            <w:r w:rsidRPr="00DE096C">
              <w:rPr>
                <w:bCs/>
                <w:color w:val="002060"/>
                <w:sz w:val="16"/>
                <w:szCs w:val="16"/>
              </w:rPr>
              <w:t>Октябрь 23 1913</w:t>
            </w:r>
          </w:p>
        </w:tc>
      </w:tr>
      <w:tr w:rsidR="00B67D7C" w:rsidRPr="00DE096C" w14:paraId="0257F88E" w14:textId="77777777" w:rsidTr="00C2024A">
        <w:tc>
          <w:tcPr>
            <w:tcW w:w="4788" w:type="dxa"/>
            <w:shd w:val="clear" w:color="auto" w:fill="FFFFFF"/>
          </w:tcPr>
          <w:p w14:paraId="72909871" w14:textId="77777777" w:rsidR="00B67D7C" w:rsidRPr="00DE096C" w:rsidRDefault="00B67D7C" w:rsidP="00D45A46">
            <w:pPr>
              <w:jc w:val="both"/>
              <w:rPr>
                <w:bCs/>
                <w:color w:val="002060"/>
                <w:sz w:val="16"/>
                <w:szCs w:val="16"/>
              </w:rPr>
            </w:pPr>
            <w:r w:rsidRPr="00DE096C">
              <w:rPr>
                <w:bCs/>
                <w:color w:val="002060"/>
                <w:sz w:val="16"/>
                <w:szCs w:val="16"/>
              </w:rPr>
              <w:t>Число заказанных аэропланов</w:t>
            </w:r>
          </w:p>
        </w:tc>
        <w:tc>
          <w:tcPr>
            <w:tcW w:w="4788" w:type="dxa"/>
            <w:shd w:val="clear" w:color="auto" w:fill="FFFFFF"/>
          </w:tcPr>
          <w:p w14:paraId="3035284E" w14:textId="77777777" w:rsidR="00B67D7C" w:rsidRPr="00DE096C" w:rsidRDefault="00B67D7C" w:rsidP="00D45A46">
            <w:pPr>
              <w:jc w:val="both"/>
              <w:rPr>
                <w:bCs/>
                <w:color w:val="002060"/>
                <w:sz w:val="16"/>
                <w:szCs w:val="16"/>
              </w:rPr>
            </w:pPr>
            <w:r w:rsidRPr="00DE096C">
              <w:rPr>
                <w:bCs/>
                <w:color w:val="002060"/>
                <w:sz w:val="16"/>
                <w:szCs w:val="16"/>
              </w:rPr>
              <w:t>1</w:t>
            </w:r>
          </w:p>
        </w:tc>
      </w:tr>
      <w:tr w:rsidR="00B67D7C" w:rsidRPr="00DE096C" w14:paraId="5F3CB020" w14:textId="77777777" w:rsidTr="00C2024A">
        <w:tc>
          <w:tcPr>
            <w:tcW w:w="4788" w:type="dxa"/>
            <w:shd w:val="clear" w:color="auto" w:fill="FFFFFF"/>
          </w:tcPr>
          <w:p w14:paraId="03E70641" w14:textId="77777777" w:rsidR="00B67D7C" w:rsidRPr="00DE096C" w:rsidRDefault="00B67D7C" w:rsidP="00D45A46">
            <w:pPr>
              <w:jc w:val="both"/>
              <w:rPr>
                <w:bCs/>
                <w:color w:val="002060"/>
                <w:sz w:val="16"/>
                <w:szCs w:val="16"/>
              </w:rPr>
            </w:pPr>
            <w:r w:rsidRPr="00DE096C">
              <w:rPr>
                <w:bCs/>
                <w:color w:val="002060"/>
                <w:sz w:val="16"/>
                <w:szCs w:val="16"/>
              </w:rPr>
              <w:t>Заводские номера сданных аэропланов</w:t>
            </w:r>
          </w:p>
        </w:tc>
        <w:tc>
          <w:tcPr>
            <w:tcW w:w="4788" w:type="dxa"/>
            <w:shd w:val="clear" w:color="auto" w:fill="FFFFFF"/>
          </w:tcPr>
          <w:p w14:paraId="50E7949A" w14:textId="77777777" w:rsidR="00B67D7C" w:rsidRPr="00DE096C" w:rsidRDefault="00B67D7C" w:rsidP="00D45A46">
            <w:pPr>
              <w:jc w:val="both"/>
              <w:rPr>
                <w:bCs/>
                <w:color w:val="002060"/>
                <w:sz w:val="16"/>
                <w:szCs w:val="16"/>
              </w:rPr>
            </w:pPr>
            <w:r w:rsidRPr="00DE096C">
              <w:rPr>
                <w:bCs/>
                <w:color w:val="002060"/>
                <w:sz w:val="16"/>
                <w:szCs w:val="16"/>
              </w:rPr>
              <w:t>-</w:t>
            </w:r>
          </w:p>
        </w:tc>
      </w:tr>
      <w:tr w:rsidR="00B67D7C" w:rsidRPr="00DE096C" w14:paraId="4F99E655" w14:textId="77777777" w:rsidTr="00C2024A">
        <w:tc>
          <w:tcPr>
            <w:tcW w:w="4788" w:type="dxa"/>
            <w:shd w:val="clear" w:color="auto" w:fill="FFFFFF"/>
          </w:tcPr>
          <w:p w14:paraId="363DA487" w14:textId="77777777" w:rsidR="00B67D7C" w:rsidRPr="00DE096C" w:rsidRDefault="00B67D7C" w:rsidP="00D45A46">
            <w:pPr>
              <w:jc w:val="both"/>
              <w:rPr>
                <w:bCs/>
                <w:color w:val="002060"/>
                <w:sz w:val="16"/>
                <w:szCs w:val="16"/>
              </w:rPr>
            </w:pPr>
            <w:r w:rsidRPr="00DE096C">
              <w:rPr>
                <w:bCs/>
                <w:color w:val="002060"/>
                <w:sz w:val="16"/>
                <w:szCs w:val="16"/>
              </w:rPr>
              <w:t xml:space="preserve">УСЛОВИЯ: </w:t>
            </w:r>
          </w:p>
        </w:tc>
        <w:tc>
          <w:tcPr>
            <w:tcW w:w="4788" w:type="dxa"/>
            <w:shd w:val="clear" w:color="auto" w:fill="FFFFFF"/>
          </w:tcPr>
          <w:p w14:paraId="75DD8DE8" w14:textId="77777777" w:rsidR="00B67D7C" w:rsidRPr="00DE096C" w:rsidRDefault="00B67D7C" w:rsidP="00D45A46">
            <w:pPr>
              <w:jc w:val="both"/>
              <w:rPr>
                <w:bCs/>
                <w:color w:val="002060"/>
                <w:sz w:val="16"/>
                <w:szCs w:val="16"/>
              </w:rPr>
            </w:pPr>
            <w:r w:rsidRPr="00DE096C">
              <w:rPr>
                <w:bCs/>
                <w:color w:val="002060"/>
                <w:sz w:val="16"/>
                <w:szCs w:val="16"/>
              </w:rPr>
              <w:t>9 тыс. 300 руб. за аппарат с мотором, срок исполнения 23 декабря 1913 г. (выполнен 18 декабря 1913 г. — 6 июня 1914 г.)</w:t>
            </w:r>
          </w:p>
        </w:tc>
      </w:tr>
    </w:tbl>
    <w:p w14:paraId="5E2617D4" w14:textId="77777777" w:rsidR="00B67D7C" w:rsidRPr="00DE096C" w:rsidRDefault="00B67D7C" w:rsidP="00D45A46">
      <w:pPr>
        <w:jc w:val="both"/>
        <w:rPr>
          <w:bCs/>
          <w:color w:val="002060"/>
          <w:sz w:val="16"/>
          <w:szCs w:val="16"/>
        </w:rPr>
      </w:pPr>
    </w:p>
    <w:p w14:paraId="15307D53" w14:textId="60984B2F"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2 </w:t>
      </w:r>
      <w:r w:rsidR="003217C1" w:rsidRPr="00DE096C">
        <w:rPr>
          <w:bCs/>
          <w:color w:val="002060"/>
          <w:sz w:val="16"/>
          <w:szCs w:val="16"/>
        </w:rPr>
        <w:t xml:space="preserve">(15) </w:t>
      </w:r>
      <w:r w:rsidRPr="00DE096C">
        <w:rPr>
          <w:bCs/>
          <w:color w:val="002060"/>
          <w:sz w:val="16"/>
          <w:szCs w:val="16"/>
        </w:rPr>
        <w:t>декаб</w:t>
      </w:r>
      <w:r w:rsidRPr="00DE096C">
        <w:rPr>
          <w:bCs/>
          <w:color w:val="002060"/>
          <w:sz w:val="16"/>
          <w:szCs w:val="16"/>
        </w:rPr>
        <w:softHyphen/>
        <w:t xml:space="preserve">ря </w:t>
      </w:r>
      <w:r w:rsidR="003217C1" w:rsidRPr="00DE096C">
        <w:rPr>
          <w:bCs/>
          <w:color w:val="002060"/>
          <w:sz w:val="16"/>
          <w:szCs w:val="16"/>
        </w:rPr>
        <w:t>1914 г.</w:t>
      </w:r>
      <w:r w:rsidRPr="00DE096C">
        <w:rPr>
          <w:bCs/>
          <w:color w:val="002060"/>
          <w:sz w:val="16"/>
          <w:szCs w:val="16"/>
        </w:rPr>
        <w:t xml:space="preserve"> </w:t>
      </w:r>
      <w:r w:rsidR="003217C1" w:rsidRPr="00DE096C">
        <w:rPr>
          <w:bCs/>
          <w:color w:val="002060"/>
          <w:sz w:val="16"/>
          <w:szCs w:val="16"/>
        </w:rPr>
        <w:t xml:space="preserve">М-1 </w:t>
      </w:r>
      <w:r w:rsidRPr="00DE096C">
        <w:rPr>
          <w:bCs/>
          <w:color w:val="002060"/>
          <w:sz w:val="16"/>
          <w:szCs w:val="16"/>
        </w:rPr>
        <w:t>разбил на посадке лейтенант А.А.Тучков, возглавлявший Воздухо</w:t>
      </w:r>
      <w:r w:rsidRPr="00DE096C">
        <w:rPr>
          <w:bCs/>
          <w:color w:val="002060"/>
          <w:sz w:val="16"/>
          <w:szCs w:val="16"/>
        </w:rPr>
        <w:softHyphen/>
        <w:t>плавательное отделение Морского генерального штаба, пожелавший научиться летать. Полёт состоялся на 2-й авиастанции в Кильконде (о.Эзель). При заходе на посадку самолёт, пилотируемый Тучковым, по всей видимости, потерял ско</w:t>
      </w:r>
      <w:r w:rsidRPr="00DE096C">
        <w:rPr>
          <w:bCs/>
          <w:color w:val="002060"/>
          <w:sz w:val="16"/>
          <w:szCs w:val="16"/>
        </w:rPr>
        <w:softHyphen/>
        <w:t>рость и зацепил правой консолью за землю. Самолёт развернуло на 45 град, он столкнулся с землёй и разрушился, после чего был списан. Лётчик отделался небольшими по</w:t>
      </w:r>
      <w:r w:rsidRPr="00DE096C">
        <w:rPr>
          <w:bCs/>
          <w:color w:val="002060"/>
          <w:sz w:val="16"/>
          <w:szCs w:val="16"/>
        </w:rPr>
        <w:softHyphen/>
        <w:t>вреждениями (11759).</w:t>
      </w:r>
    </w:p>
    <w:p w14:paraId="00448956" w14:textId="77777777" w:rsidR="00B67D7C" w:rsidRPr="00DE096C" w:rsidRDefault="00B67D7C" w:rsidP="00D45A46">
      <w:pPr>
        <w:shd w:val="clear" w:color="auto" w:fill="FFFFFF"/>
        <w:jc w:val="both"/>
        <w:rPr>
          <w:bCs/>
          <w:color w:val="002060"/>
          <w:sz w:val="16"/>
          <w:szCs w:val="16"/>
        </w:rPr>
      </w:pPr>
    </w:p>
    <w:p w14:paraId="73C1FFCB" w14:textId="3430F685" w:rsidR="001C4606" w:rsidRPr="00DE096C" w:rsidRDefault="001C4606" w:rsidP="00D45A46">
      <w:pPr>
        <w:jc w:val="both"/>
        <w:rPr>
          <w:bCs/>
          <w:color w:val="002060"/>
          <w:sz w:val="16"/>
          <w:szCs w:val="16"/>
          <w:lang w:bidi="ru-RU"/>
        </w:rPr>
      </w:pPr>
      <w:r w:rsidRPr="00DE096C">
        <w:rPr>
          <w:bCs/>
          <w:color w:val="002060"/>
          <w:sz w:val="16"/>
          <w:szCs w:val="16"/>
          <w:lang w:bidi="ru-RU"/>
        </w:rPr>
        <w:t>2 (15) декабря 1914 г. самолет Ще-1 – л/л Григоровича М-1 был полностью разбит при выпол</w:t>
      </w:r>
      <w:r w:rsidRPr="00DE096C">
        <w:rPr>
          <w:bCs/>
          <w:color w:val="002060"/>
          <w:sz w:val="16"/>
          <w:szCs w:val="16"/>
          <w:lang w:bidi="ru-RU"/>
        </w:rPr>
        <w:softHyphen/>
        <w:t>нении учебного полета.</w:t>
      </w:r>
    </w:p>
    <w:p w14:paraId="747EFDC9" w14:textId="77777777" w:rsidR="001C4606" w:rsidRPr="00DE096C" w:rsidRDefault="001C4606" w:rsidP="00D45A46">
      <w:pPr>
        <w:jc w:val="both"/>
        <w:rPr>
          <w:bCs/>
          <w:color w:val="002060"/>
          <w:sz w:val="16"/>
          <w:szCs w:val="16"/>
        </w:rPr>
      </w:pPr>
      <w:r w:rsidRPr="00DE096C">
        <w:rPr>
          <w:bCs/>
          <w:color w:val="002060"/>
          <w:sz w:val="16"/>
          <w:szCs w:val="16"/>
        </w:rPr>
        <w:t>Летные и технические характеристики М-1</w:t>
      </w:r>
    </w:p>
    <w:p w14:paraId="46DB0FB7" w14:textId="77777777" w:rsidR="001C4606" w:rsidRPr="00DE096C" w:rsidRDefault="001C4606" w:rsidP="00D45A46">
      <w:pPr>
        <w:pStyle w:val="af9"/>
        <w:tabs>
          <w:tab w:val="right" w:pos="5424"/>
        </w:tabs>
        <w:spacing w:line="240" w:lineRule="auto"/>
        <w:jc w:val="both"/>
        <w:rPr>
          <w:rFonts w:ascii="Times New Roman" w:hAnsi="Times New Roman" w:cs="Times New Roman"/>
          <w:bCs/>
          <w:color w:val="002060"/>
          <w:sz w:val="16"/>
          <w:szCs w:val="16"/>
        </w:rPr>
      </w:pPr>
      <w:r w:rsidRPr="00DE096C">
        <w:rPr>
          <w:rFonts w:ascii="Times New Roman" w:eastAsia="Arial" w:hAnsi="Times New Roman" w:cs="Times New Roman"/>
          <w:bCs/>
          <w:color w:val="002060"/>
          <w:sz w:val="16"/>
          <w:szCs w:val="16"/>
          <w:lang w:eastAsia="ru-RU" w:bidi="ru-RU"/>
        </w:rPr>
        <w:t>Размах верхнего крыла (м)</w:t>
      </w:r>
      <w:r w:rsidRPr="00DE096C">
        <w:rPr>
          <w:rFonts w:ascii="Times New Roman" w:eastAsia="Arial" w:hAnsi="Times New Roman" w:cs="Times New Roman"/>
          <w:bCs/>
          <w:color w:val="002060"/>
          <w:sz w:val="16"/>
          <w:szCs w:val="16"/>
          <w:lang w:eastAsia="ru-RU" w:bidi="ru-RU"/>
        </w:rPr>
        <w:tab/>
        <w:t>10,28</w:t>
      </w:r>
    </w:p>
    <w:p w14:paraId="5CF6B785" w14:textId="77777777" w:rsidR="001C4606" w:rsidRPr="00DE096C" w:rsidRDefault="001C4606" w:rsidP="00D45A46">
      <w:pPr>
        <w:pStyle w:val="af9"/>
        <w:tabs>
          <w:tab w:val="right" w:pos="5438"/>
        </w:tabs>
        <w:spacing w:line="240" w:lineRule="auto"/>
        <w:jc w:val="both"/>
        <w:rPr>
          <w:rFonts w:ascii="Times New Roman" w:hAnsi="Times New Roman" w:cs="Times New Roman"/>
          <w:bCs/>
          <w:color w:val="002060"/>
          <w:sz w:val="16"/>
          <w:szCs w:val="16"/>
        </w:rPr>
      </w:pPr>
      <w:r w:rsidRPr="00DE096C">
        <w:rPr>
          <w:rFonts w:ascii="Times New Roman" w:eastAsia="Arial" w:hAnsi="Times New Roman" w:cs="Times New Roman"/>
          <w:bCs/>
          <w:color w:val="002060"/>
          <w:sz w:val="16"/>
          <w:szCs w:val="16"/>
          <w:lang w:eastAsia="ru-RU" w:bidi="ru-RU"/>
        </w:rPr>
        <w:t>Длина в линии полета (м)</w:t>
      </w:r>
      <w:r w:rsidRPr="00DE096C">
        <w:rPr>
          <w:rFonts w:ascii="Times New Roman" w:eastAsia="Arial" w:hAnsi="Times New Roman" w:cs="Times New Roman"/>
          <w:bCs/>
          <w:color w:val="002060"/>
          <w:sz w:val="16"/>
          <w:szCs w:val="16"/>
          <w:lang w:eastAsia="ru-RU" w:bidi="ru-RU"/>
        </w:rPr>
        <w:tab/>
        <w:t>7,96</w:t>
      </w:r>
    </w:p>
    <w:p w14:paraId="7FEB5390" w14:textId="77777777" w:rsidR="001C4606" w:rsidRPr="00DE096C" w:rsidRDefault="001C4606" w:rsidP="00D45A46">
      <w:pPr>
        <w:pStyle w:val="af9"/>
        <w:tabs>
          <w:tab w:val="right" w:pos="5419"/>
        </w:tabs>
        <w:spacing w:line="240" w:lineRule="auto"/>
        <w:jc w:val="both"/>
        <w:rPr>
          <w:rFonts w:ascii="Times New Roman" w:hAnsi="Times New Roman" w:cs="Times New Roman"/>
          <w:bCs/>
          <w:color w:val="002060"/>
          <w:sz w:val="16"/>
          <w:szCs w:val="16"/>
        </w:rPr>
      </w:pPr>
      <w:r w:rsidRPr="00DE096C">
        <w:rPr>
          <w:rFonts w:ascii="Times New Roman" w:eastAsia="Arial" w:hAnsi="Times New Roman" w:cs="Times New Roman"/>
          <w:bCs/>
          <w:color w:val="002060"/>
          <w:sz w:val="16"/>
          <w:szCs w:val="16"/>
          <w:lang w:eastAsia="ru-RU" w:bidi="ru-RU"/>
        </w:rPr>
        <w:t>Площадь крыльев (м</w:t>
      </w:r>
      <w:r w:rsidRPr="00DE096C">
        <w:rPr>
          <w:rFonts w:ascii="Times New Roman" w:eastAsia="Arial" w:hAnsi="Times New Roman" w:cs="Times New Roman"/>
          <w:bCs/>
          <w:color w:val="002060"/>
          <w:sz w:val="16"/>
          <w:szCs w:val="16"/>
          <w:vertAlign w:val="superscript"/>
          <w:lang w:eastAsia="ru-RU" w:bidi="ru-RU"/>
        </w:rPr>
        <w:t>2</w:t>
      </w:r>
      <w:r w:rsidRPr="00DE096C">
        <w:rPr>
          <w:rFonts w:ascii="Times New Roman" w:eastAsia="Arial" w:hAnsi="Times New Roman" w:cs="Times New Roman"/>
          <w:bCs/>
          <w:color w:val="002060"/>
          <w:sz w:val="16"/>
          <w:szCs w:val="16"/>
          <w:lang w:eastAsia="ru-RU" w:bidi="ru-RU"/>
        </w:rPr>
        <w:t>)</w:t>
      </w:r>
      <w:r w:rsidRPr="00DE096C">
        <w:rPr>
          <w:rFonts w:ascii="Times New Roman" w:eastAsia="Arial" w:hAnsi="Times New Roman" w:cs="Times New Roman"/>
          <w:bCs/>
          <w:color w:val="002060"/>
          <w:sz w:val="16"/>
          <w:szCs w:val="16"/>
          <w:lang w:eastAsia="ru-RU" w:bidi="ru-RU"/>
        </w:rPr>
        <w:tab/>
        <w:t>26,60*</w:t>
      </w:r>
    </w:p>
    <w:p w14:paraId="01F1AAE3" w14:textId="77777777" w:rsidR="001C4606" w:rsidRPr="00DE096C" w:rsidRDefault="001C4606" w:rsidP="00D45A46">
      <w:pPr>
        <w:pStyle w:val="af9"/>
        <w:tabs>
          <w:tab w:val="right" w:pos="5419"/>
        </w:tabs>
        <w:spacing w:line="240" w:lineRule="auto"/>
        <w:jc w:val="both"/>
        <w:rPr>
          <w:rFonts w:ascii="Times New Roman" w:hAnsi="Times New Roman" w:cs="Times New Roman"/>
          <w:bCs/>
          <w:color w:val="002060"/>
          <w:sz w:val="16"/>
          <w:szCs w:val="16"/>
        </w:rPr>
      </w:pPr>
      <w:r w:rsidRPr="00DE096C">
        <w:rPr>
          <w:rFonts w:ascii="Times New Roman" w:eastAsia="Arial" w:hAnsi="Times New Roman" w:cs="Times New Roman"/>
          <w:bCs/>
          <w:color w:val="002060"/>
          <w:sz w:val="16"/>
          <w:szCs w:val="16"/>
          <w:lang w:eastAsia="ru-RU" w:bidi="ru-RU"/>
        </w:rPr>
        <w:t>Вес пустого (кг)</w:t>
      </w:r>
      <w:r w:rsidRPr="00DE096C">
        <w:rPr>
          <w:rFonts w:ascii="Times New Roman" w:eastAsia="Arial" w:hAnsi="Times New Roman" w:cs="Times New Roman"/>
          <w:bCs/>
          <w:color w:val="002060"/>
          <w:sz w:val="16"/>
          <w:szCs w:val="16"/>
          <w:lang w:eastAsia="ru-RU" w:bidi="ru-RU"/>
        </w:rPr>
        <w:tab/>
        <w:t>400*</w:t>
      </w:r>
    </w:p>
    <w:p w14:paraId="2F356569" w14:textId="77777777" w:rsidR="001C4606" w:rsidRPr="00DE096C" w:rsidRDefault="001C4606" w:rsidP="00D45A46">
      <w:pPr>
        <w:pStyle w:val="af9"/>
        <w:tabs>
          <w:tab w:val="right" w:pos="5419"/>
        </w:tabs>
        <w:spacing w:line="240" w:lineRule="auto"/>
        <w:jc w:val="both"/>
        <w:rPr>
          <w:rFonts w:ascii="Times New Roman" w:hAnsi="Times New Roman" w:cs="Times New Roman"/>
          <w:bCs/>
          <w:color w:val="002060"/>
          <w:sz w:val="16"/>
          <w:szCs w:val="16"/>
        </w:rPr>
      </w:pPr>
      <w:r w:rsidRPr="00DE096C">
        <w:rPr>
          <w:rFonts w:ascii="Times New Roman" w:eastAsia="Arial" w:hAnsi="Times New Roman" w:cs="Times New Roman"/>
          <w:bCs/>
          <w:color w:val="002060"/>
          <w:sz w:val="16"/>
          <w:szCs w:val="16"/>
          <w:lang w:eastAsia="ru-RU" w:bidi="ru-RU"/>
        </w:rPr>
        <w:t>Полетный вес (кг)</w:t>
      </w:r>
      <w:r w:rsidRPr="00DE096C">
        <w:rPr>
          <w:rFonts w:ascii="Times New Roman" w:eastAsia="Arial" w:hAnsi="Times New Roman" w:cs="Times New Roman"/>
          <w:bCs/>
          <w:color w:val="002060"/>
          <w:sz w:val="16"/>
          <w:szCs w:val="16"/>
          <w:lang w:eastAsia="ru-RU" w:bidi="ru-RU"/>
        </w:rPr>
        <w:tab/>
        <w:t>650*</w:t>
      </w:r>
    </w:p>
    <w:p w14:paraId="2E8047A9" w14:textId="144E76AA" w:rsidR="001C4606" w:rsidRPr="00DE096C" w:rsidRDefault="001C4606" w:rsidP="00D45A46">
      <w:pPr>
        <w:jc w:val="both"/>
        <w:rPr>
          <w:bCs/>
          <w:color w:val="002060"/>
          <w:sz w:val="16"/>
          <w:szCs w:val="16"/>
        </w:rPr>
      </w:pPr>
      <w:r w:rsidRPr="00DE096C">
        <w:rPr>
          <w:bCs/>
          <w:color w:val="002060"/>
          <w:sz w:val="16"/>
          <w:szCs w:val="16"/>
          <w:lang w:bidi="ru-RU"/>
        </w:rPr>
        <w:t>*Данные ориентировочные</w:t>
      </w:r>
      <w:r w:rsidR="0006581C">
        <w:rPr>
          <w:bCs/>
          <w:color w:val="002060"/>
          <w:sz w:val="16"/>
          <w:szCs w:val="16"/>
          <w:lang w:bidi="ru-RU"/>
        </w:rPr>
        <w:t xml:space="preserve"> </w:t>
      </w:r>
      <w:r w:rsidRPr="00DE096C">
        <w:rPr>
          <w:bCs/>
          <w:color w:val="002060"/>
          <w:sz w:val="16"/>
          <w:szCs w:val="16"/>
          <w:lang w:bidi="ru-RU"/>
        </w:rPr>
        <w:t>(23374).</w:t>
      </w:r>
    </w:p>
    <w:p w14:paraId="0A49F910" w14:textId="77777777" w:rsidR="001C4606" w:rsidRPr="00DE096C" w:rsidRDefault="001C4606" w:rsidP="00D45A46">
      <w:pPr>
        <w:jc w:val="both"/>
        <w:rPr>
          <w:bCs/>
          <w:color w:val="002060"/>
          <w:sz w:val="16"/>
          <w:szCs w:val="16"/>
        </w:rPr>
      </w:pPr>
    </w:p>
    <w:p w14:paraId="52E4860C" w14:textId="77777777" w:rsidR="001C4606" w:rsidRPr="00DE096C" w:rsidRDefault="001C4606" w:rsidP="00D45A46">
      <w:pPr>
        <w:jc w:val="both"/>
        <w:rPr>
          <w:bCs/>
          <w:color w:val="002060"/>
          <w:sz w:val="16"/>
          <w:szCs w:val="16"/>
        </w:rPr>
      </w:pPr>
      <w:r w:rsidRPr="00DE096C">
        <w:rPr>
          <w:bCs/>
          <w:color w:val="002060"/>
          <w:sz w:val="16"/>
          <w:szCs w:val="16"/>
        </w:rPr>
        <w:t>2 (15) декабря 1914 г. на авиастанции №2 Кильконд на о. Эзель самолет Щ-1 разбит в аварии военным летчиком лейтенантом А.А. Тучковым. Самолет не ремонтировался ввиду нецелесообразности этого и был списан (23562).</w:t>
      </w:r>
    </w:p>
    <w:p w14:paraId="23F74CC8" w14:textId="77777777" w:rsidR="001C4606" w:rsidRPr="00DE096C" w:rsidRDefault="001C4606" w:rsidP="00D45A46">
      <w:pPr>
        <w:jc w:val="both"/>
        <w:rPr>
          <w:bCs/>
          <w:color w:val="002060"/>
          <w:sz w:val="16"/>
          <w:szCs w:val="16"/>
        </w:rPr>
      </w:pPr>
    </w:p>
    <w:p w14:paraId="605553D9" w14:textId="77777777" w:rsidR="00B67D7C" w:rsidRPr="00DE096C" w:rsidRDefault="00B67D7C" w:rsidP="00D45A46">
      <w:pPr>
        <w:jc w:val="both"/>
        <w:rPr>
          <w:bCs/>
          <w:i/>
          <w:color w:val="002060"/>
          <w:sz w:val="16"/>
          <w:szCs w:val="16"/>
        </w:rPr>
      </w:pPr>
      <w:r w:rsidRPr="00DE096C">
        <w:rPr>
          <w:bCs/>
          <w:i/>
          <w:color w:val="002060"/>
          <w:sz w:val="16"/>
          <w:szCs w:val="16"/>
        </w:rPr>
        <w:t>Авиация:</w:t>
      </w:r>
    </w:p>
    <w:p w14:paraId="447EA119" w14:textId="77777777" w:rsidR="00B67D7C" w:rsidRPr="00DE096C" w:rsidRDefault="00B67D7C" w:rsidP="00D45A46">
      <w:pPr>
        <w:jc w:val="both"/>
        <w:rPr>
          <w:bCs/>
          <w:i/>
          <w:color w:val="002060"/>
          <w:sz w:val="16"/>
          <w:szCs w:val="16"/>
        </w:rPr>
      </w:pPr>
    </w:p>
    <w:p w14:paraId="1A4DE163" w14:textId="45645C68" w:rsidR="00C04F53" w:rsidRPr="00DE096C" w:rsidRDefault="00C04F53" w:rsidP="00D45A46">
      <w:pPr>
        <w:jc w:val="both"/>
        <w:rPr>
          <w:bCs/>
          <w:color w:val="002060"/>
          <w:sz w:val="16"/>
          <w:szCs w:val="16"/>
        </w:rPr>
      </w:pPr>
      <w:r w:rsidRPr="00DE096C">
        <w:rPr>
          <w:bCs/>
          <w:color w:val="002060"/>
          <w:sz w:val="16"/>
          <w:szCs w:val="16"/>
        </w:rPr>
        <w:t xml:space="preserve">2 (15) декабря </w:t>
      </w:r>
      <w:r w:rsidR="003217C1" w:rsidRPr="00DE096C">
        <w:rPr>
          <w:bCs/>
          <w:color w:val="002060"/>
          <w:sz w:val="16"/>
          <w:szCs w:val="16"/>
        </w:rPr>
        <w:t>1914 г. и</w:t>
      </w:r>
      <w:r w:rsidRPr="00DE096C">
        <w:rPr>
          <w:bCs/>
          <w:color w:val="002060"/>
          <w:sz w:val="16"/>
          <w:szCs w:val="16"/>
        </w:rPr>
        <w:t xml:space="preserve">з штаба Юго-Западного фронта </w:t>
      </w:r>
      <w:r w:rsidR="003217C1" w:rsidRPr="00DE096C">
        <w:rPr>
          <w:bCs/>
          <w:color w:val="002060"/>
          <w:sz w:val="16"/>
          <w:szCs w:val="16"/>
        </w:rPr>
        <w:t xml:space="preserve">писали </w:t>
      </w:r>
      <w:r w:rsidRPr="00DE096C">
        <w:rPr>
          <w:bCs/>
          <w:color w:val="002060"/>
          <w:sz w:val="16"/>
          <w:szCs w:val="16"/>
        </w:rPr>
        <w:t>начальнику Авиаканца: "В дополнение к докладу моему Вашему высокопревосходительству № 1355 от (28 ноября) с. г. докладываю, что предпринятое авиационными отрядами метание бомб в крепость Перемышль и фотографирование ее укрепелений успешно продолжаются.</w:t>
      </w:r>
    </w:p>
    <w:p w14:paraId="38CC4372" w14:textId="77777777" w:rsidR="00C04F53" w:rsidRPr="00DE096C" w:rsidRDefault="00C04F53" w:rsidP="00D45A46">
      <w:pPr>
        <w:jc w:val="both"/>
        <w:rPr>
          <w:bCs/>
          <w:color w:val="002060"/>
          <w:sz w:val="16"/>
          <w:szCs w:val="16"/>
        </w:rPr>
      </w:pPr>
      <w:r w:rsidRPr="00DE096C">
        <w:rPr>
          <w:bCs/>
          <w:color w:val="002060"/>
          <w:sz w:val="16"/>
          <w:szCs w:val="16"/>
        </w:rPr>
        <w:t>За время с (18) по (28 ноября) Брест-Литовским крепостным и 24-м корпусным авиационными отрядами было сброшено 23 бомбы общим весом 29 пудов 15 фунт., из них по 2 пуд. 30 фунт. - 8, по 1 пуд. 20 фунт. - 1, 25 фунт. - 8 и по 5 фунт. - 6. Два полета были использованы для фотографирования укреплений крепости.</w:t>
      </w:r>
    </w:p>
    <w:p w14:paraId="0F4433E6" w14:textId="77777777" w:rsidR="00C04F53" w:rsidRPr="00DE096C" w:rsidRDefault="00C04F53" w:rsidP="00D45A46">
      <w:pPr>
        <w:jc w:val="both"/>
        <w:rPr>
          <w:bCs/>
          <w:color w:val="002060"/>
          <w:sz w:val="16"/>
          <w:szCs w:val="16"/>
        </w:rPr>
      </w:pPr>
      <w:r w:rsidRPr="00DE096C">
        <w:rPr>
          <w:bCs/>
          <w:color w:val="002060"/>
          <w:sz w:val="16"/>
          <w:szCs w:val="16"/>
        </w:rPr>
        <w:t>Метание бомб производилось в орудийный склад, склады снарядов, электрическую станцию, места расположения сферического аэростата и газодобывания и в казармы.</w:t>
      </w:r>
    </w:p>
    <w:p w14:paraId="4687BCF8" w14:textId="77777777" w:rsidR="00C04F53" w:rsidRPr="00DE096C" w:rsidRDefault="00C04F53" w:rsidP="00D45A46">
      <w:pPr>
        <w:jc w:val="both"/>
        <w:rPr>
          <w:bCs/>
          <w:color w:val="002060"/>
          <w:sz w:val="16"/>
          <w:szCs w:val="16"/>
        </w:rPr>
      </w:pPr>
      <w:r w:rsidRPr="00DE096C">
        <w:rPr>
          <w:bCs/>
          <w:color w:val="002060"/>
          <w:sz w:val="16"/>
          <w:szCs w:val="16"/>
        </w:rPr>
        <w:t>По сведениям, полученным штабом 2-й армии путем опроса пленных, выяснено, что сброшенные нашими летчиками бомбы причинили повреждения электрической станции, казармам уланского полка, обозам и произвели много пожаров.</w:t>
      </w:r>
    </w:p>
    <w:p w14:paraId="60695BB2" w14:textId="77777777" w:rsidR="00C04F53" w:rsidRPr="00DE096C" w:rsidRDefault="00C04F53" w:rsidP="00D45A46">
      <w:pPr>
        <w:jc w:val="both"/>
        <w:rPr>
          <w:bCs/>
          <w:color w:val="002060"/>
          <w:sz w:val="16"/>
          <w:szCs w:val="16"/>
        </w:rPr>
      </w:pPr>
      <w:r w:rsidRPr="00DE096C">
        <w:rPr>
          <w:bCs/>
          <w:color w:val="002060"/>
          <w:sz w:val="16"/>
          <w:szCs w:val="16"/>
        </w:rPr>
        <w:t>Предпринятое нашими авиационными отрядами энергичное бомбометание и притом бомбами большого веса, по- видимому, произвело сильное моральное впечатление на гарнизон осажденной крепости.</w:t>
      </w:r>
    </w:p>
    <w:p w14:paraId="44EFA131" w14:textId="77777777" w:rsidR="00C04F53" w:rsidRPr="00DE096C" w:rsidRDefault="00C04F53" w:rsidP="00D45A46">
      <w:pPr>
        <w:jc w:val="both"/>
        <w:rPr>
          <w:bCs/>
          <w:color w:val="002060"/>
          <w:sz w:val="16"/>
          <w:szCs w:val="16"/>
        </w:rPr>
      </w:pPr>
      <w:r w:rsidRPr="00DE096C">
        <w:rPr>
          <w:bCs/>
          <w:color w:val="002060"/>
          <w:sz w:val="16"/>
          <w:szCs w:val="16"/>
        </w:rPr>
        <w:t>Прежнее, слабое сравнительно, обстреливание наших аппаратов сменилось ураганным обстрелом как артиллерийским, так и пулеметным, даже в районе крепости, где осколки и шрапнельные пули могут нанести вред самим стреляющим. Наблюдениями установлено, что вокруг одного аппарата за полет происходило до 300 шрапнельных разрывов. До бросания бомб большого веса представлялась возможность летать на высоте 1200 метров, теперь же разрывы снарядов наблюдались над аппаратом при полетах даже на высоте 2200 метров.</w:t>
      </w:r>
    </w:p>
    <w:p w14:paraId="3807B35C" w14:textId="77777777" w:rsidR="00C04F53" w:rsidRPr="00DE096C" w:rsidRDefault="00C04F53" w:rsidP="00D45A46">
      <w:pPr>
        <w:jc w:val="both"/>
        <w:rPr>
          <w:bCs/>
          <w:color w:val="002060"/>
          <w:sz w:val="16"/>
          <w:szCs w:val="16"/>
        </w:rPr>
      </w:pPr>
      <w:r w:rsidRPr="00DE096C">
        <w:rPr>
          <w:bCs/>
          <w:color w:val="002060"/>
          <w:sz w:val="16"/>
          <w:szCs w:val="16"/>
        </w:rPr>
        <w:t>Представляю 8 новых снимков, которые по миновании надобности прошу возвратить.</w:t>
      </w:r>
    </w:p>
    <w:p w14:paraId="1A78B31B" w14:textId="77777777" w:rsidR="00C04F53" w:rsidRPr="00DE096C" w:rsidRDefault="00C04F53" w:rsidP="00D45A46">
      <w:pPr>
        <w:jc w:val="both"/>
        <w:rPr>
          <w:bCs/>
          <w:color w:val="002060"/>
          <w:sz w:val="16"/>
          <w:szCs w:val="16"/>
        </w:rPr>
      </w:pPr>
      <w:r w:rsidRPr="00DE096C">
        <w:rPr>
          <w:bCs/>
          <w:color w:val="002060"/>
          <w:sz w:val="16"/>
          <w:szCs w:val="16"/>
        </w:rPr>
        <w:t>Полковник Барсов" (11999).</w:t>
      </w:r>
    </w:p>
    <w:p w14:paraId="237BCEC1" w14:textId="77777777" w:rsidR="00C04F53" w:rsidRPr="00DE096C" w:rsidRDefault="00C04F53" w:rsidP="00D45A46">
      <w:pPr>
        <w:jc w:val="both"/>
        <w:rPr>
          <w:bCs/>
          <w:color w:val="002060"/>
          <w:sz w:val="16"/>
          <w:szCs w:val="16"/>
        </w:rPr>
      </w:pPr>
    </w:p>
    <w:p w14:paraId="3AFC29C9" w14:textId="5B06CB7B" w:rsidR="001C4606" w:rsidRPr="00DE096C" w:rsidRDefault="001C4606" w:rsidP="00D45A46">
      <w:pPr>
        <w:jc w:val="both"/>
        <w:rPr>
          <w:bCs/>
          <w:color w:val="002060"/>
          <w:sz w:val="16"/>
          <w:szCs w:val="16"/>
        </w:rPr>
      </w:pPr>
      <w:r w:rsidRPr="00DE096C">
        <w:rPr>
          <w:bCs/>
          <w:color w:val="002060"/>
          <w:sz w:val="16"/>
          <w:szCs w:val="16"/>
        </w:rPr>
        <w:t>2 (15) декабря 1914 г. состоялся очередной налет на город Лодзь. Немецкие летчики сбросили на городские кварталы несколько десятков бомб, которые привели к большим разрушениям и человеческим жертвам. Немного позднее в небе над Лодзью (в темное время суток) появился цеппелин, проведя тщательную разведку города (23405).</w:t>
      </w:r>
    </w:p>
    <w:p w14:paraId="76DBC4FB" w14:textId="77777777" w:rsidR="001C4606" w:rsidRPr="00DE096C" w:rsidRDefault="001C4606" w:rsidP="00D45A46">
      <w:pPr>
        <w:jc w:val="both"/>
        <w:rPr>
          <w:bCs/>
          <w:color w:val="002060"/>
          <w:sz w:val="16"/>
          <w:szCs w:val="16"/>
        </w:rPr>
      </w:pPr>
    </w:p>
    <w:p w14:paraId="46295DF2" w14:textId="5D8C893C" w:rsidR="006A08EE" w:rsidRPr="00DE096C" w:rsidRDefault="006A08EE" w:rsidP="00D45A46">
      <w:pPr>
        <w:jc w:val="both"/>
        <w:rPr>
          <w:bCs/>
          <w:i/>
          <w:color w:val="002060"/>
          <w:sz w:val="16"/>
          <w:szCs w:val="16"/>
        </w:rPr>
      </w:pPr>
      <w:r w:rsidRPr="00DE096C">
        <w:rPr>
          <w:bCs/>
          <w:i/>
          <w:color w:val="002060"/>
          <w:sz w:val="16"/>
          <w:szCs w:val="16"/>
        </w:rPr>
        <w:t>Авиация и воздухоплавание Германии:</w:t>
      </w:r>
    </w:p>
    <w:p w14:paraId="3C05F5BD" w14:textId="77777777" w:rsidR="006A08EE" w:rsidRPr="00DE096C" w:rsidRDefault="006A08EE" w:rsidP="00D45A46">
      <w:pPr>
        <w:jc w:val="both"/>
        <w:rPr>
          <w:bCs/>
          <w:i/>
          <w:color w:val="002060"/>
          <w:sz w:val="16"/>
          <w:szCs w:val="16"/>
        </w:rPr>
      </w:pPr>
    </w:p>
    <w:p w14:paraId="023833D3" w14:textId="77777777" w:rsidR="006A08EE" w:rsidRPr="00DE096C" w:rsidRDefault="006A08EE" w:rsidP="00D45A46">
      <w:pPr>
        <w:jc w:val="both"/>
        <w:rPr>
          <w:bCs/>
          <w:color w:val="002060"/>
          <w:sz w:val="16"/>
          <w:szCs w:val="16"/>
        </w:rPr>
      </w:pPr>
      <w:r w:rsidRPr="00DE096C">
        <w:rPr>
          <w:bCs/>
          <w:color w:val="002060"/>
          <w:sz w:val="16"/>
          <w:szCs w:val="16"/>
        </w:rPr>
        <w:t>3 (16) декабря 1914 SMS Glyndwr - первый авианесущий корабль Императорского флота Германии, который сдан в эксплуатацию. Первоначально она служит для обучения пилотов гидросамолетов (20337).</w:t>
      </w:r>
    </w:p>
    <w:p w14:paraId="4128C905" w14:textId="77777777" w:rsidR="006A08EE" w:rsidRPr="00DE096C" w:rsidRDefault="006A08EE" w:rsidP="00D45A46">
      <w:pPr>
        <w:jc w:val="both"/>
        <w:rPr>
          <w:bCs/>
          <w:color w:val="002060"/>
          <w:sz w:val="16"/>
          <w:szCs w:val="16"/>
        </w:rPr>
      </w:pPr>
    </w:p>
    <w:p w14:paraId="0CCE4CEB" w14:textId="77777777" w:rsidR="008B0338" w:rsidRPr="00DE096C" w:rsidRDefault="008B0338" w:rsidP="00D45A46">
      <w:pPr>
        <w:jc w:val="both"/>
        <w:rPr>
          <w:bCs/>
          <w:i/>
          <w:color w:val="002060"/>
          <w:sz w:val="16"/>
          <w:szCs w:val="16"/>
        </w:rPr>
      </w:pPr>
      <w:r w:rsidRPr="00DE096C">
        <w:rPr>
          <w:bCs/>
          <w:i/>
          <w:color w:val="002060"/>
          <w:sz w:val="16"/>
          <w:szCs w:val="16"/>
        </w:rPr>
        <w:t>Другие оборонные отрасли:</w:t>
      </w:r>
    </w:p>
    <w:p w14:paraId="61699023" w14:textId="77777777" w:rsidR="008B0338" w:rsidRPr="00DE096C" w:rsidRDefault="008B0338" w:rsidP="00D45A46">
      <w:pPr>
        <w:jc w:val="both"/>
        <w:rPr>
          <w:bCs/>
          <w:i/>
          <w:color w:val="002060"/>
          <w:sz w:val="16"/>
          <w:szCs w:val="16"/>
        </w:rPr>
      </w:pPr>
    </w:p>
    <w:p w14:paraId="29CB7478" w14:textId="2B5DE33B" w:rsidR="008B0338" w:rsidRPr="00DE096C" w:rsidRDefault="008B0338" w:rsidP="00D45A46">
      <w:pPr>
        <w:jc w:val="both"/>
        <w:rPr>
          <w:bCs/>
          <w:color w:val="002060"/>
          <w:sz w:val="16"/>
          <w:szCs w:val="16"/>
        </w:rPr>
      </w:pPr>
      <w:r w:rsidRPr="00DE096C">
        <w:rPr>
          <w:rStyle w:val="ucoz-forum-post"/>
          <w:bCs/>
          <w:color w:val="002060"/>
          <w:sz w:val="16"/>
          <w:szCs w:val="16"/>
        </w:rPr>
        <w:t xml:space="preserve">4 </w:t>
      </w:r>
      <w:r w:rsidR="003217C1" w:rsidRPr="00DE096C">
        <w:rPr>
          <w:rStyle w:val="ucoz-forum-post"/>
          <w:bCs/>
          <w:color w:val="002060"/>
          <w:sz w:val="16"/>
          <w:szCs w:val="16"/>
        </w:rPr>
        <w:t xml:space="preserve">(17) </w:t>
      </w:r>
      <w:r w:rsidRPr="00DE096C">
        <w:rPr>
          <w:rStyle w:val="ucoz-forum-post"/>
          <w:bCs/>
          <w:color w:val="002060"/>
          <w:sz w:val="16"/>
          <w:szCs w:val="16"/>
        </w:rPr>
        <w:t xml:space="preserve">декабря </w:t>
      </w:r>
      <w:r w:rsidRPr="00DE096C">
        <w:rPr>
          <w:bCs/>
          <w:color w:val="002060"/>
          <w:sz w:val="16"/>
          <w:szCs w:val="16"/>
        </w:rPr>
        <w:t>в 1914 году линкор «Полтава» (тип «Севастополь», 23288 тонн, 12 305-мм и 16 120-мм орудий, 24 узла)</w:t>
      </w:r>
      <w:r w:rsidR="003217C1" w:rsidRPr="00DE096C">
        <w:rPr>
          <w:bCs/>
          <w:color w:val="002060"/>
          <w:sz w:val="16"/>
          <w:szCs w:val="16"/>
        </w:rPr>
        <w:t xml:space="preserve"> вошел в состав Балтийского флота</w:t>
      </w:r>
      <w:r w:rsidRPr="00DE096C">
        <w:rPr>
          <w:bCs/>
          <w:color w:val="002060"/>
          <w:sz w:val="16"/>
          <w:szCs w:val="16"/>
        </w:rPr>
        <w:t xml:space="preserve"> (14850).</w:t>
      </w:r>
    </w:p>
    <w:p w14:paraId="7D3FECB1" w14:textId="77777777" w:rsidR="008B0338" w:rsidRPr="00DE096C" w:rsidRDefault="008B0338" w:rsidP="00D45A46">
      <w:pPr>
        <w:jc w:val="both"/>
        <w:rPr>
          <w:rStyle w:val="ucoz-forum-post"/>
          <w:bCs/>
          <w:color w:val="002060"/>
          <w:sz w:val="16"/>
          <w:szCs w:val="16"/>
        </w:rPr>
      </w:pPr>
    </w:p>
    <w:p w14:paraId="68D7C36D" w14:textId="77777777" w:rsidR="001C4606" w:rsidRPr="00DE096C" w:rsidRDefault="001C4606" w:rsidP="00D45A46">
      <w:pPr>
        <w:pStyle w:val="af7"/>
        <w:spacing w:line="240" w:lineRule="auto"/>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4 (17) де</w:t>
      </w:r>
      <w:r w:rsidRPr="00DE096C">
        <w:rPr>
          <w:rFonts w:ascii="Times New Roman" w:hAnsi="Times New Roman" w:cs="Times New Roman"/>
          <w:bCs/>
          <w:color w:val="002060"/>
          <w:sz w:val="16"/>
          <w:szCs w:val="16"/>
        </w:rPr>
        <w:softHyphen/>
        <w:t>кабря 1914 г. Верховный главнокомандую</w:t>
      </w:r>
      <w:r w:rsidRPr="00DE096C">
        <w:rPr>
          <w:rFonts w:ascii="Times New Roman" w:hAnsi="Times New Roman" w:cs="Times New Roman"/>
          <w:bCs/>
          <w:color w:val="002060"/>
          <w:sz w:val="16"/>
          <w:szCs w:val="16"/>
        </w:rPr>
        <w:softHyphen/>
        <w:t>щий «с горем» сообщил французскому послу, что вынужден приостановить опе</w:t>
      </w:r>
      <w:r w:rsidRPr="00DE096C">
        <w:rPr>
          <w:rFonts w:ascii="Times New Roman" w:hAnsi="Times New Roman" w:cs="Times New Roman"/>
          <w:bCs/>
          <w:color w:val="002060"/>
          <w:sz w:val="16"/>
          <w:szCs w:val="16"/>
        </w:rPr>
        <w:softHyphen/>
        <w:t>рации вследствие того, что израсходованы все запасы снарядов. Николаю II, прибывшему в Ставку 13 декабря после поездки по фронтам, английский военный предста</w:t>
      </w:r>
      <w:r w:rsidRPr="00DE096C">
        <w:rPr>
          <w:rFonts w:ascii="Times New Roman" w:hAnsi="Times New Roman" w:cs="Times New Roman"/>
          <w:bCs/>
          <w:color w:val="002060"/>
          <w:sz w:val="16"/>
          <w:szCs w:val="16"/>
        </w:rPr>
        <w:softHyphen/>
        <w:t>витель X. Вильямс нажаловался на медлительность ГАУ в переговорах с группой канадских предпринимателей, гото</w:t>
      </w:r>
      <w:r w:rsidRPr="00DE096C">
        <w:rPr>
          <w:rFonts w:ascii="Times New Roman" w:hAnsi="Times New Roman" w:cs="Times New Roman"/>
          <w:bCs/>
          <w:color w:val="002060"/>
          <w:sz w:val="16"/>
          <w:szCs w:val="16"/>
        </w:rPr>
        <w:softHyphen/>
        <w:t xml:space="preserve">вых поставлять снаряды, и царь вызвал для объяснений </w:t>
      </w:r>
      <w:r w:rsidRPr="00DE096C">
        <w:rPr>
          <w:rFonts w:ascii="Times New Roman" w:hAnsi="Times New Roman" w:cs="Times New Roman"/>
          <w:bCs/>
          <w:color w:val="002060"/>
          <w:sz w:val="16"/>
          <w:szCs w:val="16"/>
        </w:rPr>
        <w:lastRenderedPageBreak/>
        <w:t>Смысловского. Явившись в Барановичи 15 декабря, Смысловский доложил, что «интересующий Ставку контракт уже заключен 12 декабря». «Попутно» же «я указал генералу Янушкевичу, — рассказывал Смысловский на следствии, — на необходимость получения хотя каких бы то ни было определенных предначертаний о том количестве патронов, какое подлежало впредь заготовлению. Результатом этого доклада и было сообщенное по телеграфу высочайшее пред</w:t>
      </w:r>
      <w:r w:rsidRPr="00DE096C">
        <w:rPr>
          <w:rFonts w:ascii="Times New Roman" w:hAnsi="Times New Roman" w:cs="Times New Roman"/>
          <w:bCs/>
          <w:color w:val="002060"/>
          <w:sz w:val="16"/>
          <w:szCs w:val="16"/>
        </w:rPr>
        <w:softHyphen/>
        <w:t>указание» заготовить к концу военных действий по 2000 сна</w:t>
      </w:r>
      <w:r w:rsidRPr="00DE096C">
        <w:rPr>
          <w:rFonts w:ascii="Times New Roman" w:hAnsi="Times New Roman" w:cs="Times New Roman"/>
          <w:bCs/>
          <w:color w:val="002060"/>
          <w:sz w:val="16"/>
          <w:szCs w:val="16"/>
        </w:rPr>
        <w:softHyphen/>
        <w:t>рядов на орудие (История с этим контрактом, получившая далее еще более скан</w:t>
      </w:r>
      <w:r w:rsidRPr="00DE096C">
        <w:rPr>
          <w:rFonts w:ascii="Times New Roman" w:hAnsi="Times New Roman" w:cs="Times New Roman"/>
          <w:bCs/>
          <w:color w:val="002060"/>
          <w:sz w:val="16"/>
          <w:szCs w:val="16"/>
        </w:rPr>
        <w:softHyphen/>
        <w:t xml:space="preserve">дальный оборот, освещена в статье: </w:t>
      </w:r>
      <w:r w:rsidRPr="00DE096C">
        <w:rPr>
          <w:rFonts w:ascii="Times New Roman" w:hAnsi="Times New Roman" w:cs="Times New Roman"/>
          <w:bCs/>
          <w:color w:val="002060"/>
          <w:sz w:val="16"/>
          <w:szCs w:val="16"/>
          <w:lang w:val="en-US" w:bidi="en-US"/>
        </w:rPr>
        <w:t>Neilson</w:t>
      </w:r>
      <w:r w:rsidRPr="00DE096C">
        <w:rPr>
          <w:rFonts w:ascii="Times New Roman" w:hAnsi="Times New Roman" w:cs="Times New Roman"/>
          <w:bCs/>
          <w:color w:val="002060"/>
          <w:sz w:val="16"/>
          <w:szCs w:val="16"/>
          <w:lang w:bidi="en-US"/>
        </w:rPr>
        <w:t xml:space="preserve"> </w:t>
      </w:r>
      <w:r w:rsidRPr="00DE096C">
        <w:rPr>
          <w:rFonts w:ascii="Times New Roman" w:hAnsi="Times New Roman" w:cs="Times New Roman"/>
          <w:bCs/>
          <w:color w:val="002060"/>
          <w:sz w:val="16"/>
          <w:szCs w:val="16"/>
        </w:rPr>
        <w:t xml:space="preserve">К. </w:t>
      </w:r>
      <w:r w:rsidRPr="00DE096C">
        <w:rPr>
          <w:rFonts w:ascii="Times New Roman" w:hAnsi="Times New Roman" w:cs="Times New Roman"/>
          <w:bCs/>
          <w:color w:val="002060"/>
          <w:sz w:val="16"/>
          <w:szCs w:val="16"/>
          <w:lang w:val="en-US" w:bidi="en-US"/>
        </w:rPr>
        <w:t>Russian</w:t>
      </w:r>
      <w:r w:rsidRPr="00DE096C">
        <w:rPr>
          <w:rFonts w:ascii="Times New Roman" w:hAnsi="Times New Roman" w:cs="Times New Roman"/>
          <w:bCs/>
          <w:color w:val="002060"/>
          <w:sz w:val="16"/>
          <w:szCs w:val="16"/>
          <w:lang w:bidi="en-US"/>
        </w:rPr>
        <w:t xml:space="preserve"> </w:t>
      </w:r>
      <w:r w:rsidRPr="00DE096C">
        <w:rPr>
          <w:rFonts w:ascii="Times New Roman" w:hAnsi="Times New Roman" w:cs="Times New Roman"/>
          <w:bCs/>
          <w:color w:val="002060"/>
          <w:sz w:val="16"/>
          <w:szCs w:val="16"/>
          <w:lang w:val="en-US" w:bidi="en-US"/>
        </w:rPr>
        <w:t>Foreign</w:t>
      </w:r>
      <w:r w:rsidRPr="00DE096C">
        <w:rPr>
          <w:rFonts w:ascii="Times New Roman" w:hAnsi="Times New Roman" w:cs="Times New Roman"/>
          <w:bCs/>
          <w:color w:val="002060"/>
          <w:sz w:val="16"/>
          <w:szCs w:val="16"/>
          <w:lang w:bidi="en-US"/>
        </w:rPr>
        <w:t xml:space="preserve"> </w:t>
      </w:r>
      <w:r w:rsidRPr="00DE096C">
        <w:rPr>
          <w:rFonts w:ascii="Times New Roman" w:hAnsi="Times New Roman" w:cs="Times New Roman"/>
          <w:bCs/>
          <w:color w:val="002060"/>
          <w:sz w:val="16"/>
          <w:szCs w:val="16"/>
          <w:lang w:val="en-US" w:bidi="en-US"/>
        </w:rPr>
        <w:t>Purchasing</w:t>
      </w:r>
      <w:r w:rsidRPr="00DE096C">
        <w:rPr>
          <w:rFonts w:ascii="Times New Roman" w:hAnsi="Times New Roman" w:cs="Times New Roman"/>
          <w:bCs/>
          <w:color w:val="002060"/>
          <w:sz w:val="16"/>
          <w:szCs w:val="16"/>
          <w:lang w:bidi="en-US"/>
        </w:rPr>
        <w:t xml:space="preserve"> </w:t>
      </w:r>
      <w:r w:rsidRPr="00DE096C">
        <w:rPr>
          <w:rFonts w:ascii="Times New Roman" w:hAnsi="Times New Roman" w:cs="Times New Roman"/>
          <w:bCs/>
          <w:color w:val="002060"/>
          <w:sz w:val="16"/>
          <w:szCs w:val="16"/>
          <w:lang w:val="en-US" w:bidi="en-US"/>
        </w:rPr>
        <w:t>in</w:t>
      </w:r>
      <w:r w:rsidRPr="00DE096C">
        <w:rPr>
          <w:rFonts w:ascii="Times New Roman" w:hAnsi="Times New Roman" w:cs="Times New Roman"/>
          <w:bCs/>
          <w:color w:val="002060"/>
          <w:sz w:val="16"/>
          <w:szCs w:val="16"/>
          <w:lang w:bidi="en-US"/>
        </w:rPr>
        <w:t xml:space="preserve"> </w:t>
      </w:r>
      <w:r w:rsidRPr="00DE096C">
        <w:rPr>
          <w:rFonts w:ascii="Times New Roman" w:hAnsi="Times New Roman" w:cs="Times New Roman"/>
          <w:bCs/>
          <w:color w:val="002060"/>
          <w:sz w:val="16"/>
          <w:szCs w:val="16"/>
          <w:lang w:val="en-US" w:bidi="en-US"/>
        </w:rPr>
        <w:t>the</w:t>
      </w:r>
      <w:r w:rsidRPr="00DE096C">
        <w:rPr>
          <w:rFonts w:ascii="Times New Roman" w:hAnsi="Times New Roman" w:cs="Times New Roman"/>
          <w:bCs/>
          <w:color w:val="002060"/>
          <w:sz w:val="16"/>
          <w:szCs w:val="16"/>
          <w:lang w:bidi="en-US"/>
        </w:rPr>
        <w:t xml:space="preserve"> </w:t>
      </w:r>
      <w:r w:rsidRPr="00DE096C">
        <w:rPr>
          <w:rFonts w:ascii="Times New Roman" w:hAnsi="Times New Roman" w:cs="Times New Roman"/>
          <w:bCs/>
          <w:color w:val="002060"/>
          <w:sz w:val="16"/>
          <w:szCs w:val="16"/>
          <w:lang w:val="en-US" w:bidi="en-US"/>
        </w:rPr>
        <w:t>Great</w:t>
      </w:r>
      <w:r w:rsidRPr="00DE096C">
        <w:rPr>
          <w:rFonts w:ascii="Times New Roman" w:hAnsi="Times New Roman" w:cs="Times New Roman"/>
          <w:bCs/>
          <w:color w:val="002060"/>
          <w:sz w:val="16"/>
          <w:szCs w:val="16"/>
          <w:lang w:bidi="en-US"/>
        </w:rPr>
        <w:t xml:space="preserve"> </w:t>
      </w:r>
      <w:r w:rsidRPr="00DE096C">
        <w:rPr>
          <w:rFonts w:ascii="Times New Roman" w:hAnsi="Times New Roman" w:cs="Times New Roman"/>
          <w:bCs/>
          <w:color w:val="002060"/>
          <w:sz w:val="16"/>
          <w:szCs w:val="16"/>
          <w:lang w:val="en-US" w:bidi="en-US"/>
        </w:rPr>
        <w:t>War</w:t>
      </w:r>
      <w:r w:rsidRPr="00DE096C">
        <w:rPr>
          <w:rFonts w:ascii="Times New Roman" w:hAnsi="Times New Roman" w:cs="Times New Roman"/>
          <w:bCs/>
          <w:color w:val="002060"/>
          <w:sz w:val="16"/>
          <w:szCs w:val="16"/>
          <w:lang w:bidi="en-US"/>
        </w:rPr>
        <w:t xml:space="preserve">: </w:t>
      </w:r>
      <w:r w:rsidRPr="00DE096C">
        <w:rPr>
          <w:rFonts w:ascii="Times New Roman" w:hAnsi="Times New Roman" w:cs="Times New Roman"/>
          <w:bCs/>
          <w:color w:val="002060"/>
          <w:sz w:val="16"/>
          <w:szCs w:val="16"/>
          <w:lang w:val="en-US" w:bidi="en-US"/>
        </w:rPr>
        <w:t>A</w:t>
      </w:r>
      <w:r w:rsidRPr="00DE096C">
        <w:rPr>
          <w:rFonts w:ascii="Times New Roman" w:hAnsi="Times New Roman" w:cs="Times New Roman"/>
          <w:bCs/>
          <w:color w:val="002060"/>
          <w:sz w:val="16"/>
          <w:szCs w:val="16"/>
          <w:lang w:bidi="en-US"/>
        </w:rPr>
        <w:t xml:space="preserve"> </w:t>
      </w:r>
      <w:r w:rsidRPr="00DE096C">
        <w:rPr>
          <w:rFonts w:ascii="Times New Roman" w:hAnsi="Times New Roman" w:cs="Times New Roman"/>
          <w:bCs/>
          <w:color w:val="002060"/>
          <w:sz w:val="16"/>
          <w:szCs w:val="16"/>
          <w:lang w:val="en-US" w:bidi="en-US"/>
        </w:rPr>
        <w:t>Test</w:t>
      </w:r>
      <w:r w:rsidRPr="00DE096C">
        <w:rPr>
          <w:rFonts w:ascii="Times New Roman" w:hAnsi="Times New Roman" w:cs="Times New Roman"/>
          <w:bCs/>
          <w:color w:val="002060"/>
          <w:sz w:val="16"/>
          <w:szCs w:val="16"/>
          <w:lang w:bidi="en-US"/>
        </w:rPr>
        <w:t xml:space="preserve"> </w:t>
      </w:r>
      <w:r w:rsidRPr="00DE096C">
        <w:rPr>
          <w:rFonts w:ascii="Times New Roman" w:hAnsi="Times New Roman" w:cs="Times New Roman"/>
          <w:bCs/>
          <w:color w:val="002060"/>
          <w:sz w:val="16"/>
          <w:szCs w:val="16"/>
          <w:lang w:val="en-US" w:bidi="en-US"/>
        </w:rPr>
        <w:t>Case</w:t>
      </w:r>
      <w:r w:rsidRPr="00DE096C">
        <w:rPr>
          <w:rFonts w:ascii="Times New Roman" w:hAnsi="Times New Roman" w:cs="Times New Roman"/>
          <w:bCs/>
          <w:color w:val="002060"/>
          <w:sz w:val="16"/>
          <w:szCs w:val="16"/>
          <w:lang w:bidi="en-US"/>
        </w:rPr>
        <w:t xml:space="preserve"> </w:t>
      </w:r>
      <w:r w:rsidRPr="00DE096C">
        <w:rPr>
          <w:rFonts w:ascii="Times New Roman" w:hAnsi="Times New Roman" w:cs="Times New Roman"/>
          <w:bCs/>
          <w:color w:val="002060"/>
          <w:sz w:val="16"/>
          <w:szCs w:val="16"/>
        </w:rPr>
        <w:t xml:space="preserve">// </w:t>
      </w:r>
      <w:r w:rsidRPr="00DE096C">
        <w:rPr>
          <w:rFonts w:ascii="Times New Roman" w:hAnsi="Times New Roman" w:cs="Times New Roman"/>
          <w:bCs/>
          <w:color w:val="002060"/>
          <w:sz w:val="16"/>
          <w:szCs w:val="16"/>
          <w:lang w:val="en-US" w:bidi="en-US"/>
        </w:rPr>
        <w:t>The</w:t>
      </w:r>
      <w:r w:rsidRPr="00DE096C">
        <w:rPr>
          <w:rFonts w:ascii="Times New Roman" w:hAnsi="Times New Roman" w:cs="Times New Roman"/>
          <w:bCs/>
          <w:color w:val="002060"/>
          <w:sz w:val="16"/>
          <w:szCs w:val="16"/>
          <w:lang w:bidi="en-US"/>
        </w:rPr>
        <w:t xml:space="preserve"> </w:t>
      </w:r>
      <w:r w:rsidRPr="00DE096C">
        <w:rPr>
          <w:rFonts w:ascii="Times New Roman" w:hAnsi="Times New Roman" w:cs="Times New Roman"/>
          <w:bCs/>
          <w:color w:val="002060"/>
          <w:sz w:val="16"/>
          <w:szCs w:val="16"/>
          <w:lang w:val="en-US" w:bidi="en-US"/>
        </w:rPr>
        <w:t>Slavonic</w:t>
      </w:r>
      <w:r w:rsidRPr="00DE096C">
        <w:rPr>
          <w:rFonts w:ascii="Times New Roman" w:hAnsi="Times New Roman" w:cs="Times New Roman"/>
          <w:bCs/>
          <w:color w:val="002060"/>
          <w:sz w:val="16"/>
          <w:szCs w:val="16"/>
          <w:lang w:bidi="en-US"/>
        </w:rPr>
        <w:t xml:space="preserve"> </w:t>
      </w:r>
      <w:r w:rsidRPr="00DE096C">
        <w:rPr>
          <w:rFonts w:ascii="Times New Roman" w:hAnsi="Times New Roman" w:cs="Times New Roman"/>
          <w:bCs/>
          <w:color w:val="002060"/>
          <w:sz w:val="16"/>
          <w:szCs w:val="16"/>
          <w:lang w:val="en-US" w:bidi="en-US"/>
        </w:rPr>
        <w:t>and</w:t>
      </w:r>
      <w:r w:rsidRPr="00DE096C">
        <w:rPr>
          <w:rFonts w:ascii="Times New Roman" w:hAnsi="Times New Roman" w:cs="Times New Roman"/>
          <w:bCs/>
          <w:color w:val="002060"/>
          <w:sz w:val="16"/>
          <w:szCs w:val="16"/>
          <w:lang w:bidi="en-US"/>
        </w:rPr>
        <w:t xml:space="preserve"> </w:t>
      </w:r>
      <w:r w:rsidRPr="00DE096C">
        <w:rPr>
          <w:rFonts w:ascii="Times New Roman" w:hAnsi="Times New Roman" w:cs="Times New Roman"/>
          <w:bCs/>
          <w:color w:val="002060"/>
          <w:sz w:val="16"/>
          <w:szCs w:val="16"/>
          <w:lang w:val="en-US" w:bidi="en-US"/>
        </w:rPr>
        <w:t>East</w:t>
      </w:r>
      <w:r w:rsidRPr="00DE096C">
        <w:rPr>
          <w:rFonts w:ascii="Times New Roman" w:hAnsi="Times New Roman" w:cs="Times New Roman"/>
          <w:bCs/>
          <w:color w:val="002060"/>
          <w:sz w:val="16"/>
          <w:szCs w:val="16"/>
          <w:lang w:bidi="en-US"/>
        </w:rPr>
        <w:t xml:space="preserve"> </w:t>
      </w:r>
      <w:r w:rsidRPr="00DE096C">
        <w:rPr>
          <w:rFonts w:ascii="Times New Roman" w:hAnsi="Times New Roman" w:cs="Times New Roman"/>
          <w:bCs/>
          <w:color w:val="002060"/>
          <w:sz w:val="16"/>
          <w:szCs w:val="16"/>
          <w:lang w:val="en-US" w:bidi="en-US"/>
        </w:rPr>
        <w:t>European</w:t>
      </w:r>
      <w:r w:rsidRPr="00DE096C">
        <w:rPr>
          <w:rFonts w:ascii="Times New Roman" w:hAnsi="Times New Roman" w:cs="Times New Roman"/>
          <w:bCs/>
          <w:color w:val="002060"/>
          <w:sz w:val="16"/>
          <w:szCs w:val="16"/>
          <w:lang w:bidi="en-US"/>
        </w:rPr>
        <w:t xml:space="preserve"> </w:t>
      </w:r>
      <w:r w:rsidRPr="00DE096C">
        <w:rPr>
          <w:rFonts w:ascii="Times New Roman" w:hAnsi="Times New Roman" w:cs="Times New Roman"/>
          <w:bCs/>
          <w:color w:val="002060"/>
          <w:sz w:val="16"/>
          <w:szCs w:val="16"/>
          <w:lang w:val="en-US" w:bidi="en-US"/>
        </w:rPr>
        <w:t>Review</w:t>
      </w:r>
      <w:r w:rsidRPr="00DE096C">
        <w:rPr>
          <w:rFonts w:ascii="Times New Roman" w:hAnsi="Times New Roman" w:cs="Times New Roman"/>
          <w:bCs/>
          <w:color w:val="002060"/>
          <w:sz w:val="16"/>
          <w:szCs w:val="16"/>
          <w:lang w:bidi="en-US"/>
        </w:rPr>
        <w:t xml:space="preserve">. </w:t>
      </w:r>
      <w:r w:rsidRPr="00DE096C">
        <w:rPr>
          <w:rFonts w:ascii="Times New Roman" w:hAnsi="Times New Roman" w:cs="Times New Roman"/>
          <w:bCs/>
          <w:color w:val="002060"/>
          <w:sz w:val="16"/>
          <w:szCs w:val="16"/>
          <w:lang w:val="en-US" w:bidi="en-US"/>
        </w:rPr>
        <w:t>Vol</w:t>
      </w:r>
      <w:r w:rsidRPr="00DE096C">
        <w:rPr>
          <w:rFonts w:ascii="Times New Roman" w:hAnsi="Times New Roman" w:cs="Times New Roman"/>
          <w:bCs/>
          <w:color w:val="002060"/>
          <w:sz w:val="16"/>
          <w:szCs w:val="16"/>
          <w:lang w:bidi="en-US"/>
        </w:rPr>
        <w:t xml:space="preserve">. 60. № 4. </w:t>
      </w:r>
      <w:r w:rsidRPr="00DE096C">
        <w:rPr>
          <w:rFonts w:ascii="Times New Roman" w:hAnsi="Times New Roman" w:cs="Times New Roman"/>
          <w:bCs/>
          <w:color w:val="002060"/>
          <w:sz w:val="16"/>
          <w:szCs w:val="16"/>
          <w:lang w:val="en-US" w:bidi="en-US"/>
        </w:rPr>
        <w:t>Oct</w:t>
      </w:r>
      <w:r w:rsidRPr="00DE096C">
        <w:rPr>
          <w:rFonts w:ascii="Times New Roman" w:hAnsi="Times New Roman" w:cs="Times New Roman"/>
          <w:bCs/>
          <w:color w:val="002060"/>
          <w:sz w:val="16"/>
          <w:szCs w:val="16"/>
          <w:lang w:bidi="en-US"/>
        </w:rPr>
        <w:t xml:space="preserve">. 1982. </w:t>
      </w:r>
      <w:r w:rsidRPr="00DE096C">
        <w:rPr>
          <w:rFonts w:ascii="Times New Roman" w:hAnsi="Times New Roman" w:cs="Times New Roman"/>
          <w:bCs/>
          <w:color w:val="002060"/>
          <w:sz w:val="16"/>
          <w:szCs w:val="16"/>
        </w:rPr>
        <w:t>См. также: Сидоров А.Л. Экономическое поло</w:t>
      </w:r>
      <w:r w:rsidRPr="00DE096C">
        <w:rPr>
          <w:rFonts w:ascii="Times New Roman" w:hAnsi="Times New Roman" w:cs="Times New Roman"/>
          <w:bCs/>
          <w:color w:val="002060"/>
          <w:sz w:val="16"/>
          <w:szCs w:val="16"/>
        </w:rPr>
        <w:softHyphen/>
        <w:t>жение России. С. 261; РГВИА. Ф. 962. Оп. 2. Д. 137. Л. 158—160. Показания Смысловско</w:t>
      </w:r>
      <w:r w:rsidRPr="00DE096C">
        <w:rPr>
          <w:rFonts w:ascii="Times New Roman" w:hAnsi="Times New Roman" w:cs="Times New Roman"/>
          <w:bCs/>
          <w:color w:val="002060"/>
          <w:sz w:val="16"/>
          <w:szCs w:val="16"/>
        </w:rPr>
        <w:softHyphen/>
        <w:t>го, 18.1.1917).</w:t>
      </w:r>
    </w:p>
    <w:p w14:paraId="38712801" w14:textId="77777777" w:rsidR="001C4606" w:rsidRPr="00DE096C" w:rsidRDefault="001C4606" w:rsidP="00D45A46">
      <w:pPr>
        <w:jc w:val="both"/>
        <w:rPr>
          <w:bCs/>
          <w:color w:val="002060"/>
          <w:sz w:val="16"/>
          <w:szCs w:val="16"/>
        </w:rPr>
      </w:pPr>
      <w:r w:rsidRPr="00DE096C">
        <w:rPr>
          <w:bCs/>
          <w:color w:val="002060"/>
          <w:sz w:val="16"/>
          <w:szCs w:val="16"/>
        </w:rPr>
        <w:t>На это «предначертание» всемерно готовить боевое снаб</w:t>
      </w:r>
      <w:r w:rsidRPr="00DE096C">
        <w:rPr>
          <w:bCs/>
          <w:color w:val="002060"/>
          <w:sz w:val="16"/>
          <w:szCs w:val="16"/>
        </w:rPr>
        <w:softHyphen/>
        <w:t xml:space="preserve">жение к моменту ожидаемого — после разгрома Германии — нового военного противостояния, с бывшими союзниками, опирался Военный совет в журнале от 13 мая 1915 г. (Там же. Ф. 1. </w:t>
      </w:r>
      <w:r w:rsidRPr="00DE096C">
        <w:rPr>
          <w:bCs/>
          <w:color w:val="002060"/>
          <w:sz w:val="16"/>
          <w:szCs w:val="16"/>
          <w:lang w:val="en-US" w:bidi="en-US"/>
        </w:rPr>
        <w:t>On</w:t>
      </w:r>
      <w:r w:rsidRPr="00DE096C">
        <w:rPr>
          <w:bCs/>
          <w:color w:val="002060"/>
          <w:sz w:val="16"/>
          <w:szCs w:val="16"/>
          <w:lang w:bidi="en-US"/>
        </w:rPr>
        <w:t xml:space="preserve">. </w:t>
      </w:r>
      <w:r w:rsidRPr="00DE096C">
        <w:rPr>
          <w:bCs/>
          <w:color w:val="002060"/>
          <w:sz w:val="16"/>
          <w:szCs w:val="16"/>
        </w:rPr>
        <w:t>1. Д. 78771. Л. 13) (журнал служил материалом к заседанию Совета министров 29 мая для рассмотрения вопроса о постройке 4-го оружейного и 2-го сталелитейного казенных заводов) (23452).</w:t>
      </w:r>
    </w:p>
    <w:p w14:paraId="68188E6B" w14:textId="77777777" w:rsidR="001C4606" w:rsidRPr="00DE096C" w:rsidRDefault="001C4606" w:rsidP="00D45A46">
      <w:pPr>
        <w:jc w:val="both"/>
        <w:rPr>
          <w:bCs/>
          <w:color w:val="002060"/>
          <w:sz w:val="16"/>
          <w:szCs w:val="16"/>
        </w:rPr>
      </w:pPr>
    </w:p>
    <w:p w14:paraId="18683EFC" w14:textId="77777777" w:rsidR="00B67D7C" w:rsidRPr="00DE096C" w:rsidRDefault="00B67D7C" w:rsidP="00D45A46">
      <w:pPr>
        <w:jc w:val="both"/>
        <w:rPr>
          <w:bCs/>
          <w:i/>
          <w:color w:val="002060"/>
          <w:sz w:val="16"/>
          <w:szCs w:val="16"/>
        </w:rPr>
      </w:pPr>
      <w:r w:rsidRPr="00DE096C">
        <w:rPr>
          <w:bCs/>
          <w:i/>
          <w:color w:val="002060"/>
          <w:sz w:val="16"/>
          <w:szCs w:val="16"/>
        </w:rPr>
        <w:t>Морская авиация:</w:t>
      </w:r>
    </w:p>
    <w:p w14:paraId="7245069C" w14:textId="77777777" w:rsidR="00B67D7C" w:rsidRPr="00DE096C" w:rsidRDefault="00B67D7C" w:rsidP="00D45A46">
      <w:pPr>
        <w:jc w:val="both"/>
        <w:rPr>
          <w:bCs/>
          <w:i/>
          <w:color w:val="002060"/>
          <w:sz w:val="16"/>
          <w:szCs w:val="16"/>
        </w:rPr>
      </w:pPr>
    </w:p>
    <w:p w14:paraId="5D1B904C" w14:textId="5B3F3A30"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4 (17) декабря 1914 </w:t>
      </w:r>
      <w:r w:rsidR="003217C1" w:rsidRPr="00DE096C">
        <w:rPr>
          <w:bCs/>
          <w:color w:val="002060"/>
          <w:sz w:val="16"/>
          <w:szCs w:val="16"/>
        </w:rPr>
        <w:t xml:space="preserve">г. в секретном докладе морскому министру от </w:t>
      </w:r>
      <w:r w:rsidRPr="00DE096C">
        <w:rPr>
          <w:bCs/>
          <w:color w:val="002060"/>
          <w:sz w:val="16"/>
          <w:szCs w:val="16"/>
        </w:rPr>
        <w:t>командующий флотом сообщил, что «установка авиационного оборудования на вспомогательный крейсер «Император Николай I» уже завершена, а работы на таком же судне «Император Александр III» будут закончены в нача</w:t>
      </w:r>
      <w:r w:rsidRPr="00DE096C">
        <w:rPr>
          <w:bCs/>
          <w:color w:val="002060"/>
          <w:sz w:val="16"/>
          <w:szCs w:val="16"/>
        </w:rPr>
        <w:softHyphen/>
        <w:t>ле следующего года» И предложил отложить создание Во</w:t>
      </w:r>
      <w:r w:rsidRPr="00DE096C">
        <w:rPr>
          <w:bCs/>
          <w:color w:val="002060"/>
          <w:sz w:val="16"/>
          <w:szCs w:val="16"/>
        </w:rPr>
        <w:softHyphen/>
        <w:t>сточного района на более поздний срок, а кредиты на построй</w:t>
      </w:r>
      <w:r w:rsidRPr="00DE096C">
        <w:rPr>
          <w:bCs/>
          <w:color w:val="002060"/>
          <w:sz w:val="16"/>
          <w:szCs w:val="16"/>
        </w:rPr>
        <w:softHyphen/>
        <w:t>ку использовать на переоборудование транспорта «Петроград» (водоизмещением 9400 тонн и скоростью 19 узлов) в авиане</w:t>
      </w:r>
      <w:r w:rsidRPr="00DE096C">
        <w:rPr>
          <w:bCs/>
          <w:color w:val="002060"/>
          <w:sz w:val="16"/>
          <w:szCs w:val="16"/>
        </w:rPr>
        <w:softHyphen/>
        <w:t>сущее судно.</w:t>
      </w:r>
    </w:p>
    <w:p w14:paraId="057B96B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Начальник Морского генерального штаба, выражая мнение министра, отклонил упомянутое предложение. Черноморско</w:t>
      </w:r>
      <w:r w:rsidRPr="00DE096C">
        <w:rPr>
          <w:bCs/>
          <w:color w:val="002060"/>
          <w:sz w:val="16"/>
          <w:szCs w:val="16"/>
        </w:rPr>
        <w:softHyphen/>
        <w:t>му флоту по указанию Ставки надлежало всемерно укреплять взаимодействие с Кавказским фронтом. Строительство Сухум</w:t>
      </w:r>
      <w:r w:rsidRPr="00DE096C">
        <w:rPr>
          <w:bCs/>
          <w:color w:val="002060"/>
          <w:sz w:val="16"/>
          <w:szCs w:val="16"/>
        </w:rPr>
        <w:softHyphen/>
        <w:t>ской и Батумской авиастанций требовалось ускорить.</w:t>
      </w:r>
    </w:p>
    <w:p w14:paraId="7152B66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Заканчивая обзор боевого применения черноморской авиа</w:t>
      </w:r>
      <w:r w:rsidRPr="00DE096C">
        <w:rPr>
          <w:bCs/>
          <w:color w:val="002060"/>
          <w:sz w:val="16"/>
          <w:szCs w:val="16"/>
        </w:rPr>
        <w:softHyphen/>
        <w:t>ции, совершившей в первые военные месяцы десятки полетов для выполнения поставленных задач, заметим, что она имела ограниченное количество мало пригодных летательных аппа</w:t>
      </w:r>
      <w:r w:rsidRPr="00DE096C">
        <w:rPr>
          <w:bCs/>
          <w:color w:val="002060"/>
          <w:sz w:val="16"/>
          <w:szCs w:val="16"/>
        </w:rPr>
        <w:softHyphen/>
        <w:t>ратов. Тем не менее, черноморские авиаторы приобрели опре</w:t>
      </w:r>
      <w:r w:rsidRPr="00DE096C">
        <w:rPr>
          <w:bCs/>
          <w:color w:val="002060"/>
          <w:sz w:val="16"/>
          <w:szCs w:val="16"/>
        </w:rPr>
        <w:softHyphen/>
        <w:t>деленный боевой опыт, позволяющий сделать предваритель</w:t>
      </w:r>
      <w:r w:rsidRPr="00DE096C">
        <w:rPr>
          <w:bCs/>
          <w:color w:val="002060"/>
          <w:sz w:val="16"/>
          <w:szCs w:val="16"/>
        </w:rPr>
        <w:softHyphen/>
        <w:t>ные выводы.</w:t>
      </w:r>
    </w:p>
    <w:p w14:paraId="0D2CCD9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Во-первых, стала более осознанной необходимость создания гидроаэропланов отечественных конструкций и налаживания их серийного производства. Во-вторых, подтвердилось мнение теоретиков и практиков о целесообразности придания эскад</w:t>
      </w:r>
      <w:r w:rsidRPr="00DE096C">
        <w:rPr>
          <w:bCs/>
          <w:color w:val="002060"/>
          <w:sz w:val="16"/>
          <w:szCs w:val="16"/>
        </w:rPr>
        <w:softHyphen/>
        <w:t>рам авианесущих судов для действий в удаленных морских районах. В-третьих, приобретенный опыт указывал на потреб</w:t>
      </w:r>
      <w:r w:rsidRPr="00DE096C">
        <w:rPr>
          <w:bCs/>
          <w:color w:val="002060"/>
          <w:sz w:val="16"/>
          <w:szCs w:val="16"/>
        </w:rPr>
        <w:softHyphen/>
        <w:t>ность налаживания тактического взаимодействия авиацион</w:t>
      </w:r>
      <w:r w:rsidRPr="00DE096C">
        <w:rPr>
          <w:bCs/>
          <w:color w:val="002060"/>
          <w:sz w:val="16"/>
          <w:szCs w:val="16"/>
        </w:rPr>
        <w:softHyphen/>
        <w:t>ных отрядов с надводными кораблями и береговой обороной (11283).</w:t>
      </w:r>
    </w:p>
    <w:p w14:paraId="0AD8B011" w14:textId="77777777" w:rsidR="00B67D7C" w:rsidRPr="00DE096C" w:rsidRDefault="00B67D7C" w:rsidP="00D45A46">
      <w:pPr>
        <w:shd w:val="clear" w:color="auto" w:fill="FFFFFF"/>
        <w:jc w:val="both"/>
        <w:rPr>
          <w:bCs/>
          <w:color w:val="002060"/>
          <w:sz w:val="16"/>
          <w:szCs w:val="16"/>
        </w:rPr>
      </w:pPr>
    </w:p>
    <w:p w14:paraId="59E9ABD5" w14:textId="3854A1E5" w:rsidR="00B67D7C" w:rsidRPr="00DE096C" w:rsidRDefault="00B67D7C" w:rsidP="00D45A46">
      <w:pPr>
        <w:jc w:val="both"/>
        <w:rPr>
          <w:bCs/>
          <w:color w:val="002060"/>
          <w:sz w:val="16"/>
          <w:szCs w:val="16"/>
        </w:rPr>
      </w:pPr>
      <w:r w:rsidRPr="00DE096C">
        <w:rPr>
          <w:bCs/>
          <w:color w:val="002060"/>
          <w:sz w:val="16"/>
          <w:szCs w:val="16"/>
        </w:rPr>
        <w:t xml:space="preserve">4 </w:t>
      </w:r>
      <w:r w:rsidR="003217C1" w:rsidRPr="00DE096C">
        <w:rPr>
          <w:bCs/>
          <w:color w:val="002060"/>
          <w:sz w:val="16"/>
          <w:szCs w:val="16"/>
        </w:rPr>
        <w:t xml:space="preserve">(17) </w:t>
      </w:r>
      <w:r w:rsidRPr="00DE096C">
        <w:rPr>
          <w:bCs/>
          <w:color w:val="002060"/>
          <w:sz w:val="16"/>
          <w:szCs w:val="16"/>
        </w:rPr>
        <w:t xml:space="preserve">декабря </w:t>
      </w:r>
      <w:r w:rsidR="003217C1" w:rsidRPr="00DE096C">
        <w:rPr>
          <w:bCs/>
          <w:color w:val="002060"/>
          <w:sz w:val="16"/>
          <w:szCs w:val="16"/>
        </w:rPr>
        <w:t xml:space="preserve">1914 г. </w:t>
      </w:r>
      <w:r w:rsidRPr="00DE096C">
        <w:rPr>
          <w:bCs/>
          <w:color w:val="002060"/>
          <w:sz w:val="16"/>
          <w:szCs w:val="16"/>
        </w:rPr>
        <w:t>командующий флотом доложил морскому министру: "Установка авиационного оборудования на вспомогательный крейсер "Император Николай I" завершена, а работы на таком же судне "Император Александр I" будут закончены в начале следующего года". Предложение снять средства со строительства Сухумской и Батумской станций на переоборудование транспорта "Петроград" Морской генеральный штаб не одобрил (11930).</w:t>
      </w:r>
    </w:p>
    <w:p w14:paraId="7471DEAC" w14:textId="77777777" w:rsidR="00B67D7C" w:rsidRPr="00DE096C" w:rsidRDefault="00B67D7C" w:rsidP="00D45A46">
      <w:pPr>
        <w:jc w:val="both"/>
        <w:rPr>
          <w:bCs/>
          <w:color w:val="002060"/>
          <w:sz w:val="16"/>
          <w:szCs w:val="16"/>
        </w:rPr>
      </w:pPr>
    </w:p>
    <w:p w14:paraId="4F785396" w14:textId="77777777" w:rsidR="00CF669F" w:rsidRPr="00DE096C" w:rsidRDefault="00CF669F" w:rsidP="00D45A46">
      <w:pPr>
        <w:shd w:val="clear" w:color="auto" w:fill="FFFFFF"/>
        <w:jc w:val="both"/>
        <w:rPr>
          <w:bCs/>
          <w:i/>
          <w:color w:val="002060"/>
          <w:sz w:val="16"/>
          <w:szCs w:val="16"/>
        </w:rPr>
      </w:pPr>
      <w:r w:rsidRPr="00DE096C">
        <w:rPr>
          <w:bCs/>
          <w:i/>
          <w:color w:val="002060"/>
          <w:sz w:val="16"/>
          <w:szCs w:val="16"/>
        </w:rPr>
        <w:t>Авиация:</w:t>
      </w:r>
    </w:p>
    <w:p w14:paraId="562B78EF" w14:textId="77777777" w:rsidR="00CF669F" w:rsidRPr="00DE096C" w:rsidRDefault="00CF669F" w:rsidP="00D45A46">
      <w:pPr>
        <w:shd w:val="clear" w:color="auto" w:fill="FFFFFF"/>
        <w:jc w:val="both"/>
        <w:rPr>
          <w:bCs/>
          <w:i/>
          <w:color w:val="002060"/>
          <w:sz w:val="16"/>
          <w:szCs w:val="16"/>
        </w:rPr>
      </w:pPr>
    </w:p>
    <w:p w14:paraId="5CCB41B0" w14:textId="381BCD2A" w:rsidR="00CF669F" w:rsidRPr="00DE096C" w:rsidRDefault="00CF669F" w:rsidP="00D45A46">
      <w:pPr>
        <w:jc w:val="both"/>
        <w:rPr>
          <w:bCs/>
          <w:color w:val="002060"/>
          <w:sz w:val="16"/>
          <w:szCs w:val="16"/>
        </w:rPr>
      </w:pPr>
      <w:r w:rsidRPr="00DE096C">
        <w:rPr>
          <w:bCs/>
          <w:color w:val="002060"/>
          <w:sz w:val="16"/>
          <w:szCs w:val="16"/>
        </w:rPr>
        <w:t xml:space="preserve">5 </w:t>
      </w:r>
      <w:r w:rsidR="003217C1" w:rsidRPr="00DE096C">
        <w:rPr>
          <w:bCs/>
          <w:color w:val="002060"/>
          <w:sz w:val="16"/>
          <w:szCs w:val="16"/>
        </w:rPr>
        <w:t xml:space="preserve">(18) </w:t>
      </w:r>
      <w:r w:rsidRPr="00DE096C">
        <w:rPr>
          <w:bCs/>
          <w:color w:val="002060"/>
          <w:sz w:val="16"/>
          <w:szCs w:val="16"/>
        </w:rPr>
        <w:t>декабря в 1914 году в России появился первый авиационный генерал, им стал Михаил Васильевич Шидловский (1856-1918), организатор производства автомобилей Руссо-Балт, основатель стратегической авиации в России. Родился в Воронежской губернии в дворянской семье. Окончил Морской кадетский корпус, Александровскую военно-юридическую академию, подал в отставку и служил в Государственной канцелярии, а затем в Министерстве финансов, где стал членом Совета. Действительный статский советник. В 1980-е был избран членом, а затем Председателем правления РБВЗ. Был его основным владельцем. Под руководством завод Шидловского стал одним из ведущих машиностроительных предприятий страны, вагоны которого покупались в России и за границей. В русско-японскую войну 1905 открыл отделение по постройке обоза. На его основе в 1908 организовал автомобильное отделение, ставшее к 1913 ведущим производителем легковых и грузовых автомобилей для России. В 1915 приступил к строительству в Филях под Москвой Русско-Балтийского автомобильного завода (ныне завод им. Хруничева). Осенью 1910 открыл при РБВЗ авиационное отделение, переведенное в 1912 в Петербург. Управляющим и главным конструктором этого отделения назначил Игоря Ивановича Сикорского (1889-1972), выдающегося авиаконструктора ХХ века, создавшего здесь не имевшие аналогов за рубежом воздушные гиганты «Русский Витязь» и «Илья Муромец», первые отечественные истребители и штурмовик. В 1914 Шидловский убедил Николая II и военного Министра объединить все тяжелые самолеты в единую Эскадру воздушных кораблей. Это было первое в мире соединение стратегической авиации под командованием генерал-майора М.В.Шидловского.. В декабре 1914 года Шидловский по приказу императора призывается на действительную военную службу с присвоением звания генерал-майор и назначается начальником эскадры воздушных кораблей «Илья Муромец». Созданная специально для использования слабостей центральных держав в воздушном пространстве на восточном фронте, эскадра Шидловского стала уникальным подразделением. Впервые эскадра была использована в бою 15 февраля 1915 года, когда она поднялась с базы в Jablonna (Польша) и нанесла удар по германской военной базе в Восточной Пруссии. С этого времени и до революции ноября 1917 года, эскадра Шидловского нанесла более 400 ударов по Германии и региону Балтики (14851).</w:t>
      </w:r>
    </w:p>
    <w:p w14:paraId="7CA3E71C" w14:textId="77777777" w:rsidR="00CF669F" w:rsidRPr="00DE096C" w:rsidRDefault="00CF669F" w:rsidP="00D45A46">
      <w:pPr>
        <w:jc w:val="both"/>
        <w:rPr>
          <w:bCs/>
          <w:color w:val="002060"/>
          <w:sz w:val="16"/>
          <w:szCs w:val="16"/>
        </w:rPr>
      </w:pPr>
    </w:p>
    <w:p w14:paraId="36E605C6"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Авиация:</w:t>
      </w:r>
    </w:p>
    <w:p w14:paraId="31784649" w14:textId="77777777" w:rsidR="00B67D7C" w:rsidRPr="00DE096C" w:rsidRDefault="00B67D7C" w:rsidP="00D45A46">
      <w:pPr>
        <w:pStyle w:val="a3"/>
        <w:jc w:val="both"/>
        <w:rPr>
          <w:bCs/>
          <w:color w:val="002060"/>
          <w:spacing w:val="0"/>
          <w:kern w:val="0"/>
          <w:position w:val="0"/>
          <w:sz w:val="16"/>
          <w:szCs w:val="16"/>
        </w:rPr>
      </w:pPr>
    </w:p>
    <w:p w14:paraId="6E2D31B0" w14:textId="7479329D" w:rsidR="00B67D7C" w:rsidRPr="00DE096C" w:rsidRDefault="00B67D7C" w:rsidP="00D45A46">
      <w:pPr>
        <w:jc w:val="both"/>
        <w:rPr>
          <w:bCs/>
          <w:color w:val="002060"/>
          <w:sz w:val="16"/>
          <w:szCs w:val="16"/>
        </w:rPr>
      </w:pPr>
      <w:bookmarkStart w:id="212" w:name="_Hlk117417645"/>
      <w:r w:rsidRPr="00DE096C">
        <w:rPr>
          <w:bCs/>
          <w:color w:val="002060"/>
          <w:sz w:val="16"/>
          <w:szCs w:val="16"/>
        </w:rPr>
        <w:t xml:space="preserve">7 (20) декабря 1914 года сразу три германских аэроплана с юго-запада пошли на </w:t>
      </w:r>
      <w:r w:rsidR="003217C1" w:rsidRPr="00DE096C">
        <w:rPr>
          <w:bCs/>
          <w:color w:val="002060"/>
          <w:sz w:val="16"/>
          <w:szCs w:val="16"/>
        </w:rPr>
        <w:t>Варшаву</w:t>
      </w:r>
      <w:r w:rsidRPr="00DE096C">
        <w:rPr>
          <w:bCs/>
          <w:color w:val="002060"/>
          <w:sz w:val="16"/>
          <w:szCs w:val="16"/>
        </w:rPr>
        <w:t>. На сей раз по врагу был открыт огонь всех подготовленных батарей: двух морских, Буковского, Школышкова и Мертенгрена. Ни один из 50 снарядов не поразил цель, но самолеты были вынуждены повернуть на запад и поспешно сбросить бомбы, три из которых упали на позиции артиллеристов, не причинив вреда. Шесть бомб сброшено на жилые кварталы города: в одной из подчердачных квартир был убит мальчик и ранено две девочки. Тем не менее, враг получил достаточную острастку и более месяца не тревожил Варшаву.</w:t>
      </w:r>
    </w:p>
    <w:p w14:paraId="56D81E9A" w14:textId="77777777" w:rsidR="00B67D7C" w:rsidRPr="00DE096C" w:rsidRDefault="00B67D7C" w:rsidP="00D45A46">
      <w:pPr>
        <w:pStyle w:val="a3"/>
        <w:jc w:val="both"/>
        <w:rPr>
          <w:bCs/>
          <w:color w:val="002060"/>
          <w:spacing w:val="0"/>
          <w:kern w:val="0"/>
          <w:position w:val="0"/>
          <w:sz w:val="16"/>
          <w:szCs w:val="16"/>
        </w:rPr>
      </w:pPr>
    </w:p>
    <w:bookmarkEnd w:id="212"/>
    <w:p w14:paraId="0080BB03" w14:textId="5832E744" w:rsidR="001C4606" w:rsidRPr="00DE096C" w:rsidRDefault="001C4606" w:rsidP="00D45A46">
      <w:pPr>
        <w:pStyle w:val="a3"/>
        <w:jc w:val="both"/>
        <w:rPr>
          <w:bCs/>
          <w:color w:val="002060"/>
          <w:spacing w:val="0"/>
          <w:kern w:val="0"/>
          <w:position w:val="0"/>
          <w:sz w:val="16"/>
          <w:szCs w:val="16"/>
        </w:rPr>
      </w:pPr>
      <w:r w:rsidRPr="00DE096C">
        <w:rPr>
          <w:bCs/>
          <w:color w:val="002060"/>
          <w:spacing w:val="0"/>
          <w:kern w:val="0"/>
          <w:position w:val="0"/>
          <w:sz w:val="16"/>
          <w:szCs w:val="16"/>
        </w:rPr>
        <w:t>Самолетостроение:</w:t>
      </w:r>
    </w:p>
    <w:p w14:paraId="54E0622B" w14:textId="77777777" w:rsidR="001C4606" w:rsidRPr="00DE096C" w:rsidRDefault="001C4606" w:rsidP="00D45A46">
      <w:pPr>
        <w:pStyle w:val="a3"/>
        <w:jc w:val="both"/>
        <w:rPr>
          <w:bCs/>
          <w:color w:val="002060"/>
          <w:spacing w:val="0"/>
          <w:kern w:val="0"/>
          <w:position w:val="0"/>
          <w:sz w:val="16"/>
          <w:szCs w:val="16"/>
        </w:rPr>
      </w:pPr>
    </w:p>
    <w:p w14:paraId="3F22FBCA" w14:textId="7402E444" w:rsidR="001C4606" w:rsidRPr="00DE096C" w:rsidRDefault="001C4606" w:rsidP="00D45A46">
      <w:pPr>
        <w:jc w:val="both"/>
        <w:rPr>
          <w:bCs/>
          <w:color w:val="002060"/>
          <w:sz w:val="16"/>
          <w:szCs w:val="16"/>
        </w:rPr>
      </w:pPr>
      <w:r w:rsidRPr="00DE096C">
        <w:rPr>
          <w:bCs/>
          <w:color w:val="002060"/>
          <w:sz w:val="16"/>
          <w:szCs w:val="16"/>
        </w:rPr>
        <w:t>7 (20) декабря 1914 г., обеспокоенный неудачами М.В. Шидловский, обратился к воен</w:t>
      </w:r>
      <w:r w:rsidRPr="00DE096C">
        <w:rPr>
          <w:bCs/>
          <w:color w:val="002060"/>
          <w:sz w:val="16"/>
          <w:szCs w:val="16"/>
        </w:rPr>
        <w:softHyphen/>
        <w:t>ному министру с письмом: «К сожа</w:t>
      </w:r>
      <w:r w:rsidRPr="00DE096C">
        <w:rPr>
          <w:bCs/>
          <w:color w:val="002060"/>
          <w:sz w:val="16"/>
          <w:szCs w:val="16"/>
        </w:rPr>
        <w:softHyphen/>
        <w:t>лению ряд неблагоприятных об</w:t>
      </w:r>
      <w:r w:rsidRPr="00DE096C">
        <w:rPr>
          <w:bCs/>
          <w:color w:val="002060"/>
          <w:sz w:val="16"/>
          <w:szCs w:val="16"/>
        </w:rPr>
        <w:softHyphen/>
        <w:t>стоятельств нарушил правильное исполнение намеченной програм</w:t>
      </w:r>
      <w:r w:rsidRPr="00DE096C">
        <w:rPr>
          <w:bCs/>
          <w:color w:val="002060"/>
          <w:sz w:val="16"/>
          <w:szCs w:val="16"/>
        </w:rPr>
        <w:softHyphen/>
        <w:t>мы и до настоящего времени ни один из построенных и сданных заводом аппаратов не только ничем не проявил себя на поле битвы, но даже не прибыл на театр воен</w:t>
      </w:r>
      <w:r w:rsidRPr="00DE096C">
        <w:rPr>
          <w:bCs/>
          <w:color w:val="002060"/>
          <w:sz w:val="16"/>
          <w:szCs w:val="16"/>
        </w:rPr>
        <w:softHyphen/>
        <w:t>ных действий. При таких условиях у лиц, не состоящих достаточно близко к делу, может создаться впе</w:t>
      </w:r>
      <w:r w:rsidRPr="00DE096C">
        <w:rPr>
          <w:bCs/>
          <w:color w:val="002060"/>
          <w:sz w:val="16"/>
          <w:szCs w:val="16"/>
        </w:rPr>
        <w:softHyphen/>
        <w:t>чатление, что аппараты эти не мо</w:t>
      </w:r>
      <w:r w:rsidRPr="00DE096C">
        <w:rPr>
          <w:bCs/>
          <w:color w:val="002060"/>
          <w:sz w:val="16"/>
          <w:szCs w:val="16"/>
        </w:rPr>
        <w:softHyphen/>
        <w:t>гут оправдать возлагающихся на них надежд. И действительно необ</w:t>
      </w:r>
      <w:r w:rsidRPr="00DE096C">
        <w:rPr>
          <w:bCs/>
          <w:color w:val="002060"/>
          <w:sz w:val="16"/>
          <w:szCs w:val="16"/>
        </w:rPr>
        <w:softHyphen/>
        <w:t>ходимо принять ряд мер для того, чтобы аппараты могли быть ис</w:t>
      </w:r>
      <w:r w:rsidRPr="00DE096C">
        <w:rPr>
          <w:bCs/>
          <w:color w:val="002060"/>
          <w:sz w:val="16"/>
          <w:szCs w:val="16"/>
        </w:rPr>
        <w:softHyphen/>
        <w:t>пользованы в течение настоящей кампании.</w:t>
      </w:r>
    </w:p>
    <w:p w14:paraId="3C224B00" w14:textId="77777777" w:rsidR="001C4606" w:rsidRPr="00DE096C" w:rsidRDefault="001C4606" w:rsidP="00D45A46">
      <w:pPr>
        <w:jc w:val="both"/>
        <w:rPr>
          <w:bCs/>
          <w:color w:val="002060"/>
          <w:sz w:val="16"/>
          <w:szCs w:val="16"/>
        </w:rPr>
      </w:pPr>
      <w:r w:rsidRPr="00DE096C">
        <w:rPr>
          <w:bCs/>
          <w:color w:val="002060"/>
          <w:sz w:val="16"/>
          <w:szCs w:val="16"/>
        </w:rPr>
        <w:t>Как известно, Илья Муромец представляет собой машину отно</w:t>
      </w:r>
      <w:r w:rsidRPr="00DE096C">
        <w:rPr>
          <w:bCs/>
          <w:color w:val="002060"/>
          <w:sz w:val="16"/>
          <w:szCs w:val="16"/>
        </w:rPr>
        <w:softHyphen/>
        <w:t>сительно большой массы и боль</w:t>
      </w:r>
      <w:r w:rsidRPr="00DE096C">
        <w:rPr>
          <w:bCs/>
          <w:color w:val="002060"/>
          <w:sz w:val="16"/>
          <w:szCs w:val="16"/>
        </w:rPr>
        <w:softHyphen/>
        <w:t>шой сложности. Это уже не аэро</w:t>
      </w:r>
      <w:r w:rsidRPr="00DE096C">
        <w:rPr>
          <w:bCs/>
          <w:color w:val="002060"/>
          <w:sz w:val="16"/>
          <w:szCs w:val="16"/>
        </w:rPr>
        <w:softHyphen/>
        <w:t>план, а воздушный корабль. Вот по</w:t>
      </w:r>
      <w:r w:rsidRPr="00DE096C">
        <w:rPr>
          <w:bCs/>
          <w:color w:val="002060"/>
          <w:sz w:val="16"/>
          <w:szCs w:val="16"/>
        </w:rPr>
        <w:softHyphen/>
        <w:t>чему пользование им требует боль</w:t>
      </w:r>
      <w:r w:rsidRPr="00DE096C">
        <w:rPr>
          <w:bCs/>
          <w:color w:val="002060"/>
          <w:sz w:val="16"/>
          <w:szCs w:val="16"/>
        </w:rPr>
        <w:softHyphen/>
        <w:t>шего навыка и знаний, чем пользо</w:t>
      </w:r>
      <w:r w:rsidRPr="00DE096C">
        <w:rPr>
          <w:bCs/>
          <w:color w:val="002060"/>
          <w:sz w:val="16"/>
          <w:szCs w:val="16"/>
        </w:rPr>
        <w:softHyphen/>
        <w:t>вание обыкновенными аэроплана</w:t>
      </w:r>
      <w:r w:rsidRPr="00DE096C">
        <w:rPr>
          <w:bCs/>
          <w:color w:val="002060"/>
          <w:sz w:val="16"/>
          <w:szCs w:val="16"/>
        </w:rPr>
        <w:softHyphen/>
        <w:t>ми. Это условие не есть особен</w:t>
      </w:r>
      <w:r w:rsidRPr="00DE096C">
        <w:rPr>
          <w:bCs/>
          <w:color w:val="002060"/>
          <w:sz w:val="16"/>
          <w:szCs w:val="16"/>
        </w:rPr>
        <w:softHyphen/>
        <w:t>ность данного аппарата, а есть об</w:t>
      </w:r>
      <w:r w:rsidRPr="00DE096C">
        <w:rPr>
          <w:bCs/>
          <w:color w:val="002060"/>
          <w:sz w:val="16"/>
          <w:szCs w:val="16"/>
        </w:rPr>
        <w:softHyphen/>
        <w:t>щий принцип, который в воздухо</w:t>
      </w:r>
      <w:r w:rsidRPr="00DE096C">
        <w:rPr>
          <w:bCs/>
          <w:color w:val="002060"/>
          <w:sz w:val="16"/>
          <w:szCs w:val="16"/>
        </w:rPr>
        <w:softHyphen/>
        <w:t>плавании имеет ещё большее зна</w:t>
      </w:r>
      <w:r w:rsidRPr="00DE096C">
        <w:rPr>
          <w:bCs/>
          <w:color w:val="002060"/>
          <w:sz w:val="16"/>
          <w:szCs w:val="16"/>
        </w:rPr>
        <w:softHyphen/>
        <w:t>чение, чем в морском деле, где ценз, опытность и знания состава коман</w:t>
      </w:r>
      <w:r w:rsidRPr="00DE096C">
        <w:rPr>
          <w:bCs/>
          <w:color w:val="002060"/>
          <w:sz w:val="16"/>
          <w:szCs w:val="16"/>
        </w:rPr>
        <w:softHyphen/>
        <w:t>ды ставятся в прямую зависимость от величины тоннажа данного суд</w:t>
      </w:r>
      <w:r w:rsidRPr="00DE096C">
        <w:rPr>
          <w:bCs/>
          <w:color w:val="002060"/>
          <w:sz w:val="16"/>
          <w:szCs w:val="16"/>
        </w:rPr>
        <w:softHyphen/>
        <w:t>на. Хотя сданные военному ведом</w:t>
      </w:r>
      <w:r w:rsidRPr="00DE096C">
        <w:rPr>
          <w:bCs/>
          <w:color w:val="002060"/>
          <w:sz w:val="16"/>
          <w:szCs w:val="16"/>
        </w:rPr>
        <w:softHyphen/>
        <w:t>ству аппараты «Илья Муромец» и поступили в руки очень опытных и знающих лиц, но эти лица не имели ещё возможности изучить аппарат настолько, чтобы свободно и уверенно владеть им, так как не достаток времени и неблагоприят</w:t>
      </w:r>
      <w:r w:rsidRPr="00DE096C">
        <w:rPr>
          <w:bCs/>
          <w:color w:val="002060"/>
          <w:sz w:val="16"/>
          <w:szCs w:val="16"/>
        </w:rPr>
        <w:softHyphen/>
        <w:t>ные условия петроградской осен</w:t>
      </w:r>
      <w:r w:rsidRPr="00DE096C">
        <w:rPr>
          <w:bCs/>
          <w:color w:val="002060"/>
          <w:sz w:val="16"/>
          <w:szCs w:val="16"/>
        </w:rPr>
        <w:softHyphen/>
        <w:t>ней погоды не дали им возможнос</w:t>
      </w:r>
      <w:r w:rsidRPr="00DE096C">
        <w:rPr>
          <w:bCs/>
          <w:color w:val="002060"/>
          <w:sz w:val="16"/>
          <w:szCs w:val="16"/>
        </w:rPr>
        <w:softHyphen/>
        <w:t>ти достаточной практики, которая является основным условием успе</w:t>
      </w:r>
      <w:r w:rsidRPr="00DE096C">
        <w:rPr>
          <w:bCs/>
          <w:color w:val="002060"/>
          <w:sz w:val="16"/>
          <w:szCs w:val="16"/>
        </w:rPr>
        <w:softHyphen/>
        <w:t>ха в данном деле. Как бы хороши не были летчики и их механики, но и им необходимо пройти изве</w:t>
      </w:r>
      <w:r w:rsidRPr="00DE096C">
        <w:rPr>
          <w:bCs/>
          <w:color w:val="002060"/>
          <w:sz w:val="16"/>
          <w:szCs w:val="16"/>
        </w:rPr>
        <w:softHyphen/>
        <w:t>стный курс практических полётов на данной машине, чтобы свык</w:t>
      </w:r>
      <w:r w:rsidRPr="00DE096C">
        <w:rPr>
          <w:bCs/>
          <w:color w:val="002060"/>
          <w:sz w:val="16"/>
          <w:szCs w:val="16"/>
        </w:rPr>
        <w:softHyphen/>
        <w:t>нуться с индивидуальными особен</w:t>
      </w:r>
      <w:r w:rsidRPr="00DE096C">
        <w:rPr>
          <w:bCs/>
          <w:color w:val="002060"/>
          <w:sz w:val="16"/>
          <w:szCs w:val="16"/>
        </w:rPr>
        <w:softHyphen/>
        <w:t>ностями как двигателей, так и само</w:t>
      </w:r>
      <w:r w:rsidRPr="00DE096C">
        <w:rPr>
          <w:bCs/>
          <w:color w:val="002060"/>
          <w:sz w:val="16"/>
          <w:szCs w:val="16"/>
        </w:rPr>
        <w:softHyphen/>
        <w:t>го аэроплана» (23469).</w:t>
      </w:r>
    </w:p>
    <w:p w14:paraId="0AA417F2" w14:textId="77777777" w:rsidR="001C4606" w:rsidRPr="00DE096C" w:rsidRDefault="001C4606" w:rsidP="00D45A46">
      <w:pPr>
        <w:jc w:val="both"/>
        <w:rPr>
          <w:bCs/>
          <w:color w:val="002060"/>
          <w:sz w:val="16"/>
          <w:szCs w:val="16"/>
        </w:rPr>
      </w:pPr>
    </w:p>
    <w:p w14:paraId="3C1AE8EA" w14:textId="65930980"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Морская авиация:</w:t>
      </w:r>
    </w:p>
    <w:p w14:paraId="6F663338" w14:textId="77777777" w:rsidR="00B67D7C" w:rsidRPr="00DE096C" w:rsidRDefault="00B67D7C" w:rsidP="00D45A46">
      <w:pPr>
        <w:pStyle w:val="a3"/>
        <w:jc w:val="both"/>
        <w:rPr>
          <w:bCs/>
          <w:color w:val="002060"/>
          <w:spacing w:val="0"/>
          <w:kern w:val="0"/>
          <w:position w:val="0"/>
          <w:sz w:val="16"/>
          <w:szCs w:val="16"/>
        </w:rPr>
      </w:pPr>
    </w:p>
    <w:p w14:paraId="3EC7DFDC" w14:textId="45720D1B" w:rsidR="00B67D7C" w:rsidRPr="00DE096C" w:rsidRDefault="00B67D7C" w:rsidP="00D45A46">
      <w:pPr>
        <w:jc w:val="both"/>
        <w:rPr>
          <w:bCs/>
          <w:color w:val="002060"/>
          <w:sz w:val="16"/>
          <w:szCs w:val="16"/>
        </w:rPr>
      </w:pPr>
      <w:r w:rsidRPr="00DE096C">
        <w:rPr>
          <w:bCs/>
          <w:color w:val="002060"/>
          <w:sz w:val="16"/>
          <w:szCs w:val="16"/>
        </w:rPr>
        <w:t>7 (20) декабря 1914 года</w:t>
      </w:r>
      <w:r w:rsidR="003217C1" w:rsidRPr="00DE096C">
        <w:rPr>
          <w:bCs/>
          <w:color w:val="002060"/>
          <w:sz w:val="16"/>
          <w:szCs w:val="16"/>
        </w:rPr>
        <w:t>, п</w:t>
      </w:r>
      <w:r w:rsidRPr="00DE096C">
        <w:rPr>
          <w:bCs/>
          <w:color w:val="002060"/>
          <w:sz w:val="16"/>
          <w:szCs w:val="16"/>
        </w:rPr>
        <w:t>роизводя по указанию штаба командующего Черноморским флотом воздушную разведку к югу от Херсонеса, лейтенант В.В. Утгоф на гидроаэроплане «Кертисс» обнаружил германский легкий крейсер «Бреслау». «Полетев к берегу и приводнившись у миноносца, Утгоф послал об этом радиограмму с помощью корабельной радиостанции командующему Черноморским флотом адмиралу Эбергарду. Затем, перелетев к выходившим из Севастополя крейсерам «Кагул» и «Память Меркурия», лейтенант предупредил и их командиров о месте «Бреслау» и о возможных минных постановках с его стороны в проходах русских минных полей. Тем временем мичман Миклашевский полетел уточнить местонахождение немецкого крейсера: нашел его и сбросил легкую бомбу, упавшую недалеко от кормы корабля» (Зарецкий В.М. Воздушный флот России в Первой мировой войне: строительство и боевое применение. Дисс. … докт. ист. наук. Монино: Военно-воздушная академия им. Ю.А. Гагарина, 1996. С. 208.).</w:t>
      </w:r>
    </w:p>
    <w:p w14:paraId="14E3BFC9" w14:textId="77777777" w:rsidR="00B67D7C" w:rsidRPr="00DE096C" w:rsidRDefault="00B67D7C" w:rsidP="00D45A46">
      <w:pPr>
        <w:jc w:val="both"/>
        <w:rPr>
          <w:bCs/>
          <w:color w:val="002060"/>
          <w:sz w:val="16"/>
          <w:szCs w:val="16"/>
        </w:rPr>
      </w:pPr>
      <w:r w:rsidRPr="00DE096C">
        <w:rPr>
          <w:bCs/>
          <w:color w:val="002060"/>
          <w:sz w:val="16"/>
          <w:szCs w:val="16"/>
        </w:rPr>
        <w:t>Противодействие со стороны кораблей и авиации ЧФ вынудило неприятельский крейсер отвернуть и, используя свою высокую скорость, уйти в открытое море, так и не решив боевых задач — бомбардировки Севастополя и постановки на подходах к нему минного заграждения.</w:t>
      </w:r>
    </w:p>
    <w:p w14:paraId="004132BA" w14:textId="77777777" w:rsidR="00B67D7C" w:rsidRPr="00DE096C" w:rsidRDefault="00B67D7C" w:rsidP="00D45A46">
      <w:pPr>
        <w:jc w:val="both"/>
        <w:rPr>
          <w:bCs/>
          <w:color w:val="002060"/>
          <w:sz w:val="16"/>
          <w:szCs w:val="16"/>
        </w:rPr>
      </w:pPr>
      <w:r w:rsidRPr="00DE096C">
        <w:rPr>
          <w:bCs/>
          <w:color w:val="002060"/>
          <w:sz w:val="16"/>
          <w:szCs w:val="16"/>
        </w:rPr>
        <w:lastRenderedPageBreak/>
        <w:t>Первые удачные боевые вылеты морской авиации Черноморского флота наглядно продемонстрировали, что даже таким ограниченным нарядом авиационных сил, каким обладали черноморцы в кампании 1914 года, вполне возможно обеспечить своевременное оповещение сил своего флота о приближающемся неприятеле и защитить Севастополь от набегов быстроходных вражеских крейсеров «Гебена» и «Бреслау».</w:t>
      </w:r>
    </w:p>
    <w:p w14:paraId="6043BF98" w14:textId="77777777" w:rsidR="00B67D7C" w:rsidRPr="00DE096C" w:rsidRDefault="00B67D7C" w:rsidP="00D45A46">
      <w:pPr>
        <w:jc w:val="both"/>
        <w:rPr>
          <w:bCs/>
          <w:color w:val="002060"/>
          <w:sz w:val="16"/>
          <w:szCs w:val="16"/>
        </w:rPr>
      </w:pPr>
      <w:r w:rsidRPr="00DE096C">
        <w:rPr>
          <w:bCs/>
          <w:color w:val="002060"/>
          <w:sz w:val="16"/>
          <w:szCs w:val="16"/>
        </w:rPr>
        <w:t>Черноморский флот, в чем велика была роль его командующего, в начале Первой мировой войны выступил в качестве первопроходца в вопросах боевого применения морской авиации (См.: Герасимов В.Л. Авиация флота Черного моря: год 1914-й // Воен.-истор. журнал. 2002. № 8. С. 38.). В отличие от балтийцев, которые в кампании 1914 года произвели лишь семь боевых вылетов для решения разведывательных задач, авиация Черноморского флота уже в первые месяцы войны стала использоваться как ударная сила флота, тем самым на долгие годы предопределив одну из ведущих ролей морской авиации в составе Военно-морского флота нашей страны. Кроме того, на Черноморском флоте впервые в истории отечественного ВМФ было осуществлено совместное применение разнородных сил флота (летательных аппаратов и надводных кораблей), которое получило дальнейшее развитие в последующих кампаниях Первой мировой войны на Черноморском и Балтийском флотах.</w:t>
      </w:r>
    </w:p>
    <w:p w14:paraId="221A02A3" w14:textId="77777777" w:rsidR="00B67D7C" w:rsidRPr="00DE096C" w:rsidRDefault="00B67D7C" w:rsidP="00D45A46">
      <w:pPr>
        <w:jc w:val="both"/>
        <w:rPr>
          <w:bCs/>
          <w:color w:val="002060"/>
          <w:sz w:val="16"/>
          <w:szCs w:val="16"/>
        </w:rPr>
      </w:pPr>
      <w:r w:rsidRPr="00DE096C">
        <w:rPr>
          <w:bCs/>
          <w:color w:val="002060"/>
          <w:sz w:val="16"/>
          <w:szCs w:val="16"/>
        </w:rPr>
        <w:t>Как перед войной, так и в ходе кампании 1914 года большое внимание на Черноморском флоте с учетом географических особенностей данного морского театра военных действий уделялось корабельной авиации и авианесущим кораблям (АВК). Первоначально черноморцы предлагали оснастить гидроаэропланами крейсера «Кагул», «Память Меркурия» и «Алмаз». Положительный опыт по подъему и спуску с палубы «Кагула» двух гидропланов к сентябрю 1914 года уже имелся. Благодаря активному вмешательству адмирала А.А. Эбергарда черноморцы уже в декабре 1914 года закончили переоборудование посыльных судов «Император Александр I» и «Император Николай I» в авианесущие корабли (См.: Он же. Авианесущие корабли русского военного флота // Воен.-истор. журнал. 2004. № 2. С. 25.). В начале 1915 года оба корабля были включены в боевой состав флота и вскоре получили боевое крещение в составе отрядов боевых кораблей (ОБК) Черноморского флота. Чуть позже для выполнения наиболее важных заданий в состав корабельных групп стали включаться сразу два авианесущих корабля (11177).</w:t>
      </w:r>
    </w:p>
    <w:p w14:paraId="5AE3F5F7" w14:textId="77777777" w:rsidR="00B67D7C" w:rsidRPr="00DE096C" w:rsidRDefault="00B67D7C" w:rsidP="00D45A46">
      <w:pPr>
        <w:jc w:val="both"/>
        <w:rPr>
          <w:bCs/>
          <w:color w:val="002060"/>
          <w:sz w:val="16"/>
          <w:szCs w:val="16"/>
        </w:rPr>
      </w:pPr>
    </w:p>
    <w:p w14:paraId="765FDAE5" w14:textId="77777777" w:rsidR="00FB7DD1" w:rsidRPr="00DE096C" w:rsidRDefault="00FB7DD1" w:rsidP="00D45A46">
      <w:pPr>
        <w:jc w:val="both"/>
        <w:rPr>
          <w:bCs/>
          <w:i/>
          <w:color w:val="002060"/>
          <w:sz w:val="16"/>
          <w:szCs w:val="16"/>
        </w:rPr>
      </w:pPr>
      <w:r w:rsidRPr="00DE096C">
        <w:rPr>
          <w:bCs/>
          <w:i/>
          <w:color w:val="002060"/>
          <w:sz w:val="16"/>
          <w:szCs w:val="16"/>
        </w:rPr>
        <w:t>Армия:</w:t>
      </w:r>
    </w:p>
    <w:p w14:paraId="565D7F0C" w14:textId="77777777" w:rsidR="00FB7DD1" w:rsidRPr="00DE096C" w:rsidRDefault="00FB7DD1" w:rsidP="00D45A46">
      <w:pPr>
        <w:jc w:val="both"/>
        <w:rPr>
          <w:bCs/>
          <w:i/>
          <w:color w:val="002060"/>
          <w:sz w:val="16"/>
          <w:szCs w:val="16"/>
        </w:rPr>
      </w:pPr>
    </w:p>
    <w:p w14:paraId="5BDFD2F0" w14:textId="59B295FF" w:rsidR="00FB7DD1" w:rsidRPr="00DE096C" w:rsidRDefault="00FB7DD1" w:rsidP="00D45A46">
      <w:pPr>
        <w:jc w:val="both"/>
        <w:rPr>
          <w:bCs/>
          <w:color w:val="002060"/>
          <w:sz w:val="16"/>
          <w:szCs w:val="16"/>
        </w:rPr>
      </w:pPr>
      <w:r w:rsidRPr="00DE096C">
        <w:rPr>
          <w:bCs/>
          <w:color w:val="002060"/>
          <w:sz w:val="16"/>
          <w:szCs w:val="16"/>
        </w:rPr>
        <w:t xml:space="preserve">7 </w:t>
      </w:r>
      <w:r w:rsidR="003217C1" w:rsidRPr="00DE096C">
        <w:rPr>
          <w:bCs/>
          <w:color w:val="002060"/>
          <w:sz w:val="16"/>
          <w:szCs w:val="16"/>
        </w:rPr>
        <w:t xml:space="preserve">(20) </w:t>
      </w:r>
      <w:r w:rsidRPr="00DE096C">
        <w:rPr>
          <w:bCs/>
          <w:color w:val="002060"/>
          <w:sz w:val="16"/>
          <w:szCs w:val="16"/>
        </w:rPr>
        <w:t>декабря 1914 г. (по Сергеевскому) или в ноябре [Епанчин 1996: 411] появилась директива расходовать в день не более одного снаряда на орудие (18408).</w:t>
      </w:r>
    </w:p>
    <w:p w14:paraId="34AC2A63" w14:textId="77777777" w:rsidR="00FB7DD1" w:rsidRPr="00DE096C" w:rsidRDefault="00FB7DD1" w:rsidP="00D45A46">
      <w:pPr>
        <w:jc w:val="both"/>
        <w:rPr>
          <w:bCs/>
          <w:color w:val="002060"/>
          <w:sz w:val="16"/>
          <w:szCs w:val="16"/>
        </w:rPr>
      </w:pPr>
    </w:p>
    <w:p w14:paraId="4BE2F2B4"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 и воздухоплавание Франции:</w:t>
      </w:r>
    </w:p>
    <w:p w14:paraId="5C85BBF4" w14:textId="77777777" w:rsidR="00B67D7C" w:rsidRPr="00DE096C" w:rsidRDefault="00B67D7C" w:rsidP="00D45A46">
      <w:pPr>
        <w:shd w:val="clear" w:color="auto" w:fill="FFFFFF"/>
        <w:jc w:val="both"/>
        <w:rPr>
          <w:bCs/>
          <w:i/>
          <w:color w:val="002060"/>
          <w:sz w:val="16"/>
          <w:szCs w:val="16"/>
        </w:rPr>
      </w:pPr>
    </w:p>
    <w:p w14:paraId="1188744F" w14:textId="7E87E590" w:rsidR="00B67D7C" w:rsidRPr="00DE096C" w:rsidRDefault="00B67D7C" w:rsidP="00D45A46">
      <w:pPr>
        <w:jc w:val="both"/>
        <w:rPr>
          <w:bCs/>
          <w:color w:val="002060"/>
          <w:sz w:val="16"/>
          <w:szCs w:val="16"/>
        </w:rPr>
      </w:pPr>
      <w:r w:rsidRPr="00DE096C">
        <w:rPr>
          <w:bCs/>
          <w:color w:val="002060"/>
          <w:sz w:val="16"/>
          <w:szCs w:val="16"/>
        </w:rPr>
        <w:t>7 (20) декабря</w:t>
      </w:r>
      <w:r w:rsidR="00011C74" w:rsidRPr="00DE096C">
        <w:rPr>
          <w:bCs/>
          <w:color w:val="002060"/>
          <w:sz w:val="16"/>
          <w:szCs w:val="16"/>
        </w:rPr>
        <w:t xml:space="preserve"> 1914 г.</w:t>
      </w:r>
      <w:r w:rsidRPr="00DE096C">
        <w:rPr>
          <w:bCs/>
          <w:color w:val="002060"/>
          <w:sz w:val="16"/>
          <w:szCs w:val="16"/>
        </w:rPr>
        <w:t xml:space="preserve"> после передачи в морское ведомство</w:t>
      </w:r>
      <w:r w:rsidR="00011C74" w:rsidRPr="00DE096C">
        <w:rPr>
          <w:bCs/>
          <w:color w:val="002060"/>
          <w:sz w:val="16"/>
          <w:szCs w:val="16"/>
        </w:rPr>
        <w:t xml:space="preserve"> «Монгольфье», который 7 (20) августа 1914 года сбила собственная пехота, возобновил полеты, но </w:t>
      </w:r>
      <w:r w:rsidRPr="00DE096C">
        <w:rPr>
          <w:bCs/>
          <w:color w:val="002060"/>
          <w:sz w:val="16"/>
          <w:szCs w:val="16"/>
        </w:rPr>
        <w:t xml:space="preserve">был окончательно сбит немцами, когда шел над неприятелем на высоте 1800 м. Дирижаблю удалось приземлиться за французскими линиями. Всего он совершил 6 полетов, налетал 55 часов и сбросил 25 бомб. В актив «Контэ» можно записать лишь 2 полета: один в 1914 и другой — в 1915 году (11324). </w:t>
      </w:r>
    </w:p>
    <w:p w14:paraId="3AE2A70F" w14:textId="4FE89C57" w:rsidR="00B67D7C" w:rsidRPr="00DE096C" w:rsidRDefault="00B67D7C" w:rsidP="00D45A46">
      <w:pPr>
        <w:shd w:val="clear" w:color="auto" w:fill="FFFFFF"/>
        <w:jc w:val="both"/>
        <w:rPr>
          <w:bCs/>
          <w:i/>
          <w:color w:val="002060"/>
          <w:sz w:val="16"/>
          <w:szCs w:val="16"/>
        </w:rPr>
      </w:pPr>
    </w:p>
    <w:p w14:paraId="29C2967D" w14:textId="78575798" w:rsidR="00011C74" w:rsidRPr="00DE096C" w:rsidRDefault="00011C74" w:rsidP="00D45A46">
      <w:pPr>
        <w:shd w:val="clear" w:color="auto" w:fill="FFFFFF"/>
        <w:jc w:val="both"/>
        <w:rPr>
          <w:bCs/>
          <w:i/>
          <w:color w:val="002060"/>
          <w:sz w:val="16"/>
          <w:szCs w:val="16"/>
        </w:rPr>
      </w:pPr>
      <w:r w:rsidRPr="00DE096C">
        <w:rPr>
          <w:bCs/>
          <w:i/>
          <w:color w:val="002060"/>
          <w:sz w:val="16"/>
          <w:szCs w:val="16"/>
        </w:rPr>
        <w:t>Самолетостроение:</w:t>
      </w:r>
    </w:p>
    <w:p w14:paraId="0167391C" w14:textId="77777777" w:rsidR="00011C74" w:rsidRPr="00DE096C" w:rsidRDefault="00011C74" w:rsidP="00D45A46">
      <w:pPr>
        <w:shd w:val="clear" w:color="auto" w:fill="FFFFFF"/>
        <w:jc w:val="both"/>
        <w:rPr>
          <w:bCs/>
          <w:i/>
          <w:color w:val="002060"/>
          <w:sz w:val="16"/>
          <w:szCs w:val="16"/>
        </w:rPr>
      </w:pPr>
    </w:p>
    <w:p w14:paraId="65440DC9" w14:textId="1780DAB4" w:rsidR="00011C74" w:rsidRPr="00DE096C" w:rsidRDefault="00011C74" w:rsidP="00D45A46">
      <w:pPr>
        <w:jc w:val="both"/>
        <w:rPr>
          <w:bCs/>
          <w:color w:val="002060"/>
          <w:sz w:val="16"/>
          <w:szCs w:val="16"/>
        </w:rPr>
      </w:pPr>
      <w:r w:rsidRPr="00DE096C">
        <w:rPr>
          <w:bCs/>
          <w:color w:val="002060"/>
          <w:sz w:val="16"/>
          <w:szCs w:val="16"/>
        </w:rPr>
        <w:t>В начале декабря 1914 г. заводом Лебедева был выпущен "Лебедь"-VII - одностоечный биплан, копия английского самолета "Сопвич Таблоид" образца 1913 г., с мотором "Гном" 80 л.с. Построен в нескольких экземплярах, часть из которых поступила на фронт для войсковых испытаний. Два самолета "Лебедь"-VII получил 21-й корпусной авиаотряд (као) в декабре 1914 г. (11183).</w:t>
      </w:r>
    </w:p>
    <w:p w14:paraId="7ED1C111" w14:textId="77777777" w:rsidR="00011C74" w:rsidRPr="00DE096C" w:rsidRDefault="00011C74" w:rsidP="00D45A46">
      <w:pPr>
        <w:jc w:val="both"/>
        <w:rPr>
          <w:bCs/>
          <w:color w:val="002060"/>
          <w:sz w:val="16"/>
          <w:szCs w:val="16"/>
        </w:rPr>
      </w:pPr>
    </w:p>
    <w:p w14:paraId="100E3033" w14:textId="50EE59CD" w:rsidR="001C4606" w:rsidRPr="00DE096C" w:rsidRDefault="001C4606" w:rsidP="00D45A46">
      <w:pPr>
        <w:pStyle w:val="a3"/>
        <w:jc w:val="both"/>
        <w:rPr>
          <w:bCs/>
          <w:color w:val="002060"/>
          <w:spacing w:val="0"/>
          <w:kern w:val="0"/>
          <w:position w:val="0"/>
          <w:sz w:val="16"/>
          <w:szCs w:val="16"/>
        </w:rPr>
      </w:pPr>
      <w:r w:rsidRPr="00DE096C">
        <w:rPr>
          <w:bCs/>
          <w:color w:val="002060"/>
          <w:spacing w:val="0"/>
          <w:kern w:val="0"/>
          <w:position w:val="0"/>
          <w:sz w:val="16"/>
          <w:szCs w:val="16"/>
        </w:rPr>
        <w:t>Армия:</w:t>
      </w:r>
    </w:p>
    <w:p w14:paraId="5D50A64C" w14:textId="77777777" w:rsidR="001C4606" w:rsidRPr="00DE096C" w:rsidRDefault="001C4606" w:rsidP="00D45A46">
      <w:pPr>
        <w:pStyle w:val="a3"/>
        <w:jc w:val="both"/>
        <w:rPr>
          <w:bCs/>
          <w:color w:val="002060"/>
          <w:spacing w:val="0"/>
          <w:kern w:val="0"/>
          <w:position w:val="0"/>
          <w:sz w:val="16"/>
          <w:szCs w:val="16"/>
        </w:rPr>
      </w:pPr>
    </w:p>
    <w:p w14:paraId="7A08A2E6" w14:textId="77777777" w:rsidR="001C4606" w:rsidRPr="00DE096C" w:rsidRDefault="001C4606" w:rsidP="00D45A46">
      <w:pPr>
        <w:jc w:val="both"/>
        <w:rPr>
          <w:bCs/>
          <w:color w:val="002060"/>
          <w:sz w:val="16"/>
          <w:szCs w:val="16"/>
        </w:rPr>
      </w:pPr>
      <w:r w:rsidRPr="00DE096C">
        <w:rPr>
          <w:bCs/>
          <w:color w:val="002060"/>
          <w:sz w:val="16"/>
          <w:szCs w:val="16"/>
          <w:lang w:bidi="en-US"/>
        </w:rPr>
        <w:t>С начала-середины декабря 1914 г. плохая погода вынудила обе стороны начать окапывание. Раньше фронты войны были довольно изменчивыми (23525).</w:t>
      </w:r>
    </w:p>
    <w:p w14:paraId="385E43F9" w14:textId="77777777" w:rsidR="001C4606" w:rsidRPr="00DE096C" w:rsidRDefault="001C4606" w:rsidP="00D45A46">
      <w:pPr>
        <w:jc w:val="both"/>
        <w:rPr>
          <w:bCs/>
          <w:color w:val="002060"/>
          <w:sz w:val="16"/>
          <w:szCs w:val="16"/>
          <w:lang w:bidi="en-US"/>
        </w:rPr>
      </w:pPr>
    </w:p>
    <w:p w14:paraId="3D5999B7" w14:textId="0B5BD6EB" w:rsidR="00FB7DD1" w:rsidRPr="00DE096C" w:rsidRDefault="00FB7DD1" w:rsidP="00D45A46">
      <w:pPr>
        <w:pStyle w:val="a3"/>
        <w:jc w:val="both"/>
        <w:rPr>
          <w:bCs/>
          <w:color w:val="002060"/>
          <w:spacing w:val="0"/>
          <w:kern w:val="0"/>
          <w:position w:val="0"/>
          <w:sz w:val="16"/>
          <w:szCs w:val="16"/>
        </w:rPr>
      </w:pPr>
      <w:r w:rsidRPr="00DE096C">
        <w:rPr>
          <w:bCs/>
          <w:color w:val="002060"/>
          <w:spacing w:val="0"/>
          <w:kern w:val="0"/>
          <w:position w:val="0"/>
          <w:sz w:val="16"/>
          <w:szCs w:val="16"/>
        </w:rPr>
        <w:t>Авиация:</w:t>
      </w:r>
    </w:p>
    <w:p w14:paraId="316AD3E7" w14:textId="77777777" w:rsidR="00FB7DD1" w:rsidRPr="00DE096C" w:rsidRDefault="00FB7DD1" w:rsidP="00D45A46">
      <w:pPr>
        <w:pStyle w:val="a3"/>
        <w:jc w:val="both"/>
        <w:rPr>
          <w:bCs/>
          <w:color w:val="002060"/>
          <w:spacing w:val="0"/>
          <w:kern w:val="0"/>
          <w:position w:val="0"/>
          <w:sz w:val="16"/>
          <w:szCs w:val="16"/>
        </w:rPr>
      </w:pPr>
    </w:p>
    <w:p w14:paraId="59340A8A" w14:textId="77777777" w:rsidR="00011C74" w:rsidRPr="00DE096C" w:rsidRDefault="00011C74"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В начале декабря 1914г. был издан приказ согласно которого вся авиация делилась на тяжелую и легкую. Было сформировано Управление Эскадры Воздушных Кораблей (УЭВК), подчиненное Верховному Главнокомандующему. М.В.Шидловскому присвоили звание генерал-майора, что соответствовало его чину действительного статского советника, и назначили Начальником УЭВК. По штату Эскадре полагалось 10 боевых и 2 учебных корабля. Аэродром УЭВК находился у деревни Старая Яблонна (под Варшавой), куда в декабре 1914 г прибыли 111-й, V-й, VI-й и VII-й корабли. Два последних "Муромца" были нового типа В ("облегченного"), с острым носом (первый учебный с 2 "Сальмсонами", второй боевой). Еще в сентябре 1914 г. при формировании трех до­полнительных отрядов (V-го поручика Г.В.Алехновича, VI-го штабс-капитана Б.Н.Фирсова и VII-го штабс-капитана Г.Г.Горшкова). Для отряда "Киевский" ( VII-го по порядку) предназ­начался "Киевский" №128, находившийся в Гатчинской школе. Но школа просила оставить корабль для подготовки летчиков. Тогда Горшкову выделили новый аэроплан за №150 типа И, который получил название "Киевский" по имени отряда. Бесценные моторы "Аргус" были сняты с гатчинца и поставлены на новый корабль, который в декабре убыл по ж/д на фронт вместе с УЭВК (11277).</w:t>
      </w:r>
    </w:p>
    <w:p w14:paraId="3C8535D0" w14:textId="77777777" w:rsidR="00011C74" w:rsidRPr="00DE096C" w:rsidRDefault="00011C74" w:rsidP="00D45A46">
      <w:pPr>
        <w:pStyle w:val="a3"/>
        <w:jc w:val="both"/>
        <w:rPr>
          <w:bCs/>
          <w:i w:val="0"/>
          <w:color w:val="002060"/>
          <w:spacing w:val="0"/>
          <w:kern w:val="0"/>
          <w:position w:val="0"/>
          <w:sz w:val="16"/>
          <w:szCs w:val="16"/>
        </w:rPr>
      </w:pPr>
    </w:p>
    <w:p w14:paraId="6A501743" w14:textId="5D6E32B2" w:rsidR="00FB7DD1" w:rsidRPr="00DE096C" w:rsidRDefault="00FB7DD1" w:rsidP="00D45A46">
      <w:pPr>
        <w:jc w:val="both"/>
        <w:rPr>
          <w:bCs/>
          <w:color w:val="002060"/>
          <w:sz w:val="16"/>
          <w:szCs w:val="16"/>
        </w:rPr>
      </w:pPr>
      <w:r w:rsidRPr="00DE096C">
        <w:rPr>
          <w:bCs/>
          <w:color w:val="002060"/>
          <w:sz w:val="16"/>
          <w:szCs w:val="16"/>
        </w:rPr>
        <w:t xml:space="preserve">В начале декабря 1914 г. был издан приказ согласно которого вся авиация делилась на тяжелую и легкую. Было сформировано Управление Эскадры Воздушных Кораблей (УЭВК), подчиненное Верховному Главнокомандующему. М.В.Шидловскому присвоили звание генерал-майора, что соответствовало его чину действительного статского советника, и назначили Начальником УЭВК. По штату Эскадре полагалось 10 боевых и 2 учебных корабля. Аэродром УЭВК находился у деревни Старая Яблонна (под Варшавой), куда в декабре 1914 г прибыли Ш-й, V-й, VI-й и VI 1-й корабли. Два последних "Муромца" были нового типа В ("облегченного"), с острым носом (первый учебный с 2 "Сальмсонами", второй боевой). Еше в сентябре 1914 г. при формировании трех дополнительных отрядов (V-ro поручика Г.В.Алехновича, VI-го штабс-капитана Б.Н.Фирсова и VII-го штабс-капитана Г.Г.Горшкова). Для отряда "Киевский" (Vll-ro по порядку) предназначался "Киевский" №128, находившийся в Гатчинской школе. Но школа просила оставить корабль для подготовки летчиков. Тогда Горшкову выделили новый аэроплан за №150 типа В, который получил название "Киевский" по имени отряда. Бесценные моторы "Аргус" были сняты с гатчинца и поставлены на новый корабль, который в декабре убыл по ж/д на фронт вместе с УЭВК (12038). </w:t>
      </w:r>
    </w:p>
    <w:p w14:paraId="1D995715" w14:textId="77777777" w:rsidR="00FB7DD1" w:rsidRPr="00DE096C" w:rsidRDefault="00FB7DD1" w:rsidP="00D45A46">
      <w:pPr>
        <w:jc w:val="both"/>
        <w:rPr>
          <w:bCs/>
          <w:color w:val="002060"/>
          <w:sz w:val="16"/>
          <w:szCs w:val="16"/>
        </w:rPr>
      </w:pPr>
    </w:p>
    <w:p w14:paraId="6DF78B9A" w14:textId="39EA7753" w:rsidR="00C7639D" w:rsidRPr="00DE096C" w:rsidRDefault="00C7639D" w:rsidP="00C7639D">
      <w:pPr>
        <w:jc w:val="both"/>
        <w:rPr>
          <w:bCs/>
          <w:i/>
          <w:color w:val="002060"/>
          <w:sz w:val="16"/>
          <w:szCs w:val="16"/>
        </w:rPr>
      </w:pPr>
      <w:r>
        <w:rPr>
          <w:bCs/>
          <w:i/>
          <w:color w:val="002060"/>
          <w:sz w:val="16"/>
          <w:szCs w:val="16"/>
        </w:rPr>
        <w:t>Другие оборонные отрасли</w:t>
      </w:r>
      <w:r w:rsidRPr="00DE096C">
        <w:rPr>
          <w:bCs/>
          <w:i/>
          <w:color w:val="002060"/>
          <w:sz w:val="16"/>
          <w:szCs w:val="16"/>
        </w:rPr>
        <w:t>:</w:t>
      </w:r>
    </w:p>
    <w:p w14:paraId="4CB37613" w14:textId="77777777" w:rsidR="00C7639D" w:rsidRPr="00DE096C" w:rsidRDefault="00C7639D" w:rsidP="00C7639D">
      <w:pPr>
        <w:jc w:val="both"/>
        <w:rPr>
          <w:bCs/>
          <w:i/>
          <w:color w:val="002060"/>
          <w:sz w:val="16"/>
          <w:szCs w:val="16"/>
        </w:rPr>
      </w:pPr>
    </w:p>
    <w:p w14:paraId="43DE1AB6" w14:textId="77777777" w:rsidR="00C7639D" w:rsidRPr="00B52707" w:rsidRDefault="00C7639D" w:rsidP="00C7639D">
      <w:pPr>
        <w:jc w:val="both"/>
        <w:rPr>
          <w:color w:val="0070C0"/>
          <w:sz w:val="16"/>
          <w:szCs w:val="16"/>
        </w:rPr>
      </w:pPr>
      <w:r w:rsidRPr="00B52707">
        <w:rPr>
          <w:color w:val="0070C0"/>
          <w:sz w:val="16"/>
          <w:szCs w:val="16"/>
        </w:rPr>
        <w:t>8 (21) декабря 1914 года ГУГШ сообщило ГВТУ, что, по его мнению, для удовлетворения предстоящей потребности армии в самодвижущихся повозках необходимо, сверх сде</w:t>
      </w:r>
      <w:r w:rsidRPr="00B52707">
        <w:rPr>
          <w:color w:val="0070C0"/>
          <w:sz w:val="16"/>
          <w:szCs w:val="16"/>
        </w:rPr>
        <w:softHyphen/>
        <w:t>ланных уже заказов, заготовить: 1) 400 грузовых автомо</w:t>
      </w:r>
      <w:r w:rsidRPr="00B52707">
        <w:rPr>
          <w:color w:val="0070C0"/>
          <w:sz w:val="16"/>
          <w:szCs w:val="16"/>
        </w:rPr>
        <w:softHyphen/>
        <w:t>билей для Кавказской, 13-й, 14-й и 15-й авторот, которые в то время решено было спешно сформировать и отправить на театр военных действий;</w:t>
      </w:r>
    </w:p>
    <w:p w14:paraId="3AB37E2D" w14:textId="77777777" w:rsidR="00C7639D" w:rsidRPr="00B52707" w:rsidRDefault="00C7639D" w:rsidP="00C7639D">
      <w:pPr>
        <w:jc w:val="both"/>
        <w:rPr>
          <w:color w:val="0070C0"/>
          <w:sz w:val="16"/>
          <w:szCs w:val="16"/>
        </w:rPr>
      </w:pPr>
      <w:r w:rsidRPr="00B52707">
        <w:rPr>
          <w:color w:val="0070C0"/>
          <w:sz w:val="16"/>
          <w:szCs w:val="16"/>
        </w:rPr>
        <w:t>800 грузовых автомобилей для 16 авторот на предмет пополнения убыли, исчисляемой в 5О°/о и происходящей вследствие сильного изнашивания машин;</w:t>
      </w:r>
    </w:p>
    <w:p w14:paraId="12FC57D2" w14:textId="77777777" w:rsidR="00C7639D" w:rsidRPr="00B52707" w:rsidRDefault="00C7639D" w:rsidP="00C7639D">
      <w:pPr>
        <w:jc w:val="both"/>
        <w:rPr>
          <w:color w:val="0070C0"/>
          <w:sz w:val="16"/>
          <w:szCs w:val="16"/>
        </w:rPr>
      </w:pPr>
      <w:r w:rsidRPr="00B52707">
        <w:rPr>
          <w:color w:val="0070C0"/>
          <w:sz w:val="16"/>
          <w:szCs w:val="16"/>
        </w:rPr>
        <w:t>400 грузовых автомобилей (в том числе до 20 трак</w:t>
      </w:r>
      <w:r w:rsidRPr="00B52707">
        <w:rPr>
          <w:color w:val="0070C0"/>
          <w:sz w:val="16"/>
          <w:szCs w:val="16"/>
        </w:rPr>
        <w:softHyphen/>
        <w:t>торов) для артиллерийских формирований;</w:t>
      </w:r>
    </w:p>
    <w:p w14:paraId="75C1D419" w14:textId="77777777" w:rsidR="00C7639D" w:rsidRPr="00B52707" w:rsidRDefault="00C7639D" w:rsidP="00C7639D">
      <w:pPr>
        <w:jc w:val="both"/>
        <w:rPr>
          <w:color w:val="0070C0"/>
          <w:sz w:val="16"/>
          <w:szCs w:val="16"/>
        </w:rPr>
      </w:pPr>
      <w:r w:rsidRPr="00B52707">
        <w:rPr>
          <w:color w:val="0070C0"/>
          <w:sz w:val="16"/>
          <w:szCs w:val="16"/>
        </w:rPr>
        <w:t>500 грузовых автомобилей для снабжения 5 новых авторот, которые, по мнению Главного Управления Гене</w:t>
      </w:r>
      <w:r w:rsidRPr="00B52707">
        <w:rPr>
          <w:color w:val="0070C0"/>
          <w:sz w:val="16"/>
          <w:szCs w:val="16"/>
        </w:rPr>
        <w:softHyphen/>
        <w:t>рального Штаба, желательно сформировать в виду заявле</w:t>
      </w:r>
      <w:r w:rsidRPr="00B52707">
        <w:rPr>
          <w:color w:val="0070C0"/>
          <w:sz w:val="16"/>
          <w:szCs w:val="16"/>
        </w:rPr>
        <w:softHyphen/>
        <w:t>ния артиллерийского ведомства о необходимости облегчить подвоз снарядов и патронов в районе между конеч</w:t>
      </w:r>
      <w:r w:rsidRPr="00B52707">
        <w:rPr>
          <w:color w:val="0070C0"/>
          <w:sz w:val="16"/>
          <w:szCs w:val="16"/>
        </w:rPr>
        <w:softHyphen/>
        <w:t>ными пунктами остановок железнодорожных поездов и распо</w:t>
      </w:r>
      <w:r w:rsidRPr="00B52707">
        <w:rPr>
          <w:color w:val="0070C0"/>
          <w:sz w:val="16"/>
          <w:szCs w:val="16"/>
        </w:rPr>
        <w:softHyphen/>
        <w:t>ложением войсковых частей на позициях;</w:t>
      </w:r>
    </w:p>
    <w:p w14:paraId="27F2C7DB" w14:textId="77777777" w:rsidR="00C7639D" w:rsidRPr="00B52707" w:rsidRDefault="00C7639D" w:rsidP="00C7639D">
      <w:pPr>
        <w:jc w:val="both"/>
        <w:rPr>
          <w:color w:val="0070C0"/>
          <w:sz w:val="16"/>
          <w:szCs w:val="16"/>
        </w:rPr>
      </w:pPr>
      <w:r w:rsidRPr="00B52707">
        <w:rPr>
          <w:color w:val="0070C0"/>
          <w:sz w:val="16"/>
          <w:szCs w:val="16"/>
        </w:rPr>
        <w:t>о) 200 грузовых автомобилей для удовлетворения тре</w:t>
      </w:r>
      <w:r w:rsidRPr="00B52707">
        <w:rPr>
          <w:color w:val="0070C0"/>
          <w:sz w:val="16"/>
          <w:szCs w:val="16"/>
        </w:rPr>
        <w:softHyphen/>
        <w:t>бований со стороны авиационных и воздухоплавательных войсковых частей, крепостей, интенданства, санитарных ча</w:t>
      </w:r>
      <w:r w:rsidRPr="00B52707">
        <w:rPr>
          <w:color w:val="0070C0"/>
          <w:sz w:val="16"/>
          <w:szCs w:val="16"/>
        </w:rPr>
        <w:softHyphen/>
        <w:t>стей и т. п.;</w:t>
      </w:r>
    </w:p>
    <w:p w14:paraId="27E9F14E" w14:textId="77777777" w:rsidR="00C7639D" w:rsidRPr="00B52707" w:rsidRDefault="00C7639D" w:rsidP="00C7639D">
      <w:pPr>
        <w:jc w:val="both"/>
        <w:rPr>
          <w:color w:val="0070C0"/>
          <w:sz w:val="16"/>
          <w:szCs w:val="16"/>
        </w:rPr>
      </w:pPr>
      <w:r w:rsidRPr="00B52707">
        <w:rPr>
          <w:color w:val="0070C0"/>
          <w:sz w:val="16"/>
          <w:szCs w:val="16"/>
        </w:rPr>
        <w:t>б) 400—500 легковых автомобилей для штабов, а также для броневых, мотоциклетных и артиллерийских форми</w:t>
      </w:r>
      <w:r w:rsidRPr="00B52707">
        <w:rPr>
          <w:color w:val="0070C0"/>
          <w:sz w:val="16"/>
          <w:szCs w:val="16"/>
        </w:rPr>
        <w:softHyphen/>
        <w:t>рований.</w:t>
      </w:r>
    </w:p>
    <w:p w14:paraId="54DB0185" w14:textId="77777777" w:rsidR="00C7639D" w:rsidRPr="00B52707" w:rsidRDefault="00C7639D" w:rsidP="00C7639D">
      <w:pPr>
        <w:jc w:val="both"/>
        <w:rPr>
          <w:color w:val="0070C0"/>
          <w:sz w:val="16"/>
          <w:szCs w:val="16"/>
        </w:rPr>
      </w:pPr>
      <w:r w:rsidRPr="00B52707">
        <w:rPr>
          <w:color w:val="0070C0"/>
          <w:sz w:val="16"/>
          <w:szCs w:val="16"/>
        </w:rPr>
        <w:t>Полагая, таким образом, необходимым заготовить около 2.500 грузовых и 400 — 500 легковых автомобилей, ГУГШ, кроме того, указало на необходимость приобрести к весне 1915 года, сверх заказанных уже 90 бронированных авто</w:t>
      </w:r>
      <w:r w:rsidRPr="00B52707">
        <w:rPr>
          <w:color w:val="0070C0"/>
          <w:sz w:val="16"/>
          <w:szCs w:val="16"/>
        </w:rPr>
        <w:softHyphen/>
        <w:t>мобилей, еще 50 — 60 таких же машин.</w:t>
      </w:r>
    </w:p>
    <w:p w14:paraId="70D63064" w14:textId="77777777" w:rsidR="00C7639D" w:rsidRPr="00B52707" w:rsidRDefault="00C7639D" w:rsidP="00C7639D">
      <w:pPr>
        <w:jc w:val="both"/>
        <w:rPr>
          <w:color w:val="0070C0"/>
          <w:sz w:val="16"/>
          <w:szCs w:val="16"/>
        </w:rPr>
      </w:pPr>
      <w:r w:rsidRPr="00B52707">
        <w:rPr>
          <w:color w:val="0070C0"/>
          <w:sz w:val="16"/>
          <w:szCs w:val="16"/>
        </w:rPr>
        <w:t>Потребность действующей армии в тракторах к этому времени определилась в количестве 150 машин гусеничного, автомобильного и дорожного типов (сношение Ставки от зо ноября 1914 г. № 213). Относительно типов тракторов Ставка дала следующие указания: «Наиболее желательными признаются в армии тракторы автомобильного типа, однако, при условии возможно меньшего давления на единицу площади обода колеса и, во всяком случае, с такой нагруз</w:t>
      </w:r>
      <w:r w:rsidRPr="00B52707">
        <w:rPr>
          <w:color w:val="0070C0"/>
          <w:sz w:val="16"/>
          <w:szCs w:val="16"/>
        </w:rPr>
        <w:softHyphen/>
        <w:t>кой на колеса, которую выдерживают мосты на наших грун</w:t>
      </w:r>
      <w:r w:rsidRPr="00B52707">
        <w:rPr>
          <w:color w:val="0070C0"/>
          <w:sz w:val="16"/>
          <w:szCs w:val="16"/>
        </w:rPr>
        <w:softHyphen/>
        <w:t>товых дорогах (250—300 пудов).</w:t>
      </w:r>
    </w:p>
    <w:p w14:paraId="640B6DCD" w14:textId="77777777" w:rsidR="00C7639D" w:rsidRPr="00B52707" w:rsidRDefault="00C7639D" w:rsidP="00C7639D">
      <w:pPr>
        <w:jc w:val="both"/>
        <w:rPr>
          <w:color w:val="0070C0"/>
          <w:sz w:val="16"/>
          <w:szCs w:val="16"/>
        </w:rPr>
      </w:pPr>
      <w:r w:rsidRPr="00B52707">
        <w:rPr>
          <w:color w:val="0070C0"/>
          <w:sz w:val="16"/>
          <w:szCs w:val="16"/>
        </w:rPr>
        <w:t>Такие тракторы признаются желательными везде, где есть возможность движения по дорогам, хотя бы грунтовым. Вместе с тем в армии признается необходимым иметь при таких тракторах прицепные повозки с самостоятельным управлением.</w:t>
      </w:r>
    </w:p>
    <w:p w14:paraId="25804CE2" w14:textId="77777777" w:rsidR="00C7639D" w:rsidRPr="00B52707" w:rsidRDefault="00C7639D" w:rsidP="00C7639D">
      <w:pPr>
        <w:jc w:val="both"/>
        <w:rPr>
          <w:color w:val="0070C0"/>
          <w:sz w:val="16"/>
          <w:szCs w:val="16"/>
        </w:rPr>
      </w:pPr>
      <w:r w:rsidRPr="00B52707">
        <w:rPr>
          <w:color w:val="0070C0"/>
          <w:sz w:val="16"/>
          <w:szCs w:val="16"/>
        </w:rPr>
        <w:t>Тракторы гусеничного типа требуются в меньшем ко</w:t>
      </w:r>
      <w:r w:rsidRPr="00B52707">
        <w:rPr>
          <w:color w:val="0070C0"/>
          <w:sz w:val="16"/>
          <w:szCs w:val="16"/>
        </w:rPr>
        <w:softHyphen/>
        <w:t>личестве. Они наиболее применимы при перемещении тя</w:t>
      </w:r>
      <w:r w:rsidRPr="00B52707">
        <w:rPr>
          <w:color w:val="0070C0"/>
          <w:sz w:val="16"/>
          <w:szCs w:val="16"/>
        </w:rPr>
        <w:softHyphen/>
        <w:t>желых орудий, что необходимо, главным образом, при осаде крепостей. Прочие тракторы имеют крайне ограниченное применение и для выполнения боевых задач непригодны» (24923).</w:t>
      </w:r>
    </w:p>
    <w:p w14:paraId="461233CC" w14:textId="77777777" w:rsidR="00C7639D" w:rsidRPr="00B52707" w:rsidRDefault="00C7639D" w:rsidP="00C7639D">
      <w:pPr>
        <w:jc w:val="both"/>
        <w:rPr>
          <w:color w:val="0070C0"/>
          <w:sz w:val="16"/>
          <w:szCs w:val="16"/>
        </w:rPr>
      </w:pPr>
    </w:p>
    <w:p w14:paraId="1EAE9021" w14:textId="77777777" w:rsidR="00B67D7C" w:rsidRPr="00DE096C" w:rsidRDefault="00B67D7C" w:rsidP="00D45A46">
      <w:pPr>
        <w:jc w:val="both"/>
        <w:rPr>
          <w:bCs/>
          <w:i/>
          <w:color w:val="002060"/>
          <w:sz w:val="16"/>
          <w:szCs w:val="16"/>
        </w:rPr>
      </w:pPr>
      <w:r w:rsidRPr="00DE096C">
        <w:rPr>
          <w:bCs/>
          <w:i/>
          <w:color w:val="002060"/>
          <w:sz w:val="16"/>
          <w:szCs w:val="16"/>
        </w:rPr>
        <w:t>Авиация:</w:t>
      </w:r>
    </w:p>
    <w:p w14:paraId="29DC111D" w14:textId="77777777" w:rsidR="00B67D7C" w:rsidRPr="00DE096C" w:rsidRDefault="00B67D7C" w:rsidP="00D45A46">
      <w:pPr>
        <w:jc w:val="both"/>
        <w:rPr>
          <w:bCs/>
          <w:i/>
          <w:color w:val="002060"/>
          <w:sz w:val="16"/>
          <w:szCs w:val="16"/>
        </w:rPr>
      </w:pPr>
    </w:p>
    <w:p w14:paraId="7A89582E" w14:textId="19FD2FAF" w:rsidR="00FB7DD1" w:rsidRPr="00DE096C" w:rsidRDefault="00FB7DD1" w:rsidP="00D45A46">
      <w:pPr>
        <w:jc w:val="both"/>
        <w:rPr>
          <w:bCs/>
          <w:color w:val="002060"/>
          <w:sz w:val="16"/>
          <w:szCs w:val="16"/>
        </w:rPr>
      </w:pPr>
      <w:r w:rsidRPr="00DE096C">
        <w:rPr>
          <w:bCs/>
          <w:color w:val="002060"/>
          <w:sz w:val="16"/>
          <w:szCs w:val="16"/>
        </w:rPr>
        <w:t xml:space="preserve">8 </w:t>
      </w:r>
      <w:r w:rsidR="00011C74" w:rsidRPr="00DE096C">
        <w:rPr>
          <w:bCs/>
          <w:color w:val="002060"/>
          <w:sz w:val="16"/>
          <w:szCs w:val="16"/>
        </w:rPr>
        <w:t xml:space="preserve">(21) </w:t>
      </w:r>
      <w:r w:rsidRPr="00DE096C">
        <w:rPr>
          <w:bCs/>
          <w:color w:val="002060"/>
          <w:sz w:val="16"/>
          <w:szCs w:val="16"/>
        </w:rPr>
        <w:t>декабря в 1914 году была издана «Инструкция по воздухоплаванию в районе 6-й армии», в соответствии с которой впервые была организована воздушная обороны крупного центра страны – города Петрограда. С 2004 года (90-летие) отмечается как День Войск противовоздушной обороны России (14854).</w:t>
      </w:r>
    </w:p>
    <w:p w14:paraId="0208C3F7" w14:textId="77777777" w:rsidR="00FB7DD1" w:rsidRPr="00DE096C" w:rsidRDefault="00FB7DD1" w:rsidP="00D45A46">
      <w:pPr>
        <w:jc w:val="both"/>
        <w:rPr>
          <w:bCs/>
          <w:color w:val="002060"/>
          <w:sz w:val="16"/>
          <w:szCs w:val="16"/>
        </w:rPr>
      </w:pPr>
    </w:p>
    <w:p w14:paraId="255299E6" w14:textId="6E7D9988" w:rsidR="00FB7DD1" w:rsidRPr="00DE096C" w:rsidRDefault="00FB7DD1" w:rsidP="00D45A46">
      <w:pPr>
        <w:pStyle w:val="ae"/>
        <w:spacing w:before="0" w:beforeAutospacing="0" w:after="0" w:afterAutospacing="0"/>
        <w:jc w:val="both"/>
        <w:rPr>
          <w:bCs/>
          <w:color w:val="002060"/>
          <w:sz w:val="16"/>
          <w:szCs w:val="16"/>
        </w:rPr>
      </w:pPr>
      <w:r w:rsidRPr="00DE096C">
        <w:rPr>
          <w:bCs/>
          <w:color w:val="002060"/>
          <w:sz w:val="16"/>
          <w:szCs w:val="16"/>
        </w:rPr>
        <w:t xml:space="preserve">8 </w:t>
      </w:r>
      <w:r w:rsidR="00011C74" w:rsidRPr="00DE096C">
        <w:rPr>
          <w:bCs/>
          <w:color w:val="002060"/>
          <w:sz w:val="16"/>
          <w:szCs w:val="16"/>
        </w:rPr>
        <w:t xml:space="preserve">(21) </w:t>
      </w:r>
      <w:r w:rsidRPr="00DE096C">
        <w:rPr>
          <w:bCs/>
          <w:color w:val="002060"/>
          <w:sz w:val="16"/>
          <w:szCs w:val="16"/>
        </w:rPr>
        <w:t>декабря 1914 г. «Инструкция по воздухоплаванию» в районе 6-й армии вступила в силу. Воздушная оборона столицы России начала функционировать. Под руководством ее начальника генерал-майора Г. В. Бурмана объединялись действия «летчиков и войсковых частей, назначенных для защиты Петрограда и его района от воздушного нападения противника».</w:t>
      </w:r>
    </w:p>
    <w:p w14:paraId="6CE6C4C0" w14:textId="77777777" w:rsidR="00FB7DD1" w:rsidRPr="00DE096C" w:rsidRDefault="00FB7DD1" w:rsidP="00D45A46">
      <w:pPr>
        <w:pStyle w:val="ae"/>
        <w:spacing w:before="0" w:beforeAutospacing="0" w:after="0" w:afterAutospacing="0"/>
        <w:jc w:val="both"/>
        <w:rPr>
          <w:bCs/>
          <w:color w:val="002060"/>
          <w:sz w:val="16"/>
          <w:szCs w:val="16"/>
        </w:rPr>
      </w:pPr>
      <w:r w:rsidRPr="00DE096C">
        <w:rPr>
          <w:bCs/>
          <w:color w:val="002060"/>
          <w:sz w:val="16"/>
          <w:szCs w:val="16"/>
        </w:rPr>
        <w:t>Достаточно быстро Ф.Ф. Лендером была создана противоаэропланная пушка на основе трехдюймовой полевой пушки и была разработана система построения ПВО. Артиллерийские орудия, приспособленные для ведения зенитного огня, были установлены на позициях вокруг Петрограда и вблизи Царского Села. Была развернута сеть наблюдательных постов ВНОС (воздушное наблюдение, оповещение, связь). В Гатчинской авиационной школе отобрали подготовленные к борьбе с самолетами в воздухе экипажи (15736).</w:t>
      </w:r>
    </w:p>
    <w:p w14:paraId="6C16F36E" w14:textId="77777777" w:rsidR="00FB7DD1" w:rsidRPr="00DE096C" w:rsidRDefault="00FB7DD1" w:rsidP="00D45A46">
      <w:pPr>
        <w:pStyle w:val="ae"/>
        <w:spacing w:before="0" w:beforeAutospacing="0" w:after="0" w:afterAutospacing="0"/>
        <w:jc w:val="both"/>
        <w:rPr>
          <w:bCs/>
          <w:color w:val="002060"/>
          <w:sz w:val="16"/>
          <w:szCs w:val="16"/>
        </w:rPr>
      </w:pPr>
    </w:p>
    <w:p w14:paraId="47E4C430" w14:textId="77777777" w:rsidR="00011C74" w:rsidRPr="00DE096C" w:rsidRDefault="00011C74" w:rsidP="00D45A46">
      <w:pPr>
        <w:jc w:val="both"/>
        <w:rPr>
          <w:bCs/>
          <w:color w:val="002060"/>
          <w:sz w:val="16"/>
          <w:szCs w:val="16"/>
        </w:rPr>
      </w:pPr>
      <w:r w:rsidRPr="00DE096C">
        <w:rPr>
          <w:bCs/>
          <w:color w:val="002060"/>
          <w:sz w:val="16"/>
          <w:szCs w:val="16"/>
        </w:rPr>
        <w:t>8 (21) декабря 1914 того же года воздушная оборона Петрограда переводится на штатную основу с выделением должного количества сил и средств (начальник обороны - генерал-майор Г.В. Бурман) (11163).</w:t>
      </w:r>
    </w:p>
    <w:p w14:paraId="2E474C77" w14:textId="77777777" w:rsidR="00011C74" w:rsidRPr="00DE096C" w:rsidRDefault="00011C74" w:rsidP="00D45A46">
      <w:pPr>
        <w:jc w:val="both"/>
        <w:rPr>
          <w:bCs/>
          <w:color w:val="002060"/>
          <w:sz w:val="16"/>
          <w:szCs w:val="16"/>
        </w:rPr>
      </w:pPr>
    </w:p>
    <w:p w14:paraId="72FE266D" w14:textId="77777777" w:rsidR="00011C74" w:rsidRPr="00DE096C" w:rsidRDefault="00011C74" w:rsidP="00D45A46">
      <w:pPr>
        <w:jc w:val="both"/>
        <w:rPr>
          <w:bCs/>
          <w:color w:val="002060"/>
          <w:sz w:val="16"/>
          <w:szCs w:val="16"/>
        </w:rPr>
      </w:pPr>
      <w:r w:rsidRPr="00DE096C">
        <w:rPr>
          <w:bCs/>
          <w:color w:val="002060"/>
          <w:sz w:val="16"/>
          <w:szCs w:val="16"/>
        </w:rPr>
        <w:t>8 (21) декабря 1914 г."Инструкция по воздухоплаванию в районе 6-й армии" вступила в силу. Воздушная оборона столицы России начала функционировать. Под руководством ее начальника генерал-майора Бурмана Г.В. объединялись действия "летчиков и войсковых частей, назначенных для защиты Петрограда и его района от воздушного нападения противника" (11164).</w:t>
      </w:r>
    </w:p>
    <w:p w14:paraId="1B151B43" w14:textId="77777777" w:rsidR="00011C74" w:rsidRPr="00DE096C" w:rsidRDefault="00011C74" w:rsidP="00D45A46">
      <w:pPr>
        <w:jc w:val="both"/>
        <w:rPr>
          <w:bCs/>
          <w:color w:val="002060"/>
          <w:sz w:val="16"/>
          <w:szCs w:val="16"/>
        </w:rPr>
      </w:pPr>
    </w:p>
    <w:p w14:paraId="13C38FF7" w14:textId="77777777" w:rsidR="00011C74" w:rsidRPr="00DE096C" w:rsidRDefault="00011C74" w:rsidP="00D45A46">
      <w:pPr>
        <w:jc w:val="both"/>
        <w:rPr>
          <w:bCs/>
          <w:color w:val="002060"/>
          <w:sz w:val="16"/>
          <w:szCs w:val="16"/>
        </w:rPr>
      </w:pPr>
      <w:r w:rsidRPr="00DE096C">
        <w:rPr>
          <w:bCs/>
          <w:color w:val="002060"/>
          <w:sz w:val="16"/>
          <w:szCs w:val="16"/>
        </w:rPr>
        <w:t>8 (21) декабря 1914 г. было принято решение о развёртывании ПВО на столице Петрограде и императорской резиденции в Царском Селе. В последующем создавалась воздушная оборона г. Одессы и ряда других городов. Таким образом, в 2004 г. воздушной обороне дореволюционной России исполнилось бы 90 лет.</w:t>
      </w:r>
    </w:p>
    <w:p w14:paraId="5076BA2A" w14:textId="77777777" w:rsidR="00011C74" w:rsidRPr="00DE096C" w:rsidRDefault="00011C74" w:rsidP="00D45A46">
      <w:pPr>
        <w:jc w:val="both"/>
        <w:rPr>
          <w:bCs/>
          <w:color w:val="002060"/>
          <w:sz w:val="16"/>
          <w:szCs w:val="16"/>
        </w:rPr>
      </w:pPr>
      <w:r w:rsidRPr="00DE096C">
        <w:rPr>
          <w:bCs/>
          <w:color w:val="002060"/>
          <w:sz w:val="16"/>
          <w:szCs w:val="16"/>
        </w:rPr>
        <w:t>Организация этой обороны отличалась высокой военной грамотностью даже по современным понятиям. Она создавалась на следующих основных принципах.</w:t>
      </w:r>
    </w:p>
    <w:p w14:paraId="75D0C960" w14:textId="77777777" w:rsidR="00011C74" w:rsidRPr="00DE096C" w:rsidRDefault="00011C74" w:rsidP="00D45A46">
      <w:pPr>
        <w:jc w:val="both"/>
        <w:rPr>
          <w:bCs/>
          <w:color w:val="002060"/>
          <w:sz w:val="16"/>
          <w:szCs w:val="16"/>
        </w:rPr>
      </w:pPr>
      <w:r w:rsidRPr="00DE096C">
        <w:rPr>
          <w:bCs/>
          <w:color w:val="002060"/>
          <w:sz w:val="16"/>
          <w:szCs w:val="16"/>
        </w:rPr>
        <w:t>1. Комплексное применение разных средств, в том числе наземных (зенитных) и воздушных (авиационных).</w:t>
      </w:r>
    </w:p>
    <w:p w14:paraId="65CA6C32" w14:textId="77777777" w:rsidR="00011C74" w:rsidRPr="00DE096C" w:rsidRDefault="00011C74" w:rsidP="00D45A46">
      <w:pPr>
        <w:jc w:val="both"/>
        <w:rPr>
          <w:bCs/>
          <w:color w:val="002060"/>
          <w:sz w:val="16"/>
          <w:szCs w:val="16"/>
        </w:rPr>
      </w:pPr>
      <w:r w:rsidRPr="00DE096C">
        <w:rPr>
          <w:bCs/>
          <w:color w:val="002060"/>
          <w:sz w:val="16"/>
          <w:szCs w:val="16"/>
        </w:rPr>
        <w:t>2. Сосредоточение основных сил на обороне наиболее важных пунктов (объектов).</w:t>
      </w:r>
    </w:p>
    <w:p w14:paraId="21A5B1FA" w14:textId="77777777" w:rsidR="00011C74" w:rsidRPr="00DE096C" w:rsidRDefault="00011C74" w:rsidP="00D45A46">
      <w:pPr>
        <w:jc w:val="both"/>
        <w:rPr>
          <w:bCs/>
          <w:color w:val="002060"/>
          <w:sz w:val="16"/>
          <w:szCs w:val="16"/>
        </w:rPr>
      </w:pPr>
      <w:r w:rsidRPr="00DE096C">
        <w:rPr>
          <w:bCs/>
          <w:color w:val="002060"/>
          <w:sz w:val="16"/>
          <w:szCs w:val="16"/>
        </w:rPr>
        <w:t>3. Круговое построение обороны пунктов (объектов) с её усилением на наиболее опасных направлениях.</w:t>
      </w:r>
    </w:p>
    <w:p w14:paraId="6CA9884D" w14:textId="77777777" w:rsidR="00011C74" w:rsidRPr="00DE096C" w:rsidRDefault="00011C74" w:rsidP="00D45A46">
      <w:pPr>
        <w:jc w:val="both"/>
        <w:rPr>
          <w:bCs/>
          <w:color w:val="002060"/>
          <w:sz w:val="16"/>
          <w:szCs w:val="16"/>
        </w:rPr>
      </w:pPr>
      <w:r w:rsidRPr="00DE096C">
        <w:rPr>
          <w:bCs/>
          <w:color w:val="002060"/>
          <w:sz w:val="16"/>
          <w:szCs w:val="16"/>
        </w:rPr>
        <w:t>4. Создание системы разведки в виде сети наблюдательных пунктов, в окрестностях Петрограда и Одессы объединённых в "радиотелеграфную воздушную оборону".</w:t>
      </w:r>
    </w:p>
    <w:p w14:paraId="3EDEF2ED" w14:textId="77777777" w:rsidR="00011C74" w:rsidRPr="00DE096C" w:rsidRDefault="00011C74" w:rsidP="00D45A46">
      <w:pPr>
        <w:jc w:val="both"/>
        <w:rPr>
          <w:bCs/>
          <w:color w:val="002060"/>
          <w:sz w:val="16"/>
          <w:szCs w:val="16"/>
        </w:rPr>
      </w:pPr>
      <w:r w:rsidRPr="00DE096C">
        <w:rPr>
          <w:bCs/>
          <w:color w:val="002060"/>
          <w:sz w:val="16"/>
          <w:szCs w:val="16"/>
        </w:rPr>
        <w:t>5. Ведение обороны в любое время суток (11165).</w:t>
      </w:r>
    </w:p>
    <w:p w14:paraId="0A1A38CE" w14:textId="77777777" w:rsidR="00011C74" w:rsidRPr="00DE096C" w:rsidRDefault="00011C74" w:rsidP="00D45A46">
      <w:pPr>
        <w:shd w:val="clear" w:color="auto" w:fill="FFFFFF"/>
        <w:jc w:val="both"/>
        <w:rPr>
          <w:bCs/>
          <w:color w:val="002060"/>
          <w:sz w:val="16"/>
          <w:szCs w:val="16"/>
        </w:rPr>
      </w:pPr>
    </w:p>
    <w:p w14:paraId="4785C29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8 (21) декабря 1914 Военный Совет утвердил положение об организации эскадры воздушных кораблей "Илья Муромец". 10 декабря постановление Совета было утверждено царем, а 14-го началось форми</w:t>
      </w:r>
      <w:r w:rsidRPr="00DE096C">
        <w:rPr>
          <w:bCs/>
          <w:color w:val="002060"/>
          <w:sz w:val="16"/>
          <w:szCs w:val="16"/>
        </w:rPr>
        <w:softHyphen/>
        <w:t>рование этой эскадры, закончившееся в январе 1915 года. Этими актами было положено начало формированию в России тяжелой бомбардировочной авиации, чего еще не было в других странах (ЦГВИА. ф.2003, оп.2, д.б!б, л. 65, 91).</w:t>
      </w:r>
    </w:p>
    <w:p w14:paraId="7185F509" w14:textId="77777777" w:rsidR="00B67D7C" w:rsidRPr="00DE096C" w:rsidRDefault="00B67D7C" w:rsidP="00D45A46">
      <w:pPr>
        <w:shd w:val="clear" w:color="auto" w:fill="FFFFFF"/>
        <w:jc w:val="both"/>
        <w:rPr>
          <w:bCs/>
          <w:color w:val="002060"/>
          <w:sz w:val="16"/>
          <w:szCs w:val="16"/>
        </w:rPr>
      </w:pPr>
    </w:p>
    <w:p w14:paraId="3B165B99" w14:textId="2680E0AC" w:rsidR="00B67D7C" w:rsidRPr="00DE096C" w:rsidRDefault="00B67D7C" w:rsidP="00D45A46">
      <w:pPr>
        <w:jc w:val="both"/>
        <w:rPr>
          <w:bCs/>
          <w:color w:val="002060"/>
          <w:sz w:val="16"/>
          <w:szCs w:val="16"/>
        </w:rPr>
      </w:pPr>
      <w:r w:rsidRPr="00DE096C">
        <w:rPr>
          <w:bCs/>
          <w:color w:val="002060"/>
          <w:sz w:val="16"/>
          <w:szCs w:val="16"/>
        </w:rPr>
        <w:t xml:space="preserve">8 </w:t>
      </w:r>
      <w:r w:rsidR="00011C74" w:rsidRPr="00DE096C">
        <w:rPr>
          <w:bCs/>
          <w:color w:val="002060"/>
          <w:sz w:val="16"/>
          <w:szCs w:val="16"/>
        </w:rPr>
        <w:t xml:space="preserve">(21) </w:t>
      </w:r>
      <w:r w:rsidRPr="00DE096C">
        <w:rPr>
          <w:bCs/>
          <w:color w:val="002060"/>
          <w:sz w:val="16"/>
          <w:szCs w:val="16"/>
        </w:rPr>
        <w:t>декабря 1914 года</w:t>
      </w:r>
      <w:r w:rsidR="00011C74" w:rsidRPr="00DE096C">
        <w:rPr>
          <w:bCs/>
          <w:color w:val="002060"/>
          <w:sz w:val="16"/>
          <w:szCs w:val="16"/>
        </w:rPr>
        <w:t xml:space="preserve"> Военным советом было одобрено предложение о формировании новой боевой структуры</w:t>
      </w:r>
      <w:r w:rsidRPr="00DE096C">
        <w:rPr>
          <w:bCs/>
          <w:color w:val="002060"/>
          <w:sz w:val="16"/>
          <w:szCs w:val="16"/>
        </w:rPr>
        <w:t xml:space="preserve">. </w:t>
      </w:r>
      <w:r w:rsidR="00011C74" w:rsidRPr="00DE096C">
        <w:rPr>
          <w:bCs/>
          <w:color w:val="002060"/>
          <w:sz w:val="16"/>
          <w:szCs w:val="16"/>
        </w:rPr>
        <w:t xml:space="preserve">Шидловский писал о неправильной организации созданных отрядов, предлагая их расформировать и свести самолёты в одну крупную группировку по образцу эскадры боевых морских кораблей. Шидловский писал, что ввиду схожести будущего применения такого соединения, командовать им должен человек, хорошо знающий возможности этих аппаратов и имеющий опыт командования подвижными соединениями. В прошлом морской офицер, действительный статский советник Шидловский отлично понимал, что единственным претендентом на этот пост является он сам. Военный министр намёк понял и... предложил ему этот пост. Шидловский был вызван в Ставку Верховного главнокомандующего, который тоже ознакомился с его запиской. По указанию Сухомлинова ГУГШ направило в Военный совет. </w:t>
      </w:r>
      <w:r w:rsidRPr="00DE096C">
        <w:rPr>
          <w:bCs/>
          <w:color w:val="002060"/>
          <w:sz w:val="16"/>
          <w:szCs w:val="16"/>
        </w:rPr>
        <w:t>Через два дня Высочайше были утверждены временный штат и положение об Управлении Эскадры Воздушных Кораблей. В Управление входило десять боевых кораблей типа "Илья Муромец" и два учебных корабля. Начальнику Эскадры Шидловскому, призванному на военную службу, было присвоено звание генерала-майора военного времени (согласно практике того времени звание присваивалось на время боевых действий, а по окончании таковых "забиралось обратно в казну"). Эскадра подчинялась напрямую штабу Верховного главнокомандующего, тогда как лёгкая авиация осталась в ведении заведующего авиацией и воздухоплаванием в действующей армии Великого князя Александра Михайловича.</w:t>
      </w:r>
    </w:p>
    <w:p w14:paraId="63C4C3D6" w14:textId="77777777" w:rsidR="00B67D7C" w:rsidRPr="00DE096C" w:rsidRDefault="00B67D7C" w:rsidP="00D45A46">
      <w:pPr>
        <w:jc w:val="both"/>
        <w:rPr>
          <w:bCs/>
          <w:color w:val="002060"/>
          <w:sz w:val="16"/>
          <w:szCs w:val="16"/>
        </w:rPr>
      </w:pPr>
      <w:r w:rsidRPr="00DE096C">
        <w:rPr>
          <w:bCs/>
          <w:color w:val="002060"/>
          <w:sz w:val="16"/>
          <w:szCs w:val="16"/>
        </w:rPr>
        <w:t>Сложилась небывалая и парадоксальная ситуация, когда его превосходительство ге- нерал-майор Шидловский заказывал самолёты председателю правления РБВЗ господину... Шидловскому!</w:t>
      </w:r>
    </w:p>
    <w:p w14:paraId="0E99DEFB" w14:textId="77777777" w:rsidR="00B67D7C" w:rsidRPr="00DE096C" w:rsidRDefault="00B67D7C" w:rsidP="00D45A46">
      <w:pPr>
        <w:jc w:val="both"/>
        <w:rPr>
          <w:bCs/>
          <w:color w:val="002060"/>
          <w:sz w:val="16"/>
          <w:szCs w:val="16"/>
        </w:rPr>
      </w:pPr>
      <w:r w:rsidRPr="00DE096C">
        <w:rPr>
          <w:bCs/>
          <w:color w:val="002060"/>
          <w:sz w:val="16"/>
          <w:szCs w:val="16"/>
        </w:rPr>
        <w:t>Местом базирования УЭВК выбрали местечко Старая Яблонна (далее - Яблонна) под Варшавой, в 40 км от фронта. Из Варшавы в Яблонну вела железная дорога, а недалеко от платформы железнодорожной станции располагалось больше ровное поле, отлично подходящее для будущего аэродрома. С севера место базирования "Муромцев" было защищено Новогеоргиевской крепостью. с запада - позициями на реке Бзура, а с юга - Варшавским укрепрайоном (12041).</w:t>
      </w:r>
    </w:p>
    <w:p w14:paraId="400C0EC9" w14:textId="77777777" w:rsidR="00B67D7C" w:rsidRPr="00DE096C" w:rsidRDefault="00B67D7C" w:rsidP="00D45A46">
      <w:pPr>
        <w:jc w:val="both"/>
        <w:rPr>
          <w:bCs/>
          <w:color w:val="002060"/>
          <w:sz w:val="16"/>
          <w:szCs w:val="16"/>
        </w:rPr>
      </w:pPr>
    </w:p>
    <w:p w14:paraId="06C98C3A" w14:textId="77777777" w:rsidR="00F30427" w:rsidRPr="00DE096C" w:rsidRDefault="00F30427" w:rsidP="00D45A46">
      <w:pPr>
        <w:jc w:val="both"/>
        <w:rPr>
          <w:bCs/>
          <w:color w:val="002060"/>
          <w:sz w:val="16"/>
          <w:szCs w:val="16"/>
        </w:rPr>
      </w:pPr>
      <w:r w:rsidRPr="00DE096C">
        <w:rPr>
          <w:bCs/>
          <w:color w:val="002060"/>
          <w:sz w:val="16"/>
          <w:szCs w:val="16"/>
        </w:rPr>
        <w:t>8 (21) декабря 1914 г. Военный совет утвердил положение об организации эс</w:t>
      </w:r>
      <w:r w:rsidRPr="00DE096C">
        <w:rPr>
          <w:bCs/>
          <w:color w:val="002060"/>
          <w:sz w:val="16"/>
          <w:szCs w:val="16"/>
        </w:rPr>
        <w:softHyphen/>
        <w:t>кадры воздушных кораблей "Илья Муромец", 10-го декабря постанов</w:t>
      </w:r>
      <w:r w:rsidRPr="00DE096C">
        <w:rPr>
          <w:bCs/>
          <w:color w:val="002060"/>
          <w:sz w:val="16"/>
          <w:szCs w:val="16"/>
        </w:rPr>
        <w:softHyphen/>
        <w:t>ление совета было утверждено царем, а 14-го началось формирование этой эскадры, закончившееся в январе 1915 года. Этими актами было положено начало формированию в России тяжелой бомбардировочной авиации, чеro еще не было в зарубежных странах.</w:t>
      </w:r>
    </w:p>
    <w:p w14:paraId="7D153288" w14:textId="77777777" w:rsidR="00F30427" w:rsidRPr="00DE096C" w:rsidRDefault="00F30427" w:rsidP="00D45A46">
      <w:pPr>
        <w:jc w:val="both"/>
        <w:rPr>
          <w:bCs/>
          <w:color w:val="002060"/>
          <w:sz w:val="16"/>
          <w:szCs w:val="16"/>
        </w:rPr>
      </w:pPr>
      <w:r w:rsidRPr="00DE096C">
        <w:rPr>
          <w:bCs/>
          <w:color w:val="002060"/>
          <w:sz w:val="16"/>
          <w:szCs w:val="16"/>
        </w:rPr>
        <w:t>/ЦГВИА, ф. 2003, оп. 2, д. 616, л. 65,91/ (23320).</w:t>
      </w:r>
    </w:p>
    <w:p w14:paraId="314084B7" w14:textId="77777777" w:rsidR="00F30427" w:rsidRPr="00DE096C" w:rsidRDefault="00F30427" w:rsidP="00D45A46">
      <w:pPr>
        <w:jc w:val="both"/>
        <w:rPr>
          <w:bCs/>
          <w:color w:val="002060"/>
          <w:sz w:val="16"/>
          <w:szCs w:val="16"/>
        </w:rPr>
      </w:pPr>
    </w:p>
    <w:p w14:paraId="779A38F6" w14:textId="020E31BC" w:rsidR="001C4606" w:rsidRPr="00DE096C" w:rsidRDefault="001C4606" w:rsidP="00D45A46">
      <w:pPr>
        <w:jc w:val="both"/>
        <w:rPr>
          <w:bCs/>
          <w:color w:val="002060"/>
          <w:sz w:val="16"/>
          <w:szCs w:val="16"/>
        </w:rPr>
      </w:pPr>
      <w:r w:rsidRPr="00DE096C">
        <w:rPr>
          <w:bCs/>
          <w:color w:val="002060"/>
          <w:sz w:val="16"/>
          <w:szCs w:val="16"/>
        </w:rPr>
        <w:t>8 (21) декабря 1914 г., получив «Высочайшее одобре</w:t>
      </w:r>
      <w:r w:rsidRPr="00DE096C">
        <w:rPr>
          <w:bCs/>
          <w:color w:val="002060"/>
          <w:sz w:val="16"/>
          <w:szCs w:val="16"/>
        </w:rPr>
        <w:softHyphen/>
        <w:t>ние», Главное Управление Генштаба (ГУГШ) подготовило и направило в Военный Совет предложение о формировании на время войны Управления Эскадры Воздушных Кораблей (30 апреля 1915 г. прика</w:t>
      </w:r>
      <w:r w:rsidRPr="00DE096C">
        <w:rPr>
          <w:bCs/>
          <w:color w:val="002060"/>
          <w:sz w:val="16"/>
          <w:szCs w:val="16"/>
        </w:rPr>
        <w:softHyphen/>
        <w:t>зом Верховного Главнокомандую</w:t>
      </w:r>
      <w:r w:rsidRPr="00DE096C">
        <w:rPr>
          <w:bCs/>
          <w:color w:val="002060"/>
          <w:sz w:val="16"/>
          <w:szCs w:val="16"/>
        </w:rPr>
        <w:softHyphen/>
        <w:t>щего Управление... было переиме</w:t>
      </w:r>
      <w:r w:rsidRPr="00DE096C">
        <w:rPr>
          <w:bCs/>
          <w:color w:val="002060"/>
          <w:sz w:val="16"/>
          <w:szCs w:val="16"/>
        </w:rPr>
        <w:softHyphen/>
        <w:t>новано в Эскадру Воздушных ко</w:t>
      </w:r>
      <w:r w:rsidRPr="00DE096C">
        <w:rPr>
          <w:bCs/>
          <w:color w:val="002060"/>
          <w:sz w:val="16"/>
          <w:szCs w:val="16"/>
        </w:rPr>
        <w:softHyphen/>
        <w:t>раблей - ЭВК), Военный совет одобрил предложение Шидловского, а 10 декабря Император Николай II «Вы</w:t>
      </w:r>
      <w:r w:rsidRPr="00DE096C">
        <w:rPr>
          <w:bCs/>
          <w:color w:val="002060"/>
          <w:sz w:val="16"/>
          <w:szCs w:val="16"/>
        </w:rPr>
        <w:softHyphen/>
        <w:t>сочайше» его утвердил (23469).</w:t>
      </w:r>
    </w:p>
    <w:p w14:paraId="72881E30" w14:textId="77777777" w:rsidR="001C4606" w:rsidRPr="00DE096C" w:rsidRDefault="001C4606" w:rsidP="00D45A46">
      <w:pPr>
        <w:jc w:val="both"/>
        <w:rPr>
          <w:bCs/>
          <w:color w:val="002060"/>
          <w:sz w:val="16"/>
          <w:szCs w:val="16"/>
        </w:rPr>
      </w:pPr>
    </w:p>
    <w:p w14:paraId="6AFB1C22" w14:textId="70B7127D" w:rsidR="001C4606" w:rsidRPr="00DE096C" w:rsidRDefault="001C4606" w:rsidP="00D45A46">
      <w:pPr>
        <w:jc w:val="both"/>
        <w:rPr>
          <w:bCs/>
          <w:color w:val="002060"/>
          <w:sz w:val="16"/>
          <w:szCs w:val="16"/>
        </w:rPr>
      </w:pPr>
      <w:r w:rsidRPr="00DE096C">
        <w:rPr>
          <w:bCs/>
          <w:color w:val="002060"/>
          <w:sz w:val="16"/>
          <w:szCs w:val="16"/>
        </w:rPr>
        <w:t>8 (21) декабря 1914 г. выписка из журнала Военного Совета № 420</w:t>
      </w:r>
    </w:p>
    <w:p w14:paraId="3E733891" w14:textId="77777777" w:rsidR="001C4606" w:rsidRPr="00DE096C" w:rsidRDefault="001C4606" w:rsidP="00D45A46">
      <w:pPr>
        <w:pStyle w:val="50"/>
        <w:spacing w:before="0" w:after="0" w:line="240" w:lineRule="auto"/>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Слушали представление главного управлсния генеральнаго штаба от 6-го декабря 1914 года за № 4960 /секр./, о штат управления эскадр. воздушных кораблей.</w:t>
      </w:r>
    </w:p>
    <w:p w14:paraId="654DE206" w14:textId="77777777" w:rsidR="001C4606" w:rsidRPr="00DE096C" w:rsidRDefault="001C4606" w:rsidP="00D45A46">
      <w:pPr>
        <w:pStyle w:val="50"/>
        <w:spacing w:before="0" w:after="0" w:line="240" w:lineRule="auto"/>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Военный Советь положил:</w:t>
      </w:r>
    </w:p>
    <w:p w14:paraId="77E4E7BA" w14:textId="77777777" w:rsidR="001C4606" w:rsidRPr="00DE096C" w:rsidRDefault="001C4606" w:rsidP="00D45A46">
      <w:pPr>
        <w:pStyle w:val="50"/>
        <w:spacing w:before="0" w:after="0" w:line="240" w:lineRule="auto"/>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I/ Сформировать, на все время настоящей войны, у</w:t>
      </w:r>
      <w:r w:rsidRPr="00DE096C">
        <w:rPr>
          <w:rFonts w:ascii="Times New Roman" w:hAnsi="Times New Roman" w:cs="Times New Roman"/>
          <w:bCs/>
          <w:color w:val="002060"/>
          <w:sz w:val="16"/>
          <w:szCs w:val="16"/>
          <w:lang w:bidi="en-US"/>
        </w:rPr>
        <w:t>п</w:t>
      </w:r>
      <w:r w:rsidRPr="00DE096C">
        <w:rPr>
          <w:rFonts w:ascii="Times New Roman" w:hAnsi="Times New Roman" w:cs="Times New Roman"/>
          <w:bCs/>
          <w:color w:val="002060"/>
          <w:sz w:val="16"/>
          <w:szCs w:val="16"/>
          <w:lang w:val="en-US" w:bidi="en-US"/>
        </w:rPr>
        <w:t>pa</w:t>
      </w:r>
      <w:r w:rsidRPr="00DE096C">
        <w:rPr>
          <w:rFonts w:ascii="Times New Roman" w:hAnsi="Times New Roman" w:cs="Times New Roman"/>
          <w:bCs/>
          <w:color w:val="002060"/>
          <w:sz w:val="16"/>
          <w:szCs w:val="16"/>
          <w:lang w:bidi="en-US"/>
        </w:rPr>
        <w:t xml:space="preserve">вление </w:t>
      </w:r>
      <w:r w:rsidRPr="00DE096C">
        <w:rPr>
          <w:rFonts w:ascii="Times New Roman" w:hAnsi="Times New Roman" w:cs="Times New Roman"/>
          <w:bCs/>
          <w:color w:val="002060"/>
          <w:sz w:val="16"/>
          <w:szCs w:val="16"/>
        </w:rPr>
        <w:t>эскадры воздушных кораблей по штату, согласно прилагаемому проекту.</w:t>
      </w:r>
    </w:p>
    <w:p w14:paraId="239ACBD3" w14:textId="77777777" w:rsidR="001C4606" w:rsidRPr="00DE096C" w:rsidRDefault="001C4606" w:rsidP="00D45A46">
      <w:pPr>
        <w:jc w:val="both"/>
        <w:rPr>
          <w:bCs/>
          <w:color w:val="002060"/>
          <w:sz w:val="16"/>
          <w:szCs w:val="16"/>
        </w:rPr>
      </w:pPr>
      <w:r w:rsidRPr="00DE096C">
        <w:rPr>
          <w:bCs/>
          <w:color w:val="002060"/>
          <w:sz w:val="16"/>
          <w:szCs w:val="16"/>
        </w:rPr>
        <w:t>2/ Присвоить начальнику эскадры воздушных кораблей дисциплинарные права командира – неотдельной бригады, а в хозяйственном отношении права командира полка.</w:t>
      </w:r>
    </w:p>
    <w:p w14:paraId="048A1DDF" w14:textId="77777777" w:rsidR="001C4606" w:rsidRPr="00DE096C" w:rsidRDefault="001C4606" w:rsidP="00D45A46">
      <w:pPr>
        <w:jc w:val="both"/>
        <w:rPr>
          <w:bCs/>
          <w:color w:val="002060"/>
          <w:sz w:val="16"/>
          <w:szCs w:val="16"/>
        </w:rPr>
      </w:pPr>
      <w:r w:rsidRPr="00DE096C">
        <w:rPr>
          <w:bCs/>
          <w:color w:val="002060"/>
          <w:sz w:val="16"/>
          <w:szCs w:val="16"/>
        </w:rPr>
        <w:t>3/ Первоначальное обзаведение управления эскадры вовдушных кораблей имуществом произвести распоряжснгемъ подлежащих главных управлений с тем, чтобы ими были бы своевременно испрошены в установленном порядке необходимые де</w:t>
      </w:r>
      <w:r w:rsidRPr="00DE096C">
        <w:rPr>
          <w:bCs/>
          <w:color w:val="002060"/>
          <w:sz w:val="16"/>
          <w:szCs w:val="16"/>
        </w:rPr>
        <w:softHyphen/>
        <w:t>нежные отпуски на пополнение соответствующих имущества.</w:t>
      </w:r>
    </w:p>
    <w:p w14:paraId="41A89AAD" w14:textId="77777777" w:rsidR="001C4606" w:rsidRPr="00DE096C" w:rsidRDefault="001C4606" w:rsidP="00D45A46">
      <w:pPr>
        <w:jc w:val="both"/>
        <w:rPr>
          <w:bCs/>
          <w:color w:val="002060"/>
          <w:sz w:val="16"/>
          <w:szCs w:val="16"/>
        </w:rPr>
      </w:pPr>
      <w:r w:rsidRPr="00DE096C">
        <w:rPr>
          <w:bCs/>
          <w:color w:val="002060"/>
          <w:sz w:val="16"/>
          <w:szCs w:val="16"/>
        </w:rPr>
        <w:t>4/ Отпустить теперь же из военного фонда noco6иe управлению эскадры вовдушных кораблей въ сумме 1.000 руб. на заведение необходимаго, но не предусмотренного табелями имущества, с причислениемъ этой суммы к пар. 17 ст. 2 сметы главного штаба.</w:t>
      </w:r>
    </w:p>
    <w:p w14:paraId="7C42AE32" w14:textId="77777777" w:rsidR="001C4606" w:rsidRPr="00DE096C" w:rsidRDefault="001C4606" w:rsidP="00D45A46">
      <w:pPr>
        <w:jc w:val="both"/>
        <w:rPr>
          <w:bCs/>
          <w:color w:val="002060"/>
          <w:sz w:val="16"/>
          <w:szCs w:val="16"/>
        </w:rPr>
      </w:pPr>
      <w:r w:rsidRPr="00DE096C">
        <w:rPr>
          <w:bCs/>
          <w:color w:val="002060"/>
          <w:sz w:val="16"/>
          <w:szCs w:val="16"/>
        </w:rPr>
        <w:t>5/ Расходы по сформированию и содержанию управления эскадры вовдушныхъ кораблей отнести на военный фондъ.</w:t>
      </w:r>
    </w:p>
    <w:p w14:paraId="25219BB8" w14:textId="0D71766B" w:rsidR="001C4606" w:rsidRPr="00DE096C" w:rsidRDefault="001C4606" w:rsidP="00D45A46">
      <w:pPr>
        <w:jc w:val="both"/>
        <w:rPr>
          <w:bCs/>
          <w:color w:val="002060"/>
          <w:sz w:val="16"/>
          <w:szCs w:val="16"/>
        </w:rPr>
      </w:pPr>
      <w:r w:rsidRPr="00DE096C">
        <w:rPr>
          <w:bCs/>
          <w:color w:val="002060"/>
          <w:sz w:val="16"/>
          <w:szCs w:val="16"/>
        </w:rPr>
        <w:t>Пункты I и 2</w:t>
      </w:r>
      <w:r w:rsidR="0006581C">
        <w:rPr>
          <w:bCs/>
          <w:color w:val="002060"/>
          <w:sz w:val="16"/>
          <w:szCs w:val="16"/>
        </w:rPr>
        <w:t xml:space="preserve"> </w:t>
      </w:r>
      <w:r w:rsidRPr="00DE096C">
        <w:rPr>
          <w:bCs/>
          <w:color w:val="002060"/>
          <w:sz w:val="16"/>
          <w:szCs w:val="16"/>
        </w:rPr>
        <w:t>настоящего положения и упомянутый проект ВЫСОЧАЙШЕ утверждены.</w:t>
      </w:r>
    </w:p>
    <w:p w14:paraId="155F9685" w14:textId="77777777" w:rsidR="001C4606" w:rsidRPr="00DE096C" w:rsidRDefault="001C4606" w:rsidP="00D45A46">
      <w:pPr>
        <w:jc w:val="both"/>
        <w:rPr>
          <w:bCs/>
          <w:color w:val="002060"/>
          <w:sz w:val="16"/>
          <w:szCs w:val="16"/>
        </w:rPr>
      </w:pPr>
      <w:r w:rsidRPr="00DE096C">
        <w:rPr>
          <w:bCs/>
          <w:color w:val="002060"/>
          <w:sz w:val="16"/>
          <w:szCs w:val="16"/>
        </w:rPr>
        <w:t>10-го декабря 1914 года.</w:t>
      </w:r>
    </w:p>
    <w:p w14:paraId="0F1E3A65" w14:textId="77777777" w:rsidR="001C4606" w:rsidRPr="00DE096C" w:rsidRDefault="001C4606" w:rsidP="00D45A46">
      <w:pPr>
        <w:jc w:val="both"/>
        <w:rPr>
          <w:bCs/>
          <w:color w:val="002060"/>
          <w:sz w:val="16"/>
          <w:szCs w:val="16"/>
        </w:rPr>
      </w:pPr>
      <w:r w:rsidRPr="00DE096C">
        <w:rPr>
          <w:bCs/>
          <w:color w:val="002060"/>
          <w:sz w:val="16"/>
          <w:szCs w:val="16"/>
        </w:rPr>
        <w:t>Прилагаемый проект, по снятию копии, подлежит возвращению.</w:t>
      </w:r>
    </w:p>
    <w:p w14:paraId="15B2F283" w14:textId="77777777" w:rsidR="001C4606" w:rsidRPr="00DE096C" w:rsidRDefault="001C4606" w:rsidP="00D45A46">
      <w:pPr>
        <w:jc w:val="both"/>
        <w:rPr>
          <w:bCs/>
          <w:color w:val="002060"/>
          <w:sz w:val="16"/>
          <w:szCs w:val="16"/>
        </w:rPr>
      </w:pPr>
      <w:r w:rsidRPr="00DE096C">
        <w:rPr>
          <w:bCs/>
          <w:color w:val="002060"/>
          <w:sz w:val="16"/>
          <w:szCs w:val="16"/>
        </w:rPr>
        <w:t>Подписал</w:t>
      </w:r>
    </w:p>
    <w:p w14:paraId="0D0E3973" w14:textId="77777777" w:rsidR="001C4606" w:rsidRPr="00DE096C" w:rsidRDefault="001C4606" w:rsidP="00D45A46">
      <w:pPr>
        <w:jc w:val="both"/>
        <w:rPr>
          <w:bCs/>
          <w:color w:val="002060"/>
          <w:sz w:val="16"/>
          <w:szCs w:val="16"/>
        </w:rPr>
      </w:pPr>
      <w:r w:rsidRPr="00DE096C">
        <w:rPr>
          <w:bCs/>
          <w:color w:val="002060"/>
          <w:sz w:val="16"/>
          <w:szCs w:val="16"/>
        </w:rPr>
        <w:t>И.д. начальника канцелярии, генерал - лейтенант Лукомский.</w:t>
      </w:r>
    </w:p>
    <w:p w14:paraId="75BEAA8B" w14:textId="77777777" w:rsidR="001C4606" w:rsidRPr="00DE096C" w:rsidRDefault="001C4606" w:rsidP="00D45A46">
      <w:pPr>
        <w:jc w:val="both"/>
        <w:rPr>
          <w:bCs/>
          <w:color w:val="002060"/>
          <w:sz w:val="16"/>
          <w:szCs w:val="16"/>
        </w:rPr>
      </w:pPr>
      <w:r w:rsidRPr="00DE096C">
        <w:rPr>
          <w:bCs/>
          <w:color w:val="002060"/>
          <w:sz w:val="16"/>
          <w:szCs w:val="16"/>
        </w:rPr>
        <w:t>Скрепил и Верно: За делопроизводителя, полковник (23469).</w:t>
      </w:r>
    </w:p>
    <w:p w14:paraId="2EA1986C" w14:textId="77777777" w:rsidR="001C4606" w:rsidRPr="00DE096C" w:rsidRDefault="001C4606" w:rsidP="00D45A46">
      <w:pPr>
        <w:jc w:val="both"/>
        <w:rPr>
          <w:bCs/>
          <w:color w:val="002060"/>
          <w:sz w:val="16"/>
          <w:szCs w:val="16"/>
        </w:rPr>
      </w:pPr>
    </w:p>
    <w:p w14:paraId="4D6410D2" w14:textId="77777777" w:rsidR="00C7639D" w:rsidRPr="00B52707" w:rsidRDefault="00C7639D" w:rsidP="00C7639D">
      <w:pPr>
        <w:jc w:val="both"/>
        <w:rPr>
          <w:color w:val="0070C0"/>
          <w:sz w:val="16"/>
          <w:szCs w:val="16"/>
        </w:rPr>
      </w:pPr>
      <w:r w:rsidRPr="00B52707">
        <w:rPr>
          <w:color w:val="0070C0"/>
          <w:sz w:val="16"/>
          <w:szCs w:val="16"/>
        </w:rPr>
        <w:t>8 (21) декабря 1914 г. Военный совет Российской армии принял Постановление о сформировании на время войны Управления Эскадры Воздушных кораблей, а 10 (23) декабря 1914 г. Постановление было утверждено государем императором Николаем II. Таким образом, дата 23 декабря 1914 г. официально является датой рождения Дальней авиации. С этого времени военная авиация была разделена на тяжелую и легкую (24965).</w:t>
      </w:r>
    </w:p>
    <w:p w14:paraId="12E62AD3" w14:textId="77777777" w:rsidR="00C7639D" w:rsidRPr="00B52707" w:rsidRDefault="00C7639D" w:rsidP="00C7639D">
      <w:pPr>
        <w:jc w:val="both"/>
        <w:rPr>
          <w:color w:val="0070C0"/>
          <w:sz w:val="16"/>
          <w:szCs w:val="16"/>
        </w:rPr>
      </w:pPr>
    </w:p>
    <w:p w14:paraId="5B0934A9"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Авиация и воздухоплавание Англии:</w:t>
      </w:r>
    </w:p>
    <w:p w14:paraId="0B36198E" w14:textId="77777777" w:rsidR="00B67D7C" w:rsidRPr="00DE096C" w:rsidRDefault="00B67D7C" w:rsidP="00D45A46">
      <w:pPr>
        <w:pStyle w:val="a3"/>
        <w:jc w:val="both"/>
        <w:rPr>
          <w:bCs/>
          <w:color w:val="002060"/>
          <w:spacing w:val="0"/>
          <w:kern w:val="0"/>
          <w:position w:val="0"/>
          <w:sz w:val="16"/>
          <w:szCs w:val="16"/>
        </w:rPr>
      </w:pPr>
    </w:p>
    <w:p w14:paraId="357F0E1D" w14:textId="5E8C9067" w:rsidR="00B67D7C" w:rsidRPr="00DE096C" w:rsidRDefault="00B67D7C" w:rsidP="00D45A46">
      <w:pPr>
        <w:jc w:val="both"/>
        <w:rPr>
          <w:bCs/>
          <w:color w:val="002060"/>
          <w:sz w:val="16"/>
          <w:szCs w:val="16"/>
        </w:rPr>
      </w:pPr>
      <w:r w:rsidRPr="00DE096C">
        <w:rPr>
          <w:bCs/>
          <w:color w:val="002060"/>
          <w:sz w:val="16"/>
          <w:szCs w:val="16"/>
        </w:rPr>
        <w:lastRenderedPageBreak/>
        <w:t xml:space="preserve">8 (21) декабря отряд крейсеров под командованием вице-адмирала Битти начал движение к южной части Роусайта. Вечером 23 и 24 декабря одиннадцать подводных лодок отбыли из Гарвича. 24 декабря в 5.00 плавбазы отчалили от пирса и в сопровождении 1-й эскадры эсминцев, 6-й эскадры крейсеров, 2-й флотилии и других кораблей вышли в море. Общее количество кораблей, участвующих в операции, насчитывало более ста единиц. </w:t>
      </w:r>
    </w:p>
    <w:p w14:paraId="664D4AD8" w14:textId="77777777" w:rsidR="00B67D7C" w:rsidRPr="00DE096C" w:rsidRDefault="00B67D7C" w:rsidP="00D45A46">
      <w:pPr>
        <w:jc w:val="both"/>
        <w:rPr>
          <w:bCs/>
          <w:color w:val="002060"/>
          <w:sz w:val="16"/>
          <w:szCs w:val="16"/>
        </w:rPr>
      </w:pPr>
      <w:r w:rsidRPr="00DE096C">
        <w:rPr>
          <w:bCs/>
          <w:color w:val="002060"/>
          <w:sz w:val="16"/>
          <w:szCs w:val="16"/>
        </w:rPr>
        <w:t xml:space="preserve">Немецкая разведка, действующая в Англии, зафиксировала в октябре, ноябре и декабре оживление на базе флота в Гарвиче и оповестила об этом свое руководство. Командование ВМФ Германии, получив четыре сообщения, которые, в конечном счете, ни к чему не привели, пятое пропустило мимо ушей, посчитав, что было бы весьма глупо ожидать нападения противника накануне Рождества. [267] </w:t>
      </w:r>
    </w:p>
    <w:p w14:paraId="3E3D3848" w14:textId="77777777" w:rsidR="00B67D7C" w:rsidRPr="00DE096C" w:rsidRDefault="00B67D7C" w:rsidP="00D45A46">
      <w:pPr>
        <w:jc w:val="both"/>
        <w:rPr>
          <w:bCs/>
          <w:color w:val="002060"/>
          <w:sz w:val="16"/>
          <w:szCs w:val="16"/>
        </w:rPr>
      </w:pPr>
      <w:r w:rsidRPr="00DE096C">
        <w:rPr>
          <w:bCs/>
          <w:color w:val="002060"/>
          <w:sz w:val="16"/>
          <w:szCs w:val="16"/>
        </w:rPr>
        <w:t xml:space="preserve">25 декабря в 6.00 плавбазы достигли пункта назначения, который находился в сорока милях к северо-западу от Куксхафена. Основные ударные силы флотилии взяли акваторию этого района в кольцо. Не мешкая, плавбазы спустили самолеты на воду. Это были поплавковые бипланы: четыре «Шорт Тип 74», два «Шорт Тип 135» и три «Шорт Фолдерс». В 6.54 был дан сигнал к старту. Пилоты стали запускать двигатели, но сырая морозная погода сыграла злую шутку. К 7.00 только два «Шорт Тип 74» смогли уйти на задание, за ними, с большим интервалом времени, отправились еще пять самолетов. Две машины не смогли завестись и были подняты на борт. </w:t>
      </w:r>
    </w:p>
    <w:p w14:paraId="4DA4E6A4" w14:textId="77777777" w:rsidR="00B67D7C" w:rsidRPr="00DE096C" w:rsidRDefault="00B67D7C" w:rsidP="00D45A46">
      <w:pPr>
        <w:jc w:val="both"/>
        <w:rPr>
          <w:bCs/>
          <w:color w:val="002060"/>
          <w:sz w:val="16"/>
          <w:szCs w:val="16"/>
        </w:rPr>
      </w:pPr>
      <w:r w:rsidRPr="00DE096C">
        <w:rPr>
          <w:bCs/>
          <w:color w:val="002060"/>
          <w:sz w:val="16"/>
          <w:szCs w:val="16"/>
        </w:rPr>
        <w:t xml:space="preserve">В течение 90 минут армада английских кораблей оставалась незамеченной немецкими подлодками и другими судами, патрулирующими подходы к побережью. В дело вмешался случай. В 5.30 сигнальщики немецкого линейного корабля «Мекленбург» приняли за врага свой тральщик, который подходил к устью Эльбы. Линкор открыл огонь, чем поднял всех на ноги. Корабли, стоящие на рейде и в порту Куксхафена, также объявили тревогу. Пока разбирались с этим досадным происшествием, прошло немало времени, а самолеты англичан были уже в пути. Это обстоятельство привело к тому, что на подлете к цели британских пилотов встречала приведенная в боеготовность военно-морская база Куксхафен. </w:t>
      </w:r>
    </w:p>
    <w:p w14:paraId="4A30FC2B" w14:textId="77777777" w:rsidR="00B67D7C" w:rsidRPr="00DE096C" w:rsidRDefault="00B67D7C" w:rsidP="00D45A46">
      <w:pPr>
        <w:jc w:val="both"/>
        <w:rPr>
          <w:bCs/>
          <w:color w:val="002060"/>
          <w:sz w:val="16"/>
          <w:szCs w:val="16"/>
        </w:rPr>
      </w:pPr>
      <w:r w:rsidRPr="00DE096C">
        <w:rPr>
          <w:bCs/>
          <w:color w:val="002060"/>
          <w:sz w:val="16"/>
          <w:szCs w:val="16"/>
        </w:rPr>
        <w:t xml:space="preserve">«Дуглас Оливер и наблюдатель Будде летели в сплошном тумане уже около тридцати минут. Пилот с беспокойством всматривался вниз: видимость была отвратительной. Погода в Рождество 1914 года была холодной и спокойной, но ни один из членов экипажа, несмотря на то что они находились в открытых кабинах, не испытывал холода. Острое чувство волнения при выполнении опасного боевого задания не покидало их на протяжении всего полета. </w:t>
      </w:r>
    </w:p>
    <w:p w14:paraId="5446C840" w14:textId="77777777" w:rsidR="00B67D7C" w:rsidRPr="00DE096C" w:rsidRDefault="00B67D7C" w:rsidP="00D45A46">
      <w:pPr>
        <w:jc w:val="both"/>
        <w:rPr>
          <w:bCs/>
          <w:color w:val="002060"/>
          <w:sz w:val="16"/>
          <w:szCs w:val="16"/>
        </w:rPr>
      </w:pPr>
      <w:r w:rsidRPr="00DE096C">
        <w:rPr>
          <w:bCs/>
          <w:color w:val="002060"/>
          <w:sz w:val="16"/>
          <w:szCs w:val="16"/>
        </w:rPr>
        <w:t xml:space="preserve">Одномоторный двухместный поплавковый биплан «Шорт Тип 74», несмотря на большую нагрузку, включающую дополнительное топливо и три 20-фунтовые бомбы, летел легко и хорошо слушался рулей. Стосильный двигатель монотонно гудел, отбрасывая назад своим воздушным винтом клочья тумана. Главное беспокойство у экипажа вызывало топливо, которого должно хватить на 3 часа полета. Если поиск цели затянется или они потеряют ориентировку, его может быть недостаточно на обратный путь в Северное море, где их ожидает плавбаза. </w:t>
      </w:r>
    </w:p>
    <w:p w14:paraId="3A7D15CB" w14:textId="77777777" w:rsidR="00B67D7C" w:rsidRPr="00DE096C" w:rsidRDefault="00B67D7C" w:rsidP="00D45A46">
      <w:pPr>
        <w:jc w:val="both"/>
        <w:rPr>
          <w:bCs/>
          <w:color w:val="002060"/>
          <w:sz w:val="16"/>
          <w:szCs w:val="16"/>
        </w:rPr>
      </w:pPr>
      <w:r w:rsidRPr="00DE096C">
        <w:rPr>
          <w:bCs/>
          <w:color w:val="002060"/>
          <w:sz w:val="16"/>
          <w:szCs w:val="16"/>
        </w:rPr>
        <w:t xml:space="preserve">Видимость продолжала ухудшаться, и Оливер, чтобы пробить туман, решил уменьшить высоту полета с 600 до 200 м. Самолет вывалился из серой пелены прямо над Эльбой. Впереди пилот увидел зенитную батарею, расчет которой подавал ему световые сигналы, требуя подтверждения, что он свой. Быстро сориентировавшись на местности, Оливер бросил свою машину назад в туман. Зенитчики открыли запоздалый огонь по их самолету, но не достигли успеха. Переведя дух, Дуглас взял курс на цель — ангары немецких цеппелинов в Куксхафене, но погода явно вмешивалась в развитие ситуации...» [268] </w:t>
      </w:r>
    </w:p>
    <w:p w14:paraId="6BB9DEB7" w14:textId="77777777" w:rsidR="00B67D7C" w:rsidRPr="00DE096C" w:rsidRDefault="00B67D7C" w:rsidP="00D45A46">
      <w:pPr>
        <w:jc w:val="both"/>
        <w:rPr>
          <w:bCs/>
          <w:color w:val="002060"/>
          <w:sz w:val="16"/>
          <w:szCs w:val="16"/>
        </w:rPr>
      </w:pPr>
      <w:r w:rsidRPr="00DE096C">
        <w:rPr>
          <w:bCs/>
          <w:color w:val="002060"/>
          <w:sz w:val="16"/>
          <w:szCs w:val="16"/>
        </w:rPr>
        <w:t xml:space="preserve">Немецкая подлодка U-6 в 7.30 наткнулась в двадцати милях от берега на английские корабли и передала сообщение в штаб. В 7.45 британский пилот Фрэнсис Хьюлетт, достигнув в тумане устья Эльбы, решил спуститься ниже, чтобы определиться на местности. Там в полной готовности его ожидали зенитчики базы и линейного корабля. Шквальный огонь заставил Хьюлетта тут же уйти назад в туман. Другие британские пилоты в тумане разбрелись кто куда. Причем, что было обидно, над морем царила ясная морозная погода с прекрасной видимостью и только у самого берега стоял густой туман, который свел на нет все усилия англичан найти базу цеппелинов. </w:t>
      </w:r>
    </w:p>
    <w:p w14:paraId="54A207BE" w14:textId="77777777" w:rsidR="00B67D7C" w:rsidRPr="00DE096C" w:rsidRDefault="00B67D7C" w:rsidP="00D45A46">
      <w:pPr>
        <w:jc w:val="both"/>
        <w:rPr>
          <w:bCs/>
          <w:color w:val="002060"/>
          <w:sz w:val="16"/>
          <w:szCs w:val="16"/>
        </w:rPr>
      </w:pPr>
      <w:r w:rsidRPr="00DE096C">
        <w:rPr>
          <w:bCs/>
          <w:color w:val="002060"/>
          <w:sz w:val="16"/>
          <w:szCs w:val="16"/>
        </w:rPr>
        <w:t xml:space="preserve">В течение двух часов они пытались ее отыскать, снижаясь к земле, где их ожидали зенитные батареи, и опять уходя в туман. Топливо было на пределе, и пилоты решили сбрасывать бомбы на любую цель. Хьюлетт отбомбился по эсминцу, пилот Роберт Росс засек подлодку и сбросил на нее бомбы, знакомый нам Дуглас Оливер атаковал базу гидросамолетов на острове Лангеог, Чарльз Эдмондс напал на крейсера «Штральзунд» и «Грауденц», Вивиан Блэкбурн в очередной раз нарвался на зенитный огонь и, уходя от него, сбросил бомбы на город Вильгельмсхафен. Сесил Килнер и Арнольд Майлей подходящей цели так и не нашли, поэтому на обратном пути сбросили бомбы куда попало. Позже немцы признались, что несколько бомб все-таки взорвались в районе базы цеппелинов, но особого вреда ей не нанесли. </w:t>
      </w:r>
    </w:p>
    <w:p w14:paraId="670FE833" w14:textId="77777777" w:rsidR="00B67D7C" w:rsidRPr="00DE096C" w:rsidRDefault="00B67D7C" w:rsidP="00D45A46">
      <w:pPr>
        <w:jc w:val="both"/>
        <w:rPr>
          <w:bCs/>
          <w:color w:val="002060"/>
          <w:sz w:val="16"/>
          <w:szCs w:val="16"/>
        </w:rPr>
      </w:pPr>
      <w:r w:rsidRPr="00DE096C">
        <w:rPr>
          <w:bCs/>
          <w:color w:val="002060"/>
          <w:sz w:val="16"/>
          <w:szCs w:val="16"/>
        </w:rPr>
        <w:t xml:space="preserve">Находясь в течение почти пяти часов в германских водах, корабли Тирвитта были атакованы цеппелинами L-5 и L-6 и несколькими гидросамолетами, которые энергично проводили атаки, но безрезультатно. </w:t>
      </w:r>
    </w:p>
    <w:p w14:paraId="684BE71C" w14:textId="77777777" w:rsidR="00B67D7C" w:rsidRPr="00DE096C" w:rsidRDefault="00B67D7C" w:rsidP="00D45A46">
      <w:pPr>
        <w:jc w:val="both"/>
        <w:rPr>
          <w:bCs/>
          <w:color w:val="002060"/>
          <w:sz w:val="16"/>
          <w:szCs w:val="16"/>
        </w:rPr>
      </w:pPr>
      <w:r w:rsidRPr="00DE096C">
        <w:rPr>
          <w:bCs/>
          <w:color w:val="002060"/>
          <w:sz w:val="16"/>
          <w:szCs w:val="16"/>
        </w:rPr>
        <w:t xml:space="preserve">Отбомбившись, самолеты развернулись в сторону моря и полетели к точке, где их ожидали плавбазы. Последняя машина пересекла линию побережья в 9.45. Бензин был на исходе, и только двум самолетам удалось добраться до своих кораблей. Остальные приводнились в море, где часть из них после длительного поиска подобрали эсминцы. Кстати, один из экипажей пыталась спасти подводная лодка Е-11, но подоспевший цеппелин заставил ее спешно погрузиться. Один экипаж подобрало голландское рыбачье судно. В 11.45 английские корабли взяли курс домой. Эсминцы, прикрывая отступление основного отряда, стали отходить после полудня, а патрулирующие подлодки — после 20.00. </w:t>
      </w:r>
    </w:p>
    <w:p w14:paraId="42EDFD4E" w14:textId="77777777" w:rsidR="00B67D7C" w:rsidRPr="00DE096C" w:rsidRDefault="00B67D7C" w:rsidP="00D45A46">
      <w:pPr>
        <w:jc w:val="both"/>
        <w:rPr>
          <w:bCs/>
          <w:color w:val="002060"/>
          <w:sz w:val="16"/>
          <w:szCs w:val="16"/>
        </w:rPr>
      </w:pPr>
      <w:r w:rsidRPr="00DE096C">
        <w:rPr>
          <w:bCs/>
          <w:color w:val="002060"/>
          <w:sz w:val="16"/>
          <w:szCs w:val="16"/>
        </w:rPr>
        <w:t>Таким образом, операция по уничтожению базы цеппелинов в Куксхафене потерпела неудачу. Оставалось только утешиться тем фактом, что авиация и флот впервые провели согласованную боевую операцию и нанесли совместный удар по территории врага. Хотя вражеские воздушные корабли и уцелели, англичане продемонстрировали свою готовность ответить на готовящееся нападение германских цеппелинов (11324).</w:t>
      </w:r>
    </w:p>
    <w:p w14:paraId="3F1B74E6" w14:textId="77777777" w:rsidR="00B67D7C" w:rsidRPr="00DE096C" w:rsidRDefault="00B67D7C" w:rsidP="00D45A46">
      <w:pPr>
        <w:shd w:val="clear" w:color="auto" w:fill="FFFFFF"/>
        <w:jc w:val="both"/>
        <w:rPr>
          <w:bCs/>
          <w:i/>
          <w:color w:val="002060"/>
          <w:sz w:val="16"/>
          <w:szCs w:val="16"/>
        </w:rPr>
      </w:pPr>
    </w:p>
    <w:p w14:paraId="1B60740C" w14:textId="4AA971BB" w:rsidR="00B67D7C" w:rsidRPr="00DE096C" w:rsidRDefault="00B67D7C" w:rsidP="00D45A46">
      <w:pPr>
        <w:jc w:val="both"/>
        <w:rPr>
          <w:bCs/>
          <w:color w:val="002060"/>
          <w:sz w:val="16"/>
          <w:szCs w:val="16"/>
        </w:rPr>
      </w:pPr>
      <w:r w:rsidRPr="00DE096C">
        <w:rPr>
          <w:bCs/>
          <w:color w:val="002060"/>
          <w:sz w:val="16"/>
          <w:szCs w:val="16"/>
        </w:rPr>
        <w:t xml:space="preserve">8 (21) декабря </w:t>
      </w:r>
      <w:r w:rsidR="00EE5130" w:rsidRPr="00DE096C">
        <w:rPr>
          <w:bCs/>
          <w:color w:val="002060"/>
          <w:sz w:val="16"/>
          <w:szCs w:val="16"/>
        </w:rPr>
        <w:t>т</w:t>
      </w:r>
      <w:r w:rsidRPr="00DE096C">
        <w:rPr>
          <w:bCs/>
          <w:color w:val="002060"/>
          <w:sz w:val="16"/>
          <w:szCs w:val="16"/>
        </w:rPr>
        <w:t>ри британских аэроплана совершили первый дальний рейс для бомбардировки, пролетев от французского города Бельфор до Фридрихсгафена на озере Кон- станц, где базировались немецкие цеппелины. Каждый аэроплан нес по 4 бомбы. Был уничтожен один цеппелин и разрушен водородный танк. Один британский пилот, совершивший вынужденную посадку, был атакован немецкими гражданами и тяжело пострадал. Спасли его от смерти только подоспевшие германские солдаты (11999).</w:t>
      </w:r>
    </w:p>
    <w:p w14:paraId="5E50B7B1" w14:textId="77777777" w:rsidR="00B67D7C" w:rsidRPr="00DE096C" w:rsidRDefault="00B67D7C" w:rsidP="00D45A46">
      <w:pPr>
        <w:jc w:val="both"/>
        <w:rPr>
          <w:bCs/>
          <w:color w:val="002060"/>
          <w:sz w:val="16"/>
          <w:szCs w:val="16"/>
        </w:rPr>
      </w:pPr>
    </w:p>
    <w:p w14:paraId="2422419B" w14:textId="77777777" w:rsidR="00EE5130" w:rsidRPr="00DE096C" w:rsidRDefault="00EE5130" w:rsidP="00D45A46">
      <w:pPr>
        <w:jc w:val="both"/>
        <w:rPr>
          <w:bCs/>
          <w:color w:val="002060"/>
          <w:sz w:val="16"/>
          <w:szCs w:val="16"/>
        </w:rPr>
      </w:pPr>
      <w:r w:rsidRPr="00DE096C">
        <w:rPr>
          <w:bCs/>
          <w:color w:val="002060"/>
          <w:sz w:val="16"/>
          <w:szCs w:val="16"/>
        </w:rPr>
        <w:t>8 (21) декабря 1914 биплан Фарман Royal Naval Service Air Wing Commander под управлением Чарльз Р. Самсон выполняет первую ночную бомбежку Остенде , Бельгия (20337).</w:t>
      </w:r>
    </w:p>
    <w:p w14:paraId="513B9799" w14:textId="77777777" w:rsidR="00EE5130" w:rsidRPr="00DE096C" w:rsidRDefault="00EE5130" w:rsidP="00D45A46">
      <w:pPr>
        <w:jc w:val="both"/>
        <w:rPr>
          <w:bCs/>
          <w:color w:val="002060"/>
          <w:sz w:val="16"/>
          <w:szCs w:val="16"/>
        </w:rPr>
      </w:pPr>
    </w:p>
    <w:p w14:paraId="59A3D824" w14:textId="24BDEB7E" w:rsidR="00FB7DD1" w:rsidRPr="00DE096C" w:rsidRDefault="00FB7DD1" w:rsidP="00D45A46">
      <w:pPr>
        <w:jc w:val="both"/>
        <w:rPr>
          <w:bCs/>
          <w:color w:val="002060"/>
          <w:sz w:val="16"/>
          <w:szCs w:val="16"/>
        </w:rPr>
      </w:pPr>
      <w:r w:rsidRPr="00DE096C">
        <w:rPr>
          <w:bCs/>
          <w:color w:val="002060"/>
          <w:sz w:val="16"/>
          <w:szCs w:val="16"/>
        </w:rPr>
        <w:t xml:space="preserve">8 (21) декабря в 1914 году </w:t>
      </w:r>
      <w:r w:rsidR="00EE5130" w:rsidRPr="00DE096C">
        <w:rPr>
          <w:bCs/>
          <w:color w:val="002060"/>
          <w:sz w:val="16"/>
          <w:szCs w:val="16"/>
        </w:rPr>
        <w:t xml:space="preserve">состоялся </w:t>
      </w:r>
      <w:r w:rsidRPr="00DE096C">
        <w:rPr>
          <w:bCs/>
          <w:color w:val="002060"/>
          <w:sz w:val="16"/>
          <w:szCs w:val="16"/>
        </w:rPr>
        <w:t>первый налет германской авиации на Англию (был нанесен бомбовый удар по южному побережью) (14867).</w:t>
      </w:r>
    </w:p>
    <w:p w14:paraId="7DA7CAEB" w14:textId="77777777" w:rsidR="00FB7DD1" w:rsidRPr="00DE096C" w:rsidRDefault="00FB7DD1" w:rsidP="00D45A46">
      <w:pPr>
        <w:jc w:val="both"/>
        <w:rPr>
          <w:bCs/>
          <w:color w:val="002060"/>
          <w:sz w:val="16"/>
          <w:szCs w:val="16"/>
        </w:rPr>
      </w:pPr>
    </w:p>
    <w:p w14:paraId="765F8DDD" w14:textId="77777777" w:rsidR="006A08EE" w:rsidRPr="00DE096C" w:rsidRDefault="006A08EE" w:rsidP="00D45A46">
      <w:pPr>
        <w:jc w:val="both"/>
        <w:rPr>
          <w:bCs/>
          <w:color w:val="002060"/>
          <w:sz w:val="16"/>
          <w:szCs w:val="16"/>
        </w:rPr>
      </w:pPr>
      <w:r w:rsidRPr="00DE096C">
        <w:rPr>
          <w:bCs/>
          <w:color w:val="002060"/>
          <w:sz w:val="16"/>
          <w:szCs w:val="16"/>
        </w:rPr>
        <w:t>8 (21) декабря 1914 Соединенное Королевство впервые подверглось бомбежке немецкой авиации, когда Etrich Таубе сбросили две бомбы возле Адмиралтейского пирса в Кенте (20337).</w:t>
      </w:r>
    </w:p>
    <w:p w14:paraId="4AD2497A" w14:textId="77777777" w:rsidR="006A08EE" w:rsidRPr="00DE096C" w:rsidRDefault="006A08EE" w:rsidP="00D45A46">
      <w:pPr>
        <w:jc w:val="both"/>
        <w:rPr>
          <w:bCs/>
          <w:color w:val="002060"/>
          <w:sz w:val="16"/>
          <w:szCs w:val="16"/>
        </w:rPr>
      </w:pPr>
    </w:p>
    <w:p w14:paraId="2920A484" w14:textId="77777777" w:rsidR="00FB7DD1" w:rsidRPr="00DE096C" w:rsidRDefault="00FB7DD1" w:rsidP="00D45A46">
      <w:pPr>
        <w:jc w:val="both"/>
        <w:rPr>
          <w:bCs/>
          <w:i/>
          <w:color w:val="002060"/>
          <w:sz w:val="16"/>
          <w:szCs w:val="16"/>
        </w:rPr>
      </w:pPr>
      <w:r w:rsidRPr="00DE096C">
        <w:rPr>
          <w:bCs/>
          <w:i/>
          <w:color w:val="002060"/>
          <w:sz w:val="16"/>
          <w:szCs w:val="16"/>
        </w:rPr>
        <w:t>За рубежом:</w:t>
      </w:r>
    </w:p>
    <w:p w14:paraId="64541B44" w14:textId="77777777" w:rsidR="00FB7DD1" w:rsidRPr="00DE096C" w:rsidRDefault="00FB7DD1" w:rsidP="00D45A46">
      <w:pPr>
        <w:jc w:val="both"/>
        <w:rPr>
          <w:bCs/>
          <w:color w:val="002060"/>
          <w:sz w:val="16"/>
          <w:szCs w:val="16"/>
        </w:rPr>
      </w:pPr>
    </w:p>
    <w:p w14:paraId="09A6EC34" w14:textId="77777777" w:rsidR="00FB7DD1" w:rsidRPr="00DE096C" w:rsidRDefault="00FB7DD1" w:rsidP="00D45A46">
      <w:pPr>
        <w:jc w:val="both"/>
        <w:rPr>
          <w:bCs/>
          <w:color w:val="002060"/>
          <w:sz w:val="16"/>
          <w:szCs w:val="16"/>
        </w:rPr>
      </w:pPr>
      <w:r w:rsidRPr="00DE096C">
        <w:rPr>
          <w:bCs/>
          <w:color w:val="002060"/>
          <w:sz w:val="16"/>
          <w:szCs w:val="16"/>
        </w:rPr>
        <w:t>8 (21) 21 декабря в 1914 году австpийская ПЛ "U-12" торпедирует линкор Жан Баpт (14867).</w:t>
      </w:r>
    </w:p>
    <w:p w14:paraId="63C03AF7" w14:textId="77777777" w:rsidR="00FB7DD1" w:rsidRPr="00DE096C" w:rsidRDefault="00FB7DD1" w:rsidP="00D45A46">
      <w:pPr>
        <w:jc w:val="both"/>
        <w:rPr>
          <w:bCs/>
          <w:color w:val="002060"/>
          <w:sz w:val="16"/>
          <w:szCs w:val="16"/>
        </w:rPr>
      </w:pPr>
    </w:p>
    <w:p w14:paraId="60A2F8C9"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672F15CD" w14:textId="77777777" w:rsidR="00B67D7C" w:rsidRPr="00DE096C" w:rsidRDefault="00B67D7C" w:rsidP="00D45A46">
      <w:pPr>
        <w:shd w:val="clear" w:color="auto" w:fill="FFFFFF"/>
        <w:jc w:val="both"/>
        <w:rPr>
          <w:bCs/>
          <w:i/>
          <w:color w:val="002060"/>
          <w:sz w:val="16"/>
          <w:szCs w:val="16"/>
        </w:rPr>
      </w:pPr>
    </w:p>
    <w:p w14:paraId="14645110" w14:textId="5644D129"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10 (23) декабря </w:t>
      </w:r>
      <w:r w:rsidR="00EE5130" w:rsidRPr="00DE096C">
        <w:rPr>
          <w:bCs/>
          <w:color w:val="002060"/>
          <w:sz w:val="16"/>
          <w:szCs w:val="16"/>
        </w:rPr>
        <w:t xml:space="preserve">1914 г. на 3-ю морскую авиастанцию в Ревель </w:t>
      </w:r>
      <w:r w:rsidRPr="00DE096C">
        <w:rPr>
          <w:bCs/>
          <w:color w:val="002060"/>
          <w:sz w:val="16"/>
          <w:szCs w:val="16"/>
        </w:rPr>
        <w:t xml:space="preserve">доставили еще один гидроплан </w:t>
      </w:r>
      <w:r w:rsidR="00EE5130" w:rsidRPr="00DE096C">
        <w:rPr>
          <w:bCs/>
          <w:color w:val="002060"/>
          <w:sz w:val="16"/>
          <w:szCs w:val="16"/>
        </w:rPr>
        <w:t xml:space="preserve">М-2 </w:t>
      </w:r>
      <w:r w:rsidRPr="00DE096C">
        <w:rPr>
          <w:bCs/>
          <w:color w:val="002060"/>
          <w:sz w:val="16"/>
          <w:szCs w:val="16"/>
        </w:rPr>
        <w:t>из серии и в период до 22 декабря летчик ПРТВ Я. И. Седов-Серов и флотский авиатор лейтенант И. И. Кульнев опробовали их, установив необходи</w:t>
      </w:r>
      <w:r w:rsidRPr="00DE096C">
        <w:rPr>
          <w:bCs/>
          <w:color w:val="002060"/>
          <w:sz w:val="16"/>
          <w:szCs w:val="16"/>
        </w:rPr>
        <w:softHyphen/>
        <w:t>мость некоторых усовершенствований. В течение зимы механик и пилот компании завершили нужные переделки, после чего весной 1915г. сдаточные полеты возобновили, и, в частности, высоту 1 тыс. 300 м брали за 15 минут. Двадцать пятого апреля списки авиационной части Службы связи Балтийского моря пополнили, наконец, этими двумя самолетами, получившими номера Щ-2 и Щ-3 (2807).</w:t>
      </w:r>
    </w:p>
    <w:p w14:paraId="67868264" w14:textId="77777777" w:rsidR="00B67D7C" w:rsidRPr="00DE096C" w:rsidRDefault="00B67D7C" w:rsidP="00D45A46">
      <w:pPr>
        <w:shd w:val="clear" w:color="auto" w:fill="FFFFFF"/>
        <w:jc w:val="both"/>
        <w:rPr>
          <w:bCs/>
          <w:color w:val="002060"/>
          <w:sz w:val="16"/>
          <w:szCs w:val="16"/>
        </w:rPr>
      </w:pPr>
    </w:p>
    <w:p w14:paraId="2E451D48"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w:t>
      </w:r>
    </w:p>
    <w:p w14:paraId="2C811CAA" w14:textId="77777777" w:rsidR="00B67D7C" w:rsidRPr="00DE096C" w:rsidRDefault="00B67D7C" w:rsidP="00D45A46">
      <w:pPr>
        <w:shd w:val="clear" w:color="auto" w:fill="FFFFFF"/>
        <w:jc w:val="both"/>
        <w:rPr>
          <w:bCs/>
          <w:i/>
          <w:color w:val="002060"/>
          <w:sz w:val="16"/>
          <w:szCs w:val="16"/>
        </w:rPr>
      </w:pPr>
    </w:p>
    <w:p w14:paraId="70356080" w14:textId="5C8B52BE" w:rsidR="007F41A5" w:rsidRPr="00DE096C" w:rsidRDefault="007F41A5" w:rsidP="00D45A46">
      <w:pPr>
        <w:jc w:val="both"/>
        <w:rPr>
          <w:bCs/>
          <w:color w:val="002060"/>
          <w:sz w:val="16"/>
          <w:szCs w:val="16"/>
        </w:rPr>
      </w:pPr>
      <w:r w:rsidRPr="00DE096C">
        <w:rPr>
          <w:bCs/>
          <w:color w:val="002060"/>
          <w:sz w:val="16"/>
          <w:szCs w:val="16"/>
        </w:rPr>
        <w:t xml:space="preserve">10 </w:t>
      </w:r>
      <w:r w:rsidR="00EE5130" w:rsidRPr="00DE096C">
        <w:rPr>
          <w:bCs/>
          <w:color w:val="002060"/>
          <w:sz w:val="16"/>
          <w:szCs w:val="16"/>
        </w:rPr>
        <w:t xml:space="preserve">(23) </w:t>
      </w:r>
      <w:r w:rsidRPr="00DE096C">
        <w:rPr>
          <w:bCs/>
          <w:color w:val="002060"/>
          <w:sz w:val="16"/>
          <w:szCs w:val="16"/>
        </w:rPr>
        <w:t>декабря 1914 г. (и до апреля 1917 г.) авиация сухопутных войск, согласно решению ВГК от, продолжала подразделяться на легкую, находящуюся в ведении Александра Михайловича, и тяжелую (Эскадра воздушных кораблей), подчиненную НШ ВГК. Из 80 «Муромцев», выпущенных на РБВЗ за период 1914 – 1917 гг., в бою был потерян только один самолет (19566).</w:t>
      </w:r>
    </w:p>
    <w:p w14:paraId="4AC3F7EC" w14:textId="77777777" w:rsidR="007F41A5" w:rsidRPr="00DE096C" w:rsidRDefault="007F41A5" w:rsidP="00D45A46">
      <w:pPr>
        <w:pStyle w:val="p1"/>
        <w:spacing w:before="0" w:beforeAutospacing="0" w:after="0" w:afterAutospacing="0"/>
        <w:jc w:val="both"/>
        <w:rPr>
          <w:bCs/>
          <w:color w:val="002060"/>
          <w:sz w:val="16"/>
          <w:szCs w:val="16"/>
        </w:rPr>
      </w:pPr>
    </w:p>
    <w:p w14:paraId="5B0B0873" w14:textId="42FEF66E"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10 (23) декабря 1914 </w:t>
      </w:r>
      <w:r w:rsidR="00EE5130" w:rsidRPr="00DE096C">
        <w:rPr>
          <w:bCs/>
          <w:color w:val="002060"/>
          <w:sz w:val="16"/>
          <w:szCs w:val="16"/>
        </w:rPr>
        <w:t>вышел п</w:t>
      </w:r>
      <w:r w:rsidRPr="00DE096C">
        <w:rPr>
          <w:bCs/>
          <w:color w:val="002060"/>
          <w:sz w:val="16"/>
          <w:szCs w:val="16"/>
        </w:rPr>
        <w:t>риказ о формировании из отдельных отрядов эскадры воздуш</w:t>
      </w:r>
      <w:r w:rsidRPr="00DE096C">
        <w:rPr>
          <w:bCs/>
          <w:color w:val="002060"/>
          <w:sz w:val="16"/>
          <w:szCs w:val="16"/>
        </w:rPr>
        <w:softHyphen/>
        <w:t>ных кораблей «Илья Муромец». В феврале 1915 г. начались боевые полеты самолетов (1137).</w:t>
      </w:r>
    </w:p>
    <w:p w14:paraId="51501D4F" w14:textId="77777777" w:rsidR="00B67D7C" w:rsidRPr="00DE096C" w:rsidRDefault="00B67D7C" w:rsidP="00D45A46">
      <w:pPr>
        <w:shd w:val="clear" w:color="auto" w:fill="FFFFFF"/>
        <w:jc w:val="both"/>
        <w:rPr>
          <w:bCs/>
          <w:color w:val="002060"/>
          <w:sz w:val="16"/>
          <w:szCs w:val="16"/>
        </w:rPr>
      </w:pPr>
    </w:p>
    <w:p w14:paraId="0981515E" w14:textId="5660766E"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10 </w:t>
      </w:r>
      <w:r w:rsidR="00EE5130" w:rsidRPr="00DE096C">
        <w:rPr>
          <w:bCs/>
          <w:color w:val="002060"/>
          <w:sz w:val="16"/>
          <w:szCs w:val="16"/>
        </w:rPr>
        <w:t xml:space="preserve">(23) </w:t>
      </w:r>
      <w:r w:rsidRPr="00DE096C">
        <w:rPr>
          <w:bCs/>
          <w:color w:val="002060"/>
          <w:sz w:val="16"/>
          <w:szCs w:val="16"/>
        </w:rPr>
        <w:t>декабря 1914</w:t>
      </w:r>
      <w:r w:rsidR="00EE5130" w:rsidRPr="00DE096C">
        <w:rPr>
          <w:bCs/>
          <w:color w:val="002060"/>
          <w:sz w:val="16"/>
          <w:szCs w:val="16"/>
        </w:rPr>
        <w:t xml:space="preserve"> </w:t>
      </w:r>
      <w:r w:rsidRPr="00DE096C">
        <w:rPr>
          <w:bCs/>
          <w:color w:val="002060"/>
          <w:sz w:val="16"/>
          <w:szCs w:val="16"/>
        </w:rPr>
        <w:t xml:space="preserve">г. </w:t>
      </w:r>
      <w:r w:rsidR="00EE5130" w:rsidRPr="00DE096C">
        <w:rPr>
          <w:bCs/>
          <w:color w:val="002060"/>
          <w:sz w:val="16"/>
          <w:szCs w:val="16"/>
        </w:rPr>
        <w:t>вышел п</w:t>
      </w:r>
      <w:r w:rsidRPr="00DE096C">
        <w:rPr>
          <w:bCs/>
          <w:color w:val="002060"/>
          <w:sz w:val="16"/>
          <w:szCs w:val="16"/>
        </w:rPr>
        <w:t>риказ о формировании из отдельных отрядов эскадры воздушных кораблей «Илья Муромец». В феврале 1915 г. начались боевые полеты самолётов. Издана в Санкт-Петербурге книга Вегенера А.Н. «Сборник ин</w:t>
      </w:r>
      <w:r w:rsidRPr="00DE096C">
        <w:rPr>
          <w:bCs/>
          <w:color w:val="002060"/>
          <w:sz w:val="16"/>
          <w:szCs w:val="16"/>
        </w:rPr>
        <w:softHyphen/>
        <w:t>струкций по устройству пути перелета управляемого аэростата» (11425).</w:t>
      </w:r>
    </w:p>
    <w:p w14:paraId="411B4BAE" w14:textId="77777777" w:rsidR="00B67D7C" w:rsidRPr="00DE096C" w:rsidRDefault="00B67D7C" w:rsidP="00D45A46">
      <w:pPr>
        <w:shd w:val="clear" w:color="auto" w:fill="FFFFFF"/>
        <w:jc w:val="both"/>
        <w:rPr>
          <w:bCs/>
          <w:color w:val="002060"/>
          <w:sz w:val="16"/>
          <w:szCs w:val="16"/>
        </w:rPr>
      </w:pPr>
    </w:p>
    <w:p w14:paraId="11802BA1" w14:textId="77777777" w:rsidR="00C03042" w:rsidRPr="00DE096C" w:rsidRDefault="00C03042" w:rsidP="00D45A46">
      <w:pPr>
        <w:jc w:val="both"/>
        <w:rPr>
          <w:bCs/>
          <w:color w:val="002060"/>
          <w:sz w:val="16"/>
          <w:szCs w:val="16"/>
          <w:u w:val="single"/>
        </w:rPr>
      </w:pPr>
      <w:r w:rsidRPr="00DE096C">
        <w:rPr>
          <w:bCs/>
          <w:color w:val="002060"/>
          <w:sz w:val="16"/>
          <w:szCs w:val="16"/>
        </w:rPr>
        <w:lastRenderedPageBreak/>
        <w:t xml:space="preserve">10 </w:t>
      </w:r>
      <w:hyperlink r:id="rId48" w:tooltip="23 декабря" w:history="1">
        <w:r w:rsidRPr="00DE096C">
          <w:rPr>
            <w:rStyle w:val="af0"/>
            <w:bCs/>
            <w:color w:val="002060"/>
            <w:sz w:val="16"/>
            <w:szCs w:val="16"/>
            <w:u w:val="none"/>
            <w:shd w:val="clear" w:color="auto" w:fill="FFFFFF"/>
          </w:rPr>
          <w:t>(23)</w:t>
        </w:r>
        <w:r w:rsidRPr="00DE096C">
          <w:rPr>
            <w:rStyle w:val="af0"/>
            <w:bCs/>
            <w:color w:val="002060"/>
            <w:sz w:val="16"/>
            <w:szCs w:val="16"/>
            <w:u w:val="none"/>
          </w:rPr>
          <w:t xml:space="preserve"> </w:t>
        </w:r>
        <w:r w:rsidRPr="00DE096C">
          <w:rPr>
            <w:rStyle w:val="af0"/>
            <w:bCs/>
            <w:color w:val="002060"/>
            <w:sz w:val="16"/>
            <w:szCs w:val="16"/>
            <w:u w:val="none"/>
            <w:shd w:val="clear" w:color="auto" w:fill="FFFFFF"/>
          </w:rPr>
          <w:t>декабря</w:t>
        </w:r>
      </w:hyperlink>
      <w:r w:rsidRPr="00DE096C">
        <w:rPr>
          <w:bCs/>
          <w:color w:val="002060"/>
          <w:sz w:val="16"/>
          <w:szCs w:val="16"/>
        </w:rPr>
        <w:t xml:space="preserve"> </w:t>
      </w:r>
      <w:hyperlink r:id="rId49" w:tooltip="1914 год" w:history="1">
        <w:r w:rsidRPr="00DE096C">
          <w:rPr>
            <w:rStyle w:val="af0"/>
            <w:bCs/>
            <w:color w:val="002060"/>
            <w:sz w:val="16"/>
            <w:szCs w:val="16"/>
            <w:u w:val="none"/>
            <w:shd w:val="clear" w:color="auto" w:fill="FFFFFF"/>
          </w:rPr>
          <w:t>1914</w:t>
        </w:r>
      </w:hyperlink>
      <w:r w:rsidRPr="00DE096C">
        <w:rPr>
          <w:bCs/>
          <w:color w:val="002060"/>
          <w:sz w:val="16"/>
          <w:szCs w:val="16"/>
        </w:rPr>
        <w:t xml:space="preserve"> </w:t>
      </w:r>
      <w:r w:rsidRPr="00DE096C">
        <w:rPr>
          <w:bCs/>
          <w:color w:val="002060"/>
          <w:sz w:val="16"/>
          <w:szCs w:val="16"/>
          <w:shd w:val="clear" w:color="auto" w:fill="FFFFFF"/>
        </w:rPr>
        <w:t xml:space="preserve">года утверждено императором постановление военного совета о создании в структуре Императорских военно-воздушных войск особого соединения тяжелых бомбардировщиков «Илья Муромец» (Эскадра воздушных кораблей, ЭВК), ставшей первым в мире соединением бомбардировщиков. Её начальником стал директор РБВЗ </w:t>
      </w:r>
      <w:hyperlink r:id="rId50" w:tooltip="Шидловский, Михаил Владимирович" w:history="1">
        <w:r w:rsidRPr="00DE096C">
          <w:rPr>
            <w:rStyle w:val="af0"/>
            <w:bCs/>
            <w:color w:val="002060"/>
            <w:sz w:val="16"/>
            <w:szCs w:val="16"/>
            <w:shd w:val="clear" w:color="auto" w:fill="FFFFFF"/>
          </w:rPr>
          <w:t>М. В. Шидловский</w:t>
        </w:r>
      </w:hyperlink>
      <w:r w:rsidRPr="00DE096C">
        <w:rPr>
          <w:bCs/>
          <w:color w:val="002060"/>
          <w:sz w:val="16"/>
          <w:szCs w:val="16"/>
          <w:shd w:val="clear" w:color="auto" w:fill="FFFFFF"/>
        </w:rPr>
        <w:t xml:space="preserve">. </w:t>
      </w:r>
      <w:r w:rsidRPr="00DE096C">
        <w:rPr>
          <w:bCs/>
          <w:color w:val="002060"/>
          <w:sz w:val="16"/>
          <w:szCs w:val="16"/>
        </w:rPr>
        <w:t xml:space="preserve">В ЭВК по штату полагалось иметь на вооружении 10 боевых и 2 учебных корабля. </w:t>
      </w:r>
      <w:r w:rsidRPr="00DE096C">
        <w:rPr>
          <w:bCs/>
          <w:color w:val="002060"/>
          <w:sz w:val="16"/>
          <w:szCs w:val="16"/>
          <w:shd w:val="clear" w:color="auto" w:fill="FFFFFF"/>
        </w:rPr>
        <w:t>Находилось Управление </w:t>
      </w:r>
      <w:hyperlink r:id="rId51" w:tooltip="Эскадра" w:history="1">
        <w:r w:rsidRPr="00DE096C">
          <w:rPr>
            <w:rStyle w:val="af0"/>
            <w:bCs/>
            <w:color w:val="002060"/>
            <w:sz w:val="16"/>
            <w:szCs w:val="16"/>
            <w:u w:val="none"/>
            <w:shd w:val="clear" w:color="auto" w:fill="FFFFFF"/>
          </w:rPr>
          <w:t>эскадры</w:t>
        </w:r>
      </w:hyperlink>
      <w:r w:rsidRPr="00DE096C">
        <w:rPr>
          <w:bCs/>
          <w:color w:val="002060"/>
          <w:sz w:val="16"/>
          <w:szCs w:val="16"/>
          <w:shd w:val="clear" w:color="auto" w:fill="FFFFFF"/>
        </w:rPr>
        <w:t> воздушных кораблей «Илья Муромец» при </w:t>
      </w:r>
      <w:hyperlink r:id="rId52" w:tooltip="Штаб" w:history="1">
        <w:r w:rsidRPr="00DE096C">
          <w:rPr>
            <w:rStyle w:val="af0"/>
            <w:bCs/>
            <w:color w:val="002060"/>
            <w:sz w:val="16"/>
            <w:szCs w:val="16"/>
            <w:u w:val="none"/>
            <w:shd w:val="clear" w:color="auto" w:fill="FFFFFF"/>
          </w:rPr>
          <w:t>штабе</w:t>
        </w:r>
      </w:hyperlink>
      <w:r w:rsidRPr="00DE096C">
        <w:rPr>
          <w:bCs/>
          <w:color w:val="002060"/>
          <w:sz w:val="16"/>
          <w:szCs w:val="16"/>
          <w:shd w:val="clear" w:color="auto" w:fill="FFFFFF"/>
        </w:rPr>
        <w:t> </w:t>
      </w:r>
      <w:hyperlink r:id="rId53" w:tooltip="Верховный главнокомандующий" w:history="1">
        <w:r w:rsidRPr="00DE096C">
          <w:rPr>
            <w:rStyle w:val="af0"/>
            <w:bCs/>
            <w:color w:val="002060"/>
            <w:sz w:val="16"/>
            <w:szCs w:val="16"/>
            <w:u w:val="none"/>
            <w:shd w:val="clear" w:color="auto" w:fill="FFFFFF"/>
          </w:rPr>
          <w:t>Верховного главнокомандующего</w:t>
        </w:r>
      </w:hyperlink>
      <w:r w:rsidRPr="00DE096C">
        <w:rPr>
          <w:bCs/>
          <w:color w:val="002060"/>
          <w:sz w:val="16"/>
          <w:szCs w:val="16"/>
          <w:shd w:val="clear" w:color="auto" w:fill="FFFFFF"/>
        </w:rPr>
        <w:t> в </w:t>
      </w:r>
      <w:hyperlink r:id="rId54" w:tooltip="Ставка Верховного Главнокомандующего" w:history="1">
        <w:r w:rsidRPr="00DE096C">
          <w:rPr>
            <w:rStyle w:val="af0"/>
            <w:bCs/>
            <w:color w:val="002060"/>
            <w:sz w:val="16"/>
            <w:szCs w:val="16"/>
            <w:u w:val="none"/>
            <w:shd w:val="clear" w:color="auto" w:fill="FFFFFF"/>
          </w:rPr>
          <w:t>Ставке Верховного главнокомандующего</w:t>
        </w:r>
      </w:hyperlink>
      <w:r w:rsidRPr="00DE096C">
        <w:rPr>
          <w:bCs/>
          <w:color w:val="002060"/>
          <w:sz w:val="16"/>
          <w:szCs w:val="16"/>
          <w:u w:val="single"/>
          <w:shd w:val="clear" w:color="auto" w:fill="FFFFFF"/>
        </w:rPr>
        <w:t>.</w:t>
      </w:r>
    </w:p>
    <w:p w14:paraId="7D168937" w14:textId="77777777" w:rsidR="00C03042" w:rsidRPr="00DE096C" w:rsidRDefault="00C03042" w:rsidP="00D45A46">
      <w:pPr>
        <w:jc w:val="both"/>
        <w:rPr>
          <w:bCs/>
          <w:color w:val="002060"/>
          <w:sz w:val="16"/>
          <w:szCs w:val="16"/>
          <w:shd w:val="clear" w:color="auto" w:fill="FFFFFF"/>
        </w:rPr>
      </w:pPr>
      <w:r w:rsidRPr="00DE096C">
        <w:rPr>
          <w:bCs/>
          <w:color w:val="002060"/>
          <w:sz w:val="16"/>
          <w:szCs w:val="16"/>
          <w:shd w:val="clear" w:color="auto" w:fill="FFFFFF"/>
        </w:rPr>
        <w:t>В состав ЭВК направлялись все выпущенные самолеты «Илья Муромец». Организовал и возглавлял эскадру сам Шидловский, который убедил Царя назначить его на эту должность. Налеты эскадра совершала по предварительно разведанным целям, бомбардировщики в полете сопровождались истребительным эскортом.</w:t>
      </w:r>
    </w:p>
    <w:p w14:paraId="649AF8FE" w14:textId="77777777" w:rsidR="00C03042" w:rsidRPr="00DE096C" w:rsidRDefault="00C03042" w:rsidP="00D45A46">
      <w:pPr>
        <w:shd w:val="clear" w:color="auto" w:fill="FFFFFF"/>
        <w:jc w:val="both"/>
        <w:rPr>
          <w:bCs/>
          <w:color w:val="002060"/>
          <w:sz w:val="16"/>
          <w:szCs w:val="16"/>
        </w:rPr>
      </w:pPr>
      <w:r w:rsidRPr="00DE096C">
        <w:rPr>
          <w:bCs/>
          <w:color w:val="002060"/>
          <w:sz w:val="16"/>
          <w:szCs w:val="16"/>
        </w:rPr>
        <w:t>В ЭВК шли постоянные эксперименты с разными двигателями и оборудованием. Для учебных целей построили несколько двухмоторных машин с тянущими винтами (двигатели «Санбим» мощностью 165 кВт) или с толкающими винтами (двигатели «Салмсон» мощностью 147 кВт или те же «Санбим») (19957).</w:t>
      </w:r>
    </w:p>
    <w:p w14:paraId="284F0569" w14:textId="77777777" w:rsidR="00C03042" w:rsidRPr="00DE096C" w:rsidRDefault="00C03042" w:rsidP="00D45A46">
      <w:pPr>
        <w:shd w:val="clear" w:color="auto" w:fill="FFFFFF"/>
        <w:jc w:val="both"/>
        <w:rPr>
          <w:bCs/>
          <w:color w:val="002060"/>
          <w:sz w:val="16"/>
          <w:szCs w:val="16"/>
        </w:rPr>
      </w:pPr>
    </w:p>
    <w:p w14:paraId="3D145111" w14:textId="5055F2C4" w:rsidR="001C4606" w:rsidRPr="00DE096C" w:rsidRDefault="001C4606" w:rsidP="00D45A46">
      <w:pPr>
        <w:jc w:val="both"/>
        <w:rPr>
          <w:bCs/>
          <w:color w:val="002060"/>
          <w:sz w:val="16"/>
          <w:szCs w:val="16"/>
        </w:rPr>
      </w:pPr>
      <w:r w:rsidRPr="00DE096C">
        <w:rPr>
          <w:bCs/>
          <w:color w:val="002060"/>
          <w:sz w:val="16"/>
          <w:szCs w:val="16"/>
        </w:rPr>
        <w:t>10 (23) декабря 1914 г. Император Николай II «Вы</w:t>
      </w:r>
      <w:r w:rsidRPr="00DE096C">
        <w:rPr>
          <w:bCs/>
          <w:color w:val="002060"/>
          <w:sz w:val="16"/>
          <w:szCs w:val="16"/>
        </w:rPr>
        <w:softHyphen/>
        <w:t>сочайше» утвердил предложение Шидловского. 10 декабря (23 декабря - по новому стилю) 1914 г. является днём рождения российской тяжёлой авиации. Особым разъяснением ГУГШ уточ</w:t>
      </w:r>
      <w:r w:rsidRPr="00DE096C">
        <w:rPr>
          <w:bCs/>
          <w:color w:val="002060"/>
          <w:sz w:val="16"/>
          <w:szCs w:val="16"/>
        </w:rPr>
        <w:softHyphen/>
        <w:t>нил Августейшему командующему авиацией в действующей армии, что новое соединение не входит в число подчиненных ему отрядов (корпусных, полевых и крепост</w:t>
      </w:r>
      <w:r w:rsidRPr="00DE096C">
        <w:rPr>
          <w:bCs/>
          <w:color w:val="002060"/>
          <w:sz w:val="16"/>
          <w:szCs w:val="16"/>
        </w:rPr>
        <w:softHyphen/>
        <w:t>ных) фронтовой авиации. С этого времени русская авиация делилась на «тяжёлую», непосредственно подчинённую Штабу Верховного Главнокомандования, и «лёгкую», входящую в войсковые соединения и подчинённую Великому Князю Александру Михайловичу. «Муром</w:t>
      </w:r>
      <w:r w:rsidRPr="00DE096C">
        <w:rPr>
          <w:bCs/>
          <w:color w:val="002060"/>
          <w:sz w:val="16"/>
          <w:szCs w:val="16"/>
        </w:rPr>
        <w:softHyphen/>
        <w:t>цы» вышли из подчинения резкому и нетерпимому начальству, но Шидловский, Сикорский и вся Эскадра заполучили себе весьма ревнивого и упорного недоброже</w:t>
      </w:r>
      <w:r w:rsidRPr="00DE096C">
        <w:rPr>
          <w:bCs/>
          <w:color w:val="002060"/>
          <w:sz w:val="16"/>
          <w:szCs w:val="16"/>
        </w:rPr>
        <w:softHyphen/>
        <w:t>лателя. Александр Михайлович впредь неоднократно предприни</w:t>
      </w:r>
      <w:r w:rsidRPr="00DE096C">
        <w:rPr>
          <w:bCs/>
          <w:color w:val="002060"/>
          <w:sz w:val="16"/>
          <w:szCs w:val="16"/>
        </w:rPr>
        <w:softHyphen/>
        <w:t>мал попытки принизить роль ЭВК и вернуть её в свое подчинение. Од</w:t>
      </w:r>
      <w:r w:rsidRPr="00DE096C">
        <w:rPr>
          <w:bCs/>
          <w:color w:val="002060"/>
          <w:sz w:val="16"/>
          <w:szCs w:val="16"/>
        </w:rPr>
        <w:softHyphen/>
        <w:t>нако Верховное командование сде</w:t>
      </w:r>
      <w:r w:rsidRPr="00DE096C">
        <w:rPr>
          <w:bCs/>
          <w:color w:val="002060"/>
          <w:sz w:val="16"/>
          <w:szCs w:val="16"/>
        </w:rPr>
        <w:softHyphen/>
        <w:t xml:space="preserve">лать это ему так и не позволило (23469). </w:t>
      </w:r>
    </w:p>
    <w:p w14:paraId="4F76DE2E" w14:textId="77777777" w:rsidR="001C4606" w:rsidRPr="00DE096C" w:rsidRDefault="001C4606" w:rsidP="00D45A46">
      <w:pPr>
        <w:jc w:val="both"/>
        <w:rPr>
          <w:bCs/>
          <w:color w:val="002060"/>
          <w:sz w:val="16"/>
          <w:szCs w:val="16"/>
        </w:rPr>
      </w:pPr>
    </w:p>
    <w:p w14:paraId="4F332575" w14:textId="7E62FA27"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10 (23) декабря </w:t>
      </w:r>
      <w:r w:rsidR="00EE5130" w:rsidRPr="00DE096C">
        <w:rPr>
          <w:bCs/>
          <w:color w:val="002060"/>
          <w:sz w:val="16"/>
          <w:szCs w:val="16"/>
        </w:rPr>
        <w:t xml:space="preserve">1914 г. </w:t>
      </w:r>
      <w:r w:rsidRPr="00DE096C">
        <w:rPr>
          <w:bCs/>
          <w:color w:val="002060"/>
          <w:sz w:val="16"/>
          <w:szCs w:val="16"/>
        </w:rPr>
        <w:t>постановление</w:t>
      </w:r>
      <w:r w:rsidR="00EE5130" w:rsidRPr="00DE096C">
        <w:rPr>
          <w:bCs/>
          <w:color w:val="002060"/>
          <w:sz w:val="16"/>
          <w:szCs w:val="16"/>
        </w:rPr>
        <w:t xml:space="preserve"> Военного</w:t>
      </w:r>
      <w:r w:rsidRPr="00DE096C">
        <w:rPr>
          <w:bCs/>
          <w:color w:val="002060"/>
          <w:sz w:val="16"/>
          <w:szCs w:val="16"/>
        </w:rPr>
        <w:t xml:space="preserve"> Совета </w:t>
      </w:r>
      <w:r w:rsidR="00EE5130" w:rsidRPr="00DE096C">
        <w:rPr>
          <w:bCs/>
          <w:color w:val="002060"/>
          <w:sz w:val="16"/>
          <w:szCs w:val="16"/>
        </w:rPr>
        <w:t xml:space="preserve">об организации эскадры воздушных кораблей "Илья Муромец" </w:t>
      </w:r>
      <w:r w:rsidRPr="00DE096C">
        <w:rPr>
          <w:bCs/>
          <w:color w:val="002060"/>
          <w:sz w:val="16"/>
          <w:szCs w:val="16"/>
        </w:rPr>
        <w:t>было утверждено царем, а 14-го началось форми</w:t>
      </w:r>
      <w:r w:rsidRPr="00DE096C">
        <w:rPr>
          <w:bCs/>
          <w:color w:val="002060"/>
          <w:sz w:val="16"/>
          <w:szCs w:val="16"/>
        </w:rPr>
        <w:softHyphen/>
        <w:t>рование этой эскадры, закончившееся в январе 1915 года. Этими актами было положено начало формированию в России тяжелой бомбардировочной авиации, чего еще не было в других странах (ЦГВИА. ф.2003, оп.2, д.б!б, л. 65, 91).</w:t>
      </w:r>
    </w:p>
    <w:p w14:paraId="7830CBC6" w14:textId="77777777" w:rsidR="00B67D7C" w:rsidRPr="00DE096C" w:rsidRDefault="00B67D7C" w:rsidP="00D45A46">
      <w:pPr>
        <w:shd w:val="clear" w:color="auto" w:fill="FFFFFF"/>
        <w:jc w:val="both"/>
        <w:rPr>
          <w:bCs/>
          <w:color w:val="002060"/>
          <w:sz w:val="16"/>
          <w:szCs w:val="16"/>
        </w:rPr>
      </w:pPr>
    </w:p>
    <w:p w14:paraId="030655B5" w14:textId="4DC2F2E6" w:rsidR="00B67D7C" w:rsidRPr="00DE096C" w:rsidRDefault="00B67D7C" w:rsidP="00D45A46">
      <w:pPr>
        <w:jc w:val="both"/>
        <w:rPr>
          <w:bCs/>
          <w:color w:val="002060"/>
          <w:sz w:val="16"/>
          <w:szCs w:val="16"/>
        </w:rPr>
      </w:pPr>
      <w:r w:rsidRPr="00DE096C">
        <w:rPr>
          <w:bCs/>
          <w:color w:val="002060"/>
          <w:sz w:val="16"/>
          <w:szCs w:val="16"/>
        </w:rPr>
        <w:t xml:space="preserve">10 </w:t>
      </w:r>
      <w:r w:rsidR="00F36791" w:rsidRPr="00DE096C">
        <w:rPr>
          <w:bCs/>
          <w:color w:val="002060"/>
          <w:sz w:val="16"/>
          <w:szCs w:val="16"/>
        </w:rPr>
        <w:t xml:space="preserve">(23) </w:t>
      </w:r>
      <w:r w:rsidRPr="00DE096C">
        <w:rPr>
          <w:bCs/>
          <w:color w:val="002060"/>
          <w:sz w:val="16"/>
          <w:szCs w:val="16"/>
        </w:rPr>
        <w:t xml:space="preserve">декабря </w:t>
      </w:r>
      <w:r w:rsidR="00F36791" w:rsidRPr="00DE096C">
        <w:rPr>
          <w:bCs/>
          <w:color w:val="002060"/>
          <w:sz w:val="16"/>
          <w:szCs w:val="16"/>
        </w:rPr>
        <w:t xml:space="preserve">1914 г. </w:t>
      </w:r>
      <w:r w:rsidRPr="00DE096C">
        <w:rPr>
          <w:bCs/>
          <w:color w:val="002060"/>
          <w:sz w:val="16"/>
          <w:szCs w:val="16"/>
        </w:rPr>
        <w:t xml:space="preserve">царь Николай II утвердил приказ о формировании Эскадры воздушных кораблей, подчиненной непосредственно Верховному главнокомандующему. Какое красивое название - "воздушные корабли"! А почему бы и нет? Размеры подходящие, экипаж немалый, пулеметы (а в перспективе и пушки) в наличии... </w:t>
      </w:r>
    </w:p>
    <w:p w14:paraId="2512AE16" w14:textId="77777777" w:rsidR="00B67D7C" w:rsidRPr="00DE096C" w:rsidRDefault="00B67D7C" w:rsidP="00D45A46">
      <w:pPr>
        <w:jc w:val="both"/>
        <w:rPr>
          <w:bCs/>
          <w:color w:val="002060"/>
          <w:sz w:val="16"/>
          <w:szCs w:val="16"/>
        </w:rPr>
      </w:pPr>
      <w:r w:rsidRPr="00DE096C">
        <w:rPr>
          <w:bCs/>
          <w:color w:val="002060"/>
          <w:sz w:val="16"/>
          <w:szCs w:val="16"/>
        </w:rPr>
        <w:t>Это было первое в мире соединение стратегической (в то время ее именовали "тяжелой") авиации, появившееся примерно на два года раньше, чем подобные структуры в Англии, Франции и Германии. Начальником эскадры назначили генерал-майора М.В. Шидловского, бывшего морского офицера, а на момент выхода приказа - председателя правления РБВЗ.</w:t>
      </w:r>
    </w:p>
    <w:p w14:paraId="58AD57B6" w14:textId="77777777" w:rsidR="00B67D7C" w:rsidRPr="00DE096C" w:rsidRDefault="00B67D7C" w:rsidP="00D45A46">
      <w:pPr>
        <w:jc w:val="both"/>
        <w:rPr>
          <w:bCs/>
          <w:color w:val="002060"/>
          <w:sz w:val="16"/>
          <w:szCs w:val="16"/>
        </w:rPr>
      </w:pPr>
      <w:r w:rsidRPr="00DE096C">
        <w:rPr>
          <w:bCs/>
          <w:color w:val="002060"/>
          <w:sz w:val="16"/>
          <w:szCs w:val="16"/>
        </w:rPr>
        <w:t>Эскадра имела большой штат летного и наземного состава, собственные ремонтные мастерские, склады, подразделения связи, метеослужбу, летную школу с учебными самолетами, автопарк и даже зенитную артиллерию.</w:t>
      </w:r>
    </w:p>
    <w:p w14:paraId="0D0ACA2C" w14:textId="77777777" w:rsidR="00B67D7C" w:rsidRPr="00DE096C" w:rsidRDefault="00B67D7C" w:rsidP="00D45A46">
      <w:pPr>
        <w:jc w:val="both"/>
        <w:rPr>
          <w:bCs/>
          <w:color w:val="002060"/>
          <w:sz w:val="16"/>
          <w:szCs w:val="16"/>
        </w:rPr>
      </w:pPr>
      <w:r w:rsidRPr="00DE096C">
        <w:rPr>
          <w:bCs/>
          <w:color w:val="002060"/>
          <w:sz w:val="16"/>
          <w:szCs w:val="16"/>
        </w:rPr>
        <w:t>В конце декабря 1914 г. эскадра уже сосредоточилась на площадке у городка Яблонна в Польше. Первый боевой вылет совершили 14 февраля 1915 г. Но экипаж не нашел предписанную ему цель. Лишь на следующий день "Муромец" Г.Г. Горшкова отбомбился по железнодорожной станции Вилленберг в Восточной Пруссии. С этого момента самолеты эскадры начали летать на бомбометание и фотографирование (12036).</w:t>
      </w:r>
    </w:p>
    <w:p w14:paraId="71FAA06B" w14:textId="77777777" w:rsidR="00B67D7C" w:rsidRPr="00DE096C" w:rsidRDefault="00B67D7C" w:rsidP="00D45A46">
      <w:pPr>
        <w:jc w:val="both"/>
        <w:rPr>
          <w:bCs/>
          <w:color w:val="002060"/>
          <w:sz w:val="16"/>
          <w:szCs w:val="16"/>
        </w:rPr>
      </w:pPr>
    </w:p>
    <w:p w14:paraId="4803DF84" w14:textId="77777777" w:rsidR="00C7639D" w:rsidRPr="00B52707" w:rsidRDefault="00C7639D" w:rsidP="00C7639D">
      <w:pPr>
        <w:jc w:val="both"/>
        <w:rPr>
          <w:color w:val="0070C0"/>
          <w:sz w:val="16"/>
          <w:szCs w:val="16"/>
        </w:rPr>
      </w:pPr>
      <w:r w:rsidRPr="00B52707">
        <w:rPr>
          <w:color w:val="0070C0"/>
          <w:sz w:val="16"/>
          <w:szCs w:val="16"/>
        </w:rPr>
        <w:t>10 (23) декабря 1914 г. царь Николай II утвер</w:t>
      </w:r>
      <w:r w:rsidRPr="00B52707">
        <w:rPr>
          <w:color w:val="0070C0"/>
          <w:sz w:val="16"/>
          <w:szCs w:val="16"/>
        </w:rPr>
        <w:softHyphen/>
        <w:t>дил приказ о формировании Эскадры воздушных кораблей, подчиненной непосредственно Верховному главнокоман</w:t>
      </w:r>
      <w:r w:rsidRPr="00B52707">
        <w:rPr>
          <w:color w:val="0070C0"/>
          <w:sz w:val="16"/>
          <w:szCs w:val="16"/>
        </w:rPr>
        <w:softHyphen/>
        <w:t>дующему. Какое красивое название - «воздушные кораб</w:t>
      </w:r>
      <w:r w:rsidRPr="00B52707">
        <w:rPr>
          <w:color w:val="0070C0"/>
          <w:sz w:val="16"/>
          <w:szCs w:val="16"/>
        </w:rPr>
        <w:softHyphen/>
        <w:t>ли»! А почему бы и нет? Размеры подходящие, экипаж не</w:t>
      </w:r>
      <w:r w:rsidRPr="00B52707">
        <w:rPr>
          <w:color w:val="0070C0"/>
          <w:sz w:val="16"/>
          <w:szCs w:val="16"/>
        </w:rPr>
        <w:softHyphen/>
        <w:t xml:space="preserve">малый, пулеметы (а в перспективе и пушки) в наличии. </w:t>
      </w:r>
      <w:bookmarkStart w:id="213" w:name="bookmark9"/>
      <w:r w:rsidRPr="00B52707">
        <w:rPr>
          <w:color w:val="0070C0"/>
          <w:sz w:val="16"/>
          <w:szCs w:val="16"/>
        </w:rPr>
        <w:t>Это было первое в мире соединение стратегической (в то время ее именовали «тяжелой) авиации, появившееся при</w:t>
      </w:r>
      <w:r w:rsidRPr="00B52707">
        <w:rPr>
          <w:color w:val="0070C0"/>
          <w:sz w:val="16"/>
          <w:szCs w:val="16"/>
        </w:rPr>
        <w:softHyphen/>
        <w:t>мерно на два года раньше, чем подобные структуры в Анг</w:t>
      </w:r>
      <w:r w:rsidRPr="00B52707">
        <w:rPr>
          <w:color w:val="0070C0"/>
          <w:sz w:val="16"/>
          <w:szCs w:val="16"/>
        </w:rPr>
        <w:softHyphen/>
        <w:t>лии, Франции и Германии. Начальником эскадры назначи</w:t>
      </w:r>
      <w:r w:rsidRPr="00B52707">
        <w:rPr>
          <w:color w:val="0070C0"/>
          <w:sz w:val="16"/>
          <w:szCs w:val="16"/>
        </w:rPr>
        <w:softHyphen/>
        <w:t>ли генерал-майора М.В. Шидловского, бывшего морского офицера, а на момент выхода приказа - председателя прав</w:t>
      </w:r>
      <w:r w:rsidRPr="00B52707">
        <w:rPr>
          <w:color w:val="0070C0"/>
          <w:sz w:val="16"/>
          <w:szCs w:val="16"/>
        </w:rPr>
        <w:softHyphen/>
        <w:t>ления РБВЗ.</w:t>
      </w:r>
      <w:bookmarkEnd w:id="213"/>
    </w:p>
    <w:p w14:paraId="57A2B7BF" w14:textId="77777777" w:rsidR="00C7639D" w:rsidRPr="00B52707" w:rsidRDefault="00C7639D" w:rsidP="00C7639D">
      <w:pPr>
        <w:jc w:val="both"/>
        <w:rPr>
          <w:color w:val="0070C0"/>
          <w:sz w:val="16"/>
          <w:szCs w:val="16"/>
        </w:rPr>
      </w:pPr>
      <w:r w:rsidRPr="00B52707">
        <w:rPr>
          <w:color w:val="0070C0"/>
          <w:sz w:val="16"/>
          <w:szCs w:val="16"/>
        </w:rPr>
        <w:t>Эскадра имела большой штат летного и наземного со</w:t>
      </w:r>
      <w:r w:rsidRPr="00B52707">
        <w:rPr>
          <w:color w:val="0070C0"/>
          <w:sz w:val="16"/>
          <w:szCs w:val="16"/>
        </w:rPr>
        <w:softHyphen/>
        <w:t>става, собственные ремонтные мастерские, склады, подраз</w:t>
      </w:r>
      <w:r w:rsidRPr="00B52707">
        <w:rPr>
          <w:color w:val="0070C0"/>
          <w:sz w:val="16"/>
          <w:szCs w:val="16"/>
        </w:rPr>
        <w:softHyphen/>
        <w:t>деления связи, метеослужбу, летную школу с учебными са</w:t>
      </w:r>
      <w:r w:rsidRPr="00B52707">
        <w:rPr>
          <w:color w:val="0070C0"/>
          <w:sz w:val="16"/>
          <w:szCs w:val="16"/>
        </w:rPr>
        <w:softHyphen/>
        <w:t>молетами, автопарк и даже зенитную артиллерию (24977).</w:t>
      </w:r>
    </w:p>
    <w:p w14:paraId="187010B4" w14:textId="77777777" w:rsidR="00C7639D" w:rsidRPr="00B52707" w:rsidRDefault="00C7639D" w:rsidP="00C7639D">
      <w:pPr>
        <w:jc w:val="both"/>
        <w:rPr>
          <w:color w:val="0070C0"/>
          <w:sz w:val="16"/>
          <w:szCs w:val="16"/>
        </w:rPr>
      </w:pPr>
    </w:p>
    <w:p w14:paraId="145B1E84" w14:textId="300292D3" w:rsidR="00582427" w:rsidRPr="00DE096C" w:rsidRDefault="00582427" w:rsidP="00D45A46">
      <w:pPr>
        <w:jc w:val="both"/>
        <w:rPr>
          <w:bCs/>
          <w:color w:val="002060"/>
          <w:sz w:val="16"/>
          <w:szCs w:val="16"/>
        </w:rPr>
      </w:pPr>
      <w:r w:rsidRPr="00DE096C">
        <w:rPr>
          <w:bCs/>
          <w:color w:val="002060"/>
          <w:sz w:val="16"/>
          <w:szCs w:val="16"/>
          <w:lang w:bidi="en-US"/>
        </w:rPr>
        <w:t>10 (23) декабря 1914 г. Российский генеральный штаб издал приказ № 291, в котором говорилось, что вновь сформированное Управление эскадра Вбздушных кораблей (УЭВК) (Управление эскадры летучих кораблей) должно быть подчинено Верховному главнокомандующему в Ставке ).</w:t>
      </w:r>
    </w:p>
    <w:p w14:paraId="06AE7C55" w14:textId="77777777" w:rsidR="00582427" w:rsidRPr="00DE096C" w:rsidRDefault="00582427" w:rsidP="00D45A46">
      <w:pPr>
        <w:jc w:val="both"/>
        <w:rPr>
          <w:bCs/>
          <w:color w:val="002060"/>
          <w:sz w:val="16"/>
          <w:szCs w:val="16"/>
        </w:rPr>
      </w:pPr>
      <w:r w:rsidRPr="00DE096C">
        <w:rPr>
          <w:bCs/>
          <w:color w:val="002060"/>
          <w:sz w:val="16"/>
          <w:szCs w:val="16"/>
          <w:lang w:bidi="en-US"/>
        </w:rPr>
        <w:t>Военный министр назначил М. В. Шидловского, председателя Р-БВЗ, генерал-майором и поручил ему командовать УЭВК, отделившимся теперь от «легкой авиации» великого князя Александра Михайловича. Шидловский находился в подчинении Генерал-лейтенанта Кондзеровского, генерал-адъютанта Ставки Верховного Главнокомандующего. Старшим инженером УЭВК назначен старший лейтенант Никольский М.Н. (23525)</w:t>
      </w:r>
    </w:p>
    <w:p w14:paraId="6EE47C34" w14:textId="77777777" w:rsidR="00582427" w:rsidRPr="00DE096C" w:rsidRDefault="00582427" w:rsidP="00D45A46">
      <w:pPr>
        <w:jc w:val="both"/>
        <w:rPr>
          <w:bCs/>
          <w:color w:val="002060"/>
          <w:sz w:val="16"/>
          <w:szCs w:val="16"/>
        </w:rPr>
      </w:pPr>
    </w:p>
    <w:p w14:paraId="36E9300B" w14:textId="77777777" w:rsidR="007F41A5" w:rsidRPr="00DE096C" w:rsidRDefault="007F41A5" w:rsidP="00D45A46">
      <w:pPr>
        <w:pStyle w:val="a3"/>
        <w:jc w:val="both"/>
        <w:rPr>
          <w:bCs/>
          <w:color w:val="002060"/>
          <w:spacing w:val="0"/>
          <w:kern w:val="0"/>
          <w:position w:val="0"/>
          <w:sz w:val="16"/>
          <w:szCs w:val="16"/>
        </w:rPr>
      </w:pPr>
      <w:r w:rsidRPr="00DE096C">
        <w:rPr>
          <w:bCs/>
          <w:color w:val="002060"/>
          <w:spacing w:val="0"/>
          <w:kern w:val="0"/>
          <w:position w:val="0"/>
          <w:sz w:val="16"/>
          <w:szCs w:val="16"/>
        </w:rPr>
        <w:t>Авиация и воздухоплавание Англии:</w:t>
      </w:r>
    </w:p>
    <w:p w14:paraId="2AE4E38C" w14:textId="77777777" w:rsidR="007F41A5" w:rsidRPr="00DE096C" w:rsidRDefault="007F41A5" w:rsidP="00D45A46">
      <w:pPr>
        <w:pStyle w:val="a3"/>
        <w:jc w:val="both"/>
        <w:rPr>
          <w:bCs/>
          <w:color w:val="002060"/>
          <w:spacing w:val="0"/>
          <w:kern w:val="0"/>
          <w:position w:val="0"/>
          <w:sz w:val="16"/>
          <w:szCs w:val="16"/>
        </w:rPr>
      </w:pPr>
    </w:p>
    <w:p w14:paraId="29FA4BA0" w14:textId="2CBE5740" w:rsidR="007F41A5" w:rsidRPr="00DE096C" w:rsidRDefault="007F41A5" w:rsidP="00D45A46">
      <w:pPr>
        <w:jc w:val="both"/>
        <w:rPr>
          <w:bCs/>
          <w:color w:val="002060"/>
          <w:sz w:val="16"/>
          <w:szCs w:val="16"/>
        </w:rPr>
      </w:pPr>
      <w:r w:rsidRPr="00DE096C">
        <w:rPr>
          <w:bCs/>
          <w:color w:val="002060"/>
          <w:sz w:val="16"/>
          <w:szCs w:val="16"/>
        </w:rPr>
        <w:t xml:space="preserve">10 и 11 (23 и 24) декабря </w:t>
      </w:r>
      <w:r w:rsidR="00F36791" w:rsidRPr="00DE096C">
        <w:rPr>
          <w:bCs/>
          <w:color w:val="002060"/>
          <w:sz w:val="16"/>
          <w:szCs w:val="16"/>
        </w:rPr>
        <w:t xml:space="preserve">1914 г. вечером </w:t>
      </w:r>
      <w:r w:rsidRPr="00DE096C">
        <w:rPr>
          <w:bCs/>
          <w:color w:val="002060"/>
          <w:sz w:val="16"/>
          <w:szCs w:val="16"/>
        </w:rPr>
        <w:t xml:space="preserve">одиннадцать подводных лодок отбыли из Гарвича. 24 декабря в 5.00 плавбазы отчалили от пирса и в сопровождении 1-й эскадры эсминцев, 6-й эскадры крейсеров, 2-й флотилии и других кораблей вышли в море. Общее количество кораблей, участвующих в операции, насчитывало более ста единиц. </w:t>
      </w:r>
    </w:p>
    <w:p w14:paraId="023403D5" w14:textId="77777777" w:rsidR="007F41A5" w:rsidRPr="00DE096C" w:rsidRDefault="007F41A5" w:rsidP="00D45A46">
      <w:pPr>
        <w:jc w:val="both"/>
        <w:rPr>
          <w:bCs/>
          <w:color w:val="002060"/>
          <w:sz w:val="16"/>
          <w:szCs w:val="16"/>
        </w:rPr>
      </w:pPr>
      <w:r w:rsidRPr="00DE096C">
        <w:rPr>
          <w:bCs/>
          <w:color w:val="002060"/>
          <w:sz w:val="16"/>
          <w:szCs w:val="16"/>
        </w:rPr>
        <w:t xml:space="preserve">Немецкая разведка, действующая в Англии, зафиксировала в октябре, ноябре и декабре оживление на базе флота в Гарвиче и оповестила об этом свое руководство. Командование ВМФ Германии, получив четыре сообщения, которые, в конечном счете, ни к чему не привели, пятое пропустило мимо ушей, посчитав, что было бы весьма глупо ожидать нападения противника накануне Рождества. [267] </w:t>
      </w:r>
    </w:p>
    <w:p w14:paraId="2083B987" w14:textId="77777777" w:rsidR="007F41A5" w:rsidRPr="00DE096C" w:rsidRDefault="007F41A5" w:rsidP="00D45A46">
      <w:pPr>
        <w:jc w:val="both"/>
        <w:rPr>
          <w:bCs/>
          <w:color w:val="002060"/>
          <w:sz w:val="16"/>
          <w:szCs w:val="16"/>
        </w:rPr>
      </w:pPr>
      <w:r w:rsidRPr="00DE096C">
        <w:rPr>
          <w:bCs/>
          <w:color w:val="002060"/>
          <w:sz w:val="16"/>
          <w:szCs w:val="16"/>
        </w:rPr>
        <w:t xml:space="preserve">25 декабря в 6.00 плавбазы достигли пункта назначения, который находился в сорока милях к северо-западу от Куксхафена. Основные ударные силы флотилии взяли акваторию этого района в кольцо. Не мешкая, плавбазы спустили самолеты на воду. Это были поплавковые бипланы: четыре «Шорт Тип 74», два «Шорт Тип 135» и три «Шорт Фолдерс». В 6.54 был дан сигнал к старту. Пилоты стали запускать двигатели, но сырая морозная погода сыграла злую шутку. К 7.00 только два «Шорт Тип 74» смогли уйти на задание, за ними, с большим интервалом времени, отправились еще пять самолетов. Две машины не смогли завестись и были подняты на борт. </w:t>
      </w:r>
    </w:p>
    <w:p w14:paraId="78713DE5" w14:textId="77777777" w:rsidR="007F41A5" w:rsidRPr="00DE096C" w:rsidRDefault="007F41A5" w:rsidP="00D45A46">
      <w:pPr>
        <w:jc w:val="both"/>
        <w:rPr>
          <w:bCs/>
          <w:color w:val="002060"/>
          <w:sz w:val="16"/>
          <w:szCs w:val="16"/>
        </w:rPr>
      </w:pPr>
      <w:r w:rsidRPr="00DE096C">
        <w:rPr>
          <w:bCs/>
          <w:color w:val="002060"/>
          <w:sz w:val="16"/>
          <w:szCs w:val="16"/>
        </w:rPr>
        <w:t xml:space="preserve">В течение 90 минут армада английских кораблей оставалась незамеченной немецкими подлодками и другими судами, патрулирующими подходы к побережью. В дело вмешался случай. В 5.30 сигнальщики немецкого линейного корабля «Мекленбург» приняли за врага свой тральщик, который подходил к устью Эльбы. Линкор открыл огонь, чем поднял всех на ноги. Корабли, стоящие на рейде и в порту Куксхафена, также объявили тревогу. Пока разбирались с этим досадным происшествием, прошло немало времени, а самолеты англичан были уже в пути. Это обстоятельство привело к тому, что на подлете к цели британских пилотов встречала приведенная в боеготовность военно-морская база Куксхафен. </w:t>
      </w:r>
    </w:p>
    <w:p w14:paraId="2B606078" w14:textId="77777777" w:rsidR="007F41A5" w:rsidRPr="00DE096C" w:rsidRDefault="007F41A5" w:rsidP="00D45A46">
      <w:pPr>
        <w:jc w:val="both"/>
        <w:rPr>
          <w:bCs/>
          <w:color w:val="002060"/>
          <w:sz w:val="16"/>
          <w:szCs w:val="16"/>
        </w:rPr>
      </w:pPr>
      <w:r w:rsidRPr="00DE096C">
        <w:rPr>
          <w:bCs/>
          <w:color w:val="002060"/>
          <w:sz w:val="16"/>
          <w:szCs w:val="16"/>
        </w:rPr>
        <w:t xml:space="preserve">«Дуглас Оливер и наблюдатель Будде летели в сплошном тумане уже около тридцати минут. Пилот с беспокойством всматривался вниз: видимость была отвратительной. Погода в Рождество 1914 года была холодной и спокойной, но ни один из членов экипажа, несмотря на то что они находились в открытых кабинах, не испытывал холода. Острое чувство волнения при выполнении опасного боевого задания не покидало их на протяжении всего полета. </w:t>
      </w:r>
    </w:p>
    <w:p w14:paraId="2B61B330" w14:textId="77777777" w:rsidR="007F41A5" w:rsidRPr="00DE096C" w:rsidRDefault="007F41A5" w:rsidP="00D45A46">
      <w:pPr>
        <w:jc w:val="both"/>
        <w:rPr>
          <w:bCs/>
          <w:color w:val="002060"/>
          <w:sz w:val="16"/>
          <w:szCs w:val="16"/>
        </w:rPr>
      </w:pPr>
      <w:r w:rsidRPr="00DE096C">
        <w:rPr>
          <w:bCs/>
          <w:color w:val="002060"/>
          <w:sz w:val="16"/>
          <w:szCs w:val="16"/>
        </w:rPr>
        <w:t xml:space="preserve">Одномоторный двухместный поплавковый биплан «Шорт Тип 74», несмотря на большую нагрузку, включающую дополнительное топливо и три 20-фунтовые бомбы, летел легко и хорошо слушался рулей. Стосильный двигатель монотонно гудел, отбрасывая назад своим воздушным винтом клочья тумана. Главное беспокойство у экипажа вызывало топливо, которого должно хватить на 3 часа полета. Если поиск цели затянется или они потеряют ориентировку, его может быть недостаточно на обратный путь в Северное море, где их ожидает плавбаза. </w:t>
      </w:r>
    </w:p>
    <w:p w14:paraId="5E23F8E0" w14:textId="77777777" w:rsidR="007F41A5" w:rsidRPr="00DE096C" w:rsidRDefault="007F41A5" w:rsidP="00D45A46">
      <w:pPr>
        <w:jc w:val="both"/>
        <w:rPr>
          <w:bCs/>
          <w:color w:val="002060"/>
          <w:sz w:val="16"/>
          <w:szCs w:val="16"/>
        </w:rPr>
      </w:pPr>
      <w:r w:rsidRPr="00DE096C">
        <w:rPr>
          <w:bCs/>
          <w:color w:val="002060"/>
          <w:sz w:val="16"/>
          <w:szCs w:val="16"/>
        </w:rPr>
        <w:t xml:space="preserve">Видимость продолжала ухудшаться, и Оливер, чтобы пробить туман, решил уменьшить высоту полета с 600 до 200 м. Самолет вывалился из серой пелены прямо над Эльбой. Впереди пилот увидел зенитную батарею, расчет которой подавал ему световые сигналы, требуя подтверждения, что он свой. Быстро сориентировавшись на местности, Оливер бросил свою машину назад в туман. Зенитчики открыли запоздалый огонь по их самолету, но не достигли успеха. Переведя дух, Дуглас взял курс на цель — ангары немецких цеппелинов в Куксхафене, но погода явно вмешивалась в развитие ситуации...» [268] </w:t>
      </w:r>
    </w:p>
    <w:p w14:paraId="250F8B4F" w14:textId="77777777" w:rsidR="007F41A5" w:rsidRPr="00DE096C" w:rsidRDefault="007F41A5" w:rsidP="00D45A46">
      <w:pPr>
        <w:jc w:val="both"/>
        <w:rPr>
          <w:bCs/>
          <w:color w:val="002060"/>
          <w:sz w:val="16"/>
          <w:szCs w:val="16"/>
        </w:rPr>
      </w:pPr>
      <w:r w:rsidRPr="00DE096C">
        <w:rPr>
          <w:bCs/>
          <w:color w:val="002060"/>
          <w:sz w:val="16"/>
          <w:szCs w:val="16"/>
        </w:rPr>
        <w:t xml:space="preserve">Немецкая подлодка U-6 в 7.30 наткнулась в двадцати милях от берега на английские корабли и передала сообщение в штаб. В 7.45 британский пилот Фрэнсис Хьюлетт, достигнув в тумане устья Эльбы, решил спуститься ниже, чтобы определиться на местности. Там в полной готовности его ожидали зенитчики базы и линейного корабля. Шквальный огонь заставил Хьюлетта тут же уйти назад в туман. Другие британские пилоты в тумане разбрелись кто куда. Причем, что было обидно, над морем царила ясная морозная погода с прекрасной видимостью и только у самого берега стоял густой туман, который свел на нет все усилия англичан найти базу цеппелинов. </w:t>
      </w:r>
    </w:p>
    <w:p w14:paraId="606018AF" w14:textId="77777777" w:rsidR="007F41A5" w:rsidRPr="00DE096C" w:rsidRDefault="007F41A5" w:rsidP="00D45A46">
      <w:pPr>
        <w:jc w:val="both"/>
        <w:rPr>
          <w:bCs/>
          <w:color w:val="002060"/>
          <w:sz w:val="16"/>
          <w:szCs w:val="16"/>
        </w:rPr>
      </w:pPr>
      <w:r w:rsidRPr="00DE096C">
        <w:rPr>
          <w:bCs/>
          <w:color w:val="002060"/>
          <w:sz w:val="16"/>
          <w:szCs w:val="16"/>
        </w:rPr>
        <w:t xml:space="preserve">В течение двух часов они пытались ее отыскать, снижаясь к земле, где их ожидали зенитные батареи, и опять уходя в туман. Топливо было на пределе, и пилоты решили сбрасывать бомбы на любую цель. Хьюлетт отбомбился по эсминцу, пилот Роберт Росс засек подлодку и сбросил на нее бомбы, знакомый нам Дуглас Оливер атаковал базу гидросамолетов на острове Лангеог, Чарльз Эдмондс напал на крейсера «Штральзунд» и «Грауденц», Вивиан Блэкбурн в очередной раз нарвался на </w:t>
      </w:r>
      <w:r w:rsidRPr="00DE096C">
        <w:rPr>
          <w:bCs/>
          <w:color w:val="002060"/>
          <w:sz w:val="16"/>
          <w:szCs w:val="16"/>
        </w:rPr>
        <w:lastRenderedPageBreak/>
        <w:t xml:space="preserve">зенитный огонь и, уходя от него, сбросил бомбы на город Вильгельмсхафен. Сесил Килнер и Арнольд Майлей подходящей цели так и не нашли, поэтому на обратном пути сбросили бомбы куда попало. Позже немцы признались, что несколько бомб все-таки взорвались в районе базы цеппелинов, но особого вреда ей не нанесли. </w:t>
      </w:r>
    </w:p>
    <w:p w14:paraId="619FDA3F" w14:textId="77777777" w:rsidR="007F41A5" w:rsidRPr="00DE096C" w:rsidRDefault="007F41A5" w:rsidP="00D45A46">
      <w:pPr>
        <w:jc w:val="both"/>
        <w:rPr>
          <w:bCs/>
          <w:color w:val="002060"/>
          <w:sz w:val="16"/>
          <w:szCs w:val="16"/>
        </w:rPr>
      </w:pPr>
      <w:r w:rsidRPr="00DE096C">
        <w:rPr>
          <w:bCs/>
          <w:color w:val="002060"/>
          <w:sz w:val="16"/>
          <w:szCs w:val="16"/>
        </w:rPr>
        <w:t xml:space="preserve">Находясь в течение почти пяти часов в германских водах, корабли Тирвитта были атакованы цеппелинами L-5 и L-6 и несколькими гидросамолетами, которые энергично проводили атаки, но безрезультатно. </w:t>
      </w:r>
    </w:p>
    <w:p w14:paraId="4C849993" w14:textId="77777777" w:rsidR="007F41A5" w:rsidRPr="00DE096C" w:rsidRDefault="007F41A5" w:rsidP="00D45A46">
      <w:pPr>
        <w:jc w:val="both"/>
        <w:rPr>
          <w:bCs/>
          <w:color w:val="002060"/>
          <w:sz w:val="16"/>
          <w:szCs w:val="16"/>
        </w:rPr>
      </w:pPr>
      <w:r w:rsidRPr="00DE096C">
        <w:rPr>
          <w:bCs/>
          <w:color w:val="002060"/>
          <w:sz w:val="16"/>
          <w:szCs w:val="16"/>
        </w:rPr>
        <w:t xml:space="preserve">Отбомбившись, самолеты развернулись в сторону моря и полетели к точке, где их ожидали плавбазы. Последняя машина пересекла линию побережья в 9.45. Бензин был на исходе, и только двум самолетам удалось добраться до своих кораблей. Остальные приводнились в море, где часть из них после длительного поиска подобрали эсминцы. Кстати, один из экипажей пыталась спасти подводная лодка Е-11, но подоспевший цеппелин заставил ее спешно погрузиться. Один экипаж подобрало голландское рыбачье судно. В 11.45 английские корабли взяли курс домой. Эсминцы, прикрывая отступление основного отряда, стали отходить после полудня, а патрулирующие подлодки — после 20.00. </w:t>
      </w:r>
    </w:p>
    <w:p w14:paraId="16046B74" w14:textId="77777777" w:rsidR="007F41A5" w:rsidRPr="00DE096C" w:rsidRDefault="007F41A5" w:rsidP="00D45A46">
      <w:pPr>
        <w:jc w:val="both"/>
        <w:rPr>
          <w:bCs/>
          <w:color w:val="002060"/>
          <w:sz w:val="16"/>
          <w:szCs w:val="16"/>
        </w:rPr>
      </w:pPr>
      <w:r w:rsidRPr="00DE096C">
        <w:rPr>
          <w:bCs/>
          <w:color w:val="002060"/>
          <w:sz w:val="16"/>
          <w:szCs w:val="16"/>
        </w:rPr>
        <w:t>Таким образом, операция по уничтожению базы цеппелинов в Куксхафене потерпела неудачу. Оставалось только утешиться тем фактом, что авиация и флот впервые провели согласованную боевую операцию и нанесли совместный удар по территории врага. Хотя вражеские воздушные корабли и уцелели, англичане продемонстрировали свою готовность ответить на готовящееся нападение германских цеппелинов (11324).</w:t>
      </w:r>
    </w:p>
    <w:p w14:paraId="429B0CD2" w14:textId="77777777" w:rsidR="007F41A5" w:rsidRPr="00DE096C" w:rsidRDefault="007F41A5" w:rsidP="00D45A46">
      <w:pPr>
        <w:jc w:val="both"/>
        <w:rPr>
          <w:bCs/>
          <w:i/>
          <w:color w:val="002060"/>
          <w:sz w:val="16"/>
          <w:szCs w:val="16"/>
        </w:rPr>
      </w:pPr>
    </w:p>
    <w:p w14:paraId="558892A1" w14:textId="5D371F11" w:rsidR="001C4606" w:rsidRPr="00DE096C" w:rsidRDefault="001C4606" w:rsidP="00D45A46">
      <w:pPr>
        <w:jc w:val="both"/>
        <w:rPr>
          <w:bCs/>
          <w:i/>
          <w:color w:val="002060"/>
          <w:sz w:val="16"/>
          <w:szCs w:val="16"/>
        </w:rPr>
      </w:pPr>
      <w:r w:rsidRPr="00DE096C">
        <w:rPr>
          <w:bCs/>
          <w:i/>
          <w:color w:val="002060"/>
          <w:sz w:val="16"/>
          <w:szCs w:val="16"/>
        </w:rPr>
        <w:t>Авиация:</w:t>
      </w:r>
    </w:p>
    <w:p w14:paraId="62F5CAA7" w14:textId="77777777" w:rsidR="001C4606" w:rsidRPr="00DE096C" w:rsidRDefault="001C4606" w:rsidP="00D45A46">
      <w:pPr>
        <w:jc w:val="both"/>
        <w:rPr>
          <w:bCs/>
          <w:i/>
          <w:color w:val="002060"/>
          <w:sz w:val="16"/>
          <w:szCs w:val="16"/>
        </w:rPr>
      </w:pPr>
    </w:p>
    <w:p w14:paraId="0A6C6308" w14:textId="77777777" w:rsidR="001C4606" w:rsidRPr="00DE096C" w:rsidRDefault="001C4606" w:rsidP="00D45A46">
      <w:pPr>
        <w:jc w:val="both"/>
        <w:rPr>
          <w:bCs/>
          <w:color w:val="002060"/>
          <w:sz w:val="16"/>
          <w:szCs w:val="16"/>
        </w:rPr>
      </w:pPr>
      <w:r w:rsidRPr="00DE096C">
        <w:rPr>
          <w:bCs/>
          <w:color w:val="002060"/>
          <w:sz w:val="16"/>
          <w:szCs w:val="16"/>
        </w:rPr>
        <w:t>11 декабря 1914 г. № 4594</w:t>
      </w:r>
    </w:p>
    <w:p w14:paraId="7B1FCEC5" w14:textId="77777777" w:rsidR="001C4606" w:rsidRPr="00DE096C" w:rsidRDefault="001C4606" w:rsidP="00D45A46">
      <w:pPr>
        <w:jc w:val="both"/>
        <w:rPr>
          <w:bCs/>
          <w:color w:val="002060"/>
          <w:sz w:val="16"/>
          <w:szCs w:val="16"/>
        </w:rPr>
      </w:pPr>
      <w:r w:rsidRPr="00DE096C">
        <w:rPr>
          <w:bCs/>
          <w:color w:val="002060"/>
          <w:sz w:val="16"/>
          <w:szCs w:val="16"/>
        </w:rPr>
        <w:t>8 декабря 1914 г. выписка из журнала Военного Совета № 420</w:t>
      </w:r>
    </w:p>
    <w:p w14:paraId="0E4C437F" w14:textId="77777777" w:rsidR="001C4606" w:rsidRPr="00DE096C" w:rsidRDefault="001C4606" w:rsidP="00D45A46">
      <w:pPr>
        <w:pStyle w:val="50"/>
        <w:spacing w:before="0" w:after="0" w:line="240" w:lineRule="auto"/>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Слушали представление главного управлсния генеральнаго штаба от 6-го декабря 1914 года за № 4960 /секр./, о штат управления эскадр. воздушных кораблей.</w:t>
      </w:r>
    </w:p>
    <w:p w14:paraId="1EC61038" w14:textId="77777777" w:rsidR="001C4606" w:rsidRPr="00DE096C" w:rsidRDefault="001C4606" w:rsidP="00D45A46">
      <w:pPr>
        <w:pStyle w:val="50"/>
        <w:spacing w:before="0" w:after="0" w:line="240" w:lineRule="auto"/>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Военный Советь положил:</w:t>
      </w:r>
    </w:p>
    <w:p w14:paraId="2F68E6D9" w14:textId="77777777" w:rsidR="001C4606" w:rsidRPr="00DE096C" w:rsidRDefault="001C4606" w:rsidP="00D45A46">
      <w:pPr>
        <w:pStyle w:val="50"/>
        <w:spacing w:before="0" w:after="0" w:line="240" w:lineRule="auto"/>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I/ Сформировать, на все время настоящей войны, у</w:t>
      </w:r>
      <w:r w:rsidRPr="00DE096C">
        <w:rPr>
          <w:rFonts w:ascii="Times New Roman" w:hAnsi="Times New Roman" w:cs="Times New Roman"/>
          <w:bCs/>
          <w:color w:val="002060"/>
          <w:sz w:val="16"/>
          <w:szCs w:val="16"/>
          <w:lang w:bidi="en-US"/>
        </w:rPr>
        <w:t>п</w:t>
      </w:r>
      <w:r w:rsidRPr="00DE096C">
        <w:rPr>
          <w:rFonts w:ascii="Times New Roman" w:hAnsi="Times New Roman" w:cs="Times New Roman"/>
          <w:bCs/>
          <w:color w:val="002060"/>
          <w:sz w:val="16"/>
          <w:szCs w:val="16"/>
          <w:lang w:val="en-US" w:bidi="en-US"/>
        </w:rPr>
        <w:t>pa</w:t>
      </w:r>
      <w:r w:rsidRPr="00DE096C">
        <w:rPr>
          <w:rFonts w:ascii="Times New Roman" w:hAnsi="Times New Roman" w:cs="Times New Roman"/>
          <w:bCs/>
          <w:color w:val="002060"/>
          <w:sz w:val="16"/>
          <w:szCs w:val="16"/>
          <w:lang w:bidi="en-US"/>
        </w:rPr>
        <w:t xml:space="preserve">вление </w:t>
      </w:r>
      <w:r w:rsidRPr="00DE096C">
        <w:rPr>
          <w:rFonts w:ascii="Times New Roman" w:hAnsi="Times New Roman" w:cs="Times New Roman"/>
          <w:bCs/>
          <w:color w:val="002060"/>
          <w:sz w:val="16"/>
          <w:szCs w:val="16"/>
        </w:rPr>
        <w:t>эскадры воздушных кораблей по штату, согласно прилагаемому проекту.</w:t>
      </w:r>
    </w:p>
    <w:p w14:paraId="666CD6A4" w14:textId="77777777" w:rsidR="001C4606" w:rsidRPr="00DE096C" w:rsidRDefault="001C4606" w:rsidP="00D45A46">
      <w:pPr>
        <w:jc w:val="both"/>
        <w:rPr>
          <w:bCs/>
          <w:color w:val="002060"/>
          <w:sz w:val="16"/>
          <w:szCs w:val="16"/>
        </w:rPr>
      </w:pPr>
      <w:r w:rsidRPr="00DE096C">
        <w:rPr>
          <w:bCs/>
          <w:color w:val="002060"/>
          <w:sz w:val="16"/>
          <w:szCs w:val="16"/>
        </w:rPr>
        <w:t>2/ Присвоить начальнику эскадры воздушных кораблей дисциплинарные права командира – неотдельной бригады, а в хозяйственном отношении права командира полка.</w:t>
      </w:r>
    </w:p>
    <w:p w14:paraId="78733A2D" w14:textId="77777777" w:rsidR="001C4606" w:rsidRPr="00DE096C" w:rsidRDefault="001C4606" w:rsidP="00D45A46">
      <w:pPr>
        <w:jc w:val="both"/>
        <w:rPr>
          <w:bCs/>
          <w:color w:val="002060"/>
          <w:sz w:val="16"/>
          <w:szCs w:val="16"/>
        </w:rPr>
      </w:pPr>
      <w:r w:rsidRPr="00DE096C">
        <w:rPr>
          <w:bCs/>
          <w:color w:val="002060"/>
          <w:sz w:val="16"/>
          <w:szCs w:val="16"/>
        </w:rPr>
        <w:t>3/ Первоначальное обзаведение управления эскадры вовдушных кораблей имуществом произвести распоряжснгемъ подлежащих главных управлений с тем, чтобы ими были бы своевременно испрошены в установленном порядке необходимые де</w:t>
      </w:r>
      <w:r w:rsidRPr="00DE096C">
        <w:rPr>
          <w:bCs/>
          <w:color w:val="002060"/>
          <w:sz w:val="16"/>
          <w:szCs w:val="16"/>
        </w:rPr>
        <w:softHyphen/>
        <w:t>нежные отпуски на пополнение соответствующих имущества.</w:t>
      </w:r>
    </w:p>
    <w:p w14:paraId="778BC010" w14:textId="77777777" w:rsidR="001C4606" w:rsidRPr="00DE096C" w:rsidRDefault="001C4606" w:rsidP="00D45A46">
      <w:pPr>
        <w:jc w:val="both"/>
        <w:rPr>
          <w:bCs/>
          <w:color w:val="002060"/>
          <w:sz w:val="16"/>
          <w:szCs w:val="16"/>
        </w:rPr>
      </w:pPr>
      <w:r w:rsidRPr="00DE096C">
        <w:rPr>
          <w:bCs/>
          <w:color w:val="002060"/>
          <w:sz w:val="16"/>
          <w:szCs w:val="16"/>
        </w:rPr>
        <w:t>4/ Отпустить теперь же из военного фонда noco6иe управлению эскадры вовдушных кораблей въ сумме 1.000 руб. на заведение необходимаго, но не предусмотренного табелями имущества, с причислениемъ этой суммы к пар. 17 ст. 2 сметы главного штаба.</w:t>
      </w:r>
    </w:p>
    <w:p w14:paraId="47541F6C" w14:textId="77777777" w:rsidR="001C4606" w:rsidRPr="00DE096C" w:rsidRDefault="001C4606" w:rsidP="00D45A46">
      <w:pPr>
        <w:jc w:val="both"/>
        <w:rPr>
          <w:bCs/>
          <w:color w:val="002060"/>
          <w:sz w:val="16"/>
          <w:szCs w:val="16"/>
        </w:rPr>
      </w:pPr>
      <w:r w:rsidRPr="00DE096C">
        <w:rPr>
          <w:bCs/>
          <w:color w:val="002060"/>
          <w:sz w:val="16"/>
          <w:szCs w:val="16"/>
        </w:rPr>
        <w:t>5/ Расходы по сформированию и содержанию управления эскадры вовдушныхъ кораблей отнести на военный фондъ.</w:t>
      </w:r>
    </w:p>
    <w:p w14:paraId="01464496" w14:textId="14B1997D" w:rsidR="001C4606" w:rsidRPr="00DE096C" w:rsidRDefault="001C4606" w:rsidP="00D45A46">
      <w:pPr>
        <w:jc w:val="both"/>
        <w:rPr>
          <w:bCs/>
          <w:color w:val="002060"/>
          <w:sz w:val="16"/>
          <w:szCs w:val="16"/>
        </w:rPr>
      </w:pPr>
      <w:r w:rsidRPr="00DE096C">
        <w:rPr>
          <w:bCs/>
          <w:color w:val="002060"/>
          <w:sz w:val="16"/>
          <w:szCs w:val="16"/>
        </w:rPr>
        <w:t>Пункты I и 2</w:t>
      </w:r>
      <w:r w:rsidR="0006581C">
        <w:rPr>
          <w:bCs/>
          <w:color w:val="002060"/>
          <w:sz w:val="16"/>
          <w:szCs w:val="16"/>
        </w:rPr>
        <w:t xml:space="preserve"> </w:t>
      </w:r>
      <w:r w:rsidRPr="00DE096C">
        <w:rPr>
          <w:bCs/>
          <w:color w:val="002060"/>
          <w:sz w:val="16"/>
          <w:szCs w:val="16"/>
        </w:rPr>
        <w:t>настоящего положения и упомянутый проект ВЫСОЧАЙШЕ утверждены.</w:t>
      </w:r>
    </w:p>
    <w:p w14:paraId="7FC1D381" w14:textId="77777777" w:rsidR="001C4606" w:rsidRPr="00DE096C" w:rsidRDefault="001C4606" w:rsidP="00D45A46">
      <w:pPr>
        <w:jc w:val="both"/>
        <w:rPr>
          <w:bCs/>
          <w:color w:val="002060"/>
          <w:sz w:val="16"/>
          <w:szCs w:val="16"/>
        </w:rPr>
      </w:pPr>
      <w:r w:rsidRPr="00DE096C">
        <w:rPr>
          <w:bCs/>
          <w:color w:val="002060"/>
          <w:sz w:val="16"/>
          <w:szCs w:val="16"/>
        </w:rPr>
        <w:t>10-го декабря 1914 года.</w:t>
      </w:r>
    </w:p>
    <w:p w14:paraId="49DBF1BA" w14:textId="77777777" w:rsidR="001C4606" w:rsidRPr="00DE096C" w:rsidRDefault="001C4606" w:rsidP="00D45A46">
      <w:pPr>
        <w:jc w:val="both"/>
        <w:rPr>
          <w:bCs/>
          <w:color w:val="002060"/>
          <w:sz w:val="16"/>
          <w:szCs w:val="16"/>
        </w:rPr>
      </w:pPr>
      <w:r w:rsidRPr="00DE096C">
        <w:rPr>
          <w:bCs/>
          <w:color w:val="002060"/>
          <w:sz w:val="16"/>
          <w:szCs w:val="16"/>
        </w:rPr>
        <w:t>Прилагаемый проект, по снятию копии, подлежит возвращению.</w:t>
      </w:r>
    </w:p>
    <w:p w14:paraId="15D54750" w14:textId="77777777" w:rsidR="001C4606" w:rsidRPr="00DE096C" w:rsidRDefault="001C4606" w:rsidP="00D45A46">
      <w:pPr>
        <w:jc w:val="both"/>
        <w:rPr>
          <w:bCs/>
          <w:color w:val="002060"/>
          <w:sz w:val="16"/>
          <w:szCs w:val="16"/>
        </w:rPr>
      </w:pPr>
      <w:r w:rsidRPr="00DE096C">
        <w:rPr>
          <w:bCs/>
          <w:color w:val="002060"/>
          <w:sz w:val="16"/>
          <w:szCs w:val="16"/>
        </w:rPr>
        <w:t>Подписал</w:t>
      </w:r>
    </w:p>
    <w:p w14:paraId="321D7A44" w14:textId="77777777" w:rsidR="001C4606" w:rsidRPr="00DE096C" w:rsidRDefault="001C4606" w:rsidP="00D45A46">
      <w:pPr>
        <w:jc w:val="both"/>
        <w:rPr>
          <w:bCs/>
          <w:color w:val="002060"/>
          <w:sz w:val="16"/>
          <w:szCs w:val="16"/>
        </w:rPr>
      </w:pPr>
      <w:r w:rsidRPr="00DE096C">
        <w:rPr>
          <w:bCs/>
          <w:color w:val="002060"/>
          <w:sz w:val="16"/>
          <w:szCs w:val="16"/>
        </w:rPr>
        <w:t>И.д. начальника канцелярии, генерал - лейтенант Лукомский.</w:t>
      </w:r>
    </w:p>
    <w:p w14:paraId="2FE85101" w14:textId="77777777" w:rsidR="001C4606" w:rsidRPr="00DE096C" w:rsidRDefault="001C4606" w:rsidP="00D45A46">
      <w:pPr>
        <w:jc w:val="both"/>
        <w:rPr>
          <w:bCs/>
          <w:color w:val="002060"/>
          <w:sz w:val="16"/>
          <w:szCs w:val="16"/>
        </w:rPr>
      </w:pPr>
      <w:r w:rsidRPr="00DE096C">
        <w:rPr>
          <w:bCs/>
          <w:color w:val="002060"/>
          <w:sz w:val="16"/>
          <w:szCs w:val="16"/>
        </w:rPr>
        <w:t>Скрепил и Верно: За делопроизводителя, полковник (23469).</w:t>
      </w:r>
    </w:p>
    <w:p w14:paraId="3F583B0D" w14:textId="77777777" w:rsidR="001C4606" w:rsidRPr="00DE096C" w:rsidRDefault="001C4606" w:rsidP="00D45A46">
      <w:pPr>
        <w:jc w:val="both"/>
        <w:rPr>
          <w:bCs/>
          <w:i/>
          <w:color w:val="002060"/>
          <w:sz w:val="16"/>
          <w:szCs w:val="16"/>
        </w:rPr>
      </w:pPr>
    </w:p>
    <w:p w14:paraId="5147994C" w14:textId="009DC341" w:rsidR="007F41A5" w:rsidRPr="00DE096C" w:rsidRDefault="007F41A5" w:rsidP="00D45A46">
      <w:pPr>
        <w:jc w:val="both"/>
        <w:rPr>
          <w:bCs/>
          <w:i/>
          <w:color w:val="002060"/>
          <w:sz w:val="16"/>
          <w:szCs w:val="16"/>
        </w:rPr>
      </w:pPr>
      <w:r w:rsidRPr="00DE096C">
        <w:rPr>
          <w:bCs/>
          <w:i/>
          <w:color w:val="002060"/>
          <w:sz w:val="16"/>
          <w:szCs w:val="16"/>
        </w:rPr>
        <w:t>Авиация и воздухоплавание Германии:</w:t>
      </w:r>
    </w:p>
    <w:p w14:paraId="42D0DD9D" w14:textId="77777777" w:rsidR="007F41A5" w:rsidRPr="00DE096C" w:rsidRDefault="007F41A5" w:rsidP="00D45A46">
      <w:pPr>
        <w:jc w:val="both"/>
        <w:rPr>
          <w:bCs/>
          <w:i/>
          <w:color w:val="002060"/>
          <w:sz w:val="16"/>
          <w:szCs w:val="16"/>
        </w:rPr>
      </w:pPr>
    </w:p>
    <w:p w14:paraId="61D2A42E" w14:textId="52A87048" w:rsidR="007F41A5" w:rsidRPr="00DE096C" w:rsidRDefault="007F41A5" w:rsidP="00D45A46">
      <w:pPr>
        <w:jc w:val="both"/>
        <w:rPr>
          <w:bCs/>
          <w:color w:val="002060"/>
          <w:sz w:val="16"/>
          <w:szCs w:val="16"/>
        </w:rPr>
      </w:pPr>
      <w:r w:rsidRPr="00DE096C">
        <w:rPr>
          <w:bCs/>
          <w:color w:val="002060"/>
          <w:sz w:val="16"/>
          <w:szCs w:val="16"/>
        </w:rPr>
        <w:t xml:space="preserve">11 (24) декабря в 1914 году </w:t>
      </w:r>
      <w:r w:rsidR="00F36791" w:rsidRPr="00DE096C">
        <w:rPr>
          <w:bCs/>
          <w:color w:val="002060"/>
          <w:sz w:val="16"/>
          <w:szCs w:val="16"/>
        </w:rPr>
        <w:t xml:space="preserve">состоялся </w:t>
      </w:r>
      <w:r w:rsidRPr="00DE096C">
        <w:rPr>
          <w:bCs/>
          <w:color w:val="002060"/>
          <w:sz w:val="16"/>
          <w:szCs w:val="16"/>
        </w:rPr>
        <w:t>первый воздушный налет на Британию, немецкий самолет сбрасывает бомбу на основание дома пастора в Дувре (14870).</w:t>
      </w:r>
    </w:p>
    <w:p w14:paraId="68F151E0" w14:textId="77777777" w:rsidR="007F41A5" w:rsidRPr="00DE096C" w:rsidRDefault="007F41A5" w:rsidP="00D45A46">
      <w:pPr>
        <w:jc w:val="both"/>
        <w:rPr>
          <w:bCs/>
          <w:color w:val="002060"/>
          <w:sz w:val="16"/>
          <w:szCs w:val="16"/>
        </w:rPr>
      </w:pPr>
    </w:p>
    <w:p w14:paraId="0CDEDE10" w14:textId="77777777" w:rsidR="007F41A5" w:rsidRPr="00DE096C" w:rsidRDefault="007F41A5" w:rsidP="00D45A46">
      <w:pPr>
        <w:pStyle w:val="a3"/>
        <w:jc w:val="both"/>
        <w:rPr>
          <w:bCs/>
          <w:color w:val="002060"/>
          <w:spacing w:val="0"/>
          <w:kern w:val="0"/>
          <w:position w:val="0"/>
          <w:sz w:val="16"/>
          <w:szCs w:val="16"/>
        </w:rPr>
      </w:pPr>
      <w:r w:rsidRPr="00DE096C">
        <w:rPr>
          <w:bCs/>
          <w:color w:val="002060"/>
          <w:spacing w:val="0"/>
          <w:kern w:val="0"/>
          <w:position w:val="0"/>
          <w:sz w:val="16"/>
          <w:szCs w:val="16"/>
        </w:rPr>
        <w:t>Авиация и воздухоплавание Англии:</w:t>
      </w:r>
    </w:p>
    <w:p w14:paraId="5CF9BD90" w14:textId="77777777" w:rsidR="007F41A5" w:rsidRPr="00DE096C" w:rsidRDefault="007F41A5" w:rsidP="00D45A46">
      <w:pPr>
        <w:pStyle w:val="a3"/>
        <w:jc w:val="both"/>
        <w:rPr>
          <w:bCs/>
          <w:color w:val="002060"/>
          <w:spacing w:val="0"/>
          <w:kern w:val="0"/>
          <w:position w:val="0"/>
          <w:sz w:val="16"/>
          <w:szCs w:val="16"/>
        </w:rPr>
      </w:pPr>
    </w:p>
    <w:p w14:paraId="73EA2E87" w14:textId="007FCAC1" w:rsidR="007F41A5" w:rsidRPr="00DE096C" w:rsidRDefault="007F41A5" w:rsidP="00D45A46">
      <w:pPr>
        <w:jc w:val="both"/>
        <w:rPr>
          <w:bCs/>
          <w:color w:val="002060"/>
          <w:sz w:val="16"/>
          <w:szCs w:val="16"/>
        </w:rPr>
      </w:pPr>
      <w:r w:rsidRPr="00DE096C">
        <w:rPr>
          <w:bCs/>
          <w:color w:val="002060"/>
          <w:sz w:val="16"/>
          <w:szCs w:val="16"/>
        </w:rPr>
        <w:t xml:space="preserve">11 (24) декабря </w:t>
      </w:r>
      <w:r w:rsidR="00F36791" w:rsidRPr="00DE096C">
        <w:rPr>
          <w:bCs/>
          <w:color w:val="002060"/>
          <w:sz w:val="16"/>
          <w:szCs w:val="16"/>
        </w:rPr>
        <w:t xml:space="preserve">1914 г. </w:t>
      </w:r>
      <w:r w:rsidRPr="00DE096C">
        <w:rPr>
          <w:bCs/>
          <w:color w:val="002060"/>
          <w:sz w:val="16"/>
          <w:szCs w:val="16"/>
        </w:rPr>
        <w:t xml:space="preserve">в 5.00 плавбазы отчалили от пирса и в сопровождении 1-й эскадры эсминцев, 6-й эскадры крейсеров, 2-й флотилии и других кораблей вышли в море. Общее количество кораблей, участвующих в операции, насчитывало более ста единиц. </w:t>
      </w:r>
    </w:p>
    <w:p w14:paraId="7A07DC7D" w14:textId="77777777" w:rsidR="007F41A5" w:rsidRPr="00DE096C" w:rsidRDefault="007F41A5" w:rsidP="00D45A46">
      <w:pPr>
        <w:jc w:val="both"/>
        <w:rPr>
          <w:bCs/>
          <w:color w:val="002060"/>
          <w:sz w:val="16"/>
          <w:szCs w:val="16"/>
        </w:rPr>
      </w:pPr>
      <w:r w:rsidRPr="00DE096C">
        <w:rPr>
          <w:bCs/>
          <w:color w:val="002060"/>
          <w:sz w:val="16"/>
          <w:szCs w:val="16"/>
        </w:rPr>
        <w:t xml:space="preserve">Немецкая разведка, действующая в Англии, зафиксировала в октябре, ноябре и декабре оживление на базе флота в Гарвиче и оповестила об этом свое руководство. Командование ВМФ Германии, получив четыре сообщения, которые, в конечном счете, ни к чему не привели, пятое пропустило мимо ушей, посчитав, что было бы весьма глупо ожидать нападения противника накануне Рождества. [267] </w:t>
      </w:r>
    </w:p>
    <w:p w14:paraId="1AA29389" w14:textId="77777777" w:rsidR="007F41A5" w:rsidRPr="00DE096C" w:rsidRDefault="007F41A5" w:rsidP="00D45A46">
      <w:pPr>
        <w:jc w:val="both"/>
        <w:rPr>
          <w:bCs/>
          <w:color w:val="002060"/>
          <w:sz w:val="16"/>
          <w:szCs w:val="16"/>
        </w:rPr>
      </w:pPr>
      <w:r w:rsidRPr="00DE096C">
        <w:rPr>
          <w:bCs/>
          <w:color w:val="002060"/>
          <w:sz w:val="16"/>
          <w:szCs w:val="16"/>
        </w:rPr>
        <w:t xml:space="preserve">25 декабря в 6.00 плавбазы достигли пункта назначения, который находился в сорока милях к северо-западу от Куксхафена. Основные ударные силы флотилии взяли акваторию этого района в кольцо. Не мешкая, плавбазы спустили самолеты на воду. Это были поплавковые бипланы: четыре «Шорт Тип 74», два «Шорт Тип 135» и три «Шорт Фолдерс». В 6.54 был дан сигнал к старту. Пилоты стали запускать двигатели, но сырая морозная погода сыграла злую шутку. К 7.00 только два «Шорт Тип 74» смогли уйти на задание, за ними, с большим интервалом времени, отправились еще пять самолетов. Две машины не смогли завестись и были подняты на борт. </w:t>
      </w:r>
    </w:p>
    <w:p w14:paraId="6A02A670" w14:textId="77777777" w:rsidR="007F41A5" w:rsidRPr="00DE096C" w:rsidRDefault="007F41A5" w:rsidP="00D45A46">
      <w:pPr>
        <w:jc w:val="both"/>
        <w:rPr>
          <w:bCs/>
          <w:color w:val="002060"/>
          <w:sz w:val="16"/>
          <w:szCs w:val="16"/>
        </w:rPr>
      </w:pPr>
      <w:r w:rsidRPr="00DE096C">
        <w:rPr>
          <w:bCs/>
          <w:color w:val="002060"/>
          <w:sz w:val="16"/>
          <w:szCs w:val="16"/>
        </w:rPr>
        <w:t xml:space="preserve">В течение 90 минут армада английских кораблей оставалась незамеченной немецкими подлодками и другими судами, патрулирующими подходы к побережью. В дело вмешался случай. В 5.30 сигнальщики немецкого линейного корабля «Мекленбург» приняли за врага свой тральщик, который подходил к устью Эльбы. Линкор открыл огонь, чем поднял всех на ноги. Корабли, стоящие на рейде и в порту Куксхафена, также объявили тревогу. Пока разбирались с этим досадным происшествием, прошло немало времени, а самолеты англичан были уже в пути. Это обстоятельство привело к тому, что на подлете к цели британских пилотов встречала приведенная в боеготовность военно-морская база Куксхафен. </w:t>
      </w:r>
    </w:p>
    <w:p w14:paraId="02B81552" w14:textId="77777777" w:rsidR="007F41A5" w:rsidRPr="00DE096C" w:rsidRDefault="007F41A5" w:rsidP="00D45A46">
      <w:pPr>
        <w:jc w:val="both"/>
        <w:rPr>
          <w:bCs/>
          <w:color w:val="002060"/>
          <w:sz w:val="16"/>
          <w:szCs w:val="16"/>
        </w:rPr>
      </w:pPr>
      <w:r w:rsidRPr="00DE096C">
        <w:rPr>
          <w:bCs/>
          <w:color w:val="002060"/>
          <w:sz w:val="16"/>
          <w:szCs w:val="16"/>
        </w:rPr>
        <w:t xml:space="preserve">«Дуглас Оливер и наблюдатель Будде летели в сплошном тумане уже около тридцати минут. Пилот с беспокойством всматривался вниз: видимость была отвратительной. Погода в Рождество 1914 года была холодной и спокойной, но ни один из членов экипажа, несмотря на то что они находились в открытых кабинах, не испытывал холода. Острое чувство волнения при выполнении опасного боевого задания не покидало их на протяжении всего полета. </w:t>
      </w:r>
    </w:p>
    <w:p w14:paraId="6B169D37" w14:textId="77777777" w:rsidR="007F41A5" w:rsidRPr="00DE096C" w:rsidRDefault="007F41A5" w:rsidP="00D45A46">
      <w:pPr>
        <w:jc w:val="both"/>
        <w:rPr>
          <w:bCs/>
          <w:color w:val="002060"/>
          <w:sz w:val="16"/>
          <w:szCs w:val="16"/>
        </w:rPr>
      </w:pPr>
      <w:r w:rsidRPr="00DE096C">
        <w:rPr>
          <w:bCs/>
          <w:color w:val="002060"/>
          <w:sz w:val="16"/>
          <w:szCs w:val="16"/>
        </w:rPr>
        <w:t xml:space="preserve">Одномоторный двухместный поплавковый биплан «Шорт Тип 74», несмотря на большую нагрузку, включающую дополнительное топливо и три 20-фунтовые бомбы, летел легко и хорошо слушался рулей. Стосильный двигатель монотонно гудел, отбрасывая назад своим воздушным винтом клочья тумана. Главное беспокойство у экипажа вызывало топливо, которого должно хватить на 3 часа полета. Если поиск цели затянется или они потеряют ориентировку, его может быть недостаточно на обратный путь в Северное море, где их ожидает плавбаза. </w:t>
      </w:r>
    </w:p>
    <w:p w14:paraId="5D9A2A30" w14:textId="77777777" w:rsidR="007F41A5" w:rsidRPr="00DE096C" w:rsidRDefault="007F41A5" w:rsidP="00D45A46">
      <w:pPr>
        <w:jc w:val="both"/>
        <w:rPr>
          <w:bCs/>
          <w:color w:val="002060"/>
          <w:sz w:val="16"/>
          <w:szCs w:val="16"/>
        </w:rPr>
      </w:pPr>
      <w:r w:rsidRPr="00DE096C">
        <w:rPr>
          <w:bCs/>
          <w:color w:val="002060"/>
          <w:sz w:val="16"/>
          <w:szCs w:val="16"/>
        </w:rPr>
        <w:t xml:space="preserve">Видимость продолжала ухудшаться, и Оливер, чтобы пробить туман, решил уменьшить высоту полета с 600 до 200 м. Самолет вывалился из серой пелены прямо над Эльбой. Впереди пилот увидел зенитную батарею, расчет которой подавал ему световые сигналы, требуя подтверждения, что он свой. Быстро сориентировавшись на местности, Оливер бросил свою машину назад в туман. Зенитчики открыли запоздалый огонь по их самолету, но не достигли успеха. Переведя дух, Дуглас взял курс на цель — ангары немецких цеппелинов в Куксхафене, но погода явно вмешивалась в развитие ситуации...» [268] </w:t>
      </w:r>
    </w:p>
    <w:p w14:paraId="7E5150DF" w14:textId="77777777" w:rsidR="007F41A5" w:rsidRPr="00DE096C" w:rsidRDefault="007F41A5" w:rsidP="00D45A46">
      <w:pPr>
        <w:jc w:val="both"/>
        <w:rPr>
          <w:bCs/>
          <w:color w:val="002060"/>
          <w:sz w:val="16"/>
          <w:szCs w:val="16"/>
        </w:rPr>
      </w:pPr>
      <w:r w:rsidRPr="00DE096C">
        <w:rPr>
          <w:bCs/>
          <w:color w:val="002060"/>
          <w:sz w:val="16"/>
          <w:szCs w:val="16"/>
        </w:rPr>
        <w:t xml:space="preserve">Немецкая подлодка U-6 в 7.30 наткнулась в двадцати милях от берега на английские корабли и передала сообщение в штаб. В 7.45 британский пилот Фрэнсис Хьюлетт, достигнув в тумане устья Эльбы, решил спуститься ниже, чтобы определиться на местности. Там в полной готовности его ожидали зенитчики базы и линейного корабля. Шквальный огонь заставил Хьюлетта тут же уйти назад в туман. Другие британские пилоты в тумане разбрелись кто куда. Причем, что было обидно, над морем царила ясная морозная погода с прекрасной видимостью и только у самого берега стоял густой туман, который свел на нет все усилия англичан найти базу цеппелинов. </w:t>
      </w:r>
    </w:p>
    <w:p w14:paraId="10986843" w14:textId="77777777" w:rsidR="007F41A5" w:rsidRPr="00DE096C" w:rsidRDefault="007F41A5" w:rsidP="00D45A46">
      <w:pPr>
        <w:jc w:val="both"/>
        <w:rPr>
          <w:bCs/>
          <w:color w:val="002060"/>
          <w:sz w:val="16"/>
          <w:szCs w:val="16"/>
        </w:rPr>
      </w:pPr>
      <w:r w:rsidRPr="00DE096C">
        <w:rPr>
          <w:bCs/>
          <w:color w:val="002060"/>
          <w:sz w:val="16"/>
          <w:szCs w:val="16"/>
        </w:rPr>
        <w:t xml:space="preserve">В течение двух часов они пытались ее отыскать, снижаясь к земле, где их ожидали зенитные батареи, и опять уходя в туман. Топливо было на пределе, и пилоты решили сбрасывать бомбы на любую цель. Хьюлетт отбомбился по эсминцу, пилот Роберт Росс засек подлодку и сбросил на нее бомбы, знакомый нам Дуглас Оливер атаковал базу гидросамолетов на острове Лангеог, Чарльз Эдмондс напал на крейсера «Штральзунд» и «Грауденц», Вивиан Блэкбурн в очередной раз нарвался на зенитный огонь и, уходя от него, сбросил бомбы на город Вильгельмсхафен. Сесил Килнер и Арнольд Майлей подходящей цели так и не нашли, поэтому на обратном пути сбросили бомбы куда попало. Позже немцы признались, что несколько бомб все-таки взорвались в районе базы цеппелинов, но особого вреда ей не нанесли. </w:t>
      </w:r>
    </w:p>
    <w:p w14:paraId="41E47F86" w14:textId="77777777" w:rsidR="007F41A5" w:rsidRPr="00DE096C" w:rsidRDefault="007F41A5" w:rsidP="00D45A46">
      <w:pPr>
        <w:jc w:val="both"/>
        <w:rPr>
          <w:bCs/>
          <w:color w:val="002060"/>
          <w:sz w:val="16"/>
          <w:szCs w:val="16"/>
        </w:rPr>
      </w:pPr>
      <w:r w:rsidRPr="00DE096C">
        <w:rPr>
          <w:bCs/>
          <w:color w:val="002060"/>
          <w:sz w:val="16"/>
          <w:szCs w:val="16"/>
        </w:rPr>
        <w:t xml:space="preserve">Находясь в течение почти пяти часов в германских водах, корабли Тирвитта были атакованы цеппелинами L-5 и L-6 и несколькими гидросамолетами, которые энергично проводили атаки, но безрезультатно. </w:t>
      </w:r>
    </w:p>
    <w:p w14:paraId="75FCFF75" w14:textId="77777777" w:rsidR="007F41A5" w:rsidRPr="00DE096C" w:rsidRDefault="007F41A5" w:rsidP="00D45A46">
      <w:pPr>
        <w:jc w:val="both"/>
        <w:rPr>
          <w:bCs/>
          <w:color w:val="002060"/>
          <w:sz w:val="16"/>
          <w:szCs w:val="16"/>
        </w:rPr>
      </w:pPr>
      <w:r w:rsidRPr="00DE096C">
        <w:rPr>
          <w:bCs/>
          <w:color w:val="002060"/>
          <w:sz w:val="16"/>
          <w:szCs w:val="16"/>
        </w:rPr>
        <w:t xml:space="preserve">Отбомбившись, самолеты развернулись в сторону моря и полетели к точке, где их ожидали плавбазы. Последняя машина пересекла линию побережья в 9.45. Бензин был на исходе, и только двум самолетам удалось добраться до своих кораблей. Остальные приводнились в море, где часть из них после длительного поиска подобрали эсминцы. Кстати, один из экипажей пыталась спасти подводная лодка Е-11, но подоспевший цеппелин заставил ее спешно погрузиться. Один экипаж подобрало голландское рыбачье судно. В 11.45 английские корабли взяли курс домой. Эсминцы, прикрывая отступление основного отряда, стали отходить после полудня, а патрулирующие подлодки — после 20.00. </w:t>
      </w:r>
    </w:p>
    <w:p w14:paraId="05E12C29" w14:textId="77777777" w:rsidR="007F41A5" w:rsidRPr="00DE096C" w:rsidRDefault="007F41A5" w:rsidP="00D45A46">
      <w:pPr>
        <w:jc w:val="both"/>
        <w:rPr>
          <w:bCs/>
          <w:color w:val="002060"/>
          <w:sz w:val="16"/>
          <w:szCs w:val="16"/>
        </w:rPr>
      </w:pPr>
      <w:r w:rsidRPr="00DE096C">
        <w:rPr>
          <w:bCs/>
          <w:color w:val="002060"/>
          <w:sz w:val="16"/>
          <w:szCs w:val="16"/>
        </w:rPr>
        <w:lastRenderedPageBreak/>
        <w:t>Таким образом, операция по уничтожению базы цеппелинов в Куксхафене потерпела неудачу. Оставалось только утешиться тем фактом, что авиация и флот впервые провели согласованную боевую операцию и нанесли совместный удар по территории врага. Хотя вражеские воздушные корабли и уцелели, англичане продемонстрировали свою готовность ответить на готовящееся нападение германских цеппелинов (11324).</w:t>
      </w:r>
    </w:p>
    <w:p w14:paraId="2A67CFBA" w14:textId="77777777" w:rsidR="007F41A5" w:rsidRPr="00DE096C" w:rsidRDefault="007F41A5" w:rsidP="00D45A46">
      <w:pPr>
        <w:shd w:val="clear" w:color="auto" w:fill="FFFFFF"/>
        <w:jc w:val="both"/>
        <w:rPr>
          <w:bCs/>
          <w:i/>
          <w:color w:val="002060"/>
          <w:sz w:val="16"/>
          <w:szCs w:val="16"/>
        </w:rPr>
      </w:pPr>
    </w:p>
    <w:p w14:paraId="68324245" w14:textId="1C54BB06" w:rsidR="00582427" w:rsidRPr="00DE096C" w:rsidRDefault="00582427" w:rsidP="00D45A46">
      <w:pPr>
        <w:shd w:val="clear" w:color="auto" w:fill="FFFFFF"/>
        <w:jc w:val="both"/>
        <w:rPr>
          <w:bCs/>
          <w:i/>
          <w:color w:val="002060"/>
          <w:sz w:val="16"/>
          <w:szCs w:val="16"/>
        </w:rPr>
      </w:pPr>
      <w:r w:rsidRPr="00DE096C">
        <w:rPr>
          <w:bCs/>
          <w:i/>
          <w:color w:val="002060"/>
          <w:sz w:val="16"/>
          <w:szCs w:val="16"/>
        </w:rPr>
        <w:t>Армия:</w:t>
      </w:r>
    </w:p>
    <w:p w14:paraId="0FB1AC81" w14:textId="77777777" w:rsidR="00582427" w:rsidRPr="00DE096C" w:rsidRDefault="00582427" w:rsidP="00D45A46">
      <w:pPr>
        <w:shd w:val="clear" w:color="auto" w:fill="FFFFFF"/>
        <w:jc w:val="both"/>
        <w:rPr>
          <w:bCs/>
          <w:i/>
          <w:color w:val="002060"/>
          <w:sz w:val="16"/>
          <w:szCs w:val="16"/>
        </w:rPr>
      </w:pPr>
    </w:p>
    <w:p w14:paraId="2E338072" w14:textId="77777777" w:rsidR="00582427" w:rsidRPr="00DE096C" w:rsidRDefault="00582427" w:rsidP="00D45A46">
      <w:pPr>
        <w:jc w:val="both"/>
        <w:rPr>
          <w:bCs/>
          <w:color w:val="002060"/>
          <w:sz w:val="16"/>
          <w:szCs w:val="16"/>
          <w:lang w:bidi="en-US"/>
        </w:rPr>
      </w:pPr>
      <w:r w:rsidRPr="00DE096C">
        <w:rPr>
          <w:bCs/>
          <w:color w:val="002060"/>
          <w:sz w:val="16"/>
          <w:szCs w:val="16"/>
          <w:lang w:bidi="en-US"/>
        </w:rPr>
        <w:t>25 декабря 1914 года на Кавказском фронте русские войска нанесли крупное поражение туркам в битве при Сарыкамыше (23525).</w:t>
      </w:r>
    </w:p>
    <w:p w14:paraId="08D35602" w14:textId="77777777" w:rsidR="00582427" w:rsidRPr="00DE096C" w:rsidRDefault="00582427" w:rsidP="00D45A46">
      <w:pPr>
        <w:jc w:val="both"/>
        <w:rPr>
          <w:bCs/>
          <w:color w:val="002060"/>
          <w:sz w:val="16"/>
          <w:szCs w:val="16"/>
        </w:rPr>
      </w:pPr>
    </w:p>
    <w:p w14:paraId="6B98DA33" w14:textId="6B254414"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w:t>
      </w:r>
    </w:p>
    <w:p w14:paraId="61F7C93E" w14:textId="77777777" w:rsidR="00B67D7C" w:rsidRPr="00DE096C" w:rsidRDefault="00B67D7C" w:rsidP="00D45A46">
      <w:pPr>
        <w:shd w:val="clear" w:color="auto" w:fill="FFFFFF"/>
        <w:jc w:val="both"/>
        <w:rPr>
          <w:bCs/>
          <w:i/>
          <w:color w:val="002060"/>
          <w:sz w:val="16"/>
          <w:szCs w:val="16"/>
        </w:rPr>
      </w:pPr>
    </w:p>
    <w:p w14:paraId="79F02CF5" w14:textId="77777777" w:rsidR="00B67D7C" w:rsidRPr="00DE096C" w:rsidRDefault="00B67D7C" w:rsidP="00D45A46">
      <w:pPr>
        <w:jc w:val="both"/>
        <w:rPr>
          <w:bCs/>
          <w:color w:val="002060"/>
          <w:sz w:val="16"/>
          <w:szCs w:val="16"/>
        </w:rPr>
      </w:pPr>
      <w:r w:rsidRPr="00DE096C">
        <w:rPr>
          <w:bCs/>
          <w:color w:val="002060"/>
          <w:sz w:val="16"/>
          <w:szCs w:val="16"/>
        </w:rPr>
        <w:t>12 (25) декабря 1914 в Яблонну, расположенную в 15 км от Варшавы прибыли три самолета-гиганта "ИМ" ("Илья Муромец"). Именно отсюда должна была начаться боевая работа вновь созданной ЭВК. Пока еще первые в мире тяжелые многомоторные самолеты, созданные в мирное время и для мирных целей, не были оснащены никаким вооружением (11999).</w:t>
      </w:r>
    </w:p>
    <w:p w14:paraId="0DF9A041" w14:textId="77777777" w:rsidR="00B67D7C" w:rsidRPr="00DE096C" w:rsidRDefault="00B67D7C" w:rsidP="00D45A46">
      <w:pPr>
        <w:jc w:val="both"/>
        <w:rPr>
          <w:bCs/>
          <w:color w:val="002060"/>
          <w:sz w:val="16"/>
          <w:szCs w:val="16"/>
        </w:rPr>
      </w:pPr>
    </w:p>
    <w:p w14:paraId="3C858ACC"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 и воздухоплавание Германии:</w:t>
      </w:r>
    </w:p>
    <w:p w14:paraId="6A2A7BE3" w14:textId="77777777" w:rsidR="00B67D7C" w:rsidRPr="00DE096C" w:rsidRDefault="00B67D7C" w:rsidP="00D45A46">
      <w:pPr>
        <w:shd w:val="clear" w:color="auto" w:fill="FFFFFF"/>
        <w:jc w:val="both"/>
        <w:rPr>
          <w:bCs/>
          <w:i/>
          <w:color w:val="002060"/>
          <w:sz w:val="16"/>
          <w:szCs w:val="16"/>
        </w:rPr>
      </w:pPr>
    </w:p>
    <w:p w14:paraId="7ADFB41D" w14:textId="13A69732" w:rsidR="00B67D7C" w:rsidRPr="00DE096C" w:rsidRDefault="00B67D7C" w:rsidP="00D45A46">
      <w:pPr>
        <w:jc w:val="both"/>
        <w:rPr>
          <w:bCs/>
          <w:color w:val="002060"/>
          <w:sz w:val="16"/>
          <w:szCs w:val="16"/>
        </w:rPr>
      </w:pPr>
      <w:r w:rsidRPr="00DE096C">
        <w:rPr>
          <w:bCs/>
          <w:color w:val="002060"/>
          <w:sz w:val="16"/>
          <w:szCs w:val="16"/>
        </w:rPr>
        <w:t xml:space="preserve">12 (25) декабря 1914 года </w:t>
      </w:r>
      <w:r w:rsidR="00F36791" w:rsidRPr="00DE096C">
        <w:rPr>
          <w:bCs/>
          <w:color w:val="002060"/>
          <w:sz w:val="16"/>
          <w:szCs w:val="16"/>
        </w:rPr>
        <w:t xml:space="preserve">L-5 принимал участие </w:t>
      </w:r>
      <w:r w:rsidRPr="00DE096C">
        <w:rPr>
          <w:bCs/>
          <w:color w:val="002060"/>
          <w:sz w:val="16"/>
          <w:szCs w:val="16"/>
        </w:rPr>
        <w:t>в обороне германского побережья от нападения девяти гидросамолетов англичан. В воздушном бою было сбито 3 гидросамолета (11324).</w:t>
      </w:r>
    </w:p>
    <w:p w14:paraId="730DB804" w14:textId="77777777" w:rsidR="00B67D7C" w:rsidRPr="00DE096C" w:rsidRDefault="00B67D7C" w:rsidP="00D45A46">
      <w:pPr>
        <w:shd w:val="clear" w:color="auto" w:fill="FFFFFF"/>
        <w:jc w:val="both"/>
        <w:rPr>
          <w:bCs/>
          <w:i/>
          <w:color w:val="002060"/>
          <w:sz w:val="16"/>
          <w:szCs w:val="16"/>
        </w:rPr>
      </w:pPr>
    </w:p>
    <w:p w14:paraId="7059587A" w14:textId="5EE6FA77" w:rsidR="00B67D7C" w:rsidRPr="00DE096C" w:rsidRDefault="00B67D7C" w:rsidP="00D45A46">
      <w:pPr>
        <w:jc w:val="both"/>
        <w:rPr>
          <w:bCs/>
          <w:color w:val="002060"/>
          <w:sz w:val="16"/>
          <w:szCs w:val="16"/>
        </w:rPr>
      </w:pPr>
      <w:r w:rsidRPr="00DE096C">
        <w:rPr>
          <w:bCs/>
          <w:color w:val="002060"/>
          <w:sz w:val="16"/>
          <w:szCs w:val="16"/>
        </w:rPr>
        <w:t>12 (25) декабря 1914 года</w:t>
      </w:r>
      <w:r w:rsidR="00F36791" w:rsidRPr="00DE096C">
        <w:rPr>
          <w:bCs/>
          <w:color w:val="002060"/>
          <w:sz w:val="16"/>
          <w:szCs w:val="16"/>
        </w:rPr>
        <w:t xml:space="preserve"> L-6 также принимал участие в бою</w:t>
      </w:r>
      <w:r w:rsidRPr="00DE096C">
        <w:rPr>
          <w:bCs/>
          <w:color w:val="002060"/>
          <w:sz w:val="16"/>
          <w:szCs w:val="16"/>
        </w:rPr>
        <w:t>, причем его корпус в нескольких местах пробили снаряды. 4 июля 1916 года, благодаря его донесению, было предупреждено нападение английского флота на германское побережье (11324).</w:t>
      </w:r>
    </w:p>
    <w:p w14:paraId="2EA4373C" w14:textId="77777777" w:rsidR="00B67D7C" w:rsidRPr="00DE096C" w:rsidRDefault="00B67D7C" w:rsidP="00D45A46">
      <w:pPr>
        <w:shd w:val="clear" w:color="auto" w:fill="FFFFFF"/>
        <w:jc w:val="both"/>
        <w:rPr>
          <w:bCs/>
          <w:i/>
          <w:color w:val="002060"/>
          <w:sz w:val="16"/>
          <w:szCs w:val="16"/>
        </w:rPr>
      </w:pPr>
    </w:p>
    <w:p w14:paraId="6CE7B676"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Авиация и воздухоплавание Англии:</w:t>
      </w:r>
    </w:p>
    <w:p w14:paraId="104FB984" w14:textId="77777777" w:rsidR="00B67D7C" w:rsidRPr="00DE096C" w:rsidRDefault="00B67D7C" w:rsidP="00D45A46">
      <w:pPr>
        <w:pStyle w:val="a3"/>
        <w:jc w:val="both"/>
        <w:rPr>
          <w:bCs/>
          <w:color w:val="002060"/>
          <w:spacing w:val="0"/>
          <w:kern w:val="0"/>
          <w:position w:val="0"/>
          <w:sz w:val="16"/>
          <w:szCs w:val="16"/>
        </w:rPr>
      </w:pPr>
    </w:p>
    <w:p w14:paraId="5D8CBF1D" w14:textId="511E9456" w:rsidR="00B67D7C" w:rsidRPr="00DE096C" w:rsidRDefault="00B67D7C" w:rsidP="00D45A46">
      <w:pPr>
        <w:jc w:val="both"/>
        <w:rPr>
          <w:bCs/>
          <w:color w:val="002060"/>
          <w:sz w:val="16"/>
          <w:szCs w:val="16"/>
        </w:rPr>
      </w:pPr>
      <w:r w:rsidRPr="00DE096C">
        <w:rPr>
          <w:bCs/>
          <w:color w:val="002060"/>
          <w:sz w:val="16"/>
          <w:szCs w:val="16"/>
        </w:rPr>
        <w:t>12 (25) декабря</w:t>
      </w:r>
      <w:r w:rsidR="00F36791" w:rsidRPr="00DE096C">
        <w:rPr>
          <w:bCs/>
          <w:color w:val="002060"/>
          <w:sz w:val="16"/>
          <w:szCs w:val="16"/>
        </w:rPr>
        <w:t xml:space="preserve"> 1914 г. на совещании, состоявшемся в Адмиралтействе 19 ноября (2 декабря), назначили новую дату операции —</w:t>
      </w:r>
      <w:r w:rsidRPr="00DE096C">
        <w:rPr>
          <w:bCs/>
          <w:color w:val="002060"/>
          <w:sz w:val="16"/>
          <w:szCs w:val="16"/>
        </w:rPr>
        <w:t xml:space="preserve">. 21 декабря отряд крейсеров под командованием вице-адмирала Битти начал движение к южной части Роусайта. Вечером 23 и 24 декабря одиннадцать подводных лодок отбыли из Гарвича. 24 декабря в 5.00 плавбазы отчалили от пирса и в сопровождении 1-й эскадры эсминцев, 6-й эскадры крейсеров, 2-й флотилии и других кораблей вышли в море. Общее количество кораблей, участвующих в операции, насчитывало более ста единиц. </w:t>
      </w:r>
    </w:p>
    <w:p w14:paraId="7B8CA448" w14:textId="77777777" w:rsidR="00B67D7C" w:rsidRPr="00DE096C" w:rsidRDefault="00B67D7C" w:rsidP="00D45A46">
      <w:pPr>
        <w:jc w:val="both"/>
        <w:rPr>
          <w:bCs/>
          <w:color w:val="002060"/>
          <w:sz w:val="16"/>
          <w:szCs w:val="16"/>
        </w:rPr>
      </w:pPr>
      <w:r w:rsidRPr="00DE096C">
        <w:rPr>
          <w:bCs/>
          <w:color w:val="002060"/>
          <w:sz w:val="16"/>
          <w:szCs w:val="16"/>
        </w:rPr>
        <w:t xml:space="preserve">Немецкая разведка, действующая в Англии, зафиксировала в октябре, ноябре и декабре оживление на базе флота в Гарвиче и оповестила об этом свое руководство. Командование ВМФ Германии, получив четыре сообщения, которые, в конечном счете, ни к чему не привели, пятое пропустило мимо ушей, посчитав, что было бы весьма глупо ожидать нападения противника накануне Рождества. [267] </w:t>
      </w:r>
    </w:p>
    <w:p w14:paraId="5D875BCF" w14:textId="77777777" w:rsidR="00B67D7C" w:rsidRPr="00DE096C" w:rsidRDefault="00B67D7C" w:rsidP="00D45A46">
      <w:pPr>
        <w:jc w:val="both"/>
        <w:rPr>
          <w:bCs/>
          <w:color w:val="002060"/>
          <w:sz w:val="16"/>
          <w:szCs w:val="16"/>
        </w:rPr>
      </w:pPr>
      <w:r w:rsidRPr="00DE096C">
        <w:rPr>
          <w:bCs/>
          <w:color w:val="002060"/>
          <w:sz w:val="16"/>
          <w:szCs w:val="16"/>
        </w:rPr>
        <w:t xml:space="preserve">12 (25) декабря в 6.00 плавбазы достигли пункта назначения, который находился в сорока милях к северо-западу от Куксхафена. Основные ударные силы флотилии взяли акваторию этого района в кольцо. Не мешкая, плавбазы спустили самолеты на воду. Это были поплавковые бипланы: четыре «Шорт Тип 74», два «Шорт Тип 135» и три «Шорт Фолдерс». В 6.54 был дан сигнал к старту. Пилоты стали запускать двигатели, но сырая морозная погода сыграла злую шутку. К 7.00 только два «Шорт Тип 74» смогли уйти на задание, за ними, с большим интервалом времени, отправились еще пять самолетов. Две машины не смогли завестись и были подняты на борт. </w:t>
      </w:r>
    </w:p>
    <w:p w14:paraId="2CDA0591" w14:textId="77777777" w:rsidR="00B67D7C" w:rsidRPr="00DE096C" w:rsidRDefault="00B67D7C" w:rsidP="00D45A46">
      <w:pPr>
        <w:jc w:val="both"/>
        <w:rPr>
          <w:bCs/>
          <w:color w:val="002060"/>
          <w:sz w:val="16"/>
          <w:szCs w:val="16"/>
        </w:rPr>
      </w:pPr>
      <w:r w:rsidRPr="00DE096C">
        <w:rPr>
          <w:bCs/>
          <w:color w:val="002060"/>
          <w:sz w:val="16"/>
          <w:szCs w:val="16"/>
        </w:rPr>
        <w:t xml:space="preserve">В течение 90 минут армада английских кораблей оставалась незамеченной немецкими подлодками и другими судами, патрулирующими подходы к побережью. В дело вмешался случай. В 5.30 сигнальщики немецкого линейного корабля «Мекленбург» приняли за врага свой тральщик, который подходил к устью Эльбы. Линкор открыл огонь, чем поднял всех на ноги. Корабли, стоящие на рейде и в порту Куксхафена, также объявили тревогу. Пока разбирались с этим досадным происшествием, прошло немало времени, а самолеты англичан были уже в пути. Это обстоятельство привело к тому, что на подлете к цели британских пилотов встречала приведенная в боеготовность военно-морская база Куксхафен. </w:t>
      </w:r>
    </w:p>
    <w:p w14:paraId="43145EB2" w14:textId="77777777" w:rsidR="00B67D7C" w:rsidRPr="00DE096C" w:rsidRDefault="00B67D7C" w:rsidP="00D45A46">
      <w:pPr>
        <w:jc w:val="both"/>
        <w:rPr>
          <w:bCs/>
          <w:color w:val="002060"/>
          <w:sz w:val="16"/>
          <w:szCs w:val="16"/>
        </w:rPr>
      </w:pPr>
      <w:r w:rsidRPr="00DE096C">
        <w:rPr>
          <w:bCs/>
          <w:color w:val="002060"/>
          <w:sz w:val="16"/>
          <w:szCs w:val="16"/>
        </w:rPr>
        <w:t xml:space="preserve">«Дуглас Оливер и наблюдатель Будде летели в сплошном тумане уже около тридцати минут. Пилот с беспокойством всматривался вниз: видимость была отвратительной. Погода в Рождество 1914 года была холодной и спокойной, но ни один из членов экипажа, несмотря на то что они находились в открытых кабинах, не испытывал холода. Острое чувство волнения при выполнении опасного боевого задания не покидало их на протяжении всего полета. </w:t>
      </w:r>
    </w:p>
    <w:p w14:paraId="7F81B664" w14:textId="77777777" w:rsidR="00B67D7C" w:rsidRPr="00DE096C" w:rsidRDefault="00B67D7C" w:rsidP="00D45A46">
      <w:pPr>
        <w:jc w:val="both"/>
        <w:rPr>
          <w:bCs/>
          <w:color w:val="002060"/>
          <w:sz w:val="16"/>
          <w:szCs w:val="16"/>
        </w:rPr>
      </w:pPr>
      <w:r w:rsidRPr="00DE096C">
        <w:rPr>
          <w:bCs/>
          <w:color w:val="002060"/>
          <w:sz w:val="16"/>
          <w:szCs w:val="16"/>
        </w:rPr>
        <w:t xml:space="preserve">Одномоторный двухместный поплавковый биплан «Шорт Тип 74», несмотря на большую нагрузку, включающую дополнительное топливо и три 20-фунтовые бомбы, летел легко и хорошо слушался рулей. Стосильный двигатель монотонно гудел, отбрасывая назад своим воздушным винтом клочья тумана. Главное беспокойство у экипажа вызывало топливо, которого должно хватить на 3 часа полета. Если поиск цели затянется или они потеряют ориентировку, его может быть недостаточно на обратный путь в Северное море, где их ожидает плавбаза. </w:t>
      </w:r>
    </w:p>
    <w:p w14:paraId="2E3F1177" w14:textId="77777777" w:rsidR="00B67D7C" w:rsidRPr="00DE096C" w:rsidRDefault="00B67D7C" w:rsidP="00D45A46">
      <w:pPr>
        <w:jc w:val="both"/>
        <w:rPr>
          <w:bCs/>
          <w:color w:val="002060"/>
          <w:sz w:val="16"/>
          <w:szCs w:val="16"/>
        </w:rPr>
      </w:pPr>
      <w:r w:rsidRPr="00DE096C">
        <w:rPr>
          <w:bCs/>
          <w:color w:val="002060"/>
          <w:sz w:val="16"/>
          <w:szCs w:val="16"/>
        </w:rPr>
        <w:t xml:space="preserve">Видимость продолжала ухудшаться, и Оливер, чтобы пробить туман, решил уменьшить высоту полета с 600 до 200 м. Самолет вывалился из серой пелены прямо над Эльбой. Впереди пилот увидел зенитную батарею, расчет которой подавал ему световые сигналы, требуя подтверждения, что он свой. Быстро сориентировавшись на местности, Оливер бросил свою машину назад в туман. Зенитчики открыли запоздалый огонь по их самолету, но не достигли успеха. Переведя дух, Дуглас взял курс на цель — ангары немецких цеппелинов в Куксхафене, но погода явно вмешивалась в развитие ситуации...» [268] </w:t>
      </w:r>
    </w:p>
    <w:p w14:paraId="448DD4E0" w14:textId="77777777" w:rsidR="00B67D7C" w:rsidRPr="00DE096C" w:rsidRDefault="00B67D7C" w:rsidP="00D45A46">
      <w:pPr>
        <w:jc w:val="both"/>
        <w:rPr>
          <w:bCs/>
          <w:color w:val="002060"/>
          <w:sz w:val="16"/>
          <w:szCs w:val="16"/>
        </w:rPr>
      </w:pPr>
      <w:r w:rsidRPr="00DE096C">
        <w:rPr>
          <w:bCs/>
          <w:color w:val="002060"/>
          <w:sz w:val="16"/>
          <w:szCs w:val="16"/>
        </w:rPr>
        <w:t xml:space="preserve">Немецкая подлодка U-6 в 7.30 наткнулась в двадцати милях от берега на английские корабли и передала сообщение в штаб. В 7.45 британский пилот Фрэнсис Хьюлетт, достигнув в тумане устья Эльбы, решил спуститься ниже, чтобы определиться на местности. Там в полной готовности его ожидали зенитчики базы и линейного корабля. Шквальный огонь заставил Хьюлетта тут же уйти назад в туман. Другие британские пилоты в тумане разбрелись кто куда. Причем, что было обидно, над морем царила ясная морозная погода с прекрасной видимостью и только у самого берега стоял густой туман, который свел на нет все усилия англичан найти базу цеппелинов. </w:t>
      </w:r>
    </w:p>
    <w:p w14:paraId="102C7CA1" w14:textId="77777777" w:rsidR="00B67D7C" w:rsidRPr="00DE096C" w:rsidRDefault="00B67D7C" w:rsidP="00D45A46">
      <w:pPr>
        <w:jc w:val="both"/>
        <w:rPr>
          <w:bCs/>
          <w:color w:val="002060"/>
          <w:sz w:val="16"/>
          <w:szCs w:val="16"/>
        </w:rPr>
      </w:pPr>
      <w:r w:rsidRPr="00DE096C">
        <w:rPr>
          <w:bCs/>
          <w:color w:val="002060"/>
          <w:sz w:val="16"/>
          <w:szCs w:val="16"/>
        </w:rPr>
        <w:t xml:space="preserve">В течение двух часов они пытались ее отыскать, снижаясь к земле, где их ожидали зенитные батареи, и опять уходя в туман. Топливо было на пределе, и пилоты решили сбрасывать бомбы на любую цель. Хьюлетт отбомбился по эсминцу, пилот Роберт Росс засек подлодку и сбросил на нее бомбы, знакомый нам Дуглас Оливер атаковал базу гидросамолетов на острове Лангеог, Чарльз Эдмондс напал на крейсера «Штральзунд» и «Грауденц», Вивиан Блэкбурн в очередной раз нарвался на зенитный огонь и, уходя от него, сбросил бомбы на город Вильгельмсхафен. Сесил Килнер и Арнольд Майлей подходящей цели так и не нашли, поэтому на обратном пути сбросили бомбы куда попало. Позже немцы признались, что несколько бомб все-таки взорвались в районе базы цеппелинов, но особого вреда ей не нанесли. </w:t>
      </w:r>
    </w:p>
    <w:p w14:paraId="15B5EB82" w14:textId="77777777" w:rsidR="00B67D7C" w:rsidRPr="00DE096C" w:rsidRDefault="00B67D7C" w:rsidP="00D45A46">
      <w:pPr>
        <w:jc w:val="both"/>
        <w:rPr>
          <w:bCs/>
          <w:color w:val="002060"/>
          <w:sz w:val="16"/>
          <w:szCs w:val="16"/>
        </w:rPr>
      </w:pPr>
      <w:r w:rsidRPr="00DE096C">
        <w:rPr>
          <w:bCs/>
          <w:color w:val="002060"/>
          <w:sz w:val="16"/>
          <w:szCs w:val="16"/>
        </w:rPr>
        <w:t xml:space="preserve">Находясь в течение почти пяти часов в германских водах, корабли Тирвитта были атакованы цеппелинами L-5 и L-6 и несколькими гидросамолетами, которые энергично проводили атаки, но безрезультатно. </w:t>
      </w:r>
    </w:p>
    <w:p w14:paraId="7F18847C" w14:textId="77777777" w:rsidR="00B67D7C" w:rsidRPr="00DE096C" w:rsidRDefault="00B67D7C" w:rsidP="00D45A46">
      <w:pPr>
        <w:jc w:val="both"/>
        <w:rPr>
          <w:bCs/>
          <w:color w:val="002060"/>
          <w:sz w:val="16"/>
          <w:szCs w:val="16"/>
        </w:rPr>
      </w:pPr>
      <w:r w:rsidRPr="00DE096C">
        <w:rPr>
          <w:bCs/>
          <w:color w:val="002060"/>
          <w:sz w:val="16"/>
          <w:szCs w:val="16"/>
        </w:rPr>
        <w:t xml:space="preserve">Отбомбившись, самолеты развернулись в сторону моря и полетели к точке, где их ожидали плавбазы. Последняя машина пересекла линию побережья в 9.45. Бензин был на исходе, и только двум самолетам удалось добраться до своих кораблей. Остальные приводнились в море, где часть из них после длительного поиска подобрали эсминцы. Кстати, один из экипажей пыталась спасти подводная лодка Е-11, но подоспевший цеппелин заставил ее спешно погрузиться. Один экипаж подобрало голландское рыбачье судно. В 11.45 английские корабли взяли курс домой. Эсминцы, прикрывая отступление основного отряда, стали отходить после полудня, а патрулирующие подлодки — после 20.00. </w:t>
      </w:r>
    </w:p>
    <w:p w14:paraId="6A9F73F8" w14:textId="77777777" w:rsidR="00B67D7C" w:rsidRPr="00DE096C" w:rsidRDefault="00B67D7C" w:rsidP="00D45A46">
      <w:pPr>
        <w:jc w:val="both"/>
        <w:rPr>
          <w:bCs/>
          <w:color w:val="002060"/>
          <w:sz w:val="16"/>
          <w:szCs w:val="16"/>
        </w:rPr>
      </w:pPr>
      <w:r w:rsidRPr="00DE096C">
        <w:rPr>
          <w:bCs/>
          <w:color w:val="002060"/>
          <w:sz w:val="16"/>
          <w:szCs w:val="16"/>
        </w:rPr>
        <w:t>Таким образом, операция по уничтожению базы цеппелинов в Куксхафене потерпела неудачу. Оставалось только утешиться тем фактом, что авиация и флот впервые провели согласованную боевую операцию и нанесли совместный удар по территории врага. Хотя вражеские воздушные корабли и уцелели, англичане продемонстрировали свою готовность ответить на готовящееся нападение германских цеппелинов (11324).</w:t>
      </w:r>
    </w:p>
    <w:p w14:paraId="0230D2BB" w14:textId="77777777" w:rsidR="00B67D7C" w:rsidRPr="00DE096C" w:rsidRDefault="00B67D7C" w:rsidP="00D45A46">
      <w:pPr>
        <w:shd w:val="clear" w:color="auto" w:fill="FFFFFF"/>
        <w:jc w:val="both"/>
        <w:rPr>
          <w:bCs/>
          <w:i/>
          <w:color w:val="002060"/>
          <w:sz w:val="16"/>
          <w:szCs w:val="16"/>
        </w:rPr>
      </w:pPr>
    </w:p>
    <w:p w14:paraId="2610F70C" w14:textId="67C37EDC" w:rsidR="00B67D7C" w:rsidRPr="00DE096C" w:rsidRDefault="00B67D7C" w:rsidP="00D45A46">
      <w:pPr>
        <w:jc w:val="both"/>
        <w:rPr>
          <w:bCs/>
          <w:color w:val="002060"/>
          <w:sz w:val="16"/>
          <w:szCs w:val="16"/>
        </w:rPr>
      </w:pPr>
      <w:r w:rsidRPr="00DE096C">
        <w:rPr>
          <w:bCs/>
          <w:color w:val="002060"/>
          <w:sz w:val="16"/>
          <w:szCs w:val="16"/>
        </w:rPr>
        <w:t xml:space="preserve">12 (25) декабря </w:t>
      </w:r>
      <w:r w:rsidR="00F36791" w:rsidRPr="00DE096C">
        <w:rPr>
          <w:bCs/>
          <w:color w:val="002060"/>
          <w:sz w:val="16"/>
          <w:szCs w:val="16"/>
        </w:rPr>
        <w:t>1914 г. в</w:t>
      </w:r>
      <w:r w:rsidRPr="00DE096C">
        <w:rPr>
          <w:bCs/>
          <w:color w:val="002060"/>
          <w:sz w:val="16"/>
          <w:szCs w:val="16"/>
        </w:rPr>
        <w:t>ойна в воздухе продолжалась даже в Рождество; 9 британских морских аэропланов атаковали германскую базу цеппелинов в Куксгафене. Из-за плотного холодного тумана летчики не смогли обнаружить базу, но сам полет аэропланов над двумя германскими крейсерами наделал такого переполоха, что один цеппелин попытался сняться с якоря и повредил другой цеппелин.</w:t>
      </w:r>
    </w:p>
    <w:p w14:paraId="73E25A28" w14:textId="77777777" w:rsidR="00B67D7C" w:rsidRPr="00DE096C" w:rsidRDefault="00B67D7C" w:rsidP="00D45A46">
      <w:pPr>
        <w:jc w:val="both"/>
        <w:rPr>
          <w:bCs/>
          <w:color w:val="002060"/>
          <w:sz w:val="16"/>
          <w:szCs w:val="16"/>
        </w:rPr>
      </w:pPr>
      <w:r w:rsidRPr="00DE096C">
        <w:rPr>
          <w:bCs/>
          <w:color w:val="002060"/>
          <w:sz w:val="16"/>
          <w:szCs w:val="16"/>
        </w:rPr>
        <w:t>В этот же день германский морской аэроплан сбросил 2 бомбы на деревню Клифф около Гравезунда. Никто из жителей деревни не пострадал.</w:t>
      </w:r>
    </w:p>
    <w:p w14:paraId="4DA9965C" w14:textId="77777777" w:rsidR="00B67D7C" w:rsidRPr="00DE096C" w:rsidRDefault="00B67D7C" w:rsidP="00D45A46">
      <w:pPr>
        <w:jc w:val="both"/>
        <w:rPr>
          <w:bCs/>
          <w:color w:val="002060"/>
          <w:sz w:val="16"/>
          <w:szCs w:val="16"/>
        </w:rPr>
      </w:pPr>
      <w:r w:rsidRPr="00DE096C">
        <w:rPr>
          <w:bCs/>
          <w:color w:val="002060"/>
          <w:sz w:val="16"/>
          <w:szCs w:val="16"/>
        </w:rPr>
        <w:t>"Русские записки" №1, январь 1915 г.: "25 декабря 1914 г. англичане произвели атаку аэропланами, которые конвоировала небольшая надводная и подводная флотилия, на германские суда, цеппелины и гидроаэропланы у Кукс- гафена... в ста километрах к северо-западу от Гамбурга... Этот вполне современный полувоздушный, полуморской бой если и не дал англичанам непосредственных больших результатов, то вызвал во всей Германии значительное беспокойство, то есть показал возможность нападения англичан на такие жизненные центры Германии, как Гамбург..." (11999).</w:t>
      </w:r>
    </w:p>
    <w:p w14:paraId="7DFA1B90" w14:textId="77777777" w:rsidR="00B67D7C" w:rsidRPr="00DE096C" w:rsidRDefault="00B67D7C" w:rsidP="00D45A46">
      <w:pPr>
        <w:jc w:val="both"/>
        <w:rPr>
          <w:bCs/>
          <w:color w:val="002060"/>
          <w:sz w:val="16"/>
          <w:szCs w:val="16"/>
        </w:rPr>
      </w:pPr>
    </w:p>
    <w:p w14:paraId="346EB781" w14:textId="77777777" w:rsidR="00C03042" w:rsidRPr="00DE096C" w:rsidRDefault="00C03042" w:rsidP="00D45A46">
      <w:pPr>
        <w:jc w:val="both"/>
        <w:rPr>
          <w:bCs/>
          <w:color w:val="002060"/>
          <w:sz w:val="16"/>
          <w:szCs w:val="16"/>
        </w:rPr>
      </w:pPr>
      <w:r w:rsidRPr="00DE096C">
        <w:rPr>
          <w:bCs/>
          <w:color w:val="002060"/>
          <w:sz w:val="16"/>
          <w:szCs w:val="16"/>
        </w:rPr>
        <w:t>12 (25) декабря 1914 гидросамолеты с HMS Empress, HMS Engadine и HMS Riviera совершают нападение на ангары Zeppelin на авиабазе Нордхольц. Это первая в истории попытка применить ВМФ мощь на суше с помощью авиации. Туман мешает самолетам достичь своей цели, и только три из девяти самолетов возвращаются на свои базовые корабли (20337).</w:t>
      </w:r>
    </w:p>
    <w:p w14:paraId="16829480" w14:textId="77777777" w:rsidR="00C03042" w:rsidRPr="00DE096C" w:rsidRDefault="00C03042" w:rsidP="00D45A46">
      <w:pPr>
        <w:jc w:val="both"/>
        <w:rPr>
          <w:bCs/>
          <w:color w:val="002060"/>
          <w:sz w:val="16"/>
          <w:szCs w:val="16"/>
        </w:rPr>
      </w:pPr>
    </w:p>
    <w:p w14:paraId="7F0062D6" w14:textId="77777777" w:rsidR="007F41A5" w:rsidRPr="00DE096C" w:rsidRDefault="007F41A5" w:rsidP="00D45A46">
      <w:pPr>
        <w:jc w:val="both"/>
        <w:rPr>
          <w:bCs/>
          <w:i/>
          <w:color w:val="002060"/>
          <w:sz w:val="16"/>
          <w:szCs w:val="16"/>
        </w:rPr>
      </w:pPr>
      <w:r w:rsidRPr="00DE096C">
        <w:rPr>
          <w:bCs/>
          <w:i/>
          <w:color w:val="002060"/>
          <w:sz w:val="16"/>
          <w:szCs w:val="16"/>
        </w:rPr>
        <w:t>За рубежом:</w:t>
      </w:r>
    </w:p>
    <w:p w14:paraId="4CDCB1F0" w14:textId="77777777" w:rsidR="007F41A5" w:rsidRPr="00DE096C" w:rsidRDefault="007F41A5" w:rsidP="00D45A46">
      <w:pPr>
        <w:jc w:val="both"/>
        <w:rPr>
          <w:bCs/>
          <w:color w:val="002060"/>
          <w:sz w:val="16"/>
          <w:szCs w:val="16"/>
        </w:rPr>
      </w:pPr>
    </w:p>
    <w:p w14:paraId="49A32A51" w14:textId="77777777" w:rsidR="007F41A5" w:rsidRPr="00DE096C" w:rsidRDefault="007F41A5" w:rsidP="00D45A46">
      <w:pPr>
        <w:jc w:val="both"/>
        <w:rPr>
          <w:bCs/>
          <w:color w:val="002060"/>
          <w:sz w:val="16"/>
          <w:szCs w:val="16"/>
        </w:rPr>
      </w:pPr>
      <w:r w:rsidRPr="00DE096C">
        <w:rPr>
          <w:bCs/>
          <w:color w:val="002060"/>
          <w:sz w:val="16"/>
          <w:szCs w:val="16"/>
        </w:rPr>
        <w:t>12 (25) декабря в 1914 году во время I Мировой Войны британские и немецкие войска соблюдают неофициальное перемирие и даже играют вместе в футбол на Западном фронте «ничейной земли» (14871).</w:t>
      </w:r>
    </w:p>
    <w:p w14:paraId="139B2F02" w14:textId="77777777" w:rsidR="007F41A5" w:rsidRPr="00DE096C" w:rsidRDefault="007F41A5" w:rsidP="00D45A46">
      <w:pPr>
        <w:jc w:val="both"/>
        <w:rPr>
          <w:bCs/>
          <w:color w:val="002060"/>
          <w:sz w:val="16"/>
          <w:szCs w:val="16"/>
        </w:rPr>
      </w:pPr>
    </w:p>
    <w:p w14:paraId="43672170"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w:t>
      </w:r>
    </w:p>
    <w:p w14:paraId="667AAAFD" w14:textId="77777777" w:rsidR="00B67D7C" w:rsidRPr="00DE096C" w:rsidRDefault="00B67D7C" w:rsidP="00D45A46">
      <w:pPr>
        <w:shd w:val="clear" w:color="auto" w:fill="FFFFFF"/>
        <w:jc w:val="both"/>
        <w:rPr>
          <w:bCs/>
          <w:i/>
          <w:color w:val="002060"/>
          <w:sz w:val="16"/>
          <w:szCs w:val="16"/>
        </w:rPr>
      </w:pPr>
    </w:p>
    <w:p w14:paraId="0AFE9BE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13 (26) декабря 1914 летчик 11-го корпусного авиаотрща поручик -А.А.Кованько с наблюдателем Яковенко вылетели из Тарнова на раз</w:t>
      </w:r>
      <w:r w:rsidRPr="00DE096C">
        <w:rPr>
          <w:bCs/>
          <w:color w:val="002060"/>
          <w:sz w:val="16"/>
          <w:szCs w:val="16"/>
        </w:rPr>
        <w:softHyphen/>
        <w:t>ведку, были подбиты австрийцами и вынужденно сели в их располо</w:t>
      </w:r>
      <w:r w:rsidRPr="00DE096C">
        <w:rPr>
          <w:bCs/>
          <w:color w:val="002060"/>
          <w:sz w:val="16"/>
          <w:szCs w:val="16"/>
        </w:rPr>
        <w:softHyphen/>
        <w:t>жении. Летчики попали в плен.</w:t>
      </w:r>
    </w:p>
    <w:p w14:paraId="64B0C224" w14:textId="77777777" w:rsidR="00B67D7C" w:rsidRPr="00DE096C" w:rsidRDefault="00B67D7C" w:rsidP="00D45A46">
      <w:pPr>
        <w:shd w:val="clear" w:color="auto" w:fill="FFFFFF"/>
        <w:jc w:val="both"/>
        <w:rPr>
          <w:bCs/>
          <w:color w:val="002060"/>
          <w:sz w:val="16"/>
          <w:szCs w:val="16"/>
        </w:rPr>
      </w:pPr>
    </w:p>
    <w:p w14:paraId="5EAF2CD6" w14:textId="77777777" w:rsidR="008028E1" w:rsidRPr="00DE096C" w:rsidRDefault="008028E1" w:rsidP="00D45A46">
      <w:pPr>
        <w:jc w:val="both"/>
        <w:rPr>
          <w:bCs/>
          <w:color w:val="002060"/>
          <w:sz w:val="16"/>
          <w:szCs w:val="16"/>
        </w:rPr>
      </w:pPr>
      <w:r w:rsidRPr="00DE096C">
        <w:rPr>
          <w:bCs/>
          <w:color w:val="002060"/>
          <w:sz w:val="16"/>
          <w:szCs w:val="16"/>
        </w:rPr>
        <w:t>13 (26) декабря 1914 г. летчик 11-го корпусного авиаотряда поручик А.А.Кованько с наблюдателем Яковенко вылетел из Тарнова на разведку, был подбит австрийцами и вынужденно сел в их расположении. Летчи</w:t>
      </w:r>
      <w:r w:rsidRPr="00DE096C">
        <w:rPr>
          <w:bCs/>
          <w:color w:val="002060"/>
          <w:sz w:val="16"/>
          <w:szCs w:val="16"/>
        </w:rPr>
        <w:softHyphen/>
        <w:t>ки попали в плен.</w:t>
      </w:r>
    </w:p>
    <w:p w14:paraId="0157E650" w14:textId="77777777" w:rsidR="008028E1" w:rsidRPr="00DE096C" w:rsidRDefault="008028E1" w:rsidP="00D45A46">
      <w:pPr>
        <w:jc w:val="both"/>
        <w:rPr>
          <w:bCs/>
          <w:color w:val="002060"/>
          <w:sz w:val="16"/>
          <w:szCs w:val="16"/>
        </w:rPr>
      </w:pPr>
      <w:r w:rsidRPr="00DE096C">
        <w:rPr>
          <w:bCs/>
          <w:color w:val="002060"/>
          <w:sz w:val="16"/>
          <w:szCs w:val="16"/>
        </w:rPr>
        <w:t>/ЦГВИА, ф. 493, оп. 3, д. 156/ (23320).</w:t>
      </w:r>
    </w:p>
    <w:p w14:paraId="242B3300" w14:textId="77777777" w:rsidR="008028E1" w:rsidRPr="00DE096C" w:rsidRDefault="008028E1" w:rsidP="00D45A46">
      <w:pPr>
        <w:jc w:val="both"/>
        <w:rPr>
          <w:bCs/>
          <w:color w:val="002060"/>
          <w:sz w:val="16"/>
          <w:szCs w:val="16"/>
        </w:rPr>
      </w:pPr>
    </w:p>
    <w:p w14:paraId="724919C9" w14:textId="1046DE17" w:rsidR="00582427" w:rsidRPr="00DE096C" w:rsidRDefault="00582427" w:rsidP="00D45A46">
      <w:pPr>
        <w:jc w:val="both"/>
        <w:rPr>
          <w:bCs/>
          <w:color w:val="002060"/>
          <w:sz w:val="16"/>
          <w:szCs w:val="16"/>
          <w:lang w:bidi="en-US"/>
        </w:rPr>
      </w:pPr>
      <w:r w:rsidRPr="00DE096C">
        <w:rPr>
          <w:bCs/>
          <w:color w:val="002060"/>
          <w:sz w:val="16"/>
          <w:szCs w:val="16"/>
          <w:lang w:bidi="en-US"/>
        </w:rPr>
        <w:t>13 (26) декабря 1914 г. командующий Северо-Западным фронтом генерал Н.В.Руцкий в ответ на многочисленные заявления о неадекватных действиях русской авиации отдал приказ №335. В этом приказе указывалось, что причина не в моральном устаревании русских самолетов, а в недостатках организации. Он предложил, чтобы каждую авиационную часть в составе армии возглавил способный офицер Генерального штаба, который не заменял бы командира части, а руководил бы его деятельностью, проверял боевые донесения и следил за использованием самолетов. Летчики, относившиеся к авиации как к спорту, должны были уйти из нее в пользу других служб. 5 марта 1915 г. командующий Северо-Западным фронтом издал приказ № 73, в котором указывалось, что недостатки в деятельности летчиков еще полностью не устранены. К началу июня 1915 года было отмечено улучшение, так как пилоты стали упоминаться поименно в отчетах за их инициативу (23525).</w:t>
      </w:r>
    </w:p>
    <w:p w14:paraId="796F3B7D" w14:textId="77777777" w:rsidR="00582427" w:rsidRPr="00DE096C" w:rsidRDefault="00582427" w:rsidP="00D45A46">
      <w:pPr>
        <w:jc w:val="both"/>
        <w:rPr>
          <w:bCs/>
          <w:color w:val="002060"/>
          <w:sz w:val="16"/>
          <w:szCs w:val="16"/>
        </w:rPr>
      </w:pPr>
    </w:p>
    <w:p w14:paraId="6C14C042" w14:textId="77777777" w:rsidR="00B67D7C" w:rsidRPr="00DE096C" w:rsidRDefault="00B67D7C" w:rsidP="00D45A46">
      <w:pPr>
        <w:jc w:val="both"/>
        <w:rPr>
          <w:bCs/>
          <w:color w:val="002060"/>
          <w:sz w:val="16"/>
          <w:szCs w:val="16"/>
        </w:rPr>
      </w:pPr>
      <w:r w:rsidRPr="00DE096C">
        <w:rPr>
          <w:bCs/>
          <w:color w:val="002060"/>
          <w:sz w:val="16"/>
          <w:szCs w:val="16"/>
        </w:rPr>
        <w:t>13 (26) декабря 1914 г. вышел приказ главнокомандующего Сев.-Зап. фронтом:</w:t>
      </w:r>
    </w:p>
    <w:p w14:paraId="7320945E" w14:textId="77777777" w:rsidR="00B67D7C" w:rsidRPr="00DE096C" w:rsidRDefault="00B67D7C" w:rsidP="00D45A46">
      <w:pPr>
        <w:jc w:val="both"/>
        <w:rPr>
          <w:bCs/>
          <w:color w:val="002060"/>
          <w:sz w:val="16"/>
          <w:szCs w:val="16"/>
        </w:rPr>
      </w:pPr>
      <w:r w:rsidRPr="00DE096C">
        <w:rPr>
          <w:bCs/>
          <w:color w:val="002060"/>
          <w:sz w:val="16"/>
          <w:szCs w:val="16"/>
        </w:rPr>
        <w:t>«В последнее время все чаще и чаще раздаются жалобы войсковых начальников на недостаточную продуктивность работы летчиков даже в решительные периоды операций. Ссылка в данном случае летчиков на устарелость систем наших аппаратов, неблагоприятные атмосферные условия и пр. не могут иметь места уже по одному тому, что на войне не время критиковать и заниматься разработкой проектов лучших аппаратов, и усилия всех чинов армии должны быть направлены к наиболее продуктивному использованию существующих аппаратов. Что ссылка на устарелость аппаратов не всегда справедлива, явствует хотя бы из того обстоятельства, что, в то время как крепостной авиационный отряд производит блестящие рекогносцировки на изношенных «фарманах», рядом стоящие с ними корпусные авиационные отряды не могут вылететь даже на «ньюпорах»... Главнейшей же причиной малой продуктивности работы летчиков я считаю недостаточное сознание важности воздушных разведок для разработки и ведения современных операций, отсутствие должного военного распорядка в авиационных отрядах, а также и не всегда ясное понимание войсками того, что может дать воздушная разведка и что можно потребовать от нее при не вполне благоприятных атмосферных условиях» (11289).</w:t>
      </w:r>
    </w:p>
    <w:p w14:paraId="43E8C5AC" w14:textId="77777777" w:rsidR="00B67D7C" w:rsidRPr="00DE096C" w:rsidRDefault="00B67D7C" w:rsidP="00D45A46">
      <w:pPr>
        <w:jc w:val="both"/>
        <w:rPr>
          <w:bCs/>
          <w:color w:val="002060"/>
          <w:sz w:val="16"/>
          <w:szCs w:val="16"/>
        </w:rPr>
      </w:pPr>
    </w:p>
    <w:p w14:paraId="53F42423"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w:t>
      </w:r>
    </w:p>
    <w:p w14:paraId="581B2596" w14:textId="77777777" w:rsidR="00B67D7C" w:rsidRPr="00DE096C" w:rsidRDefault="00B67D7C" w:rsidP="00D45A46">
      <w:pPr>
        <w:shd w:val="clear" w:color="auto" w:fill="FFFFFF"/>
        <w:jc w:val="both"/>
        <w:rPr>
          <w:bCs/>
          <w:i/>
          <w:color w:val="002060"/>
          <w:sz w:val="16"/>
          <w:szCs w:val="16"/>
        </w:rPr>
      </w:pPr>
    </w:p>
    <w:p w14:paraId="247DC149" w14:textId="465E5BB7"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14-го (27) декабря </w:t>
      </w:r>
      <w:r w:rsidR="002358A3" w:rsidRPr="00DE096C">
        <w:rPr>
          <w:bCs/>
          <w:color w:val="002060"/>
          <w:sz w:val="16"/>
          <w:szCs w:val="16"/>
        </w:rPr>
        <w:t xml:space="preserve">1914 г. </w:t>
      </w:r>
      <w:r w:rsidRPr="00DE096C">
        <w:rPr>
          <w:bCs/>
          <w:color w:val="002060"/>
          <w:sz w:val="16"/>
          <w:szCs w:val="16"/>
        </w:rPr>
        <w:t>началось форми</w:t>
      </w:r>
      <w:r w:rsidRPr="00DE096C">
        <w:rPr>
          <w:bCs/>
          <w:color w:val="002060"/>
          <w:sz w:val="16"/>
          <w:szCs w:val="16"/>
        </w:rPr>
        <w:softHyphen/>
        <w:t>рование этой эскадры</w:t>
      </w:r>
      <w:r w:rsidR="002358A3" w:rsidRPr="00DE096C">
        <w:rPr>
          <w:bCs/>
          <w:color w:val="002060"/>
          <w:sz w:val="16"/>
          <w:szCs w:val="16"/>
        </w:rPr>
        <w:t xml:space="preserve"> воздушных кораблей "Илья Муромец"</w:t>
      </w:r>
      <w:r w:rsidRPr="00DE096C">
        <w:rPr>
          <w:bCs/>
          <w:color w:val="002060"/>
          <w:sz w:val="16"/>
          <w:szCs w:val="16"/>
        </w:rPr>
        <w:t>, закончившееся в январе 1915 года. Этими актами было положено начало формированию в России тяжелой бомбардировочной авиации, чего еще не было в других странах (ЦГВИА. ф.2003, оп.2, д.б!б, л. 65, 91).</w:t>
      </w:r>
    </w:p>
    <w:p w14:paraId="076CE68A" w14:textId="77777777" w:rsidR="00B67D7C" w:rsidRPr="00DE096C" w:rsidRDefault="00B67D7C" w:rsidP="00D45A46">
      <w:pPr>
        <w:shd w:val="clear" w:color="auto" w:fill="FFFFFF"/>
        <w:jc w:val="both"/>
        <w:rPr>
          <w:bCs/>
          <w:color w:val="002060"/>
          <w:sz w:val="16"/>
          <w:szCs w:val="16"/>
        </w:rPr>
      </w:pPr>
    </w:p>
    <w:p w14:paraId="0546710C" w14:textId="62765D07" w:rsidR="007A18DE" w:rsidRPr="00DE096C" w:rsidRDefault="007A18DE" w:rsidP="00D45A46">
      <w:pPr>
        <w:jc w:val="both"/>
        <w:rPr>
          <w:bCs/>
          <w:color w:val="002060"/>
          <w:sz w:val="16"/>
          <w:szCs w:val="16"/>
        </w:rPr>
      </w:pPr>
      <w:r w:rsidRPr="00DE096C">
        <w:rPr>
          <w:bCs/>
          <w:color w:val="002060"/>
          <w:sz w:val="16"/>
          <w:szCs w:val="16"/>
        </w:rPr>
        <w:t>14 (27) декабря 1914 г. «Высо</w:t>
      </w:r>
      <w:r w:rsidRPr="00DE096C">
        <w:rPr>
          <w:bCs/>
          <w:color w:val="002060"/>
          <w:sz w:val="16"/>
          <w:szCs w:val="16"/>
        </w:rPr>
        <w:softHyphen/>
        <w:t>чайшим приказом член Совета Министерства финансов действительный стат</w:t>
      </w:r>
      <w:r w:rsidRPr="00DE096C">
        <w:rPr>
          <w:bCs/>
          <w:color w:val="002060"/>
          <w:sz w:val="16"/>
          <w:szCs w:val="16"/>
        </w:rPr>
        <w:softHyphen/>
        <w:t>ский советник Шидловский назна</w:t>
      </w:r>
      <w:r w:rsidRPr="00DE096C">
        <w:rPr>
          <w:bCs/>
          <w:color w:val="002060"/>
          <w:sz w:val="16"/>
          <w:szCs w:val="16"/>
        </w:rPr>
        <w:softHyphen/>
        <w:t>чен начальником Управления Эска</w:t>
      </w:r>
      <w:r w:rsidRPr="00DE096C">
        <w:rPr>
          <w:bCs/>
          <w:color w:val="002060"/>
          <w:sz w:val="16"/>
          <w:szCs w:val="16"/>
        </w:rPr>
        <w:softHyphen/>
        <w:t>дры Воздушных Кораблей с пере</w:t>
      </w:r>
      <w:r w:rsidRPr="00DE096C">
        <w:rPr>
          <w:bCs/>
          <w:color w:val="002060"/>
          <w:sz w:val="16"/>
          <w:szCs w:val="16"/>
        </w:rPr>
        <w:softHyphen/>
        <w:t>именованием в генералы-майоры и зачислением по инженерным вой</w:t>
      </w:r>
      <w:r w:rsidRPr="00DE096C">
        <w:rPr>
          <w:bCs/>
          <w:color w:val="002060"/>
          <w:sz w:val="16"/>
          <w:szCs w:val="16"/>
        </w:rPr>
        <w:softHyphen/>
        <w:t>скам» (23469).</w:t>
      </w:r>
    </w:p>
    <w:p w14:paraId="584C2EF6" w14:textId="77777777" w:rsidR="007A18DE" w:rsidRPr="00DE096C" w:rsidRDefault="007A18DE" w:rsidP="00D45A46">
      <w:pPr>
        <w:shd w:val="clear" w:color="auto" w:fill="FFFFFF"/>
        <w:jc w:val="both"/>
        <w:rPr>
          <w:bCs/>
          <w:i/>
          <w:color w:val="002060"/>
          <w:sz w:val="16"/>
          <w:szCs w:val="16"/>
        </w:rPr>
      </w:pPr>
    </w:p>
    <w:p w14:paraId="77D4E783" w14:textId="52A32841" w:rsidR="00B67D7C" w:rsidRPr="00DE096C" w:rsidRDefault="00B67D7C" w:rsidP="00D45A46">
      <w:pPr>
        <w:shd w:val="clear" w:color="auto" w:fill="FFFFFF"/>
        <w:jc w:val="both"/>
        <w:rPr>
          <w:bCs/>
          <w:i/>
          <w:color w:val="002060"/>
          <w:sz w:val="16"/>
          <w:szCs w:val="16"/>
        </w:rPr>
      </w:pPr>
      <w:r w:rsidRPr="00DE096C">
        <w:rPr>
          <w:bCs/>
          <w:i/>
          <w:color w:val="002060"/>
          <w:sz w:val="16"/>
          <w:szCs w:val="16"/>
        </w:rPr>
        <w:t>Самолетостроение:</w:t>
      </w:r>
    </w:p>
    <w:p w14:paraId="3DC29350" w14:textId="77777777" w:rsidR="00B67D7C" w:rsidRPr="00DE096C" w:rsidRDefault="00B67D7C" w:rsidP="00D45A46">
      <w:pPr>
        <w:shd w:val="clear" w:color="auto" w:fill="FFFFFF"/>
        <w:jc w:val="both"/>
        <w:rPr>
          <w:bCs/>
          <w:i/>
          <w:color w:val="002060"/>
          <w:sz w:val="16"/>
          <w:szCs w:val="16"/>
        </w:rPr>
      </w:pPr>
    </w:p>
    <w:p w14:paraId="6C9A2E50" w14:textId="2CF15519" w:rsidR="00B67D7C" w:rsidRPr="00DE096C" w:rsidRDefault="00B67D7C" w:rsidP="00D45A46">
      <w:pPr>
        <w:jc w:val="both"/>
        <w:rPr>
          <w:bCs/>
          <w:color w:val="002060"/>
          <w:sz w:val="16"/>
          <w:szCs w:val="16"/>
        </w:rPr>
      </w:pPr>
      <w:r w:rsidRPr="00DE096C">
        <w:rPr>
          <w:bCs/>
          <w:color w:val="002060"/>
          <w:sz w:val="16"/>
          <w:szCs w:val="16"/>
        </w:rPr>
        <w:t>15 (28) декабря 1914 г. комиссия, созванная на 3-й морской авиастанции в Ревеле, осмотрела один из аппара</w:t>
      </w:r>
      <w:r w:rsidRPr="00DE096C">
        <w:rPr>
          <w:bCs/>
          <w:color w:val="002060"/>
          <w:sz w:val="16"/>
          <w:szCs w:val="16"/>
        </w:rPr>
        <w:softHyphen/>
        <w:t>тов, доставленных компанией. Обнаружилось, что машина с заводским номером 94 была фир</w:t>
      </w:r>
      <w:r w:rsidRPr="00DE096C">
        <w:rPr>
          <w:bCs/>
          <w:color w:val="002060"/>
          <w:sz w:val="16"/>
          <w:szCs w:val="16"/>
        </w:rPr>
        <w:softHyphen/>
        <w:t>мой без предварительного согласования заменена на С-10 с заводским номером 103, с фюзе</w:t>
      </w:r>
      <w:r w:rsidRPr="00DE096C">
        <w:rPr>
          <w:bCs/>
          <w:color w:val="002060"/>
          <w:sz w:val="16"/>
          <w:szCs w:val="16"/>
        </w:rPr>
        <w:softHyphen/>
        <w:t>ляжем типа №11 вместо №12 (существовало по крайней мере 3 разновидности фюзеляжа — №№10, 11 и 12, но какие-либо подробности об их конструкции отсутствуют). Более того, на</w:t>
      </w:r>
      <w:r w:rsidRPr="00DE096C">
        <w:rPr>
          <w:bCs/>
          <w:color w:val="002060"/>
          <w:sz w:val="16"/>
          <w:szCs w:val="16"/>
        </w:rPr>
        <w:softHyphen/>
        <w:t>ходясь в ангаре в течение 5 дней, этот фюзеляж дал прогиб в 1/40 его длины, что являлось признаком недостаточной прочности. Объем главных поплавков оказался меньше должного, тогда как само шасси стало тяжелее, а не легче как ожидалось. В целом вес пустого аппарата вырос до 780 кг. Эта машина, переделанная из сухопутной и движимая мотором "Гном-Моно-супап" 100 л.с., была все-таки принята, чего не случилось с двумя другими с фабричными номерами 152 и 153, называвшимися С-10бис или С-10в. Оба самолета испытывались в Ревеле в октябре-декабре 1914 г., но сказать о них что-либо не представляется возможным (2843).</w:t>
      </w:r>
    </w:p>
    <w:p w14:paraId="71EFB37D" w14:textId="77777777" w:rsidR="00B67D7C" w:rsidRPr="00DE096C" w:rsidRDefault="00B67D7C" w:rsidP="00D45A46">
      <w:pPr>
        <w:jc w:val="both"/>
        <w:rPr>
          <w:bCs/>
          <w:color w:val="002060"/>
          <w:sz w:val="16"/>
          <w:szCs w:val="16"/>
        </w:rPr>
      </w:pPr>
    </w:p>
    <w:p w14:paraId="34AF36A6" w14:textId="77777777" w:rsidR="006D7D71" w:rsidRPr="00DE096C" w:rsidRDefault="006D7D71" w:rsidP="00D45A46">
      <w:pPr>
        <w:jc w:val="both"/>
        <w:rPr>
          <w:bCs/>
          <w:color w:val="002060"/>
          <w:sz w:val="16"/>
          <w:szCs w:val="16"/>
        </w:rPr>
      </w:pPr>
      <w:r w:rsidRPr="00DE096C">
        <w:rPr>
          <w:bCs/>
          <w:color w:val="002060"/>
          <w:sz w:val="16"/>
          <w:szCs w:val="16"/>
        </w:rPr>
        <w:t>15 (28) декабря 1914 г. комиссия, созванная на 3-й морской авиастанции в Ревеле, осмотрела один из аппара</w:t>
      </w:r>
      <w:r w:rsidRPr="00DE096C">
        <w:rPr>
          <w:bCs/>
          <w:color w:val="002060"/>
          <w:sz w:val="16"/>
          <w:szCs w:val="16"/>
        </w:rPr>
        <w:softHyphen/>
        <w:t>тов, доставленных компанией. Обнаружилось, что машина с заводским номером 94 была фир</w:t>
      </w:r>
      <w:r w:rsidRPr="00DE096C">
        <w:rPr>
          <w:bCs/>
          <w:color w:val="002060"/>
          <w:sz w:val="16"/>
          <w:szCs w:val="16"/>
        </w:rPr>
        <w:softHyphen/>
        <w:t>мой без предварительного согласования заменена на С-10 с заводским номером 103, с фюзе</w:t>
      </w:r>
      <w:r w:rsidRPr="00DE096C">
        <w:rPr>
          <w:bCs/>
          <w:color w:val="002060"/>
          <w:sz w:val="16"/>
          <w:szCs w:val="16"/>
        </w:rPr>
        <w:softHyphen/>
        <w:t>ляжем типа №11 вместо №12 (существовало по крайней мере 3 разновидности фюзеляжа — №№10, 11 и 12, но какие-либо подробности об их конструкции отсутствуют). Более того, на</w:t>
      </w:r>
      <w:r w:rsidRPr="00DE096C">
        <w:rPr>
          <w:bCs/>
          <w:color w:val="002060"/>
          <w:sz w:val="16"/>
          <w:szCs w:val="16"/>
        </w:rPr>
        <w:softHyphen/>
        <w:t xml:space="preserve">ходясь в ангаре в течение 5 дней, этот фюзеляж дал прогиб в 1/40 его длины, что являлось признаком недостаточной прочности. Объем главных поплавков оказался меньше должного, тогда как само шасси стало тяжелее, а не легче как ожидалось. В целом вес пустого аппарата вырос до 780 кг. Эта машина, переделанная из сухопутной и движимая мотором "Гном-Моно-супап" 100 л.с., была все-таки принята, чего не случилось с двумя другими </w:t>
      </w:r>
    </w:p>
    <w:p w14:paraId="40D05020" w14:textId="77777777" w:rsidR="006D7D71" w:rsidRPr="00DE096C" w:rsidRDefault="006D7D71" w:rsidP="00D45A46">
      <w:pPr>
        <w:jc w:val="both"/>
        <w:rPr>
          <w:bCs/>
          <w:color w:val="002060"/>
          <w:sz w:val="16"/>
          <w:szCs w:val="16"/>
        </w:rPr>
      </w:pPr>
    </w:p>
    <w:p w14:paraId="13C5A924" w14:textId="77777777" w:rsidR="007F41A5" w:rsidRPr="00DE096C" w:rsidRDefault="007F41A5" w:rsidP="00D45A46">
      <w:pPr>
        <w:jc w:val="both"/>
        <w:rPr>
          <w:bCs/>
          <w:i/>
          <w:color w:val="002060"/>
          <w:sz w:val="16"/>
          <w:szCs w:val="16"/>
        </w:rPr>
      </w:pPr>
      <w:r w:rsidRPr="00DE096C">
        <w:rPr>
          <w:bCs/>
          <w:i/>
          <w:color w:val="002060"/>
          <w:sz w:val="16"/>
          <w:szCs w:val="16"/>
        </w:rPr>
        <w:t>Другие оборонные отрасли:</w:t>
      </w:r>
    </w:p>
    <w:p w14:paraId="20F67EC1" w14:textId="77777777" w:rsidR="007F41A5" w:rsidRPr="00DE096C" w:rsidRDefault="007F41A5" w:rsidP="00D45A46">
      <w:pPr>
        <w:jc w:val="both"/>
        <w:rPr>
          <w:bCs/>
          <w:i/>
          <w:color w:val="002060"/>
          <w:sz w:val="16"/>
          <w:szCs w:val="16"/>
        </w:rPr>
      </w:pPr>
    </w:p>
    <w:p w14:paraId="2B698031" w14:textId="29F96133" w:rsidR="007F41A5" w:rsidRPr="00DE096C" w:rsidRDefault="007F41A5" w:rsidP="00D45A46">
      <w:pPr>
        <w:pStyle w:val="p1"/>
        <w:spacing w:before="0" w:beforeAutospacing="0" w:after="0" w:afterAutospacing="0"/>
        <w:jc w:val="both"/>
        <w:rPr>
          <w:bCs/>
          <w:color w:val="002060"/>
          <w:sz w:val="16"/>
          <w:szCs w:val="16"/>
        </w:rPr>
      </w:pPr>
      <w:r w:rsidRPr="00DE096C">
        <w:rPr>
          <w:bCs/>
          <w:color w:val="002060"/>
          <w:sz w:val="16"/>
          <w:szCs w:val="16"/>
        </w:rPr>
        <w:t xml:space="preserve">15 </w:t>
      </w:r>
      <w:r w:rsidR="002358A3" w:rsidRPr="00DE096C">
        <w:rPr>
          <w:bCs/>
          <w:color w:val="002060"/>
          <w:sz w:val="16"/>
          <w:szCs w:val="16"/>
        </w:rPr>
        <w:t xml:space="preserve">(28) </w:t>
      </w:r>
      <w:r w:rsidRPr="00DE096C">
        <w:rPr>
          <w:bCs/>
          <w:color w:val="002060"/>
          <w:sz w:val="16"/>
          <w:szCs w:val="16"/>
        </w:rPr>
        <w:t>декабря 1914 г. вышло «предуказание» Николая II готовить запас боевых средств к будущему противостоянию с союзниками и для этого закупить по всему миру все винтовки, какие окажется возможно (18409).</w:t>
      </w:r>
    </w:p>
    <w:p w14:paraId="0967959F" w14:textId="77777777" w:rsidR="007F41A5" w:rsidRPr="00DE096C" w:rsidRDefault="007F41A5" w:rsidP="00D45A46">
      <w:pPr>
        <w:pStyle w:val="p1"/>
        <w:spacing w:before="0" w:beforeAutospacing="0" w:after="0" w:afterAutospacing="0"/>
        <w:jc w:val="both"/>
        <w:rPr>
          <w:bCs/>
          <w:color w:val="002060"/>
          <w:sz w:val="16"/>
          <w:szCs w:val="16"/>
        </w:rPr>
      </w:pPr>
    </w:p>
    <w:p w14:paraId="65E3A29E" w14:textId="30B21474" w:rsidR="007F41A5" w:rsidRPr="00DE096C" w:rsidRDefault="007F41A5" w:rsidP="00D45A46">
      <w:pPr>
        <w:pStyle w:val="ae"/>
        <w:spacing w:before="0" w:beforeAutospacing="0" w:after="0" w:afterAutospacing="0"/>
        <w:jc w:val="both"/>
        <w:rPr>
          <w:bCs/>
          <w:color w:val="002060"/>
          <w:sz w:val="16"/>
          <w:szCs w:val="16"/>
        </w:rPr>
      </w:pPr>
      <w:r w:rsidRPr="00DE096C">
        <w:rPr>
          <w:bCs/>
          <w:color w:val="002060"/>
          <w:sz w:val="16"/>
          <w:szCs w:val="16"/>
        </w:rPr>
        <w:t xml:space="preserve">15 </w:t>
      </w:r>
      <w:r w:rsidR="002358A3" w:rsidRPr="00DE096C">
        <w:rPr>
          <w:bCs/>
          <w:color w:val="002060"/>
          <w:sz w:val="16"/>
          <w:szCs w:val="16"/>
        </w:rPr>
        <w:t xml:space="preserve">(28) </w:t>
      </w:r>
      <w:r w:rsidRPr="00DE096C">
        <w:rPr>
          <w:bCs/>
          <w:color w:val="002060"/>
          <w:sz w:val="16"/>
          <w:szCs w:val="16"/>
        </w:rPr>
        <w:t>декабря 1914 г. во время пребывания Николая II в Ставке ему было доложено о положении дела с питанием армии огнестрельными припасами. Этот доклад преследовал лишь одну цель, чтобы постоянное давление Ставки на военного министра получило верховную санкцию. Выслушав доклад начальника штаба Н. Н. Янушкевича, царь «соизволил повелеть» усиленно заготовлять орудийные патроны с расчетом, чтобы ко времени заключения мира иметь на каждое орудие по 2000 патронов. Это общее повеление было переведено Ставкой на практический язык: военному министру было передано требование принять решительные меры и начать усиленное снабжение армии не позднее марта 1915 г.</w:t>
      </w:r>
    </w:p>
    <w:p w14:paraId="68E26787" w14:textId="77777777" w:rsidR="007F41A5" w:rsidRPr="00DE096C" w:rsidRDefault="007F41A5" w:rsidP="00D45A46">
      <w:pPr>
        <w:pStyle w:val="ae"/>
        <w:spacing w:before="0" w:beforeAutospacing="0" w:after="0" w:afterAutospacing="0"/>
        <w:jc w:val="both"/>
        <w:rPr>
          <w:bCs/>
          <w:color w:val="002060"/>
          <w:sz w:val="16"/>
          <w:szCs w:val="16"/>
        </w:rPr>
      </w:pPr>
      <w:r w:rsidRPr="00DE096C">
        <w:rPr>
          <w:bCs/>
          <w:color w:val="002060"/>
          <w:sz w:val="16"/>
          <w:szCs w:val="16"/>
        </w:rPr>
        <w:t>Однако никаких сдвигов в течение 8 месяцев не произошло. Царская монархия со всем своим бюрократическим косным аппаратом власти проявила свою полную несостоятельность, в первую очередь в области экономической, в области перестройки промышленности для нужд войны. Правительство в целом не понимало своей роли и обязанности в этом деле. Были оставлены в силе все экономические рогатки мирного времени, а решение крупнейшей проблемы было передано нескольким чиновникам Военного министерства, среди которых не нашлось крупных организаторов Когда же отдельные способные лица с большим опозданием появились, оказалось, что все равно уже ничего нельзя предпринять, ибо вопрос упирался в общую политику, в само правительство, которое мешало организации дела (18524).</w:t>
      </w:r>
    </w:p>
    <w:p w14:paraId="50AAA7F8" w14:textId="77777777" w:rsidR="007F41A5" w:rsidRPr="00DE096C" w:rsidRDefault="007F41A5" w:rsidP="00D45A46">
      <w:pPr>
        <w:pStyle w:val="ae"/>
        <w:spacing w:before="0" w:beforeAutospacing="0" w:after="0" w:afterAutospacing="0"/>
        <w:jc w:val="both"/>
        <w:rPr>
          <w:bCs/>
          <w:color w:val="002060"/>
          <w:sz w:val="16"/>
          <w:szCs w:val="16"/>
        </w:rPr>
      </w:pPr>
    </w:p>
    <w:p w14:paraId="5EE63C9A" w14:textId="104A7325" w:rsidR="007A18DE" w:rsidRPr="00DE096C" w:rsidRDefault="007A18DE" w:rsidP="00D45A46">
      <w:pPr>
        <w:pStyle w:val="af7"/>
        <w:spacing w:line="240" w:lineRule="auto"/>
        <w:jc w:val="both"/>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15 (28) декабря 1914 г. последовало «предуказание» Николая II готовить запас боевых средств к будущему противостоянию с союзниками и для этого закупить по всему миру все винтовки, какие окажется возможно. Не случайно при подготовке материалов к поездке в Англию в июне 1916 г. Барк вместе с проектом соглашения держал адресованное ему «пись</w:t>
      </w:r>
      <w:r w:rsidRPr="00DE096C">
        <w:rPr>
          <w:rFonts w:ascii="Times New Roman" w:hAnsi="Times New Roman" w:cs="Times New Roman"/>
          <w:bCs/>
          <w:color w:val="002060"/>
          <w:sz w:val="16"/>
          <w:szCs w:val="16"/>
        </w:rPr>
        <w:softHyphen/>
        <w:t>мо ген. Фролова... от 15 мая 1916 г. за № 8 секр.»; в этом ин</w:t>
      </w:r>
      <w:r w:rsidRPr="00DE096C">
        <w:rPr>
          <w:rFonts w:ascii="Times New Roman" w:hAnsi="Times New Roman" w:cs="Times New Roman"/>
          <w:bCs/>
          <w:color w:val="002060"/>
          <w:sz w:val="16"/>
          <w:szCs w:val="16"/>
        </w:rPr>
        <w:softHyphen/>
        <w:t>структивном письме во главу угла как раз была поставлена перспектива враждебного поворота в отношениях с союзника</w:t>
      </w:r>
      <w:r w:rsidRPr="00DE096C">
        <w:rPr>
          <w:rFonts w:ascii="Times New Roman" w:hAnsi="Times New Roman" w:cs="Times New Roman"/>
          <w:bCs/>
          <w:color w:val="002060"/>
          <w:sz w:val="16"/>
          <w:szCs w:val="16"/>
        </w:rPr>
        <w:softHyphen/>
        <w:t>ми после разгрома Германии. Шуваев и Фролов «дали мне ин</w:t>
      </w:r>
      <w:r w:rsidRPr="00DE096C">
        <w:rPr>
          <w:rFonts w:ascii="Times New Roman" w:hAnsi="Times New Roman" w:cs="Times New Roman"/>
          <w:bCs/>
          <w:color w:val="002060"/>
          <w:sz w:val="16"/>
          <w:szCs w:val="16"/>
        </w:rPr>
        <w:softHyphen/>
        <w:t xml:space="preserve">струкцию, — свидетельствовал также председатель Валютной комиссии А.А. Михельсон, участвовавший в переговорах, — придерживаться тех принципов, которые были изложены в указанном письме» (ГАРФ. Ф. 1467. Оп.1. Д. 480. Л. 164 об. Показания Леховича, </w:t>
      </w:r>
      <w:r w:rsidRPr="00DE096C">
        <w:rPr>
          <w:rFonts w:ascii="Times New Roman" w:hAnsi="Times New Roman" w:cs="Times New Roman"/>
          <w:bCs/>
          <w:color w:val="002060"/>
          <w:sz w:val="16"/>
          <w:szCs w:val="16"/>
          <w:lang w:val="en-US" w:bidi="en-US"/>
        </w:rPr>
        <w:t>I</w:t>
      </w:r>
      <w:r w:rsidRPr="00DE096C">
        <w:rPr>
          <w:rFonts w:ascii="Times New Roman" w:hAnsi="Times New Roman" w:cs="Times New Roman"/>
          <w:bCs/>
          <w:color w:val="002060"/>
          <w:sz w:val="16"/>
          <w:szCs w:val="16"/>
          <w:lang w:bidi="en-US"/>
        </w:rPr>
        <w:t>2.</w:t>
      </w:r>
      <w:r w:rsidRPr="00DE096C">
        <w:rPr>
          <w:rFonts w:ascii="Times New Roman" w:hAnsi="Times New Roman" w:cs="Times New Roman"/>
          <w:bCs/>
          <w:color w:val="002060"/>
          <w:sz w:val="16"/>
          <w:szCs w:val="16"/>
          <w:lang w:val="en-US" w:bidi="en-US"/>
        </w:rPr>
        <w:t>VI</w:t>
      </w:r>
      <w:r w:rsidRPr="00DE096C">
        <w:rPr>
          <w:rFonts w:ascii="Times New Roman" w:hAnsi="Times New Roman" w:cs="Times New Roman"/>
          <w:bCs/>
          <w:color w:val="002060"/>
          <w:sz w:val="16"/>
          <w:szCs w:val="16"/>
          <w:lang w:bidi="en-US"/>
        </w:rPr>
        <w:t xml:space="preserve">.1917; </w:t>
      </w:r>
      <w:r w:rsidRPr="00DE096C">
        <w:rPr>
          <w:rFonts w:ascii="Times New Roman" w:hAnsi="Times New Roman" w:cs="Times New Roman"/>
          <w:bCs/>
          <w:color w:val="002060"/>
          <w:sz w:val="16"/>
          <w:szCs w:val="16"/>
        </w:rPr>
        <w:t xml:space="preserve">Там же. Л. 71 об., 220 и об. Показания Михельсона 13.IV. 1917 и </w:t>
      </w:r>
      <w:r w:rsidRPr="00DE096C">
        <w:rPr>
          <w:rFonts w:ascii="Times New Roman" w:hAnsi="Times New Roman" w:cs="Times New Roman"/>
          <w:bCs/>
          <w:color w:val="002060"/>
          <w:sz w:val="16"/>
          <w:szCs w:val="16"/>
          <w:lang w:bidi="en-US"/>
        </w:rPr>
        <w:t>24.</w:t>
      </w:r>
      <w:r w:rsidRPr="00DE096C">
        <w:rPr>
          <w:rFonts w:ascii="Times New Roman" w:hAnsi="Times New Roman" w:cs="Times New Roman"/>
          <w:bCs/>
          <w:color w:val="002060"/>
          <w:sz w:val="16"/>
          <w:szCs w:val="16"/>
          <w:lang w:val="en-US" w:bidi="en-US"/>
        </w:rPr>
        <w:t>VI</w:t>
      </w:r>
      <w:r w:rsidRPr="00DE096C">
        <w:rPr>
          <w:rFonts w:ascii="Times New Roman" w:hAnsi="Times New Roman" w:cs="Times New Roman"/>
          <w:bCs/>
          <w:color w:val="002060"/>
          <w:sz w:val="16"/>
          <w:szCs w:val="16"/>
          <w:lang w:bidi="en-US"/>
        </w:rPr>
        <w:t>.1917</w:t>
      </w:r>
      <w:r w:rsidRPr="00DE096C">
        <w:rPr>
          <w:rFonts w:ascii="Times New Roman" w:hAnsi="Times New Roman" w:cs="Times New Roman"/>
          <w:bCs/>
          <w:color w:val="002060"/>
          <w:sz w:val="16"/>
          <w:szCs w:val="16"/>
        </w:rPr>
        <w:t>). Упомянутые Куном новые ружейные за</w:t>
      </w:r>
      <w:r w:rsidRPr="00DE096C">
        <w:rPr>
          <w:rFonts w:ascii="Times New Roman" w:hAnsi="Times New Roman" w:cs="Times New Roman"/>
          <w:bCs/>
          <w:color w:val="002060"/>
          <w:sz w:val="16"/>
          <w:szCs w:val="16"/>
        </w:rPr>
        <w:softHyphen/>
        <w:t>воды тоже создавались с учетом предстоявшей «перегруппиров</w:t>
      </w:r>
      <w:r w:rsidRPr="00DE096C">
        <w:rPr>
          <w:rFonts w:ascii="Times New Roman" w:hAnsi="Times New Roman" w:cs="Times New Roman"/>
          <w:bCs/>
          <w:color w:val="002060"/>
          <w:sz w:val="16"/>
          <w:szCs w:val="16"/>
        </w:rPr>
        <w:softHyphen/>
        <w:t>ки держав», и всем делом сооружения десятков новых артилле</w:t>
      </w:r>
      <w:r w:rsidRPr="00DE096C">
        <w:rPr>
          <w:rFonts w:ascii="Times New Roman" w:hAnsi="Times New Roman" w:cs="Times New Roman"/>
          <w:bCs/>
          <w:color w:val="002060"/>
          <w:sz w:val="16"/>
          <w:szCs w:val="16"/>
        </w:rPr>
        <w:softHyphen/>
        <w:t>рийских заводов, в том числе этих двух, ведал все тот же помощник военного министра П.А. Фролов (23452).</w:t>
      </w:r>
    </w:p>
    <w:p w14:paraId="41AFC699" w14:textId="77777777" w:rsidR="007A18DE" w:rsidRPr="00DE096C" w:rsidRDefault="007A18DE" w:rsidP="00D45A46">
      <w:pPr>
        <w:jc w:val="both"/>
        <w:rPr>
          <w:bCs/>
          <w:color w:val="002060"/>
          <w:sz w:val="16"/>
          <w:szCs w:val="16"/>
        </w:rPr>
      </w:pPr>
    </w:p>
    <w:p w14:paraId="7AF5DB6E" w14:textId="77777777" w:rsidR="00C7639D" w:rsidRPr="00DE096C" w:rsidRDefault="00C7639D" w:rsidP="00C7639D">
      <w:pPr>
        <w:shd w:val="clear" w:color="auto" w:fill="FFFFFF"/>
        <w:jc w:val="both"/>
        <w:rPr>
          <w:bCs/>
          <w:i/>
          <w:color w:val="002060"/>
          <w:sz w:val="16"/>
          <w:szCs w:val="16"/>
        </w:rPr>
      </w:pPr>
      <w:r w:rsidRPr="00DE096C">
        <w:rPr>
          <w:bCs/>
          <w:i/>
          <w:color w:val="002060"/>
          <w:sz w:val="16"/>
          <w:szCs w:val="16"/>
        </w:rPr>
        <w:t>Авиация:</w:t>
      </w:r>
    </w:p>
    <w:p w14:paraId="44F016ED" w14:textId="77777777" w:rsidR="00C7639D" w:rsidRPr="00DE096C" w:rsidRDefault="00C7639D" w:rsidP="00C7639D">
      <w:pPr>
        <w:shd w:val="clear" w:color="auto" w:fill="FFFFFF"/>
        <w:jc w:val="both"/>
        <w:rPr>
          <w:bCs/>
          <w:i/>
          <w:color w:val="002060"/>
          <w:sz w:val="16"/>
          <w:szCs w:val="16"/>
        </w:rPr>
      </w:pPr>
    </w:p>
    <w:p w14:paraId="0AAC3307" w14:textId="77777777" w:rsidR="00C7639D" w:rsidRPr="00B52707" w:rsidRDefault="00C7639D" w:rsidP="00C7639D">
      <w:pPr>
        <w:jc w:val="both"/>
        <w:rPr>
          <w:color w:val="0070C0"/>
          <w:sz w:val="16"/>
          <w:szCs w:val="16"/>
        </w:rPr>
      </w:pPr>
      <w:r w:rsidRPr="00B52707">
        <w:rPr>
          <w:color w:val="0070C0"/>
          <w:sz w:val="16"/>
          <w:szCs w:val="16"/>
        </w:rPr>
        <w:lastRenderedPageBreak/>
        <w:t>15 (28) декабря 1914 г. был издан приказ, по которому русская авиация делилась на тяжелую и легкую. На основании это</w:t>
      </w:r>
      <w:r w:rsidRPr="00B52707">
        <w:rPr>
          <w:color w:val="0070C0"/>
          <w:sz w:val="16"/>
          <w:szCs w:val="16"/>
        </w:rPr>
        <w:softHyphen/>
        <w:t>го же приказа формировалось управле</w:t>
      </w:r>
      <w:r w:rsidRPr="00B52707">
        <w:rPr>
          <w:color w:val="0070C0"/>
          <w:sz w:val="16"/>
          <w:szCs w:val="16"/>
        </w:rPr>
        <w:softHyphen/>
        <w:t>ние Эскадры Воздушных Кораблей (ЭВК), в подчинение которому и были переда</w:t>
      </w:r>
      <w:r w:rsidRPr="00B52707">
        <w:rPr>
          <w:color w:val="0070C0"/>
          <w:sz w:val="16"/>
          <w:szCs w:val="16"/>
        </w:rPr>
        <w:softHyphen/>
        <w:t>ны все построенные к тому времени са</w:t>
      </w:r>
      <w:r w:rsidRPr="00B52707">
        <w:rPr>
          <w:color w:val="0070C0"/>
          <w:sz w:val="16"/>
          <w:szCs w:val="16"/>
        </w:rPr>
        <w:softHyphen/>
        <w:t>молеты Сикорский «Илья Муромец». Од</w:t>
      </w:r>
      <w:r w:rsidRPr="00B52707">
        <w:rPr>
          <w:color w:val="0070C0"/>
          <w:sz w:val="16"/>
          <w:szCs w:val="16"/>
        </w:rPr>
        <w:softHyphen/>
        <w:t>новременно команды кораблей были сведены в отряды (дивизионы). 23 де</w:t>
      </w:r>
      <w:r w:rsidRPr="00B52707">
        <w:rPr>
          <w:color w:val="0070C0"/>
          <w:sz w:val="16"/>
          <w:szCs w:val="16"/>
        </w:rPr>
        <w:softHyphen/>
        <w:t>кабря 1914 г. решение о формирова</w:t>
      </w:r>
      <w:r w:rsidRPr="00B52707">
        <w:rPr>
          <w:color w:val="0070C0"/>
          <w:sz w:val="16"/>
          <w:szCs w:val="16"/>
        </w:rPr>
        <w:softHyphen/>
        <w:t>нии Эскадры воздушных кораблей (ЭВК) было утверждено Императором Никола</w:t>
      </w:r>
      <w:r w:rsidRPr="00B52707">
        <w:rPr>
          <w:color w:val="0070C0"/>
          <w:sz w:val="16"/>
          <w:szCs w:val="16"/>
        </w:rPr>
        <w:softHyphen/>
        <w:t>ем II. ЭВК (командующий генерал-май</w:t>
      </w:r>
      <w:r w:rsidRPr="00B52707">
        <w:rPr>
          <w:color w:val="0070C0"/>
          <w:sz w:val="16"/>
          <w:szCs w:val="16"/>
        </w:rPr>
        <w:softHyphen/>
        <w:t>ор В.М. Шидловский) была сформиро</w:t>
      </w:r>
      <w:r w:rsidRPr="00B52707">
        <w:rPr>
          <w:color w:val="0070C0"/>
          <w:sz w:val="16"/>
          <w:szCs w:val="16"/>
        </w:rPr>
        <w:softHyphen/>
        <w:t>вана в феврале 1915 г. В ЭВК имелось 3 отряда по 3 аэроплана, отдельная ко</w:t>
      </w:r>
      <w:r w:rsidRPr="00B52707">
        <w:rPr>
          <w:color w:val="0070C0"/>
          <w:sz w:val="16"/>
          <w:szCs w:val="16"/>
        </w:rPr>
        <w:softHyphen/>
        <w:t>манда и учебный отряд из 2 самолетов. Базировалась ЭВК в районе м. Яблонна (под Варшавой) (24962).</w:t>
      </w:r>
    </w:p>
    <w:p w14:paraId="0B2E55EF" w14:textId="77777777" w:rsidR="00C7639D" w:rsidRPr="00B52707" w:rsidRDefault="00C7639D" w:rsidP="00C7639D">
      <w:pPr>
        <w:jc w:val="both"/>
        <w:rPr>
          <w:color w:val="0070C0"/>
          <w:sz w:val="16"/>
          <w:szCs w:val="16"/>
        </w:rPr>
      </w:pPr>
    </w:p>
    <w:p w14:paraId="4B6A8923" w14:textId="2D6EDAA9" w:rsidR="00C7639D" w:rsidRPr="00DE096C" w:rsidRDefault="00C7639D" w:rsidP="00C7639D">
      <w:pPr>
        <w:shd w:val="clear" w:color="auto" w:fill="FFFFFF"/>
        <w:jc w:val="both"/>
        <w:rPr>
          <w:bCs/>
          <w:i/>
          <w:color w:val="002060"/>
          <w:sz w:val="16"/>
          <w:szCs w:val="16"/>
        </w:rPr>
      </w:pPr>
      <w:r>
        <w:rPr>
          <w:bCs/>
          <w:i/>
          <w:color w:val="002060"/>
          <w:sz w:val="16"/>
          <w:szCs w:val="16"/>
        </w:rPr>
        <w:t>Другие оборонные отрасли</w:t>
      </w:r>
      <w:r w:rsidRPr="00DE096C">
        <w:rPr>
          <w:bCs/>
          <w:i/>
          <w:color w:val="002060"/>
          <w:sz w:val="16"/>
          <w:szCs w:val="16"/>
        </w:rPr>
        <w:t>:</w:t>
      </w:r>
    </w:p>
    <w:p w14:paraId="511BD5C3" w14:textId="77777777" w:rsidR="00C7639D" w:rsidRPr="00DE096C" w:rsidRDefault="00C7639D" w:rsidP="00C7639D">
      <w:pPr>
        <w:shd w:val="clear" w:color="auto" w:fill="FFFFFF"/>
        <w:jc w:val="both"/>
        <w:rPr>
          <w:bCs/>
          <w:i/>
          <w:color w:val="002060"/>
          <w:sz w:val="16"/>
          <w:szCs w:val="16"/>
        </w:rPr>
      </w:pPr>
    </w:p>
    <w:p w14:paraId="0C5FC7DD" w14:textId="77777777" w:rsidR="00C7639D" w:rsidRPr="00B52707" w:rsidRDefault="00C7639D" w:rsidP="00C7639D">
      <w:pPr>
        <w:jc w:val="both"/>
        <w:rPr>
          <w:color w:val="0070C0"/>
          <w:sz w:val="16"/>
          <w:szCs w:val="16"/>
        </w:rPr>
      </w:pPr>
      <w:r w:rsidRPr="00B52707">
        <w:rPr>
          <w:color w:val="0070C0"/>
          <w:sz w:val="16"/>
          <w:szCs w:val="16"/>
        </w:rPr>
        <w:t>В середине декабря 1914 г. В Архангельск прибыли с автомобилями паро</w:t>
      </w:r>
      <w:r w:rsidRPr="00B52707">
        <w:rPr>
          <w:color w:val="0070C0"/>
          <w:sz w:val="16"/>
          <w:szCs w:val="16"/>
        </w:rPr>
        <w:softHyphen/>
        <w:t>ходы «Кария» и «Престонян». Так как лед на Двине в это время уже окреп, то местные портовые власти не решились провести эти пароходы до пристаней Бакарицы. Пароход «Кария» подведен был к вновь построенной к тому времени пристани у железнодорожной станции Архангельск, а «Пре- стонян» остановился во льду посреди реки против города Архангельска, и грузы с него выгружались на лед, а затем на лошадях доставлялись к станции. К концу декабря лед на Двине настолько окреп, что следующие пришедшие с моря пароходы уже не могли быть доведены до города Архангельска. Ледокольные средства порта составляли всего три ледокола, из которых для проводки пароходов Во льду мог служить только один, приобретенный осенью 1914 года, ледокол «Канада» (24923).</w:t>
      </w:r>
    </w:p>
    <w:p w14:paraId="5183162B" w14:textId="77777777" w:rsidR="00C7639D" w:rsidRPr="00B52707" w:rsidRDefault="00C7639D" w:rsidP="00C7639D">
      <w:pPr>
        <w:jc w:val="both"/>
        <w:rPr>
          <w:color w:val="0070C0"/>
          <w:sz w:val="16"/>
          <w:szCs w:val="16"/>
        </w:rPr>
      </w:pPr>
    </w:p>
    <w:p w14:paraId="3DFAAD96"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w:t>
      </w:r>
    </w:p>
    <w:p w14:paraId="54E21AD3" w14:textId="77777777" w:rsidR="00B67D7C" w:rsidRPr="00DE096C" w:rsidRDefault="00B67D7C" w:rsidP="00D45A46">
      <w:pPr>
        <w:shd w:val="clear" w:color="auto" w:fill="FFFFFF"/>
        <w:jc w:val="both"/>
        <w:rPr>
          <w:bCs/>
          <w:i/>
          <w:color w:val="002060"/>
          <w:sz w:val="16"/>
          <w:szCs w:val="16"/>
        </w:rPr>
      </w:pPr>
    </w:p>
    <w:p w14:paraId="012BE780" w14:textId="6629639E" w:rsidR="00B67D7C" w:rsidRPr="00DE096C" w:rsidRDefault="002358A3"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середине декабря 1914 г.</w:t>
      </w:r>
      <w:r w:rsidRPr="00DE096C">
        <w:rPr>
          <w:bCs/>
          <w:color w:val="002060"/>
          <w:sz w:val="16"/>
          <w:szCs w:val="16"/>
        </w:rPr>
        <w:t xml:space="preserve"> капитан Гончаров, командир авиаотряда, находившегося в распоряжении штаба 9-й армии, телеграфировал командованиюе</w:t>
      </w:r>
      <w:r w:rsidR="00B67D7C" w:rsidRPr="00DE096C">
        <w:rPr>
          <w:bCs/>
          <w:color w:val="002060"/>
          <w:sz w:val="16"/>
          <w:szCs w:val="16"/>
        </w:rPr>
        <w:t>: "В отряде аппаратов четыре, но здоровых летчиков всего два, поэтому прошу впредь до выздоровления давать одну или две задачи на день".</w:t>
      </w:r>
    </w:p>
    <w:p w14:paraId="0C5CBA9F" w14:textId="77777777" w:rsidR="00B67D7C" w:rsidRPr="00DE096C" w:rsidRDefault="00B67D7C" w:rsidP="00D45A46">
      <w:pPr>
        <w:jc w:val="both"/>
        <w:rPr>
          <w:bCs/>
          <w:color w:val="002060"/>
          <w:sz w:val="16"/>
          <w:szCs w:val="16"/>
        </w:rPr>
      </w:pPr>
      <w:r w:rsidRPr="00DE096C">
        <w:rPr>
          <w:bCs/>
          <w:color w:val="002060"/>
          <w:sz w:val="16"/>
          <w:szCs w:val="16"/>
        </w:rPr>
        <w:t>Следовало как можно скорее увеличивать выпуск военных летчиков в существующих школах и открывать новые учебные заведения (11999).</w:t>
      </w:r>
    </w:p>
    <w:p w14:paraId="5C70242D" w14:textId="77777777" w:rsidR="00B67D7C" w:rsidRPr="00DE096C" w:rsidRDefault="00B67D7C" w:rsidP="00D45A46">
      <w:pPr>
        <w:jc w:val="both"/>
        <w:rPr>
          <w:bCs/>
          <w:color w:val="002060"/>
          <w:sz w:val="16"/>
          <w:szCs w:val="16"/>
        </w:rPr>
      </w:pPr>
    </w:p>
    <w:p w14:paraId="5528C373"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Военное воздухоплавание:</w:t>
      </w:r>
    </w:p>
    <w:p w14:paraId="17DF06EB" w14:textId="77777777" w:rsidR="00B67D7C" w:rsidRPr="00DE096C" w:rsidRDefault="00B67D7C" w:rsidP="00D45A46">
      <w:pPr>
        <w:shd w:val="clear" w:color="auto" w:fill="FFFFFF"/>
        <w:jc w:val="both"/>
        <w:rPr>
          <w:bCs/>
          <w:i/>
          <w:color w:val="002060"/>
          <w:sz w:val="16"/>
          <w:szCs w:val="16"/>
        </w:rPr>
      </w:pPr>
    </w:p>
    <w:p w14:paraId="62192DAD" w14:textId="535C83E3" w:rsidR="00B67D7C" w:rsidRPr="00DE096C" w:rsidRDefault="002358A3" w:rsidP="00D45A46">
      <w:pPr>
        <w:jc w:val="both"/>
        <w:rPr>
          <w:bCs/>
          <w:color w:val="002060"/>
          <w:sz w:val="16"/>
          <w:szCs w:val="16"/>
        </w:rPr>
      </w:pPr>
      <w:r w:rsidRPr="00DE096C">
        <w:rPr>
          <w:bCs/>
          <w:color w:val="002060"/>
          <w:sz w:val="16"/>
          <w:szCs w:val="16"/>
        </w:rPr>
        <w:t>К</w:t>
      </w:r>
      <w:r w:rsidR="00B67D7C" w:rsidRPr="00DE096C">
        <w:rPr>
          <w:bCs/>
          <w:color w:val="002060"/>
          <w:sz w:val="16"/>
          <w:szCs w:val="16"/>
        </w:rPr>
        <w:t xml:space="preserve"> середине декабря </w:t>
      </w:r>
      <w:r w:rsidRPr="00DE096C">
        <w:rPr>
          <w:bCs/>
          <w:color w:val="002060"/>
          <w:sz w:val="16"/>
          <w:szCs w:val="16"/>
        </w:rPr>
        <w:t xml:space="preserve">1914 г. </w:t>
      </w:r>
      <w:r w:rsidR="00B67D7C" w:rsidRPr="00DE096C">
        <w:rPr>
          <w:bCs/>
          <w:color w:val="002060"/>
          <w:sz w:val="16"/>
          <w:szCs w:val="16"/>
        </w:rPr>
        <w:t xml:space="preserve">дирижабль </w:t>
      </w:r>
      <w:r w:rsidRPr="00DE096C">
        <w:rPr>
          <w:bCs/>
          <w:color w:val="002060"/>
          <w:sz w:val="16"/>
          <w:szCs w:val="16"/>
        </w:rPr>
        <w:t xml:space="preserve">«Астры» </w:t>
      </w:r>
      <w:r w:rsidR="00B67D7C" w:rsidRPr="00DE096C">
        <w:rPr>
          <w:bCs/>
          <w:color w:val="002060"/>
          <w:sz w:val="16"/>
          <w:szCs w:val="16"/>
        </w:rPr>
        <w:t>был готов к полетам. Командиром корабля стал А. Шабский (11324).</w:t>
      </w:r>
    </w:p>
    <w:p w14:paraId="7AFA2A8C" w14:textId="77777777" w:rsidR="00B67D7C" w:rsidRPr="00DE096C" w:rsidRDefault="00B67D7C" w:rsidP="00D45A46">
      <w:pPr>
        <w:shd w:val="clear" w:color="auto" w:fill="FFFFFF"/>
        <w:jc w:val="both"/>
        <w:rPr>
          <w:bCs/>
          <w:i/>
          <w:color w:val="002060"/>
          <w:sz w:val="16"/>
          <w:szCs w:val="16"/>
        </w:rPr>
      </w:pPr>
    </w:p>
    <w:p w14:paraId="46B01003" w14:textId="77777777" w:rsidR="001A2F30" w:rsidRPr="00DE096C" w:rsidRDefault="001A2F30" w:rsidP="001A2F30">
      <w:pPr>
        <w:shd w:val="clear" w:color="auto" w:fill="FFFFFF"/>
        <w:jc w:val="both"/>
        <w:rPr>
          <w:bCs/>
          <w:i/>
          <w:color w:val="002060"/>
          <w:sz w:val="16"/>
          <w:szCs w:val="16"/>
        </w:rPr>
      </w:pPr>
      <w:r w:rsidRPr="00DE096C">
        <w:rPr>
          <w:bCs/>
          <w:i/>
          <w:color w:val="002060"/>
          <w:sz w:val="16"/>
          <w:szCs w:val="16"/>
        </w:rPr>
        <w:t>Авиация:</w:t>
      </w:r>
    </w:p>
    <w:p w14:paraId="6B630A92" w14:textId="77777777" w:rsidR="001A2F30" w:rsidRPr="00DE096C" w:rsidRDefault="001A2F30" w:rsidP="001A2F30">
      <w:pPr>
        <w:shd w:val="clear" w:color="auto" w:fill="FFFFFF"/>
        <w:jc w:val="both"/>
        <w:rPr>
          <w:bCs/>
          <w:i/>
          <w:color w:val="002060"/>
          <w:sz w:val="16"/>
          <w:szCs w:val="16"/>
        </w:rPr>
      </w:pPr>
    </w:p>
    <w:p w14:paraId="0DFA105A" w14:textId="77777777" w:rsidR="00C7639D" w:rsidRPr="00B52707" w:rsidRDefault="00C7639D" w:rsidP="00C7639D">
      <w:pPr>
        <w:jc w:val="both"/>
        <w:rPr>
          <w:color w:val="0070C0"/>
          <w:sz w:val="16"/>
          <w:szCs w:val="16"/>
        </w:rPr>
      </w:pPr>
      <w:r w:rsidRPr="00B52707">
        <w:rPr>
          <w:rStyle w:val="ab"/>
          <w:rFonts w:ascii="Times New Roman" w:hAnsi="Times New Roman"/>
          <w:color w:val="0070C0"/>
          <w:spacing w:val="0"/>
          <w:sz w:val="16"/>
          <w:szCs w:val="16"/>
        </w:rPr>
        <w:t>17 (30_ декабря 1915 г. приказом ГК 6-й армией №1138 был уточнен порядок доведения информации об обнаружении неприятельских ЛА в зоне ответственности Петроградского района ВоздО). В частности, «для передачи телеграфом со сведениями о появлении и движении воздушного противника согласно инструкции, утвержденной главнокомандующим армией, [был] установлен условный адрес - наименование станции назначения с прибавлением слова «воздух»». Это давало возможность коменданту Кронштадтской крепости в случае обнаружения воздушного противника оперативно (по линии связи позывным сигналом «Кронштадт-воздух») информировать об этом руководство столичной ВоздО и штаб б-й армии (25166).</w:t>
      </w:r>
    </w:p>
    <w:p w14:paraId="4D520005" w14:textId="77777777" w:rsidR="00C7639D" w:rsidRPr="00B52707" w:rsidRDefault="00C7639D" w:rsidP="00C7639D">
      <w:pPr>
        <w:jc w:val="both"/>
        <w:rPr>
          <w:color w:val="0070C0"/>
          <w:sz w:val="16"/>
          <w:szCs w:val="16"/>
        </w:rPr>
      </w:pPr>
    </w:p>
    <w:p w14:paraId="6A3F41DB" w14:textId="77777777" w:rsidR="00B67D7C" w:rsidRPr="00DE096C" w:rsidRDefault="00B67D7C" w:rsidP="00D45A46">
      <w:pPr>
        <w:jc w:val="both"/>
        <w:rPr>
          <w:bCs/>
          <w:i/>
          <w:color w:val="002060"/>
          <w:sz w:val="16"/>
          <w:szCs w:val="16"/>
        </w:rPr>
      </w:pPr>
      <w:r w:rsidRPr="00DE096C">
        <w:rPr>
          <w:bCs/>
          <w:i/>
          <w:color w:val="002060"/>
          <w:sz w:val="16"/>
          <w:szCs w:val="16"/>
        </w:rPr>
        <w:t>Воздухоплавание:</w:t>
      </w:r>
    </w:p>
    <w:p w14:paraId="17CE5849" w14:textId="77777777" w:rsidR="00B67D7C" w:rsidRPr="00DE096C" w:rsidRDefault="00B67D7C" w:rsidP="00D45A46">
      <w:pPr>
        <w:jc w:val="both"/>
        <w:rPr>
          <w:bCs/>
          <w:i/>
          <w:color w:val="002060"/>
          <w:sz w:val="16"/>
          <w:szCs w:val="16"/>
        </w:rPr>
      </w:pPr>
    </w:p>
    <w:p w14:paraId="621DA74F" w14:textId="77777777" w:rsidR="00B67D7C" w:rsidRPr="00DE096C" w:rsidRDefault="00B67D7C" w:rsidP="00D45A46">
      <w:pPr>
        <w:jc w:val="both"/>
        <w:rPr>
          <w:bCs/>
          <w:color w:val="002060"/>
          <w:sz w:val="16"/>
          <w:szCs w:val="16"/>
        </w:rPr>
      </w:pPr>
      <w:r w:rsidRPr="00DE096C">
        <w:rPr>
          <w:bCs/>
          <w:color w:val="002060"/>
          <w:sz w:val="16"/>
          <w:szCs w:val="16"/>
        </w:rPr>
        <w:t xml:space="preserve">17 (30) декабря 1914 г. Ставка ВГК Русской армии отправила в Главное военно-техническое управление телеграмму: "Ввиду всеусиливающейся потребности, при развитии позиционных боев, в наблюдательных станциях со змейковыми аэростатами, штаб ВГК просит о возможности ускорить готовность наблюдательных станций для возможности формирования полевых воздухоплавательных рот с привязными аэростатами". </w:t>
      </w:r>
    </w:p>
    <w:p w14:paraId="26A863C8" w14:textId="77777777" w:rsidR="00B67D7C" w:rsidRPr="00DE096C" w:rsidRDefault="00B67D7C" w:rsidP="00D45A46">
      <w:pPr>
        <w:jc w:val="both"/>
        <w:rPr>
          <w:bCs/>
          <w:color w:val="002060"/>
          <w:sz w:val="16"/>
          <w:szCs w:val="16"/>
        </w:rPr>
      </w:pPr>
      <w:r w:rsidRPr="00DE096C">
        <w:rPr>
          <w:bCs/>
          <w:color w:val="002060"/>
          <w:sz w:val="16"/>
          <w:szCs w:val="16"/>
        </w:rPr>
        <w:t xml:space="preserve">Число таких рот было доведено с девяти перед войной до 25. Каждой пехотной армии было придано две-три роты. Спустя некоторое время началось переформирование воздухоплавательных рот с привязными аэростатами в армейские и корпусные воздухоплавательные отряды. Великий князь Александр Михайлович, как фактический главнокомандующий русской авиацией и воздухоплаванием, приказал: "Формировать отряды или последовательно, или сразу. Чем скорее, тем лучше". </w:t>
      </w:r>
    </w:p>
    <w:p w14:paraId="2508C095" w14:textId="77777777" w:rsidR="00B67D7C" w:rsidRPr="00DE096C" w:rsidRDefault="00B67D7C" w:rsidP="00D45A46">
      <w:pPr>
        <w:jc w:val="both"/>
        <w:rPr>
          <w:bCs/>
          <w:color w:val="002060"/>
          <w:sz w:val="16"/>
          <w:szCs w:val="16"/>
        </w:rPr>
      </w:pPr>
      <w:r w:rsidRPr="00DE096C">
        <w:rPr>
          <w:bCs/>
          <w:color w:val="002060"/>
          <w:sz w:val="16"/>
          <w:szCs w:val="16"/>
        </w:rPr>
        <w:t xml:space="preserve">К моменту выхода России из войны на фронтах было 59 корпусных, 28 армейских воздухоплавательных отрядов и несколько рот. Кадры и имущество для всех этих подразделений, а также их формирование, производила Офицерская воздухоплавательная школа. И Февральскую, и Октябрьскую революцию, несмотря на свой преклонный возраст, Александр Матвеевич встретил на своем посту начальника Офицерской воздухоплавательной школы. Однако он уже страдал сердцем и склерозом венечных артерий. </w:t>
      </w:r>
    </w:p>
    <w:p w14:paraId="5BD0CE32" w14:textId="77777777" w:rsidR="00B67D7C" w:rsidRPr="00DE096C" w:rsidRDefault="00B67D7C" w:rsidP="00D45A46">
      <w:pPr>
        <w:jc w:val="both"/>
        <w:rPr>
          <w:bCs/>
          <w:color w:val="002060"/>
          <w:sz w:val="16"/>
          <w:szCs w:val="16"/>
        </w:rPr>
      </w:pPr>
      <w:r w:rsidRPr="00DE096C">
        <w:rPr>
          <w:bCs/>
          <w:color w:val="002060"/>
          <w:sz w:val="16"/>
          <w:szCs w:val="16"/>
        </w:rPr>
        <w:t xml:space="preserve">Частые и тяжелые приступы грудной жабы и острого ревматизма не давали возможности продолжить службу. В декабре 1917 г. он был уволен с военной службы, но еще некоторое время оставался членом Технического комитета ВВФ Красной Армии. В.А. Мороко вспоминала, как вокруг его постели у них дома собирались все члены Технического комитета и долгими часами обсуждали пути развития Воздушного флота молодой Республики. </w:t>
      </w:r>
    </w:p>
    <w:p w14:paraId="74834B99" w14:textId="77777777" w:rsidR="00B67D7C" w:rsidRPr="00DE096C" w:rsidRDefault="00B67D7C" w:rsidP="00D45A46">
      <w:pPr>
        <w:jc w:val="both"/>
        <w:rPr>
          <w:bCs/>
          <w:color w:val="002060"/>
          <w:sz w:val="16"/>
          <w:szCs w:val="16"/>
        </w:rPr>
      </w:pPr>
    </w:p>
    <w:p w14:paraId="130DEC8D" w14:textId="1EA77AB9" w:rsidR="00582427" w:rsidRPr="00DE096C" w:rsidRDefault="00582427" w:rsidP="00D45A46">
      <w:pPr>
        <w:shd w:val="clear" w:color="auto" w:fill="FFFFFF"/>
        <w:jc w:val="both"/>
        <w:rPr>
          <w:bCs/>
          <w:i/>
          <w:color w:val="002060"/>
          <w:sz w:val="16"/>
          <w:szCs w:val="16"/>
        </w:rPr>
      </w:pPr>
      <w:r w:rsidRPr="00DE096C">
        <w:rPr>
          <w:bCs/>
          <w:i/>
          <w:color w:val="002060"/>
          <w:sz w:val="16"/>
          <w:szCs w:val="16"/>
        </w:rPr>
        <w:t>Самолетостроение:</w:t>
      </w:r>
    </w:p>
    <w:p w14:paraId="4F52DAD5" w14:textId="77777777" w:rsidR="00582427" w:rsidRPr="00DE096C" w:rsidRDefault="00582427" w:rsidP="00D45A46">
      <w:pPr>
        <w:shd w:val="clear" w:color="auto" w:fill="FFFFFF"/>
        <w:jc w:val="both"/>
        <w:rPr>
          <w:bCs/>
          <w:i/>
          <w:color w:val="002060"/>
          <w:sz w:val="16"/>
          <w:szCs w:val="16"/>
        </w:rPr>
      </w:pPr>
    </w:p>
    <w:p w14:paraId="38A20A8D" w14:textId="68ED511D" w:rsidR="00582427" w:rsidRPr="00DE096C" w:rsidRDefault="00582427" w:rsidP="00D45A46">
      <w:pPr>
        <w:jc w:val="both"/>
        <w:rPr>
          <w:bCs/>
          <w:color w:val="002060"/>
          <w:sz w:val="16"/>
          <w:szCs w:val="16"/>
          <w:lang w:bidi="en-US"/>
        </w:rPr>
      </w:pPr>
      <w:r w:rsidRPr="00DE096C">
        <w:rPr>
          <w:bCs/>
          <w:color w:val="002060"/>
          <w:sz w:val="16"/>
          <w:szCs w:val="16"/>
          <w:lang w:bidi="en-US"/>
        </w:rPr>
        <w:t>К 18 (31) декабря 1914 г. было размещено заказов примерно на 300 самолетов на заводах в России и за рубежом с начала войны. К этому времени Франция поставила в Россию 250 самолетов и 268 авиадвигателей (23525).</w:t>
      </w:r>
    </w:p>
    <w:p w14:paraId="3B7B8FA6" w14:textId="77777777" w:rsidR="00582427" w:rsidRPr="00DE096C" w:rsidRDefault="00582427" w:rsidP="00D45A46">
      <w:pPr>
        <w:jc w:val="both"/>
        <w:rPr>
          <w:bCs/>
          <w:color w:val="002060"/>
          <w:sz w:val="16"/>
          <w:szCs w:val="16"/>
        </w:rPr>
      </w:pPr>
    </w:p>
    <w:p w14:paraId="6206CF39" w14:textId="2E42456F" w:rsidR="001A2F30" w:rsidRPr="00DE096C" w:rsidRDefault="001A2F30" w:rsidP="001A2F30">
      <w:pPr>
        <w:shd w:val="clear" w:color="auto" w:fill="FFFFFF"/>
        <w:jc w:val="both"/>
        <w:rPr>
          <w:bCs/>
          <w:i/>
          <w:color w:val="002060"/>
          <w:sz w:val="16"/>
          <w:szCs w:val="16"/>
        </w:rPr>
      </w:pPr>
      <w:r>
        <w:rPr>
          <w:bCs/>
          <w:i/>
          <w:color w:val="002060"/>
          <w:sz w:val="16"/>
          <w:szCs w:val="16"/>
        </w:rPr>
        <w:t>Другие оборонные отрасли</w:t>
      </w:r>
      <w:r w:rsidRPr="00DE096C">
        <w:rPr>
          <w:bCs/>
          <w:i/>
          <w:color w:val="002060"/>
          <w:sz w:val="16"/>
          <w:szCs w:val="16"/>
        </w:rPr>
        <w:t>:</w:t>
      </w:r>
    </w:p>
    <w:p w14:paraId="3A489825" w14:textId="77777777" w:rsidR="001A2F30" w:rsidRPr="00DE096C" w:rsidRDefault="001A2F30" w:rsidP="001A2F30">
      <w:pPr>
        <w:shd w:val="clear" w:color="auto" w:fill="FFFFFF"/>
        <w:jc w:val="both"/>
        <w:rPr>
          <w:bCs/>
          <w:i/>
          <w:color w:val="002060"/>
          <w:sz w:val="16"/>
          <w:szCs w:val="16"/>
        </w:rPr>
      </w:pPr>
    </w:p>
    <w:p w14:paraId="5BCD5ACD" w14:textId="77777777" w:rsidR="001A2F30" w:rsidRPr="00B52707" w:rsidRDefault="001A2F30" w:rsidP="001A2F30">
      <w:pPr>
        <w:jc w:val="both"/>
        <w:rPr>
          <w:color w:val="0070C0"/>
          <w:sz w:val="16"/>
          <w:szCs w:val="16"/>
        </w:rPr>
      </w:pPr>
      <w:r w:rsidRPr="00B52707">
        <w:rPr>
          <w:color w:val="0070C0"/>
          <w:sz w:val="16"/>
          <w:szCs w:val="16"/>
        </w:rPr>
        <w:t>18 (31) декабря 1914 года в английском издании The commercial motor от была помещена статья «Большой контракт «Остина» для Рос</w:t>
      </w:r>
      <w:r w:rsidRPr="00B52707">
        <w:rPr>
          <w:color w:val="0070C0"/>
          <w:sz w:val="16"/>
          <w:szCs w:val="16"/>
        </w:rPr>
        <w:softHyphen/>
        <w:t>сии», в котором сообщалось о заключении «одного из самых крупных, если не самого крупного» заказа на автомобили для русско</w:t>
      </w:r>
      <w:r w:rsidRPr="00B52707">
        <w:rPr>
          <w:color w:val="0070C0"/>
          <w:sz w:val="16"/>
          <w:szCs w:val="16"/>
        </w:rPr>
        <w:softHyphen/>
        <w:t>го правительства. Также в материале приво</w:t>
      </w:r>
      <w:r w:rsidRPr="00B52707">
        <w:rPr>
          <w:color w:val="0070C0"/>
          <w:sz w:val="16"/>
          <w:szCs w:val="16"/>
        </w:rPr>
        <w:softHyphen/>
        <w:t>дились кое-какие подробности о закуплен</w:t>
      </w:r>
      <w:r w:rsidRPr="00B52707">
        <w:rPr>
          <w:color w:val="0070C0"/>
          <w:sz w:val="16"/>
          <w:szCs w:val="16"/>
        </w:rPr>
        <w:softHyphen/>
        <w:t>ных автомобилях. Например, сообщалось, что бак автоцистерны изнутри делился пере</w:t>
      </w:r>
      <w:r w:rsidRPr="00B52707">
        <w:rPr>
          <w:color w:val="0070C0"/>
          <w:sz w:val="16"/>
          <w:szCs w:val="16"/>
        </w:rPr>
        <w:softHyphen/>
        <w:t>городками на три отсека (для бензина, масла и смазки), а автомастерская оснащалась ге</w:t>
      </w:r>
      <w:r w:rsidRPr="00B52707">
        <w:rPr>
          <w:color w:val="0070C0"/>
          <w:sz w:val="16"/>
          <w:szCs w:val="16"/>
        </w:rPr>
        <w:softHyphen/>
        <w:t>нератором (с приводом от одноцилиндрово</w:t>
      </w:r>
      <w:r w:rsidRPr="00B52707">
        <w:rPr>
          <w:color w:val="0070C0"/>
          <w:sz w:val="16"/>
          <w:szCs w:val="16"/>
        </w:rPr>
        <w:softHyphen/>
        <w:t>го двигателя «Остин»), токарным и сверлиль</w:t>
      </w:r>
      <w:r w:rsidRPr="00B52707">
        <w:rPr>
          <w:color w:val="0070C0"/>
          <w:sz w:val="16"/>
          <w:szCs w:val="16"/>
        </w:rPr>
        <w:softHyphen/>
        <w:t>ным станками с электроприводом, точилом, деревообрабатывающим станком, наковаль</w:t>
      </w:r>
      <w:r w:rsidRPr="00B52707">
        <w:rPr>
          <w:color w:val="0070C0"/>
          <w:sz w:val="16"/>
          <w:szCs w:val="16"/>
        </w:rPr>
        <w:softHyphen/>
        <w:t>ней с горном и комплектом инструментов. Мастерская имела электрическое освеще</w:t>
      </w:r>
      <w:r w:rsidRPr="00B52707">
        <w:rPr>
          <w:color w:val="0070C0"/>
          <w:sz w:val="16"/>
          <w:szCs w:val="16"/>
        </w:rPr>
        <w:softHyphen/>
        <w:t>ние. Особо подчеркивалось, что кузов сделан полностью закрытым и имеет только дверь и окна для вентиляции - это было «сделано по специальной договоренности в связи с су</w:t>
      </w:r>
      <w:r w:rsidRPr="00B52707">
        <w:rPr>
          <w:color w:val="0070C0"/>
          <w:sz w:val="16"/>
          <w:szCs w:val="16"/>
        </w:rPr>
        <w:softHyphen/>
        <w:t>ровым климатом, в условиях которого будут работать эти автомобили».</w:t>
      </w:r>
    </w:p>
    <w:p w14:paraId="70215CA9" w14:textId="77777777" w:rsidR="001A2F30" w:rsidRPr="00B52707" w:rsidRDefault="001A2F30" w:rsidP="001A2F30">
      <w:pPr>
        <w:jc w:val="both"/>
        <w:rPr>
          <w:color w:val="0070C0"/>
          <w:sz w:val="16"/>
          <w:szCs w:val="16"/>
        </w:rPr>
      </w:pPr>
      <w:r w:rsidRPr="00B52707">
        <w:rPr>
          <w:color w:val="0070C0"/>
          <w:sz w:val="16"/>
          <w:szCs w:val="16"/>
        </w:rPr>
        <w:t>В заключение статьи говорилось:</w:t>
      </w:r>
    </w:p>
    <w:p w14:paraId="4AECB8B4" w14:textId="77777777" w:rsidR="001A2F30" w:rsidRPr="00B52707" w:rsidRDefault="001A2F30" w:rsidP="001A2F30">
      <w:pPr>
        <w:jc w:val="both"/>
        <w:rPr>
          <w:color w:val="0070C0"/>
          <w:sz w:val="16"/>
          <w:szCs w:val="16"/>
        </w:rPr>
      </w:pPr>
      <w:r w:rsidRPr="00B52707">
        <w:rPr>
          <w:color w:val="0070C0"/>
          <w:sz w:val="16"/>
          <w:szCs w:val="16"/>
        </w:rPr>
        <w:t>«Как свидетельство великолепной органи</w:t>
      </w:r>
      <w:r w:rsidRPr="00B52707">
        <w:rPr>
          <w:color w:val="0070C0"/>
          <w:sz w:val="16"/>
          <w:szCs w:val="16"/>
        </w:rPr>
        <w:softHyphen/>
        <w:t>зации, распространенной на заводе «Остин», следует отметить, что все из перечисленных выше автомобилей уже отправлены, и время, затраченное на выполнение заказа, составля</w:t>
      </w:r>
      <w:r w:rsidRPr="00B52707">
        <w:rPr>
          <w:color w:val="0070C0"/>
          <w:sz w:val="16"/>
          <w:szCs w:val="16"/>
        </w:rPr>
        <w:softHyphen/>
        <w:t>ет всего около трех месяцев.</w:t>
      </w:r>
    </w:p>
    <w:p w14:paraId="7676AE39" w14:textId="77777777" w:rsidR="001A2F30" w:rsidRPr="00B52707" w:rsidRDefault="001A2F30" w:rsidP="001A2F30">
      <w:pPr>
        <w:jc w:val="both"/>
        <w:rPr>
          <w:color w:val="0070C0"/>
          <w:sz w:val="16"/>
          <w:szCs w:val="16"/>
        </w:rPr>
      </w:pPr>
      <w:r w:rsidRPr="00B52707">
        <w:rPr>
          <w:color w:val="0070C0"/>
          <w:sz w:val="16"/>
          <w:szCs w:val="16"/>
        </w:rPr>
        <w:t>Стоит также отметить, что сейчас эта ком</w:t>
      </w:r>
      <w:r w:rsidRPr="00B52707">
        <w:rPr>
          <w:color w:val="0070C0"/>
          <w:sz w:val="16"/>
          <w:szCs w:val="16"/>
        </w:rPr>
        <w:softHyphen/>
        <w:t>пания занята контрактом на изготовление са</w:t>
      </w:r>
      <w:r w:rsidRPr="00B52707">
        <w:rPr>
          <w:color w:val="0070C0"/>
          <w:sz w:val="16"/>
          <w:szCs w:val="16"/>
        </w:rPr>
        <w:softHyphen/>
        <w:t>нитарных автомобилей с двигателем в 20 л.с., аналогичным уже построенным, для исполь</w:t>
      </w:r>
      <w:r w:rsidRPr="00B52707">
        <w:rPr>
          <w:color w:val="0070C0"/>
          <w:sz w:val="16"/>
          <w:szCs w:val="16"/>
        </w:rPr>
        <w:softHyphen/>
        <w:t>зования их в Британской армии».</w:t>
      </w:r>
    </w:p>
    <w:p w14:paraId="4206C2EF" w14:textId="77777777" w:rsidR="001A2F30" w:rsidRPr="00B52707" w:rsidRDefault="001A2F30" w:rsidP="001A2F30">
      <w:pPr>
        <w:jc w:val="both"/>
        <w:rPr>
          <w:color w:val="0070C0"/>
          <w:sz w:val="16"/>
          <w:szCs w:val="16"/>
        </w:rPr>
      </w:pPr>
      <w:r w:rsidRPr="00B52707">
        <w:rPr>
          <w:color w:val="0070C0"/>
          <w:sz w:val="16"/>
          <w:szCs w:val="16"/>
        </w:rPr>
        <w:t>Прибывшие в Россию «остины» поступи</w:t>
      </w:r>
      <w:r w:rsidRPr="00B52707">
        <w:rPr>
          <w:color w:val="0070C0"/>
          <w:sz w:val="16"/>
          <w:szCs w:val="16"/>
        </w:rPr>
        <w:softHyphen/>
        <w:t>ли на укомплектование санитарных отрядов, а грузовиками оснастили автомобильные роты (последние по штату включали 55 гру</w:t>
      </w:r>
      <w:r w:rsidRPr="00B52707">
        <w:rPr>
          <w:color w:val="0070C0"/>
          <w:sz w:val="16"/>
          <w:szCs w:val="16"/>
        </w:rPr>
        <w:softHyphen/>
        <w:t>зовых и 14 вспомогательных машин). Прав</w:t>
      </w:r>
      <w:r w:rsidRPr="00B52707">
        <w:rPr>
          <w:color w:val="0070C0"/>
          <w:sz w:val="16"/>
          <w:szCs w:val="16"/>
        </w:rPr>
        <w:softHyphen/>
        <w:t>да русская служба почти половины грузовых «остинов» оказалась короткой. Порядка 40 таких машин включили в состав 10-й авторо</w:t>
      </w:r>
      <w:r w:rsidRPr="00B52707">
        <w:rPr>
          <w:color w:val="0070C0"/>
          <w:sz w:val="16"/>
          <w:szCs w:val="16"/>
        </w:rPr>
        <w:softHyphen/>
        <w:t>ты, входившей в состав 10-й армии Северо</w:t>
      </w:r>
      <w:r w:rsidRPr="00B52707">
        <w:rPr>
          <w:color w:val="0070C0"/>
          <w:sz w:val="16"/>
          <w:szCs w:val="16"/>
        </w:rPr>
        <w:softHyphen/>
        <w:t>Западного фронта (25008).</w:t>
      </w:r>
    </w:p>
    <w:p w14:paraId="187118FA" w14:textId="77777777" w:rsidR="001A2F30" w:rsidRPr="00B52707" w:rsidRDefault="001A2F30" w:rsidP="001A2F30">
      <w:pPr>
        <w:jc w:val="both"/>
        <w:rPr>
          <w:color w:val="0070C0"/>
          <w:sz w:val="16"/>
          <w:szCs w:val="16"/>
        </w:rPr>
      </w:pPr>
    </w:p>
    <w:p w14:paraId="08C9683B" w14:textId="18389FB0" w:rsidR="008028E1" w:rsidRPr="00DE096C" w:rsidRDefault="008028E1" w:rsidP="00D45A46">
      <w:pPr>
        <w:shd w:val="clear" w:color="auto" w:fill="FFFFFF"/>
        <w:jc w:val="both"/>
        <w:rPr>
          <w:bCs/>
          <w:i/>
          <w:color w:val="002060"/>
          <w:sz w:val="16"/>
          <w:szCs w:val="16"/>
        </w:rPr>
      </w:pPr>
      <w:r w:rsidRPr="00DE096C">
        <w:rPr>
          <w:bCs/>
          <w:i/>
          <w:color w:val="002060"/>
          <w:sz w:val="16"/>
          <w:szCs w:val="16"/>
        </w:rPr>
        <w:t>Авиация:</w:t>
      </w:r>
    </w:p>
    <w:p w14:paraId="31B066E8" w14:textId="77777777" w:rsidR="008028E1" w:rsidRPr="00DE096C" w:rsidRDefault="008028E1" w:rsidP="00D45A46">
      <w:pPr>
        <w:shd w:val="clear" w:color="auto" w:fill="FFFFFF"/>
        <w:jc w:val="both"/>
        <w:rPr>
          <w:bCs/>
          <w:i/>
          <w:color w:val="002060"/>
          <w:sz w:val="16"/>
          <w:szCs w:val="16"/>
        </w:rPr>
      </w:pPr>
    </w:p>
    <w:p w14:paraId="3682D2C1" w14:textId="77777777" w:rsidR="008028E1" w:rsidRPr="00DE096C" w:rsidRDefault="008028E1" w:rsidP="00D45A46">
      <w:pPr>
        <w:jc w:val="both"/>
        <w:rPr>
          <w:bCs/>
          <w:color w:val="002060"/>
          <w:sz w:val="16"/>
          <w:szCs w:val="16"/>
        </w:rPr>
      </w:pPr>
      <w:r w:rsidRPr="00DE096C">
        <w:rPr>
          <w:bCs/>
          <w:color w:val="002060"/>
          <w:sz w:val="16"/>
          <w:szCs w:val="16"/>
        </w:rPr>
        <w:t>18 (31) декабря 1914 г. Военный совет принял решение о сформировании первых восьми /№№ 1-8/ армейских авиационных отрядов, способных вести да</w:t>
      </w:r>
      <w:r w:rsidRPr="00DE096C">
        <w:rPr>
          <w:bCs/>
          <w:color w:val="002060"/>
          <w:sz w:val="16"/>
          <w:szCs w:val="16"/>
        </w:rPr>
        <w:softHyphen/>
        <w:t>льнюю разведку в интересах армейского командования. В состав этих отрядов намечено по 8 летчиков и по 4 летчика-наблюдателя. Им при</w:t>
      </w:r>
      <w:r w:rsidRPr="00DE096C">
        <w:rPr>
          <w:bCs/>
          <w:color w:val="002060"/>
          <w:sz w:val="16"/>
          <w:szCs w:val="16"/>
        </w:rPr>
        <w:softHyphen/>
        <w:t>давались бипланы Вуазен. 1-й, 3-й, 4-й и 7-й армейские отряды были сформированы в начале 1915 года заново, 2-й отряд образовался из авиационного отделения особого назначения, сформированного в авгу</w:t>
      </w:r>
      <w:r w:rsidRPr="00DE096C">
        <w:rPr>
          <w:bCs/>
          <w:color w:val="002060"/>
          <w:sz w:val="16"/>
          <w:szCs w:val="16"/>
        </w:rPr>
        <w:softHyphen/>
        <w:t>сте, 5-й отряд - из нештатного отряда, сформированного для воздуш</w:t>
      </w:r>
      <w:r w:rsidRPr="00DE096C">
        <w:rPr>
          <w:bCs/>
          <w:color w:val="002060"/>
          <w:sz w:val="16"/>
          <w:szCs w:val="16"/>
        </w:rPr>
        <w:softHyphen/>
        <w:t>ной обороны Варшавы. В 8-й армейский отряд был переименован бывший еще до войны 3-й Полевой авиаотряд.</w:t>
      </w:r>
    </w:p>
    <w:p w14:paraId="53DC0A55" w14:textId="77777777" w:rsidR="008028E1" w:rsidRPr="00DE096C" w:rsidRDefault="008028E1" w:rsidP="00D45A46">
      <w:pPr>
        <w:jc w:val="both"/>
        <w:rPr>
          <w:bCs/>
          <w:color w:val="002060"/>
          <w:sz w:val="16"/>
          <w:szCs w:val="16"/>
        </w:rPr>
      </w:pPr>
      <w:r w:rsidRPr="00DE096C">
        <w:rPr>
          <w:bCs/>
          <w:color w:val="002060"/>
          <w:sz w:val="16"/>
          <w:szCs w:val="16"/>
        </w:rPr>
        <w:t>/ЦГВИА, ф. 2000, оп. 3, д. 301, л. 245; журнал Военного совета от 18 дек./ (23320).</w:t>
      </w:r>
    </w:p>
    <w:p w14:paraId="3B853F03" w14:textId="77777777" w:rsidR="008028E1" w:rsidRPr="00DE096C" w:rsidRDefault="008028E1" w:rsidP="00D45A46">
      <w:pPr>
        <w:jc w:val="both"/>
        <w:rPr>
          <w:bCs/>
          <w:color w:val="002060"/>
          <w:sz w:val="16"/>
          <w:szCs w:val="16"/>
        </w:rPr>
      </w:pPr>
    </w:p>
    <w:p w14:paraId="4670798B" w14:textId="7B379C5B" w:rsidR="00582427" w:rsidRPr="00DE096C" w:rsidRDefault="00582427" w:rsidP="00D45A46">
      <w:pPr>
        <w:shd w:val="clear" w:color="auto" w:fill="FFFFFF"/>
        <w:jc w:val="both"/>
        <w:rPr>
          <w:bCs/>
          <w:i/>
          <w:color w:val="002060"/>
          <w:sz w:val="16"/>
          <w:szCs w:val="16"/>
        </w:rPr>
      </w:pPr>
      <w:r w:rsidRPr="00DE096C">
        <w:rPr>
          <w:bCs/>
          <w:i/>
          <w:color w:val="002060"/>
          <w:sz w:val="16"/>
          <w:szCs w:val="16"/>
        </w:rPr>
        <w:t>Морская авиация:</w:t>
      </w:r>
    </w:p>
    <w:p w14:paraId="16D91461" w14:textId="77777777" w:rsidR="00582427" w:rsidRPr="00DE096C" w:rsidRDefault="00582427" w:rsidP="00D45A46">
      <w:pPr>
        <w:shd w:val="clear" w:color="auto" w:fill="FFFFFF"/>
        <w:jc w:val="both"/>
        <w:rPr>
          <w:bCs/>
          <w:i/>
          <w:color w:val="002060"/>
          <w:sz w:val="16"/>
          <w:szCs w:val="16"/>
        </w:rPr>
      </w:pPr>
    </w:p>
    <w:p w14:paraId="20EF9180" w14:textId="74AE9BBA" w:rsidR="00582427" w:rsidRPr="00DE096C" w:rsidRDefault="00582427" w:rsidP="00D45A46">
      <w:pPr>
        <w:jc w:val="both"/>
        <w:rPr>
          <w:bCs/>
          <w:color w:val="002060"/>
          <w:sz w:val="16"/>
          <w:szCs w:val="16"/>
        </w:rPr>
      </w:pPr>
      <w:r w:rsidRPr="00DE096C">
        <w:rPr>
          <w:bCs/>
          <w:color w:val="002060"/>
          <w:sz w:val="16"/>
          <w:szCs w:val="16"/>
          <w:lang w:bidi="en-US"/>
        </w:rPr>
        <w:t>К 18 (31) декабря 1914 г. морская авиация Черноморского флота выполнила 2047 полетов общей продолжительностью 760 часов 21 минуту (23525).</w:t>
      </w:r>
    </w:p>
    <w:p w14:paraId="21ADA12F" w14:textId="77777777" w:rsidR="00582427" w:rsidRPr="00DE096C" w:rsidRDefault="00582427" w:rsidP="00D45A46">
      <w:pPr>
        <w:jc w:val="both"/>
        <w:rPr>
          <w:bCs/>
          <w:color w:val="002060"/>
          <w:sz w:val="16"/>
          <w:szCs w:val="16"/>
          <w:lang w:bidi="ru-RU"/>
        </w:rPr>
      </w:pPr>
    </w:p>
    <w:p w14:paraId="5768A7CD" w14:textId="63F3B0F8" w:rsidR="008028E1" w:rsidRPr="00DE096C" w:rsidRDefault="008028E1" w:rsidP="00D45A46">
      <w:pPr>
        <w:shd w:val="clear" w:color="auto" w:fill="FFFFFF"/>
        <w:jc w:val="both"/>
        <w:rPr>
          <w:bCs/>
          <w:i/>
          <w:color w:val="002060"/>
          <w:sz w:val="16"/>
          <w:szCs w:val="16"/>
        </w:rPr>
      </w:pPr>
      <w:r w:rsidRPr="00DE096C">
        <w:rPr>
          <w:bCs/>
          <w:i/>
          <w:color w:val="002060"/>
          <w:sz w:val="16"/>
          <w:szCs w:val="16"/>
        </w:rPr>
        <w:t>Другие оборонные отрасли:</w:t>
      </w:r>
    </w:p>
    <w:p w14:paraId="64FA4E65" w14:textId="77777777" w:rsidR="008028E1" w:rsidRPr="00DE096C" w:rsidRDefault="008028E1" w:rsidP="00D45A46">
      <w:pPr>
        <w:shd w:val="clear" w:color="auto" w:fill="FFFFFF"/>
        <w:jc w:val="both"/>
        <w:rPr>
          <w:bCs/>
          <w:i/>
          <w:color w:val="002060"/>
          <w:sz w:val="16"/>
          <w:szCs w:val="16"/>
        </w:rPr>
      </w:pPr>
    </w:p>
    <w:p w14:paraId="0804DD08" w14:textId="609FD4EF" w:rsidR="00B67D7C" w:rsidRPr="00DE096C" w:rsidRDefault="00B67D7C" w:rsidP="00D45A46">
      <w:pPr>
        <w:jc w:val="both"/>
        <w:rPr>
          <w:bCs/>
          <w:color w:val="002060"/>
          <w:sz w:val="16"/>
          <w:szCs w:val="16"/>
        </w:rPr>
      </w:pPr>
      <w:r w:rsidRPr="00DE096C">
        <w:rPr>
          <w:bCs/>
          <w:color w:val="002060"/>
          <w:sz w:val="16"/>
          <w:szCs w:val="16"/>
        </w:rPr>
        <w:t>19</w:t>
      </w:r>
      <w:r w:rsidR="002358A3" w:rsidRPr="00DE096C">
        <w:rPr>
          <w:bCs/>
          <w:color w:val="002060"/>
          <w:sz w:val="16"/>
          <w:szCs w:val="16"/>
        </w:rPr>
        <w:t xml:space="preserve"> декабря </w:t>
      </w:r>
      <w:r w:rsidRPr="00DE096C">
        <w:rPr>
          <w:bCs/>
          <w:color w:val="002060"/>
          <w:sz w:val="16"/>
          <w:szCs w:val="16"/>
        </w:rPr>
        <w:t xml:space="preserve">1914 г. </w:t>
      </w:r>
      <w:r w:rsidR="002358A3" w:rsidRPr="00DE096C">
        <w:rPr>
          <w:bCs/>
          <w:color w:val="002060"/>
          <w:sz w:val="16"/>
          <w:szCs w:val="16"/>
        </w:rPr>
        <w:t xml:space="preserve">(1 января 1915 г.) выводы комиссии, в состав которой вошли профессор Михайловской артиллерийской академии В.Н.Ипатьев, два представителя от Министерства Торговли и Промышленности — инженер-технолог Л.Ф.Фокин и В.Ю. Шуман и представитель Военного Ведомства О.Г.Филиппов о том, что немецкая Копперс, которая до войны сооружала у нас коксовые печи, не старалась ...строить рекуперационные заводы для добывания бензола и толуола. Было несомненно, что эта и другие фирмы сознательно оберегали интересы Германии», были доложены </w:t>
      </w:r>
      <w:r w:rsidRPr="00DE096C">
        <w:rPr>
          <w:bCs/>
          <w:color w:val="002060"/>
          <w:sz w:val="16"/>
          <w:szCs w:val="16"/>
        </w:rPr>
        <w:t>в Научно-технической Лаборатории Военного Ведомства в присутствии помощника Военного Министра генерала Вернандера и других высоких лиц. Главная цель доклада — для увеличения добычи бензола необходимо немедленно приступить к постройке ряда дополнительных сооружений для улавливания бензола при существующих уже коксовальных заводах. Это потребовало бы 5-6 месяцев. Однако конкретного решения принято не было — все ждали скорого окончания войны. А потому образовали еще одну комиссию «по заготовке взрывчатых веществ».</w:t>
      </w:r>
    </w:p>
    <w:p w14:paraId="3DA03E12" w14:textId="77777777" w:rsidR="00B67D7C" w:rsidRPr="00DE096C" w:rsidRDefault="00B67D7C" w:rsidP="00D45A46">
      <w:pPr>
        <w:jc w:val="both"/>
        <w:rPr>
          <w:bCs/>
          <w:color w:val="002060"/>
          <w:sz w:val="16"/>
          <w:szCs w:val="16"/>
        </w:rPr>
      </w:pPr>
      <w:r w:rsidRPr="00DE096C">
        <w:rPr>
          <w:bCs/>
          <w:color w:val="002060"/>
          <w:sz w:val="16"/>
          <w:szCs w:val="16"/>
        </w:rPr>
        <w:t>Но Ипатьев и его коллеги, участвовавшие в поездке в Донбасс, наметили программу строительства бензоловых заводов и на свой страх и риск приступили к ее осуществлению.</w:t>
      </w:r>
    </w:p>
    <w:p w14:paraId="4779FAED" w14:textId="77777777" w:rsidR="00B67D7C" w:rsidRPr="00DE096C" w:rsidRDefault="00B67D7C" w:rsidP="00D45A46">
      <w:pPr>
        <w:jc w:val="both"/>
        <w:rPr>
          <w:bCs/>
          <w:color w:val="002060"/>
          <w:sz w:val="16"/>
          <w:szCs w:val="16"/>
        </w:rPr>
      </w:pPr>
      <w:r w:rsidRPr="00DE096C">
        <w:rPr>
          <w:bCs/>
          <w:color w:val="002060"/>
          <w:sz w:val="16"/>
          <w:szCs w:val="16"/>
        </w:rPr>
        <w:t>Это было не просто, ибо все дело строительства коксовых печей и устройства заводов побочных продуктов в Донбассе захватили несколько иностранных строительных фирм, главным образом немецких, которые сознательно тормозили развитие русской коксобензольной промышленности, строя заводы с неполной рекуперацией. А как только начиналась выработка бензола на русских заводах, германский синдикат снижал цены на него на столько, что конкуренция становилась невозможной и производство прекращалось.</w:t>
      </w:r>
    </w:p>
    <w:p w14:paraId="2D9C2D64" w14:textId="77777777" w:rsidR="00B67D7C" w:rsidRPr="00DE096C" w:rsidRDefault="00B67D7C" w:rsidP="00D45A46">
      <w:pPr>
        <w:jc w:val="both"/>
        <w:rPr>
          <w:bCs/>
          <w:color w:val="002060"/>
          <w:sz w:val="16"/>
          <w:szCs w:val="16"/>
        </w:rPr>
      </w:pPr>
      <w:r w:rsidRPr="00DE096C">
        <w:rPr>
          <w:bCs/>
          <w:color w:val="002060"/>
          <w:sz w:val="16"/>
          <w:szCs w:val="16"/>
        </w:rPr>
        <w:t>В этих условиях только один завод, принадлежавший бельгийской фирме «Оливье Пьетт» и расположенный в Макеевке, после долгих переговоров согласился построить у себя установку для улавливания сырого бензола и ректификационный завод для фракционировки и ректификации собственных и привозных ароматических углеводородов. В течение января 1915 г. комиссия выработала проект договора между фирмой «Оливье Пьетт» и Артиллерийским ведомством на поставку бензола и толуола, а в конце июля и в начале августа 1915 г. завод стал давать бензол и толуол.</w:t>
      </w:r>
    </w:p>
    <w:p w14:paraId="5B862041" w14:textId="720A2873" w:rsidR="00B67D7C" w:rsidRPr="00DE096C" w:rsidRDefault="00B67D7C" w:rsidP="00D45A46">
      <w:pPr>
        <w:jc w:val="both"/>
        <w:rPr>
          <w:bCs/>
          <w:color w:val="002060"/>
          <w:sz w:val="16"/>
          <w:szCs w:val="16"/>
        </w:rPr>
      </w:pPr>
    </w:p>
    <w:p w14:paraId="0ABEA603" w14:textId="6ED4C97E" w:rsidR="004E2FF9" w:rsidRPr="00DE096C" w:rsidRDefault="004E2FF9" w:rsidP="00D45A46">
      <w:pPr>
        <w:jc w:val="both"/>
        <w:rPr>
          <w:bCs/>
          <w:i/>
          <w:iCs/>
          <w:color w:val="002060"/>
          <w:sz w:val="16"/>
          <w:szCs w:val="16"/>
        </w:rPr>
      </w:pPr>
      <w:r w:rsidRPr="00DE096C">
        <w:rPr>
          <w:bCs/>
          <w:i/>
          <w:iCs/>
          <w:color w:val="002060"/>
          <w:sz w:val="16"/>
          <w:szCs w:val="16"/>
        </w:rPr>
        <w:t>Воздухоплавание:</w:t>
      </w:r>
    </w:p>
    <w:p w14:paraId="6D8F278D" w14:textId="77777777" w:rsidR="004E2FF9" w:rsidRPr="00DE096C" w:rsidRDefault="004E2FF9" w:rsidP="00D45A46">
      <w:pPr>
        <w:jc w:val="both"/>
        <w:rPr>
          <w:bCs/>
          <w:i/>
          <w:iCs/>
          <w:color w:val="002060"/>
          <w:sz w:val="16"/>
          <w:szCs w:val="16"/>
        </w:rPr>
      </w:pPr>
    </w:p>
    <w:p w14:paraId="426F0707" w14:textId="77777777" w:rsidR="004E2FF9" w:rsidRPr="00DE096C" w:rsidRDefault="004E2FF9" w:rsidP="00D45A46">
      <w:pPr>
        <w:jc w:val="both"/>
        <w:rPr>
          <w:bCs/>
          <w:color w:val="002060"/>
          <w:sz w:val="16"/>
          <w:szCs w:val="16"/>
        </w:rPr>
      </w:pPr>
      <w:r w:rsidRPr="00DE096C">
        <w:rPr>
          <w:rStyle w:val="43"/>
          <w:rFonts w:ascii="Times New Roman" w:hAnsi="Times New Roman" w:cs="Times New Roman"/>
          <w:bCs/>
          <w:color w:val="002060"/>
          <w:w w:val="100"/>
          <w:sz w:val="16"/>
          <w:szCs w:val="16"/>
        </w:rPr>
        <w:t>19 или 24 декабря 1914 (1 или 6 января 1915) в 10.00 «Астру» вывели из эллинга для полёта по марш</w:t>
      </w:r>
      <w:r w:rsidRPr="00DE096C">
        <w:rPr>
          <w:rStyle w:val="43"/>
          <w:rFonts w:ascii="Times New Roman" w:hAnsi="Times New Roman" w:cs="Times New Roman"/>
          <w:bCs/>
          <w:color w:val="002060"/>
          <w:w w:val="100"/>
          <w:sz w:val="16"/>
          <w:szCs w:val="16"/>
        </w:rPr>
        <w:softHyphen/>
        <w:t>руту: Лида — Скидель — р. Неман — Гродно — Варшавская железная дорога — Соколка. В 12.00 «Астра» прошла Гродно, но поднялся ветер, сни</w:t>
      </w:r>
      <w:r w:rsidRPr="00DE096C">
        <w:rPr>
          <w:rStyle w:val="43"/>
          <w:rFonts w:ascii="Times New Roman" w:hAnsi="Times New Roman" w:cs="Times New Roman"/>
          <w:bCs/>
          <w:color w:val="002060"/>
          <w:w w:val="100"/>
          <w:sz w:val="16"/>
          <w:szCs w:val="16"/>
        </w:rPr>
        <w:softHyphen/>
        <w:t>зилась облачность, широкие полосы тумана толь</w:t>
      </w:r>
      <w:r w:rsidRPr="00DE096C">
        <w:rPr>
          <w:rStyle w:val="43"/>
          <w:rFonts w:ascii="Times New Roman" w:hAnsi="Times New Roman" w:cs="Times New Roman"/>
          <w:bCs/>
          <w:color w:val="002060"/>
          <w:w w:val="100"/>
          <w:sz w:val="16"/>
          <w:szCs w:val="16"/>
        </w:rPr>
        <w:softHyphen/>
        <w:t>ко временами открывали полотно Варшавской железной дороги, использовавшейся как ориен</w:t>
      </w:r>
      <w:r w:rsidRPr="00DE096C">
        <w:rPr>
          <w:rStyle w:val="43"/>
          <w:rFonts w:ascii="Times New Roman" w:hAnsi="Times New Roman" w:cs="Times New Roman"/>
          <w:bCs/>
          <w:color w:val="002060"/>
          <w:w w:val="100"/>
          <w:sz w:val="16"/>
          <w:szCs w:val="16"/>
        </w:rPr>
        <w:softHyphen/>
        <w:t>тир. Чтобы отыскать его, «Астре» приходилось неоднократно нырять в туман. Усиливающийся ветер, изменившийся на юго-восточный, пре</w:t>
      </w:r>
      <w:r w:rsidRPr="00DE096C">
        <w:rPr>
          <w:rStyle w:val="43"/>
          <w:rFonts w:ascii="Times New Roman" w:hAnsi="Times New Roman" w:cs="Times New Roman"/>
          <w:bCs/>
          <w:color w:val="002060"/>
          <w:w w:val="100"/>
          <w:sz w:val="16"/>
          <w:szCs w:val="16"/>
        </w:rPr>
        <w:softHyphen/>
        <w:t>пятствовал возвращению в Лиду. В 15.00, окон</w:t>
      </w:r>
      <w:r w:rsidRPr="00DE096C">
        <w:rPr>
          <w:rStyle w:val="43"/>
          <w:rFonts w:ascii="Times New Roman" w:hAnsi="Times New Roman" w:cs="Times New Roman"/>
          <w:bCs/>
          <w:color w:val="002060"/>
          <w:w w:val="100"/>
          <w:sz w:val="16"/>
          <w:szCs w:val="16"/>
        </w:rPr>
        <w:softHyphen/>
        <w:t>чательно потеряв дорогу, А.И. Шабский решил посадить «Астру» на окраине обнаруженной де</w:t>
      </w:r>
      <w:r w:rsidRPr="00DE096C">
        <w:rPr>
          <w:rStyle w:val="43"/>
          <w:rFonts w:ascii="Times New Roman" w:hAnsi="Times New Roman" w:cs="Times New Roman"/>
          <w:bCs/>
          <w:color w:val="002060"/>
          <w:w w:val="100"/>
          <w:sz w:val="16"/>
          <w:szCs w:val="16"/>
        </w:rPr>
        <w:softHyphen/>
        <w:t>ревни, чтобы сориентироваться. При посадке ди</w:t>
      </w:r>
      <w:r w:rsidRPr="00DE096C">
        <w:rPr>
          <w:rStyle w:val="43"/>
          <w:rFonts w:ascii="Times New Roman" w:hAnsi="Times New Roman" w:cs="Times New Roman"/>
          <w:bCs/>
          <w:color w:val="002060"/>
          <w:w w:val="100"/>
          <w:sz w:val="16"/>
          <w:szCs w:val="16"/>
        </w:rPr>
        <w:softHyphen/>
        <w:t>рижабль ударился гондолой и деформировал её переднюю часть, при этом вышел из строя носо</w:t>
      </w:r>
      <w:r w:rsidRPr="00DE096C">
        <w:rPr>
          <w:rStyle w:val="43"/>
          <w:rFonts w:ascii="Times New Roman" w:hAnsi="Times New Roman" w:cs="Times New Roman"/>
          <w:bCs/>
          <w:color w:val="002060"/>
          <w:w w:val="100"/>
          <w:sz w:val="16"/>
          <w:szCs w:val="16"/>
        </w:rPr>
        <w:softHyphen/>
        <w:t>вой винт. Оказалось, что «Астра» приземлилась в 20 км от Белостока. Около 17.00 ветер усилился, пошёл сильный снег, порывами ветра аэростат поднимало и било о землю, ломая панели гондо</w:t>
      </w:r>
      <w:r w:rsidRPr="00DE096C">
        <w:rPr>
          <w:rStyle w:val="43"/>
          <w:rFonts w:ascii="Times New Roman" w:hAnsi="Times New Roman" w:cs="Times New Roman"/>
          <w:bCs/>
          <w:color w:val="002060"/>
          <w:w w:val="100"/>
          <w:sz w:val="16"/>
          <w:szCs w:val="16"/>
        </w:rPr>
        <w:softHyphen/>
        <w:t>лы. В 17.30 задействовали разрывное устройство, выпустив газ. Только к 1 января 1915 г. все части «Астры» удалось доставить на станцию Чёрный Бор для отправки в Лиду. Затем оболочку отпра</w:t>
      </w:r>
      <w:r w:rsidRPr="00DE096C">
        <w:rPr>
          <w:rStyle w:val="43"/>
          <w:rFonts w:ascii="Times New Roman" w:hAnsi="Times New Roman" w:cs="Times New Roman"/>
          <w:bCs/>
          <w:color w:val="002060"/>
          <w:w w:val="100"/>
          <w:sz w:val="16"/>
          <w:szCs w:val="16"/>
        </w:rPr>
        <w:softHyphen/>
        <w:t>вили для ремонта в Петроград (20120).</w:t>
      </w:r>
    </w:p>
    <w:p w14:paraId="386D5CED" w14:textId="77777777" w:rsidR="004E2FF9" w:rsidRPr="00DE096C" w:rsidRDefault="004E2FF9" w:rsidP="00D45A46">
      <w:pPr>
        <w:jc w:val="both"/>
        <w:rPr>
          <w:bCs/>
          <w:color w:val="002060"/>
          <w:sz w:val="16"/>
          <w:szCs w:val="16"/>
        </w:rPr>
      </w:pPr>
    </w:p>
    <w:p w14:paraId="5692D194" w14:textId="3FCF0D62" w:rsidR="004E2FF9" w:rsidRPr="00DE096C" w:rsidRDefault="004E2FF9" w:rsidP="00D45A46">
      <w:pPr>
        <w:jc w:val="both"/>
        <w:rPr>
          <w:bCs/>
          <w:color w:val="002060"/>
          <w:sz w:val="16"/>
          <w:szCs w:val="16"/>
        </w:rPr>
      </w:pPr>
      <w:r w:rsidRPr="00DE096C">
        <w:rPr>
          <w:rStyle w:val="43"/>
          <w:rFonts w:ascii="Times New Roman" w:hAnsi="Times New Roman" w:cs="Times New Roman"/>
          <w:bCs/>
          <w:color w:val="002060"/>
          <w:w w:val="100"/>
          <w:sz w:val="16"/>
          <w:szCs w:val="16"/>
        </w:rPr>
        <w:t>19 декабря 1914 г. (</w:t>
      </w:r>
      <w:r w:rsidR="002358A3" w:rsidRPr="00DE096C">
        <w:rPr>
          <w:rStyle w:val="43"/>
          <w:rFonts w:ascii="Times New Roman" w:hAnsi="Times New Roman" w:cs="Times New Roman"/>
          <w:bCs/>
          <w:color w:val="002060"/>
          <w:w w:val="100"/>
          <w:sz w:val="16"/>
          <w:szCs w:val="16"/>
        </w:rPr>
        <w:t>1</w:t>
      </w:r>
      <w:r w:rsidRPr="00DE096C">
        <w:rPr>
          <w:rStyle w:val="43"/>
          <w:rFonts w:ascii="Times New Roman" w:hAnsi="Times New Roman" w:cs="Times New Roman"/>
          <w:bCs/>
          <w:color w:val="002060"/>
          <w:w w:val="100"/>
          <w:sz w:val="16"/>
          <w:szCs w:val="16"/>
        </w:rPr>
        <w:t xml:space="preserve"> января 1915) «Буревестник» (командир А.П. Чечулин) поднялся на высоту 1100 м. Экипаж отрабатывал приёмы высотной бомбардировки, при этом отличился рулевой дирижабля старший унтер-офицер Никандр Тю- стин, произведённый в подпоручики. А.П. Чечу</w:t>
      </w:r>
      <w:r w:rsidRPr="00DE096C">
        <w:rPr>
          <w:rStyle w:val="43"/>
          <w:rFonts w:ascii="Times New Roman" w:hAnsi="Times New Roman" w:cs="Times New Roman"/>
          <w:bCs/>
          <w:color w:val="002060"/>
          <w:w w:val="100"/>
          <w:sz w:val="16"/>
          <w:szCs w:val="16"/>
        </w:rPr>
        <w:softHyphen/>
        <w:t>лин предполагал в хорошую погоду подняться на высоту 2000 м, но этому помешали большая га</w:t>
      </w:r>
      <w:r w:rsidRPr="00DE096C">
        <w:rPr>
          <w:rStyle w:val="43"/>
          <w:rFonts w:ascii="Times New Roman" w:hAnsi="Times New Roman" w:cs="Times New Roman"/>
          <w:bCs/>
          <w:color w:val="002060"/>
          <w:w w:val="100"/>
          <w:sz w:val="16"/>
          <w:szCs w:val="16"/>
        </w:rPr>
        <w:softHyphen/>
        <w:t>зопроницаемость оболочки и сложность управ</w:t>
      </w:r>
      <w:r w:rsidRPr="00DE096C">
        <w:rPr>
          <w:rStyle w:val="43"/>
          <w:rFonts w:ascii="Times New Roman" w:hAnsi="Times New Roman" w:cs="Times New Roman"/>
          <w:bCs/>
          <w:color w:val="002060"/>
          <w:w w:val="100"/>
          <w:sz w:val="16"/>
          <w:szCs w:val="16"/>
        </w:rPr>
        <w:softHyphen/>
        <w:t>ления. К весне 1915 г. повреждённый при выводе из эллинга дирижабль разоружили (20120).</w:t>
      </w:r>
    </w:p>
    <w:p w14:paraId="597F00AB" w14:textId="77777777" w:rsidR="004E2FF9" w:rsidRPr="00DE096C" w:rsidRDefault="004E2FF9" w:rsidP="00D45A46">
      <w:pPr>
        <w:jc w:val="both"/>
        <w:rPr>
          <w:rStyle w:val="43"/>
          <w:rFonts w:ascii="Times New Roman" w:hAnsi="Times New Roman" w:cs="Times New Roman"/>
          <w:bCs/>
          <w:color w:val="002060"/>
          <w:w w:val="100"/>
          <w:sz w:val="16"/>
          <w:szCs w:val="16"/>
        </w:rPr>
      </w:pPr>
    </w:p>
    <w:p w14:paraId="4D68ACAF" w14:textId="77777777" w:rsidR="00FA4C95" w:rsidRPr="00DE096C" w:rsidRDefault="00FA4C95" w:rsidP="00D45A46">
      <w:pPr>
        <w:jc w:val="both"/>
        <w:rPr>
          <w:bCs/>
          <w:i/>
          <w:color w:val="002060"/>
          <w:sz w:val="16"/>
          <w:szCs w:val="16"/>
        </w:rPr>
      </w:pPr>
      <w:r w:rsidRPr="00DE096C">
        <w:rPr>
          <w:bCs/>
          <w:i/>
          <w:color w:val="002060"/>
          <w:sz w:val="16"/>
          <w:szCs w:val="16"/>
        </w:rPr>
        <w:t>Армия:</w:t>
      </w:r>
    </w:p>
    <w:p w14:paraId="43B5823A" w14:textId="77777777" w:rsidR="00FA4C95" w:rsidRPr="00DE096C" w:rsidRDefault="00FA4C95" w:rsidP="00D45A46">
      <w:pPr>
        <w:jc w:val="both"/>
        <w:rPr>
          <w:bCs/>
          <w:i/>
          <w:color w:val="002060"/>
          <w:sz w:val="16"/>
          <w:szCs w:val="16"/>
        </w:rPr>
      </w:pPr>
    </w:p>
    <w:p w14:paraId="2551BDF1" w14:textId="77777777" w:rsidR="00FA4C95" w:rsidRPr="00DE096C" w:rsidRDefault="00FA4C95" w:rsidP="00D45A46">
      <w:pPr>
        <w:jc w:val="both"/>
        <w:rPr>
          <w:bCs/>
          <w:color w:val="002060"/>
          <w:sz w:val="16"/>
          <w:szCs w:val="16"/>
        </w:rPr>
      </w:pPr>
      <w:r w:rsidRPr="00DE096C">
        <w:rPr>
          <w:bCs/>
          <w:color w:val="002060"/>
          <w:sz w:val="16"/>
          <w:szCs w:val="16"/>
        </w:rPr>
        <w:t>19 декабря в 1914 году ( 1 января 1915 г.) начало завершающей фазы сражения под Лимановой-Лапановым, начавшегося 2 декабря 1914 года (срыв русской попытки взятия Кракова, последняя самостоятельная победа Императорской и Королевской Армии в Первой Мировой Войне). Контрнаступление русской армии к северу от Ясло (14865).</w:t>
      </w:r>
    </w:p>
    <w:p w14:paraId="4BF09C58" w14:textId="77777777" w:rsidR="00FA4C95" w:rsidRPr="00DE096C" w:rsidRDefault="00FA4C95" w:rsidP="00D45A46">
      <w:pPr>
        <w:jc w:val="both"/>
        <w:rPr>
          <w:bCs/>
          <w:color w:val="002060"/>
          <w:sz w:val="16"/>
          <w:szCs w:val="16"/>
        </w:rPr>
      </w:pPr>
    </w:p>
    <w:p w14:paraId="43905007" w14:textId="77777777" w:rsidR="00B67D7C" w:rsidRPr="00DE096C" w:rsidRDefault="00B67D7C" w:rsidP="00D45A46">
      <w:pPr>
        <w:jc w:val="both"/>
        <w:rPr>
          <w:bCs/>
          <w:i/>
          <w:color w:val="002060"/>
          <w:sz w:val="16"/>
          <w:szCs w:val="16"/>
        </w:rPr>
      </w:pPr>
      <w:r w:rsidRPr="00DE096C">
        <w:rPr>
          <w:bCs/>
          <w:i/>
          <w:color w:val="002060"/>
          <w:sz w:val="16"/>
          <w:szCs w:val="16"/>
        </w:rPr>
        <w:t>Самолетостроение:</w:t>
      </w:r>
    </w:p>
    <w:p w14:paraId="125B0466" w14:textId="77777777" w:rsidR="00B67D7C" w:rsidRPr="00DE096C" w:rsidRDefault="00B67D7C" w:rsidP="00D45A46">
      <w:pPr>
        <w:jc w:val="both"/>
        <w:rPr>
          <w:bCs/>
          <w:i/>
          <w:color w:val="002060"/>
          <w:sz w:val="16"/>
          <w:szCs w:val="16"/>
        </w:rPr>
      </w:pPr>
    </w:p>
    <w:p w14:paraId="63D0E53C" w14:textId="541769BC" w:rsidR="00B67D7C" w:rsidRPr="00DE096C" w:rsidRDefault="00B67D7C" w:rsidP="00D45A46">
      <w:pPr>
        <w:jc w:val="both"/>
        <w:rPr>
          <w:bCs/>
          <w:color w:val="002060"/>
          <w:sz w:val="16"/>
          <w:szCs w:val="16"/>
        </w:rPr>
      </w:pPr>
      <w:r w:rsidRPr="00DE096C">
        <w:rPr>
          <w:bCs/>
          <w:color w:val="002060"/>
          <w:sz w:val="16"/>
          <w:szCs w:val="16"/>
        </w:rPr>
        <w:t xml:space="preserve">20 декабря </w:t>
      </w:r>
      <w:r w:rsidR="002358A3" w:rsidRPr="00DE096C">
        <w:rPr>
          <w:bCs/>
          <w:color w:val="002060"/>
          <w:sz w:val="16"/>
          <w:szCs w:val="16"/>
        </w:rPr>
        <w:t xml:space="preserve">1914 г. (2 января 1915 г.) </w:t>
      </w:r>
      <w:r w:rsidRPr="00DE096C">
        <w:rPr>
          <w:bCs/>
          <w:color w:val="002060"/>
          <w:sz w:val="16"/>
          <w:szCs w:val="16"/>
        </w:rPr>
        <w:t>на 3-ю станцию прибыли три летающие лодки ФБА (Ргапсо-ВпТ1сЬ-Ау|'а1юп - франко-британская фирма, строившая летающие лодки с 1912 г.) из шести заказанных во Франции 12 сентября 1914 г. На тот момент это были наиболее доведенные машины, как по конструкции, так и по летным и эксплуатационным характеристикам. Сравнение двух типов аппаратов было явно не в пользу М-2, поэтому представители флота заняли более жесткую позицию в отношении приемки лодок Григоровича. К первому января 1915 г. ни одна из них еще не прошла сдаточных испытаний.</w:t>
      </w:r>
    </w:p>
    <w:p w14:paraId="5FF714B3" w14:textId="77777777" w:rsidR="00B67D7C" w:rsidRPr="00DE096C" w:rsidRDefault="00B67D7C" w:rsidP="00D45A46">
      <w:pPr>
        <w:jc w:val="both"/>
        <w:rPr>
          <w:bCs/>
          <w:color w:val="002060"/>
          <w:sz w:val="16"/>
          <w:szCs w:val="16"/>
        </w:rPr>
      </w:pPr>
      <w:r w:rsidRPr="00DE096C">
        <w:rPr>
          <w:bCs/>
          <w:color w:val="002060"/>
          <w:sz w:val="16"/>
          <w:szCs w:val="16"/>
        </w:rPr>
        <w:t>Несмотря на трудности доводки М-2, первую такую лодку в начале февраля 1915 г. удалось испытать. Доработанные по ее опыту детали и узлы заново изготовили на заводе Щетинина, доставили в Ревель и установили на второй экземпляр. По причине изменений конструкции, он получил новое обозначение - М-3. Сдаточные испытания закончились в марте 1915 г., затем М-2 и М-3 зачислили в состав Службы связи Балтийского моря под обозначением Щ-2 и Щ-3 (12083).</w:t>
      </w:r>
    </w:p>
    <w:p w14:paraId="24E1F211" w14:textId="77777777" w:rsidR="00B67D7C" w:rsidRPr="00DE096C" w:rsidRDefault="00B67D7C" w:rsidP="00D45A46">
      <w:pPr>
        <w:jc w:val="both"/>
        <w:rPr>
          <w:bCs/>
          <w:color w:val="002060"/>
          <w:sz w:val="16"/>
          <w:szCs w:val="16"/>
        </w:rPr>
      </w:pPr>
      <w:r w:rsidRPr="00DE096C">
        <w:rPr>
          <w:bCs/>
          <w:color w:val="002060"/>
          <w:sz w:val="16"/>
          <w:szCs w:val="16"/>
        </w:rPr>
        <w:t>Между тем, затянувшаяся сдача этих первых летающих лодок отечественного производства негативно повлияла на отношение к ним со стороны морского ведомства. В середине января 1915 г. штаб заведующего авиацией при Службе связи Балтийского моря принял решение о заказе большой партии летающих лодок ФБА для оснащения отрядов и станций на Балтике. Впрочем, реализация этого решения поначалу сдерживалась тем обстоятельством, что производственные мощности французской фирмы до предела были загружены заказами собственного флота. Начались переговоры о лицензионном соглашении.</w:t>
      </w:r>
    </w:p>
    <w:p w14:paraId="0B104441" w14:textId="77777777" w:rsidR="00B67D7C" w:rsidRPr="00DE096C" w:rsidRDefault="00B67D7C" w:rsidP="00D45A46">
      <w:pPr>
        <w:jc w:val="both"/>
        <w:rPr>
          <w:bCs/>
          <w:color w:val="002060"/>
          <w:sz w:val="16"/>
          <w:szCs w:val="16"/>
        </w:rPr>
      </w:pPr>
      <w:r w:rsidRPr="00DE096C">
        <w:rPr>
          <w:bCs/>
          <w:color w:val="002060"/>
          <w:sz w:val="16"/>
          <w:szCs w:val="16"/>
        </w:rPr>
        <w:t>2 февраля 1915 г. было получено сообщение, что фирма ФБА готова продать комплект чертежей своей летающей лодки России за 13000 рублей и, кроме того, фирма пожелала получать по 1300 рублей за каждый построенный такой самолет на русских заводах. После подписания лицензионного соглашения от приемки двух оставшихся лодок Щетинина отказались, выплатив заводу лишь небольшую неустойку. А французские ФБА в довольно большом числе экземпляров начал строить в Петрограде завод В.А. Лебедева.</w:t>
      </w:r>
    </w:p>
    <w:p w14:paraId="0A172F6F" w14:textId="77777777" w:rsidR="00B67D7C" w:rsidRPr="00DE096C" w:rsidRDefault="00B67D7C" w:rsidP="00D45A46">
      <w:pPr>
        <w:jc w:val="both"/>
        <w:rPr>
          <w:bCs/>
          <w:color w:val="002060"/>
          <w:sz w:val="16"/>
          <w:szCs w:val="16"/>
        </w:rPr>
      </w:pPr>
      <w:r w:rsidRPr="00DE096C">
        <w:rPr>
          <w:bCs/>
          <w:color w:val="002060"/>
          <w:sz w:val="16"/>
          <w:szCs w:val="16"/>
        </w:rPr>
        <w:t>Принятые флотом М-2 (Щ-2) и М-3 (Щ-3) использовались на 3-й станции в качестве учебных машин. Летом 1915 г. почти одновременно они получили при жесткой посадке довольно серьезные повреждения конструкции и до октября находились в долговременном ремонте. В ноябре того же года их списали.</w:t>
      </w:r>
    </w:p>
    <w:p w14:paraId="3683632E" w14:textId="77777777" w:rsidR="00B67D7C" w:rsidRPr="00DE096C" w:rsidRDefault="00B67D7C" w:rsidP="00D45A46">
      <w:pPr>
        <w:jc w:val="both"/>
        <w:rPr>
          <w:bCs/>
          <w:color w:val="002060"/>
          <w:sz w:val="16"/>
          <w:szCs w:val="16"/>
        </w:rPr>
      </w:pPr>
      <w:r w:rsidRPr="00DE096C">
        <w:rPr>
          <w:bCs/>
          <w:color w:val="002060"/>
          <w:sz w:val="16"/>
          <w:szCs w:val="16"/>
        </w:rPr>
        <w:t>На Черном море летом 1914 г. еще царила довольно благодушная обстановка. Казалось, война далеко, а время для реорганизаций еще есть. В сентябре морская авиация Черноморского флота насчитывала всего шесть боевых машин. По-ложение резко изменилось в октябре, когда после набега немецких крейсеров "Гебен" и "Бреслау" при участии части турецкого флота Турция объявила войну России. Обострение военной ситуации показало острую нехватку боеспособных самолетов.</w:t>
      </w:r>
    </w:p>
    <w:p w14:paraId="6980BBD7" w14:textId="77777777" w:rsidR="00B67D7C" w:rsidRPr="00DE096C" w:rsidRDefault="00B67D7C" w:rsidP="00D45A46">
      <w:pPr>
        <w:jc w:val="both"/>
        <w:rPr>
          <w:bCs/>
          <w:color w:val="002060"/>
          <w:sz w:val="16"/>
          <w:szCs w:val="16"/>
        </w:rPr>
      </w:pPr>
      <w:r w:rsidRPr="00DE096C">
        <w:rPr>
          <w:bCs/>
          <w:color w:val="002060"/>
          <w:sz w:val="16"/>
          <w:szCs w:val="16"/>
        </w:rPr>
        <w:t xml:space="preserve">В сложившихся условиях предложение Щетинина о поставке двух летающих лодок типа М-2 командованием Черноморского флота было встречено вполне благожелательно. Имеющиеся в наличии на заводе две недостроенные лодки срочно доработали по типу М-3, кроме того, внесли дополнительные изменения и дооборудовали кабину. После чего они получили обозначение М-4 и уже весной 1915 г. прибыли на Черное море. </w:t>
      </w:r>
    </w:p>
    <w:p w14:paraId="0AB32909" w14:textId="77777777" w:rsidR="00B67D7C" w:rsidRPr="00DE096C" w:rsidRDefault="00B67D7C" w:rsidP="00D45A46">
      <w:pPr>
        <w:jc w:val="both"/>
        <w:rPr>
          <w:bCs/>
          <w:color w:val="002060"/>
          <w:sz w:val="16"/>
          <w:szCs w:val="16"/>
        </w:rPr>
      </w:pPr>
      <w:r w:rsidRPr="00DE096C">
        <w:rPr>
          <w:bCs/>
          <w:color w:val="002060"/>
          <w:sz w:val="16"/>
          <w:szCs w:val="16"/>
        </w:rPr>
        <w:t>После проведения сдаточных испытаний в апреле 1915 г. самолеты зачислили в состав авиации Черноморского флота. Летчики встретили их довольно хорошо: по сравнению с летающими лодками американского производства "Кер- тисс" (СигН$$) машины Григоровича имели лучшие мореходные, летные и эксплуатационные характеристики. Один самолет использовался в составе корабельного отряда, другой состоял в береговом отряде. Скоро оба экземпляра успешно опробовали в боевой обстановке. 12 апреля аппарат с бортовым номером "29", спущенный с борта крейсера "Император Николай I", в районе Босфора впервые атаковал турецкую канонерку. Это сообщение, наряду с другими положительными отзывами об ис-пользовании летающих лодок Щетинина-Григоровича, позволило вполне уверенно продолжать строительство следующих гидросамолетов (12083).</w:t>
      </w:r>
    </w:p>
    <w:p w14:paraId="1639F066" w14:textId="77777777" w:rsidR="00B67D7C" w:rsidRPr="00DE096C" w:rsidRDefault="00B67D7C" w:rsidP="00D45A46">
      <w:pPr>
        <w:jc w:val="both"/>
        <w:rPr>
          <w:bCs/>
          <w:color w:val="002060"/>
          <w:sz w:val="16"/>
          <w:szCs w:val="16"/>
        </w:rPr>
      </w:pPr>
    </w:p>
    <w:p w14:paraId="362A5284" w14:textId="77777777" w:rsidR="006E1144" w:rsidRPr="00DE096C" w:rsidRDefault="006E1144" w:rsidP="00D45A46">
      <w:pPr>
        <w:shd w:val="clear" w:color="auto" w:fill="FFFFFF"/>
        <w:jc w:val="both"/>
        <w:rPr>
          <w:bCs/>
          <w:i/>
          <w:color w:val="002060"/>
          <w:sz w:val="16"/>
          <w:szCs w:val="16"/>
        </w:rPr>
      </w:pPr>
      <w:r w:rsidRPr="00DE096C">
        <w:rPr>
          <w:bCs/>
          <w:i/>
          <w:color w:val="002060"/>
          <w:sz w:val="16"/>
          <w:szCs w:val="16"/>
        </w:rPr>
        <w:t>Авиация:</w:t>
      </w:r>
    </w:p>
    <w:p w14:paraId="10AC6820" w14:textId="77777777" w:rsidR="006E1144" w:rsidRPr="00DE096C" w:rsidRDefault="006E1144" w:rsidP="00D45A46">
      <w:pPr>
        <w:shd w:val="clear" w:color="auto" w:fill="FFFFFF"/>
        <w:jc w:val="both"/>
        <w:rPr>
          <w:bCs/>
          <w:i/>
          <w:color w:val="002060"/>
          <w:sz w:val="16"/>
          <w:szCs w:val="16"/>
        </w:rPr>
      </w:pPr>
    </w:p>
    <w:p w14:paraId="412342C1" w14:textId="7E41BD67" w:rsidR="006E1144" w:rsidRPr="00DE096C" w:rsidRDefault="006E1144" w:rsidP="00D45A46">
      <w:pPr>
        <w:jc w:val="both"/>
        <w:rPr>
          <w:bCs/>
          <w:color w:val="002060"/>
          <w:sz w:val="16"/>
          <w:szCs w:val="16"/>
        </w:rPr>
      </w:pPr>
      <w:r w:rsidRPr="00DE096C">
        <w:rPr>
          <w:bCs/>
          <w:color w:val="002060"/>
          <w:sz w:val="16"/>
          <w:szCs w:val="16"/>
        </w:rPr>
        <w:t xml:space="preserve">20 декабря в 1914 году </w:t>
      </w:r>
      <w:r w:rsidR="008028E1" w:rsidRPr="00DE096C">
        <w:rPr>
          <w:bCs/>
          <w:color w:val="002060"/>
          <w:sz w:val="16"/>
          <w:szCs w:val="16"/>
        </w:rPr>
        <w:t xml:space="preserve">(2 января 1915 г.) юыло </w:t>
      </w:r>
      <w:r w:rsidRPr="00DE096C">
        <w:rPr>
          <w:bCs/>
          <w:color w:val="002060"/>
          <w:sz w:val="16"/>
          <w:szCs w:val="16"/>
        </w:rPr>
        <w:t>утверждено «Положение об организации эскадры воздушных кораблей» «Илья Муромец» - заложены основы создания тяжелой бомбардировочной авиации в Росси. "Эскадра воздушных кораблей" - первое в мире подразделение многомоторных бомбометательных самолетов. На борту "Ильи Муромца" с двигателями "Аргус" можно было размещать до 400 кг бомбового груза. Бомбы весом до 16,5 кг складывались внутри корпуса, а более тяжелые размещались под самолетом. В самолете имелись пулемет для защиты машины от вражеских нападений. Экипаж состоял из 4 человек. Осенью 1915 г. на самолете с первыми отечественными двигателями «РБЗ-6» впервые в мире была поднята 410-килограммовая учебная бомба. Ни один самолет в мире тогда не был способен на это. 15 февраля 1915 г. самолет под командованием капитана Горшкова сделал первый успешный боевой вылет, сбросив на вражеские позиции 270 кг бомб (14866).</w:t>
      </w:r>
    </w:p>
    <w:p w14:paraId="00C4C99F" w14:textId="77777777" w:rsidR="006E1144" w:rsidRPr="00DE096C" w:rsidRDefault="006E1144" w:rsidP="00D45A46">
      <w:pPr>
        <w:jc w:val="both"/>
        <w:rPr>
          <w:bCs/>
          <w:color w:val="002060"/>
          <w:sz w:val="16"/>
          <w:szCs w:val="16"/>
        </w:rPr>
      </w:pPr>
    </w:p>
    <w:p w14:paraId="187794A2" w14:textId="77777777" w:rsidR="00B67D7C" w:rsidRPr="00DE096C" w:rsidRDefault="00B67D7C" w:rsidP="00D45A46">
      <w:pPr>
        <w:jc w:val="both"/>
        <w:rPr>
          <w:bCs/>
          <w:i/>
          <w:color w:val="002060"/>
          <w:sz w:val="16"/>
          <w:szCs w:val="16"/>
        </w:rPr>
      </w:pPr>
      <w:r w:rsidRPr="00DE096C">
        <w:rPr>
          <w:bCs/>
          <w:i/>
          <w:color w:val="002060"/>
          <w:sz w:val="16"/>
          <w:szCs w:val="16"/>
        </w:rPr>
        <w:lastRenderedPageBreak/>
        <w:t>Самолетостроение:</w:t>
      </w:r>
    </w:p>
    <w:p w14:paraId="3E8DC359" w14:textId="77777777" w:rsidR="00B67D7C" w:rsidRPr="00DE096C" w:rsidRDefault="00B67D7C" w:rsidP="00D45A46">
      <w:pPr>
        <w:jc w:val="both"/>
        <w:rPr>
          <w:bCs/>
          <w:i/>
          <w:color w:val="002060"/>
          <w:sz w:val="16"/>
          <w:szCs w:val="16"/>
        </w:rPr>
      </w:pPr>
    </w:p>
    <w:p w14:paraId="1CC311EF" w14:textId="5836292B" w:rsidR="007A18DE" w:rsidRPr="00DE096C" w:rsidRDefault="007A18DE" w:rsidP="00D45A46">
      <w:pPr>
        <w:jc w:val="both"/>
        <w:rPr>
          <w:bCs/>
          <w:color w:val="002060"/>
          <w:sz w:val="16"/>
          <w:szCs w:val="16"/>
        </w:rPr>
      </w:pPr>
      <w:r w:rsidRPr="00DE096C">
        <w:rPr>
          <w:bCs/>
          <w:color w:val="002060"/>
          <w:sz w:val="16"/>
          <w:szCs w:val="16"/>
        </w:rPr>
        <w:t>21 декабря 1914 г. (3 января 1915 г.) по утвержденному Верховным Главнокомандующим положению о ЭВК, целями её создания объявлялось: «выясне</w:t>
      </w:r>
      <w:r w:rsidRPr="00DE096C">
        <w:rPr>
          <w:bCs/>
          <w:color w:val="002060"/>
          <w:sz w:val="16"/>
          <w:szCs w:val="16"/>
        </w:rPr>
        <w:softHyphen/>
        <w:t>ние боевых свойств Воздушных Ко</w:t>
      </w:r>
      <w:r w:rsidRPr="00DE096C">
        <w:rPr>
          <w:bCs/>
          <w:color w:val="002060"/>
          <w:sz w:val="16"/>
          <w:szCs w:val="16"/>
        </w:rPr>
        <w:softHyphen/>
        <w:t>раблей, выработка соответствую</w:t>
      </w:r>
      <w:r w:rsidRPr="00DE096C">
        <w:rPr>
          <w:bCs/>
          <w:color w:val="002060"/>
          <w:sz w:val="16"/>
          <w:szCs w:val="16"/>
        </w:rPr>
        <w:softHyphen/>
        <w:t>щего боевого вооружения их, под</w:t>
      </w:r>
      <w:r w:rsidRPr="00DE096C">
        <w:rPr>
          <w:bCs/>
          <w:color w:val="002060"/>
          <w:sz w:val="16"/>
          <w:szCs w:val="16"/>
        </w:rPr>
        <w:softHyphen/>
        <w:t>готовка командного состава и нане</w:t>
      </w:r>
      <w:r w:rsidRPr="00DE096C">
        <w:rPr>
          <w:bCs/>
          <w:color w:val="002060"/>
          <w:sz w:val="16"/>
          <w:szCs w:val="16"/>
        </w:rPr>
        <w:softHyphen/>
        <w:t>сение большего вреда неприятелю в зависимости от степени боевой готовности кораблей».</w:t>
      </w:r>
    </w:p>
    <w:p w14:paraId="0293B2E1" w14:textId="77777777" w:rsidR="007A18DE" w:rsidRPr="00DE096C" w:rsidRDefault="007A18DE" w:rsidP="00D45A46">
      <w:pPr>
        <w:jc w:val="both"/>
        <w:rPr>
          <w:bCs/>
          <w:color w:val="002060"/>
          <w:sz w:val="16"/>
          <w:szCs w:val="16"/>
        </w:rPr>
      </w:pPr>
      <w:r w:rsidRPr="00DE096C">
        <w:rPr>
          <w:bCs/>
          <w:color w:val="002060"/>
          <w:sz w:val="16"/>
          <w:szCs w:val="16"/>
        </w:rPr>
        <w:t>Деятель</w:t>
      </w:r>
      <w:r w:rsidRPr="00DE096C">
        <w:rPr>
          <w:bCs/>
          <w:color w:val="002060"/>
          <w:sz w:val="16"/>
          <w:szCs w:val="16"/>
        </w:rPr>
        <w:softHyphen/>
        <w:t>ность ЭВК подразделялась на под</w:t>
      </w:r>
      <w:r w:rsidRPr="00DE096C">
        <w:rPr>
          <w:bCs/>
          <w:color w:val="002060"/>
          <w:sz w:val="16"/>
          <w:szCs w:val="16"/>
        </w:rPr>
        <w:softHyphen/>
        <w:t>готовительную и боевую:</w:t>
      </w:r>
    </w:p>
    <w:p w14:paraId="774205ED" w14:textId="77777777" w:rsidR="007A18DE" w:rsidRPr="00DE096C" w:rsidRDefault="007A18DE" w:rsidP="00D45A46">
      <w:pPr>
        <w:jc w:val="both"/>
        <w:rPr>
          <w:bCs/>
          <w:color w:val="002060"/>
          <w:sz w:val="16"/>
          <w:szCs w:val="16"/>
        </w:rPr>
      </w:pPr>
      <w:r w:rsidRPr="00DE096C">
        <w:rPr>
          <w:bCs/>
          <w:color w:val="002060"/>
          <w:sz w:val="16"/>
          <w:szCs w:val="16"/>
        </w:rPr>
        <w:t>«1. Подготовительная</w:t>
      </w:r>
    </w:p>
    <w:p w14:paraId="3AEA4B0A" w14:textId="77777777" w:rsidR="007A18DE" w:rsidRPr="00DE096C" w:rsidRDefault="007A18DE" w:rsidP="00D45A46">
      <w:pPr>
        <w:jc w:val="both"/>
        <w:rPr>
          <w:bCs/>
          <w:color w:val="002060"/>
          <w:sz w:val="16"/>
          <w:szCs w:val="16"/>
        </w:rPr>
      </w:pPr>
      <w:r w:rsidRPr="00DE096C">
        <w:rPr>
          <w:bCs/>
          <w:color w:val="002060"/>
          <w:sz w:val="16"/>
          <w:szCs w:val="16"/>
        </w:rPr>
        <w:t>а) испытания и изучения бое</w:t>
      </w:r>
      <w:r w:rsidRPr="00DE096C">
        <w:rPr>
          <w:bCs/>
          <w:color w:val="002060"/>
          <w:sz w:val="16"/>
          <w:szCs w:val="16"/>
        </w:rPr>
        <w:softHyphen/>
        <w:t>вых свойств каждого корабля, вы</w:t>
      </w:r>
      <w:r w:rsidRPr="00DE096C">
        <w:rPr>
          <w:bCs/>
          <w:color w:val="002060"/>
          <w:sz w:val="16"/>
          <w:szCs w:val="16"/>
        </w:rPr>
        <w:softHyphen/>
        <w:t>работка для него соответствую</w:t>
      </w:r>
      <w:r w:rsidRPr="00DE096C">
        <w:rPr>
          <w:bCs/>
          <w:color w:val="002060"/>
          <w:sz w:val="16"/>
          <w:szCs w:val="16"/>
        </w:rPr>
        <w:softHyphen/>
        <w:t>щего оборудования и вооружения и определение тех боевых задач, исполнение которых может быть на него возложено.</w:t>
      </w:r>
    </w:p>
    <w:p w14:paraId="494D8571" w14:textId="77777777" w:rsidR="007A18DE" w:rsidRPr="00DE096C" w:rsidRDefault="007A18DE" w:rsidP="00D45A46">
      <w:pPr>
        <w:jc w:val="both"/>
        <w:rPr>
          <w:bCs/>
          <w:color w:val="002060"/>
          <w:sz w:val="16"/>
          <w:szCs w:val="16"/>
        </w:rPr>
      </w:pPr>
      <w:r w:rsidRPr="00DE096C">
        <w:rPr>
          <w:bCs/>
          <w:color w:val="002060"/>
          <w:sz w:val="16"/>
          <w:szCs w:val="16"/>
        </w:rPr>
        <w:t>б) подготовка личного состава кораблей к обслуживанию и управ</w:t>
      </w:r>
      <w:r w:rsidRPr="00DE096C">
        <w:rPr>
          <w:bCs/>
          <w:color w:val="002060"/>
          <w:sz w:val="16"/>
          <w:szCs w:val="16"/>
        </w:rPr>
        <w:softHyphen/>
        <w:t>лению механизмами кораблей и выполнению выработанных для них боевых задач.</w:t>
      </w:r>
    </w:p>
    <w:p w14:paraId="3E050C7A" w14:textId="77777777" w:rsidR="007A18DE" w:rsidRPr="00DE096C" w:rsidRDefault="007A18DE" w:rsidP="00D45A46">
      <w:pPr>
        <w:jc w:val="both"/>
        <w:rPr>
          <w:bCs/>
          <w:color w:val="002060"/>
          <w:sz w:val="16"/>
          <w:szCs w:val="16"/>
        </w:rPr>
      </w:pPr>
      <w:r w:rsidRPr="00DE096C">
        <w:rPr>
          <w:bCs/>
          <w:color w:val="002060"/>
          <w:sz w:val="16"/>
          <w:szCs w:val="16"/>
        </w:rPr>
        <w:t>2. Боевая</w:t>
      </w:r>
    </w:p>
    <w:p w14:paraId="62BC88A6" w14:textId="77777777" w:rsidR="007A18DE" w:rsidRPr="00DE096C" w:rsidRDefault="007A18DE" w:rsidP="00D45A46">
      <w:pPr>
        <w:jc w:val="both"/>
        <w:rPr>
          <w:bCs/>
          <w:color w:val="002060"/>
          <w:sz w:val="16"/>
          <w:szCs w:val="16"/>
        </w:rPr>
      </w:pPr>
      <w:r w:rsidRPr="00DE096C">
        <w:rPr>
          <w:bCs/>
          <w:color w:val="002060"/>
          <w:sz w:val="16"/>
          <w:szCs w:val="16"/>
        </w:rPr>
        <w:t>а) Разрушение при помощи бро</w:t>
      </w:r>
      <w:r w:rsidRPr="00DE096C">
        <w:rPr>
          <w:bCs/>
          <w:color w:val="002060"/>
          <w:sz w:val="16"/>
          <w:szCs w:val="16"/>
        </w:rPr>
        <w:softHyphen/>
        <w:t>сания бомб укреплений и сооруже</w:t>
      </w:r>
      <w:r w:rsidRPr="00DE096C">
        <w:rPr>
          <w:bCs/>
          <w:color w:val="002060"/>
          <w:sz w:val="16"/>
          <w:szCs w:val="16"/>
        </w:rPr>
        <w:softHyphen/>
        <w:t>ний, важных в военном отношении, железно-дорожных путей, а так</w:t>
      </w:r>
      <w:r w:rsidRPr="00DE096C">
        <w:rPr>
          <w:bCs/>
          <w:color w:val="002060"/>
          <w:sz w:val="16"/>
          <w:szCs w:val="16"/>
        </w:rPr>
        <w:softHyphen/>
        <w:t>же поражение резервов и обозов в тылу неприятельских армий.</w:t>
      </w:r>
    </w:p>
    <w:p w14:paraId="75D32A75" w14:textId="77777777" w:rsidR="007A18DE" w:rsidRPr="00DE096C" w:rsidRDefault="007A18DE" w:rsidP="00D45A46">
      <w:pPr>
        <w:jc w:val="both"/>
        <w:rPr>
          <w:bCs/>
          <w:color w:val="002060"/>
          <w:sz w:val="16"/>
          <w:szCs w:val="16"/>
        </w:rPr>
      </w:pPr>
      <w:r w:rsidRPr="00DE096C">
        <w:rPr>
          <w:bCs/>
          <w:color w:val="002060"/>
          <w:sz w:val="16"/>
          <w:szCs w:val="16"/>
        </w:rPr>
        <w:t>б) поражение ружейным и ору</w:t>
      </w:r>
      <w:r w:rsidRPr="00DE096C">
        <w:rPr>
          <w:bCs/>
          <w:color w:val="002060"/>
          <w:sz w:val="16"/>
          <w:szCs w:val="16"/>
        </w:rPr>
        <w:softHyphen/>
        <w:t>дийным огнем неприятельских уп</w:t>
      </w:r>
      <w:r w:rsidRPr="00DE096C">
        <w:rPr>
          <w:bCs/>
          <w:color w:val="002060"/>
          <w:sz w:val="16"/>
          <w:szCs w:val="16"/>
        </w:rPr>
        <w:softHyphen/>
        <w:t>равляемых аэростатов, воздушных кораблей и аэропланов.</w:t>
      </w:r>
    </w:p>
    <w:p w14:paraId="4110C8C2" w14:textId="77777777" w:rsidR="007A18DE" w:rsidRPr="00DE096C" w:rsidRDefault="007A18DE" w:rsidP="00D45A46">
      <w:pPr>
        <w:jc w:val="both"/>
        <w:rPr>
          <w:bCs/>
          <w:color w:val="002060"/>
          <w:sz w:val="16"/>
          <w:szCs w:val="16"/>
        </w:rPr>
      </w:pPr>
      <w:r w:rsidRPr="00DE096C">
        <w:rPr>
          <w:bCs/>
          <w:color w:val="002060"/>
          <w:sz w:val="16"/>
          <w:szCs w:val="16"/>
        </w:rPr>
        <w:t>в) производство разведок и фо</w:t>
      </w:r>
      <w:r w:rsidRPr="00DE096C">
        <w:rPr>
          <w:bCs/>
          <w:color w:val="002060"/>
          <w:sz w:val="16"/>
          <w:szCs w:val="16"/>
        </w:rPr>
        <w:softHyphen/>
        <w:t>тографирование неприятельских позиций и укреплений».</w:t>
      </w:r>
    </w:p>
    <w:p w14:paraId="3BF296DD" w14:textId="77777777" w:rsidR="007A18DE" w:rsidRPr="00DE096C" w:rsidRDefault="007A18DE" w:rsidP="00D45A46">
      <w:pPr>
        <w:jc w:val="both"/>
        <w:rPr>
          <w:bCs/>
          <w:color w:val="002060"/>
          <w:sz w:val="16"/>
          <w:szCs w:val="16"/>
        </w:rPr>
      </w:pPr>
      <w:r w:rsidRPr="00DE096C">
        <w:rPr>
          <w:bCs/>
          <w:color w:val="002060"/>
          <w:sz w:val="16"/>
          <w:szCs w:val="16"/>
        </w:rPr>
        <w:t>По штату в ЭВК полагалось 10 боевых и два учебных «Муромца» (23469).</w:t>
      </w:r>
    </w:p>
    <w:p w14:paraId="441DCA72" w14:textId="77777777" w:rsidR="007A18DE" w:rsidRPr="00DE096C" w:rsidRDefault="007A18DE" w:rsidP="00D45A46">
      <w:pPr>
        <w:shd w:val="clear" w:color="auto" w:fill="FFFFFF"/>
        <w:jc w:val="both"/>
        <w:rPr>
          <w:bCs/>
          <w:color w:val="002060"/>
          <w:sz w:val="16"/>
          <w:szCs w:val="16"/>
        </w:rPr>
      </w:pPr>
    </w:p>
    <w:p w14:paraId="5F8C1106" w14:textId="44E2993E" w:rsidR="00B67D7C" w:rsidRPr="00DE096C" w:rsidRDefault="00B67D7C" w:rsidP="00D45A46">
      <w:pPr>
        <w:shd w:val="clear" w:color="auto" w:fill="FFFFFF"/>
        <w:jc w:val="both"/>
        <w:rPr>
          <w:bCs/>
          <w:color w:val="002060"/>
          <w:sz w:val="16"/>
          <w:szCs w:val="16"/>
        </w:rPr>
      </w:pPr>
      <w:r w:rsidRPr="00DE096C">
        <w:rPr>
          <w:bCs/>
          <w:color w:val="002060"/>
          <w:sz w:val="16"/>
          <w:szCs w:val="16"/>
        </w:rPr>
        <w:t>21 декабря 1914 (3 января 1915</w:t>
      </w:r>
      <w:r w:rsidR="008028E1" w:rsidRPr="00DE096C">
        <w:rPr>
          <w:bCs/>
          <w:color w:val="002060"/>
          <w:sz w:val="16"/>
          <w:szCs w:val="16"/>
        </w:rPr>
        <w:t xml:space="preserve"> г.</w:t>
      </w:r>
      <w:r w:rsidRPr="00DE096C">
        <w:rPr>
          <w:bCs/>
          <w:color w:val="002060"/>
          <w:sz w:val="16"/>
          <w:szCs w:val="16"/>
        </w:rPr>
        <w:t>) в Гатчине производилось испытание - в полете подогревателя масла и воздуха для ротативных двигателей, сконст-р^ированного военным летчиком Владимиром Михайловичем Григоровым. Двигатель нормально запускался и работал без перебоев. Это приспособление облегчало эксплуатацию ротативных двигателей в зимнее время (ЦГВИА. ф.2003, оп.2, д.620, л. 2, протокол, комиссии).</w:t>
      </w:r>
    </w:p>
    <w:p w14:paraId="1B75F3B1" w14:textId="77777777" w:rsidR="00B67D7C" w:rsidRPr="00DE096C" w:rsidRDefault="00B67D7C" w:rsidP="00D45A46">
      <w:pPr>
        <w:shd w:val="clear" w:color="auto" w:fill="FFFFFF"/>
        <w:jc w:val="both"/>
        <w:rPr>
          <w:bCs/>
          <w:color w:val="002060"/>
          <w:sz w:val="16"/>
          <w:szCs w:val="16"/>
        </w:rPr>
      </w:pPr>
    </w:p>
    <w:p w14:paraId="06348452" w14:textId="278A0827" w:rsidR="00620FBC" w:rsidRPr="00DE096C" w:rsidRDefault="00620FBC" w:rsidP="00D45A46">
      <w:pPr>
        <w:jc w:val="both"/>
        <w:rPr>
          <w:bCs/>
          <w:color w:val="002060"/>
          <w:sz w:val="16"/>
          <w:szCs w:val="16"/>
        </w:rPr>
      </w:pPr>
      <w:r w:rsidRPr="00DE096C">
        <w:rPr>
          <w:bCs/>
          <w:color w:val="002060"/>
          <w:sz w:val="16"/>
          <w:szCs w:val="16"/>
        </w:rPr>
        <w:t>21 декабря 1914 г. (3 января 1915 г.) в Гатчине производилось испытание в полете подогревателя</w:t>
      </w:r>
      <w:r w:rsidR="0006581C">
        <w:rPr>
          <w:bCs/>
          <w:color w:val="002060"/>
          <w:sz w:val="16"/>
          <w:szCs w:val="16"/>
        </w:rPr>
        <w:t xml:space="preserve"> </w:t>
      </w:r>
      <w:r w:rsidRPr="00DE096C">
        <w:rPr>
          <w:bCs/>
          <w:color w:val="002060"/>
          <w:sz w:val="16"/>
          <w:szCs w:val="16"/>
        </w:rPr>
        <w:t>масла и воздуха для ротативных моторов, с конструированного военным летчиком Владимиров Михайловичем Григоровым. Перед полетом масло было густо застывшим. Мотор нормально запускался и работал без перебоев. Это приспособление облегчало эксплуатацию ротативных моторов в зимнее время.</w:t>
      </w:r>
    </w:p>
    <w:p w14:paraId="27C4EAAC" w14:textId="77777777" w:rsidR="00620FBC" w:rsidRPr="00DE096C" w:rsidRDefault="00620FBC" w:rsidP="00D45A46">
      <w:pPr>
        <w:jc w:val="both"/>
        <w:rPr>
          <w:bCs/>
          <w:color w:val="002060"/>
          <w:sz w:val="16"/>
          <w:szCs w:val="16"/>
        </w:rPr>
      </w:pPr>
      <w:r w:rsidRPr="00DE096C">
        <w:rPr>
          <w:bCs/>
          <w:color w:val="002060"/>
          <w:sz w:val="16"/>
          <w:szCs w:val="16"/>
        </w:rPr>
        <w:t>/ЦГВИА, ф. 2003, оп. 2, д. 620, л. 42; протокол комиссии/ (23320).</w:t>
      </w:r>
    </w:p>
    <w:p w14:paraId="486B9AC1" w14:textId="77777777" w:rsidR="00620FBC" w:rsidRPr="00DE096C" w:rsidRDefault="00620FBC" w:rsidP="00D45A46">
      <w:pPr>
        <w:jc w:val="both"/>
        <w:rPr>
          <w:bCs/>
          <w:color w:val="002060"/>
          <w:sz w:val="16"/>
          <w:szCs w:val="16"/>
        </w:rPr>
      </w:pPr>
    </w:p>
    <w:p w14:paraId="3B9E2712" w14:textId="1ED5AA20" w:rsidR="00B67D7C" w:rsidRPr="00DE096C" w:rsidRDefault="00B67D7C" w:rsidP="00D45A46">
      <w:pPr>
        <w:shd w:val="clear" w:color="auto" w:fill="FFFFFF"/>
        <w:jc w:val="both"/>
        <w:rPr>
          <w:bCs/>
          <w:color w:val="002060"/>
          <w:sz w:val="16"/>
          <w:szCs w:val="16"/>
        </w:rPr>
      </w:pPr>
      <w:r w:rsidRPr="00DE096C">
        <w:rPr>
          <w:bCs/>
          <w:color w:val="002060"/>
          <w:sz w:val="16"/>
          <w:szCs w:val="16"/>
        </w:rPr>
        <w:t>21 декабря 1914 года (</w:t>
      </w:r>
      <w:r w:rsidR="008028E1" w:rsidRPr="00DE096C">
        <w:rPr>
          <w:bCs/>
          <w:color w:val="002060"/>
          <w:sz w:val="16"/>
          <w:szCs w:val="16"/>
        </w:rPr>
        <w:t>3</w:t>
      </w:r>
      <w:r w:rsidRPr="00DE096C">
        <w:rPr>
          <w:bCs/>
          <w:color w:val="002060"/>
          <w:sz w:val="16"/>
          <w:szCs w:val="16"/>
        </w:rPr>
        <w:t xml:space="preserve"> января 1915</w:t>
      </w:r>
      <w:r w:rsidR="008028E1" w:rsidRPr="00DE096C">
        <w:rPr>
          <w:bCs/>
          <w:color w:val="002060"/>
          <w:sz w:val="16"/>
          <w:szCs w:val="16"/>
        </w:rPr>
        <w:t xml:space="preserve"> г.</w:t>
      </w:r>
      <w:r w:rsidRPr="00DE096C">
        <w:rPr>
          <w:bCs/>
          <w:color w:val="002060"/>
          <w:sz w:val="16"/>
          <w:szCs w:val="16"/>
        </w:rPr>
        <w:t>)</w:t>
      </w:r>
      <w:r w:rsidR="008028E1" w:rsidRPr="00DE096C">
        <w:rPr>
          <w:bCs/>
          <w:color w:val="002060"/>
          <w:sz w:val="16"/>
          <w:szCs w:val="16"/>
        </w:rPr>
        <w:t>, определяя роль морской авиации в операциях, проведенных до</w:t>
      </w:r>
      <w:r w:rsidRPr="00DE096C">
        <w:rPr>
          <w:bCs/>
          <w:color w:val="002060"/>
          <w:sz w:val="16"/>
          <w:szCs w:val="16"/>
        </w:rPr>
        <w:t>, командующий Балтийским флотом адмирал Н. Эссен выразил морскому министру свое мнение так. «Воздухоплавательные аппараты в настоящее время хоть и не являются грозным оружием в мировой войне, но следует иметь ввиду, что на днях англичане подвезли на легких крейсерах к Куксгафену семь аппаратов, которые и атаковали германс</w:t>
      </w:r>
      <w:r w:rsidRPr="00DE096C">
        <w:rPr>
          <w:bCs/>
          <w:color w:val="002060"/>
          <w:sz w:val="16"/>
          <w:szCs w:val="16"/>
        </w:rPr>
        <w:softHyphen/>
        <w:t>кие суда. Таким образом, воздухоплавательные аппараты пока являются только средством разведки и могут атаковать приближающиеся к берегу суда противника». Дально</w:t>
      </w:r>
      <w:r w:rsidRPr="00DE096C">
        <w:rPr>
          <w:bCs/>
          <w:color w:val="002060"/>
          <w:sz w:val="16"/>
          <w:szCs w:val="16"/>
        </w:rPr>
        <w:softHyphen/>
        <w:t>видности замечательному моряку явно не хватило.</w:t>
      </w:r>
    </w:p>
    <w:p w14:paraId="3D4DA6B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Вскоре под председательством начальника авиационного отдела службы связи и наблюдения капитана 2 ранга Дудорова состоялись заседания авиакомитета. Следует добавить, что полтора месяца спустя Дудоров по приказу командую</w:t>
      </w:r>
      <w:r w:rsidRPr="00DE096C">
        <w:rPr>
          <w:bCs/>
          <w:color w:val="002060"/>
          <w:sz w:val="16"/>
          <w:szCs w:val="16"/>
        </w:rPr>
        <w:softHyphen/>
        <w:t>щего флотом стал начальником Восточного воздушного рай</w:t>
      </w:r>
      <w:r w:rsidRPr="00DE096C">
        <w:rPr>
          <w:bCs/>
          <w:color w:val="002060"/>
          <w:sz w:val="16"/>
          <w:szCs w:val="16"/>
        </w:rPr>
        <w:softHyphen/>
        <w:t>она и приобрел большие полномочия.</w:t>
      </w:r>
    </w:p>
    <w:p w14:paraId="6702B29E" w14:textId="52701C3C" w:rsidR="00B67D7C" w:rsidRPr="00DE096C" w:rsidRDefault="00B67D7C" w:rsidP="00D45A46">
      <w:pPr>
        <w:shd w:val="clear" w:color="auto" w:fill="FFFFFF"/>
        <w:jc w:val="both"/>
        <w:rPr>
          <w:bCs/>
          <w:color w:val="002060"/>
          <w:sz w:val="16"/>
          <w:szCs w:val="16"/>
        </w:rPr>
      </w:pPr>
      <w:r w:rsidRPr="00DE096C">
        <w:rPr>
          <w:bCs/>
          <w:color w:val="002060"/>
          <w:sz w:val="16"/>
          <w:szCs w:val="16"/>
        </w:rPr>
        <w:t>В работе комитета участвовали: начальник воздухоплава</w:t>
      </w:r>
      <w:r w:rsidRPr="00DE096C">
        <w:rPr>
          <w:bCs/>
          <w:color w:val="002060"/>
          <w:sz w:val="16"/>
          <w:szCs w:val="16"/>
        </w:rPr>
        <w:softHyphen/>
        <w:t>тельного отделения Морского генштаба старший лейтенант Тучков, начальник Ревельской авиастанции старший лейте</w:t>
      </w:r>
      <w:r w:rsidRPr="00DE096C">
        <w:rPr>
          <w:bCs/>
          <w:color w:val="002060"/>
          <w:sz w:val="16"/>
          <w:szCs w:val="16"/>
        </w:rPr>
        <w:softHyphen/>
        <w:t>нант Щербачев, опытные пилоты лейтенанты Кульнев и Лав</w:t>
      </w:r>
      <w:r w:rsidRPr="00DE096C">
        <w:rPr>
          <w:bCs/>
          <w:color w:val="002060"/>
          <w:sz w:val="16"/>
          <w:szCs w:val="16"/>
        </w:rPr>
        <w:softHyphen/>
        <w:t>ров, техник авиаслужбы Шишкин и другие. По одобренному адмиралом Эссеном представлению было решено принять экстренные меры для получения 12 летающих лодок «Кертисс-К» американского производства. Кроме того, заказать Петроградскому заводу Лебедева изготовление по лицензии 20 летающих лодок «ФБА» с моторами Путиловского завода. С учетом других закупок флотское командование рассчитывало в текущем году получить 56 аэропланов.</w:t>
      </w:r>
    </w:p>
    <w:p w14:paraId="6D8B514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При разработке программы комитет допустил серьезную ошибку в определении потребностей авиатехники в условиях затяжной войны и принял сомнительное решение при выборе типов аэропланов. Надежда на продуктивную работу столич</w:t>
      </w:r>
      <w:r w:rsidRPr="00DE096C">
        <w:rPr>
          <w:bCs/>
          <w:color w:val="002060"/>
          <w:sz w:val="16"/>
          <w:szCs w:val="16"/>
        </w:rPr>
        <w:softHyphen/>
        <w:t>ных заводов оказалась несостоятельной. Весной 1915 года воз</w:t>
      </w:r>
      <w:r w:rsidRPr="00DE096C">
        <w:rPr>
          <w:bCs/>
          <w:color w:val="002060"/>
          <w:sz w:val="16"/>
          <w:szCs w:val="16"/>
        </w:rPr>
        <w:softHyphen/>
        <w:t>духоплавательный парк флота состоял из разнотипных аэро</w:t>
      </w:r>
      <w:r w:rsidRPr="00DE096C">
        <w:rPr>
          <w:bCs/>
          <w:color w:val="002060"/>
          <w:sz w:val="16"/>
          <w:szCs w:val="16"/>
        </w:rPr>
        <w:softHyphen/>
        <w:t>планов: 15 лодочных и поплавковых (5 - «ФБА», 4 - «С-10», 2 - «А. Фарман», 2 - «М. Фарман», 2 - «М-5») и 7 колесных (5 -«А. Фарман», 2 - «Дюпердюссен»). Около трети их нуждались в ремонте.</w:t>
      </w:r>
    </w:p>
    <w:p w14:paraId="14BB0B7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План развития системы базирования авиации подвергся ко</w:t>
      </w:r>
      <w:r w:rsidRPr="00DE096C">
        <w:rPr>
          <w:bCs/>
          <w:color w:val="002060"/>
          <w:sz w:val="16"/>
          <w:szCs w:val="16"/>
        </w:rPr>
        <w:softHyphen/>
        <w:t>ренному пересмотру в связи с укреплением обороны Рижско</w:t>
      </w:r>
      <w:r w:rsidRPr="00DE096C">
        <w:rPr>
          <w:bCs/>
          <w:color w:val="002060"/>
          <w:sz w:val="16"/>
          <w:szCs w:val="16"/>
        </w:rPr>
        <w:softHyphen/>
        <w:t>го залива и устья Финского залива, а также Або-Оландских островов. Особое внимание было уделено Ревельской авиастан</w:t>
      </w:r>
      <w:r w:rsidRPr="00DE096C">
        <w:rPr>
          <w:bCs/>
          <w:color w:val="002060"/>
          <w:sz w:val="16"/>
          <w:szCs w:val="16"/>
        </w:rPr>
        <w:softHyphen/>
        <w:t>ции, ранее предназначенной для снабжения авиатехникой и подготовки кадров. Возникла необходимость переноса ее с уз</w:t>
      </w:r>
      <w:r w:rsidRPr="00DE096C">
        <w:rPr>
          <w:bCs/>
          <w:color w:val="002060"/>
          <w:sz w:val="16"/>
          <w:szCs w:val="16"/>
        </w:rPr>
        <w:softHyphen/>
        <w:t>кого прибрежного участка на удобное место возле реки Бриги-товка. Она передавалась в распоряжение коменданта еще не оконченной строительством Морской крепости Императора Петра Великого. Кроме того, потребовалось обеспечить защи</w:t>
      </w:r>
      <w:r w:rsidRPr="00DE096C">
        <w:rPr>
          <w:bCs/>
          <w:color w:val="002060"/>
          <w:sz w:val="16"/>
          <w:szCs w:val="16"/>
        </w:rPr>
        <w:softHyphen/>
        <w:t>ту с воздуха Свеаборгской крепости и Гельсингфорского рейда, где в зимнее время стояли линейные корабли, скованные льдом. Вопрос о создании там воздушной станции адмирал Эссен по</w:t>
      </w:r>
      <w:r w:rsidRPr="00DE096C">
        <w:rPr>
          <w:bCs/>
          <w:color w:val="002060"/>
          <w:sz w:val="16"/>
          <w:szCs w:val="16"/>
        </w:rPr>
        <w:softHyphen/>
        <w:t>ставил 15 января 1915 года, считая достаточным на первых порах иметь 4 колесных аэроплана, позаимствованных у ар</w:t>
      </w:r>
      <w:r w:rsidRPr="00DE096C">
        <w:rPr>
          <w:bCs/>
          <w:color w:val="002060"/>
          <w:sz w:val="16"/>
          <w:szCs w:val="16"/>
        </w:rPr>
        <w:softHyphen/>
        <w:t>мии. Постройка станции и формирование отряда затянулась до середины весны (11283).</w:t>
      </w:r>
    </w:p>
    <w:p w14:paraId="66B4481F" w14:textId="77777777" w:rsidR="00B67D7C" w:rsidRPr="00DE096C" w:rsidRDefault="00B67D7C" w:rsidP="00D45A46">
      <w:pPr>
        <w:shd w:val="clear" w:color="auto" w:fill="FFFFFF"/>
        <w:jc w:val="both"/>
        <w:rPr>
          <w:bCs/>
          <w:color w:val="002060"/>
          <w:sz w:val="16"/>
          <w:szCs w:val="16"/>
        </w:rPr>
      </w:pPr>
    </w:p>
    <w:p w14:paraId="2D3FB052" w14:textId="77777777" w:rsidR="00B67D7C" w:rsidRPr="00DE096C" w:rsidRDefault="00B67D7C" w:rsidP="00D45A46">
      <w:pPr>
        <w:jc w:val="both"/>
        <w:rPr>
          <w:bCs/>
          <w:i/>
          <w:color w:val="002060"/>
          <w:sz w:val="16"/>
          <w:szCs w:val="16"/>
        </w:rPr>
      </w:pPr>
      <w:r w:rsidRPr="00DE096C">
        <w:rPr>
          <w:bCs/>
          <w:i/>
          <w:color w:val="002060"/>
          <w:sz w:val="16"/>
          <w:szCs w:val="16"/>
        </w:rPr>
        <w:t>Другие оборонные отрасли:</w:t>
      </w:r>
    </w:p>
    <w:p w14:paraId="7F5BF235" w14:textId="77777777" w:rsidR="00B67D7C" w:rsidRPr="00DE096C" w:rsidRDefault="00B67D7C" w:rsidP="00D45A46">
      <w:pPr>
        <w:jc w:val="both"/>
        <w:rPr>
          <w:bCs/>
          <w:i/>
          <w:color w:val="002060"/>
          <w:sz w:val="16"/>
          <w:szCs w:val="16"/>
        </w:rPr>
      </w:pPr>
    </w:p>
    <w:p w14:paraId="7A4F8C85" w14:textId="575E8804" w:rsidR="00B67D7C" w:rsidRPr="00DE096C" w:rsidRDefault="00B67D7C" w:rsidP="00D45A46">
      <w:pPr>
        <w:jc w:val="both"/>
        <w:rPr>
          <w:bCs/>
          <w:color w:val="002060"/>
          <w:sz w:val="16"/>
          <w:szCs w:val="16"/>
        </w:rPr>
      </w:pPr>
      <w:r w:rsidRPr="00DE096C">
        <w:rPr>
          <w:bCs/>
          <w:color w:val="002060"/>
          <w:sz w:val="16"/>
          <w:szCs w:val="16"/>
        </w:rPr>
        <w:t>21</w:t>
      </w:r>
      <w:r w:rsidR="008028E1" w:rsidRPr="00DE096C">
        <w:rPr>
          <w:bCs/>
          <w:color w:val="002060"/>
          <w:sz w:val="16"/>
          <w:szCs w:val="16"/>
        </w:rPr>
        <w:t xml:space="preserve"> декабря </w:t>
      </w:r>
      <w:r w:rsidRPr="00DE096C">
        <w:rPr>
          <w:bCs/>
          <w:color w:val="002060"/>
          <w:sz w:val="16"/>
          <w:szCs w:val="16"/>
        </w:rPr>
        <w:t xml:space="preserve">1914 </w:t>
      </w:r>
      <w:r w:rsidR="008028E1" w:rsidRPr="00DE096C">
        <w:rPr>
          <w:bCs/>
          <w:color w:val="002060"/>
          <w:sz w:val="16"/>
          <w:szCs w:val="16"/>
        </w:rPr>
        <w:t xml:space="preserve">г. (3 января 1915 г.) </w:t>
      </w:r>
      <w:r w:rsidRPr="00DE096C">
        <w:rPr>
          <w:bCs/>
          <w:color w:val="002060"/>
          <w:sz w:val="16"/>
          <w:szCs w:val="16"/>
        </w:rPr>
        <w:t>отношением Ставки за №</w:t>
      </w:r>
      <w:r w:rsidR="008028E1" w:rsidRPr="00DE096C">
        <w:rPr>
          <w:bCs/>
          <w:color w:val="002060"/>
          <w:sz w:val="16"/>
          <w:szCs w:val="16"/>
        </w:rPr>
        <w:t xml:space="preserve"> </w:t>
      </w:r>
      <w:r w:rsidRPr="00DE096C">
        <w:rPr>
          <w:bCs/>
          <w:color w:val="002060"/>
          <w:sz w:val="16"/>
          <w:szCs w:val="16"/>
        </w:rPr>
        <w:t xml:space="preserve">6686 на имя начальника инженерных снабжений армий СЗФ </w:t>
      </w:r>
      <w:r w:rsidR="008028E1" w:rsidRPr="00DE096C">
        <w:rPr>
          <w:bCs/>
          <w:color w:val="002060"/>
          <w:sz w:val="16"/>
          <w:szCs w:val="16"/>
        </w:rPr>
        <w:t xml:space="preserve">Главковерхом, коим являлся Великий князь Николай Николаевич и к которому обратился Пороховщиков, </w:t>
      </w:r>
      <w:r w:rsidRPr="00DE096C">
        <w:rPr>
          <w:bCs/>
          <w:color w:val="002060"/>
          <w:sz w:val="16"/>
          <w:szCs w:val="16"/>
        </w:rPr>
        <w:t xml:space="preserve">было поручено проект </w:t>
      </w:r>
      <w:r w:rsidR="008028E1" w:rsidRPr="00DE096C">
        <w:rPr>
          <w:bCs/>
          <w:color w:val="002060"/>
          <w:sz w:val="16"/>
          <w:szCs w:val="16"/>
        </w:rPr>
        <w:t xml:space="preserve">«Вездехода» </w:t>
      </w:r>
      <w:r w:rsidRPr="00DE096C">
        <w:rPr>
          <w:bCs/>
          <w:color w:val="002060"/>
          <w:sz w:val="16"/>
          <w:szCs w:val="16"/>
        </w:rPr>
        <w:t xml:space="preserve">осуществить. </w:t>
      </w:r>
    </w:p>
    <w:p w14:paraId="58CED203" w14:textId="77777777" w:rsidR="00B67D7C" w:rsidRPr="00DE096C" w:rsidRDefault="00B67D7C" w:rsidP="00D45A46">
      <w:pPr>
        <w:jc w:val="both"/>
        <w:rPr>
          <w:bCs/>
          <w:color w:val="002060"/>
          <w:sz w:val="16"/>
          <w:szCs w:val="16"/>
        </w:rPr>
      </w:pPr>
      <w:r w:rsidRPr="00DE096C">
        <w:rPr>
          <w:bCs/>
          <w:color w:val="002060"/>
          <w:sz w:val="16"/>
          <w:szCs w:val="16"/>
        </w:rPr>
        <w:t>24.12.1914 начальник инженерных снабжений армий СЗФ ознакомился с решением ставки.</w:t>
      </w:r>
    </w:p>
    <w:p w14:paraId="115B9522" w14:textId="77777777" w:rsidR="00B67D7C" w:rsidRPr="00DE096C" w:rsidRDefault="00B67D7C" w:rsidP="00D45A46">
      <w:pPr>
        <w:jc w:val="both"/>
        <w:rPr>
          <w:bCs/>
          <w:color w:val="002060"/>
          <w:sz w:val="16"/>
          <w:szCs w:val="16"/>
        </w:rPr>
      </w:pPr>
      <w:r w:rsidRPr="00DE096C">
        <w:rPr>
          <w:bCs/>
          <w:color w:val="002060"/>
          <w:sz w:val="16"/>
          <w:szCs w:val="16"/>
        </w:rPr>
        <w:t>09.01.1915 Пороховщиков направил на его имя докладную записку, чертежи и смету расходов в сумме 9660 руб. 72 коп. Материалы были изучены в течение трех дней, целесообразность постройки машины, именуемой «Вездеход», обоснована — оперативность, плохо сочетающаяся с рассуждениями о тотальной косности русской монархии</w:t>
      </w:r>
    </w:p>
    <w:p w14:paraId="0174FD3E" w14:textId="77777777" w:rsidR="00B67D7C" w:rsidRPr="00DE096C" w:rsidRDefault="00B67D7C" w:rsidP="00D45A46">
      <w:pPr>
        <w:jc w:val="both"/>
        <w:rPr>
          <w:bCs/>
          <w:color w:val="002060"/>
          <w:sz w:val="16"/>
          <w:szCs w:val="16"/>
        </w:rPr>
      </w:pPr>
      <w:r w:rsidRPr="00DE096C">
        <w:rPr>
          <w:bCs/>
          <w:color w:val="002060"/>
          <w:sz w:val="16"/>
          <w:szCs w:val="16"/>
        </w:rPr>
        <w:t>13.01.1915 средства затребованные «на постройку испытательного экземпляра усовершенствованного автомобиля» ассигнованы. Особо отметим — испытательного экземпляра(!)</w:t>
      </w:r>
    </w:p>
    <w:p w14:paraId="0023D65F" w14:textId="77777777" w:rsidR="00B67D7C" w:rsidRPr="00DE096C" w:rsidRDefault="00B67D7C" w:rsidP="00D45A46">
      <w:pPr>
        <w:jc w:val="both"/>
        <w:rPr>
          <w:bCs/>
          <w:color w:val="002060"/>
          <w:sz w:val="16"/>
          <w:szCs w:val="16"/>
        </w:rPr>
      </w:pPr>
      <w:r w:rsidRPr="00DE096C">
        <w:rPr>
          <w:bCs/>
          <w:color w:val="002060"/>
          <w:sz w:val="16"/>
          <w:szCs w:val="16"/>
        </w:rPr>
        <w:t>Отсутствие информации о боевом предназначении, бронировании и вооружении «Вездехода» в распоряжении начальника снабжений СЗФ за № 8101 от 13.01.1915 о финансировании фронтом создания амфибийного вездехода способного превосходить обычные автомобили при передвижении по песку, полям, снегу, конечно можно рассматривать, в качестве косвенного подтверждения точки зрения на «Вездеход», как на вездеход не определенного назначения, а не боевую машину. Однако: 1) текст распоряжения не опубликован, а его объем, структура и стилистика могут дать пищу для размышлений; 2) первично решение Ставки, распоряжение начальника снабжений СЗФ не только вторично, но и не должно информировать нижестоящий аппарат об истинных суждениях и намерениях Ставки; 3) нормы подготовки распорядительных документов предполагают достаточное обоснование принятого решения — достаточное, не значит полное и всестороннее; 4) механизм перечисления средств не предполагает знания на всех уровнях истинных целей ассигнований. 5) и т.д.</w:t>
      </w:r>
    </w:p>
    <w:p w14:paraId="79E39961" w14:textId="77777777" w:rsidR="00B67D7C" w:rsidRPr="00DE096C" w:rsidRDefault="00B67D7C" w:rsidP="00D45A46">
      <w:pPr>
        <w:jc w:val="both"/>
        <w:rPr>
          <w:bCs/>
          <w:color w:val="002060"/>
          <w:sz w:val="16"/>
          <w:szCs w:val="16"/>
        </w:rPr>
      </w:pPr>
      <w:r w:rsidRPr="00DE096C">
        <w:rPr>
          <w:bCs/>
          <w:color w:val="002060"/>
          <w:sz w:val="16"/>
          <w:szCs w:val="16"/>
        </w:rPr>
        <w:t>Тем не менее, канцелярия начальника снабжений СЗФ умудрилась сказать лишнее, способное вызвать интерес неприятельской агентуры — «Вездеход» должен был преодолевать канавы не менее 1 м шириной. В распоряжении, судя по всему, не указывается, насколько канавы не менее 1 м шириной были актуальны для тылового хозяйства СЗФ, но вообще канава шириной не менее 1 м — это траншея (12111).</w:t>
      </w:r>
    </w:p>
    <w:p w14:paraId="2B8023A6" w14:textId="77777777" w:rsidR="00242864" w:rsidRPr="00DE096C" w:rsidRDefault="00242864" w:rsidP="00D45A46">
      <w:pPr>
        <w:jc w:val="both"/>
        <w:rPr>
          <w:bCs/>
          <w:color w:val="002060"/>
          <w:sz w:val="16"/>
          <w:szCs w:val="16"/>
        </w:rPr>
      </w:pPr>
    </w:p>
    <w:p w14:paraId="6DE4599D" w14:textId="77777777" w:rsidR="00242864" w:rsidRPr="00DE096C" w:rsidRDefault="00242864" w:rsidP="00D45A46">
      <w:pPr>
        <w:shd w:val="clear" w:color="auto" w:fill="FFFFFF"/>
        <w:jc w:val="both"/>
        <w:rPr>
          <w:bCs/>
          <w:i/>
          <w:color w:val="002060"/>
          <w:sz w:val="16"/>
          <w:szCs w:val="16"/>
        </w:rPr>
      </w:pPr>
      <w:r w:rsidRPr="00DE096C">
        <w:rPr>
          <w:bCs/>
          <w:i/>
          <w:color w:val="002060"/>
          <w:sz w:val="16"/>
          <w:szCs w:val="16"/>
        </w:rPr>
        <w:t>Авиация:</w:t>
      </w:r>
    </w:p>
    <w:p w14:paraId="6C4ED2B8" w14:textId="77777777" w:rsidR="00242864" w:rsidRPr="00DE096C" w:rsidRDefault="00242864" w:rsidP="00D45A46">
      <w:pPr>
        <w:shd w:val="clear" w:color="auto" w:fill="FFFFFF"/>
        <w:jc w:val="both"/>
        <w:rPr>
          <w:bCs/>
          <w:i/>
          <w:color w:val="002060"/>
          <w:sz w:val="16"/>
          <w:szCs w:val="16"/>
        </w:rPr>
      </w:pPr>
    </w:p>
    <w:p w14:paraId="26F6D242" w14:textId="7AF47C5A" w:rsidR="00242864" w:rsidRPr="00DE096C" w:rsidRDefault="00242864" w:rsidP="00D45A46">
      <w:pPr>
        <w:jc w:val="both"/>
        <w:rPr>
          <w:bCs/>
          <w:color w:val="002060"/>
          <w:sz w:val="16"/>
          <w:szCs w:val="16"/>
        </w:rPr>
      </w:pPr>
      <w:r w:rsidRPr="00DE096C">
        <w:rPr>
          <w:bCs/>
          <w:color w:val="002060"/>
          <w:sz w:val="16"/>
          <w:szCs w:val="16"/>
        </w:rPr>
        <w:t xml:space="preserve">21 декабря в 1914 году </w:t>
      </w:r>
      <w:r w:rsidR="008028E1" w:rsidRPr="00DE096C">
        <w:rPr>
          <w:bCs/>
          <w:color w:val="002060"/>
          <w:sz w:val="16"/>
          <w:szCs w:val="16"/>
        </w:rPr>
        <w:t xml:space="preserve">(3 января 1914 г.) </w:t>
      </w:r>
      <w:r w:rsidRPr="00DE096C">
        <w:rPr>
          <w:bCs/>
          <w:color w:val="002060"/>
          <w:sz w:val="16"/>
          <w:szCs w:val="16"/>
        </w:rPr>
        <w:t xml:space="preserve">в России </w:t>
      </w:r>
      <w:r w:rsidR="008028E1" w:rsidRPr="00DE096C">
        <w:rPr>
          <w:bCs/>
          <w:color w:val="002060"/>
          <w:sz w:val="16"/>
          <w:szCs w:val="16"/>
        </w:rPr>
        <w:t xml:space="preserve">было </w:t>
      </w:r>
      <w:r w:rsidRPr="00DE096C">
        <w:rPr>
          <w:bCs/>
          <w:color w:val="002060"/>
          <w:sz w:val="16"/>
          <w:szCs w:val="16"/>
        </w:rPr>
        <w:t>введено в действие положение об организации эскадры воздушных кораблей "Илья Муромец" - перво</w:t>
      </w:r>
      <w:r w:rsidR="008028E1" w:rsidRPr="00DE096C">
        <w:rPr>
          <w:bCs/>
          <w:color w:val="002060"/>
          <w:sz w:val="16"/>
          <w:szCs w:val="16"/>
        </w:rPr>
        <w:t>го</w:t>
      </w:r>
      <w:r w:rsidRPr="00DE096C">
        <w:rPr>
          <w:bCs/>
          <w:color w:val="002060"/>
          <w:sz w:val="16"/>
          <w:szCs w:val="16"/>
        </w:rPr>
        <w:t xml:space="preserve"> в мире подразделени</w:t>
      </w:r>
      <w:r w:rsidR="008028E1" w:rsidRPr="00DE096C">
        <w:rPr>
          <w:bCs/>
          <w:color w:val="002060"/>
          <w:sz w:val="16"/>
          <w:szCs w:val="16"/>
        </w:rPr>
        <w:t>я</w:t>
      </w:r>
      <w:r w:rsidRPr="00DE096C">
        <w:rPr>
          <w:bCs/>
          <w:color w:val="002060"/>
          <w:sz w:val="16"/>
          <w:szCs w:val="16"/>
        </w:rPr>
        <w:t xml:space="preserve"> тяжелых бомбардировщиков. Боевое крещение эскадра получила в феврале 1915 года (14867).</w:t>
      </w:r>
    </w:p>
    <w:p w14:paraId="65ECF9BA" w14:textId="77777777" w:rsidR="00242864" w:rsidRPr="00DE096C" w:rsidRDefault="00242864" w:rsidP="00D45A46">
      <w:pPr>
        <w:jc w:val="both"/>
        <w:rPr>
          <w:bCs/>
          <w:color w:val="002060"/>
          <w:sz w:val="16"/>
          <w:szCs w:val="16"/>
        </w:rPr>
      </w:pPr>
    </w:p>
    <w:p w14:paraId="0CDB9747" w14:textId="7044AD81" w:rsidR="001B5FAE" w:rsidRPr="00DE096C" w:rsidRDefault="001B5FAE" w:rsidP="00D45A46">
      <w:pPr>
        <w:jc w:val="both"/>
        <w:rPr>
          <w:bCs/>
          <w:color w:val="002060"/>
          <w:sz w:val="16"/>
          <w:szCs w:val="16"/>
        </w:rPr>
      </w:pPr>
      <w:r w:rsidRPr="00DE096C">
        <w:rPr>
          <w:bCs/>
          <w:color w:val="002060"/>
          <w:sz w:val="16"/>
          <w:szCs w:val="16"/>
          <w:shd w:val="clear" w:color="auto" w:fill="FFFFFF"/>
        </w:rPr>
        <w:t>21 декабря 1914 года (</w:t>
      </w:r>
      <w:r w:rsidR="008028E1" w:rsidRPr="00DE096C">
        <w:rPr>
          <w:bCs/>
          <w:color w:val="002060"/>
          <w:sz w:val="16"/>
          <w:szCs w:val="16"/>
          <w:shd w:val="clear" w:color="auto" w:fill="FFFFFF"/>
        </w:rPr>
        <w:t>3</w:t>
      </w:r>
      <w:r w:rsidRPr="00DE096C">
        <w:rPr>
          <w:bCs/>
          <w:color w:val="002060"/>
          <w:sz w:val="16"/>
          <w:szCs w:val="16"/>
          <w:shd w:val="clear" w:color="auto" w:fill="FFFFFF"/>
        </w:rPr>
        <w:t xml:space="preserve"> января 1915) </w:t>
      </w:r>
      <w:r w:rsidR="008028E1" w:rsidRPr="00DE096C">
        <w:rPr>
          <w:bCs/>
          <w:color w:val="002060"/>
          <w:sz w:val="16"/>
          <w:szCs w:val="16"/>
          <w:shd w:val="clear" w:color="auto" w:fill="FFFFFF"/>
        </w:rPr>
        <w:t xml:space="preserve">был </w:t>
      </w:r>
      <w:r w:rsidR="00213AC2" w:rsidRPr="00DE096C">
        <w:rPr>
          <w:bCs/>
          <w:color w:val="002060"/>
          <w:sz w:val="16"/>
          <w:szCs w:val="16"/>
          <w:shd w:val="clear" w:color="auto" w:fill="FFFFFF"/>
        </w:rPr>
        <w:t xml:space="preserve">высочайше </w:t>
      </w:r>
      <w:r w:rsidR="008028E1" w:rsidRPr="00DE096C">
        <w:rPr>
          <w:bCs/>
          <w:color w:val="002060"/>
          <w:sz w:val="16"/>
          <w:szCs w:val="16"/>
          <w:shd w:val="clear" w:color="auto" w:fill="FFFFFF"/>
        </w:rPr>
        <w:t>утверждён</w:t>
      </w:r>
      <w:r w:rsidRPr="00DE096C">
        <w:rPr>
          <w:bCs/>
          <w:color w:val="002060"/>
          <w:sz w:val="16"/>
          <w:szCs w:val="16"/>
          <w:shd w:val="clear" w:color="auto" w:fill="FFFFFF"/>
        </w:rPr>
        <w:t xml:space="preserve"> штате армейского авиаотряда</w:t>
      </w:r>
      <w:r w:rsidR="00213AC2" w:rsidRPr="00DE096C">
        <w:rPr>
          <w:bCs/>
          <w:color w:val="002060"/>
          <w:sz w:val="16"/>
          <w:szCs w:val="16"/>
          <w:shd w:val="clear" w:color="auto" w:fill="FFFFFF"/>
        </w:rPr>
        <w:t xml:space="preserve">, в котром </w:t>
      </w:r>
      <w:r w:rsidRPr="00DE096C">
        <w:rPr>
          <w:bCs/>
          <w:color w:val="002060"/>
          <w:sz w:val="16"/>
          <w:szCs w:val="16"/>
          <w:shd w:val="clear" w:color="auto" w:fill="FFFFFF"/>
        </w:rPr>
        <w:t>уже не было ни одного радиотелеграфиста (Штат № 9 армейского авиационного отряда, высочайше утверждённый 21 декабря 1914 г. // Сборник временных штатов управлений, учреждений, заведений и частей войск, сформированных на время войны, и изменений и дополнений к постоянным штатам, имеющих значение на тот же период. Ч. 1. Пг.: ГУ ГШ, 1916. С. 489—492.) (19952).</w:t>
      </w:r>
    </w:p>
    <w:p w14:paraId="5F4735CA" w14:textId="77777777" w:rsidR="001B5FAE" w:rsidRPr="00DE096C" w:rsidRDefault="001B5FAE" w:rsidP="00D45A46">
      <w:pPr>
        <w:jc w:val="both"/>
        <w:rPr>
          <w:bCs/>
          <w:color w:val="002060"/>
          <w:sz w:val="16"/>
          <w:szCs w:val="16"/>
        </w:rPr>
      </w:pPr>
    </w:p>
    <w:p w14:paraId="1C2882C1" w14:textId="440B9DC8" w:rsidR="00620FBC" w:rsidRPr="00DE096C" w:rsidRDefault="00620FBC" w:rsidP="00D45A46">
      <w:pPr>
        <w:jc w:val="both"/>
        <w:rPr>
          <w:bCs/>
          <w:color w:val="002060"/>
          <w:sz w:val="16"/>
          <w:szCs w:val="16"/>
        </w:rPr>
      </w:pPr>
      <w:r w:rsidRPr="00DE096C">
        <w:rPr>
          <w:bCs/>
          <w:color w:val="002060"/>
          <w:sz w:val="16"/>
          <w:szCs w:val="16"/>
        </w:rPr>
        <w:t>К 21 декабря 1913 г. (3 января 1915 г.) с начала войны авиационные части /только сухопут</w:t>
      </w:r>
      <w:r w:rsidRPr="00DE096C">
        <w:rPr>
          <w:bCs/>
          <w:color w:val="002060"/>
          <w:sz w:val="16"/>
          <w:szCs w:val="16"/>
        </w:rPr>
        <w:softHyphen/>
        <w:t>ие/ выполнили 3229 боевых вылетов общей продолжительностью 3188 часов. Общее количество исправных самолетов во всех авиачастях со</w:t>
      </w:r>
      <w:r w:rsidRPr="00DE096C">
        <w:rPr>
          <w:bCs/>
          <w:color w:val="002060"/>
          <w:sz w:val="16"/>
          <w:szCs w:val="16"/>
        </w:rPr>
        <w:softHyphen/>
        <w:t xml:space="preserve">ставляло в месяц 150-160, находившихся в ремонте - 20-30. Основным видом боевой деятельности авиации была воздушная разведка /1242 полета/, во многих случаях доставлявшая весьма ценные сведения о противнике и способствовавшая успеху операций. Кроме того, авиация применялась для корректировки артиллерийской стрельбы /17 раз/, доставки экстренных донесений и для связи /86 раз/, для аэрофотосъемки </w:t>
      </w:r>
      <w:r w:rsidRPr="00DE096C">
        <w:rPr>
          <w:bCs/>
          <w:color w:val="002060"/>
          <w:sz w:val="16"/>
          <w:szCs w:val="16"/>
        </w:rPr>
        <w:lastRenderedPageBreak/>
        <w:t>неприятельских позиций /18 раз/ и бомбометания /120 раз/, причем было сброшено на военные объекты противника около 250 бомб, преимущественно большого по тому времени веса /20 ф. - 1 пуд/. Не</w:t>
      </w:r>
      <w:r w:rsidRPr="00DE096C">
        <w:rPr>
          <w:bCs/>
          <w:color w:val="002060"/>
          <w:sz w:val="16"/>
          <w:szCs w:val="16"/>
        </w:rPr>
        <w:softHyphen/>
        <w:t>смотря на отсутствие на самолетах пулеметов летчики смело вступали в бой с противником и сбили три его самолета. Наземными войсками было сбито 19 самолетов и два дирижабля и взято в плен около 60членов экипажей.</w:t>
      </w:r>
    </w:p>
    <w:p w14:paraId="592CE1FB" w14:textId="77777777" w:rsidR="00620FBC" w:rsidRPr="00DE096C" w:rsidRDefault="00620FBC" w:rsidP="00D45A46">
      <w:pPr>
        <w:jc w:val="both"/>
        <w:rPr>
          <w:bCs/>
          <w:color w:val="002060"/>
          <w:sz w:val="16"/>
          <w:szCs w:val="16"/>
        </w:rPr>
      </w:pPr>
      <w:r w:rsidRPr="00DE096C">
        <w:rPr>
          <w:bCs/>
          <w:color w:val="002060"/>
          <w:sz w:val="16"/>
          <w:szCs w:val="16"/>
        </w:rPr>
        <w:t>Боевая деятельность воздухоплавательных частей выразилась в обслуживании войск наблюдением за ближайшим тылом противника, его передовыми позициями и в корректировании стрельбы своей артиллерии, К зиме первого года войны многие авиаотряды оказались в очень тяжелом положении вследствие полной изношенности и выхода из строя самолетов. На одном только юго-западном фронте уже после трах меся</w:t>
      </w:r>
      <w:r w:rsidRPr="00DE096C">
        <w:rPr>
          <w:bCs/>
          <w:color w:val="002060"/>
          <w:sz w:val="16"/>
          <w:szCs w:val="16"/>
        </w:rPr>
        <w:softHyphen/>
        <w:t>цев войны из 99 самолетов вышло из строя в результате аварий 91 самолет. Пришлось многие отряды отвести в тыл для перевооружения и переучивания летчиков на новых типах самолетов /Моран-парасоль, Вуазен/. Деятельность авиаотрядов поддерживалась небольшим количе</w:t>
      </w:r>
      <w:r w:rsidRPr="00DE096C">
        <w:rPr>
          <w:bCs/>
          <w:color w:val="002060"/>
          <w:sz w:val="16"/>
          <w:szCs w:val="16"/>
        </w:rPr>
        <w:softHyphen/>
        <w:t>ством новых самолетов, получаемых из Франции, и усиленным ремонтом старых в мастерских авиационных рот.</w:t>
      </w:r>
    </w:p>
    <w:p w14:paraId="29E6390B" w14:textId="77777777" w:rsidR="00620FBC" w:rsidRPr="00DE096C" w:rsidRDefault="00620FBC" w:rsidP="00D45A46">
      <w:pPr>
        <w:jc w:val="both"/>
        <w:rPr>
          <w:bCs/>
          <w:color w:val="002060"/>
          <w:sz w:val="16"/>
          <w:szCs w:val="16"/>
        </w:rPr>
      </w:pPr>
      <w:r w:rsidRPr="00DE096C">
        <w:rPr>
          <w:bCs/>
          <w:color w:val="002060"/>
          <w:sz w:val="16"/>
          <w:szCs w:val="16"/>
        </w:rPr>
        <w:t>За время войны на пополнение фронтовых авиаотрядов поступило 76 летчиков и 177 самолетов, в том числе трофейных /немецких./. Потеряно было 146 самолетов, из коих большинство — в результате аварий. Потери в людях составляли: убитые и погибшие при катастрофах — 14 летчиков, попали в плен пропали без вести — 26 человек. /20 летчиков и 6 наблюдателей/. За непригодностью было отчислено 33 летчика и смещено на летнаба 8 летчиков, на обучение в авиашколах в декабре состояло 48 офицеров, 9 солдат и 100 добровольцев—"охотников".</w:t>
      </w:r>
    </w:p>
    <w:p w14:paraId="00273331" w14:textId="77777777" w:rsidR="00620FBC" w:rsidRPr="00DE096C" w:rsidRDefault="00620FBC" w:rsidP="00D45A46">
      <w:pPr>
        <w:jc w:val="both"/>
        <w:rPr>
          <w:bCs/>
          <w:color w:val="002060"/>
          <w:sz w:val="16"/>
          <w:szCs w:val="16"/>
        </w:rPr>
      </w:pPr>
      <w:r w:rsidRPr="00DE096C">
        <w:rPr>
          <w:bCs/>
          <w:color w:val="002060"/>
          <w:sz w:val="16"/>
          <w:szCs w:val="16"/>
        </w:rPr>
        <w:t>/ЦГВИА, ф. 2000, оп. 3, д. 761: ф. 20003, оп. 3, д. 613; ф. 2008, оп. 1, д. 41: ф. 2134, оп.1. д. 991; ф. 453, д. 2067; ЦГАСА, ф, 29, оп. 4, д.90/ (23320).</w:t>
      </w:r>
    </w:p>
    <w:p w14:paraId="7AE38A42" w14:textId="77777777" w:rsidR="00620FBC" w:rsidRPr="00DE096C" w:rsidRDefault="00620FBC" w:rsidP="00D45A46">
      <w:pPr>
        <w:jc w:val="both"/>
        <w:rPr>
          <w:bCs/>
          <w:color w:val="002060"/>
          <w:sz w:val="16"/>
          <w:szCs w:val="16"/>
        </w:rPr>
      </w:pPr>
    </w:p>
    <w:p w14:paraId="17A861A5" w14:textId="382B95AA" w:rsidR="0067254E" w:rsidRPr="00DE096C" w:rsidRDefault="0067254E" w:rsidP="00D45A46">
      <w:pPr>
        <w:jc w:val="both"/>
        <w:rPr>
          <w:bCs/>
          <w:i/>
          <w:color w:val="002060"/>
          <w:sz w:val="16"/>
          <w:szCs w:val="16"/>
        </w:rPr>
      </w:pPr>
      <w:r w:rsidRPr="00DE096C">
        <w:rPr>
          <w:bCs/>
          <w:i/>
          <w:color w:val="002060"/>
          <w:sz w:val="16"/>
          <w:szCs w:val="16"/>
        </w:rPr>
        <w:t>Морская авиация:</w:t>
      </w:r>
    </w:p>
    <w:p w14:paraId="4AB9D9C1" w14:textId="77777777" w:rsidR="0067254E" w:rsidRPr="00DE096C" w:rsidRDefault="0067254E" w:rsidP="00D45A46">
      <w:pPr>
        <w:jc w:val="both"/>
        <w:rPr>
          <w:bCs/>
          <w:i/>
          <w:color w:val="002060"/>
          <w:sz w:val="16"/>
          <w:szCs w:val="16"/>
        </w:rPr>
      </w:pPr>
    </w:p>
    <w:p w14:paraId="56E7EC46" w14:textId="0C1E9576" w:rsidR="0067254E" w:rsidRPr="00DE096C" w:rsidRDefault="0067254E" w:rsidP="00D45A46">
      <w:pPr>
        <w:shd w:val="clear" w:color="auto" w:fill="FFFFFF"/>
        <w:jc w:val="both"/>
        <w:rPr>
          <w:bCs/>
          <w:color w:val="002060"/>
          <w:sz w:val="16"/>
          <w:szCs w:val="16"/>
        </w:rPr>
      </w:pPr>
      <w:r w:rsidRPr="00DE096C">
        <w:rPr>
          <w:bCs/>
          <w:color w:val="002060"/>
          <w:sz w:val="16"/>
          <w:szCs w:val="16"/>
        </w:rPr>
        <w:t>21 декабря 1914 года (3 января 1915 г.), определяя роль морской авиации в операциях, проведенных до этого времени, командующий Балтийским флотом адмирал Н. Эссен выразил морскому министру свое мнение так. «Воздухоплавательные аппараты в настоящее время хоть и не являются грозным оружием в мировой войне, но следует иметь ввиду, что на днях англичане подвезли на легких крейсерах к Куксгафену семь аппаратов, которые и атаковали германс</w:t>
      </w:r>
      <w:r w:rsidRPr="00DE096C">
        <w:rPr>
          <w:bCs/>
          <w:color w:val="002060"/>
          <w:sz w:val="16"/>
          <w:szCs w:val="16"/>
        </w:rPr>
        <w:softHyphen/>
        <w:t>кие суда. Таким образом, воздухоплавательные аппараты пока являются только средством разведки и могут атаковать приближающиеся к берегу суда противника». Дально</w:t>
      </w:r>
      <w:r w:rsidRPr="00DE096C">
        <w:rPr>
          <w:bCs/>
          <w:color w:val="002060"/>
          <w:sz w:val="16"/>
          <w:szCs w:val="16"/>
        </w:rPr>
        <w:softHyphen/>
        <w:t>видности замечательному моряку явно не хватило.</w:t>
      </w:r>
    </w:p>
    <w:p w14:paraId="1A601272" w14:textId="77777777" w:rsidR="0067254E" w:rsidRPr="00DE096C" w:rsidRDefault="0067254E" w:rsidP="00D45A46">
      <w:pPr>
        <w:shd w:val="clear" w:color="auto" w:fill="FFFFFF"/>
        <w:jc w:val="both"/>
        <w:rPr>
          <w:bCs/>
          <w:color w:val="002060"/>
          <w:sz w:val="16"/>
          <w:szCs w:val="16"/>
        </w:rPr>
      </w:pPr>
      <w:r w:rsidRPr="00DE096C">
        <w:rPr>
          <w:bCs/>
          <w:color w:val="002060"/>
          <w:sz w:val="16"/>
          <w:szCs w:val="16"/>
        </w:rPr>
        <w:t>Вскоре под председательством начальника авиационного отдела службы связи и наблюдения капитана 2 ранга Дудорова состоялись заседания авиакомитета. Следует добавить, что полтора месяца спустя Дудоров по приказу командую</w:t>
      </w:r>
      <w:r w:rsidRPr="00DE096C">
        <w:rPr>
          <w:bCs/>
          <w:color w:val="002060"/>
          <w:sz w:val="16"/>
          <w:szCs w:val="16"/>
        </w:rPr>
        <w:softHyphen/>
        <w:t>щего флотом стал начальником Восточного воздушного рай</w:t>
      </w:r>
      <w:r w:rsidRPr="00DE096C">
        <w:rPr>
          <w:bCs/>
          <w:color w:val="002060"/>
          <w:sz w:val="16"/>
          <w:szCs w:val="16"/>
        </w:rPr>
        <w:softHyphen/>
        <w:t>она и приобрел большие полномочия.</w:t>
      </w:r>
    </w:p>
    <w:p w14:paraId="72B07128" w14:textId="77777777" w:rsidR="0067254E" w:rsidRPr="00DE096C" w:rsidRDefault="0067254E" w:rsidP="00D45A46">
      <w:pPr>
        <w:shd w:val="clear" w:color="auto" w:fill="FFFFFF"/>
        <w:jc w:val="both"/>
        <w:rPr>
          <w:bCs/>
          <w:color w:val="002060"/>
          <w:sz w:val="16"/>
          <w:szCs w:val="16"/>
        </w:rPr>
      </w:pPr>
      <w:r w:rsidRPr="00DE096C">
        <w:rPr>
          <w:bCs/>
          <w:color w:val="002060"/>
          <w:sz w:val="16"/>
          <w:szCs w:val="16"/>
        </w:rPr>
        <w:t>В работе комитета участвовали: начальник воздухоплава</w:t>
      </w:r>
      <w:r w:rsidRPr="00DE096C">
        <w:rPr>
          <w:bCs/>
          <w:color w:val="002060"/>
          <w:sz w:val="16"/>
          <w:szCs w:val="16"/>
        </w:rPr>
        <w:softHyphen/>
        <w:t>тельного отделения Морского генштаба старший лейтенант Тучков, начальник Ревельской авиастанции старший лейте</w:t>
      </w:r>
      <w:r w:rsidRPr="00DE096C">
        <w:rPr>
          <w:bCs/>
          <w:color w:val="002060"/>
          <w:sz w:val="16"/>
          <w:szCs w:val="16"/>
        </w:rPr>
        <w:softHyphen/>
        <w:t>нант Щербачев, опытные пилоты лейтенанты Кульнев и Лав</w:t>
      </w:r>
      <w:r w:rsidRPr="00DE096C">
        <w:rPr>
          <w:bCs/>
          <w:color w:val="002060"/>
          <w:sz w:val="16"/>
          <w:szCs w:val="16"/>
        </w:rPr>
        <w:softHyphen/>
        <w:t>ров, техник авиаслужбы Шишкин и другие. По одобренному адмиралом Эссеном представлению было решено принять экстренные меры для получения 12 летающих лодок «Кер-тисс-К» американского производства. Кроме того, заказать Петроградскому заводу Лебедева изготовление по лицензии 20 летающих лодок «ФБА» с моторами Путиловского завода. С учетом других закупок флотское командование рассчитывало в текущем году получить 56 аэропланов.</w:t>
      </w:r>
    </w:p>
    <w:p w14:paraId="75F21240" w14:textId="77777777" w:rsidR="0067254E" w:rsidRPr="00DE096C" w:rsidRDefault="0067254E" w:rsidP="00D45A46">
      <w:pPr>
        <w:shd w:val="clear" w:color="auto" w:fill="FFFFFF"/>
        <w:jc w:val="both"/>
        <w:rPr>
          <w:bCs/>
          <w:color w:val="002060"/>
          <w:sz w:val="16"/>
          <w:szCs w:val="16"/>
        </w:rPr>
      </w:pPr>
      <w:r w:rsidRPr="00DE096C">
        <w:rPr>
          <w:bCs/>
          <w:color w:val="002060"/>
          <w:sz w:val="16"/>
          <w:szCs w:val="16"/>
        </w:rPr>
        <w:t>При разработке программы комитет допустил серьезную ошибку в определении потребностей авиатехники в условиях затяжной войны и принял сомнительное решение при выборе типов аэропланов. Надежда на продуктивную работу столич</w:t>
      </w:r>
      <w:r w:rsidRPr="00DE096C">
        <w:rPr>
          <w:bCs/>
          <w:color w:val="002060"/>
          <w:sz w:val="16"/>
          <w:szCs w:val="16"/>
        </w:rPr>
        <w:softHyphen/>
        <w:t>ных заводов оказалась несостоятельной. Весной 1915 года воз</w:t>
      </w:r>
      <w:r w:rsidRPr="00DE096C">
        <w:rPr>
          <w:bCs/>
          <w:color w:val="002060"/>
          <w:sz w:val="16"/>
          <w:szCs w:val="16"/>
        </w:rPr>
        <w:softHyphen/>
        <w:t>духоплавательный парк флота состоял из разнотипных аэро</w:t>
      </w:r>
      <w:r w:rsidRPr="00DE096C">
        <w:rPr>
          <w:bCs/>
          <w:color w:val="002060"/>
          <w:sz w:val="16"/>
          <w:szCs w:val="16"/>
        </w:rPr>
        <w:softHyphen/>
        <w:t>планов: 15 лодочных и поплавковых (5 - «ФБА», 4 - «С-10», 2 - «А. Фарман», 2 - «М. Фарман», 2 - «М-5») и 7 колесных (5 -«А. Фарман», 2 - «Дюпердюссен»). Около трети их нуждались в ремонте.</w:t>
      </w:r>
    </w:p>
    <w:p w14:paraId="0AC14BCA" w14:textId="393269F9" w:rsidR="0067254E" w:rsidRPr="00DE096C" w:rsidRDefault="0067254E" w:rsidP="00D45A46">
      <w:pPr>
        <w:shd w:val="clear" w:color="auto" w:fill="FFFFFF"/>
        <w:jc w:val="both"/>
        <w:rPr>
          <w:bCs/>
          <w:color w:val="002060"/>
          <w:sz w:val="16"/>
          <w:szCs w:val="16"/>
        </w:rPr>
      </w:pPr>
      <w:r w:rsidRPr="00DE096C">
        <w:rPr>
          <w:bCs/>
          <w:color w:val="002060"/>
          <w:sz w:val="16"/>
          <w:szCs w:val="16"/>
        </w:rPr>
        <w:t>План развития системы базирования авиации подвергся ко</w:t>
      </w:r>
      <w:r w:rsidRPr="00DE096C">
        <w:rPr>
          <w:bCs/>
          <w:color w:val="002060"/>
          <w:sz w:val="16"/>
          <w:szCs w:val="16"/>
        </w:rPr>
        <w:softHyphen/>
        <w:t>ренному пересмотру в связи с укреплением обороны Рижско</w:t>
      </w:r>
      <w:r w:rsidRPr="00DE096C">
        <w:rPr>
          <w:bCs/>
          <w:color w:val="002060"/>
          <w:sz w:val="16"/>
          <w:szCs w:val="16"/>
        </w:rPr>
        <w:softHyphen/>
        <w:t>го залива и устья Финского залива, а также Або-Оландских островов. Особое внимание было уделено Ревельской авиастан</w:t>
      </w:r>
      <w:r w:rsidRPr="00DE096C">
        <w:rPr>
          <w:bCs/>
          <w:color w:val="002060"/>
          <w:sz w:val="16"/>
          <w:szCs w:val="16"/>
        </w:rPr>
        <w:softHyphen/>
        <w:t>ции, ранее предназначенной для снабжения авиатехникой и подготовки кадров. Возникла необходимость переноса ее с уз</w:t>
      </w:r>
      <w:r w:rsidRPr="00DE096C">
        <w:rPr>
          <w:bCs/>
          <w:color w:val="002060"/>
          <w:sz w:val="16"/>
          <w:szCs w:val="16"/>
        </w:rPr>
        <w:softHyphen/>
        <w:t>кого прибрежного участка на удобное место возле реки Бригитовка. Она передавалась в распоряжение коменданта еще не оконченной строительством Морской крепости Императора Петра Великого. Кроме того, потребовалось обеспечить защи</w:t>
      </w:r>
      <w:r w:rsidRPr="00DE096C">
        <w:rPr>
          <w:bCs/>
          <w:color w:val="002060"/>
          <w:sz w:val="16"/>
          <w:szCs w:val="16"/>
        </w:rPr>
        <w:softHyphen/>
        <w:t>ту с воздуха.</w:t>
      </w:r>
    </w:p>
    <w:p w14:paraId="34854B91" w14:textId="77777777" w:rsidR="0067254E" w:rsidRPr="00DE096C" w:rsidRDefault="0067254E" w:rsidP="00D45A46">
      <w:pPr>
        <w:shd w:val="clear" w:color="auto" w:fill="FFFFFF"/>
        <w:jc w:val="both"/>
        <w:rPr>
          <w:bCs/>
          <w:color w:val="002060"/>
          <w:sz w:val="16"/>
          <w:szCs w:val="16"/>
        </w:rPr>
      </w:pPr>
      <w:r w:rsidRPr="00DE096C">
        <w:rPr>
          <w:bCs/>
          <w:color w:val="002060"/>
          <w:sz w:val="16"/>
          <w:szCs w:val="16"/>
        </w:rPr>
        <w:t>15 (28) января 1915 года адмирал Эссен по</w:t>
      </w:r>
      <w:r w:rsidRPr="00DE096C">
        <w:rPr>
          <w:bCs/>
          <w:color w:val="002060"/>
          <w:sz w:val="16"/>
          <w:szCs w:val="16"/>
        </w:rPr>
        <w:softHyphen/>
        <w:t>ставил вопрос о создании в Свеаборгской крепости и Гельсингфорском рейде, где в зимнее время стояли линейные корабли, скованные льдом, воздушной станции, считая достаточным на первых порах иметь 4 колесных аэроплана, позаимствованных у ар</w:t>
      </w:r>
      <w:r w:rsidRPr="00DE096C">
        <w:rPr>
          <w:bCs/>
          <w:color w:val="002060"/>
          <w:sz w:val="16"/>
          <w:szCs w:val="16"/>
        </w:rPr>
        <w:softHyphen/>
        <w:t>мии. Постройка станции и формирование отряда затянулась до середины весны (11283).</w:t>
      </w:r>
    </w:p>
    <w:p w14:paraId="78B0C294" w14:textId="77777777" w:rsidR="0067254E" w:rsidRPr="00DE096C" w:rsidRDefault="0067254E" w:rsidP="00D45A46">
      <w:pPr>
        <w:shd w:val="clear" w:color="auto" w:fill="FFFFFF"/>
        <w:jc w:val="both"/>
        <w:rPr>
          <w:bCs/>
          <w:color w:val="002060"/>
          <w:sz w:val="16"/>
          <w:szCs w:val="16"/>
        </w:rPr>
      </w:pPr>
    </w:p>
    <w:p w14:paraId="4F3546E9" w14:textId="31B6BE93" w:rsidR="00B67D7C" w:rsidRPr="00DE096C" w:rsidRDefault="00B67D7C" w:rsidP="00D45A46">
      <w:pPr>
        <w:jc w:val="both"/>
        <w:rPr>
          <w:bCs/>
          <w:i/>
          <w:color w:val="002060"/>
          <w:sz w:val="16"/>
          <w:szCs w:val="16"/>
        </w:rPr>
      </w:pPr>
      <w:r w:rsidRPr="00DE096C">
        <w:rPr>
          <w:bCs/>
          <w:i/>
          <w:color w:val="002060"/>
          <w:sz w:val="16"/>
          <w:szCs w:val="16"/>
        </w:rPr>
        <w:t>Армия:</w:t>
      </w:r>
    </w:p>
    <w:p w14:paraId="49EE3987" w14:textId="77777777" w:rsidR="00B67D7C" w:rsidRPr="00DE096C" w:rsidRDefault="00B67D7C" w:rsidP="00D45A46">
      <w:pPr>
        <w:jc w:val="both"/>
        <w:rPr>
          <w:bCs/>
          <w:i/>
          <w:color w:val="002060"/>
          <w:sz w:val="16"/>
          <w:szCs w:val="16"/>
        </w:rPr>
      </w:pPr>
    </w:p>
    <w:p w14:paraId="5321C490" w14:textId="752978FF" w:rsidR="00242864" w:rsidRPr="00DE096C" w:rsidRDefault="00242864" w:rsidP="00D45A46">
      <w:pPr>
        <w:jc w:val="both"/>
        <w:rPr>
          <w:bCs/>
          <w:color w:val="002060"/>
          <w:sz w:val="16"/>
          <w:szCs w:val="16"/>
        </w:rPr>
      </w:pPr>
      <w:r w:rsidRPr="00DE096C">
        <w:rPr>
          <w:bCs/>
          <w:color w:val="002060"/>
          <w:sz w:val="16"/>
          <w:szCs w:val="16"/>
        </w:rPr>
        <w:t xml:space="preserve">21 декабря в 1914 году </w:t>
      </w:r>
      <w:r w:rsidR="00213AC2" w:rsidRPr="00DE096C">
        <w:rPr>
          <w:bCs/>
          <w:color w:val="002060"/>
          <w:sz w:val="16"/>
          <w:szCs w:val="16"/>
        </w:rPr>
        <w:t xml:space="preserve">(3 января 1815 г.) </w:t>
      </w:r>
      <w:r w:rsidRPr="00DE096C">
        <w:rPr>
          <w:bCs/>
          <w:color w:val="002060"/>
          <w:sz w:val="16"/>
          <w:szCs w:val="16"/>
        </w:rPr>
        <w:t>в ходе Первой мировой войны войска Кавказского фронта (170 тысяч человек при 350 орудиях, генерал от инфантерии И.И.Воронцов-Дашков) начали Сарыкамышскую операцию. В ходе операции, завершившейся 18 января 1915 г., русские войска не только отбили наступление 3-й турецкой армии (военный министр Энвер-паша), но и нанесли им тяжелое поражение. Турки потеряли около 90 тысяч человек убитыми, ранеными и пленными, а перед войсками Кавказского фронта открылись благоприятные возможности для развития наступления в глубь Турции (14867).</w:t>
      </w:r>
    </w:p>
    <w:p w14:paraId="517E9DF4" w14:textId="77777777" w:rsidR="00242864" w:rsidRPr="00DE096C" w:rsidRDefault="00242864" w:rsidP="00D45A46">
      <w:pPr>
        <w:jc w:val="both"/>
        <w:rPr>
          <w:bCs/>
          <w:color w:val="002060"/>
          <w:sz w:val="16"/>
          <w:szCs w:val="16"/>
        </w:rPr>
      </w:pPr>
    </w:p>
    <w:p w14:paraId="6EAA7E9E" w14:textId="68B7E9A5" w:rsidR="00B67D7C" w:rsidRPr="00DE096C" w:rsidRDefault="00B67D7C" w:rsidP="00D45A46">
      <w:pPr>
        <w:jc w:val="both"/>
        <w:rPr>
          <w:bCs/>
          <w:color w:val="002060"/>
          <w:sz w:val="16"/>
          <w:szCs w:val="16"/>
        </w:rPr>
      </w:pPr>
      <w:r w:rsidRPr="00DE096C">
        <w:rPr>
          <w:bCs/>
          <w:color w:val="002060"/>
          <w:sz w:val="16"/>
          <w:szCs w:val="16"/>
        </w:rPr>
        <w:t xml:space="preserve">21 декабря 1914 г. </w:t>
      </w:r>
      <w:r w:rsidR="00213AC2" w:rsidRPr="00DE096C">
        <w:rPr>
          <w:bCs/>
          <w:color w:val="002060"/>
          <w:sz w:val="16"/>
          <w:szCs w:val="16"/>
        </w:rPr>
        <w:t xml:space="preserve">(3 января 1815 г.) </w:t>
      </w:r>
      <w:r w:rsidRPr="00DE096C">
        <w:rPr>
          <w:bCs/>
          <w:color w:val="002060"/>
          <w:sz w:val="16"/>
          <w:szCs w:val="16"/>
        </w:rPr>
        <w:t>началось формирование отдельных автомо-бильных пулеметных взводов. Большая заслуга в развитии нового рода войск принадлежала, несомненно, упомянутым выше энтузиастам автомобилизации Русской армии, которых поддержал начальник Офицерской стрелковой школы генерал-майор Н.М. Филатов.</w:t>
      </w:r>
    </w:p>
    <w:p w14:paraId="1DC85303" w14:textId="77777777" w:rsidR="00B67D7C" w:rsidRPr="00DE096C" w:rsidRDefault="00B67D7C" w:rsidP="00D45A46">
      <w:pPr>
        <w:jc w:val="both"/>
        <w:rPr>
          <w:bCs/>
          <w:color w:val="002060"/>
          <w:sz w:val="16"/>
          <w:szCs w:val="16"/>
        </w:rPr>
      </w:pPr>
      <w:r w:rsidRPr="00DE096C">
        <w:rPr>
          <w:bCs/>
          <w:color w:val="002060"/>
          <w:sz w:val="16"/>
          <w:szCs w:val="16"/>
        </w:rPr>
        <w:t>Следует признать, что эффект от несущественных действий немецких боевых машин в Восточной Пруссии, не столько тактический, сколько психологический, имел место. Но не совсем тот, на который рассчитывали немцы. Бурный бронеавтомобильный рост в Русской армии тому подтверждение. Сообщения о не-мецких броневиках, несомненно, дали допол-нительный толчок развитию российского бро-невого дела. Вероятно, именно для того, чтобы убедить консервативные круги русского коман-дования в необходимости внедрения броневых частей в армию, сообщения о вражеских бро-невиках сознательно преувеличивались. Раз-работки русским командованием мер борьбы с бронеавтомобилями противника также в опре-деленной мере преследовали эту цель. Таким образом, и раздуваемый с подачи сторонников активной моторизации армии миф о многочис-ленных немецких броневиках в прессе можно считать частью плана по развитию нового рода войск в Русской Императорской армии.</w:t>
      </w:r>
    </w:p>
    <w:p w14:paraId="2925506A" w14:textId="77777777" w:rsidR="00B67D7C" w:rsidRPr="00DE096C" w:rsidRDefault="00B67D7C" w:rsidP="00D45A46">
      <w:pPr>
        <w:jc w:val="both"/>
        <w:rPr>
          <w:bCs/>
          <w:color w:val="002060"/>
          <w:sz w:val="16"/>
          <w:szCs w:val="16"/>
        </w:rPr>
      </w:pPr>
      <w:r w:rsidRPr="00DE096C">
        <w:rPr>
          <w:bCs/>
          <w:color w:val="002060"/>
          <w:sz w:val="16"/>
          <w:szCs w:val="16"/>
        </w:rPr>
        <w:t>Типичным примером использования «страшилки» о германских броневиках в целях раз-вития нового рода войск является рапорт Былинского. Весной 1915 г. штабс-капитан В.Р. Былинский обратился в штаб 10-й армии с рапортом, в котором писал: «Вступая в бой с противником, отлично вооруженным брониро-ванными пушечными и пулеметными батарея-ми на автомобилях, и не имея в своей армии аналогичных средств вооружения, сразу несли от их губительных действий большие потери, в моральном же отношении потери от падения духа в войсках, сознающих свою абсолютную беспомощность, были неисчислимы [...].</w:t>
      </w:r>
    </w:p>
    <w:p w14:paraId="178AC070" w14:textId="77777777" w:rsidR="00B67D7C" w:rsidRPr="00DE096C" w:rsidRDefault="00B67D7C" w:rsidP="00D45A46">
      <w:pPr>
        <w:jc w:val="both"/>
        <w:rPr>
          <w:bCs/>
          <w:color w:val="002060"/>
          <w:sz w:val="16"/>
          <w:szCs w:val="16"/>
        </w:rPr>
      </w:pPr>
      <w:r w:rsidRPr="00DE096C">
        <w:rPr>
          <w:bCs/>
          <w:color w:val="002060"/>
          <w:sz w:val="16"/>
          <w:szCs w:val="16"/>
        </w:rPr>
        <w:t>Совершенное отсутствие в районе 1-й и 10-й армий, где я с начала кампании пробыл в строю, каких бы то ни было броневых авто-мобилей, побудили меня сформировать своей конструкции и на свой счет отдельный авто- пушечно-пулеметный взвод [...]».</w:t>
      </w:r>
    </w:p>
    <w:p w14:paraId="41053891" w14:textId="77777777" w:rsidR="00B67D7C" w:rsidRPr="00DE096C" w:rsidRDefault="00B67D7C" w:rsidP="00D45A46">
      <w:pPr>
        <w:jc w:val="both"/>
        <w:rPr>
          <w:bCs/>
          <w:color w:val="002060"/>
          <w:sz w:val="16"/>
          <w:szCs w:val="16"/>
        </w:rPr>
      </w:pPr>
      <w:r w:rsidRPr="00DE096C">
        <w:rPr>
          <w:bCs/>
          <w:color w:val="002060"/>
          <w:sz w:val="16"/>
          <w:szCs w:val="16"/>
        </w:rPr>
        <w:t>Инициативу Былинского поддержали — ему выделили два трофейных автомобиля «Мерседес» и откомандировали в Петроград на Обуховский завод для постройки броневиков и формирования «внепланового» пулеметно- автомобильного взвода. Заручившись под-держкой влиятельного приверженца мотори-зации армии генерал-майора свиты Его Импе-раторского Величества князя В.Н. Орлова, он вскоре получил и третью машину — немецкий грузовик «Ллойд» (Ыоуд) выпуска 1911 г. 23 ав-густа 1915 г. 25-й автопулеметный взвод под командованием Былинского был отправлен в 5-ю армию на Северный фронт.</w:t>
      </w:r>
    </w:p>
    <w:p w14:paraId="0057EF24" w14:textId="77777777" w:rsidR="00B67D7C" w:rsidRPr="00DE096C" w:rsidRDefault="00B67D7C" w:rsidP="00D45A46">
      <w:pPr>
        <w:jc w:val="both"/>
        <w:rPr>
          <w:bCs/>
          <w:color w:val="002060"/>
          <w:sz w:val="16"/>
          <w:szCs w:val="16"/>
        </w:rPr>
      </w:pPr>
      <w:r w:rsidRPr="00DE096C">
        <w:rPr>
          <w:bCs/>
          <w:color w:val="002060"/>
          <w:sz w:val="16"/>
          <w:szCs w:val="16"/>
        </w:rPr>
        <w:t>По приказу начальника Штаба Верховного Главнокомандующего от 7 июня 1916 г. пуле-метные автомобильные взводы были объеди-нены в броневые автомобильные дивизионы из расчета один дивизион на армию. При этом взвод переименовывался в отделение. На Кавказском фронте была сохранена взводная организация бронеавтомобильных частей. На 1 сентября 1916 г. в России действовали 12 ли-нейных броневых автомобильных дивизионов Русской армии, а также бельгийский и бри-танский бронедивизионы; в Петрограде рас-полагался Запасной бронедивизион. В начале 1917 г. к ним добавился дивизион особого на-значения. Бронеавтомобили получили весьма широкое распространение в Русской армии. До октября 1917 г. организация подразделений, тактика боевого использования и количество бронеавтомобилей во многом превосходили показатели армий других стран.</w:t>
      </w:r>
    </w:p>
    <w:p w14:paraId="487DF119" w14:textId="77777777" w:rsidR="00B67D7C" w:rsidRPr="00DE096C" w:rsidRDefault="00B67D7C" w:rsidP="00D45A46">
      <w:pPr>
        <w:jc w:val="both"/>
        <w:rPr>
          <w:bCs/>
          <w:color w:val="002060"/>
          <w:sz w:val="16"/>
          <w:szCs w:val="16"/>
        </w:rPr>
      </w:pPr>
      <w:r w:rsidRPr="00DE096C">
        <w:rPr>
          <w:bCs/>
          <w:color w:val="002060"/>
          <w:sz w:val="16"/>
          <w:szCs w:val="16"/>
        </w:rPr>
        <w:t>Что касается немцев, то только 27 октября 1914 г., когда 1-я автомобильная пулеметная рота Русской армии уже прибыла на фронт, военное министерство Пруссии обязало Транспортно-техническую испытательную ко-миссию разработать план мероприятий по по-стройке бронеавтомобилей и формированию броневых частей. К этому подключили также Оржейную испытательную комиссию и Отдел «А2» (Отдел инфантерии). 3 ноября совместны-ми усилиями были сформулированы состоящие из 16 пунктов требования к бронеавтомобилям. После их одобрения военным министерством на заводах «Бюссинг», «Даймлер» и «Эрхардт» разместили заказ на изготовление трех бро-нированных машин (12256).</w:t>
      </w:r>
    </w:p>
    <w:p w14:paraId="22972EB1" w14:textId="77777777" w:rsidR="00B67D7C" w:rsidRPr="00DE096C" w:rsidRDefault="00B67D7C" w:rsidP="00D45A46">
      <w:pPr>
        <w:jc w:val="both"/>
        <w:rPr>
          <w:bCs/>
          <w:color w:val="002060"/>
          <w:sz w:val="16"/>
          <w:szCs w:val="16"/>
        </w:rPr>
      </w:pPr>
    </w:p>
    <w:p w14:paraId="67FC53E7" w14:textId="77777777" w:rsidR="00B427C8" w:rsidRPr="00DE096C" w:rsidRDefault="00B427C8" w:rsidP="00D45A46">
      <w:pPr>
        <w:jc w:val="both"/>
        <w:rPr>
          <w:bCs/>
          <w:i/>
          <w:iCs/>
          <w:color w:val="002060"/>
          <w:sz w:val="16"/>
          <w:szCs w:val="16"/>
        </w:rPr>
      </w:pPr>
      <w:r w:rsidRPr="00DE096C">
        <w:rPr>
          <w:bCs/>
          <w:i/>
          <w:iCs/>
          <w:color w:val="002060"/>
          <w:sz w:val="16"/>
          <w:szCs w:val="16"/>
        </w:rPr>
        <w:t>За рубежом:</w:t>
      </w:r>
    </w:p>
    <w:p w14:paraId="562BC2A6" w14:textId="77777777" w:rsidR="00B427C8" w:rsidRPr="00DE096C" w:rsidRDefault="00B427C8" w:rsidP="00D45A46">
      <w:pPr>
        <w:jc w:val="both"/>
        <w:rPr>
          <w:bCs/>
          <w:i/>
          <w:iCs/>
          <w:color w:val="002060"/>
          <w:sz w:val="16"/>
          <w:szCs w:val="16"/>
        </w:rPr>
      </w:pPr>
    </w:p>
    <w:p w14:paraId="67D72C33" w14:textId="77777777" w:rsidR="00B427C8" w:rsidRPr="00DE096C" w:rsidRDefault="00B427C8" w:rsidP="00D45A46">
      <w:pPr>
        <w:jc w:val="both"/>
        <w:rPr>
          <w:bCs/>
          <w:color w:val="002060"/>
          <w:sz w:val="16"/>
          <w:szCs w:val="16"/>
        </w:rPr>
      </w:pPr>
      <w:r w:rsidRPr="00DE096C">
        <w:rPr>
          <w:bCs/>
          <w:color w:val="002060"/>
          <w:sz w:val="16"/>
          <w:szCs w:val="16"/>
        </w:rPr>
        <w:t>21 декабря 1914 (3 января в 1915 году) на Западном фронте Германия начинает использовать снаряды, наполненные газом (14998).</w:t>
      </w:r>
    </w:p>
    <w:p w14:paraId="44C78ED2" w14:textId="77777777" w:rsidR="00B427C8" w:rsidRPr="00DE096C" w:rsidRDefault="00B427C8" w:rsidP="00D45A46">
      <w:pPr>
        <w:jc w:val="both"/>
        <w:rPr>
          <w:bCs/>
          <w:color w:val="002060"/>
          <w:sz w:val="16"/>
          <w:szCs w:val="16"/>
        </w:rPr>
      </w:pPr>
    </w:p>
    <w:p w14:paraId="4C2FE4B0" w14:textId="0B64FC41" w:rsidR="00FA039D" w:rsidRPr="00DE096C" w:rsidRDefault="00FA039D" w:rsidP="00D45A46">
      <w:pPr>
        <w:jc w:val="both"/>
        <w:rPr>
          <w:bCs/>
          <w:i/>
          <w:color w:val="002060"/>
          <w:sz w:val="16"/>
          <w:szCs w:val="16"/>
        </w:rPr>
      </w:pPr>
      <w:r w:rsidRPr="00DE096C">
        <w:rPr>
          <w:bCs/>
          <w:i/>
          <w:color w:val="002060"/>
          <w:sz w:val="16"/>
          <w:szCs w:val="16"/>
        </w:rPr>
        <w:t>Авиация:</w:t>
      </w:r>
    </w:p>
    <w:p w14:paraId="1347430C" w14:textId="77777777" w:rsidR="00FA039D" w:rsidRPr="00DE096C" w:rsidRDefault="00FA039D" w:rsidP="00D45A46">
      <w:pPr>
        <w:jc w:val="both"/>
        <w:rPr>
          <w:bCs/>
          <w:i/>
          <w:color w:val="002060"/>
          <w:sz w:val="16"/>
          <w:szCs w:val="16"/>
        </w:rPr>
      </w:pPr>
    </w:p>
    <w:p w14:paraId="4C3814D2" w14:textId="03B21EC2" w:rsidR="00FA039D" w:rsidRPr="00DE096C" w:rsidRDefault="00FA039D" w:rsidP="00FA039D">
      <w:pPr>
        <w:jc w:val="both"/>
        <w:rPr>
          <w:color w:val="002060"/>
          <w:sz w:val="16"/>
          <w:szCs w:val="16"/>
          <w:lang w:bidi="en-US"/>
        </w:rPr>
      </w:pPr>
      <w:r w:rsidRPr="00DE096C">
        <w:rPr>
          <w:color w:val="002060"/>
          <w:sz w:val="16"/>
          <w:szCs w:val="16"/>
          <w:lang w:bidi="en-US"/>
        </w:rPr>
        <w:lastRenderedPageBreak/>
        <w:t>22 декабря 1914 г. (4 января 1915 г.) начальник Генерального штаба издал приказ о создании АО 1-й, 2-й, 3-й, 4-й, 5-й. АО 6-й, 7-й и 8-й армий. Каждая часть должна была подчиняться армии, в которую они были назначены: 1-я армия АО - 5-й армии на Северном фронте, окончательно прибыв туда к маю; АО 2-й армии во 2-ю армию на Западном фронте, окончательно прибыв туда в апреле-мае; АО 3-й армии в составе 11-й армии на ЮЗ-фронте, наконец прибыв туда в конце ноября; АО 4-й армии - в состав 4-й армии на Западном фронте, наконец прибыв в ноябре; АО 5-й армии 1-й армии на Западном фронте, наконец прибывшее в октябре; АО 6-й армии 11-й армии на ЮЗ-фронте, наконец прибывшая в феврале 1915 г .; 7-я армия АО для 1-й армии на Западном фронте, наконец прибывшая в апреле 1916 г. (21 февраля 1917 г. она станет 2-й гвардейской КАО). Примечание: Между датой формирования и фактическим прибытием на фронт произошли явные изменения в расположении армий и смены приписанных к ним армейских АО. Как видно, эти части формировались и фактически начинали фронтовые операции очень долго. Нехватка самолетов и достаточного количества обученного персонала была постоянной проблемой (23525).</w:t>
      </w:r>
    </w:p>
    <w:p w14:paraId="1E8391A2" w14:textId="77777777" w:rsidR="00FA039D" w:rsidRPr="00DE096C" w:rsidRDefault="00FA039D" w:rsidP="00FA039D">
      <w:pPr>
        <w:rPr>
          <w:color w:val="002060"/>
          <w:sz w:val="16"/>
          <w:szCs w:val="16"/>
        </w:rPr>
      </w:pPr>
    </w:p>
    <w:p w14:paraId="1CE6FFAA" w14:textId="64650A41" w:rsidR="00242864" w:rsidRPr="00DE096C" w:rsidRDefault="00242864" w:rsidP="00D45A46">
      <w:pPr>
        <w:jc w:val="both"/>
        <w:rPr>
          <w:bCs/>
          <w:i/>
          <w:color w:val="002060"/>
          <w:sz w:val="16"/>
          <w:szCs w:val="16"/>
        </w:rPr>
      </w:pPr>
      <w:r w:rsidRPr="00DE096C">
        <w:rPr>
          <w:bCs/>
          <w:i/>
          <w:color w:val="002060"/>
          <w:sz w:val="16"/>
          <w:szCs w:val="16"/>
        </w:rPr>
        <w:t>Другие оборонные отрасли:</w:t>
      </w:r>
    </w:p>
    <w:p w14:paraId="64EADB8C" w14:textId="77777777" w:rsidR="00242864" w:rsidRPr="00DE096C" w:rsidRDefault="00242864" w:rsidP="00D45A46">
      <w:pPr>
        <w:jc w:val="both"/>
        <w:rPr>
          <w:bCs/>
          <w:i/>
          <w:color w:val="002060"/>
          <w:sz w:val="16"/>
          <w:szCs w:val="16"/>
        </w:rPr>
      </w:pPr>
    </w:p>
    <w:p w14:paraId="20F56BF1" w14:textId="65CD163E" w:rsidR="00242864" w:rsidRPr="00DE096C" w:rsidRDefault="00242864" w:rsidP="00D45A46">
      <w:pPr>
        <w:jc w:val="both"/>
        <w:rPr>
          <w:bCs/>
          <w:color w:val="002060"/>
          <w:sz w:val="16"/>
          <w:szCs w:val="16"/>
        </w:rPr>
      </w:pPr>
      <w:r w:rsidRPr="00DE096C">
        <w:rPr>
          <w:bCs/>
          <w:color w:val="002060"/>
          <w:sz w:val="16"/>
          <w:szCs w:val="16"/>
        </w:rPr>
        <w:t xml:space="preserve">23 декабря в 1914 году </w:t>
      </w:r>
      <w:r w:rsidR="00FA039D" w:rsidRPr="00DE096C">
        <w:rPr>
          <w:bCs/>
          <w:color w:val="002060"/>
          <w:sz w:val="16"/>
          <w:szCs w:val="16"/>
        </w:rPr>
        <w:t xml:space="preserve">(5 января 1915 г.) </w:t>
      </w:r>
      <w:r w:rsidRPr="00DE096C">
        <w:rPr>
          <w:bCs/>
          <w:color w:val="002060"/>
          <w:sz w:val="16"/>
          <w:szCs w:val="16"/>
        </w:rPr>
        <w:t>На Русско-Балтийском заводе (Ревель, ныне Таллин) спущен на воду эскадренный миноносец "Гавриил" (тип - одноименный, 1260 тонн, 4 102-мм, 1 76-мм зенитное орудия, три ТА, 34 узла). 18 августа 1919 г., отражая набег британских торпедных катеров, потопил три из них. 21 октября 1919 г. подорвался на мине и погиб в Копорском заливе</w:t>
      </w:r>
    </w:p>
    <w:p w14:paraId="023ACD7A" w14:textId="77777777" w:rsidR="00242864" w:rsidRPr="00DE096C" w:rsidRDefault="00242864" w:rsidP="00D45A46">
      <w:pPr>
        <w:jc w:val="both"/>
        <w:rPr>
          <w:bCs/>
          <w:color w:val="002060"/>
          <w:sz w:val="16"/>
          <w:szCs w:val="16"/>
        </w:rPr>
      </w:pPr>
    </w:p>
    <w:p w14:paraId="24E97B64" w14:textId="77777777" w:rsidR="00B67D7C" w:rsidRPr="00DE096C" w:rsidRDefault="00B67D7C" w:rsidP="00D45A46">
      <w:pPr>
        <w:jc w:val="both"/>
        <w:rPr>
          <w:bCs/>
          <w:i/>
          <w:color w:val="002060"/>
          <w:sz w:val="16"/>
          <w:szCs w:val="16"/>
        </w:rPr>
      </w:pPr>
      <w:r w:rsidRPr="00DE096C">
        <w:rPr>
          <w:bCs/>
          <w:i/>
          <w:color w:val="002060"/>
          <w:sz w:val="16"/>
          <w:szCs w:val="16"/>
        </w:rPr>
        <w:t>Авиация:</w:t>
      </w:r>
    </w:p>
    <w:p w14:paraId="2C2F7C68" w14:textId="77777777" w:rsidR="00B67D7C" w:rsidRPr="00DE096C" w:rsidRDefault="00B67D7C" w:rsidP="00D45A46">
      <w:pPr>
        <w:jc w:val="both"/>
        <w:rPr>
          <w:bCs/>
          <w:i/>
          <w:color w:val="002060"/>
          <w:sz w:val="16"/>
          <w:szCs w:val="16"/>
        </w:rPr>
      </w:pPr>
    </w:p>
    <w:p w14:paraId="34C45A6E" w14:textId="6483CA06" w:rsidR="00242864" w:rsidRPr="00DE096C" w:rsidRDefault="00242864" w:rsidP="00D45A46">
      <w:pPr>
        <w:jc w:val="both"/>
        <w:rPr>
          <w:bCs/>
          <w:color w:val="002060"/>
          <w:sz w:val="16"/>
          <w:szCs w:val="16"/>
        </w:rPr>
      </w:pPr>
      <w:r w:rsidRPr="00DE096C">
        <w:rPr>
          <w:bCs/>
          <w:color w:val="002060"/>
          <w:sz w:val="16"/>
          <w:szCs w:val="16"/>
        </w:rPr>
        <w:t xml:space="preserve">23 декабря в 1914 году </w:t>
      </w:r>
      <w:r w:rsidR="00213AC2" w:rsidRPr="00DE096C">
        <w:rPr>
          <w:bCs/>
          <w:color w:val="002060"/>
          <w:sz w:val="16"/>
          <w:szCs w:val="16"/>
        </w:rPr>
        <w:t xml:space="preserve">(5 января 1915 г.) </w:t>
      </w:r>
      <w:r w:rsidRPr="00DE096C">
        <w:rPr>
          <w:bCs/>
          <w:color w:val="002060"/>
          <w:sz w:val="16"/>
          <w:szCs w:val="16"/>
        </w:rPr>
        <w:t>императором Николаем II утверждено решение Военного совета, в соответствии с которым авиация сухопутных войск делилась на тяжелую, подчиненную штабу Верховного Главнокомандующего, и легкую, распыленную по армиям и корпусам, подчиненную заведующему организацией авиационного дела в действующей армии (Авиадарму). Было начато формирование Управления эскадры воздушных кораблей «Илья Муромец». Начальником эскадры назначен генерал-майор М.В.Шидловский. Боевое крещение эскадра получила уже в феврале 1915 г. В 1999 г. приказом Главнокомандующего Военно-Воздушными Силами этот день установлен годовым праздником Дальней авиации ВВС (14869).</w:t>
      </w:r>
    </w:p>
    <w:p w14:paraId="6BCDEDB9" w14:textId="77777777" w:rsidR="00242864" w:rsidRPr="00DE096C" w:rsidRDefault="00242864" w:rsidP="00D45A46">
      <w:pPr>
        <w:jc w:val="both"/>
        <w:rPr>
          <w:bCs/>
          <w:color w:val="002060"/>
          <w:sz w:val="16"/>
          <w:szCs w:val="16"/>
        </w:rPr>
      </w:pPr>
    </w:p>
    <w:p w14:paraId="5625C226" w14:textId="406F64A9" w:rsidR="00B67D7C" w:rsidRPr="00DE096C" w:rsidRDefault="00B67D7C" w:rsidP="00D45A46">
      <w:pPr>
        <w:jc w:val="both"/>
        <w:rPr>
          <w:bCs/>
          <w:color w:val="002060"/>
          <w:sz w:val="16"/>
          <w:szCs w:val="16"/>
        </w:rPr>
      </w:pPr>
      <w:r w:rsidRPr="00DE096C">
        <w:rPr>
          <w:bCs/>
          <w:color w:val="002060"/>
          <w:sz w:val="16"/>
          <w:szCs w:val="16"/>
        </w:rPr>
        <w:t>23 декабря 1914 г. (5 января 1915</w:t>
      </w:r>
      <w:r w:rsidR="00213AC2" w:rsidRPr="00DE096C">
        <w:rPr>
          <w:bCs/>
          <w:color w:val="002060"/>
          <w:sz w:val="16"/>
          <w:szCs w:val="16"/>
        </w:rPr>
        <w:t xml:space="preserve"> г.</w:t>
      </w:r>
      <w:r w:rsidRPr="00DE096C">
        <w:rPr>
          <w:bCs/>
          <w:color w:val="002060"/>
          <w:sz w:val="16"/>
          <w:szCs w:val="16"/>
        </w:rPr>
        <w:t>) Императором Николаем II утверждено решение Военного совета, в соответствии с которым авиация сухопутных войск делилась на тяжелую, подчиненную штабу Верховного Главнокомандующего, и легкую, распыленную по армиям и корпусам, подчиненную заведующему организацией авиационного дела в действующей армии (Авиадарму ). Было начато формирование Управления эскадры воздушных кораблей «Илья Муромец». Начальником эскадры назначен генерал-майор М. В. Шидловский. Боевое крещение эскадра получила уже в феврале 1915 г. В 1999 г. приказом Главнокомандующего Военно-Воздушными Силами этот день установлен годовым праздником Дальней авиации ВВС.</w:t>
      </w:r>
    </w:p>
    <w:p w14:paraId="01961409" w14:textId="77777777" w:rsidR="00B67D7C" w:rsidRPr="00DE096C" w:rsidRDefault="00B67D7C" w:rsidP="00D45A46">
      <w:pPr>
        <w:shd w:val="clear" w:color="auto" w:fill="FFFFFF"/>
        <w:jc w:val="both"/>
        <w:rPr>
          <w:bCs/>
          <w:color w:val="002060"/>
          <w:sz w:val="16"/>
          <w:szCs w:val="16"/>
        </w:rPr>
      </w:pPr>
    </w:p>
    <w:p w14:paraId="758B43C8" w14:textId="77777777" w:rsidR="00B67D7C" w:rsidRPr="00DE096C" w:rsidRDefault="00B67D7C" w:rsidP="00D45A46">
      <w:pPr>
        <w:pStyle w:val="DefinitionList"/>
        <w:ind w:left="0"/>
        <w:jc w:val="both"/>
        <w:rPr>
          <w:bCs/>
          <w:color w:val="002060"/>
          <w:sz w:val="16"/>
          <w:szCs w:val="16"/>
        </w:rPr>
      </w:pPr>
      <w:r w:rsidRPr="00DE096C">
        <w:rPr>
          <w:bCs/>
          <w:color w:val="002060"/>
          <w:sz w:val="16"/>
          <w:szCs w:val="16"/>
        </w:rPr>
        <w:t>23 декабря 1914 года (5 января 1915) Государь Император Николай II утвердил решение Военного совета о формировании Управления Эскадры Воздушных кораблей (ЭВК), вооруженной самолетами "Илья Муромец", подчинив его непосредственно Начальнику штаба Ставки Верховного главнокомандования. Во главе Управления ЭВК был назначен председатель правления Русско-Балтийского вагонного завода В.М. Шидловский, которому одновременно было присвоено воинское звание "генерал-майор". Это определило начало создания в русской армии тяжелой стратегической бомбардировочной авиации. Самолеты типа "Илья Муромец" в годы войны постоянно модернизировались и выпускались различными сериями. По своим летно-техническим характеристикам они вплоть до 1917 года считались непревзойденными в мире. Всего на вооружение русской авиации поступило 80 таких боевых машин (11039).</w:t>
      </w:r>
    </w:p>
    <w:p w14:paraId="7AB4376E" w14:textId="77777777" w:rsidR="00B67D7C" w:rsidRPr="00DE096C" w:rsidRDefault="00B67D7C" w:rsidP="00D45A46">
      <w:pPr>
        <w:pStyle w:val="DefinitionList"/>
        <w:ind w:left="0"/>
        <w:jc w:val="both"/>
        <w:rPr>
          <w:bCs/>
          <w:i/>
          <w:color w:val="002060"/>
          <w:sz w:val="16"/>
          <w:szCs w:val="16"/>
        </w:rPr>
      </w:pPr>
    </w:p>
    <w:p w14:paraId="6EBF725E" w14:textId="0C75873B" w:rsidR="00B67D7C" w:rsidRPr="00DE096C" w:rsidRDefault="00B67D7C" w:rsidP="00D45A46">
      <w:pPr>
        <w:jc w:val="both"/>
        <w:rPr>
          <w:bCs/>
          <w:color w:val="002060"/>
          <w:sz w:val="16"/>
          <w:szCs w:val="16"/>
        </w:rPr>
      </w:pPr>
      <w:r w:rsidRPr="00DE096C">
        <w:rPr>
          <w:bCs/>
          <w:color w:val="002060"/>
          <w:sz w:val="16"/>
          <w:szCs w:val="16"/>
        </w:rPr>
        <w:t>23 декабря 1914 года (5 января 1915 года) главнокомандующий армиями Северо-Западного фронта генерал от инфантерии Н.В. Рузский поручил «...организовать борьбу с германскими аэропланами, появляющимися над Варшавой» командиру 27-го армейского корпуса генералу от инфантерии Д.В. Баланину; для этого в его распоряжение к 29 декабря (11 января 1915 г.) были направлены два авиаотряда - штабс-капитана П.П. Грезо и поручика Н.С. Воеводского-2-го (два аэроплана «Вуазен» и четыре «Моран-Ж»). Начальник штаба армий СЗФ В.А. Орановский приказал Баланину организовать также «...впереди Варшавы особые наблюдательные посты, которые в случае появления неприятельских аэропланов могли бы своевременно давать знать на Мокотово дежурному аэроплану». Тараны в воздухе безусловно запрещались.</w:t>
      </w:r>
    </w:p>
    <w:p w14:paraId="41936048" w14:textId="77777777" w:rsidR="00B67D7C" w:rsidRPr="00DE096C" w:rsidRDefault="00B67D7C" w:rsidP="00D45A46">
      <w:pPr>
        <w:jc w:val="both"/>
        <w:rPr>
          <w:bCs/>
          <w:i/>
          <w:color w:val="002060"/>
          <w:sz w:val="16"/>
          <w:szCs w:val="16"/>
        </w:rPr>
      </w:pPr>
    </w:p>
    <w:p w14:paraId="4DE185CB" w14:textId="77777777" w:rsidR="00B67D7C" w:rsidRPr="00DE096C" w:rsidRDefault="00B67D7C" w:rsidP="00D45A46">
      <w:pPr>
        <w:jc w:val="both"/>
        <w:rPr>
          <w:bCs/>
          <w:i/>
          <w:color w:val="002060"/>
          <w:sz w:val="16"/>
          <w:szCs w:val="16"/>
        </w:rPr>
      </w:pPr>
      <w:r w:rsidRPr="00DE096C">
        <w:rPr>
          <w:bCs/>
          <w:i/>
          <w:color w:val="002060"/>
          <w:sz w:val="16"/>
          <w:szCs w:val="16"/>
        </w:rPr>
        <w:t>Самолетостроение:</w:t>
      </w:r>
    </w:p>
    <w:p w14:paraId="5FD69C34" w14:textId="77777777" w:rsidR="00B67D7C" w:rsidRPr="00DE096C" w:rsidRDefault="00B67D7C" w:rsidP="00D45A46">
      <w:pPr>
        <w:jc w:val="both"/>
        <w:rPr>
          <w:bCs/>
          <w:i/>
          <w:color w:val="002060"/>
          <w:sz w:val="16"/>
          <w:szCs w:val="16"/>
        </w:rPr>
      </w:pPr>
    </w:p>
    <w:p w14:paraId="7F353106" w14:textId="2F982297" w:rsidR="00B67D7C" w:rsidRPr="00DE096C" w:rsidRDefault="00B67D7C" w:rsidP="00D45A46">
      <w:pPr>
        <w:jc w:val="both"/>
        <w:rPr>
          <w:bCs/>
          <w:color w:val="002060"/>
          <w:sz w:val="16"/>
          <w:szCs w:val="16"/>
        </w:rPr>
      </w:pPr>
      <w:r w:rsidRPr="00DE096C">
        <w:rPr>
          <w:bCs/>
          <w:color w:val="002060"/>
          <w:sz w:val="16"/>
          <w:szCs w:val="16"/>
        </w:rPr>
        <w:t xml:space="preserve">24 декабря </w:t>
      </w:r>
      <w:r w:rsidR="00213AC2" w:rsidRPr="00DE096C">
        <w:rPr>
          <w:bCs/>
          <w:color w:val="002060"/>
          <w:sz w:val="16"/>
          <w:szCs w:val="16"/>
        </w:rPr>
        <w:t xml:space="preserve">1914 г. (6 января 1915 г.) </w:t>
      </w:r>
      <w:r w:rsidRPr="00DE096C">
        <w:rPr>
          <w:bCs/>
          <w:color w:val="002060"/>
          <w:sz w:val="16"/>
          <w:szCs w:val="16"/>
        </w:rPr>
        <w:t>в «Правительст-венном вестнике» и «Петроградских ведомостях», а на следующий день в «Ведомостях Петроградского градоначальства» и в самый канун нового 1915 года - в «Московских ведомостях»)</w:t>
      </w:r>
      <w:r w:rsidR="00213AC2" w:rsidRPr="00DE096C">
        <w:rPr>
          <w:bCs/>
          <w:color w:val="002060"/>
          <w:sz w:val="16"/>
          <w:szCs w:val="16"/>
        </w:rPr>
        <w:t xml:space="preserve"> появились публикации о создании нового акционерного общества Лебедева</w:t>
      </w:r>
      <w:r w:rsidRPr="00DE096C">
        <w:rPr>
          <w:bCs/>
          <w:color w:val="002060"/>
          <w:sz w:val="16"/>
          <w:szCs w:val="16"/>
        </w:rPr>
        <w:t>.</w:t>
      </w:r>
    </w:p>
    <w:p w14:paraId="36A6B841" w14:textId="77777777" w:rsidR="00B67D7C" w:rsidRPr="00DE096C" w:rsidRDefault="00B67D7C" w:rsidP="00D45A46">
      <w:pPr>
        <w:jc w:val="both"/>
        <w:rPr>
          <w:bCs/>
          <w:color w:val="002060"/>
          <w:sz w:val="16"/>
          <w:szCs w:val="16"/>
        </w:rPr>
      </w:pPr>
      <w:r w:rsidRPr="00DE096C">
        <w:rPr>
          <w:bCs/>
          <w:color w:val="002060"/>
          <w:sz w:val="16"/>
          <w:szCs w:val="16"/>
        </w:rPr>
        <w:t>А потом последовали новые письма и прошения в Министерство торговли и промышлен-ности об увеличении основного капитала до миллиона, а уже в 1916 году до четырех миллионов рублей. Такие разрешения после долгих проволочек были получены. В апреле 1915 года Лебе-дев добивается заказа на строительство и поставку морскому ведомству 31 гидроаэроплана типа «Ф.Б.А» на сумму свыше 200 тысяч рублей, при этом втулки, моторы и принадлежности к ним морское ведомство должно обеспечивать само. Строительство этих гидропланов продолжалось до конца 1916 года. Для их сборки и обслуживания, а также для проведения летных и морских испытаний в 1915 году В. Лебедев строит на взморье Крестовского острова в Петрограде наве-сы-полуангары. Этот очень выгодный контракт позволил В. А. Лебедеву не только в срок вы-полнить заказ, но и получить но- вые еще большие подряды на строительство новых самолетов</w:t>
      </w:r>
    </w:p>
    <w:p w14:paraId="34F75FDE" w14:textId="77777777" w:rsidR="00B67D7C" w:rsidRPr="00DE096C" w:rsidRDefault="00B67D7C" w:rsidP="00D45A46">
      <w:pPr>
        <w:jc w:val="both"/>
        <w:rPr>
          <w:bCs/>
          <w:color w:val="002060"/>
          <w:sz w:val="16"/>
          <w:szCs w:val="16"/>
        </w:rPr>
      </w:pPr>
      <w:r w:rsidRPr="00DE096C">
        <w:rPr>
          <w:bCs/>
          <w:color w:val="002060"/>
          <w:sz w:val="16"/>
          <w:szCs w:val="16"/>
        </w:rPr>
        <w:t>В то время одним из лучших самолетов считался по праву аэроплан конструкции братьев – Вуазен. Военное ведомство разместило большой заказ на строительство этих самолетов на крупнейших самолетостроительных заводах С. Щетинина в Петрограде, «Дукс» в Москве, а также на заводах одесского миллионера Анатры и В. Лебедева. На своем петроградском заводе он строил самолеты типа «Вуазен» в модификациях L, LA, LАS. Ему удалось в острой конку-рентной борьбе урвать заказ на строительство ста самолетов, но возможности завода оказались недостаточными. Как и всем отечественным промышленникам В.Лебедеву пришлось испытать огромные трудности. В стране остро ощущалась нехватка квалифицированных рабочих кадров. Еще острей была нехватка инженеров и техников, трудно было с приобретением необходимого оборудования, станков, инструментов. В разгаре была мировая война, и с каждым днем ощу-щался дефицит качественного сырья, материалов, полуфабрикатов и различного авиационного оборудования, приборов и, конечно же, двигателей. Ведь они в то время в России не производи-лись, а сборка иностранных моторов была явно недостаточной. Все это приходилось закупать за границей. Отечественного моторостроения и приборостроения, как такового еще не было. Тем не менее, лебедевский завод в Петрограде развивался довольно быстро, и уже в 1915 году на нем трудилось несколько сот человек, а в 1916 году уже 867 работающих. Завод занимал значи-тельную по тем временам площадь в 25 тысяч квадратных саженей1) и превосходил заводы Ще-тинина и «Дукс». На полученные от государства субсидии В.Лебедеву удалось в течение 1914-1918 построить завод общей площадью каменных зданий-211 кв. саженей и деревянных-3359 кв. саженей. На заводе было установлено 55 двигателей разной мощности и 37 станков. Уже в первый год своего существования на заводе было построено 47 различных самолетов, в 1915 го-ду - 187, а в 1918 году сдано заказчикам 227 самолетов. Это был период наибольшего расцвета Петроградского авиационного завода В. Лебедева.</w:t>
      </w:r>
    </w:p>
    <w:p w14:paraId="1125A1B7" w14:textId="77777777" w:rsidR="00B67D7C" w:rsidRPr="00DE096C" w:rsidRDefault="00B67D7C" w:rsidP="00D45A46">
      <w:pPr>
        <w:jc w:val="both"/>
        <w:rPr>
          <w:bCs/>
          <w:color w:val="002060"/>
          <w:sz w:val="16"/>
          <w:szCs w:val="16"/>
        </w:rPr>
      </w:pPr>
      <w:r w:rsidRPr="00DE096C">
        <w:rPr>
          <w:bCs/>
          <w:color w:val="002060"/>
          <w:sz w:val="16"/>
          <w:szCs w:val="16"/>
        </w:rPr>
        <w:t>Летом 1915 года во время боевых действий на Балтике был захвачен немецкий самолет «Альбатрос» с мотором в 150 л.с. в исправном состоянии. Лебедев сумел убедить передать са-молет ему на завод и вскоре трофейный «Альбатрос» был доставлен на Комендантский аэро-дром. На заводе этот самолет стали копировать несколько видоизменяя его применительно к различным моторам. Уже осенью того же года глава фирмы выбивает заказ в Морском Гене-ральном Штабе на переделку партии французских сухопутных самолетов типа «Морис-Фарман» на морские. Заказ был успешно выполнен, все самолеты были поставлены в срок.</w:t>
      </w:r>
    </w:p>
    <w:p w14:paraId="6BB9A9B1" w14:textId="77777777" w:rsidR="00B67D7C" w:rsidRPr="00DE096C" w:rsidRDefault="00B67D7C" w:rsidP="00D45A46">
      <w:pPr>
        <w:jc w:val="both"/>
        <w:rPr>
          <w:bCs/>
          <w:color w:val="002060"/>
          <w:sz w:val="16"/>
          <w:szCs w:val="16"/>
        </w:rPr>
      </w:pPr>
      <w:r w:rsidRPr="00DE096C">
        <w:rPr>
          <w:bCs/>
          <w:color w:val="002060"/>
          <w:sz w:val="16"/>
          <w:szCs w:val="16"/>
        </w:rPr>
        <w:t>Окрыленный первыми успехами Владимир Лебедев набирает все новые и новые заказы на строительство самолетов. За годы войны завод значительно вырос. Его оборудование серьезно обновилось. В 1916 году завод уже располагал деревообделочным, механическим, слесарным, сборочным, малярным, сварочным, сушильным цехами и столярной мастерской. Число рабо-тающих перевалило за тысячу и продолжало расти. Но ограниченность территории затрудняли дальнейшее расширение завода. Некоторые российские авиапромышленники создают свои фи-лиалы в других городах. А. Анатра строит отделение завода в Симферополе, С. Щетинин в Яро-славле. В. Лебедев используя момент подает прошение в Правительство с просьбой разрешить и ему строительство новых авиационных заводов в других местностях России. И вскоре получает высочайшее разрешение.</w:t>
      </w:r>
    </w:p>
    <w:p w14:paraId="4CAFDEB1" w14:textId="77777777" w:rsidR="00B67D7C" w:rsidRPr="00DE096C" w:rsidRDefault="00B67D7C" w:rsidP="00D45A46">
      <w:pPr>
        <w:jc w:val="both"/>
        <w:rPr>
          <w:bCs/>
          <w:color w:val="002060"/>
          <w:sz w:val="16"/>
          <w:szCs w:val="16"/>
        </w:rPr>
      </w:pPr>
      <w:r w:rsidRPr="00DE096C">
        <w:rPr>
          <w:bCs/>
          <w:color w:val="002060"/>
          <w:sz w:val="16"/>
          <w:szCs w:val="16"/>
        </w:rPr>
        <w:t>Он не мешкая покупает земельные участки в Пензе и Ярославле, где начинает строить авиационные заводы и завод винтов. В ноябре 1916 года постройка Пензенского завода была за-вершена, и там началось производство винтов. В это время Центральный военно-промышленный комитет выделяет для нового завода Лебедева около 50 импортных станков. Вскоре для сборки самолетов на заводе в Пензе был выстроен большой цех общей площадью около 2180 квадратных метров*).</w:t>
      </w:r>
    </w:p>
    <w:p w14:paraId="11FEFBA7" w14:textId="77777777" w:rsidR="00B67D7C" w:rsidRPr="00DE096C" w:rsidRDefault="00B67D7C" w:rsidP="00D45A46">
      <w:pPr>
        <w:jc w:val="both"/>
        <w:rPr>
          <w:bCs/>
          <w:color w:val="002060"/>
          <w:sz w:val="16"/>
          <w:szCs w:val="16"/>
        </w:rPr>
      </w:pPr>
      <w:r w:rsidRPr="00DE096C">
        <w:rPr>
          <w:bCs/>
          <w:color w:val="002060"/>
          <w:sz w:val="16"/>
          <w:szCs w:val="16"/>
        </w:rPr>
        <w:t>Однако здесь Лебедева ожидают трудности; недостаток рабочей силы, отсутствие топлива, серьезные транспортные проблемы и, на- конец, сложные климатические условия. И его взор устремляется на юг. Он уже давно присматривается к Таганрогу...(11642).</w:t>
      </w:r>
    </w:p>
    <w:p w14:paraId="7E08F6DA" w14:textId="77777777" w:rsidR="00B67D7C" w:rsidRPr="00DE096C" w:rsidRDefault="00B67D7C" w:rsidP="00D45A46">
      <w:pPr>
        <w:jc w:val="both"/>
        <w:rPr>
          <w:bCs/>
          <w:color w:val="002060"/>
          <w:sz w:val="16"/>
          <w:szCs w:val="16"/>
        </w:rPr>
      </w:pPr>
    </w:p>
    <w:p w14:paraId="0547483F" w14:textId="77777777" w:rsidR="001B5FAE" w:rsidRPr="00DE096C" w:rsidRDefault="001B5FAE" w:rsidP="00D45A46">
      <w:pPr>
        <w:jc w:val="both"/>
        <w:rPr>
          <w:bCs/>
          <w:color w:val="002060"/>
          <w:sz w:val="16"/>
          <w:szCs w:val="16"/>
          <w:shd w:val="clear" w:color="auto" w:fill="FFFFFF"/>
        </w:rPr>
      </w:pPr>
      <w:r w:rsidRPr="00DE096C">
        <w:rPr>
          <w:bCs/>
          <w:color w:val="002060"/>
          <w:sz w:val="16"/>
          <w:szCs w:val="16"/>
          <w:shd w:val="clear" w:color="auto" w:fill="FFFFFF"/>
        </w:rPr>
        <w:t>24 декабря 1914 (6 января 1915) в «Правительст-венном вестнике» и «Петроградских ведомостях», а на следующий день в «Ведомостях Петро-градского градоначальства» и в самый канун нового 1915 года - в «Московских ведомостях»).</w:t>
      </w:r>
    </w:p>
    <w:p w14:paraId="1AAB5774" w14:textId="77777777" w:rsidR="001B5FAE" w:rsidRPr="00DE096C" w:rsidRDefault="001B5FAE" w:rsidP="00D45A46">
      <w:pPr>
        <w:jc w:val="both"/>
        <w:rPr>
          <w:bCs/>
          <w:color w:val="002060"/>
          <w:sz w:val="16"/>
          <w:szCs w:val="16"/>
          <w:shd w:val="clear" w:color="auto" w:fill="FFFFFF"/>
        </w:rPr>
      </w:pPr>
      <w:r w:rsidRPr="00DE096C">
        <w:rPr>
          <w:bCs/>
          <w:color w:val="002060"/>
          <w:sz w:val="16"/>
          <w:szCs w:val="16"/>
          <w:shd w:val="clear" w:color="auto" w:fill="FFFFFF"/>
        </w:rPr>
        <w:lastRenderedPageBreak/>
        <w:t>В декабре 1914 года на окраине Петрограда в помещении конторы завода Лебедева на Комендантском аэродроме началось общее собрание акционеров. Их было немного. В комнате, кроме самого отставного коллежского секретаря Лебедева, было еще восемь человек. Заседание вел П. Н. Гуртович. Открывая первое собрание акционеров, В. Н. Лебедев с гордостью заявил «Господа акционеры! В день 25 декабря 1913 года удостоился высочайшего утверждения устав акционерного общества «В. А. Лебедев». Сей устав распубликован в сотом номере Собрания Узаконений и Распоряжений Правительства от 17 июня сего 1914 года в статье 834 ...» Далее В. Лебедев доложил о том, что благодаря его усилиям и нанятого им для квалифицированного составления бумаг (что было весьма разумно в условиях царившей бюро-кратии и казуистики) поверенного в делах общества кандидата прав Н. И. Гальперина, удалось удвоить основной капитал общества и довести его до 200 тысяч рублей, разделенных на 2000 акций по 100 рублей каждая.</w:t>
      </w:r>
    </w:p>
    <w:p w14:paraId="3A46CA51" w14:textId="77777777" w:rsidR="001B5FAE" w:rsidRPr="00DE096C" w:rsidRDefault="001B5FAE" w:rsidP="00D45A46">
      <w:pPr>
        <w:jc w:val="both"/>
        <w:rPr>
          <w:bCs/>
          <w:color w:val="002060"/>
          <w:sz w:val="16"/>
          <w:szCs w:val="16"/>
          <w:shd w:val="clear" w:color="auto" w:fill="FFFFFF"/>
        </w:rPr>
      </w:pPr>
      <w:r w:rsidRPr="00DE096C">
        <w:rPr>
          <w:bCs/>
          <w:color w:val="002060"/>
          <w:sz w:val="16"/>
          <w:szCs w:val="16"/>
          <w:shd w:val="clear" w:color="auto" w:fill="FFFFFF"/>
        </w:rPr>
        <w:t>А между тем, сидящие в торжественном молчании акционеры имели пока всего лишь 21000 рублей, что составляло всего 210 акций. Нет необходимости сегодня спустя много десятилетий разбираться в подробностях т.н. «финансовой реорганизации» общества. Ловкий и оборотистый коммерсант сумел, наконец создать свою фирму с довольно внушительным основным капиталом, который спустя короткое время достиг уже 400 тысяч рублей. При этом важно отметить, что избранный единогласно председателем общего собрания и директором правления Владимир Лебедев получил право кредитоваться в Государственном банке, а также в частных кре-дитных учреждениях и у частных лиц до суммы в миллион рублей.</w:t>
      </w:r>
    </w:p>
    <w:p w14:paraId="48CC62B6" w14:textId="77777777" w:rsidR="001B5FAE" w:rsidRPr="00DE096C" w:rsidRDefault="001B5FAE" w:rsidP="00D45A46">
      <w:pPr>
        <w:jc w:val="both"/>
        <w:rPr>
          <w:bCs/>
          <w:color w:val="002060"/>
          <w:sz w:val="16"/>
          <w:szCs w:val="16"/>
        </w:rPr>
      </w:pPr>
      <w:r w:rsidRPr="00DE096C">
        <w:rPr>
          <w:bCs/>
          <w:color w:val="002060"/>
          <w:sz w:val="16"/>
          <w:szCs w:val="16"/>
          <w:shd w:val="clear" w:color="auto" w:fill="FFFFFF"/>
        </w:rPr>
        <w:t>Теперь наступила пора набирать крупные заказы на строительство самолетов и получить под них кредиты, а пожар первой мировой войны разгорался все сильнее. Фронту требовалось все в больших количествах военная техника, в том числе и самолеты. А их доставка на русский фронт из Англии и Франции становилась все сложнее и сложнее в результате развертывания широких боевых действий немецких подводных лодок, особенно в Атлантике и Северном море. Русское военное ведомство было вынуждено воспользоваться услугами отечественных компаний. Последовали новые письма и прошения в Министерство торговли и промышлен-ности об увеличении основного капитала до миллиона, а уже в 1916 году до четырех миллионов рублей. Такие разрешения после долгих проволочек были получены (21146).</w:t>
      </w:r>
    </w:p>
    <w:p w14:paraId="63F3BF6D" w14:textId="77777777" w:rsidR="001B5FAE" w:rsidRPr="00DE096C" w:rsidRDefault="001B5FAE" w:rsidP="00D45A46">
      <w:pPr>
        <w:jc w:val="both"/>
        <w:rPr>
          <w:bCs/>
          <w:color w:val="002060"/>
          <w:sz w:val="16"/>
          <w:szCs w:val="16"/>
        </w:rPr>
      </w:pPr>
    </w:p>
    <w:p w14:paraId="38F30A73" w14:textId="77777777" w:rsidR="00B67D7C" w:rsidRPr="00DE096C" w:rsidRDefault="00B67D7C" w:rsidP="00D45A46">
      <w:pPr>
        <w:jc w:val="both"/>
        <w:rPr>
          <w:bCs/>
          <w:i/>
          <w:color w:val="002060"/>
          <w:sz w:val="16"/>
          <w:szCs w:val="16"/>
        </w:rPr>
      </w:pPr>
      <w:r w:rsidRPr="00DE096C">
        <w:rPr>
          <w:bCs/>
          <w:i/>
          <w:color w:val="002060"/>
          <w:sz w:val="16"/>
          <w:szCs w:val="16"/>
        </w:rPr>
        <w:t>Другие оборонные отрасли:</w:t>
      </w:r>
    </w:p>
    <w:p w14:paraId="5EE49DFD" w14:textId="77777777" w:rsidR="00B67D7C" w:rsidRPr="00DE096C" w:rsidRDefault="00B67D7C" w:rsidP="00D45A46">
      <w:pPr>
        <w:jc w:val="both"/>
        <w:rPr>
          <w:bCs/>
          <w:i/>
          <w:color w:val="002060"/>
          <w:sz w:val="16"/>
          <w:szCs w:val="16"/>
        </w:rPr>
      </w:pPr>
    </w:p>
    <w:p w14:paraId="014375A3" w14:textId="72E9D62A" w:rsidR="00B67D7C" w:rsidRPr="00DE096C" w:rsidRDefault="00B67D7C" w:rsidP="00D45A46">
      <w:pPr>
        <w:jc w:val="both"/>
        <w:rPr>
          <w:bCs/>
          <w:color w:val="002060"/>
          <w:sz w:val="16"/>
          <w:szCs w:val="16"/>
        </w:rPr>
      </w:pPr>
      <w:r w:rsidRPr="00DE096C">
        <w:rPr>
          <w:bCs/>
          <w:color w:val="002060"/>
          <w:sz w:val="16"/>
          <w:szCs w:val="16"/>
        </w:rPr>
        <w:t>24</w:t>
      </w:r>
      <w:r w:rsidR="00213AC2" w:rsidRPr="00DE096C">
        <w:rPr>
          <w:bCs/>
          <w:color w:val="002060"/>
          <w:sz w:val="16"/>
          <w:szCs w:val="16"/>
        </w:rPr>
        <w:t xml:space="preserve"> декабря </w:t>
      </w:r>
      <w:r w:rsidRPr="00DE096C">
        <w:rPr>
          <w:bCs/>
          <w:color w:val="002060"/>
          <w:sz w:val="16"/>
          <w:szCs w:val="16"/>
        </w:rPr>
        <w:t xml:space="preserve">1914 </w:t>
      </w:r>
      <w:r w:rsidR="00213AC2" w:rsidRPr="00DE096C">
        <w:rPr>
          <w:bCs/>
          <w:color w:val="002060"/>
          <w:sz w:val="16"/>
          <w:szCs w:val="16"/>
        </w:rPr>
        <w:t xml:space="preserve">г. (6 января 1915 г.) </w:t>
      </w:r>
      <w:r w:rsidRPr="00DE096C">
        <w:rPr>
          <w:bCs/>
          <w:color w:val="002060"/>
          <w:sz w:val="16"/>
          <w:szCs w:val="16"/>
        </w:rPr>
        <w:t>начальник инженерных снабжений армий СЗФ ознакомился с решением ставки</w:t>
      </w:r>
      <w:r w:rsidR="00213AC2" w:rsidRPr="00DE096C">
        <w:rPr>
          <w:bCs/>
          <w:color w:val="002060"/>
          <w:sz w:val="16"/>
          <w:szCs w:val="16"/>
        </w:rPr>
        <w:t xml:space="preserve"> по «вездуходу» Пороховщикова</w:t>
      </w:r>
      <w:r w:rsidRPr="00DE096C">
        <w:rPr>
          <w:bCs/>
          <w:color w:val="002060"/>
          <w:sz w:val="16"/>
          <w:szCs w:val="16"/>
        </w:rPr>
        <w:t>.</w:t>
      </w:r>
    </w:p>
    <w:p w14:paraId="14049C13" w14:textId="77777777" w:rsidR="00B67D7C" w:rsidRPr="00DE096C" w:rsidRDefault="00B67D7C" w:rsidP="00D45A46">
      <w:pPr>
        <w:jc w:val="both"/>
        <w:rPr>
          <w:bCs/>
          <w:color w:val="002060"/>
          <w:sz w:val="16"/>
          <w:szCs w:val="16"/>
        </w:rPr>
      </w:pPr>
      <w:r w:rsidRPr="00DE096C">
        <w:rPr>
          <w:bCs/>
          <w:color w:val="002060"/>
          <w:sz w:val="16"/>
          <w:szCs w:val="16"/>
        </w:rPr>
        <w:t>09.01.1915 Пороховщиков направил на его имя докладную записку, чертежи и смету расходов в сумме 9660 руб. 72 коп. Материалы были изучены в течение трех дней, целесообразность постройки машины, именуемой «Вездеход», обоснована — оперативность, плохо сочетающаяся с рассуждениями о тотальной косности русской монархии</w:t>
      </w:r>
    </w:p>
    <w:p w14:paraId="0FE43EAD" w14:textId="77777777" w:rsidR="00B67D7C" w:rsidRPr="00DE096C" w:rsidRDefault="00B67D7C" w:rsidP="00D45A46">
      <w:pPr>
        <w:jc w:val="both"/>
        <w:rPr>
          <w:bCs/>
          <w:color w:val="002060"/>
          <w:sz w:val="16"/>
          <w:szCs w:val="16"/>
        </w:rPr>
      </w:pPr>
      <w:r w:rsidRPr="00DE096C">
        <w:rPr>
          <w:bCs/>
          <w:color w:val="002060"/>
          <w:sz w:val="16"/>
          <w:szCs w:val="16"/>
        </w:rPr>
        <w:t>13.01.1915 средства затребованные «на постройку испытательного экземпляра усовершенствованного автомобиля» ассигнованы. Особо отметим — испытательного экземпляра(!)</w:t>
      </w:r>
    </w:p>
    <w:p w14:paraId="4245338C" w14:textId="77777777" w:rsidR="00B67D7C" w:rsidRPr="00DE096C" w:rsidRDefault="00B67D7C" w:rsidP="00D45A46">
      <w:pPr>
        <w:jc w:val="both"/>
        <w:rPr>
          <w:bCs/>
          <w:color w:val="002060"/>
          <w:sz w:val="16"/>
          <w:szCs w:val="16"/>
        </w:rPr>
      </w:pPr>
      <w:r w:rsidRPr="00DE096C">
        <w:rPr>
          <w:bCs/>
          <w:color w:val="002060"/>
          <w:sz w:val="16"/>
          <w:szCs w:val="16"/>
        </w:rPr>
        <w:t>Отсутствие информации о боевом предназначении, бронировании и вооружении «Вездехода» в распоряжении начальника снабжений СЗФ за № 8101 от 13.01.1915 о финансировании фронтом создания амфибийного вездехода способного превосходить обычные автомобили при передвижении по песку, полям, снегу, конечно можно рассматривать, в качестве косвенного подтверждения точки зрения на «Вездеход», как на вездеход не определенного назначения, а не боевую машину. Однако: 1) текст распоряжения не опубликован, а его объем, структура и стилистика могут дать пищу для размышлений; 2) первично решение Ставки, распоряжение начальника снабжений СЗФ не только вторично, но и не должно информировать нижестоящий аппарат об истинных суждениях и намерениях Ставки; 3) нормы подготовки распорядительных документов предполагают достаточное обоснование принятого решения — достаточное, не значит полное и всестороннее; 4) механизм перечисления средств не предполагает знания на всех уровнях истинных целей ассигнований. 5) и т.д.</w:t>
      </w:r>
    </w:p>
    <w:p w14:paraId="73D768FF" w14:textId="77777777" w:rsidR="00B67D7C" w:rsidRPr="00DE096C" w:rsidRDefault="00B67D7C" w:rsidP="00D45A46">
      <w:pPr>
        <w:jc w:val="both"/>
        <w:rPr>
          <w:bCs/>
          <w:color w:val="002060"/>
          <w:sz w:val="16"/>
          <w:szCs w:val="16"/>
        </w:rPr>
      </w:pPr>
      <w:r w:rsidRPr="00DE096C">
        <w:rPr>
          <w:bCs/>
          <w:color w:val="002060"/>
          <w:sz w:val="16"/>
          <w:szCs w:val="16"/>
        </w:rPr>
        <w:t>Тем не менее, канцелярия начальника снабжений СЗФ умудрилась сказать лишнее, способное вызвать интерес неприятельской агентуры — «Вездеход» должен был преодолевать канавы не менее 1 м шириной. В распоряжении, судя по всему, не указывается, насколько канавы не менее 1 м шириной были актуальны для тылового хозяйства СЗФ, но вообще канава шириной не менее 1 м — это траншея (12111).</w:t>
      </w:r>
    </w:p>
    <w:p w14:paraId="29E3ECC8" w14:textId="77777777" w:rsidR="00242864" w:rsidRPr="00DE096C" w:rsidRDefault="00242864" w:rsidP="00D45A46">
      <w:pPr>
        <w:jc w:val="both"/>
        <w:rPr>
          <w:bCs/>
          <w:i/>
          <w:color w:val="002060"/>
          <w:sz w:val="16"/>
          <w:szCs w:val="16"/>
        </w:rPr>
      </w:pPr>
    </w:p>
    <w:p w14:paraId="7E7FA768" w14:textId="1E60C745" w:rsidR="00FA039D" w:rsidRPr="00DE096C" w:rsidRDefault="00FA039D" w:rsidP="00D45A46">
      <w:pPr>
        <w:jc w:val="both"/>
        <w:rPr>
          <w:bCs/>
          <w:i/>
          <w:color w:val="002060"/>
          <w:sz w:val="16"/>
          <w:szCs w:val="16"/>
        </w:rPr>
      </w:pPr>
      <w:r w:rsidRPr="00DE096C">
        <w:rPr>
          <w:bCs/>
          <w:i/>
          <w:color w:val="002060"/>
          <w:sz w:val="16"/>
          <w:szCs w:val="16"/>
        </w:rPr>
        <w:t>Авиация:</w:t>
      </w:r>
    </w:p>
    <w:p w14:paraId="5E291ED8" w14:textId="77777777" w:rsidR="00FA039D" w:rsidRPr="00DE096C" w:rsidRDefault="00FA039D" w:rsidP="00D45A46">
      <w:pPr>
        <w:jc w:val="both"/>
        <w:rPr>
          <w:bCs/>
          <w:i/>
          <w:color w:val="002060"/>
          <w:sz w:val="16"/>
          <w:szCs w:val="16"/>
        </w:rPr>
      </w:pPr>
    </w:p>
    <w:p w14:paraId="6A912DD1" w14:textId="2500A93D" w:rsidR="00FA039D" w:rsidRPr="00DE096C" w:rsidRDefault="00FA039D" w:rsidP="00FA039D">
      <w:pPr>
        <w:rPr>
          <w:color w:val="002060"/>
          <w:sz w:val="16"/>
          <w:szCs w:val="16"/>
          <w:lang w:bidi="en-US"/>
        </w:rPr>
      </w:pPr>
      <w:r w:rsidRPr="00DE096C">
        <w:rPr>
          <w:color w:val="002060"/>
          <w:sz w:val="16"/>
          <w:szCs w:val="16"/>
          <w:lang w:bidi="en-US"/>
        </w:rPr>
        <w:t xml:space="preserve">24 декабря 1914 г. (6 января 1916 г.) немецкие самолеты начали бомбардировки Варшавы. В течение месяца начались испытания </w:t>
      </w:r>
      <w:r w:rsidRPr="00DE096C">
        <w:rPr>
          <w:color w:val="002060"/>
          <w:sz w:val="16"/>
          <w:szCs w:val="16"/>
          <w:lang w:val="en-US" w:bidi="en-US"/>
        </w:rPr>
        <w:t>Sikorsky</w:t>
      </w:r>
      <w:r w:rsidRPr="00DE096C">
        <w:rPr>
          <w:color w:val="002060"/>
          <w:sz w:val="16"/>
          <w:szCs w:val="16"/>
          <w:lang w:bidi="en-US"/>
        </w:rPr>
        <w:t xml:space="preserve"> </w:t>
      </w:r>
      <w:r w:rsidRPr="00DE096C">
        <w:rPr>
          <w:color w:val="002060"/>
          <w:sz w:val="16"/>
          <w:szCs w:val="16"/>
          <w:lang w:val="en-US" w:bidi="en-US"/>
        </w:rPr>
        <w:t>S</w:t>
      </w:r>
      <w:r w:rsidRPr="00DE096C">
        <w:rPr>
          <w:color w:val="002060"/>
          <w:sz w:val="16"/>
          <w:szCs w:val="16"/>
          <w:lang w:bidi="en-US"/>
        </w:rPr>
        <w:t>-16, к марту часть этих машин начала поступать в УЭВК на Яблонной. Они предназначались для защиты больших И</w:t>
      </w:r>
      <w:r w:rsidRPr="00DE096C">
        <w:rPr>
          <w:color w:val="002060"/>
          <w:sz w:val="16"/>
          <w:szCs w:val="16"/>
          <w:lang w:val="en-US" w:bidi="en-US"/>
        </w:rPr>
        <w:t>M</w:t>
      </w:r>
      <w:r w:rsidRPr="00DE096C">
        <w:rPr>
          <w:color w:val="002060"/>
          <w:sz w:val="16"/>
          <w:szCs w:val="16"/>
          <w:lang w:bidi="en-US"/>
        </w:rPr>
        <w:t xml:space="preserve"> (23525).</w:t>
      </w:r>
    </w:p>
    <w:p w14:paraId="5E97AA9A" w14:textId="77777777" w:rsidR="00FA039D" w:rsidRPr="00DE096C" w:rsidRDefault="00FA039D" w:rsidP="00FA039D">
      <w:pPr>
        <w:rPr>
          <w:color w:val="002060"/>
          <w:sz w:val="16"/>
          <w:szCs w:val="16"/>
        </w:rPr>
      </w:pPr>
    </w:p>
    <w:p w14:paraId="27FF8F19" w14:textId="02464DF3" w:rsidR="00B67D7C" w:rsidRPr="00DE096C" w:rsidRDefault="00B67D7C" w:rsidP="00D45A46">
      <w:pPr>
        <w:jc w:val="both"/>
        <w:rPr>
          <w:bCs/>
          <w:i/>
          <w:color w:val="002060"/>
          <w:sz w:val="16"/>
          <w:szCs w:val="16"/>
        </w:rPr>
      </w:pPr>
      <w:r w:rsidRPr="00DE096C">
        <w:rPr>
          <w:bCs/>
          <w:i/>
          <w:color w:val="002060"/>
          <w:sz w:val="16"/>
          <w:szCs w:val="16"/>
        </w:rPr>
        <w:t>Военное воздухоплавание:</w:t>
      </w:r>
    </w:p>
    <w:p w14:paraId="12216EC7" w14:textId="77777777" w:rsidR="00B67D7C" w:rsidRPr="00DE096C" w:rsidRDefault="00B67D7C" w:rsidP="00D45A46">
      <w:pPr>
        <w:jc w:val="both"/>
        <w:rPr>
          <w:bCs/>
          <w:i/>
          <w:color w:val="002060"/>
          <w:sz w:val="16"/>
          <w:szCs w:val="16"/>
        </w:rPr>
      </w:pPr>
    </w:p>
    <w:p w14:paraId="27A380B7" w14:textId="77777777" w:rsidR="00B67D7C" w:rsidRPr="00DE096C" w:rsidRDefault="00B67D7C" w:rsidP="00D45A46">
      <w:pPr>
        <w:jc w:val="both"/>
        <w:rPr>
          <w:bCs/>
          <w:color w:val="002060"/>
          <w:sz w:val="16"/>
          <w:szCs w:val="16"/>
        </w:rPr>
      </w:pPr>
      <w:r w:rsidRPr="00DE096C">
        <w:rPr>
          <w:bCs/>
          <w:color w:val="002060"/>
          <w:sz w:val="16"/>
          <w:szCs w:val="16"/>
        </w:rPr>
        <w:t>24 декабря (6 января) в 10 часов утра дирижабль вылетел в Белосток. Погода стояла неустойчивая — дул порывистый ветер, местами землю покрывал густой туман. Шли над железной дорогой, ведущей в город Гродно, который появился в 12 часов. Облачность увеличивалась, а туман скрыл Варшавскую железную дорогу, поэтому приходилось часто спускаться на очень малую высоту, чтобы восстановить ориентировку. Ветер усилился до такой степени, что вернуться назад в Лиду не представлялось никакой возможности — мощности двигателей не хватало и дирижабль просто сносило. Временами шел снег, и в 15.00 дорога, а вместе с ней и ориентировка, были потеряны окончательно. Корабль плохо слушался рулей, и командир решил приземлиться на опушке леса вблизи маленькой деревушки, чтобы выяснить свое местонахождение, а также тайно надеясь, что Белосток недалеко. При приземлении порыв ветра бросил дирижабль на землю, в результате чего деформировалась передняя часть гондолы и вышел из строя носовой воздушный винт. Оказалось, что дирижабль находится в 20 км от Белостока, но добраться туда уже было невозможно. Поломка воздушного винта резко снизила скорость полета, и ветер буквально сносил корабль. В Белосток был послан гонец, чтобы вызвать ремонтную команду, но она не успела. Ветер все время усиливался, повалил снег, покров которого к утру достиг полуметра. Порывами ветра дирижабль било о землю, сминая панели гондолы, и в 17.30 командир дал команду рвать разрывные. Прибывшая команда разобрала дирижабль, и к 1 января все его части были доставлены на ближайшую железнодорожную станцию Черный Бор для отправки в Лиду (11324).</w:t>
      </w:r>
    </w:p>
    <w:p w14:paraId="468DBDB4" w14:textId="77777777" w:rsidR="00B67D7C" w:rsidRPr="00DE096C" w:rsidRDefault="00B67D7C" w:rsidP="00D45A46">
      <w:pPr>
        <w:jc w:val="both"/>
        <w:rPr>
          <w:bCs/>
          <w:i/>
          <w:color w:val="002060"/>
          <w:sz w:val="16"/>
          <w:szCs w:val="16"/>
        </w:rPr>
      </w:pPr>
    </w:p>
    <w:p w14:paraId="46B37855" w14:textId="77777777" w:rsidR="00242864" w:rsidRPr="00DE096C" w:rsidRDefault="00242864" w:rsidP="00D45A46">
      <w:pPr>
        <w:jc w:val="both"/>
        <w:rPr>
          <w:bCs/>
          <w:i/>
          <w:color w:val="002060"/>
          <w:sz w:val="16"/>
          <w:szCs w:val="16"/>
        </w:rPr>
      </w:pPr>
      <w:r w:rsidRPr="00DE096C">
        <w:rPr>
          <w:bCs/>
          <w:i/>
          <w:color w:val="002060"/>
          <w:sz w:val="16"/>
          <w:szCs w:val="16"/>
        </w:rPr>
        <w:t>Авиация и воздухоплавание Германии:</w:t>
      </w:r>
    </w:p>
    <w:p w14:paraId="6E1C3BD4" w14:textId="77777777" w:rsidR="00242864" w:rsidRPr="00DE096C" w:rsidRDefault="00242864" w:rsidP="00D45A46">
      <w:pPr>
        <w:jc w:val="both"/>
        <w:rPr>
          <w:bCs/>
          <w:i/>
          <w:color w:val="002060"/>
          <w:sz w:val="16"/>
          <w:szCs w:val="16"/>
        </w:rPr>
      </w:pPr>
    </w:p>
    <w:p w14:paraId="4C3023E2" w14:textId="28CD47FD" w:rsidR="00242864" w:rsidRPr="00DE096C" w:rsidRDefault="00242864" w:rsidP="00D45A46">
      <w:pPr>
        <w:jc w:val="both"/>
        <w:rPr>
          <w:bCs/>
          <w:color w:val="002060"/>
          <w:sz w:val="16"/>
          <w:szCs w:val="16"/>
        </w:rPr>
      </w:pPr>
      <w:r w:rsidRPr="00DE096C">
        <w:rPr>
          <w:bCs/>
          <w:color w:val="002060"/>
          <w:sz w:val="16"/>
          <w:szCs w:val="16"/>
        </w:rPr>
        <w:t>24 декабря</w:t>
      </w:r>
      <w:r w:rsidR="00213AC2" w:rsidRPr="00DE096C">
        <w:rPr>
          <w:bCs/>
          <w:color w:val="002060"/>
          <w:sz w:val="16"/>
          <w:szCs w:val="16"/>
        </w:rPr>
        <w:t xml:space="preserve"> 1914 г. </w:t>
      </w:r>
      <w:r w:rsidRPr="00DE096C">
        <w:rPr>
          <w:bCs/>
          <w:color w:val="002060"/>
          <w:sz w:val="16"/>
          <w:szCs w:val="16"/>
        </w:rPr>
        <w:t>(6 января в 1915 году</w:t>
      </w:r>
      <w:r w:rsidR="00213AC2" w:rsidRPr="00DE096C">
        <w:rPr>
          <w:bCs/>
          <w:color w:val="002060"/>
          <w:sz w:val="16"/>
          <w:szCs w:val="16"/>
        </w:rPr>
        <w:t>)</w:t>
      </w:r>
      <w:r w:rsidRPr="00DE096C">
        <w:rPr>
          <w:bCs/>
          <w:color w:val="002060"/>
          <w:sz w:val="16"/>
          <w:szCs w:val="16"/>
        </w:rPr>
        <w:t xml:space="preserve"> впервые гидpоплан «Friedrichshafen FF 29а» был спущен с палубы </w:t>
      </w:r>
      <w:hyperlink r:id="rId55" w:tgtFrame="_blank" w:history="1">
        <w:r w:rsidRPr="00DE096C">
          <w:rPr>
            <w:bCs/>
            <w:color w:val="002060"/>
            <w:sz w:val="16"/>
            <w:szCs w:val="16"/>
          </w:rPr>
          <w:t xml:space="preserve">немецкой субмаpины «U-12» </w:t>
        </w:r>
      </w:hyperlink>
      <w:r w:rsidRPr="00DE096C">
        <w:rPr>
          <w:bCs/>
          <w:color w:val="002060"/>
          <w:sz w:val="16"/>
          <w:szCs w:val="16"/>
        </w:rPr>
        <w:t>и запущен в небо.</w:t>
      </w:r>
    </w:p>
    <w:p w14:paraId="6DDD7648" w14:textId="77777777" w:rsidR="00242864" w:rsidRPr="00DE096C" w:rsidRDefault="00242864" w:rsidP="00D45A46">
      <w:pPr>
        <w:jc w:val="both"/>
        <w:rPr>
          <w:bCs/>
          <w:color w:val="002060"/>
          <w:sz w:val="16"/>
          <w:szCs w:val="16"/>
        </w:rPr>
      </w:pPr>
      <w:r w:rsidRPr="00DE096C">
        <w:rPr>
          <w:bCs/>
          <w:color w:val="002060"/>
          <w:sz w:val="16"/>
          <w:szCs w:val="16"/>
        </w:rPr>
        <w:t>Несмотря на нестабильность конструкции в целом, эксперимент удался. Летающая лодка была спущена в море, поднялась в воздух, и достигла побережья, вернувшись на базу. Эксперимент показал и очевидные ограничения: гидросамолет, размещенный на палубе, создавал проблемы остойчивости подводной лодки, так же, разумеется, лодки с гидросамолетом не могут погружаться и могут их запускать только в тихую погоду. Это и привело к отказу от первоначальной программы (15001).</w:t>
      </w:r>
    </w:p>
    <w:p w14:paraId="640F988C" w14:textId="77777777" w:rsidR="00242864" w:rsidRPr="00DE096C" w:rsidRDefault="00242864" w:rsidP="00D45A46">
      <w:pPr>
        <w:jc w:val="both"/>
        <w:rPr>
          <w:bCs/>
          <w:color w:val="002060"/>
          <w:sz w:val="16"/>
          <w:szCs w:val="16"/>
        </w:rPr>
      </w:pPr>
    </w:p>
    <w:p w14:paraId="326B0313" w14:textId="77777777" w:rsidR="00E85F1D" w:rsidRPr="00DE096C" w:rsidRDefault="00E85F1D" w:rsidP="00D45A46">
      <w:pPr>
        <w:jc w:val="both"/>
        <w:rPr>
          <w:bCs/>
          <w:color w:val="002060"/>
          <w:sz w:val="16"/>
          <w:szCs w:val="16"/>
        </w:rPr>
      </w:pPr>
      <w:r w:rsidRPr="00DE096C">
        <w:rPr>
          <w:bCs/>
          <w:color w:val="002060"/>
          <w:sz w:val="16"/>
          <w:szCs w:val="16"/>
        </w:rPr>
        <w:t>24 декабря 1914 (6 января 1915) или 2 (15) января 1915 немецкая подводная лодка U-12 покидает Зебрюгге с гидросамолетом Friedrichshafen FF.29, привязанным к ее палубе, в попытке использовать подводные лодки для перевозки гидросамолетов в пределах досягаемости Англии. Гидросамолет вынужден взлететь рано, обследует побережье Кента и должен долететь до Зебрюгге, когда плохая погода делает невозможным возвращение к U-12. Это единственная попытка Германии управлять самолетом с подводной лодки (20338).</w:t>
      </w:r>
    </w:p>
    <w:p w14:paraId="4E61ACF8" w14:textId="77777777" w:rsidR="00E85F1D" w:rsidRPr="00DE096C" w:rsidRDefault="00E85F1D" w:rsidP="00D45A46">
      <w:pPr>
        <w:jc w:val="both"/>
        <w:rPr>
          <w:bCs/>
          <w:color w:val="002060"/>
          <w:sz w:val="16"/>
          <w:szCs w:val="16"/>
        </w:rPr>
      </w:pPr>
    </w:p>
    <w:p w14:paraId="1435815C" w14:textId="6653F331" w:rsidR="00E85F1D" w:rsidRPr="00DE096C" w:rsidRDefault="00213AC2" w:rsidP="00D45A46">
      <w:pPr>
        <w:jc w:val="both"/>
        <w:rPr>
          <w:bCs/>
          <w:color w:val="002060"/>
          <w:sz w:val="16"/>
          <w:szCs w:val="16"/>
        </w:rPr>
      </w:pPr>
      <w:r w:rsidRPr="00DE096C">
        <w:rPr>
          <w:bCs/>
          <w:color w:val="002060"/>
          <w:sz w:val="16"/>
          <w:szCs w:val="16"/>
        </w:rPr>
        <w:t>24 декабря 1914 г. (</w:t>
      </w:r>
      <w:r w:rsidR="00E85F1D" w:rsidRPr="00DE096C">
        <w:rPr>
          <w:bCs/>
          <w:color w:val="002060"/>
          <w:sz w:val="16"/>
          <w:szCs w:val="16"/>
        </w:rPr>
        <w:t>6 января 1915 года</w:t>
      </w:r>
      <w:r w:rsidRPr="00DE096C">
        <w:rPr>
          <w:bCs/>
          <w:color w:val="002060"/>
          <w:sz w:val="16"/>
          <w:szCs w:val="16"/>
        </w:rPr>
        <w:t>)</w:t>
      </w:r>
      <w:r w:rsidR="00E85F1D" w:rsidRPr="00DE096C">
        <w:rPr>
          <w:bCs/>
          <w:color w:val="002060"/>
          <w:sz w:val="16"/>
          <w:szCs w:val="16"/>
        </w:rPr>
        <w:t xml:space="preserve"> подлодка U-12 приняла на борт гидроплан FF-29, который пилотировал обер-лейтенант цур зее (обер-лейтенант флота) Фрид</w:t>
      </w:r>
      <w:r w:rsidR="00E85F1D" w:rsidRPr="00DE096C">
        <w:rPr>
          <w:bCs/>
          <w:color w:val="002060"/>
          <w:sz w:val="16"/>
          <w:szCs w:val="16"/>
        </w:rPr>
        <w:softHyphen/>
        <w:t>рих фон Арнольд де ла Перьер, что</w:t>
      </w:r>
      <w:r w:rsidR="00E85F1D" w:rsidRPr="00DE096C">
        <w:rPr>
          <w:bCs/>
          <w:color w:val="002060"/>
          <w:sz w:val="16"/>
          <w:szCs w:val="16"/>
        </w:rPr>
        <w:softHyphen/>
        <w:t>бы доставить его поближе к Англии.</w:t>
      </w:r>
    </w:p>
    <w:p w14:paraId="63B06309" w14:textId="77777777" w:rsidR="00E85F1D" w:rsidRPr="00DE096C" w:rsidRDefault="00E85F1D" w:rsidP="00D45A46">
      <w:pPr>
        <w:jc w:val="both"/>
        <w:rPr>
          <w:bCs/>
          <w:color w:val="002060"/>
          <w:sz w:val="16"/>
          <w:szCs w:val="16"/>
        </w:rPr>
      </w:pPr>
      <w:r w:rsidRPr="00DE096C">
        <w:rPr>
          <w:bCs/>
          <w:color w:val="002060"/>
          <w:sz w:val="16"/>
          <w:szCs w:val="16"/>
        </w:rPr>
        <w:t>От базы на побережье Фландрии до Лондона было всего около 160 км. Но даже такое небольшое по современ</w:t>
      </w:r>
      <w:r w:rsidRPr="00DE096C">
        <w:rPr>
          <w:bCs/>
          <w:color w:val="002060"/>
          <w:sz w:val="16"/>
          <w:szCs w:val="16"/>
        </w:rPr>
        <w:softHyphen/>
        <w:t>ным меркам расстояние, пролететь и вернуться назад их гидросамолеты Friedfichshafen FF-29 не могли. И здесь на помощь пришла подлодка. На ней было решено “подвезти” гидроплан поближе к цели, чтобы горючего в его баках хватило для возвращения домой в Зеебюргге.</w:t>
      </w:r>
    </w:p>
    <w:p w14:paraId="00D44E74" w14:textId="77777777" w:rsidR="00E85F1D" w:rsidRPr="00DE096C" w:rsidRDefault="00E85F1D" w:rsidP="00D45A46">
      <w:pPr>
        <w:jc w:val="both"/>
        <w:rPr>
          <w:bCs/>
          <w:color w:val="002060"/>
          <w:sz w:val="16"/>
          <w:szCs w:val="16"/>
        </w:rPr>
      </w:pPr>
      <w:r w:rsidRPr="00DE096C">
        <w:rPr>
          <w:bCs/>
          <w:color w:val="002060"/>
          <w:sz w:val="16"/>
          <w:szCs w:val="16"/>
        </w:rPr>
        <w:t>Поплавковый самолет был установлен прямо на палубе и закреплен обычны</w:t>
      </w:r>
      <w:r w:rsidRPr="00DE096C">
        <w:rPr>
          <w:bCs/>
          <w:color w:val="002060"/>
          <w:sz w:val="16"/>
          <w:szCs w:val="16"/>
        </w:rPr>
        <w:softHyphen/>
        <w:t>ми тросами, затем лодка, не погружа</w:t>
      </w:r>
      <w:r w:rsidRPr="00DE096C">
        <w:rPr>
          <w:bCs/>
          <w:color w:val="002060"/>
          <w:sz w:val="16"/>
          <w:szCs w:val="16"/>
        </w:rPr>
        <w:softHyphen/>
        <w:t>ясь, отплыла на 30 км от Зеебрюгге, где самолет был спущен на воду. Пи</w:t>
      </w:r>
      <w:r w:rsidRPr="00DE096C">
        <w:rPr>
          <w:bCs/>
          <w:color w:val="002060"/>
          <w:sz w:val="16"/>
          <w:szCs w:val="16"/>
        </w:rPr>
        <w:softHyphen/>
        <w:t>лот благополучно взлетел и, достиг</w:t>
      </w:r>
      <w:r w:rsidRPr="00DE096C">
        <w:rPr>
          <w:bCs/>
          <w:color w:val="002060"/>
          <w:sz w:val="16"/>
          <w:szCs w:val="16"/>
        </w:rPr>
        <w:softHyphen/>
        <w:t>нув устья Темзы, вернулся домой на базу в Зеебюргге. Тем самым была доказана принципиальная возмож</w:t>
      </w:r>
      <w:r w:rsidRPr="00DE096C">
        <w:rPr>
          <w:bCs/>
          <w:color w:val="002060"/>
          <w:sz w:val="16"/>
          <w:szCs w:val="16"/>
        </w:rPr>
        <w:softHyphen/>
        <w:t>ность значительного увеличения бое</w:t>
      </w:r>
      <w:r w:rsidRPr="00DE096C">
        <w:rPr>
          <w:bCs/>
          <w:color w:val="002060"/>
          <w:sz w:val="16"/>
          <w:szCs w:val="16"/>
        </w:rPr>
        <w:softHyphen/>
        <w:t>вого радиуса самолета с помощью его транспортировки подводной лодкой и теоретически доказана возможность бомбардировки Лондона. Правда, практического применения этот опыт так и не получил — бомбардировками Англии занялись более приспособлен</w:t>
      </w:r>
      <w:r w:rsidRPr="00DE096C">
        <w:rPr>
          <w:bCs/>
          <w:color w:val="002060"/>
          <w:sz w:val="16"/>
          <w:szCs w:val="16"/>
        </w:rPr>
        <w:softHyphen/>
        <w:t>ные для этого германские дирижабли и тяжелые бомбардировщики (22804).</w:t>
      </w:r>
    </w:p>
    <w:p w14:paraId="6BD2671E" w14:textId="77777777" w:rsidR="00E85F1D" w:rsidRPr="00DE096C" w:rsidRDefault="00E85F1D" w:rsidP="00D45A46">
      <w:pPr>
        <w:jc w:val="both"/>
        <w:rPr>
          <w:bCs/>
          <w:color w:val="002060"/>
          <w:sz w:val="16"/>
          <w:szCs w:val="16"/>
        </w:rPr>
      </w:pPr>
    </w:p>
    <w:p w14:paraId="46C55E0D" w14:textId="6B73F76E" w:rsidR="001A2F30" w:rsidRPr="00DE096C" w:rsidRDefault="001A2F30" w:rsidP="001A2F30">
      <w:pPr>
        <w:shd w:val="clear" w:color="auto" w:fill="FFFFFF"/>
        <w:jc w:val="both"/>
        <w:rPr>
          <w:bCs/>
          <w:i/>
          <w:color w:val="002060"/>
          <w:sz w:val="16"/>
          <w:szCs w:val="16"/>
        </w:rPr>
      </w:pPr>
      <w:r w:rsidRPr="00DE096C">
        <w:rPr>
          <w:bCs/>
          <w:i/>
          <w:color w:val="002060"/>
          <w:sz w:val="16"/>
          <w:szCs w:val="16"/>
        </w:rPr>
        <w:t>Авиация</w:t>
      </w:r>
      <w:r>
        <w:rPr>
          <w:bCs/>
          <w:i/>
          <w:color w:val="002060"/>
          <w:sz w:val="16"/>
          <w:szCs w:val="16"/>
        </w:rPr>
        <w:t xml:space="preserve"> и воздухоплавание Англии</w:t>
      </w:r>
      <w:r w:rsidRPr="00DE096C">
        <w:rPr>
          <w:bCs/>
          <w:i/>
          <w:color w:val="002060"/>
          <w:sz w:val="16"/>
          <w:szCs w:val="16"/>
        </w:rPr>
        <w:t>:</w:t>
      </w:r>
    </w:p>
    <w:p w14:paraId="1CB5EE98" w14:textId="77777777" w:rsidR="001A2F30" w:rsidRPr="00DE096C" w:rsidRDefault="001A2F30" w:rsidP="001A2F30">
      <w:pPr>
        <w:shd w:val="clear" w:color="auto" w:fill="FFFFFF"/>
        <w:jc w:val="both"/>
        <w:rPr>
          <w:bCs/>
          <w:i/>
          <w:color w:val="002060"/>
          <w:sz w:val="16"/>
          <w:szCs w:val="16"/>
        </w:rPr>
      </w:pPr>
    </w:p>
    <w:p w14:paraId="5A7CCA20" w14:textId="77777777" w:rsidR="001A2F30" w:rsidRPr="00B52707" w:rsidRDefault="001A2F30" w:rsidP="001A2F30">
      <w:pPr>
        <w:jc w:val="both"/>
        <w:rPr>
          <w:color w:val="0070C0"/>
          <w:sz w:val="16"/>
          <w:szCs w:val="16"/>
        </w:rPr>
      </w:pPr>
      <w:r w:rsidRPr="00B52707">
        <w:rPr>
          <w:rStyle w:val="ab"/>
          <w:rFonts w:ascii="Times New Roman" w:hAnsi="Times New Roman"/>
          <w:color w:val="0070C0"/>
          <w:spacing w:val="0"/>
          <w:sz w:val="16"/>
          <w:szCs w:val="16"/>
        </w:rPr>
        <w:t>24 декабря 1914 (6 января 1915 г.) появление над приго</w:t>
      </w:r>
      <w:r w:rsidRPr="00B52707">
        <w:rPr>
          <w:rStyle w:val="ab"/>
          <w:rFonts w:ascii="Times New Roman" w:hAnsi="Times New Roman"/>
          <w:color w:val="0070C0"/>
          <w:spacing w:val="0"/>
          <w:sz w:val="16"/>
          <w:szCs w:val="16"/>
        </w:rPr>
        <w:softHyphen/>
        <w:t>родом Лондона немецкого самолета стало полной неожиданностью для британцев. Сбросив несколько небольших бомб, Ф. де ла Перьер самостоя</w:t>
      </w:r>
      <w:r w:rsidRPr="00B52707">
        <w:rPr>
          <w:rStyle w:val="ab"/>
          <w:rFonts w:ascii="Times New Roman" w:hAnsi="Times New Roman"/>
          <w:color w:val="0070C0"/>
          <w:spacing w:val="0"/>
          <w:sz w:val="16"/>
          <w:szCs w:val="16"/>
        </w:rPr>
        <w:softHyphen/>
        <w:t>тельно вернулся на базу. Гидроплан Перьера «</w:t>
      </w:r>
      <w:r w:rsidRPr="00B52707">
        <w:rPr>
          <w:rStyle w:val="ab"/>
          <w:rFonts w:ascii="Times New Roman" w:hAnsi="Times New Roman"/>
          <w:color w:val="0070C0"/>
          <w:spacing w:val="0"/>
          <w:sz w:val="16"/>
          <w:szCs w:val="16"/>
          <w:lang w:val="en-US"/>
        </w:rPr>
        <w:t>Friedrichshafen</w:t>
      </w:r>
      <w:r w:rsidRPr="00B52707">
        <w:rPr>
          <w:rStyle w:val="ab"/>
          <w:rFonts w:ascii="Times New Roman" w:hAnsi="Times New Roman"/>
          <w:color w:val="0070C0"/>
          <w:spacing w:val="0"/>
          <w:sz w:val="16"/>
          <w:szCs w:val="16"/>
        </w:rPr>
        <w:t xml:space="preserve">» FF.29А закрепили перед рубкой </w:t>
      </w:r>
      <w:r w:rsidRPr="00B52707">
        <w:rPr>
          <w:rStyle w:val="ab"/>
          <w:rFonts w:ascii="Times New Roman" w:hAnsi="Times New Roman"/>
          <w:color w:val="0070C0"/>
          <w:spacing w:val="0"/>
          <w:sz w:val="16"/>
          <w:szCs w:val="16"/>
          <w:lang w:val="en-US"/>
        </w:rPr>
        <w:t>U</w:t>
      </w:r>
      <w:r w:rsidRPr="00B52707">
        <w:rPr>
          <w:rStyle w:val="ab"/>
          <w:rFonts w:ascii="Times New Roman" w:hAnsi="Times New Roman"/>
          <w:color w:val="0070C0"/>
          <w:spacing w:val="0"/>
          <w:sz w:val="16"/>
          <w:szCs w:val="16"/>
        </w:rPr>
        <w:t>-12, и она ушла в по</w:t>
      </w:r>
      <w:r w:rsidRPr="00B52707">
        <w:rPr>
          <w:rStyle w:val="ab"/>
          <w:rFonts w:ascii="Times New Roman" w:hAnsi="Times New Roman"/>
          <w:color w:val="0070C0"/>
          <w:spacing w:val="0"/>
          <w:sz w:val="16"/>
          <w:szCs w:val="16"/>
        </w:rPr>
        <w:softHyphen/>
        <w:t xml:space="preserve">ход. </w:t>
      </w:r>
      <w:r w:rsidRPr="00B52707">
        <w:rPr>
          <w:rStyle w:val="ab"/>
          <w:rFonts w:ascii="Times New Roman" w:hAnsi="Times New Roman"/>
          <w:color w:val="0070C0"/>
          <w:spacing w:val="0"/>
          <w:sz w:val="16"/>
          <w:szCs w:val="16"/>
        </w:rPr>
        <w:lastRenderedPageBreak/>
        <w:t>В 15 морских милях (28 км) от устья Темзы с самолёта сняли крепёжные тросы, лодка погрузилась в крейсерское положение (т. е. палуба ушла под воду, на поверхности осталась рубка), гид</w:t>
      </w:r>
      <w:r w:rsidRPr="00B52707">
        <w:rPr>
          <w:rStyle w:val="ab"/>
          <w:rFonts w:ascii="Times New Roman" w:hAnsi="Times New Roman"/>
          <w:color w:val="0070C0"/>
          <w:spacing w:val="0"/>
          <w:sz w:val="16"/>
          <w:szCs w:val="16"/>
        </w:rPr>
        <w:softHyphen/>
        <w:t>роплан отплыл от неё и взлетел с воды (26079).</w:t>
      </w:r>
    </w:p>
    <w:p w14:paraId="00631F25" w14:textId="77777777" w:rsidR="001A2F30" w:rsidRPr="00B52707" w:rsidRDefault="001A2F30" w:rsidP="001A2F30">
      <w:pPr>
        <w:jc w:val="both"/>
        <w:rPr>
          <w:color w:val="0070C0"/>
          <w:sz w:val="16"/>
          <w:szCs w:val="16"/>
        </w:rPr>
      </w:pPr>
    </w:p>
    <w:p w14:paraId="455C1E62" w14:textId="77777777" w:rsidR="00242864" w:rsidRPr="00DE096C" w:rsidRDefault="00242864" w:rsidP="00D45A46">
      <w:pPr>
        <w:shd w:val="clear" w:color="auto" w:fill="FFFFFF"/>
        <w:jc w:val="both"/>
        <w:rPr>
          <w:bCs/>
          <w:i/>
          <w:color w:val="002060"/>
          <w:sz w:val="16"/>
          <w:szCs w:val="16"/>
        </w:rPr>
      </w:pPr>
      <w:r w:rsidRPr="00DE096C">
        <w:rPr>
          <w:bCs/>
          <w:i/>
          <w:color w:val="002060"/>
          <w:sz w:val="16"/>
          <w:szCs w:val="16"/>
        </w:rPr>
        <w:t>Авиация:</w:t>
      </w:r>
    </w:p>
    <w:p w14:paraId="7A06622D" w14:textId="77777777" w:rsidR="00242864" w:rsidRPr="00DE096C" w:rsidRDefault="00242864" w:rsidP="00D45A46">
      <w:pPr>
        <w:shd w:val="clear" w:color="auto" w:fill="FFFFFF"/>
        <w:jc w:val="both"/>
        <w:rPr>
          <w:bCs/>
          <w:i/>
          <w:color w:val="002060"/>
          <w:sz w:val="16"/>
          <w:szCs w:val="16"/>
        </w:rPr>
      </w:pPr>
    </w:p>
    <w:p w14:paraId="61F14A9D" w14:textId="024BB5DF" w:rsidR="00242864" w:rsidRPr="00DE096C" w:rsidRDefault="00242864" w:rsidP="00D45A46">
      <w:pPr>
        <w:jc w:val="both"/>
        <w:rPr>
          <w:bCs/>
          <w:color w:val="002060"/>
          <w:sz w:val="16"/>
          <w:szCs w:val="16"/>
        </w:rPr>
      </w:pPr>
      <w:r w:rsidRPr="00DE096C">
        <w:rPr>
          <w:bCs/>
          <w:color w:val="002060"/>
          <w:sz w:val="16"/>
          <w:szCs w:val="16"/>
        </w:rPr>
        <w:t xml:space="preserve">25 декабря в 1914 году </w:t>
      </w:r>
      <w:r w:rsidR="00213AC2" w:rsidRPr="00DE096C">
        <w:rPr>
          <w:bCs/>
          <w:color w:val="002060"/>
          <w:sz w:val="16"/>
          <w:szCs w:val="16"/>
        </w:rPr>
        <w:t xml:space="preserve">(7 января 1915 г.) </w:t>
      </w:r>
      <w:r w:rsidRPr="00DE096C">
        <w:rPr>
          <w:bCs/>
          <w:color w:val="002060"/>
          <w:sz w:val="16"/>
          <w:szCs w:val="16"/>
        </w:rPr>
        <w:t>эскадра воздушных кораблей «Илья Муромец» разместилась на аэродроме Яблонна в Польше. Ещё 12 мая 1914 года Главное военно-техническое управление (ГВТУ) заключило с Акционерным обществом РБВЗ контракт за № 2685/1515 на постройку 10 аппаратов типа «Илья Муромец». Построенные аэропланы предполагалось распределить следующим образом: две машины в Авиационный отдел Офицерской воздухоплавательной школы (с 19 июля — Военно-авиационная школа), три — в 10-й корпусной авиационный отряд 4-й авиационной роты (город Лида Виленской губернии), три — в 14-й корпусной авиационный отряд. 14 августа 1914 года были Высочайше утверждены штат № 7 команды аэроплана «Илья Муромец» и табель «специального имущества». Команда состояла из четырёх офицеров (командира, помощника командира, артиллериста и младшего офицера), одного военного чиновника и 40 нижних чинов. Командир «Муромца» пользовался правами и нёс обязанности командира авиационного отряда. Вооружение аэроплана составляли: 37мм пушка «Гочкис» с боезапасом 500 снарядов, два пулемёта «Максим», два ружья-пулемёта «Мадсен» (общий боезапас 30000 патронов) и два пистолета «Маузер» (500 патронов). Отряду придавались два легковых и четыре полуторатонных грузовых автомобиля, а также одна мотоциклетка. Тем временем полным ходом шло дооснащение первых трёх «Муромцев» для отправки на фронт. Первым был готов аэроплан Руднева, который утром 31 августа 1914 года после молебна и водосвятия улетел на Северо-Западный фронт, направляясь в Белосток. Маршрут аппарата пролегал вдоль линии железной дороги с промежуточной посадкой в Двинске. Полёт должен был выполняться на максимально возможной высоте. Из-за сильного встречного ветра в 12 м/с, после 177 вёрст пути, Рудневу пришлось вынужденно сесть у станции Плюсса, при этом аэроплан получил незначительные повреждения. Механик РБВЗ, вызванный из Петрограда, смог отремонтировать «Муромец» и он 11 сентября 1914 года благополучно совершил посадку в Двинске. В Белосток же Руднев прилетел 23 сентября, затратив на путь до места назначения 14 лётных часов и... 24 дня (14871).</w:t>
      </w:r>
    </w:p>
    <w:p w14:paraId="00C84307" w14:textId="77777777" w:rsidR="00242864" w:rsidRPr="00DE096C" w:rsidRDefault="00242864" w:rsidP="00D45A46">
      <w:pPr>
        <w:jc w:val="both"/>
        <w:rPr>
          <w:bCs/>
          <w:color w:val="002060"/>
          <w:sz w:val="16"/>
          <w:szCs w:val="16"/>
        </w:rPr>
      </w:pPr>
    </w:p>
    <w:p w14:paraId="135B436B" w14:textId="3245528A" w:rsidR="00F85E3A" w:rsidRPr="00DE096C" w:rsidRDefault="00F85E3A" w:rsidP="00D45A46">
      <w:pPr>
        <w:jc w:val="both"/>
        <w:rPr>
          <w:bCs/>
          <w:i/>
          <w:color w:val="002060"/>
          <w:sz w:val="16"/>
          <w:szCs w:val="16"/>
        </w:rPr>
      </w:pPr>
      <w:r w:rsidRPr="00DE096C">
        <w:rPr>
          <w:bCs/>
          <w:i/>
          <w:color w:val="002060"/>
          <w:sz w:val="16"/>
          <w:szCs w:val="16"/>
        </w:rPr>
        <w:t>Авиация и воздухоплавание за рубежом:</w:t>
      </w:r>
    </w:p>
    <w:p w14:paraId="2F36240F" w14:textId="77777777" w:rsidR="00F85E3A" w:rsidRPr="00DE096C" w:rsidRDefault="00F85E3A" w:rsidP="00D45A46">
      <w:pPr>
        <w:jc w:val="both"/>
        <w:rPr>
          <w:bCs/>
          <w:i/>
          <w:color w:val="002060"/>
          <w:sz w:val="16"/>
          <w:szCs w:val="16"/>
        </w:rPr>
      </w:pPr>
    </w:p>
    <w:p w14:paraId="403FBA5E" w14:textId="35821C6F" w:rsidR="00F85E3A" w:rsidRPr="00DE096C" w:rsidRDefault="00F85E3A" w:rsidP="00D45A46">
      <w:pPr>
        <w:jc w:val="both"/>
        <w:rPr>
          <w:bCs/>
          <w:color w:val="002060"/>
          <w:sz w:val="16"/>
          <w:szCs w:val="16"/>
        </w:rPr>
      </w:pPr>
      <w:r w:rsidRPr="00DE096C">
        <w:rPr>
          <w:bCs/>
          <w:color w:val="002060"/>
          <w:sz w:val="16"/>
          <w:szCs w:val="16"/>
        </w:rPr>
        <w:t>25 декабря 1914</w:t>
      </w:r>
      <w:r w:rsidR="00213AC2" w:rsidRPr="00DE096C">
        <w:rPr>
          <w:bCs/>
          <w:color w:val="002060"/>
          <w:sz w:val="16"/>
          <w:szCs w:val="16"/>
        </w:rPr>
        <w:t xml:space="preserve"> г.</w:t>
      </w:r>
      <w:r w:rsidRPr="00DE096C">
        <w:rPr>
          <w:bCs/>
          <w:color w:val="002060"/>
          <w:sz w:val="16"/>
          <w:szCs w:val="16"/>
        </w:rPr>
        <w:t xml:space="preserve"> (7 января 1915</w:t>
      </w:r>
      <w:r w:rsidR="00213AC2" w:rsidRPr="00DE096C">
        <w:rPr>
          <w:bCs/>
          <w:color w:val="002060"/>
          <w:sz w:val="16"/>
          <w:szCs w:val="16"/>
        </w:rPr>
        <w:t xml:space="preserve"> г.</w:t>
      </w:r>
      <w:r w:rsidRPr="00DE096C">
        <w:rPr>
          <w:bCs/>
          <w:color w:val="002060"/>
          <w:sz w:val="16"/>
          <w:szCs w:val="16"/>
        </w:rPr>
        <w:t>) Италия создает компанию «Corpo Aeronautica Militare» («Военный авиационный корпус») в составе итальянской королевской армии (20338).</w:t>
      </w:r>
    </w:p>
    <w:p w14:paraId="67DD8EA6" w14:textId="77777777" w:rsidR="00F85E3A" w:rsidRPr="00DE096C" w:rsidRDefault="00F85E3A" w:rsidP="00D45A46">
      <w:pPr>
        <w:jc w:val="both"/>
        <w:rPr>
          <w:bCs/>
          <w:color w:val="002060"/>
          <w:sz w:val="16"/>
          <w:szCs w:val="16"/>
        </w:rPr>
      </w:pPr>
    </w:p>
    <w:p w14:paraId="39B662BA" w14:textId="76BB33DD" w:rsidR="00F85E3A" w:rsidRPr="00DE096C" w:rsidRDefault="00F85E3A" w:rsidP="00D45A46">
      <w:pPr>
        <w:jc w:val="both"/>
        <w:rPr>
          <w:bCs/>
          <w:color w:val="002060"/>
          <w:sz w:val="16"/>
          <w:szCs w:val="16"/>
        </w:rPr>
      </w:pPr>
      <w:r w:rsidRPr="00DE096C">
        <w:rPr>
          <w:bCs/>
          <w:color w:val="002060"/>
          <w:sz w:val="16"/>
          <w:szCs w:val="16"/>
        </w:rPr>
        <w:t xml:space="preserve">25 декабря 1914 </w:t>
      </w:r>
      <w:r w:rsidR="00213AC2" w:rsidRPr="00DE096C">
        <w:rPr>
          <w:bCs/>
          <w:color w:val="002060"/>
          <w:sz w:val="16"/>
          <w:szCs w:val="16"/>
        </w:rPr>
        <w:t xml:space="preserve">г. </w:t>
      </w:r>
      <w:r w:rsidRPr="00DE096C">
        <w:rPr>
          <w:bCs/>
          <w:color w:val="002060"/>
          <w:sz w:val="16"/>
          <w:szCs w:val="16"/>
        </w:rPr>
        <w:t>(7 января 1915 г.) по требованию Генерала Джулио Дуэ авиация выведена из подчинения сухопутным частям и Отдельный авиационный корпус Королевских вооруженных сил Италии преобразовали в Корпус военной авиации (КВА). Он остался подчинен штабу Армии, но уже на правах нового рода вооруженных сил (22825).</w:t>
      </w:r>
    </w:p>
    <w:p w14:paraId="24F64D0B" w14:textId="77777777" w:rsidR="00F85E3A" w:rsidRPr="00DE096C" w:rsidRDefault="00F85E3A" w:rsidP="00D45A46">
      <w:pPr>
        <w:jc w:val="both"/>
        <w:rPr>
          <w:bCs/>
          <w:color w:val="002060"/>
          <w:sz w:val="16"/>
          <w:szCs w:val="16"/>
        </w:rPr>
      </w:pPr>
    </w:p>
    <w:p w14:paraId="1016A1DA" w14:textId="4D58F56D" w:rsidR="009718A3" w:rsidRDefault="009718A3" w:rsidP="009718A3">
      <w:pPr>
        <w:jc w:val="both"/>
        <w:rPr>
          <w:bCs/>
          <w:i/>
          <w:color w:val="002060"/>
          <w:sz w:val="16"/>
          <w:szCs w:val="16"/>
        </w:rPr>
      </w:pPr>
      <w:r>
        <w:rPr>
          <w:bCs/>
          <w:i/>
          <w:color w:val="002060"/>
          <w:sz w:val="16"/>
          <w:szCs w:val="16"/>
        </w:rPr>
        <w:t>А</w:t>
      </w:r>
      <w:r w:rsidRPr="00DE096C">
        <w:rPr>
          <w:bCs/>
          <w:i/>
          <w:color w:val="002060"/>
          <w:sz w:val="16"/>
          <w:szCs w:val="16"/>
        </w:rPr>
        <w:t>виация:</w:t>
      </w:r>
    </w:p>
    <w:p w14:paraId="2FBADEAE" w14:textId="77777777" w:rsidR="009718A3" w:rsidRDefault="009718A3" w:rsidP="009718A3">
      <w:pPr>
        <w:jc w:val="both"/>
        <w:rPr>
          <w:bCs/>
          <w:i/>
          <w:color w:val="002060"/>
          <w:sz w:val="16"/>
          <w:szCs w:val="16"/>
        </w:rPr>
      </w:pPr>
    </w:p>
    <w:p w14:paraId="57CD81EA" w14:textId="4F4BF31F" w:rsidR="009718A3" w:rsidRPr="00B52707" w:rsidRDefault="009718A3" w:rsidP="009718A3">
      <w:pPr>
        <w:jc w:val="both"/>
        <w:rPr>
          <w:color w:val="0070C0"/>
          <w:sz w:val="16"/>
          <w:szCs w:val="16"/>
        </w:rPr>
      </w:pPr>
      <w:r w:rsidRPr="00B52707">
        <w:rPr>
          <w:color w:val="0070C0"/>
          <w:sz w:val="16"/>
          <w:szCs w:val="16"/>
        </w:rPr>
        <w:t>27 декабря 1914 (9 января 1915 г.) с германского аэроплана было сброшено две бомбы над г. Жирардов (царство Польское; ныне – г. Жирардув). В результате их разрывов 5 человек убито и несколько ранено (25135).</w:t>
      </w:r>
    </w:p>
    <w:p w14:paraId="01FDCC32" w14:textId="77777777" w:rsidR="009718A3" w:rsidRPr="00B52707" w:rsidRDefault="009718A3" w:rsidP="009718A3">
      <w:pPr>
        <w:jc w:val="both"/>
        <w:rPr>
          <w:color w:val="0070C0"/>
          <w:sz w:val="16"/>
          <w:szCs w:val="16"/>
        </w:rPr>
      </w:pPr>
    </w:p>
    <w:p w14:paraId="1DC01CCA" w14:textId="77777777" w:rsidR="00B67D7C" w:rsidRPr="00DE096C" w:rsidRDefault="00B67D7C" w:rsidP="00D45A46">
      <w:pPr>
        <w:jc w:val="both"/>
        <w:rPr>
          <w:bCs/>
          <w:i/>
          <w:color w:val="002060"/>
          <w:sz w:val="16"/>
          <w:szCs w:val="16"/>
        </w:rPr>
      </w:pPr>
      <w:r w:rsidRPr="00DE096C">
        <w:rPr>
          <w:bCs/>
          <w:i/>
          <w:color w:val="002060"/>
          <w:sz w:val="16"/>
          <w:szCs w:val="16"/>
        </w:rPr>
        <w:t>Морская авиация:</w:t>
      </w:r>
    </w:p>
    <w:p w14:paraId="6E1D4287" w14:textId="77777777" w:rsidR="00B67D7C" w:rsidRPr="00DE096C" w:rsidRDefault="00B67D7C" w:rsidP="00D45A46">
      <w:pPr>
        <w:jc w:val="both"/>
        <w:rPr>
          <w:bCs/>
          <w:i/>
          <w:color w:val="002060"/>
          <w:sz w:val="16"/>
          <w:szCs w:val="16"/>
        </w:rPr>
      </w:pPr>
    </w:p>
    <w:p w14:paraId="5E31BFAA" w14:textId="77777777" w:rsidR="00E507DE" w:rsidRPr="00DE096C" w:rsidRDefault="00B67D7C" w:rsidP="00D45A46">
      <w:pPr>
        <w:jc w:val="both"/>
        <w:rPr>
          <w:bCs/>
          <w:color w:val="002060"/>
          <w:sz w:val="16"/>
          <w:szCs w:val="16"/>
        </w:rPr>
      </w:pPr>
      <w:r w:rsidRPr="00DE096C">
        <w:rPr>
          <w:bCs/>
          <w:color w:val="002060"/>
          <w:sz w:val="16"/>
          <w:szCs w:val="16"/>
        </w:rPr>
        <w:t xml:space="preserve">27 декабря 1914 года </w:t>
      </w:r>
      <w:r w:rsidR="00E507DE" w:rsidRPr="00DE096C">
        <w:rPr>
          <w:bCs/>
          <w:color w:val="002060"/>
          <w:sz w:val="16"/>
          <w:szCs w:val="16"/>
        </w:rPr>
        <w:t xml:space="preserve">(9 января 1915 г.) </w:t>
      </w:r>
      <w:r w:rsidRPr="00DE096C">
        <w:rPr>
          <w:bCs/>
          <w:color w:val="002060"/>
          <w:sz w:val="16"/>
          <w:szCs w:val="16"/>
        </w:rPr>
        <w:t>мобилизационная часть Петроградского военного порта получила предписание о привлечении парохода «Императрица Александра» во временное распоряжение морского ведомства на основании Закона о военно-судовой повинности. В последний день 1914 года об этом известили владельца судна — рижского купца первой гильдии Джона Карловича Гельмсинга</w:t>
      </w:r>
      <w:r w:rsidR="00E507DE" w:rsidRPr="00DE096C">
        <w:rPr>
          <w:bCs/>
          <w:color w:val="002060"/>
          <w:sz w:val="16"/>
          <w:szCs w:val="16"/>
        </w:rPr>
        <w:t>.</w:t>
      </w:r>
    </w:p>
    <w:p w14:paraId="3592CE20" w14:textId="77777777" w:rsidR="00E507DE" w:rsidRPr="00DE096C" w:rsidRDefault="00E507DE" w:rsidP="00D45A46">
      <w:pPr>
        <w:jc w:val="both"/>
        <w:rPr>
          <w:bCs/>
          <w:color w:val="002060"/>
          <w:sz w:val="16"/>
          <w:szCs w:val="16"/>
        </w:rPr>
      </w:pPr>
      <w:r w:rsidRPr="00DE096C">
        <w:rPr>
          <w:bCs/>
          <w:color w:val="002060"/>
          <w:sz w:val="16"/>
          <w:szCs w:val="16"/>
        </w:rPr>
        <w:t xml:space="preserve">После осмотра, по приказанию Н.О.Эссена, специалистами авиационного комитета Службы связи судов, находившихся в портах Балтийского моря, наиболее удобным для переоборудования, с наименьшими затратами времени и средств, оказался пароход «Императрица Александра» рижской судоходной компании «Гельмсинг и Гримм». До войны это грузопассажирское судно с рефрижераторными помещениями для перевозки скоропортящихся грузов обслуживало «Санкт-Петербургскую экспрессную линию» («St.Petersburg Express Line») и совершало регулярные рейсы на Лондон. </w:t>
      </w:r>
    </w:p>
    <w:p w14:paraId="5BFA74A5" w14:textId="77777777" w:rsidR="00E507DE" w:rsidRPr="00DE096C" w:rsidRDefault="00E507DE" w:rsidP="00D45A46">
      <w:pPr>
        <w:jc w:val="both"/>
        <w:rPr>
          <w:bCs/>
          <w:color w:val="002060"/>
          <w:sz w:val="16"/>
          <w:szCs w:val="16"/>
        </w:rPr>
      </w:pPr>
      <w:r w:rsidRPr="00DE096C">
        <w:rPr>
          <w:bCs/>
          <w:color w:val="002060"/>
          <w:sz w:val="16"/>
          <w:szCs w:val="16"/>
        </w:rPr>
        <w:t xml:space="preserve">Пароход был построен фирмой «Caledon shipbuilding and engineering» в Данди (Великобритания) и 9 июля 1903 года продан за 74060 ф. ст. Торговому дому братьев Лассман в Москве, которые присвоили ему наименование «Вологда». </w:t>
      </w:r>
    </w:p>
    <w:p w14:paraId="467DD8C3" w14:textId="1E534107" w:rsidR="00B67D7C" w:rsidRPr="00DE096C" w:rsidRDefault="00E507DE" w:rsidP="00D45A46">
      <w:pPr>
        <w:jc w:val="both"/>
        <w:rPr>
          <w:bCs/>
          <w:color w:val="002060"/>
          <w:sz w:val="16"/>
          <w:szCs w:val="16"/>
        </w:rPr>
      </w:pPr>
      <w:r w:rsidRPr="00DE096C">
        <w:rPr>
          <w:bCs/>
          <w:color w:val="002060"/>
          <w:sz w:val="16"/>
          <w:szCs w:val="16"/>
        </w:rPr>
        <w:t>Двухпалубное судно имело длину между перпендикулярами 88,4 м, наибольшую ширину без обшивки 12,2 м, глубину трюма 7,8 м. Его валовая вместимость, по данным завода-строителя, составляла 2508,2 брт. Два паровых котла адмиралтейской системы и трехцилиндровая паровая машина тройного расширения (диаметр цилиндров 546,1, 914,4 и 1574,8 мм, ход поршня 1143 мм) были изготовлены на заводе в Лилибанке и развивали мощность около 2200 и.л.с. Запас угля составлял 560 т. «Вологда» была приписана к Виндавскому порту под номером 193 с выдачей судохозяевам патента на подъем русского коммерческого флага и «большое» (дальнее) плавание. Измерение вместимости судна по «полному способу Мурсома» дало несколько иные, чем в Данди, результаты: полная вместимость — 2355,3 и чистая вместимость — 1425,6 рег. т. Впоследствии судно приобрела компания «Гельмсинг и Гримм», которая переименовала его в «Императрицу Александру»</w:t>
      </w:r>
      <w:r w:rsidR="0006581C">
        <w:rPr>
          <w:bCs/>
          <w:color w:val="002060"/>
          <w:sz w:val="16"/>
          <w:szCs w:val="16"/>
        </w:rPr>
        <w:t xml:space="preserve"> </w:t>
      </w:r>
      <w:r w:rsidR="00B67D7C" w:rsidRPr="00DE096C">
        <w:rPr>
          <w:bCs/>
          <w:color w:val="002060"/>
          <w:sz w:val="16"/>
          <w:szCs w:val="16"/>
        </w:rPr>
        <w:t>(11333).</w:t>
      </w:r>
    </w:p>
    <w:p w14:paraId="64F178EB" w14:textId="77777777" w:rsidR="00B67D7C" w:rsidRPr="00DE096C" w:rsidRDefault="00B67D7C" w:rsidP="00D45A46">
      <w:pPr>
        <w:jc w:val="both"/>
        <w:rPr>
          <w:bCs/>
          <w:i/>
          <w:color w:val="002060"/>
          <w:sz w:val="16"/>
          <w:szCs w:val="16"/>
        </w:rPr>
      </w:pPr>
    </w:p>
    <w:p w14:paraId="1EB8C589" w14:textId="77777777" w:rsidR="00242864" w:rsidRPr="00DE096C" w:rsidRDefault="00242864" w:rsidP="00D45A46">
      <w:pPr>
        <w:jc w:val="both"/>
        <w:rPr>
          <w:bCs/>
          <w:i/>
          <w:color w:val="002060"/>
          <w:sz w:val="16"/>
          <w:szCs w:val="16"/>
        </w:rPr>
      </w:pPr>
      <w:r w:rsidRPr="00DE096C">
        <w:rPr>
          <w:bCs/>
          <w:i/>
          <w:color w:val="002060"/>
          <w:sz w:val="16"/>
          <w:szCs w:val="16"/>
        </w:rPr>
        <w:t>Армия:</w:t>
      </w:r>
    </w:p>
    <w:p w14:paraId="317EDD68" w14:textId="77777777" w:rsidR="00242864" w:rsidRPr="00DE096C" w:rsidRDefault="00242864" w:rsidP="00D45A46">
      <w:pPr>
        <w:jc w:val="both"/>
        <w:rPr>
          <w:bCs/>
          <w:i/>
          <w:color w:val="002060"/>
          <w:sz w:val="16"/>
          <w:szCs w:val="16"/>
        </w:rPr>
      </w:pPr>
    </w:p>
    <w:p w14:paraId="6B00A0F1" w14:textId="64182BF1" w:rsidR="00242864" w:rsidRPr="00DE096C" w:rsidRDefault="00242864" w:rsidP="00D45A46">
      <w:pPr>
        <w:pStyle w:val="21"/>
        <w:shd w:val="clear" w:color="auto" w:fill="auto"/>
        <w:spacing w:after="0" w:line="240" w:lineRule="auto"/>
        <w:ind w:firstLine="0"/>
        <w:jc w:val="both"/>
        <w:rPr>
          <w:rFonts w:ascii="Times New Roman" w:hAnsi="Times New Roman" w:cs="Times New Roman"/>
          <w:bCs/>
          <w:color w:val="002060"/>
          <w:spacing w:val="0"/>
          <w:sz w:val="16"/>
          <w:szCs w:val="16"/>
        </w:rPr>
      </w:pPr>
      <w:r w:rsidRPr="00DE096C">
        <w:rPr>
          <w:rFonts w:ascii="Times New Roman" w:hAnsi="Times New Roman" w:cs="Times New Roman"/>
          <w:bCs/>
          <w:color w:val="002060"/>
          <w:spacing w:val="0"/>
          <w:sz w:val="16"/>
          <w:szCs w:val="16"/>
        </w:rPr>
        <w:t>27 декабря</w:t>
      </w:r>
      <w:r w:rsidR="00E507DE" w:rsidRPr="00DE096C">
        <w:rPr>
          <w:rFonts w:ascii="Times New Roman" w:hAnsi="Times New Roman" w:cs="Times New Roman"/>
          <w:bCs/>
          <w:color w:val="002060"/>
          <w:spacing w:val="0"/>
          <w:sz w:val="16"/>
          <w:szCs w:val="16"/>
        </w:rPr>
        <w:t xml:space="preserve"> 1914 г. </w:t>
      </w:r>
      <w:r w:rsidRPr="00DE096C">
        <w:rPr>
          <w:rFonts w:ascii="Times New Roman" w:hAnsi="Times New Roman" w:cs="Times New Roman"/>
          <w:bCs/>
          <w:color w:val="002060"/>
          <w:spacing w:val="0"/>
          <w:sz w:val="16"/>
          <w:szCs w:val="16"/>
        </w:rPr>
        <w:t>(9 января 1915-го</w:t>
      </w:r>
      <w:r w:rsidR="00E507DE" w:rsidRPr="00DE096C">
        <w:rPr>
          <w:rFonts w:ascii="Times New Roman" w:hAnsi="Times New Roman" w:cs="Times New Roman"/>
          <w:bCs/>
          <w:color w:val="002060"/>
          <w:spacing w:val="0"/>
          <w:sz w:val="16"/>
          <w:szCs w:val="16"/>
        </w:rPr>
        <w:t xml:space="preserve"> г.</w:t>
      </w:r>
      <w:r w:rsidRPr="00DE096C">
        <w:rPr>
          <w:rFonts w:ascii="Times New Roman" w:hAnsi="Times New Roman" w:cs="Times New Roman"/>
          <w:bCs/>
          <w:color w:val="002060"/>
          <w:spacing w:val="0"/>
          <w:sz w:val="16"/>
          <w:szCs w:val="16"/>
        </w:rPr>
        <w:t>) в финальную фазу Лодзинской операции, Генерал А.Н. Куропаткина оставил в своем дневнике следующую запись: «Приехал А.И. Гучков (известный политический и государственный деятель, после начала войны отправился на фронт в качестве особоуполномоченного Общества Красного креста) с передовых позиций. Много рассказывал. С продовольствием не справляются в армии. Люди голодают. Сапог у многих нет. Ноги завернуты полотнищами. Убыль в пехоте, в офицерах огромная. Есть полки, где несколько офицеров. Особенно тревожно состояние артиллерийских запасов. Читал мне приказ командира корпуса не расходовать более 3-5 снарядов в день на орудие. Пехоте, осыпаемой снарядами противника, наша артиллерия не помогает. Одна стрелковая бригада не получала укомплектования 3 месяца. Во время боев, когда германцы прорвались из мешка [в ходе Лодзинской операции], на правый фланг прислали укомплектование 14 000 человек без ружей. Эта колонна подошла чуть не в боевую линию и очень стеснила войска» (15230).</w:t>
      </w:r>
    </w:p>
    <w:p w14:paraId="122B264E" w14:textId="77777777" w:rsidR="00242864" w:rsidRPr="00DE096C" w:rsidRDefault="00242864" w:rsidP="00D45A46">
      <w:pPr>
        <w:pStyle w:val="21"/>
        <w:shd w:val="clear" w:color="auto" w:fill="auto"/>
        <w:spacing w:after="0" w:line="240" w:lineRule="auto"/>
        <w:ind w:firstLine="0"/>
        <w:jc w:val="both"/>
        <w:rPr>
          <w:rFonts w:ascii="Times New Roman" w:hAnsi="Times New Roman" w:cs="Times New Roman"/>
          <w:bCs/>
          <w:color w:val="002060"/>
          <w:spacing w:val="0"/>
          <w:sz w:val="16"/>
          <w:szCs w:val="16"/>
        </w:rPr>
      </w:pPr>
    </w:p>
    <w:p w14:paraId="3B42F053" w14:textId="3DDF4595" w:rsidR="0031773D" w:rsidRPr="00DE096C" w:rsidRDefault="0031773D" w:rsidP="00D45A46">
      <w:pPr>
        <w:jc w:val="both"/>
        <w:rPr>
          <w:bCs/>
          <w:i/>
          <w:color w:val="002060"/>
          <w:sz w:val="16"/>
          <w:szCs w:val="16"/>
        </w:rPr>
      </w:pPr>
      <w:r w:rsidRPr="00DE096C">
        <w:rPr>
          <w:bCs/>
          <w:i/>
          <w:color w:val="002060"/>
          <w:sz w:val="16"/>
          <w:szCs w:val="16"/>
        </w:rPr>
        <w:t>Авиация и воздухоплавание Франции:</w:t>
      </w:r>
    </w:p>
    <w:p w14:paraId="120A7BCB" w14:textId="77777777" w:rsidR="0031773D" w:rsidRPr="00DE096C" w:rsidRDefault="0031773D" w:rsidP="00D45A46">
      <w:pPr>
        <w:jc w:val="both"/>
        <w:rPr>
          <w:bCs/>
          <w:i/>
          <w:color w:val="002060"/>
          <w:sz w:val="16"/>
          <w:szCs w:val="16"/>
        </w:rPr>
      </w:pPr>
    </w:p>
    <w:p w14:paraId="2DAA4F67" w14:textId="77777777" w:rsidR="0031773D" w:rsidRPr="00DE096C" w:rsidRDefault="0031773D" w:rsidP="00D45A46">
      <w:pPr>
        <w:jc w:val="both"/>
        <w:rPr>
          <w:bCs/>
          <w:color w:val="002060"/>
          <w:sz w:val="16"/>
          <w:szCs w:val="16"/>
        </w:rPr>
      </w:pPr>
      <w:r w:rsidRPr="00DE096C">
        <w:rPr>
          <w:bCs/>
          <w:color w:val="002060"/>
          <w:sz w:val="16"/>
          <w:szCs w:val="16"/>
        </w:rPr>
        <w:t>28 декабря (10 января) 1915 г. фран</w:t>
      </w:r>
      <w:r w:rsidRPr="00DE096C">
        <w:rPr>
          <w:bCs/>
          <w:color w:val="002060"/>
          <w:sz w:val="16"/>
          <w:szCs w:val="16"/>
        </w:rPr>
        <w:softHyphen/>
        <w:t>цузский лётчик капитан Ап на аэроплане «Морис Фарман» уничтожил бомбами германский аэро</w:t>
      </w:r>
      <w:r w:rsidRPr="00DE096C">
        <w:rPr>
          <w:bCs/>
          <w:color w:val="002060"/>
          <w:sz w:val="16"/>
          <w:szCs w:val="16"/>
        </w:rPr>
        <w:softHyphen/>
        <w:t>стат у Нидер-Маршвиллер. 22 мая 1916 г. в ходе боёв за Верден при подготовке контратаки на форт Дуомон французские лётчики уничтожи</w:t>
      </w:r>
      <w:r w:rsidRPr="00DE096C">
        <w:rPr>
          <w:bCs/>
          <w:color w:val="002060"/>
          <w:sz w:val="16"/>
          <w:szCs w:val="16"/>
        </w:rPr>
        <w:softHyphen/>
        <w:t>ли зажигательными ракетами Ла-Приера пять германских аэростатов. В дальнейшем к ракетам добавились зажигательные пули и устройства для выливания зажигательной жидкости. Среди пилотов появились асы, специализировавшие</w:t>
      </w:r>
      <w:r w:rsidRPr="00DE096C">
        <w:rPr>
          <w:bCs/>
          <w:color w:val="002060"/>
          <w:sz w:val="16"/>
          <w:szCs w:val="16"/>
        </w:rPr>
        <w:softHyphen/>
        <w:t>ся на уничтожении привязных аэростатов: Бошам-Проктор (Англия), Генрих Гонтерман (Гер</w:t>
      </w:r>
      <w:r w:rsidRPr="00DE096C">
        <w:rPr>
          <w:bCs/>
          <w:color w:val="002060"/>
          <w:sz w:val="16"/>
          <w:szCs w:val="16"/>
        </w:rPr>
        <w:softHyphen/>
        <w:t>мания), Френк Люке (США) (20120).</w:t>
      </w:r>
    </w:p>
    <w:p w14:paraId="79B4EA3C" w14:textId="77777777" w:rsidR="0031773D" w:rsidRPr="00DE096C" w:rsidRDefault="0031773D" w:rsidP="00D45A46">
      <w:pPr>
        <w:jc w:val="both"/>
        <w:rPr>
          <w:bCs/>
          <w:color w:val="002060"/>
          <w:sz w:val="16"/>
          <w:szCs w:val="16"/>
        </w:rPr>
      </w:pPr>
      <w:r w:rsidRPr="00DE096C">
        <w:rPr>
          <w:bCs/>
          <w:color w:val="002060"/>
          <w:sz w:val="16"/>
          <w:szCs w:val="16"/>
        </w:rPr>
        <w:t>Вскоре и русские аэростаты попали под удары германских аэропланов, вооружённых целым на</w:t>
      </w:r>
      <w:r w:rsidRPr="00DE096C">
        <w:rPr>
          <w:bCs/>
          <w:color w:val="002060"/>
          <w:sz w:val="16"/>
          <w:szCs w:val="16"/>
        </w:rPr>
        <w:softHyphen/>
        <w:t>бором смертоносных средств. Наиболее широко применялась зажигательная пуля, полость кото</w:t>
      </w:r>
      <w:r w:rsidRPr="00DE096C">
        <w:rPr>
          <w:bCs/>
          <w:color w:val="002060"/>
          <w:sz w:val="16"/>
          <w:szCs w:val="16"/>
        </w:rPr>
        <w:softHyphen/>
        <w:t>рой наполнял состав, воспламенявшийся в мо</w:t>
      </w:r>
      <w:r w:rsidRPr="00DE096C">
        <w:rPr>
          <w:bCs/>
          <w:color w:val="002060"/>
          <w:sz w:val="16"/>
          <w:szCs w:val="16"/>
        </w:rPr>
        <w:softHyphen/>
        <w:t>мент выстрела специальным ударником. Про</w:t>
      </w:r>
      <w:r w:rsidRPr="00DE096C">
        <w:rPr>
          <w:bCs/>
          <w:color w:val="002060"/>
          <w:sz w:val="16"/>
          <w:szCs w:val="16"/>
        </w:rPr>
        <w:softHyphen/>
        <w:t>бивая оболочку аэростата, пуля воспламеняла водород оболочки горящими газами, вырывав</w:t>
      </w:r>
      <w:r w:rsidRPr="00DE096C">
        <w:rPr>
          <w:bCs/>
          <w:color w:val="002060"/>
          <w:sz w:val="16"/>
          <w:szCs w:val="16"/>
        </w:rPr>
        <w:softHyphen/>
        <w:t>шимися из отверстия в её носовой части. Горя</w:t>
      </w:r>
      <w:r w:rsidRPr="00DE096C">
        <w:rPr>
          <w:bCs/>
          <w:color w:val="002060"/>
          <w:sz w:val="16"/>
          <w:szCs w:val="16"/>
        </w:rPr>
        <w:softHyphen/>
        <w:t>щая струя газа быстро расширялась вследствие обгорания оболочки, и объятый пламенем аэро</w:t>
      </w:r>
      <w:r w:rsidRPr="00DE096C">
        <w:rPr>
          <w:bCs/>
          <w:color w:val="002060"/>
          <w:sz w:val="16"/>
          <w:szCs w:val="16"/>
        </w:rPr>
        <w:softHyphen/>
        <w:t>стат падал на землю. Зажигательные пули, про</w:t>
      </w:r>
      <w:r w:rsidRPr="00DE096C">
        <w:rPr>
          <w:bCs/>
          <w:color w:val="002060"/>
          <w:sz w:val="16"/>
          <w:szCs w:val="16"/>
        </w:rPr>
        <w:softHyphen/>
        <w:t>бивавшие наружную оболочку баллонета или рулевого мешка, лишь обжигали её.</w:t>
      </w:r>
    </w:p>
    <w:p w14:paraId="2C8AF0C1" w14:textId="77777777" w:rsidR="0031773D" w:rsidRPr="00DE096C" w:rsidRDefault="0031773D" w:rsidP="00D45A46">
      <w:pPr>
        <w:jc w:val="both"/>
        <w:rPr>
          <w:bCs/>
          <w:color w:val="002060"/>
          <w:sz w:val="16"/>
          <w:szCs w:val="16"/>
        </w:rPr>
      </w:pPr>
      <w:r w:rsidRPr="00DE096C">
        <w:rPr>
          <w:bCs/>
          <w:color w:val="002060"/>
          <w:sz w:val="16"/>
          <w:szCs w:val="16"/>
        </w:rPr>
        <w:t>Немецкие пилоты использовали и зажигатель</w:t>
      </w:r>
      <w:r w:rsidRPr="00DE096C">
        <w:rPr>
          <w:bCs/>
          <w:color w:val="002060"/>
          <w:sz w:val="16"/>
          <w:szCs w:val="16"/>
        </w:rPr>
        <w:softHyphen/>
        <w:t>ную жидкость (раствор фосфора в сероуглероде, к которому добавлялось горючее масло), выбра</w:t>
      </w:r>
      <w:r w:rsidRPr="00DE096C">
        <w:rPr>
          <w:bCs/>
          <w:color w:val="002060"/>
          <w:sz w:val="16"/>
          <w:szCs w:val="16"/>
        </w:rPr>
        <w:softHyphen/>
        <w:t>сывавшуюся с самолёта из особого аппарата под большим давлением длинной струёй. Несмотря на высокую эффективность, она применялась реже, так как от пилота требовалось большой опыт, чтобы точно направить огненную струю.</w:t>
      </w:r>
    </w:p>
    <w:p w14:paraId="6942DC06" w14:textId="77777777" w:rsidR="0031773D" w:rsidRPr="00DE096C" w:rsidRDefault="0031773D" w:rsidP="00D45A46">
      <w:pPr>
        <w:jc w:val="both"/>
        <w:rPr>
          <w:bCs/>
          <w:color w:val="002060"/>
          <w:sz w:val="16"/>
          <w:szCs w:val="16"/>
        </w:rPr>
      </w:pPr>
      <w:r w:rsidRPr="00DE096C">
        <w:rPr>
          <w:bCs/>
          <w:color w:val="002060"/>
          <w:sz w:val="16"/>
          <w:szCs w:val="16"/>
        </w:rPr>
        <w:t>Стрельба ракетами считалась менее эффек</w:t>
      </w:r>
      <w:r w:rsidRPr="00DE096C">
        <w:rPr>
          <w:bCs/>
          <w:color w:val="002060"/>
          <w:sz w:val="16"/>
          <w:szCs w:val="16"/>
        </w:rPr>
        <w:softHyphen/>
        <w:t>тивной, так как маломощные пороховые ракеты с длинными хвостовыми палками сильно сноси</w:t>
      </w:r>
      <w:r w:rsidRPr="00DE096C">
        <w:rPr>
          <w:bCs/>
          <w:color w:val="002060"/>
          <w:sz w:val="16"/>
          <w:szCs w:val="16"/>
        </w:rPr>
        <w:softHyphen/>
        <w:t>ло боковым ветром. Ещё реже применялось бро</w:t>
      </w:r>
      <w:r w:rsidRPr="00DE096C">
        <w:rPr>
          <w:bCs/>
          <w:color w:val="002060"/>
          <w:sz w:val="16"/>
          <w:szCs w:val="16"/>
        </w:rPr>
        <w:softHyphen/>
        <w:t>сание на аэростат зажигательной ленты (длинной ленты, покрытой горящим составом), так как по</w:t>
      </w:r>
      <w:r w:rsidRPr="00DE096C">
        <w:rPr>
          <w:bCs/>
          <w:color w:val="002060"/>
          <w:sz w:val="16"/>
          <w:szCs w:val="16"/>
        </w:rPr>
        <w:softHyphen/>
        <w:t>пасть ею на оболочку было очень трудно. Обстрел аэростата разрывными пулями считался малоэф</w:t>
      </w:r>
      <w:r w:rsidRPr="00DE096C">
        <w:rPr>
          <w:bCs/>
          <w:color w:val="002060"/>
          <w:sz w:val="16"/>
          <w:szCs w:val="16"/>
        </w:rPr>
        <w:softHyphen/>
        <w:t>фективным, так как не всегда вызывал воспламе</w:t>
      </w:r>
      <w:r w:rsidRPr="00DE096C">
        <w:rPr>
          <w:bCs/>
          <w:color w:val="002060"/>
          <w:sz w:val="16"/>
          <w:szCs w:val="16"/>
        </w:rPr>
        <w:softHyphen/>
        <w:t>нение оболочки. Иногда аэростаты бомбили, но не с целью попасть в оболочку, а для того, чтобы поразить прислугу у лебёдки или саму лебёдку. В начале войны безуспешно пытались сбивать аэростаты, бросая на них стрелы с аэропланов.</w:t>
      </w:r>
    </w:p>
    <w:p w14:paraId="44FFD00F" w14:textId="77777777" w:rsidR="0031773D" w:rsidRPr="00DE096C" w:rsidRDefault="0031773D" w:rsidP="00D45A46">
      <w:pPr>
        <w:jc w:val="both"/>
        <w:rPr>
          <w:bCs/>
          <w:color w:val="002060"/>
          <w:sz w:val="16"/>
          <w:szCs w:val="16"/>
        </w:rPr>
      </w:pPr>
      <w:r w:rsidRPr="00DE096C">
        <w:rPr>
          <w:bCs/>
          <w:color w:val="002060"/>
          <w:sz w:val="16"/>
          <w:szCs w:val="16"/>
        </w:rPr>
        <w:t>Как правило, лётчики вели атаку на подня</w:t>
      </w:r>
      <w:r w:rsidRPr="00DE096C">
        <w:rPr>
          <w:bCs/>
          <w:color w:val="002060"/>
          <w:sz w:val="16"/>
          <w:szCs w:val="16"/>
        </w:rPr>
        <w:softHyphen/>
        <w:t>тый аэростат, как представляющий наибольшую угрозу для своих войск. Лётчик подходил к аэро</w:t>
      </w:r>
      <w:r w:rsidRPr="00DE096C">
        <w:rPr>
          <w:bCs/>
          <w:color w:val="002060"/>
          <w:sz w:val="16"/>
          <w:szCs w:val="16"/>
        </w:rPr>
        <w:softHyphen/>
        <w:t>стату на большой высоте, где его трудно было заметить, иногда укрываясь за облака, стремясь зайти с тыла или сбоку, то есть с направлений, откуда его менее всего ожидали. Затем он пики</w:t>
      </w:r>
      <w:r w:rsidRPr="00DE096C">
        <w:rPr>
          <w:bCs/>
          <w:color w:val="002060"/>
          <w:sz w:val="16"/>
          <w:szCs w:val="16"/>
        </w:rPr>
        <w:softHyphen/>
        <w:t>ровал на аэростат, и, выровнявшись с ним, рас</w:t>
      </w:r>
      <w:r w:rsidRPr="00DE096C">
        <w:rPr>
          <w:bCs/>
          <w:color w:val="002060"/>
          <w:sz w:val="16"/>
          <w:szCs w:val="16"/>
        </w:rPr>
        <w:softHyphen/>
        <w:t>стреливал пулемётной очередью, или выпускал ракеты. Если аэроплан использовал зажигатель</w:t>
      </w:r>
      <w:r w:rsidRPr="00DE096C">
        <w:rPr>
          <w:bCs/>
          <w:color w:val="002060"/>
          <w:sz w:val="16"/>
          <w:szCs w:val="16"/>
        </w:rPr>
        <w:softHyphen/>
        <w:t>ную жидкость, он проходил над аэростатом. По</w:t>
      </w:r>
      <w:r w:rsidRPr="00DE096C">
        <w:rPr>
          <w:bCs/>
          <w:color w:val="002060"/>
          <w:sz w:val="16"/>
          <w:szCs w:val="16"/>
        </w:rPr>
        <w:softHyphen/>
        <w:t xml:space="preserve">терпев неудачу при первой атаке, лётчик в случае слабого огня с земли нередко повторял её, число атак могло доходить до восьми. </w:t>
      </w:r>
      <w:r w:rsidRPr="00DE096C">
        <w:rPr>
          <w:bCs/>
          <w:color w:val="002060"/>
          <w:sz w:val="16"/>
          <w:szCs w:val="16"/>
        </w:rPr>
        <w:lastRenderedPageBreak/>
        <w:t>Обычно лётчики предпочитали атаковать аэростат, находящийся на максимальной высоте подъёма, чтобы избе</w:t>
      </w:r>
      <w:r w:rsidRPr="00DE096C">
        <w:rPr>
          <w:bCs/>
          <w:color w:val="002060"/>
          <w:sz w:val="16"/>
          <w:szCs w:val="16"/>
        </w:rPr>
        <w:softHyphen/>
        <w:t>жать огня с земли, но были случаи атаки аэро</w:t>
      </w:r>
      <w:r w:rsidRPr="00DE096C">
        <w:rPr>
          <w:bCs/>
          <w:color w:val="002060"/>
          <w:sz w:val="16"/>
          <w:szCs w:val="16"/>
        </w:rPr>
        <w:softHyphen/>
        <w:t>стата и на высоте 100-200 м, причём аэропланы снижались на эту высоту.</w:t>
      </w:r>
    </w:p>
    <w:p w14:paraId="24DDAF49" w14:textId="77777777" w:rsidR="0031773D" w:rsidRPr="00DE096C" w:rsidRDefault="0031773D" w:rsidP="00D45A46">
      <w:pPr>
        <w:jc w:val="both"/>
        <w:rPr>
          <w:bCs/>
          <w:color w:val="002060"/>
          <w:sz w:val="16"/>
          <w:szCs w:val="16"/>
        </w:rPr>
      </w:pPr>
      <w:r w:rsidRPr="00DE096C">
        <w:rPr>
          <w:bCs/>
          <w:color w:val="002060"/>
          <w:sz w:val="16"/>
          <w:szCs w:val="16"/>
        </w:rPr>
        <w:t>Иногда воздушную атаку на аэростат прово</w:t>
      </w:r>
      <w:r w:rsidRPr="00DE096C">
        <w:rPr>
          <w:bCs/>
          <w:color w:val="002060"/>
          <w:sz w:val="16"/>
          <w:szCs w:val="16"/>
        </w:rPr>
        <w:softHyphen/>
        <w:t>дили одновременно два-три аэроплана, при этом один из них старался уничтожить сам аэростат, а другие штурмовали лебёдку и зенитные пуле</w:t>
      </w:r>
      <w:r w:rsidRPr="00DE096C">
        <w:rPr>
          <w:bCs/>
          <w:color w:val="002060"/>
          <w:sz w:val="16"/>
          <w:szCs w:val="16"/>
        </w:rPr>
        <w:softHyphen/>
        <w:t>мёты. Нередко один самолёт имитировал атаку, отвлекая огонь на себя, тогда как другой тем вре</w:t>
      </w:r>
      <w:r w:rsidRPr="00DE096C">
        <w:rPr>
          <w:bCs/>
          <w:color w:val="002060"/>
          <w:sz w:val="16"/>
          <w:szCs w:val="16"/>
        </w:rPr>
        <w:softHyphen/>
        <w:t>менем наносил прицельный удар.</w:t>
      </w:r>
    </w:p>
    <w:p w14:paraId="679A4335" w14:textId="77777777" w:rsidR="0031773D" w:rsidRPr="00DE096C" w:rsidRDefault="0031773D" w:rsidP="00D45A46">
      <w:pPr>
        <w:jc w:val="both"/>
        <w:rPr>
          <w:bCs/>
          <w:color w:val="002060"/>
          <w:sz w:val="16"/>
          <w:szCs w:val="16"/>
        </w:rPr>
      </w:pPr>
      <w:r w:rsidRPr="00DE096C">
        <w:rPr>
          <w:bCs/>
          <w:color w:val="002060"/>
          <w:sz w:val="16"/>
          <w:szCs w:val="16"/>
        </w:rPr>
        <w:t>Весьма эффективным было и взаимодействие аэропланов с дальнобойной артиллерией. Ата</w:t>
      </w:r>
      <w:r w:rsidRPr="00DE096C">
        <w:rPr>
          <w:bCs/>
          <w:color w:val="002060"/>
          <w:sz w:val="16"/>
          <w:szCs w:val="16"/>
        </w:rPr>
        <w:softHyphen/>
        <w:t>ки аэроплана заставляли аэростат снижаться до высоты, находящейся в сфере обстрела дально</w:t>
      </w:r>
      <w:r w:rsidRPr="00DE096C">
        <w:rPr>
          <w:bCs/>
          <w:color w:val="002060"/>
          <w:sz w:val="16"/>
          <w:szCs w:val="16"/>
        </w:rPr>
        <w:softHyphen/>
        <w:t>бойной артиллерии. Последняя, не опасаясь огня артиллерии противника, лишённой средств кор</w:t>
      </w:r>
      <w:r w:rsidRPr="00DE096C">
        <w:rPr>
          <w:bCs/>
          <w:color w:val="002060"/>
          <w:sz w:val="16"/>
          <w:szCs w:val="16"/>
        </w:rPr>
        <w:softHyphen/>
        <w:t>ректировки, начинала обстрел снизившегося до небольшой высоты аэростата, полностью пара</w:t>
      </w:r>
      <w:r w:rsidRPr="00DE096C">
        <w:rPr>
          <w:bCs/>
          <w:color w:val="002060"/>
          <w:sz w:val="16"/>
          <w:szCs w:val="16"/>
        </w:rPr>
        <w:softHyphen/>
        <w:t>лизуя его деятельность.</w:t>
      </w:r>
    </w:p>
    <w:p w14:paraId="2411313B" w14:textId="77777777" w:rsidR="0031773D" w:rsidRPr="00DE096C" w:rsidRDefault="0031773D" w:rsidP="00D45A46">
      <w:pPr>
        <w:jc w:val="both"/>
        <w:rPr>
          <w:bCs/>
          <w:color w:val="002060"/>
          <w:sz w:val="16"/>
          <w:szCs w:val="16"/>
        </w:rPr>
      </w:pPr>
      <w:r w:rsidRPr="00DE096C">
        <w:rPr>
          <w:bCs/>
          <w:color w:val="002060"/>
          <w:sz w:val="16"/>
          <w:szCs w:val="16"/>
        </w:rPr>
        <w:t>Атаки на спущенный аэростат (находящий</w:t>
      </w:r>
      <w:r w:rsidRPr="00DE096C">
        <w:rPr>
          <w:bCs/>
          <w:color w:val="002060"/>
          <w:sz w:val="16"/>
          <w:szCs w:val="16"/>
        </w:rPr>
        <w:softHyphen/>
        <w:t>ся на биваке) выполнялись самолётами обычно ночью, так как днём была большая вероятность получить отпор со стороны зенитных пулемётов. Изучив место стоянки аэростата, истребители проводили атаку (часто при луне) на самой ма</w:t>
      </w:r>
      <w:r w:rsidRPr="00DE096C">
        <w:rPr>
          <w:bCs/>
          <w:color w:val="002060"/>
          <w:sz w:val="16"/>
          <w:szCs w:val="16"/>
        </w:rPr>
        <w:softHyphen/>
        <w:t>лой высоте, расстреливая аэростат из пулемётов или поливая его зажигательной жидкостью.</w:t>
      </w:r>
    </w:p>
    <w:p w14:paraId="429A6A44" w14:textId="77777777" w:rsidR="0031773D" w:rsidRPr="00DE096C" w:rsidRDefault="0031773D" w:rsidP="00D45A46">
      <w:pPr>
        <w:jc w:val="both"/>
        <w:rPr>
          <w:bCs/>
          <w:color w:val="002060"/>
          <w:sz w:val="16"/>
          <w:szCs w:val="16"/>
        </w:rPr>
      </w:pPr>
      <w:r w:rsidRPr="00DE096C">
        <w:rPr>
          <w:bCs/>
          <w:color w:val="002060"/>
          <w:sz w:val="16"/>
          <w:szCs w:val="16"/>
        </w:rPr>
        <w:t>Застигнув аэростат во время переноски, само</w:t>
      </w:r>
      <w:r w:rsidRPr="00DE096C">
        <w:rPr>
          <w:bCs/>
          <w:color w:val="002060"/>
          <w:sz w:val="16"/>
          <w:szCs w:val="16"/>
        </w:rPr>
        <w:softHyphen/>
        <w:t>лёты старались создать панику среди его коман</w:t>
      </w:r>
      <w:r w:rsidRPr="00DE096C">
        <w:rPr>
          <w:bCs/>
          <w:color w:val="002060"/>
          <w:sz w:val="16"/>
          <w:szCs w:val="16"/>
        </w:rPr>
        <w:softHyphen/>
        <w:t>ды, обстреливая её разрывными пулями из пуле</w:t>
      </w:r>
      <w:r w:rsidRPr="00DE096C">
        <w:rPr>
          <w:bCs/>
          <w:color w:val="002060"/>
          <w:sz w:val="16"/>
          <w:szCs w:val="16"/>
        </w:rPr>
        <w:softHyphen/>
        <w:t>мётов или сбрасывая на неё бомбы (20120).</w:t>
      </w:r>
    </w:p>
    <w:p w14:paraId="38EB97A2" w14:textId="77777777" w:rsidR="0031773D" w:rsidRPr="00DE096C" w:rsidRDefault="0031773D" w:rsidP="00D45A46">
      <w:pPr>
        <w:jc w:val="both"/>
        <w:rPr>
          <w:bCs/>
          <w:color w:val="002060"/>
          <w:sz w:val="16"/>
          <w:szCs w:val="16"/>
        </w:rPr>
      </w:pPr>
    </w:p>
    <w:p w14:paraId="54ADF638" w14:textId="77777777" w:rsidR="009718A3" w:rsidRPr="00DE096C" w:rsidRDefault="009718A3" w:rsidP="009718A3">
      <w:pPr>
        <w:jc w:val="both"/>
        <w:rPr>
          <w:bCs/>
          <w:i/>
          <w:color w:val="002060"/>
          <w:sz w:val="16"/>
          <w:szCs w:val="16"/>
        </w:rPr>
      </w:pPr>
      <w:r w:rsidRPr="00DE096C">
        <w:rPr>
          <w:bCs/>
          <w:i/>
          <w:color w:val="002060"/>
          <w:sz w:val="16"/>
          <w:szCs w:val="16"/>
        </w:rPr>
        <w:t>Авиация:</w:t>
      </w:r>
    </w:p>
    <w:p w14:paraId="30CBB177" w14:textId="77777777" w:rsidR="009718A3" w:rsidRPr="00DE096C" w:rsidRDefault="009718A3" w:rsidP="009718A3">
      <w:pPr>
        <w:jc w:val="both"/>
        <w:rPr>
          <w:bCs/>
          <w:i/>
          <w:color w:val="002060"/>
          <w:sz w:val="16"/>
          <w:szCs w:val="16"/>
        </w:rPr>
      </w:pPr>
    </w:p>
    <w:p w14:paraId="7AC0A8D0" w14:textId="6555BC0B" w:rsidR="00AA15B9" w:rsidRPr="00DE096C" w:rsidRDefault="00AA15B9" w:rsidP="00AA15B9">
      <w:pPr>
        <w:rPr>
          <w:color w:val="002060"/>
          <w:sz w:val="16"/>
          <w:szCs w:val="16"/>
        </w:rPr>
      </w:pPr>
      <w:r>
        <w:rPr>
          <w:color w:val="002060"/>
          <w:sz w:val="16"/>
          <w:szCs w:val="16"/>
          <w:lang w:bidi="en-US"/>
        </w:rPr>
        <w:t>30 декаьря 1914 г. (</w:t>
      </w:r>
      <w:r w:rsidRPr="00DE096C">
        <w:rPr>
          <w:color w:val="002060"/>
          <w:sz w:val="16"/>
          <w:szCs w:val="16"/>
          <w:lang w:bidi="en-US"/>
        </w:rPr>
        <w:t>12 января</w:t>
      </w:r>
      <w:r>
        <w:rPr>
          <w:color w:val="002060"/>
          <w:sz w:val="16"/>
          <w:szCs w:val="16"/>
          <w:lang w:bidi="en-US"/>
        </w:rPr>
        <w:t>)</w:t>
      </w:r>
      <w:r w:rsidRPr="00DE096C">
        <w:rPr>
          <w:color w:val="002060"/>
          <w:sz w:val="16"/>
          <w:szCs w:val="16"/>
          <w:lang w:bidi="en-US"/>
        </w:rPr>
        <w:t xml:space="preserve"> 1915 </w:t>
      </w:r>
      <w:r>
        <w:rPr>
          <w:color w:val="002060"/>
          <w:sz w:val="16"/>
          <w:szCs w:val="16"/>
          <w:lang w:bidi="en-US"/>
        </w:rPr>
        <w:t xml:space="preserve">г. состоялось </w:t>
      </w:r>
      <w:r w:rsidRPr="00DE096C">
        <w:rPr>
          <w:color w:val="002060"/>
          <w:sz w:val="16"/>
          <w:szCs w:val="16"/>
          <w:lang w:bidi="en-US"/>
        </w:rPr>
        <w:t xml:space="preserve">первое во время войны использование радиосвязи «воздух-земля» для прямой артиллерийской стрельбы было использовано </w:t>
      </w:r>
      <w:r w:rsidRPr="00DE096C">
        <w:rPr>
          <w:color w:val="002060"/>
          <w:sz w:val="16"/>
          <w:szCs w:val="16"/>
          <w:lang w:val="en-US" w:bidi="en-US"/>
        </w:rPr>
        <w:t>Albatros</w:t>
      </w:r>
      <w:r w:rsidRPr="00DE096C">
        <w:rPr>
          <w:color w:val="002060"/>
          <w:sz w:val="16"/>
          <w:szCs w:val="16"/>
          <w:lang w:bidi="en-US"/>
        </w:rPr>
        <w:t xml:space="preserve"> </w:t>
      </w:r>
      <w:r w:rsidRPr="00DE096C">
        <w:rPr>
          <w:color w:val="002060"/>
          <w:sz w:val="16"/>
          <w:szCs w:val="16"/>
          <w:lang w:val="en-US" w:bidi="en-US"/>
        </w:rPr>
        <w:t>BI</w:t>
      </w:r>
      <w:r w:rsidRPr="00DE096C">
        <w:rPr>
          <w:color w:val="002060"/>
          <w:sz w:val="16"/>
          <w:szCs w:val="16"/>
          <w:lang w:bidi="en-US"/>
        </w:rPr>
        <w:t xml:space="preserve"> из австро-венгерского </w:t>
      </w:r>
      <w:r w:rsidRPr="00DE096C">
        <w:rPr>
          <w:color w:val="002060"/>
          <w:sz w:val="16"/>
          <w:szCs w:val="16"/>
          <w:lang w:val="en-US" w:bidi="en-US"/>
        </w:rPr>
        <w:t>Flik</w:t>
      </w:r>
      <w:r w:rsidRPr="00DE096C">
        <w:rPr>
          <w:color w:val="002060"/>
          <w:sz w:val="16"/>
          <w:szCs w:val="16"/>
          <w:lang w:bidi="en-US"/>
        </w:rPr>
        <w:t xml:space="preserve"> 1, который успешно обнаружил артиллерийский огонь на линиях снабжения российских железных дорог в Тарнове (23525).</w:t>
      </w:r>
    </w:p>
    <w:p w14:paraId="4C192959" w14:textId="77777777" w:rsidR="00AA15B9" w:rsidRPr="00DE096C" w:rsidRDefault="00AA15B9" w:rsidP="00AA15B9">
      <w:pPr>
        <w:jc w:val="both"/>
        <w:rPr>
          <w:bCs/>
          <w:i/>
          <w:color w:val="002060"/>
          <w:sz w:val="16"/>
          <w:szCs w:val="16"/>
        </w:rPr>
      </w:pPr>
    </w:p>
    <w:p w14:paraId="79D878B7" w14:textId="77777777" w:rsidR="009718A3" w:rsidRPr="00B52707" w:rsidRDefault="009718A3" w:rsidP="009718A3">
      <w:pPr>
        <w:jc w:val="both"/>
        <w:rPr>
          <w:color w:val="0070C0"/>
          <w:sz w:val="16"/>
          <w:szCs w:val="16"/>
        </w:rPr>
      </w:pPr>
      <w:r w:rsidRPr="00B52707">
        <w:rPr>
          <w:color w:val="0070C0"/>
          <w:sz w:val="16"/>
          <w:szCs w:val="16"/>
        </w:rPr>
        <w:t>30 декабря 1914 (11 января 1915 г.) вблизи дер. Витковице (Лодзинское воеводство) совершил вынужденную посадку неприятельский самолет, подстреленный огнем нашей артиллерии. Другой вражеский летательный аппарат был захвачен русскими войсками у пос. Гродиска (Варшавская губ.). В тот же день под г. Краков подбит и взят в плен австрийский аэроплан, летевший из осажденной крепости Перемышль с почтой (25135).</w:t>
      </w:r>
    </w:p>
    <w:p w14:paraId="009C0656" w14:textId="77777777" w:rsidR="009718A3" w:rsidRPr="00B52707" w:rsidRDefault="009718A3" w:rsidP="009718A3">
      <w:pPr>
        <w:jc w:val="both"/>
        <w:rPr>
          <w:color w:val="0070C0"/>
          <w:sz w:val="16"/>
          <w:szCs w:val="16"/>
        </w:rPr>
      </w:pPr>
    </w:p>
    <w:p w14:paraId="1C692F6B" w14:textId="51A702B4" w:rsidR="00FD3B37" w:rsidRPr="00DE096C" w:rsidRDefault="00FD3B37" w:rsidP="00D45A46">
      <w:pPr>
        <w:jc w:val="both"/>
        <w:rPr>
          <w:bCs/>
          <w:i/>
          <w:color w:val="002060"/>
          <w:sz w:val="16"/>
          <w:szCs w:val="16"/>
        </w:rPr>
      </w:pPr>
      <w:r w:rsidRPr="00DE096C">
        <w:rPr>
          <w:bCs/>
          <w:i/>
          <w:color w:val="002060"/>
          <w:sz w:val="16"/>
          <w:szCs w:val="16"/>
        </w:rPr>
        <w:t>За рубежом:</w:t>
      </w:r>
    </w:p>
    <w:p w14:paraId="0A4CCE60" w14:textId="77777777" w:rsidR="00FD3B37" w:rsidRPr="00DE096C" w:rsidRDefault="00FD3B37" w:rsidP="00D45A46">
      <w:pPr>
        <w:jc w:val="both"/>
        <w:rPr>
          <w:bCs/>
          <w:color w:val="002060"/>
          <w:sz w:val="16"/>
          <w:szCs w:val="16"/>
        </w:rPr>
      </w:pPr>
    </w:p>
    <w:p w14:paraId="3F95FCAF" w14:textId="77777777" w:rsidR="00FD3B37" w:rsidRPr="00DE096C" w:rsidRDefault="00FD3B37" w:rsidP="00D45A46">
      <w:pPr>
        <w:jc w:val="both"/>
        <w:rPr>
          <w:bCs/>
          <w:color w:val="002060"/>
          <w:sz w:val="16"/>
          <w:szCs w:val="16"/>
        </w:rPr>
      </w:pPr>
      <w:r w:rsidRPr="00DE096C">
        <w:rPr>
          <w:bCs/>
          <w:color w:val="002060"/>
          <w:sz w:val="16"/>
          <w:szCs w:val="16"/>
        </w:rPr>
        <w:t>30 декабря (12 января) в 1915 году в США палата представителей отклоняет законопроект о предоставлении женщинам равного права голоса (15007).</w:t>
      </w:r>
    </w:p>
    <w:p w14:paraId="780BAE2C" w14:textId="77777777" w:rsidR="00FD3B37" w:rsidRPr="00DE096C" w:rsidRDefault="00FD3B37" w:rsidP="00D45A46">
      <w:pPr>
        <w:jc w:val="both"/>
        <w:rPr>
          <w:bCs/>
          <w:color w:val="002060"/>
          <w:sz w:val="16"/>
          <w:szCs w:val="16"/>
        </w:rPr>
      </w:pPr>
    </w:p>
    <w:p w14:paraId="7325BDB3" w14:textId="77777777" w:rsidR="00FD3B37" w:rsidRPr="00DE096C" w:rsidRDefault="00FD3B37" w:rsidP="00D45A46">
      <w:pPr>
        <w:jc w:val="both"/>
        <w:rPr>
          <w:bCs/>
          <w:i/>
          <w:color w:val="002060"/>
          <w:sz w:val="16"/>
          <w:szCs w:val="16"/>
        </w:rPr>
      </w:pPr>
      <w:r w:rsidRPr="00DE096C">
        <w:rPr>
          <w:bCs/>
          <w:i/>
          <w:color w:val="002060"/>
          <w:sz w:val="16"/>
          <w:szCs w:val="16"/>
        </w:rPr>
        <w:t>Самолетостроение:</w:t>
      </w:r>
    </w:p>
    <w:p w14:paraId="09EB75A4" w14:textId="77777777" w:rsidR="00FD3B37" w:rsidRPr="00DE096C" w:rsidRDefault="00FD3B37" w:rsidP="00D45A46">
      <w:pPr>
        <w:jc w:val="both"/>
        <w:rPr>
          <w:bCs/>
          <w:i/>
          <w:color w:val="002060"/>
          <w:sz w:val="16"/>
          <w:szCs w:val="16"/>
        </w:rPr>
      </w:pPr>
    </w:p>
    <w:p w14:paraId="290CC090" w14:textId="5886F433" w:rsidR="00FD3B37" w:rsidRPr="00DE096C" w:rsidRDefault="00FD3B37" w:rsidP="00D45A46">
      <w:pPr>
        <w:pStyle w:val="2"/>
        <w:spacing w:before="0" w:after="0"/>
        <w:jc w:val="both"/>
        <w:rPr>
          <w:b w:val="0"/>
          <w:bCs/>
          <w:color w:val="002060"/>
          <w:sz w:val="16"/>
          <w:szCs w:val="16"/>
        </w:rPr>
      </w:pPr>
      <w:r w:rsidRPr="00DE096C">
        <w:rPr>
          <w:b w:val="0"/>
          <w:bCs/>
          <w:color w:val="002060"/>
          <w:sz w:val="16"/>
          <w:szCs w:val="16"/>
        </w:rPr>
        <w:t>31 декабря 1914</w:t>
      </w:r>
      <w:r w:rsidR="00E507DE" w:rsidRPr="00DE096C">
        <w:rPr>
          <w:b w:val="0"/>
          <w:bCs/>
          <w:color w:val="002060"/>
          <w:sz w:val="16"/>
          <w:szCs w:val="16"/>
        </w:rPr>
        <w:t xml:space="preserve"> (13 января 1915 г.)</w:t>
      </w:r>
      <w:r w:rsidRPr="00DE096C">
        <w:rPr>
          <w:b w:val="0"/>
          <w:bCs/>
          <w:color w:val="002060"/>
          <w:sz w:val="16"/>
          <w:szCs w:val="16"/>
        </w:rPr>
        <w:t>, в последний день 1914 г. Военный Совет постановил заказать на «Дуксе»:</w:t>
      </w:r>
    </w:p>
    <w:p w14:paraId="69441FB0" w14:textId="77777777" w:rsidR="00FD3B37" w:rsidRPr="00DE096C" w:rsidRDefault="00FD3B37" w:rsidP="00D45A46">
      <w:pPr>
        <w:pStyle w:val="2"/>
        <w:spacing w:before="0" w:after="0"/>
        <w:jc w:val="both"/>
        <w:rPr>
          <w:b w:val="0"/>
          <w:bCs/>
          <w:color w:val="002060"/>
          <w:sz w:val="16"/>
          <w:szCs w:val="16"/>
        </w:rPr>
      </w:pPr>
      <w:r w:rsidRPr="00DE096C">
        <w:rPr>
          <w:b w:val="0"/>
          <w:bCs/>
          <w:color w:val="002060"/>
          <w:sz w:val="16"/>
          <w:szCs w:val="16"/>
        </w:rPr>
        <w:t>«...а) во изменение контракта от 3 мая 1914 г. за № 2578/1505, отменить предоставленный Вам положением Военного Совета от 29 марта 1914 г. заказ на 23 аэроплана системы Моран-Сольнье (парасоль) с 80-сильными двигателями Гном и 10 аэропланов системы Фарман № 22бис со 100-сильными двигателями Гном на общую сумму 354.600 руб.</w:t>
      </w:r>
    </w:p>
    <w:p w14:paraId="758098CC" w14:textId="77777777" w:rsidR="00FD3B37" w:rsidRPr="00DE096C" w:rsidRDefault="00FD3B37" w:rsidP="00D45A46">
      <w:pPr>
        <w:pStyle w:val="2"/>
        <w:spacing w:before="0" w:after="0"/>
        <w:jc w:val="both"/>
        <w:rPr>
          <w:b w:val="0"/>
          <w:bCs/>
          <w:color w:val="002060"/>
          <w:sz w:val="16"/>
          <w:szCs w:val="16"/>
        </w:rPr>
      </w:pPr>
      <w:r w:rsidRPr="00DE096C">
        <w:rPr>
          <w:b w:val="0"/>
          <w:bCs/>
          <w:color w:val="002060"/>
          <w:sz w:val="16"/>
          <w:szCs w:val="16"/>
        </w:rPr>
        <w:t>б) заказать Вам 10 аэропланов системы Фарман № 22бис по 7.000 руб. за каждый и 44 аэроплана системы Моран-Сольнье (парасоль) по 6.500 руб. без моторов и винтов всего на общую сумму 356.000 руб., с тем, чтобы дополнительные 21 аппарат Моран-Сольнье (парасоль) были предъявлены в срок не более 3 месяцев (со дня получения настоящего уведомления) 15 апреля 1915 г.» Позднее этот срок скорректировали, но... всего лишь на пять (5-!) дней — к 20 апреля. Одновременно с «Дуксом» заключили еще несколько контрактов (15464).</w:t>
      </w:r>
    </w:p>
    <w:p w14:paraId="6172BF98" w14:textId="77777777" w:rsidR="00FD3B37" w:rsidRPr="00DE096C" w:rsidRDefault="00FD3B37" w:rsidP="00D45A46">
      <w:pPr>
        <w:pStyle w:val="2"/>
        <w:spacing w:before="0" w:after="0"/>
        <w:jc w:val="both"/>
        <w:rPr>
          <w:b w:val="0"/>
          <w:bCs/>
          <w:color w:val="002060"/>
          <w:sz w:val="16"/>
          <w:szCs w:val="16"/>
        </w:rPr>
      </w:pPr>
    </w:p>
    <w:p w14:paraId="0A2D233B" w14:textId="77777777" w:rsidR="00B67D7C" w:rsidRPr="00DE096C" w:rsidRDefault="00B67D7C" w:rsidP="00D45A46">
      <w:pPr>
        <w:jc w:val="both"/>
        <w:rPr>
          <w:bCs/>
          <w:i/>
          <w:color w:val="002060"/>
          <w:sz w:val="16"/>
          <w:szCs w:val="16"/>
        </w:rPr>
      </w:pPr>
      <w:r w:rsidRPr="00DE096C">
        <w:rPr>
          <w:bCs/>
          <w:i/>
          <w:color w:val="002060"/>
          <w:sz w:val="16"/>
          <w:szCs w:val="16"/>
        </w:rPr>
        <w:t>Авиация:</w:t>
      </w:r>
    </w:p>
    <w:p w14:paraId="00AD4F53" w14:textId="77777777" w:rsidR="00B67D7C" w:rsidRPr="00DE096C" w:rsidRDefault="00B67D7C" w:rsidP="00D45A46">
      <w:pPr>
        <w:jc w:val="both"/>
        <w:rPr>
          <w:bCs/>
          <w:i/>
          <w:color w:val="002060"/>
          <w:sz w:val="16"/>
          <w:szCs w:val="16"/>
        </w:rPr>
      </w:pPr>
    </w:p>
    <w:p w14:paraId="13C8E22C" w14:textId="0C755E8A" w:rsidR="00B67D7C" w:rsidRPr="00DE096C" w:rsidRDefault="00B67D7C" w:rsidP="00D45A46">
      <w:pPr>
        <w:shd w:val="clear" w:color="auto" w:fill="FFFFFF"/>
        <w:jc w:val="both"/>
        <w:rPr>
          <w:bCs/>
          <w:color w:val="002060"/>
          <w:sz w:val="16"/>
          <w:szCs w:val="16"/>
        </w:rPr>
      </w:pPr>
      <w:r w:rsidRPr="00DE096C">
        <w:rPr>
          <w:bCs/>
          <w:color w:val="002060"/>
          <w:sz w:val="16"/>
          <w:szCs w:val="16"/>
        </w:rPr>
        <w:t>К 31 декабря 1914</w:t>
      </w:r>
      <w:r w:rsidR="00E507DE" w:rsidRPr="00DE096C">
        <w:rPr>
          <w:bCs/>
          <w:color w:val="002060"/>
          <w:sz w:val="16"/>
          <w:szCs w:val="16"/>
        </w:rPr>
        <w:t xml:space="preserve"> г.</w:t>
      </w:r>
      <w:r w:rsidRPr="00DE096C">
        <w:rPr>
          <w:bCs/>
          <w:color w:val="002060"/>
          <w:sz w:val="16"/>
          <w:szCs w:val="16"/>
        </w:rPr>
        <w:t xml:space="preserve"> (13 января 1915</w:t>
      </w:r>
      <w:r w:rsidR="00E507DE" w:rsidRPr="00DE096C">
        <w:rPr>
          <w:bCs/>
          <w:color w:val="002060"/>
          <w:sz w:val="16"/>
          <w:szCs w:val="16"/>
        </w:rPr>
        <w:t xml:space="preserve"> г.</w:t>
      </w:r>
      <w:r w:rsidRPr="00DE096C">
        <w:rPr>
          <w:bCs/>
          <w:color w:val="002060"/>
          <w:sz w:val="16"/>
          <w:szCs w:val="16"/>
        </w:rPr>
        <w:t>) с начала войны авиационные части (только сухо</w:t>
      </w:r>
      <w:r w:rsidRPr="00DE096C">
        <w:rPr>
          <w:bCs/>
          <w:color w:val="002060"/>
          <w:sz w:val="16"/>
          <w:szCs w:val="16"/>
        </w:rPr>
        <w:softHyphen/>
        <w:t>путные) выполнили 3229 боевых вылетов общей продолжительностью 3188 часов. Общее количество исправных самолетов во всех авиа-частях составляло в месяц 150-160, находившихся в ремонте -20-30. Основным видом боевой деятельности авиации была воздушная разведка (1342 полета), во многих случаях доставлявшая весьма ценные сведения о противнике и способствовавшая успеху операций. Кроме того, авиация применялась для корректировки артиллерийской стрельбы (17 раз), доставки экстренных донесе</w:t>
      </w:r>
      <w:r w:rsidRPr="00DE096C">
        <w:rPr>
          <w:bCs/>
          <w:color w:val="002060"/>
          <w:sz w:val="16"/>
          <w:szCs w:val="16"/>
        </w:rPr>
        <w:softHyphen/>
        <w:t>ний и для связи (86 раз), для аэрофотосъемки неприятельских ' позиций (18 раз) и бомбометания (120 раз), причем было сброшено на военные объекты противника около 250 бомб, преимущественно большого по тому времени веса (20 фунтов - I пуд). Несмотря на отсутствие на самолетах пулеметов, летчики смело вступали в бой с.противником и сбили три самолета. Наземными войсками было сбито 19 самолетов и два дирижабля и взято в плен около 80 че</w:t>
      </w:r>
      <w:r w:rsidRPr="00DE096C">
        <w:rPr>
          <w:bCs/>
          <w:color w:val="002060"/>
          <w:sz w:val="16"/>
          <w:szCs w:val="16"/>
        </w:rPr>
        <w:softHyphen/>
        <w:t>ловек экипажей.</w:t>
      </w:r>
    </w:p>
    <w:p w14:paraId="1C995C3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Боевая деятельность воздухоплавательных частей выразилась в наблюдении за ближайшим тылом противника, его передовыми позициями и в корректировании стрельбы своей артиллерии.</w:t>
      </w:r>
    </w:p>
    <w:p w14:paraId="4274ACF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К зиме первого года войны многие авиаотряды оказались в очень тяжелом положении из-за изношенности и выхода из строя самолетов. На одном только Юго-Западном фронте уже после трех месяцев войны из 99 самолетов вышел из строя в результате аварий 91 самолет. Пришлось многие отряды отвести в тыл для перевооружения и переучивания летчиков на новых типах самолетов ("Моран-парасоль", "Вуазен"). Деятельность авиаотрядов поддерживалась небольшим количеством новых самолетов и усилен</w:t>
      </w:r>
      <w:r w:rsidRPr="00DE096C">
        <w:rPr>
          <w:bCs/>
          <w:color w:val="002060"/>
          <w:sz w:val="16"/>
          <w:szCs w:val="16"/>
        </w:rPr>
        <w:softHyphen/>
        <w:t>ным ремонтом старых в мастерских авиационных рот.</w:t>
      </w:r>
    </w:p>
    <w:p w14:paraId="111BB01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За время войны на пополнение фронтовых авиаотрядов поступило 76 летчиков и 177 самолетов, в том числе 20 трофейных (немецких), потеряно было 146 самолетов, из них большин</w:t>
      </w:r>
      <w:r w:rsidRPr="00DE096C">
        <w:rPr>
          <w:bCs/>
          <w:color w:val="002060"/>
          <w:sz w:val="16"/>
          <w:szCs w:val="16"/>
        </w:rPr>
        <w:softHyphen/>
        <w:t>ство - в результате аварий. Потери в людях составляли: убиты</w:t>
      </w:r>
      <w:r w:rsidRPr="00DE096C">
        <w:rPr>
          <w:bCs/>
          <w:color w:val="002060"/>
          <w:sz w:val="16"/>
          <w:szCs w:val="16"/>
        </w:rPr>
        <w:softHyphen/>
        <w:t>ми и погибшими при катастрофах - 14 летчиков, попавшими в плен и пропавшими без вести - 26 человек (20 летчиков и 6 наблюдателей). За непригодностью к летной службе было отчислено 23 летчика и смещено в летчики-наблюдатели 8 летчиков. На обучении в авиашколах в декабре состояло 49 офицеров, 9 солдат и 1,100 доброволъцев-</w:t>
      </w:r>
      <w:r w:rsidRPr="00DE096C">
        <w:rPr>
          <w:bCs/>
          <w:color w:val="002060"/>
          <w:sz w:val="16"/>
          <w:szCs w:val="16"/>
          <w:vertAlign w:val="superscript"/>
        </w:rPr>
        <w:t>п</w:t>
      </w:r>
      <w:r w:rsidRPr="00DE096C">
        <w:rPr>
          <w:bCs/>
          <w:color w:val="002060"/>
          <w:sz w:val="16"/>
          <w:szCs w:val="16"/>
        </w:rPr>
        <w:t>охотников" (ЦГВИА.' ф.2000, оп.З, д.761; ф.2003, оп.2, д.613; ф.2008, оп.1, д.41; ф.2134, оп.1, д.991; ф.453, д.2067; ЦГАСА. ф.29, оп.4,-Д.91, л.90).</w:t>
      </w:r>
    </w:p>
    <w:p w14:paraId="6E405C24" w14:textId="77777777" w:rsidR="00B67D7C" w:rsidRPr="00DE096C" w:rsidRDefault="00B67D7C" w:rsidP="00D45A46">
      <w:pPr>
        <w:shd w:val="clear" w:color="auto" w:fill="FFFFFF"/>
        <w:jc w:val="both"/>
        <w:rPr>
          <w:bCs/>
          <w:color w:val="002060"/>
          <w:sz w:val="16"/>
          <w:szCs w:val="16"/>
        </w:rPr>
      </w:pPr>
    </w:p>
    <w:p w14:paraId="04009D05" w14:textId="77777777" w:rsidR="00B67D7C" w:rsidRPr="00DE096C" w:rsidRDefault="00B67D7C" w:rsidP="00D45A46">
      <w:pPr>
        <w:jc w:val="both"/>
        <w:rPr>
          <w:bCs/>
          <w:i/>
          <w:color w:val="002060"/>
          <w:sz w:val="16"/>
          <w:szCs w:val="16"/>
        </w:rPr>
      </w:pPr>
      <w:r w:rsidRPr="00DE096C">
        <w:rPr>
          <w:bCs/>
          <w:i/>
          <w:color w:val="002060"/>
          <w:sz w:val="16"/>
          <w:szCs w:val="16"/>
        </w:rPr>
        <w:t>Авиация и воздухоплавание Германии:</w:t>
      </w:r>
    </w:p>
    <w:p w14:paraId="269479BF" w14:textId="77777777" w:rsidR="00B67D7C" w:rsidRPr="00DE096C" w:rsidRDefault="00B67D7C" w:rsidP="00D45A46">
      <w:pPr>
        <w:jc w:val="both"/>
        <w:rPr>
          <w:bCs/>
          <w:i/>
          <w:color w:val="002060"/>
          <w:sz w:val="16"/>
          <w:szCs w:val="16"/>
        </w:rPr>
      </w:pPr>
    </w:p>
    <w:p w14:paraId="290F5F51" w14:textId="28C06FF3" w:rsidR="00B67D7C" w:rsidRPr="00DE096C" w:rsidRDefault="00B67D7C" w:rsidP="00D45A46">
      <w:pPr>
        <w:jc w:val="both"/>
        <w:rPr>
          <w:bCs/>
          <w:color w:val="002060"/>
          <w:sz w:val="16"/>
          <w:szCs w:val="16"/>
        </w:rPr>
      </w:pPr>
      <w:r w:rsidRPr="00DE096C">
        <w:rPr>
          <w:bCs/>
          <w:color w:val="002060"/>
          <w:sz w:val="16"/>
          <w:szCs w:val="16"/>
        </w:rPr>
        <w:t xml:space="preserve">31 декабря 1914 </w:t>
      </w:r>
      <w:r w:rsidR="00E507DE" w:rsidRPr="00DE096C">
        <w:rPr>
          <w:bCs/>
          <w:color w:val="002060"/>
          <w:sz w:val="16"/>
          <w:szCs w:val="16"/>
        </w:rPr>
        <w:t xml:space="preserve">г. </w:t>
      </w:r>
      <w:r w:rsidRPr="00DE096C">
        <w:rPr>
          <w:bCs/>
          <w:color w:val="002060"/>
          <w:sz w:val="16"/>
          <w:szCs w:val="16"/>
        </w:rPr>
        <w:t>(13 января 1915</w:t>
      </w:r>
      <w:r w:rsidR="00E507DE" w:rsidRPr="00DE096C">
        <w:rPr>
          <w:bCs/>
          <w:color w:val="002060"/>
          <w:sz w:val="16"/>
          <w:szCs w:val="16"/>
        </w:rPr>
        <w:t xml:space="preserve"> г.</w:t>
      </w:r>
      <w:r w:rsidRPr="00DE096C">
        <w:rPr>
          <w:bCs/>
          <w:color w:val="002060"/>
          <w:sz w:val="16"/>
          <w:szCs w:val="16"/>
        </w:rPr>
        <w:t xml:space="preserve">) </w:t>
      </w:r>
      <w:r w:rsidR="00E507DE" w:rsidRPr="00DE096C">
        <w:rPr>
          <w:bCs/>
          <w:color w:val="002060"/>
          <w:sz w:val="16"/>
          <w:szCs w:val="16"/>
        </w:rPr>
        <w:t>первая попытк атаковать силами немецких цеппелинов военные объекты в глубоком тылу врага, и не просто в тылу, а на территории Британских островов, ранее считавшейся абсолютно недоступной для нападения с моря или воздуха</w:t>
      </w:r>
      <w:r w:rsidRPr="00DE096C">
        <w:rPr>
          <w:bCs/>
          <w:color w:val="002060"/>
          <w:sz w:val="16"/>
          <w:szCs w:val="16"/>
        </w:rPr>
        <w:t xml:space="preserve">, сорвалась из-за плохой погоды. За неделю вдоль побережья Северного и Балтийского морей, от Фландрии до Кенигсберга, была развернута цепь метеорологических постов, каждые три часа передававших сводки погоды на основную базу дивизиона в Вильгельмсхафене. </w:t>
      </w:r>
    </w:p>
    <w:p w14:paraId="4DC8727A" w14:textId="77777777" w:rsidR="00B67D7C" w:rsidRPr="00DE096C" w:rsidRDefault="00B67D7C" w:rsidP="00D45A46">
      <w:pPr>
        <w:jc w:val="both"/>
        <w:rPr>
          <w:bCs/>
          <w:color w:val="002060"/>
          <w:sz w:val="16"/>
          <w:szCs w:val="16"/>
        </w:rPr>
      </w:pPr>
      <w:r w:rsidRPr="00DE096C">
        <w:rPr>
          <w:bCs/>
          <w:color w:val="002060"/>
          <w:sz w:val="16"/>
          <w:szCs w:val="16"/>
        </w:rPr>
        <w:t xml:space="preserve">19 января погода наконец-то позволила приступить к проведению операции. Штрассер быль настолько уверен в том, что англичане абсолютно не готовы к отражению атак цеппелинов, что приказал провести рейд в дневное время. Ровно в 11.00 три корабля: L-3, L-4 и L-6 выплыли из эллингов Норхольта и, басовито гудя моторами, взяли курс на север. К величайшей досаде командира дивизиона, L-6, на котором он летел, был вынужден вернуться с полпути из-за неисправности двигателя. Два других цеппелина продолжили полет и в 15.30 достигли своей цели — военных заводов в пригородах Ярмута. К этому времени небо вновь затянули облака, и бомбардирам пришлось сбрасывать смертоносный груз практически вслепую. В результате 12 пятидесятикилограммовых фугасных и 18 зажигательных бомб упали прямо в центре города. </w:t>
      </w:r>
    </w:p>
    <w:p w14:paraId="1DDC9A2C" w14:textId="77777777" w:rsidR="00B67D7C" w:rsidRPr="00DE096C" w:rsidRDefault="00B67D7C" w:rsidP="00D45A46">
      <w:pPr>
        <w:jc w:val="both"/>
        <w:rPr>
          <w:bCs/>
          <w:color w:val="002060"/>
          <w:sz w:val="16"/>
          <w:szCs w:val="16"/>
        </w:rPr>
      </w:pPr>
      <w:r w:rsidRPr="00DE096C">
        <w:rPr>
          <w:bCs/>
          <w:color w:val="002060"/>
          <w:sz w:val="16"/>
          <w:szCs w:val="16"/>
        </w:rPr>
        <w:t xml:space="preserve">С военной точки зрения первый рейд цеппелинов L-3 и L-4 провалился. Военные заводы не пострадали, бомбы разрушили несколько небольших зданий на городской площади (по оценкам страховых компаний, сумма нанесенного ущерба составила около 100 000 фунтов стерлингов). Четыре человека было убито, шестнадцать ранены. Однако Петер Штрассер был в восторге. Его теоретические разработки неограниченной воздушной войны получили блестящее подтверждение. Дирижабли могли поражать заранее выбранные цели в глубоком тылу врага без особого риска быть сбитыми. </w:t>
      </w:r>
    </w:p>
    <w:p w14:paraId="33135A62" w14:textId="77777777" w:rsidR="00B67D7C" w:rsidRPr="00DE096C" w:rsidRDefault="00B67D7C" w:rsidP="00D45A46">
      <w:pPr>
        <w:jc w:val="both"/>
        <w:rPr>
          <w:bCs/>
          <w:color w:val="002060"/>
          <w:sz w:val="16"/>
          <w:szCs w:val="16"/>
        </w:rPr>
      </w:pPr>
      <w:r w:rsidRPr="00DE096C">
        <w:rPr>
          <w:bCs/>
          <w:color w:val="002060"/>
          <w:sz w:val="16"/>
          <w:szCs w:val="16"/>
        </w:rPr>
        <w:t xml:space="preserve">Сообщение об успешном налете на Англию по всей стране встретили [111] с большим энтузиазмом. Немецкие газеты буквально захлебывались от восторга. Вот, например, выдержка из передовой статьи «Кельнише цайтунг» от 21 января 1915 года: «...наши цеппелины вознесли огненную десницу возмездия над Британией. Надменная Англия трепещет, с ужасом ожидая новых неотразимых ударов. Самое совершенное оружие, созданное гением немецких инженеров, — дирижабль — способно поражать нашего врага в самое сердце! </w:t>
      </w:r>
    </w:p>
    <w:p w14:paraId="087F379F" w14:textId="77777777" w:rsidR="00B67D7C" w:rsidRPr="00DE096C" w:rsidRDefault="00B67D7C" w:rsidP="00D45A46">
      <w:pPr>
        <w:jc w:val="both"/>
        <w:rPr>
          <w:bCs/>
          <w:color w:val="002060"/>
          <w:sz w:val="16"/>
          <w:szCs w:val="16"/>
        </w:rPr>
      </w:pPr>
      <w:r w:rsidRPr="00DE096C">
        <w:rPr>
          <w:bCs/>
          <w:color w:val="002060"/>
          <w:sz w:val="16"/>
          <w:szCs w:val="16"/>
        </w:rPr>
        <w:t xml:space="preserve">Око за око, кровь за кровь — только так будем обращаться с неприятелем. Это самый быстрый способ победно завершить войну, а значит, и самый гуманный. Сегодня Германия поздравляет графа Цеппелина, увидевшего триумф своего детища, и благодарит его за то, что своим талантом и верой он подарил нашей стране чудо-оружие, подобного которому нет и не будет у англичан». </w:t>
      </w:r>
    </w:p>
    <w:p w14:paraId="13859652" w14:textId="77777777" w:rsidR="00B67D7C" w:rsidRPr="00DE096C" w:rsidRDefault="00B67D7C" w:rsidP="00D45A46">
      <w:pPr>
        <w:shd w:val="clear" w:color="auto" w:fill="FFFFFF"/>
        <w:jc w:val="both"/>
        <w:rPr>
          <w:bCs/>
          <w:color w:val="002060"/>
          <w:sz w:val="16"/>
          <w:szCs w:val="16"/>
        </w:rPr>
      </w:pPr>
    </w:p>
    <w:p w14:paraId="06E48D2D" w14:textId="77777777" w:rsidR="00B67D7C" w:rsidRPr="00DE096C" w:rsidRDefault="00B67D7C" w:rsidP="00D45A46">
      <w:pPr>
        <w:jc w:val="both"/>
        <w:rPr>
          <w:bCs/>
          <w:i/>
          <w:color w:val="002060"/>
          <w:sz w:val="16"/>
          <w:szCs w:val="16"/>
        </w:rPr>
      </w:pPr>
      <w:r w:rsidRPr="00DE096C">
        <w:rPr>
          <w:bCs/>
          <w:i/>
          <w:color w:val="002060"/>
          <w:sz w:val="16"/>
          <w:szCs w:val="16"/>
        </w:rPr>
        <w:t>Самолетостроение:</w:t>
      </w:r>
    </w:p>
    <w:p w14:paraId="0908B278" w14:textId="77777777" w:rsidR="00B67D7C" w:rsidRPr="00DE096C" w:rsidRDefault="00B67D7C" w:rsidP="00D45A46">
      <w:pPr>
        <w:jc w:val="both"/>
        <w:rPr>
          <w:bCs/>
          <w:i/>
          <w:color w:val="002060"/>
          <w:sz w:val="16"/>
          <w:szCs w:val="16"/>
        </w:rPr>
      </w:pPr>
    </w:p>
    <w:p w14:paraId="2DB36522" w14:textId="77777777" w:rsidR="00B67D7C" w:rsidRPr="00DE096C" w:rsidRDefault="00B67D7C" w:rsidP="00D45A46">
      <w:pPr>
        <w:jc w:val="both"/>
        <w:rPr>
          <w:bCs/>
          <w:color w:val="002060"/>
          <w:sz w:val="16"/>
          <w:szCs w:val="16"/>
        </w:rPr>
      </w:pPr>
      <w:r w:rsidRPr="00DE096C">
        <w:rPr>
          <w:bCs/>
          <w:color w:val="002060"/>
          <w:sz w:val="16"/>
          <w:szCs w:val="16"/>
        </w:rPr>
        <w:lastRenderedPageBreak/>
        <w:t xml:space="preserve">В конце декабря 1914 командиру 21-го као поступил запрос от шефа русской авиации Великого Князя Александра Михайловича относительно пригодности "Лебедя-седьмого" для боевой работы. Такая поспешность была вызвана необходимостью наладить производство пригодного для войны самолета на отечественных заводах, поскольку авиатехники в русской армии катастрофически не хватало, а зарубежные поставки шли из рук вон плохо. </w:t>
      </w:r>
    </w:p>
    <w:p w14:paraId="563BA463" w14:textId="77777777" w:rsidR="00B67D7C" w:rsidRPr="00DE096C" w:rsidRDefault="00B67D7C" w:rsidP="00D45A46">
      <w:pPr>
        <w:jc w:val="both"/>
        <w:rPr>
          <w:bCs/>
          <w:color w:val="002060"/>
          <w:sz w:val="16"/>
          <w:szCs w:val="16"/>
        </w:rPr>
      </w:pPr>
      <w:r w:rsidRPr="00DE096C">
        <w:rPr>
          <w:bCs/>
          <w:color w:val="002060"/>
          <w:sz w:val="16"/>
          <w:szCs w:val="16"/>
        </w:rPr>
        <w:t xml:space="preserve">Военный летчик 21-го као поручик Верницкий, летавший на самолете "Лебедь"-VII, указал в отчете, что "летать приходилось мало и полеты не раскрыли всех возможностей самолета. И все же при равной скорости с Мораном "Лебедь"-VII имеет лучший обзор, спуск на нем легче. Однако как одноместный он нежелателен для военных целей". [Для сравнения: изначально "Таблоид" был двухместным, но англичане пришли к прямо противоположному выводу относительно одноместных "скаутов". Правда, "Сопвичей" построили совсем немного, а основным типом стал "Бристоль". Прим.ред.] По-видимому, эта оценка стала причиной отказа от серийной постройки "Лебедя"-VII и оставшиеся экземпляры поступили в Гатчинскую авиашколу, где использовались до начала 1917 г. Одна из последних "семерок" (зав. № 53, школьный № 1) была поломана при посадке поручиком Циргиладзе 5 февраля 1917 г. </w:t>
      </w:r>
    </w:p>
    <w:p w14:paraId="491E5E67" w14:textId="77777777" w:rsidR="00B67D7C" w:rsidRPr="00DE096C" w:rsidRDefault="00B67D7C" w:rsidP="00D45A46">
      <w:pPr>
        <w:jc w:val="both"/>
        <w:rPr>
          <w:bCs/>
          <w:color w:val="002060"/>
          <w:sz w:val="16"/>
          <w:szCs w:val="16"/>
        </w:rPr>
      </w:pPr>
      <w:r w:rsidRPr="00DE096C">
        <w:rPr>
          <w:bCs/>
          <w:color w:val="002060"/>
          <w:sz w:val="16"/>
          <w:szCs w:val="16"/>
        </w:rPr>
        <w:t xml:space="preserve">Два самолета "Лебедь"-VII оставались на вооружении 21-го као до мая 1915 г. Поручик Верницкий совершил на них более 30 воздушных разведок на фронте 6-го армейского корпуса. Самая длительная составила 2 ч 30 мин (2 апреля). Позже оба самолета были сданы в тыловой авиапарк для ремонта. </w:t>
      </w:r>
    </w:p>
    <w:p w14:paraId="2D187999" w14:textId="77777777" w:rsidR="00B67D7C" w:rsidRPr="00DE096C" w:rsidRDefault="00B67D7C" w:rsidP="00D45A46">
      <w:pPr>
        <w:jc w:val="both"/>
        <w:rPr>
          <w:bCs/>
          <w:color w:val="002060"/>
          <w:sz w:val="16"/>
          <w:szCs w:val="16"/>
        </w:rPr>
      </w:pPr>
      <w:r w:rsidRPr="00DE096C">
        <w:rPr>
          <w:bCs/>
          <w:color w:val="002060"/>
          <w:sz w:val="16"/>
          <w:szCs w:val="16"/>
        </w:rPr>
        <w:t xml:space="preserve">Весной 1915 г. один "Лебедь"-VII находился на вооружении Гродненского крепостного авиаотряда. На нем летал военный летчик поручик Семенов. Еще один такой аппарат поступил в 7-й истребительный авиаотряд в декабре 1916 г. для тренировочных полетов, но в конце месяца его разбил на посадке прапорщик Янченко. Аппарпт отправили для ремонта в тыл (11183). </w:t>
      </w:r>
    </w:p>
    <w:p w14:paraId="1EFDB6CE" w14:textId="77777777" w:rsidR="00B67D7C" w:rsidRPr="00DE096C" w:rsidRDefault="00B67D7C" w:rsidP="00D45A46">
      <w:pPr>
        <w:jc w:val="both"/>
        <w:rPr>
          <w:bCs/>
          <w:color w:val="002060"/>
          <w:sz w:val="16"/>
          <w:szCs w:val="16"/>
        </w:rPr>
      </w:pPr>
      <w:r w:rsidRPr="00DE096C">
        <w:rPr>
          <w:bCs/>
          <w:color w:val="002060"/>
          <w:sz w:val="16"/>
          <w:szCs w:val="16"/>
        </w:rPr>
        <w:t>"Лебедь"-VIII - Попытка усовершенствовать "Лебедь"-VII путем установки двухстоечной коробки крыльев с элеронами только на верхнем крыле. Чуть позже шасси заменили на новое, более современной конструкции без противокапотажных полозов. Кроме того, существенно увеличены размеры кабины для размещения рядом с пилотом наблюдателя. Новая модификация, получившая обозначение "Лебедь"-VIII, не принесла ожидаемого эффекта: грузоподъемность не повысилась, а летные качества ухудшились. Построено два экземпляра этого типа (11183).</w:t>
      </w:r>
    </w:p>
    <w:p w14:paraId="065AB69C" w14:textId="77777777" w:rsidR="00B67D7C" w:rsidRPr="00DE096C" w:rsidRDefault="00B67D7C" w:rsidP="00D45A46">
      <w:pPr>
        <w:jc w:val="both"/>
        <w:rPr>
          <w:bCs/>
          <w:color w:val="002060"/>
          <w:sz w:val="16"/>
          <w:szCs w:val="16"/>
        </w:rPr>
      </w:pPr>
    </w:p>
    <w:p w14:paraId="611C33DF" w14:textId="77777777" w:rsidR="00B67D7C" w:rsidRPr="00DE096C" w:rsidRDefault="00B67D7C" w:rsidP="00D45A46">
      <w:pPr>
        <w:jc w:val="both"/>
        <w:rPr>
          <w:bCs/>
          <w:i/>
          <w:color w:val="002060"/>
          <w:sz w:val="16"/>
          <w:szCs w:val="16"/>
        </w:rPr>
      </w:pPr>
      <w:r w:rsidRPr="00DE096C">
        <w:rPr>
          <w:bCs/>
          <w:i/>
          <w:color w:val="002060"/>
          <w:sz w:val="16"/>
          <w:szCs w:val="16"/>
        </w:rPr>
        <w:t>Авиация:</w:t>
      </w:r>
    </w:p>
    <w:p w14:paraId="11FECA81" w14:textId="77777777" w:rsidR="00B67D7C" w:rsidRPr="00DE096C" w:rsidRDefault="00B67D7C" w:rsidP="00D45A46">
      <w:pPr>
        <w:jc w:val="both"/>
        <w:rPr>
          <w:bCs/>
          <w:i/>
          <w:color w:val="002060"/>
          <w:sz w:val="16"/>
          <w:szCs w:val="16"/>
        </w:rPr>
      </w:pPr>
    </w:p>
    <w:p w14:paraId="36512CE7" w14:textId="77777777" w:rsidR="00B67D7C" w:rsidRPr="00DE096C" w:rsidRDefault="00B67D7C" w:rsidP="00D45A46">
      <w:pPr>
        <w:jc w:val="both"/>
        <w:rPr>
          <w:bCs/>
          <w:color w:val="002060"/>
          <w:sz w:val="16"/>
          <w:szCs w:val="16"/>
        </w:rPr>
      </w:pPr>
      <w:r w:rsidRPr="00DE096C">
        <w:rPr>
          <w:bCs/>
          <w:color w:val="002060"/>
          <w:sz w:val="16"/>
          <w:szCs w:val="16"/>
        </w:rPr>
        <w:t>В конце декабря 1914 г. эскадра уже сосредоточилась на площадке у городка Яблонна в Польше. Первый боевой вылет совершили 14 февраля 1915 г. Но экипаж не нашел предписанную ему цель. Лишь на следующий день "Муромец" Г.Г. Горшкова отбомбился по железнодорожной станции Вилленберг в Восточной Пруссии. С этого момента самолеты эскадры начали летать на бомбометание и фотографирование (12036).</w:t>
      </w:r>
    </w:p>
    <w:p w14:paraId="63347B66" w14:textId="77777777" w:rsidR="00B67D7C" w:rsidRPr="00DE096C" w:rsidRDefault="00B67D7C" w:rsidP="00D45A46">
      <w:pPr>
        <w:jc w:val="both"/>
        <w:rPr>
          <w:bCs/>
          <w:color w:val="002060"/>
          <w:sz w:val="16"/>
          <w:szCs w:val="16"/>
        </w:rPr>
      </w:pPr>
    </w:p>
    <w:p w14:paraId="36269128" w14:textId="77777777" w:rsidR="009718A3" w:rsidRPr="00B52707" w:rsidRDefault="009718A3" w:rsidP="009718A3">
      <w:pPr>
        <w:jc w:val="both"/>
        <w:rPr>
          <w:color w:val="0070C0"/>
          <w:sz w:val="16"/>
          <w:szCs w:val="16"/>
        </w:rPr>
      </w:pPr>
      <w:r w:rsidRPr="00B52707">
        <w:rPr>
          <w:color w:val="0070C0"/>
          <w:sz w:val="16"/>
          <w:szCs w:val="16"/>
        </w:rPr>
        <w:t>В конце декабря 1914 г. эскадра воздушных кораблей уже сосредоточилась на площадке у городка Яблонна в Польше. Первый боевой вы</w:t>
      </w:r>
      <w:r w:rsidRPr="00B52707">
        <w:rPr>
          <w:color w:val="0070C0"/>
          <w:sz w:val="16"/>
          <w:szCs w:val="16"/>
        </w:rPr>
        <w:softHyphen/>
        <w:t>лет совершили 14 февраля 1915 г. Но экипаж не нашел пред</w:t>
      </w:r>
      <w:r w:rsidRPr="00B52707">
        <w:rPr>
          <w:color w:val="0070C0"/>
          <w:sz w:val="16"/>
          <w:szCs w:val="16"/>
        </w:rPr>
        <w:softHyphen/>
        <w:t>писанную ему цель. Лишь на следующий день «Муромец» Г.Г. Горшкова отбомбился по железнодорожной станции Вилленберг в Восточной Пруссии. С этого момента само</w:t>
      </w:r>
      <w:r w:rsidRPr="00B52707">
        <w:rPr>
          <w:color w:val="0070C0"/>
          <w:sz w:val="16"/>
          <w:szCs w:val="16"/>
        </w:rPr>
        <w:softHyphen/>
        <w:t>леты эскадры начали летать на бомбометание и фотографи</w:t>
      </w:r>
      <w:r w:rsidRPr="00B52707">
        <w:rPr>
          <w:color w:val="0070C0"/>
          <w:sz w:val="16"/>
          <w:szCs w:val="16"/>
        </w:rPr>
        <w:softHyphen/>
        <w:t>рование (24977).</w:t>
      </w:r>
    </w:p>
    <w:p w14:paraId="009B8885" w14:textId="77777777" w:rsidR="009718A3" w:rsidRPr="00B52707" w:rsidRDefault="009718A3" w:rsidP="009718A3">
      <w:pPr>
        <w:jc w:val="both"/>
        <w:rPr>
          <w:color w:val="0070C0"/>
          <w:sz w:val="16"/>
          <w:szCs w:val="16"/>
        </w:rPr>
      </w:pPr>
    </w:p>
    <w:p w14:paraId="20BD4856" w14:textId="3BDFAE65" w:rsidR="00424ECC" w:rsidRPr="00DE096C" w:rsidRDefault="00424ECC" w:rsidP="00D45A46">
      <w:pPr>
        <w:jc w:val="both"/>
        <w:rPr>
          <w:bCs/>
          <w:i/>
          <w:color w:val="002060"/>
          <w:sz w:val="16"/>
          <w:szCs w:val="16"/>
        </w:rPr>
      </w:pPr>
      <w:r w:rsidRPr="00DE096C">
        <w:rPr>
          <w:bCs/>
          <w:i/>
          <w:color w:val="002060"/>
          <w:sz w:val="16"/>
          <w:szCs w:val="16"/>
        </w:rPr>
        <w:t>Морская авиация:</w:t>
      </w:r>
    </w:p>
    <w:p w14:paraId="6F15159E" w14:textId="77777777" w:rsidR="00424ECC" w:rsidRPr="00DE096C" w:rsidRDefault="00424ECC" w:rsidP="00D45A46">
      <w:pPr>
        <w:jc w:val="both"/>
        <w:rPr>
          <w:bCs/>
          <w:i/>
          <w:color w:val="002060"/>
          <w:sz w:val="16"/>
          <w:szCs w:val="16"/>
        </w:rPr>
      </w:pPr>
    </w:p>
    <w:p w14:paraId="16EB50A0" w14:textId="77777777" w:rsidR="00424ECC" w:rsidRPr="00DE096C" w:rsidRDefault="00424ECC" w:rsidP="00D45A46">
      <w:pPr>
        <w:jc w:val="both"/>
        <w:rPr>
          <w:bCs/>
          <w:color w:val="002060"/>
          <w:sz w:val="16"/>
          <w:szCs w:val="16"/>
        </w:rPr>
      </w:pPr>
      <w:r w:rsidRPr="00DE096C">
        <w:rPr>
          <w:bCs/>
          <w:color w:val="002060"/>
          <w:sz w:val="16"/>
          <w:szCs w:val="16"/>
          <w:lang w:bidi="en-US"/>
        </w:rPr>
        <w:t>В конце декабря 1914 г. Морской генеральный штаб был уведомлен о срочной потребности Черноморского флота в корабельной авиации и специальных авиационных судах. Существующие морские уставы еще не предусматривали необходимости строительства или переоборудования таких кораблей или создания корабельных частей.</w:t>
      </w:r>
    </w:p>
    <w:p w14:paraId="5C80D846" w14:textId="77777777" w:rsidR="00424ECC" w:rsidRPr="00DE096C" w:rsidRDefault="00424ECC" w:rsidP="00D45A46">
      <w:pPr>
        <w:jc w:val="both"/>
        <w:rPr>
          <w:bCs/>
          <w:color w:val="002060"/>
          <w:sz w:val="16"/>
          <w:szCs w:val="16"/>
          <w:lang w:bidi="en-US"/>
        </w:rPr>
      </w:pPr>
      <w:r w:rsidRPr="00DE096C">
        <w:rPr>
          <w:bCs/>
          <w:color w:val="002060"/>
          <w:sz w:val="16"/>
          <w:szCs w:val="16"/>
          <w:lang w:bidi="en-US"/>
        </w:rPr>
        <w:t>Основная база радиосетей связи флота находилась в Севастополе с радиостанциями на двадцать два и два киловатта. Он мог связаться с Петроградом, Гельсингфорсом в Финляндии, Тифлисом на Кавказе и кораблями в Черном море. В декабре для мгновенной связи со Ставкой был установлен «бодо» (буквенный телеграфный аппарат) (23525).</w:t>
      </w:r>
    </w:p>
    <w:p w14:paraId="55F5E093" w14:textId="77777777" w:rsidR="00424ECC" w:rsidRPr="00DE096C" w:rsidRDefault="00424ECC" w:rsidP="00D45A46">
      <w:pPr>
        <w:jc w:val="both"/>
        <w:rPr>
          <w:bCs/>
          <w:color w:val="002060"/>
          <w:sz w:val="16"/>
          <w:szCs w:val="16"/>
        </w:rPr>
      </w:pPr>
    </w:p>
    <w:p w14:paraId="6F6EDDF4" w14:textId="188CDD5E" w:rsidR="00B67D7C" w:rsidRPr="00DE096C" w:rsidRDefault="00B67D7C" w:rsidP="00D45A46">
      <w:pPr>
        <w:jc w:val="both"/>
        <w:rPr>
          <w:bCs/>
          <w:i/>
          <w:color w:val="002060"/>
          <w:sz w:val="16"/>
          <w:szCs w:val="16"/>
        </w:rPr>
      </w:pPr>
      <w:r w:rsidRPr="00DE096C">
        <w:rPr>
          <w:bCs/>
          <w:i/>
          <w:color w:val="002060"/>
          <w:sz w:val="16"/>
          <w:szCs w:val="16"/>
        </w:rPr>
        <w:t>Самолетостроение:</w:t>
      </w:r>
    </w:p>
    <w:p w14:paraId="0B45DB0C" w14:textId="77777777" w:rsidR="00B67D7C" w:rsidRPr="00DE096C" w:rsidRDefault="00B67D7C" w:rsidP="00D45A46">
      <w:pPr>
        <w:jc w:val="both"/>
        <w:rPr>
          <w:bCs/>
          <w:i/>
          <w:color w:val="002060"/>
          <w:sz w:val="16"/>
          <w:szCs w:val="16"/>
        </w:rPr>
      </w:pPr>
    </w:p>
    <w:p w14:paraId="11F10326" w14:textId="77777777" w:rsidR="00036953" w:rsidRPr="00DE096C" w:rsidRDefault="00036953" w:rsidP="00D45A46">
      <w:pPr>
        <w:shd w:val="clear" w:color="auto" w:fill="FFFFFF"/>
        <w:jc w:val="both"/>
        <w:rPr>
          <w:bCs/>
          <w:color w:val="002060"/>
          <w:sz w:val="16"/>
          <w:szCs w:val="16"/>
        </w:rPr>
      </w:pPr>
      <w:r w:rsidRPr="00DE096C">
        <w:rPr>
          <w:bCs/>
          <w:color w:val="002060"/>
          <w:sz w:val="16"/>
          <w:szCs w:val="16"/>
        </w:rPr>
        <w:t>В декабре 1914 г. триплан Безобразова-Моска перевезли в Севастополь. Переделки и доводки заняли весь год, в конце 1915 г. законченный самолет вновь поднялся в воздух. В июне 1916 г. корнет Безобразов был откомандирован в Москву и «прибыл в школу 15 июля 1916 г. из Севастопольской Военной Авиационной школы со своей мастерской впредь до особого распоряжения."</w:t>
      </w:r>
    </w:p>
    <w:p w14:paraId="66128D96" w14:textId="77777777" w:rsidR="00036953" w:rsidRPr="00DE096C" w:rsidRDefault="00036953" w:rsidP="00D45A46">
      <w:pPr>
        <w:shd w:val="clear" w:color="auto" w:fill="FFFFFF"/>
        <w:jc w:val="both"/>
        <w:rPr>
          <w:bCs/>
          <w:color w:val="002060"/>
          <w:sz w:val="16"/>
          <w:szCs w:val="16"/>
        </w:rPr>
      </w:pPr>
    </w:p>
    <w:p w14:paraId="70CEA9F3" w14:textId="77777777" w:rsidR="00036953" w:rsidRPr="00DE096C" w:rsidRDefault="00036953" w:rsidP="00D45A46">
      <w:pPr>
        <w:pStyle w:val="2"/>
        <w:spacing w:before="0" w:after="0"/>
        <w:jc w:val="both"/>
        <w:rPr>
          <w:b w:val="0"/>
          <w:bCs/>
          <w:color w:val="002060"/>
          <w:sz w:val="16"/>
          <w:szCs w:val="16"/>
        </w:rPr>
      </w:pPr>
      <w:r w:rsidRPr="00DE096C">
        <w:rPr>
          <w:b w:val="0"/>
          <w:bCs/>
          <w:color w:val="002060"/>
          <w:sz w:val="16"/>
          <w:szCs w:val="16"/>
        </w:rPr>
        <w:t>В декабре 1914 г. триплан Безобразова перевезли в Севастополь. Изобретатель занимался переделками и доводками весь год, в конце 1915 г. законченный самолет вновь поднялся в воздух. В июне 1916 г. корнет Безобразов был откомандирован в Москву и «прибыл в школу 15 июля 1916 г. из Севастопольской Военной Авиационной школы со своей мастерской впредь до особого распоряжения.»</w:t>
      </w:r>
    </w:p>
    <w:p w14:paraId="435AD626" w14:textId="77777777" w:rsidR="00036953" w:rsidRPr="00DE096C" w:rsidRDefault="00036953" w:rsidP="00D45A46">
      <w:pPr>
        <w:pStyle w:val="2"/>
        <w:spacing w:before="0" w:after="0"/>
        <w:jc w:val="both"/>
        <w:rPr>
          <w:b w:val="0"/>
          <w:bCs/>
          <w:color w:val="002060"/>
          <w:sz w:val="16"/>
          <w:szCs w:val="16"/>
        </w:rPr>
      </w:pPr>
      <w:r w:rsidRPr="00DE096C">
        <w:rPr>
          <w:b w:val="0"/>
          <w:bCs/>
          <w:color w:val="002060"/>
          <w:sz w:val="16"/>
          <w:szCs w:val="16"/>
        </w:rPr>
        <w:t>На Ходынве триплан испытывал фронтовой летчик И.А.Орлов, 16 июня 1916 г. одержавший свою вторую победу в воздухе. 6 августа на взлете из-за поломки оси колес самолет скапотировал и был основательно поврежден. Будущий ас Орлов отправился на фронт, затем уехал воевать во Францию, а Безобразову ничего не оставалось делать, как восстанавливать триплан. К февралю 1917 г. машину он отремонтировал, но было уже поздно. Дальнейшая судьба уникального самолета, одного из шести построенных в России трипланов, неизвестна (15464).</w:t>
      </w:r>
    </w:p>
    <w:p w14:paraId="0ED647D9" w14:textId="77777777" w:rsidR="00036953" w:rsidRPr="00DE096C" w:rsidRDefault="00036953" w:rsidP="00D45A46">
      <w:pPr>
        <w:pStyle w:val="2"/>
        <w:spacing w:before="0" w:after="0"/>
        <w:jc w:val="both"/>
        <w:rPr>
          <w:b w:val="0"/>
          <w:bCs/>
          <w:color w:val="002060"/>
          <w:sz w:val="16"/>
          <w:szCs w:val="16"/>
        </w:rPr>
      </w:pPr>
    </w:p>
    <w:p w14:paraId="4D8F13B7" w14:textId="77777777" w:rsidR="00036953" w:rsidRPr="00DE096C" w:rsidRDefault="00036953" w:rsidP="00D45A46">
      <w:pPr>
        <w:pStyle w:val="ae"/>
        <w:spacing w:before="0" w:beforeAutospacing="0" w:after="0" w:afterAutospacing="0"/>
        <w:jc w:val="both"/>
        <w:rPr>
          <w:bCs/>
          <w:color w:val="002060"/>
          <w:sz w:val="16"/>
          <w:szCs w:val="16"/>
        </w:rPr>
      </w:pPr>
      <w:r w:rsidRPr="00DE096C">
        <w:rPr>
          <w:bCs/>
          <w:color w:val="002060"/>
          <w:sz w:val="16"/>
          <w:szCs w:val="16"/>
        </w:rPr>
        <w:t>В декабре 1914 года началось изготовление самолета Святогор и в основном закончилось 22 июня 1915 года. Отсутствие двигателей, однако, не позволило сразу довести аппарат до летного состояния. В условиях продолжающейся войны получить запланированные двигатели «Mercedes» мощностью 300 л.с. не представлялось возможным. Попытка использовать силовую установку со сбитого немецкого дирижабля не удалась — двигатели «Maybach» оказались значительно повреждены. В январе 1916 года были получены французские двигатели «Renault» мощностью 220 л.с., которые и установили на «Святогор» (18682).</w:t>
      </w:r>
    </w:p>
    <w:p w14:paraId="04F4430D" w14:textId="77777777" w:rsidR="00036953" w:rsidRPr="00DE096C" w:rsidRDefault="00036953" w:rsidP="00D45A46">
      <w:pPr>
        <w:jc w:val="both"/>
        <w:rPr>
          <w:bCs/>
          <w:color w:val="002060"/>
          <w:sz w:val="16"/>
          <w:szCs w:val="16"/>
        </w:rPr>
      </w:pPr>
    </w:p>
    <w:p w14:paraId="21630902" w14:textId="4E8451EA" w:rsidR="00B67D7C" w:rsidRPr="00DE096C" w:rsidRDefault="00E507DE"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декабре 1914 г. Государем был издав приказ, по которому русская авиация делилась на тяжелую, подчиненную Штабу Верховного Главнокомандования, и легкую, входящую в войcковые соединения и подчиненную Великому Князю Александру Михайловичу. Этим историческим приказом было положено начало стратегической авиации. По этому же приказу формировалась эскадра из десяти боевых и двух учебных кораблей типа "Илья Муромец". Командующим или, как тогда называли, начальником эскадры назначался М. В. Шидловский, который призывался на действительную военную службу с присвоением ему звания генерал-майор. Это был первый авиационный генерал (11230).</w:t>
      </w:r>
    </w:p>
    <w:p w14:paraId="6F5D45A6" w14:textId="77777777" w:rsidR="00B67D7C" w:rsidRPr="00DE096C" w:rsidRDefault="00B67D7C" w:rsidP="00D45A46">
      <w:pPr>
        <w:jc w:val="both"/>
        <w:rPr>
          <w:bCs/>
          <w:color w:val="002060"/>
          <w:sz w:val="16"/>
          <w:szCs w:val="16"/>
        </w:rPr>
      </w:pPr>
      <w:r w:rsidRPr="00DE096C">
        <w:rPr>
          <w:bCs/>
          <w:color w:val="002060"/>
          <w:sz w:val="16"/>
          <w:szCs w:val="16"/>
        </w:rPr>
        <w:t>Несомненные организаторские способности Шидловского как нельзя лучше раскрылись при развертывании эскадры. В том же декабре командующий полностью укомплектовал боевое соединение личным составом, материальной частью, вспомогательным оборудованием и в конце месяца уже прибыл на базу недалеко от городка Яблонна под Варшавой в 40 км от линии фронта. Вместе с Шидловским в качестве технического советника штаба эскадры из Петрограда отбыл и Сикорский. Старшим механиком эскадры воздушных кораблей был назначен лейтенант флота российского М. Н. Никольской (младший брат помощника командира 2-го корабля). Офицер-подводник, изобретатель шнорхеля, прекрасный специалист, он много сделал для поддержания в боевой готовности воздушных кораблей. Эскадренным врачом стал один из пионеров отечественной рентгеноскопии К. Н. Финне, первый летописец эскадры (11230).</w:t>
      </w:r>
    </w:p>
    <w:p w14:paraId="6845ECC9" w14:textId="77777777" w:rsidR="00B67D7C" w:rsidRPr="00DE096C" w:rsidRDefault="00B67D7C" w:rsidP="00D45A46">
      <w:pPr>
        <w:jc w:val="both"/>
        <w:rPr>
          <w:bCs/>
          <w:color w:val="002060"/>
          <w:sz w:val="16"/>
          <w:szCs w:val="16"/>
        </w:rPr>
      </w:pPr>
      <w:r w:rsidRPr="00DE096C">
        <w:rPr>
          <w:bCs/>
          <w:color w:val="002060"/>
          <w:sz w:val="16"/>
          <w:szCs w:val="16"/>
        </w:rPr>
        <w:t>Место базирования было выбрано не случайно. Оно было достаточно близко от фронта, защищено с севера Новогеоргиевской крепостью, с запада позициями на реке Бзуре и с юга Варшавской оборонительной системой (11230).</w:t>
      </w:r>
    </w:p>
    <w:p w14:paraId="5D99C20B" w14:textId="77777777" w:rsidR="00B67D7C" w:rsidRPr="00DE096C" w:rsidRDefault="00B67D7C" w:rsidP="00D45A46">
      <w:pPr>
        <w:jc w:val="both"/>
        <w:rPr>
          <w:bCs/>
          <w:color w:val="002060"/>
          <w:sz w:val="16"/>
          <w:szCs w:val="16"/>
        </w:rPr>
      </w:pPr>
      <w:r w:rsidRPr="00DE096C">
        <w:rPr>
          <w:bCs/>
          <w:color w:val="002060"/>
          <w:sz w:val="16"/>
          <w:szCs w:val="16"/>
        </w:rPr>
        <w:t>Кроме того, в Яблонне находилась железнодорожная платформа, связанная с Варшавским железнодорожным узлом. Вблизи платформы находилось большое ровное поле, пригодное для использования в качестве аэродрома (11230).</w:t>
      </w:r>
    </w:p>
    <w:p w14:paraId="6EB616D4" w14:textId="77777777" w:rsidR="00B67D7C" w:rsidRPr="00DE096C" w:rsidRDefault="00B67D7C" w:rsidP="00D45A46">
      <w:pPr>
        <w:jc w:val="both"/>
        <w:rPr>
          <w:bCs/>
          <w:color w:val="002060"/>
          <w:sz w:val="16"/>
          <w:szCs w:val="16"/>
        </w:rPr>
      </w:pPr>
      <w:r w:rsidRPr="00DE096C">
        <w:rPr>
          <w:bCs/>
          <w:color w:val="002060"/>
          <w:sz w:val="16"/>
          <w:szCs w:val="16"/>
        </w:rPr>
        <w:t>В целях укрепления кадров на должность начальника центральной метеостанции эскадры Шидловский попросил назначить известного ученого, научного сотрудника Пулковской обсерватории М. М. Рыкачева. Тот, в свою очередь, организуя эскадренную метеостанцию, добился снабжения ее необходимыми приборами. Для получения ежедневных метеосводок была установлена прямая телефонная связь с Пулковской обсерваторией. На должность помощника командующего эскадрой прибыл профессор Инженерной академии, крупнейший военный специалист по конструкции летательных аппаратов полковник В. Ф. Найденов. Личное обаяние М. В. Шидловского, его высокий авторитет, удивительная способность распознавать таланты как нельзя лучше способствовали становлению коллектива (11230).</w:t>
      </w:r>
    </w:p>
    <w:p w14:paraId="5A96C65D" w14:textId="77777777" w:rsidR="00B67D7C" w:rsidRPr="00DE096C" w:rsidRDefault="00B67D7C" w:rsidP="00D45A46">
      <w:pPr>
        <w:jc w:val="both"/>
        <w:rPr>
          <w:bCs/>
          <w:color w:val="002060"/>
          <w:sz w:val="16"/>
          <w:szCs w:val="16"/>
        </w:rPr>
      </w:pPr>
    </w:p>
    <w:p w14:paraId="6544C7A8"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Август 1913 г.- декабрь 1914 года. Прототип </w:t>
      </w:r>
    </w:p>
    <w:p w14:paraId="1AAC6B20"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Полеты «Русского Витязя» полностью подтвердили возможность создания тяжелых многомоторных самолетов, и свою заинтересованность в таких аппаратах проявило военное министерство. С августа 1913 г. на Русско-Балтийском вагонным заводе (РБВЗ) началась постройка прототипа нового четырехмоторного тяжелого аэроплана, который получил название в честь русского былинного богатыря "Илья Муромец" (оно стало общим названием для различных модификаций этой машины, строившейся на заводе с 1913 по 1917 г.). Прототип за № 107 был готов в декабре 1913 г. и 10 числа совершен первый полет. На этом аппарате между коробкой крыльев и оперением имелось среднее крыло с кабанами для крепления расчалок, а под фюзеляжем было сделано дополнительное среднее шасси. Среднее крыло себя </w:t>
      </w:r>
      <w:r w:rsidRPr="00DE096C">
        <w:rPr>
          <w:bCs/>
          <w:i w:val="0"/>
          <w:color w:val="002060"/>
          <w:spacing w:val="0"/>
          <w:kern w:val="0"/>
          <w:position w:val="0"/>
          <w:sz w:val="16"/>
          <w:szCs w:val="16"/>
        </w:rPr>
        <w:lastRenderedPageBreak/>
        <w:t>не оправдало и его вскоре сняли. После удачных испытаний и ряда достижений первого построенного аппарата типа "Илья Муромец" №107 Главное Военно-Техническое Управление (ГВТУ) заключило 12 мая 1914 г. контракт №2685/1515 с РБВЗ на постройку еще 10 аэропланов этого типа (11277).</w:t>
      </w:r>
    </w:p>
    <w:p w14:paraId="63965E19" w14:textId="77777777" w:rsidR="00B67D7C" w:rsidRPr="00DE096C" w:rsidRDefault="00B67D7C" w:rsidP="00D45A46">
      <w:pPr>
        <w:pStyle w:val="a3"/>
        <w:jc w:val="both"/>
        <w:rPr>
          <w:bCs/>
          <w:i w:val="0"/>
          <w:color w:val="002060"/>
          <w:spacing w:val="0"/>
          <w:kern w:val="0"/>
          <w:position w:val="0"/>
          <w:sz w:val="16"/>
          <w:szCs w:val="16"/>
        </w:rPr>
      </w:pPr>
    </w:p>
    <w:p w14:paraId="1AA4DD1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С декабря 1914 Планер самолета Слесарева строился на заводе В.А.Лебедева быстро и без каких-либо замечаний. Но к договорному сроку - 18 марта 1915 г. - самолет не был готов, так как двигатели Рено по 220 л.с. пришли из Франции только в августе 1915 г. (Первоначально Слесарев запроектировал для своего самолета либо двигатели "Сальмсон" по 300 л.с., либо "Лавиатор" по 250 л.с. при меньшем взлетном весе. Но первый тип Франция в Россию не продавала, а второй при закупке не прошел испытаний. Была сделана попытка заполучить немецкие двигатели "Майбах" по 300 л.с., снятые со взятого в плен "цеппелина", но те после ремонта на Балтийском заводе по распоряжению военного министра были отправлены для установки на "Илье Муромце") (11069).</w:t>
      </w:r>
    </w:p>
    <w:p w14:paraId="41C3A14A" w14:textId="77777777" w:rsidR="00B67D7C" w:rsidRPr="00DE096C" w:rsidRDefault="00B67D7C" w:rsidP="00D45A46">
      <w:pPr>
        <w:shd w:val="clear" w:color="auto" w:fill="FFFFFF"/>
        <w:jc w:val="both"/>
        <w:rPr>
          <w:bCs/>
          <w:color w:val="002060"/>
          <w:sz w:val="16"/>
          <w:szCs w:val="16"/>
        </w:rPr>
      </w:pPr>
    </w:p>
    <w:p w14:paraId="090F621D" w14:textId="77777777" w:rsidR="00B67D7C" w:rsidRPr="00DE096C" w:rsidRDefault="00B67D7C" w:rsidP="00D45A46">
      <w:pPr>
        <w:jc w:val="both"/>
        <w:rPr>
          <w:bCs/>
          <w:color w:val="002060"/>
          <w:sz w:val="16"/>
          <w:szCs w:val="16"/>
        </w:rPr>
      </w:pPr>
      <w:r w:rsidRPr="00DE096C">
        <w:rPr>
          <w:bCs/>
          <w:color w:val="002060"/>
          <w:sz w:val="16"/>
          <w:szCs w:val="16"/>
        </w:rPr>
        <w:t>С декабря 1914 завед Лебедева строил Святогор Слесарева. Один из богатых помещиков, член ИВАК, взялся за финансирование и отпустил 100 000 руб. (11067).</w:t>
      </w:r>
    </w:p>
    <w:p w14:paraId="2E3397ED" w14:textId="77777777" w:rsidR="00B67D7C" w:rsidRPr="00DE096C" w:rsidRDefault="00B67D7C" w:rsidP="00D45A46">
      <w:pPr>
        <w:jc w:val="both"/>
        <w:rPr>
          <w:bCs/>
          <w:color w:val="002060"/>
          <w:sz w:val="16"/>
          <w:szCs w:val="16"/>
        </w:rPr>
      </w:pPr>
    </w:p>
    <w:p w14:paraId="01298348" w14:textId="77777777" w:rsidR="004809C0" w:rsidRPr="00DE096C" w:rsidRDefault="004809C0" w:rsidP="00D45A46">
      <w:pPr>
        <w:jc w:val="both"/>
        <w:rPr>
          <w:bCs/>
          <w:color w:val="002060"/>
          <w:sz w:val="16"/>
          <w:szCs w:val="16"/>
        </w:rPr>
      </w:pPr>
      <w:r w:rsidRPr="00DE096C">
        <w:rPr>
          <w:bCs/>
          <w:color w:val="002060"/>
          <w:sz w:val="16"/>
          <w:szCs w:val="16"/>
        </w:rPr>
        <w:t>В декабре 1914 г. на заводе Лебедева начал строиться после заключения контракта самолет "Святогор". Он был крупнейшим из построенных до 1917 г. русских самолетов: его длина составляла 21 м, размах крыльев - 36 м. Согласно расчетным данным, бомбовоз должен был иметь взлетный вес 6,5 тонн (причем половина его приходилась на полезную нагрузку!), скорость свыше 100 км/час, потолок 2500 м и время полета 30 часов. "Святогор" имел большие винты диаметром 6 м. Они приводились в движение посредством ременной передачи двумя двигателями "Рено" 220 л.с.(вместо предусмотренных проектом "Мерседесов" 300 л.с.), установленными в фюзеляже. В начале ноября 1916 г. при рулении по Комендантскому аэродрому машина попала колесом в дренажную канаву и получила повреждения. После ремонта шасси возобновились попытки продолжить испытания. Особенно много хлопот приносила трансмисссия: ременная передача оказалась ненадежной. Сначала ее заменили на канатную, потом - на тросовую. Несмотря на это, поломки в силовой группе продолжались. К сожалению, Слесареву не удалось решить эту проблему и самолет так и не поднялся в воздух (11183).</w:t>
      </w:r>
    </w:p>
    <w:p w14:paraId="309E1E00" w14:textId="77777777" w:rsidR="004809C0" w:rsidRPr="00DE096C" w:rsidRDefault="004809C0" w:rsidP="00D45A46">
      <w:pPr>
        <w:jc w:val="both"/>
        <w:rPr>
          <w:bCs/>
          <w:color w:val="002060"/>
          <w:sz w:val="16"/>
          <w:szCs w:val="16"/>
        </w:rPr>
      </w:pPr>
    </w:p>
    <w:p w14:paraId="3CF1AC5C" w14:textId="77777777" w:rsidR="004809C0" w:rsidRPr="00DE096C" w:rsidRDefault="004809C0" w:rsidP="00D45A46">
      <w:pPr>
        <w:jc w:val="both"/>
        <w:rPr>
          <w:bCs/>
          <w:color w:val="002060"/>
          <w:sz w:val="16"/>
          <w:szCs w:val="16"/>
        </w:rPr>
      </w:pPr>
      <w:r w:rsidRPr="00DE096C">
        <w:rPr>
          <w:bCs/>
          <w:color w:val="002060"/>
          <w:sz w:val="16"/>
          <w:szCs w:val="16"/>
          <w:lang w:bidi="ru-RU"/>
        </w:rPr>
        <w:t>В декабре 1914 года началось, а закончилось к концу июня 1915 года изготовление самолета «Святогор». Его строительство вел завод В.А. Лебе</w:t>
      </w:r>
      <w:r w:rsidRPr="00DE096C">
        <w:rPr>
          <w:bCs/>
          <w:color w:val="002060"/>
          <w:sz w:val="16"/>
          <w:szCs w:val="16"/>
          <w:lang w:bidi="ru-RU"/>
        </w:rPr>
        <w:softHyphen/>
        <w:t>дева в Петербурге. «Святогор» в то время «Святогором» не был - это название ему придумали позднее. По некоторым дан</w:t>
      </w:r>
      <w:r w:rsidRPr="00DE096C">
        <w:rPr>
          <w:bCs/>
          <w:color w:val="002060"/>
          <w:sz w:val="16"/>
          <w:szCs w:val="16"/>
          <w:lang w:bidi="ru-RU"/>
        </w:rPr>
        <w:softHyphen/>
        <w:t>ным, придумала его мать Слесарева, но в 1914-16 годах самолет назвали просто «аэро</w:t>
      </w:r>
      <w:r w:rsidRPr="00DE096C">
        <w:rPr>
          <w:bCs/>
          <w:color w:val="002060"/>
          <w:sz w:val="16"/>
          <w:szCs w:val="16"/>
          <w:lang w:bidi="ru-RU"/>
        </w:rPr>
        <w:softHyphen/>
        <w:t>планом Слесарева» (21288).</w:t>
      </w:r>
    </w:p>
    <w:p w14:paraId="1E6E19E8" w14:textId="77777777" w:rsidR="004809C0" w:rsidRPr="00DE096C" w:rsidRDefault="004809C0" w:rsidP="00D45A46">
      <w:pPr>
        <w:jc w:val="both"/>
        <w:rPr>
          <w:bCs/>
          <w:color w:val="002060"/>
          <w:sz w:val="16"/>
          <w:szCs w:val="16"/>
        </w:rPr>
      </w:pPr>
    </w:p>
    <w:p w14:paraId="0C582B14" w14:textId="77777777" w:rsidR="00B67D7C" w:rsidRPr="00DE096C" w:rsidRDefault="00B67D7C" w:rsidP="00D45A46">
      <w:pPr>
        <w:jc w:val="both"/>
        <w:rPr>
          <w:bCs/>
          <w:color w:val="002060"/>
          <w:sz w:val="16"/>
          <w:szCs w:val="16"/>
        </w:rPr>
      </w:pPr>
      <w:r w:rsidRPr="00DE096C">
        <w:rPr>
          <w:bCs/>
          <w:color w:val="002060"/>
          <w:sz w:val="16"/>
          <w:szCs w:val="16"/>
        </w:rPr>
        <w:t>Этот хлесткий термин появился в середине первой мировой войны для определения нового класса боевых самолетов, предназначенных для уничтожения летательных аппаратов (аэропланов, аэростатов) противника.</w:t>
      </w:r>
    </w:p>
    <w:p w14:paraId="2D7958C9" w14:textId="77777777" w:rsidR="00B67D7C" w:rsidRPr="00DE096C" w:rsidRDefault="00B67D7C" w:rsidP="00D45A46">
      <w:pPr>
        <w:jc w:val="both"/>
        <w:rPr>
          <w:bCs/>
          <w:color w:val="002060"/>
          <w:sz w:val="16"/>
          <w:szCs w:val="16"/>
        </w:rPr>
      </w:pPr>
      <w:r w:rsidRPr="00DE096C">
        <w:rPr>
          <w:bCs/>
          <w:color w:val="002060"/>
          <w:sz w:val="16"/>
          <w:szCs w:val="16"/>
        </w:rPr>
        <w:t>Истребитель родился как противоядие к средствам воздушной разведки и нападения неприятеля и потому стал субстанцией вторичной (а может быть и последней) в ряду боевых самолетов различного назначения.</w:t>
      </w:r>
    </w:p>
    <w:p w14:paraId="234FEB8A" w14:textId="77777777" w:rsidR="00B67D7C" w:rsidRPr="00DE096C" w:rsidRDefault="00B67D7C" w:rsidP="00D45A46">
      <w:pPr>
        <w:jc w:val="both"/>
        <w:rPr>
          <w:bCs/>
          <w:color w:val="002060"/>
          <w:sz w:val="16"/>
          <w:szCs w:val="16"/>
        </w:rPr>
      </w:pPr>
      <w:r w:rsidRPr="00DE096C">
        <w:rPr>
          <w:bCs/>
          <w:color w:val="002060"/>
          <w:sz w:val="16"/>
          <w:szCs w:val="16"/>
        </w:rPr>
        <w:t>Если бомбардировщик — это средство нападения на наземные цели противника, то истребитель — это защитное оружие, или средство обороны. На первых порах существования и противодействия этих двух классов летательных аппаратов под словом ИСТРЕБИТЕЛЬ подразумевался непременно истребитель бомбардировщиков.</w:t>
      </w:r>
    </w:p>
    <w:p w14:paraId="4C0BE2C7" w14:textId="77777777" w:rsidR="00B67D7C" w:rsidRPr="00DE096C" w:rsidRDefault="00B67D7C" w:rsidP="00D45A46">
      <w:pPr>
        <w:jc w:val="both"/>
        <w:rPr>
          <w:bCs/>
          <w:color w:val="002060"/>
          <w:sz w:val="16"/>
          <w:szCs w:val="16"/>
        </w:rPr>
      </w:pPr>
      <w:r w:rsidRPr="00DE096C">
        <w:rPr>
          <w:bCs/>
          <w:color w:val="002060"/>
          <w:sz w:val="16"/>
          <w:szCs w:val="16"/>
        </w:rPr>
        <w:t>В чистом виде истребитель, по-видимому, существовал далеко не всегда, поскольку в условиях боевых действий на пилота (летчика-истребителя) нередко возлагались разведка или бомбометание по вражеским объектам, помимо основной задачи, уничтожения чужих самолетов в воздухе.</w:t>
      </w:r>
    </w:p>
    <w:p w14:paraId="7F07B75E" w14:textId="77777777" w:rsidR="00B67D7C" w:rsidRPr="00DE096C" w:rsidRDefault="00B67D7C" w:rsidP="00D45A46">
      <w:pPr>
        <w:jc w:val="both"/>
        <w:rPr>
          <w:bCs/>
          <w:color w:val="002060"/>
          <w:sz w:val="16"/>
          <w:szCs w:val="16"/>
        </w:rPr>
      </w:pPr>
      <w:r w:rsidRPr="00DE096C">
        <w:rPr>
          <w:bCs/>
          <w:color w:val="002060"/>
          <w:sz w:val="16"/>
          <w:szCs w:val="16"/>
        </w:rPr>
        <w:t>По мере применения авиации в первой мировой войне логически сложились отдельные виды истребительных самолетов.</w:t>
      </w:r>
    </w:p>
    <w:p w14:paraId="66129180" w14:textId="77777777" w:rsidR="00B67D7C" w:rsidRPr="00DE096C" w:rsidRDefault="00B67D7C" w:rsidP="00D45A46">
      <w:pPr>
        <w:jc w:val="both"/>
        <w:rPr>
          <w:bCs/>
          <w:color w:val="002060"/>
          <w:sz w:val="16"/>
          <w:szCs w:val="16"/>
        </w:rPr>
      </w:pPr>
      <w:r w:rsidRPr="00DE096C">
        <w:rPr>
          <w:bCs/>
          <w:color w:val="002060"/>
          <w:sz w:val="16"/>
          <w:szCs w:val="16"/>
        </w:rPr>
        <w:t>Наибольшее число из их разновидностей составляли одноместные одномоторные аппараты. Простота аэродинамики, конструкции и объемно-весовой компоновки, присущие этим наиболее легким и энерговооруженным самолетам, обеспечивали главные преимущества истребителя — скорость и маневренность в воздушном бою.</w:t>
      </w:r>
    </w:p>
    <w:p w14:paraId="7164BB2E" w14:textId="77777777" w:rsidR="00B67D7C" w:rsidRPr="00DE096C" w:rsidRDefault="00B67D7C" w:rsidP="00D45A46">
      <w:pPr>
        <w:jc w:val="both"/>
        <w:rPr>
          <w:bCs/>
          <w:color w:val="002060"/>
          <w:sz w:val="16"/>
          <w:szCs w:val="16"/>
        </w:rPr>
      </w:pPr>
      <w:r w:rsidRPr="00DE096C">
        <w:rPr>
          <w:bCs/>
          <w:color w:val="002060"/>
          <w:sz w:val="16"/>
          <w:szCs w:val="16"/>
        </w:rPr>
        <w:t>Со временем для облегчения выполнения боевой задачи летчику (при сохранении высотно-скоростных и маневренных качеств истребителя) был придан второй член экипажа. На него возлагались специфические функции (защита задней полусферы, аэрофотосъемка, бомбометание и др.) Так, по аналогии с воздушными разведчиками (самый ранний вид боевого аэроплана), возникли двухместные истребители, обладающие значительно более высокими летными характеристиками, чем разведчики. На различных этапах развития боевой авиационной техники эти два класса самолетов неоднократно сливались воедино волевым усилием того или иного военного начальника или администратора промышленности. Однако двухместные истребители существуют и поныне.</w:t>
      </w:r>
    </w:p>
    <w:p w14:paraId="406DD231" w14:textId="77777777" w:rsidR="00B67D7C" w:rsidRPr="00DE096C" w:rsidRDefault="00B67D7C" w:rsidP="00D45A46">
      <w:pPr>
        <w:jc w:val="both"/>
        <w:rPr>
          <w:bCs/>
          <w:color w:val="002060"/>
          <w:sz w:val="16"/>
          <w:szCs w:val="16"/>
        </w:rPr>
      </w:pPr>
      <w:r w:rsidRPr="00DE096C">
        <w:rPr>
          <w:bCs/>
          <w:color w:val="002060"/>
          <w:sz w:val="16"/>
          <w:szCs w:val="16"/>
        </w:rPr>
        <w:t>Стремление обеспечить беспрепятственные действия своим бомбардировщикам привело к созданию более крупных истребителей, способных вести дальние и продолжительные полеты по их сопровождению в тыл противника. Такой самолет должен был иметь больший запас топлива и усиленное оборонительное вооружение по сравнению с двухместным одномоторным истребителем. Как правило, самолеты подобного назначения оснащались двумя двигателями для обеспечения необходимой энерговооруженности. Вот причины появления третьего вида истребителей — двухмоторных. Численность экипажа у таких машин могла быть большей, чем у самолетов первых двух разновидностей.</w:t>
      </w:r>
    </w:p>
    <w:p w14:paraId="50256CA7" w14:textId="77777777" w:rsidR="00B67D7C" w:rsidRPr="00DE096C" w:rsidRDefault="00B67D7C" w:rsidP="00D45A46">
      <w:pPr>
        <w:jc w:val="both"/>
        <w:rPr>
          <w:bCs/>
          <w:color w:val="002060"/>
          <w:sz w:val="16"/>
          <w:szCs w:val="16"/>
        </w:rPr>
      </w:pPr>
      <w:r w:rsidRPr="00DE096C">
        <w:rPr>
          <w:bCs/>
          <w:color w:val="002060"/>
          <w:sz w:val="16"/>
          <w:szCs w:val="16"/>
        </w:rPr>
        <w:t>В России за период с 1914 по 1917 г. создано более десяти типов истребителей оригинальных отечественных конструкций. Некоторые строились серийно и применялись на фронтах германской и гражданской войн. На 1917 г. отечественному самолетостроению удалось сформировать облик типового одноместного истребителя-биплана, распространенного не только у нас, но и за рубежом. Таким самолетом был РБВЗ-С-20, который был создан путем глубокой модификации малосерийного истребителя РБВЗ-С-20.</w:t>
      </w:r>
    </w:p>
    <w:p w14:paraId="46C62E1D" w14:textId="77777777" w:rsidR="00B67D7C" w:rsidRPr="00DE096C" w:rsidRDefault="00B67D7C" w:rsidP="00D45A46">
      <w:pPr>
        <w:jc w:val="both"/>
        <w:rPr>
          <w:bCs/>
          <w:color w:val="002060"/>
          <w:sz w:val="16"/>
          <w:szCs w:val="16"/>
        </w:rPr>
      </w:pPr>
      <w:r w:rsidRPr="00DE096C">
        <w:rPr>
          <w:bCs/>
          <w:color w:val="002060"/>
          <w:sz w:val="16"/>
          <w:szCs w:val="16"/>
        </w:rPr>
        <w:t>В предлагаемой серии материалов об отечественных истребителях мы расскажем о всех самолетах данного типа, созданными в нашей стране, начиная с момента зарождения авиации.</w:t>
      </w:r>
    </w:p>
    <w:p w14:paraId="3BE3FA82" w14:textId="77777777" w:rsidR="00B67D7C" w:rsidRPr="00DE096C" w:rsidRDefault="00B67D7C" w:rsidP="00D45A46">
      <w:pPr>
        <w:jc w:val="both"/>
        <w:rPr>
          <w:bCs/>
          <w:color w:val="002060"/>
          <w:sz w:val="16"/>
          <w:szCs w:val="16"/>
        </w:rPr>
      </w:pPr>
      <w:r w:rsidRPr="00DE096C">
        <w:rPr>
          <w:bCs/>
          <w:color w:val="002060"/>
          <w:sz w:val="16"/>
          <w:szCs w:val="16"/>
        </w:rPr>
        <w:t>Триплан А. А. Безобразова</w:t>
      </w:r>
    </w:p>
    <w:p w14:paraId="340E1D40" w14:textId="77777777" w:rsidR="00B67D7C" w:rsidRPr="00DE096C" w:rsidRDefault="00B67D7C" w:rsidP="00D45A46">
      <w:pPr>
        <w:jc w:val="both"/>
        <w:rPr>
          <w:bCs/>
          <w:color w:val="002060"/>
          <w:sz w:val="16"/>
          <w:szCs w:val="16"/>
        </w:rPr>
      </w:pPr>
      <w:r w:rsidRPr="00DE096C">
        <w:rPr>
          <w:bCs/>
          <w:color w:val="002060"/>
          <w:sz w:val="16"/>
          <w:szCs w:val="16"/>
        </w:rPr>
        <w:t>7 октября 1914 года московский генерал-губернатор С. И. Муравьев телеграфировал командованию авиации русской армии:</w:t>
      </w:r>
    </w:p>
    <w:p w14:paraId="1C84F9CB" w14:textId="77777777" w:rsidR="00B67D7C" w:rsidRPr="00DE096C" w:rsidRDefault="00B67D7C" w:rsidP="00D45A46">
      <w:pPr>
        <w:jc w:val="both"/>
        <w:rPr>
          <w:bCs/>
          <w:color w:val="002060"/>
          <w:sz w:val="16"/>
          <w:szCs w:val="16"/>
        </w:rPr>
      </w:pPr>
      <w:r w:rsidRPr="00DE096C">
        <w:rPr>
          <w:bCs/>
          <w:color w:val="002060"/>
          <w:sz w:val="16"/>
          <w:szCs w:val="16"/>
        </w:rPr>
        <w:t>«сегодня было Москве первое испытание нового летательного аппарата тримоноплана прапорщика Александра Александровича Безобразова тчк удачный полет сразу после окончания постройки без предварительных проб»</w:t>
      </w:r>
    </w:p>
    <w:p w14:paraId="346F968C" w14:textId="77777777" w:rsidR="00B67D7C" w:rsidRPr="00DE096C" w:rsidRDefault="00B67D7C" w:rsidP="00D45A46">
      <w:pPr>
        <w:jc w:val="both"/>
        <w:rPr>
          <w:bCs/>
          <w:color w:val="002060"/>
          <w:sz w:val="16"/>
          <w:szCs w:val="16"/>
        </w:rPr>
      </w:pPr>
      <w:r w:rsidRPr="00DE096C">
        <w:rPr>
          <w:bCs/>
          <w:color w:val="002060"/>
          <w:sz w:val="16"/>
          <w:szCs w:val="16"/>
        </w:rPr>
        <w:t>Далее генерал-губернатор утверждал, что Безобразов «может быстро устроить большую мастерскую как для своего типа, так и для типов любой системы».</w:t>
      </w:r>
    </w:p>
    <w:p w14:paraId="37EF3C5F" w14:textId="77777777" w:rsidR="00B67D7C" w:rsidRPr="00DE096C" w:rsidRDefault="00B67D7C" w:rsidP="00D45A46">
      <w:pPr>
        <w:jc w:val="both"/>
        <w:rPr>
          <w:bCs/>
          <w:color w:val="002060"/>
          <w:sz w:val="16"/>
          <w:szCs w:val="16"/>
        </w:rPr>
      </w:pPr>
      <w:r w:rsidRPr="00DE096C">
        <w:rPr>
          <w:bCs/>
          <w:color w:val="002060"/>
          <w:sz w:val="16"/>
          <w:szCs w:val="16"/>
        </w:rPr>
        <w:t>Начало работ А. А. Безобразова восходит к 1913 году, когда молодой энтузиаст задумал сделать аэроплан собственной конструкции, который должен был устойчиво держаться в воздухе, не имея никакого горизонтального оперения, т. е. быть бесхвостым. Идея была интересной и заманчивой, однако настолько необычной, что даже первые прорисовки вызывали скепсис и категоричные сомнения среди многих консультирующих доброхотов. В не меньшей степени специалистов смущал не только трехкрылый бесхвостый тандем, но и возраст изобретателя, отсутствие у него достаточного опыта и образования. Некоторые интерпретировали его фамилию следующим образом — без образования, мол.</w:t>
      </w:r>
    </w:p>
    <w:p w14:paraId="6FEBD53C" w14:textId="77777777" w:rsidR="00B67D7C" w:rsidRPr="00DE096C" w:rsidRDefault="00B67D7C" w:rsidP="00D45A46">
      <w:pPr>
        <w:jc w:val="both"/>
        <w:rPr>
          <w:bCs/>
          <w:color w:val="002060"/>
          <w:sz w:val="16"/>
          <w:szCs w:val="16"/>
        </w:rPr>
      </w:pPr>
      <w:r w:rsidRPr="00DE096C">
        <w:rPr>
          <w:bCs/>
          <w:color w:val="002060"/>
          <w:sz w:val="16"/>
          <w:szCs w:val="16"/>
        </w:rPr>
        <w:t>В феврале 1914 года Александр показал свой проект известному итальянскому летчику-спортсмену Франческо Моска, который приехал в Россию на ловлю счастья в 1912 году. Тогда он поддался заманчивому предложению русских летчиков Макса фон Лерхе и Георгия Янковского построить вместе самолет ЛЯМ. Франческо Моска стал фактически соавтором Безобразова в создании вышеупомянутого «тримоноплана», взяв на свои плечи значительную часть конструкторской работы.</w:t>
      </w:r>
    </w:p>
    <w:p w14:paraId="45605F00" w14:textId="77777777" w:rsidR="00B67D7C" w:rsidRPr="00DE096C" w:rsidRDefault="00B67D7C" w:rsidP="00D45A46">
      <w:pPr>
        <w:jc w:val="both"/>
        <w:rPr>
          <w:bCs/>
          <w:color w:val="002060"/>
          <w:sz w:val="16"/>
          <w:szCs w:val="16"/>
        </w:rPr>
      </w:pPr>
      <w:r w:rsidRPr="00DE096C">
        <w:rPr>
          <w:bCs/>
          <w:color w:val="002060"/>
          <w:sz w:val="16"/>
          <w:szCs w:val="16"/>
        </w:rPr>
        <w:t>Летающих «этажерок» с тремя и большим числом крыльев на заре развития авиации было немало. Если не все они, то наверняка большинство из них не имели принципиального отличия от самолетов других схем с аэродинамической точки зрения. Для обеспечения продольной устойчивости и управляемости они были наделены горизонтальным оперением, установленным на большом удалении (плече) от центра тяжести аппарата. В рассматриваемом случае триплан хвостового горизонтального оперения не имел, «представлял собой редкую схему трехкрылого тандема с большим выносом крыльев по горизонтальной оси и небольшим разносом по высоте трипланной коробки. Все крылья имели одинаковую базовую геометрию и профиль. По виду в плане каждое из них напоминало растянутую в стороны букву «М» с постоянной хордой профиля на 60% размаха равной 0,5 м. Концевые участки от внутренних обрезов элеронов имели расширяющуюся форму при виде в плане и стреловидные законцовки с концевыми заострениями. На переломе стреловидности по передним кромкам были введены закругления, что придавало каждому несущему элементу форму птичьего крыла. Профиль для крыльев был выбран треугольный с вершиной на 35% хорды со слегка вогнутой нижней поверхностью. Конструктивно каждое крыло состояло из двух половин. Переднее и заднее крылья имели стык частей в плоскости симметрии аэроплана, а среднее крыло состояло из пары укороченных половин, которые крепились к фюзеляжу по его бортам. Заднее крыло имело жесткую заделку к хвостовой части корпуса в виде Y-образного кабана. Все крылья были связаны между собой четырьмя продольными балками, сделанными из стальных труб овального поперечного сечения. Трубы располагались попарно на 30% и 60% размаха. Балки имели заделку на ус по низу висящего переднего крыла и поверху заднего опертого крыла. Через среднее крыло они проходили насквозь, закрепленные к его лонжеронам с помощью металлических фланцев эллиптической формы. Концевые заделки всех четырех продольных силовых элементов трипланной коробки имели аналогичные фланцевые фитинги. В зонах крепления крыльев к балкам (по виду спереди последние напоминали стойки) их профиль был пронизан вертикальными шпренгелями для проводки верхних и нижних тросов управления элеронами. Заделки шпренгелей были стянуты поверху лентами-расчалками с высоким четырехстержневым фюзеляжным кабаном, а понизу — со стойками шасси. Кроме того, была устроена диагональная расчалочная сеть для стяжки заделок балок в крыльях между собой за исключением заделки центрального шпренгеля переднего крыла, проводке лент к которому мешал вращающийся пропеллер.</w:t>
      </w:r>
    </w:p>
    <w:p w14:paraId="1D2954C0" w14:textId="77777777" w:rsidR="00B67D7C" w:rsidRPr="00DE096C" w:rsidRDefault="00B67D7C" w:rsidP="00D45A46">
      <w:pPr>
        <w:jc w:val="both"/>
        <w:rPr>
          <w:bCs/>
          <w:color w:val="002060"/>
          <w:sz w:val="16"/>
          <w:szCs w:val="16"/>
        </w:rPr>
      </w:pPr>
      <w:r w:rsidRPr="00DE096C">
        <w:rPr>
          <w:bCs/>
          <w:color w:val="002060"/>
          <w:sz w:val="16"/>
          <w:szCs w:val="16"/>
        </w:rPr>
        <w:lastRenderedPageBreak/>
        <w:t>Шасси состояло из двух П-образных стоек, к которым крепились нижние изогнутые перекладины, необходимые для установки колесной оси и связки с ней посредством резинового шнурового амортизатора. Фюзеляж начинался с кожуха, закрывающего мотор «Гном» (80 л. с.) французских конструкторов Сегена и Люке, далее был устроен отсек, занятый центральной трансмиссией двигателя, над которой были установлены топливный и масляный баки.</w:t>
      </w:r>
    </w:p>
    <w:p w14:paraId="55A503BE" w14:textId="77777777" w:rsidR="00B67D7C" w:rsidRPr="00DE096C" w:rsidRDefault="00B67D7C" w:rsidP="00D45A46">
      <w:pPr>
        <w:jc w:val="both"/>
        <w:rPr>
          <w:bCs/>
          <w:color w:val="002060"/>
          <w:sz w:val="16"/>
          <w:szCs w:val="16"/>
        </w:rPr>
      </w:pPr>
      <w:r w:rsidRPr="00DE096C">
        <w:rPr>
          <w:bCs/>
          <w:color w:val="002060"/>
          <w:sz w:val="16"/>
          <w:szCs w:val="16"/>
        </w:rPr>
        <w:t>По первоначальному проекту мотор должен был быть установлен в середине фюзеляжа с прокладкой длинного вала к переднему тянущему винту. Сиденье летчика при этом Безобразов задумал установить за двигателем в закрытой остекленной кабине с перископом, что придавало бы фюзеляжу обтекаемую веретенообразную форму. Но опытный компаньон Ф. Моска возразил ему, и самолет строился с нормальным фюзеляжем, при котором летчик имел бы круговой обзор из открытой кабины. Передний борт рабочего места пилота, на верху которого был установлен прозрачный козырек из целлулоида, был приподнят над верхними лонжеронами фюзеляжа на коническом выпуклом гаргроте. Такое возвышение было заведено для установки перед глазами авиатора необходимых полетных приборов. За спинкой сиденья пилота (аэроплан был одноместным) внутри суживающейся по ширине и высоте хвостовой части корпуса были расчалены по диагоналям 5 прямоугольных шпангоутов, обшитых фанерой и обтянутых полотном.</w:t>
      </w:r>
    </w:p>
    <w:p w14:paraId="368D807E" w14:textId="77777777" w:rsidR="00B67D7C" w:rsidRPr="00DE096C" w:rsidRDefault="00B67D7C" w:rsidP="00D45A46">
      <w:pPr>
        <w:jc w:val="both"/>
        <w:rPr>
          <w:bCs/>
          <w:color w:val="002060"/>
          <w:sz w:val="16"/>
          <w:szCs w:val="16"/>
        </w:rPr>
      </w:pPr>
      <w:r w:rsidRPr="00DE096C">
        <w:rPr>
          <w:bCs/>
          <w:color w:val="002060"/>
          <w:sz w:val="16"/>
          <w:szCs w:val="16"/>
        </w:rPr>
        <w:t>А. А. Безобразов неоднократно высказывал сожаление о том, что не воплотил в жизнь свой замысел об обтекаемом круглом фюзеляже, но Ф. Э. Моска неоднократно возвращал его к текущей реальности. В условиях примитивной производственной базы, размещенной в сарае-мастерской (у Ходынского поля), хороший монокок выклеить было практически невозможно. К тому же вскоре началась германская война, и утраченные иллюзии пришлось предать забвению.</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680"/>
        <w:gridCol w:w="4680"/>
      </w:tblGrid>
      <w:tr w:rsidR="00B67D7C" w:rsidRPr="00DE096C" w14:paraId="75F8BF5F" w14:textId="77777777" w:rsidTr="00C2024A">
        <w:tc>
          <w:tcPr>
            <w:tcW w:w="9360" w:type="dxa"/>
            <w:gridSpan w:val="2"/>
          </w:tcPr>
          <w:p w14:paraId="6D872DE6" w14:textId="77777777" w:rsidR="00B67D7C" w:rsidRPr="00DE096C" w:rsidRDefault="00B67D7C" w:rsidP="00D45A46">
            <w:pPr>
              <w:jc w:val="both"/>
              <w:rPr>
                <w:bCs/>
                <w:color w:val="002060"/>
                <w:sz w:val="16"/>
                <w:szCs w:val="16"/>
              </w:rPr>
            </w:pPr>
            <w:r w:rsidRPr="00DE096C">
              <w:rPr>
                <w:bCs/>
                <w:color w:val="002060"/>
                <w:sz w:val="16"/>
                <w:szCs w:val="16"/>
              </w:rPr>
              <w:t>Основные летно-тактические характеристики «Триплана» А. А. Безобразова (Другое обозначение «Тримоноплан»)</w:t>
            </w:r>
          </w:p>
        </w:tc>
      </w:tr>
      <w:tr w:rsidR="00B67D7C" w:rsidRPr="00DE096C" w14:paraId="20277A1C" w14:textId="77777777" w:rsidTr="00C2024A">
        <w:tc>
          <w:tcPr>
            <w:tcW w:w="4680" w:type="dxa"/>
          </w:tcPr>
          <w:p w14:paraId="62D2923A" w14:textId="77777777" w:rsidR="00B67D7C" w:rsidRPr="00DE096C" w:rsidRDefault="00B67D7C" w:rsidP="00D45A46">
            <w:pPr>
              <w:jc w:val="both"/>
              <w:rPr>
                <w:bCs/>
                <w:color w:val="002060"/>
                <w:sz w:val="16"/>
                <w:szCs w:val="16"/>
              </w:rPr>
            </w:pPr>
            <w:r w:rsidRPr="00DE096C">
              <w:rPr>
                <w:bCs/>
                <w:color w:val="002060"/>
                <w:sz w:val="16"/>
                <w:szCs w:val="16"/>
              </w:rPr>
              <w:t>Двигатель</w:t>
            </w:r>
          </w:p>
        </w:tc>
        <w:tc>
          <w:tcPr>
            <w:tcW w:w="4680" w:type="dxa"/>
          </w:tcPr>
          <w:p w14:paraId="43409882" w14:textId="77777777" w:rsidR="00B67D7C" w:rsidRPr="00DE096C" w:rsidRDefault="00B67D7C" w:rsidP="00D45A46">
            <w:pPr>
              <w:jc w:val="both"/>
              <w:rPr>
                <w:bCs/>
                <w:color w:val="002060"/>
                <w:sz w:val="16"/>
                <w:szCs w:val="16"/>
              </w:rPr>
            </w:pPr>
          </w:p>
        </w:tc>
      </w:tr>
      <w:tr w:rsidR="00B67D7C" w:rsidRPr="00DE096C" w14:paraId="2BC001A2" w14:textId="77777777" w:rsidTr="00C2024A">
        <w:tc>
          <w:tcPr>
            <w:tcW w:w="4680" w:type="dxa"/>
          </w:tcPr>
          <w:p w14:paraId="25845792" w14:textId="77777777" w:rsidR="00B67D7C" w:rsidRPr="00DE096C" w:rsidRDefault="00B67D7C" w:rsidP="00D45A46">
            <w:pPr>
              <w:jc w:val="both"/>
              <w:rPr>
                <w:bCs/>
                <w:color w:val="002060"/>
                <w:sz w:val="16"/>
                <w:szCs w:val="16"/>
              </w:rPr>
            </w:pPr>
            <w:r w:rsidRPr="00DE096C">
              <w:rPr>
                <w:bCs/>
                <w:color w:val="002060"/>
                <w:sz w:val="16"/>
                <w:szCs w:val="16"/>
              </w:rPr>
              <w:t>Мощность максимальная, л. с.</w:t>
            </w:r>
          </w:p>
        </w:tc>
        <w:tc>
          <w:tcPr>
            <w:tcW w:w="4680" w:type="dxa"/>
          </w:tcPr>
          <w:p w14:paraId="612035E2" w14:textId="77777777" w:rsidR="00B67D7C" w:rsidRPr="00DE096C" w:rsidRDefault="00B67D7C" w:rsidP="00D45A46">
            <w:pPr>
              <w:jc w:val="both"/>
              <w:rPr>
                <w:bCs/>
                <w:color w:val="002060"/>
                <w:sz w:val="16"/>
                <w:szCs w:val="16"/>
              </w:rPr>
            </w:pPr>
            <w:r w:rsidRPr="00DE096C">
              <w:rPr>
                <w:bCs/>
                <w:color w:val="002060"/>
                <w:sz w:val="16"/>
                <w:szCs w:val="16"/>
              </w:rPr>
              <w:t>80</w:t>
            </w:r>
          </w:p>
        </w:tc>
      </w:tr>
      <w:tr w:rsidR="00B67D7C" w:rsidRPr="00DE096C" w14:paraId="24A0B7D5" w14:textId="77777777" w:rsidTr="00C2024A">
        <w:tc>
          <w:tcPr>
            <w:tcW w:w="4680" w:type="dxa"/>
          </w:tcPr>
          <w:p w14:paraId="000B783A" w14:textId="77777777" w:rsidR="00B67D7C" w:rsidRPr="00DE096C" w:rsidRDefault="00B67D7C" w:rsidP="00D45A46">
            <w:pPr>
              <w:jc w:val="both"/>
              <w:rPr>
                <w:bCs/>
                <w:color w:val="002060"/>
                <w:sz w:val="16"/>
                <w:szCs w:val="16"/>
              </w:rPr>
            </w:pPr>
            <w:r w:rsidRPr="00DE096C">
              <w:rPr>
                <w:bCs/>
                <w:color w:val="002060"/>
                <w:sz w:val="16"/>
                <w:szCs w:val="16"/>
              </w:rPr>
              <w:t>Скорость максимальная, км/ч</w:t>
            </w:r>
          </w:p>
        </w:tc>
        <w:tc>
          <w:tcPr>
            <w:tcW w:w="4680" w:type="dxa"/>
          </w:tcPr>
          <w:p w14:paraId="530FEA6A" w14:textId="77777777" w:rsidR="00B67D7C" w:rsidRPr="00DE096C" w:rsidRDefault="00B67D7C" w:rsidP="00D45A46">
            <w:pPr>
              <w:jc w:val="both"/>
              <w:rPr>
                <w:bCs/>
                <w:color w:val="002060"/>
                <w:sz w:val="16"/>
                <w:szCs w:val="16"/>
              </w:rPr>
            </w:pPr>
            <w:r w:rsidRPr="00DE096C">
              <w:rPr>
                <w:bCs/>
                <w:color w:val="002060"/>
                <w:sz w:val="16"/>
                <w:szCs w:val="16"/>
              </w:rPr>
              <w:t>100</w:t>
            </w:r>
          </w:p>
        </w:tc>
      </w:tr>
      <w:tr w:rsidR="00B67D7C" w:rsidRPr="00DE096C" w14:paraId="788181CC" w14:textId="77777777" w:rsidTr="00C2024A">
        <w:tc>
          <w:tcPr>
            <w:tcW w:w="4680" w:type="dxa"/>
          </w:tcPr>
          <w:p w14:paraId="44B926E4" w14:textId="77777777" w:rsidR="00B67D7C" w:rsidRPr="00DE096C" w:rsidRDefault="00B67D7C" w:rsidP="00D45A46">
            <w:pPr>
              <w:jc w:val="both"/>
              <w:rPr>
                <w:bCs/>
                <w:color w:val="002060"/>
                <w:sz w:val="16"/>
                <w:szCs w:val="16"/>
              </w:rPr>
            </w:pPr>
            <w:r w:rsidRPr="00DE096C">
              <w:rPr>
                <w:bCs/>
                <w:color w:val="002060"/>
                <w:sz w:val="16"/>
                <w:szCs w:val="16"/>
              </w:rPr>
              <w:t>Потолок практический, м</w:t>
            </w:r>
          </w:p>
        </w:tc>
        <w:tc>
          <w:tcPr>
            <w:tcW w:w="4680" w:type="dxa"/>
          </w:tcPr>
          <w:p w14:paraId="0E15E1BB" w14:textId="77777777" w:rsidR="00B67D7C" w:rsidRPr="00DE096C" w:rsidRDefault="00B67D7C" w:rsidP="00D45A46">
            <w:pPr>
              <w:jc w:val="both"/>
              <w:rPr>
                <w:bCs/>
                <w:color w:val="002060"/>
                <w:sz w:val="16"/>
                <w:szCs w:val="16"/>
              </w:rPr>
            </w:pPr>
            <w:r w:rsidRPr="00DE096C">
              <w:rPr>
                <w:bCs/>
                <w:color w:val="002060"/>
                <w:sz w:val="16"/>
                <w:szCs w:val="16"/>
              </w:rPr>
              <w:t>2000</w:t>
            </w:r>
          </w:p>
        </w:tc>
      </w:tr>
      <w:tr w:rsidR="00B67D7C" w:rsidRPr="00DE096C" w14:paraId="4F16F236" w14:textId="77777777" w:rsidTr="00C2024A">
        <w:tc>
          <w:tcPr>
            <w:tcW w:w="4680" w:type="dxa"/>
          </w:tcPr>
          <w:p w14:paraId="1B5D5829" w14:textId="77777777" w:rsidR="00B67D7C" w:rsidRPr="00DE096C" w:rsidRDefault="00B67D7C" w:rsidP="00D45A46">
            <w:pPr>
              <w:jc w:val="both"/>
              <w:rPr>
                <w:bCs/>
                <w:color w:val="002060"/>
                <w:sz w:val="16"/>
                <w:szCs w:val="16"/>
              </w:rPr>
            </w:pPr>
            <w:r w:rsidRPr="00DE096C">
              <w:rPr>
                <w:bCs/>
                <w:color w:val="002060"/>
                <w:sz w:val="16"/>
                <w:szCs w:val="16"/>
              </w:rPr>
              <w:t>Продолжительность полета, ч</w:t>
            </w:r>
          </w:p>
        </w:tc>
        <w:tc>
          <w:tcPr>
            <w:tcW w:w="4680" w:type="dxa"/>
          </w:tcPr>
          <w:p w14:paraId="670BE9D8" w14:textId="77777777" w:rsidR="00B67D7C" w:rsidRPr="00DE096C" w:rsidRDefault="00B67D7C" w:rsidP="00D45A46">
            <w:pPr>
              <w:jc w:val="both"/>
              <w:rPr>
                <w:bCs/>
                <w:color w:val="002060"/>
                <w:sz w:val="16"/>
                <w:szCs w:val="16"/>
              </w:rPr>
            </w:pPr>
            <w:r w:rsidRPr="00DE096C">
              <w:rPr>
                <w:bCs/>
                <w:color w:val="002060"/>
                <w:sz w:val="16"/>
                <w:szCs w:val="16"/>
              </w:rPr>
              <w:t>2</w:t>
            </w:r>
          </w:p>
        </w:tc>
      </w:tr>
      <w:tr w:rsidR="00B67D7C" w:rsidRPr="00DE096C" w14:paraId="72CDAEB6" w14:textId="77777777" w:rsidTr="00C2024A">
        <w:tc>
          <w:tcPr>
            <w:tcW w:w="4680" w:type="dxa"/>
          </w:tcPr>
          <w:p w14:paraId="3E56ED4A" w14:textId="77777777" w:rsidR="00B67D7C" w:rsidRPr="00DE096C" w:rsidRDefault="00B67D7C" w:rsidP="00D45A46">
            <w:pPr>
              <w:jc w:val="both"/>
              <w:rPr>
                <w:bCs/>
                <w:color w:val="002060"/>
                <w:sz w:val="16"/>
                <w:szCs w:val="16"/>
              </w:rPr>
            </w:pPr>
            <w:r w:rsidRPr="00DE096C">
              <w:rPr>
                <w:bCs/>
                <w:color w:val="002060"/>
                <w:sz w:val="16"/>
                <w:szCs w:val="16"/>
              </w:rPr>
              <w:t>Площадь крыльев, м</w:t>
            </w:r>
            <w:r w:rsidRPr="00DE096C">
              <w:rPr>
                <w:bCs/>
                <w:color w:val="002060"/>
                <w:sz w:val="16"/>
                <w:szCs w:val="16"/>
                <w:vertAlign w:val="superscript"/>
              </w:rPr>
              <w:t>2</w:t>
            </w:r>
          </w:p>
        </w:tc>
        <w:tc>
          <w:tcPr>
            <w:tcW w:w="4680" w:type="dxa"/>
          </w:tcPr>
          <w:p w14:paraId="27DA0A66" w14:textId="77777777" w:rsidR="00B67D7C" w:rsidRPr="00DE096C" w:rsidRDefault="00B67D7C" w:rsidP="00D45A46">
            <w:pPr>
              <w:jc w:val="both"/>
              <w:rPr>
                <w:bCs/>
                <w:color w:val="002060"/>
                <w:sz w:val="16"/>
                <w:szCs w:val="16"/>
              </w:rPr>
            </w:pPr>
            <w:r w:rsidRPr="00DE096C">
              <w:rPr>
                <w:bCs/>
                <w:color w:val="002060"/>
                <w:sz w:val="16"/>
                <w:szCs w:val="16"/>
              </w:rPr>
              <w:t>17</w:t>
            </w:r>
          </w:p>
        </w:tc>
      </w:tr>
      <w:tr w:rsidR="00B67D7C" w:rsidRPr="00DE096C" w14:paraId="0A8CFFCD" w14:textId="77777777" w:rsidTr="00C2024A">
        <w:tc>
          <w:tcPr>
            <w:tcW w:w="4680" w:type="dxa"/>
          </w:tcPr>
          <w:p w14:paraId="57B47D25" w14:textId="77777777" w:rsidR="00B67D7C" w:rsidRPr="00DE096C" w:rsidRDefault="00B67D7C" w:rsidP="00D45A46">
            <w:pPr>
              <w:jc w:val="both"/>
              <w:rPr>
                <w:bCs/>
                <w:color w:val="002060"/>
                <w:sz w:val="16"/>
                <w:szCs w:val="16"/>
              </w:rPr>
            </w:pPr>
            <w:r w:rsidRPr="00DE096C">
              <w:rPr>
                <w:bCs/>
                <w:color w:val="002060"/>
                <w:sz w:val="16"/>
                <w:szCs w:val="16"/>
              </w:rPr>
              <w:t>Взлетный вес, кг</w:t>
            </w:r>
          </w:p>
        </w:tc>
        <w:tc>
          <w:tcPr>
            <w:tcW w:w="4680" w:type="dxa"/>
          </w:tcPr>
          <w:p w14:paraId="4231C630" w14:textId="77777777" w:rsidR="00B67D7C" w:rsidRPr="00DE096C" w:rsidRDefault="00B67D7C" w:rsidP="00D45A46">
            <w:pPr>
              <w:jc w:val="both"/>
              <w:rPr>
                <w:bCs/>
                <w:color w:val="002060"/>
                <w:sz w:val="16"/>
                <w:szCs w:val="16"/>
              </w:rPr>
            </w:pPr>
            <w:r w:rsidRPr="00DE096C">
              <w:rPr>
                <w:bCs/>
                <w:color w:val="002060"/>
                <w:sz w:val="16"/>
                <w:szCs w:val="16"/>
              </w:rPr>
              <w:t>547</w:t>
            </w:r>
          </w:p>
        </w:tc>
      </w:tr>
      <w:tr w:rsidR="00B67D7C" w:rsidRPr="00DE096C" w14:paraId="1621D3A1" w14:textId="77777777" w:rsidTr="00C2024A">
        <w:tc>
          <w:tcPr>
            <w:tcW w:w="4680" w:type="dxa"/>
          </w:tcPr>
          <w:p w14:paraId="5E3DFF36" w14:textId="77777777" w:rsidR="00B67D7C" w:rsidRPr="00DE096C" w:rsidRDefault="00B67D7C" w:rsidP="00D45A46">
            <w:pPr>
              <w:jc w:val="both"/>
              <w:rPr>
                <w:bCs/>
                <w:color w:val="002060"/>
                <w:sz w:val="16"/>
                <w:szCs w:val="16"/>
              </w:rPr>
            </w:pPr>
            <w:r w:rsidRPr="00DE096C">
              <w:rPr>
                <w:bCs/>
                <w:color w:val="002060"/>
                <w:sz w:val="16"/>
                <w:szCs w:val="16"/>
              </w:rPr>
              <w:t>Вес пустого самолета, кг</w:t>
            </w:r>
          </w:p>
        </w:tc>
        <w:tc>
          <w:tcPr>
            <w:tcW w:w="4680" w:type="dxa"/>
          </w:tcPr>
          <w:p w14:paraId="0B74AD1C" w14:textId="77777777" w:rsidR="00B67D7C" w:rsidRPr="00DE096C" w:rsidRDefault="00B67D7C" w:rsidP="00D45A46">
            <w:pPr>
              <w:jc w:val="both"/>
              <w:rPr>
                <w:bCs/>
                <w:color w:val="002060"/>
                <w:sz w:val="16"/>
                <w:szCs w:val="16"/>
              </w:rPr>
            </w:pPr>
            <w:r w:rsidRPr="00DE096C">
              <w:rPr>
                <w:bCs/>
                <w:color w:val="002060"/>
                <w:sz w:val="16"/>
                <w:szCs w:val="16"/>
              </w:rPr>
              <w:t>388</w:t>
            </w:r>
          </w:p>
        </w:tc>
      </w:tr>
      <w:tr w:rsidR="00B67D7C" w:rsidRPr="00DE096C" w14:paraId="28115D9E" w14:textId="77777777" w:rsidTr="00C2024A">
        <w:tc>
          <w:tcPr>
            <w:tcW w:w="4680" w:type="dxa"/>
          </w:tcPr>
          <w:p w14:paraId="2AC093C4" w14:textId="77777777" w:rsidR="00B67D7C" w:rsidRPr="00DE096C" w:rsidRDefault="00B67D7C" w:rsidP="00D45A46">
            <w:pPr>
              <w:jc w:val="both"/>
              <w:rPr>
                <w:bCs/>
                <w:color w:val="002060"/>
                <w:sz w:val="16"/>
                <w:szCs w:val="16"/>
              </w:rPr>
            </w:pPr>
            <w:r w:rsidRPr="00DE096C">
              <w:rPr>
                <w:bCs/>
                <w:color w:val="002060"/>
                <w:sz w:val="16"/>
                <w:szCs w:val="16"/>
              </w:rPr>
              <w:t>Запас топлива, кг</w:t>
            </w:r>
          </w:p>
        </w:tc>
        <w:tc>
          <w:tcPr>
            <w:tcW w:w="4680" w:type="dxa"/>
          </w:tcPr>
          <w:p w14:paraId="38F19C99" w14:textId="77777777" w:rsidR="00B67D7C" w:rsidRPr="00DE096C" w:rsidRDefault="00B67D7C" w:rsidP="00D45A46">
            <w:pPr>
              <w:jc w:val="both"/>
              <w:rPr>
                <w:bCs/>
                <w:color w:val="002060"/>
                <w:sz w:val="16"/>
                <w:szCs w:val="16"/>
              </w:rPr>
            </w:pPr>
            <w:r w:rsidRPr="00DE096C">
              <w:rPr>
                <w:bCs/>
                <w:color w:val="002060"/>
                <w:sz w:val="16"/>
                <w:szCs w:val="16"/>
              </w:rPr>
              <w:t>70</w:t>
            </w:r>
          </w:p>
        </w:tc>
      </w:tr>
      <w:tr w:rsidR="00B67D7C" w:rsidRPr="00DE096C" w14:paraId="32F5B1B5" w14:textId="77777777" w:rsidTr="00C2024A">
        <w:tc>
          <w:tcPr>
            <w:tcW w:w="4680" w:type="dxa"/>
          </w:tcPr>
          <w:p w14:paraId="3D414D8A" w14:textId="77777777" w:rsidR="00B67D7C" w:rsidRPr="00DE096C" w:rsidRDefault="00B67D7C" w:rsidP="00D45A46">
            <w:pPr>
              <w:jc w:val="both"/>
              <w:rPr>
                <w:bCs/>
                <w:color w:val="002060"/>
                <w:sz w:val="16"/>
                <w:szCs w:val="16"/>
              </w:rPr>
            </w:pPr>
            <w:r w:rsidRPr="00DE096C">
              <w:rPr>
                <w:bCs/>
                <w:color w:val="002060"/>
                <w:sz w:val="16"/>
                <w:szCs w:val="16"/>
              </w:rPr>
              <w:t>Удельная нагрузка на крылья, кг/м</w:t>
            </w:r>
            <w:r w:rsidRPr="00DE096C">
              <w:rPr>
                <w:bCs/>
                <w:color w:val="002060"/>
                <w:sz w:val="16"/>
                <w:szCs w:val="16"/>
                <w:vertAlign w:val="superscript"/>
              </w:rPr>
              <w:t xml:space="preserve">2 </w:t>
            </w:r>
          </w:p>
        </w:tc>
        <w:tc>
          <w:tcPr>
            <w:tcW w:w="4680" w:type="dxa"/>
          </w:tcPr>
          <w:p w14:paraId="0D488A7E" w14:textId="77777777" w:rsidR="00B67D7C" w:rsidRPr="00DE096C" w:rsidRDefault="00B67D7C" w:rsidP="00D45A46">
            <w:pPr>
              <w:jc w:val="both"/>
              <w:rPr>
                <w:bCs/>
                <w:color w:val="002060"/>
                <w:sz w:val="16"/>
                <w:szCs w:val="16"/>
              </w:rPr>
            </w:pPr>
            <w:r w:rsidRPr="00DE096C">
              <w:rPr>
                <w:bCs/>
                <w:color w:val="002060"/>
                <w:sz w:val="16"/>
                <w:szCs w:val="16"/>
              </w:rPr>
              <w:t>32,2</w:t>
            </w:r>
          </w:p>
        </w:tc>
      </w:tr>
      <w:tr w:rsidR="00B67D7C" w:rsidRPr="00DE096C" w14:paraId="61D4A0D8" w14:textId="77777777" w:rsidTr="00C2024A">
        <w:tc>
          <w:tcPr>
            <w:tcW w:w="4680" w:type="dxa"/>
          </w:tcPr>
          <w:p w14:paraId="16AF2D7F" w14:textId="77777777" w:rsidR="00B67D7C" w:rsidRPr="00DE096C" w:rsidRDefault="00B67D7C" w:rsidP="00D45A46">
            <w:pPr>
              <w:jc w:val="both"/>
              <w:rPr>
                <w:bCs/>
                <w:color w:val="002060"/>
                <w:sz w:val="16"/>
                <w:szCs w:val="16"/>
              </w:rPr>
            </w:pPr>
            <w:r w:rsidRPr="00DE096C">
              <w:rPr>
                <w:bCs/>
                <w:color w:val="002060"/>
                <w:sz w:val="16"/>
                <w:szCs w:val="16"/>
              </w:rPr>
              <w:t>Удельная нагрузка на мощность, кг/л. с.</w:t>
            </w:r>
          </w:p>
        </w:tc>
        <w:tc>
          <w:tcPr>
            <w:tcW w:w="4680" w:type="dxa"/>
          </w:tcPr>
          <w:p w14:paraId="59711237" w14:textId="77777777" w:rsidR="00B67D7C" w:rsidRPr="00DE096C" w:rsidRDefault="00B67D7C" w:rsidP="00D45A46">
            <w:pPr>
              <w:jc w:val="both"/>
              <w:rPr>
                <w:bCs/>
                <w:color w:val="002060"/>
                <w:sz w:val="16"/>
                <w:szCs w:val="16"/>
              </w:rPr>
            </w:pPr>
            <w:r w:rsidRPr="00DE096C">
              <w:rPr>
                <w:bCs/>
                <w:color w:val="002060"/>
                <w:sz w:val="16"/>
                <w:szCs w:val="16"/>
              </w:rPr>
              <w:t>6,85</w:t>
            </w:r>
          </w:p>
        </w:tc>
      </w:tr>
      <w:tr w:rsidR="00B67D7C" w:rsidRPr="00DE096C" w14:paraId="6AF66210" w14:textId="77777777" w:rsidTr="00C2024A">
        <w:tc>
          <w:tcPr>
            <w:tcW w:w="4680" w:type="dxa"/>
          </w:tcPr>
          <w:p w14:paraId="352B68A5" w14:textId="77777777" w:rsidR="00B67D7C" w:rsidRPr="00DE096C" w:rsidRDefault="00B67D7C" w:rsidP="00D45A46">
            <w:pPr>
              <w:jc w:val="both"/>
              <w:rPr>
                <w:bCs/>
                <w:color w:val="002060"/>
                <w:sz w:val="16"/>
                <w:szCs w:val="16"/>
              </w:rPr>
            </w:pPr>
            <w:r w:rsidRPr="00DE096C">
              <w:rPr>
                <w:bCs/>
                <w:color w:val="002060"/>
                <w:sz w:val="16"/>
                <w:szCs w:val="16"/>
              </w:rPr>
              <w:t>Весовая отдача, %</w:t>
            </w:r>
          </w:p>
        </w:tc>
        <w:tc>
          <w:tcPr>
            <w:tcW w:w="4680" w:type="dxa"/>
          </w:tcPr>
          <w:p w14:paraId="5D5A442D" w14:textId="77777777" w:rsidR="00B67D7C" w:rsidRPr="00DE096C" w:rsidRDefault="00B67D7C" w:rsidP="00D45A46">
            <w:pPr>
              <w:jc w:val="both"/>
              <w:rPr>
                <w:bCs/>
                <w:color w:val="002060"/>
                <w:sz w:val="16"/>
                <w:szCs w:val="16"/>
              </w:rPr>
            </w:pPr>
            <w:r w:rsidRPr="00DE096C">
              <w:rPr>
                <w:bCs/>
                <w:color w:val="002060"/>
                <w:sz w:val="16"/>
                <w:szCs w:val="16"/>
              </w:rPr>
              <w:t>29,1</w:t>
            </w:r>
          </w:p>
        </w:tc>
      </w:tr>
    </w:tbl>
    <w:p w14:paraId="091CF95A" w14:textId="77777777" w:rsidR="00B67D7C" w:rsidRPr="00DE096C" w:rsidRDefault="00B67D7C" w:rsidP="00D45A46">
      <w:pPr>
        <w:jc w:val="both"/>
        <w:rPr>
          <w:bCs/>
          <w:color w:val="002060"/>
          <w:sz w:val="16"/>
          <w:szCs w:val="16"/>
        </w:rPr>
      </w:pPr>
      <w:r w:rsidRPr="00DE096C">
        <w:rPr>
          <w:bCs/>
          <w:color w:val="002060"/>
          <w:sz w:val="16"/>
          <w:szCs w:val="16"/>
        </w:rPr>
        <w:t>Постройка аэроплана была закончена к октябрю 1914 года, через месяц после начала боевых действий на фронте. Безобразов видел в своем творении одноместный истребитель. Его сотоварищ такого мнения не разделял, полагая, что их птеродактиль интересен как чисто экспериментальный летательный аппарат. Первый полет, к изумлению многих авиаторов, Ф. Моска произвел весьма успешно, не делая никаких предварительных пробежек и подлетов. На аэродроме поднялся сильный ветер, когда пилот выруливал от места стоянки, чтобы побегать по травке туда-сюда. Почувствовав, что машина сама просится в небо, летчик дал газ и аэроплан легко, словно бабочка, вспорхнул вверх метров на 50—70. Совершив три устойчивых виража на высоте 200—250 м вокруг места старта, Моска приземлился. Цветов и музыки не было - никто не ожидал в этот день, что эта «паутина» полетит.</w:t>
      </w:r>
    </w:p>
    <w:p w14:paraId="5B080844" w14:textId="1F9F76D1" w:rsidR="00E507DE" w:rsidRPr="00DE096C" w:rsidRDefault="00B67D7C" w:rsidP="00D45A46">
      <w:pPr>
        <w:jc w:val="both"/>
        <w:rPr>
          <w:bCs/>
          <w:color w:val="002060"/>
          <w:sz w:val="16"/>
          <w:szCs w:val="16"/>
        </w:rPr>
      </w:pPr>
      <w:r w:rsidRPr="00DE096C">
        <w:rPr>
          <w:bCs/>
          <w:color w:val="002060"/>
          <w:sz w:val="16"/>
          <w:szCs w:val="16"/>
        </w:rPr>
        <w:t xml:space="preserve">Столь знаменательному событию </w:t>
      </w:r>
    </w:p>
    <w:p w14:paraId="3C975727" w14:textId="77777777" w:rsidR="00E507DE" w:rsidRPr="00DE096C" w:rsidRDefault="00E507DE" w:rsidP="00D45A46">
      <w:pPr>
        <w:jc w:val="both"/>
        <w:rPr>
          <w:bCs/>
          <w:color w:val="002060"/>
          <w:sz w:val="16"/>
          <w:szCs w:val="16"/>
        </w:rPr>
      </w:pPr>
    </w:p>
    <w:p w14:paraId="379696C9" w14:textId="5938AA8C" w:rsidR="00B67D7C" w:rsidRPr="00DE096C" w:rsidRDefault="00E507DE"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декабре 1914 года</w:t>
      </w:r>
      <w:r w:rsidRPr="00DE096C">
        <w:rPr>
          <w:bCs/>
          <w:color w:val="002060"/>
          <w:sz w:val="16"/>
          <w:szCs w:val="16"/>
        </w:rPr>
        <w:t xml:space="preserve"> А. А. Безобразов, еоторыйс первых чиселх сентября был уже на фронте как кадровый офицер, смог вернуться к делам</w:t>
      </w:r>
      <w:r w:rsidR="00B67D7C" w:rsidRPr="00DE096C">
        <w:rPr>
          <w:bCs/>
          <w:color w:val="002060"/>
          <w:sz w:val="16"/>
          <w:szCs w:val="16"/>
        </w:rPr>
        <w:t>. После тяжелого ранения он длительное время пролежал в госпитале. Его «тримоноплан» в эту пору был переброшен в Крым (поближе к летной погоде), где в Севастопольской авиационной школе Ф. Моска продолжал его испытания и доводку. А. А. Безобразов прибыл в Крым в январе 1915 года и уже без Моски на протяжении всего 1915 года продолжал переделки и усовершенствования аппарата, пока в июне следующего года вновь не прибыл в Москву. 6 августа 1916 года летчик И. А. Орлов потерпел аварию при попытке взлета. Из-за поломки колесной оси аэроплан клюнул носом и перевернулся на спину. Ремонт «триплана» был закончен к марту 1917 года. Дальнейшие опыты с аэропланом были приостановлены. Установка и тип оружия на гипотетическом истребителе А. А. Безобразова не известны (11918).</w:t>
      </w:r>
    </w:p>
    <w:p w14:paraId="2723737D" w14:textId="77777777" w:rsidR="00B67D7C" w:rsidRPr="00DE096C" w:rsidRDefault="00B67D7C" w:rsidP="00D45A46">
      <w:pPr>
        <w:jc w:val="both"/>
        <w:rPr>
          <w:bCs/>
          <w:color w:val="002060"/>
          <w:sz w:val="16"/>
          <w:szCs w:val="16"/>
        </w:rPr>
      </w:pPr>
    </w:p>
    <w:p w14:paraId="16124D6B" w14:textId="77777777" w:rsidR="00B67D7C" w:rsidRPr="00DE096C" w:rsidRDefault="00B67D7C" w:rsidP="00D45A46">
      <w:pPr>
        <w:jc w:val="both"/>
        <w:rPr>
          <w:bCs/>
          <w:color w:val="002060"/>
          <w:sz w:val="16"/>
          <w:szCs w:val="16"/>
        </w:rPr>
      </w:pPr>
      <w:r w:rsidRPr="00DE096C">
        <w:rPr>
          <w:bCs/>
          <w:color w:val="002060"/>
          <w:sz w:val="16"/>
          <w:szCs w:val="16"/>
        </w:rPr>
        <w:t>В декабре 1914 г. А.А. Безобразов, который после начала войны немедленно отбыл в действующую армию, после получения тяжелого ранения на фронте на</w:t>
      </w:r>
      <w:r w:rsidRPr="00DE096C">
        <w:rPr>
          <w:bCs/>
          <w:color w:val="002060"/>
          <w:sz w:val="16"/>
          <w:szCs w:val="16"/>
        </w:rPr>
        <w:softHyphen/>
        <w:t>правился в тыл на излечение. Одновременно, о« пытался добиться финансирования для продолжения опытов со своим аппаратом. В конце года в штаб верховного командования из соответствующих инстанций доносилось: «Чрезвычайно желательно оказать Безобразову помощь для немедленной постройки нового аппарата, что займет к тому же не</w:t>
      </w:r>
      <w:r w:rsidRPr="00DE096C">
        <w:rPr>
          <w:bCs/>
          <w:color w:val="002060"/>
          <w:sz w:val="16"/>
          <w:szCs w:val="16"/>
        </w:rPr>
        <w:softHyphen/>
        <w:t>значительное время, и аппарат может по</w:t>
      </w:r>
      <w:r w:rsidRPr="00DE096C">
        <w:rPr>
          <w:bCs/>
          <w:color w:val="002060"/>
          <w:sz w:val="16"/>
          <w:szCs w:val="16"/>
        </w:rPr>
        <w:softHyphen/>
        <w:t>ступить в армиюуже к весне».</w:t>
      </w:r>
    </w:p>
    <w:p w14:paraId="5730AE87" w14:textId="77777777" w:rsidR="00B67D7C" w:rsidRPr="00DE096C" w:rsidRDefault="00B67D7C" w:rsidP="00D45A46">
      <w:pPr>
        <w:jc w:val="both"/>
        <w:rPr>
          <w:bCs/>
          <w:color w:val="002060"/>
          <w:sz w:val="16"/>
          <w:szCs w:val="16"/>
        </w:rPr>
      </w:pPr>
      <w:r w:rsidRPr="00DE096C">
        <w:rPr>
          <w:bCs/>
          <w:color w:val="002060"/>
          <w:sz w:val="16"/>
          <w:szCs w:val="16"/>
        </w:rPr>
        <w:t>Не желая терять времени автор триплана перевез его на территорию Севастопольской авиашколы, ближе к более благоприятной лет</w:t>
      </w:r>
      <w:r w:rsidRPr="00DE096C">
        <w:rPr>
          <w:bCs/>
          <w:color w:val="002060"/>
          <w:sz w:val="16"/>
          <w:szCs w:val="16"/>
        </w:rPr>
        <w:softHyphen/>
        <w:t>ной погоде. Здесь, на Александро-Михайловском аэродроме (с. Кача), им были уста</w:t>
      </w:r>
      <w:r w:rsidRPr="00DE096C">
        <w:rPr>
          <w:bCs/>
          <w:color w:val="002060"/>
          <w:sz w:val="16"/>
          <w:szCs w:val="16"/>
        </w:rPr>
        <w:softHyphen/>
        <w:t>новлены специально приобретенные два ан</w:t>
      </w:r>
      <w:r w:rsidRPr="00DE096C">
        <w:rPr>
          <w:bCs/>
          <w:color w:val="002060"/>
          <w:sz w:val="16"/>
          <w:szCs w:val="16"/>
        </w:rPr>
        <w:softHyphen/>
        <w:t>гара: брезентовый ангар «Бессонно» и стро</w:t>
      </w:r>
      <w:r w:rsidRPr="00DE096C">
        <w:rPr>
          <w:bCs/>
          <w:color w:val="002060"/>
          <w:sz w:val="16"/>
          <w:szCs w:val="16"/>
        </w:rPr>
        <w:softHyphen/>
        <w:t>пильный «Кебке». В одном дорабатывался первый тип триплана, во втором строился три-моноплан тип 2, особенностью которого было отсутствие стабилизатора и руля глубины на конце фюзеляжа. Для нового триплана прика</w:t>
      </w:r>
      <w:r w:rsidRPr="00DE096C">
        <w:rPr>
          <w:bCs/>
          <w:color w:val="002060"/>
          <w:sz w:val="16"/>
          <w:szCs w:val="16"/>
        </w:rPr>
        <w:softHyphen/>
        <w:t xml:space="preserve">зом № 62 от 3 марта 1915 г. по Офицерской школе авиации Великим князем Александром Михайловичем был выделен двигатель «Ле Рон» 80 </w:t>
      </w:r>
      <w:r w:rsidRPr="00DE096C">
        <w:rPr>
          <w:bCs/>
          <w:color w:val="002060"/>
          <w:sz w:val="16"/>
          <w:szCs w:val="16"/>
          <w:lang w:val="en-US"/>
        </w:rPr>
        <w:t>HP</w:t>
      </w:r>
      <w:r w:rsidRPr="00DE096C">
        <w:rPr>
          <w:bCs/>
          <w:color w:val="002060"/>
          <w:sz w:val="16"/>
          <w:szCs w:val="16"/>
        </w:rPr>
        <w:t>за номером 84 от б-й авиационной роты «под расписку прапорщику Безо бразову». Сам Безобразов характеризовал триплан как «разведочный, двухместный». Размах крыльев 13 м., ширина - 0,5 м., пло</w:t>
      </w:r>
      <w:r w:rsidRPr="00DE096C">
        <w:rPr>
          <w:bCs/>
          <w:color w:val="002060"/>
          <w:sz w:val="16"/>
          <w:szCs w:val="16"/>
        </w:rPr>
        <w:softHyphen/>
        <w:t>щадь несущей поверхности около 18 кв. м. На задней кромке каждого крыла были сделаны особые зубцы «для облегчения стекания» и стабилизации. Вес аппарата без груза состав</w:t>
      </w:r>
      <w:r w:rsidRPr="00DE096C">
        <w:rPr>
          <w:bCs/>
          <w:color w:val="002060"/>
          <w:sz w:val="16"/>
          <w:szCs w:val="16"/>
        </w:rPr>
        <w:softHyphen/>
        <w:t>лял 27 пудов (432 кг), с максимальной нагруз</w:t>
      </w:r>
      <w:r w:rsidRPr="00DE096C">
        <w:rPr>
          <w:bCs/>
          <w:color w:val="002060"/>
          <w:sz w:val="16"/>
          <w:szCs w:val="16"/>
        </w:rPr>
        <w:softHyphen/>
        <w:t>кой - 670-680 кг (11972).</w:t>
      </w:r>
    </w:p>
    <w:p w14:paraId="01A454C7" w14:textId="77777777" w:rsidR="00B67D7C" w:rsidRPr="00DE096C" w:rsidRDefault="00B67D7C" w:rsidP="00D45A46">
      <w:pPr>
        <w:jc w:val="both"/>
        <w:rPr>
          <w:bCs/>
          <w:color w:val="002060"/>
          <w:sz w:val="16"/>
          <w:szCs w:val="16"/>
        </w:rPr>
      </w:pPr>
    </w:p>
    <w:p w14:paraId="3B8EF3DB" w14:textId="08F4FEB0" w:rsidR="00B67D7C" w:rsidRPr="00DE096C" w:rsidRDefault="004809C0" w:rsidP="00D45A46">
      <w:pPr>
        <w:jc w:val="both"/>
        <w:rPr>
          <w:bCs/>
          <w:color w:val="002060"/>
          <w:sz w:val="16"/>
          <w:szCs w:val="16"/>
        </w:rPr>
      </w:pPr>
      <w:r w:rsidRPr="00DE096C">
        <w:rPr>
          <w:bCs/>
          <w:color w:val="002060"/>
          <w:sz w:val="16"/>
          <w:szCs w:val="16"/>
        </w:rPr>
        <w:t>Д</w:t>
      </w:r>
      <w:r w:rsidR="00B67D7C" w:rsidRPr="00DE096C">
        <w:rPr>
          <w:bCs/>
          <w:color w:val="002060"/>
          <w:sz w:val="16"/>
          <w:szCs w:val="16"/>
        </w:rPr>
        <w:t xml:space="preserve">екабрьским </w:t>
      </w:r>
      <w:r w:rsidRPr="00DE096C">
        <w:rPr>
          <w:bCs/>
          <w:color w:val="002060"/>
          <w:sz w:val="16"/>
          <w:szCs w:val="16"/>
        </w:rPr>
        <w:t xml:space="preserve">хмурым </w:t>
      </w:r>
      <w:r w:rsidR="00B67D7C" w:rsidRPr="00DE096C">
        <w:rPr>
          <w:bCs/>
          <w:color w:val="002060"/>
          <w:sz w:val="16"/>
          <w:szCs w:val="16"/>
        </w:rPr>
        <w:t>вечером 1914 года на далекой окраине Петрограда в помещении конторы завода на Комендантском аэродроме началось общее собрание акционеров. Их было немного. В комнате, кроме самого отставного коллежского секретаря Лебедева, было еще восемь человек. Заседание вел П. Н. Гуртович. Открывая первое собрание акционеров, В. Н. Лебедев с гордостью заявил «Господа акционеры! В день 25 декабря 1913 года удостоился высочайшего утверждения устав акционерного общества «В. А. Лебедев». Сей устав распубликован в сотом номере Собрания Узаконений и Распоряжений Правительства от 17 июня сего 1914 года в статье 834 ...» Далее В. Лебедев доложил о том, что благодаря его усилиям и нанятого им для квалифицированного составления бумаг (что было весьма разумно в условиях царившей бюро-кратии и казуистики) поверенного в делах общества кандидата прав Н. И. Гальперина, удалось удвоить основной капитал общества и довести его до 200 тысяч рублей, разделенных на 2000 акций по 100 рублей каждая.</w:t>
      </w:r>
    </w:p>
    <w:p w14:paraId="762DD985" w14:textId="77777777" w:rsidR="00B67D7C" w:rsidRPr="00DE096C" w:rsidRDefault="00B67D7C" w:rsidP="00D45A46">
      <w:pPr>
        <w:jc w:val="both"/>
        <w:rPr>
          <w:bCs/>
          <w:color w:val="002060"/>
          <w:sz w:val="16"/>
          <w:szCs w:val="16"/>
        </w:rPr>
      </w:pPr>
      <w:r w:rsidRPr="00DE096C">
        <w:rPr>
          <w:bCs/>
          <w:color w:val="002060"/>
          <w:sz w:val="16"/>
          <w:szCs w:val="16"/>
        </w:rPr>
        <w:t>А между тем, сидящие в торжественном молчании акционеры имели пока всего лишь 21000 рублей, что составляло всего 210 акций. Нет необходимости сегодня спустя много деся-тилетий разбираться в подробностях т.н. «финансовой реорганизации» общества. Ловкий и обо-ротистый коммерсант сумел, наконец создать свою фирму с довольно внушительным основным капиталом, который спустя короткое время достиг уже 400 тысяч рублей, При этом важно отме-тить, что избранный единогласно председателем общего собрания и директором правления Вла-димир Лебедев получил право кредитоваться в Государственном банке, а также в частных кре-дитных учреждениях и у частных лиц до суммы в миллион рублей.</w:t>
      </w:r>
    </w:p>
    <w:p w14:paraId="57FEAFA9" w14:textId="77777777" w:rsidR="00B67D7C" w:rsidRPr="00DE096C" w:rsidRDefault="00B67D7C" w:rsidP="00D45A46">
      <w:pPr>
        <w:jc w:val="both"/>
        <w:rPr>
          <w:bCs/>
          <w:color w:val="002060"/>
          <w:sz w:val="16"/>
          <w:szCs w:val="16"/>
        </w:rPr>
      </w:pPr>
      <w:r w:rsidRPr="00DE096C">
        <w:rPr>
          <w:bCs/>
          <w:color w:val="002060"/>
          <w:sz w:val="16"/>
          <w:szCs w:val="16"/>
        </w:rPr>
        <w:t>Теперь наступила пора набирать крупные заказы на строительство самолетов и получить под них кредиты, а пожар первой мировой войны разгорался все сильнее. Фронту требовалось все в больших количествах военная техника, в том числе и самолеты. А их доставка на русский фронт из Англии и Франции становилась все сложнее и сложнее в результате развертывания широких боевых действий немецких подводных лодок, особенно в Атлантике и Северном море. Русское военное ведомство было вынуждено воспользоваться услугами отечественных компа-ний. Это и нужно было Лебедеву, как воздух. Но не забывали и о рекламе. И вскоре в газетах появились публикации о создании нового акционерного общества. 24 декабря в «Правительст-венном вестнике» и «Петроградских ведомостях», а на следующий день в «Ведомостях Петро-градского градоначальства» и в самый канун нового 1915 года - в «Московских ведомостях»*).</w:t>
      </w:r>
    </w:p>
    <w:p w14:paraId="60A5D968" w14:textId="77777777" w:rsidR="00B67D7C" w:rsidRPr="00DE096C" w:rsidRDefault="00B67D7C" w:rsidP="00D45A46">
      <w:pPr>
        <w:jc w:val="both"/>
        <w:rPr>
          <w:bCs/>
          <w:color w:val="002060"/>
          <w:sz w:val="16"/>
          <w:szCs w:val="16"/>
        </w:rPr>
      </w:pPr>
      <w:r w:rsidRPr="00DE096C">
        <w:rPr>
          <w:bCs/>
          <w:color w:val="002060"/>
          <w:sz w:val="16"/>
          <w:szCs w:val="16"/>
        </w:rPr>
        <w:t>А потом последовали новые письма и прошения в Министерство торговли и промышлен-ности об увеличении основного капитала до миллиона, а уже в 1916 году до четырех миллионов рублей. Такие разрешения после долгих проволочек были получены. В апреле 1915 года Лебе-дев добивается заказа на строительство и поставку морскому ведомству 31 гидроаэроплана типа «Ф.Б.А» на сумму свыше 200 тысяч рублей, при этом втулки, моторы и принадлежности к ним морское ведомство должно обеспечивать само. Строительство этих гидропланов продолжалось до конца 1916 года. Для их сборки и обслуживания, а также для проведения летных и морских испытаний в 1915 году В. Лебедев строит на взморье Крестовского острова в Петрограде наве-сы-полуангары. Этот очень выгодный контракт позволил В. А. Лебедеву не только в срок вы-полнить заказ, но и получить но- вые еще большие подряды на строительство новых самолетов</w:t>
      </w:r>
    </w:p>
    <w:p w14:paraId="55926404" w14:textId="39DB5691" w:rsidR="00B67D7C" w:rsidRPr="00DE096C" w:rsidRDefault="00B67D7C" w:rsidP="00D45A46">
      <w:pPr>
        <w:jc w:val="both"/>
        <w:rPr>
          <w:bCs/>
          <w:color w:val="002060"/>
          <w:sz w:val="16"/>
          <w:szCs w:val="16"/>
        </w:rPr>
      </w:pPr>
      <w:r w:rsidRPr="00DE096C">
        <w:rPr>
          <w:bCs/>
          <w:color w:val="002060"/>
          <w:sz w:val="16"/>
          <w:szCs w:val="16"/>
        </w:rPr>
        <w:t xml:space="preserve">В то время одним из лучших самолетов считался по праву аэроплан конструкции братьев – Вуазен. Военное ведомство разместило большой заказ на строительство этих самолетов на крупнейших самолетостроительных заводах С. Щетинина в Петрограде, «Дукс» в Москве, а также на заводах одесского миллионера Анатры и В. Лебедева. На своем петроградском заводе он строил самолеты типа «Вуазен» в модификациях L, LA, LАS. Ему удалось в острой конку-рентной борьбе урвать заказ на строительство ста самолетов, но возможности завода оказались недостаточными. Как и всем отечественным промышленникам В.Лебедеву пришлось испытать огромные трудности. В стране остро ощущалась нехватка квалифицированных рабочих кадров. Еще острей была нехватка инженеров и техников, трудно было с приобретением необходимого оборудования, станков, инструментов. В разгаре была мировая война, и с каждым днем ощу-щался дефицит качественного сырья, материалов, полуфабрикатов и различного авиационного оборудования, приборов и, конечно же, двигателей. Ведь они в то время в России не производи-лись, а </w:t>
      </w:r>
      <w:r w:rsidRPr="00DE096C">
        <w:rPr>
          <w:bCs/>
          <w:color w:val="002060"/>
          <w:sz w:val="16"/>
          <w:szCs w:val="16"/>
        </w:rPr>
        <w:lastRenderedPageBreak/>
        <w:t>сборка иностранных моторов была явно недостаточной. Все это приходилось закупать за границей. Отечественного моторостроения и приборостроения, как такового еще не было. Тем не менее, лебедевский завод в Петрограде развивался довольно быстро, и уже в 1915 году на нем трудилось несколько сот человек, а в 1916 году уже 867 работающих. Завод занимал значи-тельную по тем временам площадь в 25 тысяч квадратных саженей1) и превосходил заводы Ще-тинина и «Дукс». На полученные от государства субсидии В.Лебедеву удалось в течение 1914-1918 построить завод общей площадью каменных зданий-211 кв. саженей и деревянных-3359 кв. саженей. На заводе было установлено 55 двигателей разной мощности и 37 станков. Уже в первый год своего существования на заводе было построено 47 различных самолетов, в 1915 году - 187, а в 1918 году сдано заказчикам 227 самолетов. Это был период наибольшего расцвета Петроградского авиационного завода В. Лебедева.</w:t>
      </w:r>
    </w:p>
    <w:p w14:paraId="6C13C33E" w14:textId="77777777" w:rsidR="00B67D7C" w:rsidRPr="00DE096C" w:rsidRDefault="00B67D7C" w:rsidP="00D45A46">
      <w:pPr>
        <w:jc w:val="both"/>
        <w:rPr>
          <w:bCs/>
          <w:color w:val="002060"/>
          <w:sz w:val="16"/>
          <w:szCs w:val="16"/>
        </w:rPr>
      </w:pPr>
      <w:r w:rsidRPr="00DE096C">
        <w:rPr>
          <w:bCs/>
          <w:color w:val="002060"/>
          <w:sz w:val="16"/>
          <w:szCs w:val="16"/>
        </w:rPr>
        <w:t>Летом 1915 года во время боевых действий на Балтике был захвачен немецкий самолет «Альбатрос» с мотором в 150 л.с. в исправном состоянии. Лебедев сумел убедить передать са-молет ему на завод и вскоре трофейный «Альбатрос» был доставлен на Комендантский аэро-дром. На заводе этот самолет стали копировать несколько видоизменяя его применительно к различным моторам. Уже осенью того же года глава фирмы выбивает заказ в Морском Гене-ральном Штабе на переделку партии французских сухопутных самолетов типа «Морис-Фарман» на морские. Заказ был успешно выполнен, все самолеты были поставлены в срок.</w:t>
      </w:r>
    </w:p>
    <w:p w14:paraId="4D3620E7" w14:textId="77777777" w:rsidR="00B67D7C" w:rsidRPr="00DE096C" w:rsidRDefault="00B67D7C" w:rsidP="00D45A46">
      <w:pPr>
        <w:jc w:val="both"/>
        <w:rPr>
          <w:bCs/>
          <w:color w:val="002060"/>
          <w:sz w:val="16"/>
          <w:szCs w:val="16"/>
        </w:rPr>
      </w:pPr>
      <w:r w:rsidRPr="00DE096C">
        <w:rPr>
          <w:bCs/>
          <w:color w:val="002060"/>
          <w:sz w:val="16"/>
          <w:szCs w:val="16"/>
        </w:rPr>
        <w:t>Окрыленный первыми успехами Владимир Лебедев набирает все новые и новые заказы на строительство самолетов. За годы войны завод значительно вырос. Его оборудование серьезно обновилось. В 1916 году завод уже располагал деревообделочным, механическим, слесарным, сборочным, малярным, сварочным, сушильным цехами и столярной мастерской. Число рабо-тающих перевалило за тысячу и продолжало расти. Но ограниченность территории затрудняли дальнейшее расширение завода. Некоторые российские авиапромышленники создают свои фи-лиалы в других городах. А. Анатра строит отделение завода в Симферополе, С. Щетинин в Яро-славле. В. Лебедев используя момент подает прошение в Правительство с просьбой разрешить и ему строительство новых авиационных заводов в других местностях России. И вскоре получает высочайшее разрешение.</w:t>
      </w:r>
    </w:p>
    <w:p w14:paraId="30990FAA" w14:textId="77777777" w:rsidR="00B67D7C" w:rsidRPr="00DE096C" w:rsidRDefault="00B67D7C" w:rsidP="00D45A46">
      <w:pPr>
        <w:jc w:val="both"/>
        <w:rPr>
          <w:bCs/>
          <w:color w:val="002060"/>
          <w:sz w:val="16"/>
          <w:szCs w:val="16"/>
        </w:rPr>
      </w:pPr>
      <w:r w:rsidRPr="00DE096C">
        <w:rPr>
          <w:bCs/>
          <w:color w:val="002060"/>
          <w:sz w:val="16"/>
          <w:szCs w:val="16"/>
        </w:rPr>
        <w:t>Он не мешкая покупает земельные участки в Пензе и Ярославле, где начинает строить авиационные заводы и завод винтов. В ноябре 1916 года постройка Пензенского завода была за-вершена, и там началось производство винтов. В это время Центральный военно-промышленный комитет выделяет для нового завода Лебедева около 50 импортных станков. Вскоре для сборки самолетов на заводе в Пензе был выстроен большой цех общей площадью около 2180 квадратных метров*).</w:t>
      </w:r>
    </w:p>
    <w:p w14:paraId="7AFACD1D" w14:textId="77777777" w:rsidR="00B67D7C" w:rsidRPr="00DE096C" w:rsidRDefault="00B67D7C" w:rsidP="00D45A46">
      <w:pPr>
        <w:jc w:val="both"/>
        <w:rPr>
          <w:bCs/>
          <w:color w:val="002060"/>
          <w:sz w:val="16"/>
          <w:szCs w:val="16"/>
        </w:rPr>
      </w:pPr>
      <w:r w:rsidRPr="00DE096C">
        <w:rPr>
          <w:bCs/>
          <w:color w:val="002060"/>
          <w:sz w:val="16"/>
          <w:szCs w:val="16"/>
        </w:rPr>
        <w:t>Однако здесь Лебедева ожидают трудности; недостаток рабочей силы, отсутствие топлива, серьезные транспортные проблемы и, на- конец, сложные климатические условия. И его взор устремляется на юг. Он уже давно присматривается к Таганрогу...(11642).</w:t>
      </w:r>
    </w:p>
    <w:p w14:paraId="029BC202" w14:textId="77777777" w:rsidR="00B67D7C" w:rsidRPr="00DE096C" w:rsidRDefault="00B67D7C" w:rsidP="00D45A46">
      <w:pPr>
        <w:jc w:val="both"/>
        <w:rPr>
          <w:bCs/>
          <w:color w:val="002060"/>
          <w:sz w:val="16"/>
          <w:szCs w:val="16"/>
        </w:rPr>
      </w:pPr>
    </w:p>
    <w:p w14:paraId="58723373" w14:textId="77777777" w:rsidR="00424ECC" w:rsidRPr="00DE096C" w:rsidRDefault="00424ECC" w:rsidP="00D45A46">
      <w:pPr>
        <w:jc w:val="both"/>
        <w:rPr>
          <w:bCs/>
          <w:color w:val="002060"/>
          <w:sz w:val="16"/>
          <w:szCs w:val="16"/>
        </w:rPr>
      </w:pPr>
      <w:r w:rsidRPr="00DE096C">
        <w:rPr>
          <w:bCs/>
          <w:color w:val="002060"/>
          <w:sz w:val="16"/>
          <w:szCs w:val="16"/>
        </w:rPr>
        <w:t>В декабре 1914 г., когда приемка самолетов «Илья Муромец» заказчиком формально была приостановлена по причине жалоб летного состава на его недостатки, был сдан первый самолет ИМ серии В (23563).</w:t>
      </w:r>
    </w:p>
    <w:p w14:paraId="302CB80B" w14:textId="77777777" w:rsidR="00424ECC" w:rsidRPr="00DE096C" w:rsidRDefault="00424ECC" w:rsidP="00D45A46">
      <w:pPr>
        <w:jc w:val="both"/>
        <w:rPr>
          <w:bCs/>
          <w:color w:val="002060"/>
          <w:sz w:val="16"/>
          <w:szCs w:val="16"/>
          <w:lang w:bidi="ru-RU"/>
        </w:rPr>
      </w:pPr>
    </w:p>
    <w:p w14:paraId="3E9D3BBD" w14:textId="77777777" w:rsidR="00424ECC" w:rsidRPr="00DE096C" w:rsidRDefault="00424ECC" w:rsidP="00D45A46">
      <w:pPr>
        <w:jc w:val="both"/>
        <w:rPr>
          <w:bCs/>
          <w:color w:val="002060"/>
          <w:sz w:val="16"/>
          <w:szCs w:val="16"/>
        </w:rPr>
      </w:pPr>
      <w:r w:rsidRPr="00DE096C">
        <w:rPr>
          <w:bCs/>
          <w:color w:val="002060"/>
          <w:sz w:val="16"/>
          <w:szCs w:val="16"/>
        </w:rPr>
        <w:t>В декабре 1914 г. «Илья Муромец» Б-5 (ИМ-Б № 137, борт № III, затем борт № VI) экз. № 5, стратегический разведчик, по сути – учебный самолет.прибыл на базу ЭВК в Яблонну и там был принят в казну.</w:t>
      </w:r>
    </w:p>
    <w:p w14:paraId="31098EEA" w14:textId="77777777" w:rsidR="00424ECC" w:rsidRPr="00DE096C" w:rsidRDefault="00424ECC" w:rsidP="00D45A46">
      <w:pPr>
        <w:jc w:val="both"/>
        <w:rPr>
          <w:bCs/>
          <w:color w:val="002060"/>
          <w:sz w:val="16"/>
          <w:szCs w:val="16"/>
        </w:rPr>
      </w:pPr>
      <w:r w:rsidRPr="00DE096C">
        <w:rPr>
          <w:bCs/>
          <w:color w:val="002060"/>
          <w:sz w:val="16"/>
          <w:szCs w:val="16"/>
        </w:rPr>
        <w:t>Построен РБВЗ осенью 1914 г. по типу самолета № 136, но установлена новая ХОШ с двумя одинаковыми главными лыжами (они были установлены бок о бок и касались земли одновременно).</w:t>
      </w:r>
    </w:p>
    <w:p w14:paraId="56BC64E6" w14:textId="77777777" w:rsidR="00424ECC" w:rsidRPr="00DE096C" w:rsidRDefault="00424ECC" w:rsidP="00D45A46">
      <w:pPr>
        <w:jc w:val="both"/>
        <w:rPr>
          <w:bCs/>
          <w:color w:val="002060"/>
          <w:sz w:val="16"/>
          <w:szCs w:val="16"/>
        </w:rPr>
      </w:pPr>
      <w:r w:rsidRPr="00DE096C">
        <w:rPr>
          <w:bCs/>
          <w:color w:val="002060"/>
          <w:sz w:val="16"/>
          <w:szCs w:val="16"/>
        </w:rPr>
        <w:t>Командиром корабля был назначен штабс-капитан В.М. Бродович.</w:t>
      </w:r>
    </w:p>
    <w:p w14:paraId="1477A6BF" w14:textId="77777777" w:rsidR="00424ECC" w:rsidRPr="00DE096C" w:rsidRDefault="00424ECC" w:rsidP="00D45A46">
      <w:pPr>
        <w:jc w:val="both"/>
        <w:rPr>
          <w:bCs/>
          <w:color w:val="002060"/>
          <w:sz w:val="16"/>
          <w:szCs w:val="16"/>
        </w:rPr>
      </w:pPr>
      <w:r w:rsidRPr="00DE096C">
        <w:rPr>
          <w:bCs/>
          <w:color w:val="002060"/>
          <w:sz w:val="16"/>
          <w:szCs w:val="16"/>
        </w:rPr>
        <w:t>7 марта 1915 г. получил новый бортовой номер VI.</w:t>
      </w:r>
    </w:p>
    <w:p w14:paraId="4D44A309" w14:textId="77777777" w:rsidR="00424ECC" w:rsidRPr="00DE096C" w:rsidRDefault="00424ECC" w:rsidP="00D45A46">
      <w:pPr>
        <w:jc w:val="both"/>
        <w:rPr>
          <w:bCs/>
          <w:color w:val="002060"/>
          <w:sz w:val="16"/>
          <w:szCs w:val="16"/>
        </w:rPr>
      </w:pPr>
      <w:r w:rsidRPr="00DE096C">
        <w:rPr>
          <w:bCs/>
          <w:color w:val="002060"/>
          <w:sz w:val="16"/>
          <w:szCs w:val="16"/>
        </w:rPr>
        <w:t>30 апреля (13 мая по н.ст.) 1915 г. разбит поручиком Головиным в аварии на а/д Яблонна (23569).</w:t>
      </w:r>
    </w:p>
    <w:p w14:paraId="5D2F6C35" w14:textId="77777777" w:rsidR="00424ECC" w:rsidRPr="00DE096C" w:rsidRDefault="00424ECC" w:rsidP="00D45A46">
      <w:pPr>
        <w:jc w:val="both"/>
        <w:rPr>
          <w:bCs/>
          <w:color w:val="002060"/>
          <w:sz w:val="16"/>
          <w:szCs w:val="16"/>
          <w:lang w:bidi="ru-RU"/>
        </w:rPr>
      </w:pPr>
    </w:p>
    <w:p w14:paraId="7F570238" w14:textId="77777777" w:rsidR="00424ECC" w:rsidRPr="00DE096C" w:rsidRDefault="00424ECC" w:rsidP="00D45A46">
      <w:pPr>
        <w:jc w:val="both"/>
        <w:rPr>
          <w:bCs/>
          <w:color w:val="002060"/>
          <w:sz w:val="16"/>
          <w:szCs w:val="16"/>
        </w:rPr>
      </w:pPr>
      <w:r w:rsidRPr="00DE096C">
        <w:rPr>
          <w:bCs/>
          <w:color w:val="002060"/>
          <w:sz w:val="16"/>
          <w:szCs w:val="16"/>
        </w:rPr>
        <w:t>В декабре 1914 г. принят и в том же месяце отправлен с завода РБВЗ в агрегатах по железной дороге на базу ЭВК в Яблону «Илья Муромец» В-8 (ИМ В-8 № 149 «остроносый», борт № VI) экз. № 8, стратегический разведчик, тяжелый бомбардировщик, фактически учебный самолет.</w:t>
      </w:r>
    </w:p>
    <w:p w14:paraId="47FD1DCC" w14:textId="77777777" w:rsidR="00424ECC" w:rsidRPr="00DE096C" w:rsidRDefault="00424ECC" w:rsidP="00D45A46">
      <w:pPr>
        <w:jc w:val="both"/>
        <w:rPr>
          <w:bCs/>
          <w:color w:val="002060"/>
          <w:sz w:val="16"/>
          <w:szCs w:val="16"/>
        </w:rPr>
      </w:pPr>
      <w:r w:rsidRPr="00DE096C">
        <w:rPr>
          <w:bCs/>
          <w:color w:val="002060"/>
          <w:sz w:val="16"/>
          <w:szCs w:val="16"/>
        </w:rPr>
        <w:t>На заводе-изготовителе окончательная сборка самолета не выполнялась.</w:t>
      </w:r>
    </w:p>
    <w:p w14:paraId="546CF3E6" w14:textId="77777777" w:rsidR="00424ECC" w:rsidRPr="00DE096C" w:rsidRDefault="00424ECC" w:rsidP="00D45A46">
      <w:pPr>
        <w:jc w:val="both"/>
        <w:rPr>
          <w:bCs/>
          <w:color w:val="002060"/>
          <w:sz w:val="16"/>
          <w:szCs w:val="16"/>
        </w:rPr>
      </w:pPr>
      <w:r w:rsidRPr="00DE096C">
        <w:rPr>
          <w:bCs/>
          <w:color w:val="002060"/>
          <w:sz w:val="16"/>
          <w:szCs w:val="16"/>
        </w:rPr>
        <w:t>Собран и укомплектован на базе ЭВК в Яблоне в начале 1915 г.</w:t>
      </w:r>
    </w:p>
    <w:p w14:paraId="72D5A1C2" w14:textId="77777777" w:rsidR="00424ECC" w:rsidRPr="00DE096C" w:rsidRDefault="00424ECC" w:rsidP="00D45A46">
      <w:pPr>
        <w:jc w:val="both"/>
        <w:rPr>
          <w:bCs/>
          <w:color w:val="002060"/>
          <w:sz w:val="16"/>
          <w:szCs w:val="16"/>
        </w:rPr>
      </w:pPr>
      <w:r w:rsidRPr="00DE096C">
        <w:rPr>
          <w:bCs/>
          <w:color w:val="002060"/>
          <w:sz w:val="16"/>
          <w:szCs w:val="16"/>
        </w:rPr>
        <w:t>Построен РБВЗ со значительными отличиями от предыдущих:</w:t>
      </w:r>
    </w:p>
    <w:p w14:paraId="08AB7C34" w14:textId="77777777" w:rsidR="00424ECC" w:rsidRPr="00DE096C" w:rsidRDefault="00424ECC" w:rsidP="00D45A46">
      <w:pPr>
        <w:jc w:val="both"/>
        <w:rPr>
          <w:bCs/>
          <w:color w:val="002060"/>
          <w:sz w:val="16"/>
          <w:szCs w:val="16"/>
        </w:rPr>
      </w:pPr>
      <w:r w:rsidRPr="00DE096C">
        <w:rPr>
          <w:bCs/>
          <w:color w:val="002060"/>
          <w:sz w:val="16"/>
          <w:szCs w:val="16"/>
        </w:rPr>
        <w:t>- силовая установка с 2 тянущими моторами Сальмсон 2М7 по 200 л.с. (их установка и система охлаждения такие же, как на предыдущих кораблях с этими моторами), внешние мотоустановки с рамами не монтировались;</w:t>
      </w:r>
    </w:p>
    <w:p w14:paraId="35C87995" w14:textId="77777777" w:rsidR="00424ECC" w:rsidRPr="00DE096C" w:rsidRDefault="00424ECC" w:rsidP="00D45A46">
      <w:pPr>
        <w:jc w:val="both"/>
        <w:rPr>
          <w:bCs/>
          <w:color w:val="002060"/>
          <w:sz w:val="16"/>
          <w:szCs w:val="16"/>
        </w:rPr>
      </w:pPr>
      <w:r w:rsidRPr="00DE096C">
        <w:rPr>
          <w:bCs/>
          <w:color w:val="002060"/>
          <w:sz w:val="16"/>
          <w:szCs w:val="16"/>
        </w:rPr>
        <w:t>- предположительно, емкость топливной системы уменьшена;</w:t>
      </w:r>
    </w:p>
    <w:p w14:paraId="66ED26CA" w14:textId="77777777" w:rsidR="00424ECC" w:rsidRPr="00DE096C" w:rsidRDefault="00424ECC" w:rsidP="00D45A46">
      <w:pPr>
        <w:jc w:val="both"/>
        <w:rPr>
          <w:bCs/>
          <w:color w:val="002060"/>
          <w:sz w:val="16"/>
          <w:szCs w:val="16"/>
        </w:rPr>
      </w:pPr>
      <w:r w:rsidRPr="00DE096C">
        <w:rPr>
          <w:bCs/>
          <w:color w:val="002060"/>
          <w:sz w:val="16"/>
          <w:szCs w:val="16"/>
        </w:rPr>
        <w:t>- передние кроме первых цилиндров и боковые части моторов закрыты обтекателями (по 3 отдельных панели на мотор), состоящие из обшивки, сделанной из алюминиевого листа выколоткой на болване, и каркаса из уголков;</w:t>
      </w:r>
    </w:p>
    <w:p w14:paraId="32F5EF2C" w14:textId="77777777" w:rsidR="00424ECC" w:rsidRPr="00DE096C" w:rsidRDefault="00424ECC" w:rsidP="00D45A46">
      <w:pPr>
        <w:jc w:val="both"/>
        <w:rPr>
          <w:bCs/>
          <w:color w:val="002060"/>
          <w:sz w:val="16"/>
          <w:szCs w:val="16"/>
        </w:rPr>
      </w:pPr>
      <w:r w:rsidRPr="00DE096C">
        <w:rPr>
          <w:bCs/>
          <w:color w:val="002060"/>
          <w:sz w:val="16"/>
          <w:szCs w:val="16"/>
        </w:rPr>
        <w:t>- по данным М. Хайрулина сделана новая бипланная коробка с укороченными крыльями, но судя по известным снимкам – такая же, как на предыдущих самолетах;</w:t>
      </w:r>
    </w:p>
    <w:p w14:paraId="1FE53205" w14:textId="77777777" w:rsidR="00424ECC" w:rsidRPr="00DE096C" w:rsidRDefault="00424ECC" w:rsidP="00D45A46">
      <w:pPr>
        <w:jc w:val="both"/>
        <w:rPr>
          <w:bCs/>
          <w:color w:val="002060"/>
          <w:sz w:val="16"/>
          <w:szCs w:val="16"/>
        </w:rPr>
      </w:pPr>
      <w:r w:rsidRPr="00DE096C">
        <w:rPr>
          <w:bCs/>
          <w:color w:val="002060"/>
          <w:sz w:val="16"/>
          <w:szCs w:val="16"/>
        </w:rPr>
        <w:t>- НЧФ «остроносая» с остеклением кабины летчика из 6 больших боковых стекол, 2 передних открываются на петлях, установленных на их задних рамах;</w:t>
      </w:r>
    </w:p>
    <w:p w14:paraId="36BCA4C9" w14:textId="77777777" w:rsidR="00424ECC" w:rsidRPr="00DE096C" w:rsidRDefault="00424ECC" w:rsidP="00D45A46">
      <w:pPr>
        <w:jc w:val="both"/>
        <w:rPr>
          <w:bCs/>
          <w:color w:val="002060"/>
          <w:sz w:val="16"/>
          <w:szCs w:val="16"/>
        </w:rPr>
      </w:pPr>
      <w:r w:rsidRPr="00DE096C">
        <w:rPr>
          <w:bCs/>
          <w:color w:val="002060"/>
          <w:sz w:val="16"/>
          <w:szCs w:val="16"/>
        </w:rPr>
        <w:t>- входные двери сделаны вперед к НЧФ.</w:t>
      </w:r>
    </w:p>
    <w:p w14:paraId="7E0A8AFB" w14:textId="77777777" w:rsidR="00424ECC" w:rsidRPr="00DE096C" w:rsidRDefault="00424ECC" w:rsidP="00D45A46">
      <w:pPr>
        <w:jc w:val="both"/>
        <w:rPr>
          <w:bCs/>
          <w:color w:val="002060"/>
          <w:sz w:val="16"/>
          <w:szCs w:val="16"/>
        </w:rPr>
      </w:pPr>
      <w:r w:rsidRPr="00DE096C">
        <w:rPr>
          <w:bCs/>
          <w:color w:val="002060"/>
          <w:sz w:val="16"/>
          <w:szCs w:val="16"/>
        </w:rPr>
        <w:t>Пулеметное вооружение самолету придано не было, и состав его не был определен.</w:t>
      </w:r>
    </w:p>
    <w:p w14:paraId="7582C8D3" w14:textId="77777777" w:rsidR="00424ECC" w:rsidRPr="00DE096C" w:rsidRDefault="00424ECC" w:rsidP="00D45A46">
      <w:pPr>
        <w:jc w:val="both"/>
        <w:rPr>
          <w:bCs/>
          <w:color w:val="002060"/>
          <w:sz w:val="16"/>
          <w:szCs w:val="16"/>
        </w:rPr>
      </w:pPr>
      <w:r w:rsidRPr="00DE096C">
        <w:rPr>
          <w:bCs/>
          <w:color w:val="002060"/>
          <w:sz w:val="16"/>
          <w:szCs w:val="16"/>
        </w:rPr>
        <w:t>Командиром корабля был назначен штабс-капитан Б.М. Фирсов.</w:t>
      </w:r>
    </w:p>
    <w:p w14:paraId="355F3A6B" w14:textId="77777777" w:rsidR="00424ECC" w:rsidRPr="00DE096C" w:rsidRDefault="00424ECC" w:rsidP="00D45A46">
      <w:pPr>
        <w:jc w:val="both"/>
        <w:rPr>
          <w:bCs/>
          <w:color w:val="002060"/>
          <w:sz w:val="16"/>
          <w:szCs w:val="16"/>
        </w:rPr>
      </w:pPr>
      <w:r w:rsidRPr="00DE096C">
        <w:rPr>
          <w:bCs/>
          <w:color w:val="002060"/>
          <w:sz w:val="16"/>
          <w:szCs w:val="16"/>
        </w:rPr>
        <w:t>В начале 1915 г., не позже первых чисел февраля, самолет был Фирсовым облетан.</w:t>
      </w:r>
    </w:p>
    <w:p w14:paraId="2150E6C7" w14:textId="77777777" w:rsidR="00424ECC" w:rsidRPr="00DE096C" w:rsidRDefault="00424ECC" w:rsidP="00D45A46">
      <w:pPr>
        <w:jc w:val="both"/>
        <w:rPr>
          <w:bCs/>
          <w:color w:val="002060"/>
          <w:sz w:val="16"/>
          <w:szCs w:val="16"/>
        </w:rPr>
      </w:pPr>
      <w:r w:rsidRPr="00DE096C">
        <w:rPr>
          <w:bCs/>
          <w:color w:val="002060"/>
          <w:sz w:val="16"/>
          <w:szCs w:val="16"/>
        </w:rPr>
        <w:t>Разбит 13.02.15 г. (26.02.15 г. по н.ст.) – это была первая потеря самолета ИМ по причине аварии (23.</w:t>
      </w:r>
    </w:p>
    <w:p w14:paraId="37B213D8" w14:textId="77777777" w:rsidR="00424ECC" w:rsidRPr="00DE096C" w:rsidRDefault="00424ECC" w:rsidP="00D45A46">
      <w:pPr>
        <w:jc w:val="both"/>
        <w:rPr>
          <w:bCs/>
          <w:color w:val="002060"/>
          <w:sz w:val="16"/>
          <w:szCs w:val="16"/>
        </w:rPr>
      </w:pPr>
    </w:p>
    <w:p w14:paraId="45B01E1C" w14:textId="77777777" w:rsidR="00424ECC" w:rsidRPr="00DE096C" w:rsidRDefault="00424ECC" w:rsidP="00D45A46">
      <w:pPr>
        <w:jc w:val="both"/>
        <w:rPr>
          <w:bCs/>
          <w:color w:val="002060"/>
          <w:sz w:val="16"/>
          <w:szCs w:val="16"/>
        </w:rPr>
      </w:pPr>
      <w:r w:rsidRPr="00DE096C">
        <w:rPr>
          <w:bCs/>
          <w:color w:val="002060"/>
          <w:sz w:val="16"/>
          <w:szCs w:val="16"/>
        </w:rPr>
        <w:t>В декабре 1914 г. «Илья Муромец» Б-7 (ИМ-Б № 143, борт № V) экз. № 7, стратегический разведчик, по сути – учебный и экспериментальный самолет прибыл на базу ЭВК в Яблонну и там был принят в казну в нарушение указания Военного Совета о запрете приемки самолетов ИМ впредь до устранения их недостатков.</w:t>
      </w:r>
    </w:p>
    <w:p w14:paraId="107FED72" w14:textId="77777777" w:rsidR="00424ECC" w:rsidRPr="00DE096C" w:rsidRDefault="00424ECC" w:rsidP="00D45A46">
      <w:pPr>
        <w:jc w:val="both"/>
        <w:rPr>
          <w:bCs/>
          <w:color w:val="002060"/>
          <w:sz w:val="16"/>
          <w:szCs w:val="16"/>
        </w:rPr>
      </w:pPr>
      <w:r w:rsidRPr="00DE096C">
        <w:rPr>
          <w:bCs/>
          <w:color w:val="002060"/>
          <w:sz w:val="16"/>
          <w:szCs w:val="16"/>
        </w:rPr>
        <w:t>В сентябре 1914 г. сдан РБВЗ заказчику.</w:t>
      </w:r>
    </w:p>
    <w:p w14:paraId="16C4D6A7" w14:textId="77777777" w:rsidR="00424ECC" w:rsidRPr="00DE096C" w:rsidRDefault="00424ECC" w:rsidP="00D45A46">
      <w:pPr>
        <w:jc w:val="both"/>
        <w:rPr>
          <w:bCs/>
          <w:color w:val="002060"/>
          <w:sz w:val="16"/>
          <w:szCs w:val="16"/>
        </w:rPr>
      </w:pPr>
      <w:r w:rsidRPr="00DE096C">
        <w:rPr>
          <w:bCs/>
          <w:color w:val="002060"/>
          <w:sz w:val="16"/>
          <w:szCs w:val="16"/>
        </w:rPr>
        <w:t>Построен с моторами и шасси по типу самолета № 136, но с отличиями по остальной конструкции:</w:t>
      </w:r>
    </w:p>
    <w:p w14:paraId="186B8CE7" w14:textId="77777777" w:rsidR="00424ECC" w:rsidRPr="00DE096C" w:rsidRDefault="00424ECC" w:rsidP="00D45A46">
      <w:pPr>
        <w:jc w:val="both"/>
        <w:rPr>
          <w:bCs/>
          <w:color w:val="002060"/>
          <w:sz w:val="16"/>
          <w:szCs w:val="16"/>
        </w:rPr>
      </w:pPr>
      <w:r w:rsidRPr="00DE096C">
        <w:rPr>
          <w:bCs/>
          <w:color w:val="002060"/>
          <w:sz w:val="16"/>
          <w:szCs w:val="16"/>
        </w:rPr>
        <w:t>- топливная и масляная система с двумя совмещенными баками над внутренними моторами (возможно, были баки и внутри фюзеляжа);</w:t>
      </w:r>
    </w:p>
    <w:p w14:paraId="7109314A" w14:textId="77777777" w:rsidR="00424ECC" w:rsidRPr="00DE096C" w:rsidRDefault="00424ECC" w:rsidP="00D45A46">
      <w:pPr>
        <w:jc w:val="both"/>
        <w:rPr>
          <w:bCs/>
          <w:color w:val="002060"/>
          <w:sz w:val="16"/>
          <w:szCs w:val="16"/>
        </w:rPr>
      </w:pPr>
      <w:r w:rsidRPr="00DE096C">
        <w:rPr>
          <w:bCs/>
          <w:color w:val="002060"/>
          <w:sz w:val="16"/>
          <w:szCs w:val="16"/>
        </w:rPr>
        <w:t>- установлены радиаторы нового типа;</w:t>
      </w:r>
    </w:p>
    <w:p w14:paraId="08B4C6A4" w14:textId="77777777" w:rsidR="00424ECC" w:rsidRPr="00DE096C" w:rsidRDefault="00424ECC" w:rsidP="00D45A46">
      <w:pPr>
        <w:jc w:val="both"/>
        <w:rPr>
          <w:bCs/>
          <w:color w:val="002060"/>
          <w:sz w:val="16"/>
          <w:szCs w:val="16"/>
        </w:rPr>
      </w:pPr>
      <w:r w:rsidRPr="00DE096C">
        <w:rPr>
          <w:bCs/>
          <w:color w:val="002060"/>
          <w:sz w:val="16"/>
          <w:szCs w:val="16"/>
        </w:rPr>
        <w:t>- в межлонжеронной части центроплана верхнего крыла убраны все нервюры, кроме крайних, под ним на стойках «кабана» укреплена платформа и стойка для пулемета – это, по-видимому, был первый самолет ИМ с пулеметной установкой в центроплане;</w:t>
      </w:r>
    </w:p>
    <w:p w14:paraId="1A3544A4" w14:textId="77777777" w:rsidR="00424ECC" w:rsidRPr="00DE096C" w:rsidRDefault="00424ECC" w:rsidP="00D45A46">
      <w:pPr>
        <w:jc w:val="both"/>
        <w:rPr>
          <w:bCs/>
          <w:color w:val="002060"/>
          <w:sz w:val="16"/>
          <w:szCs w:val="16"/>
        </w:rPr>
      </w:pPr>
      <w:r w:rsidRPr="00DE096C">
        <w:rPr>
          <w:bCs/>
          <w:color w:val="002060"/>
          <w:sz w:val="16"/>
          <w:szCs w:val="16"/>
        </w:rPr>
        <w:t>- под лобовым остеклением кабины установлены деревянные барельефы с государственным гербом Российской Империи и надписью «Илья Муромец» славянской вязью.</w:t>
      </w:r>
    </w:p>
    <w:p w14:paraId="089710DD" w14:textId="77777777" w:rsidR="00424ECC" w:rsidRPr="00DE096C" w:rsidRDefault="00424ECC" w:rsidP="00D45A46">
      <w:pPr>
        <w:jc w:val="both"/>
        <w:rPr>
          <w:bCs/>
          <w:color w:val="002060"/>
          <w:sz w:val="16"/>
          <w:szCs w:val="16"/>
        </w:rPr>
      </w:pPr>
      <w:r w:rsidRPr="00DE096C">
        <w:rPr>
          <w:bCs/>
          <w:color w:val="002060"/>
          <w:sz w:val="16"/>
          <w:szCs w:val="16"/>
        </w:rPr>
        <w:t>Командиром корабля был назначен поручик Г.В. Алехнович.</w:t>
      </w:r>
    </w:p>
    <w:p w14:paraId="266E9420" w14:textId="77777777" w:rsidR="00424ECC" w:rsidRPr="00DE096C" w:rsidRDefault="00424ECC" w:rsidP="00D45A46">
      <w:pPr>
        <w:jc w:val="both"/>
        <w:rPr>
          <w:bCs/>
          <w:color w:val="002060"/>
          <w:sz w:val="16"/>
          <w:szCs w:val="16"/>
        </w:rPr>
      </w:pPr>
      <w:r w:rsidRPr="00DE096C">
        <w:rPr>
          <w:bCs/>
          <w:color w:val="002060"/>
          <w:sz w:val="16"/>
          <w:szCs w:val="16"/>
        </w:rPr>
        <w:t>В январе 1915 г. на корабле провели испытания установленной на верхней платформе безоткатной пушки системы Гельвига калибра 76 мм, которые дали отрицательные результаты:</w:t>
      </w:r>
    </w:p>
    <w:p w14:paraId="7B355F0C" w14:textId="77777777" w:rsidR="00424ECC" w:rsidRPr="00DE096C" w:rsidRDefault="00424ECC" w:rsidP="00D45A46">
      <w:pPr>
        <w:jc w:val="both"/>
        <w:rPr>
          <w:bCs/>
          <w:color w:val="002060"/>
          <w:sz w:val="16"/>
          <w:szCs w:val="16"/>
        </w:rPr>
      </w:pPr>
      <w:r w:rsidRPr="00DE096C">
        <w:rPr>
          <w:bCs/>
          <w:color w:val="002060"/>
          <w:sz w:val="16"/>
          <w:szCs w:val="16"/>
        </w:rPr>
        <w:t>- пушка для самолета слишком тяжелая, наводить ее неудобно;</w:t>
      </w:r>
    </w:p>
    <w:p w14:paraId="498C3DE1" w14:textId="77777777" w:rsidR="00424ECC" w:rsidRPr="00DE096C" w:rsidRDefault="00424ECC" w:rsidP="00D45A46">
      <w:pPr>
        <w:jc w:val="both"/>
        <w:rPr>
          <w:bCs/>
          <w:color w:val="002060"/>
          <w:sz w:val="16"/>
          <w:szCs w:val="16"/>
        </w:rPr>
      </w:pPr>
      <w:r w:rsidRPr="00DE096C">
        <w:rPr>
          <w:bCs/>
          <w:color w:val="002060"/>
          <w:sz w:val="16"/>
          <w:szCs w:val="16"/>
        </w:rPr>
        <w:t>- темп стрельбы недостаточен;</w:t>
      </w:r>
    </w:p>
    <w:p w14:paraId="242EB795" w14:textId="77777777" w:rsidR="00424ECC" w:rsidRPr="00DE096C" w:rsidRDefault="00424ECC" w:rsidP="00D45A46">
      <w:pPr>
        <w:jc w:val="both"/>
        <w:rPr>
          <w:bCs/>
          <w:color w:val="002060"/>
          <w:sz w:val="16"/>
          <w:szCs w:val="16"/>
        </w:rPr>
      </w:pPr>
      <w:r w:rsidRPr="00DE096C">
        <w:rPr>
          <w:bCs/>
          <w:color w:val="002060"/>
          <w:sz w:val="16"/>
          <w:szCs w:val="16"/>
        </w:rPr>
        <w:t>- пыж, вылетающий из обращенного назад ствола, создает опасность для своего самолета;</w:t>
      </w:r>
    </w:p>
    <w:p w14:paraId="2F45969D" w14:textId="77777777" w:rsidR="00424ECC" w:rsidRPr="00DE096C" w:rsidRDefault="00424ECC" w:rsidP="00D45A46">
      <w:pPr>
        <w:jc w:val="both"/>
        <w:rPr>
          <w:bCs/>
          <w:color w:val="002060"/>
          <w:sz w:val="16"/>
          <w:szCs w:val="16"/>
        </w:rPr>
      </w:pPr>
      <w:r w:rsidRPr="00DE096C">
        <w:rPr>
          <w:bCs/>
          <w:color w:val="002060"/>
          <w:sz w:val="16"/>
          <w:szCs w:val="16"/>
        </w:rPr>
        <w:t>- рассеивание слишком велико.</w:t>
      </w:r>
    </w:p>
    <w:p w14:paraId="1BAFC374" w14:textId="77777777" w:rsidR="00424ECC" w:rsidRPr="00DE096C" w:rsidRDefault="00424ECC" w:rsidP="00D45A46">
      <w:pPr>
        <w:jc w:val="both"/>
        <w:rPr>
          <w:bCs/>
          <w:color w:val="002060"/>
          <w:sz w:val="16"/>
          <w:szCs w:val="16"/>
        </w:rPr>
      </w:pPr>
      <w:r w:rsidRPr="00DE096C">
        <w:rPr>
          <w:bCs/>
          <w:color w:val="002060"/>
          <w:sz w:val="16"/>
          <w:szCs w:val="16"/>
        </w:rPr>
        <w:t>Был сделан однозначный вывод о предпочтительности для обороны легких пулеметов.</w:t>
      </w:r>
    </w:p>
    <w:p w14:paraId="40E9F861" w14:textId="77777777" w:rsidR="00424ECC" w:rsidRPr="00DE096C" w:rsidRDefault="00424ECC" w:rsidP="00D45A46">
      <w:pPr>
        <w:jc w:val="both"/>
        <w:rPr>
          <w:bCs/>
          <w:color w:val="002060"/>
          <w:sz w:val="16"/>
          <w:szCs w:val="16"/>
        </w:rPr>
      </w:pPr>
      <w:r w:rsidRPr="00DE096C">
        <w:rPr>
          <w:bCs/>
          <w:color w:val="002060"/>
          <w:sz w:val="16"/>
          <w:szCs w:val="16"/>
        </w:rPr>
        <w:t>В начале 1915 г. (предположительно, уже весной) самолет потерпел аварию на а/д Яблонна – были снесены шасси, поломаны все воздушные винты, повреждено нижнее крыло. Самолет пилотировал его штатный командир поручик Г.В. Алехнович.</w:t>
      </w:r>
    </w:p>
    <w:p w14:paraId="6AEA86C4" w14:textId="77777777" w:rsidR="00424ECC" w:rsidRPr="00DE096C" w:rsidRDefault="00424ECC" w:rsidP="00D45A46">
      <w:pPr>
        <w:jc w:val="both"/>
        <w:rPr>
          <w:bCs/>
          <w:color w:val="002060"/>
          <w:sz w:val="16"/>
          <w:szCs w:val="16"/>
        </w:rPr>
      </w:pPr>
      <w:r w:rsidRPr="00DE096C">
        <w:rPr>
          <w:bCs/>
          <w:color w:val="002060"/>
          <w:sz w:val="16"/>
          <w:szCs w:val="16"/>
        </w:rPr>
        <w:t>Списан в мае 1915 г. в Яблонне.</w:t>
      </w:r>
    </w:p>
    <w:p w14:paraId="4240EBC3" w14:textId="77777777" w:rsidR="00424ECC" w:rsidRPr="00DE096C" w:rsidRDefault="00424ECC" w:rsidP="00D45A46">
      <w:pPr>
        <w:jc w:val="both"/>
        <w:rPr>
          <w:bCs/>
          <w:color w:val="002060"/>
          <w:sz w:val="16"/>
          <w:szCs w:val="16"/>
        </w:rPr>
      </w:pPr>
      <w:r w:rsidRPr="00DE096C">
        <w:rPr>
          <w:bCs/>
          <w:color w:val="002060"/>
          <w:sz w:val="16"/>
          <w:szCs w:val="16"/>
        </w:rPr>
        <w:t>2 (15 по н.ст.) октября 1914 г. ГВТУ выдало РБВЗ дополнительный контракт № 11356/5031 на постройку еще 32 кораблей типа ИМ. Однако после рапорта Руднева о непригодности самолета для военных целей, который поступил примерно в это же время, 20 ноября (3 декабря по н.ст.) 1914 г. он был приостановлен решением Военного Совета СВГК до устранения замечаний (23569).</w:t>
      </w:r>
    </w:p>
    <w:p w14:paraId="4FA17AAB" w14:textId="77777777" w:rsidR="00424ECC" w:rsidRPr="00DE096C" w:rsidRDefault="00424ECC" w:rsidP="00D45A46">
      <w:pPr>
        <w:jc w:val="both"/>
        <w:rPr>
          <w:bCs/>
          <w:color w:val="002060"/>
          <w:sz w:val="16"/>
          <w:szCs w:val="16"/>
        </w:rPr>
      </w:pPr>
    </w:p>
    <w:p w14:paraId="00EBE25E" w14:textId="77777777" w:rsidR="00424ECC" w:rsidRPr="00DE096C" w:rsidRDefault="00424ECC" w:rsidP="00D45A46">
      <w:pPr>
        <w:jc w:val="both"/>
        <w:rPr>
          <w:bCs/>
          <w:color w:val="002060"/>
          <w:sz w:val="16"/>
          <w:szCs w:val="16"/>
        </w:rPr>
      </w:pPr>
      <w:r w:rsidRPr="00DE096C">
        <w:rPr>
          <w:bCs/>
          <w:color w:val="002060"/>
          <w:sz w:val="16"/>
          <w:szCs w:val="16"/>
        </w:rPr>
        <w:t>В декабре 1914 г., завод Лебедева заключил договор с авиаконструктором В.А. Слесарева на средства богатого помещика и члена ИВАК Е.М. Малынского на постройку слесаревского «Святогора» — большого трехопорного биплана. Два двигателя Renault мощностью 220 л.с. были установлены в январе 1916 года.</w:t>
      </w:r>
    </w:p>
    <w:p w14:paraId="7457E75E" w14:textId="77777777" w:rsidR="00424ECC" w:rsidRPr="00DE096C" w:rsidRDefault="00424ECC" w:rsidP="00D45A46">
      <w:pPr>
        <w:jc w:val="both"/>
        <w:rPr>
          <w:bCs/>
          <w:color w:val="002060"/>
          <w:sz w:val="16"/>
          <w:szCs w:val="16"/>
        </w:rPr>
      </w:pPr>
      <w:r w:rsidRPr="00DE096C">
        <w:rPr>
          <w:bCs/>
          <w:color w:val="002060"/>
          <w:sz w:val="16"/>
          <w:szCs w:val="16"/>
        </w:rPr>
        <w:t>«Святогор» был поврежден в начале ноября 1916 года во время наземных испытаний на аэродроме Комендантский и больше не летал. Было обнаружено, что он превышает бюджет и вес, и финансирование прекратилось. Слесарев погиб в результате дорожно-транспортного происшествия в Петрограде в начале 1921 года.</w:t>
      </w:r>
    </w:p>
    <w:p w14:paraId="6B53FC54" w14:textId="77777777" w:rsidR="00424ECC" w:rsidRPr="00DE096C" w:rsidRDefault="00424ECC" w:rsidP="00D45A46">
      <w:pPr>
        <w:jc w:val="both"/>
        <w:rPr>
          <w:bCs/>
          <w:color w:val="002060"/>
          <w:sz w:val="16"/>
          <w:szCs w:val="16"/>
        </w:rPr>
      </w:pPr>
      <w:r w:rsidRPr="00DE096C">
        <w:rPr>
          <w:bCs/>
          <w:color w:val="002060"/>
          <w:sz w:val="16"/>
          <w:szCs w:val="16"/>
        </w:rPr>
        <w:t>В 1916 году Лебедев открыл в Таганроге большой авиационный магазин. В советское время он был известен как ГАЗ № 10. В 1917 г. Лебедев построил в г. Ярославле крупный металлургический завод по производству автомобильных и авиационных двигателей.</w:t>
      </w:r>
    </w:p>
    <w:p w14:paraId="10041F93" w14:textId="77777777" w:rsidR="00424ECC" w:rsidRPr="00DE096C" w:rsidRDefault="00424ECC" w:rsidP="00D45A46">
      <w:pPr>
        <w:jc w:val="both"/>
        <w:rPr>
          <w:bCs/>
          <w:color w:val="002060"/>
          <w:sz w:val="16"/>
          <w:szCs w:val="16"/>
        </w:rPr>
      </w:pPr>
      <w:r w:rsidRPr="00DE096C">
        <w:rPr>
          <w:bCs/>
          <w:color w:val="002060"/>
          <w:sz w:val="16"/>
          <w:szCs w:val="16"/>
        </w:rPr>
        <w:t xml:space="preserve">В течение 1915 года завод Лебедева построил два гидросамолета «Депердюссен» и один гидросамолет «Морис Фарман-11». Они также построили несколько двухместных гидросамолетов Лебедев-Морской ЛМ (ВМФ Лебедева), один из которых был отправлен в Ревельскую крепость АО. Другие морские типы включали </w:t>
      </w:r>
      <w:r w:rsidRPr="00DE096C">
        <w:rPr>
          <w:bCs/>
          <w:color w:val="002060"/>
          <w:sz w:val="16"/>
          <w:szCs w:val="16"/>
        </w:rPr>
        <w:lastRenderedPageBreak/>
        <w:t>копии двухместной летающей лодки FBA с двигателем Gnome мощностью 100 л.с.; один тип «ГФ» Лебедева и конструктора Г.А. Фриде, модифицированный Morane Saulnier тип L, переделанный в летающую лодку; одна летающая лодка «Виллиш ВМ-2»; а в декабре 1916 года одна летающая лодка Villish VM-4 с двигателем Rhone HOhp, которую отправили в Бакинскую школу. В июле 1917 года были построены три сухопутных самолета Лебедева «Альбатрос А.8». Завод в Таганроге также производил небольшое количество самолетов.</w:t>
      </w:r>
    </w:p>
    <w:p w14:paraId="093C0407" w14:textId="77777777" w:rsidR="00424ECC" w:rsidRPr="00DE096C" w:rsidRDefault="00424ECC" w:rsidP="00D45A46">
      <w:pPr>
        <w:jc w:val="both"/>
        <w:rPr>
          <w:bCs/>
          <w:color w:val="002060"/>
          <w:sz w:val="16"/>
          <w:szCs w:val="16"/>
        </w:rPr>
      </w:pPr>
      <w:r w:rsidRPr="00DE096C">
        <w:rPr>
          <w:bCs/>
          <w:color w:val="002060"/>
          <w:sz w:val="16"/>
          <w:szCs w:val="16"/>
        </w:rPr>
        <w:t>Летом 1916 г. на заводе Лебедева был построен самолет конструкции Л. Д. Колпакова-Мирошниченко «Кл» — двухместная разведывательная машина с двигателем «Аустро-Даймлер» 100 л.с. Самолет отличался крылом изменяемого угла наклона. Он разбился во время своего первого полета и больше не восстанавливался.</w:t>
      </w:r>
    </w:p>
    <w:p w14:paraId="5E7327CE" w14:textId="77777777" w:rsidR="00424ECC" w:rsidRPr="00DE096C" w:rsidRDefault="00424ECC" w:rsidP="00D45A46">
      <w:pPr>
        <w:jc w:val="both"/>
        <w:rPr>
          <w:bCs/>
          <w:color w:val="002060"/>
          <w:sz w:val="16"/>
          <w:szCs w:val="16"/>
        </w:rPr>
      </w:pPr>
      <w:r w:rsidRPr="00DE096C">
        <w:rPr>
          <w:bCs/>
          <w:color w:val="002060"/>
          <w:sz w:val="16"/>
          <w:szCs w:val="16"/>
        </w:rPr>
        <w:t>В 1917 году Лебедев получил британскую лицензию на производство Sopwith Pup и Sopwith Camel, но производство так и не началось. Однако известно, что в 1917 году на заводе в Петрограде было построено пять самолетов Sopwith 1 1/2 Strutters.</w:t>
      </w:r>
    </w:p>
    <w:p w14:paraId="02CAEA93" w14:textId="77777777" w:rsidR="00424ECC" w:rsidRPr="00DE096C" w:rsidRDefault="00424ECC" w:rsidP="00D45A46">
      <w:pPr>
        <w:jc w:val="both"/>
        <w:rPr>
          <w:bCs/>
          <w:color w:val="002060"/>
          <w:sz w:val="16"/>
          <w:szCs w:val="16"/>
        </w:rPr>
      </w:pPr>
      <w:r w:rsidRPr="00DE096C">
        <w:rPr>
          <w:bCs/>
          <w:color w:val="002060"/>
          <w:sz w:val="16"/>
          <w:szCs w:val="16"/>
        </w:rPr>
        <w:t>В течение 1916 г. был достигнут уровень производства 30 самолетов в месяц, а в 1917 г. он вырос примерно до 75 машин в месяц. Заводы Лебедева также ремонтировали трофейные типы «Альбатрос», «Авиатик» и «Румпир». В феврале 1916 г. отремонтированный Rumpier и LVG были отправлены в АО 8-й армии. В течение 1916 г. было отремонтировано около двадцати, в основном «Альбатросов», машин, поступивших в 18-ю КАО, 33-ю КАО, 34-ю КАО, Гренадерскую КАО и 12-ю армию АО.</w:t>
      </w:r>
    </w:p>
    <w:p w14:paraId="3D95A99F" w14:textId="77777777" w:rsidR="00424ECC" w:rsidRPr="00DE096C" w:rsidRDefault="00424ECC" w:rsidP="00D45A46">
      <w:pPr>
        <w:jc w:val="both"/>
        <w:rPr>
          <w:bCs/>
          <w:color w:val="002060"/>
          <w:sz w:val="16"/>
          <w:szCs w:val="16"/>
        </w:rPr>
      </w:pPr>
      <w:r w:rsidRPr="00DE096C">
        <w:rPr>
          <w:bCs/>
          <w:color w:val="002060"/>
          <w:sz w:val="16"/>
          <w:szCs w:val="16"/>
        </w:rPr>
        <w:t>Лебедь-17 с двигателем Salmson мощностью 150 л.с. был оригинальной конструкцией С. Б. Гуревича, который был испытан в августе 1917 года. Было построено несколько машин. Известно, что с сентября 1917 г. было поставлено семь «Лебедей-21». К концу войны в ноябре 1917 года было построено 700 самолетов, из них сдано и принято 674. Производство было 47 в 1914 году, 187 в 1915 году, 227 в 1916 году и 213 в 1917 году. В 1916 году было 867 рабочих, а в 1917 году их число увеличилось до 1156. Другие проекты Лебедева включали Лебедь 14 (Lebed Le Grand), со- Совместно с Колпаковым-Мирошниченко был разработан большой трехстоечный биплан с двумя двигателями Salmson мощностью 15 Ом.</w:t>
      </w:r>
    </w:p>
    <w:p w14:paraId="319916A7" w14:textId="77777777" w:rsidR="00424ECC" w:rsidRPr="00DE096C" w:rsidRDefault="00424ECC" w:rsidP="00D45A46">
      <w:pPr>
        <w:jc w:val="both"/>
        <w:rPr>
          <w:bCs/>
          <w:color w:val="002060"/>
          <w:sz w:val="16"/>
          <w:szCs w:val="16"/>
        </w:rPr>
      </w:pPr>
      <w:r w:rsidRPr="00DE096C">
        <w:rPr>
          <w:bCs/>
          <w:color w:val="002060"/>
          <w:sz w:val="16"/>
          <w:szCs w:val="16"/>
        </w:rPr>
        <w:t>В январе 1916 г. Лебедев сообщил великому князю Александру Михайловичу, что скоро начнутся испытания, но самолет оставался недостроенным до второй половины 1917 г. Недостроенным остался и двухместный биплан «Лебедь-15» с двигателем «Рено» мощностью 225 л.с.</w:t>
      </w:r>
    </w:p>
    <w:p w14:paraId="5906BFA3" w14:textId="77777777" w:rsidR="00424ECC" w:rsidRPr="00DE096C" w:rsidRDefault="00424ECC" w:rsidP="00D45A46">
      <w:pPr>
        <w:jc w:val="both"/>
        <w:rPr>
          <w:bCs/>
          <w:color w:val="002060"/>
          <w:sz w:val="16"/>
          <w:szCs w:val="16"/>
        </w:rPr>
      </w:pPr>
      <w:r w:rsidRPr="00DE096C">
        <w:rPr>
          <w:bCs/>
          <w:color w:val="002060"/>
          <w:sz w:val="16"/>
          <w:szCs w:val="16"/>
        </w:rPr>
        <w:t>В начале 1917 г. был испытан трехместный биплан «Лебедь-16» с двумя двигателями «Рона» мощностью 80 л. Лебедь-17, разработанный совместно с Гуревичем, с одним двигателем Salmson мощностью 150 л.с. Летные испытания он прошел в августе 1917 года. Было построено несколько самолетов, но в серийное производство он так и не пошел.</w:t>
      </w:r>
    </w:p>
    <w:p w14:paraId="72F2A82E" w14:textId="77777777" w:rsidR="00424ECC" w:rsidRPr="00DE096C" w:rsidRDefault="00424ECC" w:rsidP="00D45A46">
      <w:pPr>
        <w:jc w:val="both"/>
        <w:rPr>
          <w:bCs/>
          <w:color w:val="002060"/>
          <w:sz w:val="16"/>
          <w:szCs w:val="16"/>
        </w:rPr>
      </w:pPr>
      <w:r w:rsidRPr="00DE096C">
        <w:rPr>
          <w:bCs/>
          <w:color w:val="002060"/>
          <w:sz w:val="16"/>
          <w:szCs w:val="16"/>
        </w:rPr>
        <w:t>Двухместный «Лебедь-18» (типа «Альбатрос») с двигателем Fiat мощностью 230 л.с. так и не был построен, так как заказов не поступало. Из-за его плохих характеристик было построено всего семь экземпляров двухместного моноплана «Лебедь-21» с двигателем Salmson мощностью 150 л.с. Лебедь 24 остался проектом из-за непоставки ожидаемых двигателей Fiat и Hispano-Suiza.</w:t>
      </w:r>
    </w:p>
    <w:p w14:paraId="622ACFFD" w14:textId="77777777" w:rsidR="00424ECC" w:rsidRPr="00DE096C" w:rsidRDefault="00424ECC" w:rsidP="00D45A46">
      <w:pPr>
        <w:jc w:val="both"/>
        <w:rPr>
          <w:bCs/>
          <w:color w:val="002060"/>
          <w:sz w:val="16"/>
          <w:szCs w:val="16"/>
        </w:rPr>
      </w:pPr>
      <w:r w:rsidRPr="00DE096C">
        <w:rPr>
          <w:bCs/>
          <w:color w:val="002060"/>
          <w:sz w:val="16"/>
          <w:szCs w:val="16"/>
        </w:rPr>
        <w:t>Ниже приведены примеры заказов Лебедева и количество построенных самолетов: 5 июля 1915 г. - пять из пяти «Альбатросов»; 6 сентября 1915 г. - 138 из 150 Вуазен ЛАС; 2 мая 1916 г. - 133 из 225 Вуазен ЛАС, 10 из 10 Лебедей 12 учебных; 25 декабря 1916 г. - один из "Альбатросов" с двигателем "Майбах"; 26 декабря 1916 г. - 14 из 50 Nieuport X; 10 марта 1917 г. - 15 из 60 Nieuport X; 30 мая 1917 г. - ни одного из 200 Лебедей 24; 1917 г., 5 июля - заказ на 140 Sopwith 1/2 Страттерс и 60 Лебедей для школы, неизвестно, были ли они построены.</w:t>
      </w:r>
    </w:p>
    <w:p w14:paraId="1F7A10AD" w14:textId="77777777" w:rsidR="00424ECC" w:rsidRPr="00DE096C" w:rsidRDefault="00424ECC" w:rsidP="00D45A46">
      <w:pPr>
        <w:jc w:val="both"/>
        <w:rPr>
          <w:bCs/>
          <w:color w:val="002060"/>
          <w:sz w:val="16"/>
          <w:szCs w:val="16"/>
        </w:rPr>
      </w:pPr>
      <w:r w:rsidRPr="00DE096C">
        <w:rPr>
          <w:bCs/>
          <w:color w:val="002060"/>
          <w:sz w:val="16"/>
          <w:szCs w:val="16"/>
        </w:rPr>
        <w:t>В 1917 г., после отречения царя, В.А. Лебедев был избран президентом Всероссийского аэроклуба (ВАК) (бывший ИВАК) и назначен руководителем школы ВАК.</w:t>
      </w:r>
    </w:p>
    <w:p w14:paraId="28DE88AD" w14:textId="77777777" w:rsidR="00424ECC" w:rsidRPr="00DE096C" w:rsidRDefault="00424ECC" w:rsidP="00D45A46">
      <w:pPr>
        <w:jc w:val="both"/>
        <w:rPr>
          <w:bCs/>
          <w:color w:val="002060"/>
          <w:sz w:val="16"/>
          <w:szCs w:val="16"/>
        </w:rPr>
      </w:pPr>
      <w:r w:rsidRPr="00DE096C">
        <w:rPr>
          <w:bCs/>
          <w:color w:val="002060"/>
          <w:sz w:val="16"/>
          <w:szCs w:val="16"/>
        </w:rPr>
        <w:t>После революции большевики объявили его «врагом народа» и национализировали его заводы. Завод в Петрограде был объединен с Р-БВЗ и переименован в ГАЗ №3. Лебедев отправился на юг России, где занимал пост министра торговли и промышленности в правительстве генерала Деникина. В годы Гражданской войны его завод в Таганроге, где фактически располагались мастерские Ф. Моски, строил и ремонтировал самолеты для Добровольческой армии. В ноябре 1920 г. он эмигрировал в Югославию, где росло число белых русских, уехав оттуда в 1926 г. в Париж, который он сделал своим домом. Его вклад во французскую авиационную промышленность был отмечен орденом Почетного легиона. Он умер в Париже 22 февраля 1947 года (23525).</w:t>
      </w:r>
    </w:p>
    <w:p w14:paraId="7C2E27CA" w14:textId="77777777" w:rsidR="00424ECC" w:rsidRPr="00DE096C" w:rsidRDefault="00424ECC" w:rsidP="00D45A46">
      <w:pPr>
        <w:jc w:val="both"/>
        <w:rPr>
          <w:bCs/>
          <w:color w:val="002060"/>
          <w:sz w:val="16"/>
          <w:szCs w:val="16"/>
        </w:rPr>
      </w:pPr>
    </w:p>
    <w:p w14:paraId="11B97383" w14:textId="77777777" w:rsidR="00424ECC" w:rsidRPr="00DE096C" w:rsidRDefault="00424ECC" w:rsidP="00D45A46">
      <w:pPr>
        <w:jc w:val="both"/>
        <w:rPr>
          <w:bCs/>
          <w:color w:val="002060"/>
          <w:sz w:val="16"/>
          <w:szCs w:val="16"/>
        </w:rPr>
      </w:pPr>
      <w:r w:rsidRPr="00DE096C">
        <w:rPr>
          <w:bCs/>
          <w:color w:val="002060"/>
          <w:sz w:val="16"/>
          <w:szCs w:val="16"/>
        </w:rPr>
        <w:t>В декабре 1914 г. Слесарев с помощью 100 000 рублей от Е. М. Малынского, очень богатого землевладельца и члена ИВАК (Императорского русского аэроклуба), смог основать собственную фирму.</w:t>
      </w:r>
    </w:p>
    <w:p w14:paraId="12911746" w14:textId="77777777" w:rsidR="00424ECC" w:rsidRPr="00DE096C" w:rsidRDefault="00424ECC" w:rsidP="00D45A46">
      <w:pPr>
        <w:jc w:val="both"/>
        <w:rPr>
          <w:bCs/>
          <w:color w:val="002060"/>
          <w:sz w:val="16"/>
          <w:szCs w:val="16"/>
        </w:rPr>
      </w:pPr>
      <w:r w:rsidRPr="00DE096C">
        <w:rPr>
          <w:bCs/>
          <w:color w:val="002060"/>
          <w:sz w:val="16"/>
          <w:szCs w:val="16"/>
        </w:rPr>
        <w:t>Затем началась работа над его гигантским двухмоторным бипланом «Святагор» на заводе Лебедева в Петрограде. Продвижение шло медленно, многие модификации производились из-за отсутствия двигателей. Наконец, в январе 1916 года были доставлены и установлены французские двигатели Renault мощностью 220 л.с. Испытания начались в марте. Самолет был сильно поврежден во время руления, и от проекта отказались (23525).</w:t>
      </w:r>
    </w:p>
    <w:p w14:paraId="6336921F" w14:textId="77777777" w:rsidR="00424ECC" w:rsidRPr="00DE096C" w:rsidRDefault="00424ECC" w:rsidP="00D45A46">
      <w:pPr>
        <w:jc w:val="both"/>
        <w:rPr>
          <w:bCs/>
          <w:color w:val="002060"/>
          <w:sz w:val="16"/>
          <w:szCs w:val="16"/>
          <w:lang w:bidi="en-US"/>
        </w:rPr>
      </w:pPr>
    </w:p>
    <w:p w14:paraId="3F90AA38" w14:textId="77777777" w:rsidR="00424ECC" w:rsidRPr="00DE096C" w:rsidRDefault="00424ECC" w:rsidP="00D45A46">
      <w:pPr>
        <w:jc w:val="both"/>
        <w:rPr>
          <w:bCs/>
          <w:color w:val="002060"/>
          <w:sz w:val="16"/>
          <w:szCs w:val="16"/>
        </w:rPr>
      </w:pPr>
      <w:r w:rsidRPr="00DE096C">
        <w:rPr>
          <w:bCs/>
          <w:color w:val="002060"/>
          <w:sz w:val="16"/>
          <w:szCs w:val="16"/>
          <w:lang w:bidi="en-US"/>
        </w:rPr>
        <w:t>В декабре 1914 г. вышла работа ученого С.А. Чаплыгина «Теория каскадных крыльев», в которой впервые была выдвинута концепция секционных механизированных крыльев. Где-то в декабре было внесено предложение (автор неизвестен) о создании начальников аэродромов для каждого фронта, но оно не было реализовано.</w:t>
      </w:r>
    </w:p>
    <w:p w14:paraId="2BDF02F5" w14:textId="77777777" w:rsidR="00424ECC" w:rsidRPr="00DE096C" w:rsidRDefault="00424ECC" w:rsidP="00D45A46">
      <w:pPr>
        <w:jc w:val="both"/>
        <w:rPr>
          <w:bCs/>
          <w:color w:val="002060"/>
          <w:sz w:val="16"/>
          <w:szCs w:val="16"/>
          <w:lang w:bidi="en-US"/>
        </w:rPr>
      </w:pPr>
    </w:p>
    <w:p w14:paraId="258137F7" w14:textId="77777777" w:rsidR="00424ECC" w:rsidRPr="00DE096C" w:rsidRDefault="00424ECC" w:rsidP="00D45A46">
      <w:pPr>
        <w:jc w:val="both"/>
        <w:rPr>
          <w:bCs/>
          <w:color w:val="002060"/>
          <w:sz w:val="16"/>
          <w:szCs w:val="16"/>
          <w:lang w:bidi="ru-RU"/>
        </w:rPr>
      </w:pPr>
      <w:r w:rsidRPr="00DE096C">
        <w:rPr>
          <w:bCs/>
          <w:color w:val="002060"/>
          <w:sz w:val="16"/>
          <w:szCs w:val="16"/>
          <w:lang w:bidi="ru-RU"/>
        </w:rPr>
        <w:t>В декабре 1914 г. А.А. Безобразов после получения тяжелого ранения на фронте на</w:t>
      </w:r>
      <w:r w:rsidRPr="00DE096C">
        <w:rPr>
          <w:bCs/>
          <w:color w:val="002060"/>
          <w:sz w:val="16"/>
          <w:szCs w:val="16"/>
          <w:lang w:bidi="ru-RU"/>
        </w:rPr>
        <w:softHyphen/>
        <w:t>правился в тыл на излечение. Одновремен</w:t>
      </w:r>
      <w:r w:rsidRPr="00DE096C">
        <w:rPr>
          <w:bCs/>
          <w:color w:val="002060"/>
          <w:sz w:val="16"/>
          <w:szCs w:val="16"/>
          <w:lang w:bidi="ru-RU"/>
        </w:rPr>
        <w:softHyphen/>
        <w:t>но, он пытался добиться дополнительного финансирования для продолжения опытов со своим аппаратом. В конце года, в штаб верховного командования из соответству</w:t>
      </w:r>
      <w:r w:rsidRPr="00DE096C">
        <w:rPr>
          <w:bCs/>
          <w:color w:val="002060"/>
          <w:sz w:val="16"/>
          <w:szCs w:val="16"/>
          <w:lang w:bidi="ru-RU"/>
        </w:rPr>
        <w:softHyphen/>
        <w:t>ющих инстанций доносилось: «Чрезвычай</w:t>
      </w:r>
      <w:r w:rsidRPr="00DE096C">
        <w:rPr>
          <w:bCs/>
          <w:color w:val="002060"/>
          <w:sz w:val="16"/>
          <w:szCs w:val="16"/>
          <w:lang w:bidi="ru-RU"/>
        </w:rPr>
        <w:softHyphen/>
        <w:t>но желательно оказать Безобразову по</w:t>
      </w:r>
      <w:r w:rsidRPr="00DE096C">
        <w:rPr>
          <w:bCs/>
          <w:color w:val="002060"/>
          <w:sz w:val="16"/>
          <w:szCs w:val="16"/>
          <w:lang w:bidi="ru-RU"/>
        </w:rPr>
        <w:softHyphen/>
        <w:t>мощь для немедленной постройки нового аппарата, что займет к тому же незначи</w:t>
      </w:r>
      <w:r w:rsidRPr="00DE096C">
        <w:rPr>
          <w:bCs/>
          <w:color w:val="002060"/>
          <w:sz w:val="16"/>
          <w:szCs w:val="16"/>
          <w:lang w:bidi="ru-RU"/>
        </w:rPr>
        <w:softHyphen/>
        <w:t>тельное время, и аппарат может поступить в армию уже к весне» (23374).</w:t>
      </w:r>
    </w:p>
    <w:p w14:paraId="694CB2BA" w14:textId="77777777" w:rsidR="00424ECC" w:rsidRPr="00DE096C" w:rsidRDefault="00424ECC" w:rsidP="00D45A46">
      <w:pPr>
        <w:jc w:val="both"/>
        <w:rPr>
          <w:bCs/>
          <w:color w:val="002060"/>
          <w:sz w:val="16"/>
          <w:szCs w:val="16"/>
        </w:rPr>
      </w:pPr>
    </w:p>
    <w:p w14:paraId="3E718C05" w14:textId="77777777" w:rsidR="00424ECC" w:rsidRPr="00DE096C" w:rsidRDefault="00424ECC" w:rsidP="00D45A46">
      <w:pPr>
        <w:jc w:val="both"/>
        <w:rPr>
          <w:bCs/>
          <w:color w:val="002060"/>
          <w:sz w:val="16"/>
          <w:szCs w:val="16"/>
        </w:rPr>
      </w:pPr>
      <w:r w:rsidRPr="00DE096C">
        <w:rPr>
          <w:bCs/>
          <w:color w:val="002060"/>
          <w:sz w:val="16"/>
          <w:szCs w:val="16"/>
          <w:lang w:bidi="ru-RU"/>
        </w:rPr>
        <w:t>В дека</w:t>
      </w:r>
      <w:r w:rsidRPr="00DE096C">
        <w:rPr>
          <w:bCs/>
          <w:color w:val="002060"/>
          <w:sz w:val="16"/>
          <w:szCs w:val="16"/>
          <w:lang w:bidi="ru-RU"/>
        </w:rPr>
        <w:softHyphen/>
        <w:t>бре 1914 г. началось изготовление самолета и в основном закончилось 22 июня 1915 г. Отсутствие двигателей, одна</w:t>
      </w:r>
      <w:r w:rsidRPr="00DE096C">
        <w:rPr>
          <w:bCs/>
          <w:color w:val="002060"/>
          <w:sz w:val="16"/>
          <w:szCs w:val="16"/>
          <w:lang w:bidi="ru-RU"/>
        </w:rPr>
        <w:softHyphen/>
        <w:t>ко, не позволило сразу довести аппарат до летного состояния. В условиях продолжаю</w:t>
      </w:r>
      <w:r w:rsidRPr="00DE096C">
        <w:rPr>
          <w:bCs/>
          <w:color w:val="002060"/>
          <w:sz w:val="16"/>
          <w:szCs w:val="16"/>
          <w:lang w:bidi="ru-RU"/>
        </w:rPr>
        <w:softHyphen/>
        <w:t>щейся войны получить запланированные двигатели «Мерседес» мощностью 300 л.с. не представлялось возможным. Попытка использовать силовую установку со сбито</w:t>
      </w:r>
      <w:r w:rsidRPr="00DE096C">
        <w:rPr>
          <w:bCs/>
          <w:color w:val="002060"/>
          <w:sz w:val="16"/>
          <w:szCs w:val="16"/>
          <w:lang w:bidi="ru-RU"/>
        </w:rPr>
        <w:softHyphen/>
        <w:t>го немецкого дирижабля не удалась — дви</w:t>
      </w:r>
      <w:r w:rsidRPr="00DE096C">
        <w:rPr>
          <w:bCs/>
          <w:color w:val="002060"/>
          <w:sz w:val="16"/>
          <w:szCs w:val="16"/>
          <w:lang w:bidi="ru-RU"/>
        </w:rPr>
        <w:softHyphen/>
        <w:t>гатели «Майбах» оказались значительно повреждены. В январе 1916 г. были полу</w:t>
      </w:r>
      <w:r w:rsidRPr="00DE096C">
        <w:rPr>
          <w:bCs/>
          <w:color w:val="002060"/>
          <w:sz w:val="16"/>
          <w:szCs w:val="16"/>
          <w:lang w:bidi="ru-RU"/>
        </w:rPr>
        <w:softHyphen/>
        <w:t>чены французские двигатели «Рено» мощ</w:t>
      </w:r>
      <w:r w:rsidRPr="00DE096C">
        <w:rPr>
          <w:bCs/>
          <w:color w:val="002060"/>
          <w:sz w:val="16"/>
          <w:szCs w:val="16"/>
          <w:lang w:bidi="ru-RU"/>
        </w:rPr>
        <w:softHyphen/>
        <w:t>ностью 220 л.с., которые и установили на «Святогор» (23374).</w:t>
      </w:r>
    </w:p>
    <w:p w14:paraId="25157EB9" w14:textId="77777777" w:rsidR="00424ECC" w:rsidRPr="00DE096C" w:rsidRDefault="00424ECC" w:rsidP="00D45A46">
      <w:pPr>
        <w:jc w:val="both"/>
        <w:rPr>
          <w:bCs/>
          <w:color w:val="002060"/>
          <w:sz w:val="16"/>
          <w:szCs w:val="16"/>
        </w:rPr>
      </w:pPr>
    </w:p>
    <w:p w14:paraId="44AB500E" w14:textId="77777777" w:rsidR="00424ECC" w:rsidRPr="00DE096C" w:rsidRDefault="00424ECC" w:rsidP="00D45A46">
      <w:pPr>
        <w:jc w:val="both"/>
        <w:rPr>
          <w:bCs/>
          <w:color w:val="002060"/>
          <w:sz w:val="16"/>
          <w:szCs w:val="16"/>
        </w:rPr>
      </w:pPr>
      <w:r w:rsidRPr="00DE096C">
        <w:rPr>
          <w:bCs/>
          <w:color w:val="002060"/>
          <w:sz w:val="16"/>
          <w:szCs w:val="16"/>
          <w:lang w:bidi="en-US"/>
        </w:rPr>
        <w:t>В декабре 1914 г. началось строительство трех прототипов С-16. Не хватало гномов мощностью 100 л.с., поэтому он был разработан для размещения 80-сильного гнома (23525).</w:t>
      </w:r>
    </w:p>
    <w:p w14:paraId="7B2B028C" w14:textId="77777777" w:rsidR="00424ECC" w:rsidRPr="00DE096C" w:rsidRDefault="00424ECC" w:rsidP="00D45A46">
      <w:pPr>
        <w:jc w:val="both"/>
        <w:rPr>
          <w:bCs/>
          <w:color w:val="002060"/>
          <w:sz w:val="16"/>
          <w:szCs w:val="16"/>
          <w:lang w:bidi="en-US"/>
        </w:rPr>
      </w:pPr>
    </w:p>
    <w:p w14:paraId="7F14671B" w14:textId="77777777" w:rsidR="00633B43" w:rsidRPr="00DE096C" w:rsidRDefault="00633B43" w:rsidP="00D45A46">
      <w:pPr>
        <w:jc w:val="both"/>
        <w:rPr>
          <w:bCs/>
          <w:color w:val="002060"/>
          <w:sz w:val="16"/>
          <w:szCs w:val="16"/>
        </w:rPr>
      </w:pPr>
      <w:r w:rsidRPr="00DE096C">
        <w:rPr>
          <w:bCs/>
          <w:color w:val="002060"/>
          <w:sz w:val="16"/>
          <w:szCs w:val="16"/>
          <w:lang w:bidi="ru-RU"/>
        </w:rPr>
        <w:t>В декабре 1914 г. на заводе Лебедева была начата постройка Святогора. На постройку и покупку двух французских двигателей по 220 л. с. ушли все выделенные деньги и плюс 65 000 рублей из личных средств В. А. Слесарева. По тем временам получился крупнейший из построенных в России самолёт с размахом крыла 36 м, длиной самолёта 21 м, расчетной полезной массой 6500 кг. Для сравнения приведём аналогичные данные «Ильи Муромца»: 31 м; 17,1 м; 3040 кг. «Святогор» по своим аэродинамическим формам превосходил самолет «Илья Муромец», но требовалась доработка в системе передачи движения на винты (23485).</w:t>
      </w:r>
    </w:p>
    <w:p w14:paraId="4CC46720" w14:textId="77777777" w:rsidR="00633B43" w:rsidRPr="00DE096C" w:rsidRDefault="00633B43" w:rsidP="00D45A46">
      <w:pPr>
        <w:jc w:val="both"/>
        <w:rPr>
          <w:bCs/>
          <w:color w:val="002060"/>
          <w:sz w:val="16"/>
          <w:szCs w:val="16"/>
        </w:rPr>
      </w:pPr>
    </w:p>
    <w:p w14:paraId="25B51B41" w14:textId="77777777" w:rsidR="00633B43" w:rsidRPr="00DE096C" w:rsidRDefault="00633B43" w:rsidP="00D45A46">
      <w:pPr>
        <w:jc w:val="both"/>
        <w:rPr>
          <w:bCs/>
          <w:color w:val="002060"/>
          <w:sz w:val="16"/>
          <w:szCs w:val="16"/>
        </w:rPr>
      </w:pPr>
      <w:r w:rsidRPr="00DE096C">
        <w:rPr>
          <w:bCs/>
          <w:color w:val="002060"/>
          <w:sz w:val="16"/>
          <w:szCs w:val="16"/>
        </w:rPr>
        <w:t>С декабря 1914 г. прекратился экспорт моторов «Сальмсон». Вместе с усложнением логистики все это затрудняло выполнение контрактов, и с начала войны до 1 января 1915 г. из 271 заказанных аэропланов на фронт поступило только 157. Между тем сражающейся армии требовалось значительно больше; только для восполнения потерь нужно было около 70 самолетов в месяц (23472).</w:t>
      </w:r>
    </w:p>
    <w:p w14:paraId="2FE36448" w14:textId="77777777" w:rsidR="00633B43" w:rsidRPr="00DE096C" w:rsidRDefault="00633B43" w:rsidP="00D45A46">
      <w:pPr>
        <w:jc w:val="both"/>
        <w:rPr>
          <w:bCs/>
          <w:color w:val="002060"/>
          <w:sz w:val="16"/>
          <w:szCs w:val="16"/>
        </w:rPr>
      </w:pPr>
    </w:p>
    <w:p w14:paraId="04CB2D2F" w14:textId="5D5BD14B" w:rsidR="00331FFE" w:rsidRPr="00DE096C" w:rsidRDefault="00331FFE" w:rsidP="00D45A46">
      <w:pPr>
        <w:jc w:val="both"/>
        <w:rPr>
          <w:bCs/>
          <w:i/>
          <w:iCs/>
          <w:color w:val="002060"/>
          <w:sz w:val="16"/>
          <w:szCs w:val="16"/>
        </w:rPr>
      </w:pPr>
      <w:r w:rsidRPr="00DE096C">
        <w:rPr>
          <w:bCs/>
          <w:i/>
          <w:iCs/>
          <w:color w:val="002060"/>
          <w:sz w:val="16"/>
          <w:szCs w:val="16"/>
        </w:rPr>
        <w:t>Аэростатостроение:</w:t>
      </w:r>
    </w:p>
    <w:p w14:paraId="3704C51A" w14:textId="77777777" w:rsidR="00331FFE" w:rsidRPr="00DE096C" w:rsidRDefault="00331FFE" w:rsidP="00D45A46">
      <w:pPr>
        <w:jc w:val="both"/>
        <w:rPr>
          <w:bCs/>
          <w:i/>
          <w:iCs/>
          <w:color w:val="002060"/>
          <w:sz w:val="16"/>
          <w:szCs w:val="16"/>
        </w:rPr>
      </w:pPr>
    </w:p>
    <w:p w14:paraId="319CB224" w14:textId="77777777" w:rsidR="00331FFE" w:rsidRPr="00DE096C" w:rsidRDefault="00331FFE" w:rsidP="00D45A46">
      <w:pPr>
        <w:tabs>
          <w:tab w:val="left" w:pos="745"/>
        </w:tabs>
        <w:jc w:val="both"/>
        <w:rPr>
          <w:bCs/>
          <w:color w:val="002060"/>
          <w:sz w:val="16"/>
          <w:szCs w:val="16"/>
        </w:rPr>
      </w:pPr>
      <w:r w:rsidRPr="00DE096C">
        <w:rPr>
          <w:rStyle w:val="43"/>
          <w:rFonts w:ascii="Times New Roman" w:hAnsi="Times New Roman" w:cs="Times New Roman"/>
          <w:bCs/>
          <w:color w:val="002060"/>
          <w:w w:val="100"/>
          <w:sz w:val="16"/>
          <w:szCs w:val="16"/>
        </w:rPr>
        <w:t>В декабре 1914 г. в Белостоке собра</w:t>
      </w:r>
      <w:r w:rsidRPr="00DE096C">
        <w:rPr>
          <w:rStyle w:val="43"/>
          <w:rFonts w:ascii="Times New Roman" w:hAnsi="Times New Roman" w:cs="Times New Roman"/>
          <w:bCs/>
          <w:color w:val="002060"/>
          <w:w w:val="100"/>
          <w:sz w:val="16"/>
          <w:szCs w:val="16"/>
        </w:rPr>
        <w:softHyphen/>
        <w:t>ли «Буревестник» (20120).</w:t>
      </w:r>
    </w:p>
    <w:p w14:paraId="636AD522" w14:textId="77777777" w:rsidR="00331FFE" w:rsidRPr="00DE096C" w:rsidRDefault="00331FFE" w:rsidP="00D45A46">
      <w:pPr>
        <w:jc w:val="both"/>
        <w:rPr>
          <w:bCs/>
          <w:color w:val="002060"/>
          <w:sz w:val="16"/>
          <w:szCs w:val="16"/>
        </w:rPr>
      </w:pPr>
    </w:p>
    <w:p w14:paraId="1387B29B" w14:textId="77777777" w:rsidR="00B67D7C" w:rsidRPr="00DE096C" w:rsidRDefault="00B67D7C" w:rsidP="00D45A46">
      <w:pPr>
        <w:jc w:val="both"/>
        <w:rPr>
          <w:bCs/>
          <w:i/>
          <w:color w:val="002060"/>
          <w:sz w:val="16"/>
          <w:szCs w:val="16"/>
        </w:rPr>
      </w:pPr>
      <w:r w:rsidRPr="00DE096C">
        <w:rPr>
          <w:bCs/>
          <w:i/>
          <w:color w:val="002060"/>
          <w:sz w:val="16"/>
          <w:szCs w:val="16"/>
        </w:rPr>
        <w:t>Другие оборонные отрасли:</w:t>
      </w:r>
    </w:p>
    <w:p w14:paraId="57DBB202" w14:textId="77777777" w:rsidR="00B67D7C" w:rsidRPr="00DE096C" w:rsidRDefault="00B67D7C" w:rsidP="00D45A46">
      <w:pPr>
        <w:jc w:val="both"/>
        <w:rPr>
          <w:bCs/>
          <w:i/>
          <w:color w:val="002060"/>
          <w:sz w:val="16"/>
          <w:szCs w:val="16"/>
        </w:rPr>
      </w:pPr>
    </w:p>
    <w:p w14:paraId="2248DE6E" w14:textId="77777777" w:rsidR="00036953" w:rsidRPr="00DE096C" w:rsidRDefault="00036953" w:rsidP="00D45A46">
      <w:pPr>
        <w:pStyle w:val="ae"/>
        <w:spacing w:before="0" w:beforeAutospacing="0" w:after="0" w:afterAutospacing="0"/>
        <w:jc w:val="both"/>
        <w:rPr>
          <w:bCs/>
          <w:color w:val="002060"/>
          <w:sz w:val="16"/>
          <w:szCs w:val="16"/>
        </w:rPr>
      </w:pPr>
      <w:r w:rsidRPr="00DE096C">
        <w:rPr>
          <w:bCs/>
          <w:color w:val="002060"/>
          <w:sz w:val="16"/>
          <w:szCs w:val="16"/>
        </w:rPr>
        <w:t>В декабре 1914 г. уже полностью выявился недостаток боеприпасов и наметился некоторый рост политической активности рабочего класса. Военное ведомство вторично вошло в Совет министров с предложением утвердить проект правил об объявлении казенных заводов, изготовляющих предметы, необходимые для обороны государства, на особом положении ГАУ, по Совет министров вторично отклонил его (18524).</w:t>
      </w:r>
    </w:p>
    <w:p w14:paraId="6089E46C" w14:textId="77777777" w:rsidR="00036953" w:rsidRPr="00DE096C" w:rsidRDefault="00036953" w:rsidP="00D45A46">
      <w:pPr>
        <w:pStyle w:val="ae"/>
        <w:spacing w:before="0" w:beforeAutospacing="0" w:after="0" w:afterAutospacing="0"/>
        <w:jc w:val="both"/>
        <w:rPr>
          <w:bCs/>
          <w:color w:val="002060"/>
          <w:sz w:val="16"/>
          <w:szCs w:val="16"/>
        </w:rPr>
      </w:pPr>
    </w:p>
    <w:p w14:paraId="250CE17F" w14:textId="77777777" w:rsidR="00036953" w:rsidRPr="00DE096C" w:rsidRDefault="00036953" w:rsidP="00D45A46">
      <w:pPr>
        <w:pStyle w:val="21"/>
        <w:shd w:val="clear" w:color="auto" w:fill="auto"/>
        <w:spacing w:after="0" w:line="240" w:lineRule="auto"/>
        <w:ind w:firstLine="0"/>
        <w:jc w:val="both"/>
        <w:rPr>
          <w:rFonts w:ascii="Times New Roman" w:hAnsi="Times New Roman" w:cs="Times New Roman"/>
          <w:bCs/>
          <w:color w:val="002060"/>
          <w:spacing w:val="0"/>
          <w:sz w:val="16"/>
          <w:szCs w:val="16"/>
        </w:rPr>
      </w:pPr>
      <w:r w:rsidRPr="00DE096C">
        <w:rPr>
          <w:rFonts w:ascii="Times New Roman" w:hAnsi="Times New Roman" w:cs="Times New Roman"/>
          <w:bCs/>
          <w:color w:val="002060"/>
          <w:spacing w:val="0"/>
          <w:sz w:val="16"/>
          <w:szCs w:val="16"/>
        </w:rPr>
        <w:t>В декабре 1914 начальник штаба Ставки Главнокомандования, генерал Янушкевич официально информировал главнокомандующих союзными армиями о том, что «если мы вынуждены были перейти к обороне, то исключительно из-за недостатка в артиллерийских снарядах и ружьях». При этом русская Ставка всерьез предлагала союзникам обсудить вопрос: «Не выгоднее ли им самим уделить часть своего производства нуждам нашей армии и этим обеспечить развитие ее наступления, чем примириться с остановкой последнего, сохраняя для себя все свои производительные силы».</w:t>
      </w:r>
    </w:p>
    <w:p w14:paraId="7A338BF1" w14:textId="77777777" w:rsidR="00036953" w:rsidRPr="00DE096C" w:rsidRDefault="00036953" w:rsidP="00D45A46">
      <w:pPr>
        <w:pStyle w:val="21"/>
        <w:shd w:val="clear" w:color="auto" w:fill="auto"/>
        <w:spacing w:after="0" w:line="240" w:lineRule="auto"/>
        <w:ind w:firstLine="0"/>
        <w:jc w:val="both"/>
        <w:rPr>
          <w:rFonts w:ascii="Times New Roman" w:hAnsi="Times New Roman" w:cs="Times New Roman"/>
          <w:bCs/>
          <w:color w:val="002060"/>
          <w:spacing w:val="0"/>
          <w:sz w:val="16"/>
          <w:szCs w:val="16"/>
        </w:rPr>
      </w:pPr>
      <w:r w:rsidRPr="00DE096C">
        <w:rPr>
          <w:rFonts w:ascii="Times New Roman" w:hAnsi="Times New Roman" w:cs="Times New Roman"/>
          <w:bCs/>
          <w:color w:val="002060"/>
          <w:spacing w:val="0"/>
          <w:sz w:val="16"/>
          <w:szCs w:val="16"/>
        </w:rPr>
        <w:t>Поскольку союзники энтузиазма не проявили, перед Главным артиллерийским управлением (ГАУ) встала сложнейшая задача увеличить производство снарядов по меньшей мере в 4-5 раз. Что можно было спокойно и планомерно сделать в мирное время, – теперь приходилось реализовывать в условиях дефицита времени и военной «штурмовщины». Требовалось в кратчайшие сроки создать развитую кооперацию в снарядном производстве, обеспечить это производство современными станками, организовать массовое производство сопутствующих снарядных элементов — пороха, дистанционных трубок, капсульных втулок и т.п.</w:t>
      </w:r>
    </w:p>
    <w:p w14:paraId="268C8F58" w14:textId="77777777" w:rsidR="00036953" w:rsidRPr="00DE096C" w:rsidRDefault="00036953" w:rsidP="00D45A46">
      <w:pPr>
        <w:pStyle w:val="21"/>
        <w:shd w:val="clear" w:color="auto" w:fill="auto"/>
        <w:spacing w:after="0" w:line="240" w:lineRule="auto"/>
        <w:ind w:firstLine="0"/>
        <w:jc w:val="both"/>
        <w:rPr>
          <w:rFonts w:ascii="Times New Roman" w:hAnsi="Times New Roman" w:cs="Times New Roman"/>
          <w:bCs/>
          <w:color w:val="002060"/>
          <w:spacing w:val="0"/>
          <w:sz w:val="16"/>
          <w:szCs w:val="16"/>
        </w:rPr>
      </w:pPr>
      <w:r w:rsidRPr="00DE096C">
        <w:rPr>
          <w:rFonts w:ascii="Times New Roman" w:hAnsi="Times New Roman" w:cs="Times New Roman"/>
          <w:bCs/>
          <w:color w:val="002060"/>
          <w:spacing w:val="0"/>
          <w:sz w:val="16"/>
          <w:szCs w:val="16"/>
        </w:rPr>
        <w:lastRenderedPageBreak/>
        <w:t>Для изготовления снарядов было привлечено 16 крупных казенных и частных предприятий: Путиловский, Обуховский, Невский, Балтийский, Петроградский механический, Ижевский, Сормовский, Николаевский, Златоустовский и другие заводы. Однако абсолютное большинство этих производств не было технологически готово к массовому изготовлению снарядов.</w:t>
      </w:r>
    </w:p>
    <w:p w14:paraId="7963E0EE" w14:textId="77777777" w:rsidR="00036953" w:rsidRPr="00DE096C" w:rsidRDefault="00036953" w:rsidP="00D45A46">
      <w:pPr>
        <w:pStyle w:val="21"/>
        <w:shd w:val="clear" w:color="auto" w:fill="auto"/>
        <w:spacing w:after="0" w:line="240" w:lineRule="auto"/>
        <w:ind w:firstLine="0"/>
        <w:jc w:val="both"/>
        <w:rPr>
          <w:rFonts w:ascii="Times New Roman" w:hAnsi="Times New Roman" w:cs="Times New Roman"/>
          <w:bCs/>
          <w:color w:val="002060"/>
          <w:spacing w:val="0"/>
          <w:sz w:val="16"/>
          <w:szCs w:val="16"/>
        </w:rPr>
      </w:pPr>
      <w:r w:rsidRPr="00DE096C">
        <w:rPr>
          <w:rFonts w:ascii="Times New Roman" w:hAnsi="Times New Roman" w:cs="Times New Roman"/>
          <w:bCs/>
          <w:color w:val="002060"/>
          <w:spacing w:val="0"/>
          <w:sz w:val="16"/>
          <w:szCs w:val="16"/>
        </w:rPr>
        <w:t>Даже мощнейший, вполне современного уровня Путиловский завод, получивший крупный заказ уже в августе 1914 года, смог дать первую партию снарядов только в ноябре (26 711 снарядов). Не менее технологически развитый Петроградский механический завод изготовил к декабрю 1914-го всего 1009 снарядов. Другие заводы (Балтийский, Николаевский) выдали первые партии снарядов только в январе-феврале 1915 года (15230).</w:t>
      </w:r>
    </w:p>
    <w:p w14:paraId="07B912FC" w14:textId="77777777" w:rsidR="00036953" w:rsidRPr="00DE096C" w:rsidRDefault="00036953" w:rsidP="00D45A46">
      <w:pPr>
        <w:pStyle w:val="21"/>
        <w:shd w:val="clear" w:color="auto" w:fill="auto"/>
        <w:spacing w:after="0" w:line="240" w:lineRule="auto"/>
        <w:ind w:firstLine="0"/>
        <w:jc w:val="both"/>
        <w:rPr>
          <w:rFonts w:ascii="Times New Roman" w:hAnsi="Times New Roman" w:cs="Times New Roman"/>
          <w:bCs/>
          <w:color w:val="002060"/>
          <w:spacing w:val="0"/>
          <w:sz w:val="16"/>
          <w:szCs w:val="16"/>
        </w:rPr>
      </w:pPr>
    </w:p>
    <w:p w14:paraId="6219FF39" w14:textId="77777777" w:rsidR="00036953" w:rsidRPr="00DE096C" w:rsidRDefault="00036953" w:rsidP="00D45A46">
      <w:pPr>
        <w:pStyle w:val="ae"/>
        <w:spacing w:before="0" w:beforeAutospacing="0" w:after="0" w:afterAutospacing="0"/>
        <w:jc w:val="both"/>
        <w:rPr>
          <w:bCs/>
          <w:color w:val="002060"/>
          <w:sz w:val="16"/>
          <w:szCs w:val="16"/>
        </w:rPr>
      </w:pPr>
      <w:r w:rsidRPr="00DE096C">
        <w:rPr>
          <w:bCs/>
          <w:color w:val="002060"/>
          <w:sz w:val="16"/>
          <w:szCs w:val="16"/>
        </w:rPr>
        <w:t>В декабре 1914 начальник артснабжения армий Юго-Западного фронта фронта А. А. Голицын указал на острый недостаток в винтовках для вооружения людей, приходящих на пополнение убыли. О том же писал военному министру главный начальник снабжения армии Юго-Западного фронта А. А. Маврин в начале февраля 1915 г.: «Те укомплектования, кои я увидел, прибывают в хорошем обмундировании, но без ружей, на фронте, ввиду большой нужды в винтовках, вопрос о вооружении укомплектований стоит очень остро»</w:t>
      </w:r>
      <w:bookmarkStart w:id="214" w:name="57r"/>
      <w:bookmarkEnd w:id="214"/>
      <w:r w:rsidR="009D3CAD" w:rsidRPr="00DE096C">
        <w:rPr>
          <w:bCs/>
          <w:color w:val="002060"/>
          <w:sz w:val="16"/>
          <w:szCs w:val="16"/>
          <w:vertAlign w:val="superscript"/>
        </w:rPr>
        <w:fldChar w:fldCharType="begin"/>
      </w:r>
      <w:r w:rsidRPr="00DE096C">
        <w:rPr>
          <w:bCs/>
          <w:color w:val="002060"/>
          <w:sz w:val="16"/>
          <w:szCs w:val="16"/>
          <w:vertAlign w:val="superscript"/>
        </w:rPr>
        <w:instrText xml:space="preserve"> HYPERLINK "http://sergeyhry.narod.ru/txt/sidorov_a_l/econom_rus_ww1_002.htm" \l "57p" </w:instrText>
      </w:r>
      <w:r w:rsidR="009D3CAD" w:rsidRPr="00DE096C">
        <w:rPr>
          <w:bCs/>
          <w:color w:val="002060"/>
          <w:sz w:val="16"/>
          <w:szCs w:val="16"/>
          <w:vertAlign w:val="superscript"/>
        </w:rPr>
      </w:r>
      <w:r w:rsidR="009D3CAD" w:rsidRPr="00DE096C">
        <w:rPr>
          <w:bCs/>
          <w:color w:val="002060"/>
          <w:sz w:val="16"/>
          <w:szCs w:val="16"/>
          <w:vertAlign w:val="superscript"/>
        </w:rPr>
        <w:fldChar w:fldCharType="separate"/>
      </w:r>
      <w:r w:rsidRPr="00DE096C">
        <w:rPr>
          <w:rStyle w:val="af0"/>
          <w:bCs/>
          <w:color w:val="002060"/>
          <w:sz w:val="16"/>
          <w:szCs w:val="16"/>
          <w:vertAlign w:val="superscript"/>
        </w:rPr>
        <w:t>57</w:t>
      </w:r>
      <w:r w:rsidR="009D3CAD" w:rsidRPr="00DE096C">
        <w:rPr>
          <w:bCs/>
          <w:color w:val="002060"/>
          <w:sz w:val="16"/>
          <w:szCs w:val="16"/>
          <w:vertAlign w:val="superscript"/>
        </w:rPr>
        <w:fldChar w:fldCharType="end"/>
      </w:r>
      <w:r w:rsidRPr="00DE096C">
        <w:rPr>
          <w:bCs/>
          <w:color w:val="002060"/>
          <w:sz w:val="16"/>
          <w:szCs w:val="16"/>
        </w:rPr>
        <w:t>.</w:t>
      </w:r>
    </w:p>
    <w:p w14:paraId="1A6117F5" w14:textId="77777777" w:rsidR="00036953" w:rsidRPr="00DE096C" w:rsidRDefault="00036953" w:rsidP="00D45A46">
      <w:pPr>
        <w:pStyle w:val="ae"/>
        <w:spacing w:before="0" w:beforeAutospacing="0" w:after="0" w:afterAutospacing="0"/>
        <w:jc w:val="both"/>
        <w:rPr>
          <w:bCs/>
          <w:color w:val="002060"/>
          <w:sz w:val="16"/>
          <w:szCs w:val="16"/>
        </w:rPr>
      </w:pPr>
      <w:r w:rsidRPr="00DE096C">
        <w:rPr>
          <w:bCs/>
          <w:color w:val="002060"/>
          <w:sz w:val="16"/>
          <w:szCs w:val="16"/>
        </w:rPr>
        <w:t>На фронте были приняты меры к сбору и ремонту винтовок. Однако эта мера и прибывающие пополнения не смогли возместить потерь, которые определялись от 100 до 200 тыс. винтовок в месяц. Промышленность же дала за 5 месяцев 1914 г. лишь 134 тыс новых винтовок и 144 тыс. исправленных (18524).</w:t>
      </w:r>
    </w:p>
    <w:p w14:paraId="19E0DB36" w14:textId="77777777" w:rsidR="00036953" w:rsidRPr="00DE096C" w:rsidRDefault="00036953" w:rsidP="00D45A46">
      <w:pPr>
        <w:pStyle w:val="ae"/>
        <w:spacing w:before="0" w:beforeAutospacing="0" w:after="0" w:afterAutospacing="0"/>
        <w:jc w:val="both"/>
        <w:rPr>
          <w:bCs/>
          <w:color w:val="002060"/>
          <w:sz w:val="16"/>
          <w:szCs w:val="16"/>
        </w:rPr>
      </w:pPr>
    </w:p>
    <w:p w14:paraId="62466BD9" w14:textId="7D1D85E0" w:rsidR="00036953" w:rsidRPr="00DE096C" w:rsidRDefault="00036953" w:rsidP="00D45A46">
      <w:pPr>
        <w:pStyle w:val="ae"/>
        <w:spacing w:before="0" w:beforeAutospacing="0" w:after="0" w:afterAutospacing="0"/>
        <w:jc w:val="both"/>
        <w:rPr>
          <w:bCs/>
          <w:color w:val="002060"/>
          <w:sz w:val="16"/>
          <w:szCs w:val="16"/>
        </w:rPr>
      </w:pPr>
      <w:r w:rsidRPr="00DE096C">
        <w:rPr>
          <w:bCs/>
          <w:color w:val="002060"/>
          <w:sz w:val="16"/>
          <w:szCs w:val="16"/>
        </w:rPr>
        <w:t xml:space="preserve">С декабря 1914 г. </w:t>
      </w:r>
      <w:r w:rsidR="004809C0" w:rsidRPr="00DE096C">
        <w:rPr>
          <w:bCs/>
          <w:color w:val="002060"/>
          <w:sz w:val="16"/>
          <w:szCs w:val="16"/>
        </w:rPr>
        <w:t>по</w:t>
      </w:r>
      <w:r w:rsidRPr="00DE096C">
        <w:rPr>
          <w:bCs/>
          <w:color w:val="002060"/>
          <w:sz w:val="16"/>
          <w:szCs w:val="16"/>
        </w:rPr>
        <w:t xml:space="preserve"> март 1915 г. в армию было послано всего 1945 тыс. штук снарядов всех калибров</w:t>
      </w:r>
      <w:bookmarkStart w:id="215" w:name="54r"/>
      <w:bookmarkEnd w:id="215"/>
      <w:r w:rsidR="009D3CAD" w:rsidRPr="00DE096C">
        <w:rPr>
          <w:bCs/>
          <w:color w:val="002060"/>
          <w:sz w:val="16"/>
          <w:szCs w:val="16"/>
          <w:vertAlign w:val="superscript"/>
        </w:rPr>
        <w:fldChar w:fldCharType="begin"/>
      </w:r>
      <w:r w:rsidRPr="00DE096C">
        <w:rPr>
          <w:bCs/>
          <w:color w:val="002060"/>
          <w:sz w:val="16"/>
          <w:szCs w:val="16"/>
          <w:vertAlign w:val="superscript"/>
        </w:rPr>
        <w:instrText xml:space="preserve"> HYPERLINK "http://sergeyhry.narod.ru/txt/sidorov_a_l/econom_rus_ww1_002.htm" \l "54p" </w:instrText>
      </w:r>
      <w:r w:rsidR="009D3CAD" w:rsidRPr="00DE096C">
        <w:rPr>
          <w:bCs/>
          <w:color w:val="002060"/>
          <w:sz w:val="16"/>
          <w:szCs w:val="16"/>
          <w:vertAlign w:val="superscript"/>
        </w:rPr>
      </w:r>
      <w:r w:rsidR="009D3CAD" w:rsidRPr="00DE096C">
        <w:rPr>
          <w:bCs/>
          <w:color w:val="002060"/>
          <w:sz w:val="16"/>
          <w:szCs w:val="16"/>
          <w:vertAlign w:val="superscript"/>
        </w:rPr>
        <w:fldChar w:fldCharType="separate"/>
      </w:r>
      <w:r w:rsidRPr="00DE096C">
        <w:rPr>
          <w:rStyle w:val="af0"/>
          <w:bCs/>
          <w:color w:val="002060"/>
          <w:sz w:val="16"/>
          <w:szCs w:val="16"/>
          <w:vertAlign w:val="superscript"/>
        </w:rPr>
        <w:t>54</w:t>
      </w:r>
      <w:r w:rsidR="009D3CAD" w:rsidRPr="00DE096C">
        <w:rPr>
          <w:bCs/>
          <w:color w:val="002060"/>
          <w:sz w:val="16"/>
          <w:szCs w:val="16"/>
          <w:vertAlign w:val="superscript"/>
        </w:rPr>
        <w:fldChar w:fldCharType="end"/>
      </w:r>
      <w:r w:rsidRPr="00DE096C">
        <w:rPr>
          <w:bCs/>
          <w:color w:val="002060"/>
          <w:sz w:val="16"/>
          <w:szCs w:val="16"/>
        </w:rPr>
        <w:t>, т. е. менее ⅓ необходимого количества. Скорострельная трехдюймовая артиллерия получила около 1,5 млн. снарядов, или по 2 выстрела в день на орудие</w:t>
      </w:r>
      <w:bookmarkStart w:id="216" w:name="55r"/>
      <w:bookmarkEnd w:id="216"/>
      <w:r w:rsidR="009D3CAD" w:rsidRPr="00DE096C">
        <w:rPr>
          <w:bCs/>
          <w:color w:val="002060"/>
          <w:sz w:val="16"/>
          <w:szCs w:val="16"/>
          <w:vertAlign w:val="superscript"/>
        </w:rPr>
        <w:fldChar w:fldCharType="begin"/>
      </w:r>
      <w:r w:rsidRPr="00DE096C">
        <w:rPr>
          <w:bCs/>
          <w:color w:val="002060"/>
          <w:sz w:val="16"/>
          <w:szCs w:val="16"/>
          <w:vertAlign w:val="superscript"/>
        </w:rPr>
        <w:instrText xml:space="preserve"> HYPERLINK "http://sergeyhry.narod.ru/txt/sidorov_a_l/econom_rus_ww1_002.htm" \l "55p" </w:instrText>
      </w:r>
      <w:r w:rsidR="009D3CAD" w:rsidRPr="00DE096C">
        <w:rPr>
          <w:bCs/>
          <w:color w:val="002060"/>
          <w:sz w:val="16"/>
          <w:szCs w:val="16"/>
          <w:vertAlign w:val="superscript"/>
        </w:rPr>
      </w:r>
      <w:r w:rsidR="009D3CAD" w:rsidRPr="00DE096C">
        <w:rPr>
          <w:bCs/>
          <w:color w:val="002060"/>
          <w:sz w:val="16"/>
          <w:szCs w:val="16"/>
          <w:vertAlign w:val="superscript"/>
        </w:rPr>
        <w:fldChar w:fldCharType="separate"/>
      </w:r>
      <w:r w:rsidRPr="00DE096C">
        <w:rPr>
          <w:rStyle w:val="af0"/>
          <w:bCs/>
          <w:color w:val="002060"/>
          <w:sz w:val="16"/>
          <w:szCs w:val="16"/>
          <w:vertAlign w:val="superscript"/>
        </w:rPr>
        <w:t>55</w:t>
      </w:r>
      <w:r w:rsidR="009D3CAD" w:rsidRPr="00DE096C">
        <w:rPr>
          <w:bCs/>
          <w:color w:val="002060"/>
          <w:sz w:val="16"/>
          <w:szCs w:val="16"/>
          <w:vertAlign w:val="superscript"/>
        </w:rPr>
        <w:fldChar w:fldCharType="end"/>
      </w:r>
      <w:r w:rsidRPr="00DE096C">
        <w:rPr>
          <w:bCs/>
          <w:color w:val="002060"/>
          <w:sz w:val="16"/>
          <w:szCs w:val="16"/>
        </w:rPr>
        <w:t>. За 5½ месяцев 1915 г. (по 10 июня) фронт получил снарядов менее, чем за первые 4½ месяца войны, на 39,5 легких парков, 17 мортирных, 17 горных и 3 тяжелых парка</w:t>
      </w:r>
      <w:bookmarkStart w:id="217" w:name="56r"/>
      <w:bookmarkEnd w:id="217"/>
      <w:r w:rsidR="009D3CAD" w:rsidRPr="00DE096C">
        <w:rPr>
          <w:bCs/>
          <w:color w:val="002060"/>
          <w:sz w:val="16"/>
          <w:szCs w:val="16"/>
          <w:vertAlign w:val="superscript"/>
        </w:rPr>
        <w:fldChar w:fldCharType="begin"/>
      </w:r>
      <w:r w:rsidRPr="00DE096C">
        <w:rPr>
          <w:bCs/>
          <w:color w:val="002060"/>
          <w:sz w:val="16"/>
          <w:szCs w:val="16"/>
          <w:vertAlign w:val="superscript"/>
        </w:rPr>
        <w:instrText xml:space="preserve"> HYPERLINK "http://sergeyhry.narod.ru/txt/sidorov_a_l/econom_rus_ww1_002.htm" \l "56p" </w:instrText>
      </w:r>
      <w:r w:rsidR="009D3CAD" w:rsidRPr="00DE096C">
        <w:rPr>
          <w:bCs/>
          <w:color w:val="002060"/>
          <w:sz w:val="16"/>
          <w:szCs w:val="16"/>
          <w:vertAlign w:val="superscript"/>
        </w:rPr>
      </w:r>
      <w:r w:rsidR="009D3CAD" w:rsidRPr="00DE096C">
        <w:rPr>
          <w:bCs/>
          <w:color w:val="002060"/>
          <w:sz w:val="16"/>
          <w:szCs w:val="16"/>
          <w:vertAlign w:val="superscript"/>
        </w:rPr>
        <w:fldChar w:fldCharType="separate"/>
      </w:r>
      <w:r w:rsidRPr="00DE096C">
        <w:rPr>
          <w:rStyle w:val="af0"/>
          <w:bCs/>
          <w:color w:val="002060"/>
          <w:sz w:val="16"/>
          <w:szCs w:val="16"/>
          <w:vertAlign w:val="superscript"/>
        </w:rPr>
        <w:t>56</w:t>
      </w:r>
      <w:r w:rsidR="009D3CAD" w:rsidRPr="00DE096C">
        <w:rPr>
          <w:bCs/>
          <w:color w:val="002060"/>
          <w:sz w:val="16"/>
          <w:szCs w:val="16"/>
          <w:vertAlign w:val="superscript"/>
        </w:rPr>
        <w:fldChar w:fldCharType="end"/>
      </w:r>
      <w:r w:rsidRPr="00DE096C">
        <w:rPr>
          <w:bCs/>
          <w:color w:val="002060"/>
          <w:sz w:val="16"/>
          <w:szCs w:val="16"/>
        </w:rPr>
        <w:t>. Если в 1914 г. ежемесячное поступление снарядов составляло 47⅓ парка, то за первое полугодие 1915 г. — лишь 25⅕, т. е не более 50% от фактического снабжения 1914 г.</w:t>
      </w:r>
    </w:p>
    <w:p w14:paraId="42A45DBE" w14:textId="77777777" w:rsidR="00036953" w:rsidRPr="00DE096C" w:rsidRDefault="00036953" w:rsidP="00D45A46">
      <w:pPr>
        <w:pStyle w:val="ae"/>
        <w:spacing w:before="0" w:beforeAutospacing="0" w:after="0" w:afterAutospacing="0"/>
        <w:jc w:val="both"/>
        <w:rPr>
          <w:bCs/>
          <w:color w:val="002060"/>
          <w:sz w:val="16"/>
          <w:szCs w:val="16"/>
        </w:rPr>
      </w:pPr>
      <w:r w:rsidRPr="00DE096C">
        <w:rPr>
          <w:bCs/>
          <w:color w:val="002060"/>
          <w:sz w:val="16"/>
          <w:szCs w:val="16"/>
        </w:rPr>
        <w:t>В «Своде сведений» о снабжении армии артиллерийскими снарядами Верховная следственная комиссия с большим запозданием указывала на имевшуюся у Военного министерства возможность предотвратить «это прискорбное явление» «заблаговременным» приспособлением заводов к развитию производства. Кроме того, подчеркивалось, что после того как Ставка потребовала по 1,5 млн. снарядов в месяц, военное ведомство не приняло необходимых мер к соответствующему увеличению производства.</w:t>
      </w:r>
    </w:p>
    <w:p w14:paraId="36AD09CE" w14:textId="77777777" w:rsidR="00036953" w:rsidRPr="00DE096C" w:rsidRDefault="00036953" w:rsidP="00D45A46">
      <w:pPr>
        <w:pStyle w:val="ae"/>
        <w:spacing w:before="0" w:beforeAutospacing="0" w:after="0" w:afterAutospacing="0"/>
        <w:jc w:val="both"/>
        <w:rPr>
          <w:bCs/>
          <w:color w:val="002060"/>
          <w:sz w:val="16"/>
          <w:szCs w:val="16"/>
        </w:rPr>
      </w:pPr>
      <w:r w:rsidRPr="00DE096C">
        <w:rPr>
          <w:bCs/>
          <w:color w:val="002060"/>
          <w:sz w:val="16"/>
          <w:szCs w:val="16"/>
        </w:rPr>
        <w:t>В чем же было дело? Военный министр и его помощники были достаточно хорошо информированы Ставкой о действительном положении вещей. И сам министр, и другие ответственные работники министерства неоднократно вызывались в Ставку, где выяснялось положение и предъявлялись промышленности определенные требования. Требования Ставки утверждались императором и являлись обязательными для всего правительства (18524).</w:t>
      </w:r>
    </w:p>
    <w:p w14:paraId="275DFE20" w14:textId="77777777" w:rsidR="00036953" w:rsidRPr="00DE096C" w:rsidRDefault="00036953" w:rsidP="00D45A46">
      <w:pPr>
        <w:pStyle w:val="ae"/>
        <w:spacing w:before="0" w:beforeAutospacing="0" w:after="0" w:afterAutospacing="0"/>
        <w:jc w:val="both"/>
        <w:rPr>
          <w:bCs/>
          <w:color w:val="002060"/>
          <w:sz w:val="16"/>
          <w:szCs w:val="16"/>
        </w:rPr>
      </w:pPr>
    </w:p>
    <w:p w14:paraId="5BEAE6B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де</w:t>
      </w:r>
      <w:r w:rsidRPr="00DE096C">
        <w:rPr>
          <w:bCs/>
          <w:color w:val="002060"/>
          <w:sz w:val="16"/>
          <w:szCs w:val="16"/>
        </w:rPr>
        <w:softHyphen/>
        <w:t>кабре 1914 г. приняли «Гангут» - последний из 4-х балтийских линкоров. Появление на Балтийском море новых кораб</w:t>
      </w:r>
      <w:r w:rsidRPr="00DE096C">
        <w:rPr>
          <w:bCs/>
          <w:color w:val="002060"/>
          <w:sz w:val="16"/>
          <w:szCs w:val="16"/>
        </w:rPr>
        <w:softHyphen/>
        <w:t>лей заметно усилило позиции морских сил России, однако использование их в боевых действиях в силу сложившей</w:t>
      </w:r>
      <w:r w:rsidRPr="00DE096C">
        <w:rPr>
          <w:bCs/>
          <w:color w:val="002060"/>
          <w:sz w:val="16"/>
          <w:szCs w:val="16"/>
        </w:rPr>
        <w:softHyphen/>
        <w:t>ся обстановки носило ограниченный характер. В период после 1917 г. линкоры не были востребованы, поэтому их поставили на консервацию, и в течение нескольких лет они ржавели у причальных стенок Петрограда и Кронштадта. Корабли не отапливались, не освещались, их ко</w:t>
      </w:r>
      <w:r w:rsidRPr="00DE096C">
        <w:rPr>
          <w:bCs/>
          <w:color w:val="002060"/>
          <w:sz w:val="16"/>
          <w:szCs w:val="16"/>
        </w:rPr>
        <w:softHyphen/>
        <w:t>манды почти полностью списали на берег. Одном)' из них так и не было суждено более выйти в море. В 1923 г., уже после решения новой власти о восстановлении флота, на линкоре «Полтава», переименованном в «Михаил Фрун</w:t>
      </w:r>
      <w:r w:rsidRPr="00DE096C">
        <w:rPr>
          <w:bCs/>
          <w:color w:val="002060"/>
          <w:sz w:val="16"/>
          <w:szCs w:val="16"/>
        </w:rPr>
        <w:softHyphen/>
        <w:t>зе», произошел пожар, принесший большие разрушения. Последствия оказались столь катастрофическими, что от восстановления линкора отказались (11107).</w:t>
      </w:r>
    </w:p>
    <w:p w14:paraId="5DA2EE0C" w14:textId="77777777" w:rsidR="00B67D7C" w:rsidRPr="00DE096C" w:rsidRDefault="00B67D7C" w:rsidP="00D45A46">
      <w:pPr>
        <w:shd w:val="clear" w:color="auto" w:fill="FFFFFF"/>
        <w:jc w:val="both"/>
        <w:rPr>
          <w:bCs/>
          <w:color w:val="002060"/>
          <w:sz w:val="16"/>
          <w:szCs w:val="16"/>
        </w:rPr>
      </w:pPr>
    </w:p>
    <w:p w14:paraId="01061027" w14:textId="6650EDF3" w:rsidR="00B67D7C" w:rsidRPr="00DE096C" w:rsidRDefault="004809C0"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декабре 1914 г. ГАУ определил</w:t>
      </w:r>
      <w:r w:rsidRPr="00DE096C">
        <w:rPr>
          <w:bCs/>
          <w:color w:val="002060"/>
          <w:sz w:val="16"/>
          <w:szCs w:val="16"/>
        </w:rPr>
        <w:t xml:space="preserve">о для Тульского завода норму, до которой нужно было довести производство винтовок </w:t>
      </w:r>
      <w:r w:rsidR="00B67D7C" w:rsidRPr="00DE096C">
        <w:rPr>
          <w:bCs/>
          <w:color w:val="002060"/>
          <w:sz w:val="16"/>
          <w:szCs w:val="16"/>
        </w:rPr>
        <w:t>в 700 шт. в сутки.</w:t>
      </w:r>
      <w:r w:rsidRPr="00DE096C">
        <w:rPr>
          <w:bCs/>
          <w:color w:val="002060"/>
          <w:sz w:val="16"/>
          <w:szCs w:val="16"/>
        </w:rPr>
        <w:t xml:space="preserve"> Тульский завод получил распоряжение от ГАУ возобновить производство винтовок тотчас после объявления войны. Основное производство завода, именно — винтовочное, постепенно снижавшееся, к 1914 году было сведено до состояния почти полной остановки. Достаточно указать, что за первые 6 месяцев этого года завод выпустил общим счетом 41 винтовку, а в месяц, когда была объявлена война, то есть в июле, была изготовлена всего только 1 учебная винтовка</w:t>
      </w:r>
    </w:p>
    <w:p w14:paraId="60A66B9A" w14:textId="77777777" w:rsidR="00B67D7C" w:rsidRPr="00DE096C" w:rsidRDefault="00B67D7C" w:rsidP="00D45A46">
      <w:pPr>
        <w:shd w:val="clear" w:color="auto" w:fill="FFFFFF"/>
        <w:jc w:val="both"/>
        <w:rPr>
          <w:bCs/>
          <w:i/>
          <w:color w:val="002060"/>
          <w:sz w:val="16"/>
          <w:szCs w:val="16"/>
        </w:rPr>
      </w:pPr>
    </w:p>
    <w:p w14:paraId="6B7ADF11" w14:textId="00A5B1F5" w:rsidR="00B67D7C" w:rsidRPr="00DE096C" w:rsidRDefault="004809C0" w:rsidP="00D45A46">
      <w:pPr>
        <w:shd w:val="clear" w:color="auto" w:fill="FFFFFF"/>
        <w:jc w:val="both"/>
        <w:rPr>
          <w:bCs/>
          <w:color w:val="002060"/>
          <w:sz w:val="16"/>
          <w:szCs w:val="16"/>
        </w:rPr>
      </w:pPr>
      <w:r w:rsidRPr="00DE096C">
        <w:rPr>
          <w:bCs/>
          <w:color w:val="002060"/>
          <w:sz w:val="16"/>
          <w:szCs w:val="16"/>
        </w:rPr>
        <w:t>В</w:t>
      </w:r>
      <w:r w:rsidR="00B67D7C" w:rsidRPr="00DE096C">
        <w:rPr>
          <w:bCs/>
          <w:color w:val="002060"/>
          <w:sz w:val="16"/>
          <w:szCs w:val="16"/>
        </w:rPr>
        <w:t xml:space="preserve"> де</w:t>
      </w:r>
      <w:r w:rsidR="00B67D7C" w:rsidRPr="00DE096C">
        <w:rPr>
          <w:bCs/>
          <w:color w:val="002060"/>
          <w:sz w:val="16"/>
          <w:szCs w:val="16"/>
        </w:rPr>
        <w:softHyphen/>
        <w:t xml:space="preserve">кабре 1914 г. </w:t>
      </w:r>
      <w:r w:rsidRPr="00DE096C">
        <w:rPr>
          <w:bCs/>
          <w:color w:val="002060"/>
          <w:sz w:val="16"/>
          <w:szCs w:val="16"/>
        </w:rPr>
        <w:t xml:space="preserve">Петроградский механический завод изготовил </w:t>
      </w:r>
      <w:r w:rsidR="00B67D7C" w:rsidRPr="00DE096C">
        <w:rPr>
          <w:bCs/>
          <w:color w:val="002060"/>
          <w:sz w:val="16"/>
          <w:szCs w:val="16"/>
        </w:rPr>
        <w:t>всего 1009 корпусов</w:t>
      </w:r>
      <w:r w:rsidRPr="00DE096C">
        <w:rPr>
          <w:bCs/>
          <w:color w:val="002060"/>
          <w:sz w:val="16"/>
          <w:szCs w:val="16"/>
        </w:rPr>
        <w:t xml:space="preserve"> снарядов</w:t>
      </w:r>
      <w:r w:rsidR="00B67D7C" w:rsidRPr="00DE096C">
        <w:rPr>
          <w:bCs/>
          <w:color w:val="002060"/>
          <w:sz w:val="16"/>
          <w:szCs w:val="16"/>
        </w:rPr>
        <w:t>. Балтийский, Николаевский и не</w:t>
      </w:r>
      <w:r w:rsidR="00B67D7C" w:rsidRPr="00DE096C">
        <w:rPr>
          <w:bCs/>
          <w:color w:val="002060"/>
          <w:sz w:val="16"/>
          <w:szCs w:val="16"/>
        </w:rPr>
        <w:softHyphen/>
        <w:t>которые другие заводы выдали первые партии снарядов лишь в янва</w:t>
      </w:r>
      <w:r w:rsidR="00B67D7C" w:rsidRPr="00DE096C">
        <w:rPr>
          <w:bCs/>
          <w:color w:val="002060"/>
          <w:sz w:val="16"/>
          <w:szCs w:val="16"/>
        </w:rPr>
        <w:softHyphen/>
        <w:t>ре—феврале 1915 г. (5484).</w:t>
      </w:r>
    </w:p>
    <w:p w14:paraId="63CC7899" w14:textId="77777777" w:rsidR="00B67D7C" w:rsidRPr="00DE096C" w:rsidRDefault="00B67D7C" w:rsidP="00D45A46">
      <w:pPr>
        <w:shd w:val="clear" w:color="auto" w:fill="FFFFFF"/>
        <w:jc w:val="both"/>
        <w:rPr>
          <w:bCs/>
          <w:color w:val="002060"/>
          <w:sz w:val="16"/>
          <w:szCs w:val="16"/>
        </w:rPr>
      </w:pPr>
    </w:p>
    <w:p w14:paraId="071D473C" w14:textId="05F573CA" w:rsidR="00B67D7C" w:rsidRPr="00DE096C" w:rsidRDefault="00B67D7C" w:rsidP="00D45A46">
      <w:pPr>
        <w:jc w:val="both"/>
        <w:rPr>
          <w:bCs/>
          <w:color w:val="002060"/>
          <w:sz w:val="16"/>
          <w:szCs w:val="16"/>
        </w:rPr>
      </w:pPr>
      <w:r w:rsidRPr="00DE096C">
        <w:rPr>
          <w:bCs/>
          <w:color w:val="002060"/>
          <w:sz w:val="16"/>
          <w:szCs w:val="16"/>
        </w:rPr>
        <w:t xml:space="preserve">В декабре 1914 г. проект </w:t>
      </w:r>
      <w:r w:rsidR="004809C0" w:rsidRPr="00DE096C">
        <w:rPr>
          <w:bCs/>
          <w:color w:val="002060"/>
          <w:sz w:val="16"/>
          <w:szCs w:val="16"/>
        </w:rPr>
        <w:t xml:space="preserve">Главное артиллерийского управления, которое отдавало себе ясный отчет в той опасности, какою угрожает боевому снабжению Армии положение вещей, при котором квалифицированные и неквалифицированные работники призывались в армию и вскоре после начала войны внесло в Совет министров проект перевода казенных заводов на особое положение, считая их как бы мобилизованными, </w:t>
      </w:r>
      <w:r w:rsidRPr="00DE096C">
        <w:rPr>
          <w:bCs/>
          <w:color w:val="002060"/>
          <w:sz w:val="16"/>
          <w:szCs w:val="16"/>
        </w:rPr>
        <w:t>был вновь внесен на рассмотрение Совета министров и вновь отклонен.</w:t>
      </w:r>
    </w:p>
    <w:p w14:paraId="094277EE" w14:textId="77777777" w:rsidR="00B67D7C" w:rsidRPr="00DE096C" w:rsidRDefault="00B67D7C" w:rsidP="00D45A46">
      <w:pPr>
        <w:jc w:val="both"/>
        <w:rPr>
          <w:bCs/>
          <w:color w:val="002060"/>
          <w:sz w:val="16"/>
          <w:szCs w:val="16"/>
        </w:rPr>
      </w:pPr>
      <w:r w:rsidRPr="00DE096C">
        <w:rPr>
          <w:bCs/>
          <w:color w:val="002060"/>
          <w:sz w:val="16"/>
          <w:szCs w:val="16"/>
        </w:rPr>
        <w:t xml:space="preserve">Между тем вредные последствия действия законоположений мирного времени давали себя чувствовать в неоднократных случаях внезапного ухода рабочих с казенных заводов. Вследствие этого упомянутое выше представление Главного артиллерийского управления было внесено в Совет министров в третий раз 22 февраля/7 марта 1915 г. Однако Совет министров, как видно из письма председателя Совета министров к военному министру, «считаясь с вполне лояльным и, в общем, спокойным настроением фабрично-заводского населения и опасаясь дать повод к нежелательным толкам и волнениям», окончательно отклонил это предложение. </w:t>
      </w:r>
    </w:p>
    <w:p w14:paraId="55FFA29A" w14:textId="77777777" w:rsidR="00B67D7C" w:rsidRPr="00DE096C" w:rsidRDefault="00B67D7C" w:rsidP="00D45A46">
      <w:pPr>
        <w:jc w:val="both"/>
        <w:rPr>
          <w:bCs/>
          <w:color w:val="002060"/>
          <w:sz w:val="16"/>
          <w:szCs w:val="16"/>
        </w:rPr>
      </w:pPr>
      <w:r w:rsidRPr="00DE096C">
        <w:rPr>
          <w:bCs/>
          <w:color w:val="002060"/>
          <w:sz w:val="16"/>
          <w:szCs w:val="16"/>
        </w:rPr>
        <w:t xml:space="preserve">Таким образом, мобилизационная готовность казенных заводов в отношении людского состава была совершенно не охранена; заводы оставались бессильными перед такими фактами, как, например, уход сразу 3000 человек (в летнюю уволку) с Ижевского завода, единственного в России, изготовлявшего ствольные и коробочные болванки (для всех оружейных заводов); подобные одновременные уходы имели место и на других заводах (1000 человек с Сормовского завода, 700 человек с завода Посселя и т.д.). </w:t>
      </w:r>
    </w:p>
    <w:p w14:paraId="4B0DD02D" w14:textId="77777777" w:rsidR="00B67D7C" w:rsidRPr="00DE096C" w:rsidRDefault="00B67D7C" w:rsidP="00D45A46">
      <w:pPr>
        <w:jc w:val="both"/>
        <w:rPr>
          <w:bCs/>
          <w:color w:val="002060"/>
          <w:sz w:val="16"/>
          <w:szCs w:val="16"/>
        </w:rPr>
      </w:pPr>
    </w:p>
    <w:p w14:paraId="6BF82D3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декабре 1914 г. прошли испытания первых орудий Тар</w:t>
      </w:r>
      <w:r w:rsidRPr="00DE096C">
        <w:rPr>
          <w:bCs/>
          <w:color w:val="002060"/>
          <w:sz w:val="16"/>
          <w:szCs w:val="16"/>
        </w:rPr>
        <w:softHyphen/>
        <w:t>навского—Лендера, после чего пять из них (установленные в кузовах пятитонных автомобилей «Руссо-Балт типа Т») бы</w:t>
      </w:r>
      <w:r w:rsidRPr="00DE096C">
        <w:rPr>
          <w:bCs/>
          <w:color w:val="002060"/>
          <w:sz w:val="16"/>
          <w:szCs w:val="16"/>
        </w:rPr>
        <w:softHyphen/>
        <w:t>ли обращены на формирование первой самоходной зенит</w:t>
      </w:r>
      <w:r w:rsidRPr="00DE096C">
        <w:rPr>
          <w:bCs/>
          <w:color w:val="002060"/>
          <w:sz w:val="16"/>
          <w:szCs w:val="16"/>
        </w:rPr>
        <w:softHyphen/>
        <w:t>ной батареи. Для разгрузки автомобильного шасси во время стрельбы предполагалось использовать боковые откидные упоры, а для применения установки на фронте рекомендо</w:t>
      </w:r>
      <w:r w:rsidRPr="00DE096C">
        <w:rPr>
          <w:bCs/>
          <w:color w:val="002060"/>
          <w:sz w:val="16"/>
          <w:szCs w:val="16"/>
        </w:rPr>
        <w:softHyphen/>
        <w:t>валось снабдить автомобиль бронированной кабиной.</w:t>
      </w:r>
    </w:p>
    <w:p w14:paraId="2AEB227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20 марта 1915 г. после испытаний стрельбой и пробегом батарея под командованием капитана Тарнавского отправилась на фронт, где ее действия были признаны успешны</w:t>
      </w:r>
      <w:r w:rsidRPr="00DE096C">
        <w:rPr>
          <w:bCs/>
          <w:color w:val="002060"/>
          <w:sz w:val="16"/>
          <w:szCs w:val="16"/>
        </w:rPr>
        <w:softHyphen/>
        <w:t>ми. Так, только в 1916 г. на счет указанной батареи были от</w:t>
      </w:r>
      <w:r w:rsidRPr="00DE096C">
        <w:rPr>
          <w:bCs/>
          <w:color w:val="002060"/>
          <w:sz w:val="16"/>
          <w:szCs w:val="16"/>
        </w:rPr>
        <w:softHyphen/>
        <w:t>несены немецкий разведывательный самолет, подбитый 30 мая над г. Пултуск, а также три самолета, подбитых 12 ию</w:t>
      </w:r>
      <w:r w:rsidRPr="00DE096C">
        <w:rPr>
          <w:bCs/>
          <w:color w:val="002060"/>
          <w:sz w:val="16"/>
          <w:szCs w:val="16"/>
        </w:rPr>
        <w:softHyphen/>
        <w:t>ля 1916 г. над позициями 5-й армии.</w:t>
      </w:r>
    </w:p>
    <w:p w14:paraId="1995415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Но 76,2-мм Противоаэропланная пушка получилась все же сравнительно дорогой и сложной. Потребности армии в указанном оружии были велики, промышленность же не справлялась с заказами и потому к использованию против самолетов приспосабливали и многие другие орудия, кали</w:t>
      </w:r>
      <w:r w:rsidRPr="00DE096C">
        <w:rPr>
          <w:bCs/>
          <w:color w:val="002060"/>
          <w:sz w:val="16"/>
          <w:szCs w:val="16"/>
        </w:rPr>
        <w:softHyphen/>
        <w:t>бра от 57 до 75-мм и более (11417).</w:t>
      </w:r>
    </w:p>
    <w:p w14:paraId="0DF761FF" w14:textId="77777777" w:rsidR="00B67D7C" w:rsidRPr="00DE096C" w:rsidRDefault="00B67D7C" w:rsidP="00D45A46">
      <w:pPr>
        <w:shd w:val="clear" w:color="auto" w:fill="FFFFFF"/>
        <w:jc w:val="both"/>
        <w:rPr>
          <w:bCs/>
          <w:color w:val="002060"/>
          <w:sz w:val="16"/>
          <w:szCs w:val="16"/>
        </w:rPr>
      </w:pPr>
    </w:p>
    <w:p w14:paraId="79CCA4F6" w14:textId="16A6E33C" w:rsidR="00B67D7C" w:rsidRPr="00DE096C" w:rsidRDefault="005C44E7" w:rsidP="00D45A46">
      <w:pPr>
        <w:shd w:val="clear" w:color="auto" w:fill="FFFFFF"/>
        <w:jc w:val="both"/>
        <w:rPr>
          <w:bCs/>
          <w:color w:val="002060"/>
          <w:sz w:val="16"/>
          <w:szCs w:val="16"/>
        </w:rPr>
      </w:pPr>
      <w:r w:rsidRPr="00DE096C">
        <w:rPr>
          <w:bCs/>
          <w:color w:val="002060"/>
          <w:sz w:val="16"/>
          <w:szCs w:val="16"/>
        </w:rPr>
        <w:t>С</w:t>
      </w:r>
      <w:r w:rsidR="00B67D7C" w:rsidRPr="00DE096C">
        <w:rPr>
          <w:bCs/>
          <w:color w:val="002060"/>
          <w:sz w:val="16"/>
          <w:szCs w:val="16"/>
        </w:rPr>
        <w:t xml:space="preserve"> декабр</w:t>
      </w:r>
      <w:r w:rsidRPr="00DE096C">
        <w:rPr>
          <w:bCs/>
          <w:color w:val="002060"/>
          <w:sz w:val="16"/>
          <w:szCs w:val="16"/>
        </w:rPr>
        <w:t>я</w:t>
      </w:r>
      <w:r w:rsidR="00B67D7C" w:rsidRPr="00DE096C">
        <w:rPr>
          <w:bCs/>
          <w:color w:val="002060"/>
          <w:sz w:val="16"/>
          <w:szCs w:val="16"/>
        </w:rPr>
        <w:t xml:space="preserve"> 1914 года Московская радиостанция начала действовать. По условиям контракта допускалось строительство воздушной сети на временных деревянных мачтах. 120-метровые мачты строились по типу четырехбревенчатой сваи с нескольки</w:t>
      </w:r>
      <w:r w:rsidR="00B67D7C" w:rsidRPr="00DE096C">
        <w:rPr>
          <w:bCs/>
          <w:color w:val="002060"/>
          <w:sz w:val="16"/>
          <w:szCs w:val="16"/>
        </w:rPr>
        <w:softHyphen/>
        <w:t>ми ярусами растяжек и были возведены за 10 - 15 дней. В даль</w:t>
      </w:r>
      <w:r w:rsidR="00B67D7C" w:rsidRPr="00DE096C">
        <w:rPr>
          <w:bCs/>
          <w:color w:val="002060"/>
          <w:sz w:val="16"/>
          <w:szCs w:val="16"/>
        </w:rPr>
        <w:softHyphen/>
        <w:t>нейшем их заменили 120-метровыми стальными мачтами.</w:t>
      </w:r>
    </w:p>
    <w:p w14:paraId="3AE1679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С июля 1914 года заводская радиостанция также начала ре</w:t>
      </w:r>
      <w:r w:rsidRPr="00DE096C">
        <w:rPr>
          <w:bCs/>
          <w:color w:val="002060"/>
          <w:sz w:val="16"/>
          <w:szCs w:val="16"/>
        </w:rPr>
        <w:softHyphen/>
        <w:t>гулярную работу по поддержанию связи с союзниками. Сюда были направлены для несения службы специалисты офицерской электротехнической школы.</w:t>
      </w:r>
    </w:p>
    <w:p w14:paraId="7450710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Диапазон волн Московской радиостанции 7000,9000 и 11000 м (передатчик), Царскосельской - 5000, 7000 и 9000 м. Передат</w:t>
      </w:r>
      <w:r w:rsidRPr="00DE096C">
        <w:rPr>
          <w:bCs/>
          <w:color w:val="002060"/>
          <w:sz w:val="16"/>
          <w:szCs w:val="16"/>
        </w:rPr>
        <w:softHyphen/>
        <w:t>чики были приспособлены для работы как ключом, так и машин</w:t>
      </w:r>
      <w:r w:rsidRPr="00DE096C">
        <w:rPr>
          <w:bCs/>
          <w:color w:val="002060"/>
          <w:sz w:val="16"/>
          <w:szCs w:val="16"/>
        </w:rPr>
        <w:softHyphen/>
        <w:t>ным автоматом (трансмиттер Уинстона). Автоматы и другие при</w:t>
      </w:r>
      <w:r w:rsidRPr="00DE096C">
        <w:rPr>
          <w:bCs/>
          <w:color w:val="002060"/>
          <w:sz w:val="16"/>
          <w:szCs w:val="16"/>
        </w:rPr>
        <w:softHyphen/>
        <w:t>боры допускали скорость передачи 70 слов в минуту. Приём вел</w:t>
      </w:r>
      <w:r w:rsidRPr="00DE096C">
        <w:rPr>
          <w:bCs/>
          <w:color w:val="002060"/>
          <w:sz w:val="16"/>
          <w:szCs w:val="16"/>
        </w:rPr>
        <w:softHyphen/>
        <w:t>ся на слух и на регистрирующие аппараты в диапазоне волн от 400 до 10000 м.</w:t>
      </w:r>
    </w:p>
    <w:p w14:paraId="4D0E3EC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Ходынский (Московский) искровой радиопередатчик имел колебательную мощность 100 кВт при мощности потребления 300 кВт и работал на волнах 7000 - 9000 м.</w:t>
      </w:r>
    </w:p>
    <w:p w14:paraId="368BAC6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Будучи однотипными, Московская и Царскосельская радио</w:t>
      </w:r>
      <w:r w:rsidRPr="00DE096C">
        <w:rPr>
          <w:bCs/>
          <w:color w:val="002060"/>
          <w:sz w:val="16"/>
          <w:szCs w:val="16"/>
        </w:rPr>
        <w:softHyphen/>
        <w:t>станции по мощности входили в число самых крупных в Европе. Они представляли собой высшее достижение радиотехники ис</w:t>
      </w:r>
      <w:r w:rsidRPr="00DE096C">
        <w:rPr>
          <w:bCs/>
          <w:color w:val="002060"/>
          <w:sz w:val="16"/>
          <w:szCs w:val="16"/>
        </w:rPr>
        <w:softHyphen/>
        <w:t>крового периода. Для своего времени они обладали отличными тактико-техническими данными, надёжностью в работе и боль</w:t>
      </w:r>
      <w:r w:rsidRPr="00DE096C">
        <w:rPr>
          <w:bCs/>
          <w:color w:val="002060"/>
          <w:sz w:val="16"/>
          <w:szCs w:val="16"/>
        </w:rPr>
        <w:softHyphen/>
        <w:t>шим запасом инженерной прочности (11481).</w:t>
      </w:r>
    </w:p>
    <w:p w14:paraId="276240F7" w14:textId="77777777" w:rsidR="00B67D7C" w:rsidRPr="00DE096C" w:rsidRDefault="00B67D7C" w:rsidP="00D45A46">
      <w:pPr>
        <w:jc w:val="both"/>
        <w:rPr>
          <w:bCs/>
          <w:color w:val="002060"/>
          <w:sz w:val="16"/>
          <w:szCs w:val="16"/>
        </w:rPr>
      </w:pPr>
    </w:p>
    <w:p w14:paraId="03E2BED2" w14:textId="77777777" w:rsidR="00027173" w:rsidRPr="00DE096C" w:rsidRDefault="00027173"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В декабре и январе 1914—1915 гг. Союзом городов сначала на Северо-Западном и Северном фронтах, а затем и на других фронтах направлялись уполномоченные для посещения военно-питательных отрядов Союза, работающих на этих фронтах. В результате таких поездок выяснялся круг необходимых мероприятий, который в основном сводился к следующему:</w:t>
      </w:r>
    </w:p>
    <w:p w14:paraId="2CBF204F" w14:textId="77777777" w:rsidR="00027173" w:rsidRPr="00DE096C" w:rsidRDefault="00027173"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1) устройство на фронтах бань с обменным бельем, прачечных для стирки белья, получаемого из бань, а также белья собственных врачебных учреждений и по возможности войсковых частей; установка дезинфекционных камер для войсковых частей и организация чайных и питательных пунктов;</w:t>
      </w:r>
    </w:p>
    <w:p w14:paraId="3B473C02" w14:textId="77777777" w:rsidR="00027173" w:rsidRPr="00DE096C" w:rsidRDefault="00027173"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2) организация предохранительных прививок против тифа, холеры и оспы и устройство химико-бактериологических лабораторий;</w:t>
      </w:r>
    </w:p>
    <w:p w14:paraId="36D5F33E" w14:textId="77777777" w:rsidR="00027173" w:rsidRPr="00DE096C" w:rsidRDefault="00027173"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3) организация стационарных и подвижных зубоврачебных кабинетов;</w:t>
      </w:r>
    </w:p>
    <w:p w14:paraId="48E1552F" w14:textId="77777777" w:rsidR="00027173" w:rsidRPr="00DE096C" w:rsidRDefault="00027173"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4) непосредственная помощь больным и раненым воинам путем перевозок, эвакуации и размещения их в лазаретах и приемниках;</w:t>
      </w:r>
    </w:p>
    <w:p w14:paraId="078DC6BE" w14:textId="77777777" w:rsidR="00027173" w:rsidRPr="00DE096C" w:rsidRDefault="00027173"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5) устройство больниц, лабораторий и фельдшерских пунктов в прифронтовой полосе для борьбы с эпидемиями.</w:t>
      </w:r>
    </w:p>
    <w:p w14:paraId="650E1241" w14:textId="77777777" w:rsidR="00027173" w:rsidRPr="00DE096C" w:rsidRDefault="00027173"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lastRenderedPageBreak/>
        <w:t xml:space="preserve">Одновременно </w:t>
      </w:r>
    </w:p>
    <w:p w14:paraId="67DF4065" w14:textId="77777777" w:rsidR="00027173" w:rsidRPr="00DE096C" w:rsidRDefault="00027173"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К 1 (14) декабря 1914 г. для обслуживания раненых общественными организациями стало приобретаться медицинское оборудование: сначала на сумму 1 млн 245 тыс. 780 рублей; к декабрю 1915 г. — на сумму 1 млн 665 тыс. рублей; к 1 января 1916 г. — на 7 млн рублей. Общая стоимость медикаментов, отпущенных со складов Земского союза, составила 3 млн 500 тыс. рублей. Военно-промышленными комитетами для решения этих задач было налажено производство термометров, а санитарному отделу удалось организовать отечественное производство шприцев «Рекорд» и игл к ним. К маю 1917 г. оно было доведено до 100 шприцев в день, причем цены были не выше заграничных.</w:t>
      </w:r>
    </w:p>
    <w:p w14:paraId="7AB65B66" w14:textId="77777777" w:rsidR="00027173" w:rsidRPr="00DE096C" w:rsidRDefault="00027173"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Но уже скоро основное направление деятельности Главного комитета по снабжению армии определилось. К своим обязанностям он приступил в июле 1915 г., когда военное ведомство предложило взять заказы «на предметы вооружения, шанцевые предметы и на предметы конского и обозного снаряжения». Все заказы, получаемые Земгором от военного ведомства, можно разделить на три основных направления:</w:t>
      </w:r>
    </w:p>
    <w:p w14:paraId="40DD49CC" w14:textId="77777777" w:rsidR="00027173" w:rsidRPr="00DE096C" w:rsidRDefault="00027173"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1) предметы обозного довольствия (повозки, двуколки, кухни, седла, упряжь);</w:t>
      </w:r>
    </w:p>
    <w:p w14:paraId="0464E6C3" w14:textId="77777777" w:rsidR="00027173" w:rsidRPr="00DE096C" w:rsidRDefault="00027173"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2) предметы окопно-строительного снабжения (топоры, кирки, лопаты, ножницы); </w:t>
      </w:r>
    </w:p>
    <w:p w14:paraId="2DF57D8A" w14:textId="77777777" w:rsidR="00027173" w:rsidRPr="00DE096C" w:rsidRDefault="00027173"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3) предметы артиллерийского снабжения (гранаты, снаряды, бомбы).</w:t>
      </w:r>
    </w:p>
    <w:p w14:paraId="3DDDE189" w14:textId="77777777" w:rsidR="00027173" w:rsidRPr="00DE096C" w:rsidRDefault="00027173"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Так, в середине 1916 г. заказ на артиллерийское снабжение исполнялся 28 предприятиями, 20 из которых были построены Земгором. Из 1 млн 100 тыс. заказанных ему гранат 1 млн изготавливался его средней и мелкой промышленностью. Всего с 1 марта по 1 июля 1916 г. Земгору удалось выполнить 46% принятых им заказов. А с мая 1916 г. заказы Земгора, как и заказы ЦВПК, стали официально считаться «подлежащими исполнению наравне с заказами других ведомств» (11270).</w:t>
      </w:r>
    </w:p>
    <w:p w14:paraId="04222CC6" w14:textId="77777777" w:rsidR="00027173" w:rsidRPr="00DE096C" w:rsidRDefault="00027173" w:rsidP="00D45A46">
      <w:pPr>
        <w:pStyle w:val="a3"/>
        <w:jc w:val="both"/>
        <w:rPr>
          <w:bCs/>
          <w:i w:val="0"/>
          <w:color w:val="002060"/>
          <w:spacing w:val="0"/>
          <w:kern w:val="0"/>
          <w:position w:val="0"/>
          <w:sz w:val="16"/>
          <w:szCs w:val="16"/>
        </w:rPr>
      </w:pPr>
    </w:p>
    <w:p w14:paraId="548052F9" w14:textId="77777777" w:rsidR="00B67D7C" w:rsidRPr="00DE096C" w:rsidRDefault="00B67D7C" w:rsidP="00D45A46">
      <w:pPr>
        <w:jc w:val="both"/>
        <w:rPr>
          <w:bCs/>
          <w:i/>
          <w:color w:val="002060"/>
          <w:sz w:val="16"/>
          <w:szCs w:val="16"/>
        </w:rPr>
      </w:pPr>
      <w:r w:rsidRPr="00DE096C">
        <w:rPr>
          <w:bCs/>
          <w:i/>
          <w:color w:val="002060"/>
          <w:sz w:val="16"/>
          <w:szCs w:val="16"/>
        </w:rPr>
        <w:t>Авиация:</w:t>
      </w:r>
    </w:p>
    <w:p w14:paraId="59FC03A8" w14:textId="77777777" w:rsidR="00B67D7C" w:rsidRPr="00DE096C" w:rsidRDefault="00B67D7C" w:rsidP="00D45A46">
      <w:pPr>
        <w:jc w:val="both"/>
        <w:rPr>
          <w:bCs/>
          <w:i/>
          <w:color w:val="002060"/>
          <w:sz w:val="16"/>
          <w:szCs w:val="16"/>
        </w:rPr>
      </w:pPr>
    </w:p>
    <w:p w14:paraId="00BF01D0" w14:textId="77777777" w:rsidR="00C05624" w:rsidRPr="00DE096C" w:rsidRDefault="00C05624" w:rsidP="00D45A46">
      <w:pPr>
        <w:jc w:val="both"/>
        <w:rPr>
          <w:bCs/>
          <w:color w:val="002060"/>
          <w:sz w:val="16"/>
          <w:szCs w:val="16"/>
        </w:rPr>
      </w:pPr>
      <w:r w:rsidRPr="00DE096C">
        <w:rPr>
          <w:bCs/>
          <w:color w:val="002060"/>
          <w:sz w:val="16"/>
          <w:szCs w:val="16"/>
        </w:rPr>
        <w:t>В декабре 1914 г. с вооружением аэропланов пулеметами русская авиация наряду с выполнением задач воздушной разведки начала успешно противодействовать воздушной разведке германских и австро-венгерских войск. Так летчики 20-го корпусного авиаотряда уже систематически патрулировали над своими войсками, не допуская в район их расположения разведывательные аэропланы противника.</w:t>
      </w:r>
    </w:p>
    <w:p w14:paraId="3AB52676" w14:textId="77777777" w:rsidR="00C05624" w:rsidRPr="00DE096C" w:rsidRDefault="00C05624" w:rsidP="00D45A46">
      <w:pPr>
        <w:jc w:val="both"/>
        <w:rPr>
          <w:bCs/>
          <w:color w:val="002060"/>
          <w:sz w:val="16"/>
          <w:szCs w:val="16"/>
        </w:rPr>
      </w:pPr>
      <w:r w:rsidRPr="00DE096C">
        <w:rPr>
          <w:bCs/>
          <w:color w:val="002060"/>
          <w:sz w:val="16"/>
          <w:szCs w:val="16"/>
        </w:rPr>
        <w:t>Однако, несмотря на это, русская авиационная техника значительно уступала темпам развития количества и качества авиационной техники двух основных соперников - Франции и Германии. В общем же в первые месяцы войны авиационная техника воюющих держав была еще очень несовершенной и малочисленной для того, чтобы оказывать действительно сильное влияние на ход боевых действий (11999).</w:t>
      </w:r>
    </w:p>
    <w:p w14:paraId="5291428D" w14:textId="77777777" w:rsidR="00C05624" w:rsidRPr="00DE096C" w:rsidRDefault="00C05624" w:rsidP="00D45A46">
      <w:pPr>
        <w:jc w:val="both"/>
        <w:rPr>
          <w:bCs/>
          <w:i/>
          <w:color w:val="002060"/>
          <w:sz w:val="16"/>
          <w:szCs w:val="16"/>
        </w:rPr>
      </w:pPr>
    </w:p>
    <w:p w14:paraId="34251EC5" w14:textId="3325D4C5" w:rsidR="00B67D7C" w:rsidRPr="00DE096C" w:rsidRDefault="005C44E7"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декабре 1914 г. </w:t>
      </w:r>
      <w:r w:rsidRPr="00DE096C">
        <w:rPr>
          <w:bCs/>
          <w:color w:val="002060"/>
          <w:sz w:val="16"/>
          <w:szCs w:val="16"/>
        </w:rPr>
        <w:t xml:space="preserve">на южном фронте число самолетов упало с 99 в начале войны до 6 </w:t>
      </w:r>
      <w:r w:rsidR="00B67D7C" w:rsidRPr="00DE096C">
        <w:rPr>
          <w:bCs/>
          <w:color w:val="002060"/>
          <w:sz w:val="16"/>
          <w:szCs w:val="16"/>
        </w:rPr>
        <w:t>(11999).</w:t>
      </w:r>
    </w:p>
    <w:p w14:paraId="0F1A4423" w14:textId="77777777" w:rsidR="00B67D7C" w:rsidRPr="00DE096C" w:rsidRDefault="00B67D7C" w:rsidP="00D45A46">
      <w:pPr>
        <w:jc w:val="both"/>
        <w:rPr>
          <w:bCs/>
          <w:color w:val="002060"/>
          <w:sz w:val="16"/>
          <w:szCs w:val="16"/>
        </w:rPr>
      </w:pPr>
    </w:p>
    <w:p w14:paraId="7DB49AA6" w14:textId="77777777" w:rsidR="00B67D7C" w:rsidRPr="00DE096C" w:rsidRDefault="00B67D7C" w:rsidP="00D45A46">
      <w:pPr>
        <w:jc w:val="both"/>
        <w:rPr>
          <w:bCs/>
          <w:color w:val="002060"/>
          <w:sz w:val="16"/>
          <w:szCs w:val="16"/>
        </w:rPr>
      </w:pPr>
      <w:r w:rsidRPr="00DE096C">
        <w:rPr>
          <w:bCs/>
          <w:color w:val="002060"/>
          <w:sz w:val="16"/>
          <w:szCs w:val="16"/>
        </w:rPr>
        <w:t>В декабре 1914 г. поступившие в армию тяжелые самолеты «Илья Муромец» были сведены в «Эскадру воздушных кораблей», которая сначала дислоцировалась на аэродроме Яблонна под Варшавой, а позже на аэродромном узле Пскова. С первых же дней своей боевой деятельности «Эскадра воздушных кораблей» играла роль не только боевого соединения, но и научно-испытатель</w:t>
      </w:r>
      <w:r w:rsidRPr="00DE096C">
        <w:rPr>
          <w:bCs/>
          <w:color w:val="002060"/>
          <w:sz w:val="16"/>
          <w:szCs w:val="16"/>
        </w:rPr>
        <w:softHyphen/>
        <w:t>ной организации. Такая роль определялась, во-первых, необходи</w:t>
      </w:r>
      <w:r w:rsidRPr="00DE096C">
        <w:rPr>
          <w:bCs/>
          <w:color w:val="002060"/>
          <w:sz w:val="16"/>
          <w:szCs w:val="16"/>
        </w:rPr>
        <w:softHyphen/>
        <w:t>мостью дальнейшего усовершенствования самолетов «Илья Муро</w:t>
      </w:r>
      <w:r w:rsidRPr="00DE096C">
        <w:rPr>
          <w:bCs/>
          <w:color w:val="002060"/>
          <w:sz w:val="16"/>
          <w:szCs w:val="16"/>
        </w:rPr>
        <w:softHyphen/>
        <w:t>мец» на основе опыта их боевого применения и, во-вторых, необхо</w:t>
      </w:r>
      <w:r w:rsidRPr="00DE096C">
        <w:rPr>
          <w:bCs/>
          <w:color w:val="002060"/>
          <w:sz w:val="16"/>
          <w:szCs w:val="16"/>
        </w:rPr>
        <w:softHyphen/>
        <w:t>димостью многочисленных доводок и доделок уже сданных военному ведомству самолетов. Инициатива летного и технического состава «Эскадры воздушных кораблей», их боевой опыт и тесная связь с заводом сделали такую организацию в высшей степени жизнеспособной и деятельной (318).</w:t>
      </w:r>
    </w:p>
    <w:p w14:paraId="149DCB64" w14:textId="77777777" w:rsidR="00B67D7C" w:rsidRPr="00DE096C" w:rsidRDefault="00B67D7C" w:rsidP="00D45A46">
      <w:pPr>
        <w:jc w:val="both"/>
        <w:rPr>
          <w:bCs/>
          <w:color w:val="002060"/>
          <w:sz w:val="16"/>
          <w:szCs w:val="16"/>
        </w:rPr>
      </w:pPr>
    </w:p>
    <w:p w14:paraId="04908330" w14:textId="77777777" w:rsidR="00B67D7C" w:rsidRPr="00DE096C" w:rsidRDefault="00B67D7C" w:rsidP="00D45A46">
      <w:pPr>
        <w:jc w:val="both"/>
        <w:rPr>
          <w:bCs/>
          <w:color w:val="002060"/>
          <w:sz w:val="16"/>
          <w:szCs w:val="16"/>
        </w:rPr>
      </w:pPr>
      <w:r w:rsidRPr="00DE096C">
        <w:rPr>
          <w:bCs/>
          <w:color w:val="002060"/>
          <w:sz w:val="16"/>
          <w:szCs w:val="16"/>
        </w:rPr>
        <w:t xml:space="preserve">В декабре 19I4 года из Петрограда прибыли первые отряды воздушных кораблей: III, V, VI и VII. В конце января 19I5 года приехал и отряд Панкратьева (II корабль). После сборки начались тренировочные полёты на VI корабле (№ I49, тип В. с двумя "Сальмсонами") Фирсова, в которых участвовал сам Сикорский. 13 февраля из-за неправильного маневра при полёте VI потерял скорость и с высоты 30 метров упал и разбился. Надо отметить, что на этом самолёте не устанавливались дополнительные рули направления. Возможно, что Сикорский хотел проверить достаточность использования только основного руля, установленного по оси симметрии фюзеляжа. Больше всех в аварии пострадал штабс-капитан Б.Н. Фир- сов, который получил сотрясение мозга, значительные ушибы и был госпитализирован. Позднее Фирсов подал рапорт о переводе из Эскадры. "Муромец" пришёл в полную негодность. В марте с уже выработавшего свой ресурс старого I корабля (№ 135) были сняты дефицитные моторы "Аргус" и переданы штабс-капитану Бродовичудля нового корабля типа В (№ 151), получившему наименование "Илья Муромец III". На бывший аппарат Бродовича типа Б (№ 137) был назначен новый командир - поручик С.Н. Головин, а самолёт был переименован в VI корабль. </w:t>
      </w:r>
    </w:p>
    <w:p w14:paraId="37058355" w14:textId="77777777" w:rsidR="00B67D7C" w:rsidRPr="00DE096C" w:rsidRDefault="00B67D7C" w:rsidP="00D45A46">
      <w:pPr>
        <w:jc w:val="both"/>
        <w:rPr>
          <w:bCs/>
          <w:color w:val="002060"/>
          <w:sz w:val="16"/>
          <w:szCs w:val="16"/>
        </w:rPr>
      </w:pPr>
      <w:r w:rsidRPr="00DE096C">
        <w:rPr>
          <w:bCs/>
          <w:color w:val="002060"/>
          <w:sz w:val="16"/>
          <w:szCs w:val="16"/>
        </w:rPr>
        <w:t>Активная подготовительная работа не могла отвлечь от выполнения основной задачи - полётов в тыл противника. Капитан тип В с N° 150 Г.Г. Горшков и его помощник поручик И.С.</w:t>
      </w:r>
    </w:p>
    <w:p w14:paraId="698C24E0" w14:textId="77777777" w:rsidR="00B67D7C" w:rsidRPr="00DE096C" w:rsidRDefault="00B67D7C" w:rsidP="00D45A46">
      <w:pPr>
        <w:jc w:val="both"/>
        <w:rPr>
          <w:bCs/>
          <w:color w:val="002060"/>
          <w:sz w:val="16"/>
          <w:szCs w:val="16"/>
        </w:rPr>
      </w:pPr>
      <w:r w:rsidRPr="00DE096C">
        <w:rPr>
          <w:bCs/>
          <w:color w:val="002060"/>
          <w:sz w:val="16"/>
          <w:szCs w:val="16"/>
        </w:rPr>
        <w:t>Башко времени не теряли и вскоре корабль VII "Киевский" (№ 150) типа В с моторами "Аргус" был готов к их выполнению (12041).</w:t>
      </w:r>
    </w:p>
    <w:p w14:paraId="406F8CC7" w14:textId="77777777" w:rsidR="00B67D7C" w:rsidRPr="00DE096C" w:rsidRDefault="00B67D7C" w:rsidP="00D45A46">
      <w:pPr>
        <w:jc w:val="both"/>
        <w:rPr>
          <w:bCs/>
          <w:color w:val="002060"/>
          <w:sz w:val="16"/>
          <w:szCs w:val="16"/>
        </w:rPr>
      </w:pPr>
    </w:p>
    <w:p w14:paraId="12787B3F" w14:textId="400DCEE8" w:rsidR="00B67D7C" w:rsidRPr="00DE096C" w:rsidRDefault="005C44E7"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декабре 1914 г </w:t>
      </w:r>
      <w:r w:rsidRPr="00DE096C">
        <w:rPr>
          <w:bCs/>
          <w:color w:val="002060"/>
          <w:sz w:val="16"/>
          <w:szCs w:val="16"/>
        </w:rPr>
        <w:t xml:space="preserve">в эскадру, которой по штату полагалось 10 боевых и 2 учебных корабля, а аэродром находился у деревни Старая Яблонна (под Варшавой), </w:t>
      </w:r>
      <w:r w:rsidR="00B67D7C" w:rsidRPr="00DE096C">
        <w:rPr>
          <w:bCs/>
          <w:color w:val="002060"/>
          <w:sz w:val="16"/>
          <w:szCs w:val="16"/>
        </w:rPr>
        <w:t xml:space="preserve">прибыли Ш-й, V-й, VI-й и VI 1-й корабли. Два последних "Муромца" были нового типа В ("облегченного"), с острым носом (первый учебный с 2 "Сальмсонами", второй боевой). Еше в сентябре 1914 г. при формировании трех дополнительных отрядов (V-ro поручика Г.В.Алехновича, VI-го штабс-капитана Б.Н.Фирсова и VII-го штабс-капитана Г.Г.Горшкова). Для отряда "Киевский" (Vll-ro по порядку) предназначался "Киевский" №128, находившийся в Гатчинской школе. Но школа просила оставить корабль для подготовки летчиков. Тогда Горшкову выделили новый аэроплан за №150 типа В, который получил название "Киевский" по имени отряда. Бесценные моторы "Аргус" были сняты с гатчинца и поставлены на новый корабль, который в декабре убыл по ж/д на фронт вместе с УЭВК (12038). </w:t>
      </w:r>
    </w:p>
    <w:p w14:paraId="331CE845" w14:textId="77777777" w:rsidR="00B67D7C" w:rsidRPr="00DE096C" w:rsidRDefault="00B67D7C" w:rsidP="00D45A46">
      <w:pPr>
        <w:jc w:val="both"/>
        <w:rPr>
          <w:bCs/>
          <w:color w:val="002060"/>
          <w:sz w:val="16"/>
          <w:szCs w:val="16"/>
        </w:rPr>
      </w:pPr>
    </w:p>
    <w:p w14:paraId="7707645F" w14:textId="77777777" w:rsidR="00B67D7C" w:rsidRPr="00DE096C" w:rsidRDefault="00B67D7C" w:rsidP="00D45A46">
      <w:pPr>
        <w:jc w:val="both"/>
        <w:rPr>
          <w:bCs/>
          <w:color w:val="002060"/>
          <w:sz w:val="16"/>
          <w:szCs w:val="16"/>
        </w:rPr>
      </w:pPr>
      <w:r w:rsidRPr="00DE096C">
        <w:rPr>
          <w:bCs/>
          <w:color w:val="002060"/>
          <w:sz w:val="16"/>
          <w:szCs w:val="16"/>
        </w:rPr>
        <w:t>В декабре 1914 года была создана Эскадра воздушных кораблей, которую возглавил генерал-майор М.В.Шидловский. Боевая деятельность Эскадры началась с февраля 1915 года. В ноябре 1915 года ее перевели на новый штат, который включал школу подготовки летчиков, метеостанцию, фотокабинет, мастерские, гараж, зенитную батарею и три боевых отряда с 20 экапажами. Всего в Эскадре числилось 20 аоздушных кораблей "Илья Муромец" и 24 одномоторных самолета, предназначенных для обеспечения ПВО, эскортирования тяжелых саморолетов и обучения личного состава. По состоянию на 1 ноября 1917 года в Эскадре имелось, в общей сложности, 38 летательных аппаратов. Кроме Россиии, ни одна из воюющих сторон до 1917 года подобными авиационными соединениями не располагала (11184).</w:t>
      </w:r>
    </w:p>
    <w:p w14:paraId="71A29163" w14:textId="77777777" w:rsidR="00B67D7C" w:rsidRPr="00DE096C" w:rsidRDefault="00B67D7C" w:rsidP="00D45A46">
      <w:pPr>
        <w:jc w:val="both"/>
        <w:rPr>
          <w:bCs/>
          <w:color w:val="002060"/>
          <w:sz w:val="16"/>
          <w:szCs w:val="16"/>
        </w:rPr>
      </w:pPr>
    </w:p>
    <w:p w14:paraId="04B06CFE" w14:textId="77777777" w:rsidR="00B67D7C" w:rsidRPr="00DE096C" w:rsidRDefault="00B67D7C" w:rsidP="00D45A46">
      <w:pPr>
        <w:jc w:val="both"/>
        <w:rPr>
          <w:bCs/>
          <w:color w:val="002060"/>
          <w:sz w:val="16"/>
          <w:szCs w:val="16"/>
        </w:rPr>
      </w:pPr>
      <w:r w:rsidRPr="00DE096C">
        <w:rPr>
          <w:bCs/>
          <w:color w:val="002060"/>
          <w:sz w:val="16"/>
          <w:szCs w:val="16"/>
        </w:rPr>
        <w:t>В декабре 1914 г. приказом Государя Императора Николая 2 была создана Эскадра воздушных кораблей (ЭВК) - первое в мире соединение стратегической авиации. На станции Яблона к северу от Варшавы были сосредоточены все построенные «муромцы» . Во главе Эскадры стал председатель Правления АО РБВЗ М. В. Шидловский. Вместе с ним в Я6лону отправился и И. И. Сикорский. С целью создания эффективного боевого соединения, обеспечения действий воздушных кораблей и подготовки летного состава они начали собирать в Эскадру со всех фронтов легкие самолеты производства АО РБВЗ, а также летчиков, способных на них летать. В марте 1915 г. из морского флота был затребован Г. И. Лавров. Почти одновременно с этим М, В. Шидловский отдал распоряжение Воздухоплавательному отделению АО РБВЗ отправить в Яблону и два других опытных С-16. Самолеты с заводскими номерами 155 и 156 были отгружены в Эскадру соответственно 6 и 19 марта вместе с самолетами «Илья Муромец» , С-10 и С-12. Прибыли они в Эскадру, как и Nо. 154, без моторов. От первого С-16 Nо. 154 аппараты Nо. 155 и 156 отличались конструкцией крыльев. Если у Nо. 154 они имели небольшую стреловидность, то на двух других аппаратах крылья были прямыми с большим поперечным Ч. Размах крыльев у всех самолетов был примерно одинаков. 1(роме того, капоты их двигателей имели характерные скулы-зализы. «Моторный голод» был неизлечимой болезнью, преследовавшей И, И. Сикорского в его деятельности в течение всей первой мировой войны. Причем если для тяжелых воздушных кораблей проблема с двигателями к концу 1916 г. была в общем решена, то для малых аппаратов Сикорского отсутствие необходимых моторов оказалось неразрешимой проблемой (11188).</w:t>
      </w:r>
    </w:p>
    <w:p w14:paraId="7F5200A5" w14:textId="77777777" w:rsidR="00B67D7C" w:rsidRPr="00DE096C" w:rsidRDefault="00B67D7C" w:rsidP="00D45A46">
      <w:pPr>
        <w:jc w:val="both"/>
        <w:rPr>
          <w:bCs/>
          <w:color w:val="002060"/>
          <w:sz w:val="16"/>
          <w:szCs w:val="16"/>
        </w:rPr>
      </w:pPr>
    </w:p>
    <w:p w14:paraId="07EFB8E0" w14:textId="411AC124" w:rsidR="00B67D7C" w:rsidRPr="00DE096C" w:rsidRDefault="005C44E7" w:rsidP="00D45A46">
      <w:pPr>
        <w:pStyle w:val="a3"/>
        <w:jc w:val="both"/>
        <w:rPr>
          <w:bCs/>
          <w:i w:val="0"/>
          <w:color w:val="002060"/>
          <w:spacing w:val="0"/>
          <w:kern w:val="0"/>
          <w:position w:val="0"/>
          <w:sz w:val="16"/>
          <w:szCs w:val="16"/>
        </w:rPr>
      </w:pPr>
      <w:r w:rsidRPr="00DE096C">
        <w:rPr>
          <w:bCs/>
          <w:i w:val="0"/>
          <w:iCs/>
          <w:color w:val="002060"/>
          <w:sz w:val="16"/>
          <w:szCs w:val="16"/>
        </w:rPr>
        <w:t>В декабре 1914 г в эскадру, которой по штату полагалось 10 боевых и 2 учебных корабля, а аэродром находился у деревни Старая Яблонна (под Варшавой),</w:t>
      </w:r>
      <w:r w:rsidR="0006581C">
        <w:rPr>
          <w:bCs/>
          <w:color w:val="002060"/>
          <w:sz w:val="16"/>
          <w:szCs w:val="16"/>
        </w:rPr>
        <w:t xml:space="preserve"> </w:t>
      </w:r>
      <w:r w:rsidR="00B67D7C" w:rsidRPr="00DE096C">
        <w:rPr>
          <w:bCs/>
          <w:i w:val="0"/>
          <w:color w:val="002060"/>
          <w:spacing w:val="0"/>
          <w:kern w:val="0"/>
          <w:position w:val="0"/>
          <w:sz w:val="16"/>
          <w:szCs w:val="16"/>
        </w:rPr>
        <w:t>прибыли 111-й, V-й, VI-й и VII-й корабли. Два последних "Муромца" были нового типа В ("облегченного"), с острым носом (первый учебный с 2 "Сальмсонами", второй боевой). Еще в сентябре 1914 г. при формировании трех до­полнительных отрядов (V-го поручика Г.В.Алехновича, VI-го штабс-капитана Б.Н.Фирсова и VII-го штабс-капитана Г.Г.Горшкова). Для отряда "Киевский" ( VII-го по порядку) предназ­начался "Киевский" №128, находившийся в Гатчинской школе. Но школа просила оставить корабль для подготовки летчиков. Тогда Горшкову выделили новый аэроплан за №150 типа И, который получил название "Киевский" по имени отряда. Бесценные моторы "Аргус" были сняты с гатчинца и поставлены на новый корабль, который в декабре убыл по ж/д на фронт вместе с УЭВК (11277).</w:t>
      </w:r>
    </w:p>
    <w:p w14:paraId="12941177" w14:textId="6F99A057" w:rsidR="00B67D7C" w:rsidRPr="00DE096C" w:rsidRDefault="00B67D7C" w:rsidP="00D45A46">
      <w:pPr>
        <w:pStyle w:val="a3"/>
        <w:jc w:val="both"/>
        <w:rPr>
          <w:bCs/>
          <w:i w:val="0"/>
          <w:color w:val="002060"/>
          <w:spacing w:val="0"/>
          <w:kern w:val="0"/>
          <w:position w:val="0"/>
          <w:sz w:val="16"/>
          <w:szCs w:val="16"/>
        </w:rPr>
      </w:pPr>
    </w:p>
    <w:p w14:paraId="4C311D6A" w14:textId="77777777" w:rsidR="00000AB4" w:rsidRPr="00DE096C" w:rsidRDefault="00000AB4" w:rsidP="00D45A46">
      <w:pPr>
        <w:jc w:val="both"/>
        <w:rPr>
          <w:bCs/>
          <w:color w:val="002060"/>
          <w:sz w:val="16"/>
          <w:szCs w:val="16"/>
        </w:rPr>
      </w:pPr>
      <w:r w:rsidRPr="00DE096C">
        <w:rPr>
          <w:bCs/>
          <w:color w:val="002060"/>
          <w:sz w:val="16"/>
          <w:szCs w:val="16"/>
        </w:rPr>
        <w:t>В декабре 1914 г. командующий полностью укомплектовал боевое соединение личным составом, материальной частью, вспомогательным оборудо</w:t>
      </w:r>
      <w:r w:rsidRPr="00DE096C">
        <w:rPr>
          <w:bCs/>
          <w:color w:val="002060"/>
          <w:sz w:val="16"/>
          <w:szCs w:val="16"/>
        </w:rPr>
        <w:softHyphen/>
        <w:t>ванием и в конце месяца уже при</w:t>
      </w:r>
      <w:r w:rsidRPr="00DE096C">
        <w:rPr>
          <w:bCs/>
          <w:color w:val="002060"/>
          <w:sz w:val="16"/>
          <w:szCs w:val="16"/>
        </w:rPr>
        <w:softHyphen/>
        <w:t>был на базу недалеко от городка Яблонна под Варшавой. Место бази</w:t>
      </w:r>
      <w:r w:rsidRPr="00DE096C">
        <w:rPr>
          <w:bCs/>
          <w:color w:val="002060"/>
          <w:sz w:val="16"/>
          <w:szCs w:val="16"/>
        </w:rPr>
        <w:softHyphen/>
        <w:t>рования было выбрано не случай</w:t>
      </w:r>
      <w:r w:rsidRPr="00DE096C">
        <w:rPr>
          <w:bCs/>
          <w:color w:val="002060"/>
          <w:sz w:val="16"/>
          <w:szCs w:val="16"/>
        </w:rPr>
        <w:softHyphen/>
        <w:t>но. Оно было достаточно близко от фронта, защищено с севера Новоге</w:t>
      </w:r>
      <w:r w:rsidRPr="00DE096C">
        <w:rPr>
          <w:bCs/>
          <w:color w:val="002060"/>
          <w:sz w:val="16"/>
          <w:szCs w:val="16"/>
        </w:rPr>
        <w:softHyphen/>
        <w:t>оргиевской крепостью, с запада - позициями на реке Бзуре и с юга - Варшавской оборонительной сис</w:t>
      </w:r>
      <w:r w:rsidRPr="00DE096C">
        <w:rPr>
          <w:bCs/>
          <w:color w:val="002060"/>
          <w:sz w:val="16"/>
          <w:szCs w:val="16"/>
        </w:rPr>
        <w:softHyphen/>
        <w:t>темой.</w:t>
      </w:r>
    </w:p>
    <w:p w14:paraId="134238B0" w14:textId="77777777" w:rsidR="00000AB4" w:rsidRPr="00DE096C" w:rsidRDefault="00000AB4" w:rsidP="00D45A46">
      <w:pPr>
        <w:jc w:val="both"/>
        <w:rPr>
          <w:bCs/>
          <w:color w:val="002060"/>
          <w:sz w:val="16"/>
          <w:szCs w:val="16"/>
        </w:rPr>
      </w:pPr>
      <w:r w:rsidRPr="00DE096C">
        <w:rPr>
          <w:bCs/>
          <w:color w:val="002060"/>
          <w:sz w:val="16"/>
          <w:szCs w:val="16"/>
        </w:rPr>
        <w:t>Вместе с Шидловским в качест</w:t>
      </w:r>
      <w:r w:rsidRPr="00DE096C">
        <w:rPr>
          <w:bCs/>
          <w:color w:val="002060"/>
          <w:sz w:val="16"/>
          <w:szCs w:val="16"/>
        </w:rPr>
        <w:softHyphen/>
        <w:t>ве технического советника штаба Эскадры из Петрограда отбыл и Си</w:t>
      </w:r>
      <w:r w:rsidRPr="00DE096C">
        <w:rPr>
          <w:bCs/>
          <w:color w:val="002060"/>
          <w:sz w:val="16"/>
          <w:szCs w:val="16"/>
        </w:rPr>
        <w:softHyphen/>
        <w:t>корский. Помощником командую</w:t>
      </w:r>
      <w:r w:rsidRPr="00DE096C">
        <w:rPr>
          <w:bCs/>
          <w:color w:val="002060"/>
          <w:sz w:val="16"/>
          <w:szCs w:val="16"/>
        </w:rPr>
        <w:softHyphen/>
        <w:t>щего Эскадрой стал профессор Ин</w:t>
      </w:r>
      <w:r w:rsidRPr="00DE096C">
        <w:rPr>
          <w:bCs/>
          <w:color w:val="002060"/>
          <w:sz w:val="16"/>
          <w:szCs w:val="16"/>
        </w:rPr>
        <w:softHyphen/>
        <w:t>женерной академии, крупнейший военный специалист по конструк</w:t>
      </w:r>
      <w:r w:rsidRPr="00DE096C">
        <w:rPr>
          <w:bCs/>
          <w:color w:val="002060"/>
          <w:sz w:val="16"/>
          <w:szCs w:val="16"/>
        </w:rPr>
        <w:softHyphen/>
        <w:t>ции летательных аппаратов пол</w:t>
      </w:r>
      <w:r w:rsidRPr="00DE096C">
        <w:rPr>
          <w:bCs/>
          <w:color w:val="002060"/>
          <w:sz w:val="16"/>
          <w:szCs w:val="16"/>
        </w:rPr>
        <w:softHyphen/>
        <w:t>ковник В.Ф. Найдёнов. Старшим ме</w:t>
      </w:r>
      <w:r w:rsidRPr="00DE096C">
        <w:rPr>
          <w:bCs/>
          <w:color w:val="002060"/>
          <w:sz w:val="16"/>
          <w:szCs w:val="16"/>
        </w:rPr>
        <w:softHyphen/>
        <w:t>хаником Эскадры Воздушных Ко</w:t>
      </w:r>
      <w:r w:rsidRPr="00DE096C">
        <w:rPr>
          <w:bCs/>
          <w:color w:val="002060"/>
          <w:sz w:val="16"/>
          <w:szCs w:val="16"/>
        </w:rPr>
        <w:softHyphen/>
        <w:t>раблей был назначен лейтенант флота М.Н. Никольской. Эскадрен</w:t>
      </w:r>
      <w:r w:rsidRPr="00DE096C">
        <w:rPr>
          <w:bCs/>
          <w:color w:val="002060"/>
          <w:sz w:val="16"/>
          <w:szCs w:val="16"/>
        </w:rPr>
        <w:softHyphen/>
        <w:t xml:space="preserve">ным врачом стал один из пионеров отечественной рентгеноскопии КН. Финне. </w:t>
      </w:r>
      <w:r w:rsidRPr="00DE096C">
        <w:rPr>
          <w:bCs/>
          <w:color w:val="002060"/>
          <w:sz w:val="16"/>
          <w:szCs w:val="16"/>
        </w:rPr>
        <w:lastRenderedPageBreak/>
        <w:t>Следуя старому флот</w:t>
      </w:r>
      <w:r w:rsidRPr="00DE096C">
        <w:rPr>
          <w:bCs/>
          <w:color w:val="002060"/>
          <w:sz w:val="16"/>
          <w:szCs w:val="16"/>
        </w:rPr>
        <w:softHyphen/>
        <w:t>скому правилу, Шидловский тща</w:t>
      </w:r>
      <w:r w:rsidRPr="00DE096C">
        <w:rPr>
          <w:bCs/>
          <w:color w:val="002060"/>
          <w:sz w:val="16"/>
          <w:szCs w:val="16"/>
        </w:rPr>
        <w:softHyphen/>
        <w:t>тельно подбирал людей. В Эскадру стекались лучшие специалисты. Так, например, артиллерийскими офи</w:t>
      </w:r>
      <w:r w:rsidRPr="00DE096C">
        <w:rPr>
          <w:bCs/>
          <w:color w:val="002060"/>
          <w:sz w:val="16"/>
          <w:szCs w:val="16"/>
        </w:rPr>
        <w:softHyphen/>
        <w:t>церами на «Муромцах» были А.Н. Журавченко, впоследствии крупнейший советский специалист по динамике полёта; В.А. Иванов - известный американский инженер- изобретатель; ЕА Вечерин - буду</w:t>
      </w:r>
      <w:r w:rsidRPr="00DE096C">
        <w:rPr>
          <w:bCs/>
          <w:color w:val="002060"/>
          <w:sz w:val="16"/>
          <w:szCs w:val="16"/>
        </w:rPr>
        <w:softHyphen/>
        <w:t>щий академик Франции. Начальник мастерских Эскадры Л.В. Базилевич впоследствии стал в США крупней</w:t>
      </w:r>
      <w:r w:rsidRPr="00DE096C">
        <w:rPr>
          <w:bCs/>
          <w:color w:val="002060"/>
          <w:sz w:val="16"/>
          <w:szCs w:val="16"/>
        </w:rPr>
        <w:softHyphen/>
        <w:t>шим специалистом-энергетиком. Бортмеханиками на «Муромцы» принимали мобилизованных инже</w:t>
      </w:r>
      <w:r w:rsidRPr="00DE096C">
        <w:rPr>
          <w:bCs/>
          <w:color w:val="002060"/>
          <w:sz w:val="16"/>
          <w:szCs w:val="16"/>
        </w:rPr>
        <w:softHyphen/>
        <w:t>неров и студентов по рекоменда</w:t>
      </w:r>
      <w:r w:rsidRPr="00DE096C">
        <w:rPr>
          <w:bCs/>
          <w:color w:val="002060"/>
          <w:sz w:val="16"/>
          <w:szCs w:val="16"/>
        </w:rPr>
        <w:softHyphen/>
        <w:t>ции самого Н.Е. Жуковского. В ре</w:t>
      </w:r>
      <w:r w:rsidRPr="00DE096C">
        <w:rPr>
          <w:bCs/>
          <w:color w:val="002060"/>
          <w:sz w:val="16"/>
          <w:szCs w:val="16"/>
        </w:rPr>
        <w:softHyphen/>
        <w:t>зультате специалистам Эскадры по силам было решать сложнейшие инженерные задачи (23469).</w:t>
      </w:r>
    </w:p>
    <w:p w14:paraId="6E856EDC" w14:textId="77777777" w:rsidR="00000AB4" w:rsidRPr="00DE096C" w:rsidRDefault="00000AB4" w:rsidP="00D45A46">
      <w:pPr>
        <w:jc w:val="both"/>
        <w:rPr>
          <w:bCs/>
          <w:color w:val="002060"/>
          <w:sz w:val="16"/>
          <w:szCs w:val="16"/>
          <w:lang w:bidi="ru-RU"/>
        </w:rPr>
      </w:pPr>
    </w:p>
    <w:p w14:paraId="0E45D3D4" w14:textId="77777777" w:rsidR="009718A3" w:rsidRPr="00B52707" w:rsidRDefault="009718A3" w:rsidP="009718A3">
      <w:pPr>
        <w:widowControl w:val="0"/>
        <w:tabs>
          <w:tab w:val="left" w:pos="642"/>
        </w:tabs>
        <w:jc w:val="both"/>
        <w:rPr>
          <w:color w:val="0070C0"/>
          <w:sz w:val="16"/>
          <w:szCs w:val="16"/>
        </w:rPr>
      </w:pPr>
      <w:r w:rsidRPr="00B52707">
        <w:rPr>
          <w:color w:val="0070C0"/>
          <w:sz w:val="16"/>
          <w:szCs w:val="16"/>
          <w:lang w:val="en-US"/>
        </w:rPr>
        <w:t>C</w:t>
      </w:r>
      <w:r w:rsidRPr="00B52707">
        <w:rPr>
          <w:color w:val="0070C0"/>
          <w:sz w:val="16"/>
          <w:szCs w:val="16"/>
        </w:rPr>
        <w:t xml:space="preserve"> декабря 1914 г. ЭВК располагалась в Старой Яблонне под Варшавой. В Яблонне начали летать ИМ-1, ИМ-2, ИМ-3, ИМ-5, ИМ-6 и «ИМ-Киевский» (6 кораблей) (24965).</w:t>
      </w:r>
    </w:p>
    <w:p w14:paraId="27DC294F" w14:textId="77777777" w:rsidR="009718A3" w:rsidRPr="00B52707" w:rsidRDefault="009718A3" w:rsidP="009718A3">
      <w:pPr>
        <w:jc w:val="both"/>
        <w:rPr>
          <w:color w:val="0070C0"/>
          <w:sz w:val="16"/>
          <w:szCs w:val="16"/>
        </w:rPr>
      </w:pPr>
    </w:p>
    <w:p w14:paraId="44298581" w14:textId="77777777" w:rsidR="009718A3" w:rsidRPr="00B52707" w:rsidRDefault="009718A3" w:rsidP="009718A3">
      <w:pPr>
        <w:jc w:val="both"/>
        <w:rPr>
          <w:color w:val="0070C0"/>
          <w:sz w:val="16"/>
          <w:szCs w:val="16"/>
        </w:rPr>
      </w:pPr>
      <w:r w:rsidRPr="00B52707">
        <w:rPr>
          <w:color w:val="0070C0"/>
          <w:sz w:val="16"/>
          <w:szCs w:val="16"/>
        </w:rPr>
        <w:t>В декабре 1914 г. командующий полностью укомплектовал ЭВК как боевое соединение личным составом, материальной частью, вспомогательным оборудованием и в конце месяца уже прибыл на базу недалеко от городка Яблонна под Варшавой. Вместе с Шидловским в качестве технического советника штаба Эскадры из Петрограда отбыл и Сикорский И.И. Помощником командующего Эскадрой стал профессор Инженерной академии, крупнейший военный специалист по конструкции летательных аппаратов полковник В.Ф. Найденов. Старшим механиком Эскадры воздушных кораблей был назначен лейтенант флота М.Н. Никольской. В Эскадру стекались лучшие специалисты.</w:t>
      </w:r>
    </w:p>
    <w:p w14:paraId="07F37C7C" w14:textId="77777777" w:rsidR="009718A3" w:rsidRPr="00B52707" w:rsidRDefault="009718A3" w:rsidP="009718A3">
      <w:pPr>
        <w:jc w:val="both"/>
        <w:rPr>
          <w:color w:val="0070C0"/>
          <w:sz w:val="16"/>
          <w:szCs w:val="16"/>
        </w:rPr>
      </w:pPr>
      <w:r w:rsidRPr="00B52707">
        <w:rPr>
          <w:color w:val="0070C0"/>
          <w:sz w:val="16"/>
          <w:szCs w:val="16"/>
        </w:rPr>
        <w:t>Так, например, артиллерийскими офицерами на «муромцах» были А.Н. Журавченко, впоследствии крупнейший советский специалист по динамике полета; В.А. Иванов - впоследствии известный американский инженер-изобретатель; Е.А. Вечерин - будущий академик Франции. Начальник мастерских Эскадры Л.В. Базилевич впоследствии стал в США крупнейшим специалистом-энергетиком. Бортмеханиками на «муромцы» принимали мобилизованных инженеров и студентов по рекомендации самого Н.Е. Жуковского. Инженеры и рабочие РБВЗ постоянно находились на базе в командировке. «Муромцы» нужно было не только собрать и отрегулировать после доставки в разобранном виде из Петрограда по железной дороге, их постоянно требовалось модифицировать, оперативно вносить в конструкцию изменения и доработки в соответствии с накапливаемым опытом боевого применения и наземной эксплуатации (24965).</w:t>
      </w:r>
    </w:p>
    <w:p w14:paraId="22FB53A0" w14:textId="77777777" w:rsidR="009718A3" w:rsidRPr="00B52707" w:rsidRDefault="009718A3" w:rsidP="009718A3">
      <w:pPr>
        <w:jc w:val="both"/>
        <w:rPr>
          <w:color w:val="0070C0"/>
          <w:sz w:val="16"/>
          <w:szCs w:val="16"/>
        </w:rPr>
      </w:pPr>
    </w:p>
    <w:p w14:paraId="0362708C" w14:textId="77777777" w:rsidR="009718A3" w:rsidRPr="00DE096C" w:rsidRDefault="009718A3" w:rsidP="009718A3">
      <w:pPr>
        <w:jc w:val="both"/>
        <w:rPr>
          <w:bCs/>
          <w:color w:val="002060"/>
          <w:sz w:val="16"/>
          <w:szCs w:val="16"/>
          <w:lang w:bidi="en-US"/>
        </w:rPr>
      </w:pPr>
      <w:r w:rsidRPr="00DE096C">
        <w:rPr>
          <w:bCs/>
          <w:color w:val="002060"/>
          <w:sz w:val="16"/>
          <w:szCs w:val="16"/>
          <w:lang w:bidi="en-US"/>
        </w:rPr>
        <w:t>В декабре 1914 в Сибири находились 1-й Сибирский КАО в Иркутске, Сибирский (Крепостной) АО в Спасском, 5-й Сибирский КАО в Хабаровске и 4-й Сибирский КАО в Чите. Непонятно, почему эти четыре части ранее не были выделены для фронта (23525).</w:t>
      </w:r>
    </w:p>
    <w:p w14:paraId="72845B43" w14:textId="77777777" w:rsidR="009718A3" w:rsidRPr="00DE096C" w:rsidRDefault="009718A3" w:rsidP="009718A3">
      <w:pPr>
        <w:jc w:val="both"/>
        <w:rPr>
          <w:bCs/>
          <w:color w:val="002060"/>
          <w:sz w:val="16"/>
          <w:szCs w:val="16"/>
          <w:lang w:bidi="en-US"/>
        </w:rPr>
      </w:pPr>
    </w:p>
    <w:p w14:paraId="1EC3EBE8" w14:textId="77777777" w:rsidR="009718A3" w:rsidRPr="00B52707" w:rsidRDefault="009718A3" w:rsidP="009718A3">
      <w:pPr>
        <w:jc w:val="both"/>
        <w:rPr>
          <w:color w:val="0070C0"/>
          <w:sz w:val="16"/>
          <w:szCs w:val="16"/>
        </w:rPr>
      </w:pPr>
      <w:r w:rsidRPr="00B52707">
        <w:rPr>
          <w:color w:val="0070C0"/>
          <w:sz w:val="16"/>
          <w:szCs w:val="16"/>
        </w:rPr>
        <w:t xml:space="preserve">В декабре 1914 г. приказом главнокомандующего 6-й армией, прикрывающей российскую столицу, генерала от артиллерии К.П. Фан-дер-Флита была введена специальная инструкция, согласно которой впервые была организована воздушная оборона Петрограда и его окрестностей. Начальником воздушной обороны был назначен генерал-майор Г.В. Бурман, в прошлом инженер, сам разрабатывающий технические новинки для армии. </w:t>
      </w:r>
    </w:p>
    <w:p w14:paraId="5D3DE165" w14:textId="77777777" w:rsidR="009718A3" w:rsidRPr="00B52707" w:rsidRDefault="009718A3" w:rsidP="009718A3">
      <w:pPr>
        <w:jc w:val="both"/>
        <w:rPr>
          <w:color w:val="0070C0"/>
          <w:sz w:val="16"/>
          <w:szCs w:val="16"/>
        </w:rPr>
      </w:pPr>
      <w:r w:rsidRPr="00B52707">
        <w:rPr>
          <w:color w:val="0070C0"/>
          <w:sz w:val="16"/>
          <w:szCs w:val="16"/>
        </w:rPr>
        <w:t>Оказание помощи войскам в организации мер защиты от воздушного нападения осуществляло военное руководство Кронштадтской и Выборгской крепостей, а также гражданская администрация и полиция Петроградской губернии.</w:t>
      </w:r>
    </w:p>
    <w:p w14:paraId="29FCCFC9" w14:textId="77777777" w:rsidR="009718A3" w:rsidRPr="00B52707" w:rsidRDefault="009718A3" w:rsidP="009718A3">
      <w:pPr>
        <w:jc w:val="both"/>
        <w:rPr>
          <w:color w:val="0070C0"/>
          <w:sz w:val="16"/>
          <w:szCs w:val="16"/>
        </w:rPr>
      </w:pPr>
      <w:r w:rsidRPr="00B52707">
        <w:rPr>
          <w:color w:val="0070C0"/>
          <w:sz w:val="16"/>
          <w:szCs w:val="16"/>
        </w:rPr>
        <w:t>Организация воздушного наблюдения на дальних подступах к Петрограду (до 200–300 км) находилась в ведении Министерства внутренних дел, которое имело сеть своих постов преимущественно на железнодорожных станциях, оборудованных телеграфными и телефонными средствами связи (25152).</w:t>
      </w:r>
    </w:p>
    <w:p w14:paraId="62BC21AB" w14:textId="77777777" w:rsidR="009718A3" w:rsidRPr="00B52707" w:rsidRDefault="009718A3" w:rsidP="009718A3">
      <w:pPr>
        <w:jc w:val="both"/>
        <w:rPr>
          <w:color w:val="0070C0"/>
          <w:sz w:val="16"/>
          <w:szCs w:val="16"/>
        </w:rPr>
      </w:pPr>
    </w:p>
    <w:p w14:paraId="66647A2E" w14:textId="77777777" w:rsidR="009718A3" w:rsidRPr="00B52707" w:rsidRDefault="009718A3" w:rsidP="009718A3">
      <w:pPr>
        <w:jc w:val="both"/>
        <w:rPr>
          <w:color w:val="0070C0"/>
          <w:sz w:val="16"/>
          <w:szCs w:val="16"/>
        </w:rPr>
      </w:pPr>
      <w:r w:rsidRPr="00B52707">
        <w:rPr>
          <w:rStyle w:val="ab"/>
          <w:rFonts w:ascii="Times New Roman" w:hAnsi="Times New Roman"/>
          <w:color w:val="0070C0"/>
          <w:spacing w:val="0"/>
          <w:sz w:val="16"/>
          <w:szCs w:val="16"/>
        </w:rPr>
        <w:t>С декабря 1914 г. до июня 1915 г. поручик С.К. Модрах периодически нёс службу по воздушной обороне Петрограда. В период с 8 по 28 декабря 1914 г. к ней привлекался ротмистр А.А. Казаков, в последующем ас Первой мировой войны, сбивший лично 17 немецких самолетов и 15 в группе, совершивший 18 марта 1915 г. воздушный таран самолета противника (25629).</w:t>
      </w:r>
    </w:p>
    <w:p w14:paraId="37B0277B" w14:textId="77777777" w:rsidR="009718A3" w:rsidRPr="00B52707" w:rsidRDefault="009718A3" w:rsidP="009718A3">
      <w:pPr>
        <w:jc w:val="both"/>
        <w:rPr>
          <w:color w:val="0070C0"/>
          <w:sz w:val="16"/>
          <w:szCs w:val="16"/>
        </w:rPr>
      </w:pPr>
    </w:p>
    <w:p w14:paraId="7BE75B51" w14:textId="77777777" w:rsidR="009718A3" w:rsidRPr="00B52707" w:rsidRDefault="009718A3" w:rsidP="009718A3">
      <w:pPr>
        <w:jc w:val="both"/>
        <w:rPr>
          <w:color w:val="0070C0"/>
          <w:sz w:val="16"/>
          <w:szCs w:val="16"/>
        </w:rPr>
      </w:pPr>
      <w:r w:rsidRPr="00B52707">
        <w:rPr>
          <w:color w:val="0070C0"/>
          <w:sz w:val="16"/>
          <w:szCs w:val="16"/>
        </w:rPr>
        <w:t>За декабрь 1914 г. двадцать французских авиазаводов построили 3000 аэропланов и 9000 моторов к ним по сравнению с менее, чем 300 самолетами в июле (25758).</w:t>
      </w:r>
    </w:p>
    <w:p w14:paraId="75A7371F" w14:textId="77777777" w:rsidR="009718A3" w:rsidRPr="00B52707" w:rsidRDefault="009718A3" w:rsidP="009718A3">
      <w:pPr>
        <w:jc w:val="both"/>
        <w:rPr>
          <w:color w:val="0070C0"/>
          <w:sz w:val="16"/>
          <w:szCs w:val="16"/>
        </w:rPr>
      </w:pPr>
    </w:p>
    <w:p w14:paraId="38AB52B5" w14:textId="77777777" w:rsidR="00331FFE" w:rsidRPr="00DE096C" w:rsidRDefault="00331FFE" w:rsidP="00D45A46">
      <w:pPr>
        <w:shd w:val="clear" w:color="auto" w:fill="FFFFFF"/>
        <w:jc w:val="both"/>
        <w:rPr>
          <w:bCs/>
          <w:i/>
          <w:color w:val="002060"/>
          <w:sz w:val="16"/>
          <w:szCs w:val="16"/>
        </w:rPr>
      </w:pPr>
      <w:r w:rsidRPr="00DE096C">
        <w:rPr>
          <w:bCs/>
          <w:i/>
          <w:color w:val="002060"/>
          <w:sz w:val="16"/>
          <w:szCs w:val="16"/>
        </w:rPr>
        <w:t>Морская авиация:</w:t>
      </w:r>
    </w:p>
    <w:p w14:paraId="1F90B43C" w14:textId="77777777" w:rsidR="00331FFE" w:rsidRPr="00DE096C" w:rsidRDefault="00331FFE" w:rsidP="00D45A46">
      <w:pPr>
        <w:shd w:val="clear" w:color="auto" w:fill="FFFFFF"/>
        <w:jc w:val="both"/>
        <w:rPr>
          <w:bCs/>
          <w:i/>
          <w:color w:val="002060"/>
          <w:sz w:val="16"/>
          <w:szCs w:val="16"/>
        </w:rPr>
      </w:pPr>
    </w:p>
    <w:p w14:paraId="0D5F2A68" w14:textId="77777777" w:rsidR="00331FFE" w:rsidRPr="00DE096C" w:rsidRDefault="00331FFE" w:rsidP="00D45A46">
      <w:pPr>
        <w:shd w:val="clear" w:color="auto" w:fill="FFFFFF"/>
        <w:jc w:val="both"/>
        <w:rPr>
          <w:bCs/>
          <w:color w:val="002060"/>
          <w:sz w:val="16"/>
          <w:szCs w:val="16"/>
        </w:rPr>
      </w:pPr>
      <w:r w:rsidRPr="00DE096C">
        <w:rPr>
          <w:bCs/>
          <w:color w:val="002060"/>
          <w:sz w:val="16"/>
          <w:szCs w:val="16"/>
        </w:rPr>
        <w:t>В период с декабря 1914 по январь 1915 гг. командование Черноморским флотом также прилагало некоторые усилия, направленные на получение двух сухопутных гигантов, нуж</w:t>
      </w:r>
      <w:r w:rsidRPr="00DE096C">
        <w:rPr>
          <w:bCs/>
          <w:color w:val="002060"/>
          <w:sz w:val="16"/>
          <w:szCs w:val="16"/>
        </w:rPr>
        <w:softHyphen/>
        <w:t>ных для полетов в районе Батума. Р-БВЗ, не имея моторов для установки на аппараты, не мог, однако, принять ни одного флотского заказа, тогда как Морское ведомство равным образом было не в состоянии снабдить фирму двигателями необходимого типа и мощности. В результате проект был почти забыт, а морские авиаторы устремили надежды на заказан</w:t>
      </w:r>
      <w:r w:rsidRPr="00DE096C">
        <w:rPr>
          <w:bCs/>
          <w:color w:val="002060"/>
          <w:sz w:val="16"/>
          <w:szCs w:val="16"/>
        </w:rPr>
        <w:softHyphen/>
        <w:t>ные в Америке двухмоторные летающие лодки Кертисса модель "Эйч-Фо", да на лсбедев-ские "Морскис-Псрвыс". На Балтике очередная просьба, касавшаяся на этот раз двух ап</w:t>
      </w:r>
      <w:r w:rsidRPr="00DE096C">
        <w:rPr>
          <w:bCs/>
          <w:color w:val="002060"/>
          <w:sz w:val="16"/>
          <w:szCs w:val="16"/>
        </w:rPr>
        <w:softHyphen/>
        <w:t>паратов "Илья Муромец" "последнего образца", появилась летом 1915 г. и, в частности, 28 июня в рапорте командующего вице-адмирала В.А. Канина на имя Главнокомандующего 6-й армией и Балтийским флотом говорилось:</w:t>
      </w:r>
    </w:p>
    <w:p w14:paraId="16EA8BA2" w14:textId="77777777" w:rsidR="00331FFE" w:rsidRPr="00DE096C" w:rsidRDefault="00331FFE" w:rsidP="00D45A46">
      <w:pPr>
        <w:jc w:val="both"/>
        <w:rPr>
          <w:bCs/>
          <w:color w:val="002060"/>
          <w:sz w:val="16"/>
          <w:szCs w:val="16"/>
        </w:rPr>
      </w:pPr>
      <w:r w:rsidRPr="00DE096C">
        <w:rPr>
          <w:bCs/>
          <w:color w:val="002060"/>
          <w:sz w:val="16"/>
          <w:szCs w:val="16"/>
        </w:rPr>
        <w:t>"... В последние месяцы,предшествовавшие войне, была сделана попытка использовать для морской воздушной разведки аппарат Сикорского типа "Илья Муромец", который переделали в гидроаэроплан. Эта переделка отозвалась крайне неудовлетворительно на свойствах аппарата, проектированного для взлета и посадки на земле и хотя опыты п этом отношении не были закончены, но можно сказать, что отчасти благодаря им аппарат Сикорского был потерян в первые дни войны. Имея теперь сведения о поста</w:t>
      </w:r>
      <w:r w:rsidRPr="00DE096C">
        <w:rPr>
          <w:bCs/>
          <w:color w:val="002060"/>
          <w:sz w:val="16"/>
          <w:szCs w:val="16"/>
        </w:rPr>
        <w:softHyphen/>
        <w:t>новке дела для постройки аппаратов Сикорского для нужд армии, я ходатайствую о предоставлении возможности получить для нужд Балтийского флота несколько аппа</w:t>
      </w:r>
      <w:r w:rsidRPr="00DE096C">
        <w:rPr>
          <w:bCs/>
          <w:color w:val="002060"/>
          <w:sz w:val="16"/>
          <w:szCs w:val="16"/>
        </w:rPr>
        <w:softHyphen/>
        <w:t>ратов этого типа.</w:t>
      </w:r>
    </w:p>
    <w:p w14:paraId="3EFB9401" w14:textId="77777777" w:rsidR="00331FFE" w:rsidRPr="00DE096C" w:rsidRDefault="00331FFE" w:rsidP="00D45A46">
      <w:pPr>
        <w:shd w:val="clear" w:color="auto" w:fill="FFFFFF"/>
        <w:jc w:val="both"/>
        <w:rPr>
          <w:bCs/>
          <w:color w:val="002060"/>
          <w:sz w:val="16"/>
          <w:szCs w:val="16"/>
        </w:rPr>
      </w:pPr>
      <w:r w:rsidRPr="00DE096C">
        <w:rPr>
          <w:bCs/>
          <w:color w:val="002060"/>
          <w:sz w:val="16"/>
          <w:szCs w:val="16"/>
        </w:rPr>
        <w:t>При помощи этих мощных аэропланов явится возможность освещать разведкой не</w:t>
      </w:r>
      <w:r w:rsidRPr="00DE096C">
        <w:rPr>
          <w:bCs/>
          <w:color w:val="002060"/>
          <w:sz w:val="16"/>
          <w:szCs w:val="16"/>
        </w:rPr>
        <w:softHyphen/>
        <w:t>обходимый для оперативных целей морской район и использовать их для активной борьбы с подводными лодками, требующей большого числа воздушных бомб значи</w:t>
      </w:r>
      <w:r w:rsidRPr="00DE096C">
        <w:rPr>
          <w:bCs/>
          <w:color w:val="002060"/>
          <w:sz w:val="16"/>
          <w:szCs w:val="16"/>
        </w:rPr>
        <w:softHyphen/>
        <w:t>тельного веса.</w:t>
      </w:r>
    </w:p>
    <w:p w14:paraId="5469AF26" w14:textId="77777777" w:rsidR="00331FFE" w:rsidRPr="00DE096C" w:rsidRDefault="00331FFE" w:rsidP="00D45A46">
      <w:pPr>
        <w:shd w:val="clear" w:color="auto" w:fill="FFFFFF"/>
        <w:jc w:val="both"/>
        <w:rPr>
          <w:bCs/>
          <w:color w:val="002060"/>
          <w:sz w:val="16"/>
          <w:szCs w:val="16"/>
        </w:rPr>
      </w:pPr>
      <w:r w:rsidRPr="00DE096C">
        <w:rPr>
          <w:bCs/>
          <w:color w:val="002060"/>
          <w:sz w:val="16"/>
          <w:szCs w:val="16"/>
        </w:rPr>
        <w:t>Еще одно обстоятельство, имеющее большое значение для воздушных операций, за</w:t>
      </w:r>
      <w:r w:rsidRPr="00DE096C">
        <w:rPr>
          <w:bCs/>
          <w:color w:val="002060"/>
          <w:sz w:val="16"/>
          <w:szCs w:val="16"/>
        </w:rPr>
        <w:softHyphen/>
        <w:t>ставляет просить о снабжении Балтийского флота аппаратами Сикорского — это низ</w:t>
      </w:r>
      <w:r w:rsidRPr="00DE096C">
        <w:rPr>
          <w:bCs/>
          <w:color w:val="002060"/>
          <w:sz w:val="16"/>
          <w:szCs w:val="16"/>
        </w:rPr>
        <w:softHyphen/>
        <w:t>кие температуры нашего осеннего и зимнего периода, когда полеты аэропланов ста</w:t>
      </w:r>
      <w:r w:rsidRPr="00DE096C">
        <w:rPr>
          <w:bCs/>
          <w:color w:val="002060"/>
          <w:sz w:val="16"/>
          <w:szCs w:val="16"/>
        </w:rPr>
        <w:softHyphen/>
        <w:t>новятся крайне затруднительными из-за полной незащищенности летчиков — недо</w:t>
      </w:r>
      <w:r w:rsidRPr="00DE096C">
        <w:rPr>
          <w:bCs/>
          <w:color w:val="002060"/>
          <w:sz w:val="16"/>
          <w:szCs w:val="16"/>
        </w:rPr>
        <w:softHyphen/>
        <w:t>статок, который устранен на последних аппаратах Сикорского..." (2843).</w:t>
      </w:r>
    </w:p>
    <w:p w14:paraId="757114E6" w14:textId="77777777" w:rsidR="00331FFE" w:rsidRPr="00DE096C" w:rsidRDefault="00331FFE" w:rsidP="00D45A46">
      <w:pPr>
        <w:shd w:val="clear" w:color="auto" w:fill="FFFFFF"/>
        <w:jc w:val="both"/>
        <w:rPr>
          <w:bCs/>
          <w:color w:val="002060"/>
          <w:sz w:val="16"/>
          <w:szCs w:val="16"/>
        </w:rPr>
      </w:pPr>
    </w:p>
    <w:p w14:paraId="0E3BC26E" w14:textId="77777777" w:rsidR="00331FFE" w:rsidRPr="00DE096C" w:rsidRDefault="00331FFE" w:rsidP="00D45A46">
      <w:pPr>
        <w:jc w:val="both"/>
        <w:rPr>
          <w:bCs/>
          <w:color w:val="002060"/>
          <w:sz w:val="16"/>
          <w:szCs w:val="16"/>
        </w:rPr>
      </w:pPr>
      <w:r w:rsidRPr="00DE096C">
        <w:rPr>
          <w:bCs/>
          <w:color w:val="002060"/>
          <w:sz w:val="16"/>
          <w:szCs w:val="16"/>
        </w:rPr>
        <w:t>В декабре 1914 года черноморцы закончили переоборудование судов «Император Александр III» (Ввиду наличия в Черноморском флоте одноименного линейного корабля АВК «Император Александр III» 9 января 1915 г. был переименован в «Император Александр I». Далее в материале будет использоваться именно это название данного авианесущего корабля.) и «Император Николай I» в авианесущие корабли, а в начале кампании 1915 года их включили в боевой состав Черноморского флота (11166).</w:t>
      </w:r>
    </w:p>
    <w:p w14:paraId="259EA7A4" w14:textId="77777777" w:rsidR="00331FFE" w:rsidRPr="00DE096C" w:rsidRDefault="00331FFE" w:rsidP="00D45A46">
      <w:pPr>
        <w:jc w:val="both"/>
        <w:rPr>
          <w:bCs/>
          <w:color w:val="002060"/>
          <w:sz w:val="16"/>
          <w:szCs w:val="16"/>
        </w:rPr>
      </w:pPr>
      <w:r w:rsidRPr="00DE096C">
        <w:rPr>
          <w:bCs/>
          <w:color w:val="002060"/>
          <w:sz w:val="16"/>
          <w:szCs w:val="16"/>
        </w:rPr>
        <w:t>В 1914 году количество АВК в отечественном военном флоте значительно увеличилось. В ходе кампании 1914 года на Черноморском флоте к приему гидроаэропланов начали готовиться практически одновременно сразу еще пять кораблей: крейсера первого ранга «Память Меркурия» и «Кагул», крейсер второго ранга «Алмаз», суда второго ранга «Император Александр III», «Император Николай I». При этом на них проводились интенсивные по меркам того времени испытательные полеты (11166).</w:t>
      </w:r>
    </w:p>
    <w:p w14:paraId="52920276" w14:textId="77777777" w:rsidR="00331FFE" w:rsidRPr="00DE096C" w:rsidRDefault="00331FFE" w:rsidP="00D45A46">
      <w:pPr>
        <w:jc w:val="both"/>
        <w:rPr>
          <w:bCs/>
          <w:color w:val="002060"/>
          <w:sz w:val="16"/>
          <w:szCs w:val="16"/>
        </w:rPr>
      </w:pPr>
    </w:p>
    <w:p w14:paraId="4675586F" w14:textId="2F04D4DC" w:rsidR="00331FFE" w:rsidRPr="00DE096C" w:rsidRDefault="005C44E7" w:rsidP="00D45A46">
      <w:pPr>
        <w:jc w:val="both"/>
        <w:rPr>
          <w:bCs/>
          <w:color w:val="002060"/>
          <w:sz w:val="16"/>
          <w:szCs w:val="16"/>
        </w:rPr>
      </w:pPr>
      <w:r w:rsidRPr="00DE096C">
        <w:rPr>
          <w:bCs/>
          <w:color w:val="002060"/>
          <w:sz w:val="16"/>
          <w:szCs w:val="16"/>
        </w:rPr>
        <w:t>В</w:t>
      </w:r>
      <w:r w:rsidR="00331FFE" w:rsidRPr="00DE096C">
        <w:rPr>
          <w:bCs/>
          <w:color w:val="002060"/>
          <w:sz w:val="16"/>
          <w:szCs w:val="16"/>
        </w:rPr>
        <w:t xml:space="preserve"> декабре 1914 года</w:t>
      </w:r>
      <w:r w:rsidRPr="00DE096C">
        <w:rPr>
          <w:bCs/>
          <w:color w:val="002060"/>
          <w:sz w:val="16"/>
          <w:szCs w:val="16"/>
        </w:rPr>
        <w:t xml:space="preserve">, благодаря активному вмешательству адмирала А.А. Эбергарда, черноморцы уже </w:t>
      </w:r>
      <w:r w:rsidR="00331FFE" w:rsidRPr="00DE096C">
        <w:rPr>
          <w:bCs/>
          <w:color w:val="002060"/>
          <w:sz w:val="16"/>
          <w:szCs w:val="16"/>
        </w:rPr>
        <w:t>закончили переоборудование посыльных судов «Император Александр I» и «Император Николай I» в авианесущие корабли</w:t>
      </w:r>
      <w:r w:rsidRPr="00DE096C">
        <w:rPr>
          <w:bCs/>
          <w:color w:val="002060"/>
          <w:sz w:val="16"/>
          <w:szCs w:val="16"/>
        </w:rPr>
        <w:t>.</w:t>
      </w:r>
      <w:r w:rsidR="00331FFE" w:rsidRPr="00DE096C">
        <w:rPr>
          <w:bCs/>
          <w:color w:val="002060"/>
          <w:sz w:val="16"/>
          <w:szCs w:val="16"/>
        </w:rPr>
        <w:t xml:space="preserve"> В начале 1915 года оба корабля были включены в боевой состав флота и вскоре получили боевое крещение в составе отрядов боевых кораблей (ОБК) Черноморского флота. Чуть позже для выполнения наиболее важных заданий в состав корабельных групп стали включаться сразу два авианесущих корабля (11177).</w:t>
      </w:r>
    </w:p>
    <w:p w14:paraId="1ECE85EC" w14:textId="77777777" w:rsidR="00331FFE" w:rsidRPr="00DE096C" w:rsidRDefault="00331FFE" w:rsidP="00D45A46">
      <w:pPr>
        <w:jc w:val="both"/>
        <w:rPr>
          <w:bCs/>
          <w:color w:val="002060"/>
          <w:sz w:val="16"/>
          <w:szCs w:val="16"/>
        </w:rPr>
      </w:pPr>
    </w:p>
    <w:p w14:paraId="73F48247" w14:textId="77777777" w:rsidR="00331FFE" w:rsidRPr="00DE096C" w:rsidRDefault="00331FFE" w:rsidP="00D45A46">
      <w:pPr>
        <w:jc w:val="both"/>
        <w:rPr>
          <w:bCs/>
          <w:color w:val="002060"/>
          <w:sz w:val="16"/>
          <w:szCs w:val="16"/>
        </w:rPr>
      </w:pPr>
      <w:r w:rsidRPr="00DE096C">
        <w:rPr>
          <w:bCs/>
          <w:color w:val="002060"/>
          <w:sz w:val="16"/>
          <w:szCs w:val="16"/>
        </w:rPr>
        <w:t>В декабре 1914 г. зенитное прикрытие получает морская крепость Севастополь. В следующем году воздушная оборона создается в рамках морских крепостей и приморских промышленных центров страны: Ревель (ныне - Таллин), Кронштадт, Выборг и др. (11163).</w:t>
      </w:r>
    </w:p>
    <w:p w14:paraId="0636CBF1" w14:textId="77777777" w:rsidR="00331FFE" w:rsidRPr="00DE096C" w:rsidRDefault="00331FFE" w:rsidP="00D45A46">
      <w:pPr>
        <w:jc w:val="both"/>
        <w:rPr>
          <w:bCs/>
          <w:color w:val="002060"/>
          <w:sz w:val="16"/>
          <w:szCs w:val="16"/>
        </w:rPr>
      </w:pPr>
    </w:p>
    <w:p w14:paraId="556EBC86" w14:textId="77777777" w:rsidR="00B67D7C" w:rsidRPr="00DE096C" w:rsidRDefault="00B67D7C" w:rsidP="00D45A46">
      <w:pPr>
        <w:jc w:val="both"/>
        <w:rPr>
          <w:bCs/>
          <w:i/>
          <w:color w:val="002060"/>
          <w:sz w:val="16"/>
          <w:szCs w:val="16"/>
        </w:rPr>
      </w:pPr>
      <w:r w:rsidRPr="00DE096C">
        <w:rPr>
          <w:bCs/>
          <w:i/>
          <w:color w:val="002060"/>
          <w:sz w:val="16"/>
          <w:szCs w:val="16"/>
        </w:rPr>
        <w:t>Армия:</w:t>
      </w:r>
    </w:p>
    <w:p w14:paraId="144346A9" w14:textId="77777777" w:rsidR="00B67D7C" w:rsidRPr="00DE096C" w:rsidRDefault="00B67D7C" w:rsidP="00D45A46">
      <w:pPr>
        <w:jc w:val="both"/>
        <w:rPr>
          <w:bCs/>
          <w:i/>
          <w:color w:val="002060"/>
          <w:sz w:val="16"/>
          <w:szCs w:val="16"/>
        </w:rPr>
      </w:pPr>
    </w:p>
    <w:p w14:paraId="73FA7D09" w14:textId="77777777" w:rsidR="00B67D7C" w:rsidRPr="00DE096C" w:rsidRDefault="00B67D7C" w:rsidP="00D45A46">
      <w:pPr>
        <w:jc w:val="both"/>
        <w:rPr>
          <w:bCs/>
          <w:color w:val="002060"/>
          <w:sz w:val="16"/>
          <w:szCs w:val="16"/>
        </w:rPr>
      </w:pPr>
      <w:r w:rsidRPr="00DE096C">
        <w:rPr>
          <w:bCs/>
          <w:color w:val="002060"/>
          <w:sz w:val="16"/>
          <w:szCs w:val="16"/>
        </w:rPr>
        <w:t>В декабре 1914 года военный совет рассмотрел и утвердил временный штат и положение о Военной автомобильной школе, а также штат формируемой при ней запасной автомобильной роты (Приказы по военному ведомству. № 17 от 12 января 1915 г. С. 21—73.). Теперь Военная автомобильная школа состояла из: управления (офицеров — 7, военных чиновников — 6, священник — 1, нижние чины — 56); офицерского класса (офицеры постоянного состава — 3, обучающиеся офицеры — 120, нижние чины — 8); школы автомобильных мастеров (обучающиеся нижние чины — 200 человек); испытательной станции (офицеров — 1, инженер-механик — 1, нижние чины — 14); электрической станции (офицеры — 1, нижние чины — 15).</w:t>
      </w:r>
    </w:p>
    <w:p w14:paraId="6B9BB296" w14:textId="77777777" w:rsidR="00B67D7C" w:rsidRPr="00DE096C" w:rsidRDefault="00B67D7C" w:rsidP="00D45A46">
      <w:pPr>
        <w:jc w:val="both"/>
        <w:rPr>
          <w:bCs/>
          <w:color w:val="002060"/>
          <w:sz w:val="16"/>
          <w:szCs w:val="16"/>
        </w:rPr>
      </w:pPr>
      <w:r w:rsidRPr="00DE096C">
        <w:rPr>
          <w:bCs/>
          <w:color w:val="002060"/>
          <w:sz w:val="16"/>
          <w:szCs w:val="16"/>
        </w:rPr>
        <w:t>Строевой состав школы включал в себя строевую роту (офицеры — 9, нижние чины — 160) и техническую роту (офицеры — 9, нижние чины — 253, по вольному найму — 6).</w:t>
      </w:r>
    </w:p>
    <w:p w14:paraId="4F1F091F" w14:textId="77777777" w:rsidR="00B67D7C" w:rsidRPr="00DE096C" w:rsidRDefault="00B67D7C" w:rsidP="00D45A46">
      <w:pPr>
        <w:jc w:val="both"/>
        <w:rPr>
          <w:bCs/>
          <w:color w:val="002060"/>
          <w:sz w:val="16"/>
          <w:szCs w:val="16"/>
        </w:rPr>
      </w:pPr>
      <w:r w:rsidRPr="00DE096C">
        <w:rPr>
          <w:bCs/>
          <w:color w:val="002060"/>
          <w:sz w:val="16"/>
          <w:szCs w:val="16"/>
        </w:rPr>
        <w:lastRenderedPageBreak/>
        <w:t>Всего в Военной автомобильной школе по временному штату насчитывалось 870 человек. Кроме того, при школе состояла нестроевая команда, имелись химическая и электротехническая лаборатории, микро-спектро-фотографический кабинет, библиотека, церковь, музей и автомобильный парк запаса военного времени. Начальником школы был назначен генерал-майор П.И. Секретов, ставший первым генералом-автомобилистом в России (11168).</w:t>
      </w:r>
    </w:p>
    <w:p w14:paraId="74ADC200" w14:textId="77777777" w:rsidR="00B67D7C" w:rsidRPr="00DE096C" w:rsidRDefault="00B67D7C" w:rsidP="00D45A46">
      <w:pPr>
        <w:jc w:val="both"/>
        <w:rPr>
          <w:bCs/>
          <w:color w:val="002060"/>
          <w:sz w:val="16"/>
          <w:szCs w:val="16"/>
        </w:rPr>
      </w:pPr>
      <w:r w:rsidRPr="00DE096C">
        <w:rPr>
          <w:bCs/>
          <w:color w:val="002060"/>
          <w:sz w:val="16"/>
          <w:szCs w:val="16"/>
        </w:rPr>
        <w:t>ИМЕЯ СОЛИДНУЮ опытовую и техническую базу, школа стала выполнять функции, во многом сходные с научно-исследовательским центром (Приказы по военному ведомству. № 17 от 12 января 1915 г. С. 21—73.). Здесь не только готовили специалистов для военно-автомобильной службы, но и подробно изучали различные системы «самодвижущихся повозок» в целях «применения их к военным потребностям», следили за открытиями и изобретениями в автомобильной отрасли, производили опыты, касающиеся свойств и устройства автомобилей и двигателей для них, а также испытания с целью проектирования новых и изменения существующих образцов. В школе также испытывали и проверяли технические качества автомобилей, предназначаемых для войсковых частей и учреждений.</w:t>
      </w:r>
    </w:p>
    <w:p w14:paraId="48F86EBD" w14:textId="77777777" w:rsidR="00B67D7C" w:rsidRPr="00DE096C" w:rsidRDefault="00B67D7C" w:rsidP="00D45A46">
      <w:pPr>
        <w:jc w:val="both"/>
        <w:rPr>
          <w:bCs/>
          <w:color w:val="002060"/>
          <w:sz w:val="16"/>
          <w:szCs w:val="16"/>
        </w:rPr>
      </w:pPr>
      <w:r w:rsidRPr="00DE096C">
        <w:rPr>
          <w:bCs/>
          <w:color w:val="002060"/>
          <w:sz w:val="16"/>
          <w:szCs w:val="16"/>
        </w:rPr>
        <w:t>В связи с переподчинением железнодорожных войск от Главного управления Генерального штаба Главному военно-техническому управлению школа еще более приблизилась к уровню автомобильного исследовательского центра. Теперь ее руководящий состав должен был иметь высшее техническое образование, курс обучения для офицеров увеличился до двух лет. Прием в школу был очень жестким как по медицинским показаниям, так и по уровню подготовки. Офицерский курс подготовки включал 12 предметов, разделенных на главные и второстепенные. К главным относились: автомобильное дело, двигатели внутреннего сгорания, теория автомобильного двигателя (динамическая и термическая), учение о прочности частей автомобиля (основы статики и сопротивления материалов), оборудование гаража и мастерских, организация военно-автомобильного дела и отчетность. Второстепенными считались математика, теория и детали машин и механизмов (прикладная механика), технология и обработка металлов, технология жидких топлив и смазочных масел, основы электротехники, тактика и администрация.</w:t>
      </w:r>
    </w:p>
    <w:p w14:paraId="7DBD227F" w14:textId="77777777" w:rsidR="00B67D7C" w:rsidRPr="00DE096C" w:rsidRDefault="00B67D7C" w:rsidP="00D45A46">
      <w:pPr>
        <w:jc w:val="both"/>
        <w:rPr>
          <w:bCs/>
          <w:color w:val="002060"/>
          <w:sz w:val="16"/>
          <w:szCs w:val="16"/>
        </w:rPr>
      </w:pPr>
      <w:r w:rsidRPr="00DE096C">
        <w:rPr>
          <w:bCs/>
          <w:color w:val="002060"/>
          <w:sz w:val="16"/>
          <w:szCs w:val="16"/>
        </w:rPr>
        <w:t>Для нижних чинов, обучавшихся в школе, также были предусмотрены теоретические и практические занятия. К теоретическим были отнесены: арифметика, начальная геометрия, физика, электротехника, механика, общие сведения о тепловых двигателях. На практических занятиях будущие военные шоферы познавали устройство автомобиля, учились слесарничать и обращаться с точными измерительными инструментами, а также осваивали ацетилено-кислородную сварку.</w:t>
      </w:r>
    </w:p>
    <w:p w14:paraId="5BE15A2C" w14:textId="77777777" w:rsidR="00B67D7C" w:rsidRPr="00DE096C" w:rsidRDefault="00B67D7C" w:rsidP="00D45A46">
      <w:pPr>
        <w:jc w:val="both"/>
        <w:rPr>
          <w:bCs/>
          <w:color w:val="002060"/>
          <w:sz w:val="16"/>
          <w:szCs w:val="16"/>
        </w:rPr>
      </w:pPr>
      <w:r w:rsidRPr="00DE096C">
        <w:rPr>
          <w:bCs/>
          <w:color w:val="002060"/>
          <w:sz w:val="16"/>
          <w:szCs w:val="16"/>
        </w:rPr>
        <w:t>На испытательной станции Военной автомобильной школы проходили соответствующие испытания все «самодвижущиеся повозки», поступавшие на снабжение русской армии. На каждой машине или отдельных ее частях, выдержавших испытание, выставляли особый знак. Одновременно заполнялось свидетельство об испытаниях, подписанное начальником школы, заведующим испытательной станцией и инженером-механиком, и скрепленное печатью школы. Подлинник свидетельства пересылался в ту часть или учреждение, куда направлялась машина или агрегат, а копия хранилась в делах школы. Такое свидетельство должна была иметь каждая военная «самодвижущая повозка».</w:t>
      </w:r>
    </w:p>
    <w:p w14:paraId="6F4D2385" w14:textId="77777777" w:rsidR="00B67D7C" w:rsidRPr="00DE096C" w:rsidRDefault="00B67D7C" w:rsidP="00D45A46">
      <w:pPr>
        <w:jc w:val="both"/>
        <w:rPr>
          <w:bCs/>
          <w:color w:val="002060"/>
          <w:sz w:val="16"/>
          <w:szCs w:val="16"/>
        </w:rPr>
      </w:pPr>
      <w:r w:rsidRPr="00DE096C">
        <w:rPr>
          <w:bCs/>
          <w:color w:val="002060"/>
          <w:sz w:val="16"/>
          <w:szCs w:val="16"/>
        </w:rPr>
        <w:t>Таким образом, автомобильная школа фактически стала центром автотехнического обеспечения русской армии. Она осуществляла не только подготовку специалистов по автоделу, но и участвовала в формировании автомобильных рот и санитарных отрядов, осуществляла снабжение материалами, запасными частями и автомобилями подразделения и части, проводила закупку автомобилей за границей, выполняла ремонт. Военная автомобильная школа, став первым военным автомобильным учебно-исследовательским центром России, просуществовала в Петрограде до 1918 года. Часть ее оборудования затем была перевезена в Москву и использована при организации Центрального научно-исследовательского автомобильного и автомоторного института (НАМИ).</w:t>
      </w:r>
    </w:p>
    <w:p w14:paraId="7D58A7D7" w14:textId="77777777" w:rsidR="00B67D7C" w:rsidRPr="00DE096C" w:rsidRDefault="00B67D7C" w:rsidP="00D45A46">
      <w:pPr>
        <w:jc w:val="both"/>
        <w:rPr>
          <w:bCs/>
          <w:color w:val="002060"/>
          <w:sz w:val="16"/>
          <w:szCs w:val="16"/>
        </w:rPr>
      </w:pPr>
      <w:r w:rsidRPr="00DE096C">
        <w:rPr>
          <w:bCs/>
          <w:color w:val="002060"/>
          <w:sz w:val="16"/>
          <w:szCs w:val="16"/>
        </w:rPr>
        <w:t>Непродолжительная история ее существования заложила основы подготовки военных автомобилистов в нашей стране. Современным учебно-научные подразделения, научно-исследовательские учреждения и военно-учебные заведения страны, осуществляющие подготовку офицеров и специалистов для автомобильных частей и подразделений Вооруженных сил России, ведущие разработку и испытание автомобильной и специальной техники на автомобильном ходу, берут начало в первой Военной автомобильной школе России (11168).</w:t>
      </w:r>
    </w:p>
    <w:p w14:paraId="4D2BCD21" w14:textId="77777777" w:rsidR="00B67D7C" w:rsidRPr="00DE096C" w:rsidRDefault="00B67D7C" w:rsidP="00D45A46">
      <w:pPr>
        <w:shd w:val="clear" w:color="auto" w:fill="FFFFFF"/>
        <w:jc w:val="both"/>
        <w:rPr>
          <w:bCs/>
          <w:color w:val="002060"/>
          <w:sz w:val="16"/>
          <w:szCs w:val="16"/>
        </w:rPr>
      </w:pPr>
    </w:p>
    <w:p w14:paraId="246945BA" w14:textId="77777777" w:rsidR="00B67D7C" w:rsidRPr="00DE096C" w:rsidRDefault="00B67D7C" w:rsidP="00D45A46">
      <w:pPr>
        <w:jc w:val="both"/>
        <w:rPr>
          <w:bCs/>
          <w:i/>
          <w:color w:val="002060"/>
          <w:sz w:val="16"/>
          <w:szCs w:val="16"/>
        </w:rPr>
      </w:pPr>
      <w:r w:rsidRPr="00DE096C">
        <w:rPr>
          <w:bCs/>
          <w:i/>
          <w:color w:val="002060"/>
          <w:sz w:val="16"/>
          <w:szCs w:val="16"/>
        </w:rPr>
        <w:t>Внешняя политика:</w:t>
      </w:r>
    </w:p>
    <w:p w14:paraId="75A4C922" w14:textId="77777777" w:rsidR="00B67D7C" w:rsidRPr="00DE096C" w:rsidRDefault="00B67D7C" w:rsidP="00D45A46">
      <w:pPr>
        <w:jc w:val="both"/>
        <w:rPr>
          <w:bCs/>
          <w:i/>
          <w:color w:val="002060"/>
          <w:sz w:val="16"/>
          <w:szCs w:val="16"/>
        </w:rPr>
      </w:pPr>
    </w:p>
    <w:p w14:paraId="4DC5120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декабре 1914 г. «союзники» объявили о своем решении резко уменьшить количество самолетов и моторов, отпускаемых России.</w:t>
      </w:r>
    </w:p>
    <w:p w14:paraId="1C50F64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Известие об этом решении вызвало крайнюю тревогу в рус</w:t>
      </w:r>
      <w:r w:rsidRPr="00DE096C">
        <w:rPr>
          <w:bCs/>
          <w:color w:val="002060"/>
          <w:sz w:val="16"/>
          <w:szCs w:val="16"/>
        </w:rPr>
        <w:softHyphen/>
        <w:t>ском военном министерстве: план снабжения самолетами и мото</w:t>
      </w:r>
      <w:r w:rsidRPr="00DE096C">
        <w:rPr>
          <w:bCs/>
          <w:color w:val="002060"/>
          <w:sz w:val="16"/>
          <w:szCs w:val="16"/>
        </w:rPr>
        <w:softHyphen/>
        <w:t>рами частей действующей армии срывался. «Новое решение французского военного ведомства ставит нас в тяжелое положе</w:t>
      </w:r>
      <w:r w:rsidRPr="00DE096C">
        <w:rPr>
          <w:bCs/>
          <w:color w:val="002060"/>
          <w:sz w:val="16"/>
          <w:szCs w:val="16"/>
        </w:rPr>
        <w:softHyphen/>
        <w:t>ние», — писал начальник главного военно-технического управле</w:t>
      </w:r>
      <w:r w:rsidRPr="00DE096C">
        <w:rPr>
          <w:bCs/>
          <w:color w:val="002060"/>
          <w:sz w:val="16"/>
          <w:szCs w:val="16"/>
        </w:rPr>
        <w:softHyphen/>
        <w:t>ния русскому военному агенту во Франции.</w:t>
      </w:r>
    </w:p>
    <w:p w14:paraId="6903C41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Из заказанных во Франции в 1915 г. 586 самолетов и 1730 мо</w:t>
      </w:r>
      <w:r w:rsidRPr="00DE096C">
        <w:rPr>
          <w:bCs/>
          <w:color w:val="002060"/>
          <w:sz w:val="16"/>
          <w:szCs w:val="16"/>
        </w:rPr>
        <w:softHyphen/>
        <w:t>торов было доставлено в Россию всего 250 самолетов и 268 мо</w:t>
      </w:r>
      <w:r w:rsidRPr="00DE096C">
        <w:rPr>
          <w:bCs/>
          <w:color w:val="002060"/>
          <w:sz w:val="16"/>
          <w:szCs w:val="16"/>
        </w:rPr>
        <w:softHyphen/>
        <w:t>торов. Мало того, Франция и Англия сбывали в Россию уста</w:t>
      </w:r>
      <w:r w:rsidRPr="00DE096C">
        <w:rPr>
          <w:bCs/>
          <w:color w:val="002060"/>
          <w:sz w:val="16"/>
          <w:szCs w:val="16"/>
        </w:rPr>
        <w:softHyphen/>
        <w:t>ревшие и изношенные самолеты и моторы, уже снятые с вооружения во французской авиации. Известно немало случаев, когда под свежей краской, покрывавшей присланный самолет, обнаруживали французские опознавательные знаки (ЦГВИА, ф. 2008, д. 692, лл. 37—40) (430).</w:t>
      </w:r>
    </w:p>
    <w:p w14:paraId="5085EA0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специальной справке «О состоянии моторов и аэропланов, получаемых из-за границы», русское военное ведомство отме</w:t>
      </w:r>
      <w:r w:rsidRPr="00DE096C">
        <w:rPr>
          <w:bCs/>
          <w:color w:val="002060"/>
          <w:sz w:val="16"/>
          <w:szCs w:val="16"/>
        </w:rPr>
        <w:softHyphen/>
        <w:t>чало, что «официальные акты, свидетельствующие состояние моторов и аэропланов, прибывающих из-за границы, показы</w:t>
      </w:r>
      <w:r w:rsidRPr="00DE096C">
        <w:rPr>
          <w:bCs/>
          <w:color w:val="002060"/>
          <w:sz w:val="16"/>
          <w:szCs w:val="16"/>
        </w:rPr>
        <w:softHyphen/>
        <w:t>вают, что в значительном числе случаев эти предметы приходят в неисправном виде... Заграничные заводы высылают в Россию уже бывшие в употреблении аппараты и двигатели» (ЦГВИА, ф. 369, оп. VIII, д. 66, л. 63).</w:t>
      </w:r>
    </w:p>
    <w:p w14:paraId="3C70530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Таким образом, расчеты царского правительства на получе</w:t>
      </w:r>
      <w:r w:rsidRPr="00DE096C">
        <w:rPr>
          <w:bCs/>
          <w:color w:val="002060"/>
          <w:sz w:val="16"/>
          <w:szCs w:val="16"/>
        </w:rPr>
        <w:softHyphen/>
        <w:t>ние от «союзников» материальной части для снабжения авиации проваливались. А война требовала все новых и- новых самолетов, моторов, авиационного вооружения.</w:t>
      </w:r>
    </w:p>
    <w:p w14:paraId="3C2D313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Поэтому основная тяжесть снабжения авиации материальной частью легла на плечи русских авиационных заводов, которые в силу своей малочисленности, острого недостатка квалифициро</w:t>
      </w:r>
      <w:r w:rsidRPr="00DE096C">
        <w:rPr>
          <w:bCs/>
          <w:color w:val="002060"/>
          <w:sz w:val="16"/>
          <w:szCs w:val="16"/>
        </w:rPr>
        <w:softHyphen/>
        <w:t>ванных кадров, нехватки материалов явно были не в состоянии удовлетворить все растущие потребности фронта в самолетах и моторах. За время первой мировой войны русская армия полу</w:t>
      </w:r>
      <w:r w:rsidRPr="00DE096C">
        <w:rPr>
          <w:bCs/>
          <w:color w:val="002060"/>
          <w:sz w:val="16"/>
          <w:szCs w:val="16"/>
        </w:rPr>
        <w:softHyphen/>
        <w:t>чила всего 3100 самолетов, из них 2250 с руоеких авиационных заводов и около 900 из-за границы.</w:t>
      </w:r>
    </w:p>
    <w:p w14:paraId="2CC6F63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Особенно губительно на развитии авиации оказывался острый недостаток моторов. Ставка руководителей военного ведомства на ввоз моторов из-за границы привела к тому, что в разгар военных действий для значительного количества самолетов, по</w:t>
      </w:r>
      <w:r w:rsidRPr="00DE096C">
        <w:rPr>
          <w:bCs/>
          <w:color w:val="002060"/>
          <w:sz w:val="16"/>
          <w:szCs w:val="16"/>
        </w:rPr>
        <w:softHyphen/>
        <w:t>строенных на русских заводах, не оказалось моторов. Самолеты в действующую армию направлялись без моторов. Доходило до того, что в некоторых авиационных отрядах на 5—6 самолетов имелось всего 2 годных к эксплуатации мотора, которые прихо</w:t>
      </w:r>
      <w:r w:rsidRPr="00DE096C">
        <w:rPr>
          <w:bCs/>
          <w:color w:val="002060"/>
          <w:sz w:val="16"/>
          <w:szCs w:val="16"/>
        </w:rPr>
        <w:softHyphen/>
        <w:t>дилось перед боевыми вылетами снимать с одних самолетов и переставлять на другие.</w:t>
      </w:r>
    </w:p>
    <w:p w14:paraId="67E1260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Царское правительство и его военное ведомство вынуждены были сами признать, что зависимость от заграницы поставила в чрезвычайно тяжелое положение русские самолетостроитель</w:t>
      </w:r>
      <w:r w:rsidRPr="00DE096C">
        <w:rPr>
          <w:bCs/>
          <w:color w:val="002060"/>
          <w:sz w:val="16"/>
          <w:szCs w:val="16"/>
        </w:rPr>
        <w:softHyphen/>
        <w:t>ные заводы. Так, заведующий организацией авиационного дела в действующей армии в одной из своих памятных записок писал:</w:t>
      </w:r>
    </w:p>
    <w:p w14:paraId="437D9AC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«Недостаток моторов гибельно отразился на производитель</w:t>
      </w:r>
      <w:r w:rsidRPr="00DE096C">
        <w:rPr>
          <w:bCs/>
          <w:color w:val="002060"/>
          <w:sz w:val="16"/>
          <w:szCs w:val="16"/>
        </w:rPr>
        <w:softHyphen/>
        <w:t>ности аэропланных заводов, так как расчет отечественного аэро-планостроения был основан на своевременном снабжении загра</w:t>
      </w:r>
      <w:r w:rsidRPr="00DE096C">
        <w:rPr>
          <w:bCs/>
          <w:color w:val="002060"/>
          <w:sz w:val="16"/>
          <w:szCs w:val="16"/>
        </w:rPr>
        <w:softHyphen/>
        <w:t>ничными моторами» (ЦГВИА, ф. 2033, оп. П, д. 642, лл. 63—64).</w:t>
      </w:r>
    </w:p>
    <w:p w14:paraId="44A7F79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Кабальная зависимость экономики царской России от загра</w:t>
      </w:r>
      <w:r w:rsidRPr="00DE096C">
        <w:rPr>
          <w:bCs/>
          <w:color w:val="002060"/>
          <w:sz w:val="16"/>
          <w:szCs w:val="16"/>
        </w:rPr>
        <w:softHyphen/>
        <w:t>ницы поставила русскую авиацию в годы первой мировой войны перед катастрофой.</w:t>
      </w:r>
    </w:p>
    <w:p w14:paraId="7AD2759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Следует указать, что на Русско-Балтийском заводе было успешио освоено производство отечественных моторов «Русбалт», которыми была оснащена большая часть воздушных кораблей «Илья Муромец». Однако царское правительство продолжало за</w:t>
      </w:r>
      <w:r w:rsidRPr="00DE096C">
        <w:rPr>
          <w:bCs/>
          <w:color w:val="002060"/>
          <w:sz w:val="16"/>
          <w:szCs w:val="16"/>
        </w:rPr>
        <w:softHyphen/>
        <w:t>казывать в Англии никуда не годные моторы «Санбим», то и дело отказывавшие в полете. О плохом качестве этих моторов красно</w:t>
      </w:r>
      <w:r w:rsidRPr="00DE096C">
        <w:rPr>
          <w:bCs/>
          <w:color w:val="002060"/>
          <w:sz w:val="16"/>
          <w:szCs w:val="16"/>
        </w:rPr>
        <w:softHyphen/>
        <w:t>речиво говорит выдержка из докладной записки управления де</w:t>
      </w:r>
      <w:r w:rsidRPr="00DE096C">
        <w:rPr>
          <w:bCs/>
          <w:color w:val="002060"/>
          <w:sz w:val="16"/>
          <w:szCs w:val="16"/>
        </w:rPr>
        <w:softHyphen/>
        <w:t>журного генерала при Главковерхе:</w:t>
      </w:r>
    </w:p>
    <w:p w14:paraId="76F6B10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«Только что прибывшие в эскадру 12 новых моторов «Сен</w:t>
      </w:r>
      <w:r w:rsidRPr="00DE096C">
        <w:rPr>
          <w:bCs/>
          <w:color w:val="002060"/>
          <w:sz w:val="16"/>
          <w:szCs w:val="16"/>
        </w:rPr>
        <w:softHyphen/>
        <w:t>бим» оказались неисправными; есть такие дефекты, как трещины в цилиндрах и перекосы шатунов» (ЦГВИА, ф. 2033, оп. П, д. 642, лл. 63—64).</w:t>
      </w:r>
    </w:p>
    <w:p w14:paraId="70F1F47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Война требовала непрерывного улучшения материальной части авиации. Однако владельцы авиационных заводов, ста</w:t>
      </w:r>
      <w:r w:rsidRPr="00DE096C">
        <w:rPr>
          <w:bCs/>
          <w:color w:val="002060"/>
          <w:sz w:val="16"/>
          <w:szCs w:val="16"/>
        </w:rPr>
        <w:softHyphen/>
        <w:t>раясь сбыть уже изготовленную продукцию, неохотно принимали к производству новые самолеты и моторы. Уместно привести та</w:t>
      </w:r>
      <w:r w:rsidRPr="00DE096C">
        <w:rPr>
          <w:bCs/>
          <w:color w:val="002060"/>
          <w:sz w:val="16"/>
          <w:szCs w:val="16"/>
        </w:rPr>
        <w:softHyphen/>
        <w:t>кой факт. Завод «Гном» в Москве, принадлежавший француз</w:t>
      </w:r>
      <w:r w:rsidRPr="00DE096C">
        <w:rPr>
          <w:bCs/>
          <w:color w:val="002060"/>
          <w:sz w:val="16"/>
          <w:szCs w:val="16"/>
        </w:rPr>
        <w:softHyphen/>
        <w:t>скому акционерному обществу, выпускал устаревшие авиацион</w:t>
      </w:r>
      <w:r w:rsidRPr="00DE096C">
        <w:rPr>
          <w:bCs/>
          <w:color w:val="002060"/>
          <w:sz w:val="16"/>
          <w:szCs w:val="16"/>
        </w:rPr>
        <w:softHyphen/>
        <w:t>ные моторы «Гном». Главное военно-техническое управление военного министерства предложило дирекции завода перейти к производству более усовершенствованного ротативного мотора «Рон». Дирекция завода отказалась выполнить это требование и продолжала навязывать военному ведомству свою устаревшую продукцию. Оказалось, что директор завода получил от прав</w:t>
      </w:r>
      <w:r w:rsidRPr="00DE096C">
        <w:rPr>
          <w:bCs/>
          <w:color w:val="002060"/>
          <w:sz w:val="16"/>
          <w:szCs w:val="16"/>
        </w:rPr>
        <w:softHyphen/>
        <w:t>ления акционерного общества в Париже секретное предписа</w:t>
      </w:r>
      <w:r w:rsidRPr="00DE096C">
        <w:rPr>
          <w:bCs/>
          <w:color w:val="002060"/>
          <w:sz w:val="16"/>
          <w:szCs w:val="16"/>
        </w:rPr>
        <w:softHyphen/>
        <w:t>ние — любыми средствами тормозить постройку новых моторов, чтобы иметь возможность сбыть заготовленные в большом ко</w:t>
      </w:r>
      <w:r w:rsidRPr="00DE096C">
        <w:rPr>
          <w:bCs/>
          <w:color w:val="002060"/>
          <w:sz w:val="16"/>
          <w:szCs w:val="16"/>
        </w:rPr>
        <w:softHyphen/>
        <w:t>личестве части к выпускавшимся заводом двигателям устарев</w:t>
      </w:r>
      <w:r w:rsidRPr="00DE096C">
        <w:rPr>
          <w:bCs/>
          <w:color w:val="002060"/>
          <w:sz w:val="16"/>
          <w:szCs w:val="16"/>
        </w:rPr>
        <w:softHyphen/>
        <w:t>шей конструкции.</w:t>
      </w:r>
    </w:p>
    <w:p w14:paraId="0D3B74F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результате отсталости царской России, ее зависимости от за границы русская авиация в ходе войны катастрофически от</w:t>
      </w:r>
      <w:r w:rsidRPr="00DE096C">
        <w:rPr>
          <w:bCs/>
          <w:color w:val="002060"/>
          <w:sz w:val="16"/>
          <w:szCs w:val="16"/>
        </w:rPr>
        <w:softHyphen/>
        <w:t>стала по количеству самолетов от других воюющих стран. Недо</w:t>
      </w:r>
      <w:r w:rsidRPr="00DE096C">
        <w:rPr>
          <w:bCs/>
          <w:color w:val="002060"/>
          <w:sz w:val="16"/>
          <w:szCs w:val="16"/>
        </w:rPr>
        <w:softHyphen/>
        <w:t>статочное количество авиационной техники было характерным явлением для русской авиации на всем протяжении войны. Не</w:t>
      </w:r>
      <w:r w:rsidRPr="00DE096C">
        <w:rPr>
          <w:bCs/>
          <w:color w:val="002060"/>
          <w:sz w:val="16"/>
          <w:szCs w:val="16"/>
        </w:rPr>
        <w:softHyphen/>
        <w:t>достаток самолетов и моторов срывал формирование новых авиа</w:t>
      </w:r>
      <w:r w:rsidRPr="00DE096C">
        <w:rPr>
          <w:bCs/>
          <w:color w:val="002060"/>
          <w:sz w:val="16"/>
          <w:szCs w:val="16"/>
        </w:rPr>
        <w:softHyphen/>
        <w:t>ционных частей.</w:t>
      </w:r>
    </w:p>
    <w:p w14:paraId="3D03AA9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Английские моторы «Санбим», устанавливаемые на самолеты «Илья Муромец», оказались очень ненадежными. Из-за плохой работы их неоднократно срывалось выполнение боевых заданий (278).</w:t>
      </w:r>
    </w:p>
    <w:p w14:paraId="50B4EBF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Приведенные примеры ясно показывают, что союзники Рос</w:t>
      </w:r>
      <w:r w:rsidRPr="00DE096C">
        <w:rPr>
          <w:bCs/>
          <w:color w:val="002060"/>
          <w:sz w:val="16"/>
          <w:szCs w:val="16"/>
        </w:rPr>
        <w:softHyphen/>
        <w:t>сии ставили свои корыстные интересы выше интересов общего дела. В погоне за высокими барышами они подло обманывали союзную воюющую страну, сбывая ей негодное военное снаря</w:t>
      </w:r>
      <w:r w:rsidRPr="00DE096C">
        <w:rPr>
          <w:bCs/>
          <w:color w:val="002060"/>
          <w:sz w:val="16"/>
          <w:szCs w:val="16"/>
        </w:rPr>
        <w:softHyphen/>
        <w:t>жение и материалы. В то самое время, когда русские солдаты своей кровью неоднократно спасали от разгрома французскую ч английскую армии (при битве на р. Марне в 1914 г. или в пе</w:t>
      </w:r>
      <w:r w:rsidRPr="00DE096C">
        <w:rPr>
          <w:bCs/>
          <w:color w:val="002060"/>
          <w:sz w:val="16"/>
          <w:szCs w:val="16"/>
        </w:rPr>
        <w:softHyphen/>
        <w:t>риод борьбы за Верден в 1916 г.), французские и английские министры и капиталисты продавали России втридорога ненуж</w:t>
      </w:r>
      <w:r w:rsidRPr="00DE096C">
        <w:rPr>
          <w:bCs/>
          <w:color w:val="002060"/>
          <w:sz w:val="16"/>
          <w:szCs w:val="16"/>
        </w:rPr>
        <w:softHyphen/>
        <w:t>ное им старье, которое в пути приходило в полную негодность.</w:t>
      </w:r>
    </w:p>
    <w:p w14:paraId="47CCBBD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Подготовка летных кадров в ходе войны была крайне недо</w:t>
      </w:r>
      <w:r w:rsidRPr="00DE096C">
        <w:rPr>
          <w:bCs/>
          <w:color w:val="002060"/>
          <w:sz w:val="16"/>
          <w:szCs w:val="16"/>
        </w:rPr>
        <w:softHyphen/>
        <w:t>статочной (278).</w:t>
      </w:r>
    </w:p>
    <w:p w14:paraId="144F1CE5" w14:textId="77777777" w:rsidR="00B67D7C" w:rsidRPr="00DE096C" w:rsidRDefault="00B67D7C" w:rsidP="00D45A46">
      <w:pPr>
        <w:pStyle w:val="a3"/>
        <w:jc w:val="both"/>
        <w:rPr>
          <w:bCs/>
          <w:color w:val="002060"/>
          <w:spacing w:val="0"/>
          <w:kern w:val="0"/>
          <w:position w:val="0"/>
          <w:sz w:val="16"/>
          <w:szCs w:val="16"/>
        </w:rPr>
      </w:pPr>
    </w:p>
    <w:p w14:paraId="3A144559"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 и воздухоплавание Германии:</w:t>
      </w:r>
    </w:p>
    <w:p w14:paraId="36B53E1A" w14:textId="77777777" w:rsidR="00B67D7C" w:rsidRPr="00DE096C" w:rsidRDefault="00B67D7C" w:rsidP="00D45A46">
      <w:pPr>
        <w:shd w:val="clear" w:color="auto" w:fill="FFFFFF"/>
        <w:jc w:val="both"/>
        <w:rPr>
          <w:bCs/>
          <w:i/>
          <w:color w:val="002060"/>
          <w:sz w:val="16"/>
          <w:szCs w:val="16"/>
        </w:rPr>
      </w:pPr>
    </w:p>
    <w:p w14:paraId="621C2BF5" w14:textId="50852CB2" w:rsidR="00B67D7C" w:rsidRPr="00DE096C" w:rsidRDefault="005C44E7" w:rsidP="00D45A46">
      <w:pPr>
        <w:jc w:val="both"/>
        <w:rPr>
          <w:bCs/>
          <w:color w:val="002060"/>
          <w:sz w:val="16"/>
          <w:szCs w:val="16"/>
        </w:rPr>
      </w:pPr>
      <w:r w:rsidRPr="00DE096C">
        <w:rPr>
          <w:bCs/>
          <w:color w:val="002060"/>
          <w:sz w:val="16"/>
          <w:szCs w:val="16"/>
        </w:rPr>
        <w:lastRenderedPageBreak/>
        <w:t>В</w:t>
      </w:r>
      <w:r w:rsidR="00B67D7C" w:rsidRPr="00DE096C">
        <w:rPr>
          <w:bCs/>
          <w:color w:val="002060"/>
          <w:sz w:val="16"/>
          <w:szCs w:val="16"/>
        </w:rPr>
        <w:t xml:space="preserve"> декабре 1914 г.</w:t>
      </w:r>
      <w:r w:rsidRPr="00DE096C">
        <w:rPr>
          <w:bCs/>
          <w:color w:val="002060"/>
          <w:sz w:val="16"/>
          <w:szCs w:val="16"/>
        </w:rPr>
        <w:t xml:space="preserve"> вспоминают слова Освальда Бельке - впоследствии одного из асов Германии, получившего Фоккер</w:t>
      </w:r>
      <w:r w:rsidR="00B67D7C" w:rsidRPr="00DE096C">
        <w:rPr>
          <w:bCs/>
          <w:color w:val="002060"/>
          <w:sz w:val="16"/>
          <w:szCs w:val="16"/>
        </w:rPr>
        <w:t>: "</w:t>
      </w:r>
      <w:r w:rsidR="00B67D7C" w:rsidRPr="00DE096C">
        <w:rPr>
          <w:bCs/>
          <w:i/>
          <w:color w:val="002060"/>
          <w:sz w:val="16"/>
          <w:szCs w:val="16"/>
        </w:rPr>
        <w:t>Фоккер был великолепным Рождественским подарком, который я принял с поистине ребячьей радостью</w:t>
      </w:r>
      <w:r w:rsidR="00B67D7C" w:rsidRPr="00DE096C">
        <w:rPr>
          <w:bCs/>
          <w:color w:val="002060"/>
          <w:sz w:val="16"/>
          <w:szCs w:val="16"/>
        </w:rPr>
        <w:t>".</w:t>
      </w:r>
    </w:p>
    <w:p w14:paraId="6DCF3EE7" w14:textId="77777777" w:rsidR="00B67D7C" w:rsidRPr="00DE096C" w:rsidRDefault="00B67D7C" w:rsidP="00D45A46">
      <w:pPr>
        <w:jc w:val="both"/>
        <w:rPr>
          <w:bCs/>
          <w:color w:val="002060"/>
          <w:sz w:val="16"/>
          <w:szCs w:val="16"/>
        </w:rPr>
      </w:pPr>
    </w:p>
    <w:p w14:paraId="42AD0925" w14:textId="206428DA" w:rsidR="00B67D7C" w:rsidRPr="00DE096C" w:rsidRDefault="005C44E7"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декабре </w:t>
      </w:r>
      <w:r w:rsidRPr="00DE096C">
        <w:rPr>
          <w:bCs/>
          <w:color w:val="002060"/>
          <w:sz w:val="16"/>
          <w:szCs w:val="16"/>
        </w:rPr>
        <w:t>1914 г. английские</w:t>
      </w:r>
      <w:r w:rsidR="00B67D7C" w:rsidRPr="00DE096C">
        <w:rPr>
          <w:bCs/>
          <w:color w:val="002060"/>
          <w:sz w:val="16"/>
          <w:szCs w:val="16"/>
        </w:rPr>
        <w:t xml:space="preserve"> гидросамолеты осуществили бомбардировку Куксхафена. В конце концов, под давлением высшего командования рейхсвера Вильгельм был вынужден разрешить бомбардировки Британских островов. В телеграмме, которая поступила в главный штаб ВМФ под новый 1915 год, указывались цели для налетов: доки, военные заводы, учебные лагеря неприятеля, расположенные в нижнем течении Темзы. Экипажам цеппелинов категорически воспрещалось сбрасывать бомбы на жилые кварталы Лондона. </w:t>
      </w:r>
    </w:p>
    <w:p w14:paraId="0344B992" w14:textId="77777777" w:rsidR="00B67D7C" w:rsidRPr="00DE096C" w:rsidRDefault="00B67D7C" w:rsidP="00D45A46">
      <w:pPr>
        <w:jc w:val="both"/>
        <w:rPr>
          <w:bCs/>
          <w:color w:val="002060"/>
          <w:sz w:val="16"/>
          <w:szCs w:val="16"/>
        </w:rPr>
      </w:pPr>
      <w:r w:rsidRPr="00DE096C">
        <w:rPr>
          <w:bCs/>
          <w:color w:val="002060"/>
          <w:sz w:val="16"/>
          <w:szCs w:val="16"/>
        </w:rPr>
        <w:t xml:space="preserve">Стоит ли описывать, с каким восторгом Петер Штрассер прочел эту телеграмму. Наконец-то наступил звездный час боевых дирижаблей! То, чего не могли добиться закованные в броню эскадры Флота открытого моря (так немцы называли главные силы ВМФ. — </w:t>
      </w:r>
      <w:r w:rsidRPr="00DE096C">
        <w:rPr>
          <w:bCs/>
          <w:i/>
          <w:color w:val="002060"/>
          <w:sz w:val="16"/>
          <w:szCs w:val="16"/>
        </w:rPr>
        <w:t>Сост.),</w:t>
      </w:r>
      <w:r w:rsidRPr="00DE096C">
        <w:rPr>
          <w:bCs/>
          <w:color w:val="002060"/>
          <w:sz w:val="16"/>
          <w:szCs w:val="16"/>
        </w:rPr>
        <w:t xml:space="preserve"> сделает его дивизион «летающих сарделек». Он, лейтенант Штрассер, как древний галл, принесет войну на берега надменной Англии и заставит противника капитулировать в своем собственном логове. </w:t>
      </w:r>
    </w:p>
    <w:p w14:paraId="7E8FC371" w14:textId="77777777" w:rsidR="00B67D7C" w:rsidRPr="00DE096C" w:rsidRDefault="00B67D7C" w:rsidP="00D45A46">
      <w:pPr>
        <w:jc w:val="both"/>
        <w:rPr>
          <w:bCs/>
          <w:color w:val="002060"/>
          <w:sz w:val="16"/>
          <w:szCs w:val="16"/>
        </w:rPr>
      </w:pPr>
      <w:r w:rsidRPr="00DE096C">
        <w:rPr>
          <w:bCs/>
          <w:color w:val="002060"/>
          <w:sz w:val="16"/>
          <w:szCs w:val="16"/>
        </w:rPr>
        <w:t xml:space="preserve">Нельзя сказать, что командование военно-морского флота Германии единодушно поддержало порыв «сумасшедшего лейтенанта». Многие адмиралы старой закалки, ревниво относившиеся к успехам новых видов оружия вроде подводных лодок и дирижаблей и слепо верившие в то, что «дредноут» по-прежнему является «царем зверей» среди прочей водоплавающей мелюзги, довольно резко критиковали план Штрассера. Их главными аргументами против рейдов на Англию выступали малая бомбовая нагрузка цеппелинов и их высокая уязвимость от зенитного огня. </w:t>
      </w:r>
    </w:p>
    <w:p w14:paraId="6C49C91A" w14:textId="77777777" w:rsidR="00B67D7C" w:rsidRPr="00DE096C" w:rsidRDefault="00B67D7C" w:rsidP="00D45A46">
      <w:pPr>
        <w:jc w:val="both"/>
        <w:rPr>
          <w:bCs/>
          <w:color w:val="002060"/>
          <w:sz w:val="16"/>
          <w:szCs w:val="16"/>
        </w:rPr>
      </w:pPr>
      <w:r w:rsidRPr="00DE096C">
        <w:rPr>
          <w:bCs/>
          <w:color w:val="002060"/>
          <w:sz w:val="16"/>
          <w:szCs w:val="16"/>
        </w:rPr>
        <w:t>Но Штрассера не так-то просто было сбить с пути, который он считал единственно правильным в сложившейся ситуации. Да, соглашался он, один залп линкора весит в несколько раз больше, чем бомбовая нагрузка самого большого дирижабля. Но линкоры флота заперты англичанами в гаванях и в принципе не могут обстреливать британское побережье. Очевидно, что любой броненосец, прорвавшийся в устье Темзы, способен «переколотить очень много посуды» на «военной кухне» англичан. Только вот добраться туда ему не позволит ни британский флот, ни батареи береговой обороны. А цеппелин под покровом ночи незаметно проскользнет над Северным морем и нанесет спящему Джону Булю удар прямо в спину. Цель бомбардировок Англии, доказывал Штрассер, заключается не в физическом разрушении ее военной промышленности и инфраструктуры, а в подрыве боевого духа противника, создания паники в тылу врага. Когда на беззащитные города обрушатся первые [110] бомбы, англичанам придется срочно перебрасывать с фронта на территорию метрополии зенитные батареи, прожекторные дивизионы и эскадрильи истребителей, так необходимые на Западном фронте. Ночные налеты заставят ввести затемнение городов, гаваней, заводов, арсеналов, что, в свою очередь, самым негативным образом скажется на выпуске военной продукции. А что касается возможных потерь, так ни одно сражение не может быть выиграно без крови и жертв. Он, Петер Штрассер, и его подчиненные являются верными солдатами кайзера и готовы умереть за фатерлянд, если это потребуется. Боевой дух в Дивизионе воздушных кораблей необычайно высок, материальная часть находится в полном порядке, он как автор и командир операции ручается за ее благополучный исход (11324).</w:t>
      </w:r>
    </w:p>
    <w:p w14:paraId="65B4CF5F" w14:textId="77777777" w:rsidR="00B67D7C" w:rsidRPr="00DE096C" w:rsidRDefault="00B67D7C" w:rsidP="00D45A46">
      <w:pPr>
        <w:shd w:val="clear" w:color="auto" w:fill="FFFFFF"/>
        <w:jc w:val="both"/>
        <w:rPr>
          <w:bCs/>
          <w:i/>
          <w:color w:val="002060"/>
          <w:sz w:val="16"/>
          <w:szCs w:val="16"/>
        </w:rPr>
      </w:pPr>
    </w:p>
    <w:p w14:paraId="64846320" w14:textId="77777777" w:rsidR="00B67D7C" w:rsidRPr="00DE096C" w:rsidRDefault="00B67D7C" w:rsidP="00D45A46">
      <w:pPr>
        <w:jc w:val="both"/>
        <w:rPr>
          <w:bCs/>
          <w:color w:val="002060"/>
          <w:sz w:val="16"/>
          <w:szCs w:val="16"/>
        </w:rPr>
      </w:pPr>
      <w:r w:rsidRPr="00DE096C">
        <w:rPr>
          <w:bCs/>
          <w:color w:val="002060"/>
          <w:sz w:val="16"/>
          <w:szCs w:val="16"/>
        </w:rPr>
        <w:t>В декабре 1914 года на фронт поступили первые немецкие авиационные передаточные радиостанции. В феврале 1915 года с их помощью был проведен ряд удачных испытательных стрельб. С этого времени совместная работа авиации с артиллерией стала одной из важнейших задач (11282).</w:t>
      </w:r>
    </w:p>
    <w:p w14:paraId="45DBA6E1" w14:textId="77777777" w:rsidR="00B67D7C" w:rsidRPr="00DE096C" w:rsidRDefault="00B67D7C" w:rsidP="00D45A46">
      <w:pPr>
        <w:jc w:val="both"/>
        <w:rPr>
          <w:bCs/>
          <w:color w:val="002060"/>
          <w:sz w:val="16"/>
          <w:szCs w:val="16"/>
        </w:rPr>
      </w:pPr>
    </w:p>
    <w:p w14:paraId="0C8E9CF9" w14:textId="5A4DE519" w:rsidR="00CF63A2" w:rsidRPr="00DE096C" w:rsidRDefault="00CF63A2" w:rsidP="00CF63A2">
      <w:pPr>
        <w:shd w:val="clear" w:color="auto" w:fill="FFFFFF"/>
        <w:jc w:val="both"/>
        <w:rPr>
          <w:bCs/>
          <w:i/>
          <w:color w:val="002060"/>
          <w:sz w:val="16"/>
          <w:szCs w:val="16"/>
        </w:rPr>
      </w:pPr>
      <w:r w:rsidRPr="00DE096C">
        <w:rPr>
          <w:bCs/>
          <w:i/>
          <w:color w:val="002060"/>
          <w:sz w:val="16"/>
          <w:szCs w:val="16"/>
        </w:rPr>
        <w:t xml:space="preserve">Авиация и воздухоплавание </w:t>
      </w:r>
      <w:r>
        <w:rPr>
          <w:bCs/>
          <w:i/>
          <w:color w:val="002060"/>
          <w:sz w:val="16"/>
          <w:szCs w:val="16"/>
        </w:rPr>
        <w:t>Франции</w:t>
      </w:r>
      <w:r w:rsidRPr="00DE096C">
        <w:rPr>
          <w:bCs/>
          <w:i/>
          <w:color w:val="002060"/>
          <w:sz w:val="16"/>
          <w:szCs w:val="16"/>
        </w:rPr>
        <w:t>:</w:t>
      </w:r>
    </w:p>
    <w:p w14:paraId="5628B7E0" w14:textId="77777777" w:rsidR="00CF63A2" w:rsidRPr="00DE096C" w:rsidRDefault="00CF63A2" w:rsidP="00CF63A2">
      <w:pPr>
        <w:shd w:val="clear" w:color="auto" w:fill="FFFFFF"/>
        <w:jc w:val="both"/>
        <w:rPr>
          <w:bCs/>
          <w:i/>
          <w:color w:val="002060"/>
          <w:sz w:val="16"/>
          <w:szCs w:val="16"/>
        </w:rPr>
      </w:pPr>
    </w:p>
    <w:p w14:paraId="00767FBE" w14:textId="77777777" w:rsidR="00CF63A2" w:rsidRPr="00CF03EC" w:rsidRDefault="00CF63A2" w:rsidP="00CF63A2">
      <w:pPr>
        <w:jc w:val="both"/>
        <w:rPr>
          <w:color w:val="0070C0"/>
          <w:sz w:val="16"/>
          <w:szCs w:val="16"/>
        </w:rPr>
      </w:pPr>
      <w:r w:rsidRPr="00CF03EC">
        <w:rPr>
          <w:color w:val="0070C0"/>
          <w:sz w:val="16"/>
          <w:szCs w:val="16"/>
        </w:rPr>
        <w:t>В декабре 1914 г. знаменитый авиатор Ролан Гарро получил право управлять военным аэропланом. Но штат пилотов в M.S.23 оказался заполнен, и Гарро переводят в эскадрилью M.S.26. И вот там с помощью своего механика Жюля Гюйе и специально приехавшего к тому времени уже демобилизованного Раймонда Солнье он переделал один Моран Тип L «Парасоль» так, как они задумали еще осенью (25772).</w:t>
      </w:r>
    </w:p>
    <w:p w14:paraId="5D0F3A5E" w14:textId="77777777" w:rsidR="00CF63A2" w:rsidRPr="00CF03EC" w:rsidRDefault="00CF63A2" w:rsidP="00CF63A2">
      <w:pPr>
        <w:jc w:val="both"/>
        <w:rPr>
          <w:color w:val="0070C0"/>
          <w:sz w:val="16"/>
          <w:szCs w:val="16"/>
        </w:rPr>
      </w:pPr>
    </w:p>
    <w:p w14:paraId="3908DBE1" w14:textId="748D8097" w:rsidR="00331FFE" w:rsidRPr="00DE096C" w:rsidRDefault="00331FFE" w:rsidP="00D45A46">
      <w:pPr>
        <w:shd w:val="clear" w:color="auto" w:fill="FFFFFF"/>
        <w:jc w:val="both"/>
        <w:rPr>
          <w:bCs/>
          <w:i/>
          <w:color w:val="002060"/>
          <w:sz w:val="16"/>
          <w:szCs w:val="16"/>
        </w:rPr>
      </w:pPr>
      <w:r w:rsidRPr="00DE096C">
        <w:rPr>
          <w:bCs/>
          <w:i/>
          <w:color w:val="002060"/>
          <w:sz w:val="16"/>
          <w:szCs w:val="16"/>
        </w:rPr>
        <w:t>Авиация и воздухоплавание за рубежом:</w:t>
      </w:r>
    </w:p>
    <w:p w14:paraId="23E82706" w14:textId="77777777" w:rsidR="00331FFE" w:rsidRPr="00DE096C" w:rsidRDefault="00331FFE" w:rsidP="00D45A46">
      <w:pPr>
        <w:shd w:val="clear" w:color="auto" w:fill="FFFFFF"/>
        <w:jc w:val="both"/>
        <w:rPr>
          <w:bCs/>
          <w:i/>
          <w:color w:val="002060"/>
          <w:sz w:val="16"/>
          <w:szCs w:val="16"/>
        </w:rPr>
      </w:pPr>
    </w:p>
    <w:p w14:paraId="204D539F" w14:textId="77777777" w:rsidR="00331FFE" w:rsidRPr="00DE096C" w:rsidRDefault="00331FFE" w:rsidP="00D45A46">
      <w:pPr>
        <w:jc w:val="both"/>
        <w:rPr>
          <w:bCs/>
          <w:color w:val="002060"/>
          <w:sz w:val="16"/>
          <w:szCs w:val="16"/>
        </w:rPr>
      </w:pPr>
      <w:r w:rsidRPr="00DE096C">
        <w:rPr>
          <w:bCs/>
          <w:color w:val="002060"/>
          <w:sz w:val="16"/>
          <w:szCs w:val="16"/>
        </w:rPr>
        <w:t>В декабре 1914 по завершении осады Циндао «Вакамия» возвращает в Японию, неся японские военно-морские гидросамолеты, дислоцированные в Циндао. Японская военно-морская авиация не ведет боевых действий во время Первой мировой войны (20337).</w:t>
      </w:r>
    </w:p>
    <w:p w14:paraId="518DC64A" w14:textId="77777777" w:rsidR="00331FFE" w:rsidRPr="00DE096C" w:rsidRDefault="00331FFE" w:rsidP="00D45A46">
      <w:pPr>
        <w:jc w:val="both"/>
        <w:rPr>
          <w:bCs/>
          <w:color w:val="002060"/>
          <w:sz w:val="16"/>
          <w:szCs w:val="16"/>
        </w:rPr>
      </w:pPr>
    </w:p>
    <w:p w14:paraId="47ECA148" w14:textId="77777777" w:rsidR="00000AB4" w:rsidRPr="00DE096C" w:rsidRDefault="00000AB4" w:rsidP="00D45A46">
      <w:pPr>
        <w:jc w:val="both"/>
        <w:rPr>
          <w:bCs/>
          <w:color w:val="002060"/>
          <w:sz w:val="16"/>
          <w:szCs w:val="16"/>
        </w:rPr>
      </w:pPr>
      <w:r w:rsidRPr="00DE096C">
        <w:rPr>
          <w:bCs/>
          <w:color w:val="002060"/>
          <w:sz w:val="16"/>
          <w:szCs w:val="16"/>
          <w:lang w:bidi="en-US"/>
        </w:rPr>
        <w:t>В декабре 1914 года турки отправили в Германию двенадцать офицеров для обучения пилотов. немецкий обит. Эрих фон Серно прибыл в Константинополь в январе 1915 года и был назначен главой Османской летной группы (османли хавакувветлери). В феврале 1915 г. в Сан-Стефано, в 25 км к западу от Константинополя, был создан аэродром (</w:t>
      </w:r>
      <w:r w:rsidRPr="00DE096C">
        <w:rPr>
          <w:bCs/>
          <w:color w:val="002060"/>
          <w:sz w:val="16"/>
          <w:szCs w:val="16"/>
          <w:lang w:val="en-US" w:bidi="en-US"/>
        </w:rPr>
        <w:t>Flugzeugstation</w:t>
      </w:r>
      <w:r w:rsidRPr="00DE096C">
        <w:rPr>
          <w:bCs/>
          <w:color w:val="002060"/>
          <w:sz w:val="16"/>
          <w:szCs w:val="16"/>
          <w:lang w:bidi="en-US"/>
        </w:rPr>
        <w:t xml:space="preserve">) и началось формирование частей. Только в январе 1916 года Османа </w:t>
      </w:r>
      <w:r w:rsidRPr="00DE096C">
        <w:rPr>
          <w:bCs/>
          <w:color w:val="002060"/>
          <w:sz w:val="16"/>
          <w:szCs w:val="16"/>
          <w:lang w:val="en-US" w:bidi="en-US"/>
        </w:rPr>
        <w:t>Fl</w:t>
      </w:r>
      <w:r w:rsidRPr="00DE096C">
        <w:rPr>
          <w:bCs/>
          <w:color w:val="002060"/>
          <w:sz w:val="16"/>
          <w:szCs w:val="16"/>
          <w:lang w:bidi="en-US"/>
        </w:rPr>
        <w:t>.</w:t>
      </w:r>
      <w:r w:rsidRPr="00DE096C">
        <w:rPr>
          <w:bCs/>
          <w:color w:val="002060"/>
          <w:sz w:val="16"/>
          <w:szCs w:val="16"/>
          <w:lang w:val="en-US" w:bidi="en-US"/>
        </w:rPr>
        <w:t>Abt</w:t>
      </w:r>
      <w:r w:rsidRPr="00DE096C">
        <w:rPr>
          <w:bCs/>
          <w:color w:val="002060"/>
          <w:sz w:val="16"/>
          <w:szCs w:val="16"/>
          <w:lang w:bidi="en-US"/>
        </w:rPr>
        <w:t>.7 отправили на Кавказ. На турецких крыльях и фюзеляжах изначально использовался немецкий железный крест, но позже он был заменен черным квадратом (23525).</w:t>
      </w:r>
    </w:p>
    <w:p w14:paraId="5BF41801" w14:textId="77777777" w:rsidR="00000AB4" w:rsidRPr="00DE096C" w:rsidRDefault="00000AB4" w:rsidP="00D45A46">
      <w:pPr>
        <w:jc w:val="both"/>
        <w:rPr>
          <w:bCs/>
          <w:color w:val="002060"/>
          <w:sz w:val="16"/>
          <w:szCs w:val="16"/>
          <w:lang w:bidi="en-US"/>
        </w:rPr>
      </w:pPr>
    </w:p>
    <w:p w14:paraId="169DE0EE" w14:textId="77777777" w:rsidR="00CB5DF0" w:rsidRPr="00DE096C" w:rsidRDefault="00CB5DF0" w:rsidP="00D45A46">
      <w:pPr>
        <w:jc w:val="both"/>
        <w:rPr>
          <w:bCs/>
          <w:i/>
          <w:color w:val="002060"/>
          <w:sz w:val="16"/>
          <w:szCs w:val="16"/>
        </w:rPr>
      </w:pPr>
      <w:r w:rsidRPr="00DE096C">
        <w:rPr>
          <w:bCs/>
          <w:i/>
          <w:color w:val="002060"/>
          <w:sz w:val="16"/>
          <w:szCs w:val="16"/>
        </w:rPr>
        <w:t>За рубежом:</w:t>
      </w:r>
    </w:p>
    <w:p w14:paraId="41CAC01C" w14:textId="77777777" w:rsidR="00CB5DF0" w:rsidRPr="00DE096C" w:rsidRDefault="00CB5DF0" w:rsidP="00D45A46">
      <w:pPr>
        <w:jc w:val="both"/>
        <w:rPr>
          <w:bCs/>
          <w:color w:val="002060"/>
          <w:sz w:val="16"/>
          <w:szCs w:val="16"/>
        </w:rPr>
      </w:pPr>
    </w:p>
    <w:p w14:paraId="1A38CE1D" w14:textId="77777777" w:rsidR="008405E8" w:rsidRPr="00DE096C" w:rsidRDefault="008405E8" w:rsidP="00D45A46">
      <w:pPr>
        <w:pStyle w:val="ae"/>
        <w:spacing w:before="0" w:beforeAutospacing="0" w:after="0" w:afterAutospacing="0"/>
        <w:jc w:val="both"/>
        <w:rPr>
          <w:bCs/>
          <w:color w:val="002060"/>
          <w:sz w:val="16"/>
          <w:szCs w:val="16"/>
        </w:rPr>
      </w:pPr>
      <w:r w:rsidRPr="00DE096C">
        <w:rPr>
          <w:bCs/>
          <w:color w:val="002060"/>
          <w:sz w:val="16"/>
          <w:szCs w:val="16"/>
        </w:rPr>
        <w:t>В декабре 1914 года на Западном фронте окончательно и бесповоротно закончился период маневренной войны. Противники врылись в землю от Фландрии до швейцарской границы. И сдвинуть их с места не хватало никаких сил. Стороны обросли окопами, блиндажами, пулеметными гнездами, защитились километрами колючей проволоки и минных полей. Все понимали, что прорыв такой глубоко эшелонированной обороны силами пехоты (даже при поддержке артиллерии) стоит слишком больших потерь (18519).</w:t>
      </w:r>
    </w:p>
    <w:p w14:paraId="1047DD25" w14:textId="77777777" w:rsidR="008405E8" w:rsidRPr="00DE096C" w:rsidRDefault="008405E8" w:rsidP="00D45A46">
      <w:pPr>
        <w:pStyle w:val="ae"/>
        <w:spacing w:before="0" w:beforeAutospacing="0" w:after="0" w:afterAutospacing="0"/>
        <w:jc w:val="both"/>
        <w:rPr>
          <w:bCs/>
          <w:color w:val="002060"/>
          <w:sz w:val="16"/>
          <w:szCs w:val="16"/>
        </w:rPr>
      </w:pPr>
    </w:p>
    <w:p w14:paraId="46E2C27A" w14:textId="77777777" w:rsidR="00381A81" w:rsidRPr="00DE096C" w:rsidRDefault="00381A81" w:rsidP="00D45A46">
      <w:pPr>
        <w:jc w:val="both"/>
        <w:rPr>
          <w:bCs/>
          <w:i/>
          <w:color w:val="002060"/>
          <w:sz w:val="16"/>
          <w:szCs w:val="16"/>
        </w:rPr>
      </w:pPr>
      <w:r w:rsidRPr="00DE096C">
        <w:rPr>
          <w:bCs/>
          <w:i/>
          <w:color w:val="002060"/>
          <w:sz w:val="16"/>
          <w:szCs w:val="16"/>
        </w:rPr>
        <w:t>Самолетостроение:</w:t>
      </w:r>
    </w:p>
    <w:p w14:paraId="044B9C50" w14:textId="77777777" w:rsidR="00381A81" w:rsidRPr="00DE096C" w:rsidRDefault="00381A81" w:rsidP="00D45A46">
      <w:pPr>
        <w:jc w:val="both"/>
        <w:rPr>
          <w:bCs/>
          <w:i/>
          <w:color w:val="002060"/>
          <w:sz w:val="16"/>
          <w:szCs w:val="16"/>
        </w:rPr>
      </w:pPr>
    </w:p>
    <w:p w14:paraId="5F583DAD" w14:textId="77777777" w:rsidR="00381A81" w:rsidRPr="00DE096C" w:rsidRDefault="00381A81" w:rsidP="00D45A46">
      <w:pPr>
        <w:jc w:val="both"/>
        <w:rPr>
          <w:bCs/>
          <w:color w:val="002060"/>
          <w:sz w:val="16"/>
          <w:szCs w:val="16"/>
        </w:rPr>
      </w:pPr>
      <w:r w:rsidRPr="00DE096C">
        <w:rPr>
          <w:bCs/>
          <w:color w:val="002060"/>
          <w:sz w:val="16"/>
          <w:szCs w:val="16"/>
        </w:rPr>
        <w:t>В октябре-декабре 1914 г. самолеты С-10бис или С-10в с фабричными номерами 152 и 153 испытывались в Ревеле, но сказать о них что-либо не представляется возможным (2843).</w:t>
      </w:r>
    </w:p>
    <w:p w14:paraId="5742EF89" w14:textId="77777777" w:rsidR="00381A81" w:rsidRPr="00DE096C" w:rsidRDefault="00381A81" w:rsidP="00D45A46">
      <w:pPr>
        <w:jc w:val="both"/>
        <w:rPr>
          <w:bCs/>
          <w:color w:val="002060"/>
          <w:sz w:val="16"/>
          <w:szCs w:val="16"/>
        </w:rPr>
      </w:pPr>
    </w:p>
    <w:p w14:paraId="3DEC44DE" w14:textId="77777777" w:rsidR="00381A81" w:rsidRPr="00DE096C" w:rsidRDefault="00381A81" w:rsidP="00D45A46">
      <w:pPr>
        <w:jc w:val="both"/>
        <w:rPr>
          <w:bCs/>
          <w:color w:val="002060"/>
          <w:sz w:val="16"/>
          <w:szCs w:val="16"/>
        </w:rPr>
      </w:pPr>
      <w:r w:rsidRPr="00DE096C">
        <w:rPr>
          <w:bCs/>
          <w:color w:val="002060"/>
          <w:sz w:val="16"/>
          <w:szCs w:val="16"/>
        </w:rPr>
        <w:t>В декабре 1914 – январе 1915 г. заводские испытания лл М-4 показали существенное улучшение мореходности, а также устойчивости и управляемости в полете, особенно на взлете и посадке. Пилотирование самолета упростилось и его стало возможно использовать и для обучения курсантов (хотя перед этим самолетом такая задача пока не ставилась).</w:t>
      </w:r>
    </w:p>
    <w:p w14:paraId="2C1ADA48" w14:textId="77777777" w:rsidR="00381A81" w:rsidRPr="00DE096C" w:rsidRDefault="00381A81" w:rsidP="00D45A46">
      <w:pPr>
        <w:jc w:val="both"/>
        <w:rPr>
          <w:bCs/>
          <w:color w:val="002060"/>
          <w:sz w:val="16"/>
          <w:szCs w:val="16"/>
        </w:rPr>
      </w:pPr>
      <w:r w:rsidRPr="00DE096C">
        <w:rPr>
          <w:bCs/>
          <w:color w:val="002060"/>
          <w:sz w:val="16"/>
          <w:szCs w:val="16"/>
        </w:rPr>
        <w:t>По завершении I этапа испытаний в феврале 1915 г. потребовались лишь незначительные доработки самолета, которые свелись к обычному восстановительному ремонту, проводимому тогда на всех самолетах при смене сезона.</w:t>
      </w:r>
    </w:p>
    <w:p w14:paraId="1D34C9A2" w14:textId="77777777" w:rsidR="00381A81" w:rsidRPr="00DE096C" w:rsidRDefault="00381A81" w:rsidP="00D45A46">
      <w:pPr>
        <w:jc w:val="both"/>
        <w:rPr>
          <w:bCs/>
          <w:color w:val="002060"/>
          <w:sz w:val="16"/>
          <w:szCs w:val="16"/>
        </w:rPr>
      </w:pPr>
      <w:r w:rsidRPr="00DE096C">
        <w:rPr>
          <w:bCs/>
          <w:color w:val="002060"/>
          <w:sz w:val="16"/>
          <w:szCs w:val="16"/>
        </w:rPr>
        <w:t>Государственные испытания на воде, проведенные весной 1915 г. в Севастополе летчиком-приемщиком Морского министерства, подтвердили улучшение летных данных, и заводу ПРТВ была оплачена постройка четырех самолетов М-4 (вероятно, включая проходивший испытания первый экземпляр).</w:t>
      </w:r>
    </w:p>
    <w:p w14:paraId="0D281EA7" w14:textId="77777777" w:rsidR="00381A81" w:rsidRPr="00DE096C" w:rsidRDefault="00381A81" w:rsidP="00D45A46">
      <w:pPr>
        <w:jc w:val="both"/>
        <w:rPr>
          <w:bCs/>
          <w:color w:val="002060"/>
          <w:sz w:val="16"/>
          <w:szCs w:val="16"/>
        </w:rPr>
      </w:pPr>
      <w:r w:rsidRPr="00DE096C">
        <w:rPr>
          <w:bCs/>
          <w:color w:val="002060"/>
          <w:sz w:val="16"/>
          <w:szCs w:val="16"/>
        </w:rPr>
        <w:t>В середине 1915 г. два самолета М-4 переданы авиации Черноморского Флота и два – Балтийского. Подробных сведений об их использовании нет, т.к. в то время не был налажен учет типов летающих лодок отечественной разработки – они числились как «самолеты ПРТВ» или «самолеты Щетинина», как и машины крупносерийного типа М-5 и применялись с ними одновременно (23594).</w:t>
      </w:r>
    </w:p>
    <w:p w14:paraId="572C9521" w14:textId="77777777" w:rsidR="00381A81" w:rsidRPr="00DE096C" w:rsidRDefault="00381A81" w:rsidP="00D45A46">
      <w:pPr>
        <w:jc w:val="both"/>
        <w:rPr>
          <w:bCs/>
          <w:color w:val="002060"/>
          <w:sz w:val="16"/>
          <w:szCs w:val="16"/>
          <w:lang w:bidi="ru-RU"/>
        </w:rPr>
      </w:pPr>
    </w:p>
    <w:p w14:paraId="4C19BCA6" w14:textId="77777777" w:rsidR="00B67D7C" w:rsidRPr="00DE096C" w:rsidRDefault="00B67D7C" w:rsidP="00D45A46">
      <w:pPr>
        <w:jc w:val="both"/>
        <w:rPr>
          <w:bCs/>
          <w:i/>
          <w:color w:val="002060"/>
          <w:sz w:val="16"/>
          <w:szCs w:val="16"/>
        </w:rPr>
      </w:pPr>
      <w:r w:rsidRPr="00DE096C">
        <w:rPr>
          <w:bCs/>
          <w:i/>
          <w:color w:val="002060"/>
          <w:sz w:val="16"/>
          <w:szCs w:val="16"/>
        </w:rPr>
        <w:t>Самолетостроение:</w:t>
      </w:r>
    </w:p>
    <w:p w14:paraId="12671775" w14:textId="77777777" w:rsidR="00B67D7C" w:rsidRPr="00DE096C" w:rsidRDefault="00B67D7C" w:rsidP="00D45A46">
      <w:pPr>
        <w:jc w:val="both"/>
        <w:rPr>
          <w:bCs/>
          <w:i/>
          <w:color w:val="002060"/>
          <w:sz w:val="16"/>
          <w:szCs w:val="16"/>
        </w:rPr>
      </w:pPr>
    </w:p>
    <w:p w14:paraId="17FB8D3E" w14:textId="77777777" w:rsidR="002424BF" w:rsidRPr="00DE096C" w:rsidRDefault="002424BF" w:rsidP="00D45A46">
      <w:pPr>
        <w:pStyle w:val="p1"/>
        <w:spacing w:before="0" w:beforeAutospacing="0" w:after="0" w:afterAutospacing="0"/>
        <w:jc w:val="both"/>
        <w:rPr>
          <w:bCs/>
          <w:color w:val="002060"/>
          <w:sz w:val="16"/>
          <w:szCs w:val="16"/>
        </w:rPr>
      </w:pPr>
      <w:r w:rsidRPr="00DE096C">
        <w:rPr>
          <w:bCs/>
          <w:color w:val="002060"/>
          <w:sz w:val="16"/>
          <w:szCs w:val="16"/>
        </w:rPr>
        <w:t>С конца 1914 г. «Русско-Балтийский завод» овладел искусством изготовления радиаторов, а затем и конических шестерен. Это и есть та автомобильная промышленность, какой реально располагала Россия в 1914–1917 гг.: по оценке Шугурова, «единственный, пусть небольшой, автомобильный завод» (18409).</w:t>
      </w:r>
    </w:p>
    <w:p w14:paraId="28663DAB" w14:textId="77777777" w:rsidR="002424BF" w:rsidRPr="00DE096C" w:rsidRDefault="002424BF" w:rsidP="00D45A46">
      <w:pPr>
        <w:pStyle w:val="p1"/>
        <w:spacing w:before="0" w:beforeAutospacing="0" w:after="0" w:afterAutospacing="0"/>
        <w:jc w:val="both"/>
        <w:rPr>
          <w:bCs/>
          <w:color w:val="002060"/>
          <w:sz w:val="16"/>
          <w:szCs w:val="16"/>
        </w:rPr>
      </w:pPr>
    </w:p>
    <w:p w14:paraId="7558A129" w14:textId="77777777" w:rsidR="002424BF" w:rsidRPr="00DE096C" w:rsidRDefault="002424BF" w:rsidP="00D45A46">
      <w:pPr>
        <w:shd w:val="clear" w:color="auto" w:fill="FFFFFF"/>
        <w:jc w:val="both"/>
        <w:rPr>
          <w:bCs/>
          <w:color w:val="002060"/>
          <w:sz w:val="16"/>
          <w:szCs w:val="16"/>
        </w:rPr>
      </w:pPr>
      <w:r w:rsidRPr="00DE096C">
        <w:rPr>
          <w:bCs/>
          <w:color w:val="002060"/>
          <w:sz w:val="16"/>
          <w:szCs w:val="16"/>
        </w:rPr>
        <w:t xml:space="preserve">В конце 1914 г., отправив триплан в Севастополь, Моска попытался «на полную катушку» использовать сарай Безобразова. Моска непонятно каким образом сумел договориться с военным ведомством о выдаче ему заказа на производство 75 учебных «Фарманов-IV» и даже получил аванс на организацию производства. Так сарай Безобразова и еще один где-то в районе Нижней Масловки по соседству с « Дуксом » превратились во второй в Москве самолетостроительный завод «Моска» (еще один сарай в Коптево неподалеку от станции Подмосковная выполнял роль склада готовой продукции). Первоначально здесь развернули небольшие ремонтно-сборочный и механический цехи, деревообрабатывающую и столярную мастерские, а также сушильню. Все комплектующие, в том числе двигатели, колеса и другие детали завод получал со стороны, на нем велась только сборка. Месячная производительность составляла два—три самолета в месяц, к концу 1916 г. увеличилась до пяти. В отсутствие Безобразова соавтором Моска, напарником, а возможно и компаньоном стал уже упоминавшийся штабс-капитан Быстрицкий, в то время военпред на заводе «Моска» (возможно, по совместительству с « Дуксом »). Вдвоем они сконструировали два опытных самолета, вошедших в историю авиации как «Моска-МБ» («Моска — Быстрицкий») и «Моска-МБбис». Первый из них, двухместный разведчик, по схеме представлял собой расчалочный высокоплан, фактически парасоль, но с разрезным крылом, складывающимся для удобства транспортировки. Обзор был превосходный, но просвет между крыльями вместо центроплана испортил аэродинамику, скорость не превышала 100 км/ч. Позже все просветы между крыльями и фюзеляжем затянули полотном. В 1915—1916 гг. Моска построил и сдал военному ведомству дюжину двухместных разведчиков «Моска-МБ». Они применялись как учебные в Московской авиашколе </w:t>
      </w:r>
      <w:r w:rsidRPr="00DE096C">
        <w:rPr>
          <w:bCs/>
          <w:color w:val="002060"/>
          <w:sz w:val="16"/>
          <w:szCs w:val="16"/>
        </w:rPr>
        <w:lastRenderedPageBreak/>
        <w:t>и использовались на фронте, некоторые из них летали еще в 1918 г. Затем Моска переделал разведчик в одноместный истребитель «Моска-МБбис» меньших размеров, у него складывались не только крылья, но и горизонтальное цельноповоротное оперение. На самолет ставили пулемет «Льюис» или «Виккерс» без синхронизатора. Стрельба шла либо поверх винта, либо на лопастях укреплялись отсекатели пуль. Самолет оказался удачным, обладал неплохими маневренными качествами, причем «результаты испытаний выяснили полное соответствие аппарата боевым требованиям». В 1916 г. его приняли на вооружение русской армии. Особое Совещание по обороне государства отнесло истребитель «Моска-МБбис» к «предпочтительным типам аппаратов» и согласилось выдать заводу крупный заказ на 225 самолетов с моторами «Рон» в 80 или 110 л. с или «Клерже» в 110 л. с. Параллельно Моска получил заказ на постройку 100 истребителей «Ньюпор-11» с моторами «Рон» в 80 и 110 л. с. или «Испано-Сюиза» в 150 л. с. Срок поставки всех 325 самолетов — 1 июля 1917 г (15219).</w:t>
      </w:r>
    </w:p>
    <w:p w14:paraId="642B8C24" w14:textId="77777777" w:rsidR="002424BF" w:rsidRPr="00DE096C" w:rsidRDefault="002424BF" w:rsidP="00D45A46">
      <w:pPr>
        <w:jc w:val="both"/>
        <w:rPr>
          <w:bCs/>
          <w:color w:val="002060"/>
          <w:sz w:val="16"/>
          <w:szCs w:val="16"/>
        </w:rPr>
      </w:pPr>
    </w:p>
    <w:p w14:paraId="75AC30CB" w14:textId="77777777" w:rsidR="002424BF" w:rsidRPr="00DE096C" w:rsidRDefault="002424BF" w:rsidP="00D45A46">
      <w:pPr>
        <w:jc w:val="both"/>
        <w:rPr>
          <w:bCs/>
          <w:color w:val="002060"/>
          <w:sz w:val="16"/>
          <w:szCs w:val="16"/>
        </w:rPr>
      </w:pPr>
      <w:r w:rsidRPr="00DE096C">
        <w:rPr>
          <w:bCs/>
          <w:color w:val="002060"/>
          <w:sz w:val="16"/>
          <w:szCs w:val="16"/>
        </w:rPr>
        <w:t>В конце 1914 г. на Авиабалте работало 470 человек по 10–11 часов, причем в механическом цехе — 230, в столярном —111, в сборочном — 74, в малярном — 29. Станочный парк насчитывал 18 деревообрабатывающих станков, 15 — токарно-винторезных, 2 — револьверных, 2 — автоматических, 1 — фрезерный, 5 — сверлильных, 1 — долбежный. Директором авиационного отделения (в годы войны предприятие иногда называли «Авиабалт») являлся М. Ф. Климиксеев (15125).</w:t>
      </w:r>
    </w:p>
    <w:p w14:paraId="69D8D547" w14:textId="77777777" w:rsidR="002424BF" w:rsidRPr="00DE096C" w:rsidRDefault="002424BF" w:rsidP="00D45A46">
      <w:pPr>
        <w:jc w:val="both"/>
        <w:rPr>
          <w:bCs/>
          <w:color w:val="002060"/>
          <w:sz w:val="16"/>
          <w:szCs w:val="16"/>
        </w:rPr>
      </w:pPr>
    </w:p>
    <w:p w14:paraId="3E7AF69C" w14:textId="77777777" w:rsidR="002424BF" w:rsidRPr="00DE096C" w:rsidRDefault="002424BF" w:rsidP="00D45A46">
      <w:pPr>
        <w:pStyle w:val="ae"/>
        <w:spacing w:before="0" w:beforeAutospacing="0" w:after="0" w:afterAutospacing="0"/>
        <w:jc w:val="both"/>
        <w:rPr>
          <w:bCs/>
          <w:color w:val="002060"/>
          <w:sz w:val="16"/>
          <w:szCs w:val="16"/>
        </w:rPr>
      </w:pPr>
      <w:r w:rsidRPr="00DE096C">
        <w:rPr>
          <w:bCs/>
          <w:color w:val="002060"/>
          <w:sz w:val="16"/>
          <w:szCs w:val="16"/>
        </w:rPr>
        <w:t>В конце 1914 г. потребность фронта определялась в 1,5 млн. винтовок единовременно и 100—150 тыс. в месяц, о чем и было доложено царю, а после его одобрения, 15 декабря, по телеграфу сообщено военному министру. Между тем «вопрос с винтовками не улучшался, несмотря на все полученные обещания. Производительность наших заводов не превышала 42—45 тыс новых винтовок..»</w:t>
      </w:r>
      <w:bookmarkStart w:id="218" w:name="58r"/>
      <w:bookmarkEnd w:id="218"/>
      <w:r w:rsidR="009D3CAD" w:rsidRPr="00DE096C">
        <w:rPr>
          <w:bCs/>
          <w:color w:val="002060"/>
          <w:sz w:val="16"/>
          <w:szCs w:val="16"/>
          <w:vertAlign w:val="superscript"/>
        </w:rPr>
        <w:fldChar w:fldCharType="begin"/>
      </w:r>
      <w:r w:rsidRPr="00DE096C">
        <w:rPr>
          <w:bCs/>
          <w:color w:val="002060"/>
          <w:sz w:val="16"/>
          <w:szCs w:val="16"/>
          <w:vertAlign w:val="superscript"/>
        </w:rPr>
        <w:instrText xml:space="preserve"> HYPERLINK "http://sergeyhry.narod.ru/txt/sidorov_a_l/econom_rus_ww1_002.htm" \l "58p" </w:instrText>
      </w:r>
      <w:r w:rsidR="009D3CAD" w:rsidRPr="00DE096C">
        <w:rPr>
          <w:bCs/>
          <w:color w:val="002060"/>
          <w:sz w:val="16"/>
          <w:szCs w:val="16"/>
          <w:vertAlign w:val="superscript"/>
        </w:rPr>
      </w:r>
      <w:r w:rsidR="009D3CAD" w:rsidRPr="00DE096C">
        <w:rPr>
          <w:bCs/>
          <w:color w:val="002060"/>
          <w:sz w:val="16"/>
          <w:szCs w:val="16"/>
          <w:vertAlign w:val="superscript"/>
        </w:rPr>
        <w:fldChar w:fldCharType="separate"/>
      </w:r>
      <w:r w:rsidRPr="00DE096C">
        <w:rPr>
          <w:rStyle w:val="af0"/>
          <w:bCs/>
          <w:color w:val="002060"/>
          <w:sz w:val="16"/>
          <w:szCs w:val="16"/>
          <w:vertAlign w:val="superscript"/>
        </w:rPr>
        <w:t>58</w:t>
      </w:r>
      <w:r w:rsidR="009D3CAD" w:rsidRPr="00DE096C">
        <w:rPr>
          <w:bCs/>
          <w:color w:val="002060"/>
          <w:sz w:val="16"/>
          <w:szCs w:val="16"/>
          <w:vertAlign w:val="superscript"/>
        </w:rPr>
        <w:fldChar w:fldCharType="end"/>
      </w:r>
      <w:r w:rsidRPr="00DE096C">
        <w:rPr>
          <w:bCs/>
          <w:color w:val="002060"/>
          <w:sz w:val="16"/>
          <w:szCs w:val="16"/>
        </w:rPr>
        <w:t>. По словам Н. Н. Янушкевича, в феврале 1915 г. военное ведомство обещало довести выпуск винтовок к сентябрю до 100 тыс. в месяц. Действительная же производительность заводов давала лишь 71—78 тыс. в месяц и поднялась до 100 тыс. лишь в марте 1916 г. Вследствие отсутствия винтовок «положение обострилось до невероятности, и части таяли безнадежно, имея в тылу по 400—600 человек безоружных, ожидавших свободные винтовки от убитых товарищей и в то же время мало к чему подготовленных. Все предложения о формировании польских, латышских и армянских дружин ставились в зависимость от наличия винтовок»</w:t>
      </w:r>
      <w:bookmarkStart w:id="219" w:name="59r"/>
      <w:bookmarkEnd w:id="219"/>
      <w:r w:rsidRPr="00DE096C">
        <w:rPr>
          <w:bCs/>
          <w:color w:val="002060"/>
          <w:sz w:val="16"/>
          <w:szCs w:val="16"/>
        </w:rPr>
        <w:t xml:space="preserve"> (18524).</w:t>
      </w:r>
    </w:p>
    <w:p w14:paraId="0E539524" w14:textId="77777777" w:rsidR="002424BF" w:rsidRPr="00DE096C" w:rsidRDefault="002424BF" w:rsidP="00D45A46">
      <w:pPr>
        <w:pStyle w:val="ae"/>
        <w:spacing w:before="0" w:beforeAutospacing="0" w:after="0" w:afterAutospacing="0"/>
        <w:jc w:val="both"/>
        <w:rPr>
          <w:bCs/>
          <w:color w:val="002060"/>
          <w:sz w:val="16"/>
          <w:szCs w:val="16"/>
        </w:rPr>
      </w:pPr>
    </w:p>
    <w:p w14:paraId="378D5115" w14:textId="77777777" w:rsidR="002424BF" w:rsidRPr="00DE096C" w:rsidRDefault="002424BF" w:rsidP="00D45A46">
      <w:pPr>
        <w:jc w:val="both"/>
        <w:rPr>
          <w:bCs/>
          <w:color w:val="002060"/>
          <w:sz w:val="16"/>
          <w:szCs w:val="16"/>
        </w:rPr>
      </w:pPr>
      <w:r w:rsidRPr="00DE096C">
        <w:rPr>
          <w:bCs/>
          <w:color w:val="002060"/>
          <w:sz w:val="16"/>
          <w:szCs w:val="16"/>
        </w:rPr>
        <w:t>В конце 1914 г. Сикорским был спроектирован с использованием опыта создания С-8 и С-10 маленький одностоечный биплан. Первоначально он был двухместным с сиденьями, расположенными рядом в тесной кабине, и предназначался для отрядов « Муромцев» в качестве тренировочного самолета, а также скоростного разведчика для поиска целей для воздушных кораблей. Первый С-16 с заводским номером 154 поступил в эскадру для испытаний в боевых условиях 24 января 1915 г. В марте туда же были направлены еще две машины (№ 155 и 156) (15127).</w:t>
      </w:r>
    </w:p>
    <w:p w14:paraId="436C65A6" w14:textId="77777777" w:rsidR="002424BF" w:rsidRPr="00DE096C" w:rsidRDefault="002424BF" w:rsidP="00D45A46">
      <w:pPr>
        <w:jc w:val="both"/>
        <w:rPr>
          <w:bCs/>
          <w:color w:val="002060"/>
          <w:sz w:val="16"/>
          <w:szCs w:val="16"/>
        </w:rPr>
      </w:pPr>
    </w:p>
    <w:p w14:paraId="30847509" w14:textId="77777777" w:rsidR="002424BF" w:rsidRPr="00DE096C" w:rsidRDefault="002424BF" w:rsidP="00D45A46">
      <w:pPr>
        <w:pStyle w:val="2"/>
        <w:spacing w:before="0" w:after="0"/>
        <w:jc w:val="both"/>
        <w:rPr>
          <w:b w:val="0"/>
          <w:bCs/>
          <w:color w:val="002060"/>
          <w:sz w:val="16"/>
          <w:szCs w:val="16"/>
        </w:rPr>
      </w:pPr>
      <w:r w:rsidRPr="00DE096C">
        <w:rPr>
          <w:b w:val="0"/>
          <w:bCs/>
          <w:color w:val="002060"/>
          <w:sz w:val="16"/>
          <w:szCs w:val="16"/>
        </w:rPr>
        <w:t>В конце 1914 г. Моска, отправив самолет в Севастополь, попытался «на полную катушку» использовать сарай Безобразова. Моска непонятно каким образом сумел договориться с военным ведомством о выдаче ему заказа на производство 75 учебных «Фарманов-IV» и даже получил аванс на организацию производства. Так сарай Безобразова и- еще один где-то в районе Нижней Масловки по соседству с «Дуксом» превратились во второй в Москве самолетостроительный завод «Моска» (еще один сарай I в Коптево неподалеку от станции Подмосковная выполнял роль склада готовой продукции). Первоначально здесь развернули небольшие ремонтно-сборочный и механический цехи, деревообрабатывающую и столярную мастерские, а также сушильню. Все комплектующие, в том числе двигатели, колеса и другие детали завод получал со стороны, на нем велась только сборка. Месячная производительность составляла два—три самолета в месяц, к концу 1916 г. увеличилась до пяти.</w:t>
      </w:r>
    </w:p>
    <w:p w14:paraId="648AAB0A" w14:textId="77777777" w:rsidR="002424BF" w:rsidRPr="00DE096C" w:rsidRDefault="002424BF" w:rsidP="00D45A46">
      <w:pPr>
        <w:pStyle w:val="2"/>
        <w:spacing w:before="0" w:after="0"/>
        <w:jc w:val="both"/>
        <w:rPr>
          <w:b w:val="0"/>
          <w:bCs/>
          <w:color w:val="002060"/>
          <w:sz w:val="16"/>
          <w:szCs w:val="16"/>
        </w:rPr>
      </w:pPr>
      <w:r w:rsidRPr="00DE096C">
        <w:rPr>
          <w:b w:val="0"/>
          <w:bCs/>
          <w:color w:val="002060"/>
          <w:sz w:val="16"/>
          <w:szCs w:val="16"/>
        </w:rPr>
        <w:t>В течение 1915—1916 гт. заказ на «Фарманы» был выполнен и Моска продолжил конструирование опытных самолетов. Весьма вероятно, что взаимоотношения</w:t>
      </w:r>
      <w:r w:rsidRPr="00DE096C">
        <w:rPr>
          <w:b w:val="0"/>
          <w:bCs/>
          <w:color w:val="002060"/>
          <w:sz w:val="16"/>
          <w:szCs w:val="16"/>
        </w:rPr>
        <w:t> </w:t>
      </w:r>
      <w:r w:rsidRPr="00DE096C">
        <w:rPr>
          <w:b w:val="0"/>
          <w:bCs/>
          <w:color w:val="002060"/>
          <w:sz w:val="16"/>
          <w:szCs w:val="16"/>
        </w:rPr>
        <w:t>Моска и Безобразова в 1916—1917 гг. складывались не лучшим образом, поскольку после возвращения офицера в Москву вскоре появился «Торговый дом А.А. Безобразов, В.А.Понизовкин и Ко». Фамилии Моска в названии нет, и как делили первый сарай — неизвестно. Новая фирма также получила от военного ведомства заказ на постройку «Фарманов-IV» без двигателей и винтов по цене 6300 руб. за самолет. По контракту к 1 октября 1917 г. предусматривалась сдача 15 машин.</w:t>
      </w:r>
    </w:p>
    <w:p w14:paraId="36D0977E" w14:textId="77777777" w:rsidR="002424BF" w:rsidRPr="00DE096C" w:rsidRDefault="002424BF" w:rsidP="00D45A46">
      <w:pPr>
        <w:pStyle w:val="2"/>
        <w:spacing w:before="0" w:after="0"/>
        <w:jc w:val="both"/>
        <w:rPr>
          <w:b w:val="0"/>
          <w:bCs/>
          <w:color w:val="002060"/>
          <w:sz w:val="16"/>
          <w:szCs w:val="16"/>
        </w:rPr>
      </w:pPr>
      <w:r w:rsidRPr="00DE096C">
        <w:rPr>
          <w:b w:val="0"/>
          <w:bCs/>
          <w:color w:val="002060"/>
          <w:sz w:val="16"/>
          <w:szCs w:val="16"/>
        </w:rPr>
        <w:t>В отсутствие Безобразова соавтором Моска, напарником, а возможно и компаньоном стал уже упоминавшийся штабс-капитан Быстрицкий, в то время военпред на заводе «Моска» (возможно, по совместительству с «Дуксом»). Вдвоем они сконструировали два опытных самолета, вошедших в историю авиации как «Моска-МБ» («Моска — Быстрицкий») и «Моска-МБбис». Первый из них, двухместный разведчик, по схеме представлял собой расчалочный высокоплан, фактически парасоль, но с разрезным крылом, складывающимся для удобства транспортировки. Обзор был превосходный, но просвет между крыльями вместо центроплана испортил аэродинамику, скорость не превышала 100 км/ч. Позже все просветы между крыльями и фюзеляжем затянули полотном. В 1915—1916 гг Моска посгрпиа и сдал военному. ведомству дюжину двухместных разведчиков «Моска-МБ». Они применялись как учебные в Московской авиашколе и использовались на фронте, некоторые из них летали еще в 1918 г.</w:t>
      </w:r>
    </w:p>
    <w:p w14:paraId="7B509616" w14:textId="77777777" w:rsidR="002424BF" w:rsidRPr="00DE096C" w:rsidRDefault="002424BF" w:rsidP="00D45A46">
      <w:pPr>
        <w:pStyle w:val="2"/>
        <w:spacing w:before="0" w:after="0"/>
        <w:jc w:val="both"/>
        <w:rPr>
          <w:b w:val="0"/>
          <w:bCs/>
          <w:color w:val="002060"/>
          <w:sz w:val="16"/>
          <w:szCs w:val="16"/>
        </w:rPr>
      </w:pPr>
      <w:r w:rsidRPr="00DE096C">
        <w:rPr>
          <w:b w:val="0"/>
          <w:bCs/>
          <w:color w:val="002060"/>
          <w:sz w:val="16"/>
          <w:szCs w:val="16"/>
        </w:rPr>
        <w:t>Затем Моска переделал разведчик в одноместный истребитель «Моска-МБбис» меньших размеров, у него складывались не только крылья, но и горизонтальное цельноповоротное оперение. На самолет ставили пулемет «Льюис» или «Виккерс» без синхронизатора. Стрельба шла либо поверх винта, либо на лопастях укреплялись отсекатели пуль. Самолет оказался удачным, обладал неплохими маневренными качествами, причем «результаты испытаний выяснили полное соответствие аппарата боевым требованиям». В 1916 г. его приняли на вооружение русской армии. Особое Совещание по обороне государства отнесло истребитель «Моска-МБбис» к «предпочтительным типам аппаратов» и согласилось выдать заводу крупный заказ на 225 самолетов с моторами «Рои» в 80 или 110 л.с или «Клерже» в 110 л.с. Параллельно Моска получил заказ на постройку 100 истребителей «Ньюпор-11» с моторами «Рои» в 80~и ШГ л.с. или «Испано-Сюиза» в 150 л.с. Срок 'поставки всех 325 самолетов — 1 июля 1917 г.</w:t>
      </w:r>
    </w:p>
    <w:p w14:paraId="5D9AB79C" w14:textId="77777777" w:rsidR="002424BF" w:rsidRPr="00DE096C" w:rsidRDefault="002424BF" w:rsidP="00D45A46">
      <w:pPr>
        <w:pStyle w:val="2"/>
        <w:spacing w:before="0" w:after="0"/>
        <w:jc w:val="both"/>
        <w:rPr>
          <w:b w:val="0"/>
          <w:bCs/>
          <w:color w:val="002060"/>
          <w:sz w:val="16"/>
          <w:szCs w:val="16"/>
        </w:rPr>
      </w:pPr>
      <w:r w:rsidRPr="00DE096C">
        <w:rPr>
          <w:b w:val="0"/>
          <w:bCs/>
          <w:color w:val="002060"/>
          <w:sz w:val="16"/>
          <w:szCs w:val="16"/>
        </w:rPr>
        <w:t>Под заказ Моска стал лихорадочно расширять и переоборудовать производство, стремясь выпускать в 1917 г. по 30—35 машин в месяц. Таких показателен он не достиг, максимум не превышал 15 самолетов в месяц. К концу мая 1917 г. завод сдал лишь 25 аэропланов. По распоряжению УВВФ «первые десять самолетов Моска бис без пулеметных установок назначены военным авиашколам. Что же касается остальных самолетов означенной системы, то на таковые будут поставлены пулеметные установки Виккерса, все части которых уже отданы в работу...»</w:t>
      </w:r>
    </w:p>
    <w:p w14:paraId="1382D1FD" w14:textId="77777777" w:rsidR="002424BF" w:rsidRPr="00DE096C" w:rsidRDefault="002424BF" w:rsidP="00D45A46">
      <w:pPr>
        <w:pStyle w:val="2"/>
        <w:spacing w:before="0" w:after="0"/>
        <w:jc w:val="both"/>
        <w:rPr>
          <w:b w:val="0"/>
          <w:bCs/>
          <w:color w:val="002060"/>
          <w:sz w:val="16"/>
          <w:szCs w:val="16"/>
        </w:rPr>
      </w:pPr>
      <w:r w:rsidRPr="00DE096C">
        <w:rPr>
          <w:b w:val="0"/>
          <w:bCs/>
          <w:color w:val="002060"/>
          <w:sz w:val="16"/>
          <w:szCs w:val="16"/>
        </w:rPr>
        <w:t>Выпуск МБбис шел очень тяжело, и Моска стал просить у заказчика отсрочки и уменьшить месячный план по сдаче до 10 машин. Он мотивировал просьбу срывом сроков поставок ранее заказанного сырья и материалов, бешеным ростом цен на «сырые материалы», «вздорожанием рабочих рук» и их нехваткой, недостатком оборотных средств и большими трудностями с получением банковских кредитов. Субсидии военного ведомства в 50 тыс. рублей, выданной ему После удачных испытаний, было явно недостаточно. Все имущество завода «Моска» находилось в залоге у УВВФ, поскольку банки и частные лица выдавали ссуды только под определенное государственное обеспечение. В первую очередь это касалось мелких и неокрепших предприятии, создавая им дополнительные трудности с выполнением военных заказов.7 В 1917 г. в казну от завода успели принять не более 20—25% от общего заказа. Надежд военного ведомства итальянец не оправдал (впрочем, он оказался далеко не единственным). Всего до отъезда на родину после октября 1917 г. Ф.Э.Моска построил около 50 истребителей «Моска-МБбис», летавших на фронте. Применялись они и во время гражданской войны Несколько таких самолетов построили на заводе «Моска» уже после 1918 г. (15464).</w:t>
      </w:r>
    </w:p>
    <w:p w14:paraId="1CBE831F" w14:textId="77777777" w:rsidR="002424BF" w:rsidRPr="00DE096C" w:rsidRDefault="002424BF" w:rsidP="00D45A46">
      <w:pPr>
        <w:pStyle w:val="2"/>
        <w:spacing w:before="0" w:after="0"/>
        <w:jc w:val="both"/>
        <w:rPr>
          <w:b w:val="0"/>
          <w:bCs/>
          <w:color w:val="002060"/>
          <w:sz w:val="16"/>
          <w:szCs w:val="16"/>
        </w:rPr>
      </w:pPr>
    </w:p>
    <w:p w14:paraId="53B8F62E" w14:textId="77777777" w:rsidR="002424BF" w:rsidRPr="00DE096C" w:rsidRDefault="002424BF" w:rsidP="00D45A46">
      <w:pPr>
        <w:jc w:val="both"/>
        <w:rPr>
          <w:bCs/>
          <w:color w:val="002060"/>
          <w:sz w:val="16"/>
          <w:szCs w:val="16"/>
        </w:rPr>
      </w:pPr>
      <w:r w:rsidRPr="00DE096C">
        <w:rPr>
          <w:bCs/>
          <w:color w:val="002060"/>
          <w:sz w:val="16"/>
          <w:szCs w:val="16"/>
          <w:shd w:val="clear" w:color="auto" w:fill="FFFFFF"/>
        </w:rPr>
        <w:t>С конца 1914 года и до 1916 года завод Лебедева выпускал французские летающие лодки «F.B.A.», поступавшие на вооружение морской авиации Балтийского флота. Для сборки и испытаний летающих лодок построили ангары на морском побережье Крестовского острова в Петрограде. Всего выпустили 34 летающих лодки данного типа (18256).</w:t>
      </w:r>
    </w:p>
    <w:p w14:paraId="79C92C35" w14:textId="77777777" w:rsidR="002424BF" w:rsidRPr="00DE096C" w:rsidRDefault="002424BF" w:rsidP="00D45A46">
      <w:pPr>
        <w:jc w:val="both"/>
        <w:rPr>
          <w:bCs/>
          <w:color w:val="002060"/>
          <w:sz w:val="16"/>
          <w:szCs w:val="16"/>
        </w:rPr>
      </w:pPr>
    </w:p>
    <w:p w14:paraId="35B1E3DE" w14:textId="03271C2F" w:rsidR="002424BF" w:rsidRPr="00DE096C" w:rsidRDefault="002424BF" w:rsidP="00D45A46">
      <w:pPr>
        <w:pStyle w:val="p1"/>
        <w:spacing w:before="0" w:beforeAutospacing="0" w:after="0" w:afterAutospacing="0"/>
        <w:jc w:val="both"/>
        <w:rPr>
          <w:bCs/>
          <w:color w:val="002060"/>
          <w:sz w:val="16"/>
          <w:szCs w:val="16"/>
        </w:rPr>
      </w:pPr>
      <w:r w:rsidRPr="00DE096C">
        <w:rPr>
          <w:bCs/>
          <w:color w:val="002060"/>
          <w:sz w:val="16"/>
          <w:szCs w:val="16"/>
        </w:rPr>
        <w:t>С конца 1914 г. «Русско-Балтийский завод»</w:t>
      </w:r>
      <w:r w:rsidR="0006581C">
        <w:rPr>
          <w:bCs/>
          <w:color w:val="002060"/>
          <w:sz w:val="16"/>
          <w:szCs w:val="16"/>
        </w:rPr>
        <w:t xml:space="preserve"> </w:t>
      </w:r>
      <w:r w:rsidRPr="00DE096C">
        <w:rPr>
          <w:bCs/>
          <w:color w:val="002060"/>
          <w:sz w:val="16"/>
          <w:szCs w:val="16"/>
        </w:rPr>
        <w:t>овладел искусством изготовления радиаторов, а затем и конических шестерен (18366).</w:t>
      </w:r>
    </w:p>
    <w:p w14:paraId="047F83CF" w14:textId="77777777" w:rsidR="002424BF" w:rsidRPr="00DE096C" w:rsidRDefault="002424BF" w:rsidP="00D45A46">
      <w:pPr>
        <w:pStyle w:val="p1"/>
        <w:spacing w:before="0" w:beforeAutospacing="0" w:after="0" w:afterAutospacing="0"/>
        <w:jc w:val="both"/>
        <w:rPr>
          <w:bCs/>
          <w:color w:val="002060"/>
          <w:sz w:val="16"/>
          <w:szCs w:val="16"/>
        </w:rPr>
      </w:pPr>
    </w:p>
    <w:p w14:paraId="2AF04C9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конце 1914 и в начале 1915 гг. на самолет ИМ-В было установлено три пулемета в основном для стрельбы по на</w:t>
      </w:r>
      <w:r w:rsidRPr="00DE096C">
        <w:rPr>
          <w:bCs/>
          <w:color w:val="002060"/>
          <w:sz w:val="16"/>
          <w:szCs w:val="16"/>
        </w:rPr>
        <w:softHyphen/>
        <w:t>земным целям. С появлением на фронте первых немецких самоле</w:t>
      </w:r>
      <w:r w:rsidRPr="00DE096C">
        <w:rPr>
          <w:bCs/>
          <w:color w:val="002060"/>
          <w:sz w:val="16"/>
          <w:szCs w:val="16"/>
        </w:rPr>
        <w:softHyphen/>
        <w:t>тов, вооруженных пулеметами, на самолете ИМ были установлены дополнительные огневые точки: для ведения огня вперед вверх пу</w:t>
      </w:r>
      <w:r w:rsidRPr="00DE096C">
        <w:rPr>
          <w:bCs/>
          <w:color w:val="002060"/>
          <w:sz w:val="16"/>
          <w:szCs w:val="16"/>
        </w:rPr>
        <w:softHyphen/>
        <w:t>леметы располагались в вырезе, сделанном в задней часта центро</w:t>
      </w:r>
      <w:r w:rsidRPr="00DE096C">
        <w:rPr>
          <w:bCs/>
          <w:color w:val="002060"/>
          <w:sz w:val="16"/>
          <w:szCs w:val="16"/>
        </w:rPr>
        <w:softHyphen/>
        <w:t>плана, и в люке перед центропланом; огонь вниз назад можно было вести со специальной площадки («вороньего гнезда»), расположен</w:t>
      </w:r>
      <w:r w:rsidRPr="00DE096C">
        <w:rPr>
          <w:bCs/>
          <w:color w:val="002060"/>
          <w:sz w:val="16"/>
          <w:szCs w:val="16"/>
        </w:rPr>
        <w:softHyphen/>
        <w:t>ной под фюзеляжем (стрелок вел огонь лежа). Были также уста</w:t>
      </w:r>
      <w:r w:rsidRPr="00DE096C">
        <w:rPr>
          <w:bCs/>
          <w:color w:val="002060"/>
          <w:sz w:val="16"/>
          <w:szCs w:val="16"/>
        </w:rPr>
        <w:softHyphen/>
        <w:t>новлены пулеметы на шкворневых установках для ведения огня че</w:t>
      </w:r>
      <w:r w:rsidRPr="00DE096C">
        <w:rPr>
          <w:bCs/>
          <w:color w:val="002060"/>
          <w:sz w:val="16"/>
          <w:szCs w:val="16"/>
        </w:rPr>
        <w:softHyphen/>
        <w:t>рез двери и окна фюзеляжа (самолет ИМ-Г1). В 1916 г. на само</w:t>
      </w:r>
      <w:r w:rsidRPr="00DE096C">
        <w:rPr>
          <w:bCs/>
          <w:color w:val="002060"/>
          <w:sz w:val="16"/>
          <w:szCs w:val="16"/>
        </w:rPr>
        <w:softHyphen/>
        <w:t>летах серии ИМ-Г2 оборудуются дополнительные огневые точки в конце хвостовой части фюзеляжа и в носовой части фюзеляжа. В 1917 г. на самолете «Илья Муромец» (ИМ-Е2) устанавливается одна автоматическая малокалиберная пушка и восемь пулеметов, обеспечивавших сферический обстрел. Таким образом, самолет ИМ был первым в мире тяжелым бомбардировщиком, имевшим сфери</w:t>
      </w:r>
      <w:r w:rsidRPr="00DE096C">
        <w:rPr>
          <w:bCs/>
          <w:color w:val="002060"/>
          <w:sz w:val="16"/>
          <w:szCs w:val="16"/>
        </w:rPr>
        <w:softHyphen/>
        <w:t>ческий обстрел оборонительного вооружения.</w:t>
      </w:r>
    </w:p>
    <w:p w14:paraId="5FB796D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Бензиновые баки и места экипажа «муромцев» были защищены броней от ружейно-пулеметного огня с земли. Мощное стрелковое -вооружение, целесообразное бронирование, боевые строи, обеспечи</w:t>
      </w:r>
      <w:r w:rsidRPr="00DE096C">
        <w:rPr>
          <w:bCs/>
          <w:color w:val="002060"/>
          <w:sz w:val="16"/>
          <w:szCs w:val="16"/>
        </w:rPr>
        <w:softHyphen/>
        <w:t>вавшие огневое взаимодействие соседних самолетов, и высокая выучка личного состава «Эскадры воздушных кораблей» обеспечи</w:t>
      </w:r>
      <w:r w:rsidRPr="00DE096C">
        <w:rPr>
          <w:bCs/>
          <w:color w:val="002060"/>
          <w:sz w:val="16"/>
          <w:szCs w:val="16"/>
        </w:rPr>
        <w:softHyphen/>
        <w:t>вали малые потери и высокую живучесть самолетов ИМ в бою. Часты был« случаи подавления зенитной артиллерии противника бортовым огнем и бомбардированием с самолетов ИМ. По существу это были случаи штурмовых атак наземных целей тяжелыми бом</w:t>
      </w:r>
      <w:r w:rsidRPr="00DE096C">
        <w:rPr>
          <w:bCs/>
          <w:color w:val="002060"/>
          <w:sz w:val="16"/>
          <w:szCs w:val="16"/>
        </w:rPr>
        <w:softHyphen/>
        <w:t>бардировщиками.</w:t>
      </w:r>
    </w:p>
    <w:p w14:paraId="2121DF3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Работа по бомбардировочному вооружению самолетов ИМ ве</w:t>
      </w:r>
      <w:r w:rsidRPr="00DE096C">
        <w:rPr>
          <w:bCs/>
          <w:color w:val="002060"/>
          <w:sz w:val="16"/>
          <w:szCs w:val="16"/>
        </w:rPr>
        <w:softHyphen/>
        <w:t>лась по линии увеличения бомбовой нагрузки, размещения бомб на внутренних горизонтальных и вертикальных кассетах, на наружных подвесках, а также по линии сйздания и усовершенствования опти</w:t>
      </w:r>
      <w:r w:rsidRPr="00DE096C">
        <w:rPr>
          <w:bCs/>
          <w:color w:val="002060"/>
          <w:sz w:val="16"/>
          <w:szCs w:val="16"/>
        </w:rPr>
        <w:softHyphen/>
        <w:t>ческих бомбардировочных прицелов и механических бомбосбрасы</w:t>
      </w:r>
      <w:r w:rsidRPr="00DE096C">
        <w:rPr>
          <w:bCs/>
          <w:color w:val="002060"/>
          <w:sz w:val="16"/>
          <w:szCs w:val="16"/>
        </w:rPr>
        <w:softHyphen/>
        <w:t>вателей. Бомбовая нагрузка самолетов «Илья Муромец» доходила до 500 кг. Удачные конструкции прицелов и бомбосбрасывателей и отлично обученные кадры бомбардиров обеспечили высокую точ</w:t>
      </w:r>
      <w:r w:rsidRPr="00DE096C">
        <w:rPr>
          <w:bCs/>
          <w:color w:val="002060"/>
          <w:sz w:val="16"/>
          <w:szCs w:val="16"/>
        </w:rPr>
        <w:softHyphen/>
        <w:t>ность бомбометания с самолетов «Илья Муромец». Усовершенство</w:t>
      </w:r>
      <w:r w:rsidRPr="00DE096C">
        <w:rPr>
          <w:bCs/>
          <w:color w:val="002060"/>
          <w:sz w:val="16"/>
          <w:szCs w:val="16"/>
        </w:rPr>
        <w:softHyphen/>
        <w:t xml:space="preserve">вание приборного оборудования и разработка </w:t>
      </w:r>
      <w:r w:rsidRPr="00DE096C">
        <w:rPr>
          <w:bCs/>
          <w:color w:val="002060"/>
          <w:sz w:val="16"/>
          <w:szCs w:val="16"/>
        </w:rPr>
        <w:lastRenderedPageBreak/>
        <w:t>парашютных освети</w:t>
      </w:r>
      <w:r w:rsidRPr="00DE096C">
        <w:rPr>
          <w:bCs/>
          <w:color w:val="002060"/>
          <w:sz w:val="16"/>
          <w:szCs w:val="16"/>
        </w:rPr>
        <w:softHyphen/>
        <w:t>тельных авиационных бомб позволили, начиная с лета 1916 г., про</w:t>
      </w:r>
      <w:r w:rsidRPr="00DE096C">
        <w:rPr>
          <w:bCs/>
          <w:color w:val="002060"/>
          <w:sz w:val="16"/>
          <w:szCs w:val="16"/>
        </w:rPr>
        <w:softHyphen/>
        <w:t>изводить на самолетах «Илья Муромец» ночные одиночные и груп</w:t>
      </w:r>
      <w:r w:rsidRPr="00DE096C">
        <w:rPr>
          <w:bCs/>
          <w:color w:val="002060"/>
          <w:sz w:val="16"/>
          <w:szCs w:val="16"/>
        </w:rPr>
        <w:softHyphen/>
        <w:t>повые полеты на бомбометание (318).</w:t>
      </w:r>
    </w:p>
    <w:p w14:paraId="2B7C19AB" w14:textId="77777777" w:rsidR="00B67D7C" w:rsidRPr="00DE096C" w:rsidRDefault="00B67D7C" w:rsidP="00D45A46">
      <w:pPr>
        <w:shd w:val="clear" w:color="auto" w:fill="FFFFFF"/>
        <w:jc w:val="both"/>
        <w:rPr>
          <w:bCs/>
          <w:color w:val="002060"/>
          <w:sz w:val="16"/>
          <w:szCs w:val="16"/>
        </w:rPr>
      </w:pPr>
    </w:p>
    <w:p w14:paraId="52F177CE" w14:textId="0124ECC1" w:rsidR="00B67D7C" w:rsidRPr="00DE096C" w:rsidRDefault="005C44E7" w:rsidP="00D45A46">
      <w:pPr>
        <w:shd w:val="clear" w:color="auto" w:fill="FFFFFF"/>
        <w:jc w:val="both"/>
        <w:rPr>
          <w:bCs/>
          <w:color w:val="002060"/>
          <w:sz w:val="16"/>
          <w:szCs w:val="16"/>
        </w:rPr>
      </w:pPr>
      <w:r w:rsidRPr="00DE096C">
        <w:rPr>
          <w:bCs/>
          <w:color w:val="002060"/>
          <w:sz w:val="16"/>
          <w:szCs w:val="16"/>
        </w:rPr>
        <w:t>В конце 1914 г. с</w:t>
      </w:r>
      <w:r w:rsidR="00B67D7C" w:rsidRPr="00DE096C">
        <w:rPr>
          <w:bCs/>
          <w:color w:val="002060"/>
          <w:sz w:val="16"/>
          <w:szCs w:val="16"/>
        </w:rPr>
        <w:t>лабым местом русского авиационного стрелкового вооружения в рас</w:t>
      </w:r>
      <w:r w:rsidR="00B67D7C" w:rsidRPr="00DE096C">
        <w:rPr>
          <w:bCs/>
          <w:color w:val="002060"/>
          <w:sz w:val="16"/>
          <w:szCs w:val="16"/>
        </w:rPr>
        <w:softHyphen/>
        <w:t>сматриваемый период были прицелы. Над их созданием и совершенство</w:t>
      </w:r>
      <w:r w:rsidR="00B67D7C" w:rsidRPr="00DE096C">
        <w:rPr>
          <w:bCs/>
          <w:color w:val="002060"/>
          <w:sz w:val="16"/>
          <w:szCs w:val="16"/>
        </w:rPr>
        <w:softHyphen/>
        <w:t>ванием трудились полковник С.А. Ульянин, профессор Тираспольский, кон</w:t>
      </w:r>
      <w:r w:rsidR="00B67D7C" w:rsidRPr="00DE096C">
        <w:rPr>
          <w:bCs/>
          <w:color w:val="002060"/>
          <w:sz w:val="16"/>
          <w:szCs w:val="16"/>
        </w:rPr>
        <w:softHyphen/>
        <w:t>структоры Лебеденко, В.С. Вахмистров и А.И. Журавченко и другие.</w:t>
      </w:r>
    </w:p>
    <w:p w14:paraId="148E0D0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Вначале летчики при ведении огня пользовались примитивными при</w:t>
      </w:r>
      <w:r w:rsidRPr="00DE096C">
        <w:rPr>
          <w:bCs/>
          <w:color w:val="002060"/>
          <w:sz w:val="16"/>
          <w:szCs w:val="16"/>
        </w:rPr>
        <w:softHyphen/>
        <w:t>цельными механическими устройствами, представляющими собой два шты</w:t>
      </w:r>
      <w:r w:rsidRPr="00DE096C">
        <w:rPr>
          <w:bCs/>
          <w:color w:val="002060"/>
          <w:sz w:val="16"/>
          <w:szCs w:val="16"/>
        </w:rPr>
        <w:softHyphen/>
        <w:t>ря, установленных вертикально на небольшом расстоянии друг от друга таким образом, чтобы линия визирования по ним была параллельна оси ствола пулемета. Позже появились кольцевые механические прицелы. Лет</w:t>
      </w:r>
      <w:r w:rsidRPr="00DE096C">
        <w:rPr>
          <w:bCs/>
          <w:color w:val="002060"/>
          <w:sz w:val="16"/>
          <w:szCs w:val="16"/>
        </w:rPr>
        <w:softHyphen/>
        <w:t>чики визировали цель через кольцо и мушку. Для турельных установок при</w:t>
      </w:r>
      <w:r w:rsidRPr="00DE096C">
        <w:rPr>
          <w:bCs/>
          <w:color w:val="002060"/>
          <w:sz w:val="16"/>
          <w:szCs w:val="16"/>
        </w:rPr>
        <w:softHyphen/>
        <w:t>менялось кольцо с рассчитанным радиусом для взятия упреждения, и муш</w:t>
      </w:r>
      <w:r w:rsidRPr="00DE096C">
        <w:rPr>
          <w:bCs/>
          <w:color w:val="002060"/>
          <w:sz w:val="16"/>
          <w:szCs w:val="16"/>
        </w:rPr>
        <w:softHyphen/>
        <w:t>ка-флюгер, которая учитывала собственную скорость самолета.</w:t>
      </w:r>
    </w:p>
    <w:p w14:paraId="289599C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Следующим шагом было создание оптических телескопических и коллиматорных прицелов. Удачный коллиматорный прицел, позволяющий вести прицельный огонь по противнику, изобрел полковник С. А. Ульянин. Конструктор Шаховский предложил коллиматорный прицел, встроенный в козырек самолета.</w:t>
      </w:r>
    </w:p>
    <w:p w14:paraId="0E3A67C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Поскольку большинство самолетов, находящихся в строю, не имели хороших прицелов, УВВФ дало указание о приобретении и срочной дос</w:t>
      </w:r>
      <w:r w:rsidRPr="00DE096C">
        <w:rPr>
          <w:bCs/>
          <w:color w:val="002060"/>
          <w:sz w:val="16"/>
          <w:szCs w:val="16"/>
        </w:rPr>
        <w:softHyphen/>
        <w:t>тавке 600 прицелов из Франции. Своевременно и полностью этот заказ выполнен не был. Первые коллиматорные прицелы, появившиеся на са</w:t>
      </w:r>
      <w:r w:rsidRPr="00DE096C">
        <w:rPr>
          <w:bCs/>
          <w:color w:val="002060"/>
          <w:sz w:val="16"/>
          <w:szCs w:val="16"/>
        </w:rPr>
        <w:softHyphen/>
        <w:t>молетах иностранных конструкций, имели большие габариты и значитель</w:t>
      </w:r>
      <w:r w:rsidRPr="00DE096C">
        <w:rPr>
          <w:bCs/>
          <w:color w:val="002060"/>
          <w:sz w:val="16"/>
          <w:szCs w:val="16"/>
        </w:rPr>
        <w:softHyphen/>
        <w:t>ный вес. На отдельных машинах Спад, поступивших из Франции, были ус</w:t>
      </w:r>
      <w:r w:rsidRPr="00DE096C">
        <w:rPr>
          <w:bCs/>
          <w:color w:val="002060"/>
          <w:sz w:val="16"/>
          <w:szCs w:val="16"/>
        </w:rPr>
        <w:softHyphen/>
        <w:t>тановлены прицелы типа Альдис. Но таких прицелов не хватало.</w:t>
      </w:r>
    </w:p>
    <w:p w14:paraId="71AB0A8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России прапорщиком Рубинским и лаборантами Ушаковым и Раковским был создан значительно более компактный и легкий коллиматор</w:t>
      </w:r>
      <w:r w:rsidRPr="00DE096C">
        <w:rPr>
          <w:bCs/>
          <w:color w:val="002060"/>
          <w:sz w:val="16"/>
          <w:szCs w:val="16"/>
        </w:rPr>
        <w:softHyphen/>
        <w:t>ный прицел, чем Альдис. Н. Е. Жуковский дал высокую оценку этому при</w:t>
      </w:r>
      <w:r w:rsidRPr="00DE096C">
        <w:rPr>
          <w:bCs/>
          <w:color w:val="002060"/>
          <w:sz w:val="16"/>
          <w:szCs w:val="16"/>
        </w:rPr>
        <w:softHyphen/>
        <w:t>целу. Однако русская промышленность не смогла освоить производство этого прицела, и он на вооружение принят не был.</w:t>
      </w:r>
    </w:p>
    <w:p w14:paraId="49BF34A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Отсутствие надежных прицелов ставило русских летчиков в нерав</w:t>
      </w:r>
      <w:r w:rsidRPr="00DE096C">
        <w:rPr>
          <w:bCs/>
          <w:color w:val="002060"/>
          <w:sz w:val="16"/>
          <w:szCs w:val="16"/>
        </w:rPr>
        <w:softHyphen/>
        <w:t>ные условия в борьбе с немецкими истребителями, имевшими хорошие цейсовские оптические прицелы для стрельбы (11425).</w:t>
      </w:r>
    </w:p>
    <w:p w14:paraId="4753EE9E" w14:textId="77777777" w:rsidR="00B67D7C" w:rsidRPr="00DE096C" w:rsidRDefault="00B67D7C" w:rsidP="00D45A46">
      <w:pPr>
        <w:jc w:val="both"/>
        <w:rPr>
          <w:bCs/>
          <w:color w:val="002060"/>
          <w:sz w:val="16"/>
          <w:szCs w:val="16"/>
        </w:rPr>
      </w:pPr>
    </w:p>
    <w:p w14:paraId="5539CB23" w14:textId="77777777" w:rsidR="00CC541E" w:rsidRPr="00DE096C" w:rsidRDefault="00CC541E" w:rsidP="00CC541E">
      <w:pPr>
        <w:jc w:val="both"/>
        <w:rPr>
          <w:bCs/>
          <w:color w:val="002060"/>
          <w:sz w:val="16"/>
          <w:szCs w:val="16"/>
        </w:rPr>
      </w:pPr>
      <w:r w:rsidRPr="00DE096C">
        <w:rPr>
          <w:bCs/>
          <w:color w:val="002060"/>
          <w:sz w:val="16"/>
          <w:szCs w:val="16"/>
        </w:rPr>
        <w:t>В конце 1914 г. на РБВЗ построен «Илья Муромец» В-9 (ИМ В-9 № 150 «Корабль Киевский» «остроносый», борт № VI) экз. № 9, стратегический разведчик, тяжелый бомбардировщик со следующими конструктивными особенностями:</w:t>
      </w:r>
    </w:p>
    <w:p w14:paraId="2532EC89" w14:textId="77777777" w:rsidR="00CC541E" w:rsidRPr="00DE096C" w:rsidRDefault="00CC541E" w:rsidP="00CC541E">
      <w:pPr>
        <w:jc w:val="both"/>
        <w:rPr>
          <w:bCs/>
          <w:color w:val="002060"/>
          <w:sz w:val="16"/>
          <w:szCs w:val="16"/>
        </w:rPr>
      </w:pPr>
      <w:r w:rsidRPr="00DE096C">
        <w:rPr>
          <w:bCs/>
          <w:color w:val="002060"/>
          <w:sz w:val="16"/>
          <w:szCs w:val="16"/>
        </w:rPr>
        <w:t>- на самолет поставили моторы «Аргус» (As II, два внутренних по 140 и два внешних по 125 л.с.), снятые с ИМ-Б № 128;</w:t>
      </w:r>
    </w:p>
    <w:p w14:paraId="2DA9100C" w14:textId="77777777" w:rsidR="00CC541E" w:rsidRPr="00DE096C" w:rsidRDefault="00CC541E" w:rsidP="00CC541E">
      <w:pPr>
        <w:jc w:val="both"/>
        <w:rPr>
          <w:bCs/>
          <w:color w:val="002060"/>
          <w:sz w:val="16"/>
          <w:szCs w:val="16"/>
        </w:rPr>
      </w:pPr>
      <w:r w:rsidRPr="00DE096C">
        <w:rPr>
          <w:bCs/>
          <w:color w:val="002060"/>
          <w:sz w:val="16"/>
          <w:szCs w:val="16"/>
        </w:rPr>
        <w:t>- топливная система с четырьмя баками под верхним крылом – два над фюзеляжем и два с внешней стороны продольных перегородок по стойкам «кабана», в дальнейшем внешние баки были сняты, коммуникации их – заглушены;</w:t>
      </w:r>
    </w:p>
    <w:p w14:paraId="49D972C0" w14:textId="77777777" w:rsidR="00CC541E" w:rsidRPr="00DE096C" w:rsidRDefault="00CC541E" w:rsidP="00CC541E">
      <w:pPr>
        <w:jc w:val="both"/>
        <w:rPr>
          <w:bCs/>
          <w:color w:val="002060"/>
          <w:sz w:val="16"/>
          <w:szCs w:val="16"/>
        </w:rPr>
      </w:pPr>
      <w:r w:rsidRPr="00DE096C">
        <w:rPr>
          <w:bCs/>
          <w:color w:val="002060"/>
          <w:sz w:val="16"/>
          <w:szCs w:val="16"/>
        </w:rPr>
        <w:t>- система охлаждения с четырьмя (по одному на мотор) радиаторами в виде плоских пакетов трубок, установленных наклонно за моторами широкой стороной сечения поперек потока;</w:t>
      </w:r>
    </w:p>
    <w:p w14:paraId="36141A26" w14:textId="77777777" w:rsidR="00CC541E" w:rsidRPr="00DE096C" w:rsidRDefault="00CC541E" w:rsidP="00CC541E">
      <w:pPr>
        <w:jc w:val="both"/>
        <w:rPr>
          <w:bCs/>
          <w:color w:val="002060"/>
          <w:sz w:val="16"/>
          <w:szCs w:val="16"/>
        </w:rPr>
      </w:pPr>
      <w:r w:rsidRPr="00DE096C">
        <w:rPr>
          <w:bCs/>
          <w:color w:val="002060"/>
          <w:sz w:val="16"/>
          <w:szCs w:val="16"/>
        </w:rPr>
        <w:t>- масляная система с баками за радиаторами;</w:t>
      </w:r>
    </w:p>
    <w:p w14:paraId="3C3BFAF2" w14:textId="77777777" w:rsidR="00CC541E" w:rsidRPr="00DE096C" w:rsidRDefault="00CC541E" w:rsidP="00CC541E">
      <w:pPr>
        <w:jc w:val="both"/>
        <w:rPr>
          <w:bCs/>
          <w:color w:val="002060"/>
          <w:sz w:val="16"/>
          <w:szCs w:val="16"/>
        </w:rPr>
      </w:pPr>
      <w:r w:rsidRPr="00DE096C">
        <w:rPr>
          <w:bCs/>
          <w:color w:val="002060"/>
          <w:sz w:val="16"/>
          <w:szCs w:val="16"/>
        </w:rPr>
        <w:t>- НЧФ «остроносая» с остеклением из 6 больших боковых стекол;</w:t>
      </w:r>
    </w:p>
    <w:p w14:paraId="6416F944" w14:textId="77777777" w:rsidR="00CC541E" w:rsidRPr="00DE096C" w:rsidRDefault="00CC541E" w:rsidP="00CC541E">
      <w:pPr>
        <w:jc w:val="both"/>
        <w:rPr>
          <w:bCs/>
          <w:color w:val="002060"/>
          <w:sz w:val="16"/>
          <w:szCs w:val="16"/>
        </w:rPr>
      </w:pPr>
      <w:r w:rsidRPr="00DE096C">
        <w:rPr>
          <w:bCs/>
          <w:color w:val="002060"/>
          <w:sz w:val="16"/>
          <w:szCs w:val="16"/>
        </w:rPr>
        <w:t>- система управления – со «штурвальной рамой» вместо штурвала с «баранкой»;</w:t>
      </w:r>
    </w:p>
    <w:p w14:paraId="6065A05C" w14:textId="77777777" w:rsidR="00CC541E" w:rsidRPr="00DE096C" w:rsidRDefault="00CC541E" w:rsidP="00CC541E">
      <w:pPr>
        <w:jc w:val="both"/>
        <w:rPr>
          <w:bCs/>
          <w:color w:val="002060"/>
          <w:sz w:val="16"/>
          <w:szCs w:val="16"/>
        </w:rPr>
      </w:pPr>
      <w:r w:rsidRPr="00DE096C">
        <w:rPr>
          <w:bCs/>
          <w:color w:val="002060"/>
          <w:sz w:val="16"/>
          <w:szCs w:val="16"/>
        </w:rPr>
        <w:t>- в проеме центроплана верхнего крыла на его переднем и заднем лонжеронах по ПСС между баками сделаны две пулеметные установки с Г-образными шкворнями, в которых могли ставиться ручные пулеметы Льюис М.1914 (Lewis М.1914) или Льюис Mk.I с кожухом и прикладом (могли ставиться пулеметы как американского производства с клеймом «03» калибра 7,62 мм, так и английского 7,69 мм) или Мадсен обр. 1904 г. или обр. 1915 г. (Madsen M.1904, M.1915) калибра 7,62 мм, закупаемые в Великобритании и в Дании.</w:t>
      </w:r>
    </w:p>
    <w:p w14:paraId="35C5D086" w14:textId="77777777" w:rsidR="00CC541E" w:rsidRPr="00DE096C" w:rsidRDefault="00CC541E" w:rsidP="00CC541E">
      <w:pPr>
        <w:jc w:val="both"/>
        <w:rPr>
          <w:bCs/>
          <w:color w:val="002060"/>
          <w:sz w:val="16"/>
          <w:szCs w:val="16"/>
        </w:rPr>
      </w:pPr>
      <w:r w:rsidRPr="00DE096C">
        <w:rPr>
          <w:bCs/>
          <w:color w:val="002060"/>
          <w:sz w:val="16"/>
          <w:szCs w:val="16"/>
        </w:rPr>
        <w:t>Пулеметы Мадсен обр. 1904 / 1915 в России иногда именовались «ружье-пулемет», могли комплектоваться различными рожковыми магазинами – в 1915 г. чаще всего на 25 или 33 патрона, затем и большей емкостью.</w:t>
      </w:r>
    </w:p>
    <w:p w14:paraId="00DD7C20" w14:textId="77777777" w:rsidR="00CC541E" w:rsidRPr="00DE096C" w:rsidRDefault="00CC541E" w:rsidP="00CC541E">
      <w:pPr>
        <w:jc w:val="both"/>
        <w:rPr>
          <w:bCs/>
          <w:color w:val="002060"/>
          <w:sz w:val="16"/>
          <w:szCs w:val="16"/>
        </w:rPr>
      </w:pPr>
      <w:r w:rsidRPr="00DE096C">
        <w:rPr>
          <w:bCs/>
          <w:color w:val="002060"/>
          <w:sz w:val="16"/>
          <w:szCs w:val="16"/>
        </w:rPr>
        <w:t>Отправлен с завода в декабре 1914 г. в состав ЭВК по железной дороге.</w:t>
      </w:r>
    </w:p>
    <w:p w14:paraId="4BEF8A20" w14:textId="77777777" w:rsidR="00CC541E" w:rsidRPr="00DE096C" w:rsidRDefault="00CC541E" w:rsidP="00CC541E">
      <w:pPr>
        <w:jc w:val="both"/>
        <w:rPr>
          <w:bCs/>
          <w:color w:val="002060"/>
          <w:sz w:val="16"/>
          <w:szCs w:val="16"/>
        </w:rPr>
      </w:pPr>
      <w:r w:rsidRPr="00DE096C">
        <w:rPr>
          <w:bCs/>
          <w:color w:val="002060"/>
          <w:sz w:val="16"/>
          <w:szCs w:val="16"/>
        </w:rPr>
        <w:t>Собран силами ЭВК на аэродроме Старая Яблона (по-польски Stara Jablon, в то время – Царство Польское, ныне Яблона или Яблонь, севернее Варшавы у Новогеоргиевкой крепости, возможно в то время на некоторых картах и в документах название было написано как Яблонна).</w:t>
      </w:r>
    </w:p>
    <w:p w14:paraId="3F92D7CD" w14:textId="77777777" w:rsidR="00CC541E" w:rsidRPr="00DE096C" w:rsidRDefault="00CC541E" w:rsidP="00CC541E">
      <w:pPr>
        <w:jc w:val="both"/>
        <w:rPr>
          <w:bCs/>
          <w:color w:val="002060"/>
          <w:sz w:val="16"/>
          <w:szCs w:val="16"/>
        </w:rPr>
      </w:pPr>
      <w:r w:rsidRPr="00DE096C">
        <w:rPr>
          <w:bCs/>
          <w:color w:val="002060"/>
          <w:sz w:val="16"/>
          <w:szCs w:val="16"/>
        </w:rPr>
        <w:t>Командиром корабля был назначен капитан Г.Г. Горшков.</w:t>
      </w:r>
    </w:p>
    <w:p w14:paraId="7F6DA12B" w14:textId="77777777" w:rsidR="00CC541E" w:rsidRPr="00DE096C" w:rsidRDefault="00CC541E" w:rsidP="00CC541E">
      <w:pPr>
        <w:jc w:val="both"/>
        <w:rPr>
          <w:bCs/>
          <w:color w:val="002060"/>
          <w:sz w:val="16"/>
          <w:szCs w:val="16"/>
        </w:rPr>
      </w:pPr>
      <w:r w:rsidRPr="00DE096C">
        <w:rPr>
          <w:bCs/>
          <w:color w:val="002060"/>
          <w:sz w:val="16"/>
          <w:szCs w:val="16"/>
        </w:rPr>
        <w:t>14 февраля 1915 г. корабль совершил первый в ЭВК боевой вылет с аэродрома Яблона, но из-за плохой погоды задание выполнено не было.</w:t>
      </w:r>
    </w:p>
    <w:p w14:paraId="2BCCFCB0" w14:textId="77777777" w:rsidR="00CC541E" w:rsidRPr="00DE096C" w:rsidRDefault="00CC541E" w:rsidP="00CC541E">
      <w:pPr>
        <w:jc w:val="both"/>
        <w:rPr>
          <w:bCs/>
          <w:color w:val="002060"/>
          <w:sz w:val="16"/>
          <w:szCs w:val="16"/>
        </w:rPr>
      </w:pPr>
      <w:r w:rsidRPr="00DE096C">
        <w:rPr>
          <w:bCs/>
          <w:color w:val="002060"/>
          <w:sz w:val="16"/>
          <w:szCs w:val="16"/>
        </w:rPr>
        <w:t>15 февраля 1915 г. по заданию штаба 1-й Армии СЗФ (в то время – под начальством генерала от кавалерии Литвинова) корабль совершил первый боевой вылет на разведку и бомбардировку переправ противника через Вислу у Плоцка (Płock, ныне – Мазовия, центральная часть Польши). Переправ не найдено, бомбы сброшены в тылу противника.</w:t>
      </w:r>
    </w:p>
    <w:p w14:paraId="7206AE65" w14:textId="77777777" w:rsidR="00CC541E" w:rsidRPr="00DE096C" w:rsidRDefault="00CC541E" w:rsidP="00CC541E">
      <w:pPr>
        <w:jc w:val="both"/>
        <w:rPr>
          <w:bCs/>
          <w:color w:val="002060"/>
          <w:sz w:val="16"/>
          <w:szCs w:val="16"/>
        </w:rPr>
      </w:pPr>
      <w:r w:rsidRPr="00DE096C">
        <w:rPr>
          <w:bCs/>
          <w:color w:val="002060"/>
          <w:sz w:val="16"/>
          <w:szCs w:val="16"/>
        </w:rPr>
        <w:t>24 февраля 1915 г. корабль по заданию штаба 1-й Армии СЗФ совершил полет продолжительностью 3,5 ч над Восточной Пруссией. Экипаж сфотографировал позиции при пересечении линии фронта и собрал подробные сведения о передвижениях противника вплоть до Млавы на севере Польши, затем, сделав два круга над г. Вилленбург, сбросил 17 бомб весом от 16 до 32 кг на местную железнодорожную станцию, пакгаузы у нее и скопившиеся там конные повозки.</w:t>
      </w:r>
    </w:p>
    <w:p w14:paraId="055D5D52" w14:textId="77777777" w:rsidR="00CC541E" w:rsidRPr="00DE096C" w:rsidRDefault="00CC541E" w:rsidP="00CC541E">
      <w:pPr>
        <w:jc w:val="both"/>
        <w:rPr>
          <w:bCs/>
          <w:color w:val="002060"/>
          <w:sz w:val="16"/>
          <w:szCs w:val="16"/>
        </w:rPr>
      </w:pPr>
      <w:r w:rsidRPr="00DE096C">
        <w:rPr>
          <w:bCs/>
          <w:color w:val="002060"/>
          <w:sz w:val="16"/>
          <w:szCs w:val="16"/>
        </w:rPr>
        <w:t>25 февраля 1915 г. корабль выполнил бомбовый удар по станции Вилленбург, сбросив 35 малых и 10 пудовых бомб, разрушив железнодорожные пути, стоявший на них подвижной состав и здание станции. Погибло два немецких офицера и 17 нижних чинов, а начальник станции был ранен. Согласно донесению разведки, полученному позже штабом Первой армии, налет вызвал сильную панику.</w:t>
      </w:r>
    </w:p>
    <w:p w14:paraId="69D1B361" w14:textId="77777777" w:rsidR="00CC541E" w:rsidRPr="00DE096C" w:rsidRDefault="00CC541E" w:rsidP="00CC541E">
      <w:pPr>
        <w:jc w:val="both"/>
        <w:rPr>
          <w:bCs/>
          <w:color w:val="002060"/>
          <w:sz w:val="16"/>
          <w:szCs w:val="16"/>
        </w:rPr>
      </w:pPr>
      <w:r w:rsidRPr="00DE096C">
        <w:rPr>
          <w:bCs/>
          <w:color w:val="002060"/>
          <w:sz w:val="16"/>
          <w:szCs w:val="16"/>
        </w:rPr>
        <w:t>В мае 1915 г. корабль командирован на аэродром Лемберг (ныне Львов, Западная Украина) в распоряжение штаба 3-й Армии.</w:t>
      </w:r>
    </w:p>
    <w:p w14:paraId="2CDB90F7" w14:textId="77777777" w:rsidR="00CC541E" w:rsidRPr="00DE096C" w:rsidRDefault="00CC541E" w:rsidP="00CC541E">
      <w:pPr>
        <w:jc w:val="both"/>
        <w:rPr>
          <w:bCs/>
          <w:color w:val="002060"/>
          <w:sz w:val="16"/>
          <w:szCs w:val="16"/>
        </w:rPr>
      </w:pPr>
      <w:r w:rsidRPr="00DE096C">
        <w:rPr>
          <w:bCs/>
          <w:color w:val="002060"/>
          <w:sz w:val="16"/>
          <w:szCs w:val="16"/>
        </w:rPr>
        <w:t>28 мая 1915 г. новым командиром корабля назначен поручик И.С. Башко.</w:t>
      </w:r>
    </w:p>
    <w:p w14:paraId="7E552FD0" w14:textId="77777777" w:rsidR="00CC541E" w:rsidRPr="00DE096C" w:rsidRDefault="00CC541E" w:rsidP="00CC541E">
      <w:pPr>
        <w:jc w:val="both"/>
        <w:rPr>
          <w:bCs/>
          <w:color w:val="002060"/>
          <w:sz w:val="16"/>
          <w:szCs w:val="16"/>
        </w:rPr>
      </w:pPr>
      <w:r w:rsidRPr="00DE096C">
        <w:rPr>
          <w:bCs/>
          <w:color w:val="002060"/>
          <w:sz w:val="16"/>
          <w:szCs w:val="16"/>
        </w:rPr>
        <w:t>В июне 1915 г. корабль был перебазирован в Люблин (Lublin, ныне – восток Польши), а затем в том же месяце – в Влодаву (Włodawa, также восток Польши).</w:t>
      </w:r>
    </w:p>
    <w:p w14:paraId="251847D5" w14:textId="77777777" w:rsidR="00CC541E" w:rsidRPr="00DE096C" w:rsidRDefault="00CC541E" w:rsidP="00CC541E">
      <w:pPr>
        <w:jc w:val="both"/>
        <w:rPr>
          <w:bCs/>
          <w:color w:val="002060"/>
          <w:sz w:val="16"/>
          <w:szCs w:val="16"/>
        </w:rPr>
      </w:pPr>
      <w:r w:rsidRPr="00DE096C">
        <w:rPr>
          <w:bCs/>
          <w:color w:val="002060"/>
          <w:sz w:val="16"/>
          <w:szCs w:val="16"/>
        </w:rPr>
        <w:t>14 июня 1915 г. корабль выполнил удачную бомбардировку станции Пржеворск (Przeworsk, ныне Подкарпатское воеводство на востоке Польши) в которой впервые была применена тяжелая бомба калибра 80 кг (5 пудов) вместе с другими. Для облегчения самолета были сняты внешние топливные баки. Удар получился чрезвычайно удачным – попадание одной бомбы калибра 16 кг в вагон с боеприпасами вызвало последовательную детонацию 30000 снарядов во всем стоящем на ее путях эшелоне. Результат был подтвержден аэрофотоснимком и данными агентурной разведки.</w:t>
      </w:r>
    </w:p>
    <w:p w14:paraId="2F88873A" w14:textId="77777777" w:rsidR="00CC541E" w:rsidRPr="00DE096C" w:rsidRDefault="00CC541E" w:rsidP="00CC541E">
      <w:pPr>
        <w:jc w:val="both"/>
        <w:rPr>
          <w:bCs/>
          <w:color w:val="002060"/>
          <w:sz w:val="16"/>
          <w:szCs w:val="16"/>
        </w:rPr>
      </w:pPr>
      <w:r w:rsidRPr="00DE096C">
        <w:rPr>
          <w:bCs/>
          <w:color w:val="002060"/>
          <w:sz w:val="16"/>
          <w:szCs w:val="16"/>
        </w:rPr>
        <w:t>5 июля 1915 г. (18.07.15 г. по н.ст.) корабль под управлением поручика И.С. Башко (помощник командира поручик М.В. Смирнов, артиллерийский офицер штабс-капитан А.А. Наумов, моторист вольноопределяющийся младший унтер-офицер А.М. Лавров) вылетел на разведку и бомбометание, имея на борту 10 бомб калибра 16 кг, 25 – калибра 11 кг, 12 зажигательных снарядов, один пулемет системы Мадсена обр. 1904 г. и карабин с общим боезапасом 260 патронов.</w:t>
      </w:r>
    </w:p>
    <w:p w14:paraId="23B89589" w14:textId="77777777" w:rsidR="00CC541E" w:rsidRPr="00DE096C" w:rsidRDefault="00CC541E" w:rsidP="00CC541E">
      <w:pPr>
        <w:jc w:val="both"/>
        <w:rPr>
          <w:bCs/>
          <w:color w:val="002060"/>
          <w:sz w:val="16"/>
          <w:szCs w:val="16"/>
        </w:rPr>
      </w:pPr>
      <w:r w:rsidRPr="00DE096C">
        <w:rPr>
          <w:bCs/>
          <w:color w:val="002060"/>
          <w:sz w:val="16"/>
          <w:szCs w:val="16"/>
        </w:rPr>
        <w:t>Над г. Шербжешин (Польша) в 40 км от линии фронта на высоте 3200…3500 м снизу был атакован немецким самолетом. Огонь по противнику был открыт своевременно, но был не точен, а после 35 выстрелов пулемет заклинил.</w:t>
      </w:r>
    </w:p>
    <w:p w14:paraId="7B4D7DF6" w14:textId="77777777" w:rsidR="00CC541E" w:rsidRPr="00DE096C" w:rsidRDefault="00CC541E" w:rsidP="00CC541E">
      <w:pPr>
        <w:jc w:val="both"/>
        <w:rPr>
          <w:bCs/>
          <w:color w:val="002060"/>
          <w:sz w:val="16"/>
          <w:szCs w:val="16"/>
        </w:rPr>
      </w:pPr>
      <w:r w:rsidRPr="00DE096C">
        <w:rPr>
          <w:bCs/>
          <w:color w:val="002060"/>
          <w:sz w:val="16"/>
          <w:szCs w:val="16"/>
        </w:rPr>
        <w:t>Противник в первой же атаке смог повредить два верхних топливных бака, бензопроводы левой группы моторов, бензиновый фильтр правой группы моторов, радиатор охлаждения мотора №2. Левая группа моторов была отключена. Одновременно были пробиты передние стекла кабины по правому борту и был ранен в ногу и в голову командир корабля Башко – после атаки его временно сменил Смирнов, после перевязки Башко вернулся к управлению самолетом, а Смирнов и Лавров руками пытались закрывать пробоину в топливном фильтре, через которую вытекал бензин. Вторая атака этого самолета противника была отбита ружейным огнем и он отошел. Корабль развернулся на маршрут возвращения.</w:t>
      </w:r>
    </w:p>
    <w:p w14:paraId="66E6345C" w14:textId="77777777" w:rsidR="00CC541E" w:rsidRPr="00DE096C" w:rsidRDefault="00CC541E" w:rsidP="00CC541E">
      <w:pPr>
        <w:jc w:val="both"/>
        <w:rPr>
          <w:bCs/>
          <w:color w:val="002060"/>
          <w:sz w:val="16"/>
          <w:szCs w:val="16"/>
        </w:rPr>
      </w:pPr>
      <w:r w:rsidRPr="00DE096C">
        <w:rPr>
          <w:bCs/>
          <w:color w:val="002060"/>
          <w:sz w:val="16"/>
          <w:szCs w:val="16"/>
        </w:rPr>
        <w:t>Сразу за первым появился второй самолет противника, который своим огнем пробил маслобак мотора № 2, но его повторная атака была отбита и он также отвалил.</w:t>
      </w:r>
    </w:p>
    <w:p w14:paraId="2873A024" w14:textId="77777777" w:rsidR="00CC541E" w:rsidRPr="00DE096C" w:rsidRDefault="00CC541E" w:rsidP="00CC541E">
      <w:pPr>
        <w:jc w:val="both"/>
        <w:rPr>
          <w:bCs/>
          <w:color w:val="002060"/>
          <w:sz w:val="16"/>
          <w:szCs w:val="16"/>
        </w:rPr>
      </w:pPr>
      <w:r w:rsidRPr="00DE096C">
        <w:rPr>
          <w:bCs/>
          <w:color w:val="002060"/>
          <w:sz w:val="16"/>
          <w:szCs w:val="16"/>
        </w:rPr>
        <w:t>Над линией фронта в полете со снижением на высоте 1400…1500 м корабль был атакован третьим самолетом противника и обстрелян артиллерией с земли. На подлете к г. Холм (Chełm, ныне – Люблинское воеводство, восток Польши) на высоте около 700 м по причине вытекания бензина все моторы остановились. На планировании экипаж не только смог пересечь линию фронта, но и найти аэродром 24-го АО у дер. Городище, где произвел экстренную посадку. Но летное поле на заболоченном лугу оказалось не приспособленным для тяжелого самолета – шасси увязли в грунте и были сломаны в левой части основных опор, разрушились винт мотора № 2, несколько нервюр и 4 стойки бипланной коробки возле него, треснул задний лонжерон среднего отсека нижнего правого полукрыла. При осмотре нашли не выявленные ранее пулевые пробоины:</w:t>
      </w:r>
    </w:p>
    <w:p w14:paraId="76D33C13" w14:textId="77777777" w:rsidR="00CC541E" w:rsidRPr="00DE096C" w:rsidRDefault="00CC541E" w:rsidP="00CC541E">
      <w:pPr>
        <w:jc w:val="both"/>
        <w:rPr>
          <w:bCs/>
          <w:color w:val="002060"/>
          <w:sz w:val="16"/>
          <w:szCs w:val="16"/>
        </w:rPr>
      </w:pPr>
      <w:r w:rsidRPr="00DE096C">
        <w:rPr>
          <w:bCs/>
          <w:color w:val="002060"/>
          <w:sz w:val="16"/>
          <w:szCs w:val="16"/>
        </w:rPr>
        <w:t>- 2 в винте, 1 в подкосе рамы мотора № 3;</w:t>
      </w:r>
    </w:p>
    <w:p w14:paraId="20B48B2F" w14:textId="77777777" w:rsidR="00CC541E" w:rsidRPr="00DE096C" w:rsidRDefault="00CC541E" w:rsidP="00CC541E">
      <w:pPr>
        <w:jc w:val="both"/>
        <w:rPr>
          <w:bCs/>
          <w:color w:val="002060"/>
          <w:sz w:val="16"/>
          <w:szCs w:val="16"/>
        </w:rPr>
      </w:pPr>
      <w:r w:rsidRPr="00DE096C">
        <w:rPr>
          <w:bCs/>
          <w:color w:val="002060"/>
          <w:sz w:val="16"/>
          <w:szCs w:val="16"/>
        </w:rPr>
        <w:t>- в грузовой раме и в магнето мотора № 2;</w:t>
      </w:r>
    </w:p>
    <w:p w14:paraId="494C3B4D" w14:textId="77777777" w:rsidR="00CC541E" w:rsidRPr="00DE096C" w:rsidRDefault="00CC541E" w:rsidP="00CC541E">
      <w:pPr>
        <w:jc w:val="both"/>
        <w:rPr>
          <w:bCs/>
          <w:color w:val="002060"/>
          <w:sz w:val="16"/>
          <w:szCs w:val="16"/>
        </w:rPr>
      </w:pPr>
      <w:r w:rsidRPr="00DE096C">
        <w:rPr>
          <w:bCs/>
          <w:color w:val="002060"/>
          <w:sz w:val="16"/>
          <w:szCs w:val="16"/>
        </w:rPr>
        <w:t>- в стойке бипланной коробки за мотором № 1;</w:t>
      </w:r>
    </w:p>
    <w:p w14:paraId="0C8BDFC7" w14:textId="77777777" w:rsidR="00CC541E" w:rsidRPr="00DE096C" w:rsidRDefault="00CC541E" w:rsidP="00CC541E">
      <w:pPr>
        <w:jc w:val="both"/>
        <w:rPr>
          <w:bCs/>
          <w:color w:val="002060"/>
          <w:sz w:val="16"/>
          <w:szCs w:val="16"/>
        </w:rPr>
      </w:pPr>
      <w:r w:rsidRPr="00DE096C">
        <w:rPr>
          <w:bCs/>
          <w:color w:val="002060"/>
          <w:sz w:val="16"/>
          <w:szCs w:val="16"/>
        </w:rPr>
        <w:t>- несколько в обшивке;</w:t>
      </w:r>
    </w:p>
    <w:p w14:paraId="6D1490DC" w14:textId="77777777" w:rsidR="00CC541E" w:rsidRPr="00DE096C" w:rsidRDefault="00CC541E" w:rsidP="00CC541E">
      <w:pPr>
        <w:jc w:val="both"/>
        <w:rPr>
          <w:bCs/>
          <w:color w:val="002060"/>
          <w:sz w:val="16"/>
          <w:szCs w:val="16"/>
        </w:rPr>
      </w:pPr>
      <w:r w:rsidRPr="00DE096C">
        <w:rPr>
          <w:bCs/>
          <w:color w:val="002060"/>
          <w:sz w:val="16"/>
          <w:szCs w:val="16"/>
        </w:rPr>
        <w:t>- 1 покрышке колеса шасси.</w:t>
      </w:r>
    </w:p>
    <w:p w14:paraId="49063145" w14:textId="77777777" w:rsidR="00CC541E" w:rsidRPr="00DE096C" w:rsidRDefault="00CC541E" w:rsidP="00CC541E">
      <w:pPr>
        <w:jc w:val="both"/>
        <w:rPr>
          <w:bCs/>
          <w:color w:val="002060"/>
          <w:sz w:val="16"/>
          <w:szCs w:val="16"/>
        </w:rPr>
      </w:pPr>
      <w:r w:rsidRPr="00DE096C">
        <w:rPr>
          <w:bCs/>
          <w:color w:val="002060"/>
          <w:sz w:val="16"/>
          <w:szCs w:val="16"/>
        </w:rPr>
        <w:t>В этом бою безвозвратных потерь в экипаже нет, Башко, продолживший управление кораблем после ранения, награжден орденом Св. Георгия IV ст.</w:t>
      </w:r>
    </w:p>
    <w:p w14:paraId="0D9D0CE5" w14:textId="77777777" w:rsidR="00CC541E" w:rsidRPr="00DE096C" w:rsidRDefault="00CC541E" w:rsidP="00CC541E">
      <w:pPr>
        <w:jc w:val="both"/>
        <w:rPr>
          <w:bCs/>
          <w:color w:val="002060"/>
          <w:sz w:val="16"/>
          <w:szCs w:val="16"/>
        </w:rPr>
      </w:pPr>
      <w:r w:rsidRPr="00DE096C">
        <w:rPr>
          <w:bCs/>
          <w:color w:val="002060"/>
          <w:sz w:val="16"/>
          <w:szCs w:val="16"/>
        </w:rPr>
        <w:t>Корабль был более боевых вылетов не совершал и видимо был после этого полета был отправлен на РБВЗ для возможного ремонта. Но восстановить его не удалось и аэроплан был списан.</w:t>
      </w:r>
    </w:p>
    <w:p w14:paraId="5D046516" w14:textId="77777777" w:rsidR="00CC541E" w:rsidRPr="00DE096C" w:rsidRDefault="00CC541E" w:rsidP="00CC541E">
      <w:pPr>
        <w:jc w:val="both"/>
        <w:rPr>
          <w:bCs/>
          <w:color w:val="002060"/>
          <w:sz w:val="16"/>
          <w:szCs w:val="16"/>
        </w:rPr>
      </w:pPr>
      <w:r w:rsidRPr="00DE096C">
        <w:rPr>
          <w:bCs/>
          <w:color w:val="002060"/>
          <w:sz w:val="16"/>
          <w:szCs w:val="16"/>
        </w:rPr>
        <w:t>Корабль совершил 27 боевых вылетов и сбросил до 5760 кг (360 пудов) бомб (23563).</w:t>
      </w:r>
    </w:p>
    <w:p w14:paraId="0CA6EA2B" w14:textId="77777777" w:rsidR="00CC541E" w:rsidRPr="00DE096C" w:rsidRDefault="00CC541E" w:rsidP="00CC541E">
      <w:pPr>
        <w:jc w:val="both"/>
        <w:rPr>
          <w:bCs/>
          <w:color w:val="002060"/>
          <w:sz w:val="16"/>
          <w:szCs w:val="16"/>
          <w:lang w:bidi="ru-RU"/>
        </w:rPr>
      </w:pPr>
    </w:p>
    <w:p w14:paraId="7A7219AE" w14:textId="77777777" w:rsidR="00CC541E" w:rsidRPr="00DE096C" w:rsidRDefault="00CC541E" w:rsidP="00CC541E">
      <w:pPr>
        <w:jc w:val="both"/>
        <w:rPr>
          <w:bCs/>
          <w:color w:val="002060"/>
          <w:sz w:val="16"/>
          <w:szCs w:val="16"/>
        </w:rPr>
      </w:pPr>
      <w:bookmarkStart w:id="220" w:name="_Hlk136420942"/>
      <w:r w:rsidRPr="00DE096C">
        <w:rPr>
          <w:bCs/>
          <w:color w:val="002060"/>
          <w:sz w:val="16"/>
          <w:szCs w:val="16"/>
        </w:rPr>
        <w:t>К концу 1914 г. немцы смогли приступить к раз</w:t>
      </w:r>
      <w:r w:rsidRPr="00DE096C">
        <w:rPr>
          <w:bCs/>
          <w:color w:val="002060"/>
          <w:sz w:val="16"/>
          <w:szCs w:val="16"/>
        </w:rPr>
        <w:softHyphen/>
        <w:t>работке собственных образцов тяжелых бомбардировщиков. В 1915 — начале 1916 г. стали подниматься в воздух первые опытные многомоторные «Цеппелин-Штаакены» и «Сименс-Шукерты», получив</w:t>
      </w:r>
      <w:r w:rsidRPr="00DE096C">
        <w:rPr>
          <w:bCs/>
          <w:color w:val="002060"/>
          <w:sz w:val="16"/>
          <w:szCs w:val="16"/>
        </w:rPr>
        <w:softHyphen/>
        <w:t>шие в Германии обозначение «Р» от слова «Ризенфлюг- цойг» — гигантский самолет. Первый «Р» попал на Во</w:t>
      </w:r>
      <w:r w:rsidRPr="00DE096C">
        <w:rPr>
          <w:bCs/>
          <w:color w:val="002060"/>
          <w:sz w:val="16"/>
          <w:szCs w:val="16"/>
        </w:rPr>
        <w:softHyphen/>
        <w:t>сточный фронт в конце 1915 г., но после многочисленных поломок и аварий в марте 1916 г. воз</w:t>
      </w:r>
      <w:r w:rsidRPr="00DE096C">
        <w:rPr>
          <w:bCs/>
          <w:color w:val="002060"/>
          <w:sz w:val="16"/>
          <w:szCs w:val="16"/>
        </w:rPr>
        <w:softHyphen/>
        <w:t>вращен на завод. Он так и не успел совершить ни одного боевого вылета. Боевые действия на этих машинах удалось начать лишь в августе 1916 г., когда наконец после доработки стали поступать самолеты «Р», годные для практического применения. Немецкое командова</w:t>
      </w:r>
      <w:r w:rsidRPr="00DE096C">
        <w:rPr>
          <w:bCs/>
          <w:color w:val="002060"/>
          <w:sz w:val="16"/>
          <w:szCs w:val="16"/>
        </w:rPr>
        <w:softHyphen/>
        <w:t xml:space="preserve">ние образовало два « Р-эскадрона». Оба они действовали на Восточном фронте. Самолеты </w:t>
      </w:r>
      <w:r w:rsidRPr="00DE096C">
        <w:rPr>
          <w:bCs/>
          <w:color w:val="002060"/>
          <w:sz w:val="16"/>
          <w:szCs w:val="16"/>
        </w:rPr>
        <w:lastRenderedPageBreak/>
        <w:t>применялись для нале</w:t>
      </w:r>
      <w:r w:rsidRPr="00DE096C">
        <w:rPr>
          <w:bCs/>
          <w:color w:val="002060"/>
          <w:sz w:val="16"/>
          <w:szCs w:val="16"/>
        </w:rPr>
        <w:softHyphen/>
        <w:t>тов на Ригу и против русских кораблей в заливе. По своей организационной структуре и численности «Р-эс- кадроны» значительно уступали эскадре воздушных кораблей, так как их комплектование обеспечивалось штучными опытными образцами, не все из которых оказались работоспособными. Только в 1917 г. немцам удалось выпустить серию из 18 сравнительно однотип</w:t>
      </w:r>
      <w:r w:rsidRPr="00DE096C">
        <w:rPr>
          <w:bCs/>
          <w:color w:val="002060"/>
          <w:sz w:val="16"/>
          <w:szCs w:val="16"/>
        </w:rPr>
        <w:softHyphen/>
        <w:t>ных самолетов «Цеппелин-Штаакен Р-IV» (24177).</w:t>
      </w:r>
    </w:p>
    <w:p w14:paraId="065032E8" w14:textId="77777777" w:rsidR="00CC541E" w:rsidRPr="00DE096C" w:rsidRDefault="00CC541E" w:rsidP="00CC541E">
      <w:pPr>
        <w:jc w:val="both"/>
        <w:rPr>
          <w:bCs/>
          <w:color w:val="002060"/>
          <w:sz w:val="16"/>
          <w:szCs w:val="16"/>
        </w:rPr>
      </w:pPr>
    </w:p>
    <w:p w14:paraId="4DBDAA26" w14:textId="77777777" w:rsidR="00CC541E" w:rsidRPr="00DE096C" w:rsidRDefault="00CC541E" w:rsidP="00CC541E">
      <w:pPr>
        <w:jc w:val="both"/>
        <w:rPr>
          <w:bCs/>
          <w:color w:val="002060"/>
          <w:sz w:val="16"/>
          <w:szCs w:val="16"/>
        </w:rPr>
      </w:pPr>
      <w:r w:rsidRPr="00DE096C">
        <w:rPr>
          <w:bCs/>
          <w:color w:val="002060"/>
          <w:sz w:val="16"/>
          <w:szCs w:val="16"/>
        </w:rPr>
        <w:t>В последние дни 1914 или в начале 1915 г. был закончен постройкой без установки мотора С-16 (C-XVI, зав. № 155) 2-й опытный.</w:t>
      </w:r>
    </w:p>
    <w:p w14:paraId="003552AB" w14:textId="77777777" w:rsidR="00CC541E" w:rsidRPr="00DE096C" w:rsidRDefault="00CC541E" w:rsidP="00CC541E">
      <w:pPr>
        <w:jc w:val="both"/>
        <w:rPr>
          <w:bCs/>
          <w:color w:val="002060"/>
          <w:sz w:val="16"/>
          <w:szCs w:val="16"/>
        </w:rPr>
      </w:pPr>
      <w:r w:rsidRPr="00DE096C">
        <w:rPr>
          <w:bCs/>
          <w:color w:val="002060"/>
          <w:sz w:val="16"/>
          <w:szCs w:val="16"/>
        </w:rPr>
        <w:t>Постройка началась Петербургским авиационным отделением РБВЗ в ноябре 1914 г. еще до облета первой машины и ее оплаты.</w:t>
      </w:r>
    </w:p>
    <w:p w14:paraId="18B11BF3" w14:textId="77777777" w:rsidR="00CC541E" w:rsidRPr="00DE096C" w:rsidRDefault="00CC541E" w:rsidP="00CC541E">
      <w:pPr>
        <w:jc w:val="both"/>
        <w:rPr>
          <w:bCs/>
          <w:color w:val="002060"/>
          <w:sz w:val="16"/>
          <w:szCs w:val="16"/>
        </w:rPr>
      </w:pPr>
      <w:r w:rsidRPr="00DE096C">
        <w:rPr>
          <w:bCs/>
          <w:color w:val="002060"/>
          <w:sz w:val="16"/>
          <w:szCs w:val="16"/>
        </w:rPr>
        <w:t>По сравнению с 1-м опытным самолетом имел ряд намеренных отличий:</w:t>
      </w:r>
    </w:p>
    <w:p w14:paraId="5D8A0B19" w14:textId="77777777" w:rsidR="00CC541E" w:rsidRPr="00DE096C" w:rsidRDefault="00CC541E" w:rsidP="00CC541E">
      <w:pPr>
        <w:jc w:val="both"/>
        <w:rPr>
          <w:bCs/>
          <w:color w:val="002060"/>
          <w:sz w:val="16"/>
          <w:szCs w:val="16"/>
        </w:rPr>
      </w:pPr>
      <w:r w:rsidRPr="00DE096C">
        <w:rPr>
          <w:bCs/>
          <w:color w:val="002060"/>
          <w:sz w:val="16"/>
          <w:szCs w:val="16"/>
        </w:rPr>
        <w:t>- сделаны новые крылья без стреловидности;</w:t>
      </w:r>
    </w:p>
    <w:p w14:paraId="13D8B3C7" w14:textId="77777777" w:rsidR="00CC541E" w:rsidRPr="00DE096C" w:rsidRDefault="00CC541E" w:rsidP="00CC541E">
      <w:pPr>
        <w:jc w:val="both"/>
        <w:rPr>
          <w:bCs/>
          <w:color w:val="002060"/>
          <w:sz w:val="16"/>
          <w:szCs w:val="16"/>
        </w:rPr>
      </w:pPr>
      <w:r w:rsidRPr="00DE096C">
        <w:rPr>
          <w:bCs/>
          <w:color w:val="002060"/>
          <w:sz w:val="16"/>
          <w:szCs w:val="16"/>
        </w:rPr>
        <w:t>- консоли крыльев установлены со значительным положительным углом поперечного V.</w:t>
      </w:r>
    </w:p>
    <w:p w14:paraId="7B75A258" w14:textId="77777777" w:rsidR="00CC541E" w:rsidRPr="00DE096C" w:rsidRDefault="00CC541E" w:rsidP="00CC541E">
      <w:pPr>
        <w:jc w:val="both"/>
        <w:rPr>
          <w:bCs/>
          <w:color w:val="002060"/>
          <w:sz w:val="16"/>
          <w:szCs w:val="16"/>
        </w:rPr>
      </w:pPr>
      <w:r w:rsidRPr="00DE096C">
        <w:rPr>
          <w:bCs/>
          <w:color w:val="002060"/>
          <w:sz w:val="16"/>
          <w:szCs w:val="16"/>
        </w:rPr>
        <w:t>В первых числах марта 1915 г. Председатель правления АО РБВЗ – командир ЭВК М.В. Шидловский распорядился передать самолет в распоряжение ЭВК, и он был отправлен 6 марта 1915 г. без мотора.</w:t>
      </w:r>
    </w:p>
    <w:p w14:paraId="6AE20DFD" w14:textId="77777777" w:rsidR="00CC541E" w:rsidRPr="00DE096C" w:rsidRDefault="00CC541E" w:rsidP="00CC541E">
      <w:pPr>
        <w:jc w:val="both"/>
        <w:rPr>
          <w:bCs/>
          <w:color w:val="002060"/>
          <w:sz w:val="16"/>
          <w:szCs w:val="16"/>
        </w:rPr>
      </w:pPr>
      <w:r w:rsidRPr="00DE096C">
        <w:rPr>
          <w:bCs/>
          <w:color w:val="002060"/>
          <w:sz w:val="16"/>
          <w:szCs w:val="16"/>
        </w:rPr>
        <w:t>Весной 1915 г. на самолет был установлен мотор Гном 9 (80 л.с.).</w:t>
      </w:r>
    </w:p>
    <w:p w14:paraId="7D3FA535" w14:textId="77777777" w:rsidR="00CC541E" w:rsidRPr="00DE096C" w:rsidRDefault="00CC541E" w:rsidP="00CC541E">
      <w:pPr>
        <w:jc w:val="both"/>
        <w:rPr>
          <w:bCs/>
          <w:color w:val="002060"/>
          <w:sz w:val="16"/>
          <w:szCs w:val="16"/>
        </w:rPr>
      </w:pPr>
      <w:r w:rsidRPr="00DE096C">
        <w:rPr>
          <w:bCs/>
          <w:color w:val="002060"/>
          <w:sz w:val="16"/>
          <w:szCs w:val="16"/>
        </w:rPr>
        <w:t>Все три первых самолета были облетаны в ЭВК летом 1915 г. (не известно, который испытали первым).</w:t>
      </w:r>
    </w:p>
    <w:p w14:paraId="0DB1DDAA" w14:textId="77777777" w:rsidR="00CC541E" w:rsidRPr="00DE096C" w:rsidRDefault="00CC541E" w:rsidP="00CC541E">
      <w:pPr>
        <w:jc w:val="both"/>
        <w:rPr>
          <w:bCs/>
          <w:color w:val="002060"/>
          <w:sz w:val="16"/>
          <w:szCs w:val="16"/>
        </w:rPr>
      </w:pPr>
      <w:r w:rsidRPr="00DE096C">
        <w:rPr>
          <w:bCs/>
          <w:color w:val="002060"/>
          <w:sz w:val="16"/>
          <w:szCs w:val="16"/>
        </w:rPr>
        <w:t>Самолеты с моторами Гном 9 показали высокие качества скороподъемности и скорости (см. табл.), но с одним летчиком, в то же время их устойчивость и управляемость с двумя летчиками были нормальными, что позволяло их использовать по основному назначению – для тренировки пилотов ЭВК. С формированием Летной школы ЭВК передан в ее состав (к середине января 1916 г. самолет все еще не был принят в казну и оплачен).</w:t>
      </w:r>
    </w:p>
    <w:p w14:paraId="7B917C86" w14:textId="77777777" w:rsidR="00CC541E" w:rsidRPr="00DE096C" w:rsidRDefault="00CC541E" w:rsidP="00CC541E">
      <w:pPr>
        <w:jc w:val="both"/>
        <w:rPr>
          <w:bCs/>
          <w:color w:val="002060"/>
          <w:sz w:val="16"/>
          <w:szCs w:val="16"/>
        </w:rPr>
      </w:pPr>
      <w:r w:rsidRPr="00DE096C">
        <w:rPr>
          <w:bCs/>
          <w:color w:val="002060"/>
          <w:sz w:val="16"/>
          <w:szCs w:val="16"/>
        </w:rPr>
        <w:t>В ходе эксплуатации на самолете делались доработки:</w:t>
      </w:r>
    </w:p>
    <w:p w14:paraId="1763229C" w14:textId="77777777" w:rsidR="00CC541E" w:rsidRPr="00DE096C" w:rsidRDefault="00CC541E" w:rsidP="00CC541E">
      <w:pPr>
        <w:jc w:val="both"/>
        <w:rPr>
          <w:bCs/>
          <w:color w:val="002060"/>
          <w:sz w:val="16"/>
          <w:szCs w:val="16"/>
        </w:rPr>
      </w:pPr>
      <w:r w:rsidRPr="00DE096C">
        <w:rPr>
          <w:bCs/>
          <w:color w:val="002060"/>
          <w:sz w:val="16"/>
          <w:szCs w:val="16"/>
        </w:rPr>
        <w:t>- был установлен 7-цилиндровый ротативный мотор Гном «Моносупап-А», 80 л.с.;</w:t>
      </w:r>
    </w:p>
    <w:p w14:paraId="51336CF3" w14:textId="77777777" w:rsidR="00CC541E" w:rsidRPr="00DE096C" w:rsidRDefault="00CC541E" w:rsidP="00CC541E">
      <w:pPr>
        <w:jc w:val="both"/>
        <w:rPr>
          <w:bCs/>
          <w:color w:val="002060"/>
          <w:sz w:val="16"/>
          <w:szCs w:val="16"/>
        </w:rPr>
      </w:pPr>
      <w:r w:rsidRPr="00DE096C">
        <w:rPr>
          <w:bCs/>
          <w:color w:val="002060"/>
          <w:sz w:val="16"/>
          <w:szCs w:val="16"/>
        </w:rPr>
        <w:t>- перед кабиной был установлен козырек из целлулоида, а за ней – высокая спинка, с которой инструктору (летнабу) сидеть стало удобнее, но скорость самолета понизилась.</w:t>
      </w:r>
    </w:p>
    <w:bookmarkEnd w:id="220"/>
    <w:p w14:paraId="3CE77B8C" w14:textId="77777777" w:rsidR="00CC541E" w:rsidRPr="00DE096C" w:rsidRDefault="00CC541E" w:rsidP="00CC541E">
      <w:pPr>
        <w:jc w:val="both"/>
        <w:rPr>
          <w:bCs/>
          <w:color w:val="002060"/>
          <w:sz w:val="16"/>
          <w:szCs w:val="16"/>
          <w:lang w:bidi="ru-RU"/>
        </w:rPr>
      </w:pPr>
    </w:p>
    <w:p w14:paraId="177B7876" w14:textId="77777777" w:rsidR="00CC541E" w:rsidRPr="00DE096C" w:rsidRDefault="00CC541E" w:rsidP="00CC541E">
      <w:pPr>
        <w:jc w:val="both"/>
        <w:rPr>
          <w:bCs/>
          <w:color w:val="002060"/>
          <w:sz w:val="16"/>
          <w:szCs w:val="16"/>
        </w:rPr>
      </w:pPr>
      <w:r w:rsidRPr="00DE096C">
        <w:rPr>
          <w:bCs/>
          <w:color w:val="002060"/>
          <w:sz w:val="16"/>
          <w:szCs w:val="16"/>
        </w:rPr>
        <w:t>В конце 1914 г. Сикорским был спро</w:t>
      </w:r>
      <w:r w:rsidRPr="00DE096C">
        <w:rPr>
          <w:bCs/>
          <w:color w:val="002060"/>
          <w:sz w:val="16"/>
          <w:szCs w:val="16"/>
        </w:rPr>
        <w:softHyphen/>
        <w:t>ектирован с использованием опыта создания С-8 и С-10 маленький одностоечный биплан. Первоначально он был двухместным с сиденьями, расположенными ря</w:t>
      </w:r>
      <w:r w:rsidRPr="00DE096C">
        <w:rPr>
          <w:bCs/>
          <w:color w:val="002060"/>
          <w:sz w:val="16"/>
          <w:szCs w:val="16"/>
        </w:rPr>
        <w:softHyphen/>
        <w:t>дом в тесной кабине, и предназначался для отрядов «Муромцев» в качестве тренировочного самолета, а также скоростного разведчика для поиска целей для воздушных кораблей. Первый С-16 с заводским номе</w:t>
      </w:r>
      <w:r w:rsidRPr="00DE096C">
        <w:rPr>
          <w:bCs/>
          <w:color w:val="002060"/>
          <w:sz w:val="16"/>
          <w:szCs w:val="16"/>
        </w:rPr>
        <w:softHyphen/>
        <w:t>ром 154 поступил в эскадру для испытаний в боевых ус</w:t>
      </w:r>
      <w:r w:rsidRPr="00DE096C">
        <w:rPr>
          <w:bCs/>
          <w:color w:val="002060"/>
          <w:sz w:val="16"/>
          <w:szCs w:val="16"/>
        </w:rPr>
        <w:softHyphen/>
        <w:t>ловиях 24 января 1915 г. В марте туда же были направ</w:t>
      </w:r>
      <w:r w:rsidRPr="00DE096C">
        <w:rPr>
          <w:bCs/>
          <w:color w:val="002060"/>
          <w:sz w:val="16"/>
          <w:szCs w:val="16"/>
        </w:rPr>
        <w:softHyphen/>
        <w:t>лены еще две машины (№ 155 и 156).</w:t>
      </w:r>
    </w:p>
    <w:p w14:paraId="76C90F18" w14:textId="77777777" w:rsidR="00CC541E" w:rsidRPr="00DE096C" w:rsidRDefault="00CC541E" w:rsidP="00CC541E">
      <w:pPr>
        <w:jc w:val="both"/>
        <w:rPr>
          <w:bCs/>
          <w:color w:val="002060"/>
          <w:sz w:val="16"/>
          <w:szCs w:val="16"/>
        </w:rPr>
      </w:pPr>
      <w:r w:rsidRPr="00DE096C">
        <w:rPr>
          <w:bCs/>
          <w:color w:val="002060"/>
          <w:sz w:val="16"/>
          <w:szCs w:val="16"/>
        </w:rPr>
        <w:t>В процессе эксплуатации трех опытных машин появилась мысль использовать их в качестве самолетов воздушного боя — сначала как истребителей-перехват</w:t>
      </w:r>
      <w:r w:rsidRPr="00DE096C">
        <w:rPr>
          <w:bCs/>
          <w:color w:val="002060"/>
          <w:sz w:val="16"/>
          <w:szCs w:val="16"/>
        </w:rPr>
        <w:softHyphen/>
        <w:t>чиков для прикрытия мест базирования «Муромцев», а затем и как истребителей сопровождения воздушных кораблей (24177).</w:t>
      </w:r>
    </w:p>
    <w:p w14:paraId="1A550FD2" w14:textId="77777777" w:rsidR="00CC541E" w:rsidRPr="00DE096C" w:rsidRDefault="00CC541E" w:rsidP="00CC541E">
      <w:pPr>
        <w:jc w:val="both"/>
        <w:rPr>
          <w:bCs/>
          <w:color w:val="002060"/>
          <w:sz w:val="16"/>
          <w:szCs w:val="16"/>
          <w:lang w:bidi="ru-RU"/>
        </w:rPr>
      </w:pPr>
    </w:p>
    <w:p w14:paraId="79F5F837" w14:textId="77777777" w:rsidR="00B67D7C" w:rsidRPr="00DE096C" w:rsidRDefault="00B67D7C" w:rsidP="00D45A46">
      <w:pPr>
        <w:jc w:val="both"/>
        <w:rPr>
          <w:bCs/>
          <w:color w:val="002060"/>
          <w:sz w:val="16"/>
          <w:szCs w:val="16"/>
        </w:rPr>
      </w:pPr>
      <w:r w:rsidRPr="00DE096C">
        <w:rPr>
          <w:bCs/>
          <w:color w:val="002060"/>
          <w:sz w:val="16"/>
          <w:szCs w:val="16"/>
        </w:rPr>
        <w:t>В конце 1914 г. И.И. Сикорским был спроектирован с использованием опыта создания С-8 и С-10 маленький одностоечный биплан. Первоначально он был двухместным с сиденьями, расположенными рядом в тесной кабине, и предназначался для отрядов «Муромцев» в качестве тренировочного самолета, а также скоростного разведчика для поиска целей для воздушных кораблей. Первый С-16 с заводским номером 154 поступил в эскадру для испытаний в боевых условиях 24 января 1915 г. В марте туда же были направлены еще две машины (№ 155 и 156). В процессе эксплуатации этих трех опытных машин появилась мысль использовать их в качестве самолетов воздушного боя — сначала как истребителей-перехватчиков для прикрытия мест базирования «Муромцев», а затем и как истребителей сопровождения воздушных кораблей. 9 сентября 1915 г. от ГВТУ был получен заказ на 18 «Сикорских маленьких», так их звали в действующей армии. В соответствии с этим заказом «Авиа-Балт» в дополнение к первым трем С-16 сдал в начале 1916 г. еще 15 новых самолетов С-16сер, мало отличавшихся от первых. Большая часть их была одноместными. Для превращения безоружного поначалу самолета в боевой истребитель ГВТУ заключило с РБВЗ дополнительный контракт на оснащение С-16 пулеметами «Виккерс» и «Кольт». Синхронизатор был разработан хорошо нам известным Г. И. Лавровым. На двухместных машинах иногда устанавливали второй пулемет для стрельбы назад. Поступившие в эскадру С-16 были первыми серийными истребителями отечественной конструкции. О них тотчас прознал Августейший командующий легкой авиацией. У него появилась реальная возможность отхватить от эскадры приличный кусок. 3 февраля 1916 г. Великий Князь Александр Михайлович шлет начальнику штаба Верховного Главнокомандования генералу М. В. Алексееву депешу: « ... Прошу разрешения, ввиду того что Эскадра еще не приступила к боевой работе, послать в 7 и 11 армии аппараты Сикорского-16, являющиеся ныне наиболее быстроходными. В противном случае дальнейшая разведка станет невозможной». Что ж, достаточно высокая оценка в устах недоброжелателя. Шидловский, надеясь на широкое в будущем использование С-16, не только согласился уступить шесть машин, но и предложил переобучить на них славных соколов Великого Князя. Однако от последнего Августейший высокомерно отказался: «Всякий «моранист» полетит на «Сикорском» . Но и этим отказом Великий Князь невольно подчеркнул простоту техники пилотирования «Сикорского маленького». Вскоре один из запрошенных (№ 205) поступил в истребительное звено 33-го корпусного отряда. Его «оседлал» поручик Вокуловский. Три других (№201, 202 и 204) были переданы в знаменитый 7-й истребительный авиаотряд под командованием поручика И. А. Орлова, где были с энтузиазмом приняты летчиками. С-16 активно использовали, применяли в воздушных боях. 27 апреля 1916 г., возвращаясь с боевого задания, потерпел аварию двухместный С-16 известного русского аса прапорщика Ю. В. Гильшера. Самолет на снижении попал в штопор. Летнаб Квасников отделался испугом, летчик же сильно повредил ногу. Авария произошла после тяжелого и победного воздушного боя с австрийцем, но «Мефистофель Муромцев», как называет Великого Князя Александра Михайловича крупнейший зарубежный знаток русской авиации, и в частности творчества Сикорского, английский историк Харри Уудман, разбираться в причинах не стал и запретил применять С-16 в подчиненной ему авиации. Все машины вернули в эскадру, где претензий к ним не было. Смущала только ставшая к тому времени недостаточной скорость, однако исправить этот показатель было нельзя — более мощных двигателей для этих самолетов не было. Как только летом 1916 г. на одном из серийных С-16 (№ 210) был поставлен двигатель «Гном-Моносупап» в 100 л. с., летно-технические характеристики самолета заметно улучшились. Под этот двигатель начала готовиться следующая серия С-16. Первый образец новой серии «С-16–3» (№ 246) отправили в эскадру для испытаний в августе 1916 г. Он отличался более обтекаемыми формами. За кабиной был установлен алюминиевый гаргрот. Крылья сделаны разного размера. Элероны с нижнего крыла удалены, а на верхнем увеличены. Биплан начал превращаться в полутораплан в полном соответствии с общим ходом развития класса истребителей. Однако ни первый образец новой серии, ни последовавшие за ним еще 14 машин (№ 247–260) не оправдали возлагавшихся на них надежд. Виной всему был проклятый «моторный голод». В 1916 г. его удалось устранить для воздушных кораблей, но не для легких самолетов. Командующий легкой авиацией наотрез отказался делиться двигателями для истребителей производства РБВЗ, не без удовольствия напоминая УВВФ, что в 1915 г. «г. Шидловский отрицал необходимость охраны «Муромцев» истребителями». Великий Князь, видимо, не хотел учитывать, что на дворе уже стоял 1917 г. и «Муромцам» нужны были истребители хотя бы для прикрытия мест базирования. Так была утеряна последняя возможность наладить крупносерийное производство истребителей отечественной конструкции, под которое Правление РБВЗ даже предлагало свой Тверской завод. Враждебность Августейшего командующего не охладила интереса Сикорского к разработке легких самолетов. Применение их было обеспечено. Дело в том, что по приказу М. В. Алексеева от 21 ноября 1915 г. в штат эскадры должны были входить помимо кораблей легкие самолеты: 12 учебных — в эскадренную школу и по 4 истребителя, 4 разведчика и 6 тренировочных — в каждый боевой отряд, а всего их с учетом развития эскадры предусматривалось пять. В начале 1917 г. общая потребность эскадры оценивалась в 80 истребителей, 52 тренировочных и 20 учебных самолетов. Все предполагалось строить на предприятиях РБВЗ (11196).</w:t>
      </w:r>
    </w:p>
    <w:p w14:paraId="6C40477F" w14:textId="77777777" w:rsidR="00B67D7C" w:rsidRPr="00DE096C" w:rsidRDefault="00B67D7C" w:rsidP="00D45A46">
      <w:pPr>
        <w:jc w:val="both"/>
        <w:rPr>
          <w:bCs/>
          <w:color w:val="002060"/>
          <w:sz w:val="16"/>
          <w:szCs w:val="16"/>
        </w:rPr>
      </w:pPr>
    </w:p>
    <w:p w14:paraId="7903B42A" w14:textId="77777777" w:rsidR="00B67D7C" w:rsidRPr="00DE096C" w:rsidRDefault="00B67D7C" w:rsidP="00D45A46">
      <w:pPr>
        <w:jc w:val="both"/>
        <w:rPr>
          <w:bCs/>
          <w:color w:val="002060"/>
          <w:sz w:val="16"/>
          <w:szCs w:val="16"/>
        </w:rPr>
      </w:pPr>
      <w:r w:rsidRPr="00DE096C">
        <w:rPr>
          <w:bCs/>
          <w:color w:val="002060"/>
          <w:sz w:val="16"/>
          <w:szCs w:val="16"/>
        </w:rPr>
        <w:t xml:space="preserve">В конце 1914 г. на заводе В. А. Лебедева в Петрограде была начата постройка оригинального тяжелого самолета «Святогор» конструкции талантливого ученого В. А. Слесарева. Имея большой опыт продувок в аэродинамической трубе Политехнического института различных моделей многих самолетов, в том числе и Сикорского, конструктор создал машину, которая по аэродинамике и продуманности компоновки представляла собой значительный шаг вперед. Однако главной ошибкой Слесарева был выбор схемы силовой установки — двигатели в фюзеляже и привод трансмиссией вынесенных по бокам винтов. Это и предопределило неудачу. «Святогор» так и не поднялся в воздух. Разработка Слесарева была не единственной попыткой составить конкуренцию «Муромцу». В 1916–1917 гг. выдающийся русский ученый Г. А. Ботезат, хорошо знакомый с конструкциями Сикорского, консультировал на Ижорском заводе по заказу военного ведомства разработку шестимоторных гигантов — биплана и триплана, а мобилизованный в армию инженер РБВЗ В. Ф. Савельев вместе с В. Залевским в 1916 г. приступили в Смоленском авиапарке к разработке гигантского четырехплана. Завершить эти интересные планы до октября 1917 г. не удалось. Г. А. Ботезат и В. Залевский в 1917 г. встретились в Херсоне, куда оба переехали для интересной в перспективной работы. Дело в том, что в 1916 г. царское правительство привяло решение создать под Херсоном, где достаточно благоприятный климат, крупнейший в мире государственный многопрофильный авиационный комплекс («Авиагородок»), куда должны были входить научно-исследовательская аэродинамическая лаборатория с аэродинамической трубой, позволявшей исследовать самолеты в натуральную величину при скоростях полета до 320 км/ч, опытный завод для постройки по проектам талантливых изобретателей и конструкторов самолетов, двигателей и авиационного оборудования, два серийных завода (самолетный и двигательный), высшее учебное заведение, авиашкола, а также аэродром Управления Военно-Воздушного Флота России, предназначенный для летных испытаний и доводки опытных самолетов — предшественник нынешнего ГНИКИ ВВС. Научными руководителями этого комплекса были приглашены профессоры Г. А. Ботезат и А. П. Фан-дер-Флит. Там В. Залевский и разрабатывал свой тяжелый мультиплан. Однако всем этим грандиозным планам, как и многим другим, свершиться было не дано. 1917 г. изменил весь ход событий. В истории мирового самолетостроения «Муромцы» являются одной из наиболее ярких страниц ее начального периода. Воздушные гиганты И. И. Сикорского стали гордостью России, символом ее нарождавшейся технической мощи. Они были самобытны, уникальны, и их создание является неоспоримым приоритетом России в области разработки тяжелых воздушных кораблей, их оборудования, </w:t>
      </w:r>
      <w:r w:rsidRPr="00DE096C">
        <w:rPr>
          <w:bCs/>
          <w:color w:val="002060"/>
          <w:sz w:val="16"/>
          <w:szCs w:val="16"/>
        </w:rPr>
        <w:lastRenderedPageBreak/>
        <w:t>вооружения, а также военного применения. Полученный огромный опыт постройки и эксплуатации многомоторных тяжелых самолетов стал весомым вкладом в развитие мировой авиации, и это, несомненно, является предметом нашей национальной гордости (11196).</w:t>
      </w:r>
    </w:p>
    <w:p w14:paraId="1E23B827" w14:textId="77777777" w:rsidR="00B67D7C" w:rsidRPr="00DE096C" w:rsidRDefault="00B67D7C" w:rsidP="00D45A46">
      <w:pPr>
        <w:jc w:val="both"/>
        <w:rPr>
          <w:bCs/>
          <w:color w:val="002060"/>
          <w:sz w:val="16"/>
          <w:szCs w:val="16"/>
        </w:rPr>
      </w:pPr>
    </w:p>
    <w:p w14:paraId="5B5C849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конце 1914 г. новым типом, освоенным заводом “Дукс”, стал «Вуазен» — долгое время основной развед</w:t>
      </w:r>
      <w:r w:rsidRPr="00DE096C">
        <w:rPr>
          <w:bCs/>
          <w:color w:val="002060"/>
          <w:sz w:val="16"/>
          <w:szCs w:val="16"/>
        </w:rPr>
        <w:softHyphen/>
        <w:t>чик на фронте, заменивший в этом качестве строившиеся до войны «Фарманы-ХV1,-ХХ,-ХХП».</w:t>
      </w:r>
    </w:p>
    <w:p w14:paraId="075849B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России летали шесть типов «Вуазенов» одинаковой схемы — двухместный ферменный биплан с толкающим винтом. Наблюдатель сидел сзади летчика с пулеметом над его головой и имел прекрасный обзор вперед и боль</w:t>
      </w:r>
      <w:r w:rsidRPr="00DE096C">
        <w:rPr>
          <w:bCs/>
          <w:color w:val="002060"/>
          <w:sz w:val="16"/>
          <w:szCs w:val="16"/>
        </w:rPr>
        <w:softHyphen/>
        <w:t>шой сектор обстрела. Размеры «Вуазенов» тип ЬА и ЬАЗ были несколько большими по сравнению с типом Ь, еще больше увеличился размер крыльев у типа 8.</w:t>
      </w:r>
    </w:p>
    <w:p w14:paraId="61109A5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Последним стал «Вуазен с пушкой» существенно боль</w:t>
      </w:r>
      <w:r w:rsidRPr="00DE096C">
        <w:rPr>
          <w:bCs/>
          <w:color w:val="002060"/>
          <w:sz w:val="16"/>
          <w:szCs w:val="16"/>
        </w:rPr>
        <w:softHyphen/>
        <w:t>ших размеров с двигателем «Сальмсон» в 225 л.с. и 1,5-дм (37 мм) пушкой «Кольт». Под нее существенно изменили нос гондолы. Машину построили на «Дуксе» по француз</w:t>
      </w:r>
      <w:r w:rsidRPr="00DE096C">
        <w:rPr>
          <w:bCs/>
          <w:color w:val="002060"/>
          <w:sz w:val="16"/>
          <w:szCs w:val="16"/>
        </w:rPr>
        <w:softHyphen/>
        <w:t>ским чертежам, значительно дополненным руководившим постройкой инженером В.С.Денисовым. Единственный эк</w:t>
      </w:r>
      <w:r w:rsidRPr="00DE096C">
        <w:rPr>
          <w:bCs/>
          <w:color w:val="002060"/>
          <w:sz w:val="16"/>
          <w:szCs w:val="16"/>
        </w:rPr>
        <w:softHyphen/>
        <w:t>земпляр закончили 10 ноября 1915 г., испытали и отпра</w:t>
      </w:r>
      <w:r w:rsidRPr="00DE096C">
        <w:rPr>
          <w:bCs/>
          <w:color w:val="002060"/>
          <w:sz w:val="16"/>
          <w:szCs w:val="16"/>
        </w:rPr>
        <w:softHyphen/>
        <w:t>вили на фронт, где летали еще 10 французских пушечных «Вуазенов» с моторами «Изотта-Фраскини» в 225 л.с. (9651).</w:t>
      </w:r>
    </w:p>
    <w:p w14:paraId="54FCEF0A" w14:textId="77777777" w:rsidR="00B67D7C" w:rsidRPr="00DE096C" w:rsidRDefault="00B67D7C" w:rsidP="00D45A46">
      <w:pPr>
        <w:shd w:val="clear" w:color="auto" w:fill="FFFFFF"/>
        <w:jc w:val="both"/>
        <w:rPr>
          <w:bCs/>
          <w:color w:val="002060"/>
          <w:sz w:val="16"/>
          <w:szCs w:val="16"/>
        </w:rPr>
      </w:pPr>
    </w:p>
    <w:p w14:paraId="066B35C4" w14:textId="77777777" w:rsidR="00477188" w:rsidRPr="00DE096C" w:rsidRDefault="00477188" w:rsidP="00D45A46">
      <w:pPr>
        <w:pStyle w:val="ae"/>
        <w:shd w:val="clear" w:color="auto" w:fill="FFFFFF"/>
        <w:spacing w:before="0" w:beforeAutospacing="0" w:after="0" w:afterAutospacing="0"/>
        <w:jc w:val="both"/>
        <w:rPr>
          <w:bCs/>
          <w:color w:val="002060"/>
          <w:sz w:val="16"/>
          <w:szCs w:val="16"/>
        </w:rPr>
      </w:pPr>
      <w:r w:rsidRPr="00DE096C">
        <w:rPr>
          <w:bCs/>
          <w:color w:val="002060"/>
          <w:sz w:val="16"/>
          <w:szCs w:val="16"/>
        </w:rPr>
        <w:t>К концу 1914 года акционерное общество «Дукс» выпускало самую разную продукцию: велосипеды, мотоциклы, дрезины, аэросани, автомобили, глиссеры, дирижабли, аэропланы, гидропланы. На заводе в то время работало около 900 человек. «Дукс» стал родоначальником Московского велозавода, Государственного авиазавода № 1, ряда других предприятий. Но всероссийскую и мировую славу принесли ему именно самолеты (19826).</w:t>
      </w:r>
    </w:p>
    <w:p w14:paraId="59FA5F97" w14:textId="77777777" w:rsidR="00477188" w:rsidRPr="00DE096C" w:rsidRDefault="00477188" w:rsidP="00D45A46">
      <w:pPr>
        <w:pStyle w:val="ae"/>
        <w:shd w:val="clear" w:color="auto" w:fill="FFFFFF"/>
        <w:spacing w:before="0" w:beforeAutospacing="0" w:after="0" w:afterAutospacing="0"/>
        <w:jc w:val="both"/>
        <w:rPr>
          <w:bCs/>
          <w:color w:val="002060"/>
          <w:sz w:val="16"/>
          <w:szCs w:val="16"/>
        </w:rPr>
      </w:pPr>
    </w:p>
    <w:p w14:paraId="75321751" w14:textId="77777777" w:rsidR="00B67D7C" w:rsidRPr="00DE096C" w:rsidRDefault="00B67D7C" w:rsidP="00D45A46">
      <w:pPr>
        <w:jc w:val="both"/>
        <w:rPr>
          <w:bCs/>
          <w:color w:val="002060"/>
          <w:sz w:val="16"/>
          <w:szCs w:val="16"/>
        </w:rPr>
      </w:pPr>
      <w:r w:rsidRPr="00DE096C">
        <w:rPr>
          <w:bCs/>
          <w:color w:val="002060"/>
          <w:sz w:val="16"/>
          <w:szCs w:val="16"/>
        </w:rPr>
        <w:t>С конца 1914 и до 1916 г. завод выпускал французские летающие лодки "ФБА", поступавшие на вооружение морской авиации Балтийского флота. Для сборки и испытаний летающих лодок построили ангары на морском побережье Крестовского острова в Петрограде. Всего выпустили 34 летающих лодки типа "ФБА" (11183).</w:t>
      </w:r>
    </w:p>
    <w:p w14:paraId="1DB57B1C" w14:textId="77777777" w:rsidR="00B67D7C" w:rsidRPr="00DE096C" w:rsidRDefault="00B67D7C" w:rsidP="00D45A46">
      <w:pPr>
        <w:jc w:val="both"/>
        <w:rPr>
          <w:bCs/>
          <w:color w:val="002060"/>
          <w:sz w:val="16"/>
          <w:szCs w:val="16"/>
        </w:rPr>
      </w:pPr>
    </w:p>
    <w:p w14:paraId="56409E3D" w14:textId="604C4157" w:rsidR="00B67D7C" w:rsidRPr="00DE096C" w:rsidRDefault="005C44E7"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конце 1914 года</w:t>
      </w:r>
      <w:r w:rsidRPr="00DE096C">
        <w:rPr>
          <w:bCs/>
          <w:color w:val="002060"/>
          <w:sz w:val="16"/>
          <w:szCs w:val="16"/>
        </w:rPr>
        <w:t xml:space="preserve"> после первого же применения ИМ - первого в мире бомбардировщика, способный проникнуть глубоко на территорию противника и донести до цели тонну бомб, "огрызаясь" от истребителей противника 7-9 пулемётами кругового обстрела</w:t>
      </w:r>
      <w:r w:rsidR="00B67D7C" w:rsidRPr="00DE096C">
        <w:rPr>
          <w:bCs/>
          <w:color w:val="002060"/>
          <w:sz w:val="16"/>
          <w:szCs w:val="16"/>
        </w:rPr>
        <w:t>, немецкие генералы заговорили о "проигранной войне". Однако, "Илья Муромец" - самолёт 1913 года - довоенной постройки, задумывался Сикорским как вполне мирный пассажирский самолёт. После нелепой гибели роскошного "Русского витязя", (На стоящий на взлетной площадке самолёт упал отвалившейся двигатель одноместного "Морана") авиаконструктор решил не ремонтировать серьёзно повреждённый "Витязь", а строить ещё более тяжёлый "Муромец". Но война изменила планы. Пассажирские самолёты "люкс" были переделаны под бомбардировщики, их стали выпускать крупной серией (11237).</w:t>
      </w:r>
    </w:p>
    <w:p w14:paraId="0803656D" w14:textId="77777777" w:rsidR="00B67D7C" w:rsidRPr="00DE096C" w:rsidRDefault="00B67D7C" w:rsidP="00D45A46">
      <w:pPr>
        <w:jc w:val="both"/>
        <w:rPr>
          <w:bCs/>
          <w:color w:val="002060"/>
          <w:sz w:val="16"/>
          <w:szCs w:val="16"/>
        </w:rPr>
      </w:pPr>
    </w:p>
    <w:p w14:paraId="0556C338" w14:textId="337B001A" w:rsidR="00B67D7C" w:rsidRPr="00DE096C" w:rsidRDefault="00CE32E5" w:rsidP="00D45A46">
      <w:pPr>
        <w:jc w:val="both"/>
        <w:rPr>
          <w:bCs/>
          <w:color w:val="002060"/>
          <w:sz w:val="16"/>
          <w:szCs w:val="16"/>
        </w:rPr>
      </w:pPr>
      <w:r w:rsidRPr="00DE096C">
        <w:rPr>
          <w:bCs/>
          <w:color w:val="002060"/>
          <w:sz w:val="16"/>
          <w:szCs w:val="16"/>
        </w:rPr>
        <w:t>К</w:t>
      </w:r>
      <w:r w:rsidR="00B67D7C" w:rsidRPr="00DE096C">
        <w:rPr>
          <w:bCs/>
          <w:color w:val="002060"/>
          <w:sz w:val="16"/>
          <w:szCs w:val="16"/>
        </w:rPr>
        <w:t xml:space="preserve"> концу 1914 года </w:t>
      </w:r>
      <w:r w:rsidRPr="00DE096C">
        <w:rPr>
          <w:bCs/>
          <w:color w:val="002060"/>
          <w:sz w:val="16"/>
          <w:szCs w:val="16"/>
        </w:rPr>
        <w:t xml:space="preserve">строящийся с весны 1914 г., в связи с увеличением заказов, новый крупный завод Анатры в Одессе, </w:t>
      </w:r>
      <w:r w:rsidR="00B67D7C" w:rsidRPr="00DE096C">
        <w:rPr>
          <w:bCs/>
          <w:color w:val="002060"/>
          <w:sz w:val="16"/>
          <w:szCs w:val="16"/>
        </w:rPr>
        <w:t>вступил в строй. При постройке самолета «Анадва» в 1916</w:t>
      </w:r>
      <w:r w:rsidRPr="00DE096C">
        <w:rPr>
          <w:bCs/>
          <w:color w:val="002060"/>
          <w:sz w:val="16"/>
          <w:szCs w:val="16"/>
        </w:rPr>
        <w:t xml:space="preserve"> </w:t>
      </w:r>
      <w:r w:rsidR="00B67D7C" w:rsidRPr="00DE096C">
        <w:rPr>
          <w:bCs/>
          <w:color w:val="002060"/>
          <w:sz w:val="16"/>
          <w:szCs w:val="16"/>
        </w:rPr>
        <w:t>г. А.К. Михалькевичем впервые был применен плазово-шаблонный метод.</w:t>
      </w:r>
      <w:r w:rsidR="00B67D7C" w:rsidRPr="00DE096C">
        <w:rPr>
          <w:bCs/>
          <w:color w:val="002060"/>
          <w:sz w:val="16"/>
          <w:szCs w:val="16"/>
          <w:vertAlign w:val="superscript"/>
        </w:rPr>
        <w:t>76</w:t>
      </w:r>
    </w:p>
    <w:p w14:paraId="6C8BECCB" w14:textId="77777777" w:rsidR="00B67D7C" w:rsidRPr="00DE096C" w:rsidRDefault="00B67D7C" w:rsidP="00D45A46">
      <w:pPr>
        <w:jc w:val="both"/>
        <w:rPr>
          <w:bCs/>
          <w:color w:val="002060"/>
          <w:sz w:val="16"/>
          <w:szCs w:val="16"/>
        </w:rPr>
      </w:pPr>
      <w:r w:rsidRPr="00DE096C">
        <w:rPr>
          <w:bCs/>
          <w:color w:val="002060"/>
          <w:sz w:val="16"/>
          <w:szCs w:val="16"/>
        </w:rPr>
        <w:t>Кроме того, Анатра построил авиационные заводы в Симферополе и Киеве (в 1921г. киевский завод Анатра - в ведении Главкоавиа;</w:t>
      </w:r>
      <w:r w:rsidRPr="00DE096C">
        <w:rPr>
          <w:bCs/>
          <w:color w:val="002060"/>
          <w:sz w:val="16"/>
          <w:szCs w:val="16"/>
          <w:vertAlign w:val="superscript"/>
        </w:rPr>
        <w:t>144</w:t>
      </w:r>
      <w:r w:rsidRPr="00DE096C">
        <w:rPr>
          <w:bCs/>
          <w:color w:val="002060"/>
          <w:sz w:val="16"/>
          <w:szCs w:val="16"/>
        </w:rPr>
        <w:t xml:space="preserve"> возможно, это в действительности Симферопольский завод).</w:t>
      </w:r>
    </w:p>
    <w:p w14:paraId="4F082374" w14:textId="77777777" w:rsidR="00B67D7C" w:rsidRPr="00DE096C" w:rsidRDefault="00B67D7C" w:rsidP="00D45A46">
      <w:pPr>
        <w:jc w:val="both"/>
        <w:rPr>
          <w:bCs/>
          <w:color w:val="002060"/>
          <w:sz w:val="16"/>
          <w:szCs w:val="16"/>
        </w:rPr>
      </w:pPr>
      <w:r w:rsidRPr="00DE096C">
        <w:rPr>
          <w:bCs/>
          <w:color w:val="002060"/>
          <w:sz w:val="16"/>
          <w:szCs w:val="16"/>
        </w:rPr>
        <w:t>В 12.1917 г. завод национализирован.</w:t>
      </w:r>
      <w:r w:rsidRPr="00DE096C">
        <w:rPr>
          <w:bCs/>
          <w:color w:val="002060"/>
          <w:sz w:val="16"/>
          <w:szCs w:val="16"/>
          <w:vertAlign w:val="superscript"/>
        </w:rPr>
        <w:t>144</w:t>
      </w:r>
      <w:r w:rsidRPr="00DE096C">
        <w:rPr>
          <w:bCs/>
          <w:color w:val="002060"/>
          <w:sz w:val="16"/>
          <w:szCs w:val="16"/>
        </w:rPr>
        <w:t xml:space="preserve"> С весны 1918г. завод работал на Австро-Венгрию, войска которой оккупировали Одессу. В 11.1918г. австрийские войска покинули Одессу. В начале 1920г. после освобождения города завод национализирован и получил наименование Государственные авиамастерские (ГАМ) № 7 (Государственные авиамастерские (ГАМ) № 7 ГУВП ВСНХ, Завод А.А. Анатра, Государственный Авиационный завод № 11 (ГАЗ-11)). В 1921г. завод - в ведении Главкоавиа, в 1924г. ГАЗ-11 - в ведении ГУВП ВСНХ, весной 1925г. завод закрыт. Позднее на этом месте основан 562-й АРЗ МО.</w:t>
      </w:r>
    </w:p>
    <w:p w14:paraId="0644EECA" w14:textId="77777777" w:rsidR="00B67D7C" w:rsidRPr="00DE096C" w:rsidRDefault="00B67D7C" w:rsidP="00D45A46">
      <w:pPr>
        <w:jc w:val="both"/>
        <w:rPr>
          <w:bCs/>
          <w:color w:val="002060"/>
          <w:sz w:val="16"/>
          <w:szCs w:val="16"/>
        </w:rPr>
      </w:pPr>
      <w:r w:rsidRPr="00DE096C">
        <w:rPr>
          <w:bCs/>
          <w:color w:val="002060"/>
          <w:sz w:val="16"/>
          <w:szCs w:val="16"/>
        </w:rPr>
        <w:t>Создан сельскохозяйственный самолет «Конек-Горбунок» (ВХ-5), первый полет 19.07.1924г.</w:t>
      </w:r>
    </w:p>
    <w:p w14:paraId="1D89601A" w14:textId="77777777" w:rsidR="00B67D7C" w:rsidRPr="00DE096C" w:rsidRDefault="00B67D7C" w:rsidP="00D45A46">
      <w:pPr>
        <w:jc w:val="both"/>
        <w:rPr>
          <w:bCs/>
          <w:color w:val="002060"/>
          <w:sz w:val="16"/>
          <w:szCs w:val="16"/>
        </w:rPr>
      </w:pPr>
      <w:r w:rsidRPr="00DE096C">
        <w:rPr>
          <w:bCs/>
          <w:color w:val="002060"/>
          <w:sz w:val="16"/>
          <w:szCs w:val="16"/>
        </w:rPr>
        <w:t>Численность персонала: (07.1914г.)- 95 чел., (06.1917г.)- 1380 чел.</w:t>
      </w:r>
    </w:p>
    <w:p w14:paraId="3A387912" w14:textId="77777777" w:rsidR="00B67D7C" w:rsidRPr="00DE096C" w:rsidRDefault="00B67D7C" w:rsidP="00D45A46">
      <w:pPr>
        <w:jc w:val="both"/>
        <w:rPr>
          <w:bCs/>
          <w:color w:val="002060"/>
          <w:sz w:val="16"/>
          <w:szCs w:val="16"/>
        </w:rPr>
      </w:pPr>
      <w:r w:rsidRPr="00DE096C">
        <w:rPr>
          <w:bCs/>
          <w:color w:val="002060"/>
          <w:sz w:val="16"/>
          <w:szCs w:val="16"/>
        </w:rPr>
        <w:t xml:space="preserve">Гл. конструктор КБ завода- Г.М. Макеев, (1915-17г.)- Декан (Е.А. Де Камп, </w:t>
      </w:r>
      <w:r w:rsidRPr="00DE096C">
        <w:rPr>
          <w:bCs/>
          <w:color w:val="002060"/>
          <w:sz w:val="16"/>
          <w:szCs w:val="16"/>
          <w:lang w:val="en-US"/>
        </w:rPr>
        <w:t>DesCamps</w:t>
      </w:r>
      <w:r w:rsidRPr="00DE096C">
        <w:rPr>
          <w:bCs/>
          <w:color w:val="002060"/>
          <w:sz w:val="16"/>
          <w:szCs w:val="16"/>
        </w:rPr>
        <w:t>), (1921г.-)- В.Н. Хиони («Конек-Горбунок»),</w:t>
      </w:r>
    </w:p>
    <w:p w14:paraId="23898726" w14:textId="77777777" w:rsidR="00B67D7C" w:rsidRPr="00DE096C" w:rsidRDefault="00B67D7C" w:rsidP="00D45A46">
      <w:pPr>
        <w:jc w:val="both"/>
        <w:rPr>
          <w:bCs/>
          <w:color w:val="002060"/>
          <w:sz w:val="16"/>
          <w:szCs w:val="16"/>
        </w:rPr>
      </w:pPr>
      <w:r w:rsidRPr="00DE096C">
        <w:rPr>
          <w:bCs/>
          <w:i/>
          <w:color w:val="002060"/>
          <w:sz w:val="16"/>
          <w:szCs w:val="16"/>
        </w:rPr>
        <w:t>Производство:</w:t>
      </w:r>
      <w:r w:rsidRPr="00DE096C">
        <w:rPr>
          <w:bCs/>
          <w:color w:val="002060"/>
          <w:sz w:val="16"/>
          <w:szCs w:val="16"/>
        </w:rPr>
        <w:t>"</w:t>
      </w:r>
      <w:r w:rsidRPr="00DE096C">
        <w:rPr>
          <w:bCs/>
          <w:color w:val="002060"/>
          <w:sz w:val="16"/>
          <w:szCs w:val="16"/>
          <w:lang w:val="en-US"/>
        </w:rPr>
        <w:t>Farman</w:t>
      </w:r>
      <w:r w:rsidRPr="00DE096C">
        <w:rPr>
          <w:bCs/>
          <w:color w:val="002060"/>
          <w:sz w:val="16"/>
          <w:szCs w:val="16"/>
        </w:rPr>
        <w:t>-</w:t>
      </w:r>
      <w:r w:rsidRPr="00DE096C">
        <w:rPr>
          <w:bCs/>
          <w:color w:val="002060"/>
          <w:sz w:val="16"/>
          <w:szCs w:val="16"/>
          <w:lang w:val="en-US"/>
        </w:rPr>
        <w:t>IV</w:t>
      </w:r>
      <w:r w:rsidRPr="00DE096C">
        <w:rPr>
          <w:bCs/>
          <w:color w:val="002060"/>
          <w:sz w:val="16"/>
          <w:szCs w:val="16"/>
        </w:rPr>
        <w:t>" (04.1911-), "</w:t>
      </w:r>
      <w:r w:rsidRPr="00DE096C">
        <w:rPr>
          <w:bCs/>
          <w:color w:val="002060"/>
          <w:sz w:val="16"/>
          <w:szCs w:val="16"/>
          <w:lang w:val="en-US"/>
        </w:rPr>
        <w:t>Newport</w:t>
      </w:r>
      <w:r w:rsidRPr="00DE096C">
        <w:rPr>
          <w:bCs/>
          <w:color w:val="002060"/>
          <w:sz w:val="16"/>
          <w:szCs w:val="16"/>
        </w:rPr>
        <w:t>", "</w:t>
      </w:r>
      <w:r w:rsidRPr="00DE096C">
        <w:rPr>
          <w:bCs/>
          <w:color w:val="002060"/>
          <w:sz w:val="16"/>
          <w:szCs w:val="16"/>
          <w:lang w:val="en-US"/>
        </w:rPr>
        <w:t>Morane</w:t>
      </w:r>
      <w:r w:rsidRPr="00DE096C">
        <w:rPr>
          <w:bCs/>
          <w:color w:val="002060"/>
          <w:sz w:val="16"/>
          <w:szCs w:val="16"/>
        </w:rPr>
        <w:t>", "</w:t>
      </w:r>
      <w:r w:rsidRPr="00DE096C">
        <w:rPr>
          <w:bCs/>
          <w:color w:val="002060"/>
          <w:sz w:val="16"/>
          <w:szCs w:val="16"/>
          <w:lang w:val="en-US"/>
        </w:rPr>
        <w:t>Voisin</w:t>
      </w:r>
      <w:r w:rsidRPr="00DE096C">
        <w:rPr>
          <w:bCs/>
          <w:color w:val="002060"/>
          <w:sz w:val="16"/>
          <w:szCs w:val="16"/>
        </w:rPr>
        <w:t>"; "</w:t>
      </w:r>
      <w:r w:rsidRPr="00DE096C">
        <w:rPr>
          <w:bCs/>
          <w:color w:val="002060"/>
          <w:sz w:val="16"/>
          <w:szCs w:val="16"/>
          <w:lang w:val="en-US"/>
        </w:rPr>
        <w:t>Anade</w:t>
      </w:r>
      <w:r w:rsidRPr="00DE096C">
        <w:rPr>
          <w:bCs/>
          <w:color w:val="002060"/>
          <w:sz w:val="16"/>
          <w:szCs w:val="16"/>
        </w:rPr>
        <w:t>" (1916-18)- 225, "</w:t>
      </w:r>
      <w:r w:rsidRPr="00DE096C">
        <w:rPr>
          <w:bCs/>
          <w:color w:val="002060"/>
          <w:sz w:val="16"/>
          <w:szCs w:val="16"/>
          <w:lang w:val="en-US"/>
        </w:rPr>
        <w:t>Anacle</w:t>
      </w:r>
      <w:r w:rsidRPr="00DE096C">
        <w:rPr>
          <w:bCs/>
          <w:color w:val="002060"/>
          <w:sz w:val="16"/>
          <w:szCs w:val="16"/>
        </w:rPr>
        <w:t xml:space="preserve"> "(-1917)- 24, «В.И.» («Вуазен Иванова», 1916-17)- 150, </w:t>
      </w:r>
      <w:r w:rsidRPr="00DE096C">
        <w:rPr>
          <w:bCs/>
          <w:color w:val="002060"/>
          <w:sz w:val="16"/>
          <w:szCs w:val="16"/>
          <w:lang w:val="en-US"/>
        </w:rPr>
        <w:t>M</w:t>
      </w:r>
      <w:r w:rsidRPr="00DE096C">
        <w:rPr>
          <w:bCs/>
          <w:color w:val="002060"/>
          <w:sz w:val="16"/>
          <w:szCs w:val="16"/>
        </w:rPr>
        <w:t>-5 (1916), Анадва ВХ (1916-17)- 2, Анадис (1916)-1, "</w:t>
      </w:r>
      <w:r w:rsidRPr="00DE096C">
        <w:rPr>
          <w:bCs/>
          <w:color w:val="002060"/>
          <w:sz w:val="16"/>
          <w:szCs w:val="16"/>
          <w:lang w:val="en-US"/>
        </w:rPr>
        <w:t>Anasal</w:t>
      </w:r>
      <w:r w:rsidRPr="00DE096C">
        <w:rPr>
          <w:bCs/>
          <w:color w:val="002060"/>
          <w:sz w:val="16"/>
          <w:szCs w:val="16"/>
        </w:rPr>
        <w:t>" (1917-18)- не менее 450, ВХ-5 (1923-25)- 30 (11982).</w:t>
      </w:r>
    </w:p>
    <w:p w14:paraId="6E128DF3" w14:textId="77777777" w:rsidR="004C2152" w:rsidRPr="00DE096C" w:rsidRDefault="004C2152" w:rsidP="00D45A46">
      <w:pPr>
        <w:shd w:val="clear" w:color="auto" w:fill="FFFFFF"/>
        <w:jc w:val="both"/>
        <w:rPr>
          <w:bCs/>
          <w:color w:val="002060"/>
          <w:sz w:val="16"/>
          <w:szCs w:val="16"/>
        </w:rPr>
      </w:pPr>
    </w:p>
    <w:p w14:paraId="58DC989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К концу 1914 г. число рабочих на заводе Гном выросло в несколько раз. Ру</w:t>
      </w:r>
      <w:r w:rsidRPr="00DE096C">
        <w:rPr>
          <w:bCs/>
          <w:color w:val="002060"/>
          <w:sz w:val="16"/>
          <w:szCs w:val="16"/>
        </w:rPr>
        <w:softHyphen/>
        <w:t>ководство работой предприятия осу</w:t>
      </w:r>
      <w:r w:rsidRPr="00DE096C">
        <w:rPr>
          <w:bCs/>
          <w:color w:val="002060"/>
          <w:sz w:val="16"/>
          <w:szCs w:val="16"/>
        </w:rPr>
        <w:softHyphen/>
        <w:t>ществляли французские подданные. Помимо «Гнома» в годы Первой миро</w:t>
      </w:r>
      <w:r w:rsidRPr="00DE096C">
        <w:rPr>
          <w:bCs/>
          <w:color w:val="002060"/>
          <w:sz w:val="16"/>
          <w:szCs w:val="16"/>
        </w:rPr>
        <w:softHyphen/>
        <w:t>вой войны в России работало несколь</w:t>
      </w:r>
      <w:r w:rsidRPr="00DE096C">
        <w:rPr>
          <w:bCs/>
          <w:color w:val="002060"/>
          <w:sz w:val="16"/>
          <w:szCs w:val="16"/>
        </w:rPr>
        <w:softHyphen/>
        <w:t>ко моторных заводов: «Мотор» в Риге, «Сальмсон» в Москве, авиационный отдел заводов «Руссо-Балт» в Петрог</w:t>
      </w:r>
      <w:r w:rsidRPr="00DE096C">
        <w:rPr>
          <w:bCs/>
          <w:color w:val="002060"/>
          <w:sz w:val="16"/>
          <w:szCs w:val="16"/>
        </w:rPr>
        <w:softHyphen/>
        <w:t>раде, ДЕКА (Дюфлон и Константино</w:t>
      </w:r>
      <w:r w:rsidRPr="00DE096C">
        <w:rPr>
          <w:bCs/>
          <w:color w:val="002060"/>
          <w:sz w:val="16"/>
          <w:szCs w:val="16"/>
        </w:rPr>
        <w:softHyphen/>
        <w:t>вич) в Александровске (ныне Запоро</w:t>
      </w:r>
      <w:r w:rsidRPr="00DE096C">
        <w:rPr>
          <w:bCs/>
          <w:color w:val="002060"/>
          <w:sz w:val="16"/>
          <w:szCs w:val="16"/>
        </w:rPr>
        <w:softHyphen/>
        <w:t>жье) и некоторые другие. Самолеты России и ее союзников в начале вой</w:t>
      </w:r>
      <w:r w:rsidRPr="00DE096C">
        <w:rPr>
          <w:bCs/>
          <w:color w:val="002060"/>
          <w:sz w:val="16"/>
          <w:szCs w:val="16"/>
        </w:rPr>
        <w:softHyphen/>
        <w:t>ны имели в основном ротативные дви</w:t>
      </w:r>
      <w:r w:rsidRPr="00DE096C">
        <w:rPr>
          <w:bCs/>
          <w:color w:val="002060"/>
          <w:sz w:val="16"/>
          <w:szCs w:val="16"/>
        </w:rPr>
        <w:softHyphen/>
        <w:t>гатели с воздушным охлаждением: вал двигателя находится в покое, а отно</w:t>
      </w:r>
      <w:r w:rsidRPr="00DE096C">
        <w:rPr>
          <w:bCs/>
          <w:color w:val="002060"/>
          <w:sz w:val="16"/>
          <w:szCs w:val="16"/>
        </w:rPr>
        <w:softHyphen/>
        <w:t>сительно него вращались цилиндры с кривошипным механизмом. Наиболее популярными были французские двигатели «Гном», «Рон» и «Клерже», по</w:t>
      </w:r>
      <w:r w:rsidRPr="00DE096C">
        <w:rPr>
          <w:bCs/>
          <w:color w:val="002060"/>
          <w:sz w:val="16"/>
          <w:szCs w:val="16"/>
        </w:rPr>
        <w:softHyphen/>
        <w:t>служившие образцами для создания ротативных двигателей во всех стра</w:t>
      </w:r>
      <w:r w:rsidRPr="00DE096C">
        <w:rPr>
          <w:bCs/>
          <w:color w:val="002060"/>
          <w:sz w:val="16"/>
          <w:szCs w:val="16"/>
        </w:rPr>
        <w:softHyphen/>
        <w:t>нах. Двигатель «Гном» французских конструкторов Сегена и Люке соста</w:t>
      </w:r>
      <w:r w:rsidRPr="00DE096C">
        <w:rPr>
          <w:bCs/>
          <w:color w:val="002060"/>
          <w:sz w:val="16"/>
          <w:szCs w:val="16"/>
        </w:rPr>
        <w:softHyphen/>
        <w:t>вил эпоху в развитии авиации. «Гном» был наиболее легким двигателем для своего времени. Наряду с достоинства</w:t>
      </w:r>
      <w:r w:rsidRPr="00DE096C">
        <w:rPr>
          <w:bCs/>
          <w:color w:val="002060"/>
          <w:sz w:val="16"/>
          <w:szCs w:val="16"/>
        </w:rPr>
        <w:softHyphen/>
        <w:t>ми он имел и значительные недостат</w:t>
      </w:r>
      <w:r w:rsidRPr="00DE096C">
        <w:rPr>
          <w:bCs/>
          <w:color w:val="002060"/>
          <w:sz w:val="16"/>
          <w:szCs w:val="16"/>
        </w:rPr>
        <w:softHyphen/>
        <w:t>ки: большой расход топлива и масла, малый ресурс (30...40 ч до перебор</w:t>
      </w:r>
      <w:r w:rsidRPr="00DE096C">
        <w:rPr>
          <w:bCs/>
          <w:color w:val="002060"/>
          <w:sz w:val="16"/>
          <w:szCs w:val="16"/>
        </w:rPr>
        <w:softHyphen/>
        <w:t>ки). В середине войны на смену «Гно</w:t>
      </w:r>
      <w:r w:rsidRPr="00DE096C">
        <w:rPr>
          <w:bCs/>
          <w:color w:val="002060"/>
          <w:sz w:val="16"/>
          <w:szCs w:val="16"/>
        </w:rPr>
        <w:softHyphen/>
        <w:t>му» пришел «Моносупап», а затем -более совершенный и мощный девя-тицилиндровый ротативный двигатель «Рон» (11156).</w:t>
      </w:r>
    </w:p>
    <w:p w14:paraId="21D7AA42" w14:textId="77777777" w:rsidR="00B67D7C" w:rsidRPr="00DE096C" w:rsidRDefault="00B67D7C" w:rsidP="00D45A46">
      <w:pPr>
        <w:shd w:val="clear" w:color="auto" w:fill="FFFFFF"/>
        <w:jc w:val="both"/>
        <w:rPr>
          <w:bCs/>
          <w:color w:val="002060"/>
          <w:sz w:val="16"/>
          <w:szCs w:val="16"/>
        </w:rPr>
      </w:pPr>
    </w:p>
    <w:p w14:paraId="69AB7D0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К концу 1914 года мастерские в имении Червонном Волын</w:t>
      </w:r>
      <w:r w:rsidRPr="00DE096C">
        <w:rPr>
          <w:bCs/>
          <w:color w:val="002060"/>
          <w:sz w:val="16"/>
          <w:szCs w:val="16"/>
        </w:rPr>
        <w:softHyphen/>
        <w:t>ской губернии, принадлежавшем киевскому миллио</w:t>
      </w:r>
      <w:r w:rsidRPr="00DE096C">
        <w:rPr>
          <w:bCs/>
          <w:color w:val="002060"/>
          <w:sz w:val="16"/>
          <w:szCs w:val="16"/>
        </w:rPr>
        <w:softHyphen/>
        <w:t>неру Ф.Ф. Терещенко, которые позже были переименованы в «Червоннский авиационный завод», выросли в сравнительно хорошо оборудованное предприятие, имеющее механическое, столярное, слесарное, куз</w:t>
      </w:r>
      <w:r w:rsidRPr="00DE096C">
        <w:rPr>
          <w:bCs/>
          <w:color w:val="002060"/>
          <w:sz w:val="16"/>
          <w:szCs w:val="16"/>
        </w:rPr>
        <w:softHyphen/>
        <w:t>нечное, медницкое, шорницкое, малярное и сбороч</w:t>
      </w:r>
      <w:r w:rsidRPr="00DE096C">
        <w:rPr>
          <w:bCs/>
          <w:color w:val="002060"/>
          <w:sz w:val="16"/>
          <w:szCs w:val="16"/>
        </w:rPr>
        <w:softHyphen/>
        <w:t>ное отделения. В числе оборудования было уже мно</w:t>
      </w:r>
      <w:r w:rsidRPr="00DE096C">
        <w:rPr>
          <w:bCs/>
          <w:color w:val="002060"/>
          <w:sz w:val="16"/>
          <w:szCs w:val="16"/>
        </w:rPr>
        <w:softHyphen/>
        <w:t>го различных станков для механообработки, аппарат аргонной сварки. Число работающих доходило до 120 человек. Имея достаточно компетентное техническое бюро, которым руководил инженер В.П.Григорьев, на заво</w:t>
      </w:r>
      <w:r w:rsidRPr="00DE096C">
        <w:rPr>
          <w:bCs/>
          <w:color w:val="002060"/>
          <w:sz w:val="16"/>
          <w:szCs w:val="16"/>
        </w:rPr>
        <w:softHyphen/>
        <w:t>де большое внимание уделяли вопросам прочности самолетов, проведению научно-исследовательских и проектных работ (553). Однако завод в Червонном не обладал испыта</w:t>
      </w:r>
      <w:r w:rsidRPr="00DE096C">
        <w:rPr>
          <w:bCs/>
          <w:color w:val="002060"/>
          <w:sz w:val="16"/>
          <w:szCs w:val="16"/>
        </w:rPr>
        <w:softHyphen/>
        <w:t>тельной лабораторией. Все материалы и изделия ис</w:t>
      </w:r>
      <w:r w:rsidRPr="00DE096C">
        <w:rPr>
          <w:bCs/>
          <w:color w:val="002060"/>
          <w:sz w:val="16"/>
          <w:szCs w:val="16"/>
        </w:rPr>
        <w:softHyphen/>
        <w:t>пытывались в лабораториях КПИ. Недалеко от про</w:t>
      </w:r>
      <w:r w:rsidRPr="00DE096C">
        <w:rPr>
          <w:bCs/>
          <w:color w:val="002060"/>
          <w:sz w:val="16"/>
          <w:szCs w:val="16"/>
        </w:rPr>
        <w:softHyphen/>
        <w:t>изводственных помещений имелся оборудованный ангарами аэродром, на котором собранные самолеты проходили облет. С началом первой мировой войны Терещенко получил ряд заказов от военного ведомства, которые способствовали дальнейшему развитию предприятия (553).</w:t>
      </w:r>
    </w:p>
    <w:p w14:paraId="72E8EB61" w14:textId="77777777" w:rsidR="00B67D7C" w:rsidRPr="00DE096C" w:rsidRDefault="00B67D7C" w:rsidP="00D45A46">
      <w:pPr>
        <w:shd w:val="clear" w:color="auto" w:fill="FFFFFF"/>
        <w:jc w:val="both"/>
        <w:rPr>
          <w:bCs/>
          <w:color w:val="002060"/>
          <w:sz w:val="16"/>
          <w:szCs w:val="16"/>
        </w:rPr>
      </w:pPr>
    </w:p>
    <w:p w14:paraId="434684C8" w14:textId="77777777" w:rsidR="00A4521B" w:rsidRPr="00DE096C" w:rsidRDefault="00A4521B" w:rsidP="00D45A46">
      <w:pPr>
        <w:jc w:val="both"/>
        <w:rPr>
          <w:bCs/>
          <w:color w:val="002060"/>
          <w:sz w:val="16"/>
          <w:szCs w:val="16"/>
        </w:rPr>
      </w:pPr>
      <w:r w:rsidRPr="00DE096C">
        <w:rPr>
          <w:bCs/>
          <w:color w:val="002060"/>
          <w:sz w:val="16"/>
          <w:szCs w:val="16"/>
        </w:rPr>
        <w:t>С конца 1914 и до 1916 г. завод выпускал французские летающие лодки "ФБА", поступавшие на вооружение морской авиации Балтийского флота. Для сборки и испытаний летающих лодок построили ангары на морском побережье Крестовского острова в Петрограде. Всего выпустили 34 летающих лодки типа "ФБА" (20052).</w:t>
      </w:r>
    </w:p>
    <w:p w14:paraId="0360BB43" w14:textId="77777777" w:rsidR="00A4521B" w:rsidRPr="00DE096C" w:rsidRDefault="00A4521B" w:rsidP="00D45A46">
      <w:pPr>
        <w:jc w:val="both"/>
        <w:rPr>
          <w:bCs/>
          <w:color w:val="002060"/>
          <w:sz w:val="16"/>
          <w:szCs w:val="16"/>
        </w:rPr>
      </w:pPr>
    </w:p>
    <w:p w14:paraId="30FC9B35" w14:textId="46773048" w:rsidR="00A4521B" w:rsidRPr="00DE096C" w:rsidRDefault="00A4521B" w:rsidP="00D45A46">
      <w:pPr>
        <w:pStyle w:val="article-renderblock"/>
        <w:shd w:val="clear" w:color="auto" w:fill="FFFFFF"/>
        <w:spacing w:before="0" w:beforeAutospacing="0" w:after="0" w:afterAutospacing="0"/>
        <w:jc w:val="both"/>
        <w:rPr>
          <w:bCs/>
          <w:color w:val="002060"/>
          <w:sz w:val="16"/>
          <w:szCs w:val="16"/>
        </w:rPr>
      </w:pPr>
      <w:r w:rsidRPr="00DE096C">
        <w:rPr>
          <w:bCs/>
          <w:color w:val="002060"/>
          <w:sz w:val="16"/>
          <w:szCs w:val="16"/>
        </w:rPr>
        <w:t xml:space="preserve">в конце 1914 – начале 1915 годов </w:t>
      </w:r>
      <w:r w:rsidR="00CE32E5" w:rsidRPr="00DE096C">
        <w:rPr>
          <w:bCs/>
          <w:color w:val="002060"/>
          <w:sz w:val="16"/>
          <w:szCs w:val="16"/>
        </w:rPr>
        <w:t xml:space="preserve">для обкатывания моторов Рено в Петрограде </w:t>
      </w:r>
      <w:r w:rsidRPr="00DE096C">
        <w:rPr>
          <w:bCs/>
          <w:color w:val="002060"/>
          <w:sz w:val="16"/>
          <w:szCs w:val="16"/>
        </w:rPr>
        <w:t>была построена испытательная станция. В 1916-1917 годах в Рыбинске был заложен дублер петроградского завода (20045).</w:t>
      </w:r>
    </w:p>
    <w:p w14:paraId="221A55AB" w14:textId="77777777" w:rsidR="00A4521B" w:rsidRPr="00DE096C" w:rsidRDefault="00A4521B" w:rsidP="00D45A46">
      <w:pPr>
        <w:jc w:val="both"/>
        <w:rPr>
          <w:bCs/>
          <w:color w:val="002060"/>
          <w:sz w:val="16"/>
          <w:szCs w:val="16"/>
        </w:rPr>
      </w:pPr>
    </w:p>
    <w:p w14:paraId="690FF178" w14:textId="77777777" w:rsidR="0078063F" w:rsidRPr="00B52707" w:rsidRDefault="0078063F" w:rsidP="0078063F">
      <w:pPr>
        <w:jc w:val="both"/>
        <w:rPr>
          <w:color w:val="0070C0"/>
          <w:sz w:val="16"/>
          <w:szCs w:val="16"/>
        </w:rPr>
      </w:pPr>
      <w:r w:rsidRPr="00B52707">
        <w:rPr>
          <w:color w:val="0070C0"/>
          <w:sz w:val="16"/>
          <w:szCs w:val="16"/>
        </w:rPr>
        <w:t>В конце 1914 года</w:t>
      </w:r>
      <w:r w:rsidRPr="00B52707">
        <w:rPr>
          <w:color w:val="0070C0"/>
          <w:sz w:val="16"/>
          <w:szCs w:val="16"/>
          <w:shd w:val="clear" w:color="auto" w:fill="FFFFFF"/>
        </w:rPr>
        <w:t xml:space="preserve"> </w:t>
      </w:r>
      <w:r w:rsidRPr="00B52707">
        <w:rPr>
          <w:color w:val="0070C0"/>
          <w:sz w:val="16"/>
          <w:szCs w:val="16"/>
        </w:rPr>
        <w:t>была построена лл «Гаккель Х». Данный самолет был заказан Морским ведомством в 1913 г. уже после успеха амфибии «Гаккель V» который был закуплен в количестве 9 штук (в РИ морское ведомство хоть и интересовалось им, но к соглашению о закупке не пришли, в итоге он даже не летал) и активно использовался в начальный период первой мировой как на Балтике (6 ед.), так и на Черном море (3 ед.).</w:t>
      </w:r>
    </w:p>
    <w:p w14:paraId="23AF704C" w14:textId="77777777" w:rsidR="0078063F" w:rsidRPr="00B52707" w:rsidRDefault="0078063F" w:rsidP="0078063F">
      <w:pPr>
        <w:jc w:val="both"/>
        <w:rPr>
          <w:color w:val="0070C0"/>
          <w:sz w:val="16"/>
          <w:szCs w:val="16"/>
        </w:rPr>
      </w:pPr>
      <w:r w:rsidRPr="00B52707">
        <w:rPr>
          <w:color w:val="0070C0"/>
          <w:sz w:val="16"/>
          <w:szCs w:val="16"/>
        </w:rPr>
        <w:t>Машина показала неважные мореходные качества, в течении года проводили исследования и доработки для снижения заливаемости носовой части. Для этого увеличили ширину лодки (это кроме того позволило добавить второго пилота, теперь они сидели бок-о бок) и заострили носовую часть это увеличило длину с 10,65 м, до 10,95, в этих работах активно помогал Григорович. К тому же самолет получил два пулемета. Но когда в июне 1915 г. «Гаккель Х» уже с 130-сильными двигателями Renault 12Db прошел весь комплекс испытаний и по сути подтвердил заявленные данные, оказалось, что лодка уже не нужна. Ее характеристики кроме грузоподъемности и дальности, не сильно отличались от более дешёвой в производстве М-5, да и нагрузку, использовать в полной мере удавалось (25220).</w:t>
      </w:r>
    </w:p>
    <w:p w14:paraId="1C73D613" w14:textId="77777777" w:rsidR="0078063F" w:rsidRPr="00B52707" w:rsidRDefault="0078063F" w:rsidP="0078063F">
      <w:pPr>
        <w:jc w:val="both"/>
        <w:rPr>
          <w:color w:val="0070C0"/>
          <w:sz w:val="16"/>
          <w:szCs w:val="16"/>
        </w:rPr>
      </w:pPr>
    </w:p>
    <w:p w14:paraId="22E84ECD" w14:textId="77777777" w:rsidR="0078063F" w:rsidRPr="00B52707" w:rsidRDefault="0078063F" w:rsidP="0078063F">
      <w:pPr>
        <w:jc w:val="both"/>
        <w:rPr>
          <w:rStyle w:val="ab"/>
          <w:rFonts w:ascii="Times New Roman" w:hAnsi="Times New Roman"/>
          <w:color w:val="0070C0"/>
          <w:spacing w:val="0"/>
          <w:sz w:val="16"/>
          <w:szCs w:val="16"/>
        </w:rPr>
      </w:pPr>
      <w:r w:rsidRPr="00B52707">
        <w:rPr>
          <w:rStyle w:val="ab"/>
          <w:rFonts w:ascii="Times New Roman" w:hAnsi="Times New Roman"/>
          <w:color w:val="0070C0"/>
          <w:spacing w:val="0"/>
          <w:sz w:val="16"/>
          <w:szCs w:val="16"/>
        </w:rPr>
        <w:t>К концу 1914 г. основные части вертолета старшего осмотрщика вагонов станции Юрьев (Тарту) Корнелия Егоровича Мороза были построены, не хва</w:t>
      </w:r>
      <w:r w:rsidRPr="00B52707">
        <w:rPr>
          <w:rStyle w:val="ab"/>
          <w:rFonts w:ascii="Times New Roman" w:hAnsi="Times New Roman"/>
          <w:color w:val="0070C0"/>
          <w:spacing w:val="0"/>
          <w:sz w:val="16"/>
          <w:szCs w:val="16"/>
        </w:rPr>
        <w:softHyphen/>
        <w:t>тало только двигателя. Изобретатель не мог самостоятельно изгото</w:t>
      </w:r>
      <w:r w:rsidRPr="00B52707">
        <w:rPr>
          <w:rStyle w:val="ab"/>
          <w:rFonts w:ascii="Times New Roman" w:hAnsi="Times New Roman"/>
          <w:color w:val="0070C0"/>
          <w:spacing w:val="0"/>
          <w:sz w:val="16"/>
          <w:szCs w:val="16"/>
        </w:rPr>
        <w:softHyphen/>
        <w:t>вить цилиндры с поршнями двигателя, а выполненные по его заказу на автомобильном заводе Пузырева в 1915 г. «вследствие пористого металла оказались неприменимы». Попытка договориться об их изго</w:t>
      </w:r>
      <w:r w:rsidRPr="00B52707">
        <w:rPr>
          <w:rStyle w:val="ab"/>
          <w:rFonts w:ascii="Times New Roman" w:hAnsi="Times New Roman"/>
          <w:color w:val="0070C0"/>
          <w:spacing w:val="0"/>
          <w:sz w:val="16"/>
          <w:szCs w:val="16"/>
        </w:rPr>
        <w:softHyphen/>
        <w:t>товлении с французской авиамоторной фирмой «Гном» также ни к че</w:t>
      </w:r>
      <w:r w:rsidRPr="00B52707">
        <w:rPr>
          <w:rStyle w:val="ab"/>
          <w:rFonts w:ascii="Times New Roman" w:hAnsi="Times New Roman"/>
          <w:color w:val="0070C0"/>
          <w:spacing w:val="0"/>
          <w:sz w:val="16"/>
          <w:szCs w:val="16"/>
        </w:rPr>
        <w:softHyphen/>
        <w:t>му не привела.</w:t>
      </w:r>
    </w:p>
    <w:p w14:paraId="4523D548" w14:textId="77777777" w:rsidR="0078063F" w:rsidRPr="00B52707" w:rsidRDefault="0078063F" w:rsidP="0078063F">
      <w:pPr>
        <w:jc w:val="both"/>
        <w:rPr>
          <w:color w:val="0070C0"/>
          <w:sz w:val="16"/>
          <w:szCs w:val="16"/>
        </w:rPr>
      </w:pPr>
      <w:r w:rsidRPr="00B52707">
        <w:rPr>
          <w:rStyle w:val="ab"/>
          <w:rFonts w:ascii="Times New Roman" w:hAnsi="Times New Roman"/>
          <w:color w:val="0070C0"/>
          <w:spacing w:val="0"/>
          <w:sz w:val="16"/>
          <w:szCs w:val="16"/>
        </w:rPr>
        <w:t>Постройку К.Е. Мороз вел за собственный счет, а его личные сбе</w:t>
      </w:r>
      <w:r w:rsidRPr="00B52707">
        <w:rPr>
          <w:rStyle w:val="ab"/>
          <w:rFonts w:ascii="Times New Roman" w:hAnsi="Times New Roman"/>
          <w:color w:val="0070C0"/>
          <w:spacing w:val="0"/>
          <w:sz w:val="16"/>
          <w:szCs w:val="16"/>
        </w:rPr>
        <w:softHyphen/>
        <w:t>режения были небольшими. В 1915 г. он обратился за помощью в раз</w:t>
      </w:r>
      <w:r w:rsidRPr="00B52707">
        <w:rPr>
          <w:rStyle w:val="ab"/>
          <w:rFonts w:ascii="Times New Roman" w:hAnsi="Times New Roman"/>
          <w:color w:val="0070C0"/>
          <w:spacing w:val="0"/>
          <w:sz w:val="16"/>
          <w:szCs w:val="16"/>
        </w:rPr>
        <w:softHyphen/>
        <w:t>личные военные и военно-морские учреждения России. Шла война, и изобретатель обещал, что его вертолет «может фиксироваться в одной точке пространства, что способствует по прицелу спускать бомбы и пользоваться проволочным телефоном, оставаясь вследствие неболь</w:t>
      </w:r>
      <w:r w:rsidRPr="00B52707">
        <w:rPr>
          <w:rStyle w:val="ab"/>
          <w:rFonts w:ascii="Times New Roman" w:hAnsi="Times New Roman"/>
          <w:color w:val="0070C0"/>
          <w:spacing w:val="0"/>
          <w:sz w:val="16"/>
          <w:szCs w:val="16"/>
        </w:rPr>
        <w:softHyphen/>
        <w:t>шой величины аппарата и его соответствующей окраски незамечен</w:t>
      </w:r>
      <w:r w:rsidRPr="00B52707">
        <w:rPr>
          <w:rStyle w:val="ab"/>
          <w:rFonts w:ascii="Times New Roman" w:hAnsi="Times New Roman"/>
          <w:color w:val="0070C0"/>
          <w:spacing w:val="0"/>
          <w:sz w:val="16"/>
          <w:szCs w:val="16"/>
        </w:rPr>
        <w:softHyphen/>
        <w:t>ным для невооруженного глаза на расстоянии 1000 метров».</w:t>
      </w:r>
    </w:p>
    <w:p w14:paraId="0AB9F796" w14:textId="77777777" w:rsidR="0078063F" w:rsidRPr="00B52707" w:rsidRDefault="0078063F" w:rsidP="0078063F">
      <w:pPr>
        <w:jc w:val="both"/>
        <w:rPr>
          <w:rStyle w:val="ab"/>
          <w:rFonts w:ascii="Times New Roman" w:hAnsi="Times New Roman"/>
          <w:color w:val="0070C0"/>
          <w:spacing w:val="0"/>
          <w:sz w:val="16"/>
          <w:szCs w:val="16"/>
        </w:rPr>
      </w:pPr>
      <w:r w:rsidRPr="00B52707">
        <w:rPr>
          <w:rStyle w:val="ab"/>
          <w:rFonts w:ascii="Times New Roman" w:hAnsi="Times New Roman"/>
          <w:color w:val="0070C0"/>
          <w:spacing w:val="0"/>
          <w:sz w:val="16"/>
          <w:szCs w:val="16"/>
        </w:rPr>
        <w:t>Центральный военно-промышленный комитет направил осенью 1915 г. к К.Е. Морозу фабричного инспектора города Юрьева. Выяс</w:t>
      </w:r>
      <w:r w:rsidRPr="00B52707">
        <w:rPr>
          <w:rStyle w:val="ab"/>
          <w:rFonts w:ascii="Times New Roman" w:hAnsi="Times New Roman"/>
          <w:color w:val="0070C0"/>
          <w:spacing w:val="0"/>
          <w:sz w:val="16"/>
          <w:szCs w:val="16"/>
        </w:rPr>
        <w:softHyphen/>
        <w:t>нилось, что вертолет построен не по первоначальному проекту. Фюзе</w:t>
      </w:r>
      <w:r w:rsidRPr="00B52707">
        <w:rPr>
          <w:rStyle w:val="ab"/>
          <w:rFonts w:ascii="Times New Roman" w:hAnsi="Times New Roman"/>
          <w:color w:val="0070C0"/>
          <w:spacing w:val="0"/>
          <w:sz w:val="16"/>
          <w:szCs w:val="16"/>
        </w:rPr>
        <w:softHyphen/>
        <w:t>ляж длиной 2,14 м и шириной 0,92 м не имел никаких приспособле</w:t>
      </w:r>
      <w:r w:rsidRPr="00B52707">
        <w:rPr>
          <w:rStyle w:val="ab"/>
          <w:rFonts w:ascii="Times New Roman" w:hAnsi="Times New Roman"/>
          <w:color w:val="0070C0"/>
          <w:spacing w:val="0"/>
          <w:sz w:val="16"/>
          <w:szCs w:val="16"/>
        </w:rPr>
        <w:softHyphen/>
        <w:t>ний для посадки на воду, отсутствовали й раскрывающиеся крылья. Трансмиссия и несущие винты были готовы и установлены на аппара</w:t>
      </w:r>
      <w:r w:rsidRPr="00B52707">
        <w:rPr>
          <w:rStyle w:val="ab"/>
          <w:rFonts w:ascii="Times New Roman" w:hAnsi="Times New Roman"/>
          <w:color w:val="0070C0"/>
          <w:spacing w:val="0"/>
          <w:sz w:val="16"/>
          <w:szCs w:val="16"/>
        </w:rPr>
        <w:softHyphen/>
        <w:t>те, но инспектор так и не смог разобраться, как осуществляется на</w:t>
      </w:r>
      <w:r w:rsidRPr="00B52707">
        <w:rPr>
          <w:rStyle w:val="ab"/>
          <w:rFonts w:ascii="Times New Roman" w:hAnsi="Times New Roman"/>
          <w:color w:val="0070C0"/>
          <w:spacing w:val="0"/>
          <w:sz w:val="16"/>
          <w:szCs w:val="16"/>
        </w:rPr>
        <w:softHyphen/>
        <w:t xml:space="preserve">клон их осей. Мороз </w:t>
      </w:r>
      <w:r w:rsidRPr="00B52707">
        <w:rPr>
          <w:rStyle w:val="ab"/>
          <w:rFonts w:ascii="Times New Roman" w:hAnsi="Times New Roman"/>
          <w:color w:val="0070C0"/>
          <w:spacing w:val="0"/>
          <w:sz w:val="16"/>
          <w:szCs w:val="16"/>
        </w:rPr>
        <w:lastRenderedPageBreak/>
        <w:t>отказался от объяснений, «скрываясь за секрет своего изобретения». Сомнения у инспектора вызвала и возможность успешного завершения постройки двигателя изобретателя. Комитет поставил условием оказания помощи Морозу ознакомление с черте</w:t>
      </w:r>
      <w:r w:rsidRPr="00B52707">
        <w:rPr>
          <w:rStyle w:val="ab"/>
          <w:rFonts w:ascii="Times New Roman" w:hAnsi="Times New Roman"/>
          <w:color w:val="0070C0"/>
          <w:spacing w:val="0"/>
          <w:sz w:val="16"/>
          <w:szCs w:val="16"/>
        </w:rPr>
        <w:softHyphen/>
        <w:t>жами и расчетами вертолета. Изобретатель их не представил, однако получил поддержку члена Государственной Думы А.И. Шингарева, который ходатайствовал о направлении К.Е. Мороза на один из ка</w:t>
      </w:r>
      <w:r w:rsidRPr="00B52707">
        <w:rPr>
          <w:rStyle w:val="ab"/>
          <w:rFonts w:ascii="Times New Roman" w:hAnsi="Times New Roman"/>
          <w:color w:val="0070C0"/>
          <w:spacing w:val="0"/>
          <w:sz w:val="16"/>
          <w:szCs w:val="16"/>
        </w:rPr>
        <w:softHyphen/>
        <w:t>зенных заводов для завершения постройки двигателя (25622).</w:t>
      </w:r>
    </w:p>
    <w:p w14:paraId="1B5BF376" w14:textId="77777777" w:rsidR="0078063F" w:rsidRPr="00B52707" w:rsidRDefault="0078063F" w:rsidP="0078063F">
      <w:pPr>
        <w:jc w:val="both"/>
        <w:rPr>
          <w:color w:val="0070C0"/>
          <w:sz w:val="16"/>
          <w:szCs w:val="16"/>
        </w:rPr>
      </w:pPr>
    </w:p>
    <w:p w14:paraId="5E2B51AD" w14:textId="77777777" w:rsidR="008102F8" w:rsidRPr="00DE096C" w:rsidRDefault="008102F8" w:rsidP="00D45A46">
      <w:pPr>
        <w:jc w:val="both"/>
        <w:rPr>
          <w:bCs/>
          <w:color w:val="002060"/>
          <w:sz w:val="16"/>
          <w:szCs w:val="16"/>
        </w:rPr>
      </w:pPr>
      <w:r w:rsidRPr="00DE096C">
        <w:rPr>
          <w:bCs/>
          <w:color w:val="002060"/>
          <w:sz w:val="16"/>
          <w:szCs w:val="16"/>
        </w:rPr>
        <w:t>В конце 1914—начале 1915 годов Кертисс получил от Рос</w:t>
      </w:r>
      <w:r w:rsidRPr="00DE096C">
        <w:rPr>
          <w:bCs/>
          <w:color w:val="002060"/>
          <w:sz w:val="16"/>
          <w:szCs w:val="16"/>
        </w:rPr>
        <w:softHyphen/>
        <w:t>сии заказы на 48 летающих лодок, а также на дополни</w:t>
      </w:r>
      <w:r w:rsidRPr="00DE096C">
        <w:rPr>
          <w:bCs/>
          <w:color w:val="002060"/>
          <w:sz w:val="16"/>
          <w:szCs w:val="16"/>
        </w:rPr>
        <w:softHyphen/>
        <w:t>тельные двигатели и запасные части к ним. Общая сум</w:t>
      </w:r>
      <w:r w:rsidRPr="00DE096C">
        <w:rPr>
          <w:bCs/>
          <w:color w:val="002060"/>
          <w:sz w:val="16"/>
          <w:szCs w:val="16"/>
        </w:rPr>
        <w:softHyphen/>
        <w:t>ма контракта составила около 1 млн. долларов.</w:t>
      </w:r>
    </w:p>
    <w:p w14:paraId="3EE930C4" w14:textId="77777777" w:rsidR="008102F8" w:rsidRPr="00DE096C" w:rsidRDefault="008102F8" w:rsidP="00D45A46">
      <w:pPr>
        <w:jc w:val="both"/>
        <w:rPr>
          <w:bCs/>
          <w:color w:val="002060"/>
          <w:sz w:val="16"/>
          <w:szCs w:val="16"/>
        </w:rPr>
      </w:pPr>
      <w:r w:rsidRPr="00DE096C">
        <w:rPr>
          <w:bCs/>
          <w:color w:val="002060"/>
          <w:sz w:val="16"/>
          <w:szCs w:val="16"/>
        </w:rPr>
        <w:t>Первые поставляемые в нашу страну лодки—«F»— представляли собой двухместный самолет с двигателем мощностью 100 л.с., разработанный Кертиссом еще до войны и предназначавшийся вначале для продажи част</w:t>
      </w:r>
      <w:r w:rsidRPr="00DE096C">
        <w:rPr>
          <w:bCs/>
          <w:color w:val="002060"/>
          <w:sz w:val="16"/>
          <w:szCs w:val="16"/>
        </w:rPr>
        <w:softHyphen/>
        <w:t>ным лицам. Они еще имели межкрыльевые элероны, как на поплавковых гидросамолетах; позднее конструк</w:t>
      </w:r>
      <w:r w:rsidRPr="00DE096C">
        <w:rPr>
          <w:bCs/>
          <w:color w:val="002060"/>
          <w:sz w:val="16"/>
          <w:szCs w:val="16"/>
        </w:rPr>
        <w:softHyphen/>
        <w:t>тор стал использовать на них более рациональную схе</w:t>
      </w:r>
      <w:r w:rsidRPr="00DE096C">
        <w:rPr>
          <w:bCs/>
          <w:color w:val="002060"/>
          <w:sz w:val="16"/>
          <w:szCs w:val="16"/>
        </w:rPr>
        <w:softHyphen/>
        <w:t>му крепления элеронов—на верхнем крыле.</w:t>
      </w:r>
    </w:p>
    <w:p w14:paraId="13009DA8" w14:textId="77777777" w:rsidR="008102F8" w:rsidRPr="00DE096C" w:rsidRDefault="008102F8" w:rsidP="00D45A46">
      <w:pPr>
        <w:jc w:val="both"/>
        <w:rPr>
          <w:bCs/>
          <w:color w:val="002060"/>
          <w:sz w:val="16"/>
          <w:szCs w:val="16"/>
        </w:rPr>
      </w:pPr>
      <w:r w:rsidRPr="00DE096C">
        <w:rPr>
          <w:bCs/>
          <w:color w:val="002060"/>
          <w:sz w:val="16"/>
          <w:szCs w:val="16"/>
        </w:rPr>
        <w:t>Самолетов «F» в нашей стране было совсем немного, пять или шесть, так как вскоре после получения заказа Кертисс спроектировал для России вариант «К»—с новым двигателем мощностью в 160 л.с., увеличенным с 12,5 до 17 метров размахом крыла и трехместным фюзеляжем- лодкой. Максимальная скорость полета была такой же, как у «F»—около 100 км/ч. Взлетный вес самолета с по</w:t>
      </w:r>
      <w:r w:rsidRPr="00DE096C">
        <w:rPr>
          <w:bCs/>
          <w:color w:val="002060"/>
          <w:sz w:val="16"/>
          <w:szCs w:val="16"/>
        </w:rPr>
        <w:softHyphen/>
        <w:t>лутонной нагрузкой достигал 1750 кг. «Кертисс К» соста</w:t>
      </w:r>
      <w:r w:rsidRPr="00DE096C">
        <w:rPr>
          <w:bCs/>
          <w:color w:val="002060"/>
          <w:sz w:val="16"/>
          <w:szCs w:val="16"/>
        </w:rPr>
        <w:softHyphen/>
        <w:t>вили основную долю американских поставок в Россию.</w:t>
      </w:r>
    </w:p>
    <w:p w14:paraId="19ACF054" w14:textId="77777777" w:rsidR="008102F8" w:rsidRPr="00DE096C" w:rsidRDefault="008102F8" w:rsidP="00D45A46">
      <w:pPr>
        <w:jc w:val="both"/>
        <w:rPr>
          <w:bCs/>
          <w:color w:val="002060"/>
          <w:sz w:val="16"/>
          <w:szCs w:val="16"/>
        </w:rPr>
      </w:pPr>
      <w:r w:rsidRPr="00DE096C">
        <w:rPr>
          <w:bCs/>
          <w:color w:val="002060"/>
          <w:sz w:val="16"/>
          <w:szCs w:val="16"/>
        </w:rPr>
        <w:t>Для Гленна Кертисса военный заказ от России был первым по-настоящему крупным контрактом, и он изо всех сил стремился побыстрее «провернуть» выгодное дело. Сотрудник фирмы «Кертисс» Р.Джаннус, прини</w:t>
      </w:r>
      <w:r w:rsidRPr="00DE096C">
        <w:rPr>
          <w:bCs/>
          <w:color w:val="002060"/>
          <w:sz w:val="16"/>
          <w:szCs w:val="16"/>
        </w:rPr>
        <w:softHyphen/>
        <w:t>мавший участие в деле с поставкой летающих лодок в Россию, свидетельствует: «Заказы выполнялись на раз</w:t>
      </w:r>
      <w:r w:rsidRPr="00DE096C">
        <w:rPr>
          <w:bCs/>
          <w:color w:val="002060"/>
          <w:sz w:val="16"/>
          <w:szCs w:val="16"/>
        </w:rPr>
        <w:softHyphen/>
        <w:t>личных заводах «Кертисса» в спешке, результатом чего явилось очень плохое качество работы во время всего процесса постройки. Двигатель был нового типа, недо</w:t>
      </w:r>
      <w:r w:rsidRPr="00DE096C">
        <w:rPr>
          <w:bCs/>
          <w:color w:val="002060"/>
          <w:sz w:val="16"/>
          <w:szCs w:val="16"/>
        </w:rPr>
        <w:softHyphen/>
        <w:t>статочно отработанный и вскоре снятый с производст</w:t>
      </w:r>
      <w:r w:rsidRPr="00DE096C">
        <w:rPr>
          <w:bCs/>
          <w:color w:val="002060"/>
          <w:sz w:val="16"/>
          <w:szCs w:val="16"/>
        </w:rPr>
        <w:softHyphen/>
        <w:t>ва. Конструкция лодки тоже была новой, ее даже не ус</w:t>
      </w:r>
      <w:r w:rsidRPr="00DE096C">
        <w:rPr>
          <w:bCs/>
          <w:color w:val="002060"/>
          <w:sz w:val="16"/>
          <w:szCs w:val="16"/>
        </w:rPr>
        <w:softHyphen/>
        <w:t>пели испытать до того момента, когда большую часть самолетов уже отправили в Россию...».</w:t>
      </w:r>
    </w:p>
    <w:p w14:paraId="1A8C8622" w14:textId="77777777" w:rsidR="008102F8" w:rsidRPr="00DE096C" w:rsidRDefault="008102F8" w:rsidP="00D45A46">
      <w:pPr>
        <w:jc w:val="both"/>
        <w:rPr>
          <w:bCs/>
          <w:color w:val="002060"/>
          <w:sz w:val="16"/>
          <w:szCs w:val="16"/>
        </w:rPr>
      </w:pPr>
      <w:r w:rsidRPr="00DE096C">
        <w:rPr>
          <w:bCs/>
          <w:color w:val="002060"/>
          <w:sz w:val="16"/>
          <w:szCs w:val="16"/>
        </w:rPr>
        <w:t>«Кертиссы» привозили в Севастополь через Черное море. Позднее, когда этот маршрут стал невозможен из-за контроля турецких кораблей и подводных лодок за проливом Босфор, пришлось пользоваться окружным путем, доставляя грузы через северную Атлантику в Ар</w:t>
      </w:r>
      <w:r w:rsidRPr="00DE096C">
        <w:rPr>
          <w:bCs/>
          <w:color w:val="002060"/>
          <w:sz w:val="16"/>
          <w:szCs w:val="16"/>
        </w:rPr>
        <w:softHyphen/>
        <w:t>хангельск или через Тихий океан во Владивосток, а за</w:t>
      </w:r>
      <w:r w:rsidRPr="00DE096C">
        <w:rPr>
          <w:bCs/>
          <w:color w:val="002060"/>
          <w:sz w:val="16"/>
          <w:szCs w:val="16"/>
        </w:rPr>
        <w:softHyphen/>
        <w:t>тем, по железной дороге—в Севастополь (23545).</w:t>
      </w:r>
    </w:p>
    <w:p w14:paraId="1C0281FF" w14:textId="77777777" w:rsidR="008102F8" w:rsidRPr="00DE096C" w:rsidRDefault="008102F8" w:rsidP="00D45A46">
      <w:pPr>
        <w:jc w:val="both"/>
        <w:rPr>
          <w:bCs/>
          <w:color w:val="002060"/>
          <w:sz w:val="16"/>
          <w:szCs w:val="16"/>
        </w:rPr>
      </w:pPr>
    </w:p>
    <w:p w14:paraId="2741DD98" w14:textId="77777777" w:rsidR="008102F8" w:rsidRPr="00DE096C" w:rsidRDefault="008102F8" w:rsidP="00D45A46">
      <w:pPr>
        <w:jc w:val="both"/>
        <w:rPr>
          <w:bCs/>
          <w:color w:val="002060"/>
          <w:sz w:val="16"/>
          <w:szCs w:val="16"/>
        </w:rPr>
      </w:pPr>
      <w:r w:rsidRPr="00DE096C">
        <w:rPr>
          <w:bCs/>
          <w:color w:val="002060"/>
          <w:sz w:val="16"/>
          <w:szCs w:val="16"/>
        </w:rPr>
        <w:t>С конца 1914 по 1916 год завод Лебедева построил для флота 34 летающие лодки ФБА с моторами Гном-Моносупап 100 л.с. В течение 1915 года было построено около тридцати Morane Saulnier типа L. В 1915 году начались работы по проектированию «Лебедя-7», было построено несколько копий одноместного Sopwith Tabloid.</w:t>
      </w:r>
    </w:p>
    <w:p w14:paraId="24DECE69" w14:textId="77777777" w:rsidR="008102F8" w:rsidRPr="00DE096C" w:rsidRDefault="008102F8" w:rsidP="00D45A46">
      <w:pPr>
        <w:jc w:val="both"/>
        <w:rPr>
          <w:bCs/>
          <w:color w:val="002060"/>
          <w:sz w:val="16"/>
          <w:szCs w:val="16"/>
        </w:rPr>
      </w:pPr>
      <w:r w:rsidRPr="00DE096C">
        <w:rPr>
          <w:bCs/>
          <w:color w:val="002060"/>
          <w:sz w:val="16"/>
          <w:szCs w:val="16"/>
        </w:rPr>
        <w:t>Вскоре за ним последовал Лебедь-8, копия двухместного немецкого LVG BI. В 1916 году были начаты работы над Лебедем-10 и</w:t>
      </w:r>
    </w:p>
    <w:p w14:paraId="12A162D8" w14:textId="77777777" w:rsidR="008102F8" w:rsidRPr="00DE096C" w:rsidRDefault="008102F8" w:rsidP="00D45A46">
      <w:pPr>
        <w:jc w:val="both"/>
        <w:rPr>
          <w:bCs/>
          <w:color w:val="002060"/>
          <w:sz w:val="16"/>
          <w:szCs w:val="16"/>
        </w:rPr>
      </w:pPr>
      <w:r w:rsidRPr="00DE096C">
        <w:rPr>
          <w:bCs/>
          <w:color w:val="002060"/>
          <w:sz w:val="16"/>
          <w:szCs w:val="16"/>
        </w:rPr>
        <w:t>Лебедя 11 (оба оригинального дизайна). Всего было построено всего несколько экземпляров каждого типа. Это привело к Лебедю 12.</w:t>
      </w:r>
    </w:p>
    <w:p w14:paraId="5459C3FF" w14:textId="77777777" w:rsidR="008102F8" w:rsidRPr="00DE096C" w:rsidRDefault="008102F8" w:rsidP="00D45A46">
      <w:pPr>
        <w:jc w:val="both"/>
        <w:rPr>
          <w:bCs/>
          <w:color w:val="002060"/>
          <w:sz w:val="16"/>
          <w:szCs w:val="16"/>
        </w:rPr>
      </w:pPr>
      <w:r w:rsidRPr="00DE096C">
        <w:rPr>
          <w:bCs/>
          <w:color w:val="002060"/>
          <w:sz w:val="16"/>
          <w:szCs w:val="16"/>
        </w:rPr>
        <w:t>Лебедь-12 был двухместным разведывательным самолетом с двигателем Salmson мощностью 150 л.с. Он был вооружен одним 7,62-мм пулеметом Colt с подвижной установкой, управляемой наблюдателем. Опытный образец был завершен и испытан Поручиком Слепцовым 10 января 1916 года. Заказ на 225 самолетов был получен от Военного министерства 19 апреля.</w:t>
      </w:r>
    </w:p>
    <w:p w14:paraId="12C0EB13" w14:textId="77777777" w:rsidR="008102F8" w:rsidRPr="00DE096C" w:rsidRDefault="008102F8" w:rsidP="00D45A46">
      <w:pPr>
        <w:jc w:val="both"/>
        <w:rPr>
          <w:bCs/>
          <w:color w:val="002060"/>
          <w:sz w:val="16"/>
          <w:szCs w:val="16"/>
        </w:rPr>
      </w:pPr>
      <w:r w:rsidRPr="00DE096C">
        <w:rPr>
          <w:bCs/>
          <w:color w:val="002060"/>
          <w:sz w:val="16"/>
          <w:szCs w:val="16"/>
        </w:rPr>
        <w:t>Первый серийный самолет испытал военный летчик Михайлов 4 августа на Комендантском аэродроме под Петроградом. В течение октября около десяти «Лебедей-12» были переданы военным и действовали на фронте. Пилоты на фронте критиковали «Лебедь-12» за то, что его было трудно восстановить после пикирования, что привело к авариям со смертельным исходом. Экипажам не нравились пары и тепло от выхлопа двигателя, который располагался слишком близко к кабине. Орудийная установка наблюдателя также была плохо спроектирована и позже была заменена улучшенной конструкцией.</w:t>
      </w:r>
    </w:p>
    <w:p w14:paraId="0E06FECA" w14:textId="77777777" w:rsidR="008102F8" w:rsidRPr="00DE096C" w:rsidRDefault="008102F8" w:rsidP="00D45A46">
      <w:pPr>
        <w:jc w:val="both"/>
        <w:rPr>
          <w:bCs/>
          <w:color w:val="002060"/>
          <w:sz w:val="16"/>
          <w:szCs w:val="16"/>
        </w:rPr>
      </w:pPr>
      <w:r w:rsidRPr="00DE096C">
        <w:rPr>
          <w:bCs/>
          <w:color w:val="002060"/>
          <w:sz w:val="16"/>
          <w:szCs w:val="16"/>
        </w:rPr>
        <w:t>Летом 1917 года «Лебедь-12» подвергся дальнейшей модификации. По новому контракту было заказано 200 самолетов, некоторые из которых были оснащены поплавками или лыжами. К 1 января 1918 года заводы Лебедева построили 218 «Лебедей-12» и 171 комплект запасных частей.</w:t>
      </w:r>
    </w:p>
    <w:p w14:paraId="3D69386A" w14:textId="77777777" w:rsidR="008102F8" w:rsidRPr="00DE096C" w:rsidRDefault="008102F8" w:rsidP="00D45A46">
      <w:pPr>
        <w:jc w:val="both"/>
        <w:rPr>
          <w:bCs/>
          <w:color w:val="002060"/>
          <w:sz w:val="16"/>
          <w:szCs w:val="16"/>
        </w:rPr>
      </w:pPr>
      <w:r w:rsidRPr="00DE096C">
        <w:rPr>
          <w:bCs/>
          <w:color w:val="002060"/>
          <w:sz w:val="16"/>
          <w:szCs w:val="16"/>
        </w:rPr>
        <w:t>Ранее, в декабре 1914 г., завод Лебедева заключил договор с авиаконструктором В.А. Слесарева на средства богатого помещика и члена ИВАК Е.М. Малынского на постройку слесаревского «Святогора» — большого трехопорного биплана. Два двигателя Renault мощностью 220 л.с. были установлены в январе 1916 года.</w:t>
      </w:r>
    </w:p>
    <w:p w14:paraId="08A61AB8" w14:textId="77777777" w:rsidR="008102F8" w:rsidRPr="00DE096C" w:rsidRDefault="008102F8" w:rsidP="00D45A46">
      <w:pPr>
        <w:jc w:val="both"/>
        <w:rPr>
          <w:bCs/>
          <w:color w:val="002060"/>
          <w:sz w:val="16"/>
          <w:szCs w:val="16"/>
        </w:rPr>
      </w:pPr>
      <w:r w:rsidRPr="00DE096C">
        <w:rPr>
          <w:bCs/>
          <w:color w:val="002060"/>
          <w:sz w:val="16"/>
          <w:szCs w:val="16"/>
        </w:rPr>
        <w:t>«Святогор» был поврежден в начале ноября 1916 года во время наземных испытаний на аэродроме Комендантский и больше не летал. Было обнаружено, что он превышает бюджет и вес, и финансирование прекратилось. Слесарев погиб в результате дорожно-транспортного происшествия в Петрограде в начале 1921 года.</w:t>
      </w:r>
    </w:p>
    <w:p w14:paraId="675BC102" w14:textId="77777777" w:rsidR="008102F8" w:rsidRPr="00DE096C" w:rsidRDefault="008102F8" w:rsidP="00D45A46">
      <w:pPr>
        <w:jc w:val="both"/>
        <w:rPr>
          <w:bCs/>
          <w:color w:val="002060"/>
          <w:sz w:val="16"/>
          <w:szCs w:val="16"/>
        </w:rPr>
      </w:pPr>
      <w:r w:rsidRPr="00DE096C">
        <w:rPr>
          <w:bCs/>
          <w:color w:val="002060"/>
          <w:sz w:val="16"/>
          <w:szCs w:val="16"/>
        </w:rPr>
        <w:t>В 1916 году Лебедев открыл в Таганроге большой авиационный магазин. В советское время он был известен как ГАЗ № 10. В 1917 г. Лебедев построил в г. Ярославле крупный металлургический завод по производству автомобильных и авиационных двигателей.</w:t>
      </w:r>
    </w:p>
    <w:p w14:paraId="46086476" w14:textId="77777777" w:rsidR="008102F8" w:rsidRPr="00DE096C" w:rsidRDefault="008102F8" w:rsidP="00D45A46">
      <w:pPr>
        <w:jc w:val="both"/>
        <w:rPr>
          <w:bCs/>
          <w:color w:val="002060"/>
          <w:sz w:val="16"/>
          <w:szCs w:val="16"/>
        </w:rPr>
      </w:pPr>
      <w:r w:rsidRPr="00DE096C">
        <w:rPr>
          <w:bCs/>
          <w:color w:val="002060"/>
          <w:sz w:val="16"/>
          <w:szCs w:val="16"/>
        </w:rPr>
        <w:t>В течение 1915 года завод Лебедева построил два гидросамолета «Депердюссен» и один гидросамолет «Морис Фарман-11». Они также построили несколько двухместных гидросамолетов Лебедев-Морской ЛМ (ВМФ Лебедева), один из которых был отправлен в Ревельскую крепость АО. Другие морские типы включали копии двухместной летающей лодки FBA с двигателем Gnome мощностью 100 л.с.; один тип «ГФ» Лебедева и конструктора Г.А. Фриде, модифицированный Morane Saulnier тип L, переделанный в летающую лодку; одна летающая лодка «Виллиш ВМ-2»; а в декабре 1916 года одна летающая лодка Villish VM-4 с двигателем Rhone HOhp, которую отправили в Бакинскую школу. В июле 1917 года были построены три сухопутных самолета Лебедева «Альбатрос А.8». Завод в Таганроге также производил небольшое количество самолетов.</w:t>
      </w:r>
    </w:p>
    <w:p w14:paraId="4B02CA93" w14:textId="77777777" w:rsidR="008102F8" w:rsidRPr="00DE096C" w:rsidRDefault="008102F8" w:rsidP="00D45A46">
      <w:pPr>
        <w:jc w:val="both"/>
        <w:rPr>
          <w:bCs/>
          <w:color w:val="002060"/>
          <w:sz w:val="16"/>
          <w:szCs w:val="16"/>
        </w:rPr>
      </w:pPr>
      <w:r w:rsidRPr="00DE096C">
        <w:rPr>
          <w:bCs/>
          <w:color w:val="002060"/>
          <w:sz w:val="16"/>
          <w:szCs w:val="16"/>
        </w:rPr>
        <w:t>Летом 1916 г. на заводе Лебедева был построен самолет конструкции Л. Д. Колпакова-Мирошниченко «Кл» — двухместная разведывательная машина с двигателем «Аустро-Даймлер» 100 л.с. Самолет отличался крылом изменяемого угла наклона. Он разбился во время своего первого полета и больше не восстанавливался.</w:t>
      </w:r>
    </w:p>
    <w:p w14:paraId="45223CB9" w14:textId="77777777" w:rsidR="008102F8" w:rsidRPr="00DE096C" w:rsidRDefault="008102F8" w:rsidP="00D45A46">
      <w:pPr>
        <w:jc w:val="both"/>
        <w:rPr>
          <w:bCs/>
          <w:color w:val="002060"/>
          <w:sz w:val="16"/>
          <w:szCs w:val="16"/>
        </w:rPr>
      </w:pPr>
      <w:r w:rsidRPr="00DE096C">
        <w:rPr>
          <w:bCs/>
          <w:color w:val="002060"/>
          <w:sz w:val="16"/>
          <w:szCs w:val="16"/>
        </w:rPr>
        <w:t>В 1917 году Лебедев получил британскую лицензию на производство Sopwith Pup и Sopwith Camel, но производство так и не началось. Однако известно, что в 1917 году на заводе в Петрограде было построено пять самолетов Sopwith 1 1/2 Strutters.</w:t>
      </w:r>
    </w:p>
    <w:p w14:paraId="4D805E72" w14:textId="77777777" w:rsidR="008102F8" w:rsidRPr="00DE096C" w:rsidRDefault="008102F8" w:rsidP="00D45A46">
      <w:pPr>
        <w:jc w:val="both"/>
        <w:rPr>
          <w:bCs/>
          <w:color w:val="002060"/>
          <w:sz w:val="16"/>
          <w:szCs w:val="16"/>
        </w:rPr>
      </w:pPr>
      <w:r w:rsidRPr="00DE096C">
        <w:rPr>
          <w:bCs/>
          <w:color w:val="002060"/>
          <w:sz w:val="16"/>
          <w:szCs w:val="16"/>
        </w:rPr>
        <w:t>В течение 1916 г. был достигнут уровень производства 30 самолетов в месяц, а в 1917 г. он вырос примерно до 75 машин в месяц. Заводы Лебедева также ремонтировали трофейные типы «Альбатрос», «Авиатик» и «Румпир». В феврале 1916 г. отремонтированный Rumpier и LVG были отправлены в АО 8-й армии. В течение 1916 г. было отремонтировано около двадцати, в основном «Альбатросов», машин, поступивших в 18-ю КАО, 33-ю КАО, 34-ю КАО, Гренадерскую КАО и 12-ю армию АО.</w:t>
      </w:r>
    </w:p>
    <w:p w14:paraId="50B42211" w14:textId="77777777" w:rsidR="008102F8" w:rsidRPr="00DE096C" w:rsidRDefault="008102F8" w:rsidP="00D45A46">
      <w:pPr>
        <w:jc w:val="both"/>
        <w:rPr>
          <w:bCs/>
          <w:color w:val="002060"/>
          <w:sz w:val="16"/>
          <w:szCs w:val="16"/>
        </w:rPr>
      </w:pPr>
      <w:r w:rsidRPr="00DE096C">
        <w:rPr>
          <w:bCs/>
          <w:color w:val="002060"/>
          <w:sz w:val="16"/>
          <w:szCs w:val="16"/>
        </w:rPr>
        <w:t>Лебедь-17 с двигателем Salmson мощностью 150 л.с. был оригинальной конструкцией С. Б. Гуревича, который был испытан в августе 1917 года. Было построено несколько машин. Известно, что с сентября 1917 г. было поставлено семь «Лебедей-21». К концу войны в ноябре 1917 года было построено 700 самолетов, из них сдано и принято 674. Производство было 47 в 1914 году, 187 в 1915 году, 227 в 1916 году и 213 в 1917 году. В 1916 году было 867 рабочих, а в 1917 году их число увеличилось до 1156. Другие проекты Лебедева включали Лебедь 14 (Lebed Le Grand), со- Совместно с Колпаковым-Мирошниченко был разработан большой трехстоечный биплан с двумя двигателями Salmson мощностью 15 Ом.</w:t>
      </w:r>
    </w:p>
    <w:p w14:paraId="298BBA2C" w14:textId="77777777" w:rsidR="008102F8" w:rsidRPr="00DE096C" w:rsidRDefault="008102F8" w:rsidP="00D45A46">
      <w:pPr>
        <w:jc w:val="both"/>
        <w:rPr>
          <w:bCs/>
          <w:color w:val="002060"/>
          <w:sz w:val="16"/>
          <w:szCs w:val="16"/>
        </w:rPr>
      </w:pPr>
      <w:r w:rsidRPr="00DE096C">
        <w:rPr>
          <w:bCs/>
          <w:color w:val="002060"/>
          <w:sz w:val="16"/>
          <w:szCs w:val="16"/>
        </w:rPr>
        <w:t>В январе 1916 г. Лебедев сообщил великому князю Александру Михайловичу, что скоро начнутся испытания, но самолет оставался недостроенным до второй половины 1917 г. Недостроенным остался и двухместный биплан «Лебедь-15» с двигателем «Рено» мощностью 225 л.с.</w:t>
      </w:r>
    </w:p>
    <w:p w14:paraId="7071F536" w14:textId="77777777" w:rsidR="008102F8" w:rsidRPr="00DE096C" w:rsidRDefault="008102F8" w:rsidP="00D45A46">
      <w:pPr>
        <w:jc w:val="both"/>
        <w:rPr>
          <w:bCs/>
          <w:color w:val="002060"/>
          <w:sz w:val="16"/>
          <w:szCs w:val="16"/>
        </w:rPr>
      </w:pPr>
      <w:r w:rsidRPr="00DE096C">
        <w:rPr>
          <w:bCs/>
          <w:color w:val="002060"/>
          <w:sz w:val="16"/>
          <w:szCs w:val="16"/>
        </w:rPr>
        <w:t>В начале 1917 г. был испытан трехместный биплан «Лебедь-16» с двумя двигателями «Рона» мощностью 80 л. Лебедь-17, разработанный совместно с Гуревичем, с одним двигателем Salmson мощностью 150 л.с. Летные испытания он прошел в августе 1917 года. Было построено несколько самолетов, но в серийное производство он так и не пошел.</w:t>
      </w:r>
    </w:p>
    <w:p w14:paraId="5ED9008B" w14:textId="77777777" w:rsidR="008102F8" w:rsidRPr="00DE096C" w:rsidRDefault="008102F8" w:rsidP="00D45A46">
      <w:pPr>
        <w:jc w:val="both"/>
        <w:rPr>
          <w:bCs/>
          <w:color w:val="002060"/>
          <w:sz w:val="16"/>
          <w:szCs w:val="16"/>
        </w:rPr>
      </w:pPr>
      <w:r w:rsidRPr="00DE096C">
        <w:rPr>
          <w:bCs/>
          <w:color w:val="002060"/>
          <w:sz w:val="16"/>
          <w:szCs w:val="16"/>
        </w:rPr>
        <w:t>Двухместный «Лебедь-18» (типа «Альбатрос») с двигателем Fiat мощностью 230 л.с. так и не был построен, так как заказов не поступало. Из-за его плохих характеристик было построено всего семь экземпляров двухместного моноплана «Лебедь-21» с двигателем Salmson мощностью 150 л.с. Лебедь 24 остался проектом из-за непоставки ожидаемых двигателей Fiat и Hispano-Suiza.</w:t>
      </w:r>
    </w:p>
    <w:p w14:paraId="45F6ABF0" w14:textId="77777777" w:rsidR="008102F8" w:rsidRPr="00DE096C" w:rsidRDefault="008102F8" w:rsidP="00D45A46">
      <w:pPr>
        <w:jc w:val="both"/>
        <w:rPr>
          <w:bCs/>
          <w:color w:val="002060"/>
          <w:sz w:val="16"/>
          <w:szCs w:val="16"/>
        </w:rPr>
      </w:pPr>
      <w:r w:rsidRPr="00DE096C">
        <w:rPr>
          <w:bCs/>
          <w:color w:val="002060"/>
          <w:sz w:val="16"/>
          <w:szCs w:val="16"/>
        </w:rPr>
        <w:t>Ниже приведены примеры заказов Лебедева и количество построенных самолетов: 5 июля 1915 г. - пять из пяти «Альбатросов»; 6 сентября 1915 г. - 138 из 150 Вуазен ЛАС; 2 мая 1916 г. - 133 из 225 Вуазен ЛАС, 10 из 10 Лебедей 12 учебных; 25 декабря 1916 г. - один из "Альбатросов" с двигателем "Майбах"; 26 декабря 1916 г. - 14 из 50 Nieuport X; 10 марта 1917 г. - 15 из 60 Nieuport X; 30 мая 1917 г. - ни одного из 200 Лебедей 24; 1917 г., 5 июля - заказ на 140 Sopwith 1/2 Страттерс и 60 Лебедей для школы, неизвестно, были ли они построены.</w:t>
      </w:r>
    </w:p>
    <w:p w14:paraId="232EEF0E" w14:textId="77777777" w:rsidR="008102F8" w:rsidRPr="00DE096C" w:rsidRDefault="008102F8" w:rsidP="00D45A46">
      <w:pPr>
        <w:jc w:val="both"/>
        <w:rPr>
          <w:bCs/>
          <w:color w:val="002060"/>
          <w:sz w:val="16"/>
          <w:szCs w:val="16"/>
        </w:rPr>
      </w:pPr>
      <w:r w:rsidRPr="00DE096C">
        <w:rPr>
          <w:bCs/>
          <w:color w:val="002060"/>
          <w:sz w:val="16"/>
          <w:szCs w:val="16"/>
        </w:rPr>
        <w:t>В 1917 г., после отречения царя, В.А. Лебедев был избран президентом Всероссийского аэроклуба (ВАК) (бывший ИВАК) и назначен руководителем школы ВАК.</w:t>
      </w:r>
    </w:p>
    <w:p w14:paraId="5A95AFE5" w14:textId="77777777" w:rsidR="008102F8" w:rsidRPr="00DE096C" w:rsidRDefault="008102F8" w:rsidP="00D45A46">
      <w:pPr>
        <w:jc w:val="both"/>
        <w:rPr>
          <w:bCs/>
          <w:color w:val="002060"/>
          <w:sz w:val="16"/>
          <w:szCs w:val="16"/>
        </w:rPr>
      </w:pPr>
      <w:r w:rsidRPr="00DE096C">
        <w:rPr>
          <w:bCs/>
          <w:color w:val="002060"/>
          <w:sz w:val="16"/>
          <w:szCs w:val="16"/>
        </w:rPr>
        <w:t>После революции большевики объявили его «врагом народа» и национализировали его заводы. Завод в Петрограде был объединен с Р-БВЗ и переименован в ГАЗ №3. Лебедев отправился на юг России, где занимал пост министра торговли и промышленности в правительстве генерала Деникина. В годы Гражданской войны его завод в Таганроге, где фактически располагались мастерские Ф. Моски, строил и ремонтировал самолеты для Добровольческой армии. В ноябре 1920 г. он эмигрировал в Югославию, где росло число белых русских, уехав оттуда в 1926 г. в Париж, который он сделал своим домом. Его вклад во французскую авиационную промышленность был отмечен орденом Почетного легиона. Он умер в Париже 22 февраля 1947 года (23525).</w:t>
      </w:r>
    </w:p>
    <w:p w14:paraId="3B89CCCB" w14:textId="77777777" w:rsidR="008102F8" w:rsidRPr="00DE096C" w:rsidRDefault="008102F8" w:rsidP="00D45A46">
      <w:pPr>
        <w:jc w:val="both"/>
        <w:rPr>
          <w:bCs/>
          <w:color w:val="002060"/>
          <w:sz w:val="16"/>
          <w:szCs w:val="16"/>
        </w:rPr>
      </w:pPr>
    </w:p>
    <w:p w14:paraId="3082511A" w14:textId="77777777" w:rsidR="008102F8" w:rsidRPr="00DE096C" w:rsidRDefault="008102F8" w:rsidP="00D45A46">
      <w:pPr>
        <w:jc w:val="both"/>
        <w:rPr>
          <w:bCs/>
          <w:color w:val="002060"/>
          <w:sz w:val="16"/>
          <w:szCs w:val="16"/>
          <w:lang w:bidi="en-US"/>
        </w:rPr>
      </w:pPr>
      <w:r w:rsidRPr="00DE096C">
        <w:rPr>
          <w:bCs/>
          <w:color w:val="002060"/>
          <w:sz w:val="16"/>
          <w:szCs w:val="16"/>
          <w:lang w:bidi="en-US"/>
        </w:rPr>
        <w:t>К концу 1914 г. года Россия по разным причинам потеряла 146 самолетов. С начала войны более 100 000 рабочих вышли на забастовку в более чем 180 акциях протеста. В течение 1915 года будет зарегистрировано около 2000 забастовок рабочих. Волнения рабочих сыграли бы значительную роль в задержках с доставкой всех военных орудий, включая самолеты (23525).</w:t>
      </w:r>
    </w:p>
    <w:p w14:paraId="126E259E" w14:textId="77777777" w:rsidR="008102F8" w:rsidRPr="00DE096C" w:rsidRDefault="008102F8" w:rsidP="00D45A46">
      <w:pPr>
        <w:jc w:val="both"/>
        <w:rPr>
          <w:bCs/>
          <w:color w:val="002060"/>
          <w:sz w:val="16"/>
          <w:szCs w:val="16"/>
          <w:lang w:bidi="en-US"/>
        </w:rPr>
      </w:pPr>
    </w:p>
    <w:p w14:paraId="26A5E9B4" w14:textId="77777777" w:rsidR="008102F8" w:rsidRPr="00DE096C" w:rsidRDefault="008102F8" w:rsidP="00D45A46">
      <w:pPr>
        <w:jc w:val="both"/>
        <w:rPr>
          <w:bCs/>
          <w:color w:val="002060"/>
          <w:sz w:val="16"/>
          <w:szCs w:val="16"/>
          <w:lang w:bidi="ru-RU"/>
        </w:rPr>
      </w:pPr>
      <w:r w:rsidRPr="00DE096C">
        <w:rPr>
          <w:bCs/>
          <w:color w:val="002060"/>
          <w:sz w:val="16"/>
          <w:szCs w:val="16"/>
          <w:lang w:bidi="ru-RU"/>
        </w:rPr>
        <w:lastRenderedPageBreak/>
        <w:t>В конце 1914 года, в штаб верховного командования из соответству</w:t>
      </w:r>
      <w:r w:rsidRPr="00DE096C">
        <w:rPr>
          <w:bCs/>
          <w:color w:val="002060"/>
          <w:sz w:val="16"/>
          <w:szCs w:val="16"/>
          <w:lang w:bidi="ru-RU"/>
        </w:rPr>
        <w:softHyphen/>
        <w:t>ющих инстанций доносилось: «Чрезвычай</w:t>
      </w:r>
      <w:r w:rsidRPr="00DE096C">
        <w:rPr>
          <w:bCs/>
          <w:color w:val="002060"/>
          <w:sz w:val="16"/>
          <w:szCs w:val="16"/>
          <w:lang w:bidi="ru-RU"/>
        </w:rPr>
        <w:softHyphen/>
        <w:t>но желательно оказать Безобразову по</w:t>
      </w:r>
      <w:r w:rsidRPr="00DE096C">
        <w:rPr>
          <w:bCs/>
          <w:color w:val="002060"/>
          <w:sz w:val="16"/>
          <w:szCs w:val="16"/>
          <w:lang w:bidi="ru-RU"/>
        </w:rPr>
        <w:softHyphen/>
        <w:t>мощь для немедленной постройки нового аппарата, что займет к тому же незначи</w:t>
      </w:r>
      <w:r w:rsidRPr="00DE096C">
        <w:rPr>
          <w:bCs/>
          <w:color w:val="002060"/>
          <w:sz w:val="16"/>
          <w:szCs w:val="16"/>
          <w:lang w:bidi="ru-RU"/>
        </w:rPr>
        <w:softHyphen/>
        <w:t>тельное время, и аппарат может поступить в армию уже к весне» (23374).</w:t>
      </w:r>
    </w:p>
    <w:p w14:paraId="460366EC" w14:textId="77777777" w:rsidR="008102F8" w:rsidRPr="00DE096C" w:rsidRDefault="008102F8" w:rsidP="00D45A46">
      <w:pPr>
        <w:jc w:val="both"/>
        <w:rPr>
          <w:bCs/>
          <w:color w:val="002060"/>
          <w:sz w:val="16"/>
          <w:szCs w:val="16"/>
        </w:rPr>
      </w:pPr>
    </w:p>
    <w:p w14:paraId="0B903EFC" w14:textId="77777777" w:rsidR="008102F8" w:rsidRPr="00DE096C" w:rsidRDefault="008102F8" w:rsidP="00D45A46">
      <w:pPr>
        <w:jc w:val="both"/>
        <w:rPr>
          <w:bCs/>
          <w:color w:val="002060"/>
          <w:sz w:val="16"/>
          <w:szCs w:val="16"/>
        </w:rPr>
      </w:pPr>
      <w:r w:rsidRPr="00DE096C">
        <w:rPr>
          <w:bCs/>
          <w:color w:val="002060"/>
          <w:sz w:val="16"/>
          <w:szCs w:val="16"/>
          <w:lang w:bidi="ru-RU"/>
        </w:rPr>
        <w:t>В конце 1914 г. на РБВЗ строили аппараты «ИМ» серии В, которые отличались умень</w:t>
      </w:r>
      <w:r w:rsidRPr="00DE096C">
        <w:rPr>
          <w:bCs/>
          <w:color w:val="002060"/>
          <w:sz w:val="16"/>
          <w:szCs w:val="16"/>
          <w:lang w:bidi="ru-RU"/>
        </w:rPr>
        <w:softHyphen/>
        <w:t>шенными размерами и меньшим полетным весом (на 600-700 кг) и, соответственно, более высокими полетными данными. С двигателями «Санбим» и «Аргус» скорость достигала 120 км/ч, «Сальмсоны», в сочета</w:t>
      </w:r>
      <w:r w:rsidRPr="00DE096C">
        <w:rPr>
          <w:bCs/>
          <w:color w:val="002060"/>
          <w:sz w:val="16"/>
          <w:szCs w:val="16"/>
          <w:lang w:bidi="ru-RU"/>
        </w:rPr>
        <w:softHyphen/>
        <w:t>нии с радиаторами охлаждения, обладали столь большим воздушным сопротивлени</w:t>
      </w:r>
      <w:r w:rsidRPr="00DE096C">
        <w:rPr>
          <w:bCs/>
          <w:color w:val="002060"/>
          <w:sz w:val="16"/>
          <w:szCs w:val="16"/>
          <w:lang w:bidi="ru-RU"/>
        </w:rPr>
        <w:softHyphen/>
        <w:t xml:space="preserve">ем, что даже их значительная мощность не позволяла разгоняться в воздухе более 100 км/ч. Из 14 построенных экземпляров тип В два аппарата оснастили двигателями «Сальмсон» </w:t>
      </w:r>
      <w:r w:rsidRPr="00DE096C">
        <w:rPr>
          <w:bCs/>
          <w:color w:val="002060"/>
          <w:sz w:val="16"/>
          <w:szCs w:val="16"/>
          <w:lang w:bidi="en-US"/>
        </w:rPr>
        <w:t>(2</w:t>
      </w:r>
      <w:r w:rsidRPr="00DE096C">
        <w:rPr>
          <w:bCs/>
          <w:color w:val="002060"/>
          <w:sz w:val="16"/>
          <w:szCs w:val="16"/>
          <w:lang w:val="en-US" w:bidi="en-US"/>
        </w:rPr>
        <w:t>x</w:t>
      </w:r>
      <w:r w:rsidRPr="00DE096C">
        <w:rPr>
          <w:bCs/>
          <w:color w:val="002060"/>
          <w:sz w:val="16"/>
          <w:szCs w:val="16"/>
          <w:lang w:bidi="en-US"/>
        </w:rPr>
        <w:t xml:space="preserve">200 </w:t>
      </w:r>
      <w:r w:rsidRPr="00DE096C">
        <w:rPr>
          <w:bCs/>
          <w:color w:val="002060"/>
          <w:sz w:val="16"/>
          <w:szCs w:val="16"/>
          <w:lang w:bidi="ru-RU"/>
        </w:rPr>
        <w:t xml:space="preserve">л.с), три — «Аргус» </w:t>
      </w:r>
      <w:r w:rsidRPr="00DE096C">
        <w:rPr>
          <w:bCs/>
          <w:color w:val="002060"/>
          <w:sz w:val="16"/>
          <w:szCs w:val="16"/>
          <w:lang w:bidi="en-US"/>
        </w:rPr>
        <w:t>(4</w:t>
      </w:r>
      <w:r w:rsidRPr="00DE096C">
        <w:rPr>
          <w:bCs/>
          <w:color w:val="002060"/>
          <w:sz w:val="16"/>
          <w:szCs w:val="16"/>
          <w:lang w:val="en-US" w:bidi="en-US"/>
        </w:rPr>
        <w:t>x</w:t>
      </w:r>
      <w:r w:rsidRPr="00DE096C">
        <w:rPr>
          <w:bCs/>
          <w:color w:val="002060"/>
          <w:sz w:val="16"/>
          <w:szCs w:val="16"/>
          <w:lang w:bidi="en-US"/>
        </w:rPr>
        <w:t xml:space="preserve">150 </w:t>
      </w:r>
      <w:r w:rsidRPr="00DE096C">
        <w:rPr>
          <w:bCs/>
          <w:color w:val="002060"/>
          <w:sz w:val="16"/>
          <w:szCs w:val="16"/>
          <w:lang w:bidi="ru-RU"/>
        </w:rPr>
        <w:t xml:space="preserve">л.с.), шесть — «Санбим» </w:t>
      </w:r>
      <w:r w:rsidRPr="00DE096C">
        <w:rPr>
          <w:bCs/>
          <w:color w:val="002060"/>
          <w:sz w:val="16"/>
          <w:szCs w:val="16"/>
          <w:lang w:bidi="en-US"/>
        </w:rPr>
        <w:t>(4</w:t>
      </w:r>
      <w:r w:rsidRPr="00DE096C">
        <w:rPr>
          <w:bCs/>
          <w:color w:val="002060"/>
          <w:sz w:val="16"/>
          <w:szCs w:val="16"/>
          <w:lang w:val="en-US" w:bidi="en-US"/>
        </w:rPr>
        <w:t>x</w:t>
      </w:r>
      <w:r w:rsidRPr="00DE096C">
        <w:rPr>
          <w:bCs/>
          <w:color w:val="002060"/>
          <w:sz w:val="16"/>
          <w:szCs w:val="16"/>
          <w:lang w:bidi="en-US"/>
        </w:rPr>
        <w:t xml:space="preserve">150 </w:t>
      </w:r>
      <w:r w:rsidRPr="00DE096C">
        <w:rPr>
          <w:bCs/>
          <w:color w:val="002060"/>
          <w:sz w:val="16"/>
          <w:szCs w:val="16"/>
          <w:lang w:bidi="ru-RU"/>
        </w:rPr>
        <w:t xml:space="preserve">л.с.), два — «Санбим» </w:t>
      </w:r>
      <w:r w:rsidRPr="00DE096C">
        <w:rPr>
          <w:bCs/>
          <w:color w:val="002060"/>
          <w:sz w:val="16"/>
          <w:szCs w:val="16"/>
          <w:lang w:bidi="en-US"/>
        </w:rPr>
        <w:t>(2</w:t>
      </w:r>
      <w:r w:rsidRPr="00DE096C">
        <w:rPr>
          <w:bCs/>
          <w:color w:val="002060"/>
          <w:sz w:val="16"/>
          <w:szCs w:val="16"/>
          <w:lang w:val="en-US" w:bidi="en-US"/>
        </w:rPr>
        <w:t>x</w:t>
      </w:r>
      <w:r w:rsidRPr="00DE096C">
        <w:rPr>
          <w:bCs/>
          <w:color w:val="002060"/>
          <w:sz w:val="16"/>
          <w:szCs w:val="16"/>
          <w:lang w:bidi="en-US"/>
        </w:rPr>
        <w:t xml:space="preserve">255 </w:t>
      </w:r>
      <w:r w:rsidRPr="00DE096C">
        <w:rPr>
          <w:bCs/>
          <w:color w:val="002060"/>
          <w:sz w:val="16"/>
          <w:szCs w:val="16"/>
          <w:lang w:bidi="ru-RU"/>
        </w:rPr>
        <w:t>л.с.) и один «ИМ», серийный №167, имел четыре двигателя РБВЗ-6. Визуально эти аппараты также от</w:t>
      </w:r>
      <w:r w:rsidRPr="00DE096C">
        <w:rPr>
          <w:bCs/>
          <w:color w:val="002060"/>
          <w:sz w:val="16"/>
          <w:szCs w:val="16"/>
          <w:lang w:bidi="ru-RU"/>
        </w:rPr>
        <w:softHyphen/>
        <w:t>личались: часть из них имела остекление пилотской кабины с плоским лобовым уча</w:t>
      </w:r>
      <w:r w:rsidRPr="00DE096C">
        <w:rPr>
          <w:bCs/>
          <w:color w:val="002060"/>
          <w:sz w:val="16"/>
          <w:szCs w:val="16"/>
          <w:lang w:bidi="ru-RU"/>
        </w:rPr>
        <w:softHyphen/>
        <w:t>стком по типу Б, другая часть, называемая «остроносыми», имела клинообразную фор</w:t>
      </w:r>
      <w:r w:rsidRPr="00DE096C">
        <w:rPr>
          <w:bCs/>
          <w:color w:val="002060"/>
          <w:sz w:val="16"/>
          <w:szCs w:val="16"/>
          <w:lang w:bidi="ru-RU"/>
        </w:rPr>
        <w:softHyphen/>
        <w:t>му передней части фюзеляжа (23374).</w:t>
      </w:r>
    </w:p>
    <w:p w14:paraId="37CCF575" w14:textId="77777777" w:rsidR="008102F8" w:rsidRPr="00DE096C" w:rsidRDefault="008102F8" w:rsidP="00D45A46">
      <w:pPr>
        <w:jc w:val="both"/>
        <w:rPr>
          <w:bCs/>
          <w:color w:val="002060"/>
          <w:sz w:val="16"/>
          <w:szCs w:val="16"/>
        </w:rPr>
      </w:pPr>
    </w:p>
    <w:p w14:paraId="4CF14DEA" w14:textId="77777777" w:rsidR="008102F8" w:rsidRPr="00DE096C" w:rsidRDefault="008102F8" w:rsidP="00D45A46">
      <w:pPr>
        <w:jc w:val="both"/>
        <w:rPr>
          <w:bCs/>
          <w:color w:val="002060"/>
          <w:sz w:val="16"/>
          <w:szCs w:val="16"/>
        </w:rPr>
      </w:pPr>
      <w:r w:rsidRPr="00DE096C">
        <w:rPr>
          <w:bCs/>
          <w:color w:val="002060"/>
          <w:sz w:val="16"/>
          <w:szCs w:val="16"/>
          <w:lang w:bidi="ru-RU"/>
        </w:rPr>
        <w:t>До конца года 1914 г. Пороховщиков вел переговоры с Военным ведомством об из</w:t>
      </w:r>
      <w:r w:rsidRPr="00DE096C">
        <w:rPr>
          <w:bCs/>
          <w:color w:val="002060"/>
          <w:sz w:val="16"/>
          <w:szCs w:val="16"/>
          <w:lang w:bidi="ru-RU"/>
        </w:rPr>
        <w:softHyphen/>
        <w:t>готовлении небольшой серии «Би-Кок» на заводе Ф.Ф. Терещенко. Однако Порохов</w:t>
      </w:r>
      <w:r w:rsidRPr="00DE096C">
        <w:rPr>
          <w:bCs/>
          <w:color w:val="002060"/>
          <w:sz w:val="16"/>
          <w:szCs w:val="16"/>
          <w:lang w:bidi="ru-RU"/>
        </w:rPr>
        <w:softHyphen/>
        <w:t>щиков желал строить свой самолет лично, в количестве, достаточном для вооружения одного авиаотряда, о чем уведомил в сво</w:t>
      </w:r>
      <w:r w:rsidRPr="00DE096C">
        <w:rPr>
          <w:bCs/>
          <w:color w:val="002060"/>
          <w:sz w:val="16"/>
          <w:szCs w:val="16"/>
          <w:lang w:bidi="ru-RU"/>
        </w:rPr>
        <w:softHyphen/>
        <w:t>ем письме от 8 января 1915 г. Дальнейшие переговоры зашли в тупик и постройка во</w:t>
      </w:r>
      <w:r w:rsidRPr="00DE096C">
        <w:rPr>
          <w:bCs/>
          <w:color w:val="002060"/>
          <w:sz w:val="16"/>
          <w:szCs w:val="16"/>
          <w:lang w:bidi="ru-RU"/>
        </w:rPr>
        <w:softHyphen/>
        <w:t>енных «Двухвосток» Пороховщикова не со</w:t>
      </w:r>
      <w:r w:rsidRPr="00DE096C">
        <w:rPr>
          <w:bCs/>
          <w:color w:val="002060"/>
          <w:sz w:val="16"/>
          <w:szCs w:val="16"/>
          <w:lang w:bidi="ru-RU"/>
        </w:rPr>
        <w:softHyphen/>
        <w:t>стоялась.</w:t>
      </w:r>
    </w:p>
    <w:p w14:paraId="6046DDA0" w14:textId="77777777" w:rsidR="008102F8" w:rsidRPr="00DE096C" w:rsidRDefault="008102F8" w:rsidP="00D45A46">
      <w:pPr>
        <w:jc w:val="both"/>
        <w:rPr>
          <w:bCs/>
          <w:color w:val="002060"/>
          <w:sz w:val="16"/>
          <w:szCs w:val="16"/>
          <w:lang w:bidi="ru-RU"/>
        </w:rPr>
      </w:pPr>
      <w:r w:rsidRPr="00DE096C">
        <w:rPr>
          <w:bCs/>
          <w:color w:val="002060"/>
          <w:sz w:val="16"/>
          <w:szCs w:val="16"/>
          <w:lang w:bidi="ru-RU"/>
        </w:rPr>
        <w:t>В 1915 г. построили второй экземпляр «Би-Кок» с оригинальным гусеничным шас</w:t>
      </w:r>
      <w:r w:rsidRPr="00DE096C">
        <w:rPr>
          <w:bCs/>
          <w:color w:val="002060"/>
          <w:sz w:val="16"/>
          <w:szCs w:val="16"/>
          <w:lang w:bidi="ru-RU"/>
        </w:rPr>
        <w:softHyphen/>
        <w:t>си, которое можно было устанавливать вместо колес. Гусеничное шасси представ</w:t>
      </w:r>
      <w:r w:rsidRPr="00DE096C">
        <w:rPr>
          <w:bCs/>
          <w:color w:val="002060"/>
          <w:sz w:val="16"/>
          <w:szCs w:val="16"/>
          <w:lang w:bidi="ru-RU"/>
        </w:rPr>
        <w:softHyphen/>
        <w:t>ляло собой брезентовую ленту, двигающу</w:t>
      </w:r>
      <w:r w:rsidRPr="00DE096C">
        <w:rPr>
          <w:bCs/>
          <w:color w:val="002060"/>
          <w:sz w:val="16"/>
          <w:szCs w:val="16"/>
          <w:lang w:bidi="ru-RU"/>
        </w:rPr>
        <w:softHyphen/>
        <w:t>юся на деревянных барабанах. Проведен</w:t>
      </w:r>
      <w:r w:rsidRPr="00DE096C">
        <w:rPr>
          <w:bCs/>
          <w:color w:val="002060"/>
          <w:sz w:val="16"/>
          <w:szCs w:val="16"/>
          <w:lang w:bidi="ru-RU"/>
        </w:rPr>
        <w:softHyphen/>
        <w:t>ные испытания подтвердили работоспо</w:t>
      </w:r>
      <w:r w:rsidRPr="00DE096C">
        <w:rPr>
          <w:bCs/>
          <w:color w:val="002060"/>
          <w:sz w:val="16"/>
          <w:szCs w:val="16"/>
          <w:lang w:bidi="ru-RU"/>
        </w:rPr>
        <w:softHyphen/>
        <w:t>собность оригинального устройства, однако дальнейшего развития изобретения не произошло.</w:t>
      </w:r>
    </w:p>
    <w:p w14:paraId="19B1383E" w14:textId="77777777" w:rsidR="008102F8" w:rsidRPr="00DE096C" w:rsidRDefault="008102F8" w:rsidP="00D45A46">
      <w:pPr>
        <w:pStyle w:val="41"/>
        <w:spacing w:line="240" w:lineRule="auto"/>
        <w:jc w:val="both"/>
        <w:rPr>
          <w:bCs/>
          <w:color w:val="002060"/>
          <w:sz w:val="16"/>
          <w:szCs w:val="16"/>
        </w:rPr>
      </w:pPr>
      <w:r w:rsidRPr="00DE096C">
        <w:rPr>
          <w:bCs/>
          <w:color w:val="002060"/>
          <w:sz w:val="16"/>
          <w:szCs w:val="16"/>
          <w:lang w:eastAsia="ru-RU" w:bidi="ru-RU"/>
        </w:rPr>
        <w:t>Основные данные и характеристики самолета «Би-Кок»</w:t>
      </w:r>
    </w:p>
    <w:p w14:paraId="3EC75254" w14:textId="77777777" w:rsidR="008102F8" w:rsidRPr="00DE096C" w:rsidRDefault="008102F8" w:rsidP="00D45A46">
      <w:pPr>
        <w:pStyle w:val="af9"/>
        <w:tabs>
          <w:tab w:val="right" w:pos="5414"/>
        </w:tabs>
        <w:spacing w:line="240" w:lineRule="auto"/>
        <w:jc w:val="both"/>
        <w:rPr>
          <w:rFonts w:ascii="Times New Roman" w:hAnsi="Times New Roman" w:cs="Times New Roman"/>
          <w:bCs/>
          <w:color w:val="002060"/>
          <w:sz w:val="16"/>
          <w:szCs w:val="16"/>
        </w:rPr>
      </w:pPr>
      <w:r w:rsidRPr="00DE096C">
        <w:rPr>
          <w:rFonts w:ascii="Times New Roman" w:eastAsia="Arial" w:hAnsi="Times New Roman" w:cs="Times New Roman"/>
          <w:bCs/>
          <w:color w:val="002060"/>
          <w:sz w:val="16"/>
          <w:szCs w:val="16"/>
          <w:lang w:eastAsia="ru-RU" w:bidi="ru-RU"/>
        </w:rPr>
        <w:t>Размах верхнего крыла (м)</w:t>
      </w:r>
      <w:r w:rsidRPr="00DE096C">
        <w:rPr>
          <w:rFonts w:ascii="Times New Roman" w:eastAsia="Arial" w:hAnsi="Times New Roman" w:cs="Times New Roman"/>
          <w:bCs/>
          <w:color w:val="002060"/>
          <w:sz w:val="16"/>
          <w:szCs w:val="16"/>
          <w:lang w:eastAsia="ru-RU" w:bidi="ru-RU"/>
        </w:rPr>
        <w:tab/>
        <w:t>10,5</w:t>
      </w:r>
    </w:p>
    <w:p w14:paraId="7FAE3601" w14:textId="77777777" w:rsidR="008102F8" w:rsidRPr="00DE096C" w:rsidRDefault="008102F8" w:rsidP="00D45A46">
      <w:pPr>
        <w:pStyle w:val="af9"/>
        <w:tabs>
          <w:tab w:val="right" w:pos="5429"/>
        </w:tabs>
        <w:spacing w:line="240" w:lineRule="auto"/>
        <w:jc w:val="both"/>
        <w:rPr>
          <w:rFonts w:ascii="Times New Roman" w:hAnsi="Times New Roman" w:cs="Times New Roman"/>
          <w:bCs/>
          <w:color w:val="002060"/>
          <w:sz w:val="16"/>
          <w:szCs w:val="16"/>
        </w:rPr>
      </w:pPr>
      <w:r w:rsidRPr="00DE096C">
        <w:rPr>
          <w:rFonts w:ascii="Times New Roman" w:eastAsia="Arial" w:hAnsi="Times New Roman" w:cs="Times New Roman"/>
          <w:bCs/>
          <w:color w:val="002060"/>
          <w:sz w:val="16"/>
          <w:szCs w:val="16"/>
          <w:lang w:eastAsia="ru-RU" w:bidi="ru-RU"/>
        </w:rPr>
        <w:t>Длина в линии полета (м)</w:t>
      </w:r>
      <w:r w:rsidRPr="00DE096C">
        <w:rPr>
          <w:rFonts w:ascii="Times New Roman" w:eastAsia="Arial" w:hAnsi="Times New Roman" w:cs="Times New Roman"/>
          <w:bCs/>
          <w:color w:val="002060"/>
          <w:sz w:val="16"/>
          <w:szCs w:val="16"/>
          <w:lang w:eastAsia="ru-RU" w:bidi="ru-RU"/>
        </w:rPr>
        <w:tab/>
        <w:t>7,5</w:t>
      </w:r>
    </w:p>
    <w:p w14:paraId="595ACE3B" w14:textId="77777777" w:rsidR="008102F8" w:rsidRPr="00DE096C" w:rsidRDefault="008102F8" w:rsidP="00D45A46">
      <w:pPr>
        <w:pStyle w:val="af9"/>
        <w:tabs>
          <w:tab w:val="right" w:pos="5414"/>
        </w:tabs>
        <w:spacing w:line="240" w:lineRule="auto"/>
        <w:jc w:val="both"/>
        <w:rPr>
          <w:rFonts w:ascii="Times New Roman" w:hAnsi="Times New Roman" w:cs="Times New Roman"/>
          <w:bCs/>
          <w:color w:val="002060"/>
          <w:sz w:val="16"/>
          <w:szCs w:val="16"/>
        </w:rPr>
      </w:pPr>
      <w:r w:rsidRPr="00DE096C">
        <w:rPr>
          <w:rFonts w:ascii="Times New Roman" w:eastAsia="Arial" w:hAnsi="Times New Roman" w:cs="Times New Roman"/>
          <w:bCs/>
          <w:color w:val="002060"/>
          <w:sz w:val="16"/>
          <w:szCs w:val="16"/>
          <w:lang w:eastAsia="ru-RU" w:bidi="ru-RU"/>
        </w:rPr>
        <w:t>Площадь крыльев (м</w:t>
      </w:r>
      <w:r w:rsidRPr="00DE096C">
        <w:rPr>
          <w:rFonts w:ascii="Times New Roman" w:eastAsia="Arial" w:hAnsi="Times New Roman" w:cs="Times New Roman"/>
          <w:bCs/>
          <w:color w:val="002060"/>
          <w:sz w:val="16"/>
          <w:szCs w:val="16"/>
          <w:vertAlign w:val="superscript"/>
          <w:lang w:eastAsia="ru-RU" w:bidi="ru-RU"/>
        </w:rPr>
        <w:t>2</w:t>
      </w:r>
      <w:r w:rsidRPr="00DE096C">
        <w:rPr>
          <w:rFonts w:ascii="Times New Roman" w:eastAsia="Arial" w:hAnsi="Times New Roman" w:cs="Times New Roman"/>
          <w:bCs/>
          <w:color w:val="002060"/>
          <w:sz w:val="16"/>
          <w:szCs w:val="16"/>
          <w:lang w:eastAsia="ru-RU" w:bidi="ru-RU"/>
        </w:rPr>
        <w:t>)</w:t>
      </w:r>
      <w:r w:rsidRPr="00DE096C">
        <w:rPr>
          <w:rFonts w:ascii="Times New Roman" w:eastAsia="Arial" w:hAnsi="Times New Roman" w:cs="Times New Roman"/>
          <w:bCs/>
          <w:color w:val="002060"/>
          <w:sz w:val="16"/>
          <w:szCs w:val="16"/>
          <w:lang w:eastAsia="ru-RU" w:bidi="ru-RU"/>
        </w:rPr>
        <w:tab/>
        <w:t>20,5</w:t>
      </w:r>
    </w:p>
    <w:p w14:paraId="0BA68FAB" w14:textId="77777777" w:rsidR="008102F8" w:rsidRPr="00DE096C" w:rsidRDefault="008102F8" w:rsidP="00D45A46">
      <w:pPr>
        <w:pStyle w:val="af9"/>
        <w:tabs>
          <w:tab w:val="right" w:pos="5414"/>
        </w:tabs>
        <w:spacing w:line="240" w:lineRule="auto"/>
        <w:jc w:val="both"/>
        <w:rPr>
          <w:rFonts w:ascii="Times New Roman" w:hAnsi="Times New Roman" w:cs="Times New Roman"/>
          <w:bCs/>
          <w:color w:val="002060"/>
          <w:sz w:val="16"/>
          <w:szCs w:val="16"/>
        </w:rPr>
      </w:pPr>
      <w:r w:rsidRPr="00DE096C">
        <w:rPr>
          <w:rFonts w:ascii="Times New Roman" w:eastAsia="Arial" w:hAnsi="Times New Roman" w:cs="Times New Roman"/>
          <w:bCs/>
          <w:color w:val="002060"/>
          <w:sz w:val="16"/>
          <w:szCs w:val="16"/>
          <w:lang w:eastAsia="ru-RU" w:bidi="ru-RU"/>
        </w:rPr>
        <w:t>Вес пустого (кг)</w:t>
      </w:r>
      <w:r w:rsidRPr="00DE096C">
        <w:rPr>
          <w:rFonts w:ascii="Times New Roman" w:eastAsia="Arial" w:hAnsi="Times New Roman" w:cs="Times New Roman"/>
          <w:bCs/>
          <w:color w:val="002060"/>
          <w:sz w:val="16"/>
          <w:szCs w:val="16"/>
          <w:lang w:eastAsia="ru-RU" w:bidi="ru-RU"/>
        </w:rPr>
        <w:tab/>
        <w:t>260</w:t>
      </w:r>
    </w:p>
    <w:p w14:paraId="0FE24B9F" w14:textId="77777777" w:rsidR="008102F8" w:rsidRPr="00DE096C" w:rsidRDefault="008102F8" w:rsidP="00D45A46">
      <w:pPr>
        <w:pStyle w:val="af9"/>
        <w:tabs>
          <w:tab w:val="right" w:pos="5414"/>
        </w:tabs>
        <w:spacing w:line="240" w:lineRule="auto"/>
        <w:jc w:val="both"/>
        <w:rPr>
          <w:rFonts w:ascii="Times New Roman" w:hAnsi="Times New Roman" w:cs="Times New Roman"/>
          <w:bCs/>
          <w:color w:val="002060"/>
          <w:sz w:val="16"/>
          <w:szCs w:val="16"/>
        </w:rPr>
      </w:pPr>
      <w:r w:rsidRPr="00DE096C">
        <w:rPr>
          <w:rFonts w:ascii="Times New Roman" w:eastAsia="Arial" w:hAnsi="Times New Roman" w:cs="Times New Roman"/>
          <w:bCs/>
          <w:color w:val="002060"/>
          <w:sz w:val="16"/>
          <w:szCs w:val="16"/>
          <w:lang w:eastAsia="ru-RU" w:bidi="ru-RU"/>
        </w:rPr>
        <w:t>Полетный вес (кг)</w:t>
      </w:r>
      <w:r w:rsidRPr="00DE096C">
        <w:rPr>
          <w:rFonts w:ascii="Times New Roman" w:eastAsia="Arial" w:hAnsi="Times New Roman" w:cs="Times New Roman"/>
          <w:bCs/>
          <w:color w:val="002060"/>
          <w:sz w:val="16"/>
          <w:szCs w:val="16"/>
          <w:lang w:eastAsia="ru-RU" w:bidi="ru-RU"/>
        </w:rPr>
        <w:tab/>
        <w:t>516</w:t>
      </w:r>
    </w:p>
    <w:p w14:paraId="777BC496" w14:textId="77777777" w:rsidR="008102F8" w:rsidRPr="00DE096C" w:rsidRDefault="008102F8" w:rsidP="00D45A46">
      <w:pPr>
        <w:pStyle w:val="af9"/>
        <w:tabs>
          <w:tab w:val="right" w:pos="5419"/>
        </w:tabs>
        <w:spacing w:line="240" w:lineRule="auto"/>
        <w:jc w:val="both"/>
        <w:rPr>
          <w:rFonts w:ascii="Times New Roman" w:hAnsi="Times New Roman" w:cs="Times New Roman"/>
          <w:bCs/>
          <w:color w:val="002060"/>
          <w:sz w:val="16"/>
          <w:szCs w:val="16"/>
        </w:rPr>
      </w:pPr>
      <w:r w:rsidRPr="00DE096C">
        <w:rPr>
          <w:rFonts w:ascii="Times New Roman" w:eastAsia="Arial" w:hAnsi="Times New Roman" w:cs="Times New Roman"/>
          <w:bCs/>
          <w:color w:val="002060"/>
          <w:sz w:val="16"/>
          <w:szCs w:val="16"/>
          <w:lang w:eastAsia="ru-RU" w:bidi="ru-RU"/>
        </w:rPr>
        <w:t>Скорость у земли (км/ч)</w:t>
      </w:r>
      <w:r w:rsidRPr="00DE096C">
        <w:rPr>
          <w:rFonts w:ascii="Times New Roman" w:eastAsia="Arial" w:hAnsi="Times New Roman" w:cs="Times New Roman"/>
          <w:bCs/>
          <w:color w:val="002060"/>
          <w:sz w:val="16"/>
          <w:szCs w:val="16"/>
          <w:lang w:eastAsia="ru-RU" w:bidi="ru-RU"/>
        </w:rPr>
        <w:tab/>
        <w:t>99</w:t>
      </w:r>
    </w:p>
    <w:p w14:paraId="6231A6AD" w14:textId="77777777" w:rsidR="008102F8" w:rsidRPr="00DE096C" w:rsidRDefault="008102F8" w:rsidP="00D45A46">
      <w:pPr>
        <w:pStyle w:val="af9"/>
        <w:tabs>
          <w:tab w:val="right" w:pos="5414"/>
        </w:tabs>
        <w:spacing w:line="240" w:lineRule="auto"/>
        <w:jc w:val="both"/>
        <w:rPr>
          <w:rFonts w:ascii="Times New Roman" w:hAnsi="Times New Roman" w:cs="Times New Roman"/>
          <w:bCs/>
          <w:color w:val="002060"/>
          <w:sz w:val="16"/>
          <w:szCs w:val="16"/>
        </w:rPr>
      </w:pPr>
      <w:r w:rsidRPr="00DE096C">
        <w:rPr>
          <w:rFonts w:ascii="Times New Roman" w:eastAsia="Arial" w:hAnsi="Times New Roman" w:cs="Times New Roman"/>
          <w:bCs/>
          <w:color w:val="002060"/>
          <w:sz w:val="16"/>
          <w:szCs w:val="16"/>
          <w:lang w:eastAsia="ru-RU" w:bidi="ru-RU"/>
        </w:rPr>
        <w:t>Время набора высоты 1000 м (мин)</w:t>
      </w:r>
      <w:r w:rsidRPr="00DE096C">
        <w:rPr>
          <w:rFonts w:ascii="Times New Roman" w:eastAsia="Arial" w:hAnsi="Times New Roman" w:cs="Times New Roman"/>
          <w:bCs/>
          <w:color w:val="002060"/>
          <w:sz w:val="16"/>
          <w:szCs w:val="16"/>
          <w:lang w:eastAsia="ru-RU" w:bidi="ru-RU"/>
        </w:rPr>
        <w:tab/>
        <w:t>5</w:t>
      </w:r>
    </w:p>
    <w:p w14:paraId="25D4222D" w14:textId="77777777" w:rsidR="008102F8" w:rsidRPr="00DE096C" w:rsidRDefault="008102F8" w:rsidP="00D45A46">
      <w:pPr>
        <w:jc w:val="both"/>
        <w:rPr>
          <w:bCs/>
          <w:color w:val="002060"/>
          <w:sz w:val="16"/>
          <w:szCs w:val="16"/>
        </w:rPr>
      </w:pPr>
      <w:r w:rsidRPr="00DE096C">
        <w:rPr>
          <w:bCs/>
          <w:color w:val="002060"/>
          <w:sz w:val="16"/>
          <w:szCs w:val="16"/>
          <w:lang w:bidi="ru-RU"/>
        </w:rPr>
        <w:t>(23374).</w:t>
      </w:r>
    </w:p>
    <w:p w14:paraId="562FDE54" w14:textId="77777777" w:rsidR="008102F8" w:rsidRPr="00DE096C" w:rsidRDefault="008102F8" w:rsidP="00D45A46">
      <w:pPr>
        <w:jc w:val="both"/>
        <w:rPr>
          <w:bCs/>
          <w:color w:val="002060"/>
          <w:sz w:val="16"/>
          <w:szCs w:val="16"/>
        </w:rPr>
      </w:pPr>
    </w:p>
    <w:p w14:paraId="05712F62" w14:textId="77777777" w:rsidR="008102F8" w:rsidRPr="00DE096C" w:rsidRDefault="008102F8" w:rsidP="00D45A46">
      <w:pPr>
        <w:jc w:val="both"/>
        <w:rPr>
          <w:bCs/>
          <w:color w:val="002060"/>
          <w:sz w:val="16"/>
          <w:szCs w:val="16"/>
        </w:rPr>
      </w:pPr>
      <w:r w:rsidRPr="00DE096C">
        <w:rPr>
          <w:bCs/>
          <w:color w:val="002060"/>
          <w:sz w:val="16"/>
          <w:szCs w:val="16"/>
        </w:rPr>
        <w:t>К концу 1914 - первого года войны русские сухопутные войска уничтожили и захватили в качестве трофея 19 (по другим данным - 16) вражеских аэропланов и два дирижабля, взято в плен 80 человек членов экипажей. Русские летчики записали на свой счет 3 аэроплана противника (23405).</w:t>
      </w:r>
    </w:p>
    <w:p w14:paraId="62338789" w14:textId="77777777" w:rsidR="008102F8" w:rsidRPr="00DE096C" w:rsidRDefault="008102F8" w:rsidP="00D45A46">
      <w:pPr>
        <w:jc w:val="both"/>
        <w:rPr>
          <w:bCs/>
          <w:color w:val="002060"/>
          <w:sz w:val="16"/>
          <w:szCs w:val="16"/>
        </w:rPr>
      </w:pPr>
    </w:p>
    <w:p w14:paraId="6DE370CD" w14:textId="77777777" w:rsidR="008102F8" w:rsidRPr="00DE096C" w:rsidRDefault="008102F8" w:rsidP="00D45A46">
      <w:pPr>
        <w:jc w:val="both"/>
        <w:rPr>
          <w:bCs/>
          <w:color w:val="002060"/>
          <w:sz w:val="16"/>
          <w:szCs w:val="16"/>
        </w:rPr>
      </w:pPr>
      <w:r w:rsidRPr="00DE096C">
        <w:rPr>
          <w:bCs/>
          <w:color w:val="002060"/>
          <w:sz w:val="16"/>
          <w:szCs w:val="16"/>
        </w:rPr>
        <w:t>В конце 1914 ПРТВ сданы авиации Балтийского флота М-2 («Морской второй», Щ-2) экземпляр № 2 и экз. 3, морской разведчик – летающая лодка.</w:t>
      </w:r>
    </w:p>
    <w:p w14:paraId="496B671A" w14:textId="77777777" w:rsidR="008102F8" w:rsidRPr="00DE096C" w:rsidRDefault="008102F8" w:rsidP="00D45A46">
      <w:pPr>
        <w:jc w:val="both"/>
        <w:rPr>
          <w:bCs/>
          <w:color w:val="002060"/>
          <w:sz w:val="16"/>
          <w:szCs w:val="16"/>
        </w:rPr>
      </w:pPr>
      <w:r w:rsidRPr="00DE096C">
        <w:rPr>
          <w:bCs/>
          <w:color w:val="002060"/>
          <w:sz w:val="16"/>
          <w:szCs w:val="16"/>
        </w:rPr>
        <w:t>Построен заводом ПТРВ без существенных отличий от первого разбившегося образца.</w:t>
      </w:r>
    </w:p>
    <w:p w14:paraId="385F2963" w14:textId="77777777" w:rsidR="008102F8" w:rsidRPr="00DE096C" w:rsidRDefault="008102F8" w:rsidP="00D45A46">
      <w:pPr>
        <w:jc w:val="both"/>
        <w:rPr>
          <w:bCs/>
          <w:color w:val="002060"/>
          <w:sz w:val="16"/>
          <w:szCs w:val="16"/>
        </w:rPr>
      </w:pPr>
      <w:r w:rsidRPr="00DE096C">
        <w:rPr>
          <w:bCs/>
          <w:color w:val="002060"/>
          <w:sz w:val="16"/>
          <w:szCs w:val="16"/>
        </w:rPr>
        <w:t>Списаны зимой 1915-1916 гг. по износу (23594).</w:t>
      </w:r>
    </w:p>
    <w:p w14:paraId="35C385BF" w14:textId="77777777" w:rsidR="008102F8" w:rsidRPr="00DE096C" w:rsidRDefault="008102F8" w:rsidP="00D45A46">
      <w:pPr>
        <w:jc w:val="both"/>
        <w:rPr>
          <w:bCs/>
          <w:color w:val="002060"/>
          <w:sz w:val="16"/>
          <w:szCs w:val="16"/>
        </w:rPr>
      </w:pPr>
    </w:p>
    <w:p w14:paraId="28EEAE81" w14:textId="77777777" w:rsidR="008102F8" w:rsidRPr="00DE096C" w:rsidRDefault="008102F8" w:rsidP="00D45A46">
      <w:pPr>
        <w:jc w:val="both"/>
        <w:rPr>
          <w:bCs/>
          <w:color w:val="002060"/>
          <w:sz w:val="16"/>
          <w:szCs w:val="16"/>
        </w:rPr>
      </w:pPr>
      <w:r w:rsidRPr="00DE096C">
        <w:rPr>
          <w:bCs/>
          <w:color w:val="002060"/>
          <w:sz w:val="16"/>
          <w:szCs w:val="16"/>
        </w:rPr>
        <w:t>В конце 1914 г. одновременно с М-2 №№2 и 3 и совершил первый полет М-3 («Морской третий», Щ-3, «Щетинин третий») проект и опытный, морской разведчик – летающая лодка.</w:t>
      </w:r>
    </w:p>
    <w:p w14:paraId="67A95497" w14:textId="77777777" w:rsidR="008102F8" w:rsidRPr="00DE096C" w:rsidRDefault="008102F8" w:rsidP="00D45A46">
      <w:pPr>
        <w:jc w:val="both"/>
        <w:rPr>
          <w:bCs/>
          <w:color w:val="002060"/>
          <w:sz w:val="16"/>
          <w:szCs w:val="16"/>
        </w:rPr>
      </w:pPr>
      <w:r w:rsidRPr="00DE096C">
        <w:rPr>
          <w:bCs/>
          <w:color w:val="002060"/>
          <w:sz w:val="16"/>
          <w:szCs w:val="16"/>
        </w:rPr>
        <w:t xml:space="preserve">Летом или осенью 1914 г., когда самолет М-2 строился или вскоре после его катастрофы в первом полете, когда было решено достраивать остальные заказанные аппараты в том же виде, что и первый, но уже стали видны некоторые недостатки конструкции и слишком большая нагрузка на мощность, Дмитрием Павловичем Григоровичем на заводе ПРТВ С.С. Щетинина был разработан </w:t>
      </w:r>
    </w:p>
    <w:p w14:paraId="661F1ADE" w14:textId="77777777" w:rsidR="008102F8" w:rsidRPr="00DE096C" w:rsidRDefault="008102F8" w:rsidP="00D45A46">
      <w:pPr>
        <w:jc w:val="both"/>
        <w:rPr>
          <w:bCs/>
          <w:color w:val="002060"/>
          <w:sz w:val="16"/>
          <w:szCs w:val="16"/>
        </w:rPr>
      </w:pPr>
      <w:r w:rsidRPr="00DE096C">
        <w:rPr>
          <w:bCs/>
          <w:color w:val="002060"/>
          <w:sz w:val="16"/>
          <w:szCs w:val="16"/>
        </w:rPr>
        <w:t>Были внесены следующие отличия в конструкцию и комплектацию самолета:</w:t>
      </w:r>
    </w:p>
    <w:p w14:paraId="525693B5" w14:textId="77777777" w:rsidR="008102F8" w:rsidRPr="00DE096C" w:rsidRDefault="008102F8" w:rsidP="00D45A46">
      <w:pPr>
        <w:jc w:val="both"/>
        <w:rPr>
          <w:bCs/>
          <w:color w:val="002060"/>
          <w:sz w:val="16"/>
          <w:szCs w:val="16"/>
        </w:rPr>
      </w:pPr>
      <w:r w:rsidRPr="00DE096C">
        <w:rPr>
          <w:bCs/>
          <w:color w:val="002060"/>
          <w:sz w:val="16"/>
          <w:szCs w:val="16"/>
        </w:rPr>
        <w:t>- установлен звездообразный ротативный 9-цилиндровый мотор воздушного охлаждения Гном «Моносупап-В» номинальной мощностью 100 л.с.;</w:t>
      </w:r>
    </w:p>
    <w:p w14:paraId="5E6D7785" w14:textId="77777777" w:rsidR="008102F8" w:rsidRPr="00DE096C" w:rsidRDefault="008102F8" w:rsidP="00D45A46">
      <w:pPr>
        <w:jc w:val="both"/>
        <w:rPr>
          <w:bCs/>
          <w:color w:val="002060"/>
          <w:sz w:val="16"/>
          <w:szCs w:val="16"/>
        </w:rPr>
      </w:pPr>
      <w:r w:rsidRPr="00DE096C">
        <w:rPr>
          <w:bCs/>
          <w:color w:val="002060"/>
          <w:sz w:val="16"/>
          <w:szCs w:val="16"/>
        </w:rPr>
        <w:t>- мощность двигателя регулировалась выключением зажигания части цилиндров, соответственно не установлен рычаг управления двигателем и его проводка;</w:t>
      </w:r>
    </w:p>
    <w:p w14:paraId="288F1152" w14:textId="77777777" w:rsidR="008102F8" w:rsidRPr="00DE096C" w:rsidRDefault="008102F8" w:rsidP="00D45A46">
      <w:pPr>
        <w:jc w:val="both"/>
        <w:rPr>
          <w:bCs/>
          <w:color w:val="002060"/>
          <w:sz w:val="16"/>
          <w:szCs w:val="16"/>
        </w:rPr>
      </w:pPr>
      <w:r w:rsidRPr="00DE096C">
        <w:rPr>
          <w:bCs/>
          <w:color w:val="002060"/>
          <w:sz w:val="16"/>
          <w:szCs w:val="16"/>
        </w:rPr>
        <w:t>- изменен профиль крыльев, на который пало подозрение, что он и есть причина катастрофы;</w:t>
      </w:r>
    </w:p>
    <w:p w14:paraId="13982EC3" w14:textId="77777777" w:rsidR="008102F8" w:rsidRPr="00DE096C" w:rsidRDefault="008102F8" w:rsidP="00D45A46">
      <w:pPr>
        <w:jc w:val="both"/>
        <w:rPr>
          <w:bCs/>
          <w:color w:val="002060"/>
          <w:sz w:val="16"/>
          <w:szCs w:val="16"/>
        </w:rPr>
      </w:pPr>
      <w:r w:rsidRPr="00DE096C">
        <w:rPr>
          <w:bCs/>
          <w:color w:val="002060"/>
          <w:sz w:val="16"/>
          <w:szCs w:val="16"/>
        </w:rPr>
        <w:t>- нижнее крыло установлено на фюзеляж по переднему лонжерону на продолжении передних стоек «кабана» бипланной коробки, которые соединялись с ним спереди, а также на призматической ферме, зашитой фанерой, которая соединялась с передними подкосами мотоустановки (крепление его по заднему лонжерону не изменилось – на двух стержнях, являвшихся продолжением задних стоек «кабана») (23594).</w:t>
      </w:r>
    </w:p>
    <w:p w14:paraId="5046BC9D" w14:textId="77777777" w:rsidR="008102F8" w:rsidRPr="00DE096C" w:rsidRDefault="008102F8" w:rsidP="00D45A46">
      <w:pPr>
        <w:jc w:val="both"/>
        <w:rPr>
          <w:bCs/>
          <w:color w:val="002060"/>
          <w:sz w:val="16"/>
          <w:szCs w:val="16"/>
        </w:rPr>
      </w:pPr>
    </w:p>
    <w:p w14:paraId="44BEC1B4" w14:textId="1F5598B5" w:rsidR="008102F8" w:rsidRPr="00DE096C" w:rsidRDefault="008102F8" w:rsidP="00D45A46">
      <w:pPr>
        <w:jc w:val="both"/>
        <w:rPr>
          <w:bCs/>
          <w:color w:val="002060"/>
          <w:sz w:val="16"/>
          <w:szCs w:val="16"/>
        </w:rPr>
      </w:pPr>
      <w:r w:rsidRPr="00DE096C">
        <w:rPr>
          <w:bCs/>
          <w:color w:val="002060"/>
          <w:sz w:val="16"/>
          <w:szCs w:val="16"/>
        </w:rPr>
        <w:t>В конце 1914 г. был изготовлен выполнил первый полет</w:t>
      </w:r>
      <w:r w:rsidR="0006581C">
        <w:rPr>
          <w:bCs/>
          <w:color w:val="002060"/>
          <w:sz w:val="16"/>
          <w:szCs w:val="16"/>
        </w:rPr>
        <w:t xml:space="preserve"> </w:t>
      </w:r>
      <w:r w:rsidRPr="00DE096C">
        <w:rPr>
          <w:bCs/>
          <w:color w:val="002060"/>
          <w:sz w:val="16"/>
          <w:szCs w:val="16"/>
        </w:rPr>
        <w:t>(возможно, на лыжном шасси) лл М-4</w:t>
      </w:r>
    </w:p>
    <w:p w14:paraId="6519FB18" w14:textId="77777777" w:rsidR="008102F8" w:rsidRPr="00DE096C" w:rsidRDefault="008102F8" w:rsidP="00D45A46">
      <w:pPr>
        <w:jc w:val="both"/>
        <w:rPr>
          <w:bCs/>
          <w:color w:val="002060"/>
          <w:sz w:val="16"/>
          <w:szCs w:val="16"/>
        </w:rPr>
      </w:pPr>
      <w:r w:rsidRPr="00DE096C">
        <w:rPr>
          <w:bCs/>
          <w:color w:val="002060"/>
          <w:sz w:val="16"/>
          <w:szCs w:val="16"/>
        </w:rPr>
        <w:t>М-4 (Щ-4) проект и серийный, морской разведчик, летающая лодка.</w:t>
      </w:r>
    </w:p>
    <w:p w14:paraId="30C2A65B" w14:textId="77777777" w:rsidR="008102F8" w:rsidRPr="00DE096C" w:rsidRDefault="008102F8" w:rsidP="00D45A46">
      <w:pPr>
        <w:jc w:val="both"/>
        <w:rPr>
          <w:bCs/>
          <w:color w:val="002060"/>
          <w:sz w:val="16"/>
          <w:szCs w:val="16"/>
        </w:rPr>
      </w:pPr>
      <w:r w:rsidRPr="00DE096C">
        <w:rPr>
          <w:bCs/>
          <w:color w:val="002060"/>
          <w:sz w:val="16"/>
          <w:szCs w:val="16"/>
        </w:rPr>
        <w:t>Вероятно, самолеты М-4 закладывались на заводе ПТВ С. Щетинина в Петрограде как серия по чертежам М-3, но, поскольку М-3 на вооружение принят не был, еще до окончания их постройки их конструктор Дмитрий Павлович Григорович ввел в них новые доработки:</w:t>
      </w:r>
    </w:p>
    <w:p w14:paraId="3674B458" w14:textId="77777777" w:rsidR="008102F8" w:rsidRPr="00DE096C" w:rsidRDefault="008102F8" w:rsidP="00D45A46">
      <w:pPr>
        <w:jc w:val="both"/>
        <w:rPr>
          <w:bCs/>
          <w:color w:val="002060"/>
          <w:sz w:val="16"/>
          <w:szCs w:val="16"/>
        </w:rPr>
      </w:pPr>
      <w:r w:rsidRPr="00DE096C">
        <w:rPr>
          <w:bCs/>
          <w:color w:val="002060"/>
          <w:sz w:val="16"/>
          <w:szCs w:val="16"/>
        </w:rPr>
        <w:t>- изменена центровка с тем, чтобы улучшить продольную устойчивость в движении по воде;</w:t>
      </w:r>
    </w:p>
    <w:p w14:paraId="36377228" w14:textId="77777777" w:rsidR="008102F8" w:rsidRPr="00DE096C" w:rsidRDefault="008102F8" w:rsidP="00D45A46">
      <w:pPr>
        <w:jc w:val="both"/>
        <w:rPr>
          <w:bCs/>
          <w:color w:val="002060"/>
          <w:sz w:val="16"/>
          <w:szCs w:val="16"/>
        </w:rPr>
      </w:pPr>
      <w:r w:rsidRPr="00DE096C">
        <w:rPr>
          <w:bCs/>
          <w:color w:val="002060"/>
          <w:sz w:val="16"/>
          <w:szCs w:val="16"/>
        </w:rPr>
        <w:t>- применен новый профиль крыльев;</w:t>
      </w:r>
    </w:p>
    <w:p w14:paraId="08232860" w14:textId="77777777" w:rsidR="008102F8" w:rsidRPr="00DE096C" w:rsidRDefault="008102F8" w:rsidP="00D45A46">
      <w:pPr>
        <w:jc w:val="both"/>
        <w:rPr>
          <w:bCs/>
          <w:color w:val="002060"/>
          <w:sz w:val="16"/>
          <w:szCs w:val="16"/>
        </w:rPr>
      </w:pPr>
      <w:r w:rsidRPr="00DE096C">
        <w:rPr>
          <w:bCs/>
          <w:color w:val="002060"/>
          <w:sz w:val="16"/>
          <w:szCs w:val="16"/>
        </w:rPr>
        <w:t>- размах верхнего крыла уменьшен на 60 мм, а размах нижнего и хорды крыльев значительно увеличены, что дало прирост площади на 4,4 кв.м;</w:t>
      </w:r>
    </w:p>
    <w:p w14:paraId="47D0950F" w14:textId="77777777" w:rsidR="008102F8" w:rsidRPr="00DE096C" w:rsidRDefault="008102F8" w:rsidP="00D45A46">
      <w:pPr>
        <w:jc w:val="both"/>
        <w:rPr>
          <w:bCs/>
          <w:color w:val="002060"/>
          <w:sz w:val="16"/>
          <w:szCs w:val="16"/>
        </w:rPr>
      </w:pPr>
      <w:r w:rsidRPr="00DE096C">
        <w:rPr>
          <w:bCs/>
          <w:color w:val="002060"/>
          <w:sz w:val="16"/>
          <w:szCs w:val="16"/>
        </w:rPr>
        <w:t>- незначительно изменена конструкция лодки – прежде всего, в направлении его упрощения, в частности, уменьшена килеватость;</w:t>
      </w:r>
    </w:p>
    <w:p w14:paraId="27F34468" w14:textId="77777777" w:rsidR="008102F8" w:rsidRPr="00DE096C" w:rsidRDefault="008102F8" w:rsidP="00D45A46">
      <w:pPr>
        <w:jc w:val="both"/>
        <w:rPr>
          <w:bCs/>
          <w:color w:val="002060"/>
          <w:sz w:val="16"/>
          <w:szCs w:val="16"/>
        </w:rPr>
      </w:pPr>
      <w:r w:rsidRPr="00DE096C">
        <w:rPr>
          <w:bCs/>
          <w:color w:val="002060"/>
          <w:sz w:val="16"/>
          <w:szCs w:val="16"/>
        </w:rPr>
        <w:t>- несмотря на отрицательный опыт предыдущих испытаний в проекте самолета демпфер килевой качки под ХЧФ («лопата») был предусмотрен;</w:t>
      </w:r>
    </w:p>
    <w:p w14:paraId="3A940919" w14:textId="77777777" w:rsidR="008102F8" w:rsidRPr="00DE096C" w:rsidRDefault="008102F8" w:rsidP="00D45A46">
      <w:pPr>
        <w:jc w:val="both"/>
        <w:rPr>
          <w:bCs/>
          <w:color w:val="002060"/>
          <w:sz w:val="16"/>
          <w:szCs w:val="16"/>
        </w:rPr>
      </w:pPr>
      <w:r w:rsidRPr="00DE096C">
        <w:rPr>
          <w:bCs/>
          <w:color w:val="002060"/>
          <w:sz w:val="16"/>
          <w:szCs w:val="16"/>
        </w:rPr>
        <w:t>- для обеспечения нормальной управляемости при различных центровках стабилизатор спроектирован переставным, см. ниже;</w:t>
      </w:r>
    </w:p>
    <w:p w14:paraId="5C2DCA37" w14:textId="77777777" w:rsidR="008102F8" w:rsidRPr="00DE096C" w:rsidRDefault="008102F8" w:rsidP="00D45A46">
      <w:pPr>
        <w:jc w:val="both"/>
        <w:rPr>
          <w:bCs/>
          <w:color w:val="002060"/>
          <w:sz w:val="16"/>
          <w:szCs w:val="16"/>
        </w:rPr>
      </w:pPr>
      <w:r w:rsidRPr="00DE096C">
        <w:rPr>
          <w:bCs/>
          <w:color w:val="002060"/>
          <w:sz w:val="16"/>
          <w:szCs w:val="16"/>
        </w:rPr>
        <w:t>- для обеспечения перестановки узел навески стабилизатора по главному (заднему) лонжерону сделан шарнирным с осью, параллельной лонжерону, (одна вращательная степень свободы), под передней кромкой стабилизатора установлен винтовой подъемник преобразует свое вращение в поступательное движение штока (его нижний узел навески имеет одну поступательную и одну вращательную степень свободы), а верхняя точка крепления подъемника имеет две вращательные и одну поступательную степени свободы, растяжки оперения проложены так, что при перестановке силы натяжения не изменяются (крепления наконечников растяжек шарнирные);</w:t>
      </w:r>
    </w:p>
    <w:p w14:paraId="63B37A6B" w14:textId="77777777" w:rsidR="008102F8" w:rsidRPr="00DE096C" w:rsidRDefault="008102F8" w:rsidP="00D45A46">
      <w:pPr>
        <w:jc w:val="both"/>
        <w:rPr>
          <w:bCs/>
          <w:color w:val="002060"/>
          <w:sz w:val="16"/>
          <w:szCs w:val="16"/>
        </w:rPr>
      </w:pPr>
      <w:r w:rsidRPr="00DE096C">
        <w:rPr>
          <w:bCs/>
          <w:color w:val="002060"/>
          <w:sz w:val="16"/>
          <w:szCs w:val="16"/>
        </w:rPr>
        <w:t>- тросы управления РВ проложены так, что при перестановке ГО их натяжение не меняется, угол отклонения РВ также остается тем, что задан текущим положением РУС управления по тангажу;</w:t>
      </w:r>
    </w:p>
    <w:p w14:paraId="776C3DEC" w14:textId="77777777" w:rsidR="008102F8" w:rsidRPr="00DE096C" w:rsidRDefault="008102F8" w:rsidP="00D45A46">
      <w:pPr>
        <w:jc w:val="both"/>
        <w:rPr>
          <w:bCs/>
          <w:color w:val="002060"/>
          <w:sz w:val="16"/>
          <w:szCs w:val="16"/>
        </w:rPr>
      </w:pPr>
      <w:r w:rsidRPr="00DE096C">
        <w:rPr>
          <w:bCs/>
          <w:color w:val="002060"/>
          <w:sz w:val="16"/>
          <w:szCs w:val="16"/>
        </w:rPr>
        <w:t>- положение ГО в зависимости от особенностей самолета и предполагаемой центровки механик устанавливает (т.е. изменяет при необходимости) на земле, вращая штурвальчик на подъемнике, который, поднимая или опуская переднюю кромку стабилизатора, изменяя угол его установки, перестановка стабилизатора в полете не предусмотрена.</w:t>
      </w:r>
    </w:p>
    <w:p w14:paraId="0E908BE3" w14:textId="77777777" w:rsidR="008102F8" w:rsidRPr="00DE096C" w:rsidRDefault="008102F8" w:rsidP="00D45A46">
      <w:pPr>
        <w:jc w:val="both"/>
        <w:rPr>
          <w:bCs/>
          <w:color w:val="002060"/>
          <w:sz w:val="16"/>
          <w:szCs w:val="16"/>
        </w:rPr>
      </w:pPr>
      <w:r w:rsidRPr="00DE096C">
        <w:rPr>
          <w:bCs/>
          <w:color w:val="002060"/>
          <w:sz w:val="16"/>
          <w:szCs w:val="16"/>
        </w:rPr>
        <w:t>Испытания показали, что летные данные и мореходность не улучшились, при этом по воде самолет двигался неустойчиво.</w:t>
      </w:r>
    </w:p>
    <w:p w14:paraId="5A532E66" w14:textId="77777777" w:rsidR="008102F8" w:rsidRPr="00DE096C" w:rsidRDefault="008102F8" w:rsidP="00D45A46">
      <w:pPr>
        <w:jc w:val="both"/>
        <w:rPr>
          <w:bCs/>
          <w:color w:val="002060"/>
          <w:sz w:val="16"/>
          <w:szCs w:val="16"/>
        </w:rPr>
      </w:pPr>
      <w:r w:rsidRPr="00DE096C">
        <w:rPr>
          <w:bCs/>
          <w:color w:val="002060"/>
          <w:sz w:val="16"/>
          <w:szCs w:val="16"/>
        </w:rPr>
        <w:t>В последующих полетах сняли «лопату» – пластину на резиновом буфере под хвостовой частью фюзеляжа, служившую для гашения килевой качки, но после этого устойчивость только ухудшилась – вероятно, из-за изменения центровки. Хотя свое назначение это устройство явно не выполняло, его снятие в данном случае показало, что причина не в его неудовлетворительной работе, только лишь таким простым способом недостаток устранен быть не может и в чертежи следует вносить более значительные изменения.</w:t>
      </w:r>
    </w:p>
    <w:p w14:paraId="4427DBF7" w14:textId="77777777" w:rsidR="008102F8" w:rsidRPr="00DE096C" w:rsidRDefault="008102F8" w:rsidP="00D45A46">
      <w:pPr>
        <w:jc w:val="both"/>
        <w:rPr>
          <w:bCs/>
          <w:color w:val="002060"/>
          <w:sz w:val="16"/>
          <w:szCs w:val="16"/>
        </w:rPr>
      </w:pPr>
      <w:r w:rsidRPr="00DE096C">
        <w:rPr>
          <w:bCs/>
          <w:color w:val="002060"/>
          <w:sz w:val="16"/>
          <w:szCs w:val="16"/>
        </w:rPr>
        <w:t>Самолет на вооружение принят не и в серию не запускался (23594).</w:t>
      </w:r>
    </w:p>
    <w:p w14:paraId="482E7590" w14:textId="77777777" w:rsidR="008102F8" w:rsidRPr="00DE096C" w:rsidRDefault="008102F8" w:rsidP="00D45A46">
      <w:pPr>
        <w:jc w:val="both"/>
        <w:rPr>
          <w:bCs/>
          <w:color w:val="002060"/>
          <w:sz w:val="16"/>
          <w:szCs w:val="16"/>
        </w:rPr>
      </w:pPr>
      <w:r w:rsidRPr="00DE096C">
        <w:rPr>
          <w:bCs/>
          <w:color w:val="002060"/>
          <w:sz w:val="16"/>
          <w:szCs w:val="16"/>
        </w:rPr>
        <w:t>Взлетный вес по сравнению с М-2 по документам не изменился (870 кг), что может свидетельствовать о том, что взвешивание просто не проводили и на деле он был больше.</w:t>
      </w:r>
    </w:p>
    <w:p w14:paraId="3960DF31" w14:textId="77777777" w:rsidR="008102F8" w:rsidRPr="00DE096C" w:rsidRDefault="008102F8" w:rsidP="00D45A46">
      <w:pPr>
        <w:jc w:val="both"/>
        <w:rPr>
          <w:bCs/>
          <w:color w:val="002060"/>
          <w:sz w:val="16"/>
          <w:szCs w:val="16"/>
        </w:rPr>
      </w:pPr>
      <w:r w:rsidRPr="00DE096C">
        <w:rPr>
          <w:bCs/>
          <w:color w:val="002060"/>
          <w:sz w:val="16"/>
          <w:szCs w:val="16"/>
        </w:rPr>
        <w:t>Самолет построен заводом ПРТВ в конце 1914 г. и тогда же выполнил первый полет.</w:t>
      </w:r>
    </w:p>
    <w:p w14:paraId="545F3863" w14:textId="77777777" w:rsidR="008102F8" w:rsidRPr="00DE096C" w:rsidRDefault="008102F8" w:rsidP="00D45A46">
      <w:pPr>
        <w:jc w:val="both"/>
        <w:rPr>
          <w:bCs/>
          <w:color w:val="002060"/>
          <w:sz w:val="16"/>
          <w:szCs w:val="16"/>
        </w:rPr>
      </w:pPr>
      <w:r w:rsidRPr="00DE096C">
        <w:rPr>
          <w:bCs/>
          <w:color w:val="002060"/>
          <w:sz w:val="16"/>
          <w:szCs w:val="16"/>
        </w:rPr>
        <w:t>Вероятно, по ходу испытаний демпфер продольной качки был снят.</w:t>
      </w:r>
    </w:p>
    <w:p w14:paraId="640302C8" w14:textId="77777777" w:rsidR="008102F8" w:rsidRPr="00DE096C" w:rsidRDefault="008102F8" w:rsidP="00D45A46">
      <w:pPr>
        <w:jc w:val="both"/>
        <w:rPr>
          <w:bCs/>
          <w:color w:val="002060"/>
          <w:sz w:val="16"/>
          <w:szCs w:val="16"/>
        </w:rPr>
      </w:pPr>
      <w:r w:rsidRPr="00DE096C">
        <w:rPr>
          <w:bCs/>
          <w:color w:val="002060"/>
          <w:sz w:val="16"/>
          <w:szCs w:val="16"/>
        </w:rPr>
        <w:t>Заводские испытания, проведенные в декабре 1914 – январе 1915 г. показали существенное улучшение мореходности, а также устойчивости и управляемости в полете, особенно на взлете и посадке. Пилотирование самолета упростилось и его стало возможно использовать и для обучения курсантов (хотя перед этим самолетом такая задача пока не ставилась).</w:t>
      </w:r>
    </w:p>
    <w:p w14:paraId="628EA42C" w14:textId="77777777" w:rsidR="008102F8" w:rsidRPr="00DE096C" w:rsidRDefault="008102F8" w:rsidP="00D45A46">
      <w:pPr>
        <w:jc w:val="both"/>
        <w:rPr>
          <w:bCs/>
          <w:color w:val="002060"/>
          <w:sz w:val="16"/>
          <w:szCs w:val="16"/>
        </w:rPr>
      </w:pPr>
      <w:r w:rsidRPr="00DE096C">
        <w:rPr>
          <w:bCs/>
          <w:color w:val="002060"/>
          <w:sz w:val="16"/>
          <w:szCs w:val="16"/>
        </w:rPr>
        <w:t>По завершении I этапа испытаний в феврале 1915 г. потребовались лишь незначительные доработки самолета, которые свелись к обычному восстановительному ремонту, проводимому тогда на всех самолетах при смене сезона.</w:t>
      </w:r>
    </w:p>
    <w:p w14:paraId="153D0CF2" w14:textId="77777777" w:rsidR="008102F8" w:rsidRPr="00DE096C" w:rsidRDefault="008102F8" w:rsidP="00D45A46">
      <w:pPr>
        <w:jc w:val="both"/>
        <w:rPr>
          <w:bCs/>
          <w:color w:val="002060"/>
          <w:sz w:val="16"/>
          <w:szCs w:val="16"/>
        </w:rPr>
      </w:pPr>
      <w:r w:rsidRPr="00DE096C">
        <w:rPr>
          <w:bCs/>
          <w:color w:val="002060"/>
          <w:sz w:val="16"/>
          <w:szCs w:val="16"/>
        </w:rPr>
        <w:t>Государственные испытания на воде, проведенные весной 1915 г. в Севастополе летчиком-приемщиком Морского министерства, подтвердили улучшение летных данных, и заводу ПРТВ была оплачена постройка четырех самолетов М-4 (вероятно, включая проходивший испытания первый экземпляр).</w:t>
      </w:r>
    </w:p>
    <w:p w14:paraId="62265509" w14:textId="77777777" w:rsidR="008102F8" w:rsidRPr="00DE096C" w:rsidRDefault="008102F8" w:rsidP="00D45A46">
      <w:pPr>
        <w:jc w:val="both"/>
        <w:rPr>
          <w:bCs/>
          <w:color w:val="002060"/>
          <w:sz w:val="16"/>
          <w:szCs w:val="16"/>
        </w:rPr>
      </w:pPr>
      <w:r w:rsidRPr="00DE096C">
        <w:rPr>
          <w:bCs/>
          <w:color w:val="002060"/>
          <w:sz w:val="16"/>
          <w:szCs w:val="16"/>
        </w:rPr>
        <w:lastRenderedPageBreak/>
        <w:t>В середине 1915 г. два самолета М-4 переданы авиации Черноморского Флота и два – Балтийского. Подробных сведений об их использовании нет, т.к. в то время не был налажен учет типов летающих лодок отечественной разработки – они числились как «самолеты ПРТВ» или «самолеты Щетинина», как и машины крупносерийного типа М-5 и применялись с ними одновременно (23594).</w:t>
      </w:r>
    </w:p>
    <w:p w14:paraId="73993227" w14:textId="77777777" w:rsidR="008102F8" w:rsidRPr="00DE096C" w:rsidRDefault="008102F8" w:rsidP="00D45A46">
      <w:pPr>
        <w:jc w:val="both"/>
        <w:rPr>
          <w:bCs/>
          <w:color w:val="002060"/>
          <w:sz w:val="16"/>
          <w:szCs w:val="16"/>
        </w:rPr>
      </w:pPr>
    </w:p>
    <w:p w14:paraId="5725F3FC" w14:textId="77777777" w:rsidR="008102F8" w:rsidRPr="00DE096C" w:rsidRDefault="008102F8" w:rsidP="00D45A46">
      <w:pPr>
        <w:jc w:val="both"/>
        <w:rPr>
          <w:bCs/>
          <w:color w:val="002060"/>
          <w:sz w:val="16"/>
          <w:szCs w:val="16"/>
        </w:rPr>
      </w:pPr>
      <w:r w:rsidRPr="00DE096C">
        <w:rPr>
          <w:bCs/>
          <w:color w:val="002060"/>
          <w:sz w:val="16"/>
          <w:szCs w:val="16"/>
        </w:rPr>
        <w:t>В конце 1914 г., опираясь на имеющийся опыт постройки и испытаний самолетов М-2, М-3 и М-4, Дмитрий Павлович Григорович начал на заводе «Первое Российское Товарищество Воздухоплавания» (ПРТВ, «Гамаюн») С.С. Щетинина в Петрограде разработку лл М-5. Основой был взят последний тип, на котором в ходе занявший около полугода работы удалось добиться значительного улучшения мореходности, а также устойчивости и управляемости самолета как при движении по воде, так и в полете.</w:t>
      </w:r>
    </w:p>
    <w:p w14:paraId="660DE116" w14:textId="77777777" w:rsidR="008102F8" w:rsidRPr="00DE096C" w:rsidRDefault="008102F8" w:rsidP="00D45A46">
      <w:pPr>
        <w:jc w:val="both"/>
        <w:rPr>
          <w:bCs/>
          <w:color w:val="002060"/>
          <w:sz w:val="16"/>
          <w:szCs w:val="16"/>
        </w:rPr>
      </w:pPr>
      <w:r w:rsidRPr="00DE096C">
        <w:rPr>
          <w:bCs/>
          <w:color w:val="002060"/>
          <w:sz w:val="16"/>
          <w:szCs w:val="16"/>
        </w:rPr>
        <w:t>Общие особенности конструкции, применяемые материалы и технологии:</w:t>
      </w:r>
    </w:p>
    <w:p w14:paraId="3D810154" w14:textId="77777777" w:rsidR="008102F8" w:rsidRPr="00DE096C" w:rsidRDefault="008102F8" w:rsidP="00D45A46">
      <w:pPr>
        <w:jc w:val="both"/>
        <w:rPr>
          <w:bCs/>
          <w:color w:val="002060"/>
          <w:sz w:val="16"/>
          <w:szCs w:val="16"/>
        </w:rPr>
      </w:pPr>
      <w:r w:rsidRPr="00DE096C">
        <w:rPr>
          <w:bCs/>
          <w:color w:val="002060"/>
          <w:sz w:val="16"/>
          <w:szCs w:val="16"/>
        </w:rPr>
        <w:t>- все – такое же, как в предыдущих проектах, конструкция каркаса деревянная, в основном из массива ясеня (полуфабрикаты – бруски, доски, рейки) и фанеры, за исключением каркаса киля и всех рулевых поверхностей оперения и киля, которые сваривались из стальных труб сечением 30х28 мм для лонжеронов и 20х18 мм для кромок (толщины стенок – 1 мм), за исключением указанного ниже;</w:t>
      </w:r>
    </w:p>
    <w:p w14:paraId="191CC26B" w14:textId="77777777" w:rsidR="008102F8" w:rsidRPr="00DE096C" w:rsidRDefault="008102F8" w:rsidP="00D45A46">
      <w:pPr>
        <w:jc w:val="both"/>
        <w:rPr>
          <w:bCs/>
          <w:color w:val="002060"/>
          <w:sz w:val="16"/>
          <w:szCs w:val="16"/>
        </w:rPr>
      </w:pPr>
      <w:r w:rsidRPr="00DE096C">
        <w:rPr>
          <w:bCs/>
          <w:color w:val="002060"/>
          <w:sz w:val="16"/>
          <w:szCs w:val="16"/>
        </w:rPr>
        <w:t>- каркас элеронов, киль, РН и РВ изготовлен из тонкостенных стальных труб с наружным диаметром 30 мм (стабилизатор остался деревянным).</w:t>
      </w:r>
    </w:p>
    <w:p w14:paraId="7F5B409C" w14:textId="77777777" w:rsidR="008102F8" w:rsidRPr="00DE096C" w:rsidRDefault="008102F8" w:rsidP="00D45A46">
      <w:pPr>
        <w:jc w:val="both"/>
        <w:rPr>
          <w:bCs/>
          <w:color w:val="002060"/>
          <w:sz w:val="16"/>
          <w:szCs w:val="16"/>
        </w:rPr>
      </w:pPr>
      <w:r w:rsidRPr="00DE096C">
        <w:rPr>
          <w:bCs/>
          <w:color w:val="002060"/>
          <w:sz w:val="16"/>
          <w:szCs w:val="16"/>
        </w:rPr>
        <w:t>Силовая установка:</w:t>
      </w:r>
    </w:p>
    <w:p w14:paraId="6ACA9449" w14:textId="77777777" w:rsidR="008102F8" w:rsidRPr="00DE096C" w:rsidRDefault="008102F8" w:rsidP="00D45A46">
      <w:pPr>
        <w:jc w:val="both"/>
        <w:rPr>
          <w:bCs/>
          <w:color w:val="002060"/>
          <w:sz w:val="16"/>
          <w:szCs w:val="16"/>
        </w:rPr>
      </w:pPr>
      <w:r w:rsidRPr="00DE096C">
        <w:rPr>
          <w:bCs/>
          <w:color w:val="002060"/>
          <w:sz w:val="16"/>
          <w:szCs w:val="16"/>
        </w:rPr>
        <w:t>- в основном такая же, как на самолете М-4, 9-цилиндровый ротативный мотор воздушного охлаждения Гном «Моносупап-В» мощностью 100 л.с. установлен между крыльями подобно самолету М-4;</w:t>
      </w:r>
    </w:p>
    <w:p w14:paraId="78A798D8" w14:textId="77777777" w:rsidR="008102F8" w:rsidRPr="00DE096C" w:rsidRDefault="008102F8" w:rsidP="00D45A46">
      <w:pPr>
        <w:jc w:val="both"/>
        <w:rPr>
          <w:bCs/>
          <w:color w:val="002060"/>
          <w:sz w:val="16"/>
          <w:szCs w:val="16"/>
        </w:rPr>
      </w:pPr>
      <w:r w:rsidRPr="00DE096C">
        <w:rPr>
          <w:bCs/>
          <w:color w:val="002060"/>
          <w:sz w:val="16"/>
          <w:szCs w:val="16"/>
        </w:rPr>
        <w:t>- воздушный винт двухлопастный толкающий деревянный (вероятнее всего, в проекте предусмотрен французский Шавье «Интеграл», который выпускался и в России);</w:t>
      </w:r>
    </w:p>
    <w:p w14:paraId="509F9F10" w14:textId="77777777" w:rsidR="008102F8" w:rsidRPr="00DE096C" w:rsidRDefault="008102F8" w:rsidP="00D45A46">
      <w:pPr>
        <w:jc w:val="both"/>
        <w:rPr>
          <w:bCs/>
          <w:color w:val="002060"/>
          <w:sz w:val="16"/>
          <w:szCs w:val="16"/>
        </w:rPr>
      </w:pPr>
      <w:r w:rsidRPr="00DE096C">
        <w:rPr>
          <w:bCs/>
          <w:color w:val="002060"/>
          <w:sz w:val="16"/>
          <w:szCs w:val="16"/>
        </w:rPr>
        <w:t>- мотор крепится через хвостовик своего неподвижного коленвала к задним А-образным стойкам «кабана» бипланной коробки крыльев, а вращающимся валом винта через подшипник – к раме, крепящейся за этой стойкой наклонно назад и состоящей из двух подкосов и двух продольных труб;</w:t>
      </w:r>
    </w:p>
    <w:p w14:paraId="16A607C0" w14:textId="77777777" w:rsidR="008102F8" w:rsidRPr="00DE096C" w:rsidRDefault="008102F8" w:rsidP="00D45A46">
      <w:pPr>
        <w:jc w:val="both"/>
        <w:rPr>
          <w:bCs/>
          <w:color w:val="002060"/>
          <w:sz w:val="16"/>
          <w:szCs w:val="16"/>
        </w:rPr>
      </w:pPr>
      <w:r w:rsidRPr="00DE096C">
        <w:rPr>
          <w:bCs/>
          <w:color w:val="002060"/>
          <w:sz w:val="16"/>
          <w:szCs w:val="16"/>
        </w:rPr>
        <w:t>- запуск мотора – заводной рукояткой, насаженной на вал, проходящий под валом крепления мотора и соединенный с его подвижным картером зубчатой передачей;</w:t>
      </w:r>
    </w:p>
    <w:p w14:paraId="7A84098B" w14:textId="77777777" w:rsidR="008102F8" w:rsidRPr="00DE096C" w:rsidRDefault="008102F8" w:rsidP="00D45A46">
      <w:pPr>
        <w:jc w:val="both"/>
        <w:rPr>
          <w:bCs/>
          <w:color w:val="002060"/>
          <w:sz w:val="16"/>
          <w:szCs w:val="16"/>
        </w:rPr>
      </w:pPr>
      <w:r w:rsidRPr="00DE096C">
        <w:rPr>
          <w:bCs/>
          <w:color w:val="002060"/>
          <w:sz w:val="16"/>
          <w:szCs w:val="16"/>
        </w:rPr>
        <w:t>- топливо подается насосом из основного бака за сиденьем летчиков в фюзеляже в расходный бак под верхним крылом, откуда в мотор идет самотеком;</w:t>
      </w:r>
    </w:p>
    <w:p w14:paraId="366F0D90" w14:textId="77777777" w:rsidR="008102F8" w:rsidRPr="00DE096C" w:rsidRDefault="008102F8" w:rsidP="00D45A46">
      <w:pPr>
        <w:jc w:val="both"/>
        <w:rPr>
          <w:bCs/>
          <w:color w:val="002060"/>
          <w:sz w:val="16"/>
          <w:szCs w:val="16"/>
        </w:rPr>
      </w:pPr>
      <w:r w:rsidRPr="00DE096C">
        <w:rPr>
          <w:bCs/>
          <w:color w:val="002060"/>
          <w:sz w:val="16"/>
          <w:szCs w:val="16"/>
        </w:rPr>
        <w:t>- баки паянные латунные;</w:t>
      </w:r>
    </w:p>
    <w:p w14:paraId="5D680EB9" w14:textId="77777777" w:rsidR="008102F8" w:rsidRPr="00DE096C" w:rsidRDefault="008102F8" w:rsidP="00D45A46">
      <w:pPr>
        <w:jc w:val="both"/>
        <w:rPr>
          <w:bCs/>
          <w:color w:val="002060"/>
          <w:sz w:val="16"/>
          <w:szCs w:val="16"/>
        </w:rPr>
      </w:pPr>
      <w:r w:rsidRPr="00DE096C">
        <w:rPr>
          <w:bCs/>
          <w:color w:val="002060"/>
          <w:sz w:val="16"/>
          <w:szCs w:val="16"/>
        </w:rPr>
        <w:t>- система дренажа – в расходном баке, через который выполняется и наддув основного.</w:t>
      </w:r>
    </w:p>
    <w:p w14:paraId="7C09BEFF" w14:textId="77777777" w:rsidR="008102F8" w:rsidRPr="00DE096C" w:rsidRDefault="008102F8" w:rsidP="00D45A46">
      <w:pPr>
        <w:jc w:val="both"/>
        <w:rPr>
          <w:bCs/>
          <w:color w:val="002060"/>
          <w:sz w:val="16"/>
          <w:szCs w:val="16"/>
        </w:rPr>
      </w:pPr>
      <w:r w:rsidRPr="00DE096C">
        <w:rPr>
          <w:bCs/>
          <w:color w:val="002060"/>
          <w:sz w:val="16"/>
          <w:szCs w:val="16"/>
        </w:rPr>
        <w:t>Бипланная коробка крыльев:</w:t>
      </w:r>
    </w:p>
    <w:p w14:paraId="1CF13D24" w14:textId="77777777" w:rsidR="008102F8" w:rsidRPr="00DE096C" w:rsidRDefault="008102F8" w:rsidP="00D45A46">
      <w:pPr>
        <w:jc w:val="both"/>
        <w:rPr>
          <w:bCs/>
          <w:color w:val="002060"/>
          <w:sz w:val="16"/>
          <w:szCs w:val="16"/>
        </w:rPr>
      </w:pPr>
      <w:r w:rsidRPr="00DE096C">
        <w:rPr>
          <w:bCs/>
          <w:color w:val="002060"/>
          <w:sz w:val="16"/>
          <w:szCs w:val="16"/>
        </w:rPr>
        <w:t>- трехстоечная (не считая центрального «кабана», внешние стойки наклоннные) с незначительным выносом верхнего крыла (только за счет меньших хорд нижнего);</w:t>
      </w:r>
    </w:p>
    <w:p w14:paraId="6DC35555" w14:textId="77777777" w:rsidR="008102F8" w:rsidRPr="00DE096C" w:rsidRDefault="008102F8" w:rsidP="00D45A46">
      <w:pPr>
        <w:jc w:val="both"/>
        <w:rPr>
          <w:bCs/>
          <w:color w:val="002060"/>
          <w:sz w:val="16"/>
          <w:szCs w:val="16"/>
        </w:rPr>
      </w:pPr>
      <w:r w:rsidRPr="00DE096C">
        <w:rPr>
          <w:bCs/>
          <w:color w:val="002060"/>
          <w:sz w:val="16"/>
          <w:szCs w:val="16"/>
        </w:rPr>
        <w:t>- профили крыльев, как и на предыдущих самолетах Григоровича, тонкие выпукло-вогнутые, однако снова новые – он отличался от примененного на всех предыдущих летающих лодках Григоровича, толщина его на базовом крыле между вырезом под винт и элеронами 4%, в зоне выреза относительная толщина больше, а по законцовкам – наоборот меньше;</w:t>
      </w:r>
    </w:p>
    <w:p w14:paraId="79AD941D" w14:textId="77777777" w:rsidR="008102F8" w:rsidRPr="00DE096C" w:rsidRDefault="008102F8" w:rsidP="00D45A46">
      <w:pPr>
        <w:jc w:val="both"/>
        <w:rPr>
          <w:bCs/>
          <w:color w:val="002060"/>
          <w:sz w:val="16"/>
          <w:szCs w:val="16"/>
        </w:rPr>
      </w:pPr>
      <w:r w:rsidRPr="00DE096C">
        <w:rPr>
          <w:bCs/>
          <w:color w:val="002060"/>
          <w:sz w:val="16"/>
          <w:szCs w:val="16"/>
        </w:rPr>
        <w:t>- углы установки крыльев положительные одинаковые;</w:t>
      </w:r>
    </w:p>
    <w:p w14:paraId="13180EA7" w14:textId="77777777" w:rsidR="008102F8" w:rsidRPr="00DE096C" w:rsidRDefault="008102F8" w:rsidP="00D45A46">
      <w:pPr>
        <w:jc w:val="both"/>
        <w:rPr>
          <w:bCs/>
          <w:color w:val="002060"/>
          <w:sz w:val="16"/>
          <w:szCs w:val="16"/>
        </w:rPr>
      </w:pPr>
      <w:r w:rsidRPr="00DE096C">
        <w:rPr>
          <w:bCs/>
          <w:color w:val="002060"/>
          <w:sz w:val="16"/>
          <w:szCs w:val="16"/>
        </w:rPr>
        <w:t>- поперечного V на нижнем крыле и на основной части верхнего нет, но путем подбора длин внешних стоек и растяжек концевым частям верхнего крыла придан положительный угол поперечного V (при этом лонжероны и стенки по-прежнему делались прямыми, они легко изгибались при сборке, не трескаясь), этим самолет сделан устойчивее при выполнении виражей, проще и безопаснее в пилотировании, что было важно при использовании его в учебных целях;</w:t>
      </w:r>
    </w:p>
    <w:p w14:paraId="1CF6E8B9" w14:textId="77777777" w:rsidR="008102F8" w:rsidRPr="00DE096C" w:rsidRDefault="008102F8" w:rsidP="00D45A46">
      <w:pPr>
        <w:jc w:val="both"/>
        <w:rPr>
          <w:bCs/>
          <w:color w:val="002060"/>
          <w:sz w:val="16"/>
          <w:szCs w:val="16"/>
        </w:rPr>
      </w:pPr>
      <w:r w:rsidRPr="00DE096C">
        <w:rPr>
          <w:bCs/>
          <w:color w:val="002060"/>
          <w:sz w:val="16"/>
          <w:szCs w:val="16"/>
        </w:rPr>
        <w:t>- как и на предыдущих летающих лодках Григоровича, консоли верхнего и нижнего крыльев имеют подобную трапециевидную форму с незначительным обратным сужением и небольшой прямой стреловидностью по кромкам, за исключением вырезов под воздушный винт и зоны элеронов (они – только на верхнем крыле), хорды которых больше расширяются к законцовкам, углы в законцовках по передним кромкам скруглены, а по задним кромкам подрезаны;</w:t>
      </w:r>
    </w:p>
    <w:p w14:paraId="474AC2B2" w14:textId="77777777" w:rsidR="008102F8" w:rsidRPr="00DE096C" w:rsidRDefault="008102F8" w:rsidP="00D45A46">
      <w:pPr>
        <w:jc w:val="both"/>
        <w:rPr>
          <w:bCs/>
          <w:color w:val="002060"/>
          <w:sz w:val="16"/>
          <w:szCs w:val="16"/>
        </w:rPr>
      </w:pPr>
      <w:r w:rsidRPr="00DE096C">
        <w:rPr>
          <w:bCs/>
          <w:color w:val="002060"/>
          <w:sz w:val="16"/>
          <w:szCs w:val="16"/>
        </w:rPr>
        <w:t>- вырезы в верхнем для обеспечения зазора с диском воздушного винта и нижнем крыльях сделаны с радиусами (на М-2 вырез был только в верхнем крыле и несколько отличался размерами);</w:t>
      </w:r>
    </w:p>
    <w:p w14:paraId="1A1BF711" w14:textId="77777777" w:rsidR="008102F8" w:rsidRPr="00DE096C" w:rsidRDefault="008102F8" w:rsidP="00D45A46">
      <w:pPr>
        <w:jc w:val="both"/>
        <w:rPr>
          <w:bCs/>
          <w:color w:val="002060"/>
          <w:sz w:val="16"/>
          <w:szCs w:val="16"/>
        </w:rPr>
      </w:pPr>
      <w:r w:rsidRPr="00DE096C">
        <w:rPr>
          <w:bCs/>
          <w:color w:val="002060"/>
          <w:sz w:val="16"/>
          <w:szCs w:val="16"/>
        </w:rPr>
        <w:t>- верхнее и нижнее крылья состоят каждое из двух консолей, которые имеют подобную конструкцию за исключением указанных выше мест;</w:t>
      </w:r>
    </w:p>
    <w:p w14:paraId="3DE1F6D5" w14:textId="77777777" w:rsidR="008102F8" w:rsidRPr="00DE096C" w:rsidRDefault="008102F8" w:rsidP="00D45A46">
      <w:pPr>
        <w:jc w:val="both"/>
        <w:rPr>
          <w:bCs/>
          <w:color w:val="002060"/>
          <w:sz w:val="16"/>
          <w:szCs w:val="16"/>
        </w:rPr>
      </w:pPr>
      <w:r w:rsidRPr="00DE096C">
        <w:rPr>
          <w:bCs/>
          <w:color w:val="002060"/>
          <w:sz w:val="16"/>
          <w:szCs w:val="16"/>
        </w:rPr>
        <w:t>- силовой набор консоли крыла подобен предыдущим летающим лодкам Григоровича и состоит из двух лонжеронов, реек по ПК и законцовкам, нервюр, а также внутренних раскосов;</w:t>
      </w:r>
    </w:p>
    <w:p w14:paraId="20C710F0" w14:textId="77777777" w:rsidR="008102F8" w:rsidRPr="00DE096C" w:rsidRDefault="008102F8" w:rsidP="00D45A46">
      <w:pPr>
        <w:jc w:val="both"/>
        <w:rPr>
          <w:bCs/>
          <w:color w:val="002060"/>
          <w:sz w:val="16"/>
          <w:szCs w:val="16"/>
        </w:rPr>
      </w:pPr>
      <w:r w:rsidRPr="00DE096C">
        <w:rPr>
          <w:bCs/>
          <w:color w:val="002060"/>
          <w:sz w:val="16"/>
          <w:szCs w:val="16"/>
        </w:rPr>
        <w:t>- лонжероны и стенки консолей расположены параллельно кромкам, в средней части между консолями представляют собой брусья квадратного сечения, в консольных частях – двутавры (в местах установки элеронов – тавры), состоящие из фанерных стенок с отверстиями облегчения и поясов из широких ясеневых реек, стенки – двутаврового сечения;</w:t>
      </w:r>
    </w:p>
    <w:p w14:paraId="0FE18C93" w14:textId="77777777" w:rsidR="008102F8" w:rsidRPr="00DE096C" w:rsidRDefault="008102F8" w:rsidP="00D45A46">
      <w:pPr>
        <w:jc w:val="both"/>
        <w:rPr>
          <w:bCs/>
          <w:color w:val="002060"/>
          <w:sz w:val="16"/>
          <w:szCs w:val="16"/>
        </w:rPr>
      </w:pPr>
      <w:r w:rsidRPr="00DE096C">
        <w:rPr>
          <w:bCs/>
          <w:color w:val="002060"/>
          <w:sz w:val="16"/>
          <w:szCs w:val="16"/>
        </w:rPr>
        <w:t>- обшивка и задние кромки крыльев – такие же, как на предыдущих самолетах Григоровича, швы между верхними и нижними полотнищами обшивок сделаны по тонким канатикам, пущенным по хвостикам нервюр;</w:t>
      </w:r>
    </w:p>
    <w:p w14:paraId="5ADA9E85" w14:textId="77777777" w:rsidR="008102F8" w:rsidRPr="00DE096C" w:rsidRDefault="008102F8" w:rsidP="00D45A46">
      <w:pPr>
        <w:jc w:val="both"/>
        <w:rPr>
          <w:bCs/>
          <w:color w:val="002060"/>
          <w:sz w:val="16"/>
          <w:szCs w:val="16"/>
        </w:rPr>
      </w:pPr>
      <w:r w:rsidRPr="00DE096C">
        <w:rPr>
          <w:bCs/>
          <w:color w:val="002060"/>
          <w:sz w:val="16"/>
          <w:szCs w:val="16"/>
        </w:rPr>
        <w:t>- нервюры крыльев установлены по потоку, состоят из носовых, средних (межлонжеронных) и концевых частей, которые в свою очередь изготовлены из фанерных стенок толщиной 5 мм с круглыми отверстиями облегчения и поясов из ясеневых реек сечением 5х20 мм (высота х ширина);</w:t>
      </w:r>
    </w:p>
    <w:p w14:paraId="10003A39" w14:textId="77777777" w:rsidR="008102F8" w:rsidRPr="00DE096C" w:rsidRDefault="008102F8" w:rsidP="00D45A46">
      <w:pPr>
        <w:jc w:val="both"/>
        <w:rPr>
          <w:bCs/>
          <w:color w:val="002060"/>
          <w:sz w:val="16"/>
          <w:szCs w:val="16"/>
        </w:rPr>
      </w:pPr>
      <w:r w:rsidRPr="00DE096C">
        <w:rPr>
          <w:bCs/>
          <w:color w:val="002060"/>
          <w:sz w:val="16"/>
          <w:szCs w:val="16"/>
        </w:rPr>
        <w:t>- консоли крыльев стыкуются по лонжеронам надетыми на них трубами так, что между ними оставался зазор (на верхнем крыле он был небольшой и зашивался, а на нижнем был меньше ширины фюзеляжа и был открытым);</w:t>
      </w:r>
    </w:p>
    <w:p w14:paraId="73C65161" w14:textId="77777777" w:rsidR="008102F8" w:rsidRPr="00DE096C" w:rsidRDefault="008102F8" w:rsidP="00D45A46">
      <w:pPr>
        <w:jc w:val="both"/>
        <w:rPr>
          <w:bCs/>
          <w:color w:val="002060"/>
          <w:sz w:val="16"/>
          <w:szCs w:val="16"/>
        </w:rPr>
      </w:pPr>
      <w:r w:rsidRPr="00DE096C">
        <w:rPr>
          <w:bCs/>
          <w:color w:val="002060"/>
          <w:sz w:val="16"/>
          <w:szCs w:val="16"/>
        </w:rPr>
        <w:t>- в средней части крылья соединяются между собой кабаном из двух A-образных стоек, соединенных продольными стержнями;</w:t>
      </w:r>
    </w:p>
    <w:p w14:paraId="1A2CEAAE" w14:textId="77777777" w:rsidR="008102F8" w:rsidRPr="00DE096C" w:rsidRDefault="008102F8" w:rsidP="00D45A46">
      <w:pPr>
        <w:jc w:val="both"/>
        <w:rPr>
          <w:bCs/>
          <w:color w:val="002060"/>
          <w:sz w:val="16"/>
          <w:szCs w:val="16"/>
        </w:rPr>
      </w:pPr>
      <w:r w:rsidRPr="00DE096C">
        <w:rPr>
          <w:bCs/>
          <w:color w:val="002060"/>
          <w:sz w:val="16"/>
          <w:szCs w:val="16"/>
        </w:rPr>
        <w:t>- жесткость консолей крыла обеспечена внутренними растяжками, натянутыми в плоскости их хорд Х-образно, их крепления – как на предыдущих самолетах Григоровича;</w:t>
      </w:r>
    </w:p>
    <w:p w14:paraId="4833D32D" w14:textId="77777777" w:rsidR="008102F8" w:rsidRPr="00DE096C" w:rsidRDefault="008102F8" w:rsidP="00D45A46">
      <w:pPr>
        <w:jc w:val="both"/>
        <w:rPr>
          <w:bCs/>
          <w:color w:val="002060"/>
          <w:sz w:val="16"/>
          <w:szCs w:val="16"/>
        </w:rPr>
      </w:pPr>
      <w:r w:rsidRPr="00DE096C">
        <w:rPr>
          <w:bCs/>
          <w:color w:val="002060"/>
          <w:sz w:val="16"/>
          <w:szCs w:val="16"/>
        </w:rPr>
        <w:t>- по консолям крылья соединяются между собой двумя парными II-образными стойками с каждой стороны от ПСС и двумя парными II-образными подкосами по законцовкам консолей;</w:t>
      </w:r>
    </w:p>
    <w:p w14:paraId="07394782" w14:textId="77777777" w:rsidR="008102F8" w:rsidRPr="00DE096C" w:rsidRDefault="008102F8" w:rsidP="00D45A46">
      <w:pPr>
        <w:jc w:val="both"/>
        <w:rPr>
          <w:bCs/>
          <w:color w:val="002060"/>
          <w:sz w:val="16"/>
          <w:szCs w:val="16"/>
        </w:rPr>
      </w:pPr>
      <w:r w:rsidRPr="00DE096C">
        <w:rPr>
          <w:bCs/>
          <w:color w:val="002060"/>
          <w:sz w:val="16"/>
          <w:szCs w:val="16"/>
        </w:rPr>
        <w:t>- бипланная коробка крыльев в сборе крепится к фюзеляжу безмоментными узлами на четырех концах А-образных стоек «кабана» и подкосов мотоустановки так, что трубчатые концы лонжеронов нижних консолей ложатся непосредственно на верхнюю обшивку средней части лодки, при этом они не смыкаются друг с другом, а изгибающий момент воспринимает пространственная рама, состоящая из силовых шпангоутов лодки, стоек «кабана» и бипланной коробки в целом;</w:t>
      </w:r>
    </w:p>
    <w:p w14:paraId="3B78F7C1" w14:textId="77777777" w:rsidR="008102F8" w:rsidRPr="00DE096C" w:rsidRDefault="008102F8" w:rsidP="00D45A46">
      <w:pPr>
        <w:jc w:val="both"/>
        <w:rPr>
          <w:bCs/>
          <w:color w:val="002060"/>
          <w:sz w:val="16"/>
          <w:szCs w:val="16"/>
        </w:rPr>
      </w:pPr>
      <w:r w:rsidRPr="00DE096C">
        <w:rPr>
          <w:bCs/>
          <w:color w:val="002060"/>
          <w:sz w:val="16"/>
          <w:szCs w:val="16"/>
        </w:rPr>
        <w:t>- жесткость бипланной коробки крыльев и ее установки на фюзеляж обеспечена сложной системой растяжек, которые проложены в продольной и поперечной плоскостях и выходят и на верхнюю поверхность крыла с помощью шпренгелей, однако, в отличие от предыдущих самолетов, для них сделаны четыре легких коротких одиночных стойки над верхним крылом вместо двух высоких и тяжелых в виде перевернутой буквы V, соответственно изменена и прокладка шпренгельных растяжек, которые теперь стали значительно короче и идут только вдоль нервюр, работая исключительно на восприятие крутящего момента на концах крыла от сил на элеронах;</w:t>
      </w:r>
    </w:p>
    <w:p w14:paraId="2AC5836D" w14:textId="77777777" w:rsidR="008102F8" w:rsidRPr="00DE096C" w:rsidRDefault="008102F8" w:rsidP="00D45A46">
      <w:pPr>
        <w:jc w:val="both"/>
        <w:rPr>
          <w:bCs/>
          <w:color w:val="002060"/>
          <w:sz w:val="16"/>
          <w:szCs w:val="16"/>
        </w:rPr>
      </w:pPr>
      <w:r w:rsidRPr="00DE096C">
        <w:rPr>
          <w:bCs/>
          <w:color w:val="002060"/>
          <w:sz w:val="16"/>
          <w:szCs w:val="16"/>
        </w:rPr>
        <w:t>- на консолях верхнего крыла от коревых нервюр и до нервюр, ограничивающих вырезы под элероны, пущены дополнительные стенки;</w:t>
      </w:r>
    </w:p>
    <w:p w14:paraId="764FBE0B" w14:textId="77777777" w:rsidR="008102F8" w:rsidRPr="00DE096C" w:rsidRDefault="008102F8" w:rsidP="00D45A46">
      <w:pPr>
        <w:jc w:val="both"/>
        <w:rPr>
          <w:bCs/>
          <w:color w:val="002060"/>
          <w:sz w:val="16"/>
          <w:szCs w:val="16"/>
        </w:rPr>
      </w:pPr>
      <w:r w:rsidRPr="00DE096C">
        <w:rPr>
          <w:bCs/>
          <w:color w:val="002060"/>
          <w:sz w:val="16"/>
          <w:szCs w:val="16"/>
        </w:rPr>
        <w:t>- силовой набор элеронов состоит из лонжерона, продольной стенки, полных и неполных нервюр, а также раскосов.</w:t>
      </w:r>
    </w:p>
    <w:p w14:paraId="6C3A96D7" w14:textId="77777777" w:rsidR="008102F8" w:rsidRPr="00DE096C" w:rsidRDefault="008102F8" w:rsidP="00D45A46">
      <w:pPr>
        <w:jc w:val="both"/>
        <w:rPr>
          <w:bCs/>
          <w:color w:val="002060"/>
          <w:sz w:val="16"/>
          <w:szCs w:val="16"/>
        </w:rPr>
      </w:pPr>
      <w:r w:rsidRPr="00DE096C">
        <w:rPr>
          <w:bCs/>
          <w:color w:val="002060"/>
          <w:sz w:val="16"/>
          <w:szCs w:val="16"/>
        </w:rPr>
        <w:t>Фюзеляж:</w:t>
      </w:r>
    </w:p>
    <w:p w14:paraId="1EB9B736" w14:textId="77777777" w:rsidR="008102F8" w:rsidRPr="00DE096C" w:rsidRDefault="008102F8" w:rsidP="00D45A46">
      <w:pPr>
        <w:jc w:val="both"/>
        <w:rPr>
          <w:bCs/>
          <w:color w:val="002060"/>
          <w:sz w:val="16"/>
          <w:szCs w:val="16"/>
        </w:rPr>
      </w:pPr>
      <w:r w:rsidRPr="00DE096C">
        <w:rPr>
          <w:bCs/>
          <w:color w:val="002060"/>
          <w:sz w:val="16"/>
          <w:szCs w:val="16"/>
        </w:rPr>
        <w:t>- фюзеляж лодочного типа сделан подобно самолету М-4, но его строительная высота в средней части увеличена примерно на 100 мм, а тонкая его хвостовая оконечность ее балки отогнута вверх, чтобы отдалить оперение от воды;</w:t>
      </w:r>
    </w:p>
    <w:p w14:paraId="55B644E5" w14:textId="77777777" w:rsidR="008102F8" w:rsidRPr="00DE096C" w:rsidRDefault="008102F8" w:rsidP="00D45A46">
      <w:pPr>
        <w:jc w:val="both"/>
        <w:rPr>
          <w:bCs/>
          <w:color w:val="002060"/>
          <w:sz w:val="16"/>
          <w:szCs w:val="16"/>
        </w:rPr>
      </w:pPr>
      <w:r w:rsidRPr="00DE096C">
        <w:rPr>
          <w:bCs/>
          <w:color w:val="002060"/>
          <w:sz w:val="16"/>
          <w:szCs w:val="16"/>
        </w:rPr>
        <w:t>- лодка в носовой части слабокилеватая с острыми скулами, от кабины до редана форма днища вогнутая, как на М-4, но менее выраженно;</w:t>
      </w:r>
    </w:p>
    <w:p w14:paraId="4C7DDA76" w14:textId="77777777" w:rsidR="008102F8" w:rsidRPr="00DE096C" w:rsidRDefault="008102F8" w:rsidP="00D45A46">
      <w:pPr>
        <w:jc w:val="both"/>
        <w:rPr>
          <w:bCs/>
          <w:color w:val="002060"/>
          <w:sz w:val="16"/>
          <w:szCs w:val="16"/>
        </w:rPr>
      </w:pPr>
      <w:r w:rsidRPr="00DE096C">
        <w:rPr>
          <w:bCs/>
          <w:color w:val="002060"/>
          <w:sz w:val="16"/>
          <w:szCs w:val="16"/>
        </w:rPr>
        <w:t>- лодка имеет один редан, расположенный примерно под прямым углом к СГФ, в носовой части, его высота по сравнению с М-4 уменьшена до 70 мм по ПСС и 140 мм по бортам;</w:t>
      </w:r>
    </w:p>
    <w:p w14:paraId="1332AF78" w14:textId="77777777" w:rsidR="008102F8" w:rsidRPr="00DE096C" w:rsidRDefault="008102F8" w:rsidP="00D45A46">
      <w:pPr>
        <w:jc w:val="both"/>
        <w:rPr>
          <w:bCs/>
          <w:color w:val="002060"/>
          <w:sz w:val="16"/>
          <w:szCs w:val="16"/>
        </w:rPr>
      </w:pPr>
      <w:r w:rsidRPr="00DE096C">
        <w:rPr>
          <w:bCs/>
          <w:color w:val="002060"/>
          <w:sz w:val="16"/>
          <w:szCs w:val="16"/>
        </w:rPr>
        <w:t>- хвостовая часть сразу за реданом плоская, но дальше также слабокилеватая;</w:t>
      </w:r>
    </w:p>
    <w:p w14:paraId="1A8256D4" w14:textId="77777777" w:rsidR="008102F8" w:rsidRPr="00DE096C" w:rsidRDefault="008102F8" w:rsidP="00D45A46">
      <w:pPr>
        <w:jc w:val="both"/>
        <w:rPr>
          <w:bCs/>
          <w:color w:val="002060"/>
          <w:sz w:val="16"/>
          <w:szCs w:val="16"/>
        </w:rPr>
      </w:pPr>
      <w:r w:rsidRPr="00DE096C">
        <w:rPr>
          <w:bCs/>
          <w:color w:val="002060"/>
          <w:sz w:val="16"/>
          <w:szCs w:val="16"/>
        </w:rPr>
        <w:t>- верхняя палуба корпуса имеет незначительно выпуклые конические обводы, что улучшило его аэродинамику и обеспечило быстрое скатывание воды при захлестывании корпуса волной;</w:t>
      </w:r>
    </w:p>
    <w:p w14:paraId="1549BA64" w14:textId="77777777" w:rsidR="008102F8" w:rsidRPr="00DE096C" w:rsidRDefault="008102F8" w:rsidP="00D45A46">
      <w:pPr>
        <w:jc w:val="both"/>
        <w:rPr>
          <w:bCs/>
          <w:color w:val="002060"/>
          <w:sz w:val="16"/>
          <w:szCs w:val="16"/>
        </w:rPr>
      </w:pPr>
      <w:r w:rsidRPr="00DE096C">
        <w:rPr>
          <w:bCs/>
          <w:color w:val="002060"/>
          <w:sz w:val="16"/>
          <w:szCs w:val="16"/>
        </w:rPr>
        <w:t>- силовой набор состоит из пяти продольных бимсов и также пяти в хвостовой частях, вертикальных и раскосных шпангоутов, а также работающей обшивки (в расчет прочности она не включалась, тем не менее, воспринимала все нагрузки своими касательными напряжениями, значительно увеличивая прочность лодки, как это было в деревянных судах, например, шлюпках);</w:t>
      </w:r>
    </w:p>
    <w:p w14:paraId="48804AB8" w14:textId="77777777" w:rsidR="008102F8" w:rsidRPr="00DE096C" w:rsidRDefault="008102F8" w:rsidP="00D45A46">
      <w:pPr>
        <w:jc w:val="both"/>
        <w:rPr>
          <w:bCs/>
          <w:color w:val="002060"/>
          <w:sz w:val="16"/>
          <w:szCs w:val="16"/>
        </w:rPr>
      </w:pPr>
      <w:r w:rsidRPr="00DE096C">
        <w:rPr>
          <w:bCs/>
          <w:color w:val="002060"/>
          <w:sz w:val="16"/>
          <w:szCs w:val="16"/>
        </w:rPr>
        <w:t>- толщина фанеры обшивки лодки 3 мм по палубе и бортам, 5 или 6 мм, по днищу 10 мм;</w:t>
      </w:r>
    </w:p>
    <w:p w14:paraId="7CBF5E1D" w14:textId="77777777" w:rsidR="008102F8" w:rsidRPr="00DE096C" w:rsidRDefault="008102F8" w:rsidP="00D45A46">
      <w:pPr>
        <w:jc w:val="both"/>
        <w:rPr>
          <w:bCs/>
          <w:color w:val="002060"/>
          <w:sz w:val="16"/>
          <w:szCs w:val="16"/>
        </w:rPr>
      </w:pPr>
      <w:r w:rsidRPr="00DE096C">
        <w:rPr>
          <w:bCs/>
          <w:color w:val="002060"/>
          <w:sz w:val="16"/>
          <w:szCs w:val="16"/>
        </w:rPr>
        <w:t>- шпангоуты изготавливаются из отдельных брусков – они заводятся в стапель по его рубильникам, обрезаются по месту и соединяются кницами;</w:t>
      </w:r>
    </w:p>
    <w:p w14:paraId="548A869B" w14:textId="77777777" w:rsidR="008102F8" w:rsidRPr="00DE096C" w:rsidRDefault="008102F8" w:rsidP="00D45A46">
      <w:pPr>
        <w:jc w:val="both"/>
        <w:rPr>
          <w:bCs/>
          <w:color w:val="002060"/>
          <w:sz w:val="16"/>
          <w:szCs w:val="16"/>
        </w:rPr>
      </w:pPr>
      <w:r w:rsidRPr="00DE096C">
        <w:rPr>
          <w:bCs/>
          <w:color w:val="002060"/>
          <w:sz w:val="16"/>
          <w:szCs w:val="16"/>
        </w:rPr>
        <w:t>- в нижней части лодки у редана под прямым углом к ПСС установлена труба для монтажа лыжного шасси по типу самолета М-2;</w:t>
      </w:r>
    </w:p>
    <w:p w14:paraId="615ABCC0" w14:textId="77777777" w:rsidR="008102F8" w:rsidRPr="00DE096C" w:rsidRDefault="008102F8" w:rsidP="00D45A46">
      <w:pPr>
        <w:jc w:val="both"/>
        <w:rPr>
          <w:bCs/>
          <w:color w:val="002060"/>
          <w:sz w:val="16"/>
          <w:szCs w:val="16"/>
        </w:rPr>
      </w:pPr>
      <w:r w:rsidRPr="00DE096C">
        <w:rPr>
          <w:bCs/>
          <w:color w:val="002060"/>
          <w:sz w:val="16"/>
          <w:szCs w:val="16"/>
        </w:rPr>
        <w:t>- лодка собирается как единый агрегат;</w:t>
      </w:r>
    </w:p>
    <w:p w14:paraId="710806C9" w14:textId="77777777" w:rsidR="008102F8" w:rsidRPr="00DE096C" w:rsidRDefault="008102F8" w:rsidP="00D45A46">
      <w:pPr>
        <w:jc w:val="both"/>
        <w:rPr>
          <w:bCs/>
          <w:color w:val="002060"/>
          <w:sz w:val="16"/>
          <w:szCs w:val="16"/>
        </w:rPr>
      </w:pPr>
      <w:r w:rsidRPr="00DE096C">
        <w:rPr>
          <w:bCs/>
          <w:color w:val="002060"/>
          <w:sz w:val="16"/>
          <w:szCs w:val="16"/>
        </w:rPr>
        <w:t>- сборка каркаса и обшивки – на свинцовых белилах вместо клея и латунных винтах, высоконагруженные места усилены кницами;</w:t>
      </w:r>
    </w:p>
    <w:p w14:paraId="5BF94295" w14:textId="77777777" w:rsidR="008102F8" w:rsidRPr="00DE096C" w:rsidRDefault="008102F8" w:rsidP="00D45A46">
      <w:pPr>
        <w:jc w:val="both"/>
        <w:rPr>
          <w:bCs/>
          <w:color w:val="002060"/>
          <w:sz w:val="16"/>
          <w:szCs w:val="16"/>
        </w:rPr>
      </w:pPr>
      <w:r w:rsidRPr="00DE096C">
        <w:rPr>
          <w:bCs/>
          <w:color w:val="002060"/>
          <w:sz w:val="16"/>
          <w:szCs w:val="16"/>
        </w:rPr>
        <w:t>- стыки промазываются свинцовыми белилами и «морским клеем» (см. конструкция самолета М-2), а в наиболее нагруженных прокладывалась лента из медной фольги толщиной 0,3 мм;</w:t>
      </w:r>
    </w:p>
    <w:p w14:paraId="047C27D2" w14:textId="77777777" w:rsidR="008102F8" w:rsidRPr="00DE096C" w:rsidRDefault="008102F8" w:rsidP="00D45A46">
      <w:pPr>
        <w:jc w:val="both"/>
        <w:rPr>
          <w:bCs/>
          <w:color w:val="002060"/>
          <w:sz w:val="16"/>
          <w:szCs w:val="16"/>
        </w:rPr>
      </w:pPr>
      <w:r w:rsidRPr="00DE096C">
        <w:rPr>
          <w:bCs/>
          <w:color w:val="002060"/>
          <w:sz w:val="16"/>
          <w:szCs w:val="16"/>
        </w:rPr>
        <w:lastRenderedPageBreak/>
        <w:t>- винтов было от 10 до 15 тысяч штук (точное число определялось по месту и необходимости) и на их установку отвертками требовалась работа бригады в течении нескольких дней (забивать винты молотком было категорически запрещено);</w:t>
      </w:r>
    </w:p>
    <w:p w14:paraId="2A106707" w14:textId="77777777" w:rsidR="008102F8" w:rsidRPr="00DE096C" w:rsidRDefault="008102F8" w:rsidP="00D45A46">
      <w:pPr>
        <w:jc w:val="both"/>
        <w:rPr>
          <w:bCs/>
          <w:color w:val="002060"/>
          <w:sz w:val="16"/>
          <w:szCs w:val="16"/>
        </w:rPr>
      </w:pPr>
      <w:r w:rsidRPr="00DE096C">
        <w:rPr>
          <w:bCs/>
          <w:color w:val="002060"/>
          <w:sz w:val="16"/>
          <w:szCs w:val="16"/>
        </w:rPr>
        <w:t>- внешняя поверхность лодки покрыта бесцветным лаком, внутренняя – олифой;</w:t>
      </w:r>
    </w:p>
    <w:p w14:paraId="524D32CF" w14:textId="77777777" w:rsidR="008102F8" w:rsidRPr="00DE096C" w:rsidRDefault="008102F8" w:rsidP="00D45A46">
      <w:pPr>
        <w:jc w:val="both"/>
        <w:rPr>
          <w:bCs/>
          <w:color w:val="002060"/>
          <w:sz w:val="16"/>
          <w:szCs w:val="16"/>
        </w:rPr>
      </w:pPr>
      <w:r w:rsidRPr="00DE096C">
        <w:rPr>
          <w:bCs/>
          <w:color w:val="002060"/>
          <w:sz w:val="16"/>
          <w:szCs w:val="16"/>
        </w:rPr>
        <w:t>- кабина экипажа открытая с размещением двух сидений бок о бок, что было удобно для прямого сообщения между летчиком и наблюдателем.</w:t>
      </w:r>
    </w:p>
    <w:p w14:paraId="76A32309" w14:textId="77777777" w:rsidR="008102F8" w:rsidRPr="00DE096C" w:rsidRDefault="008102F8" w:rsidP="00D45A46">
      <w:pPr>
        <w:jc w:val="both"/>
        <w:rPr>
          <w:bCs/>
          <w:color w:val="002060"/>
          <w:sz w:val="16"/>
          <w:szCs w:val="16"/>
        </w:rPr>
      </w:pPr>
      <w:r w:rsidRPr="00DE096C">
        <w:rPr>
          <w:bCs/>
          <w:color w:val="002060"/>
          <w:sz w:val="16"/>
          <w:szCs w:val="16"/>
        </w:rPr>
        <w:t>Оперение:</w:t>
      </w:r>
    </w:p>
    <w:p w14:paraId="6B84096D" w14:textId="77777777" w:rsidR="008102F8" w:rsidRPr="00DE096C" w:rsidRDefault="008102F8" w:rsidP="00D45A46">
      <w:pPr>
        <w:jc w:val="both"/>
        <w:rPr>
          <w:bCs/>
          <w:color w:val="002060"/>
          <w:sz w:val="16"/>
          <w:szCs w:val="16"/>
        </w:rPr>
      </w:pPr>
      <w:r w:rsidRPr="00DE096C">
        <w:rPr>
          <w:bCs/>
          <w:color w:val="002060"/>
          <w:sz w:val="16"/>
          <w:szCs w:val="16"/>
        </w:rPr>
        <w:t>- однокилевое, расположено на хвостовой части корпуса – лодки;</w:t>
      </w:r>
    </w:p>
    <w:p w14:paraId="436A8FDC" w14:textId="77777777" w:rsidR="008102F8" w:rsidRPr="00DE096C" w:rsidRDefault="008102F8" w:rsidP="00D45A46">
      <w:pPr>
        <w:jc w:val="both"/>
        <w:rPr>
          <w:bCs/>
          <w:color w:val="002060"/>
          <w:sz w:val="16"/>
          <w:szCs w:val="16"/>
        </w:rPr>
      </w:pPr>
      <w:r w:rsidRPr="00DE096C">
        <w:rPr>
          <w:bCs/>
          <w:color w:val="002060"/>
          <w:sz w:val="16"/>
          <w:szCs w:val="16"/>
        </w:rPr>
        <w:t>- профиль ГО и ВО плоский по неподвижным частям и клиновидный по рулям, радиусы кромок определены трубами и рейками каркаса;</w:t>
      </w:r>
    </w:p>
    <w:p w14:paraId="6A1DCF19" w14:textId="77777777" w:rsidR="008102F8" w:rsidRPr="00DE096C" w:rsidRDefault="008102F8" w:rsidP="00D45A46">
      <w:pPr>
        <w:jc w:val="both"/>
        <w:rPr>
          <w:bCs/>
          <w:color w:val="002060"/>
          <w:sz w:val="16"/>
          <w:szCs w:val="16"/>
        </w:rPr>
      </w:pPr>
      <w:r w:rsidRPr="00DE096C">
        <w:rPr>
          <w:bCs/>
          <w:color w:val="002060"/>
          <w:sz w:val="16"/>
          <w:szCs w:val="16"/>
        </w:rPr>
        <w:t>- ГО состоит из стабилизатора и РВ, его относительная площадь по сравнению с самолетом М-1 увеличена;</w:t>
      </w:r>
    </w:p>
    <w:p w14:paraId="149EECAB" w14:textId="77777777" w:rsidR="008102F8" w:rsidRPr="00DE096C" w:rsidRDefault="008102F8" w:rsidP="00D45A46">
      <w:pPr>
        <w:jc w:val="both"/>
        <w:rPr>
          <w:bCs/>
          <w:color w:val="002060"/>
          <w:sz w:val="16"/>
          <w:szCs w:val="16"/>
        </w:rPr>
      </w:pPr>
      <w:r w:rsidRPr="00DE096C">
        <w:rPr>
          <w:bCs/>
          <w:color w:val="002060"/>
          <w:sz w:val="16"/>
          <w:szCs w:val="16"/>
        </w:rPr>
        <w:t>- ГО трапециевидной в плане формы с треугольным вырезом в РВ для обеспечения поворота РН;</w:t>
      </w:r>
    </w:p>
    <w:p w14:paraId="2FEA15E4" w14:textId="77777777" w:rsidR="008102F8" w:rsidRPr="00DE096C" w:rsidRDefault="008102F8" w:rsidP="00D45A46">
      <w:pPr>
        <w:jc w:val="both"/>
        <w:rPr>
          <w:bCs/>
          <w:color w:val="002060"/>
          <w:sz w:val="16"/>
          <w:szCs w:val="16"/>
        </w:rPr>
      </w:pPr>
      <w:r w:rsidRPr="00DE096C">
        <w:rPr>
          <w:bCs/>
          <w:color w:val="002060"/>
          <w:sz w:val="16"/>
          <w:szCs w:val="16"/>
        </w:rPr>
        <w:t>- каркас стабилизатора деревянный, состоит из лонжерона, кромки, передний участок которой служит вспомогательным лонжероном, а концевые – нервюрами, а также нервюр, установленных по потоку;</w:t>
      </w:r>
    </w:p>
    <w:p w14:paraId="4256A764" w14:textId="77777777" w:rsidR="008102F8" w:rsidRPr="00DE096C" w:rsidRDefault="008102F8" w:rsidP="00D45A46">
      <w:pPr>
        <w:jc w:val="both"/>
        <w:rPr>
          <w:bCs/>
          <w:color w:val="002060"/>
          <w:sz w:val="16"/>
          <w:szCs w:val="16"/>
        </w:rPr>
      </w:pPr>
      <w:r w:rsidRPr="00DE096C">
        <w:rPr>
          <w:bCs/>
          <w:color w:val="002060"/>
          <w:sz w:val="16"/>
          <w:szCs w:val="16"/>
        </w:rPr>
        <w:t>- РВ состоит из двух половин, объединенных общим главным лонжероном, остальной каркас каждого пера РВ свой – кромка, вспомогательный лонжерон и нервюры, пущенные по потоку;</w:t>
      </w:r>
    </w:p>
    <w:p w14:paraId="11607FD2" w14:textId="77777777" w:rsidR="008102F8" w:rsidRPr="00DE096C" w:rsidRDefault="008102F8" w:rsidP="00D45A46">
      <w:pPr>
        <w:jc w:val="both"/>
        <w:rPr>
          <w:bCs/>
          <w:color w:val="002060"/>
          <w:sz w:val="16"/>
          <w:szCs w:val="16"/>
        </w:rPr>
      </w:pPr>
      <w:r w:rsidRPr="00DE096C">
        <w:rPr>
          <w:bCs/>
          <w:color w:val="002060"/>
          <w:sz w:val="16"/>
          <w:szCs w:val="16"/>
        </w:rPr>
        <w:t>- ВО состоит из киля и РН;</w:t>
      </w:r>
    </w:p>
    <w:p w14:paraId="3E14629F" w14:textId="77777777" w:rsidR="008102F8" w:rsidRPr="00DE096C" w:rsidRDefault="008102F8" w:rsidP="00D45A46">
      <w:pPr>
        <w:jc w:val="both"/>
        <w:rPr>
          <w:bCs/>
          <w:color w:val="002060"/>
          <w:sz w:val="16"/>
          <w:szCs w:val="16"/>
        </w:rPr>
      </w:pPr>
      <w:r w:rsidRPr="00DE096C">
        <w:rPr>
          <w:bCs/>
          <w:color w:val="002060"/>
          <w:sz w:val="16"/>
          <w:szCs w:val="16"/>
        </w:rPr>
        <w:t>- каркас киля треугольной в плане формы состоит из вертикального главного лонжерона по его задней кромке, вертикального вспомогательного лонжерона, находящегося под передней кромкой стабилизатора (его верхняя часть выступает за обвод киля и служит шпренгелем для растяжек оперения, косой передней кромки, двух прямых и трех косых нервюр;</w:t>
      </w:r>
    </w:p>
    <w:p w14:paraId="2F18449B" w14:textId="77777777" w:rsidR="008102F8" w:rsidRPr="00DE096C" w:rsidRDefault="008102F8" w:rsidP="00D45A46">
      <w:pPr>
        <w:jc w:val="both"/>
        <w:rPr>
          <w:bCs/>
          <w:color w:val="002060"/>
          <w:sz w:val="16"/>
          <w:szCs w:val="16"/>
        </w:rPr>
      </w:pPr>
      <w:r w:rsidRPr="00DE096C">
        <w:rPr>
          <w:bCs/>
          <w:color w:val="002060"/>
          <w:sz w:val="16"/>
          <w:szCs w:val="16"/>
        </w:rPr>
        <w:t>- каркас киля зашит полотняной обшивкой частично, так что он имеет вид треугольника, вертикальное основание которого является осью навески РН, а вершина обращена вперед и находится на уровне передней кромки стабилизатора (таким образом, между килем и ХЧФ есть большой незашитый проем, который также имеет треугольную форму, он снижает воздействие боковой волны на устойчивость движения лодки по воде);</w:t>
      </w:r>
    </w:p>
    <w:p w14:paraId="510CB5CA" w14:textId="77777777" w:rsidR="008102F8" w:rsidRPr="00DE096C" w:rsidRDefault="008102F8" w:rsidP="00D45A46">
      <w:pPr>
        <w:jc w:val="both"/>
        <w:rPr>
          <w:bCs/>
          <w:color w:val="002060"/>
          <w:sz w:val="16"/>
          <w:szCs w:val="16"/>
        </w:rPr>
      </w:pPr>
      <w:r w:rsidRPr="00DE096C">
        <w:rPr>
          <w:bCs/>
          <w:color w:val="002060"/>
          <w:sz w:val="16"/>
          <w:szCs w:val="16"/>
        </w:rPr>
        <w:t>- РН на виде в плане имеет форму деформированного параллелограмма с сильно скругленным верхним задним углом;</w:t>
      </w:r>
    </w:p>
    <w:p w14:paraId="6FA6EB29" w14:textId="77777777" w:rsidR="008102F8" w:rsidRPr="00DE096C" w:rsidRDefault="008102F8" w:rsidP="00D45A46">
      <w:pPr>
        <w:jc w:val="both"/>
        <w:rPr>
          <w:bCs/>
          <w:color w:val="002060"/>
          <w:sz w:val="16"/>
          <w:szCs w:val="16"/>
        </w:rPr>
      </w:pPr>
      <w:r w:rsidRPr="00DE096C">
        <w:rPr>
          <w:bCs/>
          <w:color w:val="002060"/>
          <w:sz w:val="16"/>
          <w:szCs w:val="16"/>
        </w:rPr>
        <w:t>- силовой набор РН состоит из главного и вспомогательного лонжеронов, шести пущенных по потоку нервюр и кромки;</w:t>
      </w:r>
    </w:p>
    <w:p w14:paraId="7198697F" w14:textId="77777777" w:rsidR="008102F8" w:rsidRPr="00DE096C" w:rsidRDefault="008102F8" w:rsidP="00D45A46">
      <w:pPr>
        <w:jc w:val="both"/>
        <w:rPr>
          <w:bCs/>
          <w:color w:val="002060"/>
          <w:sz w:val="16"/>
          <w:szCs w:val="16"/>
        </w:rPr>
      </w:pPr>
      <w:r w:rsidRPr="00DE096C">
        <w:rPr>
          <w:bCs/>
          <w:color w:val="002060"/>
          <w:sz w:val="16"/>
          <w:szCs w:val="16"/>
        </w:rPr>
        <w:t>- киль крепится лонжеронами к каркасу ХЧФ на безмоментных узлах (крепление их труб при этом работает на изгиб);</w:t>
      </w:r>
    </w:p>
    <w:p w14:paraId="7F1412A9" w14:textId="77777777" w:rsidR="008102F8" w:rsidRPr="00DE096C" w:rsidRDefault="008102F8" w:rsidP="00D45A46">
      <w:pPr>
        <w:jc w:val="both"/>
        <w:rPr>
          <w:bCs/>
          <w:color w:val="002060"/>
          <w:sz w:val="16"/>
          <w:szCs w:val="16"/>
        </w:rPr>
      </w:pPr>
      <w:r w:rsidRPr="00DE096C">
        <w:rPr>
          <w:bCs/>
          <w:color w:val="002060"/>
          <w:sz w:val="16"/>
          <w:szCs w:val="16"/>
        </w:rPr>
        <w:t>- стабилизатор крепится шарнирно передней кромкой к переднему лонжерону киля в зоне его верхней нервюры и задним лонжероном к винтовому подъемнику, который изменял угол его установки, а по консольным частям заднего лонжерона подкосами (по одному с каждой стороны от ПСС к хвостовой балке на безмоментных шарнирных узлах;</w:t>
      </w:r>
    </w:p>
    <w:p w14:paraId="401CE264" w14:textId="77777777" w:rsidR="008102F8" w:rsidRPr="00DE096C" w:rsidRDefault="008102F8" w:rsidP="00D45A46">
      <w:pPr>
        <w:jc w:val="both"/>
        <w:rPr>
          <w:bCs/>
          <w:color w:val="002060"/>
          <w:sz w:val="16"/>
          <w:szCs w:val="16"/>
        </w:rPr>
      </w:pPr>
      <w:r w:rsidRPr="00DE096C">
        <w:rPr>
          <w:bCs/>
          <w:color w:val="002060"/>
          <w:sz w:val="16"/>
          <w:szCs w:val="16"/>
        </w:rPr>
        <w:t>- жесткость установки оперения обеспечена растяжками и натяжением тросов управления, которые протянуты снаружи ХЧФ через шпренгели – один на передней кромке стабилизатора по ПСС и два на его главном заднем л-не;</w:t>
      </w:r>
    </w:p>
    <w:p w14:paraId="2F26000E" w14:textId="77777777" w:rsidR="008102F8" w:rsidRPr="00DE096C" w:rsidRDefault="008102F8" w:rsidP="00D45A46">
      <w:pPr>
        <w:jc w:val="both"/>
        <w:rPr>
          <w:bCs/>
          <w:color w:val="002060"/>
          <w:sz w:val="16"/>
          <w:szCs w:val="16"/>
        </w:rPr>
      </w:pPr>
      <w:r w:rsidRPr="00DE096C">
        <w:rPr>
          <w:bCs/>
          <w:color w:val="002060"/>
          <w:sz w:val="16"/>
          <w:szCs w:val="16"/>
        </w:rPr>
        <w:t>- растяжки и тросы управления РВ и РН протянуты так, что при перестановке стабилизатора (делается при необходимости перед полетом механиком) их перенатяжка не требуется.</w:t>
      </w:r>
    </w:p>
    <w:p w14:paraId="5FDCD7E0" w14:textId="77777777" w:rsidR="008102F8" w:rsidRPr="00DE096C" w:rsidRDefault="008102F8" w:rsidP="00D45A46">
      <w:pPr>
        <w:jc w:val="both"/>
        <w:rPr>
          <w:bCs/>
          <w:color w:val="002060"/>
          <w:sz w:val="16"/>
          <w:szCs w:val="16"/>
        </w:rPr>
      </w:pPr>
      <w:r w:rsidRPr="00DE096C">
        <w:rPr>
          <w:bCs/>
          <w:color w:val="002060"/>
          <w:sz w:val="16"/>
          <w:szCs w:val="16"/>
        </w:rPr>
        <w:t>Система управления:</w:t>
      </w:r>
    </w:p>
    <w:p w14:paraId="36528E75" w14:textId="77777777" w:rsidR="008102F8" w:rsidRPr="00DE096C" w:rsidRDefault="008102F8" w:rsidP="00D45A46">
      <w:pPr>
        <w:jc w:val="both"/>
        <w:rPr>
          <w:bCs/>
          <w:color w:val="002060"/>
          <w:sz w:val="16"/>
          <w:szCs w:val="16"/>
        </w:rPr>
      </w:pPr>
      <w:r w:rsidRPr="00DE096C">
        <w:rPr>
          <w:bCs/>
          <w:color w:val="002060"/>
          <w:sz w:val="16"/>
          <w:szCs w:val="16"/>
        </w:rPr>
        <w:t>- состоит из трех независимых каналов управления (тангаж и крен с управлением РУС, а также рыскание с управлением педалями);</w:t>
      </w:r>
    </w:p>
    <w:p w14:paraId="182FEF6E" w14:textId="77777777" w:rsidR="008102F8" w:rsidRPr="00DE096C" w:rsidRDefault="008102F8" w:rsidP="00D45A46">
      <w:pPr>
        <w:jc w:val="both"/>
        <w:rPr>
          <w:bCs/>
          <w:color w:val="002060"/>
          <w:sz w:val="16"/>
          <w:szCs w:val="16"/>
        </w:rPr>
      </w:pPr>
      <w:r w:rsidRPr="00DE096C">
        <w:rPr>
          <w:bCs/>
          <w:color w:val="002060"/>
          <w:sz w:val="16"/>
          <w:szCs w:val="16"/>
        </w:rPr>
        <w:t>- пост управления один – напротив левого кресла кабины;</w:t>
      </w:r>
    </w:p>
    <w:p w14:paraId="02010909" w14:textId="77777777" w:rsidR="008102F8" w:rsidRPr="00DE096C" w:rsidRDefault="008102F8" w:rsidP="00D45A46">
      <w:pPr>
        <w:jc w:val="both"/>
        <w:rPr>
          <w:bCs/>
          <w:color w:val="002060"/>
          <w:sz w:val="16"/>
          <w:szCs w:val="16"/>
        </w:rPr>
      </w:pPr>
      <w:r w:rsidRPr="00DE096C">
        <w:rPr>
          <w:bCs/>
          <w:color w:val="002060"/>
          <w:sz w:val="16"/>
          <w:szCs w:val="16"/>
        </w:rPr>
        <w:t>- проводка управления смешанная с преобладанием тросовых участков (тяги только у поста управления), которые почти все проходят вне агрегатов самолета;</w:t>
      </w:r>
    </w:p>
    <w:p w14:paraId="7CC448FA" w14:textId="77777777" w:rsidR="008102F8" w:rsidRPr="00DE096C" w:rsidRDefault="008102F8" w:rsidP="00D45A46">
      <w:pPr>
        <w:jc w:val="both"/>
        <w:rPr>
          <w:bCs/>
          <w:color w:val="002060"/>
          <w:sz w:val="16"/>
          <w:szCs w:val="16"/>
        </w:rPr>
      </w:pPr>
      <w:r w:rsidRPr="00DE096C">
        <w:rPr>
          <w:bCs/>
          <w:color w:val="002060"/>
          <w:sz w:val="16"/>
          <w:szCs w:val="16"/>
        </w:rPr>
        <w:t>- управление элеронами дифференциальное – благодаря подбору формы секторов элероны отклоняются вверх на меньший угол, чем вниз, что сделано для выравнивания управляющих моментов на левом и правом полукрыле (при равных углах отклонения на примененном аэродинамическом профиле добавочная сила на отклоненном вверх элероне получается больше, чем вниз).</w:t>
      </w:r>
    </w:p>
    <w:p w14:paraId="11308D32" w14:textId="77777777" w:rsidR="008102F8" w:rsidRPr="00DE096C" w:rsidRDefault="008102F8" w:rsidP="00D45A46">
      <w:pPr>
        <w:jc w:val="both"/>
        <w:rPr>
          <w:bCs/>
          <w:color w:val="002060"/>
          <w:sz w:val="16"/>
          <w:szCs w:val="16"/>
        </w:rPr>
      </w:pPr>
      <w:r w:rsidRPr="00DE096C">
        <w:rPr>
          <w:bCs/>
          <w:color w:val="002060"/>
          <w:sz w:val="16"/>
          <w:szCs w:val="16"/>
        </w:rPr>
        <w:t>Взлетно-посадочные устройства:</w:t>
      </w:r>
    </w:p>
    <w:p w14:paraId="0EA570A3" w14:textId="77777777" w:rsidR="008102F8" w:rsidRPr="00DE096C" w:rsidRDefault="008102F8" w:rsidP="00D45A46">
      <w:pPr>
        <w:jc w:val="both"/>
        <w:rPr>
          <w:bCs/>
          <w:color w:val="002060"/>
          <w:sz w:val="16"/>
          <w:szCs w:val="16"/>
        </w:rPr>
      </w:pPr>
      <w:r w:rsidRPr="00DE096C">
        <w:rPr>
          <w:bCs/>
          <w:color w:val="002060"/>
          <w:sz w:val="16"/>
          <w:szCs w:val="16"/>
        </w:rPr>
        <w:t>- поддерживающие поплавки имеют каплевидную форму на виде сбоку и переменное прямоугольное сечение;</w:t>
      </w:r>
    </w:p>
    <w:p w14:paraId="7BDEDCE7" w14:textId="77777777" w:rsidR="008102F8" w:rsidRPr="00DE096C" w:rsidRDefault="008102F8" w:rsidP="00D45A46">
      <w:pPr>
        <w:jc w:val="both"/>
        <w:rPr>
          <w:bCs/>
          <w:color w:val="002060"/>
          <w:sz w:val="16"/>
          <w:szCs w:val="16"/>
        </w:rPr>
      </w:pPr>
      <w:r w:rsidRPr="00DE096C">
        <w:rPr>
          <w:bCs/>
          <w:color w:val="002060"/>
          <w:sz w:val="16"/>
          <w:szCs w:val="16"/>
        </w:rPr>
        <w:t>- силовой набор поплавков состоит из бимсов по скулам и шпангоутов;</w:t>
      </w:r>
    </w:p>
    <w:p w14:paraId="2FCD72E5" w14:textId="77777777" w:rsidR="008102F8" w:rsidRPr="00DE096C" w:rsidRDefault="008102F8" w:rsidP="00D45A46">
      <w:pPr>
        <w:jc w:val="both"/>
        <w:rPr>
          <w:bCs/>
          <w:color w:val="002060"/>
          <w:sz w:val="16"/>
          <w:szCs w:val="16"/>
        </w:rPr>
      </w:pPr>
      <w:r w:rsidRPr="00DE096C">
        <w:rPr>
          <w:bCs/>
          <w:color w:val="002060"/>
          <w:sz w:val="16"/>
          <w:szCs w:val="16"/>
        </w:rPr>
        <w:t>- поддерживающие поплавки крепятся к лонжеронам нижнего крыла каждый на четырех стержнях, образующих с их каркасом раму, жесткость которой обеспечена растяжками;</w:t>
      </w:r>
    </w:p>
    <w:p w14:paraId="77BD8119" w14:textId="77777777" w:rsidR="008102F8" w:rsidRPr="00DE096C" w:rsidRDefault="008102F8" w:rsidP="00D45A46">
      <w:pPr>
        <w:jc w:val="both"/>
        <w:rPr>
          <w:bCs/>
          <w:color w:val="002060"/>
          <w:sz w:val="16"/>
          <w:szCs w:val="16"/>
        </w:rPr>
      </w:pPr>
      <w:r w:rsidRPr="00DE096C">
        <w:rPr>
          <w:bCs/>
          <w:color w:val="002060"/>
          <w:sz w:val="16"/>
          <w:szCs w:val="16"/>
        </w:rPr>
        <w:t>- для полетов зимой с аэродромов со снежным или с ледовым покрытием предусмотрена установка съемного лыжного шасси по типу примененного на самолете М-2.</w:t>
      </w:r>
    </w:p>
    <w:p w14:paraId="3C0E87FB" w14:textId="77777777" w:rsidR="008102F8" w:rsidRPr="00DE096C" w:rsidRDefault="008102F8" w:rsidP="00D45A46">
      <w:pPr>
        <w:jc w:val="both"/>
        <w:rPr>
          <w:bCs/>
          <w:color w:val="002060"/>
          <w:sz w:val="16"/>
          <w:szCs w:val="16"/>
        </w:rPr>
      </w:pPr>
      <w:r w:rsidRPr="00DE096C">
        <w:rPr>
          <w:bCs/>
          <w:color w:val="002060"/>
          <w:sz w:val="16"/>
          <w:szCs w:val="16"/>
        </w:rPr>
        <w:t>Проект был одобрен, и в начале 1915 г. завод ПРТВ приступил к строительству сразу малой серии таких самолетов (23696).</w:t>
      </w:r>
    </w:p>
    <w:p w14:paraId="1483713E" w14:textId="77777777" w:rsidR="008102F8" w:rsidRPr="00DE096C" w:rsidRDefault="008102F8" w:rsidP="00D45A46">
      <w:pPr>
        <w:jc w:val="both"/>
        <w:rPr>
          <w:bCs/>
          <w:color w:val="002060"/>
          <w:sz w:val="16"/>
          <w:szCs w:val="16"/>
        </w:rPr>
      </w:pPr>
    </w:p>
    <w:p w14:paraId="0403331E" w14:textId="77777777" w:rsidR="00AA15B9" w:rsidRPr="00B52707" w:rsidRDefault="00AA15B9" w:rsidP="00AA15B9">
      <w:pPr>
        <w:jc w:val="both"/>
        <w:rPr>
          <w:color w:val="0070C0"/>
          <w:sz w:val="16"/>
          <w:szCs w:val="16"/>
        </w:rPr>
      </w:pPr>
      <w:r w:rsidRPr="00B52707">
        <w:rPr>
          <w:color w:val="0070C0"/>
          <w:sz w:val="16"/>
          <w:szCs w:val="16"/>
        </w:rPr>
        <w:t>К концу 1914 г. - первого года войны всего русские сухопутные войска уничтожили и захватили в качестве трофея 19 (по другим данным – 16) вражеских аэропланов и два дирижабля, взято в плен 80 человек членов экипажей. Русские летчики записали на свой счет 3 аэроплана противника (25135).</w:t>
      </w:r>
    </w:p>
    <w:p w14:paraId="09CCB3D5" w14:textId="77777777" w:rsidR="00AA15B9" w:rsidRPr="00B52707" w:rsidRDefault="00AA15B9" w:rsidP="00AA15B9">
      <w:pPr>
        <w:jc w:val="both"/>
        <w:rPr>
          <w:color w:val="0070C0"/>
          <w:sz w:val="16"/>
          <w:szCs w:val="16"/>
        </w:rPr>
      </w:pPr>
    </w:p>
    <w:p w14:paraId="0D1BB31F" w14:textId="77777777" w:rsidR="00AA15B9" w:rsidRPr="00B52707" w:rsidRDefault="00AA15B9" w:rsidP="00AA15B9">
      <w:pPr>
        <w:jc w:val="both"/>
        <w:rPr>
          <w:color w:val="0070C0"/>
          <w:sz w:val="16"/>
          <w:szCs w:val="16"/>
        </w:rPr>
      </w:pPr>
      <w:r w:rsidRPr="00B52707">
        <w:rPr>
          <w:color w:val="0070C0"/>
          <w:sz w:val="16"/>
          <w:szCs w:val="16"/>
        </w:rPr>
        <w:t>В конце 1914 года были сформированы первые подвижные авиационные ремонтные мастерские-поезда (ПАРМ-П) в военной авиации России. Тогда были сформированы два поезда, которые поступили в распоряжение заведующего авиацией и воздухоплаванием в действующей армии великого князя Александра Михайловича и были предназначены для ремонта самолётов на Юго-Западном фронте (25138).</w:t>
      </w:r>
    </w:p>
    <w:p w14:paraId="7AB35D56" w14:textId="77777777" w:rsidR="00AA15B9" w:rsidRPr="00B52707" w:rsidRDefault="00AA15B9" w:rsidP="00AA15B9">
      <w:pPr>
        <w:jc w:val="both"/>
        <w:rPr>
          <w:color w:val="0070C0"/>
          <w:sz w:val="16"/>
          <w:szCs w:val="16"/>
        </w:rPr>
      </w:pPr>
    </w:p>
    <w:p w14:paraId="6C9AE704" w14:textId="77777777" w:rsidR="004C2152" w:rsidRPr="00DE096C" w:rsidRDefault="004C2152" w:rsidP="00D45A46">
      <w:pPr>
        <w:jc w:val="both"/>
        <w:rPr>
          <w:bCs/>
          <w:i/>
          <w:color w:val="002060"/>
          <w:sz w:val="16"/>
          <w:szCs w:val="16"/>
        </w:rPr>
      </w:pPr>
      <w:r w:rsidRPr="00DE096C">
        <w:rPr>
          <w:bCs/>
          <w:i/>
          <w:color w:val="002060"/>
          <w:sz w:val="16"/>
          <w:szCs w:val="16"/>
        </w:rPr>
        <w:t>Другие оборонные отрасли:</w:t>
      </w:r>
    </w:p>
    <w:p w14:paraId="0D9D6B2F" w14:textId="77777777" w:rsidR="004C2152" w:rsidRPr="00DE096C" w:rsidRDefault="004C2152" w:rsidP="00D45A46">
      <w:pPr>
        <w:jc w:val="both"/>
        <w:rPr>
          <w:bCs/>
          <w:i/>
          <w:color w:val="002060"/>
          <w:sz w:val="16"/>
          <w:szCs w:val="16"/>
        </w:rPr>
      </w:pPr>
    </w:p>
    <w:p w14:paraId="4CF67F72" w14:textId="77777777" w:rsidR="00AA15B9" w:rsidRPr="00B52707" w:rsidRDefault="00AA15B9" w:rsidP="00AA15B9">
      <w:pPr>
        <w:jc w:val="both"/>
        <w:rPr>
          <w:color w:val="0070C0"/>
          <w:sz w:val="16"/>
          <w:szCs w:val="16"/>
        </w:rPr>
      </w:pPr>
      <w:r w:rsidRPr="00B52707">
        <w:rPr>
          <w:color w:val="0070C0"/>
          <w:sz w:val="16"/>
          <w:szCs w:val="16"/>
        </w:rPr>
        <w:t>К концу 1914 г. армия стала испытывать острейший дефицит снарядов. В начале 1915 г. по инициативе военного ведомства была создана Организация уполномоченного Главного артиллерийского управления по заготовке снарядов по французскому образцу. Возглавил ее бывший начальник Хабаровского и Брянского арсеналов генерал-майор С.Н. Ванков. Основной задачей Ванкова стала организация производства 3-дюймовых снарядов. В основу производства снарядов была положена французская технология, позволявшая использовать кооперацию множества предприятий, осуществлявших массовый выпуск отдельных частей гранат или отдельные операции по их изготовлению. Структура нового учреждения включала: центральное управление (канцелярия; отделы: технический, хозяйственный, личного состава, поверочных инструментов, распределения материалов; части: юридическая, чертежная, статистическая и др.); французскую военно-техническую миссию (артиллеристы, инженеры, техники, химики); специальных уполномоченных по районам и наблюдающих на заводах. В 1915– 1917 гг. Организация Ванкова мобилизовала для исполнения военных заказов от 300 до 500 предприятий, включая крупные заводы, небольшие фабрики, железнодорожные и кустарные мастерские разной отраслевой направленности (металлургические, металлообрабатывающие, текстильные и пр.), принадлежавшие разным владельцам (казенные, частные, военно-промышленных комитетов и городских союзов), а также лаборатории училищ и высших учебных заведений. По характеру выпускаемой продукции они объединялись в несколько групп, причем некоторые имели головное предприятие. В июне 1915 – июне 1917 г. на предприятиях Организации Ванкова было изготовлено 16 млн 3-дюймовых, 700 тыс. 6-дюймовых, а также свыше 1 млн снарядов и бомб других калибров, что позволило преодолеть кризис в снабжении боеприпасами основной части русской артиллерии, наметившийся осенью 1914 г.(Экономическая история России (с древнейших времен до 1917 г.): Энциклопедия. В 2 т. М., 2008. Т. 1. С. 334-335) (25601).</w:t>
      </w:r>
    </w:p>
    <w:p w14:paraId="27841554" w14:textId="77777777" w:rsidR="00AA15B9" w:rsidRPr="00B52707" w:rsidRDefault="00AA15B9" w:rsidP="00AA15B9">
      <w:pPr>
        <w:jc w:val="both"/>
        <w:rPr>
          <w:color w:val="0070C0"/>
          <w:sz w:val="16"/>
          <w:szCs w:val="16"/>
        </w:rPr>
      </w:pPr>
    </w:p>
    <w:p w14:paraId="770964D3" w14:textId="77777777" w:rsidR="00AA15B9" w:rsidRPr="00B52707" w:rsidRDefault="00AA15B9" w:rsidP="00AA15B9">
      <w:pPr>
        <w:jc w:val="both"/>
        <w:rPr>
          <w:color w:val="0070C0"/>
          <w:sz w:val="16"/>
          <w:szCs w:val="16"/>
        </w:rPr>
      </w:pPr>
      <w:r w:rsidRPr="00B52707">
        <w:rPr>
          <w:rStyle w:val="ab"/>
          <w:rFonts w:ascii="Times New Roman" w:hAnsi="Times New Roman"/>
          <w:color w:val="0070C0"/>
          <w:spacing w:val="0"/>
          <w:sz w:val="16"/>
          <w:szCs w:val="16"/>
        </w:rPr>
        <w:t>В конце 1914 года капитан Рдултовский спроектировал мино</w:t>
      </w:r>
      <w:r w:rsidRPr="00B52707">
        <w:rPr>
          <w:rStyle w:val="ab"/>
          <w:rFonts w:ascii="Times New Roman" w:hAnsi="Times New Roman"/>
          <w:color w:val="0070C0"/>
          <w:spacing w:val="0"/>
          <w:sz w:val="16"/>
          <w:szCs w:val="16"/>
        </w:rPr>
        <w:softHyphen/>
        <w:t>мет, телом которого был ствол от 8-линейного (20,3-мм) крепостно</w:t>
      </w:r>
      <w:r w:rsidRPr="00B52707">
        <w:rPr>
          <w:rStyle w:val="ab"/>
          <w:rFonts w:ascii="Times New Roman" w:hAnsi="Times New Roman"/>
          <w:color w:val="0070C0"/>
          <w:spacing w:val="0"/>
          <w:sz w:val="16"/>
          <w:szCs w:val="16"/>
        </w:rPr>
        <w:softHyphen/>
        <w:t>го ружья барона Гана, принятого на вооружение в 1877 году. 11ри этом ствол ружья был укорочен до 305 мм. Стрельба велась над- калиберной миной, имевшей хвостовик (стержень, шомпол). Хвос</w:t>
      </w:r>
      <w:r w:rsidRPr="00B52707">
        <w:rPr>
          <w:rStyle w:val="ab"/>
          <w:rFonts w:ascii="Times New Roman" w:hAnsi="Times New Roman"/>
          <w:color w:val="0070C0"/>
          <w:spacing w:val="0"/>
          <w:sz w:val="16"/>
          <w:szCs w:val="16"/>
        </w:rPr>
        <w:softHyphen/>
        <w:t>товик вставлялся с дула в ствол миномета. Метательный заряд состо</w:t>
      </w:r>
      <w:r w:rsidRPr="00B52707">
        <w:rPr>
          <w:rStyle w:val="ab"/>
          <w:rFonts w:ascii="Times New Roman" w:hAnsi="Times New Roman"/>
          <w:color w:val="0070C0"/>
          <w:spacing w:val="0"/>
          <w:sz w:val="16"/>
          <w:szCs w:val="16"/>
        </w:rPr>
        <w:softHyphen/>
        <w:t>ял из основного заряда (2,9 г бездымного пороха в 7,62-мм винтовоч</w:t>
      </w:r>
      <w:r w:rsidRPr="00B52707">
        <w:rPr>
          <w:rStyle w:val="ab"/>
          <w:rFonts w:ascii="Times New Roman" w:hAnsi="Times New Roman"/>
          <w:color w:val="0070C0"/>
          <w:spacing w:val="0"/>
          <w:sz w:val="16"/>
          <w:szCs w:val="16"/>
        </w:rPr>
        <w:softHyphen/>
        <w:t>ной гильзе) и дополнительного заряда весом 2,1 г в мешочке.</w:t>
      </w:r>
    </w:p>
    <w:p w14:paraId="3E6DEEF5" w14:textId="77777777" w:rsidR="00AA15B9" w:rsidRPr="00B52707" w:rsidRDefault="00AA15B9" w:rsidP="00AA15B9">
      <w:pPr>
        <w:jc w:val="both"/>
        <w:rPr>
          <w:color w:val="0070C0"/>
          <w:sz w:val="16"/>
          <w:szCs w:val="16"/>
        </w:rPr>
      </w:pPr>
      <w:r w:rsidRPr="00B52707">
        <w:rPr>
          <w:rStyle w:val="ab"/>
          <w:rFonts w:ascii="Times New Roman" w:hAnsi="Times New Roman"/>
          <w:color w:val="0070C0"/>
          <w:spacing w:val="0"/>
          <w:sz w:val="16"/>
          <w:szCs w:val="16"/>
        </w:rPr>
        <w:t>Гильза и мешочек помещались в ствол с казенной части с по</w:t>
      </w:r>
      <w:r w:rsidRPr="00B52707">
        <w:rPr>
          <w:rStyle w:val="ab"/>
          <w:rFonts w:ascii="Times New Roman" w:hAnsi="Times New Roman"/>
          <w:color w:val="0070C0"/>
          <w:spacing w:val="0"/>
          <w:sz w:val="16"/>
          <w:szCs w:val="16"/>
        </w:rPr>
        <w:softHyphen/>
        <w:t>мощью откидного затвора системы Крика.</w:t>
      </w:r>
    </w:p>
    <w:p w14:paraId="1A751408" w14:textId="77777777" w:rsidR="00AA15B9" w:rsidRPr="00B52707" w:rsidRDefault="00AA15B9" w:rsidP="00AA15B9">
      <w:pPr>
        <w:jc w:val="both"/>
        <w:rPr>
          <w:color w:val="0070C0"/>
          <w:sz w:val="16"/>
          <w:szCs w:val="16"/>
        </w:rPr>
      </w:pPr>
      <w:r w:rsidRPr="00B52707">
        <w:rPr>
          <w:rStyle w:val="ab"/>
          <w:rFonts w:ascii="Times New Roman" w:hAnsi="Times New Roman"/>
          <w:color w:val="0070C0"/>
          <w:spacing w:val="0"/>
          <w:sz w:val="16"/>
          <w:szCs w:val="16"/>
        </w:rPr>
        <w:t>Схема миномета глухая. Железный двухстанпнный станок же</w:t>
      </w:r>
      <w:r w:rsidRPr="00B52707">
        <w:rPr>
          <w:rStyle w:val="ab"/>
          <w:rFonts w:ascii="Times New Roman" w:hAnsi="Times New Roman"/>
          <w:color w:val="0070C0"/>
          <w:spacing w:val="0"/>
          <w:sz w:val="16"/>
          <w:szCs w:val="16"/>
        </w:rPr>
        <w:softHyphen/>
        <w:t>стко крепился к деревянному основанию. Угол вертикального на</w:t>
      </w:r>
      <w:r w:rsidRPr="00B52707">
        <w:rPr>
          <w:rStyle w:val="ab"/>
          <w:rFonts w:ascii="Times New Roman" w:hAnsi="Times New Roman"/>
          <w:color w:val="0070C0"/>
          <w:spacing w:val="0"/>
          <w:sz w:val="16"/>
          <w:szCs w:val="16"/>
        </w:rPr>
        <w:softHyphen/>
        <w:t>ведения от 0° до 60°. Стрельба велась с платформы, установлен</w:t>
      </w:r>
      <w:r w:rsidRPr="00B52707">
        <w:rPr>
          <w:rStyle w:val="ab"/>
          <w:rFonts w:ascii="Times New Roman" w:hAnsi="Times New Roman"/>
          <w:color w:val="0070C0"/>
          <w:spacing w:val="0"/>
          <w:sz w:val="16"/>
          <w:szCs w:val="16"/>
        </w:rPr>
        <w:softHyphen/>
        <w:t>ной на грунте. Вес миномета в боевом положении 32,8 кг. Для пе</w:t>
      </w:r>
      <w:r w:rsidRPr="00B52707">
        <w:rPr>
          <w:rStyle w:val="ab"/>
          <w:rFonts w:ascii="Times New Roman" w:hAnsi="Times New Roman"/>
          <w:color w:val="0070C0"/>
          <w:spacing w:val="0"/>
          <w:sz w:val="16"/>
          <w:szCs w:val="16"/>
        </w:rPr>
        <w:softHyphen/>
        <w:t>ревозки миномета на ось, связанную с платформой, надевались деревянные колеса.</w:t>
      </w:r>
    </w:p>
    <w:p w14:paraId="188E4762" w14:textId="77777777" w:rsidR="00AA15B9" w:rsidRPr="00B52707" w:rsidRDefault="00AA15B9" w:rsidP="00AA15B9">
      <w:pPr>
        <w:jc w:val="both"/>
        <w:rPr>
          <w:color w:val="0070C0"/>
          <w:sz w:val="16"/>
          <w:szCs w:val="16"/>
        </w:rPr>
      </w:pPr>
      <w:r w:rsidRPr="00B52707">
        <w:rPr>
          <w:rStyle w:val="ab"/>
          <w:rFonts w:ascii="Times New Roman" w:hAnsi="Times New Roman"/>
          <w:color w:val="0070C0"/>
          <w:spacing w:val="0"/>
          <w:sz w:val="16"/>
          <w:szCs w:val="16"/>
        </w:rPr>
        <w:t>Стрельба производилась надкалиберпыми шаровой и цилинд</w:t>
      </w:r>
      <w:r w:rsidRPr="00B52707">
        <w:rPr>
          <w:rStyle w:val="ab"/>
          <w:rFonts w:ascii="Times New Roman" w:hAnsi="Times New Roman"/>
          <w:color w:val="0070C0"/>
          <w:spacing w:val="0"/>
          <w:sz w:val="16"/>
          <w:szCs w:val="16"/>
        </w:rPr>
        <w:softHyphen/>
        <w:t>ро-конической минами. Шаровая мина весила 2,56 кг и содержала 256 г бездымного пороха. С 1 февраля 1916 года он был заменен аммоналом. При взрыве мины образовывалось 300 осколков.</w:t>
      </w:r>
    </w:p>
    <w:p w14:paraId="2555313A" w14:textId="77777777" w:rsidR="00AA15B9" w:rsidRPr="00B52707" w:rsidRDefault="00AA15B9" w:rsidP="00AA15B9">
      <w:pPr>
        <w:jc w:val="both"/>
        <w:rPr>
          <w:color w:val="0070C0"/>
          <w:sz w:val="16"/>
          <w:szCs w:val="16"/>
        </w:rPr>
      </w:pPr>
      <w:r w:rsidRPr="00B52707">
        <w:rPr>
          <w:rStyle w:val="ab"/>
          <w:rFonts w:ascii="Times New Roman" w:hAnsi="Times New Roman"/>
          <w:color w:val="0070C0"/>
          <w:spacing w:val="0"/>
          <w:sz w:val="16"/>
          <w:szCs w:val="16"/>
        </w:rPr>
        <w:t>В конце 1915 года была принята на вооружение цилиндро-ко</w:t>
      </w:r>
      <w:r w:rsidRPr="00B52707">
        <w:rPr>
          <w:rStyle w:val="ab"/>
          <w:rFonts w:ascii="Times New Roman" w:hAnsi="Times New Roman"/>
          <w:color w:val="0070C0"/>
          <w:spacing w:val="0"/>
          <w:sz w:val="16"/>
          <w:szCs w:val="16"/>
        </w:rPr>
        <w:softHyphen/>
        <w:t>ническая мина. Она весила 2,46 кг и содержала 170 г тротила. На</w:t>
      </w:r>
      <w:r w:rsidRPr="00B52707">
        <w:rPr>
          <w:rStyle w:val="ab"/>
          <w:rFonts w:ascii="Times New Roman" w:hAnsi="Times New Roman"/>
          <w:color w:val="0070C0"/>
          <w:spacing w:val="0"/>
          <w:sz w:val="16"/>
          <w:szCs w:val="16"/>
        </w:rPr>
        <w:softHyphen/>
        <w:t>чальная скорость мины около 61 м/с. Дальность стрельбы до 350 шагов (250 м).</w:t>
      </w:r>
    </w:p>
    <w:p w14:paraId="504E4181" w14:textId="77777777" w:rsidR="00AA15B9" w:rsidRPr="00B52707" w:rsidRDefault="00AA15B9" w:rsidP="00AA15B9">
      <w:pPr>
        <w:jc w:val="both"/>
        <w:rPr>
          <w:rStyle w:val="ab"/>
          <w:rFonts w:ascii="Times New Roman" w:hAnsi="Times New Roman"/>
          <w:color w:val="0070C0"/>
          <w:spacing w:val="0"/>
          <w:sz w:val="16"/>
          <w:szCs w:val="16"/>
        </w:rPr>
      </w:pPr>
      <w:r w:rsidRPr="00B52707">
        <w:rPr>
          <w:rStyle w:val="ab"/>
          <w:rFonts w:ascii="Times New Roman" w:hAnsi="Times New Roman"/>
          <w:color w:val="0070C0"/>
          <w:spacing w:val="0"/>
          <w:sz w:val="16"/>
          <w:szCs w:val="16"/>
        </w:rPr>
        <w:t>В ряде документов 8-линейный миномет Рдултовского имену</w:t>
      </w:r>
      <w:r w:rsidRPr="00B52707">
        <w:rPr>
          <w:rStyle w:val="ab"/>
          <w:rFonts w:ascii="Times New Roman" w:hAnsi="Times New Roman"/>
          <w:color w:val="0070C0"/>
          <w:spacing w:val="0"/>
          <w:sz w:val="16"/>
          <w:szCs w:val="16"/>
        </w:rPr>
        <w:softHyphen/>
        <w:t>ется 20-мм мортиркой Рдултовского (25439).</w:t>
      </w:r>
    </w:p>
    <w:p w14:paraId="6533DDFC" w14:textId="77777777" w:rsidR="00AA15B9" w:rsidRPr="00B52707" w:rsidRDefault="00AA15B9" w:rsidP="00AA15B9">
      <w:pPr>
        <w:jc w:val="both"/>
        <w:rPr>
          <w:color w:val="0070C0"/>
          <w:sz w:val="16"/>
          <w:szCs w:val="16"/>
        </w:rPr>
      </w:pPr>
    </w:p>
    <w:p w14:paraId="11D7EA83" w14:textId="77777777" w:rsidR="00AA15B9" w:rsidRPr="00B52707" w:rsidRDefault="00AA15B9" w:rsidP="00AA15B9">
      <w:pPr>
        <w:jc w:val="both"/>
        <w:rPr>
          <w:color w:val="0070C0"/>
          <w:sz w:val="16"/>
          <w:szCs w:val="16"/>
        </w:rPr>
      </w:pPr>
      <w:r w:rsidRPr="00B52707">
        <w:rPr>
          <w:color w:val="0070C0"/>
          <w:sz w:val="16"/>
          <w:szCs w:val="16"/>
        </w:rPr>
        <w:lastRenderedPageBreak/>
        <w:t>В конце 1914 года у инженера Лебеденко, работавшего в собственной мастерской. которая занималась производством оборудования по заказам военного ведомства родился проект боевой колесной машины. Инженер, совершенно правильно понимал, что чем больше диаметр колеса, тем больше внедорожные возможности боевой машины. Но шансов продавить идею у простого подрядчика было минимум, если бы не знакомство с основоположником аэродинамики Николаем Егоровичем Жуковским, который не только произвел сам расчеты колес новой машины, но и отправил работать в мастерскую двух своих племянников в будущем Генерального конструктора авиадвигателей Александра Микулина и ведущего конструктора двигателей Бориса Стечкина. Стечкин и Микулин занимались разработкой чертежей и расчетом боевой машины. Готовый проект Лебеденко представил главе Союза Земств и городов князю Г. Е. Львову, который и устроил Высочайшую аудиенцию 21 января 1915 года. Моделька с пружинным заводом весело бегала по сводам законов Российской империи. В восторге от идеи одним взмахом взломать германский фронт Николай II из собственных денег выделил 210 000 рублей, сумму которой хватило бы на закупку примерно 20 броневиков Остин с полным вооружением. Но в тот момент вряд ли кто либо мог предположить, что правильно, а что неправильно (25466).</w:t>
      </w:r>
    </w:p>
    <w:p w14:paraId="234C4E87" w14:textId="77777777" w:rsidR="00AA15B9" w:rsidRPr="00B52707" w:rsidRDefault="00AA15B9" w:rsidP="00AA15B9">
      <w:pPr>
        <w:jc w:val="both"/>
        <w:rPr>
          <w:color w:val="0070C0"/>
          <w:sz w:val="16"/>
          <w:szCs w:val="16"/>
        </w:rPr>
      </w:pPr>
    </w:p>
    <w:p w14:paraId="6B259EBF" w14:textId="77777777" w:rsidR="004C2152" w:rsidRPr="00DE096C" w:rsidRDefault="004C2152" w:rsidP="00D45A46">
      <w:pPr>
        <w:jc w:val="both"/>
        <w:rPr>
          <w:bCs/>
          <w:color w:val="002060"/>
          <w:sz w:val="16"/>
          <w:szCs w:val="16"/>
        </w:rPr>
      </w:pPr>
      <w:r w:rsidRPr="00DE096C">
        <w:rPr>
          <w:bCs/>
          <w:color w:val="002060"/>
          <w:sz w:val="16"/>
          <w:szCs w:val="16"/>
        </w:rPr>
        <w:t>К концу 1914 года:</w:t>
      </w:r>
    </w:p>
    <w:p w14:paraId="1D47F9D4" w14:textId="7C93CD64" w:rsidR="004C2152" w:rsidRPr="00DE096C" w:rsidRDefault="004C2152" w:rsidP="00D45A46">
      <w:pPr>
        <w:jc w:val="both"/>
        <w:rPr>
          <w:bCs/>
          <w:color w:val="002060"/>
          <w:sz w:val="16"/>
          <w:szCs w:val="16"/>
        </w:rPr>
      </w:pPr>
      <w:r w:rsidRPr="00DE096C">
        <w:rPr>
          <w:bCs/>
          <w:color w:val="002060"/>
          <w:sz w:val="16"/>
          <w:szCs w:val="16"/>
        </w:rPr>
        <w:t>"Лесснером"</w:t>
      </w:r>
      <w:r w:rsidR="0006581C">
        <w:rPr>
          <w:bCs/>
          <w:color w:val="002060"/>
          <w:sz w:val="16"/>
          <w:szCs w:val="16"/>
        </w:rPr>
        <w:t xml:space="preserve"> </w:t>
      </w:r>
      <w:r w:rsidRPr="00DE096C">
        <w:rPr>
          <w:bCs/>
          <w:color w:val="002060"/>
          <w:sz w:val="16"/>
          <w:szCs w:val="16"/>
        </w:rPr>
        <w:t>было выпущено 999 автомобилей, из них 644 грузовых и специальных автомобиля.</w:t>
      </w:r>
      <w:r w:rsidR="0006581C">
        <w:rPr>
          <w:bCs/>
          <w:color w:val="002060"/>
          <w:sz w:val="16"/>
          <w:szCs w:val="16"/>
        </w:rPr>
        <w:t xml:space="preserve"> </w:t>
      </w:r>
    </w:p>
    <w:tbl>
      <w:tblPr>
        <w:tblW w:w="0" w:type="auto"/>
        <w:tblCellMar>
          <w:left w:w="0" w:type="dxa"/>
          <w:right w:w="0" w:type="dxa"/>
        </w:tblCellMar>
        <w:tblLook w:val="04A0" w:firstRow="1" w:lastRow="0" w:firstColumn="1" w:lastColumn="0" w:noHBand="0" w:noVBand="1"/>
      </w:tblPr>
      <w:tblGrid>
        <w:gridCol w:w="1551"/>
        <w:gridCol w:w="320"/>
        <w:gridCol w:w="320"/>
        <w:gridCol w:w="320"/>
        <w:gridCol w:w="320"/>
        <w:gridCol w:w="320"/>
        <w:gridCol w:w="320"/>
        <w:gridCol w:w="395"/>
      </w:tblGrid>
      <w:tr w:rsidR="004C2152" w:rsidRPr="00DE096C" w14:paraId="3CD4DFA7" w14:textId="77777777" w:rsidTr="00FA616C">
        <w:tc>
          <w:tcPr>
            <w:tcW w:w="0" w:type="auto"/>
            <w:tcBorders>
              <w:top w:val="nil"/>
              <w:left w:val="nil"/>
              <w:bottom w:val="nil"/>
              <w:right w:val="nil"/>
            </w:tcBorders>
            <w:vAlign w:val="bottom"/>
            <w:hideMark/>
          </w:tcPr>
          <w:p w14:paraId="6D47F7FB" w14:textId="77777777" w:rsidR="004C2152" w:rsidRPr="00DE096C" w:rsidRDefault="004C2152" w:rsidP="00D45A46">
            <w:pPr>
              <w:jc w:val="both"/>
              <w:rPr>
                <w:bCs/>
                <w:color w:val="002060"/>
                <w:sz w:val="16"/>
                <w:szCs w:val="16"/>
              </w:rPr>
            </w:pPr>
            <w:r w:rsidRPr="00DE096C">
              <w:rPr>
                <w:bCs/>
                <w:color w:val="002060"/>
                <w:sz w:val="16"/>
                <w:szCs w:val="16"/>
              </w:rPr>
              <w:t>Название предприятия</w:t>
            </w:r>
          </w:p>
        </w:tc>
        <w:tc>
          <w:tcPr>
            <w:tcW w:w="0" w:type="auto"/>
            <w:tcBorders>
              <w:top w:val="nil"/>
              <w:left w:val="nil"/>
              <w:bottom w:val="nil"/>
              <w:right w:val="nil"/>
            </w:tcBorders>
            <w:vAlign w:val="bottom"/>
            <w:hideMark/>
          </w:tcPr>
          <w:p w14:paraId="7D013A56" w14:textId="77777777" w:rsidR="004C2152" w:rsidRPr="00DE096C" w:rsidRDefault="004C2152" w:rsidP="00D45A46">
            <w:pPr>
              <w:jc w:val="both"/>
              <w:rPr>
                <w:bCs/>
                <w:color w:val="002060"/>
                <w:sz w:val="16"/>
                <w:szCs w:val="16"/>
              </w:rPr>
            </w:pPr>
            <w:r w:rsidRPr="00DE096C">
              <w:rPr>
                <w:bCs/>
                <w:color w:val="002060"/>
                <w:sz w:val="16"/>
                <w:szCs w:val="16"/>
              </w:rPr>
              <w:t>1909</w:t>
            </w:r>
          </w:p>
        </w:tc>
        <w:tc>
          <w:tcPr>
            <w:tcW w:w="0" w:type="auto"/>
            <w:tcBorders>
              <w:top w:val="nil"/>
              <w:left w:val="nil"/>
              <w:bottom w:val="nil"/>
              <w:right w:val="nil"/>
            </w:tcBorders>
            <w:vAlign w:val="bottom"/>
            <w:hideMark/>
          </w:tcPr>
          <w:p w14:paraId="3327F3A6" w14:textId="77777777" w:rsidR="004C2152" w:rsidRPr="00DE096C" w:rsidRDefault="004C2152" w:rsidP="00D45A46">
            <w:pPr>
              <w:jc w:val="both"/>
              <w:rPr>
                <w:bCs/>
                <w:color w:val="002060"/>
                <w:sz w:val="16"/>
                <w:szCs w:val="16"/>
              </w:rPr>
            </w:pPr>
            <w:r w:rsidRPr="00DE096C">
              <w:rPr>
                <w:bCs/>
                <w:color w:val="002060"/>
                <w:sz w:val="16"/>
                <w:szCs w:val="16"/>
              </w:rPr>
              <w:t>1910</w:t>
            </w:r>
          </w:p>
        </w:tc>
        <w:tc>
          <w:tcPr>
            <w:tcW w:w="0" w:type="auto"/>
            <w:tcBorders>
              <w:top w:val="nil"/>
              <w:left w:val="nil"/>
              <w:bottom w:val="nil"/>
              <w:right w:val="nil"/>
            </w:tcBorders>
            <w:vAlign w:val="bottom"/>
            <w:hideMark/>
          </w:tcPr>
          <w:p w14:paraId="1EBAEB44" w14:textId="77777777" w:rsidR="004C2152" w:rsidRPr="00DE096C" w:rsidRDefault="004C2152" w:rsidP="00D45A46">
            <w:pPr>
              <w:jc w:val="both"/>
              <w:rPr>
                <w:bCs/>
                <w:color w:val="002060"/>
                <w:sz w:val="16"/>
                <w:szCs w:val="16"/>
              </w:rPr>
            </w:pPr>
            <w:r w:rsidRPr="00DE096C">
              <w:rPr>
                <w:bCs/>
                <w:color w:val="002060"/>
                <w:sz w:val="16"/>
                <w:szCs w:val="16"/>
              </w:rPr>
              <w:t>1911</w:t>
            </w:r>
          </w:p>
        </w:tc>
        <w:tc>
          <w:tcPr>
            <w:tcW w:w="0" w:type="auto"/>
            <w:tcBorders>
              <w:top w:val="nil"/>
              <w:left w:val="nil"/>
              <w:bottom w:val="nil"/>
              <w:right w:val="nil"/>
            </w:tcBorders>
            <w:vAlign w:val="bottom"/>
            <w:hideMark/>
          </w:tcPr>
          <w:p w14:paraId="03E05FE1" w14:textId="77777777" w:rsidR="004C2152" w:rsidRPr="00DE096C" w:rsidRDefault="004C2152" w:rsidP="00D45A46">
            <w:pPr>
              <w:jc w:val="both"/>
              <w:rPr>
                <w:bCs/>
                <w:color w:val="002060"/>
                <w:sz w:val="16"/>
                <w:szCs w:val="16"/>
              </w:rPr>
            </w:pPr>
            <w:r w:rsidRPr="00DE096C">
              <w:rPr>
                <w:bCs/>
                <w:color w:val="002060"/>
                <w:sz w:val="16"/>
                <w:szCs w:val="16"/>
              </w:rPr>
              <w:t>1912</w:t>
            </w:r>
          </w:p>
        </w:tc>
        <w:tc>
          <w:tcPr>
            <w:tcW w:w="0" w:type="auto"/>
            <w:tcBorders>
              <w:top w:val="nil"/>
              <w:left w:val="nil"/>
              <w:bottom w:val="nil"/>
              <w:right w:val="nil"/>
            </w:tcBorders>
            <w:vAlign w:val="bottom"/>
            <w:hideMark/>
          </w:tcPr>
          <w:p w14:paraId="51CAFBDA" w14:textId="77777777" w:rsidR="004C2152" w:rsidRPr="00DE096C" w:rsidRDefault="004C2152" w:rsidP="00D45A46">
            <w:pPr>
              <w:jc w:val="both"/>
              <w:rPr>
                <w:bCs/>
                <w:color w:val="002060"/>
                <w:sz w:val="16"/>
                <w:szCs w:val="16"/>
              </w:rPr>
            </w:pPr>
            <w:r w:rsidRPr="00DE096C">
              <w:rPr>
                <w:bCs/>
                <w:color w:val="002060"/>
                <w:sz w:val="16"/>
                <w:szCs w:val="16"/>
              </w:rPr>
              <w:t>1913</w:t>
            </w:r>
          </w:p>
        </w:tc>
        <w:tc>
          <w:tcPr>
            <w:tcW w:w="0" w:type="auto"/>
            <w:tcBorders>
              <w:top w:val="nil"/>
              <w:left w:val="nil"/>
              <w:bottom w:val="nil"/>
              <w:right w:val="nil"/>
            </w:tcBorders>
            <w:vAlign w:val="bottom"/>
            <w:hideMark/>
          </w:tcPr>
          <w:p w14:paraId="732CAE1D" w14:textId="77777777" w:rsidR="004C2152" w:rsidRPr="00DE096C" w:rsidRDefault="004C2152" w:rsidP="00D45A46">
            <w:pPr>
              <w:jc w:val="both"/>
              <w:rPr>
                <w:bCs/>
                <w:color w:val="002060"/>
                <w:sz w:val="16"/>
                <w:szCs w:val="16"/>
              </w:rPr>
            </w:pPr>
            <w:r w:rsidRPr="00DE096C">
              <w:rPr>
                <w:bCs/>
                <w:color w:val="002060"/>
                <w:sz w:val="16"/>
                <w:szCs w:val="16"/>
              </w:rPr>
              <w:t>1914</w:t>
            </w:r>
          </w:p>
        </w:tc>
        <w:tc>
          <w:tcPr>
            <w:tcW w:w="0" w:type="auto"/>
            <w:tcBorders>
              <w:top w:val="nil"/>
              <w:left w:val="nil"/>
              <w:bottom w:val="nil"/>
              <w:right w:val="nil"/>
            </w:tcBorders>
            <w:vAlign w:val="bottom"/>
            <w:hideMark/>
          </w:tcPr>
          <w:p w14:paraId="14207929" w14:textId="77777777" w:rsidR="004C2152" w:rsidRPr="00DE096C" w:rsidRDefault="004C2152" w:rsidP="00D45A46">
            <w:pPr>
              <w:jc w:val="both"/>
              <w:rPr>
                <w:bCs/>
                <w:color w:val="002060"/>
                <w:sz w:val="16"/>
                <w:szCs w:val="16"/>
              </w:rPr>
            </w:pPr>
            <w:r w:rsidRPr="00DE096C">
              <w:rPr>
                <w:bCs/>
                <w:color w:val="002060"/>
                <w:sz w:val="16"/>
                <w:szCs w:val="16"/>
              </w:rPr>
              <w:t>Всего</w:t>
            </w:r>
          </w:p>
        </w:tc>
      </w:tr>
      <w:tr w:rsidR="004C2152" w:rsidRPr="00DE096C" w14:paraId="7163888A" w14:textId="77777777" w:rsidTr="00FA616C">
        <w:tc>
          <w:tcPr>
            <w:tcW w:w="0" w:type="auto"/>
            <w:tcBorders>
              <w:top w:val="nil"/>
              <w:left w:val="nil"/>
              <w:bottom w:val="nil"/>
              <w:right w:val="nil"/>
            </w:tcBorders>
            <w:vAlign w:val="bottom"/>
            <w:hideMark/>
          </w:tcPr>
          <w:p w14:paraId="4D94E7A1" w14:textId="77777777" w:rsidR="004C2152" w:rsidRPr="00DE096C" w:rsidRDefault="004C2152" w:rsidP="00D45A46">
            <w:pPr>
              <w:jc w:val="both"/>
              <w:rPr>
                <w:bCs/>
                <w:color w:val="002060"/>
                <w:sz w:val="16"/>
                <w:szCs w:val="16"/>
              </w:rPr>
            </w:pPr>
            <w:r w:rsidRPr="00DE096C">
              <w:rPr>
                <w:bCs/>
                <w:color w:val="002060"/>
                <w:sz w:val="16"/>
                <w:szCs w:val="16"/>
              </w:rPr>
              <w:t>"Лесснер"</w:t>
            </w:r>
          </w:p>
        </w:tc>
        <w:tc>
          <w:tcPr>
            <w:tcW w:w="0" w:type="auto"/>
            <w:tcBorders>
              <w:top w:val="nil"/>
              <w:left w:val="nil"/>
              <w:bottom w:val="nil"/>
              <w:right w:val="nil"/>
            </w:tcBorders>
            <w:vAlign w:val="bottom"/>
            <w:hideMark/>
          </w:tcPr>
          <w:p w14:paraId="6486DCC9" w14:textId="77777777" w:rsidR="004C2152" w:rsidRPr="00DE096C" w:rsidRDefault="004C2152" w:rsidP="00D45A46">
            <w:pPr>
              <w:jc w:val="both"/>
              <w:rPr>
                <w:bCs/>
                <w:color w:val="002060"/>
                <w:sz w:val="16"/>
                <w:szCs w:val="16"/>
              </w:rPr>
            </w:pPr>
            <w:r w:rsidRPr="00DE096C">
              <w:rPr>
                <w:bCs/>
                <w:color w:val="002060"/>
                <w:sz w:val="16"/>
                <w:szCs w:val="16"/>
              </w:rPr>
              <w:t>37</w:t>
            </w:r>
          </w:p>
        </w:tc>
        <w:tc>
          <w:tcPr>
            <w:tcW w:w="0" w:type="auto"/>
            <w:tcBorders>
              <w:top w:val="nil"/>
              <w:left w:val="nil"/>
              <w:bottom w:val="nil"/>
              <w:right w:val="nil"/>
            </w:tcBorders>
            <w:vAlign w:val="bottom"/>
            <w:hideMark/>
          </w:tcPr>
          <w:p w14:paraId="24D0E7EF" w14:textId="77777777" w:rsidR="004C2152" w:rsidRPr="00DE096C" w:rsidRDefault="004C2152" w:rsidP="00D45A46">
            <w:pPr>
              <w:jc w:val="both"/>
              <w:rPr>
                <w:bCs/>
                <w:color w:val="002060"/>
                <w:sz w:val="16"/>
                <w:szCs w:val="16"/>
              </w:rPr>
            </w:pPr>
            <w:r w:rsidRPr="00DE096C">
              <w:rPr>
                <w:bCs/>
                <w:color w:val="002060"/>
                <w:sz w:val="16"/>
                <w:szCs w:val="16"/>
              </w:rPr>
              <w:t>44</w:t>
            </w:r>
          </w:p>
        </w:tc>
        <w:tc>
          <w:tcPr>
            <w:tcW w:w="0" w:type="auto"/>
            <w:tcBorders>
              <w:top w:val="nil"/>
              <w:left w:val="nil"/>
              <w:bottom w:val="nil"/>
              <w:right w:val="nil"/>
            </w:tcBorders>
            <w:vAlign w:val="bottom"/>
            <w:hideMark/>
          </w:tcPr>
          <w:p w14:paraId="7D5E784A" w14:textId="77777777" w:rsidR="004C2152" w:rsidRPr="00DE096C" w:rsidRDefault="004C2152" w:rsidP="00D45A46">
            <w:pPr>
              <w:jc w:val="both"/>
              <w:rPr>
                <w:bCs/>
                <w:color w:val="002060"/>
                <w:sz w:val="16"/>
                <w:szCs w:val="16"/>
              </w:rPr>
            </w:pPr>
            <w:r w:rsidRPr="00DE096C">
              <w:rPr>
                <w:bCs/>
                <w:color w:val="002060"/>
                <w:sz w:val="16"/>
                <w:szCs w:val="16"/>
              </w:rPr>
              <w:t>99</w:t>
            </w:r>
          </w:p>
        </w:tc>
        <w:tc>
          <w:tcPr>
            <w:tcW w:w="0" w:type="auto"/>
            <w:tcBorders>
              <w:top w:val="nil"/>
              <w:left w:val="nil"/>
              <w:bottom w:val="nil"/>
              <w:right w:val="nil"/>
            </w:tcBorders>
            <w:vAlign w:val="bottom"/>
            <w:hideMark/>
          </w:tcPr>
          <w:p w14:paraId="2C399F20" w14:textId="77777777" w:rsidR="004C2152" w:rsidRPr="00DE096C" w:rsidRDefault="004C2152" w:rsidP="00D45A46">
            <w:pPr>
              <w:jc w:val="both"/>
              <w:rPr>
                <w:bCs/>
                <w:color w:val="002060"/>
                <w:sz w:val="16"/>
                <w:szCs w:val="16"/>
              </w:rPr>
            </w:pPr>
            <w:r w:rsidRPr="00DE096C">
              <w:rPr>
                <w:bCs/>
                <w:color w:val="002060"/>
                <w:sz w:val="16"/>
                <w:szCs w:val="16"/>
              </w:rPr>
              <w:t>191</w:t>
            </w:r>
          </w:p>
        </w:tc>
        <w:tc>
          <w:tcPr>
            <w:tcW w:w="0" w:type="auto"/>
            <w:tcBorders>
              <w:top w:val="nil"/>
              <w:left w:val="nil"/>
              <w:bottom w:val="nil"/>
              <w:right w:val="nil"/>
            </w:tcBorders>
            <w:vAlign w:val="bottom"/>
            <w:hideMark/>
          </w:tcPr>
          <w:p w14:paraId="399A6C5C" w14:textId="77777777" w:rsidR="004C2152" w:rsidRPr="00DE096C" w:rsidRDefault="004C2152" w:rsidP="00D45A46">
            <w:pPr>
              <w:jc w:val="both"/>
              <w:rPr>
                <w:bCs/>
                <w:color w:val="002060"/>
                <w:sz w:val="16"/>
                <w:szCs w:val="16"/>
              </w:rPr>
            </w:pPr>
            <w:r w:rsidRPr="00DE096C">
              <w:rPr>
                <w:bCs/>
                <w:color w:val="002060"/>
                <w:sz w:val="16"/>
                <w:szCs w:val="16"/>
              </w:rPr>
              <w:t>254</w:t>
            </w:r>
          </w:p>
        </w:tc>
        <w:tc>
          <w:tcPr>
            <w:tcW w:w="0" w:type="auto"/>
            <w:tcBorders>
              <w:top w:val="nil"/>
              <w:left w:val="nil"/>
              <w:bottom w:val="nil"/>
              <w:right w:val="nil"/>
            </w:tcBorders>
            <w:vAlign w:val="bottom"/>
            <w:hideMark/>
          </w:tcPr>
          <w:p w14:paraId="743BE82D" w14:textId="77777777" w:rsidR="004C2152" w:rsidRPr="00DE096C" w:rsidRDefault="004C2152" w:rsidP="00D45A46">
            <w:pPr>
              <w:jc w:val="both"/>
              <w:rPr>
                <w:bCs/>
                <w:color w:val="002060"/>
                <w:sz w:val="16"/>
                <w:szCs w:val="16"/>
              </w:rPr>
            </w:pPr>
            <w:r w:rsidRPr="00DE096C">
              <w:rPr>
                <w:bCs/>
                <w:color w:val="002060"/>
                <w:sz w:val="16"/>
                <w:szCs w:val="16"/>
              </w:rPr>
              <w:t>374</w:t>
            </w:r>
          </w:p>
        </w:tc>
        <w:tc>
          <w:tcPr>
            <w:tcW w:w="0" w:type="auto"/>
            <w:tcBorders>
              <w:top w:val="nil"/>
              <w:left w:val="nil"/>
              <w:bottom w:val="nil"/>
              <w:right w:val="nil"/>
            </w:tcBorders>
            <w:vAlign w:val="bottom"/>
            <w:hideMark/>
          </w:tcPr>
          <w:p w14:paraId="3946EF9F" w14:textId="77777777" w:rsidR="004C2152" w:rsidRPr="00DE096C" w:rsidRDefault="004C2152" w:rsidP="00D45A46">
            <w:pPr>
              <w:jc w:val="both"/>
              <w:rPr>
                <w:bCs/>
                <w:color w:val="002060"/>
                <w:sz w:val="16"/>
                <w:szCs w:val="16"/>
              </w:rPr>
            </w:pPr>
            <w:r w:rsidRPr="00DE096C">
              <w:rPr>
                <w:bCs/>
                <w:color w:val="002060"/>
                <w:sz w:val="16"/>
                <w:szCs w:val="16"/>
              </w:rPr>
              <w:t>999</w:t>
            </w:r>
          </w:p>
        </w:tc>
      </w:tr>
    </w:tbl>
    <w:p w14:paraId="127A17E9" w14:textId="7B106BA2" w:rsidR="004C2152" w:rsidRPr="00DE096C" w:rsidRDefault="004C2152" w:rsidP="00D45A46">
      <w:pPr>
        <w:jc w:val="both"/>
        <w:rPr>
          <w:bCs/>
          <w:color w:val="002060"/>
          <w:sz w:val="16"/>
          <w:szCs w:val="16"/>
        </w:rPr>
      </w:pPr>
      <w:r w:rsidRPr="00DE096C">
        <w:rPr>
          <w:bCs/>
          <w:color w:val="002060"/>
          <w:sz w:val="16"/>
          <w:szCs w:val="16"/>
        </w:rPr>
        <w:t>"Дукс" за двадцать лет прошёл путь от мелкой мастерской, до крупнейшего машиностроительного предприятия, способного выпускать что угодно, и встал в ряд таких заводов как РБВЗ, Лесснер, Путиловский, Сормово, Коломенский, которые были значительно старше его.</w:t>
      </w:r>
      <w:r w:rsidR="0006581C">
        <w:rPr>
          <w:bCs/>
          <w:color w:val="002060"/>
          <w:sz w:val="16"/>
          <w:szCs w:val="16"/>
        </w:rPr>
        <w:t xml:space="preserve"> </w:t>
      </w:r>
    </w:p>
    <w:tbl>
      <w:tblPr>
        <w:tblW w:w="0" w:type="auto"/>
        <w:tblCellMar>
          <w:left w:w="0" w:type="dxa"/>
          <w:right w:w="0" w:type="dxa"/>
        </w:tblCellMar>
        <w:tblLook w:val="04A0" w:firstRow="1" w:lastRow="0" w:firstColumn="1" w:lastColumn="0" w:noHBand="0" w:noVBand="1"/>
      </w:tblPr>
      <w:tblGrid>
        <w:gridCol w:w="1551"/>
        <w:gridCol w:w="320"/>
        <w:gridCol w:w="320"/>
        <w:gridCol w:w="320"/>
        <w:gridCol w:w="320"/>
        <w:gridCol w:w="320"/>
        <w:gridCol w:w="320"/>
        <w:gridCol w:w="395"/>
      </w:tblGrid>
      <w:tr w:rsidR="004C2152" w:rsidRPr="00DE096C" w14:paraId="746472D4" w14:textId="77777777" w:rsidTr="00FA616C">
        <w:tc>
          <w:tcPr>
            <w:tcW w:w="0" w:type="auto"/>
            <w:tcBorders>
              <w:top w:val="nil"/>
              <w:left w:val="nil"/>
              <w:bottom w:val="nil"/>
              <w:right w:val="nil"/>
            </w:tcBorders>
            <w:vAlign w:val="bottom"/>
            <w:hideMark/>
          </w:tcPr>
          <w:p w14:paraId="70F41032" w14:textId="77777777" w:rsidR="004C2152" w:rsidRPr="00DE096C" w:rsidRDefault="004C2152" w:rsidP="00D45A46">
            <w:pPr>
              <w:jc w:val="both"/>
              <w:rPr>
                <w:bCs/>
                <w:color w:val="002060"/>
                <w:sz w:val="16"/>
                <w:szCs w:val="16"/>
              </w:rPr>
            </w:pPr>
            <w:r w:rsidRPr="00DE096C">
              <w:rPr>
                <w:bCs/>
                <w:color w:val="002060"/>
                <w:sz w:val="16"/>
                <w:szCs w:val="16"/>
              </w:rPr>
              <w:t>Название предприятия</w:t>
            </w:r>
          </w:p>
        </w:tc>
        <w:tc>
          <w:tcPr>
            <w:tcW w:w="0" w:type="auto"/>
            <w:tcBorders>
              <w:top w:val="nil"/>
              <w:left w:val="nil"/>
              <w:bottom w:val="nil"/>
              <w:right w:val="nil"/>
            </w:tcBorders>
            <w:vAlign w:val="bottom"/>
            <w:hideMark/>
          </w:tcPr>
          <w:p w14:paraId="5E1E441A" w14:textId="77777777" w:rsidR="004C2152" w:rsidRPr="00DE096C" w:rsidRDefault="004C2152" w:rsidP="00D45A46">
            <w:pPr>
              <w:jc w:val="both"/>
              <w:rPr>
                <w:bCs/>
                <w:color w:val="002060"/>
                <w:sz w:val="16"/>
                <w:szCs w:val="16"/>
              </w:rPr>
            </w:pPr>
            <w:r w:rsidRPr="00DE096C">
              <w:rPr>
                <w:bCs/>
                <w:color w:val="002060"/>
                <w:sz w:val="16"/>
                <w:szCs w:val="16"/>
              </w:rPr>
              <w:t>1909</w:t>
            </w:r>
          </w:p>
        </w:tc>
        <w:tc>
          <w:tcPr>
            <w:tcW w:w="0" w:type="auto"/>
            <w:tcBorders>
              <w:top w:val="nil"/>
              <w:left w:val="nil"/>
              <w:bottom w:val="nil"/>
              <w:right w:val="nil"/>
            </w:tcBorders>
            <w:vAlign w:val="bottom"/>
            <w:hideMark/>
          </w:tcPr>
          <w:p w14:paraId="4A276FB0" w14:textId="77777777" w:rsidR="004C2152" w:rsidRPr="00DE096C" w:rsidRDefault="004C2152" w:rsidP="00D45A46">
            <w:pPr>
              <w:jc w:val="both"/>
              <w:rPr>
                <w:bCs/>
                <w:color w:val="002060"/>
                <w:sz w:val="16"/>
                <w:szCs w:val="16"/>
              </w:rPr>
            </w:pPr>
            <w:r w:rsidRPr="00DE096C">
              <w:rPr>
                <w:bCs/>
                <w:color w:val="002060"/>
                <w:sz w:val="16"/>
                <w:szCs w:val="16"/>
              </w:rPr>
              <w:t>1910</w:t>
            </w:r>
          </w:p>
        </w:tc>
        <w:tc>
          <w:tcPr>
            <w:tcW w:w="0" w:type="auto"/>
            <w:tcBorders>
              <w:top w:val="nil"/>
              <w:left w:val="nil"/>
              <w:bottom w:val="nil"/>
              <w:right w:val="nil"/>
            </w:tcBorders>
            <w:vAlign w:val="bottom"/>
            <w:hideMark/>
          </w:tcPr>
          <w:p w14:paraId="65F48F66" w14:textId="77777777" w:rsidR="004C2152" w:rsidRPr="00DE096C" w:rsidRDefault="004C2152" w:rsidP="00D45A46">
            <w:pPr>
              <w:jc w:val="both"/>
              <w:rPr>
                <w:bCs/>
                <w:color w:val="002060"/>
                <w:sz w:val="16"/>
                <w:szCs w:val="16"/>
              </w:rPr>
            </w:pPr>
            <w:r w:rsidRPr="00DE096C">
              <w:rPr>
                <w:bCs/>
                <w:color w:val="002060"/>
                <w:sz w:val="16"/>
                <w:szCs w:val="16"/>
              </w:rPr>
              <w:t>1911</w:t>
            </w:r>
          </w:p>
        </w:tc>
        <w:tc>
          <w:tcPr>
            <w:tcW w:w="0" w:type="auto"/>
            <w:tcBorders>
              <w:top w:val="nil"/>
              <w:left w:val="nil"/>
              <w:bottom w:val="nil"/>
              <w:right w:val="nil"/>
            </w:tcBorders>
            <w:vAlign w:val="bottom"/>
            <w:hideMark/>
          </w:tcPr>
          <w:p w14:paraId="722E1B70" w14:textId="77777777" w:rsidR="004C2152" w:rsidRPr="00DE096C" w:rsidRDefault="004C2152" w:rsidP="00D45A46">
            <w:pPr>
              <w:jc w:val="both"/>
              <w:rPr>
                <w:bCs/>
                <w:color w:val="002060"/>
                <w:sz w:val="16"/>
                <w:szCs w:val="16"/>
              </w:rPr>
            </w:pPr>
            <w:r w:rsidRPr="00DE096C">
              <w:rPr>
                <w:bCs/>
                <w:color w:val="002060"/>
                <w:sz w:val="16"/>
                <w:szCs w:val="16"/>
              </w:rPr>
              <w:t>1912</w:t>
            </w:r>
          </w:p>
        </w:tc>
        <w:tc>
          <w:tcPr>
            <w:tcW w:w="0" w:type="auto"/>
            <w:tcBorders>
              <w:top w:val="nil"/>
              <w:left w:val="nil"/>
              <w:bottom w:val="nil"/>
              <w:right w:val="nil"/>
            </w:tcBorders>
            <w:vAlign w:val="bottom"/>
            <w:hideMark/>
          </w:tcPr>
          <w:p w14:paraId="6DDF7A4A" w14:textId="77777777" w:rsidR="004C2152" w:rsidRPr="00DE096C" w:rsidRDefault="004C2152" w:rsidP="00D45A46">
            <w:pPr>
              <w:jc w:val="both"/>
              <w:rPr>
                <w:bCs/>
                <w:color w:val="002060"/>
                <w:sz w:val="16"/>
                <w:szCs w:val="16"/>
              </w:rPr>
            </w:pPr>
            <w:r w:rsidRPr="00DE096C">
              <w:rPr>
                <w:bCs/>
                <w:color w:val="002060"/>
                <w:sz w:val="16"/>
                <w:szCs w:val="16"/>
              </w:rPr>
              <w:t>1913</w:t>
            </w:r>
          </w:p>
        </w:tc>
        <w:tc>
          <w:tcPr>
            <w:tcW w:w="0" w:type="auto"/>
            <w:tcBorders>
              <w:top w:val="nil"/>
              <w:left w:val="nil"/>
              <w:bottom w:val="nil"/>
              <w:right w:val="nil"/>
            </w:tcBorders>
            <w:vAlign w:val="bottom"/>
            <w:hideMark/>
          </w:tcPr>
          <w:p w14:paraId="31636A96" w14:textId="77777777" w:rsidR="004C2152" w:rsidRPr="00DE096C" w:rsidRDefault="004C2152" w:rsidP="00D45A46">
            <w:pPr>
              <w:jc w:val="both"/>
              <w:rPr>
                <w:bCs/>
                <w:color w:val="002060"/>
                <w:sz w:val="16"/>
                <w:szCs w:val="16"/>
              </w:rPr>
            </w:pPr>
            <w:r w:rsidRPr="00DE096C">
              <w:rPr>
                <w:bCs/>
                <w:color w:val="002060"/>
                <w:sz w:val="16"/>
                <w:szCs w:val="16"/>
              </w:rPr>
              <w:t>1914</w:t>
            </w:r>
          </w:p>
        </w:tc>
        <w:tc>
          <w:tcPr>
            <w:tcW w:w="0" w:type="auto"/>
            <w:tcBorders>
              <w:top w:val="nil"/>
              <w:left w:val="nil"/>
              <w:bottom w:val="nil"/>
              <w:right w:val="nil"/>
            </w:tcBorders>
            <w:vAlign w:val="bottom"/>
            <w:hideMark/>
          </w:tcPr>
          <w:p w14:paraId="4DFCC027" w14:textId="77777777" w:rsidR="004C2152" w:rsidRPr="00DE096C" w:rsidRDefault="004C2152" w:rsidP="00D45A46">
            <w:pPr>
              <w:jc w:val="both"/>
              <w:rPr>
                <w:bCs/>
                <w:color w:val="002060"/>
                <w:sz w:val="16"/>
                <w:szCs w:val="16"/>
              </w:rPr>
            </w:pPr>
            <w:r w:rsidRPr="00DE096C">
              <w:rPr>
                <w:bCs/>
                <w:color w:val="002060"/>
                <w:sz w:val="16"/>
                <w:szCs w:val="16"/>
              </w:rPr>
              <w:t>Всего</w:t>
            </w:r>
          </w:p>
        </w:tc>
      </w:tr>
      <w:tr w:rsidR="004C2152" w:rsidRPr="00DE096C" w14:paraId="57AA7204" w14:textId="77777777" w:rsidTr="00FA616C">
        <w:tc>
          <w:tcPr>
            <w:tcW w:w="0" w:type="auto"/>
            <w:tcBorders>
              <w:top w:val="nil"/>
              <w:left w:val="nil"/>
              <w:bottom w:val="nil"/>
              <w:right w:val="nil"/>
            </w:tcBorders>
            <w:vAlign w:val="bottom"/>
            <w:hideMark/>
          </w:tcPr>
          <w:p w14:paraId="4C9626FA" w14:textId="77777777" w:rsidR="004C2152" w:rsidRPr="00DE096C" w:rsidRDefault="004C2152" w:rsidP="00D45A46">
            <w:pPr>
              <w:jc w:val="both"/>
              <w:rPr>
                <w:bCs/>
                <w:color w:val="002060"/>
                <w:sz w:val="16"/>
                <w:szCs w:val="16"/>
              </w:rPr>
            </w:pPr>
            <w:r w:rsidRPr="00DE096C">
              <w:rPr>
                <w:bCs/>
                <w:color w:val="002060"/>
                <w:sz w:val="16"/>
                <w:szCs w:val="16"/>
              </w:rPr>
              <w:t>"Дукс"</w:t>
            </w:r>
          </w:p>
        </w:tc>
        <w:tc>
          <w:tcPr>
            <w:tcW w:w="0" w:type="auto"/>
            <w:tcBorders>
              <w:top w:val="nil"/>
              <w:left w:val="nil"/>
              <w:bottom w:val="nil"/>
              <w:right w:val="nil"/>
            </w:tcBorders>
            <w:vAlign w:val="bottom"/>
            <w:hideMark/>
          </w:tcPr>
          <w:p w14:paraId="37621751" w14:textId="77777777" w:rsidR="004C2152" w:rsidRPr="00DE096C" w:rsidRDefault="004C2152" w:rsidP="00D45A46">
            <w:pPr>
              <w:jc w:val="both"/>
              <w:rPr>
                <w:bCs/>
                <w:color w:val="002060"/>
                <w:sz w:val="16"/>
                <w:szCs w:val="16"/>
              </w:rPr>
            </w:pPr>
            <w:r w:rsidRPr="00DE096C">
              <w:rPr>
                <w:bCs/>
                <w:color w:val="002060"/>
                <w:sz w:val="16"/>
                <w:szCs w:val="16"/>
              </w:rPr>
              <w:t>11</w:t>
            </w:r>
          </w:p>
        </w:tc>
        <w:tc>
          <w:tcPr>
            <w:tcW w:w="0" w:type="auto"/>
            <w:tcBorders>
              <w:top w:val="nil"/>
              <w:left w:val="nil"/>
              <w:bottom w:val="nil"/>
              <w:right w:val="nil"/>
            </w:tcBorders>
            <w:vAlign w:val="bottom"/>
            <w:hideMark/>
          </w:tcPr>
          <w:p w14:paraId="492557BD" w14:textId="77777777" w:rsidR="004C2152" w:rsidRPr="00DE096C" w:rsidRDefault="004C2152" w:rsidP="00D45A46">
            <w:pPr>
              <w:jc w:val="both"/>
              <w:rPr>
                <w:bCs/>
                <w:color w:val="002060"/>
                <w:sz w:val="16"/>
                <w:szCs w:val="16"/>
              </w:rPr>
            </w:pPr>
            <w:r w:rsidRPr="00DE096C">
              <w:rPr>
                <w:bCs/>
                <w:color w:val="002060"/>
                <w:sz w:val="16"/>
                <w:szCs w:val="16"/>
              </w:rPr>
              <w:t>23</w:t>
            </w:r>
          </w:p>
        </w:tc>
        <w:tc>
          <w:tcPr>
            <w:tcW w:w="0" w:type="auto"/>
            <w:tcBorders>
              <w:top w:val="nil"/>
              <w:left w:val="nil"/>
              <w:bottom w:val="nil"/>
              <w:right w:val="nil"/>
            </w:tcBorders>
            <w:vAlign w:val="bottom"/>
            <w:hideMark/>
          </w:tcPr>
          <w:p w14:paraId="38A3DB48" w14:textId="77777777" w:rsidR="004C2152" w:rsidRPr="00DE096C" w:rsidRDefault="004C2152" w:rsidP="00D45A46">
            <w:pPr>
              <w:jc w:val="both"/>
              <w:rPr>
                <w:bCs/>
                <w:color w:val="002060"/>
                <w:sz w:val="16"/>
                <w:szCs w:val="16"/>
              </w:rPr>
            </w:pPr>
            <w:r w:rsidRPr="00DE096C">
              <w:rPr>
                <w:bCs/>
                <w:color w:val="002060"/>
                <w:sz w:val="16"/>
                <w:szCs w:val="16"/>
              </w:rPr>
              <w:t>37</w:t>
            </w:r>
          </w:p>
        </w:tc>
        <w:tc>
          <w:tcPr>
            <w:tcW w:w="0" w:type="auto"/>
            <w:tcBorders>
              <w:top w:val="nil"/>
              <w:left w:val="nil"/>
              <w:bottom w:val="nil"/>
              <w:right w:val="nil"/>
            </w:tcBorders>
            <w:vAlign w:val="bottom"/>
            <w:hideMark/>
          </w:tcPr>
          <w:p w14:paraId="01202909" w14:textId="77777777" w:rsidR="004C2152" w:rsidRPr="00DE096C" w:rsidRDefault="004C2152" w:rsidP="00D45A46">
            <w:pPr>
              <w:jc w:val="both"/>
              <w:rPr>
                <w:bCs/>
                <w:color w:val="002060"/>
                <w:sz w:val="16"/>
                <w:szCs w:val="16"/>
              </w:rPr>
            </w:pPr>
            <w:r w:rsidRPr="00DE096C">
              <w:rPr>
                <w:bCs/>
                <w:color w:val="002060"/>
                <w:sz w:val="16"/>
                <w:szCs w:val="16"/>
              </w:rPr>
              <w:t>66</w:t>
            </w:r>
          </w:p>
        </w:tc>
        <w:tc>
          <w:tcPr>
            <w:tcW w:w="0" w:type="auto"/>
            <w:tcBorders>
              <w:top w:val="nil"/>
              <w:left w:val="nil"/>
              <w:bottom w:val="nil"/>
              <w:right w:val="nil"/>
            </w:tcBorders>
            <w:vAlign w:val="bottom"/>
            <w:hideMark/>
          </w:tcPr>
          <w:p w14:paraId="49D2E382" w14:textId="77777777" w:rsidR="004C2152" w:rsidRPr="00DE096C" w:rsidRDefault="004C2152" w:rsidP="00D45A46">
            <w:pPr>
              <w:jc w:val="both"/>
              <w:rPr>
                <w:bCs/>
                <w:color w:val="002060"/>
                <w:sz w:val="16"/>
                <w:szCs w:val="16"/>
              </w:rPr>
            </w:pPr>
            <w:r w:rsidRPr="00DE096C">
              <w:rPr>
                <w:bCs/>
                <w:color w:val="002060"/>
                <w:sz w:val="16"/>
                <w:szCs w:val="16"/>
              </w:rPr>
              <w:t>199</w:t>
            </w:r>
          </w:p>
        </w:tc>
        <w:tc>
          <w:tcPr>
            <w:tcW w:w="0" w:type="auto"/>
            <w:tcBorders>
              <w:top w:val="nil"/>
              <w:left w:val="nil"/>
              <w:bottom w:val="nil"/>
              <w:right w:val="nil"/>
            </w:tcBorders>
            <w:vAlign w:val="bottom"/>
            <w:hideMark/>
          </w:tcPr>
          <w:p w14:paraId="3A6ED6A2" w14:textId="77777777" w:rsidR="004C2152" w:rsidRPr="00DE096C" w:rsidRDefault="004C2152" w:rsidP="00D45A46">
            <w:pPr>
              <w:jc w:val="both"/>
              <w:rPr>
                <w:bCs/>
                <w:color w:val="002060"/>
                <w:sz w:val="16"/>
                <w:szCs w:val="16"/>
              </w:rPr>
            </w:pPr>
            <w:r w:rsidRPr="00DE096C">
              <w:rPr>
                <w:bCs/>
                <w:color w:val="002060"/>
                <w:sz w:val="16"/>
                <w:szCs w:val="16"/>
              </w:rPr>
              <w:t>436</w:t>
            </w:r>
          </w:p>
        </w:tc>
        <w:tc>
          <w:tcPr>
            <w:tcW w:w="0" w:type="auto"/>
            <w:tcBorders>
              <w:top w:val="nil"/>
              <w:left w:val="nil"/>
              <w:bottom w:val="nil"/>
              <w:right w:val="nil"/>
            </w:tcBorders>
            <w:vAlign w:val="bottom"/>
            <w:hideMark/>
          </w:tcPr>
          <w:p w14:paraId="492CD314" w14:textId="77777777" w:rsidR="004C2152" w:rsidRPr="00DE096C" w:rsidRDefault="004C2152" w:rsidP="00D45A46">
            <w:pPr>
              <w:jc w:val="both"/>
              <w:rPr>
                <w:bCs/>
                <w:color w:val="002060"/>
                <w:sz w:val="16"/>
                <w:szCs w:val="16"/>
              </w:rPr>
            </w:pPr>
            <w:r w:rsidRPr="00DE096C">
              <w:rPr>
                <w:bCs/>
                <w:color w:val="002060"/>
                <w:sz w:val="16"/>
                <w:szCs w:val="16"/>
              </w:rPr>
              <w:t>772</w:t>
            </w:r>
          </w:p>
        </w:tc>
      </w:tr>
    </w:tbl>
    <w:p w14:paraId="40E4F5CB" w14:textId="12D8E67D" w:rsidR="004C2152" w:rsidRPr="00DE096C" w:rsidRDefault="004C2152" w:rsidP="00D45A46">
      <w:pPr>
        <w:jc w:val="both"/>
        <w:rPr>
          <w:bCs/>
          <w:color w:val="002060"/>
          <w:sz w:val="16"/>
          <w:szCs w:val="16"/>
        </w:rPr>
      </w:pPr>
      <w:r w:rsidRPr="00DE096C">
        <w:rPr>
          <w:bCs/>
          <w:color w:val="002060"/>
          <w:sz w:val="16"/>
          <w:szCs w:val="16"/>
        </w:rPr>
        <w:t>Аксае было собрано и изготовлено 343 автомобиля.</w:t>
      </w:r>
      <w:r w:rsidR="0006581C">
        <w:rPr>
          <w:bCs/>
          <w:color w:val="002060"/>
          <w:sz w:val="16"/>
          <w:szCs w:val="16"/>
        </w:rPr>
        <w:t xml:space="preserve"> </w:t>
      </w:r>
    </w:p>
    <w:tbl>
      <w:tblPr>
        <w:tblW w:w="0" w:type="auto"/>
        <w:tblCellMar>
          <w:left w:w="0" w:type="dxa"/>
          <w:right w:w="0" w:type="dxa"/>
        </w:tblCellMar>
        <w:tblLook w:val="04A0" w:firstRow="1" w:lastRow="0" w:firstColumn="1" w:lastColumn="0" w:noHBand="0" w:noVBand="1"/>
      </w:tblPr>
      <w:tblGrid>
        <w:gridCol w:w="1631"/>
        <w:gridCol w:w="400"/>
        <w:gridCol w:w="400"/>
        <w:gridCol w:w="400"/>
        <w:gridCol w:w="400"/>
        <w:gridCol w:w="400"/>
        <w:gridCol w:w="400"/>
        <w:gridCol w:w="400"/>
        <w:gridCol w:w="400"/>
        <w:gridCol w:w="475"/>
      </w:tblGrid>
      <w:tr w:rsidR="004C2152" w:rsidRPr="00DE096C" w14:paraId="3D586937" w14:textId="77777777" w:rsidTr="00FA616C">
        <w:tc>
          <w:tcPr>
            <w:tcW w:w="0" w:type="auto"/>
            <w:tcBorders>
              <w:top w:val="nil"/>
              <w:left w:val="nil"/>
              <w:bottom w:val="nil"/>
              <w:right w:val="nil"/>
            </w:tcBorders>
            <w:vAlign w:val="bottom"/>
            <w:hideMark/>
          </w:tcPr>
          <w:p w14:paraId="2AB64DA1" w14:textId="2BA8D85E" w:rsidR="004C2152" w:rsidRPr="00DE096C" w:rsidRDefault="0006581C" w:rsidP="00D45A46">
            <w:pPr>
              <w:jc w:val="both"/>
              <w:rPr>
                <w:bCs/>
                <w:color w:val="002060"/>
                <w:sz w:val="16"/>
                <w:szCs w:val="16"/>
              </w:rPr>
            </w:pPr>
            <w:r>
              <w:rPr>
                <w:bCs/>
                <w:color w:val="002060"/>
                <w:sz w:val="16"/>
                <w:szCs w:val="16"/>
              </w:rPr>
              <w:t xml:space="preserve"> </w:t>
            </w:r>
            <w:r w:rsidR="004C2152" w:rsidRPr="00DE096C">
              <w:rPr>
                <w:bCs/>
                <w:color w:val="002060"/>
                <w:sz w:val="16"/>
                <w:szCs w:val="16"/>
              </w:rPr>
              <w:t xml:space="preserve"> Название предприятия</w:t>
            </w:r>
          </w:p>
        </w:tc>
        <w:tc>
          <w:tcPr>
            <w:tcW w:w="0" w:type="auto"/>
            <w:tcBorders>
              <w:top w:val="nil"/>
              <w:left w:val="nil"/>
              <w:bottom w:val="nil"/>
              <w:right w:val="nil"/>
            </w:tcBorders>
            <w:vAlign w:val="bottom"/>
            <w:hideMark/>
          </w:tcPr>
          <w:p w14:paraId="2ECCEE02" w14:textId="066BB588" w:rsidR="004C2152" w:rsidRPr="00DE096C" w:rsidRDefault="0006581C" w:rsidP="00D45A46">
            <w:pPr>
              <w:jc w:val="both"/>
              <w:rPr>
                <w:bCs/>
                <w:color w:val="002060"/>
                <w:sz w:val="16"/>
                <w:szCs w:val="16"/>
              </w:rPr>
            </w:pPr>
            <w:r>
              <w:rPr>
                <w:bCs/>
                <w:color w:val="002060"/>
                <w:sz w:val="16"/>
                <w:szCs w:val="16"/>
              </w:rPr>
              <w:t xml:space="preserve"> </w:t>
            </w:r>
            <w:r w:rsidR="004C2152" w:rsidRPr="00DE096C">
              <w:rPr>
                <w:bCs/>
                <w:color w:val="002060"/>
                <w:sz w:val="16"/>
                <w:szCs w:val="16"/>
              </w:rPr>
              <w:t xml:space="preserve"> 1907</w:t>
            </w:r>
          </w:p>
        </w:tc>
        <w:tc>
          <w:tcPr>
            <w:tcW w:w="0" w:type="auto"/>
            <w:tcBorders>
              <w:top w:val="nil"/>
              <w:left w:val="nil"/>
              <w:bottom w:val="nil"/>
              <w:right w:val="nil"/>
            </w:tcBorders>
            <w:vAlign w:val="bottom"/>
            <w:hideMark/>
          </w:tcPr>
          <w:p w14:paraId="06D39860" w14:textId="794331EF" w:rsidR="004C2152" w:rsidRPr="00DE096C" w:rsidRDefault="0006581C" w:rsidP="00D45A46">
            <w:pPr>
              <w:jc w:val="both"/>
              <w:rPr>
                <w:bCs/>
                <w:color w:val="002060"/>
                <w:sz w:val="16"/>
                <w:szCs w:val="16"/>
              </w:rPr>
            </w:pPr>
            <w:r>
              <w:rPr>
                <w:bCs/>
                <w:color w:val="002060"/>
                <w:sz w:val="16"/>
                <w:szCs w:val="16"/>
              </w:rPr>
              <w:t xml:space="preserve"> </w:t>
            </w:r>
            <w:r w:rsidR="004C2152" w:rsidRPr="00DE096C">
              <w:rPr>
                <w:bCs/>
                <w:color w:val="002060"/>
                <w:sz w:val="16"/>
                <w:szCs w:val="16"/>
              </w:rPr>
              <w:t xml:space="preserve"> 1908</w:t>
            </w:r>
          </w:p>
        </w:tc>
        <w:tc>
          <w:tcPr>
            <w:tcW w:w="0" w:type="auto"/>
            <w:tcBorders>
              <w:top w:val="nil"/>
              <w:left w:val="nil"/>
              <w:bottom w:val="nil"/>
              <w:right w:val="nil"/>
            </w:tcBorders>
            <w:vAlign w:val="bottom"/>
            <w:hideMark/>
          </w:tcPr>
          <w:p w14:paraId="7E893F96" w14:textId="1A7F0723" w:rsidR="004C2152" w:rsidRPr="00DE096C" w:rsidRDefault="0006581C" w:rsidP="00D45A46">
            <w:pPr>
              <w:jc w:val="both"/>
              <w:rPr>
                <w:bCs/>
                <w:color w:val="002060"/>
                <w:sz w:val="16"/>
                <w:szCs w:val="16"/>
              </w:rPr>
            </w:pPr>
            <w:r>
              <w:rPr>
                <w:bCs/>
                <w:color w:val="002060"/>
                <w:sz w:val="16"/>
                <w:szCs w:val="16"/>
              </w:rPr>
              <w:t xml:space="preserve"> </w:t>
            </w:r>
            <w:r w:rsidR="004C2152" w:rsidRPr="00DE096C">
              <w:rPr>
                <w:bCs/>
                <w:color w:val="002060"/>
                <w:sz w:val="16"/>
                <w:szCs w:val="16"/>
              </w:rPr>
              <w:t xml:space="preserve"> 1909</w:t>
            </w:r>
          </w:p>
        </w:tc>
        <w:tc>
          <w:tcPr>
            <w:tcW w:w="0" w:type="auto"/>
            <w:tcBorders>
              <w:top w:val="nil"/>
              <w:left w:val="nil"/>
              <w:bottom w:val="nil"/>
              <w:right w:val="nil"/>
            </w:tcBorders>
            <w:vAlign w:val="bottom"/>
            <w:hideMark/>
          </w:tcPr>
          <w:p w14:paraId="72595DD7" w14:textId="6C7D4F2A" w:rsidR="004C2152" w:rsidRPr="00DE096C" w:rsidRDefault="0006581C" w:rsidP="00D45A46">
            <w:pPr>
              <w:jc w:val="both"/>
              <w:rPr>
                <w:bCs/>
                <w:color w:val="002060"/>
                <w:sz w:val="16"/>
                <w:szCs w:val="16"/>
              </w:rPr>
            </w:pPr>
            <w:r>
              <w:rPr>
                <w:bCs/>
                <w:color w:val="002060"/>
                <w:sz w:val="16"/>
                <w:szCs w:val="16"/>
              </w:rPr>
              <w:t xml:space="preserve"> </w:t>
            </w:r>
            <w:r w:rsidR="004C2152" w:rsidRPr="00DE096C">
              <w:rPr>
                <w:bCs/>
                <w:color w:val="002060"/>
                <w:sz w:val="16"/>
                <w:szCs w:val="16"/>
              </w:rPr>
              <w:t xml:space="preserve"> 1910</w:t>
            </w:r>
          </w:p>
        </w:tc>
        <w:tc>
          <w:tcPr>
            <w:tcW w:w="0" w:type="auto"/>
            <w:tcBorders>
              <w:top w:val="nil"/>
              <w:left w:val="nil"/>
              <w:bottom w:val="nil"/>
              <w:right w:val="nil"/>
            </w:tcBorders>
            <w:vAlign w:val="bottom"/>
            <w:hideMark/>
          </w:tcPr>
          <w:p w14:paraId="69720726" w14:textId="6F077D0F" w:rsidR="004C2152" w:rsidRPr="00DE096C" w:rsidRDefault="0006581C" w:rsidP="00D45A46">
            <w:pPr>
              <w:jc w:val="both"/>
              <w:rPr>
                <w:bCs/>
                <w:color w:val="002060"/>
                <w:sz w:val="16"/>
                <w:szCs w:val="16"/>
              </w:rPr>
            </w:pPr>
            <w:r>
              <w:rPr>
                <w:bCs/>
                <w:color w:val="002060"/>
                <w:sz w:val="16"/>
                <w:szCs w:val="16"/>
              </w:rPr>
              <w:t xml:space="preserve"> </w:t>
            </w:r>
            <w:r w:rsidR="004C2152" w:rsidRPr="00DE096C">
              <w:rPr>
                <w:bCs/>
                <w:color w:val="002060"/>
                <w:sz w:val="16"/>
                <w:szCs w:val="16"/>
              </w:rPr>
              <w:t xml:space="preserve"> 1911</w:t>
            </w:r>
          </w:p>
        </w:tc>
        <w:tc>
          <w:tcPr>
            <w:tcW w:w="0" w:type="auto"/>
            <w:tcBorders>
              <w:top w:val="nil"/>
              <w:left w:val="nil"/>
              <w:bottom w:val="nil"/>
              <w:right w:val="nil"/>
            </w:tcBorders>
            <w:vAlign w:val="bottom"/>
            <w:hideMark/>
          </w:tcPr>
          <w:p w14:paraId="56893B5C" w14:textId="29D504C2" w:rsidR="004C2152" w:rsidRPr="00DE096C" w:rsidRDefault="0006581C" w:rsidP="00D45A46">
            <w:pPr>
              <w:jc w:val="both"/>
              <w:rPr>
                <w:bCs/>
                <w:color w:val="002060"/>
                <w:sz w:val="16"/>
                <w:szCs w:val="16"/>
              </w:rPr>
            </w:pPr>
            <w:r>
              <w:rPr>
                <w:bCs/>
                <w:color w:val="002060"/>
                <w:sz w:val="16"/>
                <w:szCs w:val="16"/>
              </w:rPr>
              <w:t xml:space="preserve"> </w:t>
            </w:r>
            <w:r w:rsidR="004C2152" w:rsidRPr="00DE096C">
              <w:rPr>
                <w:bCs/>
                <w:color w:val="002060"/>
                <w:sz w:val="16"/>
                <w:szCs w:val="16"/>
              </w:rPr>
              <w:t xml:space="preserve"> 1912</w:t>
            </w:r>
          </w:p>
        </w:tc>
        <w:tc>
          <w:tcPr>
            <w:tcW w:w="0" w:type="auto"/>
            <w:tcBorders>
              <w:top w:val="nil"/>
              <w:left w:val="nil"/>
              <w:bottom w:val="nil"/>
              <w:right w:val="nil"/>
            </w:tcBorders>
            <w:vAlign w:val="bottom"/>
            <w:hideMark/>
          </w:tcPr>
          <w:p w14:paraId="69B70A3E" w14:textId="49F77BF4" w:rsidR="004C2152" w:rsidRPr="00DE096C" w:rsidRDefault="0006581C" w:rsidP="00D45A46">
            <w:pPr>
              <w:jc w:val="both"/>
              <w:rPr>
                <w:bCs/>
                <w:color w:val="002060"/>
                <w:sz w:val="16"/>
                <w:szCs w:val="16"/>
              </w:rPr>
            </w:pPr>
            <w:r>
              <w:rPr>
                <w:bCs/>
                <w:color w:val="002060"/>
                <w:sz w:val="16"/>
                <w:szCs w:val="16"/>
              </w:rPr>
              <w:t xml:space="preserve"> </w:t>
            </w:r>
            <w:r w:rsidR="004C2152" w:rsidRPr="00DE096C">
              <w:rPr>
                <w:bCs/>
                <w:color w:val="002060"/>
                <w:sz w:val="16"/>
                <w:szCs w:val="16"/>
              </w:rPr>
              <w:t xml:space="preserve"> 1913</w:t>
            </w:r>
          </w:p>
        </w:tc>
        <w:tc>
          <w:tcPr>
            <w:tcW w:w="0" w:type="auto"/>
            <w:tcBorders>
              <w:top w:val="nil"/>
              <w:left w:val="nil"/>
              <w:bottom w:val="nil"/>
              <w:right w:val="nil"/>
            </w:tcBorders>
            <w:vAlign w:val="bottom"/>
            <w:hideMark/>
          </w:tcPr>
          <w:p w14:paraId="2E10D3DA" w14:textId="5E1BAA4E" w:rsidR="004C2152" w:rsidRPr="00DE096C" w:rsidRDefault="0006581C" w:rsidP="00D45A46">
            <w:pPr>
              <w:jc w:val="both"/>
              <w:rPr>
                <w:bCs/>
                <w:color w:val="002060"/>
                <w:sz w:val="16"/>
                <w:szCs w:val="16"/>
              </w:rPr>
            </w:pPr>
            <w:r>
              <w:rPr>
                <w:bCs/>
                <w:color w:val="002060"/>
                <w:sz w:val="16"/>
                <w:szCs w:val="16"/>
              </w:rPr>
              <w:t xml:space="preserve"> </w:t>
            </w:r>
            <w:r w:rsidR="004C2152" w:rsidRPr="00DE096C">
              <w:rPr>
                <w:bCs/>
                <w:color w:val="002060"/>
                <w:sz w:val="16"/>
                <w:szCs w:val="16"/>
              </w:rPr>
              <w:t xml:space="preserve"> 1914</w:t>
            </w:r>
          </w:p>
        </w:tc>
        <w:tc>
          <w:tcPr>
            <w:tcW w:w="0" w:type="auto"/>
            <w:tcBorders>
              <w:top w:val="nil"/>
              <w:left w:val="nil"/>
              <w:bottom w:val="nil"/>
              <w:right w:val="nil"/>
            </w:tcBorders>
            <w:vAlign w:val="bottom"/>
            <w:hideMark/>
          </w:tcPr>
          <w:p w14:paraId="569C182D" w14:textId="3FF31228" w:rsidR="004C2152" w:rsidRPr="00DE096C" w:rsidRDefault="0006581C" w:rsidP="00D45A46">
            <w:pPr>
              <w:jc w:val="both"/>
              <w:rPr>
                <w:bCs/>
                <w:color w:val="002060"/>
                <w:sz w:val="16"/>
                <w:szCs w:val="16"/>
              </w:rPr>
            </w:pPr>
            <w:r>
              <w:rPr>
                <w:bCs/>
                <w:color w:val="002060"/>
                <w:sz w:val="16"/>
                <w:szCs w:val="16"/>
              </w:rPr>
              <w:t xml:space="preserve"> </w:t>
            </w:r>
            <w:r w:rsidR="004C2152" w:rsidRPr="00DE096C">
              <w:rPr>
                <w:bCs/>
                <w:color w:val="002060"/>
                <w:sz w:val="16"/>
                <w:szCs w:val="16"/>
              </w:rPr>
              <w:t xml:space="preserve"> Всего</w:t>
            </w:r>
          </w:p>
        </w:tc>
      </w:tr>
      <w:tr w:rsidR="004C2152" w:rsidRPr="00DE096C" w14:paraId="286DA44D" w14:textId="77777777" w:rsidTr="00FA616C">
        <w:tc>
          <w:tcPr>
            <w:tcW w:w="0" w:type="auto"/>
            <w:tcBorders>
              <w:top w:val="nil"/>
              <w:left w:val="nil"/>
              <w:bottom w:val="nil"/>
              <w:right w:val="nil"/>
            </w:tcBorders>
            <w:vAlign w:val="bottom"/>
            <w:hideMark/>
          </w:tcPr>
          <w:p w14:paraId="03C927EB" w14:textId="524C8908" w:rsidR="004C2152" w:rsidRPr="00DE096C" w:rsidRDefault="0006581C" w:rsidP="00D45A46">
            <w:pPr>
              <w:jc w:val="both"/>
              <w:rPr>
                <w:bCs/>
                <w:color w:val="002060"/>
                <w:sz w:val="16"/>
                <w:szCs w:val="16"/>
              </w:rPr>
            </w:pPr>
            <w:r>
              <w:rPr>
                <w:bCs/>
                <w:color w:val="002060"/>
                <w:sz w:val="16"/>
                <w:szCs w:val="16"/>
              </w:rPr>
              <w:t xml:space="preserve"> </w:t>
            </w:r>
            <w:r w:rsidR="004C2152" w:rsidRPr="00DE096C">
              <w:rPr>
                <w:bCs/>
                <w:color w:val="002060"/>
                <w:sz w:val="16"/>
                <w:szCs w:val="16"/>
              </w:rPr>
              <w:t xml:space="preserve"> "Аксай"</w:t>
            </w:r>
          </w:p>
        </w:tc>
        <w:tc>
          <w:tcPr>
            <w:tcW w:w="0" w:type="auto"/>
            <w:tcBorders>
              <w:top w:val="nil"/>
              <w:left w:val="nil"/>
              <w:bottom w:val="nil"/>
              <w:right w:val="nil"/>
            </w:tcBorders>
            <w:vAlign w:val="bottom"/>
            <w:hideMark/>
          </w:tcPr>
          <w:p w14:paraId="570D1A0B" w14:textId="5CDACBF4" w:rsidR="004C2152" w:rsidRPr="00DE096C" w:rsidRDefault="0006581C" w:rsidP="00D45A46">
            <w:pPr>
              <w:jc w:val="both"/>
              <w:rPr>
                <w:bCs/>
                <w:color w:val="002060"/>
                <w:sz w:val="16"/>
                <w:szCs w:val="16"/>
              </w:rPr>
            </w:pPr>
            <w:r>
              <w:rPr>
                <w:bCs/>
                <w:color w:val="002060"/>
                <w:sz w:val="16"/>
                <w:szCs w:val="16"/>
              </w:rPr>
              <w:t xml:space="preserve"> </w:t>
            </w:r>
            <w:r w:rsidR="004C2152" w:rsidRPr="00DE096C">
              <w:rPr>
                <w:bCs/>
                <w:color w:val="002060"/>
                <w:sz w:val="16"/>
                <w:szCs w:val="16"/>
              </w:rPr>
              <w:t xml:space="preserve"> 2</w:t>
            </w:r>
          </w:p>
        </w:tc>
        <w:tc>
          <w:tcPr>
            <w:tcW w:w="0" w:type="auto"/>
            <w:tcBorders>
              <w:top w:val="nil"/>
              <w:left w:val="nil"/>
              <w:bottom w:val="nil"/>
              <w:right w:val="nil"/>
            </w:tcBorders>
            <w:vAlign w:val="bottom"/>
            <w:hideMark/>
          </w:tcPr>
          <w:p w14:paraId="2CACF043" w14:textId="362C68B8" w:rsidR="004C2152" w:rsidRPr="00DE096C" w:rsidRDefault="0006581C" w:rsidP="00D45A46">
            <w:pPr>
              <w:jc w:val="both"/>
              <w:rPr>
                <w:bCs/>
                <w:color w:val="002060"/>
                <w:sz w:val="16"/>
                <w:szCs w:val="16"/>
              </w:rPr>
            </w:pPr>
            <w:r>
              <w:rPr>
                <w:bCs/>
                <w:color w:val="002060"/>
                <w:sz w:val="16"/>
                <w:szCs w:val="16"/>
              </w:rPr>
              <w:t xml:space="preserve"> </w:t>
            </w:r>
            <w:r w:rsidR="004C2152" w:rsidRPr="00DE096C">
              <w:rPr>
                <w:bCs/>
                <w:color w:val="002060"/>
                <w:sz w:val="16"/>
                <w:szCs w:val="16"/>
              </w:rPr>
              <w:t xml:space="preserve"> 11</w:t>
            </w:r>
          </w:p>
        </w:tc>
        <w:tc>
          <w:tcPr>
            <w:tcW w:w="0" w:type="auto"/>
            <w:tcBorders>
              <w:top w:val="nil"/>
              <w:left w:val="nil"/>
              <w:bottom w:val="nil"/>
              <w:right w:val="nil"/>
            </w:tcBorders>
            <w:vAlign w:val="bottom"/>
            <w:hideMark/>
          </w:tcPr>
          <w:p w14:paraId="018A1322" w14:textId="6141FDBB" w:rsidR="004C2152" w:rsidRPr="00DE096C" w:rsidRDefault="0006581C" w:rsidP="00D45A46">
            <w:pPr>
              <w:jc w:val="both"/>
              <w:rPr>
                <w:bCs/>
                <w:color w:val="002060"/>
                <w:sz w:val="16"/>
                <w:szCs w:val="16"/>
              </w:rPr>
            </w:pPr>
            <w:r>
              <w:rPr>
                <w:bCs/>
                <w:color w:val="002060"/>
                <w:sz w:val="16"/>
                <w:szCs w:val="16"/>
              </w:rPr>
              <w:t xml:space="preserve"> </w:t>
            </w:r>
            <w:r w:rsidR="004C2152" w:rsidRPr="00DE096C">
              <w:rPr>
                <w:bCs/>
                <w:color w:val="002060"/>
                <w:sz w:val="16"/>
                <w:szCs w:val="16"/>
              </w:rPr>
              <w:t xml:space="preserve"> 19</w:t>
            </w:r>
          </w:p>
        </w:tc>
        <w:tc>
          <w:tcPr>
            <w:tcW w:w="0" w:type="auto"/>
            <w:tcBorders>
              <w:top w:val="nil"/>
              <w:left w:val="nil"/>
              <w:bottom w:val="nil"/>
              <w:right w:val="nil"/>
            </w:tcBorders>
            <w:vAlign w:val="bottom"/>
            <w:hideMark/>
          </w:tcPr>
          <w:p w14:paraId="290CBC32" w14:textId="61D2E44E" w:rsidR="004C2152" w:rsidRPr="00DE096C" w:rsidRDefault="0006581C" w:rsidP="00D45A46">
            <w:pPr>
              <w:jc w:val="both"/>
              <w:rPr>
                <w:bCs/>
                <w:color w:val="002060"/>
                <w:sz w:val="16"/>
                <w:szCs w:val="16"/>
              </w:rPr>
            </w:pPr>
            <w:r>
              <w:rPr>
                <w:bCs/>
                <w:color w:val="002060"/>
                <w:sz w:val="16"/>
                <w:szCs w:val="16"/>
              </w:rPr>
              <w:t xml:space="preserve"> </w:t>
            </w:r>
            <w:r w:rsidR="004C2152" w:rsidRPr="00DE096C">
              <w:rPr>
                <w:bCs/>
                <w:color w:val="002060"/>
                <w:sz w:val="16"/>
                <w:szCs w:val="16"/>
              </w:rPr>
              <w:t xml:space="preserve"> 21</w:t>
            </w:r>
          </w:p>
        </w:tc>
        <w:tc>
          <w:tcPr>
            <w:tcW w:w="0" w:type="auto"/>
            <w:tcBorders>
              <w:top w:val="nil"/>
              <w:left w:val="nil"/>
              <w:bottom w:val="nil"/>
              <w:right w:val="nil"/>
            </w:tcBorders>
            <w:vAlign w:val="bottom"/>
            <w:hideMark/>
          </w:tcPr>
          <w:p w14:paraId="689C9085" w14:textId="39A3F97F" w:rsidR="004C2152" w:rsidRPr="00DE096C" w:rsidRDefault="0006581C" w:rsidP="00D45A46">
            <w:pPr>
              <w:jc w:val="both"/>
              <w:rPr>
                <w:bCs/>
                <w:color w:val="002060"/>
                <w:sz w:val="16"/>
                <w:szCs w:val="16"/>
              </w:rPr>
            </w:pPr>
            <w:r>
              <w:rPr>
                <w:bCs/>
                <w:color w:val="002060"/>
                <w:sz w:val="16"/>
                <w:szCs w:val="16"/>
              </w:rPr>
              <w:t xml:space="preserve"> </w:t>
            </w:r>
            <w:r w:rsidR="004C2152" w:rsidRPr="00DE096C">
              <w:rPr>
                <w:bCs/>
                <w:color w:val="002060"/>
                <w:sz w:val="16"/>
                <w:szCs w:val="16"/>
              </w:rPr>
              <w:t xml:space="preserve"> 38</w:t>
            </w:r>
          </w:p>
        </w:tc>
        <w:tc>
          <w:tcPr>
            <w:tcW w:w="0" w:type="auto"/>
            <w:tcBorders>
              <w:top w:val="nil"/>
              <w:left w:val="nil"/>
              <w:bottom w:val="nil"/>
              <w:right w:val="nil"/>
            </w:tcBorders>
            <w:vAlign w:val="bottom"/>
            <w:hideMark/>
          </w:tcPr>
          <w:p w14:paraId="59613929" w14:textId="4722991D" w:rsidR="004C2152" w:rsidRPr="00DE096C" w:rsidRDefault="0006581C" w:rsidP="00D45A46">
            <w:pPr>
              <w:jc w:val="both"/>
              <w:rPr>
                <w:bCs/>
                <w:color w:val="002060"/>
                <w:sz w:val="16"/>
                <w:szCs w:val="16"/>
              </w:rPr>
            </w:pPr>
            <w:r>
              <w:rPr>
                <w:bCs/>
                <w:color w:val="002060"/>
                <w:sz w:val="16"/>
                <w:szCs w:val="16"/>
              </w:rPr>
              <w:t xml:space="preserve"> </w:t>
            </w:r>
            <w:r w:rsidR="004C2152" w:rsidRPr="00DE096C">
              <w:rPr>
                <w:bCs/>
                <w:color w:val="002060"/>
                <w:sz w:val="16"/>
                <w:szCs w:val="16"/>
              </w:rPr>
              <w:t xml:space="preserve"> 55</w:t>
            </w:r>
          </w:p>
        </w:tc>
        <w:tc>
          <w:tcPr>
            <w:tcW w:w="0" w:type="auto"/>
            <w:tcBorders>
              <w:top w:val="nil"/>
              <w:left w:val="nil"/>
              <w:bottom w:val="nil"/>
              <w:right w:val="nil"/>
            </w:tcBorders>
            <w:vAlign w:val="bottom"/>
            <w:hideMark/>
          </w:tcPr>
          <w:p w14:paraId="01DABF34" w14:textId="0C86214A" w:rsidR="004C2152" w:rsidRPr="00DE096C" w:rsidRDefault="0006581C" w:rsidP="00D45A46">
            <w:pPr>
              <w:jc w:val="both"/>
              <w:rPr>
                <w:bCs/>
                <w:color w:val="002060"/>
                <w:sz w:val="16"/>
                <w:szCs w:val="16"/>
              </w:rPr>
            </w:pPr>
            <w:r>
              <w:rPr>
                <w:bCs/>
                <w:color w:val="002060"/>
                <w:sz w:val="16"/>
                <w:szCs w:val="16"/>
              </w:rPr>
              <w:t xml:space="preserve"> </w:t>
            </w:r>
            <w:r w:rsidR="004C2152" w:rsidRPr="00DE096C">
              <w:rPr>
                <w:bCs/>
                <w:color w:val="002060"/>
                <w:sz w:val="16"/>
                <w:szCs w:val="16"/>
              </w:rPr>
              <w:t xml:space="preserve"> 76</w:t>
            </w:r>
          </w:p>
        </w:tc>
        <w:tc>
          <w:tcPr>
            <w:tcW w:w="0" w:type="auto"/>
            <w:tcBorders>
              <w:top w:val="nil"/>
              <w:left w:val="nil"/>
              <w:bottom w:val="nil"/>
              <w:right w:val="nil"/>
            </w:tcBorders>
            <w:vAlign w:val="bottom"/>
            <w:hideMark/>
          </w:tcPr>
          <w:p w14:paraId="3FE5D12F" w14:textId="748D6FEB" w:rsidR="004C2152" w:rsidRPr="00DE096C" w:rsidRDefault="0006581C" w:rsidP="00D45A46">
            <w:pPr>
              <w:jc w:val="both"/>
              <w:rPr>
                <w:bCs/>
                <w:color w:val="002060"/>
                <w:sz w:val="16"/>
                <w:szCs w:val="16"/>
              </w:rPr>
            </w:pPr>
            <w:r>
              <w:rPr>
                <w:bCs/>
                <w:color w:val="002060"/>
                <w:sz w:val="16"/>
                <w:szCs w:val="16"/>
              </w:rPr>
              <w:t xml:space="preserve"> </w:t>
            </w:r>
            <w:r w:rsidR="004C2152" w:rsidRPr="00DE096C">
              <w:rPr>
                <w:bCs/>
                <w:color w:val="002060"/>
                <w:sz w:val="16"/>
                <w:szCs w:val="16"/>
              </w:rPr>
              <w:t xml:space="preserve"> 121</w:t>
            </w:r>
          </w:p>
        </w:tc>
        <w:tc>
          <w:tcPr>
            <w:tcW w:w="0" w:type="auto"/>
            <w:tcBorders>
              <w:top w:val="nil"/>
              <w:left w:val="nil"/>
              <w:bottom w:val="nil"/>
              <w:right w:val="nil"/>
            </w:tcBorders>
            <w:vAlign w:val="bottom"/>
            <w:hideMark/>
          </w:tcPr>
          <w:p w14:paraId="6E96C0C1" w14:textId="63B0310F" w:rsidR="004C2152" w:rsidRPr="00DE096C" w:rsidRDefault="0006581C" w:rsidP="00D45A46">
            <w:pPr>
              <w:jc w:val="both"/>
              <w:rPr>
                <w:bCs/>
                <w:color w:val="002060"/>
                <w:sz w:val="16"/>
                <w:szCs w:val="16"/>
              </w:rPr>
            </w:pPr>
            <w:r>
              <w:rPr>
                <w:bCs/>
                <w:color w:val="002060"/>
                <w:sz w:val="16"/>
                <w:szCs w:val="16"/>
              </w:rPr>
              <w:t xml:space="preserve"> </w:t>
            </w:r>
            <w:r w:rsidR="004C2152" w:rsidRPr="00DE096C">
              <w:rPr>
                <w:bCs/>
                <w:color w:val="002060"/>
                <w:sz w:val="16"/>
                <w:szCs w:val="16"/>
              </w:rPr>
              <w:t xml:space="preserve"> 343</w:t>
            </w:r>
          </w:p>
        </w:tc>
      </w:tr>
    </w:tbl>
    <w:p w14:paraId="1144DEF0" w14:textId="77777777" w:rsidR="004C2152" w:rsidRPr="00DE096C" w:rsidRDefault="004C2152" w:rsidP="00D45A46">
      <w:pPr>
        <w:jc w:val="both"/>
        <w:rPr>
          <w:bCs/>
          <w:color w:val="002060"/>
          <w:sz w:val="16"/>
          <w:szCs w:val="16"/>
        </w:rPr>
      </w:pPr>
      <w:r w:rsidRPr="00DE096C">
        <w:rPr>
          <w:bCs/>
          <w:color w:val="002060"/>
          <w:sz w:val="16"/>
          <w:szCs w:val="16"/>
        </w:rPr>
        <w:t>На АМО собрали 432 автомобиля "ФИАТ-15 тер", причём количество итальянских деталей постоянно снижалось, а с октября 1915 года завод сам уже выпускал все комплектующие. С переходом на комплектующие собственного производства, впрочем, выпуск автомобилей временно упал. Так, в следующем 1915 году удалось выпустить всего 221 машину (18376).</w:t>
      </w:r>
    </w:p>
    <w:tbl>
      <w:tblPr>
        <w:tblW w:w="0" w:type="auto"/>
        <w:tblCellMar>
          <w:left w:w="0" w:type="dxa"/>
          <w:right w:w="0" w:type="dxa"/>
        </w:tblCellMar>
        <w:tblLook w:val="04A0" w:firstRow="1" w:lastRow="0" w:firstColumn="1" w:lastColumn="0" w:noHBand="0" w:noVBand="1"/>
      </w:tblPr>
      <w:tblGrid>
        <w:gridCol w:w="1551"/>
        <w:gridCol w:w="400"/>
        <w:gridCol w:w="475"/>
      </w:tblGrid>
      <w:tr w:rsidR="004C2152" w:rsidRPr="00DE096C" w14:paraId="42C00101" w14:textId="77777777" w:rsidTr="00FA616C">
        <w:tc>
          <w:tcPr>
            <w:tcW w:w="0" w:type="auto"/>
            <w:tcBorders>
              <w:top w:val="nil"/>
              <w:left w:val="nil"/>
              <w:bottom w:val="nil"/>
              <w:right w:val="nil"/>
            </w:tcBorders>
            <w:vAlign w:val="bottom"/>
            <w:hideMark/>
          </w:tcPr>
          <w:p w14:paraId="1A29632C" w14:textId="77777777" w:rsidR="004C2152" w:rsidRPr="00DE096C" w:rsidRDefault="004C2152" w:rsidP="00D45A46">
            <w:pPr>
              <w:jc w:val="both"/>
              <w:rPr>
                <w:bCs/>
                <w:color w:val="002060"/>
                <w:sz w:val="16"/>
                <w:szCs w:val="16"/>
              </w:rPr>
            </w:pPr>
            <w:r w:rsidRPr="00DE096C">
              <w:rPr>
                <w:bCs/>
                <w:color w:val="002060"/>
                <w:sz w:val="16"/>
                <w:szCs w:val="16"/>
              </w:rPr>
              <w:t>Название предприятия</w:t>
            </w:r>
          </w:p>
        </w:tc>
        <w:tc>
          <w:tcPr>
            <w:tcW w:w="0" w:type="auto"/>
            <w:tcBorders>
              <w:top w:val="nil"/>
              <w:left w:val="nil"/>
              <w:bottom w:val="nil"/>
              <w:right w:val="nil"/>
            </w:tcBorders>
            <w:vAlign w:val="bottom"/>
            <w:hideMark/>
          </w:tcPr>
          <w:p w14:paraId="40CE5B7D" w14:textId="1A5C820D" w:rsidR="004C2152" w:rsidRPr="00DE096C" w:rsidRDefault="0006581C" w:rsidP="00D45A46">
            <w:pPr>
              <w:jc w:val="both"/>
              <w:rPr>
                <w:bCs/>
                <w:color w:val="002060"/>
                <w:sz w:val="16"/>
                <w:szCs w:val="16"/>
              </w:rPr>
            </w:pPr>
            <w:r>
              <w:rPr>
                <w:bCs/>
                <w:color w:val="002060"/>
                <w:sz w:val="16"/>
                <w:szCs w:val="16"/>
              </w:rPr>
              <w:t xml:space="preserve"> </w:t>
            </w:r>
            <w:r w:rsidR="004C2152" w:rsidRPr="00DE096C">
              <w:rPr>
                <w:bCs/>
                <w:color w:val="002060"/>
                <w:sz w:val="16"/>
                <w:szCs w:val="16"/>
              </w:rPr>
              <w:t xml:space="preserve"> 1914</w:t>
            </w:r>
          </w:p>
        </w:tc>
        <w:tc>
          <w:tcPr>
            <w:tcW w:w="0" w:type="auto"/>
            <w:tcBorders>
              <w:top w:val="nil"/>
              <w:left w:val="nil"/>
              <w:bottom w:val="nil"/>
              <w:right w:val="nil"/>
            </w:tcBorders>
            <w:vAlign w:val="bottom"/>
            <w:hideMark/>
          </w:tcPr>
          <w:p w14:paraId="47988F58" w14:textId="1ACEBD5F" w:rsidR="004C2152" w:rsidRPr="00DE096C" w:rsidRDefault="0006581C" w:rsidP="00D45A46">
            <w:pPr>
              <w:jc w:val="both"/>
              <w:rPr>
                <w:bCs/>
                <w:color w:val="002060"/>
                <w:sz w:val="16"/>
                <w:szCs w:val="16"/>
              </w:rPr>
            </w:pPr>
            <w:r>
              <w:rPr>
                <w:bCs/>
                <w:color w:val="002060"/>
                <w:sz w:val="16"/>
                <w:szCs w:val="16"/>
              </w:rPr>
              <w:t xml:space="preserve"> </w:t>
            </w:r>
            <w:r w:rsidR="004C2152" w:rsidRPr="00DE096C">
              <w:rPr>
                <w:bCs/>
                <w:color w:val="002060"/>
                <w:sz w:val="16"/>
                <w:szCs w:val="16"/>
              </w:rPr>
              <w:t xml:space="preserve"> Всего</w:t>
            </w:r>
          </w:p>
        </w:tc>
      </w:tr>
      <w:tr w:rsidR="004C2152" w:rsidRPr="00DE096C" w14:paraId="3A58195C" w14:textId="77777777" w:rsidTr="00FA616C">
        <w:tc>
          <w:tcPr>
            <w:tcW w:w="0" w:type="auto"/>
            <w:tcBorders>
              <w:top w:val="nil"/>
              <w:left w:val="nil"/>
              <w:bottom w:val="nil"/>
              <w:right w:val="nil"/>
            </w:tcBorders>
            <w:vAlign w:val="bottom"/>
            <w:hideMark/>
          </w:tcPr>
          <w:p w14:paraId="5AF35BA1" w14:textId="77777777" w:rsidR="004C2152" w:rsidRPr="00DE096C" w:rsidRDefault="004C2152" w:rsidP="00D45A46">
            <w:pPr>
              <w:jc w:val="both"/>
              <w:rPr>
                <w:bCs/>
                <w:color w:val="002060"/>
                <w:sz w:val="16"/>
                <w:szCs w:val="16"/>
              </w:rPr>
            </w:pPr>
            <w:r w:rsidRPr="00DE096C">
              <w:rPr>
                <w:bCs/>
                <w:color w:val="002060"/>
                <w:sz w:val="16"/>
                <w:szCs w:val="16"/>
              </w:rPr>
              <w:t>АМО"</w:t>
            </w:r>
          </w:p>
        </w:tc>
        <w:tc>
          <w:tcPr>
            <w:tcW w:w="0" w:type="auto"/>
            <w:tcBorders>
              <w:top w:val="nil"/>
              <w:left w:val="nil"/>
              <w:bottom w:val="nil"/>
              <w:right w:val="nil"/>
            </w:tcBorders>
            <w:vAlign w:val="bottom"/>
            <w:hideMark/>
          </w:tcPr>
          <w:p w14:paraId="450F0847" w14:textId="26679B87" w:rsidR="004C2152" w:rsidRPr="00DE096C" w:rsidRDefault="0006581C" w:rsidP="00D45A46">
            <w:pPr>
              <w:jc w:val="both"/>
              <w:rPr>
                <w:bCs/>
                <w:color w:val="002060"/>
                <w:sz w:val="16"/>
                <w:szCs w:val="16"/>
              </w:rPr>
            </w:pPr>
            <w:r>
              <w:rPr>
                <w:bCs/>
                <w:color w:val="002060"/>
                <w:sz w:val="16"/>
                <w:szCs w:val="16"/>
              </w:rPr>
              <w:t xml:space="preserve"> </w:t>
            </w:r>
            <w:r w:rsidR="004C2152" w:rsidRPr="00DE096C">
              <w:rPr>
                <w:bCs/>
                <w:color w:val="002060"/>
                <w:sz w:val="16"/>
                <w:szCs w:val="16"/>
              </w:rPr>
              <w:t xml:space="preserve"> 432</w:t>
            </w:r>
          </w:p>
        </w:tc>
        <w:tc>
          <w:tcPr>
            <w:tcW w:w="0" w:type="auto"/>
            <w:tcBorders>
              <w:top w:val="nil"/>
              <w:left w:val="nil"/>
              <w:bottom w:val="nil"/>
              <w:right w:val="nil"/>
            </w:tcBorders>
            <w:vAlign w:val="bottom"/>
            <w:hideMark/>
          </w:tcPr>
          <w:p w14:paraId="6CBD6EFF" w14:textId="28FE2642" w:rsidR="004C2152" w:rsidRPr="00DE096C" w:rsidRDefault="0006581C" w:rsidP="00D45A46">
            <w:pPr>
              <w:jc w:val="both"/>
              <w:rPr>
                <w:bCs/>
                <w:color w:val="002060"/>
                <w:sz w:val="16"/>
                <w:szCs w:val="16"/>
              </w:rPr>
            </w:pPr>
            <w:r>
              <w:rPr>
                <w:bCs/>
                <w:color w:val="002060"/>
                <w:sz w:val="16"/>
                <w:szCs w:val="16"/>
              </w:rPr>
              <w:t xml:space="preserve"> </w:t>
            </w:r>
            <w:r w:rsidR="004C2152" w:rsidRPr="00DE096C">
              <w:rPr>
                <w:bCs/>
                <w:color w:val="002060"/>
                <w:sz w:val="16"/>
                <w:szCs w:val="16"/>
              </w:rPr>
              <w:t xml:space="preserve"> 432</w:t>
            </w:r>
          </w:p>
        </w:tc>
      </w:tr>
    </w:tbl>
    <w:p w14:paraId="60D1A77A" w14:textId="7B92BF90" w:rsidR="004C2152" w:rsidRPr="00DE096C" w:rsidRDefault="004C2152" w:rsidP="00D45A46">
      <w:pPr>
        <w:jc w:val="both"/>
        <w:rPr>
          <w:bCs/>
          <w:color w:val="002060"/>
          <w:sz w:val="16"/>
          <w:szCs w:val="16"/>
        </w:rPr>
      </w:pPr>
      <w:r w:rsidRPr="00DE096C">
        <w:rPr>
          <w:bCs/>
          <w:color w:val="002060"/>
          <w:sz w:val="16"/>
          <w:szCs w:val="16"/>
        </w:rPr>
        <w:t>В общей сложности на РАЗИПе произвели за четыре года 141 шасси одного типа, правда с кузовами различного назначения.</w:t>
      </w:r>
      <w:r w:rsidR="0006581C">
        <w:rPr>
          <w:bCs/>
          <w:color w:val="002060"/>
          <w:sz w:val="16"/>
          <w:szCs w:val="16"/>
        </w:rPr>
        <w:t xml:space="preserve"> </w:t>
      </w:r>
    </w:p>
    <w:tbl>
      <w:tblPr>
        <w:tblW w:w="0" w:type="auto"/>
        <w:tblCellMar>
          <w:left w:w="0" w:type="dxa"/>
          <w:right w:w="0" w:type="dxa"/>
        </w:tblCellMar>
        <w:tblLook w:val="04A0" w:firstRow="1" w:lastRow="0" w:firstColumn="1" w:lastColumn="0" w:noHBand="0" w:noVBand="1"/>
      </w:tblPr>
      <w:tblGrid>
        <w:gridCol w:w="1551"/>
        <w:gridCol w:w="400"/>
        <w:gridCol w:w="400"/>
        <w:gridCol w:w="400"/>
        <w:gridCol w:w="400"/>
        <w:gridCol w:w="475"/>
      </w:tblGrid>
      <w:tr w:rsidR="004C2152" w:rsidRPr="00DE096C" w14:paraId="31C9A921" w14:textId="77777777" w:rsidTr="00FA616C">
        <w:tc>
          <w:tcPr>
            <w:tcW w:w="0" w:type="auto"/>
            <w:tcBorders>
              <w:top w:val="nil"/>
              <w:left w:val="nil"/>
              <w:bottom w:val="nil"/>
              <w:right w:val="nil"/>
            </w:tcBorders>
            <w:vAlign w:val="bottom"/>
            <w:hideMark/>
          </w:tcPr>
          <w:p w14:paraId="6612D0FB" w14:textId="77777777" w:rsidR="004C2152" w:rsidRPr="00DE096C" w:rsidRDefault="004C2152" w:rsidP="00D45A46">
            <w:pPr>
              <w:jc w:val="both"/>
              <w:rPr>
                <w:bCs/>
                <w:color w:val="002060"/>
                <w:sz w:val="16"/>
                <w:szCs w:val="16"/>
              </w:rPr>
            </w:pPr>
            <w:r w:rsidRPr="00DE096C">
              <w:rPr>
                <w:bCs/>
                <w:color w:val="002060"/>
                <w:sz w:val="16"/>
                <w:szCs w:val="16"/>
              </w:rPr>
              <w:t>Название предприятия</w:t>
            </w:r>
          </w:p>
        </w:tc>
        <w:tc>
          <w:tcPr>
            <w:tcW w:w="0" w:type="auto"/>
            <w:tcBorders>
              <w:top w:val="nil"/>
              <w:left w:val="nil"/>
              <w:bottom w:val="nil"/>
              <w:right w:val="nil"/>
            </w:tcBorders>
            <w:vAlign w:val="bottom"/>
            <w:hideMark/>
          </w:tcPr>
          <w:p w14:paraId="7AE808F8" w14:textId="772E1156" w:rsidR="004C2152" w:rsidRPr="00DE096C" w:rsidRDefault="0006581C" w:rsidP="00D45A46">
            <w:pPr>
              <w:jc w:val="both"/>
              <w:rPr>
                <w:bCs/>
                <w:color w:val="002060"/>
                <w:sz w:val="16"/>
                <w:szCs w:val="16"/>
              </w:rPr>
            </w:pPr>
            <w:r>
              <w:rPr>
                <w:bCs/>
                <w:color w:val="002060"/>
                <w:sz w:val="16"/>
                <w:szCs w:val="16"/>
              </w:rPr>
              <w:t xml:space="preserve"> </w:t>
            </w:r>
            <w:r w:rsidR="004C2152" w:rsidRPr="00DE096C">
              <w:rPr>
                <w:bCs/>
                <w:color w:val="002060"/>
                <w:sz w:val="16"/>
                <w:szCs w:val="16"/>
              </w:rPr>
              <w:t xml:space="preserve"> 1911</w:t>
            </w:r>
          </w:p>
        </w:tc>
        <w:tc>
          <w:tcPr>
            <w:tcW w:w="0" w:type="auto"/>
            <w:tcBorders>
              <w:top w:val="nil"/>
              <w:left w:val="nil"/>
              <w:bottom w:val="nil"/>
              <w:right w:val="nil"/>
            </w:tcBorders>
            <w:vAlign w:val="bottom"/>
            <w:hideMark/>
          </w:tcPr>
          <w:p w14:paraId="32ACFF7D" w14:textId="0C5AC058" w:rsidR="004C2152" w:rsidRPr="00DE096C" w:rsidRDefault="0006581C" w:rsidP="00D45A46">
            <w:pPr>
              <w:jc w:val="both"/>
              <w:rPr>
                <w:bCs/>
                <w:color w:val="002060"/>
                <w:sz w:val="16"/>
                <w:szCs w:val="16"/>
              </w:rPr>
            </w:pPr>
            <w:r>
              <w:rPr>
                <w:bCs/>
                <w:color w:val="002060"/>
                <w:sz w:val="16"/>
                <w:szCs w:val="16"/>
              </w:rPr>
              <w:t xml:space="preserve"> </w:t>
            </w:r>
            <w:r w:rsidR="004C2152" w:rsidRPr="00DE096C">
              <w:rPr>
                <w:bCs/>
                <w:color w:val="002060"/>
                <w:sz w:val="16"/>
                <w:szCs w:val="16"/>
              </w:rPr>
              <w:t xml:space="preserve"> 1912</w:t>
            </w:r>
          </w:p>
        </w:tc>
        <w:tc>
          <w:tcPr>
            <w:tcW w:w="0" w:type="auto"/>
            <w:tcBorders>
              <w:top w:val="nil"/>
              <w:left w:val="nil"/>
              <w:bottom w:val="nil"/>
              <w:right w:val="nil"/>
            </w:tcBorders>
            <w:vAlign w:val="bottom"/>
            <w:hideMark/>
          </w:tcPr>
          <w:p w14:paraId="31D23FBE" w14:textId="3FB0AD25" w:rsidR="004C2152" w:rsidRPr="00DE096C" w:rsidRDefault="0006581C" w:rsidP="00D45A46">
            <w:pPr>
              <w:jc w:val="both"/>
              <w:rPr>
                <w:bCs/>
                <w:color w:val="002060"/>
                <w:sz w:val="16"/>
                <w:szCs w:val="16"/>
              </w:rPr>
            </w:pPr>
            <w:r>
              <w:rPr>
                <w:bCs/>
                <w:color w:val="002060"/>
                <w:sz w:val="16"/>
                <w:szCs w:val="16"/>
              </w:rPr>
              <w:t xml:space="preserve"> </w:t>
            </w:r>
            <w:r w:rsidR="004C2152" w:rsidRPr="00DE096C">
              <w:rPr>
                <w:bCs/>
                <w:color w:val="002060"/>
                <w:sz w:val="16"/>
                <w:szCs w:val="16"/>
              </w:rPr>
              <w:t xml:space="preserve"> 1913</w:t>
            </w:r>
          </w:p>
        </w:tc>
        <w:tc>
          <w:tcPr>
            <w:tcW w:w="0" w:type="auto"/>
            <w:tcBorders>
              <w:top w:val="nil"/>
              <w:left w:val="nil"/>
              <w:bottom w:val="nil"/>
              <w:right w:val="nil"/>
            </w:tcBorders>
            <w:vAlign w:val="bottom"/>
            <w:hideMark/>
          </w:tcPr>
          <w:p w14:paraId="69E433FD" w14:textId="2FB98764" w:rsidR="004C2152" w:rsidRPr="00DE096C" w:rsidRDefault="0006581C" w:rsidP="00D45A46">
            <w:pPr>
              <w:jc w:val="both"/>
              <w:rPr>
                <w:bCs/>
                <w:color w:val="002060"/>
                <w:sz w:val="16"/>
                <w:szCs w:val="16"/>
              </w:rPr>
            </w:pPr>
            <w:r>
              <w:rPr>
                <w:bCs/>
                <w:color w:val="002060"/>
                <w:sz w:val="16"/>
                <w:szCs w:val="16"/>
              </w:rPr>
              <w:t xml:space="preserve"> </w:t>
            </w:r>
            <w:r w:rsidR="004C2152" w:rsidRPr="00DE096C">
              <w:rPr>
                <w:bCs/>
                <w:color w:val="002060"/>
                <w:sz w:val="16"/>
                <w:szCs w:val="16"/>
              </w:rPr>
              <w:t xml:space="preserve"> 1914</w:t>
            </w:r>
          </w:p>
        </w:tc>
        <w:tc>
          <w:tcPr>
            <w:tcW w:w="0" w:type="auto"/>
            <w:tcBorders>
              <w:top w:val="nil"/>
              <w:left w:val="nil"/>
              <w:bottom w:val="nil"/>
              <w:right w:val="nil"/>
            </w:tcBorders>
            <w:vAlign w:val="bottom"/>
            <w:hideMark/>
          </w:tcPr>
          <w:p w14:paraId="72AB5430" w14:textId="3E0B1A29" w:rsidR="004C2152" w:rsidRPr="00DE096C" w:rsidRDefault="0006581C" w:rsidP="00D45A46">
            <w:pPr>
              <w:jc w:val="both"/>
              <w:rPr>
                <w:bCs/>
                <w:color w:val="002060"/>
                <w:sz w:val="16"/>
                <w:szCs w:val="16"/>
              </w:rPr>
            </w:pPr>
            <w:r>
              <w:rPr>
                <w:bCs/>
                <w:color w:val="002060"/>
                <w:sz w:val="16"/>
                <w:szCs w:val="16"/>
              </w:rPr>
              <w:t xml:space="preserve"> </w:t>
            </w:r>
            <w:r w:rsidR="004C2152" w:rsidRPr="00DE096C">
              <w:rPr>
                <w:bCs/>
                <w:color w:val="002060"/>
                <w:sz w:val="16"/>
                <w:szCs w:val="16"/>
              </w:rPr>
              <w:t xml:space="preserve"> Всего</w:t>
            </w:r>
          </w:p>
        </w:tc>
      </w:tr>
      <w:tr w:rsidR="004C2152" w:rsidRPr="00DE096C" w14:paraId="4D4FED3D" w14:textId="77777777" w:rsidTr="00FA616C">
        <w:tc>
          <w:tcPr>
            <w:tcW w:w="0" w:type="auto"/>
            <w:tcBorders>
              <w:top w:val="nil"/>
              <w:left w:val="nil"/>
              <w:bottom w:val="nil"/>
              <w:right w:val="nil"/>
            </w:tcBorders>
            <w:vAlign w:val="bottom"/>
            <w:hideMark/>
          </w:tcPr>
          <w:p w14:paraId="206A1BDA" w14:textId="77777777" w:rsidR="004C2152" w:rsidRPr="00DE096C" w:rsidRDefault="004C2152" w:rsidP="00D45A46">
            <w:pPr>
              <w:jc w:val="both"/>
              <w:rPr>
                <w:bCs/>
                <w:color w:val="002060"/>
                <w:sz w:val="16"/>
                <w:szCs w:val="16"/>
              </w:rPr>
            </w:pPr>
            <w:r w:rsidRPr="00DE096C">
              <w:rPr>
                <w:bCs/>
                <w:color w:val="002060"/>
                <w:sz w:val="16"/>
                <w:szCs w:val="16"/>
              </w:rPr>
              <w:t>"РАЗИПП"</w:t>
            </w:r>
          </w:p>
        </w:tc>
        <w:tc>
          <w:tcPr>
            <w:tcW w:w="0" w:type="auto"/>
            <w:tcBorders>
              <w:top w:val="nil"/>
              <w:left w:val="nil"/>
              <w:bottom w:val="nil"/>
              <w:right w:val="nil"/>
            </w:tcBorders>
            <w:vAlign w:val="bottom"/>
            <w:hideMark/>
          </w:tcPr>
          <w:p w14:paraId="21BB2AE7" w14:textId="0EAA50A2" w:rsidR="004C2152" w:rsidRPr="00DE096C" w:rsidRDefault="0006581C" w:rsidP="00D45A46">
            <w:pPr>
              <w:jc w:val="both"/>
              <w:rPr>
                <w:bCs/>
                <w:color w:val="002060"/>
                <w:sz w:val="16"/>
                <w:szCs w:val="16"/>
              </w:rPr>
            </w:pPr>
            <w:r>
              <w:rPr>
                <w:bCs/>
                <w:color w:val="002060"/>
                <w:sz w:val="16"/>
                <w:szCs w:val="16"/>
              </w:rPr>
              <w:t xml:space="preserve"> </w:t>
            </w:r>
            <w:r w:rsidR="004C2152" w:rsidRPr="00DE096C">
              <w:rPr>
                <w:bCs/>
                <w:color w:val="002060"/>
                <w:sz w:val="16"/>
                <w:szCs w:val="16"/>
              </w:rPr>
              <w:t xml:space="preserve"> 1</w:t>
            </w:r>
          </w:p>
        </w:tc>
        <w:tc>
          <w:tcPr>
            <w:tcW w:w="0" w:type="auto"/>
            <w:tcBorders>
              <w:top w:val="nil"/>
              <w:left w:val="nil"/>
              <w:bottom w:val="nil"/>
              <w:right w:val="nil"/>
            </w:tcBorders>
            <w:vAlign w:val="bottom"/>
            <w:hideMark/>
          </w:tcPr>
          <w:p w14:paraId="246995F1" w14:textId="642558EE" w:rsidR="004C2152" w:rsidRPr="00DE096C" w:rsidRDefault="0006581C" w:rsidP="00D45A46">
            <w:pPr>
              <w:jc w:val="both"/>
              <w:rPr>
                <w:bCs/>
                <w:color w:val="002060"/>
                <w:sz w:val="16"/>
                <w:szCs w:val="16"/>
              </w:rPr>
            </w:pPr>
            <w:r>
              <w:rPr>
                <w:bCs/>
                <w:color w:val="002060"/>
                <w:sz w:val="16"/>
                <w:szCs w:val="16"/>
              </w:rPr>
              <w:t xml:space="preserve"> </w:t>
            </w:r>
            <w:r w:rsidR="004C2152" w:rsidRPr="00DE096C">
              <w:rPr>
                <w:bCs/>
                <w:color w:val="002060"/>
                <w:sz w:val="16"/>
                <w:szCs w:val="16"/>
              </w:rPr>
              <w:t xml:space="preserve"> 7</w:t>
            </w:r>
          </w:p>
        </w:tc>
        <w:tc>
          <w:tcPr>
            <w:tcW w:w="0" w:type="auto"/>
            <w:tcBorders>
              <w:top w:val="nil"/>
              <w:left w:val="nil"/>
              <w:bottom w:val="nil"/>
              <w:right w:val="nil"/>
            </w:tcBorders>
            <w:vAlign w:val="bottom"/>
            <w:hideMark/>
          </w:tcPr>
          <w:p w14:paraId="01AA16F8" w14:textId="0BF35821" w:rsidR="004C2152" w:rsidRPr="00DE096C" w:rsidRDefault="0006581C" w:rsidP="00D45A46">
            <w:pPr>
              <w:jc w:val="both"/>
              <w:rPr>
                <w:bCs/>
                <w:color w:val="002060"/>
                <w:sz w:val="16"/>
                <w:szCs w:val="16"/>
              </w:rPr>
            </w:pPr>
            <w:r>
              <w:rPr>
                <w:bCs/>
                <w:color w:val="002060"/>
                <w:sz w:val="16"/>
                <w:szCs w:val="16"/>
              </w:rPr>
              <w:t xml:space="preserve"> </w:t>
            </w:r>
            <w:r w:rsidR="004C2152" w:rsidRPr="00DE096C">
              <w:rPr>
                <w:bCs/>
                <w:color w:val="002060"/>
                <w:sz w:val="16"/>
                <w:szCs w:val="16"/>
              </w:rPr>
              <w:t xml:space="preserve"> 49</w:t>
            </w:r>
          </w:p>
        </w:tc>
        <w:tc>
          <w:tcPr>
            <w:tcW w:w="0" w:type="auto"/>
            <w:tcBorders>
              <w:top w:val="nil"/>
              <w:left w:val="nil"/>
              <w:bottom w:val="nil"/>
              <w:right w:val="nil"/>
            </w:tcBorders>
            <w:vAlign w:val="bottom"/>
            <w:hideMark/>
          </w:tcPr>
          <w:p w14:paraId="753FE874" w14:textId="419D6970" w:rsidR="004C2152" w:rsidRPr="00DE096C" w:rsidRDefault="0006581C" w:rsidP="00D45A46">
            <w:pPr>
              <w:jc w:val="both"/>
              <w:rPr>
                <w:bCs/>
                <w:color w:val="002060"/>
                <w:sz w:val="16"/>
                <w:szCs w:val="16"/>
              </w:rPr>
            </w:pPr>
            <w:r>
              <w:rPr>
                <w:bCs/>
                <w:color w:val="002060"/>
                <w:sz w:val="16"/>
                <w:szCs w:val="16"/>
              </w:rPr>
              <w:t xml:space="preserve"> </w:t>
            </w:r>
            <w:r w:rsidR="004C2152" w:rsidRPr="00DE096C">
              <w:rPr>
                <w:bCs/>
                <w:color w:val="002060"/>
                <w:sz w:val="16"/>
                <w:szCs w:val="16"/>
              </w:rPr>
              <w:t xml:space="preserve"> 84</w:t>
            </w:r>
          </w:p>
        </w:tc>
        <w:tc>
          <w:tcPr>
            <w:tcW w:w="0" w:type="auto"/>
            <w:tcBorders>
              <w:top w:val="nil"/>
              <w:left w:val="nil"/>
              <w:bottom w:val="nil"/>
              <w:right w:val="nil"/>
            </w:tcBorders>
            <w:vAlign w:val="bottom"/>
            <w:hideMark/>
          </w:tcPr>
          <w:p w14:paraId="2FC5AB78" w14:textId="6AD9F10F" w:rsidR="004C2152" w:rsidRPr="00DE096C" w:rsidRDefault="0006581C" w:rsidP="00D45A46">
            <w:pPr>
              <w:jc w:val="both"/>
              <w:rPr>
                <w:bCs/>
                <w:color w:val="002060"/>
                <w:sz w:val="16"/>
                <w:szCs w:val="16"/>
              </w:rPr>
            </w:pPr>
            <w:r>
              <w:rPr>
                <w:bCs/>
                <w:color w:val="002060"/>
                <w:sz w:val="16"/>
                <w:szCs w:val="16"/>
              </w:rPr>
              <w:t xml:space="preserve"> </w:t>
            </w:r>
            <w:r w:rsidR="004C2152" w:rsidRPr="00DE096C">
              <w:rPr>
                <w:bCs/>
                <w:color w:val="002060"/>
                <w:sz w:val="16"/>
                <w:szCs w:val="16"/>
              </w:rPr>
              <w:t xml:space="preserve"> 141</w:t>
            </w:r>
          </w:p>
        </w:tc>
      </w:tr>
    </w:tbl>
    <w:p w14:paraId="0E4D246A" w14:textId="4E543192" w:rsidR="004C2152" w:rsidRPr="00DE096C" w:rsidRDefault="004C2152" w:rsidP="00D45A46">
      <w:pPr>
        <w:jc w:val="both"/>
        <w:rPr>
          <w:bCs/>
          <w:color w:val="002060"/>
          <w:sz w:val="16"/>
          <w:szCs w:val="16"/>
        </w:rPr>
      </w:pPr>
      <w:r w:rsidRPr="00DE096C">
        <w:rPr>
          <w:bCs/>
          <w:color w:val="002060"/>
          <w:sz w:val="16"/>
          <w:szCs w:val="16"/>
        </w:rPr>
        <w:t>На заводе Даймлера в Нижнем Новгороде шла отверточная сборка автомобилей из импортных комплектующих нарастающими темпами, с постепенным сокращением количества зарубежных деталей. Всего было собрано и продано 747 автомобилей, из них 500 грузовиков.</w:t>
      </w:r>
      <w:r w:rsidR="0006581C">
        <w:rPr>
          <w:bCs/>
          <w:color w:val="002060"/>
          <w:sz w:val="16"/>
          <w:szCs w:val="16"/>
        </w:rPr>
        <w:t xml:space="preserve"> </w:t>
      </w:r>
    </w:p>
    <w:tbl>
      <w:tblPr>
        <w:tblW w:w="0" w:type="auto"/>
        <w:tblCellMar>
          <w:left w:w="0" w:type="dxa"/>
          <w:right w:w="0" w:type="dxa"/>
        </w:tblCellMar>
        <w:tblLook w:val="04A0" w:firstRow="1" w:lastRow="0" w:firstColumn="1" w:lastColumn="0" w:noHBand="0" w:noVBand="1"/>
      </w:tblPr>
      <w:tblGrid>
        <w:gridCol w:w="1551"/>
        <w:gridCol w:w="400"/>
        <w:gridCol w:w="400"/>
        <w:gridCol w:w="400"/>
        <w:gridCol w:w="400"/>
        <w:gridCol w:w="400"/>
        <w:gridCol w:w="475"/>
      </w:tblGrid>
      <w:tr w:rsidR="004C2152" w:rsidRPr="00DE096C" w14:paraId="7FE2E93B" w14:textId="77777777" w:rsidTr="00FA616C">
        <w:tc>
          <w:tcPr>
            <w:tcW w:w="0" w:type="auto"/>
            <w:tcBorders>
              <w:top w:val="nil"/>
              <w:left w:val="nil"/>
              <w:bottom w:val="nil"/>
              <w:right w:val="nil"/>
            </w:tcBorders>
            <w:vAlign w:val="bottom"/>
            <w:hideMark/>
          </w:tcPr>
          <w:p w14:paraId="407AB586" w14:textId="77777777" w:rsidR="004C2152" w:rsidRPr="00DE096C" w:rsidRDefault="004C2152" w:rsidP="00D45A46">
            <w:pPr>
              <w:jc w:val="both"/>
              <w:rPr>
                <w:bCs/>
                <w:color w:val="002060"/>
                <w:sz w:val="16"/>
                <w:szCs w:val="16"/>
              </w:rPr>
            </w:pPr>
            <w:r w:rsidRPr="00DE096C">
              <w:rPr>
                <w:bCs/>
                <w:color w:val="002060"/>
                <w:sz w:val="16"/>
                <w:szCs w:val="16"/>
              </w:rPr>
              <w:t>Название предприятия</w:t>
            </w:r>
          </w:p>
        </w:tc>
        <w:tc>
          <w:tcPr>
            <w:tcW w:w="0" w:type="auto"/>
            <w:tcBorders>
              <w:top w:val="nil"/>
              <w:left w:val="nil"/>
              <w:bottom w:val="nil"/>
              <w:right w:val="nil"/>
            </w:tcBorders>
            <w:vAlign w:val="bottom"/>
            <w:hideMark/>
          </w:tcPr>
          <w:p w14:paraId="3E92A64E" w14:textId="54930136" w:rsidR="004C2152" w:rsidRPr="00DE096C" w:rsidRDefault="0006581C" w:rsidP="00D45A46">
            <w:pPr>
              <w:jc w:val="both"/>
              <w:rPr>
                <w:bCs/>
                <w:color w:val="002060"/>
                <w:sz w:val="16"/>
                <w:szCs w:val="16"/>
              </w:rPr>
            </w:pPr>
            <w:r>
              <w:rPr>
                <w:bCs/>
                <w:color w:val="002060"/>
                <w:sz w:val="16"/>
                <w:szCs w:val="16"/>
              </w:rPr>
              <w:t xml:space="preserve"> </w:t>
            </w:r>
            <w:r w:rsidR="004C2152" w:rsidRPr="00DE096C">
              <w:rPr>
                <w:bCs/>
                <w:color w:val="002060"/>
                <w:sz w:val="16"/>
                <w:szCs w:val="16"/>
              </w:rPr>
              <w:t xml:space="preserve"> 1910</w:t>
            </w:r>
          </w:p>
        </w:tc>
        <w:tc>
          <w:tcPr>
            <w:tcW w:w="0" w:type="auto"/>
            <w:tcBorders>
              <w:top w:val="nil"/>
              <w:left w:val="nil"/>
              <w:bottom w:val="nil"/>
              <w:right w:val="nil"/>
            </w:tcBorders>
            <w:vAlign w:val="bottom"/>
            <w:hideMark/>
          </w:tcPr>
          <w:p w14:paraId="1B02C2E6" w14:textId="3F3DA6EC" w:rsidR="004C2152" w:rsidRPr="00DE096C" w:rsidRDefault="0006581C" w:rsidP="00D45A46">
            <w:pPr>
              <w:jc w:val="both"/>
              <w:rPr>
                <w:bCs/>
                <w:color w:val="002060"/>
                <w:sz w:val="16"/>
                <w:szCs w:val="16"/>
              </w:rPr>
            </w:pPr>
            <w:r>
              <w:rPr>
                <w:bCs/>
                <w:color w:val="002060"/>
                <w:sz w:val="16"/>
                <w:szCs w:val="16"/>
              </w:rPr>
              <w:t xml:space="preserve"> </w:t>
            </w:r>
            <w:r w:rsidR="004C2152" w:rsidRPr="00DE096C">
              <w:rPr>
                <w:bCs/>
                <w:color w:val="002060"/>
                <w:sz w:val="16"/>
                <w:szCs w:val="16"/>
              </w:rPr>
              <w:t xml:space="preserve"> 1911</w:t>
            </w:r>
          </w:p>
        </w:tc>
        <w:tc>
          <w:tcPr>
            <w:tcW w:w="0" w:type="auto"/>
            <w:tcBorders>
              <w:top w:val="nil"/>
              <w:left w:val="nil"/>
              <w:bottom w:val="nil"/>
              <w:right w:val="nil"/>
            </w:tcBorders>
            <w:vAlign w:val="bottom"/>
            <w:hideMark/>
          </w:tcPr>
          <w:p w14:paraId="53FBACBF" w14:textId="272B1C92" w:rsidR="004C2152" w:rsidRPr="00DE096C" w:rsidRDefault="0006581C" w:rsidP="00D45A46">
            <w:pPr>
              <w:jc w:val="both"/>
              <w:rPr>
                <w:bCs/>
                <w:color w:val="002060"/>
                <w:sz w:val="16"/>
                <w:szCs w:val="16"/>
              </w:rPr>
            </w:pPr>
            <w:r>
              <w:rPr>
                <w:bCs/>
                <w:color w:val="002060"/>
                <w:sz w:val="16"/>
                <w:szCs w:val="16"/>
              </w:rPr>
              <w:t xml:space="preserve"> </w:t>
            </w:r>
            <w:r w:rsidR="004C2152" w:rsidRPr="00DE096C">
              <w:rPr>
                <w:bCs/>
                <w:color w:val="002060"/>
                <w:sz w:val="16"/>
                <w:szCs w:val="16"/>
              </w:rPr>
              <w:t xml:space="preserve"> 1912</w:t>
            </w:r>
          </w:p>
        </w:tc>
        <w:tc>
          <w:tcPr>
            <w:tcW w:w="0" w:type="auto"/>
            <w:tcBorders>
              <w:top w:val="nil"/>
              <w:left w:val="nil"/>
              <w:bottom w:val="nil"/>
              <w:right w:val="nil"/>
            </w:tcBorders>
            <w:vAlign w:val="bottom"/>
            <w:hideMark/>
          </w:tcPr>
          <w:p w14:paraId="791F0841" w14:textId="132FE27B" w:rsidR="004C2152" w:rsidRPr="00DE096C" w:rsidRDefault="0006581C" w:rsidP="00D45A46">
            <w:pPr>
              <w:jc w:val="both"/>
              <w:rPr>
                <w:bCs/>
                <w:color w:val="002060"/>
                <w:sz w:val="16"/>
                <w:szCs w:val="16"/>
              </w:rPr>
            </w:pPr>
            <w:r>
              <w:rPr>
                <w:bCs/>
                <w:color w:val="002060"/>
                <w:sz w:val="16"/>
                <w:szCs w:val="16"/>
              </w:rPr>
              <w:t xml:space="preserve"> </w:t>
            </w:r>
            <w:r w:rsidR="004C2152" w:rsidRPr="00DE096C">
              <w:rPr>
                <w:bCs/>
                <w:color w:val="002060"/>
                <w:sz w:val="16"/>
                <w:szCs w:val="16"/>
              </w:rPr>
              <w:t xml:space="preserve"> 1913</w:t>
            </w:r>
          </w:p>
        </w:tc>
        <w:tc>
          <w:tcPr>
            <w:tcW w:w="0" w:type="auto"/>
            <w:tcBorders>
              <w:top w:val="nil"/>
              <w:left w:val="nil"/>
              <w:bottom w:val="nil"/>
              <w:right w:val="nil"/>
            </w:tcBorders>
            <w:vAlign w:val="bottom"/>
            <w:hideMark/>
          </w:tcPr>
          <w:p w14:paraId="368CA2E5" w14:textId="1B7F327A" w:rsidR="004C2152" w:rsidRPr="00DE096C" w:rsidRDefault="0006581C" w:rsidP="00D45A46">
            <w:pPr>
              <w:jc w:val="both"/>
              <w:rPr>
                <w:bCs/>
                <w:color w:val="002060"/>
                <w:sz w:val="16"/>
                <w:szCs w:val="16"/>
              </w:rPr>
            </w:pPr>
            <w:r>
              <w:rPr>
                <w:bCs/>
                <w:color w:val="002060"/>
                <w:sz w:val="16"/>
                <w:szCs w:val="16"/>
              </w:rPr>
              <w:t xml:space="preserve"> </w:t>
            </w:r>
            <w:r w:rsidR="004C2152" w:rsidRPr="00DE096C">
              <w:rPr>
                <w:bCs/>
                <w:color w:val="002060"/>
                <w:sz w:val="16"/>
                <w:szCs w:val="16"/>
              </w:rPr>
              <w:t xml:space="preserve"> 1914</w:t>
            </w:r>
          </w:p>
        </w:tc>
        <w:tc>
          <w:tcPr>
            <w:tcW w:w="0" w:type="auto"/>
            <w:tcBorders>
              <w:top w:val="nil"/>
              <w:left w:val="nil"/>
              <w:bottom w:val="nil"/>
              <w:right w:val="nil"/>
            </w:tcBorders>
            <w:vAlign w:val="bottom"/>
            <w:hideMark/>
          </w:tcPr>
          <w:p w14:paraId="4C51F9A4" w14:textId="5C9EE776" w:rsidR="004C2152" w:rsidRPr="00DE096C" w:rsidRDefault="0006581C" w:rsidP="00D45A46">
            <w:pPr>
              <w:jc w:val="both"/>
              <w:rPr>
                <w:bCs/>
                <w:color w:val="002060"/>
                <w:sz w:val="16"/>
                <w:szCs w:val="16"/>
              </w:rPr>
            </w:pPr>
            <w:r>
              <w:rPr>
                <w:bCs/>
                <w:color w:val="002060"/>
                <w:sz w:val="16"/>
                <w:szCs w:val="16"/>
              </w:rPr>
              <w:t xml:space="preserve"> </w:t>
            </w:r>
            <w:r w:rsidR="004C2152" w:rsidRPr="00DE096C">
              <w:rPr>
                <w:bCs/>
                <w:color w:val="002060"/>
                <w:sz w:val="16"/>
                <w:szCs w:val="16"/>
              </w:rPr>
              <w:t xml:space="preserve"> Всего</w:t>
            </w:r>
          </w:p>
        </w:tc>
      </w:tr>
      <w:tr w:rsidR="004C2152" w:rsidRPr="00DE096C" w14:paraId="1B12E17A" w14:textId="77777777" w:rsidTr="00FA616C">
        <w:tc>
          <w:tcPr>
            <w:tcW w:w="0" w:type="auto"/>
            <w:tcBorders>
              <w:top w:val="nil"/>
              <w:left w:val="nil"/>
              <w:bottom w:val="nil"/>
              <w:right w:val="nil"/>
            </w:tcBorders>
            <w:vAlign w:val="bottom"/>
            <w:hideMark/>
          </w:tcPr>
          <w:p w14:paraId="3F1A88C6" w14:textId="77777777" w:rsidR="004C2152" w:rsidRPr="00DE096C" w:rsidRDefault="004C2152" w:rsidP="00D45A46">
            <w:pPr>
              <w:jc w:val="both"/>
              <w:rPr>
                <w:bCs/>
                <w:color w:val="002060"/>
                <w:sz w:val="16"/>
                <w:szCs w:val="16"/>
              </w:rPr>
            </w:pPr>
            <w:r w:rsidRPr="00DE096C">
              <w:rPr>
                <w:bCs/>
                <w:color w:val="002060"/>
                <w:sz w:val="16"/>
                <w:szCs w:val="16"/>
              </w:rPr>
              <w:t>"Даймлер"</w:t>
            </w:r>
          </w:p>
        </w:tc>
        <w:tc>
          <w:tcPr>
            <w:tcW w:w="0" w:type="auto"/>
            <w:tcBorders>
              <w:top w:val="nil"/>
              <w:left w:val="nil"/>
              <w:bottom w:val="nil"/>
              <w:right w:val="nil"/>
            </w:tcBorders>
            <w:vAlign w:val="bottom"/>
            <w:hideMark/>
          </w:tcPr>
          <w:p w14:paraId="77FDF602" w14:textId="5F507D57" w:rsidR="004C2152" w:rsidRPr="00DE096C" w:rsidRDefault="0006581C" w:rsidP="00D45A46">
            <w:pPr>
              <w:jc w:val="both"/>
              <w:rPr>
                <w:bCs/>
                <w:color w:val="002060"/>
                <w:sz w:val="16"/>
                <w:szCs w:val="16"/>
              </w:rPr>
            </w:pPr>
            <w:r>
              <w:rPr>
                <w:bCs/>
                <w:color w:val="002060"/>
                <w:sz w:val="16"/>
                <w:szCs w:val="16"/>
              </w:rPr>
              <w:t xml:space="preserve"> </w:t>
            </w:r>
            <w:r w:rsidR="004C2152" w:rsidRPr="00DE096C">
              <w:rPr>
                <w:bCs/>
                <w:color w:val="002060"/>
                <w:sz w:val="16"/>
                <w:szCs w:val="16"/>
              </w:rPr>
              <w:t xml:space="preserve"> 3</w:t>
            </w:r>
          </w:p>
        </w:tc>
        <w:tc>
          <w:tcPr>
            <w:tcW w:w="0" w:type="auto"/>
            <w:tcBorders>
              <w:top w:val="nil"/>
              <w:left w:val="nil"/>
              <w:bottom w:val="nil"/>
              <w:right w:val="nil"/>
            </w:tcBorders>
            <w:vAlign w:val="bottom"/>
            <w:hideMark/>
          </w:tcPr>
          <w:p w14:paraId="64D3A203" w14:textId="5119FE6E" w:rsidR="004C2152" w:rsidRPr="00DE096C" w:rsidRDefault="0006581C" w:rsidP="00D45A46">
            <w:pPr>
              <w:jc w:val="both"/>
              <w:rPr>
                <w:bCs/>
                <w:color w:val="002060"/>
                <w:sz w:val="16"/>
                <w:szCs w:val="16"/>
              </w:rPr>
            </w:pPr>
            <w:r>
              <w:rPr>
                <w:bCs/>
                <w:color w:val="002060"/>
                <w:sz w:val="16"/>
                <w:szCs w:val="16"/>
              </w:rPr>
              <w:t xml:space="preserve"> </w:t>
            </w:r>
            <w:r w:rsidR="004C2152" w:rsidRPr="00DE096C">
              <w:rPr>
                <w:bCs/>
                <w:color w:val="002060"/>
                <w:sz w:val="16"/>
                <w:szCs w:val="16"/>
              </w:rPr>
              <w:t xml:space="preserve"> 24</w:t>
            </w:r>
          </w:p>
        </w:tc>
        <w:tc>
          <w:tcPr>
            <w:tcW w:w="0" w:type="auto"/>
            <w:tcBorders>
              <w:top w:val="nil"/>
              <w:left w:val="nil"/>
              <w:bottom w:val="nil"/>
              <w:right w:val="nil"/>
            </w:tcBorders>
            <w:vAlign w:val="bottom"/>
            <w:hideMark/>
          </w:tcPr>
          <w:p w14:paraId="25FB2D86" w14:textId="30121121" w:rsidR="004C2152" w:rsidRPr="00DE096C" w:rsidRDefault="0006581C" w:rsidP="00D45A46">
            <w:pPr>
              <w:jc w:val="both"/>
              <w:rPr>
                <w:bCs/>
                <w:color w:val="002060"/>
                <w:sz w:val="16"/>
                <w:szCs w:val="16"/>
              </w:rPr>
            </w:pPr>
            <w:r>
              <w:rPr>
                <w:bCs/>
                <w:color w:val="002060"/>
                <w:sz w:val="16"/>
                <w:szCs w:val="16"/>
              </w:rPr>
              <w:t xml:space="preserve"> </w:t>
            </w:r>
            <w:r w:rsidR="004C2152" w:rsidRPr="00DE096C">
              <w:rPr>
                <w:bCs/>
                <w:color w:val="002060"/>
                <w:sz w:val="16"/>
                <w:szCs w:val="16"/>
              </w:rPr>
              <w:t xml:space="preserve"> 141</w:t>
            </w:r>
          </w:p>
        </w:tc>
        <w:tc>
          <w:tcPr>
            <w:tcW w:w="0" w:type="auto"/>
            <w:tcBorders>
              <w:top w:val="nil"/>
              <w:left w:val="nil"/>
              <w:bottom w:val="nil"/>
              <w:right w:val="nil"/>
            </w:tcBorders>
            <w:vAlign w:val="bottom"/>
            <w:hideMark/>
          </w:tcPr>
          <w:p w14:paraId="300E3EC1" w14:textId="54A4DB2D" w:rsidR="004C2152" w:rsidRPr="00DE096C" w:rsidRDefault="0006581C" w:rsidP="00D45A46">
            <w:pPr>
              <w:jc w:val="both"/>
              <w:rPr>
                <w:bCs/>
                <w:color w:val="002060"/>
                <w:sz w:val="16"/>
                <w:szCs w:val="16"/>
              </w:rPr>
            </w:pPr>
            <w:r>
              <w:rPr>
                <w:bCs/>
                <w:color w:val="002060"/>
                <w:sz w:val="16"/>
                <w:szCs w:val="16"/>
              </w:rPr>
              <w:t xml:space="preserve"> </w:t>
            </w:r>
            <w:r w:rsidR="004C2152" w:rsidRPr="00DE096C">
              <w:rPr>
                <w:bCs/>
                <w:color w:val="002060"/>
                <w:sz w:val="16"/>
                <w:szCs w:val="16"/>
              </w:rPr>
              <w:t xml:space="preserve"> 217</w:t>
            </w:r>
          </w:p>
        </w:tc>
        <w:tc>
          <w:tcPr>
            <w:tcW w:w="0" w:type="auto"/>
            <w:tcBorders>
              <w:top w:val="nil"/>
              <w:left w:val="nil"/>
              <w:bottom w:val="nil"/>
              <w:right w:val="nil"/>
            </w:tcBorders>
            <w:vAlign w:val="bottom"/>
            <w:hideMark/>
          </w:tcPr>
          <w:p w14:paraId="2D8A3A1F" w14:textId="698AF1FD" w:rsidR="004C2152" w:rsidRPr="00DE096C" w:rsidRDefault="0006581C" w:rsidP="00D45A46">
            <w:pPr>
              <w:jc w:val="both"/>
              <w:rPr>
                <w:bCs/>
                <w:color w:val="002060"/>
                <w:sz w:val="16"/>
                <w:szCs w:val="16"/>
              </w:rPr>
            </w:pPr>
            <w:r>
              <w:rPr>
                <w:bCs/>
                <w:color w:val="002060"/>
                <w:sz w:val="16"/>
                <w:szCs w:val="16"/>
              </w:rPr>
              <w:t xml:space="preserve"> </w:t>
            </w:r>
            <w:r w:rsidR="004C2152" w:rsidRPr="00DE096C">
              <w:rPr>
                <w:bCs/>
                <w:color w:val="002060"/>
                <w:sz w:val="16"/>
                <w:szCs w:val="16"/>
              </w:rPr>
              <w:t xml:space="preserve"> 382</w:t>
            </w:r>
          </w:p>
        </w:tc>
        <w:tc>
          <w:tcPr>
            <w:tcW w:w="0" w:type="auto"/>
            <w:tcBorders>
              <w:top w:val="nil"/>
              <w:left w:val="nil"/>
              <w:bottom w:val="nil"/>
              <w:right w:val="nil"/>
            </w:tcBorders>
            <w:vAlign w:val="bottom"/>
            <w:hideMark/>
          </w:tcPr>
          <w:p w14:paraId="2AE48018" w14:textId="47C71974" w:rsidR="004C2152" w:rsidRPr="00DE096C" w:rsidRDefault="0006581C" w:rsidP="00D45A46">
            <w:pPr>
              <w:jc w:val="both"/>
              <w:rPr>
                <w:bCs/>
                <w:color w:val="002060"/>
                <w:sz w:val="16"/>
                <w:szCs w:val="16"/>
              </w:rPr>
            </w:pPr>
            <w:r>
              <w:rPr>
                <w:bCs/>
                <w:color w:val="002060"/>
                <w:sz w:val="16"/>
                <w:szCs w:val="16"/>
              </w:rPr>
              <w:t xml:space="preserve"> </w:t>
            </w:r>
            <w:r w:rsidR="004C2152" w:rsidRPr="00DE096C">
              <w:rPr>
                <w:bCs/>
                <w:color w:val="002060"/>
                <w:sz w:val="16"/>
                <w:szCs w:val="16"/>
              </w:rPr>
              <w:t xml:space="preserve"> 747</w:t>
            </w:r>
          </w:p>
        </w:tc>
      </w:tr>
    </w:tbl>
    <w:p w14:paraId="3E60C71C" w14:textId="77777777" w:rsidR="004C2152" w:rsidRPr="00DE096C" w:rsidRDefault="004C2152" w:rsidP="00D45A46">
      <w:pPr>
        <w:jc w:val="both"/>
        <w:rPr>
          <w:bCs/>
          <w:color w:val="002060"/>
          <w:sz w:val="16"/>
          <w:szCs w:val="16"/>
        </w:rPr>
      </w:pPr>
      <w:r w:rsidRPr="00DE096C">
        <w:rPr>
          <w:bCs/>
          <w:color w:val="002060"/>
          <w:sz w:val="16"/>
          <w:szCs w:val="16"/>
        </w:rPr>
        <w:t>Фабрика велосипедов и автомобилей "Россия" А.А. Лейтнера и Ко. в Риге, которая к тому времени получает новое название - "Лейтнер" с 1907 года по 1914 год собрала 229 автомобилей разных марок по индивидуальным заказам.</w:t>
      </w:r>
    </w:p>
    <w:tbl>
      <w:tblPr>
        <w:tblW w:w="0" w:type="auto"/>
        <w:tblCellMar>
          <w:left w:w="0" w:type="dxa"/>
          <w:right w:w="0" w:type="dxa"/>
        </w:tblCellMar>
        <w:tblLook w:val="04A0" w:firstRow="1" w:lastRow="0" w:firstColumn="1" w:lastColumn="0" w:noHBand="0" w:noVBand="1"/>
      </w:tblPr>
      <w:tblGrid>
        <w:gridCol w:w="1551"/>
        <w:gridCol w:w="400"/>
        <w:gridCol w:w="400"/>
        <w:gridCol w:w="400"/>
        <w:gridCol w:w="400"/>
        <w:gridCol w:w="400"/>
        <w:gridCol w:w="400"/>
        <w:gridCol w:w="400"/>
        <w:gridCol w:w="400"/>
        <w:gridCol w:w="475"/>
      </w:tblGrid>
      <w:tr w:rsidR="004C2152" w:rsidRPr="00DE096C" w14:paraId="2AF3B89D" w14:textId="77777777" w:rsidTr="00FA616C">
        <w:tc>
          <w:tcPr>
            <w:tcW w:w="0" w:type="auto"/>
            <w:tcBorders>
              <w:top w:val="nil"/>
              <w:left w:val="nil"/>
              <w:bottom w:val="nil"/>
              <w:right w:val="nil"/>
            </w:tcBorders>
            <w:vAlign w:val="bottom"/>
            <w:hideMark/>
          </w:tcPr>
          <w:p w14:paraId="21C34315" w14:textId="77777777" w:rsidR="004C2152" w:rsidRPr="00DE096C" w:rsidRDefault="004C2152" w:rsidP="00D45A46">
            <w:pPr>
              <w:jc w:val="both"/>
              <w:rPr>
                <w:bCs/>
                <w:color w:val="002060"/>
                <w:sz w:val="16"/>
                <w:szCs w:val="16"/>
              </w:rPr>
            </w:pPr>
            <w:r w:rsidRPr="00DE096C">
              <w:rPr>
                <w:bCs/>
                <w:color w:val="002060"/>
                <w:sz w:val="16"/>
                <w:szCs w:val="16"/>
              </w:rPr>
              <w:t>Название предприятия</w:t>
            </w:r>
          </w:p>
        </w:tc>
        <w:tc>
          <w:tcPr>
            <w:tcW w:w="0" w:type="auto"/>
            <w:tcBorders>
              <w:top w:val="nil"/>
              <w:left w:val="nil"/>
              <w:bottom w:val="nil"/>
              <w:right w:val="nil"/>
            </w:tcBorders>
            <w:vAlign w:val="bottom"/>
            <w:hideMark/>
          </w:tcPr>
          <w:p w14:paraId="5AF14229" w14:textId="73F0A53F" w:rsidR="004C2152" w:rsidRPr="00DE096C" w:rsidRDefault="0006581C" w:rsidP="00D45A46">
            <w:pPr>
              <w:jc w:val="both"/>
              <w:rPr>
                <w:bCs/>
                <w:color w:val="002060"/>
                <w:sz w:val="16"/>
                <w:szCs w:val="16"/>
              </w:rPr>
            </w:pPr>
            <w:r>
              <w:rPr>
                <w:bCs/>
                <w:color w:val="002060"/>
                <w:sz w:val="16"/>
                <w:szCs w:val="16"/>
              </w:rPr>
              <w:t xml:space="preserve"> </w:t>
            </w:r>
            <w:r w:rsidR="004C2152" w:rsidRPr="00DE096C">
              <w:rPr>
                <w:bCs/>
                <w:color w:val="002060"/>
                <w:sz w:val="16"/>
                <w:szCs w:val="16"/>
              </w:rPr>
              <w:t xml:space="preserve"> 1907</w:t>
            </w:r>
          </w:p>
        </w:tc>
        <w:tc>
          <w:tcPr>
            <w:tcW w:w="0" w:type="auto"/>
            <w:tcBorders>
              <w:top w:val="nil"/>
              <w:left w:val="nil"/>
              <w:bottom w:val="nil"/>
              <w:right w:val="nil"/>
            </w:tcBorders>
            <w:vAlign w:val="bottom"/>
            <w:hideMark/>
          </w:tcPr>
          <w:p w14:paraId="74840E4F" w14:textId="1221F0BA" w:rsidR="004C2152" w:rsidRPr="00DE096C" w:rsidRDefault="0006581C" w:rsidP="00D45A46">
            <w:pPr>
              <w:jc w:val="both"/>
              <w:rPr>
                <w:bCs/>
                <w:color w:val="002060"/>
                <w:sz w:val="16"/>
                <w:szCs w:val="16"/>
              </w:rPr>
            </w:pPr>
            <w:r>
              <w:rPr>
                <w:bCs/>
                <w:color w:val="002060"/>
                <w:sz w:val="16"/>
                <w:szCs w:val="16"/>
              </w:rPr>
              <w:t xml:space="preserve"> </w:t>
            </w:r>
            <w:r w:rsidR="004C2152" w:rsidRPr="00DE096C">
              <w:rPr>
                <w:bCs/>
                <w:color w:val="002060"/>
                <w:sz w:val="16"/>
                <w:szCs w:val="16"/>
              </w:rPr>
              <w:t xml:space="preserve"> 1908</w:t>
            </w:r>
          </w:p>
        </w:tc>
        <w:tc>
          <w:tcPr>
            <w:tcW w:w="0" w:type="auto"/>
            <w:tcBorders>
              <w:top w:val="nil"/>
              <w:left w:val="nil"/>
              <w:bottom w:val="nil"/>
              <w:right w:val="nil"/>
            </w:tcBorders>
            <w:vAlign w:val="bottom"/>
            <w:hideMark/>
          </w:tcPr>
          <w:p w14:paraId="0925F0BA" w14:textId="5D224A9C" w:rsidR="004C2152" w:rsidRPr="00DE096C" w:rsidRDefault="0006581C" w:rsidP="00D45A46">
            <w:pPr>
              <w:jc w:val="both"/>
              <w:rPr>
                <w:bCs/>
                <w:color w:val="002060"/>
                <w:sz w:val="16"/>
                <w:szCs w:val="16"/>
              </w:rPr>
            </w:pPr>
            <w:r>
              <w:rPr>
                <w:bCs/>
                <w:color w:val="002060"/>
                <w:sz w:val="16"/>
                <w:szCs w:val="16"/>
              </w:rPr>
              <w:t xml:space="preserve"> </w:t>
            </w:r>
            <w:r w:rsidR="004C2152" w:rsidRPr="00DE096C">
              <w:rPr>
                <w:bCs/>
                <w:color w:val="002060"/>
                <w:sz w:val="16"/>
                <w:szCs w:val="16"/>
              </w:rPr>
              <w:t xml:space="preserve"> 1909</w:t>
            </w:r>
          </w:p>
        </w:tc>
        <w:tc>
          <w:tcPr>
            <w:tcW w:w="0" w:type="auto"/>
            <w:tcBorders>
              <w:top w:val="nil"/>
              <w:left w:val="nil"/>
              <w:bottom w:val="nil"/>
              <w:right w:val="nil"/>
            </w:tcBorders>
            <w:vAlign w:val="bottom"/>
            <w:hideMark/>
          </w:tcPr>
          <w:p w14:paraId="0F90C526" w14:textId="02C92D59" w:rsidR="004C2152" w:rsidRPr="00DE096C" w:rsidRDefault="0006581C" w:rsidP="00D45A46">
            <w:pPr>
              <w:jc w:val="both"/>
              <w:rPr>
                <w:bCs/>
                <w:color w:val="002060"/>
                <w:sz w:val="16"/>
                <w:szCs w:val="16"/>
              </w:rPr>
            </w:pPr>
            <w:r>
              <w:rPr>
                <w:bCs/>
                <w:color w:val="002060"/>
                <w:sz w:val="16"/>
                <w:szCs w:val="16"/>
              </w:rPr>
              <w:t xml:space="preserve"> </w:t>
            </w:r>
            <w:r w:rsidR="004C2152" w:rsidRPr="00DE096C">
              <w:rPr>
                <w:bCs/>
                <w:color w:val="002060"/>
                <w:sz w:val="16"/>
                <w:szCs w:val="16"/>
              </w:rPr>
              <w:t xml:space="preserve"> 1910</w:t>
            </w:r>
          </w:p>
        </w:tc>
        <w:tc>
          <w:tcPr>
            <w:tcW w:w="0" w:type="auto"/>
            <w:tcBorders>
              <w:top w:val="nil"/>
              <w:left w:val="nil"/>
              <w:bottom w:val="nil"/>
              <w:right w:val="nil"/>
            </w:tcBorders>
            <w:vAlign w:val="bottom"/>
            <w:hideMark/>
          </w:tcPr>
          <w:p w14:paraId="3FE7F169" w14:textId="1767106F" w:rsidR="004C2152" w:rsidRPr="00DE096C" w:rsidRDefault="0006581C" w:rsidP="00D45A46">
            <w:pPr>
              <w:jc w:val="both"/>
              <w:rPr>
                <w:bCs/>
                <w:color w:val="002060"/>
                <w:sz w:val="16"/>
                <w:szCs w:val="16"/>
              </w:rPr>
            </w:pPr>
            <w:r>
              <w:rPr>
                <w:bCs/>
                <w:color w:val="002060"/>
                <w:sz w:val="16"/>
                <w:szCs w:val="16"/>
              </w:rPr>
              <w:t xml:space="preserve"> </w:t>
            </w:r>
            <w:r w:rsidR="004C2152" w:rsidRPr="00DE096C">
              <w:rPr>
                <w:bCs/>
                <w:color w:val="002060"/>
                <w:sz w:val="16"/>
                <w:szCs w:val="16"/>
              </w:rPr>
              <w:t xml:space="preserve"> 1911</w:t>
            </w:r>
          </w:p>
        </w:tc>
        <w:tc>
          <w:tcPr>
            <w:tcW w:w="0" w:type="auto"/>
            <w:tcBorders>
              <w:top w:val="nil"/>
              <w:left w:val="nil"/>
              <w:bottom w:val="nil"/>
              <w:right w:val="nil"/>
            </w:tcBorders>
            <w:vAlign w:val="bottom"/>
            <w:hideMark/>
          </w:tcPr>
          <w:p w14:paraId="4025223C" w14:textId="3507C856" w:rsidR="004C2152" w:rsidRPr="00DE096C" w:rsidRDefault="0006581C" w:rsidP="00D45A46">
            <w:pPr>
              <w:jc w:val="both"/>
              <w:rPr>
                <w:bCs/>
                <w:color w:val="002060"/>
                <w:sz w:val="16"/>
                <w:szCs w:val="16"/>
              </w:rPr>
            </w:pPr>
            <w:r>
              <w:rPr>
                <w:bCs/>
                <w:color w:val="002060"/>
                <w:sz w:val="16"/>
                <w:szCs w:val="16"/>
              </w:rPr>
              <w:t xml:space="preserve"> </w:t>
            </w:r>
            <w:r w:rsidR="004C2152" w:rsidRPr="00DE096C">
              <w:rPr>
                <w:bCs/>
                <w:color w:val="002060"/>
                <w:sz w:val="16"/>
                <w:szCs w:val="16"/>
              </w:rPr>
              <w:t xml:space="preserve"> 1912</w:t>
            </w:r>
          </w:p>
        </w:tc>
        <w:tc>
          <w:tcPr>
            <w:tcW w:w="0" w:type="auto"/>
            <w:tcBorders>
              <w:top w:val="nil"/>
              <w:left w:val="nil"/>
              <w:bottom w:val="nil"/>
              <w:right w:val="nil"/>
            </w:tcBorders>
            <w:vAlign w:val="bottom"/>
            <w:hideMark/>
          </w:tcPr>
          <w:p w14:paraId="6B9F3082" w14:textId="5EEB2BEC" w:rsidR="004C2152" w:rsidRPr="00DE096C" w:rsidRDefault="0006581C" w:rsidP="00D45A46">
            <w:pPr>
              <w:jc w:val="both"/>
              <w:rPr>
                <w:bCs/>
                <w:color w:val="002060"/>
                <w:sz w:val="16"/>
                <w:szCs w:val="16"/>
              </w:rPr>
            </w:pPr>
            <w:r>
              <w:rPr>
                <w:bCs/>
                <w:color w:val="002060"/>
                <w:sz w:val="16"/>
                <w:szCs w:val="16"/>
              </w:rPr>
              <w:t xml:space="preserve"> </w:t>
            </w:r>
            <w:r w:rsidR="004C2152" w:rsidRPr="00DE096C">
              <w:rPr>
                <w:bCs/>
                <w:color w:val="002060"/>
                <w:sz w:val="16"/>
                <w:szCs w:val="16"/>
              </w:rPr>
              <w:t xml:space="preserve"> 1913</w:t>
            </w:r>
          </w:p>
        </w:tc>
        <w:tc>
          <w:tcPr>
            <w:tcW w:w="0" w:type="auto"/>
            <w:tcBorders>
              <w:top w:val="nil"/>
              <w:left w:val="nil"/>
              <w:bottom w:val="nil"/>
              <w:right w:val="nil"/>
            </w:tcBorders>
            <w:vAlign w:val="bottom"/>
            <w:hideMark/>
          </w:tcPr>
          <w:p w14:paraId="5514EDD3" w14:textId="5E2ED755" w:rsidR="004C2152" w:rsidRPr="00DE096C" w:rsidRDefault="0006581C" w:rsidP="00D45A46">
            <w:pPr>
              <w:jc w:val="both"/>
              <w:rPr>
                <w:bCs/>
                <w:color w:val="002060"/>
                <w:sz w:val="16"/>
                <w:szCs w:val="16"/>
              </w:rPr>
            </w:pPr>
            <w:r>
              <w:rPr>
                <w:bCs/>
                <w:color w:val="002060"/>
                <w:sz w:val="16"/>
                <w:szCs w:val="16"/>
              </w:rPr>
              <w:t xml:space="preserve"> </w:t>
            </w:r>
            <w:r w:rsidR="004C2152" w:rsidRPr="00DE096C">
              <w:rPr>
                <w:bCs/>
                <w:color w:val="002060"/>
                <w:sz w:val="16"/>
                <w:szCs w:val="16"/>
              </w:rPr>
              <w:t xml:space="preserve"> 1914</w:t>
            </w:r>
          </w:p>
        </w:tc>
        <w:tc>
          <w:tcPr>
            <w:tcW w:w="0" w:type="auto"/>
            <w:tcBorders>
              <w:top w:val="nil"/>
              <w:left w:val="nil"/>
              <w:bottom w:val="nil"/>
              <w:right w:val="nil"/>
            </w:tcBorders>
            <w:vAlign w:val="bottom"/>
            <w:hideMark/>
          </w:tcPr>
          <w:p w14:paraId="1EF4A892" w14:textId="3164A411" w:rsidR="004C2152" w:rsidRPr="00DE096C" w:rsidRDefault="0006581C" w:rsidP="00D45A46">
            <w:pPr>
              <w:jc w:val="both"/>
              <w:rPr>
                <w:bCs/>
                <w:color w:val="002060"/>
                <w:sz w:val="16"/>
                <w:szCs w:val="16"/>
              </w:rPr>
            </w:pPr>
            <w:r>
              <w:rPr>
                <w:bCs/>
                <w:color w:val="002060"/>
                <w:sz w:val="16"/>
                <w:szCs w:val="16"/>
              </w:rPr>
              <w:t xml:space="preserve"> </w:t>
            </w:r>
            <w:r w:rsidR="004C2152" w:rsidRPr="00DE096C">
              <w:rPr>
                <w:bCs/>
                <w:color w:val="002060"/>
                <w:sz w:val="16"/>
                <w:szCs w:val="16"/>
              </w:rPr>
              <w:t xml:space="preserve"> Всего</w:t>
            </w:r>
          </w:p>
        </w:tc>
      </w:tr>
      <w:tr w:rsidR="004C2152" w:rsidRPr="00DE096C" w14:paraId="03DDDC69" w14:textId="77777777" w:rsidTr="00FA616C">
        <w:tc>
          <w:tcPr>
            <w:tcW w:w="0" w:type="auto"/>
            <w:tcBorders>
              <w:top w:val="nil"/>
              <w:left w:val="nil"/>
              <w:bottom w:val="nil"/>
              <w:right w:val="nil"/>
            </w:tcBorders>
            <w:vAlign w:val="bottom"/>
            <w:hideMark/>
          </w:tcPr>
          <w:p w14:paraId="62FE3520" w14:textId="77777777" w:rsidR="004C2152" w:rsidRPr="00DE096C" w:rsidRDefault="004C2152" w:rsidP="00D45A46">
            <w:pPr>
              <w:jc w:val="both"/>
              <w:rPr>
                <w:bCs/>
                <w:color w:val="002060"/>
                <w:sz w:val="16"/>
                <w:szCs w:val="16"/>
              </w:rPr>
            </w:pPr>
            <w:r w:rsidRPr="00DE096C">
              <w:rPr>
                <w:bCs/>
                <w:color w:val="002060"/>
                <w:sz w:val="16"/>
                <w:szCs w:val="16"/>
              </w:rPr>
              <w:t>"Лейтнер"</w:t>
            </w:r>
          </w:p>
        </w:tc>
        <w:tc>
          <w:tcPr>
            <w:tcW w:w="0" w:type="auto"/>
            <w:tcBorders>
              <w:top w:val="nil"/>
              <w:left w:val="nil"/>
              <w:bottom w:val="nil"/>
              <w:right w:val="nil"/>
            </w:tcBorders>
            <w:vAlign w:val="bottom"/>
            <w:hideMark/>
          </w:tcPr>
          <w:p w14:paraId="4D490183" w14:textId="28D40949" w:rsidR="004C2152" w:rsidRPr="00DE096C" w:rsidRDefault="0006581C" w:rsidP="00D45A46">
            <w:pPr>
              <w:jc w:val="both"/>
              <w:rPr>
                <w:bCs/>
                <w:color w:val="002060"/>
                <w:sz w:val="16"/>
                <w:szCs w:val="16"/>
              </w:rPr>
            </w:pPr>
            <w:r>
              <w:rPr>
                <w:bCs/>
                <w:color w:val="002060"/>
                <w:sz w:val="16"/>
                <w:szCs w:val="16"/>
              </w:rPr>
              <w:t xml:space="preserve"> </w:t>
            </w:r>
            <w:r w:rsidR="004C2152" w:rsidRPr="00DE096C">
              <w:rPr>
                <w:bCs/>
                <w:color w:val="002060"/>
                <w:sz w:val="16"/>
                <w:szCs w:val="16"/>
              </w:rPr>
              <w:t xml:space="preserve"> 2</w:t>
            </w:r>
          </w:p>
        </w:tc>
        <w:tc>
          <w:tcPr>
            <w:tcW w:w="0" w:type="auto"/>
            <w:tcBorders>
              <w:top w:val="nil"/>
              <w:left w:val="nil"/>
              <w:bottom w:val="nil"/>
              <w:right w:val="nil"/>
            </w:tcBorders>
            <w:vAlign w:val="bottom"/>
            <w:hideMark/>
          </w:tcPr>
          <w:p w14:paraId="04CBE638" w14:textId="4599CA9E" w:rsidR="004C2152" w:rsidRPr="00DE096C" w:rsidRDefault="0006581C" w:rsidP="00D45A46">
            <w:pPr>
              <w:jc w:val="both"/>
              <w:rPr>
                <w:bCs/>
                <w:color w:val="002060"/>
                <w:sz w:val="16"/>
                <w:szCs w:val="16"/>
              </w:rPr>
            </w:pPr>
            <w:r>
              <w:rPr>
                <w:bCs/>
                <w:color w:val="002060"/>
                <w:sz w:val="16"/>
                <w:szCs w:val="16"/>
              </w:rPr>
              <w:t xml:space="preserve"> </w:t>
            </w:r>
            <w:r w:rsidR="004C2152" w:rsidRPr="00DE096C">
              <w:rPr>
                <w:bCs/>
                <w:color w:val="002060"/>
                <w:sz w:val="16"/>
                <w:szCs w:val="16"/>
              </w:rPr>
              <w:t xml:space="preserve"> 7</w:t>
            </w:r>
          </w:p>
        </w:tc>
        <w:tc>
          <w:tcPr>
            <w:tcW w:w="0" w:type="auto"/>
            <w:tcBorders>
              <w:top w:val="nil"/>
              <w:left w:val="nil"/>
              <w:bottom w:val="nil"/>
              <w:right w:val="nil"/>
            </w:tcBorders>
            <w:vAlign w:val="bottom"/>
            <w:hideMark/>
          </w:tcPr>
          <w:p w14:paraId="1D4BADD7" w14:textId="4AC7C981" w:rsidR="004C2152" w:rsidRPr="00DE096C" w:rsidRDefault="0006581C" w:rsidP="00D45A46">
            <w:pPr>
              <w:jc w:val="both"/>
              <w:rPr>
                <w:bCs/>
                <w:color w:val="002060"/>
                <w:sz w:val="16"/>
                <w:szCs w:val="16"/>
              </w:rPr>
            </w:pPr>
            <w:r>
              <w:rPr>
                <w:bCs/>
                <w:color w:val="002060"/>
                <w:sz w:val="16"/>
                <w:szCs w:val="16"/>
              </w:rPr>
              <w:t xml:space="preserve"> </w:t>
            </w:r>
            <w:r w:rsidR="004C2152" w:rsidRPr="00DE096C">
              <w:rPr>
                <w:bCs/>
                <w:color w:val="002060"/>
                <w:sz w:val="16"/>
                <w:szCs w:val="16"/>
              </w:rPr>
              <w:t xml:space="preserve"> 16</w:t>
            </w:r>
          </w:p>
        </w:tc>
        <w:tc>
          <w:tcPr>
            <w:tcW w:w="0" w:type="auto"/>
            <w:tcBorders>
              <w:top w:val="nil"/>
              <w:left w:val="nil"/>
              <w:bottom w:val="nil"/>
              <w:right w:val="nil"/>
            </w:tcBorders>
            <w:vAlign w:val="bottom"/>
            <w:hideMark/>
          </w:tcPr>
          <w:p w14:paraId="7B58CD1F" w14:textId="67986CF6" w:rsidR="004C2152" w:rsidRPr="00DE096C" w:rsidRDefault="0006581C" w:rsidP="00D45A46">
            <w:pPr>
              <w:jc w:val="both"/>
              <w:rPr>
                <w:bCs/>
                <w:color w:val="002060"/>
                <w:sz w:val="16"/>
                <w:szCs w:val="16"/>
              </w:rPr>
            </w:pPr>
            <w:r>
              <w:rPr>
                <w:bCs/>
                <w:color w:val="002060"/>
                <w:sz w:val="16"/>
                <w:szCs w:val="16"/>
              </w:rPr>
              <w:t xml:space="preserve"> </w:t>
            </w:r>
            <w:r w:rsidR="004C2152" w:rsidRPr="00DE096C">
              <w:rPr>
                <w:bCs/>
                <w:color w:val="002060"/>
                <w:sz w:val="16"/>
                <w:szCs w:val="16"/>
              </w:rPr>
              <w:t xml:space="preserve"> 21</w:t>
            </w:r>
          </w:p>
        </w:tc>
        <w:tc>
          <w:tcPr>
            <w:tcW w:w="0" w:type="auto"/>
            <w:tcBorders>
              <w:top w:val="nil"/>
              <w:left w:val="nil"/>
              <w:bottom w:val="nil"/>
              <w:right w:val="nil"/>
            </w:tcBorders>
            <w:vAlign w:val="bottom"/>
            <w:hideMark/>
          </w:tcPr>
          <w:p w14:paraId="18C20B0F" w14:textId="51A573AE" w:rsidR="004C2152" w:rsidRPr="00DE096C" w:rsidRDefault="0006581C" w:rsidP="00D45A46">
            <w:pPr>
              <w:jc w:val="both"/>
              <w:rPr>
                <w:bCs/>
                <w:color w:val="002060"/>
                <w:sz w:val="16"/>
                <w:szCs w:val="16"/>
              </w:rPr>
            </w:pPr>
            <w:r>
              <w:rPr>
                <w:bCs/>
                <w:color w:val="002060"/>
                <w:sz w:val="16"/>
                <w:szCs w:val="16"/>
              </w:rPr>
              <w:t xml:space="preserve"> </w:t>
            </w:r>
            <w:r w:rsidR="004C2152" w:rsidRPr="00DE096C">
              <w:rPr>
                <w:bCs/>
                <w:color w:val="002060"/>
                <w:sz w:val="16"/>
                <w:szCs w:val="16"/>
              </w:rPr>
              <w:t xml:space="preserve"> 34</w:t>
            </w:r>
          </w:p>
        </w:tc>
        <w:tc>
          <w:tcPr>
            <w:tcW w:w="0" w:type="auto"/>
            <w:tcBorders>
              <w:top w:val="nil"/>
              <w:left w:val="nil"/>
              <w:bottom w:val="nil"/>
              <w:right w:val="nil"/>
            </w:tcBorders>
            <w:vAlign w:val="bottom"/>
            <w:hideMark/>
          </w:tcPr>
          <w:p w14:paraId="672F0E65" w14:textId="50204683" w:rsidR="004C2152" w:rsidRPr="00DE096C" w:rsidRDefault="0006581C" w:rsidP="00D45A46">
            <w:pPr>
              <w:jc w:val="both"/>
              <w:rPr>
                <w:bCs/>
                <w:color w:val="002060"/>
                <w:sz w:val="16"/>
                <w:szCs w:val="16"/>
              </w:rPr>
            </w:pPr>
            <w:r>
              <w:rPr>
                <w:bCs/>
                <w:color w:val="002060"/>
                <w:sz w:val="16"/>
                <w:szCs w:val="16"/>
              </w:rPr>
              <w:t xml:space="preserve"> </w:t>
            </w:r>
            <w:r w:rsidR="004C2152" w:rsidRPr="00DE096C">
              <w:rPr>
                <w:bCs/>
                <w:color w:val="002060"/>
                <w:sz w:val="16"/>
                <w:szCs w:val="16"/>
              </w:rPr>
              <w:t xml:space="preserve"> 36</w:t>
            </w:r>
          </w:p>
        </w:tc>
        <w:tc>
          <w:tcPr>
            <w:tcW w:w="0" w:type="auto"/>
            <w:tcBorders>
              <w:top w:val="nil"/>
              <w:left w:val="nil"/>
              <w:bottom w:val="nil"/>
              <w:right w:val="nil"/>
            </w:tcBorders>
            <w:vAlign w:val="bottom"/>
            <w:hideMark/>
          </w:tcPr>
          <w:p w14:paraId="134831A1" w14:textId="3E4AFCFB" w:rsidR="004C2152" w:rsidRPr="00DE096C" w:rsidRDefault="0006581C" w:rsidP="00D45A46">
            <w:pPr>
              <w:jc w:val="both"/>
              <w:rPr>
                <w:bCs/>
                <w:color w:val="002060"/>
                <w:sz w:val="16"/>
                <w:szCs w:val="16"/>
              </w:rPr>
            </w:pPr>
            <w:r>
              <w:rPr>
                <w:bCs/>
                <w:color w:val="002060"/>
                <w:sz w:val="16"/>
                <w:szCs w:val="16"/>
              </w:rPr>
              <w:t xml:space="preserve"> </w:t>
            </w:r>
            <w:r w:rsidR="004C2152" w:rsidRPr="00DE096C">
              <w:rPr>
                <w:bCs/>
                <w:color w:val="002060"/>
                <w:sz w:val="16"/>
                <w:szCs w:val="16"/>
              </w:rPr>
              <w:t xml:space="preserve"> 41</w:t>
            </w:r>
          </w:p>
        </w:tc>
        <w:tc>
          <w:tcPr>
            <w:tcW w:w="0" w:type="auto"/>
            <w:tcBorders>
              <w:top w:val="nil"/>
              <w:left w:val="nil"/>
              <w:bottom w:val="nil"/>
              <w:right w:val="nil"/>
            </w:tcBorders>
            <w:vAlign w:val="bottom"/>
            <w:hideMark/>
          </w:tcPr>
          <w:p w14:paraId="53A4A768" w14:textId="4091B5FE" w:rsidR="004C2152" w:rsidRPr="00DE096C" w:rsidRDefault="0006581C" w:rsidP="00D45A46">
            <w:pPr>
              <w:jc w:val="both"/>
              <w:rPr>
                <w:bCs/>
                <w:color w:val="002060"/>
                <w:sz w:val="16"/>
                <w:szCs w:val="16"/>
              </w:rPr>
            </w:pPr>
            <w:r>
              <w:rPr>
                <w:bCs/>
                <w:color w:val="002060"/>
                <w:sz w:val="16"/>
                <w:szCs w:val="16"/>
              </w:rPr>
              <w:t xml:space="preserve"> </w:t>
            </w:r>
            <w:r w:rsidR="004C2152" w:rsidRPr="00DE096C">
              <w:rPr>
                <w:bCs/>
                <w:color w:val="002060"/>
                <w:sz w:val="16"/>
                <w:szCs w:val="16"/>
              </w:rPr>
              <w:t xml:space="preserve"> 72</w:t>
            </w:r>
          </w:p>
        </w:tc>
        <w:tc>
          <w:tcPr>
            <w:tcW w:w="0" w:type="auto"/>
            <w:tcBorders>
              <w:top w:val="nil"/>
              <w:left w:val="nil"/>
              <w:bottom w:val="nil"/>
              <w:right w:val="nil"/>
            </w:tcBorders>
            <w:vAlign w:val="bottom"/>
            <w:hideMark/>
          </w:tcPr>
          <w:p w14:paraId="6EB72A47" w14:textId="59FE3898" w:rsidR="004C2152" w:rsidRPr="00DE096C" w:rsidRDefault="0006581C" w:rsidP="00D45A46">
            <w:pPr>
              <w:jc w:val="both"/>
              <w:rPr>
                <w:bCs/>
                <w:color w:val="002060"/>
                <w:sz w:val="16"/>
                <w:szCs w:val="16"/>
              </w:rPr>
            </w:pPr>
            <w:r>
              <w:rPr>
                <w:bCs/>
                <w:color w:val="002060"/>
                <w:sz w:val="16"/>
                <w:szCs w:val="16"/>
              </w:rPr>
              <w:t xml:space="preserve"> </w:t>
            </w:r>
            <w:r w:rsidR="004C2152" w:rsidRPr="00DE096C">
              <w:rPr>
                <w:bCs/>
                <w:color w:val="002060"/>
                <w:sz w:val="16"/>
                <w:szCs w:val="16"/>
              </w:rPr>
              <w:t xml:space="preserve"> 229</w:t>
            </w:r>
          </w:p>
        </w:tc>
      </w:tr>
    </w:tbl>
    <w:p w14:paraId="715D49EF" w14:textId="77777777" w:rsidR="004C2152" w:rsidRPr="00DE096C" w:rsidRDefault="004C2152" w:rsidP="00D45A46">
      <w:pPr>
        <w:jc w:val="both"/>
        <w:rPr>
          <w:bCs/>
          <w:color w:val="002060"/>
          <w:sz w:val="16"/>
          <w:szCs w:val="16"/>
        </w:rPr>
      </w:pPr>
      <w:r w:rsidRPr="00DE096C">
        <w:rPr>
          <w:bCs/>
          <w:color w:val="002060"/>
          <w:sz w:val="16"/>
          <w:szCs w:val="16"/>
        </w:rPr>
        <w:t>фабрикой Лидтке, которая объединивлась после смерти Е.А.Яковлева с "Товариществом завода Яковлева" с 1909 года по 1914 год собрала 96 автомобилей.</w:t>
      </w:r>
    </w:p>
    <w:tbl>
      <w:tblPr>
        <w:tblW w:w="0" w:type="auto"/>
        <w:tblCellMar>
          <w:left w:w="0" w:type="dxa"/>
          <w:right w:w="0" w:type="dxa"/>
        </w:tblCellMar>
        <w:tblLook w:val="04A0" w:firstRow="1" w:lastRow="0" w:firstColumn="1" w:lastColumn="0" w:noHBand="0" w:noVBand="1"/>
      </w:tblPr>
      <w:tblGrid>
        <w:gridCol w:w="1551"/>
        <w:gridCol w:w="320"/>
        <w:gridCol w:w="320"/>
        <w:gridCol w:w="320"/>
        <w:gridCol w:w="320"/>
        <w:gridCol w:w="320"/>
        <w:gridCol w:w="320"/>
        <w:gridCol w:w="395"/>
      </w:tblGrid>
      <w:tr w:rsidR="004C2152" w:rsidRPr="00DE096C" w14:paraId="0CB412B5" w14:textId="77777777" w:rsidTr="00FA616C">
        <w:tc>
          <w:tcPr>
            <w:tcW w:w="0" w:type="auto"/>
            <w:tcBorders>
              <w:top w:val="nil"/>
              <w:left w:val="nil"/>
              <w:bottom w:val="nil"/>
              <w:right w:val="nil"/>
            </w:tcBorders>
            <w:vAlign w:val="bottom"/>
            <w:hideMark/>
          </w:tcPr>
          <w:p w14:paraId="22EA52F5" w14:textId="77777777" w:rsidR="004C2152" w:rsidRPr="00DE096C" w:rsidRDefault="004C2152" w:rsidP="00D45A46">
            <w:pPr>
              <w:jc w:val="both"/>
              <w:rPr>
                <w:bCs/>
                <w:color w:val="002060"/>
                <w:sz w:val="16"/>
                <w:szCs w:val="16"/>
              </w:rPr>
            </w:pPr>
            <w:r w:rsidRPr="00DE096C">
              <w:rPr>
                <w:bCs/>
                <w:color w:val="002060"/>
                <w:sz w:val="16"/>
                <w:szCs w:val="16"/>
              </w:rPr>
              <w:t>Название предприятия</w:t>
            </w:r>
          </w:p>
        </w:tc>
        <w:tc>
          <w:tcPr>
            <w:tcW w:w="0" w:type="auto"/>
            <w:tcBorders>
              <w:top w:val="nil"/>
              <w:left w:val="nil"/>
              <w:bottom w:val="nil"/>
              <w:right w:val="nil"/>
            </w:tcBorders>
            <w:vAlign w:val="bottom"/>
            <w:hideMark/>
          </w:tcPr>
          <w:p w14:paraId="127D41AC" w14:textId="77777777" w:rsidR="004C2152" w:rsidRPr="00DE096C" w:rsidRDefault="004C2152" w:rsidP="00D45A46">
            <w:pPr>
              <w:jc w:val="both"/>
              <w:rPr>
                <w:bCs/>
                <w:color w:val="002060"/>
                <w:sz w:val="16"/>
                <w:szCs w:val="16"/>
              </w:rPr>
            </w:pPr>
            <w:r w:rsidRPr="00DE096C">
              <w:rPr>
                <w:bCs/>
                <w:color w:val="002060"/>
                <w:sz w:val="16"/>
                <w:szCs w:val="16"/>
              </w:rPr>
              <w:t>1909</w:t>
            </w:r>
          </w:p>
        </w:tc>
        <w:tc>
          <w:tcPr>
            <w:tcW w:w="0" w:type="auto"/>
            <w:tcBorders>
              <w:top w:val="nil"/>
              <w:left w:val="nil"/>
              <w:bottom w:val="nil"/>
              <w:right w:val="nil"/>
            </w:tcBorders>
            <w:vAlign w:val="bottom"/>
            <w:hideMark/>
          </w:tcPr>
          <w:p w14:paraId="6A4D0D98" w14:textId="77777777" w:rsidR="004C2152" w:rsidRPr="00DE096C" w:rsidRDefault="004C2152" w:rsidP="00D45A46">
            <w:pPr>
              <w:jc w:val="both"/>
              <w:rPr>
                <w:bCs/>
                <w:color w:val="002060"/>
                <w:sz w:val="16"/>
                <w:szCs w:val="16"/>
              </w:rPr>
            </w:pPr>
            <w:r w:rsidRPr="00DE096C">
              <w:rPr>
                <w:bCs/>
                <w:color w:val="002060"/>
                <w:sz w:val="16"/>
                <w:szCs w:val="16"/>
              </w:rPr>
              <w:t>1910</w:t>
            </w:r>
          </w:p>
        </w:tc>
        <w:tc>
          <w:tcPr>
            <w:tcW w:w="0" w:type="auto"/>
            <w:tcBorders>
              <w:top w:val="nil"/>
              <w:left w:val="nil"/>
              <w:bottom w:val="nil"/>
              <w:right w:val="nil"/>
            </w:tcBorders>
            <w:vAlign w:val="bottom"/>
            <w:hideMark/>
          </w:tcPr>
          <w:p w14:paraId="290F5D35" w14:textId="77777777" w:rsidR="004C2152" w:rsidRPr="00DE096C" w:rsidRDefault="004C2152" w:rsidP="00D45A46">
            <w:pPr>
              <w:jc w:val="both"/>
              <w:rPr>
                <w:bCs/>
                <w:color w:val="002060"/>
                <w:sz w:val="16"/>
                <w:szCs w:val="16"/>
              </w:rPr>
            </w:pPr>
            <w:r w:rsidRPr="00DE096C">
              <w:rPr>
                <w:bCs/>
                <w:color w:val="002060"/>
                <w:sz w:val="16"/>
                <w:szCs w:val="16"/>
              </w:rPr>
              <w:t>1911</w:t>
            </w:r>
          </w:p>
        </w:tc>
        <w:tc>
          <w:tcPr>
            <w:tcW w:w="0" w:type="auto"/>
            <w:tcBorders>
              <w:top w:val="nil"/>
              <w:left w:val="nil"/>
              <w:bottom w:val="nil"/>
              <w:right w:val="nil"/>
            </w:tcBorders>
            <w:vAlign w:val="bottom"/>
            <w:hideMark/>
          </w:tcPr>
          <w:p w14:paraId="4D777DB0" w14:textId="77777777" w:rsidR="004C2152" w:rsidRPr="00DE096C" w:rsidRDefault="004C2152" w:rsidP="00D45A46">
            <w:pPr>
              <w:jc w:val="both"/>
              <w:rPr>
                <w:bCs/>
                <w:color w:val="002060"/>
                <w:sz w:val="16"/>
                <w:szCs w:val="16"/>
              </w:rPr>
            </w:pPr>
            <w:r w:rsidRPr="00DE096C">
              <w:rPr>
                <w:bCs/>
                <w:color w:val="002060"/>
                <w:sz w:val="16"/>
                <w:szCs w:val="16"/>
              </w:rPr>
              <w:t>1912</w:t>
            </w:r>
          </w:p>
        </w:tc>
        <w:tc>
          <w:tcPr>
            <w:tcW w:w="0" w:type="auto"/>
            <w:tcBorders>
              <w:top w:val="nil"/>
              <w:left w:val="nil"/>
              <w:bottom w:val="nil"/>
              <w:right w:val="nil"/>
            </w:tcBorders>
            <w:vAlign w:val="bottom"/>
            <w:hideMark/>
          </w:tcPr>
          <w:p w14:paraId="7C1DB50E" w14:textId="77777777" w:rsidR="004C2152" w:rsidRPr="00DE096C" w:rsidRDefault="004C2152" w:rsidP="00D45A46">
            <w:pPr>
              <w:jc w:val="both"/>
              <w:rPr>
                <w:bCs/>
                <w:color w:val="002060"/>
                <w:sz w:val="16"/>
                <w:szCs w:val="16"/>
              </w:rPr>
            </w:pPr>
            <w:r w:rsidRPr="00DE096C">
              <w:rPr>
                <w:bCs/>
                <w:color w:val="002060"/>
                <w:sz w:val="16"/>
                <w:szCs w:val="16"/>
              </w:rPr>
              <w:t>1913</w:t>
            </w:r>
          </w:p>
        </w:tc>
        <w:tc>
          <w:tcPr>
            <w:tcW w:w="0" w:type="auto"/>
            <w:tcBorders>
              <w:top w:val="nil"/>
              <w:left w:val="nil"/>
              <w:bottom w:val="nil"/>
              <w:right w:val="nil"/>
            </w:tcBorders>
            <w:vAlign w:val="bottom"/>
            <w:hideMark/>
          </w:tcPr>
          <w:p w14:paraId="1AB7DE69" w14:textId="77777777" w:rsidR="004C2152" w:rsidRPr="00DE096C" w:rsidRDefault="004C2152" w:rsidP="00D45A46">
            <w:pPr>
              <w:jc w:val="both"/>
              <w:rPr>
                <w:bCs/>
                <w:color w:val="002060"/>
                <w:sz w:val="16"/>
                <w:szCs w:val="16"/>
              </w:rPr>
            </w:pPr>
            <w:r w:rsidRPr="00DE096C">
              <w:rPr>
                <w:bCs/>
                <w:color w:val="002060"/>
                <w:sz w:val="16"/>
                <w:szCs w:val="16"/>
              </w:rPr>
              <w:t>1914</w:t>
            </w:r>
          </w:p>
        </w:tc>
        <w:tc>
          <w:tcPr>
            <w:tcW w:w="0" w:type="auto"/>
            <w:tcBorders>
              <w:top w:val="nil"/>
              <w:left w:val="nil"/>
              <w:bottom w:val="nil"/>
              <w:right w:val="nil"/>
            </w:tcBorders>
            <w:vAlign w:val="bottom"/>
            <w:hideMark/>
          </w:tcPr>
          <w:p w14:paraId="1ADC3398" w14:textId="77777777" w:rsidR="004C2152" w:rsidRPr="00DE096C" w:rsidRDefault="004C2152" w:rsidP="00D45A46">
            <w:pPr>
              <w:jc w:val="both"/>
              <w:rPr>
                <w:bCs/>
                <w:color w:val="002060"/>
                <w:sz w:val="16"/>
                <w:szCs w:val="16"/>
              </w:rPr>
            </w:pPr>
            <w:r w:rsidRPr="00DE096C">
              <w:rPr>
                <w:bCs/>
                <w:color w:val="002060"/>
                <w:sz w:val="16"/>
                <w:szCs w:val="16"/>
              </w:rPr>
              <w:t>Всего</w:t>
            </w:r>
          </w:p>
        </w:tc>
      </w:tr>
      <w:tr w:rsidR="004C2152" w:rsidRPr="00DE096C" w14:paraId="09112883" w14:textId="77777777" w:rsidTr="00FA616C">
        <w:tc>
          <w:tcPr>
            <w:tcW w:w="0" w:type="auto"/>
            <w:tcBorders>
              <w:top w:val="nil"/>
              <w:left w:val="nil"/>
              <w:bottom w:val="nil"/>
              <w:right w:val="nil"/>
            </w:tcBorders>
            <w:vAlign w:val="bottom"/>
            <w:hideMark/>
          </w:tcPr>
          <w:p w14:paraId="733E5DFA" w14:textId="77777777" w:rsidR="004C2152" w:rsidRPr="00DE096C" w:rsidRDefault="004C2152" w:rsidP="00D45A46">
            <w:pPr>
              <w:jc w:val="both"/>
              <w:rPr>
                <w:bCs/>
                <w:color w:val="002060"/>
                <w:sz w:val="16"/>
                <w:szCs w:val="16"/>
              </w:rPr>
            </w:pPr>
            <w:r w:rsidRPr="00DE096C">
              <w:rPr>
                <w:bCs/>
                <w:color w:val="002060"/>
                <w:sz w:val="16"/>
                <w:szCs w:val="16"/>
              </w:rPr>
              <w:t>"Унион"</w:t>
            </w:r>
          </w:p>
        </w:tc>
        <w:tc>
          <w:tcPr>
            <w:tcW w:w="0" w:type="auto"/>
            <w:tcBorders>
              <w:top w:val="nil"/>
              <w:left w:val="nil"/>
              <w:bottom w:val="nil"/>
              <w:right w:val="nil"/>
            </w:tcBorders>
            <w:vAlign w:val="bottom"/>
            <w:hideMark/>
          </w:tcPr>
          <w:p w14:paraId="3AA830D0" w14:textId="77777777" w:rsidR="004C2152" w:rsidRPr="00DE096C" w:rsidRDefault="004C2152" w:rsidP="00D45A46">
            <w:pPr>
              <w:jc w:val="both"/>
              <w:rPr>
                <w:bCs/>
                <w:color w:val="002060"/>
                <w:sz w:val="16"/>
                <w:szCs w:val="16"/>
              </w:rPr>
            </w:pPr>
            <w:r w:rsidRPr="00DE096C">
              <w:rPr>
                <w:bCs/>
                <w:color w:val="002060"/>
                <w:sz w:val="16"/>
                <w:szCs w:val="16"/>
              </w:rPr>
              <w:t>3</w:t>
            </w:r>
          </w:p>
        </w:tc>
        <w:tc>
          <w:tcPr>
            <w:tcW w:w="0" w:type="auto"/>
            <w:tcBorders>
              <w:top w:val="nil"/>
              <w:left w:val="nil"/>
              <w:bottom w:val="nil"/>
              <w:right w:val="nil"/>
            </w:tcBorders>
            <w:vAlign w:val="bottom"/>
            <w:hideMark/>
          </w:tcPr>
          <w:p w14:paraId="6165721A" w14:textId="77777777" w:rsidR="004C2152" w:rsidRPr="00DE096C" w:rsidRDefault="004C2152" w:rsidP="00D45A46">
            <w:pPr>
              <w:jc w:val="both"/>
              <w:rPr>
                <w:bCs/>
                <w:color w:val="002060"/>
                <w:sz w:val="16"/>
                <w:szCs w:val="16"/>
              </w:rPr>
            </w:pPr>
            <w:r w:rsidRPr="00DE096C">
              <w:rPr>
                <w:bCs/>
                <w:color w:val="002060"/>
                <w:sz w:val="16"/>
                <w:szCs w:val="16"/>
              </w:rPr>
              <w:t>4</w:t>
            </w:r>
          </w:p>
        </w:tc>
        <w:tc>
          <w:tcPr>
            <w:tcW w:w="0" w:type="auto"/>
            <w:tcBorders>
              <w:top w:val="nil"/>
              <w:left w:val="nil"/>
              <w:bottom w:val="nil"/>
              <w:right w:val="nil"/>
            </w:tcBorders>
            <w:vAlign w:val="bottom"/>
            <w:hideMark/>
          </w:tcPr>
          <w:p w14:paraId="0BD747C9" w14:textId="77777777" w:rsidR="004C2152" w:rsidRPr="00DE096C" w:rsidRDefault="004C2152" w:rsidP="00D45A46">
            <w:pPr>
              <w:jc w:val="both"/>
              <w:rPr>
                <w:bCs/>
                <w:color w:val="002060"/>
                <w:sz w:val="16"/>
                <w:szCs w:val="16"/>
              </w:rPr>
            </w:pPr>
            <w:r w:rsidRPr="00DE096C">
              <w:rPr>
                <w:bCs/>
                <w:color w:val="002060"/>
                <w:sz w:val="16"/>
                <w:szCs w:val="16"/>
              </w:rPr>
              <w:t>11</w:t>
            </w:r>
          </w:p>
        </w:tc>
        <w:tc>
          <w:tcPr>
            <w:tcW w:w="0" w:type="auto"/>
            <w:tcBorders>
              <w:top w:val="nil"/>
              <w:left w:val="nil"/>
              <w:bottom w:val="nil"/>
              <w:right w:val="nil"/>
            </w:tcBorders>
            <w:vAlign w:val="bottom"/>
            <w:hideMark/>
          </w:tcPr>
          <w:p w14:paraId="5CE9928E" w14:textId="77777777" w:rsidR="004C2152" w:rsidRPr="00DE096C" w:rsidRDefault="004C2152" w:rsidP="00D45A46">
            <w:pPr>
              <w:jc w:val="both"/>
              <w:rPr>
                <w:bCs/>
                <w:color w:val="002060"/>
                <w:sz w:val="16"/>
                <w:szCs w:val="16"/>
              </w:rPr>
            </w:pPr>
            <w:r w:rsidRPr="00DE096C">
              <w:rPr>
                <w:bCs/>
                <w:color w:val="002060"/>
                <w:sz w:val="16"/>
                <w:szCs w:val="16"/>
              </w:rPr>
              <w:t>17</w:t>
            </w:r>
          </w:p>
        </w:tc>
        <w:tc>
          <w:tcPr>
            <w:tcW w:w="0" w:type="auto"/>
            <w:tcBorders>
              <w:top w:val="nil"/>
              <w:left w:val="nil"/>
              <w:bottom w:val="nil"/>
              <w:right w:val="nil"/>
            </w:tcBorders>
            <w:vAlign w:val="bottom"/>
            <w:hideMark/>
          </w:tcPr>
          <w:p w14:paraId="07A835B2" w14:textId="77777777" w:rsidR="004C2152" w:rsidRPr="00DE096C" w:rsidRDefault="004C2152" w:rsidP="00D45A46">
            <w:pPr>
              <w:jc w:val="both"/>
              <w:rPr>
                <w:bCs/>
                <w:color w:val="002060"/>
                <w:sz w:val="16"/>
                <w:szCs w:val="16"/>
              </w:rPr>
            </w:pPr>
            <w:r w:rsidRPr="00DE096C">
              <w:rPr>
                <w:bCs/>
                <w:color w:val="002060"/>
                <w:sz w:val="16"/>
                <w:szCs w:val="16"/>
              </w:rPr>
              <w:t>22</w:t>
            </w:r>
          </w:p>
        </w:tc>
        <w:tc>
          <w:tcPr>
            <w:tcW w:w="0" w:type="auto"/>
            <w:tcBorders>
              <w:top w:val="nil"/>
              <w:left w:val="nil"/>
              <w:bottom w:val="nil"/>
              <w:right w:val="nil"/>
            </w:tcBorders>
            <w:vAlign w:val="bottom"/>
            <w:hideMark/>
          </w:tcPr>
          <w:p w14:paraId="5B20948D" w14:textId="77777777" w:rsidR="004C2152" w:rsidRPr="00DE096C" w:rsidRDefault="004C2152" w:rsidP="00D45A46">
            <w:pPr>
              <w:jc w:val="both"/>
              <w:rPr>
                <w:bCs/>
                <w:color w:val="002060"/>
                <w:sz w:val="16"/>
                <w:szCs w:val="16"/>
              </w:rPr>
            </w:pPr>
            <w:r w:rsidRPr="00DE096C">
              <w:rPr>
                <w:bCs/>
                <w:color w:val="002060"/>
                <w:sz w:val="16"/>
                <w:szCs w:val="16"/>
              </w:rPr>
              <w:t>39</w:t>
            </w:r>
          </w:p>
        </w:tc>
        <w:tc>
          <w:tcPr>
            <w:tcW w:w="0" w:type="auto"/>
            <w:tcBorders>
              <w:top w:val="nil"/>
              <w:left w:val="nil"/>
              <w:bottom w:val="nil"/>
              <w:right w:val="nil"/>
            </w:tcBorders>
            <w:vAlign w:val="bottom"/>
            <w:hideMark/>
          </w:tcPr>
          <w:p w14:paraId="0BEFC97B" w14:textId="77777777" w:rsidR="004C2152" w:rsidRPr="00DE096C" w:rsidRDefault="004C2152" w:rsidP="00D45A46">
            <w:pPr>
              <w:jc w:val="both"/>
              <w:rPr>
                <w:bCs/>
                <w:color w:val="002060"/>
                <w:sz w:val="16"/>
                <w:szCs w:val="16"/>
              </w:rPr>
            </w:pPr>
            <w:r w:rsidRPr="00DE096C">
              <w:rPr>
                <w:bCs/>
                <w:color w:val="002060"/>
                <w:sz w:val="16"/>
                <w:szCs w:val="16"/>
              </w:rPr>
              <w:t>96</w:t>
            </w:r>
          </w:p>
        </w:tc>
      </w:tr>
    </w:tbl>
    <w:p w14:paraId="724BDF3C" w14:textId="6547F309" w:rsidR="004C2152" w:rsidRPr="00DE096C" w:rsidRDefault="004C2152" w:rsidP="00D45A46">
      <w:pPr>
        <w:jc w:val="both"/>
        <w:rPr>
          <w:bCs/>
          <w:color w:val="002060"/>
          <w:sz w:val="16"/>
          <w:szCs w:val="16"/>
        </w:rPr>
      </w:pPr>
      <w:r w:rsidRPr="00DE096C">
        <w:rPr>
          <w:bCs/>
          <w:color w:val="002060"/>
          <w:sz w:val="16"/>
          <w:szCs w:val="16"/>
        </w:rPr>
        <w:t>всего с 1909 года Фабрика Яковлева собрала 685 автомобилей.</w:t>
      </w:r>
      <w:r w:rsidR="0006581C">
        <w:rPr>
          <w:bCs/>
          <w:color w:val="002060"/>
          <w:sz w:val="16"/>
          <w:szCs w:val="16"/>
        </w:rPr>
        <w:t xml:space="preserve"> </w:t>
      </w:r>
    </w:p>
    <w:tbl>
      <w:tblPr>
        <w:tblW w:w="0" w:type="auto"/>
        <w:tblCellMar>
          <w:left w:w="0" w:type="dxa"/>
          <w:right w:w="0" w:type="dxa"/>
        </w:tblCellMar>
        <w:tblLook w:val="04A0" w:firstRow="1" w:lastRow="0" w:firstColumn="1" w:lastColumn="0" w:noHBand="0" w:noVBand="1"/>
      </w:tblPr>
      <w:tblGrid>
        <w:gridCol w:w="1551"/>
        <w:gridCol w:w="320"/>
        <w:gridCol w:w="320"/>
        <w:gridCol w:w="320"/>
        <w:gridCol w:w="320"/>
        <w:gridCol w:w="320"/>
        <w:gridCol w:w="320"/>
        <w:gridCol w:w="395"/>
      </w:tblGrid>
      <w:tr w:rsidR="004C2152" w:rsidRPr="00DE096C" w14:paraId="78DC34AF" w14:textId="77777777" w:rsidTr="00FA616C">
        <w:tc>
          <w:tcPr>
            <w:tcW w:w="0" w:type="auto"/>
            <w:tcBorders>
              <w:top w:val="nil"/>
              <w:left w:val="nil"/>
              <w:bottom w:val="nil"/>
              <w:right w:val="nil"/>
            </w:tcBorders>
            <w:vAlign w:val="bottom"/>
            <w:hideMark/>
          </w:tcPr>
          <w:p w14:paraId="63C00318" w14:textId="77777777" w:rsidR="004C2152" w:rsidRPr="00DE096C" w:rsidRDefault="004C2152" w:rsidP="00D45A46">
            <w:pPr>
              <w:jc w:val="both"/>
              <w:rPr>
                <w:bCs/>
                <w:color w:val="002060"/>
                <w:sz w:val="16"/>
                <w:szCs w:val="16"/>
              </w:rPr>
            </w:pPr>
            <w:r w:rsidRPr="00DE096C">
              <w:rPr>
                <w:bCs/>
                <w:color w:val="002060"/>
                <w:sz w:val="16"/>
                <w:szCs w:val="16"/>
              </w:rPr>
              <w:t>Название предприятия</w:t>
            </w:r>
          </w:p>
        </w:tc>
        <w:tc>
          <w:tcPr>
            <w:tcW w:w="0" w:type="auto"/>
            <w:tcBorders>
              <w:top w:val="nil"/>
              <w:left w:val="nil"/>
              <w:bottom w:val="nil"/>
              <w:right w:val="nil"/>
            </w:tcBorders>
            <w:vAlign w:val="bottom"/>
            <w:hideMark/>
          </w:tcPr>
          <w:p w14:paraId="5843AB20" w14:textId="77777777" w:rsidR="004C2152" w:rsidRPr="00DE096C" w:rsidRDefault="004C2152" w:rsidP="00D45A46">
            <w:pPr>
              <w:jc w:val="both"/>
              <w:rPr>
                <w:bCs/>
                <w:color w:val="002060"/>
                <w:sz w:val="16"/>
                <w:szCs w:val="16"/>
              </w:rPr>
            </w:pPr>
            <w:r w:rsidRPr="00DE096C">
              <w:rPr>
                <w:bCs/>
                <w:color w:val="002060"/>
                <w:sz w:val="16"/>
                <w:szCs w:val="16"/>
              </w:rPr>
              <w:t>1909</w:t>
            </w:r>
          </w:p>
        </w:tc>
        <w:tc>
          <w:tcPr>
            <w:tcW w:w="0" w:type="auto"/>
            <w:tcBorders>
              <w:top w:val="nil"/>
              <w:left w:val="nil"/>
              <w:bottom w:val="nil"/>
              <w:right w:val="nil"/>
            </w:tcBorders>
            <w:vAlign w:val="bottom"/>
            <w:hideMark/>
          </w:tcPr>
          <w:p w14:paraId="3708CAAF" w14:textId="77777777" w:rsidR="004C2152" w:rsidRPr="00DE096C" w:rsidRDefault="004C2152" w:rsidP="00D45A46">
            <w:pPr>
              <w:jc w:val="both"/>
              <w:rPr>
                <w:bCs/>
                <w:color w:val="002060"/>
                <w:sz w:val="16"/>
                <w:szCs w:val="16"/>
              </w:rPr>
            </w:pPr>
            <w:r w:rsidRPr="00DE096C">
              <w:rPr>
                <w:bCs/>
                <w:color w:val="002060"/>
                <w:sz w:val="16"/>
                <w:szCs w:val="16"/>
              </w:rPr>
              <w:t>1910</w:t>
            </w:r>
          </w:p>
        </w:tc>
        <w:tc>
          <w:tcPr>
            <w:tcW w:w="0" w:type="auto"/>
            <w:tcBorders>
              <w:top w:val="nil"/>
              <w:left w:val="nil"/>
              <w:bottom w:val="nil"/>
              <w:right w:val="nil"/>
            </w:tcBorders>
            <w:vAlign w:val="bottom"/>
            <w:hideMark/>
          </w:tcPr>
          <w:p w14:paraId="6754702B" w14:textId="77777777" w:rsidR="004C2152" w:rsidRPr="00DE096C" w:rsidRDefault="004C2152" w:rsidP="00D45A46">
            <w:pPr>
              <w:jc w:val="both"/>
              <w:rPr>
                <w:bCs/>
                <w:color w:val="002060"/>
                <w:sz w:val="16"/>
                <w:szCs w:val="16"/>
              </w:rPr>
            </w:pPr>
            <w:r w:rsidRPr="00DE096C">
              <w:rPr>
                <w:bCs/>
                <w:color w:val="002060"/>
                <w:sz w:val="16"/>
                <w:szCs w:val="16"/>
              </w:rPr>
              <w:t>1911</w:t>
            </w:r>
          </w:p>
        </w:tc>
        <w:tc>
          <w:tcPr>
            <w:tcW w:w="0" w:type="auto"/>
            <w:tcBorders>
              <w:top w:val="nil"/>
              <w:left w:val="nil"/>
              <w:bottom w:val="nil"/>
              <w:right w:val="nil"/>
            </w:tcBorders>
            <w:vAlign w:val="bottom"/>
            <w:hideMark/>
          </w:tcPr>
          <w:p w14:paraId="2D5FFE3C" w14:textId="77777777" w:rsidR="004C2152" w:rsidRPr="00DE096C" w:rsidRDefault="004C2152" w:rsidP="00D45A46">
            <w:pPr>
              <w:jc w:val="both"/>
              <w:rPr>
                <w:bCs/>
                <w:color w:val="002060"/>
                <w:sz w:val="16"/>
                <w:szCs w:val="16"/>
              </w:rPr>
            </w:pPr>
            <w:r w:rsidRPr="00DE096C">
              <w:rPr>
                <w:bCs/>
                <w:color w:val="002060"/>
                <w:sz w:val="16"/>
                <w:szCs w:val="16"/>
              </w:rPr>
              <w:t>1912</w:t>
            </w:r>
          </w:p>
        </w:tc>
        <w:tc>
          <w:tcPr>
            <w:tcW w:w="0" w:type="auto"/>
            <w:tcBorders>
              <w:top w:val="nil"/>
              <w:left w:val="nil"/>
              <w:bottom w:val="nil"/>
              <w:right w:val="nil"/>
            </w:tcBorders>
            <w:vAlign w:val="bottom"/>
            <w:hideMark/>
          </w:tcPr>
          <w:p w14:paraId="56A90AC1" w14:textId="77777777" w:rsidR="004C2152" w:rsidRPr="00DE096C" w:rsidRDefault="004C2152" w:rsidP="00D45A46">
            <w:pPr>
              <w:jc w:val="both"/>
              <w:rPr>
                <w:bCs/>
                <w:color w:val="002060"/>
                <w:sz w:val="16"/>
                <w:szCs w:val="16"/>
              </w:rPr>
            </w:pPr>
            <w:r w:rsidRPr="00DE096C">
              <w:rPr>
                <w:bCs/>
                <w:color w:val="002060"/>
                <w:sz w:val="16"/>
                <w:szCs w:val="16"/>
              </w:rPr>
              <w:t>1913</w:t>
            </w:r>
          </w:p>
        </w:tc>
        <w:tc>
          <w:tcPr>
            <w:tcW w:w="0" w:type="auto"/>
            <w:tcBorders>
              <w:top w:val="nil"/>
              <w:left w:val="nil"/>
              <w:bottom w:val="nil"/>
              <w:right w:val="nil"/>
            </w:tcBorders>
            <w:vAlign w:val="bottom"/>
            <w:hideMark/>
          </w:tcPr>
          <w:p w14:paraId="2E0E687A" w14:textId="77777777" w:rsidR="004C2152" w:rsidRPr="00DE096C" w:rsidRDefault="004C2152" w:rsidP="00D45A46">
            <w:pPr>
              <w:jc w:val="both"/>
              <w:rPr>
                <w:bCs/>
                <w:color w:val="002060"/>
                <w:sz w:val="16"/>
                <w:szCs w:val="16"/>
              </w:rPr>
            </w:pPr>
            <w:r w:rsidRPr="00DE096C">
              <w:rPr>
                <w:bCs/>
                <w:color w:val="002060"/>
                <w:sz w:val="16"/>
                <w:szCs w:val="16"/>
              </w:rPr>
              <w:t>1914</w:t>
            </w:r>
          </w:p>
        </w:tc>
        <w:tc>
          <w:tcPr>
            <w:tcW w:w="0" w:type="auto"/>
            <w:tcBorders>
              <w:top w:val="nil"/>
              <w:left w:val="nil"/>
              <w:bottom w:val="nil"/>
              <w:right w:val="nil"/>
            </w:tcBorders>
            <w:vAlign w:val="bottom"/>
            <w:hideMark/>
          </w:tcPr>
          <w:p w14:paraId="79CAEC67" w14:textId="77777777" w:rsidR="004C2152" w:rsidRPr="00DE096C" w:rsidRDefault="004C2152" w:rsidP="00D45A46">
            <w:pPr>
              <w:jc w:val="both"/>
              <w:rPr>
                <w:bCs/>
                <w:color w:val="002060"/>
                <w:sz w:val="16"/>
                <w:szCs w:val="16"/>
              </w:rPr>
            </w:pPr>
            <w:r w:rsidRPr="00DE096C">
              <w:rPr>
                <w:bCs/>
                <w:color w:val="002060"/>
                <w:sz w:val="16"/>
                <w:szCs w:val="16"/>
              </w:rPr>
              <w:t>Всего</w:t>
            </w:r>
          </w:p>
        </w:tc>
      </w:tr>
      <w:tr w:rsidR="004C2152" w:rsidRPr="00DE096C" w14:paraId="27941B81" w14:textId="77777777" w:rsidTr="00FA616C">
        <w:tc>
          <w:tcPr>
            <w:tcW w:w="0" w:type="auto"/>
            <w:tcBorders>
              <w:top w:val="nil"/>
              <w:left w:val="nil"/>
              <w:bottom w:val="nil"/>
              <w:right w:val="nil"/>
            </w:tcBorders>
            <w:vAlign w:val="bottom"/>
            <w:hideMark/>
          </w:tcPr>
          <w:p w14:paraId="32DE14C9" w14:textId="77777777" w:rsidR="004C2152" w:rsidRPr="00DE096C" w:rsidRDefault="004C2152" w:rsidP="00D45A46">
            <w:pPr>
              <w:jc w:val="both"/>
              <w:rPr>
                <w:bCs/>
                <w:color w:val="002060"/>
                <w:sz w:val="16"/>
                <w:szCs w:val="16"/>
              </w:rPr>
            </w:pPr>
            <w:r w:rsidRPr="00DE096C">
              <w:rPr>
                <w:bCs/>
                <w:color w:val="002060"/>
                <w:sz w:val="16"/>
                <w:szCs w:val="16"/>
              </w:rPr>
              <w:t>"Фабрика Яковлева"</w:t>
            </w:r>
          </w:p>
        </w:tc>
        <w:tc>
          <w:tcPr>
            <w:tcW w:w="0" w:type="auto"/>
            <w:tcBorders>
              <w:top w:val="nil"/>
              <w:left w:val="nil"/>
              <w:bottom w:val="nil"/>
              <w:right w:val="nil"/>
            </w:tcBorders>
            <w:vAlign w:val="bottom"/>
            <w:hideMark/>
          </w:tcPr>
          <w:p w14:paraId="0CD03C90" w14:textId="77777777" w:rsidR="004C2152" w:rsidRPr="00DE096C" w:rsidRDefault="004C2152" w:rsidP="00D45A46">
            <w:pPr>
              <w:jc w:val="both"/>
              <w:rPr>
                <w:bCs/>
                <w:color w:val="002060"/>
                <w:sz w:val="16"/>
                <w:szCs w:val="16"/>
              </w:rPr>
            </w:pPr>
            <w:r w:rsidRPr="00DE096C">
              <w:rPr>
                <w:bCs/>
                <w:color w:val="002060"/>
                <w:sz w:val="16"/>
                <w:szCs w:val="16"/>
              </w:rPr>
              <w:t>11</w:t>
            </w:r>
          </w:p>
        </w:tc>
        <w:tc>
          <w:tcPr>
            <w:tcW w:w="0" w:type="auto"/>
            <w:tcBorders>
              <w:top w:val="nil"/>
              <w:left w:val="nil"/>
              <w:bottom w:val="nil"/>
              <w:right w:val="nil"/>
            </w:tcBorders>
            <w:vAlign w:val="bottom"/>
            <w:hideMark/>
          </w:tcPr>
          <w:p w14:paraId="2BB0161D" w14:textId="77777777" w:rsidR="004C2152" w:rsidRPr="00DE096C" w:rsidRDefault="004C2152" w:rsidP="00D45A46">
            <w:pPr>
              <w:jc w:val="both"/>
              <w:rPr>
                <w:bCs/>
                <w:color w:val="002060"/>
                <w:sz w:val="16"/>
                <w:szCs w:val="16"/>
              </w:rPr>
            </w:pPr>
            <w:r w:rsidRPr="00DE096C">
              <w:rPr>
                <w:bCs/>
                <w:color w:val="002060"/>
                <w:sz w:val="16"/>
                <w:szCs w:val="16"/>
              </w:rPr>
              <w:t>31</w:t>
            </w:r>
          </w:p>
        </w:tc>
        <w:tc>
          <w:tcPr>
            <w:tcW w:w="0" w:type="auto"/>
            <w:tcBorders>
              <w:top w:val="nil"/>
              <w:left w:val="nil"/>
              <w:bottom w:val="nil"/>
              <w:right w:val="nil"/>
            </w:tcBorders>
            <w:vAlign w:val="bottom"/>
            <w:hideMark/>
          </w:tcPr>
          <w:p w14:paraId="1D4D1A0C" w14:textId="77777777" w:rsidR="004C2152" w:rsidRPr="00DE096C" w:rsidRDefault="004C2152" w:rsidP="00D45A46">
            <w:pPr>
              <w:jc w:val="both"/>
              <w:rPr>
                <w:bCs/>
                <w:color w:val="002060"/>
                <w:sz w:val="16"/>
                <w:szCs w:val="16"/>
              </w:rPr>
            </w:pPr>
            <w:r w:rsidRPr="00DE096C">
              <w:rPr>
                <w:bCs/>
                <w:color w:val="002060"/>
                <w:sz w:val="16"/>
                <w:szCs w:val="16"/>
              </w:rPr>
              <w:t>77</w:t>
            </w:r>
          </w:p>
        </w:tc>
        <w:tc>
          <w:tcPr>
            <w:tcW w:w="0" w:type="auto"/>
            <w:tcBorders>
              <w:top w:val="nil"/>
              <w:left w:val="nil"/>
              <w:bottom w:val="nil"/>
              <w:right w:val="nil"/>
            </w:tcBorders>
            <w:vAlign w:val="bottom"/>
            <w:hideMark/>
          </w:tcPr>
          <w:p w14:paraId="31ED0B16" w14:textId="77777777" w:rsidR="004C2152" w:rsidRPr="00DE096C" w:rsidRDefault="004C2152" w:rsidP="00D45A46">
            <w:pPr>
              <w:jc w:val="both"/>
              <w:rPr>
                <w:bCs/>
                <w:color w:val="002060"/>
                <w:sz w:val="16"/>
                <w:szCs w:val="16"/>
              </w:rPr>
            </w:pPr>
            <w:r w:rsidRPr="00DE096C">
              <w:rPr>
                <w:bCs/>
                <w:color w:val="002060"/>
                <w:sz w:val="16"/>
                <w:szCs w:val="16"/>
              </w:rPr>
              <w:t>116</w:t>
            </w:r>
          </w:p>
        </w:tc>
        <w:tc>
          <w:tcPr>
            <w:tcW w:w="0" w:type="auto"/>
            <w:tcBorders>
              <w:top w:val="nil"/>
              <w:left w:val="nil"/>
              <w:bottom w:val="nil"/>
              <w:right w:val="nil"/>
            </w:tcBorders>
            <w:vAlign w:val="bottom"/>
            <w:hideMark/>
          </w:tcPr>
          <w:p w14:paraId="6DCF24D4" w14:textId="77777777" w:rsidR="004C2152" w:rsidRPr="00DE096C" w:rsidRDefault="004C2152" w:rsidP="00D45A46">
            <w:pPr>
              <w:jc w:val="both"/>
              <w:rPr>
                <w:bCs/>
                <w:color w:val="002060"/>
                <w:sz w:val="16"/>
                <w:szCs w:val="16"/>
              </w:rPr>
            </w:pPr>
            <w:r w:rsidRPr="00DE096C">
              <w:rPr>
                <w:bCs/>
                <w:color w:val="002060"/>
                <w:sz w:val="16"/>
                <w:szCs w:val="16"/>
              </w:rPr>
              <w:t>176</w:t>
            </w:r>
          </w:p>
        </w:tc>
        <w:tc>
          <w:tcPr>
            <w:tcW w:w="0" w:type="auto"/>
            <w:tcBorders>
              <w:top w:val="nil"/>
              <w:left w:val="nil"/>
              <w:bottom w:val="nil"/>
              <w:right w:val="nil"/>
            </w:tcBorders>
            <w:vAlign w:val="bottom"/>
            <w:hideMark/>
          </w:tcPr>
          <w:p w14:paraId="3EC4D10D" w14:textId="77777777" w:rsidR="004C2152" w:rsidRPr="00DE096C" w:rsidRDefault="004C2152" w:rsidP="00D45A46">
            <w:pPr>
              <w:jc w:val="both"/>
              <w:rPr>
                <w:bCs/>
                <w:color w:val="002060"/>
                <w:sz w:val="16"/>
                <w:szCs w:val="16"/>
              </w:rPr>
            </w:pPr>
            <w:r w:rsidRPr="00DE096C">
              <w:rPr>
                <w:bCs/>
                <w:color w:val="002060"/>
                <w:sz w:val="16"/>
                <w:szCs w:val="16"/>
              </w:rPr>
              <w:t>274</w:t>
            </w:r>
          </w:p>
        </w:tc>
        <w:tc>
          <w:tcPr>
            <w:tcW w:w="0" w:type="auto"/>
            <w:tcBorders>
              <w:top w:val="nil"/>
              <w:left w:val="nil"/>
              <w:bottom w:val="nil"/>
              <w:right w:val="nil"/>
            </w:tcBorders>
            <w:vAlign w:val="bottom"/>
            <w:hideMark/>
          </w:tcPr>
          <w:p w14:paraId="1F94B944" w14:textId="77777777" w:rsidR="004C2152" w:rsidRPr="00DE096C" w:rsidRDefault="004C2152" w:rsidP="00D45A46">
            <w:pPr>
              <w:jc w:val="both"/>
              <w:rPr>
                <w:bCs/>
                <w:color w:val="002060"/>
                <w:sz w:val="16"/>
                <w:szCs w:val="16"/>
              </w:rPr>
            </w:pPr>
            <w:r w:rsidRPr="00DE096C">
              <w:rPr>
                <w:bCs/>
                <w:color w:val="002060"/>
                <w:sz w:val="16"/>
                <w:szCs w:val="16"/>
              </w:rPr>
              <w:t>685</w:t>
            </w:r>
          </w:p>
        </w:tc>
      </w:tr>
    </w:tbl>
    <w:p w14:paraId="77EFE75F" w14:textId="7EE390FB" w:rsidR="004C2152" w:rsidRPr="00DE096C" w:rsidRDefault="004C2152" w:rsidP="00D45A46">
      <w:pPr>
        <w:jc w:val="both"/>
        <w:rPr>
          <w:bCs/>
          <w:color w:val="002060"/>
          <w:sz w:val="16"/>
          <w:szCs w:val="16"/>
        </w:rPr>
      </w:pPr>
      <w:r w:rsidRPr="00DE096C">
        <w:rPr>
          <w:bCs/>
          <w:color w:val="002060"/>
          <w:sz w:val="16"/>
          <w:szCs w:val="16"/>
        </w:rPr>
        <w:t>года на фабрика "Скавронский и сын" с 1920 собрала 353 автомобиля.</w:t>
      </w:r>
      <w:r w:rsidR="0006581C">
        <w:rPr>
          <w:bCs/>
          <w:color w:val="002060"/>
          <w:sz w:val="16"/>
          <w:szCs w:val="16"/>
        </w:rPr>
        <w:t xml:space="preserve"> </w:t>
      </w:r>
    </w:p>
    <w:tbl>
      <w:tblPr>
        <w:tblW w:w="0" w:type="auto"/>
        <w:tblCellMar>
          <w:left w:w="0" w:type="dxa"/>
          <w:right w:w="0" w:type="dxa"/>
        </w:tblCellMar>
        <w:tblLook w:val="04A0" w:firstRow="1" w:lastRow="0" w:firstColumn="1" w:lastColumn="0" w:noHBand="0" w:noVBand="1"/>
      </w:tblPr>
      <w:tblGrid>
        <w:gridCol w:w="1551"/>
        <w:gridCol w:w="320"/>
        <w:gridCol w:w="320"/>
        <w:gridCol w:w="320"/>
        <w:gridCol w:w="320"/>
        <w:gridCol w:w="320"/>
        <w:gridCol w:w="395"/>
      </w:tblGrid>
      <w:tr w:rsidR="004C2152" w:rsidRPr="00DE096C" w14:paraId="7D79C9E0" w14:textId="77777777" w:rsidTr="00FA616C">
        <w:tc>
          <w:tcPr>
            <w:tcW w:w="0" w:type="auto"/>
            <w:tcBorders>
              <w:top w:val="nil"/>
              <w:left w:val="nil"/>
              <w:bottom w:val="nil"/>
              <w:right w:val="nil"/>
            </w:tcBorders>
            <w:vAlign w:val="bottom"/>
            <w:hideMark/>
          </w:tcPr>
          <w:p w14:paraId="498C1A9A" w14:textId="77777777" w:rsidR="004C2152" w:rsidRPr="00DE096C" w:rsidRDefault="004C2152" w:rsidP="00D45A46">
            <w:pPr>
              <w:jc w:val="both"/>
              <w:rPr>
                <w:bCs/>
                <w:color w:val="002060"/>
                <w:sz w:val="16"/>
                <w:szCs w:val="16"/>
              </w:rPr>
            </w:pPr>
            <w:r w:rsidRPr="00DE096C">
              <w:rPr>
                <w:bCs/>
                <w:color w:val="002060"/>
                <w:sz w:val="16"/>
                <w:szCs w:val="16"/>
              </w:rPr>
              <w:t>Название предприятия</w:t>
            </w:r>
          </w:p>
        </w:tc>
        <w:tc>
          <w:tcPr>
            <w:tcW w:w="0" w:type="auto"/>
            <w:tcBorders>
              <w:top w:val="nil"/>
              <w:left w:val="nil"/>
              <w:bottom w:val="nil"/>
              <w:right w:val="nil"/>
            </w:tcBorders>
            <w:vAlign w:val="bottom"/>
            <w:hideMark/>
          </w:tcPr>
          <w:p w14:paraId="1EE55FC9" w14:textId="77777777" w:rsidR="004C2152" w:rsidRPr="00DE096C" w:rsidRDefault="004C2152" w:rsidP="00D45A46">
            <w:pPr>
              <w:jc w:val="both"/>
              <w:rPr>
                <w:bCs/>
                <w:color w:val="002060"/>
                <w:sz w:val="16"/>
                <w:szCs w:val="16"/>
              </w:rPr>
            </w:pPr>
            <w:r w:rsidRPr="00DE096C">
              <w:rPr>
                <w:bCs/>
                <w:color w:val="002060"/>
                <w:sz w:val="16"/>
                <w:szCs w:val="16"/>
              </w:rPr>
              <w:t>1910</w:t>
            </w:r>
          </w:p>
        </w:tc>
        <w:tc>
          <w:tcPr>
            <w:tcW w:w="0" w:type="auto"/>
            <w:tcBorders>
              <w:top w:val="nil"/>
              <w:left w:val="nil"/>
              <w:bottom w:val="nil"/>
              <w:right w:val="nil"/>
            </w:tcBorders>
            <w:vAlign w:val="bottom"/>
            <w:hideMark/>
          </w:tcPr>
          <w:p w14:paraId="609873B1" w14:textId="77777777" w:rsidR="004C2152" w:rsidRPr="00DE096C" w:rsidRDefault="004C2152" w:rsidP="00D45A46">
            <w:pPr>
              <w:jc w:val="both"/>
              <w:rPr>
                <w:bCs/>
                <w:color w:val="002060"/>
                <w:sz w:val="16"/>
                <w:szCs w:val="16"/>
              </w:rPr>
            </w:pPr>
            <w:r w:rsidRPr="00DE096C">
              <w:rPr>
                <w:bCs/>
                <w:color w:val="002060"/>
                <w:sz w:val="16"/>
                <w:szCs w:val="16"/>
              </w:rPr>
              <w:t>1911</w:t>
            </w:r>
          </w:p>
        </w:tc>
        <w:tc>
          <w:tcPr>
            <w:tcW w:w="0" w:type="auto"/>
            <w:tcBorders>
              <w:top w:val="nil"/>
              <w:left w:val="nil"/>
              <w:bottom w:val="nil"/>
              <w:right w:val="nil"/>
            </w:tcBorders>
            <w:vAlign w:val="bottom"/>
            <w:hideMark/>
          </w:tcPr>
          <w:p w14:paraId="539B26B0" w14:textId="77777777" w:rsidR="004C2152" w:rsidRPr="00DE096C" w:rsidRDefault="004C2152" w:rsidP="00D45A46">
            <w:pPr>
              <w:jc w:val="both"/>
              <w:rPr>
                <w:bCs/>
                <w:color w:val="002060"/>
                <w:sz w:val="16"/>
                <w:szCs w:val="16"/>
              </w:rPr>
            </w:pPr>
            <w:r w:rsidRPr="00DE096C">
              <w:rPr>
                <w:bCs/>
                <w:color w:val="002060"/>
                <w:sz w:val="16"/>
                <w:szCs w:val="16"/>
              </w:rPr>
              <w:t>1912</w:t>
            </w:r>
          </w:p>
        </w:tc>
        <w:tc>
          <w:tcPr>
            <w:tcW w:w="0" w:type="auto"/>
            <w:tcBorders>
              <w:top w:val="nil"/>
              <w:left w:val="nil"/>
              <w:bottom w:val="nil"/>
              <w:right w:val="nil"/>
            </w:tcBorders>
            <w:vAlign w:val="bottom"/>
            <w:hideMark/>
          </w:tcPr>
          <w:p w14:paraId="02282288" w14:textId="77777777" w:rsidR="004C2152" w:rsidRPr="00DE096C" w:rsidRDefault="004C2152" w:rsidP="00D45A46">
            <w:pPr>
              <w:jc w:val="both"/>
              <w:rPr>
                <w:bCs/>
                <w:color w:val="002060"/>
                <w:sz w:val="16"/>
                <w:szCs w:val="16"/>
              </w:rPr>
            </w:pPr>
            <w:r w:rsidRPr="00DE096C">
              <w:rPr>
                <w:bCs/>
                <w:color w:val="002060"/>
                <w:sz w:val="16"/>
                <w:szCs w:val="16"/>
              </w:rPr>
              <w:t>1913</w:t>
            </w:r>
          </w:p>
        </w:tc>
        <w:tc>
          <w:tcPr>
            <w:tcW w:w="0" w:type="auto"/>
            <w:tcBorders>
              <w:top w:val="nil"/>
              <w:left w:val="nil"/>
              <w:bottom w:val="nil"/>
              <w:right w:val="nil"/>
            </w:tcBorders>
            <w:vAlign w:val="bottom"/>
            <w:hideMark/>
          </w:tcPr>
          <w:p w14:paraId="58C160CB" w14:textId="77777777" w:rsidR="004C2152" w:rsidRPr="00DE096C" w:rsidRDefault="004C2152" w:rsidP="00D45A46">
            <w:pPr>
              <w:jc w:val="both"/>
              <w:rPr>
                <w:bCs/>
                <w:color w:val="002060"/>
                <w:sz w:val="16"/>
                <w:szCs w:val="16"/>
              </w:rPr>
            </w:pPr>
            <w:r w:rsidRPr="00DE096C">
              <w:rPr>
                <w:bCs/>
                <w:color w:val="002060"/>
                <w:sz w:val="16"/>
                <w:szCs w:val="16"/>
              </w:rPr>
              <w:t>1914</w:t>
            </w:r>
          </w:p>
        </w:tc>
        <w:tc>
          <w:tcPr>
            <w:tcW w:w="0" w:type="auto"/>
            <w:tcBorders>
              <w:top w:val="nil"/>
              <w:left w:val="nil"/>
              <w:bottom w:val="nil"/>
              <w:right w:val="nil"/>
            </w:tcBorders>
            <w:vAlign w:val="bottom"/>
            <w:hideMark/>
          </w:tcPr>
          <w:p w14:paraId="0DAB3E18" w14:textId="77777777" w:rsidR="004C2152" w:rsidRPr="00DE096C" w:rsidRDefault="004C2152" w:rsidP="00D45A46">
            <w:pPr>
              <w:jc w:val="both"/>
              <w:rPr>
                <w:bCs/>
                <w:color w:val="002060"/>
                <w:sz w:val="16"/>
                <w:szCs w:val="16"/>
              </w:rPr>
            </w:pPr>
            <w:r w:rsidRPr="00DE096C">
              <w:rPr>
                <w:bCs/>
                <w:color w:val="002060"/>
                <w:sz w:val="16"/>
                <w:szCs w:val="16"/>
              </w:rPr>
              <w:t>Всего</w:t>
            </w:r>
          </w:p>
        </w:tc>
      </w:tr>
      <w:tr w:rsidR="004C2152" w:rsidRPr="00DE096C" w14:paraId="2D314277" w14:textId="77777777" w:rsidTr="00FA616C">
        <w:tc>
          <w:tcPr>
            <w:tcW w:w="0" w:type="auto"/>
            <w:tcBorders>
              <w:top w:val="nil"/>
              <w:left w:val="nil"/>
              <w:bottom w:val="nil"/>
              <w:right w:val="nil"/>
            </w:tcBorders>
            <w:vAlign w:val="bottom"/>
            <w:hideMark/>
          </w:tcPr>
          <w:p w14:paraId="44428831" w14:textId="77777777" w:rsidR="004C2152" w:rsidRPr="00DE096C" w:rsidRDefault="004C2152" w:rsidP="00D45A46">
            <w:pPr>
              <w:jc w:val="both"/>
              <w:rPr>
                <w:bCs/>
                <w:color w:val="002060"/>
                <w:sz w:val="16"/>
                <w:szCs w:val="16"/>
              </w:rPr>
            </w:pPr>
            <w:r w:rsidRPr="00DE096C">
              <w:rPr>
                <w:bCs/>
                <w:color w:val="002060"/>
                <w:sz w:val="16"/>
                <w:szCs w:val="16"/>
              </w:rPr>
              <w:t>"Скавронский и сын"</w:t>
            </w:r>
          </w:p>
        </w:tc>
        <w:tc>
          <w:tcPr>
            <w:tcW w:w="0" w:type="auto"/>
            <w:tcBorders>
              <w:top w:val="nil"/>
              <w:left w:val="nil"/>
              <w:bottom w:val="nil"/>
              <w:right w:val="nil"/>
            </w:tcBorders>
            <w:vAlign w:val="bottom"/>
            <w:hideMark/>
          </w:tcPr>
          <w:p w14:paraId="476F9658" w14:textId="77777777" w:rsidR="004C2152" w:rsidRPr="00DE096C" w:rsidRDefault="004C2152" w:rsidP="00D45A46">
            <w:pPr>
              <w:jc w:val="both"/>
              <w:rPr>
                <w:bCs/>
                <w:color w:val="002060"/>
                <w:sz w:val="16"/>
                <w:szCs w:val="16"/>
              </w:rPr>
            </w:pPr>
            <w:r w:rsidRPr="00DE096C">
              <w:rPr>
                <w:bCs/>
                <w:color w:val="002060"/>
                <w:sz w:val="16"/>
                <w:szCs w:val="16"/>
              </w:rPr>
              <w:t>4</w:t>
            </w:r>
          </w:p>
        </w:tc>
        <w:tc>
          <w:tcPr>
            <w:tcW w:w="0" w:type="auto"/>
            <w:tcBorders>
              <w:top w:val="nil"/>
              <w:left w:val="nil"/>
              <w:bottom w:val="nil"/>
              <w:right w:val="nil"/>
            </w:tcBorders>
            <w:vAlign w:val="bottom"/>
            <w:hideMark/>
          </w:tcPr>
          <w:p w14:paraId="1EE77FF1" w14:textId="77777777" w:rsidR="004C2152" w:rsidRPr="00DE096C" w:rsidRDefault="004C2152" w:rsidP="00D45A46">
            <w:pPr>
              <w:jc w:val="both"/>
              <w:rPr>
                <w:bCs/>
                <w:color w:val="002060"/>
                <w:sz w:val="16"/>
                <w:szCs w:val="16"/>
              </w:rPr>
            </w:pPr>
            <w:r w:rsidRPr="00DE096C">
              <w:rPr>
                <w:bCs/>
                <w:color w:val="002060"/>
                <w:sz w:val="16"/>
                <w:szCs w:val="16"/>
              </w:rPr>
              <w:t>37</w:t>
            </w:r>
          </w:p>
        </w:tc>
        <w:tc>
          <w:tcPr>
            <w:tcW w:w="0" w:type="auto"/>
            <w:tcBorders>
              <w:top w:val="nil"/>
              <w:left w:val="nil"/>
              <w:bottom w:val="nil"/>
              <w:right w:val="nil"/>
            </w:tcBorders>
            <w:vAlign w:val="bottom"/>
            <w:hideMark/>
          </w:tcPr>
          <w:p w14:paraId="32240F74" w14:textId="77777777" w:rsidR="004C2152" w:rsidRPr="00DE096C" w:rsidRDefault="004C2152" w:rsidP="00D45A46">
            <w:pPr>
              <w:jc w:val="both"/>
              <w:rPr>
                <w:bCs/>
                <w:color w:val="002060"/>
                <w:sz w:val="16"/>
                <w:szCs w:val="16"/>
              </w:rPr>
            </w:pPr>
            <w:r w:rsidRPr="00DE096C">
              <w:rPr>
                <w:bCs/>
                <w:color w:val="002060"/>
                <w:sz w:val="16"/>
                <w:szCs w:val="16"/>
              </w:rPr>
              <w:t>42</w:t>
            </w:r>
          </w:p>
        </w:tc>
        <w:tc>
          <w:tcPr>
            <w:tcW w:w="0" w:type="auto"/>
            <w:tcBorders>
              <w:top w:val="nil"/>
              <w:left w:val="nil"/>
              <w:bottom w:val="nil"/>
              <w:right w:val="nil"/>
            </w:tcBorders>
            <w:vAlign w:val="bottom"/>
            <w:hideMark/>
          </w:tcPr>
          <w:p w14:paraId="2C7192E2" w14:textId="77777777" w:rsidR="004C2152" w:rsidRPr="00DE096C" w:rsidRDefault="004C2152" w:rsidP="00D45A46">
            <w:pPr>
              <w:jc w:val="both"/>
              <w:rPr>
                <w:bCs/>
                <w:color w:val="002060"/>
                <w:sz w:val="16"/>
                <w:szCs w:val="16"/>
              </w:rPr>
            </w:pPr>
            <w:r w:rsidRPr="00DE096C">
              <w:rPr>
                <w:bCs/>
                <w:color w:val="002060"/>
                <w:sz w:val="16"/>
                <w:szCs w:val="16"/>
              </w:rPr>
              <w:t>96</w:t>
            </w:r>
          </w:p>
        </w:tc>
        <w:tc>
          <w:tcPr>
            <w:tcW w:w="0" w:type="auto"/>
            <w:tcBorders>
              <w:top w:val="nil"/>
              <w:left w:val="nil"/>
              <w:bottom w:val="nil"/>
              <w:right w:val="nil"/>
            </w:tcBorders>
            <w:vAlign w:val="bottom"/>
            <w:hideMark/>
          </w:tcPr>
          <w:p w14:paraId="1C1CB55B" w14:textId="77777777" w:rsidR="004C2152" w:rsidRPr="00DE096C" w:rsidRDefault="004C2152" w:rsidP="00D45A46">
            <w:pPr>
              <w:jc w:val="both"/>
              <w:rPr>
                <w:bCs/>
                <w:color w:val="002060"/>
                <w:sz w:val="16"/>
                <w:szCs w:val="16"/>
              </w:rPr>
            </w:pPr>
            <w:r w:rsidRPr="00DE096C">
              <w:rPr>
                <w:bCs/>
                <w:color w:val="002060"/>
                <w:sz w:val="16"/>
                <w:szCs w:val="16"/>
              </w:rPr>
              <w:t>174</w:t>
            </w:r>
          </w:p>
        </w:tc>
        <w:tc>
          <w:tcPr>
            <w:tcW w:w="0" w:type="auto"/>
            <w:tcBorders>
              <w:top w:val="nil"/>
              <w:left w:val="nil"/>
              <w:bottom w:val="nil"/>
              <w:right w:val="nil"/>
            </w:tcBorders>
            <w:vAlign w:val="bottom"/>
            <w:hideMark/>
          </w:tcPr>
          <w:p w14:paraId="146621F4" w14:textId="77777777" w:rsidR="004C2152" w:rsidRPr="00DE096C" w:rsidRDefault="004C2152" w:rsidP="00D45A46">
            <w:pPr>
              <w:jc w:val="both"/>
              <w:rPr>
                <w:bCs/>
                <w:color w:val="002060"/>
                <w:sz w:val="16"/>
                <w:szCs w:val="16"/>
              </w:rPr>
            </w:pPr>
            <w:r w:rsidRPr="00DE096C">
              <w:rPr>
                <w:bCs/>
                <w:color w:val="002060"/>
                <w:sz w:val="16"/>
                <w:szCs w:val="16"/>
              </w:rPr>
              <w:t>353</w:t>
            </w:r>
          </w:p>
        </w:tc>
      </w:tr>
    </w:tbl>
    <w:p w14:paraId="55CFAB3E" w14:textId="13EDC817" w:rsidR="004C2152" w:rsidRPr="00DE096C" w:rsidRDefault="004C2152" w:rsidP="00D45A46">
      <w:pPr>
        <w:jc w:val="both"/>
        <w:rPr>
          <w:bCs/>
          <w:color w:val="002060"/>
          <w:sz w:val="16"/>
          <w:szCs w:val="16"/>
        </w:rPr>
      </w:pPr>
      <w:r w:rsidRPr="00DE096C">
        <w:rPr>
          <w:bCs/>
          <w:color w:val="002060"/>
          <w:sz w:val="16"/>
          <w:szCs w:val="16"/>
        </w:rPr>
        <w:t>в общей сложности с 1909 года на "Победе" было собрано 1579 автомобилей.</w:t>
      </w:r>
      <w:r w:rsidR="0006581C">
        <w:rPr>
          <w:bCs/>
          <w:color w:val="002060"/>
          <w:sz w:val="16"/>
          <w:szCs w:val="16"/>
        </w:rPr>
        <w:t xml:space="preserve"> </w:t>
      </w:r>
    </w:p>
    <w:tbl>
      <w:tblPr>
        <w:tblW w:w="0" w:type="auto"/>
        <w:tblCellMar>
          <w:left w:w="0" w:type="dxa"/>
          <w:right w:w="0" w:type="dxa"/>
        </w:tblCellMar>
        <w:tblLook w:val="04A0" w:firstRow="1" w:lastRow="0" w:firstColumn="1" w:lastColumn="0" w:noHBand="0" w:noVBand="1"/>
      </w:tblPr>
      <w:tblGrid>
        <w:gridCol w:w="1551"/>
        <w:gridCol w:w="320"/>
        <w:gridCol w:w="320"/>
        <w:gridCol w:w="320"/>
        <w:gridCol w:w="320"/>
        <w:gridCol w:w="320"/>
        <w:gridCol w:w="320"/>
        <w:gridCol w:w="395"/>
      </w:tblGrid>
      <w:tr w:rsidR="004C2152" w:rsidRPr="00DE096C" w14:paraId="653B6C6C" w14:textId="77777777" w:rsidTr="00FA616C">
        <w:tc>
          <w:tcPr>
            <w:tcW w:w="0" w:type="auto"/>
            <w:tcBorders>
              <w:top w:val="nil"/>
              <w:left w:val="nil"/>
              <w:bottom w:val="nil"/>
              <w:right w:val="nil"/>
            </w:tcBorders>
            <w:vAlign w:val="bottom"/>
            <w:hideMark/>
          </w:tcPr>
          <w:p w14:paraId="1AE94577" w14:textId="77777777" w:rsidR="004C2152" w:rsidRPr="00DE096C" w:rsidRDefault="004C2152" w:rsidP="00D45A46">
            <w:pPr>
              <w:jc w:val="both"/>
              <w:rPr>
                <w:bCs/>
                <w:color w:val="002060"/>
                <w:sz w:val="16"/>
                <w:szCs w:val="16"/>
              </w:rPr>
            </w:pPr>
            <w:r w:rsidRPr="00DE096C">
              <w:rPr>
                <w:bCs/>
                <w:color w:val="002060"/>
                <w:sz w:val="16"/>
                <w:szCs w:val="16"/>
              </w:rPr>
              <w:t>Название предприятия</w:t>
            </w:r>
          </w:p>
        </w:tc>
        <w:tc>
          <w:tcPr>
            <w:tcW w:w="0" w:type="auto"/>
            <w:tcBorders>
              <w:top w:val="nil"/>
              <w:left w:val="nil"/>
              <w:bottom w:val="nil"/>
              <w:right w:val="nil"/>
            </w:tcBorders>
            <w:vAlign w:val="bottom"/>
            <w:hideMark/>
          </w:tcPr>
          <w:p w14:paraId="021A94D7" w14:textId="77777777" w:rsidR="004C2152" w:rsidRPr="00DE096C" w:rsidRDefault="004C2152" w:rsidP="00D45A46">
            <w:pPr>
              <w:jc w:val="both"/>
              <w:rPr>
                <w:bCs/>
                <w:color w:val="002060"/>
                <w:sz w:val="16"/>
                <w:szCs w:val="16"/>
              </w:rPr>
            </w:pPr>
            <w:r w:rsidRPr="00DE096C">
              <w:rPr>
                <w:bCs/>
                <w:color w:val="002060"/>
                <w:sz w:val="16"/>
                <w:szCs w:val="16"/>
              </w:rPr>
              <w:t>1909</w:t>
            </w:r>
          </w:p>
        </w:tc>
        <w:tc>
          <w:tcPr>
            <w:tcW w:w="0" w:type="auto"/>
            <w:tcBorders>
              <w:top w:val="nil"/>
              <w:left w:val="nil"/>
              <w:bottom w:val="nil"/>
              <w:right w:val="nil"/>
            </w:tcBorders>
            <w:vAlign w:val="bottom"/>
            <w:hideMark/>
          </w:tcPr>
          <w:p w14:paraId="50CCAED5" w14:textId="77777777" w:rsidR="004C2152" w:rsidRPr="00DE096C" w:rsidRDefault="004C2152" w:rsidP="00D45A46">
            <w:pPr>
              <w:jc w:val="both"/>
              <w:rPr>
                <w:bCs/>
                <w:color w:val="002060"/>
                <w:sz w:val="16"/>
                <w:szCs w:val="16"/>
              </w:rPr>
            </w:pPr>
            <w:r w:rsidRPr="00DE096C">
              <w:rPr>
                <w:bCs/>
                <w:color w:val="002060"/>
                <w:sz w:val="16"/>
                <w:szCs w:val="16"/>
              </w:rPr>
              <w:t>1910</w:t>
            </w:r>
          </w:p>
        </w:tc>
        <w:tc>
          <w:tcPr>
            <w:tcW w:w="0" w:type="auto"/>
            <w:tcBorders>
              <w:top w:val="nil"/>
              <w:left w:val="nil"/>
              <w:bottom w:val="nil"/>
              <w:right w:val="nil"/>
            </w:tcBorders>
            <w:vAlign w:val="bottom"/>
            <w:hideMark/>
          </w:tcPr>
          <w:p w14:paraId="575BFA18" w14:textId="77777777" w:rsidR="004C2152" w:rsidRPr="00DE096C" w:rsidRDefault="004C2152" w:rsidP="00D45A46">
            <w:pPr>
              <w:jc w:val="both"/>
              <w:rPr>
                <w:bCs/>
                <w:color w:val="002060"/>
                <w:sz w:val="16"/>
                <w:szCs w:val="16"/>
              </w:rPr>
            </w:pPr>
            <w:r w:rsidRPr="00DE096C">
              <w:rPr>
                <w:bCs/>
                <w:color w:val="002060"/>
                <w:sz w:val="16"/>
                <w:szCs w:val="16"/>
              </w:rPr>
              <w:t>1911</w:t>
            </w:r>
          </w:p>
        </w:tc>
        <w:tc>
          <w:tcPr>
            <w:tcW w:w="0" w:type="auto"/>
            <w:tcBorders>
              <w:top w:val="nil"/>
              <w:left w:val="nil"/>
              <w:bottom w:val="nil"/>
              <w:right w:val="nil"/>
            </w:tcBorders>
            <w:vAlign w:val="bottom"/>
            <w:hideMark/>
          </w:tcPr>
          <w:p w14:paraId="7E965DF4" w14:textId="77777777" w:rsidR="004C2152" w:rsidRPr="00DE096C" w:rsidRDefault="004C2152" w:rsidP="00D45A46">
            <w:pPr>
              <w:jc w:val="both"/>
              <w:rPr>
                <w:bCs/>
                <w:color w:val="002060"/>
                <w:sz w:val="16"/>
                <w:szCs w:val="16"/>
              </w:rPr>
            </w:pPr>
            <w:r w:rsidRPr="00DE096C">
              <w:rPr>
                <w:bCs/>
                <w:color w:val="002060"/>
                <w:sz w:val="16"/>
                <w:szCs w:val="16"/>
              </w:rPr>
              <w:t>1912</w:t>
            </w:r>
          </w:p>
        </w:tc>
        <w:tc>
          <w:tcPr>
            <w:tcW w:w="0" w:type="auto"/>
            <w:tcBorders>
              <w:top w:val="nil"/>
              <w:left w:val="nil"/>
              <w:bottom w:val="nil"/>
              <w:right w:val="nil"/>
            </w:tcBorders>
            <w:vAlign w:val="bottom"/>
            <w:hideMark/>
          </w:tcPr>
          <w:p w14:paraId="699F67C7" w14:textId="77777777" w:rsidR="004C2152" w:rsidRPr="00DE096C" w:rsidRDefault="004C2152" w:rsidP="00D45A46">
            <w:pPr>
              <w:jc w:val="both"/>
              <w:rPr>
                <w:bCs/>
                <w:color w:val="002060"/>
                <w:sz w:val="16"/>
                <w:szCs w:val="16"/>
              </w:rPr>
            </w:pPr>
            <w:r w:rsidRPr="00DE096C">
              <w:rPr>
                <w:bCs/>
                <w:color w:val="002060"/>
                <w:sz w:val="16"/>
                <w:szCs w:val="16"/>
              </w:rPr>
              <w:t>1913</w:t>
            </w:r>
          </w:p>
        </w:tc>
        <w:tc>
          <w:tcPr>
            <w:tcW w:w="0" w:type="auto"/>
            <w:tcBorders>
              <w:top w:val="nil"/>
              <w:left w:val="nil"/>
              <w:bottom w:val="nil"/>
              <w:right w:val="nil"/>
            </w:tcBorders>
            <w:vAlign w:val="bottom"/>
            <w:hideMark/>
          </w:tcPr>
          <w:p w14:paraId="235D2D2A" w14:textId="77777777" w:rsidR="004C2152" w:rsidRPr="00DE096C" w:rsidRDefault="004C2152" w:rsidP="00D45A46">
            <w:pPr>
              <w:jc w:val="both"/>
              <w:rPr>
                <w:bCs/>
                <w:color w:val="002060"/>
                <w:sz w:val="16"/>
                <w:szCs w:val="16"/>
              </w:rPr>
            </w:pPr>
            <w:r w:rsidRPr="00DE096C">
              <w:rPr>
                <w:bCs/>
                <w:color w:val="002060"/>
                <w:sz w:val="16"/>
                <w:szCs w:val="16"/>
              </w:rPr>
              <w:t>1914</w:t>
            </w:r>
          </w:p>
        </w:tc>
        <w:tc>
          <w:tcPr>
            <w:tcW w:w="0" w:type="auto"/>
            <w:tcBorders>
              <w:top w:val="nil"/>
              <w:left w:val="nil"/>
              <w:bottom w:val="nil"/>
              <w:right w:val="nil"/>
            </w:tcBorders>
            <w:vAlign w:val="bottom"/>
            <w:hideMark/>
          </w:tcPr>
          <w:p w14:paraId="489A5F00" w14:textId="77777777" w:rsidR="004C2152" w:rsidRPr="00DE096C" w:rsidRDefault="004C2152" w:rsidP="00D45A46">
            <w:pPr>
              <w:jc w:val="both"/>
              <w:rPr>
                <w:bCs/>
                <w:color w:val="002060"/>
                <w:sz w:val="16"/>
                <w:szCs w:val="16"/>
              </w:rPr>
            </w:pPr>
            <w:r w:rsidRPr="00DE096C">
              <w:rPr>
                <w:bCs/>
                <w:color w:val="002060"/>
                <w:sz w:val="16"/>
                <w:szCs w:val="16"/>
              </w:rPr>
              <w:t>Всего</w:t>
            </w:r>
          </w:p>
        </w:tc>
      </w:tr>
      <w:tr w:rsidR="004C2152" w:rsidRPr="00DE096C" w14:paraId="01EE4BEA" w14:textId="77777777" w:rsidTr="00FA616C">
        <w:tc>
          <w:tcPr>
            <w:tcW w:w="0" w:type="auto"/>
            <w:tcBorders>
              <w:top w:val="nil"/>
              <w:left w:val="nil"/>
              <w:bottom w:val="nil"/>
              <w:right w:val="nil"/>
            </w:tcBorders>
            <w:vAlign w:val="bottom"/>
            <w:hideMark/>
          </w:tcPr>
          <w:p w14:paraId="33BB5AE1" w14:textId="77777777" w:rsidR="004C2152" w:rsidRPr="00DE096C" w:rsidRDefault="004C2152" w:rsidP="00D45A46">
            <w:pPr>
              <w:jc w:val="both"/>
              <w:rPr>
                <w:bCs/>
                <w:color w:val="002060"/>
                <w:sz w:val="16"/>
                <w:szCs w:val="16"/>
              </w:rPr>
            </w:pPr>
            <w:r w:rsidRPr="00DE096C">
              <w:rPr>
                <w:bCs/>
                <w:color w:val="002060"/>
                <w:sz w:val="16"/>
                <w:szCs w:val="16"/>
              </w:rPr>
              <w:t>"Победа"</w:t>
            </w:r>
          </w:p>
        </w:tc>
        <w:tc>
          <w:tcPr>
            <w:tcW w:w="0" w:type="auto"/>
            <w:tcBorders>
              <w:top w:val="nil"/>
              <w:left w:val="nil"/>
              <w:bottom w:val="nil"/>
              <w:right w:val="nil"/>
            </w:tcBorders>
            <w:vAlign w:val="bottom"/>
            <w:hideMark/>
          </w:tcPr>
          <w:p w14:paraId="359A35F1" w14:textId="77777777" w:rsidR="004C2152" w:rsidRPr="00DE096C" w:rsidRDefault="004C2152" w:rsidP="00D45A46">
            <w:pPr>
              <w:jc w:val="both"/>
              <w:rPr>
                <w:bCs/>
                <w:color w:val="002060"/>
                <w:sz w:val="16"/>
                <w:szCs w:val="16"/>
              </w:rPr>
            </w:pPr>
            <w:r w:rsidRPr="00DE096C">
              <w:rPr>
                <w:bCs/>
                <w:color w:val="002060"/>
                <w:sz w:val="16"/>
                <w:szCs w:val="16"/>
              </w:rPr>
              <w:t>22</w:t>
            </w:r>
          </w:p>
        </w:tc>
        <w:tc>
          <w:tcPr>
            <w:tcW w:w="0" w:type="auto"/>
            <w:tcBorders>
              <w:top w:val="nil"/>
              <w:left w:val="nil"/>
              <w:bottom w:val="nil"/>
              <w:right w:val="nil"/>
            </w:tcBorders>
            <w:vAlign w:val="bottom"/>
            <w:hideMark/>
          </w:tcPr>
          <w:p w14:paraId="78142DF9" w14:textId="77777777" w:rsidR="004C2152" w:rsidRPr="00DE096C" w:rsidRDefault="004C2152" w:rsidP="00D45A46">
            <w:pPr>
              <w:jc w:val="both"/>
              <w:rPr>
                <w:bCs/>
                <w:color w:val="002060"/>
                <w:sz w:val="16"/>
                <w:szCs w:val="16"/>
              </w:rPr>
            </w:pPr>
            <w:r w:rsidRPr="00DE096C">
              <w:rPr>
                <w:bCs/>
                <w:color w:val="002060"/>
                <w:sz w:val="16"/>
                <w:szCs w:val="16"/>
              </w:rPr>
              <w:t>69</w:t>
            </w:r>
          </w:p>
        </w:tc>
        <w:tc>
          <w:tcPr>
            <w:tcW w:w="0" w:type="auto"/>
            <w:tcBorders>
              <w:top w:val="nil"/>
              <w:left w:val="nil"/>
              <w:bottom w:val="nil"/>
              <w:right w:val="nil"/>
            </w:tcBorders>
            <w:vAlign w:val="bottom"/>
            <w:hideMark/>
          </w:tcPr>
          <w:p w14:paraId="393497FA" w14:textId="77777777" w:rsidR="004C2152" w:rsidRPr="00DE096C" w:rsidRDefault="004C2152" w:rsidP="00D45A46">
            <w:pPr>
              <w:jc w:val="both"/>
              <w:rPr>
                <w:bCs/>
                <w:color w:val="002060"/>
                <w:sz w:val="16"/>
                <w:szCs w:val="16"/>
              </w:rPr>
            </w:pPr>
            <w:r w:rsidRPr="00DE096C">
              <w:rPr>
                <w:bCs/>
                <w:color w:val="002060"/>
                <w:sz w:val="16"/>
                <w:szCs w:val="16"/>
              </w:rPr>
              <w:t>102</w:t>
            </w:r>
          </w:p>
        </w:tc>
        <w:tc>
          <w:tcPr>
            <w:tcW w:w="0" w:type="auto"/>
            <w:tcBorders>
              <w:top w:val="nil"/>
              <w:left w:val="nil"/>
              <w:bottom w:val="nil"/>
              <w:right w:val="nil"/>
            </w:tcBorders>
            <w:vAlign w:val="bottom"/>
            <w:hideMark/>
          </w:tcPr>
          <w:p w14:paraId="31B728AA" w14:textId="77777777" w:rsidR="004C2152" w:rsidRPr="00DE096C" w:rsidRDefault="004C2152" w:rsidP="00D45A46">
            <w:pPr>
              <w:jc w:val="both"/>
              <w:rPr>
                <w:bCs/>
                <w:color w:val="002060"/>
                <w:sz w:val="16"/>
                <w:szCs w:val="16"/>
              </w:rPr>
            </w:pPr>
            <w:r w:rsidRPr="00DE096C">
              <w:rPr>
                <w:bCs/>
                <w:color w:val="002060"/>
                <w:sz w:val="16"/>
                <w:szCs w:val="16"/>
              </w:rPr>
              <w:t>383</w:t>
            </w:r>
          </w:p>
        </w:tc>
        <w:tc>
          <w:tcPr>
            <w:tcW w:w="0" w:type="auto"/>
            <w:tcBorders>
              <w:top w:val="nil"/>
              <w:left w:val="nil"/>
              <w:bottom w:val="nil"/>
              <w:right w:val="nil"/>
            </w:tcBorders>
            <w:vAlign w:val="bottom"/>
            <w:hideMark/>
          </w:tcPr>
          <w:p w14:paraId="5A9FC93D" w14:textId="77777777" w:rsidR="004C2152" w:rsidRPr="00DE096C" w:rsidRDefault="004C2152" w:rsidP="00D45A46">
            <w:pPr>
              <w:jc w:val="both"/>
              <w:rPr>
                <w:bCs/>
                <w:color w:val="002060"/>
                <w:sz w:val="16"/>
                <w:szCs w:val="16"/>
              </w:rPr>
            </w:pPr>
            <w:r w:rsidRPr="00DE096C">
              <w:rPr>
                <w:bCs/>
                <w:color w:val="002060"/>
                <w:sz w:val="16"/>
                <w:szCs w:val="16"/>
              </w:rPr>
              <w:t>469</w:t>
            </w:r>
          </w:p>
        </w:tc>
        <w:tc>
          <w:tcPr>
            <w:tcW w:w="0" w:type="auto"/>
            <w:tcBorders>
              <w:top w:val="nil"/>
              <w:left w:val="nil"/>
              <w:bottom w:val="nil"/>
              <w:right w:val="nil"/>
            </w:tcBorders>
            <w:vAlign w:val="bottom"/>
            <w:hideMark/>
          </w:tcPr>
          <w:p w14:paraId="3EF80DF0" w14:textId="77777777" w:rsidR="004C2152" w:rsidRPr="00DE096C" w:rsidRDefault="004C2152" w:rsidP="00D45A46">
            <w:pPr>
              <w:jc w:val="both"/>
              <w:rPr>
                <w:bCs/>
                <w:color w:val="002060"/>
                <w:sz w:val="16"/>
                <w:szCs w:val="16"/>
              </w:rPr>
            </w:pPr>
            <w:r w:rsidRPr="00DE096C">
              <w:rPr>
                <w:bCs/>
                <w:color w:val="002060"/>
                <w:sz w:val="16"/>
                <w:szCs w:val="16"/>
              </w:rPr>
              <w:t>534</w:t>
            </w:r>
          </w:p>
        </w:tc>
        <w:tc>
          <w:tcPr>
            <w:tcW w:w="0" w:type="auto"/>
            <w:tcBorders>
              <w:top w:val="nil"/>
              <w:left w:val="nil"/>
              <w:bottom w:val="nil"/>
              <w:right w:val="nil"/>
            </w:tcBorders>
            <w:vAlign w:val="bottom"/>
            <w:hideMark/>
          </w:tcPr>
          <w:p w14:paraId="4D3B95CA" w14:textId="77777777" w:rsidR="004C2152" w:rsidRPr="00DE096C" w:rsidRDefault="004C2152" w:rsidP="00D45A46">
            <w:pPr>
              <w:jc w:val="both"/>
              <w:rPr>
                <w:bCs/>
                <w:color w:val="002060"/>
                <w:sz w:val="16"/>
                <w:szCs w:val="16"/>
              </w:rPr>
            </w:pPr>
            <w:r w:rsidRPr="00DE096C">
              <w:rPr>
                <w:bCs/>
                <w:color w:val="002060"/>
                <w:sz w:val="16"/>
                <w:szCs w:val="16"/>
              </w:rPr>
              <w:t>1579</w:t>
            </w:r>
          </w:p>
        </w:tc>
      </w:tr>
    </w:tbl>
    <w:p w14:paraId="2DE30835" w14:textId="3EF0C0EA" w:rsidR="004C2152" w:rsidRPr="00DE096C" w:rsidRDefault="004C2152" w:rsidP="00D45A46">
      <w:pPr>
        <w:jc w:val="both"/>
        <w:rPr>
          <w:bCs/>
          <w:color w:val="002060"/>
          <w:sz w:val="16"/>
          <w:szCs w:val="16"/>
        </w:rPr>
      </w:pPr>
      <w:r w:rsidRPr="00DE096C">
        <w:rPr>
          <w:bCs/>
          <w:color w:val="002060"/>
          <w:sz w:val="16"/>
          <w:szCs w:val="16"/>
        </w:rPr>
        <w:t>Фабрика Ильина с 1910 собрала и продала 333 автомобиля.</w:t>
      </w:r>
      <w:r w:rsidR="0006581C">
        <w:rPr>
          <w:bCs/>
          <w:color w:val="002060"/>
          <w:sz w:val="16"/>
          <w:szCs w:val="16"/>
        </w:rPr>
        <w:t xml:space="preserve"> </w:t>
      </w:r>
    </w:p>
    <w:tbl>
      <w:tblPr>
        <w:tblW w:w="0" w:type="auto"/>
        <w:tblCellMar>
          <w:left w:w="0" w:type="dxa"/>
          <w:right w:w="0" w:type="dxa"/>
        </w:tblCellMar>
        <w:tblLook w:val="04A0" w:firstRow="1" w:lastRow="0" w:firstColumn="1" w:lastColumn="0" w:noHBand="0" w:noVBand="1"/>
      </w:tblPr>
      <w:tblGrid>
        <w:gridCol w:w="1551"/>
        <w:gridCol w:w="320"/>
        <w:gridCol w:w="320"/>
        <w:gridCol w:w="320"/>
        <w:gridCol w:w="320"/>
        <w:gridCol w:w="320"/>
        <w:gridCol w:w="395"/>
      </w:tblGrid>
      <w:tr w:rsidR="004C2152" w:rsidRPr="00DE096C" w14:paraId="7001D512" w14:textId="77777777" w:rsidTr="00FA616C">
        <w:tc>
          <w:tcPr>
            <w:tcW w:w="0" w:type="auto"/>
            <w:tcBorders>
              <w:top w:val="nil"/>
              <w:left w:val="nil"/>
              <w:bottom w:val="nil"/>
              <w:right w:val="nil"/>
            </w:tcBorders>
            <w:vAlign w:val="bottom"/>
            <w:hideMark/>
          </w:tcPr>
          <w:p w14:paraId="79BE9592" w14:textId="77777777" w:rsidR="004C2152" w:rsidRPr="00DE096C" w:rsidRDefault="004C2152" w:rsidP="00D45A46">
            <w:pPr>
              <w:jc w:val="both"/>
              <w:rPr>
                <w:bCs/>
                <w:color w:val="002060"/>
                <w:sz w:val="16"/>
                <w:szCs w:val="16"/>
              </w:rPr>
            </w:pPr>
            <w:r w:rsidRPr="00DE096C">
              <w:rPr>
                <w:bCs/>
                <w:color w:val="002060"/>
                <w:sz w:val="16"/>
                <w:szCs w:val="16"/>
              </w:rPr>
              <w:t>Название предприятия</w:t>
            </w:r>
          </w:p>
        </w:tc>
        <w:tc>
          <w:tcPr>
            <w:tcW w:w="0" w:type="auto"/>
            <w:tcBorders>
              <w:top w:val="nil"/>
              <w:left w:val="nil"/>
              <w:bottom w:val="nil"/>
              <w:right w:val="nil"/>
            </w:tcBorders>
            <w:vAlign w:val="bottom"/>
            <w:hideMark/>
          </w:tcPr>
          <w:p w14:paraId="1F7CFB5A" w14:textId="77777777" w:rsidR="004C2152" w:rsidRPr="00DE096C" w:rsidRDefault="004C2152" w:rsidP="00D45A46">
            <w:pPr>
              <w:jc w:val="both"/>
              <w:rPr>
                <w:bCs/>
                <w:color w:val="002060"/>
                <w:sz w:val="16"/>
                <w:szCs w:val="16"/>
              </w:rPr>
            </w:pPr>
            <w:r w:rsidRPr="00DE096C">
              <w:rPr>
                <w:bCs/>
                <w:color w:val="002060"/>
                <w:sz w:val="16"/>
                <w:szCs w:val="16"/>
              </w:rPr>
              <w:t>1910</w:t>
            </w:r>
          </w:p>
        </w:tc>
        <w:tc>
          <w:tcPr>
            <w:tcW w:w="0" w:type="auto"/>
            <w:tcBorders>
              <w:top w:val="nil"/>
              <w:left w:val="nil"/>
              <w:bottom w:val="nil"/>
              <w:right w:val="nil"/>
            </w:tcBorders>
            <w:vAlign w:val="bottom"/>
            <w:hideMark/>
          </w:tcPr>
          <w:p w14:paraId="18C3622C" w14:textId="77777777" w:rsidR="004C2152" w:rsidRPr="00DE096C" w:rsidRDefault="004C2152" w:rsidP="00D45A46">
            <w:pPr>
              <w:jc w:val="both"/>
              <w:rPr>
                <w:bCs/>
                <w:color w:val="002060"/>
                <w:sz w:val="16"/>
                <w:szCs w:val="16"/>
              </w:rPr>
            </w:pPr>
            <w:r w:rsidRPr="00DE096C">
              <w:rPr>
                <w:bCs/>
                <w:color w:val="002060"/>
                <w:sz w:val="16"/>
                <w:szCs w:val="16"/>
              </w:rPr>
              <w:t>1911</w:t>
            </w:r>
          </w:p>
        </w:tc>
        <w:tc>
          <w:tcPr>
            <w:tcW w:w="0" w:type="auto"/>
            <w:tcBorders>
              <w:top w:val="nil"/>
              <w:left w:val="nil"/>
              <w:bottom w:val="nil"/>
              <w:right w:val="nil"/>
            </w:tcBorders>
            <w:vAlign w:val="bottom"/>
            <w:hideMark/>
          </w:tcPr>
          <w:p w14:paraId="1A99E77C" w14:textId="77777777" w:rsidR="004C2152" w:rsidRPr="00DE096C" w:rsidRDefault="004C2152" w:rsidP="00D45A46">
            <w:pPr>
              <w:jc w:val="both"/>
              <w:rPr>
                <w:bCs/>
                <w:color w:val="002060"/>
                <w:sz w:val="16"/>
                <w:szCs w:val="16"/>
              </w:rPr>
            </w:pPr>
            <w:r w:rsidRPr="00DE096C">
              <w:rPr>
                <w:bCs/>
                <w:color w:val="002060"/>
                <w:sz w:val="16"/>
                <w:szCs w:val="16"/>
              </w:rPr>
              <w:t>1912</w:t>
            </w:r>
          </w:p>
        </w:tc>
        <w:tc>
          <w:tcPr>
            <w:tcW w:w="0" w:type="auto"/>
            <w:tcBorders>
              <w:top w:val="nil"/>
              <w:left w:val="nil"/>
              <w:bottom w:val="nil"/>
              <w:right w:val="nil"/>
            </w:tcBorders>
            <w:vAlign w:val="bottom"/>
            <w:hideMark/>
          </w:tcPr>
          <w:p w14:paraId="1D524E0D" w14:textId="77777777" w:rsidR="004C2152" w:rsidRPr="00DE096C" w:rsidRDefault="004C2152" w:rsidP="00D45A46">
            <w:pPr>
              <w:jc w:val="both"/>
              <w:rPr>
                <w:bCs/>
                <w:color w:val="002060"/>
                <w:sz w:val="16"/>
                <w:szCs w:val="16"/>
              </w:rPr>
            </w:pPr>
            <w:r w:rsidRPr="00DE096C">
              <w:rPr>
                <w:bCs/>
                <w:color w:val="002060"/>
                <w:sz w:val="16"/>
                <w:szCs w:val="16"/>
              </w:rPr>
              <w:t>1913</w:t>
            </w:r>
          </w:p>
        </w:tc>
        <w:tc>
          <w:tcPr>
            <w:tcW w:w="0" w:type="auto"/>
            <w:tcBorders>
              <w:top w:val="nil"/>
              <w:left w:val="nil"/>
              <w:bottom w:val="nil"/>
              <w:right w:val="nil"/>
            </w:tcBorders>
            <w:vAlign w:val="bottom"/>
            <w:hideMark/>
          </w:tcPr>
          <w:p w14:paraId="7988FF91" w14:textId="77777777" w:rsidR="004C2152" w:rsidRPr="00DE096C" w:rsidRDefault="004C2152" w:rsidP="00D45A46">
            <w:pPr>
              <w:jc w:val="both"/>
              <w:rPr>
                <w:bCs/>
                <w:color w:val="002060"/>
                <w:sz w:val="16"/>
                <w:szCs w:val="16"/>
              </w:rPr>
            </w:pPr>
            <w:r w:rsidRPr="00DE096C">
              <w:rPr>
                <w:bCs/>
                <w:color w:val="002060"/>
                <w:sz w:val="16"/>
                <w:szCs w:val="16"/>
              </w:rPr>
              <w:t>1914</w:t>
            </w:r>
          </w:p>
        </w:tc>
        <w:tc>
          <w:tcPr>
            <w:tcW w:w="0" w:type="auto"/>
            <w:tcBorders>
              <w:top w:val="nil"/>
              <w:left w:val="nil"/>
              <w:bottom w:val="nil"/>
              <w:right w:val="nil"/>
            </w:tcBorders>
            <w:vAlign w:val="bottom"/>
            <w:hideMark/>
          </w:tcPr>
          <w:p w14:paraId="17C15C62" w14:textId="77777777" w:rsidR="004C2152" w:rsidRPr="00DE096C" w:rsidRDefault="004C2152" w:rsidP="00D45A46">
            <w:pPr>
              <w:jc w:val="both"/>
              <w:rPr>
                <w:bCs/>
                <w:color w:val="002060"/>
                <w:sz w:val="16"/>
                <w:szCs w:val="16"/>
              </w:rPr>
            </w:pPr>
            <w:r w:rsidRPr="00DE096C">
              <w:rPr>
                <w:bCs/>
                <w:color w:val="002060"/>
                <w:sz w:val="16"/>
                <w:szCs w:val="16"/>
              </w:rPr>
              <w:t>Всего</w:t>
            </w:r>
          </w:p>
        </w:tc>
      </w:tr>
      <w:tr w:rsidR="004C2152" w:rsidRPr="00DE096C" w14:paraId="704DDEDF" w14:textId="77777777" w:rsidTr="00FA616C">
        <w:tc>
          <w:tcPr>
            <w:tcW w:w="0" w:type="auto"/>
            <w:tcBorders>
              <w:top w:val="nil"/>
              <w:left w:val="nil"/>
              <w:bottom w:val="nil"/>
              <w:right w:val="nil"/>
            </w:tcBorders>
            <w:vAlign w:val="bottom"/>
            <w:hideMark/>
          </w:tcPr>
          <w:p w14:paraId="1157F998" w14:textId="77777777" w:rsidR="004C2152" w:rsidRPr="00DE096C" w:rsidRDefault="004C2152" w:rsidP="00D45A46">
            <w:pPr>
              <w:jc w:val="both"/>
              <w:rPr>
                <w:bCs/>
                <w:color w:val="002060"/>
                <w:sz w:val="16"/>
                <w:szCs w:val="16"/>
              </w:rPr>
            </w:pPr>
            <w:r w:rsidRPr="00DE096C">
              <w:rPr>
                <w:bCs/>
                <w:color w:val="002060"/>
                <w:sz w:val="16"/>
                <w:szCs w:val="16"/>
              </w:rPr>
              <w:t>"П.Ильин"</w:t>
            </w:r>
          </w:p>
        </w:tc>
        <w:tc>
          <w:tcPr>
            <w:tcW w:w="0" w:type="auto"/>
            <w:tcBorders>
              <w:top w:val="nil"/>
              <w:left w:val="nil"/>
              <w:bottom w:val="nil"/>
              <w:right w:val="nil"/>
            </w:tcBorders>
            <w:vAlign w:val="bottom"/>
            <w:hideMark/>
          </w:tcPr>
          <w:p w14:paraId="770EFEFA" w14:textId="77777777" w:rsidR="004C2152" w:rsidRPr="00DE096C" w:rsidRDefault="004C2152" w:rsidP="00D45A46">
            <w:pPr>
              <w:jc w:val="both"/>
              <w:rPr>
                <w:bCs/>
                <w:color w:val="002060"/>
                <w:sz w:val="16"/>
                <w:szCs w:val="16"/>
              </w:rPr>
            </w:pPr>
            <w:r w:rsidRPr="00DE096C">
              <w:rPr>
                <w:bCs/>
                <w:color w:val="002060"/>
                <w:sz w:val="16"/>
                <w:szCs w:val="16"/>
              </w:rPr>
              <w:t>3</w:t>
            </w:r>
          </w:p>
        </w:tc>
        <w:tc>
          <w:tcPr>
            <w:tcW w:w="0" w:type="auto"/>
            <w:tcBorders>
              <w:top w:val="nil"/>
              <w:left w:val="nil"/>
              <w:bottom w:val="nil"/>
              <w:right w:val="nil"/>
            </w:tcBorders>
            <w:vAlign w:val="bottom"/>
            <w:hideMark/>
          </w:tcPr>
          <w:p w14:paraId="1558B6F5" w14:textId="77777777" w:rsidR="004C2152" w:rsidRPr="00DE096C" w:rsidRDefault="004C2152" w:rsidP="00D45A46">
            <w:pPr>
              <w:jc w:val="both"/>
              <w:rPr>
                <w:bCs/>
                <w:color w:val="002060"/>
                <w:sz w:val="16"/>
                <w:szCs w:val="16"/>
              </w:rPr>
            </w:pPr>
            <w:r w:rsidRPr="00DE096C">
              <w:rPr>
                <w:bCs/>
                <w:color w:val="002060"/>
                <w:sz w:val="16"/>
                <w:szCs w:val="16"/>
              </w:rPr>
              <w:t>19</w:t>
            </w:r>
          </w:p>
        </w:tc>
        <w:tc>
          <w:tcPr>
            <w:tcW w:w="0" w:type="auto"/>
            <w:tcBorders>
              <w:top w:val="nil"/>
              <w:left w:val="nil"/>
              <w:bottom w:val="nil"/>
              <w:right w:val="nil"/>
            </w:tcBorders>
            <w:vAlign w:val="bottom"/>
            <w:hideMark/>
          </w:tcPr>
          <w:p w14:paraId="076F8B7B" w14:textId="77777777" w:rsidR="004C2152" w:rsidRPr="00DE096C" w:rsidRDefault="004C2152" w:rsidP="00D45A46">
            <w:pPr>
              <w:jc w:val="both"/>
              <w:rPr>
                <w:bCs/>
                <w:color w:val="002060"/>
                <w:sz w:val="16"/>
                <w:szCs w:val="16"/>
              </w:rPr>
            </w:pPr>
            <w:r w:rsidRPr="00DE096C">
              <w:rPr>
                <w:bCs/>
                <w:color w:val="002060"/>
                <w:sz w:val="16"/>
                <w:szCs w:val="16"/>
              </w:rPr>
              <w:t>66</w:t>
            </w:r>
          </w:p>
        </w:tc>
        <w:tc>
          <w:tcPr>
            <w:tcW w:w="0" w:type="auto"/>
            <w:tcBorders>
              <w:top w:val="nil"/>
              <w:left w:val="nil"/>
              <w:bottom w:val="nil"/>
              <w:right w:val="nil"/>
            </w:tcBorders>
            <w:vAlign w:val="bottom"/>
            <w:hideMark/>
          </w:tcPr>
          <w:p w14:paraId="5D46A32E" w14:textId="77777777" w:rsidR="004C2152" w:rsidRPr="00DE096C" w:rsidRDefault="004C2152" w:rsidP="00D45A46">
            <w:pPr>
              <w:jc w:val="both"/>
              <w:rPr>
                <w:bCs/>
                <w:color w:val="002060"/>
                <w:sz w:val="16"/>
                <w:szCs w:val="16"/>
              </w:rPr>
            </w:pPr>
            <w:r w:rsidRPr="00DE096C">
              <w:rPr>
                <w:bCs/>
                <w:color w:val="002060"/>
                <w:sz w:val="16"/>
                <w:szCs w:val="16"/>
              </w:rPr>
              <w:t>93</w:t>
            </w:r>
          </w:p>
        </w:tc>
        <w:tc>
          <w:tcPr>
            <w:tcW w:w="0" w:type="auto"/>
            <w:tcBorders>
              <w:top w:val="nil"/>
              <w:left w:val="nil"/>
              <w:bottom w:val="nil"/>
              <w:right w:val="nil"/>
            </w:tcBorders>
            <w:vAlign w:val="bottom"/>
            <w:hideMark/>
          </w:tcPr>
          <w:p w14:paraId="79EF1012" w14:textId="77777777" w:rsidR="004C2152" w:rsidRPr="00DE096C" w:rsidRDefault="004C2152" w:rsidP="00D45A46">
            <w:pPr>
              <w:jc w:val="both"/>
              <w:rPr>
                <w:bCs/>
                <w:color w:val="002060"/>
                <w:sz w:val="16"/>
                <w:szCs w:val="16"/>
              </w:rPr>
            </w:pPr>
            <w:r w:rsidRPr="00DE096C">
              <w:rPr>
                <w:bCs/>
                <w:color w:val="002060"/>
                <w:sz w:val="16"/>
                <w:szCs w:val="16"/>
              </w:rPr>
              <w:t>152</w:t>
            </w:r>
          </w:p>
        </w:tc>
        <w:tc>
          <w:tcPr>
            <w:tcW w:w="0" w:type="auto"/>
            <w:tcBorders>
              <w:top w:val="nil"/>
              <w:left w:val="nil"/>
              <w:bottom w:val="nil"/>
              <w:right w:val="nil"/>
            </w:tcBorders>
            <w:vAlign w:val="bottom"/>
            <w:hideMark/>
          </w:tcPr>
          <w:p w14:paraId="6348861C" w14:textId="77777777" w:rsidR="004C2152" w:rsidRPr="00DE096C" w:rsidRDefault="004C2152" w:rsidP="00D45A46">
            <w:pPr>
              <w:jc w:val="both"/>
              <w:rPr>
                <w:bCs/>
                <w:color w:val="002060"/>
                <w:sz w:val="16"/>
                <w:szCs w:val="16"/>
              </w:rPr>
            </w:pPr>
            <w:r w:rsidRPr="00DE096C">
              <w:rPr>
                <w:bCs/>
                <w:color w:val="002060"/>
                <w:sz w:val="16"/>
                <w:szCs w:val="16"/>
              </w:rPr>
              <w:t>333</w:t>
            </w:r>
          </w:p>
        </w:tc>
      </w:tr>
    </w:tbl>
    <w:p w14:paraId="766C1721" w14:textId="77777777" w:rsidR="004C2152" w:rsidRPr="00DE096C" w:rsidRDefault="004C2152" w:rsidP="00D45A46">
      <w:pPr>
        <w:jc w:val="both"/>
        <w:rPr>
          <w:bCs/>
          <w:color w:val="002060"/>
          <w:sz w:val="16"/>
          <w:szCs w:val="16"/>
        </w:rPr>
      </w:pPr>
      <w:r w:rsidRPr="00DE096C">
        <w:rPr>
          <w:bCs/>
          <w:color w:val="002060"/>
          <w:sz w:val="16"/>
          <w:szCs w:val="16"/>
        </w:rPr>
        <w:t>(18376).</w:t>
      </w:r>
    </w:p>
    <w:p w14:paraId="2BC05296" w14:textId="77777777" w:rsidR="004C2152" w:rsidRPr="00DE096C" w:rsidRDefault="004C2152" w:rsidP="00D45A46">
      <w:pPr>
        <w:jc w:val="both"/>
        <w:rPr>
          <w:bCs/>
          <w:color w:val="002060"/>
          <w:sz w:val="16"/>
          <w:szCs w:val="16"/>
        </w:rPr>
      </w:pPr>
    </w:p>
    <w:p w14:paraId="0C2D193D" w14:textId="77777777" w:rsidR="004C2152" w:rsidRPr="00DE096C" w:rsidRDefault="004C2152" w:rsidP="00D45A46">
      <w:pPr>
        <w:jc w:val="both"/>
        <w:rPr>
          <w:bCs/>
          <w:color w:val="002060"/>
          <w:sz w:val="16"/>
          <w:szCs w:val="16"/>
        </w:rPr>
      </w:pPr>
      <w:r w:rsidRPr="00DE096C">
        <w:rPr>
          <w:bCs/>
          <w:color w:val="002060"/>
          <w:sz w:val="16"/>
          <w:szCs w:val="16"/>
        </w:rPr>
        <w:t>К концу 1914 всего на территории России было собрано и построено 12 446 автомобилей всех классов. Еще около 3000 автомобилей было закуплено за рубежом в период с 1907 по 1914 годы (18376).</w:t>
      </w:r>
    </w:p>
    <w:p w14:paraId="392DFD58" w14:textId="77777777" w:rsidR="004C2152" w:rsidRPr="00DE096C" w:rsidRDefault="004C2152" w:rsidP="00D45A46">
      <w:pPr>
        <w:jc w:val="both"/>
        <w:rPr>
          <w:bCs/>
          <w:color w:val="002060"/>
          <w:sz w:val="16"/>
          <w:szCs w:val="16"/>
        </w:rPr>
      </w:pPr>
    </w:p>
    <w:p w14:paraId="345CFE0C" w14:textId="77777777" w:rsidR="004C2152" w:rsidRPr="00DE096C" w:rsidRDefault="004C2152" w:rsidP="00D45A46">
      <w:pPr>
        <w:pStyle w:val="ae"/>
        <w:spacing w:before="0" w:beforeAutospacing="0" w:after="0" w:afterAutospacing="0"/>
        <w:jc w:val="both"/>
        <w:rPr>
          <w:bCs/>
          <w:color w:val="002060"/>
          <w:sz w:val="16"/>
          <w:szCs w:val="16"/>
        </w:rPr>
      </w:pPr>
      <w:r w:rsidRPr="00DE096C">
        <w:rPr>
          <w:bCs/>
          <w:color w:val="002060"/>
          <w:sz w:val="16"/>
          <w:szCs w:val="16"/>
        </w:rPr>
        <w:t>До конца 1914 г. было выдано заказов более чем на 14 млн. снарядов</w:t>
      </w:r>
      <w:bookmarkStart w:id="221" w:name="49r"/>
      <w:bookmarkEnd w:id="221"/>
      <w:r w:rsidR="009D3CAD" w:rsidRPr="00DE096C">
        <w:rPr>
          <w:bCs/>
          <w:color w:val="002060"/>
          <w:sz w:val="16"/>
          <w:szCs w:val="16"/>
          <w:vertAlign w:val="superscript"/>
        </w:rPr>
        <w:fldChar w:fldCharType="begin"/>
      </w:r>
      <w:r w:rsidRPr="00DE096C">
        <w:rPr>
          <w:bCs/>
          <w:color w:val="002060"/>
          <w:sz w:val="16"/>
          <w:szCs w:val="16"/>
          <w:vertAlign w:val="superscript"/>
        </w:rPr>
        <w:instrText xml:space="preserve"> HYPERLINK "http://sergeyhry.narod.ru/txt/sidorov_a_l/econom_rus_ww1_002.htm" \l "49p" </w:instrText>
      </w:r>
      <w:r w:rsidR="009D3CAD" w:rsidRPr="00DE096C">
        <w:rPr>
          <w:bCs/>
          <w:color w:val="002060"/>
          <w:sz w:val="16"/>
          <w:szCs w:val="16"/>
          <w:vertAlign w:val="superscript"/>
        </w:rPr>
      </w:r>
      <w:r w:rsidR="009D3CAD" w:rsidRPr="00DE096C">
        <w:rPr>
          <w:bCs/>
          <w:color w:val="002060"/>
          <w:sz w:val="16"/>
          <w:szCs w:val="16"/>
          <w:vertAlign w:val="superscript"/>
        </w:rPr>
        <w:fldChar w:fldCharType="separate"/>
      </w:r>
      <w:r w:rsidRPr="00DE096C">
        <w:rPr>
          <w:rStyle w:val="af0"/>
          <w:bCs/>
          <w:color w:val="002060"/>
          <w:sz w:val="16"/>
          <w:szCs w:val="16"/>
          <w:vertAlign w:val="superscript"/>
        </w:rPr>
        <w:t>49</w:t>
      </w:r>
      <w:r w:rsidR="009D3CAD" w:rsidRPr="00DE096C">
        <w:rPr>
          <w:bCs/>
          <w:color w:val="002060"/>
          <w:sz w:val="16"/>
          <w:szCs w:val="16"/>
          <w:vertAlign w:val="superscript"/>
        </w:rPr>
        <w:fldChar w:fldCharType="end"/>
      </w:r>
      <w:r w:rsidRPr="00DE096C">
        <w:rPr>
          <w:bCs/>
          <w:color w:val="002060"/>
          <w:sz w:val="16"/>
          <w:szCs w:val="16"/>
        </w:rPr>
        <w:t>, темпы их изготовления внутри страны отнюдь не ускорились. Промышленность изготовляла их в тех количествах и даже менее, о которых говорил начальник ГАУ.</w:t>
      </w:r>
    </w:p>
    <w:p w14:paraId="6E8AED78" w14:textId="77777777" w:rsidR="004C2152" w:rsidRPr="00DE096C" w:rsidRDefault="004C2152" w:rsidP="00D45A46">
      <w:pPr>
        <w:pStyle w:val="ae"/>
        <w:spacing w:before="0" w:beforeAutospacing="0" w:after="0" w:afterAutospacing="0"/>
        <w:jc w:val="both"/>
        <w:rPr>
          <w:bCs/>
          <w:color w:val="002060"/>
          <w:sz w:val="16"/>
          <w:szCs w:val="16"/>
        </w:rPr>
      </w:pPr>
      <w:r w:rsidRPr="00DE096C">
        <w:rPr>
          <w:bCs/>
          <w:color w:val="002060"/>
          <w:sz w:val="16"/>
          <w:szCs w:val="16"/>
        </w:rPr>
        <w:t>Положение армии становилось безнадежным. Отныне она должна была базироваться на внутреннее производство, которое подвигалось черепашьим темпом, да на заказы за границей. Последний источник еще не был испытан и, как показали последующие события, не мог серьезно приниматься во внимание. Надежды на союзников, на мощную американскую промышленность успокаивали русское правительство и лишали всякой энергии аппарат Военного министерства, парализовали его волю к действию (18524).</w:t>
      </w:r>
    </w:p>
    <w:p w14:paraId="62C51000" w14:textId="77777777" w:rsidR="004C2152" w:rsidRPr="00DE096C" w:rsidRDefault="004C2152" w:rsidP="00D45A46">
      <w:pPr>
        <w:pStyle w:val="ae"/>
        <w:spacing w:before="0" w:beforeAutospacing="0" w:after="0" w:afterAutospacing="0"/>
        <w:jc w:val="both"/>
        <w:rPr>
          <w:bCs/>
          <w:color w:val="002060"/>
          <w:sz w:val="16"/>
          <w:szCs w:val="16"/>
        </w:rPr>
      </w:pPr>
    </w:p>
    <w:p w14:paraId="3D03B022" w14:textId="77777777" w:rsidR="00B67D7C" w:rsidRPr="00DE096C" w:rsidRDefault="00B67D7C" w:rsidP="00D45A46">
      <w:pPr>
        <w:jc w:val="both"/>
        <w:rPr>
          <w:bCs/>
          <w:color w:val="002060"/>
          <w:sz w:val="16"/>
          <w:szCs w:val="16"/>
        </w:rPr>
      </w:pPr>
      <w:r w:rsidRPr="00DE096C">
        <w:rPr>
          <w:bCs/>
          <w:color w:val="002060"/>
          <w:sz w:val="16"/>
          <w:szCs w:val="16"/>
        </w:rPr>
        <w:t xml:space="preserve">В момент объявления мировой войны тульский патронный завод имел оборудование мощностью на 150 млн патронов в год. Так как уже с конца 1914 г. начал обнаруживаться недостаток в патронах, то завод спешно предпринял меры к расширению помещений и увеличению оборудования, которое доставлялось главным образом из Дании, Финляндии и Америки. Производство за годы войны дает следующие цифры: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836"/>
        <w:gridCol w:w="1121"/>
        <w:gridCol w:w="887"/>
        <w:gridCol w:w="923"/>
        <w:gridCol w:w="828"/>
      </w:tblGrid>
      <w:tr w:rsidR="00B67D7C" w:rsidRPr="00DE096C" w14:paraId="765C02AA" w14:textId="77777777" w:rsidTr="00C2024A">
        <w:tc>
          <w:tcPr>
            <w:tcW w:w="1836" w:type="dxa"/>
          </w:tcPr>
          <w:p w14:paraId="5188E3EA" w14:textId="77777777" w:rsidR="00B67D7C" w:rsidRPr="00DE096C" w:rsidRDefault="00B67D7C" w:rsidP="00D45A46">
            <w:pPr>
              <w:jc w:val="both"/>
              <w:rPr>
                <w:bCs/>
                <w:color w:val="002060"/>
                <w:sz w:val="16"/>
                <w:szCs w:val="16"/>
              </w:rPr>
            </w:pPr>
            <w:r w:rsidRPr="00DE096C">
              <w:rPr>
                <w:bCs/>
                <w:color w:val="002060"/>
                <w:sz w:val="16"/>
                <w:szCs w:val="16"/>
              </w:rPr>
              <w:t> </w:t>
            </w:r>
          </w:p>
        </w:tc>
        <w:tc>
          <w:tcPr>
            <w:tcW w:w="1121" w:type="dxa"/>
          </w:tcPr>
          <w:p w14:paraId="0B9C6080" w14:textId="77777777" w:rsidR="00B67D7C" w:rsidRPr="00DE096C" w:rsidRDefault="00B67D7C" w:rsidP="00D45A46">
            <w:pPr>
              <w:jc w:val="both"/>
              <w:rPr>
                <w:bCs/>
                <w:color w:val="002060"/>
                <w:sz w:val="16"/>
                <w:szCs w:val="16"/>
              </w:rPr>
            </w:pPr>
            <w:r w:rsidRPr="00DE096C">
              <w:rPr>
                <w:bCs/>
                <w:color w:val="002060"/>
                <w:sz w:val="16"/>
                <w:szCs w:val="16"/>
              </w:rPr>
              <w:t>Винтовочные патроны</w:t>
            </w:r>
          </w:p>
        </w:tc>
        <w:tc>
          <w:tcPr>
            <w:tcW w:w="887" w:type="dxa"/>
          </w:tcPr>
          <w:p w14:paraId="092ED5D6" w14:textId="77777777" w:rsidR="00B67D7C" w:rsidRPr="00DE096C" w:rsidRDefault="00B67D7C" w:rsidP="00D45A46">
            <w:pPr>
              <w:jc w:val="both"/>
              <w:rPr>
                <w:bCs/>
                <w:color w:val="002060"/>
                <w:sz w:val="16"/>
                <w:szCs w:val="16"/>
              </w:rPr>
            </w:pPr>
            <w:r w:rsidRPr="00DE096C">
              <w:rPr>
                <w:bCs/>
                <w:color w:val="002060"/>
                <w:sz w:val="16"/>
                <w:szCs w:val="16"/>
              </w:rPr>
              <w:t xml:space="preserve">Пушечные </w:t>
            </w:r>
          </w:p>
          <w:p w14:paraId="64CE2338" w14:textId="77777777" w:rsidR="00B67D7C" w:rsidRPr="00DE096C" w:rsidRDefault="00B67D7C" w:rsidP="00D45A46">
            <w:pPr>
              <w:jc w:val="both"/>
              <w:rPr>
                <w:bCs/>
                <w:color w:val="002060"/>
                <w:sz w:val="16"/>
                <w:szCs w:val="16"/>
              </w:rPr>
            </w:pPr>
            <w:r w:rsidRPr="00DE096C">
              <w:rPr>
                <w:bCs/>
                <w:color w:val="002060"/>
                <w:sz w:val="16"/>
                <w:szCs w:val="16"/>
              </w:rPr>
              <w:t>(тыс.</w:t>
            </w:r>
          </w:p>
        </w:tc>
        <w:tc>
          <w:tcPr>
            <w:tcW w:w="923" w:type="dxa"/>
          </w:tcPr>
          <w:p w14:paraId="532A0930" w14:textId="77777777" w:rsidR="00B67D7C" w:rsidRPr="00DE096C" w:rsidRDefault="00B67D7C" w:rsidP="00D45A46">
            <w:pPr>
              <w:jc w:val="both"/>
              <w:rPr>
                <w:bCs/>
                <w:color w:val="002060"/>
                <w:sz w:val="16"/>
                <w:szCs w:val="16"/>
              </w:rPr>
            </w:pPr>
            <w:r w:rsidRPr="00DE096C">
              <w:rPr>
                <w:bCs/>
                <w:color w:val="002060"/>
                <w:sz w:val="16"/>
                <w:szCs w:val="16"/>
              </w:rPr>
              <w:t xml:space="preserve"> гильзы </w:t>
            </w:r>
          </w:p>
          <w:p w14:paraId="0EAF5B38" w14:textId="77777777" w:rsidR="00B67D7C" w:rsidRPr="00DE096C" w:rsidRDefault="00B67D7C" w:rsidP="00D45A46">
            <w:pPr>
              <w:jc w:val="both"/>
              <w:rPr>
                <w:bCs/>
                <w:color w:val="002060"/>
                <w:sz w:val="16"/>
                <w:szCs w:val="16"/>
              </w:rPr>
            </w:pPr>
            <w:r w:rsidRPr="00DE096C">
              <w:rPr>
                <w:bCs/>
                <w:color w:val="002060"/>
                <w:sz w:val="16"/>
                <w:szCs w:val="16"/>
              </w:rPr>
              <w:t>шт.)</w:t>
            </w:r>
          </w:p>
        </w:tc>
        <w:tc>
          <w:tcPr>
            <w:tcW w:w="828" w:type="dxa"/>
          </w:tcPr>
          <w:p w14:paraId="784B3295" w14:textId="77777777" w:rsidR="00B67D7C" w:rsidRPr="00DE096C" w:rsidRDefault="00B67D7C" w:rsidP="00D45A46">
            <w:pPr>
              <w:jc w:val="both"/>
              <w:rPr>
                <w:bCs/>
                <w:color w:val="002060"/>
                <w:sz w:val="16"/>
                <w:szCs w:val="16"/>
              </w:rPr>
            </w:pPr>
            <w:r w:rsidRPr="00DE096C">
              <w:rPr>
                <w:bCs/>
                <w:color w:val="002060"/>
                <w:sz w:val="16"/>
                <w:szCs w:val="16"/>
              </w:rPr>
              <w:t xml:space="preserve">Выпуск </w:t>
            </w:r>
          </w:p>
          <w:p w14:paraId="77E063A7" w14:textId="77777777" w:rsidR="00B67D7C" w:rsidRPr="00DE096C" w:rsidRDefault="00B67D7C" w:rsidP="00D45A46">
            <w:pPr>
              <w:jc w:val="both"/>
              <w:rPr>
                <w:bCs/>
                <w:color w:val="002060"/>
                <w:sz w:val="16"/>
                <w:szCs w:val="16"/>
              </w:rPr>
            </w:pPr>
            <w:r w:rsidRPr="00DE096C">
              <w:rPr>
                <w:bCs/>
                <w:color w:val="002060"/>
                <w:sz w:val="16"/>
                <w:szCs w:val="16"/>
              </w:rPr>
              <w:t xml:space="preserve">металла </w:t>
            </w:r>
          </w:p>
        </w:tc>
      </w:tr>
      <w:tr w:rsidR="00B67D7C" w:rsidRPr="00DE096C" w14:paraId="26290722" w14:textId="77777777" w:rsidTr="00C2024A">
        <w:tc>
          <w:tcPr>
            <w:tcW w:w="1836" w:type="dxa"/>
          </w:tcPr>
          <w:p w14:paraId="42DF1D7B" w14:textId="77777777" w:rsidR="00B67D7C" w:rsidRPr="00DE096C" w:rsidRDefault="00B67D7C" w:rsidP="00D45A46">
            <w:pPr>
              <w:jc w:val="both"/>
              <w:rPr>
                <w:bCs/>
                <w:color w:val="002060"/>
                <w:sz w:val="16"/>
                <w:szCs w:val="16"/>
              </w:rPr>
            </w:pPr>
            <w:r w:rsidRPr="00DE096C">
              <w:rPr>
                <w:bCs/>
                <w:color w:val="002060"/>
                <w:sz w:val="16"/>
                <w:szCs w:val="16"/>
              </w:rPr>
              <w:t> </w:t>
            </w:r>
          </w:p>
        </w:tc>
        <w:tc>
          <w:tcPr>
            <w:tcW w:w="1121" w:type="dxa"/>
          </w:tcPr>
          <w:p w14:paraId="047ADCEA" w14:textId="77777777" w:rsidR="00B67D7C" w:rsidRPr="00DE096C" w:rsidRDefault="00B67D7C" w:rsidP="00D45A46">
            <w:pPr>
              <w:jc w:val="both"/>
              <w:rPr>
                <w:bCs/>
                <w:color w:val="002060"/>
                <w:sz w:val="16"/>
                <w:szCs w:val="16"/>
              </w:rPr>
            </w:pPr>
            <w:r w:rsidRPr="00DE096C">
              <w:rPr>
                <w:bCs/>
                <w:color w:val="002060"/>
                <w:sz w:val="16"/>
                <w:szCs w:val="16"/>
              </w:rPr>
              <w:t> (млн)</w:t>
            </w:r>
          </w:p>
        </w:tc>
        <w:tc>
          <w:tcPr>
            <w:tcW w:w="887" w:type="dxa"/>
          </w:tcPr>
          <w:p w14:paraId="7879BFB1" w14:textId="77777777" w:rsidR="00B67D7C" w:rsidRPr="00DE096C" w:rsidRDefault="00B67D7C" w:rsidP="00D45A46">
            <w:pPr>
              <w:jc w:val="both"/>
              <w:rPr>
                <w:bCs/>
                <w:color w:val="002060"/>
                <w:sz w:val="16"/>
                <w:szCs w:val="16"/>
              </w:rPr>
            </w:pPr>
            <w:r w:rsidRPr="00DE096C">
              <w:rPr>
                <w:bCs/>
                <w:color w:val="002060"/>
                <w:sz w:val="16"/>
                <w:szCs w:val="16"/>
              </w:rPr>
              <w:t>Разные</w:t>
            </w:r>
          </w:p>
        </w:tc>
        <w:tc>
          <w:tcPr>
            <w:tcW w:w="923" w:type="dxa"/>
          </w:tcPr>
          <w:p w14:paraId="71BBDC76" w14:textId="77777777" w:rsidR="00B67D7C" w:rsidRPr="00DE096C" w:rsidRDefault="00B67D7C" w:rsidP="00D45A46">
            <w:pPr>
              <w:jc w:val="both"/>
              <w:rPr>
                <w:bCs/>
                <w:color w:val="002060"/>
                <w:sz w:val="16"/>
                <w:szCs w:val="16"/>
              </w:rPr>
            </w:pPr>
            <w:r w:rsidRPr="00DE096C">
              <w:rPr>
                <w:bCs/>
                <w:color w:val="002060"/>
                <w:sz w:val="16"/>
                <w:szCs w:val="16"/>
              </w:rPr>
              <w:t xml:space="preserve">С переводом на 3-дм </w:t>
            </w:r>
          </w:p>
        </w:tc>
        <w:tc>
          <w:tcPr>
            <w:tcW w:w="828" w:type="dxa"/>
          </w:tcPr>
          <w:p w14:paraId="4F05A21D" w14:textId="77777777" w:rsidR="00B67D7C" w:rsidRPr="00DE096C" w:rsidRDefault="00B67D7C" w:rsidP="00D45A46">
            <w:pPr>
              <w:jc w:val="both"/>
              <w:rPr>
                <w:bCs/>
                <w:color w:val="002060"/>
                <w:sz w:val="16"/>
                <w:szCs w:val="16"/>
              </w:rPr>
            </w:pPr>
            <w:r w:rsidRPr="00DE096C">
              <w:rPr>
                <w:bCs/>
                <w:color w:val="002060"/>
                <w:sz w:val="16"/>
                <w:szCs w:val="16"/>
              </w:rPr>
              <w:t>на сторону (тыс. пудов)</w:t>
            </w:r>
          </w:p>
        </w:tc>
      </w:tr>
      <w:tr w:rsidR="00B67D7C" w:rsidRPr="00DE096C" w14:paraId="061992AF" w14:textId="77777777" w:rsidTr="00C2024A">
        <w:tc>
          <w:tcPr>
            <w:tcW w:w="1836" w:type="dxa"/>
          </w:tcPr>
          <w:p w14:paraId="0F03599A" w14:textId="77777777" w:rsidR="00B67D7C" w:rsidRPr="00DE096C" w:rsidRDefault="00B67D7C" w:rsidP="00D45A46">
            <w:pPr>
              <w:jc w:val="both"/>
              <w:rPr>
                <w:bCs/>
                <w:color w:val="002060"/>
                <w:sz w:val="16"/>
                <w:szCs w:val="16"/>
              </w:rPr>
            </w:pPr>
            <w:r w:rsidRPr="00DE096C">
              <w:rPr>
                <w:bCs/>
                <w:color w:val="002060"/>
                <w:sz w:val="16"/>
                <w:szCs w:val="16"/>
              </w:rPr>
              <w:t>1914 г.</w:t>
            </w:r>
          </w:p>
        </w:tc>
        <w:tc>
          <w:tcPr>
            <w:tcW w:w="1121" w:type="dxa"/>
          </w:tcPr>
          <w:p w14:paraId="0E912FE8" w14:textId="77777777" w:rsidR="00B67D7C" w:rsidRPr="00DE096C" w:rsidRDefault="00B67D7C" w:rsidP="00D45A46">
            <w:pPr>
              <w:jc w:val="both"/>
              <w:rPr>
                <w:bCs/>
                <w:color w:val="002060"/>
                <w:sz w:val="16"/>
                <w:szCs w:val="16"/>
              </w:rPr>
            </w:pPr>
            <w:r w:rsidRPr="00DE096C">
              <w:rPr>
                <w:bCs/>
                <w:color w:val="002060"/>
                <w:sz w:val="16"/>
                <w:szCs w:val="16"/>
              </w:rPr>
              <w:t>181,8</w:t>
            </w:r>
          </w:p>
        </w:tc>
        <w:tc>
          <w:tcPr>
            <w:tcW w:w="887" w:type="dxa"/>
          </w:tcPr>
          <w:p w14:paraId="72E78B47" w14:textId="77777777" w:rsidR="00B67D7C" w:rsidRPr="00DE096C" w:rsidRDefault="00B67D7C" w:rsidP="00D45A46">
            <w:pPr>
              <w:jc w:val="both"/>
              <w:rPr>
                <w:bCs/>
                <w:color w:val="002060"/>
                <w:sz w:val="16"/>
                <w:szCs w:val="16"/>
              </w:rPr>
            </w:pPr>
            <w:r w:rsidRPr="00DE096C">
              <w:rPr>
                <w:bCs/>
                <w:color w:val="002060"/>
                <w:sz w:val="16"/>
                <w:szCs w:val="16"/>
              </w:rPr>
              <w:t>859</w:t>
            </w:r>
          </w:p>
        </w:tc>
        <w:tc>
          <w:tcPr>
            <w:tcW w:w="923" w:type="dxa"/>
          </w:tcPr>
          <w:p w14:paraId="37D7253E" w14:textId="77777777" w:rsidR="00B67D7C" w:rsidRPr="00DE096C" w:rsidRDefault="00B67D7C" w:rsidP="00D45A46">
            <w:pPr>
              <w:jc w:val="both"/>
              <w:rPr>
                <w:bCs/>
                <w:color w:val="002060"/>
                <w:sz w:val="16"/>
                <w:szCs w:val="16"/>
              </w:rPr>
            </w:pPr>
            <w:r w:rsidRPr="00DE096C">
              <w:rPr>
                <w:bCs/>
                <w:color w:val="002060"/>
                <w:sz w:val="16"/>
                <w:szCs w:val="16"/>
              </w:rPr>
              <w:t>1.349</w:t>
            </w:r>
          </w:p>
        </w:tc>
        <w:tc>
          <w:tcPr>
            <w:tcW w:w="828" w:type="dxa"/>
          </w:tcPr>
          <w:p w14:paraId="53BC9E81" w14:textId="77777777" w:rsidR="00B67D7C" w:rsidRPr="00DE096C" w:rsidRDefault="00B67D7C" w:rsidP="00D45A46">
            <w:pPr>
              <w:jc w:val="both"/>
              <w:rPr>
                <w:bCs/>
                <w:color w:val="002060"/>
                <w:sz w:val="16"/>
                <w:szCs w:val="16"/>
              </w:rPr>
            </w:pPr>
            <w:r w:rsidRPr="00DE096C">
              <w:rPr>
                <w:bCs/>
                <w:color w:val="002060"/>
                <w:sz w:val="16"/>
                <w:szCs w:val="16"/>
              </w:rPr>
              <w:t>359</w:t>
            </w:r>
          </w:p>
        </w:tc>
      </w:tr>
      <w:tr w:rsidR="00B67D7C" w:rsidRPr="00DE096C" w14:paraId="437889A7" w14:textId="77777777" w:rsidTr="00C2024A">
        <w:tc>
          <w:tcPr>
            <w:tcW w:w="1836" w:type="dxa"/>
          </w:tcPr>
          <w:p w14:paraId="1E1CF28F" w14:textId="77777777" w:rsidR="00B67D7C" w:rsidRPr="00DE096C" w:rsidRDefault="00B67D7C" w:rsidP="00D45A46">
            <w:pPr>
              <w:jc w:val="both"/>
              <w:rPr>
                <w:bCs/>
                <w:color w:val="002060"/>
                <w:sz w:val="16"/>
                <w:szCs w:val="16"/>
              </w:rPr>
            </w:pPr>
            <w:r w:rsidRPr="00DE096C">
              <w:rPr>
                <w:bCs/>
                <w:color w:val="002060"/>
                <w:sz w:val="16"/>
                <w:szCs w:val="16"/>
              </w:rPr>
              <w:t>1915 г.</w:t>
            </w:r>
          </w:p>
        </w:tc>
        <w:tc>
          <w:tcPr>
            <w:tcW w:w="1121" w:type="dxa"/>
          </w:tcPr>
          <w:p w14:paraId="57920727" w14:textId="77777777" w:rsidR="00B67D7C" w:rsidRPr="00DE096C" w:rsidRDefault="00B67D7C" w:rsidP="00D45A46">
            <w:pPr>
              <w:jc w:val="both"/>
              <w:rPr>
                <w:bCs/>
                <w:color w:val="002060"/>
                <w:sz w:val="16"/>
                <w:szCs w:val="16"/>
              </w:rPr>
            </w:pPr>
            <w:r w:rsidRPr="00DE096C">
              <w:rPr>
                <w:bCs/>
                <w:color w:val="002060"/>
                <w:sz w:val="16"/>
                <w:szCs w:val="16"/>
              </w:rPr>
              <w:t>265,2</w:t>
            </w:r>
          </w:p>
        </w:tc>
        <w:tc>
          <w:tcPr>
            <w:tcW w:w="887" w:type="dxa"/>
          </w:tcPr>
          <w:p w14:paraId="18294DA5" w14:textId="77777777" w:rsidR="00B67D7C" w:rsidRPr="00DE096C" w:rsidRDefault="00B67D7C" w:rsidP="00D45A46">
            <w:pPr>
              <w:jc w:val="both"/>
              <w:rPr>
                <w:bCs/>
                <w:color w:val="002060"/>
                <w:sz w:val="16"/>
                <w:szCs w:val="16"/>
              </w:rPr>
            </w:pPr>
            <w:r w:rsidRPr="00DE096C">
              <w:rPr>
                <w:bCs/>
                <w:color w:val="002060"/>
                <w:sz w:val="16"/>
                <w:szCs w:val="16"/>
              </w:rPr>
              <w:t>3.534</w:t>
            </w:r>
          </w:p>
        </w:tc>
        <w:tc>
          <w:tcPr>
            <w:tcW w:w="923" w:type="dxa"/>
          </w:tcPr>
          <w:p w14:paraId="03946AB1" w14:textId="77777777" w:rsidR="00B67D7C" w:rsidRPr="00DE096C" w:rsidRDefault="00B67D7C" w:rsidP="00D45A46">
            <w:pPr>
              <w:jc w:val="both"/>
              <w:rPr>
                <w:bCs/>
                <w:color w:val="002060"/>
                <w:sz w:val="16"/>
                <w:szCs w:val="16"/>
              </w:rPr>
            </w:pPr>
            <w:r w:rsidRPr="00DE096C">
              <w:rPr>
                <w:bCs/>
                <w:color w:val="002060"/>
                <w:sz w:val="16"/>
                <w:szCs w:val="16"/>
              </w:rPr>
              <w:t>3.871</w:t>
            </w:r>
          </w:p>
        </w:tc>
        <w:tc>
          <w:tcPr>
            <w:tcW w:w="828" w:type="dxa"/>
          </w:tcPr>
          <w:p w14:paraId="6FCDC12B" w14:textId="77777777" w:rsidR="00B67D7C" w:rsidRPr="00DE096C" w:rsidRDefault="00B67D7C" w:rsidP="00D45A46">
            <w:pPr>
              <w:jc w:val="both"/>
              <w:rPr>
                <w:bCs/>
                <w:color w:val="002060"/>
                <w:sz w:val="16"/>
                <w:szCs w:val="16"/>
              </w:rPr>
            </w:pPr>
            <w:r w:rsidRPr="00DE096C">
              <w:rPr>
                <w:bCs/>
                <w:color w:val="002060"/>
                <w:sz w:val="16"/>
                <w:szCs w:val="16"/>
              </w:rPr>
              <w:t>411</w:t>
            </w:r>
          </w:p>
        </w:tc>
      </w:tr>
      <w:tr w:rsidR="00B67D7C" w:rsidRPr="00DE096C" w14:paraId="30EC0250" w14:textId="77777777" w:rsidTr="00C2024A">
        <w:tc>
          <w:tcPr>
            <w:tcW w:w="1836" w:type="dxa"/>
          </w:tcPr>
          <w:p w14:paraId="0245AF67" w14:textId="77777777" w:rsidR="00B67D7C" w:rsidRPr="00DE096C" w:rsidRDefault="00B67D7C" w:rsidP="00D45A46">
            <w:pPr>
              <w:jc w:val="both"/>
              <w:rPr>
                <w:bCs/>
                <w:color w:val="002060"/>
                <w:sz w:val="16"/>
                <w:szCs w:val="16"/>
              </w:rPr>
            </w:pPr>
            <w:r w:rsidRPr="00DE096C">
              <w:rPr>
                <w:bCs/>
                <w:color w:val="002060"/>
                <w:sz w:val="16"/>
                <w:szCs w:val="16"/>
              </w:rPr>
              <w:t>1916 г.</w:t>
            </w:r>
          </w:p>
        </w:tc>
        <w:tc>
          <w:tcPr>
            <w:tcW w:w="1121" w:type="dxa"/>
          </w:tcPr>
          <w:p w14:paraId="4666ACD4" w14:textId="77777777" w:rsidR="00B67D7C" w:rsidRPr="00DE096C" w:rsidRDefault="00B67D7C" w:rsidP="00D45A46">
            <w:pPr>
              <w:jc w:val="both"/>
              <w:rPr>
                <w:bCs/>
                <w:color w:val="002060"/>
                <w:sz w:val="16"/>
                <w:szCs w:val="16"/>
              </w:rPr>
            </w:pPr>
            <w:r w:rsidRPr="00DE096C">
              <w:rPr>
                <w:bCs/>
                <w:color w:val="002060"/>
                <w:sz w:val="16"/>
                <w:szCs w:val="16"/>
              </w:rPr>
              <w:t>303,4</w:t>
            </w:r>
          </w:p>
        </w:tc>
        <w:tc>
          <w:tcPr>
            <w:tcW w:w="887" w:type="dxa"/>
          </w:tcPr>
          <w:p w14:paraId="6C011383" w14:textId="77777777" w:rsidR="00B67D7C" w:rsidRPr="00DE096C" w:rsidRDefault="00B67D7C" w:rsidP="00D45A46">
            <w:pPr>
              <w:jc w:val="both"/>
              <w:rPr>
                <w:bCs/>
                <w:color w:val="002060"/>
                <w:sz w:val="16"/>
                <w:szCs w:val="16"/>
              </w:rPr>
            </w:pPr>
            <w:r w:rsidRPr="00DE096C">
              <w:rPr>
                <w:bCs/>
                <w:color w:val="002060"/>
                <w:sz w:val="16"/>
                <w:szCs w:val="16"/>
              </w:rPr>
              <w:t>5.568</w:t>
            </w:r>
          </w:p>
        </w:tc>
        <w:tc>
          <w:tcPr>
            <w:tcW w:w="923" w:type="dxa"/>
          </w:tcPr>
          <w:p w14:paraId="005678E9" w14:textId="77777777" w:rsidR="00B67D7C" w:rsidRPr="00DE096C" w:rsidRDefault="00B67D7C" w:rsidP="00D45A46">
            <w:pPr>
              <w:jc w:val="both"/>
              <w:rPr>
                <w:bCs/>
                <w:color w:val="002060"/>
                <w:sz w:val="16"/>
                <w:szCs w:val="16"/>
              </w:rPr>
            </w:pPr>
            <w:r w:rsidRPr="00DE096C">
              <w:rPr>
                <w:bCs/>
                <w:color w:val="002060"/>
                <w:sz w:val="16"/>
                <w:szCs w:val="16"/>
              </w:rPr>
              <w:t>6.798</w:t>
            </w:r>
          </w:p>
        </w:tc>
        <w:tc>
          <w:tcPr>
            <w:tcW w:w="828" w:type="dxa"/>
          </w:tcPr>
          <w:p w14:paraId="106940EA" w14:textId="77777777" w:rsidR="00B67D7C" w:rsidRPr="00DE096C" w:rsidRDefault="00B67D7C" w:rsidP="00D45A46">
            <w:pPr>
              <w:jc w:val="both"/>
              <w:rPr>
                <w:bCs/>
                <w:color w:val="002060"/>
                <w:sz w:val="16"/>
                <w:szCs w:val="16"/>
              </w:rPr>
            </w:pPr>
            <w:r w:rsidRPr="00DE096C">
              <w:rPr>
                <w:bCs/>
                <w:color w:val="002060"/>
                <w:sz w:val="16"/>
                <w:szCs w:val="16"/>
              </w:rPr>
              <w:t>514</w:t>
            </w:r>
          </w:p>
        </w:tc>
      </w:tr>
      <w:tr w:rsidR="00B67D7C" w:rsidRPr="00DE096C" w14:paraId="25D74708" w14:textId="77777777" w:rsidTr="00C2024A">
        <w:tc>
          <w:tcPr>
            <w:tcW w:w="1836" w:type="dxa"/>
          </w:tcPr>
          <w:p w14:paraId="69218CD6" w14:textId="77777777" w:rsidR="00B67D7C" w:rsidRPr="00DE096C" w:rsidRDefault="00B67D7C" w:rsidP="00D45A46">
            <w:pPr>
              <w:jc w:val="both"/>
              <w:rPr>
                <w:bCs/>
                <w:color w:val="002060"/>
                <w:sz w:val="16"/>
                <w:szCs w:val="16"/>
              </w:rPr>
            </w:pPr>
            <w:r w:rsidRPr="00DE096C">
              <w:rPr>
                <w:bCs/>
                <w:color w:val="002060"/>
                <w:sz w:val="16"/>
                <w:szCs w:val="16"/>
              </w:rPr>
              <w:t>1917 г.</w:t>
            </w:r>
          </w:p>
        </w:tc>
        <w:tc>
          <w:tcPr>
            <w:tcW w:w="1121" w:type="dxa"/>
          </w:tcPr>
          <w:p w14:paraId="4724CEA0" w14:textId="77777777" w:rsidR="00B67D7C" w:rsidRPr="00DE096C" w:rsidRDefault="00B67D7C" w:rsidP="00D45A46">
            <w:pPr>
              <w:jc w:val="both"/>
              <w:rPr>
                <w:bCs/>
                <w:color w:val="002060"/>
                <w:sz w:val="16"/>
                <w:szCs w:val="16"/>
              </w:rPr>
            </w:pPr>
            <w:r w:rsidRPr="00DE096C">
              <w:rPr>
                <w:bCs/>
                <w:color w:val="002060"/>
                <w:sz w:val="16"/>
                <w:szCs w:val="16"/>
              </w:rPr>
              <w:t>312,9</w:t>
            </w:r>
          </w:p>
        </w:tc>
        <w:tc>
          <w:tcPr>
            <w:tcW w:w="887" w:type="dxa"/>
          </w:tcPr>
          <w:p w14:paraId="6A17A4A4" w14:textId="77777777" w:rsidR="00B67D7C" w:rsidRPr="00DE096C" w:rsidRDefault="00B67D7C" w:rsidP="00D45A46">
            <w:pPr>
              <w:jc w:val="both"/>
              <w:rPr>
                <w:bCs/>
                <w:color w:val="002060"/>
                <w:sz w:val="16"/>
                <w:szCs w:val="16"/>
              </w:rPr>
            </w:pPr>
            <w:r w:rsidRPr="00DE096C">
              <w:rPr>
                <w:bCs/>
                <w:color w:val="002060"/>
                <w:sz w:val="16"/>
                <w:szCs w:val="16"/>
              </w:rPr>
              <w:t>3.369</w:t>
            </w:r>
          </w:p>
        </w:tc>
        <w:tc>
          <w:tcPr>
            <w:tcW w:w="923" w:type="dxa"/>
          </w:tcPr>
          <w:p w14:paraId="28142396" w14:textId="77777777" w:rsidR="00B67D7C" w:rsidRPr="00DE096C" w:rsidRDefault="00B67D7C" w:rsidP="00D45A46">
            <w:pPr>
              <w:jc w:val="both"/>
              <w:rPr>
                <w:bCs/>
                <w:color w:val="002060"/>
                <w:sz w:val="16"/>
                <w:szCs w:val="16"/>
              </w:rPr>
            </w:pPr>
            <w:r w:rsidRPr="00DE096C">
              <w:rPr>
                <w:bCs/>
                <w:color w:val="002060"/>
                <w:sz w:val="16"/>
                <w:szCs w:val="16"/>
              </w:rPr>
              <w:t>4.508</w:t>
            </w:r>
          </w:p>
        </w:tc>
        <w:tc>
          <w:tcPr>
            <w:tcW w:w="828" w:type="dxa"/>
          </w:tcPr>
          <w:p w14:paraId="27A5FC92" w14:textId="77777777" w:rsidR="00B67D7C" w:rsidRPr="00DE096C" w:rsidRDefault="00B67D7C" w:rsidP="00D45A46">
            <w:pPr>
              <w:jc w:val="both"/>
              <w:rPr>
                <w:bCs/>
                <w:color w:val="002060"/>
                <w:sz w:val="16"/>
                <w:szCs w:val="16"/>
              </w:rPr>
            </w:pPr>
            <w:r w:rsidRPr="00DE096C">
              <w:rPr>
                <w:bCs/>
                <w:color w:val="002060"/>
                <w:sz w:val="16"/>
                <w:szCs w:val="16"/>
              </w:rPr>
              <w:t>148</w:t>
            </w:r>
          </w:p>
        </w:tc>
      </w:tr>
    </w:tbl>
    <w:p w14:paraId="4ECCB727"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(11329).</w:t>
      </w:r>
    </w:p>
    <w:p w14:paraId="1E9B2451" w14:textId="77777777" w:rsidR="00B67D7C" w:rsidRPr="00DE096C" w:rsidRDefault="00B67D7C" w:rsidP="00D45A46">
      <w:pPr>
        <w:shd w:val="clear" w:color="auto" w:fill="FFFFFF"/>
        <w:jc w:val="both"/>
        <w:rPr>
          <w:bCs/>
          <w:i/>
          <w:color w:val="002060"/>
          <w:sz w:val="16"/>
          <w:szCs w:val="16"/>
        </w:rPr>
      </w:pPr>
    </w:p>
    <w:p w14:paraId="40CD0667"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Наконец, уже с конца 1914 г. ГАУ должно было изыскивать меры к устранению серьезных затруднений, испытывае-мых заводами, работающими на боевое снабжение, от недостатка рабочих-специалистов, станков, материалов и топлива (11483).</w:t>
      </w:r>
    </w:p>
    <w:p w14:paraId="147B6221" w14:textId="77777777" w:rsidR="00B67D7C" w:rsidRPr="00DE096C" w:rsidRDefault="00B67D7C" w:rsidP="00D45A46">
      <w:pPr>
        <w:pStyle w:val="a3"/>
        <w:jc w:val="both"/>
        <w:rPr>
          <w:bCs/>
          <w:i w:val="0"/>
          <w:color w:val="002060"/>
          <w:spacing w:val="0"/>
          <w:kern w:val="0"/>
          <w:position w:val="0"/>
          <w:sz w:val="16"/>
          <w:szCs w:val="16"/>
        </w:rPr>
      </w:pPr>
    </w:p>
    <w:p w14:paraId="5C70551E" w14:textId="77777777" w:rsidR="00B67D7C" w:rsidRPr="00DE096C" w:rsidRDefault="00B67D7C" w:rsidP="00D45A46">
      <w:pPr>
        <w:autoSpaceDE/>
        <w:autoSpaceDN/>
        <w:adjustRightInd/>
        <w:jc w:val="both"/>
        <w:rPr>
          <w:bCs/>
          <w:color w:val="002060"/>
          <w:sz w:val="16"/>
          <w:szCs w:val="16"/>
        </w:rPr>
      </w:pPr>
      <w:r w:rsidRPr="00DE096C">
        <w:rPr>
          <w:bCs/>
          <w:color w:val="002060"/>
          <w:sz w:val="16"/>
          <w:szCs w:val="16"/>
        </w:rPr>
        <w:t>В конце 1914 г. капитан Рдултовский спроектировал миномет, телом которого был ствол от 8-линейного (20,3-мм) крепостного ружья барона Гана, принятого на вооружение в 1877 г. При этом ствол ружья был укорочен до 305 мм. Стрельба велась надкалиберной миной, имевшей хвостовик (стержень, шомпол). Хвостовик вставлялся с дула в ствол миномета.</w:t>
      </w:r>
    </w:p>
    <w:p w14:paraId="5C7E4487" w14:textId="77777777" w:rsidR="00B67D7C" w:rsidRPr="00DE096C" w:rsidRDefault="00B67D7C" w:rsidP="00D45A46">
      <w:pPr>
        <w:autoSpaceDE/>
        <w:autoSpaceDN/>
        <w:adjustRightInd/>
        <w:jc w:val="both"/>
        <w:rPr>
          <w:bCs/>
          <w:color w:val="002060"/>
          <w:sz w:val="16"/>
          <w:szCs w:val="16"/>
        </w:rPr>
      </w:pPr>
      <w:r w:rsidRPr="00DE096C">
        <w:rPr>
          <w:bCs/>
          <w:color w:val="002060"/>
          <w:sz w:val="16"/>
          <w:szCs w:val="16"/>
        </w:rPr>
        <w:lastRenderedPageBreak/>
        <w:t>Гильза и мешочек с порохом помещались в ствол с казенной части с помощью откидного затвора системы Крнка. Схема миномета глухая. Железный двухстанинный станок жестко крепился к деревянному основанию. Угол вертикального наведения — от 0° до 60°. Стрельба велась с платформы, установленной на грунте. Вес миномета в боевом положении — 32,8 кг. Для перевозки миномета на ось, связанную с платформой, надевались деревянные колеса.</w:t>
      </w:r>
    </w:p>
    <w:p w14:paraId="7317C6B5" w14:textId="77777777" w:rsidR="00B67D7C" w:rsidRPr="00DE096C" w:rsidRDefault="00B67D7C" w:rsidP="00D45A46">
      <w:pPr>
        <w:autoSpaceDE/>
        <w:autoSpaceDN/>
        <w:adjustRightInd/>
        <w:jc w:val="both"/>
        <w:rPr>
          <w:bCs/>
          <w:color w:val="002060"/>
          <w:sz w:val="16"/>
          <w:szCs w:val="16"/>
        </w:rPr>
      </w:pPr>
      <w:r w:rsidRPr="00DE096C">
        <w:rPr>
          <w:bCs/>
          <w:color w:val="002060"/>
          <w:sz w:val="16"/>
          <w:szCs w:val="16"/>
        </w:rPr>
        <w:t>Стрельба производилась надкалиберными шаровой и цилиндро-конической минами. Шаровая мина весила 2,56 кг и содержала 256 г бездымного пороха. С 1 февраля 1916 г. он был заменен аммоналом. При взрыве мины образовывалось 300 осколков.</w:t>
      </w:r>
    </w:p>
    <w:p w14:paraId="722EFB85" w14:textId="77777777" w:rsidR="00B67D7C" w:rsidRPr="00DE096C" w:rsidRDefault="00B67D7C" w:rsidP="00D45A46">
      <w:pPr>
        <w:autoSpaceDE/>
        <w:autoSpaceDN/>
        <w:adjustRightInd/>
        <w:jc w:val="both"/>
        <w:rPr>
          <w:bCs/>
          <w:color w:val="002060"/>
          <w:sz w:val="16"/>
          <w:szCs w:val="16"/>
        </w:rPr>
      </w:pPr>
      <w:r w:rsidRPr="00DE096C">
        <w:rPr>
          <w:bCs/>
          <w:color w:val="002060"/>
          <w:sz w:val="16"/>
          <w:szCs w:val="16"/>
        </w:rPr>
        <w:t>В конце 1915 г. была принята на вооружение цилиндроконическая мина. Она весила 2,46 кг и содержала 170 г тротила. Начальная скорость мины — около 61 м/с. Дальность стрельбы — до 350 шагов (250 м).</w:t>
      </w:r>
    </w:p>
    <w:p w14:paraId="0F742191" w14:textId="77777777" w:rsidR="00B67D7C" w:rsidRPr="00DE096C" w:rsidRDefault="00B67D7C" w:rsidP="00D45A46">
      <w:pPr>
        <w:autoSpaceDE/>
        <w:autoSpaceDN/>
        <w:adjustRightInd/>
        <w:jc w:val="both"/>
        <w:rPr>
          <w:bCs/>
          <w:color w:val="002060"/>
          <w:sz w:val="16"/>
          <w:szCs w:val="16"/>
        </w:rPr>
      </w:pPr>
      <w:r w:rsidRPr="00DE096C">
        <w:rPr>
          <w:bCs/>
          <w:color w:val="002060"/>
          <w:sz w:val="16"/>
          <w:szCs w:val="16"/>
        </w:rPr>
        <w:t>В ряде документов 8-линейный миномет Рдултовского именуется 20-мм мортиркой Рдултовского.</w:t>
      </w:r>
    </w:p>
    <w:p w14:paraId="75388214" w14:textId="77777777" w:rsidR="00B67D7C" w:rsidRPr="00DE096C" w:rsidRDefault="00B67D7C" w:rsidP="00D45A46">
      <w:pPr>
        <w:autoSpaceDE/>
        <w:autoSpaceDN/>
        <w:adjustRightInd/>
        <w:jc w:val="both"/>
        <w:rPr>
          <w:bCs/>
          <w:color w:val="002060"/>
          <w:sz w:val="16"/>
          <w:szCs w:val="16"/>
        </w:rPr>
      </w:pPr>
      <w:r w:rsidRPr="00DE096C">
        <w:rPr>
          <w:bCs/>
          <w:color w:val="002060"/>
          <w:sz w:val="16"/>
          <w:szCs w:val="16"/>
        </w:rPr>
        <w:t>Довольно широкое распространение получил миномет, спроектированный капитаном Е. А. Лихониным. Первый 47-мм миномет Лихонина был испытан 22 мая 1915 г. В том же году было изготовлено 154 47-мм миномета Лихонина, в 1916 г. — 500 и в 1917 г. — 113 минометов. Всего на заводе было изготовлено 767 47-мм минометов Лихонина.</w:t>
      </w:r>
    </w:p>
    <w:p w14:paraId="13E32145" w14:textId="77777777" w:rsidR="00B67D7C" w:rsidRPr="00DE096C" w:rsidRDefault="00B67D7C" w:rsidP="00D45A46">
      <w:pPr>
        <w:autoSpaceDE/>
        <w:autoSpaceDN/>
        <w:adjustRightInd/>
        <w:jc w:val="both"/>
        <w:rPr>
          <w:bCs/>
          <w:color w:val="002060"/>
          <w:sz w:val="16"/>
          <w:szCs w:val="16"/>
        </w:rPr>
      </w:pPr>
      <w:r w:rsidRPr="00DE096C">
        <w:rPr>
          <w:bCs/>
          <w:color w:val="002060"/>
          <w:sz w:val="16"/>
          <w:szCs w:val="16"/>
        </w:rPr>
        <w:t>Миномет состоял из тела миномета, замка, лафета с сектором, отвеса и угломера. Ствол имел гладкий канал для помещения хвоста снаряда, камору для помещения гильзы с зарядом и нарезную часть для помещения замка. Ствол стальной. Заодно со стволом откованы цапфы.</w:t>
      </w:r>
    </w:p>
    <w:p w14:paraId="0B800C0B" w14:textId="77777777" w:rsidR="00B67D7C" w:rsidRPr="00DE096C" w:rsidRDefault="00B67D7C" w:rsidP="00D45A46">
      <w:pPr>
        <w:autoSpaceDE/>
        <w:autoSpaceDN/>
        <w:adjustRightInd/>
        <w:jc w:val="both"/>
        <w:rPr>
          <w:bCs/>
          <w:color w:val="002060"/>
          <w:sz w:val="16"/>
          <w:szCs w:val="16"/>
        </w:rPr>
      </w:pPr>
      <w:r w:rsidRPr="00DE096C">
        <w:rPr>
          <w:bCs/>
          <w:color w:val="002060"/>
          <w:sz w:val="16"/>
          <w:szCs w:val="16"/>
        </w:rPr>
        <w:t>Заряжание миномета производилось следующим образом: заряжающий открывал замок, закладывал гильзу с зарядом в камору, опускал за ручку замок в нарезную часть ствола орудия и поворачивал по часовой стрелке до отказа. Далее хвост (шомпол) мины опускали в дульную часть ствола. Перед выстрелом заряжающий оттягивал спуск курка, затем откидывал предохранитель и дергал за шнур, приделанный к хвосту курка.</w:t>
      </w:r>
    </w:p>
    <w:p w14:paraId="4A5AA968" w14:textId="77777777" w:rsidR="00B67D7C" w:rsidRPr="00DE096C" w:rsidRDefault="00B67D7C" w:rsidP="00D45A46">
      <w:pPr>
        <w:autoSpaceDE/>
        <w:autoSpaceDN/>
        <w:adjustRightInd/>
        <w:jc w:val="both"/>
        <w:rPr>
          <w:bCs/>
          <w:color w:val="002060"/>
          <w:sz w:val="16"/>
          <w:szCs w:val="16"/>
        </w:rPr>
      </w:pPr>
      <w:r w:rsidRPr="00DE096C">
        <w:rPr>
          <w:bCs/>
          <w:color w:val="002060"/>
          <w:sz w:val="16"/>
          <w:szCs w:val="16"/>
        </w:rPr>
        <w:t>Механизм вертикального наведения конструктивно обеспечивал угол возвышения от 0° до +70°, но при углах, меньших +35°, стрелять не рекомендовалось, так как возможно было опрокидывание лафета.</w:t>
      </w:r>
    </w:p>
    <w:p w14:paraId="1321E974" w14:textId="77777777" w:rsidR="00B67D7C" w:rsidRPr="00DE096C" w:rsidRDefault="00B67D7C" w:rsidP="00D45A46">
      <w:pPr>
        <w:autoSpaceDE/>
        <w:autoSpaceDN/>
        <w:adjustRightInd/>
        <w:jc w:val="both"/>
        <w:rPr>
          <w:bCs/>
          <w:color w:val="002060"/>
          <w:sz w:val="16"/>
          <w:szCs w:val="16"/>
        </w:rPr>
      </w:pPr>
      <w:r w:rsidRPr="00DE096C">
        <w:rPr>
          <w:bCs/>
          <w:color w:val="002060"/>
          <w:sz w:val="16"/>
          <w:szCs w:val="16"/>
        </w:rPr>
        <w:t>Для стрельбы из миномета необходимо три номера расчета, для подноски мин — еще три.</w:t>
      </w:r>
    </w:p>
    <w:p w14:paraId="1705C57C" w14:textId="77777777" w:rsidR="00B67D7C" w:rsidRPr="00DE096C" w:rsidRDefault="00B67D7C" w:rsidP="00D45A46">
      <w:pPr>
        <w:autoSpaceDE/>
        <w:autoSpaceDN/>
        <w:adjustRightInd/>
        <w:jc w:val="both"/>
        <w:rPr>
          <w:bCs/>
          <w:color w:val="002060"/>
          <w:sz w:val="16"/>
          <w:szCs w:val="16"/>
        </w:rPr>
      </w:pPr>
      <w:r w:rsidRPr="00DE096C">
        <w:rPr>
          <w:bCs/>
          <w:color w:val="002060"/>
          <w:sz w:val="16"/>
          <w:szCs w:val="16"/>
        </w:rPr>
        <w:t>На поле боя миномет перевозился одним или двумя номерами расчета. Для перевозки служил колесный ход, состоящий из двух колес, одетых на стальную ось. Для удобства возки миномета в лафет вставлялось железное правило с рукояткой. Миномет можно переносить и вручную четырьмя номерами, для чего в скобы вставлялись палки. Вес миномета в боевом положении 90,1–99 кг.</w:t>
      </w:r>
    </w:p>
    <w:p w14:paraId="5375DE51" w14:textId="77777777" w:rsidR="00B67D7C" w:rsidRPr="00DE096C" w:rsidRDefault="00B67D7C" w:rsidP="00D45A46">
      <w:pPr>
        <w:autoSpaceDE/>
        <w:autoSpaceDN/>
        <w:adjustRightInd/>
        <w:jc w:val="both"/>
        <w:rPr>
          <w:bCs/>
          <w:color w:val="002060"/>
          <w:sz w:val="16"/>
          <w:szCs w:val="16"/>
        </w:rPr>
      </w:pPr>
      <w:r w:rsidRPr="00DE096C">
        <w:rPr>
          <w:bCs/>
          <w:color w:val="002060"/>
          <w:sz w:val="16"/>
          <w:szCs w:val="16"/>
        </w:rPr>
        <w:t>Миномет на земле крепился железным колом, забиваемым через отверстие в основании лафета.</w:t>
      </w:r>
    </w:p>
    <w:p w14:paraId="6BDEB313" w14:textId="77777777" w:rsidR="00B67D7C" w:rsidRPr="00DE096C" w:rsidRDefault="00B67D7C" w:rsidP="00D45A46">
      <w:pPr>
        <w:autoSpaceDE/>
        <w:autoSpaceDN/>
        <w:adjustRightInd/>
        <w:jc w:val="both"/>
        <w:rPr>
          <w:bCs/>
          <w:color w:val="002060"/>
          <w:sz w:val="16"/>
          <w:szCs w:val="16"/>
        </w:rPr>
      </w:pPr>
      <w:r w:rsidRPr="00DE096C">
        <w:rPr>
          <w:bCs/>
          <w:color w:val="002060"/>
          <w:sz w:val="16"/>
          <w:szCs w:val="16"/>
        </w:rPr>
        <w:t>Скорострельность миномета — до 4 выстрелов в минуту.</w:t>
      </w:r>
    </w:p>
    <w:p w14:paraId="5988BE16" w14:textId="77777777" w:rsidR="00B67D7C" w:rsidRPr="00DE096C" w:rsidRDefault="00B67D7C" w:rsidP="00D45A46">
      <w:pPr>
        <w:autoSpaceDE/>
        <w:autoSpaceDN/>
        <w:adjustRightInd/>
        <w:jc w:val="both"/>
        <w:rPr>
          <w:bCs/>
          <w:color w:val="002060"/>
          <w:sz w:val="16"/>
          <w:szCs w:val="16"/>
        </w:rPr>
      </w:pPr>
      <w:r w:rsidRPr="00DE096C">
        <w:rPr>
          <w:bCs/>
          <w:color w:val="002060"/>
          <w:sz w:val="16"/>
          <w:szCs w:val="16"/>
        </w:rPr>
        <w:t>В боекомплект миномета входило три типа надкалиберных мин. Чаще всего использовались 180-мм фугасные мины с железным сварным корпусом. На дне имелось отверстие для ввинчивания хвоста, к которому приклепаны четыре железных крыла стабилизатора. Вес мины — 21–23 кг (с шомполом), длина — 914 мм. Мина снаряжена 9,4 кг аммонала. Взрыватель — ударная трубка обр. 1884 года или 13ГТ. При начальной скорости 60 м/с максимальная дальность стрельбы 180-мм сварной миной составляла 320 м.</w:t>
      </w:r>
    </w:p>
    <w:p w14:paraId="6DF13844" w14:textId="77777777" w:rsidR="00B67D7C" w:rsidRPr="00DE096C" w:rsidRDefault="00B67D7C" w:rsidP="00D45A46">
      <w:pPr>
        <w:autoSpaceDE/>
        <w:autoSpaceDN/>
        <w:adjustRightInd/>
        <w:jc w:val="both"/>
        <w:rPr>
          <w:bCs/>
          <w:color w:val="002060"/>
          <w:sz w:val="16"/>
          <w:szCs w:val="16"/>
        </w:rPr>
      </w:pPr>
      <w:r w:rsidRPr="00DE096C">
        <w:rPr>
          <w:bCs/>
          <w:color w:val="002060"/>
          <w:sz w:val="16"/>
          <w:szCs w:val="16"/>
        </w:rPr>
        <w:t>Также использовалась чугунная мина весом 10,65 кг (с шомполом), содержавшая 205 г тротила. Дальность стрельбы миной составляла 170 м.</w:t>
      </w:r>
    </w:p>
    <w:p w14:paraId="5A088695" w14:textId="77777777" w:rsidR="00B67D7C" w:rsidRPr="00DE096C" w:rsidRDefault="00B67D7C" w:rsidP="00D45A46">
      <w:pPr>
        <w:autoSpaceDE/>
        <w:autoSpaceDN/>
        <w:adjustRightInd/>
        <w:jc w:val="both"/>
        <w:rPr>
          <w:bCs/>
          <w:color w:val="002060"/>
          <w:sz w:val="16"/>
          <w:szCs w:val="16"/>
        </w:rPr>
      </w:pPr>
      <w:r w:rsidRPr="00DE096C">
        <w:rPr>
          <w:bCs/>
          <w:color w:val="002060"/>
          <w:sz w:val="16"/>
          <w:szCs w:val="16"/>
        </w:rPr>
        <w:t>В начале 1915 г. в Россию из Франции было поставлено несколько десятков 58-мм французских минометов № 2 системы Дюмезиля. В 1915 г. 58-мм французский миномет типа Дюмезиль № 2 был модернизирован капитаном Е. А. Лихониным и в том же году запущен в серийное производство. В России было развернуто массовое производство таких минометов на Петроградском орудийном, Невском и Ижорском заводах. Затри года (1915–1917 гг.) был изготовлен 3421 миномет (по другим источникам — 3418) типа ФР (франко-русский).</w:t>
      </w:r>
    </w:p>
    <w:p w14:paraId="141FE1F7" w14:textId="77777777" w:rsidR="00B67D7C" w:rsidRPr="00DE096C" w:rsidRDefault="00B67D7C" w:rsidP="00D45A46">
      <w:pPr>
        <w:autoSpaceDE/>
        <w:autoSpaceDN/>
        <w:adjustRightInd/>
        <w:jc w:val="both"/>
        <w:rPr>
          <w:bCs/>
          <w:color w:val="002060"/>
          <w:sz w:val="16"/>
          <w:szCs w:val="16"/>
        </w:rPr>
      </w:pPr>
      <w:r w:rsidRPr="00DE096C">
        <w:rPr>
          <w:bCs/>
          <w:color w:val="002060"/>
          <w:sz w:val="16"/>
          <w:szCs w:val="16"/>
        </w:rPr>
        <w:t>На вооружении Красной Армии 58-мм минометы Дюмезиля отечественного и французского производств состояли до 1930 г. (рис. 10.3).</w:t>
      </w:r>
    </w:p>
    <w:p w14:paraId="262C806C" w14:textId="77777777" w:rsidR="00B67D7C" w:rsidRPr="00DE096C" w:rsidRDefault="00B67D7C" w:rsidP="00D45A46">
      <w:pPr>
        <w:autoSpaceDE/>
        <w:autoSpaceDN/>
        <w:adjustRightInd/>
        <w:jc w:val="both"/>
        <w:rPr>
          <w:bCs/>
          <w:color w:val="002060"/>
          <w:sz w:val="16"/>
          <w:szCs w:val="16"/>
        </w:rPr>
      </w:pPr>
      <w:r w:rsidRPr="00DE096C">
        <w:rPr>
          <w:bCs/>
          <w:color w:val="002060"/>
          <w:sz w:val="16"/>
          <w:szCs w:val="16"/>
        </w:rPr>
        <w:t>Рис. 10.3. 58-мм миномет типа ФР на деревянном основании и его мина.</w:t>
      </w:r>
    </w:p>
    <w:p w14:paraId="144771D9" w14:textId="77777777" w:rsidR="00B67D7C" w:rsidRPr="00DE096C" w:rsidRDefault="00B67D7C" w:rsidP="00D45A46">
      <w:pPr>
        <w:autoSpaceDE/>
        <w:autoSpaceDN/>
        <w:adjustRightInd/>
        <w:jc w:val="both"/>
        <w:rPr>
          <w:bCs/>
          <w:color w:val="002060"/>
          <w:sz w:val="16"/>
          <w:szCs w:val="16"/>
        </w:rPr>
      </w:pPr>
      <w:r w:rsidRPr="00DE096C">
        <w:rPr>
          <w:bCs/>
          <w:color w:val="002060"/>
          <w:sz w:val="16"/>
          <w:szCs w:val="16"/>
        </w:rPr>
        <w:t>9-см миномет Г.-Р. (германо-русский) представлял собой трофейный германский 9-см легкий миномет. В 1915 г. он был лишь слегка модернизирован генералом М. Ф. Розенбергом и запущен в серийное производство. В 1915–1917 гг. в России было изготовлено 12 519 минометов Г.-Р.</w:t>
      </w:r>
    </w:p>
    <w:p w14:paraId="13E757AB" w14:textId="77777777" w:rsidR="00B67D7C" w:rsidRPr="00DE096C" w:rsidRDefault="00B67D7C" w:rsidP="00D45A46">
      <w:pPr>
        <w:autoSpaceDE/>
        <w:autoSpaceDN/>
        <w:adjustRightInd/>
        <w:jc w:val="both"/>
        <w:rPr>
          <w:bCs/>
          <w:color w:val="002060"/>
          <w:sz w:val="16"/>
          <w:szCs w:val="16"/>
        </w:rPr>
      </w:pPr>
      <w:r w:rsidRPr="00DE096C">
        <w:rPr>
          <w:bCs/>
          <w:color w:val="002060"/>
          <w:sz w:val="16"/>
          <w:szCs w:val="16"/>
        </w:rPr>
        <w:t>Тело миномета представляло собой стальную гладкую трубу с цапфенным кольцом. Длина трубы — 620 мм. Сзади на трубу надет в горячем состоянии казенник с поршневым затвором.</w:t>
      </w:r>
    </w:p>
    <w:p w14:paraId="2D1AF9B0" w14:textId="77777777" w:rsidR="00B67D7C" w:rsidRPr="00DE096C" w:rsidRDefault="00B67D7C" w:rsidP="00D45A46">
      <w:pPr>
        <w:autoSpaceDE/>
        <w:autoSpaceDN/>
        <w:adjustRightInd/>
        <w:jc w:val="both"/>
        <w:rPr>
          <w:bCs/>
          <w:color w:val="002060"/>
          <w:sz w:val="16"/>
          <w:szCs w:val="16"/>
        </w:rPr>
      </w:pPr>
      <w:r w:rsidRPr="00DE096C">
        <w:rPr>
          <w:bCs/>
          <w:color w:val="002060"/>
          <w:sz w:val="16"/>
          <w:szCs w:val="16"/>
        </w:rPr>
        <w:t>Станок состоял из передних и задних железных ног, соединенных между собой у цапф, а также в середине сцепленных тягой. Угол возвышения от 0° до 60° придавался стволу с помощью градусной дуги, прикрепленной к правой цапфе.</w:t>
      </w:r>
    </w:p>
    <w:p w14:paraId="7EE9A21C" w14:textId="77777777" w:rsidR="00B67D7C" w:rsidRPr="00DE096C" w:rsidRDefault="00B67D7C" w:rsidP="00D45A46">
      <w:pPr>
        <w:autoSpaceDE/>
        <w:autoSpaceDN/>
        <w:adjustRightInd/>
        <w:jc w:val="both"/>
        <w:rPr>
          <w:bCs/>
          <w:color w:val="002060"/>
          <w:sz w:val="16"/>
          <w:szCs w:val="16"/>
        </w:rPr>
      </w:pPr>
      <w:r w:rsidRPr="00DE096C">
        <w:rPr>
          <w:bCs/>
          <w:color w:val="002060"/>
          <w:sz w:val="16"/>
          <w:szCs w:val="16"/>
        </w:rPr>
        <w:t>Платформа деревянная. В задней части ее имелся стальной сошник. В передней части платформы имелся шворень, с помощью которого производилось горизонтирование миномета. Вес платформы с угломером и шпильками — 24,6 кг. Вес системы в боевом положении — 70,4 кг.</w:t>
      </w:r>
    </w:p>
    <w:p w14:paraId="63FD0FD2" w14:textId="77777777" w:rsidR="00B67D7C" w:rsidRPr="00DE096C" w:rsidRDefault="00B67D7C" w:rsidP="00D45A46">
      <w:pPr>
        <w:autoSpaceDE/>
        <w:autoSpaceDN/>
        <w:adjustRightInd/>
        <w:jc w:val="both"/>
        <w:rPr>
          <w:bCs/>
          <w:color w:val="002060"/>
          <w:sz w:val="16"/>
          <w:szCs w:val="16"/>
        </w:rPr>
      </w:pPr>
      <w:r w:rsidRPr="00DE096C">
        <w:rPr>
          <w:bCs/>
          <w:color w:val="002060"/>
          <w:sz w:val="16"/>
          <w:szCs w:val="16"/>
        </w:rPr>
        <w:t>При переходе в походное положение миномет снимался с деревянной платформы и устанавливался на железные колеса. Платформа же перевозилась отдельно.</w:t>
      </w:r>
    </w:p>
    <w:p w14:paraId="7E54CAAB" w14:textId="77777777" w:rsidR="00B67D7C" w:rsidRPr="00DE096C" w:rsidRDefault="00B67D7C" w:rsidP="00D45A46">
      <w:pPr>
        <w:autoSpaceDE/>
        <w:autoSpaceDN/>
        <w:adjustRightInd/>
        <w:jc w:val="both"/>
        <w:rPr>
          <w:bCs/>
          <w:color w:val="002060"/>
          <w:sz w:val="16"/>
          <w:szCs w:val="16"/>
        </w:rPr>
      </w:pPr>
      <w:r w:rsidRPr="00DE096C">
        <w:rPr>
          <w:bCs/>
          <w:color w:val="002060"/>
          <w:sz w:val="16"/>
          <w:szCs w:val="16"/>
        </w:rPr>
        <w:t>Вес мины — 3,3 кг, длина — 152 мм. Мина снаряжалась 0,72 кг аммонала. При заряде 55,5 г артиллерийского или 46,5 г ружейного пороха начальная скорость мины составляла 101 м/с, а дальность — 700 шагов (около 500 м).</w:t>
      </w:r>
    </w:p>
    <w:p w14:paraId="15F00B18" w14:textId="77777777" w:rsidR="00B67D7C" w:rsidRPr="00DE096C" w:rsidRDefault="00B67D7C" w:rsidP="00D45A46">
      <w:pPr>
        <w:autoSpaceDE/>
        <w:autoSpaceDN/>
        <w:adjustRightInd/>
        <w:jc w:val="both"/>
        <w:rPr>
          <w:bCs/>
          <w:color w:val="002060"/>
          <w:sz w:val="16"/>
          <w:szCs w:val="16"/>
        </w:rPr>
      </w:pPr>
      <w:r w:rsidRPr="00DE096C">
        <w:rPr>
          <w:bCs/>
          <w:color w:val="002060"/>
          <w:sz w:val="16"/>
          <w:szCs w:val="16"/>
        </w:rPr>
        <w:t>Кроме того, в боекомплект входила осветительная парашютная мина системы Усика и Кривоносова весом 1,43 кг.</w:t>
      </w:r>
    </w:p>
    <w:p w14:paraId="34E64CB2" w14:textId="77777777" w:rsidR="00B67D7C" w:rsidRPr="00DE096C" w:rsidRDefault="00B67D7C" w:rsidP="00D45A46">
      <w:pPr>
        <w:autoSpaceDE/>
        <w:autoSpaceDN/>
        <w:adjustRightInd/>
        <w:jc w:val="both"/>
        <w:rPr>
          <w:bCs/>
          <w:color w:val="002060"/>
          <w:sz w:val="16"/>
          <w:szCs w:val="16"/>
        </w:rPr>
      </w:pPr>
      <w:r w:rsidRPr="00DE096C">
        <w:rPr>
          <w:bCs/>
          <w:color w:val="002060"/>
          <w:sz w:val="16"/>
          <w:szCs w:val="16"/>
        </w:rPr>
        <w:t>При заряде 102 г артиллерийского пороха дальность стрельбы осветительной мины была 600 шагов (427 м). Время освещения — 40–60 секунд. Парашют раскрывался на расстоянии до 600 шагов.</w:t>
      </w:r>
    </w:p>
    <w:p w14:paraId="02190C41" w14:textId="77777777" w:rsidR="00B67D7C" w:rsidRPr="00DE096C" w:rsidRDefault="00B67D7C" w:rsidP="00D45A46">
      <w:pPr>
        <w:autoSpaceDE/>
        <w:autoSpaceDN/>
        <w:adjustRightInd/>
        <w:jc w:val="both"/>
        <w:rPr>
          <w:bCs/>
          <w:color w:val="002060"/>
          <w:sz w:val="16"/>
          <w:szCs w:val="16"/>
        </w:rPr>
      </w:pPr>
      <w:r w:rsidRPr="00DE096C">
        <w:rPr>
          <w:bCs/>
          <w:color w:val="002060"/>
          <w:sz w:val="16"/>
          <w:szCs w:val="16"/>
        </w:rPr>
        <w:t>В начале 1915 г. полковник Стендер спроектировал миномет, тело которого представляло собой корпус 152-мм снаряда. Бракованные 152-мм морские бронебойные снаряды рассверливались изнутри до диаметра 127 мм. Стрельба велась 127-мм цилиндрическими минами, изготовленными из листового железа. Мина снаряжалась 6,1 кг тротила или отравляющим веществом. При метательном заряде 102 г черного пороха дальность стрельбы составляла 500 шагов (около 360 м). Заряжание производилось с дула. Сначала опускались мешочки с зарядом, затем — мина. В 1915 г. заводу Полякова было заказано 330 127-мм бомбометов.</w:t>
      </w:r>
    </w:p>
    <w:p w14:paraId="15F7C6F3" w14:textId="77777777" w:rsidR="00B67D7C" w:rsidRPr="00DE096C" w:rsidRDefault="00B67D7C" w:rsidP="00D45A46">
      <w:pPr>
        <w:autoSpaceDE/>
        <w:autoSpaceDN/>
        <w:adjustRightInd/>
        <w:jc w:val="both"/>
        <w:rPr>
          <w:bCs/>
          <w:color w:val="002060"/>
          <w:sz w:val="16"/>
          <w:szCs w:val="16"/>
        </w:rPr>
      </w:pPr>
      <w:r w:rsidRPr="00DE096C">
        <w:rPr>
          <w:bCs/>
          <w:color w:val="002060"/>
          <w:sz w:val="16"/>
          <w:szCs w:val="16"/>
        </w:rPr>
        <w:t>5 ноября 1914 г. войсками III Сибирского корпуса между озерами Булепо и Тиркало у немцев была захвачена 170-мм мортира завода Эрхардта обр. 1912 г. и один снаряд к ней. Мортиру доставили на Главный артиллерийский полигон, а 7 февраля 1915 г. было приказано эту мортиру доставить на Путиловский завод.</w:t>
      </w:r>
    </w:p>
    <w:p w14:paraId="5D9807A2" w14:textId="77777777" w:rsidR="00B67D7C" w:rsidRPr="00DE096C" w:rsidRDefault="00B67D7C" w:rsidP="00D45A46">
      <w:pPr>
        <w:autoSpaceDE/>
        <w:autoSpaceDN/>
        <w:adjustRightInd/>
        <w:jc w:val="both"/>
        <w:rPr>
          <w:bCs/>
          <w:color w:val="002060"/>
          <w:sz w:val="16"/>
          <w:szCs w:val="16"/>
        </w:rPr>
      </w:pPr>
      <w:r w:rsidRPr="00DE096C">
        <w:rPr>
          <w:bCs/>
          <w:color w:val="002060"/>
          <w:sz w:val="16"/>
          <w:szCs w:val="16"/>
        </w:rPr>
        <w:t>Завод попросил уменьшить калибр со 170 мм до 152 мм и ввести поворотный механизм по образцу спроектированной заводом опытной 48-линейной (122-мм) бомбометной мортиры, а также упростить платформу. Артиллерийский комитет ГАУ согласился с уменьшением калибра.</w:t>
      </w:r>
    </w:p>
    <w:p w14:paraId="2C69BAE7" w14:textId="77777777" w:rsidR="00B67D7C" w:rsidRPr="00DE096C" w:rsidRDefault="00B67D7C" w:rsidP="00D45A46">
      <w:pPr>
        <w:autoSpaceDE/>
        <w:autoSpaceDN/>
        <w:adjustRightInd/>
        <w:jc w:val="both"/>
        <w:rPr>
          <w:bCs/>
          <w:color w:val="002060"/>
          <w:sz w:val="16"/>
          <w:szCs w:val="16"/>
        </w:rPr>
      </w:pPr>
      <w:r w:rsidRPr="00DE096C">
        <w:rPr>
          <w:bCs/>
          <w:color w:val="002060"/>
          <w:sz w:val="16"/>
          <w:szCs w:val="16"/>
        </w:rPr>
        <w:t>Опытный образец 6-дюймовой мортиры был закончен Путиловским заводом в середине сентября 1915 г. С 1 июля по 22 октября 1915 г. он прошел испытания на ГАП. В ходе испытаний выявилась непрочность люльки, которая, деформируясь, заклинивала ствол мортиры. Зеркальный перископ к прицелу оказался неудобен, и завод предложил заменить его простой визирной трубкой. Было окончательно решено остановиться на трех нарезах крутизной 5°, как на 6-дюймовой мортире Металлического завода. Испытания на ГАТТ были возобновлены 22 октября 1915 г. (рис. 10.4).</w:t>
      </w:r>
    </w:p>
    <w:p w14:paraId="6F33FCB8" w14:textId="77777777" w:rsidR="00B67D7C" w:rsidRPr="00DE096C" w:rsidRDefault="00B67D7C" w:rsidP="00D45A46">
      <w:pPr>
        <w:autoSpaceDE/>
        <w:autoSpaceDN/>
        <w:adjustRightInd/>
        <w:jc w:val="both"/>
        <w:rPr>
          <w:bCs/>
          <w:color w:val="002060"/>
          <w:sz w:val="16"/>
          <w:szCs w:val="16"/>
        </w:rPr>
      </w:pPr>
      <w:r w:rsidRPr="00DE096C">
        <w:rPr>
          <w:bCs/>
          <w:color w:val="002060"/>
          <w:sz w:val="16"/>
          <w:szCs w:val="16"/>
        </w:rPr>
        <w:t>Рис. 10.4. 6-дюймовый (152-мм) миномет (мортира) Петроградского металлического завода. Стволу придан максимальный угол возвышения.</w:t>
      </w:r>
    </w:p>
    <w:p w14:paraId="3872FFA7" w14:textId="77777777" w:rsidR="00B67D7C" w:rsidRPr="00DE096C" w:rsidRDefault="00B67D7C" w:rsidP="00D45A46">
      <w:pPr>
        <w:autoSpaceDE/>
        <w:autoSpaceDN/>
        <w:adjustRightInd/>
        <w:jc w:val="both"/>
        <w:rPr>
          <w:bCs/>
          <w:color w:val="002060"/>
          <w:sz w:val="16"/>
          <w:szCs w:val="16"/>
        </w:rPr>
      </w:pPr>
      <w:r w:rsidRPr="00DE096C">
        <w:rPr>
          <w:bCs/>
          <w:color w:val="002060"/>
          <w:sz w:val="16"/>
          <w:szCs w:val="16"/>
        </w:rPr>
        <w:t>В 1915 г. Путиловскому заводу было заказано 60 6-дюймовых мортир Эрхардта (по цене 7314 руб. за мортиру) и 6000 снарядов к ним со сдачей в июне — декабре 1915 г. К 1 октября 1916 г. было готово 55 мортир и 5 находились в работе. В 1917 г. эти мортиры уже не производились.</w:t>
      </w:r>
    </w:p>
    <w:p w14:paraId="2EC67738" w14:textId="77777777" w:rsidR="00B67D7C" w:rsidRPr="00DE096C" w:rsidRDefault="00B67D7C" w:rsidP="00D45A46">
      <w:pPr>
        <w:autoSpaceDE/>
        <w:autoSpaceDN/>
        <w:adjustRightInd/>
        <w:jc w:val="both"/>
        <w:rPr>
          <w:bCs/>
          <w:color w:val="002060"/>
          <w:sz w:val="16"/>
          <w:szCs w:val="16"/>
        </w:rPr>
      </w:pPr>
      <w:r w:rsidRPr="00DE096C">
        <w:rPr>
          <w:bCs/>
          <w:color w:val="002060"/>
          <w:sz w:val="16"/>
          <w:szCs w:val="16"/>
        </w:rPr>
        <w:t>Боеприпасы и заряды были те же, что и у 6-дюймовой мортиры системы Металлического завода.</w:t>
      </w:r>
    </w:p>
    <w:p w14:paraId="0ED8791C" w14:textId="77777777" w:rsidR="00B67D7C" w:rsidRPr="00DE096C" w:rsidRDefault="00B67D7C" w:rsidP="00D45A46">
      <w:pPr>
        <w:autoSpaceDE/>
        <w:autoSpaceDN/>
        <w:adjustRightInd/>
        <w:jc w:val="both"/>
        <w:rPr>
          <w:bCs/>
          <w:color w:val="002060"/>
          <w:sz w:val="16"/>
          <w:szCs w:val="16"/>
        </w:rPr>
      </w:pPr>
      <w:r w:rsidRPr="00DE096C">
        <w:rPr>
          <w:bCs/>
          <w:color w:val="002060"/>
          <w:sz w:val="16"/>
          <w:szCs w:val="16"/>
        </w:rPr>
        <w:t>Ствол 6-дюймовой мортиры Путиловского завода — труба-моноблок, закрытая с казенной части. В донной части канал заканчивается каморой для помещения заряда. Канал имел три нареза глубиной 3,05 мм для снарядов с готовыми выступами. Заряжание производилось с дула. Длина ствола — 4,1 калибра. Длина нарезной части — 3,22 калибра. Вес ствола — 62,2 кг.</w:t>
      </w:r>
    </w:p>
    <w:p w14:paraId="21AAF1E1" w14:textId="77777777" w:rsidR="00B67D7C" w:rsidRPr="00DE096C" w:rsidRDefault="00B67D7C" w:rsidP="00D45A46">
      <w:pPr>
        <w:autoSpaceDE/>
        <w:autoSpaceDN/>
        <w:adjustRightInd/>
        <w:jc w:val="both"/>
        <w:rPr>
          <w:bCs/>
          <w:color w:val="002060"/>
          <w:sz w:val="16"/>
          <w:szCs w:val="16"/>
        </w:rPr>
      </w:pPr>
      <w:r w:rsidRPr="00DE096C">
        <w:rPr>
          <w:bCs/>
          <w:color w:val="002060"/>
          <w:sz w:val="16"/>
          <w:szCs w:val="16"/>
        </w:rPr>
        <w:t>Компрессор гидравлический состоял из двух цилиндров, расположенных над и под стволом. Накатник состоял из двух колонок спиральных пружин, вложенных в компрессорные цилиндры. Длина отката нормальная — 200 мм, максимальная — 220 мм.</w:t>
      </w:r>
    </w:p>
    <w:p w14:paraId="360DFBE3" w14:textId="77777777" w:rsidR="00B67D7C" w:rsidRPr="00DE096C" w:rsidRDefault="00B67D7C" w:rsidP="00D45A46">
      <w:pPr>
        <w:autoSpaceDE/>
        <w:autoSpaceDN/>
        <w:adjustRightInd/>
        <w:jc w:val="both"/>
        <w:rPr>
          <w:bCs/>
          <w:color w:val="002060"/>
          <w:sz w:val="16"/>
          <w:szCs w:val="16"/>
        </w:rPr>
      </w:pPr>
      <w:r w:rsidRPr="00DE096C">
        <w:rPr>
          <w:bCs/>
          <w:color w:val="002060"/>
          <w:sz w:val="16"/>
          <w:szCs w:val="16"/>
        </w:rPr>
        <w:t>Подъемный механизм — сектор, прикрепленный к левой цапфе люльки. Угол возвышения был возможен от +45° до +75°.</w:t>
      </w:r>
    </w:p>
    <w:p w14:paraId="51850151" w14:textId="77777777" w:rsidR="00B67D7C" w:rsidRPr="00DE096C" w:rsidRDefault="00B67D7C" w:rsidP="00D45A46">
      <w:pPr>
        <w:autoSpaceDE/>
        <w:autoSpaceDN/>
        <w:adjustRightInd/>
        <w:jc w:val="both"/>
        <w:rPr>
          <w:bCs/>
          <w:color w:val="002060"/>
          <w:sz w:val="16"/>
          <w:szCs w:val="16"/>
        </w:rPr>
      </w:pPr>
      <w:r w:rsidRPr="00DE096C">
        <w:rPr>
          <w:bCs/>
          <w:color w:val="002060"/>
          <w:sz w:val="16"/>
          <w:szCs w:val="16"/>
        </w:rPr>
        <w:t>Станок вращался вокруг штыря на платформе. Поворотный механизм секторного типа допускал угол горизонтального наведения 20. Станок представлял собой коробчатую конструкцию, склепанную из двух стальных штампованных станин, связанных между собой поперечными связями. Высота оси цапф люльки от грунта 943 мм.</w:t>
      </w:r>
    </w:p>
    <w:p w14:paraId="76904FB2" w14:textId="77777777" w:rsidR="00B67D7C" w:rsidRPr="00DE096C" w:rsidRDefault="00B67D7C" w:rsidP="00D45A46">
      <w:pPr>
        <w:autoSpaceDE/>
        <w:autoSpaceDN/>
        <w:adjustRightInd/>
        <w:jc w:val="both"/>
        <w:rPr>
          <w:bCs/>
          <w:color w:val="002060"/>
          <w:sz w:val="16"/>
          <w:szCs w:val="16"/>
        </w:rPr>
      </w:pPr>
      <w:r w:rsidRPr="00DE096C">
        <w:rPr>
          <w:bCs/>
          <w:color w:val="002060"/>
          <w:sz w:val="16"/>
          <w:szCs w:val="16"/>
        </w:rPr>
        <w:t>Станок был установлен на деревянной платформе (основании) длиной 1313 мм и шириной 660 мм. При стрельбе платформа устанавливалась на грунт. Для возки на цапфы платформы надевались деревянные колеса диаметром 762 мм. Ширина хода мортиры составляла 872 мм.</w:t>
      </w:r>
    </w:p>
    <w:p w14:paraId="194E669D" w14:textId="77777777" w:rsidR="00B67D7C" w:rsidRPr="00DE096C" w:rsidRDefault="00B67D7C" w:rsidP="00D45A46">
      <w:pPr>
        <w:autoSpaceDE/>
        <w:autoSpaceDN/>
        <w:adjustRightInd/>
        <w:jc w:val="both"/>
        <w:rPr>
          <w:bCs/>
          <w:color w:val="002060"/>
          <w:sz w:val="16"/>
          <w:szCs w:val="16"/>
        </w:rPr>
      </w:pPr>
      <w:r w:rsidRPr="00DE096C">
        <w:rPr>
          <w:bCs/>
          <w:color w:val="002060"/>
          <w:sz w:val="16"/>
          <w:szCs w:val="16"/>
        </w:rPr>
        <w:t>Мортира могла передвигаться вручную наподобие тачки, дулом вперед. Один номер расчета держался за дышло, а два-три номера спереди впрягались в лямки, закинутые через плечо.</w:t>
      </w:r>
    </w:p>
    <w:p w14:paraId="6FC34DC1" w14:textId="77777777" w:rsidR="00B67D7C" w:rsidRPr="00DE096C" w:rsidRDefault="00B67D7C" w:rsidP="00D45A46">
      <w:pPr>
        <w:autoSpaceDE/>
        <w:autoSpaceDN/>
        <w:adjustRightInd/>
        <w:jc w:val="both"/>
        <w:rPr>
          <w:bCs/>
          <w:color w:val="002060"/>
          <w:sz w:val="16"/>
          <w:szCs w:val="16"/>
        </w:rPr>
      </w:pPr>
      <w:r w:rsidRPr="00DE096C">
        <w:rPr>
          <w:bCs/>
          <w:color w:val="002060"/>
          <w:sz w:val="16"/>
          <w:szCs w:val="16"/>
        </w:rPr>
        <w:t>Для передвижения в узких местах мортира легко разбиралась на части: а) ствол с лафетом; б) платформа; в) колеса, дышло, правило и т. д.</w:t>
      </w:r>
    </w:p>
    <w:p w14:paraId="328AD236" w14:textId="77777777" w:rsidR="00B67D7C" w:rsidRPr="00DE096C" w:rsidRDefault="00B67D7C" w:rsidP="00D45A46">
      <w:pPr>
        <w:autoSpaceDE/>
        <w:autoSpaceDN/>
        <w:adjustRightInd/>
        <w:jc w:val="both"/>
        <w:rPr>
          <w:bCs/>
          <w:color w:val="002060"/>
          <w:sz w:val="16"/>
          <w:szCs w:val="16"/>
        </w:rPr>
      </w:pPr>
      <w:r w:rsidRPr="00DE096C">
        <w:rPr>
          <w:bCs/>
          <w:color w:val="002060"/>
          <w:sz w:val="16"/>
          <w:szCs w:val="16"/>
        </w:rPr>
        <w:t>Вес платформы, кг — 122</w:t>
      </w:r>
    </w:p>
    <w:p w14:paraId="12AF2714" w14:textId="77777777" w:rsidR="00B67D7C" w:rsidRPr="00DE096C" w:rsidRDefault="00B67D7C" w:rsidP="00D45A46">
      <w:pPr>
        <w:autoSpaceDE/>
        <w:autoSpaceDN/>
        <w:adjustRightInd/>
        <w:jc w:val="both"/>
        <w:rPr>
          <w:bCs/>
          <w:color w:val="002060"/>
          <w:sz w:val="16"/>
          <w:szCs w:val="16"/>
        </w:rPr>
      </w:pPr>
      <w:r w:rsidRPr="00DE096C">
        <w:rPr>
          <w:bCs/>
          <w:color w:val="002060"/>
          <w:sz w:val="16"/>
          <w:szCs w:val="16"/>
        </w:rPr>
        <w:t>Вес пары колес, кг — 47,5</w:t>
      </w:r>
    </w:p>
    <w:p w14:paraId="647AEC5A" w14:textId="77777777" w:rsidR="00B67D7C" w:rsidRPr="00DE096C" w:rsidRDefault="00B67D7C" w:rsidP="00D45A46">
      <w:pPr>
        <w:autoSpaceDE/>
        <w:autoSpaceDN/>
        <w:adjustRightInd/>
        <w:jc w:val="both"/>
        <w:rPr>
          <w:bCs/>
          <w:color w:val="002060"/>
          <w:sz w:val="16"/>
          <w:szCs w:val="16"/>
        </w:rPr>
      </w:pPr>
      <w:r w:rsidRPr="00DE096C">
        <w:rPr>
          <w:bCs/>
          <w:color w:val="002060"/>
          <w:sz w:val="16"/>
          <w:szCs w:val="16"/>
        </w:rPr>
        <w:t>Вес системы: в боевом положении, кг — 372,6</w:t>
      </w:r>
    </w:p>
    <w:p w14:paraId="5ACA1A7A" w14:textId="77777777" w:rsidR="00B67D7C" w:rsidRPr="00DE096C" w:rsidRDefault="00B67D7C" w:rsidP="00D45A46">
      <w:pPr>
        <w:autoSpaceDE/>
        <w:autoSpaceDN/>
        <w:adjustRightInd/>
        <w:jc w:val="both"/>
        <w:rPr>
          <w:bCs/>
          <w:color w:val="002060"/>
          <w:sz w:val="16"/>
          <w:szCs w:val="16"/>
        </w:rPr>
      </w:pPr>
      <w:r w:rsidRPr="00DE096C">
        <w:rPr>
          <w:bCs/>
          <w:color w:val="002060"/>
          <w:sz w:val="16"/>
          <w:szCs w:val="16"/>
        </w:rPr>
        <w:t>в походном положении, кг — 441,4</w:t>
      </w:r>
    </w:p>
    <w:p w14:paraId="166695BC" w14:textId="77777777" w:rsidR="00B67D7C" w:rsidRPr="00DE096C" w:rsidRDefault="00B67D7C" w:rsidP="00D45A46">
      <w:pPr>
        <w:autoSpaceDE/>
        <w:autoSpaceDN/>
        <w:adjustRightInd/>
        <w:jc w:val="both"/>
        <w:rPr>
          <w:bCs/>
          <w:color w:val="002060"/>
          <w:sz w:val="16"/>
          <w:szCs w:val="16"/>
        </w:rPr>
      </w:pPr>
      <w:r w:rsidRPr="00DE096C">
        <w:rPr>
          <w:bCs/>
          <w:color w:val="002060"/>
          <w:sz w:val="16"/>
          <w:szCs w:val="16"/>
        </w:rPr>
        <w:t>Следует заметить, что 6-дюймовые мортиры Путиловского завода были эффективным, хотя и довольно дорогим оружием.</w:t>
      </w:r>
    </w:p>
    <w:p w14:paraId="788B17D9" w14:textId="77777777" w:rsidR="00B67D7C" w:rsidRPr="00DE096C" w:rsidRDefault="00B67D7C" w:rsidP="00D45A46">
      <w:pPr>
        <w:autoSpaceDE/>
        <w:autoSpaceDN/>
        <w:adjustRightInd/>
        <w:jc w:val="both"/>
        <w:rPr>
          <w:bCs/>
          <w:color w:val="002060"/>
          <w:sz w:val="16"/>
          <w:szCs w:val="16"/>
        </w:rPr>
      </w:pPr>
      <w:r w:rsidRPr="00DE096C">
        <w:rPr>
          <w:bCs/>
          <w:color w:val="002060"/>
          <w:sz w:val="16"/>
          <w:szCs w:val="16"/>
        </w:rPr>
        <w:t>В 1916 г. ГАУ заказало во Франции 120 тяжелых 240-мм длинноствольных минометов. Поставки начались в 1917 г. Всего было поставлено 12 минометов.</w:t>
      </w:r>
    </w:p>
    <w:p w14:paraId="0B1ED5C6" w14:textId="77777777" w:rsidR="00B67D7C" w:rsidRPr="00DE096C" w:rsidRDefault="00B67D7C" w:rsidP="00D45A46">
      <w:pPr>
        <w:autoSpaceDE/>
        <w:autoSpaceDN/>
        <w:adjustRightInd/>
        <w:jc w:val="both"/>
        <w:rPr>
          <w:bCs/>
          <w:color w:val="002060"/>
          <w:sz w:val="16"/>
          <w:szCs w:val="16"/>
        </w:rPr>
      </w:pPr>
      <w:r w:rsidRPr="00DE096C">
        <w:rPr>
          <w:bCs/>
          <w:color w:val="002060"/>
          <w:sz w:val="16"/>
          <w:szCs w:val="16"/>
        </w:rPr>
        <w:lastRenderedPageBreak/>
        <w:t>Ствол миномета состоял из трубы и казенника, навинченного на трубу. Труба гладкоствольная. Канал казенника разделялся на зарядную камору, в которой помещались гильза с зарядом, и затворную часть. Затвор призматический.</w:t>
      </w:r>
    </w:p>
    <w:p w14:paraId="38FBBCCF" w14:textId="77777777" w:rsidR="00B67D7C" w:rsidRPr="00DE096C" w:rsidRDefault="00B67D7C" w:rsidP="00D45A46">
      <w:pPr>
        <w:autoSpaceDE/>
        <w:autoSpaceDN/>
        <w:adjustRightInd/>
        <w:jc w:val="both"/>
        <w:rPr>
          <w:bCs/>
          <w:color w:val="002060"/>
          <w:sz w:val="16"/>
          <w:szCs w:val="16"/>
        </w:rPr>
      </w:pPr>
      <w:r w:rsidRPr="00DE096C">
        <w:rPr>
          <w:bCs/>
          <w:color w:val="002060"/>
          <w:sz w:val="16"/>
          <w:szCs w:val="16"/>
        </w:rPr>
        <w:t>Лафет состоял из горизонтального основания и двух вертикальных станин, связанных угольниками и связью из клепаного железа. Противооткатных устройств не было.</w:t>
      </w:r>
    </w:p>
    <w:p w14:paraId="2C872DAA" w14:textId="77777777" w:rsidR="00B67D7C" w:rsidRPr="00DE096C" w:rsidRDefault="00B67D7C" w:rsidP="00D45A46">
      <w:pPr>
        <w:autoSpaceDE/>
        <w:autoSpaceDN/>
        <w:adjustRightInd/>
        <w:jc w:val="both"/>
        <w:rPr>
          <w:bCs/>
          <w:color w:val="002060"/>
          <w:sz w:val="16"/>
          <w:szCs w:val="16"/>
        </w:rPr>
      </w:pPr>
      <w:r w:rsidRPr="00DE096C">
        <w:rPr>
          <w:bCs/>
          <w:color w:val="002060"/>
          <w:sz w:val="16"/>
          <w:szCs w:val="16"/>
        </w:rPr>
        <w:t>Длина ствола составляла 2040/8,5 мм/клб. Вес ствола с казенником — 314 кг, а общий вес системы — 1190 кг. Скорострельность — 1 выстрел за 6 минут.</w:t>
      </w:r>
    </w:p>
    <w:p w14:paraId="58EF8BC7" w14:textId="77777777" w:rsidR="00B67D7C" w:rsidRPr="00DE096C" w:rsidRDefault="00B67D7C" w:rsidP="00D45A46">
      <w:pPr>
        <w:autoSpaceDE/>
        <w:autoSpaceDN/>
        <w:adjustRightInd/>
        <w:jc w:val="both"/>
        <w:rPr>
          <w:bCs/>
          <w:color w:val="002060"/>
          <w:sz w:val="16"/>
          <w:szCs w:val="16"/>
        </w:rPr>
      </w:pPr>
      <w:r w:rsidRPr="00DE096C">
        <w:rPr>
          <w:bCs/>
          <w:color w:val="002060"/>
          <w:sz w:val="16"/>
          <w:szCs w:val="16"/>
        </w:rPr>
        <w:t>Калиберная мина заряжалась с дула и досылалась до конца. После досылки мины ввертывалась ударная трубка в мину, находящуюся в канале орудия. Вес стальной мины 81 кг. Мина содержала 42 кг тротила или шнейдерита. Длина мины 4,5 калибра, в том числе корпуса — 3 калибра. Мина имела четыре приваренных к корпусу стабилизатора. Ударная трубка обр. 24/31 модели 1915 г.</w:t>
      </w:r>
    </w:p>
    <w:p w14:paraId="78D233E5" w14:textId="77777777" w:rsidR="00B67D7C" w:rsidRPr="00DE096C" w:rsidRDefault="00B67D7C" w:rsidP="00D45A46">
      <w:pPr>
        <w:autoSpaceDE/>
        <w:autoSpaceDN/>
        <w:adjustRightInd/>
        <w:jc w:val="both"/>
        <w:rPr>
          <w:bCs/>
          <w:color w:val="002060"/>
          <w:sz w:val="16"/>
          <w:szCs w:val="16"/>
        </w:rPr>
      </w:pPr>
      <w:r w:rsidRPr="00DE096C">
        <w:rPr>
          <w:bCs/>
          <w:color w:val="002060"/>
          <w:sz w:val="16"/>
          <w:szCs w:val="16"/>
        </w:rPr>
        <w:t>Заряды помещались в гильзы от 155 мм пушки «С» модели 1904 г. или модели 1915 г. Гильза заряжалась с казенной части. Перед открыванием затвора из него выворачивался ударный механизм. Максимальная дальность стрельбы составляла 2150 м при начальной скорости 145 м/с.</w:t>
      </w:r>
    </w:p>
    <w:p w14:paraId="331DD9E5" w14:textId="77777777" w:rsidR="00B67D7C" w:rsidRPr="00DE096C" w:rsidRDefault="00B67D7C" w:rsidP="00D45A46">
      <w:pPr>
        <w:autoSpaceDE/>
        <w:autoSpaceDN/>
        <w:adjustRightInd/>
        <w:jc w:val="both"/>
        <w:rPr>
          <w:bCs/>
          <w:color w:val="002060"/>
          <w:sz w:val="16"/>
          <w:szCs w:val="16"/>
        </w:rPr>
      </w:pPr>
      <w:r w:rsidRPr="00DE096C">
        <w:rPr>
          <w:bCs/>
          <w:color w:val="002060"/>
          <w:sz w:val="16"/>
          <w:szCs w:val="16"/>
        </w:rPr>
        <w:t>В годы Первой мировой войны минометы сыграли значительную роль. Причем многие из них были приспособлены для стрельбы химическими снарядами. Однако наши генералы применяли минометы тактически безграмотно, а иногда вообще не знали, что с ними делать.</w:t>
      </w:r>
    </w:p>
    <w:p w14:paraId="1B3CE9DB" w14:textId="77777777" w:rsidR="00B67D7C" w:rsidRPr="00DE096C" w:rsidRDefault="00B67D7C" w:rsidP="00D45A46">
      <w:pPr>
        <w:autoSpaceDE/>
        <w:autoSpaceDN/>
        <w:adjustRightInd/>
        <w:jc w:val="both"/>
        <w:rPr>
          <w:bCs/>
          <w:color w:val="002060"/>
          <w:sz w:val="16"/>
          <w:szCs w:val="16"/>
        </w:rPr>
      </w:pPr>
      <w:r w:rsidRPr="00DE096C">
        <w:rPr>
          <w:bCs/>
          <w:color w:val="002060"/>
          <w:sz w:val="16"/>
          <w:szCs w:val="16"/>
        </w:rPr>
        <w:t>В 1915 г. минометы (бомбометы) в русской армии находились фактически вне штата. Лишь в марте 1916 г. ГАУ были определены нормы снабжения войск минометами и бомбометами. По этим нормам часть пехотных полков должна была получить по восемь минометов (бомбометов), а часть — по четыре. Причем половина минометов (4 или 2 соответственно) должны были находиться непосредственно в полку и возиться в полковом обозе, а вторая половина минометов являлась принадлежностью фронта и выдавалась полкам по мере надобности. Как видим, организация использования минометов была более чем нелепая. Какой бюрократ придумал в полковую артиллерию всовывать «чужие» минометы и расчеты? Неужели нельзя было создать при корпусе отдельные части усиления (артиллерийские бригады или дивизии прорыва)? (12705).</w:t>
      </w:r>
    </w:p>
    <w:p w14:paraId="0AE42ADD" w14:textId="77777777" w:rsidR="00B67D7C" w:rsidRPr="00DE096C" w:rsidRDefault="00B67D7C" w:rsidP="00D45A46">
      <w:pPr>
        <w:autoSpaceDE/>
        <w:autoSpaceDN/>
        <w:adjustRightInd/>
        <w:jc w:val="both"/>
        <w:rPr>
          <w:bCs/>
          <w:color w:val="002060"/>
          <w:sz w:val="16"/>
          <w:szCs w:val="16"/>
        </w:rPr>
      </w:pPr>
    </w:p>
    <w:p w14:paraId="6E4D0B84"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В конце 1914 г. комендант Кронштадтской крепости ген. Маниковский был назначен наблюдающим за исполнением артиллерийских требований действующей армии, т. е., иначе говоря, наблюдающим за работой ГАУ (11483).</w:t>
      </w:r>
    </w:p>
    <w:p w14:paraId="1CBFBFBD" w14:textId="77777777" w:rsidR="00B67D7C" w:rsidRPr="00DE096C" w:rsidRDefault="00B67D7C" w:rsidP="00D45A46">
      <w:pPr>
        <w:pStyle w:val="a3"/>
        <w:jc w:val="both"/>
        <w:rPr>
          <w:bCs/>
          <w:i w:val="0"/>
          <w:color w:val="002060"/>
          <w:spacing w:val="0"/>
          <w:kern w:val="0"/>
          <w:position w:val="0"/>
          <w:sz w:val="16"/>
          <w:szCs w:val="16"/>
        </w:rPr>
      </w:pPr>
    </w:p>
    <w:p w14:paraId="380D801B" w14:textId="2B552D55" w:rsidR="00B67D7C" w:rsidRPr="00DE096C" w:rsidRDefault="00CE32E5" w:rsidP="00D45A46">
      <w:pPr>
        <w:jc w:val="both"/>
        <w:rPr>
          <w:bCs/>
          <w:color w:val="002060"/>
          <w:sz w:val="16"/>
          <w:szCs w:val="16"/>
        </w:rPr>
      </w:pPr>
      <w:r w:rsidRPr="00DE096C">
        <w:rPr>
          <w:bCs/>
          <w:color w:val="002060"/>
          <w:sz w:val="16"/>
          <w:szCs w:val="16"/>
        </w:rPr>
        <w:t>К</w:t>
      </w:r>
      <w:r w:rsidR="00B67D7C" w:rsidRPr="00DE096C">
        <w:rPr>
          <w:bCs/>
          <w:color w:val="002060"/>
          <w:sz w:val="16"/>
          <w:szCs w:val="16"/>
        </w:rPr>
        <w:t xml:space="preserve"> концу 1914 г. </w:t>
      </w:r>
      <w:r w:rsidRPr="00DE096C">
        <w:rPr>
          <w:bCs/>
          <w:color w:val="002060"/>
          <w:sz w:val="16"/>
          <w:szCs w:val="16"/>
        </w:rPr>
        <w:t xml:space="preserve">Петровская верфь АО «Нобель-Лесснер» («Ноблесснер») в Ревеле, которая начала действовать в конце 1913 г., была окончательно построена. </w:t>
      </w:r>
      <w:r w:rsidR="00B67D7C" w:rsidRPr="00DE096C">
        <w:rPr>
          <w:bCs/>
          <w:color w:val="002060"/>
          <w:sz w:val="16"/>
          <w:szCs w:val="16"/>
        </w:rPr>
        <w:t>Были построены: слип, 6 наклонных стапелей по 115 м, достроечная набережная, мастерские: корпусная с плазом (площадью 1790 м</w:t>
      </w:r>
      <w:r w:rsidR="00B67D7C" w:rsidRPr="00DE096C">
        <w:rPr>
          <w:bCs/>
          <w:color w:val="002060"/>
          <w:sz w:val="16"/>
          <w:szCs w:val="16"/>
          <w:vertAlign w:val="superscript"/>
        </w:rPr>
        <w:t>2</w:t>
      </w:r>
      <w:r w:rsidR="00B67D7C" w:rsidRPr="00DE096C">
        <w:rPr>
          <w:bCs/>
          <w:color w:val="002060"/>
          <w:sz w:val="16"/>
          <w:szCs w:val="16"/>
        </w:rPr>
        <w:t>), сборочно-установочная (850 м</w:t>
      </w:r>
      <w:r w:rsidR="00B67D7C" w:rsidRPr="00DE096C">
        <w:rPr>
          <w:bCs/>
          <w:color w:val="002060"/>
          <w:sz w:val="16"/>
          <w:szCs w:val="16"/>
          <w:vertAlign w:val="superscript"/>
        </w:rPr>
        <w:t>2</w:t>
      </w:r>
      <w:r w:rsidR="00B67D7C" w:rsidRPr="00DE096C">
        <w:rPr>
          <w:bCs/>
          <w:color w:val="002060"/>
          <w:sz w:val="16"/>
          <w:szCs w:val="16"/>
        </w:rPr>
        <w:t>), деревообрабатывающая вместе с модельной (1010 м</w:t>
      </w:r>
      <w:r w:rsidR="00B67D7C" w:rsidRPr="00DE096C">
        <w:rPr>
          <w:bCs/>
          <w:color w:val="002060"/>
          <w:sz w:val="16"/>
          <w:szCs w:val="16"/>
          <w:vertAlign w:val="superscript"/>
        </w:rPr>
        <w:t>2</w:t>
      </w:r>
      <w:r w:rsidR="00B67D7C" w:rsidRPr="00DE096C">
        <w:rPr>
          <w:bCs/>
          <w:color w:val="002060"/>
          <w:sz w:val="16"/>
          <w:szCs w:val="16"/>
        </w:rPr>
        <w:t>), литейная и трубомедницкая. 31.05.1916 г. верфь «Ноблесснер» переименована в Петровскую. В 1916 г. завод получил заказ на 10 ПЛ пр. Голланда.</w:t>
      </w:r>
    </w:p>
    <w:p w14:paraId="78F85B4F" w14:textId="77777777" w:rsidR="00B67D7C" w:rsidRPr="00DE096C" w:rsidRDefault="00B67D7C" w:rsidP="00D45A46">
      <w:pPr>
        <w:jc w:val="both"/>
        <w:rPr>
          <w:bCs/>
          <w:color w:val="002060"/>
          <w:sz w:val="16"/>
          <w:szCs w:val="16"/>
        </w:rPr>
      </w:pPr>
      <w:r w:rsidRPr="00DE096C">
        <w:rPr>
          <w:bCs/>
          <w:color w:val="002060"/>
          <w:sz w:val="16"/>
          <w:szCs w:val="16"/>
        </w:rPr>
        <w:t>В годы 1-й Мировой войны- судостроение. В 1915 г. завод участвовал в конкурсе на эскадренную ПЛ. После революции 1917 г. Эстония отделилась от России, и завод остался в ее ведении.</w:t>
      </w:r>
    </w:p>
    <w:p w14:paraId="6AD3CBD3" w14:textId="012957BB" w:rsidR="00B67D7C" w:rsidRPr="00DE096C" w:rsidRDefault="00B67D7C" w:rsidP="00D45A46">
      <w:pPr>
        <w:jc w:val="both"/>
        <w:rPr>
          <w:bCs/>
          <w:color w:val="002060"/>
          <w:sz w:val="16"/>
          <w:szCs w:val="16"/>
        </w:rPr>
      </w:pPr>
      <w:r w:rsidRPr="00DE096C">
        <w:rPr>
          <w:bCs/>
          <w:color w:val="002060"/>
          <w:sz w:val="16"/>
          <w:szCs w:val="16"/>
        </w:rPr>
        <w:t>Гл. инженер (1912 г.-)-</w:t>
      </w:r>
      <w:r w:rsidR="0006581C">
        <w:rPr>
          <w:bCs/>
          <w:color w:val="002060"/>
          <w:sz w:val="16"/>
          <w:szCs w:val="16"/>
        </w:rPr>
        <w:t xml:space="preserve"> </w:t>
      </w:r>
      <w:r w:rsidRPr="00DE096C">
        <w:rPr>
          <w:bCs/>
          <w:color w:val="002060"/>
          <w:sz w:val="16"/>
          <w:szCs w:val="16"/>
        </w:rPr>
        <w:t>Г. Г. Бубнов.</w:t>
      </w:r>
    </w:p>
    <w:p w14:paraId="5A3F4DAB" w14:textId="5E07FB0E" w:rsidR="00B67D7C" w:rsidRPr="00DE096C" w:rsidRDefault="00B67D7C" w:rsidP="00D45A46">
      <w:pPr>
        <w:jc w:val="both"/>
        <w:rPr>
          <w:bCs/>
          <w:color w:val="002060"/>
          <w:sz w:val="16"/>
          <w:szCs w:val="16"/>
        </w:rPr>
      </w:pPr>
      <w:r w:rsidRPr="00DE096C">
        <w:rPr>
          <w:bCs/>
          <w:color w:val="002060"/>
          <w:sz w:val="16"/>
          <w:szCs w:val="16"/>
        </w:rPr>
        <w:t>Гл. строители кораблей (1914 г.)-</w:t>
      </w:r>
      <w:r w:rsidR="0006581C">
        <w:rPr>
          <w:bCs/>
          <w:color w:val="002060"/>
          <w:sz w:val="16"/>
          <w:szCs w:val="16"/>
        </w:rPr>
        <w:t xml:space="preserve"> </w:t>
      </w:r>
      <w:r w:rsidRPr="00DE096C">
        <w:rPr>
          <w:bCs/>
          <w:color w:val="002060"/>
          <w:sz w:val="16"/>
          <w:szCs w:val="16"/>
        </w:rPr>
        <w:t>Г. Г. Бубнов. Строители кораблей (1914 г.)- В.В. Борзаковский.</w:t>
      </w:r>
    </w:p>
    <w:p w14:paraId="4993883D" w14:textId="77777777" w:rsidR="00B67D7C" w:rsidRPr="00DE096C" w:rsidRDefault="00B67D7C" w:rsidP="00D45A46">
      <w:pPr>
        <w:jc w:val="both"/>
        <w:rPr>
          <w:bCs/>
          <w:color w:val="002060"/>
          <w:sz w:val="16"/>
          <w:szCs w:val="16"/>
          <w:vertAlign w:val="superscript"/>
        </w:rPr>
      </w:pPr>
      <w:r w:rsidRPr="00DE096C">
        <w:rPr>
          <w:bCs/>
          <w:color w:val="002060"/>
          <w:sz w:val="16"/>
          <w:szCs w:val="16"/>
        </w:rPr>
        <w:t>Производство: ПЛ: «Тигр», «Львица», «Кугуар», «Леопард», «Пантера», «Рысь», «Тур», «Ягуар» (07.1914- 16), «Ерш», «Угорь», «Форель» (07.1914-11.1915, переданы на достройку Балтийскому заводу), «Язь» (1915-17-, не достроена); модернизация ПЛ «Барс», «Гепард», «Вепрь» (1915-16) (11982).</w:t>
      </w:r>
    </w:p>
    <w:p w14:paraId="3BDE7450" w14:textId="77777777" w:rsidR="00B67D7C" w:rsidRPr="00DE096C" w:rsidRDefault="00B67D7C" w:rsidP="00D45A46">
      <w:pPr>
        <w:jc w:val="both"/>
        <w:rPr>
          <w:bCs/>
          <w:color w:val="002060"/>
          <w:sz w:val="16"/>
          <w:szCs w:val="16"/>
          <w:vertAlign w:val="superscript"/>
        </w:rPr>
      </w:pPr>
    </w:p>
    <w:p w14:paraId="6020E6F8" w14:textId="5405BE27" w:rsidR="00B67D7C" w:rsidRPr="00DE096C" w:rsidRDefault="00B67D7C" w:rsidP="00D45A46">
      <w:pPr>
        <w:jc w:val="both"/>
        <w:rPr>
          <w:bCs/>
          <w:color w:val="002060"/>
          <w:sz w:val="16"/>
          <w:szCs w:val="16"/>
        </w:rPr>
      </w:pPr>
      <w:r w:rsidRPr="00DE096C">
        <w:rPr>
          <w:bCs/>
          <w:color w:val="002060"/>
          <w:sz w:val="16"/>
          <w:szCs w:val="16"/>
        </w:rPr>
        <w:t>В конце 1914 г. в стране имелось 11 стапелей для постройки крупнейших линейных судов. Техническая вооруженность русских верфей позволяла строить линкоры любых размеров. Многократно выросло число инженеров, техников, мастеровых и рабочих, одним словом, бум, переживаемый в те годы судостроительной промышленностью, дал в итоге мощное современное производство. Русское судостроение всерьез готовилось к осуществлению планомерных крупномасштабных морских программ, и очень много удалось сделать к тому времени, когда разразилась война. Не все намеченное было осуществлено, однако нет сомнений, что при сохранении темпов 1910–1914 гг. в течение двух-трех ближайших лет в России должно было завершиться формирование первоклассной производственной базы для интенсивного строительства предусмотренных «Законом о флоте» крупнейших боевых кораблей тех лет.</w:t>
      </w:r>
    </w:p>
    <w:p w14:paraId="6949A3FD" w14:textId="77777777" w:rsidR="00B67D7C" w:rsidRPr="00DE096C" w:rsidRDefault="00B67D7C" w:rsidP="00D45A46">
      <w:pPr>
        <w:jc w:val="both"/>
        <w:rPr>
          <w:bCs/>
          <w:color w:val="002060"/>
          <w:sz w:val="16"/>
          <w:szCs w:val="16"/>
        </w:rPr>
      </w:pPr>
      <w:r w:rsidRPr="00DE096C">
        <w:rPr>
          <w:bCs/>
          <w:color w:val="002060"/>
          <w:sz w:val="16"/>
          <w:szCs w:val="16"/>
        </w:rPr>
        <w:t>Таблица 3.5. Динамика роста рабочей силы на русских судостроительных заводах в 1908–1914 гг. ("Отчеты Морского министерства за 1908-14 гг.", К.Ф. Шацилло, Указ. соч. с. 240.)</w:t>
      </w:r>
    </w:p>
    <w:tbl>
      <w:tblPr>
        <w:tblW w:w="0" w:type="auto"/>
        <w:tblLayout w:type="fixed"/>
        <w:tblCellMar>
          <w:left w:w="0" w:type="dxa"/>
          <w:right w:w="0" w:type="dxa"/>
        </w:tblCellMar>
        <w:tblLook w:val="0000" w:firstRow="0" w:lastRow="0" w:firstColumn="0" w:lastColumn="0" w:noHBand="0" w:noVBand="0"/>
      </w:tblPr>
      <w:tblGrid>
        <w:gridCol w:w="3264"/>
        <w:gridCol w:w="768"/>
        <w:gridCol w:w="768"/>
        <w:gridCol w:w="768"/>
        <w:gridCol w:w="768"/>
        <w:gridCol w:w="768"/>
        <w:gridCol w:w="768"/>
        <w:gridCol w:w="960"/>
      </w:tblGrid>
      <w:tr w:rsidR="00B67D7C" w:rsidRPr="00DE096C" w14:paraId="7720FCF2" w14:textId="77777777" w:rsidTr="00C2024A">
        <w:tc>
          <w:tcPr>
            <w:tcW w:w="3264" w:type="dxa"/>
          </w:tcPr>
          <w:p w14:paraId="49251054" w14:textId="77777777" w:rsidR="00B67D7C" w:rsidRPr="00DE096C" w:rsidRDefault="00B67D7C" w:rsidP="00D45A46">
            <w:pPr>
              <w:jc w:val="both"/>
              <w:rPr>
                <w:bCs/>
                <w:color w:val="002060"/>
                <w:sz w:val="16"/>
                <w:szCs w:val="16"/>
              </w:rPr>
            </w:pPr>
            <w:r w:rsidRPr="00DE096C">
              <w:rPr>
                <w:bCs/>
                <w:color w:val="002060"/>
                <w:sz w:val="16"/>
                <w:szCs w:val="16"/>
              </w:rPr>
              <w:t>Завод</w:t>
            </w:r>
          </w:p>
        </w:tc>
        <w:tc>
          <w:tcPr>
            <w:tcW w:w="768" w:type="dxa"/>
          </w:tcPr>
          <w:p w14:paraId="2DF0442D" w14:textId="77777777" w:rsidR="00B67D7C" w:rsidRPr="00DE096C" w:rsidRDefault="00B67D7C" w:rsidP="00D45A46">
            <w:pPr>
              <w:jc w:val="both"/>
              <w:rPr>
                <w:bCs/>
                <w:color w:val="002060"/>
                <w:sz w:val="16"/>
                <w:szCs w:val="16"/>
              </w:rPr>
            </w:pPr>
            <w:r w:rsidRPr="00DE096C">
              <w:rPr>
                <w:bCs/>
                <w:color w:val="002060"/>
                <w:sz w:val="16"/>
                <w:szCs w:val="16"/>
              </w:rPr>
              <w:t>1908</w:t>
            </w:r>
          </w:p>
        </w:tc>
        <w:tc>
          <w:tcPr>
            <w:tcW w:w="768" w:type="dxa"/>
          </w:tcPr>
          <w:p w14:paraId="75744E22" w14:textId="77777777" w:rsidR="00B67D7C" w:rsidRPr="00DE096C" w:rsidRDefault="00B67D7C" w:rsidP="00D45A46">
            <w:pPr>
              <w:jc w:val="both"/>
              <w:rPr>
                <w:bCs/>
                <w:color w:val="002060"/>
                <w:sz w:val="16"/>
                <w:szCs w:val="16"/>
              </w:rPr>
            </w:pPr>
            <w:r w:rsidRPr="00DE096C">
              <w:rPr>
                <w:bCs/>
                <w:color w:val="002060"/>
                <w:sz w:val="16"/>
                <w:szCs w:val="16"/>
              </w:rPr>
              <w:t>1909</w:t>
            </w:r>
          </w:p>
        </w:tc>
        <w:tc>
          <w:tcPr>
            <w:tcW w:w="768" w:type="dxa"/>
          </w:tcPr>
          <w:p w14:paraId="09E65BC0" w14:textId="77777777" w:rsidR="00B67D7C" w:rsidRPr="00DE096C" w:rsidRDefault="00B67D7C" w:rsidP="00D45A46">
            <w:pPr>
              <w:jc w:val="both"/>
              <w:rPr>
                <w:bCs/>
                <w:color w:val="002060"/>
                <w:sz w:val="16"/>
                <w:szCs w:val="16"/>
              </w:rPr>
            </w:pPr>
            <w:r w:rsidRPr="00DE096C">
              <w:rPr>
                <w:bCs/>
                <w:color w:val="002060"/>
                <w:sz w:val="16"/>
                <w:szCs w:val="16"/>
              </w:rPr>
              <w:t>1910</w:t>
            </w:r>
          </w:p>
        </w:tc>
        <w:tc>
          <w:tcPr>
            <w:tcW w:w="768" w:type="dxa"/>
          </w:tcPr>
          <w:p w14:paraId="655A8FB7" w14:textId="77777777" w:rsidR="00B67D7C" w:rsidRPr="00DE096C" w:rsidRDefault="00B67D7C" w:rsidP="00D45A46">
            <w:pPr>
              <w:jc w:val="both"/>
              <w:rPr>
                <w:bCs/>
                <w:color w:val="002060"/>
                <w:sz w:val="16"/>
                <w:szCs w:val="16"/>
              </w:rPr>
            </w:pPr>
            <w:r w:rsidRPr="00DE096C">
              <w:rPr>
                <w:bCs/>
                <w:color w:val="002060"/>
                <w:sz w:val="16"/>
                <w:szCs w:val="16"/>
              </w:rPr>
              <w:t>1911</w:t>
            </w:r>
          </w:p>
        </w:tc>
        <w:tc>
          <w:tcPr>
            <w:tcW w:w="768" w:type="dxa"/>
          </w:tcPr>
          <w:p w14:paraId="5E485DCF" w14:textId="77777777" w:rsidR="00B67D7C" w:rsidRPr="00DE096C" w:rsidRDefault="00B67D7C" w:rsidP="00D45A46">
            <w:pPr>
              <w:jc w:val="both"/>
              <w:rPr>
                <w:bCs/>
                <w:color w:val="002060"/>
                <w:sz w:val="16"/>
                <w:szCs w:val="16"/>
              </w:rPr>
            </w:pPr>
            <w:r w:rsidRPr="00DE096C">
              <w:rPr>
                <w:bCs/>
                <w:color w:val="002060"/>
                <w:sz w:val="16"/>
                <w:szCs w:val="16"/>
              </w:rPr>
              <w:t>1912</w:t>
            </w:r>
          </w:p>
        </w:tc>
        <w:tc>
          <w:tcPr>
            <w:tcW w:w="768" w:type="dxa"/>
          </w:tcPr>
          <w:p w14:paraId="1943B17B" w14:textId="77777777" w:rsidR="00B67D7C" w:rsidRPr="00DE096C" w:rsidRDefault="00B67D7C" w:rsidP="00D45A46">
            <w:pPr>
              <w:jc w:val="both"/>
              <w:rPr>
                <w:bCs/>
                <w:color w:val="002060"/>
                <w:sz w:val="16"/>
                <w:szCs w:val="16"/>
              </w:rPr>
            </w:pPr>
            <w:r w:rsidRPr="00DE096C">
              <w:rPr>
                <w:bCs/>
                <w:color w:val="002060"/>
                <w:sz w:val="16"/>
                <w:szCs w:val="16"/>
              </w:rPr>
              <w:t>1913</w:t>
            </w:r>
          </w:p>
        </w:tc>
        <w:tc>
          <w:tcPr>
            <w:tcW w:w="960" w:type="dxa"/>
          </w:tcPr>
          <w:p w14:paraId="54FC8902" w14:textId="77777777" w:rsidR="00B67D7C" w:rsidRPr="00DE096C" w:rsidRDefault="00B67D7C" w:rsidP="00D45A46">
            <w:pPr>
              <w:jc w:val="both"/>
              <w:rPr>
                <w:bCs/>
                <w:color w:val="002060"/>
                <w:sz w:val="16"/>
                <w:szCs w:val="16"/>
              </w:rPr>
            </w:pPr>
            <w:r w:rsidRPr="00DE096C">
              <w:rPr>
                <w:bCs/>
                <w:color w:val="002060"/>
                <w:sz w:val="16"/>
                <w:szCs w:val="16"/>
              </w:rPr>
              <w:t>1914</w:t>
            </w:r>
          </w:p>
        </w:tc>
      </w:tr>
      <w:tr w:rsidR="00B67D7C" w:rsidRPr="00DE096C" w14:paraId="0F5B1A9F" w14:textId="77777777" w:rsidTr="00C2024A">
        <w:tc>
          <w:tcPr>
            <w:tcW w:w="3264" w:type="dxa"/>
          </w:tcPr>
          <w:p w14:paraId="4794CD58" w14:textId="77777777" w:rsidR="00B67D7C" w:rsidRPr="00DE096C" w:rsidRDefault="00B67D7C" w:rsidP="00D45A46">
            <w:pPr>
              <w:jc w:val="both"/>
              <w:rPr>
                <w:bCs/>
                <w:color w:val="002060"/>
                <w:sz w:val="16"/>
                <w:szCs w:val="16"/>
              </w:rPr>
            </w:pPr>
            <w:r w:rsidRPr="00DE096C">
              <w:rPr>
                <w:bCs/>
                <w:color w:val="002060"/>
                <w:sz w:val="16"/>
                <w:szCs w:val="16"/>
              </w:rPr>
              <w:t>Адмиралтейский</w:t>
            </w:r>
          </w:p>
        </w:tc>
        <w:tc>
          <w:tcPr>
            <w:tcW w:w="768" w:type="dxa"/>
          </w:tcPr>
          <w:p w14:paraId="32968582" w14:textId="77777777" w:rsidR="00B67D7C" w:rsidRPr="00DE096C" w:rsidRDefault="00B67D7C" w:rsidP="00D45A46">
            <w:pPr>
              <w:jc w:val="both"/>
              <w:rPr>
                <w:bCs/>
                <w:color w:val="002060"/>
                <w:sz w:val="16"/>
                <w:szCs w:val="16"/>
              </w:rPr>
            </w:pPr>
            <w:r w:rsidRPr="00DE096C">
              <w:rPr>
                <w:bCs/>
                <w:color w:val="002060"/>
                <w:sz w:val="16"/>
                <w:szCs w:val="16"/>
              </w:rPr>
              <w:t>1876</w:t>
            </w:r>
          </w:p>
        </w:tc>
        <w:tc>
          <w:tcPr>
            <w:tcW w:w="768" w:type="dxa"/>
          </w:tcPr>
          <w:p w14:paraId="538C8C37" w14:textId="77777777" w:rsidR="00B67D7C" w:rsidRPr="00DE096C" w:rsidRDefault="00B67D7C" w:rsidP="00D45A46">
            <w:pPr>
              <w:jc w:val="both"/>
              <w:rPr>
                <w:bCs/>
                <w:color w:val="002060"/>
                <w:sz w:val="16"/>
                <w:szCs w:val="16"/>
              </w:rPr>
            </w:pPr>
            <w:r w:rsidRPr="00DE096C">
              <w:rPr>
                <w:bCs/>
                <w:color w:val="002060"/>
                <w:sz w:val="16"/>
                <w:szCs w:val="16"/>
              </w:rPr>
              <w:t>1651</w:t>
            </w:r>
          </w:p>
        </w:tc>
        <w:tc>
          <w:tcPr>
            <w:tcW w:w="768" w:type="dxa"/>
          </w:tcPr>
          <w:p w14:paraId="51EBF877" w14:textId="77777777" w:rsidR="00B67D7C" w:rsidRPr="00DE096C" w:rsidRDefault="00B67D7C" w:rsidP="00D45A46">
            <w:pPr>
              <w:jc w:val="both"/>
              <w:rPr>
                <w:bCs/>
                <w:color w:val="002060"/>
                <w:sz w:val="16"/>
                <w:szCs w:val="16"/>
              </w:rPr>
            </w:pPr>
            <w:r w:rsidRPr="00DE096C">
              <w:rPr>
                <w:bCs/>
                <w:color w:val="002060"/>
                <w:sz w:val="16"/>
                <w:szCs w:val="16"/>
              </w:rPr>
              <w:t>2324</w:t>
            </w:r>
          </w:p>
        </w:tc>
        <w:tc>
          <w:tcPr>
            <w:tcW w:w="768" w:type="dxa"/>
          </w:tcPr>
          <w:p w14:paraId="64A7C8F1" w14:textId="77777777" w:rsidR="00B67D7C" w:rsidRPr="00DE096C" w:rsidRDefault="00B67D7C" w:rsidP="00D45A46">
            <w:pPr>
              <w:jc w:val="both"/>
              <w:rPr>
                <w:bCs/>
                <w:color w:val="002060"/>
                <w:sz w:val="16"/>
                <w:szCs w:val="16"/>
              </w:rPr>
            </w:pPr>
            <w:r w:rsidRPr="00DE096C">
              <w:rPr>
                <w:bCs/>
                <w:color w:val="002060"/>
                <w:sz w:val="16"/>
                <w:szCs w:val="16"/>
              </w:rPr>
              <w:t>2824</w:t>
            </w:r>
          </w:p>
        </w:tc>
        <w:tc>
          <w:tcPr>
            <w:tcW w:w="768" w:type="dxa"/>
          </w:tcPr>
          <w:p w14:paraId="13D4ABFB" w14:textId="77777777" w:rsidR="00B67D7C" w:rsidRPr="00DE096C" w:rsidRDefault="00B67D7C" w:rsidP="00D45A46">
            <w:pPr>
              <w:jc w:val="both"/>
              <w:rPr>
                <w:bCs/>
                <w:color w:val="002060"/>
                <w:sz w:val="16"/>
                <w:szCs w:val="16"/>
              </w:rPr>
            </w:pPr>
            <w:r w:rsidRPr="00DE096C">
              <w:rPr>
                <w:bCs/>
                <w:color w:val="002060"/>
                <w:sz w:val="16"/>
                <w:szCs w:val="16"/>
              </w:rPr>
              <w:t>2039</w:t>
            </w:r>
          </w:p>
        </w:tc>
        <w:tc>
          <w:tcPr>
            <w:tcW w:w="768" w:type="dxa"/>
          </w:tcPr>
          <w:p w14:paraId="60D67B46" w14:textId="77777777" w:rsidR="00B67D7C" w:rsidRPr="00DE096C" w:rsidRDefault="00B67D7C" w:rsidP="00D45A46">
            <w:pPr>
              <w:jc w:val="both"/>
              <w:rPr>
                <w:bCs/>
                <w:color w:val="002060"/>
                <w:sz w:val="16"/>
                <w:szCs w:val="16"/>
              </w:rPr>
            </w:pPr>
            <w:r w:rsidRPr="00DE096C">
              <w:rPr>
                <w:bCs/>
                <w:color w:val="002060"/>
                <w:sz w:val="16"/>
                <w:szCs w:val="16"/>
              </w:rPr>
              <w:t>2140</w:t>
            </w:r>
          </w:p>
        </w:tc>
        <w:tc>
          <w:tcPr>
            <w:tcW w:w="960" w:type="dxa"/>
          </w:tcPr>
          <w:p w14:paraId="1F440406" w14:textId="77777777" w:rsidR="00B67D7C" w:rsidRPr="00DE096C" w:rsidRDefault="00B67D7C" w:rsidP="00D45A46">
            <w:pPr>
              <w:jc w:val="both"/>
              <w:rPr>
                <w:bCs/>
                <w:color w:val="002060"/>
                <w:sz w:val="16"/>
                <w:szCs w:val="16"/>
              </w:rPr>
            </w:pPr>
            <w:r w:rsidRPr="00DE096C">
              <w:rPr>
                <w:bCs/>
                <w:color w:val="002060"/>
                <w:sz w:val="16"/>
                <w:szCs w:val="16"/>
              </w:rPr>
              <w:t>3200</w:t>
            </w:r>
          </w:p>
        </w:tc>
      </w:tr>
      <w:tr w:rsidR="00B67D7C" w:rsidRPr="00DE096C" w14:paraId="3570EDF4" w14:textId="77777777" w:rsidTr="00C2024A">
        <w:tc>
          <w:tcPr>
            <w:tcW w:w="3264" w:type="dxa"/>
          </w:tcPr>
          <w:p w14:paraId="35190155" w14:textId="77777777" w:rsidR="00B67D7C" w:rsidRPr="00DE096C" w:rsidRDefault="00B67D7C" w:rsidP="00D45A46">
            <w:pPr>
              <w:jc w:val="both"/>
              <w:rPr>
                <w:bCs/>
                <w:color w:val="002060"/>
                <w:sz w:val="16"/>
                <w:szCs w:val="16"/>
              </w:rPr>
            </w:pPr>
            <w:r w:rsidRPr="00DE096C">
              <w:rPr>
                <w:bCs/>
                <w:color w:val="002060"/>
                <w:sz w:val="16"/>
                <w:szCs w:val="16"/>
              </w:rPr>
              <w:t>Балтийский</w:t>
            </w:r>
          </w:p>
        </w:tc>
        <w:tc>
          <w:tcPr>
            <w:tcW w:w="768" w:type="dxa"/>
          </w:tcPr>
          <w:p w14:paraId="1B54DCDE" w14:textId="77777777" w:rsidR="00B67D7C" w:rsidRPr="00DE096C" w:rsidRDefault="00B67D7C" w:rsidP="00D45A46">
            <w:pPr>
              <w:jc w:val="both"/>
              <w:rPr>
                <w:bCs/>
                <w:color w:val="002060"/>
                <w:sz w:val="16"/>
                <w:szCs w:val="16"/>
              </w:rPr>
            </w:pPr>
            <w:r w:rsidRPr="00DE096C">
              <w:rPr>
                <w:bCs/>
                <w:color w:val="002060"/>
                <w:sz w:val="16"/>
                <w:szCs w:val="16"/>
              </w:rPr>
              <w:t>3398</w:t>
            </w:r>
          </w:p>
        </w:tc>
        <w:tc>
          <w:tcPr>
            <w:tcW w:w="768" w:type="dxa"/>
          </w:tcPr>
          <w:p w14:paraId="21A9F2F6" w14:textId="77777777" w:rsidR="00B67D7C" w:rsidRPr="00DE096C" w:rsidRDefault="00B67D7C" w:rsidP="00D45A46">
            <w:pPr>
              <w:jc w:val="both"/>
              <w:rPr>
                <w:bCs/>
                <w:color w:val="002060"/>
                <w:sz w:val="16"/>
                <w:szCs w:val="16"/>
              </w:rPr>
            </w:pPr>
            <w:r w:rsidRPr="00DE096C">
              <w:rPr>
                <w:bCs/>
                <w:color w:val="002060"/>
                <w:sz w:val="16"/>
                <w:szCs w:val="16"/>
              </w:rPr>
              <w:t>4062</w:t>
            </w:r>
          </w:p>
        </w:tc>
        <w:tc>
          <w:tcPr>
            <w:tcW w:w="768" w:type="dxa"/>
          </w:tcPr>
          <w:p w14:paraId="0FDA97B2" w14:textId="77777777" w:rsidR="00B67D7C" w:rsidRPr="00DE096C" w:rsidRDefault="00B67D7C" w:rsidP="00D45A46">
            <w:pPr>
              <w:jc w:val="both"/>
              <w:rPr>
                <w:bCs/>
                <w:color w:val="002060"/>
                <w:sz w:val="16"/>
                <w:szCs w:val="16"/>
              </w:rPr>
            </w:pPr>
            <w:r w:rsidRPr="00DE096C">
              <w:rPr>
                <w:bCs/>
                <w:color w:val="002060"/>
                <w:sz w:val="16"/>
                <w:szCs w:val="16"/>
              </w:rPr>
              <w:t>4382</w:t>
            </w:r>
          </w:p>
        </w:tc>
        <w:tc>
          <w:tcPr>
            <w:tcW w:w="768" w:type="dxa"/>
          </w:tcPr>
          <w:p w14:paraId="4FFA3059" w14:textId="77777777" w:rsidR="00B67D7C" w:rsidRPr="00DE096C" w:rsidRDefault="00B67D7C" w:rsidP="00D45A46">
            <w:pPr>
              <w:jc w:val="both"/>
              <w:rPr>
                <w:bCs/>
                <w:color w:val="002060"/>
                <w:sz w:val="16"/>
                <w:szCs w:val="16"/>
              </w:rPr>
            </w:pPr>
            <w:r w:rsidRPr="00DE096C">
              <w:rPr>
                <w:bCs/>
                <w:color w:val="002060"/>
                <w:sz w:val="16"/>
                <w:szCs w:val="16"/>
              </w:rPr>
              <w:t>4800</w:t>
            </w:r>
          </w:p>
        </w:tc>
        <w:tc>
          <w:tcPr>
            <w:tcW w:w="768" w:type="dxa"/>
          </w:tcPr>
          <w:p w14:paraId="4C1DB85F" w14:textId="77777777" w:rsidR="00B67D7C" w:rsidRPr="00DE096C" w:rsidRDefault="00B67D7C" w:rsidP="00D45A46">
            <w:pPr>
              <w:jc w:val="both"/>
              <w:rPr>
                <w:bCs/>
                <w:color w:val="002060"/>
                <w:sz w:val="16"/>
                <w:szCs w:val="16"/>
              </w:rPr>
            </w:pPr>
            <w:r w:rsidRPr="00DE096C">
              <w:rPr>
                <w:bCs/>
                <w:color w:val="002060"/>
                <w:sz w:val="16"/>
                <w:szCs w:val="16"/>
              </w:rPr>
              <w:t>5046</w:t>
            </w:r>
          </w:p>
        </w:tc>
        <w:tc>
          <w:tcPr>
            <w:tcW w:w="768" w:type="dxa"/>
          </w:tcPr>
          <w:p w14:paraId="2B36FFE3" w14:textId="77777777" w:rsidR="00B67D7C" w:rsidRPr="00DE096C" w:rsidRDefault="00B67D7C" w:rsidP="00D45A46">
            <w:pPr>
              <w:jc w:val="both"/>
              <w:rPr>
                <w:bCs/>
                <w:color w:val="002060"/>
                <w:sz w:val="16"/>
                <w:szCs w:val="16"/>
              </w:rPr>
            </w:pPr>
            <w:r w:rsidRPr="00DE096C">
              <w:rPr>
                <w:bCs/>
                <w:color w:val="002060"/>
                <w:sz w:val="16"/>
                <w:szCs w:val="16"/>
              </w:rPr>
              <w:t>4860</w:t>
            </w:r>
          </w:p>
        </w:tc>
        <w:tc>
          <w:tcPr>
            <w:tcW w:w="960" w:type="dxa"/>
          </w:tcPr>
          <w:p w14:paraId="7803661A" w14:textId="77777777" w:rsidR="00B67D7C" w:rsidRPr="00DE096C" w:rsidRDefault="00B67D7C" w:rsidP="00D45A46">
            <w:pPr>
              <w:jc w:val="both"/>
              <w:rPr>
                <w:bCs/>
                <w:color w:val="002060"/>
                <w:sz w:val="16"/>
                <w:szCs w:val="16"/>
              </w:rPr>
            </w:pPr>
            <w:r w:rsidRPr="00DE096C">
              <w:rPr>
                <w:bCs/>
                <w:color w:val="002060"/>
                <w:sz w:val="16"/>
                <w:szCs w:val="16"/>
              </w:rPr>
              <w:t>7055</w:t>
            </w:r>
          </w:p>
        </w:tc>
      </w:tr>
      <w:tr w:rsidR="00B67D7C" w:rsidRPr="00DE096C" w14:paraId="3D14514E" w14:textId="77777777" w:rsidTr="00C2024A">
        <w:tc>
          <w:tcPr>
            <w:tcW w:w="3264" w:type="dxa"/>
          </w:tcPr>
          <w:p w14:paraId="486582E1" w14:textId="77777777" w:rsidR="00B67D7C" w:rsidRPr="00DE096C" w:rsidRDefault="00B67D7C" w:rsidP="00D45A46">
            <w:pPr>
              <w:jc w:val="both"/>
              <w:rPr>
                <w:bCs/>
                <w:color w:val="002060"/>
                <w:sz w:val="16"/>
                <w:szCs w:val="16"/>
              </w:rPr>
            </w:pPr>
            <w:r w:rsidRPr="00DE096C">
              <w:rPr>
                <w:bCs/>
                <w:color w:val="002060"/>
                <w:sz w:val="16"/>
                <w:szCs w:val="16"/>
              </w:rPr>
              <w:t>Путиловская верфь</w:t>
            </w:r>
          </w:p>
        </w:tc>
        <w:tc>
          <w:tcPr>
            <w:tcW w:w="768" w:type="dxa"/>
          </w:tcPr>
          <w:p w14:paraId="795AD863" w14:textId="77777777" w:rsidR="00B67D7C" w:rsidRPr="00DE096C" w:rsidRDefault="00B67D7C" w:rsidP="00D45A46">
            <w:pPr>
              <w:jc w:val="both"/>
              <w:rPr>
                <w:bCs/>
                <w:color w:val="002060"/>
                <w:sz w:val="16"/>
                <w:szCs w:val="16"/>
              </w:rPr>
            </w:pPr>
            <w:r w:rsidRPr="00DE096C">
              <w:rPr>
                <w:bCs/>
                <w:color w:val="002060"/>
                <w:sz w:val="16"/>
                <w:szCs w:val="16"/>
              </w:rPr>
              <w:t>—</w:t>
            </w:r>
          </w:p>
        </w:tc>
        <w:tc>
          <w:tcPr>
            <w:tcW w:w="768" w:type="dxa"/>
          </w:tcPr>
          <w:p w14:paraId="2D2C4853" w14:textId="77777777" w:rsidR="00B67D7C" w:rsidRPr="00DE096C" w:rsidRDefault="00B67D7C" w:rsidP="00D45A46">
            <w:pPr>
              <w:jc w:val="both"/>
              <w:rPr>
                <w:bCs/>
                <w:color w:val="002060"/>
                <w:sz w:val="16"/>
                <w:szCs w:val="16"/>
              </w:rPr>
            </w:pPr>
            <w:r w:rsidRPr="00DE096C">
              <w:rPr>
                <w:bCs/>
                <w:color w:val="002060"/>
                <w:sz w:val="16"/>
                <w:szCs w:val="16"/>
              </w:rPr>
              <w:t>-</w:t>
            </w:r>
          </w:p>
        </w:tc>
        <w:tc>
          <w:tcPr>
            <w:tcW w:w="768" w:type="dxa"/>
          </w:tcPr>
          <w:p w14:paraId="16DF6375" w14:textId="77777777" w:rsidR="00B67D7C" w:rsidRPr="00DE096C" w:rsidRDefault="00B67D7C" w:rsidP="00D45A46">
            <w:pPr>
              <w:jc w:val="both"/>
              <w:rPr>
                <w:bCs/>
                <w:color w:val="002060"/>
                <w:sz w:val="16"/>
                <w:szCs w:val="16"/>
              </w:rPr>
            </w:pPr>
            <w:r w:rsidRPr="00DE096C">
              <w:rPr>
                <w:bCs/>
                <w:color w:val="002060"/>
                <w:sz w:val="16"/>
                <w:szCs w:val="16"/>
              </w:rPr>
              <w:t>-</w:t>
            </w:r>
          </w:p>
        </w:tc>
        <w:tc>
          <w:tcPr>
            <w:tcW w:w="768" w:type="dxa"/>
          </w:tcPr>
          <w:p w14:paraId="12F7480A" w14:textId="77777777" w:rsidR="00B67D7C" w:rsidRPr="00DE096C" w:rsidRDefault="00B67D7C" w:rsidP="00D45A46">
            <w:pPr>
              <w:jc w:val="both"/>
              <w:rPr>
                <w:bCs/>
                <w:color w:val="002060"/>
                <w:sz w:val="16"/>
                <w:szCs w:val="16"/>
              </w:rPr>
            </w:pPr>
            <w:r w:rsidRPr="00DE096C">
              <w:rPr>
                <w:bCs/>
                <w:color w:val="002060"/>
                <w:sz w:val="16"/>
                <w:szCs w:val="16"/>
              </w:rPr>
              <w:t>-</w:t>
            </w:r>
          </w:p>
        </w:tc>
        <w:tc>
          <w:tcPr>
            <w:tcW w:w="768" w:type="dxa"/>
          </w:tcPr>
          <w:p w14:paraId="33935484" w14:textId="77777777" w:rsidR="00B67D7C" w:rsidRPr="00DE096C" w:rsidRDefault="00B67D7C" w:rsidP="00D45A46">
            <w:pPr>
              <w:jc w:val="both"/>
              <w:rPr>
                <w:bCs/>
                <w:color w:val="002060"/>
                <w:sz w:val="16"/>
                <w:szCs w:val="16"/>
              </w:rPr>
            </w:pPr>
            <w:r w:rsidRPr="00DE096C">
              <w:rPr>
                <w:bCs/>
                <w:color w:val="002060"/>
                <w:sz w:val="16"/>
                <w:szCs w:val="16"/>
              </w:rPr>
              <w:t>2000</w:t>
            </w:r>
          </w:p>
        </w:tc>
        <w:tc>
          <w:tcPr>
            <w:tcW w:w="768" w:type="dxa"/>
          </w:tcPr>
          <w:p w14:paraId="361E1E3A" w14:textId="77777777" w:rsidR="00B67D7C" w:rsidRPr="00DE096C" w:rsidRDefault="00B67D7C" w:rsidP="00D45A46">
            <w:pPr>
              <w:jc w:val="both"/>
              <w:rPr>
                <w:bCs/>
                <w:color w:val="002060"/>
                <w:sz w:val="16"/>
                <w:szCs w:val="16"/>
              </w:rPr>
            </w:pPr>
            <w:r w:rsidRPr="00DE096C">
              <w:rPr>
                <w:bCs/>
                <w:color w:val="002060"/>
                <w:sz w:val="16"/>
                <w:szCs w:val="16"/>
              </w:rPr>
              <w:t>2400</w:t>
            </w:r>
          </w:p>
        </w:tc>
        <w:tc>
          <w:tcPr>
            <w:tcW w:w="960" w:type="dxa"/>
          </w:tcPr>
          <w:p w14:paraId="3C7A5B7B" w14:textId="77777777" w:rsidR="00B67D7C" w:rsidRPr="00DE096C" w:rsidRDefault="00B67D7C" w:rsidP="00D45A46">
            <w:pPr>
              <w:jc w:val="both"/>
              <w:rPr>
                <w:bCs/>
                <w:color w:val="002060"/>
                <w:sz w:val="16"/>
                <w:szCs w:val="16"/>
              </w:rPr>
            </w:pPr>
            <w:r w:rsidRPr="00DE096C">
              <w:rPr>
                <w:bCs/>
                <w:color w:val="002060"/>
                <w:sz w:val="16"/>
                <w:szCs w:val="16"/>
              </w:rPr>
              <w:t>3700</w:t>
            </w:r>
          </w:p>
        </w:tc>
      </w:tr>
      <w:tr w:rsidR="00B67D7C" w:rsidRPr="00DE096C" w14:paraId="7A6F584A" w14:textId="77777777" w:rsidTr="00C2024A">
        <w:tc>
          <w:tcPr>
            <w:tcW w:w="3264" w:type="dxa"/>
          </w:tcPr>
          <w:p w14:paraId="4F7FEC16" w14:textId="77777777" w:rsidR="00B67D7C" w:rsidRPr="00DE096C" w:rsidRDefault="00B67D7C" w:rsidP="00D45A46">
            <w:pPr>
              <w:jc w:val="both"/>
              <w:rPr>
                <w:bCs/>
                <w:color w:val="002060"/>
                <w:sz w:val="16"/>
                <w:szCs w:val="16"/>
              </w:rPr>
            </w:pPr>
            <w:r w:rsidRPr="00DE096C">
              <w:rPr>
                <w:bCs/>
                <w:color w:val="002060"/>
                <w:sz w:val="16"/>
                <w:szCs w:val="16"/>
              </w:rPr>
              <w:t>Обуховский</w:t>
            </w:r>
          </w:p>
        </w:tc>
        <w:tc>
          <w:tcPr>
            <w:tcW w:w="768" w:type="dxa"/>
          </w:tcPr>
          <w:p w14:paraId="7990DE28" w14:textId="77777777" w:rsidR="00B67D7C" w:rsidRPr="00DE096C" w:rsidRDefault="00B67D7C" w:rsidP="00D45A46">
            <w:pPr>
              <w:jc w:val="both"/>
              <w:rPr>
                <w:bCs/>
                <w:color w:val="002060"/>
                <w:sz w:val="16"/>
                <w:szCs w:val="16"/>
              </w:rPr>
            </w:pPr>
            <w:r w:rsidRPr="00DE096C">
              <w:rPr>
                <w:bCs/>
                <w:color w:val="002060"/>
                <w:sz w:val="16"/>
                <w:szCs w:val="16"/>
              </w:rPr>
              <w:t>-</w:t>
            </w:r>
          </w:p>
        </w:tc>
        <w:tc>
          <w:tcPr>
            <w:tcW w:w="768" w:type="dxa"/>
          </w:tcPr>
          <w:p w14:paraId="45A7A063" w14:textId="77777777" w:rsidR="00B67D7C" w:rsidRPr="00DE096C" w:rsidRDefault="00B67D7C" w:rsidP="00D45A46">
            <w:pPr>
              <w:jc w:val="both"/>
              <w:rPr>
                <w:bCs/>
                <w:color w:val="002060"/>
                <w:sz w:val="16"/>
                <w:szCs w:val="16"/>
              </w:rPr>
            </w:pPr>
            <w:r w:rsidRPr="00DE096C">
              <w:rPr>
                <w:bCs/>
                <w:color w:val="002060"/>
                <w:sz w:val="16"/>
                <w:szCs w:val="16"/>
              </w:rPr>
              <w:t>-</w:t>
            </w:r>
          </w:p>
        </w:tc>
        <w:tc>
          <w:tcPr>
            <w:tcW w:w="768" w:type="dxa"/>
          </w:tcPr>
          <w:p w14:paraId="4AC0D98B" w14:textId="77777777" w:rsidR="00B67D7C" w:rsidRPr="00DE096C" w:rsidRDefault="00B67D7C" w:rsidP="00D45A46">
            <w:pPr>
              <w:jc w:val="both"/>
              <w:rPr>
                <w:bCs/>
                <w:color w:val="002060"/>
                <w:sz w:val="16"/>
                <w:szCs w:val="16"/>
              </w:rPr>
            </w:pPr>
            <w:r w:rsidRPr="00DE096C">
              <w:rPr>
                <w:bCs/>
                <w:color w:val="002060"/>
                <w:sz w:val="16"/>
                <w:szCs w:val="16"/>
              </w:rPr>
              <w:t>-</w:t>
            </w:r>
          </w:p>
        </w:tc>
        <w:tc>
          <w:tcPr>
            <w:tcW w:w="768" w:type="dxa"/>
          </w:tcPr>
          <w:p w14:paraId="636692B2" w14:textId="77777777" w:rsidR="00B67D7C" w:rsidRPr="00DE096C" w:rsidRDefault="00B67D7C" w:rsidP="00D45A46">
            <w:pPr>
              <w:jc w:val="both"/>
              <w:rPr>
                <w:bCs/>
                <w:color w:val="002060"/>
                <w:sz w:val="16"/>
                <w:szCs w:val="16"/>
              </w:rPr>
            </w:pPr>
            <w:r w:rsidRPr="00DE096C">
              <w:rPr>
                <w:bCs/>
                <w:color w:val="002060"/>
                <w:sz w:val="16"/>
                <w:szCs w:val="16"/>
              </w:rPr>
              <w:t>3700</w:t>
            </w:r>
          </w:p>
        </w:tc>
        <w:tc>
          <w:tcPr>
            <w:tcW w:w="768" w:type="dxa"/>
          </w:tcPr>
          <w:p w14:paraId="71169166" w14:textId="77777777" w:rsidR="00B67D7C" w:rsidRPr="00DE096C" w:rsidRDefault="00B67D7C" w:rsidP="00D45A46">
            <w:pPr>
              <w:jc w:val="both"/>
              <w:rPr>
                <w:bCs/>
                <w:color w:val="002060"/>
                <w:sz w:val="16"/>
                <w:szCs w:val="16"/>
              </w:rPr>
            </w:pPr>
            <w:r w:rsidRPr="00DE096C">
              <w:rPr>
                <w:bCs/>
                <w:color w:val="002060"/>
                <w:sz w:val="16"/>
                <w:szCs w:val="16"/>
              </w:rPr>
              <w:t>3908</w:t>
            </w:r>
          </w:p>
        </w:tc>
        <w:tc>
          <w:tcPr>
            <w:tcW w:w="768" w:type="dxa"/>
          </w:tcPr>
          <w:p w14:paraId="09D4F4FD" w14:textId="77777777" w:rsidR="00B67D7C" w:rsidRPr="00DE096C" w:rsidRDefault="00B67D7C" w:rsidP="00D45A46">
            <w:pPr>
              <w:jc w:val="both"/>
              <w:rPr>
                <w:bCs/>
                <w:color w:val="002060"/>
                <w:sz w:val="16"/>
                <w:szCs w:val="16"/>
              </w:rPr>
            </w:pPr>
            <w:r w:rsidRPr="00DE096C">
              <w:rPr>
                <w:bCs/>
                <w:color w:val="002060"/>
                <w:sz w:val="16"/>
                <w:szCs w:val="16"/>
              </w:rPr>
              <w:t>4426</w:t>
            </w:r>
          </w:p>
        </w:tc>
        <w:tc>
          <w:tcPr>
            <w:tcW w:w="960" w:type="dxa"/>
          </w:tcPr>
          <w:p w14:paraId="49C735FF" w14:textId="77777777" w:rsidR="00B67D7C" w:rsidRPr="00DE096C" w:rsidRDefault="00B67D7C" w:rsidP="00D45A46">
            <w:pPr>
              <w:jc w:val="both"/>
              <w:rPr>
                <w:bCs/>
                <w:color w:val="002060"/>
                <w:sz w:val="16"/>
                <w:szCs w:val="16"/>
              </w:rPr>
            </w:pPr>
            <w:r w:rsidRPr="00DE096C">
              <w:rPr>
                <w:bCs/>
                <w:color w:val="002060"/>
                <w:sz w:val="16"/>
                <w:szCs w:val="16"/>
              </w:rPr>
              <w:t>5498</w:t>
            </w:r>
          </w:p>
        </w:tc>
      </w:tr>
      <w:tr w:rsidR="00B67D7C" w:rsidRPr="00DE096C" w14:paraId="5EC8E981" w14:textId="77777777" w:rsidTr="00C2024A">
        <w:tc>
          <w:tcPr>
            <w:tcW w:w="3264" w:type="dxa"/>
          </w:tcPr>
          <w:p w14:paraId="1C9B1B3A" w14:textId="77777777" w:rsidR="00B67D7C" w:rsidRPr="00DE096C" w:rsidRDefault="00B67D7C" w:rsidP="00D45A46">
            <w:pPr>
              <w:jc w:val="both"/>
              <w:rPr>
                <w:bCs/>
                <w:color w:val="002060"/>
                <w:sz w:val="16"/>
                <w:szCs w:val="16"/>
              </w:rPr>
            </w:pPr>
            <w:r w:rsidRPr="00DE096C">
              <w:rPr>
                <w:bCs/>
                <w:color w:val="002060"/>
                <w:sz w:val="16"/>
                <w:szCs w:val="16"/>
              </w:rPr>
              <w:t>Ижорский</w:t>
            </w:r>
          </w:p>
        </w:tc>
        <w:tc>
          <w:tcPr>
            <w:tcW w:w="768" w:type="dxa"/>
          </w:tcPr>
          <w:p w14:paraId="05703BCB" w14:textId="77777777" w:rsidR="00B67D7C" w:rsidRPr="00DE096C" w:rsidRDefault="00B67D7C" w:rsidP="00D45A46">
            <w:pPr>
              <w:jc w:val="both"/>
              <w:rPr>
                <w:bCs/>
                <w:color w:val="002060"/>
                <w:sz w:val="16"/>
                <w:szCs w:val="16"/>
              </w:rPr>
            </w:pPr>
            <w:r w:rsidRPr="00DE096C">
              <w:rPr>
                <w:bCs/>
                <w:color w:val="002060"/>
                <w:sz w:val="16"/>
                <w:szCs w:val="16"/>
              </w:rPr>
              <w:t>2870</w:t>
            </w:r>
          </w:p>
        </w:tc>
        <w:tc>
          <w:tcPr>
            <w:tcW w:w="768" w:type="dxa"/>
          </w:tcPr>
          <w:p w14:paraId="3DB2854E" w14:textId="77777777" w:rsidR="00B67D7C" w:rsidRPr="00DE096C" w:rsidRDefault="00B67D7C" w:rsidP="00D45A46">
            <w:pPr>
              <w:jc w:val="both"/>
              <w:rPr>
                <w:bCs/>
                <w:color w:val="002060"/>
                <w:sz w:val="16"/>
                <w:szCs w:val="16"/>
              </w:rPr>
            </w:pPr>
            <w:r w:rsidRPr="00DE096C">
              <w:rPr>
                <w:bCs/>
                <w:color w:val="002060"/>
                <w:sz w:val="16"/>
                <w:szCs w:val="16"/>
              </w:rPr>
              <w:t>2547</w:t>
            </w:r>
          </w:p>
        </w:tc>
        <w:tc>
          <w:tcPr>
            <w:tcW w:w="768" w:type="dxa"/>
          </w:tcPr>
          <w:p w14:paraId="04B0E1C6" w14:textId="77777777" w:rsidR="00B67D7C" w:rsidRPr="00DE096C" w:rsidRDefault="00B67D7C" w:rsidP="00D45A46">
            <w:pPr>
              <w:jc w:val="both"/>
              <w:rPr>
                <w:bCs/>
                <w:color w:val="002060"/>
                <w:sz w:val="16"/>
                <w:szCs w:val="16"/>
              </w:rPr>
            </w:pPr>
            <w:r w:rsidRPr="00DE096C">
              <w:rPr>
                <w:bCs/>
                <w:color w:val="002060"/>
                <w:sz w:val="16"/>
                <w:szCs w:val="16"/>
              </w:rPr>
              <w:t>3328</w:t>
            </w:r>
          </w:p>
        </w:tc>
        <w:tc>
          <w:tcPr>
            <w:tcW w:w="768" w:type="dxa"/>
          </w:tcPr>
          <w:p w14:paraId="10D213A4" w14:textId="77777777" w:rsidR="00B67D7C" w:rsidRPr="00DE096C" w:rsidRDefault="00B67D7C" w:rsidP="00D45A46">
            <w:pPr>
              <w:jc w:val="both"/>
              <w:rPr>
                <w:bCs/>
                <w:color w:val="002060"/>
                <w:sz w:val="16"/>
                <w:szCs w:val="16"/>
              </w:rPr>
            </w:pPr>
            <w:r w:rsidRPr="00DE096C">
              <w:rPr>
                <w:bCs/>
                <w:color w:val="002060"/>
                <w:sz w:val="16"/>
                <w:szCs w:val="16"/>
              </w:rPr>
              <w:t>3762</w:t>
            </w:r>
          </w:p>
        </w:tc>
        <w:tc>
          <w:tcPr>
            <w:tcW w:w="768" w:type="dxa"/>
          </w:tcPr>
          <w:p w14:paraId="66484295" w14:textId="77777777" w:rsidR="00B67D7C" w:rsidRPr="00DE096C" w:rsidRDefault="00B67D7C" w:rsidP="00D45A46">
            <w:pPr>
              <w:jc w:val="both"/>
              <w:rPr>
                <w:bCs/>
                <w:color w:val="002060"/>
                <w:sz w:val="16"/>
                <w:szCs w:val="16"/>
              </w:rPr>
            </w:pPr>
            <w:r w:rsidRPr="00DE096C">
              <w:rPr>
                <w:bCs/>
                <w:color w:val="002060"/>
                <w:sz w:val="16"/>
                <w:szCs w:val="16"/>
              </w:rPr>
              <w:t>4858</w:t>
            </w:r>
          </w:p>
        </w:tc>
        <w:tc>
          <w:tcPr>
            <w:tcW w:w="768" w:type="dxa"/>
          </w:tcPr>
          <w:p w14:paraId="7D2F3D52" w14:textId="77777777" w:rsidR="00B67D7C" w:rsidRPr="00DE096C" w:rsidRDefault="00B67D7C" w:rsidP="00D45A46">
            <w:pPr>
              <w:jc w:val="both"/>
              <w:rPr>
                <w:bCs/>
                <w:color w:val="002060"/>
                <w:sz w:val="16"/>
                <w:szCs w:val="16"/>
              </w:rPr>
            </w:pPr>
            <w:r w:rsidRPr="00DE096C">
              <w:rPr>
                <w:bCs/>
                <w:color w:val="002060"/>
                <w:sz w:val="16"/>
                <w:szCs w:val="16"/>
              </w:rPr>
              <w:t>5543</w:t>
            </w:r>
          </w:p>
        </w:tc>
        <w:tc>
          <w:tcPr>
            <w:tcW w:w="960" w:type="dxa"/>
          </w:tcPr>
          <w:p w14:paraId="185061E9" w14:textId="77777777" w:rsidR="00B67D7C" w:rsidRPr="00DE096C" w:rsidRDefault="00B67D7C" w:rsidP="00D45A46">
            <w:pPr>
              <w:jc w:val="both"/>
              <w:rPr>
                <w:bCs/>
                <w:color w:val="002060"/>
                <w:sz w:val="16"/>
                <w:szCs w:val="16"/>
              </w:rPr>
            </w:pPr>
            <w:r w:rsidRPr="00DE096C">
              <w:rPr>
                <w:bCs/>
                <w:color w:val="002060"/>
                <w:sz w:val="16"/>
                <w:szCs w:val="16"/>
              </w:rPr>
              <w:t>6084</w:t>
            </w:r>
          </w:p>
        </w:tc>
      </w:tr>
      <w:tr w:rsidR="00B67D7C" w:rsidRPr="00DE096C" w14:paraId="45BA162B" w14:textId="77777777" w:rsidTr="00C2024A">
        <w:tc>
          <w:tcPr>
            <w:tcW w:w="3264" w:type="dxa"/>
          </w:tcPr>
          <w:p w14:paraId="5CB2ED1A" w14:textId="77777777" w:rsidR="00B67D7C" w:rsidRPr="00DE096C" w:rsidRDefault="00B67D7C" w:rsidP="00D45A46">
            <w:pPr>
              <w:jc w:val="both"/>
              <w:rPr>
                <w:bCs/>
                <w:color w:val="002060"/>
                <w:sz w:val="16"/>
                <w:szCs w:val="16"/>
              </w:rPr>
            </w:pPr>
            <w:r w:rsidRPr="00DE096C">
              <w:rPr>
                <w:bCs/>
                <w:color w:val="002060"/>
                <w:sz w:val="16"/>
                <w:szCs w:val="16"/>
              </w:rPr>
              <w:t>«Наваль»</w:t>
            </w:r>
          </w:p>
        </w:tc>
        <w:tc>
          <w:tcPr>
            <w:tcW w:w="768" w:type="dxa"/>
          </w:tcPr>
          <w:p w14:paraId="573EE638" w14:textId="77777777" w:rsidR="00B67D7C" w:rsidRPr="00DE096C" w:rsidRDefault="00B67D7C" w:rsidP="00D45A46">
            <w:pPr>
              <w:jc w:val="both"/>
              <w:rPr>
                <w:bCs/>
                <w:color w:val="002060"/>
                <w:sz w:val="16"/>
                <w:szCs w:val="16"/>
              </w:rPr>
            </w:pPr>
            <w:r w:rsidRPr="00DE096C">
              <w:rPr>
                <w:bCs/>
                <w:color w:val="002060"/>
                <w:sz w:val="16"/>
                <w:szCs w:val="16"/>
              </w:rPr>
              <w:t>-</w:t>
            </w:r>
          </w:p>
        </w:tc>
        <w:tc>
          <w:tcPr>
            <w:tcW w:w="768" w:type="dxa"/>
          </w:tcPr>
          <w:p w14:paraId="2312E224" w14:textId="77777777" w:rsidR="00B67D7C" w:rsidRPr="00DE096C" w:rsidRDefault="00B67D7C" w:rsidP="00D45A46">
            <w:pPr>
              <w:jc w:val="both"/>
              <w:rPr>
                <w:bCs/>
                <w:color w:val="002060"/>
                <w:sz w:val="16"/>
                <w:szCs w:val="16"/>
              </w:rPr>
            </w:pPr>
            <w:r w:rsidRPr="00DE096C">
              <w:rPr>
                <w:bCs/>
                <w:color w:val="002060"/>
                <w:sz w:val="16"/>
                <w:szCs w:val="16"/>
              </w:rPr>
              <w:t>-</w:t>
            </w:r>
          </w:p>
        </w:tc>
        <w:tc>
          <w:tcPr>
            <w:tcW w:w="768" w:type="dxa"/>
          </w:tcPr>
          <w:p w14:paraId="267A32DB" w14:textId="77777777" w:rsidR="00B67D7C" w:rsidRPr="00DE096C" w:rsidRDefault="00B67D7C" w:rsidP="00D45A46">
            <w:pPr>
              <w:jc w:val="both"/>
              <w:rPr>
                <w:bCs/>
                <w:color w:val="002060"/>
                <w:sz w:val="16"/>
                <w:szCs w:val="16"/>
              </w:rPr>
            </w:pPr>
            <w:r w:rsidRPr="00DE096C">
              <w:rPr>
                <w:bCs/>
                <w:color w:val="002060"/>
                <w:sz w:val="16"/>
                <w:szCs w:val="16"/>
              </w:rPr>
              <w:t>-</w:t>
            </w:r>
          </w:p>
        </w:tc>
        <w:tc>
          <w:tcPr>
            <w:tcW w:w="768" w:type="dxa"/>
          </w:tcPr>
          <w:p w14:paraId="38FDC2BE" w14:textId="77777777" w:rsidR="00B67D7C" w:rsidRPr="00DE096C" w:rsidRDefault="00B67D7C" w:rsidP="00D45A46">
            <w:pPr>
              <w:jc w:val="both"/>
              <w:rPr>
                <w:bCs/>
                <w:color w:val="002060"/>
                <w:sz w:val="16"/>
                <w:szCs w:val="16"/>
              </w:rPr>
            </w:pPr>
            <w:r w:rsidRPr="00DE096C">
              <w:rPr>
                <w:bCs/>
                <w:color w:val="002060"/>
                <w:sz w:val="16"/>
                <w:szCs w:val="16"/>
              </w:rPr>
              <w:t>2200</w:t>
            </w:r>
          </w:p>
        </w:tc>
        <w:tc>
          <w:tcPr>
            <w:tcW w:w="768" w:type="dxa"/>
          </w:tcPr>
          <w:p w14:paraId="7A24BBED" w14:textId="77777777" w:rsidR="00B67D7C" w:rsidRPr="00DE096C" w:rsidRDefault="00B67D7C" w:rsidP="00D45A46">
            <w:pPr>
              <w:jc w:val="both"/>
              <w:rPr>
                <w:bCs/>
                <w:color w:val="002060"/>
                <w:sz w:val="16"/>
                <w:szCs w:val="16"/>
              </w:rPr>
            </w:pPr>
            <w:r w:rsidRPr="00DE096C">
              <w:rPr>
                <w:bCs/>
                <w:color w:val="002060"/>
                <w:sz w:val="16"/>
                <w:szCs w:val="16"/>
              </w:rPr>
              <w:t>3200</w:t>
            </w:r>
          </w:p>
        </w:tc>
        <w:tc>
          <w:tcPr>
            <w:tcW w:w="768" w:type="dxa"/>
          </w:tcPr>
          <w:p w14:paraId="6E4A692F" w14:textId="77777777" w:rsidR="00B67D7C" w:rsidRPr="00DE096C" w:rsidRDefault="00B67D7C" w:rsidP="00D45A46">
            <w:pPr>
              <w:jc w:val="both"/>
              <w:rPr>
                <w:bCs/>
                <w:color w:val="002060"/>
                <w:sz w:val="16"/>
                <w:szCs w:val="16"/>
              </w:rPr>
            </w:pPr>
            <w:r w:rsidRPr="00DE096C">
              <w:rPr>
                <w:bCs/>
                <w:color w:val="002060"/>
                <w:sz w:val="16"/>
                <w:szCs w:val="16"/>
              </w:rPr>
              <w:t>6700</w:t>
            </w:r>
          </w:p>
        </w:tc>
        <w:tc>
          <w:tcPr>
            <w:tcW w:w="960" w:type="dxa"/>
          </w:tcPr>
          <w:p w14:paraId="37B2141B" w14:textId="77777777" w:rsidR="00B67D7C" w:rsidRPr="00DE096C" w:rsidRDefault="00B67D7C" w:rsidP="00D45A46">
            <w:pPr>
              <w:jc w:val="both"/>
              <w:rPr>
                <w:bCs/>
                <w:color w:val="002060"/>
                <w:sz w:val="16"/>
                <w:szCs w:val="16"/>
              </w:rPr>
            </w:pPr>
            <w:r w:rsidRPr="00DE096C">
              <w:rPr>
                <w:bCs/>
                <w:color w:val="002060"/>
                <w:sz w:val="16"/>
                <w:szCs w:val="16"/>
              </w:rPr>
              <w:t>10600</w:t>
            </w:r>
          </w:p>
        </w:tc>
      </w:tr>
      <w:tr w:rsidR="00B67D7C" w:rsidRPr="00DE096C" w14:paraId="54258F1F" w14:textId="77777777" w:rsidTr="00C2024A">
        <w:tc>
          <w:tcPr>
            <w:tcW w:w="3264" w:type="dxa"/>
          </w:tcPr>
          <w:p w14:paraId="0EF1389B" w14:textId="77777777" w:rsidR="00B67D7C" w:rsidRPr="00DE096C" w:rsidRDefault="00B67D7C" w:rsidP="00D45A46">
            <w:pPr>
              <w:jc w:val="both"/>
              <w:rPr>
                <w:bCs/>
                <w:color w:val="002060"/>
                <w:sz w:val="16"/>
                <w:szCs w:val="16"/>
              </w:rPr>
            </w:pPr>
            <w:r w:rsidRPr="00DE096C">
              <w:rPr>
                <w:bCs/>
                <w:color w:val="002060"/>
                <w:sz w:val="16"/>
                <w:szCs w:val="16"/>
              </w:rPr>
              <w:t>«Руссуд»</w:t>
            </w:r>
          </w:p>
        </w:tc>
        <w:tc>
          <w:tcPr>
            <w:tcW w:w="768" w:type="dxa"/>
          </w:tcPr>
          <w:p w14:paraId="571542A3" w14:textId="77777777" w:rsidR="00B67D7C" w:rsidRPr="00DE096C" w:rsidRDefault="00B67D7C" w:rsidP="00D45A46">
            <w:pPr>
              <w:jc w:val="both"/>
              <w:rPr>
                <w:bCs/>
                <w:color w:val="002060"/>
                <w:sz w:val="16"/>
                <w:szCs w:val="16"/>
              </w:rPr>
            </w:pPr>
            <w:r w:rsidRPr="00DE096C">
              <w:rPr>
                <w:bCs/>
                <w:color w:val="002060"/>
                <w:sz w:val="16"/>
                <w:szCs w:val="16"/>
              </w:rPr>
              <w:t>-</w:t>
            </w:r>
          </w:p>
        </w:tc>
        <w:tc>
          <w:tcPr>
            <w:tcW w:w="768" w:type="dxa"/>
          </w:tcPr>
          <w:p w14:paraId="65AA471F" w14:textId="77777777" w:rsidR="00B67D7C" w:rsidRPr="00DE096C" w:rsidRDefault="00B67D7C" w:rsidP="00D45A46">
            <w:pPr>
              <w:jc w:val="both"/>
              <w:rPr>
                <w:bCs/>
                <w:color w:val="002060"/>
                <w:sz w:val="16"/>
                <w:szCs w:val="16"/>
              </w:rPr>
            </w:pPr>
            <w:r w:rsidRPr="00DE096C">
              <w:rPr>
                <w:bCs/>
                <w:color w:val="002060"/>
                <w:sz w:val="16"/>
                <w:szCs w:val="16"/>
              </w:rPr>
              <w:t>-</w:t>
            </w:r>
          </w:p>
        </w:tc>
        <w:tc>
          <w:tcPr>
            <w:tcW w:w="768" w:type="dxa"/>
          </w:tcPr>
          <w:p w14:paraId="50775D48" w14:textId="77777777" w:rsidR="00B67D7C" w:rsidRPr="00DE096C" w:rsidRDefault="00B67D7C" w:rsidP="00D45A46">
            <w:pPr>
              <w:jc w:val="both"/>
              <w:rPr>
                <w:bCs/>
                <w:color w:val="002060"/>
                <w:sz w:val="16"/>
                <w:szCs w:val="16"/>
              </w:rPr>
            </w:pPr>
            <w:r w:rsidRPr="00DE096C">
              <w:rPr>
                <w:bCs/>
                <w:color w:val="002060"/>
                <w:sz w:val="16"/>
                <w:szCs w:val="16"/>
              </w:rPr>
              <w:t>-</w:t>
            </w:r>
          </w:p>
        </w:tc>
        <w:tc>
          <w:tcPr>
            <w:tcW w:w="768" w:type="dxa"/>
          </w:tcPr>
          <w:p w14:paraId="0E427803" w14:textId="77777777" w:rsidR="00B67D7C" w:rsidRPr="00DE096C" w:rsidRDefault="00B67D7C" w:rsidP="00D45A46">
            <w:pPr>
              <w:jc w:val="both"/>
              <w:rPr>
                <w:bCs/>
                <w:color w:val="002060"/>
                <w:sz w:val="16"/>
                <w:szCs w:val="16"/>
              </w:rPr>
            </w:pPr>
            <w:r w:rsidRPr="00DE096C">
              <w:rPr>
                <w:bCs/>
                <w:color w:val="002060"/>
                <w:sz w:val="16"/>
                <w:szCs w:val="16"/>
              </w:rPr>
              <w:t>-</w:t>
            </w:r>
          </w:p>
        </w:tc>
        <w:tc>
          <w:tcPr>
            <w:tcW w:w="768" w:type="dxa"/>
          </w:tcPr>
          <w:p w14:paraId="2702D14D" w14:textId="77777777" w:rsidR="00B67D7C" w:rsidRPr="00DE096C" w:rsidRDefault="00B67D7C" w:rsidP="00D45A46">
            <w:pPr>
              <w:jc w:val="both"/>
              <w:rPr>
                <w:bCs/>
                <w:color w:val="002060"/>
                <w:sz w:val="16"/>
                <w:szCs w:val="16"/>
              </w:rPr>
            </w:pPr>
            <w:r w:rsidRPr="00DE096C">
              <w:rPr>
                <w:bCs/>
                <w:color w:val="002060"/>
                <w:sz w:val="16"/>
                <w:szCs w:val="16"/>
              </w:rPr>
              <w:t>1300</w:t>
            </w:r>
          </w:p>
        </w:tc>
        <w:tc>
          <w:tcPr>
            <w:tcW w:w="768" w:type="dxa"/>
          </w:tcPr>
          <w:p w14:paraId="32243204" w14:textId="77777777" w:rsidR="00B67D7C" w:rsidRPr="00DE096C" w:rsidRDefault="00B67D7C" w:rsidP="00D45A46">
            <w:pPr>
              <w:jc w:val="both"/>
              <w:rPr>
                <w:bCs/>
                <w:color w:val="002060"/>
                <w:sz w:val="16"/>
                <w:szCs w:val="16"/>
              </w:rPr>
            </w:pPr>
            <w:r w:rsidRPr="00DE096C">
              <w:rPr>
                <w:bCs/>
                <w:color w:val="002060"/>
                <w:sz w:val="16"/>
                <w:szCs w:val="16"/>
              </w:rPr>
              <w:t>2600</w:t>
            </w:r>
          </w:p>
        </w:tc>
        <w:tc>
          <w:tcPr>
            <w:tcW w:w="960" w:type="dxa"/>
          </w:tcPr>
          <w:p w14:paraId="319FA263" w14:textId="77777777" w:rsidR="00B67D7C" w:rsidRPr="00DE096C" w:rsidRDefault="00B67D7C" w:rsidP="00D45A46">
            <w:pPr>
              <w:jc w:val="both"/>
              <w:rPr>
                <w:bCs/>
                <w:color w:val="002060"/>
                <w:sz w:val="16"/>
                <w:szCs w:val="16"/>
              </w:rPr>
            </w:pPr>
            <w:r w:rsidRPr="00DE096C">
              <w:rPr>
                <w:bCs/>
                <w:color w:val="002060"/>
                <w:sz w:val="16"/>
                <w:szCs w:val="16"/>
              </w:rPr>
              <w:t>2900</w:t>
            </w:r>
          </w:p>
        </w:tc>
      </w:tr>
      <w:tr w:rsidR="00B67D7C" w:rsidRPr="00DE096C" w14:paraId="31D652C1" w14:textId="77777777" w:rsidTr="00C2024A">
        <w:tc>
          <w:tcPr>
            <w:tcW w:w="3264" w:type="dxa"/>
          </w:tcPr>
          <w:p w14:paraId="3FF08C53" w14:textId="77777777" w:rsidR="00B67D7C" w:rsidRPr="00DE096C" w:rsidRDefault="00B67D7C" w:rsidP="00D45A46">
            <w:pPr>
              <w:jc w:val="both"/>
              <w:rPr>
                <w:bCs/>
                <w:color w:val="002060"/>
                <w:sz w:val="16"/>
                <w:szCs w:val="16"/>
              </w:rPr>
            </w:pPr>
            <w:r w:rsidRPr="00DE096C">
              <w:rPr>
                <w:bCs/>
                <w:color w:val="002060"/>
                <w:sz w:val="16"/>
                <w:szCs w:val="16"/>
              </w:rPr>
              <w:t>Русско-Балтийский</w:t>
            </w:r>
          </w:p>
        </w:tc>
        <w:tc>
          <w:tcPr>
            <w:tcW w:w="768" w:type="dxa"/>
          </w:tcPr>
          <w:p w14:paraId="0A4433DB" w14:textId="77777777" w:rsidR="00B67D7C" w:rsidRPr="00DE096C" w:rsidRDefault="00B67D7C" w:rsidP="00D45A46">
            <w:pPr>
              <w:jc w:val="both"/>
              <w:rPr>
                <w:bCs/>
                <w:color w:val="002060"/>
                <w:sz w:val="16"/>
                <w:szCs w:val="16"/>
              </w:rPr>
            </w:pPr>
            <w:r w:rsidRPr="00DE096C">
              <w:rPr>
                <w:bCs/>
                <w:color w:val="002060"/>
                <w:sz w:val="16"/>
                <w:szCs w:val="16"/>
              </w:rPr>
              <w:t>—</w:t>
            </w:r>
          </w:p>
        </w:tc>
        <w:tc>
          <w:tcPr>
            <w:tcW w:w="768" w:type="dxa"/>
          </w:tcPr>
          <w:p w14:paraId="75861B04" w14:textId="77777777" w:rsidR="00B67D7C" w:rsidRPr="00DE096C" w:rsidRDefault="00B67D7C" w:rsidP="00D45A46">
            <w:pPr>
              <w:jc w:val="both"/>
              <w:rPr>
                <w:bCs/>
                <w:color w:val="002060"/>
                <w:sz w:val="16"/>
                <w:szCs w:val="16"/>
              </w:rPr>
            </w:pPr>
            <w:r w:rsidRPr="00DE096C">
              <w:rPr>
                <w:bCs/>
                <w:color w:val="002060"/>
                <w:sz w:val="16"/>
                <w:szCs w:val="16"/>
              </w:rPr>
              <w:t>-</w:t>
            </w:r>
          </w:p>
        </w:tc>
        <w:tc>
          <w:tcPr>
            <w:tcW w:w="768" w:type="dxa"/>
          </w:tcPr>
          <w:p w14:paraId="34C76D14" w14:textId="77777777" w:rsidR="00B67D7C" w:rsidRPr="00DE096C" w:rsidRDefault="00B67D7C" w:rsidP="00D45A46">
            <w:pPr>
              <w:jc w:val="both"/>
              <w:rPr>
                <w:bCs/>
                <w:color w:val="002060"/>
                <w:sz w:val="16"/>
                <w:szCs w:val="16"/>
              </w:rPr>
            </w:pPr>
            <w:r w:rsidRPr="00DE096C">
              <w:rPr>
                <w:bCs/>
                <w:color w:val="002060"/>
                <w:sz w:val="16"/>
                <w:szCs w:val="16"/>
              </w:rPr>
              <w:t>-</w:t>
            </w:r>
          </w:p>
        </w:tc>
        <w:tc>
          <w:tcPr>
            <w:tcW w:w="768" w:type="dxa"/>
          </w:tcPr>
          <w:p w14:paraId="61B05F39" w14:textId="77777777" w:rsidR="00B67D7C" w:rsidRPr="00DE096C" w:rsidRDefault="00B67D7C" w:rsidP="00D45A46">
            <w:pPr>
              <w:jc w:val="both"/>
              <w:rPr>
                <w:bCs/>
                <w:color w:val="002060"/>
                <w:sz w:val="16"/>
                <w:szCs w:val="16"/>
              </w:rPr>
            </w:pPr>
            <w:r w:rsidRPr="00DE096C">
              <w:rPr>
                <w:bCs/>
                <w:color w:val="002060"/>
                <w:sz w:val="16"/>
                <w:szCs w:val="16"/>
              </w:rPr>
              <w:t>-</w:t>
            </w:r>
          </w:p>
        </w:tc>
        <w:tc>
          <w:tcPr>
            <w:tcW w:w="768" w:type="dxa"/>
          </w:tcPr>
          <w:p w14:paraId="4641E812" w14:textId="77777777" w:rsidR="00B67D7C" w:rsidRPr="00DE096C" w:rsidRDefault="00B67D7C" w:rsidP="00D45A46">
            <w:pPr>
              <w:jc w:val="both"/>
              <w:rPr>
                <w:bCs/>
                <w:color w:val="002060"/>
                <w:sz w:val="16"/>
                <w:szCs w:val="16"/>
              </w:rPr>
            </w:pPr>
            <w:r w:rsidRPr="00DE096C">
              <w:rPr>
                <w:bCs/>
                <w:color w:val="002060"/>
                <w:sz w:val="16"/>
                <w:szCs w:val="16"/>
              </w:rPr>
              <w:t>-</w:t>
            </w:r>
          </w:p>
        </w:tc>
        <w:tc>
          <w:tcPr>
            <w:tcW w:w="768" w:type="dxa"/>
          </w:tcPr>
          <w:p w14:paraId="6970D6A0" w14:textId="77777777" w:rsidR="00B67D7C" w:rsidRPr="00DE096C" w:rsidRDefault="00B67D7C" w:rsidP="00D45A46">
            <w:pPr>
              <w:jc w:val="both"/>
              <w:rPr>
                <w:bCs/>
                <w:color w:val="002060"/>
                <w:sz w:val="16"/>
                <w:szCs w:val="16"/>
              </w:rPr>
            </w:pPr>
            <w:r w:rsidRPr="00DE096C">
              <w:rPr>
                <w:bCs/>
                <w:color w:val="002060"/>
                <w:sz w:val="16"/>
                <w:szCs w:val="16"/>
              </w:rPr>
              <w:t>2600</w:t>
            </w:r>
          </w:p>
        </w:tc>
        <w:tc>
          <w:tcPr>
            <w:tcW w:w="960" w:type="dxa"/>
          </w:tcPr>
          <w:p w14:paraId="28E69B08" w14:textId="77777777" w:rsidR="00B67D7C" w:rsidRPr="00DE096C" w:rsidRDefault="00B67D7C" w:rsidP="00D45A46">
            <w:pPr>
              <w:jc w:val="both"/>
              <w:rPr>
                <w:bCs/>
                <w:color w:val="002060"/>
                <w:sz w:val="16"/>
                <w:szCs w:val="16"/>
              </w:rPr>
            </w:pPr>
            <w:r w:rsidRPr="00DE096C">
              <w:rPr>
                <w:bCs/>
                <w:color w:val="002060"/>
                <w:sz w:val="16"/>
                <w:szCs w:val="16"/>
              </w:rPr>
              <w:t>3000</w:t>
            </w:r>
          </w:p>
        </w:tc>
      </w:tr>
    </w:tbl>
    <w:p w14:paraId="06318F95" w14:textId="77777777" w:rsidR="00B67D7C" w:rsidRPr="00DE096C" w:rsidRDefault="00B67D7C" w:rsidP="00D45A46">
      <w:pPr>
        <w:jc w:val="both"/>
        <w:rPr>
          <w:bCs/>
          <w:color w:val="002060"/>
          <w:sz w:val="16"/>
          <w:szCs w:val="16"/>
        </w:rPr>
      </w:pPr>
      <w:r w:rsidRPr="00DE096C">
        <w:rPr>
          <w:bCs/>
          <w:color w:val="002060"/>
          <w:sz w:val="16"/>
          <w:szCs w:val="16"/>
        </w:rPr>
        <w:t>Основные заводы и верфи (существующие, реконструируемые и строящиеся) занятые в программах строительства линейных сил по «Закону о флоте».</w:t>
      </w:r>
    </w:p>
    <w:p w14:paraId="365DF5F6" w14:textId="77777777" w:rsidR="00B67D7C" w:rsidRPr="00DE096C" w:rsidRDefault="00B67D7C" w:rsidP="00D45A46">
      <w:pPr>
        <w:jc w:val="both"/>
        <w:rPr>
          <w:bCs/>
          <w:color w:val="002060"/>
          <w:sz w:val="16"/>
          <w:szCs w:val="16"/>
        </w:rPr>
      </w:pPr>
      <w:r w:rsidRPr="00DE096C">
        <w:rPr>
          <w:bCs/>
          <w:color w:val="002060"/>
          <w:sz w:val="16"/>
          <w:szCs w:val="16"/>
        </w:rPr>
        <w:t>Санкт-Петербург:</w:t>
      </w:r>
    </w:p>
    <w:p w14:paraId="4DB1A600" w14:textId="77777777" w:rsidR="00B67D7C" w:rsidRPr="00DE096C" w:rsidRDefault="00B67D7C" w:rsidP="00D45A46">
      <w:pPr>
        <w:jc w:val="both"/>
        <w:rPr>
          <w:bCs/>
          <w:color w:val="002060"/>
          <w:sz w:val="16"/>
          <w:szCs w:val="16"/>
        </w:rPr>
      </w:pPr>
      <w:r w:rsidRPr="00DE096C">
        <w:rPr>
          <w:bCs/>
          <w:color w:val="002060"/>
          <w:sz w:val="16"/>
          <w:szCs w:val="16"/>
        </w:rPr>
        <w:t>1. Адмиралтейский завод (корпуса, орудийные установки)</w:t>
      </w:r>
    </w:p>
    <w:p w14:paraId="333A1A5A" w14:textId="77777777" w:rsidR="00B67D7C" w:rsidRPr="00DE096C" w:rsidRDefault="00B67D7C" w:rsidP="00D45A46">
      <w:pPr>
        <w:jc w:val="both"/>
        <w:rPr>
          <w:bCs/>
          <w:color w:val="002060"/>
          <w:sz w:val="16"/>
          <w:szCs w:val="16"/>
        </w:rPr>
      </w:pPr>
      <w:r w:rsidRPr="00DE096C">
        <w:rPr>
          <w:bCs/>
          <w:color w:val="002060"/>
          <w:sz w:val="16"/>
          <w:szCs w:val="16"/>
        </w:rPr>
        <w:t>2. Франко-Русский завод (котлы, турбины)</w:t>
      </w:r>
    </w:p>
    <w:p w14:paraId="5711CC0E" w14:textId="77777777" w:rsidR="00B67D7C" w:rsidRPr="00DE096C" w:rsidRDefault="00B67D7C" w:rsidP="00D45A46">
      <w:pPr>
        <w:jc w:val="both"/>
        <w:rPr>
          <w:bCs/>
          <w:color w:val="002060"/>
          <w:sz w:val="16"/>
          <w:szCs w:val="16"/>
        </w:rPr>
      </w:pPr>
      <w:r w:rsidRPr="00DE096C">
        <w:rPr>
          <w:bCs/>
          <w:color w:val="002060"/>
          <w:sz w:val="16"/>
          <w:szCs w:val="16"/>
        </w:rPr>
        <w:t>3. Балтийский завод (корпуса, котлы, турбины)</w:t>
      </w:r>
    </w:p>
    <w:p w14:paraId="60CE1B5D" w14:textId="77777777" w:rsidR="00B67D7C" w:rsidRPr="00DE096C" w:rsidRDefault="00B67D7C" w:rsidP="00D45A46">
      <w:pPr>
        <w:jc w:val="both"/>
        <w:rPr>
          <w:bCs/>
          <w:color w:val="002060"/>
          <w:sz w:val="16"/>
          <w:szCs w:val="16"/>
        </w:rPr>
      </w:pPr>
      <w:r w:rsidRPr="00DE096C">
        <w:rPr>
          <w:bCs/>
          <w:color w:val="002060"/>
          <w:sz w:val="16"/>
          <w:szCs w:val="16"/>
        </w:rPr>
        <w:t>4. Путиловская верфь (корпуса, котлы, турбины)</w:t>
      </w:r>
    </w:p>
    <w:p w14:paraId="5DFC964D" w14:textId="77777777" w:rsidR="00B67D7C" w:rsidRPr="00DE096C" w:rsidRDefault="00B67D7C" w:rsidP="00D45A46">
      <w:pPr>
        <w:jc w:val="both"/>
        <w:rPr>
          <w:bCs/>
          <w:color w:val="002060"/>
          <w:sz w:val="16"/>
          <w:szCs w:val="16"/>
        </w:rPr>
      </w:pPr>
      <w:r w:rsidRPr="00DE096C">
        <w:rPr>
          <w:bCs/>
          <w:color w:val="002060"/>
          <w:sz w:val="16"/>
          <w:szCs w:val="16"/>
        </w:rPr>
        <w:t>5. Путиловский завод (орудийные установки)</w:t>
      </w:r>
    </w:p>
    <w:p w14:paraId="3E1EE7CE" w14:textId="77777777" w:rsidR="00B67D7C" w:rsidRPr="00DE096C" w:rsidRDefault="00B67D7C" w:rsidP="00D45A46">
      <w:pPr>
        <w:jc w:val="both"/>
        <w:rPr>
          <w:bCs/>
          <w:color w:val="002060"/>
          <w:sz w:val="16"/>
          <w:szCs w:val="16"/>
        </w:rPr>
      </w:pPr>
      <w:r w:rsidRPr="00DE096C">
        <w:rPr>
          <w:bCs/>
          <w:color w:val="002060"/>
          <w:sz w:val="16"/>
          <w:szCs w:val="16"/>
        </w:rPr>
        <w:t>6. Металлический завод (орудийные установки, котлы, турбины)</w:t>
      </w:r>
    </w:p>
    <w:p w14:paraId="42AFAFE3" w14:textId="77777777" w:rsidR="00B67D7C" w:rsidRPr="00DE096C" w:rsidRDefault="00B67D7C" w:rsidP="00D45A46">
      <w:pPr>
        <w:jc w:val="both"/>
        <w:rPr>
          <w:bCs/>
          <w:color w:val="002060"/>
          <w:sz w:val="16"/>
          <w:szCs w:val="16"/>
        </w:rPr>
      </w:pPr>
      <w:r w:rsidRPr="00DE096C">
        <w:rPr>
          <w:bCs/>
          <w:color w:val="002060"/>
          <w:sz w:val="16"/>
          <w:szCs w:val="16"/>
        </w:rPr>
        <w:t>7. Ижорский завод (снаряды, броня)</w:t>
      </w:r>
    </w:p>
    <w:p w14:paraId="68FB8070" w14:textId="77777777" w:rsidR="00B67D7C" w:rsidRPr="00DE096C" w:rsidRDefault="00B67D7C" w:rsidP="00D45A46">
      <w:pPr>
        <w:jc w:val="both"/>
        <w:rPr>
          <w:bCs/>
          <w:color w:val="002060"/>
          <w:sz w:val="16"/>
          <w:szCs w:val="16"/>
        </w:rPr>
      </w:pPr>
      <w:r w:rsidRPr="00DE096C">
        <w:rPr>
          <w:bCs/>
          <w:color w:val="002060"/>
          <w:sz w:val="16"/>
          <w:szCs w:val="16"/>
        </w:rPr>
        <w:t>8. Обуховский завод (орудия, орудийные установки, снаряды)</w:t>
      </w:r>
    </w:p>
    <w:p w14:paraId="137B34E3" w14:textId="77777777" w:rsidR="00B67D7C" w:rsidRPr="00DE096C" w:rsidRDefault="00B67D7C" w:rsidP="00D45A46">
      <w:pPr>
        <w:jc w:val="both"/>
        <w:rPr>
          <w:bCs/>
          <w:color w:val="002060"/>
          <w:sz w:val="16"/>
          <w:szCs w:val="16"/>
        </w:rPr>
      </w:pPr>
      <w:r w:rsidRPr="00DE096C">
        <w:rPr>
          <w:bCs/>
          <w:color w:val="002060"/>
          <w:sz w:val="16"/>
          <w:szCs w:val="16"/>
        </w:rPr>
        <w:t>Ревель:</w:t>
      </w:r>
    </w:p>
    <w:p w14:paraId="78A8A707" w14:textId="77777777" w:rsidR="00B67D7C" w:rsidRPr="00DE096C" w:rsidRDefault="00B67D7C" w:rsidP="00D45A46">
      <w:pPr>
        <w:jc w:val="both"/>
        <w:rPr>
          <w:bCs/>
          <w:color w:val="002060"/>
          <w:sz w:val="16"/>
          <w:szCs w:val="16"/>
        </w:rPr>
      </w:pPr>
      <w:r w:rsidRPr="00DE096C">
        <w:rPr>
          <w:bCs/>
          <w:color w:val="002060"/>
          <w:sz w:val="16"/>
          <w:szCs w:val="16"/>
        </w:rPr>
        <w:t>завод Русско-Балтийского общества (корпуса, котлы, турбины)</w:t>
      </w:r>
    </w:p>
    <w:p w14:paraId="791CAB14" w14:textId="77777777" w:rsidR="00B67D7C" w:rsidRPr="00DE096C" w:rsidRDefault="00B67D7C" w:rsidP="00D45A46">
      <w:pPr>
        <w:jc w:val="both"/>
        <w:rPr>
          <w:bCs/>
          <w:color w:val="002060"/>
          <w:sz w:val="16"/>
          <w:szCs w:val="16"/>
        </w:rPr>
      </w:pPr>
      <w:r w:rsidRPr="00DE096C">
        <w:rPr>
          <w:bCs/>
          <w:color w:val="002060"/>
          <w:sz w:val="16"/>
          <w:szCs w:val="16"/>
        </w:rPr>
        <w:t>Николаев:</w:t>
      </w:r>
    </w:p>
    <w:p w14:paraId="5BDC2210" w14:textId="77777777" w:rsidR="00B67D7C" w:rsidRPr="00DE096C" w:rsidRDefault="00B67D7C" w:rsidP="00D45A46">
      <w:pPr>
        <w:jc w:val="both"/>
        <w:rPr>
          <w:bCs/>
          <w:color w:val="002060"/>
          <w:sz w:val="16"/>
          <w:szCs w:val="16"/>
        </w:rPr>
      </w:pPr>
      <w:r w:rsidRPr="00DE096C">
        <w:rPr>
          <w:bCs/>
          <w:color w:val="002060"/>
          <w:sz w:val="16"/>
          <w:szCs w:val="16"/>
        </w:rPr>
        <w:t>1. завод «Наваль» (корпуса, котлы, турбины, орудийные установки</w:t>
      </w:r>
    </w:p>
    <w:p w14:paraId="2713AD22" w14:textId="77777777" w:rsidR="00B67D7C" w:rsidRPr="00DE096C" w:rsidRDefault="00B67D7C" w:rsidP="00D45A46">
      <w:pPr>
        <w:jc w:val="both"/>
        <w:rPr>
          <w:bCs/>
          <w:color w:val="002060"/>
          <w:sz w:val="16"/>
          <w:szCs w:val="16"/>
        </w:rPr>
      </w:pPr>
      <w:r w:rsidRPr="00DE096C">
        <w:rPr>
          <w:bCs/>
          <w:color w:val="002060"/>
          <w:sz w:val="16"/>
          <w:szCs w:val="16"/>
        </w:rPr>
        <w:t>2. завод «Руссуд» (корпуса)</w:t>
      </w:r>
    </w:p>
    <w:p w14:paraId="38E5CBB7" w14:textId="77777777" w:rsidR="00B67D7C" w:rsidRPr="00DE096C" w:rsidRDefault="00B67D7C" w:rsidP="00D45A46">
      <w:pPr>
        <w:jc w:val="both"/>
        <w:rPr>
          <w:bCs/>
          <w:color w:val="002060"/>
          <w:sz w:val="16"/>
          <w:szCs w:val="16"/>
        </w:rPr>
      </w:pPr>
      <w:r w:rsidRPr="00DE096C">
        <w:rPr>
          <w:bCs/>
          <w:color w:val="002060"/>
          <w:sz w:val="16"/>
          <w:szCs w:val="16"/>
        </w:rPr>
        <w:t>Мариуполь:</w:t>
      </w:r>
    </w:p>
    <w:p w14:paraId="62C50791" w14:textId="77777777" w:rsidR="00B67D7C" w:rsidRPr="00DE096C" w:rsidRDefault="00B67D7C" w:rsidP="00D45A46">
      <w:pPr>
        <w:jc w:val="both"/>
        <w:rPr>
          <w:bCs/>
          <w:color w:val="002060"/>
          <w:sz w:val="16"/>
          <w:szCs w:val="16"/>
        </w:rPr>
      </w:pPr>
      <w:r w:rsidRPr="00DE096C">
        <w:rPr>
          <w:bCs/>
          <w:color w:val="002060"/>
          <w:sz w:val="16"/>
          <w:szCs w:val="16"/>
        </w:rPr>
        <w:t>завод Никополь-Мариупольского общества (броня)</w:t>
      </w:r>
    </w:p>
    <w:p w14:paraId="3BC02895" w14:textId="77777777" w:rsidR="00B67D7C" w:rsidRPr="00DE096C" w:rsidRDefault="00B67D7C" w:rsidP="00D45A46">
      <w:pPr>
        <w:jc w:val="both"/>
        <w:rPr>
          <w:bCs/>
          <w:color w:val="002060"/>
          <w:sz w:val="16"/>
          <w:szCs w:val="16"/>
        </w:rPr>
      </w:pPr>
      <w:r w:rsidRPr="00DE096C">
        <w:rPr>
          <w:bCs/>
          <w:color w:val="002060"/>
          <w:sz w:val="16"/>
          <w:szCs w:val="16"/>
        </w:rPr>
        <w:t>Царицын:</w:t>
      </w:r>
    </w:p>
    <w:p w14:paraId="55E1ACFA" w14:textId="77777777" w:rsidR="00B67D7C" w:rsidRPr="00DE096C" w:rsidRDefault="00B67D7C" w:rsidP="00D45A46">
      <w:pPr>
        <w:jc w:val="both"/>
        <w:rPr>
          <w:bCs/>
          <w:color w:val="002060"/>
          <w:sz w:val="16"/>
          <w:szCs w:val="16"/>
        </w:rPr>
      </w:pPr>
      <w:r w:rsidRPr="00DE096C">
        <w:rPr>
          <w:bCs/>
          <w:color w:val="002060"/>
          <w:sz w:val="16"/>
          <w:szCs w:val="16"/>
        </w:rPr>
        <w:t>завод РАОАЗ (орудия)</w:t>
      </w:r>
    </w:p>
    <w:p w14:paraId="4DB5CC49" w14:textId="77777777" w:rsidR="00B67D7C" w:rsidRPr="00DE096C" w:rsidRDefault="00B67D7C" w:rsidP="00D45A46">
      <w:pPr>
        <w:jc w:val="both"/>
        <w:rPr>
          <w:bCs/>
          <w:color w:val="002060"/>
          <w:sz w:val="16"/>
          <w:szCs w:val="16"/>
        </w:rPr>
      </w:pPr>
      <w:r w:rsidRPr="00DE096C">
        <w:rPr>
          <w:bCs/>
          <w:color w:val="002060"/>
          <w:sz w:val="16"/>
          <w:szCs w:val="16"/>
        </w:rPr>
        <w:t>Пермь:</w:t>
      </w:r>
    </w:p>
    <w:p w14:paraId="526AE1B6" w14:textId="77777777" w:rsidR="00B67D7C" w:rsidRPr="00DE096C" w:rsidRDefault="00B67D7C" w:rsidP="00D45A46">
      <w:pPr>
        <w:jc w:val="both"/>
        <w:rPr>
          <w:bCs/>
          <w:color w:val="002060"/>
          <w:sz w:val="16"/>
          <w:szCs w:val="16"/>
        </w:rPr>
      </w:pPr>
      <w:r w:rsidRPr="00DE096C">
        <w:rPr>
          <w:bCs/>
          <w:color w:val="002060"/>
          <w:sz w:val="16"/>
          <w:szCs w:val="16"/>
        </w:rPr>
        <w:t>завод Горного министерства (орудия, снаряды)</w:t>
      </w:r>
    </w:p>
    <w:p w14:paraId="6961F11C" w14:textId="77777777" w:rsidR="00B67D7C" w:rsidRPr="00DE096C" w:rsidRDefault="00B67D7C" w:rsidP="00D45A46">
      <w:pPr>
        <w:jc w:val="both"/>
        <w:rPr>
          <w:bCs/>
          <w:color w:val="002060"/>
          <w:sz w:val="16"/>
          <w:szCs w:val="16"/>
        </w:rPr>
      </w:pPr>
      <w:r w:rsidRPr="00DE096C">
        <w:rPr>
          <w:bCs/>
          <w:color w:val="002060"/>
          <w:sz w:val="16"/>
          <w:szCs w:val="16"/>
        </w:rPr>
        <w:t>Брянск:</w:t>
      </w:r>
    </w:p>
    <w:p w14:paraId="6D6BB1E2" w14:textId="77777777" w:rsidR="00B67D7C" w:rsidRPr="00DE096C" w:rsidRDefault="00B67D7C" w:rsidP="00D45A46">
      <w:pPr>
        <w:jc w:val="both"/>
        <w:rPr>
          <w:bCs/>
          <w:color w:val="002060"/>
          <w:sz w:val="16"/>
          <w:szCs w:val="16"/>
        </w:rPr>
      </w:pPr>
      <w:r w:rsidRPr="00DE096C">
        <w:rPr>
          <w:bCs/>
          <w:color w:val="002060"/>
          <w:sz w:val="16"/>
          <w:szCs w:val="16"/>
        </w:rPr>
        <w:t>завод Военного министерства (снаряды)</w:t>
      </w:r>
    </w:p>
    <w:p w14:paraId="57942ED3" w14:textId="77777777" w:rsidR="00B67D7C" w:rsidRPr="00DE096C" w:rsidRDefault="00B67D7C" w:rsidP="00D45A46">
      <w:pPr>
        <w:jc w:val="both"/>
        <w:rPr>
          <w:bCs/>
          <w:color w:val="002060"/>
          <w:sz w:val="16"/>
          <w:szCs w:val="16"/>
        </w:rPr>
      </w:pPr>
      <w:r w:rsidRPr="00DE096C">
        <w:rPr>
          <w:bCs/>
          <w:color w:val="002060"/>
          <w:sz w:val="16"/>
          <w:szCs w:val="16"/>
        </w:rPr>
        <w:t>Харьков:</w:t>
      </w:r>
    </w:p>
    <w:p w14:paraId="6AD53B14" w14:textId="77777777" w:rsidR="00B67D7C" w:rsidRPr="00DE096C" w:rsidRDefault="00B67D7C" w:rsidP="00D45A46">
      <w:pPr>
        <w:jc w:val="both"/>
        <w:rPr>
          <w:bCs/>
          <w:color w:val="002060"/>
          <w:sz w:val="16"/>
          <w:szCs w:val="16"/>
        </w:rPr>
      </w:pPr>
      <w:r w:rsidRPr="00DE096C">
        <w:rPr>
          <w:bCs/>
          <w:color w:val="002060"/>
          <w:sz w:val="16"/>
          <w:szCs w:val="16"/>
        </w:rPr>
        <w:t>Харьковской паровозостроительный завод (котлы, турбины) (12109).</w:t>
      </w:r>
    </w:p>
    <w:p w14:paraId="114853B9" w14:textId="77777777" w:rsidR="00B67D7C" w:rsidRPr="00DE096C" w:rsidRDefault="00B67D7C" w:rsidP="00D45A46">
      <w:pPr>
        <w:jc w:val="both"/>
        <w:rPr>
          <w:bCs/>
          <w:color w:val="002060"/>
          <w:sz w:val="16"/>
          <w:szCs w:val="16"/>
        </w:rPr>
      </w:pPr>
    </w:p>
    <w:p w14:paraId="1EC09196" w14:textId="77777777" w:rsidR="004C2152" w:rsidRPr="00DE096C" w:rsidRDefault="004C2152" w:rsidP="00D45A46">
      <w:pPr>
        <w:jc w:val="both"/>
        <w:rPr>
          <w:bCs/>
          <w:color w:val="002060"/>
          <w:sz w:val="16"/>
          <w:szCs w:val="16"/>
        </w:rPr>
      </w:pPr>
      <w:r w:rsidRPr="00DE096C">
        <w:rPr>
          <w:bCs/>
          <w:color w:val="002060"/>
          <w:sz w:val="16"/>
          <w:szCs w:val="16"/>
        </w:rPr>
        <w:t>В конце 1914 г. в связи с французскими предложениями о поставках снарядов ГАУ считало, что «нельзя сравнивать наших условий развития этого рода промышленности с французской. Стоит только вспомнить наши огромные расстояния, бедную сеть железных дорог, необходимость подвоза сырых материалов за тысячи верст и из-за границы, недостаток подвижного состава…, вековую зависимость в отношении станков и механизмов от заграницы, и прежде всего от Германии…» [РГВИА. Ф. 234. Оп. 1. Д. 7. Л. 15.] (18408).</w:t>
      </w:r>
    </w:p>
    <w:p w14:paraId="5C9DF5DE" w14:textId="77777777" w:rsidR="004C2152" w:rsidRPr="00DE096C" w:rsidRDefault="004C2152" w:rsidP="00D45A46">
      <w:pPr>
        <w:jc w:val="both"/>
        <w:rPr>
          <w:bCs/>
          <w:color w:val="002060"/>
          <w:sz w:val="16"/>
          <w:szCs w:val="16"/>
        </w:rPr>
      </w:pPr>
    </w:p>
    <w:p w14:paraId="32EE1F57" w14:textId="77777777" w:rsidR="004C2152" w:rsidRPr="00DE096C" w:rsidRDefault="004C2152" w:rsidP="00D45A46">
      <w:pPr>
        <w:pStyle w:val="31"/>
        <w:shd w:val="clear" w:color="auto" w:fill="auto"/>
        <w:spacing w:line="240" w:lineRule="auto"/>
        <w:ind w:firstLine="0"/>
        <w:rPr>
          <w:rFonts w:ascii="Times New Roman" w:hAnsi="Times New Roman" w:cs="Times New Roman"/>
          <w:bCs/>
          <w:color w:val="002060"/>
          <w:sz w:val="16"/>
          <w:szCs w:val="16"/>
        </w:rPr>
      </w:pPr>
      <w:r w:rsidRPr="00DE096C">
        <w:rPr>
          <w:rFonts w:ascii="Times New Roman" w:hAnsi="Times New Roman" w:cs="Times New Roman"/>
          <w:bCs/>
          <w:color w:val="002060"/>
          <w:sz w:val="16"/>
          <w:szCs w:val="16"/>
        </w:rPr>
        <w:t>В конце 1914 г. в Россию доставили из Англии партию паровых колесных тягачей фирмы «Фоулер» мощностью 70 л.с. Они прибыли вместе с 12-дюймовыми (305 мм) гаубицами «Виккерс». Порядок заряжания этих орудий предусматривал использование паро</w:t>
      </w:r>
      <w:r w:rsidRPr="00DE096C">
        <w:rPr>
          <w:rFonts w:ascii="Times New Roman" w:hAnsi="Times New Roman" w:cs="Times New Roman"/>
          <w:bCs/>
          <w:color w:val="002060"/>
          <w:sz w:val="16"/>
          <w:szCs w:val="16"/>
        </w:rPr>
        <w:softHyphen/>
        <w:t>вого трактора. Но в боевых условиях тягачи «Фаулер» себя не оправдали. Только на разве</w:t>
      </w:r>
      <w:r w:rsidRPr="00DE096C">
        <w:rPr>
          <w:rFonts w:ascii="Times New Roman" w:hAnsi="Times New Roman" w:cs="Times New Roman"/>
          <w:bCs/>
          <w:color w:val="002060"/>
          <w:sz w:val="16"/>
          <w:szCs w:val="16"/>
        </w:rPr>
        <w:softHyphen/>
        <w:t>дение паров тратилось около 1,5 ч. Тягачи по</w:t>
      </w:r>
      <w:r w:rsidRPr="00DE096C">
        <w:rPr>
          <w:rFonts w:ascii="Times New Roman" w:hAnsi="Times New Roman" w:cs="Times New Roman"/>
          <w:bCs/>
          <w:color w:val="002060"/>
          <w:sz w:val="16"/>
          <w:szCs w:val="16"/>
        </w:rPr>
        <w:softHyphen/>
        <w:t>требляли очень много чистой воды, которой на фронте не всегда хватало. Значительная масса машины (около 10 т) не позволяла преодоле</w:t>
      </w:r>
      <w:r w:rsidRPr="00DE096C">
        <w:rPr>
          <w:rFonts w:ascii="Times New Roman" w:hAnsi="Times New Roman" w:cs="Times New Roman"/>
          <w:bCs/>
          <w:color w:val="002060"/>
          <w:sz w:val="16"/>
          <w:szCs w:val="16"/>
        </w:rPr>
        <w:softHyphen/>
        <w:t>вать многие мосты.</w:t>
      </w:r>
    </w:p>
    <w:p w14:paraId="74351056" w14:textId="77777777" w:rsidR="004C2152" w:rsidRPr="00DE096C" w:rsidRDefault="004C2152" w:rsidP="00D45A46">
      <w:pPr>
        <w:pStyle w:val="41"/>
        <w:shd w:val="clear" w:color="auto" w:fill="auto"/>
        <w:spacing w:line="240" w:lineRule="auto"/>
        <w:ind w:firstLine="0"/>
        <w:jc w:val="both"/>
        <w:rPr>
          <w:bCs/>
          <w:color w:val="002060"/>
          <w:sz w:val="16"/>
          <w:szCs w:val="16"/>
        </w:rPr>
      </w:pPr>
      <w:r w:rsidRPr="00DE096C">
        <w:rPr>
          <w:rStyle w:val="42"/>
          <w:rFonts w:ascii="Times New Roman" w:hAnsi="Times New Roman" w:cs="Times New Roman"/>
          <w:bCs/>
          <w:i w:val="0"/>
          <w:color w:val="002060"/>
          <w:sz w:val="16"/>
          <w:szCs w:val="16"/>
        </w:rPr>
        <w:lastRenderedPageBreak/>
        <w:t>Историк отечественной артиллерии ге</w:t>
      </w:r>
      <w:r w:rsidRPr="00DE096C">
        <w:rPr>
          <w:rStyle w:val="42"/>
          <w:rFonts w:ascii="Times New Roman" w:hAnsi="Times New Roman" w:cs="Times New Roman"/>
          <w:bCs/>
          <w:i w:val="0"/>
          <w:color w:val="002060"/>
          <w:sz w:val="16"/>
          <w:szCs w:val="16"/>
        </w:rPr>
        <w:softHyphen/>
        <w:t>нерал Е.З. Барсуков отмечал, что</w:t>
      </w:r>
      <w:r w:rsidRPr="00DE096C">
        <w:rPr>
          <w:bCs/>
          <w:color w:val="002060"/>
          <w:sz w:val="16"/>
          <w:szCs w:val="16"/>
        </w:rPr>
        <w:t xml:space="preserve"> «паровые тракторы Фоулера «Большой лев» и «Малый лев», доставленные из Англии для перевозки 305-мм гаубиц Виккерса вместе с гаубицами, оказались непригодными по большому весу, портящему дороги, и по другим недостаткам, присущим вообще паровым двигателям (зави</w:t>
      </w:r>
      <w:r w:rsidRPr="00DE096C">
        <w:rPr>
          <w:bCs/>
          <w:color w:val="002060"/>
          <w:sz w:val="16"/>
          <w:szCs w:val="16"/>
        </w:rPr>
        <w:softHyphen/>
        <w:t>симость от воды и топлива, большое время на подготовку, шум и прочее)».</w:t>
      </w:r>
      <w:r w:rsidRPr="00DE096C">
        <w:rPr>
          <w:rStyle w:val="42"/>
          <w:rFonts w:ascii="Times New Roman" w:hAnsi="Times New Roman" w:cs="Times New Roman"/>
          <w:bCs/>
          <w:i w:val="0"/>
          <w:color w:val="002060"/>
          <w:sz w:val="16"/>
          <w:szCs w:val="16"/>
        </w:rPr>
        <w:t xml:space="preserve"> Испытания тягача «Фоулер» с 11-дюймовыми (280 мм) скоро</w:t>
      </w:r>
      <w:r w:rsidRPr="00DE096C">
        <w:rPr>
          <w:rStyle w:val="42"/>
          <w:rFonts w:ascii="Times New Roman" w:hAnsi="Times New Roman" w:cs="Times New Roman"/>
          <w:bCs/>
          <w:i w:val="0"/>
          <w:color w:val="002060"/>
          <w:sz w:val="16"/>
          <w:szCs w:val="16"/>
        </w:rPr>
        <w:softHyphen/>
        <w:t>стрельными гаубицами «Шнейдер» тоже дали отрицательные результаты. Орудия массой более 5 т в походном положении пришлось от</w:t>
      </w:r>
      <w:r w:rsidRPr="00DE096C">
        <w:rPr>
          <w:rStyle w:val="42"/>
          <w:rFonts w:ascii="Times New Roman" w:hAnsi="Times New Roman" w:cs="Times New Roman"/>
          <w:bCs/>
          <w:i w:val="0"/>
          <w:color w:val="002060"/>
          <w:sz w:val="16"/>
          <w:szCs w:val="16"/>
        </w:rPr>
        <w:softHyphen/>
        <w:t>правлять на фронт на конной тяге (15775).</w:t>
      </w:r>
    </w:p>
    <w:p w14:paraId="32C0BB3D" w14:textId="77777777" w:rsidR="004C2152" w:rsidRPr="00DE096C" w:rsidRDefault="004C2152" w:rsidP="00D45A46">
      <w:pPr>
        <w:pStyle w:val="31"/>
        <w:shd w:val="clear" w:color="auto" w:fill="auto"/>
        <w:spacing w:line="240" w:lineRule="auto"/>
        <w:ind w:firstLine="0"/>
        <w:rPr>
          <w:rFonts w:ascii="Times New Roman" w:hAnsi="Times New Roman" w:cs="Times New Roman"/>
          <w:bCs/>
          <w:color w:val="002060"/>
          <w:sz w:val="16"/>
          <w:szCs w:val="16"/>
        </w:rPr>
      </w:pPr>
    </w:p>
    <w:p w14:paraId="206445B5" w14:textId="77777777" w:rsidR="00A4521B" w:rsidRPr="00DE096C" w:rsidRDefault="00A4521B" w:rsidP="00D45A46">
      <w:pPr>
        <w:jc w:val="both"/>
        <w:rPr>
          <w:rFonts w:eastAsia="TimesNewRomanPSMT"/>
          <w:bCs/>
          <w:color w:val="002060"/>
          <w:sz w:val="16"/>
          <w:szCs w:val="16"/>
        </w:rPr>
      </w:pPr>
      <w:r w:rsidRPr="00DE096C">
        <w:rPr>
          <w:bCs/>
          <w:color w:val="002060"/>
          <w:sz w:val="16"/>
          <w:szCs w:val="16"/>
        </w:rPr>
        <w:t>К концу 1914 г. инженером В. И. Рдултовским был разработан 20-мм миномет. В 1915 г. нарассмотрение ГАУ были представлены 96-мм бомбомет поручика Василевского, 92-мм бомбомет генерал-майора Шульги (также именовался «бомбомет 2 армии»), 127-мм бомбомет полковника В. Ф. Стендера, 62-мм миномет полковника Э. Ф. Мельцера.(Российский государственный военно-исторический архив (РГВИА). Ф. 2011. Оп. 1. Д. 197. Л. 48, 133) В 1915 г., после получения от Франции образцов 58-мм минометов Дюмезиля №1 и №2 одна из систем (№2) была модернизирована военным инженером, капитаном Е. А. Лихониным. Она получила название «58-мм миномет ФР» (франко-русский), ее серийное производство было организовано на Ижорском сталелитейном, Петроградском орудийном и Невском заводах. Также в 1915 г. на вооружение русской армии поступили 20-мм и 47-мм минометы системы Е. А. Лихонина, которые изготавливались на Ижорском сталелитейном заводе. Большое распространение в войсках получил усовершенствованный в 1915 г. генералом М. Ф. Розенбергом немецкий 90-мм бомбомет, получивший название «9-см бомбомет ГР» (германорусский) (47-мм миномет системы капитана Лихонина. Описание устройства миномета и способа пользования им на службе. Пг., тип. «Артил. журнала», 1916. – 32 с.; Бомбометы, минометы, снаряды к ним, ручные и ружейные гранаты к ним. Пг., 1916 – 36 с.). В 1916 г. Е. А. Лихониным был разработан 58-мм миномет по образцу уже имевшейся системы ФР на ее лафете, (РГВИА. Ф. 2011. Оп. 1. Д. 197. Л. 276) прапорщиком Б. М. Бубекиным была предложена опытная конструкция пневматического бомбомета. Широкое распространение получило и инициативное изобретательство многих военных, непосредственно участвовавших в боевых действиях.( РГВИА. Ф. 2011. Оп. 1. Д. 197. Л. 276; Д. 243. Л. 75, 80 – 86 (все – с об.), Л. 136 – 141 (все – с об.), 193 – 197, 199, 203 – 204 (все – с об.), 208 – 210 (все – с об.), 224 - 224 (об.), 232 – 234, 255 – 256 (все – с об.), 277 – 277 (об.), 278.) Разрабатывались и крупнокалиберные системы. В их числе - 152-мм бомбомет Обуховского завода, 152-мм окопная мортира Путиловского завода (в основе конструкции – трофейная 170-мм мортира завода Эрхардта), разработанные в 1915 г. В 1916 г. на Ижорском заводе был разработан 89-мм тяжелый миномет, в 1917 г. – 152-мм окопные мортиры системы Металлического завода (20074).</w:t>
      </w:r>
    </w:p>
    <w:p w14:paraId="41D30679" w14:textId="77777777" w:rsidR="00A4521B" w:rsidRPr="00DE096C" w:rsidRDefault="00A4521B" w:rsidP="00D45A46">
      <w:pPr>
        <w:jc w:val="both"/>
        <w:rPr>
          <w:bCs/>
          <w:color w:val="002060"/>
          <w:sz w:val="16"/>
          <w:szCs w:val="16"/>
        </w:rPr>
      </w:pPr>
    </w:p>
    <w:p w14:paraId="7E52F911" w14:textId="77777777" w:rsidR="00D45A46" w:rsidRPr="00DE096C" w:rsidRDefault="00D45A46" w:rsidP="00D45A46">
      <w:pPr>
        <w:jc w:val="both"/>
        <w:rPr>
          <w:bCs/>
          <w:color w:val="002060"/>
          <w:sz w:val="16"/>
          <w:szCs w:val="16"/>
        </w:rPr>
      </w:pPr>
      <w:r w:rsidRPr="00DE096C">
        <w:rPr>
          <w:bCs/>
          <w:color w:val="002060"/>
          <w:sz w:val="16"/>
          <w:szCs w:val="16"/>
        </w:rPr>
        <w:t>С конца 1914 г. Ижевский завод привлекал к сверлению и черновой обработке стволов винтовок в по</w:t>
      </w:r>
      <w:r w:rsidRPr="00DE096C">
        <w:rPr>
          <w:bCs/>
          <w:color w:val="002060"/>
          <w:sz w:val="16"/>
          <w:szCs w:val="16"/>
        </w:rPr>
        <w:softHyphen/>
        <w:t>мощь местных фабрикантов охотничьего оружия, которые довели выпуск до 600 стволов в сутки; сам завод с оконча</w:t>
      </w:r>
      <w:r w:rsidRPr="00DE096C">
        <w:rPr>
          <w:bCs/>
          <w:color w:val="002060"/>
          <w:sz w:val="16"/>
          <w:szCs w:val="16"/>
        </w:rPr>
        <w:softHyphen/>
        <w:t>нием его дополнительного оборудования станками и дви</w:t>
      </w:r>
      <w:r w:rsidRPr="00DE096C">
        <w:rPr>
          <w:bCs/>
          <w:color w:val="002060"/>
          <w:sz w:val="16"/>
          <w:szCs w:val="16"/>
        </w:rPr>
        <w:softHyphen/>
        <w:t>гателями рассчитывал в будущем изготовлять до 1 млн в год просверленных, обточенных и закаленных ствольных бол</w:t>
      </w:r>
      <w:r w:rsidRPr="00DE096C">
        <w:rPr>
          <w:bCs/>
          <w:color w:val="002060"/>
          <w:sz w:val="16"/>
          <w:szCs w:val="16"/>
        </w:rPr>
        <w:softHyphen/>
        <w:t>ванок для других казенных заводов (23452).</w:t>
      </w:r>
    </w:p>
    <w:p w14:paraId="5029F0D1" w14:textId="77777777" w:rsidR="00D45A46" w:rsidRPr="00DE096C" w:rsidRDefault="00D45A46" w:rsidP="00D45A46">
      <w:pPr>
        <w:jc w:val="both"/>
        <w:rPr>
          <w:bCs/>
          <w:color w:val="002060"/>
          <w:sz w:val="16"/>
          <w:szCs w:val="16"/>
        </w:rPr>
      </w:pPr>
    </w:p>
    <w:p w14:paraId="26DBE0B6"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w:t>
      </w:r>
    </w:p>
    <w:p w14:paraId="5C487FE1" w14:textId="77777777" w:rsidR="00B67D7C" w:rsidRPr="00DE096C" w:rsidRDefault="00B67D7C" w:rsidP="00D45A46">
      <w:pPr>
        <w:shd w:val="clear" w:color="auto" w:fill="FFFFFF"/>
        <w:jc w:val="both"/>
        <w:rPr>
          <w:bCs/>
          <w:i/>
          <w:color w:val="002060"/>
          <w:sz w:val="16"/>
          <w:szCs w:val="16"/>
        </w:rPr>
      </w:pPr>
    </w:p>
    <w:p w14:paraId="645ECBCE" w14:textId="77777777" w:rsidR="003F4EDF" w:rsidRPr="00DE096C" w:rsidRDefault="003F4EDF" w:rsidP="00D45A46">
      <w:pPr>
        <w:pStyle w:val="2"/>
        <w:spacing w:before="0" w:after="0"/>
        <w:jc w:val="both"/>
        <w:rPr>
          <w:b w:val="0"/>
          <w:bCs/>
          <w:color w:val="002060"/>
          <w:sz w:val="16"/>
          <w:szCs w:val="16"/>
        </w:rPr>
      </w:pPr>
      <w:r w:rsidRPr="00DE096C">
        <w:rPr>
          <w:b w:val="0"/>
          <w:bCs/>
          <w:color w:val="002060"/>
          <w:sz w:val="16"/>
          <w:szCs w:val="16"/>
        </w:rPr>
        <w:t>До конца 1914 года на фронт в дополнение к имевшимся 28 прибыли еще два корпусных авиаотряда (као), две авиационные роты, три Сибирских и восемь крепостных авиаотрядов, всего в 1914 г. на фронт поступило 213 аэропланов, на них могли летать 169 офицеров и 44 нижних чина. На 1 сентября 1914 г. во фронтовых частях насчитывалось 145 исправных самолетов. В последующие месяцы их количество неуклонно росло, но со скоростью улитки: 1 октября — 150, 1 ноября — 160, 1 декабря — 162, 1 января 1915 г. — 209.2 Увы, этот рост был обусловлен не поступлением новых самолетов с заводов, а уменьшением потерь — как боевых, так и небоевых, в первую очередь, из-за снижения интенсивности полетов по погодным условиям в зимние месяцы. В целом по русской армии потери аэропланов были значительными и составляли не менее 45% за два месяца, причем львиная доля, иногда доходившая до 90%, обуславливалась изношенностью самолетов и моторов. Мощностей заводов не хватало для восполнения потерь, до конца 1914 г. в армию отправили 157 самолетов. Но качество оставляло желать лучшего, при сборке в отрядах и авиационных ротах обнаруживались многочисленные дефекты. Особые нарекания вызывали самолеты завода Щетинина. Запчасти обычно не подходили к самолетам других заводов, отрицательный угол установки крыла привел к ряду аварий, погибли семь летчиков. В военное время заметно ухудшилось и качество продукции «Дукса» (15464).</w:t>
      </w:r>
    </w:p>
    <w:p w14:paraId="23BD7B59" w14:textId="77777777" w:rsidR="003F4EDF" w:rsidRPr="00DE096C" w:rsidRDefault="003F4EDF" w:rsidP="00D45A46">
      <w:pPr>
        <w:jc w:val="both"/>
        <w:rPr>
          <w:bCs/>
          <w:color w:val="002060"/>
          <w:sz w:val="16"/>
          <w:szCs w:val="16"/>
        </w:rPr>
      </w:pPr>
    </w:p>
    <w:p w14:paraId="3731D32F" w14:textId="77777777" w:rsidR="003F4EDF" w:rsidRPr="00DE096C" w:rsidRDefault="003F4EDF" w:rsidP="00D45A46">
      <w:pPr>
        <w:pStyle w:val="a5"/>
        <w:rPr>
          <w:bCs/>
          <w:color w:val="002060"/>
          <w:sz w:val="16"/>
          <w:szCs w:val="16"/>
          <w:lang w:val="ru-RU"/>
        </w:rPr>
      </w:pPr>
      <w:r w:rsidRPr="00DE096C">
        <w:rPr>
          <w:bCs/>
          <w:color w:val="002060"/>
          <w:sz w:val="16"/>
          <w:szCs w:val="16"/>
          <w:lang w:val="ru-RU"/>
        </w:rPr>
        <w:t>В конце 1914 г. лётчиков-добровольцев установили вознаграждение в размере 300 рублей в месяц. До этого, в отличие от лётчиков-офицеров, получавших кроме офицерского жалования, 200 руб. «залётных», 55 — «столовых» и «квартирные», «охотники», приравненные к солдатам, получали 3 руб. жалования и 75 руб. «залетных» (15817).</w:t>
      </w:r>
    </w:p>
    <w:p w14:paraId="0D7F815A" w14:textId="77777777" w:rsidR="003F4EDF" w:rsidRPr="00DE096C" w:rsidRDefault="003F4EDF" w:rsidP="00D45A46">
      <w:pPr>
        <w:pStyle w:val="a5"/>
        <w:rPr>
          <w:bCs/>
          <w:color w:val="002060"/>
          <w:sz w:val="16"/>
          <w:szCs w:val="16"/>
          <w:lang w:val="ru-RU"/>
        </w:rPr>
      </w:pPr>
    </w:p>
    <w:p w14:paraId="6F9213E9" w14:textId="77777777" w:rsidR="00B67D7C" w:rsidRPr="00DE096C" w:rsidRDefault="00B67D7C" w:rsidP="00D45A46">
      <w:pPr>
        <w:jc w:val="both"/>
        <w:rPr>
          <w:bCs/>
          <w:color w:val="002060"/>
          <w:sz w:val="16"/>
          <w:szCs w:val="16"/>
        </w:rPr>
      </w:pPr>
      <w:r w:rsidRPr="00DE096C">
        <w:rPr>
          <w:bCs/>
          <w:color w:val="002060"/>
          <w:sz w:val="16"/>
          <w:szCs w:val="16"/>
        </w:rPr>
        <w:t>К концу 1914 года наши артиллеристы уничтожили 19 вражеских аэропланов и два дирижабля. К слову, русским авиаторам к тому времени удалось сбить только 3 аэроплана противника.</w:t>
      </w:r>
    </w:p>
    <w:p w14:paraId="5212D704" w14:textId="77777777" w:rsidR="00B67D7C" w:rsidRPr="00DE096C" w:rsidRDefault="00B67D7C" w:rsidP="00D45A46">
      <w:pPr>
        <w:jc w:val="both"/>
        <w:rPr>
          <w:bCs/>
          <w:color w:val="002060"/>
          <w:sz w:val="16"/>
          <w:szCs w:val="16"/>
        </w:rPr>
      </w:pPr>
      <w:r w:rsidRPr="00DE096C">
        <w:rPr>
          <w:bCs/>
          <w:color w:val="002060"/>
          <w:sz w:val="16"/>
          <w:szCs w:val="16"/>
        </w:rPr>
        <w:t>ОДНАКО возможности полевых орудий были ограничены. Отсюда и большой расход снарядов и низкая результативность огня. Не улучшало общую картину и хаотичное выделение для борьбы с воздушным противником отдельных артиллерийских подразделений. Требовалось создание специальных противоаэропланных батарей на штатной основе (11163).</w:t>
      </w:r>
    </w:p>
    <w:p w14:paraId="37CF9A95" w14:textId="77777777" w:rsidR="00B67D7C" w:rsidRPr="00DE096C" w:rsidRDefault="00B67D7C" w:rsidP="00D45A46">
      <w:pPr>
        <w:jc w:val="both"/>
        <w:rPr>
          <w:bCs/>
          <w:color w:val="002060"/>
          <w:sz w:val="16"/>
          <w:szCs w:val="16"/>
        </w:rPr>
      </w:pPr>
    </w:p>
    <w:p w14:paraId="326A0FB6" w14:textId="77777777" w:rsidR="00B67D7C" w:rsidRPr="00DE096C" w:rsidRDefault="00B67D7C" w:rsidP="00D45A46">
      <w:pPr>
        <w:jc w:val="both"/>
        <w:rPr>
          <w:bCs/>
          <w:color w:val="002060"/>
          <w:sz w:val="16"/>
          <w:szCs w:val="16"/>
        </w:rPr>
      </w:pPr>
      <w:r w:rsidRPr="00DE096C">
        <w:rPr>
          <w:bCs/>
          <w:color w:val="002060"/>
          <w:sz w:val="16"/>
          <w:szCs w:val="16"/>
        </w:rPr>
        <w:t>В конце 1914 г. из-под командования Августейшего заведующего авиацией и воздухоплаванием в действующей армии Великого князя Александр Михайлович вывели ЭВК и с тех пор ЭВК непосредственно подчинялась Ставке Верховного Главнокомандующего. Создатель Российского Военно-Воздушного Флота, он внес огромный вклад в становление отечественной авиации, но обладал очень тяжелым характером, слыл интриганом, был чрезвычайно честолюбив и ревнив к чужим успехам. Поэтому в число «врагов» Великого Князя попал и М. В. Шидловский, и, следовательно, не принималось все, связанное с его именем, в первую очередь «муромцы». Александр Михайлович с самого начала войны требовал перевода АО РБВЗ со строительства воздушных кораблей на выпуск легких самолетов (11188).</w:t>
      </w:r>
    </w:p>
    <w:p w14:paraId="29E97AD5" w14:textId="77777777" w:rsidR="00B67D7C" w:rsidRPr="00DE096C" w:rsidRDefault="00B67D7C" w:rsidP="00D45A46">
      <w:pPr>
        <w:jc w:val="both"/>
        <w:rPr>
          <w:bCs/>
          <w:color w:val="002060"/>
          <w:sz w:val="16"/>
          <w:szCs w:val="16"/>
        </w:rPr>
      </w:pPr>
    </w:p>
    <w:p w14:paraId="7D19FC51" w14:textId="308A4533" w:rsidR="00B67D7C" w:rsidRPr="00DE096C" w:rsidRDefault="00B67D7C" w:rsidP="00D45A46">
      <w:pPr>
        <w:jc w:val="both"/>
        <w:rPr>
          <w:bCs/>
          <w:color w:val="002060"/>
          <w:sz w:val="16"/>
          <w:szCs w:val="16"/>
        </w:rPr>
      </w:pPr>
      <w:r w:rsidRPr="00DE096C">
        <w:rPr>
          <w:bCs/>
          <w:color w:val="002060"/>
          <w:sz w:val="16"/>
          <w:szCs w:val="16"/>
        </w:rPr>
        <w:t>К концу 1914 г. военное ведомство России имело в своем распоряжении 211 военных летчиков, которые в основной своей массе были выходцами из привилегированных слоев населения.</w:t>
      </w:r>
    </w:p>
    <w:p w14:paraId="68F19F71" w14:textId="77777777" w:rsidR="00B67D7C" w:rsidRPr="00DE096C" w:rsidRDefault="00B67D7C" w:rsidP="00D45A46">
      <w:pPr>
        <w:jc w:val="both"/>
        <w:rPr>
          <w:bCs/>
          <w:color w:val="002060"/>
          <w:sz w:val="16"/>
          <w:szCs w:val="16"/>
        </w:rPr>
      </w:pPr>
      <w:r w:rsidRPr="00DE096C">
        <w:rPr>
          <w:bCs/>
          <w:color w:val="002060"/>
          <w:sz w:val="16"/>
          <w:szCs w:val="16"/>
        </w:rPr>
        <w:t>Только 36 летчиков было выучено из нижних чинов, остальные были офицерами. Офицерский же корпус, несмотря на военные реформы, проведенные во второй половине XIX в., перед Первой мировой войной более чем на 70% состоял из дворян.</w:t>
      </w:r>
    </w:p>
    <w:p w14:paraId="187EA12C" w14:textId="77777777" w:rsidR="00B67D7C" w:rsidRPr="00DE096C" w:rsidRDefault="00B67D7C" w:rsidP="00D45A46">
      <w:pPr>
        <w:jc w:val="both"/>
        <w:rPr>
          <w:bCs/>
          <w:color w:val="002060"/>
          <w:sz w:val="16"/>
          <w:szCs w:val="16"/>
        </w:rPr>
      </w:pPr>
      <w:r w:rsidRPr="00DE096C">
        <w:rPr>
          <w:bCs/>
          <w:color w:val="002060"/>
          <w:sz w:val="16"/>
          <w:szCs w:val="16"/>
        </w:rPr>
        <w:t>Часть военных летчиков сразу входили в штаты авиационных отрядов, но многие, получив дипломы, направлялись по своему прежнему месту службы. Таким образом, в России русскими же инструкторами не только были удовлетворены потребности в офицерах летных специальностей, но также был создан запас военных летчиков, которые накануне Первой мировой войны проходили службу в различных родах сухопутных войск. Что касается формирования кадра военных летчиковинструкторов, то и здесь россияне обошлись собственными силами (11182).</w:t>
      </w:r>
    </w:p>
    <w:p w14:paraId="4CF9D6C5" w14:textId="77777777" w:rsidR="00B67D7C" w:rsidRPr="00DE096C" w:rsidRDefault="00B67D7C" w:rsidP="00D45A46">
      <w:pPr>
        <w:jc w:val="both"/>
        <w:rPr>
          <w:bCs/>
          <w:color w:val="002060"/>
          <w:sz w:val="16"/>
          <w:szCs w:val="16"/>
        </w:rPr>
      </w:pPr>
      <w:r w:rsidRPr="00DE096C">
        <w:rPr>
          <w:bCs/>
          <w:color w:val="002060"/>
          <w:sz w:val="16"/>
          <w:szCs w:val="16"/>
        </w:rPr>
        <w:t>Накануне Первой мировой войны в России были сделаны первые шаги по обучению специально подготовленных кадров летчиков-наблюдателей.</w:t>
      </w:r>
    </w:p>
    <w:p w14:paraId="27B12FD7" w14:textId="77777777" w:rsidR="00B67D7C" w:rsidRPr="00DE096C" w:rsidRDefault="00B67D7C" w:rsidP="00D45A46">
      <w:pPr>
        <w:jc w:val="both"/>
        <w:rPr>
          <w:bCs/>
          <w:color w:val="002060"/>
          <w:sz w:val="16"/>
          <w:szCs w:val="16"/>
        </w:rPr>
      </w:pPr>
      <w:r w:rsidRPr="00DE096C">
        <w:rPr>
          <w:bCs/>
          <w:color w:val="002060"/>
          <w:sz w:val="16"/>
          <w:szCs w:val="16"/>
        </w:rPr>
        <w:t>Необходимость в проведении этого мероприятия была подсказана накопленным опытом в ведении воздушной разведки, доказавшим, что там, где разведку вели не сами летчики или неподготовленные офицеры, результаты ее были ниже.</w:t>
      </w:r>
    </w:p>
    <w:p w14:paraId="538510A3" w14:textId="77777777" w:rsidR="00B67D7C" w:rsidRPr="00DE096C" w:rsidRDefault="00B67D7C" w:rsidP="00D45A46">
      <w:pPr>
        <w:jc w:val="both"/>
        <w:rPr>
          <w:bCs/>
          <w:color w:val="002060"/>
          <w:sz w:val="16"/>
          <w:szCs w:val="16"/>
        </w:rPr>
      </w:pPr>
      <w:r w:rsidRPr="00DE096C">
        <w:rPr>
          <w:bCs/>
          <w:color w:val="002060"/>
          <w:sz w:val="16"/>
          <w:szCs w:val="16"/>
        </w:rPr>
        <w:t>Таким образом, исследовав основные наиболее важные факторы, которые оказывали влияние на состояние воздушного флота России, можно сделать вывод о том, что накануне Первой мировой войны в стране имелись необходимые условия для создания и содержания воздушных сил, отвечавших требованиям того времени. Материальная база и кадры для воздушного флота создавались в России собственными силами (11182).</w:t>
      </w:r>
    </w:p>
    <w:p w14:paraId="32DC2CA2" w14:textId="77777777" w:rsidR="00B67D7C" w:rsidRPr="00DE096C" w:rsidRDefault="00B67D7C" w:rsidP="00D45A46">
      <w:pPr>
        <w:jc w:val="both"/>
        <w:rPr>
          <w:bCs/>
          <w:color w:val="002060"/>
          <w:sz w:val="16"/>
          <w:szCs w:val="16"/>
        </w:rPr>
      </w:pPr>
      <w:r w:rsidRPr="00DE096C">
        <w:rPr>
          <w:bCs/>
          <w:color w:val="002060"/>
          <w:sz w:val="16"/>
          <w:szCs w:val="16"/>
        </w:rPr>
        <w:t>Стремление включить военно-авиационное образование в единое для всех военных вузов России правовое поле потребовало разработки положения об Авиационной школе, которым предусматривалось наличие в ней двух классов, сроки и порядок подготовки летных кадров. Одновременно решался вопрос о включении расходов на функционирование авиационной школы в перечень военного ассигнования (РГВИА, ф. 802, оп. 3, д. 1124, лл. 21-22.) (11182).</w:t>
      </w:r>
    </w:p>
    <w:p w14:paraId="43A92083" w14:textId="77777777" w:rsidR="00B67D7C" w:rsidRPr="00DE096C" w:rsidRDefault="00B67D7C" w:rsidP="00D45A46">
      <w:pPr>
        <w:jc w:val="both"/>
        <w:rPr>
          <w:bCs/>
          <w:color w:val="002060"/>
          <w:sz w:val="16"/>
          <w:szCs w:val="16"/>
        </w:rPr>
      </w:pPr>
    </w:p>
    <w:p w14:paraId="4A511D60" w14:textId="77777777" w:rsidR="00B67D7C" w:rsidRPr="00DE096C" w:rsidRDefault="00B67D7C" w:rsidP="00D45A46">
      <w:pPr>
        <w:jc w:val="both"/>
        <w:rPr>
          <w:bCs/>
          <w:i/>
          <w:color w:val="002060"/>
          <w:sz w:val="16"/>
          <w:szCs w:val="16"/>
        </w:rPr>
      </w:pPr>
      <w:r w:rsidRPr="00DE096C">
        <w:rPr>
          <w:bCs/>
          <w:i/>
          <w:color w:val="002060"/>
          <w:sz w:val="16"/>
          <w:szCs w:val="16"/>
        </w:rPr>
        <w:t>Морская авиация:</w:t>
      </w:r>
    </w:p>
    <w:p w14:paraId="24E0D946" w14:textId="77777777" w:rsidR="00B67D7C" w:rsidRPr="00DE096C" w:rsidRDefault="00B67D7C" w:rsidP="00D45A46">
      <w:pPr>
        <w:jc w:val="both"/>
        <w:rPr>
          <w:bCs/>
          <w:i/>
          <w:color w:val="002060"/>
          <w:sz w:val="16"/>
          <w:szCs w:val="16"/>
        </w:rPr>
      </w:pPr>
    </w:p>
    <w:p w14:paraId="409ADA05" w14:textId="1D8ECD46"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До конца года </w:t>
      </w:r>
      <w:r w:rsidR="00CE32E5" w:rsidRPr="00DE096C">
        <w:rPr>
          <w:bCs/>
          <w:color w:val="002060"/>
          <w:sz w:val="16"/>
          <w:szCs w:val="16"/>
        </w:rPr>
        <w:t xml:space="preserve">на ЧМ </w:t>
      </w:r>
      <w:r w:rsidRPr="00DE096C">
        <w:rPr>
          <w:bCs/>
          <w:color w:val="002060"/>
          <w:sz w:val="16"/>
          <w:szCs w:val="16"/>
        </w:rPr>
        <w:t>удалось совершить всего лишь семь разведывательных поле</w:t>
      </w:r>
      <w:r w:rsidRPr="00DE096C">
        <w:rPr>
          <w:bCs/>
          <w:color w:val="002060"/>
          <w:sz w:val="16"/>
          <w:szCs w:val="16"/>
        </w:rPr>
        <w:softHyphen/>
        <w:t>тов. Наиболее пригодными для «боевой работы» балтийцы признали 4 летающие лодки «ФБА» французского производ</w:t>
      </w:r>
      <w:r w:rsidRPr="00DE096C">
        <w:rPr>
          <w:bCs/>
          <w:color w:val="002060"/>
          <w:sz w:val="16"/>
          <w:szCs w:val="16"/>
        </w:rPr>
        <w:softHyphen/>
        <w:t>ства, способные развивать скорость до 105 км/час и находить</w:t>
      </w:r>
      <w:r w:rsidRPr="00DE096C">
        <w:rPr>
          <w:bCs/>
          <w:color w:val="002060"/>
          <w:sz w:val="16"/>
          <w:szCs w:val="16"/>
        </w:rPr>
        <w:softHyphen/>
        <w:t>ся в воздухе свыше 3 часов. Несколько прочих аппаратов были учебными (11283).</w:t>
      </w:r>
    </w:p>
    <w:p w14:paraId="0FAAD51A" w14:textId="77777777" w:rsidR="00B67D7C" w:rsidRPr="00DE096C" w:rsidRDefault="00B67D7C" w:rsidP="00D45A46">
      <w:pPr>
        <w:shd w:val="clear" w:color="auto" w:fill="FFFFFF"/>
        <w:jc w:val="both"/>
        <w:rPr>
          <w:bCs/>
          <w:color w:val="002060"/>
          <w:sz w:val="16"/>
          <w:szCs w:val="16"/>
        </w:rPr>
      </w:pPr>
    </w:p>
    <w:p w14:paraId="51D21C6F" w14:textId="77777777" w:rsidR="00D45A46" w:rsidRPr="00DE096C" w:rsidRDefault="00D45A46" w:rsidP="00D45A46">
      <w:pPr>
        <w:jc w:val="both"/>
        <w:rPr>
          <w:bCs/>
          <w:color w:val="002060"/>
          <w:sz w:val="16"/>
          <w:szCs w:val="16"/>
        </w:rPr>
      </w:pPr>
      <w:r w:rsidRPr="00DE096C">
        <w:rPr>
          <w:bCs/>
          <w:color w:val="002060"/>
          <w:sz w:val="16"/>
          <w:szCs w:val="16"/>
        </w:rPr>
        <w:t>В конце 1914 г. руководство Черноморского флота (ЧФ) приняло первичные меры по созданию воздушной обороны крепости 1-го класса г. Севастополь. Решением штаба командующего флотом (приказ от 1 декабря 1914 г. № 956) была образована специальная комиссия под председательством капитана 1-го ранга В.З. Бурхановского для выработки предложений по организации защиты Севастопольской крепости 1-го класса от налетов неприятельских дирижаблей (цеппелинов) на основе крепостной артиллерии. Однако вследствие отсутствия реальной угрозы с воздуха предложения комиссии преимущественно носили рекомендательный характер.</w:t>
      </w:r>
    </w:p>
    <w:p w14:paraId="0499A82B" w14:textId="77777777" w:rsidR="00D45A46" w:rsidRPr="00DE096C" w:rsidRDefault="00D45A46" w:rsidP="00D45A46">
      <w:pPr>
        <w:jc w:val="both"/>
        <w:rPr>
          <w:bCs/>
          <w:color w:val="002060"/>
          <w:sz w:val="16"/>
          <w:szCs w:val="16"/>
        </w:rPr>
      </w:pPr>
      <w:r w:rsidRPr="00DE096C">
        <w:rPr>
          <w:bCs/>
          <w:color w:val="002060"/>
          <w:sz w:val="16"/>
          <w:szCs w:val="16"/>
        </w:rPr>
        <w:lastRenderedPageBreak/>
        <w:t>Прикрытие главного порта ЧФ с воздуха было возложено на Севастопольский крепостной авиаотряд (штабс-капитан И.Я. Земитан), до убытия его в 1915 г. в состав действующей армии.</w:t>
      </w:r>
    </w:p>
    <w:p w14:paraId="15D524EF" w14:textId="77777777" w:rsidR="00D45A46" w:rsidRPr="00DE096C" w:rsidRDefault="00D45A46" w:rsidP="00D45A46">
      <w:pPr>
        <w:jc w:val="both"/>
        <w:rPr>
          <w:bCs/>
          <w:color w:val="002060"/>
          <w:sz w:val="16"/>
          <w:szCs w:val="16"/>
        </w:rPr>
      </w:pPr>
      <w:bookmarkStart w:id="222" w:name="bookmark76"/>
      <w:r w:rsidRPr="00DE096C">
        <w:rPr>
          <w:bCs/>
          <w:color w:val="002060"/>
          <w:sz w:val="16"/>
          <w:szCs w:val="16"/>
        </w:rPr>
        <w:t>Также была развернута воздушная оборона ряда крупных приморских военных крепостей: Кронштадта, Свеаборга, Выборга и т. д. Например, для защиты структур правления Выборгской крепости и воинских запасов от возможных воздушных налетов противника в 1915 г. «вблизи северо-западной куртины [земляного вала] была установлена батарея противовоздушной обороны из трех орудий».</w:t>
      </w:r>
      <w:bookmarkEnd w:id="222"/>
    </w:p>
    <w:p w14:paraId="2CF697DA" w14:textId="77777777" w:rsidR="00D45A46" w:rsidRPr="00DE096C" w:rsidRDefault="00D45A46" w:rsidP="00D45A46">
      <w:pPr>
        <w:jc w:val="both"/>
        <w:rPr>
          <w:bCs/>
          <w:color w:val="002060"/>
          <w:sz w:val="16"/>
          <w:szCs w:val="16"/>
        </w:rPr>
      </w:pPr>
      <w:bookmarkStart w:id="223" w:name="bookmark77"/>
      <w:r w:rsidRPr="00DE096C">
        <w:rPr>
          <w:bCs/>
          <w:color w:val="002060"/>
          <w:sz w:val="16"/>
          <w:szCs w:val="16"/>
        </w:rPr>
        <w:t>С началом второго года войны русская авиация стала чаще задействоваться в организации воздушного прикрытия наших полевых частей в прифронтовой полосе. Например, 20 января 1915 г. в полосе Северо-Западного фронта эту задачу решали летчики Осовецкого крепостного и Сибирского авиаотрядов (23405).</w:t>
      </w:r>
      <w:bookmarkEnd w:id="223"/>
    </w:p>
    <w:p w14:paraId="0B2C546D" w14:textId="77777777" w:rsidR="00D45A46" w:rsidRPr="00DE096C" w:rsidRDefault="00D45A46" w:rsidP="00D45A46">
      <w:pPr>
        <w:jc w:val="both"/>
        <w:rPr>
          <w:bCs/>
          <w:color w:val="002060"/>
          <w:sz w:val="16"/>
          <w:szCs w:val="16"/>
        </w:rPr>
      </w:pPr>
    </w:p>
    <w:p w14:paraId="4EC292DB" w14:textId="77777777" w:rsidR="00AA15B9" w:rsidRPr="00B52707" w:rsidRDefault="00AA15B9" w:rsidP="00AA15B9">
      <w:pPr>
        <w:jc w:val="both"/>
        <w:rPr>
          <w:color w:val="0070C0"/>
          <w:sz w:val="16"/>
          <w:szCs w:val="16"/>
        </w:rPr>
      </w:pPr>
      <w:r w:rsidRPr="00B52707">
        <w:rPr>
          <w:color w:val="0070C0"/>
          <w:sz w:val="16"/>
          <w:szCs w:val="16"/>
        </w:rPr>
        <w:t>В конце 1914 г., руководство Черноморского флота (ЧФ) приняло первичные меры по созданию воздушной обороны крепости 1-го класса г. Севастополь (25135).</w:t>
      </w:r>
    </w:p>
    <w:p w14:paraId="1988BBD8" w14:textId="77777777" w:rsidR="00AA15B9" w:rsidRPr="00B52707" w:rsidRDefault="00AA15B9" w:rsidP="00AA15B9">
      <w:pPr>
        <w:jc w:val="both"/>
        <w:rPr>
          <w:color w:val="0070C0"/>
          <w:sz w:val="16"/>
          <w:szCs w:val="16"/>
        </w:rPr>
      </w:pPr>
    </w:p>
    <w:p w14:paraId="27BDED69" w14:textId="77777777" w:rsidR="003F4EDF" w:rsidRPr="00DE096C" w:rsidRDefault="003F4EDF" w:rsidP="00D45A46">
      <w:pPr>
        <w:jc w:val="both"/>
        <w:rPr>
          <w:bCs/>
          <w:i/>
          <w:color w:val="002060"/>
          <w:sz w:val="16"/>
          <w:szCs w:val="16"/>
        </w:rPr>
      </w:pPr>
      <w:r w:rsidRPr="00DE096C">
        <w:rPr>
          <w:bCs/>
          <w:i/>
          <w:color w:val="002060"/>
          <w:sz w:val="16"/>
          <w:szCs w:val="16"/>
        </w:rPr>
        <w:t>Армия:</w:t>
      </w:r>
    </w:p>
    <w:p w14:paraId="3C499A01" w14:textId="77777777" w:rsidR="003F4EDF" w:rsidRPr="00DE096C" w:rsidRDefault="003F4EDF" w:rsidP="00D45A46">
      <w:pPr>
        <w:jc w:val="both"/>
        <w:rPr>
          <w:bCs/>
          <w:i/>
          <w:color w:val="002060"/>
          <w:sz w:val="16"/>
          <w:szCs w:val="16"/>
        </w:rPr>
      </w:pPr>
    </w:p>
    <w:p w14:paraId="6EA5EF6D" w14:textId="77777777" w:rsidR="003F4EDF" w:rsidRPr="00DE096C" w:rsidRDefault="003F4EDF" w:rsidP="00D45A46">
      <w:pPr>
        <w:pStyle w:val="21"/>
        <w:shd w:val="clear" w:color="auto" w:fill="auto"/>
        <w:spacing w:after="0" w:line="240" w:lineRule="auto"/>
        <w:ind w:firstLine="0"/>
        <w:jc w:val="both"/>
        <w:rPr>
          <w:rFonts w:ascii="Times New Roman" w:hAnsi="Times New Roman" w:cs="Times New Roman"/>
          <w:bCs/>
          <w:color w:val="002060"/>
          <w:spacing w:val="0"/>
          <w:sz w:val="16"/>
          <w:szCs w:val="16"/>
        </w:rPr>
      </w:pPr>
      <w:r w:rsidRPr="00DE096C">
        <w:rPr>
          <w:rFonts w:ascii="Times New Roman" w:hAnsi="Times New Roman" w:cs="Times New Roman"/>
          <w:bCs/>
          <w:color w:val="002060"/>
          <w:spacing w:val="0"/>
          <w:sz w:val="16"/>
          <w:szCs w:val="16"/>
        </w:rPr>
        <w:t>К концу 1914 года Кадровая русская армия практически перестала существовать. Большей частью она была выбита в масштабных операциях первого периода войны, а частью просто растворилась в людском море призванных в строй лапотных крестьян, из которых в спешном порядке пытались сделать солдат. Генерал А.А. Маниковский в своем труде «Боевое снабжение Русской армии в 1914-1918 гг.» приводит ужасающие зарисовки отношения к винтовочному боезапасу, которое демонстрировали вчерашние крестьяне, насильно призванные на войну и совершенно не понимающие ее смысл. Маниковский пишет о «картине позорного распутства», когда сотни тысяч патронов бесцельно сваливались в сырые, наполненные водой траншеи позади окопов, а «из ящиков с патронами сооружались траверсы (вид защитного сооружения — РП) и даже окопные бруствера». Генерал указывает, что миллионы патронов просто оставались в поле при отступлении, поскольку русские солдаты ничуть не пытались обременять себя их вывозом.</w:t>
      </w:r>
    </w:p>
    <w:p w14:paraId="6EDF2B58" w14:textId="77777777" w:rsidR="003F4EDF" w:rsidRPr="00DE096C" w:rsidRDefault="003F4EDF" w:rsidP="00D45A46">
      <w:pPr>
        <w:pStyle w:val="21"/>
        <w:shd w:val="clear" w:color="auto" w:fill="auto"/>
        <w:spacing w:after="0" w:line="240" w:lineRule="auto"/>
        <w:ind w:firstLine="0"/>
        <w:jc w:val="both"/>
        <w:rPr>
          <w:rFonts w:ascii="Times New Roman" w:hAnsi="Times New Roman" w:cs="Times New Roman"/>
          <w:bCs/>
          <w:color w:val="002060"/>
          <w:spacing w:val="0"/>
          <w:sz w:val="16"/>
          <w:szCs w:val="16"/>
        </w:rPr>
      </w:pPr>
      <w:r w:rsidRPr="00DE096C">
        <w:rPr>
          <w:rFonts w:ascii="Times New Roman" w:hAnsi="Times New Roman" w:cs="Times New Roman"/>
          <w:bCs/>
          <w:color w:val="002060"/>
          <w:spacing w:val="0"/>
          <w:sz w:val="16"/>
          <w:szCs w:val="16"/>
        </w:rPr>
        <w:t>«Повсюду [с приходом нового призывного контингента] началось безумное мотовство оружейных патронов, — пишет генерал Маниковский. — На них не смотрели как на драгоценную часть боевого оружия, а как на какой-то ненужный и часто обременительный хлам, который поэтому можно и не очень беречь, а при случае, например, при отступлении, и прямо бросить». Далее А.А. Маниковский приводит пример, когда только в одну из инспекторских поездок генерал-инспектора артиллерии на фронт в прифронтовой полосе «на небольшом участке недавно оставленной позиции было найдено около 8 миллионов вполне исправных патронов» (15230).</w:t>
      </w:r>
    </w:p>
    <w:p w14:paraId="028ECDD4" w14:textId="77777777" w:rsidR="003F4EDF" w:rsidRPr="00DE096C" w:rsidRDefault="003F4EDF" w:rsidP="00D45A46">
      <w:pPr>
        <w:pStyle w:val="21"/>
        <w:shd w:val="clear" w:color="auto" w:fill="auto"/>
        <w:spacing w:after="0" w:line="240" w:lineRule="auto"/>
        <w:ind w:firstLine="0"/>
        <w:jc w:val="both"/>
        <w:rPr>
          <w:rFonts w:ascii="Times New Roman" w:hAnsi="Times New Roman" w:cs="Times New Roman"/>
          <w:bCs/>
          <w:color w:val="002060"/>
          <w:spacing w:val="0"/>
          <w:sz w:val="16"/>
          <w:szCs w:val="16"/>
        </w:rPr>
      </w:pPr>
    </w:p>
    <w:p w14:paraId="3B7ADF0F" w14:textId="77777777" w:rsidR="003F4EDF" w:rsidRPr="00DE096C" w:rsidRDefault="003F4EDF" w:rsidP="00D45A46">
      <w:pPr>
        <w:jc w:val="both"/>
        <w:rPr>
          <w:bCs/>
          <w:color w:val="002060"/>
          <w:sz w:val="16"/>
          <w:szCs w:val="16"/>
        </w:rPr>
      </w:pPr>
      <w:r w:rsidRPr="00DE096C">
        <w:rPr>
          <w:bCs/>
          <w:color w:val="002060"/>
          <w:sz w:val="16"/>
          <w:szCs w:val="16"/>
        </w:rPr>
        <w:t>К концу 1914 года выяснилось, что противостоящие коалиции оказались достаточно сильны, чтобы сорвать планы противника, и одинаковы слабы, чтобы осуществить собственные. Вскоре фронты зарылись в землю, опутались колючей проволокой, ощетинились пулеметами. Любая атака захлебывалась в крови, двух пулеметов на 300 метров фронта оказалось достаточно, чтобы отбить натиск сколь угодного количества пехоты. Быстро выяснилось, что даже тяжелая артиллерия не способна выкурить противника с хорошо оборудованных позиций. Для захвата одной квадратной мили наступающие теряли до 8000 человек. Десятимесячное топтание под Верденом стоило сторонам 1 миллиона человек – средства обороны явно возобладали над средствами нападения. Требовался качественный рывок для выхода из «позиционного тупика» (18268).</w:t>
      </w:r>
    </w:p>
    <w:p w14:paraId="73CC2042" w14:textId="77777777" w:rsidR="003F4EDF" w:rsidRPr="00DE096C" w:rsidRDefault="003F4EDF" w:rsidP="00D45A46">
      <w:pPr>
        <w:pStyle w:val="ae"/>
        <w:spacing w:before="0" w:beforeAutospacing="0" w:after="0" w:afterAutospacing="0"/>
        <w:jc w:val="both"/>
        <w:rPr>
          <w:bCs/>
          <w:color w:val="002060"/>
          <w:sz w:val="16"/>
          <w:szCs w:val="16"/>
        </w:rPr>
      </w:pPr>
    </w:p>
    <w:p w14:paraId="0DA18465" w14:textId="77777777" w:rsidR="0080669F" w:rsidRPr="00DE096C" w:rsidRDefault="0080669F" w:rsidP="00D45A46">
      <w:pPr>
        <w:jc w:val="both"/>
        <w:rPr>
          <w:bCs/>
          <w:color w:val="002060"/>
          <w:sz w:val="16"/>
          <w:szCs w:val="16"/>
        </w:rPr>
      </w:pPr>
      <w:r w:rsidRPr="00DE096C">
        <w:rPr>
          <w:bCs/>
          <w:color w:val="002060"/>
          <w:sz w:val="16"/>
          <w:szCs w:val="16"/>
        </w:rPr>
        <w:t>В конце 1914 — начале 1915 г. армия уже ощутила «пулеметный голод», который преодолевался заказами в Англии (РГВИА. Ф. 962. Оп. 2. Д. 137. Л. 16. Показания Смысловского, 3—4 января 1917 г.) (11329).</w:t>
      </w:r>
    </w:p>
    <w:p w14:paraId="0860C048" w14:textId="77777777" w:rsidR="0080669F" w:rsidRPr="00DE096C" w:rsidRDefault="0080669F" w:rsidP="00D45A46">
      <w:pPr>
        <w:shd w:val="clear" w:color="auto" w:fill="FFFFFF"/>
        <w:jc w:val="both"/>
        <w:rPr>
          <w:bCs/>
          <w:i/>
          <w:color w:val="002060"/>
          <w:sz w:val="16"/>
          <w:szCs w:val="16"/>
        </w:rPr>
      </w:pPr>
    </w:p>
    <w:p w14:paraId="78FE84B3" w14:textId="77777777" w:rsidR="00B67D7C" w:rsidRPr="00DE096C" w:rsidRDefault="00B67D7C" w:rsidP="00D45A46">
      <w:pPr>
        <w:jc w:val="both"/>
        <w:rPr>
          <w:bCs/>
          <w:i/>
          <w:color w:val="002060"/>
          <w:sz w:val="16"/>
          <w:szCs w:val="16"/>
        </w:rPr>
      </w:pPr>
      <w:r w:rsidRPr="00DE096C">
        <w:rPr>
          <w:bCs/>
          <w:i/>
          <w:color w:val="002060"/>
          <w:sz w:val="16"/>
          <w:szCs w:val="16"/>
        </w:rPr>
        <w:t>Авиация и воздухоплавание Германии:</w:t>
      </w:r>
    </w:p>
    <w:p w14:paraId="5735C9A0" w14:textId="77777777" w:rsidR="00B67D7C" w:rsidRPr="00DE096C" w:rsidRDefault="00B67D7C" w:rsidP="00D45A46">
      <w:pPr>
        <w:jc w:val="both"/>
        <w:rPr>
          <w:bCs/>
          <w:i/>
          <w:color w:val="002060"/>
          <w:sz w:val="16"/>
          <w:szCs w:val="16"/>
        </w:rPr>
      </w:pPr>
    </w:p>
    <w:p w14:paraId="4584F00B" w14:textId="77777777" w:rsidR="00B67D7C" w:rsidRPr="00DE096C" w:rsidRDefault="00B67D7C" w:rsidP="00D45A46">
      <w:pPr>
        <w:jc w:val="both"/>
        <w:rPr>
          <w:bCs/>
          <w:color w:val="002060"/>
          <w:sz w:val="16"/>
          <w:szCs w:val="16"/>
        </w:rPr>
      </w:pPr>
      <w:r w:rsidRPr="00DE096C">
        <w:rPr>
          <w:bCs/>
          <w:color w:val="002060"/>
          <w:sz w:val="16"/>
          <w:szCs w:val="16"/>
        </w:rPr>
        <w:t xml:space="preserve">В конце 1914 c быстрым продвижением германских войск дирижаблям приходилось летать все дальше и дальше, </w:t>
      </w:r>
      <w:r w:rsidRPr="00DE096C">
        <w:rPr>
          <w:bCs/>
          <w:i/>
          <w:color w:val="002060"/>
          <w:sz w:val="16"/>
          <w:szCs w:val="16"/>
        </w:rPr>
        <w:t>вслед</w:t>
      </w:r>
      <w:r w:rsidRPr="00DE096C">
        <w:rPr>
          <w:bCs/>
          <w:color w:val="002060"/>
          <w:sz w:val="16"/>
          <w:szCs w:val="16"/>
        </w:rPr>
        <w:t>ствие чего постановка задач и возможность успешного выполнения их были затруднены. Поэтому были достроены имевшиеся ранее эллинги в Брюсселе—Эттербеке и Мобеже, и возведены уже в 1914 году новые в БрюссельАгате, Брюссель-Эвере и Гонтроде близ Гента. Одновременно с этим началось строительство газовых заводов в Брюсселе, Льеже и Мобеже. Три цеппелина были сбиты днем. К сожалению, это указывало на то, что дирижабли, вследствие их неспособности летать на большой высоте, не были пригодны для полетов днем над занятой противником территорией. Если дирижабли и не оправдали возложенных на них надежд, все же их командиры и экипажи заслуживают огромного уважения. Рискуя жизнью, часто под сильным обстрелом, они на своих мало испытанных кораблях геройски исполнили свой долг (11282).</w:t>
      </w:r>
    </w:p>
    <w:p w14:paraId="17F9A593" w14:textId="77777777" w:rsidR="00B67D7C" w:rsidRPr="00DE096C" w:rsidRDefault="00B67D7C" w:rsidP="00D45A46">
      <w:pPr>
        <w:jc w:val="both"/>
        <w:rPr>
          <w:bCs/>
          <w:color w:val="002060"/>
          <w:sz w:val="16"/>
          <w:szCs w:val="16"/>
        </w:rPr>
      </w:pPr>
    </w:p>
    <w:p w14:paraId="5F51A821" w14:textId="79979E5C" w:rsidR="00B67D7C" w:rsidRPr="00DE096C" w:rsidRDefault="00CE32E5" w:rsidP="00D45A46">
      <w:pPr>
        <w:pStyle w:val="Blockquote"/>
        <w:spacing w:before="0" w:after="0"/>
        <w:ind w:left="0" w:right="0"/>
        <w:jc w:val="both"/>
        <w:rPr>
          <w:bCs/>
          <w:color w:val="002060"/>
          <w:sz w:val="16"/>
          <w:szCs w:val="16"/>
        </w:rPr>
      </w:pPr>
      <w:r w:rsidRPr="00DE096C">
        <w:rPr>
          <w:bCs/>
          <w:color w:val="002060"/>
          <w:sz w:val="16"/>
          <w:szCs w:val="16"/>
        </w:rPr>
        <w:t>В</w:t>
      </w:r>
      <w:r w:rsidR="00B67D7C" w:rsidRPr="00DE096C">
        <w:rPr>
          <w:bCs/>
          <w:color w:val="002060"/>
          <w:sz w:val="16"/>
          <w:szCs w:val="16"/>
        </w:rPr>
        <w:t xml:space="preserve"> конце 1914 и начале 1915 годов</w:t>
      </w:r>
      <w:r w:rsidRPr="00DE096C">
        <w:rPr>
          <w:bCs/>
          <w:color w:val="002060"/>
          <w:sz w:val="16"/>
          <w:szCs w:val="16"/>
        </w:rPr>
        <w:t xml:space="preserve"> большую часть произведенных цеппелинов, </w:t>
      </w:r>
      <w:r w:rsidR="00B67D7C" w:rsidRPr="00DE096C">
        <w:rPr>
          <w:bCs/>
          <w:color w:val="002060"/>
          <w:sz w:val="16"/>
          <w:szCs w:val="16"/>
        </w:rPr>
        <w:t>составляли корабли серии «т» объемом 22 470 куб. м. Они примерно соответствовали объему морского дирижабля L-3 (LZ-24), построенного в мае 1914 года, но вместе с тем в их конструкцию было введено много усовершенствований. У них остался еще укороченный внешний киль, но дирижабли получили современное одинарное хвостовое оперение на тонкой кормовой части. Под оболочкой находились 2 одинаковые длинные гондолы, расположенные друг за другом. Передняя, командирская, была застеклена. В ее задней части был установлен мотор «Майбак» МС-Х мощностью 210 л. с., с толкающим воздушным винтом. Во второй гондоле находились два МС-Х, их мощность разделялась между толкающим винтом в хвостовой части гондолы и двумя винтами, установленными на рамах на боковых сторонах корпуса корабля. Длина цеппелинов серии «т» составляла 158 м, грузоподъемность 7450 кг. Дирижабли развивали скорость 80,6 км/ч и могли действовать на высоте 2000 м. В конце 1914 года был выпущен новый значительно усовершенствованный тип дирижабля переходной серии «m/n» Z-XII (LZ-26) объемом 25 000 куб. м, у которого коридор, [103] соединяющий гондолы, проходил не по килю под корпусом дирижабля, как это делалось прежде, а был устроен внутри каркаса. Дирижабль имел более совершенную аэродинамику. [104]</w:t>
      </w:r>
    </w:p>
    <w:p w14:paraId="5AABEEE0" w14:textId="77777777" w:rsidR="00B67D7C" w:rsidRPr="00DE096C" w:rsidRDefault="00B67D7C" w:rsidP="00D45A46">
      <w:pPr>
        <w:jc w:val="both"/>
        <w:rPr>
          <w:bCs/>
          <w:color w:val="002060"/>
          <w:sz w:val="16"/>
          <w:szCs w:val="16"/>
        </w:rPr>
      </w:pPr>
      <w:r w:rsidRPr="00DE096C">
        <w:rPr>
          <w:bCs/>
          <w:color w:val="002060"/>
          <w:sz w:val="16"/>
          <w:szCs w:val="16"/>
        </w:rPr>
        <w:t xml:space="preserve">Армия получила четыре дирижабля: Z-IX, Z-X, Z-XI и Z-XII. Военные опасались вводить в свой состав «несчастливый» тринадцатый номер. Поэтому некоторое время использовались заводские обозначения. Большинство кораблей серии «m» были переданы флоту. </w:t>
      </w:r>
    </w:p>
    <w:p w14:paraId="10F7EF01" w14:textId="77777777" w:rsidR="00B67D7C" w:rsidRPr="00DE096C" w:rsidRDefault="00B67D7C" w:rsidP="00D45A46">
      <w:pPr>
        <w:jc w:val="both"/>
        <w:rPr>
          <w:bCs/>
          <w:color w:val="002060"/>
          <w:sz w:val="16"/>
          <w:szCs w:val="16"/>
        </w:rPr>
      </w:pPr>
      <w:r w:rsidRPr="00DE096C">
        <w:rPr>
          <w:bCs/>
          <w:color w:val="002060"/>
          <w:sz w:val="16"/>
          <w:szCs w:val="16"/>
        </w:rPr>
        <w:t xml:space="preserve">Энергией и стараниями Штрассера к новому 1915 году Дивизион воздушных кораблей пополнился сразу пятью боевыми единицами: L-4, L-5, L-6, L-7 и L-8. Однако на 6 дирижаблей приходилось 25 подготовленных экипажей, что никак не устраивало Штрассера. В его распоряжении уже находилось почти 4000 человек, рассредоточенных на воздухоплавательных базах и готовых по первому приказу вылететь на бомбардировку Англии. Правда, лететь пока им было не на чем, и поэтому Петер Штрассер фактически в одиночку провел переговоры с заводами Цеппелина и договорился о постройке к середине 1915 года двадцати восьми дирижаблей увеличенного объема, пригодных для налетов на Британские острова. </w:t>
      </w:r>
    </w:p>
    <w:p w14:paraId="1298B4DC" w14:textId="77777777" w:rsidR="00B67D7C" w:rsidRPr="00DE096C" w:rsidRDefault="00B67D7C" w:rsidP="00D45A46">
      <w:pPr>
        <w:jc w:val="both"/>
        <w:rPr>
          <w:bCs/>
          <w:color w:val="002060"/>
          <w:sz w:val="16"/>
          <w:szCs w:val="16"/>
        </w:rPr>
      </w:pPr>
      <w:r w:rsidRPr="00DE096C">
        <w:rPr>
          <w:bCs/>
          <w:color w:val="002060"/>
          <w:sz w:val="16"/>
          <w:szCs w:val="16"/>
        </w:rPr>
        <w:t>Моряки использовали дирижабли в основном для патрулирования Северного и Балтийского морей и для установки минных заграждений. Морская разведка была столь интенсивна и успешна, что британцы с горечью отмечали: для этого дела один дирижабль стоит пяти-шести крейсеров (11324).</w:t>
      </w:r>
    </w:p>
    <w:p w14:paraId="075F17F1" w14:textId="77777777" w:rsidR="00B67D7C" w:rsidRPr="00DE096C" w:rsidRDefault="00B67D7C" w:rsidP="00D45A46">
      <w:pPr>
        <w:jc w:val="both"/>
        <w:rPr>
          <w:bCs/>
          <w:i/>
          <w:color w:val="002060"/>
          <w:sz w:val="16"/>
          <w:szCs w:val="16"/>
        </w:rPr>
      </w:pPr>
    </w:p>
    <w:p w14:paraId="301DEFB6" w14:textId="74C3E9D2" w:rsidR="00B67D7C" w:rsidRPr="00DE096C" w:rsidRDefault="00B67D7C" w:rsidP="00D45A46">
      <w:pPr>
        <w:jc w:val="both"/>
        <w:rPr>
          <w:bCs/>
          <w:color w:val="002060"/>
          <w:sz w:val="16"/>
          <w:szCs w:val="16"/>
        </w:rPr>
      </w:pPr>
      <w:r w:rsidRPr="00DE096C">
        <w:rPr>
          <w:bCs/>
          <w:color w:val="002060"/>
          <w:sz w:val="16"/>
          <w:szCs w:val="16"/>
        </w:rPr>
        <w:t xml:space="preserve">В </w:t>
      </w:r>
      <w:r w:rsidR="00CE32E5" w:rsidRPr="00DE096C">
        <w:rPr>
          <w:bCs/>
          <w:color w:val="002060"/>
          <w:sz w:val="16"/>
          <w:szCs w:val="16"/>
        </w:rPr>
        <w:t xml:space="preserve">конце 1914 г. </w:t>
      </w:r>
      <w:r w:rsidRPr="00DE096C">
        <w:rPr>
          <w:bCs/>
          <w:color w:val="002060"/>
          <w:sz w:val="16"/>
          <w:szCs w:val="16"/>
        </w:rPr>
        <w:t xml:space="preserve">телеграмме, которая поступила в главный штаб ВМФ под новый 1915 год, указывались цели для налетов: доки, военные заводы, учебные лагеря неприятеля, расположенные в нижнем течении Темзы. Экипажам цеппелинов категорически воспрещалось сбрасывать бомбы на жилые кварталы Лондона. </w:t>
      </w:r>
    </w:p>
    <w:p w14:paraId="0781D30A" w14:textId="77777777" w:rsidR="00B67D7C" w:rsidRPr="00DE096C" w:rsidRDefault="00B67D7C" w:rsidP="00D45A46">
      <w:pPr>
        <w:jc w:val="both"/>
        <w:rPr>
          <w:bCs/>
          <w:color w:val="002060"/>
          <w:sz w:val="16"/>
          <w:szCs w:val="16"/>
        </w:rPr>
      </w:pPr>
      <w:r w:rsidRPr="00DE096C">
        <w:rPr>
          <w:bCs/>
          <w:color w:val="002060"/>
          <w:sz w:val="16"/>
          <w:szCs w:val="16"/>
        </w:rPr>
        <w:t xml:space="preserve">Стоит ли описывать, с каким восторгом Петер Штрассер прочел эту телеграмму. Наконец-то наступил звездный час боевых дирижаблей! То, чего не могли добиться закованные в броню эскадры Флота открытого моря (так немцы называли главные силы ВМФ. — </w:t>
      </w:r>
      <w:r w:rsidRPr="00DE096C">
        <w:rPr>
          <w:bCs/>
          <w:i/>
          <w:color w:val="002060"/>
          <w:sz w:val="16"/>
          <w:szCs w:val="16"/>
        </w:rPr>
        <w:t>Сост.),</w:t>
      </w:r>
      <w:r w:rsidRPr="00DE096C">
        <w:rPr>
          <w:bCs/>
          <w:color w:val="002060"/>
          <w:sz w:val="16"/>
          <w:szCs w:val="16"/>
        </w:rPr>
        <w:t xml:space="preserve"> сделает его дивизион «летающих сарделек». Он, лейтенант Штрассер, как древний галл, принесет войну на берега надменной Англии и заставит противника капитулировать в своем собственном логове. </w:t>
      </w:r>
    </w:p>
    <w:p w14:paraId="1A89E9C5" w14:textId="77777777" w:rsidR="00B67D7C" w:rsidRPr="00DE096C" w:rsidRDefault="00B67D7C" w:rsidP="00D45A46">
      <w:pPr>
        <w:jc w:val="both"/>
        <w:rPr>
          <w:bCs/>
          <w:color w:val="002060"/>
          <w:sz w:val="16"/>
          <w:szCs w:val="16"/>
        </w:rPr>
      </w:pPr>
      <w:r w:rsidRPr="00DE096C">
        <w:rPr>
          <w:bCs/>
          <w:color w:val="002060"/>
          <w:sz w:val="16"/>
          <w:szCs w:val="16"/>
        </w:rPr>
        <w:t xml:space="preserve">Нельзя сказать, что командование военно-морского флота Германии единодушно поддержало порыв «сумасшедшего лейтенанта». Многие адмиралы старой закалки, ревниво относившиеся к успехам новых видов оружия вроде подводных лодок и дирижаблей и слепо верившие в то, что «дредноут» по-прежнему является «царем зверей» среди прочей водоплавающей мелюзги, довольно резко критиковали план Штрассера. Их главными аргументами против рейдов на Англию выступали малая бомбовая нагрузка цеппелинов и их высокая уязвимость от зенитного огня. </w:t>
      </w:r>
    </w:p>
    <w:p w14:paraId="37D9FAD1" w14:textId="77777777" w:rsidR="00B67D7C" w:rsidRPr="00DE096C" w:rsidRDefault="00B67D7C" w:rsidP="00D45A46">
      <w:pPr>
        <w:jc w:val="both"/>
        <w:rPr>
          <w:bCs/>
          <w:color w:val="002060"/>
          <w:sz w:val="16"/>
          <w:szCs w:val="16"/>
        </w:rPr>
      </w:pPr>
      <w:r w:rsidRPr="00DE096C">
        <w:rPr>
          <w:bCs/>
          <w:color w:val="002060"/>
          <w:sz w:val="16"/>
          <w:szCs w:val="16"/>
        </w:rPr>
        <w:t>Но Штрассера не так-то просто было сбить с пути, который он считал единственно правильным в сложившейся ситуации. Да, соглашался он, один залп линкора весит в несколько раз больше, чем бомбовая нагрузка самого большого дирижабля. Но линкоры флота заперты англичанами в гаванях и в принципе не могут обстреливать британское побережье. Очевидно, что любой броненосец, прорвавшийся в устье Темзы, способен «переколотить очень много посуды» на «военной кухне» англичан. Только вот добраться туда ему не позволит ни британский флот, ни батареи береговой обороны. А цеппелин под покровом ночи незаметно проскользнет над Северным морем и нанесет спящему Джону Булю удар прямо в спину. Цель бомбардировок Англии, доказывал Штрассер, заключается не в физическом разрушении ее военной промышленности и инфраструктуры, а в подрыве боевого духа противника, создания паники в тылу врага. Когда на беззащитные города обрушатся первые [110] бомбы, англичанам придется срочно перебрасывать с фронта на территорию метрополии зенитные батареи, прожекторные дивизионы и эскадрильи истребителей, так необходимые на Западном фронте. Ночные налеты заставят ввести затемнение городов, гаваней, заводов, арсеналов, что, в свою очередь, самым негативным образом скажется на выпуске военной продукции. А что касается возможных потерь, так ни одно сражение не может быть выиграно без крови и жертв. Он, Петер Штрассер, и его подчиненные являются верными солдатами кайзера и готовы умереть за фатерлянд, если это потребуется. Боевой дух в Дивизионе воздушных кораблей необычайно высок, материальная часть находится в полном порядке, он как автор и командир операции ручается за ее благополучный исход (11324).</w:t>
      </w:r>
    </w:p>
    <w:p w14:paraId="4077EC02" w14:textId="77777777" w:rsidR="00B67D7C" w:rsidRPr="00DE096C" w:rsidRDefault="00B67D7C" w:rsidP="00D45A46">
      <w:pPr>
        <w:shd w:val="clear" w:color="auto" w:fill="FFFFFF"/>
        <w:jc w:val="both"/>
        <w:rPr>
          <w:bCs/>
          <w:i/>
          <w:color w:val="002060"/>
          <w:sz w:val="16"/>
          <w:szCs w:val="16"/>
        </w:rPr>
      </w:pPr>
    </w:p>
    <w:p w14:paraId="03F28448" w14:textId="77777777" w:rsidR="00A4521B" w:rsidRPr="00DE096C" w:rsidRDefault="00A4521B" w:rsidP="00D45A46">
      <w:pPr>
        <w:jc w:val="both"/>
        <w:rPr>
          <w:bCs/>
          <w:color w:val="002060"/>
          <w:sz w:val="16"/>
          <w:szCs w:val="16"/>
        </w:rPr>
      </w:pPr>
      <w:r w:rsidRPr="00DE096C">
        <w:rPr>
          <w:bCs/>
          <w:color w:val="002060"/>
          <w:sz w:val="16"/>
          <w:szCs w:val="16"/>
        </w:rPr>
        <w:lastRenderedPageBreak/>
        <w:t>С конца 1914 года над средним бомбардировщиком начал работать берлинский завод транспортного машиностроения «Готаэр Ваггонфабрик» («Гота»). В феврале 1915 года эта фирма построила большой двухмоторный моноплан Гота G I, сделанный под впечатлением успехов истребителей-монопланов, в том числе грозного Фоккер E I. Не дожидаясь результатов испытаний, германский «кригсминистериум» выдал заказ сразу на 20 самолетов этого типа. Меж тем летные данные оказались низкими, два 150-сильных «Бенца» явно «не тянули» машину. Испытания шли почти год, за это время производство Готы G I не раз закрывали и возобновляли, военные приняли 18 самолетов, которые использовались как дальние разведчики (22794).</w:t>
      </w:r>
    </w:p>
    <w:p w14:paraId="09C97442" w14:textId="77777777" w:rsidR="00A4521B" w:rsidRPr="00DE096C" w:rsidRDefault="00A4521B" w:rsidP="00D45A46">
      <w:pPr>
        <w:jc w:val="both"/>
        <w:rPr>
          <w:bCs/>
          <w:color w:val="002060"/>
          <w:sz w:val="16"/>
          <w:szCs w:val="16"/>
        </w:rPr>
      </w:pPr>
    </w:p>
    <w:p w14:paraId="107DC100" w14:textId="77777777" w:rsidR="00A4521B" w:rsidRPr="00DE096C" w:rsidRDefault="00A4521B" w:rsidP="00D45A46">
      <w:pPr>
        <w:jc w:val="both"/>
        <w:rPr>
          <w:bCs/>
          <w:color w:val="002060"/>
          <w:sz w:val="16"/>
          <w:szCs w:val="16"/>
        </w:rPr>
      </w:pPr>
      <w:r w:rsidRPr="00DE096C">
        <w:rPr>
          <w:bCs/>
          <w:color w:val="002060"/>
          <w:sz w:val="16"/>
          <w:szCs w:val="16"/>
        </w:rPr>
        <w:t>В конце 1914 года приступил к проектированию «большого самолета» и «Сименс». Его «тип G» был крайне оригинален и имел фюзеляж, за кабиной разделявшийся на две пирамидальные балки, расположенные друг над другом. Два мотора поставили в носу, а винты вывели перед бипланной коробкой. В мае 1915 года «тип G» начал летать, но массовым не стал (22794).</w:t>
      </w:r>
    </w:p>
    <w:p w14:paraId="4361D93E" w14:textId="77777777" w:rsidR="00A4521B" w:rsidRPr="00DE096C" w:rsidRDefault="00A4521B" w:rsidP="00D45A46">
      <w:pPr>
        <w:jc w:val="both"/>
        <w:rPr>
          <w:bCs/>
          <w:color w:val="002060"/>
          <w:sz w:val="16"/>
          <w:szCs w:val="16"/>
        </w:rPr>
      </w:pPr>
    </w:p>
    <w:p w14:paraId="53A5D886" w14:textId="77777777" w:rsidR="003B2F98" w:rsidRPr="00DE096C" w:rsidRDefault="003B2F98" w:rsidP="00D45A46">
      <w:pPr>
        <w:jc w:val="both"/>
        <w:rPr>
          <w:bCs/>
          <w:i/>
          <w:color w:val="002060"/>
          <w:sz w:val="16"/>
          <w:szCs w:val="16"/>
        </w:rPr>
      </w:pPr>
      <w:r w:rsidRPr="00DE096C">
        <w:rPr>
          <w:bCs/>
          <w:i/>
          <w:color w:val="002060"/>
          <w:sz w:val="16"/>
          <w:szCs w:val="16"/>
        </w:rPr>
        <w:t>Авиация и воздухоплавание Франции:</w:t>
      </w:r>
    </w:p>
    <w:p w14:paraId="1C7077AE" w14:textId="77777777" w:rsidR="003B2F98" w:rsidRPr="00DE096C" w:rsidRDefault="003B2F98" w:rsidP="00D45A46">
      <w:pPr>
        <w:jc w:val="both"/>
        <w:rPr>
          <w:bCs/>
          <w:i/>
          <w:color w:val="002060"/>
          <w:sz w:val="16"/>
          <w:szCs w:val="16"/>
        </w:rPr>
      </w:pPr>
    </w:p>
    <w:p w14:paraId="21AC1060" w14:textId="77777777" w:rsidR="003B2F98" w:rsidRPr="00DE096C" w:rsidRDefault="003B2F98" w:rsidP="00D45A46">
      <w:pPr>
        <w:pStyle w:val="ae"/>
        <w:shd w:val="clear" w:color="auto" w:fill="FFFFFF"/>
        <w:spacing w:before="0" w:beforeAutospacing="0" w:after="0" w:afterAutospacing="0"/>
        <w:jc w:val="both"/>
        <w:textAlignment w:val="baseline"/>
        <w:rPr>
          <w:bCs/>
          <w:color w:val="002060"/>
          <w:sz w:val="16"/>
          <w:szCs w:val="16"/>
        </w:rPr>
      </w:pPr>
      <w:r w:rsidRPr="00DE096C">
        <w:rPr>
          <w:bCs/>
          <w:color w:val="002060"/>
          <w:sz w:val="16"/>
          <w:szCs w:val="16"/>
        </w:rPr>
        <w:t>В конце 1914 года Ж. Баре - начальник воздушной службы при Генеральном штабе (GQG) - кроме баз в Шале и Винсенне создаёт Центральную базу снабжения в Мортеме. Были вновь открыты лётные школы. Вот только после их окончания молодые пилоты могут выполнять лишь простейшие эволюции на учебных машинах. Чтобы подготовить их к боевой работе, возле Ле Бурже формируется авиабаза, где пилоты осваивают боевые самолёты, состоящие на вооружении. Мобилизуются частные школы при авиастроительных компаниях. В начале войны выяснилось, что воздушные силы к ней не готовы: самолётов мало, аэростатов наблюдения всего четыре, да и те старого типа «Ренар», на которых уже несколько лет не осуществлялись подъёмы, не хватает экипажей для дирижаблей, на фронте авиация действует согласно предвоенным инструкциям (19791).</w:t>
      </w:r>
    </w:p>
    <w:p w14:paraId="60FCF543" w14:textId="77777777" w:rsidR="003B2F98" w:rsidRPr="00DE096C" w:rsidRDefault="003B2F98" w:rsidP="00D45A46">
      <w:pPr>
        <w:pStyle w:val="ae"/>
        <w:shd w:val="clear" w:color="auto" w:fill="FFFFFF"/>
        <w:spacing w:before="0" w:beforeAutospacing="0" w:after="0" w:afterAutospacing="0"/>
        <w:jc w:val="both"/>
        <w:textAlignment w:val="baseline"/>
        <w:rPr>
          <w:bCs/>
          <w:color w:val="002060"/>
          <w:sz w:val="16"/>
          <w:szCs w:val="16"/>
        </w:rPr>
      </w:pPr>
    </w:p>
    <w:p w14:paraId="64F0C651" w14:textId="77777777" w:rsidR="00D42D98" w:rsidRPr="00DE096C" w:rsidRDefault="00D42D98" w:rsidP="00D45A46">
      <w:pPr>
        <w:jc w:val="both"/>
        <w:rPr>
          <w:bCs/>
          <w:color w:val="002060"/>
          <w:sz w:val="16"/>
          <w:szCs w:val="16"/>
        </w:rPr>
      </w:pPr>
      <w:r w:rsidRPr="00DE096C">
        <w:rPr>
          <w:bCs/>
          <w:color w:val="002060"/>
          <w:sz w:val="16"/>
          <w:szCs w:val="16"/>
        </w:rPr>
        <w:t>В конце 1914 г. Фош писал: "Наступление, оснащенное всеми... средствами, не будет, как и во времена Наполеона, знать позиционной войны. Оно вновь приобретет подвижность, которую оно утратило из-за худосочия, из-за своего бессилия перед препятствиями... темп развития войны зависит от имеющихся налицо машин и материальной части. Человек, каким бы доблестным он ни был, не может один его изменить. Без... техники он совершенно бессилен. А так как количество... техники все время увеличивается, то одна из первых задач бойца в армии заключается в том, чтобы одухотворять, обслуживать эту технику.</w:t>
      </w:r>
    </w:p>
    <w:p w14:paraId="03F4FF6D" w14:textId="77777777" w:rsidR="00D42D98" w:rsidRPr="00DE096C" w:rsidRDefault="00D42D98" w:rsidP="00D45A46">
      <w:pPr>
        <w:jc w:val="both"/>
        <w:rPr>
          <w:bCs/>
          <w:color w:val="002060"/>
          <w:sz w:val="16"/>
          <w:szCs w:val="16"/>
        </w:rPr>
      </w:pPr>
      <w:r w:rsidRPr="00DE096C">
        <w:rPr>
          <w:bCs/>
          <w:color w:val="002060"/>
          <w:sz w:val="16"/>
          <w:szCs w:val="16"/>
        </w:rPr>
        <w:t>Таковы были уроки войны уже к концу 1914 г. Чего только нельзя ожидать в войнах будущего от успехов авиации и развития химической войны..."</w:t>
      </w:r>
    </w:p>
    <w:p w14:paraId="68F79E96" w14:textId="77777777" w:rsidR="00D42D98" w:rsidRPr="00DE096C" w:rsidRDefault="00D42D98" w:rsidP="00D45A46">
      <w:pPr>
        <w:jc w:val="both"/>
        <w:rPr>
          <w:bCs/>
          <w:color w:val="002060"/>
          <w:sz w:val="16"/>
          <w:szCs w:val="16"/>
        </w:rPr>
      </w:pPr>
      <w:r w:rsidRPr="00DE096C">
        <w:rPr>
          <w:bCs/>
          <w:color w:val="002060"/>
          <w:sz w:val="16"/>
          <w:szCs w:val="16"/>
        </w:rPr>
        <w:t>И это написал тот самый Фош, который еще совсем недавно говорил об авиации: "Это хороший спорт. Но для армии самолет ни к чему".</w:t>
      </w:r>
    </w:p>
    <w:p w14:paraId="7E8BBDD9" w14:textId="77777777" w:rsidR="00D42D98" w:rsidRPr="00DE096C" w:rsidRDefault="00D42D98" w:rsidP="00D45A46">
      <w:pPr>
        <w:jc w:val="both"/>
        <w:rPr>
          <w:bCs/>
          <w:color w:val="002060"/>
          <w:sz w:val="16"/>
          <w:szCs w:val="16"/>
        </w:rPr>
      </w:pPr>
      <w:r w:rsidRPr="00DE096C">
        <w:rPr>
          <w:bCs/>
          <w:color w:val="002060"/>
          <w:sz w:val="16"/>
          <w:szCs w:val="16"/>
        </w:rPr>
        <w:t>Таким образом, уже первые месяцы войны в корне изменили отношение военных к авиации. Теперь они вдруг поняли, как хорошо наблюдать сверху за разворотом событий, а иногда и вмешиваться в них. Именно под этим знаком прошла кампания 1914 г. И теперь недалек уже тот день, когда у летчика возникнет желание не только кидать гранаты в наземные цели, но и стрелять в походные колонны из пулемета, а у командующего - руководить боем по радиопередатчику, наблюдая за ходом сражения с борта самолета.</w:t>
      </w:r>
    </w:p>
    <w:p w14:paraId="51FF3A79" w14:textId="77777777" w:rsidR="00D42D98" w:rsidRPr="00DE096C" w:rsidRDefault="00D42D98" w:rsidP="00D45A46">
      <w:pPr>
        <w:jc w:val="both"/>
        <w:rPr>
          <w:bCs/>
          <w:color w:val="002060"/>
          <w:sz w:val="16"/>
          <w:szCs w:val="16"/>
        </w:rPr>
      </w:pPr>
      <w:r w:rsidRPr="00DE096C">
        <w:rPr>
          <w:bCs/>
          <w:color w:val="002060"/>
          <w:sz w:val="16"/>
          <w:szCs w:val="16"/>
        </w:rPr>
        <w:t>Недаром русский летчик Н. Попов сказал в 1914 году: "Если бы в сражении при Ватерлоо у Наполеона был хотя бы один летчик, Наполеон непременно выиграл бы" (11999).</w:t>
      </w:r>
    </w:p>
    <w:p w14:paraId="47730B8C" w14:textId="77777777" w:rsidR="00D42D98" w:rsidRPr="00DE096C" w:rsidRDefault="00D42D98" w:rsidP="00D45A46">
      <w:pPr>
        <w:jc w:val="both"/>
        <w:rPr>
          <w:bCs/>
          <w:color w:val="002060"/>
          <w:sz w:val="16"/>
          <w:szCs w:val="16"/>
        </w:rPr>
      </w:pPr>
    </w:p>
    <w:p w14:paraId="6359E2A1" w14:textId="77777777" w:rsidR="00B67D7C" w:rsidRPr="00DE096C" w:rsidRDefault="00B67D7C" w:rsidP="00D45A46">
      <w:pPr>
        <w:jc w:val="both"/>
        <w:rPr>
          <w:bCs/>
          <w:i/>
          <w:color w:val="002060"/>
          <w:sz w:val="16"/>
          <w:szCs w:val="16"/>
        </w:rPr>
      </w:pPr>
      <w:r w:rsidRPr="00DE096C">
        <w:rPr>
          <w:bCs/>
          <w:i/>
          <w:color w:val="002060"/>
          <w:sz w:val="16"/>
          <w:szCs w:val="16"/>
        </w:rPr>
        <w:t>Авиация и воздухоплавание Англии:</w:t>
      </w:r>
    </w:p>
    <w:p w14:paraId="0A582BC9" w14:textId="77777777" w:rsidR="00B67D7C" w:rsidRPr="00DE096C" w:rsidRDefault="00B67D7C" w:rsidP="00D45A46">
      <w:pPr>
        <w:jc w:val="both"/>
        <w:rPr>
          <w:bCs/>
          <w:i/>
          <w:color w:val="002060"/>
          <w:sz w:val="16"/>
          <w:szCs w:val="16"/>
        </w:rPr>
      </w:pPr>
    </w:p>
    <w:p w14:paraId="1EC1FE9B" w14:textId="2C1D8373" w:rsidR="00B67D7C" w:rsidRPr="00DE096C" w:rsidRDefault="00CE32E5"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конце 1914 г., RFC были распределены в эскадрильях по армиям и созданы специальные отряды для артиллерийской и фоторазведки с соответствующими пригодными образцами летательных аппаратов. Французской стороной раньше всех были развиты тактические концепции, которыми отводилось все повышающееся значение воздушной борьбе. Это позволяло конструировать соответствующие образцы машин. С начала войны генеральные штабы всех воюющих стран скептически обсуждали возможности воздушной борьбы, однако уже в сентябре 1914 г. почти все летные подразделения были вооружены тяжелыми пистолетами, карабинами или скорострельным оружием. У французских и позднее у английских воздушных сил с октября на аэропланах с ферменной хвостовой частью и толкающим винтом стали устанавливать в носовой части пулемет (11999).</w:t>
      </w:r>
    </w:p>
    <w:p w14:paraId="135150DC" w14:textId="77777777" w:rsidR="00B67D7C" w:rsidRPr="00DE096C" w:rsidRDefault="00B67D7C" w:rsidP="00D45A46">
      <w:pPr>
        <w:jc w:val="both"/>
        <w:rPr>
          <w:bCs/>
          <w:color w:val="002060"/>
          <w:sz w:val="16"/>
          <w:szCs w:val="16"/>
        </w:rPr>
      </w:pPr>
    </w:p>
    <w:p w14:paraId="1C5DD3C3" w14:textId="3BC83DDA" w:rsidR="00A4521B" w:rsidRPr="00DE096C" w:rsidRDefault="00A4521B" w:rsidP="00D45A46">
      <w:pPr>
        <w:jc w:val="both"/>
        <w:rPr>
          <w:bCs/>
          <w:i/>
          <w:color w:val="002060"/>
          <w:sz w:val="16"/>
          <w:szCs w:val="16"/>
        </w:rPr>
      </w:pPr>
      <w:r w:rsidRPr="00DE096C">
        <w:rPr>
          <w:bCs/>
          <w:i/>
          <w:color w:val="002060"/>
          <w:sz w:val="16"/>
          <w:szCs w:val="16"/>
        </w:rPr>
        <w:t>Авиация и воздухоплавание за руб</w:t>
      </w:r>
      <w:r w:rsidR="004F3ABB" w:rsidRPr="00DE096C">
        <w:rPr>
          <w:bCs/>
          <w:i/>
          <w:color w:val="002060"/>
          <w:sz w:val="16"/>
          <w:szCs w:val="16"/>
        </w:rPr>
        <w:t>е</w:t>
      </w:r>
      <w:r w:rsidRPr="00DE096C">
        <w:rPr>
          <w:bCs/>
          <w:i/>
          <w:color w:val="002060"/>
          <w:sz w:val="16"/>
          <w:szCs w:val="16"/>
        </w:rPr>
        <w:t>жом:</w:t>
      </w:r>
    </w:p>
    <w:p w14:paraId="56918FA5" w14:textId="77777777" w:rsidR="00A4521B" w:rsidRPr="00DE096C" w:rsidRDefault="00A4521B" w:rsidP="00D45A46">
      <w:pPr>
        <w:jc w:val="both"/>
        <w:rPr>
          <w:bCs/>
          <w:i/>
          <w:color w:val="002060"/>
          <w:sz w:val="16"/>
          <w:szCs w:val="16"/>
        </w:rPr>
      </w:pPr>
    </w:p>
    <w:p w14:paraId="035E1871" w14:textId="77777777" w:rsidR="00A4521B" w:rsidRPr="00DE096C" w:rsidRDefault="00A4521B" w:rsidP="00D45A46">
      <w:pPr>
        <w:jc w:val="both"/>
        <w:rPr>
          <w:bCs/>
          <w:color w:val="002060"/>
          <w:sz w:val="16"/>
          <w:szCs w:val="16"/>
        </w:rPr>
      </w:pPr>
      <w:r w:rsidRPr="00DE096C">
        <w:rPr>
          <w:bCs/>
          <w:color w:val="002060"/>
          <w:sz w:val="16"/>
          <w:szCs w:val="16"/>
        </w:rPr>
        <w:t>К концу 1914 г. трехмо</w:t>
      </w:r>
      <w:r w:rsidRPr="00DE096C">
        <w:rPr>
          <w:bCs/>
          <w:color w:val="002060"/>
          <w:sz w:val="16"/>
          <w:szCs w:val="16"/>
        </w:rPr>
        <w:softHyphen/>
        <w:t>торный двухбалочный самолет-биплан Капрони «Ка-3»Этот самолет стал основным тяжелым бомбардировщиком итальянских ВВС. Его использовали также англичане, а после высадки в 1917 году в Ев</w:t>
      </w:r>
      <w:r w:rsidRPr="00DE096C">
        <w:rPr>
          <w:bCs/>
          <w:color w:val="002060"/>
          <w:sz w:val="16"/>
          <w:szCs w:val="16"/>
        </w:rPr>
        <w:softHyphen/>
        <w:t>ропе и американцы. Кроме того, Франция, приобретя лицензию на производство этого самолета, выпустила на заводах фирмы «Эсно-Пельтье» 19 машин под обозначением КЭП («Капрони-Эс- но-Пельтье»). В 1916 году был создан следующий самолет «Ка-4», самый большой аэроплан ВВС Италии в период Первой мировой войны (23011).</w:t>
      </w:r>
    </w:p>
    <w:p w14:paraId="4BDC52F5" w14:textId="77777777" w:rsidR="00A4521B" w:rsidRPr="00DE096C" w:rsidRDefault="00A4521B" w:rsidP="00D45A46">
      <w:pPr>
        <w:jc w:val="both"/>
        <w:rPr>
          <w:bCs/>
          <w:color w:val="002060"/>
          <w:sz w:val="16"/>
          <w:szCs w:val="16"/>
        </w:rPr>
      </w:pPr>
    </w:p>
    <w:p w14:paraId="57D68A0F" w14:textId="77777777" w:rsidR="00B67D7C" w:rsidRPr="00DE096C" w:rsidRDefault="00B67D7C" w:rsidP="00D45A46">
      <w:pPr>
        <w:jc w:val="both"/>
        <w:rPr>
          <w:bCs/>
          <w:color w:val="002060"/>
          <w:sz w:val="16"/>
          <w:szCs w:val="16"/>
        </w:rPr>
      </w:pPr>
      <w:r w:rsidRPr="00DE096C">
        <w:rPr>
          <w:bCs/>
          <w:color w:val="002060"/>
          <w:sz w:val="16"/>
          <w:szCs w:val="16"/>
        </w:rPr>
        <w:t>С конца 1914-начала1915 года, авиация, которой, поначалу, не придавали особого значения, используя, в основном, как средство разведки и арткорректировки, стала самостоятельной боевой силой. Первой "ласточкой" стали французские двухместные SPAD-SА2, в котором пилот размещался за двигателем, а передний стрелок размещался перед двигателем и толкающим винтом. Несмотря на сложность конструкции и существенное снижение как эффективности винта, так и маневренности, это был не просто самолёт, способный вести огонь в переднюю полусферу - это был ещё и самолёт, передняя шкворневая пулемётная установка которого была подвижной - практически, самолёт имел первую в мире наступательную подвижную турель. На пилота же возлагалась функция сбрасывания 5-8 бомб - лёгких - калибром 5-10кг. До этого все боевые самолёты или вовсе не имели вооружения, или имели заднего стрелка с оборонительной пулемётной турелью для защиты задней полусферы. Такую же конструкцию имел и английский "Де Хевиленд", за исключением того, что лётчик и стрелок размещались рядом в передней кабине, а пилот имел и курсовой пулемёт. Однако, сложнейшая компоновка приводила к низкой маневренности, притом, что размещение винта между двигателем и кабиной, "съедало" до 30% его мощности (11237).</w:t>
      </w:r>
    </w:p>
    <w:p w14:paraId="5C7B3764" w14:textId="101A6BAE" w:rsidR="00B67D7C" w:rsidRPr="00DE096C" w:rsidRDefault="00B67D7C" w:rsidP="00D45A46">
      <w:pPr>
        <w:jc w:val="both"/>
        <w:rPr>
          <w:bCs/>
          <w:color w:val="002060"/>
          <w:sz w:val="16"/>
          <w:szCs w:val="16"/>
        </w:rPr>
      </w:pPr>
    </w:p>
    <w:p w14:paraId="0BF9A9C4" w14:textId="43A9C9AB" w:rsidR="004F3ABB" w:rsidRPr="00DE096C" w:rsidRDefault="004F3ABB" w:rsidP="00D45A46">
      <w:pPr>
        <w:jc w:val="both"/>
        <w:rPr>
          <w:bCs/>
          <w:color w:val="002060"/>
          <w:sz w:val="16"/>
          <w:szCs w:val="16"/>
        </w:rPr>
      </w:pPr>
      <w:r w:rsidRPr="00DE096C">
        <w:rPr>
          <w:bCs/>
          <w:color w:val="002060"/>
          <w:sz w:val="16"/>
          <w:szCs w:val="16"/>
        </w:rPr>
        <w:t>К концу 1914 г. появились самолеты, способные брать с собой на борт не только символический дополнительный вес (до 100 кг). В результате с обеих воюющих сторон начали создаваться бомбардировочные подразделения. Так начала использоваться ударная сила авиационной техники - способность разрушать объекты и преграды.</w:t>
      </w:r>
    </w:p>
    <w:p w14:paraId="03F28851" w14:textId="77777777" w:rsidR="004F3ABB" w:rsidRPr="00DE096C" w:rsidRDefault="004F3ABB" w:rsidP="00D45A46">
      <w:pPr>
        <w:jc w:val="both"/>
        <w:rPr>
          <w:bCs/>
          <w:color w:val="002060"/>
          <w:sz w:val="16"/>
          <w:szCs w:val="16"/>
        </w:rPr>
      </w:pPr>
      <w:r w:rsidRPr="00DE096C">
        <w:rPr>
          <w:bCs/>
          <w:color w:val="002060"/>
          <w:sz w:val="16"/>
          <w:szCs w:val="16"/>
        </w:rPr>
        <w:t>Не могли миновать пилоты и третьей возможности применения нового технического средства - вести прицельный огонь по живой силе и технике противника. Поначалу это казалось вообще невозможным. Всем известно, как трудно попасть в быстро летящую цель, но стоя спокойно все-таки можно прицелиться. А как прицелиться, перемещаясь со скоростью 100 км/час?! Однако и это оказалось не таким уж сложным делом. Тем не менее, поначалу стрельба из стрелкового оружия с аэропланов не велась еще по наземным целям. Таким образом уже к концу этого года аэроплан начал использоваться по всем трем направлениям, какие может предоставить техническое средство - движение, огонь, удар.</w:t>
      </w:r>
    </w:p>
    <w:p w14:paraId="0A64432D" w14:textId="77777777" w:rsidR="004F3ABB" w:rsidRPr="00DE096C" w:rsidRDefault="004F3ABB" w:rsidP="00D45A46">
      <w:pPr>
        <w:jc w:val="both"/>
        <w:rPr>
          <w:bCs/>
          <w:color w:val="002060"/>
          <w:sz w:val="16"/>
          <w:szCs w:val="16"/>
        </w:rPr>
      </w:pPr>
      <w:r w:rsidRPr="00DE096C">
        <w:rPr>
          <w:bCs/>
          <w:color w:val="002060"/>
          <w:sz w:val="16"/>
          <w:szCs w:val="16"/>
        </w:rPr>
        <w:t>И все же ударную силу пока еще по-прежнему возлагали на дирижабли, не только способные переносить большие грузы на большие расстояния, но и казавшиеся гораздо более надежными, чем аэропланы. Исходя из этих соображений, германское главное командование полагало, что, имея в своем распоряжении цеппелины, имеет и неоспоримое превосходство в технической мощи перед своими противниками (11999).</w:t>
      </w:r>
    </w:p>
    <w:p w14:paraId="4371CE38" w14:textId="77777777" w:rsidR="004F3ABB" w:rsidRPr="00DE096C" w:rsidRDefault="004F3ABB" w:rsidP="00D45A46">
      <w:pPr>
        <w:jc w:val="both"/>
        <w:rPr>
          <w:bCs/>
          <w:color w:val="002060"/>
          <w:sz w:val="16"/>
          <w:szCs w:val="16"/>
        </w:rPr>
      </w:pPr>
    </w:p>
    <w:p w14:paraId="6529796F" w14:textId="370381D1" w:rsidR="00D45A46" w:rsidRPr="00DE096C" w:rsidRDefault="00D45A46" w:rsidP="00D45A46">
      <w:pPr>
        <w:jc w:val="both"/>
        <w:rPr>
          <w:bCs/>
          <w:color w:val="002060"/>
          <w:sz w:val="16"/>
          <w:szCs w:val="16"/>
        </w:rPr>
      </w:pPr>
      <w:r w:rsidRPr="00DE096C">
        <w:rPr>
          <w:bCs/>
          <w:color w:val="002060"/>
          <w:sz w:val="16"/>
          <w:szCs w:val="16"/>
        </w:rPr>
        <w:t>В конце 1914 года Годдард получил два первых патента на изобретения в</w:t>
      </w:r>
      <w:r w:rsidR="0006581C">
        <w:rPr>
          <w:bCs/>
          <w:color w:val="002060"/>
          <w:sz w:val="16"/>
          <w:szCs w:val="16"/>
        </w:rPr>
        <w:t xml:space="preserve"> </w:t>
      </w:r>
      <w:r w:rsidRPr="00DE096C">
        <w:rPr>
          <w:bCs/>
          <w:color w:val="002060"/>
          <w:sz w:val="16"/>
          <w:szCs w:val="16"/>
        </w:rPr>
        <w:t>области ракетной техники (заявки в</w:t>
      </w:r>
      <w:r w:rsidR="0006581C">
        <w:rPr>
          <w:bCs/>
          <w:color w:val="002060"/>
          <w:sz w:val="16"/>
          <w:szCs w:val="16"/>
        </w:rPr>
        <w:t xml:space="preserve"> </w:t>
      </w:r>
      <w:r w:rsidRPr="00DE096C">
        <w:rPr>
          <w:bCs/>
          <w:color w:val="002060"/>
          <w:sz w:val="16"/>
          <w:szCs w:val="16"/>
        </w:rPr>
        <w:t>Патентное бюро отвез отец). Первый (№ 1102653) на двухступенчатую ракету, работающую на порохе. Второй (№ 1103503) на ракету, способную работать как на порохе, так и на смеси бензина с жидким оксидом азота. Такой вариант топливной смеси обладал значительно меньшим энергетическим потенциалом, чем водород с кислородом, но был удобнее в применении. В патентах было сказано, что назначением этих ракет является исследование верхних слоев атмосферы Земли. Своим «know how» Годдард объявил в патентах камеры сгорания, выхлопные сопла, систему подачи жидкого топлива, двухступенчатую конструкцию (23372).</w:t>
      </w:r>
    </w:p>
    <w:p w14:paraId="0324931C" w14:textId="77777777" w:rsidR="00D45A46" w:rsidRPr="00DE096C" w:rsidRDefault="00D45A46" w:rsidP="00D45A46">
      <w:pPr>
        <w:jc w:val="both"/>
        <w:rPr>
          <w:bCs/>
          <w:color w:val="002060"/>
          <w:sz w:val="16"/>
          <w:szCs w:val="16"/>
        </w:rPr>
      </w:pPr>
    </w:p>
    <w:p w14:paraId="60A1B319" w14:textId="5E3E4B1F" w:rsidR="0080669F" w:rsidRPr="00DE096C" w:rsidRDefault="0080669F" w:rsidP="00D45A46">
      <w:pPr>
        <w:jc w:val="both"/>
        <w:rPr>
          <w:bCs/>
          <w:i/>
          <w:iCs/>
          <w:color w:val="002060"/>
          <w:sz w:val="16"/>
          <w:szCs w:val="16"/>
        </w:rPr>
      </w:pPr>
      <w:r w:rsidRPr="00DE096C">
        <w:rPr>
          <w:bCs/>
          <w:i/>
          <w:iCs/>
          <w:color w:val="002060"/>
          <w:sz w:val="16"/>
          <w:szCs w:val="16"/>
        </w:rPr>
        <w:t>Самолетостроение:</w:t>
      </w:r>
    </w:p>
    <w:p w14:paraId="359E9E7E" w14:textId="77777777" w:rsidR="0080669F" w:rsidRPr="00DE096C" w:rsidRDefault="0080669F" w:rsidP="00D45A46">
      <w:pPr>
        <w:jc w:val="both"/>
        <w:rPr>
          <w:bCs/>
          <w:i/>
          <w:iCs/>
          <w:color w:val="002060"/>
          <w:sz w:val="16"/>
          <w:szCs w:val="16"/>
        </w:rPr>
      </w:pPr>
    </w:p>
    <w:p w14:paraId="7A899DEB" w14:textId="77777777" w:rsidR="00AA15B9" w:rsidRPr="00B52707" w:rsidRDefault="00AA15B9" w:rsidP="00AA15B9">
      <w:pPr>
        <w:jc w:val="both"/>
        <w:rPr>
          <w:color w:val="0070C0"/>
          <w:sz w:val="16"/>
          <w:szCs w:val="16"/>
        </w:rPr>
      </w:pPr>
      <w:r w:rsidRPr="00B52707">
        <w:rPr>
          <w:color w:val="0070C0"/>
          <w:sz w:val="16"/>
          <w:szCs w:val="16"/>
        </w:rPr>
        <w:t>Во второй половине 1914 г. «Акционерное общество воздухоплавания В.А. Лебедева» получил заказ Военного министерства России на 60 самолетов Моран тип Ж («Моран Ж», «Моран-Солнье», «Морже») со сроком исполнения 1915 г. Из них сдано было около 30 – последние ушли в 1915 г. (25442).</w:t>
      </w:r>
    </w:p>
    <w:p w14:paraId="0C7C3B55" w14:textId="77777777" w:rsidR="00AA15B9" w:rsidRDefault="00AA15B9" w:rsidP="00AA15B9">
      <w:pPr>
        <w:rPr>
          <w:color w:val="0070C0"/>
          <w:sz w:val="16"/>
          <w:szCs w:val="16"/>
        </w:rPr>
      </w:pPr>
    </w:p>
    <w:p w14:paraId="53454ED9" w14:textId="77777777" w:rsidR="00D45A46" w:rsidRPr="00DE096C" w:rsidRDefault="00D45A46" w:rsidP="00D45A46">
      <w:pPr>
        <w:pStyle w:val="2"/>
        <w:spacing w:before="0" w:after="0"/>
        <w:jc w:val="both"/>
        <w:rPr>
          <w:b w:val="0"/>
          <w:bCs/>
          <w:color w:val="002060"/>
          <w:sz w:val="16"/>
          <w:szCs w:val="16"/>
        </w:rPr>
      </w:pPr>
      <w:r w:rsidRPr="00DE096C">
        <w:rPr>
          <w:b w:val="0"/>
          <w:bCs/>
          <w:color w:val="002060"/>
          <w:sz w:val="16"/>
          <w:szCs w:val="16"/>
        </w:rPr>
        <w:t>Во второй половине 1914 г. значительные потери аэропланов привели к пересмотру в сторону увеличения довоенных заказов и заключения ряда новых контрактов на поставку боевых самолетов. В частности, в последний день 1914 г. Военный Совет постановил заказать на «Дуксе»:</w:t>
      </w:r>
    </w:p>
    <w:p w14:paraId="24EEAB3B" w14:textId="77777777" w:rsidR="00D45A46" w:rsidRPr="00DE096C" w:rsidRDefault="00D45A46" w:rsidP="00D45A46">
      <w:pPr>
        <w:pStyle w:val="2"/>
        <w:spacing w:before="0" w:after="0"/>
        <w:jc w:val="both"/>
        <w:rPr>
          <w:b w:val="0"/>
          <w:bCs/>
          <w:color w:val="002060"/>
          <w:sz w:val="16"/>
          <w:szCs w:val="16"/>
        </w:rPr>
      </w:pPr>
      <w:r w:rsidRPr="00DE096C">
        <w:rPr>
          <w:b w:val="0"/>
          <w:bCs/>
          <w:color w:val="002060"/>
          <w:sz w:val="16"/>
          <w:szCs w:val="16"/>
        </w:rPr>
        <w:lastRenderedPageBreak/>
        <w:t>«...а) во изменение контракта от 3 мая 1914 г. за № 2578/1505, отменить предоставленный Вам положением Военного Совета от 29 марта 1914 г. заказ на 23 аэроплана системы Моран-Сольнье (парасоль) с 80-сильными двигателями Гном и 10 аэропланов системы Фарман № 22бис со 100-сильными двигателями Гном на общую сумму 354.600 руб.</w:t>
      </w:r>
    </w:p>
    <w:p w14:paraId="732BCC73" w14:textId="77777777" w:rsidR="00D45A46" w:rsidRPr="00DE096C" w:rsidRDefault="00D45A46" w:rsidP="00D45A46">
      <w:pPr>
        <w:pStyle w:val="2"/>
        <w:spacing w:before="0" w:after="0"/>
        <w:jc w:val="both"/>
        <w:rPr>
          <w:b w:val="0"/>
          <w:bCs/>
          <w:color w:val="002060"/>
          <w:sz w:val="16"/>
          <w:szCs w:val="16"/>
        </w:rPr>
      </w:pPr>
      <w:r w:rsidRPr="00DE096C">
        <w:rPr>
          <w:b w:val="0"/>
          <w:bCs/>
          <w:color w:val="002060"/>
          <w:sz w:val="16"/>
          <w:szCs w:val="16"/>
        </w:rPr>
        <w:t>б) заказать Вам 10 аэропланов системы Фарман № 22бис по 7.000 руб. за каждый и 44 аэроплана системы Моран-Сольнье (парасоль) по 6.500 руб. без моторов и винтов всего на общую сумму 356.000 руб., с тем, чтобы дополнительные 21 аппарат Моран-Сольнье (парасоль) были предъявлены в срок не более 3 месяцев (со дня получения настоящего уведомления) 15 апреля 1915 г.» Позднее этот срок скорректировали, но... всего лишь на пять (5-!) дней — к 20 апреля (15464).</w:t>
      </w:r>
    </w:p>
    <w:p w14:paraId="724F45B2" w14:textId="77777777" w:rsidR="00D45A46" w:rsidRPr="00DE096C" w:rsidRDefault="00D45A46" w:rsidP="00D45A46">
      <w:pPr>
        <w:pStyle w:val="2"/>
        <w:spacing w:before="0" w:after="0"/>
        <w:jc w:val="both"/>
        <w:rPr>
          <w:b w:val="0"/>
          <w:bCs/>
          <w:color w:val="002060"/>
          <w:sz w:val="16"/>
          <w:szCs w:val="16"/>
        </w:rPr>
      </w:pPr>
    </w:p>
    <w:p w14:paraId="354439A9" w14:textId="5077B852" w:rsidR="00B67D7C" w:rsidRPr="00DE096C" w:rsidRDefault="00D45A46" w:rsidP="00D45A46">
      <w:pPr>
        <w:shd w:val="clear" w:color="auto" w:fill="FFFFFF"/>
        <w:jc w:val="both"/>
        <w:rPr>
          <w:bCs/>
          <w:color w:val="002060"/>
          <w:sz w:val="16"/>
          <w:szCs w:val="16"/>
        </w:rPr>
      </w:pPr>
      <w:r w:rsidRPr="00DE096C">
        <w:rPr>
          <w:bCs/>
          <w:color w:val="002060"/>
          <w:sz w:val="16"/>
          <w:szCs w:val="16"/>
        </w:rPr>
        <w:t>В</w:t>
      </w:r>
      <w:r w:rsidR="00B67D7C" w:rsidRPr="00DE096C">
        <w:rPr>
          <w:bCs/>
          <w:color w:val="002060"/>
          <w:sz w:val="16"/>
          <w:szCs w:val="16"/>
        </w:rPr>
        <w:t xml:space="preserve">о второй половине 1914 г. </w:t>
      </w:r>
      <w:r w:rsidRPr="00DE096C">
        <w:rPr>
          <w:bCs/>
          <w:color w:val="002060"/>
          <w:sz w:val="16"/>
          <w:szCs w:val="16"/>
        </w:rPr>
        <w:t xml:space="preserve">состояние самолетного парка русской действующей армии </w:t>
      </w:r>
      <w:r w:rsidR="00B67D7C" w:rsidRPr="00DE096C">
        <w:rPr>
          <w:bCs/>
          <w:color w:val="002060"/>
          <w:sz w:val="16"/>
          <w:szCs w:val="16"/>
        </w:rPr>
        <w:t>характеризуется следующими дан</w:t>
      </w:r>
      <w:r w:rsidR="00B67D7C" w:rsidRPr="00DE096C">
        <w:rPr>
          <w:bCs/>
          <w:color w:val="002060"/>
          <w:sz w:val="16"/>
          <w:szCs w:val="16"/>
        </w:rPr>
        <w:softHyphen/>
        <w:t>ными (табл. 1) (ЦГВИА, ф. 2008, оп. 2, д. 616, л. .137).</w:t>
      </w:r>
    </w:p>
    <w:p w14:paraId="1564E99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Таблица 1</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26"/>
        <w:gridCol w:w="1776"/>
        <w:gridCol w:w="797"/>
        <w:gridCol w:w="806"/>
        <w:gridCol w:w="653"/>
      </w:tblGrid>
      <w:tr w:rsidR="00B67D7C" w:rsidRPr="00DE096C" w14:paraId="1C8F3AA5" w14:textId="77777777" w:rsidTr="00C2024A">
        <w:trPr>
          <w:trHeight w:val="403"/>
        </w:trPr>
        <w:tc>
          <w:tcPr>
            <w:tcW w:w="2102" w:type="dxa"/>
            <w:gridSpan w:val="2"/>
          </w:tcPr>
          <w:p w14:paraId="5B619CC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Дата</w:t>
            </w:r>
          </w:p>
        </w:tc>
        <w:tc>
          <w:tcPr>
            <w:tcW w:w="2256" w:type="dxa"/>
            <w:gridSpan w:val="3"/>
          </w:tcPr>
          <w:p w14:paraId="4AC9034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Количество самолетов</w:t>
            </w:r>
          </w:p>
        </w:tc>
      </w:tr>
      <w:tr w:rsidR="00B67D7C" w:rsidRPr="00DE096C" w14:paraId="3FCE8438" w14:textId="77777777" w:rsidTr="00C2024A">
        <w:trPr>
          <w:trHeight w:val="432"/>
        </w:trPr>
        <w:tc>
          <w:tcPr>
            <w:tcW w:w="2102" w:type="dxa"/>
            <w:gridSpan w:val="2"/>
          </w:tcPr>
          <w:p w14:paraId="3DC997D8" w14:textId="77777777" w:rsidR="00B67D7C" w:rsidRPr="00DE096C" w:rsidRDefault="00B67D7C" w:rsidP="00D45A46">
            <w:pPr>
              <w:jc w:val="both"/>
              <w:rPr>
                <w:bCs/>
                <w:color w:val="002060"/>
                <w:sz w:val="16"/>
                <w:szCs w:val="16"/>
              </w:rPr>
            </w:pPr>
          </w:p>
        </w:tc>
        <w:tc>
          <w:tcPr>
            <w:tcW w:w="797" w:type="dxa"/>
          </w:tcPr>
          <w:p w14:paraId="79D3136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исправных</w:t>
            </w:r>
          </w:p>
        </w:tc>
        <w:tc>
          <w:tcPr>
            <w:tcW w:w="806" w:type="dxa"/>
          </w:tcPr>
          <w:p w14:paraId="319B6F3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ремонте</w:t>
            </w:r>
          </w:p>
        </w:tc>
        <w:tc>
          <w:tcPr>
            <w:tcW w:w="653" w:type="dxa"/>
          </w:tcPr>
          <w:p w14:paraId="330772D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всего</w:t>
            </w:r>
          </w:p>
        </w:tc>
      </w:tr>
      <w:tr w:rsidR="00B67D7C" w:rsidRPr="00DE096C" w14:paraId="533623A6" w14:textId="77777777" w:rsidTr="00C2024A">
        <w:trPr>
          <w:trHeight w:val="442"/>
        </w:trPr>
        <w:tc>
          <w:tcPr>
            <w:tcW w:w="326" w:type="dxa"/>
          </w:tcPr>
          <w:p w14:paraId="70B31C7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На</w:t>
            </w:r>
          </w:p>
        </w:tc>
        <w:tc>
          <w:tcPr>
            <w:tcW w:w="1776" w:type="dxa"/>
          </w:tcPr>
          <w:p w14:paraId="22576C4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 сентября 1914 г.</w:t>
            </w:r>
          </w:p>
        </w:tc>
        <w:tc>
          <w:tcPr>
            <w:tcW w:w="797" w:type="dxa"/>
          </w:tcPr>
          <w:p w14:paraId="0EE0B27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145</w:t>
            </w:r>
          </w:p>
        </w:tc>
        <w:tc>
          <w:tcPr>
            <w:tcW w:w="806" w:type="dxa"/>
          </w:tcPr>
          <w:p w14:paraId="5D2C13B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17</w:t>
            </w:r>
          </w:p>
        </w:tc>
        <w:tc>
          <w:tcPr>
            <w:tcW w:w="653" w:type="dxa"/>
          </w:tcPr>
          <w:p w14:paraId="7EFD370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162</w:t>
            </w:r>
          </w:p>
        </w:tc>
      </w:tr>
      <w:tr w:rsidR="00B67D7C" w:rsidRPr="00DE096C" w14:paraId="3CED6D07" w14:textId="77777777" w:rsidTr="00C2024A">
        <w:trPr>
          <w:trHeight w:val="173"/>
        </w:trPr>
        <w:tc>
          <w:tcPr>
            <w:tcW w:w="326" w:type="dxa"/>
          </w:tcPr>
          <w:p w14:paraId="5F02720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На</w:t>
            </w:r>
          </w:p>
        </w:tc>
        <w:tc>
          <w:tcPr>
            <w:tcW w:w="1776" w:type="dxa"/>
          </w:tcPr>
          <w:p w14:paraId="7BDDE88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 октября 1914 г.</w:t>
            </w:r>
          </w:p>
        </w:tc>
        <w:tc>
          <w:tcPr>
            <w:tcW w:w="797" w:type="dxa"/>
          </w:tcPr>
          <w:p w14:paraId="0B2FAA9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150</w:t>
            </w:r>
          </w:p>
        </w:tc>
        <w:tc>
          <w:tcPr>
            <w:tcW w:w="806" w:type="dxa"/>
          </w:tcPr>
          <w:p w14:paraId="3EB11BD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20</w:t>
            </w:r>
          </w:p>
        </w:tc>
        <w:tc>
          <w:tcPr>
            <w:tcW w:w="653" w:type="dxa"/>
          </w:tcPr>
          <w:p w14:paraId="2B85893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170</w:t>
            </w:r>
          </w:p>
        </w:tc>
      </w:tr>
      <w:tr w:rsidR="00B67D7C" w:rsidRPr="00DE096C" w14:paraId="1037EC45" w14:textId="77777777" w:rsidTr="00C2024A">
        <w:trPr>
          <w:trHeight w:val="163"/>
        </w:trPr>
        <w:tc>
          <w:tcPr>
            <w:tcW w:w="326" w:type="dxa"/>
          </w:tcPr>
          <w:p w14:paraId="7B7C76E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На</w:t>
            </w:r>
          </w:p>
        </w:tc>
        <w:tc>
          <w:tcPr>
            <w:tcW w:w="1776" w:type="dxa"/>
          </w:tcPr>
          <w:p w14:paraId="70EAD2E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 ноября 1914 г.</w:t>
            </w:r>
          </w:p>
        </w:tc>
        <w:tc>
          <w:tcPr>
            <w:tcW w:w="797" w:type="dxa"/>
          </w:tcPr>
          <w:p w14:paraId="7BA92D3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160</w:t>
            </w:r>
          </w:p>
        </w:tc>
        <w:tc>
          <w:tcPr>
            <w:tcW w:w="806" w:type="dxa"/>
          </w:tcPr>
          <w:p w14:paraId="2439C18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42</w:t>
            </w:r>
          </w:p>
        </w:tc>
        <w:tc>
          <w:tcPr>
            <w:tcW w:w="653" w:type="dxa"/>
          </w:tcPr>
          <w:p w14:paraId="56C2F4D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202</w:t>
            </w:r>
          </w:p>
        </w:tc>
      </w:tr>
      <w:tr w:rsidR="00B67D7C" w:rsidRPr="00DE096C" w14:paraId="63DD06C0" w14:textId="77777777" w:rsidTr="00C2024A">
        <w:trPr>
          <w:trHeight w:val="173"/>
        </w:trPr>
        <w:tc>
          <w:tcPr>
            <w:tcW w:w="326" w:type="dxa"/>
          </w:tcPr>
          <w:p w14:paraId="4C6FD8D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На</w:t>
            </w:r>
          </w:p>
        </w:tc>
        <w:tc>
          <w:tcPr>
            <w:tcW w:w="1776" w:type="dxa"/>
          </w:tcPr>
          <w:p w14:paraId="79DDF49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 декабря 1014 г.</w:t>
            </w:r>
          </w:p>
        </w:tc>
        <w:tc>
          <w:tcPr>
            <w:tcW w:w="797" w:type="dxa"/>
          </w:tcPr>
          <w:p w14:paraId="52FDFC5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162</w:t>
            </w:r>
          </w:p>
        </w:tc>
        <w:tc>
          <w:tcPr>
            <w:tcW w:w="806" w:type="dxa"/>
          </w:tcPr>
          <w:p w14:paraId="74C625D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37</w:t>
            </w:r>
          </w:p>
        </w:tc>
        <w:tc>
          <w:tcPr>
            <w:tcW w:w="653" w:type="dxa"/>
          </w:tcPr>
          <w:p w14:paraId="70A7791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199</w:t>
            </w:r>
          </w:p>
        </w:tc>
      </w:tr>
      <w:tr w:rsidR="00B67D7C" w:rsidRPr="00DE096C" w14:paraId="2D8DD0A2" w14:textId="77777777" w:rsidTr="00C2024A">
        <w:trPr>
          <w:trHeight w:val="346"/>
        </w:trPr>
        <w:tc>
          <w:tcPr>
            <w:tcW w:w="326" w:type="dxa"/>
          </w:tcPr>
          <w:p w14:paraId="3158D1C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На</w:t>
            </w:r>
          </w:p>
        </w:tc>
        <w:tc>
          <w:tcPr>
            <w:tcW w:w="1776" w:type="dxa"/>
          </w:tcPr>
          <w:p w14:paraId="3774E44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 января 1915 г.</w:t>
            </w:r>
          </w:p>
        </w:tc>
        <w:tc>
          <w:tcPr>
            <w:tcW w:w="797" w:type="dxa"/>
          </w:tcPr>
          <w:p w14:paraId="1A669D5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209</w:t>
            </w:r>
          </w:p>
        </w:tc>
        <w:tc>
          <w:tcPr>
            <w:tcW w:w="806" w:type="dxa"/>
          </w:tcPr>
          <w:p w14:paraId="6DADC2E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62</w:t>
            </w:r>
          </w:p>
        </w:tc>
        <w:tc>
          <w:tcPr>
            <w:tcW w:w="653" w:type="dxa"/>
          </w:tcPr>
          <w:p w14:paraId="3E1B04A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271</w:t>
            </w:r>
          </w:p>
        </w:tc>
      </w:tr>
    </w:tbl>
    <w:p w14:paraId="3489B48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Когда в ходе войны выявилось огромное значение авиации, русское военное ведомство приняло некоторые меры для повы</w:t>
      </w:r>
      <w:r w:rsidRPr="00DE096C">
        <w:rPr>
          <w:bCs/>
          <w:color w:val="002060"/>
          <w:sz w:val="16"/>
          <w:szCs w:val="16"/>
        </w:rPr>
        <w:softHyphen/>
        <w:t>шения производительности авиационных предприятий: мобили</w:t>
      </w:r>
      <w:r w:rsidRPr="00DE096C">
        <w:rPr>
          <w:bCs/>
          <w:color w:val="002060"/>
          <w:sz w:val="16"/>
          <w:szCs w:val="16"/>
        </w:rPr>
        <w:softHyphen/>
        <w:t>зованные в начале войны квалифицированные рабочие были возвращены на авиационные заводы; правительство содейство</w:t>
      </w:r>
      <w:r w:rsidRPr="00DE096C">
        <w:rPr>
          <w:bCs/>
          <w:color w:val="002060"/>
          <w:sz w:val="16"/>
          <w:szCs w:val="16"/>
        </w:rPr>
        <w:softHyphen/>
        <w:t>вало обеспечению авиационных заводов необходимыми мате</w:t>
      </w:r>
      <w:r w:rsidRPr="00DE096C">
        <w:rPr>
          <w:bCs/>
          <w:color w:val="002060"/>
          <w:sz w:val="16"/>
          <w:szCs w:val="16"/>
        </w:rPr>
        <w:softHyphen/>
        <w:t>риалами и т. п.</w:t>
      </w:r>
    </w:p>
    <w:p w14:paraId="21DEE16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результате этих мероприятий количество выпускаемых са</w:t>
      </w:r>
      <w:r w:rsidRPr="00DE096C">
        <w:rPr>
          <w:bCs/>
          <w:color w:val="002060"/>
          <w:sz w:val="16"/>
          <w:szCs w:val="16"/>
        </w:rPr>
        <w:softHyphen/>
        <w:t>молетов постепенно повышалось. Если в начале 1915 г. русские самолетостроительные предприятия давали менее 50 самолетов в месяц, то к концу года ежемесячно производилось до 75 само</w:t>
      </w:r>
      <w:r w:rsidRPr="00DE096C">
        <w:rPr>
          <w:bCs/>
          <w:color w:val="002060"/>
          <w:sz w:val="16"/>
          <w:szCs w:val="16"/>
        </w:rPr>
        <w:softHyphen/>
        <w:t>летов. Всего за 1915 г. русские заводы дали военному ведом</w:t>
      </w:r>
      <w:r w:rsidRPr="00DE096C">
        <w:rPr>
          <w:bCs/>
          <w:color w:val="002060"/>
          <w:sz w:val="16"/>
          <w:szCs w:val="16"/>
        </w:rPr>
        <w:softHyphen/>
        <w:t>ству свыше 700 самолетов. В условиях все более развертывав</w:t>
      </w:r>
      <w:r w:rsidRPr="00DE096C">
        <w:rPr>
          <w:bCs/>
          <w:color w:val="002060"/>
          <w:sz w:val="16"/>
          <w:szCs w:val="16"/>
        </w:rPr>
        <w:softHyphen/>
        <w:t>шейся первой мировой войны, требовавшей огромного количества материальных ресурсов, это было явно недостаточно (278).</w:t>
      </w:r>
    </w:p>
    <w:p w14:paraId="7E790D44" w14:textId="77777777" w:rsidR="00B67D7C" w:rsidRPr="00DE096C" w:rsidRDefault="00B67D7C" w:rsidP="00D45A46">
      <w:pPr>
        <w:shd w:val="clear" w:color="auto" w:fill="FFFFFF"/>
        <w:jc w:val="both"/>
        <w:rPr>
          <w:bCs/>
          <w:color w:val="002060"/>
          <w:sz w:val="16"/>
          <w:szCs w:val="16"/>
        </w:rPr>
      </w:pPr>
    </w:p>
    <w:p w14:paraId="442D6D51" w14:textId="77777777" w:rsidR="00CB6A5A" w:rsidRPr="00DE096C" w:rsidRDefault="00CB6A5A" w:rsidP="00D45A46">
      <w:pPr>
        <w:shd w:val="clear" w:color="auto" w:fill="FFFFFF"/>
        <w:jc w:val="both"/>
        <w:rPr>
          <w:bCs/>
          <w:color w:val="002060"/>
          <w:sz w:val="16"/>
          <w:szCs w:val="16"/>
          <w:shd w:val="clear" w:color="auto" w:fill="FFFFFF"/>
        </w:rPr>
      </w:pPr>
      <w:r w:rsidRPr="00DE096C">
        <w:rPr>
          <w:bCs/>
          <w:color w:val="002060"/>
          <w:sz w:val="16"/>
          <w:szCs w:val="16"/>
          <w:shd w:val="clear" w:color="auto" w:fill="FFFFFF"/>
        </w:rPr>
        <w:t>Во второй половине 1914 года Франция приостановила поставки нам своих авиационных двигателей, в результате чего производство «Вуазенов» пришлось остановить. «Через год проблема «моторного голода» вновь обострилась. Из-за наступления немцев на юго-западном фронте отправленное из Франции в Россию морем авиационное имущество задержалось в Салониках, а затем было переадресовано в Архангельск, но из-за образования льда на Белом море его пришлось выгрузить в Александровске (ныне — г. Полярный), где его складировали до открытия навигации в следующем году.</w:t>
      </w:r>
    </w:p>
    <w:p w14:paraId="1DC7A3C1" w14:textId="77777777" w:rsidR="00CB6A5A" w:rsidRPr="00DE096C" w:rsidRDefault="00CB6A5A" w:rsidP="00D45A46">
      <w:pPr>
        <w:shd w:val="clear" w:color="auto" w:fill="FFFFFF"/>
        <w:jc w:val="both"/>
        <w:rPr>
          <w:bCs/>
          <w:color w:val="002060"/>
          <w:sz w:val="16"/>
          <w:szCs w:val="16"/>
          <w:shd w:val="clear" w:color="auto" w:fill="FFFFFF"/>
        </w:rPr>
      </w:pPr>
      <w:r w:rsidRPr="00DE096C">
        <w:rPr>
          <w:bCs/>
          <w:color w:val="002060"/>
          <w:sz w:val="16"/>
          <w:szCs w:val="16"/>
          <w:shd w:val="clear" w:color="auto" w:fill="FFFFFF"/>
        </w:rPr>
        <w:t>Положение спас «шеф авиации» Александр Романов, организовавший доставку на оленьих упряжках необходимых моторным заводам грузов из Александровска до линии железной дороги в Мурманске».</w:t>
      </w:r>
    </w:p>
    <w:p w14:paraId="0EE1E91A" w14:textId="77777777" w:rsidR="00CB6A5A" w:rsidRPr="00DE096C" w:rsidRDefault="00CB6A5A" w:rsidP="00D45A46">
      <w:pPr>
        <w:shd w:val="clear" w:color="auto" w:fill="FFFFFF"/>
        <w:jc w:val="both"/>
        <w:rPr>
          <w:bCs/>
          <w:color w:val="002060"/>
          <w:sz w:val="16"/>
          <w:szCs w:val="16"/>
        </w:rPr>
      </w:pPr>
      <w:r w:rsidRPr="00DE096C">
        <w:rPr>
          <w:bCs/>
          <w:color w:val="002060"/>
          <w:sz w:val="16"/>
          <w:szCs w:val="16"/>
          <w:shd w:val="clear" w:color="auto" w:fill="FFFFFF"/>
        </w:rPr>
        <w:t>Не получив комплектующих, встали моторные заводы «Гном и Рон» и «Сальмсон», а склады Петрограда, Москвы и Одессы оказались заполнены самолетами без двигателей (19941).</w:t>
      </w:r>
    </w:p>
    <w:p w14:paraId="0BB83096" w14:textId="77777777" w:rsidR="00CB6A5A" w:rsidRPr="00DE096C" w:rsidRDefault="00CB6A5A" w:rsidP="00D45A46">
      <w:pPr>
        <w:shd w:val="clear" w:color="auto" w:fill="FFFFFF"/>
        <w:jc w:val="both"/>
        <w:rPr>
          <w:bCs/>
          <w:color w:val="002060"/>
          <w:sz w:val="16"/>
          <w:szCs w:val="16"/>
        </w:rPr>
      </w:pPr>
    </w:p>
    <w:p w14:paraId="42DD8692" w14:textId="77777777" w:rsidR="00A4521B" w:rsidRPr="00DE096C" w:rsidRDefault="00A4521B" w:rsidP="00D45A46">
      <w:pPr>
        <w:shd w:val="clear" w:color="auto" w:fill="FFFFFF"/>
        <w:jc w:val="both"/>
        <w:rPr>
          <w:bCs/>
          <w:i/>
          <w:color w:val="002060"/>
          <w:sz w:val="16"/>
          <w:szCs w:val="16"/>
        </w:rPr>
      </w:pPr>
      <w:r w:rsidRPr="00DE096C">
        <w:rPr>
          <w:bCs/>
          <w:i/>
          <w:color w:val="002060"/>
          <w:sz w:val="16"/>
          <w:szCs w:val="16"/>
        </w:rPr>
        <w:t>Самолетостроение:</w:t>
      </w:r>
    </w:p>
    <w:p w14:paraId="4780753E" w14:textId="77777777" w:rsidR="00A4521B" w:rsidRPr="00DE096C" w:rsidRDefault="00A4521B" w:rsidP="00D45A46">
      <w:pPr>
        <w:shd w:val="clear" w:color="auto" w:fill="FFFFFF"/>
        <w:jc w:val="both"/>
        <w:rPr>
          <w:bCs/>
          <w:i/>
          <w:color w:val="002060"/>
          <w:sz w:val="16"/>
          <w:szCs w:val="16"/>
        </w:rPr>
      </w:pPr>
    </w:p>
    <w:p w14:paraId="653F852F" w14:textId="77777777" w:rsidR="00A4521B" w:rsidRPr="00DE096C" w:rsidRDefault="00A4521B" w:rsidP="00D45A46">
      <w:pPr>
        <w:jc w:val="both"/>
        <w:rPr>
          <w:bCs/>
          <w:color w:val="002060"/>
          <w:sz w:val="16"/>
          <w:szCs w:val="16"/>
        </w:rPr>
      </w:pPr>
      <w:r w:rsidRPr="00DE096C">
        <w:rPr>
          <w:bCs/>
          <w:color w:val="002060"/>
          <w:sz w:val="16"/>
          <w:szCs w:val="16"/>
        </w:rPr>
        <w:t>Зимой 1914-1915 гг. был закончен первый заказ на 10 «Муромцев». Кроме машин типа «Б» (С-22 № 135, 136/143, 137 и 130) в него вошли и первые образцы типа «В» (С-23 № 149, 150, 151, 157, 160 и 161). Среди «Муромцев» типа «В» три (№ 149, 157 и 161) были довольно необычной модификации. Из-за нехватки двигателей они имели двухмоторную схему. Размах крыльев был на 1 - 1,5 м меньше из-за исключения участков крыльев под внешние двигатели. Мощности силовой установки были явно недостаточно для выпол-ения боевых заданий, и эти самолеты использовались в эскадре в качестве учебных. Два из них имели двига-гели «Сальмсон» по 200 л. с. каждый, а № 161 - «Санбимы» по 225 л. с, причем в последнем случае силовая установка была с толкающими винтами. Специально для них делались вырезы на задней кромке нижнего крыла. Впоследствии Сикорский отказался от этой схемы, и № 161 стал с тянущими винтами (19963).</w:t>
      </w:r>
    </w:p>
    <w:p w14:paraId="50E540C7" w14:textId="77777777" w:rsidR="00A4521B" w:rsidRPr="00DE096C" w:rsidRDefault="00A4521B" w:rsidP="00D45A46">
      <w:pPr>
        <w:jc w:val="both"/>
        <w:rPr>
          <w:bCs/>
          <w:color w:val="002060"/>
          <w:sz w:val="16"/>
          <w:szCs w:val="16"/>
        </w:rPr>
      </w:pPr>
    </w:p>
    <w:p w14:paraId="05B58459" w14:textId="77777777" w:rsidR="00D45A46" w:rsidRPr="00DE096C" w:rsidRDefault="00D45A46" w:rsidP="00D45A46">
      <w:pPr>
        <w:jc w:val="both"/>
        <w:rPr>
          <w:bCs/>
          <w:color w:val="002060"/>
          <w:sz w:val="16"/>
          <w:szCs w:val="16"/>
          <w:lang w:bidi="ru-RU"/>
        </w:rPr>
      </w:pPr>
      <w:r w:rsidRPr="00DE096C">
        <w:rPr>
          <w:bCs/>
          <w:color w:val="002060"/>
          <w:sz w:val="16"/>
          <w:szCs w:val="16"/>
          <w:lang w:bidi="ru-RU"/>
        </w:rPr>
        <w:t>Зимой 1914-15 гг. «№5бис» Терещенко испы</w:t>
      </w:r>
      <w:r w:rsidRPr="00DE096C">
        <w:rPr>
          <w:bCs/>
          <w:color w:val="002060"/>
          <w:sz w:val="16"/>
          <w:szCs w:val="16"/>
          <w:lang w:bidi="ru-RU"/>
        </w:rPr>
        <w:softHyphen/>
        <w:t>тывался на фронте в качестве разведчика, однако по причине недостаточного обзора интереса не вызвал (23374).</w:t>
      </w:r>
    </w:p>
    <w:p w14:paraId="1FA30BD2" w14:textId="77777777" w:rsidR="00D45A46" w:rsidRPr="00DE096C" w:rsidRDefault="00D45A46" w:rsidP="00D45A46">
      <w:pPr>
        <w:jc w:val="both"/>
        <w:rPr>
          <w:bCs/>
          <w:color w:val="002060"/>
          <w:sz w:val="16"/>
          <w:szCs w:val="16"/>
          <w:lang w:bidi="ru-RU"/>
        </w:rPr>
      </w:pPr>
    </w:p>
    <w:p w14:paraId="4D0947B0" w14:textId="77777777" w:rsidR="00D45A46" w:rsidRPr="00DE096C" w:rsidRDefault="00D45A46" w:rsidP="00D45A46">
      <w:pPr>
        <w:jc w:val="both"/>
        <w:rPr>
          <w:bCs/>
          <w:color w:val="002060"/>
          <w:sz w:val="16"/>
          <w:szCs w:val="16"/>
        </w:rPr>
      </w:pPr>
      <w:r w:rsidRPr="00DE096C">
        <w:rPr>
          <w:bCs/>
          <w:color w:val="002060"/>
          <w:sz w:val="16"/>
          <w:szCs w:val="16"/>
        </w:rPr>
        <w:t>Зимой 1914—1915 гг. был закончен первый заказ на 10 «Муромцев». Кроме машин типа «Б» (С-22 № 135, 136/143, 137 и 139) в него вошли и первые образцы ти</w:t>
      </w:r>
      <w:r w:rsidRPr="00DE096C">
        <w:rPr>
          <w:bCs/>
          <w:color w:val="002060"/>
          <w:sz w:val="16"/>
          <w:szCs w:val="16"/>
        </w:rPr>
        <w:softHyphen/>
        <w:t>па «В» (С-23 № 149, 150, 151, 157, 160 и 161). Среди «Муромцев» типа «В» три (№ 149, 157 и 161) были до</w:t>
      </w:r>
      <w:r w:rsidRPr="00DE096C">
        <w:rPr>
          <w:bCs/>
          <w:color w:val="002060"/>
          <w:sz w:val="16"/>
          <w:szCs w:val="16"/>
        </w:rPr>
        <w:softHyphen/>
        <w:t>вольно необычной модификации. Из-за нехватки дви</w:t>
      </w:r>
      <w:r w:rsidRPr="00DE096C">
        <w:rPr>
          <w:bCs/>
          <w:color w:val="002060"/>
          <w:sz w:val="16"/>
          <w:szCs w:val="16"/>
        </w:rPr>
        <w:softHyphen/>
        <w:t>гателей они имели двухмоторную схему. Размах крыльев был на 1 — 1,5 м меньше из-за исключения участков крыльев под внешние двигатели. Мощности силовой установки были явно недостаточно для выпол</w:t>
      </w:r>
      <w:r w:rsidRPr="00DE096C">
        <w:rPr>
          <w:bCs/>
          <w:color w:val="002060"/>
          <w:sz w:val="16"/>
          <w:szCs w:val="16"/>
        </w:rPr>
        <w:softHyphen/>
        <w:t>нения боевых заданий, и эти самолеты использовались в эскадре в качестве учебных. Два из них имели двига</w:t>
      </w:r>
      <w:r w:rsidRPr="00DE096C">
        <w:rPr>
          <w:bCs/>
          <w:color w:val="002060"/>
          <w:sz w:val="16"/>
          <w:szCs w:val="16"/>
        </w:rPr>
        <w:softHyphen/>
        <w:t>тели «Сальмсон» по 200 л. с. каждый, а № 161 - «Санбимы» по 225 л. с., причем в последнем случае си</w:t>
      </w:r>
      <w:r w:rsidRPr="00DE096C">
        <w:rPr>
          <w:bCs/>
          <w:color w:val="002060"/>
          <w:sz w:val="16"/>
          <w:szCs w:val="16"/>
        </w:rPr>
        <w:softHyphen/>
        <w:t>ловая установка была с толкающими винтами. Специально для них делались вырезы на задней кромке нижнего крыла. Впоследствии Сикорский отказался от этой схемы, и № 161 стал с тянущими винтами.</w:t>
      </w:r>
    </w:p>
    <w:p w14:paraId="781000F4" w14:textId="77777777" w:rsidR="00D45A46" w:rsidRPr="00DE096C" w:rsidRDefault="00D45A46" w:rsidP="00D45A46">
      <w:pPr>
        <w:jc w:val="both"/>
        <w:rPr>
          <w:bCs/>
          <w:color w:val="002060"/>
          <w:sz w:val="16"/>
          <w:szCs w:val="16"/>
        </w:rPr>
      </w:pPr>
      <w:r w:rsidRPr="00DE096C">
        <w:rPr>
          <w:bCs/>
          <w:color w:val="002060"/>
          <w:sz w:val="16"/>
          <w:szCs w:val="16"/>
        </w:rPr>
        <w:t>Все построенные «Муромцы» были переданы заказ</w:t>
      </w:r>
      <w:r w:rsidRPr="00DE096C">
        <w:rPr>
          <w:bCs/>
          <w:color w:val="002060"/>
          <w:sz w:val="16"/>
          <w:szCs w:val="16"/>
        </w:rPr>
        <w:softHyphen/>
        <w:t>чику и, пока шло разбирательство об эффективности боевого применения кораблей, Воздухоплавательное отделение РБВЗ свое внимание сосредоточило теперь на постройке 45 легких самолетов Сикорского. С формиро</w:t>
      </w:r>
      <w:r w:rsidRPr="00DE096C">
        <w:rPr>
          <w:bCs/>
          <w:color w:val="002060"/>
          <w:sz w:val="16"/>
          <w:szCs w:val="16"/>
        </w:rPr>
        <w:softHyphen/>
        <w:t>ванием эскадры в Яблонну были отправлены все легкие аппараты производства РБВЗ, по тем или иным причи</w:t>
      </w:r>
      <w:r w:rsidRPr="00DE096C">
        <w:rPr>
          <w:bCs/>
          <w:color w:val="002060"/>
          <w:sz w:val="16"/>
          <w:szCs w:val="16"/>
        </w:rPr>
        <w:softHyphen/>
        <w:t>нам не переданные военным ранее. Однако три из них, новейшие С-12бис (№ 133, 134, и 141) по требованию Великого Князя Александра Михайловича были пере</w:t>
      </w:r>
      <w:r w:rsidRPr="00DE096C">
        <w:rPr>
          <w:bCs/>
          <w:color w:val="002060"/>
          <w:sz w:val="16"/>
          <w:szCs w:val="16"/>
        </w:rPr>
        <w:softHyphen/>
        <w:t>адресованы в легкую авиацию. Вместе с ними отбыл и известный нам летчик-испытатель, он же ведущий кон</w:t>
      </w:r>
      <w:r w:rsidRPr="00DE096C">
        <w:rPr>
          <w:bCs/>
          <w:color w:val="002060"/>
          <w:sz w:val="16"/>
          <w:szCs w:val="16"/>
        </w:rPr>
        <w:softHyphen/>
        <w:t>структор по созданию этих машин прапорщик Г. В. Ян</w:t>
      </w:r>
      <w:r w:rsidRPr="00DE096C">
        <w:rPr>
          <w:bCs/>
          <w:color w:val="002060"/>
          <w:sz w:val="16"/>
          <w:szCs w:val="16"/>
        </w:rPr>
        <w:softHyphen/>
        <w:t>ковский. Легкие и маневренные самолеты около года достаточно эффективно эксплуатировались в 16-м кор</w:t>
      </w:r>
      <w:r w:rsidRPr="00DE096C">
        <w:rPr>
          <w:bCs/>
          <w:color w:val="002060"/>
          <w:sz w:val="16"/>
          <w:szCs w:val="16"/>
        </w:rPr>
        <w:softHyphen/>
        <w:t>пусном авиаотряде. В 1916 г. один из уцелевших С-12бис был возвращен в эскадру для использования в качестве учебного (24177).</w:t>
      </w:r>
    </w:p>
    <w:p w14:paraId="19017E90" w14:textId="77777777" w:rsidR="00D45A46" w:rsidRPr="00DE096C" w:rsidRDefault="00D45A46" w:rsidP="00D45A46">
      <w:pPr>
        <w:jc w:val="both"/>
        <w:rPr>
          <w:bCs/>
          <w:color w:val="002060"/>
          <w:sz w:val="16"/>
          <w:szCs w:val="16"/>
          <w:lang w:bidi="ru-RU"/>
        </w:rPr>
      </w:pPr>
    </w:p>
    <w:p w14:paraId="5C57EFA8" w14:textId="47144ED8" w:rsidR="00A4521B" w:rsidRPr="00DE096C" w:rsidRDefault="00A4521B" w:rsidP="00D45A46">
      <w:pPr>
        <w:shd w:val="clear" w:color="auto" w:fill="FFFFFF"/>
        <w:jc w:val="both"/>
        <w:rPr>
          <w:bCs/>
          <w:i/>
          <w:color w:val="002060"/>
          <w:sz w:val="16"/>
          <w:szCs w:val="16"/>
        </w:rPr>
      </w:pPr>
      <w:r w:rsidRPr="00DE096C">
        <w:rPr>
          <w:bCs/>
          <w:i/>
          <w:color w:val="002060"/>
          <w:sz w:val="16"/>
          <w:szCs w:val="16"/>
        </w:rPr>
        <w:t>Другие оборонные отрасли:</w:t>
      </w:r>
    </w:p>
    <w:p w14:paraId="3491E2CA" w14:textId="77777777" w:rsidR="00A4521B" w:rsidRPr="00DE096C" w:rsidRDefault="00A4521B" w:rsidP="00D45A46">
      <w:pPr>
        <w:shd w:val="clear" w:color="auto" w:fill="FFFFFF"/>
        <w:jc w:val="both"/>
        <w:rPr>
          <w:bCs/>
          <w:i/>
          <w:color w:val="002060"/>
          <w:sz w:val="16"/>
          <w:szCs w:val="16"/>
        </w:rPr>
      </w:pPr>
    </w:p>
    <w:p w14:paraId="6CD999C7" w14:textId="77777777" w:rsidR="00A4521B" w:rsidRPr="00DE096C" w:rsidRDefault="00A4521B" w:rsidP="00D45A46">
      <w:pPr>
        <w:shd w:val="clear" w:color="auto" w:fill="FFFFFF"/>
        <w:jc w:val="both"/>
        <w:rPr>
          <w:bCs/>
          <w:color w:val="002060"/>
          <w:sz w:val="16"/>
          <w:szCs w:val="16"/>
        </w:rPr>
      </w:pPr>
      <w:r w:rsidRPr="00DE096C">
        <w:rPr>
          <w:bCs/>
          <w:color w:val="002060"/>
          <w:sz w:val="16"/>
          <w:szCs w:val="16"/>
        </w:rPr>
        <w:t>Зимой 1914-15 годов русской армией было захвачено несколько немецких аэросаней, использовавшихся для проведения разведки. Эти машины по какой-то причине попали в распоряжение Всероссийского земского союза (отсюда и аббревиатура ВЗС), который и поручил </w:t>
      </w:r>
      <w:r w:rsidRPr="00DE096C">
        <w:rPr>
          <w:bCs/>
          <w:color w:val="002060"/>
          <w:sz w:val="16"/>
          <w:szCs w:val="16"/>
          <w:bdr w:val="none" w:sz="0" w:space="0" w:color="auto" w:frame="1"/>
        </w:rPr>
        <w:t>Бриллингу</w:t>
      </w:r>
      <w:r w:rsidRPr="00DE096C">
        <w:rPr>
          <w:bCs/>
          <w:color w:val="002060"/>
          <w:sz w:val="16"/>
          <w:szCs w:val="16"/>
        </w:rPr>
        <w:t> и </w:t>
      </w:r>
      <w:r w:rsidRPr="00DE096C">
        <w:rPr>
          <w:bCs/>
          <w:color w:val="002060"/>
          <w:sz w:val="16"/>
          <w:szCs w:val="16"/>
          <w:bdr w:val="none" w:sz="0" w:space="0" w:color="auto" w:frame="1"/>
        </w:rPr>
        <w:t>Кузину</w:t>
      </w:r>
      <w:r w:rsidRPr="00DE096C">
        <w:rPr>
          <w:bCs/>
          <w:color w:val="002060"/>
          <w:sz w:val="16"/>
          <w:szCs w:val="16"/>
        </w:rPr>
        <w:t> наладить на основе трофейных образцов выпуск собственных аэросаней.</w:t>
      </w:r>
    </w:p>
    <w:p w14:paraId="72ED507D" w14:textId="77777777" w:rsidR="00A4521B" w:rsidRPr="00DE096C" w:rsidRDefault="00A4521B" w:rsidP="00D45A46">
      <w:pPr>
        <w:shd w:val="clear" w:color="auto" w:fill="FFFFFF"/>
        <w:jc w:val="both"/>
        <w:rPr>
          <w:bCs/>
          <w:color w:val="002060"/>
          <w:sz w:val="16"/>
          <w:szCs w:val="16"/>
        </w:rPr>
      </w:pPr>
      <w:r w:rsidRPr="00DE096C">
        <w:rPr>
          <w:bCs/>
          <w:color w:val="002060"/>
          <w:sz w:val="16"/>
          <w:szCs w:val="16"/>
        </w:rPr>
        <w:t>Теоретически в этой истории ничего невероятного нет — </w:t>
      </w:r>
      <w:r w:rsidRPr="00DE096C">
        <w:rPr>
          <w:bCs/>
          <w:color w:val="002060"/>
          <w:sz w:val="16"/>
          <w:szCs w:val="16"/>
          <w:bdr w:val="none" w:sz="0" w:space="0" w:color="auto" w:frame="1"/>
        </w:rPr>
        <w:t>Германия</w:t>
      </w:r>
      <w:r w:rsidRPr="00DE096C">
        <w:rPr>
          <w:bCs/>
          <w:color w:val="002060"/>
          <w:sz w:val="16"/>
          <w:szCs w:val="16"/>
        </w:rPr>
        <w:t> являлась промышленно развитой державой и вполне могла бы создать сравнительно несложный «снегоход с пропеллером». Но есть маленькая проблема – никаких немецких источников, подтверждающих само существование этих аэросаней, якобы созданных по личной инициативе Гинденбурга, не обнаруживается. Более того, есть также информация, что прототипом для ВЗС стали аэросани, созданные </w:t>
      </w:r>
      <w:r w:rsidRPr="00DE096C">
        <w:rPr>
          <w:bCs/>
          <w:color w:val="002060"/>
          <w:sz w:val="16"/>
          <w:szCs w:val="16"/>
          <w:bdr w:val="none" w:sz="0" w:space="0" w:color="auto" w:frame="1"/>
        </w:rPr>
        <w:t>Кузиным</w:t>
      </w:r>
      <w:r w:rsidRPr="00DE096C">
        <w:rPr>
          <w:bCs/>
          <w:color w:val="002060"/>
          <w:sz w:val="16"/>
          <w:szCs w:val="16"/>
        </w:rPr>
        <w:t> в 1910 году.</w:t>
      </w:r>
    </w:p>
    <w:p w14:paraId="1535CC84" w14:textId="77777777" w:rsidR="00A4521B" w:rsidRPr="00DE096C" w:rsidRDefault="00A4521B" w:rsidP="00D45A46">
      <w:pPr>
        <w:shd w:val="clear" w:color="auto" w:fill="FFFFFF"/>
        <w:jc w:val="both"/>
        <w:rPr>
          <w:bCs/>
          <w:color w:val="002060"/>
          <w:sz w:val="16"/>
          <w:szCs w:val="16"/>
        </w:rPr>
      </w:pPr>
      <w:r w:rsidRPr="00DE096C">
        <w:rPr>
          <w:bCs/>
          <w:color w:val="002060"/>
          <w:sz w:val="16"/>
          <w:szCs w:val="16"/>
        </w:rPr>
        <w:t>Сами же ВЗС изготавливались в </w:t>
      </w:r>
      <w:r w:rsidRPr="00DE096C">
        <w:rPr>
          <w:bCs/>
          <w:color w:val="002060"/>
          <w:sz w:val="16"/>
          <w:szCs w:val="16"/>
          <w:bdr w:val="none" w:sz="0" w:space="0" w:color="auto" w:frame="1"/>
        </w:rPr>
        <w:t>Москве</w:t>
      </w:r>
      <w:r w:rsidRPr="00DE096C">
        <w:rPr>
          <w:bCs/>
          <w:color w:val="002060"/>
          <w:sz w:val="16"/>
          <w:szCs w:val="16"/>
        </w:rPr>
        <w:t>. </w:t>
      </w:r>
      <w:r w:rsidRPr="00DE096C">
        <w:rPr>
          <w:bCs/>
          <w:color w:val="002060"/>
          <w:sz w:val="16"/>
          <w:szCs w:val="16"/>
          <w:bdr w:val="none" w:sz="0" w:space="0" w:color="auto" w:frame="1"/>
        </w:rPr>
        <w:t>Бриллинг</w:t>
      </w:r>
      <w:r w:rsidRPr="00DE096C">
        <w:rPr>
          <w:bCs/>
          <w:color w:val="002060"/>
          <w:sz w:val="16"/>
          <w:szCs w:val="16"/>
        </w:rPr>
        <w:t> и </w:t>
      </w:r>
      <w:r w:rsidRPr="00DE096C">
        <w:rPr>
          <w:bCs/>
          <w:color w:val="002060"/>
          <w:sz w:val="16"/>
          <w:szCs w:val="16"/>
          <w:bdr w:val="none" w:sz="0" w:space="0" w:color="auto" w:frame="1"/>
        </w:rPr>
        <w:t>Кузин</w:t>
      </w:r>
      <w:r w:rsidRPr="00DE096C">
        <w:rPr>
          <w:bCs/>
          <w:color w:val="002060"/>
          <w:sz w:val="16"/>
          <w:szCs w:val="16"/>
        </w:rPr>
        <w:t> разработали несколько вариантом этих аэросаней:</w:t>
      </w:r>
    </w:p>
    <w:p w14:paraId="4BF3963B" w14:textId="77777777" w:rsidR="00A4521B" w:rsidRPr="00DE096C" w:rsidRDefault="00A4521B" w:rsidP="00D45A46">
      <w:pPr>
        <w:numPr>
          <w:ilvl w:val="0"/>
          <w:numId w:val="2"/>
        </w:numPr>
        <w:shd w:val="clear" w:color="auto" w:fill="FFFFFF"/>
        <w:overflowPunct/>
        <w:autoSpaceDE/>
        <w:autoSpaceDN/>
        <w:adjustRightInd/>
        <w:ind w:left="0" w:firstLine="0"/>
        <w:jc w:val="both"/>
        <w:rPr>
          <w:bCs/>
          <w:color w:val="002060"/>
          <w:sz w:val="16"/>
          <w:szCs w:val="16"/>
        </w:rPr>
      </w:pPr>
      <w:r w:rsidRPr="00DE096C">
        <w:rPr>
          <w:bCs/>
          <w:color w:val="002060"/>
          <w:sz w:val="16"/>
          <w:szCs w:val="16"/>
        </w:rPr>
        <w:t>Разведывательные. Могли перевозить трех человек, включая водителя.</w:t>
      </w:r>
    </w:p>
    <w:p w14:paraId="5AD72AB3" w14:textId="77777777" w:rsidR="00A4521B" w:rsidRPr="00DE096C" w:rsidRDefault="00A4521B" w:rsidP="00D45A46">
      <w:pPr>
        <w:numPr>
          <w:ilvl w:val="0"/>
          <w:numId w:val="2"/>
        </w:numPr>
        <w:shd w:val="clear" w:color="auto" w:fill="FFFFFF"/>
        <w:overflowPunct/>
        <w:autoSpaceDE/>
        <w:autoSpaceDN/>
        <w:adjustRightInd/>
        <w:ind w:left="0" w:firstLine="0"/>
        <w:jc w:val="both"/>
        <w:rPr>
          <w:bCs/>
          <w:color w:val="002060"/>
          <w:sz w:val="16"/>
          <w:szCs w:val="16"/>
        </w:rPr>
      </w:pPr>
      <w:r w:rsidRPr="00DE096C">
        <w:rPr>
          <w:bCs/>
          <w:color w:val="002060"/>
          <w:sz w:val="16"/>
          <w:szCs w:val="16"/>
        </w:rPr>
        <w:t>Связные. Отличались от разведывательных лишь количеством мест – оно увеличено до четырех.</w:t>
      </w:r>
    </w:p>
    <w:p w14:paraId="0B8E09FE" w14:textId="77777777" w:rsidR="00A4521B" w:rsidRPr="00DE096C" w:rsidRDefault="00A4521B" w:rsidP="00D45A46">
      <w:pPr>
        <w:numPr>
          <w:ilvl w:val="0"/>
          <w:numId w:val="2"/>
        </w:numPr>
        <w:shd w:val="clear" w:color="auto" w:fill="FFFFFF"/>
        <w:overflowPunct/>
        <w:autoSpaceDE/>
        <w:autoSpaceDN/>
        <w:adjustRightInd/>
        <w:ind w:left="0" w:firstLine="0"/>
        <w:jc w:val="both"/>
        <w:rPr>
          <w:bCs/>
          <w:color w:val="002060"/>
          <w:sz w:val="16"/>
          <w:szCs w:val="16"/>
        </w:rPr>
      </w:pPr>
      <w:r w:rsidRPr="00DE096C">
        <w:rPr>
          <w:bCs/>
          <w:color w:val="002060"/>
          <w:sz w:val="16"/>
          <w:szCs w:val="16"/>
        </w:rPr>
        <w:t>Санитарные. Информации о них мало, предположительно имели увеличенную длину. Могли перевозить до пяти человек</w:t>
      </w:r>
    </w:p>
    <w:p w14:paraId="63221D81" w14:textId="77777777" w:rsidR="00A4521B" w:rsidRPr="00DE096C" w:rsidRDefault="00A4521B" w:rsidP="00D45A46">
      <w:pPr>
        <w:shd w:val="clear" w:color="auto" w:fill="FFFFFF"/>
        <w:jc w:val="both"/>
        <w:rPr>
          <w:bCs/>
          <w:color w:val="002060"/>
          <w:sz w:val="16"/>
          <w:szCs w:val="16"/>
        </w:rPr>
      </w:pPr>
      <w:r w:rsidRPr="00DE096C">
        <w:rPr>
          <w:bCs/>
          <w:color w:val="002060"/>
          <w:sz w:val="16"/>
          <w:szCs w:val="16"/>
          <w:shd w:val="clear" w:color="auto" w:fill="FFFFFF"/>
        </w:rPr>
        <w:t>Крупносерийным производство аэросаней ВЗС все же назвать нельзя, поскольку за 1916-17 годы удалось построить лишь 24 машины. Сборка одного экземпляра, таким образом, в среднем составляла два месяца.</w:t>
      </w:r>
      <w:r w:rsidRPr="00DE096C">
        <w:rPr>
          <w:bCs/>
          <w:color w:val="002060"/>
          <w:sz w:val="16"/>
          <w:szCs w:val="16"/>
        </w:rPr>
        <w:t xml:space="preserve"> (21488).</w:t>
      </w:r>
    </w:p>
    <w:p w14:paraId="2ED2BB9A" w14:textId="77777777" w:rsidR="00A4521B" w:rsidRPr="00DE096C" w:rsidRDefault="00A4521B" w:rsidP="00D45A46">
      <w:pPr>
        <w:shd w:val="clear" w:color="auto" w:fill="FFFFFF"/>
        <w:jc w:val="both"/>
        <w:rPr>
          <w:bCs/>
          <w:color w:val="002060"/>
          <w:sz w:val="16"/>
          <w:szCs w:val="16"/>
        </w:rPr>
      </w:pPr>
    </w:p>
    <w:p w14:paraId="04FEF167" w14:textId="77777777" w:rsidR="00B67D7C" w:rsidRPr="00DE096C" w:rsidRDefault="00B67D7C" w:rsidP="00D45A46">
      <w:pPr>
        <w:shd w:val="clear" w:color="auto" w:fill="FFFFFF"/>
        <w:jc w:val="both"/>
        <w:rPr>
          <w:bCs/>
          <w:i/>
          <w:color w:val="002060"/>
          <w:sz w:val="16"/>
          <w:szCs w:val="16"/>
        </w:rPr>
      </w:pPr>
      <w:r w:rsidRPr="00DE096C">
        <w:rPr>
          <w:bCs/>
          <w:i/>
          <w:color w:val="002060"/>
          <w:sz w:val="16"/>
          <w:szCs w:val="16"/>
        </w:rPr>
        <w:t>Авиация и воздухоплавание Германии:</w:t>
      </w:r>
    </w:p>
    <w:p w14:paraId="437FAE18" w14:textId="77777777" w:rsidR="00B67D7C" w:rsidRPr="00DE096C" w:rsidRDefault="00B67D7C" w:rsidP="00D45A46">
      <w:pPr>
        <w:shd w:val="clear" w:color="auto" w:fill="FFFFFF"/>
        <w:jc w:val="both"/>
        <w:rPr>
          <w:bCs/>
          <w:i/>
          <w:color w:val="002060"/>
          <w:sz w:val="16"/>
          <w:szCs w:val="16"/>
        </w:rPr>
      </w:pPr>
    </w:p>
    <w:p w14:paraId="1446B8F8"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Зимой 1914/15 года появились так называемые предписания по строительству и эксплуатации бомбардировщиков (Bau und Liefervorschriften fuer Heeresflugzeuge - BLV). Предписания были достаточно подробными. Они касались конструкции планера, двигателей, оснащения, вооружения, экипажа, аппаратуры (в том числе радио), условий эксплуатации и пр. Например, в составе экипажа должны были присутствовать механики-мотористы, оговаривались обязанности механиков, способ их связи с командиром экипажа и даже перечислялись инструменты, которые следовало взять на борт самолета. Предписания касались всех немецких фирм, выпускавших </w:t>
      </w:r>
      <w:r w:rsidRPr="00DE096C">
        <w:rPr>
          <w:bCs/>
          <w:i w:val="0"/>
          <w:color w:val="002060"/>
          <w:spacing w:val="0"/>
          <w:kern w:val="0"/>
          <w:position w:val="0"/>
          <w:sz w:val="16"/>
          <w:szCs w:val="16"/>
        </w:rPr>
        <w:lastRenderedPageBreak/>
        <w:t>бомбардировщики серий "G" и "R". Подписал документ майор Томсен - командующий армейской авиацией (Feldflugchef) и адмирал Дик - начальник конструкторского департамента ВМФ. К строительству самолетов серии "R" (Reisenflugzeuge) приступили и другие немецкие авиационные заводы, имевшие опыт в постройке крупных самолетов "СШВ", "АЕГ", "ДФВ", "Авиатик", "Шутте-Лянц" и "Дорнье". Быстро выделились две линии в конструировании тяжелых бомбардировщиков. Одни конструкторы предпочитали использовать для самолетов дерево, другие - металл. К числу сторонников металла принадлежал и граф фон Цеппелин. Другой крупной немецкой фирмой, участвовавшей в строительстве самолетов серии "R", была "Сименс Шуккерт Верке" ("СШВ"). Там главными конструкторами были братья Бруно и Франц Штеффен. Уже в октябре 1914 года они закончили первый тяжелый бомбардировщик. Кроме братьев Штеффен на фирме "СШВ" работал Виллихед Форссман, шведский инженер, который в 1910-1912 году конструировал в России военные дирижабли. Форссман был разносторонним конструктором. Он проектировал одноместные подводные лодки, танки с противоснарядной броней, сотрудничал с Ганнесманном при строительстве последнего трансатлантического гиганта. В России Форссман сотрудничает с Сикорским и участвовал в строительстве самолета "Гранд". На фирме "СШВ" Форссман самостоятельно развивал свою линию самолетов "R". Шведский инженер пользовался идеями Сикорского, проектируя самолеты, похожие на "Гранд" - бипланы с рядом двигателей на нижнем крыле. Форссману удалось построить два таких самолета, но они оказались неудачными и дальнейшие работы над линией свернули. Третьей фирмой, строившей тяжелые бомбардировщики, стала "ДФВ" из Лиденталя (район Лейпцига) Здесь главными инженерами были Герман Дорнье и Генрих Элерих (11262).</w:t>
      </w:r>
    </w:p>
    <w:p w14:paraId="7832CB4C" w14:textId="77777777" w:rsidR="00B67D7C" w:rsidRPr="00DE096C" w:rsidRDefault="00B67D7C" w:rsidP="00D45A46">
      <w:pPr>
        <w:pStyle w:val="a3"/>
        <w:jc w:val="both"/>
        <w:rPr>
          <w:bCs/>
          <w:i w:val="0"/>
          <w:color w:val="002060"/>
          <w:spacing w:val="0"/>
          <w:kern w:val="0"/>
          <w:position w:val="0"/>
          <w:sz w:val="16"/>
          <w:szCs w:val="16"/>
        </w:rPr>
      </w:pPr>
    </w:p>
    <w:p w14:paraId="4FAE0E35"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Самолетостроение:</w:t>
      </w:r>
    </w:p>
    <w:p w14:paraId="6363DACC" w14:textId="77777777" w:rsidR="00B67D7C" w:rsidRPr="00DE096C" w:rsidRDefault="00B67D7C" w:rsidP="00D45A46">
      <w:pPr>
        <w:pStyle w:val="a3"/>
        <w:jc w:val="both"/>
        <w:rPr>
          <w:bCs/>
          <w:i w:val="0"/>
          <w:color w:val="002060"/>
          <w:spacing w:val="0"/>
          <w:kern w:val="0"/>
          <w:position w:val="0"/>
          <w:sz w:val="16"/>
          <w:szCs w:val="16"/>
        </w:rPr>
      </w:pPr>
    </w:p>
    <w:p w14:paraId="08CDB242" w14:textId="77777777" w:rsidR="002F447D" w:rsidRPr="00DE096C" w:rsidRDefault="002F447D" w:rsidP="00D45A46">
      <w:pPr>
        <w:pStyle w:val="16"/>
        <w:shd w:val="clear" w:color="auto" w:fill="auto"/>
        <w:spacing w:before="0" w:line="240" w:lineRule="auto"/>
        <w:ind w:firstLine="0"/>
        <w:rPr>
          <w:rStyle w:val="91"/>
          <w:rFonts w:ascii="Times New Roman" w:hAnsi="Times New Roman" w:cs="Times New Roman"/>
          <w:b w:val="0"/>
          <w:color w:val="002060"/>
          <w:spacing w:val="0"/>
          <w:sz w:val="16"/>
          <w:szCs w:val="16"/>
        </w:rPr>
      </w:pPr>
      <w:r w:rsidRPr="00DE096C">
        <w:rPr>
          <w:rStyle w:val="0pt"/>
          <w:rFonts w:eastAsia="Arial"/>
          <w:bCs/>
          <w:color w:val="002060"/>
          <w:spacing w:val="0"/>
          <w:sz w:val="16"/>
          <w:szCs w:val="16"/>
        </w:rPr>
        <w:t xml:space="preserve">В </w:t>
      </w:r>
      <w:r w:rsidRPr="00DE096C">
        <w:rPr>
          <w:rStyle w:val="91"/>
          <w:rFonts w:ascii="Times New Roman" w:hAnsi="Times New Roman" w:cs="Times New Roman"/>
          <w:b w:val="0"/>
          <w:color w:val="002060"/>
          <w:spacing w:val="0"/>
          <w:sz w:val="16"/>
          <w:szCs w:val="16"/>
        </w:rPr>
        <w:t>1914</w:t>
      </w:r>
      <w:r w:rsidRPr="00DE096C">
        <w:rPr>
          <w:rFonts w:ascii="Times New Roman" w:hAnsi="Times New Roman" w:cs="Times New Roman"/>
          <w:bCs/>
          <w:color w:val="002060"/>
          <w:sz w:val="16"/>
          <w:szCs w:val="16"/>
        </w:rPr>
        <w:t xml:space="preserve"> г. Габер испытал «Фарман-ХУ1» с бронированной кабиной и</w:t>
      </w:r>
      <w:r w:rsidRPr="00DE096C">
        <w:rPr>
          <w:rStyle w:val="91"/>
          <w:rFonts w:ascii="Times New Roman" w:hAnsi="Times New Roman" w:cs="Times New Roman"/>
          <w:b w:val="0"/>
          <w:color w:val="002060"/>
          <w:spacing w:val="0"/>
          <w:sz w:val="16"/>
          <w:szCs w:val="16"/>
        </w:rPr>
        <w:t xml:space="preserve"> пулемётом (15781).</w:t>
      </w:r>
    </w:p>
    <w:p w14:paraId="563C41E7" w14:textId="77777777" w:rsidR="002F447D" w:rsidRPr="00DE096C" w:rsidRDefault="002F447D" w:rsidP="00D45A46">
      <w:pPr>
        <w:pStyle w:val="16"/>
        <w:shd w:val="clear" w:color="auto" w:fill="auto"/>
        <w:spacing w:before="0" w:line="240" w:lineRule="auto"/>
        <w:ind w:firstLine="0"/>
        <w:rPr>
          <w:rStyle w:val="91"/>
          <w:rFonts w:ascii="Times New Roman" w:hAnsi="Times New Roman" w:cs="Times New Roman"/>
          <w:b w:val="0"/>
          <w:color w:val="002060"/>
          <w:spacing w:val="0"/>
          <w:sz w:val="16"/>
          <w:szCs w:val="16"/>
        </w:rPr>
      </w:pPr>
    </w:p>
    <w:p w14:paraId="60B91009" w14:textId="77777777" w:rsidR="002F447D" w:rsidRPr="00DE096C" w:rsidRDefault="002F447D" w:rsidP="00D45A46">
      <w:pPr>
        <w:shd w:val="clear" w:color="auto" w:fill="FFFFFF"/>
        <w:jc w:val="both"/>
        <w:rPr>
          <w:bCs/>
          <w:color w:val="002060"/>
          <w:sz w:val="16"/>
          <w:szCs w:val="16"/>
        </w:rPr>
      </w:pPr>
      <w:r w:rsidRPr="00DE096C">
        <w:rPr>
          <w:bCs/>
          <w:color w:val="002060"/>
          <w:sz w:val="16"/>
          <w:szCs w:val="16"/>
        </w:rPr>
        <w:t>В 1914 г. на Дуксе был освоен «Вуазен», долгое время основной разведчик на фронте, быстро заменивший в этом качестве строившиеся еще до войны «Фарманы» Ф-XVI, Ф-ХХ, Ф-ХХII, превратившиеся в учебные. В России летали шесть типов «Вуазенов» совершенно одинаковой схемы — двухместный ферменный биплан с толкающим винтом. Наблюдатель сидел сзади летчика с пулеметом над его головой, имел прекрасный обзор вперед и большой сектор обстрела. Размеры самолетов «Вуазен» тип LA и LAS были несколько большими по сравнению с типом L, еще больше увеличился размер крыльев у типа LBS. Он строился в небольших количествах на « Дуксе », а всего в России за годы войны построили около 400 «Вуазенов» различных типов, преимущественно на « Дуксе ». Последним стал «Вуазен с пушкой» существенно больших размеров и с мотором «Сальмсон» в 225 л. с, вооруженный 1,5-дм (37 мм) пушкой «Кольт» Под нее существенно изменили нос гондолы. Машину строили на « Дуксе » по французским чертежам, значительно дополненным на заводе под руководством инженера В. С.Денисова, он же руководил постройкой. Единственный экземпляр закончили 10 ноября 1915 г., испытали и отправили на фронт «в компанию» к аналогичным машинам, полученным из Франции. На фронте также летали 10 французских пушечных «Вуазенов» с двигателем водяного охлаждения «Изотта-Фраскини» в 225 л. с. Мнение М. Ефимова после первого полета на «Вуазене» в 1916 г. оказалось резко отрицательным: «Этой сетью проволок только мух ловить, а вообще неповоротлива, как груженная колымага, а так спокойна, проста в управлении. Но вниз идет как-то тупо, просто не чувствуешь, что опускаешься, ну, а о скорости и говорить не приходится. Ну вот представьте, сейчас эту бандуру уже строят на нескольких заводах и дают на фронт! Ну подумайте, разве можно ее сравнить с немецкими машинами, ведь они и по скорости и маневренности превосходят эту этажерку, и просто стыдно, что нашим летчикам придется на них не только летать, но вероятно и воевать! А вы знаете, — продолжал он, — что еще в 1913 г. английская фирма «Сопвич» предлагала нашему правительству купить лицензию на эту машину, чтобы строить ее самим. Ведь она хорошо себя зарекомендовала, показав скорость около 140 км/час. Но англичане не дали «взятки» нашим заправилам в авиации, а дали французы, и потому у нас «Ньюпоры», «Фарманы», а теперь «Вуазен»."</w:t>
      </w:r>
    </w:p>
    <w:p w14:paraId="36A9104C" w14:textId="77777777" w:rsidR="002F447D" w:rsidRPr="00DE096C" w:rsidRDefault="002F447D" w:rsidP="00D45A46">
      <w:pPr>
        <w:shd w:val="clear" w:color="auto" w:fill="FFFFFF"/>
        <w:jc w:val="both"/>
        <w:rPr>
          <w:bCs/>
          <w:color w:val="002060"/>
          <w:sz w:val="16"/>
          <w:szCs w:val="16"/>
        </w:rPr>
      </w:pPr>
    </w:p>
    <w:p w14:paraId="0EE30416" w14:textId="77777777" w:rsidR="002F447D" w:rsidRPr="00DE096C" w:rsidRDefault="002F447D" w:rsidP="00D45A46">
      <w:pPr>
        <w:pStyle w:val="150"/>
        <w:shd w:val="clear" w:color="auto" w:fill="auto"/>
        <w:spacing w:line="240" w:lineRule="auto"/>
        <w:rPr>
          <w:rFonts w:ascii="Times New Roman" w:hAnsi="Times New Roman" w:cs="Times New Roman"/>
          <w:bCs/>
          <w:i w:val="0"/>
          <w:color w:val="002060"/>
          <w:sz w:val="16"/>
          <w:szCs w:val="16"/>
        </w:rPr>
      </w:pPr>
      <w:r w:rsidRPr="00DE096C">
        <w:rPr>
          <w:rFonts w:ascii="Times New Roman" w:hAnsi="Times New Roman" w:cs="Times New Roman"/>
          <w:bCs/>
          <w:i w:val="0"/>
          <w:color w:val="002060"/>
          <w:sz w:val="16"/>
          <w:szCs w:val="16"/>
        </w:rPr>
        <w:t xml:space="preserve">В 1914 г. выпуск аэропланов на Дукс по сравнению с шлогодним увеличили </w:t>
      </w:r>
      <w:r w:rsidRPr="00DE096C">
        <w:rPr>
          <w:rStyle w:val="159pt"/>
          <w:rFonts w:ascii="Times New Roman" w:hAnsi="Times New Roman" w:cs="Times New Roman"/>
          <w:b w:val="0"/>
          <w:i w:val="0"/>
          <w:color w:val="002060"/>
          <w:sz w:val="16"/>
          <w:szCs w:val="16"/>
        </w:rPr>
        <w:t>в</w:t>
      </w:r>
      <w:r w:rsidRPr="00DE096C">
        <w:rPr>
          <w:rFonts w:ascii="Times New Roman" w:hAnsi="Times New Roman" w:cs="Times New Roman"/>
          <w:bCs/>
          <w:i w:val="0"/>
          <w:color w:val="002060"/>
          <w:sz w:val="16"/>
          <w:szCs w:val="16"/>
        </w:rPr>
        <w:t xml:space="preserve"> 2,5 раза — 190 машин, в 1915-1917 г. по</w:t>
      </w:r>
      <w:r w:rsidRPr="00DE096C">
        <w:rPr>
          <w:rFonts w:ascii="Times New Roman" w:hAnsi="Times New Roman" w:cs="Times New Roman"/>
          <w:bCs/>
          <w:i w:val="0"/>
          <w:color w:val="002060"/>
          <w:sz w:val="16"/>
          <w:szCs w:val="16"/>
        </w:rPr>
        <w:softHyphen/>
        <w:t>строили, соответствен</w:t>
      </w:r>
      <w:r w:rsidRPr="00DE096C">
        <w:rPr>
          <w:rFonts w:ascii="Times New Roman" w:hAnsi="Times New Roman" w:cs="Times New Roman"/>
          <w:bCs/>
          <w:i w:val="0"/>
          <w:color w:val="002060"/>
          <w:sz w:val="16"/>
          <w:szCs w:val="16"/>
        </w:rPr>
        <w:softHyphen/>
        <w:t>но, 382, 481 и 543 само</w:t>
      </w:r>
      <w:r w:rsidRPr="00DE096C">
        <w:rPr>
          <w:rFonts w:ascii="Times New Roman" w:hAnsi="Times New Roman" w:cs="Times New Roman"/>
          <w:bCs/>
          <w:i w:val="0"/>
          <w:color w:val="002060"/>
          <w:sz w:val="16"/>
          <w:szCs w:val="16"/>
        </w:rPr>
        <w:softHyphen/>
        <w:t>лета. Таких темпов рос</w:t>
      </w:r>
      <w:r w:rsidRPr="00DE096C">
        <w:rPr>
          <w:rFonts w:ascii="Times New Roman" w:hAnsi="Times New Roman" w:cs="Times New Roman"/>
          <w:bCs/>
          <w:i w:val="0"/>
          <w:color w:val="002060"/>
          <w:sz w:val="16"/>
          <w:szCs w:val="16"/>
        </w:rPr>
        <w:softHyphen/>
        <w:t>та производства не имел ни один из российских авиазаводов. К 1917 г. месячный выпуск дове</w:t>
      </w:r>
      <w:r w:rsidRPr="00DE096C">
        <w:rPr>
          <w:rFonts w:ascii="Times New Roman" w:hAnsi="Times New Roman" w:cs="Times New Roman"/>
          <w:bCs/>
          <w:i w:val="0"/>
          <w:color w:val="002060"/>
          <w:sz w:val="16"/>
          <w:szCs w:val="16"/>
        </w:rPr>
        <w:softHyphen/>
        <w:t>ли до 60-70 аэропла</w:t>
      </w:r>
      <w:r w:rsidRPr="00DE096C">
        <w:rPr>
          <w:rFonts w:ascii="Times New Roman" w:hAnsi="Times New Roman" w:cs="Times New Roman"/>
          <w:bCs/>
          <w:i w:val="0"/>
          <w:color w:val="002060"/>
          <w:sz w:val="16"/>
          <w:szCs w:val="16"/>
        </w:rPr>
        <w:softHyphen/>
        <w:t>нов, хотя плановых пока</w:t>
      </w:r>
      <w:r w:rsidRPr="00DE096C">
        <w:rPr>
          <w:rFonts w:ascii="Times New Roman" w:hAnsi="Times New Roman" w:cs="Times New Roman"/>
          <w:bCs/>
          <w:i w:val="0"/>
          <w:color w:val="002060"/>
          <w:sz w:val="16"/>
          <w:szCs w:val="16"/>
        </w:rPr>
        <w:softHyphen/>
        <w:t>зателей в 100 машин так и не достигли. Всего в 1910-1917 гг. «Дукс» построил более 1750 самолётов, около трети от всех построенных в России (15761).</w:t>
      </w:r>
    </w:p>
    <w:p w14:paraId="3620769E" w14:textId="77777777" w:rsidR="002F447D" w:rsidRPr="00DE096C" w:rsidRDefault="002F447D" w:rsidP="00D45A46">
      <w:pPr>
        <w:pStyle w:val="150"/>
        <w:shd w:val="clear" w:color="auto" w:fill="auto"/>
        <w:spacing w:line="240" w:lineRule="auto"/>
        <w:rPr>
          <w:rFonts w:ascii="Times New Roman" w:hAnsi="Times New Roman" w:cs="Times New Roman"/>
          <w:bCs/>
          <w:i w:val="0"/>
          <w:color w:val="002060"/>
          <w:sz w:val="16"/>
          <w:szCs w:val="16"/>
        </w:rPr>
      </w:pPr>
    </w:p>
    <w:p w14:paraId="16734ED6" w14:textId="77777777" w:rsidR="002F447D" w:rsidRPr="00DE096C" w:rsidRDefault="002F447D" w:rsidP="00D45A46">
      <w:pPr>
        <w:shd w:val="clear" w:color="auto" w:fill="FFFFFF"/>
        <w:jc w:val="both"/>
        <w:rPr>
          <w:bCs/>
          <w:color w:val="002060"/>
          <w:sz w:val="16"/>
          <w:szCs w:val="16"/>
        </w:rPr>
      </w:pPr>
      <w:r w:rsidRPr="00DE096C">
        <w:rPr>
          <w:bCs/>
          <w:color w:val="002060"/>
          <w:sz w:val="16"/>
          <w:szCs w:val="16"/>
        </w:rPr>
        <w:t>В 1914 г. приглашенный Меллером военный инженер А.В.Нестеров создал оригинальный мотор «Гипоцикл Нестерова». Несмотря на ряд оригинальных технических решений10, результаты стендовых испытаний в целом оказались неудовлетворительными, хотя поначалу даже обнадеживали. Мотор Нестерова каких-то особых преимуществ не имел, поэтому другие конструкторы такую схему не разрабатывали. «Гипоцикл» законсервировали, о попытках запустить его в серию на «Дуксе» данных нет (15221).</w:t>
      </w:r>
    </w:p>
    <w:p w14:paraId="60A42D80" w14:textId="77777777" w:rsidR="002F447D" w:rsidRPr="00DE096C" w:rsidRDefault="002F447D" w:rsidP="00D45A46">
      <w:pPr>
        <w:shd w:val="clear" w:color="auto" w:fill="FFFFFF"/>
        <w:jc w:val="both"/>
        <w:rPr>
          <w:bCs/>
          <w:color w:val="002060"/>
          <w:sz w:val="16"/>
          <w:szCs w:val="16"/>
        </w:rPr>
      </w:pPr>
    </w:p>
    <w:p w14:paraId="15726577" w14:textId="77777777" w:rsidR="002F447D" w:rsidRPr="00DE096C" w:rsidRDefault="002F447D" w:rsidP="00D45A46">
      <w:pPr>
        <w:pStyle w:val="ae"/>
        <w:spacing w:before="0" w:beforeAutospacing="0" w:after="0" w:afterAutospacing="0"/>
        <w:jc w:val="both"/>
        <w:rPr>
          <w:bCs/>
          <w:color w:val="002060"/>
          <w:sz w:val="16"/>
          <w:szCs w:val="16"/>
        </w:rPr>
      </w:pPr>
      <w:r w:rsidRPr="00DE096C">
        <w:rPr>
          <w:bCs/>
          <w:color w:val="002060"/>
          <w:sz w:val="16"/>
          <w:szCs w:val="16"/>
        </w:rPr>
        <w:t>В 1914 г. одесский банкир Артур Анатольевич Анатра купил в Симферополе пустующие земли к западу и северо-западу от пруда для постройки авиационного завода, и уже в 1915 г. завод начал давать продукцию – это был «Hьюпоp-4», а затем и самый современный истребитель той поры «Hьюпоp-17». В 1916 г. завод выпустил 5 машин, в 1917 г. – 45. Следует напомнить, что шла первая мировая война, и истребители прямо из Симферополя отправляли на фронт.</w:t>
      </w:r>
    </w:p>
    <w:p w14:paraId="60AB312A" w14:textId="77777777" w:rsidR="002F447D" w:rsidRPr="00DE096C" w:rsidRDefault="002F447D" w:rsidP="00D45A46">
      <w:pPr>
        <w:pStyle w:val="ae"/>
        <w:spacing w:before="0" w:beforeAutospacing="0" w:after="0" w:afterAutospacing="0"/>
        <w:jc w:val="both"/>
        <w:rPr>
          <w:bCs/>
          <w:color w:val="002060"/>
          <w:sz w:val="16"/>
          <w:szCs w:val="16"/>
        </w:rPr>
      </w:pPr>
      <w:r w:rsidRPr="00DE096C">
        <w:rPr>
          <w:bCs/>
          <w:color w:val="002060"/>
          <w:sz w:val="16"/>
          <w:szCs w:val="16"/>
        </w:rPr>
        <w:t>К этому времени по всей России имелось уже 16 авиационных заводов. Примечательно, что все они были частными. Симфеpопольский завод – самый молодой из них. В ту пору на нем работали 735 рабочих, из них 150 были переведены с петроградских предприятий.</w:t>
      </w:r>
    </w:p>
    <w:p w14:paraId="2289F52C" w14:textId="77777777" w:rsidR="002F447D" w:rsidRPr="00DE096C" w:rsidRDefault="002F447D" w:rsidP="00D45A46">
      <w:pPr>
        <w:pStyle w:val="ae"/>
        <w:spacing w:before="0" w:beforeAutospacing="0" w:after="0" w:afterAutospacing="0"/>
        <w:jc w:val="both"/>
        <w:rPr>
          <w:bCs/>
          <w:color w:val="002060"/>
          <w:sz w:val="16"/>
          <w:szCs w:val="16"/>
        </w:rPr>
      </w:pPr>
      <w:r w:rsidRPr="00DE096C">
        <w:rPr>
          <w:bCs/>
          <w:color w:val="002060"/>
          <w:sz w:val="16"/>
          <w:szCs w:val="16"/>
        </w:rPr>
        <w:t>Появление в пpовинциальном Симфеpополе кpупного пpомышленного пpедпpиятия, ядpом котоpого оказались питерские pабочие, не могла не оказать влияния на политическую жизнь гоpода (15235).</w:t>
      </w:r>
    </w:p>
    <w:p w14:paraId="218F5574" w14:textId="77777777" w:rsidR="002F447D" w:rsidRPr="00DE096C" w:rsidRDefault="002F447D" w:rsidP="00D45A46">
      <w:pPr>
        <w:pStyle w:val="ae"/>
        <w:spacing w:before="0" w:beforeAutospacing="0" w:after="0" w:afterAutospacing="0"/>
        <w:jc w:val="both"/>
        <w:rPr>
          <w:bCs/>
          <w:color w:val="002060"/>
          <w:sz w:val="16"/>
          <w:szCs w:val="16"/>
        </w:rPr>
      </w:pPr>
    </w:p>
    <w:p w14:paraId="7A2F9113" w14:textId="77777777" w:rsidR="00632890" w:rsidRPr="00DE096C" w:rsidRDefault="00632890" w:rsidP="00D45A46">
      <w:pPr>
        <w:jc w:val="both"/>
        <w:rPr>
          <w:bCs/>
          <w:color w:val="002060"/>
          <w:sz w:val="16"/>
          <w:szCs w:val="16"/>
        </w:rPr>
      </w:pPr>
      <w:r w:rsidRPr="00DE096C">
        <w:rPr>
          <w:bCs/>
          <w:color w:val="002060"/>
          <w:sz w:val="16"/>
          <w:szCs w:val="16"/>
        </w:rPr>
        <w:t>В 1914 г. одесский банкир Артур Анатольевич Анатра купил в Симферополе пустующие земли к западу и северо-западу от пруда для постройки авиационного завода, и уже в 1915 г. завод начал давать продукцию - это был «Ньюпор-4», а затем и самый совре</w:t>
      </w:r>
      <w:r w:rsidRPr="00DE096C">
        <w:rPr>
          <w:bCs/>
          <w:color w:val="002060"/>
          <w:sz w:val="16"/>
          <w:szCs w:val="16"/>
        </w:rPr>
        <w:softHyphen/>
        <w:t>менный истребитель той поры «Ньюпор-17». В 1916 г. завод выпустил 5 машин, в 1917 г. - 45. Следует напомнить, что шла Первая мировая война, и истребители прямо из Симферополя отправляли на фронт. К этому времени по всей России имелось уже 16 авиационных заводов. Примечательно, что все они были частными. Симферо</w:t>
      </w:r>
      <w:r w:rsidRPr="00DE096C">
        <w:rPr>
          <w:bCs/>
          <w:color w:val="002060"/>
          <w:sz w:val="16"/>
          <w:szCs w:val="16"/>
        </w:rPr>
        <w:softHyphen/>
        <w:t>польский завод - самый молодой из них. В ту пору на нем работали 735 рабочих, из них 150 были переведены с петроградских пред</w:t>
      </w:r>
      <w:r w:rsidRPr="00DE096C">
        <w:rPr>
          <w:bCs/>
          <w:color w:val="002060"/>
          <w:sz w:val="16"/>
          <w:szCs w:val="16"/>
        </w:rPr>
        <w:softHyphen/>
        <w:t>приятий (12096).</w:t>
      </w:r>
    </w:p>
    <w:p w14:paraId="0DDD7F4A" w14:textId="77777777" w:rsidR="00632890" w:rsidRPr="00DE096C" w:rsidRDefault="00632890" w:rsidP="00D45A46">
      <w:pPr>
        <w:jc w:val="both"/>
        <w:rPr>
          <w:bCs/>
          <w:color w:val="002060"/>
          <w:sz w:val="16"/>
          <w:szCs w:val="16"/>
        </w:rPr>
      </w:pPr>
    </w:p>
    <w:p w14:paraId="12CE0D06" w14:textId="77777777" w:rsidR="002F447D" w:rsidRPr="00DE096C" w:rsidRDefault="002F447D" w:rsidP="00D45A46">
      <w:pPr>
        <w:pStyle w:val="14"/>
        <w:shd w:val="clear" w:color="auto" w:fill="auto"/>
        <w:spacing w:before="0" w:line="240" w:lineRule="auto"/>
        <w:ind w:firstLine="0"/>
        <w:jc w:val="both"/>
        <w:rPr>
          <w:bCs/>
          <w:color w:val="002060"/>
          <w:sz w:val="16"/>
          <w:szCs w:val="16"/>
        </w:rPr>
      </w:pPr>
      <w:r w:rsidRPr="00DE096C">
        <w:rPr>
          <w:bCs/>
          <w:color w:val="002060"/>
          <w:sz w:val="16"/>
          <w:szCs w:val="16"/>
        </w:rPr>
        <w:t>В 1914 г. директор-распорядитель расположенного на Аптекарском острове в Петро</w:t>
      </w:r>
      <w:r w:rsidRPr="00DE096C">
        <w:rPr>
          <w:bCs/>
          <w:color w:val="002060"/>
          <w:sz w:val="16"/>
          <w:szCs w:val="16"/>
        </w:rPr>
        <w:softHyphen/>
        <w:t>граде Авиационного отделения акционерного общества «Электромеханиче</w:t>
      </w:r>
      <w:r w:rsidRPr="00DE096C">
        <w:rPr>
          <w:bCs/>
          <w:color w:val="002060"/>
          <w:sz w:val="16"/>
          <w:szCs w:val="16"/>
        </w:rPr>
        <w:softHyphen/>
        <w:t>ские сооружения» (так как раньше оно именовалось «Товарищество Дюфлон, Константинович и К</w:t>
      </w:r>
      <w:r w:rsidRPr="00DE096C">
        <w:rPr>
          <w:bCs/>
          <w:color w:val="002060"/>
          <w:sz w:val="16"/>
          <w:szCs w:val="16"/>
          <w:vertAlign w:val="superscript"/>
        </w:rPr>
        <w:t>0</w:t>
      </w:r>
      <w:r w:rsidRPr="00DE096C">
        <w:rPr>
          <w:bCs/>
          <w:color w:val="002060"/>
          <w:sz w:val="16"/>
          <w:szCs w:val="16"/>
        </w:rPr>
        <w:t>», общество продолжали по-прежнему сокращенно име</w:t>
      </w:r>
      <w:r w:rsidRPr="00DE096C">
        <w:rPr>
          <w:bCs/>
          <w:color w:val="002060"/>
          <w:sz w:val="16"/>
          <w:szCs w:val="16"/>
        </w:rPr>
        <w:softHyphen/>
        <w:t>новать «ДЕКА») общества «Элект</w:t>
      </w:r>
      <w:r w:rsidRPr="00DE096C">
        <w:rPr>
          <w:bCs/>
          <w:color w:val="002060"/>
          <w:sz w:val="16"/>
          <w:szCs w:val="16"/>
        </w:rPr>
        <w:softHyphen/>
        <w:t>ромеханические сооружения» генерал-майор в отставке Петр Павлович Азбелов решил преобразовать воздухоплавательное отделение в авиационное (15740).</w:t>
      </w:r>
    </w:p>
    <w:p w14:paraId="05D65668" w14:textId="77777777" w:rsidR="002F447D" w:rsidRPr="00DE096C" w:rsidRDefault="002F447D" w:rsidP="00D45A46">
      <w:pPr>
        <w:pStyle w:val="14"/>
        <w:shd w:val="clear" w:color="auto" w:fill="auto"/>
        <w:spacing w:before="0" w:line="240" w:lineRule="auto"/>
        <w:ind w:firstLine="0"/>
        <w:jc w:val="both"/>
        <w:rPr>
          <w:bCs/>
          <w:color w:val="002060"/>
          <w:sz w:val="16"/>
          <w:szCs w:val="16"/>
        </w:rPr>
      </w:pPr>
    </w:p>
    <w:p w14:paraId="0ABD823E" w14:textId="6BE5D16A" w:rsidR="00B67D7C" w:rsidRPr="00DE096C" w:rsidRDefault="0080669F"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1914 г.</w:t>
      </w:r>
      <w:r w:rsidRPr="00DE096C">
        <w:rPr>
          <w:bCs/>
          <w:color w:val="002060"/>
          <w:sz w:val="16"/>
          <w:szCs w:val="16"/>
        </w:rPr>
        <w:t>, располагая</w:t>
      </w:r>
      <w:r w:rsidR="00B67D7C" w:rsidRPr="00DE096C">
        <w:rPr>
          <w:bCs/>
          <w:color w:val="002060"/>
          <w:sz w:val="16"/>
          <w:szCs w:val="16"/>
        </w:rPr>
        <w:t xml:space="preserve"> одним заводом [Точнее говоря, он состоял из двух заводов - вагонного и железосталелитейного] в Риге и сравнительно небольшими предприятиями в Петербурге (автомобильное и воздухоплавательное отделения), </w:t>
      </w:r>
      <w:r w:rsidRPr="00DE096C">
        <w:rPr>
          <w:bCs/>
          <w:color w:val="002060"/>
          <w:sz w:val="16"/>
          <w:szCs w:val="16"/>
        </w:rPr>
        <w:t>РБВЗ</w:t>
      </w:r>
      <w:r w:rsidR="00B67D7C" w:rsidRPr="00DE096C">
        <w:rPr>
          <w:bCs/>
          <w:color w:val="002060"/>
          <w:sz w:val="16"/>
          <w:szCs w:val="16"/>
        </w:rPr>
        <w:t xml:space="preserve"> к этому времени имело ряд больших заводов, находившихся в разных городах России. Оно было в состоянии выпускать многие виды транспортной техники. Даже судостроение рассматривалось членами Правления как вероятное место приложения капиталов. Огромный вклад в создание российского машиностроения и расширение производства на РБВЗ внес председатель Правлениям. В. Шидловский. Покинув Петроград в связи с призывом на действительную военную службу в качестве начальника эскадры воздушных кораблей, он тем не менее фактически оставался руководителем РБВЗ и благодаря своему огромному авторитету сохранил влияние на членов Правления, которые без ведома своего патрона не принимали ни одного важного решения. Любимым детищем Михаила Владимировича, как и прежде, было Воздухоплавательное отделение РБВЗ во главе с главным конструктором И. И. Сикорским. Значение отделения во время войны неизмеримо возросло. От положения дел в нем зависели успехи эскадры. Интересы своего военного подразделения генерал-майор соблюдал в первую очередь, а иногда и в ущерб своей коммерческой выгоде как руководителя РБВЗ. Такой патриотизм в среде российских промышленников не был исключением. Многие из них, например уже упоминавшийся В. А. Лебедев, в годы войны даже отказались от собственной прибыли в пользу государства (11230).</w:t>
      </w:r>
    </w:p>
    <w:p w14:paraId="233A2951" w14:textId="77777777" w:rsidR="00B67D7C" w:rsidRPr="00DE096C" w:rsidRDefault="00B67D7C" w:rsidP="00D45A46">
      <w:pPr>
        <w:jc w:val="both"/>
        <w:rPr>
          <w:bCs/>
          <w:color w:val="002060"/>
          <w:sz w:val="16"/>
          <w:szCs w:val="16"/>
        </w:rPr>
      </w:pPr>
      <w:r w:rsidRPr="00DE096C">
        <w:rPr>
          <w:bCs/>
          <w:color w:val="002060"/>
          <w:sz w:val="16"/>
          <w:szCs w:val="16"/>
        </w:rPr>
        <w:t>М. В. Шидловский и И. И. Сикорский давно вынашивали планы расширения Воздухоплавательного отделения РБВЗ и превращения его в хорошо оснащенный самостоятельный завод, но обстоятельства до времени не позволяли этого сделать. Заказы 1914 г. на 42 "Муромца", 45 легких самолетов Сикорского, а также на "Фарманы", воздушные винты, запчасти, отдельные мелкие элементы конструкции позволили Шидловскому выйти с предложением о расширении самолетного производства. Однако последовавшее за первым неудачным применением "Муромца" на фронте распоряжение высшего командования армии о "замораживании" заказа на 32 корабля нанесло тяжелый удар по Воздухоплавательному отделению. "Заморозка" продолжалась сравнительно недолго - 148 дней, но ее последствия сказывались несколько лет. Удачный момент для расширения предприятия был упущен (11230).</w:t>
      </w:r>
    </w:p>
    <w:p w14:paraId="094FC306" w14:textId="77777777" w:rsidR="00B67D7C" w:rsidRPr="00DE096C" w:rsidRDefault="00B67D7C" w:rsidP="00D45A46">
      <w:pPr>
        <w:jc w:val="both"/>
        <w:rPr>
          <w:bCs/>
          <w:color w:val="002060"/>
          <w:sz w:val="16"/>
          <w:szCs w:val="16"/>
        </w:rPr>
      </w:pPr>
      <w:r w:rsidRPr="00DE096C">
        <w:rPr>
          <w:bCs/>
          <w:color w:val="002060"/>
          <w:sz w:val="16"/>
          <w:szCs w:val="16"/>
        </w:rPr>
        <w:t>С отъездом на фронт главного конструктора вся тяжесть руководства производством легла на плечи молодого заведующего Воздухоплавательным отделением М. Ф. Климиксеева, соратника И. И. Сикорского еще по Киеву. Он налаживал серийное производство, строил опытные образцы, расширял производственную базу. В конце 1914 г. на предприятии были построены три новые мастерские (11230).</w:t>
      </w:r>
    </w:p>
    <w:p w14:paraId="53F9724E" w14:textId="77777777" w:rsidR="00B67D7C" w:rsidRPr="00DE096C" w:rsidRDefault="00B67D7C" w:rsidP="00D45A46">
      <w:pPr>
        <w:jc w:val="both"/>
        <w:rPr>
          <w:bCs/>
          <w:color w:val="002060"/>
          <w:sz w:val="16"/>
          <w:szCs w:val="16"/>
        </w:rPr>
      </w:pPr>
    </w:p>
    <w:p w14:paraId="5D169357" w14:textId="6A9FB82E" w:rsidR="00B67D7C" w:rsidRPr="00DE096C" w:rsidRDefault="00B67D7C" w:rsidP="00D45A46">
      <w:pPr>
        <w:jc w:val="both"/>
        <w:rPr>
          <w:bCs/>
          <w:color w:val="002060"/>
          <w:sz w:val="16"/>
          <w:szCs w:val="16"/>
        </w:rPr>
      </w:pPr>
      <w:r w:rsidRPr="00DE096C">
        <w:rPr>
          <w:bCs/>
          <w:color w:val="002060"/>
          <w:sz w:val="16"/>
          <w:szCs w:val="16"/>
        </w:rPr>
        <w:t>В 1914 г. Щетинин вместе с М.А. Щербаковьм на базе завода создал «Первое Российское общество воздухоплавания С.С. Щетинина и К°/Аэротехническое АО М.А. Щербакова и К</w:t>
      </w:r>
      <w:r w:rsidRPr="00DE096C">
        <w:rPr>
          <w:bCs/>
          <w:color w:val="002060"/>
          <w:sz w:val="16"/>
          <w:szCs w:val="16"/>
          <w:vertAlign w:val="superscript"/>
        </w:rPr>
        <w:t>0</w:t>
      </w:r>
      <w:r w:rsidRPr="00DE096C">
        <w:rPr>
          <w:bCs/>
          <w:color w:val="002060"/>
          <w:sz w:val="16"/>
          <w:szCs w:val="16"/>
        </w:rPr>
        <w:t xml:space="preserve"> - «Гамаюн».</w:t>
      </w:r>
      <w:r w:rsidRPr="00DE096C">
        <w:rPr>
          <w:bCs/>
          <w:color w:val="002060"/>
          <w:sz w:val="16"/>
          <w:szCs w:val="16"/>
          <w:vertAlign w:val="superscript"/>
        </w:rPr>
        <w:t>144</w:t>
      </w:r>
    </w:p>
    <w:p w14:paraId="461F61F9" w14:textId="77777777" w:rsidR="00B67D7C" w:rsidRPr="00DE096C" w:rsidRDefault="00B67D7C" w:rsidP="00D45A46">
      <w:pPr>
        <w:jc w:val="both"/>
        <w:rPr>
          <w:bCs/>
          <w:color w:val="002060"/>
          <w:sz w:val="16"/>
          <w:szCs w:val="16"/>
        </w:rPr>
      </w:pPr>
      <w:r w:rsidRPr="00DE096C">
        <w:rPr>
          <w:bCs/>
          <w:color w:val="002060"/>
          <w:sz w:val="16"/>
          <w:szCs w:val="16"/>
        </w:rPr>
        <w:lastRenderedPageBreak/>
        <w:t>15.08.1910 г. выполнил первый полет самолет «Россия-А» - первый отечественный самолет заводской постройки. В 1910 г. постройкой самолетов «Россия» руководил Н.В. Ребиков. С осени 1913 г. начата постройка летающих лодок Григоровича.</w:t>
      </w:r>
    </w:p>
    <w:p w14:paraId="3CFE607A" w14:textId="77777777" w:rsidR="00B67D7C" w:rsidRPr="00DE096C" w:rsidRDefault="00B67D7C" w:rsidP="00D45A46">
      <w:pPr>
        <w:jc w:val="both"/>
        <w:rPr>
          <w:bCs/>
          <w:color w:val="002060"/>
          <w:sz w:val="16"/>
          <w:szCs w:val="16"/>
        </w:rPr>
      </w:pPr>
      <w:r w:rsidRPr="00DE096C">
        <w:rPr>
          <w:bCs/>
          <w:color w:val="002060"/>
          <w:sz w:val="16"/>
          <w:szCs w:val="16"/>
        </w:rPr>
        <w:t>С 1912 г. технический директор завода - Д.П. Григорович, который в 1917 г. основал свой Опытный завод по гидроавиации, закрытый в 1919 г. Конструктор А.Н. Седельников осуществлял модификации летающих лодок Григоровича.</w:t>
      </w:r>
    </w:p>
    <w:p w14:paraId="05C80C0E" w14:textId="77777777" w:rsidR="00B67D7C" w:rsidRPr="00DE096C" w:rsidRDefault="00B67D7C" w:rsidP="00D45A46">
      <w:pPr>
        <w:jc w:val="both"/>
        <w:rPr>
          <w:bCs/>
          <w:color w:val="002060"/>
          <w:sz w:val="16"/>
          <w:szCs w:val="16"/>
        </w:rPr>
      </w:pPr>
      <w:r w:rsidRPr="00DE096C">
        <w:rPr>
          <w:bCs/>
          <w:color w:val="002060"/>
          <w:sz w:val="16"/>
          <w:szCs w:val="16"/>
        </w:rPr>
        <w:t>Созданы первые в мире: бронированный морской истребитель - летающая лодка М-11; морской торпедоносец ГАСН.</w:t>
      </w:r>
    </w:p>
    <w:p w14:paraId="66831F7E" w14:textId="77777777" w:rsidR="00B67D7C" w:rsidRPr="00DE096C" w:rsidRDefault="00B67D7C" w:rsidP="00D45A46">
      <w:pPr>
        <w:jc w:val="both"/>
        <w:rPr>
          <w:bCs/>
          <w:color w:val="002060"/>
          <w:sz w:val="16"/>
          <w:szCs w:val="16"/>
        </w:rPr>
      </w:pPr>
      <w:r w:rsidRPr="00DE096C">
        <w:rPr>
          <w:bCs/>
          <w:color w:val="002060"/>
          <w:sz w:val="16"/>
          <w:szCs w:val="16"/>
        </w:rPr>
        <w:t>Пост. ВСНХ от 28.09.1918 г. завод «Гамаюн» 1-го Российского общества воздухоплавания С.С. Щетинина был национализирован. С 17.12.1918 г. завод вошел в состав Авиаправления Секции по металлу СНХ Северного района, с 04.1919 г. - правления Северной районной группы авиазаводов. В 12.1919 г. - в ведении Главкоавиа. В 11.1920 г. вошел в состав Петроградского государственного соединённого авиазавода как авиазавод № 1 (отделение № 1). В 11.1922 г. завод вновь стал самостоятельным, подчинялся Севзапвоенпрому, с 1925 г. - в ведении «Авиатреста» ГУМП ВСНХ.</w:t>
      </w:r>
    </w:p>
    <w:p w14:paraId="4F5C1DA2" w14:textId="77777777" w:rsidR="00B67D7C" w:rsidRPr="00DE096C" w:rsidRDefault="00B67D7C" w:rsidP="00D45A46">
      <w:pPr>
        <w:jc w:val="both"/>
        <w:rPr>
          <w:bCs/>
          <w:color w:val="002060"/>
          <w:sz w:val="16"/>
          <w:szCs w:val="16"/>
        </w:rPr>
      </w:pPr>
      <w:r w:rsidRPr="00DE096C">
        <w:rPr>
          <w:bCs/>
          <w:color w:val="002060"/>
          <w:sz w:val="16"/>
          <w:szCs w:val="16"/>
        </w:rPr>
        <w:t>В 1920 г. завод полностью сгорел и был закрыт. Затем был восстановлен, в 1930 г., вероятно, опять закрыт.</w:t>
      </w:r>
      <w:r w:rsidRPr="00DE096C">
        <w:rPr>
          <w:bCs/>
          <w:color w:val="002060"/>
          <w:sz w:val="16"/>
          <w:szCs w:val="16"/>
          <w:vertAlign w:val="superscript"/>
        </w:rPr>
        <w:t>131</w:t>
      </w:r>
    </w:p>
    <w:p w14:paraId="1BE9A92B" w14:textId="77777777" w:rsidR="00B67D7C" w:rsidRPr="00DE096C" w:rsidRDefault="00B67D7C" w:rsidP="00D45A46">
      <w:pPr>
        <w:jc w:val="both"/>
        <w:rPr>
          <w:bCs/>
          <w:color w:val="002060"/>
          <w:sz w:val="16"/>
          <w:szCs w:val="16"/>
        </w:rPr>
      </w:pPr>
      <w:r w:rsidRPr="00DE096C">
        <w:rPr>
          <w:bCs/>
          <w:color w:val="002060"/>
          <w:sz w:val="16"/>
          <w:szCs w:val="16"/>
        </w:rPr>
        <w:t>Численность персонала (1915 г.)- более 900 чел.</w:t>
      </w:r>
      <w:r w:rsidRPr="00DE096C">
        <w:rPr>
          <w:bCs/>
          <w:color w:val="002060"/>
          <w:sz w:val="16"/>
          <w:szCs w:val="16"/>
          <w:vertAlign w:val="superscript"/>
        </w:rPr>
        <w:t>84</w:t>
      </w:r>
    </w:p>
    <w:p w14:paraId="6E0B9DE0" w14:textId="77777777" w:rsidR="00B67D7C" w:rsidRPr="00DE096C" w:rsidRDefault="00B67D7C" w:rsidP="00D45A46">
      <w:pPr>
        <w:jc w:val="both"/>
        <w:rPr>
          <w:bCs/>
          <w:color w:val="002060"/>
          <w:sz w:val="16"/>
          <w:szCs w:val="16"/>
        </w:rPr>
      </w:pPr>
      <w:r w:rsidRPr="00DE096C">
        <w:rPr>
          <w:bCs/>
          <w:color w:val="002060"/>
          <w:sz w:val="16"/>
          <w:szCs w:val="16"/>
        </w:rPr>
        <w:t>Технический директор (1912-17 г.) - Д.П. Григорович (М-1, -2, -3, -4, -5, -6, -7, -8, -9, -10, -11, -12, -15, -16, ГАСН).</w:t>
      </w:r>
    </w:p>
    <w:p w14:paraId="4EB4909C" w14:textId="77777777" w:rsidR="00B67D7C" w:rsidRPr="00DE096C" w:rsidRDefault="00B67D7C" w:rsidP="00D45A46">
      <w:pPr>
        <w:jc w:val="both"/>
        <w:rPr>
          <w:bCs/>
          <w:color w:val="002060"/>
          <w:sz w:val="16"/>
          <w:szCs w:val="16"/>
        </w:rPr>
      </w:pPr>
      <w:r w:rsidRPr="00DE096C">
        <w:rPr>
          <w:bCs/>
          <w:color w:val="002060"/>
          <w:sz w:val="16"/>
          <w:szCs w:val="16"/>
        </w:rPr>
        <w:t>Начальник КБ (1916 г.)- М.М. Шишмарев (ГАСН).</w:t>
      </w:r>
    </w:p>
    <w:p w14:paraId="001CA2CB" w14:textId="77777777" w:rsidR="00B67D7C" w:rsidRPr="00DE096C" w:rsidRDefault="00B67D7C" w:rsidP="00D45A46">
      <w:pPr>
        <w:jc w:val="both"/>
        <w:rPr>
          <w:bCs/>
          <w:color w:val="002060"/>
          <w:sz w:val="16"/>
          <w:szCs w:val="16"/>
        </w:rPr>
      </w:pPr>
      <w:r w:rsidRPr="00DE096C">
        <w:rPr>
          <w:bCs/>
          <w:color w:val="002060"/>
          <w:sz w:val="16"/>
          <w:szCs w:val="16"/>
        </w:rPr>
        <w:t>Зав. чертежным бюро (1913 г.) А.Н. Седельников.</w:t>
      </w:r>
    </w:p>
    <w:p w14:paraId="659DEB5C" w14:textId="77777777" w:rsidR="00B67D7C" w:rsidRPr="00DE096C" w:rsidRDefault="00B67D7C" w:rsidP="00D45A46">
      <w:pPr>
        <w:jc w:val="both"/>
        <w:rPr>
          <w:bCs/>
          <w:color w:val="002060"/>
          <w:sz w:val="16"/>
          <w:szCs w:val="16"/>
        </w:rPr>
      </w:pPr>
      <w:r w:rsidRPr="00DE096C">
        <w:rPr>
          <w:bCs/>
          <w:color w:val="002060"/>
          <w:sz w:val="16"/>
          <w:szCs w:val="16"/>
        </w:rPr>
        <w:t>Создано: гидросамолеты: М-1 (14.06.1914 г.), М-5 (01.1915 г.), М-9 (7.01.1916 г.), М-11 (22.08.1916 г.), ГАСН (6.09.1917 г.).</w:t>
      </w:r>
    </w:p>
    <w:p w14:paraId="765B094D" w14:textId="77777777" w:rsidR="00B67D7C" w:rsidRPr="00DE096C" w:rsidRDefault="00B67D7C" w:rsidP="00D45A46">
      <w:pPr>
        <w:jc w:val="both"/>
        <w:rPr>
          <w:bCs/>
          <w:color w:val="002060"/>
          <w:sz w:val="16"/>
          <w:szCs w:val="16"/>
        </w:rPr>
      </w:pPr>
      <w:r w:rsidRPr="00DE096C">
        <w:rPr>
          <w:bCs/>
          <w:color w:val="002060"/>
          <w:sz w:val="16"/>
          <w:szCs w:val="16"/>
        </w:rPr>
        <w:t>Производство: самолеты: «Россия-А» (1910)- 5, «Россия-Б» (1910)- 5, "</w:t>
      </w:r>
      <w:r w:rsidRPr="00DE096C">
        <w:rPr>
          <w:bCs/>
          <w:color w:val="002060"/>
          <w:sz w:val="16"/>
          <w:szCs w:val="16"/>
          <w:lang w:val="en-US"/>
        </w:rPr>
        <w:t>Newport</w:t>
      </w:r>
      <w:r w:rsidRPr="00DE096C">
        <w:rPr>
          <w:bCs/>
          <w:color w:val="002060"/>
          <w:sz w:val="16"/>
          <w:szCs w:val="16"/>
        </w:rPr>
        <w:t>-</w:t>
      </w:r>
      <w:r w:rsidRPr="00DE096C">
        <w:rPr>
          <w:bCs/>
          <w:color w:val="002060"/>
          <w:sz w:val="16"/>
          <w:szCs w:val="16"/>
          <w:lang w:val="en-US"/>
        </w:rPr>
        <w:t>IV</w:t>
      </w:r>
      <w:r w:rsidRPr="00DE096C">
        <w:rPr>
          <w:bCs/>
          <w:color w:val="002060"/>
          <w:sz w:val="16"/>
          <w:szCs w:val="16"/>
        </w:rPr>
        <w:t>" (1912-14)- 57, М-1 (1913)- 1, М-2 (1914)- 1, М-3 (1914)- 1, М-4 (1915)- 4, М-5 (1915-23)- 300, М-6 -1, М-7 -1, М-8 -1, С-2 (1916)- 1, М-9 (1916-)- 500, М-10 (1916)- 1, М-11 (1917-)- 60, М-12 (1916), М-15 (1916), М-16 (1916-)- 40, МК-1 (1916)- 1, ГАСН (1916)- 1 (11982).</w:t>
      </w:r>
    </w:p>
    <w:p w14:paraId="1D80D83E" w14:textId="77777777" w:rsidR="002F447D" w:rsidRPr="00DE096C" w:rsidRDefault="002F447D" w:rsidP="00D45A46">
      <w:pPr>
        <w:pStyle w:val="a3"/>
        <w:jc w:val="both"/>
        <w:rPr>
          <w:bCs/>
          <w:i w:val="0"/>
          <w:color w:val="002060"/>
          <w:spacing w:val="0"/>
          <w:kern w:val="0"/>
          <w:position w:val="0"/>
          <w:sz w:val="16"/>
          <w:szCs w:val="16"/>
        </w:rPr>
      </w:pPr>
    </w:p>
    <w:p w14:paraId="72F4935E" w14:textId="4749DF1B"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В 1914 году в Петербурге близ Комендантского аэродрома выросло несколько производственных корпусов нового завода</w:t>
      </w:r>
      <w:r w:rsidR="0080669F" w:rsidRPr="00DE096C">
        <w:rPr>
          <w:bCs/>
          <w:i w:val="0"/>
          <w:color w:val="002060"/>
          <w:spacing w:val="0"/>
          <w:kern w:val="0"/>
          <w:position w:val="0"/>
          <w:sz w:val="16"/>
          <w:szCs w:val="16"/>
        </w:rPr>
        <w:t xml:space="preserve"> Лебедева</w:t>
      </w:r>
      <w:r w:rsidRPr="00DE096C">
        <w:rPr>
          <w:bCs/>
          <w:i w:val="0"/>
          <w:color w:val="002060"/>
          <w:spacing w:val="0"/>
          <w:kern w:val="0"/>
          <w:position w:val="0"/>
          <w:sz w:val="16"/>
          <w:szCs w:val="16"/>
        </w:rPr>
        <w:t>. Первой его продукцией стали самолеты типа «Депердюссен», далее В. А. Лебедев переориентировался на выпуск «вуазенов», а затем и летающих лодок ФБА (11272).</w:t>
      </w:r>
    </w:p>
    <w:p w14:paraId="2BC67CFA" w14:textId="77777777" w:rsidR="00B67D7C" w:rsidRPr="00DE096C" w:rsidRDefault="00B67D7C" w:rsidP="00D45A46">
      <w:pPr>
        <w:pStyle w:val="a3"/>
        <w:jc w:val="both"/>
        <w:rPr>
          <w:bCs/>
          <w:i w:val="0"/>
          <w:color w:val="002060"/>
          <w:spacing w:val="0"/>
          <w:kern w:val="0"/>
          <w:position w:val="0"/>
          <w:sz w:val="16"/>
          <w:szCs w:val="16"/>
        </w:rPr>
      </w:pPr>
    </w:p>
    <w:p w14:paraId="35274D50" w14:textId="4E2C628B" w:rsidR="00B67D7C" w:rsidRPr="00DE096C" w:rsidRDefault="0080669F"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1914 году </w:t>
      </w:r>
      <w:r w:rsidRPr="00DE096C">
        <w:rPr>
          <w:bCs/>
          <w:color w:val="002060"/>
          <w:sz w:val="16"/>
          <w:szCs w:val="16"/>
        </w:rPr>
        <w:t>было основано предприятие Лнбедева, которое</w:t>
      </w:r>
      <w:r w:rsidR="00B67D7C" w:rsidRPr="00DE096C">
        <w:rPr>
          <w:bCs/>
          <w:color w:val="002060"/>
          <w:sz w:val="16"/>
          <w:szCs w:val="16"/>
        </w:rPr>
        <w:t xml:space="preserve"> специализировалось, главным образом, на выпуске одномоторных воздушных разведчиков, которых В.А.Лебедев выпускал в больших количествах и более, чем кто-либо из русских авиазаводчиков, снабжал ими фронт.</w:t>
      </w:r>
    </w:p>
    <w:p w14:paraId="3FCDCB7B" w14:textId="77777777" w:rsidR="00B67D7C" w:rsidRPr="00DE096C" w:rsidRDefault="00B67D7C" w:rsidP="00D45A46">
      <w:pPr>
        <w:jc w:val="both"/>
        <w:rPr>
          <w:bCs/>
          <w:color w:val="002060"/>
          <w:sz w:val="16"/>
          <w:szCs w:val="16"/>
        </w:rPr>
      </w:pPr>
      <w:r w:rsidRPr="00DE096C">
        <w:rPr>
          <w:bCs/>
          <w:color w:val="002060"/>
          <w:sz w:val="16"/>
          <w:szCs w:val="16"/>
        </w:rPr>
        <w:t>"Лебедь-Гранд" был значительно более совершенным, чем другие аналогичные машины: "Русский Витязь" завода Руссо-Балт, РБВЗ-С-18 и РБВЗ-С-19 того же предприятия, а также аэропланы "Анатра ДЕ" и "Анадва", построенные на заводе А.А.Анатры.</w:t>
      </w:r>
    </w:p>
    <w:p w14:paraId="55040A38" w14:textId="77777777" w:rsidR="00B67D7C" w:rsidRPr="00DE096C" w:rsidRDefault="00B67D7C" w:rsidP="00D45A46">
      <w:pPr>
        <w:jc w:val="both"/>
        <w:rPr>
          <w:bCs/>
          <w:color w:val="002060"/>
          <w:sz w:val="16"/>
          <w:szCs w:val="16"/>
        </w:rPr>
      </w:pPr>
      <w:r w:rsidRPr="00DE096C">
        <w:rPr>
          <w:bCs/>
          <w:color w:val="002060"/>
          <w:sz w:val="16"/>
          <w:szCs w:val="16"/>
        </w:rPr>
        <w:t>Автор проекта самолета Л.Д.Колпаков за время мировой войны разрабатывал всевозможные варианты подвижных пулеметных установок. Его механизмы, созданные на различных принципах подвижности, отличались широкими углами обстрела, вплоть до возможности ведения огня в зенитном положении. Практически все дуговые, шкворневые и турельные механизмы его были удачными и, что немаловажно, очень компактными. Так, наиболее известной и широко применяемой была установка со сферически-подвижной стрелковой точкой на двух секторальных шестернях. Она именовалась штанговой установкой, была самой удобной в эксплуатации и наиболее легкой по сравнению с механизмами других систем. Как разработчик стрелковых установок, Л.Д.Колпаков работал по договорам на заводе Лебедева. Помимо названных работ, Колпаков занимался конструкторской деятельностью в области самолетостроения. На том же предприятии он спроектировал и построил два самолета.</w:t>
      </w:r>
    </w:p>
    <w:p w14:paraId="1708ECB3" w14:textId="77777777" w:rsidR="00B67D7C" w:rsidRPr="00DE096C" w:rsidRDefault="00B67D7C" w:rsidP="00D45A46">
      <w:pPr>
        <w:jc w:val="both"/>
        <w:rPr>
          <w:bCs/>
          <w:color w:val="002060"/>
          <w:sz w:val="16"/>
          <w:szCs w:val="16"/>
        </w:rPr>
      </w:pPr>
      <w:r w:rsidRPr="00DE096C">
        <w:rPr>
          <w:bCs/>
          <w:color w:val="002060"/>
          <w:sz w:val="16"/>
          <w:szCs w:val="16"/>
        </w:rPr>
        <w:t>Первым был двухместный разведчик К-1 (Колпаков-1) с трофейным однорядным двигателем "Австро-Даймлер" мощностью 110 л.с. По схеме это был нормальный полутораплан с подвижной управляемой бипланной коробкой, которая на земле и в полете могла менять угол установки крыльев до 7°. На летных испытаниях летом 1916 г. этот самолет постигла участь едва ли не всех аппаратов с переменным углом установки крыльев. При первом же взлете с поднятыми крыльями самолет стал круто набирать высоту и при падении был разрушен. На этом было принято решение о прекращении работ. Летчик М.Ф.Госповский не пострадал, аппарат ремонту не подлежал.</w:t>
      </w:r>
    </w:p>
    <w:p w14:paraId="4C6D4726" w14:textId="77777777" w:rsidR="00B67D7C" w:rsidRPr="00DE096C" w:rsidRDefault="00B67D7C" w:rsidP="00D45A46">
      <w:pPr>
        <w:jc w:val="both"/>
        <w:rPr>
          <w:bCs/>
          <w:color w:val="002060"/>
          <w:sz w:val="16"/>
          <w:szCs w:val="16"/>
        </w:rPr>
      </w:pPr>
      <w:r w:rsidRPr="00DE096C">
        <w:rPr>
          <w:bCs/>
          <w:color w:val="002060"/>
          <w:sz w:val="16"/>
          <w:szCs w:val="16"/>
        </w:rPr>
        <w:t>В сентябре 1914 года, после начала Германской войны, Л.Д.Колпаков обратился в Военное ведомство с предложением о создании боевого аэроплана, предназначенного для выполнения дальней воздушной разведки, бомбардирования войск и военных объектов противника. Руководство ведомства отнеслось к этой идее положительно и, согласовав с авиационным отделом специфические тонкости, сформулировало задание, согласно которому будущий "Летающий крейсер" должен был бы иметь "скорость полета 150-160 км/ч, высоту порядка 4000-5000 м и при бомбовой нагрузке 550-600 кг...".</w:t>
      </w:r>
    </w:p>
    <w:p w14:paraId="174F5885" w14:textId="77777777" w:rsidR="00B67D7C" w:rsidRPr="00DE096C" w:rsidRDefault="00B67D7C" w:rsidP="00D45A46">
      <w:pPr>
        <w:jc w:val="both"/>
        <w:rPr>
          <w:bCs/>
          <w:color w:val="002060"/>
          <w:sz w:val="16"/>
          <w:szCs w:val="16"/>
        </w:rPr>
      </w:pPr>
      <w:r w:rsidRPr="00DE096C">
        <w:rPr>
          <w:bCs/>
          <w:color w:val="002060"/>
          <w:sz w:val="16"/>
          <w:szCs w:val="16"/>
        </w:rPr>
        <w:t>Ответ на предложение инженера-изобретателя пришел только к началу следующего года, и он при поддержке специалистов завода Лебедева разработал проект аэроплана, который был представлен и утвержден заказчиком весной 1915 года. Принятые в проекте основные геометрические параметры и расчетные весовые характеристики оказались в такой степени близкими к реальности, что практически не изменились к окончанию постройки "Лебедя-14". Отклонения были вынужденными и оказались несущественными. Первоначальная ориентация на два мотора мощностью по 150 л.с. (было отмечено в задании) привела к выбору для самолета доступных двигателей "Бенц". Под такую силовую установку был рассчитан рабочий проект, а также выпущен ознакомительный альбом для военных и смотровая (тактическая) модель. После принятия представленных документов, носивших больше рекламный характер, чем практический, выяснилось, что далеко не всегда трофейные моторы (независимо от марки) могут быть доведены до требуемой мощности в связи с отсутствием для них формуляров, инструкций и прочей эксплуатационной документации. Имевшиеся моторы были не совсем и неодинаково исправны, нуждались в ремонте и длительной доводке. Больше, чем по 140 л.с. мощности,они дать не могли. Начавшиеся поставки союзников упростили задачу оснащения крейсера нужной силовой группой. Французская фирма "Сальмсон" предложила стационарные звездообразные моторы воздушного охлаждения нужной мощности. Они и были выбраны для самолета. Прежние двигатели "Бенц" хотели было поставить между парами внутренних стоек бипланной коробки. Для устройства подмоторного крепежа стойки получили бы форму ромба при общих точках опоры на верхнем и нижнем крыльях. Двигатели должны были быть установлены на горизонтальные подмоторные брусья, лежащие посередине высоты стоек. После замены моторов Л.Д.Колпаков принял решение об устройстве двух обтекаемых мотогондол, объединяющих все агрегаты и системы винтомоторных групп. Каждая мотогондола собиралась из тянущего двухлопастного винта (d=2,9 м), начинаясь с его кока, собственно двигателя "Сальмсон", размещенного в миделевом сечении гондолы и установленного на Y-образных передних стойках бипланной коробки без моторных рам. Далее, в центральном отсеке каждой гондолы был устроен топливный бак на 420 л бензина, отделенный от двигателя противопожарной перегородкой. Внутри хвостовых обтекателей было помещено еще по одному баку, вернее -бачку, на 45 л моторного масла. Хвостовые опоры крепления мотогондол, лежащие в плоскости задних лонжеронных крыльев, имели V-образную форму и были составлены из алюминиевых труб каплевидного сечения, аналогично Y-образным стойкам, на которых висели двигатели. Для передачи силы тяги ВМГ на конструкцию аэроплана к переднему лонжерону нижнего крыла были прикреплены два подкоса. Передний подкос, работающий на растяжение, шел от первого шпангоута гондолы, по оси которого был заделан люнет для удлиненного вала, передающего обороты на пропеллер. Задний подкос работал на сжатие, он разгружал хвостовое крепление гондолы, т.е. Y-образную стойку крыльев, которая при даче газа работала на изгиб. Таким образом, наиболее сложно нагруженными точками конструкции самолета были узлы переднего лонжерона нижнего крыла, к которым подходили и крепились передние стержни стоек шасси (снизу), а внутри крыла была установлена еще и усиленная нервюра. Поэтому, в центральной части нижнего крыла элементы конструкции были усилены, выполнены более мощными (за счет включения стальных накладок, уголков и фитингов), чем в остальных регулярных зонах по размаху. По рекомендации профессора С.П.Тимошенко, центральная клетка бипланной коробки получила дополнительное усиление набором диагональных растяжек. Все пролеты между стойками также были расчалены по диагоналям стальными лентами. Концевые вылеты верхнего крыла были поддержаны подкосами от нижних заделок крайних вертикальных стоек и дополнительно подкреплены контрподкосами. Конструкция крыльев - деревянная, с полотняной обтяжкой. Элероны были только на верхнем крыле. Двухколесное шасси имело опорные стойки, установленные под нижним крылом в плоскости каждой мотогондолы на расстоянии от оси самолета 2,15 м. Между днищем фюзеляжа и полувилками пневматиков были установлены Y-образные подкосы, качающиеся вокруг шарниров заделки в корпусе при движении аппарата по неровному грунту. Мощные многовитковые резиновые амортизаторы, стягивающие передние и задние стержни стоек шасси, допускали возможные перемещения колес при осадке в пределах 220-250 мм. Ход за счет обжатия пневматиков был незначительным, а поэтому нерасчетным. Колеса (900x120 мм) имели ободы, сделанные из гнутого ясеня и легкие алюминиевые колпаки (6=3 мм), которые закрыли с двух сторон спицы каждого колеса и крепились к ободам на 8-ми винтах. Хвостовое оперение состояло из киля, стабилизатора и рулей, имевших нарочито округлые формы передних и задних кромок, включая и осевую компенсацию руля поворота.</w:t>
      </w:r>
    </w:p>
    <w:p w14:paraId="5A03A661" w14:textId="77777777" w:rsidR="00B67D7C" w:rsidRPr="00DE096C" w:rsidRDefault="00B67D7C" w:rsidP="00D45A46">
      <w:pPr>
        <w:jc w:val="both"/>
        <w:rPr>
          <w:bCs/>
          <w:color w:val="002060"/>
          <w:sz w:val="16"/>
          <w:szCs w:val="16"/>
        </w:rPr>
      </w:pPr>
      <w:r w:rsidRPr="00DE096C">
        <w:rPr>
          <w:bCs/>
          <w:color w:val="002060"/>
          <w:sz w:val="16"/>
          <w:szCs w:val="16"/>
        </w:rPr>
        <w:t>Фюзеляж состоял из двух деревянных монококовых частей (впервые в России для крупных самолетов). Передняя его часть имела наружные обводы двойной кривизны, каркас состоял из семи шпангоутов и набора стрингеров, четыре из которых были усилены и фактически выполняли функцию лонжеронов. На двух нижних продольных брусьях был постлан пол в кабинах переднего стрелка и летчика. В пределах рабочего места аэрофотографа пол был приопущен для удобства воздушной съемки через бортовые иллюминаторы. Задняя часть фюзеляжа имела также монококовую конструкцию и соединялась с головной частью фланцевым стыком. Она была набрана из десяти шпангоутов и комплекта разновеликих стрингеров. У самого стыкового фланца была устроена кабина для заднего стрелка. Все члены экипажа занимали свои места, пользуясь открытыми проемами. У фотографа был еще нижний аварийный люк, который мог применяться как окно для ручного бомбометания. Стрелковое вооружение "Лебедя-Гранда" состояло из трех пулеметов. В одном из проектных вариантов вооружения значилась пушка калибра 37 мм и два пулемета. Управление элеронами и рулевыми поверхностями хвостового оперения -тросовое, с прокладкой силовых коммуникаций внутри обшивки крыльев и фюзеляжа.</w:t>
      </w:r>
    </w:p>
    <w:p w14:paraId="5912BCB1" w14:textId="77777777" w:rsidR="00B67D7C" w:rsidRPr="00DE096C" w:rsidRDefault="00B67D7C" w:rsidP="00D45A46">
      <w:pPr>
        <w:jc w:val="both"/>
        <w:rPr>
          <w:bCs/>
          <w:color w:val="002060"/>
          <w:sz w:val="16"/>
          <w:szCs w:val="16"/>
        </w:rPr>
      </w:pPr>
      <w:r w:rsidRPr="00DE096C">
        <w:rPr>
          <w:bCs/>
          <w:color w:val="002060"/>
          <w:sz w:val="16"/>
          <w:szCs w:val="16"/>
        </w:rPr>
        <w:lastRenderedPageBreak/>
        <w:t>В целом, конструкция аэроплана была тщательно продумана и добротно выполнена в производстве. "Лебедь-Гранд" обладал хорошей аэродинамикой и полноценным вооружением, будучи ярко выраженным типом дальнего разведчика или среднего бомбардировщика, в зависимости от назначения, вариантов целевого оснащения и боевой нагрузки.</w:t>
      </w:r>
    </w:p>
    <w:p w14:paraId="3EDDA9E4" w14:textId="77777777" w:rsidR="00B67D7C" w:rsidRPr="00DE096C" w:rsidRDefault="00B67D7C" w:rsidP="00D45A46">
      <w:pPr>
        <w:jc w:val="both"/>
        <w:rPr>
          <w:bCs/>
          <w:color w:val="002060"/>
          <w:sz w:val="16"/>
          <w:szCs w:val="16"/>
        </w:rPr>
      </w:pPr>
      <w:r w:rsidRPr="00DE096C">
        <w:rPr>
          <w:bCs/>
          <w:color w:val="002060"/>
          <w:sz w:val="16"/>
          <w:szCs w:val="16"/>
        </w:rPr>
        <w:t>Однако, ему не удалось показать себя ни в одном из боевых качеств, предписанных заказчиками и создателями еще на стадии проектирования.</w:t>
      </w:r>
    </w:p>
    <w:p w14:paraId="58CB76A1" w14:textId="77777777" w:rsidR="00B67D7C" w:rsidRPr="00DE096C" w:rsidRDefault="00B67D7C" w:rsidP="00D45A46">
      <w:pPr>
        <w:jc w:val="both"/>
        <w:rPr>
          <w:bCs/>
          <w:color w:val="002060"/>
          <w:sz w:val="16"/>
          <w:szCs w:val="16"/>
        </w:rPr>
      </w:pPr>
      <w:r w:rsidRPr="00DE096C">
        <w:rPr>
          <w:bCs/>
          <w:color w:val="002060"/>
          <w:sz w:val="16"/>
          <w:szCs w:val="16"/>
        </w:rPr>
        <w:t>Постройка аппарата началась в середине 1916 года и продолжалась до второй половины 1917 года. Начавшиеся летные испытания до конца доведены не были, однако, было выявлено, что центровка машины была неудовлетворительной. На вооружение армии самолет, естественно, принят не был. Имевшиеся в конструкции недостатки можно было устранить, но отрицательное отношение Военного ведомства к машинам большого тоннажа не дало возможности довести "Лебедя-Гранда" до серийного производства. Ко всему прочему, политические события в Петрограде, да и в России в целом, не позволили проводить дальнейшее совершенствование авиационной техники. Обрушившийся на Российскую империю всеобщий крах выбил авиацию "как класс" на полных 6-7 лет, пока в 1923-24 гг. не начали появляться вновь первые низкопробные любительские авиетки и на верные 10-12 лет, пока в стране не появились первые крупносерийные самолеты, достойные всеобщего уважения.</w:t>
      </w:r>
    </w:p>
    <w:p w14:paraId="1092E06C" w14:textId="77777777" w:rsidR="00B67D7C" w:rsidRPr="00DE096C" w:rsidRDefault="00B67D7C" w:rsidP="00D45A46">
      <w:pPr>
        <w:jc w:val="both"/>
        <w:rPr>
          <w:bCs/>
          <w:color w:val="002060"/>
          <w:sz w:val="16"/>
          <w:szCs w:val="16"/>
        </w:rPr>
      </w:pPr>
      <w:r w:rsidRPr="00DE096C">
        <w:rPr>
          <w:bCs/>
          <w:color w:val="002060"/>
          <w:sz w:val="16"/>
          <w:szCs w:val="16"/>
        </w:rPr>
        <w:t>"Большой истребитель" инженера Л.Д.Колпакова-Мирошниченко стал "Лебединой песней" российской дореволюционной авиации</w:t>
      </w:r>
    </w:p>
    <w:p w14:paraId="6DB85238" w14:textId="77777777" w:rsidR="00B67D7C" w:rsidRPr="00DE096C" w:rsidRDefault="00B67D7C" w:rsidP="00D45A46">
      <w:pPr>
        <w:jc w:val="both"/>
        <w:rPr>
          <w:bCs/>
          <w:color w:val="002060"/>
          <w:sz w:val="16"/>
          <w:szCs w:val="16"/>
        </w:rPr>
      </w:pPr>
      <w:r w:rsidRPr="00DE096C">
        <w:rPr>
          <w:bCs/>
          <w:color w:val="002060"/>
          <w:sz w:val="16"/>
          <w:szCs w:val="16"/>
        </w:rPr>
        <w:t>Сам конструктор заявил о себе спустя несколько лет. В 1926 году появился его легкий бомбардировщик ЛБ-2ЛД. Он проходил летные испытания, но дальнейшего развития не получил в связи с появлением ТБ-1 А.Н.Туполева. Самолет во многом напоминал "Лебедь-Гранд".</w:t>
      </w:r>
    </w:p>
    <w:tbl>
      <w:tblPr>
        <w:tblW w:w="0" w:type="auto"/>
        <w:tblLayout w:type="fixed"/>
        <w:tblCellMar>
          <w:left w:w="0" w:type="dxa"/>
          <w:right w:w="0" w:type="dxa"/>
        </w:tblCellMar>
        <w:tblLook w:val="0000" w:firstRow="0" w:lastRow="0" w:firstColumn="0" w:lastColumn="0" w:noHBand="0" w:noVBand="0"/>
      </w:tblPr>
      <w:tblGrid>
        <w:gridCol w:w="5045"/>
        <w:gridCol w:w="4314"/>
      </w:tblGrid>
      <w:tr w:rsidR="00B67D7C" w:rsidRPr="00DE096C" w14:paraId="037AEB38" w14:textId="77777777" w:rsidTr="00C2024A">
        <w:tc>
          <w:tcPr>
            <w:tcW w:w="9359" w:type="dxa"/>
            <w:gridSpan w:val="2"/>
          </w:tcPr>
          <w:p w14:paraId="53371705" w14:textId="77777777" w:rsidR="00B67D7C" w:rsidRPr="00DE096C" w:rsidRDefault="00B67D7C" w:rsidP="00D45A46">
            <w:pPr>
              <w:jc w:val="both"/>
              <w:rPr>
                <w:bCs/>
                <w:color w:val="002060"/>
                <w:sz w:val="16"/>
                <w:szCs w:val="16"/>
              </w:rPr>
            </w:pPr>
            <w:r w:rsidRPr="00DE096C">
              <w:rPr>
                <w:bCs/>
                <w:color w:val="002060"/>
                <w:sz w:val="16"/>
                <w:szCs w:val="16"/>
              </w:rPr>
              <w:t>Основные летно-тактические характеристики самолета "Лебедь-Гранд"</w:t>
            </w:r>
          </w:p>
        </w:tc>
      </w:tr>
      <w:tr w:rsidR="00B67D7C" w:rsidRPr="00DE096C" w14:paraId="5D9FC955" w14:textId="77777777" w:rsidTr="00C2024A">
        <w:tc>
          <w:tcPr>
            <w:tcW w:w="5045" w:type="dxa"/>
            <w:tcBorders>
              <w:top w:val="single" w:sz="12" w:space="0" w:color="auto"/>
              <w:left w:val="single" w:sz="12" w:space="0" w:color="auto"/>
              <w:bottom w:val="single" w:sz="6" w:space="0" w:color="auto"/>
              <w:right w:val="single" w:sz="6" w:space="0" w:color="auto"/>
            </w:tcBorders>
          </w:tcPr>
          <w:p w14:paraId="1D9E7300" w14:textId="77777777" w:rsidR="00B67D7C" w:rsidRPr="00DE096C" w:rsidRDefault="00B67D7C" w:rsidP="00D45A46">
            <w:pPr>
              <w:jc w:val="both"/>
              <w:rPr>
                <w:bCs/>
                <w:color w:val="002060"/>
                <w:sz w:val="16"/>
                <w:szCs w:val="16"/>
              </w:rPr>
            </w:pPr>
            <w:r w:rsidRPr="00DE096C">
              <w:rPr>
                <w:bCs/>
                <w:color w:val="002060"/>
                <w:sz w:val="16"/>
                <w:szCs w:val="16"/>
              </w:rPr>
              <w:t>Самолет</w:t>
            </w:r>
          </w:p>
        </w:tc>
        <w:tc>
          <w:tcPr>
            <w:tcW w:w="4314" w:type="dxa"/>
            <w:tcBorders>
              <w:top w:val="single" w:sz="12" w:space="0" w:color="auto"/>
              <w:left w:val="single" w:sz="6" w:space="0" w:color="auto"/>
              <w:bottom w:val="single" w:sz="6" w:space="0" w:color="auto"/>
              <w:right w:val="single" w:sz="12" w:space="0" w:color="auto"/>
            </w:tcBorders>
          </w:tcPr>
          <w:p w14:paraId="62AE8E8E" w14:textId="77777777" w:rsidR="00B67D7C" w:rsidRPr="00DE096C" w:rsidRDefault="00B67D7C" w:rsidP="00D45A46">
            <w:pPr>
              <w:jc w:val="both"/>
              <w:rPr>
                <w:bCs/>
                <w:color w:val="002060"/>
                <w:sz w:val="16"/>
                <w:szCs w:val="16"/>
              </w:rPr>
            </w:pPr>
            <w:r w:rsidRPr="00DE096C">
              <w:rPr>
                <w:bCs/>
                <w:color w:val="002060"/>
                <w:sz w:val="16"/>
                <w:szCs w:val="16"/>
              </w:rPr>
              <w:t>"Лебедь-Гранд"</w:t>
            </w:r>
          </w:p>
        </w:tc>
      </w:tr>
      <w:tr w:rsidR="00B67D7C" w:rsidRPr="00DE096C" w14:paraId="50AED931" w14:textId="77777777" w:rsidTr="00C2024A">
        <w:tc>
          <w:tcPr>
            <w:tcW w:w="5045" w:type="dxa"/>
            <w:tcBorders>
              <w:top w:val="single" w:sz="6" w:space="0" w:color="auto"/>
              <w:left w:val="single" w:sz="12" w:space="0" w:color="auto"/>
              <w:bottom w:val="single" w:sz="6" w:space="0" w:color="auto"/>
              <w:right w:val="single" w:sz="6" w:space="0" w:color="auto"/>
            </w:tcBorders>
          </w:tcPr>
          <w:p w14:paraId="55FBA35C" w14:textId="77777777" w:rsidR="00B67D7C" w:rsidRPr="00DE096C" w:rsidRDefault="00B67D7C" w:rsidP="00D45A46">
            <w:pPr>
              <w:jc w:val="both"/>
              <w:rPr>
                <w:bCs/>
                <w:color w:val="002060"/>
                <w:sz w:val="16"/>
                <w:szCs w:val="16"/>
              </w:rPr>
            </w:pPr>
            <w:r w:rsidRPr="00DE096C">
              <w:rPr>
                <w:bCs/>
                <w:color w:val="002060"/>
                <w:sz w:val="16"/>
                <w:szCs w:val="16"/>
              </w:rPr>
              <w:t>Год выпуска</w:t>
            </w:r>
          </w:p>
        </w:tc>
        <w:tc>
          <w:tcPr>
            <w:tcW w:w="4314" w:type="dxa"/>
            <w:tcBorders>
              <w:top w:val="single" w:sz="6" w:space="0" w:color="auto"/>
              <w:left w:val="single" w:sz="6" w:space="0" w:color="auto"/>
              <w:bottom w:val="single" w:sz="6" w:space="0" w:color="auto"/>
              <w:right w:val="single" w:sz="12" w:space="0" w:color="auto"/>
            </w:tcBorders>
          </w:tcPr>
          <w:p w14:paraId="31B6E653" w14:textId="77777777" w:rsidR="00B67D7C" w:rsidRPr="00DE096C" w:rsidRDefault="00B67D7C" w:rsidP="00D45A46">
            <w:pPr>
              <w:jc w:val="both"/>
              <w:rPr>
                <w:bCs/>
                <w:color w:val="002060"/>
                <w:sz w:val="16"/>
                <w:szCs w:val="16"/>
              </w:rPr>
            </w:pPr>
            <w:r w:rsidRPr="00DE096C">
              <w:rPr>
                <w:bCs/>
                <w:color w:val="002060"/>
                <w:sz w:val="16"/>
                <w:szCs w:val="16"/>
              </w:rPr>
              <w:t>1917</w:t>
            </w:r>
          </w:p>
        </w:tc>
      </w:tr>
      <w:tr w:rsidR="00B67D7C" w:rsidRPr="00DE096C" w14:paraId="2574E6CF" w14:textId="77777777" w:rsidTr="00C2024A">
        <w:tc>
          <w:tcPr>
            <w:tcW w:w="5045" w:type="dxa"/>
            <w:tcBorders>
              <w:top w:val="single" w:sz="6" w:space="0" w:color="auto"/>
              <w:left w:val="single" w:sz="12" w:space="0" w:color="auto"/>
              <w:bottom w:val="single" w:sz="6" w:space="0" w:color="auto"/>
              <w:right w:val="single" w:sz="6" w:space="0" w:color="auto"/>
            </w:tcBorders>
          </w:tcPr>
          <w:p w14:paraId="5ECEFAE0" w14:textId="77777777" w:rsidR="00B67D7C" w:rsidRPr="00DE096C" w:rsidRDefault="00B67D7C" w:rsidP="00D45A46">
            <w:pPr>
              <w:jc w:val="both"/>
              <w:rPr>
                <w:bCs/>
                <w:color w:val="002060"/>
                <w:sz w:val="16"/>
                <w:szCs w:val="16"/>
              </w:rPr>
            </w:pPr>
            <w:r w:rsidRPr="00DE096C">
              <w:rPr>
                <w:bCs/>
                <w:color w:val="002060"/>
                <w:sz w:val="16"/>
                <w:szCs w:val="16"/>
              </w:rPr>
              <w:t>Заводское обозначение</w:t>
            </w:r>
          </w:p>
        </w:tc>
        <w:tc>
          <w:tcPr>
            <w:tcW w:w="4314" w:type="dxa"/>
            <w:tcBorders>
              <w:top w:val="single" w:sz="6" w:space="0" w:color="auto"/>
              <w:left w:val="single" w:sz="6" w:space="0" w:color="auto"/>
              <w:bottom w:val="single" w:sz="6" w:space="0" w:color="auto"/>
              <w:right w:val="single" w:sz="12" w:space="0" w:color="auto"/>
            </w:tcBorders>
          </w:tcPr>
          <w:p w14:paraId="457B478E" w14:textId="77777777" w:rsidR="00B67D7C" w:rsidRPr="00DE096C" w:rsidRDefault="00B67D7C" w:rsidP="00D45A46">
            <w:pPr>
              <w:jc w:val="both"/>
              <w:rPr>
                <w:bCs/>
                <w:color w:val="002060"/>
                <w:sz w:val="16"/>
                <w:szCs w:val="16"/>
              </w:rPr>
            </w:pPr>
            <w:r w:rsidRPr="00DE096C">
              <w:rPr>
                <w:bCs/>
                <w:color w:val="002060"/>
                <w:sz w:val="16"/>
                <w:szCs w:val="16"/>
              </w:rPr>
              <w:t>Л-14</w:t>
            </w:r>
          </w:p>
        </w:tc>
      </w:tr>
      <w:tr w:rsidR="00B67D7C" w:rsidRPr="00DE096C" w14:paraId="6CA68285" w14:textId="77777777" w:rsidTr="00C2024A">
        <w:tc>
          <w:tcPr>
            <w:tcW w:w="5045" w:type="dxa"/>
            <w:tcBorders>
              <w:top w:val="single" w:sz="6" w:space="0" w:color="auto"/>
              <w:left w:val="single" w:sz="12" w:space="0" w:color="auto"/>
              <w:bottom w:val="single" w:sz="6" w:space="0" w:color="auto"/>
              <w:right w:val="single" w:sz="6" w:space="0" w:color="auto"/>
            </w:tcBorders>
          </w:tcPr>
          <w:p w14:paraId="10C74CF9" w14:textId="77777777" w:rsidR="00B67D7C" w:rsidRPr="00DE096C" w:rsidRDefault="00B67D7C" w:rsidP="00D45A46">
            <w:pPr>
              <w:jc w:val="both"/>
              <w:rPr>
                <w:bCs/>
                <w:color w:val="002060"/>
                <w:sz w:val="16"/>
                <w:szCs w:val="16"/>
              </w:rPr>
            </w:pPr>
            <w:r w:rsidRPr="00DE096C">
              <w:rPr>
                <w:bCs/>
                <w:color w:val="002060"/>
                <w:sz w:val="16"/>
                <w:szCs w:val="16"/>
              </w:rPr>
              <w:t>Силовая установка</w:t>
            </w:r>
          </w:p>
        </w:tc>
        <w:tc>
          <w:tcPr>
            <w:tcW w:w="4314" w:type="dxa"/>
            <w:tcBorders>
              <w:top w:val="single" w:sz="6" w:space="0" w:color="auto"/>
              <w:left w:val="single" w:sz="6" w:space="0" w:color="auto"/>
              <w:bottom w:val="single" w:sz="6" w:space="0" w:color="auto"/>
              <w:right w:val="single" w:sz="12" w:space="0" w:color="auto"/>
            </w:tcBorders>
          </w:tcPr>
          <w:p w14:paraId="48E0A1A8" w14:textId="77777777" w:rsidR="00B67D7C" w:rsidRPr="00DE096C" w:rsidRDefault="00B67D7C" w:rsidP="00D45A46">
            <w:pPr>
              <w:jc w:val="both"/>
              <w:rPr>
                <w:bCs/>
                <w:color w:val="002060"/>
                <w:sz w:val="16"/>
                <w:szCs w:val="16"/>
              </w:rPr>
            </w:pPr>
            <w:r w:rsidRPr="00DE096C">
              <w:rPr>
                <w:bCs/>
                <w:color w:val="002060"/>
                <w:sz w:val="16"/>
                <w:szCs w:val="16"/>
              </w:rPr>
              <w:t>2х"Сальмсон"</w:t>
            </w:r>
          </w:p>
        </w:tc>
      </w:tr>
      <w:tr w:rsidR="00B67D7C" w:rsidRPr="00DE096C" w14:paraId="75E3634E" w14:textId="77777777" w:rsidTr="00C2024A">
        <w:tc>
          <w:tcPr>
            <w:tcW w:w="5045" w:type="dxa"/>
            <w:tcBorders>
              <w:top w:val="single" w:sz="6" w:space="0" w:color="auto"/>
              <w:left w:val="single" w:sz="12" w:space="0" w:color="auto"/>
              <w:bottom w:val="single" w:sz="6" w:space="0" w:color="auto"/>
              <w:right w:val="single" w:sz="6" w:space="0" w:color="auto"/>
            </w:tcBorders>
          </w:tcPr>
          <w:p w14:paraId="4AEA1603" w14:textId="77777777" w:rsidR="00B67D7C" w:rsidRPr="00DE096C" w:rsidRDefault="00B67D7C" w:rsidP="00D45A46">
            <w:pPr>
              <w:jc w:val="both"/>
              <w:rPr>
                <w:bCs/>
                <w:color w:val="002060"/>
                <w:sz w:val="16"/>
                <w:szCs w:val="16"/>
              </w:rPr>
            </w:pPr>
            <w:r w:rsidRPr="00DE096C">
              <w:rPr>
                <w:bCs/>
                <w:color w:val="002060"/>
                <w:sz w:val="16"/>
                <w:szCs w:val="16"/>
              </w:rPr>
              <w:t>Мощность максимальная, л. с.</w:t>
            </w:r>
          </w:p>
        </w:tc>
        <w:tc>
          <w:tcPr>
            <w:tcW w:w="4314" w:type="dxa"/>
            <w:tcBorders>
              <w:top w:val="single" w:sz="6" w:space="0" w:color="auto"/>
              <w:left w:val="single" w:sz="6" w:space="0" w:color="auto"/>
              <w:bottom w:val="single" w:sz="6" w:space="0" w:color="auto"/>
              <w:right w:val="single" w:sz="12" w:space="0" w:color="auto"/>
            </w:tcBorders>
          </w:tcPr>
          <w:p w14:paraId="115B47EF" w14:textId="77777777" w:rsidR="00B67D7C" w:rsidRPr="00DE096C" w:rsidRDefault="00B67D7C" w:rsidP="00D45A46">
            <w:pPr>
              <w:jc w:val="both"/>
              <w:rPr>
                <w:bCs/>
                <w:color w:val="002060"/>
                <w:sz w:val="16"/>
                <w:szCs w:val="16"/>
              </w:rPr>
            </w:pPr>
            <w:r w:rsidRPr="00DE096C">
              <w:rPr>
                <w:bCs/>
                <w:color w:val="002060"/>
                <w:sz w:val="16"/>
                <w:szCs w:val="16"/>
              </w:rPr>
              <w:t>2x150</w:t>
            </w:r>
          </w:p>
        </w:tc>
      </w:tr>
      <w:tr w:rsidR="00B67D7C" w:rsidRPr="00DE096C" w14:paraId="22A3761E" w14:textId="77777777" w:rsidTr="00C2024A">
        <w:tc>
          <w:tcPr>
            <w:tcW w:w="5045" w:type="dxa"/>
            <w:tcBorders>
              <w:top w:val="single" w:sz="6" w:space="0" w:color="auto"/>
              <w:left w:val="single" w:sz="12" w:space="0" w:color="auto"/>
              <w:bottom w:val="single" w:sz="6" w:space="0" w:color="auto"/>
              <w:right w:val="single" w:sz="6" w:space="0" w:color="auto"/>
            </w:tcBorders>
          </w:tcPr>
          <w:p w14:paraId="2F658C1E" w14:textId="77777777" w:rsidR="00B67D7C" w:rsidRPr="00DE096C" w:rsidRDefault="00B67D7C" w:rsidP="00D45A46">
            <w:pPr>
              <w:jc w:val="both"/>
              <w:rPr>
                <w:bCs/>
                <w:color w:val="002060"/>
                <w:sz w:val="16"/>
                <w:szCs w:val="16"/>
              </w:rPr>
            </w:pPr>
            <w:r w:rsidRPr="00DE096C">
              <w:rPr>
                <w:bCs/>
                <w:color w:val="002060"/>
                <w:sz w:val="16"/>
                <w:szCs w:val="16"/>
              </w:rPr>
              <w:t>Скорость максимальная, км/ч</w:t>
            </w:r>
          </w:p>
        </w:tc>
        <w:tc>
          <w:tcPr>
            <w:tcW w:w="4314" w:type="dxa"/>
            <w:tcBorders>
              <w:top w:val="single" w:sz="6" w:space="0" w:color="auto"/>
              <w:left w:val="single" w:sz="6" w:space="0" w:color="auto"/>
              <w:bottom w:val="single" w:sz="6" w:space="0" w:color="auto"/>
              <w:right w:val="single" w:sz="12" w:space="0" w:color="auto"/>
            </w:tcBorders>
          </w:tcPr>
          <w:p w14:paraId="65BD1A36" w14:textId="77777777" w:rsidR="00B67D7C" w:rsidRPr="00DE096C" w:rsidRDefault="00B67D7C" w:rsidP="00D45A46">
            <w:pPr>
              <w:jc w:val="both"/>
              <w:rPr>
                <w:bCs/>
                <w:color w:val="002060"/>
                <w:sz w:val="16"/>
                <w:szCs w:val="16"/>
              </w:rPr>
            </w:pPr>
            <w:r w:rsidRPr="00DE096C">
              <w:rPr>
                <w:bCs/>
                <w:color w:val="002060"/>
                <w:sz w:val="16"/>
                <w:szCs w:val="16"/>
              </w:rPr>
              <w:t>140</w:t>
            </w:r>
          </w:p>
        </w:tc>
      </w:tr>
      <w:tr w:rsidR="00B67D7C" w:rsidRPr="00DE096C" w14:paraId="53BA9786" w14:textId="77777777" w:rsidTr="00C2024A">
        <w:tc>
          <w:tcPr>
            <w:tcW w:w="5045" w:type="dxa"/>
            <w:tcBorders>
              <w:top w:val="single" w:sz="6" w:space="0" w:color="auto"/>
              <w:left w:val="single" w:sz="12" w:space="0" w:color="auto"/>
              <w:bottom w:val="single" w:sz="6" w:space="0" w:color="auto"/>
              <w:right w:val="single" w:sz="6" w:space="0" w:color="auto"/>
            </w:tcBorders>
          </w:tcPr>
          <w:p w14:paraId="73F710F9" w14:textId="77777777" w:rsidR="00B67D7C" w:rsidRPr="00DE096C" w:rsidRDefault="00B67D7C" w:rsidP="00D45A46">
            <w:pPr>
              <w:jc w:val="both"/>
              <w:rPr>
                <w:bCs/>
                <w:color w:val="002060"/>
                <w:sz w:val="16"/>
                <w:szCs w:val="16"/>
              </w:rPr>
            </w:pPr>
            <w:r w:rsidRPr="00DE096C">
              <w:rPr>
                <w:bCs/>
                <w:color w:val="002060"/>
                <w:sz w:val="16"/>
                <w:szCs w:val="16"/>
              </w:rPr>
              <w:t>Потолок практический, м</w:t>
            </w:r>
          </w:p>
        </w:tc>
        <w:tc>
          <w:tcPr>
            <w:tcW w:w="4314" w:type="dxa"/>
            <w:tcBorders>
              <w:top w:val="single" w:sz="6" w:space="0" w:color="auto"/>
              <w:left w:val="single" w:sz="6" w:space="0" w:color="auto"/>
              <w:bottom w:val="single" w:sz="6" w:space="0" w:color="auto"/>
              <w:right w:val="single" w:sz="12" w:space="0" w:color="auto"/>
            </w:tcBorders>
          </w:tcPr>
          <w:p w14:paraId="68530383" w14:textId="77777777" w:rsidR="00B67D7C" w:rsidRPr="00DE096C" w:rsidRDefault="00B67D7C" w:rsidP="00D45A46">
            <w:pPr>
              <w:jc w:val="both"/>
              <w:rPr>
                <w:bCs/>
                <w:color w:val="002060"/>
                <w:sz w:val="16"/>
                <w:szCs w:val="16"/>
              </w:rPr>
            </w:pPr>
            <w:r w:rsidRPr="00DE096C">
              <w:rPr>
                <w:bCs/>
                <w:color w:val="002060"/>
                <w:sz w:val="16"/>
                <w:szCs w:val="16"/>
              </w:rPr>
              <w:t>4000</w:t>
            </w:r>
          </w:p>
        </w:tc>
      </w:tr>
      <w:tr w:rsidR="00B67D7C" w:rsidRPr="00DE096C" w14:paraId="74275589" w14:textId="77777777" w:rsidTr="00C2024A">
        <w:tc>
          <w:tcPr>
            <w:tcW w:w="5045" w:type="dxa"/>
            <w:tcBorders>
              <w:top w:val="single" w:sz="6" w:space="0" w:color="auto"/>
              <w:left w:val="single" w:sz="12" w:space="0" w:color="auto"/>
              <w:bottom w:val="single" w:sz="6" w:space="0" w:color="auto"/>
              <w:right w:val="single" w:sz="6" w:space="0" w:color="auto"/>
            </w:tcBorders>
          </w:tcPr>
          <w:p w14:paraId="3853CED7" w14:textId="77777777" w:rsidR="00B67D7C" w:rsidRPr="00DE096C" w:rsidRDefault="00B67D7C" w:rsidP="00D45A46">
            <w:pPr>
              <w:jc w:val="both"/>
              <w:rPr>
                <w:bCs/>
                <w:color w:val="002060"/>
                <w:sz w:val="16"/>
                <w:szCs w:val="16"/>
              </w:rPr>
            </w:pPr>
            <w:r w:rsidRPr="00DE096C">
              <w:rPr>
                <w:bCs/>
                <w:color w:val="002060"/>
                <w:sz w:val="16"/>
                <w:szCs w:val="16"/>
              </w:rPr>
              <w:t>Продолжительность полета, ч</w:t>
            </w:r>
          </w:p>
        </w:tc>
        <w:tc>
          <w:tcPr>
            <w:tcW w:w="4314" w:type="dxa"/>
            <w:tcBorders>
              <w:top w:val="single" w:sz="6" w:space="0" w:color="auto"/>
              <w:left w:val="single" w:sz="6" w:space="0" w:color="auto"/>
              <w:bottom w:val="single" w:sz="6" w:space="0" w:color="auto"/>
              <w:right w:val="single" w:sz="12" w:space="0" w:color="auto"/>
            </w:tcBorders>
          </w:tcPr>
          <w:p w14:paraId="0232DBCF" w14:textId="77777777" w:rsidR="00B67D7C" w:rsidRPr="00DE096C" w:rsidRDefault="00B67D7C" w:rsidP="00D45A46">
            <w:pPr>
              <w:jc w:val="both"/>
              <w:rPr>
                <w:bCs/>
                <w:color w:val="002060"/>
                <w:sz w:val="16"/>
                <w:szCs w:val="16"/>
              </w:rPr>
            </w:pPr>
            <w:r w:rsidRPr="00DE096C">
              <w:rPr>
                <w:bCs/>
                <w:color w:val="002060"/>
                <w:sz w:val="16"/>
                <w:szCs w:val="16"/>
              </w:rPr>
              <w:t>4-5</w:t>
            </w:r>
          </w:p>
        </w:tc>
      </w:tr>
      <w:tr w:rsidR="00B67D7C" w:rsidRPr="00DE096C" w14:paraId="602037C9" w14:textId="77777777" w:rsidTr="00C2024A">
        <w:tc>
          <w:tcPr>
            <w:tcW w:w="5045" w:type="dxa"/>
            <w:tcBorders>
              <w:top w:val="single" w:sz="6" w:space="0" w:color="auto"/>
              <w:left w:val="single" w:sz="12" w:space="0" w:color="auto"/>
              <w:bottom w:val="single" w:sz="6" w:space="0" w:color="auto"/>
              <w:right w:val="single" w:sz="6" w:space="0" w:color="auto"/>
            </w:tcBorders>
          </w:tcPr>
          <w:p w14:paraId="24095199" w14:textId="77777777" w:rsidR="00B67D7C" w:rsidRPr="00DE096C" w:rsidRDefault="00B67D7C" w:rsidP="00D45A46">
            <w:pPr>
              <w:jc w:val="both"/>
              <w:rPr>
                <w:bCs/>
                <w:color w:val="002060"/>
                <w:sz w:val="16"/>
                <w:szCs w:val="16"/>
              </w:rPr>
            </w:pPr>
            <w:r w:rsidRPr="00DE096C">
              <w:rPr>
                <w:bCs/>
                <w:color w:val="002060"/>
                <w:sz w:val="16"/>
                <w:szCs w:val="16"/>
              </w:rPr>
              <w:t>Площадь крыльев, м</w:t>
            </w:r>
            <w:r w:rsidRPr="00DE096C">
              <w:rPr>
                <w:bCs/>
                <w:color w:val="002060"/>
                <w:sz w:val="16"/>
                <w:szCs w:val="16"/>
                <w:vertAlign w:val="superscript"/>
              </w:rPr>
              <w:t>2</w:t>
            </w:r>
          </w:p>
        </w:tc>
        <w:tc>
          <w:tcPr>
            <w:tcW w:w="4314" w:type="dxa"/>
            <w:tcBorders>
              <w:top w:val="single" w:sz="6" w:space="0" w:color="auto"/>
              <w:left w:val="single" w:sz="6" w:space="0" w:color="auto"/>
              <w:bottom w:val="single" w:sz="6" w:space="0" w:color="auto"/>
              <w:right w:val="single" w:sz="12" w:space="0" w:color="auto"/>
            </w:tcBorders>
          </w:tcPr>
          <w:p w14:paraId="148C297C" w14:textId="77777777" w:rsidR="00B67D7C" w:rsidRPr="00DE096C" w:rsidRDefault="00B67D7C" w:rsidP="00D45A46">
            <w:pPr>
              <w:jc w:val="both"/>
              <w:rPr>
                <w:bCs/>
                <w:color w:val="002060"/>
                <w:sz w:val="16"/>
                <w:szCs w:val="16"/>
              </w:rPr>
            </w:pPr>
            <w:r w:rsidRPr="00DE096C">
              <w:rPr>
                <w:bCs/>
                <w:color w:val="002060"/>
                <w:sz w:val="16"/>
                <w:szCs w:val="16"/>
              </w:rPr>
              <w:t>91,5</w:t>
            </w:r>
          </w:p>
        </w:tc>
      </w:tr>
      <w:tr w:rsidR="00B67D7C" w:rsidRPr="00DE096C" w14:paraId="6BA7BAFE" w14:textId="77777777" w:rsidTr="00C2024A">
        <w:tc>
          <w:tcPr>
            <w:tcW w:w="5045" w:type="dxa"/>
            <w:tcBorders>
              <w:top w:val="single" w:sz="6" w:space="0" w:color="auto"/>
              <w:left w:val="single" w:sz="12" w:space="0" w:color="auto"/>
              <w:bottom w:val="single" w:sz="6" w:space="0" w:color="auto"/>
              <w:right w:val="single" w:sz="6" w:space="0" w:color="auto"/>
            </w:tcBorders>
          </w:tcPr>
          <w:p w14:paraId="4F090DA2" w14:textId="77777777" w:rsidR="00B67D7C" w:rsidRPr="00DE096C" w:rsidRDefault="00B67D7C" w:rsidP="00D45A46">
            <w:pPr>
              <w:jc w:val="both"/>
              <w:rPr>
                <w:bCs/>
                <w:color w:val="002060"/>
                <w:sz w:val="16"/>
                <w:szCs w:val="16"/>
              </w:rPr>
            </w:pPr>
            <w:r w:rsidRPr="00DE096C">
              <w:rPr>
                <w:bCs/>
                <w:color w:val="002060"/>
                <w:sz w:val="16"/>
                <w:szCs w:val="16"/>
              </w:rPr>
              <w:t>Взлетный вес кг</w:t>
            </w:r>
          </w:p>
        </w:tc>
        <w:tc>
          <w:tcPr>
            <w:tcW w:w="4314" w:type="dxa"/>
            <w:tcBorders>
              <w:top w:val="single" w:sz="6" w:space="0" w:color="auto"/>
              <w:left w:val="single" w:sz="6" w:space="0" w:color="auto"/>
              <w:bottom w:val="single" w:sz="6" w:space="0" w:color="auto"/>
              <w:right w:val="single" w:sz="12" w:space="0" w:color="auto"/>
            </w:tcBorders>
          </w:tcPr>
          <w:p w14:paraId="295CE41B" w14:textId="77777777" w:rsidR="00B67D7C" w:rsidRPr="00DE096C" w:rsidRDefault="00B67D7C" w:rsidP="00D45A46">
            <w:pPr>
              <w:jc w:val="both"/>
              <w:rPr>
                <w:bCs/>
                <w:color w:val="002060"/>
                <w:sz w:val="16"/>
                <w:szCs w:val="16"/>
              </w:rPr>
            </w:pPr>
            <w:r w:rsidRPr="00DE096C">
              <w:rPr>
                <w:bCs/>
                <w:color w:val="002060"/>
                <w:sz w:val="16"/>
                <w:szCs w:val="16"/>
              </w:rPr>
              <w:t>3170</w:t>
            </w:r>
          </w:p>
        </w:tc>
      </w:tr>
      <w:tr w:rsidR="00B67D7C" w:rsidRPr="00DE096C" w14:paraId="00AD2F7F" w14:textId="77777777" w:rsidTr="00C2024A">
        <w:tc>
          <w:tcPr>
            <w:tcW w:w="5045" w:type="dxa"/>
            <w:tcBorders>
              <w:top w:val="single" w:sz="6" w:space="0" w:color="auto"/>
              <w:left w:val="single" w:sz="12" w:space="0" w:color="auto"/>
              <w:bottom w:val="single" w:sz="6" w:space="0" w:color="auto"/>
              <w:right w:val="single" w:sz="6" w:space="0" w:color="auto"/>
            </w:tcBorders>
          </w:tcPr>
          <w:p w14:paraId="1CBDA4A7" w14:textId="77777777" w:rsidR="00B67D7C" w:rsidRPr="00DE096C" w:rsidRDefault="00B67D7C" w:rsidP="00D45A46">
            <w:pPr>
              <w:jc w:val="both"/>
              <w:rPr>
                <w:bCs/>
                <w:color w:val="002060"/>
                <w:sz w:val="16"/>
                <w:szCs w:val="16"/>
              </w:rPr>
            </w:pPr>
            <w:r w:rsidRPr="00DE096C">
              <w:rPr>
                <w:bCs/>
                <w:color w:val="002060"/>
                <w:sz w:val="16"/>
                <w:szCs w:val="16"/>
              </w:rPr>
              <w:t>Вес пустого самолета, кг</w:t>
            </w:r>
          </w:p>
        </w:tc>
        <w:tc>
          <w:tcPr>
            <w:tcW w:w="4314" w:type="dxa"/>
            <w:tcBorders>
              <w:top w:val="single" w:sz="6" w:space="0" w:color="auto"/>
              <w:left w:val="single" w:sz="6" w:space="0" w:color="auto"/>
              <w:bottom w:val="single" w:sz="6" w:space="0" w:color="auto"/>
              <w:right w:val="single" w:sz="12" w:space="0" w:color="auto"/>
            </w:tcBorders>
          </w:tcPr>
          <w:p w14:paraId="3262503E" w14:textId="77777777" w:rsidR="00B67D7C" w:rsidRPr="00DE096C" w:rsidRDefault="00B67D7C" w:rsidP="00D45A46">
            <w:pPr>
              <w:jc w:val="both"/>
              <w:rPr>
                <w:bCs/>
                <w:color w:val="002060"/>
                <w:sz w:val="16"/>
                <w:szCs w:val="16"/>
              </w:rPr>
            </w:pPr>
            <w:r w:rsidRPr="00DE096C">
              <w:rPr>
                <w:bCs/>
                <w:color w:val="002060"/>
                <w:sz w:val="16"/>
                <w:szCs w:val="16"/>
              </w:rPr>
              <w:t>2210</w:t>
            </w:r>
          </w:p>
        </w:tc>
      </w:tr>
      <w:tr w:rsidR="00B67D7C" w:rsidRPr="00DE096C" w14:paraId="58BE97BD" w14:textId="77777777" w:rsidTr="00C2024A">
        <w:tc>
          <w:tcPr>
            <w:tcW w:w="5045" w:type="dxa"/>
            <w:tcBorders>
              <w:top w:val="single" w:sz="6" w:space="0" w:color="auto"/>
              <w:left w:val="single" w:sz="12" w:space="0" w:color="auto"/>
              <w:bottom w:val="single" w:sz="6" w:space="0" w:color="auto"/>
              <w:right w:val="single" w:sz="6" w:space="0" w:color="auto"/>
            </w:tcBorders>
          </w:tcPr>
          <w:p w14:paraId="0F03CDDE" w14:textId="77777777" w:rsidR="00B67D7C" w:rsidRPr="00DE096C" w:rsidRDefault="00B67D7C" w:rsidP="00D45A46">
            <w:pPr>
              <w:jc w:val="both"/>
              <w:rPr>
                <w:bCs/>
                <w:color w:val="002060"/>
                <w:sz w:val="16"/>
                <w:szCs w:val="16"/>
              </w:rPr>
            </w:pPr>
            <w:r w:rsidRPr="00DE096C">
              <w:rPr>
                <w:bCs/>
                <w:color w:val="002060"/>
                <w:sz w:val="16"/>
                <w:szCs w:val="16"/>
              </w:rPr>
              <w:t>Полезная нагрузка, кг</w:t>
            </w:r>
          </w:p>
        </w:tc>
        <w:tc>
          <w:tcPr>
            <w:tcW w:w="4314" w:type="dxa"/>
            <w:tcBorders>
              <w:top w:val="single" w:sz="6" w:space="0" w:color="auto"/>
              <w:left w:val="single" w:sz="6" w:space="0" w:color="auto"/>
              <w:bottom w:val="single" w:sz="6" w:space="0" w:color="auto"/>
              <w:right w:val="single" w:sz="12" w:space="0" w:color="auto"/>
            </w:tcBorders>
          </w:tcPr>
          <w:p w14:paraId="1FFD7001" w14:textId="77777777" w:rsidR="00B67D7C" w:rsidRPr="00DE096C" w:rsidRDefault="00B67D7C" w:rsidP="00D45A46">
            <w:pPr>
              <w:jc w:val="both"/>
              <w:rPr>
                <w:bCs/>
                <w:color w:val="002060"/>
                <w:sz w:val="16"/>
                <w:szCs w:val="16"/>
              </w:rPr>
            </w:pPr>
            <w:r w:rsidRPr="00DE096C">
              <w:rPr>
                <w:bCs/>
                <w:color w:val="002060"/>
                <w:sz w:val="16"/>
                <w:szCs w:val="16"/>
              </w:rPr>
              <w:t>960</w:t>
            </w:r>
          </w:p>
        </w:tc>
      </w:tr>
      <w:tr w:rsidR="00B67D7C" w:rsidRPr="00DE096C" w14:paraId="4195927A" w14:textId="77777777" w:rsidTr="00C2024A">
        <w:tc>
          <w:tcPr>
            <w:tcW w:w="5045" w:type="dxa"/>
            <w:tcBorders>
              <w:top w:val="single" w:sz="6" w:space="0" w:color="auto"/>
              <w:left w:val="single" w:sz="12" w:space="0" w:color="auto"/>
              <w:bottom w:val="single" w:sz="6" w:space="0" w:color="auto"/>
              <w:right w:val="single" w:sz="6" w:space="0" w:color="auto"/>
            </w:tcBorders>
          </w:tcPr>
          <w:p w14:paraId="22D006CA" w14:textId="77777777" w:rsidR="00B67D7C" w:rsidRPr="00DE096C" w:rsidRDefault="00B67D7C" w:rsidP="00D45A46">
            <w:pPr>
              <w:jc w:val="both"/>
              <w:rPr>
                <w:bCs/>
                <w:color w:val="002060"/>
                <w:sz w:val="16"/>
                <w:szCs w:val="16"/>
              </w:rPr>
            </w:pPr>
            <w:r w:rsidRPr="00DE096C">
              <w:rPr>
                <w:bCs/>
                <w:color w:val="002060"/>
                <w:sz w:val="16"/>
                <w:szCs w:val="16"/>
              </w:rPr>
              <w:t>Удельная нагрузка на крыло, кг/м</w:t>
            </w:r>
            <w:r w:rsidRPr="00DE096C">
              <w:rPr>
                <w:bCs/>
                <w:color w:val="002060"/>
                <w:sz w:val="16"/>
                <w:szCs w:val="16"/>
                <w:vertAlign w:val="superscript"/>
              </w:rPr>
              <w:t>2</w:t>
            </w:r>
          </w:p>
        </w:tc>
        <w:tc>
          <w:tcPr>
            <w:tcW w:w="4314" w:type="dxa"/>
            <w:tcBorders>
              <w:top w:val="single" w:sz="6" w:space="0" w:color="auto"/>
              <w:left w:val="single" w:sz="6" w:space="0" w:color="auto"/>
              <w:bottom w:val="single" w:sz="6" w:space="0" w:color="auto"/>
              <w:right w:val="single" w:sz="12" w:space="0" w:color="auto"/>
            </w:tcBorders>
          </w:tcPr>
          <w:p w14:paraId="21A13C5D" w14:textId="77777777" w:rsidR="00B67D7C" w:rsidRPr="00DE096C" w:rsidRDefault="00B67D7C" w:rsidP="00D45A46">
            <w:pPr>
              <w:jc w:val="both"/>
              <w:rPr>
                <w:bCs/>
                <w:color w:val="002060"/>
                <w:sz w:val="16"/>
                <w:szCs w:val="16"/>
              </w:rPr>
            </w:pPr>
            <w:r w:rsidRPr="00DE096C">
              <w:rPr>
                <w:bCs/>
                <w:color w:val="002060"/>
                <w:sz w:val="16"/>
                <w:szCs w:val="16"/>
              </w:rPr>
              <w:t>34,8</w:t>
            </w:r>
          </w:p>
        </w:tc>
      </w:tr>
      <w:tr w:rsidR="00B67D7C" w:rsidRPr="00DE096C" w14:paraId="4358FF36" w14:textId="77777777" w:rsidTr="00C2024A">
        <w:tc>
          <w:tcPr>
            <w:tcW w:w="5045" w:type="dxa"/>
            <w:tcBorders>
              <w:top w:val="single" w:sz="6" w:space="0" w:color="auto"/>
              <w:left w:val="single" w:sz="12" w:space="0" w:color="auto"/>
              <w:bottom w:val="single" w:sz="6" w:space="0" w:color="auto"/>
              <w:right w:val="single" w:sz="6" w:space="0" w:color="auto"/>
            </w:tcBorders>
          </w:tcPr>
          <w:p w14:paraId="2221323B" w14:textId="77777777" w:rsidR="00B67D7C" w:rsidRPr="00DE096C" w:rsidRDefault="00B67D7C" w:rsidP="00D45A46">
            <w:pPr>
              <w:jc w:val="both"/>
              <w:rPr>
                <w:bCs/>
                <w:color w:val="002060"/>
                <w:sz w:val="16"/>
                <w:szCs w:val="16"/>
              </w:rPr>
            </w:pPr>
            <w:r w:rsidRPr="00DE096C">
              <w:rPr>
                <w:bCs/>
                <w:color w:val="002060"/>
                <w:sz w:val="16"/>
                <w:szCs w:val="16"/>
              </w:rPr>
              <w:t>Удельная нагрузка на мощность, кг/л.с.</w:t>
            </w:r>
          </w:p>
        </w:tc>
        <w:tc>
          <w:tcPr>
            <w:tcW w:w="4314" w:type="dxa"/>
            <w:tcBorders>
              <w:top w:val="single" w:sz="6" w:space="0" w:color="auto"/>
              <w:left w:val="single" w:sz="6" w:space="0" w:color="auto"/>
              <w:bottom w:val="single" w:sz="6" w:space="0" w:color="auto"/>
              <w:right w:val="single" w:sz="12" w:space="0" w:color="auto"/>
            </w:tcBorders>
          </w:tcPr>
          <w:p w14:paraId="6E90C817" w14:textId="77777777" w:rsidR="00B67D7C" w:rsidRPr="00DE096C" w:rsidRDefault="00B67D7C" w:rsidP="00D45A46">
            <w:pPr>
              <w:jc w:val="both"/>
              <w:rPr>
                <w:bCs/>
                <w:color w:val="002060"/>
                <w:sz w:val="16"/>
                <w:szCs w:val="16"/>
              </w:rPr>
            </w:pPr>
            <w:r w:rsidRPr="00DE096C">
              <w:rPr>
                <w:bCs/>
                <w:color w:val="002060"/>
                <w:sz w:val="16"/>
                <w:szCs w:val="16"/>
              </w:rPr>
              <w:t>10,6</w:t>
            </w:r>
          </w:p>
        </w:tc>
      </w:tr>
      <w:tr w:rsidR="00B67D7C" w:rsidRPr="00DE096C" w14:paraId="0445F22B" w14:textId="77777777" w:rsidTr="00C2024A">
        <w:tc>
          <w:tcPr>
            <w:tcW w:w="5045" w:type="dxa"/>
            <w:tcBorders>
              <w:top w:val="single" w:sz="6" w:space="0" w:color="auto"/>
              <w:left w:val="single" w:sz="12" w:space="0" w:color="auto"/>
              <w:bottom w:val="single" w:sz="12" w:space="0" w:color="auto"/>
              <w:right w:val="single" w:sz="6" w:space="0" w:color="auto"/>
            </w:tcBorders>
          </w:tcPr>
          <w:p w14:paraId="484380FA" w14:textId="77777777" w:rsidR="00B67D7C" w:rsidRPr="00DE096C" w:rsidRDefault="00B67D7C" w:rsidP="00D45A46">
            <w:pPr>
              <w:jc w:val="both"/>
              <w:rPr>
                <w:bCs/>
                <w:color w:val="002060"/>
                <w:sz w:val="16"/>
                <w:szCs w:val="16"/>
              </w:rPr>
            </w:pPr>
            <w:r w:rsidRPr="00DE096C">
              <w:rPr>
                <w:bCs/>
                <w:color w:val="002060"/>
                <w:sz w:val="16"/>
                <w:szCs w:val="16"/>
              </w:rPr>
              <w:t>Весовая отдача, %</w:t>
            </w:r>
          </w:p>
        </w:tc>
        <w:tc>
          <w:tcPr>
            <w:tcW w:w="4314" w:type="dxa"/>
            <w:tcBorders>
              <w:top w:val="single" w:sz="6" w:space="0" w:color="auto"/>
              <w:left w:val="single" w:sz="6" w:space="0" w:color="auto"/>
              <w:bottom w:val="single" w:sz="12" w:space="0" w:color="auto"/>
              <w:right w:val="single" w:sz="12" w:space="0" w:color="auto"/>
            </w:tcBorders>
          </w:tcPr>
          <w:p w14:paraId="60B7BFCC" w14:textId="77777777" w:rsidR="00B67D7C" w:rsidRPr="00DE096C" w:rsidRDefault="00B67D7C" w:rsidP="00D45A46">
            <w:pPr>
              <w:jc w:val="both"/>
              <w:rPr>
                <w:bCs/>
                <w:color w:val="002060"/>
                <w:sz w:val="16"/>
                <w:szCs w:val="16"/>
              </w:rPr>
            </w:pPr>
            <w:r w:rsidRPr="00DE096C">
              <w:rPr>
                <w:bCs/>
                <w:color w:val="002060"/>
                <w:sz w:val="16"/>
                <w:szCs w:val="16"/>
              </w:rPr>
              <w:t>30,2</w:t>
            </w:r>
          </w:p>
        </w:tc>
      </w:tr>
    </w:tbl>
    <w:p w14:paraId="0A68152B" w14:textId="77777777" w:rsidR="00B67D7C" w:rsidRPr="00DE096C" w:rsidRDefault="00B67D7C" w:rsidP="00D45A46">
      <w:pPr>
        <w:jc w:val="both"/>
        <w:rPr>
          <w:bCs/>
          <w:color w:val="002060"/>
          <w:sz w:val="16"/>
          <w:szCs w:val="16"/>
        </w:rPr>
      </w:pPr>
      <w:r w:rsidRPr="00DE096C">
        <w:rPr>
          <w:bCs/>
          <w:color w:val="002060"/>
          <w:sz w:val="16"/>
          <w:szCs w:val="16"/>
        </w:rPr>
        <w:t>(11918)</w:t>
      </w:r>
    </w:p>
    <w:p w14:paraId="5600D947" w14:textId="77777777" w:rsidR="00B67D7C" w:rsidRPr="00DE096C" w:rsidRDefault="00B67D7C" w:rsidP="00D45A46">
      <w:pPr>
        <w:jc w:val="both"/>
        <w:rPr>
          <w:bCs/>
          <w:color w:val="002060"/>
          <w:sz w:val="16"/>
          <w:szCs w:val="16"/>
        </w:rPr>
      </w:pPr>
    </w:p>
    <w:p w14:paraId="48EB842E" w14:textId="26ED2784" w:rsidR="0080669F" w:rsidRPr="00DE096C" w:rsidRDefault="00B67D7C" w:rsidP="00D45A46">
      <w:pPr>
        <w:jc w:val="both"/>
        <w:rPr>
          <w:bCs/>
          <w:color w:val="002060"/>
          <w:sz w:val="16"/>
          <w:szCs w:val="16"/>
        </w:rPr>
      </w:pPr>
      <w:r w:rsidRPr="00DE096C">
        <w:rPr>
          <w:bCs/>
          <w:color w:val="002060"/>
          <w:sz w:val="16"/>
          <w:szCs w:val="16"/>
        </w:rPr>
        <w:t>В 1914</w:t>
      </w:r>
      <w:r w:rsidR="006510D6" w:rsidRPr="00DE096C">
        <w:rPr>
          <w:bCs/>
          <w:color w:val="002060"/>
          <w:sz w:val="16"/>
          <w:szCs w:val="16"/>
        </w:rPr>
        <w:t xml:space="preserve"> </w:t>
      </w:r>
      <w:r w:rsidRPr="00DE096C">
        <w:rPr>
          <w:bCs/>
          <w:color w:val="002060"/>
          <w:sz w:val="16"/>
          <w:szCs w:val="16"/>
        </w:rPr>
        <w:t xml:space="preserve">г. завод </w:t>
      </w:r>
      <w:r w:rsidR="0080669F" w:rsidRPr="00DE096C">
        <w:rPr>
          <w:bCs/>
          <w:color w:val="002060"/>
          <w:sz w:val="16"/>
          <w:szCs w:val="16"/>
        </w:rPr>
        <w:t xml:space="preserve">«Дукс» </w:t>
      </w:r>
      <w:r w:rsidRPr="00DE096C">
        <w:rPr>
          <w:bCs/>
          <w:color w:val="002060"/>
          <w:sz w:val="16"/>
          <w:szCs w:val="16"/>
        </w:rPr>
        <w:t>имел два производственных корпуса</w:t>
      </w:r>
      <w:r w:rsidR="0080669F" w:rsidRPr="00DE096C">
        <w:rPr>
          <w:bCs/>
          <w:color w:val="002060"/>
          <w:sz w:val="16"/>
          <w:szCs w:val="16"/>
        </w:rPr>
        <w:t xml:space="preserve"> и</w:t>
      </w:r>
      <w:r w:rsidRPr="00DE096C">
        <w:rPr>
          <w:bCs/>
          <w:color w:val="002060"/>
          <w:sz w:val="16"/>
          <w:szCs w:val="16"/>
        </w:rPr>
        <w:t xml:space="preserve"> авиастроительный филиал на Ходынском поле с 4 ангарами.</w:t>
      </w:r>
      <w:r w:rsidR="0080669F" w:rsidRPr="00DE096C">
        <w:rPr>
          <w:bCs/>
          <w:color w:val="002060"/>
          <w:sz w:val="16"/>
          <w:szCs w:val="16"/>
        </w:rPr>
        <w:t xml:space="preserve"> (Завод № 1 им. Авиахима ВСНХ, НКТП, НКОП, Завод «Дукс», Государственный авиационный завод № 1 (ГАЗ-1) им. ОДВФ ВСНХ, Завод № 1 им. И.В. Сталина НКАП, МАП, СНХ, п/я 2402, п/я 208, Куйбышевский завод «Прогресс» </w:t>
      </w:r>
      <w:r w:rsidR="0080669F" w:rsidRPr="00DE096C">
        <w:rPr>
          <w:bCs/>
          <w:color w:val="002060"/>
          <w:sz w:val="16"/>
          <w:szCs w:val="16"/>
          <w:lang w:val="en-US"/>
        </w:rPr>
        <w:t>MOM</w:t>
      </w:r>
      <w:r w:rsidR="0080669F" w:rsidRPr="00DE096C">
        <w:rPr>
          <w:bCs/>
          <w:color w:val="002060"/>
          <w:sz w:val="16"/>
          <w:szCs w:val="16"/>
        </w:rPr>
        <w:t>, Самарский завод «Прогресс», Государственный научно-производственный ракетно-космический центр</w:t>
      </w:r>
    </w:p>
    <w:p w14:paraId="6F245684" w14:textId="0E3AC24A" w:rsidR="00B67D7C" w:rsidRPr="00DE096C" w:rsidRDefault="0080669F" w:rsidP="00D45A46">
      <w:pPr>
        <w:jc w:val="both"/>
        <w:rPr>
          <w:bCs/>
          <w:color w:val="002060"/>
          <w:sz w:val="16"/>
          <w:szCs w:val="16"/>
        </w:rPr>
      </w:pPr>
      <w:r w:rsidRPr="00DE096C">
        <w:rPr>
          <w:bCs/>
          <w:color w:val="002060"/>
          <w:sz w:val="16"/>
          <w:szCs w:val="16"/>
        </w:rPr>
        <w:t xml:space="preserve">(ГНП РКЦ ) «ЦСКБ-Прогресс» РАКА, ФКА /г. Москва Садово-Триумфальная пл.; ул. Правды; 3-я ул. Ямского поля, 24 (1926г.), 26; г. Москва, 40 п/я 3 «Завод первый» (1930г.); Боткинский пр-д п/я 2402 (1937г.); г. Куйбышев, ст. Безымянка/ /443009 г. Самара ул. Псковская, 18 тел. (8462) 55-13-61, 92-65-31 </w:t>
      </w:r>
      <w:hyperlink r:id="rId56" w:history="1">
        <w:r w:rsidRPr="00DE096C">
          <w:rPr>
            <w:bCs/>
            <w:color w:val="002060"/>
            <w:sz w:val="16"/>
            <w:szCs w:val="16"/>
            <w:lang w:val="en-US"/>
          </w:rPr>
          <w:t>www</w:t>
        </w:r>
        <w:r w:rsidRPr="00DE096C">
          <w:rPr>
            <w:bCs/>
            <w:color w:val="002060"/>
            <w:sz w:val="16"/>
            <w:szCs w:val="16"/>
          </w:rPr>
          <w:t>.</w:t>
        </w:r>
        <w:r w:rsidRPr="00DE096C">
          <w:rPr>
            <w:bCs/>
            <w:color w:val="002060"/>
            <w:sz w:val="16"/>
            <w:szCs w:val="16"/>
            <w:lang w:val="en-US"/>
          </w:rPr>
          <w:t>samspace</w:t>
        </w:r>
        <w:r w:rsidRPr="00DE096C">
          <w:rPr>
            <w:bCs/>
            <w:color w:val="002060"/>
            <w:sz w:val="16"/>
            <w:szCs w:val="16"/>
          </w:rPr>
          <w:t>.</w:t>
        </w:r>
        <w:r w:rsidRPr="00DE096C">
          <w:rPr>
            <w:bCs/>
            <w:color w:val="002060"/>
            <w:sz w:val="16"/>
            <w:szCs w:val="16"/>
            <w:lang w:val="en-US"/>
          </w:rPr>
          <w:t>ru</w:t>
        </w:r>
        <w:r w:rsidRPr="00DE096C">
          <w:rPr>
            <w:bCs/>
            <w:color w:val="002060"/>
            <w:sz w:val="16"/>
            <w:szCs w:val="16"/>
          </w:rPr>
          <w:t>/</w:t>
        </w:r>
      </w:hyperlink>
      <w:r w:rsidRPr="00DE096C">
        <w:rPr>
          <w:bCs/>
          <w:color w:val="002060"/>
          <w:sz w:val="16"/>
          <w:szCs w:val="16"/>
        </w:rPr>
        <w:t>)</w:t>
      </w:r>
    </w:p>
    <w:p w14:paraId="6017E7F5" w14:textId="77777777" w:rsidR="00B67D7C" w:rsidRPr="00DE096C" w:rsidRDefault="00B67D7C" w:rsidP="00D45A46">
      <w:pPr>
        <w:jc w:val="both"/>
        <w:rPr>
          <w:bCs/>
          <w:color w:val="002060"/>
          <w:sz w:val="16"/>
          <w:szCs w:val="16"/>
        </w:rPr>
      </w:pPr>
      <w:r w:rsidRPr="00DE096C">
        <w:rPr>
          <w:bCs/>
          <w:color w:val="002060"/>
          <w:sz w:val="16"/>
          <w:szCs w:val="16"/>
        </w:rPr>
        <w:t>С 1915г. на заводе выпускались велосипеды для армии конструкции Ю. Меллера под маркой «Дукс боевой». По декрету от 28.06.1918г. завод был национализирован, 30.12.1918г. передан из Увофлота НКВМ в ведение Главкоавиа ВСНХ и получил название ГАЗ-1. 25.08.1924г. заводу присвоено имя ОДВФ (Общество друзей воздушного флота), в 1925г. - им. Авиахима. В 1924г. ГАЗ-1 - ведении ГУВП ВСНХ. В соответствии с пост. СТО № 121 от 28.01.1925г. и приказом ВСНХ № 415 от 10.02.1925г. завод передан в ведение вновь созданного «Авиатреста» Главметалла ВСНХ. По пр. Авиатреста № 15 от 13.04.1925г. завод № 1 им. ОДВФ переименован в ГАЗ-1 им. ОДВФ. В соответствии с пост. СНК от 27.04.1926г. по пр. ВСНХ/НКВМ/ОГПУ № 73сс от 9.07.1927г. и Авиатреста № 114сс от 4.08.1927г. ГАЗ-1 им. Авиахима с 1.10.1927г. переименован в завод № 1 им. Авиахима. Приказом Авиатреста № 131 от 27.09.1927г. действие приказа № 114сс было приостановлено до особого распоряжения. С 1930г. завод - в ведении ВАО ВСНХ, с 1932г. - в самолетном тресте ГУАП НКТП, в 02.1937г. - 1ГУ НКОП. В 02.1939г. передан в ведение НКАП. С 1941г. - завод № 1 им. И.В. Сталина. Имел наименования: «п/я 2402» (1936г.), «п/я 208» (1939г.).</w:t>
      </w:r>
    </w:p>
    <w:p w14:paraId="102A9253" w14:textId="77777777" w:rsidR="00B67D7C" w:rsidRPr="00DE096C" w:rsidRDefault="00B67D7C" w:rsidP="00D45A46">
      <w:pPr>
        <w:jc w:val="both"/>
        <w:rPr>
          <w:bCs/>
          <w:color w:val="002060"/>
          <w:sz w:val="16"/>
          <w:szCs w:val="16"/>
        </w:rPr>
      </w:pPr>
      <w:r w:rsidRPr="00DE096C">
        <w:rPr>
          <w:bCs/>
          <w:color w:val="002060"/>
          <w:sz w:val="16"/>
          <w:szCs w:val="16"/>
        </w:rPr>
        <w:t>В 1924г. из-за недостатка заказов было принято решение о слиянии ГАЗ-1 и ГАЗ-5; ввиду окончания работ по слиянию приказом Авиатреста № 22 от 25.04.1925г. ГАЗ-5 полностью подчинен директору ГАЗ-1.</w:t>
      </w:r>
    </w:p>
    <w:p w14:paraId="4C3C3858" w14:textId="77777777" w:rsidR="00B67D7C" w:rsidRPr="00DE096C" w:rsidRDefault="00B67D7C" w:rsidP="00D45A46">
      <w:pPr>
        <w:jc w:val="both"/>
        <w:rPr>
          <w:bCs/>
          <w:color w:val="002060"/>
          <w:sz w:val="16"/>
          <w:szCs w:val="16"/>
        </w:rPr>
      </w:pPr>
      <w:r w:rsidRPr="00DE096C">
        <w:rPr>
          <w:bCs/>
          <w:color w:val="002060"/>
          <w:sz w:val="16"/>
          <w:szCs w:val="16"/>
        </w:rPr>
        <w:t>По пр. ВСНХ № 415 от 10.02.1925г. и Авиатреста № 8 от 26.02.1925г. должность «Управляющего заводом» переименована в «директор».</w:t>
      </w:r>
    </w:p>
    <w:p w14:paraId="3D4A58AB" w14:textId="77777777" w:rsidR="00B67D7C" w:rsidRPr="00DE096C" w:rsidRDefault="00B67D7C" w:rsidP="00D45A46">
      <w:pPr>
        <w:jc w:val="both"/>
        <w:rPr>
          <w:bCs/>
          <w:color w:val="002060"/>
          <w:sz w:val="16"/>
          <w:szCs w:val="16"/>
        </w:rPr>
      </w:pPr>
      <w:r w:rsidRPr="00DE096C">
        <w:rPr>
          <w:bCs/>
          <w:color w:val="002060"/>
          <w:sz w:val="16"/>
          <w:szCs w:val="16"/>
        </w:rPr>
        <w:t>После революции продолжен выпуск самолетов зарубежных конструкций. В 1923г. выпущены первые самолеты отечественной конструкции Р-1 и ИЛ-400. В 1923-24г. выпущено 5 самолетов, в 1925г. - 183 (102% плана). Цена Р-1 (1925г.) - 14.312 руб. В 1923-24г. завод выпускал для всех остальных заводов авиаприборы, колеса, радиаторы, расчалки. В 1925г. ликвидировано велосипедное производство и мастерская аэронавигационных приборов, закончено производство пулеметных установок. Но в 01.1926г. администрацией завода было вновь принято решение об увеличении выпуска велосипедов (из-за перебоев с поставками леса для строительства самолетов). В 1927г. мощность завода - 470 Р-1 в год. Производственная программа на 1926-27г.: 100 Р-1, 90 И-2бис, 50 групкомплектов Р-1. За первые три квартала 1927г. выпущено 197 Р-1 и 12 И-1. В 1927-28г. сделано 300 Р-1, 10 И-2бис, 38 комплектов запчастей Р-1.</w:t>
      </w:r>
    </w:p>
    <w:p w14:paraId="683863A6" w14:textId="77777777" w:rsidR="00B67D7C" w:rsidRPr="00DE096C" w:rsidRDefault="00B67D7C" w:rsidP="00D45A46">
      <w:pPr>
        <w:jc w:val="both"/>
        <w:rPr>
          <w:bCs/>
          <w:color w:val="002060"/>
          <w:sz w:val="16"/>
          <w:szCs w:val="16"/>
        </w:rPr>
      </w:pPr>
      <w:r w:rsidRPr="00DE096C">
        <w:rPr>
          <w:bCs/>
          <w:color w:val="002060"/>
          <w:sz w:val="16"/>
          <w:szCs w:val="16"/>
        </w:rPr>
        <w:t>В начале 1923г. на заводе под руководством Ю.Г. Музалевского, перешедшего в 1922г. с Кольчугинского завода, разработан собственный сплав «дуксолюминий», аналог дюралюминия, по своим свойствам превосходивший кольчугалюминий, а также создан флюс для варки сплава. Но литейное производство завода не было рассчитано на промышленные масштабы, и выпуск сплава остался ограниченным. В 1927г. из Америки поставлено две электропечи для плавки алюминия. В 1930г. на заводе разработан метод плакирования дюралюминия алюминием, широко применявшийся затем в авиастроении.</w:t>
      </w:r>
    </w:p>
    <w:p w14:paraId="5653B4BD" w14:textId="77777777" w:rsidR="00B67D7C" w:rsidRPr="00DE096C" w:rsidRDefault="00B67D7C" w:rsidP="00D45A46">
      <w:pPr>
        <w:jc w:val="both"/>
        <w:rPr>
          <w:bCs/>
          <w:color w:val="002060"/>
          <w:sz w:val="16"/>
          <w:szCs w:val="16"/>
        </w:rPr>
      </w:pPr>
      <w:r w:rsidRPr="00DE096C">
        <w:rPr>
          <w:bCs/>
          <w:color w:val="002060"/>
          <w:sz w:val="16"/>
          <w:szCs w:val="16"/>
        </w:rPr>
        <w:t>В составе завода (1925г.) мастерские: деревообделочная, столярная, медницкая, слесарная, механическая, сборочная, инструментальная, опытная, малярная, обойная, трубопрокатная, кузница, литейная; отделы: механика, приемок. В 1927г. действовал прокатный отдел в составе мастерских: литейной, прокатной и трубоволочильной. В 1928г., кроме упомянутых, были мастерские: расчалочная, лакировочная, полировочная, сварочная. В 1930г. построен корпус самолетостроительного цеха на новой территории - у Ходынского поля со стороны Боткинской больницы. Здесь же организованы заготовительные цеха. В 1930-33г. завод располагался на двух площадках. В 10.1931г. из состава завода выделилось вспомогательное производство в самостоятельные заводы: № 8, № 32 (вооружение), № 34 (металлургическое производство), № 217. Кроме того, из части мощностей завода № 34 выделен самостоятельный завод № 219 и переведен в Балашиху. К середине 1933г. Завод № 1 им. Авиахима (самолетостроительное производство) переведен на новую территорию - на Боткинский проезд (полностью вступил в строй в 1936г.), а на старой площадке (ул. Правды) остались заводы № 32 и № 34.</w:t>
      </w:r>
    </w:p>
    <w:p w14:paraId="6449A3E7" w14:textId="77777777" w:rsidR="00B67D7C" w:rsidRPr="00DE096C" w:rsidRDefault="00B67D7C" w:rsidP="00D45A46">
      <w:pPr>
        <w:jc w:val="both"/>
        <w:rPr>
          <w:bCs/>
          <w:color w:val="002060"/>
          <w:sz w:val="16"/>
          <w:szCs w:val="16"/>
        </w:rPr>
      </w:pPr>
      <w:r w:rsidRPr="00DE096C">
        <w:rPr>
          <w:bCs/>
          <w:color w:val="002060"/>
          <w:sz w:val="16"/>
          <w:szCs w:val="16"/>
        </w:rPr>
        <w:t>На заводе в разное время действовал ряд конструкторских бюро и групп. В 1918-23г. (затем - в Главкоавиа), в 1926-28г. и в 1939г. работал Н.Н. Поликарпов. С 02.1923г. по осень 1924г. работал Д.П. Григорович. Затем в 1930-х г. он строил на заводе пикирующий бомбардировщик ПБ-1.</w:t>
      </w:r>
    </w:p>
    <w:p w14:paraId="7821CEAC" w14:textId="77777777" w:rsidR="00B67D7C" w:rsidRPr="00DE096C" w:rsidRDefault="00B67D7C" w:rsidP="00D45A46">
      <w:pPr>
        <w:jc w:val="both"/>
        <w:rPr>
          <w:bCs/>
          <w:color w:val="002060"/>
          <w:sz w:val="16"/>
          <w:szCs w:val="16"/>
        </w:rPr>
      </w:pPr>
      <w:r w:rsidRPr="00DE096C">
        <w:rPr>
          <w:bCs/>
          <w:color w:val="002060"/>
          <w:sz w:val="16"/>
          <w:szCs w:val="16"/>
        </w:rPr>
        <w:t>В 01.1923г. техотдел ГАЗ-1 переформирован в КБ завода. С 1.02.1925г. КБ и Опытная мастерская объединены в Опытный отдел ГАЗ-1, с 10.1926г. - ОСС ЦКБ ВСНХ.</w:t>
      </w:r>
    </w:p>
    <w:p w14:paraId="4402A30E" w14:textId="77777777" w:rsidR="00B67D7C" w:rsidRPr="00DE096C" w:rsidRDefault="00B67D7C" w:rsidP="00D45A46">
      <w:pPr>
        <w:jc w:val="both"/>
        <w:rPr>
          <w:bCs/>
          <w:color w:val="002060"/>
          <w:sz w:val="16"/>
          <w:szCs w:val="16"/>
        </w:rPr>
      </w:pPr>
      <w:r w:rsidRPr="00DE096C">
        <w:rPr>
          <w:bCs/>
          <w:color w:val="002060"/>
          <w:sz w:val="16"/>
          <w:szCs w:val="16"/>
        </w:rPr>
        <w:t>В 07.1923г. на заводе впервые создано подразделение по проектированию установок пулеметного и бомбардировочного вооружения под руководством В.Ф. Савельева. Работы по пулеметной установке ПУЛ-10 (1926г.), турелям Тур-4, Тур-5, Тур-6, бомбовым держателям Дер-Збис, Дер-5, Дер-6, Дер-&gt;7, Дер-9. Со второй половины 1920-х г. Савельев работает по стрелковым установкам в КБ завода № 25.</w:t>
      </w:r>
    </w:p>
    <w:p w14:paraId="3436329E" w14:textId="77777777" w:rsidR="00B67D7C" w:rsidRPr="00DE096C" w:rsidRDefault="00B67D7C" w:rsidP="00D45A46">
      <w:pPr>
        <w:jc w:val="both"/>
        <w:rPr>
          <w:bCs/>
          <w:color w:val="002060"/>
          <w:sz w:val="16"/>
          <w:szCs w:val="16"/>
        </w:rPr>
      </w:pPr>
      <w:r w:rsidRPr="00DE096C">
        <w:rPr>
          <w:bCs/>
          <w:color w:val="002060"/>
          <w:sz w:val="16"/>
          <w:szCs w:val="16"/>
        </w:rPr>
        <w:t>В 1933г. на заводе построены конструкции В.К. Грибовского: самолет Г-10; первый в мире шханер-«летающая цистерна» Г-14 (ЦЛ-2А) для дозаправки в воздухе самолета-буксировщика.</w:t>
      </w:r>
    </w:p>
    <w:p w14:paraId="1E40ABC5" w14:textId="77777777" w:rsidR="00B67D7C" w:rsidRPr="00DE096C" w:rsidRDefault="00B67D7C" w:rsidP="00D45A46">
      <w:pPr>
        <w:jc w:val="both"/>
        <w:rPr>
          <w:bCs/>
          <w:color w:val="002060"/>
          <w:sz w:val="16"/>
          <w:szCs w:val="16"/>
        </w:rPr>
      </w:pPr>
      <w:r w:rsidRPr="00DE096C">
        <w:rPr>
          <w:bCs/>
          <w:color w:val="002060"/>
          <w:sz w:val="16"/>
          <w:szCs w:val="16"/>
        </w:rPr>
        <w:t>В 1934-40г. при заводе - КБ С.А. Кочери(ы)гина. Приказом № 418сс от 4.11.1938г. заводу было предписано к 1.12.1938г. закончить производство машины «Ш».</w:t>
      </w:r>
    </w:p>
    <w:p w14:paraId="320A6C46" w14:textId="77777777" w:rsidR="00B67D7C" w:rsidRPr="00DE096C" w:rsidRDefault="00B67D7C" w:rsidP="00D45A46">
      <w:pPr>
        <w:jc w:val="both"/>
        <w:rPr>
          <w:bCs/>
          <w:color w:val="002060"/>
          <w:sz w:val="16"/>
          <w:szCs w:val="16"/>
        </w:rPr>
      </w:pPr>
      <w:r w:rsidRPr="00DE096C">
        <w:rPr>
          <w:bCs/>
          <w:color w:val="002060"/>
          <w:sz w:val="16"/>
          <w:szCs w:val="16"/>
        </w:rPr>
        <w:t>Конструктор В.П. Яценко работал на заводе в 1934-37г. (в ОКБ Кочеригина), затем - с 07.1941 по 1948г. Занимался постановкой серийного производства МиГ-3. С 08.1941г. возглавил вновь созданное СКБ завода (по приказу НКАП № 925сс от 29.08.1941г.) по внедрению в серию Ил-2. После войны продолжал деятельность на заводе, был начальником КБ завода (07.1946г.). Затем работал на заводе № 30 МАП.</w:t>
      </w:r>
    </w:p>
    <w:p w14:paraId="54E88CC0" w14:textId="77777777" w:rsidR="00B67D7C" w:rsidRPr="00DE096C" w:rsidRDefault="00B67D7C" w:rsidP="00D45A46">
      <w:pPr>
        <w:jc w:val="both"/>
        <w:rPr>
          <w:bCs/>
          <w:color w:val="002060"/>
          <w:sz w:val="16"/>
          <w:szCs w:val="16"/>
        </w:rPr>
      </w:pPr>
      <w:r w:rsidRPr="00DE096C">
        <w:rPr>
          <w:bCs/>
          <w:color w:val="002060"/>
          <w:sz w:val="16"/>
          <w:szCs w:val="16"/>
        </w:rPr>
        <w:t>В 1936г. И.В. Экк разработал стальной пустотелый в/винт, изготовлено и испытано 2 образца.</w:t>
      </w:r>
    </w:p>
    <w:p w14:paraId="786C7AFD" w14:textId="77777777" w:rsidR="00B67D7C" w:rsidRPr="00DE096C" w:rsidRDefault="00B67D7C" w:rsidP="00D45A46">
      <w:pPr>
        <w:jc w:val="both"/>
        <w:rPr>
          <w:bCs/>
          <w:color w:val="002060"/>
          <w:sz w:val="16"/>
          <w:szCs w:val="16"/>
        </w:rPr>
      </w:pPr>
      <w:r w:rsidRPr="00DE096C">
        <w:rPr>
          <w:bCs/>
          <w:color w:val="002060"/>
          <w:sz w:val="16"/>
          <w:szCs w:val="16"/>
        </w:rPr>
        <w:t xml:space="preserve">По пр. НКОП № 02сс от 10.01.1937г. заводу поручен выпуск протестированных топливных баков: 100 баков для И-15, 31 комплект (124 бака) для </w:t>
      </w:r>
      <w:r w:rsidRPr="00DE096C">
        <w:rPr>
          <w:bCs/>
          <w:color w:val="002060"/>
          <w:sz w:val="16"/>
          <w:szCs w:val="16"/>
          <w:lang w:val="en-US"/>
        </w:rPr>
        <w:t>P</w:t>
      </w:r>
      <w:r w:rsidRPr="00DE096C">
        <w:rPr>
          <w:bCs/>
          <w:color w:val="002060"/>
          <w:sz w:val="16"/>
          <w:szCs w:val="16"/>
        </w:rPr>
        <w:t>-</w:t>
      </w:r>
      <w:r w:rsidRPr="00DE096C">
        <w:rPr>
          <w:bCs/>
          <w:color w:val="002060"/>
          <w:sz w:val="16"/>
          <w:szCs w:val="16"/>
          <w:lang w:val="en-US"/>
        </w:rPr>
        <w:t>Z</w:t>
      </w:r>
      <w:r w:rsidRPr="00DE096C">
        <w:rPr>
          <w:bCs/>
          <w:color w:val="002060"/>
          <w:sz w:val="16"/>
          <w:szCs w:val="16"/>
        </w:rPr>
        <w:t>.</w:t>
      </w:r>
    </w:p>
    <w:p w14:paraId="74B7228F" w14:textId="77777777" w:rsidR="00B67D7C" w:rsidRPr="00DE096C" w:rsidRDefault="00B67D7C" w:rsidP="00D45A46">
      <w:pPr>
        <w:jc w:val="both"/>
        <w:rPr>
          <w:bCs/>
          <w:color w:val="002060"/>
          <w:sz w:val="16"/>
          <w:szCs w:val="16"/>
        </w:rPr>
      </w:pPr>
      <w:r w:rsidRPr="00DE096C">
        <w:rPr>
          <w:bCs/>
          <w:color w:val="002060"/>
          <w:sz w:val="16"/>
          <w:szCs w:val="16"/>
        </w:rPr>
        <w:t>Производственная программа завода на 1937г. включала выпуск 65 ДИ-6 и 25 СР.</w:t>
      </w:r>
    </w:p>
    <w:p w14:paraId="30B5C275" w14:textId="77777777" w:rsidR="00B67D7C" w:rsidRPr="00DE096C" w:rsidRDefault="00B67D7C" w:rsidP="00D45A46">
      <w:pPr>
        <w:jc w:val="both"/>
        <w:rPr>
          <w:bCs/>
          <w:color w:val="002060"/>
          <w:sz w:val="16"/>
          <w:szCs w:val="16"/>
        </w:rPr>
      </w:pPr>
      <w:r w:rsidRPr="00DE096C">
        <w:rPr>
          <w:bCs/>
          <w:color w:val="002060"/>
          <w:sz w:val="16"/>
          <w:szCs w:val="16"/>
        </w:rPr>
        <w:lastRenderedPageBreak/>
        <w:t>Приказом № 0032 от 8.02.1937г. заводу предписано к 1.04.1937г. сдать в эксплуатацию 20 тыс. м</w:t>
      </w:r>
      <w:r w:rsidRPr="00DE096C">
        <w:rPr>
          <w:bCs/>
          <w:color w:val="002060"/>
          <w:sz w:val="16"/>
          <w:szCs w:val="16"/>
          <w:vertAlign w:val="superscript"/>
        </w:rPr>
        <w:t>2</w:t>
      </w:r>
      <w:r w:rsidRPr="00DE096C">
        <w:rPr>
          <w:bCs/>
          <w:color w:val="002060"/>
          <w:sz w:val="16"/>
          <w:szCs w:val="16"/>
        </w:rPr>
        <w:t xml:space="preserve"> площадей главного корпуса и 2-ю очередь центрального конструкторского корпуса. По пр. № 301с от 7.08.1938г. было необходимо на границе заводов № 1 и 39 выбрать площадку для строительства общего прессового корпуса.</w:t>
      </w:r>
    </w:p>
    <w:p w14:paraId="47F1DBBE" w14:textId="77777777" w:rsidR="00B67D7C" w:rsidRPr="00DE096C" w:rsidRDefault="00B67D7C" w:rsidP="00D45A46">
      <w:pPr>
        <w:jc w:val="both"/>
        <w:rPr>
          <w:bCs/>
          <w:color w:val="002060"/>
          <w:sz w:val="16"/>
          <w:szCs w:val="16"/>
        </w:rPr>
      </w:pPr>
      <w:r w:rsidRPr="00DE096C">
        <w:rPr>
          <w:bCs/>
          <w:color w:val="002060"/>
          <w:sz w:val="16"/>
          <w:szCs w:val="16"/>
        </w:rPr>
        <w:t>В соответствии с пост. СТО от 26.12.1936г. с 1937г. начата подготовка к лицензионному производству самолета Вулти ("</w:t>
      </w:r>
      <w:r w:rsidRPr="00DE096C">
        <w:rPr>
          <w:bCs/>
          <w:color w:val="002060"/>
          <w:sz w:val="16"/>
          <w:szCs w:val="16"/>
          <w:lang w:val="en-US"/>
        </w:rPr>
        <w:t>Vultee</w:t>
      </w:r>
      <w:r w:rsidRPr="00DE096C">
        <w:rPr>
          <w:bCs/>
          <w:color w:val="002060"/>
          <w:sz w:val="16"/>
          <w:szCs w:val="16"/>
        </w:rPr>
        <w:t>"), для этого приказом № 00116 от 28.05.1937г. ГПИ-1 должен был к 1.07.1937г. закончить проект расширения завода, приказом № 300с срок окончания проекта был перенесен на 15.08.1938г. (приказом № 418сс от 4.11.1938г. проектирование прекращено). Установка вооружения на самолете (лицензии продавались только на гражданские машины) была поручена Кочеригину. Приказом № 0262 от 9/11.12.1937г. все работы по внедрению самолета в производство поручены КБ Маркова. К 1.02.1938г. требовалось закончить разработку техпроцесса производства для обеспечения выпуска в 1938г. 350 самолетов.</w:t>
      </w:r>
    </w:p>
    <w:p w14:paraId="2487EEAD" w14:textId="77777777" w:rsidR="00B67D7C" w:rsidRPr="00DE096C" w:rsidRDefault="00B67D7C" w:rsidP="00D45A46">
      <w:pPr>
        <w:jc w:val="both"/>
        <w:rPr>
          <w:bCs/>
          <w:color w:val="002060"/>
          <w:sz w:val="16"/>
          <w:szCs w:val="16"/>
        </w:rPr>
      </w:pPr>
      <w:r w:rsidRPr="00DE096C">
        <w:rPr>
          <w:bCs/>
          <w:color w:val="002060"/>
          <w:sz w:val="16"/>
          <w:szCs w:val="16"/>
        </w:rPr>
        <w:t>В 11.1937г. на завод № 126 для освоения ДБ-3 командировано 6 специалистов. По пр. № 0259 от 3.12.1937г., в связи с освоением на заводе «Саркомбайн» выпуска Р-10, туда переведено 7 рабочих и 3 инженера. По пр. № 439сс от 16/19.11.1938г. на завод № 43 командировано на 5 месяцев 38 конструкторов, два специалиста и 30 рабочих.</w:t>
      </w:r>
    </w:p>
    <w:p w14:paraId="0DDC36D8" w14:textId="77777777" w:rsidR="00B67D7C" w:rsidRPr="00DE096C" w:rsidRDefault="00B67D7C" w:rsidP="00D45A46">
      <w:pPr>
        <w:jc w:val="both"/>
        <w:rPr>
          <w:bCs/>
          <w:color w:val="002060"/>
          <w:sz w:val="16"/>
          <w:szCs w:val="16"/>
        </w:rPr>
      </w:pPr>
      <w:r w:rsidRPr="00DE096C">
        <w:rPr>
          <w:bCs/>
          <w:color w:val="002060"/>
          <w:sz w:val="16"/>
          <w:szCs w:val="16"/>
        </w:rPr>
        <w:t>23.05.1938г. на заводе сформирована Инициативная конструкторская группа под руководством</w:t>
      </w:r>
      <w:r w:rsidRPr="00DE096C">
        <w:rPr>
          <w:bCs/>
          <w:i/>
          <w:color w:val="002060"/>
          <w:sz w:val="16"/>
          <w:szCs w:val="16"/>
        </w:rPr>
        <w:t xml:space="preserve"> Я.</w:t>
      </w:r>
      <w:r w:rsidRPr="00DE096C">
        <w:rPr>
          <w:bCs/>
          <w:color w:val="002060"/>
          <w:sz w:val="16"/>
          <w:szCs w:val="16"/>
        </w:rPr>
        <w:t>П. Гавриленко для продолжения работ по штурмовику-легкому бомбардировщику Ш-ЛБ. В 12.1938г. планировалось его изготовление на Красносельской мебельной фабрике, в 02.1939г. работы прекращены.</w:t>
      </w:r>
    </w:p>
    <w:p w14:paraId="5430C7B2" w14:textId="77777777" w:rsidR="00B67D7C" w:rsidRPr="00DE096C" w:rsidRDefault="00B67D7C" w:rsidP="00D45A46">
      <w:pPr>
        <w:jc w:val="both"/>
        <w:rPr>
          <w:bCs/>
          <w:color w:val="002060"/>
          <w:sz w:val="16"/>
          <w:szCs w:val="16"/>
        </w:rPr>
      </w:pPr>
      <w:r w:rsidRPr="00DE096C">
        <w:rPr>
          <w:bCs/>
          <w:color w:val="002060"/>
          <w:sz w:val="16"/>
          <w:szCs w:val="16"/>
        </w:rPr>
        <w:t>По решению правительства № 235сс от 25.09.1938г. и пр. № 404сс от 16.10.1938г. заводу поручено изготовить 4 И-15 с М-62 с турбокомпрессорами к 1.01.1939г.</w:t>
      </w:r>
    </w:p>
    <w:p w14:paraId="6E69DF96" w14:textId="77777777" w:rsidR="00B67D7C" w:rsidRPr="00DE096C" w:rsidRDefault="00B67D7C" w:rsidP="00D45A46">
      <w:pPr>
        <w:jc w:val="both"/>
        <w:rPr>
          <w:bCs/>
          <w:color w:val="002060"/>
          <w:sz w:val="16"/>
          <w:szCs w:val="16"/>
        </w:rPr>
      </w:pPr>
      <w:r w:rsidRPr="00DE096C">
        <w:rPr>
          <w:bCs/>
          <w:color w:val="002060"/>
          <w:sz w:val="16"/>
          <w:szCs w:val="16"/>
        </w:rPr>
        <w:t>В соответствии с пост, правительства № 230сс по пр. № 418сс от 4.11.1938г. запущен в серийное производство И-153 с выпуском в ноябре 50 машин, в декабре - 150 машин. Этим же приказом из 4 имеющихся на заводе КБ</w:t>
      </w:r>
    </w:p>
    <w:p w14:paraId="6EB37B38" w14:textId="77777777" w:rsidR="00B67D7C" w:rsidRPr="00DE096C" w:rsidRDefault="00B67D7C" w:rsidP="00D45A46">
      <w:pPr>
        <w:jc w:val="both"/>
        <w:rPr>
          <w:bCs/>
          <w:color w:val="002060"/>
          <w:sz w:val="16"/>
          <w:szCs w:val="16"/>
        </w:rPr>
      </w:pPr>
      <w:r w:rsidRPr="00DE096C">
        <w:rPr>
          <w:bCs/>
          <w:color w:val="002060"/>
          <w:sz w:val="16"/>
          <w:szCs w:val="16"/>
        </w:rPr>
        <w:t>организовано одно по самолету И-153, передав в него КБ Маркова и Щербакова; на заводе организован единый опытный цех, где сосредоточены все работы по И-153.</w:t>
      </w:r>
    </w:p>
    <w:p w14:paraId="768B0BC0" w14:textId="77777777" w:rsidR="00B67D7C" w:rsidRPr="00DE096C" w:rsidRDefault="00B67D7C" w:rsidP="00D45A46">
      <w:pPr>
        <w:jc w:val="both"/>
        <w:rPr>
          <w:bCs/>
          <w:color w:val="002060"/>
          <w:sz w:val="16"/>
          <w:szCs w:val="16"/>
        </w:rPr>
      </w:pPr>
      <w:r w:rsidRPr="00DE096C">
        <w:rPr>
          <w:bCs/>
          <w:color w:val="002060"/>
          <w:sz w:val="16"/>
          <w:szCs w:val="16"/>
        </w:rPr>
        <w:t>В 1938г. имелся филиал - завод № 25. В 1940г. в качестве филиала заводу № 1 передан завод № 89 НКАП.</w:t>
      </w:r>
    </w:p>
    <w:p w14:paraId="4F4EC10E" w14:textId="77777777" w:rsidR="00B67D7C" w:rsidRPr="00DE096C" w:rsidRDefault="00B67D7C" w:rsidP="00D45A46">
      <w:pPr>
        <w:jc w:val="both"/>
        <w:rPr>
          <w:bCs/>
          <w:color w:val="002060"/>
          <w:sz w:val="16"/>
          <w:szCs w:val="16"/>
        </w:rPr>
      </w:pPr>
      <w:r w:rsidRPr="00DE096C">
        <w:rPr>
          <w:bCs/>
          <w:color w:val="002060"/>
          <w:sz w:val="16"/>
          <w:szCs w:val="16"/>
        </w:rPr>
        <w:t>В 1939г. проектная мощность завода составляла 5000 И-153 в год, годовой план составлял 2550 самолетов. План производства на 1941г. - 3500 МиГ-3.</w:t>
      </w:r>
    </w:p>
    <w:p w14:paraId="1B511D1D" w14:textId="77777777" w:rsidR="00B67D7C" w:rsidRPr="00DE096C" w:rsidRDefault="00B67D7C" w:rsidP="00D45A46">
      <w:pPr>
        <w:jc w:val="both"/>
        <w:rPr>
          <w:bCs/>
          <w:color w:val="002060"/>
          <w:sz w:val="16"/>
          <w:szCs w:val="16"/>
        </w:rPr>
      </w:pPr>
      <w:r w:rsidRPr="00DE096C">
        <w:rPr>
          <w:bCs/>
          <w:color w:val="002060"/>
          <w:sz w:val="16"/>
          <w:szCs w:val="16"/>
        </w:rPr>
        <w:t>4.06.1940г. было принято решение о выпуске на заводе 10 самолетов БШ-2 (Ил-2) с мотором АМ-35 для войсковых испытаний. 26.06.1940г. вышло соответствующее постановление КО. На 1941г. был запланирован выпуск еще 150 машин. Пост. ГКО № 594 от 27.08.1941г. заводу поручено производство Ил-2. 23.09.1941г. вышло постановление ГКО № 708 о ежедневном плане выпуска самолета МиГ-3 - 6 машин с 6-ю РС-82.</w:t>
      </w:r>
    </w:p>
    <w:p w14:paraId="11D6B203" w14:textId="77777777" w:rsidR="00B67D7C" w:rsidRPr="00DE096C" w:rsidRDefault="00B67D7C" w:rsidP="00D45A46">
      <w:pPr>
        <w:jc w:val="both"/>
        <w:rPr>
          <w:bCs/>
          <w:color w:val="002060"/>
          <w:sz w:val="16"/>
          <w:szCs w:val="16"/>
        </w:rPr>
      </w:pPr>
      <w:r w:rsidRPr="00DE096C">
        <w:rPr>
          <w:bCs/>
          <w:color w:val="002060"/>
          <w:sz w:val="16"/>
          <w:szCs w:val="16"/>
        </w:rPr>
        <w:t>По приказу № 317сс от 27.06.1940г. все работы по организации серийного выпуска ББ-22 переданы с завода № 1 на завод № 81, там образовано КБ под руководством инженера Курбала.</w:t>
      </w:r>
    </w:p>
    <w:p w14:paraId="7477D3B6" w14:textId="77777777" w:rsidR="00B67D7C" w:rsidRPr="00DE096C" w:rsidRDefault="00B67D7C" w:rsidP="00D45A46">
      <w:pPr>
        <w:jc w:val="both"/>
        <w:rPr>
          <w:bCs/>
          <w:color w:val="002060"/>
          <w:sz w:val="16"/>
          <w:szCs w:val="16"/>
        </w:rPr>
      </w:pPr>
      <w:r w:rsidRPr="00DE096C">
        <w:rPr>
          <w:bCs/>
          <w:color w:val="002060"/>
          <w:sz w:val="16"/>
          <w:szCs w:val="16"/>
        </w:rPr>
        <w:t>По приказу НКАП № 712с от 19.07.1941г. территория эвакуированного завода № 81 НКАП в Тушино со всеми сооружениями передана заводу № 1. В 03.1942г. на этой территории организован завод № 82 НКАП.</w:t>
      </w:r>
    </w:p>
    <w:p w14:paraId="3401D6EB" w14:textId="77777777" w:rsidR="00B67D7C" w:rsidRPr="00DE096C" w:rsidRDefault="00B67D7C" w:rsidP="00D45A46">
      <w:pPr>
        <w:jc w:val="both"/>
        <w:rPr>
          <w:bCs/>
          <w:color w:val="002060"/>
          <w:sz w:val="16"/>
          <w:szCs w:val="16"/>
        </w:rPr>
      </w:pPr>
      <w:r w:rsidRPr="00DE096C">
        <w:rPr>
          <w:bCs/>
          <w:color w:val="002060"/>
          <w:sz w:val="16"/>
          <w:szCs w:val="16"/>
        </w:rPr>
        <w:t>В 10.1941г. по Постановлению ГКО № 741с от 8.10.1941г. и приказами НКАП № 729сс от 22.07.1941г. и № 1053сс от 9.10.1941г. завод № 1 был эвакуирован в г. Куйбышев,</w:t>
      </w:r>
      <w:r w:rsidRPr="00DE096C">
        <w:rPr>
          <w:bCs/>
          <w:color w:val="002060"/>
          <w:sz w:val="16"/>
          <w:szCs w:val="16"/>
          <w:vertAlign w:val="superscript"/>
        </w:rPr>
        <w:t>47</w:t>
      </w:r>
      <w:r w:rsidRPr="00DE096C">
        <w:rPr>
          <w:bCs/>
          <w:color w:val="002060"/>
          <w:sz w:val="16"/>
          <w:szCs w:val="16"/>
        </w:rPr>
        <w:t xml:space="preserve"> ст. Безымянка на территорию завода № 122 1ГУ НКАП и по приказу № 1084сс от 28.10.1941г. объединен с ним в единый завод № 1 НКАП. К тому времени в состав завода № 122 были влиты по приказу № 705с от 17.07.1941г. эвакуированные заводы № 35 (Смоленск), № 453, № 463 (г. Таллинн), № 464 (г. Рига), № 465 и завод № 8 ОАП (приказ № 984с от 16.09.1941г.). В состав завода № 1 были включены также завод № 89 и № 483 7ГУ НКАП.</w:t>
      </w:r>
    </w:p>
    <w:p w14:paraId="459EBB21" w14:textId="77777777" w:rsidR="00B67D7C" w:rsidRPr="00DE096C" w:rsidRDefault="00B67D7C" w:rsidP="00D45A46">
      <w:pPr>
        <w:jc w:val="both"/>
        <w:rPr>
          <w:bCs/>
          <w:color w:val="002060"/>
          <w:sz w:val="16"/>
          <w:szCs w:val="16"/>
        </w:rPr>
      </w:pPr>
      <w:r w:rsidRPr="00DE096C">
        <w:rPr>
          <w:bCs/>
          <w:color w:val="002060"/>
          <w:sz w:val="16"/>
          <w:szCs w:val="16"/>
        </w:rPr>
        <w:t>Завод № 1 имел филиал в г. Куйбышеве, образованный в 1941г. на базе бывшей мебельной фабрики. По приказу № 306с/203пс от 24.07.1945г. филиал передан в ведение Наркомлеса.</w:t>
      </w:r>
    </w:p>
    <w:p w14:paraId="757DBEF2" w14:textId="77777777" w:rsidR="00B67D7C" w:rsidRPr="00DE096C" w:rsidRDefault="00B67D7C" w:rsidP="00D45A46">
      <w:pPr>
        <w:jc w:val="both"/>
        <w:rPr>
          <w:bCs/>
          <w:color w:val="002060"/>
          <w:sz w:val="16"/>
          <w:szCs w:val="16"/>
        </w:rPr>
      </w:pPr>
      <w:r w:rsidRPr="00DE096C">
        <w:rPr>
          <w:bCs/>
          <w:color w:val="002060"/>
          <w:sz w:val="16"/>
          <w:szCs w:val="16"/>
        </w:rPr>
        <w:t>С 10.1941г. на территории завода № 1 в г. Москве образованы Самолетные ремонтные мастерские при Ремотделе НКАП (начальник - А.Т. Карев). В соответствии с пост. ГКО № 1038 от 17.12.1941г. на территории завода образован новый Завод № 30 НКАП по выпуску самолетов Як-1.</w:t>
      </w:r>
    </w:p>
    <w:p w14:paraId="74134192" w14:textId="77777777" w:rsidR="00B67D7C" w:rsidRPr="00DE096C" w:rsidRDefault="00B67D7C" w:rsidP="00D45A46">
      <w:pPr>
        <w:jc w:val="both"/>
        <w:rPr>
          <w:bCs/>
          <w:color w:val="002060"/>
          <w:sz w:val="16"/>
          <w:szCs w:val="16"/>
        </w:rPr>
      </w:pPr>
      <w:r w:rsidRPr="00DE096C">
        <w:rPr>
          <w:bCs/>
          <w:color w:val="002060"/>
          <w:sz w:val="16"/>
          <w:szCs w:val="16"/>
        </w:rPr>
        <w:t>Пост. ГКО № 1376сс от 3.03.1942г. заводу № 1 утвержден суточный план на 03.1942г. по выпуску Ил-2: с 1 по 5 марта - 13 машин, с 6 по 10 - 16, с 11 по 15 - 17, с 16 по 20 -20 и с 21 по 31 марта-22 машины. В соответствии с пост. ГКО № 2374 от 5.10.1942г. запущен в серию двухместный Ил-2 с двигателем АМ-38. К концу октября завод должен был выпустить 70 машин. Пост. ГКО № 3144 от 10.04.1943г. на заводе был запущен в серию Ил- 2КР. 3.04.1944г. вышло постановление ГКО № 5526 об ускорении производства Ил-2 с металлическими крыльями на заводе.</w:t>
      </w:r>
    </w:p>
    <w:p w14:paraId="21C78164" w14:textId="77777777" w:rsidR="00B67D7C" w:rsidRPr="00DE096C" w:rsidRDefault="00B67D7C" w:rsidP="00D45A46">
      <w:pPr>
        <w:jc w:val="both"/>
        <w:rPr>
          <w:bCs/>
          <w:color w:val="002060"/>
          <w:sz w:val="16"/>
          <w:szCs w:val="16"/>
        </w:rPr>
      </w:pPr>
      <w:r w:rsidRPr="00DE096C">
        <w:rPr>
          <w:bCs/>
          <w:color w:val="002060"/>
          <w:sz w:val="16"/>
          <w:szCs w:val="16"/>
        </w:rPr>
        <w:t>В 03.1943г. на завод передана часть оборудования завода № 381 НКАП, реэвакуированного из Нижнего Тагила. В начале 1944г. часть оборудования завода передана для формирования нового завода № 473 НКАП.</w:t>
      </w:r>
    </w:p>
    <w:p w14:paraId="7DBB9CD6" w14:textId="77777777" w:rsidR="00B67D7C" w:rsidRPr="00DE096C" w:rsidRDefault="00B67D7C" w:rsidP="00D45A46">
      <w:pPr>
        <w:jc w:val="both"/>
        <w:rPr>
          <w:bCs/>
          <w:color w:val="002060"/>
          <w:sz w:val="16"/>
          <w:szCs w:val="16"/>
        </w:rPr>
      </w:pPr>
      <w:r w:rsidRPr="00DE096C">
        <w:rPr>
          <w:bCs/>
          <w:color w:val="002060"/>
          <w:sz w:val="16"/>
          <w:szCs w:val="16"/>
        </w:rPr>
        <w:t>23.07.1944г. вышло постановление ГКО № 6246 о производстве Ил-10 на заводе.</w:t>
      </w:r>
    </w:p>
    <w:p w14:paraId="217CB0D6" w14:textId="77777777" w:rsidR="00B67D7C" w:rsidRPr="00DE096C" w:rsidRDefault="00B67D7C" w:rsidP="00D45A46">
      <w:pPr>
        <w:jc w:val="both"/>
        <w:rPr>
          <w:bCs/>
          <w:color w:val="002060"/>
          <w:sz w:val="16"/>
          <w:szCs w:val="16"/>
        </w:rPr>
      </w:pPr>
      <w:r w:rsidRPr="00DE096C">
        <w:rPr>
          <w:bCs/>
          <w:color w:val="002060"/>
          <w:sz w:val="16"/>
          <w:szCs w:val="16"/>
        </w:rPr>
        <w:t>С 1.11.1948г. завод передан из ЮГУ в 1ГУ, а с 1.01.1953г. - обратно в ЮГУ. В соответствии с пост. СМ СССР № 713-342 от 26.06.1957г. передан в ведение СНХ РСФСР.</w:t>
      </w:r>
    </w:p>
    <w:p w14:paraId="4798B538" w14:textId="77777777" w:rsidR="00B67D7C" w:rsidRPr="00DE096C" w:rsidRDefault="00B67D7C" w:rsidP="00D45A46">
      <w:pPr>
        <w:jc w:val="both"/>
        <w:rPr>
          <w:bCs/>
          <w:color w:val="002060"/>
          <w:sz w:val="16"/>
          <w:szCs w:val="16"/>
        </w:rPr>
      </w:pPr>
      <w:r w:rsidRPr="00DE096C">
        <w:rPr>
          <w:bCs/>
          <w:color w:val="002060"/>
          <w:sz w:val="16"/>
          <w:szCs w:val="16"/>
        </w:rPr>
        <w:t>В соответствии с ПСМ № 2460-1017 от 19.09.1953г. начато производство бомбардировщика Ту-16, первая машина из агрегатов завода № 22 собрана в 1954г. Всего выпущено 40 серий (1-10 по 5 машин, 11-20 по 10 машин, 21-40 по 20 машин).</w:t>
      </w:r>
    </w:p>
    <w:p w14:paraId="486CF704" w14:textId="77777777" w:rsidR="00B67D7C" w:rsidRPr="00DE096C" w:rsidRDefault="00B67D7C" w:rsidP="00D45A46">
      <w:pPr>
        <w:jc w:val="both"/>
        <w:rPr>
          <w:bCs/>
          <w:color w:val="002060"/>
          <w:sz w:val="16"/>
          <w:szCs w:val="16"/>
        </w:rPr>
      </w:pPr>
      <w:r w:rsidRPr="00DE096C">
        <w:rPr>
          <w:bCs/>
          <w:color w:val="002060"/>
          <w:sz w:val="16"/>
          <w:szCs w:val="16"/>
        </w:rPr>
        <w:t>По инициативе С.П. Королева 2.01.1958г. принято постановление СМ СССР № 2-1, в соответствии с которым завод № 1 передан в ведение ГКОТ, перепрофилирован на производство ракетной техники и определен головным по производству БР Р-7. В 04.1958г. на заводе выпущены последние самолеты, а к концу года построены первые две ракеты.</w:t>
      </w:r>
    </w:p>
    <w:p w14:paraId="174D2DD8" w14:textId="77777777" w:rsidR="00B67D7C" w:rsidRPr="00DE096C" w:rsidRDefault="00B67D7C" w:rsidP="00D45A46">
      <w:pPr>
        <w:jc w:val="both"/>
        <w:rPr>
          <w:bCs/>
          <w:color w:val="002060"/>
          <w:sz w:val="16"/>
          <w:szCs w:val="16"/>
        </w:rPr>
      </w:pPr>
      <w:r w:rsidRPr="00DE096C">
        <w:rPr>
          <w:bCs/>
          <w:color w:val="002060"/>
          <w:sz w:val="16"/>
          <w:szCs w:val="16"/>
        </w:rPr>
        <w:t xml:space="preserve">Для конструкторского сопровождения серийного производства ракет при заводе в 1958г. образован отдел № 25, подчиненный ОКБ-1 МОП. По постановлению СМ от 23.06.1960г. на базе отдела № 25 образован филиал № 3 ОКБ-1 Королёва, с 1967г. получивший название Куйбышевский филиал ЦКБЭМ. По приказу </w:t>
      </w:r>
      <w:r w:rsidRPr="00DE096C">
        <w:rPr>
          <w:bCs/>
          <w:color w:val="002060"/>
          <w:sz w:val="16"/>
          <w:szCs w:val="16"/>
          <w:lang w:val="en-US"/>
        </w:rPr>
        <w:t>MOM</w:t>
      </w:r>
      <w:r w:rsidRPr="00DE096C">
        <w:rPr>
          <w:bCs/>
          <w:color w:val="002060"/>
          <w:sz w:val="16"/>
          <w:szCs w:val="16"/>
        </w:rPr>
        <w:t>от 30.06.1974г. филиал преобразован в самостоятельное ЦСКБ, а из него часть коллектива выделена в новый филиал при заводе под руководством Б. Пензина.</w:t>
      </w:r>
    </w:p>
    <w:p w14:paraId="06E485B3" w14:textId="77777777" w:rsidR="00B67D7C" w:rsidRPr="00DE096C" w:rsidRDefault="00B67D7C" w:rsidP="00D45A46">
      <w:pPr>
        <w:jc w:val="both"/>
        <w:rPr>
          <w:bCs/>
          <w:color w:val="002060"/>
          <w:sz w:val="16"/>
          <w:szCs w:val="16"/>
        </w:rPr>
      </w:pPr>
      <w:r w:rsidRPr="00DE096C">
        <w:rPr>
          <w:bCs/>
          <w:color w:val="002060"/>
          <w:sz w:val="16"/>
          <w:szCs w:val="16"/>
        </w:rPr>
        <w:t>В 1960-е г. создан филиал на Байконуре для работ по Н1-ЛЗ. В 2004г. существовал Московский филиал.</w:t>
      </w:r>
    </w:p>
    <w:p w14:paraId="07E9C96C" w14:textId="77777777" w:rsidR="00B67D7C" w:rsidRPr="00DE096C" w:rsidRDefault="00B67D7C" w:rsidP="00D45A46">
      <w:pPr>
        <w:jc w:val="both"/>
        <w:rPr>
          <w:bCs/>
          <w:color w:val="002060"/>
          <w:sz w:val="16"/>
          <w:szCs w:val="16"/>
        </w:rPr>
      </w:pPr>
      <w:r w:rsidRPr="00DE096C">
        <w:rPr>
          <w:bCs/>
          <w:color w:val="002060"/>
          <w:sz w:val="16"/>
          <w:szCs w:val="16"/>
        </w:rPr>
        <w:t>В 1970-е г. завод был основным исполнителем по сборке и испытаниям МКС «Энергия-Буран» в целом, по изготовлению центрального блока. Был создан стенд для криогенных испытаний баков.</w:t>
      </w:r>
    </w:p>
    <w:p w14:paraId="2EE0D9DA" w14:textId="77777777" w:rsidR="00B67D7C" w:rsidRPr="00DE096C" w:rsidRDefault="00B67D7C" w:rsidP="00D45A46">
      <w:pPr>
        <w:jc w:val="both"/>
        <w:rPr>
          <w:bCs/>
          <w:color w:val="002060"/>
          <w:sz w:val="16"/>
          <w:szCs w:val="16"/>
        </w:rPr>
      </w:pPr>
      <w:r w:rsidRPr="00DE096C">
        <w:rPr>
          <w:bCs/>
          <w:color w:val="002060"/>
          <w:sz w:val="16"/>
          <w:szCs w:val="16"/>
        </w:rPr>
        <w:t>В соответствии с ПСМ № 40-10 от 13.01.1970г. начата разработка специализированного биологического спутника «Бион» для медицинских исследований в обеспечение длительных полетов экипажей космических кораблей. Создан первый отечественный спутник оптико-электронной разведки «Терилен».</w:t>
      </w:r>
    </w:p>
    <w:p w14:paraId="03123AB8" w14:textId="77777777" w:rsidR="00B67D7C" w:rsidRPr="00DE096C" w:rsidRDefault="00B67D7C" w:rsidP="00D45A46">
      <w:pPr>
        <w:jc w:val="both"/>
        <w:rPr>
          <w:bCs/>
          <w:color w:val="002060"/>
          <w:sz w:val="16"/>
          <w:szCs w:val="16"/>
        </w:rPr>
      </w:pPr>
      <w:r w:rsidRPr="00DE096C">
        <w:rPr>
          <w:bCs/>
          <w:color w:val="002060"/>
          <w:sz w:val="16"/>
          <w:szCs w:val="16"/>
        </w:rPr>
        <w:t>В составе предприятия корпуса: сборочный «Ю» (высотой 80м), узловой сборки, химфрезерования.</w:t>
      </w:r>
    </w:p>
    <w:p w14:paraId="6D6352FF" w14:textId="77777777" w:rsidR="00B67D7C" w:rsidRPr="00DE096C" w:rsidRDefault="00B67D7C" w:rsidP="00D45A46">
      <w:pPr>
        <w:jc w:val="both"/>
        <w:rPr>
          <w:bCs/>
          <w:color w:val="002060"/>
          <w:sz w:val="16"/>
          <w:szCs w:val="16"/>
        </w:rPr>
      </w:pPr>
      <w:r w:rsidRPr="00DE096C">
        <w:rPr>
          <w:bCs/>
          <w:color w:val="002060"/>
          <w:sz w:val="16"/>
          <w:szCs w:val="16"/>
        </w:rPr>
        <w:t xml:space="preserve">В 1961г. завод № 1 переименован в завод «Прогресс», в 1965г. передан из системы СНХ в подчинение ЗГУ </w:t>
      </w:r>
      <w:r w:rsidRPr="00DE096C">
        <w:rPr>
          <w:bCs/>
          <w:color w:val="002060"/>
          <w:sz w:val="16"/>
          <w:szCs w:val="16"/>
          <w:lang w:val="en-US"/>
        </w:rPr>
        <w:t>MOM</w:t>
      </w:r>
      <w:r w:rsidRPr="00DE096C">
        <w:rPr>
          <w:bCs/>
          <w:color w:val="002060"/>
          <w:sz w:val="16"/>
          <w:szCs w:val="16"/>
        </w:rPr>
        <w:t>. В 1989г. на базе завода создано ПО «Прогресс». С 1992г. - Самарский завод «Прогресс». Указом Президента № 531 от 12.04.1996г. ПО «Прогресс» и ЦСКБ слиты в единый ГНП РКЦ «ЦСКБ-Прогресс». По Указу Президента РФ № 1009 от 4.08.2004г. вошло в перечень стратегических оборонных предприятий.</w:t>
      </w:r>
    </w:p>
    <w:p w14:paraId="1673FCA6" w14:textId="77777777" w:rsidR="00B67D7C" w:rsidRPr="00DE096C" w:rsidRDefault="00B67D7C" w:rsidP="00D45A46">
      <w:pPr>
        <w:jc w:val="both"/>
        <w:rPr>
          <w:bCs/>
          <w:color w:val="002060"/>
          <w:sz w:val="16"/>
          <w:szCs w:val="16"/>
        </w:rPr>
      </w:pPr>
      <w:r w:rsidRPr="00DE096C">
        <w:rPr>
          <w:bCs/>
          <w:color w:val="002060"/>
          <w:sz w:val="16"/>
          <w:szCs w:val="16"/>
        </w:rPr>
        <w:t>Работы (2002г.): создание, модернизация, производство ракетно-космических комплексов, систем зондирования Земли, исследований в области астрофизики, ядерной физики, микрогравитации, космического материаловедения, биотехнологии, космической медицины; создание перспективных комплексов управления и программно-математического обеспечения. (2005г.): КА для МО: «Барс», «Лиана», «Персона»; разработка РН повышенной грузоподъемности «Союз 2-3».</w:t>
      </w:r>
    </w:p>
    <w:p w14:paraId="7AB02805" w14:textId="77777777" w:rsidR="00B67D7C" w:rsidRPr="00DE096C" w:rsidRDefault="00B67D7C" w:rsidP="00D45A46">
      <w:pPr>
        <w:jc w:val="both"/>
        <w:rPr>
          <w:bCs/>
          <w:color w:val="002060"/>
          <w:sz w:val="16"/>
          <w:szCs w:val="16"/>
        </w:rPr>
      </w:pPr>
      <w:r w:rsidRPr="00DE096C">
        <w:rPr>
          <w:bCs/>
          <w:color w:val="002060"/>
          <w:sz w:val="16"/>
          <w:szCs w:val="16"/>
        </w:rPr>
        <w:t>Количество оборудования: (1925г.)- 475 ед., (1926г.)- 562 ед., (11.1940г.)- 1487 металлорежущих станков.</w:t>
      </w:r>
    </w:p>
    <w:p w14:paraId="52FC3F1A" w14:textId="77777777" w:rsidR="00B67D7C" w:rsidRPr="00DE096C" w:rsidRDefault="00B67D7C" w:rsidP="00D45A46">
      <w:pPr>
        <w:jc w:val="both"/>
        <w:rPr>
          <w:bCs/>
          <w:color w:val="002060"/>
          <w:sz w:val="16"/>
          <w:szCs w:val="16"/>
        </w:rPr>
      </w:pPr>
      <w:r w:rsidRPr="00DE096C">
        <w:rPr>
          <w:bCs/>
          <w:color w:val="002060"/>
          <w:sz w:val="16"/>
          <w:szCs w:val="16"/>
        </w:rPr>
        <w:t>Площадь: территории (1925г.)- 135 тыс. м</w:t>
      </w:r>
      <w:r w:rsidRPr="00DE096C">
        <w:rPr>
          <w:bCs/>
          <w:color w:val="002060"/>
          <w:sz w:val="16"/>
          <w:szCs w:val="16"/>
          <w:vertAlign w:val="superscript"/>
        </w:rPr>
        <w:t>2</w:t>
      </w:r>
      <w:r w:rsidRPr="00DE096C">
        <w:rPr>
          <w:bCs/>
          <w:color w:val="002060"/>
          <w:sz w:val="16"/>
          <w:szCs w:val="16"/>
        </w:rPr>
        <w:t>; производственная (1925г.)- 17,7 тыс. м</w:t>
      </w:r>
      <w:r w:rsidRPr="00DE096C">
        <w:rPr>
          <w:bCs/>
          <w:color w:val="002060"/>
          <w:sz w:val="16"/>
          <w:szCs w:val="16"/>
          <w:vertAlign w:val="superscript"/>
        </w:rPr>
        <w:t>2</w:t>
      </w:r>
      <w:r w:rsidRPr="00DE096C">
        <w:rPr>
          <w:bCs/>
          <w:color w:val="002060"/>
          <w:sz w:val="16"/>
          <w:szCs w:val="16"/>
        </w:rPr>
        <w:t>; вспомогательная (1925г.)- 13,6 тыс. м</w:t>
      </w:r>
      <w:r w:rsidRPr="00DE096C">
        <w:rPr>
          <w:bCs/>
          <w:color w:val="002060"/>
          <w:sz w:val="16"/>
          <w:szCs w:val="16"/>
          <w:vertAlign w:val="superscript"/>
        </w:rPr>
        <w:t>2</w:t>
      </w:r>
      <w:r w:rsidRPr="00DE096C">
        <w:rPr>
          <w:bCs/>
          <w:color w:val="002060"/>
          <w:sz w:val="16"/>
          <w:szCs w:val="16"/>
        </w:rPr>
        <w:t>.</w:t>
      </w:r>
    </w:p>
    <w:p w14:paraId="320DA8E1" w14:textId="77777777" w:rsidR="00B67D7C" w:rsidRPr="00DE096C" w:rsidRDefault="00B67D7C" w:rsidP="00D45A46">
      <w:pPr>
        <w:jc w:val="both"/>
        <w:rPr>
          <w:bCs/>
          <w:color w:val="002060"/>
          <w:sz w:val="16"/>
          <w:szCs w:val="16"/>
        </w:rPr>
      </w:pPr>
      <w:r w:rsidRPr="00DE096C">
        <w:rPr>
          <w:bCs/>
          <w:color w:val="002060"/>
          <w:sz w:val="16"/>
          <w:szCs w:val="16"/>
        </w:rPr>
        <w:t>Численность персонала (1900г.)- 115 чел., (1914г.)- 871 чел., (10.1919г.)- 760 чел., (1.10.1925г.)- 1970 чел., (1.01.1926г.)- 1900 чел., (12.1926г.)- 1510 чел.</w:t>
      </w:r>
    </w:p>
    <w:p w14:paraId="511490CF" w14:textId="77777777" w:rsidR="00B67D7C" w:rsidRPr="00DE096C" w:rsidRDefault="00B67D7C" w:rsidP="00D45A46">
      <w:pPr>
        <w:jc w:val="both"/>
        <w:rPr>
          <w:bCs/>
          <w:color w:val="002060"/>
          <w:sz w:val="16"/>
          <w:szCs w:val="16"/>
        </w:rPr>
      </w:pPr>
      <w:r w:rsidRPr="00DE096C">
        <w:rPr>
          <w:bCs/>
          <w:color w:val="002060"/>
          <w:sz w:val="16"/>
          <w:szCs w:val="16"/>
        </w:rPr>
        <w:t xml:space="preserve">Директор (1916г.)- Ю.А. Меллер. Управляющий (-1924-18.02.1925г.)- И.М. Немцов, (18.02.1925г.-)- М.В. Бавтуто. Директор (-1926г.)- М.В. Бавтуто, (1926г.)- Онуфриев, (-04.1926-06.1928г.-)- В.М. Десятников; (06.1930г.)- Петров; (-1934-37г.)- </w:t>
      </w:r>
      <w:r w:rsidRPr="00DE096C">
        <w:rPr>
          <w:bCs/>
          <w:color w:val="002060"/>
          <w:sz w:val="16"/>
          <w:szCs w:val="16"/>
          <w:lang w:val="en-US"/>
        </w:rPr>
        <w:t>A</w:t>
      </w:r>
      <w:r w:rsidRPr="00DE096C">
        <w:rPr>
          <w:bCs/>
          <w:color w:val="002060"/>
          <w:sz w:val="16"/>
          <w:szCs w:val="16"/>
        </w:rPr>
        <w:t>.</w:t>
      </w:r>
      <w:r w:rsidRPr="00DE096C">
        <w:rPr>
          <w:bCs/>
          <w:color w:val="002060"/>
          <w:sz w:val="16"/>
          <w:szCs w:val="16"/>
          <w:lang w:val="en-US"/>
        </w:rPr>
        <w:t>M</w:t>
      </w:r>
      <w:r w:rsidRPr="00DE096C">
        <w:rPr>
          <w:bCs/>
          <w:color w:val="002060"/>
          <w:sz w:val="16"/>
          <w:szCs w:val="16"/>
        </w:rPr>
        <w:t>. Беленкович, (-01.1937-7.08.1938г.)- А.Ф(В). Сидора, (7.08-11.1938г.-)- П.А. Воронин, (02.1940-41г.)- П.В. Дементьев, (-08.1941-03.1944г.-)- А.Т. Третьяков, (-1951-59г.-)- г В.Я. Литвинов, А.Я. Леньков, А.Т. Абрамов. Гендиректор (-1977-середина 90-х-)- А.А. Чижов. Гендиректор (-2002-06.2003г.)- Д.И. Козлов, (09.2003-06г.-)- А.Н. Кирилин.</w:t>
      </w:r>
    </w:p>
    <w:p w14:paraId="1D044392" w14:textId="77777777" w:rsidR="00B67D7C" w:rsidRPr="00DE096C" w:rsidRDefault="00B67D7C" w:rsidP="00D45A46">
      <w:pPr>
        <w:jc w:val="both"/>
        <w:rPr>
          <w:bCs/>
          <w:color w:val="002060"/>
          <w:sz w:val="16"/>
          <w:szCs w:val="16"/>
        </w:rPr>
      </w:pPr>
      <w:r w:rsidRPr="00DE096C">
        <w:rPr>
          <w:bCs/>
          <w:color w:val="002060"/>
          <w:sz w:val="16"/>
          <w:szCs w:val="16"/>
        </w:rPr>
        <w:t>1-й зам. гендиректора (2002г.)- Б.Н. Мелиоранский, (2002г.)- В.Д. Козлов, (-2002-03г.)- А.Н. Кирилин, (2006г.)- Р. Ахметов. Зам. директора: по бывшему ГАЗ-5 (-15.09.1925г.)- И.Я. Ковалев; (-7.08.1925г.)- С.И. Петриковский, (1926г.)- Бавтуто, (06.1937г.)- Е.П. Шекунов, (12.1937г.)- Чудненко; и.о. 2-го зам. директора (25.04.1925г.-)- Ковалев. Зам. Гендиректора (-2002-03г.)- Г.П. Аншаков, (2005г.)- Г.Я. Сонис. Помощник директора: по техчасти (-04.1926-06.1928г.-)- И.М. Косткин; по коммерческой части (1926г.)- Черненко; по найму и увольнению (-06.1937-27.11.1938г.)- В.Н. Александров, (27.11.1938г.-)- Г.А. Иванов.</w:t>
      </w:r>
    </w:p>
    <w:p w14:paraId="47A100DF" w14:textId="77777777" w:rsidR="00B67D7C" w:rsidRPr="00DE096C" w:rsidRDefault="00B67D7C" w:rsidP="00D45A46">
      <w:pPr>
        <w:jc w:val="both"/>
        <w:rPr>
          <w:bCs/>
          <w:color w:val="002060"/>
          <w:sz w:val="16"/>
          <w:szCs w:val="16"/>
        </w:rPr>
      </w:pPr>
      <w:r w:rsidRPr="00DE096C">
        <w:rPr>
          <w:bCs/>
          <w:color w:val="002060"/>
          <w:sz w:val="16"/>
          <w:szCs w:val="16"/>
        </w:rPr>
        <w:t>Технический директор (1912-14г.)- Ф.Э. Моска, (осень 1923-осень 1924г.)- Д.П. Григорович, (09.1929г.)- И.М. Косткин. Заведующий производством (1924-25г.)- Н.Н. Поликарпов, (1928г.)- И.М. Косткин. Начальник производства (12.1937г.)- Карпов, (05.1938г.)- Воронин.</w:t>
      </w:r>
    </w:p>
    <w:p w14:paraId="06AB33C5" w14:textId="77777777" w:rsidR="00B67D7C" w:rsidRPr="00DE096C" w:rsidRDefault="00B67D7C" w:rsidP="00D45A46">
      <w:pPr>
        <w:jc w:val="both"/>
        <w:rPr>
          <w:bCs/>
          <w:color w:val="002060"/>
          <w:sz w:val="16"/>
          <w:szCs w:val="16"/>
        </w:rPr>
      </w:pPr>
      <w:r w:rsidRPr="00DE096C">
        <w:rPr>
          <w:bCs/>
          <w:color w:val="002060"/>
          <w:sz w:val="16"/>
          <w:szCs w:val="16"/>
        </w:rPr>
        <w:t>И.О. гл. инженера (05.1937г.)- Ю.Н. Карпов. Гл. инженер (-06.1937-26.07.1938г.)- Е.П. Шекунов (снят), (7.08.1938г.-)- П.В. Дементьев.</w:t>
      </w:r>
    </w:p>
    <w:p w14:paraId="70EDCE5A" w14:textId="77777777" w:rsidR="00B67D7C" w:rsidRPr="00DE096C" w:rsidRDefault="00B67D7C" w:rsidP="00D45A46">
      <w:pPr>
        <w:jc w:val="both"/>
        <w:rPr>
          <w:bCs/>
          <w:color w:val="002060"/>
          <w:sz w:val="16"/>
          <w:szCs w:val="16"/>
        </w:rPr>
      </w:pPr>
      <w:r w:rsidRPr="00DE096C">
        <w:rPr>
          <w:bCs/>
          <w:color w:val="002060"/>
          <w:sz w:val="16"/>
          <w:szCs w:val="16"/>
        </w:rPr>
        <w:t>Гл. конструктор (1923-24г.)- Д.П. Григорович, (1932г.-)- Д.С. Марков, (12.1937г.)- С.А. Кочеригин, (3.12.1940г.-)- А.И. Микоян. Ген. конструктор (-2002-06.2003г.)- Д.И. Козлов, С. Петренко.</w:t>
      </w:r>
    </w:p>
    <w:p w14:paraId="6E123EF7" w14:textId="77777777" w:rsidR="00B67D7C" w:rsidRPr="00DE096C" w:rsidRDefault="00B67D7C" w:rsidP="00D45A46">
      <w:pPr>
        <w:jc w:val="both"/>
        <w:rPr>
          <w:bCs/>
          <w:color w:val="002060"/>
          <w:sz w:val="16"/>
          <w:szCs w:val="16"/>
        </w:rPr>
      </w:pPr>
      <w:r w:rsidRPr="00DE096C">
        <w:rPr>
          <w:bCs/>
          <w:color w:val="002060"/>
          <w:sz w:val="16"/>
          <w:szCs w:val="16"/>
        </w:rPr>
        <w:t>1-й зам. Ген. Конструктора (2002г.)- Г.П. Аншаков, (2002г.)- А.В. Чечин. Зам. гл. конструктора (1935г.-)- С.М. Лавочкин, (12.1937г.)- Д.С. Марков (арестован), (12.1939г.)- А.И. Микоян. Зам. ген. конструктора: по экономике и координации (2002г.)- Б.Н. Мелиоранский; по ВЭС (2002г.)- В.Д. Козлов; (-2002-03г.)- Г.П. Аншаков. Гл. механик (03.1927г.)- Шпаковский. Архитектор (03.1927г.)- Лавров. Начальники цехов: № 51 (23.07.1937г.-)- В.И. Ленкин; (1998г.)- А. Лунев.</w:t>
      </w:r>
    </w:p>
    <w:p w14:paraId="4D0675B4" w14:textId="77777777" w:rsidR="00B67D7C" w:rsidRPr="00DE096C" w:rsidRDefault="00B67D7C" w:rsidP="00D45A46">
      <w:pPr>
        <w:jc w:val="both"/>
        <w:rPr>
          <w:bCs/>
          <w:color w:val="002060"/>
          <w:sz w:val="16"/>
          <w:szCs w:val="16"/>
        </w:rPr>
      </w:pPr>
      <w:r w:rsidRPr="00DE096C">
        <w:rPr>
          <w:bCs/>
          <w:color w:val="002060"/>
          <w:sz w:val="16"/>
          <w:szCs w:val="16"/>
        </w:rPr>
        <w:t>Заведующие отделами: гидропланным (-1916г.)- А.Н. Туполев; прокатным (-03.1927-06.1928г.-)- Ю.Г. Музалевский; плановым (06.1928г.)- Тисов. Начальники отделов: технического (1918-23г.-)- Н.Н. Поликарпов; КО (1931-32г.)- Д.С. Марков; № 25 (06.1959г.-)- Д.И. Козлов.</w:t>
      </w:r>
    </w:p>
    <w:p w14:paraId="0BDE4A7E" w14:textId="77777777" w:rsidR="00B67D7C" w:rsidRPr="00DE096C" w:rsidRDefault="00B67D7C" w:rsidP="00D45A46">
      <w:pPr>
        <w:jc w:val="both"/>
        <w:rPr>
          <w:bCs/>
          <w:color w:val="002060"/>
          <w:sz w:val="16"/>
          <w:szCs w:val="16"/>
        </w:rPr>
      </w:pPr>
      <w:r w:rsidRPr="00DE096C">
        <w:rPr>
          <w:bCs/>
          <w:color w:val="002060"/>
          <w:sz w:val="16"/>
          <w:szCs w:val="16"/>
        </w:rPr>
        <w:lastRenderedPageBreak/>
        <w:t>Зам. начальника отдела: мобилизационного (06.1938г.)- В.Д. Полозенко.</w:t>
      </w:r>
    </w:p>
    <w:p w14:paraId="69DC7DEA" w14:textId="77777777" w:rsidR="00B67D7C" w:rsidRPr="00DE096C" w:rsidRDefault="00B67D7C" w:rsidP="00D45A46">
      <w:pPr>
        <w:jc w:val="both"/>
        <w:rPr>
          <w:bCs/>
          <w:color w:val="002060"/>
          <w:sz w:val="16"/>
          <w:szCs w:val="16"/>
        </w:rPr>
      </w:pPr>
      <w:r w:rsidRPr="00DE096C">
        <w:rPr>
          <w:bCs/>
          <w:color w:val="002060"/>
          <w:sz w:val="16"/>
          <w:szCs w:val="16"/>
        </w:rPr>
        <w:t>Заведующий; бюро: моблизационным (03.1927г.)- Епанешников; секретной частью (06.1930г.)- Д.С. Чувахин. Начальник канцелярии (1924г.)- Закошанский.</w:t>
      </w:r>
    </w:p>
    <w:p w14:paraId="4AD77869" w14:textId="77777777" w:rsidR="00B67D7C" w:rsidRPr="00DE096C" w:rsidRDefault="00B67D7C" w:rsidP="00D45A46">
      <w:pPr>
        <w:jc w:val="both"/>
        <w:rPr>
          <w:bCs/>
          <w:color w:val="002060"/>
          <w:sz w:val="16"/>
          <w:szCs w:val="16"/>
        </w:rPr>
      </w:pPr>
      <w:r w:rsidRPr="00DE096C">
        <w:rPr>
          <w:bCs/>
          <w:i/>
          <w:color w:val="002060"/>
          <w:sz w:val="16"/>
          <w:szCs w:val="16"/>
        </w:rPr>
        <w:t>Производство:</w:t>
      </w:r>
      <w:r w:rsidRPr="00DE096C">
        <w:rPr>
          <w:bCs/>
          <w:color w:val="002060"/>
          <w:sz w:val="16"/>
          <w:szCs w:val="16"/>
        </w:rPr>
        <w:t xml:space="preserve"> велосипеды «Дукс боевой» (1915-); мотоциклетки «Мото-Рев-Дукс» (1901-15); паромобили «Дукс» (-1902); автомобили «Дуксмобиль» (1903-); электрические омнибусы (1903);</w:t>
      </w:r>
    </w:p>
    <w:p w14:paraId="47333E65" w14:textId="77777777" w:rsidR="00B67D7C" w:rsidRPr="00DE096C" w:rsidRDefault="00B67D7C" w:rsidP="00D45A46">
      <w:pPr>
        <w:jc w:val="both"/>
        <w:rPr>
          <w:bCs/>
          <w:color w:val="002060"/>
          <w:sz w:val="16"/>
          <w:szCs w:val="16"/>
        </w:rPr>
      </w:pPr>
      <w:r w:rsidRPr="00DE096C">
        <w:rPr>
          <w:bCs/>
          <w:i/>
          <w:color w:val="002060"/>
          <w:sz w:val="16"/>
          <w:szCs w:val="16"/>
        </w:rPr>
        <w:t>самолеты:</w:t>
      </w:r>
      <w:r w:rsidRPr="00DE096C">
        <w:rPr>
          <w:bCs/>
          <w:color w:val="002060"/>
          <w:sz w:val="16"/>
          <w:szCs w:val="16"/>
        </w:rPr>
        <w:t>"</w:t>
      </w:r>
      <w:r w:rsidRPr="00DE096C">
        <w:rPr>
          <w:bCs/>
          <w:color w:val="002060"/>
          <w:sz w:val="16"/>
          <w:szCs w:val="16"/>
          <w:lang w:val="en-US"/>
        </w:rPr>
        <w:t>Farman</w:t>
      </w:r>
      <w:r w:rsidRPr="00DE096C">
        <w:rPr>
          <w:bCs/>
          <w:color w:val="002060"/>
          <w:sz w:val="16"/>
          <w:szCs w:val="16"/>
        </w:rPr>
        <w:t>-</w:t>
      </w:r>
      <w:r w:rsidRPr="00DE096C">
        <w:rPr>
          <w:bCs/>
          <w:color w:val="002060"/>
          <w:sz w:val="16"/>
          <w:szCs w:val="16"/>
          <w:lang w:val="en-US"/>
        </w:rPr>
        <w:t>IV</w:t>
      </w:r>
      <w:r w:rsidRPr="00DE096C">
        <w:rPr>
          <w:bCs/>
          <w:color w:val="002060"/>
          <w:sz w:val="16"/>
          <w:szCs w:val="16"/>
        </w:rPr>
        <w:t>" (1910-), "</w:t>
      </w:r>
      <w:r w:rsidRPr="00DE096C">
        <w:rPr>
          <w:bCs/>
          <w:color w:val="002060"/>
          <w:sz w:val="16"/>
          <w:szCs w:val="16"/>
          <w:lang w:val="en-US"/>
        </w:rPr>
        <w:t>Newport</w:t>
      </w:r>
      <w:r w:rsidRPr="00DE096C">
        <w:rPr>
          <w:bCs/>
          <w:color w:val="002060"/>
          <w:sz w:val="16"/>
          <w:szCs w:val="16"/>
        </w:rPr>
        <w:t>-</w:t>
      </w:r>
      <w:r w:rsidRPr="00DE096C">
        <w:rPr>
          <w:bCs/>
          <w:color w:val="002060"/>
          <w:sz w:val="16"/>
          <w:szCs w:val="16"/>
          <w:lang w:val="en-US"/>
        </w:rPr>
        <w:t>IV</w:t>
      </w:r>
      <w:r w:rsidRPr="00DE096C">
        <w:rPr>
          <w:bCs/>
          <w:color w:val="002060"/>
          <w:sz w:val="16"/>
          <w:szCs w:val="16"/>
        </w:rPr>
        <w:t xml:space="preserve">" (1912-16)- 55, «Меллер-1» (1913)- 1, «Меллер-3» (1913)- 1, </w:t>
      </w:r>
      <w:r w:rsidRPr="00DE096C">
        <w:rPr>
          <w:bCs/>
          <w:color w:val="002060"/>
          <w:sz w:val="16"/>
          <w:szCs w:val="16"/>
          <w:lang w:val="en-US"/>
        </w:rPr>
        <w:t>SPADS</w:t>
      </w:r>
      <w:r w:rsidRPr="00DE096C">
        <w:rPr>
          <w:bCs/>
          <w:color w:val="002060"/>
          <w:sz w:val="16"/>
          <w:szCs w:val="16"/>
        </w:rPr>
        <w:t>-</w:t>
      </w:r>
      <w:r w:rsidRPr="00DE096C">
        <w:rPr>
          <w:bCs/>
          <w:color w:val="002060"/>
          <w:sz w:val="16"/>
          <w:szCs w:val="16"/>
          <w:lang w:val="en-US"/>
        </w:rPr>
        <w:t>VII</w:t>
      </w:r>
      <w:r w:rsidRPr="00DE096C">
        <w:rPr>
          <w:bCs/>
          <w:color w:val="002060"/>
          <w:sz w:val="16"/>
          <w:szCs w:val="16"/>
        </w:rPr>
        <w:t xml:space="preserve">(1917), Р-1 (1923-30), «Конек Горбунок» (1923), ИЛ-400 (1923), И-2 (1924-28)- 60, Б-1 (1925)-1, Р-2 (1925-30)- 1501, И-2бис (1927-29)- 102, И-3 (1927-31)- 389, И-4 (1927-28)- 172, Р-5 (1930-37)- 5645, И-5 (1931-32)- 142, И-7 (1931-34)- 131, Г-10 (1933)- 1, Г-14ЦЛ-2А, МР-5 (1934-35), </w:t>
      </w:r>
      <w:r w:rsidRPr="00DE096C">
        <w:rPr>
          <w:bCs/>
          <w:color w:val="002060"/>
          <w:sz w:val="16"/>
          <w:szCs w:val="16"/>
          <w:lang w:val="en-US"/>
        </w:rPr>
        <w:t>P</w:t>
      </w:r>
      <w:r w:rsidRPr="00DE096C">
        <w:rPr>
          <w:bCs/>
          <w:color w:val="002060"/>
          <w:sz w:val="16"/>
          <w:szCs w:val="16"/>
        </w:rPr>
        <w:t>-</w:t>
      </w:r>
      <w:r w:rsidRPr="00DE096C">
        <w:rPr>
          <w:bCs/>
          <w:color w:val="002060"/>
          <w:sz w:val="16"/>
          <w:szCs w:val="16"/>
          <w:lang w:val="en-US"/>
        </w:rPr>
        <w:t>Z</w:t>
      </w:r>
      <w:r w:rsidRPr="00DE096C">
        <w:rPr>
          <w:bCs/>
          <w:color w:val="002060"/>
          <w:sz w:val="16"/>
          <w:szCs w:val="16"/>
        </w:rPr>
        <w:t xml:space="preserve">(1935-37)-1031, И-15 (1934-36)- 335, ССС (1935-37), ДИ-6 (1937)- 61, </w:t>
      </w:r>
      <w:r w:rsidRPr="00DE096C">
        <w:rPr>
          <w:bCs/>
          <w:color w:val="002060"/>
          <w:sz w:val="16"/>
          <w:szCs w:val="16"/>
          <w:lang w:val="en-US"/>
        </w:rPr>
        <w:t>CP</w:t>
      </w:r>
      <w:r w:rsidRPr="00DE096C">
        <w:rPr>
          <w:bCs/>
          <w:color w:val="002060"/>
          <w:sz w:val="16"/>
          <w:szCs w:val="16"/>
        </w:rPr>
        <w:t>(1937), "</w:t>
      </w:r>
      <w:r w:rsidRPr="00DE096C">
        <w:rPr>
          <w:bCs/>
          <w:color w:val="002060"/>
          <w:sz w:val="16"/>
          <w:szCs w:val="16"/>
          <w:lang w:val="en-US"/>
        </w:rPr>
        <w:t>Vultee</w:t>
      </w:r>
      <w:r w:rsidRPr="00DE096C">
        <w:rPr>
          <w:bCs/>
          <w:color w:val="002060"/>
          <w:sz w:val="16"/>
          <w:szCs w:val="16"/>
        </w:rPr>
        <w:t>" (1938), И-15бис (1938-39)- 2408, И-153 (1939-41)- 3437, ББ-22 (1939-40)- 81, МиГ-1, МиГ-3 (1940-42)- 3242, Ил-2 (1941-45)- 11929, Ил-10 (1945-46)- 1121, МиГ-9 (1946-49), Ту-2 (1947), МиГ-15 (1949-53)- 3390, МиГ-17 (1952-53), Ил-28 (1953)- 50; Ту-16 (1954-58), Ту-16К-10 (-I960)- 59, всего 543</w:t>
      </w:r>
      <w:r w:rsidRPr="00DE096C">
        <w:rPr>
          <w:bCs/>
          <w:color w:val="002060"/>
          <w:sz w:val="16"/>
          <w:szCs w:val="16"/>
          <w:vertAlign w:val="superscript"/>
        </w:rPr>
        <w:t>31</w:t>
      </w:r>
      <w:r w:rsidRPr="00DE096C">
        <w:rPr>
          <w:bCs/>
          <w:color w:val="002060"/>
          <w:sz w:val="16"/>
          <w:szCs w:val="16"/>
        </w:rPr>
        <w:t xml:space="preserve">; колеса для Р-1, Р-3, У-1 (1928); радиаторы для Р-1, МР-1, Р-3 (1928); ленты-расчалки (1928); держатели Дер-3, -4, -7 (-1927-28-), -6 (1928), сбраыватели СБР-7, -8 (1928); турели ТОЗ, ТУР-4 (1928); фотоустановки, приборы для измерения скорости (1925); прицел Вахмистрова (-1927-28-); КР 10Х (1940-е, опытная партия); </w:t>
      </w:r>
      <w:r w:rsidRPr="00DE096C">
        <w:rPr>
          <w:bCs/>
          <w:i/>
          <w:color w:val="002060"/>
          <w:sz w:val="16"/>
          <w:szCs w:val="16"/>
        </w:rPr>
        <w:t>МБР:</w:t>
      </w:r>
      <w:r w:rsidRPr="00DE096C">
        <w:rPr>
          <w:bCs/>
          <w:color w:val="002060"/>
          <w:sz w:val="16"/>
          <w:szCs w:val="16"/>
        </w:rPr>
        <w:t xml:space="preserve"> Р-7 (8К71, 1958-), Р-7А (8К74, 1959), Р-9А (8К75);</w:t>
      </w:r>
      <w:r w:rsidRPr="00DE096C">
        <w:rPr>
          <w:bCs/>
          <w:i/>
          <w:color w:val="002060"/>
          <w:sz w:val="16"/>
          <w:szCs w:val="16"/>
        </w:rPr>
        <w:t xml:space="preserve"> РН:</w:t>
      </w:r>
      <w:r w:rsidRPr="00DE096C">
        <w:rPr>
          <w:bCs/>
          <w:color w:val="002060"/>
          <w:sz w:val="16"/>
          <w:szCs w:val="16"/>
        </w:rPr>
        <w:t xml:space="preserve"> Н-1 (1963-74)- 10, «Восток», «Восход», «Молния», «Энергия», «Союз» (1965-)- более 1500, «Союз-У», «Союз-ТМ», «Союз-СТ» (2000-е), «Молния-М» (8К78М), «Прогресс-М1»;</w:t>
      </w:r>
      <w:r w:rsidRPr="00DE096C">
        <w:rPr>
          <w:bCs/>
          <w:i/>
          <w:color w:val="002060"/>
          <w:sz w:val="16"/>
          <w:szCs w:val="16"/>
        </w:rPr>
        <w:t xml:space="preserve"> КЛ:</w:t>
      </w:r>
      <w:r w:rsidRPr="00DE096C">
        <w:rPr>
          <w:bCs/>
          <w:color w:val="002060"/>
          <w:sz w:val="16"/>
          <w:szCs w:val="16"/>
        </w:rPr>
        <w:t xml:space="preserve"> «Бион», «Ресурс», «Фотон», «Зенит».</w:t>
      </w:r>
    </w:p>
    <w:p w14:paraId="13ED71E6" w14:textId="77777777" w:rsidR="00B67D7C" w:rsidRPr="00DE096C" w:rsidRDefault="00B67D7C" w:rsidP="00D45A46">
      <w:pPr>
        <w:jc w:val="both"/>
        <w:rPr>
          <w:bCs/>
          <w:color w:val="002060"/>
          <w:sz w:val="16"/>
          <w:szCs w:val="16"/>
        </w:rPr>
      </w:pPr>
      <w:r w:rsidRPr="00DE096C">
        <w:rPr>
          <w:bCs/>
          <w:i/>
          <w:color w:val="002060"/>
          <w:sz w:val="16"/>
          <w:szCs w:val="16"/>
        </w:rPr>
        <w:t>Заводские №: Р-1 № 2630 (1925г.); Р-2 № 2580 (1925г.); И-3 № 4110 (1930г.); Ил-2 № 2611; Ту-16 № 1880202. Создано: спутники:</w:t>
      </w:r>
      <w:r w:rsidRPr="00DE096C">
        <w:rPr>
          <w:bCs/>
          <w:color w:val="002060"/>
          <w:sz w:val="16"/>
          <w:szCs w:val="16"/>
        </w:rPr>
        <w:t xml:space="preserve"> фоторазведки «Зенит» (27.09.1962г.), «Янтарь-4К1» («Октант»), «Янтарь-4К2» (11Ф695 «Кобальт», «Космос-2410»), «Кобальт-М» (запущен 3.05.2006г.), «Орлец», «Феникс», «Дон» («Космос-2399»); «Меридиан»; оптико-электронной разведки «Янтарь-4КС1» («Терилен», запущен в 12.1982г.), «Янтарь-4КС1М» («Орлец-1», «Неман», пнв в 1989г.), «Сапфир» (1990-е, не закончен), «Персона» (26.07.2008г.); топографической съемки «Комета», «Силуэт»; гражданского назначения: «Энергия» (7.04.1972г.), «Эфир», «Бион» (31.10.1973г.), «Бион-2 (7.09.1967г.), -9 (5.09.1989г.)», «Облик», «Ресурс-Ф, -Ф1 (5.09.1979г.)», «Фотон», «Фрам», «Наука» (21.03.1968г.), «Фотон-М2» (2005г.), для фотосъемки «Ресурс-ДК1» (2005г., 15.06.2006г.); блок выведения «Икар» (1999) (11982).</w:t>
      </w:r>
    </w:p>
    <w:p w14:paraId="173749CB" w14:textId="77777777" w:rsidR="00B67D7C" w:rsidRPr="00DE096C" w:rsidRDefault="00B67D7C" w:rsidP="00D45A46">
      <w:pPr>
        <w:jc w:val="both"/>
        <w:rPr>
          <w:bCs/>
          <w:color w:val="002060"/>
          <w:sz w:val="16"/>
          <w:szCs w:val="16"/>
        </w:rPr>
      </w:pPr>
    </w:p>
    <w:p w14:paraId="3F169DEE" w14:textId="6291D5A1" w:rsidR="00B67D7C" w:rsidRPr="00DE096C" w:rsidRDefault="0080669F"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1914 г. итальянским предпринимателем Ф.Э. Моска</w:t>
      </w:r>
      <w:r w:rsidRPr="00DE096C">
        <w:rPr>
          <w:bCs/>
          <w:color w:val="002060"/>
          <w:sz w:val="16"/>
          <w:szCs w:val="16"/>
        </w:rPr>
        <w:t xml:space="preserve"> был основан завод</w:t>
      </w:r>
      <w:r w:rsidR="00B67D7C" w:rsidRPr="00DE096C">
        <w:rPr>
          <w:bCs/>
          <w:color w:val="002060"/>
          <w:sz w:val="16"/>
          <w:szCs w:val="16"/>
        </w:rPr>
        <w:t>. Выпускал по лицензии самолеты «Фарман». Осенью 1917 г. Моска вернулся в Италию.</w:t>
      </w:r>
    </w:p>
    <w:p w14:paraId="61B57B3E" w14:textId="77777777" w:rsidR="00B67D7C" w:rsidRPr="00DE096C" w:rsidRDefault="00B67D7C" w:rsidP="00D45A46">
      <w:pPr>
        <w:jc w:val="both"/>
        <w:rPr>
          <w:bCs/>
          <w:color w:val="002060"/>
          <w:sz w:val="16"/>
          <w:szCs w:val="16"/>
        </w:rPr>
      </w:pPr>
      <w:r w:rsidRPr="00DE096C">
        <w:rPr>
          <w:bCs/>
          <w:color w:val="002060"/>
          <w:sz w:val="16"/>
          <w:szCs w:val="16"/>
        </w:rPr>
        <w:t>В 12.1918 г. завод передан из Увофлота НКВМ в ведение Главкоавиа ВСНХ и получил название ГАЗ-5, затем - ГАЗ-5 «Самолёт». В 1924 г. - в ведении ГУВП ВСНХ. В соответствии с пост. СТО № 121 от 28.01.1925 г. и приказом ВСНХ № 415 от 10.02.1925 г. завод вошел в состав вновь образованного Авиатреста Главметалла ВСНХ. По пр. Авиатреста № 15 от 13.04.1925 г. завод № 5 «Самолет» переименован в ГАЗ-5 «Самолет». В 1924 г. из-за недостатка заказов было принято решение о слиянии ГАЗ-1 и ГАЗ-5; ввиду окончания работ по слиянию приказом Авиатреста № 22 от 25.04.1925 г. ГАЗ-5 полностью подчинен директору ГАЗ-1.</w:t>
      </w:r>
    </w:p>
    <w:p w14:paraId="0A45D3D1" w14:textId="77777777" w:rsidR="00B67D7C" w:rsidRPr="00DE096C" w:rsidRDefault="00B67D7C" w:rsidP="00D45A46">
      <w:pPr>
        <w:jc w:val="both"/>
        <w:rPr>
          <w:bCs/>
          <w:color w:val="002060"/>
          <w:sz w:val="16"/>
          <w:szCs w:val="16"/>
        </w:rPr>
      </w:pPr>
      <w:r w:rsidRPr="00DE096C">
        <w:rPr>
          <w:bCs/>
          <w:color w:val="002060"/>
          <w:sz w:val="16"/>
          <w:szCs w:val="16"/>
        </w:rPr>
        <w:t>В соответствии с пост. СНК от 27.04.1926 г. по приказам ВСНХ/НКВМЮГПУ № 73сс от 9.07.1927 г. и Авиатреста № 114сс от 4.08.1927 г. ГАЗ-5 «Самолет» с 1.10.1927 г. переименован в завод № 25. Приказом Авиатреста № 131 от 27.09.1927 г. действие приказа № 114сс было приостановлено до особого распоряжения.</w:t>
      </w:r>
      <w:r w:rsidRPr="00DE096C">
        <w:rPr>
          <w:bCs/>
          <w:color w:val="002060"/>
          <w:sz w:val="16"/>
          <w:szCs w:val="16"/>
          <w:vertAlign w:val="superscript"/>
        </w:rPr>
        <w:t>133</w:t>
      </w:r>
    </w:p>
    <w:p w14:paraId="33DBA7AF" w14:textId="77777777" w:rsidR="00B67D7C" w:rsidRPr="00DE096C" w:rsidRDefault="00B67D7C" w:rsidP="00D45A46">
      <w:pPr>
        <w:jc w:val="both"/>
        <w:rPr>
          <w:bCs/>
          <w:color w:val="002060"/>
          <w:sz w:val="16"/>
          <w:szCs w:val="16"/>
        </w:rPr>
      </w:pPr>
      <w:r w:rsidRPr="00DE096C">
        <w:rPr>
          <w:bCs/>
          <w:color w:val="002060"/>
          <w:sz w:val="16"/>
          <w:szCs w:val="16"/>
        </w:rPr>
        <w:t>В 1921 г. начат выпуск самолета У-1 (Авро 504-К). После нескольких выпущенных машин производство передано на ГАЗ-З. Но на 1923-24 г. заводу вновь установлена производственная программа- 102 самолета У-1 (выпущено 102).</w:t>
      </w:r>
    </w:p>
    <w:p w14:paraId="0CBCA53E" w14:textId="0DCEED50" w:rsidR="00B67D7C" w:rsidRPr="00DE096C" w:rsidRDefault="00B67D7C" w:rsidP="00D45A46">
      <w:pPr>
        <w:jc w:val="both"/>
        <w:rPr>
          <w:bCs/>
          <w:color w:val="002060"/>
          <w:sz w:val="16"/>
          <w:szCs w:val="16"/>
        </w:rPr>
      </w:pPr>
      <w:r w:rsidRPr="00DE096C">
        <w:rPr>
          <w:bCs/>
          <w:color w:val="002060"/>
          <w:sz w:val="16"/>
          <w:szCs w:val="16"/>
        </w:rPr>
        <w:t>В 1920-е</w:t>
      </w:r>
      <w:r w:rsidR="0006581C">
        <w:rPr>
          <w:bCs/>
          <w:color w:val="002060"/>
          <w:sz w:val="16"/>
          <w:szCs w:val="16"/>
        </w:rPr>
        <w:t xml:space="preserve"> </w:t>
      </w:r>
      <w:r w:rsidRPr="00DE096C">
        <w:rPr>
          <w:bCs/>
          <w:color w:val="002060"/>
          <w:sz w:val="16"/>
          <w:szCs w:val="16"/>
        </w:rPr>
        <w:t>г. (до 1927 г.) группа немецких инженеров под руководством Шаде и Черзиха переведена с концессионного завода Юнкерса в Филях на ГАЗ-5 для организации металлического авиастроения. После 03.1927 г. часть цехов завода, личного состава (в т.ч. и немецкие специалисты) и оборудования по производству Р- 3 переведена в Фили на бывший завод Юнкерса, где образован ГАЗ-7.</w:t>
      </w:r>
    </w:p>
    <w:p w14:paraId="3C1BE5A2" w14:textId="0C710765" w:rsidR="00B67D7C" w:rsidRPr="00DE096C" w:rsidRDefault="00B67D7C" w:rsidP="00D45A46">
      <w:pPr>
        <w:jc w:val="both"/>
        <w:rPr>
          <w:bCs/>
          <w:color w:val="002060"/>
          <w:sz w:val="16"/>
          <w:szCs w:val="16"/>
        </w:rPr>
      </w:pPr>
      <w:r w:rsidRPr="00DE096C">
        <w:rPr>
          <w:bCs/>
          <w:color w:val="002060"/>
          <w:sz w:val="16"/>
          <w:szCs w:val="16"/>
        </w:rPr>
        <w:t>Со второй половины 1920-х</w:t>
      </w:r>
      <w:r w:rsidR="0006581C">
        <w:rPr>
          <w:bCs/>
          <w:color w:val="002060"/>
          <w:sz w:val="16"/>
          <w:szCs w:val="16"/>
        </w:rPr>
        <w:t xml:space="preserve"> </w:t>
      </w:r>
      <w:r w:rsidRPr="00DE096C">
        <w:rPr>
          <w:bCs/>
          <w:color w:val="002060"/>
          <w:sz w:val="16"/>
          <w:szCs w:val="16"/>
        </w:rPr>
        <w:t>г. при заводе работает КБ В.Ф. Савельева по стрелковым установкам.</w:t>
      </w:r>
    </w:p>
    <w:p w14:paraId="154554D7" w14:textId="77777777" w:rsidR="00B67D7C" w:rsidRPr="00DE096C" w:rsidRDefault="00B67D7C" w:rsidP="00D45A46">
      <w:pPr>
        <w:jc w:val="both"/>
        <w:rPr>
          <w:bCs/>
          <w:color w:val="002060"/>
          <w:sz w:val="16"/>
          <w:szCs w:val="16"/>
        </w:rPr>
      </w:pPr>
      <w:r w:rsidRPr="00DE096C">
        <w:rPr>
          <w:bCs/>
          <w:color w:val="002060"/>
          <w:sz w:val="16"/>
          <w:szCs w:val="16"/>
        </w:rPr>
        <w:t>В 1927 г. на завод с завода № 1 переведено ОСС ЦКБ Авиатреста.</w:t>
      </w:r>
    </w:p>
    <w:p w14:paraId="1FD47F8B" w14:textId="77777777" w:rsidR="00B67D7C" w:rsidRPr="00DE096C" w:rsidRDefault="00B67D7C" w:rsidP="00D45A46">
      <w:pPr>
        <w:jc w:val="both"/>
        <w:rPr>
          <w:bCs/>
          <w:color w:val="002060"/>
          <w:sz w:val="16"/>
          <w:szCs w:val="16"/>
        </w:rPr>
      </w:pPr>
      <w:r w:rsidRPr="00DE096C">
        <w:rPr>
          <w:bCs/>
          <w:color w:val="002060"/>
          <w:sz w:val="16"/>
          <w:szCs w:val="16"/>
        </w:rPr>
        <w:t>В 09.1930 г. завод № 25 вместе с КБ по вооружению влит в состав ЦКБ завода № 39. Числился филиалом завода № 39.</w:t>
      </w:r>
    </w:p>
    <w:p w14:paraId="362DBD41" w14:textId="77777777" w:rsidR="00B67D7C" w:rsidRPr="00DE096C" w:rsidRDefault="00B67D7C" w:rsidP="00D45A46">
      <w:pPr>
        <w:jc w:val="both"/>
        <w:rPr>
          <w:bCs/>
          <w:color w:val="002060"/>
          <w:sz w:val="16"/>
          <w:szCs w:val="16"/>
        </w:rPr>
      </w:pPr>
      <w:r w:rsidRPr="00DE096C">
        <w:rPr>
          <w:bCs/>
          <w:color w:val="002060"/>
          <w:sz w:val="16"/>
          <w:szCs w:val="16"/>
        </w:rPr>
        <w:t>В 1933 г. здесь был построен вариант АИР-6 на поплавках конструкции В.Б. Шаврова.</w:t>
      </w:r>
    </w:p>
    <w:p w14:paraId="13C24494" w14:textId="77777777" w:rsidR="00B67D7C" w:rsidRPr="00DE096C" w:rsidRDefault="00B67D7C" w:rsidP="00D45A46">
      <w:pPr>
        <w:jc w:val="both"/>
        <w:rPr>
          <w:bCs/>
          <w:color w:val="002060"/>
          <w:sz w:val="16"/>
          <w:szCs w:val="16"/>
        </w:rPr>
      </w:pPr>
      <w:r w:rsidRPr="00DE096C">
        <w:rPr>
          <w:bCs/>
          <w:color w:val="002060"/>
          <w:sz w:val="16"/>
          <w:szCs w:val="16"/>
        </w:rPr>
        <w:t>Количество оборудования (1926 г.)- 83 ед.</w:t>
      </w:r>
    </w:p>
    <w:p w14:paraId="1ECD8CB4" w14:textId="77777777" w:rsidR="00B67D7C" w:rsidRPr="00DE096C" w:rsidRDefault="00B67D7C" w:rsidP="00D45A46">
      <w:pPr>
        <w:jc w:val="both"/>
        <w:rPr>
          <w:bCs/>
          <w:color w:val="002060"/>
          <w:sz w:val="16"/>
          <w:szCs w:val="16"/>
        </w:rPr>
      </w:pPr>
      <w:r w:rsidRPr="00DE096C">
        <w:rPr>
          <w:bCs/>
          <w:color w:val="002060"/>
          <w:sz w:val="16"/>
          <w:szCs w:val="16"/>
        </w:rPr>
        <w:t>Численность персонала (10.1919 г.)- 134 чел., (12.1926 г.)- 375 чел.</w:t>
      </w:r>
    </w:p>
    <w:p w14:paraId="4E9B8BF0" w14:textId="77777777" w:rsidR="00B67D7C" w:rsidRPr="00DE096C" w:rsidRDefault="00B67D7C" w:rsidP="00D45A46">
      <w:pPr>
        <w:jc w:val="both"/>
        <w:rPr>
          <w:bCs/>
          <w:color w:val="002060"/>
          <w:sz w:val="16"/>
          <w:szCs w:val="16"/>
        </w:rPr>
      </w:pPr>
      <w:r w:rsidRPr="00DE096C">
        <w:rPr>
          <w:bCs/>
          <w:color w:val="002060"/>
          <w:sz w:val="16"/>
          <w:szCs w:val="16"/>
        </w:rPr>
        <w:t>Управляющий (-12.1924-21.02.1925 г.)- Ф.А. Синицын; и.о. (19.02.1925 г.-)- И.Я. Ковалев. Директор (21.02.1925 г.-)- И .Я. Ковалев, (-10.1926-03.1927 г.-)- Малахов, (12.1927 г.)- Соколов, (1930 г.)- Горшков.</w:t>
      </w:r>
    </w:p>
    <w:p w14:paraId="40545905" w14:textId="77777777" w:rsidR="00B67D7C" w:rsidRPr="00DE096C" w:rsidRDefault="00B67D7C" w:rsidP="00D45A46">
      <w:pPr>
        <w:jc w:val="both"/>
        <w:rPr>
          <w:bCs/>
          <w:color w:val="002060"/>
          <w:sz w:val="16"/>
          <w:szCs w:val="16"/>
        </w:rPr>
      </w:pPr>
      <w:r w:rsidRPr="00DE096C">
        <w:rPr>
          <w:bCs/>
          <w:color w:val="002060"/>
          <w:sz w:val="16"/>
          <w:szCs w:val="16"/>
        </w:rPr>
        <w:t>Зам. управляющего (02.1925 г.)- И.Я. Ковалев. Зам. директора (-25.04.1925 г.)- Ковалев.</w:t>
      </w:r>
    </w:p>
    <w:p w14:paraId="7EE7DEB1" w14:textId="77777777" w:rsidR="00B67D7C" w:rsidRPr="00DE096C" w:rsidRDefault="00B67D7C" w:rsidP="00D45A46">
      <w:pPr>
        <w:jc w:val="both"/>
        <w:rPr>
          <w:bCs/>
          <w:color w:val="002060"/>
          <w:sz w:val="16"/>
          <w:szCs w:val="16"/>
        </w:rPr>
      </w:pPr>
      <w:r w:rsidRPr="00DE096C">
        <w:rPr>
          <w:bCs/>
          <w:color w:val="002060"/>
          <w:sz w:val="16"/>
          <w:szCs w:val="16"/>
        </w:rPr>
        <w:t>Технический директор (до 1925 г.)- А.Р. Рубенчик, (01.1928-10.1929 г.)- Н.Н. Поликарпов.</w:t>
      </w:r>
    </w:p>
    <w:p w14:paraId="20573040" w14:textId="77777777" w:rsidR="00B67D7C" w:rsidRPr="00DE096C" w:rsidRDefault="00B67D7C" w:rsidP="00D45A46">
      <w:pPr>
        <w:jc w:val="both"/>
        <w:rPr>
          <w:bCs/>
          <w:color w:val="002060"/>
          <w:sz w:val="16"/>
          <w:szCs w:val="16"/>
        </w:rPr>
      </w:pPr>
      <w:r w:rsidRPr="00DE096C">
        <w:rPr>
          <w:bCs/>
          <w:color w:val="002060"/>
          <w:sz w:val="16"/>
          <w:szCs w:val="16"/>
        </w:rPr>
        <w:t>Гл. конструктор (01.1928-10.1929 г.)- Н.Н. Поликарпов.</w:t>
      </w:r>
    </w:p>
    <w:p w14:paraId="4BE2DC25" w14:textId="77777777" w:rsidR="00B67D7C" w:rsidRPr="00DE096C" w:rsidRDefault="00B67D7C" w:rsidP="00D45A46">
      <w:pPr>
        <w:jc w:val="both"/>
        <w:rPr>
          <w:bCs/>
          <w:color w:val="002060"/>
          <w:sz w:val="16"/>
          <w:szCs w:val="16"/>
        </w:rPr>
      </w:pPr>
      <w:r w:rsidRPr="00DE096C">
        <w:rPr>
          <w:bCs/>
          <w:color w:val="002060"/>
          <w:sz w:val="16"/>
          <w:szCs w:val="16"/>
        </w:rPr>
        <w:t>Заведующий мастерскими (производством) (-1924-27 г.-)- Невский. Гл. механик (12.1924 г.)- Никитин.</w:t>
      </w:r>
    </w:p>
    <w:p w14:paraId="59244990" w14:textId="77777777" w:rsidR="00B67D7C" w:rsidRPr="00DE096C" w:rsidRDefault="00B67D7C" w:rsidP="00D45A46">
      <w:pPr>
        <w:jc w:val="both"/>
        <w:rPr>
          <w:bCs/>
          <w:color w:val="002060"/>
          <w:sz w:val="16"/>
          <w:szCs w:val="16"/>
        </w:rPr>
      </w:pPr>
      <w:r w:rsidRPr="00DE096C">
        <w:rPr>
          <w:bCs/>
          <w:color w:val="002060"/>
          <w:sz w:val="16"/>
          <w:szCs w:val="16"/>
        </w:rPr>
        <w:t>Заведующие отделами: КО (03.1927 г.)- Дайбог; снабжения (1930 г.)- Деев. Заведующий: снабжением (12.1924 г.)- Бородин; секретным делопроизводством (10.1926 г.)- Андреев.</w:t>
      </w:r>
    </w:p>
    <w:p w14:paraId="6026F626" w14:textId="77777777" w:rsidR="00B67D7C" w:rsidRPr="00DE096C" w:rsidRDefault="00B67D7C" w:rsidP="00D45A46">
      <w:pPr>
        <w:jc w:val="both"/>
        <w:rPr>
          <w:bCs/>
          <w:color w:val="002060"/>
          <w:sz w:val="16"/>
          <w:szCs w:val="16"/>
        </w:rPr>
      </w:pPr>
      <w:r w:rsidRPr="00DE096C">
        <w:rPr>
          <w:bCs/>
          <w:color w:val="002060"/>
          <w:sz w:val="16"/>
          <w:szCs w:val="16"/>
        </w:rPr>
        <w:t>Производство: самолеты: «Фарман» (1917), У-1 (1921; 1923-24)- 102, Р-3 (1927); ремонт: самолеты Ю-20, -21 (1925)- 18 (11982).</w:t>
      </w:r>
    </w:p>
    <w:p w14:paraId="51BDEBAB" w14:textId="77777777" w:rsidR="00B67D7C" w:rsidRPr="00DE096C" w:rsidRDefault="00B67D7C" w:rsidP="00D45A46">
      <w:pPr>
        <w:jc w:val="both"/>
        <w:rPr>
          <w:bCs/>
          <w:color w:val="002060"/>
          <w:sz w:val="16"/>
          <w:szCs w:val="16"/>
        </w:rPr>
      </w:pPr>
    </w:p>
    <w:p w14:paraId="7E06CD1E" w14:textId="77777777" w:rsidR="00B67D7C" w:rsidRPr="00DE096C" w:rsidRDefault="00B67D7C" w:rsidP="00D45A46">
      <w:pPr>
        <w:jc w:val="both"/>
        <w:rPr>
          <w:bCs/>
          <w:color w:val="002060"/>
          <w:sz w:val="16"/>
          <w:szCs w:val="16"/>
        </w:rPr>
      </w:pPr>
      <w:r w:rsidRPr="00DE096C">
        <w:rPr>
          <w:bCs/>
          <w:color w:val="002060"/>
          <w:sz w:val="16"/>
          <w:szCs w:val="16"/>
        </w:rPr>
        <w:t>В 1914 Терещенко организовал также поезд-мастерскую для ремонта самолетов на фронте, сконструировал палатку-ангар для ремонта самолет в полевых условиях. В самолетах и других изделиях, носивших и Ф. Ф. Терещенко, он был в лучшем случае только соавтором. Их конструировали другие люди, служившие у него.</w:t>
      </w:r>
    </w:p>
    <w:p w14:paraId="65F7FB78" w14:textId="77777777" w:rsidR="00B67D7C" w:rsidRPr="00DE096C" w:rsidRDefault="00B67D7C" w:rsidP="00D45A46">
      <w:pPr>
        <w:jc w:val="both"/>
        <w:rPr>
          <w:bCs/>
          <w:color w:val="002060"/>
          <w:sz w:val="16"/>
          <w:szCs w:val="16"/>
        </w:rPr>
      </w:pPr>
    </w:p>
    <w:p w14:paraId="7577294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1914 г. мастерские Терещенко стали именоваться Червоннским аэропланным заводом. Его директором значился Пишоф, непосредственным начальником которого был Вашкевич. Терещенко в рутинную рабо</w:t>
      </w:r>
      <w:r w:rsidRPr="00DE096C">
        <w:rPr>
          <w:bCs/>
          <w:color w:val="002060"/>
          <w:sz w:val="16"/>
          <w:szCs w:val="16"/>
        </w:rPr>
        <w:softHyphen/>
        <w:t>ту предприятия практически не вмешивал</w:t>
      </w:r>
      <w:r w:rsidRPr="00DE096C">
        <w:rPr>
          <w:bCs/>
          <w:color w:val="002060"/>
          <w:sz w:val="16"/>
          <w:szCs w:val="16"/>
        </w:rPr>
        <w:softHyphen/>
        <w:t>ся, занимаясь проблемами, определявши</w:t>
      </w:r>
      <w:r w:rsidRPr="00DE096C">
        <w:rPr>
          <w:bCs/>
          <w:color w:val="002060"/>
          <w:sz w:val="16"/>
          <w:szCs w:val="16"/>
        </w:rPr>
        <w:softHyphen/>
        <w:t>ми пути стратегического развития. Хотя ос</w:t>
      </w:r>
      <w:r w:rsidRPr="00DE096C">
        <w:rPr>
          <w:bCs/>
          <w:color w:val="002060"/>
          <w:sz w:val="16"/>
          <w:szCs w:val="16"/>
        </w:rPr>
        <w:softHyphen/>
        <w:t>новная ставка была сделана на серийное производство французских машин, попытки добиться успеха с собственными разработ</w:t>
      </w:r>
      <w:r w:rsidRPr="00DE096C">
        <w:rPr>
          <w:bCs/>
          <w:color w:val="002060"/>
          <w:sz w:val="16"/>
          <w:szCs w:val="16"/>
        </w:rPr>
        <w:softHyphen/>
        <w:t>ками не прекращались. В начале 1914 г. был построен самолет «Терещенко № 6», являв</w:t>
      </w:r>
      <w:r w:rsidRPr="00DE096C">
        <w:rPr>
          <w:bCs/>
          <w:color w:val="002060"/>
          <w:sz w:val="16"/>
          <w:szCs w:val="16"/>
        </w:rPr>
        <w:softHyphen/>
        <w:t>шийся дальнейшим развитием «Терещен</w:t>
      </w:r>
      <w:r w:rsidRPr="00DE096C">
        <w:rPr>
          <w:bCs/>
          <w:color w:val="002060"/>
          <w:sz w:val="16"/>
          <w:szCs w:val="16"/>
        </w:rPr>
        <w:softHyphen/>
        <w:t>ко № 5». На нем впервые в России приме</w:t>
      </w:r>
      <w:r w:rsidRPr="00DE096C">
        <w:rPr>
          <w:bCs/>
          <w:color w:val="002060"/>
          <w:sz w:val="16"/>
          <w:szCs w:val="16"/>
        </w:rPr>
        <w:softHyphen/>
        <w:t>нили мотор «Рон» мощностью 60 л.с., кото</w:t>
      </w:r>
      <w:r w:rsidRPr="00DE096C">
        <w:rPr>
          <w:bCs/>
          <w:color w:val="002060"/>
          <w:sz w:val="16"/>
          <w:szCs w:val="16"/>
        </w:rPr>
        <w:softHyphen/>
        <w:t>рый был гораздо надежнее более распрост</w:t>
      </w:r>
      <w:r w:rsidRPr="00DE096C">
        <w:rPr>
          <w:bCs/>
          <w:color w:val="002060"/>
          <w:sz w:val="16"/>
          <w:szCs w:val="16"/>
        </w:rPr>
        <w:softHyphen/>
        <w:t>раненного «Гнома». Согласно отчету о лет</w:t>
      </w:r>
      <w:r w:rsidRPr="00DE096C">
        <w:rPr>
          <w:bCs/>
          <w:color w:val="002060"/>
          <w:sz w:val="16"/>
          <w:szCs w:val="16"/>
        </w:rPr>
        <w:softHyphen/>
        <w:t>ных испытаниях, опубликованному в журна</w:t>
      </w:r>
      <w:r w:rsidRPr="00DE096C">
        <w:rPr>
          <w:bCs/>
          <w:color w:val="002060"/>
          <w:sz w:val="16"/>
          <w:szCs w:val="16"/>
        </w:rPr>
        <w:softHyphen/>
        <w:t>ле «Автомобильная жизнь и авиация», аппа</w:t>
      </w:r>
      <w:r w:rsidRPr="00DE096C">
        <w:rPr>
          <w:bCs/>
          <w:color w:val="002060"/>
          <w:sz w:val="16"/>
          <w:szCs w:val="16"/>
        </w:rPr>
        <w:softHyphen/>
        <w:t>рат показал неплохие летные характеристи</w:t>
      </w:r>
      <w:r w:rsidRPr="00DE096C">
        <w:rPr>
          <w:bCs/>
          <w:color w:val="002060"/>
          <w:sz w:val="16"/>
          <w:szCs w:val="16"/>
        </w:rPr>
        <w:softHyphen/>
        <w:t>ки: скорость — 120 км/ч, время подъема на 500 м — 3,5 мин. В том же году построили два самолета «Терещенко № 5бис», один из которых оснастили 60-сильным «Роном», а другой — «Гномом» мощностью 80 л.с. Оче</w:t>
      </w:r>
      <w:r w:rsidRPr="00DE096C">
        <w:rPr>
          <w:bCs/>
          <w:color w:val="002060"/>
          <w:sz w:val="16"/>
          <w:szCs w:val="16"/>
        </w:rPr>
        <w:softHyphen/>
        <w:t>видно, на одном из этих аэропланов отра</w:t>
      </w:r>
      <w:r w:rsidRPr="00DE096C">
        <w:rPr>
          <w:bCs/>
          <w:color w:val="002060"/>
          <w:sz w:val="16"/>
          <w:szCs w:val="16"/>
        </w:rPr>
        <w:softHyphen/>
        <w:t>батывали установку рядного двигателя жидкостного охлаждения, скорее всего, 50-сильного «Мерседеса» (известно, что он в Червонном был). Однако от эксплуатации аппарата с таким мотором отказались (11217).</w:t>
      </w:r>
    </w:p>
    <w:p w14:paraId="7778285D" w14:textId="77777777" w:rsidR="00B67D7C" w:rsidRPr="00DE096C" w:rsidRDefault="00B67D7C" w:rsidP="00D45A46">
      <w:pPr>
        <w:shd w:val="clear" w:color="auto" w:fill="FFFFFF"/>
        <w:jc w:val="both"/>
        <w:rPr>
          <w:bCs/>
          <w:color w:val="002060"/>
          <w:sz w:val="16"/>
          <w:szCs w:val="16"/>
        </w:rPr>
      </w:pPr>
    </w:p>
    <w:p w14:paraId="57B17D62" w14:textId="6BD00661" w:rsidR="00B67D7C" w:rsidRPr="00DE096C" w:rsidRDefault="00632890"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1914 г.</w:t>
      </w:r>
      <w:r w:rsidRPr="00DE096C">
        <w:rPr>
          <w:bCs/>
          <w:color w:val="002060"/>
          <w:sz w:val="16"/>
          <w:szCs w:val="16"/>
        </w:rPr>
        <w:t xml:space="preserve"> серийные заказы способствовали даль</w:t>
      </w:r>
      <w:r w:rsidRPr="00DE096C">
        <w:rPr>
          <w:bCs/>
          <w:color w:val="002060"/>
          <w:sz w:val="16"/>
          <w:szCs w:val="16"/>
        </w:rPr>
        <w:softHyphen/>
        <w:t>нейшему расширению предприятия, коли</w:t>
      </w:r>
      <w:r w:rsidRPr="00DE096C">
        <w:rPr>
          <w:bCs/>
          <w:color w:val="002060"/>
          <w:sz w:val="16"/>
          <w:szCs w:val="16"/>
        </w:rPr>
        <w:softHyphen/>
        <w:t xml:space="preserve">чество работающих на заводе Терещенко </w:t>
      </w:r>
      <w:r w:rsidR="00B67D7C" w:rsidRPr="00DE096C">
        <w:rPr>
          <w:bCs/>
          <w:color w:val="002060"/>
          <w:sz w:val="16"/>
          <w:szCs w:val="16"/>
        </w:rPr>
        <w:t>достигло 120 человек, а в сентябре 1915 г. в списках на получение зарплаты одних толь</w:t>
      </w:r>
      <w:r w:rsidR="00B67D7C" w:rsidRPr="00DE096C">
        <w:rPr>
          <w:bCs/>
          <w:color w:val="002060"/>
          <w:sz w:val="16"/>
          <w:szCs w:val="16"/>
        </w:rPr>
        <w:softHyphen/>
        <w:t>ко мастеровых значилось 186 человек. По</w:t>
      </w:r>
      <w:r w:rsidR="00B67D7C" w:rsidRPr="00DE096C">
        <w:rPr>
          <w:bCs/>
          <w:color w:val="002060"/>
          <w:sz w:val="16"/>
          <w:szCs w:val="16"/>
        </w:rPr>
        <w:softHyphen/>
        <w:t>стоянно улучшалась оснащенность завода, в частности, были приобретены штампо</w:t>
      </w:r>
      <w:r w:rsidR="00B67D7C" w:rsidRPr="00DE096C">
        <w:rPr>
          <w:bCs/>
          <w:color w:val="002060"/>
          <w:sz w:val="16"/>
          <w:szCs w:val="16"/>
        </w:rPr>
        <w:softHyphen/>
        <w:t>вочный пресс, несколько различных стан</w:t>
      </w:r>
      <w:r w:rsidR="00B67D7C" w:rsidRPr="00DE096C">
        <w:rPr>
          <w:bCs/>
          <w:color w:val="002060"/>
          <w:sz w:val="16"/>
          <w:szCs w:val="16"/>
        </w:rPr>
        <w:softHyphen/>
        <w:t>ков, 2 сварочных аппарата. Годовая произ</w:t>
      </w:r>
      <w:r w:rsidR="00B67D7C" w:rsidRPr="00DE096C">
        <w:rPr>
          <w:bCs/>
          <w:color w:val="002060"/>
          <w:sz w:val="16"/>
          <w:szCs w:val="16"/>
        </w:rPr>
        <w:softHyphen/>
        <w:t>водительность оценивалась в 50 аэропла</w:t>
      </w:r>
      <w:r w:rsidR="00B67D7C" w:rsidRPr="00DE096C">
        <w:rPr>
          <w:bCs/>
          <w:color w:val="002060"/>
          <w:sz w:val="16"/>
          <w:szCs w:val="16"/>
        </w:rPr>
        <w:softHyphen/>
        <w:t>нов. Что касается выпуска самолетов в дальнейшем, то, к сожалению, исследован</w:t>
      </w:r>
      <w:r w:rsidR="00B67D7C" w:rsidRPr="00DE096C">
        <w:rPr>
          <w:bCs/>
          <w:color w:val="002060"/>
          <w:sz w:val="16"/>
          <w:szCs w:val="16"/>
        </w:rPr>
        <w:softHyphen/>
        <w:t>ные источники не позволяют раскрыть этот вопрос полностью. Например, известно, что Червоннский завод перешел к постройке учебных аппаратов «Фарман XVI», причем в конструкцию их вносились определенные из</w:t>
      </w:r>
      <w:r w:rsidR="00B67D7C" w:rsidRPr="00DE096C">
        <w:rPr>
          <w:bCs/>
          <w:color w:val="002060"/>
          <w:sz w:val="16"/>
          <w:szCs w:val="16"/>
        </w:rPr>
        <w:softHyphen/>
        <w:t>менения, а это затрудняло эксплуатацию — к ним не подходили некоторые запчасти, вы</w:t>
      </w:r>
      <w:r w:rsidR="00B67D7C" w:rsidRPr="00DE096C">
        <w:rPr>
          <w:bCs/>
          <w:color w:val="002060"/>
          <w:sz w:val="16"/>
          <w:szCs w:val="16"/>
        </w:rPr>
        <w:softHyphen/>
        <w:t>пущенные другими предприятиями (11217).</w:t>
      </w:r>
    </w:p>
    <w:p w14:paraId="4F23ED58" w14:textId="77777777" w:rsidR="00B67D7C" w:rsidRPr="00DE096C" w:rsidRDefault="00B67D7C" w:rsidP="00D45A46">
      <w:pPr>
        <w:jc w:val="both"/>
        <w:rPr>
          <w:bCs/>
          <w:color w:val="002060"/>
          <w:sz w:val="16"/>
          <w:szCs w:val="16"/>
        </w:rPr>
      </w:pPr>
    </w:p>
    <w:p w14:paraId="3055338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1914 году военный летчик А.Е.Жуков в Сева</w:t>
      </w:r>
      <w:r w:rsidRPr="00DE096C">
        <w:rPr>
          <w:bCs/>
          <w:color w:val="002060"/>
          <w:sz w:val="16"/>
          <w:szCs w:val="16"/>
        </w:rPr>
        <w:softHyphen/>
        <w:t>стополе предпринял попытку оснастить учебно-тре</w:t>
      </w:r>
      <w:r w:rsidRPr="00DE096C">
        <w:rPr>
          <w:bCs/>
          <w:color w:val="002060"/>
          <w:sz w:val="16"/>
          <w:szCs w:val="16"/>
        </w:rPr>
        <w:softHyphen/>
        <w:t>нировочный самолет «Моран-Ж» двухпоплавковым шасси типа «Моран-Сольнье». Однако постройка не была завершена. [59, с. 162] (553).</w:t>
      </w:r>
    </w:p>
    <w:p w14:paraId="4FA63408" w14:textId="77777777" w:rsidR="00B67D7C" w:rsidRPr="00DE096C" w:rsidRDefault="00B67D7C" w:rsidP="00D45A46">
      <w:pPr>
        <w:shd w:val="clear" w:color="auto" w:fill="FFFFFF"/>
        <w:jc w:val="both"/>
        <w:rPr>
          <w:bCs/>
          <w:color w:val="002060"/>
          <w:sz w:val="16"/>
          <w:szCs w:val="16"/>
        </w:rPr>
      </w:pPr>
    </w:p>
    <w:p w14:paraId="0F1F7EDD" w14:textId="5F52C943" w:rsidR="00B67D7C" w:rsidRPr="00DE096C" w:rsidRDefault="00632890"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1914 г. </w:t>
      </w:r>
      <w:r w:rsidRPr="00DE096C">
        <w:rPr>
          <w:bCs/>
          <w:color w:val="002060"/>
          <w:sz w:val="16"/>
          <w:szCs w:val="16"/>
        </w:rPr>
        <w:t xml:space="preserve">начал свою деятельность Московский Аэротехнический завод </w:t>
      </w:r>
      <w:r w:rsidR="00B67D7C" w:rsidRPr="00DE096C">
        <w:rPr>
          <w:bCs/>
          <w:color w:val="002060"/>
          <w:sz w:val="16"/>
          <w:szCs w:val="16"/>
        </w:rPr>
        <w:t xml:space="preserve">как кустарная мастерская по производству гребных винтов. </w:t>
      </w:r>
      <w:r w:rsidRPr="00DE096C">
        <w:rPr>
          <w:bCs/>
          <w:color w:val="002060"/>
          <w:sz w:val="16"/>
          <w:szCs w:val="16"/>
        </w:rPr>
        <w:t>(Завод № 28 им. Орджоникидзе BCHX, НКТП, НКОП, НКАП, МАП, МСиДМ, Мебельная фабрика Хорькова и Адамчика, Аэротехнический завод «Адамчик, Кузнецов и Лобанов» ВСНХ, Московский Аэротехнический завод ВСНХ, Завод № 8 «Пропеллер» ВСНХ, Государственный авиационный завод № 8 (ГАЗ-8) «Пропеллер» ВСНХ, ОАО «Пневмостроймашина» / г. Москва ул. Долгоруковская, 27 (1920 г.); М. Грузинская, Столярный пер., 5, 7, 10 «ГАЗ восьмой» (1927 г.);</w:t>
      </w:r>
      <w:r w:rsidR="0006581C">
        <w:rPr>
          <w:bCs/>
          <w:color w:val="002060"/>
          <w:sz w:val="16"/>
          <w:szCs w:val="16"/>
        </w:rPr>
        <w:t xml:space="preserve"> </w:t>
      </w:r>
      <w:r w:rsidRPr="00DE096C">
        <w:rPr>
          <w:bCs/>
          <w:color w:val="002060"/>
          <w:sz w:val="16"/>
          <w:szCs w:val="16"/>
        </w:rPr>
        <w:t>г. Москва, 22 п/я 2263 (1928 г.);</w:t>
      </w:r>
      <w:r w:rsidR="0006581C">
        <w:rPr>
          <w:bCs/>
          <w:color w:val="002060"/>
          <w:sz w:val="16"/>
          <w:szCs w:val="16"/>
        </w:rPr>
        <w:t xml:space="preserve"> </w:t>
      </w:r>
      <w:r w:rsidRPr="00DE096C">
        <w:rPr>
          <w:bCs/>
          <w:color w:val="002060"/>
          <w:sz w:val="16"/>
          <w:szCs w:val="16"/>
        </w:rPr>
        <w:t>г. Свердловск/ /620100</w:t>
      </w:r>
      <w:r w:rsidR="0006581C">
        <w:rPr>
          <w:bCs/>
          <w:color w:val="002060"/>
          <w:sz w:val="16"/>
          <w:szCs w:val="16"/>
        </w:rPr>
        <w:t xml:space="preserve"> </w:t>
      </w:r>
      <w:r w:rsidRPr="00DE096C">
        <w:rPr>
          <w:bCs/>
          <w:color w:val="002060"/>
          <w:sz w:val="16"/>
          <w:szCs w:val="16"/>
        </w:rPr>
        <w:t xml:space="preserve">г. Екатеринбург Сибирский тракт, 1-й км, 8 тел. (343) 264-66-00/) </w:t>
      </w:r>
      <w:r w:rsidR="00B67D7C" w:rsidRPr="00DE096C">
        <w:rPr>
          <w:bCs/>
          <w:color w:val="002060"/>
          <w:sz w:val="16"/>
          <w:szCs w:val="16"/>
        </w:rPr>
        <w:t>С 1915 г. налажено производство деревянных воздушных винтов, лыж и поплавков (15.10.1915 г. считается датой основания завода).</w:t>
      </w:r>
    </w:p>
    <w:p w14:paraId="46529DFB" w14:textId="77777777" w:rsidR="00B67D7C" w:rsidRPr="00DE096C" w:rsidRDefault="00B67D7C" w:rsidP="00D45A46">
      <w:pPr>
        <w:jc w:val="both"/>
        <w:rPr>
          <w:bCs/>
          <w:color w:val="002060"/>
          <w:sz w:val="16"/>
          <w:szCs w:val="16"/>
        </w:rPr>
      </w:pPr>
      <w:r w:rsidRPr="00DE096C">
        <w:rPr>
          <w:bCs/>
          <w:color w:val="002060"/>
          <w:sz w:val="16"/>
          <w:szCs w:val="16"/>
        </w:rPr>
        <w:t>В 09.1919 г. Аэротехнический завод «Адамчик, Кузнецов и Лобанов» был национализирован и передан в ведение Главкоавиа ВСНХ, в 12.1919 г. назывался Аэротехнический завод. В 1924 г. ГАЗ-8 «Пропеллер» - в ведении ГУВП ВСНХ. В соответствии с пост. СТО № 121 от 28.01.1925 г. и приказом ВСНХ № 415 от 10.02.1925 г. завод вошел в состав вновь образованного Авиатреста Главметалла ВСНХ. По пр. Авиатреста № 15 от 13.04.1925 г. завод № 8 «Пропеллер» переименован в ГАЗ-8 «Пропеллер». В соответствии с пост. СНК от 27.04.1926 г. по приказам ВСНХ/НКВМЮГПУ № 73сс от 9.07.1927 г. и Авиатреста № 114сс от 4.08.1927 г. ГАЗ-8 «Пропеллер» с 1.10.1927 г. переименован в завод № 28. Приказом Авиатреста № 131 от 27.09.1927 г. действие приказа № 114сс было приостановлено до особого распоряжения.</w:t>
      </w:r>
      <w:r w:rsidRPr="00DE096C">
        <w:rPr>
          <w:bCs/>
          <w:color w:val="002060"/>
          <w:sz w:val="16"/>
          <w:szCs w:val="16"/>
          <w:vertAlign w:val="superscript"/>
        </w:rPr>
        <w:t>133</w:t>
      </w:r>
      <w:r w:rsidRPr="00DE096C">
        <w:rPr>
          <w:bCs/>
          <w:color w:val="002060"/>
          <w:sz w:val="16"/>
          <w:szCs w:val="16"/>
        </w:rPr>
        <w:t xml:space="preserve"> С 1930 г. - в ведении ВАО ВСНХ, с 1932 г. - в самолетном тресте ГУАП НКТП. В 02.1937 г. - в ведении 1ГУ НКОП, по пр. № ЗЗсс от 1/3.02.1938 г. передан в ведение созданного ГУ авиационного моторостроения, в 12.1938 г. - в ведении 18ГУ.</w:t>
      </w:r>
    </w:p>
    <w:p w14:paraId="6A837AC6" w14:textId="77777777" w:rsidR="00B67D7C" w:rsidRPr="00DE096C" w:rsidRDefault="00B67D7C" w:rsidP="00D45A46">
      <w:pPr>
        <w:jc w:val="both"/>
        <w:rPr>
          <w:bCs/>
          <w:color w:val="002060"/>
          <w:sz w:val="16"/>
          <w:szCs w:val="16"/>
        </w:rPr>
      </w:pPr>
      <w:r w:rsidRPr="00DE096C">
        <w:rPr>
          <w:bCs/>
          <w:color w:val="002060"/>
          <w:sz w:val="16"/>
          <w:szCs w:val="16"/>
        </w:rPr>
        <w:lastRenderedPageBreak/>
        <w:t>В конце 1919 г. завод сгорел. В 1923 г. завод переведен в здание бывшей мебельной фабрики английской фирмы «Мюр и Мерилиз», построенном в 1902 г. в Столярном пер. (в то время там располагался деревообделочный заводик). Завод занимал 3-й, 4-й и 5-й этажи здания; в 1925-27 г. на 1-м и 2-м этажах размещалась типография № 3 Мосполиграфа. Постановлениями СТО от 10.05.1927 г., 22.07.1927 г. и 4.11.1927 г. принималось решение полностью передать здания заводу № 28, но в 1927 г. это не было выполнено. В состав завода была включена территория завода им. Калинина как цех покрытий.</w:t>
      </w:r>
    </w:p>
    <w:p w14:paraId="510A00E7" w14:textId="77777777" w:rsidR="00B67D7C" w:rsidRPr="00DE096C" w:rsidRDefault="00B67D7C" w:rsidP="00D45A46">
      <w:pPr>
        <w:jc w:val="both"/>
        <w:rPr>
          <w:bCs/>
          <w:color w:val="002060"/>
          <w:sz w:val="16"/>
          <w:szCs w:val="16"/>
        </w:rPr>
      </w:pPr>
      <w:r w:rsidRPr="00DE096C">
        <w:rPr>
          <w:bCs/>
          <w:color w:val="002060"/>
          <w:sz w:val="16"/>
          <w:szCs w:val="16"/>
        </w:rPr>
        <w:t>Производственная программа на 1923-24 г.: в/винты - 2166 шт. (сдано 1866), лыжи - 1133 комплектов (420).</w:t>
      </w:r>
    </w:p>
    <w:p w14:paraId="07D18B3E" w14:textId="77777777" w:rsidR="00B67D7C" w:rsidRPr="00DE096C" w:rsidRDefault="00B67D7C" w:rsidP="00D45A46">
      <w:pPr>
        <w:jc w:val="both"/>
        <w:rPr>
          <w:bCs/>
          <w:color w:val="002060"/>
          <w:sz w:val="16"/>
          <w:szCs w:val="16"/>
        </w:rPr>
      </w:pPr>
      <w:r w:rsidRPr="00DE096C">
        <w:rPr>
          <w:bCs/>
          <w:color w:val="002060"/>
          <w:sz w:val="16"/>
          <w:szCs w:val="16"/>
        </w:rPr>
        <w:t>По пр. Авиатреста № 68 от 15.09.1925 г. заводу передано управление ликвидированным ГАЗ-11.</w:t>
      </w:r>
    </w:p>
    <w:p w14:paraId="0CD77D87" w14:textId="77777777" w:rsidR="00B67D7C" w:rsidRPr="00DE096C" w:rsidRDefault="00B67D7C" w:rsidP="00D45A46">
      <w:pPr>
        <w:jc w:val="both"/>
        <w:rPr>
          <w:bCs/>
          <w:color w:val="002060"/>
          <w:sz w:val="16"/>
          <w:szCs w:val="16"/>
        </w:rPr>
      </w:pPr>
      <w:r w:rsidRPr="00DE096C">
        <w:rPr>
          <w:bCs/>
          <w:color w:val="002060"/>
          <w:sz w:val="16"/>
          <w:szCs w:val="16"/>
        </w:rPr>
        <w:t>С 1928 г. на заводе - производственная база ОКБ Ришара (группы «Р»).</w:t>
      </w:r>
    </w:p>
    <w:p w14:paraId="41F759C4" w14:textId="77777777" w:rsidR="00B67D7C" w:rsidRPr="00DE096C" w:rsidRDefault="00B67D7C" w:rsidP="00D45A46">
      <w:pPr>
        <w:jc w:val="both"/>
        <w:rPr>
          <w:bCs/>
          <w:color w:val="002060"/>
          <w:sz w:val="16"/>
          <w:szCs w:val="16"/>
        </w:rPr>
      </w:pPr>
      <w:r w:rsidRPr="00DE096C">
        <w:rPr>
          <w:bCs/>
          <w:color w:val="002060"/>
          <w:sz w:val="16"/>
          <w:szCs w:val="16"/>
        </w:rPr>
        <w:t>В 1931 г. из состава завода выделен дереворазделочный цех как самостоятельный завод № 41.</w:t>
      </w:r>
    </w:p>
    <w:p w14:paraId="493B971C" w14:textId="77777777" w:rsidR="00B67D7C" w:rsidRPr="00DE096C" w:rsidRDefault="00B67D7C" w:rsidP="00D45A46">
      <w:pPr>
        <w:jc w:val="both"/>
        <w:rPr>
          <w:bCs/>
          <w:color w:val="002060"/>
          <w:sz w:val="16"/>
          <w:szCs w:val="16"/>
        </w:rPr>
      </w:pPr>
      <w:r w:rsidRPr="00DE096C">
        <w:rPr>
          <w:bCs/>
          <w:color w:val="002060"/>
          <w:sz w:val="16"/>
          <w:szCs w:val="16"/>
        </w:rPr>
        <w:t>В 1927 г. стал ведущим заводом по производству самолетных деревянных винтов и лыж. В 1933 г. завод планировалось перепрофилировать из подсобных в самолетостроительные, но это не было выполнено. С 1933 г. начато производство металлических винтов ВИШ-24, ВИШ-61 и др. С 1936 г. проводилась реконструкция завода.</w:t>
      </w:r>
    </w:p>
    <w:p w14:paraId="0E20DE06" w14:textId="77777777" w:rsidR="00B67D7C" w:rsidRPr="00DE096C" w:rsidRDefault="00B67D7C" w:rsidP="00D45A46">
      <w:pPr>
        <w:jc w:val="both"/>
        <w:rPr>
          <w:bCs/>
          <w:color w:val="002060"/>
          <w:sz w:val="16"/>
          <w:szCs w:val="16"/>
        </w:rPr>
      </w:pPr>
      <w:r w:rsidRPr="00DE096C">
        <w:rPr>
          <w:bCs/>
          <w:color w:val="002060"/>
          <w:sz w:val="16"/>
          <w:szCs w:val="16"/>
        </w:rPr>
        <w:t>Пост. СТО от 15.01.1937 г. и пр. № 0026 от 4.02.1937 г. заводу поручено организовать производство ВИШ-2 (типа Гамильтон) и изготовить в 1937 г. 2000 в/винтов ВИЩ-2 (к 15.04.1937 г. изготовлено 270 винтов) и 4750 винтов ВИШ-3, -4, -5, -6 (первоначальная производственная программа предусматривала выпуск 1600 ВИШ-2, -3, -4). Приказом № 0032 от 8.02.1937 г. заводу предписано к 1.01.1938 г. закончить расширение корпусов лопастей и втулок в/винтов. Приказом № 0084 от 15.04.1937 г. установлена программа на 1937 г. - 2500 ВИШ-2 и ВИШ-3. Приказом № 00116 от 28.05.1937 г. заводу поручено к 1.11.1937 г. освоить производство 3-лопастных в/винтов переменного шага для самолета Вулти. Приказом № 59сс от 16.02.1938 г. установлена программа по выпуску в/винтов на 1938 г.: ВИШ-2 - 2800 шт., ВИШ-2П - 100 шт., ВИШ-4 - 130 шт., для М-25 - 2200 шт., для Р-Зет - 300 шт., для М-22 - 200 шт., для М-103 - 900 шт., для М-100 (фланцевых) - 300 шт., для МБР-2 - 600 шт., для ДБ- 3 - 800 шт.; этим же приказом предписано построить в 1938 г.: корпус термического цеха, корпус втулок 2-й очереди, кузнечный цех, подстанцию. Приказом № 381сс от 29.09.1938 г. в производственную программу завода на 1938 г. включен выпуск винтов ВИШ-22, -24, -27, -31, -2, -5.</w:t>
      </w:r>
    </w:p>
    <w:p w14:paraId="1DF23F48" w14:textId="77777777" w:rsidR="00B67D7C" w:rsidRPr="00DE096C" w:rsidRDefault="00B67D7C" w:rsidP="00D45A46">
      <w:pPr>
        <w:jc w:val="both"/>
        <w:rPr>
          <w:bCs/>
          <w:color w:val="002060"/>
          <w:sz w:val="16"/>
          <w:szCs w:val="16"/>
        </w:rPr>
      </w:pPr>
      <w:r w:rsidRPr="00DE096C">
        <w:rPr>
          <w:bCs/>
          <w:color w:val="002060"/>
          <w:sz w:val="16"/>
          <w:szCs w:val="16"/>
        </w:rPr>
        <w:t>До 1938 г. начальником конструкторской бригады на заводе работал К.И. Жданов, ставший затем гл. конструктором ОКБ-150.</w:t>
      </w:r>
    </w:p>
    <w:p w14:paraId="71728259" w14:textId="77777777" w:rsidR="00B67D7C" w:rsidRPr="00DE096C" w:rsidRDefault="00B67D7C" w:rsidP="00D45A46">
      <w:pPr>
        <w:jc w:val="both"/>
        <w:rPr>
          <w:bCs/>
          <w:color w:val="002060"/>
          <w:sz w:val="16"/>
          <w:szCs w:val="16"/>
        </w:rPr>
      </w:pPr>
      <w:r w:rsidRPr="00DE096C">
        <w:rPr>
          <w:bCs/>
          <w:color w:val="002060"/>
          <w:sz w:val="16"/>
          <w:szCs w:val="16"/>
        </w:rPr>
        <w:t>По пр. № 80с от 11.03.1938 г. «в целях правильной организации ремонтного производства» на заводе организован ремонтно-эксплуатационный отдел.</w:t>
      </w:r>
    </w:p>
    <w:p w14:paraId="50FF7E53" w14:textId="4916B38D" w:rsidR="00B67D7C" w:rsidRPr="00DE096C" w:rsidRDefault="00B67D7C" w:rsidP="00D45A46">
      <w:pPr>
        <w:jc w:val="both"/>
        <w:rPr>
          <w:bCs/>
          <w:color w:val="002060"/>
          <w:sz w:val="16"/>
          <w:szCs w:val="16"/>
        </w:rPr>
      </w:pPr>
      <w:r w:rsidRPr="00DE096C">
        <w:rPr>
          <w:bCs/>
          <w:color w:val="002060"/>
          <w:sz w:val="16"/>
          <w:szCs w:val="16"/>
        </w:rPr>
        <w:t>По приказу № ЗЗОсс от 6.07.1940 г. и № 565с от 18.10.1940 г. на базе филиала завода № 28 (бывший манеж военного ведомства) в</w:t>
      </w:r>
      <w:r w:rsidR="0006581C">
        <w:rPr>
          <w:bCs/>
          <w:color w:val="002060"/>
          <w:sz w:val="16"/>
          <w:szCs w:val="16"/>
        </w:rPr>
        <w:t xml:space="preserve"> </w:t>
      </w:r>
      <w:r w:rsidRPr="00DE096C">
        <w:rPr>
          <w:bCs/>
          <w:color w:val="002060"/>
          <w:sz w:val="16"/>
          <w:szCs w:val="16"/>
        </w:rPr>
        <w:t>г. Ленинграде образован завод № 133 НКАП по производству авиационных свечей.</w:t>
      </w:r>
    </w:p>
    <w:p w14:paraId="749E28DD" w14:textId="20D11BC7" w:rsidR="00B67D7C" w:rsidRPr="00DE096C" w:rsidRDefault="00B67D7C" w:rsidP="00D45A46">
      <w:pPr>
        <w:jc w:val="both"/>
        <w:rPr>
          <w:bCs/>
          <w:color w:val="002060"/>
          <w:sz w:val="16"/>
          <w:szCs w:val="16"/>
        </w:rPr>
      </w:pPr>
      <w:r w:rsidRPr="00DE096C">
        <w:rPr>
          <w:bCs/>
          <w:color w:val="002060"/>
          <w:sz w:val="16"/>
          <w:szCs w:val="16"/>
        </w:rPr>
        <w:t>Для развития работ по авиавинтам при заводе № 28 по приказу НКАП № 306с от 8.04.1941 г. образованы на базе соответствующих конструкторских отделов три ОКБ и опытный цех: ОКБ-1 гл. конструктора</w:t>
      </w:r>
      <w:r w:rsidR="0006581C">
        <w:rPr>
          <w:bCs/>
          <w:color w:val="002060"/>
          <w:sz w:val="16"/>
          <w:szCs w:val="16"/>
        </w:rPr>
        <w:t xml:space="preserve"> </w:t>
      </w:r>
      <w:r w:rsidRPr="00DE096C">
        <w:rPr>
          <w:bCs/>
          <w:color w:val="002060"/>
          <w:sz w:val="16"/>
          <w:szCs w:val="16"/>
        </w:rPr>
        <w:t xml:space="preserve">Г.И. Кузмина; ОКБ-2 гл. конструкторов </w:t>
      </w:r>
      <w:r w:rsidRPr="00DE096C">
        <w:rPr>
          <w:bCs/>
          <w:color w:val="002060"/>
          <w:sz w:val="16"/>
          <w:szCs w:val="16"/>
          <w:lang w:val="en-US"/>
        </w:rPr>
        <w:t>C</w:t>
      </w:r>
      <w:r w:rsidRPr="00DE096C">
        <w:rPr>
          <w:bCs/>
          <w:color w:val="002060"/>
          <w:sz w:val="16"/>
          <w:szCs w:val="16"/>
        </w:rPr>
        <w:t>.</w:t>
      </w:r>
      <w:r w:rsidRPr="00DE096C">
        <w:rPr>
          <w:bCs/>
          <w:color w:val="002060"/>
          <w:sz w:val="16"/>
          <w:szCs w:val="16"/>
          <w:lang w:val="en-US"/>
        </w:rPr>
        <w:t>LLI</w:t>
      </w:r>
      <w:r w:rsidRPr="00DE096C">
        <w:rPr>
          <w:bCs/>
          <w:color w:val="002060"/>
          <w:sz w:val="16"/>
          <w:szCs w:val="16"/>
        </w:rPr>
        <w:t>. Бас-Дубова и</w:t>
      </w:r>
      <w:r w:rsidR="0006581C">
        <w:rPr>
          <w:bCs/>
          <w:color w:val="002060"/>
          <w:sz w:val="16"/>
          <w:szCs w:val="16"/>
        </w:rPr>
        <w:t xml:space="preserve"> </w:t>
      </w:r>
      <w:r w:rsidRPr="00DE096C">
        <w:rPr>
          <w:bCs/>
          <w:color w:val="002060"/>
          <w:sz w:val="16"/>
          <w:szCs w:val="16"/>
        </w:rPr>
        <w:t>Г.М. Заславского; ОКБ-3 гл. конструктора Н. Г. Никифорова.</w:t>
      </w:r>
    </w:p>
    <w:p w14:paraId="7292AA02" w14:textId="77777777" w:rsidR="00B67D7C" w:rsidRPr="00DE096C" w:rsidRDefault="00B67D7C" w:rsidP="00D45A46">
      <w:pPr>
        <w:jc w:val="both"/>
        <w:rPr>
          <w:bCs/>
          <w:color w:val="002060"/>
          <w:sz w:val="16"/>
          <w:szCs w:val="16"/>
        </w:rPr>
      </w:pPr>
      <w:r w:rsidRPr="00DE096C">
        <w:rPr>
          <w:bCs/>
          <w:color w:val="002060"/>
          <w:sz w:val="16"/>
          <w:szCs w:val="16"/>
        </w:rPr>
        <w:t>В 04.1941 г. при заводе образовано Серийное КБ выделением из состава Серийного Конструкторского Отдела. Начальник- Туманов.</w:t>
      </w:r>
    </w:p>
    <w:p w14:paraId="7F90F526" w14:textId="58728290" w:rsidR="00B67D7C" w:rsidRPr="00DE096C" w:rsidRDefault="00B67D7C" w:rsidP="00D45A46">
      <w:pPr>
        <w:jc w:val="both"/>
        <w:rPr>
          <w:bCs/>
          <w:color w:val="002060"/>
          <w:sz w:val="16"/>
          <w:szCs w:val="16"/>
        </w:rPr>
      </w:pPr>
      <w:r w:rsidRPr="00DE096C">
        <w:rPr>
          <w:bCs/>
          <w:color w:val="002060"/>
          <w:sz w:val="16"/>
          <w:szCs w:val="16"/>
        </w:rPr>
        <w:t>В конце 1941 г. завод № 28 3(6)ГУ НКАП эвакуировался в</w:t>
      </w:r>
      <w:r w:rsidR="0006581C">
        <w:rPr>
          <w:bCs/>
          <w:color w:val="002060"/>
          <w:sz w:val="16"/>
          <w:szCs w:val="16"/>
        </w:rPr>
        <w:t xml:space="preserve"> </w:t>
      </w:r>
      <w:r w:rsidRPr="00DE096C">
        <w:rPr>
          <w:bCs/>
          <w:color w:val="002060"/>
          <w:sz w:val="16"/>
          <w:szCs w:val="16"/>
        </w:rPr>
        <w:t>г. Свердловск на площадку планерного завода № 493 НКАП 11ГУ (сначала, в соответствии с приказом № 729сс от 22.07.1941 г. планировалось эвакуировать завод в</w:t>
      </w:r>
      <w:r w:rsidR="0006581C">
        <w:rPr>
          <w:bCs/>
          <w:color w:val="002060"/>
          <w:sz w:val="16"/>
          <w:szCs w:val="16"/>
        </w:rPr>
        <w:t xml:space="preserve"> </w:t>
      </w:r>
      <w:r w:rsidRPr="00DE096C">
        <w:rPr>
          <w:bCs/>
          <w:color w:val="002060"/>
          <w:sz w:val="16"/>
          <w:szCs w:val="16"/>
        </w:rPr>
        <w:t>г. Павлово Горьковской обл.). Завод № 493 в 1941 г. был объединен с заводами № 457 и № 388 НКАП с образованием нового завода № 464 НКАП. Завод № 28 продолжал действовать самостоятельно. По приказу № 218с от 19.03.1942 г. завод передан в ИГУ НКАП (и после войны).</w:t>
      </w:r>
    </w:p>
    <w:p w14:paraId="7719BEB1" w14:textId="77777777" w:rsidR="00B67D7C" w:rsidRPr="00DE096C" w:rsidRDefault="00B67D7C" w:rsidP="00D45A46">
      <w:pPr>
        <w:jc w:val="both"/>
        <w:rPr>
          <w:bCs/>
          <w:color w:val="002060"/>
          <w:sz w:val="16"/>
          <w:szCs w:val="16"/>
        </w:rPr>
      </w:pPr>
      <w:r w:rsidRPr="00DE096C">
        <w:rPr>
          <w:bCs/>
          <w:color w:val="002060"/>
          <w:sz w:val="16"/>
          <w:szCs w:val="16"/>
        </w:rPr>
        <w:t>В годы войны продолжено производство авиационных винтов ВИШ-61.</w:t>
      </w:r>
    </w:p>
    <w:p w14:paraId="31B5914D" w14:textId="77777777" w:rsidR="00B67D7C" w:rsidRPr="00DE096C" w:rsidRDefault="00B67D7C" w:rsidP="00D45A46">
      <w:pPr>
        <w:jc w:val="both"/>
        <w:rPr>
          <w:bCs/>
          <w:color w:val="002060"/>
          <w:sz w:val="16"/>
          <w:szCs w:val="16"/>
        </w:rPr>
      </w:pPr>
      <w:r w:rsidRPr="00DE096C">
        <w:rPr>
          <w:bCs/>
          <w:color w:val="002060"/>
          <w:sz w:val="16"/>
          <w:szCs w:val="16"/>
        </w:rPr>
        <w:t>На площадке эвакуированного завода в Москве с 10.1941 г. образованы Ремонтные мастерские при Ремотделе НКАП. В соответствии с пост. ГКО № 1052 от 23.12.1941 г. на этой площадке образован новый винтовой завод № 27 НКАП.</w:t>
      </w:r>
    </w:p>
    <w:p w14:paraId="1D93FA56" w14:textId="77777777" w:rsidR="00B67D7C" w:rsidRPr="00DE096C" w:rsidRDefault="00B67D7C" w:rsidP="00D45A46">
      <w:pPr>
        <w:jc w:val="both"/>
        <w:rPr>
          <w:bCs/>
          <w:color w:val="002060"/>
          <w:sz w:val="16"/>
          <w:szCs w:val="16"/>
        </w:rPr>
      </w:pPr>
      <w:r w:rsidRPr="00DE096C">
        <w:rPr>
          <w:bCs/>
          <w:color w:val="002060"/>
          <w:sz w:val="16"/>
          <w:szCs w:val="16"/>
        </w:rPr>
        <w:t>По приказу № 383с от 18.06.1946 г. и № 389с/16с от 20.06.1946 г. завод № 28 МАП передан в систему МСиДМ. Производственная программа винтов АВ5-167 передана на завод № 27 МАП, винтов В-3 для Ту-4 - на завод № 467 МАП. Далее переименован в завод «Пневмостроймашина».</w:t>
      </w:r>
    </w:p>
    <w:p w14:paraId="50F77408" w14:textId="77777777" w:rsidR="00B67D7C" w:rsidRPr="00DE096C" w:rsidRDefault="00B67D7C" w:rsidP="00D45A46">
      <w:pPr>
        <w:jc w:val="both"/>
        <w:rPr>
          <w:bCs/>
          <w:color w:val="002060"/>
          <w:sz w:val="16"/>
          <w:szCs w:val="16"/>
        </w:rPr>
      </w:pPr>
      <w:r w:rsidRPr="00DE096C">
        <w:rPr>
          <w:bCs/>
          <w:color w:val="002060"/>
          <w:sz w:val="16"/>
          <w:szCs w:val="16"/>
        </w:rPr>
        <w:t>С 1946 г. освоено производство пневматических машин, с 1955 г.- гидромашин (насосов НПА-64). Затем начато производство заправщиков и технологического оборудования для РКТ. С 1970 г. освоено производство гидравлики по лицензии фирмы "</w:t>
      </w:r>
      <w:r w:rsidRPr="00DE096C">
        <w:rPr>
          <w:bCs/>
          <w:color w:val="002060"/>
          <w:sz w:val="16"/>
          <w:szCs w:val="16"/>
          <w:lang w:val="en-US"/>
        </w:rPr>
        <w:t>BoschRexroth</w:t>
      </w:r>
      <w:r w:rsidRPr="00DE096C">
        <w:rPr>
          <w:bCs/>
          <w:color w:val="002060"/>
          <w:sz w:val="16"/>
          <w:szCs w:val="16"/>
        </w:rPr>
        <w:t>". До 1986 г. завод выпускал гидроагрегаты для авиации и РКТ.</w:t>
      </w:r>
    </w:p>
    <w:p w14:paraId="402B38FD" w14:textId="77777777" w:rsidR="00B67D7C" w:rsidRPr="00DE096C" w:rsidRDefault="00B67D7C" w:rsidP="00D45A46">
      <w:pPr>
        <w:jc w:val="both"/>
        <w:rPr>
          <w:bCs/>
          <w:color w:val="002060"/>
          <w:sz w:val="16"/>
          <w:szCs w:val="16"/>
        </w:rPr>
      </w:pPr>
      <w:r w:rsidRPr="00DE096C">
        <w:rPr>
          <w:bCs/>
          <w:color w:val="002060"/>
          <w:sz w:val="16"/>
          <w:szCs w:val="16"/>
        </w:rPr>
        <w:t>В 2000 г. ОАО «Пневмостроймашина» вошло в состав Уральской финансово-промышленной группы «Финпромко». В 2007 г. туда входил также Косулинский абразивный завод.</w:t>
      </w:r>
    </w:p>
    <w:p w14:paraId="553612D5" w14:textId="77777777" w:rsidR="00B67D7C" w:rsidRPr="00DE096C" w:rsidRDefault="00B67D7C" w:rsidP="00D45A46">
      <w:pPr>
        <w:jc w:val="both"/>
        <w:rPr>
          <w:bCs/>
          <w:color w:val="002060"/>
          <w:sz w:val="16"/>
          <w:szCs w:val="16"/>
        </w:rPr>
      </w:pPr>
      <w:r w:rsidRPr="00DE096C">
        <w:rPr>
          <w:bCs/>
          <w:color w:val="002060"/>
          <w:sz w:val="16"/>
          <w:szCs w:val="16"/>
        </w:rPr>
        <w:t>Производство (2007 г.): гидравлическое оборудование (гидронасосы, гидромоторы, насосные станции, клапаны, дроссели, пневмогидроаккумуляторы) для строительной и дорожной техники, судостроения; пневмоинструмент.</w:t>
      </w:r>
    </w:p>
    <w:p w14:paraId="167D55D1" w14:textId="77777777" w:rsidR="00B67D7C" w:rsidRPr="00DE096C" w:rsidRDefault="00B67D7C" w:rsidP="00D45A46">
      <w:pPr>
        <w:jc w:val="both"/>
        <w:rPr>
          <w:bCs/>
          <w:color w:val="002060"/>
          <w:sz w:val="16"/>
          <w:szCs w:val="16"/>
        </w:rPr>
      </w:pPr>
      <w:r w:rsidRPr="00DE096C">
        <w:rPr>
          <w:bCs/>
          <w:color w:val="002060"/>
          <w:sz w:val="16"/>
          <w:szCs w:val="16"/>
        </w:rPr>
        <w:t>Количество оборудования (1925 г.)- 48 ед., (1926 г.)- 40 ед.</w:t>
      </w:r>
    </w:p>
    <w:p w14:paraId="6151DDA2" w14:textId="77777777" w:rsidR="00B67D7C" w:rsidRPr="00DE096C" w:rsidRDefault="00B67D7C" w:rsidP="00D45A46">
      <w:pPr>
        <w:jc w:val="both"/>
        <w:rPr>
          <w:bCs/>
          <w:color w:val="002060"/>
          <w:sz w:val="16"/>
          <w:szCs w:val="16"/>
        </w:rPr>
      </w:pPr>
      <w:r w:rsidRPr="00DE096C">
        <w:rPr>
          <w:bCs/>
          <w:color w:val="002060"/>
          <w:sz w:val="16"/>
          <w:szCs w:val="16"/>
        </w:rPr>
        <w:t>Площадь: территории (1925 г.)- 16 тыс. м</w:t>
      </w:r>
      <w:r w:rsidRPr="00DE096C">
        <w:rPr>
          <w:bCs/>
          <w:color w:val="002060"/>
          <w:sz w:val="16"/>
          <w:szCs w:val="16"/>
          <w:vertAlign w:val="superscript"/>
        </w:rPr>
        <w:t>2</w:t>
      </w:r>
      <w:r w:rsidRPr="00DE096C">
        <w:rPr>
          <w:bCs/>
          <w:color w:val="002060"/>
          <w:sz w:val="16"/>
          <w:szCs w:val="16"/>
        </w:rPr>
        <w:t>; производственная (1925 г.)- 3,85 тыс. м</w:t>
      </w:r>
      <w:r w:rsidRPr="00DE096C">
        <w:rPr>
          <w:bCs/>
          <w:color w:val="002060"/>
          <w:sz w:val="16"/>
          <w:szCs w:val="16"/>
          <w:vertAlign w:val="superscript"/>
        </w:rPr>
        <w:t>2</w:t>
      </w:r>
      <w:r w:rsidRPr="00DE096C">
        <w:rPr>
          <w:bCs/>
          <w:color w:val="002060"/>
          <w:sz w:val="16"/>
          <w:szCs w:val="16"/>
        </w:rPr>
        <w:t>; вспомогательная (1925 г.)- 3,75 тыс. м</w:t>
      </w:r>
      <w:r w:rsidRPr="00DE096C">
        <w:rPr>
          <w:bCs/>
          <w:color w:val="002060"/>
          <w:sz w:val="16"/>
          <w:szCs w:val="16"/>
          <w:vertAlign w:val="superscript"/>
        </w:rPr>
        <w:t>2</w:t>
      </w:r>
      <w:r w:rsidRPr="00DE096C">
        <w:rPr>
          <w:bCs/>
          <w:color w:val="002060"/>
          <w:sz w:val="16"/>
          <w:szCs w:val="16"/>
        </w:rPr>
        <w:t>.</w:t>
      </w:r>
    </w:p>
    <w:p w14:paraId="1CB07E39" w14:textId="77777777" w:rsidR="00B67D7C" w:rsidRPr="00DE096C" w:rsidRDefault="00B67D7C" w:rsidP="00D45A46">
      <w:pPr>
        <w:jc w:val="both"/>
        <w:rPr>
          <w:bCs/>
          <w:color w:val="002060"/>
          <w:sz w:val="16"/>
          <w:szCs w:val="16"/>
        </w:rPr>
      </w:pPr>
      <w:r w:rsidRPr="00DE096C">
        <w:rPr>
          <w:bCs/>
          <w:color w:val="002060"/>
          <w:sz w:val="16"/>
          <w:szCs w:val="16"/>
        </w:rPr>
        <w:t>Численность персонала (12.1926 г.)- 238 чел., (2007 г.)- 2000 чел.</w:t>
      </w:r>
    </w:p>
    <w:p w14:paraId="39E7198A" w14:textId="77777777" w:rsidR="00B67D7C" w:rsidRPr="00DE096C" w:rsidRDefault="00B67D7C" w:rsidP="00D45A46">
      <w:pPr>
        <w:jc w:val="both"/>
        <w:rPr>
          <w:bCs/>
          <w:color w:val="002060"/>
          <w:sz w:val="16"/>
          <w:szCs w:val="16"/>
        </w:rPr>
      </w:pPr>
      <w:r w:rsidRPr="00DE096C">
        <w:rPr>
          <w:bCs/>
          <w:color w:val="002060"/>
          <w:sz w:val="16"/>
          <w:szCs w:val="16"/>
        </w:rPr>
        <w:t>Директор (-03.1927-07.1928 г.-)- Ф. Мурашев; и.о. (08.1928 г.)- В.И. Малынич; (1930 г.)- Васильев, (-02- 2.04.1937 г.)- Ф.И. Мельников, (2.04.1937-02.1940 г.)- П.С. Поленов, (02.1940 г.-)- Н.П. Савельев, (-08.1942- 09.1943 г.-)- Еремеев, (-07.1945-03.1946 г.-)- А. Г. Плоскинный. Гендиректор (2007 г.)- А.И. Павлов.</w:t>
      </w:r>
    </w:p>
    <w:p w14:paraId="71CB8BE3" w14:textId="77777777" w:rsidR="00B67D7C" w:rsidRPr="00DE096C" w:rsidRDefault="00B67D7C" w:rsidP="00D45A46">
      <w:pPr>
        <w:jc w:val="both"/>
        <w:rPr>
          <w:bCs/>
          <w:color w:val="002060"/>
          <w:sz w:val="16"/>
          <w:szCs w:val="16"/>
        </w:rPr>
      </w:pPr>
      <w:r w:rsidRPr="00DE096C">
        <w:rPr>
          <w:bCs/>
          <w:color w:val="002060"/>
          <w:sz w:val="16"/>
          <w:szCs w:val="16"/>
        </w:rPr>
        <w:t>1-й зам. гендиректора (2007 г.)- Д.В. Якшин. Зам. директора (06.1937 г.)- Н.С. Алешин. Помощник директора: по техчасти (-07.1927-06.1928 г.-)- В.И. Малынич; по найму и увольнению (-19.11.1937 г.)- И.М. Гайлис, (19.11.1937 г.-)-Ф.В.Левин.</w:t>
      </w:r>
    </w:p>
    <w:p w14:paraId="28C26B9E" w14:textId="77777777" w:rsidR="00B67D7C" w:rsidRPr="00DE096C" w:rsidRDefault="00B67D7C" w:rsidP="00D45A46">
      <w:pPr>
        <w:jc w:val="both"/>
        <w:rPr>
          <w:bCs/>
          <w:color w:val="002060"/>
          <w:sz w:val="16"/>
          <w:szCs w:val="16"/>
        </w:rPr>
      </w:pPr>
      <w:r w:rsidRPr="00DE096C">
        <w:rPr>
          <w:bCs/>
          <w:color w:val="002060"/>
          <w:sz w:val="16"/>
          <w:szCs w:val="16"/>
        </w:rPr>
        <w:t>Директор: по маркетингу и работе с потребителями (2007 г.)- А.А. Хачатуров; по международной торговле (2007 г.)- И. Сатыбалов.</w:t>
      </w:r>
    </w:p>
    <w:p w14:paraId="45A75275" w14:textId="77777777" w:rsidR="00B67D7C" w:rsidRPr="00DE096C" w:rsidRDefault="00B67D7C" w:rsidP="00D45A46">
      <w:pPr>
        <w:jc w:val="both"/>
        <w:rPr>
          <w:bCs/>
          <w:color w:val="002060"/>
          <w:sz w:val="16"/>
          <w:szCs w:val="16"/>
        </w:rPr>
      </w:pPr>
      <w:r w:rsidRPr="00DE096C">
        <w:rPr>
          <w:bCs/>
          <w:color w:val="002060"/>
          <w:sz w:val="16"/>
          <w:szCs w:val="16"/>
        </w:rPr>
        <w:t>Гл. инженер (06.1937 г.)- Н.С. Алешин, (7.09.1938 г.-)- Н.П, Савельев, (1941 г.)- Давыдов.</w:t>
      </w:r>
    </w:p>
    <w:p w14:paraId="3F1325F9" w14:textId="77777777" w:rsidR="00B67D7C" w:rsidRPr="00DE096C" w:rsidRDefault="00B67D7C" w:rsidP="00D45A46">
      <w:pPr>
        <w:jc w:val="both"/>
        <w:rPr>
          <w:bCs/>
          <w:color w:val="002060"/>
          <w:sz w:val="16"/>
          <w:szCs w:val="16"/>
        </w:rPr>
      </w:pPr>
      <w:r w:rsidRPr="00DE096C">
        <w:rPr>
          <w:bCs/>
          <w:color w:val="002060"/>
          <w:sz w:val="16"/>
          <w:szCs w:val="16"/>
        </w:rPr>
        <w:t>Гл. конструктор (-04-06.1938 г.-)- Кузьмин, (10.1945-03.1946 г.-)- Н.Н. Петров.</w:t>
      </w:r>
    </w:p>
    <w:p w14:paraId="5CA4A8A2" w14:textId="77777777" w:rsidR="00B67D7C" w:rsidRPr="00DE096C" w:rsidRDefault="00B67D7C" w:rsidP="00D45A46">
      <w:pPr>
        <w:jc w:val="both"/>
        <w:rPr>
          <w:bCs/>
          <w:color w:val="002060"/>
          <w:sz w:val="16"/>
          <w:szCs w:val="16"/>
        </w:rPr>
      </w:pPr>
      <w:r w:rsidRPr="00DE096C">
        <w:rPr>
          <w:bCs/>
          <w:color w:val="002060"/>
          <w:sz w:val="16"/>
          <w:szCs w:val="16"/>
        </w:rPr>
        <w:t>Заведующий канцелярией (-1928-ЗО г.-)- Нагибин.</w:t>
      </w:r>
    </w:p>
    <w:p w14:paraId="33E62D43" w14:textId="77777777" w:rsidR="00B67D7C" w:rsidRPr="00DE096C" w:rsidRDefault="00B67D7C" w:rsidP="00D45A46">
      <w:pPr>
        <w:jc w:val="both"/>
        <w:rPr>
          <w:bCs/>
          <w:color w:val="002060"/>
          <w:sz w:val="16"/>
          <w:szCs w:val="16"/>
        </w:rPr>
      </w:pPr>
      <w:r w:rsidRPr="00DE096C">
        <w:rPr>
          <w:bCs/>
          <w:color w:val="002060"/>
          <w:sz w:val="16"/>
          <w:szCs w:val="16"/>
        </w:rPr>
        <w:t>Производство: воздушные винты: ВИШ-24 (1933-), -61 (1933-41-), ВИШ-2 (1937-), -3 (1937); аксиально- поршневой гидронасос НПА-64 (1955-); гидронасосы и гидромоторы серии 303, 310, 313, 403, 410, 416 (2007); гайковерты ИП-3115, -3128, пневмоударник ПП-115, молоток рубильный ИП-4126, лом ИП-4608, трамбовка ИП- 4503 (2007) (11982).</w:t>
      </w:r>
    </w:p>
    <w:p w14:paraId="20633816" w14:textId="77777777" w:rsidR="00B67D7C" w:rsidRPr="00DE096C" w:rsidRDefault="00B67D7C" w:rsidP="00D45A46">
      <w:pPr>
        <w:jc w:val="both"/>
        <w:rPr>
          <w:bCs/>
          <w:color w:val="002060"/>
          <w:sz w:val="16"/>
          <w:szCs w:val="16"/>
        </w:rPr>
      </w:pPr>
    </w:p>
    <w:p w14:paraId="348E0FB6" w14:textId="77777777" w:rsidR="00B67D7C" w:rsidRPr="00DE096C" w:rsidRDefault="00B67D7C" w:rsidP="00D45A46">
      <w:pPr>
        <w:jc w:val="both"/>
        <w:rPr>
          <w:bCs/>
          <w:color w:val="002060"/>
          <w:sz w:val="16"/>
          <w:szCs w:val="16"/>
        </w:rPr>
      </w:pPr>
      <w:r w:rsidRPr="00DE096C">
        <w:rPr>
          <w:rStyle w:val="1"/>
          <w:b w:val="0"/>
          <w:bCs/>
          <w:color w:val="002060"/>
          <w:sz w:val="16"/>
          <w:szCs w:val="16"/>
        </w:rPr>
        <w:t>В 1914 г</w:t>
      </w:r>
      <w:r w:rsidRPr="00DE096C">
        <w:rPr>
          <w:bCs/>
          <w:color w:val="002060"/>
          <w:sz w:val="16"/>
          <w:szCs w:val="16"/>
        </w:rPr>
        <w:t>– освоение мастерскими производства запасных частей для авиационных двигателей, автомобилей и других машин. При мастерских открывается авиационно-автомобильный отдел для ремонта автомашин и аэропланов (11241).</w:t>
      </w:r>
    </w:p>
    <w:p w14:paraId="48FD8E29" w14:textId="77777777" w:rsidR="00B67D7C" w:rsidRPr="00DE096C" w:rsidRDefault="00B67D7C" w:rsidP="00D45A46">
      <w:pPr>
        <w:jc w:val="both"/>
        <w:rPr>
          <w:bCs/>
          <w:color w:val="002060"/>
          <w:sz w:val="16"/>
          <w:szCs w:val="16"/>
        </w:rPr>
      </w:pPr>
      <w:r w:rsidRPr="00DE096C">
        <w:rPr>
          <w:rStyle w:val="1"/>
          <w:b w:val="0"/>
          <w:bCs/>
          <w:color w:val="002060"/>
          <w:sz w:val="16"/>
          <w:szCs w:val="16"/>
        </w:rPr>
        <w:t>1922 г</w:t>
      </w:r>
      <w:r w:rsidRPr="00DE096C">
        <w:rPr>
          <w:bCs/>
          <w:color w:val="002060"/>
          <w:sz w:val="16"/>
          <w:szCs w:val="16"/>
        </w:rPr>
        <w:t>– мастерские осваивают выпуск запасных частей для тракторов иностранных марок. В этом же году мастерские получили название «Учебно-механический завод КПИ» (11241).</w:t>
      </w:r>
    </w:p>
    <w:p w14:paraId="42439AF4" w14:textId="77777777" w:rsidR="00B67D7C" w:rsidRPr="00DE096C" w:rsidRDefault="00B67D7C" w:rsidP="00D45A46">
      <w:pPr>
        <w:jc w:val="both"/>
        <w:rPr>
          <w:bCs/>
          <w:color w:val="002060"/>
          <w:sz w:val="16"/>
          <w:szCs w:val="16"/>
        </w:rPr>
      </w:pPr>
      <w:r w:rsidRPr="00DE096C">
        <w:rPr>
          <w:rStyle w:val="1"/>
          <w:b w:val="0"/>
          <w:bCs/>
          <w:color w:val="002060"/>
          <w:sz w:val="16"/>
          <w:szCs w:val="16"/>
        </w:rPr>
        <w:t>1930 г., 15 октября</w:t>
      </w:r>
      <w:r w:rsidRPr="00DE096C">
        <w:rPr>
          <w:bCs/>
          <w:color w:val="002060"/>
          <w:sz w:val="16"/>
          <w:szCs w:val="16"/>
        </w:rPr>
        <w:t>– постановлением Президиума ВСНХ создается завод, который передается в состав Всесоюзного объединения автотракторной промышленности (ВАТО) (11241).</w:t>
      </w:r>
    </w:p>
    <w:p w14:paraId="369C573C" w14:textId="77777777" w:rsidR="00B67D7C" w:rsidRPr="00DE096C" w:rsidRDefault="00B67D7C" w:rsidP="00D45A46">
      <w:pPr>
        <w:jc w:val="both"/>
        <w:rPr>
          <w:bCs/>
          <w:color w:val="002060"/>
          <w:sz w:val="16"/>
          <w:szCs w:val="16"/>
        </w:rPr>
      </w:pPr>
      <w:r w:rsidRPr="00DE096C">
        <w:rPr>
          <w:rStyle w:val="1"/>
          <w:b w:val="0"/>
          <w:bCs/>
          <w:color w:val="002060"/>
          <w:sz w:val="16"/>
          <w:szCs w:val="16"/>
        </w:rPr>
        <w:t>1933 г</w:t>
      </w:r>
      <w:r w:rsidRPr="00DE096C">
        <w:rPr>
          <w:bCs/>
          <w:color w:val="002060"/>
          <w:sz w:val="16"/>
          <w:szCs w:val="16"/>
        </w:rPr>
        <w:t>– по заказу Научно-исследовательского института авиадвигателей работники предприятия произвели бензиновый двигатель для агитсамолета «Максим Горький». (11241)</w:t>
      </w:r>
    </w:p>
    <w:p w14:paraId="26CB7569" w14:textId="77777777" w:rsidR="00B67D7C" w:rsidRPr="00DE096C" w:rsidRDefault="00B67D7C" w:rsidP="00D45A46">
      <w:pPr>
        <w:jc w:val="both"/>
        <w:rPr>
          <w:bCs/>
          <w:color w:val="002060"/>
          <w:sz w:val="16"/>
          <w:szCs w:val="16"/>
        </w:rPr>
      </w:pPr>
      <w:r w:rsidRPr="00DE096C">
        <w:rPr>
          <w:rStyle w:val="1"/>
          <w:b w:val="0"/>
          <w:bCs/>
          <w:color w:val="002060"/>
          <w:sz w:val="16"/>
          <w:szCs w:val="16"/>
        </w:rPr>
        <w:t>1934 г</w:t>
      </w:r>
      <w:r w:rsidRPr="00DE096C">
        <w:rPr>
          <w:bCs/>
          <w:color w:val="002060"/>
          <w:sz w:val="16"/>
          <w:szCs w:val="16"/>
        </w:rPr>
        <w:t>– освоение заводом выпуска запасных частей для отечественных тракторов. Для оказания практической помощи селу непосредственно на заводе организуется ремонт тракторов и сельскохозяйственной техники (11241).</w:t>
      </w:r>
    </w:p>
    <w:p w14:paraId="66640419" w14:textId="77777777" w:rsidR="00B67D7C" w:rsidRPr="00DE096C" w:rsidRDefault="00B67D7C" w:rsidP="00D45A46">
      <w:pPr>
        <w:jc w:val="both"/>
        <w:rPr>
          <w:bCs/>
          <w:color w:val="002060"/>
          <w:sz w:val="16"/>
          <w:szCs w:val="16"/>
        </w:rPr>
      </w:pPr>
      <w:r w:rsidRPr="00DE096C">
        <w:rPr>
          <w:rStyle w:val="1"/>
          <w:b w:val="0"/>
          <w:bCs/>
          <w:color w:val="002060"/>
          <w:sz w:val="16"/>
          <w:szCs w:val="16"/>
        </w:rPr>
        <w:t xml:space="preserve">1936 г </w:t>
      </w:r>
      <w:r w:rsidRPr="00DE096C">
        <w:rPr>
          <w:bCs/>
          <w:color w:val="002060"/>
          <w:sz w:val="16"/>
          <w:szCs w:val="16"/>
        </w:rPr>
        <w:t>– на заводе вводится в эксплуатацию специальный цех для капитального ремонта двигателей и коробок скоростей танков (11241).</w:t>
      </w:r>
    </w:p>
    <w:p w14:paraId="25FE33D0" w14:textId="77777777" w:rsidR="00B67D7C" w:rsidRPr="00DE096C" w:rsidRDefault="00B67D7C" w:rsidP="00D45A46">
      <w:pPr>
        <w:jc w:val="both"/>
        <w:rPr>
          <w:bCs/>
          <w:color w:val="002060"/>
          <w:sz w:val="16"/>
          <w:szCs w:val="16"/>
        </w:rPr>
      </w:pPr>
      <w:r w:rsidRPr="00DE096C">
        <w:rPr>
          <w:rStyle w:val="1"/>
          <w:b w:val="0"/>
          <w:bCs/>
          <w:color w:val="002060"/>
          <w:sz w:val="16"/>
          <w:szCs w:val="16"/>
        </w:rPr>
        <w:t xml:space="preserve">1937 г </w:t>
      </w:r>
      <w:r w:rsidRPr="00DE096C">
        <w:rPr>
          <w:bCs/>
          <w:color w:val="002060"/>
          <w:sz w:val="16"/>
          <w:szCs w:val="16"/>
        </w:rPr>
        <w:t>– коллектив завода производит серию специальных станков, гидропрессов и экспериментальных машин для металлургической промышленности (11241).</w:t>
      </w:r>
    </w:p>
    <w:p w14:paraId="2416684A" w14:textId="77777777" w:rsidR="00B67D7C" w:rsidRPr="00DE096C" w:rsidRDefault="00B67D7C" w:rsidP="00D45A46">
      <w:pPr>
        <w:jc w:val="both"/>
        <w:rPr>
          <w:bCs/>
          <w:color w:val="002060"/>
          <w:sz w:val="16"/>
          <w:szCs w:val="16"/>
        </w:rPr>
      </w:pPr>
      <w:r w:rsidRPr="00DE096C">
        <w:rPr>
          <w:rStyle w:val="1"/>
          <w:b w:val="0"/>
          <w:bCs/>
          <w:color w:val="002060"/>
          <w:sz w:val="16"/>
          <w:szCs w:val="16"/>
        </w:rPr>
        <w:t xml:space="preserve">1941 г, август </w:t>
      </w:r>
      <w:r w:rsidRPr="00DE096C">
        <w:rPr>
          <w:bCs/>
          <w:color w:val="002060"/>
          <w:sz w:val="16"/>
          <w:szCs w:val="16"/>
        </w:rPr>
        <w:t>– эвакуация завода на восток страны в связи с началом Великой Отечественной Войны (11241).</w:t>
      </w:r>
    </w:p>
    <w:p w14:paraId="0AAB9B6E" w14:textId="77777777" w:rsidR="00B67D7C" w:rsidRPr="00DE096C" w:rsidRDefault="00B67D7C" w:rsidP="00D45A46">
      <w:pPr>
        <w:jc w:val="both"/>
        <w:rPr>
          <w:bCs/>
          <w:color w:val="002060"/>
          <w:sz w:val="16"/>
          <w:szCs w:val="16"/>
        </w:rPr>
      </w:pPr>
      <w:r w:rsidRPr="00DE096C">
        <w:rPr>
          <w:rStyle w:val="1"/>
          <w:b w:val="0"/>
          <w:bCs/>
          <w:color w:val="002060"/>
          <w:sz w:val="16"/>
          <w:szCs w:val="16"/>
        </w:rPr>
        <w:t>1941 г, октябрь</w:t>
      </w:r>
      <w:r w:rsidRPr="00DE096C">
        <w:rPr>
          <w:bCs/>
          <w:color w:val="002060"/>
          <w:sz w:val="16"/>
          <w:szCs w:val="16"/>
        </w:rPr>
        <w:t>– выпуск заводом в тылу первой партии запасных частей к тракторам (11241).</w:t>
      </w:r>
    </w:p>
    <w:p w14:paraId="74767571" w14:textId="77777777" w:rsidR="00B67D7C" w:rsidRPr="00DE096C" w:rsidRDefault="00B67D7C" w:rsidP="00D45A46">
      <w:pPr>
        <w:jc w:val="both"/>
        <w:rPr>
          <w:bCs/>
          <w:color w:val="002060"/>
          <w:sz w:val="16"/>
          <w:szCs w:val="16"/>
        </w:rPr>
      </w:pPr>
      <w:r w:rsidRPr="00DE096C">
        <w:rPr>
          <w:rStyle w:val="1"/>
          <w:b w:val="0"/>
          <w:bCs/>
          <w:color w:val="002060"/>
          <w:sz w:val="16"/>
          <w:szCs w:val="16"/>
        </w:rPr>
        <w:t xml:space="preserve">1942 г </w:t>
      </w:r>
      <w:r w:rsidRPr="00DE096C">
        <w:rPr>
          <w:bCs/>
          <w:color w:val="002060"/>
          <w:sz w:val="16"/>
          <w:szCs w:val="16"/>
        </w:rPr>
        <w:t>– освоение коллективом завода выпуска военной продукции. (11241).</w:t>
      </w:r>
    </w:p>
    <w:p w14:paraId="7F846FE0" w14:textId="77777777" w:rsidR="00B67D7C" w:rsidRPr="00DE096C" w:rsidRDefault="00B67D7C" w:rsidP="00D45A46">
      <w:pPr>
        <w:jc w:val="both"/>
        <w:rPr>
          <w:bCs/>
          <w:color w:val="002060"/>
          <w:sz w:val="16"/>
          <w:szCs w:val="16"/>
        </w:rPr>
      </w:pPr>
      <w:r w:rsidRPr="00DE096C">
        <w:rPr>
          <w:rStyle w:val="1"/>
          <w:b w:val="0"/>
          <w:bCs/>
          <w:color w:val="002060"/>
          <w:sz w:val="16"/>
          <w:szCs w:val="16"/>
        </w:rPr>
        <w:t xml:space="preserve">1944 г, апрель </w:t>
      </w:r>
      <w:r w:rsidRPr="00DE096C">
        <w:rPr>
          <w:bCs/>
          <w:color w:val="002060"/>
          <w:sz w:val="16"/>
          <w:szCs w:val="16"/>
        </w:rPr>
        <w:t>– приказом Наркомата среднего машиностроения завод включается в число предприятий, которые подлежат восстановлению (11241).</w:t>
      </w:r>
    </w:p>
    <w:p w14:paraId="16C4E016" w14:textId="77777777" w:rsidR="00B67D7C" w:rsidRPr="00DE096C" w:rsidRDefault="00B67D7C" w:rsidP="00D45A46">
      <w:pPr>
        <w:jc w:val="both"/>
        <w:rPr>
          <w:bCs/>
          <w:color w:val="002060"/>
          <w:sz w:val="16"/>
          <w:szCs w:val="16"/>
        </w:rPr>
      </w:pPr>
      <w:r w:rsidRPr="00DE096C">
        <w:rPr>
          <w:rStyle w:val="1"/>
          <w:b w:val="0"/>
          <w:bCs/>
          <w:color w:val="002060"/>
          <w:sz w:val="16"/>
          <w:szCs w:val="16"/>
        </w:rPr>
        <w:t xml:space="preserve">1944 г, ноябрь </w:t>
      </w:r>
      <w:r w:rsidRPr="00DE096C">
        <w:rPr>
          <w:bCs/>
          <w:color w:val="002060"/>
          <w:sz w:val="16"/>
          <w:szCs w:val="16"/>
        </w:rPr>
        <w:t>– произведена первая партия запасных частей на восстановленном заводе (11241).</w:t>
      </w:r>
    </w:p>
    <w:p w14:paraId="19D55B46" w14:textId="77777777" w:rsidR="00B67D7C" w:rsidRPr="00DE096C" w:rsidRDefault="00B67D7C" w:rsidP="00D45A46">
      <w:pPr>
        <w:jc w:val="both"/>
        <w:rPr>
          <w:bCs/>
          <w:color w:val="002060"/>
          <w:sz w:val="16"/>
          <w:szCs w:val="16"/>
        </w:rPr>
      </w:pPr>
      <w:r w:rsidRPr="00DE096C">
        <w:rPr>
          <w:rStyle w:val="1"/>
          <w:b w:val="0"/>
          <w:bCs/>
          <w:color w:val="002060"/>
          <w:sz w:val="16"/>
          <w:szCs w:val="16"/>
        </w:rPr>
        <w:t xml:space="preserve">1970 г </w:t>
      </w:r>
      <w:r w:rsidRPr="00DE096C">
        <w:rPr>
          <w:bCs/>
          <w:color w:val="002060"/>
          <w:sz w:val="16"/>
          <w:szCs w:val="16"/>
        </w:rPr>
        <w:t>– завод осваивает производство редукторов для механизации работ в животноводстве. (11241).</w:t>
      </w:r>
    </w:p>
    <w:p w14:paraId="291B5782" w14:textId="77777777" w:rsidR="00B67D7C" w:rsidRPr="00DE096C" w:rsidRDefault="00B67D7C" w:rsidP="00D45A46">
      <w:pPr>
        <w:jc w:val="both"/>
        <w:rPr>
          <w:bCs/>
          <w:color w:val="002060"/>
          <w:sz w:val="16"/>
          <w:szCs w:val="16"/>
        </w:rPr>
      </w:pPr>
      <w:r w:rsidRPr="00DE096C">
        <w:rPr>
          <w:rStyle w:val="1"/>
          <w:b w:val="0"/>
          <w:bCs/>
          <w:color w:val="002060"/>
          <w:sz w:val="16"/>
          <w:szCs w:val="16"/>
        </w:rPr>
        <w:t xml:space="preserve">1972 г, июнь </w:t>
      </w:r>
      <w:r w:rsidRPr="00DE096C">
        <w:rPr>
          <w:bCs/>
          <w:color w:val="002060"/>
          <w:sz w:val="16"/>
          <w:szCs w:val="16"/>
        </w:rPr>
        <w:t>– завод становится главным предприятием производственного объединения «Киевтрактородеталь» (11241).</w:t>
      </w:r>
    </w:p>
    <w:p w14:paraId="18F8F038" w14:textId="77777777" w:rsidR="00B67D7C" w:rsidRPr="00DE096C" w:rsidRDefault="00B67D7C" w:rsidP="00D45A46">
      <w:pPr>
        <w:jc w:val="both"/>
        <w:rPr>
          <w:bCs/>
          <w:color w:val="002060"/>
          <w:sz w:val="16"/>
          <w:szCs w:val="16"/>
        </w:rPr>
      </w:pPr>
    </w:p>
    <w:p w14:paraId="723BBA45" w14:textId="77777777" w:rsidR="006510D6" w:rsidRPr="00DE096C" w:rsidRDefault="006510D6" w:rsidP="00D45A46">
      <w:pPr>
        <w:shd w:val="clear" w:color="auto" w:fill="FFFFFF"/>
        <w:jc w:val="both"/>
        <w:rPr>
          <w:bCs/>
          <w:color w:val="002060"/>
          <w:sz w:val="16"/>
          <w:szCs w:val="16"/>
        </w:rPr>
      </w:pPr>
      <w:r w:rsidRPr="00DE096C">
        <w:rPr>
          <w:bCs/>
          <w:color w:val="002060"/>
          <w:sz w:val="16"/>
          <w:szCs w:val="16"/>
        </w:rPr>
        <w:t xml:space="preserve">В 1914 Начальник Гатчинской авиашколы полковник С.А.Ульянин демонстрировал в Военно-морском управлении прибор для управления самолетами и морскими кораблями на расстоянии. Прибор, установленный на трехколесной тележке, свободно перемещал ее по полу, повинуясь радиосигналам изобретателя. Однако, изобретение, как (;и более ранние опыты в этой области Н.А.Яцука, не получило </w:t>
      </w:r>
      <w:r w:rsidRPr="00DE096C">
        <w:rPr>
          <w:bCs/>
          <w:color w:val="002060"/>
          <w:sz w:val="16"/>
          <w:szCs w:val="16"/>
          <w:vertAlign w:val="subscript"/>
        </w:rPr>
        <w:t>;</w:t>
      </w:r>
      <w:r w:rsidRPr="00DE096C">
        <w:rPr>
          <w:bCs/>
          <w:color w:val="002060"/>
          <w:sz w:val="16"/>
          <w:szCs w:val="16"/>
        </w:rPr>
        <w:t xml:space="preserve"> поддержки.</w:t>
      </w:r>
    </w:p>
    <w:p w14:paraId="7865D1AA" w14:textId="77777777" w:rsidR="006510D6" w:rsidRPr="00DE096C" w:rsidRDefault="006510D6" w:rsidP="00D45A46">
      <w:pPr>
        <w:shd w:val="clear" w:color="auto" w:fill="FFFFFF"/>
        <w:jc w:val="both"/>
        <w:rPr>
          <w:bCs/>
          <w:color w:val="002060"/>
          <w:sz w:val="16"/>
          <w:szCs w:val="16"/>
        </w:rPr>
      </w:pPr>
    </w:p>
    <w:p w14:paraId="21244D97" w14:textId="22CC4286" w:rsidR="00B67D7C" w:rsidRPr="00DE096C" w:rsidRDefault="006510D6" w:rsidP="00D45A46">
      <w:pPr>
        <w:jc w:val="both"/>
        <w:rPr>
          <w:rStyle w:val="1"/>
          <w:b w:val="0"/>
          <w:bCs/>
          <w:color w:val="002060"/>
          <w:sz w:val="16"/>
          <w:szCs w:val="16"/>
        </w:rPr>
      </w:pPr>
      <w:r w:rsidRPr="00DE096C">
        <w:rPr>
          <w:rStyle w:val="1"/>
          <w:b w:val="0"/>
          <w:bCs/>
          <w:color w:val="002060"/>
          <w:sz w:val="16"/>
          <w:szCs w:val="16"/>
        </w:rPr>
        <w:t>В</w:t>
      </w:r>
      <w:r w:rsidR="00B67D7C" w:rsidRPr="00DE096C">
        <w:rPr>
          <w:rStyle w:val="1"/>
          <w:b w:val="0"/>
          <w:bCs/>
          <w:color w:val="002060"/>
          <w:sz w:val="16"/>
          <w:szCs w:val="16"/>
        </w:rPr>
        <w:t xml:space="preserve"> 1914 г. </w:t>
      </w:r>
      <w:r w:rsidRPr="00DE096C">
        <w:rPr>
          <w:rStyle w:val="1"/>
          <w:b w:val="0"/>
          <w:bCs/>
          <w:color w:val="002060"/>
          <w:sz w:val="16"/>
          <w:szCs w:val="16"/>
        </w:rPr>
        <w:t xml:space="preserve">Сергей Алексеевич Ульянин получил за “Разборную палатку для аэропланов” </w:t>
      </w:r>
      <w:r w:rsidR="00B67D7C" w:rsidRPr="00DE096C">
        <w:rPr>
          <w:rStyle w:val="1"/>
          <w:b w:val="0"/>
          <w:bCs/>
          <w:color w:val="002060"/>
          <w:sz w:val="16"/>
          <w:szCs w:val="16"/>
        </w:rPr>
        <w:t xml:space="preserve">денежное вознаграждение, в том числе и за это изобретение. Палатка имела “минимальное количество жестких частей”, собиралась и разбиралась легко и быстро, хорошо противостояла ветру и надежно защищала аэроплан от дождя. Автор предлагал устанавливать палатки так, чтобы ворота их были защищены от прямого ветра какими-нибудь местными предметами: лесом, строениями и другими прикрытиями. При расположении бивака аэропланов в открытых местах изобретатель рекомендовал располагать палатки друг против друга воротами внутрь, на расстоянии размеров аэроплана друг от друга. Вес палатки серийного выпуска не превышал 480 кг. В новом варианте изобретения кроме усовершенствований </w:t>
      </w:r>
      <w:r w:rsidR="00B67D7C" w:rsidRPr="00DE096C">
        <w:rPr>
          <w:rStyle w:val="1"/>
          <w:b w:val="0"/>
          <w:bCs/>
          <w:color w:val="002060"/>
          <w:sz w:val="16"/>
          <w:szCs w:val="16"/>
        </w:rPr>
        <w:lastRenderedPageBreak/>
        <w:t>появился парусиновый чехол для укладки палатки при перевозке и хранении. С увеличением размеров аэропланов автор изменил ширину палатки, а для аэропланов “Илья Муромец “ разработал новую палатку. Её назвали “Палатка-ангар системы полковника Ульянина”. Как и предыдущие варианты, она широко применялась в войсках, в том числе и в боевых действиях вплоть до 20-х годов прошлого столетия. О добротности и полезности палаток писали, помещали их фотографии с такими, например, под рисуночными текстами: “Полевая палатка для аэропланов конструкции Ульянина, прекрасно служившая для защиты от непогоды в Балканской войне”. наши дни о привилегии, полученной Ульяниным на аэропланную палатку, впервые было опубликовано в 1990 г. автором этих строк (11221).</w:t>
      </w:r>
    </w:p>
    <w:p w14:paraId="08C16B02" w14:textId="77777777" w:rsidR="00B67D7C" w:rsidRPr="00DE096C" w:rsidRDefault="00B67D7C" w:rsidP="00D45A46">
      <w:pPr>
        <w:jc w:val="both"/>
        <w:rPr>
          <w:rStyle w:val="1"/>
          <w:b w:val="0"/>
          <w:bCs/>
          <w:color w:val="002060"/>
          <w:sz w:val="16"/>
          <w:szCs w:val="16"/>
        </w:rPr>
      </w:pPr>
    </w:p>
    <w:p w14:paraId="7F32D45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1914 Конструктор Александр Александрович Пороховщиков- построил собственноручно на своей квартире оригинальный самолет -подкосный полутораплан двухбалочной схемы ("бикок") с двига</w:t>
      </w:r>
      <w:r w:rsidRPr="00DE096C">
        <w:rPr>
          <w:bCs/>
          <w:color w:val="002060"/>
          <w:sz w:val="16"/>
          <w:szCs w:val="16"/>
        </w:rPr>
        <w:softHyphen/>
        <w:t>телем Гном в 50 л.с. Самолет двухместный с двойным управлением быстро и легко разбирался и собирался, имел хорошие [летные качества и являлся прототипом всех последующих самолотов двухбалочной схемы, так называемых "двухвосток". По ряду причин этот интересный самолет не получил распространения (ЦТВИА. ф.2008, оп.1, д.501, л.236-244).</w:t>
      </w:r>
    </w:p>
    <w:p w14:paraId="5C08D250" w14:textId="77777777" w:rsidR="00B67D7C" w:rsidRPr="00DE096C" w:rsidRDefault="00B67D7C" w:rsidP="00D45A46">
      <w:pPr>
        <w:shd w:val="clear" w:color="auto" w:fill="FFFFFF"/>
        <w:jc w:val="both"/>
        <w:rPr>
          <w:bCs/>
          <w:color w:val="002060"/>
          <w:sz w:val="16"/>
          <w:szCs w:val="16"/>
        </w:rPr>
      </w:pPr>
    </w:p>
    <w:p w14:paraId="20FA29C3" w14:textId="77777777" w:rsidR="0082335E" w:rsidRPr="00DE096C" w:rsidRDefault="0082335E" w:rsidP="00D45A46">
      <w:pPr>
        <w:jc w:val="both"/>
        <w:rPr>
          <w:bCs/>
          <w:color w:val="002060"/>
          <w:sz w:val="16"/>
          <w:szCs w:val="16"/>
        </w:rPr>
      </w:pPr>
      <w:r w:rsidRPr="00DE096C">
        <w:rPr>
          <w:bCs/>
          <w:color w:val="002060"/>
          <w:sz w:val="16"/>
          <w:szCs w:val="16"/>
        </w:rPr>
        <w:t>В 1914 г. конструктор Александр Александрович Пороховщиков построил соб</w:t>
      </w:r>
      <w:r w:rsidRPr="00DE096C">
        <w:rPr>
          <w:bCs/>
          <w:color w:val="002060"/>
          <w:sz w:val="16"/>
          <w:szCs w:val="16"/>
        </w:rPr>
        <w:softHyphen/>
        <w:t>ственноручно на своей квартире оригинальный. самолет двухбалочной схемы /Бикок/ с мотором Гном 50 л.с. Самолет двухместный с двойным управлением быстро и легко разбирался и собирался. имел хорошие летные качества и являлся прототипом всех по следующих самолетов подобной схемы, так называемых «двухвосток». По ряду причин. этот интересный самолет, однако, не получил распространения.</w:t>
      </w:r>
    </w:p>
    <w:p w14:paraId="3820D12B" w14:textId="77777777" w:rsidR="0082335E" w:rsidRPr="00DE096C" w:rsidRDefault="0082335E" w:rsidP="00D45A46">
      <w:pPr>
        <w:jc w:val="both"/>
        <w:rPr>
          <w:bCs/>
          <w:color w:val="002060"/>
          <w:sz w:val="16"/>
          <w:szCs w:val="16"/>
        </w:rPr>
      </w:pPr>
      <w:r w:rsidRPr="00DE096C">
        <w:rPr>
          <w:bCs/>
          <w:color w:val="002060"/>
          <w:sz w:val="16"/>
          <w:szCs w:val="16"/>
        </w:rPr>
        <w:t>/ЦГВИА, ф. 2008, оп. 1, д. 501, лл. 236-244/ (23320).</w:t>
      </w:r>
    </w:p>
    <w:p w14:paraId="5E05225B" w14:textId="77777777" w:rsidR="0082335E" w:rsidRPr="00DE096C" w:rsidRDefault="0082335E" w:rsidP="00D45A46">
      <w:pPr>
        <w:jc w:val="both"/>
        <w:rPr>
          <w:bCs/>
          <w:color w:val="002060"/>
          <w:sz w:val="16"/>
          <w:szCs w:val="16"/>
        </w:rPr>
      </w:pPr>
    </w:p>
    <w:p w14:paraId="7E56E18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1914 Инженер московского завода "Дукс" Андрей Владимирович Не</w:t>
      </w:r>
      <w:r w:rsidRPr="00DE096C">
        <w:rPr>
          <w:bCs/>
          <w:color w:val="002060"/>
          <w:sz w:val="16"/>
          <w:szCs w:val="16"/>
        </w:rPr>
        <w:softHyphen/>
        <w:t>стеров построил собственной конструкции оригинальный авиадвига</w:t>
      </w:r>
      <w:r w:rsidRPr="00DE096C">
        <w:rPr>
          <w:bCs/>
          <w:color w:val="002060"/>
          <w:sz w:val="16"/>
          <w:szCs w:val="16"/>
        </w:rPr>
        <w:softHyphen/>
        <w:t>тель -семицилиндровый звездообразный с водяным охлаждением мощностью в 120 л.с. Ввиду отсутствия моторостроительной базы двигатель не получил распространения.</w:t>
      </w:r>
    </w:p>
    <w:p w14:paraId="661732EA" w14:textId="77777777" w:rsidR="00B67D7C" w:rsidRPr="00DE096C" w:rsidRDefault="00B67D7C" w:rsidP="00D45A46">
      <w:pPr>
        <w:shd w:val="clear" w:color="auto" w:fill="FFFFFF"/>
        <w:jc w:val="both"/>
        <w:rPr>
          <w:bCs/>
          <w:color w:val="002060"/>
          <w:sz w:val="16"/>
          <w:szCs w:val="16"/>
        </w:rPr>
      </w:pPr>
    </w:p>
    <w:p w14:paraId="5080B767" w14:textId="77777777" w:rsidR="0082335E" w:rsidRPr="00DE096C" w:rsidRDefault="0082335E" w:rsidP="00D45A46">
      <w:pPr>
        <w:jc w:val="both"/>
        <w:rPr>
          <w:bCs/>
          <w:color w:val="002060"/>
          <w:sz w:val="16"/>
          <w:szCs w:val="16"/>
        </w:rPr>
      </w:pPr>
      <w:r w:rsidRPr="00DE096C">
        <w:rPr>
          <w:bCs/>
          <w:color w:val="002060"/>
          <w:sz w:val="16"/>
          <w:szCs w:val="16"/>
        </w:rPr>
        <w:t>В 1914 г. инженер московского завода "Дуке" Андрей Владимирович Несте</w:t>
      </w:r>
      <w:r w:rsidRPr="00DE096C">
        <w:rPr>
          <w:bCs/>
          <w:color w:val="002060"/>
          <w:sz w:val="16"/>
          <w:szCs w:val="16"/>
        </w:rPr>
        <w:softHyphen/>
        <w:t>ров построил собственной конструкции оригинальный авиадвигатель — семицилиндровый звездообразный с водяным охлаждением мощностью 120 л.с. Ввиду отсутствия моторостроительной базы двигатель не получил распространения (23320).</w:t>
      </w:r>
    </w:p>
    <w:p w14:paraId="7508C335" w14:textId="77777777" w:rsidR="0082335E" w:rsidRPr="00DE096C" w:rsidRDefault="0082335E" w:rsidP="00D45A46">
      <w:pPr>
        <w:jc w:val="both"/>
        <w:rPr>
          <w:bCs/>
          <w:color w:val="002060"/>
          <w:sz w:val="16"/>
          <w:szCs w:val="16"/>
        </w:rPr>
      </w:pPr>
    </w:p>
    <w:p w14:paraId="2309157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1914 г. производством авиамоторов решил заняться московский завод «Дукс», строивший аэропланы. Директор завода Ю.А. Меллер пригласил военного инженера А.В. Нестерова, который спроектировал «гипоцикл». Это был 7-цилиндровый звездообразный двигатель водяного охлаждения. Особенностью его конструкции являлось то, что Нестеров отказался от привычной комбинации главного и прицепных шатунов. В «гипоцикле» все шатуны были равноправны и надевались друг за другом на одну кри</w:t>
      </w:r>
      <w:r w:rsidRPr="00DE096C">
        <w:rPr>
          <w:bCs/>
          <w:color w:val="002060"/>
          <w:sz w:val="16"/>
          <w:szCs w:val="16"/>
        </w:rPr>
        <w:softHyphen/>
        <w:t>вошипную шейку коленчатого вала. Соответственно все цилиндры стоя</w:t>
      </w:r>
      <w:r w:rsidRPr="00DE096C">
        <w:rPr>
          <w:bCs/>
          <w:color w:val="002060"/>
          <w:sz w:val="16"/>
          <w:szCs w:val="16"/>
        </w:rPr>
        <w:softHyphen/>
        <w:t>ли в разных плоскостях. Такая компоновка привела к увеличению длины коленвала и двигателя в целом. На испытаниях мотор развил мощность около 120 л.с., но через несколько часов работы у него оторвался один цилиндр. «Гипоцикл» восстановили, но, поскольку он не сулил никаких преимуществ по сравнению с уже имевшимися в России авиамоторами, его законсервировали, и далее никаких работ по нему не вели. Таким образом, можно сделать вывод, что ни один из авиационных двигателей отечественной конструкции к середине 1914 г. не довели до состояния, пригодного для серийного производства. Да и двигателей ино</w:t>
      </w:r>
      <w:r w:rsidRPr="00DE096C">
        <w:rPr>
          <w:bCs/>
          <w:color w:val="002060"/>
          <w:sz w:val="16"/>
          <w:szCs w:val="16"/>
        </w:rPr>
        <w:softHyphen/>
        <w:t>странных конструкций и их модификаций в России выпускали немного. Это приводило к сильной зависимости самолетостроительной промышлен</w:t>
      </w:r>
      <w:r w:rsidRPr="00DE096C">
        <w:rPr>
          <w:bCs/>
          <w:color w:val="002060"/>
          <w:sz w:val="16"/>
          <w:szCs w:val="16"/>
        </w:rPr>
        <w:softHyphen/>
        <w:t>ности от импорта моторов из-за границы. В этот период в основном вво</w:t>
      </w:r>
      <w:r w:rsidRPr="00DE096C">
        <w:rPr>
          <w:bCs/>
          <w:color w:val="002060"/>
          <w:sz w:val="16"/>
          <w:szCs w:val="16"/>
        </w:rPr>
        <w:softHyphen/>
        <w:t>зили двигатели французского и германского производства, но встречались также итальянские, английские и американские (11852).</w:t>
      </w:r>
    </w:p>
    <w:p w14:paraId="2E889978" w14:textId="77777777" w:rsidR="00B67D7C" w:rsidRPr="00DE096C" w:rsidRDefault="00B67D7C" w:rsidP="00D45A46">
      <w:pPr>
        <w:shd w:val="clear" w:color="auto" w:fill="FFFFFF"/>
        <w:jc w:val="both"/>
        <w:rPr>
          <w:bCs/>
          <w:color w:val="002060"/>
          <w:sz w:val="16"/>
          <w:szCs w:val="16"/>
        </w:rPr>
      </w:pPr>
    </w:p>
    <w:p w14:paraId="1E454970" w14:textId="7DC1966B" w:rsidR="00B67D7C" w:rsidRPr="00DE096C" w:rsidRDefault="006510D6"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1914 г. на </w:t>
      </w:r>
      <w:r w:rsidRPr="00DE096C">
        <w:rPr>
          <w:bCs/>
          <w:color w:val="002060"/>
          <w:sz w:val="16"/>
          <w:szCs w:val="16"/>
        </w:rPr>
        <w:t xml:space="preserve">«Дукс» </w:t>
      </w:r>
      <w:r w:rsidR="00B67D7C" w:rsidRPr="00DE096C">
        <w:rPr>
          <w:bCs/>
          <w:color w:val="002060"/>
          <w:sz w:val="16"/>
          <w:szCs w:val="16"/>
        </w:rPr>
        <w:t xml:space="preserve">было занято около 500 рабочих, </w:t>
      </w:r>
      <w:r w:rsidRPr="00DE096C">
        <w:rPr>
          <w:bCs/>
          <w:color w:val="002060"/>
          <w:sz w:val="16"/>
          <w:szCs w:val="16"/>
        </w:rPr>
        <w:t xml:space="preserve">но </w:t>
      </w:r>
      <w:r w:rsidR="00B67D7C" w:rsidRPr="00DE096C">
        <w:rPr>
          <w:bCs/>
          <w:color w:val="002060"/>
          <w:sz w:val="16"/>
          <w:szCs w:val="16"/>
        </w:rPr>
        <w:t>производительность была невелика (10-12 аппаратов в месяц). Причиной этого были малые размеры производственных помещений, их временный характер (легкие сараи), отсутствие необходимого оборудования, материалов, недостаток квалифицированных кадров. В годы Первой мировой войны «Дукс» из небольшого предприятия превратился в один из крупнейших российских авиазаводов и оставался им на протяжении десятилетий. Основой расширения предприятия стали щедро оплачиваемые военные заказы. Еще в начале войны началось утепление временных помещений, строительство новых деревообделочного, столярного, трубоволочильного и сборочного цехов. Впоследствии расширились и частично перестроились инструментальный, механический, литейный и медницкий цеха; на Ходынском аэродроме были сооружены ангары. Как отмечала авиационная комиссия Особого совещания по обороне, завод «Дукс» отличался исправностью выполнения заказов и даже перевыполнял поставки, не получая специальных субсидий [Там же. Ф. 369. Оп. 8. Д. 75. Л. 48-50.].</w:t>
      </w:r>
    </w:p>
    <w:p w14:paraId="631F04FC" w14:textId="77777777" w:rsidR="00B67D7C" w:rsidRPr="00DE096C" w:rsidRDefault="00B67D7C" w:rsidP="00D45A46">
      <w:pPr>
        <w:jc w:val="both"/>
        <w:rPr>
          <w:bCs/>
          <w:color w:val="002060"/>
          <w:sz w:val="16"/>
          <w:szCs w:val="16"/>
        </w:rPr>
      </w:pPr>
      <w:r w:rsidRPr="00DE096C">
        <w:rPr>
          <w:bCs/>
          <w:color w:val="002060"/>
          <w:sz w:val="16"/>
          <w:szCs w:val="16"/>
        </w:rPr>
        <w:t>Контракты, заключенные заводом в 1916 г., потребовали его дальнейшего расширения. К концу года на предприятии было занято уже свыше 2500 рабочих, в том числе 2150 номерных; выпускалось по 100 аппаратов в месяц. Правление Общества «Дукс» наметило специальную программу развития завода. При содействии Особого совещания по обороне были приобретены земельные участки за 145 тыс. руб., на которых была начата постройка двух производственных корпусов (3-этажного и 2-этажного), нового склада аэропланов, теплого ангара, котельного здания и деревообделочной мастерской, проводилось дополнительное оборудование механической мастерской. Большинство построек к декабрю 1916 г. были близки к завершению. На основании ходатайства правления «Дукса», поддержанного авиационной комиссией, Особое совещание решением от 28 января 1917 г. выдало заводу ссуду в 550 тыс. руб. из расчета 5 % годовых (все планируемые затраты по расширению предприятия исчислялись в 1063,1 тыс. руб.) [Там же. Д. 43. Л. 4; Там же. Д. 75. Л. 96об.]. В договорах о новых заказах прямо указывалось: «Акционерное общество “Дукс” Ю.А. Меллер обязуется расширить существующий в городе Москве аэроплановый завод и увеличить его оборудование к 1-му июня 1917 г. до размеров, достаточных для выпуска аэропланов в срок» [Там же. Ф. 493. Оп. 4. Д. 295. Л. 22.]. В течение 1917 г. завод «Дукс» по заключенным контрактам получил аванс свыше 1,3 млн. руб. и беспроцентную ссуду в 2758 тыс. руб. На предприятии в это время было занято около 3 тыс. рабочих; осуществлялось производство велосипедов, мотоциклов, дирижаблей, самолетов, аэросаней, дрезин. Впоследствии это было одно из ведущих авиационных предприятий СССР («Знамя труда»).</w:t>
      </w:r>
    </w:p>
    <w:p w14:paraId="380F1356" w14:textId="77777777" w:rsidR="00B67D7C" w:rsidRPr="00DE096C" w:rsidRDefault="00B67D7C" w:rsidP="00D45A46">
      <w:pPr>
        <w:jc w:val="both"/>
        <w:rPr>
          <w:bCs/>
          <w:color w:val="002060"/>
          <w:sz w:val="16"/>
          <w:szCs w:val="16"/>
        </w:rPr>
      </w:pPr>
      <w:r w:rsidRPr="00DE096C">
        <w:rPr>
          <w:bCs/>
          <w:color w:val="002060"/>
          <w:sz w:val="16"/>
          <w:szCs w:val="16"/>
        </w:rPr>
        <w:t>К расширению производства, в том числе и через новое строительство, стремились и другие российские самолетостроительные заводы. Известный своими достижениями в области гидроавиации Петроградский завод Товарищества С.С. Щетинина на основании решения Особого совещания по обороне (ноябрь 1915 г.) начинает строительство большого авиационного предприятия в Ярославле. На его сооружение и оборудование казной были выделены ссуда в 338,7 тыс. руб. и безвозвратное пособие - около 300 тыс. руб. К концу 1916 г. было выстроено два больших корпуса. Хотя новое предприятие в 1917 г. получило заказ военного ведомства на поставку 180 «Спадов», его выполнение не началось, так как не прибыло оборудование, заказанное в США [Там же. Ф. 493. Оп. 4. Д. 51. Л. 3; Там же. Оп. 9. Д. 41. Л. 14об., 16об.].</w:t>
      </w:r>
    </w:p>
    <w:p w14:paraId="35659146" w14:textId="77777777" w:rsidR="00B67D7C" w:rsidRPr="00DE096C" w:rsidRDefault="00B67D7C" w:rsidP="00D45A46">
      <w:pPr>
        <w:jc w:val="both"/>
        <w:rPr>
          <w:bCs/>
          <w:color w:val="002060"/>
          <w:sz w:val="16"/>
          <w:szCs w:val="16"/>
        </w:rPr>
      </w:pPr>
      <w:r w:rsidRPr="00DE096C">
        <w:rPr>
          <w:bCs/>
          <w:color w:val="002060"/>
          <w:sz w:val="16"/>
          <w:szCs w:val="16"/>
        </w:rPr>
        <w:t>Ведущим в группе южно-российских предприятий был авиационный завод банкира А.А. Анатра в Одессе. В годы войны на заводе были сделаны новые постройки, установлено дополнительно 200 станков. Одесский завод целиком работал на фронт. Расширение предприятия происходило в соответствии с казенными заказами и при материальной поддержке со стороны военного ведомства. С целью получения более значительных новых заказов А.А. Анатра осуществил постройку нового завода в Симферополе с аэропланным и моторным отделениями. Сооружение предприятия началось в феврале 1916 г. В выстроенных механическом, деревообделочном и сборочном цехах было установлено 150 станков. В 1917 г. самолетостроительное отделение было пущено в ход. На предприятии было занято около тысячи рабочих, однако недостаточность оборудования не позволила выйти на проектную производительность [Там же. Ф. 493. Оп. 9. Л. 89; Там же. Д. 56. Л. 200.].</w:t>
      </w:r>
    </w:p>
    <w:p w14:paraId="14830BC4" w14:textId="77777777" w:rsidR="00B67D7C" w:rsidRPr="00DE096C" w:rsidRDefault="00B67D7C" w:rsidP="00D45A46">
      <w:pPr>
        <w:jc w:val="both"/>
        <w:rPr>
          <w:bCs/>
          <w:color w:val="002060"/>
          <w:sz w:val="16"/>
          <w:szCs w:val="16"/>
        </w:rPr>
      </w:pPr>
      <w:r w:rsidRPr="00DE096C">
        <w:rPr>
          <w:bCs/>
          <w:color w:val="002060"/>
          <w:sz w:val="16"/>
          <w:szCs w:val="16"/>
        </w:rPr>
        <w:t>Благодаря регулярному получению правительственных заказов на изготовление учебных аппаратов, сопровождавшихся, как правило, выдачей 30- процентного аванса, в заводское предприятие превратилась авиационная мастерская В.В. Слюсаренко. В 1916 г. было учреждено акционерное общество Петроградского аэропланостроительного завода В.В. Слюсаренко, численность занятых рабочих на котором составляла около 300 человек. Была построена новая механическая мастерская, но оборудование предприятия оставалось незначительным [Там же. Оп. 4. Д. 84. Л. 1-8; Там же. Оп. 9. Д. 56. Л. 200.].</w:t>
      </w:r>
    </w:p>
    <w:p w14:paraId="02670FCF" w14:textId="77777777" w:rsidR="00B67D7C" w:rsidRPr="00DE096C" w:rsidRDefault="00B67D7C" w:rsidP="00D45A46">
      <w:pPr>
        <w:jc w:val="both"/>
        <w:rPr>
          <w:bCs/>
          <w:color w:val="002060"/>
          <w:sz w:val="16"/>
          <w:szCs w:val="16"/>
        </w:rPr>
      </w:pPr>
      <w:r w:rsidRPr="00DE096C">
        <w:rPr>
          <w:bCs/>
          <w:color w:val="002060"/>
          <w:sz w:val="16"/>
          <w:szCs w:val="16"/>
        </w:rPr>
        <w:t>В годы войны открылся ряд новых самолетостроительных предприятий, получавших заказы на изготовление аппаратов: московские мастерские летчика-спортсмена, проектировщика, итальянца Ф. Моска, А.А. Пороховщикова, торгового дома Безобразова, технической конторы «И.И. Стеглау», товарищества Липецких аэропланостроительных мастерских [РГВИА. Ф. 493. Оп. 9. Д. 56. Л. 200; Там же. Ф. 369. Оп. 8. Д. 74. Л. 18; Там же. Ф. 493. Оп. 4. Д. 384; Там же. Д. 56. Л. 200; Там же. Ф. 369. Оп. 8. Д. 74. Л. 18.] (11863).</w:t>
      </w:r>
    </w:p>
    <w:p w14:paraId="46D6351E" w14:textId="77777777" w:rsidR="00B67D7C" w:rsidRPr="00DE096C" w:rsidRDefault="00B67D7C" w:rsidP="00D45A46">
      <w:pPr>
        <w:jc w:val="both"/>
        <w:rPr>
          <w:bCs/>
          <w:color w:val="002060"/>
          <w:sz w:val="16"/>
          <w:szCs w:val="16"/>
        </w:rPr>
      </w:pPr>
    </w:p>
    <w:p w14:paraId="22C08D3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В 1914 Лейтенант флота Михаил Николаевич Николъс-Кэй спроектировал авиадвигатель, в котором воздушный винт приводился в действие с помощью газовой турбины. Это был первый по времени проект турбовинтового двигателя, на принципе которого строятся совре манные мощные турбовинтовые двигатели. Реализации проекта отчасти помешала война, в которой принял участие и сам конструктор </w:t>
      </w:r>
      <w:r w:rsidRPr="00DE096C">
        <w:rPr>
          <w:bCs/>
          <w:smallCaps/>
          <w:color w:val="002060"/>
          <w:sz w:val="16"/>
          <w:szCs w:val="16"/>
        </w:rPr>
        <w:t xml:space="preserve">б </w:t>
      </w:r>
      <w:r w:rsidRPr="00DE096C">
        <w:rPr>
          <w:bCs/>
          <w:color w:val="002060"/>
          <w:sz w:val="16"/>
          <w:szCs w:val="16"/>
        </w:rPr>
        <w:t>качестве главного механика эскадры воздушных кораблей "Илья Муромец".</w:t>
      </w:r>
    </w:p>
    <w:p w14:paraId="4FF6C5EF" w14:textId="77777777" w:rsidR="00B67D7C" w:rsidRPr="00DE096C" w:rsidRDefault="00B67D7C" w:rsidP="00D45A46">
      <w:pPr>
        <w:shd w:val="clear" w:color="auto" w:fill="FFFFFF"/>
        <w:jc w:val="both"/>
        <w:rPr>
          <w:bCs/>
          <w:color w:val="002060"/>
          <w:sz w:val="16"/>
          <w:szCs w:val="16"/>
        </w:rPr>
      </w:pPr>
    </w:p>
    <w:p w14:paraId="6F758899" w14:textId="77777777" w:rsidR="0082335E" w:rsidRPr="00DE096C" w:rsidRDefault="0082335E" w:rsidP="00D45A46">
      <w:pPr>
        <w:jc w:val="both"/>
        <w:rPr>
          <w:bCs/>
          <w:color w:val="002060"/>
          <w:sz w:val="16"/>
          <w:szCs w:val="16"/>
        </w:rPr>
      </w:pPr>
      <w:r w:rsidRPr="00DE096C">
        <w:rPr>
          <w:bCs/>
          <w:color w:val="002060"/>
          <w:sz w:val="16"/>
          <w:szCs w:val="16"/>
        </w:rPr>
        <w:t>В 1914 г. лейтенант флота Михаил Николаевич Никольской спроектировал авиадвигатель, в котором воздушный винт приводился в действие с помощью газовой турбины. Это был первый по времени проект турбо</w:t>
      </w:r>
      <w:r w:rsidRPr="00DE096C">
        <w:rPr>
          <w:bCs/>
          <w:color w:val="002060"/>
          <w:sz w:val="16"/>
          <w:szCs w:val="16"/>
        </w:rPr>
        <w:softHyphen/>
        <w:t>винтового двигателя, на принципе которого строются современные мощные турбовинтовые двигатели. Реализации проекта отчасти помешала война, в которой принял участие и сам конструктор в качестве механика эскадры воздушных кораблей "Илья Муромец" (23320).</w:t>
      </w:r>
    </w:p>
    <w:p w14:paraId="0B06551D" w14:textId="77777777" w:rsidR="0082335E" w:rsidRPr="00DE096C" w:rsidRDefault="0082335E" w:rsidP="00D45A46">
      <w:pPr>
        <w:jc w:val="both"/>
        <w:rPr>
          <w:bCs/>
          <w:color w:val="002060"/>
          <w:sz w:val="16"/>
          <w:szCs w:val="16"/>
        </w:rPr>
      </w:pPr>
    </w:p>
    <w:p w14:paraId="49142FD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1914 Изобретатель П.П.Шиловский сконструировал "гироскопиче</w:t>
      </w:r>
      <w:r w:rsidRPr="00DE096C">
        <w:rPr>
          <w:bCs/>
          <w:color w:val="002060"/>
          <w:sz w:val="16"/>
          <w:szCs w:val="16"/>
        </w:rPr>
        <w:softHyphen/>
        <w:t>ский прибор для обеспечения автоматической устойчивости само</w:t>
      </w:r>
      <w:r w:rsidRPr="00DE096C">
        <w:rPr>
          <w:bCs/>
          <w:color w:val="002060"/>
          <w:sz w:val="16"/>
          <w:szCs w:val="16"/>
        </w:rPr>
        <w:softHyphen/>
        <w:t>лета и пытался испробовать его в полете на "Фарман-15", Но ввиду большого веса и громоздкости установки опыты были отложены.</w:t>
      </w:r>
    </w:p>
    <w:p w14:paraId="267B8EDD" w14:textId="77777777" w:rsidR="00B67D7C" w:rsidRPr="00DE096C" w:rsidRDefault="00B67D7C" w:rsidP="00D45A46">
      <w:pPr>
        <w:shd w:val="clear" w:color="auto" w:fill="FFFFFF"/>
        <w:jc w:val="both"/>
        <w:rPr>
          <w:bCs/>
          <w:color w:val="002060"/>
          <w:sz w:val="16"/>
          <w:szCs w:val="16"/>
        </w:rPr>
      </w:pPr>
    </w:p>
    <w:p w14:paraId="5B47550B" w14:textId="77777777" w:rsidR="0082335E" w:rsidRPr="00DE096C" w:rsidRDefault="0082335E" w:rsidP="00D45A46">
      <w:pPr>
        <w:jc w:val="both"/>
        <w:rPr>
          <w:bCs/>
          <w:color w:val="002060"/>
          <w:sz w:val="16"/>
          <w:szCs w:val="16"/>
        </w:rPr>
      </w:pPr>
      <w:r w:rsidRPr="00DE096C">
        <w:rPr>
          <w:bCs/>
          <w:color w:val="002060"/>
          <w:sz w:val="16"/>
          <w:szCs w:val="16"/>
        </w:rPr>
        <w:lastRenderedPageBreak/>
        <w:t>В 1914 г. изобретатель П.П. Шиловский сконструировал прибор /гироскопический/ для обеспечения автоматической устойчивости самолета и пы</w:t>
      </w:r>
      <w:r w:rsidRPr="00DE096C">
        <w:rPr>
          <w:bCs/>
          <w:color w:val="002060"/>
          <w:sz w:val="16"/>
          <w:szCs w:val="16"/>
        </w:rPr>
        <w:softHyphen/>
        <w:t>тался испробовать его в полете на Фарман-15, но ввиду большого ве</w:t>
      </w:r>
      <w:r w:rsidRPr="00DE096C">
        <w:rPr>
          <w:bCs/>
          <w:color w:val="002060"/>
          <w:sz w:val="16"/>
          <w:szCs w:val="16"/>
        </w:rPr>
        <w:softHyphen/>
        <w:t>са и громоздкости установки опыты были отложены (23320).</w:t>
      </w:r>
    </w:p>
    <w:p w14:paraId="5A966C86" w14:textId="77777777" w:rsidR="0082335E" w:rsidRPr="00DE096C" w:rsidRDefault="0082335E" w:rsidP="00D45A46">
      <w:pPr>
        <w:jc w:val="both"/>
        <w:rPr>
          <w:bCs/>
          <w:color w:val="002060"/>
          <w:sz w:val="16"/>
          <w:szCs w:val="16"/>
        </w:rPr>
      </w:pPr>
    </w:p>
    <w:p w14:paraId="128050AB" w14:textId="392B6D77" w:rsidR="0082335E" w:rsidRPr="00DE096C" w:rsidRDefault="0082335E" w:rsidP="00D45A46">
      <w:pPr>
        <w:jc w:val="both"/>
        <w:rPr>
          <w:bCs/>
          <w:color w:val="002060"/>
          <w:sz w:val="16"/>
          <w:szCs w:val="16"/>
        </w:rPr>
      </w:pPr>
      <w:r w:rsidRPr="00DE096C">
        <w:rPr>
          <w:bCs/>
          <w:color w:val="002060"/>
          <w:sz w:val="16"/>
          <w:szCs w:val="16"/>
        </w:rPr>
        <w:t>В 1914 г. Начальник Гатчинской авиашкола полковник С.А.Ульянин демонстрировал в Военно-морской управлении прибор для управлении самолетами и кораблями на расстоянии. Прибор, установленный на трехколесной тележке, свободно перемещал ее по полу, повинуясъ раддиосигналам изобретателя. Однако, изобретение, как и более ранние в этой области Н.К.Яцука, не получило поддержки (23320).</w:t>
      </w:r>
    </w:p>
    <w:p w14:paraId="5FA37D5F" w14:textId="77777777" w:rsidR="0082335E" w:rsidRPr="00DE096C" w:rsidRDefault="0082335E" w:rsidP="00D45A46">
      <w:pPr>
        <w:jc w:val="both"/>
        <w:rPr>
          <w:bCs/>
          <w:color w:val="002060"/>
          <w:sz w:val="16"/>
          <w:szCs w:val="16"/>
        </w:rPr>
      </w:pPr>
    </w:p>
    <w:p w14:paraId="6D248CA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1914 Профессор С.А.Чаплыгин опубликовал труд "Теория решетчатого крыла" - в котором впервые обосновал идею так называемого механизированного крыла, нашедшую свое воплощение в видо современных предкрылков и закрылков.</w:t>
      </w:r>
    </w:p>
    <w:p w14:paraId="2E33B5E3" w14:textId="77777777" w:rsidR="00B67D7C" w:rsidRPr="00DE096C" w:rsidRDefault="00B67D7C" w:rsidP="00D45A46">
      <w:pPr>
        <w:shd w:val="clear" w:color="auto" w:fill="FFFFFF"/>
        <w:jc w:val="both"/>
        <w:rPr>
          <w:bCs/>
          <w:color w:val="002060"/>
          <w:sz w:val="16"/>
          <w:szCs w:val="16"/>
        </w:rPr>
      </w:pPr>
    </w:p>
    <w:p w14:paraId="5F52EA66" w14:textId="77777777" w:rsidR="0082335E" w:rsidRPr="00DE096C" w:rsidRDefault="0082335E" w:rsidP="00D45A46">
      <w:pPr>
        <w:jc w:val="both"/>
        <w:rPr>
          <w:bCs/>
          <w:color w:val="002060"/>
          <w:sz w:val="16"/>
          <w:szCs w:val="16"/>
        </w:rPr>
      </w:pPr>
      <w:r w:rsidRPr="00DE096C">
        <w:rPr>
          <w:bCs/>
          <w:color w:val="002060"/>
          <w:sz w:val="16"/>
          <w:szCs w:val="16"/>
        </w:rPr>
        <w:t>В 1914 г. профессор С.А.Чаплыгин опубликовал труд «Теория решетчатого крыла», в котором впервые обосновал идею так называемого механи</w:t>
      </w:r>
      <w:r w:rsidRPr="00DE096C">
        <w:rPr>
          <w:bCs/>
          <w:color w:val="002060"/>
          <w:sz w:val="16"/>
          <w:szCs w:val="16"/>
        </w:rPr>
        <w:softHyphen/>
        <w:t>зированного крыла, нашедшую свое воплощение в виде современных предкрылков и закрылков (23320).</w:t>
      </w:r>
    </w:p>
    <w:p w14:paraId="0AF73EBF" w14:textId="77777777" w:rsidR="0082335E" w:rsidRPr="00DE096C" w:rsidRDefault="0082335E" w:rsidP="00D45A46">
      <w:pPr>
        <w:jc w:val="both"/>
        <w:rPr>
          <w:bCs/>
          <w:color w:val="002060"/>
          <w:sz w:val="16"/>
          <w:szCs w:val="16"/>
        </w:rPr>
      </w:pPr>
    </w:p>
    <w:p w14:paraId="10D57E5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1914 Опубликован труд С. А. Чаплыгина «Теория решетчатого крыла», в котором впервые обоснована идея разрезного механи</w:t>
      </w:r>
      <w:r w:rsidRPr="00DE096C">
        <w:rPr>
          <w:bCs/>
          <w:color w:val="002060"/>
          <w:sz w:val="16"/>
          <w:szCs w:val="16"/>
        </w:rPr>
        <w:softHyphen/>
        <w:t>зированного крыла (1137).</w:t>
      </w:r>
    </w:p>
    <w:p w14:paraId="695C7DE9" w14:textId="77777777" w:rsidR="00B67D7C" w:rsidRPr="00DE096C" w:rsidRDefault="00B67D7C" w:rsidP="00D45A46">
      <w:pPr>
        <w:shd w:val="clear" w:color="auto" w:fill="FFFFFF"/>
        <w:jc w:val="both"/>
        <w:rPr>
          <w:bCs/>
          <w:color w:val="002060"/>
          <w:sz w:val="16"/>
          <w:szCs w:val="16"/>
        </w:rPr>
      </w:pPr>
    </w:p>
    <w:p w14:paraId="1C57373A" w14:textId="06B486DA" w:rsidR="00B67D7C" w:rsidRPr="00DE096C" w:rsidRDefault="00B67D7C" w:rsidP="00D45A46">
      <w:pPr>
        <w:jc w:val="both"/>
        <w:rPr>
          <w:bCs/>
          <w:color w:val="002060"/>
          <w:sz w:val="16"/>
          <w:szCs w:val="16"/>
        </w:rPr>
      </w:pPr>
      <w:r w:rsidRPr="00DE096C">
        <w:rPr>
          <w:bCs/>
          <w:color w:val="002060"/>
          <w:sz w:val="16"/>
          <w:szCs w:val="16"/>
        </w:rPr>
        <w:t>С 1914 г. петербургский завод "Русский Рено" собирал авиационные двигатели "Рено" для самолетов конструкции И.И. Сикорского, В.А. Слесарева, Д.П. Григоровича. В 1915 г. в Москву из Риги был эвакуирован завод "Мотор", на котором производилась сборка двигателей "Рон" и "Калеп К-80". Существовало еще несколько предприятий, занимающихся ремонтом авиационным моторов.</w:t>
      </w:r>
    </w:p>
    <w:p w14:paraId="58EE6EE8" w14:textId="77777777" w:rsidR="00B67D7C" w:rsidRPr="00DE096C" w:rsidRDefault="00B67D7C" w:rsidP="00D45A46">
      <w:pPr>
        <w:jc w:val="both"/>
        <w:rPr>
          <w:bCs/>
          <w:color w:val="002060"/>
          <w:sz w:val="16"/>
          <w:szCs w:val="16"/>
        </w:rPr>
      </w:pPr>
      <w:r w:rsidRPr="00DE096C">
        <w:rPr>
          <w:bCs/>
          <w:color w:val="002060"/>
          <w:sz w:val="16"/>
          <w:szCs w:val="16"/>
        </w:rPr>
        <w:t xml:space="preserve">Отечественные конструкторы пытались разрабатывать оригинальные моторы на серьезной инженерной основе и сумели выдвинуть ряд непревзойденных технических решений, однако создать в полном объеме мощный авиадвигатель им долго не удавалось. В истории российского авиадвигателестроения остались оригинальные конструкции отечественных изобретателей моторов того времени: А.В. Нестерова, Б.Г. Луцкого, А.А. Микулина и Б.С. Стечкина, Н.Р. Бриллинга. Известны также работы А.А. Пороховщикова, А.Г. Уфимцева, Ф.В. Гешвенда, С.В. Гризодубова и др. </w:t>
      </w:r>
    </w:p>
    <w:p w14:paraId="4E219505" w14:textId="77777777" w:rsidR="00B67D7C" w:rsidRPr="00DE096C" w:rsidRDefault="00B67D7C" w:rsidP="00D45A46">
      <w:pPr>
        <w:jc w:val="both"/>
        <w:rPr>
          <w:bCs/>
          <w:color w:val="002060"/>
          <w:sz w:val="16"/>
          <w:szCs w:val="16"/>
        </w:rPr>
      </w:pPr>
      <w:r w:rsidRPr="00DE096C">
        <w:rPr>
          <w:bCs/>
          <w:color w:val="002060"/>
          <w:sz w:val="16"/>
          <w:szCs w:val="16"/>
        </w:rPr>
        <w:t xml:space="preserve">После Октябрьской революции положение еще более усугубилось вследствие Гражданской войны и всеобщей разрухи. Авиация перманентно находилась в состоянии "авиамоторного голода", и самолеты, изготовлявшиеся в полукустарных условиях, оставались без моторов, производство которых требовало значительно более высокого уровня технологии. </w:t>
      </w:r>
    </w:p>
    <w:p w14:paraId="795EB961" w14:textId="77777777" w:rsidR="00B67D7C" w:rsidRPr="00DE096C" w:rsidRDefault="00B67D7C" w:rsidP="00D45A46">
      <w:pPr>
        <w:jc w:val="both"/>
        <w:rPr>
          <w:bCs/>
          <w:color w:val="002060"/>
          <w:sz w:val="16"/>
          <w:szCs w:val="16"/>
        </w:rPr>
      </w:pPr>
      <w:r w:rsidRPr="00DE096C">
        <w:rPr>
          <w:bCs/>
          <w:color w:val="002060"/>
          <w:sz w:val="16"/>
          <w:szCs w:val="16"/>
        </w:rPr>
        <w:t xml:space="preserve">Инициативные усилия как одиночек-энтузиастов, так и и маломощных разрозненных групп, направленные на конструирование новых двигателей, в то время объективно не могли привести к большому успеху и тем самым повлиять на ход развития авиационного моторостроения в Отечестве. Большинство этих попыток носило любительский характер, проводилось малыми силами, так как не хватало опытных конструкторских кадров, профессионализма, и являлось, по существу, кустарщиной, в силу отсутствия необходимой научно-исследовательской и испытательной базы, технических и производственных средств. </w:t>
      </w:r>
    </w:p>
    <w:p w14:paraId="41FAB2E7" w14:textId="77777777" w:rsidR="00B67D7C" w:rsidRPr="00DE096C" w:rsidRDefault="00B67D7C" w:rsidP="00D45A46">
      <w:pPr>
        <w:jc w:val="both"/>
        <w:rPr>
          <w:bCs/>
          <w:color w:val="002060"/>
          <w:sz w:val="16"/>
          <w:szCs w:val="16"/>
        </w:rPr>
      </w:pPr>
      <w:r w:rsidRPr="00DE096C">
        <w:rPr>
          <w:bCs/>
          <w:color w:val="002060"/>
          <w:sz w:val="16"/>
          <w:szCs w:val="16"/>
        </w:rPr>
        <w:t xml:space="preserve">В связи с этим руководством страны была поставлена задача развертывания выпуска авиационных моторов, отвечающих по своим данным уровню, достигнутому за рубежом. Было решено в первую очередь организовать изготовление лицензионных двигателей по лучшим иностранным образцам, подготавливая тем самым основу для будущих разработок отечественных конструкций. Такая техническая политика дала свои положительные результаты - </w:t>
      </w:r>
    </w:p>
    <w:p w14:paraId="49AE1AB7" w14:textId="77777777" w:rsidR="00B67D7C" w:rsidRPr="00DE096C" w:rsidRDefault="00B67D7C" w:rsidP="00D45A46">
      <w:pPr>
        <w:jc w:val="both"/>
        <w:rPr>
          <w:bCs/>
          <w:color w:val="002060"/>
          <w:sz w:val="16"/>
          <w:szCs w:val="16"/>
        </w:rPr>
      </w:pPr>
    </w:p>
    <w:p w14:paraId="3A5C6679" w14:textId="17DFA797"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В 1914 г. </w:t>
      </w:r>
      <w:r w:rsidR="00D34FBE" w:rsidRPr="00DE096C">
        <w:rPr>
          <w:bCs/>
          <w:color w:val="002060"/>
          <w:sz w:val="16"/>
          <w:szCs w:val="16"/>
        </w:rPr>
        <w:t xml:space="preserve">филиал французская фирма «Гном» в Москве </w:t>
      </w:r>
      <w:r w:rsidRPr="00DE096C">
        <w:rPr>
          <w:bCs/>
          <w:color w:val="002060"/>
          <w:sz w:val="16"/>
          <w:szCs w:val="16"/>
        </w:rPr>
        <w:t>делали уже по 7-10 двигателей в месяц</w:t>
      </w:r>
      <w:r w:rsidR="00D34FBE" w:rsidRPr="00DE096C">
        <w:rPr>
          <w:bCs/>
          <w:color w:val="002060"/>
          <w:sz w:val="16"/>
          <w:szCs w:val="16"/>
        </w:rPr>
        <w:t>. В отличие от двигателей Калепа, московские моторы полностью соответствовали выпускавшимся во Франции, только маркировка наносилась на русском языке</w:t>
      </w:r>
      <w:r w:rsidRPr="00DE096C">
        <w:rPr>
          <w:bCs/>
          <w:color w:val="002060"/>
          <w:sz w:val="16"/>
          <w:szCs w:val="16"/>
        </w:rPr>
        <w:t xml:space="preserve"> (11852).</w:t>
      </w:r>
    </w:p>
    <w:p w14:paraId="05D40155" w14:textId="77777777" w:rsidR="00B67D7C" w:rsidRPr="00DE096C" w:rsidRDefault="00B67D7C" w:rsidP="00D45A46">
      <w:pPr>
        <w:shd w:val="clear" w:color="auto" w:fill="FFFFFF"/>
        <w:jc w:val="both"/>
        <w:rPr>
          <w:bCs/>
          <w:color w:val="002060"/>
          <w:sz w:val="16"/>
          <w:szCs w:val="16"/>
        </w:rPr>
      </w:pPr>
    </w:p>
    <w:p w14:paraId="3143D765" w14:textId="2B2E0ECA" w:rsidR="00B67D7C" w:rsidRPr="00DE096C" w:rsidRDefault="00D34FBE" w:rsidP="00D45A46">
      <w:pPr>
        <w:jc w:val="both"/>
        <w:rPr>
          <w:bCs/>
          <w:color w:val="002060"/>
          <w:sz w:val="16"/>
          <w:szCs w:val="16"/>
        </w:rPr>
      </w:pPr>
      <w:r w:rsidRPr="00DE096C">
        <w:rPr>
          <w:bCs/>
          <w:color w:val="002060"/>
          <w:sz w:val="16"/>
          <w:szCs w:val="16"/>
        </w:rPr>
        <w:t>С</w:t>
      </w:r>
      <w:r w:rsidR="00B67D7C" w:rsidRPr="00DE096C">
        <w:rPr>
          <w:bCs/>
          <w:color w:val="002060"/>
          <w:sz w:val="16"/>
          <w:szCs w:val="16"/>
        </w:rPr>
        <w:t xml:space="preserve"> 1914 г., </w:t>
      </w:r>
      <w:r w:rsidRPr="00DE096C">
        <w:rPr>
          <w:bCs/>
          <w:color w:val="002060"/>
          <w:sz w:val="16"/>
          <w:szCs w:val="16"/>
        </w:rPr>
        <w:t xml:space="preserve">трехцветные красно-сине-белые концентрические круги (кокарды), являвшиеся опознавательным знаком русской авиации в годы Первой мировой войны </w:t>
      </w:r>
      <w:r w:rsidR="00B67D7C" w:rsidRPr="00DE096C">
        <w:rPr>
          <w:bCs/>
          <w:color w:val="002060"/>
          <w:sz w:val="16"/>
          <w:szCs w:val="16"/>
        </w:rPr>
        <w:t>в обязательном порядке наносили на крылья (у бипланов - сверху на верхнее и снизу - на нижнее), а также на рули поворота самолетов отечественной постройки. У самолетов, полученных из-за границы, руль поворота, как правило, был раскрашен вертикальными полосами цветов российского флага. Нередко кокарды рисовали также на бортах фюзеляжа за кабиной (у самолетов с тянущим винтом) либо на бортах фюзеляжной гондолы (у двухместных аэропланов с толкающими винтами). Иногда они встречались даже на дисках колес и консолях стабилизатора (11987).</w:t>
      </w:r>
    </w:p>
    <w:p w14:paraId="12AB1C67" w14:textId="77777777" w:rsidR="00B67D7C" w:rsidRPr="00DE096C" w:rsidRDefault="00B67D7C" w:rsidP="00D45A46">
      <w:pPr>
        <w:jc w:val="both"/>
        <w:rPr>
          <w:bCs/>
          <w:color w:val="002060"/>
          <w:sz w:val="16"/>
          <w:szCs w:val="16"/>
        </w:rPr>
      </w:pPr>
    </w:p>
    <w:p w14:paraId="66E23C0E" w14:textId="77777777" w:rsidR="00D45A46" w:rsidRPr="00DE096C" w:rsidRDefault="00D45A46" w:rsidP="00D45A46">
      <w:pPr>
        <w:jc w:val="both"/>
        <w:rPr>
          <w:bCs/>
          <w:color w:val="002060"/>
          <w:sz w:val="16"/>
          <w:szCs w:val="16"/>
        </w:rPr>
      </w:pPr>
      <w:r w:rsidRPr="00DE096C">
        <w:rPr>
          <w:bCs/>
          <w:color w:val="002060"/>
          <w:sz w:val="16"/>
          <w:szCs w:val="16"/>
        </w:rPr>
        <w:t>В 1914 г. на Одесском заводе Анатра работало 23 рабочих, в 1915 г. - 70, число рабочих увеличилось до 1100 в 1916 г. и 1450 в 1917 г. На Симферопольском заводе в 1916 г. работало 295 рабочих, а в 1917 г. - 635. С 1910 по 1913 г. Анатра произвела 137 рабочих. самолет. В 1914-1917 годах было построено около 1569 самолетов. В мае 1924 года завод Анатра в Одессе стал государственным ГАЗом. №7.</w:t>
      </w:r>
    </w:p>
    <w:p w14:paraId="1026E3F1" w14:textId="77777777" w:rsidR="00D45A46" w:rsidRPr="00DE096C" w:rsidRDefault="00D45A46" w:rsidP="00D45A46">
      <w:pPr>
        <w:jc w:val="both"/>
        <w:rPr>
          <w:bCs/>
          <w:color w:val="002060"/>
          <w:sz w:val="16"/>
          <w:szCs w:val="16"/>
        </w:rPr>
      </w:pPr>
      <w:r w:rsidRPr="00DE096C">
        <w:rPr>
          <w:bCs/>
          <w:color w:val="002060"/>
          <w:sz w:val="16"/>
          <w:szCs w:val="16"/>
        </w:rPr>
        <w:t>У «Анатры» также был завод в Симферополе, выпускавший авиадвигатели «Испано-Сюиза». Производственные данные неизвестны. Позже Симферопольский завод стал казенным ГАЗ №15.</w:t>
      </w:r>
    </w:p>
    <w:p w14:paraId="3F035BE2" w14:textId="77777777" w:rsidR="00D45A46" w:rsidRPr="00DE096C" w:rsidRDefault="00D45A46" w:rsidP="00D45A46">
      <w:pPr>
        <w:jc w:val="both"/>
        <w:rPr>
          <w:bCs/>
          <w:color w:val="002060"/>
          <w:sz w:val="16"/>
          <w:szCs w:val="16"/>
        </w:rPr>
      </w:pPr>
      <w:r w:rsidRPr="00DE096C">
        <w:rPr>
          <w:bCs/>
          <w:color w:val="002060"/>
          <w:sz w:val="16"/>
          <w:szCs w:val="16"/>
        </w:rPr>
        <w:t>Анатра также производила различные французские типы по лицензии, из которых Симферопольский завод поставил в общей сложности пятьдесят самолетов, а Одесский завод построил 433 машины в 1916 году и 623 в 1917 году. Основными французскими типами были Voisin LAS, Farman IV, Farman VII, Farman. XVI, Morane-Saulnier Parasol, Nieuport X, Nieuport XVIIbis типов. В 1917 году французское правительство аннулировало заказ Анатры на Симферопольский завод, из-за чего там производилось небольшое количество машин.</w:t>
      </w:r>
    </w:p>
    <w:p w14:paraId="7EE8C3F1" w14:textId="77777777" w:rsidR="00D45A46" w:rsidRPr="00DE096C" w:rsidRDefault="00D45A46" w:rsidP="00D45A46">
      <w:pPr>
        <w:jc w:val="both"/>
        <w:rPr>
          <w:bCs/>
          <w:color w:val="002060"/>
          <w:sz w:val="16"/>
          <w:szCs w:val="16"/>
        </w:rPr>
      </w:pPr>
      <w:r w:rsidRPr="00DE096C">
        <w:rPr>
          <w:bCs/>
          <w:color w:val="002060"/>
          <w:sz w:val="16"/>
          <w:szCs w:val="16"/>
        </w:rPr>
        <w:t xml:space="preserve">Примеры заказов Anatra - количество готовых/заказанных (23525). </w:t>
      </w:r>
    </w:p>
    <w:p w14:paraId="42B1E265" w14:textId="77777777" w:rsidR="00D45A46" w:rsidRPr="00DE096C" w:rsidRDefault="00D45A46" w:rsidP="00D45A46">
      <w:pPr>
        <w:jc w:val="both"/>
        <w:rPr>
          <w:bCs/>
          <w:color w:val="002060"/>
          <w:sz w:val="16"/>
          <w:szCs w:val="16"/>
        </w:rPr>
      </w:pPr>
    </w:p>
    <w:p w14:paraId="64F6B933" w14:textId="77777777" w:rsidR="00B67D7C" w:rsidRPr="00DE096C" w:rsidRDefault="00B67D7C" w:rsidP="00D45A46">
      <w:pPr>
        <w:jc w:val="both"/>
        <w:rPr>
          <w:bCs/>
          <w:i/>
          <w:iCs/>
          <w:color w:val="002060"/>
          <w:sz w:val="16"/>
          <w:szCs w:val="16"/>
        </w:rPr>
      </w:pPr>
      <w:r w:rsidRPr="00DE096C">
        <w:rPr>
          <w:bCs/>
          <w:i/>
          <w:iCs/>
          <w:color w:val="002060"/>
          <w:sz w:val="16"/>
          <w:szCs w:val="16"/>
        </w:rPr>
        <w:t>Аэростатостроение:</w:t>
      </w:r>
    </w:p>
    <w:p w14:paraId="682BC8DE" w14:textId="77777777" w:rsidR="00B67D7C" w:rsidRPr="00DE096C" w:rsidRDefault="00B67D7C" w:rsidP="00D45A46">
      <w:pPr>
        <w:shd w:val="clear" w:color="auto" w:fill="FFFFFF"/>
        <w:jc w:val="both"/>
        <w:rPr>
          <w:bCs/>
          <w:i/>
          <w:color w:val="002060"/>
          <w:sz w:val="16"/>
          <w:szCs w:val="16"/>
        </w:rPr>
      </w:pPr>
    </w:p>
    <w:p w14:paraId="72C5E9B3" w14:textId="08014A40" w:rsidR="00B67D7C" w:rsidRPr="00DE096C" w:rsidRDefault="00B67D7C" w:rsidP="00D45A46">
      <w:pPr>
        <w:jc w:val="both"/>
        <w:rPr>
          <w:bCs/>
          <w:color w:val="002060"/>
          <w:sz w:val="16"/>
          <w:szCs w:val="16"/>
        </w:rPr>
      </w:pPr>
      <w:r w:rsidRPr="00DE096C">
        <w:rPr>
          <w:bCs/>
          <w:color w:val="002060"/>
          <w:sz w:val="16"/>
          <w:szCs w:val="16"/>
        </w:rPr>
        <w:t xml:space="preserve">В 1914 году были заказаны крупные дирижабли объемом примерно </w:t>
      </w:r>
      <w:r w:rsidR="00D34FBE" w:rsidRPr="00DE096C">
        <w:rPr>
          <w:bCs/>
          <w:color w:val="002060"/>
          <w:sz w:val="16"/>
          <w:szCs w:val="16"/>
        </w:rPr>
        <w:t xml:space="preserve">по </w:t>
      </w:r>
      <w:r w:rsidRPr="00DE096C">
        <w:rPr>
          <w:bCs/>
          <w:color w:val="002060"/>
          <w:sz w:val="16"/>
          <w:szCs w:val="16"/>
        </w:rPr>
        <w:t>20 000 куб. м трем заводам — Ижорскому, Балтийскому и «Клеман-Байяр» во Франции (11324).</w:t>
      </w:r>
    </w:p>
    <w:p w14:paraId="2DA37E4D" w14:textId="77777777" w:rsidR="00B67D7C" w:rsidRPr="00DE096C" w:rsidRDefault="00B67D7C" w:rsidP="00D45A46">
      <w:pPr>
        <w:jc w:val="both"/>
        <w:rPr>
          <w:bCs/>
          <w:i/>
          <w:color w:val="002060"/>
          <w:sz w:val="16"/>
          <w:szCs w:val="16"/>
        </w:rPr>
      </w:pPr>
    </w:p>
    <w:p w14:paraId="743116A1" w14:textId="77777777" w:rsidR="00B67D7C" w:rsidRPr="00DE096C" w:rsidRDefault="00B67D7C" w:rsidP="00D45A46">
      <w:pPr>
        <w:jc w:val="both"/>
        <w:rPr>
          <w:bCs/>
          <w:i/>
          <w:color w:val="002060"/>
          <w:sz w:val="16"/>
          <w:szCs w:val="16"/>
        </w:rPr>
      </w:pPr>
      <w:r w:rsidRPr="00DE096C">
        <w:rPr>
          <w:bCs/>
          <w:i/>
          <w:color w:val="002060"/>
          <w:sz w:val="16"/>
          <w:szCs w:val="16"/>
        </w:rPr>
        <w:t>Другие оборонные отрасли:</w:t>
      </w:r>
    </w:p>
    <w:p w14:paraId="1A3E0358" w14:textId="77777777" w:rsidR="00B67D7C" w:rsidRPr="00DE096C" w:rsidRDefault="00B67D7C" w:rsidP="00D45A46">
      <w:pPr>
        <w:jc w:val="both"/>
        <w:rPr>
          <w:bCs/>
          <w:i/>
          <w:color w:val="002060"/>
          <w:sz w:val="16"/>
          <w:szCs w:val="16"/>
        </w:rPr>
      </w:pPr>
    </w:p>
    <w:p w14:paraId="58130D53" w14:textId="77777777" w:rsidR="002F447D" w:rsidRPr="00DE096C" w:rsidRDefault="002F447D" w:rsidP="00D45A46">
      <w:pPr>
        <w:jc w:val="both"/>
        <w:rPr>
          <w:bCs/>
          <w:color w:val="002060"/>
          <w:sz w:val="16"/>
          <w:szCs w:val="16"/>
        </w:rPr>
      </w:pPr>
      <w:r w:rsidRPr="00DE096C">
        <w:rPr>
          <w:bCs/>
          <w:color w:val="002060"/>
          <w:sz w:val="16"/>
          <w:szCs w:val="16"/>
        </w:rPr>
        <w:t>В 1914 г. согласно Журналу Артиллерийского комитета (ЖАК) № 1355 был рассмотрен проект 3-дм картечницы Гельвиха. 3-дм (76-мм) тело орудия весом около двух пудов (32, 8 кг) было подвешено под гондолой самолета и заряжалось перед взлетом зарядом весом 53 золотника (226 г) пороха МСК и картечью. Картечь системы Гельвиха состояла из каркаса и двух латунных дисков, соединенных стержнем. Между ними в два слоя расположены цилиндрические поражающие элементы длиной 12 мм и диаметром 12 мм. Пули заливались канифолью и зажимались гайкой на стержне. При заряжании картечь ввинчивалась наружным концом стержня в особый держатель, помещенный в каморе орудия. При выстреле стержень разрывался, и картечь вылетала. Воспламенение производилось электричеством из кабины. Орудие летело назад и на парашюте спускалось на землю. В 1915 г. 76-мм пушку Гельвиха установили на заднем лонжероне центроплана самолета «Илья Муромец». Было произведено несколько выстрелов на земле и два в воздухе. Однако из-за громоздкости системы и низкой кучности 76-мм пушка Гельвиха не была принята на вооружение. Помимо того полковник Гельвих создал в 1915 г. еще одну 47-мм безоткатную пушку, работавшую по принципу инертной массы. Пушка была создана из двух стволов 47-мм корабельной пушки Гочкиса. При выстреле активный снаряд летел вперед, а фиктивный снаряд летел назад. Стрельба велась штатными морскими 47-мм осколочными снарядами с 8секундной дистанционной трубкой. Морское ведомство выдало Гельвиху для опытов два ствола 47-мм пушек и 100 снарядов с 8-секундными трубками. Однако и эта система Гельвиха не пошла в серийное производство (15117).</w:t>
      </w:r>
    </w:p>
    <w:p w14:paraId="6DF3187E" w14:textId="77777777" w:rsidR="002F447D" w:rsidRPr="00DE096C" w:rsidRDefault="002F447D" w:rsidP="00D45A46">
      <w:pPr>
        <w:jc w:val="both"/>
        <w:rPr>
          <w:bCs/>
          <w:color w:val="002060"/>
          <w:sz w:val="16"/>
          <w:szCs w:val="16"/>
        </w:rPr>
      </w:pPr>
    </w:p>
    <w:p w14:paraId="21FF96D5" w14:textId="77777777" w:rsidR="002F447D" w:rsidRPr="00DE096C" w:rsidRDefault="002F447D" w:rsidP="00D45A46">
      <w:pPr>
        <w:jc w:val="both"/>
        <w:rPr>
          <w:bCs/>
          <w:color w:val="002060"/>
          <w:sz w:val="16"/>
          <w:szCs w:val="16"/>
        </w:rPr>
      </w:pPr>
      <w:r w:rsidRPr="00DE096C">
        <w:rPr>
          <w:bCs/>
          <w:color w:val="002060"/>
          <w:sz w:val="16"/>
          <w:szCs w:val="16"/>
        </w:rPr>
        <w:t>С 1914 силами воинских частей или в мелких гражданских мастерских под 47-миллиметровые пушки Гочкиса создавались деревянные импровизированные колесные лафеты. Данные орудия участвовали в боях в первые недели войны под Новогеоргиевском, Ивангородом и Варшавой. Во время боевых действий был выявлен серьезный недостаток 47-миллиметровых пушек Гочкиса - высокие баллистические качества, не требующиеся батальонной артиллерии. Пушка с данной баллистикой имела сильный откат и тяжелый ствол. В результате габариты и общий вес системы с лафетом были велики, а лафет постоянно ломался. В батальонной артиллерии были вынуждены отказаться от 47-миллиметровой пушки Гочкиса, хотя она хорошо себя показала на стационарных установках на речных катерах, бронепоездах, и др. (15599).</w:t>
      </w:r>
    </w:p>
    <w:p w14:paraId="654A22FF" w14:textId="77777777" w:rsidR="002F447D" w:rsidRPr="00DE096C" w:rsidRDefault="002F447D" w:rsidP="00D45A46">
      <w:pPr>
        <w:jc w:val="both"/>
        <w:rPr>
          <w:bCs/>
          <w:color w:val="002060"/>
          <w:sz w:val="16"/>
          <w:szCs w:val="16"/>
        </w:rPr>
      </w:pPr>
    </w:p>
    <w:p w14:paraId="682D84A0" w14:textId="77777777" w:rsidR="002F447D" w:rsidRPr="00DE096C" w:rsidRDefault="002F447D" w:rsidP="00D45A46">
      <w:pPr>
        <w:jc w:val="both"/>
        <w:rPr>
          <w:bCs/>
          <w:color w:val="002060"/>
          <w:sz w:val="16"/>
          <w:szCs w:val="16"/>
        </w:rPr>
      </w:pPr>
      <w:r w:rsidRPr="00DE096C">
        <w:rPr>
          <w:bCs/>
          <w:color w:val="002060"/>
          <w:sz w:val="16"/>
          <w:szCs w:val="16"/>
        </w:rPr>
        <w:t>В 1914 г. 16 крупных казенных и частных предприятий при годовой потребности фронта в 36 млн. выстрелов изготовили всего около 105 тыс. снарядов всех калибров, в 1916 г. — около 3,1 млн, шт, и в 1917 г. — более 24 млн. штук. Попытка получения недостающего количества снарядов от союзников оказалась безуспешной. Дистанционные трубки для снарядов изготавливали в достаточ ном количестве два казенных завода — Петроградский трубочный и Самарский с общей ежемесячной производительностью около 600 тыс, штук. Взрыватели для гранат изготовлялись, главным образом, на Петроградском трубочном, Тульском и Сестро- рецком оружейных заводах в количестве, покрывающем потребности.</w:t>
      </w:r>
    </w:p>
    <w:p w14:paraId="3545CEDC" w14:textId="77777777" w:rsidR="002F447D" w:rsidRPr="00DE096C" w:rsidRDefault="002F447D" w:rsidP="00D45A46">
      <w:pPr>
        <w:jc w:val="both"/>
        <w:rPr>
          <w:bCs/>
          <w:color w:val="002060"/>
          <w:sz w:val="16"/>
          <w:szCs w:val="16"/>
        </w:rPr>
      </w:pPr>
      <w:r w:rsidRPr="00DE096C">
        <w:rPr>
          <w:bCs/>
          <w:color w:val="002060"/>
          <w:sz w:val="16"/>
          <w:szCs w:val="16"/>
        </w:rPr>
        <w:t xml:space="preserve">Бездымный порох производился на трех казенных заводах: Охтенском (3360 тонн в год), Казанском (5600 тонн в год) и Шостенском (5600 тонн в год), В начале 1914 г. началось сооружение порохового завода в г. Тамбове с годовой производительностью 3200 тонн в год. Свою первую продукцию завод дал в 1917 году. В 1915 г. </w:t>
      </w:r>
      <w:r w:rsidRPr="00DE096C">
        <w:rPr>
          <w:bCs/>
          <w:color w:val="002060"/>
          <w:sz w:val="16"/>
          <w:szCs w:val="16"/>
        </w:rPr>
        <w:lastRenderedPageBreak/>
        <w:t>началось строительство порохового завода в г. Владимире, который вступил в строй в 1916 году. Помимо казенных предприятий изготовлением пороха занимались несколько частных, крупнейшим из которых являлся Шлиссельбургский завод. Разрыв между потребностями фронта и производственными возможностями в 1915 г. определился в 28800 тонн. Свыше 48000 тонн пороха в 1916-1917 гг. было получено из-за границы.</w:t>
      </w:r>
    </w:p>
    <w:p w14:paraId="521D9481" w14:textId="77777777" w:rsidR="002F447D" w:rsidRPr="00DE096C" w:rsidRDefault="002F447D" w:rsidP="00D45A46">
      <w:pPr>
        <w:jc w:val="both"/>
        <w:rPr>
          <w:bCs/>
          <w:color w:val="002060"/>
          <w:sz w:val="16"/>
          <w:szCs w:val="16"/>
        </w:rPr>
      </w:pPr>
      <w:r w:rsidRPr="00DE096C">
        <w:rPr>
          <w:bCs/>
          <w:color w:val="002060"/>
          <w:sz w:val="16"/>
          <w:szCs w:val="16"/>
        </w:rPr>
        <w:t>Взрывчатые вещества (пикриновая кислота, тротил, тринит- роксилин) производил Охтенский завод взрывчатых веществ (192 тонны тротила в год) и Сергиевско-Самарский завод (320 тонн тротила в год). Химическое сырье для взрывчатых веществ закупалось в основном за границей. С началом войны пришлось приступить к постройке 100 бензольных заводов и заводов по производству тротила и толуола, 34 заводов по производству серной и азотной кислоты. После применения Германией в 1915 г. удушливых газов приступили к строительству 40 заводов, занимающихся изготовлением фосгена, хлора, синильной кислоты, цианистого натрия и калия. Если в I 9 I 4 г. в России действовало военно-химических заводов, то в 1917 г. их было 175 (18411).</w:t>
      </w:r>
    </w:p>
    <w:p w14:paraId="53D6F6BF" w14:textId="77777777" w:rsidR="002F447D" w:rsidRPr="00DE096C" w:rsidRDefault="002F447D" w:rsidP="00D45A46">
      <w:pPr>
        <w:jc w:val="both"/>
        <w:rPr>
          <w:bCs/>
          <w:color w:val="002060"/>
          <w:sz w:val="16"/>
          <w:szCs w:val="16"/>
        </w:rPr>
      </w:pPr>
    </w:p>
    <w:p w14:paraId="78C4EE13" w14:textId="77777777" w:rsidR="002F447D" w:rsidRPr="00DE096C" w:rsidRDefault="002F447D" w:rsidP="00D45A46">
      <w:pPr>
        <w:pStyle w:val="ae"/>
        <w:spacing w:before="0" w:beforeAutospacing="0" w:after="0" w:afterAutospacing="0"/>
        <w:jc w:val="both"/>
        <w:rPr>
          <w:bCs/>
          <w:color w:val="002060"/>
          <w:sz w:val="16"/>
          <w:szCs w:val="16"/>
        </w:rPr>
      </w:pPr>
      <w:r w:rsidRPr="00DE096C">
        <w:rPr>
          <w:bCs/>
          <w:color w:val="002060"/>
          <w:sz w:val="16"/>
          <w:szCs w:val="16"/>
        </w:rPr>
        <w:t>В 1914 году все немецкие служащие электротехнических заводов были высланы, что, правда, резко ослабило техническое руководство. Ввоз в Россию электроламп и тугоплавких металлов – вольфрама и молибдена был затруднен. При этом спрос на электролампы значительно возрос.</w:t>
      </w:r>
    </w:p>
    <w:p w14:paraId="35EE564C" w14:textId="77777777" w:rsidR="002F447D" w:rsidRPr="00DE096C" w:rsidRDefault="002F447D" w:rsidP="00D45A46">
      <w:pPr>
        <w:pStyle w:val="ae"/>
        <w:spacing w:before="0" w:beforeAutospacing="0" w:after="0" w:afterAutospacing="0"/>
        <w:jc w:val="both"/>
        <w:rPr>
          <w:bCs/>
          <w:color w:val="002060"/>
          <w:sz w:val="16"/>
          <w:szCs w:val="16"/>
        </w:rPr>
      </w:pPr>
      <w:r w:rsidRPr="00DE096C">
        <w:rPr>
          <w:bCs/>
          <w:color w:val="002060"/>
          <w:sz w:val="16"/>
          <w:szCs w:val="16"/>
        </w:rPr>
        <w:t>Проблему производства стеклянных колб в промышленном масштабе удалось решить на уже старом к тому времени заводе в Запрудне под Москвой. Рост промышленного и технического потенциала этого завода в то время связан с деятельностью одного из его совладельцев – И.И. Китайгородского. По его инициативе в 1910 году было задумано организовать в Запрудне выработку колб для электрических ламп накаливания. После упорных трудов в 1913 году был разработан рецепт варки стекла для этих колб и налажена их выработка. По качеству запрудненские стеклооболочки ламп нисколько не уступали лучшим зарубежным. С началом Первой мировой войны Запрудненский стекольный завод стал основным в России поставщиком колб на электроламповые, а затем и на электровакуумные предприятия и приобрел общегосударственную значимость (15736).</w:t>
      </w:r>
    </w:p>
    <w:p w14:paraId="13718425" w14:textId="77777777" w:rsidR="002F447D" w:rsidRPr="00DE096C" w:rsidRDefault="002F447D" w:rsidP="00D45A46">
      <w:pPr>
        <w:pStyle w:val="ae"/>
        <w:spacing w:before="0" w:beforeAutospacing="0" w:after="0" w:afterAutospacing="0"/>
        <w:jc w:val="both"/>
        <w:rPr>
          <w:bCs/>
          <w:color w:val="002060"/>
          <w:sz w:val="16"/>
          <w:szCs w:val="16"/>
        </w:rPr>
      </w:pPr>
    </w:p>
    <w:p w14:paraId="04E72D74" w14:textId="77777777" w:rsidR="002F447D" w:rsidRPr="00DE096C" w:rsidRDefault="002F447D" w:rsidP="00D45A46">
      <w:pPr>
        <w:pStyle w:val="p1"/>
        <w:spacing w:before="0" w:beforeAutospacing="0" w:after="0" w:afterAutospacing="0"/>
        <w:jc w:val="both"/>
        <w:rPr>
          <w:bCs/>
          <w:color w:val="002060"/>
          <w:sz w:val="16"/>
          <w:szCs w:val="16"/>
        </w:rPr>
      </w:pPr>
      <w:r w:rsidRPr="00DE096C">
        <w:rPr>
          <w:bCs/>
          <w:color w:val="002060"/>
          <w:sz w:val="16"/>
          <w:szCs w:val="16"/>
        </w:rPr>
        <w:t>В 1914 г. Корольков предложил воспользоваться переходом в руки ГАУ рижских немецких заводов, чтобы «дать возможность всем нашим оптическим заводам знакомиться со всеми деталями производства на этих заводах, не заботясь об интересах немецких владельцев заводов и не помогая их конкуренции с русскими заводами». В ГАУ, однако, нашли, что «этого допустить нельзя»; «помощник военного министра держится того же мнения». И в подкрепление было добавлено: «Ведь заводы, кроме Обуховского, не русские, а жидовские». Против соображения Королькова: «В настоящее время техника оптического дела в России стоит уже на такой точке, что мы можем обойтись без немецких заводов, в этом я вполне убежден» — вновь ремарка: «Сомневаюсь» (18409).</w:t>
      </w:r>
    </w:p>
    <w:p w14:paraId="33C75C7C" w14:textId="77777777" w:rsidR="002F447D" w:rsidRPr="00DE096C" w:rsidRDefault="002F447D" w:rsidP="00D45A46">
      <w:pPr>
        <w:pStyle w:val="p1"/>
        <w:spacing w:before="0" w:beforeAutospacing="0" w:after="0" w:afterAutospacing="0"/>
        <w:jc w:val="both"/>
        <w:rPr>
          <w:bCs/>
          <w:color w:val="002060"/>
          <w:sz w:val="16"/>
          <w:szCs w:val="16"/>
        </w:rPr>
      </w:pPr>
    </w:p>
    <w:p w14:paraId="0233D45F" w14:textId="77777777" w:rsidR="002F447D" w:rsidRPr="00DE096C" w:rsidRDefault="002F447D" w:rsidP="00D45A46">
      <w:pPr>
        <w:pStyle w:val="2"/>
        <w:spacing w:before="0" w:after="0"/>
        <w:jc w:val="both"/>
        <w:rPr>
          <w:b w:val="0"/>
          <w:bCs/>
          <w:color w:val="002060"/>
          <w:sz w:val="16"/>
          <w:szCs w:val="16"/>
        </w:rPr>
      </w:pPr>
      <w:r w:rsidRPr="00DE096C">
        <w:rPr>
          <w:b w:val="0"/>
          <w:bCs/>
          <w:color w:val="002060"/>
          <w:sz w:val="16"/>
          <w:szCs w:val="16"/>
        </w:rPr>
        <w:t>В 1914 г., несмотря на прошлогодние неудачи, условия перелета на приз Абамелек-Лазарева ужесточились: по маршруту Петербург—Одесса или обратно необходимо было пролететь не более чем за сутки (15464).</w:t>
      </w:r>
    </w:p>
    <w:p w14:paraId="1966F364" w14:textId="77777777" w:rsidR="002F447D" w:rsidRPr="00DE096C" w:rsidRDefault="002F447D" w:rsidP="00D45A46">
      <w:pPr>
        <w:pStyle w:val="2"/>
        <w:spacing w:before="0" w:after="0"/>
        <w:jc w:val="both"/>
        <w:rPr>
          <w:b w:val="0"/>
          <w:bCs/>
          <w:color w:val="002060"/>
          <w:sz w:val="16"/>
          <w:szCs w:val="16"/>
        </w:rPr>
      </w:pPr>
    </w:p>
    <w:p w14:paraId="1D94039F" w14:textId="557F2866" w:rsidR="00B67D7C" w:rsidRPr="00DE096C" w:rsidRDefault="00D34FBE" w:rsidP="00D45A46">
      <w:pPr>
        <w:shd w:val="clear" w:color="auto" w:fill="FFFFFF"/>
        <w:jc w:val="both"/>
        <w:rPr>
          <w:bCs/>
          <w:color w:val="002060"/>
          <w:sz w:val="16"/>
          <w:szCs w:val="16"/>
        </w:rPr>
      </w:pPr>
      <w:r w:rsidRPr="00DE096C">
        <w:rPr>
          <w:bCs/>
          <w:color w:val="002060"/>
          <w:sz w:val="16"/>
          <w:szCs w:val="16"/>
        </w:rPr>
        <w:t xml:space="preserve">С 1914 </w:t>
      </w:r>
      <w:r w:rsidR="00B67D7C" w:rsidRPr="00DE096C">
        <w:rPr>
          <w:bCs/>
          <w:color w:val="002060"/>
          <w:sz w:val="16"/>
          <w:szCs w:val="16"/>
        </w:rPr>
        <w:t>оды первой мировой войны. В рас</w:t>
      </w:r>
      <w:r w:rsidR="00B67D7C" w:rsidRPr="00DE096C">
        <w:rPr>
          <w:bCs/>
          <w:color w:val="002060"/>
          <w:sz w:val="16"/>
          <w:szCs w:val="16"/>
        </w:rPr>
        <w:softHyphen/>
        <w:t xml:space="preserve">сматриваемый период </w:t>
      </w:r>
      <w:r w:rsidR="00C85049" w:rsidRPr="00DE096C">
        <w:rPr>
          <w:bCs/>
          <w:color w:val="002060"/>
          <w:sz w:val="16"/>
          <w:szCs w:val="16"/>
        </w:rPr>
        <w:t>Тяжелая промышленность в г</w:t>
      </w:r>
      <w:r w:rsidR="00B67D7C" w:rsidRPr="00DE096C">
        <w:rPr>
          <w:bCs/>
          <w:color w:val="002060"/>
          <w:sz w:val="16"/>
          <w:szCs w:val="16"/>
        </w:rPr>
        <w:t>во всех отраслях тяжелой промышленности интенсивно шел процесс монополизации. Важнейшие монополии держали в своих руках от 60 до 95 % производства промышленной продукции. В годы первой мировой войны производство металла и топлива сокращалось (табл. 1.2).</w:t>
      </w:r>
    </w:p>
    <w:p w14:paraId="525BAF6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1.2. Производство основных продуктов тяжелой промышленности России в годы первой мировой войны ( в млн пудов) [6, с. 70; 54]</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586"/>
        <w:gridCol w:w="1104"/>
        <w:gridCol w:w="998"/>
        <w:gridCol w:w="1315"/>
        <w:gridCol w:w="950"/>
        <w:gridCol w:w="1411"/>
      </w:tblGrid>
      <w:tr w:rsidR="00B67D7C" w:rsidRPr="00DE096C" w14:paraId="4801429F" w14:textId="77777777" w:rsidTr="00C2024A">
        <w:trPr>
          <w:trHeight w:val="298"/>
        </w:trPr>
        <w:tc>
          <w:tcPr>
            <w:tcW w:w="586" w:type="dxa"/>
          </w:tcPr>
          <w:p w14:paraId="22649E3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Год</w:t>
            </w:r>
          </w:p>
          <w:p w14:paraId="09168CBC" w14:textId="77777777" w:rsidR="00B67D7C" w:rsidRPr="00DE096C" w:rsidRDefault="00B67D7C" w:rsidP="00D45A46">
            <w:pPr>
              <w:shd w:val="clear" w:color="auto" w:fill="FFFFFF"/>
              <w:jc w:val="both"/>
              <w:rPr>
                <w:bCs/>
                <w:color w:val="002060"/>
                <w:sz w:val="16"/>
                <w:szCs w:val="16"/>
              </w:rPr>
            </w:pPr>
          </w:p>
        </w:tc>
        <w:tc>
          <w:tcPr>
            <w:tcW w:w="1104" w:type="dxa"/>
          </w:tcPr>
          <w:p w14:paraId="4121B93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Выплавка</w:t>
            </w:r>
          </w:p>
          <w:p w14:paraId="45CBB100" w14:textId="77777777" w:rsidR="00B67D7C" w:rsidRPr="00DE096C" w:rsidRDefault="00B67D7C" w:rsidP="00D45A46">
            <w:pPr>
              <w:shd w:val="clear" w:color="auto" w:fill="FFFFFF"/>
              <w:jc w:val="both"/>
              <w:rPr>
                <w:bCs/>
                <w:color w:val="002060"/>
                <w:sz w:val="16"/>
                <w:szCs w:val="16"/>
              </w:rPr>
            </w:pPr>
          </w:p>
        </w:tc>
        <w:tc>
          <w:tcPr>
            <w:tcW w:w="998" w:type="dxa"/>
          </w:tcPr>
          <w:p w14:paraId="3252190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Выплавка</w:t>
            </w:r>
          </w:p>
          <w:p w14:paraId="1297EF94" w14:textId="77777777" w:rsidR="00B67D7C" w:rsidRPr="00DE096C" w:rsidRDefault="00B67D7C" w:rsidP="00D45A46">
            <w:pPr>
              <w:shd w:val="clear" w:color="auto" w:fill="FFFFFF"/>
              <w:jc w:val="both"/>
              <w:rPr>
                <w:bCs/>
                <w:color w:val="002060"/>
                <w:sz w:val="16"/>
                <w:szCs w:val="16"/>
              </w:rPr>
            </w:pPr>
          </w:p>
        </w:tc>
        <w:tc>
          <w:tcPr>
            <w:tcW w:w="1315" w:type="dxa"/>
          </w:tcPr>
          <w:p w14:paraId="69CEAAC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Добыча ка-</w:t>
            </w:r>
          </w:p>
          <w:p w14:paraId="387B507E" w14:textId="77777777" w:rsidR="00B67D7C" w:rsidRPr="00DE096C" w:rsidRDefault="00B67D7C" w:rsidP="00D45A46">
            <w:pPr>
              <w:shd w:val="clear" w:color="auto" w:fill="FFFFFF"/>
              <w:jc w:val="both"/>
              <w:rPr>
                <w:bCs/>
                <w:color w:val="002060"/>
                <w:sz w:val="16"/>
                <w:szCs w:val="16"/>
              </w:rPr>
            </w:pPr>
          </w:p>
        </w:tc>
        <w:tc>
          <w:tcPr>
            <w:tcW w:w="950" w:type="dxa"/>
          </w:tcPr>
          <w:p w14:paraId="6DCBB95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Добыча</w:t>
            </w:r>
          </w:p>
          <w:p w14:paraId="3B91B743" w14:textId="77777777" w:rsidR="00B67D7C" w:rsidRPr="00DE096C" w:rsidRDefault="00B67D7C" w:rsidP="00D45A46">
            <w:pPr>
              <w:shd w:val="clear" w:color="auto" w:fill="FFFFFF"/>
              <w:jc w:val="both"/>
              <w:rPr>
                <w:bCs/>
                <w:color w:val="002060"/>
                <w:sz w:val="16"/>
                <w:szCs w:val="16"/>
              </w:rPr>
            </w:pPr>
          </w:p>
        </w:tc>
        <w:tc>
          <w:tcPr>
            <w:tcW w:w="1411" w:type="dxa"/>
          </w:tcPr>
          <w:p w14:paraId="603066F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Выплавка</w:t>
            </w:r>
          </w:p>
          <w:p w14:paraId="3BEB2BEF" w14:textId="77777777" w:rsidR="00B67D7C" w:rsidRPr="00DE096C" w:rsidRDefault="00B67D7C" w:rsidP="00D45A46">
            <w:pPr>
              <w:shd w:val="clear" w:color="auto" w:fill="FFFFFF"/>
              <w:jc w:val="both"/>
              <w:rPr>
                <w:bCs/>
                <w:color w:val="002060"/>
                <w:sz w:val="16"/>
                <w:szCs w:val="16"/>
              </w:rPr>
            </w:pPr>
          </w:p>
        </w:tc>
      </w:tr>
      <w:tr w:rsidR="00B67D7C" w:rsidRPr="00DE096C" w14:paraId="3396DE87" w14:textId="77777777" w:rsidTr="00C2024A">
        <w:trPr>
          <w:trHeight w:val="192"/>
        </w:trPr>
        <w:tc>
          <w:tcPr>
            <w:tcW w:w="586" w:type="dxa"/>
          </w:tcPr>
          <w:p w14:paraId="73659C95" w14:textId="77777777" w:rsidR="00B67D7C" w:rsidRPr="00DE096C" w:rsidRDefault="00B67D7C" w:rsidP="00D45A46">
            <w:pPr>
              <w:shd w:val="clear" w:color="auto" w:fill="FFFFFF"/>
              <w:jc w:val="both"/>
              <w:rPr>
                <w:bCs/>
                <w:color w:val="002060"/>
                <w:sz w:val="16"/>
                <w:szCs w:val="16"/>
              </w:rPr>
            </w:pPr>
          </w:p>
          <w:p w14:paraId="1C3503A1" w14:textId="77777777" w:rsidR="00B67D7C" w:rsidRPr="00DE096C" w:rsidRDefault="00B67D7C" w:rsidP="00D45A46">
            <w:pPr>
              <w:shd w:val="clear" w:color="auto" w:fill="FFFFFF"/>
              <w:jc w:val="both"/>
              <w:rPr>
                <w:bCs/>
                <w:color w:val="002060"/>
                <w:sz w:val="16"/>
                <w:szCs w:val="16"/>
              </w:rPr>
            </w:pPr>
          </w:p>
        </w:tc>
        <w:tc>
          <w:tcPr>
            <w:tcW w:w="1104" w:type="dxa"/>
          </w:tcPr>
          <w:p w14:paraId="38D908F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чугуна</w:t>
            </w:r>
          </w:p>
          <w:p w14:paraId="7938A3AB" w14:textId="77777777" w:rsidR="00B67D7C" w:rsidRPr="00DE096C" w:rsidRDefault="00B67D7C" w:rsidP="00D45A46">
            <w:pPr>
              <w:shd w:val="clear" w:color="auto" w:fill="FFFFFF"/>
              <w:jc w:val="both"/>
              <w:rPr>
                <w:bCs/>
                <w:color w:val="002060"/>
                <w:sz w:val="16"/>
                <w:szCs w:val="16"/>
              </w:rPr>
            </w:pPr>
          </w:p>
        </w:tc>
        <w:tc>
          <w:tcPr>
            <w:tcW w:w="998" w:type="dxa"/>
          </w:tcPr>
          <w:p w14:paraId="0CEBD81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железа и</w:t>
            </w:r>
          </w:p>
          <w:p w14:paraId="4ECD1B9B" w14:textId="77777777" w:rsidR="00B67D7C" w:rsidRPr="00DE096C" w:rsidRDefault="00B67D7C" w:rsidP="00D45A46">
            <w:pPr>
              <w:shd w:val="clear" w:color="auto" w:fill="FFFFFF"/>
              <w:jc w:val="both"/>
              <w:rPr>
                <w:bCs/>
                <w:color w:val="002060"/>
                <w:sz w:val="16"/>
                <w:szCs w:val="16"/>
              </w:rPr>
            </w:pPr>
          </w:p>
        </w:tc>
        <w:tc>
          <w:tcPr>
            <w:tcW w:w="1315" w:type="dxa"/>
          </w:tcPr>
          <w:p w14:paraId="2DA8E6D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менного угля</w:t>
            </w:r>
          </w:p>
          <w:p w14:paraId="43ABD424" w14:textId="77777777" w:rsidR="00B67D7C" w:rsidRPr="00DE096C" w:rsidRDefault="00B67D7C" w:rsidP="00D45A46">
            <w:pPr>
              <w:shd w:val="clear" w:color="auto" w:fill="FFFFFF"/>
              <w:jc w:val="both"/>
              <w:rPr>
                <w:bCs/>
                <w:color w:val="002060"/>
                <w:sz w:val="16"/>
                <w:szCs w:val="16"/>
              </w:rPr>
            </w:pPr>
          </w:p>
        </w:tc>
        <w:tc>
          <w:tcPr>
            <w:tcW w:w="950" w:type="dxa"/>
          </w:tcPr>
          <w:p w14:paraId="31F6385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нефти</w:t>
            </w:r>
          </w:p>
          <w:p w14:paraId="4DDCB547" w14:textId="77777777" w:rsidR="00B67D7C" w:rsidRPr="00DE096C" w:rsidRDefault="00B67D7C" w:rsidP="00D45A46">
            <w:pPr>
              <w:shd w:val="clear" w:color="auto" w:fill="FFFFFF"/>
              <w:jc w:val="both"/>
              <w:rPr>
                <w:bCs/>
                <w:color w:val="002060"/>
                <w:sz w:val="16"/>
                <w:szCs w:val="16"/>
              </w:rPr>
            </w:pPr>
          </w:p>
        </w:tc>
        <w:tc>
          <w:tcPr>
            <w:tcW w:w="1411" w:type="dxa"/>
          </w:tcPr>
          <w:p w14:paraId="272343C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меди</w:t>
            </w:r>
          </w:p>
          <w:p w14:paraId="0EECF59A" w14:textId="77777777" w:rsidR="00B67D7C" w:rsidRPr="00DE096C" w:rsidRDefault="00B67D7C" w:rsidP="00D45A46">
            <w:pPr>
              <w:shd w:val="clear" w:color="auto" w:fill="FFFFFF"/>
              <w:jc w:val="both"/>
              <w:rPr>
                <w:bCs/>
                <w:color w:val="002060"/>
                <w:sz w:val="16"/>
                <w:szCs w:val="16"/>
              </w:rPr>
            </w:pPr>
          </w:p>
        </w:tc>
      </w:tr>
      <w:tr w:rsidR="00B67D7C" w:rsidRPr="00DE096C" w14:paraId="6E0D143C" w14:textId="77777777" w:rsidTr="00C2024A">
        <w:trPr>
          <w:trHeight w:val="202"/>
        </w:trPr>
        <w:tc>
          <w:tcPr>
            <w:tcW w:w="586" w:type="dxa"/>
          </w:tcPr>
          <w:p w14:paraId="3DE3A2C1" w14:textId="77777777" w:rsidR="00B67D7C" w:rsidRPr="00DE096C" w:rsidRDefault="00B67D7C" w:rsidP="00D45A46">
            <w:pPr>
              <w:shd w:val="clear" w:color="auto" w:fill="FFFFFF"/>
              <w:jc w:val="both"/>
              <w:rPr>
                <w:bCs/>
                <w:color w:val="002060"/>
                <w:sz w:val="16"/>
                <w:szCs w:val="16"/>
              </w:rPr>
            </w:pPr>
          </w:p>
          <w:p w14:paraId="60E7AB6A" w14:textId="77777777" w:rsidR="00B67D7C" w:rsidRPr="00DE096C" w:rsidRDefault="00B67D7C" w:rsidP="00D45A46">
            <w:pPr>
              <w:shd w:val="clear" w:color="auto" w:fill="FFFFFF"/>
              <w:jc w:val="both"/>
              <w:rPr>
                <w:bCs/>
                <w:color w:val="002060"/>
                <w:sz w:val="16"/>
                <w:szCs w:val="16"/>
              </w:rPr>
            </w:pPr>
          </w:p>
        </w:tc>
        <w:tc>
          <w:tcPr>
            <w:tcW w:w="1104" w:type="dxa"/>
          </w:tcPr>
          <w:p w14:paraId="32A7F187" w14:textId="77777777" w:rsidR="00B67D7C" w:rsidRPr="00DE096C" w:rsidRDefault="00B67D7C" w:rsidP="00D45A46">
            <w:pPr>
              <w:shd w:val="clear" w:color="auto" w:fill="FFFFFF"/>
              <w:jc w:val="both"/>
              <w:rPr>
                <w:bCs/>
                <w:color w:val="002060"/>
                <w:sz w:val="16"/>
                <w:szCs w:val="16"/>
              </w:rPr>
            </w:pPr>
          </w:p>
          <w:p w14:paraId="6FE990B9" w14:textId="77777777" w:rsidR="00B67D7C" w:rsidRPr="00DE096C" w:rsidRDefault="00B67D7C" w:rsidP="00D45A46">
            <w:pPr>
              <w:shd w:val="clear" w:color="auto" w:fill="FFFFFF"/>
              <w:jc w:val="both"/>
              <w:rPr>
                <w:bCs/>
                <w:color w:val="002060"/>
                <w:sz w:val="16"/>
                <w:szCs w:val="16"/>
              </w:rPr>
            </w:pPr>
          </w:p>
        </w:tc>
        <w:tc>
          <w:tcPr>
            <w:tcW w:w="998" w:type="dxa"/>
          </w:tcPr>
          <w:p w14:paraId="6E61EA6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стали</w:t>
            </w:r>
          </w:p>
          <w:p w14:paraId="3D69C86F" w14:textId="77777777" w:rsidR="00B67D7C" w:rsidRPr="00DE096C" w:rsidRDefault="00B67D7C" w:rsidP="00D45A46">
            <w:pPr>
              <w:shd w:val="clear" w:color="auto" w:fill="FFFFFF"/>
              <w:jc w:val="both"/>
              <w:rPr>
                <w:bCs/>
                <w:color w:val="002060"/>
                <w:sz w:val="16"/>
                <w:szCs w:val="16"/>
              </w:rPr>
            </w:pPr>
          </w:p>
        </w:tc>
        <w:tc>
          <w:tcPr>
            <w:tcW w:w="1315" w:type="dxa"/>
          </w:tcPr>
          <w:p w14:paraId="1E3B1687" w14:textId="77777777" w:rsidR="00B67D7C" w:rsidRPr="00DE096C" w:rsidRDefault="00B67D7C" w:rsidP="00D45A46">
            <w:pPr>
              <w:shd w:val="clear" w:color="auto" w:fill="FFFFFF"/>
              <w:jc w:val="both"/>
              <w:rPr>
                <w:bCs/>
                <w:color w:val="002060"/>
                <w:sz w:val="16"/>
                <w:szCs w:val="16"/>
              </w:rPr>
            </w:pPr>
          </w:p>
          <w:p w14:paraId="5BDC0877" w14:textId="77777777" w:rsidR="00B67D7C" w:rsidRPr="00DE096C" w:rsidRDefault="00B67D7C" w:rsidP="00D45A46">
            <w:pPr>
              <w:shd w:val="clear" w:color="auto" w:fill="FFFFFF"/>
              <w:jc w:val="both"/>
              <w:rPr>
                <w:bCs/>
                <w:color w:val="002060"/>
                <w:sz w:val="16"/>
                <w:szCs w:val="16"/>
              </w:rPr>
            </w:pPr>
          </w:p>
        </w:tc>
        <w:tc>
          <w:tcPr>
            <w:tcW w:w="950" w:type="dxa"/>
          </w:tcPr>
          <w:p w14:paraId="233DABC0" w14:textId="77777777" w:rsidR="00B67D7C" w:rsidRPr="00DE096C" w:rsidRDefault="00B67D7C" w:rsidP="00D45A46">
            <w:pPr>
              <w:shd w:val="clear" w:color="auto" w:fill="FFFFFF"/>
              <w:jc w:val="both"/>
              <w:rPr>
                <w:bCs/>
                <w:color w:val="002060"/>
                <w:sz w:val="16"/>
                <w:szCs w:val="16"/>
              </w:rPr>
            </w:pPr>
          </w:p>
          <w:p w14:paraId="0FF2BB85" w14:textId="77777777" w:rsidR="00B67D7C" w:rsidRPr="00DE096C" w:rsidRDefault="00B67D7C" w:rsidP="00D45A46">
            <w:pPr>
              <w:shd w:val="clear" w:color="auto" w:fill="FFFFFF"/>
              <w:jc w:val="both"/>
              <w:rPr>
                <w:bCs/>
                <w:color w:val="002060"/>
                <w:sz w:val="16"/>
                <w:szCs w:val="16"/>
              </w:rPr>
            </w:pPr>
          </w:p>
        </w:tc>
        <w:tc>
          <w:tcPr>
            <w:tcW w:w="1411" w:type="dxa"/>
          </w:tcPr>
          <w:p w14:paraId="6E109DD4" w14:textId="77777777" w:rsidR="00B67D7C" w:rsidRPr="00DE096C" w:rsidRDefault="00B67D7C" w:rsidP="00D45A46">
            <w:pPr>
              <w:shd w:val="clear" w:color="auto" w:fill="FFFFFF"/>
              <w:jc w:val="both"/>
              <w:rPr>
                <w:bCs/>
                <w:color w:val="002060"/>
                <w:sz w:val="16"/>
                <w:szCs w:val="16"/>
              </w:rPr>
            </w:pPr>
          </w:p>
          <w:p w14:paraId="0E83B6EB" w14:textId="77777777" w:rsidR="00B67D7C" w:rsidRPr="00DE096C" w:rsidRDefault="00B67D7C" w:rsidP="00D45A46">
            <w:pPr>
              <w:shd w:val="clear" w:color="auto" w:fill="FFFFFF"/>
              <w:jc w:val="both"/>
              <w:rPr>
                <w:bCs/>
                <w:color w:val="002060"/>
                <w:sz w:val="16"/>
                <w:szCs w:val="16"/>
              </w:rPr>
            </w:pPr>
          </w:p>
        </w:tc>
      </w:tr>
      <w:tr w:rsidR="00B67D7C" w:rsidRPr="00DE096C" w14:paraId="75D57DFF" w14:textId="77777777" w:rsidTr="00C2024A">
        <w:trPr>
          <w:trHeight w:val="250"/>
        </w:trPr>
        <w:tc>
          <w:tcPr>
            <w:tcW w:w="586" w:type="dxa"/>
          </w:tcPr>
          <w:p w14:paraId="06CE2AD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1914</w:t>
            </w:r>
          </w:p>
          <w:p w14:paraId="2E4E93C9" w14:textId="77777777" w:rsidR="00B67D7C" w:rsidRPr="00DE096C" w:rsidRDefault="00B67D7C" w:rsidP="00D45A46">
            <w:pPr>
              <w:shd w:val="clear" w:color="auto" w:fill="FFFFFF"/>
              <w:jc w:val="both"/>
              <w:rPr>
                <w:bCs/>
                <w:color w:val="002060"/>
                <w:sz w:val="16"/>
                <w:szCs w:val="16"/>
              </w:rPr>
            </w:pPr>
          </w:p>
        </w:tc>
        <w:tc>
          <w:tcPr>
            <w:tcW w:w="1104" w:type="dxa"/>
          </w:tcPr>
          <w:p w14:paraId="17884E6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264,2</w:t>
            </w:r>
          </w:p>
          <w:p w14:paraId="63348ABA" w14:textId="77777777" w:rsidR="00B67D7C" w:rsidRPr="00DE096C" w:rsidRDefault="00B67D7C" w:rsidP="00D45A46">
            <w:pPr>
              <w:shd w:val="clear" w:color="auto" w:fill="FFFFFF"/>
              <w:jc w:val="both"/>
              <w:rPr>
                <w:bCs/>
                <w:color w:val="002060"/>
                <w:sz w:val="16"/>
                <w:szCs w:val="16"/>
              </w:rPr>
            </w:pPr>
          </w:p>
        </w:tc>
        <w:tc>
          <w:tcPr>
            <w:tcW w:w="998" w:type="dxa"/>
          </w:tcPr>
          <w:p w14:paraId="71BADC1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240,0</w:t>
            </w:r>
          </w:p>
          <w:p w14:paraId="2899FBA7" w14:textId="77777777" w:rsidR="00B67D7C" w:rsidRPr="00DE096C" w:rsidRDefault="00B67D7C" w:rsidP="00D45A46">
            <w:pPr>
              <w:shd w:val="clear" w:color="auto" w:fill="FFFFFF"/>
              <w:jc w:val="both"/>
              <w:rPr>
                <w:bCs/>
                <w:color w:val="002060"/>
                <w:sz w:val="16"/>
                <w:szCs w:val="16"/>
              </w:rPr>
            </w:pPr>
          </w:p>
        </w:tc>
        <w:tc>
          <w:tcPr>
            <w:tcW w:w="1315" w:type="dxa"/>
          </w:tcPr>
          <w:p w14:paraId="3658106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2175,4</w:t>
            </w:r>
          </w:p>
          <w:p w14:paraId="6B7A3E58" w14:textId="77777777" w:rsidR="00B67D7C" w:rsidRPr="00DE096C" w:rsidRDefault="00B67D7C" w:rsidP="00D45A46">
            <w:pPr>
              <w:shd w:val="clear" w:color="auto" w:fill="FFFFFF"/>
              <w:jc w:val="both"/>
              <w:rPr>
                <w:bCs/>
                <w:color w:val="002060"/>
                <w:sz w:val="16"/>
                <w:szCs w:val="16"/>
              </w:rPr>
            </w:pPr>
          </w:p>
        </w:tc>
        <w:tc>
          <w:tcPr>
            <w:tcW w:w="950" w:type="dxa"/>
          </w:tcPr>
          <w:p w14:paraId="4BB6AAA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556,9</w:t>
            </w:r>
          </w:p>
          <w:p w14:paraId="39BCDBA6" w14:textId="77777777" w:rsidR="00B67D7C" w:rsidRPr="00DE096C" w:rsidRDefault="00B67D7C" w:rsidP="00D45A46">
            <w:pPr>
              <w:shd w:val="clear" w:color="auto" w:fill="FFFFFF"/>
              <w:jc w:val="both"/>
              <w:rPr>
                <w:bCs/>
                <w:color w:val="002060"/>
                <w:sz w:val="16"/>
                <w:szCs w:val="16"/>
              </w:rPr>
            </w:pPr>
          </w:p>
        </w:tc>
        <w:tc>
          <w:tcPr>
            <w:tcW w:w="1411" w:type="dxa"/>
          </w:tcPr>
          <w:p w14:paraId="1D433E2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1,888</w:t>
            </w:r>
          </w:p>
          <w:p w14:paraId="37B35520" w14:textId="77777777" w:rsidR="00B67D7C" w:rsidRPr="00DE096C" w:rsidRDefault="00B67D7C" w:rsidP="00D45A46">
            <w:pPr>
              <w:shd w:val="clear" w:color="auto" w:fill="FFFFFF"/>
              <w:jc w:val="both"/>
              <w:rPr>
                <w:bCs/>
                <w:color w:val="002060"/>
                <w:sz w:val="16"/>
                <w:szCs w:val="16"/>
              </w:rPr>
            </w:pPr>
          </w:p>
        </w:tc>
      </w:tr>
      <w:tr w:rsidR="00B67D7C" w:rsidRPr="00DE096C" w14:paraId="07DC4AD6" w14:textId="77777777" w:rsidTr="00C2024A">
        <w:trPr>
          <w:trHeight w:val="163"/>
        </w:trPr>
        <w:tc>
          <w:tcPr>
            <w:tcW w:w="586" w:type="dxa"/>
          </w:tcPr>
          <w:p w14:paraId="1A4F838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1915</w:t>
            </w:r>
          </w:p>
          <w:p w14:paraId="77753DBC" w14:textId="77777777" w:rsidR="00B67D7C" w:rsidRPr="00DE096C" w:rsidRDefault="00B67D7C" w:rsidP="00D45A46">
            <w:pPr>
              <w:shd w:val="clear" w:color="auto" w:fill="FFFFFF"/>
              <w:jc w:val="both"/>
              <w:rPr>
                <w:bCs/>
                <w:color w:val="002060"/>
                <w:sz w:val="16"/>
                <w:szCs w:val="16"/>
              </w:rPr>
            </w:pPr>
          </w:p>
        </w:tc>
        <w:tc>
          <w:tcPr>
            <w:tcW w:w="1104" w:type="dxa"/>
          </w:tcPr>
          <w:p w14:paraId="67CE4CE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225,3</w:t>
            </w:r>
          </w:p>
          <w:p w14:paraId="7068500B" w14:textId="77777777" w:rsidR="00B67D7C" w:rsidRPr="00DE096C" w:rsidRDefault="00B67D7C" w:rsidP="00D45A46">
            <w:pPr>
              <w:shd w:val="clear" w:color="auto" w:fill="FFFFFF"/>
              <w:jc w:val="both"/>
              <w:rPr>
                <w:bCs/>
                <w:color w:val="002060"/>
                <w:sz w:val="16"/>
                <w:szCs w:val="16"/>
              </w:rPr>
            </w:pPr>
          </w:p>
        </w:tc>
        <w:tc>
          <w:tcPr>
            <w:tcW w:w="998" w:type="dxa"/>
          </w:tcPr>
          <w:p w14:paraId="6CD39CF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199,4</w:t>
            </w:r>
          </w:p>
          <w:p w14:paraId="0D38DFEF" w14:textId="77777777" w:rsidR="00B67D7C" w:rsidRPr="00DE096C" w:rsidRDefault="00B67D7C" w:rsidP="00D45A46">
            <w:pPr>
              <w:shd w:val="clear" w:color="auto" w:fill="FFFFFF"/>
              <w:jc w:val="both"/>
              <w:rPr>
                <w:bCs/>
                <w:color w:val="002060"/>
                <w:sz w:val="16"/>
                <w:szCs w:val="16"/>
              </w:rPr>
            </w:pPr>
          </w:p>
        </w:tc>
        <w:tc>
          <w:tcPr>
            <w:tcW w:w="1315" w:type="dxa"/>
          </w:tcPr>
          <w:p w14:paraId="59F39C9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1905,5</w:t>
            </w:r>
          </w:p>
          <w:p w14:paraId="71CAC1EA" w14:textId="77777777" w:rsidR="00B67D7C" w:rsidRPr="00DE096C" w:rsidRDefault="00B67D7C" w:rsidP="00D45A46">
            <w:pPr>
              <w:shd w:val="clear" w:color="auto" w:fill="FFFFFF"/>
              <w:jc w:val="both"/>
              <w:rPr>
                <w:bCs/>
                <w:color w:val="002060"/>
                <w:sz w:val="16"/>
                <w:szCs w:val="16"/>
              </w:rPr>
            </w:pPr>
          </w:p>
        </w:tc>
        <w:tc>
          <w:tcPr>
            <w:tcW w:w="950" w:type="dxa"/>
          </w:tcPr>
          <w:p w14:paraId="0A7E1A4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568,1</w:t>
            </w:r>
          </w:p>
          <w:p w14:paraId="22C301C4" w14:textId="77777777" w:rsidR="00B67D7C" w:rsidRPr="00DE096C" w:rsidRDefault="00B67D7C" w:rsidP="00D45A46">
            <w:pPr>
              <w:shd w:val="clear" w:color="auto" w:fill="FFFFFF"/>
              <w:jc w:val="both"/>
              <w:rPr>
                <w:bCs/>
                <w:color w:val="002060"/>
                <w:sz w:val="16"/>
                <w:szCs w:val="16"/>
              </w:rPr>
            </w:pPr>
          </w:p>
        </w:tc>
        <w:tc>
          <w:tcPr>
            <w:tcW w:w="1411" w:type="dxa"/>
          </w:tcPr>
          <w:p w14:paraId="2E278C3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1,536</w:t>
            </w:r>
          </w:p>
          <w:p w14:paraId="3E3B669C" w14:textId="77777777" w:rsidR="00B67D7C" w:rsidRPr="00DE096C" w:rsidRDefault="00B67D7C" w:rsidP="00D45A46">
            <w:pPr>
              <w:shd w:val="clear" w:color="auto" w:fill="FFFFFF"/>
              <w:jc w:val="both"/>
              <w:rPr>
                <w:bCs/>
                <w:color w:val="002060"/>
                <w:sz w:val="16"/>
                <w:szCs w:val="16"/>
              </w:rPr>
            </w:pPr>
          </w:p>
        </w:tc>
      </w:tr>
      <w:tr w:rsidR="00B67D7C" w:rsidRPr="00DE096C" w14:paraId="66948398" w14:textId="77777777" w:rsidTr="00C2024A">
        <w:trPr>
          <w:trHeight w:val="173"/>
        </w:trPr>
        <w:tc>
          <w:tcPr>
            <w:tcW w:w="586" w:type="dxa"/>
          </w:tcPr>
          <w:p w14:paraId="292FB74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1916</w:t>
            </w:r>
          </w:p>
          <w:p w14:paraId="26960557" w14:textId="77777777" w:rsidR="00B67D7C" w:rsidRPr="00DE096C" w:rsidRDefault="00B67D7C" w:rsidP="00D45A46">
            <w:pPr>
              <w:shd w:val="clear" w:color="auto" w:fill="FFFFFF"/>
              <w:jc w:val="both"/>
              <w:rPr>
                <w:bCs/>
                <w:color w:val="002060"/>
                <w:sz w:val="16"/>
                <w:szCs w:val="16"/>
              </w:rPr>
            </w:pPr>
          </w:p>
        </w:tc>
        <w:tc>
          <w:tcPr>
            <w:tcW w:w="1104" w:type="dxa"/>
          </w:tcPr>
          <w:p w14:paraId="6457B47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232,0</w:t>
            </w:r>
          </w:p>
          <w:p w14:paraId="13B24B17" w14:textId="77777777" w:rsidR="00B67D7C" w:rsidRPr="00DE096C" w:rsidRDefault="00B67D7C" w:rsidP="00D45A46">
            <w:pPr>
              <w:shd w:val="clear" w:color="auto" w:fill="FFFFFF"/>
              <w:jc w:val="both"/>
              <w:rPr>
                <w:bCs/>
                <w:color w:val="002060"/>
                <w:sz w:val="16"/>
                <w:szCs w:val="16"/>
              </w:rPr>
            </w:pPr>
          </w:p>
        </w:tc>
        <w:tc>
          <w:tcPr>
            <w:tcW w:w="998" w:type="dxa"/>
          </w:tcPr>
          <w:p w14:paraId="39F7646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205,9</w:t>
            </w:r>
          </w:p>
          <w:p w14:paraId="62D2D1D3" w14:textId="77777777" w:rsidR="00B67D7C" w:rsidRPr="00DE096C" w:rsidRDefault="00B67D7C" w:rsidP="00D45A46">
            <w:pPr>
              <w:shd w:val="clear" w:color="auto" w:fill="FFFFFF"/>
              <w:jc w:val="both"/>
              <w:rPr>
                <w:bCs/>
                <w:color w:val="002060"/>
                <w:sz w:val="16"/>
                <w:szCs w:val="16"/>
              </w:rPr>
            </w:pPr>
          </w:p>
        </w:tc>
        <w:tc>
          <w:tcPr>
            <w:tcW w:w="1315" w:type="dxa"/>
          </w:tcPr>
          <w:p w14:paraId="4CC87DC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1954,7</w:t>
            </w:r>
          </w:p>
          <w:p w14:paraId="428DBA8B" w14:textId="77777777" w:rsidR="00B67D7C" w:rsidRPr="00DE096C" w:rsidRDefault="00B67D7C" w:rsidP="00D45A46">
            <w:pPr>
              <w:shd w:val="clear" w:color="auto" w:fill="FFFFFF"/>
              <w:jc w:val="both"/>
              <w:rPr>
                <w:bCs/>
                <w:color w:val="002060"/>
                <w:sz w:val="16"/>
                <w:szCs w:val="16"/>
              </w:rPr>
            </w:pPr>
          </w:p>
        </w:tc>
        <w:tc>
          <w:tcPr>
            <w:tcW w:w="950" w:type="dxa"/>
          </w:tcPr>
          <w:p w14:paraId="523A4761"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492,1</w:t>
            </w:r>
          </w:p>
          <w:p w14:paraId="20D128C2" w14:textId="77777777" w:rsidR="00B67D7C" w:rsidRPr="00DE096C" w:rsidRDefault="00B67D7C" w:rsidP="00D45A46">
            <w:pPr>
              <w:shd w:val="clear" w:color="auto" w:fill="FFFFFF"/>
              <w:jc w:val="both"/>
              <w:rPr>
                <w:bCs/>
                <w:color w:val="002060"/>
                <w:sz w:val="16"/>
                <w:szCs w:val="16"/>
              </w:rPr>
            </w:pPr>
          </w:p>
        </w:tc>
        <w:tc>
          <w:tcPr>
            <w:tcW w:w="1411" w:type="dxa"/>
          </w:tcPr>
          <w:p w14:paraId="1315701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1,269</w:t>
            </w:r>
          </w:p>
          <w:p w14:paraId="387B2057" w14:textId="77777777" w:rsidR="00B67D7C" w:rsidRPr="00DE096C" w:rsidRDefault="00B67D7C" w:rsidP="00D45A46">
            <w:pPr>
              <w:shd w:val="clear" w:color="auto" w:fill="FFFFFF"/>
              <w:jc w:val="both"/>
              <w:rPr>
                <w:bCs/>
                <w:color w:val="002060"/>
                <w:sz w:val="16"/>
                <w:szCs w:val="16"/>
              </w:rPr>
            </w:pPr>
          </w:p>
        </w:tc>
      </w:tr>
      <w:tr w:rsidR="00B67D7C" w:rsidRPr="00DE096C" w14:paraId="253D946C" w14:textId="77777777" w:rsidTr="00C2024A">
        <w:trPr>
          <w:trHeight w:val="374"/>
        </w:trPr>
        <w:tc>
          <w:tcPr>
            <w:tcW w:w="586" w:type="dxa"/>
          </w:tcPr>
          <w:p w14:paraId="6A893DD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1917</w:t>
            </w:r>
          </w:p>
          <w:p w14:paraId="2E15BF2A" w14:textId="77777777" w:rsidR="00B67D7C" w:rsidRPr="00DE096C" w:rsidRDefault="00B67D7C" w:rsidP="00D45A46">
            <w:pPr>
              <w:shd w:val="clear" w:color="auto" w:fill="FFFFFF"/>
              <w:jc w:val="both"/>
              <w:rPr>
                <w:bCs/>
                <w:color w:val="002060"/>
                <w:sz w:val="16"/>
                <w:szCs w:val="16"/>
              </w:rPr>
            </w:pPr>
          </w:p>
        </w:tc>
        <w:tc>
          <w:tcPr>
            <w:tcW w:w="1104" w:type="dxa"/>
          </w:tcPr>
          <w:p w14:paraId="13537D3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190,5</w:t>
            </w:r>
          </w:p>
          <w:p w14:paraId="04F82B83" w14:textId="77777777" w:rsidR="00B67D7C" w:rsidRPr="00DE096C" w:rsidRDefault="00B67D7C" w:rsidP="00D45A46">
            <w:pPr>
              <w:shd w:val="clear" w:color="auto" w:fill="FFFFFF"/>
              <w:jc w:val="both"/>
              <w:rPr>
                <w:bCs/>
                <w:color w:val="002060"/>
                <w:sz w:val="16"/>
                <w:szCs w:val="16"/>
              </w:rPr>
            </w:pPr>
          </w:p>
        </w:tc>
        <w:tc>
          <w:tcPr>
            <w:tcW w:w="998" w:type="dxa"/>
          </w:tcPr>
          <w:p w14:paraId="3FA9E35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155,6</w:t>
            </w:r>
          </w:p>
          <w:p w14:paraId="7383FEAF" w14:textId="77777777" w:rsidR="00B67D7C" w:rsidRPr="00DE096C" w:rsidRDefault="00B67D7C" w:rsidP="00D45A46">
            <w:pPr>
              <w:shd w:val="clear" w:color="auto" w:fill="FFFFFF"/>
              <w:jc w:val="both"/>
              <w:rPr>
                <w:bCs/>
                <w:color w:val="002060"/>
                <w:sz w:val="16"/>
                <w:szCs w:val="16"/>
              </w:rPr>
            </w:pPr>
          </w:p>
        </w:tc>
        <w:tc>
          <w:tcPr>
            <w:tcW w:w="1315" w:type="dxa"/>
          </w:tcPr>
          <w:p w14:paraId="29CE7D9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1746,9</w:t>
            </w:r>
          </w:p>
          <w:p w14:paraId="71B56ADD" w14:textId="77777777" w:rsidR="00B67D7C" w:rsidRPr="00DE096C" w:rsidRDefault="00B67D7C" w:rsidP="00D45A46">
            <w:pPr>
              <w:shd w:val="clear" w:color="auto" w:fill="FFFFFF"/>
              <w:jc w:val="both"/>
              <w:rPr>
                <w:bCs/>
                <w:color w:val="002060"/>
                <w:sz w:val="16"/>
                <w:szCs w:val="16"/>
              </w:rPr>
            </w:pPr>
          </w:p>
        </w:tc>
        <w:tc>
          <w:tcPr>
            <w:tcW w:w="950" w:type="dxa"/>
          </w:tcPr>
          <w:p w14:paraId="57D18C0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422,6</w:t>
            </w:r>
          </w:p>
          <w:p w14:paraId="1CF5F08A" w14:textId="77777777" w:rsidR="00B67D7C" w:rsidRPr="00DE096C" w:rsidRDefault="00B67D7C" w:rsidP="00D45A46">
            <w:pPr>
              <w:shd w:val="clear" w:color="auto" w:fill="FFFFFF"/>
              <w:jc w:val="both"/>
              <w:rPr>
                <w:bCs/>
                <w:color w:val="002060"/>
                <w:sz w:val="16"/>
                <w:szCs w:val="16"/>
              </w:rPr>
            </w:pPr>
          </w:p>
        </w:tc>
        <w:tc>
          <w:tcPr>
            <w:tcW w:w="1411" w:type="dxa"/>
          </w:tcPr>
          <w:p w14:paraId="2219AB9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w:t>
            </w:r>
          </w:p>
          <w:p w14:paraId="4DD95278" w14:textId="77777777" w:rsidR="00B67D7C" w:rsidRPr="00DE096C" w:rsidRDefault="00B67D7C" w:rsidP="00D45A46">
            <w:pPr>
              <w:shd w:val="clear" w:color="auto" w:fill="FFFFFF"/>
              <w:jc w:val="both"/>
              <w:rPr>
                <w:bCs/>
                <w:color w:val="002060"/>
                <w:sz w:val="16"/>
                <w:szCs w:val="16"/>
              </w:rPr>
            </w:pPr>
          </w:p>
        </w:tc>
      </w:tr>
    </w:tbl>
    <w:p w14:paraId="4673AA0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(5484).</w:t>
      </w:r>
    </w:p>
    <w:p w14:paraId="5E4DE019" w14:textId="77777777" w:rsidR="00B67D7C" w:rsidRPr="00DE096C" w:rsidRDefault="00B67D7C" w:rsidP="00D45A46">
      <w:pPr>
        <w:jc w:val="both"/>
        <w:rPr>
          <w:bCs/>
          <w:color w:val="002060"/>
          <w:sz w:val="16"/>
          <w:szCs w:val="16"/>
        </w:rPr>
      </w:pPr>
    </w:p>
    <w:p w14:paraId="6F3441B3" w14:textId="40552E57" w:rsidR="00B67D7C" w:rsidRPr="00DE096C" w:rsidRDefault="00AD72F6" w:rsidP="00D45A46">
      <w:pPr>
        <w:shd w:val="clear" w:color="auto" w:fill="FFFFFF"/>
        <w:jc w:val="both"/>
        <w:rPr>
          <w:bCs/>
          <w:color w:val="002060"/>
          <w:sz w:val="16"/>
          <w:szCs w:val="16"/>
        </w:rPr>
      </w:pPr>
      <w:r w:rsidRPr="00DE096C">
        <w:rPr>
          <w:bCs/>
          <w:color w:val="002060"/>
          <w:sz w:val="16"/>
          <w:szCs w:val="16"/>
        </w:rPr>
        <w:t xml:space="preserve">В </w:t>
      </w:r>
      <w:r w:rsidR="00B67D7C" w:rsidRPr="00DE096C">
        <w:rPr>
          <w:bCs/>
          <w:color w:val="002060"/>
          <w:sz w:val="16"/>
          <w:szCs w:val="16"/>
        </w:rPr>
        <w:t xml:space="preserve">1914 гг. </w:t>
      </w:r>
      <w:r w:rsidR="004F1362" w:rsidRPr="00DE096C">
        <w:rPr>
          <w:bCs/>
          <w:color w:val="002060"/>
          <w:sz w:val="16"/>
          <w:szCs w:val="16"/>
        </w:rPr>
        <w:t>м</w:t>
      </w:r>
      <w:r w:rsidRPr="00DE096C">
        <w:rPr>
          <w:bCs/>
          <w:color w:val="002060"/>
          <w:sz w:val="16"/>
          <w:szCs w:val="16"/>
        </w:rPr>
        <w:t>ного и плодотворно работа</w:t>
      </w:r>
      <w:r w:rsidR="004F1362" w:rsidRPr="00DE096C">
        <w:rPr>
          <w:bCs/>
          <w:color w:val="002060"/>
          <w:sz w:val="16"/>
          <w:szCs w:val="16"/>
        </w:rPr>
        <w:t>ющий</w:t>
      </w:r>
      <w:r w:rsidRPr="00DE096C">
        <w:rPr>
          <w:bCs/>
          <w:color w:val="002060"/>
          <w:sz w:val="16"/>
          <w:szCs w:val="16"/>
        </w:rPr>
        <w:t xml:space="preserve"> в области внутренней и внешней баллистики, а также в области проектирования артиллерийских ору</w:t>
      </w:r>
      <w:r w:rsidRPr="00DE096C">
        <w:rPr>
          <w:bCs/>
          <w:color w:val="002060"/>
          <w:sz w:val="16"/>
          <w:szCs w:val="16"/>
        </w:rPr>
        <w:softHyphen/>
        <w:t>дий профессор Артиллерийской академии Н. А. Забудский (1853— 1917)</w:t>
      </w:r>
      <w:r w:rsidR="00B67D7C" w:rsidRPr="00DE096C">
        <w:rPr>
          <w:bCs/>
          <w:color w:val="002060"/>
          <w:sz w:val="16"/>
          <w:szCs w:val="16"/>
        </w:rPr>
        <w:t xml:space="preserve"> провел </w:t>
      </w:r>
      <w:r w:rsidR="004F1362" w:rsidRPr="00DE096C">
        <w:rPr>
          <w:bCs/>
          <w:color w:val="002060"/>
          <w:sz w:val="16"/>
          <w:szCs w:val="16"/>
        </w:rPr>
        <w:t xml:space="preserve">как и в 1904 г. </w:t>
      </w:r>
      <w:r w:rsidR="00B67D7C" w:rsidRPr="00DE096C">
        <w:rPr>
          <w:bCs/>
          <w:color w:val="002060"/>
          <w:sz w:val="16"/>
          <w:szCs w:val="16"/>
        </w:rPr>
        <w:t>экспериментальные стрельбы из специально оборудованных орудий для определения кривых из</w:t>
      </w:r>
      <w:r w:rsidR="00B67D7C" w:rsidRPr="00DE096C">
        <w:rPr>
          <w:bCs/>
          <w:color w:val="002060"/>
          <w:sz w:val="16"/>
          <w:szCs w:val="16"/>
        </w:rPr>
        <w:softHyphen/>
        <w:t>менения давления в канале ствола и скоростей движении снаряда в зависимости от пути, пройденного им в канале орудия. На основе полученных данных под руководством Н. А. Забудского была созда</w:t>
      </w:r>
      <w:r w:rsidR="00B67D7C" w:rsidRPr="00DE096C">
        <w:rPr>
          <w:bCs/>
          <w:color w:val="002060"/>
          <w:sz w:val="16"/>
          <w:szCs w:val="16"/>
        </w:rPr>
        <w:softHyphen/>
        <w:t>на первая отечественная пушка с зарядом из бездымного пороха (3-дюймовая пушка образца 1902 г.). Впоследствии под его руковод</w:t>
      </w:r>
      <w:r w:rsidR="00B67D7C" w:rsidRPr="00DE096C">
        <w:rPr>
          <w:bCs/>
          <w:color w:val="002060"/>
          <w:sz w:val="16"/>
          <w:szCs w:val="16"/>
        </w:rPr>
        <w:softHyphen/>
        <w:t>ством были спроектированы и отработаны все системы калибра от 122 до 203 мм, принятые на вооружение в 1909—1910 гг. Высокую оценку Арткома ГА У получила его работа «О давлении газов без</w:t>
      </w:r>
      <w:r w:rsidR="00B67D7C" w:rsidRPr="00DE096C">
        <w:rPr>
          <w:bCs/>
          <w:color w:val="002060"/>
          <w:sz w:val="16"/>
          <w:szCs w:val="16"/>
        </w:rPr>
        <w:softHyphen/>
        <w:t>дымного пороха в канале пушек».</w:t>
      </w:r>
    </w:p>
    <w:p w14:paraId="42C96DA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Важнейшей характеристикой процесса горения порохов явля</w:t>
      </w:r>
      <w:r w:rsidRPr="00DE096C">
        <w:rPr>
          <w:bCs/>
          <w:color w:val="002060"/>
          <w:sz w:val="16"/>
          <w:szCs w:val="16"/>
        </w:rPr>
        <w:softHyphen/>
        <w:t>ется скорость горения, которая зависит от давления, температуры заряда, состава пороха и пр. Зависимость скорости горения от дав</w:t>
      </w:r>
      <w:r w:rsidRPr="00DE096C">
        <w:rPr>
          <w:bCs/>
          <w:color w:val="002060"/>
          <w:sz w:val="16"/>
          <w:szCs w:val="16"/>
        </w:rPr>
        <w:softHyphen/>
        <w:t>ления называется законом скорости горения.</w:t>
      </w:r>
    </w:p>
    <w:p w14:paraId="44819D9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Г. П. Киснемекий и М. П. Дымша провели на Охтинском порохо</w:t>
      </w:r>
      <w:r w:rsidRPr="00DE096C">
        <w:rPr>
          <w:bCs/>
          <w:color w:val="002060"/>
          <w:sz w:val="16"/>
          <w:szCs w:val="16"/>
        </w:rPr>
        <w:softHyphen/>
        <w:t>вом заводе более двухсот опытов по изучению влияния на баллисти</w:t>
      </w:r>
      <w:r w:rsidRPr="00DE096C">
        <w:rPr>
          <w:bCs/>
          <w:color w:val="002060"/>
          <w:sz w:val="16"/>
          <w:szCs w:val="16"/>
        </w:rPr>
        <w:softHyphen/>
        <w:t>ческие характеристики пироксилинового пороха содержания в нем летучих веществ и азота, температуры порохового заряда, толщины горящего свода, плотности заряжания и других факторов. По ре</w:t>
      </w:r>
      <w:r w:rsidRPr="00DE096C">
        <w:rPr>
          <w:bCs/>
          <w:color w:val="002060"/>
          <w:sz w:val="16"/>
          <w:szCs w:val="16"/>
        </w:rPr>
        <w:softHyphen/>
        <w:t>зультатам опытов они вывели эмпирические зависимости (формулы ИКОПЗ), которые использовались для подбора массы заряда. И. М. Чельцов и С. П. Вуколов в Научно-технической лаборатории Морского ведомства первыми провели опыты по изучению процесса горения пороха в манометрической бомбе с учетом теплоотдачи и предложили эмпирическую двучленную формулу закона скорости горения для пироколлодийного пороха.</w:t>
      </w:r>
    </w:p>
    <w:p w14:paraId="3B8709C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И. П. Граве (1874 —1960), один из создателей советской на</w:t>
      </w:r>
      <w:r w:rsidRPr="00DE096C">
        <w:rPr>
          <w:bCs/>
          <w:color w:val="002060"/>
          <w:sz w:val="16"/>
          <w:szCs w:val="16"/>
        </w:rPr>
        <w:softHyphen/>
        <w:t>учной школы внутренней баллистики, теоретически и эксперимен</w:t>
      </w:r>
      <w:r w:rsidRPr="00DE096C">
        <w:rPr>
          <w:bCs/>
          <w:color w:val="002060"/>
          <w:sz w:val="16"/>
          <w:szCs w:val="16"/>
        </w:rPr>
        <w:softHyphen/>
        <w:t>тально исследовал закон скорости горения и давления при сжигании пироксилинового пороха в манометрической бомбе. Обобщив экспе</w:t>
      </w:r>
      <w:r w:rsidRPr="00DE096C">
        <w:rPr>
          <w:bCs/>
          <w:color w:val="002060"/>
          <w:sz w:val="16"/>
          <w:szCs w:val="16"/>
        </w:rPr>
        <w:softHyphen/>
        <w:t>риментальные данные, он вывел в 1903 г. уравнение закона скорости горения, подтвердившее формулу И. М. Чельцова и С. П. Вуколова.</w:t>
      </w:r>
    </w:p>
    <w:p w14:paraId="468F47C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Большое значение имели работы профессора Г. А. Забудского. Он провел анализ состава продуктов горения различных порохов, исследовал законы скорости горения и давления для бездымного пороха разных образцов. Известны другие его работы в области внутренней баллистики и налаживания производства пироксилина и порохов [ 1 ].</w:t>
      </w:r>
    </w:p>
    <w:p w14:paraId="01C0618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Для развития теории горения пороха большое значение имели исследования А. В. Сапожникова, А. А. Солонина и В. Эннатского. Их опыты в 1913 г. по сжиганию больших масс бездымного пороха (до 10 т одновременно) показали, что с увеличением массы пороха скорость горения значительно возрастает, а при больших массах пороха горение может переходить во взрыв.</w:t>
      </w:r>
    </w:p>
    <w:p w14:paraId="4C6A242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1899—1903 гг. на Шлиссельбургском частном пороховом за</w:t>
      </w:r>
      <w:r w:rsidRPr="00DE096C">
        <w:rPr>
          <w:bCs/>
          <w:color w:val="002060"/>
          <w:sz w:val="16"/>
          <w:szCs w:val="16"/>
        </w:rPr>
        <w:softHyphen/>
        <w:t>воде было изготовлено 77 827 пудов бездымного пироколлодийного пороха, разработанного в 1890 —1894 гг. Д. И. Менделеевым и его учениками И. М. Чельцовым, П. П. Рубцовым, С. П. Вуколовым, Ф. Ю. Ворожейкиным, Н. А. Смирновым и А. А. Григоровичем в Научно-технической лаборатории Морского ведомства.</w:t>
      </w:r>
    </w:p>
    <w:p w14:paraId="1EFAABA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Пироколлодийный порох Д. И. Менделеева был принят на воору</w:t>
      </w:r>
      <w:r w:rsidRPr="00DE096C">
        <w:rPr>
          <w:bCs/>
          <w:color w:val="002060"/>
          <w:sz w:val="16"/>
          <w:szCs w:val="16"/>
        </w:rPr>
        <w:softHyphen/>
        <w:t>жение американским военно-морским флотом в 1897 г., а армией США — в 1899 г. Он производился в огромных количествах на заводах США в период первой мировой войны и тысячами тонн ввозился в Россию.</w:t>
      </w:r>
    </w:p>
    <w:p w14:paraId="11987705"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А на родине Д. И. Менделеева его порох так и не был принят на вооружение армии. В 1909 г. Артком ГАУ принял постановление, в котором говорилось, что «... преимущества пироколлодийного поро</w:t>
      </w:r>
      <w:r w:rsidRPr="00DE096C">
        <w:rPr>
          <w:bCs/>
          <w:color w:val="002060"/>
          <w:sz w:val="16"/>
          <w:szCs w:val="16"/>
        </w:rPr>
        <w:softHyphen/>
        <w:t>ха не столь существенные, чтобы переходить к его изготовлению на казенных заводах, которые приспособлены к изготовлению пирокси</w:t>
      </w:r>
      <w:r w:rsidRPr="00DE096C">
        <w:rPr>
          <w:bCs/>
          <w:color w:val="002060"/>
          <w:sz w:val="16"/>
          <w:szCs w:val="16"/>
        </w:rPr>
        <w:softHyphen/>
        <w:t>линового пороха».</w:t>
      </w:r>
    </w:p>
    <w:p w14:paraId="211AC1A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Вскоре после русско-японской войны сотрудники Научно-техни</w:t>
      </w:r>
      <w:r w:rsidRPr="00DE096C">
        <w:rPr>
          <w:bCs/>
          <w:color w:val="002060"/>
          <w:sz w:val="16"/>
          <w:szCs w:val="16"/>
        </w:rPr>
        <w:softHyphen/>
        <w:t>ческой лаборатории Морского ведомства С. П. Вуколов и П. П. Руб</w:t>
      </w:r>
      <w:r w:rsidRPr="00DE096C">
        <w:rPr>
          <w:bCs/>
          <w:color w:val="002060"/>
          <w:sz w:val="16"/>
          <w:szCs w:val="16"/>
        </w:rPr>
        <w:softHyphen/>
        <w:t>цов предприняли попытку создать нитроглицериновый порох баллиститного типа без летучего растворителя. Его состав: 66 % нитроцеллюлозы, 26 % нитроглицерина, 7 % централита и 1 % вазелина. Содержание нитроглицерина в этом порохе по сравнению с баллиститом Нобеля значительно уменьшено, а содержание орга</w:t>
      </w:r>
      <w:r w:rsidRPr="00DE096C">
        <w:rPr>
          <w:bCs/>
          <w:color w:val="002060"/>
          <w:sz w:val="16"/>
          <w:szCs w:val="16"/>
        </w:rPr>
        <w:softHyphen/>
        <w:t>нических охлаждающих добавок увеличено, что позволяет умень</w:t>
      </w:r>
      <w:r w:rsidRPr="00DE096C">
        <w:rPr>
          <w:bCs/>
          <w:color w:val="002060"/>
          <w:sz w:val="16"/>
          <w:szCs w:val="16"/>
        </w:rPr>
        <w:softHyphen/>
        <w:t>шить температуру пороховых газов и их разгарное действие на канал ствола орудия. Этот путь был использован впоследствии при созда</w:t>
      </w:r>
      <w:r w:rsidRPr="00DE096C">
        <w:rPr>
          <w:bCs/>
          <w:color w:val="002060"/>
          <w:sz w:val="16"/>
          <w:szCs w:val="16"/>
        </w:rPr>
        <w:softHyphen/>
        <w:t>нии так называемых «холодных» нитроглицериновых порохов бал</w:t>
      </w:r>
      <w:r w:rsidRPr="00DE096C">
        <w:rPr>
          <w:bCs/>
          <w:color w:val="002060"/>
          <w:sz w:val="16"/>
          <w:szCs w:val="16"/>
        </w:rPr>
        <w:softHyphen/>
        <w:t>листитного типа для корабельной артиллерии.</w:t>
      </w:r>
    </w:p>
    <w:p w14:paraId="1A82E38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Преимущества порохов баллиститного типа: короткий техноло</w:t>
      </w:r>
      <w:r w:rsidRPr="00DE096C">
        <w:rPr>
          <w:bCs/>
          <w:color w:val="002060"/>
          <w:sz w:val="16"/>
          <w:szCs w:val="16"/>
        </w:rPr>
        <w:softHyphen/>
        <w:t>гический цикл; возможность изготовления пороховых элементов, особенно одноканальных трубок, точных размеров и с большой тол</w:t>
      </w:r>
      <w:r w:rsidRPr="00DE096C">
        <w:rPr>
          <w:bCs/>
          <w:color w:val="002060"/>
          <w:sz w:val="16"/>
          <w:szCs w:val="16"/>
        </w:rPr>
        <w:softHyphen/>
        <w:t>щиной свода; возможность получения порохов различной мощности.</w:t>
      </w:r>
    </w:p>
    <w:p w14:paraId="2A607C8E"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lastRenderedPageBreak/>
        <w:t>Работы по созданию нитроглицериновых порохов баллиститного типа были возобновлены в конце 20-х и в 30-х гг. Под руководством А. С. Бакаева советские специалисты-пороховики разработали и за несколько лет до начала войны 1941 —1945 гг. организовали валовое производство баллиститных порохов, пригодных для использования в корабельной и зенитной артиллерии, в минометах и в двигателях пороховых ракет. Но об этом расскажем далее (5484).</w:t>
      </w:r>
    </w:p>
    <w:p w14:paraId="52970F61" w14:textId="77777777" w:rsidR="00B67D7C" w:rsidRPr="00DE096C" w:rsidRDefault="00B67D7C" w:rsidP="00D45A46">
      <w:pPr>
        <w:shd w:val="clear" w:color="auto" w:fill="FFFFFF"/>
        <w:jc w:val="both"/>
        <w:rPr>
          <w:bCs/>
          <w:color w:val="002060"/>
          <w:sz w:val="16"/>
          <w:szCs w:val="16"/>
        </w:rPr>
      </w:pPr>
    </w:p>
    <w:p w14:paraId="0835D422" w14:textId="2C7ADE30" w:rsidR="00B67D7C" w:rsidRPr="00DE096C" w:rsidRDefault="004F1362"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1914 г. в Россию было ввезено 5049 тыс. пуд. серного колчедана (Фокин Л.Ф. Обзор химической промышленности в России. Ч.1. Пг., 1920; Ч. 2. Пг., 1922.).</w:t>
      </w:r>
    </w:p>
    <w:p w14:paraId="1417D24E" w14:textId="77777777" w:rsidR="00B67D7C" w:rsidRPr="00DE096C" w:rsidRDefault="00B67D7C" w:rsidP="00D45A46">
      <w:pPr>
        <w:jc w:val="both"/>
        <w:rPr>
          <w:bCs/>
          <w:color w:val="002060"/>
          <w:sz w:val="16"/>
          <w:szCs w:val="16"/>
        </w:rPr>
      </w:pPr>
      <w:r w:rsidRPr="00DE096C">
        <w:rPr>
          <w:bCs/>
          <w:color w:val="002060"/>
          <w:sz w:val="16"/>
          <w:szCs w:val="16"/>
        </w:rPr>
        <w:t>Основные месторождения серного колчедана в России находятся на Урале. Их разработка началась только в 1880-х гг. По качеству уральский колчедан не уступал ввозимому минералу, однако отсутствие хороших путей сообщения для доставки уральского колчедана к железным дорогам и водным путям сообщения значительно повышало его стоимость, в то время как привозной продукт доставлялся в Россию дешевым водным путем. В 1914 г. общая добыча колчедана в России достигла 8 908,9 тыс. пуд. (Фокин Л.Ф. Обзор химической промышленности в России. Ч.1. Пг., 1920; Ч. 2. Пг., 1922.). С началом войны в связи с нарушением торговых и экономических связей России с другими странами, отечественные заводы, работавшие на привозном сырье, оказались под угрозой полной остановки. Поэтому еще 28 февраля 1915 г. на заседании Комиссии по заготовке взрывчатых веществ было предложено для лучшего обеспечения снабжения заводов серной кислотой осуществить реквизицию колчеданов на месте их добычи, улучшить подъездные пути к рудникам и вообще принять "самые энергичные меры для предотвращения грозящей остановки всей химической промышленности". Также предлагалось произвести учет всех наличных запасов уже добытого колчедана, имеющегося на заводах, и расходовать их централизованно, имея в виду в первую очередь потребность военного ведомства (РГВИА, ф. 507, оп. 2, д. 72, л. 30.) (11781).</w:t>
      </w:r>
    </w:p>
    <w:p w14:paraId="70EBA56B" w14:textId="77777777" w:rsidR="00B67D7C" w:rsidRPr="00DE096C" w:rsidRDefault="00B67D7C" w:rsidP="00D45A46">
      <w:pPr>
        <w:jc w:val="both"/>
        <w:rPr>
          <w:bCs/>
          <w:color w:val="002060"/>
          <w:sz w:val="16"/>
          <w:szCs w:val="16"/>
        </w:rPr>
      </w:pPr>
    </w:p>
    <w:p w14:paraId="3BA4C9B2" w14:textId="705E5BF0" w:rsidR="00B67D7C" w:rsidRPr="00DE096C" w:rsidRDefault="004F1362"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В</w:t>
      </w:r>
      <w:r w:rsidR="00B67D7C" w:rsidRPr="00DE096C">
        <w:rPr>
          <w:bCs/>
          <w:i w:val="0"/>
          <w:color w:val="002060"/>
          <w:spacing w:val="0"/>
          <w:kern w:val="0"/>
          <w:position w:val="0"/>
          <w:sz w:val="16"/>
          <w:szCs w:val="16"/>
        </w:rPr>
        <w:t xml:space="preserve"> 1914 г. был начат постройкой новый пороховой завод</w:t>
      </w:r>
      <w:r w:rsidRPr="00DE096C">
        <w:rPr>
          <w:bCs/>
          <w:i w:val="0"/>
          <w:color w:val="002060"/>
          <w:spacing w:val="0"/>
          <w:kern w:val="0"/>
          <w:position w:val="0"/>
          <w:sz w:val="16"/>
          <w:szCs w:val="16"/>
        </w:rPr>
        <w:t xml:space="preserve"> - тамбовский</w:t>
      </w:r>
      <w:r w:rsidR="00B67D7C" w:rsidRPr="00DE096C">
        <w:rPr>
          <w:bCs/>
          <w:i w:val="0"/>
          <w:color w:val="002060"/>
          <w:spacing w:val="0"/>
          <w:kern w:val="0"/>
          <w:position w:val="0"/>
          <w:sz w:val="16"/>
          <w:szCs w:val="16"/>
        </w:rPr>
        <w:t xml:space="preserve">. Во время войны решено было построить еще один пороховой завод в Волжском районе. </w:t>
      </w:r>
    </w:p>
    <w:p w14:paraId="3BDA801D"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2. Изготовление клетчатки на частных заводах России сильно отставало от потребности в ней для приготовления пороха и приходилось значительную часть ее заказывать за границей; в то же время рыночные цены в России на клетчатку чрезвычайно росли. Поэтому решено было построить в Туркестане казенный хлопкоочистительный завод, что являлось не только необходимым и неотложным мероприятием для обеспечения армии порохом, но и в достаточной степени выгодным для казны предприятием (11483).</w:t>
      </w:r>
    </w:p>
    <w:p w14:paraId="4871B931" w14:textId="77777777" w:rsidR="00B67D7C" w:rsidRPr="00DE096C" w:rsidRDefault="00B67D7C" w:rsidP="00D45A46">
      <w:pPr>
        <w:pStyle w:val="a3"/>
        <w:jc w:val="both"/>
        <w:rPr>
          <w:bCs/>
          <w:i w:val="0"/>
          <w:color w:val="002060"/>
          <w:spacing w:val="0"/>
          <w:kern w:val="0"/>
          <w:position w:val="0"/>
          <w:sz w:val="16"/>
          <w:szCs w:val="16"/>
        </w:rPr>
      </w:pPr>
    </w:p>
    <w:p w14:paraId="4DDA72C7" w14:textId="1E67C221" w:rsidR="00B67D7C" w:rsidRPr="00DE096C" w:rsidRDefault="004F1362" w:rsidP="00D45A46">
      <w:pPr>
        <w:shd w:val="clear" w:color="auto" w:fill="FFFFFF"/>
        <w:jc w:val="both"/>
        <w:rPr>
          <w:bCs/>
          <w:color w:val="002060"/>
          <w:sz w:val="16"/>
          <w:szCs w:val="16"/>
        </w:rPr>
      </w:pPr>
      <w:r w:rsidRPr="00DE096C">
        <w:rPr>
          <w:bCs/>
          <w:color w:val="002060"/>
          <w:sz w:val="16"/>
          <w:szCs w:val="16"/>
        </w:rPr>
        <w:t>В</w:t>
      </w:r>
      <w:r w:rsidR="00B67D7C" w:rsidRPr="00DE096C">
        <w:rPr>
          <w:bCs/>
          <w:color w:val="002060"/>
          <w:sz w:val="16"/>
          <w:szCs w:val="16"/>
        </w:rPr>
        <w:t xml:space="preserve"> 1914г. </w:t>
      </w:r>
      <w:r w:rsidRPr="00DE096C">
        <w:rPr>
          <w:bCs/>
          <w:color w:val="002060"/>
          <w:sz w:val="16"/>
          <w:szCs w:val="16"/>
        </w:rPr>
        <w:t>Воен</w:t>
      </w:r>
      <w:r w:rsidRPr="00DE096C">
        <w:rPr>
          <w:bCs/>
          <w:color w:val="002060"/>
          <w:sz w:val="16"/>
          <w:szCs w:val="16"/>
        </w:rPr>
        <w:softHyphen/>
        <w:t xml:space="preserve">ное ведомство </w:t>
      </w:r>
      <w:r w:rsidR="00B67D7C" w:rsidRPr="00DE096C">
        <w:rPr>
          <w:bCs/>
          <w:color w:val="002060"/>
          <w:sz w:val="16"/>
          <w:szCs w:val="16"/>
        </w:rPr>
        <w:t>прибегло к закупкам пороха за границей, главным образом в США. Основным поставщиком была фирма «Дюпон», хотя к выполнению русских заказов на порох и пирокси</w:t>
      </w:r>
      <w:r w:rsidR="00B67D7C" w:rsidRPr="00DE096C">
        <w:rPr>
          <w:bCs/>
          <w:color w:val="002060"/>
          <w:sz w:val="16"/>
          <w:szCs w:val="16"/>
        </w:rPr>
        <w:softHyphen/>
        <w:t>лин было привлечено и несколько других американских фирм.</w:t>
      </w:r>
    </w:p>
    <w:p w14:paraId="50721E4C"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Потребность в порохе была велика, и Россия закупала его не только в Америке, но и в Англии, Франции, Японии, Италии. За гра</w:t>
      </w:r>
      <w:r w:rsidRPr="00DE096C">
        <w:rPr>
          <w:bCs/>
          <w:color w:val="002060"/>
          <w:sz w:val="16"/>
          <w:szCs w:val="16"/>
        </w:rPr>
        <w:softHyphen/>
        <w:t>ницей, главным образом в Америке, для русской армии было заказа</w:t>
      </w:r>
      <w:r w:rsidRPr="00DE096C">
        <w:rPr>
          <w:bCs/>
          <w:color w:val="002060"/>
          <w:sz w:val="16"/>
          <w:szCs w:val="16"/>
        </w:rPr>
        <w:softHyphen/>
        <w:t>но до 6,5 млн пудов разных порохов, не считая пороха, заказанного в виде полных выстрелов и патронов, и около 0,7 млн пудов пирокси</w:t>
      </w:r>
      <w:r w:rsidRPr="00DE096C">
        <w:rPr>
          <w:bCs/>
          <w:color w:val="002060"/>
          <w:sz w:val="16"/>
          <w:szCs w:val="16"/>
        </w:rPr>
        <w:softHyphen/>
        <w:t>лина. К 1917 г. заказы на порох были выполнены на 35—40 %, а за</w:t>
      </w:r>
      <w:r w:rsidRPr="00DE096C">
        <w:rPr>
          <w:bCs/>
          <w:color w:val="002060"/>
          <w:sz w:val="16"/>
          <w:szCs w:val="16"/>
        </w:rPr>
        <w:softHyphen/>
        <w:t>казы на пироксилин — почти на 80 %.</w:t>
      </w:r>
    </w:p>
    <w:p w14:paraId="450139E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Всего за 1914—1917 гг. было заготовлено пороха 5,2 млн пудов (а с дымным порохом 6 млн пудов), в том числе орудийного около 4,4 млн пудов и винтовочного около 0,8 млн пудов. Из общего коли</w:t>
      </w:r>
      <w:r w:rsidRPr="00DE096C">
        <w:rPr>
          <w:bCs/>
          <w:color w:val="002060"/>
          <w:sz w:val="16"/>
          <w:szCs w:val="16"/>
        </w:rPr>
        <w:softHyphen/>
        <w:t>чества заготовленного пороха около 2 млн пудов произвели казенные заводы, а 3,2 млн, или 62 %, т. е. большая часть пороха, была получе</w:t>
      </w:r>
      <w:r w:rsidRPr="00DE096C">
        <w:rPr>
          <w:bCs/>
          <w:color w:val="002060"/>
          <w:sz w:val="16"/>
          <w:szCs w:val="16"/>
        </w:rPr>
        <w:softHyphen/>
        <w:t>на из-за границы [5, с. 216] (5484).</w:t>
      </w:r>
    </w:p>
    <w:p w14:paraId="5B181DA6" w14:textId="77777777" w:rsidR="00B67D7C" w:rsidRPr="00DE096C" w:rsidRDefault="00B67D7C" w:rsidP="00D45A46">
      <w:pPr>
        <w:shd w:val="clear" w:color="auto" w:fill="FFFFFF"/>
        <w:jc w:val="both"/>
        <w:rPr>
          <w:bCs/>
          <w:color w:val="002060"/>
          <w:sz w:val="16"/>
          <w:szCs w:val="16"/>
        </w:rPr>
      </w:pPr>
    </w:p>
    <w:p w14:paraId="497D8A8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1914 г. акционерное общество Барановских начало строить част</w:t>
      </w:r>
      <w:r w:rsidRPr="00DE096C">
        <w:rPr>
          <w:bCs/>
          <w:color w:val="002060"/>
          <w:sz w:val="16"/>
          <w:szCs w:val="16"/>
        </w:rPr>
        <w:softHyphen/>
        <w:t>ный пороховой завод во Владимирской губернии (вблизи станции Черусти Казанской ж. д.). Первоначальная мощность этого завода была установлена в 1,5 млн пудов пироксилинового пороха. Одним из авторов проекта, управляющим строительства, а после его окон</w:t>
      </w:r>
      <w:r w:rsidRPr="00DE096C">
        <w:rPr>
          <w:bCs/>
          <w:color w:val="002060"/>
          <w:sz w:val="16"/>
          <w:szCs w:val="16"/>
        </w:rPr>
        <w:softHyphen/>
        <w:t>чания директором и совладельцем завода был известный пороховик С. А. Броунс. В декабре 1916 г. завод был выкуплен государством и приписан к Морскому ведомству.</w:t>
      </w:r>
    </w:p>
    <w:p w14:paraId="70382BB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Хотя оборудование пироксилинового производства не было пол</w:t>
      </w:r>
      <w:r w:rsidRPr="00DE096C">
        <w:rPr>
          <w:bCs/>
          <w:color w:val="002060"/>
          <w:sz w:val="16"/>
          <w:szCs w:val="16"/>
        </w:rPr>
        <w:softHyphen/>
        <w:t>ностью закончено, а пороховое производство было оборудовано только частично, Владимирский завод в 1917 г. изготовил 104 тыс. пудов пороха (из пироксилина, закупленного в США) [5, с. 214] (5484).</w:t>
      </w:r>
    </w:p>
    <w:p w14:paraId="35F2010B" w14:textId="77777777" w:rsidR="00B67D7C" w:rsidRPr="00DE096C" w:rsidRDefault="00B67D7C" w:rsidP="00D45A46">
      <w:pPr>
        <w:jc w:val="both"/>
        <w:rPr>
          <w:bCs/>
          <w:color w:val="002060"/>
          <w:sz w:val="16"/>
          <w:szCs w:val="16"/>
        </w:rPr>
      </w:pPr>
    </w:p>
    <w:p w14:paraId="46FDA7F8" w14:textId="77777777" w:rsidR="001D2193" w:rsidRPr="00DE096C" w:rsidRDefault="001D2193" w:rsidP="00D45A46">
      <w:pPr>
        <w:jc w:val="both"/>
        <w:rPr>
          <w:bCs/>
          <w:color w:val="002060"/>
          <w:sz w:val="16"/>
          <w:szCs w:val="16"/>
        </w:rPr>
      </w:pPr>
      <w:r w:rsidRPr="00DE096C">
        <w:rPr>
          <w:bCs/>
          <w:color w:val="002060"/>
          <w:sz w:val="16"/>
          <w:szCs w:val="16"/>
        </w:rPr>
        <w:t>В 1914 г. война не позволила закрыть Охтенский завод. Наоборот, с первых же месяцев после объявления войны начали воздвигать в тротиловом отделе новые и новые здания с целью усилить его пропускную способность. От этого теснота в заводе, имевшая место и ранее, еще в значительной мере возросла, усиливая опасность в пожарном отношении (11329).</w:t>
      </w:r>
    </w:p>
    <w:p w14:paraId="0C21C112" w14:textId="77777777" w:rsidR="001D2193" w:rsidRPr="00DE096C" w:rsidRDefault="001D2193" w:rsidP="00D45A46">
      <w:pPr>
        <w:jc w:val="both"/>
        <w:rPr>
          <w:bCs/>
          <w:color w:val="002060"/>
          <w:sz w:val="16"/>
          <w:szCs w:val="16"/>
        </w:rPr>
      </w:pPr>
    </w:p>
    <w:p w14:paraId="201EDCB0" w14:textId="77777777" w:rsidR="00B67D7C" w:rsidRPr="00DE096C" w:rsidRDefault="00B67D7C" w:rsidP="00D45A46">
      <w:pPr>
        <w:jc w:val="both"/>
        <w:rPr>
          <w:bCs/>
          <w:color w:val="002060"/>
          <w:sz w:val="16"/>
          <w:szCs w:val="16"/>
        </w:rPr>
      </w:pPr>
      <w:r w:rsidRPr="00DE096C">
        <w:rPr>
          <w:bCs/>
          <w:color w:val="002060"/>
          <w:sz w:val="16"/>
          <w:szCs w:val="16"/>
        </w:rPr>
        <w:t>В 1914 году от Московской строительно-монтажной фирмы «Инженерное дело» прибыли свыше 600 квалифицированных рабочих во главе с инженером К.П. Хайдуковым. Объявления о наборе на постройку завода инженеров, техников и рабочих печатались в газете «Русское слово». Специалисты приехали из Перми, Москвы, Нижнего Новгорода, Казани. Всего на стройке были заняты 2000 человек. Кредиты на строительство переводились из Главного казначейства в Тамбовскую казенную палату. Первоначально было отпущено 600000 рублей. Всего за три года планировалось освоить 14 миллионов рублей.</w:t>
      </w:r>
    </w:p>
    <w:p w14:paraId="5B050FAC" w14:textId="77777777" w:rsidR="00B67D7C" w:rsidRPr="00DE096C" w:rsidRDefault="00B67D7C" w:rsidP="00D45A46">
      <w:pPr>
        <w:jc w:val="both"/>
        <w:rPr>
          <w:bCs/>
          <w:color w:val="002060"/>
          <w:sz w:val="16"/>
          <w:szCs w:val="16"/>
        </w:rPr>
      </w:pPr>
      <w:r w:rsidRPr="00DE096C">
        <w:rPr>
          <w:bCs/>
          <w:color w:val="002060"/>
          <w:sz w:val="16"/>
          <w:szCs w:val="16"/>
        </w:rPr>
        <w:t>После подготовки площадки в марте 1915 года были начаты первые строительные работы. Бутовый камень доставлялся из каменоломен Липецка и со станции Грязи.</w:t>
      </w:r>
    </w:p>
    <w:p w14:paraId="6C371B1D" w14:textId="77777777" w:rsidR="00B67D7C" w:rsidRPr="00DE096C" w:rsidRDefault="00B67D7C" w:rsidP="00D45A46">
      <w:pPr>
        <w:jc w:val="both"/>
        <w:rPr>
          <w:bCs/>
          <w:color w:val="002060"/>
          <w:sz w:val="16"/>
          <w:szCs w:val="16"/>
        </w:rPr>
      </w:pPr>
      <w:r w:rsidRPr="00DE096C">
        <w:rPr>
          <w:bCs/>
          <w:color w:val="002060"/>
          <w:sz w:val="16"/>
          <w:szCs w:val="16"/>
        </w:rPr>
        <w:t>Подъездных железнодорожных путей к стройплощадке вначале не было. Для доставки оборудования и материалов была сооружена линия узкой колеи, которая проходила от завода по нынешним улицам Советской, Народной через лес по направлению к макаронной фабрике и до станции Кондауровка по деревянному мосту через Цну. Первыми машинистами узкоколейного локомотива были А.Ф. Покровский, В.Ф. Лудин, А.И. Бурмистров. Железнодорожный мост, давший возможность связать завод с Московско-Рязанской железной дорогой, был построен лишь в 1928 году.</w:t>
      </w:r>
    </w:p>
    <w:p w14:paraId="19181B61" w14:textId="77777777" w:rsidR="00B67D7C" w:rsidRPr="00DE096C" w:rsidRDefault="00B67D7C" w:rsidP="00D45A46">
      <w:pPr>
        <w:jc w:val="both"/>
        <w:rPr>
          <w:bCs/>
          <w:color w:val="002060"/>
          <w:sz w:val="16"/>
          <w:szCs w:val="16"/>
        </w:rPr>
      </w:pPr>
      <w:r w:rsidRPr="00DE096C">
        <w:rPr>
          <w:bCs/>
          <w:color w:val="002060"/>
          <w:sz w:val="16"/>
          <w:szCs w:val="16"/>
        </w:rPr>
        <w:t>На строительстве завода работали люди различных национальностей — русские, татары, латыши, даже военнопленные турки, австрийцы и чехи. На работы принимались и подростки 12 — 14 лет. Они подносили раствор, щебень, копали траншеи. Рабочий день продолжался 12—14 часов.</w:t>
      </w:r>
    </w:p>
    <w:p w14:paraId="4CDF04D2" w14:textId="77777777" w:rsidR="00B67D7C" w:rsidRPr="00DE096C" w:rsidRDefault="00B67D7C" w:rsidP="00D45A46">
      <w:pPr>
        <w:jc w:val="both"/>
        <w:rPr>
          <w:bCs/>
          <w:color w:val="002060"/>
          <w:sz w:val="16"/>
          <w:szCs w:val="16"/>
        </w:rPr>
      </w:pPr>
      <w:r w:rsidRPr="00DE096C">
        <w:rPr>
          <w:bCs/>
          <w:color w:val="002060"/>
          <w:sz w:val="16"/>
          <w:szCs w:val="16"/>
        </w:rPr>
        <w:t>Строители завода размещались в общих для мужчин и женщин бараках с земляным полом, двухъярусными нарами, где впоследствии также жили и рабочие завода. В амбулатории при хозяйственно-строительной комиссии больных принимал один врач. В окрестных селах свирепствовали инфекционные заболевания.</w:t>
      </w:r>
    </w:p>
    <w:p w14:paraId="22C8C90D" w14:textId="77777777" w:rsidR="00B67D7C" w:rsidRPr="00DE096C" w:rsidRDefault="00B67D7C" w:rsidP="00D45A46">
      <w:pPr>
        <w:jc w:val="both"/>
        <w:rPr>
          <w:bCs/>
          <w:color w:val="002060"/>
          <w:sz w:val="16"/>
          <w:szCs w:val="16"/>
        </w:rPr>
      </w:pPr>
      <w:r w:rsidRPr="00DE096C">
        <w:rPr>
          <w:bCs/>
          <w:color w:val="002060"/>
          <w:sz w:val="16"/>
          <w:szCs w:val="16"/>
        </w:rPr>
        <w:t>В сентябре 1915 года исполняющий обязанности председателя хозяйственно-строительной комиссии и начальника завода полковник Скосырский приступил к формированию штата инженерно-технических работников и рабочих завода. Временный штат Тамбовского завода был Высочайше утвержден 3 ноября 1915 года.</w:t>
      </w:r>
    </w:p>
    <w:p w14:paraId="0BD5CC9F" w14:textId="77777777" w:rsidR="00B67D7C" w:rsidRPr="00DE096C" w:rsidRDefault="00B67D7C" w:rsidP="00D45A46">
      <w:pPr>
        <w:jc w:val="both"/>
        <w:rPr>
          <w:bCs/>
          <w:color w:val="002060"/>
          <w:sz w:val="16"/>
          <w:szCs w:val="16"/>
        </w:rPr>
      </w:pPr>
      <w:r w:rsidRPr="00DE096C">
        <w:rPr>
          <w:bCs/>
          <w:color w:val="002060"/>
          <w:sz w:val="16"/>
          <w:szCs w:val="16"/>
        </w:rPr>
        <w:t>Для обеспечения функционирования завода создаются механический, строительный, хозяйственный, административный отделы, канцелярия, бухгалтерия, чертежная архитектора завода.</w:t>
      </w:r>
    </w:p>
    <w:p w14:paraId="24179B86" w14:textId="77777777" w:rsidR="00B67D7C" w:rsidRPr="00DE096C" w:rsidRDefault="00B67D7C" w:rsidP="00D45A46">
      <w:pPr>
        <w:jc w:val="both"/>
        <w:rPr>
          <w:bCs/>
          <w:color w:val="002060"/>
          <w:sz w:val="16"/>
          <w:szCs w:val="16"/>
        </w:rPr>
      </w:pPr>
      <w:r w:rsidRPr="00DE096C">
        <w:rPr>
          <w:bCs/>
          <w:color w:val="002060"/>
          <w:sz w:val="16"/>
          <w:szCs w:val="16"/>
        </w:rPr>
        <w:t>12 ноября 1915 года первым приказом по заводу было объявле­но о начале его действия.</w:t>
      </w:r>
    </w:p>
    <w:p w14:paraId="38B61A27" w14:textId="77777777" w:rsidR="00B67D7C" w:rsidRPr="00DE096C" w:rsidRDefault="00B67D7C" w:rsidP="00D45A46">
      <w:pPr>
        <w:jc w:val="both"/>
        <w:rPr>
          <w:bCs/>
          <w:color w:val="002060"/>
          <w:sz w:val="16"/>
          <w:szCs w:val="16"/>
        </w:rPr>
      </w:pPr>
      <w:r w:rsidRPr="00DE096C">
        <w:rPr>
          <w:bCs/>
          <w:color w:val="002060"/>
          <w:sz w:val="16"/>
          <w:szCs w:val="16"/>
        </w:rPr>
        <w:t>В 1927 году на заводе начинаются организация новых цехов, которые стали базой для основного производства. Годы первой пятилетки характеризуются большим размахом строительства.</w:t>
      </w:r>
    </w:p>
    <w:p w14:paraId="3D162608" w14:textId="77777777" w:rsidR="00B67D7C" w:rsidRPr="00DE096C" w:rsidRDefault="00B67D7C" w:rsidP="00D45A46">
      <w:pPr>
        <w:jc w:val="both"/>
        <w:rPr>
          <w:bCs/>
          <w:color w:val="002060"/>
          <w:sz w:val="16"/>
          <w:szCs w:val="16"/>
        </w:rPr>
      </w:pPr>
      <w:r w:rsidRPr="00DE096C">
        <w:rPr>
          <w:bCs/>
          <w:color w:val="002060"/>
          <w:sz w:val="16"/>
          <w:szCs w:val="16"/>
        </w:rPr>
        <w:t>В 1930 году введен в эксплуатацию 1-й цех, в 31-м — сернокислотный, в 32-м — третье производство.</w:t>
      </w:r>
    </w:p>
    <w:p w14:paraId="15BDCEE9" w14:textId="77777777" w:rsidR="00B67D7C" w:rsidRPr="00DE096C" w:rsidRDefault="00B67D7C" w:rsidP="00D45A46">
      <w:pPr>
        <w:jc w:val="both"/>
        <w:rPr>
          <w:bCs/>
          <w:color w:val="002060"/>
          <w:sz w:val="16"/>
          <w:szCs w:val="16"/>
        </w:rPr>
      </w:pPr>
      <w:r w:rsidRPr="00DE096C">
        <w:rPr>
          <w:bCs/>
          <w:color w:val="002060"/>
          <w:sz w:val="16"/>
          <w:szCs w:val="16"/>
        </w:rPr>
        <w:t>Строятся вспомогательные службы — железнодорожные пути, склады, электростанция. Южная часть завода приступает к производству основной продукции на базе смонтированных в 1915—1916 годах фаз. А первый выпуск порохов по полному цик­лу осуществлен в феврале 1932 года.</w:t>
      </w:r>
    </w:p>
    <w:p w14:paraId="2DB7777E" w14:textId="77777777" w:rsidR="00B67D7C" w:rsidRPr="00DE096C" w:rsidRDefault="00B67D7C" w:rsidP="00D45A46">
      <w:pPr>
        <w:jc w:val="both"/>
        <w:rPr>
          <w:bCs/>
          <w:color w:val="002060"/>
          <w:sz w:val="16"/>
          <w:szCs w:val="16"/>
        </w:rPr>
      </w:pPr>
      <w:r w:rsidRPr="00DE096C">
        <w:rPr>
          <w:bCs/>
          <w:color w:val="002060"/>
          <w:sz w:val="16"/>
          <w:szCs w:val="16"/>
        </w:rPr>
        <w:t>В апреле 1933 года начато производство целлулоида —триплексного, технического, галантерейного.</w:t>
      </w:r>
    </w:p>
    <w:p w14:paraId="726FF51C" w14:textId="77777777" w:rsidR="00B67D7C" w:rsidRPr="00DE096C" w:rsidRDefault="00B67D7C" w:rsidP="00D45A46">
      <w:pPr>
        <w:jc w:val="both"/>
        <w:rPr>
          <w:bCs/>
          <w:color w:val="002060"/>
          <w:sz w:val="16"/>
          <w:szCs w:val="16"/>
        </w:rPr>
      </w:pPr>
      <w:r w:rsidRPr="00DE096C">
        <w:rPr>
          <w:bCs/>
          <w:color w:val="002060"/>
          <w:sz w:val="16"/>
          <w:szCs w:val="16"/>
        </w:rPr>
        <w:t>Рост объемов производства с 1931 по 1935 год составил более 160%. Темпы развернувшегося строительства и реконструкции завода потребовали от коллектива большой творческой работы, появилась необходимость в квалифицированных кадрах. Эту задачу тоже пришлось решать заводу. Идет подготовка специалистов в ФЗУ. В 1931 году все учебные заведения завода объединены в учебный комбинат, который в 1933 году реорганизуется в отдел подготовки кадров. Его окончили В. Карлинский, Н. Лободанов, В. Пошухонина, И. Дьячков.</w:t>
      </w:r>
    </w:p>
    <w:p w14:paraId="4C1B394B" w14:textId="77777777" w:rsidR="00B67D7C" w:rsidRPr="00DE096C" w:rsidRDefault="00B67D7C" w:rsidP="00D45A46">
      <w:pPr>
        <w:jc w:val="both"/>
        <w:rPr>
          <w:bCs/>
          <w:color w:val="002060"/>
          <w:sz w:val="16"/>
          <w:szCs w:val="16"/>
        </w:rPr>
      </w:pPr>
      <w:r w:rsidRPr="00DE096C">
        <w:rPr>
          <w:bCs/>
          <w:color w:val="002060"/>
          <w:sz w:val="16"/>
          <w:szCs w:val="16"/>
        </w:rPr>
        <w:t>С 1927 по 1935 год начальниками завода были М. Моисеев, Ш. Зайденберг, П. Козловский.</w:t>
      </w:r>
    </w:p>
    <w:p w14:paraId="4B71D17B" w14:textId="77777777" w:rsidR="00B67D7C" w:rsidRPr="00DE096C" w:rsidRDefault="00B67D7C" w:rsidP="00D45A46">
      <w:pPr>
        <w:jc w:val="both"/>
        <w:rPr>
          <w:bCs/>
          <w:color w:val="002060"/>
          <w:sz w:val="16"/>
          <w:szCs w:val="16"/>
        </w:rPr>
      </w:pPr>
      <w:r w:rsidRPr="00DE096C">
        <w:rPr>
          <w:bCs/>
          <w:color w:val="002060"/>
          <w:sz w:val="16"/>
          <w:szCs w:val="16"/>
        </w:rPr>
        <w:t>Приход в Германии к власти фашистов, непрерывно нарастающая угроза войны требовали быстрого развития оборонных отраслей. Основной задачей для коллектива завода в то время было, не снижая объемов текущего производства, создать условия устойчивой и экономичной работы в мобилизационный период, повысить производительность труда. Поэтому вплоть до начала Великой Отечественной войны шла реконструкция отдельных цехов, интенсификация процессов.</w:t>
      </w:r>
    </w:p>
    <w:p w14:paraId="687E305A" w14:textId="77777777" w:rsidR="00B67D7C" w:rsidRPr="00DE096C" w:rsidRDefault="00B67D7C" w:rsidP="00D45A46">
      <w:pPr>
        <w:jc w:val="both"/>
        <w:rPr>
          <w:bCs/>
          <w:color w:val="002060"/>
          <w:sz w:val="16"/>
          <w:szCs w:val="16"/>
        </w:rPr>
      </w:pPr>
      <w:r w:rsidRPr="00DE096C">
        <w:rPr>
          <w:bCs/>
          <w:color w:val="002060"/>
          <w:sz w:val="16"/>
          <w:szCs w:val="16"/>
        </w:rPr>
        <w:t>Увеличиваются выпуск и освоение новых видов боеприпасов, производство которых к началу войны завод удвоил. В результате мероприятий по реконструкции длительность технологических циклов сократилась в 4 раза. Благодаря внедрению рекуперационной техники снизились расходы на производство.</w:t>
      </w:r>
    </w:p>
    <w:p w14:paraId="4C11D046" w14:textId="77777777" w:rsidR="00B67D7C" w:rsidRPr="00DE096C" w:rsidRDefault="00B67D7C" w:rsidP="00D45A46">
      <w:pPr>
        <w:jc w:val="both"/>
        <w:rPr>
          <w:bCs/>
          <w:color w:val="002060"/>
          <w:sz w:val="16"/>
          <w:szCs w:val="16"/>
        </w:rPr>
      </w:pPr>
      <w:r w:rsidRPr="00DE096C">
        <w:rPr>
          <w:bCs/>
          <w:color w:val="002060"/>
          <w:sz w:val="16"/>
          <w:szCs w:val="16"/>
        </w:rPr>
        <w:t>В 1936 году начато производство изделий из целлулоида.</w:t>
      </w:r>
    </w:p>
    <w:p w14:paraId="626FF6A1" w14:textId="77777777" w:rsidR="00B67D7C" w:rsidRPr="00DE096C" w:rsidRDefault="00B67D7C" w:rsidP="00D45A46">
      <w:pPr>
        <w:jc w:val="both"/>
        <w:rPr>
          <w:bCs/>
          <w:color w:val="002060"/>
          <w:sz w:val="16"/>
          <w:szCs w:val="16"/>
        </w:rPr>
      </w:pPr>
      <w:r w:rsidRPr="00DE096C">
        <w:rPr>
          <w:bCs/>
          <w:color w:val="002060"/>
          <w:sz w:val="16"/>
          <w:szCs w:val="16"/>
        </w:rPr>
        <w:t>Численность промышленно-производственного персонала доведена до 8000 человек. Выработка на одного рабочего возросла вдвое. Пример в работе показывают Яковцев, Подледников, Гурова. Они довели выполнение норм выработки до 700 процентов.</w:t>
      </w:r>
    </w:p>
    <w:p w14:paraId="7C555939" w14:textId="77777777" w:rsidR="00B67D7C" w:rsidRPr="00DE096C" w:rsidRDefault="00B67D7C" w:rsidP="00D45A46">
      <w:pPr>
        <w:jc w:val="both"/>
        <w:rPr>
          <w:bCs/>
          <w:color w:val="002060"/>
          <w:sz w:val="16"/>
          <w:szCs w:val="16"/>
        </w:rPr>
      </w:pPr>
      <w:r w:rsidRPr="00DE096C">
        <w:rPr>
          <w:bCs/>
          <w:color w:val="002060"/>
          <w:sz w:val="16"/>
          <w:szCs w:val="16"/>
        </w:rPr>
        <w:t xml:space="preserve">Больших успехов добивается коллектив завода. Задание правительства выполнено по всем показателям. </w:t>
      </w:r>
    </w:p>
    <w:p w14:paraId="714CDEA2" w14:textId="77777777" w:rsidR="00B67D7C" w:rsidRPr="00DE096C" w:rsidRDefault="00B67D7C" w:rsidP="00D45A46">
      <w:pPr>
        <w:jc w:val="both"/>
        <w:rPr>
          <w:bCs/>
          <w:color w:val="002060"/>
          <w:sz w:val="16"/>
          <w:szCs w:val="16"/>
        </w:rPr>
      </w:pPr>
      <w:r w:rsidRPr="00DE096C">
        <w:rPr>
          <w:bCs/>
          <w:color w:val="002060"/>
          <w:sz w:val="16"/>
          <w:szCs w:val="16"/>
        </w:rPr>
        <w:t xml:space="preserve">Указом Президиума Верховного Совета СССР награждены: </w:t>
      </w:r>
    </w:p>
    <w:p w14:paraId="2D05E1AB" w14:textId="77777777" w:rsidR="00B67D7C" w:rsidRPr="00DE096C" w:rsidRDefault="00B67D7C" w:rsidP="00D45A46">
      <w:pPr>
        <w:jc w:val="both"/>
        <w:rPr>
          <w:bCs/>
          <w:color w:val="002060"/>
          <w:sz w:val="16"/>
          <w:szCs w:val="16"/>
        </w:rPr>
      </w:pPr>
      <w:r w:rsidRPr="00DE096C">
        <w:rPr>
          <w:bCs/>
          <w:color w:val="002060"/>
          <w:sz w:val="16"/>
          <w:szCs w:val="16"/>
        </w:rPr>
        <w:t xml:space="preserve">орденом Ленина — Фекла Сергеевна Сергеева, </w:t>
      </w:r>
    </w:p>
    <w:p w14:paraId="55AF177D" w14:textId="77777777" w:rsidR="00B67D7C" w:rsidRPr="00DE096C" w:rsidRDefault="00B67D7C" w:rsidP="00D45A46">
      <w:pPr>
        <w:jc w:val="both"/>
        <w:rPr>
          <w:bCs/>
          <w:color w:val="002060"/>
          <w:sz w:val="16"/>
          <w:szCs w:val="16"/>
        </w:rPr>
      </w:pPr>
      <w:r w:rsidRPr="00DE096C">
        <w:rPr>
          <w:bCs/>
          <w:color w:val="002060"/>
          <w:sz w:val="16"/>
          <w:szCs w:val="16"/>
        </w:rPr>
        <w:t xml:space="preserve">орденами Трудового Красно­го Знамени — А. Абакумов, Г. Балашов, </w:t>
      </w:r>
    </w:p>
    <w:p w14:paraId="3925035B" w14:textId="77777777" w:rsidR="00B67D7C" w:rsidRPr="00DE096C" w:rsidRDefault="00B67D7C" w:rsidP="00D45A46">
      <w:pPr>
        <w:jc w:val="both"/>
        <w:rPr>
          <w:bCs/>
          <w:color w:val="002060"/>
          <w:sz w:val="16"/>
          <w:szCs w:val="16"/>
        </w:rPr>
      </w:pPr>
      <w:r w:rsidRPr="00DE096C">
        <w:rPr>
          <w:bCs/>
          <w:color w:val="002060"/>
          <w:sz w:val="16"/>
          <w:szCs w:val="16"/>
        </w:rPr>
        <w:t xml:space="preserve">орденом Красной Звезды — Е. Лукьянов. </w:t>
      </w:r>
    </w:p>
    <w:p w14:paraId="5BFE97F1" w14:textId="77777777" w:rsidR="00B67D7C" w:rsidRPr="00DE096C" w:rsidRDefault="00B67D7C" w:rsidP="00D45A46">
      <w:pPr>
        <w:jc w:val="both"/>
        <w:rPr>
          <w:bCs/>
          <w:color w:val="002060"/>
          <w:sz w:val="16"/>
          <w:szCs w:val="16"/>
        </w:rPr>
      </w:pPr>
      <w:r w:rsidRPr="00DE096C">
        <w:rPr>
          <w:bCs/>
          <w:color w:val="002060"/>
          <w:sz w:val="16"/>
          <w:szCs w:val="16"/>
        </w:rPr>
        <w:t>Многие заводчане награждены медалями.</w:t>
      </w:r>
    </w:p>
    <w:p w14:paraId="5117E93E" w14:textId="77777777" w:rsidR="00B67D7C" w:rsidRPr="00DE096C" w:rsidRDefault="00B67D7C" w:rsidP="00D45A46">
      <w:pPr>
        <w:jc w:val="both"/>
        <w:rPr>
          <w:bCs/>
          <w:color w:val="002060"/>
          <w:sz w:val="16"/>
          <w:szCs w:val="16"/>
        </w:rPr>
      </w:pPr>
      <w:r w:rsidRPr="00DE096C">
        <w:rPr>
          <w:bCs/>
          <w:color w:val="002060"/>
          <w:sz w:val="16"/>
          <w:szCs w:val="16"/>
        </w:rPr>
        <w:t>Всерьез начинается подготовка собственных кадров. Перед самой войной 20 июня 1941 года на базе завода открывается техникум. Открыто ремесленное училище.</w:t>
      </w:r>
    </w:p>
    <w:p w14:paraId="1D5BD08F" w14:textId="77777777" w:rsidR="00B67D7C" w:rsidRPr="00DE096C" w:rsidRDefault="00B67D7C" w:rsidP="00D45A46">
      <w:pPr>
        <w:jc w:val="both"/>
        <w:rPr>
          <w:bCs/>
          <w:color w:val="002060"/>
          <w:sz w:val="16"/>
          <w:szCs w:val="16"/>
        </w:rPr>
      </w:pPr>
      <w:r w:rsidRPr="00DE096C">
        <w:rPr>
          <w:bCs/>
          <w:color w:val="002060"/>
          <w:sz w:val="16"/>
          <w:szCs w:val="16"/>
        </w:rPr>
        <w:lastRenderedPageBreak/>
        <w:t>Улучшились экономические показатели работы завода. Перестает расти себестоимость продукции, с 1936 по 1940 год получена прибыль более 5 миллионов рублей.</w:t>
      </w:r>
    </w:p>
    <w:p w14:paraId="665CBA0A" w14:textId="77777777" w:rsidR="00B67D7C" w:rsidRPr="00DE096C" w:rsidRDefault="00B67D7C" w:rsidP="00D45A46">
      <w:pPr>
        <w:jc w:val="both"/>
        <w:rPr>
          <w:bCs/>
          <w:color w:val="002060"/>
          <w:sz w:val="16"/>
          <w:szCs w:val="16"/>
        </w:rPr>
      </w:pPr>
      <w:r w:rsidRPr="00DE096C">
        <w:rPr>
          <w:bCs/>
          <w:color w:val="002060"/>
          <w:sz w:val="16"/>
          <w:szCs w:val="16"/>
        </w:rPr>
        <w:t>К концу тридцатых годов площадь жилья поселка, который 16 апреля 1940 года становится городом Котовском, увеличивается в 10 раз. Население — более 16 тысяч человек.</w:t>
      </w:r>
    </w:p>
    <w:p w14:paraId="0E5A0566" w14:textId="77777777" w:rsidR="00B67D7C" w:rsidRPr="00DE096C" w:rsidRDefault="00B67D7C" w:rsidP="00D45A46">
      <w:pPr>
        <w:jc w:val="both"/>
        <w:rPr>
          <w:bCs/>
          <w:color w:val="002060"/>
          <w:sz w:val="16"/>
          <w:szCs w:val="16"/>
        </w:rPr>
      </w:pPr>
      <w:r w:rsidRPr="00DE096C">
        <w:rPr>
          <w:bCs/>
          <w:color w:val="002060"/>
          <w:sz w:val="16"/>
          <w:szCs w:val="16"/>
        </w:rPr>
        <w:t>Начальники завода в то время — Н. Семенов и М. Дынкин (11831).</w:t>
      </w:r>
    </w:p>
    <w:p w14:paraId="2E8DE5E2" w14:textId="77777777" w:rsidR="00B67D7C" w:rsidRPr="00DE096C" w:rsidRDefault="00B67D7C" w:rsidP="00D45A46">
      <w:pPr>
        <w:pStyle w:val="a3"/>
        <w:jc w:val="both"/>
        <w:rPr>
          <w:bCs/>
          <w:i w:val="0"/>
          <w:color w:val="002060"/>
          <w:spacing w:val="0"/>
          <w:kern w:val="0"/>
          <w:position w:val="0"/>
          <w:sz w:val="16"/>
          <w:szCs w:val="16"/>
        </w:rPr>
      </w:pPr>
    </w:p>
    <w:p w14:paraId="14B8E20D"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В 1914 г, Обуховскому заводу и одновременно фирме &lt;Виккерс&gt; для вооружения линкоров новых проектов было заказано проектирование и исполнение опытных морских орудий 406/45-мм. &lt;Виккерс&gt; собственно и должен был выполнить и сами броненосцы проекта В.П. Костенко с наиболее мощной для того времени артиллерией 406-мм калибра на заводах &lt;Наваль&gt; Царицынской группы заводов. И конечно выполнил бы. Но России никогда не было суждено иметь супердредноуты. Заказанное 406-мм орудие (а также 356 мм орудия) &lt;Виккерс&gt; естественно выполнил точно и в срок, а Обуховский завод заказ не выполнил. А.Б. Широкорад пишет, что в связи с Октябрьской революцией большевиков &lt;Виккерс&gt; реквизировала выполненный заказ. Это не так. &lt;Виккерс&gt; лишившийся в результате ограбления в России своего имущества просто не послало дорогостоящие орудия грабителям из России.</w:t>
      </w:r>
    </w:p>
    <w:p w14:paraId="13C4C320"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Однако неоднократно дублированная на заводах смежниках и в морском министерстве деловая документация &lt;Виккерс&gt; так же как вся техническая документация и ноу-хау патентов на орудия всех больших калибров осталась в России в том числе и на 406-мм орудия. Английские пушки собственно и послужили основой для разработки 406/50-мм орудий Б-37 изготовленных &lt;Баррикадами&gt; в 1937-1939 гг.</w:t>
      </w:r>
    </w:p>
    <w:p w14:paraId="7E7E5127"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Как и старинные уже английские пушки новые советские орудия Б-З7 имели сходное устройство ствола и двухступенчатый поршневой затвор с английским типом 3-х ступенчатой нарезки. После большевистской революции действуя по законам капитализма уже в начале 1920-х годов &lt;Виккерс&gt; прошает большевикам все обиды и в погоне за возможной новой прибылью принимает участие уже в процессе индустриализации СССР (11448).</w:t>
      </w:r>
    </w:p>
    <w:p w14:paraId="4EFC3DA7" w14:textId="77777777" w:rsidR="00B67D7C" w:rsidRPr="00DE096C" w:rsidRDefault="00B67D7C" w:rsidP="00D45A46">
      <w:pPr>
        <w:pStyle w:val="a3"/>
        <w:jc w:val="both"/>
        <w:rPr>
          <w:bCs/>
          <w:i w:val="0"/>
          <w:color w:val="002060"/>
          <w:spacing w:val="0"/>
          <w:kern w:val="0"/>
          <w:position w:val="0"/>
          <w:sz w:val="16"/>
          <w:szCs w:val="16"/>
        </w:rPr>
      </w:pPr>
    </w:p>
    <w:p w14:paraId="57AA8CB9" w14:textId="0DC1E6B9" w:rsidR="00B67D7C" w:rsidRPr="00DE096C" w:rsidRDefault="004F1362"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1914 г. при техническом руководстве английской фирмы "</w:t>
      </w:r>
      <w:r w:rsidR="00B67D7C" w:rsidRPr="00DE096C">
        <w:rPr>
          <w:bCs/>
          <w:color w:val="002060"/>
          <w:sz w:val="16"/>
          <w:szCs w:val="16"/>
          <w:lang w:val="en-US"/>
        </w:rPr>
        <w:t>Vickers</w:t>
      </w:r>
      <w:r w:rsidR="00B67D7C" w:rsidRPr="00DE096C">
        <w:rPr>
          <w:bCs/>
          <w:color w:val="002060"/>
          <w:sz w:val="16"/>
          <w:szCs w:val="16"/>
        </w:rPr>
        <w:t>" для производства крупнокалиберных пушек</w:t>
      </w:r>
      <w:r w:rsidRPr="00DE096C">
        <w:rPr>
          <w:bCs/>
          <w:color w:val="002060"/>
          <w:sz w:val="16"/>
          <w:szCs w:val="16"/>
        </w:rPr>
        <w:t xml:space="preserve"> был создан Царицынский орудийный завод</w:t>
      </w:r>
      <w:r w:rsidR="00B67D7C" w:rsidRPr="00DE096C">
        <w:rPr>
          <w:bCs/>
          <w:color w:val="002060"/>
          <w:sz w:val="16"/>
          <w:szCs w:val="16"/>
        </w:rPr>
        <w:t>.</w:t>
      </w:r>
      <w:r w:rsidRPr="00DE096C">
        <w:rPr>
          <w:bCs/>
          <w:color w:val="002060"/>
          <w:sz w:val="16"/>
          <w:szCs w:val="16"/>
        </w:rPr>
        <w:t xml:space="preserve"> (Завод № 221 НКОП, </w:t>
      </w:r>
      <w:r w:rsidRPr="00DE096C">
        <w:rPr>
          <w:bCs/>
          <w:color w:val="002060"/>
          <w:sz w:val="16"/>
          <w:szCs w:val="16"/>
          <w:lang w:val="en-US"/>
        </w:rPr>
        <w:t>HKB</w:t>
      </w:r>
      <w:r w:rsidRPr="00DE096C">
        <w:rPr>
          <w:bCs/>
          <w:color w:val="002060"/>
          <w:sz w:val="16"/>
          <w:szCs w:val="16"/>
        </w:rPr>
        <w:t>, МОП , Царицынский орудийный завод, Сталинградский орудийный завод ВСНХ, ГС завод «Баррикады» ВСНХ, НКТП, НКОП, п/я 113, ПО «Баррикады» Сталинградского СНХ, ГП, ФГУП «ПО «Баррикады» /г. Царицын, Сталинград п/я 113 «Баррикады» (1937 г.)/ /400071</w:t>
      </w:r>
      <w:r w:rsidR="0006581C">
        <w:rPr>
          <w:bCs/>
          <w:color w:val="002060"/>
          <w:sz w:val="16"/>
          <w:szCs w:val="16"/>
        </w:rPr>
        <w:t xml:space="preserve"> </w:t>
      </w:r>
      <w:r w:rsidRPr="00DE096C">
        <w:rPr>
          <w:bCs/>
          <w:color w:val="002060"/>
          <w:sz w:val="16"/>
          <w:szCs w:val="16"/>
        </w:rPr>
        <w:t>г. Волгоград пр. Ленина тел. 78-19-00, 75-85-16/)</w:t>
      </w:r>
    </w:p>
    <w:p w14:paraId="44E58992" w14:textId="77777777" w:rsidR="00B67D7C" w:rsidRPr="00DE096C" w:rsidRDefault="00B67D7C" w:rsidP="00D45A46">
      <w:pPr>
        <w:jc w:val="both"/>
        <w:rPr>
          <w:bCs/>
          <w:color w:val="002060"/>
          <w:sz w:val="16"/>
          <w:szCs w:val="16"/>
        </w:rPr>
      </w:pPr>
      <w:r w:rsidRPr="00DE096C">
        <w:rPr>
          <w:bCs/>
          <w:color w:val="002060"/>
          <w:sz w:val="16"/>
          <w:szCs w:val="16"/>
        </w:rPr>
        <w:t>В 1924 г. завод временно находился в ведении ГУВП ВСНХ, затем - в металлургическом объединении ВСНХ. В соответствии с пост. СНК от 27.04.1926 г. по пр. ВСНХ/НКВМ/ОГПУ № 73сс от 9.07.1927 г. Сталинградский орудийный завод с 1.10.1927 г. переименован в завод «Баррикады» в ведении Орударса ВПУ ВСНХ.</w:t>
      </w:r>
      <w:r w:rsidRPr="00DE096C">
        <w:rPr>
          <w:bCs/>
          <w:color w:val="002060"/>
          <w:sz w:val="16"/>
          <w:szCs w:val="16"/>
          <w:vertAlign w:val="superscript"/>
        </w:rPr>
        <w:t>133</w:t>
      </w:r>
      <w:r w:rsidRPr="00DE096C">
        <w:rPr>
          <w:bCs/>
          <w:color w:val="002060"/>
          <w:sz w:val="16"/>
          <w:szCs w:val="16"/>
        </w:rPr>
        <w:t xml:space="preserve"> В 1934 г. из ведения Орударса переподчинен непосредственно ГВМУ НКТП. В 1936 г. вошел в состав ГУВП НКТП." В 02.1937 г. - в ведении ЗГУ НКОП. Приказом НКОП № 100 от 16.03.1937 г. утвержден Устав ГС завода «Баррикады». По пр. № 81сс от 11.03.1938 г. переименован в завод № 221. В 02.1939 г. завод № 221 ЗГУ передан .. ведение ЗГУ НКВ.</w:t>
      </w:r>
    </w:p>
    <w:p w14:paraId="34DB8340" w14:textId="77777777" w:rsidR="00B67D7C" w:rsidRPr="00DE096C" w:rsidRDefault="00B67D7C" w:rsidP="00D45A46">
      <w:pPr>
        <w:jc w:val="both"/>
        <w:rPr>
          <w:bCs/>
          <w:color w:val="002060"/>
          <w:sz w:val="16"/>
          <w:szCs w:val="16"/>
        </w:rPr>
      </w:pPr>
      <w:r w:rsidRPr="00DE096C">
        <w:rPr>
          <w:bCs/>
          <w:color w:val="002060"/>
          <w:sz w:val="16"/>
          <w:szCs w:val="16"/>
        </w:rPr>
        <w:t>С 1935 г. завод - основной производитель морских и сухопутных артиллерийских систем крупного калибра. В эти же годы налажен выпуск паровых экскаваторов, нефтекачалок, роторных валов для электростанций. Перед войной построена новая 100-тонная мартеновская печь.</w:t>
      </w:r>
    </w:p>
    <w:p w14:paraId="64470697" w14:textId="77777777" w:rsidR="00B67D7C" w:rsidRPr="00DE096C" w:rsidRDefault="00B67D7C" w:rsidP="00D45A46">
      <w:pPr>
        <w:jc w:val="both"/>
        <w:rPr>
          <w:bCs/>
          <w:color w:val="002060"/>
          <w:sz w:val="16"/>
          <w:szCs w:val="16"/>
        </w:rPr>
      </w:pPr>
      <w:r w:rsidRPr="00DE096C">
        <w:rPr>
          <w:bCs/>
          <w:color w:val="002060"/>
          <w:sz w:val="16"/>
          <w:szCs w:val="16"/>
        </w:rPr>
        <w:t>Производство (1936 г.): А-19 - 101, Б-4 (качающаяся часть) - 2, БР-2 - 14, БР-5 - 1; перестволение: Ш - 1, СПД - 2, СТ - 3, СД - 5; резервуары Т-18 - 109, Д-4 - 199; донья Т-18 - 282, Д-4 - 710.</w:t>
      </w:r>
    </w:p>
    <w:p w14:paraId="13D4AE9E" w14:textId="77777777" w:rsidR="00B67D7C" w:rsidRPr="00DE096C" w:rsidRDefault="00B67D7C" w:rsidP="00D45A46">
      <w:pPr>
        <w:jc w:val="both"/>
        <w:rPr>
          <w:bCs/>
          <w:color w:val="002060"/>
          <w:sz w:val="16"/>
          <w:szCs w:val="16"/>
        </w:rPr>
      </w:pPr>
      <w:r w:rsidRPr="00DE096C">
        <w:rPr>
          <w:bCs/>
          <w:color w:val="002060"/>
          <w:sz w:val="16"/>
          <w:szCs w:val="16"/>
        </w:rPr>
        <w:t>Производственная программа на 1937 г.: пушки: А-19 - 128 (сдано 80), Б-4 - 50 (5 без ходовой части), БР-2 - 30 (9), БР-5 - 8 (-); ствол с затвором: ТПШ - 2 (2), Б-1-П - 1 (1); береговая установка Б-13 - 16 (8), перестволение: Ш - 6 (6), СПД - 15 (15), СТ - 15 (15), СД - 10 (10); резервуары: Т-18 - 100 (37), Д-4 - 365 (228); донья Т-18 - 300 (181), Д-4 - 1095 (599); трубы К-20 - 1750 (787), лейнеры 3-К - 750 (542); поковки валов и турбин; колонны Фаузера, предкатализа, конденсационные; сепараторы, роторы, фильтры. В начале 1937 г. заводу было поручено к 1.04.1937 г.</w:t>
      </w:r>
      <w:r w:rsidRPr="00DE096C">
        <w:rPr>
          <w:bCs/>
          <w:color w:val="002060"/>
          <w:sz w:val="16"/>
          <w:szCs w:val="16"/>
        </w:rPr>
        <w:tab/>
        <w:t>изготовить 35 стволов для ДРП Кондакова ГК-37.</w:t>
      </w:r>
    </w:p>
    <w:p w14:paraId="613B9C1E" w14:textId="77777777" w:rsidR="00B67D7C" w:rsidRPr="00DE096C" w:rsidRDefault="00B67D7C" w:rsidP="00D45A46">
      <w:pPr>
        <w:jc w:val="both"/>
        <w:rPr>
          <w:bCs/>
          <w:color w:val="002060"/>
          <w:sz w:val="16"/>
          <w:szCs w:val="16"/>
        </w:rPr>
      </w:pPr>
      <w:r w:rsidRPr="00DE096C">
        <w:rPr>
          <w:bCs/>
          <w:color w:val="002060"/>
          <w:sz w:val="16"/>
          <w:szCs w:val="16"/>
        </w:rPr>
        <w:t>Приказом № 0031 от 8.02.1937 г. заводу предписано создать к 1.01.1938 г. мощности по выпуску: пушек: 122- мм корпусной А-19 - 280 шт. в год, 152-мм БР-2 - 75 шт.; гаубиц: 203-мм Б-4 - 100 шт., 203-мм самоходной (качающихся частей) - 12 шт. (пр. № 335сс от 21.08.1938 г. она снята с производства). Пост. СТО № 17сс от 11.02.1937 г.</w:t>
      </w:r>
      <w:r w:rsidRPr="00DE096C">
        <w:rPr>
          <w:bCs/>
          <w:color w:val="002060"/>
          <w:sz w:val="16"/>
          <w:szCs w:val="16"/>
        </w:rPr>
        <w:tab/>
        <w:t>и пр. № 040 завод переведен на выпуск гаубицы Б-4 и пушки БР-2. Во исполнение постановления СТО № 61сс от 23.03.1937 г. приказом № 0067 от 31.03.1937 г. заводу поручено обеспечить выполнение проектно- конструкторских работ и изготовления опытных образцов морской артиллерии. Приказом № 00102 от 8.05.1937 г. предписывалось к 1.01.1938 г. создать мощности по выпуску 152 Б-4 в год. Этим же приказом завод был обязан в 1937 г.: расширить: здание нового термического и фасонно-литейного цеха; ввести в эксплуатацию новый прессоштамповый цех резервуаров для торпед, 40-тонную мартеновскую печь; дооборудовать цеха: большой орудийный, замочно-прицельный; начать создание экспериментального цеха. По пр. № 0278 от 20/21.12.1037 г. производство пушек А-19 и Б-4 переведено на поточную сборку (без конвейера); этим же приказом было предписано организовать на заводе экспериментальный цех. «В связи с неудовлетворительными темпами работ» 13/20.01.1938 г. вышел приказ № Юс провести обследование реконструкции завода. По пр. № 48с от 8.02.1938 г. было необходимо построить в 1938 г. новый инструментальный цех. По пр. ЗГУ № 143 от 5.08.1938 г. на заводе на базе ОКСа создано УКС и введена должность начальника УКС/зам. директора по капстроительству.</w:t>
      </w:r>
    </w:p>
    <w:p w14:paraId="46E117FE" w14:textId="77777777" w:rsidR="00B67D7C" w:rsidRPr="00DE096C" w:rsidRDefault="00B67D7C" w:rsidP="00D45A46">
      <w:pPr>
        <w:jc w:val="both"/>
        <w:rPr>
          <w:bCs/>
          <w:color w:val="002060"/>
          <w:sz w:val="16"/>
          <w:szCs w:val="16"/>
        </w:rPr>
      </w:pPr>
      <w:r w:rsidRPr="00DE096C">
        <w:rPr>
          <w:bCs/>
          <w:color w:val="002060"/>
          <w:sz w:val="16"/>
          <w:szCs w:val="16"/>
        </w:rPr>
        <w:t>В соответствии с решением правительства № 76сс от 8.05.1938 г. и пр. № 167сс от 17.05.1938 г. на заводе организовано СКБ для внедрения в производство 210-мм пушки и 305-мм гаубицы фирмы «Шкода»; заводу предписано изготовить 1-е серии пушки и гаубицы по 6 шт.</w:t>
      </w:r>
    </w:p>
    <w:p w14:paraId="44625718" w14:textId="77777777" w:rsidR="00B67D7C" w:rsidRPr="00DE096C" w:rsidRDefault="00B67D7C" w:rsidP="00D45A46">
      <w:pPr>
        <w:jc w:val="both"/>
        <w:rPr>
          <w:bCs/>
          <w:color w:val="002060"/>
          <w:sz w:val="16"/>
          <w:szCs w:val="16"/>
        </w:rPr>
      </w:pPr>
      <w:r w:rsidRPr="00DE096C">
        <w:rPr>
          <w:bCs/>
          <w:color w:val="002060"/>
          <w:sz w:val="16"/>
          <w:szCs w:val="16"/>
        </w:rPr>
        <w:t>Приказом № 248сс от 14/15.07.1938 г. заводу поручено изготовить к 1.09.1938 г. вентиляторы для аэродинамических труб Т-101 и Т-104 ЦАГИ.</w:t>
      </w:r>
    </w:p>
    <w:p w14:paraId="0BB41C2C" w14:textId="0579EDCE" w:rsidR="00B67D7C" w:rsidRPr="00DE096C" w:rsidRDefault="00B67D7C" w:rsidP="00D45A46">
      <w:pPr>
        <w:jc w:val="both"/>
        <w:rPr>
          <w:bCs/>
          <w:color w:val="002060"/>
          <w:sz w:val="16"/>
          <w:szCs w:val="16"/>
        </w:rPr>
      </w:pPr>
      <w:r w:rsidRPr="00DE096C">
        <w:rPr>
          <w:bCs/>
          <w:color w:val="002060"/>
          <w:sz w:val="16"/>
          <w:szCs w:val="16"/>
        </w:rPr>
        <w:t>После начала войны сюда эвакуирована часть завода № 232 НКВ. 11.11.1941 г. вышло постановление ГКО № 888 о подготовке эвакуации завода. В соответствии с распоряжением ГКО № 901 от 15.11.1941 г. на завод с завода № 264 передана часть станков для увеличения производства артиллерии и минометов. Сюда также была передана часть оборудования с ХТЗ, 29.12.1941 г. вышло постановление ГКО № 1084 об уменьшении количества передаваемых станков. 1.02.1942 г. вышло постановление ГКО № 1226 о передаче оборудования эвакуированного завода № 352 НКВ заводу № 221. 16.02.1942 г. вышло постановление ГКО № 1301 об отмене постановления № 888 о частичной эвакуации завода, но затем в 1942 г. завод № 221 НКВ эвакуирован в</w:t>
      </w:r>
      <w:r w:rsidR="0006581C">
        <w:rPr>
          <w:bCs/>
          <w:color w:val="002060"/>
          <w:sz w:val="16"/>
          <w:szCs w:val="16"/>
        </w:rPr>
        <w:t xml:space="preserve"> </w:t>
      </w:r>
      <w:r w:rsidRPr="00DE096C">
        <w:rPr>
          <w:bCs/>
          <w:color w:val="002060"/>
          <w:sz w:val="16"/>
          <w:szCs w:val="16"/>
        </w:rPr>
        <w:t>г. Юргу Кемеровской обл. 3.06.1942 г. вышло постановление ГКО № 1843 об увеличении выпуска на заводе пушек УСВ.</w:t>
      </w:r>
    </w:p>
    <w:p w14:paraId="17A97F68" w14:textId="77777777" w:rsidR="00B67D7C" w:rsidRPr="00DE096C" w:rsidRDefault="00B67D7C" w:rsidP="00D45A46">
      <w:pPr>
        <w:jc w:val="both"/>
        <w:rPr>
          <w:bCs/>
          <w:color w:val="002060"/>
          <w:sz w:val="16"/>
          <w:szCs w:val="16"/>
        </w:rPr>
      </w:pPr>
      <w:r w:rsidRPr="00DE096C">
        <w:rPr>
          <w:bCs/>
          <w:color w:val="002060"/>
          <w:sz w:val="16"/>
          <w:szCs w:val="16"/>
        </w:rPr>
        <w:t>Завод имел свой артиллерийский полигон (1942 г.).</w:t>
      </w:r>
    </w:p>
    <w:p w14:paraId="5C896DD4" w14:textId="77777777" w:rsidR="00B67D7C" w:rsidRPr="00DE096C" w:rsidRDefault="00B67D7C" w:rsidP="00D45A46">
      <w:pPr>
        <w:jc w:val="both"/>
        <w:rPr>
          <w:bCs/>
          <w:color w:val="002060"/>
          <w:sz w:val="16"/>
          <w:szCs w:val="16"/>
        </w:rPr>
      </w:pPr>
      <w:r w:rsidRPr="00DE096C">
        <w:rPr>
          <w:bCs/>
          <w:color w:val="002060"/>
          <w:sz w:val="16"/>
          <w:szCs w:val="16"/>
        </w:rPr>
        <w:t>В соответствии с пост. ГКО № 3582 от 15.06.1943 г. начато восстановление завода на прежнем месте. 27.12.1944 г. вышло постановление ГКО № 7213 о мероприятиях по оказанию помощи заводу.</w:t>
      </w:r>
    </w:p>
    <w:p w14:paraId="1F474EEF" w14:textId="77777777" w:rsidR="00B67D7C" w:rsidRPr="00DE096C" w:rsidRDefault="00B67D7C" w:rsidP="00D45A46">
      <w:pPr>
        <w:jc w:val="both"/>
        <w:rPr>
          <w:bCs/>
          <w:color w:val="002060"/>
          <w:sz w:val="16"/>
          <w:szCs w:val="16"/>
        </w:rPr>
      </w:pPr>
      <w:r w:rsidRPr="00DE096C">
        <w:rPr>
          <w:bCs/>
          <w:color w:val="002060"/>
          <w:sz w:val="16"/>
          <w:szCs w:val="16"/>
        </w:rPr>
        <w:t>В соответствии с пост. ГКО № 7849 от 16.03.1945 г. начато серийное производство морской артустановки МУ-1.</w:t>
      </w:r>
    </w:p>
    <w:p w14:paraId="0DABF667" w14:textId="77777777" w:rsidR="00B67D7C" w:rsidRPr="00DE096C" w:rsidRDefault="00B67D7C" w:rsidP="00D45A46">
      <w:pPr>
        <w:jc w:val="both"/>
        <w:rPr>
          <w:bCs/>
          <w:color w:val="002060"/>
          <w:sz w:val="16"/>
          <w:szCs w:val="16"/>
        </w:rPr>
      </w:pPr>
      <w:r w:rsidRPr="00DE096C">
        <w:rPr>
          <w:bCs/>
          <w:color w:val="002060"/>
          <w:sz w:val="16"/>
          <w:szCs w:val="16"/>
        </w:rPr>
        <w:t>В 1944 г. завод № 221 - в ведении НКВ, в 1953 г. - МОП. Имел наименование «п/я 113» (1937-53 г.).</w:t>
      </w:r>
    </w:p>
    <w:p w14:paraId="19187D26" w14:textId="13CBBF11" w:rsidR="00B67D7C" w:rsidRPr="00DE096C" w:rsidRDefault="00B67D7C" w:rsidP="00D45A46">
      <w:pPr>
        <w:jc w:val="both"/>
        <w:rPr>
          <w:bCs/>
          <w:color w:val="002060"/>
          <w:sz w:val="16"/>
          <w:szCs w:val="16"/>
        </w:rPr>
      </w:pPr>
      <w:r w:rsidRPr="00DE096C">
        <w:rPr>
          <w:bCs/>
          <w:color w:val="002060"/>
          <w:sz w:val="16"/>
          <w:szCs w:val="16"/>
        </w:rPr>
        <w:t>В начале 1950-х</w:t>
      </w:r>
      <w:r w:rsidR="0006581C">
        <w:rPr>
          <w:bCs/>
          <w:color w:val="002060"/>
          <w:sz w:val="16"/>
          <w:szCs w:val="16"/>
        </w:rPr>
        <w:t xml:space="preserve"> </w:t>
      </w:r>
      <w:r w:rsidRPr="00DE096C">
        <w:rPr>
          <w:bCs/>
          <w:color w:val="002060"/>
          <w:sz w:val="16"/>
          <w:szCs w:val="16"/>
        </w:rPr>
        <w:t>г. разработаны и изготовлены винтовые насосы объемного действия для транспортирования ртути для завода № 12.</w:t>
      </w:r>
    </w:p>
    <w:p w14:paraId="5B85E954" w14:textId="77777777" w:rsidR="00B67D7C" w:rsidRPr="00DE096C" w:rsidRDefault="00B67D7C" w:rsidP="00D45A46">
      <w:pPr>
        <w:jc w:val="both"/>
        <w:rPr>
          <w:bCs/>
          <w:color w:val="002060"/>
          <w:sz w:val="16"/>
          <w:szCs w:val="16"/>
        </w:rPr>
      </w:pPr>
      <w:r w:rsidRPr="00DE096C">
        <w:rPr>
          <w:bCs/>
          <w:color w:val="002060"/>
          <w:sz w:val="16"/>
          <w:szCs w:val="16"/>
        </w:rPr>
        <w:t>В 1991 г. начата подготовка к производству ПУ доя РК «Курьер».</w:t>
      </w:r>
    </w:p>
    <w:p w14:paraId="3B552324" w14:textId="77777777" w:rsidR="00B67D7C" w:rsidRPr="00DE096C" w:rsidRDefault="00B67D7C" w:rsidP="00D45A46">
      <w:pPr>
        <w:jc w:val="both"/>
        <w:rPr>
          <w:bCs/>
          <w:color w:val="002060"/>
          <w:sz w:val="16"/>
          <w:szCs w:val="16"/>
        </w:rPr>
      </w:pPr>
      <w:r w:rsidRPr="00DE096C">
        <w:rPr>
          <w:bCs/>
          <w:color w:val="002060"/>
          <w:sz w:val="16"/>
          <w:szCs w:val="16"/>
        </w:rPr>
        <w:t>Производство (2002 г.): мобильных артиллерийских и ракетных систем; ядерных силовых установок; турбогенераторов. Работы (2005 г.): подготовка к производству мобильного БРК «Тополь-М», освоение выпуска ОТРК «Искандер»; организация производства прогрессивных ствольных заготовок.</w:t>
      </w:r>
    </w:p>
    <w:p w14:paraId="4C31FDEF" w14:textId="77777777" w:rsidR="00B67D7C" w:rsidRPr="00DE096C" w:rsidRDefault="00B67D7C" w:rsidP="00D45A46">
      <w:pPr>
        <w:jc w:val="both"/>
        <w:rPr>
          <w:bCs/>
          <w:color w:val="002060"/>
          <w:sz w:val="16"/>
          <w:szCs w:val="16"/>
        </w:rPr>
      </w:pPr>
      <w:r w:rsidRPr="00DE096C">
        <w:rPr>
          <w:bCs/>
          <w:color w:val="002060"/>
          <w:sz w:val="16"/>
          <w:szCs w:val="16"/>
        </w:rPr>
        <w:t>По Указу Президента РФ № 1009 от 4.08.2004 г. вошло в число стратегических оборонных предприятий. В 2006 г. предотвращено банкротство предприятия, оно было продано. По указу № 526 от 11.05.2009 г. предприятие исключено из перечня стратегических.</w:t>
      </w:r>
    </w:p>
    <w:p w14:paraId="34E79C35" w14:textId="77777777" w:rsidR="00B67D7C" w:rsidRPr="00DE096C" w:rsidRDefault="00B67D7C" w:rsidP="00D45A46">
      <w:pPr>
        <w:jc w:val="both"/>
        <w:rPr>
          <w:bCs/>
          <w:color w:val="002060"/>
          <w:sz w:val="16"/>
          <w:szCs w:val="16"/>
        </w:rPr>
      </w:pPr>
      <w:r w:rsidRPr="00DE096C">
        <w:rPr>
          <w:bCs/>
          <w:color w:val="002060"/>
          <w:sz w:val="16"/>
          <w:szCs w:val="16"/>
        </w:rPr>
        <w:t>Имело собственное металлургическое производство, которое в 2007 г. дложно было войти в холдинг «Русспецсталь». В рамках конверсии создан производственный комплекс площадью 9 тыс. м</w:t>
      </w:r>
      <w:r w:rsidRPr="00DE096C">
        <w:rPr>
          <w:bCs/>
          <w:color w:val="002060"/>
          <w:sz w:val="16"/>
          <w:szCs w:val="16"/>
          <w:vertAlign w:val="superscript"/>
        </w:rPr>
        <w:t>2</w:t>
      </w:r>
      <w:r w:rsidRPr="00DE096C">
        <w:rPr>
          <w:bCs/>
          <w:color w:val="002060"/>
          <w:sz w:val="16"/>
          <w:szCs w:val="16"/>
        </w:rPr>
        <w:t xml:space="preserve"> по выпуску крупногабаритных модульных металлоконструкций.</w:t>
      </w:r>
    </w:p>
    <w:p w14:paraId="346063B0" w14:textId="77777777" w:rsidR="00B67D7C" w:rsidRPr="00DE096C" w:rsidRDefault="00B67D7C" w:rsidP="00D45A46">
      <w:pPr>
        <w:jc w:val="both"/>
        <w:rPr>
          <w:bCs/>
          <w:color w:val="002060"/>
          <w:sz w:val="16"/>
          <w:szCs w:val="16"/>
        </w:rPr>
      </w:pPr>
      <w:r w:rsidRPr="00DE096C">
        <w:rPr>
          <w:bCs/>
          <w:color w:val="002060"/>
          <w:sz w:val="16"/>
          <w:szCs w:val="16"/>
        </w:rPr>
        <w:t>Численность персонала (1936 г.)- 11267 чел., (1937 г.)- 12504 чел.</w:t>
      </w:r>
      <w:r w:rsidRPr="00DE096C">
        <w:rPr>
          <w:bCs/>
          <w:color w:val="002060"/>
          <w:sz w:val="16"/>
          <w:szCs w:val="16"/>
          <w:vertAlign w:val="superscript"/>
        </w:rPr>
        <w:t>145</w:t>
      </w:r>
    </w:p>
    <w:p w14:paraId="70DD26E2" w14:textId="2D3918FE" w:rsidR="00B67D7C" w:rsidRPr="00DE096C" w:rsidRDefault="00B67D7C" w:rsidP="00D45A46">
      <w:pPr>
        <w:jc w:val="both"/>
        <w:rPr>
          <w:bCs/>
          <w:color w:val="002060"/>
          <w:sz w:val="16"/>
          <w:szCs w:val="16"/>
        </w:rPr>
      </w:pPr>
      <w:r w:rsidRPr="00DE096C">
        <w:rPr>
          <w:bCs/>
          <w:color w:val="002060"/>
          <w:sz w:val="16"/>
          <w:szCs w:val="16"/>
        </w:rPr>
        <w:t>Директор (-02-23.07.1937 г.)- Д.Ф. Будняк (снят); и.о. (23.07-29.08.1937 г.)-</w:t>
      </w:r>
      <w:r w:rsidR="0006581C">
        <w:rPr>
          <w:bCs/>
          <w:color w:val="002060"/>
          <w:sz w:val="16"/>
          <w:szCs w:val="16"/>
        </w:rPr>
        <w:t xml:space="preserve"> </w:t>
      </w:r>
      <w:r w:rsidRPr="00DE096C">
        <w:rPr>
          <w:bCs/>
          <w:color w:val="002060"/>
          <w:sz w:val="16"/>
          <w:szCs w:val="16"/>
        </w:rPr>
        <w:t>Г. Г. Слободчиков; (29.08.1937- 17.12.1938 г.)- П.В. Быстров, (17.12.1938-42 г.-&gt; Л.Р. Гонор. Управляющий (2002 г.)- Н.И. Аксенов. Гендиректор (2000-е)- Е.А. Майданов, Ю. Валов (осужден).</w:t>
      </w:r>
    </w:p>
    <w:p w14:paraId="6F29A509" w14:textId="77777777" w:rsidR="00B67D7C" w:rsidRPr="00DE096C" w:rsidRDefault="00B67D7C" w:rsidP="00D45A46">
      <w:pPr>
        <w:jc w:val="both"/>
        <w:rPr>
          <w:bCs/>
          <w:color w:val="002060"/>
          <w:sz w:val="16"/>
          <w:szCs w:val="16"/>
        </w:rPr>
      </w:pPr>
      <w:r w:rsidRPr="00DE096C">
        <w:rPr>
          <w:bCs/>
          <w:color w:val="002060"/>
          <w:sz w:val="16"/>
          <w:szCs w:val="16"/>
        </w:rPr>
        <w:t>1-й зам. гендиректора (2000-е)- А.И. Патер. Зам. директора, гендиректора (3.11.1937 г.-)- П.Ф. Цуриков, (2009 г.)- Ю. Горбатков.</w:t>
      </w:r>
    </w:p>
    <w:p w14:paraId="2BAD2AB4" w14:textId="77777777" w:rsidR="00B67D7C" w:rsidRPr="00DE096C" w:rsidRDefault="00B67D7C" w:rsidP="00D45A46">
      <w:pPr>
        <w:jc w:val="both"/>
        <w:rPr>
          <w:bCs/>
          <w:color w:val="002060"/>
          <w:sz w:val="16"/>
          <w:szCs w:val="16"/>
        </w:rPr>
      </w:pPr>
      <w:r w:rsidRPr="00DE096C">
        <w:rPr>
          <w:bCs/>
          <w:color w:val="002060"/>
          <w:sz w:val="16"/>
          <w:szCs w:val="16"/>
        </w:rPr>
        <w:t>Гл. инженер (07.1937 г.)- Слободчиков, (3.11.1937-11.09.1938 г.)- П.Ф. Цуриков.</w:t>
      </w:r>
    </w:p>
    <w:p w14:paraId="2D4C0C8A" w14:textId="1B76489B" w:rsidR="00B67D7C" w:rsidRPr="00DE096C" w:rsidRDefault="00B67D7C" w:rsidP="00D45A46">
      <w:pPr>
        <w:jc w:val="both"/>
        <w:rPr>
          <w:bCs/>
          <w:color w:val="002060"/>
          <w:sz w:val="16"/>
          <w:szCs w:val="16"/>
        </w:rPr>
      </w:pPr>
      <w:r w:rsidRPr="00DE096C">
        <w:rPr>
          <w:bCs/>
          <w:color w:val="002060"/>
          <w:sz w:val="16"/>
          <w:szCs w:val="16"/>
        </w:rPr>
        <w:t>Зам. гл. инженера (05.1937 г.)-</w:t>
      </w:r>
      <w:r w:rsidR="0006581C">
        <w:rPr>
          <w:bCs/>
          <w:color w:val="002060"/>
          <w:sz w:val="16"/>
          <w:szCs w:val="16"/>
        </w:rPr>
        <w:t xml:space="preserve"> </w:t>
      </w:r>
      <w:r w:rsidRPr="00DE096C">
        <w:rPr>
          <w:bCs/>
          <w:color w:val="002060"/>
          <w:sz w:val="16"/>
          <w:szCs w:val="16"/>
        </w:rPr>
        <w:t>Г. Г. Слободчиков.</w:t>
      </w:r>
    </w:p>
    <w:p w14:paraId="5989D91B" w14:textId="77777777" w:rsidR="00B67D7C" w:rsidRPr="00DE096C" w:rsidRDefault="00B67D7C" w:rsidP="00D45A46">
      <w:pPr>
        <w:jc w:val="both"/>
        <w:rPr>
          <w:bCs/>
          <w:color w:val="002060"/>
          <w:sz w:val="16"/>
          <w:szCs w:val="16"/>
        </w:rPr>
      </w:pPr>
      <w:r w:rsidRPr="00DE096C">
        <w:rPr>
          <w:bCs/>
          <w:color w:val="002060"/>
          <w:sz w:val="16"/>
          <w:szCs w:val="16"/>
        </w:rPr>
        <w:t>Гл. металлург (-27.05.1937 г.)- С.П. Моисеев, (27.05-25.09.1937 г.)- В.Д. Гурьянов (снят), (-10.1938-01.1939 г.-)- Струсельба. Гл. энергетик (06.1938 г.)- Антонов. Диспетчер (06.1938 г.)- Афанасьев.</w:t>
      </w:r>
    </w:p>
    <w:p w14:paraId="185ACBE2" w14:textId="77777777" w:rsidR="00B67D7C" w:rsidRPr="00DE096C" w:rsidRDefault="00B67D7C" w:rsidP="00D45A46">
      <w:pPr>
        <w:jc w:val="both"/>
        <w:rPr>
          <w:bCs/>
          <w:color w:val="002060"/>
          <w:sz w:val="16"/>
          <w:szCs w:val="16"/>
        </w:rPr>
      </w:pPr>
      <w:r w:rsidRPr="00DE096C">
        <w:rPr>
          <w:bCs/>
          <w:color w:val="002060"/>
          <w:sz w:val="16"/>
          <w:szCs w:val="16"/>
        </w:rPr>
        <w:t>Директор управления: договоров и маркетинга (2000-е)- В.В. Коновалов; кадров (2000-е)- С.А. Чаркин.</w:t>
      </w:r>
    </w:p>
    <w:p w14:paraId="6E4C663B" w14:textId="77777777" w:rsidR="00B67D7C" w:rsidRPr="00DE096C" w:rsidRDefault="00B67D7C" w:rsidP="00D45A46">
      <w:pPr>
        <w:jc w:val="both"/>
        <w:rPr>
          <w:bCs/>
          <w:color w:val="002060"/>
          <w:sz w:val="16"/>
          <w:szCs w:val="16"/>
        </w:rPr>
      </w:pPr>
      <w:r w:rsidRPr="00DE096C">
        <w:rPr>
          <w:bCs/>
          <w:color w:val="002060"/>
          <w:sz w:val="16"/>
          <w:szCs w:val="16"/>
        </w:rPr>
        <w:t>Зам. директора управления по договорам: гражданской продукции и маркетингу (2000-е)- К.В. Сусленков; экспортной продукции и сбыту (2000-е)- В.В. Княжеченко; государственного оборонного заказа- И.О. (2000-е)- Р.В. Лежнев.</w:t>
      </w:r>
    </w:p>
    <w:p w14:paraId="03FACA11" w14:textId="77777777" w:rsidR="00B67D7C" w:rsidRPr="00DE096C" w:rsidRDefault="00B67D7C" w:rsidP="00D45A46">
      <w:pPr>
        <w:jc w:val="both"/>
        <w:rPr>
          <w:bCs/>
          <w:color w:val="002060"/>
          <w:sz w:val="16"/>
          <w:szCs w:val="16"/>
        </w:rPr>
      </w:pPr>
      <w:r w:rsidRPr="00DE096C">
        <w:rPr>
          <w:bCs/>
          <w:color w:val="002060"/>
          <w:sz w:val="16"/>
          <w:szCs w:val="16"/>
        </w:rPr>
        <w:t>Начальники цехов: № 9 (29.05.1937 г.-)- А.П. Решетников; № 11 (-5.03.1938 г.)- А.И. Михалев (снят); № 12 (- 29.05.1937 г.)- Р.И. Максимов, (29.05.1937 г.-)- М.В. Смирнов.</w:t>
      </w:r>
    </w:p>
    <w:p w14:paraId="47269F8E" w14:textId="6B1B7E46" w:rsidR="00B67D7C" w:rsidRPr="00DE096C" w:rsidRDefault="00B67D7C" w:rsidP="00D45A46">
      <w:pPr>
        <w:jc w:val="both"/>
        <w:rPr>
          <w:bCs/>
          <w:color w:val="002060"/>
          <w:sz w:val="16"/>
          <w:szCs w:val="16"/>
        </w:rPr>
      </w:pPr>
      <w:r w:rsidRPr="00DE096C">
        <w:rPr>
          <w:bCs/>
          <w:color w:val="002060"/>
          <w:sz w:val="16"/>
          <w:szCs w:val="16"/>
        </w:rPr>
        <w:t>Начальники отделов: 5-го и.о. (07.1937 г.)- Сокольский; планового (1930-е)- Яковлев; ОСП (1938 г.)- Молоканов; ОКС- Микшун, (12.1937 г.)- Клапер-Казовский; сбыта (12.1937 г.)- Селезнев; ОТК (-02.1937 г.)-</w:t>
      </w:r>
      <w:r w:rsidR="0006581C">
        <w:rPr>
          <w:bCs/>
          <w:color w:val="002060"/>
          <w:sz w:val="16"/>
          <w:szCs w:val="16"/>
        </w:rPr>
        <w:t xml:space="preserve"> </w:t>
      </w:r>
      <w:r w:rsidRPr="00DE096C">
        <w:rPr>
          <w:bCs/>
          <w:color w:val="002060"/>
          <w:sz w:val="16"/>
          <w:szCs w:val="16"/>
        </w:rPr>
        <w:t>Г. Г. Слабодчиков, и.о. (02.1937 г.-)- Хохлов. Начальник службы маркетинга (2000-е)- А.А. Резников.</w:t>
      </w:r>
    </w:p>
    <w:p w14:paraId="2FC3D8F6" w14:textId="77777777" w:rsidR="00B67D7C" w:rsidRPr="00DE096C" w:rsidRDefault="00B67D7C" w:rsidP="00D45A46">
      <w:pPr>
        <w:jc w:val="both"/>
        <w:rPr>
          <w:bCs/>
          <w:color w:val="002060"/>
          <w:sz w:val="16"/>
          <w:szCs w:val="16"/>
        </w:rPr>
      </w:pPr>
      <w:r w:rsidRPr="00DE096C">
        <w:rPr>
          <w:bCs/>
          <w:i/>
          <w:color w:val="002060"/>
          <w:sz w:val="16"/>
          <w:szCs w:val="16"/>
        </w:rPr>
        <w:t>Производство: артиллерийские орудия:</w:t>
      </w:r>
      <w:r w:rsidRPr="00DE096C">
        <w:rPr>
          <w:bCs/>
          <w:color w:val="002060"/>
          <w:sz w:val="16"/>
          <w:szCs w:val="16"/>
        </w:rPr>
        <w:t xml:space="preserve"> 152-мм, 305-мм (1937-), 406-мм Б-37 для линкоров пр. 23 (1939-41)- 12 стволов;</w:t>
      </w:r>
      <w:r w:rsidRPr="00DE096C">
        <w:rPr>
          <w:bCs/>
          <w:i/>
          <w:color w:val="002060"/>
          <w:sz w:val="16"/>
          <w:szCs w:val="16"/>
        </w:rPr>
        <w:t xml:space="preserve"> пушки:</w:t>
      </w:r>
      <w:r w:rsidRPr="00DE096C">
        <w:rPr>
          <w:bCs/>
          <w:color w:val="002060"/>
          <w:sz w:val="16"/>
          <w:szCs w:val="16"/>
        </w:rPr>
        <w:t xml:space="preserve"> буксируемые: УСВ (1942), 57-мм противотанковая ЗИС-2 (-1942); 122-мм корпусная А-19 (1937), 152-мм пушка БР-2 (1937-), 152-мм пушка-гаубица Д-20 (1950-е), пушка С-23 (1960-е); танковые </w:t>
      </w:r>
      <w:r w:rsidRPr="00DE096C">
        <w:rPr>
          <w:bCs/>
          <w:color w:val="002060"/>
          <w:sz w:val="16"/>
          <w:szCs w:val="16"/>
        </w:rPr>
        <w:lastRenderedPageBreak/>
        <w:t>(ВОВ), 2АЗЗ для САУ «Акация», 2А46 для танков Т-72, Т-80; СМ-54 (2АЗ) на самоходном шасси для стрельбы ядерными боеприпасами «Конденсатор» (1957)- 4 шт.;</w:t>
      </w:r>
      <w:r w:rsidRPr="00DE096C">
        <w:rPr>
          <w:bCs/>
          <w:i/>
          <w:color w:val="002060"/>
          <w:sz w:val="16"/>
          <w:szCs w:val="16"/>
        </w:rPr>
        <w:t xml:space="preserve"> гаубицы:</w:t>
      </w:r>
      <w:r w:rsidRPr="00DE096C">
        <w:rPr>
          <w:bCs/>
          <w:color w:val="002060"/>
          <w:sz w:val="16"/>
          <w:szCs w:val="16"/>
        </w:rPr>
        <w:t xml:space="preserve"> 203-мм Б-4 (1937-); качающиеся части: железнодорожных установок ТП-1 и ТГ-1 (1939)- 2, морской 180-мм артустановки МУ-1 (1947)- 12, баллистический ствол 220-мм СМ-Э77 для СМ-40 (1953)- 1, морской 305-мм пушки СМ-33 (1951-53)- 12; СУ-122 (1955-61); башенная корабельная артиллерийская установка ЗИФ-67;</w:t>
      </w:r>
      <w:r w:rsidRPr="00DE096C">
        <w:rPr>
          <w:bCs/>
          <w:i/>
          <w:color w:val="002060"/>
          <w:sz w:val="16"/>
          <w:szCs w:val="16"/>
        </w:rPr>
        <w:t xml:space="preserve"> самоходные ПУ:</w:t>
      </w:r>
      <w:r w:rsidRPr="00DE096C">
        <w:rPr>
          <w:bCs/>
          <w:color w:val="002060"/>
          <w:sz w:val="16"/>
          <w:szCs w:val="16"/>
        </w:rPr>
        <w:t xml:space="preserve"> для ОТРК: 2П2 (1957-58)- 25 и транспортно- заряжаютцая машина 2ПЗ для «Марс» (1957-58)- 25, 2П16 для «Луна» (1959-64)- 432, «Темп-С», «Точка», «Точка- У», «Пионер», «Пионер-2», «Пионер-3», «Пионер УТТХ», для МБР: «Темп-2С», «Тополь», «Тополь-М», «Искандер»; железнодорожная ПУ для МБР РТ-23УТТХ (1980-е);</w:t>
      </w:r>
      <w:r w:rsidRPr="00DE096C">
        <w:rPr>
          <w:bCs/>
          <w:color w:val="002060"/>
          <w:sz w:val="16"/>
          <w:szCs w:val="16"/>
          <w:vertAlign w:val="superscript"/>
        </w:rPr>
        <w:t>58</w:t>
      </w:r>
      <w:r w:rsidRPr="00DE096C">
        <w:rPr>
          <w:bCs/>
          <w:color w:val="002060"/>
          <w:sz w:val="16"/>
          <w:szCs w:val="16"/>
        </w:rPr>
        <w:t xml:space="preserve"> палубная ПУ для ЗРК «Волна-М» (1970-е-80- е), установка ЗС90 для ЗРК «Ураган» (1980-2000-);</w:t>
      </w:r>
      <w:r w:rsidRPr="00DE096C">
        <w:rPr>
          <w:bCs/>
          <w:color w:val="002060"/>
          <w:sz w:val="16"/>
          <w:szCs w:val="16"/>
          <w:vertAlign w:val="superscript"/>
        </w:rPr>
        <w:t>101</w:t>
      </w:r>
      <w:r w:rsidRPr="00DE096C">
        <w:rPr>
          <w:bCs/>
          <w:color w:val="002060"/>
          <w:sz w:val="16"/>
          <w:szCs w:val="16"/>
        </w:rPr>
        <w:t xml:space="preserve"> корабельный ЗРК «Штиль» (2000-е); детали для минометов (1942);</w:t>
      </w:r>
    </w:p>
    <w:p w14:paraId="07672F0F" w14:textId="77777777" w:rsidR="00B67D7C" w:rsidRPr="00DE096C" w:rsidRDefault="00B67D7C" w:rsidP="00D45A46">
      <w:pPr>
        <w:jc w:val="both"/>
        <w:rPr>
          <w:bCs/>
          <w:color w:val="002060"/>
          <w:sz w:val="16"/>
          <w:szCs w:val="16"/>
        </w:rPr>
      </w:pPr>
      <w:r w:rsidRPr="00DE096C">
        <w:rPr>
          <w:bCs/>
          <w:color w:val="002060"/>
          <w:sz w:val="16"/>
          <w:szCs w:val="16"/>
        </w:rPr>
        <w:t>буровые установки для нефтегазовой промышленности (1960-е);</w:t>
      </w:r>
      <w:r w:rsidRPr="00DE096C">
        <w:rPr>
          <w:bCs/>
          <w:color w:val="002060"/>
          <w:sz w:val="16"/>
          <w:szCs w:val="16"/>
          <w:vertAlign w:val="superscript"/>
        </w:rPr>
        <w:t>69</w:t>
      </w:r>
      <w:r w:rsidRPr="00DE096C">
        <w:rPr>
          <w:bCs/>
          <w:color w:val="002060"/>
          <w:sz w:val="16"/>
          <w:szCs w:val="16"/>
        </w:rPr>
        <w:t xml:space="preserve"> плашечные превенторы ППР-180, ППГ-180, ППР2-180, ППГ2-180 (2000-е); передвижные автомобильные газозаправщики ПАГЗ-2000/25, ПАГЗ-ЗООО/25 на шасси КамАЗ (2000-</w:t>
      </w:r>
      <w:r w:rsidRPr="00DE096C">
        <w:rPr>
          <w:bCs/>
          <w:color w:val="002060"/>
          <w:sz w:val="16"/>
          <w:szCs w:val="16"/>
          <w:lang w:val="en-US"/>
        </w:rPr>
        <w:t>c</w:t>
      </w:r>
      <w:r w:rsidRPr="00DE096C">
        <w:rPr>
          <w:bCs/>
          <w:color w:val="002060"/>
          <w:sz w:val="16"/>
          <w:szCs w:val="16"/>
        </w:rPr>
        <w:t>);</w:t>
      </w:r>
      <w:r w:rsidRPr="00DE096C">
        <w:rPr>
          <w:bCs/>
          <w:color w:val="002060"/>
          <w:sz w:val="16"/>
          <w:szCs w:val="16"/>
          <w:vertAlign w:val="superscript"/>
          <w:lang w:val="en-US"/>
        </w:rPr>
        <w:t>wwwbarncadyru</w:t>
      </w:r>
      <w:r w:rsidRPr="00DE096C">
        <w:rPr>
          <w:bCs/>
          <w:color w:val="002060"/>
          <w:sz w:val="16"/>
          <w:szCs w:val="16"/>
        </w:rPr>
        <w:t xml:space="preserve"> горно-шахтное и гидравлическое оборудование; агрегаты для атомной энергетики (11982).</w:t>
      </w:r>
    </w:p>
    <w:p w14:paraId="1C851630" w14:textId="77777777" w:rsidR="00B67D7C" w:rsidRPr="00DE096C" w:rsidRDefault="00B67D7C" w:rsidP="00D45A46">
      <w:pPr>
        <w:jc w:val="both"/>
        <w:rPr>
          <w:bCs/>
          <w:color w:val="002060"/>
          <w:sz w:val="16"/>
          <w:szCs w:val="16"/>
        </w:rPr>
      </w:pPr>
    </w:p>
    <w:p w14:paraId="38B0EAB5" w14:textId="3564C460" w:rsidR="00B67D7C" w:rsidRPr="00DE096C" w:rsidRDefault="005D5F9D"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1914 г. значительная </w:t>
      </w:r>
      <w:r w:rsidR="00B67D7C" w:rsidRPr="00DE096C">
        <w:rPr>
          <w:rStyle w:val="1"/>
          <w:b w:val="0"/>
          <w:bCs/>
          <w:color w:val="002060"/>
          <w:sz w:val="16"/>
          <w:szCs w:val="16"/>
        </w:rPr>
        <w:t>часть завода</w:t>
      </w:r>
      <w:r w:rsidRPr="00DE096C">
        <w:rPr>
          <w:bCs/>
          <w:color w:val="002060"/>
          <w:sz w:val="16"/>
          <w:szCs w:val="16"/>
        </w:rPr>
        <w:t xml:space="preserve"> И.П.Пузырева</w:t>
      </w:r>
      <w:r w:rsidR="00B67D7C" w:rsidRPr="00DE096C">
        <w:rPr>
          <w:bCs/>
          <w:color w:val="002060"/>
          <w:sz w:val="16"/>
          <w:szCs w:val="16"/>
        </w:rPr>
        <w:t>, том числе 8 готовых автомобилей, была уничтожена возникшим по неизвестным причинам пожаром (12098).</w:t>
      </w:r>
    </w:p>
    <w:p w14:paraId="7628EF3A" w14:textId="77777777" w:rsidR="00B67D7C" w:rsidRPr="00DE096C" w:rsidRDefault="00B67D7C" w:rsidP="00D45A46">
      <w:pPr>
        <w:jc w:val="both"/>
        <w:rPr>
          <w:bCs/>
          <w:color w:val="002060"/>
          <w:sz w:val="16"/>
          <w:szCs w:val="16"/>
        </w:rPr>
      </w:pPr>
    </w:p>
    <w:p w14:paraId="1B6E7D3B" w14:textId="7B3B0DA6" w:rsidR="00B67D7C" w:rsidRPr="00DE096C" w:rsidRDefault="005D5F9D" w:rsidP="00D45A46">
      <w:pPr>
        <w:jc w:val="both"/>
        <w:rPr>
          <w:bCs/>
          <w:color w:val="002060"/>
          <w:sz w:val="16"/>
          <w:szCs w:val="16"/>
        </w:rPr>
      </w:pPr>
      <w:r w:rsidRPr="00DE096C">
        <w:rPr>
          <w:bCs/>
          <w:color w:val="002060"/>
          <w:sz w:val="16"/>
          <w:szCs w:val="16"/>
        </w:rPr>
        <w:t>Н</w:t>
      </w:r>
      <w:r w:rsidR="00B67D7C" w:rsidRPr="00DE096C">
        <w:rPr>
          <w:bCs/>
          <w:color w:val="002060"/>
          <w:sz w:val="16"/>
          <w:szCs w:val="16"/>
        </w:rPr>
        <w:t>а 1914 г.</w:t>
      </w:r>
      <w:r w:rsidRPr="00DE096C">
        <w:rPr>
          <w:bCs/>
          <w:color w:val="002060"/>
          <w:sz w:val="16"/>
          <w:szCs w:val="16"/>
        </w:rPr>
        <w:t xml:space="preserve"> в стране </w:t>
      </w:r>
      <w:r w:rsidR="00B67D7C" w:rsidRPr="00DE096C">
        <w:rPr>
          <w:rStyle w:val="10"/>
          <w:bCs/>
          <w:i w:val="0"/>
          <w:iCs/>
          <w:color w:val="002060"/>
          <w:sz w:val="16"/>
          <w:szCs w:val="16"/>
        </w:rPr>
        <w:t>насчитывалось более</w:t>
      </w:r>
      <w:r w:rsidR="00B67D7C" w:rsidRPr="00DE096C">
        <w:rPr>
          <w:bCs/>
          <w:color w:val="002060"/>
          <w:sz w:val="16"/>
          <w:szCs w:val="16"/>
        </w:rPr>
        <w:t xml:space="preserve"> 32 миллионов </w:t>
      </w:r>
      <w:r w:rsidRPr="00DE096C">
        <w:rPr>
          <w:bCs/>
          <w:color w:val="002060"/>
          <w:sz w:val="16"/>
          <w:szCs w:val="16"/>
        </w:rPr>
        <w:t xml:space="preserve">лошадей </w:t>
      </w:r>
      <w:r w:rsidR="00B67D7C" w:rsidRPr="00DE096C">
        <w:rPr>
          <w:bCs/>
          <w:color w:val="002060"/>
          <w:sz w:val="16"/>
          <w:szCs w:val="16"/>
        </w:rPr>
        <w:t xml:space="preserve">- почти треть всех работающих лошадей планеты.[25] Автомобили же, как уже говорилось выше, </w:t>
      </w:r>
      <w:r w:rsidR="00B67D7C" w:rsidRPr="00DE096C">
        <w:rPr>
          <w:rStyle w:val="1"/>
          <w:b w:val="0"/>
          <w:bCs/>
          <w:color w:val="002060"/>
          <w:sz w:val="16"/>
          <w:szCs w:val="16"/>
        </w:rPr>
        <w:t>большого воодушевления</w:t>
      </w:r>
      <w:r w:rsidR="00B67D7C" w:rsidRPr="00DE096C">
        <w:rPr>
          <w:bCs/>
          <w:color w:val="002060"/>
          <w:sz w:val="16"/>
          <w:szCs w:val="16"/>
        </w:rPr>
        <w:t xml:space="preserve"> в России не вызывали. Их распространение имело как своих сторонников, так и противников: последних пугали, например, несчастные случаи с лошадьми, выхлопные газы и т.п. Так, в 1907 г. городское управление Петербурга </w:t>
      </w:r>
      <w:r w:rsidR="00B67D7C" w:rsidRPr="00DE096C">
        <w:rPr>
          <w:rStyle w:val="10"/>
          <w:bCs/>
          <w:color w:val="002060"/>
          <w:sz w:val="16"/>
          <w:szCs w:val="16"/>
        </w:rPr>
        <w:t>создало специальную</w:t>
      </w:r>
      <w:r w:rsidR="00B67D7C" w:rsidRPr="00DE096C">
        <w:rPr>
          <w:bCs/>
          <w:color w:val="002060"/>
          <w:sz w:val="16"/>
          <w:szCs w:val="16"/>
        </w:rPr>
        <w:t xml:space="preserve"> комиссию для </w:t>
      </w:r>
      <w:r w:rsidR="00B67D7C" w:rsidRPr="00DE096C">
        <w:rPr>
          <w:rStyle w:val="1"/>
          <w:b w:val="0"/>
          <w:bCs/>
          <w:color w:val="002060"/>
          <w:sz w:val="16"/>
          <w:szCs w:val="16"/>
        </w:rPr>
        <w:t>решения вопроса</w:t>
      </w:r>
      <w:r w:rsidR="00B67D7C" w:rsidRPr="00DE096C">
        <w:rPr>
          <w:bCs/>
          <w:color w:val="002060"/>
          <w:sz w:val="16"/>
          <w:szCs w:val="16"/>
        </w:rPr>
        <w:t xml:space="preserve"> о возможности массового использования автомобилей. В результате 100-верстного пробега было установлено, что автомобиль не </w:t>
      </w:r>
      <w:r w:rsidR="00B67D7C" w:rsidRPr="00DE096C">
        <w:rPr>
          <w:rStyle w:val="10"/>
          <w:bCs/>
          <w:color w:val="002060"/>
          <w:sz w:val="16"/>
          <w:szCs w:val="16"/>
        </w:rPr>
        <w:t>представляет опасности</w:t>
      </w:r>
      <w:r w:rsidR="00B67D7C" w:rsidRPr="00DE096C">
        <w:rPr>
          <w:bCs/>
          <w:color w:val="002060"/>
          <w:sz w:val="16"/>
          <w:szCs w:val="16"/>
        </w:rPr>
        <w:t xml:space="preserve"> для города. За городом же шума и вида машин пугались крестьянские лошади, поэтому движение автомобилей здесь было запрещено. На первых порах расширение </w:t>
      </w:r>
      <w:r w:rsidR="00B67D7C" w:rsidRPr="00DE096C">
        <w:rPr>
          <w:rStyle w:val="10"/>
          <w:bCs/>
          <w:color w:val="002060"/>
          <w:sz w:val="16"/>
          <w:szCs w:val="16"/>
        </w:rPr>
        <w:t>сферы применения автомобиля</w:t>
      </w:r>
      <w:r w:rsidR="00B67D7C" w:rsidRPr="00DE096C">
        <w:rPr>
          <w:bCs/>
          <w:color w:val="002060"/>
          <w:sz w:val="16"/>
          <w:szCs w:val="16"/>
        </w:rPr>
        <w:t xml:space="preserve"> в </w:t>
      </w:r>
      <w:r w:rsidR="00B67D7C" w:rsidRPr="00DE096C">
        <w:rPr>
          <w:rStyle w:val="1"/>
          <w:b w:val="0"/>
          <w:bCs/>
          <w:color w:val="002060"/>
          <w:sz w:val="16"/>
          <w:szCs w:val="16"/>
        </w:rPr>
        <w:t>нашей стране</w:t>
      </w:r>
      <w:r w:rsidR="00B67D7C" w:rsidRPr="00DE096C">
        <w:rPr>
          <w:bCs/>
          <w:color w:val="002060"/>
          <w:sz w:val="16"/>
          <w:szCs w:val="16"/>
        </w:rPr>
        <w:t xml:space="preserve"> выразилось лишь в организации в 1904 г. петербургского </w:t>
      </w:r>
      <w:r w:rsidR="00B67D7C" w:rsidRPr="00DE096C">
        <w:rPr>
          <w:rStyle w:val="10"/>
          <w:bCs/>
          <w:color w:val="002060"/>
          <w:sz w:val="16"/>
          <w:szCs w:val="16"/>
        </w:rPr>
        <w:t>таксомоторного общества</w:t>
      </w:r>
      <w:r w:rsidR="00B67D7C" w:rsidRPr="00DE096C">
        <w:rPr>
          <w:bCs/>
          <w:color w:val="002060"/>
          <w:sz w:val="16"/>
          <w:szCs w:val="16"/>
        </w:rPr>
        <w:t xml:space="preserve">, а позднее - в использовании </w:t>
      </w:r>
      <w:r w:rsidR="00B67D7C" w:rsidRPr="00DE096C">
        <w:rPr>
          <w:rStyle w:val="1"/>
          <w:b w:val="0"/>
          <w:bCs/>
          <w:color w:val="002060"/>
          <w:sz w:val="16"/>
          <w:szCs w:val="16"/>
        </w:rPr>
        <w:t>автомобилей почтовыми</w:t>
      </w:r>
      <w:r w:rsidR="00B67D7C" w:rsidRPr="00DE096C">
        <w:rPr>
          <w:bCs/>
          <w:color w:val="002060"/>
          <w:sz w:val="16"/>
          <w:szCs w:val="16"/>
        </w:rPr>
        <w:t xml:space="preserve"> и военными ведомствами. В </w:t>
      </w:r>
      <w:r w:rsidR="00B67D7C" w:rsidRPr="00DE096C">
        <w:rPr>
          <w:rStyle w:val="10"/>
          <w:bCs/>
          <w:color w:val="002060"/>
          <w:sz w:val="16"/>
          <w:szCs w:val="16"/>
        </w:rPr>
        <w:t>Москве наиболее</w:t>
      </w:r>
      <w:r w:rsidR="00B67D7C" w:rsidRPr="00DE096C">
        <w:rPr>
          <w:bCs/>
          <w:color w:val="002060"/>
          <w:sz w:val="16"/>
          <w:szCs w:val="16"/>
        </w:rPr>
        <w:t xml:space="preserve"> крупное автомобильное хозяйство было заведено владельцем </w:t>
      </w:r>
      <w:r w:rsidR="00B67D7C" w:rsidRPr="00DE096C">
        <w:rPr>
          <w:rStyle w:val="10"/>
          <w:bCs/>
          <w:color w:val="002060"/>
          <w:sz w:val="16"/>
          <w:szCs w:val="16"/>
        </w:rPr>
        <w:t>молочного предприятия Чичкиным</w:t>
      </w:r>
      <w:r w:rsidR="00B67D7C" w:rsidRPr="00DE096C">
        <w:rPr>
          <w:bCs/>
          <w:color w:val="002060"/>
          <w:sz w:val="16"/>
          <w:szCs w:val="16"/>
        </w:rPr>
        <w:t xml:space="preserve">, содержавшим большой гараж . Московское почтовое ведомство в 1909 г. имело 30 машин. Тем не менее, несмотря на известную инерцию в деле </w:t>
      </w:r>
      <w:r w:rsidR="00B67D7C" w:rsidRPr="00DE096C">
        <w:rPr>
          <w:rStyle w:val="10"/>
          <w:bCs/>
          <w:color w:val="002060"/>
          <w:sz w:val="16"/>
          <w:szCs w:val="16"/>
        </w:rPr>
        <w:t>автомобилизации страны</w:t>
      </w:r>
      <w:r w:rsidR="00B67D7C" w:rsidRPr="00DE096C">
        <w:rPr>
          <w:bCs/>
          <w:color w:val="002060"/>
          <w:sz w:val="16"/>
          <w:szCs w:val="16"/>
        </w:rPr>
        <w:t xml:space="preserve">, помимо </w:t>
      </w:r>
      <w:r w:rsidR="00B67D7C" w:rsidRPr="00DE096C">
        <w:rPr>
          <w:rStyle w:val="1"/>
          <w:b w:val="0"/>
          <w:bCs/>
          <w:color w:val="002060"/>
          <w:sz w:val="16"/>
          <w:szCs w:val="16"/>
        </w:rPr>
        <w:t>выпуска собственных машин</w:t>
      </w:r>
      <w:r w:rsidR="00B67D7C" w:rsidRPr="00DE096C">
        <w:rPr>
          <w:bCs/>
          <w:color w:val="002060"/>
          <w:sz w:val="16"/>
          <w:szCs w:val="16"/>
        </w:rPr>
        <w:t xml:space="preserve">, Россия была крупнейшим в мире </w:t>
      </w:r>
      <w:r w:rsidR="00B67D7C" w:rsidRPr="00DE096C">
        <w:rPr>
          <w:rStyle w:val="1"/>
          <w:b w:val="0"/>
          <w:bCs/>
          <w:color w:val="002060"/>
          <w:sz w:val="16"/>
          <w:szCs w:val="16"/>
        </w:rPr>
        <w:t>импортером автомобилей</w:t>
      </w:r>
      <w:r w:rsidR="00B67D7C" w:rsidRPr="00DE096C">
        <w:rPr>
          <w:bCs/>
          <w:color w:val="002060"/>
          <w:sz w:val="16"/>
          <w:szCs w:val="16"/>
        </w:rPr>
        <w:t xml:space="preserve">. Всего к 1914 г. в стране насчитывалось 13 тыс. автомобилей 270 иностранных фирм.[26] Доказательством относительной активности России в этой </w:t>
      </w:r>
      <w:r w:rsidR="00B67D7C" w:rsidRPr="00DE096C">
        <w:rPr>
          <w:rStyle w:val="1"/>
          <w:b w:val="0"/>
          <w:bCs/>
          <w:color w:val="002060"/>
          <w:sz w:val="16"/>
          <w:szCs w:val="16"/>
        </w:rPr>
        <w:t>области может</w:t>
      </w:r>
      <w:r w:rsidR="00B67D7C" w:rsidRPr="00DE096C">
        <w:rPr>
          <w:bCs/>
          <w:color w:val="002060"/>
          <w:sz w:val="16"/>
          <w:szCs w:val="16"/>
        </w:rPr>
        <w:t xml:space="preserve"> служить тот факт, что первые четыре международные автомобильные выставки (1907, 1908, 1910 и 1913 гг.) состоялись в </w:t>
      </w:r>
      <w:r w:rsidR="00B67D7C" w:rsidRPr="00DE096C">
        <w:rPr>
          <w:rStyle w:val="1"/>
          <w:b w:val="0"/>
          <w:bCs/>
          <w:color w:val="002060"/>
          <w:sz w:val="16"/>
          <w:szCs w:val="16"/>
        </w:rPr>
        <w:t>нашей стране</w:t>
      </w:r>
      <w:r w:rsidR="00B67D7C" w:rsidRPr="00DE096C">
        <w:rPr>
          <w:bCs/>
          <w:color w:val="002060"/>
          <w:sz w:val="16"/>
          <w:szCs w:val="16"/>
        </w:rPr>
        <w:t xml:space="preserve">. Несмотря на то, что </w:t>
      </w:r>
      <w:r w:rsidR="00B67D7C" w:rsidRPr="00DE096C">
        <w:rPr>
          <w:rStyle w:val="10"/>
          <w:bCs/>
          <w:color w:val="002060"/>
          <w:sz w:val="16"/>
          <w:szCs w:val="16"/>
        </w:rPr>
        <w:t>различные промышленные</w:t>
      </w:r>
      <w:r w:rsidR="00B67D7C" w:rsidRPr="00DE096C">
        <w:rPr>
          <w:bCs/>
          <w:color w:val="002060"/>
          <w:sz w:val="16"/>
          <w:szCs w:val="16"/>
        </w:rPr>
        <w:t xml:space="preserve"> выставки и автомобильные салоны проводились и в </w:t>
      </w:r>
      <w:r w:rsidR="00B67D7C" w:rsidRPr="00DE096C">
        <w:rPr>
          <w:rStyle w:val="10"/>
          <w:bCs/>
          <w:color w:val="002060"/>
          <w:sz w:val="16"/>
          <w:szCs w:val="16"/>
        </w:rPr>
        <w:t>других странах</w:t>
      </w:r>
      <w:r w:rsidR="00B67D7C" w:rsidRPr="00DE096C">
        <w:rPr>
          <w:bCs/>
          <w:color w:val="002060"/>
          <w:sz w:val="16"/>
          <w:szCs w:val="16"/>
        </w:rPr>
        <w:t xml:space="preserve">, российские отличались </w:t>
      </w:r>
      <w:r w:rsidR="00B67D7C" w:rsidRPr="00DE096C">
        <w:rPr>
          <w:rStyle w:val="1"/>
          <w:b w:val="0"/>
          <w:bCs/>
          <w:color w:val="002060"/>
          <w:sz w:val="16"/>
          <w:szCs w:val="16"/>
        </w:rPr>
        <w:t>весьма широкой представительностью</w:t>
      </w:r>
      <w:r w:rsidR="00B67D7C" w:rsidRPr="00DE096C">
        <w:rPr>
          <w:bCs/>
          <w:color w:val="002060"/>
          <w:sz w:val="16"/>
          <w:szCs w:val="16"/>
        </w:rPr>
        <w:t xml:space="preserve">, великолепием и отличной организацией.[27] Пятая международная автомобильная выставка (1914 г.) проводилась в Париже, и, как отмечают специалисты, на ее организацию существенное </w:t>
      </w:r>
      <w:r w:rsidR="00B67D7C" w:rsidRPr="00DE096C">
        <w:rPr>
          <w:rStyle w:val="1"/>
          <w:b w:val="0"/>
          <w:bCs/>
          <w:color w:val="002060"/>
          <w:sz w:val="16"/>
          <w:szCs w:val="16"/>
        </w:rPr>
        <w:t>влияние оказали предыдущиероссийские выставки (12098)</w:t>
      </w:r>
      <w:r w:rsidR="00B67D7C" w:rsidRPr="00DE096C">
        <w:rPr>
          <w:bCs/>
          <w:color w:val="002060"/>
          <w:sz w:val="16"/>
          <w:szCs w:val="16"/>
        </w:rPr>
        <w:t>.</w:t>
      </w:r>
    </w:p>
    <w:p w14:paraId="78C70F54" w14:textId="77777777" w:rsidR="00B67D7C" w:rsidRPr="00DE096C" w:rsidRDefault="00B67D7C" w:rsidP="00D45A46">
      <w:pPr>
        <w:jc w:val="both"/>
        <w:rPr>
          <w:bCs/>
          <w:color w:val="002060"/>
          <w:sz w:val="16"/>
          <w:szCs w:val="16"/>
        </w:rPr>
      </w:pPr>
    </w:p>
    <w:p w14:paraId="07A413FD" w14:textId="733F8BD6" w:rsidR="00B67D7C" w:rsidRPr="00DE096C" w:rsidRDefault="005D5F9D"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В</w:t>
      </w:r>
      <w:r w:rsidR="00B67D7C" w:rsidRPr="00DE096C">
        <w:rPr>
          <w:bCs/>
          <w:i w:val="0"/>
          <w:color w:val="002060"/>
          <w:spacing w:val="0"/>
          <w:kern w:val="0"/>
          <w:position w:val="0"/>
          <w:sz w:val="16"/>
          <w:szCs w:val="16"/>
        </w:rPr>
        <w:t xml:space="preserve"> 1914 г. </w:t>
      </w:r>
      <w:r w:rsidRPr="00DE096C">
        <w:rPr>
          <w:bCs/>
          <w:i w:val="0"/>
          <w:color w:val="002060"/>
          <w:spacing w:val="0"/>
          <w:kern w:val="0"/>
          <w:position w:val="0"/>
          <w:sz w:val="16"/>
          <w:szCs w:val="16"/>
        </w:rPr>
        <w:t xml:space="preserve">созданные </w:t>
      </w:r>
      <w:r w:rsidR="00B67D7C" w:rsidRPr="00DE096C">
        <w:rPr>
          <w:bCs/>
          <w:i w:val="0"/>
          <w:color w:val="002060"/>
          <w:spacing w:val="0"/>
          <w:kern w:val="0"/>
          <w:position w:val="0"/>
          <w:sz w:val="16"/>
          <w:szCs w:val="16"/>
        </w:rPr>
        <w:t>органы по эвакуации промышленных предприятий проводили свою работу без всякого плана, в спешке. Станки отправлялись в разные концы страны; вагоны, нагруженные оборудованием эвакуированных фабрик, подолгу стояли на станциях, отчего оборудование приходило в негодность (11270).</w:t>
      </w:r>
    </w:p>
    <w:p w14:paraId="3C9F77CC" w14:textId="77777777" w:rsidR="00B67D7C" w:rsidRPr="00DE096C" w:rsidRDefault="00B67D7C" w:rsidP="00D45A46">
      <w:pPr>
        <w:pStyle w:val="a3"/>
        <w:jc w:val="both"/>
        <w:rPr>
          <w:bCs/>
          <w:i w:val="0"/>
          <w:color w:val="002060"/>
          <w:spacing w:val="0"/>
          <w:kern w:val="0"/>
          <w:position w:val="0"/>
          <w:sz w:val="16"/>
          <w:szCs w:val="16"/>
        </w:rPr>
      </w:pPr>
    </w:p>
    <w:p w14:paraId="0A7817FA" w14:textId="041BC33D"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В 1914 году </w:t>
      </w:r>
      <w:r w:rsidR="005D5F9D" w:rsidRPr="00DE096C">
        <w:rPr>
          <w:bCs/>
          <w:color w:val="002060"/>
          <w:sz w:val="16"/>
          <w:szCs w:val="16"/>
        </w:rPr>
        <w:t>в Харькове на первом в России специализирован</w:t>
      </w:r>
      <w:r w:rsidR="005D5F9D" w:rsidRPr="00DE096C">
        <w:rPr>
          <w:bCs/>
          <w:color w:val="002060"/>
          <w:sz w:val="16"/>
          <w:szCs w:val="16"/>
        </w:rPr>
        <w:softHyphen/>
        <w:t xml:space="preserve">ным паровозостроительным заводе </w:t>
      </w:r>
      <w:r w:rsidRPr="00DE096C">
        <w:rPr>
          <w:bCs/>
          <w:color w:val="002060"/>
          <w:sz w:val="16"/>
          <w:szCs w:val="16"/>
        </w:rPr>
        <w:t>был построен тепловой цех, вошедший в состав отдела тепловых двигателей. Начальником этого отдела был назначен В.Т.Цвет</w:t>
      </w:r>
      <w:r w:rsidRPr="00DE096C">
        <w:rPr>
          <w:bCs/>
          <w:color w:val="002060"/>
          <w:sz w:val="16"/>
          <w:szCs w:val="16"/>
        </w:rPr>
        <w:softHyphen/>
        <w:t>ков. Он тут же развернул работы по совершенствованию конструкций дви</w:t>
      </w:r>
      <w:r w:rsidRPr="00DE096C">
        <w:rPr>
          <w:bCs/>
          <w:color w:val="002060"/>
          <w:sz w:val="16"/>
          <w:szCs w:val="16"/>
        </w:rPr>
        <w:softHyphen/>
        <w:t>гателей, находящихся в производстве, и по созданию собственных перс</w:t>
      </w:r>
      <w:r w:rsidRPr="00DE096C">
        <w:rPr>
          <w:bCs/>
          <w:color w:val="002060"/>
          <w:sz w:val="16"/>
          <w:szCs w:val="16"/>
        </w:rPr>
        <w:softHyphen/>
        <w:t>пективных конструкций (11504).</w:t>
      </w:r>
    </w:p>
    <w:p w14:paraId="3C3C8778" w14:textId="77777777" w:rsidR="00B67D7C" w:rsidRPr="00DE096C" w:rsidRDefault="00B67D7C" w:rsidP="00D45A46">
      <w:pPr>
        <w:shd w:val="clear" w:color="auto" w:fill="FFFFFF"/>
        <w:jc w:val="both"/>
        <w:rPr>
          <w:bCs/>
          <w:color w:val="002060"/>
          <w:sz w:val="16"/>
          <w:szCs w:val="16"/>
        </w:rPr>
      </w:pPr>
    </w:p>
    <w:p w14:paraId="2C244BE3" w14:textId="473CE444" w:rsidR="00B67D7C" w:rsidRPr="00DE096C" w:rsidRDefault="005D5F9D"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С</w:t>
      </w:r>
      <w:r w:rsidR="00B67D7C" w:rsidRPr="00DE096C">
        <w:rPr>
          <w:bCs/>
          <w:i w:val="0"/>
          <w:color w:val="002060"/>
          <w:spacing w:val="0"/>
          <w:kern w:val="0"/>
          <w:position w:val="0"/>
          <w:sz w:val="16"/>
          <w:szCs w:val="16"/>
        </w:rPr>
        <w:t xml:space="preserve"> 1911 г. по 1914 г. было продано 118 тысяч пудов на сумму 1.300.000 рублей, в среднем по 11 руб. за пуд. К началу мировой войны осталось непроданной меди 96 тысяч пудов. К 1916 г. весь этот запас был исчерпан, и военное ведомство вынуждено было приобретать заграничную медь по 25 руб. за пуд, а для получения русской меди в неопределенном будущем потребовалась выдача значительных денежных субсидий для разработки медной руды. </w:t>
      </w:r>
    </w:p>
    <w:p w14:paraId="07800255"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 целях обеспечения безостановочной работы своих заводов в случае закрытия границы во время войны ГАУ изыскивало возможность замены некоторых материалов заграничного происхождения русскими. Особенное внимание привлекли свинец и комовая сера. Поддерживая добычу свинца на Кавказе заводом "Эльборус", ГАУ, основательно испытав этот свинец в работе на патронных заводах, просило министерство финансов о выдаче "Эльборусу" необходимого для него аванса, который зачитывался бы при расплате за свинец в продолжение пяти лет поставки металла на казенные заводы. Министр финансов ответил решительным отказом, ссылаясь на некредитоспособность бывшего тов. министра финансов В. И. Ковалевского, стоявшего во главе правления общества "Эльборус". </w:t>
      </w:r>
    </w:p>
    <w:p w14:paraId="54E63990"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Попытка получить свинец из Уссурийского края и комовую серу из Туркестана тоже успеха не вмела, так как предпринимателям требовалась значительная денежная помощь. </w:t>
      </w:r>
    </w:p>
    <w:p w14:paraId="1F3B3C7B"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 результате - во время войны пришлось выписывать из-за границы по большим ценам все те сырые материалы, ко-торых не было в России и необходимость которых предвиделась одиннадцать лет назад при первоначальном исчислении для обеспечения заводов запасами. В общем, если казенные военные заводы не были заблаговременно подготовлены к исполнению заданий, то еще меньше к этому были подготовлены частные русские заводы, не исключая даже тех, которые занимались изготовлением предметов артиллерийской техники еще в мирное время. </w:t>
      </w:r>
    </w:p>
    <w:p w14:paraId="3E8BF521"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Частные заводы, даже имевшие по прежним военным заказам известное оборудование, не могли долго сохранять свою готовность к той же работе лишь на случай получения нового заказа на те же изделия. Очевидно, частным заводам было крайне невыгодно оставлять свои станки в долгом бездействии; выполнив военные заказы, эти заводы приспособляли свое производство для другой полученной ими работы. Для частных заводов было также невыгодно хранить запасы неходовых специальных материалов, требующихся для случайных военных заказов. </w:t>
      </w:r>
    </w:p>
    <w:p w14:paraId="1A47C08B"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Неподготовленность частной русской промышленности к некоторым производствам военных изделий докладчики по сметам ГАУ в Государственной думе нередко относили к непредусмотрительности военного ведомства. Бывший начальник ГАУ ген. Кузьмин-Караваев приводил по этому вопросу объяснения Верховной следственной комиссии, сущность которых сводилась к следующему: от артиллерийского ведомства не зависело развитие промышленности в целом; ему приходилось лишь подтверждать крайнюю затруднительность в получении от частной промышленности некоторых готовых изделий, механизмов, станков и сырых материалов. Стремление артиллерийского ведомства привлекать частные фирмы к поставкам таких предметов, изготовление которых было доступно соответствующему заводу, дало положительные результаты лишь в деле поставки стальных снарядов. К 1911 г. 9 больших заводов выделывали снаряды разных ка-либров; кроме того, в Финляндии было оборудовано три завода, но военному ведомству было воспрещено давать им дальнейшие заказы на снаряды.</w:t>
      </w:r>
    </w:p>
    <w:p w14:paraId="4DB247E5"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С большими затруднениями размещались заказы на немногочисленных частных заводах, изготовляющих конскую амуницию, различного рода повозки, зарядные ящики, хлопковый материал, и не было никакой возможности найти заводы, которые установили бы у себя изготовление снарядных трубок, взрывателей, биноклей, ружейных стволов, запасных ружейных частей, требовавшихся в громадном количестве, и пр. Главной причиной такого явления признавалось отсутствие техников. Завод, понимавший всю выгоду установки нового производства, иногда брал заказ, но мало сведущий технический персонал не справлялся с делом, и завод имел лишь убытки. Большой недостаток в технических силах подтверждался наблюдаемым приглашением артиллерийских техников на частные заводы, получивших какую-либо гарантию правительства в виде субсидии на оборудование или долгосрочного заказа, Так, при устройстве одного частного порохового завода владелец завода обратился к артиллерийскому пороходелу для установки производства бездымного пороха для морского ведомства - ген. Дымша; завод предлагал место с окладом в 60 тысяч рублей в год, но ген. Дымша отказался. Тогда полковник Броунс, выйдя в отставку, поступил на частную службу в пороховой завод на весьма крупный оклад. С началом войны 1914 г., когда военное ведомство начало оплачивать оборудование заводов для нового производства, частный трубочный завод, заручившись разрешением военного министра, пригласил к себе на помощь трех артиллеристов-техников, специалистов по изготовлению трубок, назначив им вознаграждение в 30 600 рублей в год за работу исключительно консультационную, так как эти три техника продолжали служить на казенном трубочном заводе. </w:t>
      </w:r>
    </w:p>
    <w:p w14:paraId="4B7D0D42"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Следующей причиной слабого развития русской довоенной промышленности признавалось крайне недостаточное обеспечение заводов материалами, идущими на изготовление пред метов боевого снабжения. </w:t>
      </w:r>
    </w:p>
    <w:p w14:paraId="17727A7D"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Наконец, несовершенство способов заготовлений, принятое в военном ведомстве, вредно отражалось на подготовка к войне казенных военных заводов и на работе их во время войны. </w:t>
      </w:r>
    </w:p>
    <w:p w14:paraId="1DD1DB43"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Надо знать те путы, которыми была связана деятельность начальников казенных заводов, ту массу бессмысленных стеснений и бюрократического формализма, преследовавших их на каждом шагу, чтобы понять все бессилие их сделать, что-либо быстро и целесообразно, не упустив важной минуты. В этом отношении казенные заводы поставлены были в несравненно худшие условия, чем любой частный завод с нормальными коммерческими приемами. </w:t>
      </w:r>
    </w:p>
    <w:p w14:paraId="16D5689E"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Во время войны был предпринят ряд чрезвычайных, исключительных мер, чтобы поднять производительность казен-ных и частных заводов и привлечь всю русскую промышленность к работе на боевое снабжение. Но меры эти запоздали, так как весь смысл заблаговременной подготовки промышленности к войне в том именно и состоит, чтобы она "отмобилизовалась" одновременно с войсками и одновременно с ними полным ходом вступила в работу по снабжению армии. </w:t>
      </w:r>
    </w:p>
    <w:p w14:paraId="141B2F9F"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Подобной "мобилизационной" подготовки промышленности царское правительство России не предвидело и не сделало. Необходимость мобилизационной подготовки только казенных заводов, и то до некоторой степени, предусматривалась ГАУ и военным ведомством, но со стороны министерства финансов и государственного контроля они встретили препятствия к осуществлению даже самых необходимых минимальных мер. Но само военное ведомство и в том числе ГАУ ничего не сделали, чтобы добиться отпуска кредитов. </w:t>
      </w:r>
    </w:p>
    <w:p w14:paraId="71FE9F68"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lastRenderedPageBreak/>
        <w:t xml:space="preserve">Итак, русская промышленность, слабая сама по себе, когда началась мировая война, оказалась совершенно неподготовленной к. ней в военном отношении. Пришлось прибегнуть к крайнему средству - к заказам за границей, главным образом, в Америке и частью в Англии, Франции и Японии. Правда, слава американского рынка оказалась, как уже было сказано, значительно преувеличенной; рынок был совсем не подготовлен к военным заказам, и техническая гибкость его промышленности оказалась совсем не на высоте. Но в этом на горьком опыте убедились слишком поздно, да иного выхода и не было, так, как Франция и Англия хотя и были более подготовленными в этом отношении, но ввиду колоссальных потребностей фронта сами испытывали острую нужду в боевом снаряжении и могли уделять лишь ничтожную долю производительности своих заводов, прибегая в то же время к заказам тому же американскому рынку. </w:t>
      </w:r>
    </w:p>
    <w:p w14:paraId="50363EE8"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Таким образом, без особо ощутительных для армии результатов, в труднейшее время пришлось влить в амери канский рынок огромные суммы золота, создать и оборудовать там на русские деньги массу военных предприятий, другими словами, произвести за счет России генеральную мобилизацию американской промышленности (11483).</w:t>
      </w:r>
    </w:p>
    <w:p w14:paraId="4C183A4C" w14:textId="77777777" w:rsidR="00B67D7C" w:rsidRPr="00DE096C" w:rsidRDefault="00B67D7C" w:rsidP="00D45A46">
      <w:pPr>
        <w:pStyle w:val="a3"/>
        <w:jc w:val="both"/>
        <w:rPr>
          <w:bCs/>
          <w:i w:val="0"/>
          <w:color w:val="002060"/>
          <w:spacing w:val="0"/>
          <w:kern w:val="0"/>
          <w:position w:val="0"/>
          <w:sz w:val="16"/>
          <w:szCs w:val="16"/>
        </w:rPr>
      </w:pPr>
    </w:p>
    <w:p w14:paraId="588164A7" w14:textId="77777777" w:rsidR="00B67D7C" w:rsidRPr="00DE096C" w:rsidRDefault="00B67D7C" w:rsidP="00D45A46">
      <w:pPr>
        <w:jc w:val="both"/>
        <w:rPr>
          <w:bCs/>
          <w:color w:val="002060"/>
          <w:sz w:val="16"/>
          <w:szCs w:val="16"/>
        </w:rPr>
      </w:pPr>
      <w:r w:rsidRPr="00DE096C">
        <w:rPr>
          <w:bCs/>
          <w:color w:val="002060"/>
          <w:sz w:val="16"/>
          <w:szCs w:val="16"/>
        </w:rPr>
        <w:t>1914. Профессор Папалекси Н. Д. На заводе Федорицкого Н.А. создал первые отечественные генераторные лампы мощно мощностью до 100 Вт. Инженер Ренгартен И.И. построил первый отечественный радиопеленгатор (11223).</w:t>
      </w:r>
    </w:p>
    <w:p w14:paraId="76FF3BD9" w14:textId="77777777" w:rsidR="00B67D7C" w:rsidRPr="00DE096C" w:rsidRDefault="00B67D7C" w:rsidP="00D45A46">
      <w:pPr>
        <w:jc w:val="both"/>
        <w:rPr>
          <w:bCs/>
          <w:color w:val="002060"/>
          <w:sz w:val="16"/>
          <w:szCs w:val="16"/>
        </w:rPr>
      </w:pPr>
    </w:p>
    <w:p w14:paraId="38A7E43A" w14:textId="3ABDD2D2" w:rsidR="00B67D7C" w:rsidRPr="00DE096C" w:rsidRDefault="005D5F9D" w:rsidP="00D45A46">
      <w:pPr>
        <w:shd w:val="clear" w:color="auto" w:fill="FFFFFF"/>
        <w:jc w:val="both"/>
        <w:rPr>
          <w:bCs/>
          <w:color w:val="002060"/>
          <w:sz w:val="16"/>
          <w:szCs w:val="16"/>
        </w:rPr>
      </w:pPr>
      <w:r w:rsidRPr="00DE096C">
        <w:rPr>
          <w:bCs/>
          <w:color w:val="002060"/>
          <w:sz w:val="16"/>
          <w:szCs w:val="16"/>
        </w:rPr>
        <w:t>В</w:t>
      </w:r>
      <w:r w:rsidR="00B67D7C" w:rsidRPr="00DE096C">
        <w:rPr>
          <w:bCs/>
          <w:color w:val="002060"/>
          <w:sz w:val="16"/>
          <w:szCs w:val="16"/>
        </w:rPr>
        <w:t xml:space="preserve"> 1914 году инже</w:t>
      </w:r>
      <w:r w:rsidR="00B67D7C" w:rsidRPr="00DE096C">
        <w:rPr>
          <w:bCs/>
          <w:color w:val="002060"/>
          <w:sz w:val="16"/>
          <w:szCs w:val="16"/>
        </w:rPr>
        <w:softHyphen/>
        <w:t>нером Н.А. Федорицким</w:t>
      </w:r>
      <w:r w:rsidRPr="00DE096C">
        <w:rPr>
          <w:bCs/>
          <w:color w:val="002060"/>
          <w:sz w:val="16"/>
          <w:szCs w:val="16"/>
        </w:rPr>
        <w:t xml:space="preserve"> был основан Завод пустотных аппаратов</w:t>
      </w:r>
      <w:r w:rsidR="00B67D7C" w:rsidRPr="00DE096C">
        <w:rPr>
          <w:bCs/>
          <w:color w:val="002060"/>
          <w:sz w:val="16"/>
          <w:szCs w:val="16"/>
        </w:rPr>
        <w:t>, который был расположен на Фонтанке в доме № 165 в тесном, плохо приспособленном помещении, состояв</w:t>
      </w:r>
      <w:r w:rsidR="00B67D7C" w:rsidRPr="00DE096C">
        <w:rPr>
          <w:bCs/>
          <w:color w:val="002060"/>
          <w:sz w:val="16"/>
          <w:szCs w:val="16"/>
        </w:rPr>
        <w:softHyphen/>
        <w:t>шем из пяти квартир и, естественно, не мог решить задачу мас</w:t>
      </w:r>
      <w:r w:rsidR="00B67D7C" w:rsidRPr="00DE096C">
        <w:rPr>
          <w:bCs/>
          <w:color w:val="002060"/>
          <w:sz w:val="16"/>
          <w:szCs w:val="16"/>
        </w:rPr>
        <w:softHyphen/>
        <w:t>сового производства радиоламп, и организовать новый элек</w:t>
      </w:r>
      <w:r w:rsidR="00B67D7C" w:rsidRPr="00DE096C">
        <w:rPr>
          <w:bCs/>
          <w:color w:val="002060"/>
          <w:sz w:val="16"/>
          <w:szCs w:val="16"/>
        </w:rPr>
        <w:softHyphen/>
        <w:t>тровакуумный завод в помещении бывшего завода РОБТиТ на Лопухинской улице, 14а. Его директором был назначен В.М. Кармашев,техническим директором-профессор М.М. Бо</w:t>
      </w:r>
      <w:r w:rsidR="00B67D7C" w:rsidRPr="00DE096C">
        <w:rPr>
          <w:bCs/>
          <w:color w:val="002060"/>
          <w:sz w:val="16"/>
          <w:szCs w:val="16"/>
        </w:rPr>
        <w:softHyphen/>
        <w:t>гословский. Выпуск массовой продукции начался уже в следую</w:t>
      </w:r>
      <w:r w:rsidR="00B67D7C" w:rsidRPr="00DE096C">
        <w:rPr>
          <w:bCs/>
          <w:color w:val="002060"/>
          <w:sz w:val="16"/>
          <w:szCs w:val="16"/>
        </w:rPr>
        <w:softHyphen/>
        <w:t>щем году. Некоторое представление о деятельности электрова</w:t>
      </w:r>
      <w:r w:rsidR="00B67D7C" w:rsidRPr="00DE096C">
        <w:rPr>
          <w:bCs/>
          <w:color w:val="002060"/>
          <w:sz w:val="16"/>
          <w:szCs w:val="16"/>
        </w:rPr>
        <w:softHyphen/>
        <w:t>куумного завода на территории бывшего завода РОБТиТ дает докладная записка организатора коллектива - руководителя партийной организации Петроградского электровакуумного за</w:t>
      </w:r>
      <w:r w:rsidR="00B67D7C" w:rsidRPr="00DE096C">
        <w:rPr>
          <w:bCs/>
          <w:color w:val="002060"/>
          <w:sz w:val="16"/>
          <w:szCs w:val="16"/>
        </w:rPr>
        <w:softHyphen/>
        <w:t>вода от 23 июля 1923 года. В ней, в частности, говорится: "... хотя и оборудование завода частично не окончено, все время идет производственная работа: приготовляются усилительные лампочки для приёмников радиотелеграфа и радиотелефона, безвоздушные громоотводы и ремонтируются рентгеновские трубки. Ввиду раз</w:t>
      </w:r>
      <w:r w:rsidR="00B67D7C" w:rsidRPr="00DE096C">
        <w:rPr>
          <w:bCs/>
          <w:color w:val="002060"/>
          <w:sz w:val="16"/>
          <w:szCs w:val="16"/>
        </w:rPr>
        <w:softHyphen/>
        <w:t>вития радиотехники и вообще замечательного стремления к за</w:t>
      </w:r>
      <w:r w:rsidR="00B67D7C" w:rsidRPr="00DE096C">
        <w:rPr>
          <w:bCs/>
          <w:color w:val="002060"/>
          <w:sz w:val="16"/>
          <w:szCs w:val="16"/>
        </w:rPr>
        <w:softHyphen/>
        <w:t>мене проводной телефонии и телеграфии беспроводной, наш завод приобретает особо важное значение, так как завода однородно</w:t>
      </w:r>
      <w:r w:rsidR="00B67D7C" w:rsidRPr="00DE096C">
        <w:rPr>
          <w:bCs/>
          <w:color w:val="002060"/>
          <w:sz w:val="16"/>
          <w:szCs w:val="16"/>
        </w:rPr>
        <w:softHyphen/>
        <w:t>го производства в России нет... Кроме того, необходимо заме</w:t>
      </w:r>
      <w:r w:rsidR="00B67D7C" w:rsidRPr="00DE096C">
        <w:rPr>
          <w:bCs/>
          <w:color w:val="002060"/>
          <w:sz w:val="16"/>
          <w:szCs w:val="16"/>
        </w:rPr>
        <w:softHyphen/>
        <w:t>тить, что в связи с предполагаемым переводом радиолаборато</w:t>
      </w:r>
      <w:r w:rsidR="00B67D7C" w:rsidRPr="00DE096C">
        <w:rPr>
          <w:bCs/>
          <w:color w:val="002060"/>
          <w:sz w:val="16"/>
          <w:szCs w:val="16"/>
        </w:rPr>
        <w:softHyphen/>
        <w:t>рии из Москвы и приглашением на этот завод крупных научных сил, как-то Вологдин, Мандельштам, Папалексии др., завод при</w:t>
      </w:r>
      <w:r w:rsidR="00B67D7C" w:rsidRPr="00DE096C">
        <w:rPr>
          <w:bCs/>
          <w:color w:val="002060"/>
          <w:sz w:val="16"/>
          <w:szCs w:val="16"/>
        </w:rPr>
        <w:softHyphen/>
        <w:t>обретает еще более важное значение... " (11481).</w:t>
      </w:r>
    </w:p>
    <w:p w14:paraId="1BEB4A3B" w14:textId="77777777" w:rsidR="00B67D7C" w:rsidRPr="00DE096C" w:rsidRDefault="00B67D7C" w:rsidP="00D45A46">
      <w:pPr>
        <w:jc w:val="both"/>
        <w:rPr>
          <w:bCs/>
          <w:color w:val="002060"/>
          <w:sz w:val="16"/>
          <w:szCs w:val="16"/>
        </w:rPr>
      </w:pPr>
    </w:p>
    <w:p w14:paraId="2C8B8603" w14:textId="77777777" w:rsidR="00B67D7C" w:rsidRPr="00DE096C" w:rsidRDefault="00B67D7C" w:rsidP="00D45A46">
      <w:pPr>
        <w:jc w:val="both"/>
        <w:rPr>
          <w:bCs/>
          <w:color w:val="002060"/>
          <w:sz w:val="16"/>
          <w:szCs w:val="16"/>
        </w:rPr>
      </w:pPr>
      <w:r w:rsidRPr="00DE096C">
        <w:rPr>
          <w:bCs/>
          <w:color w:val="002060"/>
          <w:sz w:val="16"/>
          <w:szCs w:val="16"/>
        </w:rPr>
        <w:t>В 1914 году в Москве была построена Ходынская радиостанция, относившаяся к числу наиболее мощных в Европе (100 квт). После того, как во время гражданской войны вышла из строя радиостанция в Царском Селе под Петроградом, станция на Ходынском поле стала основным центром радиосвязи России. В 1919-20-х годах Ходынская радиостанция работала с предельной нагрузкой, передавая в ночное время наиболее важные новости в другие районы страны, а днем поддерживая связь с заграницей. Столице требовалась новая станция, ее решено было построить на улице Шаболовка, недалеко от радиотелеграфного завода (11223).</w:t>
      </w:r>
    </w:p>
    <w:p w14:paraId="7FA0ECFD" w14:textId="77777777" w:rsidR="00B67D7C" w:rsidRPr="00DE096C" w:rsidRDefault="00B67D7C" w:rsidP="00D45A46">
      <w:pPr>
        <w:jc w:val="both"/>
        <w:rPr>
          <w:bCs/>
          <w:color w:val="002060"/>
          <w:sz w:val="16"/>
          <w:szCs w:val="16"/>
        </w:rPr>
      </w:pPr>
    </w:p>
    <w:p w14:paraId="5BB0A630" w14:textId="22C937CE"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 1914 году ГВТУ приобрело у фабрики Лейтнера 10000 мужских дорожных велосипедов. Этот факт, а также желание ГВТУ дать новый заказ определило ее дальнейшую судьбу. </w:t>
      </w:r>
    </w:p>
    <w:p w14:paraId="22E45814"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К этому времени на фирме работало 450 человек. Только в велопроизводстве было задействовано 1300 станков. Объем выпуска достигал 8000 велосипедов в год, а годовой оборот - 400000 рублей. В том же 1914 году фабрика получает новое название - "Лейтнер". Связано это было с тем, что Александру Александровичу больше не нужно громкое название "Россия" для привлечения покупателей - продукцию его фабрики и так уже знали по всей стране. Дать собственное имя фабрике он имел полное право - ведь она была целиком его детищем.</w:t>
      </w:r>
    </w:p>
    <w:p w14:paraId="2D13CC89"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Летом 1915 года, когда фронт вплотную приблизился к Риге, началась эвакуация предприятий военного значения. Придавая большое значение заказу на военные велосипеды, ГВТУ отдало приказ об эвакуации оборудования и работников фабрики. Кроме того, лицам, работавшим на фабрике, давалась бронь от призыва на военную службу. </w:t>
      </w:r>
    </w:p>
    <w:p w14:paraId="6B9A725E"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Приказ был получен 10 июля 1915 года, а 24 июля имущество фабрики было отправлено со станции Ревель в Харьков, где разместилось в помещении бывшей фабрики Гельферикс-Саде на Корсиковской улице. После этого Александр Александрович Лейтнер вернулся в Ригу. Исполнять обязанности директора в Харькове остался бывший заведующий производством Александр Каспарович Фельдман -- человек с редкостным талантом организатора. </w:t>
      </w:r>
    </w:p>
    <w:p w14:paraId="1F226EBF"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9 февраля 1916 года в Харьков на имя Лейтнера из Москвы был передан патент, техническая документация и образец для производства складного военного велосипеда модели "Дукс Боевой" конструкции М.М. Щипанова. 16 марта был заключен контракт на изготовление 3000 "Дуксов Боевых" для ГВТУ. В Харькове фабрика работала до конца ноября 1917 года. Всего же велосипедов "Дукс Боевой" было изготовлено 3600 штук. </w:t>
      </w:r>
    </w:p>
    <w:p w14:paraId="06FF4CC3"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За 31 год своего существования "Фабрика велосипедов и автомобилей "Россия" А. Лейтнера и К'" прошла путь от мелкой кустарной мастерской до крупнейшего в отрасли предприятия. За это время на ней было выпущено более 100000 велосипедов 60 моделей, 5 моделей мотоциклов и трициклов, несколько вариантов автомобилей. </w:t>
      </w:r>
    </w:p>
    <w:p w14:paraId="0B30913C"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На сегодня известно 14 сохранившихся велосипедов (из них 5 в коллекции автора этих строк ), 2 мотоцикла фабрики Лейтнера, автомобили, к сожалению, до нас не дошли (11274).</w:t>
      </w:r>
    </w:p>
    <w:p w14:paraId="61406DB5" w14:textId="77777777" w:rsidR="00B67D7C" w:rsidRPr="00DE096C" w:rsidRDefault="00B67D7C" w:rsidP="00D45A46">
      <w:pPr>
        <w:pStyle w:val="a3"/>
        <w:jc w:val="both"/>
        <w:rPr>
          <w:bCs/>
          <w:i w:val="0"/>
          <w:color w:val="002060"/>
          <w:spacing w:val="0"/>
          <w:kern w:val="0"/>
          <w:position w:val="0"/>
          <w:sz w:val="16"/>
          <w:szCs w:val="16"/>
        </w:rPr>
      </w:pPr>
    </w:p>
    <w:p w14:paraId="7FBD9A75" w14:textId="77777777" w:rsidR="00B67D7C" w:rsidRPr="00DE096C" w:rsidRDefault="00B67D7C" w:rsidP="00D45A46">
      <w:pPr>
        <w:jc w:val="both"/>
        <w:rPr>
          <w:bCs/>
          <w:color w:val="002060"/>
          <w:sz w:val="16"/>
          <w:szCs w:val="16"/>
        </w:rPr>
      </w:pPr>
      <w:r w:rsidRPr="00DE096C">
        <w:rPr>
          <w:bCs/>
          <w:color w:val="002060"/>
          <w:sz w:val="16"/>
          <w:szCs w:val="16"/>
        </w:rPr>
        <w:t>В 1914 - в России основным средством перевозок и в городе и на селе, главной тягловой силой в сельском хозяйстве была лошадь - их в стране насчитывалось более 32 миллионов - почти треть всех работающих лошадей планеты. Однако, помимо выпуска собственных машин, Россия была крупнейшим в мире импортером автомобилей. Всего к 1914 г. в стране насчитывалось 13 тыс. автомобилей 270 иностранных фирм. Доказательством относительной активности России в этой области может служить тот факт, что первые четыре международные автомобильные выставки (1907, 1908, 1910 и 1913 гг.) состоялись в нашей стране. Несмотря на то, что различные промышленные выставки и автомобильные салоны проводились и в других странах, российские отличались весьма широкой представительностью, великолепием и отличной организацией. Пятая международная автомобильная выставка (1914 г.) проводилась в Париже, и, как отмечают специалисты, на ее организацию существенное влияние оказали предыдущие российские выставки (11275).</w:t>
      </w:r>
    </w:p>
    <w:p w14:paraId="27DB7550" w14:textId="77777777" w:rsidR="00B67D7C" w:rsidRPr="00DE096C" w:rsidRDefault="00B67D7C" w:rsidP="00D45A46">
      <w:pPr>
        <w:jc w:val="both"/>
        <w:rPr>
          <w:bCs/>
          <w:color w:val="002060"/>
          <w:sz w:val="16"/>
          <w:szCs w:val="16"/>
        </w:rPr>
      </w:pPr>
    </w:p>
    <w:p w14:paraId="29304CD0" w14:textId="5A7F1771" w:rsidR="00B67D7C" w:rsidRPr="00DE096C" w:rsidRDefault="00442BC1"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1914 г. </w:t>
      </w:r>
      <w:r w:rsidRPr="00DE096C">
        <w:rPr>
          <w:bCs/>
          <w:color w:val="002060"/>
          <w:sz w:val="16"/>
          <w:szCs w:val="16"/>
        </w:rPr>
        <w:t xml:space="preserve">инженер К. И. Чепурин, которому в Благовещенске </w:t>
      </w:r>
      <w:r w:rsidRPr="00DE096C">
        <w:rPr>
          <w:rStyle w:val="1"/>
          <w:b w:val="0"/>
          <w:bCs/>
          <w:color w:val="002060"/>
          <w:sz w:val="16"/>
          <w:szCs w:val="16"/>
        </w:rPr>
        <w:t>принадлежал машиностроительный завод</w:t>
      </w:r>
      <w:r w:rsidRPr="00DE096C">
        <w:rPr>
          <w:bCs/>
          <w:color w:val="002060"/>
          <w:sz w:val="16"/>
          <w:szCs w:val="16"/>
        </w:rPr>
        <w:t xml:space="preserve">, </w:t>
      </w:r>
      <w:r w:rsidR="00B67D7C" w:rsidRPr="00DE096C">
        <w:rPr>
          <w:bCs/>
          <w:color w:val="002060"/>
          <w:sz w:val="16"/>
          <w:szCs w:val="16"/>
        </w:rPr>
        <w:t xml:space="preserve">сделал первый автомобиль собственной конструкции. Она следовала техническим тенденциям того времени. Автомобиль оснащался двигателем мощностью 20 л. с., и на его шасси могли устанавливаться как двухместные (такой стоял на первом образце), так и четырехместные кузова. Нельзя обойти вниманием опыты и других энтузиастов. И. А. Юшков, владелец поместья в одном из глубинных районов страны, построил самодельный сверхмалый автомобиль с мотоциклетным двигателем, фрикционной трансмиссией, ременной передачей и деревянной рамой. Ф. Линдштрем, механик из Финляндии, входившей тогда в состав Русской империи, построил в 1913 г. двухместный автомобиль "Корвенсуу" с двухцилиндровым двигателем воздушного охлаждения. Ни Линдштрем, ни Юшков их выпуска не начали. "Пузырев-А 28-40" с кузовом торпедо. 1912 г. Не принесли успеха и попытки отдельных промышленных предприятий Петербурга наладить выпуск автомобилей в период 1910- 1914 гг. Среди них двигателестроительный завод Л. Нобеля (ныне "Русский дизель") и вагоностроительный "Феникс". Когда войска противника осенью 1915 г. подошли к Риге, РБВЗ был эвакуирован, причем его автомобильный отдел перебазировался в Петроград, где уже несколько лет работало его авиационное отделение. Там удалось развернуть изготовление машин семейства "С", используя заготовки и детали, вывезенные из Риги. Одновременно ремонтировались и поступившие с фронта автомобили. </w:t>
      </w:r>
      <w:r w:rsidR="00B67D7C" w:rsidRPr="00DE096C">
        <w:rPr>
          <w:rStyle w:val="1"/>
          <w:b w:val="0"/>
          <w:bCs/>
          <w:color w:val="002060"/>
          <w:sz w:val="16"/>
          <w:szCs w:val="16"/>
        </w:rPr>
        <w:t>Ежемесячно завод сдавал</w:t>
      </w:r>
      <w:r w:rsidR="00B67D7C" w:rsidRPr="00DE096C">
        <w:rPr>
          <w:bCs/>
          <w:color w:val="002060"/>
          <w:sz w:val="16"/>
          <w:szCs w:val="16"/>
        </w:rPr>
        <w:t xml:space="preserve"> 25 машин, отремонтированных и новых. Сборка новых "Руссо-Балтов" продолжалась вплоть до января 1919 г. Однако столь мизерного количества - нескольких сотен машин в год - явно недоставало русской армии, которая по моторизации заметно отставала от союзников. Закупки автомобилей в США, Франции, Англии и Италии позволяли как-то решить проблему. Практически сведенное к нулю, отечественное автомобилестроение в этой критической ситуации нуждалось в решительном обновлении и расширении (12098).</w:t>
      </w:r>
    </w:p>
    <w:p w14:paraId="3CFF9DBB" w14:textId="77777777" w:rsidR="00B67D7C" w:rsidRPr="00DE096C" w:rsidRDefault="00B67D7C" w:rsidP="00D45A46">
      <w:pPr>
        <w:jc w:val="both"/>
        <w:rPr>
          <w:bCs/>
          <w:color w:val="002060"/>
          <w:sz w:val="16"/>
          <w:szCs w:val="16"/>
        </w:rPr>
      </w:pPr>
    </w:p>
    <w:p w14:paraId="3552E46E" w14:textId="3D3A928F" w:rsidR="00B67D7C" w:rsidRPr="00DE096C" w:rsidRDefault="00442BC1"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1914 г.</w:t>
      </w:r>
      <w:r w:rsidRPr="00DE096C">
        <w:rPr>
          <w:bCs/>
          <w:color w:val="002060"/>
          <w:sz w:val="16"/>
          <w:szCs w:val="16"/>
        </w:rPr>
        <w:t xml:space="preserve"> Россия ввезла </w:t>
      </w:r>
      <w:r w:rsidR="00B67D7C" w:rsidRPr="00DE096C">
        <w:rPr>
          <w:bCs/>
          <w:color w:val="002060"/>
          <w:sz w:val="16"/>
          <w:szCs w:val="16"/>
        </w:rPr>
        <w:t xml:space="preserve">- 4590 машин. </w:t>
      </w:r>
      <w:r w:rsidRPr="00DE096C">
        <w:rPr>
          <w:bCs/>
          <w:color w:val="002060"/>
          <w:sz w:val="16"/>
          <w:szCs w:val="16"/>
        </w:rPr>
        <w:t xml:space="preserve">В 1911 г. - 2717 автомобилей, в 1912 г.- 3440, в 1913- 5416. </w:t>
      </w:r>
      <w:r w:rsidR="00B67D7C" w:rsidRPr="00DE096C">
        <w:rPr>
          <w:bCs/>
          <w:color w:val="002060"/>
          <w:sz w:val="16"/>
          <w:szCs w:val="16"/>
        </w:rPr>
        <w:t xml:space="preserve">Доля </w:t>
      </w:r>
      <w:r w:rsidR="00B67D7C" w:rsidRPr="00DE096C">
        <w:rPr>
          <w:rStyle w:val="10"/>
          <w:bCs/>
          <w:color w:val="002060"/>
          <w:sz w:val="16"/>
          <w:szCs w:val="16"/>
        </w:rPr>
        <w:t>русских машин</w:t>
      </w:r>
      <w:r w:rsidR="00B67D7C" w:rsidRPr="00DE096C">
        <w:rPr>
          <w:bCs/>
          <w:color w:val="002060"/>
          <w:sz w:val="16"/>
          <w:szCs w:val="16"/>
        </w:rPr>
        <w:t xml:space="preserve"> в автомобильном парке России в 1914 г. оказалась невелика - не более 10%. Пополнение его шло благодаря импорту, преимущественно из Германии и Франции. Эвакуация РБВЗ, свертывание даже незначительного </w:t>
      </w:r>
      <w:r w:rsidR="00B67D7C" w:rsidRPr="00DE096C">
        <w:rPr>
          <w:rStyle w:val="10"/>
          <w:bCs/>
          <w:color w:val="002060"/>
          <w:sz w:val="16"/>
          <w:szCs w:val="16"/>
        </w:rPr>
        <w:t>производства другими заводами</w:t>
      </w:r>
      <w:r w:rsidR="00B67D7C" w:rsidRPr="00DE096C">
        <w:rPr>
          <w:bCs/>
          <w:color w:val="002060"/>
          <w:sz w:val="16"/>
          <w:szCs w:val="16"/>
        </w:rPr>
        <w:t>, задержки со строительством шести новых предприятий привели к тому, что в канун Великой Октябрьской социалистической революции страна не имела собственного автомобилестроения и могла рассчитывать только на ремонт для поддержания на ходу имевшегося транспорта и ввоз автомобилей (12098).</w:t>
      </w:r>
    </w:p>
    <w:p w14:paraId="48120D1A" w14:textId="77777777" w:rsidR="00B67D7C" w:rsidRPr="00DE096C" w:rsidRDefault="00B67D7C" w:rsidP="00D45A46">
      <w:pPr>
        <w:jc w:val="both"/>
        <w:rPr>
          <w:bCs/>
          <w:color w:val="002060"/>
          <w:sz w:val="16"/>
          <w:szCs w:val="16"/>
        </w:rPr>
      </w:pPr>
    </w:p>
    <w:p w14:paraId="337D737A" w14:textId="77777777" w:rsidR="00B67D7C" w:rsidRPr="00DE096C" w:rsidRDefault="00B67D7C" w:rsidP="00D45A46">
      <w:pPr>
        <w:shd w:val="clear" w:color="auto" w:fill="FFFFFF"/>
        <w:jc w:val="both"/>
        <w:rPr>
          <w:bCs/>
          <w:iCs/>
          <w:color w:val="002060"/>
          <w:sz w:val="16"/>
          <w:szCs w:val="16"/>
        </w:rPr>
      </w:pPr>
      <w:r w:rsidRPr="00DE096C">
        <w:rPr>
          <w:bCs/>
          <w:iCs/>
          <w:color w:val="002060"/>
          <w:sz w:val="16"/>
          <w:szCs w:val="16"/>
        </w:rPr>
        <w:t>В 1914 году начали устанавливать пеленгаторные станции. Приём был уже на лампы и телефоны. Тогда же производили пе</w:t>
      </w:r>
      <w:r w:rsidRPr="00DE096C">
        <w:rPr>
          <w:bCs/>
          <w:iCs/>
          <w:color w:val="002060"/>
          <w:sz w:val="16"/>
          <w:szCs w:val="16"/>
        </w:rPr>
        <w:softHyphen/>
        <w:t>ленгование грозовых разрядов совместно с компанией "Маркони", чтобы определить их очаг. Говорили, что очаг находится где-то в африканской пустыне.</w:t>
      </w:r>
    </w:p>
    <w:p w14:paraId="6EC3EE67" w14:textId="77777777" w:rsidR="00B67D7C" w:rsidRPr="00DE096C" w:rsidRDefault="00B67D7C" w:rsidP="00D45A46">
      <w:pPr>
        <w:shd w:val="clear" w:color="auto" w:fill="FFFFFF"/>
        <w:jc w:val="both"/>
        <w:rPr>
          <w:bCs/>
          <w:iCs/>
          <w:color w:val="002060"/>
          <w:sz w:val="16"/>
          <w:szCs w:val="16"/>
        </w:rPr>
      </w:pPr>
      <w:r w:rsidRPr="00DE096C">
        <w:rPr>
          <w:bCs/>
          <w:iCs/>
          <w:color w:val="002060"/>
          <w:sz w:val="16"/>
          <w:szCs w:val="16"/>
        </w:rPr>
        <w:t>В1915 году в Москве на Ходынке начали строить длинновол</w:t>
      </w:r>
      <w:r w:rsidRPr="00DE096C">
        <w:rPr>
          <w:bCs/>
          <w:iCs/>
          <w:color w:val="002060"/>
          <w:sz w:val="16"/>
          <w:szCs w:val="16"/>
        </w:rPr>
        <w:softHyphen/>
        <w:t>новую радиостанцию, тоже искровую, мощностью 300 кВт. Сред</w:t>
      </w:r>
      <w:r w:rsidRPr="00DE096C">
        <w:rPr>
          <w:bCs/>
          <w:iCs/>
          <w:color w:val="002060"/>
          <w:sz w:val="16"/>
          <w:szCs w:val="16"/>
        </w:rPr>
        <w:softHyphen/>
        <w:t>нюю железную мачту высотой 120 м делал и ставил завод "Бари ". Крайние мачты были деревянные высотой 20 м. Заземление состо</w:t>
      </w:r>
      <w:r w:rsidRPr="00DE096C">
        <w:rPr>
          <w:bCs/>
          <w:iCs/>
          <w:color w:val="002060"/>
          <w:sz w:val="16"/>
          <w:szCs w:val="16"/>
        </w:rPr>
        <w:softHyphen/>
        <w:t>яло из 5 железных труб, опущенных на глубину грунтовых вод. Кроме этого, имелось заземление в виде сети под мачтами из мед</w:t>
      </w:r>
      <w:r w:rsidRPr="00DE096C">
        <w:rPr>
          <w:bCs/>
          <w:iCs/>
          <w:color w:val="002060"/>
          <w:sz w:val="16"/>
          <w:szCs w:val="16"/>
        </w:rPr>
        <w:softHyphen/>
        <w:t xml:space="preserve">ной проволоки, зарытой на 20-25 см. Силовая установка состояла из двух дизелей Коломенского завода </w:t>
      </w:r>
      <w:r w:rsidRPr="00DE096C">
        <w:rPr>
          <w:bCs/>
          <w:iCs/>
          <w:color w:val="002060"/>
          <w:sz w:val="16"/>
          <w:szCs w:val="16"/>
        </w:rPr>
        <w:lastRenderedPageBreak/>
        <w:t>мощностью 400 л.с. каждый и батареи аккумуляторов, а также 10 или 16 умформеров завода Чибисова. Посредством реле они соединялись с вращающимся дис</w:t>
      </w:r>
      <w:r w:rsidRPr="00DE096C">
        <w:rPr>
          <w:bCs/>
          <w:iCs/>
          <w:color w:val="002060"/>
          <w:sz w:val="16"/>
          <w:szCs w:val="16"/>
        </w:rPr>
        <w:softHyphen/>
        <w:t>ковым разрядником. Контур состоял из батареи масляных лейдено ких конденсаторов и медной посеребренной спирали. Приемная стан</w:t>
      </w:r>
      <w:r w:rsidRPr="00DE096C">
        <w:rPr>
          <w:bCs/>
          <w:iCs/>
          <w:color w:val="002060"/>
          <w:sz w:val="16"/>
          <w:szCs w:val="16"/>
        </w:rPr>
        <w:softHyphen/>
        <w:t>ция была ламповая для приема на ленту, слух и фонограф. Подоб</w:t>
      </w:r>
      <w:r w:rsidRPr="00DE096C">
        <w:rPr>
          <w:bCs/>
          <w:iCs/>
          <w:color w:val="002060"/>
          <w:sz w:val="16"/>
          <w:szCs w:val="16"/>
        </w:rPr>
        <w:softHyphen/>
        <w:t>ная станция одновременно строилась другим инженером в Царс</w:t>
      </w:r>
      <w:r w:rsidRPr="00DE096C">
        <w:rPr>
          <w:bCs/>
          <w:iCs/>
          <w:color w:val="002060"/>
          <w:sz w:val="16"/>
          <w:szCs w:val="16"/>
        </w:rPr>
        <w:softHyphen/>
        <w:t>ком Селе ".</w:t>
      </w:r>
    </w:p>
    <w:p w14:paraId="6D9DD283" w14:textId="77777777" w:rsidR="00B67D7C" w:rsidRPr="00DE096C" w:rsidRDefault="00B67D7C" w:rsidP="00D45A46">
      <w:pPr>
        <w:shd w:val="clear" w:color="auto" w:fill="FFFFFF"/>
        <w:jc w:val="both"/>
        <w:rPr>
          <w:bCs/>
          <w:iCs/>
          <w:color w:val="002060"/>
          <w:sz w:val="16"/>
          <w:szCs w:val="16"/>
        </w:rPr>
      </w:pPr>
      <w:r w:rsidRPr="00DE096C">
        <w:rPr>
          <w:bCs/>
          <w:iCs/>
          <w:color w:val="002060"/>
          <w:sz w:val="16"/>
          <w:szCs w:val="16"/>
        </w:rPr>
        <w:t>В 1916 г. и начале 1917г. мною устанавливались радиостан-ции и пеленгаторы в Балтийском море и на островах Энксе. Люм, Преете и др. Начали также строить дуговою радиостанцию, но не успели её закончить, так как немцы начали с а эронланов обстре</w:t>
      </w:r>
      <w:r w:rsidRPr="00DE096C">
        <w:rPr>
          <w:bCs/>
          <w:iCs/>
          <w:color w:val="002060"/>
          <w:sz w:val="16"/>
          <w:szCs w:val="16"/>
        </w:rPr>
        <w:softHyphen/>
        <w:t>ливать стройку т пулеметов (11481).</w:t>
      </w:r>
    </w:p>
    <w:p w14:paraId="5AA1D769" w14:textId="77777777" w:rsidR="00B67D7C" w:rsidRPr="00DE096C" w:rsidRDefault="00B67D7C" w:rsidP="00D45A46">
      <w:pPr>
        <w:jc w:val="both"/>
        <w:rPr>
          <w:bCs/>
          <w:iCs/>
          <w:color w:val="002060"/>
          <w:sz w:val="16"/>
          <w:szCs w:val="16"/>
        </w:rPr>
      </w:pPr>
    </w:p>
    <w:p w14:paraId="42B2EBDF" w14:textId="7E2BD4FF" w:rsidR="00B67D7C" w:rsidRPr="00DE096C" w:rsidRDefault="00B67D7C" w:rsidP="00D45A46">
      <w:pPr>
        <w:shd w:val="clear" w:color="auto" w:fill="FFFFFF"/>
        <w:jc w:val="both"/>
        <w:rPr>
          <w:bCs/>
          <w:color w:val="002060"/>
          <w:sz w:val="16"/>
          <w:szCs w:val="16"/>
        </w:rPr>
      </w:pPr>
      <w:r w:rsidRPr="00DE096C">
        <w:rPr>
          <w:bCs/>
          <w:color w:val="002060"/>
          <w:sz w:val="16"/>
          <w:szCs w:val="16"/>
        </w:rPr>
        <w:t>Вплоть до 1914 года завод РОБТиТ действовал в условиях жесткой конкуренции с фирмой "Сименс-Гальске", которая тоже поставляла радиотелеграфные аппараты на вооружение сухопут</w:t>
      </w:r>
      <w:r w:rsidRPr="00DE096C">
        <w:rPr>
          <w:bCs/>
          <w:color w:val="002060"/>
          <w:sz w:val="16"/>
          <w:szCs w:val="16"/>
        </w:rPr>
        <w:softHyphen/>
        <w:t>ных войск Русской армии. Акционерное общество "Телефункен", в руки которого перешел контрольный пакет ее акций, всячески тормозило строительство передающих радиостанций, стремясь к тому, чтобы к началу войны с Германией Россия не имела мощ</w:t>
      </w:r>
      <w:r w:rsidRPr="00DE096C">
        <w:rPr>
          <w:bCs/>
          <w:color w:val="002060"/>
          <w:sz w:val="16"/>
          <w:szCs w:val="16"/>
        </w:rPr>
        <w:softHyphen/>
        <w:t>ных радиостанций для связи со своими западными союзниками. В 1913г. РОБТиТ разработало и в 1914</w:t>
      </w:r>
      <w:r w:rsidR="007E2CA5" w:rsidRPr="00DE096C">
        <w:rPr>
          <w:bCs/>
          <w:color w:val="002060"/>
          <w:sz w:val="16"/>
          <w:szCs w:val="16"/>
        </w:rPr>
        <w:t xml:space="preserve"> </w:t>
      </w:r>
      <w:r w:rsidRPr="00DE096C">
        <w:rPr>
          <w:bCs/>
          <w:color w:val="002060"/>
          <w:sz w:val="16"/>
          <w:szCs w:val="16"/>
        </w:rPr>
        <w:t>г. построило на тер</w:t>
      </w:r>
      <w:r w:rsidRPr="00DE096C">
        <w:rPr>
          <w:bCs/>
          <w:color w:val="002060"/>
          <w:sz w:val="16"/>
          <w:szCs w:val="16"/>
        </w:rPr>
        <w:softHyphen/>
        <w:t>ритории своего завода опытный передатчик искрового типа мощ</w:t>
      </w:r>
      <w:r w:rsidRPr="00DE096C">
        <w:rPr>
          <w:bCs/>
          <w:color w:val="002060"/>
          <w:sz w:val="16"/>
          <w:szCs w:val="16"/>
        </w:rPr>
        <w:softHyphen/>
        <w:t>ностью 100кВт, работавший на волне 9300 м. В том же году был заключен контракт с Российским военным ведомством на изго</w:t>
      </w:r>
      <w:r w:rsidRPr="00DE096C">
        <w:rPr>
          <w:bCs/>
          <w:color w:val="002060"/>
          <w:sz w:val="16"/>
          <w:szCs w:val="16"/>
        </w:rPr>
        <w:softHyphen/>
        <w:t>товление и установку 100кВт искровой радиостанции в г. Нико</w:t>
      </w:r>
      <w:r w:rsidRPr="00DE096C">
        <w:rPr>
          <w:bCs/>
          <w:color w:val="002060"/>
          <w:sz w:val="16"/>
          <w:szCs w:val="16"/>
        </w:rPr>
        <w:softHyphen/>
        <w:t>лаев Херсонской губернии.</w:t>
      </w:r>
    </w:p>
    <w:p w14:paraId="650FA14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предвоенный период и во время войны особенно активи</w:t>
      </w:r>
      <w:r w:rsidRPr="00DE096C">
        <w:rPr>
          <w:bCs/>
          <w:color w:val="002060"/>
          <w:sz w:val="16"/>
          <w:szCs w:val="16"/>
        </w:rPr>
        <w:softHyphen/>
        <w:t>зировалась творческая деятельность отечественных радиоспеци</w:t>
      </w:r>
      <w:r w:rsidRPr="00DE096C">
        <w:rPr>
          <w:bCs/>
          <w:color w:val="002060"/>
          <w:sz w:val="16"/>
          <w:szCs w:val="16"/>
        </w:rPr>
        <w:softHyphen/>
        <w:t>алистов. Ими был накоплен значительный опыт в оригинальных исследованиях, конструировании и строительстве аппаратуры бес</w:t>
      </w:r>
      <w:r w:rsidRPr="00DE096C">
        <w:rPr>
          <w:bCs/>
          <w:color w:val="002060"/>
          <w:sz w:val="16"/>
          <w:szCs w:val="16"/>
        </w:rPr>
        <w:softHyphen/>
        <w:t>проволочного телеграфирования. Завод РОБТиТ перед войной располагал хорошей промышленной базой и имел отлаженные производственные связи с отечественными и зарубежными про</w:t>
      </w:r>
      <w:r w:rsidRPr="00DE096C">
        <w:rPr>
          <w:bCs/>
          <w:color w:val="002060"/>
          <w:sz w:val="16"/>
          <w:szCs w:val="16"/>
        </w:rPr>
        <w:softHyphen/>
        <w:t>изводителями:</w:t>
      </w:r>
    </w:p>
    <w:p w14:paraId="23ABF844"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мощные 450-сильные дизели поставлял Коломенский маши</w:t>
      </w:r>
      <w:r w:rsidRPr="00DE096C">
        <w:rPr>
          <w:bCs/>
          <w:color w:val="002060"/>
          <w:sz w:val="16"/>
          <w:szCs w:val="16"/>
        </w:rPr>
        <w:softHyphen/>
        <w:t>ностроительный завод;</w:t>
      </w:r>
    </w:p>
    <w:p w14:paraId="176014C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динамомашины поступали с заводов Всеобщей компании электричества в Риге;</w:t>
      </w:r>
    </w:p>
    <w:p w14:paraId="5C0917F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изоляторы поступали с фарфорового завода Ессен (Петрог</w:t>
      </w:r>
      <w:r w:rsidRPr="00DE096C">
        <w:rPr>
          <w:bCs/>
          <w:color w:val="002060"/>
          <w:sz w:val="16"/>
          <w:szCs w:val="16"/>
        </w:rPr>
        <w:softHyphen/>
        <w:t>рад);</w:t>
      </w:r>
    </w:p>
    <w:p w14:paraId="63E92F20"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Рижский канатный завод поставлял тросы для антенного та</w:t>
      </w:r>
      <w:r w:rsidRPr="00DE096C">
        <w:rPr>
          <w:bCs/>
          <w:color w:val="002060"/>
          <w:sz w:val="16"/>
          <w:szCs w:val="16"/>
        </w:rPr>
        <w:softHyphen/>
        <w:t>келажа;</w:t>
      </w:r>
    </w:p>
    <w:p w14:paraId="03C1DB03"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бронзовый кабель для воздушной сети поступал с Киевского кабельного завода;</w:t>
      </w:r>
    </w:p>
    <w:p w14:paraId="3EFBA349"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товарищество "Проволока" в Петрограде поставляло про</w:t>
      </w:r>
      <w:r w:rsidRPr="00DE096C">
        <w:rPr>
          <w:bCs/>
          <w:color w:val="002060"/>
          <w:sz w:val="16"/>
          <w:szCs w:val="16"/>
        </w:rPr>
        <w:softHyphen/>
        <w:t>вод;</w:t>
      </w:r>
    </w:p>
    <w:p w14:paraId="56B3ECE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аккумуляторные батареи изготавливались </w:t>
      </w:r>
      <w:r w:rsidRPr="00DE096C">
        <w:rPr>
          <w:bCs/>
          <w:color w:val="002060"/>
          <w:sz w:val="16"/>
          <w:szCs w:val="16"/>
          <w:lang w:val="en-US"/>
        </w:rPr>
        <w:t>iia</w:t>
      </w:r>
      <w:r w:rsidRPr="00DE096C">
        <w:rPr>
          <w:bCs/>
          <w:color w:val="002060"/>
          <w:sz w:val="16"/>
          <w:szCs w:val="16"/>
        </w:rPr>
        <w:t xml:space="preserve"> Петроградском заводе "Тюдор".</w:t>
      </w:r>
    </w:p>
    <w:p w14:paraId="4F943B6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Наиболее активными зарубежными поставщиками РОБТиТ были:</w:t>
      </w:r>
    </w:p>
    <w:p w14:paraId="04B79DF6"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английская фирма "Хыодж" - транформаторное железо, ан</w:t>
      </w:r>
      <w:r w:rsidRPr="00DE096C">
        <w:rPr>
          <w:bCs/>
          <w:color w:val="002060"/>
          <w:sz w:val="16"/>
          <w:szCs w:val="16"/>
        </w:rPr>
        <w:softHyphen/>
        <w:t>тенный канатик;</w:t>
      </w:r>
    </w:p>
    <w:p w14:paraId="13339B0B"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немецкий завод Фр. Хесрман, Всстфалия (1912-1914) про</w:t>
      </w:r>
      <w:r w:rsidRPr="00DE096C">
        <w:rPr>
          <w:bCs/>
          <w:color w:val="002060"/>
          <w:sz w:val="16"/>
          <w:szCs w:val="16"/>
        </w:rPr>
        <w:softHyphen/>
        <w:t>вод медный с шелковой и эмалированной изоляцией; фирма "Гаргман и Браун", Франкфурт-на-Майпс (до вой</w:t>
      </w:r>
      <w:r w:rsidRPr="00DE096C">
        <w:rPr>
          <w:bCs/>
          <w:color w:val="002060"/>
          <w:sz w:val="16"/>
          <w:szCs w:val="16"/>
        </w:rPr>
        <w:softHyphen/>
        <w:t>ны) амперметры, гальванометры, частотомеры; фирма "Нильс Остман", Всствилль, Нью-Джерси, США (с 1914 года через Владивосток) минералы для целей радиоте</w:t>
      </w:r>
      <w:r w:rsidRPr="00DE096C">
        <w:rPr>
          <w:bCs/>
          <w:color w:val="002060"/>
          <w:sz w:val="16"/>
          <w:szCs w:val="16"/>
        </w:rPr>
        <w:softHyphen/>
        <w:t>леграфии: цинкит, карборунд, металлический висмут, соли радия, алюминия и др.</w:t>
      </w:r>
    </w:p>
    <w:p w14:paraId="3DCFC31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Ряд узлов и деталей поставлялся предприятиями компании Маркони.</w:t>
      </w:r>
    </w:p>
    <w:p w14:paraId="667B6DB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Завод производил большую номенклатуру радиоприёмни</w:t>
      </w:r>
      <w:r w:rsidRPr="00DE096C">
        <w:rPr>
          <w:bCs/>
          <w:color w:val="002060"/>
          <w:sz w:val="16"/>
          <w:szCs w:val="16"/>
        </w:rPr>
        <w:softHyphen/>
        <w:t>ков детекторного типа различного назначения (11481).</w:t>
      </w:r>
    </w:p>
    <w:p w14:paraId="282D0011" w14:textId="77777777" w:rsidR="00B67D7C" w:rsidRPr="00DE096C" w:rsidRDefault="00B67D7C" w:rsidP="00D45A46">
      <w:pPr>
        <w:jc w:val="both"/>
        <w:rPr>
          <w:bCs/>
          <w:color w:val="002060"/>
          <w:sz w:val="16"/>
          <w:szCs w:val="16"/>
        </w:rPr>
      </w:pPr>
    </w:p>
    <w:p w14:paraId="376090D0" w14:textId="6ED1BBAE" w:rsidR="00B67D7C" w:rsidRPr="00DE096C" w:rsidRDefault="00B67D7C" w:rsidP="00D45A46">
      <w:pPr>
        <w:jc w:val="both"/>
        <w:rPr>
          <w:bCs/>
          <w:color w:val="002060"/>
          <w:sz w:val="16"/>
          <w:szCs w:val="16"/>
        </w:rPr>
      </w:pPr>
      <w:r w:rsidRPr="00DE096C">
        <w:rPr>
          <w:bCs/>
          <w:color w:val="002060"/>
          <w:sz w:val="16"/>
          <w:szCs w:val="16"/>
        </w:rPr>
        <w:t>В 1914 г. после начала 1-й Мировой войны немецкое руководство покинуло завод</w:t>
      </w:r>
      <w:r w:rsidR="007E2CA5" w:rsidRPr="00DE096C">
        <w:rPr>
          <w:bCs/>
          <w:color w:val="002060"/>
          <w:sz w:val="16"/>
          <w:szCs w:val="16"/>
        </w:rPr>
        <w:t xml:space="preserve"> динамо-машин «Сименс-Шуккерт»</w:t>
      </w:r>
      <w:r w:rsidRPr="00DE096C">
        <w:rPr>
          <w:bCs/>
          <w:color w:val="002060"/>
          <w:sz w:val="16"/>
          <w:szCs w:val="16"/>
        </w:rPr>
        <w:t xml:space="preserve">, который затем был национализирован, руководителем назначен Л.Б. Красин. </w:t>
      </w:r>
      <w:r w:rsidR="007E2CA5" w:rsidRPr="00DE096C">
        <w:rPr>
          <w:bCs/>
          <w:color w:val="002060"/>
          <w:sz w:val="16"/>
          <w:szCs w:val="16"/>
        </w:rPr>
        <w:t>(Завод динамо-машин «Сименс-Шуккерт», Завод динамомашин № 2 ВСНХ, Завод динамомашии № 25 ВСНХ, Петроградский государственный завод «Электросила» ВСНХ, Ленинградский электромеханический завод «Электросила» ВСНХ, Электромашиностроительный завод «Электросила» им. Егорова ВСНХ, НКТП, Электромашиностроительный завод «Электросила» им. С.М. Кирова НКТП, НКМС, НКЭП, МЭП, МЭСЭП, ЛенСНХ, МЭТП, ОАО «Электросила» /г. Санкт-Петербург,</w:t>
      </w:r>
      <w:r w:rsidR="0006581C">
        <w:rPr>
          <w:bCs/>
          <w:color w:val="002060"/>
          <w:sz w:val="16"/>
          <w:szCs w:val="16"/>
        </w:rPr>
        <w:t xml:space="preserve"> </w:t>
      </w:r>
      <w:r w:rsidR="007E2CA5" w:rsidRPr="00DE096C">
        <w:rPr>
          <w:bCs/>
          <w:color w:val="002060"/>
          <w:sz w:val="16"/>
          <w:szCs w:val="16"/>
        </w:rPr>
        <w:t>г. Ленинград/ /196006</w:t>
      </w:r>
      <w:r w:rsidR="0006581C">
        <w:rPr>
          <w:bCs/>
          <w:color w:val="002060"/>
          <w:sz w:val="16"/>
          <w:szCs w:val="16"/>
        </w:rPr>
        <w:t xml:space="preserve"> </w:t>
      </w:r>
      <w:r w:rsidR="007E2CA5" w:rsidRPr="00DE096C">
        <w:rPr>
          <w:bCs/>
          <w:color w:val="002060"/>
          <w:sz w:val="16"/>
          <w:szCs w:val="16"/>
        </w:rPr>
        <w:t xml:space="preserve">г. Санкт-Петербург Московский пр., 139/) </w:t>
      </w:r>
      <w:r w:rsidRPr="00DE096C">
        <w:rPr>
          <w:bCs/>
          <w:color w:val="002060"/>
          <w:sz w:val="16"/>
          <w:szCs w:val="16"/>
        </w:rPr>
        <w:t>В годы 1-й Мировой войны- производство электрооборудования (электрических машин, тяговых электродвигателей, трансформаторов, высоковольтного оборудования) для судостроения.</w:t>
      </w:r>
      <w:r w:rsidRPr="00DE096C">
        <w:rPr>
          <w:bCs/>
          <w:color w:val="002060"/>
          <w:sz w:val="16"/>
          <w:szCs w:val="16"/>
          <w:vertAlign w:val="superscript"/>
        </w:rPr>
        <w:t>92</w:t>
      </w:r>
    </w:p>
    <w:p w14:paraId="0EA042F9" w14:textId="77777777" w:rsidR="00B67D7C" w:rsidRPr="00DE096C" w:rsidRDefault="00B67D7C" w:rsidP="00D45A46">
      <w:pPr>
        <w:jc w:val="both"/>
        <w:rPr>
          <w:bCs/>
          <w:color w:val="002060"/>
          <w:sz w:val="16"/>
          <w:szCs w:val="16"/>
        </w:rPr>
      </w:pPr>
      <w:r w:rsidRPr="00DE096C">
        <w:rPr>
          <w:bCs/>
          <w:color w:val="002060"/>
          <w:sz w:val="16"/>
          <w:szCs w:val="16"/>
        </w:rPr>
        <w:t>Пост. ВСНХ от 18.01.1919 г. завод национализирован, передан в ведение электротехнической секции СНХ Северного района и переименован в завод динамомашин № 2. В 1920 г. переименован в завод динамомашин № 25 электротехнической секции Петроградского СНХ, в 1922 г. перешел в ведение треста «Динамомашина» ВСНХ. В 11.1922 г. переименован в Петроградский государственный завод «Электросила» Эльмаштреста ВСНХ. В 1923- 25 г. к заводу были присоединены завод «Гидравлика», аккумуляторный завод № 2, бывший завод Артура Коппеля. В 01.1926 г. Ленинградский электромеханический завод «Электросила» передан в ведение ГЭТ ВСНХ. В 01.1930 г. переименован в Электромашиностроительный завод «Электросила» ВЭО ВСНХ. В 1931 г. завод носил имя Егорова, в 1932 г. передан в ведение НКТП, 28.12.1934 г. заводу присвоено имя С.М. Кирова. В 1936-38 г. находился в ведении Главэнергопрома НКМС, затем передан в НКЭП.</w:t>
      </w:r>
    </w:p>
    <w:p w14:paraId="353601E8" w14:textId="1FDEFC18" w:rsidR="00B67D7C" w:rsidRPr="00DE096C" w:rsidRDefault="00B67D7C" w:rsidP="00D45A46">
      <w:pPr>
        <w:jc w:val="both"/>
        <w:rPr>
          <w:bCs/>
          <w:color w:val="002060"/>
          <w:sz w:val="16"/>
          <w:szCs w:val="16"/>
        </w:rPr>
      </w:pPr>
      <w:r w:rsidRPr="00DE096C">
        <w:rPr>
          <w:bCs/>
          <w:color w:val="002060"/>
          <w:sz w:val="16"/>
          <w:szCs w:val="16"/>
        </w:rPr>
        <w:t>Производство генераторов, электромоторов, ртутных выпрямителей, трансформаторов, различной аппаратуры. В 1930-е</w:t>
      </w:r>
      <w:r w:rsidR="0006581C">
        <w:rPr>
          <w:bCs/>
          <w:color w:val="002060"/>
          <w:sz w:val="16"/>
          <w:szCs w:val="16"/>
        </w:rPr>
        <w:t xml:space="preserve"> </w:t>
      </w:r>
      <w:r w:rsidRPr="00DE096C">
        <w:rPr>
          <w:bCs/>
          <w:color w:val="002060"/>
          <w:sz w:val="16"/>
          <w:szCs w:val="16"/>
        </w:rPr>
        <w:t>г. завод начал специализироваться на разработке и изготовлении турбогенераторов мощностью до 1200 МВт, гидрогенераторов до 700 МВт; электродвигателей: постоянного тока для флота, прокатных станов до 25 МВт; переменного тока для горнодобывающей и металлургической промышленности. По пр. НКМ/НКОП № 704/334 от 1.09.1938 г. заводу поручено изготовить в 1940-41 г. 8 генераторов для гидротурбин мощностью по 55 МВт для ГЭС в Рыбинске и Угличе.</w:t>
      </w:r>
    </w:p>
    <w:p w14:paraId="73F3E4A4" w14:textId="77777777" w:rsidR="00B67D7C" w:rsidRPr="00DE096C" w:rsidRDefault="00B67D7C" w:rsidP="00D45A46">
      <w:pPr>
        <w:jc w:val="both"/>
        <w:rPr>
          <w:bCs/>
          <w:color w:val="002060"/>
          <w:sz w:val="16"/>
          <w:szCs w:val="16"/>
        </w:rPr>
      </w:pPr>
      <w:r w:rsidRPr="00DE096C">
        <w:rPr>
          <w:bCs/>
          <w:color w:val="002060"/>
          <w:sz w:val="16"/>
          <w:szCs w:val="16"/>
        </w:rPr>
        <w:t>В соответствии с пост. ГКО № 99сс от 11.07.1941 г. цех генераторов завода подлежал эвакуации на площадку строительства Верхнесалдинского завода металлоконструкций. С началом войны завод эвакуирован в Томск (первые эшелоны прибыли 10.08.1941 г.) и послужил основой для будущего завода «Сибэлектромотор».</w:t>
      </w:r>
    </w:p>
    <w:p w14:paraId="6E974CBB" w14:textId="77777777" w:rsidR="00B67D7C" w:rsidRPr="00DE096C" w:rsidRDefault="00B67D7C" w:rsidP="00D45A46">
      <w:pPr>
        <w:jc w:val="both"/>
        <w:rPr>
          <w:bCs/>
          <w:color w:val="002060"/>
          <w:sz w:val="16"/>
          <w:szCs w:val="16"/>
        </w:rPr>
      </w:pPr>
      <w:r w:rsidRPr="00DE096C">
        <w:rPr>
          <w:bCs/>
          <w:color w:val="002060"/>
          <w:sz w:val="16"/>
          <w:szCs w:val="16"/>
        </w:rPr>
        <w:t>6.03.1943 г. вышло постановление ГКО № 2991 о мерах по восстановлению производств турбогенераторов, гидрогенераторов и крупных электромашин на заводе. По распоряжению ГКО № 4487 от 2.11.1943 г. на завод направлено 43 демобилизованных квалифицированных рабочих.</w:t>
      </w:r>
    </w:p>
    <w:p w14:paraId="3D67842A" w14:textId="77777777" w:rsidR="00B67D7C" w:rsidRPr="00DE096C" w:rsidRDefault="00B67D7C" w:rsidP="00D45A46">
      <w:pPr>
        <w:jc w:val="both"/>
        <w:rPr>
          <w:bCs/>
          <w:color w:val="002060"/>
          <w:sz w:val="16"/>
          <w:szCs w:val="16"/>
        </w:rPr>
      </w:pPr>
      <w:r w:rsidRPr="00DE096C">
        <w:rPr>
          <w:bCs/>
          <w:color w:val="002060"/>
          <w:sz w:val="16"/>
          <w:szCs w:val="16"/>
        </w:rPr>
        <w:t>В 1948-49 г. изготовлен магнит для синхроциклотрона в Дубне массой 7 тыс. т из блоков длиной по 18 м, массой по 120 т.</w:t>
      </w:r>
    </w:p>
    <w:p w14:paraId="47461E31" w14:textId="77777777" w:rsidR="00B67D7C" w:rsidRPr="00DE096C" w:rsidRDefault="00B67D7C" w:rsidP="00D45A46">
      <w:pPr>
        <w:jc w:val="both"/>
        <w:rPr>
          <w:bCs/>
          <w:color w:val="002060"/>
          <w:sz w:val="16"/>
          <w:szCs w:val="16"/>
        </w:rPr>
      </w:pPr>
      <w:r w:rsidRPr="00DE096C">
        <w:rPr>
          <w:bCs/>
          <w:color w:val="002060"/>
          <w:sz w:val="16"/>
          <w:szCs w:val="16"/>
        </w:rPr>
        <w:t>При заводе в 1958 г. действовал филиал НИИ-627. Распоряжением правительства № 2748-рс от 30.09.1959 г. Отдел электроники и борьбы с радиопомехами филиала передан в ведение Минсвязи.</w:t>
      </w:r>
    </w:p>
    <w:p w14:paraId="68011CF5" w14:textId="061FBF90" w:rsidR="00B67D7C" w:rsidRPr="00DE096C" w:rsidRDefault="00B67D7C" w:rsidP="00D45A46">
      <w:pPr>
        <w:jc w:val="both"/>
        <w:rPr>
          <w:bCs/>
          <w:color w:val="002060"/>
          <w:sz w:val="16"/>
          <w:szCs w:val="16"/>
        </w:rPr>
      </w:pPr>
      <w:r w:rsidRPr="00DE096C">
        <w:rPr>
          <w:bCs/>
          <w:color w:val="002060"/>
          <w:sz w:val="16"/>
          <w:szCs w:val="16"/>
        </w:rPr>
        <w:t>С 1946 г. электромашиностроительный завод «Электросила» - в ведении МЭП, МЭСЭП (1953-54 г.), МЭП (1954-57 г.), Управления электропромышленности ЛенСНХ (1957-65 г.). Далее - в ведении МЭТП. В 1950-70-е</w:t>
      </w:r>
      <w:r w:rsidR="0006581C">
        <w:rPr>
          <w:bCs/>
          <w:color w:val="002060"/>
          <w:sz w:val="16"/>
          <w:szCs w:val="16"/>
        </w:rPr>
        <w:t xml:space="preserve"> </w:t>
      </w:r>
      <w:r w:rsidRPr="00DE096C">
        <w:rPr>
          <w:bCs/>
          <w:color w:val="002060"/>
          <w:sz w:val="16"/>
          <w:szCs w:val="16"/>
        </w:rPr>
        <w:t>г. завод «Электросила» являлся головным в отрасли. В 1958 г. в состав предприятия вошел ПЭМЗ. Производство турбогенераторов мощностью до 220 МВт было передано на завод «п/я 240»; производство электрических машин малых мощностей - на другие предприятия.</w:t>
      </w:r>
    </w:p>
    <w:p w14:paraId="0DC0D712" w14:textId="77777777" w:rsidR="00B67D7C" w:rsidRPr="00DE096C" w:rsidRDefault="00B67D7C" w:rsidP="00D45A46">
      <w:pPr>
        <w:jc w:val="both"/>
        <w:rPr>
          <w:bCs/>
          <w:color w:val="002060"/>
          <w:sz w:val="16"/>
          <w:szCs w:val="16"/>
        </w:rPr>
      </w:pPr>
      <w:r w:rsidRPr="00DE096C">
        <w:rPr>
          <w:bCs/>
          <w:color w:val="002060"/>
          <w:sz w:val="16"/>
          <w:szCs w:val="16"/>
        </w:rPr>
        <w:t>Пост. ЛенСНХ от 2.10.1962 г. на базе завода как головного предприятия создано ЛПЭО «Электросила» (в 1964 г. ему присвоено имя С.М. Кирова), в состав которого вошли также завод «п/я 240», ПЭМЗ, Великолукский завод «Реостат», Ленинградский филиал НИИ-627, СКТБ горнорудного оборудования.</w:t>
      </w:r>
      <w:r w:rsidRPr="00DE096C">
        <w:rPr>
          <w:bCs/>
          <w:color w:val="002060"/>
          <w:sz w:val="16"/>
          <w:szCs w:val="16"/>
          <w:vertAlign w:val="superscript"/>
        </w:rPr>
        <w:t>131</w:t>
      </w:r>
    </w:p>
    <w:p w14:paraId="3A078EE1" w14:textId="77777777" w:rsidR="00B67D7C" w:rsidRPr="00DE096C" w:rsidRDefault="00B67D7C" w:rsidP="00D45A46">
      <w:pPr>
        <w:jc w:val="both"/>
        <w:rPr>
          <w:bCs/>
          <w:color w:val="002060"/>
          <w:sz w:val="16"/>
          <w:szCs w:val="16"/>
        </w:rPr>
      </w:pPr>
      <w:r w:rsidRPr="00DE096C">
        <w:rPr>
          <w:bCs/>
          <w:color w:val="002060"/>
          <w:sz w:val="16"/>
          <w:szCs w:val="16"/>
        </w:rPr>
        <w:t>На 2000 г. генераторами «Электросилы» оснащены в России (СНГ): 80% (60%) электростанций, 90% (70%) ГЭС, почти 100% (100%) АЭС.</w:t>
      </w:r>
    </w:p>
    <w:p w14:paraId="4F011033" w14:textId="77777777" w:rsidR="00B67D7C" w:rsidRPr="00DE096C" w:rsidRDefault="00B67D7C" w:rsidP="00D45A46">
      <w:pPr>
        <w:jc w:val="both"/>
        <w:rPr>
          <w:bCs/>
          <w:color w:val="002060"/>
          <w:sz w:val="16"/>
          <w:szCs w:val="16"/>
        </w:rPr>
      </w:pPr>
      <w:r w:rsidRPr="00DE096C">
        <w:rPr>
          <w:bCs/>
          <w:color w:val="002060"/>
          <w:sz w:val="16"/>
          <w:szCs w:val="16"/>
        </w:rPr>
        <w:t>В 1992 г. предприятие преобразовано в АООТ, затем - ОАО «Электросила». Имелось дочернее предприятие (2002 г.)- Великолукский завод «Реостат». С 2000 г. ОАО «Электросила» вошло в концерн «Силовые машины».</w:t>
      </w:r>
    </w:p>
    <w:p w14:paraId="76D752C9" w14:textId="77777777" w:rsidR="00B67D7C" w:rsidRPr="00DE096C" w:rsidRDefault="00B67D7C" w:rsidP="00D45A46">
      <w:pPr>
        <w:jc w:val="both"/>
        <w:rPr>
          <w:bCs/>
          <w:color w:val="002060"/>
          <w:sz w:val="16"/>
          <w:szCs w:val="16"/>
        </w:rPr>
      </w:pPr>
      <w:r w:rsidRPr="00DE096C">
        <w:rPr>
          <w:bCs/>
          <w:color w:val="002060"/>
          <w:sz w:val="16"/>
          <w:szCs w:val="16"/>
        </w:rPr>
        <w:t>Численность персонала (1913 г.)- 900 чел.</w:t>
      </w:r>
    </w:p>
    <w:p w14:paraId="3D8FD631" w14:textId="77777777" w:rsidR="00B67D7C" w:rsidRPr="00DE096C" w:rsidRDefault="00B67D7C" w:rsidP="00D45A46">
      <w:pPr>
        <w:jc w:val="both"/>
        <w:rPr>
          <w:bCs/>
          <w:color w:val="002060"/>
          <w:sz w:val="16"/>
          <w:szCs w:val="16"/>
        </w:rPr>
      </w:pPr>
      <w:r w:rsidRPr="00DE096C">
        <w:rPr>
          <w:bCs/>
          <w:color w:val="002060"/>
          <w:sz w:val="16"/>
          <w:szCs w:val="16"/>
        </w:rPr>
        <w:t>Директор (1910-е)- Л.Б. Красин, (09.1938 г.)- Бриль. Гендиректор (1990-е)- В. Чернышев, (-2003-06 г.-)- Р.А. Урусов.</w:t>
      </w:r>
    </w:p>
    <w:p w14:paraId="5218E24D" w14:textId="77777777" w:rsidR="00B67D7C" w:rsidRPr="00DE096C" w:rsidRDefault="00B67D7C" w:rsidP="00D45A46">
      <w:pPr>
        <w:jc w:val="both"/>
        <w:rPr>
          <w:bCs/>
          <w:color w:val="002060"/>
          <w:sz w:val="16"/>
          <w:szCs w:val="16"/>
        </w:rPr>
      </w:pPr>
      <w:r w:rsidRPr="00DE096C">
        <w:rPr>
          <w:bCs/>
          <w:color w:val="002060"/>
          <w:sz w:val="16"/>
          <w:szCs w:val="16"/>
        </w:rPr>
        <w:t>Директор по персоналу и социальным вопросам (2007 г.)- В.А. Куншенко.</w:t>
      </w:r>
    </w:p>
    <w:p w14:paraId="1FAE8F46" w14:textId="77777777" w:rsidR="00B67D7C" w:rsidRPr="00DE096C" w:rsidRDefault="00B67D7C" w:rsidP="00D45A46">
      <w:pPr>
        <w:jc w:val="both"/>
        <w:rPr>
          <w:bCs/>
          <w:color w:val="002060"/>
          <w:sz w:val="16"/>
          <w:szCs w:val="16"/>
        </w:rPr>
      </w:pPr>
      <w:r w:rsidRPr="00DE096C">
        <w:rPr>
          <w:bCs/>
          <w:color w:val="002060"/>
          <w:sz w:val="16"/>
          <w:szCs w:val="16"/>
        </w:rPr>
        <w:t>Начальники цехов: (-1941 г.)- Н.А. Богородицкий.</w:t>
      </w:r>
    </w:p>
    <w:p w14:paraId="06BB281B" w14:textId="77777777" w:rsidR="00B67D7C" w:rsidRPr="00DE096C" w:rsidRDefault="00B67D7C" w:rsidP="00D45A46">
      <w:pPr>
        <w:jc w:val="both"/>
        <w:rPr>
          <w:bCs/>
          <w:color w:val="002060"/>
          <w:sz w:val="16"/>
          <w:szCs w:val="16"/>
        </w:rPr>
      </w:pPr>
      <w:r w:rsidRPr="00DE096C">
        <w:rPr>
          <w:bCs/>
          <w:color w:val="002060"/>
          <w:sz w:val="16"/>
          <w:szCs w:val="16"/>
        </w:rPr>
        <w:t>Создано: погружные электродвигатели для движительно-рулевых комплексов подводных аппаратов.</w:t>
      </w:r>
    </w:p>
    <w:p w14:paraId="54FE45B6" w14:textId="77777777" w:rsidR="00B67D7C" w:rsidRPr="00DE096C" w:rsidRDefault="00B67D7C" w:rsidP="00D45A46">
      <w:pPr>
        <w:jc w:val="both"/>
        <w:rPr>
          <w:bCs/>
          <w:color w:val="002060"/>
          <w:sz w:val="16"/>
          <w:szCs w:val="16"/>
        </w:rPr>
      </w:pPr>
      <w:r w:rsidRPr="00DE096C">
        <w:rPr>
          <w:bCs/>
          <w:color w:val="002060"/>
          <w:sz w:val="16"/>
          <w:szCs w:val="16"/>
        </w:rPr>
        <w:t>Производство: электродвигатели: гребные для ПЛ (-1913-35-); для электроторпеды (1937); АД-21, -22, -31, - 32, -41, -42, -51, -52, постоянного тока ПН-5, -17,1, -28,5 (1938); электрооборудование для лесовозов I, П серии (1925); генераторы для гидротурбин Саяно-Шушенской ГЭС (1970-е).</w:t>
      </w:r>
    </w:p>
    <w:p w14:paraId="39C52FE8" w14:textId="77777777" w:rsidR="00B67D7C" w:rsidRPr="00DE096C" w:rsidRDefault="00B67D7C" w:rsidP="00D45A46">
      <w:pPr>
        <w:jc w:val="both"/>
        <w:rPr>
          <w:bCs/>
          <w:color w:val="002060"/>
          <w:sz w:val="16"/>
          <w:szCs w:val="16"/>
        </w:rPr>
      </w:pPr>
      <w:r w:rsidRPr="00DE096C">
        <w:rPr>
          <w:bCs/>
          <w:color w:val="002060"/>
          <w:sz w:val="16"/>
          <w:szCs w:val="16"/>
        </w:rPr>
        <w:t>АО «Артур Коппель»</w:t>
      </w:r>
    </w:p>
    <w:p w14:paraId="5CCBBA7C" w14:textId="77777777" w:rsidR="00B67D7C" w:rsidRPr="00DE096C" w:rsidRDefault="00B67D7C" w:rsidP="00D45A46">
      <w:pPr>
        <w:jc w:val="both"/>
        <w:rPr>
          <w:bCs/>
          <w:color w:val="002060"/>
          <w:sz w:val="16"/>
          <w:szCs w:val="16"/>
        </w:rPr>
      </w:pPr>
      <w:r w:rsidRPr="00DE096C">
        <w:rPr>
          <w:bCs/>
          <w:color w:val="002060"/>
          <w:sz w:val="16"/>
          <w:szCs w:val="16"/>
        </w:rPr>
        <w:t>В 1923-25 г. бывший завод Артура Коппеля влит в состав завода «Электросила».</w:t>
      </w:r>
    </w:p>
    <w:p w14:paraId="0EBE13C5" w14:textId="77777777" w:rsidR="00B67D7C" w:rsidRPr="00DE096C" w:rsidRDefault="00B67D7C" w:rsidP="00D45A46">
      <w:pPr>
        <w:jc w:val="both"/>
        <w:rPr>
          <w:bCs/>
          <w:color w:val="002060"/>
          <w:sz w:val="16"/>
          <w:szCs w:val="16"/>
        </w:rPr>
      </w:pPr>
      <w:r w:rsidRPr="00DE096C">
        <w:rPr>
          <w:bCs/>
          <w:color w:val="002060"/>
          <w:sz w:val="16"/>
          <w:szCs w:val="16"/>
        </w:rPr>
        <w:t>Производство: ручные и электрические лебедки, прожекторы для канонерских лодок (1905).</w:t>
      </w:r>
      <w:r w:rsidRPr="00DE096C">
        <w:rPr>
          <w:bCs/>
          <w:color w:val="002060"/>
          <w:sz w:val="16"/>
          <w:szCs w:val="16"/>
          <w:vertAlign w:val="superscript"/>
        </w:rPr>
        <w:t xml:space="preserve">114 </w:t>
      </w:r>
      <w:r w:rsidRPr="00DE096C">
        <w:rPr>
          <w:bCs/>
          <w:color w:val="002060"/>
          <w:sz w:val="16"/>
          <w:szCs w:val="16"/>
        </w:rPr>
        <w:t>Аккумуляторный завод «Рекс», Петроградский государственный аккумуляторный завод № 2 ВСНХ</w:t>
      </w:r>
    </w:p>
    <w:p w14:paraId="2D09358C" w14:textId="77777777" w:rsidR="00B67D7C" w:rsidRPr="00DE096C" w:rsidRDefault="00B67D7C" w:rsidP="00D45A46">
      <w:pPr>
        <w:jc w:val="both"/>
        <w:rPr>
          <w:bCs/>
          <w:color w:val="002060"/>
          <w:sz w:val="16"/>
          <w:szCs w:val="16"/>
        </w:rPr>
      </w:pPr>
      <w:r w:rsidRPr="00DE096C">
        <w:rPr>
          <w:bCs/>
          <w:color w:val="002060"/>
          <w:sz w:val="16"/>
          <w:szCs w:val="16"/>
        </w:rPr>
        <w:t>Аккумуляторный завод «Рекс» АО электрических аккумуляторов «Рекс» основан в 1912 г. Производство аккумуляторов для ПЛ (1916 г.).</w:t>
      </w:r>
    </w:p>
    <w:p w14:paraId="5558128D" w14:textId="77777777" w:rsidR="00B67D7C" w:rsidRPr="00DE096C" w:rsidRDefault="00B67D7C" w:rsidP="00D45A46">
      <w:pPr>
        <w:jc w:val="both"/>
        <w:rPr>
          <w:bCs/>
          <w:color w:val="002060"/>
          <w:sz w:val="16"/>
          <w:szCs w:val="16"/>
        </w:rPr>
      </w:pPr>
      <w:r w:rsidRPr="00DE096C">
        <w:rPr>
          <w:bCs/>
          <w:color w:val="002060"/>
          <w:sz w:val="16"/>
          <w:szCs w:val="16"/>
        </w:rPr>
        <w:t>Пост. ВСНХ от 19.03.1919 г. завод национализирован, передан в ведение СНХ Северного района и переименован в государственный аккумуляторный завод № 2. В 04.1922 г. завод вошел в состав Петроградского аккумуляторного треста Севзаппромбюро, 1.12.1922 г. законсервирован. В соответствии с пост. Севзаппромбюро от 17.11.1924 г. аккумуляторный завод № 2 вошел в состав завода «Электросила».</w:t>
      </w:r>
    </w:p>
    <w:p w14:paraId="2ECC8B22" w14:textId="77777777" w:rsidR="00B67D7C" w:rsidRPr="00DE096C" w:rsidRDefault="00B67D7C" w:rsidP="00D45A46">
      <w:pPr>
        <w:jc w:val="both"/>
        <w:rPr>
          <w:bCs/>
          <w:color w:val="002060"/>
          <w:sz w:val="16"/>
          <w:szCs w:val="16"/>
        </w:rPr>
      </w:pPr>
      <w:r w:rsidRPr="00DE096C">
        <w:rPr>
          <w:bCs/>
          <w:color w:val="002060"/>
          <w:sz w:val="16"/>
          <w:szCs w:val="16"/>
        </w:rPr>
        <w:t>В 1919 г. было открыто отделение завода на Черноморском побережье.</w:t>
      </w:r>
      <w:r w:rsidRPr="00DE096C">
        <w:rPr>
          <w:bCs/>
          <w:color w:val="002060"/>
          <w:sz w:val="16"/>
          <w:szCs w:val="16"/>
          <w:vertAlign w:val="superscript"/>
        </w:rPr>
        <w:t>131</w:t>
      </w:r>
    </w:p>
    <w:p w14:paraId="78025E01" w14:textId="77777777" w:rsidR="00B67D7C" w:rsidRPr="00DE096C" w:rsidRDefault="00B67D7C" w:rsidP="00D45A46">
      <w:pPr>
        <w:jc w:val="both"/>
        <w:rPr>
          <w:bCs/>
          <w:color w:val="002060"/>
          <w:sz w:val="16"/>
          <w:szCs w:val="16"/>
        </w:rPr>
      </w:pPr>
      <w:r w:rsidRPr="00DE096C">
        <w:rPr>
          <w:bCs/>
          <w:color w:val="002060"/>
          <w:sz w:val="16"/>
          <w:szCs w:val="16"/>
        </w:rPr>
        <w:t>СКБ завода «Электросила»</w:t>
      </w:r>
    </w:p>
    <w:p w14:paraId="0DDD5795" w14:textId="77777777" w:rsidR="00B67D7C" w:rsidRPr="00DE096C" w:rsidRDefault="00B67D7C" w:rsidP="00D45A46">
      <w:pPr>
        <w:jc w:val="both"/>
        <w:rPr>
          <w:bCs/>
          <w:color w:val="002060"/>
          <w:sz w:val="16"/>
          <w:szCs w:val="16"/>
        </w:rPr>
      </w:pPr>
      <w:r w:rsidRPr="00DE096C">
        <w:rPr>
          <w:bCs/>
          <w:color w:val="002060"/>
          <w:sz w:val="16"/>
          <w:szCs w:val="16"/>
        </w:rPr>
        <w:t>Разработка рабочего проекта синхроциклотрона в Дубне, магнитной системы (Н.А. Моносзон), электрооборудования для него под руководством Д.В. Ефремова (1948-49 г.).</w:t>
      </w:r>
    </w:p>
    <w:p w14:paraId="7F75B57C" w14:textId="77777777" w:rsidR="00B67D7C" w:rsidRPr="00DE096C" w:rsidRDefault="00B67D7C" w:rsidP="00D45A46">
      <w:pPr>
        <w:jc w:val="both"/>
        <w:rPr>
          <w:bCs/>
          <w:color w:val="002060"/>
          <w:sz w:val="16"/>
          <w:szCs w:val="16"/>
        </w:rPr>
      </w:pPr>
      <w:r w:rsidRPr="00DE096C">
        <w:rPr>
          <w:bCs/>
          <w:color w:val="002060"/>
          <w:sz w:val="16"/>
          <w:szCs w:val="16"/>
        </w:rPr>
        <w:t>Руководитель (-1948-49 г.-)- Е. Г. Комар.</w:t>
      </w:r>
    </w:p>
    <w:p w14:paraId="61C04563" w14:textId="77777777" w:rsidR="00B67D7C" w:rsidRPr="00DE096C" w:rsidRDefault="00B67D7C" w:rsidP="00D45A46">
      <w:pPr>
        <w:jc w:val="both"/>
        <w:rPr>
          <w:bCs/>
          <w:color w:val="002060"/>
          <w:sz w:val="16"/>
          <w:szCs w:val="16"/>
        </w:rPr>
      </w:pPr>
      <w:r w:rsidRPr="00DE096C">
        <w:rPr>
          <w:bCs/>
          <w:color w:val="002060"/>
          <w:sz w:val="16"/>
          <w:szCs w:val="16"/>
        </w:rPr>
        <w:t>Гл. конструкторы: (1948 г.)- И.Ф. Малышев (электромагнит, др. узлы ускорителя).</w:t>
      </w:r>
    </w:p>
    <w:p w14:paraId="2832E42C" w14:textId="77777777" w:rsidR="00B67D7C" w:rsidRPr="00DE096C" w:rsidRDefault="00B67D7C" w:rsidP="00D45A46">
      <w:pPr>
        <w:jc w:val="both"/>
        <w:rPr>
          <w:bCs/>
          <w:color w:val="002060"/>
          <w:sz w:val="16"/>
          <w:szCs w:val="16"/>
        </w:rPr>
      </w:pPr>
      <w:r w:rsidRPr="00DE096C">
        <w:rPr>
          <w:bCs/>
          <w:color w:val="002060"/>
          <w:sz w:val="16"/>
          <w:szCs w:val="16"/>
        </w:rPr>
        <w:t>Дважды ордена Ленина, ордена Трудового Красного Знамени, ордена Октябрьской Революции Ленинградское производственное электромашиностроительное объединение (ЛПЭО) «Электросила» им. С.М. Кирова ЛенСНХ, МЭТП</w:t>
      </w:r>
    </w:p>
    <w:p w14:paraId="43683377" w14:textId="77777777" w:rsidR="00B67D7C" w:rsidRPr="00DE096C" w:rsidRDefault="00B67D7C" w:rsidP="00D45A46">
      <w:pPr>
        <w:jc w:val="both"/>
        <w:rPr>
          <w:bCs/>
          <w:color w:val="002060"/>
          <w:sz w:val="16"/>
          <w:szCs w:val="16"/>
        </w:rPr>
      </w:pPr>
      <w:r w:rsidRPr="00DE096C">
        <w:rPr>
          <w:bCs/>
          <w:color w:val="002060"/>
          <w:sz w:val="16"/>
          <w:szCs w:val="16"/>
        </w:rPr>
        <w:lastRenderedPageBreak/>
        <w:t>Пост. ЛенСНХ от 2.10.1962 г. на базе завода как головного предприятия создано ЛПЭО «Электросила» (в 1964 г. ему присвоено имя С.М. Кирова), в состав которого вошли также предприятие п/я 240, ПЭМЗ, Великолукский завод «Реостат», Ленинградский филиал НИИ-627, СКТБ горнорудного оборудования.</w:t>
      </w:r>
    </w:p>
    <w:p w14:paraId="0F8B4103" w14:textId="77777777" w:rsidR="00B67D7C" w:rsidRPr="00DE096C" w:rsidRDefault="00B67D7C" w:rsidP="00D45A46">
      <w:pPr>
        <w:jc w:val="both"/>
        <w:rPr>
          <w:bCs/>
          <w:color w:val="002060"/>
          <w:sz w:val="16"/>
          <w:szCs w:val="16"/>
        </w:rPr>
      </w:pPr>
      <w:r w:rsidRPr="00DE096C">
        <w:rPr>
          <w:bCs/>
          <w:color w:val="002060"/>
          <w:sz w:val="16"/>
          <w:szCs w:val="16"/>
        </w:rPr>
        <w:t>Пост, правительства от 12.09.1965 г. ЛПЭО передано в ведение ГУ по производству турбогенераторов, гидрогенераторов и крупных электрических машин МЭТП, с 28.01.1975 г. ЛПЭО вошло в состав ВПО «Союзэлектротяжмаш» МЭТП.</w:t>
      </w:r>
      <w:r w:rsidRPr="00DE096C">
        <w:rPr>
          <w:bCs/>
          <w:color w:val="002060"/>
          <w:sz w:val="16"/>
          <w:szCs w:val="16"/>
          <w:vertAlign w:val="superscript"/>
        </w:rPr>
        <w:t>131</w:t>
      </w:r>
    </w:p>
    <w:p w14:paraId="6C49CF54" w14:textId="77777777" w:rsidR="00B67D7C" w:rsidRPr="00DE096C" w:rsidRDefault="00B67D7C" w:rsidP="00D45A46">
      <w:pPr>
        <w:jc w:val="both"/>
        <w:rPr>
          <w:bCs/>
          <w:color w:val="002060"/>
          <w:sz w:val="16"/>
          <w:szCs w:val="16"/>
        </w:rPr>
      </w:pPr>
      <w:r w:rsidRPr="00DE096C">
        <w:rPr>
          <w:bCs/>
          <w:color w:val="002060"/>
          <w:sz w:val="16"/>
          <w:szCs w:val="16"/>
        </w:rPr>
        <w:t>Завод «Металлист», Псковский электромашиностроительный завод (ПЭМЗ) им. 60-летия СССР, ОАО «ПЭМЗ»</w:t>
      </w:r>
    </w:p>
    <w:p w14:paraId="66A3AF0B" w14:textId="4DBF918E" w:rsidR="00B67D7C" w:rsidRPr="00DE096C" w:rsidRDefault="00B67D7C" w:rsidP="00D45A46">
      <w:pPr>
        <w:jc w:val="both"/>
        <w:rPr>
          <w:bCs/>
          <w:color w:val="002060"/>
          <w:sz w:val="16"/>
          <w:szCs w:val="16"/>
        </w:rPr>
      </w:pPr>
      <w:r w:rsidRPr="00DE096C">
        <w:rPr>
          <w:bCs/>
          <w:color w:val="002060"/>
          <w:sz w:val="16"/>
          <w:szCs w:val="16"/>
        </w:rPr>
        <w:t>/180004</w:t>
      </w:r>
      <w:r w:rsidR="0006581C">
        <w:rPr>
          <w:bCs/>
          <w:color w:val="002060"/>
          <w:sz w:val="16"/>
          <w:szCs w:val="16"/>
        </w:rPr>
        <w:t xml:space="preserve"> </w:t>
      </w:r>
      <w:r w:rsidRPr="00DE096C">
        <w:rPr>
          <w:bCs/>
          <w:color w:val="002060"/>
          <w:sz w:val="16"/>
          <w:szCs w:val="16"/>
        </w:rPr>
        <w:t xml:space="preserve">г. Псков Октябрьский пр., 27 тел. 16-82-53 </w:t>
      </w:r>
      <w:hyperlink r:id="rId57" w:history="1">
        <w:r w:rsidRPr="00DE096C">
          <w:rPr>
            <w:bCs/>
            <w:color w:val="002060"/>
            <w:sz w:val="16"/>
            <w:szCs w:val="16"/>
            <w:lang w:val="en-US"/>
          </w:rPr>
          <w:t>www</w:t>
        </w:r>
        <w:r w:rsidRPr="00DE096C">
          <w:rPr>
            <w:bCs/>
            <w:color w:val="002060"/>
            <w:sz w:val="16"/>
            <w:szCs w:val="16"/>
          </w:rPr>
          <w:t>.</w:t>
        </w:r>
        <w:r w:rsidRPr="00DE096C">
          <w:rPr>
            <w:bCs/>
            <w:color w:val="002060"/>
            <w:sz w:val="16"/>
            <w:szCs w:val="16"/>
            <w:lang w:val="en-US"/>
          </w:rPr>
          <w:t>pemz</w:t>
        </w:r>
        <w:r w:rsidRPr="00DE096C">
          <w:rPr>
            <w:bCs/>
            <w:color w:val="002060"/>
            <w:sz w:val="16"/>
            <w:szCs w:val="16"/>
          </w:rPr>
          <w:t>.</w:t>
        </w:r>
        <w:r w:rsidRPr="00DE096C">
          <w:rPr>
            <w:bCs/>
            <w:color w:val="002060"/>
            <w:sz w:val="16"/>
            <w:szCs w:val="16"/>
            <w:lang w:val="en-US"/>
          </w:rPr>
          <w:t>ru</w:t>
        </w:r>
        <w:r w:rsidRPr="00DE096C">
          <w:rPr>
            <w:bCs/>
            <w:color w:val="002060"/>
            <w:sz w:val="16"/>
            <w:szCs w:val="16"/>
          </w:rPr>
          <w:t>/</w:t>
        </w:r>
      </w:hyperlink>
    </w:p>
    <w:p w14:paraId="307F17A2" w14:textId="2E7A8D4F" w:rsidR="00B67D7C" w:rsidRPr="00DE096C" w:rsidRDefault="00B67D7C" w:rsidP="00D45A46">
      <w:pPr>
        <w:jc w:val="both"/>
        <w:rPr>
          <w:bCs/>
          <w:color w:val="002060"/>
          <w:sz w:val="16"/>
          <w:szCs w:val="16"/>
        </w:rPr>
      </w:pPr>
      <w:r w:rsidRPr="00DE096C">
        <w:rPr>
          <w:bCs/>
          <w:color w:val="002060"/>
          <w:sz w:val="16"/>
          <w:szCs w:val="16"/>
        </w:rPr>
        <w:t>Основан в 12.1895 г. А. Штейном как слесарная мастерская. В 1920-е</w:t>
      </w:r>
      <w:r w:rsidR="0006581C">
        <w:rPr>
          <w:bCs/>
          <w:color w:val="002060"/>
          <w:sz w:val="16"/>
          <w:szCs w:val="16"/>
        </w:rPr>
        <w:t xml:space="preserve"> </w:t>
      </w:r>
      <w:r w:rsidRPr="00DE096C">
        <w:rPr>
          <w:bCs/>
          <w:color w:val="002060"/>
          <w:sz w:val="16"/>
          <w:szCs w:val="16"/>
        </w:rPr>
        <w:t>г. завод получил название «Металлист». Производство оборудования для льноперерабатывающей промышленности и добычи торфа.</w:t>
      </w:r>
    </w:p>
    <w:p w14:paraId="16BA6524" w14:textId="44919296" w:rsidR="00B67D7C" w:rsidRPr="00DE096C" w:rsidRDefault="00B67D7C" w:rsidP="00D45A46">
      <w:pPr>
        <w:jc w:val="both"/>
        <w:rPr>
          <w:bCs/>
          <w:color w:val="002060"/>
          <w:sz w:val="16"/>
          <w:szCs w:val="16"/>
        </w:rPr>
      </w:pPr>
      <w:r w:rsidRPr="00DE096C">
        <w:rPr>
          <w:bCs/>
          <w:color w:val="002060"/>
          <w:sz w:val="16"/>
          <w:szCs w:val="16"/>
        </w:rPr>
        <w:t>В годы войны завод был полностью разрушен, затем восстановлен. В 1958 г. завод вошел в состав завода «Электросила» (а с 10.1962 г.- ЛПЭО «Электросила») и перепрофилирован на электромашиностроение. Производство электрических машин постоянного тока. В 1970-е</w:t>
      </w:r>
      <w:r w:rsidR="0006581C">
        <w:rPr>
          <w:bCs/>
          <w:color w:val="002060"/>
          <w:sz w:val="16"/>
          <w:szCs w:val="16"/>
        </w:rPr>
        <w:t xml:space="preserve"> </w:t>
      </w:r>
      <w:r w:rsidRPr="00DE096C">
        <w:rPr>
          <w:bCs/>
          <w:color w:val="002060"/>
          <w:sz w:val="16"/>
          <w:szCs w:val="16"/>
        </w:rPr>
        <w:t>г. в Японии закуплено оборудование по производству микродвигателей для кассетных магнитофонов.</w:t>
      </w:r>
    </w:p>
    <w:p w14:paraId="07C6CDE7" w14:textId="77777777" w:rsidR="00B67D7C" w:rsidRPr="00DE096C" w:rsidRDefault="00B67D7C" w:rsidP="00D45A46">
      <w:pPr>
        <w:jc w:val="both"/>
        <w:rPr>
          <w:bCs/>
          <w:color w:val="002060"/>
          <w:sz w:val="16"/>
          <w:szCs w:val="16"/>
        </w:rPr>
      </w:pPr>
      <w:r w:rsidRPr="00DE096C">
        <w:rPr>
          <w:bCs/>
          <w:color w:val="002060"/>
          <w:sz w:val="16"/>
          <w:szCs w:val="16"/>
        </w:rPr>
        <w:t>В 1982 г. заводу присвоено имя 60-летия СССР.</w:t>
      </w:r>
    </w:p>
    <w:p w14:paraId="70D5D6C1" w14:textId="77777777" w:rsidR="00B67D7C" w:rsidRPr="00DE096C" w:rsidRDefault="00B67D7C" w:rsidP="00D45A46">
      <w:pPr>
        <w:jc w:val="both"/>
        <w:rPr>
          <w:bCs/>
          <w:color w:val="002060"/>
          <w:sz w:val="16"/>
          <w:szCs w:val="16"/>
        </w:rPr>
      </w:pPr>
      <w:r w:rsidRPr="00DE096C">
        <w:rPr>
          <w:bCs/>
          <w:color w:val="002060"/>
          <w:sz w:val="16"/>
          <w:szCs w:val="16"/>
        </w:rPr>
        <w:t>Численность персонала (1980 г.)- более 4000 чел., (2006 г.)- около 1100 чел.</w:t>
      </w:r>
    </w:p>
    <w:p w14:paraId="569CA106" w14:textId="77777777" w:rsidR="00B67D7C" w:rsidRPr="00DE096C" w:rsidRDefault="00B67D7C" w:rsidP="00D45A46">
      <w:pPr>
        <w:jc w:val="both"/>
        <w:rPr>
          <w:bCs/>
          <w:color w:val="002060"/>
          <w:sz w:val="16"/>
          <w:szCs w:val="16"/>
        </w:rPr>
      </w:pPr>
      <w:r w:rsidRPr="00DE096C">
        <w:rPr>
          <w:bCs/>
          <w:color w:val="002060"/>
          <w:sz w:val="16"/>
          <w:szCs w:val="16"/>
        </w:rPr>
        <w:t>Гендиректор (2006 г.)- В.А. Игнатьев.</w:t>
      </w:r>
    </w:p>
    <w:p w14:paraId="51DA4735" w14:textId="77777777" w:rsidR="00B67D7C" w:rsidRPr="00DE096C" w:rsidRDefault="00B67D7C" w:rsidP="00D45A46">
      <w:pPr>
        <w:jc w:val="both"/>
        <w:rPr>
          <w:bCs/>
          <w:color w:val="002060"/>
          <w:sz w:val="16"/>
          <w:szCs w:val="16"/>
        </w:rPr>
      </w:pPr>
      <w:r w:rsidRPr="00DE096C">
        <w:rPr>
          <w:bCs/>
          <w:color w:val="002060"/>
          <w:sz w:val="16"/>
          <w:szCs w:val="16"/>
        </w:rPr>
        <w:t>Зам. гендиректора по экономике и финансам (-2001 г.)- А. Кузьмицкий.</w:t>
      </w:r>
    </w:p>
    <w:p w14:paraId="3DEAA8E6" w14:textId="77777777" w:rsidR="00B67D7C" w:rsidRPr="00DE096C" w:rsidRDefault="00B67D7C" w:rsidP="00D45A46">
      <w:pPr>
        <w:jc w:val="both"/>
        <w:rPr>
          <w:bCs/>
          <w:color w:val="002060"/>
          <w:sz w:val="16"/>
          <w:szCs w:val="16"/>
        </w:rPr>
      </w:pPr>
      <w:r w:rsidRPr="00DE096C">
        <w:rPr>
          <w:bCs/>
          <w:color w:val="002060"/>
          <w:sz w:val="16"/>
          <w:szCs w:val="16"/>
        </w:rPr>
        <w:t>Производство (2006 г.): электродвигатели постоянного и переменного тока: тяговые для трамваев ТАД-21, АТД-1, для троллейбусов ТАД-3; ДПТВ-16 для вентиляторов самосвалов «БелАЗ»; для электрокаров; с внешним ротором для канальной вентиляции; расщепители фаз для электропоездов РФЭ-У1; тахогенераторы; генераторы ЭГВ для ж/д вагонов; микродвигатели для автомобилей; электрические лодочные моторы.</w:t>
      </w:r>
    </w:p>
    <w:p w14:paraId="6E5E67ED" w14:textId="77777777" w:rsidR="00B67D7C" w:rsidRPr="00DE096C" w:rsidRDefault="00B67D7C" w:rsidP="00D45A46">
      <w:pPr>
        <w:jc w:val="both"/>
        <w:rPr>
          <w:bCs/>
          <w:color w:val="002060"/>
          <w:sz w:val="16"/>
          <w:szCs w:val="16"/>
        </w:rPr>
      </w:pPr>
      <w:r w:rsidRPr="00DE096C">
        <w:rPr>
          <w:bCs/>
          <w:color w:val="002060"/>
          <w:sz w:val="16"/>
          <w:szCs w:val="16"/>
        </w:rPr>
        <w:t>Великолукский завод «Реостат»</w:t>
      </w:r>
    </w:p>
    <w:p w14:paraId="36C5F046" w14:textId="7293B383" w:rsidR="00B67D7C" w:rsidRPr="00DE096C" w:rsidRDefault="00B67D7C" w:rsidP="00D45A46">
      <w:pPr>
        <w:jc w:val="both"/>
        <w:rPr>
          <w:bCs/>
          <w:color w:val="002060"/>
          <w:sz w:val="16"/>
          <w:szCs w:val="16"/>
        </w:rPr>
      </w:pPr>
      <w:r w:rsidRPr="00DE096C">
        <w:rPr>
          <w:bCs/>
          <w:color w:val="002060"/>
          <w:sz w:val="16"/>
          <w:szCs w:val="16"/>
        </w:rPr>
        <w:t>/182100</w:t>
      </w:r>
      <w:r w:rsidR="0006581C">
        <w:rPr>
          <w:bCs/>
          <w:color w:val="002060"/>
          <w:sz w:val="16"/>
          <w:szCs w:val="16"/>
        </w:rPr>
        <w:t xml:space="preserve"> </w:t>
      </w:r>
      <w:r w:rsidRPr="00DE096C">
        <w:rPr>
          <w:bCs/>
          <w:color w:val="002060"/>
          <w:sz w:val="16"/>
          <w:szCs w:val="16"/>
        </w:rPr>
        <w:t>г. Великие Луки Псковской обл. ул. 3-й Ударной Армии, 65 тел. 44-240/'</w:t>
      </w:r>
    </w:p>
    <w:p w14:paraId="629F8CF6" w14:textId="77777777" w:rsidR="00B67D7C" w:rsidRPr="00DE096C" w:rsidRDefault="00B67D7C" w:rsidP="00D45A46">
      <w:pPr>
        <w:jc w:val="both"/>
        <w:rPr>
          <w:bCs/>
          <w:color w:val="002060"/>
          <w:sz w:val="16"/>
          <w:szCs w:val="16"/>
        </w:rPr>
      </w:pPr>
      <w:r w:rsidRPr="00DE096C">
        <w:rPr>
          <w:bCs/>
          <w:color w:val="002060"/>
          <w:sz w:val="16"/>
          <w:szCs w:val="16"/>
        </w:rPr>
        <w:t>В 10.1962 г. Великолукский завод «Реостат» вошел в состав ЛПЭО «Электросила». В 2002 г. являлся ДП ОАО «Электросила».</w:t>
      </w:r>
    </w:p>
    <w:p w14:paraId="1DEFA9E9" w14:textId="77777777" w:rsidR="00B67D7C" w:rsidRPr="00DE096C" w:rsidRDefault="00B67D7C" w:rsidP="00D45A46">
      <w:pPr>
        <w:jc w:val="both"/>
        <w:rPr>
          <w:bCs/>
          <w:color w:val="002060"/>
          <w:sz w:val="16"/>
          <w:szCs w:val="16"/>
        </w:rPr>
      </w:pPr>
      <w:r w:rsidRPr="00DE096C">
        <w:rPr>
          <w:bCs/>
          <w:color w:val="002060"/>
          <w:sz w:val="16"/>
          <w:szCs w:val="16"/>
        </w:rPr>
        <w:t>Производство (2002 г.): низковольтная электрическая аппаратура, контакторы, предохранители.</w:t>
      </w:r>
    </w:p>
    <w:p w14:paraId="0E5622BE" w14:textId="77777777" w:rsidR="00B67D7C" w:rsidRPr="00DE096C" w:rsidRDefault="00B67D7C" w:rsidP="00D45A46">
      <w:pPr>
        <w:jc w:val="both"/>
        <w:rPr>
          <w:bCs/>
          <w:color w:val="002060"/>
          <w:sz w:val="16"/>
          <w:szCs w:val="16"/>
        </w:rPr>
      </w:pPr>
      <w:r w:rsidRPr="00DE096C">
        <w:rPr>
          <w:bCs/>
          <w:color w:val="002060"/>
          <w:sz w:val="16"/>
          <w:szCs w:val="16"/>
        </w:rPr>
        <w:t>Численность персонала (2002 г.)- 700 чел.</w:t>
      </w:r>
    </w:p>
    <w:p w14:paraId="197F975C" w14:textId="77777777" w:rsidR="00B67D7C" w:rsidRPr="00DE096C" w:rsidRDefault="00B67D7C" w:rsidP="00D45A46">
      <w:pPr>
        <w:jc w:val="both"/>
        <w:rPr>
          <w:bCs/>
          <w:color w:val="002060"/>
          <w:sz w:val="16"/>
          <w:szCs w:val="16"/>
        </w:rPr>
      </w:pPr>
      <w:r w:rsidRPr="00DE096C">
        <w:rPr>
          <w:bCs/>
          <w:color w:val="002060"/>
          <w:sz w:val="16"/>
          <w:szCs w:val="16"/>
        </w:rPr>
        <w:t>Директор (2002 г.)- В.А. Железняков (11982).</w:t>
      </w:r>
    </w:p>
    <w:p w14:paraId="4EDE7113" w14:textId="77777777" w:rsidR="00B67D7C" w:rsidRPr="00DE096C" w:rsidRDefault="00B67D7C" w:rsidP="00D45A46">
      <w:pPr>
        <w:jc w:val="both"/>
        <w:rPr>
          <w:bCs/>
          <w:color w:val="002060"/>
          <w:sz w:val="16"/>
          <w:szCs w:val="16"/>
        </w:rPr>
      </w:pPr>
    </w:p>
    <w:p w14:paraId="3CE05370" w14:textId="6D0852FC"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 1914 году на </w:t>
      </w:r>
      <w:r w:rsidR="007E2CA5" w:rsidRPr="00DE096C">
        <w:rPr>
          <w:bCs/>
          <w:i w:val="0"/>
          <w:color w:val="002060"/>
          <w:spacing w:val="0"/>
          <w:kern w:val="0"/>
          <w:position w:val="0"/>
          <w:sz w:val="16"/>
          <w:szCs w:val="16"/>
        </w:rPr>
        <w:t>Самарском Трубочном заводе</w:t>
      </w:r>
      <w:r w:rsidRPr="00DE096C">
        <w:rPr>
          <w:bCs/>
          <w:i w:val="0"/>
          <w:color w:val="002060"/>
          <w:spacing w:val="0"/>
          <w:kern w:val="0"/>
          <w:position w:val="0"/>
          <w:sz w:val="16"/>
          <w:szCs w:val="16"/>
        </w:rPr>
        <w:t xml:space="preserve"> работало около двух тысяч человек. </w:t>
      </w:r>
    </w:p>
    <w:p w14:paraId="04EDB826"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Сразу после Октябрьской революции рабочий комитет Трубочного принял решение о переводе завода на выпуск мирной продукции. Правление предприятия намечало провести его реконструкцию. Но гражданская война нарушила эти планы: предприятие остановилось. Однако в конце октября 1918 года оно вновь заработало: изготавливали тиски, запасные части к автомобилям, болты и накладки для железной дороги, кухонную посуду. Первый крупный мирный заказ - фермы для восстановления железнодорожного моста через реку Самару, взорванного белочехами при отступлении (11501).</w:t>
      </w:r>
    </w:p>
    <w:p w14:paraId="2EBE2FB8" w14:textId="77777777" w:rsidR="00B67D7C" w:rsidRPr="00DE096C" w:rsidRDefault="00B67D7C" w:rsidP="00D45A46">
      <w:pPr>
        <w:jc w:val="both"/>
        <w:rPr>
          <w:bCs/>
          <w:i/>
          <w:color w:val="002060"/>
          <w:sz w:val="16"/>
          <w:szCs w:val="16"/>
        </w:rPr>
      </w:pPr>
    </w:p>
    <w:p w14:paraId="255FF432" w14:textId="58AE9E43" w:rsidR="00B67D7C" w:rsidRPr="00DE096C" w:rsidRDefault="007E2CA5"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1914 г.</w:t>
      </w:r>
      <w:r w:rsidRPr="00DE096C">
        <w:rPr>
          <w:bCs/>
          <w:color w:val="002060"/>
          <w:sz w:val="16"/>
          <w:szCs w:val="16"/>
        </w:rPr>
        <w:t xml:space="preserve"> был основан завод ручных химических огнетушителей АО «Минимакс».</w:t>
      </w:r>
    </w:p>
    <w:p w14:paraId="6D27F94E" w14:textId="77777777" w:rsidR="00B67D7C" w:rsidRPr="00DE096C" w:rsidRDefault="00B67D7C" w:rsidP="00D45A46">
      <w:pPr>
        <w:jc w:val="both"/>
        <w:rPr>
          <w:bCs/>
          <w:color w:val="002060"/>
          <w:sz w:val="16"/>
          <w:szCs w:val="16"/>
        </w:rPr>
      </w:pPr>
      <w:r w:rsidRPr="00DE096C">
        <w:rPr>
          <w:bCs/>
          <w:color w:val="002060"/>
          <w:sz w:val="16"/>
          <w:szCs w:val="16"/>
        </w:rPr>
        <w:t>15.11.1920 г. завод национализирован и передан в ведение Районного правления заводов массового производства секции по металлу Петроградского СНХ. В 1921 г. передан в ведение треста «Тремасс», в конце года переименован в завод огнетушителей № 63, в 1922 г. - в завод «Огнетушитель». Закрыт в 1923 г.</w:t>
      </w:r>
      <w:r w:rsidRPr="00DE096C">
        <w:rPr>
          <w:bCs/>
          <w:color w:val="002060"/>
          <w:sz w:val="16"/>
          <w:szCs w:val="16"/>
          <w:vertAlign w:val="superscript"/>
        </w:rPr>
        <w:t>131</w:t>
      </w:r>
    </w:p>
    <w:p w14:paraId="319408B1" w14:textId="77777777" w:rsidR="00B67D7C" w:rsidRPr="00DE096C" w:rsidRDefault="00B67D7C" w:rsidP="00D45A46">
      <w:pPr>
        <w:jc w:val="both"/>
        <w:rPr>
          <w:bCs/>
          <w:color w:val="002060"/>
          <w:sz w:val="16"/>
          <w:szCs w:val="16"/>
        </w:rPr>
      </w:pPr>
      <w:r w:rsidRPr="00DE096C">
        <w:rPr>
          <w:bCs/>
          <w:color w:val="002060"/>
          <w:sz w:val="16"/>
          <w:szCs w:val="16"/>
        </w:rPr>
        <w:t>Завод «Огнетушитель» в 1936 г. - в ведении НК местпрома.</w:t>
      </w:r>
    </w:p>
    <w:p w14:paraId="171E42BF" w14:textId="77777777" w:rsidR="00B67D7C" w:rsidRPr="00DE096C" w:rsidRDefault="00B67D7C" w:rsidP="00D45A46">
      <w:pPr>
        <w:jc w:val="both"/>
        <w:rPr>
          <w:bCs/>
          <w:color w:val="002060"/>
          <w:sz w:val="16"/>
          <w:szCs w:val="16"/>
        </w:rPr>
      </w:pPr>
      <w:r w:rsidRPr="00DE096C">
        <w:rPr>
          <w:bCs/>
          <w:color w:val="002060"/>
          <w:sz w:val="16"/>
          <w:szCs w:val="16"/>
        </w:rPr>
        <w:t>Производство (1936 г.): огнетушители переносные, стационарные (11982).</w:t>
      </w:r>
    </w:p>
    <w:p w14:paraId="7EF3680F" w14:textId="77777777" w:rsidR="00B67D7C" w:rsidRPr="00DE096C" w:rsidRDefault="00B67D7C" w:rsidP="00D45A46">
      <w:pPr>
        <w:jc w:val="both"/>
        <w:rPr>
          <w:bCs/>
          <w:color w:val="002060"/>
          <w:sz w:val="16"/>
          <w:szCs w:val="16"/>
        </w:rPr>
      </w:pPr>
    </w:p>
    <w:p w14:paraId="5AEBFD03" w14:textId="67873222" w:rsidR="00B67D7C" w:rsidRPr="00DE096C" w:rsidRDefault="007E2CA5" w:rsidP="00D45A46">
      <w:pPr>
        <w:autoSpaceDE/>
        <w:autoSpaceDN/>
        <w:adjustRightInd/>
        <w:jc w:val="both"/>
        <w:rPr>
          <w:bCs/>
          <w:color w:val="002060"/>
          <w:sz w:val="16"/>
          <w:szCs w:val="16"/>
        </w:rPr>
      </w:pPr>
      <w:r w:rsidRPr="00DE096C">
        <w:rPr>
          <w:bCs/>
          <w:color w:val="002060"/>
          <w:sz w:val="16"/>
          <w:szCs w:val="16"/>
        </w:rPr>
        <w:t>В</w:t>
      </w:r>
      <w:r w:rsidR="00B67D7C" w:rsidRPr="00DE096C">
        <w:rPr>
          <w:bCs/>
          <w:color w:val="002060"/>
          <w:sz w:val="16"/>
          <w:szCs w:val="16"/>
        </w:rPr>
        <w:t xml:space="preserve"> 1914 г. </w:t>
      </w:r>
      <w:r w:rsidRPr="00DE096C">
        <w:rPr>
          <w:bCs/>
          <w:color w:val="002060"/>
          <w:sz w:val="16"/>
          <w:szCs w:val="16"/>
        </w:rPr>
        <w:t xml:space="preserve">Н.А. Пушин с сотрудниками </w:t>
      </w:r>
      <w:r w:rsidR="00B67D7C" w:rsidRPr="00DE096C">
        <w:rPr>
          <w:bCs/>
          <w:color w:val="002060"/>
          <w:sz w:val="16"/>
          <w:szCs w:val="16"/>
        </w:rPr>
        <w:t>впервые в нашей стране получил алюминий “русского происхождения", т.е. из отечественных сырья и материалов (12249).</w:t>
      </w:r>
    </w:p>
    <w:p w14:paraId="2A5635C8" w14:textId="77777777" w:rsidR="00B67D7C" w:rsidRPr="00DE096C" w:rsidRDefault="00B67D7C" w:rsidP="00D45A46">
      <w:pPr>
        <w:autoSpaceDE/>
        <w:autoSpaceDN/>
        <w:adjustRightInd/>
        <w:jc w:val="both"/>
        <w:rPr>
          <w:bCs/>
          <w:color w:val="002060"/>
          <w:sz w:val="16"/>
          <w:szCs w:val="16"/>
        </w:rPr>
      </w:pPr>
    </w:p>
    <w:p w14:paraId="4859FD64" w14:textId="0AEFBF91" w:rsidR="00B67D7C" w:rsidRPr="00DE096C" w:rsidRDefault="007E2CA5" w:rsidP="00D45A46">
      <w:pPr>
        <w:jc w:val="both"/>
        <w:rPr>
          <w:bCs/>
          <w:color w:val="002060"/>
          <w:sz w:val="16"/>
          <w:szCs w:val="16"/>
        </w:rPr>
      </w:pPr>
      <w:r w:rsidRPr="00DE096C">
        <w:rPr>
          <w:bCs/>
          <w:color w:val="002060"/>
          <w:sz w:val="16"/>
          <w:szCs w:val="16"/>
        </w:rPr>
        <w:t xml:space="preserve">В </w:t>
      </w:r>
      <w:r w:rsidR="00B67D7C" w:rsidRPr="00DE096C">
        <w:rPr>
          <w:bCs/>
          <w:color w:val="002060"/>
          <w:sz w:val="16"/>
          <w:szCs w:val="16"/>
        </w:rPr>
        <w:t>1914 год</w:t>
      </w:r>
      <w:r w:rsidRPr="00DE096C">
        <w:rPr>
          <w:bCs/>
          <w:color w:val="002060"/>
          <w:sz w:val="16"/>
          <w:szCs w:val="16"/>
        </w:rPr>
        <w:t>у</w:t>
      </w:r>
      <w:r w:rsidR="00B67D7C" w:rsidRPr="00DE096C">
        <w:rPr>
          <w:bCs/>
          <w:color w:val="002060"/>
          <w:sz w:val="16"/>
          <w:szCs w:val="16"/>
        </w:rPr>
        <w:t xml:space="preserve"> Россия потребила 2260 тонн алюминия, закупленного во Франции и Германии. В эти же годы в России образовалась группа ученых, которые искали на территории страны сырье, пригодное для производства алюминия. </w:t>
      </w:r>
    </w:p>
    <w:p w14:paraId="3F5AC6F6" w14:textId="77777777" w:rsidR="00B67D7C" w:rsidRPr="00DE096C" w:rsidRDefault="00B67D7C" w:rsidP="00D45A46">
      <w:pPr>
        <w:jc w:val="both"/>
        <w:rPr>
          <w:bCs/>
          <w:color w:val="002060"/>
          <w:sz w:val="16"/>
          <w:szCs w:val="16"/>
        </w:rPr>
      </w:pPr>
      <w:r w:rsidRPr="00DE096C">
        <w:rPr>
          <w:bCs/>
          <w:color w:val="002060"/>
          <w:sz w:val="16"/>
          <w:szCs w:val="16"/>
        </w:rPr>
        <w:t xml:space="preserve">Американская компания ALCOA предложила российскому правительству построить в России алюминиевый завод на американских бокситах на условиях освобождения от таможенных пошлин ввозимого сырья и вывозимых продуктов производства и монопольных прав на разведку бокситов в России. Предложение не было принято. </w:t>
      </w:r>
    </w:p>
    <w:p w14:paraId="188F98D9" w14:textId="77777777" w:rsidR="00B67D7C" w:rsidRPr="00DE096C" w:rsidRDefault="00B67D7C" w:rsidP="00D45A46">
      <w:pPr>
        <w:jc w:val="both"/>
        <w:rPr>
          <w:bCs/>
          <w:color w:val="002060"/>
          <w:sz w:val="16"/>
          <w:szCs w:val="16"/>
        </w:rPr>
      </w:pPr>
      <w:r w:rsidRPr="00DE096C">
        <w:rPr>
          <w:bCs/>
          <w:color w:val="002060"/>
          <w:sz w:val="16"/>
          <w:szCs w:val="16"/>
        </w:rPr>
        <w:t xml:space="preserve">1916 год – началась разведка Тихвинского месторождения. В 1922 году были получены первые пробы уральских бокситов. </w:t>
      </w:r>
    </w:p>
    <w:p w14:paraId="57E76943" w14:textId="77777777" w:rsidR="00B67D7C" w:rsidRPr="00DE096C" w:rsidRDefault="00B67D7C" w:rsidP="00D45A46">
      <w:pPr>
        <w:jc w:val="both"/>
        <w:rPr>
          <w:bCs/>
          <w:color w:val="002060"/>
          <w:sz w:val="16"/>
          <w:szCs w:val="16"/>
        </w:rPr>
      </w:pPr>
      <w:r w:rsidRPr="00DE096C">
        <w:rPr>
          <w:bCs/>
          <w:color w:val="002060"/>
          <w:sz w:val="16"/>
          <w:szCs w:val="16"/>
        </w:rPr>
        <w:t xml:space="preserve">Война, революция и разруха остановили работы по созданию отечественной алюминиевой промышленности. Однако ученые (Лилеев, Строков, Мазель, Федотьев и др.) продолжали научно-исследовательские работы, которые легли в основу технологий по переработке российского сырья и конструкторские разработки по созданию отечественных электролизеров. В 1930 году в лаборатории завода «Красный Выборжец» были получены первые пробы алюминия. </w:t>
      </w:r>
    </w:p>
    <w:p w14:paraId="63BE2487" w14:textId="77777777" w:rsidR="00B67D7C" w:rsidRPr="00DE096C" w:rsidRDefault="00B67D7C" w:rsidP="00D45A46">
      <w:pPr>
        <w:jc w:val="both"/>
        <w:rPr>
          <w:bCs/>
          <w:color w:val="002060"/>
          <w:sz w:val="16"/>
          <w:szCs w:val="16"/>
        </w:rPr>
      </w:pPr>
      <w:r w:rsidRPr="00DE096C">
        <w:rPr>
          <w:bCs/>
          <w:color w:val="002060"/>
          <w:sz w:val="16"/>
          <w:szCs w:val="16"/>
        </w:rPr>
        <w:t xml:space="preserve">2 августа 1929 г. ВСНХ СССР принимает решение о строительстве двух алюминиевых заводов: в г. Волхове и в г. Запорожье. Производство глинозема на Волховском алюминиевом заводе проектировалось по способу спекания Мюллера-Яковкина, на Днепровском – по электротермическому способу Кузнецова-Жуковского. </w:t>
      </w:r>
    </w:p>
    <w:p w14:paraId="108C2C2F" w14:textId="77777777" w:rsidR="00B67D7C" w:rsidRPr="00DE096C" w:rsidRDefault="00B67D7C" w:rsidP="00D45A46">
      <w:pPr>
        <w:jc w:val="both"/>
        <w:rPr>
          <w:bCs/>
          <w:color w:val="002060"/>
          <w:sz w:val="16"/>
          <w:szCs w:val="16"/>
        </w:rPr>
      </w:pPr>
      <w:r w:rsidRPr="00DE096C">
        <w:rPr>
          <w:bCs/>
          <w:color w:val="002060"/>
          <w:sz w:val="16"/>
          <w:szCs w:val="16"/>
        </w:rPr>
        <w:t xml:space="preserve">11 сентября 1931 г. Постановлением Президиума ВСНХ (№ 640) «родился» «Союзалюминий». В 1932 году «на свет» появился институт «Гипроалюминий» - предок всемирно известного Всесоюзного алюминиево-магниевого института (ВАМИ). </w:t>
      </w:r>
    </w:p>
    <w:p w14:paraId="6C87B215" w14:textId="77777777" w:rsidR="00B67D7C" w:rsidRPr="00DE096C" w:rsidRDefault="00B67D7C" w:rsidP="00D45A46">
      <w:pPr>
        <w:jc w:val="both"/>
        <w:rPr>
          <w:bCs/>
          <w:color w:val="002060"/>
          <w:sz w:val="16"/>
          <w:szCs w:val="16"/>
        </w:rPr>
      </w:pPr>
      <w:r w:rsidRPr="00DE096C">
        <w:rPr>
          <w:bCs/>
          <w:color w:val="002060"/>
          <w:sz w:val="16"/>
          <w:szCs w:val="16"/>
        </w:rPr>
        <w:t xml:space="preserve">Первая партия алюминия получена 14 мая 1932 года на Волховском алюминиевом заводе. 14 сентября здесь же получен первый российский глинозем. В июле 1933 года «пущен в строй» Днепровский алюминиевый завод. </w:t>
      </w:r>
    </w:p>
    <w:p w14:paraId="2CC7B383" w14:textId="77777777" w:rsidR="00B67D7C" w:rsidRPr="00DE096C" w:rsidRDefault="00B67D7C" w:rsidP="00D45A46">
      <w:pPr>
        <w:jc w:val="both"/>
        <w:rPr>
          <w:bCs/>
          <w:color w:val="002060"/>
          <w:sz w:val="16"/>
          <w:szCs w:val="16"/>
        </w:rPr>
      </w:pPr>
      <w:r w:rsidRPr="00DE096C">
        <w:rPr>
          <w:bCs/>
          <w:color w:val="002060"/>
          <w:sz w:val="16"/>
          <w:szCs w:val="16"/>
        </w:rPr>
        <w:t xml:space="preserve">Развитие алюминиевого производства органично вписывалось в план ГОЭЛРО, по которому создавалась энергетическая база для превращения России в крупную индустриальную державу. Без алюминия, как основного металла для электротехники, невозможна была реализация плана ГОЭЛРО, а без его реализации создание энергоемкого алюминиевого производства. </w:t>
      </w:r>
    </w:p>
    <w:p w14:paraId="043E6104" w14:textId="77777777" w:rsidR="00B67D7C" w:rsidRPr="00DE096C" w:rsidRDefault="00B67D7C" w:rsidP="00D45A46">
      <w:pPr>
        <w:jc w:val="both"/>
        <w:rPr>
          <w:bCs/>
          <w:color w:val="002060"/>
          <w:sz w:val="16"/>
          <w:szCs w:val="16"/>
        </w:rPr>
      </w:pPr>
      <w:r w:rsidRPr="00DE096C">
        <w:rPr>
          <w:bCs/>
          <w:color w:val="002060"/>
          <w:sz w:val="16"/>
          <w:szCs w:val="16"/>
        </w:rPr>
        <w:t xml:space="preserve">Уже в эти годы закладывались основные принципы создания российской алюминиевой промышленности – строительство алюминиевых предприятий в непосредственной близости от энергомощностей, работающих на наименее затратной, экологически чисто и возобновляемой гидроэнергии. </w:t>
      </w:r>
    </w:p>
    <w:p w14:paraId="681C814F" w14:textId="77777777" w:rsidR="00B67D7C" w:rsidRPr="00DE096C" w:rsidRDefault="00B67D7C" w:rsidP="00D45A46">
      <w:pPr>
        <w:jc w:val="both"/>
        <w:rPr>
          <w:bCs/>
          <w:color w:val="002060"/>
          <w:sz w:val="16"/>
          <w:szCs w:val="16"/>
        </w:rPr>
      </w:pPr>
      <w:r w:rsidRPr="00DE096C">
        <w:rPr>
          <w:bCs/>
          <w:color w:val="002060"/>
          <w:sz w:val="16"/>
          <w:szCs w:val="16"/>
        </w:rPr>
        <w:t xml:space="preserve">Наиболее полную практическую реализацию эти принципы получили в годы, когда Правительство СССР возглавлял А.Н.Косыгин. Именно тогда алюминиевая промышленность стала развиваться в Сибири на базе крупнейших в мире гидростанций. </w:t>
      </w:r>
    </w:p>
    <w:p w14:paraId="2899B002" w14:textId="77777777" w:rsidR="00B67D7C" w:rsidRPr="00DE096C" w:rsidRDefault="00B67D7C" w:rsidP="00D45A46">
      <w:pPr>
        <w:jc w:val="both"/>
        <w:rPr>
          <w:bCs/>
          <w:color w:val="002060"/>
          <w:sz w:val="16"/>
          <w:szCs w:val="16"/>
        </w:rPr>
      </w:pPr>
      <w:r w:rsidRPr="00DE096C">
        <w:rPr>
          <w:bCs/>
          <w:color w:val="002060"/>
          <w:sz w:val="16"/>
          <w:szCs w:val="16"/>
        </w:rPr>
        <w:t xml:space="preserve">В годы Великой Отечественной войны проблема обеспечения алюминием советской авиации стала особенно острой, так как в самом начале войны страна лишилась производителей алюминия – Волховского и Днепровского алюминиевых заводов. </w:t>
      </w:r>
    </w:p>
    <w:p w14:paraId="2B01FD51" w14:textId="77777777" w:rsidR="00B67D7C" w:rsidRPr="00DE096C" w:rsidRDefault="00B67D7C" w:rsidP="00D45A46">
      <w:pPr>
        <w:jc w:val="both"/>
        <w:rPr>
          <w:bCs/>
          <w:color w:val="002060"/>
          <w:sz w:val="16"/>
          <w:szCs w:val="16"/>
        </w:rPr>
      </w:pPr>
      <w:r w:rsidRPr="00DE096C">
        <w:rPr>
          <w:bCs/>
          <w:color w:val="002060"/>
          <w:sz w:val="16"/>
          <w:szCs w:val="16"/>
        </w:rPr>
        <w:t xml:space="preserve">Государство приняло экстренные меры по перемещению алюминиевого производства на Урал и в Сибирь. При строительстве Богословского и Новокузнецкого алюминиевых заводов, которое велось ускоренными темпами и было завершено в годы войны, использовалось оборудование, вывезенное с Бокситогорского, Волховского и Днепровского заводов. </w:t>
      </w:r>
    </w:p>
    <w:p w14:paraId="065FD5EF" w14:textId="77777777" w:rsidR="00B67D7C" w:rsidRPr="00DE096C" w:rsidRDefault="00B67D7C" w:rsidP="00D45A46">
      <w:pPr>
        <w:jc w:val="both"/>
        <w:rPr>
          <w:bCs/>
          <w:color w:val="002060"/>
          <w:sz w:val="16"/>
          <w:szCs w:val="16"/>
        </w:rPr>
      </w:pPr>
      <w:r w:rsidRPr="00DE096C">
        <w:rPr>
          <w:bCs/>
          <w:color w:val="002060"/>
          <w:sz w:val="16"/>
          <w:szCs w:val="16"/>
        </w:rPr>
        <w:t>В военные годы было произведено 350 тыс.т алюминия и 755 тыс.т глинозема. С первых же дней войны на Уральском алюминиевом заводе (УАЗ) было организовано производство кремния и силумина. Таким образом, страна получила значительное количество алюминия для авиастроения. И это обстоятельство стало одним из решающих факторов в достижении Великой Победы (12272).</w:t>
      </w:r>
    </w:p>
    <w:p w14:paraId="259EEC92" w14:textId="77777777" w:rsidR="00B67D7C" w:rsidRPr="00DE096C" w:rsidRDefault="00B67D7C" w:rsidP="00D45A46">
      <w:pPr>
        <w:jc w:val="both"/>
        <w:rPr>
          <w:bCs/>
          <w:color w:val="002060"/>
          <w:sz w:val="16"/>
          <w:szCs w:val="16"/>
        </w:rPr>
      </w:pPr>
    </w:p>
    <w:p w14:paraId="0FCD41C7" w14:textId="731EEEE4" w:rsidR="00B67D7C" w:rsidRPr="00DE096C" w:rsidRDefault="00B67D7C" w:rsidP="00D45A46">
      <w:pPr>
        <w:jc w:val="both"/>
        <w:rPr>
          <w:bCs/>
          <w:color w:val="002060"/>
          <w:sz w:val="16"/>
          <w:szCs w:val="16"/>
        </w:rPr>
      </w:pPr>
      <w:bookmarkStart w:id="224" w:name="_Hlk117431857"/>
      <w:r w:rsidRPr="00DE096C">
        <w:rPr>
          <w:bCs/>
          <w:color w:val="002060"/>
          <w:sz w:val="16"/>
          <w:szCs w:val="16"/>
        </w:rPr>
        <w:t xml:space="preserve">В 1914 г. верфь </w:t>
      </w:r>
      <w:r w:rsidR="007E2CA5" w:rsidRPr="00DE096C">
        <w:rPr>
          <w:bCs/>
          <w:color w:val="002060"/>
          <w:sz w:val="16"/>
          <w:szCs w:val="16"/>
        </w:rPr>
        <w:t xml:space="preserve">А.Л. Золотова </w:t>
      </w:r>
      <w:r w:rsidRPr="00DE096C">
        <w:rPr>
          <w:bCs/>
          <w:color w:val="002060"/>
          <w:sz w:val="16"/>
          <w:szCs w:val="16"/>
        </w:rPr>
        <w:t>получила заказ от Морского ведомства на постройку многоцелевых мореходных катеров связи. Затем был получен заказ на 12 сторожевых катеров по чертежам Адмиралтейского и Балтийского заводов. Для этого производство было расширено, построено два новых эллинга, получено новое оборудование. В 01.1916г. получен новый заказ на 3 крупных 19-метровых сторожевых катера со сроком сдачи весной 1917г. В 09.1917г. Золотов с группой рабочих выехал на Черное море для сдачи катеров ЗК. Вернувшись в 12.1917г. обратно, он обнаружил на предприятии только 4 человек, оставшихся охранять верфь. Верфь практически прекратила существование.</w:t>
      </w:r>
    </w:p>
    <w:p w14:paraId="5061185A" w14:textId="77777777" w:rsidR="00B67D7C" w:rsidRPr="00DE096C" w:rsidRDefault="00B67D7C" w:rsidP="00D45A46">
      <w:pPr>
        <w:jc w:val="both"/>
        <w:rPr>
          <w:bCs/>
          <w:color w:val="002060"/>
          <w:sz w:val="16"/>
          <w:szCs w:val="16"/>
        </w:rPr>
      </w:pPr>
      <w:r w:rsidRPr="00DE096C">
        <w:rPr>
          <w:bCs/>
          <w:color w:val="002060"/>
          <w:sz w:val="16"/>
          <w:szCs w:val="16"/>
        </w:rPr>
        <w:t>После революции на Петроградской верфи моторных судов до 06.1918г. достраивались сторожевые катера, затем из-за отсутствия заказов верфь не действовала. С конца 1918г. начат ремонт катеров. С 1922г. на базе верфи А.Л. Золотовым организована частная катерно-шлюпочная мастерская. Выполнялись редкие заказы по строительству новых катеров и ремонт. В 03.1928г. мастерская получила заказ на постройку деревянных катеров «ЗК» («Золотовский катер») для Морпогранохраны. С 1930г. по немецким чертежам начата постройка «КМ» («катер малый»). Вначале мощность мастерской была не более двух катеров в год. С 1931г. «ЗК» строилось, в среднем, по 6 шт. в год, а «КМ» - до 10 шт. в год.</w:t>
      </w:r>
    </w:p>
    <w:p w14:paraId="37F02337" w14:textId="77777777" w:rsidR="00B67D7C" w:rsidRPr="00DE096C" w:rsidRDefault="00B67D7C" w:rsidP="00D45A46">
      <w:pPr>
        <w:jc w:val="both"/>
        <w:rPr>
          <w:bCs/>
          <w:color w:val="002060"/>
          <w:sz w:val="16"/>
          <w:szCs w:val="16"/>
        </w:rPr>
      </w:pPr>
      <w:r w:rsidRPr="00DE096C">
        <w:rPr>
          <w:bCs/>
          <w:color w:val="002060"/>
          <w:sz w:val="16"/>
          <w:szCs w:val="16"/>
        </w:rPr>
        <w:t>В 03.1930г. Золотов добровольно передал верфь государству. Верфь была национализирована и передана в ведение ГУ погранохраны ОПТУ, преобразована в Государственную судостроительную мастерскую Морпогранохраны ОГПУ для постройки пограничных судов. А.Л. Золотов был зачислен в мастерскую конструктором и строителем. С 1933г. стала Отделением Судостроительной верфи Морпогранохраны ОГПУ, а с 1939г. - цехом № 6 завода № 5.</w:t>
      </w:r>
    </w:p>
    <w:p w14:paraId="1283CBC0" w14:textId="77777777" w:rsidR="00B67D7C" w:rsidRPr="00DE096C" w:rsidRDefault="00B67D7C" w:rsidP="00D45A46">
      <w:pPr>
        <w:jc w:val="both"/>
        <w:rPr>
          <w:bCs/>
          <w:color w:val="002060"/>
          <w:sz w:val="16"/>
          <w:szCs w:val="16"/>
        </w:rPr>
      </w:pPr>
      <w:r w:rsidRPr="00DE096C">
        <w:rPr>
          <w:bCs/>
          <w:color w:val="002060"/>
          <w:sz w:val="16"/>
          <w:szCs w:val="16"/>
        </w:rPr>
        <w:t>К 1930г. в составе мастерской были: двухэтажный эллинг, кузница и несколько сараев. В том же году мастерская была расширена: ей передана часть территории соседнего леспильного завода, где был построен второй эллинг; закуплено новое оборудование.</w:t>
      </w:r>
    </w:p>
    <w:p w14:paraId="652C4543" w14:textId="77777777" w:rsidR="00B67D7C" w:rsidRPr="00DE096C" w:rsidRDefault="00B67D7C" w:rsidP="00D45A46">
      <w:pPr>
        <w:jc w:val="both"/>
        <w:rPr>
          <w:bCs/>
          <w:color w:val="002060"/>
          <w:sz w:val="16"/>
          <w:szCs w:val="16"/>
        </w:rPr>
      </w:pPr>
      <w:r w:rsidRPr="00DE096C">
        <w:rPr>
          <w:bCs/>
          <w:color w:val="002060"/>
          <w:sz w:val="16"/>
          <w:szCs w:val="16"/>
        </w:rPr>
        <w:lastRenderedPageBreak/>
        <w:t>С 1933г. основные заказы на катера выполнялись новой верфью, в Отделении строились малые катера, шлюпки и спортивные суда^ в т.ч. клинкерные лодки для академической гребли.</w:t>
      </w:r>
    </w:p>
    <w:p w14:paraId="6E6A043D" w14:textId="77777777" w:rsidR="00B67D7C" w:rsidRPr="00DE096C" w:rsidRDefault="00B67D7C" w:rsidP="00D45A46">
      <w:pPr>
        <w:jc w:val="both"/>
        <w:rPr>
          <w:bCs/>
          <w:color w:val="002060"/>
          <w:sz w:val="16"/>
          <w:szCs w:val="16"/>
        </w:rPr>
      </w:pPr>
      <w:r w:rsidRPr="00DE096C">
        <w:rPr>
          <w:bCs/>
          <w:color w:val="002060"/>
          <w:sz w:val="16"/>
          <w:szCs w:val="16"/>
        </w:rPr>
        <w:t>В 1941г. построено 46 катеров КМ-2 и КМ-4, в 1942г. - 20, в 1943г. - 53, в 1944г. - 63. Всего в период войны построено 192 катера КМ.</w:t>
      </w:r>
    </w:p>
    <w:p w14:paraId="74317D63" w14:textId="77777777" w:rsidR="00B67D7C" w:rsidRPr="00DE096C" w:rsidRDefault="00B67D7C" w:rsidP="00D45A46">
      <w:pPr>
        <w:jc w:val="both"/>
        <w:rPr>
          <w:bCs/>
          <w:color w:val="002060"/>
          <w:sz w:val="16"/>
          <w:szCs w:val="16"/>
        </w:rPr>
      </w:pPr>
      <w:r w:rsidRPr="00DE096C">
        <w:rPr>
          <w:bCs/>
          <w:color w:val="002060"/>
          <w:sz w:val="16"/>
          <w:szCs w:val="16"/>
        </w:rPr>
        <w:t>После войны в цехе № 6 строились различные шлюпки и ялы.</w:t>
      </w:r>
    </w:p>
    <w:p w14:paraId="29A42817" w14:textId="77777777" w:rsidR="00B67D7C" w:rsidRPr="00DE096C" w:rsidRDefault="00B67D7C" w:rsidP="00D45A46">
      <w:pPr>
        <w:jc w:val="both"/>
        <w:rPr>
          <w:bCs/>
          <w:color w:val="002060"/>
          <w:sz w:val="16"/>
          <w:szCs w:val="16"/>
        </w:rPr>
      </w:pPr>
      <w:r w:rsidRPr="00DE096C">
        <w:rPr>
          <w:bCs/>
          <w:color w:val="002060"/>
          <w:sz w:val="16"/>
          <w:szCs w:val="16"/>
        </w:rPr>
        <w:t>В 1956г. цех № 6 передан ЦКБ-5 в качестве филиала (далее - ЦКБ «Редан»).</w:t>
      </w:r>
    </w:p>
    <w:p w14:paraId="19A2CE34" w14:textId="77777777" w:rsidR="00B67D7C" w:rsidRPr="00DE096C" w:rsidRDefault="00B67D7C" w:rsidP="00D45A46">
      <w:pPr>
        <w:jc w:val="both"/>
        <w:rPr>
          <w:bCs/>
          <w:color w:val="002060"/>
          <w:sz w:val="16"/>
          <w:szCs w:val="16"/>
        </w:rPr>
      </w:pPr>
      <w:r w:rsidRPr="00DE096C">
        <w:rPr>
          <w:bCs/>
          <w:color w:val="002060"/>
          <w:sz w:val="16"/>
          <w:szCs w:val="16"/>
        </w:rPr>
        <w:t>Площадь территории (1930г.)- 0,5 га.</w:t>
      </w:r>
    </w:p>
    <w:p w14:paraId="15CD5E2F" w14:textId="77777777" w:rsidR="00B67D7C" w:rsidRPr="00DE096C" w:rsidRDefault="00B67D7C" w:rsidP="00D45A46">
      <w:pPr>
        <w:jc w:val="both"/>
        <w:rPr>
          <w:bCs/>
          <w:color w:val="002060"/>
          <w:sz w:val="16"/>
          <w:szCs w:val="16"/>
        </w:rPr>
      </w:pPr>
      <w:r w:rsidRPr="00DE096C">
        <w:rPr>
          <w:bCs/>
          <w:color w:val="002060"/>
          <w:sz w:val="16"/>
          <w:szCs w:val="16"/>
        </w:rPr>
        <w:t>Численность персонала (1917г.)- 155 чел., (1930г.)- около 10 рабочих, (01.1931г.)- 55 чел.</w:t>
      </w:r>
    </w:p>
    <w:p w14:paraId="02A2FAE2" w14:textId="77777777" w:rsidR="00B67D7C" w:rsidRPr="00DE096C" w:rsidRDefault="00B67D7C" w:rsidP="00D45A46">
      <w:pPr>
        <w:jc w:val="both"/>
        <w:rPr>
          <w:bCs/>
          <w:color w:val="002060"/>
          <w:sz w:val="16"/>
          <w:szCs w:val="16"/>
        </w:rPr>
      </w:pPr>
      <w:r w:rsidRPr="00DE096C">
        <w:rPr>
          <w:bCs/>
          <w:color w:val="002060"/>
          <w:sz w:val="16"/>
          <w:szCs w:val="16"/>
        </w:rPr>
        <w:t>Начальник (03.1930-33г.)- Д.Л. Блинов.</w:t>
      </w:r>
    </w:p>
    <w:p w14:paraId="417F605B" w14:textId="77777777" w:rsidR="00B67D7C" w:rsidRPr="00DE096C" w:rsidRDefault="00B67D7C" w:rsidP="00D45A46">
      <w:pPr>
        <w:jc w:val="both"/>
        <w:rPr>
          <w:bCs/>
          <w:color w:val="002060"/>
          <w:sz w:val="16"/>
          <w:szCs w:val="16"/>
        </w:rPr>
      </w:pPr>
      <w:r w:rsidRPr="00DE096C">
        <w:rPr>
          <w:bCs/>
          <w:color w:val="002060"/>
          <w:sz w:val="16"/>
          <w:szCs w:val="16"/>
        </w:rPr>
        <w:t>Производство: катера: сторожевые: СК (-1916)-12, 19-метровые (1916-18)- 6; пограничные ЗК (1928-35), КМ (1930-), «Кунгас-Кавасаки» (1935-), сторожевые КМ-2, КМ-4 (1930-е-42-); РПК; ялы: Ял-2, -4, -6, -10 (1940-е- 50-е).</w:t>
      </w:r>
      <w:r w:rsidRPr="00DE096C">
        <w:rPr>
          <w:bCs/>
          <w:color w:val="002060"/>
          <w:sz w:val="16"/>
          <w:szCs w:val="16"/>
          <w:vertAlign w:val="superscript"/>
        </w:rPr>
        <w:t>114</w:t>
      </w:r>
    </w:p>
    <w:p w14:paraId="4EA05C00" w14:textId="77777777" w:rsidR="00B67D7C" w:rsidRPr="00DE096C" w:rsidRDefault="00B67D7C" w:rsidP="00D45A46">
      <w:pPr>
        <w:jc w:val="both"/>
        <w:rPr>
          <w:bCs/>
          <w:color w:val="002060"/>
          <w:sz w:val="16"/>
          <w:szCs w:val="16"/>
        </w:rPr>
      </w:pPr>
      <w:r w:rsidRPr="00DE096C">
        <w:rPr>
          <w:bCs/>
          <w:color w:val="002060"/>
          <w:sz w:val="16"/>
          <w:szCs w:val="16"/>
        </w:rPr>
        <w:t>КБ судостроительной верфи ОГПУ, завода № 5 НКВД, ОКБ-5 НКВД</w:t>
      </w:r>
    </w:p>
    <w:p w14:paraId="78F64DC7" w14:textId="77777777" w:rsidR="00B67D7C" w:rsidRPr="00DE096C" w:rsidRDefault="00B67D7C" w:rsidP="00D45A46">
      <w:pPr>
        <w:jc w:val="both"/>
        <w:rPr>
          <w:bCs/>
          <w:color w:val="002060"/>
          <w:sz w:val="16"/>
          <w:szCs w:val="16"/>
        </w:rPr>
      </w:pPr>
      <w:r w:rsidRPr="00DE096C">
        <w:rPr>
          <w:bCs/>
          <w:color w:val="002060"/>
          <w:sz w:val="16"/>
          <w:szCs w:val="16"/>
        </w:rPr>
        <w:t>/г. Ленинград ул. Уральская, 19/</w:t>
      </w:r>
    </w:p>
    <w:p w14:paraId="1C12CD12" w14:textId="77777777" w:rsidR="00B67D7C" w:rsidRPr="00DE096C" w:rsidRDefault="00B67D7C" w:rsidP="00D45A46">
      <w:pPr>
        <w:jc w:val="both"/>
        <w:rPr>
          <w:bCs/>
          <w:color w:val="002060"/>
          <w:sz w:val="16"/>
          <w:szCs w:val="16"/>
        </w:rPr>
      </w:pPr>
      <w:r w:rsidRPr="00DE096C">
        <w:rPr>
          <w:bCs/>
          <w:color w:val="002060"/>
          <w:sz w:val="16"/>
          <w:szCs w:val="16"/>
        </w:rPr>
        <w:t>КБ организовано в 1932г. по инициативе начальника строящейся верфи Д.Л. Блинова для проектирования катеров Морпогранохраны, а затем и для ВМФ. Сюда были переданы из ОКТБ-2 НКВД работы по катерам ГК и «единому сторожевому катеру-охотнику за ПЛ». Вместо неудачного «единого катера» был разработан проект малого охотника МО (В.И. Тягунов). В 1936г. создан улучшенный вариант МО-4 (С.В. Пугавко). В 1935г. выдано задание на создание пограничного катера для Дальнего Востока на базе промыслового судна Главвостокрыбпрома. В 1937г. под руководством начальника проектной группы Л.Л. Ермаша, перешедшего с завода № 194, начато проектирование деревянных торпедных катеров.</w:t>
      </w:r>
    </w:p>
    <w:p w14:paraId="1851F618" w14:textId="77777777" w:rsidR="00B67D7C" w:rsidRPr="00DE096C" w:rsidRDefault="00B67D7C" w:rsidP="00D45A46">
      <w:pPr>
        <w:jc w:val="both"/>
        <w:rPr>
          <w:bCs/>
          <w:color w:val="002060"/>
          <w:sz w:val="16"/>
          <w:szCs w:val="16"/>
        </w:rPr>
      </w:pPr>
      <w:r w:rsidRPr="00DE096C">
        <w:rPr>
          <w:bCs/>
          <w:color w:val="002060"/>
          <w:sz w:val="16"/>
          <w:szCs w:val="16"/>
        </w:rPr>
        <w:t>В 1941г. после начала войны часть сотрудников КБ под руководством Л.Л. Ермаша эвакуирована в Сосновку на завод № 640, где был организован филиал ЦКБ-32 НКСП; часть конструктором под руководством Е.И. Юхнина - в Тюмень на завод № 639. Оставшаяся часть КБ подолжила работу. Были разработаны: проект переоборудования катера Д-3 в малый охотник МО-ДЗ; грузовые самоходные тендеры с корпусами из плоских секций, изготавливаемых из выгородок недостроенных крейсеров пр. 68 и 69.</w:t>
      </w:r>
    </w:p>
    <w:p w14:paraId="1B5AC64C" w14:textId="77777777" w:rsidR="00B67D7C" w:rsidRPr="00DE096C" w:rsidRDefault="00B67D7C" w:rsidP="00D45A46">
      <w:pPr>
        <w:jc w:val="both"/>
        <w:rPr>
          <w:bCs/>
          <w:color w:val="002060"/>
          <w:sz w:val="16"/>
          <w:szCs w:val="16"/>
        </w:rPr>
      </w:pPr>
      <w:r w:rsidRPr="00DE096C">
        <w:rPr>
          <w:bCs/>
          <w:color w:val="002060"/>
          <w:sz w:val="16"/>
          <w:szCs w:val="16"/>
        </w:rPr>
        <w:t>После войны большое количество личного состава вернулось из эвакуации. Продолжены работы по пр. ТМ-200, ТД-200, ТД-200бис и ОД-200бис. Работали заключенные и вольнонаемные кораблестроители.</w:t>
      </w:r>
    </w:p>
    <w:p w14:paraId="04760158" w14:textId="77777777" w:rsidR="00B67D7C" w:rsidRPr="00DE096C" w:rsidRDefault="00B67D7C" w:rsidP="00D45A46">
      <w:pPr>
        <w:jc w:val="both"/>
        <w:rPr>
          <w:bCs/>
          <w:color w:val="002060"/>
          <w:sz w:val="16"/>
          <w:szCs w:val="16"/>
        </w:rPr>
      </w:pPr>
      <w:r w:rsidRPr="00DE096C">
        <w:rPr>
          <w:bCs/>
          <w:color w:val="002060"/>
          <w:sz w:val="16"/>
          <w:szCs w:val="16"/>
        </w:rPr>
        <w:t>В 1949г. на базе 16-весельного бортового баркаса Кронштадского морского завода создан моторный баркас БМ-16.</w:t>
      </w:r>
    </w:p>
    <w:p w14:paraId="3E1E3521" w14:textId="77777777" w:rsidR="00B67D7C" w:rsidRPr="00DE096C" w:rsidRDefault="00B67D7C" w:rsidP="00D45A46">
      <w:pPr>
        <w:jc w:val="both"/>
        <w:rPr>
          <w:bCs/>
          <w:color w:val="002060"/>
          <w:sz w:val="16"/>
          <w:szCs w:val="16"/>
        </w:rPr>
      </w:pPr>
      <w:r w:rsidRPr="00DE096C">
        <w:rPr>
          <w:bCs/>
          <w:color w:val="002060"/>
          <w:sz w:val="16"/>
          <w:szCs w:val="16"/>
        </w:rPr>
        <w:t>Численность персонала (1933г.)- 60 чел.</w:t>
      </w:r>
    </w:p>
    <w:p w14:paraId="27E91A9E" w14:textId="77777777" w:rsidR="00B67D7C" w:rsidRPr="00DE096C" w:rsidRDefault="00B67D7C" w:rsidP="00D45A46">
      <w:pPr>
        <w:jc w:val="both"/>
        <w:rPr>
          <w:bCs/>
          <w:color w:val="002060"/>
          <w:sz w:val="16"/>
          <w:szCs w:val="16"/>
        </w:rPr>
      </w:pPr>
      <w:r w:rsidRPr="00DE096C">
        <w:rPr>
          <w:bCs/>
          <w:color w:val="002060"/>
          <w:sz w:val="16"/>
          <w:szCs w:val="16"/>
        </w:rPr>
        <w:t>Начальник (1932-35г.-)- А.К. Зворыкин (репрессирован), Н.М. Ухин, (ВОВ)- Л.Л. Ермаш (одновременно был зам. начальника филиала ЦКБ-32 по проектированию).</w:t>
      </w:r>
      <w:r w:rsidRPr="00DE096C">
        <w:rPr>
          <w:bCs/>
          <w:color w:val="002060"/>
          <w:sz w:val="16"/>
          <w:szCs w:val="16"/>
          <w:vertAlign w:val="superscript"/>
        </w:rPr>
        <w:t>61</w:t>
      </w:r>
      <w:r w:rsidRPr="00DE096C">
        <w:rPr>
          <w:bCs/>
          <w:color w:val="002060"/>
          <w:sz w:val="16"/>
          <w:szCs w:val="16"/>
        </w:rPr>
        <w:t>.</w:t>
      </w:r>
    </w:p>
    <w:p w14:paraId="34AEDAE4" w14:textId="77777777" w:rsidR="00B67D7C" w:rsidRPr="00DE096C" w:rsidRDefault="00B67D7C" w:rsidP="00D45A46">
      <w:pPr>
        <w:jc w:val="both"/>
        <w:rPr>
          <w:bCs/>
          <w:color w:val="002060"/>
          <w:sz w:val="16"/>
          <w:szCs w:val="16"/>
        </w:rPr>
      </w:pPr>
      <w:r w:rsidRPr="00DE096C">
        <w:rPr>
          <w:bCs/>
          <w:color w:val="002060"/>
          <w:sz w:val="16"/>
          <w:szCs w:val="16"/>
        </w:rPr>
        <w:t>Гл. конструктор (1935г.)- А.И. Зворыкин (МО-2), (1939-41г.-)- Л.Л. Ермаш, (1948-49г.)- П.Г. Гойнкис {1.11.1889-62}.</w:t>
      </w:r>
    </w:p>
    <w:p w14:paraId="33103F36" w14:textId="77777777" w:rsidR="00B67D7C" w:rsidRPr="00DE096C" w:rsidRDefault="00B67D7C" w:rsidP="00D45A46">
      <w:pPr>
        <w:jc w:val="both"/>
        <w:rPr>
          <w:bCs/>
          <w:color w:val="002060"/>
          <w:sz w:val="16"/>
          <w:szCs w:val="16"/>
        </w:rPr>
      </w:pPr>
      <w:r w:rsidRPr="00DE096C">
        <w:rPr>
          <w:bCs/>
          <w:color w:val="002060"/>
          <w:sz w:val="16"/>
          <w:szCs w:val="16"/>
        </w:rPr>
        <w:t>Гл. инженер (1948-49г.)- П.Г. Гойнкис.</w:t>
      </w:r>
    </w:p>
    <w:p w14:paraId="1155C10E" w14:textId="77777777" w:rsidR="00B67D7C" w:rsidRPr="00DE096C" w:rsidRDefault="00B67D7C" w:rsidP="00D45A46">
      <w:pPr>
        <w:jc w:val="both"/>
        <w:rPr>
          <w:bCs/>
          <w:color w:val="002060"/>
          <w:sz w:val="16"/>
          <w:szCs w:val="16"/>
        </w:rPr>
      </w:pPr>
      <w:r w:rsidRPr="00DE096C">
        <w:rPr>
          <w:bCs/>
          <w:color w:val="002060"/>
          <w:sz w:val="16"/>
          <w:szCs w:val="16"/>
        </w:rPr>
        <w:t>Гл. конструкторы: (1936-39г.)- Л.Л. Ермаш (МО-4, МКД-2, -3, Д-3, Д-4), (1930-е)- С.В. Пугавко (КМ-4), (1942г.)- Д.А. Черногуз (МО-ДЗ).</w:t>
      </w:r>
    </w:p>
    <w:p w14:paraId="21DBDFAC" w14:textId="77777777" w:rsidR="00B67D7C" w:rsidRPr="00DE096C" w:rsidRDefault="00B67D7C" w:rsidP="00D45A46">
      <w:pPr>
        <w:jc w:val="both"/>
        <w:rPr>
          <w:bCs/>
          <w:color w:val="002060"/>
          <w:sz w:val="16"/>
          <w:szCs w:val="16"/>
        </w:rPr>
      </w:pPr>
      <w:r w:rsidRPr="00DE096C">
        <w:rPr>
          <w:bCs/>
          <w:color w:val="002060"/>
          <w:sz w:val="16"/>
          <w:szCs w:val="16"/>
        </w:rPr>
        <w:t xml:space="preserve">Создано: катера: охотники за ПЛ: МО-2 (1934), МО-3, МО-4 (1936), малые МО-6 (1941), МО-ДЗ (1942); торпедные ТДК-1 (1937), ТДК-2, МКД-2, -3, Д-2 (1939), пр. </w:t>
      </w:r>
      <w:r w:rsidRPr="00DE096C">
        <w:rPr>
          <w:bCs/>
          <w:color w:val="002060"/>
          <w:sz w:val="16"/>
          <w:szCs w:val="16"/>
          <w:lang w:val="en-US"/>
        </w:rPr>
        <w:t>II</w:t>
      </w:r>
      <w:r w:rsidRPr="00DE096C">
        <w:rPr>
          <w:bCs/>
          <w:color w:val="002060"/>
          <w:sz w:val="16"/>
          <w:szCs w:val="16"/>
        </w:rPr>
        <w:t xml:space="preserve">-19 (Д-3, ТДК-3, 1938, пнв в 1941г.), ТДК-4 (1940), пр. </w:t>
      </w:r>
      <w:r w:rsidRPr="00DE096C">
        <w:rPr>
          <w:bCs/>
          <w:color w:val="002060"/>
          <w:sz w:val="16"/>
          <w:szCs w:val="16"/>
          <w:lang w:val="en-US"/>
        </w:rPr>
        <w:t>II</w:t>
      </w:r>
      <w:r w:rsidRPr="00DE096C">
        <w:rPr>
          <w:bCs/>
          <w:color w:val="002060"/>
          <w:sz w:val="16"/>
          <w:szCs w:val="16"/>
        </w:rPr>
        <w:t>-23 (Д-4, 1940); сторожевые пограничные: БК, для Дальнего Востока «Кунгас-кавасаки» (1935), КМ-4 (1935), БКМ-2, десантный К-ЗИС-5, правительственная яхта МО-1 (1930-е), представительский катер ГК-4 (1941); баркас моторный БМ-16 (1949) (11982).</w:t>
      </w:r>
    </w:p>
    <w:p w14:paraId="0B209C0F" w14:textId="77777777" w:rsidR="00B67D7C" w:rsidRPr="00DE096C" w:rsidRDefault="00B67D7C" w:rsidP="00D45A46">
      <w:pPr>
        <w:jc w:val="both"/>
        <w:rPr>
          <w:bCs/>
          <w:color w:val="002060"/>
          <w:sz w:val="16"/>
          <w:szCs w:val="16"/>
        </w:rPr>
      </w:pPr>
    </w:p>
    <w:bookmarkEnd w:id="224"/>
    <w:p w14:paraId="7D0FA55E"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Авиация:</w:t>
      </w:r>
    </w:p>
    <w:p w14:paraId="5C47F0A5" w14:textId="77777777" w:rsidR="00B67D7C" w:rsidRPr="00DE096C" w:rsidRDefault="00B67D7C" w:rsidP="00D45A46">
      <w:pPr>
        <w:pStyle w:val="a3"/>
        <w:jc w:val="both"/>
        <w:rPr>
          <w:bCs/>
          <w:color w:val="002060"/>
          <w:spacing w:val="0"/>
          <w:kern w:val="0"/>
          <w:position w:val="0"/>
          <w:sz w:val="16"/>
          <w:szCs w:val="16"/>
        </w:rPr>
      </w:pPr>
    </w:p>
    <w:p w14:paraId="4EE7E08D" w14:textId="77777777" w:rsidR="00B67D7C" w:rsidRPr="00DE096C" w:rsidRDefault="00B67D7C" w:rsidP="00D45A46">
      <w:pPr>
        <w:jc w:val="both"/>
        <w:rPr>
          <w:bCs/>
          <w:color w:val="002060"/>
          <w:sz w:val="16"/>
          <w:szCs w:val="16"/>
        </w:rPr>
      </w:pPr>
      <w:r w:rsidRPr="00DE096C">
        <w:rPr>
          <w:bCs/>
          <w:color w:val="002060"/>
          <w:sz w:val="16"/>
          <w:szCs w:val="16"/>
        </w:rPr>
        <w:t xml:space="preserve">В 1914 основным видом боевого применения была разведка. На первом этапе войны она носила, как правило, визуальный характер. Наблюдение велось с высот 2000-3000 м позволяло обнаруживать колонны войск, а с 1200-2000 м - отельные группы. Для обнаружения отдельных людей или замаскированных объектов приходилосьь снижаться на высоту 500-600 м, что делало самолеты уязвимыми от ружейно-пулеметного огня. С 1915 года начала широко применяться аэрофотосъемка с использованием фотоаппаратов конструкции С.А.Ульянина и С.С.Неждановского, несколько позже в войска поступил первый в мире автоматический фотоаппарат для маршрутной и площадной съемки "Потте", разработанный подполковником русской армии аВ.Ф.Потте. Следует отметить, что успех Брусиловского прорыва в 1916 году был, в значительной мере, обеспечен тем, что каждый офицер и многие унтер-офицеры русской армии имели подробные карты неприятельских укреплений, составленные на основе аэрофотосъемки. </w:t>
      </w:r>
    </w:p>
    <w:p w14:paraId="309E6FAB" w14:textId="77777777" w:rsidR="00B67D7C" w:rsidRPr="00DE096C" w:rsidRDefault="00B67D7C" w:rsidP="00D45A46">
      <w:pPr>
        <w:jc w:val="both"/>
        <w:rPr>
          <w:bCs/>
          <w:color w:val="002060"/>
          <w:sz w:val="16"/>
          <w:szCs w:val="16"/>
        </w:rPr>
      </w:pPr>
      <w:r w:rsidRPr="00DE096C">
        <w:rPr>
          <w:bCs/>
          <w:color w:val="002060"/>
          <w:sz w:val="16"/>
          <w:szCs w:val="16"/>
        </w:rPr>
        <w:t xml:space="preserve">Для глубинной разведки с 1915 года применялись самолеты "Илья Муромец". </w:t>
      </w:r>
    </w:p>
    <w:p w14:paraId="492EC2EB" w14:textId="77777777" w:rsidR="00B67D7C" w:rsidRPr="00DE096C" w:rsidRDefault="00B67D7C" w:rsidP="00D45A46">
      <w:pPr>
        <w:jc w:val="both"/>
        <w:rPr>
          <w:bCs/>
          <w:color w:val="002060"/>
          <w:sz w:val="16"/>
          <w:szCs w:val="16"/>
        </w:rPr>
      </w:pPr>
      <w:r w:rsidRPr="00DE096C">
        <w:rPr>
          <w:bCs/>
          <w:color w:val="002060"/>
          <w:sz w:val="16"/>
          <w:szCs w:val="16"/>
        </w:rPr>
        <w:t>Летчики-наблюдатели, по мимо разведки, занимались и корректировкой артиллерийского огня, значительно повышавшей эффективность использования артиллерии. С 1916 года во все корпусные отряды было включено по два самолета-корректировщика со специально подготовленными экипажами. В том же году начались поставки первых английских авиационных радиостанций "Стерлинг" с дальностью действия до 30 км, а в 1917 г. в разведывательную авиацию поступили ламповые передатчики РОБТиТ российского производства (11184).</w:t>
      </w:r>
    </w:p>
    <w:p w14:paraId="21F89C5F" w14:textId="77777777" w:rsidR="00B67D7C" w:rsidRPr="00DE096C" w:rsidRDefault="00B67D7C" w:rsidP="00D45A46">
      <w:pPr>
        <w:jc w:val="both"/>
        <w:rPr>
          <w:bCs/>
          <w:color w:val="002060"/>
          <w:sz w:val="16"/>
          <w:szCs w:val="16"/>
        </w:rPr>
      </w:pPr>
    </w:p>
    <w:p w14:paraId="21CE78CB" w14:textId="09D778EC" w:rsidR="00B67D7C" w:rsidRPr="00DE096C" w:rsidRDefault="00A24E21"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1914 г. </w:t>
      </w:r>
      <w:r w:rsidRPr="00DE096C">
        <w:rPr>
          <w:bCs/>
          <w:color w:val="002060"/>
          <w:sz w:val="16"/>
          <w:szCs w:val="16"/>
        </w:rPr>
        <w:t>ИМ</w:t>
      </w:r>
      <w:r w:rsidR="00B67D7C" w:rsidRPr="00DE096C">
        <w:rPr>
          <w:bCs/>
          <w:color w:val="002060"/>
          <w:sz w:val="16"/>
          <w:szCs w:val="16"/>
        </w:rPr>
        <w:t xml:space="preserve"> еще не участвовали в боевых действиях. Бомбардировочной деятельностью занимались другие самолеты. Летчики 28-го русского авиаотряда совместно с летчиками гренадерского авиаотряда произвели удачный воздушный налет на станцию Виткеман и германский аэродром. Было сброшено 39 авиабомб, уничтожен ангар с самолетами и вызваны большие пожары. Перед штурмом крепости Перемышль русские летчики сбросили на позиции германских защитников крепости 200 бомб.</w:t>
      </w:r>
    </w:p>
    <w:p w14:paraId="08FCD4F9" w14:textId="77777777" w:rsidR="00B67D7C" w:rsidRPr="00DE096C" w:rsidRDefault="00B67D7C" w:rsidP="00D45A46">
      <w:pPr>
        <w:jc w:val="both"/>
        <w:rPr>
          <w:bCs/>
          <w:color w:val="002060"/>
          <w:sz w:val="16"/>
          <w:szCs w:val="16"/>
        </w:rPr>
      </w:pPr>
      <w:r w:rsidRPr="00DE096C">
        <w:rPr>
          <w:bCs/>
          <w:color w:val="002060"/>
          <w:sz w:val="16"/>
          <w:szCs w:val="16"/>
        </w:rPr>
        <w:t>На протяжении всей борьбы за Перемышль, особенно в период его блокады, русская авиация играла весьма важную роль. Она систематически вела наблюдение за гарнизоном крепости, бомбардировала укрепления и другие важные объекты, а также корректировала огонь артиллерии. Русские военные опередили всех остальных участников боевых действий еще и в активном применение аэрофотографирования .</w:t>
      </w:r>
    </w:p>
    <w:p w14:paraId="66830409" w14:textId="77777777" w:rsidR="00B67D7C" w:rsidRPr="00DE096C" w:rsidRDefault="00B67D7C" w:rsidP="00D45A46">
      <w:pPr>
        <w:jc w:val="both"/>
        <w:rPr>
          <w:bCs/>
          <w:color w:val="002060"/>
          <w:sz w:val="16"/>
          <w:szCs w:val="16"/>
        </w:rPr>
      </w:pPr>
      <w:r w:rsidRPr="00DE096C">
        <w:rPr>
          <w:bCs/>
          <w:color w:val="002060"/>
          <w:sz w:val="16"/>
          <w:szCs w:val="16"/>
        </w:rPr>
        <w:t>Воздушное фотографирование Перемышля, его крепостных и полевых укреплений велось систематически. Аэрофотоснимки развертывались в планы, на основании которых артиллеристы вычисляли данные, необходимые для ведения точного огня. Степень точности артиллерийского огня проверялась по аэрофотоснимкам после каждой стрельбы, и при необходимости вносились соответствующие поправки в расчеты артиллеристов. Аэрофотоснимки применялись также для постановки задач на бомбометание и для контроля их выполнения.</w:t>
      </w:r>
    </w:p>
    <w:p w14:paraId="4B3EB438" w14:textId="77777777" w:rsidR="00B67D7C" w:rsidRPr="00DE096C" w:rsidRDefault="00B67D7C" w:rsidP="00D45A46">
      <w:pPr>
        <w:jc w:val="both"/>
        <w:rPr>
          <w:bCs/>
          <w:color w:val="002060"/>
          <w:sz w:val="16"/>
          <w:szCs w:val="16"/>
        </w:rPr>
      </w:pPr>
      <w:r w:rsidRPr="00DE096C">
        <w:rPr>
          <w:bCs/>
          <w:color w:val="002060"/>
          <w:sz w:val="16"/>
          <w:szCs w:val="16"/>
        </w:rPr>
        <w:t>В случае осады Перемышля воздушная разведка оказалась единственным средством, при помощи которого были выяснены все объекты обороны крепости, а также попытки австрийцев деблокировать гарнизон крепости вылазками изнутри и ударами извне, что позволяло командованию русских принимать соответствующие и своевременные меры. Таким образом, в истории военного искусства борьба за Перемышль является первым примером активного участия авиации в осаде крупного населенного пункта, а также применения эшелонированной бомбардировки.</w:t>
      </w:r>
    </w:p>
    <w:p w14:paraId="3F94B836" w14:textId="77777777" w:rsidR="00B67D7C" w:rsidRPr="00DE096C" w:rsidRDefault="00B67D7C" w:rsidP="00D45A46">
      <w:pPr>
        <w:jc w:val="both"/>
        <w:rPr>
          <w:bCs/>
          <w:i/>
          <w:color w:val="002060"/>
          <w:sz w:val="16"/>
          <w:szCs w:val="16"/>
        </w:rPr>
      </w:pPr>
    </w:p>
    <w:p w14:paraId="476BD0B9" w14:textId="78BAA1D4" w:rsidR="00B67D7C" w:rsidRPr="00DE096C" w:rsidRDefault="00A24E21" w:rsidP="00D45A46">
      <w:pPr>
        <w:jc w:val="both"/>
        <w:rPr>
          <w:bCs/>
          <w:color w:val="002060"/>
          <w:sz w:val="16"/>
          <w:szCs w:val="16"/>
        </w:rPr>
      </w:pPr>
      <w:r w:rsidRPr="00DE096C">
        <w:rPr>
          <w:bCs/>
          <w:color w:val="002060"/>
          <w:sz w:val="16"/>
          <w:szCs w:val="16"/>
        </w:rPr>
        <w:t xml:space="preserve">В </w:t>
      </w:r>
      <w:r w:rsidR="00B67D7C" w:rsidRPr="00DE096C">
        <w:rPr>
          <w:bCs/>
          <w:color w:val="002060"/>
          <w:sz w:val="16"/>
          <w:szCs w:val="16"/>
        </w:rPr>
        <w:t xml:space="preserve">1914 г. </w:t>
      </w:r>
      <w:r w:rsidRPr="00DE096C">
        <w:rPr>
          <w:bCs/>
          <w:color w:val="002060"/>
          <w:sz w:val="16"/>
          <w:szCs w:val="16"/>
        </w:rPr>
        <w:t xml:space="preserve">несмотря на очень ограниченные возможности русской авиации, роль ее в боевых действиях </w:t>
      </w:r>
      <w:r w:rsidR="00B67D7C" w:rsidRPr="00DE096C">
        <w:rPr>
          <w:bCs/>
          <w:color w:val="002060"/>
          <w:sz w:val="16"/>
          <w:szCs w:val="16"/>
        </w:rPr>
        <w:t>оказалась весьма заметной. За весь период кампании 1914 г. русская авиация произвела 3229 боевых вылетов.</w:t>
      </w:r>
    </w:p>
    <w:p w14:paraId="0E3332A2" w14:textId="77777777" w:rsidR="00B67D7C" w:rsidRPr="00DE096C" w:rsidRDefault="00B67D7C" w:rsidP="00D45A46">
      <w:pPr>
        <w:jc w:val="both"/>
        <w:rPr>
          <w:bCs/>
          <w:color w:val="002060"/>
          <w:sz w:val="16"/>
          <w:szCs w:val="16"/>
        </w:rPr>
      </w:pPr>
      <w:bookmarkStart w:id="225" w:name="_Hlk117432566"/>
      <w:r w:rsidRPr="00DE096C">
        <w:rPr>
          <w:bCs/>
          <w:color w:val="002060"/>
          <w:sz w:val="16"/>
          <w:szCs w:val="16"/>
        </w:rPr>
        <w:t>С вооружением аэропланов пулеметами русская авиация наряду с выполнением задач воздушной разведки начала успешно противодействовать воздушной разведке германских и австро-венгерских войск. Так, летчики 20-го корпусного авиаотряда уже в декабре 1914 г. систематически патрулировали над своими войсками, не допуская в район их расположения разведывательные аэропланы противника.</w:t>
      </w:r>
    </w:p>
    <w:p w14:paraId="5D2A3A21" w14:textId="77777777" w:rsidR="00B67D7C" w:rsidRPr="00DE096C" w:rsidRDefault="00B67D7C" w:rsidP="00D45A46">
      <w:pPr>
        <w:jc w:val="both"/>
        <w:rPr>
          <w:bCs/>
          <w:color w:val="002060"/>
          <w:sz w:val="16"/>
          <w:szCs w:val="16"/>
        </w:rPr>
      </w:pPr>
      <w:r w:rsidRPr="00DE096C">
        <w:rPr>
          <w:bCs/>
          <w:color w:val="002060"/>
          <w:sz w:val="16"/>
          <w:szCs w:val="16"/>
        </w:rPr>
        <w:t>Однако, несмотря на это, русская авиационная техника значительно уступала темпам развития количества и качества авиационной техники двух основных соперников - Франции и Германии. В общем же в первые месяцы войны авиационная техника воюющих держав была еще очень несовершенной и малочисленной для того, чтобы оказывать действительно сильное влияние на ход боевых действий (11999).</w:t>
      </w:r>
    </w:p>
    <w:p w14:paraId="3804F68E" w14:textId="77777777" w:rsidR="00B67D7C" w:rsidRPr="00DE096C" w:rsidRDefault="00B67D7C" w:rsidP="00D45A46">
      <w:pPr>
        <w:jc w:val="both"/>
        <w:rPr>
          <w:bCs/>
          <w:i/>
          <w:color w:val="002060"/>
          <w:sz w:val="16"/>
          <w:szCs w:val="16"/>
        </w:rPr>
      </w:pPr>
    </w:p>
    <w:bookmarkEnd w:id="225"/>
    <w:p w14:paraId="31737503" w14:textId="77777777" w:rsidR="00B67D7C" w:rsidRPr="00DE096C" w:rsidRDefault="00B67D7C" w:rsidP="00D45A46">
      <w:pPr>
        <w:jc w:val="both"/>
        <w:rPr>
          <w:bCs/>
          <w:i/>
          <w:color w:val="002060"/>
          <w:sz w:val="16"/>
          <w:szCs w:val="16"/>
        </w:rPr>
      </w:pPr>
      <w:r w:rsidRPr="00DE096C">
        <w:rPr>
          <w:bCs/>
          <w:i/>
          <w:color w:val="002060"/>
          <w:sz w:val="16"/>
          <w:szCs w:val="16"/>
        </w:rPr>
        <w:t>Морская авиация:</w:t>
      </w:r>
    </w:p>
    <w:p w14:paraId="355CBC3F" w14:textId="77777777" w:rsidR="00B67D7C" w:rsidRPr="00DE096C" w:rsidRDefault="00B67D7C" w:rsidP="00D45A46">
      <w:pPr>
        <w:jc w:val="both"/>
        <w:rPr>
          <w:bCs/>
          <w:i/>
          <w:color w:val="002060"/>
          <w:sz w:val="16"/>
          <w:szCs w:val="16"/>
        </w:rPr>
      </w:pPr>
    </w:p>
    <w:p w14:paraId="41AE93A7" w14:textId="16D99CCB" w:rsidR="00B67D7C" w:rsidRPr="00DE096C" w:rsidRDefault="00A24E21" w:rsidP="00D45A46">
      <w:pPr>
        <w:shd w:val="clear" w:color="auto" w:fill="FFFFFF"/>
        <w:jc w:val="both"/>
        <w:rPr>
          <w:bCs/>
          <w:color w:val="002060"/>
          <w:sz w:val="16"/>
          <w:szCs w:val="16"/>
        </w:rPr>
      </w:pPr>
      <w:r w:rsidRPr="00DE096C">
        <w:rPr>
          <w:bCs/>
          <w:color w:val="002060"/>
          <w:sz w:val="16"/>
          <w:szCs w:val="16"/>
        </w:rPr>
        <w:t xml:space="preserve">В </w:t>
      </w:r>
      <w:r w:rsidR="00B67D7C" w:rsidRPr="00DE096C">
        <w:rPr>
          <w:bCs/>
          <w:color w:val="002060"/>
          <w:sz w:val="16"/>
          <w:szCs w:val="16"/>
        </w:rPr>
        <w:t>1914 г.</w:t>
      </w:r>
      <w:r w:rsidRPr="00DE096C">
        <w:rPr>
          <w:bCs/>
          <w:color w:val="002060"/>
          <w:sz w:val="16"/>
          <w:szCs w:val="16"/>
        </w:rPr>
        <w:t xml:space="preserve"> в докладной записке лейтенанта В.В. Утгофа</w:t>
      </w:r>
      <w:r w:rsidR="00B67D7C" w:rsidRPr="00DE096C">
        <w:rPr>
          <w:bCs/>
          <w:color w:val="002060"/>
          <w:sz w:val="16"/>
          <w:szCs w:val="16"/>
        </w:rPr>
        <w:t xml:space="preserve"> относительно повышения мобильности самолетов морской авиации берегового базирования предлагалось разместить их на плавучих буксируемых гидроавиационных базах специальной по</w:t>
      </w:r>
      <w:r w:rsidR="00B67D7C" w:rsidRPr="00DE096C">
        <w:rPr>
          <w:bCs/>
          <w:color w:val="002060"/>
          <w:sz w:val="16"/>
          <w:szCs w:val="16"/>
        </w:rPr>
        <w:softHyphen/>
        <w:t>стройки (в период гражданской войны для перемещения самолетов по рекам использовались буксируемые баржи), а все корабельные отряды объединить под командованием начальника корабельной авиации. Он считал, что «существующее положение морской авиа</w:t>
      </w:r>
      <w:r w:rsidR="00B67D7C" w:rsidRPr="00DE096C">
        <w:rPr>
          <w:bCs/>
          <w:color w:val="002060"/>
          <w:sz w:val="16"/>
          <w:szCs w:val="16"/>
        </w:rPr>
        <w:softHyphen/>
        <w:t>ции, например, на Черном море не дает возможности всецелого использования ее на практике главным образом из-за того, что она стеснена неправильной организацией, при которой личная инициа</w:t>
      </w:r>
      <w:r w:rsidR="00B67D7C" w:rsidRPr="00DE096C">
        <w:rPr>
          <w:bCs/>
          <w:color w:val="002060"/>
          <w:sz w:val="16"/>
          <w:szCs w:val="16"/>
        </w:rPr>
        <w:softHyphen/>
        <w:t>тива специалистов дела не могла свободно проявляться (1085).</w:t>
      </w:r>
    </w:p>
    <w:p w14:paraId="6163548B" w14:textId="77777777" w:rsidR="00B67D7C" w:rsidRPr="00DE096C" w:rsidRDefault="00B67D7C" w:rsidP="00D45A46">
      <w:pPr>
        <w:shd w:val="clear" w:color="auto" w:fill="FFFFFF"/>
        <w:jc w:val="both"/>
        <w:rPr>
          <w:bCs/>
          <w:color w:val="002060"/>
          <w:sz w:val="16"/>
          <w:szCs w:val="16"/>
        </w:rPr>
      </w:pPr>
    </w:p>
    <w:p w14:paraId="3AAF4165" w14:textId="77777777" w:rsidR="00B67D7C" w:rsidRPr="00DE096C" w:rsidRDefault="00B67D7C" w:rsidP="00D45A46">
      <w:pPr>
        <w:jc w:val="both"/>
        <w:rPr>
          <w:bCs/>
          <w:color w:val="002060"/>
          <w:sz w:val="16"/>
          <w:szCs w:val="16"/>
        </w:rPr>
      </w:pPr>
      <w:r w:rsidRPr="00DE096C">
        <w:rPr>
          <w:bCs/>
          <w:color w:val="002060"/>
          <w:sz w:val="16"/>
          <w:szCs w:val="16"/>
        </w:rPr>
        <w:t>В 1914 году количество АВК в отечественном военном флоте значительно увеличилось. В ходе кампании 1914 года на Черноморском флоте к приему гидроаэропланов начали готовиться практически одновременно сразу еще пять кораблей: крейсера первого ранга «Память Меркурия» и «Кагул», крейсер второго ранга «Алмаз», суда второго ранга «Император Александр III», «Император Николай I». При этом на них проводились интенсивные по меркам того времени испытательные полеты (11166).</w:t>
      </w:r>
    </w:p>
    <w:p w14:paraId="706CA4EB" w14:textId="77777777" w:rsidR="00B67D7C" w:rsidRPr="00DE096C" w:rsidRDefault="00B67D7C" w:rsidP="00D45A46">
      <w:pPr>
        <w:jc w:val="both"/>
        <w:rPr>
          <w:bCs/>
          <w:color w:val="002060"/>
          <w:sz w:val="16"/>
          <w:szCs w:val="16"/>
        </w:rPr>
      </w:pPr>
    </w:p>
    <w:p w14:paraId="76B9602F"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1914 г. морское ведомство вновь заказало самолеты «Кертисс» двух типов - Р и К, а позднее и двухмоторные летающие лодки «Атлантик». Морской генеральный штаб не сразу перевел деньги - выявились недостатки самолетов «Кертисс» первых образцов (осо</w:t>
      </w:r>
      <w:r w:rsidRPr="00DE096C">
        <w:rPr>
          <w:bCs/>
          <w:color w:val="002060"/>
          <w:sz w:val="16"/>
          <w:szCs w:val="16"/>
        </w:rPr>
        <w:softHyphen/>
        <w:t>бенно ненадежными оказались дви</w:t>
      </w:r>
      <w:r w:rsidRPr="00DE096C">
        <w:rPr>
          <w:bCs/>
          <w:color w:val="002060"/>
          <w:sz w:val="16"/>
          <w:szCs w:val="16"/>
        </w:rPr>
        <w:softHyphen/>
        <w:t>гатели), заказ с учетом этого об</w:t>
      </w:r>
      <w:r w:rsidRPr="00DE096C">
        <w:rPr>
          <w:bCs/>
          <w:color w:val="002060"/>
          <w:sz w:val="16"/>
          <w:szCs w:val="16"/>
        </w:rPr>
        <w:softHyphen/>
        <w:t>стоятельства скорректировали и вместо шести устаревших поплав</w:t>
      </w:r>
      <w:r w:rsidRPr="00DE096C">
        <w:rPr>
          <w:bCs/>
          <w:color w:val="002060"/>
          <w:sz w:val="16"/>
          <w:szCs w:val="16"/>
        </w:rPr>
        <w:softHyphen/>
        <w:t>ковых гидросамолетов типа Р зака</w:t>
      </w:r>
      <w:r w:rsidRPr="00DE096C">
        <w:rPr>
          <w:bCs/>
          <w:color w:val="002060"/>
          <w:sz w:val="16"/>
          <w:szCs w:val="16"/>
        </w:rPr>
        <w:softHyphen/>
        <w:t>зали летающие лодки типа К</w:t>
      </w:r>
      <w:r w:rsidRPr="00DE096C">
        <w:rPr>
          <w:bCs/>
          <w:color w:val="002060"/>
          <w:sz w:val="16"/>
          <w:szCs w:val="16"/>
          <w:vertAlign w:val="subscript"/>
        </w:rPr>
        <w:t>;</w:t>
      </w:r>
      <w:r w:rsidRPr="00DE096C">
        <w:rPr>
          <w:bCs/>
          <w:color w:val="002060"/>
          <w:sz w:val="16"/>
          <w:szCs w:val="16"/>
        </w:rPr>
        <w:t xml:space="preserve"> уве</w:t>
      </w:r>
      <w:r w:rsidRPr="00DE096C">
        <w:rPr>
          <w:bCs/>
          <w:color w:val="002060"/>
          <w:sz w:val="16"/>
          <w:szCs w:val="16"/>
        </w:rPr>
        <w:softHyphen/>
        <w:t>личили также количество закупае</w:t>
      </w:r>
      <w:r w:rsidRPr="00DE096C">
        <w:rPr>
          <w:bCs/>
          <w:color w:val="002060"/>
          <w:sz w:val="16"/>
          <w:szCs w:val="16"/>
        </w:rPr>
        <w:softHyphen/>
        <w:t>мых запасных частей к ним и т. п. (всего было заказано 72 самолета. Из них на флотах собрано 20. С апреля 1916 г. их заменил гидроса</w:t>
      </w:r>
      <w:r w:rsidRPr="00DE096C">
        <w:rPr>
          <w:bCs/>
          <w:color w:val="002060"/>
          <w:sz w:val="16"/>
          <w:szCs w:val="16"/>
        </w:rPr>
        <w:softHyphen/>
        <w:t>молёт М-5. Одна из двух постав</w:t>
      </w:r>
      <w:r w:rsidRPr="00DE096C">
        <w:rPr>
          <w:bCs/>
          <w:color w:val="002060"/>
          <w:sz w:val="16"/>
          <w:szCs w:val="16"/>
        </w:rPr>
        <w:softHyphen/>
        <w:t>ленных летающих лодок «Атлантик» потерпела катастрофу при облете).</w:t>
      </w:r>
    </w:p>
    <w:p w14:paraId="40ABD9D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После получения заказа на са</w:t>
      </w:r>
      <w:r w:rsidRPr="00DE096C">
        <w:rPr>
          <w:bCs/>
          <w:color w:val="002060"/>
          <w:sz w:val="16"/>
          <w:szCs w:val="16"/>
        </w:rPr>
        <w:softHyphen/>
        <w:t>молёты «К», оказалось, что фирма переоценила свои возможности и не в состоянии его выполнить без существенной материальной под</w:t>
      </w:r>
      <w:r w:rsidRPr="00DE096C">
        <w:rPr>
          <w:bCs/>
          <w:color w:val="002060"/>
          <w:sz w:val="16"/>
          <w:szCs w:val="16"/>
        </w:rPr>
        <w:softHyphen/>
        <w:t>держки. Кертисс через русского морского агента в США обратил</w:t>
      </w:r>
      <w:r w:rsidRPr="00DE096C">
        <w:rPr>
          <w:bCs/>
          <w:color w:val="002060"/>
          <w:sz w:val="16"/>
          <w:szCs w:val="16"/>
        </w:rPr>
        <w:softHyphen/>
        <w:t>ся за помощью. 5 октября 1914 г. русский морской агент капитан 2-го ранга Васильев телеграфировал начальнику Морского генерально</w:t>
      </w:r>
      <w:r w:rsidRPr="00DE096C">
        <w:rPr>
          <w:bCs/>
          <w:color w:val="002060"/>
          <w:sz w:val="16"/>
          <w:szCs w:val="16"/>
        </w:rPr>
        <w:softHyphen/>
        <w:t>го штаба: «Кертисс умоляет дать ему аванс, весь в долгу, сам работает, как простой работник. Может быть банкротство этой очень бедной фирмы с распубликованием в газе</w:t>
      </w:r>
      <w:r w:rsidRPr="00DE096C">
        <w:rPr>
          <w:bCs/>
          <w:color w:val="002060"/>
          <w:sz w:val="16"/>
          <w:szCs w:val="16"/>
        </w:rPr>
        <w:softHyphen/>
        <w:t>тах». Морской генеральный штаб откликнулся довольно быстро и 12 октября 1914 г. фирме перевели 344 тыс. руб. (история с закупкой само</w:t>
      </w:r>
      <w:r w:rsidRPr="00DE096C">
        <w:rPr>
          <w:bCs/>
          <w:color w:val="002060"/>
          <w:sz w:val="16"/>
          <w:szCs w:val="16"/>
        </w:rPr>
        <w:softHyphen/>
        <w:t>летов имела неожиданное продол</w:t>
      </w:r>
      <w:r w:rsidRPr="00DE096C">
        <w:rPr>
          <w:bCs/>
          <w:color w:val="002060"/>
          <w:sz w:val="16"/>
          <w:szCs w:val="16"/>
        </w:rPr>
        <w:softHyphen/>
        <w:t>жение. Так, 24 апреля 1946 г. МИД СССР направил в адрес командо</w:t>
      </w:r>
      <w:r w:rsidRPr="00DE096C">
        <w:rPr>
          <w:bCs/>
          <w:color w:val="002060"/>
          <w:sz w:val="16"/>
          <w:szCs w:val="16"/>
        </w:rPr>
        <w:softHyphen/>
        <w:t>вания ВМФ письмо, подписанное Вышинским: «Посольство США со</w:t>
      </w:r>
      <w:r w:rsidRPr="00DE096C">
        <w:rPr>
          <w:bCs/>
          <w:color w:val="002060"/>
          <w:sz w:val="16"/>
          <w:szCs w:val="16"/>
        </w:rPr>
        <w:softHyphen/>
        <w:t>общило, что правительство США ведет судебное дело против само</w:t>
      </w:r>
      <w:r w:rsidRPr="00DE096C">
        <w:rPr>
          <w:bCs/>
          <w:color w:val="002060"/>
          <w:sz w:val="16"/>
          <w:szCs w:val="16"/>
        </w:rPr>
        <w:softHyphen/>
        <w:t>летостроительной фирмы «Кертисс» о взыскании с нее аванса, полу</w:t>
      </w:r>
      <w:r w:rsidRPr="00DE096C">
        <w:rPr>
          <w:bCs/>
          <w:color w:val="002060"/>
          <w:sz w:val="16"/>
          <w:szCs w:val="16"/>
        </w:rPr>
        <w:softHyphen/>
        <w:t>ченного во время Первой мировой войны от русского правительства по договору о поставке русскому правительству аэропланов. Договор был нарушен фирмой «Кертисс». Правительство США просит МИД оказать содействие в получении документов относительно поста</w:t>
      </w:r>
      <w:r w:rsidRPr="00DE096C">
        <w:rPr>
          <w:bCs/>
          <w:color w:val="002060"/>
          <w:sz w:val="16"/>
          <w:szCs w:val="16"/>
        </w:rPr>
        <w:softHyphen/>
        <w:t>вок»).</w:t>
      </w:r>
    </w:p>
    <w:p w14:paraId="1BD012C0" w14:textId="77777777" w:rsidR="00B67D7C" w:rsidRPr="00DE096C" w:rsidRDefault="00B67D7C" w:rsidP="00D45A46">
      <w:pPr>
        <w:pStyle w:val="a4"/>
        <w:spacing w:before="0" w:after="0"/>
        <w:jc w:val="both"/>
        <w:rPr>
          <w:bCs/>
          <w:color w:val="002060"/>
          <w:sz w:val="16"/>
          <w:szCs w:val="16"/>
        </w:rPr>
      </w:pPr>
      <w:r w:rsidRPr="00DE096C">
        <w:rPr>
          <w:bCs/>
          <w:color w:val="002060"/>
          <w:sz w:val="16"/>
          <w:szCs w:val="16"/>
        </w:rPr>
        <w:t>Последующее показало, что по</w:t>
      </w:r>
      <w:r w:rsidRPr="00DE096C">
        <w:rPr>
          <w:bCs/>
          <w:color w:val="002060"/>
          <w:sz w:val="16"/>
          <w:szCs w:val="16"/>
        </w:rPr>
        <w:softHyphen/>
        <w:t>ставщик (вероятнее всего фирма «Плюм и Оке», представлявшая аэропланную компанию «Кертисс») не совсем добросовестно исполня</w:t>
      </w:r>
      <w:r w:rsidRPr="00DE096C">
        <w:rPr>
          <w:bCs/>
          <w:color w:val="002060"/>
          <w:sz w:val="16"/>
          <w:szCs w:val="16"/>
        </w:rPr>
        <w:softHyphen/>
        <w:t>ла свои обязательства. С полной очевидностью это следует из рапор</w:t>
      </w:r>
      <w:r w:rsidRPr="00DE096C">
        <w:rPr>
          <w:bCs/>
          <w:color w:val="002060"/>
          <w:sz w:val="16"/>
          <w:szCs w:val="16"/>
        </w:rPr>
        <w:softHyphen/>
        <w:t>та от 24 июня 1915 г., представлен</w:t>
      </w:r>
      <w:r w:rsidRPr="00DE096C">
        <w:rPr>
          <w:bCs/>
          <w:color w:val="002060"/>
          <w:sz w:val="16"/>
          <w:szCs w:val="16"/>
        </w:rPr>
        <w:softHyphen/>
        <w:t>ного инженером по авиационной части Черноморского флота инже</w:t>
      </w:r>
      <w:r w:rsidRPr="00DE096C">
        <w:rPr>
          <w:bCs/>
          <w:color w:val="002060"/>
          <w:sz w:val="16"/>
          <w:szCs w:val="16"/>
        </w:rPr>
        <w:softHyphen/>
        <w:t>нер-механиком лётчиком лейтенан</w:t>
      </w:r>
      <w:r w:rsidRPr="00DE096C">
        <w:rPr>
          <w:bCs/>
          <w:color w:val="002060"/>
          <w:sz w:val="16"/>
          <w:szCs w:val="16"/>
        </w:rPr>
        <w:softHyphen/>
        <w:t>том Михайловым. После знакомства с содержанием рапорта Авиацион</w:t>
      </w:r>
      <w:r w:rsidRPr="00DE096C">
        <w:rPr>
          <w:bCs/>
          <w:color w:val="002060"/>
          <w:sz w:val="16"/>
          <w:szCs w:val="16"/>
        </w:rPr>
        <w:softHyphen/>
        <w:t>ный комитет пришёл к довольно неутешительному заключению по лодкам «Кертисса»: «Лодка на од</w:t>
      </w:r>
      <w:r w:rsidRPr="00DE096C">
        <w:rPr>
          <w:bCs/>
          <w:color w:val="002060"/>
          <w:sz w:val="16"/>
          <w:szCs w:val="16"/>
        </w:rPr>
        <w:softHyphen/>
        <w:t>ном из закупленных самолетов не новая, а уже бывшая в эксплуата</w:t>
      </w:r>
      <w:r w:rsidRPr="00DE096C">
        <w:rPr>
          <w:bCs/>
          <w:color w:val="002060"/>
          <w:sz w:val="16"/>
          <w:szCs w:val="16"/>
        </w:rPr>
        <w:softHyphen/>
        <w:t>ции, также как и несколько двигателей; боковые поплавки стоят от са</w:t>
      </w:r>
      <w:r w:rsidRPr="00DE096C">
        <w:rPr>
          <w:bCs/>
          <w:color w:val="002060"/>
          <w:sz w:val="16"/>
          <w:szCs w:val="16"/>
        </w:rPr>
        <w:softHyphen/>
        <w:t>молетов первых серий; один из про</w:t>
      </w:r>
      <w:r w:rsidRPr="00DE096C">
        <w:rPr>
          <w:bCs/>
          <w:color w:val="002060"/>
          <w:sz w:val="16"/>
          <w:szCs w:val="16"/>
        </w:rPr>
        <w:softHyphen/>
        <w:t>пеллеров сломан. По самолёту «Аэромарин»: плоскости на двухмо</w:t>
      </w:r>
      <w:r w:rsidRPr="00DE096C">
        <w:rPr>
          <w:bCs/>
          <w:color w:val="002060"/>
          <w:sz w:val="16"/>
          <w:szCs w:val="16"/>
        </w:rPr>
        <w:softHyphen/>
        <w:t>торной летающей лодке принадле</w:t>
      </w:r>
      <w:r w:rsidRPr="00DE096C">
        <w:rPr>
          <w:bCs/>
          <w:color w:val="002060"/>
          <w:sz w:val="16"/>
          <w:szCs w:val="16"/>
        </w:rPr>
        <w:softHyphen/>
        <w:t>жат «земному» самолету; прислан</w:t>
      </w:r>
      <w:r w:rsidRPr="00DE096C">
        <w:rPr>
          <w:bCs/>
          <w:color w:val="002060"/>
          <w:sz w:val="16"/>
          <w:szCs w:val="16"/>
        </w:rPr>
        <w:softHyphen/>
        <w:t>ный двигатель «Кирхгам» (по-види</w:t>
      </w:r>
      <w:r w:rsidRPr="00DE096C">
        <w:rPr>
          <w:bCs/>
          <w:color w:val="002060"/>
          <w:sz w:val="16"/>
          <w:szCs w:val="16"/>
        </w:rPr>
        <w:softHyphen/>
        <w:t>мому, имеется в виду двигатель «Бир-кихтам. Прим.авт.) нельзя было ус</w:t>
      </w:r>
      <w:r w:rsidRPr="00DE096C">
        <w:rPr>
          <w:bCs/>
          <w:color w:val="002060"/>
          <w:sz w:val="16"/>
          <w:szCs w:val="16"/>
        </w:rPr>
        <w:softHyphen/>
        <w:t>тановить на самолет (не подходил по месту водяной радиатор; мото</w:t>
      </w:r>
      <w:r w:rsidRPr="00DE096C">
        <w:rPr>
          <w:bCs/>
          <w:color w:val="002060"/>
          <w:sz w:val="16"/>
          <w:szCs w:val="16"/>
        </w:rPr>
        <w:softHyphen/>
        <w:t>рама от другого двигателя; места для дополнительного бака не было), три других мотора «Кирхгам» ока</w:t>
      </w:r>
      <w:r w:rsidRPr="00DE096C">
        <w:rPr>
          <w:bCs/>
          <w:color w:val="002060"/>
          <w:sz w:val="16"/>
          <w:szCs w:val="16"/>
        </w:rPr>
        <w:softHyphen/>
        <w:t>зались различных модификаций и с дефектами».</w:t>
      </w:r>
    </w:p>
    <w:p w14:paraId="186C11D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Изучив материалы, авиационный комитет Черноморского флота при</w:t>
      </w:r>
      <w:r w:rsidRPr="00DE096C">
        <w:rPr>
          <w:bCs/>
          <w:color w:val="002060"/>
          <w:sz w:val="16"/>
          <w:szCs w:val="16"/>
        </w:rPr>
        <w:softHyphen/>
        <w:t>шёл к выводу о непригодности при</w:t>
      </w:r>
      <w:r w:rsidRPr="00DE096C">
        <w:rPr>
          <w:bCs/>
          <w:color w:val="002060"/>
          <w:sz w:val="16"/>
          <w:szCs w:val="16"/>
        </w:rPr>
        <w:softHyphen/>
        <w:t>менения самолётов для боевых дей</w:t>
      </w:r>
      <w:r w:rsidRPr="00DE096C">
        <w:rPr>
          <w:bCs/>
          <w:color w:val="002060"/>
          <w:sz w:val="16"/>
          <w:szCs w:val="16"/>
        </w:rPr>
        <w:softHyphen/>
        <w:t>ствий: «...необходимы всесторонние испытания, и если они окажутся удовлетворительными, то аппараты следует использовать в качестве учебных и для проведения ближай</w:t>
      </w:r>
      <w:r w:rsidRPr="00DE096C">
        <w:rPr>
          <w:bCs/>
          <w:color w:val="002060"/>
          <w:sz w:val="16"/>
          <w:szCs w:val="16"/>
        </w:rPr>
        <w:softHyphen/>
        <w:t>ших разведок, не связанных с боевы</w:t>
      </w:r>
      <w:r w:rsidRPr="00DE096C">
        <w:rPr>
          <w:bCs/>
          <w:color w:val="002060"/>
          <w:sz w:val="16"/>
          <w:szCs w:val="16"/>
        </w:rPr>
        <w:softHyphen/>
        <w:t>ми требованиями». Другими слова</w:t>
      </w:r>
      <w:r w:rsidRPr="00DE096C">
        <w:rPr>
          <w:bCs/>
          <w:color w:val="002060"/>
          <w:sz w:val="16"/>
          <w:szCs w:val="16"/>
        </w:rPr>
        <w:softHyphen/>
        <w:t>ми - для полётов вблизи побережья.</w:t>
      </w:r>
    </w:p>
    <w:p w14:paraId="04F52087"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Командующий Черноморским флотом адмирал А. Эбергард, оз</w:t>
      </w:r>
      <w:r w:rsidRPr="00DE096C">
        <w:rPr>
          <w:bCs/>
          <w:color w:val="002060"/>
          <w:sz w:val="16"/>
          <w:szCs w:val="16"/>
        </w:rPr>
        <w:softHyphen/>
        <w:t>накомившись с докладом Авиаци</w:t>
      </w:r>
      <w:r w:rsidRPr="00DE096C">
        <w:rPr>
          <w:bCs/>
          <w:color w:val="002060"/>
          <w:sz w:val="16"/>
          <w:szCs w:val="16"/>
        </w:rPr>
        <w:softHyphen/>
        <w:t>онного комитета, потребовал: «ап</w:t>
      </w:r>
      <w:r w:rsidRPr="00DE096C">
        <w:rPr>
          <w:bCs/>
          <w:color w:val="002060"/>
          <w:sz w:val="16"/>
          <w:szCs w:val="16"/>
        </w:rPr>
        <w:softHyphen/>
        <w:t>паратов не принимать и никому на них не летать, срочно довести до сведения Морского генерального шта</w:t>
      </w:r>
      <w:r w:rsidRPr="00DE096C">
        <w:rPr>
          <w:bCs/>
          <w:color w:val="002060"/>
          <w:sz w:val="16"/>
          <w:szCs w:val="16"/>
        </w:rPr>
        <w:softHyphen/>
        <w:t>ба о столь преступном снабжении».</w:t>
      </w:r>
    </w:p>
    <w:p w14:paraId="4AED9018"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К августу 1915 г. на Черном море находилось семь поплавковых самолетов «Кертисс-Р» и 30 летаю</w:t>
      </w:r>
      <w:r w:rsidRPr="00DE096C">
        <w:rPr>
          <w:bCs/>
          <w:color w:val="002060"/>
          <w:sz w:val="16"/>
          <w:szCs w:val="16"/>
        </w:rPr>
        <w:softHyphen/>
        <w:t>щих лодок «Кертисс-К» (некоторые в состоянии заводской поставки). Фирма «Кертисс» старалась как можно полнее удовлетворить инте</w:t>
      </w:r>
      <w:r w:rsidRPr="00DE096C">
        <w:rPr>
          <w:bCs/>
          <w:color w:val="002060"/>
          <w:sz w:val="16"/>
          <w:szCs w:val="16"/>
        </w:rPr>
        <w:softHyphen/>
        <w:t>ресы заказчика, но далеко не все получалось гладко. Поставка негод</w:t>
      </w:r>
      <w:r w:rsidRPr="00DE096C">
        <w:rPr>
          <w:bCs/>
          <w:color w:val="002060"/>
          <w:sz w:val="16"/>
          <w:szCs w:val="16"/>
        </w:rPr>
        <w:softHyphen/>
        <w:t>ных деталей стала возможной так</w:t>
      </w:r>
      <w:r w:rsidRPr="00DE096C">
        <w:rPr>
          <w:bCs/>
          <w:color w:val="002060"/>
          <w:sz w:val="16"/>
          <w:szCs w:val="16"/>
        </w:rPr>
        <w:softHyphen/>
        <w:t>же потому, что контрактом не ого</w:t>
      </w:r>
      <w:r w:rsidRPr="00DE096C">
        <w:rPr>
          <w:bCs/>
          <w:color w:val="002060"/>
          <w:sz w:val="16"/>
          <w:szCs w:val="16"/>
        </w:rPr>
        <w:softHyphen/>
        <w:t>варивалась ответственность за по</w:t>
      </w:r>
      <w:r w:rsidRPr="00DE096C">
        <w:rPr>
          <w:bCs/>
          <w:color w:val="002060"/>
          <w:sz w:val="16"/>
          <w:szCs w:val="16"/>
        </w:rPr>
        <w:softHyphen/>
        <w:t>добные деяния, а заказчик не уча</w:t>
      </w:r>
      <w:r w:rsidRPr="00DE096C">
        <w:rPr>
          <w:bCs/>
          <w:color w:val="002060"/>
          <w:sz w:val="16"/>
          <w:szCs w:val="16"/>
        </w:rPr>
        <w:softHyphen/>
        <w:t>ствовал в приемке самолетов в США. Однако, как следует из от</w:t>
      </w:r>
      <w:r w:rsidRPr="00DE096C">
        <w:rPr>
          <w:bCs/>
          <w:color w:val="002060"/>
          <w:sz w:val="16"/>
          <w:szCs w:val="16"/>
        </w:rPr>
        <w:softHyphen/>
        <w:t>ношения начальника авиации Чер</w:t>
      </w:r>
      <w:r w:rsidRPr="00DE096C">
        <w:rPr>
          <w:bCs/>
          <w:color w:val="002060"/>
          <w:sz w:val="16"/>
          <w:szCs w:val="16"/>
        </w:rPr>
        <w:softHyphen/>
        <w:t>номорского флота начальнику воз</w:t>
      </w:r>
      <w:r w:rsidRPr="00DE096C">
        <w:rPr>
          <w:bCs/>
          <w:color w:val="002060"/>
          <w:sz w:val="16"/>
          <w:szCs w:val="16"/>
        </w:rPr>
        <w:softHyphen/>
        <w:t>духоплавательного отделения Мор</w:t>
      </w:r>
      <w:r w:rsidRPr="00DE096C">
        <w:rPr>
          <w:bCs/>
          <w:color w:val="002060"/>
          <w:sz w:val="16"/>
          <w:szCs w:val="16"/>
        </w:rPr>
        <w:softHyphen/>
        <w:t>ского генерального штаба от 10 октября, изменялось отношение к иностранным самолётам: «уведом</w:t>
      </w:r>
      <w:r w:rsidRPr="00DE096C">
        <w:rPr>
          <w:bCs/>
          <w:color w:val="002060"/>
          <w:sz w:val="16"/>
          <w:szCs w:val="16"/>
        </w:rPr>
        <w:softHyphen/>
        <w:t>ляю ваше Высокопревосходитель</w:t>
      </w:r>
      <w:r w:rsidRPr="00DE096C">
        <w:rPr>
          <w:bCs/>
          <w:color w:val="002060"/>
          <w:sz w:val="16"/>
          <w:szCs w:val="16"/>
        </w:rPr>
        <w:softHyphen/>
        <w:t>ство, что боевыми аппаратами мож</w:t>
      </w:r>
      <w:r w:rsidRPr="00DE096C">
        <w:rPr>
          <w:bCs/>
          <w:color w:val="002060"/>
          <w:sz w:val="16"/>
          <w:szCs w:val="16"/>
        </w:rPr>
        <w:softHyphen/>
        <w:t>но считать лишь «Щетинины» типа М-5, коих имеется 17, но за недо</w:t>
      </w:r>
      <w:r w:rsidRPr="00DE096C">
        <w:rPr>
          <w:bCs/>
          <w:color w:val="002060"/>
          <w:sz w:val="16"/>
          <w:szCs w:val="16"/>
        </w:rPr>
        <w:softHyphen/>
        <w:t>статком моторов из них могут дей</w:t>
      </w:r>
      <w:r w:rsidRPr="00DE096C">
        <w:rPr>
          <w:bCs/>
          <w:color w:val="002060"/>
          <w:sz w:val="16"/>
          <w:szCs w:val="16"/>
        </w:rPr>
        <w:softHyphen/>
        <w:t>ствовать лишь 14, причём один с ненадёжным мотором. Аппараты «Кертисса» в 100НР годятся лишь для учебных полётов и для неответ</w:t>
      </w:r>
      <w:r w:rsidRPr="00DE096C">
        <w:rPr>
          <w:bCs/>
          <w:color w:val="002060"/>
          <w:sz w:val="16"/>
          <w:szCs w:val="16"/>
        </w:rPr>
        <w:softHyphen/>
        <w:t>ственных задач. Таковых имеется девять, из коих два нуждаются в капитальном ремонте» (11759).</w:t>
      </w:r>
    </w:p>
    <w:p w14:paraId="16BDB346" w14:textId="77777777" w:rsidR="00B67D7C" w:rsidRPr="00DE096C" w:rsidRDefault="00B67D7C" w:rsidP="00D45A46">
      <w:pPr>
        <w:shd w:val="clear" w:color="auto" w:fill="FFFFFF"/>
        <w:jc w:val="both"/>
        <w:rPr>
          <w:bCs/>
          <w:color w:val="002060"/>
          <w:sz w:val="16"/>
          <w:szCs w:val="16"/>
        </w:rPr>
      </w:pPr>
    </w:p>
    <w:p w14:paraId="06935402"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В 1914 г. русский летчик Нагурский совершил первые полеты в Арктике. Отыскивая полярную экспедицию Седова, он летал на Новую Землю, долетел до острова Панкратьева, побывал во льдах Баренцева моря и вернулся на материк (11042,230).</w:t>
      </w:r>
    </w:p>
    <w:p w14:paraId="5D0A8074" w14:textId="77777777" w:rsidR="00B67D7C" w:rsidRPr="00DE096C" w:rsidRDefault="00B67D7C" w:rsidP="00D45A46">
      <w:pPr>
        <w:shd w:val="clear" w:color="auto" w:fill="FFFFFF"/>
        <w:jc w:val="both"/>
        <w:rPr>
          <w:bCs/>
          <w:color w:val="002060"/>
          <w:sz w:val="16"/>
          <w:szCs w:val="16"/>
        </w:rPr>
      </w:pPr>
    </w:p>
    <w:p w14:paraId="12D3E1B8" w14:textId="6C26992B" w:rsidR="00B67D7C" w:rsidRPr="00DE096C" w:rsidRDefault="00B67D7C" w:rsidP="00D45A46">
      <w:pPr>
        <w:shd w:val="clear" w:color="auto" w:fill="FFFFFF"/>
        <w:jc w:val="both"/>
        <w:rPr>
          <w:bCs/>
          <w:color w:val="002060"/>
          <w:sz w:val="16"/>
          <w:szCs w:val="16"/>
        </w:rPr>
      </w:pPr>
      <w:r w:rsidRPr="00DE096C">
        <w:rPr>
          <w:bCs/>
          <w:color w:val="002060"/>
          <w:sz w:val="16"/>
          <w:szCs w:val="16"/>
        </w:rPr>
        <w:t xml:space="preserve">В </w:t>
      </w:r>
      <w:r w:rsidR="00A24E21" w:rsidRPr="00DE096C">
        <w:rPr>
          <w:bCs/>
          <w:color w:val="002060"/>
          <w:sz w:val="16"/>
          <w:szCs w:val="16"/>
        </w:rPr>
        <w:t>1914 г.</w:t>
      </w:r>
      <w:r w:rsidRPr="00DE096C">
        <w:rPr>
          <w:bCs/>
          <w:color w:val="002060"/>
          <w:sz w:val="16"/>
          <w:szCs w:val="16"/>
        </w:rPr>
        <w:t xml:space="preserve"> во «Все-подданейшем докладе по Морскому министерству за 1914 год» сказано буквально следующее. «Деятельность службы связи и морской авиации во всех морях продолжали свое развитие, при</w:t>
      </w:r>
      <w:r w:rsidRPr="00DE096C">
        <w:rPr>
          <w:bCs/>
          <w:color w:val="002060"/>
          <w:sz w:val="16"/>
          <w:szCs w:val="16"/>
        </w:rPr>
        <w:softHyphen/>
        <w:t>чем эта отрасль морской службы получила в истекшем году надлежащую организацию». В большом разделе доклада, посвященном судостроению и технике, о количественном и качественном состоянии морской авиации даже не упомя</w:t>
      </w:r>
      <w:r w:rsidRPr="00DE096C">
        <w:rPr>
          <w:bCs/>
          <w:color w:val="002060"/>
          <w:sz w:val="16"/>
          <w:szCs w:val="16"/>
        </w:rPr>
        <w:softHyphen/>
        <w:t>нуто.</w:t>
      </w:r>
    </w:p>
    <w:p w14:paraId="6586F9CD"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Следует заметить, что руководство Морского министерства не предприняло далее попытки устройства возле Архангельс</w:t>
      </w:r>
      <w:r w:rsidRPr="00DE096C">
        <w:rPr>
          <w:bCs/>
          <w:color w:val="002060"/>
          <w:sz w:val="16"/>
          <w:szCs w:val="16"/>
        </w:rPr>
        <w:softHyphen/>
        <w:t>ка малой воздушной станции и формирования там заполяр</w:t>
      </w:r>
      <w:r w:rsidRPr="00DE096C">
        <w:rPr>
          <w:bCs/>
          <w:color w:val="002060"/>
          <w:sz w:val="16"/>
          <w:szCs w:val="16"/>
        </w:rPr>
        <w:softHyphen/>
        <w:t>ного авиаотряда в интересах обеспечения значительных воен</w:t>
      </w:r>
      <w:r w:rsidRPr="00DE096C">
        <w:rPr>
          <w:bCs/>
          <w:color w:val="002060"/>
          <w:sz w:val="16"/>
          <w:szCs w:val="16"/>
        </w:rPr>
        <w:softHyphen/>
        <w:t>ных перевозок союзниками преимущественно на своих транспортных судах. Между тем, возможность применения авиации в Арктике на примитивном еще аэроплане без необ</w:t>
      </w:r>
      <w:r w:rsidRPr="00DE096C">
        <w:rPr>
          <w:bCs/>
          <w:color w:val="002060"/>
          <w:sz w:val="16"/>
          <w:szCs w:val="16"/>
        </w:rPr>
        <w:softHyphen/>
        <w:t>ходимых приборов была доказана на конкретном примере (11283).</w:t>
      </w:r>
    </w:p>
    <w:p w14:paraId="062A22E4" w14:textId="77777777" w:rsidR="00B67D7C" w:rsidRPr="00DE096C" w:rsidRDefault="00B67D7C" w:rsidP="00D45A46">
      <w:pPr>
        <w:jc w:val="both"/>
        <w:rPr>
          <w:bCs/>
          <w:i/>
          <w:color w:val="002060"/>
          <w:sz w:val="16"/>
          <w:szCs w:val="16"/>
        </w:rPr>
      </w:pPr>
    </w:p>
    <w:p w14:paraId="4F592AC8" w14:textId="730A2222" w:rsidR="00B67D7C" w:rsidRPr="00DE096C" w:rsidRDefault="00B67D7C" w:rsidP="00D45A46">
      <w:pPr>
        <w:jc w:val="both"/>
        <w:rPr>
          <w:bCs/>
          <w:color w:val="002060"/>
          <w:sz w:val="16"/>
          <w:szCs w:val="16"/>
        </w:rPr>
      </w:pPr>
      <w:r w:rsidRPr="00DE096C">
        <w:rPr>
          <w:bCs/>
          <w:color w:val="002060"/>
          <w:sz w:val="16"/>
          <w:szCs w:val="16"/>
        </w:rPr>
        <w:t xml:space="preserve">В 1914 г. была открыта станция 1-го разряда в Або, а И. И. Сикорский продемонстрировал своего «Илью Муромца». </w:t>
      </w:r>
    </w:p>
    <w:p w14:paraId="2ACB0ECD" w14:textId="77777777" w:rsidR="00B67D7C" w:rsidRPr="00DE096C" w:rsidRDefault="00B67D7C" w:rsidP="00D45A46">
      <w:pPr>
        <w:jc w:val="both"/>
        <w:rPr>
          <w:bCs/>
          <w:color w:val="002060"/>
          <w:sz w:val="16"/>
          <w:szCs w:val="16"/>
        </w:rPr>
      </w:pPr>
      <w:r w:rsidRPr="00DE096C">
        <w:rPr>
          <w:bCs/>
          <w:color w:val="002060"/>
          <w:sz w:val="16"/>
          <w:szCs w:val="16"/>
        </w:rPr>
        <w:t>На С.-Петербургской станции производились испытания и сдача новых аппаратов Сикорского «С-10», давших отличные результаты. Там же находилась лодка Бомона, позже немного поврежденная во время учебного полета. Завод Лебедева, ее чинивший, снял с нее чертежи, что и послужило к озданию более усовершенствованного типа летающих лодок, известных во флоте вод литерой «Щ» (Щетинин) или «М» (морской) (11701).</w:t>
      </w:r>
    </w:p>
    <w:p w14:paraId="4B03A7A3" w14:textId="77777777" w:rsidR="00B67D7C" w:rsidRPr="00DE096C" w:rsidRDefault="00B67D7C" w:rsidP="00D45A46">
      <w:pPr>
        <w:jc w:val="both"/>
        <w:rPr>
          <w:bCs/>
          <w:color w:val="002060"/>
          <w:sz w:val="16"/>
          <w:szCs w:val="16"/>
        </w:rPr>
      </w:pPr>
    </w:p>
    <w:p w14:paraId="322D0AAC" w14:textId="54650EA3" w:rsidR="00B67D7C" w:rsidRPr="00DE096C" w:rsidRDefault="0028777E"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1914 году</w:t>
      </w:r>
      <w:r w:rsidRPr="00DE096C">
        <w:rPr>
          <w:bCs/>
          <w:color w:val="002060"/>
          <w:sz w:val="16"/>
          <w:szCs w:val="16"/>
        </w:rPr>
        <w:t xml:space="preserve"> во Владивостоке при Сибирской флотилии планировалось создать соединение морской авиации, а точнее - гидроавиационную станцию</w:t>
      </w:r>
      <w:r w:rsidR="00B67D7C" w:rsidRPr="00DE096C">
        <w:rPr>
          <w:bCs/>
          <w:color w:val="002060"/>
          <w:sz w:val="16"/>
          <w:szCs w:val="16"/>
        </w:rPr>
        <w:t>, но этому помешала Первая мировая война (11672).</w:t>
      </w:r>
    </w:p>
    <w:p w14:paraId="04FF3357" w14:textId="77777777" w:rsidR="00B67D7C" w:rsidRPr="00DE096C" w:rsidRDefault="00B67D7C" w:rsidP="00D45A46">
      <w:pPr>
        <w:jc w:val="both"/>
        <w:rPr>
          <w:bCs/>
          <w:color w:val="002060"/>
          <w:sz w:val="16"/>
          <w:szCs w:val="16"/>
        </w:rPr>
      </w:pPr>
    </w:p>
    <w:p w14:paraId="4D6155B0"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Воздухоплавание:</w:t>
      </w:r>
    </w:p>
    <w:p w14:paraId="2A212CE9" w14:textId="77777777" w:rsidR="00B67D7C" w:rsidRPr="00DE096C" w:rsidRDefault="00B67D7C" w:rsidP="00D45A46">
      <w:pPr>
        <w:pStyle w:val="a3"/>
        <w:jc w:val="both"/>
        <w:rPr>
          <w:bCs/>
          <w:color w:val="002060"/>
          <w:spacing w:val="0"/>
          <w:kern w:val="0"/>
          <w:position w:val="0"/>
          <w:sz w:val="16"/>
          <w:szCs w:val="16"/>
        </w:rPr>
      </w:pPr>
    </w:p>
    <w:p w14:paraId="55C4B6AB" w14:textId="77777777" w:rsidR="00B67D7C" w:rsidRPr="00DE096C" w:rsidRDefault="00B67D7C" w:rsidP="00D45A46">
      <w:pPr>
        <w:jc w:val="both"/>
        <w:rPr>
          <w:bCs/>
          <w:color w:val="002060"/>
          <w:sz w:val="16"/>
          <w:szCs w:val="16"/>
        </w:rPr>
      </w:pPr>
      <w:r w:rsidRPr="00DE096C">
        <w:rPr>
          <w:bCs/>
          <w:color w:val="002060"/>
          <w:sz w:val="16"/>
          <w:szCs w:val="16"/>
        </w:rPr>
        <w:t xml:space="preserve">В 1914 г в армейских ВВС было 14 дирижаблей, из них 8 больших и 6 малых. Они состояли на вооружении 4 полевых воздухоплавательных рот в Луцке, ст. Домна (близ Читы), Лиде, Ташкенте и Учебного воздухоплавательного парка при офицерской воздухоплавательной школе (в с. Салази близ Гатчины). В этих местах были построены эллинги, газогенераторные станции и базы снабжения. В военное время к ним должна была добавиться еще 1 полевая рота, формируемая на базе офицерской воздухоплавательной школы. Планировалось довести число больших дирижаблей до 14, для чего в 1914 г начаты постройкой 2 дирижабля. </w:t>
      </w:r>
    </w:p>
    <w:p w14:paraId="76A097A8" w14:textId="77777777" w:rsidR="00B67D7C" w:rsidRPr="00DE096C" w:rsidRDefault="00B67D7C" w:rsidP="00D45A46">
      <w:pPr>
        <w:jc w:val="both"/>
        <w:rPr>
          <w:bCs/>
          <w:color w:val="002060"/>
          <w:sz w:val="16"/>
          <w:szCs w:val="16"/>
        </w:rPr>
      </w:pPr>
      <w:r w:rsidRPr="00DE096C">
        <w:rPr>
          <w:bCs/>
          <w:color w:val="002060"/>
          <w:sz w:val="16"/>
          <w:szCs w:val="16"/>
        </w:rPr>
        <w:t xml:space="preserve">Полевая воздухоплавательная рота управляемых аэростатов имела на вооружении 2…4 дирижабля. </w:t>
      </w:r>
    </w:p>
    <w:p w14:paraId="09E70A8F" w14:textId="77777777" w:rsidR="00B67D7C" w:rsidRPr="00DE096C" w:rsidRDefault="00B67D7C" w:rsidP="00D45A46">
      <w:pPr>
        <w:jc w:val="both"/>
        <w:rPr>
          <w:bCs/>
          <w:color w:val="002060"/>
          <w:sz w:val="16"/>
          <w:szCs w:val="16"/>
        </w:rPr>
      </w:pPr>
      <w:r w:rsidRPr="00DE096C">
        <w:rPr>
          <w:bCs/>
          <w:color w:val="002060"/>
          <w:sz w:val="16"/>
          <w:szCs w:val="16"/>
        </w:rPr>
        <w:t xml:space="preserve">Экипаж большого дирижабля состоял из 20-25 человек разных военных специальностей. Каждый экипаж состоял из командира, вахтенного офицера (ответственного за газовые баллоны, обтяжку и балласт), офицера по обслуживанию двигателей (ответственного за энергоснабжение) и главного рулевого штурмана. На борту находилось два унтер-офицера, ответственные за связь и, в зависимости от числа моторов, по двое нижних чинов на мотор для его обслуживания. Кроме того, два человека обслуживали оболочки, а двое рулевых отвечали еще и за необходимую высоту полета. Обслуживали пулеметы и сбрасывали бомбы стрелки. Экипаж малого дирижабля насчитывал 4-8 человек тех же специальностей. </w:t>
      </w:r>
    </w:p>
    <w:p w14:paraId="7F8CD39B" w14:textId="77777777" w:rsidR="00B67D7C" w:rsidRPr="00DE096C" w:rsidRDefault="00B67D7C" w:rsidP="00D45A46">
      <w:pPr>
        <w:jc w:val="both"/>
        <w:rPr>
          <w:bCs/>
          <w:color w:val="002060"/>
          <w:sz w:val="16"/>
          <w:szCs w:val="16"/>
        </w:rPr>
      </w:pPr>
      <w:r w:rsidRPr="00DE096C">
        <w:rPr>
          <w:bCs/>
          <w:color w:val="002060"/>
          <w:sz w:val="16"/>
          <w:szCs w:val="16"/>
        </w:rPr>
        <w:t xml:space="preserve">Значительные штаты требовались и для наземного обслуживания, например, для поднятия в воздух и заведения в ангар при сильных порывах ветра, требовалось усилия до 200 человек, удерживавших дирижабль за ванты. Наземный технический персонал состоял обычно из 20-25 человек для большого и 8-10 человек для малого дирижабля (11701). </w:t>
      </w:r>
    </w:p>
    <w:p w14:paraId="589EE255" w14:textId="77777777" w:rsidR="00B67D7C" w:rsidRPr="00DE096C" w:rsidRDefault="00B67D7C" w:rsidP="00D45A46">
      <w:pPr>
        <w:jc w:val="both"/>
        <w:rPr>
          <w:bCs/>
          <w:color w:val="002060"/>
          <w:sz w:val="16"/>
          <w:szCs w:val="16"/>
        </w:rPr>
      </w:pPr>
    </w:p>
    <w:p w14:paraId="625DCEFD" w14:textId="5B368A42" w:rsidR="00B67D7C" w:rsidRPr="00DE096C" w:rsidRDefault="0028777E" w:rsidP="00D45A46">
      <w:pPr>
        <w:jc w:val="both"/>
        <w:rPr>
          <w:bCs/>
          <w:color w:val="002060"/>
          <w:sz w:val="16"/>
          <w:szCs w:val="16"/>
        </w:rPr>
      </w:pPr>
      <w:r w:rsidRPr="00DE096C">
        <w:rPr>
          <w:bCs/>
          <w:color w:val="002060"/>
          <w:sz w:val="16"/>
          <w:szCs w:val="16"/>
        </w:rPr>
        <w:t>В 1914 г. с</w:t>
      </w:r>
      <w:r w:rsidR="00B67D7C" w:rsidRPr="00DE096C">
        <w:rPr>
          <w:bCs/>
          <w:color w:val="002060"/>
          <w:sz w:val="16"/>
          <w:szCs w:val="16"/>
        </w:rPr>
        <w:t xml:space="preserve"> самого начала войны в русской армии широко использовался опыт корректирования огня артиллерии с привязных аэростатов. Теоретический спор, который велся до начала войны между Генеральным штабом русской армии и Главным инженерным управлением о целесообразности применения в военных действиях змейковых аэростатов, разрешился довольно быстро. Оказалось, что аэроплан не в состоянии полностью взять на себя боевую работу привязного аэростата. За аэростатами еще долго удерживалась задача ближней разведки, общее отыскание целей и пристрелка. Довольно быстро возникла и совместная работа привязных аэростатов с аэропланами. Аэростат, подолгу вися в воздухе, позволял, в отличие от аэроплана, непрерывно наблюдать за полем сражения. Наконец, очень большое значение имела хорошо налаженная постоянная телефонная связь между наблюдателями, находящимися на аэростате и артиллеристами. Видимость с аэростата достигала 10-12 км. Змейковый аэростат часто одним своим присутствием деморализовывал противника.</w:t>
      </w:r>
    </w:p>
    <w:p w14:paraId="43DAA045" w14:textId="77777777" w:rsidR="00B67D7C" w:rsidRPr="00DE096C" w:rsidRDefault="00B67D7C" w:rsidP="00D45A46">
      <w:pPr>
        <w:jc w:val="both"/>
        <w:rPr>
          <w:bCs/>
          <w:color w:val="002060"/>
          <w:sz w:val="16"/>
          <w:szCs w:val="16"/>
        </w:rPr>
      </w:pPr>
      <w:r w:rsidRPr="00DE096C">
        <w:rPr>
          <w:bCs/>
          <w:color w:val="002060"/>
          <w:sz w:val="16"/>
          <w:szCs w:val="16"/>
        </w:rPr>
        <w:t>Из воспоминаний участника войны Шабашева: "Аэростат невольно казался глазом, все видящим, от которого ничто не может скрыться. Следствием этого нередко являлось: артиллерия противника во время нахождения аэростата в воздухе во избежание ее обнаружения не открывала огня, усиленно стреляя лишь в то время, когда аэростат приземлялся для смены наблюдателей; всякое передвижение обозов и войск, расположенных ближе к нашим позициям, днем останавливалось, и таковые передвижения производились под прикрытием ночной темноты, вне наблюдения аэростата" (11999).</w:t>
      </w:r>
    </w:p>
    <w:p w14:paraId="3543412C" w14:textId="77777777" w:rsidR="00B67D7C" w:rsidRPr="00DE096C" w:rsidRDefault="00B67D7C" w:rsidP="00D45A46">
      <w:pPr>
        <w:jc w:val="both"/>
        <w:rPr>
          <w:bCs/>
          <w:color w:val="002060"/>
          <w:sz w:val="16"/>
          <w:szCs w:val="16"/>
        </w:rPr>
      </w:pPr>
    </w:p>
    <w:p w14:paraId="7028011C" w14:textId="77777777" w:rsidR="005F23E2" w:rsidRPr="00DE096C" w:rsidRDefault="005F23E2" w:rsidP="00D45A46">
      <w:pPr>
        <w:jc w:val="both"/>
        <w:rPr>
          <w:bCs/>
          <w:i/>
          <w:color w:val="002060"/>
          <w:sz w:val="16"/>
          <w:szCs w:val="16"/>
        </w:rPr>
      </w:pPr>
      <w:r w:rsidRPr="00DE096C">
        <w:rPr>
          <w:bCs/>
          <w:i/>
          <w:color w:val="002060"/>
          <w:sz w:val="16"/>
          <w:szCs w:val="16"/>
        </w:rPr>
        <w:t>Внешняя политика:</w:t>
      </w:r>
    </w:p>
    <w:p w14:paraId="49BF7DFE" w14:textId="77777777" w:rsidR="005F23E2" w:rsidRPr="00DE096C" w:rsidRDefault="005F23E2" w:rsidP="00D45A46">
      <w:pPr>
        <w:jc w:val="both"/>
        <w:rPr>
          <w:bCs/>
          <w:i/>
          <w:color w:val="002060"/>
          <w:sz w:val="16"/>
          <w:szCs w:val="16"/>
        </w:rPr>
      </w:pPr>
    </w:p>
    <w:p w14:paraId="525145A0" w14:textId="77777777" w:rsidR="005F23E2" w:rsidRPr="00DE096C" w:rsidRDefault="005F23E2" w:rsidP="00D45A46">
      <w:pPr>
        <w:pStyle w:val="ae"/>
        <w:spacing w:before="0" w:beforeAutospacing="0" w:after="0" w:afterAutospacing="0"/>
        <w:jc w:val="both"/>
        <w:rPr>
          <w:bCs/>
          <w:color w:val="002060"/>
          <w:sz w:val="16"/>
          <w:szCs w:val="16"/>
        </w:rPr>
      </w:pPr>
      <w:r w:rsidRPr="00DE096C">
        <w:rPr>
          <w:bCs/>
          <w:color w:val="002060"/>
          <w:sz w:val="16"/>
          <w:szCs w:val="16"/>
        </w:rPr>
        <w:t xml:space="preserve">До 1914 года система внутренней радиосвязи России выхода в Западную Европу не имела. Международная связь страны обслуживалась Северо-Датской и Индо-Европейской концессионными компаниями проволочного телеграфа, которые входили в сеть английской мировой кабельной связи. С другой стороны, акционерное </w:t>
      </w:r>
      <w:r w:rsidRPr="00DE096C">
        <w:rPr>
          <w:bCs/>
          <w:color w:val="002060"/>
          <w:sz w:val="16"/>
          <w:szCs w:val="16"/>
        </w:rPr>
        <w:lastRenderedPageBreak/>
        <w:t>общество «Телефункен», владелец контрольного пакета акций фирмы «Сименс и Гальске», всячески тормозило строительство передающих радиостанций, стремясь к тому, чтобы к началу войны с Германией Россия не имела мощных радиостанций (15736).</w:t>
      </w:r>
    </w:p>
    <w:p w14:paraId="12E8E87D" w14:textId="77777777" w:rsidR="005F23E2" w:rsidRPr="00DE096C" w:rsidRDefault="005F23E2" w:rsidP="00D45A46">
      <w:pPr>
        <w:pStyle w:val="ae"/>
        <w:spacing w:before="0" w:beforeAutospacing="0" w:after="0" w:afterAutospacing="0"/>
        <w:jc w:val="both"/>
        <w:rPr>
          <w:bCs/>
          <w:color w:val="002060"/>
          <w:sz w:val="16"/>
          <w:szCs w:val="16"/>
        </w:rPr>
      </w:pPr>
    </w:p>
    <w:p w14:paraId="0C2BC354"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Авиация и воздухоплавание Германии:</w:t>
      </w:r>
    </w:p>
    <w:p w14:paraId="05F11EAC" w14:textId="77777777" w:rsidR="00B67D7C" w:rsidRPr="00DE096C" w:rsidRDefault="00B67D7C" w:rsidP="00D45A46">
      <w:pPr>
        <w:pStyle w:val="a3"/>
        <w:jc w:val="both"/>
        <w:rPr>
          <w:bCs/>
          <w:color w:val="002060"/>
          <w:spacing w:val="0"/>
          <w:kern w:val="0"/>
          <w:position w:val="0"/>
          <w:sz w:val="16"/>
          <w:szCs w:val="16"/>
        </w:rPr>
      </w:pPr>
    </w:p>
    <w:p w14:paraId="0E3265F5" w14:textId="151CE1AD" w:rsidR="00B67D7C" w:rsidRPr="00DE096C" w:rsidRDefault="0028777E"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1914 году был создан центр военной метеорологической службы. Этот центр в своей деятельности широко использовал результаты наблюдений гражданских сухопутных и морских метеорологических станций; кроме того, до войны он располагал 18-ю постоянными и 2-мя подвижными метеостанциями</w:t>
      </w:r>
      <w:r w:rsidRPr="00DE096C">
        <w:rPr>
          <w:bCs/>
          <w:color w:val="002060"/>
          <w:sz w:val="16"/>
          <w:szCs w:val="16"/>
        </w:rPr>
        <w:t>. В снабжении воздушного флота нужной ему информацией принимали деятельное участие гражданские метеорологические станции, а также метеостанции воздухоплавательной обсерватории в Линденберге. Однако Инспекция воздушных и автомобильных сообщений считала нужным иметь собственную военно-метеорологическую служб а также стремилась обеспечить солидное метеорологическое образование воздухоплавателям и летчикам</w:t>
      </w:r>
      <w:r w:rsidR="00B67D7C" w:rsidRPr="00DE096C">
        <w:rPr>
          <w:bCs/>
          <w:color w:val="002060"/>
          <w:sz w:val="16"/>
          <w:szCs w:val="16"/>
        </w:rPr>
        <w:t xml:space="preserve"> (11282).</w:t>
      </w:r>
    </w:p>
    <w:p w14:paraId="3E7E27B2" w14:textId="77777777" w:rsidR="00B67D7C" w:rsidRPr="00DE096C" w:rsidRDefault="00B67D7C" w:rsidP="00D45A46">
      <w:pPr>
        <w:jc w:val="both"/>
        <w:rPr>
          <w:bCs/>
          <w:color w:val="002060"/>
          <w:sz w:val="16"/>
          <w:szCs w:val="16"/>
        </w:rPr>
      </w:pPr>
    </w:p>
    <w:p w14:paraId="08C59A47" w14:textId="46BE9F12" w:rsidR="00B67D7C" w:rsidRPr="00DE096C" w:rsidRDefault="00B67D7C" w:rsidP="00D45A46">
      <w:pPr>
        <w:jc w:val="both"/>
        <w:rPr>
          <w:bCs/>
          <w:color w:val="002060"/>
          <w:sz w:val="16"/>
          <w:szCs w:val="16"/>
        </w:rPr>
      </w:pPr>
      <w:r w:rsidRPr="00DE096C">
        <w:rPr>
          <w:bCs/>
          <w:color w:val="002060"/>
          <w:sz w:val="16"/>
          <w:szCs w:val="16"/>
        </w:rPr>
        <w:t xml:space="preserve">В 1914 году </w:t>
      </w:r>
      <w:r w:rsidR="0028777E" w:rsidRPr="00DE096C">
        <w:rPr>
          <w:bCs/>
          <w:color w:val="002060"/>
          <w:sz w:val="16"/>
          <w:szCs w:val="16"/>
        </w:rPr>
        <w:t>с</w:t>
      </w:r>
      <w:r w:rsidRPr="00DE096C">
        <w:rPr>
          <w:bCs/>
          <w:color w:val="002060"/>
          <w:sz w:val="16"/>
          <w:szCs w:val="16"/>
        </w:rPr>
        <w:t>равнительные испытания воздухоплавательных аппаратов показали превосходство дирижаблей жесткого типа. Последние, при длине 150 м и объеме оболочки 22 000 м3, поднимали до 8000 кг полезного груза, имея максимальную высоту подъема 2200 м. При трех моторах мощностью 210 л.с. каждый они достигали скорости 21 м/с. В полезную нагрузку входили 10-килограммовые бомбы и 15-сантиметровые и 21-сантиметровые гранаты (общим весом 500 кг), а также радиотелеграфное оборудование. При отсутствии бомбовой нагрузки полетные качества дирижабля повышались; на них оказывало сильное влияние состояние погоды, так как при движении против ветра скорость] дирижабля значительно снижалась. Начало войны застало немецкую военную авиацию на I первой стадии ее планомерного развития, которое было рассчитано на несколько лет и потому не закончилось к этому моменту. Известны полеты лейтенанта Макентуна, Ферстера, фон Тюна, в 1910—1911 годах в Деберипе] был осуществлен перелет имени принца Генриха. Условия этого перелета для того времени были чрезвычайно тяжелыми; они принесли, однако, ту пользу, что с само- ] начала содействовали подготовке волевых и сильных духом кадров авиационных специалистов.</w:t>
      </w:r>
    </w:p>
    <w:p w14:paraId="1FBC5BA1" w14:textId="77777777" w:rsidR="00B67D7C" w:rsidRPr="00DE096C" w:rsidRDefault="00B67D7C" w:rsidP="00D45A46">
      <w:pPr>
        <w:jc w:val="both"/>
        <w:rPr>
          <w:bCs/>
          <w:color w:val="002060"/>
          <w:sz w:val="16"/>
          <w:szCs w:val="16"/>
        </w:rPr>
      </w:pPr>
    </w:p>
    <w:p w14:paraId="1813EE0E" w14:textId="77777777" w:rsidR="00B67D7C" w:rsidRPr="00DE096C" w:rsidRDefault="00B67D7C" w:rsidP="00D45A46">
      <w:pPr>
        <w:jc w:val="both"/>
        <w:rPr>
          <w:bCs/>
          <w:color w:val="002060"/>
          <w:sz w:val="16"/>
          <w:szCs w:val="16"/>
        </w:rPr>
      </w:pPr>
      <w:r w:rsidRPr="00DE096C">
        <w:rPr>
          <w:bCs/>
          <w:color w:val="002060"/>
          <w:sz w:val="16"/>
          <w:szCs w:val="16"/>
        </w:rPr>
        <w:t xml:space="preserve">В 1914 Германия при налетах мы придерживались условий 2-й мирной конференции в Гааге. Тогда представитель Франции добился того, чтобы конференция признала приемлемым бомбометание с воздушных судов. В начале войны немцы считали, что признанное международным соглашением в качестве средства ведения сухопутной войны бомбометание должно производиться исключительно по крепостям и имеющим важное в военном отношении значение географическим пунктам, а также тем районам, где происходят боевые действия. Отступлений от этого не допускали. Англия пошла в этом отношении дальше: осенью 1914 года английские летчики разбомбили находившийся в эллинге близ Дюссельдорфа </w:t>
      </w:r>
      <w:r w:rsidRPr="00DE096C">
        <w:rPr>
          <w:rFonts w:eastAsia="Times-Roman"/>
          <w:bCs/>
          <w:color w:val="002060"/>
          <w:sz w:val="16"/>
          <w:szCs w:val="16"/>
        </w:rPr>
        <w:t>ｫ</w:t>
      </w:r>
      <w:r w:rsidRPr="00DE096C">
        <w:rPr>
          <w:rFonts w:eastAsia="Times-Roman"/>
          <w:bCs/>
          <w:color w:val="002060"/>
          <w:sz w:val="16"/>
          <w:szCs w:val="16"/>
        </w:rPr>
        <w:t>L</w:t>
      </w:r>
      <w:r w:rsidRPr="00DE096C">
        <w:rPr>
          <w:bCs/>
          <w:color w:val="002060"/>
          <w:sz w:val="16"/>
          <w:szCs w:val="16"/>
        </w:rPr>
        <w:t>Z-2</w:t>
      </w:r>
      <w:r w:rsidRPr="00DE096C">
        <w:rPr>
          <w:rFonts w:eastAsia="Times-Roman"/>
          <w:bCs/>
          <w:color w:val="002060"/>
          <w:sz w:val="16"/>
          <w:szCs w:val="16"/>
        </w:rPr>
        <w:t>ｻ</w:t>
      </w:r>
      <w:r w:rsidRPr="00DE096C">
        <w:rPr>
          <w:bCs/>
          <w:color w:val="002060"/>
          <w:sz w:val="16"/>
          <w:szCs w:val="16"/>
        </w:rPr>
        <w:t xml:space="preserve"> произвели налет на Фридрихсгафен и ряд других военных целей, значительно удаленных от театра военных действий. Но англичане все же щадили при этом мирное население (11282).</w:t>
      </w:r>
    </w:p>
    <w:p w14:paraId="4FA05C43" w14:textId="77777777" w:rsidR="00B67D7C" w:rsidRPr="00DE096C" w:rsidRDefault="00B67D7C" w:rsidP="00D45A46">
      <w:pPr>
        <w:jc w:val="both"/>
        <w:rPr>
          <w:bCs/>
          <w:color w:val="002060"/>
          <w:sz w:val="16"/>
          <w:szCs w:val="16"/>
        </w:rPr>
      </w:pPr>
    </w:p>
    <w:p w14:paraId="560053A0" w14:textId="23D35D6D" w:rsidR="00B67D7C" w:rsidRPr="00DE096C" w:rsidRDefault="0028777E"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1914 году на Z-IX (заводской номер LZ-25)</w:t>
      </w:r>
      <w:r w:rsidRPr="00DE096C">
        <w:rPr>
          <w:bCs/>
          <w:color w:val="002060"/>
          <w:sz w:val="16"/>
          <w:szCs w:val="16"/>
        </w:rPr>
        <w:t xml:space="preserve"> впервые были установлены коробчатые рули, которые располагали за стабилизаторами, а также появились рули, являвшиеся непосредственным продолжением самих стабилизаторов.</w:t>
      </w:r>
      <w:r w:rsidR="00B67D7C" w:rsidRPr="00DE096C">
        <w:rPr>
          <w:bCs/>
          <w:color w:val="002060"/>
          <w:sz w:val="16"/>
          <w:szCs w:val="16"/>
        </w:rPr>
        <w:t xml:space="preserve"> </w:t>
      </w:r>
    </w:p>
    <w:p w14:paraId="6595006F" w14:textId="77777777" w:rsidR="00B67D7C" w:rsidRPr="00DE096C" w:rsidRDefault="00B67D7C" w:rsidP="00D45A46">
      <w:pPr>
        <w:jc w:val="both"/>
        <w:rPr>
          <w:bCs/>
          <w:color w:val="002060"/>
          <w:sz w:val="16"/>
          <w:szCs w:val="16"/>
        </w:rPr>
      </w:pPr>
      <w:r w:rsidRPr="00DE096C">
        <w:rPr>
          <w:bCs/>
          <w:color w:val="002060"/>
          <w:sz w:val="16"/>
          <w:szCs w:val="16"/>
        </w:rPr>
        <w:t xml:space="preserve">На первых цеппелинах газовые баллоны делались из материалов, представлявших собой различные варианты пропитанной резиной хлопчатобумажной ткани. Все они имели слишком высокую газопроницаемость. Поэтому для изготовления газовых баллонов начали использовать семислойный бодрюш. Впоследствии стали применять бодрюшированную ткань. </w:t>
      </w:r>
    </w:p>
    <w:p w14:paraId="203E7DF7" w14:textId="77777777" w:rsidR="00B67D7C" w:rsidRPr="00DE096C" w:rsidRDefault="00B67D7C" w:rsidP="00D45A46">
      <w:pPr>
        <w:jc w:val="both"/>
        <w:rPr>
          <w:bCs/>
          <w:color w:val="002060"/>
          <w:sz w:val="16"/>
          <w:szCs w:val="16"/>
        </w:rPr>
      </w:pPr>
      <w:r w:rsidRPr="00DE096C">
        <w:rPr>
          <w:bCs/>
          <w:color w:val="002060"/>
          <w:sz w:val="16"/>
          <w:szCs w:val="16"/>
        </w:rPr>
        <w:t xml:space="preserve">Наружная обтяжка первых цеппелинов изготавливалась из поперечных полотнищ шириной, равной длине соответствующего отсека. Затем с целью уменьшения протяженности поперечных швов, что позволяло снизить лобовое сопротивление дирижабля, стали использовать продольные полотнища, перекрывавшие сразу несколько отсеков. </w:t>
      </w:r>
    </w:p>
    <w:p w14:paraId="187325D4" w14:textId="77777777" w:rsidR="00B67D7C" w:rsidRPr="00DE096C" w:rsidRDefault="00B67D7C" w:rsidP="00D45A46">
      <w:pPr>
        <w:jc w:val="both"/>
        <w:rPr>
          <w:bCs/>
          <w:color w:val="002060"/>
          <w:sz w:val="16"/>
          <w:szCs w:val="16"/>
        </w:rPr>
      </w:pPr>
      <w:r w:rsidRPr="00DE096C">
        <w:rPr>
          <w:bCs/>
          <w:color w:val="002060"/>
          <w:sz w:val="16"/>
          <w:szCs w:val="16"/>
        </w:rPr>
        <w:t xml:space="preserve">Первые дирижабли типа «LZ» не имели отдельной гондолы управления, оно осуществлялось из носовой гондолы. На LZ-18 впереди носовой гондолы была установлена отдельная гондола управления. На более поздних военных дирижаблях гондолу управления присоединяли спереди к носовой мотогондоле. Вся передняя часть гондолы управления делалась остекленной. В пассажирских дирижаблях имелась единая гондола, непосредственно примыкавшая к корпусу. В ее передней части находилась рубка управления, а за ней — пассажирские помещения. </w:t>
      </w:r>
    </w:p>
    <w:p w14:paraId="147EF93B" w14:textId="77777777" w:rsidR="00B67D7C" w:rsidRPr="00DE096C" w:rsidRDefault="00B67D7C" w:rsidP="00D45A46">
      <w:pPr>
        <w:jc w:val="both"/>
        <w:rPr>
          <w:bCs/>
          <w:color w:val="002060"/>
          <w:sz w:val="16"/>
          <w:szCs w:val="16"/>
        </w:rPr>
      </w:pPr>
      <w:r w:rsidRPr="00DE096C">
        <w:rPr>
          <w:bCs/>
          <w:color w:val="002060"/>
          <w:sz w:val="16"/>
          <w:szCs w:val="16"/>
        </w:rPr>
        <w:t xml:space="preserve">Двигатели на всех цеппелинах устанавливались не в одном месте, а разносились вдоль корпуса. На двухдвигательных дирижаблях их располагали по одному в носовой и кормовой гондолах, на трехдвигательных в кормовой гондоле находилось два двигателя, в носовой — один. На дирижаблях с числом двигателей четыре и более их, как правило, размещали следующим образом: в кормовой гондоле два двигателя, остальные находились каждый в своей мотогондоле. Такая компоновка позволяла более равномерно распределить массу силовой установки вдоль корпуса и повышала надежность силовой установки в целом. </w:t>
      </w:r>
    </w:p>
    <w:p w14:paraId="662BFD49" w14:textId="77777777" w:rsidR="00B67D7C" w:rsidRPr="00DE096C" w:rsidRDefault="00B67D7C" w:rsidP="00D45A46">
      <w:pPr>
        <w:jc w:val="both"/>
        <w:rPr>
          <w:bCs/>
          <w:color w:val="002060"/>
          <w:sz w:val="16"/>
          <w:szCs w:val="16"/>
        </w:rPr>
      </w:pPr>
      <w:r w:rsidRPr="00DE096C">
        <w:rPr>
          <w:bCs/>
          <w:color w:val="002060"/>
          <w:sz w:val="16"/>
          <w:szCs w:val="16"/>
        </w:rPr>
        <w:t xml:space="preserve">На протяжении 1908-1914 годов цеппелины прошли сложный путь технического совершенствования. Фердинанд фон Цеппелин не стремился к радикальным изменениям своих конструкций и тяготел к уже испытанным решениям. Его воздушные корабли не отличались особым аэродинамическим совершенством. Большая часть корпуса представляла собою вначале двенадцати-, потом шестнадцати-, а позднее и семнадцатигранный [75] цилиндр. Для производства каркаса эта форма была технологически выгодна, однако аэродинамика подобной угловатой конструкции оставляла желать лучшего. Нос и корма оканчивались тупыми эллипсовидными куполами. Многочисленные рулевые плоскости были малоэффективны из-за завихрений воздушных потоков в кормовой части дирижабля. Установленные эмпирически, без систематических аэродинамических исследований, рули неоднократно меняли, добавляли, убирали и перемещали с места на место. Только перед самым началом войны они приобрели установившуюся форму. Киль цеппелинов постепенно покрылся полотном на всю его длину. В средней части корпуса оборудовалась закрытая кабина для нескольких членов экипажа. На кораблях, поставленных фирме ДЕЛАГ, это помещение было гораздо просторнее и лучше приспособлено для размещения людей. </w:t>
      </w:r>
    </w:p>
    <w:p w14:paraId="40A0C3D8" w14:textId="77777777" w:rsidR="00B67D7C" w:rsidRPr="00DE096C" w:rsidRDefault="00B67D7C" w:rsidP="00D45A46">
      <w:pPr>
        <w:jc w:val="both"/>
        <w:rPr>
          <w:bCs/>
          <w:color w:val="002060"/>
          <w:sz w:val="16"/>
          <w:szCs w:val="16"/>
        </w:rPr>
      </w:pPr>
      <w:r w:rsidRPr="00DE096C">
        <w:rPr>
          <w:bCs/>
          <w:color w:val="002060"/>
          <w:sz w:val="16"/>
          <w:szCs w:val="16"/>
        </w:rPr>
        <w:t xml:space="preserve">Долгое время сохранялась двигательная установка, которая применялась еще на первых моделях цеппелинов. В задней части гондолы помещались моторы, вращавшие посредством длинных валов пропеллеры, установленные на рамах по бортам корпуса дирижабля. Цеппелин стремился разместить ось тяги пропеллеров как можно выше, чтобы поток воздуха от них, попадая на рулевые плоскости, повышал их эффективность. Пропеллеры могли давать и обратную тягу. Ведущие к ним приводные валы были весьма тяжелы, что приводило к частым поломкам приводных механизмов и потере значительной части мощности. </w:t>
      </w:r>
    </w:p>
    <w:p w14:paraId="728605A4" w14:textId="77777777" w:rsidR="00B67D7C" w:rsidRPr="00DE096C" w:rsidRDefault="00B67D7C" w:rsidP="00D45A46">
      <w:pPr>
        <w:jc w:val="both"/>
        <w:rPr>
          <w:bCs/>
          <w:color w:val="002060"/>
          <w:sz w:val="16"/>
          <w:szCs w:val="16"/>
        </w:rPr>
      </w:pPr>
      <w:r w:rsidRPr="00DE096C">
        <w:rPr>
          <w:bCs/>
          <w:color w:val="002060"/>
          <w:sz w:val="16"/>
          <w:szCs w:val="16"/>
        </w:rPr>
        <w:t xml:space="preserve">На LZ-6 впервые появился третий двигатель. «Майбах» мощностью [76] 145 л. с. был установлен в носовой гондоле, а в задней гондоле — два «Даймлера» по 115 л. с. В дальнейших конструкциях цеппелинов, вплоть до 1914 года, устанавливались по 3 более мощных двигателя «Майбах». Исключение составил морской L-2 с четырьмя «Майбахами». Серийное же производство четырехмоторных дирижаблей началось гораздо позже, уже в ходе войны. </w:t>
      </w:r>
    </w:p>
    <w:p w14:paraId="1A934C0F" w14:textId="77777777" w:rsidR="00B67D7C" w:rsidRPr="00DE096C" w:rsidRDefault="00B67D7C" w:rsidP="00D45A46">
      <w:pPr>
        <w:jc w:val="both"/>
        <w:rPr>
          <w:bCs/>
          <w:color w:val="002060"/>
          <w:sz w:val="16"/>
          <w:szCs w:val="16"/>
        </w:rPr>
      </w:pPr>
      <w:r w:rsidRPr="00DE096C">
        <w:rPr>
          <w:bCs/>
          <w:color w:val="002060"/>
          <w:sz w:val="16"/>
          <w:szCs w:val="16"/>
        </w:rPr>
        <w:t xml:space="preserve">Экипаж цеппелина состоял из 10-16 человек, в зависимости от дальности предстоящего полета и поднимаемого груза. Члены экипажа размещались в двух открытых гондолах, килевой кабине и в «гнезде», расположенном в верхней части корпуса дирижабля. В начале войны в обеих гондолах установили по два пулемета «максим» калибра 8 мм, один-два таких же пулемета находились и в «гнезде». Процесс конструирования и испытаний авиационных бомб как основного оружия цеппелинов к лету 1914 года не был завершен. Поэтому при первых налетах на противника сбрасывались обыкновенные артиллерийские снаряды, к которым для стабилизации прикрепляли длинные суконные ленты. Средний вес груза бомб составлял 600 кг, максимальный — до 900 кг. На большие расстояния приходилось брать не более двух сотен килограммов боеприпасов. Общий вес полезной нагрузки, поднимаемой цеппелином, возрос с 4500 кг у Z-I до 6500 кг у большинства построенных до начала войны воздушных кораблей. У отдельных экземпляров этот показатель превышал 8000 кг, а у L-2 даже 11 000 кг. Скорость последних предвоенных цеппелинов колебалась от 60 до 75 км/ч. Объем корпусов дирижаблей неуклонно увеличивался. Объем наименьшего цеппелина к 1914 году составлял 17 800 куб. м, наиболее распространенным был объем 19 550 куб. м, а самым большим — у L-2 (27 000 куб. м). </w:t>
      </w:r>
    </w:p>
    <w:p w14:paraId="1FD98915" w14:textId="77777777" w:rsidR="00B67D7C" w:rsidRPr="00DE096C" w:rsidRDefault="00B67D7C" w:rsidP="00D45A46">
      <w:pPr>
        <w:pStyle w:val="a3"/>
        <w:jc w:val="both"/>
        <w:rPr>
          <w:bCs/>
          <w:color w:val="002060"/>
          <w:spacing w:val="0"/>
          <w:kern w:val="0"/>
          <w:position w:val="0"/>
          <w:sz w:val="16"/>
          <w:szCs w:val="16"/>
        </w:rPr>
      </w:pPr>
    </w:p>
    <w:p w14:paraId="7100BF66" w14:textId="77777777" w:rsidR="001D2193" w:rsidRPr="00DE096C" w:rsidRDefault="001D2193" w:rsidP="00D45A46">
      <w:pPr>
        <w:jc w:val="both"/>
        <w:rPr>
          <w:bCs/>
          <w:color w:val="002060"/>
          <w:sz w:val="16"/>
          <w:szCs w:val="16"/>
        </w:rPr>
      </w:pPr>
      <w:r w:rsidRPr="00DE096C">
        <w:rPr>
          <w:bCs/>
          <w:color w:val="002060"/>
          <w:sz w:val="16"/>
          <w:szCs w:val="16"/>
        </w:rPr>
        <w:t>В 1914 г. Германии приступили также к строительству десяти морских дирижаблей. Эти дирижабли могли служить не только для раз</w:t>
      </w:r>
      <w:r w:rsidRPr="00DE096C">
        <w:rPr>
          <w:bCs/>
          <w:color w:val="002060"/>
          <w:sz w:val="16"/>
          <w:szCs w:val="16"/>
        </w:rPr>
        <w:softHyphen/>
        <w:t>ведки, но и'бомбить тылы и базы противника, разрушая его ком</w:t>
      </w:r>
      <w:r w:rsidRPr="00DE096C">
        <w:rPr>
          <w:bCs/>
          <w:color w:val="002060"/>
          <w:sz w:val="16"/>
          <w:szCs w:val="16"/>
        </w:rPr>
        <w:softHyphen/>
        <w:t>муникации.</w:t>
      </w:r>
    </w:p>
    <w:p w14:paraId="44BBABCF" w14:textId="77777777" w:rsidR="001D2193" w:rsidRPr="00DE096C" w:rsidRDefault="001D2193" w:rsidP="00D45A46">
      <w:pPr>
        <w:jc w:val="both"/>
        <w:rPr>
          <w:bCs/>
          <w:color w:val="002060"/>
          <w:sz w:val="16"/>
          <w:szCs w:val="16"/>
        </w:rPr>
      </w:pPr>
      <w:r w:rsidRPr="00DE096C">
        <w:rPr>
          <w:bCs/>
          <w:color w:val="002060"/>
          <w:sz w:val="16"/>
          <w:szCs w:val="16"/>
        </w:rPr>
        <w:t>Для того чтобы противостоять Германии в воздухе, необходимо было в России развивать свое воздухоплавание. Но это требовало создания специальных верфей, сети операционных линий для ди</w:t>
      </w:r>
      <w:r w:rsidRPr="00DE096C">
        <w:rPr>
          <w:bCs/>
          <w:color w:val="002060"/>
          <w:sz w:val="16"/>
          <w:szCs w:val="16"/>
        </w:rPr>
        <w:softHyphen/>
        <w:t>рижаблей, «наступательных аэропланов», могущих охранять дири</w:t>
      </w:r>
      <w:r w:rsidRPr="00DE096C">
        <w:rPr>
          <w:bCs/>
          <w:color w:val="002060"/>
          <w:sz w:val="16"/>
          <w:szCs w:val="16"/>
        </w:rPr>
        <w:softHyphen/>
        <w:t>жабли во время дальних рейдов. Надо было также иметь достаточ</w:t>
      </w:r>
      <w:r w:rsidRPr="00DE096C">
        <w:rPr>
          <w:bCs/>
          <w:color w:val="002060"/>
          <w:sz w:val="16"/>
          <w:szCs w:val="16"/>
        </w:rPr>
        <w:softHyphen/>
        <w:t>но эффективные средства противовоздушной обороны. Скептически относясь к возможностям самолетов даже типа «Илья Муромец» и считая, что усовершенствование таких больших аэропланон затя</w:t>
      </w:r>
      <w:r w:rsidRPr="00DE096C">
        <w:rPr>
          <w:bCs/>
          <w:color w:val="002060"/>
          <w:sz w:val="16"/>
          <w:szCs w:val="16"/>
        </w:rPr>
        <w:softHyphen/>
        <w:t>нется, А. М. Кованько предлагал «торопиться, пока есть время, чтобы не быть застигнутыми врасплох», и строить дирижабли. Счи</w:t>
      </w:r>
      <w:r w:rsidRPr="00DE096C">
        <w:rPr>
          <w:bCs/>
          <w:color w:val="002060"/>
          <w:sz w:val="16"/>
          <w:szCs w:val="16"/>
        </w:rPr>
        <w:softHyphen/>
        <w:t>тая небезопасным слишком близкое расположение воздушных баз к границе, А. М. Кованько предлагал со.чдить основную па.чу для дирижаблей близ Москвы. Кроме тою. ом настаивал на создании в военном ведомстве органов, ведающих сетью метеорологических станций и "могущих давать сведения о метеорологической обстанов</w:t>
      </w:r>
      <w:r w:rsidRPr="00DE096C">
        <w:rPr>
          <w:bCs/>
          <w:color w:val="002060"/>
          <w:sz w:val="16"/>
          <w:szCs w:val="16"/>
        </w:rPr>
        <w:softHyphen/>
        <w:t>ке для полета. Таких станций в России в то время еще не существо</w:t>
      </w:r>
      <w:r w:rsidRPr="00DE096C">
        <w:rPr>
          <w:bCs/>
          <w:color w:val="002060"/>
          <w:sz w:val="16"/>
          <w:szCs w:val="16"/>
        </w:rPr>
        <w:softHyphen/>
        <w:t>вало, хотя было ясно, что" успешная деятельность воздухоплава</w:t>
      </w:r>
      <w:r w:rsidRPr="00DE096C">
        <w:rPr>
          <w:bCs/>
          <w:color w:val="002060"/>
          <w:sz w:val="16"/>
          <w:szCs w:val="16"/>
        </w:rPr>
        <w:softHyphen/>
        <w:t>тельных частей в значительной степени .чгишсчт от хороню постав</w:t>
      </w:r>
      <w:r w:rsidRPr="00DE096C">
        <w:rPr>
          <w:bCs/>
          <w:color w:val="002060"/>
          <w:sz w:val="16"/>
          <w:szCs w:val="16"/>
        </w:rPr>
        <w:softHyphen/>
        <w:t>ленной метеорологической службы.</w:t>
      </w:r>
    </w:p>
    <w:p w14:paraId="6EBAF27F" w14:textId="77777777" w:rsidR="001D2193" w:rsidRPr="00DE096C" w:rsidRDefault="001D2193" w:rsidP="00D45A46">
      <w:pPr>
        <w:jc w:val="both"/>
        <w:rPr>
          <w:bCs/>
          <w:color w:val="002060"/>
          <w:sz w:val="16"/>
          <w:szCs w:val="16"/>
        </w:rPr>
      </w:pPr>
      <w:r w:rsidRPr="00DE096C">
        <w:rPr>
          <w:bCs/>
          <w:color w:val="002060"/>
          <w:sz w:val="16"/>
          <w:szCs w:val="16"/>
        </w:rPr>
        <w:t>Необходимо было также создать предприятия по производству нужного количества химических продуктов, служивших.сырьем для добывания водорода. Такие продукты приходилось тогда ввозить из-за границы. Нужны были заводы авиационных двигателей и спе</w:t>
      </w:r>
      <w:r w:rsidRPr="00DE096C">
        <w:rPr>
          <w:bCs/>
          <w:color w:val="002060"/>
          <w:sz w:val="16"/>
          <w:szCs w:val="16"/>
        </w:rPr>
        <w:softHyphen/>
        <w:t>циальные заводы, производящие воздухоплавательные аппараты. Надо было, наконец, взяться за государственное регулирование авиационной промышленности и положить крнец ажиотажу и пос</w:t>
      </w:r>
      <w:r w:rsidRPr="00DE096C">
        <w:rPr>
          <w:bCs/>
          <w:color w:val="002060"/>
          <w:sz w:val="16"/>
          <w:szCs w:val="16"/>
        </w:rPr>
        <w:softHyphen/>
        <w:t>редничеству между государством и предпринимателями, и А. М. Ко</w:t>
      </w:r>
      <w:r w:rsidRPr="00DE096C">
        <w:rPr>
          <w:bCs/>
          <w:color w:val="002060"/>
          <w:sz w:val="16"/>
          <w:szCs w:val="16"/>
        </w:rPr>
        <w:softHyphen/>
        <w:t>ванько был прав, когда требовал оборудовать фабрики, заводы и мастерски-е, способные поставлять воздухоплавательное имущест</w:t>
      </w:r>
      <w:r w:rsidRPr="00DE096C">
        <w:rPr>
          <w:bCs/>
          <w:color w:val="002060"/>
          <w:sz w:val="16"/>
          <w:szCs w:val="16"/>
        </w:rPr>
        <w:softHyphen/>
        <w:t>во, «... чтобы делать все нужное дома, не обращаясь к заграничным поставщикам».</w:t>
      </w:r>
    </w:p>
    <w:p w14:paraId="14F5EB39" w14:textId="77777777" w:rsidR="001D2193" w:rsidRPr="00DE096C" w:rsidRDefault="001D2193" w:rsidP="00D45A46">
      <w:pPr>
        <w:jc w:val="both"/>
        <w:rPr>
          <w:bCs/>
          <w:color w:val="002060"/>
          <w:sz w:val="16"/>
          <w:szCs w:val="16"/>
        </w:rPr>
      </w:pPr>
      <w:r w:rsidRPr="00DE096C">
        <w:rPr>
          <w:bCs/>
          <w:color w:val="002060"/>
          <w:sz w:val="16"/>
          <w:szCs w:val="16"/>
        </w:rPr>
        <w:lastRenderedPageBreak/>
        <w:t>Кованько предупреждал, что среди командного состава было немало лиц, случайно попавших в ряды воздухоплавателей. В кон</w:t>
      </w:r>
      <w:r w:rsidRPr="00DE096C">
        <w:rPr>
          <w:bCs/>
          <w:color w:val="002060"/>
          <w:sz w:val="16"/>
          <w:szCs w:val="16"/>
        </w:rPr>
        <w:softHyphen/>
        <w:t>фиденциальной части своей записки он писал: «К моему сожале</w:t>
      </w:r>
      <w:r w:rsidRPr="00DE096C">
        <w:rPr>
          <w:bCs/>
          <w:color w:val="002060"/>
          <w:sz w:val="16"/>
          <w:szCs w:val="16"/>
        </w:rPr>
        <w:softHyphen/>
        <w:t>нию, я должен установить, что в числе их, да и многих других стар</w:t>
      </w:r>
      <w:r w:rsidRPr="00DE096C">
        <w:rPr>
          <w:bCs/>
          <w:color w:val="002060"/>
          <w:sz w:val="16"/>
          <w:szCs w:val="16"/>
        </w:rPr>
        <w:softHyphen/>
        <w:t>ших чинов в воздухоплавательных частях, почти нет штаб-офице</w:t>
      </w:r>
      <w:r w:rsidRPr="00DE096C">
        <w:rPr>
          <w:bCs/>
          <w:color w:val="002060"/>
          <w:sz w:val="16"/>
          <w:szCs w:val="16"/>
        </w:rPr>
        <w:softHyphen/>
        <w:t>ров, истинно преданных воздухоплавательному делу, интересую</w:t>
      </w:r>
      <w:r w:rsidRPr="00DE096C">
        <w:rPr>
          <w:bCs/>
          <w:color w:val="002060"/>
          <w:sz w:val="16"/>
          <w:szCs w:val="16"/>
        </w:rPr>
        <w:softHyphen/>
        <w:t>щихся успехами и прогрессом дела и изучающих дел.о. Исключения редки». Но Кованько забыл указать, что громадное большинство критикуемых им офицеров прошло его школу, под его руководст</w:t>
      </w:r>
      <w:r w:rsidRPr="00DE096C">
        <w:rPr>
          <w:bCs/>
          <w:color w:val="002060"/>
          <w:sz w:val="16"/>
          <w:szCs w:val="16"/>
        </w:rPr>
        <w:softHyphen/>
        <w:t>вом воспитывалось и училось и им же было аттестовано и рекомен</w:t>
      </w:r>
      <w:r w:rsidRPr="00DE096C">
        <w:rPr>
          <w:bCs/>
          <w:color w:val="002060"/>
          <w:sz w:val="16"/>
          <w:szCs w:val="16"/>
        </w:rPr>
        <w:softHyphen/>
        <w:t>довано.</w:t>
      </w:r>
    </w:p>
    <w:p w14:paraId="394DB190" w14:textId="77777777" w:rsidR="001D2193" w:rsidRPr="00DE096C" w:rsidRDefault="001D2193" w:rsidP="00D45A46">
      <w:pPr>
        <w:jc w:val="both"/>
        <w:rPr>
          <w:bCs/>
          <w:color w:val="002060"/>
          <w:sz w:val="16"/>
          <w:szCs w:val="16"/>
        </w:rPr>
      </w:pPr>
      <w:r w:rsidRPr="00DE096C">
        <w:rPr>
          <w:bCs/>
          <w:color w:val="002060"/>
          <w:sz w:val="16"/>
          <w:szCs w:val="16"/>
        </w:rPr>
        <w:t>На докладной записке А. М. Кованько красуется следующая меланхолическая пометка, сделанная, очевидно, Николаем II: «Грозный призрак войны заставляет встрепенуться всех патрио</w:t>
      </w:r>
      <w:r w:rsidRPr="00DE096C">
        <w:rPr>
          <w:bCs/>
          <w:color w:val="002060"/>
          <w:sz w:val="16"/>
          <w:szCs w:val="16"/>
        </w:rPr>
        <w:softHyphen/>
        <w:t>тов». Но как «встрепенуться» и что сделать, чтобы устранить имев</w:t>
      </w:r>
      <w:r w:rsidRPr="00DE096C">
        <w:rPr>
          <w:bCs/>
          <w:color w:val="002060"/>
          <w:sz w:val="16"/>
          <w:szCs w:val="16"/>
        </w:rPr>
        <w:softHyphen/>
        <w:t>шиеся недочеты, никто из власть имущих не указывал, и война застала наше воздухоплавание не подготовленным к боевым дей</w:t>
      </w:r>
      <w:r w:rsidRPr="00DE096C">
        <w:rPr>
          <w:bCs/>
          <w:color w:val="002060"/>
          <w:sz w:val="16"/>
          <w:szCs w:val="16"/>
        </w:rPr>
        <w:softHyphen/>
        <w:t>ствиям (11042,247).</w:t>
      </w:r>
    </w:p>
    <w:p w14:paraId="74A1C291" w14:textId="77777777" w:rsidR="001D2193" w:rsidRPr="00DE096C" w:rsidRDefault="001D2193" w:rsidP="00D45A46">
      <w:pPr>
        <w:jc w:val="both"/>
        <w:rPr>
          <w:bCs/>
          <w:color w:val="002060"/>
          <w:sz w:val="16"/>
          <w:szCs w:val="16"/>
        </w:rPr>
      </w:pPr>
    </w:p>
    <w:p w14:paraId="776CB5DB" w14:textId="44E7A08D" w:rsidR="00B67D7C" w:rsidRPr="00DE096C" w:rsidRDefault="0028777E" w:rsidP="00D45A46">
      <w:pPr>
        <w:jc w:val="both"/>
        <w:rPr>
          <w:bCs/>
          <w:color w:val="002060"/>
          <w:sz w:val="16"/>
          <w:szCs w:val="16"/>
        </w:rPr>
      </w:pPr>
      <w:r w:rsidRPr="00DE096C">
        <w:rPr>
          <w:bCs/>
          <w:color w:val="002060"/>
          <w:sz w:val="16"/>
          <w:szCs w:val="16"/>
        </w:rPr>
        <w:t>В 1914 г. с</w:t>
      </w:r>
      <w:r w:rsidR="00B67D7C" w:rsidRPr="00DE096C">
        <w:rPr>
          <w:bCs/>
          <w:color w:val="002060"/>
          <w:sz w:val="16"/>
          <w:szCs w:val="16"/>
        </w:rPr>
        <w:t>тавка германского главнокомандования на цеппелины не оправдывалась. Дирижабль вообще оказался не таким уж и надежным средством, как предполагалось накануне войны. Уже в первые месяцы войны Германией было потеряно 5 цеппелинов. А это, если посмотреть на затраты по их производству, огромный ущерб. Если аэроплан по тем временам стоил от 2 до 15 тыс. рублей русскими деньгами, дирижабль 150-200 тыс. рублей, то цеппелин около 1 миллиона! Около 200 тыс. рублей стоил ангар для воздушного корабля и от 20 до 50 тыс. рублей приходилось затрачивать на одноразовую заправку. От применения дирижаблей в военных целях все больше начинали отказываться. И происходило это не только потому, что они очень зависели от погодных условий - около 30 % повреждений воздушные корабли получали именно по этой причине, - но и потому, что из-за своих громоздких размеров они оказались все же слишком уязвимыми.</w:t>
      </w:r>
    </w:p>
    <w:p w14:paraId="20897A7D" w14:textId="77777777" w:rsidR="00B67D7C" w:rsidRPr="00DE096C" w:rsidRDefault="00B67D7C" w:rsidP="00D45A46">
      <w:pPr>
        <w:jc w:val="both"/>
        <w:rPr>
          <w:bCs/>
          <w:color w:val="002060"/>
          <w:sz w:val="16"/>
          <w:szCs w:val="16"/>
        </w:rPr>
      </w:pPr>
      <w:r w:rsidRPr="00DE096C">
        <w:rPr>
          <w:bCs/>
          <w:color w:val="002060"/>
          <w:sz w:val="16"/>
          <w:szCs w:val="16"/>
        </w:rPr>
        <w:t>Из журнала "Война", Петроград, 1914 г., № 11: "Непобедимая армада цеппелинов больше в воображении немцев, чем на самом деле. Вы никогда не увидите эту гигантскую сигару днем, такая храбрость слишком дорого обошлась бы цеппелину. Но только наступит ночь, как чуткое ухо уже различает шум моторов, который предусмотрительно сдерживается глушителем. Как только солдаты узнают о приближении цеппелина, радости их нет конца.</w:t>
      </w:r>
    </w:p>
    <w:p w14:paraId="552CBE7D" w14:textId="77777777" w:rsidR="00B67D7C" w:rsidRPr="00DE096C" w:rsidRDefault="00B67D7C" w:rsidP="00D45A46">
      <w:pPr>
        <w:jc w:val="both"/>
        <w:rPr>
          <w:bCs/>
          <w:color w:val="002060"/>
          <w:sz w:val="16"/>
          <w:szCs w:val="16"/>
        </w:rPr>
      </w:pPr>
      <w:r w:rsidRPr="00DE096C">
        <w:rPr>
          <w:bCs/>
          <w:color w:val="002060"/>
          <w:sz w:val="16"/>
          <w:szCs w:val="16"/>
        </w:rPr>
        <w:t>- Граф летит! Граф летит! - несется по всему лагерю.</w:t>
      </w:r>
    </w:p>
    <w:p w14:paraId="30949A47" w14:textId="77777777" w:rsidR="00B67D7C" w:rsidRPr="00DE096C" w:rsidRDefault="00B67D7C" w:rsidP="00D45A46">
      <w:pPr>
        <w:jc w:val="both"/>
        <w:rPr>
          <w:bCs/>
          <w:color w:val="002060"/>
          <w:sz w:val="16"/>
          <w:szCs w:val="16"/>
        </w:rPr>
      </w:pPr>
      <w:r w:rsidRPr="00DE096C">
        <w:rPr>
          <w:bCs/>
          <w:color w:val="002060"/>
          <w:sz w:val="16"/>
          <w:szCs w:val="16"/>
        </w:rPr>
        <w:t>Кто только может, выскакивает из окопов и считает своим долгом пустить пару добрых пуль по направлению к цели. Артиллеристы моментально бросаются к орудиям, и глядишь, уже через несколько минут огромная масса, медленно плавающая по воздуху, сплющивается, превращается в комок и падает.</w:t>
      </w:r>
    </w:p>
    <w:p w14:paraId="4FEF599A" w14:textId="77777777" w:rsidR="00B67D7C" w:rsidRPr="00DE096C" w:rsidRDefault="00B67D7C" w:rsidP="00D45A46">
      <w:pPr>
        <w:jc w:val="both"/>
        <w:rPr>
          <w:bCs/>
          <w:color w:val="002060"/>
          <w:sz w:val="16"/>
          <w:szCs w:val="16"/>
        </w:rPr>
      </w:pPr>
      <w:r w:rsidRPr="00DE096C">
        <w:rPr>
          <w:bCs/>
          <w:color w:val="002060"/>
          <w:sz w:val="16"/>
          <w:szCs w:val="16"/>
        </w:rPr>
        <w:t>Часто при летчиках находили документы, чертежи, донесения. От неожиданности авиатор не успевает уничтожить все это, и ценная добыча сплошь и рядом увеличивалась поимкой важных бумаг.</w:t>
      </w:r>
    </w:p>
    <w:p w14:paraId="2C4D518C" w14:textId="77777777" w:rsidR="00B67D7C" w:rsidRPr="00DE096C" w:rsidRDefault="00B67D7C" w:rsidP="00D45A46">
      <w:pPr>
        <w:jc w:val="both"/>
        <w:rPr>
          <w:bCs/>
          <w:color w:val="002060"/>
          <w:sz w:val="16"/>
          <w:szCs w:val="16"/>
        </w:rPr>
      </w:pPr>
      <w:r w:rsidRPr="00DE096C">
        <w:rPr>
          <w:bCs/>
          <w:color w:val="002060"/>
          <w:sz w:val="16"/>
          <w:szCs w:val="16"/>
        </w:rPr>
        <w:t>Момент падения цеппелина ужасен. Взрываются бомбы, останавливаются моторы и авиатор гибнет.</w:t>
      </w:r>
    </w:p>
    <w:p w14:paraId="2D3E3137" w14:textId="77777777" w:rsidR="00B67D7C" w:rsidRPr="00DE096C" w:rsidRDefault="00B67D7C" w:rsidP="00D45A46">
      <w:pPr>
        <w:jc w:val="both"/>
        <w:rPr>
          <w:bCs/>
          <w:color w:val="002060"/>
          <w:sz w:val="16"/>
          <w:szCs w:val="16"/>
        </w:rPr>
      </w:pPr>
      <w:r w:rsidRPr="00DE096C">
        <w:rPr>
          <w:bCs/>
          <w:color w:val="002060"/>
          <w:sz w:val="16"/>
          <w:szCs w:val="16"/>
        </w:rPr>
        <w:t>Если на цеппелине и существуют какие-нибудь орудия, то во всяком случае не для наземных целей, а для действий по воздушному противнику..."</w:t>
      </w:r>
    </w:p>
    <w:p w14:paraId="45F2DE27" w14:textId="77777777" w:rsidR="00B67D7C" w:rsidRPr="00DE096C" w:rsidRDefault="00B67D7C" w:rsidP="00D45A46">
      <w:pPr>
        <w:jc w:val="both"/>
        <w:rPr>
          <w:bCs/>
          <w:color w:val="002060"/>
          <w:sz w:val="16"/>
          <w:szCs w:val="16"/>
        </w:rPr>
      </w:pPr>
      <w:r w:rsidRPr="00DE096C">
        <w:rPr>
          <w:bCs/>
          <w:color w:val="002060"/>
          <w:sz w:val="16"/>
          <w:szCs w:val="16"/>
        </w:rPr>
        <w:t>Аэроплан явно начинает выигрывать соревнование со своим воздушным собратом.</w:t>
      </w:r>
    </w:p>
    <w:p w14:paraId="11414979" w14:textId="77777777" w:rsidR="00B67D7C" w:rsidRPr="00DE096C" w:rsidRDefault="00B67D7C" w:rsidP="00D45A46">
      <w:pPr>
        <w:jc w:val="both"/>
        <w:rPr>
          <w:bCs/>
          <w:color w:val="002060"/>
          <w:sz w:val="16"/>
          <w:szCs w:val="16"/>
        </w:rPr>
      </w:pPr>
      <w:r w:rsidRPr="00DE096C">
        <w:rPr>
          <w:bCs/>
          <w:color w:val="002060"/>
          <w:sz w:val="16"/>
          <w:szCs w:val="16"/>
        </w:rPr>
        <w:t>Поначалу, поскольку технические возможности аэроплана были ограничены и позволяли использовать его для одной единственной задачи, прежде всего стремились, чтобы аэроплан обладал дальностью полета. Его снаряжение оружием, боеприпасами, техническими средствами разведки, средствами связи очень понижало эту возможность. Зато благодаря уменьшению нагрузки существенно возрастала дальность полета и высота, что тоже становилось с каждым днем все более важным. Поэтому использование аэроплана для других целей кроме разведки не принималось во внимание.</w:t>
      </w:r>
    </w:p>
    <w:p w14:paraId="10AC6F7E" w14:textId="77777777" w:rsidR="00B67D7C" w:rsidRPr="00DE096C" w:rsidRDefault="00B67D7C" w:rsidP="00D45A46">
      <w:pPr>
        <w:jc w:val="both"/>
        <w:rPr>
          <w:bCs/>
          <w:color w:val="002060"/>
          <w:sz w:val="16"/>
          <w:szCs w:val="16"/>
        </w:rPr>
      </w:pPr>
      <w:r w:rsidRPr="00DE096C">
        <w:rPr>
          <w:bCs/>
          <w:color w:val="002060"/>
          <w:sz w:val="16"/>
          <w:szCs w:val="16"/>
        </w:rPr>
        <w:t>Это становится понятным, если посмотреть на тот тип аэроплана, которым были вооружены в 1914 г. военно-воздушные силы. В кайзеровской Германии наряду с "Альбатросами" продолжали активно применяться "Румплер"- и "Этрих"-Таубе, во Франции, Англии и России наряду с Моранами, Кодронами, Ньюпорами и Фарманами - Бле- рио-моноплан, Вуазен- и Бреге-бипланы, использование которых в военных целях стало практически невозможным уже в начале 1915 г.</w:t>
      </w:r>
    </w:p>
    <w:p w14:paraId="423DE1A8" w14:textId="77777777" w:rsidR="00B67D7C" w:rsidRPr="00DE096C" w:rsidRDefault="00B67D7C" w:rsidP="00D45A46">
      <w:pPr>
        <w:jc w:val="both"/>
        <w:rPr>
          <w:bCs/>
          <w:color w:val="002060"/>
          <w:sz w:val="16"/>
          <w:szCs w:val="16"/>
        </w:rPr>
      </w:pPr>
      <w:r w:rsidRPr="00DE096C">
        <w:rPr>
          <w:bCs/>
          <w:color w:val="002060"/>
          <w:sz w:val="16"/>
          <w:szCs w:val="16"/>
        </w:rPr>
        <w:t>Другое заблуждение относительно возможностей аэроплана у военных исходило из стремления к молниеносной войне. Как ни странно, но возможно именно из-за этого стремления поскорее расправиться со своими противниками, за авиацией закрепили задачу разведки, и более требования войны в воздухе ни теоретически, ни практически никак не разрабатывались. Поэтому воздушные силы были обречены военной доктриной, развивавшейся в условиях предшествующих лет, очутиться в фазе военных действий в трудном положении, в котором их затраты и достижения поначалу почти совсем не соотносились с военными целями. В кайзеровских воздушных силах не было составлено даже общего плана разведки. Каждая летная часть получала задание от командования армии или армейского корпуса, вследствие чего разведданные в соответствующем секторе фронта производили впечатление случайных находок. Центральная оценочная установка, которая из деталей могла бы реконструировать общую картину, не существовала.</w:t>
      </w:r>
    </w:p>
    <w:p w14:paraId="5B06BC4D" w14:textId="77777777" w:rsidR="00B67D7C" w:rsidRPr="00DE096C" w:rsidRDefault="00B67D7C" w:rsidP="00D45A46">
      <w:pPr>
        <w:jc w:val="both"/>
        <w:rPr>
          <w:bCs/>
          <w:color w:val="002060"/>
          <w:sz w:val="16"/>
          <w:szCs w:val="16"/>
        </w:rPr>
      </w:pPr>
      <w:r w:rsidRPr="00DE096C">
        <w:rPr>
          <w:bCs/>
          <w:color w:val="002060"/>
          <w:sz w:val="16"/>
          <w:szCs w:val="16"/>
        </w:rPr>
        <w:t>Впрочем, даже несмотря на то, что французским генеральным штабом были устроены перед началом войны 6 воздушных баз для разведки у границ, которые доносили свои результаты во 2-й отдел генерального штаба, не удалось достигнуть действительного эффекта; во 2-м отделе не распоряжались ни мощью, ни средствами, чтобы быстро и целесообразно использовать результаты воздушной разведки. С другой стороны, в одном вечернем донесении даже были все данные разведки собраны вместе и предоставлены высшему руководству, но сведения оказались настолько противоречивыми, что на их основании невозможно было принять решение.</w:t>
      </w:r>
    </w:p>
    <w:p w14:paraId="2C72C0BF" w14:textId="77777777" w:rsidR="00B67D7C" w:rsidRPr="00DE096C" w:rsidRDefault="00B67D7C" w:rsidP="00D45A46">
      <w:pPr>
        <w:jc w:val="both"/>
        <w:rPr>
          <w:bCs/>
          <w:color w:val="002060"/>
          <w:sz w:val="16"/>
          <w:szCs w:val="16"/>
        </w:rPr>
      </w:pPr>
      <w:r w:rsidRPr="00DE096C">
        <w:rPr>
          <w:bCs/>
          <w:color w:val="002060"/>
          <w:sz w:val="16"/>
          <w:szCs w:val="16"/>
        </w:rPr>
        <w:t>Да, поначалу было много и недоработок и прямых ошибок. Но причины первоначальной недооценки авиации находятся прежде всего в предвзятости восприятия, а не в технических препятствиях. Как в немецкой, так во французской и русской разведке возможности авиации рассматривалась поначалу скептически; и без подтверждения через другие средства разведки к оперативной работе просто не принимались. Понятно, что этот скепсис частично поддерживался ложными и ошибочными донесениями воздушной разведки, которые происходили из-за недостатка опыта наблюдателей. Так, неоднократно переоценивалась мощь следующих в боевом порядке колонн, в то время как с другой стороны замаскированные скопления войск в населенных пунктах и лесах не опознавались.</w:t>
      </w:r>
    </w:p>
    <w:p w14:paraId="49593302" w14:textId="77777777" w:rsidR="00B67D7C" w:rsidRPr="00DE096C" w:rsidRDefault="00B67D7C" w:rsidP="00D45A46">
      <w:pPr>
        <w:jc w:val="both"/>
        <w:rPr>
          <w:bCs/>
          <w:color w:val="002060"/>
          <w:sz w:val="16"/>
          <w:szCs w:val="16"/>
        </w:rPr>
      </w:pPr>
      <w:r w:rsidRPr="00DE096C">
        <w:rPr>
          <w:bCs/>
          <w:color w:val="002060"/>
          <w:sz w:val="16"/>
          <w:szCs w:val="16"/>
        </w:rPr>
        <w:t>В этом сказалась не только неопытность в подобного рода действиях. В начальный период войны были случаи, когда авиаторы принимали сверху расположения своих войск за неприятельские, порой даже бросали на своих бомбы и наводили огонь артиллерии. В этом они, как мы видели, были взаимно вежливы с наземными войсками. Кроме того, есть свидетельства, что некоторые авиаторы выдумывали донесения, чтобы создать видимость активной боевой работы, которую на самом деле по разным причинам не проводили. Во избежание всех этих недоразумений, а главное - более отчетливой "зримости" ситуации, при отчетах стали требовать фотографии обследованных районов. Ведь каждый командир хочет своими глазами, а не глазами летчика, увидеть поле боя. Исходя из этого, становятся более понятными недоверие и скептицизм по отношению к авиации в первые месяцы войны.</w:t>
      </w:r>
    </w:p>
    <w:p w14:paraId="7E06A279" w14:textId="77777777" w:rsidR="00B67D7C" w:rsidRPr="00DE096C" w:rsidRDefault="00B67D7C" w:rsidP="00D45A46">
      <w:pPr>
        <w:jc w:val="both"/>
        <w:rPr>
          <w:bCs/>
          <w:color w:val="002060"/>
          <w:sz w:val="16"/>
          <w:szCs w:val="16"/>
        </w:rPr>
      </w:pPr>
      <w:r w:rsidRPr="00DE096C">
        <w:rPr>
          <w:bCs/>
          <w:color w:val="002060"/>
          <w:sz w:val="16"/>
          <w:szCs w:val="16"/>
        </w:rPr>
        <w:t>Не было также продумано и распределение авиационных сил. Их просто равномерно раскидывали по армиям и корпусам, вследствие чего в отдельных местах аппаратов могло оказаться в избытке, в наиболее же горячих точках их было совершенно недостаточно для того, чтобы прояснить всю картину боя. Это тоже отрицательно сказывалось на составлении оперативных планов, учитывавших данные воздушной разведки, потому что отсутствие централизованного руководства ее проведением не позволяло получить полной картины происходящего на всех фронтах.</w:t>
      </w:r>
    </w:p>
    <w:p w14:paraId="5F93F87C" w14:textId="77777777" w:rsidR="00B67D7C" w:rsidRPr="00DE096C" w:rsidRDefault="00B67D7C" w:rsidP="00D45A46">
      <w:pPr>
        <w:jc w:val="both"/>
        <w:rPr>
          <w:bCs/>
          <w:color w:val="002060"/>
          <w:sz w:val="16"/>
          <w:szCs w:val="16"/>
        </w:rPr>
      </w:pPr>
      <w:r w:rsidRPr="00DE096C">
        <w:rPr>
          <w:bCs/>
          <w:color w:val="002060"/>
          <w:sz w:val="16"/>
          <w:szCs w:val="16"/>
        </w:rPr>
        <w:t>Но если весь этот скепсис, сложившийся на основании слабого технического развития авиатехники, кажется вполне понятным, то пренебрежение военного командования к техническим проблемам авиационных частей вызывает истинное удивление. Обеспечение аппаратов, их ремонт, подготовка взлетно-посадочных полос были вопросами, для решения которых военные власти почти ничего не предпринимали. При этом также усложняло положение еще и то, что никаких мер, чтобы организовать налаженное снабжение, принято практически не было. Правда в Германии была создана "Инспекция летчиков", но она не успевала заботиться о более чем 40 полевых авиаотрядах. Более того, в результате установившейся организационной рутины стала даже препятствовать решению их проблем. В отрядах все более начинали понимать, что восполнять свои потери и осуществлять ремонт аппаратов лучше всего своими собственными силами, не дожидаясь, пока запросы пройдут через многочисленные инстанции. Офицеры германских летных частей самостоятельно устанавливали контакты с 8-ю авиазаводами и 4-мя фабриками моторов, чтобы иметь возможность ремонтировать свои самолеты. С требованиями военного руководства соответствующие приготовления и планы выпуска продукции в промышленности были не согласованы. Германские фирмы Альбатрос, Общество воздухоплавания, Завод аэропланов Ago, Завод-Румплер, Германский завод аэропланов, Вагоностроительный завод Готта, Завод аэропланов Фоккера, Автомобильная фирма Авиатик и Заводы авиамоторов Бенц, Даймлер, N.A.G.-Берлин и Аргус, находившиеся в состоянии сильной конкуренции, имели свою программу выпуска продукции, которую старались выполнить при минимуме затрат. И хотя вся изготовленная продукция тотчас приобреталась, из-за недостатка квалифицированной рабочей силы и соответствующих материалов, заводы с начала войны не могли достигнуть существенного прироста производства, поэтому очень скоро начал проявляться постоянно увеличивающийся дисбаланс между все возрастающими потерями и практически остающимся на прежнем уровне выпуском новой продукции.</w:t>
      </w:r>
    </w:p>
    <w:p w14:paraId="4AB0A90E" w14:textId="77777777" w:rsidR="00B67D7C" w:rsidRPr="00DE096C" w:rsidRDefault="00B67D7C" w:rsidP="00D45A46">
      <w:pPr>
        <w:jc w:val="both"/>
        <w:rPr>
          <w:bCs/>
          <w:color w:val="002060"/>
          <w:sz w:val="16"/>
          <w:szCs w:val="16"/>
        </w:rPr>
      </w:pPr>
      <w:r w:rsidRPr="00DE096C">
        <w:rPr>
          <w:bCs/>
          <w:color w:val="002060"/>
          <w:sz w:val="16"/>
          <w:szCs w:val="16"/>
        </w:rPr>
        <w:t>Военное руководство Германии даже подало иск на аэро- планные и моторные заводы с требованием повысить качество выпускаемой продукции, но заорганизованная рутина не позволяла ничего сдвинуть; у фирм просто не было ни достаточного количества материалов, ни рабочей силы, ни достаточного финансирования.</w:t>
      </w:r>
    </w:p>
    <w:p w14:paraId="76524929" w14:textId="77777777" w:rsidR="00B67D7C" w:rsidRPr="00DE096C" w:rsidRDefault="00B67D7C" w:rsidP="00D45A46">
      <w:pPr>
        <w:jc w:val="both"/>
        <w:rPr>
          <w:bCs/>
          <w:color w:val="002060"/>
          <w:sz w:val="16"/>
          <w:szCs w:val="16"/>
        </w:rPr>
      </w:pPr>
      <w:r w:rsidRPr="00DE096C">
        <w:rPr>
          <w:bCs/>
          <w:color w:val="002060"/>
          <w:sz w:val="16"/>
          <w:szCs w:val="16"/>
        </w:rPr>
        <w:t>Это явление было характерным для всех воюющих стран, так как все они сильно недооценили экономический фактор в войне вообще и значение военно-воздушных сил в особенности. Даже в августе 1914 г. полеты все еще рассматривали как спорт, а не как оружие (11999).</w:t>
      </w:r>
    </w:p>
    <w:p w14:paraId="4DCDAA3F" w14:textId="77777777" w:rsidR="00B67D7C" w:rsidRPr="00DE096C" w:rsidRDefault="00B67D7C" w:rsidP="00D45A46">
      <w:pPr>
        <w:jc w:val="both"/>
        <w:rPr>
          <w:bCs/>
          <w:color w:val="002060"/>
          <w:sz w:val="16"/>
          <w:szCs w:val="16"/>
        </w:rPr>
      </w:pPr>
    </w:p>
    <w:p w14:paraId="66091291" w14:textId="0717585E" w:rsidR="00B67D7C" w:rsidRPr="00DE096C" w:rsidRDefault="0028777E" w:rsidP="00D45A46">
      <w:pPr>
        <w:jc w:val="both"/>
        <w:rPr>
          <w:bCs/>
          <w:color w:val="002060"/>
          <w:sz w:val="16"/>
          <w:szCs w:val="16"/>
        </w:rPr>
      </w:pPr>
      <w:r w:rsidRPr="00DE096C">
        <w:rPr>
          <w:bCs/>
          <w:color w:val="002060"/>
          <w:sz w:val="16"/>
          <w:szCs w:val="16"/>
        </w:rPr>
        <w:t>В 1914 г. о</w:t>
      </w:r>
      <w:r w:rsidR="00B67D7C" w:rsidRPr="00DE096C">
        <w:rPr>
          <w:bCs/>
          <w:color w:val="002060"/>
          <w:sz w:val="16"/>
          <w:szCs w:val="16"/>
        </w:rPr>
        <w:t>бразование "Почтового отделения в Остенде" (ВАО), не принципиально. Первые бомбардировочные эскадры германских ВВС были в истории воздушной войны прежде всего не авиационными союзами бомбардировщиков, но некими элитными подразделениями, которым было поставлено задание, служить в качестве резерва высшего руководства. В ВАО насчитывалось 36 самолетов в шести отрядах, и они применялись для многообразных задач, в том числе и для бомбардировки. Основными задачами для них были: усилить стрельбу тяжелой артиллерии, нанося удары по недоступным для нее целям, препятствовать воздушному прорыву противника и проводить в глубоком тылу собственные боевые задачи, связанные прежде всего со стратегической разведкой. Таким образом, это были многоцелевые подразделения (11999).</w:t>
      </w:r>
    </w:p>
    <w:p w14:paraId="051A4329" w14:textId="77777777" w:rsidR="00B67D7C" w:rsidRPr="00DE096C" w:rsidRDefault="00B67D7C" w:rsidP="00D45A46">
      <w:pPr>
        <w:pStyle w:val="a9"/>
        <w:widowControl/>
        <w:jc w:val="both"/>
        <w:rPr>
          <w:rFonts w:ascii="Times New Roman" w:hAnsi="Times New Roman"/>
          <w:bCs/>
          <w:color w:val="002060"/>
          <w:sz w:val="16"/>
          <w:szCs w:val="16"/>
        </w:rPr>
      </w:pPr>
    </w:p>
    <w:p w14:paraId="5B8F2062" w14:textId="73A6B4FD" w:rsidR="00B67D7C" w:rsidRPr="00DE096C" w:rsidRDefault="0028777E" w:rsidP="00D45A46">
      <w:pPr>
        <w:pStyle w:val="a9"/>
        <w:widowControl/>
        <w:jc w:val="both"/>
        <w:rPr>
          <w:rFonts w:ascii="Times New Roman" w:hAnsi="Times New Roman"/>
          <w:bCs/>
          <w:color w:val="002060"/>
          <w:sz w:val="16"/>
          <w:szCs w:val="16"/>
        </w:rPr>
      </w:pPr>
      <w:r w:rsidRPr="00DE096C">
        <w:rPr>
          <w:rFonts w:ascii="Times New Roman" w:hAnsi="Times New Roman"/>
          <w:bCs/>
          <w:color w:val="002060"/>
          <w:sz w:val="16"/>
          <w:szCs w:val="16"/>
        </w:rPr>
        <w:lastRenderedPageBreak/>
        <w:t>В</w:t>
      </w:r>
      <w:r w:rsidR="00B67D7C" w:rsidRPr="00DE096C">
        <w:rPr>
          <w:rFonts w:ascii="Times New Roman" w:hAnsi="Times New Roman"/>
          <w:bCs/>
          <w:color w:val="002060"/>
          <w:sz w:val="16"/>
          <w:szCs w:val="16"/>
        </w:rPr>
        <w:t xml:space="preserve"> 1914 г. немецкая фирма «Сименс»</w:t>
      </w:r>
      <w:r w:rsidRPr="00DE096C">
        <w:rPr>
          <w:rFonts w:ascii="Times New Roman" w:hAnsi="Times New Roman"/>
          <w:bCs/>
          <w:color w:val="002060"/>
          <w:sz w:val="16"/>
          <w:szCs w:val="16"/>
        </w:rPr>
        <w:t xml:space="preserve"> предложила проект крылатой торпеды для запуска с дирижабля</w:t>
      </w:r>
      <w:r w:rsidR="00B67D7C" w:rsidRPr="00DE096C">
        <w:rPr>
          <w:rFonts w:ascii="Times New Roman" w:hAnsi="Times New Roman"/>
          <w:bCs/>
          <w:color w:val="002060"/>
          <w:sz w:val="16"/>
          <w:szCs w:val="16"/>
        </w:rPr>
        <w:t>. Эта планирующая крылатая торпеда была построена в 1917 г. Ее вес составил 1000 кг, вес боевой части – 300 кг. Управление торпедой осуществлялось по проводам (11686).</w:t>
      </w:r>
    </w:p>
    <w:p w14:paraId="1CDA3B0D" w14:textId="77777777" w:rsidR="00B67D7C" w:rsidRPr="00DE096C" w:rsidRDefault="00B67D7C" w:rsidP="00D45A46">
      <w:pPr>
        <w:pStyle w:val="a9"/>
        <w:widowControl/>
        <w:jc w:val="both"/>
        <w:rPr>
          <w:rFonts w:ascii="Times New Roman" w:hAnsi="Times New Roman"/>
          <w:bCs/>
          <w:color w:val="002060"/>
          <w:sz w:val="16"/>
          <w:szCs w:val="16"/>
        </w:rPr>
      </w:pPr>
    </w:p>
    <w:p w14:paraId="50BDABF6" w14:textId="77777777" w:rsidR="0028777E" w:rsidRPr="00DE096C" w:rsidRDefault="0028777E"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В 1914 году фирма фирма "Альбатрос Верке"выпустила 370 самолетов, на ней работало 450 человек. В 1918 году эти цифры выросли до 5200 и 4800, соответственно. Аналогично росло и число летчиков в действующей армии (11262).</w:t>
      </w:r>
    </w:p>
    <w:p w14:paraId="617DBE23" w14:textId="77777777" w:rsidR="0028777E" w:rsidRPr="00DE096C" w:rsidRDefault="0028777E" w:rsidP="00D45A46">
      <w:pPr>
        <w:pStyle w:val="a3"/>
        <w:jc w:val="both"/>
        <w:rPr>
          <w:bCs/>
          <w:color w:val="002060"/>
          <w:spacing w:val="0"/>
          <w:kern w:val="0"/>
          <w:position w:val="0"/>
          <w:sz w:val="16"/>
          <w:szCs w:val="16"/>
        </w:rPr>
      </w:pPr>
    </w:p>
    <w:p w14:paraId="65D7ED3C" w14:textId="77777777" w:rsidR="00AC1A56" w:rsidRPr="00DE096C" w:rsidRDefault="00AC1A56" w:rsidP="00D45A46">
      <w:pPr>
        <w:jc w:val="both"/>
        <w:rPr>
          <w:bCs/>
          <w:color w:val="002060"/>
          <w:sz w:val="16"/>
          <w:szCs w:val="16"/>
        </w:rPr>
      </w:pPr>
      <w:r w:rsidRPr="00DE096C">
        <w:rPr>
          <w:bCs/>
          <w:color w:val="002060"/>
          <w:sz w:val="16"/>
          <w:szCs w:val="16"/>
        </w:rPr>
        <w:t xml:space="preserve">В 1914 году Сравнительные испытания этих воздухоплавательных аппаратов показали превосходство дирижаблей жесткого типа. Последние, при длине 150 м и объеме оболочки 22 000 м3, поднимали до 8000 кг полезного груза, имея максимальную высоту подъема 2200 м. При трех моторах мощностью 210 л.с. каждый они достигали скорости 21 м/с. В полезную нагрузку входили 10-килограммовые бомбы и 15-сантиметровые и 21-сантиметровые гранаты (общим весом 500 кг), а также радиотелеграфное оборудование. При отсутствии бомбовой нагрузки полетные качества дирижабля повышались; на них оказывало сильное влияние состояние погоды, так как при движении против ветра скорость дирижабля значительно снижалась. </w:t>
      </w:r>
    </w:p>
    <w:p w14:paraId="27B4FDFA" w14:textId="77777777" w:rsidR="00AC1A56" w:rsidRPr="00DE096C" w:rsidRDefault="00AC1A56" w:rsidP="00D45A46">
      <w:pPr>
        <w:jc w:val="both"/>
        <w:rPr>
          <w:bCs/>
          <w:color w:val="002060"/>
          <w:sz w:val="16"/>
          <w:szCs w:val="16"/>
        </w:rPr>
      </w:pPr>
    </w:p>
    <w:p w14:paraId="7B182754" w14:textId="177AEA5D"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Авиация и воздухоплавание Франции:</w:t>
      </w:r>
    </w:p>
    <w:p w14:paraId="68A9B7E6" w14:textId="77777777" w:rsidR="00B67D7C" w:rsidRPr="00DE096C" w:rsidRDefault="00B67D7C" w:rsidP="00D45A46">
      <w:pPr>
        <w:pStyle w:val="a3"/>
        <w:jc w:val="both"/>
        <w:rPr>
          <w:bCs/>
          <w:color w:val="002060"/>
          <w:spacing w:val="0"/>
          <w:kern w:val="0"/>
          <w:position w:val="0"/>
          <w:sz w:val="16"/>
          <w:szCs w:val="16"/>
        </w:rPr>
      </w:pPr>
    </w:p>
    <w:p w14:paraId="5200F275" w14:textId="77777777" w:rsidR="00B67D7C" w:rsidRPr="00DE096C" w:rsidRDefault="00B67D7C" w:rsidP="00D45A46">
      <w:pPr>
        <w:jc w:val="both"/>
        <w:rPr>
          <w:bCs/>
          <w:color w:val="002060"/>
          <w:sz w:val="16"/>
          <w:szCs w:val="16"/>
        </w:rPr>
      </w:pPr>
      <w:r w:rsidRPr="00DE096C">
        <w:rPr>
          <w:bCs/>
          <w:color w:val="002060"/>
          <w:sz w:val="16"/>
          <w:szCs w:val="16"/>
        </w:rPr>
        <w:t>В 1914 наряду с истребителем и его самостоятельной боевой тактикой стали образовываться специальные бомбардировочные воздушные силы. Правда, бомбардировочные части поначалу страдали от еще несоответствующих типов самолетов для этой цели и от неясных тактических и оперативных начальных принципов. Их развитие было форсировано установлением позиционной войны с обеих сторон фронта; из-за провала молниеносной войны в них увидели средство, способное ухватить в оперативном глубоком тылу фронта то, что недоступно длинной руке артиллерии. Здесь снова Франция опередила всех; аппараты Вуазена использовались как многоцелевые, способные также выполнять функции бомбардировщиков.</w:t>
      </w:r>
    </w:p>
    <w:p w14:paraId="09624EAB" w14:textId="77777777" w:rsidR="00B67D7C" w:rsidRPr="00DE096C" w:rsidRDefault="00B67D7C" w:rsidP="00D45A46">
      <w:pPr>
        <w:jc w:val="both"/>
        <w:rPr>
          <w:bCs/>
          <w:color w:val="002060"/>
          <w:sz w:val="16"/>
          <w:szCs w:val="16"/>
        </w:rPr>
      </w:pPr>
      <w:r w:rsidRPr="00DE096C">
        <w:rPr>
          <w:bCs/>
          <w:color w:val="002060"/>
          <w:sz w:val="16"/>
          <w:szCs w:val="16"/>
        </w:rPr>
        <w:t>Ввиду незначительной грузоподъемности представленных в распоряжение самолетов и перед лицом чрезмерно преувеличенных в Германии ожиданий от цеппелинов как бомбоносцев развитие самолетов-бомбардировщиков относительно долго сдерживалось. Бросание бомб рассматривалось как попутная задача самолетов-разведчиков (11999).</w:t>
      </w:r>
    </w:p>
    <w:p w14:paraId="1B70B9A2" w14:textId="77777777" w:rsidR="00B67D7C" w:rsidRPr="00DE096C" w:rsidRDefault="00B67D7C" w:rsidP="00D45A46">
      <w:pPr>
        <w:jc w:val="both"/>
        <w:rPr>
          <w:bCs/>
          <w:color w:val="002060"/>
          <w:sz w:val="16"/>
          <w:szCs w:val="16"/>
        </w:rPr>
      </w:pPr>
    </w:p>
    <w:p w14:paraId="6B1EDB80" w14:textId="07EED13B" w:rsidR="00B67D7C" w:rsidRPr="00DE096C" w:rsidRDefault="00B67D7C" w:rsidP="00D45A46">
      <w:pPr>
        <w:jc w:val="both"/>
        <w:rPr>
          <w:bCs/>
          <w:color w:val="002060"/>
          <w:sz w:val="16"/>
          <w:szCs w:val="16"/>
        </w:rPr>
      </w:pPr>
      <w:r w:rsidRPr="00DE096C">
        <w:rPr>
          <w:bCs/>
          <w:color w:val="002060"/>
          <w:sz w:val="16"/>
          <w:szCs w:val="16"/>
        </w:rPr>
        <w:t>В 1914 году «Зодиак-Списс» был завершен. Он имел объем 12 800 куб. м, длину 140 м, два мотора «Чену» мощностью по 200 л. с. (вращающие по два винта каждый), которые сообщали скорость 70 км/ч. Однако дирижабль не прошел приемочных испытаний, и работы по нему были прекращены (11324).</w:t>
      </w:r>
    </w:p>
    <w:p w14:paraId="19D79E63" w14:textId="77777777" w:rsidR="00B67D7C" w:rsidRPr="00DE096C" w:rsidRDefault="00B67D7C" w:rsidP="00D45A46">
      <w:pPr>
        <w:shd w:val="clear" w:color="auto" w:fill="FFFFFF"/>
        <w:jc w:val="both"/>
        <w:rPr>
          <w:bCs/>
          <w:i/>
          <w:color w:val="002060"/>
          <w:sz w:val="16"/>
          <w:szCs w:val="16"/>
        </w:rPr>
      </w:pPr>
    </w:p>
    <w:p w14:paraId="79BD680E"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Авиация и воздухоплавание Англии</w:t>
      </w:r>
    </w:p>
    <w:p w14:paraId="724DDCA4" w14:textId="77777777" w:rsidR="00B67D7C" w:rsidRPr="00DE096C" w:rsidRDefault="00B67D7C" w:rsidP="00D45A46">
      <w:pPr>
        <w:pStyle w:val="a3"/>
        <w:jc w:val="both"/>
        <w:rPr>
          <w:bCs/>
          <w:color w:val="002060"/>
          <w:spacing w:val="0"/>
          <w:kern w:val="0"/>
          <w:position w:val="0"/>
          <w:sz w:val="16"/>
          <w:szCs w:val="16"/>
        </w:rPr>
      </w:pPr>
    </w:p>
    <w:p w14:paraId="33804F3D" w14:textId="34D67AF3" w:rsidR="00B67D7C" w:rsidRPr="00DE096C" w:rsidRDefault="005D05AB"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В</w:t>
      </w:r>
      <w:r w:rsidR="00B67D7C" w:rsidRPr="00DE096C">
        <w:rPr>
          <w:bCs/>
          <w:i w:val="0"/>
          <w:color w:val="002060"/>
          <w:spacing w:val="0"/>
          <w:kern w:val="0"/>
          <w:position w:val="0"/>
          <w:sz w:val="16"/>
          <w:szCs w:val="16"/>
        </w:rPr>
        <w:t xml:space="preserve"> 1914 году появились гидросамолеты Сопвича "Таблоид" и "Пап", которые использовались для разведки и патрулирования. Кроме того, эти самолеты должны были перехватывать цеппелины, которые днем и ночью кружили над Великобританией. Самолеты базировались как на берегу, так и на палубе специально приспособленных для этого кораблей. Самолеты взлетали с поверхности воды, а на палубу их поднимали с помощью крана. Но действия самолетов были возможны лишь при низкой волне, а на Северном море низкая волна скорее исключение, чем правило. Поэтому англичане решили выпускать самолеты с колесным шасси прямо с палубы корабля. Первый удачный взлет с палубы состоялся 3 ноября 1915 года. Лейтенант Фаулер поднялся в воздух на самолете Бристоль "Скаут". При встречном ветре и полном ходе корабля разбег самолета составлял всего 14 м! Позднее для пуска самолетов с палубы стали применяться паровые катапульты. Самолеты также взлетали с низких понтонов, буксируемых за скоростными кораблями. Большую проблему представляла посадка на палубу. Пробег самолетов был заметно больше разбега, тормозов на колесах самолетов тогда еще не было. Требовалась установка на палубу специальных задерживающих самолет устройств. Первую удачную посадку на палубу корабля "Фьюриес" совершил лейтенант Э.Х.-Даннинг 2 августа 1917 года. "Фьюриес" стал первым настоящим авианосцем. Посадка осуществлялась необычным образом. Авианосец разворачивался под ветер и развивал полный ход. Самолет догонял авианосец, выравнивал с ним скорость и зависал над палубой. После этого палубная бригада буквально стаскивала самолет с неба на палубу. Третья попытка посадки закончилась трагически. Палубная бригада не успела схватить самолет, а пилот уже заглушил двигатель. Внезапный порыв ветра сдул самолет за борт и машина утонула вместе с пилотом. Но вскоре удалось разработать подходящее оборудование (крюк и тросы аэрофинишера). Палубные самолеты получили складывающиеся крылья и фюзеляжи (11262).</w:t>
      </w:r>
    </w:p>
    <w:p w14:paraId="5C6C9353" w14:textId="77777777" w:rsidR="00B67D7C" w:rsidRPr="00DE096C" w:rsidRDefault="00B67D7C" w:rsidP="00D45A46">
      <w:pPr>
        <w:pStyle w:val="a3"/>
        <w:jc w:val="both"/>
        <w:rPr>
          <w:bCs/>
          <w:i w:val="0"/>
          <w:color w:val="002060"/>
          <w:spacing w:val="0"/>
          <w:kern w:val="0"/>
          <w:position w:val="0"/>
          <w:sz w:val="16"/>
          <w:szCs w:val="16"/>
        </w:rPr>
      </w:pPr>
    </w:p>
    <w:p w14:paraId="4C5CD1E2" w14:textId="174BD4A4" w:rsidR="00B67D7C" w:rsidRPr="00DE096C" w:rsidRDefault="005D05AB"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1914 г. </w:t>
      </w:r>
      <w:r w:rsidRPr="00DE096C">
        <w:rPr>
          <w:bCs/>
          <w:color w:val="002060"/>
          <w:sz w:val="16"/>
          <w:szCs w:val="16"/>
        </w:rPr>
        <w:t xml:space="preserve">после появления в </w:t>
      </w:r>
      <w:r w:rsidR="00B67D7C" w:rsidRPr="00DE096C">
        <w:rPr>
          <w:bCs/>
          <w:color w:val="002060"/>
          <w:sz w:val="16"/>
          <w:szCs w:val="16"/>
        </w:rPr>
        <w:t>авиаци</w:t>
      </w:r>
      <w:r w:rsidR="00B67D7C" w:rsidRPr="00DE096C">
        <w:rPr>
          <w:bCs/>
          <w:color w:val="002060"/>
          <w:sz w:val="16"/>
          <w:szCs w:val="16"/>
        </w:rPr>
        <w:softHyphen/>
        <w:t>онного двигателя «Санбим» мощ</w:t>
      </w:r>
      <w:r w:rsidR="00B67D7C" w:rsidRPr="00DE096C">
        <w:rPr>
          <w:bCs/>
          <w:color w:val="002060"/>
          <w:sz w:val="16"/>
          <w:szCs w:val="16"/>
        </w:rPr>
        <w:softHyphen/>
        <w:t>ностью 225 л.с. удалось создать самолет-торпедоносец «Шорт-184». Но и для него нагрузка оказалась чрезмерной (вес торпеды состав</w:t>
      </w:r>
      <w:r w:rsidR="00B67D7C" w:rsidRPr="00DE096C">
        <w:rPr>
          <w:bCs/>
          <w:color w:val="002060"/>
          <w:sz w:val="16"/>
          <w:szCs w:val="16"/>
        </w:rPr>
        <w:softHyphen/>
        <w:t>лял 454 кг), поэтому приходилось уменьшать заправку топливом, что, естественно, сказывалось на даль</w:t>
      </w:r>
      <w:r w:rsidR="00B67D7C" w:rsidRPr="00DE096C">
        <w:rPr>
          <w:bCs/>
          <w:color w:val="002060"/>
          <w:sz w:val="16"/>
          <w:szCs w:val="16"/>
        </w:rPr>
        <w:softHyphen/>
        <w:t>ности полета. Именно эти гидроса</w:t>
      </w:r>
      <w:r w:rsidR="00B67D7C" w:rsidRPr="00DE096C">
        <w:rPr>
          <w:bCs/>
          <w:color w:val="002060"/>
          <w:sz w:val="16"/>
          <w:szCs w:val="16"/>
        </w:rPr>
        <w:softHyphen/>
        <w:t>молеты базировались на. гидроави</w:t>
      </w:r>
      <w:r w:rsidR="00B67D7C" w:rsidRPr="00DE096C">
        <w:rPr>
          <w:bCs/>
          <w:color w:val="002060"/>
          <w:sz w:val="16"/>
          <w:szCs w:val="16"/>
        </w:rPr>
        <w:softHyphen/>
        <w:t>атранспорте «Бен-май-кри» (пере</w:t>
      </w:r>
      <w:r w:rsidR="00B67D7C" w:rsidRPr="00DE096C">
        <w:rPr>
          <w:bCs/>
          <w:color w:val="002060"/>
          <w:sz w:val="16"/>
          <w:szCs w:val="16"/>
        </w:rPr>
        <w:softHyphen/>
        <w:t>оборудован из парома, курсиро</w:t>
      </w:r>
      <w:r w:rsidR="00B67D7C" w:rsidRPr="00DE096C">
        <w:rPr>
          <w:bCs/>
          <w:color w:val="002060"/>
          <w:sz w:val="16"/>
          <w:szCs w:val="16"/>
        </w:rPr>
        <w:softHyphen/>
        <w:t>вавшего через пролив Ла-Манш между Францией и Англией), отпра</w:t>
      </w:r>
      <w:r w:rsidR="00B67D7C" w:rsidRPr="00DE096C">
        <w:rPr>
          <w:bCs/>
          <w:color w:val="002060"/>
          <w:sz w:val="16"/>
          <w:szCs w:val="16"/>
        </w:rPr>
        <w:softHyphen/>
        <w:t>вившимся в 1915 г. из Англии в Средиземное море. В частности, действуя с авиатранспорта, 17 ав</w:t>
      </w:r>
      <w:r w:rsidR="00B67D7C" w:rsidRPr="00DE096C">
        <w:rPr>
          <w:bCs/>
          <w:color w:val="002060"/>
          <w:sz w:val="16"/>
          <w:szCs w:val="16"/>
        </w:rPr>
        <w:softHyphen/>
        <w:t>густа 1915 г. летчик капитан 2 ран</w:t>
      </w:r>
      <w:r w:rsidR="00B67D7C" w:rsidRPr="00DE096C">
        <w:rPr>
          <w:bCs/>
          <w:color w:val="002060"/>
          <w:sz w:val="16"/>
          <w:szCs w:val="16"/>
        </w:rPr>
        <w:softHyphen/>
        <w:t>га К. Эдмондс на самолете «Шорт» потопил торпедой турецкий транс</w:t>
      </w:r>
      <w:r w:rsidR="00B67D7C" w:rsidRPr="00DE096C">
        <w:rPr>
          <w:bCs/>
          <w:color w:val="002060"/>
          <w:sz w:val="16"/>
          <w:szCs w:val="16"/>
        </w:rPr>
        <w:softHyphen/>
        <w:t>порт водоизмещением 5000 т, гру</w:t>
      </w:r>
      <w:r w:rsidR="00B67D7C" w:rsidRPr="00DE096C">
        <w:rPr>
          <w:bCs/>
          <w:color w:val="002060"/>
          <w:sz w:val="16"/>
          <w:szCs w:val="16"/>
        </w:rPr>
        <w:softHyphen/>
        <w:t>женый боеприпасами. Это событие широко комментировалось в миро</w:t>
      </w:r>
      <w:r w:rsidR="00B67D7C" w:rsidRPr="00DE096C">
        <w:rPr>
          <w:bCs/>
          <w:color w:val="002060"/>
          <w:sz w:val="16"/>
          <w:szCs w:val="16"/>
        </w:rPr>
        <w:softHyphen/>
        <w:t>вой печати и знаменовало появле</w:t>
      </w:r>
      <w:r w:rsidR="00B67D7C" w:rsidRPr="00DE096C">
        <w:rPr>
          <w:bCs/>
          <w:color w:val="002060"/>
          <w:sz w:val="16"/>
          <w:szCs w:val="16"/>
        </w:rPr>
        <w:softHyphen/>
        <w:t>ние нового авиационного средства поражения. Как-то не очень акцен</w:t>
      </w:r>
      <w:r w:rsidR="00B67D7C" w:rsidRPr="00DE096C">
        <w:rPr>
          <w:bCs/>
          <w:color w:val="002060"/>
          <w:sz w:val="16"/>
          <w:szCs w:val="16"/>
        </w:rPr>
        <w:softHyphen/>
        <w:t>тировали одну немаловажную де</w:t>
      </w:r>
      <w:r w:rsidR="00B67D7C" w:rsidRPr="00DE096C">
        <w:rPr>
          <w:bCs/>
          <w:color w:val="002060"/>
          <w:sz w:val="16"/>
          <w:szCs w:val="16"/>
        </w:rPr>
        <w:softHyphen/>
        <w:t>таль: пуск торпеды производился с самолёта, вынужденного вследствие снижения тяги двигателя привод</w:t>
      </w:r>
      <w:r w:rsidR="00B67D7C" w:rsidRPr="00DE096C">
        <w:rPr>
          <w:bCs/>
          <w:color w:val="002060"/>
          <w:sz w:val="16"/>
          <w:szCs w:val="16"/>
        </w:rPr>
        <w:softHyphen/>
        <w:t>ниться и сбросить торпеду в режи</w:t>
      </w:r>
      <w:r w:rsidR="00B67D7C" w:rsidRPr="00DE096C">
        <w:rPr>
          <w:bCs/>
          <w:color w:val="002060"/>
          <w:sz w:val="16"/>
          <w:szCs w:val="16"/>
        </w:rPr>
        <w:softHyphen/>
        <w:t>ме глиссирования на небольшой скорости. Освободившись от на</w:t>
      </w:r>
      <w:r w:rsidR="00B67D7C" w:rsidRPr="00DE096C">
        <w:rPr>
          <w:bCs/>
          <w:color w:val="002060"/>
          <w:sz w:val="16"/>
          <w:szCs w:val="16"/>
        </w:rPr>
        <w:softHyphen/>
        <w:t>грузки, самолёт смог взлететь (11872).</w:t>
      </w:r>
    </w:p>
    <w:p w14:paraId="1FECB92C" w14:textId="77777777" w:rsidR="00B67D7C" w:rsidRPr="00DE096C" w:rsidRDefault="00B67D7C" w:rsidP="00D45A46">
      <w:pPr>
        <w:jc w:val="both"/>
        <w:rPr>
          <w:bCs/>
          <w:color w:val="002060"/>
          <w:sz w:val="16"/>
          <w:szCs w:val="16"/>
        </w:rPr>
      </w:pPr>
    </w:p>
    <w:p w14:paraId="2F7AA994" w14:textId="5415682A" w:rsidR="00B67D7C" w:rsidRPr="00DE096C" w:rsidRDefault="005D05AB"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1914 году </w:t>
      </w:r>
      <w:r w:rsidRPr="00DE096C">
        <w:rPr>
          <w:bCs/>
          <w:color w:val="002060"/>
          <w:sz w:val="16"/>
          <w:szCs w:val="16"/>
        </w:rPr>
        <w:t xml:space="preserve">Британское правительство </w:t>
      </w:r>
      <w:r w:rsidR="00B67D7C" w:rsidRPr="00DE096C">
        <w:rPr>
          <w:bCs/>
          <w:color w:val="002060"/>
          <w:sz w:val="16"/>
          <w:szCs w:val="16"/>
        </w:rPr>
        <w:t xml:space="preserve">поручило фирме «Виккерс» построить дирижабль жесткого типа. Новый воздушный корабль должен был иметь обозначение R.9. Еще через год была осуществлена целая программа развития жестких дирижаблей, на которую потратили много сил и средств и от которой ждали многого. Ход воздушной войны показал, что британцы в состоянии делать хорошие самолеты, но на создание дирижаблей жесткого типа у них не хватает ни времени, ни опыта. </w:t>
      </w:r>
    </w:p>
    <w:p w14:paraId="0FC8530F" w14:textId="77777777" w:rsidR="00B67D7C" w:rsidRPr="00DE096C" w:rsidRDefault="00B67D7C" w:rsidP="00D45A46">
      <w:pPr>
        <w:jc w:val="both"/>
        <w:rPr>
          <w:bCs/>
          <w:color w:val="002060"/>
          <w:sz w:val="16"/>
          <w:szCs w:val="16"/>
        </w:rPr>
      </w:pPr>
      <w:r w:rsidRPr="00DE096C">
        <w:rPr>
          <w:bCs/>
          <w:color w:val="002060"/>
          <w:sz w:val="16"/>
          <w:szCs w:val="16"/>
        </w:rPr>
        <w:t xml:space="preserve">Проектирование и строительство жестких дирижаблей являлось, несомненно, нелегкой задачей. Для ее решения была необходима разветвленная система научных, исследовательских и испытательных лабораторий и станций и самое главное — приобретение практического опыта. Британцы хотели быстро добиться результата, но за очень короткое время не смогли создать такую инфраструктуру. Единственным выходом стало копирование немецких цеппелинов, естественно тех, которые считались самыми современными. Но иногда случалось и так, что многие новаторские решения успевали морально устареть, пока шел длительный процесс проектирования. [280] </w:t>
      </w:r>
    </w:p>
    <w:p w14:paraId="13271415" w14:textId="77777777" w:rsidR="00B67D7C" w:rsidRPr="00DE096C" w:rsidRDefault="00B67D7C" w:rsidP="00D45A46">
      <w:pPr>
        <w:jc w:val="both"/>
        <w:rPr>
          <w:bCs/>
          <w:color w:val="002060"/>
          <w:sz w:val="16"/>
          <w:szCs w:val="16"/>
        </w:rPr>
      </w:pPr>
      <w:r w:rsidRPr="00DE096C">
        <w:rPr>
          <w:bCs/>
          <w:color w:val="002060"/>
          <w:sz w:val="16"/>
          <w:szCs w:val="16"/>
        </w:rPr>
        <w:t>В полной мере эти слова относятся и к дирижаблю R.9, созданному под сильным влияние довоенных цеппелинов. Разработка R.9 продолжалась очень долго, и конструкторы значительно увеличили его размеры, чтобы он не уступал R. 1. Каркас этого дирижабля в сечении представлял собой 17-гранный равносторонний многоугольник. Носовая и кормовая части имели эллиптическую форму. На дирижабле планировали установить 4 мотора типа «Майбах» мощностью по 180 л. с., изготовленных на фирме «Уолслей», дочернем предприятии «Виккерса». Двигатели сгруппировались по 2 в двух водонепроницаемых гондолах, подвешенных под мощным килем. Интересной деталью являлось то, что воздушные винты можно было поворачивать в горизонтальное положение, чтобы вертикальная тяга двигателей увеличивала подъемную силу дирижабля (11324).</w:t>
      </w:r>
    </w:p>
    <w:p w14:paraId="5D3A34DB" w14:textId="77777777" w:rsidR="00B67D7C" w:rsidRPr="00DE096C" w:rsidRDefault="00B67D7C" w:rsidP="00D45A46">
      <w:pPr>
        <w:shd w:val="clear" w:color="auto" w:fill="FFFFFF"/>
        <w:jc w:val="both"/>
        <w:rPr>
          <w:bCs/>
          <w:i/>
          <w:color w:val="002060"/>
          <w:sz w:val="16"/>
          <w:szCs w:val="16"/>
        </w:rPr>
      </w:pPr>
    </w:p>
    <w:p w14:paraId="1D0A9D7D"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Авиация и воздухоплавание за рубежом:</w:t>
      </w:r>
    </w:p>
    <w:p w14:paraId="3B48756A" w14:textId="77777777" w:rsidR="00B67D7C" w:rsidRPr="00DE096C" w:rsidRDefault="00B67D7C" w:rsidP="00D45A46">
      <w:pPr>
        <w:pStyle w:val="a3"/>
        <w:jc w:val="both"/>
        <w:rPr>
          <w:bCs/>
          <w:color w:val="002060"/>
          <w:spacing w:val="0"/>
          <w:kern w:val="0"/>
          <w:position w:val="0"/>
          <w:sz w:val="16"/>
          <w:szCs w:val="16"/>
        </w:rPr>
      </w:pPr>
    </w:p>
    <w:p w14:paraId="65CD3567" w14:textId="47881569" w:rsidR="00B67D7C" w:rsidRPr="00DE096C" w:rsidRDefault="00B67D7C" w:rsidP="00D45A46">
      <w:pPr>
        <w:pStyle w:val="a9"/>
        <w:widowControl/>
        <w:jc w:val="both"/>
        <w:rPr>
          <w:rFonts w:ascii="Times New Roman" w:hAnsi="Times New Roman"/>
          <w:bCs/>
          <w:color w:val="002060"/>
          <w:sz w:val="16"/>
          <w:szCs w:val="16"/>
        </w:rPr>
      </w:pPr>
      <w:r w:rsidRPr="00DE096C">
        <w:rPr>
          <w:rFonts w:ascii="Times New Roman" w:hAnsi="Times New Roman"/>
          <w:bCs/>
          <w:color w:val="002060"/>
          <w:sz w:val="16"/>
          <w:szCs w:val="16"/>
        </w:rPr>
        <w:t xml:space="preserve">В 1914 г. Э. Сперри на </w:t>
      </w:r>
      <w:r w:rsidR="00360987" w:rsidRPr="00DE096C">
        <w:rPr>
          <w:rFonts w:ascii="Times New Roman" w:hAnsi="Times New Roman"/>
          <w:bCs/>
          <w:color w:val="002060"/>
          <w:sz w:val="16"/>
          <w:szCs w:val="16"/>
        </w:rPr>
        <w:t>своей</w:t>
      </w:r>
      <w:r w:rsidRPr="00DE096C">
        <w:rPr>
          <w:rFonts w:ascii="Times New Roman" w:hAnsi="Times New Roman"/>
          <w:bCs/>
          <w:color w:val="002060"/>
          <w:sz w:val="16"/>
          <w:szCs w:val="16"/>
        </w:rPr>
        <w:t xml:space="preserve"> лодке летал во Франции и официально в Аэроклубе зарегитрировал свой полет как «первый полет с брошенным управлением». Поворотным пунктом в создании беспилотных крылатых ракет стало испытание в 1912–1913 гг. гиростабилизатора американского инженера Э. Сперри. Полеты Э. Сперри доказали существенное повышение устойчивости самолетов, оснащенных гиростабилизаторами. Однако в то время из-за низкого развития радиотехники речь еще не шла об управлении гиростабилизирующими устройствами на расстоянии (11686).</w:t>
      </w:r>
    </w:p>
    <w:p w14:paraId="0C869EB7" w14:textId="77777777" w:rsidR="00B67D7C" w:rsidRPr="00DE096C" w:rsidRDefault="00B67D7C" w:rsidP="00D45A46">
      <w:pPr>
        <w:pStyle w:val="a9"/>
        <w:widowControl/>
        <w:jc w:val="both"/>
        <w:rPr>
          <w:rFonts w:ascii="Times New Roman" w:hAnsi="Times New Roman"/>
          <w:bCs/>
          <w:color w:val="002060"/>
          <w:sz w:val="16"/>
          <w:szCs w:val="16"/>
        </w:rPr>
      </w:pPr>
    </w:p>
    <w:p w14:paraId="54A064CC" w14:textId="5CC7FCF5" w:rsidR="00360987" w:rsidRPr="00DE096C" w:rsidRDefault="00360987" w:rsidP="00D45A46">
      <w:pPr>
        <w:jc w:val="both"/>
        <w:rPr>
          <w:bCs/>
          <w:color w:val="002060"/>
          <w:sz w:val="16"/>
          <w:szCs w:val="16"/>
        </w:rPr>
      </w:pPr>
      <w:r w:rsidRPr="00DE096C">
        <w:rPr>
          <w:bCs/>
          <w:color w:val="002060"/>
          <w:sz w:val="16"/>
          <w:szCs w:val="16"/>
        </w:rPr>
        <w:t>В 1914 г. поплавковый моноплан "Патерас Пескара" с мотором Гном мощностью 160 л.с. и размахом крыльев 21,8 м.</w:t>
      </w:r>
      <w:r w:rsidR="0006581C">
        <w:rPr>
          <w:bCs/>
          <w:color w:val="002060"/>
          <w:sz w:val="16"/>
          <w:szCs w:val="16"/>
        </w:rPr>
        <w:t xml:space="preserve"> </w:t>
      </w:r>
      <w:r w:rsidRPr="00DE096C">
        <w:rPr>
          <w:bCs/>
          <w:color w:val="002060"/>
          <w:sz w:val="16"/>
          <w:szCs w:val="16"/>
        </w:rPr>
        <w:t>прошел успешные испытания, в ходе которых продемонстрировал возможность сбрасывать торпеду весом до 370 кг. Со вступлением Италии в Первую мировую войну эксперименты с торпедометанием были на некоторое время забыты, но о них вновь вспомнили в 1917 г.. когда потребовалось создать боевое средство для атаки австро-венгерского флота в гавани. 20.9.1917 гидросамолет, пилотируемый офицером Ридольфи, атаковал вражеские корабли в базе Пола, но к этому времени передовые позиции Италии в данном вопросе уже были поколеблены другими странами (12002).</w:t>
      </w:r>
    </w:p>
    <w:p w14:paraId="2847CEF0" w14:textId="77777777" w:rsidR="00360987" w:rsidRPr="00DE096C" w:rsidRDefault="00360987" w:rsidP="00D45A46">
      <w:pPr>
        <w:jc w:val="both"/>
        <w:rPr>
          <w:bCs/>
          <w:color w:val="002060"/>
          <w:sz w:val="16"/>
          <w:szCs w:val="16"/>
        </w:rPr>
      </w:pPr>
    </w:p>
    <w:p w14:paraId="23839458" w14:textId="77777777" w:rsidR="00E5668B" w:rsidRPr="00DE096C" w:rsidRDefault="00E5668B" w:rsidP="00D45A46">
      <w:pPr>
        <w:jc w:val="both"/>
        <w:rPr>
          <w:bCs/>
          <w:i/>
          <w:color w:val="002060"/>
          <w:sz w:val="16"/>
          <w:szCs w:val="16"/>
        </w:rPr>
      </w:pPr>
      <w:r w:rsidRPr="00DE096C">
        <w:rPr>
          <w:bCs/>
          <w:i/>
          <w:color w:val="002060"/>
          <w:sz w:val="16"/>
          <w:szCs w:val="16"/>
        </w:rPr>
        <w:t>За рубежом:</w:t>
      </w:r>
    </w:p>
    <w:p w14:paraId="09DEC0D9" w14:textId="77777777" w:rsidR="00E5668B" w:rsidRPr="00DE096C" w:rsidRDefault="00E5668B" w:rsidP="00D45A46">
      <w:pPr>
        <w:jc w:val="both"/>
        <w:rPr>
          <w:bCs/>
          <w:color w:val="002060"/>
          <w:sz w:val="16"/>
          <w:szCs w:val="16"/>
        </w:rPr>
      </w:pPr>
    </w:p>
    <w:p w14:paraId="4199063F" w14:textId="77777777" w:rsidR="00E5668B" w:rsidRPr="00DE096C" w:rsidRDefault="00E5668B" w:rsidP="00D45A46">
      <w:pPr>
        <w:pStyle w:val="ae"/>
        <w:spacing w:before="0" w:beforeAutospacing="0" w:after="0" w:afterAutospacing="0"/>
        <w:jc w:val="both"/>
        <w:rPr>
          <w:bCs/>
          <w:color w:val="002060"/>
          <w:sz w:val="16"/>
          <w:szCs w:val="16"/>
        </w:rPr>
      </w:pPr>
      <w:r w:rsidRPr="00DE096C">
        <w:rPr>
          <w:bCs/>
          <w:color w:val="002060"/>
          <w:sz w:val="16"/>
          <w:szCs w:val="16"/>
        </w:rPr>
        <w:t xml:space="preserve">В 1914 году, работавший на оборону государства английский физик Гриндель Матьюз, прослышав, что немцы работают над способом остановки аэропланов в пути (наша печать отмечала это в прошлом году), решил заняться той же самой работой. Несколько месяцев спустя он демонстрировал перед представителями английской власти смерть мыши (из своего собственного питомника) под действием лучей. На той же демонстрации была остановлена на весьма небольшом расстоянии работа мотоциклетного мотора, опять же взятого из лаборатории Гринделя Матьюза. Тем не менее адмиралтейством ему были отпущены суммы на продолжение опытов. </w:t>
      </w:r>
      <w:r w:rsidRPr="00DE096C">
        <w:rPr>
          <w:bCs/>
          <w:color w:val="002060"/>
          <w:sz w:val="16"/>
          <w:szCs w:val="16"/>
        </w:rPr>
        <w:lastRenderedPageBreak/>
        <w:t>Газеты отмечали, что изобретатель два раза вылетал в Париж и Лион и вел переговоры с французскими предпринимателями, при чем Гриндель Матьюз обещал в ближайшее же время в виде демонстрации остановить в гор. Лионе уличные автомобили. В конце концов, покупка изобретения была произведена все-таки английским правительством, причем для эксплуатации его уже организовалась компания с капиталом в 3:/2 миллиона рублей (15736).</w:t>
      </w:r>
    </w:p>
    <w:p w14:paraId="26916851" w14:textId="77777777" w:rsidR="00E5668B" w:rsidRPr="00DE096C" w:rsidRDefault="00E5668B" w:rsidP="00D45A46">
      <w:pPr>
        <w:pStyle w:val="ae"/>
        <w:spacing w:before="0" w:beforeAutospacing="0" w:after="0" w:afterAutospacing="0"/>
        <w:jc w:val="both"/>
        <w:rPr>
          <w:bCs/>
          <w:color w:val="002060"/>
          <w:sz w:val="16"/>
          <w:szCs w:val="16"/>
        </w:rPr>
      </w:pPr>
    </w:p>
    <w:p w14:paraId="335BC591" w14:textId="77777777" w:rsidR="00E5668B" w:rsidRPr="00DE096C" w:rsidRDefault="00E5668B" w:rsidP="00D45A46">
      <w:pPr>
        <w:pStyle w:val="p1"/>
        <w:spacing w:before="0" w:beforeAutospacing="0" w:after="0" w:afterAutospacing="0"/>
        <w:jc w:val="both"/>
        <w:rPr>
          <w:bCs/>
          <w:color w:val="002060"/>
          <w:sz w:val="16"/>
          <w:szCs w:val="16"/>
        </w:rPr>
      </w:pPr>
      <w:r w:rsidRPr="00DE096C">
        <w:rPr>
          <w:bCs/>
          <w:color w:val="002060"/>
          <w:sz w:val="16"/>
          <w:szCs w:val="16"/>
        </w:rPr>
        <w:t>В 1914 г. в одном только захваченном противником районе Брие французы потеряли 83% добычи железной руды, свыше 60% производства чугуна, стали и угля, 45% электроэнергии. Тем не менее к концу первого года войны французская армия была оснащена «лучше любой другой союзной армии»; она уже не испытывала недостатка в винтовках, патронах, полевых орудиях и снарядах к ним, хотя не имела излишка в орудиях и винтовках. Франция производила больше артиллерии и боеприпасов, чем Англия, снабжала ее Экспедиционный корпус орудиями и танками, большей частью самолетов, </w:t>
      </w:r>
      <w:r w:rsidRPr="00DE096C">
        <w:rPr>
          <w:bCs/>
          <w:color w:val="002060"/>
          <w:sz w:val="16"/>
          <w:szCs w:val="16"/>
          <w:vertAlign w:val="superscript"/>
        </w:rPr>
        <w:t>4</w:t>
      </w:r>
      <w:r w:rsidRPr="00DE096C">
        <w:rPr>
          <w:bCs/>
          <w:color w:val="002060"/>
          <w:sz w:val="16"/>
          <w:szCs w:val="16"/>
        </w:rPr>
        <w:t>/</w:t>
      </w:r>
      <w:r w:rsidRPr="00DE096C">
        <w:rPr>
          <w:bCs/>
          <w:color w:val="002060"/>
          <w:sz w:val="16"/>
          <w:szCs w:val="16"/>
          <w:vertAlign w:val="subscript"/>
        </w:rPr>
        <w:t>5</w:t>
      </w:r>
      <w:r w:rsidRPr="00DE096C">
        <w:rPr>
          <w:bCs/>
          <w:color w:val="002060"/>
          <w:sz w:val="16"/>
          <w:szCs w:val="16"/>
        </w:rPr>
        <w:t> снарядов. Американские войска, прибывшие в 1917 г. в Европу, использовали против немцев 4194 орудия. В основном (3532 ствола) это были орудия, изготовленные на французских заводах, так же как 4874 из 6364 самолетов. Потеряв 85 из 170 доменных печей, 48 из 164 мартенов, 53 из 100 конверторов, 104 прокатных стана и т. д., Франция заново создавала промышленность чугуна и стали; часть угля и железа поступала из Англии. На удерживаемой территории французы удвоили количество металлургических печей и тиглей, на 75% увеличили количество электроплавильных печей, и эта страна «почти чудесным образом» превратилась в «арсенал Антанты». К середине 1915 г. французская артиллерия располагала почти таким же количеством легких орудий, как русская, но сверх того имела 3538 тяжелых орудий (в 1916 г. 3376), промышленность выпускала в начале 1916 г. 148 тысяч 75-мм снарядов в день (18409).</w:t>
      </w:r>
    </w:p>
    <w:p w14:paraId="62B712DB" w14:textId="77777777" w:rsidR="00E5668B" w:rsidRPr="00DE096C" w:rsidRDefault="00E5668B" w:rsidP="00D45A46">
      <w:pPr>
        <w:pStyle w:val="p1"/>
        <w:spacing w:before="0" w:beforeAutospacing="0" w:after="0" w:afterAutospacing="0"/>
        <w:jc w:val="both"/>
        <w:rPr>
          <w:bCs/>
          <w:color w:val="002060"/>
          <w:sz w:val="16"/>
          <w:szCs w:val="16"/>
        </w:rPr>
      </w:pPr>
    </w:p>
    <w:p w14:paraId="245B4AD4"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Самолетостроение:</w:t>
      </w:r>
    </w:p>
    <w:p w14:paraId="5D5276BD" w14:textId="77777777" w:rsidR="00B67D7C" w:rsidRPr="00DE096C" w:rsidRDefault="00B67D7C" w:rsidP="00D45A46">
      <w:pPr>
        <w:pStyle w:val="a3"/>
        <w:jc w:val="both"/>
        <w:rPr>
          <w:bCs/>
          <w:color w:val="002060"/>
          <w:spacing w:val="0"/>
          <w:kern w:val="0"/>
          <w:position w:val="0"/>
          <w:sz w:val="16"/>
          <w:szCs w:val="16"/>
        </w:rPr>
      </w:pPr>
    </w:p>
    <w:p w14:paraId="3FA214B1" w14:textId="77777777" w:rsidR="00B67D7C" w:rsidRPr="00DE096C" w:rsidRDefault="00B67D7C" w:rsidP="00D45A46">
      <w:pPr>
        <w:jc w:val="both"/>
        <w:rPr>
          <w:bCs/>
          <w:color w:val="002060"/>
          <w:sz w:val="16"/>
          <w:szCs w:val="16"/>
        </w:rPr>
      </w:pPr>
      <w:r w:rsidRPr="00DE096C">
        <w:rPr>
          <w:bCs/>
          <w:color w:val="002060"/>
          <w:sz w:val="16"/>
          <w:szCs w:val="16"/>
        </w:rPr>
        <w:t>В 1914-1916 гг. морское ведом</w:t>
      </w:r>
      <w:r w:rsidRPr="00DE096C">
        <w:rPr>
          <w:bCs/>
          <w:color w:val="002060"/>
          <w:sz w:val="16"/>
          <w:szCs w:val="16"/>
        </w:rPr>
        <w:softHyphen/>
        <w:t>ство из-за несогласованности в его структурах закупило 30, а затем построило на авиационном заво</w:t>
      </w:r>
      <w:r w:rsidRPr="00DE096C">
        <w:rPr>
          <w:bCs/>
          <w:color w:val="002060"/>
          <w:sz w:val="16"/>
          <w:szCs w:val="16"/>
        </w:rPr>
        <w:softHyphen/>
        <w:t>де В.А.Лебедева, основанном в апреле 1914 г., еще 34 совершен</w:t>
      </w:r>
      <w:r w:rsidRPr="00DE096C">
        <w:rPr>
          <w:bCs/>
          <w:color w:val="002060"/>
          <w:sz w:val="16"/>
          <w:szCs w:val="16"/>
        </w:rPr>
        <w:softHyphen/>
        <w:t>но негодных для решения боевых задач невооруженных летающих лодок Ф.Б.А, которые по основным размерам и характеристикам со</w:t>
      </w:r>
      <w:r w:rsidRPr="00DE096C">
        <w:rPr>
          <w:bCs/>
          <w:color w:val="002060"/>
          <w:sz w:val="16"/>
          <w:szCs w:val="16"/>
        </w:rPr>
        <w:softHyphen/>
        <w:t>ответствовали М-5 (11872).</w:t>
      </w:r>
    </w:p>
    <w:p w14:paraId="48009095" w14:textId="77777777" w:rsidR="00B67D7C" w:rsidRPr="00DE096C" w:rsidRDefault="00B67D7C" w:rsidP="00D45A46">
      <w:pPr>
        <w:jc w:val="both"/>
        <w:rPr>
          <w:bCs/>
          <w:color w:val="002060"/>
          <w:sz w:val="16"/>
          <w:szCs w:val="16"/>
        </w:rPr>
      </w:pPr>
    </w:p>
    <w:p w14:paraId="58B78C81" w14:textId="77777777" w:rsidR="00E5668B" w:rsidRPr="00DE096C" w:rsidRDefault="00E5668B" w:rsidP="00D45A46">
      <w:pPr>
        <w:pStyle w:val="2"/>
        <w:spacing w:before="0" w:after="0"/>
        <w:jc w:val="both"/>
        <w:rPr>
          <w:b w:val="0"/>
          <w:bCs/>
          <w:color w:val="002060"/>
          <w:sz w:val="16"/>
          <w:szCs w:val="16"/>
        </w:rPr>
      </w:pPr>
      <w:r w:rsidRPr="00DE096C">
        <w:rPr>
          <w:b w:val="0"/>
          <w:bCs/>
          <w:color w:val="002060"/>
          <w:sz w:val="16"/>
          <w:szCs w:val="16"/>
        </w:rPr>
        <w:t>В 1914—1918 г. воюющие страны увеличили выпуск самолетов и моторов примерно в 50 раз, а Россия – в 10 раз. Они построили умопомрачительное по российским меркам количество самолетов и моторов: в Великобритании — 55000 самолетов и 41000 моторов (в 1918 г. — 32100 и 22100, соответственно); во Франции — 51100 и 93100 (23700 и 44560); в Германии - 46000 и 40200; в Италии в 1918 г. — 6500 и 15000; в США в 1918 г. - 12000 и 34000.29 Естественно, что России с ее отсталой металлургической промышленностью, реально отсутствовавшими автомобилестроением и моторостроением соревноваться в подобной «гонке моторов» было не по силам. Общин низкий уровень промышленного развития России в середине 10-х годов в конечном итоге и определял темпы развития отечественного самолето- и авиамоторостроения (15464).</w:t>
      </w:r>
    </w:p>
    <w:p w14:paraId="14960BAE" w14:textId="77777777" w:rsidR="00E5668B" w:rsidRPr="00DE096C" w:rsidRDefault="00E5668B" w:rsidP="00D45A46">
      <w:pPr>
        <w:pStyle w:val="2"/>
        <w:spacing w:before="0" w:after="0"/>
        <w:jc w:val="both"/>
        <w:rPr>
          <w:b w:val="0"/>
          <w:bCs/>
          <w:color w:val="002060"/>
          <w:sz w:val="16"/>
          <w:szCs w:val="16"/>
        </w:rPr>
      </w:pPr>
    </w:p>
    <w:p w14:paraId="5B4ACB61" w14:textId="77777777" w:rsidR="00E5668B" w:rsidRPr="00DE096C" w:rsidRDefault="00E5668B" w:rsidP="00D45A46">
      <w:pPr>
        <w:jc w:val="both"/>
        <w:rPr>
          <w:bCs/>
          <w:color w:val="002060"/>
          <w:sz w:val="16"/>
          <w:szCs w:val="16"/>
        </w:rPr>
      </w:pPr>
      <w:r w:rsidRPr="00DE096C">
        <w:rPr>
          <w:bCs/>
          <w:color w:val="002060"/>
          <w:sz w:val="16"/>
          <w:szCs w:val="16"/>
        </w:rPr>
        <w:t>В 1914 -1916 гг. три четверти всех поставленных в армию самолетов составляли аппараты постройки русских заводов. Огромные усилия Воздухоплавательного отделения ГВТУ (а затем УВВФ) в период 1914 - 1917 гг. не пропали даром. Производство авиационной техники возросло в несколько раз. Для разгрузки крупных предприятии, Занятых производством основных типов самолетов для армии, УВВФ оказывало помощь в организации и небольших производств для выпуска учебных аппаратов, различных комплектующих изделий. Большого успеха удалось добиться в налаживании производства авиационных двигателей, оборудования и вооружения и, кроме того, в достаточном количестве полуфабрикатов и материалов, необходимых для выпуска авиационной техники. Причем с учетом ближайшей перспективы развития самолетостроения было налажено даже производство дюралюминия и высококачественных сталей. Поощрялись модернизация существующих заводов и строительство новых, перепрофилирование предприятий. Государство шло на большие расходы, только бы в короткое время создать мощную отечественную авиапромышленность. Выдавались беспроцентные ссуды, погашались долги, прощались неустойки, в необходимых случаях предоставлялась валюта и обеспечивались импортные поставки, облегчалась заготовка полуфабрикатов, материалов и комплектующих изделий, понижались железнодорожные тарифы (15127).</w:t>
      </w:r>
    </w:p>
    <w:p w14:paraId="5F6938C7" w14:textId="77777777" w:rsidR="00E5668B" w:rsidRPr="00DE096C" w:rsidRDefault="00E5668B" w:rsidP="00D45A46">
      <w:pPr>
        <w:jc w:val="both"/>
        <w:rPr>
          <w:bCs/>
          <w:color w:val="002060"/>
          <w:sz w:val="16"/>
          <w:szCs w:val="16"/>
        </w:rPr>
      </w:pPr>
    </w:p>
    <w:p w14:paraId="62B423C0" w14:textId="77777777" w:rsidR="00E5668B" w:rsidRPr="00DE096C" w:rsidRDefault="00E5668B" w:rsidP="00D45A46">
      <w:pPr>
        <w:shd w:val="clear" w:color="auto" w:fill="FFFFFF"/>
        <w:jc w:val="both"/>
        <w:rPr>
          <w:bCs/>
          <w:color w:val="002060"/>
          <w:sz w:val="16"/>
          <w:szCs w:val="16"/>
        </w:rPr>
      </w:pPr>
      <w:r w:rsidRPr="00DE096C">
        <w:rPr>
          <w:bCs/>
          <w:color w:val="002060"/>
          <w:sz w:val="16"/>
          <w:szCs w:val="16"/>
        </w:rPr>
        <w:t>В 1914—1917 гг. по оценкам Шаврова в России оявилось до 150 конструкций сухопутных и морских аэропланов. Наиболее «урожайным» стал 1916 г. — более 60 самолетов, в остальные в среднем по 25—30 машин. На этом фоне деятельность работавших на Ходынке московских конструкторов и их реальный вклад в успехи боевой авиации в ходе войны совсем не впечатляют. До 1917 г. в России работало всего два выдающихся конструктора самолетов мирового уровня — И. И.Сикорский и Д. П.Григорович, остальные либо значительно им уступали, либо еще не наступила их пора, так, например, еще только мужали и набирались опыта Н. Н.Поликарпов и А. Н.Туполев. Всю войну проработал на Ходынке итальянец Франческо Эвджистович Моска, построивший в 1912—1913 гг. удачный моноплан ЛЯМ и несколько оригинальных конструкций на « Дуксе », где он занимал должность основного проектировщика общих видов самолетов Меллера. Но катастрофический провал на конкурсе военных аэропланов 1913 г. привел к разрыву Меллера и Моска. Недолго пробыв без работы, итальянец нашел пристанище неподалеку в мастерской увлекшегося авиацией кавалерийского офицера (1) Александра Александровича Безобразова. В начале 1914 г. тот задумал построить оригинальный одноместный военный аэроплан. Моска стал его напарником и выполнил основную часть проектно-конструкторской работы. Самолет был задуман весьма необычный — скоростной и маневренный, к тому же малозаметный с земли на фоне неба. Поэтому очень своеобразной оказалась и его конструкция. По первоначальному проекту двигатель должен был располагаться в фюзеляже с удлиненным валом к винту (как позже у американской «Аэрокобры»), так достигалась обтекаемая веретенообразная форма фюзеляжа. Летчик располагался в закрытой кабине без фонаря, обзор обеспечивался прозрачными окнами в бортах и сверху и через перископ вперед. Проблемы с валом и центровкой в итоге привели к традиционной компоновке — кабина пилота размещалась за двигателем «Анзани» в 60 л. с, позже поставили «Гном» в 80 л. с. По аэродинамической схеме это был триплан-тандем без горизонтального оперения с большим выносом и большим удлинением крыльев. Для малой заметности с земли хорды крыльев не превышали 0,5 м. Рули высоты находились в средней части нижнего крыла. До войны самолет закончить не успели, в августе 1914 г. Безобразов отбыл на фронт. Моска достроил триплан и 2 октября 1914 г. сам поднял его в воздух. После первых удачных полетов по просьбе Моска московский губернатор Муравьев 7 октября послал Великому князю Александру Михайловичу телеграмму: «Сегодня было в Москве первое испытание нового летательного аппарата тримоноплана прапорщика Александра Александровича Безобразова, удачный полет сразу по окончании постройки без предварительных проб». Однако, несмотря на обещания губернатора оказать всемерную поддержку и «быстро устроить большую мастерскую для исполнения заказов», военное ведомство самолетом не заинтересовалось (15219).</w:t>
      </w:r>
    </w:p>
    <w:p w14:paraId="33CC6773" w14:textId="77777777" w:rsidR="00E5668B" w:rsidRPr="00DE096C" w:rsidRDefault="00E5668B" w:rsidP="00D45A46">
      <w:pPr>
        <w:shd w:val="clear" w:color="auto" w:fill="FFFFFF"/>
        <w:jc w:val="both"/>
        <w:rPr>
          <w:bCs/>
          <w:color w:val="002060"/>
          <w:sz w:val="16"/>
          <w:szCs w:val="16"/>
        </w:rPr>
      </w:pPr>
    </w:p>
    <w:p w14:paraId="43A9736E" w14:textId="77777777" w:rsidR="00E5668B" w:rsidRPr="00DE096C" w:rsidRDefault="00E5668B" w:rsidP="00D45A46">
      <w:pPr>
        <w:jc w:val="both"/>
        <w:rPr>
          <w:bCs/>
          <w:color w:val="002060"/>
          <w:sz w:val="16"/>
          <w:szCs w:val="16"/>
        </w:rPr>
      </w:pPr>
      <w:r w:rsidRPr="00DE096C">
        <w:rPr>
          <w:bCs/>
          <w:color w:val="002060"/>
          <w:sz w:val="16"/>
          <w:szCs w:val="16"/>
        </w:rPr>
        <w:t>В 1914-1915 гг. в основном применялись самодельные бомбы цилиндрической и сферической формы, но со временем их вытеснили бомбы каплевидной формы.</w:t>
      </w:r>
    </w:p>
    <w:p w14:paraId="56BE15D5" w14:textId="77777777" w:rsidR="00E5668B" w:rsidRPr="00DE096C" w:rsidRDefault="00E5668B" w:rsidP="00D45A46">
      <w:pPr>
        <w:jc w:val="both"/>
        <w:rPr>
          <w:bCs/>
          <w:color w:val="002060"/>
          <w:sz w:val="16"/>
          <w:szCs w:val="16"/>
        </w:rPr>
      </w:pPr>
      <w:r w:rsidRPr="00DE096C">
        <w:rPr>
          <w:bCs/>
          <w:color w:val="002060"/>
          <w:sz w:val="16"/>
          <w:szCs w:val="16"/>
        </w:rPr>
        <w:t>Во всех воюющих странах пытались также использовать в качестве авиационных бомб артиллерийские снаряды калибра 75 мм и выше. В частности, в России в 1914 г. полковник Печенкин снабдил 42-линейные (122-мм) гаубичные снаряды специальной ударной трубкой. Для устойчивости в падении к снарядам прикреплялся стабилизатор. Но эти первые авиационные бомбы не отвечали требованиям воздушного бомбометания. Устойчивость бомбы была недостаточна, очень часто они падали боком, и поэтому взрыватели не действовали.</w:t>
      </w:r>
    </w:p>
    <w:p w14:paraId="5558622C" w14:textId="5A1536D6" w:rsidR="00E5668B" w:rsidRPr="00DE096C" w:rsidRDefault="00E5668B" w:rsidP="00D45A46">
      <w:pPr>
        <w:jc w:val="both"/>
        <w:rPr>
          <w:bCs/>
          <w:color w:val="002060"/>
          <w:sz w:val="16"/>
          <w:szCs w:val="16"/>
        </w:rPr>
      </w:pPr>
      <w:r w:rsidRPr="00DE096C">
        <w:rPr>
          <w:bCs/>
          <w:color w:val="002060"/>
          <w:sz w:val="16"/>
          <w:szCs w:val="16"/>
        </w:rPr>
        <w:t>В дальнейшем для снаряжения бомб, переделанных из снарядов, был сконструирован специальный взрыватель, действовавший при ударе бомбы о землю любой стороной.</w:t>
      </w:r>
      <w:r w:rsidR="0006581C">
        <w:rPr>
          <w:bCs/>
          <w:color w:val="002060"/>
          <w:sz w:val="16"/>
          <w:szCs w:val="16"/>
        </w:rPr>
        <w:t xml:space="preserve"> </w:t>
      </w:r>
      <w:r w:rsidRPr="00DE096C">
        <w:rPr>
          <w:bCs/>
          <w:color w:val="002060"/>
          <w:sz w:val="16"/>
          <w:szCs w:val="16"/>
        </w:rPr>
        <w:t>Однако с учетом стоимости артиллерийского снаряда, это было слишком дорогим удовольствием. Исключение представляла ситуация, когда в авиабомбы переделывались снаряды, снятые с артиллерийского вооружения (18738).</w:t>
      </w:r>
    </w:p>
    <w:p w14:paraId="3ABB0B00" w14:textId="77777777" w:rsidR="00E5668B" w:rsidRPr="00DE096C" w:rsidRDefault="00E5668B" w:rsidP="00D45A46">
      <w:pPr>
        <w:jc w:val="both"/>
        <w:rPr>
          <w:bCs/>
          <w:color w:val="002060"/>
          <w:sz w:val="16"/>
          <w:szCs w:val="16"/>
        </w:rPr>
      </w:pPr>
    </w:p>
    <w:p w14:paraId="34A1D0BF" w14:textId="77777777" w:rsidR="00E5668B" w:rsidRPr="00DE096C" w:rsidRDefault="00E5668B" w:rsidP="00D45A46">
      <w:pPr>
        <w:pStyle w:val="2"/>
        <w:spacing w:before="0" w:after="0"/>
        <w:jc w:val="both"/>
        <w:rPr>
          <w:b w:val="0"/>
          <w:bCs/>
          <w:color w:val="002060"/>
          <w:sz w:val="16"/>
          <w:szCs w:val="16"/>
        </w:rPr>
      </w:pPr>
      <w:r w:rsidRPr="00DE096C">
        <w:rPr>
          <w:b w:val="0"/>
          <w:bCs/>
          <w:color w:val="002060"/>
          <w:sz w:val="16"/>
          <w:szCs w:val="16"/>
        </w:rPr>
        <w:t>В 1914—1917 гг. в опытном самолетостроении русские авиаконструкторы успели сделать немало, создав, по оценкам Шаврова, до 150 конструкции сухопутных н морских аэропланов. Наиболее «урожайным» стал 1916 г. — более 60 самолетов, в остальные в среднем по 25—30 машин. До 1917 г. в России работало всего два выдающихся конструктора самолетов мирового уровня — И.И.Сикорскии и Д.П.Григорович, остальные либо значительно им уступали, либо еще не наступила их пора, так, например, еще только мужали и набирались опыта Н.Н.Поликарпов и АН.Туполев.</w:t>
      </w:r>
    </w:p>
    <w:p w14:paraId="3ED20FBF" w14:textId="77777777" w:rsidR="00E5668B" w:rsidRPr="00DE096C" w:rsidRDefault="00E5668B" w:rsidP="00D45A46">
      <w:pPr>
        <w:pStyle w:val="2"/>
        <w:spacing w:before="0" w:after="0"/>
        <w:jc w:val="both"/>
        <w:rPr>
          <w:b w:val="0"/>
          <w:bCs/>
          <w:color w:val="002060"/>
          <w:sz w:val="16"/>
          <w:szCs w:val="16"/>
        </w:rPr>
      </w:pPr>
      <w:r w:rsidRPr="00DE096C">
        <w:rPr>
          <w:b w:val="0"/>
          <w:bCs/>
          <w:color w:val="002060"/>
          <w:sz w:val="16"/>
          <w:szCs w:val="16"/>
        </w:rPr>
        <w:t>Основными авторами оригинальных конструкциях, созданных в Москве и испытанных на Ходынском поле в 1910 г. — начале 1914 г., являлись Ф.Э.Моска и А.В.Духовецкий, остальные — А.Я.Докучаев, Б.С.Масленников, Н.Р.Лобанов и другие занимались только копированием уже опробованных зарубежных конструкций с незначительными изменениями. В 1914—1917 гг. самолетостроением продолжали заниматься только двое из них — Докучаев и Моска. Инструктор школы авиации ИМОВ «папаша» Докучаев, вывозивший новичков на учебном «Фармане-IV», в годы войны продолжил «фирменный» стиль московских конструкций 1912—1913 гг. и построил ряд неплохо летавших учебных самолетов. Кроме моноплана «Докучаев-5», все они были вариациями «четверки» с «Гномом» в 60 л.с.</w:t>
      </w:r>
    </w:p>
    <w:p w14:paraId="1BB2DC7E" w14:textId="77777777" w:rsidR="00E5668B" w:rsidRPr="00DE096C" w:rsidRDefault="00E5668B" w:rsidP="00D45A46">
      <w:pPr>
        <w:pStyle w:val="2"/>
        <w:spacing w:before="0" w:after="0"/>
        <w:jc w:val="both"/>
        <w:rPr>
          <w:b w:val="0"/>
          <w:bCs/>
          <w:color w:val="002060"/>
          <w:sz w:val="16"/>
          <w:szCs w:val="16"/>
        </w:rPr>
      </w:pPr>
      <w:r w:rsidRPr="00DE096C">
        <w:rPr>
          <w:b w:val="0"/>
          <w:bCs/>
          <w:color w:val="002060"/>
          <w:sz w:val="16"/>
          <w:szCs w:val="16"/>
        </w:rPr>
        <w:t>Всю войну проработал на Ходынке итальянец Франческо Эвджистович Моска, построивший в 1912—1913 гг. удачный моноплан ЛЯМ и несколько оригинальных конструкций на «Дуксе», где он занимал должность основного проектировщика общих видов самолетов Меллера. Но катастрофический провал на конкурсе военных аэропланов 1913 г. привел к разрыву Меллера и Моска. Недолго пробыв без работы, итальянец нашел пристанище неподалеку в мастерской увлекшегося авиацией кавалерийского офицера Александра Александровича Безобразова. В начале 1914 г. тот задумал построить оригинальный одноместный военный аэроплан. Моска стал его напарником и выполнил основную часть проектно-конструкторской работы (15464).</w:t>
      </w:r>
    </w:p>
    <w:p w14:paraId="37C199E7" w14:textId="77777777" w:rsidR="00E5668B" w:rsidRPr="00DE096C" w:rsidRDefault="00E5668B" w:rsidP="00D45A46">
      <w:pPr>
        <w:pStyle w:val="2"/>
        <w:spacing w:before="0" w:after="0"/>
        <w:jc w:val="both"/>
        <w:rPr>
          <w:b w:val="0"/>
          <w:bCs/>
          <w:color w:val="002060"/>
          <w:sz w:val="16"/>
          <w:szCs w:val="16"/>
        </w:rPr>
      </w:pPr>
    </w:p>
    <w:p w14:paraId="1939FB60" w14:textId="77777777" w:rsidR="00B67D7C" w:rsidRPr="00DE096C" w:rsidRDefault="00B67D7C" w:rsidP="00D45A46">
      <w:pPr>
        <w:pStyle w:val="a3"/>
        <w:jc w:val="both"/>
        <w:rPr>
          <w:bCs/>
          <w:color w:val="002060"/>
          <w:spacing w:val="0"/>
          <w:kern w:val="0"/>
          <w:position w:val="0"/>
          <w:sz w:val="16"/>
          <w:szCs w:val="16"/>
        </w:rPr>
      </w:pPr>
      <w:r w:rsidRPr="00DE096C">
        <w:rPr>
          <w:bCs/>
          <w:color w:val="002060"/>
          <w:spacing w:val="0"/>
          <w:kern w:val="0"/>
          <w:position w:val="0"/>
          <w:sz w:val="16"/>
          <w:szCs w:val="16"/>
        </w:rPr>
        <w:t>Другие оборонные отрасли:</w:t>
      </w:r>
    </w:p>
    <w:p w14:paraId="606D5E26" w14:textId="77777777" w:rsidR="00B67D7C" w:rsidRPr="00DE096C" w:rsidRDefault="00B67D7C" w:rsidP="00D45A46">
      <w:pPr>
        <w:pStyle w:val="a3"/>
        <w:jc w:val="both"/>
        <w:rPr>
          <w:bCs/>
          <w:color w:val="002060"/>
          <w:spacing w:val="0"/>
          <w:kern w:val="0"/>
          <w:position w:val="0"/>
          <w:sz w:val="16"/>
          <w:szCs w:val="16"/>
        </w:rPr>
      </w:pPr>
    </w:p>
    <w:p w14:paraId="5EC1D48F" w14:textId="77777777" w:rsidR="001559D1" w:rsidRPr="00DE096C" w:rsidRDefault="001559D1" w:rsidP="00D45A46">
      <w:pPr>
        <w:pStyle w:val="21"/>
        <w:shd w:val="clear" w:color="auto" w:fill="auto"/>
        <w:spacing w:after="0" w:line="240" w:lineRule="auto"/>
        <w:ind w:firstLine="0"/>
        <w:jc w:val="both"/>
        <w:rPr>
          <w:rFonts w:ascii="Times New Roman" w:hAnsi="Times New Roman" w:cs="Times New Roman"/>
          <w:bCs/>
          <w:color w:val="002060"/>
          <w:spacing w:val="0"/>
          <w:sz w:val="16"/>
          <w:szCs w:val="16"/>
        </w:rPr>
      </w:pPr>
      <w:r w:rsidRPr="00DE096C">
        <w:rPr>
          <w:rFonts w:ascii="Times New Roman" w:hAnsi="Times New Roman" w:cs="Times New Roman"/>
          <w:bCs/>
          <w:color w:val="002060"/>
          <w:spacing w:val="0"/>
          <w:sz w:val="16"/>
          <w:szCs w:val="16"/>
        </w:rPr>
        <w:t>В 1914-1915 гг. в США было заказано 2 млрд 250 млн патронов русского калибра 7,62-мм R, в Японии — 74 млн патроновкалибра 6,5 мм (к закупаемым винтовкам Арисака), во Франции — 455 млн штук к винтовкам Гра-Кропачек и Лебель (15230).</w:t>
      </w:r>
    </w:p>
    <w:p w14:paraId="4D045C59" w14:textId="77777777" w:rsidR="001559D1" w:rsidRPr="00DE096C" w:rsidRDefault="001559D1" w:rsidP="00D45A46">
      <w:pPr>
        <w:pStyle w:val="21"/>
        <w:shd w:val="clear" w:color="auto" w:fill="auto"/>
        <w:spacing w:after="0" w:line="240" w:lineRule="auto"/>
        <w:ind w:firstLine="0"/>
        <w:jc w:val="both"/>
        <w:rPr>
          <w:rFonts w:ascii="Times New Roman" w:hAnsi="Times New Roman" w:cs="Times New Roman"/>
          <w:bCs/>
          <w:color w:val="002060"/>
          <w:spacing w:val="0"/>
          <w:sz w:val="16"/>
          <w:szCs w:val="16"/>
        </w:rPr>
      </w:pPr>
    </w:p>
    <w:p w14:paraId="3B579979" w14:textId="77777777" w:rsidR="001559D1" w:rsidRPr="00DE096C" w:rsidRDefault="001559D1" w:rsidP="00D45A46">
      <w:pPr>
        <w:jc w:val="both"/>
        <w:rPr>
          <w:bCs/>
          <w:color w:val="002060"/>
          <w:sz w:val="16"/>
          <w:szCs w:val="16"/>
        </w:rPr>
      </w:pPr>
      <w:r w:rsidRPr="00DE096C">
        <w:rPr>
          <w:bCs/>
          <w:color w:val="002060"/>
          <w:sz w:val="16"/>
          <w:szCs w:val="16"/>
        </w:rPr>
        <w:t>В 1914—1917 гг. русскими заводами было изготовлено 54 миллиона 76-мм выстрелов, в том числе 26 миллионов шрапнели и 28 миллионов гранат. Кроме того, около 13 миллионов 76-мм выстрелов было доставлено из-за границы. Этих запасов нашей артиллерии не удалось расстрелять ни в Первую мировую, ни в гражданскую войны, и даже после Великой Отечественной войны на складах остались довольно солидные запасы 76-мм выстрелов дореволюционного изготовления (15117).</w:t>
      </w:r>
    </w:p>
    <w:p w14:paraId="2AA79A50" w14:textId="77777777" w:rsidR="001559D1" w:rsidRPr="00DE096C" w:rsidRDefault="001559D1" w:rsidP="00D45A46">
      <w:pPr>
        <w:jc w:val="both"/>
        <w:rPr>
          <w:bCs/>
          <w:color w:val="002060"/>
          <w:sz w:val="16"/>
          <w:szCs w:val="16"/>
        </w:rPr>
      </w:pPr>
    </w:p>
    <w:p w14:paraId="7AD7C35B" w14:textId="5449F94F" w:rsidR="001559D1" w:rsidRPr="00DE096C" w:rsidRDefault="001559D1" w:rsidP="00D45A46">
      <w:pPr>
        <w:jc w:val="both"/>
        <w:rPr>
          <w:bCs/>
          <w:color w:val="002060"/>
          <w:sz w:val="16"/>
          <w:szCs w:val="16"/>
        </w:rPr>
      </w:pPr>
      <w:r w:rsidRPr="00DE096C">
        <w:rPr>
          <w:bCs/>
          <w:color w:val="002060"/>
          <w:sz w:val="16"/>
          <w:szCs w:val="16"/>
        </w:rPr>
        <w:t>В 1914—1917 гг. специальных зенитных пушек 76-мм Лендера обр. 1914 г., а также автоматов 37-мм Максима и 40-мм Виккерса на фронте не было, а защищаться от германских аэропланов чем-то надо было. В результате было создано несколько десятков типов кустарных или полукустарных установок, на которые накатывали 76-мм полевые пушки и вели огонь по самолетам под углом возвышения до 50°—60°. Так, к примеру, штабс-капитан Рекалов переделал в зенитную установку… конную молотилку. Всего в годы Первой мировой войны на импровизированные зенитные установки наложили 96 — 76-мм пушек обр.1902 г. и 762 — 76-мм пушки обр.1900 г. Такое предпочтение в пользу пушек обр.1900 г. объясняется тем, что в них намного проще регулировалось действие накатника. Данные о результатах огня импровизированных установок отсутствуют, и если уж им удалось кого сбить, так эти самолеты можно сосчитать по пальцам. Другой вопрос, что часто удавалось отогнать самолеты противника или снизить точность бомбометания. Это объяснялось малой скоростью и маневренностью самолетов, низкой живучестью, отсутствием парашютов и неопытностью летчиков (15117).</w:t>
      </w:r>
    </w:p>
    <w:p w14:paraId="426E6129" w14:textId="77777777" w:rsidR="001559D1" w:rsidRPr="00DE096C" w:rsidRDefault="001559D1" w:rsidP="00D45A46">
      <w:pPr>
        <w:jc w:val="both"/>
        <w:rPr>
          <w:bCs/>
          <w:color w:val="002060"/>
          <w:sz w:val="16"/>
          <w:szCs w:val="16"/>
        </w:rPr>
      </w:pPr>
    </w:p>
    <w:p w14:paraId="1F923957" w14:textId="6B95511F" w:rsidR="00B67D7C" w:rsidRPr="00DE096C" w:rsidRDefault="005D05AB"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В</w:t>
      </w:r>
      <w:r w:rsidR="00B67D7C" w:rsidRPr="00DE096C">
        <w:rPr>
          <w:bCs/>
          <w:i w:val="0"/>
          <w:color w:val="002060"/>
          <w:spacing w:val="0"/>
          <w:kern w:val="0"/>
          <w:position w:val="0"/>
          <w:sz w:val="16"/>
          <w:szCs w:val="16"/>
        </w:rPr>
        <w:t xml:space="preserve"> 1914—1917 гг. милитаризация производства </w:t>
      </w:r>
      <w:r w:rsidRPr="00DE096C">
        <w:rPr>
          <w:bCs/>
          <w:i w:val="0"/>
          <w:color w:val="002060"/>
          <w:spacing w:val="0"/>
          <w:kern w:val="0"/>
          <w:position w:val="0"/>
          <w:sz w:val="16"/>
          <w:szCs w:val="16"/>
        </w:rPr>
        <w:t xml:space="preserve">в России </w:t>
      </w:r>
      <w:r w:rsidR="00B67D7C" w:rsidRPr="00DE096C">
        <w:rPr>
          <w:bCs/>
          <w:i w:val="0"/>
          <w:color w:val="002060"/>
          <w:spacing w:val="0"/>
          <w:kern w:val="0"/>
          <w:position w:val="0"/>
          <w:sz w:val="16"/>
          <w:szCs w:val="16"/>
        </w:rPr>
        <w:t>неуклонно росла. Из числа 2290 обследованных предприятий 1800 работало на оборону (в том числе по производству предметов вооружения — 356, военного снаряжения — 248, питания — 783, обмундирования — 458); не работало на оборону 490 предприятий. В конце 1916 г. из 2443 тыс. рабочих, занятых в промышленности, 86% работали на армию. Переориентация экономики на войну в России привела сначала к временному подъему таких отраслей, как металлообрабатывающая и химическая промышленность, машиностроение, и обеспечила общий рост производства (11270).</w:t>
      </w:r>
    </w:p>
    <w:p w14:paraId="47AE711B" w14:textId="77777777" w:rsidR="00B67D7C" w:rsidRPr="00DE096C" w:rsidRDefault="00B67D7C" w:rsidP="00D45A46">
      <w:pPr>
        <w:jc w:val="both"/>
        <w:rPr>
          <w:bCs/>
          <w:color w:val="002060"/>
          <w:sz w:val="16"/>
          <w:szCs w:val="16"/>
        </w:rPr>
      </w:pPr>
    </w:p>
    <w:p w14:paraId="551D3FC8" w14:textId="603BAAFD" w:rsidR="00B67D7C" w:rsidRPr="00DE096C" w:rsidRDefault="005D05AB"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 xml:space="preserve">В </w:t>
      </w:r>
      <w:r w:rsidR="00B67D7C" w:rsidRPr="00DE096C">
        <w:rPr>
          <w:bCs/>
          <w:i w:val="0"/>
          <w:color w:val="002060"/>
          <w:spacing w:val="0"/>
          <w:kern w:val="0"/>
          <w:position w:val="0"/>
          <w:sz w:val="16"/>
          <w:szCs w:val="16"/>
        </w:rPr>
        <w:t>1914-1918 гг. частный бизнес был крайне заинтересован иметь партнером казенные структуры, которые, в свою очередь, в целях экономии средств и повышения качества своих заказов предоставляли фирмам возможность посоревноваться между собой за государственное признание. Наиболее известные производители получали звание "поставщиков Двора Его Императорского Величества", именно пройдя иерархическую лестницу торгов и конкурсов.</w:t>
      </w:r>
    </w:p>
    <w:p w14:paraId="5E24CB5F"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Весьма показательно, что вред, наносимый частной промышленности казенными заводами, стал настолько велик, что одна из официальных комиссий, изучавших состояние дел в промышленности России, предложила ликвидировать казенные заводы, передав их в руки предпринимателей. Для обоснования такого вывода использовалась 38 статья из Горного устава: "...главное начало, на котором казенные горные заводы должны быть устраняемы, состоит в том, чтобы они содействовали и поощряли частную промышленность, а не были бы ей преградой". Во избежание неравной конкуренции комиссия предложила не допускать госпредприятия к торгам (с участием частников) до коренного изменения их положения. А для обеспечения их работой - распределять часть заказов через междуведомственной хозяйственный комитет. Количество заказов должно было соответствовать наличным техническим средствам этих производителей.</w:t>
      </w:r>
    </w:p>
    <w:p w14:paraId="449AF50C"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Но все это касалось большой политики и больших денег. В провинции, при решении разных местных проблем, существующее законодательство было действенным и помогало земским и казенным учреждениям выполнять свои функции. Абсолютное большинство заявок поступало на строительство зданий, заготовку дров и решение различных проблем на железных дорогах (11277).</w:t>
      </w:r>
    </w:p>
    <w:p w14:paraId="07B798AB" w14:textId="77777777" w:rsidR="00B67D7C" w:rsidRPr="00DE096C" w:rsidRDefault="00B67D7C" w:rsidP="00D45A46">
      <w:pPr>
        <w:pStyle w:val="a3"/>
        <w:jc w:val="both"/>
        <w:rPr>
          <w:bCs/>
          <w:i w:val="0"/>
          <w:color w:val="002060"/>
          <w:spacing w:val="0"/>
          <w:kern w:val="0"/>
          <w:position w:val="0"/>
          <w:sz w:val="16"/>
          <w:szCs w:val="16"/>
        </w:rPr>
      </w:pPr>
    </w:p>
    <w:p w14:paraId="29687A4A" w14:textId="323CBADC" w:rsidR="00B67D7C" w:rsidRPr="00DE096C" w:rsidRDefault="00B67D7C" w:rsidP="00D45A46">
      <w:pPr>
        <w:jc w:val="both"/>
        <w:rPr>
          <w:bCs/>
          <w:color w:val="002060"/>
          <w:sz w:val="16"/>
          <w:szCs w:val="16"/>
        </w:rPr>
      </w:pPr>
      <w:r w:rsidRPr="00DE096C">
        <w:rPr>
          <w:bCs/>
          <w:color w:val="002060"/>
          <w:sz w:val="16"/>
          <w:szCs w:val="16"/>
        </w:rPr>
        <w:t>1914-15 гг.</w:t>
      </w:r>
      <w:r w:rsidR="005D05AB" w:rsidRPr="00DE096C">
        <w:rPr>
          <w:bCs/>
          <w:color w:val="002060"/>
          <w:sz w:val="16"/>
          <w:szCs w:val="16"/>
        </w:rPr>
        <w:t xml:space="preserve"> создание Организация Ванкова было обусловлено кризисом артиллерийского снабжения русской армии</w:t>
      </w:r>
      <w:r w:rsidRPr="00DE096C">
        <w:rPr>
          <w:bCs/>
          <w:color w:val="002060"/>
          <w:sz w:val="16"/>
          <w:szCs w:val="16"/>
        </w:rPr>
        <w:t xml:space="preserve"> и уже значительной перегруженностью заказами ГАУ большинства крупных металлообрабатывающих предприятий. Способ, использованный во Франции в ходе решения тех же проблем, предполагал привлечение мелких предприятий и мастерских для производства достаточно крупных заказов на отдельные части гранаты или отдельные операции по ее изготовлению под руководством и при техническом содействии наблюдающих военных специалистов и инженеров.</w:t>
      </w:r>
    </w:p>
    <w:p w14:paraId="28283C21" w14:textId="77777777" w:rsidR="00B67D7C" w:rsidRPr="00DE096C" w:rsidRDefault="00B67D7C" w:rsidP="00D45A46">
      <w:pPr>
        <w:jc w:val="both"/>
        <w:rPr>
          <w:bCs/>
          <w:color w:val="002060"/>
          <w:sz w:val="16"/>
          <w:szCs w:val="16"/>
        </w:rPr>
      </w:pPr>
      <w:r w:rsidRPr="00DE096C">
        <w:rPr>
          <w:bCs/>
          <w:color w:val="002060"/>
          <w:sz w:val="16"/>
          <w:szCs w:val="16"/>
        </w:rPr>
        <w:t xml:space="preserve">Объем первого заказа (1 млн. трехдюймовых гранат, 1010 тыс. запальных стаканов и столько же детонаторных трубок) не предполагал расширения производства привлекаемых заводов, но многие из них уже с весны 1915 г. начали работы по переоборудованию и расширению предприятий, стремясь использовать летний строительный сезон. Эта деятельность получила новый импульс, когда в июне 1915 г. Военный Совет выдал новые заказы на 2,6 млн. корпусов гранат и соответственно такое же количество запальных стаканов и детонаторных трубок. В дальнейшем шло еще более значительное увеличение объемов заказов как на 3-дюймовые гранаты, так и на 6- и 48-дюймовые бомбы [История организации ... Ванкова. С. 17.]. Такая ситуация укрепляла интерес предпринимателей и стимулировала расширение ими производства на своих предприятиях. </w:t>
      </w:r>
    </w:p>
    <w:p w14:paraId="2A979043" w14:textId="77777777" w:rsidR="00B67D7C" w:rsidRPr="00DE096C" w:rsidRDefault="00B67D7C" w:rsidP="00D45A46">
      <w:pPr>
        <w:jc w:val="both"/>
        <w:rPr>
          <w:bCs/>
          <w:color w:val="002060"/>
          <w:sz w:val="16"/>
          <w:szCs w:val="16"/>
        </w:rPr>
      </w:pPr>
      <w:r w:rsidRPr="00DE096C">
        <w:rPr>
          <w:bCs/>
          <w:color w:val="002060"/>
          <w:sz w:val="16"/>
          <w:szCs w:val="16"/>
        </w:rPr>
        <w:t xml:space="preserve">Как указывалось в отчете о деятельности Организации Ванкова, в системе российской промышленности было мало массовых механических производств, крайне невелик был опыт точных работ, то есть строго по чертежам и с соблюдением соответствующих размеров изделий [Там же. С. 48-50.]. Основная масса предприятий (общее их число в отдельные периоды достигало 500 заведений), привлеченных организацией Ванкова, располагалась в Средней и Южной России, и большинство из них не являлись специализированными металлообрабатывающими предприятиями. Среди них были заведения пищевкусовой промышленности (мельницы, винные склады), ремонтные мастерские текстильных фабрик, лаборатории учебных заведений, кооперированные силами военно-промышленных комитетов объединения кустарных мастерских. Их отличала бедность станочного парка, недостаток квалифицированных кадров. Со стороны Организации Ванкова в этой связи принимались меры по обучению кадров, жесткому внедрению технологической дисциплины и стандартизации производства, увеличению оборудования путем закупок и распределения реквизированного оборудования, а также внесения изменений в способы изготовления изделий [Например, вместо вытачивания корпусов гранат использовалась их штамповка. На множество более простых операций было разделено производство запальных стаканов, что позволило осуществить их выпуск на простых токарных, револьверных и винторезных станках и при работе на них неквалифицированных рабочих. См об этом: История организации ...Ванкова. С. 85-88.]. </w:t>
      </w:r>
    </w:p>
    <w:p w14:paraId="13861EC1" w14:textId="77777777" w:rsidR="00B67D7C" w:rsidRPr="00DE096C" w:rsidRDefault="00B67D7C" w:rsidP="00D45A46">
      <w:pPr>
        <w:jc w:val="both"/>
        <w:rPr>
          <w:bCs/>
          <w:color w:val="002060"/>
          <w:sz w:val="16"/>
          <w:szCs w:val="16"/>
        </w:rPr>
      </w:pPr>
      <w:r w:rsidRPr="00DE096C">
        <w:rPr>
          <w:bCs/>
          <w:color w:val="002060"/>
          <w:sz w:val="16"/>
          <w:szCs w:val="16"/>
        </w:rPr>
        <w:t>Число крупных предприятий, специально построенных для исполнения заказов на 3-дюймовые гранаты, было невелико. Среди них, безусловно, выделяются предприятия известного промышленника и финансиста Н.А. Второва, который был специально привлечен для устройства снаряжательного завода и стал особым контрагентом Организации Ванкова. Для постройки было решено выбрать помещения и территорию реквизированной красочной фабрики немецкой фирмы «Фридрих Байер и Ко» в Москве. Решение о реквизиции было получено 15 мая 1915 г., а уже 20 мая приступили к переоборудованию старых и возведению новых зданий и специальных сооружений, в том числе и на арендованной по соседству земле дворцового ведомства. Завод был рассчитан на ежедневное снаряжение 6-7 тыс. гранат. В ходе начавшейся стройки стала очевидна необходимость сооружения второго предприятия. Второву было предложено еще до увеличения заказов на свой страх и риск оборудовать его из расчета 18 тыс. гранат в день. Закладка нового завода состоялась в день окончания сооружения первого - 28 июня 1915 г. Он был построен через четыре месяца. Второвым с середины 1916 г. строился также снарядный завод в Богородске Московской губернии. В октябре 1916 г. общая производительность новых заводов превысила проектную мощность и составила более 1 млн. гранат в месяц [История организации... Ванкова. С. 87.].</w:t>
      </w:r>
    </w:p>
    <w:p w14:paraId="1B567F5F" w14:textId="77777777" w:rsidR="00B67D7C" w:rsidRPr="00DE096C" w:rsidRDefault="00B67D7C" w:rsidP="00D45A46">
      <w:pPr>
        <w:jc w:val="both"/>
        <w:rPr>
          <w:bCs/>
          <w:color w:val="002060"/>
          <w:sz w:val="16"/>
          <w:szCs w:val="16"/>
        </w:rPr>
      </w:pPr>
      <w:r w:rsidRPr="00DE096C">
        <w:rPr>
          <w:bCs/>
          <w:color w:val="002060"/>
          <w:sz w:val="16"/>
          <w:szCs w:val="16"/>
        </w:rPr>
        <w:t>В системе крупных промышленных предприятий Организации Ванкова, появившихся в годы Первой мировой войны, можно назвать отлично оборудованный Конотопский снарядный завод, построенный по инициативе М.И. Терещенко, и оснащенный прекрасными станками, Демиевский снарядный завод, устроенный по инициативе члена Государственной думы В.Я. Демченко в помещении казенного винного склада [Там же. С. 163.].</w:t>
      </w:r>
    </w:p>
    <w:p w14:paraId="60612E42" w14:textId="77777777" w:rsidR="00B67D7C" w:rsidRPr="00DE096C" w:rsidRDefault="00B67D7C" w:rsidP="00D45A46">
      <w:pPr>
        <w:jc w:val="both"/>
        <w:rPr>
          <w:bCs/>
          <w:color w:val="002060"/>
          <w:sz w:val="16"/>
          <w:szCs w:val="16"/>
        </w:rPr>
      </w:pPr>
      <w:r w:rsidRPr="00DE096C">
        <w:rPr>
          <w:bCs/>
          <w:color w:val="002060"/>
          <w:sz w:val="16"/>
          <w:szCs w:val="16"/>
        </w:rPr>
        <w:t xml:space="preserve">Деятельность Организации Ванкова на территории губерний Центрально-черноземной области, Среднего Поволжья привела к значительному росту численности промышленных предприятий и формированию кадров фабрично-заводских рабочих в этих регионах. </w:t>
      </w:r>
    </w:p>
    <w:p w14:paraId="0B389683" w14:textId="77777777" w:rsidR="00B67D7C" w:rsidRPr="00DE096C" w:rsidRDefault="00B67D7C" w:rsidP="00D45A46">
      <w:pPr>
        <w:jc w:val="both"/>
        <w:rPr>
          <w:bCs/>
          <w:color w:val="002060"/>
          <w:sz w:val="16"/>
          <w:szCs w:val="16"/>
        </w:rPr>
      </w:pPr>
      <w:r w:rsidRPr="00DE096C">
        <w:rPr>
          <w:bCs/>
          <w:color w:val="002060"/>
          <w:sz w:val="16"/>
          <w:szCs w:val="16"/>
        </w:rPr>
        <w:t>Поскольку обе рассмотренные организации были созданы при ГАУ, то нельзя не сказать о записке начальника ГАУ генерал-лейтенанта А.А. Маниковского, поступившей в Особое совещание по обороне в октябре 1916 г. [РГВИА. Ф. 369. Оп. 3. Д. 119. В деле типографский экземпляр записки, принадлежавший Е.З. Барсукову. Там же ряд приложений к документу. Подробнее см.: Сидоров А.Л. К вопросу о строительстве казенных заводов в России в годы первой мировой войны // ИЗ. Т. 54. М., 1955; Поликарпов В.В. О так называемой «программе Маниковского» 1916 года // ИЗ. Т. 109. М., 1983.] Маниковский видел задачу заводского строительства в создании мощной отечественной промышленности с целью ликвидации зависимости России от других стран в сфере промышленного производства. Им особо оговаривалось значение послевоенных перспектив развития российской индустрии. Маниковский подчеркивал, что после войны конкуренция и экономическая борьба между странами возрастет, и делал такой вывод: «Если мы не будем готовы к ней [конкуренции - С.В.], то могучая техника, и наших друзей, и наших врагов, раздавит нашу все еще слабую технику».</w:t>
      </w:r>
    </w:p>
    <w:p w14:paraId="14F2CEB9" w14:textId="77777777" w:rsidR="00B67D7C" w:rsidRPr="00DE096C" w:rsidRDefault="00B67D7C" w:rsidP="00D45A46">
      <w:pPr>
        <w:jc w:val="both"/>
        <w:rPr>
          <w:bCs/>
          <w:color w:val="002060"/>
          <w:sz w:val="16"/>
          <w:szCs w:val="16"/>
        </w:rPr>
      </w:pPr>
      <w:r w:rsidRPr="00DE096C">
        <w:rPr>
          <w:bCs/>
          <w:color w:val="002060"/>
          <w:sz w:val="16"/>
          <w:szCs w:val="16"/>
        </w:rPr>
        <w:t xml:space="preserve">С точки зрения производственно-отраслевой ориентация программа была весьма ограничена. Ее автор рекомендовал сооружение в основном военных предприятий, прежде всего, артиллерийского вооружения и ряда химических заводов. В программе совершенно отсутствовали заводы новейших производств и весьма скупо были указаны объекты в базовых отраслях тяжелой промышленности. Маниковский предлагал сооружение сталелитейного завода на территории Области Войска Донского, алюминиевого на Азовско-Черноморском побережье и станкостроительного в Туле. Программа была сугубо прагматической, нацеленной на некоторое улучшение вооружения войск в условиях данной войны. Более общее значение имела идея создания в каждом отдельном производстве самостоятельной группы предприятий, ядром которой был казенный завод, но которая включала бы и частные заведения. Маниковский считал необходимым построить в первую очередь 37 казенных заводов, как технически более сильных, а главное более выгодных для казны, поставляющих продукцию по более низким ценам. </w:t>
      </w:r>
    </w:p>
    <w:p w14:paraId="41F14C59" w14:textId="77777777" w:rsidR="00B67D7C" w:rsidRPr="00DE096C" w:rsidRDefault="00B67D7C" w:rsidP="00D45A46">
      <w:pPr>
        <w:jc w:val="both"/>
        <w:rPr>
          <w:bCs/>
          <w:color w:val="002060"/>
          <w:sz w:val="16"/>
          <w:szCs w:val="16"/>
        </w:rPr>
      </w:pPr>
      <w:r w:rsidRPr="00DE096C">
        <w:rPr>
          <w:bCs/>
          <w:color w:val="002060"/>
          <w:sz w:val="16"/>
          <w:szCs w:val="16"/>
        </w:rPr>
        <w:lastRenderedPageBreak/>
        <w:t>Уже в момент обсуждения программы значительное число заводов были начаты постройкой. По данным конца 1916 г. насчитывалось 16 построенных предприятий и 21 сооружавшееся. Это явилось практически удвоением общего числа казенных заведений, которые подчинялись ГАУ до войны. Наибольшее количество новых заводов (18) приходилось на пороховые, химические предприятия, заводы и мастерские взрывчатых веществ. Значительное число (13) заведений возникло в системе снарядного, трубочного, снаряжательного производств, заводов взрывателей. В системе других оборонных предприятий новые заводы были единичны и, как правило, еще строились: Саратовский орудийный, новый Тульский оружейный, пулеметный в Коврове (строительство вел Датский ружейный синдикат), 3-й патронный в Симбирске [РГВИА. Ф. 369. Оп. 3. Д. 119. Л. 1об., 5, 67, 71.] (11863).</w:t>
      </w:r>
    </w:p>
    <w:p w14:paraId="610AD490" w14:textId="77777777" w:rsidR="00B67D7C" w:rsidRPr="00DE096C" w:rsidRDefault="00B67D7C" w:rsidP="00D45A46">
      <w:pPr>
        <w:jc w:val="both"/>
        <w:rPr>
          <w:bCs/>
          <w:color w:val="002060"/>
          <w:sz w:val="16"/>
          <w:szCs w:val="16"/>
        </w:rPr>
      </w:pPr>
    </w:p>
    <w:p w14:paraId="7789772B" w14:textId="227648C7" w:rsidR="00B67D7C" w:rsidRPr="00DE096C" w:rsidRDefault="005D05AB"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1914 -1917 гг. </w:t>
      </w:r>
      <w:r w:rsidRPr="00DE096C">
        <w:rPr>
          <w:bCs/>
          <w:color w:val="002060"/>
          <w:sz w:val="16"/>
          <w:szCs w:val="16"/>
        </w:rPr>
        <w:t xml:space="preserve">развитие целого ряда базовых отраслей российской индустрии (топливной, металлургической, электротехнической) и ее энергетического обеспечения не стало объектом интенсивного строительства </w:t>
      </w:r>
      <w:r w:rsidR="00B67D7C" w:rsidRPr="00DE096C">
        <w:rPr>
          <w:bCs/>
          <w:color w:val="002060"/>
          <w:sz w:val="16"/>
          <w:szCs w:val="16"/>
        </w:rPr>
        <w:t>и даже предметом всестороннего обсуждения. В лучшем случае речь шла о сооружении отдельных и, можно сказать, единичных предприятиях. Нельзя не отметить тот факт, что владельцы угольных шахт и нефтяных промыслов предпочитали вести строительство химических предприятий оборонного назначения, чем развивать основное производство.</w:t>
      </w:r>
    </w:p>
    <w:p w14:paraId="6FADAB2C" w14:textId="77777777" w:rsidR="00B67D7C" w:rsidRPr="00DE096C" w:rsidRDefault="00B67D7C" w:rsidP="00D45A46">
      <w:pPr>
        <w:jc w:val="both"/>
        <w:rPr>
          <w:bCs/>
          <w:color w:val="002060"/>
          <w:sz w:val="16"/>
          <w:szCs w:val="16"/>
        </w:rPr>
      </w:pPr>
      <w:r w:rsidRPr="00DE096C">
        <w:rPr>
          <w:bCs/>
          <w:color w:val="002060"/>
          <w:sz w:val="16"/>
          <w:szCs w:val="16"/>
        </w:rPr>
        <w:t>В годы войны значительно расширилось строительство электростанций, о чем свидетельствуют данные промышленных переписей и сведения, собранные в Комиссии ГОЭЛРО. В то же время, несмотря на жестокость топливно-энергетического кризиса в Петрограде, вопрос о строительстве электростанций, которые могли снабжать столицу электроэнергией, так и не приобрел практического характера [Вопрос об организации электроснабжения Петербурга был поставлен еще в 1900 г. на I Всероссийском электротехническом съезде (доклад «Об электропередаче силы порогов Волхова, Нарвы и Вуоксы в Петербург»), но и в годы войны он не получил разрешения. На нескольких заседаниях Особого совещания в предварительном порядке обсуждался вопрос о сооружении отдельных электростанций в Карелии и Финляндии о-вом «Иматра».]. Большинство сооружавшихся в годы Первой мировой войны электростанций были заводскими, о чем свидетельствуют приведенные выше данные об авиационных и автомобильных предприятиях. Проект акционерного общества «Углеток», предусматривавший электрификацию всего Южного горнопромышленного района России, не стал предметом обсуждения ни в Особом совещании по обороне, ни в Особом совещании по топливу [Михеев В.В. Проект электрификации Юга России акционерного общества «Углеток»(1916 г.) // Информационный бюллетень научного семинара «Индустриализация в России». М., 1997. № 3.] (11863).</w:t>
      </w:r>
    </w:p>
    <w:p w14:paraId="748CAF3E" w14:textId="77777777" w:rsidR="00B67D7C" w:rsidRPr="00DE096C" w:rsidRDefault="00B67D7C" w:rsidP="00D45A46">
      <w:pPr>
        <w:jc w:val="both"/>
        <w:rPr>
          <w:bCs/>
          <w:color w:val="002060"/>
          <w:sz w:val="16"/>
          <w:szCs w:val="16"/>
        </w:rPr>
      </w:pPr>
    </w:p>
    <w:p w14:paraId="6B1C4502" w14:textId="33AF6DD7" w:rsidR="00B67D7C" w:rsidRPr="00DE096C" w:rsidRDefault="008B558D" w:rsidP="00D45A46">
      <w:pPr>
        <w:jc w:val="both"/>
        <w:rPr>
          <w:bCs/>
          <w:color w:val="002060"/>
          <w:sz w:val="16"/>
          <w:szCs w:val="16"/>
        </w:rPr>
      </w:pPr>
      <w:r w:rsidRPr="00DE096C">
        <w:rPr>
          <w:bCs/>
          <w:color w:val="002060"/>
          <w:sz w:val="16"/>
          <w:szCs w:val="16"/>
        </w:rPr>
        <w:t>В</w:t>
      </w:r>
      <w:r w:rsidR="00B67D7C" w:rsidRPr="00DE096C">
        <w:rPr>
          <w:bCs/>
          <w:color w:val="002060"/>
          <w:sz w:val="16"/>
          <w:szCs w:val="16"/>
        </w:rPr>
        <w:t xml:space="preserve"> 1914-1915 гг. </w:t>
      </w:r>
      <w:r w:rsidRPr="00DE096C">
        <w:rPr>
          <w:bCs/>
          <w:color w:val="002060"/>
          <w:sz w:val="16"/>
          <w:szCs w:val="16"/>
        </w:rPr>
        <w:t xml:space="preserve">апогеем деятельности РОБТиТ явилось строительство и ввод в действие </w:t>
      </w:r>
      <w:r w:rsidR="00B67D7C" w:rsidRPr="00DE096C">
        <w:rPr>
          <w:bCs/>
          <w:color w:val="002060"/>
          <w:sz w:val="16"/>
          <w:szCs w:val="16"/>
        </w:rPr>
        <w:t>двух передающих радиостанций мощностью 300 кВт (в Царском Село и на Ходынском поле в Москве) и отдель ной приемной радиостанции в Твери, обеспечивавших связь России со своими союзниками по Антанте (Глущенко А.А. Указ. соч).</w:t>
      </w:r>
    </w:p>
    <w:p w14:paraId="369048CD" w14:textId="77777777" w:rsidR="00B67D7C" w:rsidRPr="00DE096C" w:rsidRDefault="00B67D7C" w:rsidP="00D45A46">
      <w:pPr>
        <w:jc w:val="both"/>
        <w:rPr>
          <w:bCs/>
          <w:color w:val="002060"/>
          <w:sz w:val="16"/>
          <w:szCs w:val="16"/>
        </w:rPr>
      </w:pPr>
      <w:r w:rsidRPr="00DE096C">
        <w:rPr>
          <w:bCs/>
          <w:color w:val="002060"/>
          <w:sz w:val="16"/>
          <w:szCs w:val="16"/>
        </w:rPr>
        <w:t>В РОБТиТ, кроме самого С. М. Айзенштейна, работали многие талантли вые отечественные радиотехники и инженеры – Н.Н. Дмитриев, Р.В. Львович, Н.Д. Папалекси, И.Ю. Шейнберг, В.В. Ширков и др. В числе новаторских работ следует упомянуть об опытах по установлению радиосвязи с подводными лод ками и опытах по радиотелефонии (С.М. Айзенштейн), а также о разработке пер вых отечественных радиоламп – катодных реле (Н.Д. Папалекси).</w:t>
      </w:r>
    </w:p>
    <w:p w14:paraId="5845A9AD" w14:textId="77777777" w:rsidR="00B67D7C" w:rsidRPr="00DE096C" w:rsidRDefault="00B67D7C" w:rsidP="00D45A46">
      <w:pPr>
        <w:jc w:val="both"/>
        <w:rPr>
          <w:bCs/>
          <w:color w:val="002060"/>
          <w:sz w:val="16"/>
          <w:szCs w:val="16"/>
        </w:rPr>
      </w:pPr>
      <w:r w:rsidRPr="00DE096C">
        <w:rPr>
          <w:bCs/>
          <w:color w:val="002060"/>
          <w:sz w:val="16"/>
          <w:szCs w:val="16"/>
        </w:rPr>
        <w:t>В условиях значительного спроса оборонных ведомств на радиотехниче ские изделия, РОБТиТ идет на расширение номенклатуры выпускаемых изделий, для чего требовалось расширение имеемых производственных площадей. С этой целью в 1916 г. предприятие строит в Москве (на Шаболовке) мастерские по производству электродвигателей и учреждает свое представительство. В конце 1917 – начале 1918 гг. Общество эвакуирует из Петрограда в Москву заводскую лабораторию, значительную часть оборудования и находившие на складе гото вые изделия. Оставшееся в Петрограде оборудование было законсервировано.</w:t>
      </w:r>
    </w:p>
    <w:p w14:paraId="038B3D73" w14:textId="77777777" w:rsidR="00B67D7C" w:rsidRPr="00DE096C" w:rsidRDefault="00B67D7C" w:rsidP="00D45A46">
      <w:pPr>
        <w:jc w:val="both"/>
        <w:rPr>
          <w:bCs/>
          <w:color w:val="002060"/>
          <w:sz w:val="16"/>
          <w:szCs w:val="16"/>
        </w:rPr>
      </w:pPr>
      <w:r w:rsidRPr="00DE096C">
        <w:rPr>
          <w:bCs/>
          <w:color w:val="002060"/>
          <w:sz w:val="16"/>
          <w:szCs w:val="16"/>
        </w:rPr>
        <w:t>Декретом Совета народных комиссаров от 28 марта 1918 г. завод РОБТиТ со всеми принадлежавшими ему производственными подразделениями был национализирован (Глущенко А.А. Указ. соч. С. 418.). Предприятие в Петрограде получило наименование – Петроград ский радиоаппаратный завод.</w:t>
      </w:r>
    </w:p>
    <w:p w14:paraId="0FC111F6" w14:textId="77777777" w:rsidR="00B67D7C" w:rsidRPr="00DE096C" w:rsidRDefault="00B67D7C" w:rsidP="00D45A46">
      <w:pPr>
        <w:jc w:val="both"/>
        <w:rPr>
          <w:bCs/>
          <w:color w:val="002060"/>
          <w:sz w:val="16"/>
          <w:szCs w:val="16"/>
        </w:rPr>
      </w:pPr>
      <w:r w:rsidRPr="00DE096C">
        <w:rPr>
          <w:bCs/>
          <w:color w:val="002060"/>
          <w:sz w:val="16"/>
          <w:szCs w:val="16"/>
        </w:rPr>
        <w:t>Кроме вышеперечисленных заводов, составлявших ядро электротехниче ской промышленности слабых токов, производственно-исследовательские рабо ты в области средств связи, в первую очередь для нужд Военного ведомства, проводились на других промышленных объектах и в научно-исследовательских учреждениях (НИУ) Петербурга-Петрограда.</w:t>
      </w:r>
    </w:p>
    <w:p w14:paraId="7CDAD225" w14:textId="77777777" w:rsidR="00B67D7C" w:rsidRPr="00DE096C" w:rsidRDefault="00B67D7C" w:rsidP="00D45A46">
      <w:pPr>
        <w:jc w:val="both"/>
        <w:rPr>
          <w:bCs/>
          <w:color w:val="002060"/>
          <w:sz w:val="16"/>
          <w:szCs w:val="16"/>
        </w:rPr>
      </w:pPr>
      <w:r w:rsidRPr="00DE096C">
        <w:rPr>
          <w:bCs/>
          <w:color w:val="002060"/>
          <w:sz w:val="16"/>
          <w:szCs w:val="16"/>
        </w:rPr>
        <w:t>Среди них необходимо отметить существовавшую в Петербурге при Ни колаевском военно-инженерном училище (Архив Военно-исторического музея артиллерии, инженерных войск и войск связи (архив ВИМАИВиВС), ф. 60р, оп. 1, д. 34, л. 2.) Военную электротехническую школу, которая с 1911 года стала называться Офицерской электротехнической школой (ОЭШ). Наряду с подготовкой специалистов для подразделений связи русской армии, в радиокабинете этой школы велись исследовательские работы (Центральная радиолаборатория в Ленинграде. [Очерк истории ЦРЛ – ИРПА] / Под ред. И.В. Бренева. – М.: Сов. радио, 1973. С. 13.).</w:t>
      </w:r>
    </w:p>
    <w:p w14:paraId="71BCD617" w14:textId="77777777" w:rsidR="00B67D7C" w:rsidRPr="00DE096C" w:rsidRDefault="00B67D7C" w:rsidP="00D45A46">
      <w:pPr>
        <w:jc w:val="both"/>
        <w:rPr>
          <w:bCs/>
          <w:color w:val="002060"/>
          <w:sz w:val="16"/>
          <w:szCs w:val="16"/>
        </w:rPr>
      </w:pPr>
      <w:r w:rsidRPr="00DE096C">
        <w:rPr>
          <w:bCs/>
          <w:color w:val="002060"/>
          <w:sz w:val="16"/>
          <w:szCs w:val="16"/>
        </w:rPr>
        <w:t>В 1904 г. здесь была осуществлена модернизация первых армейских ра диостанций, разработанных под руководством А.С. Попова, для эксплуатации в полевых условиях (Члиянц Г. Из истории становления отечественной военной радиосвязи // Радиомир.КВ и УКВ. - 2002. - № 12. - С. 2.), а в 1911 г. была впервые разработана самолетная радиостан ция, которая в конце 1915 г. стала поступать на вооружение армии (Тележный Б.Г. Развитие радиосвязи в российской армии в период русско-японской и пер вой мировой войн // Электросвязь. - 2002. - № 2. - С. 47.).</w:t>
      </w:r>
    </w:p>
    <w:p w14:paraId="746E2BE9" w14:textId="77777777" w:rsidR="00B67D7C" w:rsidRPr="00DE096C" w:rsidRDefault="00B67D7C" w:rsidP="00D45A46">
      <w:pPr>
        <w:jc w:val="both"/>
        <w:rPr>
          <w:bCs/>
          <w:color w:val="002060"/>
          <w:sz w:val="16"/>
          <w:szCs w:val="16"/>
        </w:rPr>
      </w:pPr>
      <w:r w:rsidRPr="00DE096C">
        <w:rPr>
          <w:bCs/>
          <w:color w:val="002060"/>
          <w:sz w:val="16"/>
          <w:szCs w:val="16"/>
        </w:rPr>
        <w:t>Весной 1918 г. в связи с военной угрозой ОЭШ вместе с личным составом и имуществом была эвакуирована из Петрограда. Новым местом дислокации Офицерских курсов стал Сергиев Посад, а Запасного батальона и радиокабинета - Саратов. Впоследствии эти подразделения ОЭШ стали базой для создания но вых учреждений, работавших в области военной связи. Офицерские курсы 8 ноября 1919 г. приказом РВС были преобразованы в Высшую военную электротех ническую школу комсостава РККА (Архив ВИМАИВиВС, ф. 60р, оп. 1, д. 74, л. 5.), впоследствии ставшую известной как Во енная ордена Ленина Краснознаменная академия связи им. С.М. Буденного. На базе радиокабинета в Москве была создана Военная радиотехническая лаборатория, в свою очередь ставшая прообразом Научно- испытательного института свя зи (НИИС) Рабоче-крестьянской Красной Армии (РККА).</w:t>
      </w:r>
    </w:p>
    <w:p w14:paraId="419777B7" w14:textId="77777777" w:rsidR="00B67D7C" w:rsidRPr="00DE096C" w:rsidRDefault="00B67D7C" w:rsidP="00D45A46">
      <w:pPr>
        <w:jc w:val="both"/>
        <w:rPr>
          <w:bCs/>
          <w:color w:val="002060"/>
          <w:sz w:val="16"/>
          <w:szCs w:val="16"/>
        </w:rPr>
      </w:pPr>
      <w:r w:rsidRPr="00DE096C">
        <w:rPr>
          <w:bCs/>
          <w:color w:val="002060"/>
          <w:sz w:val="16"/>
          <w:szCs w:val="16"/>
        </w:rPr>
        <w:t>Анализ процесса зарождения и развития отечественной базы производства средств связи, прежде всего петербургско-петроградской, позволяет прийти к некоторым принципиальным выводам.</w:t>
      </w:r>
    </w:p>
    <w:p w14:paraId="6AD87AE0" w14:textId="77777777" w:rsidR="00B67D7C" w:rsidRPr="00DE096C" w:rsidRDefault="00B67D7C" w:rsidP="00D45A46">
      <w:pPr>
        <w:jc w:val="both"/>
        <w:rPr>
          <w:bCs/>
          <w:color w:val="002060"/>
          <w:sz w:val="16"/>
          <w:szCs w:val="16"/>
        </w:rPr>
      </w:pPr>
      <w:r w:rsidRPr="00DE096C">
        <w:rPr>
          <w:bCs/>
          <w:color w:val="002060"/>
          <w:sz w:val="16"/>
          <w:szCs w:val="16"/>
        </w:rPr>
        <w:t>Во-первых, большинство русских электротехнических предприятий воз никло и развивалось под эгидой крупнейших заграничных фирм. В довоенное время характерной чертой этих предприятий было то, что они пользовались всем опытом крупнейших заграничных предприятий и результатами научных дости жений интеллектуальных сил Запада, имея возможность применять практически испытанные конструкции, пользуясь приемами производства и получая из-за границы даже часть технически подготовленного технического персонала. В своей производственной деятельности эти предприятия могли обходиться без особо развитой технической организации, а тем более без постановки широко масштабных научных исследований в области техники слабого тока (Глущенко А.А. Указ. соч. С. 450.).</w:t>
      </w:r>
    </w:p>
    <w:p w14:paraId="0DEEC396" w14:textId="77777777" w:rsidR="00B67D7C" w:rsidRPr="00DE096C" w:rsidRDefault="00B67D7C" w:rsidP="00D45A46">
      <w:pPr>
        <w:jc w:val="both"/>
        <w:rPr>
          <w:bCs/>
          <w:color w:val="002060"/>
          <w:sz w:val="16"/>
          <w:szCs w:val="16"/>
        </w:rPr>
      </w:pPr>
      <w:r w:rsidRPr="00DE096C">
        <w:rPr>
          <w:bCs/>
          <w:color w:val="002060"/>
          <w:sz w:val="16"/>
          <w:szCs w:val="16"/>
        </w:rPr>
        <w:t>Во-вторых, следует сказать, что эти так называемые «русские», а по суще ству иностранные предприятия в России сыграли существенную положительную роль в нашей стране. Они способствовали вовлечению значительного количества людей в производство и обслуживание технических средств новой, наукоемкой отрасли – электротехники слабых токов. Впоследствии эти кадры оказались нужными и полезными при становлении и последующем развертывании про мышленности средств связи СССР (Бренёв И. В. Начало радиотехники в России. - М., 1970. С. 144.).</w:t>
      </w:r>
    </w:p>
    <w:p w14:paraId="1BD20DAA" w14:textId="77777777" w:rsidR="00B67D7C" w:rsidRPr="00DE096C" w:rsidRDefault="00B67D7C" w:rsidP="00D45A46">
      <w:pPr>
        <w:jc w:val="both"/>
        <w:rPr>
          <w:bCs/>
          <w:color w:val="002060"/>
          <w:sz w:val="16"/>
          <w:szCs w:val="16"/>
        </w:rPr>
      </w:pPr>
      <w:r w:rsidRPr="00DE096C">
        <w:rPr>
          <w:bCs/>
          <w:color w:val="002060"/>
          <w:sz w:val="16"/>
          <w:szCs w:val="16"/>
        </w:rPr>
        <w:t>В-третьих, производство электрослаботочной продукции принадлежало к числу наиболее организованных и поставленных отраслей, и поэтому покрывало в дореволюционный период большую часть внутреннего спроса (Кафенгауз Л.Б. Эволюция промышленного производства России (последняя треть XIX – 30 е годы ХХ в.) - М.: Эпифания, 1994. С. 143.).</w:t>
      </w:r>
    </w:p>
    <w:p w14:paraId="6462E0C3" w14:textId="77777777" w:rsidR="00B67D7C" w:rsidRPr="00DE096C" w:rsidRDefault="00B67D7C" w:rsidP="00D45A46">
      <w:pPr>
        <w:jc w:val="both"/>
        <w:rPr>
          <w:bCs/>
          <w:color w:val="002060"/>
          <w:sz w:val="16"/>
          <w:szCs w:val="16"/>
        </w:rPr>
      </w:pPr>
      <w:r w:rsidRPr="00DE096C">
        <w:rPr>
          <w:bCs/>
          <w:color w:val="002060"/>
          <w:sz w:val="16"/>
          <w:szCs w:val="16"/>
        </w:rPr>
        <w:t>В-четвертых, период Первой мировой войны явился для электротехниче ской промышленности слабых токов периодом наивысшего расцвета. Война прервала связи русских заводов с их головными заграничными предприятиями, потребовалось создание своей промышленной базы. Была начата организация новых производств, началось строительство новых заводов. Само производство заводов претерпело существенный сдвиг в сторону военного производства, а проведенное во время войны расширение и дооборудование предприятий спо собствовало решению задач и целей мирного строительства.</w:t>
      </w:r>
    </w:p>
    <w:p w14:paraId="405586E9" w14:textId="77777777" w:rsidR="00B67D7C" w:rsidRPr="00DE096C" w:rsidRDefault="00B67D7C" w:rsidP="00D45A46">
      <w:pPr>
        <w:jc w:val="both"/>
        <w:rPr>
          <w:bCs/>
          <w:color w:val="002060"/>
          <w:sz w:val="16"/>
          <w:szCs w:val="16"/>
        </w:rPr>
      </w:pPr>
      <w:r w:rsidRPr="00DE096C">
        <w:rPr>
          <w:bCs/>
          <w:color w:val="002060"/>
          <w:sz w:val="16"/>
          <w:szCs w:val="16"/>
        </w:rPr>
        <w:t>Благодаря деятельности вышеперечисленных предприятий русская армия в годы Первой мировой войны имела на вооружении целый ряд электротехниче ских средств связи.</w:t>
      </w:r>
    </w:p>
    <w:p w14:paraId="2C256BF7" w14:textId="77777777" w:rsidR="00B67D7C" w:rsidRPr="00DE096C" w:rsidRDefault="00B67D7C" w:rsidP="00D45A46">
      <w:pPr>
        <w:jc w:val="both"/>
        <w:rPr>
          <w:bCs/>
          <w:color w:val="002060"/>
          <w:sz w:val="16"/>
          <w:szCs w:val="16"/>
        </w:rPr>
      </w:pPr>
      <w:r w:rsidRPr="00DE096C">
        <w:rPr>
          <w:bCs/>
          <w:color w:val="002060"/>
          <w:sz w:val="16"/>
          <w:szCs w:val="16"/>
        </w:rPr>
        <w:t>В начале войны в войсках имелось около ста полевых, тридцати легких ка валерийских, двенадцати базисных и восьми крепостных радиостанций. Полевые радиостанции имелись трех типов: искровые РОБТиТ обр. 1908 г. и два типа ра диостанций производства «Сименс и Гальске» и РОБТиТ обр. 1910 г. (Бренев И.В. Указ. соч. С. 226.).</w:t>
      </w:r>
    </w:p>
    <w:p w14:paraId="32ABBBF9" w14:textId="77777777" w:rsidR="00B67D7C" w:rsidRPr="00DE096C" w:rsidRDefault="00B67D7C" w:rsidP="00D45A46">
      <w:pPr>
        <w:jc w:val="both"/>
        <w:rPr>
          <w:bCs/>
          <w:color w:val="002060"/>
          <w:sz w:val="16"/>
          <w:szCs w:val="16"/>
        </w:rPr>
      </w:pPr>
      <w:r w:rsidRPr="00DE096C">
        <w:rPr>
          <w:bCs/>
          <w:color w:val="002060"/>
          <w:sz w:val="16"/>
          <w:szCs w:val="16"/>
        </w:rPr>
        <w:t>В ходе войны были разработаны и поступили на вооружение действующей армии несколько типов телеграфных искровых радиостанций различных фирм: «Маркони», «Сименс и Гальске», РОБТиТ (Балаев Н.И. и др. Военные связисты в дни войны и мира / Н.И. Балаев, А.И. Бородни, Л.С.Гордон. - М.: Воениздат, 1968. С. 51.).</w:t>
      </w:r>
    </w:p>
    <w:p w14:paraId="0156FFC0" w14:textId="77777777" w:rsidR="00B67D7C" w:rsidRPr="00DE096C" w:rsidRDefault="00B67D7C" w:rsidP="00D45A46">
      <w:pPr>
        <w:jc w:val="both"/>
        <w:rPr>
          <w:bCs/>
          <w:color w:val="002060"/>
          <w:sz w:val="16"/>
          <w:szCs w:val="16"/>
        </w:rPr>
      </w:pPr>
      <w:r w:rsidRPr="00DE096C">
        <w:rPr>
          <w:bCs/>
          <w:color w:val="002060"/>
          <w:sz w:val="16"/>
          <w:szCs w:val="16"/>
        </w:rPr>
        <w:t>Всего к концу 1916 г. на вооружении армии находилось более 1000 радио станций (Б.Г. Тележный. Указ.соч. // Электросвязь. - 2002. - № 2. - С. 47.). Кроме того, войска использовали местные стационарные искровые станции с дальностью действия до 640 и более километров (Балаев Н.И. и др. Указ.соч. С. 27.).</w:t>
      </w:r>
    </w:p>
    <w:p w14:paraId="019E1663" w14:textId="77777777" w:rsidR="00B67D7C" w:rsidRPr="00DE096C" w:rsidRDefault="00B67D7C" w:rsidP="00D45A46">
      <w:pPr>
        <w:jc w:val="both"/>
        <w:rPr>
          <w:bCs/>
          <w:color w:val="002060"/>
          <w:sz w:val="16"/>
          <w:szCs w:val="16"/>
        </w:rPr>
      </w:pPr>
      <w:r w:rsidRPr="00DE096C">
        <w:rPr>
          <w:bCs/>
          <w:color w:val="002060"/>
          <w:sz w:val="16"/>
          <w:szCs w:val="16"/>
        </w:rPr>
        <w:t>Основное производство радиостанций для ВМФ было организовано на «Радиотелеграфном заводе Морского ведомства». Силами отечественных радио специалистов были разработаны и поставлены на производство пять типов кора бельных и береговых искровых передатчиков мощностью от 0,2 до 25 кВт (Белов Ф.И. Этапы радиовооружения войск связи Советской Армии // Очерки по истории войск связи. – М.: ВНО при ЦДСА им. М.В. Фрунзе, 1969. – вып.1. – С. 62.).</w:t>
      </w:r>
    </w:p>
    <w:p w14:paraId="28CD78D5" w14:textId="77777777" w:rsidR="00B67D7C" w:rsidRPr="00DE096C" w:rsidRDefault="00B67D7C" w:rsidP="00D45A46">
      <w:pPr>
        <w:jc w:val="both"/>
        <w:rPr>
          <w:bCs/>
          <w:color w:val="002060"/>
          <w:sz w:val="16"/>
          <w:szCs w:val="16"/>
        </w:rPr>
      </w:pPr>
      <w:r w:rsidRPr="00DE096C">
        <w:rPr>
          <w:bCs/>
          <w:color w:val="002060"/>
          <w:sz w:val="16"/>
          <w:szCs w:val="16"/>
        </w:rPr>
        <w:t>Основу арсенала телефонной техники, с которым русская армия встретила Первую мировую войну, составляли полевые телефонные аппараты с фониче ским вызовом обр. 1909 г., изготовленные заводами «Эриксона» и «Гейслера» (Архив ВИМАИВиВС, ф. 10р, оп. 1, д. 107, л. 164).</w:t>
      </w:r>
    </w:p>
    <w:p w14:paraId="6DA15070" w14:textId="77777777" w:rsidR="00B67D7C" w:rsidRPr="00DE096C" w:rsidRDefault="00B67D7C" w:rsidP="00D45A46">
      <w:pPr>
        <w:jc w:val="both"/>
        <w:rPr>
          <w:bCs/>
          <w:color w:val="002060"/>
          <w:sz w:val="16"/>
          <w:szCs w:val="16"/>
        </w:rPr>
      </w:pPr>
      <w:r w:rsidRPr="00DE096C">
        <w:rPr>
          <w:bCs/>
          <w:color w:val="002060"/>
          <w:sz w:val="16"/>
          <w:szCs w:val="16"/>
        </w:rPr>
        <w:t xml:space="preserve">Во время войны были выпущены полевые телефонные аппараты с индук торным вызовом девяти типов, с фоническим вызовом 16 типов, три типа аппа ратов облегченного типа, два образца полевых форпостных телефонов. Все эти аппараты отличались друг от друга габаритами, весом, схемами, но принципи альных </w:t>
      </w:r>
      <w:r w:rsidRPr="00DE096C">
        <w:rPr>
          <w:bCs/>
          <w:color w:val="002060"/>
          <w:sz w:val="16"/>
          <w:szCs w:val="16"/>
        </w:rPr>
        <w:lastRenderedPageBreak/>
        <w:t>различий не имели (Архив ВИМАИВиВС, ф. 10р, оп. 1, д. 107, л. 165.). Со второй половины войны число различных систем телефонов значительно возросло за счет появления аппаратов иностранных ма рок: английских, норвежских, японских, американских, германских, австрийских (Архив ВИМАИВиВС, ф. 10р, оп. 1, д. 107, л. 166.).</w:t>
      </w:r>
    </w:p>
    <w:p w14:paraId="6097CE10" w14:textId="77777777" w:rsidR="00B67D7C" w:rsidRPr="00DE096C" w:rsidRDefault="00B67D7C" w:rsidP="00D45A46">
      <w:pPr>
        <w:jc w:val="both"/>
        <w:rPr>
          <w:bCs/>
          <w:color w:val="002060"/>
          <w:sz w:val="16"/>
          <w:szCs w:val="16"/>
        </w:rPr>
      </w:pPr>
      <w:r w:rsidRPr="00DE096C">
        <w:rPr>
          <w:bCs/>
          <w:color w:val="002060"/>
          <w:sz w:val="16"/>
          <w:szCs w:val="16"/>
        </w:rPr>
        <w:t>Для устройства центральных телефонных станций в русской армии приме нялись фонические и индукторные коммутаторы, изготовляемые, в основном, фирмами «Эриксона» и «Гейслера» (Архив ВИМАИВиВС, ф. 10Р, оп. 1, д. 107, л. 186.).</w:t>
      </w:r>
    </w:p>
    <w:p w14:paraId="3AC9174D" w14:textId="77777777" w:rsidR="00B67D7C" w:rsidRPr="00DE096C" w:rsidRDefault="00B67D7C" w:rsidP="00D45A46">
      <w:pPr>
        <w:jc w:val="both"/>
        <w:rPr>
          <w:bCs/>
          <w:color w:val="002060"/>
          <w:sz w:val="16"/>
          <w:szCs w:val="16"/>
        </w:rPr>
      </w:pPr>
      <w:r w:rsidRPr="00DE096C">
        <w:rPr>
          <w:bCs/>
          <w:color w:val="002060"/>
          <w:sz w:val="16"/>
          <w:szCs w:val="16"/>
        </w:rPr>
        <w:t>Телеграфная связь обеспечивалась аппаратами Морзе образца 1904, 1910 и 1917 гг., а также быстродействующими и буквопечатающими аппаратами, экс плуатируемыми в гражданских ведомствах (Брежнев И.А. и др. Строительство советских Вооруженных Сил, управление войсками и развитие войск связи в период 1917-1941 гг). Аппарат Морзе был единственным, специально разработанным для армии, и применялся от штаба фронта до штаба дивизии (бригады). Из телеграфных коммутаторов наиболее широко применя лись ламельные (швейцарские) коммутаторы на 12, 24 и 30 ламелей.</w:t>
      </w:r>
    </w:p>
    <w:p w14:paraId="4F8FB67E" w14:textId="77777777" w:rsidR="00B67D7C" w:rsidRPr="00DE096C" w:rsidRDefault="00B67D7C" w:rsidP="00D45A46">
      <w:pPr>
        <w:jc w:val="both"/>
        <w:rPr>
          <w:bCs/>
          <w:color w:val="002060"/>
          <w:sz w:val="16"/>
          <w:szCs w:val="16"/>
        </w:rPr>
      </w:pPr>
      <w:r w:rsidRPr="00DE096C">
        <w:rPr>
          <w:bCs/>
          <w:color w:val="002060"/>
          <w:sz w:val="16"/>
          <w:szCs w:val="16"/>
        </w:rPr>
        <w:t>Именно такое наследство досталось войскам связи Красной Армии. Харак теризуя состояние материально-технической базы войск связи, И.А. Халепский писал: «Участники гражданской войны знают, что наследство из средств связи империалистической войны мы получили весьма бедное. Старая армия накануне своего развала весьма бедно была снабжена средствами связи и к моменту соз дания нашей армии мы абсолютно не располагали какими-либо складскими за пасами средств связи»6. Начавшаяся Гражданская война и сопутствующая ей хо зяйственная разруха только усугубили эту ситуацию. О тяжелом положении с обеспечением Красной Армии электротехническими средствами связи уже в 1920-е годы свидетельствуют факты самого широкого применения в этот период иных вспомогательных средств. Например, 26 июня 1925 г. приказом РВС СССР № 654 было введено «Положение о военно-голубиных станциях», на которые возлагались задачи подготовки голубиной связи и обслуживания ею частей и уч реждений РККА (Архив штаба ЛенВО, ф. 21, оп. 49530, д. 78, л. 489.).</w:t>
      </w:r>
    </w:p>
    <w:p w14:paraId="5758F197" w14:textId="77777777" w:rsidR="00B67D7C" w:rsidRPr="00DE096C" w:rsidRDefault="00B67D7C" w:rsidP="00D45A46">
      <w:pPr>
        <w:jc w:val="both"/>
        <w:rPr>
          <w:bCs/>
          <w:color w:val="002060"/>
          <w:sz w:val="16"/>
          <w:szCs w:val="16"/>
        </w:rPr>
      </w:pPr>
      <w:r w:rsidRPr="00DE096C">
        <w:rPr>
          <w:bCs/>
          <w:color w:val="002060"/>
          <w:sz w:val="16"/>
          <w:szCs w:val="16"/>
        </w:rPr>
        <w:t>До революции в русской армии самостоятельной структуры войск связи не существовало. В Красной Армии служба связи первоначально была разделена на три части. На протяжении 1918 г. РВС вынужден был четыре раза заниматься вопросами упорядочения руководства службой связи в РККА. Несмотря на это, положение продолжало оставаться ненормальным. Созданная в середине июня 1919 г. комиссия из представителей различных структур единодушно высказа лась за образование в РККА единого централизованного органа управления свя зью (Архив ВИМАИВиВС, ф. 60р, оп).</w:t>
      </w:r>
    </w:p>
    <w:p w14:paraId="0A390454" w14:textId="77777777" w:rsidR="00B67D7C" w:rsidRPr="00DE096C" w:rsidRDefault="00B67D7C" w:rsidP="00D45A46">
      <w:pPr>
        <w:jc w:val="both"/>
        <w:rPr>
          <w:bCs/>
          <w:color w:val="002060"/>
          <w:sz w:val="16"/>
          <w:szCs w:val="16"/>
        </w:rPr>
      </w:pPr>
      <w:r w:rsidRPr="00DE096C">
        <w:rPr>
          <w:bCs/>
          <w:color w:val="002060"/>
          <w:sz w:val="16"/>
          <w:szCs w:val="16"/>
        </w:rPr>
        <w:t>Приказом РВС № 1736/362 от 20 октября 1919 г. было создано Управление связи Красной Армии (УСКА). Однако на состоянии обеспечения войск имуще ством связи в значительной степени сказывалось то, что и после образования УСКА снабжение продолжало оставаться в ведении Главного военно инженерного управления (ГВИУ). Только 6 октября 1920 г. приказом РВС № 2052 снабжение имуществом связи было передано в ведение начальника УСКА вместе с телеграфно-телефонным и радиотелеграфными отделами, входившими до этого в состав ГВИУ.</w:t>
      </w:r>
    </w:p>
    <w:p w14:paraId="4867AF28" w14:textId="77777777" w:rsidR="00B67D7C" w:rsidRPr="00DE096C" w:rsidRDefault="00B67D7C" w:rsidP="00D45A46">
      <w:pPr>
        <w:jc w:val="both"/>
        <w:rPr>
          <w:bCs/>
          <w:color w:val="002060"/>
          <w:sz w:val="16"/>
          <w:szCs w:val="16"/>
        </w:rPr>
      </w:pPr>
      <w:r w:rsidRPr="00DE096C">
        <w:rPr>
          <w:bCs/>
          <w:color w:val="002060"/>
          <w:sz w:val="16"/>
          <w:szCs w:val="16"/>
        </w:rPr>
        <w:t>Завершение активной фазы Гражданской войны положило начало процес су осмысления опыта прошедших войн, роли и места войск связи в системе управления войсками, характера и направления их дальнейшего развития (11870).</w:t>
      </w:r>
    </w:p>
    <w:p w14:paraId="4CB7648D" w14:textId="77777777" w:rsidR="00B67D7C" w:rsidRPr="00DE096C" w:rsidRDefault="00B67D7C" w:rsidP="00D45A46">
      <w:pPr>
        <w:jc w:val="both"/>
        <w:rPr>
          <w:bCs/>
          <w:color w:val="002060"/>
          <w:sz w:val="16"/>
          <w:szCs w:val="16"/>
        </w:rPr>
      </w:pPr>
    </w:p>
    <w:p w14:paraId="329958F4"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Война 1914-1918 гг. вскрыла недостатки системы распределения государственного заказа. Одной из причин низкого качества работ признавалось распределение заказов на изустных торгах и смешанных конкурсах. Не имея достаточно времени на обдумывание, участники выкрикивали нереальные цены. Получив заказ, они были вынуждены выполнять его с отступлениями от требований. Торги по запечатанным объявлениям приводили к более успешным результатам.</w:t>
      </w:r>
    </w:p>
    <w:p w14:paraId="3FF6596A"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Для совершенствования процесса конкурсного отбора в России было предложено ввести английскую систему поиска возможных участников торгов. С этой целью каждое ведомство вело списки предприятий, признанных подходящими казне контрагентами по своей надежности и солидности.</w:t>
      </w:r>
    </w:p>
    <w:p w14:paraId="68D10A00" w14:textId="77777777" w:rsidR="00B67D7C" w:rsidRPr="00DE096C" w:rsidRDefault="00B67D7C" w:rsidP="00D45A46">
      <w:pPr>
        <w:pStyle w:val="a3"/>
        <w:jc w:val="both"/>
        <w:rPr>
          <w:bCs/>
          <w:i w:val="0"/>
          <w:color w:val="002060"/>
          <w:spacing w:val="0"/>
          <w:kern w:val="0"/>
          <w:position w:val="0"/>
          <w:sz w:val="16"/>
          <w:szCs w:val="16"/>
        </w:rPr>
      </w:pPr>
      <w:r w:rsidRPr="00DE096C">
        <w:rPr>
          <w:bCs/>
          <w:i w:val="0"/>
          <w:color w:val="002060"/>
          <w:spacing w:val="0"/>
          <w:kern w:val="0"/>
          <w:position w:val="0"/>
          <w:sz w:val="16"/>
          <w:szCs w:val="16"/>
        </w:rPr>
        <w:t>Анализ объявлений начала века о проведении торгов на поставку товаров и работ показывает, что в них присутствуют практически все положения торгов, используемые и сегодня (11277).</w:t>
      </w:r>
    </w:p>
    <w:p w14:paraId="3679A1AE" w14:textId="77777777" w:rsidR="00B67D7C" w:rsidRPr="00DE096C" w:rsidRDefault="00B67D7C" w:rsidP="00D45A46">
      <w:pPr>
        <w:pStyle w:val="a3"/>
        <w:jc w:val="both"/>
        <w:rPr>
          <w:bCs/>
          <w:i w:val="0"/>
          <w:color w:val="002060"/>
          <w:spacing w:val="0"/>
          <w:kern w:val="0"/>
          <w:position w:val="0"/>
          <w:sz w:val="16"/>
          <w:szCs w:val="16"/>
        </w:rPr>
      </w:pPr>
    </w:p>
    <w:p w14:paraId="733C5777" w14:textId="77777777" w:rsidR="00B67D7C" w:rsidRPr="00DE096C" w:rsidRDefault="00B67D7C" w:rsidP="00D45A46">
      <w:pPr>
        <w:jc w:val="both"/>
        <w:rPr>
          <w:bCs/>
          <w:i/>
          <w:color w:val="002060"/>
          <w:sz w:val="16"/>
          <w:szCs w:val="16"/>
        </w:rPr>
      </w:pPr>
      <w:r w:rsidRPr="00DE096C">
        <w:rPr>
          <w:bCs/>
          <w:i/>
          <w:color w:val="002060"/>
          <w:sz w:val="16"/>
          <w:szCs w:val="16"/>
        </w:rPr>
        <w:t>Авиация и воздухоплавание Германии:</w:t>
      </w:r>
    </w:p>
    <w:p w14:paraId="6CF46677" w14:textId="77777777" w:rsidR="00B67D7C" w:rsidRPr="00DE096C" w:rsidRDefault="00B67D7C" w:rsidP="00D45A46">
      <w:pPr>
        <w:jc w:val="both"/>
        <w:rPr>
          <w:bCs/>
          <w:i/>
          <w:color w:val="002060"/>
          <w:sz w:val="16"/>
          <w:szCs w:val="16"/>
        </w:rPr>
      </w:pPr>
    </w:p>
    <w:p w14:paraId="770BD558" w14:textId="77777777" w:rsidR="00B67D7C" w:rsidRPr="00DE096C" w:rsidRDefault="00B67D7C" w:rsidP="00D45A46">
      <w:pPr>
        <w:jc w:val="both"/>
        <w:rPr>
          <w:bCs/>
          <w:color w:val="002060"/>
          <w:sz w:val="16"/>
          <w:szCs w:val="16"/>
        </w:rPr>
      </w:pPr>
      <w:r w:rsidRPr="00DE096C">
        <w:rPr>
          <w:bCs/>
          <w:color w:val="002060"/>
          <w:sz w:val="16"/>
          <w:szCs w:val="16"/>
        </w:rPr>
        <w:t>В 1914-1917 в Германии постройка самолетов и моторов, как и ранее, была поручена частным заводам. Чтобы поставить снабжение фронта на возможно более широкий базис и повысить соревновательность, непрерывно привлекались все новые и новые заводы. Всего за время войны на снабжение авиавойск работали 36 авиазаводов и 21 моторостроительный завод, помимо 16-ти авиационных и 17-ти моторостроительных мастерских, занимавшихся исключительно ремонтом. Должное руководящее влияние на производство инспекция обеспечила за собой посредством назначения на каждый завод постоянных контролеров, которыми в 1916 году были заменены выездные приемные комиссии. Контролеры не только следили за регулярной и безукоризненной работой, но и служили посредниками в тех случаях, когда нужно было оставить незаменимых специалистов на заводах, достать сырье для производства или же улучшить положение рабочих. Однако, невзирая на их деятельность, недостаточная устойчивость условий труда рабочих, отсутствие возможности расширения и, наконец, недостаток сырья неблагоприятно влияли на производительность авиапромышленности. Ввиду сложности условий военного времени, заводы предпочитали постройку уже запущенных в серию самолетов и были мало склонны к новшествам. Для инспектора здесь открывалось широкое полеплодотворной деятельности (11282).</w:t>
      </w:r>
    </w:p>
    <w:p w14:paraId="1C048363" w14:textId="77777777" w:rsidR="00B67D7C" w:rsidRPr="00DE096C" w:rsidRDefault="00B67D7C" w:rsidP="00D45A46">
      <w:pPr>
        <w:jc w:val="both"/>
        <w:rPr>
          <w:bCs/>
          <w:color w:val="002060"/>
          <w:sz w:val="16"/>
          <w:szCs w:val="16"/>
        </w:rPr>
      </w:pPr>
    </w:p>
    <w:p w14:paraId="74312E86" w14:textId="77777777" w:rsidR="00B67D7C" w:rsidRPr="00DE096C" w:rsidRDefault="00B67D7C" w:rsidP="00D45A46">
      <w:pPr>
        <w:jc w:val="both"/>
        <w:rPr>
          <w:bCs/>
          <w:i/>
          <w:color w:val="002060"/>
          <w:sz w:val="16"/>
          <w:szCs w:val="16"/>
        </w:rPr>
      </w:pPr>
      <w:r w:rsidRPr="00DE096C">
        <w:rPr>
          <w:bCs/>
          <w:i/>
          <w:color w:val="002060"/>
          <w:sz w:val="16"/>
          <w:szCs w:val="16"/>
        </w:rPr>
        <w:t>Авиация и воздухоплавание Франции:</w:t>
      </w:r>
    </w:p>
    <w:p w14:paraId="1DD2C869" w14:textId="77777777" w:rsidR="00B67D7C" w:rsidRPr="00DE096C" w:rsidRDefault="00B67D7C" w:rsidP="00D45A46">
      <w:pPr>
        <w:jc w:val="both"/>
        <w:rPr>
          <w:bCs/>
          <w:i/>
          <w:color w:val="002060"/>
          <w:sz w:val="16"/>
          <w:szCs w:val="16"/>
        </w:rPr>
      </w:pPr>
    </w:p>
    <w:p w14:paraId="71AECBAA" w14:textId="4A6F28BB" w:rsidR="00B67D7C" w:rsidRPr="00DE096C" w:rsidRDefault="008B558D" w:rsidP="00D45A46">
      <w:pPr>
        <w:shd w:val="clear" w:color="auto" w:fill="FFFFFF"/>
        <w:jc w:val="both"/>
        <w:rPr>
          <w:bCs/>
          <w:color w:val="002060"/>
          <w:sz w:val="16"/>
          <w:szCs w:val="16"/>
        </w:rPr>
      </w:pPr>
      <w:r w:rsidRPr="00DE096C">
        <w:rPr>
          <w:bCs/>
          <w:color w:val="002060"/>
          <w:sz w:val="16"/>
          <w:szCs w:val="16"/>
        </w:rPr>
        <w:t xml:space="preserve">На рубеже </w:t>
      </w:r>
      <w:r w:rsidR="00B67D7C" w:rsidRPr="00DE096C">
        <w:rPr>
          <w:bCs/>
          <w:color w:val="002060"/>
          <w:sz w:val="16"/>
          <w:szCs w:val="16"/>
        </w:rPr>
        <w:t>1914-1915 гг.</w:t>
      </w:r>
      <w:r w:rsidRPr="00DE096C">
        <w:rPr>
          <w:bCs/>
          <w:color w:val="002060"/>
          <w:sz w:val="16"/>
          <w:szCs w:val="16"/>
        </w:rPr>
        <w:t xml:space="preserve"> созрело революционным решение французских военных</w:t>
      </w:r>
      <w:r w:rsidR="00B67D7C" w:rsidRPr="00DE096C">
        <w:rPr>
          <w:bCs/>
          <w:color w:val="002060"/>
          <w:sz w:val="16"/>
          <w:szCs w:val="16"/>
        </w:rPr>
        <w:t>, создавать вместо прежних многоцелевых ап</w:t>
      </w:r>
      <w:r w:rsidR="00B67D7C" w:rsidRPr="00DE096C">
        <w:rPr>
          <w:bCs/>
          <w:color w:val="002060"/>
          <w:sz w:val="16"/>
          <w:szCs w:val="16"/>
        </w:rPr>
        <w:softHyphen/>
        <w:t>паратов машины, предназначенные для конкретных целей и соответственно с этим разрабатывать их конструкцию и во</w:t>
      </w:r>
      <w:r w:rsidR="00B67D7C" w:rsidRPr="00DE096C">
        <w:rPr>
          <w:bCs/>
          <w:color w:val="002060"/>
          <w:sz w:val="16"/>
          <w:szCs w:val="16"/>
        </w:rPr>
        <w:softHyphen/>
        <w:t>оружение. Исходя из этого французы первыми стали созда</w:t>
      </w:r>
      <w:r w:rsidR="00B67D7C" w:rsidRPr="00DE096C">
        <w:rPr>
          <w:bCs/>
          <w:color w:val="002060"/>
          <w:sz w:val="16"/>
          <w:szCs w:val="16"/>
        </w:rPr>
        <w:softHyphen/>
        <w:t>вать тип аппарата, специализирующегося прежде всего на уничтожении воздушного противника — истребителя.</w:t>
      </w:r>
    </w:p>
    <w:p w14:paraId="59C83F1A" w14:textId="77777777" w:rsidR="00B67D7C" w:rsidRPr="00DE096C" w:rsidRDefault="00B67D7C" w:rsidP="00D45A46">
      <w:pPr>
        <w:shd w:val="clear" w:color="auto" w:fill="FFFFFF"/>
        <w:jc w:val="both"/>
        <w:rPr>
          <w:bCs/>
          <w:color w:val="002060"/>
          <w:sz w:val="16"/>
          <w:szCs w:val="16"/>
        </w:rPr>
      </w:pPr>
      <w:r w:rsidRPr="00DE096C">
        <w:rPr>
          <w:bCs/>
          <w:color w:val="002060"/>
          <w:sz w:val="16"/>
          <w:szCs w:val="16"/>
        </w:rPr>
        <w:t>Уже в октябре прошлого года в ВВС Антанты были оп</w:t>
      </w:r>
      <w:r w:rsidRPr="00DE096C">
        <w:rPr>
          <w:bCs/>
          <w:color w:val="002060"/>
          <w:sz w:val="16"/>
          <w:szCs w:val="16"/>
        </w:rPr>
        <w:softHyphen/>
        <w:t>робованы различные системы установки пулемета. Пона</w:t>
      </w:r>
      <w:r w:rsidRPr="00DE096C">
        <w:rPr>
          <w:bCs/>
          <w:color w:val="002060"/>
          <w:sz w:val="16"/>
          <w:szCs w:val="16"/>
        </w:rPr>
        <w:softHyphen/>
        <w:t>чалу в чрезвычайно выигрышном положении оказались аппараты с толкающим винтом, позволявшие устанавли</w:t>
      </w:r>
      <w:r w:rsidRPr="00DE096C">
        <w:rPr>
          <w:bCs/>
          <w:color w:val="002060"/>
          <w:sz w:val="16"/>
          <w:szCs w:val="16"/>
        </w:rPr>
        <w:softHyphen/>
        <w:t>вать пулемет на носу аэроплана. Именно с такой машины и был сбит первый германский самолет в октябре 1914г. Од</w:t>
      </w:r>
      <w:r w:rsidRPr="00DE096C">
        <w:rPr>
          <w:bCs/>
          <w:color w:val="002060"/>
          <w:sz w:val="16"/>
          <w:szCs w:val="16"/>
        </w:rPr>
        <w:softHyphen/>
        <w:t>нако эти машины оказались совершенно незащищенными с хвостовой части. Кроме того, находящийся в передней кабине летнаб почти неизбежно погибал при достаточно часто случавшемся капотировании (11060).</w:t>
      </w:r>
    </w:p>
    <w:p w14:paraId="7229BC82" w14:textId="77777777" w:rsidR="00B67D7C" w:rsidRPr="00DE096C" w:rsidRDefault="00B67D7C" w:rsidP="00D45A46">
      <w:pPr>
        <w:shd w:val="clear" w:color="auto" w:fill="FFFFFF"/>
        <w:jc w:val="both"/>
        <w:rPr>
          <w:bCs/>
          <w:color w:val="002060"/>
          <w:sz w:val="16"/>
          <w:szCs w:val="16"/>
        </w:rPr>
      </w:pPr>
    </w:p>
    <w:p w14:paraId="4631AEED" w14:textId="77777777" w:rsidR="00D71C34" w:rsidRPr="00DE096C" w:rsidRDefault="00D71C34" w:rsidP="00D45A46">
      <w:pPr>
        <w:jc w:val="both"/>
        <w:rPr>
          <w:bCs/>
          <w:color w:val="002060"/>
          <w:sz w:val="16"/>
          <w:szCs w:val="16"/>
        </w:rPr>
      </w:pPr>
    </w:p>
    <w:sectPr w:rsidR="00D71C34" w:rsidRPr="00DE096C" w:rsidSect="00032514">
      <w:pgSz w:w="11906" w:h="16838"/>
      <w:pgMar w:top="567" w:right="284" w:bottom="567" w:left="28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Century Gothic">
    <w:panose1 w:val="020B0502020202020204"/>
    <w:charset w:val="CC"/>
    <w:family w:val="swiss"/>
    <w:pitch w:val="variable"/>
    <w:sig w:usb0="00000287" w:usb1="00000000" w:usb2="00000000" w:usb3="00000000" w:csb0="0000009F" w:csb1="00000000"/>
  </w:font>
  <w:font w:name="Lucida Sans Unicode">
    <w:panose1 w:val="020B0602030504020204"/>
    <w:charset w:val="CC"/>
    <w:family w:val="swiss"/>
    <w:pitch w:val="variable"/>
    <w:sig w:usb0="80000AFF" w:usb1="0000396B" w:usb2="00000000" w:usb3="00000000" w:csb0="000000B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CC"/>
    <w:family w:val="swiss"/>
    <w:pitch w:val="variable"/>
    <w:sig w:usb0="00000287" w:usb1="00000800" w:usb2="00000000" w:usb3="00000000" w:csb0="0000009F" w:csb1="00000000"/>
  </w:font>
  <w:font w:name="Tahoma">
    <w:panose1 w:val="020B0604030504040204"/>
    <w:charset w:val="CC"/>
    <w:family w:val="swiss"/>
    <w:pitch w:val="variable"/>
    <w:sig w:usb0="E1002EFF" w:usb1="C000605B" w:usb2="00000029" w:usb3="00000000" w:csb0="000101FF" w:csb1="00000000"/>
  </w:font>
  <w:font w:name="Franklin Gothic Book">
    <w:panose1 w:val="020B05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Trebuchet MS">
    <w:panose1 w:val="020B0603020202020204"/>
    <w:charset w:val="CC"/>
    <w:family w:val="swiss"/>
    <w:pitch w:val="variable"/>
    <w:sig w:usb0="00000687" w:usb1="00000000" w:usb2="00000000" w:usb3="00000000" w:csb0="0000009F" w:csb1="00000000"/>
  </w:font>
  <w:font w:name="Times-Roman">
    <w:altName w:val="MS Mincho"/>
    <w:panose1 w:val="00000000000000000000"/>
    <w:charset w:val="80"/>
    <w:family w:val="roman"/>
    <w:notTrueType/>
    <w:pitch w:val="default"/>
    <w:sig w:usb0="00000000" w:usb1="08070000" w:usb2="00000010" w:usb3="00000000" w:csb0="00020000" w:csb1="00000000"/>
  </w:font>
  <w:font w:name="TimesNewRoman">
    <w:altName w:val="MS Mincho"/>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000" w:usb1="08070000" w:usb2="00000010" w:usb3="00000000" w:csb0="00020001"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FA7258F"/>
    <w:multiLevelType w:val="multilevel"/>
    <w:tmpl w:val="54C0C2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42D46F85"/>
    <w:multiLevelType w:val="hybridMultilevel"/>
    <w:tmpl w:val="C31231D2"/>
    <w:lvl w:ilvl="0" w:tplc="5F607F00">
      <w:start w:val="1"/>
      <w:numFmt w:val="decimal"/>
      <w:lvlText w:val="%1."/>
      <w:lvlJc w:val="left"/>
      <w:pPr>
        <w:tabs>
          <w:tab w:val="num" w:pos="1320"/>
        </w:tabs>
        <w:ind w:left="1320" w:hanging="780"/>
      </w:pPr>
      <w:rPr>
        <w:rFonts w:cs="Times New Roman"/>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num w:numId="1" w16cid:durableId="59880325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9827784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0"/>
  <w:hideSpellingErrors/>
  <w:defaultTabStop w:val="708"/>
  <w:drawingGridHorizontalSpacing w:val="100"/>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57DF"/>
    <w:rsid w:val="00000AB4"/>
    <w:rsid w:val="00004F55"/>
    <w:rsid w:val="00011C74"/>
    <w:rsid w:val="00011CC7"/>
    <w:rsid w:val="00011DC2"/>
    <w:rsid w:val="00012B57"/>
    <w:rsid w:val="00014A41"/>
    <w:rsid w:val="00015396"/>
    <w:rsid w:val="000159AF"/>
    <w:rsid w:val="00025019"/>
    <w:rsid w:val="00027173"/>
    <w:rsid w:val="00032514"/>
    <w:rsid w:val="00033BD8"/>
    <w:rsid w:val="00033CC4"/>
    <w:rsid w:val="000343AB"/>
    <w:rsid w:val="00035626"/>
    <w:rsid w:val="00036953"/>
    <w:rsid w:val="00036E63"/>
    <w:rsid w:val="0004177D"/>
    <w:rsid w:val="00042E9E"/>
    <w:rsid w:val="000446ED"/>
    <w:rsid w:val="000458DE"/>
    <w:rsid w:val="00046EB1"/>
    <w:rsid w:val="00047175"/>
    <w:rsid w:val="000502D1"/>
    <w:rsid w:val="00054B99"/>
    <w:rsid w:val="0005651E"/>
    <w:rsid w:val="000611A9"/>
    <w:rsid w:val="00061A49"/>
    <w:rsid w:val="00062977"/>
    <w:rsid w:val="0006581C"/>
    <w:rsid w:val="00073939"/>
    <w:rsid w:val="00074460"/>
    <w:rsid w:val="000843FB"/>
    <w:rsid w:val="00084470"/>
    <w:rsid w:val="000923AE"/>
    <w:rsid w:val="00093991"/>
    <w:rsid w:val="00097BDE"/>
    <w:rsid w:val="00097C1E"/>
    <w:rsid w:val="000A25A6"/>
    <w:rsid w:val="000A6A9B"/>
    <w:rsid w:val="000B3344"/>
    <w:rsid w:val="000B43C4"/>
    <w:rsid w:val="000B7998"/>
    <w:rsid w:val="000B7C49"/>
    <w:rsid w:val="000C1218"/>
    <w:rsid w:val="000C1736"/>
    <w:rsid w:val="000C453C"/>
    <w:rsid w:val="000C5FAC"/>
    <w:rsid w:val="000D2147"/>
    <w:rsid w:val="000D651E"/>
    <w:rsid w:val="000E4046"/>
    <w:rsid w:val="000F0B5E"/>
    <w:rsid w:val="000F1AB4"/>
    <w:rsid w:val="000F3570"/>
    <w:rsid w:val="000F3915"/>
    <w:rsid w:val="000F5F6C"/>
    <w:rsid w:val="000F61E9"/>
    <w:rsid w:val="000F6B76"/>
    <w:rsid w:val="00101132"/>
    <w:rsid w:val="00102E02"/>
    <w:rsid w:val="00105BD1"/>
    <w:rsid w:val="0010634F"/>
    <w:rsid w:val="00115091"/>
    <w:rsid w:val="00115BEB"/>
    <w:rsid w:val="0012494E"/>
    <w:rsid w:val="00125D75"/>
    <w:rsid w:val="00126FA1"/>
    <w:rsid w:val="00130210"/>
    <w:rsid w:val="0013152A"/>
    <w:rsid w:val="00133C16"/>
    <w:rsid w:val="0013523B"/>
    <w:rsid w:val="00135761"/>
    <w:rsid w:val="00136371"/>
    <w:rsid w:val="0014163C"/>
    <w:rsid w:val="001438FE"/>
    <w:rsid w:val="00152EA5"/>
    <w:rsid w:val="001559D1"/>
    <w:rsid w:val="001711C8"/>
    <w:rsid w:val="00180600"/>
    <w:rsid w:val="00186C34"/>
    <w:rsid w:val="00187E28"/>
    <w:rsid w:val="00190D1D"/>
    <w:rsid w:val="001920FA"/>
    <w:rsid w:val="001A2F30"/>
    <w:rsid w:val="001A4040"/>
    <w:rsid w:val="001A5F85"/>
    <w:rsid w:val="001B3C0D"/>
    <w:rsid w:val="001B4A25"/>
    <w:rsid w:val="001B5FAE"/>
    <w:rsid w:val="001B7CBD"/>
    <w:rsid w:val="001C0601"/>
    <w:rsid w:val="001C1E17"/>
    <w:rsid w:val="001C2826"/>
    <w:rsid w:val="001C4606"/>
    <w:rsid w:val="001C631D"/>
    <w:rsid w:val="001C6C6A"/>
    <w:rsid w:val="001C7B60"/>
    <w:rsid w:val="001D088F"/>
    <w:rsid w:val="001D2193"/>
    <w:rsid w:val="001D369B"/>
    <w:rsid w:val="001D689A"/>
    <w:rsid w:val="001E0CA1"/>
    <w:rsid w:val="001E3843"/>
    <w:rsid w:val="001E6F2E"/>
    <w:rsid w:val="001E7CD8"/>
    <w:rsid w:val="001F09FC"/>
    <w:rsid w:val="001F1476"/>
    <w:rsid w:val="001F4D16"/>
    <w:rsid w:val="001F7457"/>
    <w:rsid w:val="001F75FA"/>
    <w:rsid w:val="00203CD2"/>
    <w:rsid w:val="002060BB"/>
    <w:rsid w:val="00207609"/>
    <w:rsid w:val="002079B1"/>
    <w:rsid w:val="00207D1C"/>
    <w:rsid w:val="00211AC7"/>
    <w:rsid w:val="00213AC2"/>
    <w:rsid w:val="00214B12"/>
    <w:rsid w:val="0021532A"/>
    <w:rsid w:val="002164F7"/>
    <w:rsid w:val="00217D4E"/>
    <w:rsid w:val="002213BE"/>
    <w:rsid w:val="00221CF3"/>
    <w:rsid w:val="00234D24"/>
    <w:rsid w:val="002358A3"/>
    <w:rsid w:val="002379FC"/>
    <w:rsid w:val="002424BF"/>
    <w:rsid w:val="00242864"/>
    <w:rsid w:val="002445DF"/>
    <w:rsid w:val="0024481F"/>
    <w:rsid w:val="002476B6"/>
    <w:rsid w:val="00256718"/>
    <w:rsid w:val="002578C3"/>
    <w:rsid w:val="00263E55"/>
    <w:rsid w:val="00264C1D"/>
    <w:rsid w:val="00266DDA"/>
    <w:rsid w:val="0026718D"/>
    <w:rsid w:val="002728D3"/>
    <w:rsid w:val="00277C70"/>
    <w:rsid w:val="002812DC"/>
    <w:rsid w:val="002848A1"/>
    <w:rsid w:val="0028777E"/>
    <w:rsid w:val="002922CF"/>
    <w:rsid w:val="0029275C"/>
    <w:rsid w:val="002A06B1"/>
    <w:rsid w:val="002A7EAE"/>
    <w:rsid w:val="002B22B5"/>
    <w:rsid w:val="002B27D3"/>
    <w:rsid w:val="002B5CC5"/>
    <w:rsid w:val="002C3310"/>
    <w:rsid w:val="002C4B07"/>
    <w:rsid w:val="002D0E4D"/>
    <w:rsid w:val="002D2DA4"/>
    <w:rsid w:val="002D3925"/>
    <w:rsid w:val="002D4795"/>
    <w:rsid w:val="002E1FBB"/>
    <w:rsid w:val="002E4933"/>
    <w:rsid w:val="002E7CBF"/>
    <w:rsid w:val="002F0233"/>
    <w:rsid w:val="002F1585"/>
    <w:rsid w:val="002F17CD"/>
    <w:rsid w:val="002F447D"/>
    <w:rsid w:val="002F474A"/>
    <w:rsid w:val="002F5B61"/>
    <w:rsid w:val="002F762C"/>
    <w:rsid w:val="003031CD"/>
    <w:rsid w:val="00305F97"/>
    <w:rsid w:val="00307FC0"/>
    <w:rsid w:val="00311F0F"/>
    <w:rsid w:val="00313B39"/>
    <w:rsid w:val="003149B3"/>
    <w:rsid w:val="003158C0"/>
    <w:rsid w:val="003166F2"/>
    <w:rsid w:val="003174ED"/>
    <w:rsid w:val="0031773D"/>
    <w:rsid w:val="003217C1"/>
    <w:rsid w:val="00325650"/>
    <w:rsid w:val="0032577C"/>
    <w:rsid w:val="00325BE1"/>
    <w:rsid w:val="0032740E"/>
    <w:rsid w:val="0033033A"/>
    <w:rsid w:val="00331FFE"/>
    <w:rsid w:val="00333FA0"/>
    <w:rsid w:val="00335BFD"/>
    <w:rsid w:val="00341858"/>
    <w:rsid w:val="00344A8B"/>
    <w:rsid w:val="00344C8D"/>
    <w:rsid w:val="00344FA5"/>
    <w:rsid w:val="00345651"/>
    <w:rsid w:val="00345E13"/>
    <w:rsid w:val="0035066C"/>
    <w:rsid w:val="00351E07"/>
    <w:rsid w:val="00353FD9"/>
    <w:rsid w:val="00354A55"/>
    <w:rsid w:val="003574D5"/>
    <w:rsid w:val="00360987"/>
    <w:rsid w:val="00360F80"/>
    <w:rsid w:val="0036357B"/>
    <w:rsid w:val="0037140A"/>
    <w:rsid w:val="00381A81"/>
    <w:rsid w:val="00382732"/>
    <w:rsid w:val="003844F9"/>
    <w:rsid w:val="003871C8"/>
    <w:rsid w:val="00387780"/>
    <w:rsid w:val="0039093F"/>
    <w:rsid w:val="00392F0D"/>
    <w:rsid w:val="00394D85"/>
    <w:rsid w:val="00394E74"/>
    <w:rsid w:val="00396125"/>
    <w:rsid w:val="0039627F"/>
    <w:rsid w:val="0039630F"/>
    <w:rsid w:val="0039784D"/>
    <w:rsid w:val="00397AB2"/>
    <w:rsid w:val="003A10FB"/>
    <w:rsid w:val="003A1207"/>
    <w:rsid w:val="003A4008"/>
    <w:rsid w:val="003A7535"/>
    <w:rsid w:val="003B2F98"/>
    <w:rsid w:val="003B399A"/>
    <w:rsid w:val="003C77F9"/>
    <w:rsid w:val="003C7FA6"/>
    <w:rsid w:val="003D172F"/>
    <w:rsid w:val="003D5A34"/>
    <w:rsid w:val="003D7C31"/>
    <w:rsid w:val="003E040B"/>
    <w:rsid w:val="003E3319"/>
    <w:rsid w:val="003E6ED1"/>
    <w:rsid w:val="003F0CDD"/>
    <w:rsid w:val="003F4041"/>
    <w:rsid w:val="003F431E"/>
    <w:rsid w:val="003F4EDF"/>
    <w:rsid w:val="003F7087"/>
    <w:rsid w:val="00403316"/>
    <w:rsid w:val="0040366D"/>
    <w:rsid w:val="0040655A"/>
    <w:rsid w:val="004073F3"/>
    <w:rsid w:val="004105F0"/>
    <w:rsid w:val="00413BB1"/>
    <w:rsid w:val="00422413"/>
    <w:rsid w:val="00424ECC"/>
    <w:rsid w:val="00431367"/>
    <w:rsid w:val="004322C4"/>
    <w:rsid w:val="004402F3"/>
    <w:rsid w:val="004405DB"/>
    <w:rsid w:val="00440C55"/>
    <w:rsid w:val="00442BC1"/>
    <w:rsid w:val="00443642"/>
    <w:rsid w:val="00446107"/>
    <w:rsid w:val="00447E42"/>
    <w:rsid w:val="00460ABD"/>
    <w:rsid w:val="004616DD"/>
    <w:rsid w:val="00463704"/>
    <w:rsid w:val="00463DD2"/>
    <w:rsid w:val="00466BFF"/>
    <w:rsid w:val="00470460"/>
    <w:rsid w:val="004718BC"/>
    <w:rsid w:val="00473AB9"/>
    <w:rsid w:val="00477188"/>
    <w:rsid w:val="00480877"/>
    <w:rsid w:val="004809C0"/>
    <w:rsid w:val="00486B3D"/>
    <w:rsid w:val="004918D4"/>
    <w:rsid w:val="00494D73"/>
    <w:rsid w:val="0049776B"/>
    <w:rsid w:val="004A06BE"/>
    <w:rsid w:val="004A07A6"/>
    <w:rsid w:val="004A22EB"/>
    <w:rsid w:val="004A2CF4"/>
    <w:rsid w:val="004B099E"/>
    <w:rsid w:val="004B19E5"/>
    <w:rsid w:val="004B2114"/>
    <w:rsid w:val="004B684D"/>
    <w:rsid w:val="004B7690"/>
    <w:rsid w:val="004B7D51"/>
    <w:rsid w:val="004C13D3"/>
    <w:rsid w:val="004C2152"/>
    <w:rsid w:val="004C5BD8"/>
    <w:rsid w:val="004D1A49"/>
    <w:rsid w:val="004D62EB"/>
    <w:rsid w:val="004D654A"/>
    <w:rsid w:val="004E027A"/>
    <w:rsid w:val="004E11D8"/>
    <w:rsid w:val="004E2FF9"/>
    <w:rsid w:val="004E4645"/>
    <w:rsid w:val="004E5920"/>
    <w:rsid w:val="004E7A9E"/>
    <w:rsid w:val="004F1362"/>
    <w:rsid w:val="004F33B7"/>
    <w:rsid w:val="004F3ABB"/>
    <w:rsid w:val="004F636C"/>
    <w:rsid w:val="00500627"/>
    <w:rsid w:val="0050209B"/>
    <w:rsid w:val="00507EFA"/>
    <w:rsid w:val="005109EE"/>
    <w:rsid w:val="00510ED1"/>
    <w:rsid w:val="0051270C"/>
    <w:rsid w:val="00514246"/>
    <w:rsid w:val="00521469"/>
    <w:rsid w:val="00523A16"/>
    <w:rsid w:val="0052785E"/>
    <w:rsid w:val="00530145"/>
    <w:rsid w:val="005357DF"/>
    <w:rsid w:val="00537158"/>
    <w:rsid w:val="00537264"/>
    <w:rsid w:val="00537EDD"/>
    <w:rsid w:val="00541F55"/>
    <w:rsid w:val="005428AB"/>
    <w:rsid w:val="00545614"/>
    <w:rsid w:val="00551167"/>
    <w:rsid w:val="00552299"/>
    <w:rsid w:val="00552829"/>
    <w:rsid w:val="0056062A"/>
    <w:rsid w:val="00562E95"/>
    <w:rsid w:val="00564DB5"/>
    <w:rsid w:val="00564EB1"/>
    <w:rsid w:val="00575BAA"/>
    <w:rsid w:val="00581759"/>
    <w:rsid w:val="00582427"/>
    <w:rsid w:val="00583AC0"/>
    <w:rsid w:val="00583D75"/>
    <w:rsid w:val="00585137"/>
    <w:rsid w:val="00587176"/>
    <w:rsid w:val="00587582"/>
    <w:rsid w:val="005912A3"/>
    <w:rsid w:val="00591CF1"/>
    <w:rsid w:val="00594FAB"/>
    <w:rsid w:val="00595E5E"/>
    <w:rsid w:val="005A6700"/>
    <w:rsid w:val="005A69E5"/>
    <w:rsid w:val="005B041C"/>
    <w:rsid w:val="005C182A"/>
    <w:rsid w:val="005C204F"/>
    <w:rsid w:val="005C3561"/>
    <w:rsid w:val="005C44E7"/>
    <w:rsid w:val="005D05AB"/>
    <w:rsid w:val="005D5F9D"/>
    <w:rsid w:val="005D67F4"/>
    <w:rsid w:val="005E0F59"/>
    <w:rsid w:val="005E1289"/>
    <w:rsid w:val="005E1B05"/>
    <w:rsid w:val="005E3A34"/>
    <w:rsid w:val="005F23E2"/>
    <w:rsid w:val="005F240D"/>
    <w:rsid w:val="005F421D"/>
    <w:rsid w:val="00602169"/>
    <w:rsid w:val="006040A3"/>
    <w:rsid w:val="00605160"/>
    <w:rsid w:val="0060518D"/>
    <w:rsid w:val="00607F21"/>
    <w:rsid w:val="006158E9"/>
    <w:rsid w:val="00616069"/>
    <w:rsid w:val="00620FBC"/>
    <w:rsid w:val="00622C1F"/>
    <w:rsid w:val="00625CB6"/>
    <w:rsid w:val="00627D71"/>
    <w:rsid w:val="00631ADA"/>
    <w:rsid w:val="00632890"/>
    <w:rsid w:val="00633B43"/>
    <w:rsid w:val="00633CA8"/>
    <w:rsid w:val="00635CE4"/>
    <w:rsid w:val="0063768F"/>
    <w:rsid w:val="006477E8"/>
    <w:rsid w:val="00650BE3"/>
    <w:rsid w:val="006510D6"/>
    <w:rsid w:val="00651FAA"/>
    <w:rsid w:val="00652E60"/>
    <w:rsid w:val="00654F31"/>
    <w:rsid w:val="00655397"/>
    <w:rsid w:val="00657811"/>
    <w:rsid w:val="00663875"/>
    <w:rsid w:val="00665CB6"/>
    <w:rsid w:val="00665D56"/>
    <w:rsid w:val="006661AB"/>
    <w:rsid w:val="0067227D"/>
    <w:rsid w:val="0067254E"/>
    <w:rsid w:val="00674AF1"/>
    <w:rsid w:val="00676038"/>
    <w:rsid w:val="00682C32"/>
    <w:rsid w:val="00684CAC"/>
    <w:rsid w:val="00685757"/>
    <w:rsid w:val="00687E06"/>
    <w:rsid w:val="00692002"/>
    <w:rsid w:val="00695876"/>
    <w:rsid w:val="00697A62"/>
    <w:rsid w:val="006A0592"/>
    <w:rsid w:val="006A08EE"/>
    <w:rsid w:val="006B1820"/>
    <w:rsid w:val="006B2482"/>
    <w:rsid w:val="006B5BAB"/>
    <w:rsid w:val="006B72FA"/>
    <w:rsid w:val="006C0078"/>
    <w:rsid w:val="006C0839"/>
    <w:rsid w:val="006C3E3F"/>
    <w:rsid w:val="006C4766"/>
    <w:rsid w:val="006C4AC3"/>
    <w:rsid w:val="006D06B5"/>
    <w:rsid w:val="006D2A5D"/>
    <w:rsid w:val="006D34A5"/>
    <w:rsid w:val="006D6352"/>
    <w:rsid w:val="006D7365"/>
    <w:rsid w:val="006D7D71"/>
    <w:rsid w:val="006D7DFE"/>
    <w:rsid w:val="006E1144"/>
    <w:rsid w:val="006E251A"/>
    <w:rsid w:val="006E4D00"/>
    <w:rsid w:val="006F1965"/>
    <w:rsid w:val="006F1FDC"/>
    <w:rsid w:val="006F4AB8"/>
    <w:rsid w:val="006F6A44"/>
    <w:rsid w:val="006F6C6F"/>
    <w:rsid w:val="0070234C"/>
    <w:rsid w:val="00710A14"/>
    <w:rsid w:val="0071144B"/>
    <w:rsid w:val="007128E9"/>
    <w:rsid w:val="0071305F"/>
    <w:rsid w:val="00713DF7"/>
    <w:rsid w:val="00720DCF"/>
    <w:rsid w:val="00721B8F"/>
    <w:rsid w:val="0072340D"/>
    <w:rsid w:val="00727D11"/>
    <w:rsid w:val="007305C5"/>
    <w:rsid w:val="007320C8"/>
    <w:rsid w:val="00736E34"/>
    <w:rsid w:val="007378DE"/>
    <w:rsid w:val="00740194"/>
    <w:rsid w:val="00740D27"/>
    <w:rsid w:val="00741CCD"/>
    <w:rsid w:val="00742A1A"/>
    <w:rsid w:val="007503DE"/>
    <w:rsid w:val="0075385C"/>
    <w:rsid w:val="00754B05"/>
    <w:rsid w:val="00757524"/>
    <w:rsid w:val="00757D08"/>
    <w:rsid w:val="00766E12"/>
    <w:rsid w:val="0077008C"/>
    <w:rsid w:val="00770198"/>
    <w:rsid w:val="007716A7"/>
    <w:rsid w:val="00771FF4"/>
    <w:rsid w:val="007770E2"/>
    <w:rsid w:val="00777B2F"/>
    <w:rsid w:val="0078063F"/>
    <w:rsid w:val="00782C43"/>
    <w:rsid w:val="007871CA"/>
    <w:rsid w:val="007925B0"/>
    <w:rsid w:val="00793FAC"/>
    <w:rsid w:val="0079538F"/>
    <w:rsid w:val="00797E00"/>
    <w:rsid w:val="007A0148"/>
    <w:rsid w:val="007A18DE"/>
    <w:rsid w:val="007A3B57"/>
    <w:rsid w:val="007B0CF3"/>
    <w:rsid w:val="007B125D"/>
    <w:rsid w:val="007B1C45"/>
    <w:rsid w:val="007B3688"/>
    <w:rsid w:val="007B5A77"/>
    <w:rsid w:val="007B6235"/>
    <w:rsid w:val="007C2614"/>
    <w:rsid w:val="007C4D43"/>
    <w:rsid w:val="007C69F3"/>
    <w:rsid w:val="007D029B"/>
    <w:rsid w:val="007D4BF7"/>
    <w:rsid w:val="007D7D86"/>
    <w:rsid w:val="007E17C7"/>
    <w:rsid w:val="007E2668"/>
    <w:rsid w:val="007E2CA5"/>
    <w:rsid w:val="007E3518"/>
    <w:rsid w:val="007E41FC"/>
    <w:rsid w:val="007E5829"/>
    <w:rsid w:val="007F41A5"/>
    <w:rsid w:val="008028E1"/>
    <w:rsid w:val="0080669F"/>
    <w:rsid w:val="008102F8"/>
    <w:rsid w:val="00811FF4"/>
    <w:rsid w:val="0082335E"/>
    <w:rsid w:val="0082673A"/>
    <w:rsid w:val="008323E7"/>
    <w:rsid w:val="00834BC4"/>
    <w:rsid w:val="008405E8"/>
    <w:rsid w:val="00847427"/>
    <w:rsid w:val="008515A8"/>
    <w:rsid w:val="008518B8"/>
    <w:rsid w:val="00852C9E"/>
    <w:rsid w:val="00854682"/>
    <w:rsid w:val="00854B00"/>
    <w:rsid w:val="008560E4"/>
    <w:rsid w:val="00857960"/>
    <w:rsid w:val="00857CB4"/>
    <w:rsid w:val="00861807"/>
    <w:rsid w:val="00861820"/>
    <w:rsid w:val="00864696"/>
    <w:rsid w:val="00865110"/>
    <w:rsid w:val="008665AF"/>
    <w:rsid w:val="00866BA3"/>
    <w:rsid w:val="00867AA6"/>
    <w:rsid w:val="00870037"/>
    <w:rsid w:val="00875887"/>
    <w:rsid w:val="0088213F"/>
    <w:rsid w:val="00883B40"/>
    <w:rsid w:val="00883E05"/>
    <w:rsid w:val="00884A88"/>
    <w:rsid w:val="0088568E"/>
    <w:rsid w:val="00887299"/>
    <w:rsid w:val="008931D2"/>
    <w:rsid w:val="00895D15"/>
    <w:rsid w:val="008B0338"/>
    <w:rsid w:val="008B18C8"/>
    <w:rsid w:val="008B267B"/>
    <w:rsid w:val="008B558D"/>
    <w:rsid w:val="008B55AB"/>
    <w:rsid w:val="008B68D7"/>
    <w:rsid w:val="008B7B07"/>
    <w:rsid w:val="008C02D6"/>
    <w:rsid w:val="008C0E7A"/>
    <w:rsid w:val="008C1D13"/>
    <w:rsid w:val="008C30DF"/>
    <w:rsid w:val="008D10C1"/>
    <w:rsid w:val="008D11FF"/>
    <w:rsid w:val="008D412F"/>
    <w:rsid w:val="008E0C02"/>
    <w:rsid w:val="008E194C"/>
    <w:rsid w:val="008E1EED"/>
    <w:rsid w:val="008E65F9"/>
    <w:rsid w:val="008E6C8D"/>
    <w:rsid w:val="008E7FA3"/>
    <w:rsid w:val="008F2FFE"/>
    <w:rsid w:val="008F77BC"/>
    <w:rsid w:val="008F7D8F"/>
    <w:rsid w:val="009038B0"/>
    <w:rsid w:val="00904C62"/>
    <w:rsid w:val="0090548F"/>
    <w:rsid w:val="009121A9"/>
    <w:rsid w:val="0091409A"/>
    <w:rsid w:val="00914B52"/>
    <w:rsid w:val="009157E4"/>
    <w:rsid w:val="0091756B"/>
    <w:rsid w:val="00917FE7"/>
    <w:rsid w:val="0092558D"/>
    <w:rsid w:val="00926D3E"/>
    <w:rsid w:val="00931B59"/>
    <w:rsid w:val="00935FE3"/>
    <w:rsid w:val="00942135"/>
    <w:rsid w:val="009536C8"/>
    <w:rsid w:val="0095449C"/>
    <w:rsid w:val="00954AD8"/>
    <w:rsid w:val="00954FE2"/>
    <w:rsid w:val="00955729"/>
    <w:rsid w:val="00955AA4"/>
    <w:rsid w:val="009606F7"/>
    <w:rsid w:val="00961E44"/>
    <w:rsid w:val="00970901"/>
    <w:rsid w:val="00970BF5"/>
    <w:rsid w:val="00970D37"/>
    <w:rsid w:val="009716B6"/>
    <w:rsid w:val="009718A3"/>
    <w:rsid w:val="0097361F"/>
    <w:rsid w:val="00973711"/>
    <w:rsid w:val="00974330"/>
    <w:rsid w:val="009873F3"/>
    <w:rsid w:val="00991581"/>
    <w:rsid w:val="009933CF"/>
    <w:rsid w:val="00993957"/>
    <w:rsid w:val="009963AC"/>
    <w:rsid w:val="0099721D"/>
    <w:rsid w:val="009A2FCA"/>
    <w:rsid w:val="009A7EB7"/>
    <w:rsid w:val="009B1447"/>
    <w:rsid w:val="009B20F0"/>
    <w:rsid w:val="009B46D9"/>
    <w:rsid w:val="009B7851"/>
    <w:rsid w:val="009C16F9"/>
    <w:rsid w:val="009C6B3E"/>
    <w:rsid w:val="009D2302"/>
    <w:rsid w:val="009D290C"/>
    <w:rsid w:val="009D3CAD"/>
    <w:rsid w:val="009E1084"/>
    <w:rsid w:val="009E1A9B"/>
    <w:rsid w:val="009E1FD2"/>
    <w:rsid w:val="009E2EDE"/>
    <w:rsid w:val="009E4DEF"/>
    <w:rsid w:val="009E71D9"/>
    <w:rsid w:val="009E7F89"/>
    <w:rsid w:val="009F1E09"/>
    <w:rsid w:val="009F28AE"/>
    <w:rsid w:val="009F4438"/>
    <w:rsid w:val="00A01518"/>
    <w:rsid w:val="00A13D78"/>
    <w:rsid w:val="00A214D0"/>
    <w:rsid w:val="00A22F28"/>
    <w:rsid w:val="00A22FBF"/>
    <w:rsid w:val="00A2491B"/>
    <w:rsid w:val="00A24E21"/>
    <w:rsid w:val="00A32DB5"/>
    <w:rsid w:val="00A408B9"/>
    <w:rsid w:val="00A40C34"/>
    <w:rsid w:val="00A427F0"/>
    <w:rsid w:val="00A439B5"/>
    <w:rsid w:val="00A4521B"/>
    <w:rsid w:val="00A54B59"/>
    <w:rsid w:val="00A63368"/>
    <w:rsid w:val="00A64F3E"/>
    <w:rsid w:val="00A66478"/>
    <w:rsid w:val="00A67A49"/>
    <w:rsid w:val="00A700B0"/>
    <w:rsid w:val="00A71855"/>
    <w:rsid w:val="00A719EB"/>
    <w:rsid w:val="00A72DC4"/>
    <w:rsid w:val="00A7574E"/>
    <w:rsid w:val="00A75AF0"/>
    <w:rsid w:val="00A8507B"/>
    <w:rsid w:val="00A860D6"/>
    <w:rsid w:val="00A96210"/>
    <w:rsid w:val="00AA0170"/>
    <w:rsid w:val="00AA15B9"/>
    <w:rsid w:val="00AA6E39"/>
    <w:rsid w:val="00AB27A6"/>
    <w:rsid w:val="00AC1A56"/>
    <w:rsid w:val="00AC39E6"/>
    <w:rsid w:val="00AC4E16"/>
    <w:rsid w:val="00AD0CCB"/>
    <w:rsid w:val="00AD22A8"/>
    <w:rsid w:val="00AD294D"/>
    <w:rsid w:val="00AD33C6"/>
    <w:rsid w:val="00AD72F6"/>
    <w:rsid w:val="00AE19EB"/>
    <w:rsid w:val="00AE34DF"/>
    <w:rsid w:val="00AE694E"/>
    <w:rsid w:val="00AE79D6"/>
    <w:rsid w:val="00AF0EB4"/>
    <w:rsid w:val="00AF50E4"/>
    <w:rsid w:val="00AF67E6"/>
    <w:rsid w:val="00B017D1"/>
    <w:rsid w:val="00B033D7"/>
    <w:rsid w:val="00B041BF"/>
    <w:rsid w:val="00B0661F"/>
    <w:rsid w:val="00B1205B"/>
    <w:rsid w:val="00B14ED4"/>
    <w:rsid w:val="00B1687F"/>
    <w:rsid w:val="00B25BAD"/>
    <w:rsid w:val="00B2754E"/>
    <w:rsid w:val="00B31A72"/>
    <w:rsid w:val="00B337DD"/>
    <w:rsid w:val="00B344BB"/>
    <w:rsid w:val="00B366E5"/>
    <w:rsid w:val="00B37FAC"/>
    <w:rsid w:val="00B408F8"/>
    <w:rsid w:val="00B4137F"/>
    <w:rsid w:val="00B427C8"/>
    <w:rsid w:val="00B44A32"/>
    <w:rsid w:val="00B54189"/>
    <w:rsid w:val="00B5582D"/>
    <w:rsid w:val="00B562D3"/>
    <w:rsid w:val="00B62654"/>
    <w:rsid w:val="00B66E26"/>
    <w:rsid w:val="00B67856"/>
    <w:rsid w:val="00B67D7C"/>
    <w:rsid w:val="00B707E2"/>
    <w:rsid w:val="00B72394"/>
    <w:rsid w:val="00B75E18"/>
    <w:rsid w:val="00B83E23"/>
    <w:rsid w:val="00B86EDA"/>
    <w:rsid w:val="00B9201B"/>
    <w:rsid w:val="00B92FA5"/>
    <w:rsid w:val="00B93380"/>
    <w:rsid w:val="00B958ED"/>
    <w:rsid w:val="00BA24E5"/>
    <w:rsid w:val="00BB7964"/>
    <w:rsid w:val="00BC0E9B"/>
    <w:rsid w:val="00BC1858"/>
    <w:rsid w:val="00BC2920"/>
    <w:rsid w:val="00BC5BC8"/>
    <w:rsid w:val="00BC737D"/>
    <w:rsid w:val="00BD1F10"/>
    <w:rsid w:val="00BD3456"/>
    <w:rsid w:val="00BD4215"/>
    <w:rsid w:val="00BD4D8C"/>
    <w:rsid w:val="00BD6F42"/>
    <w:rsid w:val="00BD709A"/>
    <w:rsid w:val="00BD72E1"/>
    <w:rsid w:val="00BE00AC"/>
    <w:rsid w:val="00BE2F70"/>
    <w:rsid w:val="00BE3CE9"/>
    <w:rsid w:val="00BF29AB"/>
    <w:rsid w:val="00BF3161"/>
    <w:rsid w:val="00BF4E37"/>
    <w:rsid w:val="00BF4F39"/>
    <w:rsid w:val="00C03042"/>
    <w:rsid w:val="00C03B37"/>
    <w:rsid w:val="00C04F53"/>
    <w:rsid w:val="00C05624"/>
    <w:rsid w:val="00C2024A"/>
    <w:rsid w:val="00C2200E"/>
    <w:rsid w:val="00C25012"/>
    <w:rsid w:val="00C27191"/>
    <w:rsid w:val="00C3237F"/>
    <w:rsid w:val="00C34E2F"/>
    <w:rsid w:val="00C353E5"/>
    <w:rsid w:val="00C37234"/>
    <w:rsid w:val="00C411D7"/>
    <w:rsid w:val="00C42092"/>
    <w:rsid w:val="00C4453B"/>
    <w:rsid w:val="00C445B0"/>
    <w:rsid w:val="00C47A60"/>
    <w:rsid w:val="00C50D40"/>
    <w:rsid w:val="00C539D8"/>
    <w:rsid w:val="00C55AED"/>
    <w:rsid w:val="00C66CE5"/>
    <w:rsid w:val="00C700AD"/>
    <w:rsid w:val="00C709B5"/>
    <w:rsid w:val="00C7464C"/>
    <w:rsid w:val="00C7639D"/>
    <w:rsid w:val="00C8180C"/>
    <w:rsid w:val="00C818AD"/>
    <w:rsid w:val="00C85049"/>
    <w:rsid w:val="00C86A5B"/>
    <w:rsid w:val="00C90A2B"/>
    <w:rsid w:val="00C90B5D"/>
    <w:rsid w:val="00C921A6"/>
    <w:rsid w:val="00C929CB"/>
    <w:rsid w:val="00C92F8A"/>
    <w:rsid w:val="00CA13A0"/>
    <w:rsid w:val="00CA3780"/>
    <w:rsid w:val="00CB0D0D"/>
    <w:rsid w:val="00CB38C3"/>
    <w:rsid w:val="00CB5A1B"/>
    <w:rsid w:val="00CB5DF0"/>
    <w:rsid w:val="00CB6A5A"/>
    <w:rsid w:val="00CC2D6D"/>
    <w:rsid w:val="00CC31C0"/>
    <w:rsid w:val="00CC541E"/>
    <w:rsid w:val="00CC61E3"/>
    <w:rsid w:val="00CD36D2"/>
    <w:rsid w:val="00CD398C"/>
    <w:rsid w:val="00CD73B9"/>
    <w:rsid w:val="00CD7770"/>
    <w:rsid w:val="00CE0F95"/>
    <w:rsid w:val="00CE127F"/>
    <w:rsid w:val="00CE2A5D"/>
    <w:rsid w:val="00CE32E5"/>
    <w:rsid w:val="00CF63A2"/>
    <w:rsid w:val="00CF669F"/>
    <w:rsid w:val="00D021DE"/>
    <w:rsid w:val="00D10A1C"/>
    <w:rsid w:val="00D11C34"/>
    <w:rsid w:val="00D125DE"/>
    <w:rsid w:val="00D144BD"/>
    <w:rsid w:val="00D14FF4"/>
    <w:rsid w:val="00D16F24"/>
    <w:rsid w:val="00D21269"/>
    <w:rsid w:val="00D2269A"/>
    <w:rsid w:val="00D23C10"/>
    <w:rsid w:val="00D24D8D"/>
    <w:rsid w:val="00D26448"/>
    <w:rsid w:val="00D31C30"/>
    <w:rsid w:val="00D3230F"/>
    <w:rsid w:val="00D32F34"/>
    <w:rsid w:val="00D34C3B"/>
    <w:rsid w:val="00D34FBE"/>
    <w:rsid w:val="00D37730"/>
    <w:rsid w:val="00D416D6"/>
    <w:rsid w:val="00D4243E"/>
    <w:rsid w:val="00D42D98"/>
    <w:rsid w:val="00D448B4"/>
    <w:rsid w:val="00D45A46"/>
    <w:rsid w:val="00D4687B"/>
    <w:rsid w:val="00D4718B"/>
    <w:rsid w:val="00D50150"/>
    <w:rsid w:val="00D50668"/>
    <w:rsid w:val="00D52F55"/>
    <w:rsid w:val="00D60381"/>
    <w:rsid w:val="00D631B8"/>
    <w:rsid w:val="00D71C34"/>
    <w:rsid w:val="00D741CB"/>
    <w:rsid w:val="00D7677E"/>
    <w:rsid w:val="00D76A1C"/>
    <w:rsid w:val="00D77E6C"/>
    <w:rsid w:val="00D80453"/>
    <w:rsid w:val="00D822CB"/>
    <w:rsid w:val="00D86BD4"/>
    <w:rsid w:val="00D9091D"/>
    <w:rsid w:val="00D91602"/>
    <w:rsid w:val="00D93830"/>
    <w:rsid w:val="00D94D44"/>
    <w:rsid w:val="00D978FC"/>
    <w:rsid w:val="00DA1330"/>
    <w:rsid w:val="00DA3579"/>
    <w:rsid w:val="00DA48CD"/>
    <w:rsid w:val="00DA7D6F"/>
    <w:rsid w:val="00DB43E1"/>
    <w:rsid w:val="00DB7A8E"/>
    <w:rsid w:val="00DC2C74"/>
    <w:rsid w:val="00DC4EBE"/>
    <w:rsid w:val="00DC55EB"/>
    <w:rsid w:val="00DC6A70"/>
    <w:rsid w:val="00DC7D78"/>
    <w:rsid w:val="00DD238E"/>
    <w:rsid w:val="00DD5618"/>
    <w:rsid w:val="00DE096C"/>
    <w:rsid w:val="00DE1802"/>
    <w:rsid w:val="00DE4B43"/>
    <w:rsid w:val="00DF0691"/>
    <w:rsid w:val="00DF0EA3"/>
    <w:rsid w:val="00DF4ADE"/>
    <w:rsid w:val="00E02878"/>
    <w:rsid w:val="00E02BB9"/>
    <w:rsid w:val="00E04AAD"/>
    <w:rsid w:val="00E05DB0"/>
    <w:rsid w:val="00E06F14"/>
    <w:rsid w:val="00E1184D"/>
    <w:rsid w:val="00E16ED1"/>
    <w:rsid w:val="00E1737A"/>
    <w:rsid w:val="00E17878"/>
    <w:rsid w:val="00E17EC0"/>
    <w:rsid w:val="00E2202D"/>
    <w:rsid w:val="00E25292"/>
    <w:rsid w:val="00E267BA"/>
    <w:rsid w:val="00E3027F"/>
    <w:rsid w:val="00E33915"/>
    <w:rsid w:val="00E33DF9"/>
    <w:rsid w:val="00E40225"/>
    <w:rsid w:val="00E42F79"/>
    <w:rsid w:val="00E46615"/>
    <w:rsid w:val="00E507DE"/>
    <w:rsid w:val="00E5170E"/>
    <w:rsid w:val="00E54541"/>
    <w:rsid w:val="00E5668B"/>
    <w:rsid w:val="00E56BE8"/>
    <w:rsid w:val="00E56F21"/>
    <w:rsid w:val="00E57BA2"/>
    <w:rsid w:val="00E61298"/>
    <w:rsid w:val="00E61531"/>
    <w:rsid w:val="00E65727"/>
    <w:rsid w:val="00E70AA2"/>
    <w:rsid w:val="00E72378"/>
    <w:rsid w:val="00E740C1"/>
    <w:rsid w:val="00E74654"/>
    <w:rsid w:val="00E74A51"/>
    <w:rsid w:val="00E753CB"/>
    <w:rsid w:val="00E75798"/>
    <w:rsid w:val="00E75B54"/>
    <w:rsid w:val="00E76BC4"/>
    <w:rsid w:val="00E82654"/>
    <w:rsid w:val="00E84D53"/>
    <w:rsid w:val="00E85F1D"/>
    <w:rsid w:val="00E95C04"/>
    <w:rsid w:val="00EA4360"/>
    <w:rsid w:val="00EA5517"/>
    <w:rsid w:val="00EB46EB"/>
    <w:rsid w:val="00EC21E5"/>
    <w:rsid w:val="00EC3568"/>
    <w:rsid w:val="00EC5972"/>
    <w:rsid w:val="00ED3C0A"/>
    <w:rsid w:val="00ED548D"/>
    <w:rsid w:val="00ED6624"/>
    <w:rsid w:val="00ED7894"/>
    <w:rsid w:val="00ED7EE8"/>
    <w:rsid w:val="00EE125C"/>
    <w:rsid w:val="00EE196A"/>
    <w:rsid w:val="00EE5130"/>
    <w:rsid w:val="00EF2FC4"/>
    <w:rsid w:val="00EF3360"/>
    <w:rsid w:val="00F10146"/>
    <w:rsid w:val="00F16B25"/>
    <w:rsid w:val="00F21C0D"/>
    <w:rsid w:val="00F22A85"/>
    <w:rsid w:val="00F22FAC"/>
    <w:rsid w:val="00F23DA1"/>
    <w:rsid w:val="00F25610"/>
    <w:rsid w:val="00F256C7"/>
    <w:rsid w:val="00F2759D"/>
    <w:rsid w:val="00F27E67"/>
    <w:rsid w:val="00F30427"/>
    <w:rsid w:val="00F3414F"/>
    <w:rsid w:val="00F34C3D"/>
    <w:rsid w:val="00F35313"/>
    <w:rsid w:val="00F3624E"/>
    <w:rsid w:val="00F36791"/>
    <w:rsid w:val="00F379D2"/>
    <w:rsid w:val="00F42635"/>
    <w:rsid w:val="00F44D3B"/>
    <w:rsid w:val="00F45966"/>
    <w:rsid w:val="00F46AC6"/>
    <w:rsid w:val="00F478FD"/>
    <w:rsid w:val="00F55231"/>
    <w:rsid w:val="00F56C15"/>
    <w:rsid w:val="00F576DF"/>
    <w:rsid w:val="00F600AC"/>
    <w:rsid w:val="00F62B85"/>
    <w:rsid w:val="00F66B3D"/>
    <w:rsid w:val="00F66BD9"/>
    <w:rsid w:val="00F702D2"/>
    <w:rsid w:val="00F7703E"/>
    <w:rsid w:val="00F77EA5"/>
    <w:rsid w:val="00F812F3"/>
    <w:rsid w:val="00F8361D"/>
    <w:rsid w:val="00F85E3A"/>
    <w:rsid w:val="00F94993"/>
    <w:rsid w:val="00F970BB"/>
    <w:rsid w:val="00FA039D"/>
    <w:rsid w:val="00FA1E67"/>
    <w:rsid w:val="00FA375E"/>
    <w:rsid w:val="00FA3F37"/>
    <w:rsid w:val="00FA4C95"/>
    <w:rsid w:val="00FB0C02"/>
    <w:rsid w:val="00FB141C"/>
    <w:rsid w:val="00FB1F25"/>
    <w:rsid w:val="00FB26C6"/>
    <w:rsid w:val="00FB53CD"/>
    <w:rsid w:val="00FB7DD1"/>
    <w:rsid w:val="00FC1D6F"/>
    <w:rsid w:val="00FC250F"/>
    <w:rsid w:val="00FC261B"/>
    <w:rsid w:val="00FC4F64"/>
    <w:rsid w:val="00FC77D6"/>
    <w:rsid w:val="00FD3B37"/>
    <w:rsid w:val="00FE5D34"/>
    <w:rsid w:val="00FF2EB5"/>
    <w:rsid w:val="00FF53B8"/>
    <w:rsid w:val="00FF58FD"/>
    <w:rsid w:val="00FF67EC"/>
    <w:rsid w:val="00FF6D8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73880794"/>
  <w15:docId w15:val="{9A3DB900-28B6-4AD8-B1A1-36C750D71C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718A3"/>
    <w:pPr>
      <w:overflowPunct w:val="0"/>
      <w:autoSpaceDE w:val="0"/>
      <w:autoSpaceDN w:val="0"/>
      <w:adjustRightInd w:val="0"/>
      <w:jc w:val="left"/>
      <w:textAlignment w:val="baseline"/>
    </w:pPr>
    <w:rPr>
      <w:rFonts w:ascii="Times New Roman" w:eastAsia="Times New Roman" w:hAnsi="Times New Roman" w:cs="Times New Roman"/>
      <w:sz w:val="20"/>
      <w:szCs w:val="20"/>
      <w:lang w:eastAsia="ru-RU"/>
    </w:rPr>
  </w:style>
  <w:style w:type="paragraph" w:styleId="2">
    <w:name w:val="heading 2"/>
    <w:basedOn w:val="a"/>
    <w:link w:val="20"/>
    <w:qFormat/>
    <w:rsid w:val="00B67D7C"/>
    <w:pPr>
      <w:spacing w:before="100" w:after="100"/>
      <w:outlineLvl w:val="1"/>
    </w:pPr>
    <w:rPr>
      <w:b/>
      <w:sz w:val="36"/>
    </w:rPr>
  </w:style>
  <w:style w:type="paragraph" w:styleId="3">
    <w:name w:val="heading 3"/>
    <w:basedOn w:val="a"/>
    <w:link w:val="30"/>
    <w:uiPriority w:val="9"/>
    <w:qFormat/>
    <w:rsid w:val="000343AB"/>
    <w:pPr>
      <w:overflowPunct/>
      <w:autoSpaceDE/>
      <w:autoSpaceDN/>
      <w:adjustRightInd/>
      <w:spacing w:before="100" w:beforeAutospacing="1" w:after="100" w:afterAutospacing="1"/>
      <w:textAlignment w:val="auto"/>
      <w:outlineLvl w:val="2"/>
    </w:pPr>
    <w:rPr>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B67D7C"/>
    <w:rPr>
      <w:rFonts w:ascii="Times New Roman" w:eastAsia="Times New Roman" w:hAnsi="Times New Roman" w:cs="Times New Roman"/>
      <w:b/>
      <w:sz w:val="36"/>
      <w:szCs w:val="20"/>
      <w:lang w:eastAsia="ru-RU"/>
    </w:rPr>
  </w:style>
  <w:style w:type="character" w:customStyle="1" w:styleId="1">
    <w:name w:val="Строгий1"/>
    <w:rsid w:val="00B67D7C"/>
    <w:rPr>
      <w:b/>
    </w:rPr>
  </w:style>
  <w:style w:type="character" w:customStyle="1" w:styleId="10">
    <w:name w:val="Выделение1"/>
    <w:rsid w:val="00B67D7C"/>
    <w:rPr>
      <w:i/>
    </w:rPr>
  </w:style>
  <w:style w:type="character" w:customStyle="1" w:styleId="11">
    <w:name w:val="Гиперссылка1"/>
    <w:rsid w:val="00B67D7C"/>
    <w:rPr>
      <w:color w:val="0000FF"/>
      <w:u w:val="single"/>
    </w:rPr>
  </w:style>
  <w:style w:type="character" w:customStyle="1" w:styleId="20pt4">
    <w:name w:val="Основной текст + Курсив2.Интервал 0 pt4"/>
    <w:basedOn w:val="a0"/>
    <w:uiPriority w:val="99"/>
    <w:rsid w:val="00B67D7C"/>
    <w:rPr>
      <w:rFonts w:ascii="Microsoft Sans Serif" w:hAnsi="Microsoft Sans Serif"/>
      <w:i/>
      <w:spacing w:val="10"/>
      <w:sz w:val="16"/>
    </w:rPr>
  </w:style>
  <w:style w:type="character" w:customStyle="1" w:styleId="12">
    <w:name w:val="С1"/>
    <w:rsid w:val="00B67D7C"/>
    <w:rPr>
      <w:b/>
    </w:rPr>
  </w:style>
  <w:style w:type="character" w:customStyle="1" w:styleId="4">
    <w:name w:val="Основной текст + Курсив4"/>
    <w:basedOn w:val="a0"/>
    <w:uiPriority w:val="99"/>
    <w:rsid w:val="00B67D7C"/>
    <w:rPr>
      <w:rFonts w:ascii="Century Gothic" w:hAnsi="Century Gothic"/>
      <w:i/>
      <w:spacing w:val="-10"/>
      <w:sz w:val="17"/>
    </w:rPr>
  </w:style>
  <w:style w:type="character" w:customStyle="1" w:styleId="135pt25">
    <w:name w:val="Основной текст + 13.5 pt25"/>
    <w:basedOn w:val="a0"/>
    <w:uiPriority w:val="99"/>
    <w:rsid w:val="00B67D7C"/>
    <w:rPr>
      <w:rFonts w:ascii="Lucida Sans Unicode" w:hAnsi="Lucida Sans Unicode"/>
      <w:spacing w:val="0"/>
      <w:sz w:val="27"/>
    </w:rPr>
  </w:style>
  <w:style w:type="character" w:customStyle="1" w:styleId="50pt11">
    <w:name w:val="Основной текст + Курсив5.Интервал 0 pt11"/>
    <w:basedOn w:val="a0"/>
    <w:uiPriority w:val="99"/>
    <w:rsid w:val="00B67D7C"/>
    <w:rPr>
      <w:rFonts w:ascii="Microsoft Sans Serif" w:hAnsi="Microsoft Sans Serif"/>
      <w:i/>
      <w:spacing w:val="10"/>
      <w:sz w:val="16"/>
    </w:rPr>
  </w:style>
  <w:style w:type="character" w:customStyle="1" w:styleId="830pt10">
    <w:name w:val="Основной текст (8) + Не курсив3.Интервал 0 pt10"/>
    <w:basedOn w:val="a0"/>
    <w:uiPriority w:val="99"/>
    <w:rsid w:val="00B67D7C"/>
    <w:rPr>
      <w:i/>
      <w:spacing w:val="0"/>
      <w:sz w:val="16"/>
    </w:rPr>
  </w:style>
  <w:style w:type="character" w:customStyle="1" w:styleId="40pt9">
    <w:name w:val="Основной текст + Курсив4.Интервал 0 pt9"/>
    <w:basedOn w:val="a0"/>
    <w:uiPriority w:val="99"/>
    <w:rsid w:val="00B67D7C"/>
    <w:rPr>
      <w:rFonts w:ascii="Microsoft Sans Serif" w:hAnsi="Microsoft Sans Serif"/>
      <w:i/>
      <w:spacing w:val="10"/>
      <w:sz w:val="16"/>
    </w:rPr>
  </w:style>
  <w:style w:type="paragraph" w:customStyle="1" w:styleId="a3">
    <w:name w:val="п"/>
    <w:rsid w:val="00B67D7C"/>
    <w:pPr>
      <w:overflowPunct w:val="0"/>
      <w:autoSpaceDE w:val="0"/>
      <w:autoSpaceDN w:val="0"/>
      <w:adjustRightInd w:val="0"/>
      <w:jc w:val="left"/>
      <w:textAlignment w:val="baseline"/>
    </w:pPr>
    <w:rPr>
      <w:rFonts w:ascii="Times New Roman" w:eastAsia="Times New Roman" w:hAnsi="Times New Roman" w:cs="Times New Roman"/>
      <w:i/>
      <w:spacing w:val="-1"/>
      <w:kern w:val="65535"/>
      <w:position w:val="-1"/>
      <w:sz w:val="65535"/>
      <w:szCs w:val="20"/>
      <w:lang w:eastAsia="ru-RU"/>
    </w:rPr>
  </w:style>
  <w:style w:type="paragraph" w:customStyle="1" w:styleId="Blockquote">
    <w:name w:val="Blockquote"/>
    <w:basedOn w:val="a"/>
    <w:rsid w:val="00B67D7C"/>
    <w:pPr>
      <w:spacing w:before="100" w:after="100"/>
      <w:ind w:left="360" w:right="360"/>
    </w:pPr>
    <w:rPr>
      <w:sz w:val="24"/>
    </w:rPr>
  </w:style>
  <w:style w:type="paragraph" w:customStyle="1" w:styleId="Iauiue">
    <w:name w:val="Iau?iue"/>
    <w:rsid w:val="00B67D7C"/>
    <w:pPr>
      <w:widowControl w:val="0"/>
      <w:overflowPunct w:val="0"/>
      <w:autoSpaceDE w:val="0"/>
      <w:autoSpaceDN w:val="0"/>
      <w:adjustRightInd w:val="0"/>
      <w:jc w:val="left"/>
      <w:textAlignment w:val="baseline"/>
    </w:pPr>
    <w:rPr>
      <w:rFonts w:ascii="Times New Roman" w:eastAsia="Times New Roman" w:hAnsi="Times New Roman" w:cs="Times New Roman"/>
      <w:sz w:val="20"/>
      <w:szCs w:val="20"/>
      <w:lang w:eastAsia="ru-RU"/>
    </w:rPr>
  </w:style>
  <w:style w:type="paragraph" w:customStyle="1" w:styleId="H1">
    <w:name w:val="H1"/>
    <w:basedOn w:val="a"/>
    <w:next w:val="a"/>
    <w:rsid w:val="00B67D7C"/>
    <w:pPr>
      <w:keepNext/>
      <w:spacing w:before="100" w:after="100"/>
    </w:pPr>
    <w:rPr>
      <w:b/>
      <w:kern w:val="36"/>
      <w:sz w:val="48"/>
    </w:rPr>
  </w:style>
  <w:style w:type="paragraph" w:customStyle="1" w:styleId="a4">
    <w:name w:val="О"/>
    <w:rsid w:val="00B67D7C"/>
    <w:pPr>
      <w:overflowPunct w:val="0"/>
      <w:autoSpaceDE w:val="0"/>
      <w:autoSpaceDN w:val="0"/>
      <w:adjustRightInd w:val="0"/>
      <w:spacing w:before="100" w:after="100"/>
      <w:jc w:val="left"/>
      <w:textAlignment w:val="baseline"/>
    </w:pPr>
    <w:rPr>
      <w:rFonts w:ascii="Times New Roman" w:eastAsia="Times New Roman" w:hAnsi="Times New Roman" w:cs="Times New Roman"/>
      <w:sz w:val="24"/>
      <w:szCs w:val="20"/>
      <w:lang w:eastAsia="ru-RU"/>
    </w:rPr>
  </w:style>
  <w:style w:type="paragraph" w:styleId="a5">
    <w:name w:val="Body Text"/>
    <w:basedOn w:val="a"/>
    <w:link w:val="a6"/>
    <w:semiHidden/>
    <w:rsid w:val="00B67D7C"/>
    <w:pPr>
      <w:widowControl w:val="0"/>
      <w:jc w:val="both"/>
    </w:pPr>
    <w:rPr>
      <w:lang w:val="en-US"/>
    </w:rPr>
  </w:style>
  <w:style w:type="character" w:customStyle="1" w:styleId="a6">
    <w:name w:val="Основной текст Знак"/>
    <w:basedOn w:val="a0"/>
    <w:link w:val="a5"/>
    <w:semiHidden/>
    <w:rsid w:val="00B67D7C"/>
    <w:rPr>
      <w:rFonts w:ascii="Times New Roman" w:eastAsia="Times New Roman" w:hAnsi="Times New Roman" w:cs="Times New Roman"/>
      <w:sz w:val="20"/>
      <w:szCs w:val="20"/>
      <w:lang w:val="en-US" w:eastAsia="ru-RU"/>
    </w:rPr>
  </w:style>
  <w:style w:type="paragraph" w:customStyle="1" w:styleId="DefinitionList">
    <w:name w:val="Definition List"/>
    <w:basedOn w:val="a"/>
    <w:next w:val="a"/>
    <w:rsid w:val="00B67D7C"/>
    <w:pPr>
      <w:ind w:left="360"/>
    </w:pPr>
    <w:rPr>
      <w:sz w:val="24"/>
    </w:rPr>
  </w:style>
  <w:style w:type="paragraph" w:customStyle="1" w:styleId="H3">
    <w:name w:val="H3"/>
    <w:basedOn w:val="a"/>
    <w:next w:val="a"/>
    <w:rsid w:val="00B67D7C"/>
    <w:pPr>
      <w:keepNext/>
      <w:spacing w:before="100" w:after="100"/>
    </w:pPr>
    <w:rPr>
      <w:b/>
      <w:sz w:val="28"/>
    </w:rPr>
  </w:style>
  <w:style w:type="paragraph" w:customStyle="1" w:styleId="a7">
    <w:name w:val="Подпись к картинке"/>
    <w:basedOn w:val="a"/>
    <w:link w:val="a8"/>
    <w:rsid w:val="00B67D7C"/>
    <w:pPr>
      <w:shd w:val="clear" w:color="auto" w:fill="FFFFFF"/>
      <w:spacing w:line="240" w:lineRule="atLeast"/>
      <w:ind w:hanging="820"/>
    </w:pPr>
    <w:rPr>
      <w:rFonts w:ascii="Arial" w:hAnsi="Arial"/>
      <w:b/>
      <w:noProof/>
      <w:sz w:val="13"/>
    </w:rPr>
  </w:style>
  <w:style w:type="paragraph" w:customStyle="1" w:styleId="H4">
    <w:name w:val="H4"/>
    <w:basedOn w:val="a"/>
    <w:next w:val="a"/>
    <w:rsid w:val="00B67D7C"/>
    <w:pPr>
      <w:keepNext/>
      <w:spacing w:before="100" w:after="100"/>
    </w:pPr>
    <w:rPr>
      <w:b/>
      <w:sz w:val="24"/>
    </w:rPr>
  </w:style>
  <w:style w:type="paragraph" w:styleId="a9">
    <w:name w:val="Plain Text"/>
    <w:basedOn w:val="a"/>
    <w:link w:val="aa"/>
    <w:rsid w:val="00B67D7C"/>
    <w:pPr>
      <w:widowControl w:val="0"/>
    </w:pPr>
    <w:rPr>
      <w:rFonts w:ascii="Courier New" w:hAnsi="Courier New"/>
    </w:rPr>
  </w:style>
  <w:style w:type="character" w:customStyle="1" w:styleId="aa">
    <w:name w:val="Текст Знак"/>
    <w:basedOn w:val="a0"/>
    <w:link w:val="a9"/>
    <w:rsid w:val="00B67D7C"/>
    <w:rPr>
      <w:rFonts w:ascii="Courier New" w:eastAsia="Times New Roman" w:hAnsi="Courier New" w:cs="Times New Roman"/>
      <w:sz w:val="20"/>
      <w:szCs w:val="20"/>
      <w:lang w:eastAsia="ru-RU"/>
    </w:rPr>
  </w:style>
  <w:style w:type="paragraph" w:customStyle="1" w:styleId="Address">
    <w:name w:val="Address"/>
    <w:basedOn w:val="a"/>
    <w:next w:val="a"/>
    <w:rsid w:val="00B67D7C"/>
    <w:rPr>
      <w:i/>
      <w:sz w:val="24"/>
    </w:rPr>
  </w:style>
  <w:style w:type="paragraph" w:customStyle="1" w:styleId="25">
    <w:name w:val="Основной текст25"/>
    <w:basedOn w:val="a"/>
    <w:rsid w:val="00B67D7C"/>
    <w:pPr>
      <w:shd w:val="clear" w:color="auto" w:fill="FFFFFF"/>
      <w:spacing w:after="1020" w:line="233" w:lineRule="exact"/>
    </w:pPr>
    <w:rPr>
      <w:rFonts w:ascii="Arial Unicode MS" w:eastAsia="Arial Unicode MS"/>
      <w:sz w:val="25"/>
    </w:rPr>
  </w:style>
  <w:style w:type="paragraph" w:customStyle="1" w:styleId="9">
    <w:name w:val="Основной текст (9)"/>
    <w:basedOn w:val="a"/>
    <w:uiPriority w:val="99"/>
    <w:rsid w:val="00B67D7C"/>
    <w:pPr>
      <w:shd w:val="clear" w:color="auto" w:fill="FFFFFF"/>
      <w:spacing w:line="173" w:lineRule="exact"/>
      <w:ind w:hanging="200"/>
      <w:jc w:val="right"/>
    </w:pPr>
    <w:rPr>
      <w:i/>
      <w:noProof/>
      <w:sz w:val="13"/>
    </w:rPr>
  </w:style>
  <w:style w:type="paragraph" w:customStyle="1" w:styleId="81">
    <w:name w:val="Основной текст (8)1"/>
    <w:basedOn w:val="a"/>
    <w:uiPriority w:val="99"/>
    <w:rsid w:val="00B67D7C"/>
    <w:pPr>
      <w:shd w:val="clear" w:color="auto" w:fill="FFFFFF"/>
      <w:spacing w:before="60" w:line="293" w:lineRule="exact"/>
      <w:jc w:val="both"/>
    </w:pPr>
    <w:rPr>
      <w:rFonts w:ascii="Arial Narrow" w:hAnsi="Arial Narrow"/>
      <w:i/>
      <w:noProof/>
      <w:spacing w:val="-10"/>
      <w:sz w:val="28"/>
    </w:rPr>
  </w:style>
  <w:style w:type="paragraph" w:customStyle="1" w:styleId="vR">
    <w:name w:val="Основной текстvцЌ[RХ"/>
    <w:basedOn w:val="a"/>
    <w:uiPriority w:val="99"/>
    <w:rsid w:val="00B67D7C"/>
    <w:pPr>
      <w:widowControl w:val="0"/>
      <w:overflowPunct/>
      <w:jc w:val="both"/>
      <w:textAlignment w:val="auto"/>
    </w:pPr>
    <w:rPr>
      <w:rFonts w:eastAsiaTheme="minorHAnsi"/>
      <w:lang w:val="en-US" w:eastAsia="en-US"/>
    </w:rPr>
  </w:style>
  <w:style w:type="paragraph" w:customStyle="1" w:styleId="13">
    <w:name w:val="Обычный (веб)1"/>
    <w:basedOn w:val="a"/>
    <w:rsid w:val="00B67D7C"/>
    <w:pPr>
      <w:spacing w:before="100" w:after="100"/>
    </w:pPr>
    <w:rPr>
      <w:sz w:val="24"/>
    </w:rPr>
  </w:style>
  <w:style w:type="paragraph" w:customStyle="1" w:styleId="110">
    <w:name w:val="Основной текст (11)"/>
    <w:basedOn w:val="a"/>
    <w:rsid w:val="00B67D7C"/>
    <w:pPr>
      <w:shd w:val="clear" w:color="auto" w:fill="FFFFFF"/>
      <w:spacing w:line="240" w:lineRule="atLeast"/>
    </w:pPr>
    <w:rPr>
      <w:rFonts w:ascii="Arial" w:hAnsi="Arial"/>
      <w:sz w:val="36"/>
    </w:rPr>
  </w:style>
  <w:style w:type="character" w:customStyle="1" w:styleId="a8">
    <w:name w:val="Подпись к картинке_"/>
    <w:basedOn w:val="a0"/>
    <w:link w:val="a7"/>
    <w:rsid w:val="00B67D7C"/>
    <w:rPr>
      <w:rFonts w:ascii="Arial" w:eastAsia="Times New Roman" w:hAnsi="Arial" w:cs="Times New Roman"/>
      <w:b/>
      <w:noProof/>
      <w:sz w:val="13"/>
      <w:szCs w:val="20"/>
      <w:shd w:val="clear" w:color="auto" w:fill="FFFFFF"/>
      <w:lang w:eastAsia="ru-RU"/>
    </w:rPr>
  </w:style>
  <w:style w:type="character" w:customStyle="1" w:styleId="ab">
    <w:name w:val="Основной текст_"/>
    <w:link w:val="21"/>
    <w:rsid w:val="00B67D7C"/>
    <w:rPr>
      <w:rFonts w:ascii="Lucida Sans Unicode" w:hAnsi="Lucida Sans Unicode"/>
      <w:spacing w:val="-10"/>
      <w:sz w:val="25"/>
    </w:rPr>
  </w:style>
  <w:style w:type="paragraph" w:customStyle="1" w:styleId="8">
    <w:name w:val="Основной текст8"/>
    <w:basedOn w:val="a"/>
    <w:rsid w:val="00B67D7C"/>
    <w:pPr>
      <w:shd w:val="clear" w:color="auto" w:fill="FFFFFF"/>
      <w:spacing w:after="480" w:line="240" w:lineRule="atLeast"/>
      <w:ind w:hanging="460"/>
    </w:pPr>
    <w:rPr>
      <w:rFonts w:ascii="Arial" w:hAnsi="Arial"/>
      <w:sz w:val="26"/>
    </w:rPr>
  </w:style>
  <w:style w:type="paragraph" w:styleId="ac">
    <w:name w:val="Balloon Text"/>
    <w:basedOn w:val="a"/>
    <w:link w:val="ad"/>
    <w:uiPriority w:val="99"/>
    <w:semiHidden/>
    <w:unhideWhenUsed/>
    <w:rsid w:val="00B67D7C"/>
    <w:rPr>
      <w:rFonts w:ascii="Tahoma" w:hAnsi="Tahoma" w:cs="Tahoma"/>
      <w:sz w:val="16"/>
      <w:szCs w:val="16"/>
    </w:rPr>
  </w:style>
  <w:style w:type="character" w:customStyle="1" w:styleId="ad">
    <w:name w:val="Текст выноски Знак"/>
    <w:basedOn w:val="a0"/>
    <w:link w:val="ac"/>
    <w:uiPriority w:val="99"/>
    <w:semiHidden/>
    <w:rsid w:val="00B67D7C"/>
    <w:rPr>
      <w:rFonts w:ascii="Tahoma" w:eastAsia="Times New Roman" w:hAnsi="Tahoma" w:cs="Tahoma"/>
      <w:sz w:val="16"/>
      <w:szCs w:val="16"/>
      <w:lang w:eastAsia="ru-RU"/>
    </w:rPr>
  </w:style>
  <w:style w:type="paragraph" w:customStyle="1" w:styleId="p1">
    <w:name w:val="p1"/>
    <w:basedOn w:val="a"/>
    <w:rsid w:val="002A7EAE"/>
    <w:pPr>
      <w:overflowPunct/>
      <w:autoSpaceDE/>
      <w:autoSpaceDN/>
      <w:adjustRightInd/>
      <w:spacing w:before="100" w:beforeAutospacing="1" w:after="100" w:afterAutospacing="1"/>
      <w:textAlignment w:val="auto"/>
    </w:pPr>
    <w:rPr>
      <w:sz w:val="24"/>
      <w:szCs w:val="24"/>
    </w:rPr>
  </w:style>
  <w:style w:type="paragraph" w:styleId="ae">
    <w:name w:val="Normal (Web)"/>
    <w:basedOn w:val="a"/>
    <w:uiPriority w:val="99"/>
    <w:unhideWhenUsed/>
    <w:rsid w:val="007A0148"/>
    <w:pPr>
      <w:overflowPunct/>
      <w:autoSpaceDE/>
      <w:autoSpaceDN/>
      <w:adjustRightInd/>
      <w:spacing w:before="100" w:beforeAutospacing="1" w:after="100" w:afterAutospacing="1"/>
      <w:textAlignment w:val="auto"/>
    </w:pPr>
    <w:rPr>
      <w:sz w:val="24"/>
      <w:szCs w:val="24"/>
    </w:rPr>
  </w:style>
  <w:style w:type="paragraph" w:customStyle="1" w:styleId="a00">
    <w:name w:val="a0"/>
    <w:basedOn w:val="a"/>
    <w:rsid w:val="007A0148"/>
    <w:pPr>
      <w:overflowPunct/>
      <w:autoSpaceDE/>
      <w:autoSpaceDN/>
      <w:adjustRightInd/>
      <w:spacing w:after="75"/>
      <w:textAlignment w:val="auto"/>
    </w:pPr>
    <w:rPr>
      <w:sz w:val="24"/>
      <w:szCs w:val="24"/>
    </w:rPr>
  </w:style>
  <w:style w:type="paragraph" w:customStyle="1" w:styleId="21">
    <w:name w:val="Основной текст2"/>
    <w:basedOn w:val="a"/>
    <w:link w:val="ab"/>
    <w:rsid w:val="000B3344"/>
    <w:pPr>
      <w:shd w:val="clear" w:color="auto" w:fill="FFFFFF"/>
      <w:overflowPunct/>
      <w:autoSpaceDE/>
      <w:autoSpaceDN/>
      <w:adjustRightInd/>
      <w:spacing w:after="120" w:line="0" w:lineRule="atLeast"/>
      <w:ind w:hanging="400"/>
      <w:jc w:val="center"/>
      <w:textAlignment w:val="auto"/>
    </w:pPr>
    <w:rPr>
      <w:rFonts w:ascii="Lucida Sans Unicode" w:eastAsiaTheme="minorHAnsi" w:hAnsi="Lucida Sans Unicode" w:cstheme="minorBidi"/>
      <w:spacing w:val="-10"/>
      <w:sz w:val="25"/>
      <w:szCs w:val="22"/>
      <w:lang w:eastAsia="en-US"/>
    </w:rPr>
  </w:style>
  <w:style w:type="paragraph" w:customStyle="1" w:styleId="31">
    <w:name w:val="Основной текст3"/>
    <w:basedOn w:val="a"/>
    <w:rsid w:val="00D125DE"/>
    <w:pPr>
      <w:shd w:val="clear" w:color="auto" w:fill="FFFFFF"/>
      <w:overflowPunct/>
      <w:autoSpaceDE/>
      <w:autoSpaceDN/>
      <w:adjustRightInd/>
      <w:spacing w:line="221" w:lineRule="exact"/>
      <w:ind w:hanging="220"/>
      <w:jc w:val="both"/>
      <w:textAlignment w:val="auto"/>
    </w:pPr>
    <w:rPr>
      <w:rFonts w:ascii="Arial Narrow" w:eastAsia="Arial Narrow" w:hAnsi="Arial Narrow" w:cs="Arial Narrow"/>
      <w:color w:val="000000"/>
      <w:sz w:val="18"/>
      <w:szCs w:val="18"/>
    </w:rPr>
  </w:style>
  <w:style w:type="paragraph" w:customStyle="1" w:styleId="14">
    <w:name w:val="Основной текст1"/>
    <w:basedOn w:val="a"/>
    <w:rsid w:val="002D3925"/>
    <w:pPr>
      <w:shd w:val="clear" w:color="auto" w:fill="FFFFFF"/>
      <w:overflowPunct/>
      <w:autoSpaceDE/>
      <w:autoSpaceDN/>
      <w:adjustRightInd/>
      <w:spacing w:before="120" w:line="0" w:lineRule="atLeast"/>
      <w:ind w:hanging="680"/>
      <w:jc w:val="center"/>
      <w:textAlignment w:val="auto"/>
    </w:pPr>
    <w:rPr>
      <w:color w:val="000000"/>
      <w:sz w:val="23"/>
      <w:szCs w:val="23"/>
    </w:rPr>
  </w:style>
  <w:style w:type="character" w:customStyle="1" w:styleId="af">
    <w:name w:val="Основной текст + Полужирный"/>
    <w:aliases w:val="Интервал 0 pt9"/>
    <w:basedOn w:val="a0"/>
    <w:uiPriority w:val="99"/>
    <w:rsid w:val="00DE1802"/>
    <w:rPr>
      <w:rFonts w:ascii="Arial Narrow" w:hAnsi="Arial Narrow" w:cs="Arial Narrow"/>
      <w:b/>
      <w:bCs/>
      <w:sz w:val="18"/>
      <w:szCs w:val="18"/>
      <w:shd w:val="clear" w:color="auto" w:fill="FFFFFF"/>
    </w:rPr>
  </w:style>
  <w:style w:type="paragraph" w:customStyle="1" w:styleId="16">
    <w:name w:val="Основной текст16"/>
    <w:basedOn w:val="a"/>
    <w:rsid w:val="00DE1802"/>
    <w:pPr>
      <w:shd w:val="clear" w:color="auto" w:fill="FFFFFF"/>
      <w:overflowPunct/>
      <w:autoSpaceDE/>
      <w:autoSpaceDN/>
      <w:adjustRightInd/>
      <w:spacing w:before="120" w:line="216" w:lineRule="exact"/>
      <w:ind w:hanging="200"/>
      <w:jc w:val="both"/>
      <w:textAlignment w:val="auto"/>
    </w:pPr>
    <w:rPr>
      <w:rFonts w:ascii="Arial" w:eastAsia="Arial" w:hAnsi="Arial" w:cs="Arial"/>
      <w:color w:val="000000"/>
      <w:sz w:val="18"/>
      <w:szCs w:val="18"/>
    </w:rPr>
  </w:style>
  <w:style w:type="character" w:customStyle="1" w:styleId="49">
    <w:name w:val="Основной текст + Полужирный49"/>
    <w:basedOn w:val="a0"/>
    <w:uiPriority w:val="99"/>
    <w:rsid w:val="00011DC2"/>
    <w:rPr>
      <w:rFonts w:ascii="Arial Narrow" w:hAnsi="Arial Narrow" w:cs="Arial Narrow"/>
      <w:b/>
      <w:bCs/>
      <w:sz w:val="18"/>
      <w:szCs w:val="18"/>
      <w:shd w:val="clear" w:color="auto" w:fill="FFFFFF"/>
    </w:rPr>
  </w:style>
  <w:style w:type="character" w:customStyle="1" w:styleId="1pt">
    <w:name w:val="Основной текст + Интервал 1 pt"/>
    <w:basedOn w:val="ab"/>
    <w:uiPriority w:val="99"/>
    <w:rsid w:val="00047175"/>
    <w:rPr>
      <w:rFonts w:ascii="Arial" w:eastAsia="Arial" w:hAnsi="Arial" w:cs="Arial"/>
      <w:b w:val="0"/>
      <w:bCs w:val="0"/>
      <w:i w:val="0"/>
      <w:iCs w:val="0"/>
      <w:smallCaps w:val="0"/>
      <w:strike w:val="0"/>
      <w:spacing w:val="30"/>
      <w:sz w:val="18"/>
      <w:szCs w:val="18"/>
      <w:shd w:val="clear" w:color="auto" w:fill="FFFFFF"/>
    </w:rPr>
  </w:style>
  <w:style w:type="character" w:styleId="af0">
    <w:name w:val="Hyperlink"/>
    <w:basedOn w:val="a0"/>
    <w:uiPriority w:val="99"/>
    <w:unhideWhenUsed/>
    <w:rsid w:val="008515A8"/>
    <w:rPr>
      <w:color w:val="0000FF"/>
      <w:u w:val="single"/>
    </w:rPr>
  </w:style>
  <w:style w:type="character" w:customStyle="1" w:styleId="22">
    <w:name w:val="Основной текст (2)_"/>
    <w:basedOn w:val="a0"/>
    <w:link w:val="23"/>
    <w:rsid w:val="008515A8"/>
    <w:rPr>
      <w:rFonts w:ascii="Times New Roman" w:eastAsia="Times New Roman" w:hAnsi="Times New Roman" w:cs="Times New Roman"/>
      <w:sz w:val="20"/>
      <w:szCs w:val="20"/>
      <w:shd w:val="clear" w:color="auto" w:fill="FFFFFF"/>
    </w:rPr>
  </w:style>
  <w:style w:type="paragraph" w:customStyle="1" w:styleId="23">
    <w:name w:val="Основной текст (2)"/>
    <w:basedOn w:val="a"/>
    <w:link w:val="22"/>
    <w:rsid w:val="008515A8"/>
    <w:pPr>
      <w:shd w:val="clear" w:color="auto" w:fill="FFFFFF"/>
      <w:overflowPunct/>
      <w:autoSpaceDE/>
      <w:autoSpaceDN/>
      <w:adjustRightInd/>
      <w:spacing w:line="238" w:lineRule="exact"/>
      <w:ind w:hanging="500"/>
      <w:jc w:val="right"/>
      <w:textAlignment w:val="auto"/>
    </w:pPr>
    <w:rPr>
      <w:lang w:eastAsia="en-US"/>
    </w:rPr>
  </w:style>
  <w:style w:type="character" w:customStyle="1" w:styleId="af1">
    <w:name w:val="Основной текст + Курсив"/>
    <w:aliases w:val="Интервал 0 pt59"/>
    <w:basedOn w:val="ab"/>
    <w:uiPriority w:val="99"/>
    <w:rsid w:val="00447E42"/>
    <w:rPr>
      <w:rFonts w:ascii="Times New Roman" w:eastAsia="Times New Roman" w:hAnsi="Times New Roman" w:cs="Times New Roman"/>
      <w:b w:val="0"/>
      <w:bCs w:val="0"/>
      <w:i/>
      <w:iCs/>
      <w:smallCaps w:val="0"/>
      <w:strike w:val="0"/>
      <w:spacing w:val="0"/>
      <w:sz w:val="23"/>
      <w:szCs w:val="23"/>
      <w:shd w:val="clear" w:color="auto" w:fill="FFFFFF"/>
    </w:rPr>
  </w:style>
  <w:style w:type="paragraph" w:customStyle="1" w:styleId="krstr">
    <w:name w:val="kr_str"/>
    <w:basedOn w:val="a"/>
    <w:rsid w:val="00A72DC4"/>
    <w:pPr>
      <w:overflowPunct/>
      <w:autoSpaceDE/>
      <w:autoSpaceDN/>
      <w:adjustRightInd/>
      <w:spacing w:before="100" w:beforeAutospacing="1" w:after="100" w:afterAutospacing="1"/>
      <w:textAlignment w:val="auto"/>
    </w:pPr>
    <w:rPr>
      <w:sz w:val="24"/>
      <w:szCs w:val="24"/>
    </w:rPr>
  </w:style>
  <w:style w:type="paragraph" w:customStyle="1" w:styleId="rtejustify">
    <w:name w:val="rtejustify"/>
    <w:basedOn w:val="a"/>
    <w:rsid w:val="006D06B5"/>
    <w:pPr>
      <w:overflowPunct/>
      <w:autoSpaceDE/>
      <w:autoSpaceDN/>
      <w:adjustRightInd/>
      <w:spacing w:before="100" w:beforeAutospacing="1" w:after="100" w:afterAutospacing="1"/>
      <w:textAlignment w:val="auto"/>
    </w:pPr>
    <w:rPr>
      <w:sz w:val="24"/>
      <w:szCs w:val="24"/>
    </w:rPr>
  </w:style>
  <w:style w:type="character" w:customStyle="1" w:styleId="ucoz-forum-post">
    <w:name w:val="ucoz-forum-post"/>
    <w:basedOn w:val="a0"/>
    <w:rsid w:val="00344A8B"/>
  </w:style>
  <w:style w:type="character" w:customStyle="1" w:styleId="32">
    <w:name w:val="Основной текст (3)_"/>
    <w:basedOn w:val="a0"/>
    <w:link w:val="33"/>
    <w:uiPriority w:val="99"/>
    <w:rsid w:val="00FF58FD"/>
    <w:rPr>
      <w:rFonts w:ascii="Times New Roman" w:eastAsia="Times New Roman" w:hAnsi="Times New Roman" w:cs="Times New Roman"/>
      <w:sz w:val="17"/>
      <w:szCs w:val="17"/>
      <w:shd w:val="clear" w:color="auto" w:fill="FFFFFF"/>
    </w:rPr>
  </w:style>
  <w:style w:type="paragraph" w:customStyle="1" w:styleId="33">
    <w:name w:val="Основной текст (3)"/>
    <w:basedOn w:val="a"/>
    <w:link w:val="32"/>
    <w:uiPriority w:val="99"/>
    <w:rsid w:val="00FF58FD"/>
    <w:pPr>
      <w:shd w:val="clear" w:color="auto" w:fill="FFFFFF"/>
      <w:overflowPunct/>
      <w:autoSpaceDE/>
      <w:autoSpaceDN/>
      <w:adjustRightInd/>
      <w:spacing w:line="190" w:lineRule="exact"/>
      <w:jc w:val="center"/>
      <w:textAlignment w:val="auto"/>
    </w:pPr>
    <w:rPr>
      <w:sz w:val="17"/>
      <w:szCs w:val="17"/>
      <w:lang w:eastAsia="en-US"/>
    </w:rPr>
  </w:style>
  <w:style w:type="character" w:styleId="af2">
    <w:name w:val="Strong"/>
    <w:basedOn w:val="a0"/>
    <w:uiPriority w:val="22"/>
    <w:qFormat/>
    <w:rsid w:val="002812DC"/>
    <w:rPr>
      <w:b/>
      <w:bCs/>
    </w:rPr>
  </w:style>
  <w:style w:type="character" w:customStyle="1" w:styleId="highlight">
    <w:name w:val="highlight"/>
    <w:basedOn w:val="a0"/>
    <w:rsid w:val="002812DC"/>
  </w:style>
  <w:style w:type="character" w:customStyle="1" w:styleId="LucidaSansUnicode8pt0pt">
    <w:name w:val="Основной текст + Lucida Sans Unicode;8 pt;Полужирный;Интервал 0 pt"/>
    <w:basedOn w:val="ab"/>
    <w:rsid w:val="00537264"/>
    <w:rPr>
      <w:rFonts w:ascii="Lucida Sans Unicode" w:eastAsia="Lucida Sans Unicode" w:hAnsi="Lucida Sans Unicode" w:cs="Lucida Sans Unicode"/>
      <w:b/>
      <w:bCs/>
      <w:i w:val="0"/>
      <w:iCs w:val="0"/>
      <w:smallCaps w:val="0"/>
      <w:strike w:val="0"/>
      <w:spacing w:val="-10"/>
      <w:sz w:val="16"/>
      <w:szCs w:val="16"/>
      <w:shd w:val="clear" w:color="auto" w:fill="FFFFFF"/>
    </w:rPr>
  </w:style>
  <w:style w:type="character" w:customStyle="1" w:styleId="40">
    <w:name w:val="Основной текст (4)_"/>
    <w:basedOn w:val="a0"/>
    <w:link w:val="41"/>
    <w:locked/>
    <w:rsid w:val="004C2152"/>
    <w:rPr>
      <w:rFonts w:ascii="Times New Roman" w:hAnsi="Times New Roman" w:cs="Times New Roman"/>
      <w:sz w:val="18"/>
      <w:szCs w:val="18"/>
      <w:shd w:val="clear" w:color="auto" w:fill="FFFFFF"/>
    </w:rPr>
  </w:style>
  <w:style w:type="paragraph" w:customStyle="1" w:styleId="41">
    <w:name w:val="Основной текст (4)"/>
    <w:basedOn w:val="a"/>
    <w:link w:val="40"/>
    <w:rsid w:val="004C2152"/>
    <w:pPr>
      <w:shd w:val="clear" w:color="auto" w:fill="FFFFFF"/>
      <w:overflowPunct/>
      <w:autoSpaceDE/>
      <w:autoSpaceDN/>
      <w:adjustRightInd/>
      <w:spacing w:line="240" w:lineRule="atLeast"/>
      <w:ind w:hanging="280"/>
      <w:textAlignment w:val="auto"/>
    </w:pPr>
    <w:rPr>
      <w:rFonts w:eastAsiaTheme="minorHAnsi"/>
      <w:sz w:val="18"/>
      <w:szCs w:val="18"/>
      <w:lang w:eastAsia="en-US"/>
    </w:rPr>
  </w:style>
  <w:style w:type="character" w:customStyle="1" w:styleId="42">
    <w:name w:val="Основной текст (4) + Не курсив"/>
    <w:basedOn w:val="40"/>
    <w:rsid w:val="004C2152"/>
    <w:rPr>
      <w:rFonts w:ascii="Arial Narrow" w:eastAsia="Arial Narrow" w:hAnsi="Arial Narrow" w:cs="Arial Narrow"/>
      <w:b w:val="0"/>
      <w:bCs w:val="0"/>
      <w:i/>
      <w:iCs/>
      <w:smallCaps w:val="0"/>
      <w:strike w:val="0"/>
      <w:spacing w:val="0"/>
      <w:sz w:val="18"/>
      <w:szCs w:val="18"/>
      <w:shd w:val="clear" w:color="auto" w:fill="FFFFFF"/>
    </w:rPr>
  </w:style>
  <w:style w:type="character" w:customStyle="1" w:styleId="15">
    <w:name w:val="Основной текст (15)_"/>
    <w:basedOn w:val="a0"/>
    <w:link w:val="150"/>
    <w:uiPriority w:val="99"/>
    <w:rsid w:val="002F447D"/>
    <w:rPr>
      <w:rFonts w:ascii="Arial Narrow" w:hAnsi="Arial Narrow" w:cs="Arial Narrow"/>
      <w:i/>
      <w:iCs/>
      <w:sz w:val="14"/>
      <w:szCs w:val="14"/>
      <w:shd w:val="clear" w:color="auto" w:fill="FFFFFF"/>
    </w:rPr>
  </w:style>
  <w:style w:type="paragraph" w:customStyle="1" w:styleId="150">
    <w:name w:val="Основной текст (15)"/>
    <w:basedOn w:val="a"/>
    <w:link w:val="15"/>
    <w:uiPriority w:val="99"/>
    <w:rsid w:val="002F447D"/>
    <w:pPr>
      <w:shd w:val="clear" w:color="auto" w:fill="FFFFFF"/>
      <w:overflowPunct/>
      <w:autoSpaceDE/>
      <w:autoSpaceDN/>
      <w:adjustRightInd/>
      <w:spacing w:line="163" w:lineRule="exact"/>
      <w:jc w:val="both"/>
      <w:textAlignment w:val="auto"/>
    </w:pPr>
    <w:rPr>
      <w:rFonts w:ascii="Arial Narrow" w:eastAsiaTheme="minorHAnsi" w:hAnsi="Arial Narrow" w:cs="Arial Narrow"/>
      <w:i/>
      <w:iCs/>
      <w:sz w:val="14"/>
      <w:szCs w:val="14"/>
      <w:lang w:eastAsia="en-US"/>
    </w:rPr>
  </w:style>
  <w:style w:type="character" w:customStyle="1" w:styleId="159pt">
    <w:name w:val="Основной текст (15) + 9 pt;Не полужирный"/>
    <w:basedOn w:val="15"/>
    <w:rsid w:val="002F447D"/>
    <w:rPr>
      <w:rFonts w:ascii="Arial Narrow" w:eastAsia="Arial Narrow" w:hAnsi="Arial Narrow" w:cs="Arial Narrow"/>
      <w:b/>
      <w:bCs/>
      <w:i w:val="0"/>
      <w:iCs w:val="0"/>
      <w:smallCaps w:val="0"/>
      <w:strike/>
      <w:spacing w:val="0"/>
      <w:sz w:val="18"/>
      <w:szCs w:val="18"/>
      <w:shd w:val="clear" w:color="auto" w:fill="FFFFFF"/>
    </w:rPr>
  </w:style>
  <w:style w:type="character" w:customStyle="1" w:styleId="91">
    <w:name w:val="Основной текст + 91"/>
    <w:aliases w:val="5 pt3,Полужирный8,Интервал 0 pt6,Основной текст + 10 pt3,Интервал -1 pt15,Основной текст (5) + Не курсив1,Основной текст + 20,Основной текст (2) + 71"/>
    <w:basedOn w:val="a0"/>
    <w:uiPriority w:val="99"/>
    <w:rsid w:val="002F447D"/>
    <w:rPr>
      <w:rFonts w:ascii="Arial Narrow" w:hAnsi="Arial Narrow" w:cs="Arial Narrow"/>
      <w:b/>
      <w:bCs/>
      <w:spacing w:val="-10"/>
      <w:sz w:val="19"/>
      <w:szCs w:val="19"/>
      <w:shd w:val="clear" w:color="auto" w:fill="FFFFFF"/>
    </w:rPr>
  </w:style>
  <w:style w:type="character" w:customStyle="1" w:styleId="0pt">
    <w:name w:val="Основной текст + Интервал 0 pt"/>
    <w:basedOn w:val="ab"/>
    <w:rsid w:val="002F447D"/>
    <w:rPr>
      <w:rFonts w:ascii="Times New Roman" w:eastAsia="Times New Roman" w:hAnsi="Times New Roman" w:cs="Times New Roman"/>
      <w:b w:val="0"/>
      <w:bCs w:val="0"/>
      <w:i w:val="0"/>
      <w:iCs w:val="0"/>
      <w:smallCaps w:val="0"/>
      <w:strike w:val="0"/>
      <w:spacing w:val="-10"/>
      <w:sz w:val="23"/>
      <w:szCs w:val="23"/>
      <w:shd w:val="clear" w:color="auto" w:fill="FFFFFF"/>
    </w:rPr>
  </w:style>
  <w:style w:type="paragraph" w:styleId="af3">
    <w:name w:val="footnote text"/>
    <w:basedOn w:val="a"/>
    <w:link w:val="af4"/>
    <w:uiPriority w:val="99"/>
    <w:unhideWhenUsed/>
    <w:rsid w:val="00AE79D6"/>
    <w:pPr>
      <w:overflowPunct/>
      <w:autoSpaceDE/>
      <w:autoSpaceDN/>
      <w:adjustRightInd/>
      <w:jc w:val="both"/>
      <w:textAlignment w:val="auto"/>
    </w:pPr>
    <w:rPr>
      <w:rFonts w:asciiTheme="minorHAnsi" w:eastAsiaTheme="minorHAnsi" w:hAnsiTheme="minorHAnsi" w:cstheme="minorBidi"/>
      <w:lang w:eastAsia="en-US"/>
    </w:rPr>
  </w:style>
  <w:style w:type="character" w:customStyle="1" w:styleId="af4">
    <w:name w:val="Текст сноски Знак"/>
    <w:basedOn w:val="a0"/>
    <w:link w:val="af3"/>
    <w:uiPriority w:val="99"/>
    <w:rsid w:val="00AE79D6"/>
    <w:rPr>
      <w:sz w:val="20"/>
      <w:szCs w:val="20"/>
    </w:rPr>
  </w:style>
  <w:style w:type="character" w:customStyle="1" w:styleId="6">
    <w:name w:val="Основной текст (6) + Курсив"/>
    <w:basedOn w:val="a0"/>
    <w:rsid w:val="00DF0691"/>
    <w:rPr>
      <w:rFonts w:ascii="Times New Roman" w:eastAsia="Times New Roman" w:hAnsi="Times New Roman" w:cs="Times New Roman"/>
      <w:b w:val="0"/>
      <w:bCs w:val="0"/>
      <w:i/>
      <w:iCs/>
      <w:smallCaps w:val="0"/>
      <w:strike w:val="0"/>
      <w:spacing w:val="0"/>
      <w:sz w:val="17"/>
      <w:szCs w:val="17"/>
      <w:shd w:val="clear" w:color="auto" w:fill="FFFFFF"/>
    </w:rPr>
  </w:style>
  <w:style w:type="paragraph" w:customStyle="1" w:styleId="book">
    <w:name w:val="book"/>
    <w:basedOn w:val="a"/>
    <w:rsid w:val="00DF0691"/>
    <w:pPr>
      <w:overflowPunct/>
      <w:autoSpaceDE/>
      <w:autoSpaceDN/>
      <w:adjustRightInd/>
      <w:spacing w:before="100" w:beforeAutospacing="1" w:after="100" w:afterAutospacing="1"/>
      <w:textAlignment w:val="auto"/>
    </w:pPr>
    <w:rPr>
      <w:sz w:val="24"/>
      <w:szCs w:val="24"/>
    </w:rPr>
  </w:style>
  <w:style w:type="character" w:customStyle="1" w:styleId="43">
    <w:name w:val="Основной текст4"/>
    <w:basedOn w:val="ab"/>
    <w:rsid w:val="00BD4D8C"/>
    <w:rPr>
      <w:rFonts w:ascii="Franklin Gothic Book" w:eastAsia="Franklin Gothic Book" w:hAnsi="Franklin Gothic Book" w:cs="Franklin Gothic Book"/>
      <w:b w:val="0"/>
      <w:bCs w:val="0"/>
      <w:i w:val="0"/>
      <w:iCs w:val="0"/>
      <w:smallCaps w:val="0"/>
      <w:strike w:val="0"/>
      <w:spacing w:val="0"/>
      <w:w w:val="80"/>
      <w:sz w:val="19"/>
      <w:szCs w:val="19"/>
      <w:shd w:val="clear" w:color="auto" w:fill="FFFFFF"/>
    </w:rPr>
  </w:style>
  <w:style w:type="character" w:customStyle="1" w:styleId="60">
    <w:name w:val="Основной текст (6)_"/>
    <w:basedOn w:val="a0"/>
    <w:link w:val="61"/>
    <w:rsid w:val="001C1E17"/>
    <w:rPr>
      <w:rFonts w:ascii="Segoe UI" w:eastAsia="Segoe UI" w:hAnsi="Segoe UI" w:cs="Segoe UI"/>
      <w:sz w:val="13"/>
      <w:szCs w:val="13"/>
      <w:shd w:val="clear" w:color="auto" w:fill="FFFFFF"/>
    </w:rPr>
  </w:style>
  <w:style w:type="paragraph" w:customStyle="1" w:styleId="61">
    <w:name w:val="Основной текст (6)"/>
    <w:basedOn w:val="a"/>
    <w:link w:val="60"/>
    <w:rsid w:val="001C1E17"/>
    <w:pPr>
      <w:shd w:val="clear" w:color="auto" w:fill="FFFFFF"/>
      <w:overflowPunct/>
      <w:autoSpaceDE/>
      <w:autoSpaceDN/>
      <w:adjustRightInd/>
      <w:spacing w:before="240" w:line="197" w:lineRule="exact"/>
      <w:jc w:val="right"/>
      <w:textAlignment w:val="auto"/>
    </w:pPr>
    <w:rPr>
      <w:rFonts w:ascii="Segoe UI" w:eastAsia="Segoe UI" w:hAnsi="Segoe UI" w:cs="Segoe UI"/>
      <w:sz w:val="13"/>
      <w:szCs w:val="13"/>
      <w:lang w:eastAsia="en-US"/>
    </w:rPr>
  </w:style>
  <w:style w:type="paragraph" w:customStyle="1" w:styleId="article-renderblock">
    <w:name w:val="article-render__block"/>
    <w:basedOn w:val="a"/>
    <w:rsid w:val="00A4521B"/>
    <w:pPr>
      <w:overflowPunct/>
      <w:autoSpaceDE/>
      <w:autoSpaceDN/>
      <w:adjustRightInd/>
      <w:spacing w:before="100" w:beforeAutospacing="1" w:after="100" w:afterAutospacing="1"/>
      <w:textAlignment w:val="auto"/>
    </w:pPr>
    <w:rPr>
      <w:sz w:val="24"/>
      <w:szCs w:val="24"/>
    </w:rPr>
  </w:style>
  <w:style w:type="character" w:customStyle="1" w:styleId="30">
    <w:name w:val="Заголовок 3 Знак"/>
    <w:basedOn w:val="a0"/>
    <w:link w:val="3"/>
    <w:uiPriority w:val="9"/>
    <w:rsid w:val="000343AB"/>
    <w:rPr>
      <w:rFonts w:ascii="Times New Roman" w:eastAsia="Times New Roman" w:hAnsi="Times New Roman" w:cs="Times New Roman"/>
      <w:b/>
      <w:bCs/>
      <w:sz w:val="27"/>
      <w:szCs w:val="27"/>
      <w:lang w:eastAsia="ru-RU"/>
    </w:rPr>
  </w:style>
  <w:style w:type="character" w:styleId="af5">
    <w:name w:val="Emphasis"/>
    <w:basedOn w:val="a0"/>
    <w:uiPriority w:val="20"/>
    <w:qFormat/>
    <w:rsid w:val="000343AB"/>
    <w:rPr>
      <w:i/>
      <w:iCs/>
    </w:rPr>
  </w:style>
  <w:style w:type="paragraph" w:customStyle="1" w:styleId="articledecorationfirst">
    <w:name w:val="article_decoration_first"/>
    <w:basedOn w:val="a"/>
    <w:rsid w:val="000343AB"/>
    <w:pPr>
      <w:overflowPunct/>
      <w:autoSpaceDE/>
      <w:autoSpaceDN/>
      <w:adjustRightInd/>
      <w:spacing w:before="100" w:beforeAutospacing="1" w:after="100" w:afterAutospacing="1"/>
      <w:textAlignment w:val="auto"/>
    </w:pPr>
    <w:rPr>
      <w:sz w:val="24"/>
      <w:szCs w:val="24"/>
    </w:rPr>
  </w:style>
  <w:style w:type="character" w:customStyle="1" w:styleId="ljcut-brace">
    <w:name w:val="ljcut-brace"/>
    <w:basedOn w:val="a0"/>
    <w:rsid w:val="000343AB"/>
  </w:style>
  <w:style w:type="character" w:customStyle="1" w:styleId="ljcut-decor">
    <w:name w:val="ljcut-decor"/>
    <w:basedOn w:val="a0"/>
    <w:rsid w:val="000343AB"/>
  </w:style>
  <w:style w:type="character" w:customStyle="1" w:styleId="af6">
    <w:name w:val="Сноска_"/>
    <w:basedOn w:val="a0"/>
    <w:link w:val="af7"/>
    <w:rsid w:val="00EF3360"/>
    <w:rPr>
      <w:rFonts w:ascii="Segoe UI" w:eastAsia="Segoe UI" w:hAnsi="Segoe UI" w:cs="Segoe UI"/>
      <w:sz w:val="13"/>
      <w:szCs w:val="13"/>
      <w:shd w:val="clear" w:color="auto" w:fill="FFFFFF"/>
    </w:rPr>
  </w:style>
  <w:style w:type="paragraph" w:customStyle="1" w:styleId="af7">
    <w:name w:val="Сноска"/>
    <w:basedOn w:val="a"/>
    <w:link w:val="af6"/>
    <w:rsid w:val="00EF3360"/>
    <w:pPr>
      <w:shd w:val="clear" w:color="auto" w:fill="FFFFFF"/>
      <w:overflowPunct/>
      <w:autoSpaceDE/>
      <w:autoSpaceDN/>
      <w:adjustRightInd/>
      <w:spacing w:line="173" w:lineRule="exact"/>
      <w:textAlignment w:val="auto"/>
    </w:pPr>
    <w:rPr>
      <w:rFonts w:ascii="Segoe UI" w:eastAsia="Segoe UI" w:hAnsi="Segoe UI" w:cs="Segoe UI"/>
      <w:sz w:val="13"/>
      <w:szCs w:val="13"/>
      <w:lang w:eastAsia="en-US"/>
    </w:rPr>
  </w:style>
  <w:style w:type="character" w:customStyle="1" w:styleId="af8">
    <w:name w:val="Оглавление_"/>
    <w:basedOn w:val="a0"/>
    <w:link w:val="af9"/>
    <w:rsid w:val="00AD294D"/>
    <w:rPr>
      <w:rFonts w:ascii="Microsoft Sans Serif" w:eastAsia="Microsoft Sans Serif" w:hAnsi="Microsoft Sans Serif" w:cs="Microsoft Sans Serif"/>
      <w:sz w:val="15"/>
      <w:szCs w:val="15"/>
      <w:shd w:val="clear" w:color="auto" w:fill="FFFFFF"/>
    </w:rPr>
  </w:style>
  <w:style w:type="paragraph" w:customStyle="1" w:styleId="af9">
    <w:name w:val="Оглавление"/>
    <w:basedOn w:val="a"/>
    <w:link w:val="af8"/>
    <w:rsid w:val="00AD294D"/>
    <w:pPr>
      <w:shd w:val="clear" w:color="auto" w:fill="FFFFFF"/>
      <w:overflowPunct/>
      <w:autoSpaceDE/>
      <w:autoSpaceDN/>
      <w:adjustRightInd/>
      <w:spacing w:line="0" w:lineRule="atLeast"/>
      <w:textAlignment w:val="auto"/>
    </w:pPr>
    <w:rPr>
      <w:rFonts w:ascii="Microsoft Sans Serif" w:eastAsia="Microsoft Sans Serif" w:hAnsi="Microsoft Sans Serif" w:cs="Microsoft Sans Serif"/>
      <w:sz w:val="15"/>
      <w:szCs w:val="15"/>
      <w:lang w:eastAsia="en-US"/>
    </w:rPr>
  </w:style>
  <w:style w:type="character" w:customStyle="1" w:styleId="afa">
    <w:name w:val="Другое_"/>
    <w:basedOn w:val="a0"/>
    <w:link w:val="afb"/>
    <w:rsid w:val="00AD294D"/>
    <w:rPr>
      <w:rFonts w:ascii="Arial" w:eastAsia="Arial" w:hAnsi="Arial" w:cs="Arial"/>
      <w:sz w:val="17"/>
      <w:szCs w:val="17"/>
    </w:rPr>
  </w:style>
  <w:style w:type="paragraph" w:customStyle="1" w:styleId="afb">
    <w:name w:val="Другое"/>
    <w:basedOn w:val="a"/>
    <w:link w:val="afa"/>
    <w:rsid w:val="00AD294D"/>
    <w:pPr>
      <w:widowControl w:val="0"/>
      <w:overflowPunct/>
      <w:autoSpaceDE/>
      <w:autoSpaceDN/>
      <w:adjustRightInd/>
      <w:ind w:firstLine="180"/>
      <w:textAlignment w:val="auto"/>
    </w:pPr>
    <w:rPr>
      <w:rFonts w:ascii="Arial" w:eastAsia="Arial" w:hAnsi="Arial" w:cs="Arial"/>
      <w:sz w:val="17"/>
      <w:szCs w:val="17"/>
      <w:lang w:eastAsia="en-US"/>
    </w:rPr>
  </w:style>
  <w:style w:type="character" w:customStyle="1" w:styleId="afc">
    <w:name w:val="Подпись к таблице_"/>
    <w:basedOn w:val="a0"/>
    <w:link w:val="afd"/>
    <w:rsid w:val="001B7CBD"/>
    <w:rPr>
      <w:rFonts w:ascii="Microsoft Sans Serif" w:eastAsia="Microsoft Sans Serif" w:hAnsi="Microsoft Sans Serif" w:cs="Microsoft Sans Serif"/>
      <w:sz w:val="15"/>
      <w:szCs w:val="15"/>
      <w:shd w:val="clear" w:color="auto" w:fill="FFFFFF"/>
    </w:rPr>
  </w:style>
  <w:style w:type="paragraph" w:customStyle="1" w:styleId="afd">
    <w:name w:val="Подпись к таблице"/>
    <w:basedOn w:val="a"/>
    <w:link w:val="afc"/>
    <w:rsid w:val="001B7CBD"/>
    <w:pPr>
      <w:shd w:val="clear" w:color="auto" w:fill="FFFFFF"/>
      <w:overflowPunct/>
      <w:autoSpaceDE/>
      <w:autoSpaceDN/>
      <w:adjustRightInd/>
      <w:spacing w:line="0" w:lineRule="atLeast"/>
      <w:textAlignment w:val="auto"/>
    </w:pPr>
    <w:rPr>
      <w:rFonts w:ascii="Microsoft Sans Serif" w:eastAsia="Microsoft Sans Serif" w:hAnsi="Microsoft Sans Serif" w:cs="Microsoft Sans Serif"/>
      <w:sz w:val="15"/>
      <w:szCs w:val="15"/>
      <w:lang w:eastAsia="en-US"/>
    </w:rPr>
  </w:style>
  <w:style w:type="character" w:customStyle="1" w:styleId="5">
    <w:name w:val="Основной текст (5)_"/>
    <w:basedOn w:val="a0"/>
    <w:link w:val="50"/>
    <w:rsid w:val="001C4606"/>
    <w:rPr>
      <w:rFonts w:ascii="Arial Narrow" w:eastAsia="Arial Narrow" w:hAnsi="Arial Narrow" w:cs="Arial Narrow"/>
      <w:sz w:val="15"/>
      <w:szCs w:val="15"/>
      <w:shd w:val="clear" w:color="auto" w:fill="FFFFFF"/>
    </w:rPr>
  </w:style>
  <w:style w:type="paragraph" w:customStyle="1" w:styleId="50">
    <w:name w:val="Основной текст (5)"/>
    <w:basedOn w:val="a"/>
    <w:link w:val="5"/>
    <w:rsid w:val="001C4606"/>
    <w:pPr>
      <w:shd w:val="clear" w:color="auto" w:fill="FFFFFF"/>
      <w:overflowPunct/>
      <w:autoSpaceDE/>
      <w:autoSpaceDN/>
      <w:adjustRightInd/>
      <w:spacing w:before="180" w:after="60" w:line="0" w:lineRule="atLeast"/>
      <w:textAlignment w:val="auto"/>
    </w:pPr>
    <w:rPr>
      <w:rFonts w:ascii="Arial Narrow" w:eastAsia="Arial Narrow" w:hAnsi="Arial Narrow" w:cs="Arial Narrow"/>
      <w:sz w:val="15"/>
      <w:szCs w:val="15"/>
      <w:lang w:eastAsia="en-US"/>
    </w:rPr>
  </w:style>
  <w:style w:type="paragraph" w:customStyle="1" w:styleId="17">
    <w:name w:val="Основной текст17"/>
    <w:basedOn w:val="a"/>
    <w:rsid w:val="00DE096C"/>
    <w:pPr>
      <w:shd w:val="clear" w:color="auto" w:fill="FFFFFF"/>
      <w:overflowPunct/>
      <w:autoSpaceDE/>
      <w:autoSpaceDN/>
      <w:adjustRightInd/>
      <w:spacing w:before="300" w:line="197" w:lineRule="exact"/>
      <w:ind w:hanging="640"/>
      <w:textAlignment w:val="auto"/>
    </w:pPr>
    <w:rPr>
      <w:rFonts w:ascii="Trebuchet MS" w:eastAsia="Trebuchet MS" w:hAnsi="Trebuchet MS" w:cs="Trebuchet MS"/>
      <w:sz w:val="16"/>
      <w:szCs w:val="16"/>
      <w:lang w:eastAsia="en-US"/>
    </w:rPr>
  </w:style>
  <w:style w:type="character" w:customStyle="1" w:styleId="100">
    <w:name w:val="Основной текст (10)_"/>
    <w:basedOn w:val="a0"/>
    <w:link w:val="101"/>
    <w:rsid w:val="007925B0"/>
    <w:rPr>
      <w:rFonts w:ascii="Segoe UI" w:eastAsia="Segoe UI" w:hAnsi="Segoe UI" w:cs="Segoe UI"/>
      <w:sz w:val="12"/>
      <w:szCs w:val="12"/>
      <w:shd w:val="clear" w:color="auto" w:fill="FFFFFF"/>
    </w:rPr>
  </w:style>
  <w:style w:type="paragraph" w:customStyle="1" w:styleId="101">
    <w:name w:val="Основной текст (10)"/>
    <w:basedOn w:val="a"/>
    <w:link w:val="100"/>
    <w:rsid w:val="007925B0"/>
    <w:pPr>
      <w:shd w:val="clear" w:color="auto" w:fill="FFFFFF"/>
      <w:overflowPunct/>
      <w:autoSpaceDE/>
      <w:autoSpaceDN/>
      <w:adjustRightInd/>
      <w:spacing w:line="144" w:lineRule="exact"/>
      <w:ind w:hanging="180"/>
      <w:textAlignment w:val="auto"/>
    </w:pPr>
    <w:rPr>
      <w:rFonts w:ascii="Segoe UI" w:eastAsia="Segoe UI" w:hAnsi="Segoe UI" w:cs="Segoe UI"/>
      <w:sz w:val="12"/>
      <w:szCs w:val="12"/>
      <w:lang w:eastAsia="en-US"/>
    </w:rPr>
  </w:style>
  <w:style w:type="character" w:customStyle="1" w:styleId="44">
    <w:name w:val="Заголовок №4_"/>
    <w:basedOn w:val="a0"/>
    <w:rsid w:val="00D76A1C"/>
    <w:rPr>
      <w:rFonts w:ascii="Trebuchet MS" w:eastAsia="Trebuchet MS" w:hAnsi="Trebuchet MS" w:cs="Trebuchet MS"/>
      <w:b w:val="0"/>
      <w:bCs w:val="0"/>
      <w:i w:val="0"/>
      <w:iCs w:val="0"/>
      <w:smallCaps w:val="0"/>
      <w:strike w:val="0"/>
      <w:spacing w:val="0"/>
      <w:sz w:val="78"/>
      <w:szCs w:val="7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airwar.ru/enc/bww1/ps7.html" TargetMode="External"/><Relationship Id="rId18" Type="http://schemas.openxmlformats.org/officeDocument/2006/relationships/hyperlink" Target="file:///E:\Files%20(D)\old%20D\WORD5\IL\2015\chertoprud_sergei_nauchnotehnicheskaya_razvedka_ot_lenina_do_gorbacheva__33.html" TargetMode="External"/><Relationship Id="rId26" Type="http://schemas.openxmlformats.org/officeDocument/2006/relationships/hyperlink" Target="http://www.opoccuu.com/im.htm" TargetMode="External"/><Relationship Id="rId39" Type="http://schemas.openxmlformats.org/officeDocument/2006/relationships/hyperlink" Target="http://flyingmachines.ru/Site2/Crafts/Craft25569.htm" TargetMode="External"/><Relationship Id="rId21" Type="http://schemas.openxmlformats.org/officeDocument/2006/relationships/hyperlink" Target="file:///E:\Files%20(D)\old%20D\WORD5\IL\2015\chertoprud_sergei_nauchnotehnicheskaya_razvedka_ot_lenina_do_gorbacheva__33.html" TargetMode="External"/><Relationship Id="rId34" Type="http://schemas.openxmlformats.org/officeDocument/2006/relationships/hyperlink" Target="http://eng.ship.bsu.by/ship/101022" TargetMode="External"/><Relationship Id="rId42" Type="http://schemas.openxmlformats.org/officeDocument/2006/relationships/hyperlink" Target="http://eng.ship.bsu.by/ship/103889" TargetMode="External"/><Relationship Id="rId47" Type="http://schemas.openxmlformats.org/officeDocument/2006/relationships/hyperlink" Target="https://www.litres.ru/book/a-u-lashkov/vozdushnyy-front-pervoy-mirovoy-borba-za-gospodstvo-v-vozduhe-68485612/chitat-onlayn/?page=2" TargetMode="External"/><Relationship Id="rId50" Type="http://schemas.openxmlformats.org/officeDocument/2006/relationships/hyperlink" Target="https://ru.wikipedia.org/wiki/%D0%A8%D0%B8%D0%B4%D0%BB%D0%BE%D0%B2%D1%81%D0%BA%D0%B8%D0%B9,_%D0%9C%D0%B8%D1%85%D0%B0%D0%B8%D0%BB_%D0%92%D0%BB%D0%B0%D0%B4%D0%B8%D0%BC%D0%B8%D1%80%D0%BE%D0%B2%D0%B8%D1%87" TargetMode="External"/><Relationship Id="rId55" Type="http://schemas.openxmlformats.org/officeDocument/2006/relationships/hyperlink" Target="http://www.liveinternet.ru/www.ljpoisk.ru/archive/4674510.html" TargetMode="External"/><Relationship Id="rId7" Type="http://schemas.openxmlformats.org/officeDocument/2006/relationships/hyperlink" Target="http://www.retroplan.ru/encyclopaedia.html?sobi2Task=sobi2Details&amp;catid=108&amp;sobi2Id=648" TargetMode="External"/><Relationship Id="rId2" Type="http://schemas.openxmlformats.org/officeDocument/2006/relationships/styles" Target="styles.xml"/><Relationship Id="rId16" Type="http://schemas.openxmlformats.org/officeDocument/2006/relationships/hyperlink" Target="http://www.airwar.ru/enc/bww1/im.html" TargetMode="External"/><Relationship Id="rId29" Type="http://schemas.openxmlformats.org/officeDocument/2006/relationships/hyperlink" Target="http://xn--80aafy5bs.xn--p1ai/aviamuseum/aviatsiya/nachalo-aviastroeniya-v-rossijskoj-imperii-2/aviazavody-rossijskoj-imperii/aviatsionnyj-zavod-aktsionernoe-obshhestvo-vozduhoplavaniya-v-a-lebedeva/" TargetMode="External"/><Relationship Id="rId11" Type="http://schemas.openxmlformats.org/officeDocument/2006/relationships/hyperlink" Target="http://www.airwar.ru/enc/law1/gw10.html" TargetMode="External"/><Relationship Id="rId24" Type="http://schemas.openxmlformats.org/officeDocument/2006/relationships/hyperlink" Target="http://www.retroplan.ru/encyclopaedia.html?sobi2Task=sobi2Details&amp;catid=108&amp;sobi2Id=648" TargetMode="External"/><Relationship Id="rId32" Type="http://schemas.openxmlformats.org/officeDocument/2006/relationships/hyperlink" Target="http://www.airwar.ru/enc/other1/s184.html" TargetMode="External"/><Relationship Id="rId37" Type="http://schemas.openxmlformats.org/officeDocument/2006/relationships/image" Target="media/image1.png"/><Relationship Id="rId40" Type="http://schemas.openxmlformats.org/officeDocument/2006/relationships/hyperlink" Target="http://www.airwar.ru/enc/other1/bikok.html" TargetMode="External"/><Relationship Id="rId45" Type="http://schemas.openxmlformats.org/officeDocument/2006/relationships/hyperlink" Target="https://www.litres.ru/book/a-u-lashkov/vozdushnyy-front-pervoy-mirovoy-borba-za-gospodstvo-v-vozduhe-68485612/chitat-onlayn/" TargetMode="External"/><Relationship Id="rId53" Type="http://schemas.openxmlformats.org/officeDocument/2006/relationships/hyperlink" Target="https://ru.wikipedia.org/wiki/%D0%92%D0%B5%D1%80%D1%85%D0%BE%D0%B2%D0%BD%D1%8B%D0%B9_%D0%B3%D0%BB%D0%B0%D0%B2%D0%BD%D0%BE%D0%BA%D0%BE%D0%BC%D0%B0%D0%BD%D0%B4%D1%83%D1%8E%D1%89%D0%B8%D0%B9" TargetMode="External"/><Relationship Id="rId58" Type="http://schemas.openxmlformats.org/officeDocument/2006/relationships/fontTable" Target="fontTable.xml"/><Relationship Id="rId5" Type="http://schemas.openxmlformats.org/officeDocument/2006/relationships/hyperlink" Target="http://www.airwiki.org/enc/other1/re5.html" TargetMode="External"/><Relationship Id="rId19" Type="http://schemas.openxmlformats.org/officeDocument/2006/relationships/hyperlink" Target="file:///E:\Files%20(D)\old%20D\WORD5\IL\2015\chertoprud_sergei_nauchnotehnicheskaya_razvedka_ot_lenina_do_gorbacheva__33.html" TargetMode="External"/><Relationship Id="rId4" Type="http://schemas.openxmlformats.org/officeDocument/2006/relationships/webSettings" Target="webSettings.xml"/><Relationship Id="rId9" Type="http://schemas.openxmlformats.org/officeDocument/2006/relationships/hyperlink" Target="http://airspot.ru/catalogue/item/sikorskiy-s-hii" TargetMode="External"/><Relationship Id="rId14" Type="http://schemas.openxmlformats.org/officeDocument/2006/relationships/hyperlink" Target="https://ru.wikipedia.org/wiki/%D0%9F%D0%B5%D1%80%D0%B2%D0%B0%D1%8F_%D0%BC%D0%B8%D1%80%D0%BE%D0%B2%D0%B0%D1%8F_%D0%B2%D0%BE%D0%B9%D0%BD%D0%B0" TargetMode="External"/><Relationship Id="rId22" Type="http://schemas.openxmlformats.org/officeDocument/2006/relationships/hyperlink" Target="http://www.airwar.ru/enc/other1/schmitt.html" TargetMode="External"/><Relationship Id="rId27" Type="http://schemas.openxmlformats.org/officeDocument/2006/relationships/hyperlink" Target="http://www.airwar.ru/enc/bww1/ps7.html" TargetMode="External"/><Relationship Id="rId30" Type="http://schemas.openxmlformats.org/officeDocument/2006/relationships/hyperlink" Target="http://www.airwar.ru/enc/fww1/msn.html" TargetMode="External"/><Relationship Id="rId35" Type="http://schemas.openxmlformats.org/officeDocument/2006/relationships/hyperlink" Target="https://www.litres.ru/book/a-u-lashkov/vozdushnyy-front-pervoy-mirovoy-borba-za-gospodstvo-v-vozduhe-68485612/chitat-onlayn/" TargetMode="External"/><Relationship Id="rId43" Type="http://schemas.openxmlformats.org/officeDocument/2006/relationships/hyperlink" Target="http://www.airaces.ru/stati/aviacionnye-otryady-pervojj-mirovojj-vojjny.html" TargetMode="External"/><Relationship Id="rId48" Type="http://schemas.openxmlformats.org/officeDocument/2006/relationships/hyperlink" Target="https://ru.wikipedia.org/wiki/23_%D0%B4%D0%B5%D0%BA%D0%B0%D0%B1%D1%80%D1%8F" TargetMode="External"/><Relationship Id="rId56" Type="http://schemas.openxmlformats.org/officeDocument/2006/relationships/hyperlink" Target="http://www.samspace.ru/" TargetMode="External"/><Relationship Id="rId8" Type="http://schemas.openxmlformats.org/officeDocument/2006/relationships/hyperlink" Target="http://flyingmachines.ru/Site2/Crafts/Craft25571.htm" TargetMode="External"/><Relationship Id="rId51" Type="http://schemas.openxmlformats.org/officeDocument/2006/relationships/hyperlink" Target="https://ru.wikipedia.org/wiki/%D0%AD%D1%81%D0%BA%D0%B0%D0%B4%D1%80%D0%B0" TargetMode="External"/><Relationship Id="rId3" Type="http://schemas.openxmlformats.org/officeDocument/2006/relationships/settings" Target="settings.xml"/><Relationship Id="rId12" Type="http://schemas.openxmlformats.org/officeDocument/2006/relationships/hyperlink" Target="http://www.airwar.ru/enc/other1/re5.html" TargetMode="External"/><Relationship Id="rId17" Type="http://schemas.openxmlformats.org/officeDocument/2006/relationships/hyperlink" Target="file:///E:\Files%20(D)\old%20D\WORD5\IL\2015\chertoprud_sergei_nauchnotehnicheskaya_razvedka_ot_lenina_do_gorbacheva__33.html" TargetMode="External"/><Relationship Id="rId25" Type="http://schemas.openxmlformats.org/officeDocument/2006/relationships/hyperlink" Target="http://www.airwar.ru/enc/other1/m1.html" TargetMode="External"/><Relationship Id="rId33" Type="http://schemas.openxmlformats.org/officeDocument/2006/relationships/hyperlink" Target="http://sergeyhry.narod.ru/txt/sidorov_a_l/econom_rus_ww1_002.htm" TargetMode="External"/><Relationship Id="rId38" Type="http://schemas.openxmlformats.org/officeDocument/2006/relationships/hyperlink" Target="https://dzen.ru/a/ab-XJTtAdTs1hBGW" TargetMode="External"/><Relationship Id="rId46" Type="http://schemas.openxmlformats.org/officeDocument/2006/relationships/hyperlink" Target="https://www.litres.ru/book/a-u-lashkov/vozdushnyy-front-pervoy-mirovoy-borba-za-gospodstvo-v-vozduhe-68485612/chitat-onlayn/" TargetMode="External"/><Relationship Id="rId59" Type="http://schemas.openxmlformats.org/officeDocument/2006/relationships/theme" Target="theme/theme1.xml"/><Relationship Id="rId20" Type="http://schemas.openxmlformats.org/officeDocument/2006/relationships/hyperlink" Target="file:///E:\Files%20(D)\old%20D\WORD5\IL\2015\chertoprud_sergei_nauchnotehnicheskaya_razvedka_ot_lenina_do_gorbacheva__33.html" TargetMode="External"/><Relationship Id="rId41" Type="http://schemas.openxmlformats.org/officeDocument/2006/relationships/hyperlink" Target="https://dzen.ru/a/ab-XJTtAdTs1hBGW" TargetMode="External"/><Relationship Id="rId54" Type="http://schemas.openxmlformats.org/officeDocument/2006/relationships/hyperlink" Target="https://ru.wikipedia.org/wiki/%D0%A1%D1%82%D0%B0%D0%B2%D0%BA%D0%B0_%D0%92%D0%B5%D1%80%D1%85%D0%BE%D0%B2%D0%BD%D0%BE%D0%B3%D0%BE_%D0%93%D0%BB%D0%B0%D0%B2%D0%BD%D0%BE%D0%BA%D0%BE%D0%BC%D0%B0%D0%BD%D0%B4%D1%83%D1%8E%D1%89%D0%B5%D0%B3%D0%BE" TargetMode="External"/><Relationship Id="rId1" Type="http://schemas.openxmlformats.org/officeDocument/2006/relationships/numbering" Target="numbering.xml"/><Relationship Id="rId6" Type="http://schemas.openxmlformats.org/officeDocument/2006/relationships/hyperlink" Target="http://www.airwar.ru/enc/other1/schmitt.html" TargetMode="External"/><Relationship Id="rId15" Type="http://schemas.openxmlformats.org/officeDocument/2006/relationships/hyperlink" Target="https://ru.wikipedia.org/wiki/%D0%98%D0%BC%D0%BF%D0%B5%D1%80%D0%B0%D1%82%D0%BE%D1%80%D1%81%D0%BA%D0%B8%D0%B9_%D0%B2%D0%BE%D0%B5%D0%BD%D0%BD%D0%BE-%D0%B2%D0%BE%D0%B7%D0%B4%D1%83%D1%88%D0%BD%D1%8B%D0%B9_%D1%84%D0%BB%D0%BE%D1%82" TargetMode="External"/><Relationship Id="rId23" Type="http://schemas.openxmlformats.org/officeDocument/2006/relationships/hyperlink" Target="http://www.airwar.ru/enc/flyboat/curtissnc.html" TargetMode="External"/><Relationship Id="rId28" Type="http://schemas.openxmlformats.org/officeDocument/2006/relationships/hyperlink" Target="http://flyingmachines.ru/Site2/Crafts/Craft25576.htm" TargetMode="External"/><Relationship Id="rId36" Type="http://schemas.openxmlformats.org/officeDocument/2006/relationships/hyperlink" Target="http://porco.ru/content/view/1318/148/" TargetMode="External"/><Relationship Id="rId49" Type="http://schemas.openxmlformats.org/officeDocument/2006/relationships/hyperlink" Target="https://ru.wikipedia.org/wiki/1914_%D0%B3%D0%BE%D0%B4" TargetMode="External"/><Relationship Id="rId57" Type="http://schemas.openxmlformats.org/officeDocument/2006/relationships/hyperlink" Target="http://www.pemz.ru/" TargetMode="External"/><Relationship Id="rId10" Type="http://schemas.openxmlformats.org/officeDocument/2006/relationships/hyperlink" Target="http://www.retroplan.ru/encyclopaedia.html?sobi2Task=sobi2Details&amp;catid=108&amp;sobi2Id=648" TargetMode="External"/><Relationship Id="rId31" Type="http://schemas.openxmlformats.org/officeDocument/2006/relationships/hyperlink" Target="http://hobbyport.ru/avia/morane_g.htm" TargetMode="External"/><Relationship Id="rId44" Type="http://schemas.openxmlformats.org/officeDocument/2006/relationships/hyperlink" Target="http://www.airaces.ru/stati/aviacionnye-otryady-pervojj-mirovojj-vojjny.html" TargetMode="External"/><Relationship Id="rId52" Type="http://schemas.openxmlformats.org/officeDocument/2006/relationships/hyperlink" Target="https://ru.wikipedia.org/wiki/%D0%A8%D1%82%D0%B0%D0%B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3948</TotalTime>
  <Pages>508</Pages>
  <Words>695502</Words>
  <Characters>3964362</Characters>
  <Application>Microsoft Office Word</Application>
  <DocSecurity>0</DocSecurity>
  <Lines>33036</Lines>
  <Paragraphs>9301</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4650563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Иван Родионов</cp:lastModifiedBy>
  <cp:revision>393</cp:revision>
  <dcterms:created xsi:type="dcterms:W3CDTF">2022-10-18T10:36:00Z</dcterms:created>
  <dcterms:modified xsi:type="dcterms:W3CDTF">2026-07-07T04:54:00Z</dcterms:modified>
</cp:coreProperties>
</file>